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140F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D85F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F07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июлю 1943 года была сделана в металле и испытана САУ Горьковского завода под индексом ОСА-76. Этот проект возник благодаря новой концепции ГАУ о переводе всей полевой артиллерии на самоходные шасси. Отсюда возникло и название - "ОСА" - что означает "Общевойсковая Самоходная Артиллерия". "ОСА" не принадлежит семейству СУ-76, а скорее представляет собой самостоятельный класс артсистемы, предназначенной для использования в составе общевойсковых соединений. Проект предполагал создание нескольких СУ:</w:t>
      </w:r>
    </w:p>
    <w:p w14:paraId="48295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ОСА-76 - 76мм САУ частичного бронирования;</w:t>
      </w:r>
    </w:p>
    <w:p w14:paraId="74F3A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ОСА-57 - 57мм противотанковая САУ частичного бронирования;</w:t>
      </w:r>
    </w:p>
    <w:p w14:paraId="42898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ОСА-23 - 23мм ЗСУ частичного бронирования;</w:t>
      </w:r>
    </w:p>
    <w:p w14:paraId="3096E0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ОСА-12 - 12,7мм ЗСУ частичного бронирования.</w:t>
      </w:r>
    </w:p>
    <w:p w14:paraId="27261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САУ ОСА-76 вооружалась 76,2мм дивизионной пушкой ЗИС-3, обладала малой массой (менее 3 500 кг). Двигатель - ГАЗ-ММ. Ходовая часть от танка Т-60/Т-70. Экипаж - 3 человека. Бронезащита аналогична орудию ЗИС-3 и представляла собой 6мм противопульную броню. САУ успешно прошла испытания и была рекомендована к производству, однако его так и не развернули.</w:t>
      </w:r>
    </w:p>
    <w:p w14:paraId="7A55E3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удачной была попытка румынских специалистов, установивших на шасси трофейных советских Т-60 трофейные же 76,2-мм орудия Ф-22 (до поступления на вооружение Румынской армии немецких Pz-IVG только они могли эффективно бороться с советскими средними и тяжелыми танками) (3862).</w:t>
      </w:r>
    </w:p>
    <w:p w14:paraId="4C050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6A4CA" w14:textId="77777777" w:rsidR="00087888" w:rsidRPr="00271E51" w:rsidRDefault="0008788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1DCD505" w14:textId="77777777" w:rsidR="00087888" w:rsidRPr="00271E51" w:rsidRDefault="0008788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E4C933" w14:textId="77777777" w:rsidR="00087888" w:rsidRPr="00271E51" w:rsidRDefault="0008788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июлю 1943 г. в Советский Союз из США и Великобритании поступило дополнительно 885 тыс. т продовольствия. 182 тыс. т зерна было доставлено по "пшеничному соглашению" из Канады. В общем объеме грузов, ввезенных в Россию, они заняли третью часть.</w:t>
      </w:r>
    </w:p>
    <w:p w14:paraId="6707A60E" w14:textId="77777777" w:rsidR="00087888" w:rsidRPr="00271E51" w:rsidRDefault="0008788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год стал самым тяжелым для сельского хозяйства СССР. Перешедшая в наступление Красная Армия освободила огромные территории, на которых проживали миллионы людей. Их необходимо было кормить. Между тем хозяйства этих земель были совершенно разорены нацистами. Положение осложнила засуха в районах Сибири, Поволжья и Северного Кавказа. В стране разразился острый продовольственный кризис (19582).</w:t>
      </w:r>
    </w:p>
    <w:p w14:paraId="2B7A62F2" w14:textId="77777777" w:rsidR="00087888" w:rsidRPr="00271E51" w:rsidRDefault="00087888" w:rsidP="00271E51">
      <w:pPr>
        <w:spacing w:after="0" w:line="240" w:lineRule="auto"/>
        <w:jc w:val="both"/>
        <w:rPr>
          <w:rFonts w:ascii="Times New Roman" w:hAnsi="Times New Roman"/>
          <w:color w:val="000000" w:themeColor="text1"/>
          <w:sz w:val="16"/>
          <w:szCs w:val="16"/>
        </w:rPr>
      </w:pPr>
    </w:p>
    <w:p w14:paraId="11329B0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D734A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6E449" w14:textId="77777777" w:rsidR="006B394D" w:rsidRPr="00271E51" w:rsidRDefault="006B394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самолет Ил-2М, на котором в середине июня было установлено новое увеличенное хвостовое оперение, сделал 5 полетов. Как и прежде, «во всех полетах отмечается винтовая тряска, винт не подобран».</w:t>
      </w:r>
    </w:p>
    <w:p w14:paraId="5CA09CB5" w14:textId="77777777" w:rsidR="006B394D" w:rsidRPr="00271E51" w:rsidRDefault="006B394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первой декаде июля заводом № 35 был подготовлен еще один экземпляр винта АВ-5л-18А с улучшенной аэродинамической балансировкой и передан в Куйбышев на 18-й завод для производства летных испытаний. При полетах с этим винтом тряска уменьшилась, но окончательно ликвидировать тряску все же не удалось. Теперь тряска появлялась при несколько меньших оборотах – 2200 об/мин. Мотористы считали, что при соответствующей доводке винта тряска прекратится. Однако в ходе совместных 100-часовых испытаний на заводе № 24 моторов АМ-42 и опытного флюгерного винта АВ-7л-18А (лопасти винта выполнялись по одному чертежу с АВ-5л-18А) в июле произошли аварии двух моторов (зав. № 4226 и № 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 35 пришлось напомнить членам комиссии, что еще в июле 1941 года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мотора А. А. Микулин запретил полеты с АМ-42 с винтами диаметром 4,0 м. Было решено определить частоты собственных колебаний воздушного винта и системы коленчатого вала мотора.</w:t>
      </w:r>
    </w:p>
    <w:p w14:paraId="18A8C3F1" w14:textId="77777777" w:rsidR="006B394D" w:rsidRPr="00271E51" w:rsidRDefault="006B394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летные данные Ил-2М со стандартным винтом АВ-5л-158 снизились почти до уровня обычной «двойки», то о предъявлении новой машины на государственные испытания в установленные сроки не могло быть и речи.</w:t>
      </w:r>
    </w:p>
    <w:p w14:paraId="1D71B584" w14:textId="77777777" w:rsidR="006B394D" w:rsidRPr="00271E51" w:rsidRDefault="006B394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оценки обстановки и «выяснения всех вопросов, связанных с доводкой самолета», в Куйбышев на завод № 18 выехала группа ведущих конструкторов ОКБ-240 во главе с главным конструктором С. В. Ильюшиным. Одновременно Ильюшин ознакомился с фактическими результатами работы завода № 1 по новым самолетам с мотором АМ-42 (17490).</w:t>
      </w:r>
    </w:p>
    <w:p w14:paraId="2E4D4EF0" w14:textId="77777777" w:rsidR="006B394D" w:rsidRPr="00271E51" w:rsidRDefault="006B394D" w:rsidP="00271E51">
      <w:pPr>
        <w:spacing w:after="0" w:line="240" w:lineRule="auto"/>
        <w:jc w:val="both"/>
        <w:rPr>
          <w:rFonts w:ascii="Times New Roman" w:hAnsi="Times New Roman"/>
          <w:color w:val="000000" w:themeColor="text1"/>
          <w:sz w:val="16"/>
          <w:szCs w:val="16"/>
        </w:rPr>
      </w:pPr>
    </w:p>
    <w:p w14:paraId="571406FD" w14:textId="77777777" w:rsidR="00A907A5" w:rsidRPr="00271E51" w:rsidRDefault="00A907A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1 июля 1943 г. ОКБ-240 передало комплект чертежей истребителя «Ил» с мотором АМ-42 на завод № 1. Конструкторы КБ Ильюшина выполнили крайне сложную работу, разработав чертежи истребителя со «вписанным» штурмовиком, который, на первый взгляд, выдавала только одна деталь. Для улучшения аэродинамических характеристик новый самолет имел крыло меньшей, чем у Ил-2, площади и предельно обжатый мидель фюзеляжа. Однако при этом на крыле «торчали» гондолы шасси, пусть и меньшего, чем у Ил-2, размера. В истребительном варианте от них легко можно было избавиться «уложив» ноги в убранном положении вдоль размаха крыла, однако тогда колеса попали бы в бомбоотсек, который на штурмовике должен был разместиться в центроплане. Остальные решения для ударного варианта новой машины в глаза так не бросались, однако в достаточной мере были продуманы вопросы размещения стрелка и обхода неизбежных при этом проблем, связанных с изменением центровки.</w:t>
      </w:r>
    </w:p>
    <w:p w14:paraId="365CFDF7" w14:textId="77777777" w:rsidR="00A907A5" w:rsidRPr="00271E51" w:rsidRDefault="00A907A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Новый самолет с мотором АМ-42 на тот момент со взлетной мощностью 1750 л.с. и винтом АВ-5л-24 диаметром 3,6 метра компоновочными решениями разительно отличался от своего старшего брата. Для улучшения аэродинамики водо- и маслорадиаторы полностью убрали в бронекорпус за передний лонжерон центроплана. Воздухозаборники разместили в корне передней кромки центроплана. Сброс воздуха происходил через щель, регулируемую механизмами УР-2 и УР6, на нижней поверхности бронекорпуса. Такая компоновка позволила избавиться от выступающего в поток водорадиатора под центропланом, верхнего воздухозаборника бронекорпуса и его канала, что улучшило обтекаемость носовой части, а в освободившемся пространстве разместили увеличенный по объему бензобак и убрали бак за спиной летчика, что, в свою очередь, позволяло в будущем посадить стрелка и летчика «спина к спине» и сокращало прирост веса брони в двухместном варианте. Запас топлива составлял 760 литров. Толщина броневых листов была в основном 4-6 мм, в зависимости от конкретного места. Задняя стенка пилотской кабины была образована из двух стальных панелей толщиной 8 мм с небольшим зазором. Верхний лист створки фонаря над головой пилона и передний бронедиск также имели толщину 8 мм. Расчетный вес бронекорпуса составлял 870 кг. По результатам взвешивания на заводе № 1 впоследствии получилось всего 846 кг. Подвод воздуха к нагнетателю осуществлялся через всасывающий патрубок с двумя отдельными насадками. Один помещался под капотом и работал на земле. Второй – основной, а’ля «Харрикейн» или «Спитфайр», – располагался под центропланом и был открыт в полете. Входные отверстия патрубков перекрывались заслонкой, смонтированной внутри патрубка и кинематически связанной с шасси тросовой проводкой. Такая схема забора воздуха, видимо, была принята с оглядкой на МиГ-3 поздних серий, правда, на них всасывающие патрубки нагнетателя располагались в передней кромке крыла. Несмотря на то, что кроме заслонки на входах в патрубок на Ил-1, а затем и на Ил-10, дополнительно стояли защитные сетки, на штурмовиках ранних серий возникли серьезные проблемы с попаданием в нагнетатель частиц аэродромного покрытия. С 7-й серии на Ил10 появился характерный всасывающих патрубок с внешним пылефильтром. Более ранние машины дорабатывали по бюллетеню уже в строевых частях. Хвостовая часть фюзеляжа первоначально была спроектирована металлической, из дюраля, но с учетом возможностей завода № 1 на одноместном Ил-1 поставили деревянную с обшивкой из березового шпона. Крыло – двухлонжеронное металлическое с отъемными консолями. Элероны типа «Фрайз» со стопроцентной весовой балансировкой и аэродинамической компенсацией 28,5% со штампованным каркасом и полотняной обшивкой. Для поперечной аэродинамической регулировки на правом элероне был наклепан отгибной нож. Посадочные щитки типа «Шренк» подвешивались на кронштейнах к консолям и центроплану. Консольными щитки были соединены штырями с центропланными. Управление щитками – пневматическое. Посадочный угол выпускащитков – 40±2 град., взлетный – 17±1 град. Стабилизатор двухлонжеронный, цельнометаллический. Рули высоты и направления со стопроцентной весовой компенсацией имели трубчатые лонжероны, штампованный каркас и полотняную обшивку. На рулях высоты имелись управляемые из кабины триммеры. Управление элеронами и рулями высоты – жесткое, рулем направления – тросовое. Для самолета было спроектировано принципиально новое шасси – одностоечное, убиравшееся назад по полету с разворотом колеса 800х260 почти на 90 градусов. Стойки разместили ближе к концевым нервюрам центроплана. Рабочий ход амортизатора – 230 мм, полный – 250. В выпущенном положении стойки удерживались замками на складывающихся подкосах, в убранном – верхними замками. Костыль с колесом 400х150, установленный между 12 и 14 рамами, также убирался назад. В выпущенном и убранном положениях он удерживался замками, находящимися в цилиндре уборки костыля и упорами на фюзеляже. Система уборки-выпуска шасси – пневматическая, ручка управления в кабине пилота на пульте, как на Ил-2. Сигнализация шасси – тремя способами: сигнальные лампы, указатель УШ-40 и «солдатики» на центроплане. Система аварийного выпуска типа Ил-2 состояла из рычага, тросовой проводки и лебедки на правом борту кабины пилота. Вооружен самолет был парой пушек ВЯ с общим боезапасом 300 снарядов. Пушки установили в консолях крыла на стальных спецкреплениях. Боепитание подводилось по жестким рукавам из отсеков крыла, приспособленных под патронный ящик. Стрелянные гильзы и звенья выбрасывались </w:t>
      </w:r>
      <w:r w:rsidRPr="00271E51">
        <w:rPr>
          <w:rFonts w:ascii="Times New Roman" w:hAnsi="Times New Roman"/>
          <w:color w:val="0070C0"/>
          <w:sz w:val="16"/>
          <w:szCs w:val="16"/>
        </w:rPr>
        <w:lastRenderedPageBreak/>
        <w:t>наружу. В хвостовой части фюзеляжа устанавливалась кассета авиационных гранат ДАГ-10. В кассету помещалось 10 гранат АГ-2. В перегрузку предусматривалась наружная подвеска 200 кг бомб Пожалуй, единственным элементом нового самолета, который не годился для штурмовика, был фонарь кабины пилота. Козырек кабины был образован тремя панелями прозрачной брони толщиной 64 мм, закрепленными в алюминиевом каркасе. При этом лобовая, с углом наклона от вертикали около 50 град., имела вид перевернутой трапеции с верхним основанием в 435 мм и нижним 360 мм. Вероятно, это было сделано для улучшения обзора в передней полусфере. Подвижная створка, оснащенная системой аварийного сброса, откидывалась целиком на правый борт, в задней части с боков была прикрыта 6 мм броней и сверху имела 8 мм бронезаголовник. Задняя небронированная часть фонаря имела два окна из плексигласа для обеспечения обзора. Сохранилась копия теоретического чертежа фонаря. Он был разработан 29 мая и утвержден С.В. Ильюшиным 1 июня (21005).</w:t>
      </w:r>
    </w:p>
    <w:p w14:paraId="2887C659" w14:textId="77777777" w:rsidR="00A907A5" w:rsidRPr="00271E51" w:rsidRDefault="00A907A5" w:rsidP="00271E51">
      <w:pPr>
        <w:spacing w:after="0" w:line="240" w:lineRule="auto"/>
        <w:jc w:val="both"/>
        <w:rPr>
          <w:rFonts w:ascii="Times New Roman" w:hAnsi="Times New Roman"/>
          <w:color w:val="0070C0"/>
          <w:sz w:val="16"/>
          <w:szCs w:val="16"/>
        </w:rPr>
      </w:pPr>
    </w:p>
    <w:p w14:paraId="66DA1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1 июля 1943 г. процент неисправных боевых самолетов в ВВС КА удалось понизить до 11,7%. Причем из общего числа небоеспособных самолетов больше всего - 27,4%, приходилось на долю штурмовиков Ил-2. </w:t>
      </w:r>
    </w:p>
    <w:p w14:paraId="58186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отметим, что при общем по ВВС КА сокращении процента неисправных самолетов количество не ремонтируемых из-за отсутствия запчастей боевых машин почти не изменилось, а даже возросло. Если по состоянию на 10 марта 1943 г. по этой причине не ремонтировалось 37,9% неисправных самолетов, то на I апреля - 41,3%, на 1 мая - 44,3% и на 1 июня - 46,3%.</w:t>
      </w:r>
    </w:p>
    <w:p w14:paraId="3A30BB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Инженеры штурмовых авиаполков и дивизий в своих отчетах указывали, что "большим тормозом в боевой работе" является отсутствие в системе технического снабжения, так называемых "мелочей" (крепежных деталей для силовых узлов шасси, костыльной установки подвески консолей, плоскостей и т.д.). Их приходилось изготавливать в полевых авиаремонтных мастерских ПАРМ-1, на что уходило много времени, так как в большинстве случаев требовалось обеспечить 2-й класс точности обработки деталей и специальную температурную закалку. Отмечалась недостаточно оперативное снабжение частей запчастями и ремонтными групповыми комплектами. По этой причине в частях "практиковалась разделка списанных и ремонтных самолетов на запчасти силами технического состава авиаполков и ПАРМ-1". Предлагалось пересмотреть состав поставляемых промышленностью групповых комплектов Ил-2, поскольку некоторые комплекты были "слишком громоздкими для войны". Кроме этого, требовалось ввести групповые комплекты по отдельным видам полевого ремонта Ил-2: "Практика совер шенно точно определила номенклатуру для восстановления самолета, например, при вынужденных посадках на фюзеляж и т.д.". К сожалению, ничего из этого авиапромышленностью до самого конца войны сделано не было.</w:t>
      </w:r>
    </w:p>
    <w:p w14:paraId="7AA2B2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учитывать, что обеспеченность запчастями воздушных армий все же была более-менее сносной. Тыловые части снабжались запчастями на порядок хуже. Так, из I605 (!) неисправных самолетов ВВС КА по состоянию на I июня 1943 г., не ремонтируемых только лишь из-за нехватки запчастей, 1298 боевых машин находилось в тыловых военных округах, в том числе: 309 Як-1 и Як-7, 99 ЛаГГ-3, 78 Ла-5, 84 Пе-2 и 444 (!) Ил-2.</w:t>
      </w:r>
    </w:p>
    <w:p w14:paraId="4EAC3C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в ВВС КА имелись почти две воздушные армии среднего размера, небоеспособные из-за отсутствия запасных частей. В то же время заводы НКАП перенапрягались сверх всякой меры, форсируя выпуск боевых самолетов. Требования ВВС увеличить поставки в оборотный фонд авиамоторов, запасных частей и ремонтных групповых комплектов, что позволяло бы оперативно восстанавливать имевшуюся материальную часть, руководством НКАП игнорировались. Видимо, было проще "гнать план" по самолетам, чем заниматься трудоемким процессом налаживания выпуска "мелочей" (12020).</w:t>
      </w:r>
    </w:p>
    <w:p w14:paraId="40A2B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ECC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ОКБ-240 передало чертежи истребителя Ил с АМ-42 на завод 1 (1784,22).</w:t>
      </w:r>
    </w:p>
    <w:p w14:paraId="7BC0B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EC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1 июля 1943 г. Заводу (ГС Завод № 456 НКАП, МАП,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 xml:space="preserve">, МОП,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Опытный завод энергетического машиностроения (ОЗЭМ)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/г. Химки Московской обл./) поручено освоение сборки Ил-4 из узлов завода № 39 и № 126 и перевооружение самолетов А-20Ж (08.1944 г.). Летом 1946 г. два Ли-2 переоборудованы в минные тральщики Ли- 2МТ. В течение 1944-46 г. профиль завода менялся несколько раз. Строились снаряды «10Х», сюда была передана трофейная документация по «Хеншель-293А-1» (1947 г.) (11982).</w:t>
      </w:r>
    </w:p>
    <w:p w14:paraId="07293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91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Ком. ВВС писал письмо N 556023 НКАП А.И.Ш.:</w:t>
      </w:r>
    </w:p>
    <w:p w14:paraId="1DE815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директору завода 22 выпускать в счет программы ежемесячно по 30 Пе-2 в варианте разведчика по образцу, отработанному на заводе и оборудованному АК-1, согласно постановлению ГОКО N 2144сс от 6 августа 1942" (1778,229).</w:t>
      </w:r>
    </w:p>
    <w:p w14:paraId="6B9A1B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8A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Ермолаев в письме Нач. НИИ ВВС П.А.Лосюкову указывал, что новый вариант Ер-2 по количеству доставляемых к цели бомб вдвое превосходит Ил-4 и имеет существенные преимущества в скорости полета, как у земли, так и на высоте. Отмечались и недостатки - малая скороподъемность, большая взлетная дистанция, неспособность лететь на одном моторе без потери высоты при массе больше 14200 кг, затруднение рулежки из-за отсутствия регулятора минимальных оборотов, необходимость планирования при посадке (3322,39).</w:t>
      </w:r>
    </w:p>
    <w:p w14:paraId="5686EE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AE0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по 16 июля 1943 на заводе № 19 было поставлено на комиссионное испытание 8 мото</w:t>
      </w:r>
      <w:r w:rsidRPr="00271E51">
        <w:rPr>
          <w:rFonts w:ascii="Times New Roman" w:hAnsi="Times New Roman"/>
          <w:color w:val="000000" w:themeColor="text1"/>
          <w:sz w:val="16"/>
          <w:szCs w:val="16"/>
        </w:rPr>
        <w:softHyphen/>
        <w:t>ров за №№ 8211247, -246, -174, -349, -428, -241, -255, -424. Указанные мо</w:t>
      </w:r>
      <w:r w:rsidRPr="00271E51">
        <w:rPr>
          <w:rFonts w:ascii="Times New Roman" w:hAnsi="Times New Roman"/>
          <w:color w:val="000000" w:themeColor="text1"/>
          <w:sz w:val="16"/>
          <w:szCs w:val="16"/>
        </w:rPr>
        <w:softHyphen/>
        <w:t>торы были сняты с комиссионных ис</w:t>
      </w:r>
      <w:r w:rsidRPr="00271E51">
        <w:rPr>
          <w:rFonts w:ascii="Times New Roman" w:hAnsi="Times New Roman"/>
          <w:color w:val="000000" w:themeColor="text1"/>
          <w:sz w:val="16"/>
          <w:szCs w:val="16"/>
        </w:rPr>
        <w:softHyphen/>
        <w:t>пытаний по следующим дефектам: поломка коленвала - 2 мотора, об</w:t>
      </w:r>
      <w:r w:rsidRPr="00271E51">
        <w:rPr>
          <w:rFonts w:ascii="Times New Roman" w:hAnsi="Times New Roman"/>
          <w:color w:val="000000" w:themeColor="text1"/>
          <w:sz w:val="16"/>
          <w:szCs w:val="16"/>
        </w:rPr>
        <w:softHyphen/>
        <w:t>рыв и трещины гильзы цилиндра - 2 мотора, разрушение ведущей шестер</w:t>
      </w:r>
      <w:r w:rsidRPr="00271E51">
        <w:rPr>
          <w:rFonts w:ascii="Times New Roman" w:hAnsi="Times New Roman"/>
          <w:color w:val="000000" w:themeColor="text1"/>
          <w:sz w:val="16"/>
          <w:szCs w:val="16"/>
        </w:rPr>
        <w:softHyphen/>
        <w:t>ни и поломка зуба сателлита редук</w:t>
      </w:r>
      <w:r w:rsidRPr="00271E51">
        <w:rPr>
          <w:rFonts w:ascii="Times New Roman" w:hAnsi="Times New Roman"/>
          <w:color w:val="000000" w:themeColor="text1"/>
          <w:sz w:val="16"/>
          <w:szCs w:val="16"/>
        </w:rPr>
        <w:softHyphen/>
        <w:t>тора - 1 мотор, разрушение направ</w:t>
      </w:r>
      <w:r w:rsidRPr="00271E51">
        <w:rPr>
          <w:rFonts w:ascii="Times New Roman" w:hAnsi="Times New Roman"/>
          <w:color w:val="000000" w:themeColor="text1"/>
          <w:sz w:val="16"/>
          <w:szCs w:val="16"/>
        </w:rPr>
        <w:softHyphen/>
        <w:t>ляющего аппарата крыльчатки - 1 мотор, обрыв всасывающего клапана - 2 мотора (10723).</w:t>
      </w:r>
    </w:p>
    <w:p w14:paraId="4C2042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AAEF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г. процент неисправных боевых самоле</w:t>
      </w:r>
      <w:r w:rsidRPr="00271E51">
        <w:rPr>
          <w:rFonts w:ascii="Times New Roman" w:hAnsi="Times New Roman"/>
          <w:color w:val="000000" w:themeColor="text1"/>
          <w:sz w:val="16"/>
          <w:szCs w:val="16"/>
        </w:rPr>
        <w:softHyphen/>
        <w:t>тов в ВВС КА удалось понизить до 11,7%. Причем из общего числа небоеспособных самолетов больше всего — 27,4% — приходилось на долю штурмовиков Ил-2.</w:t>
      </w:r>
    </w:p>
    <w:p w14:paraId="14B380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отметим, что при общем по ВВС КА сокращении про</w:t>
      </w:r>
      <w:r w:rsidRPr="00271E51">
        <w:rPr>
          <w:rFonts w:ascii="Times New Roman" w:hAnsi="Times New Roman"/>
          <w:color w:val="000000" w:themeColor="text1"/>
          <w:sz w:val="16"/>
          <w:szCs w:val="16"/>
        </w:rPr>
        <w:softHyphen/>
        <w:t>цента неисправных самолетов количество не ремонтируемых из-за отсутствия запчастей боевых машин почти не изменилось, а даже возросло. Если по состоянию на 10 марта 1943 г. по этой причине не ремонтировалось 37,9% неисправных самолетов, то на 1 апреля — 41,3%, на 1 мая — 44,3% и на 1 июня — 46,3%.</w:t>
      </w:r>
    </w:p>
    <w:p w14:paraId="45604C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Инженеры штурмовых авиаполков и дивизий в своих отче</w:t>
      </w:r>
      <w:r w:rsidRPr="00271E51">
        <w:rPr>
          <w:rFonts w:ascii="Times New Roman" w:hAnsi="Times New Roman"/>
          <w:color w:val="000000" w:themeColor="text1"/>
          <w:sz w:val="16"/>
          <w:szCs w:val="16"/>
        </w:rPr>
        <w:softHyphen/>
        <w:t>тах указывали, что «большим тормозом в боевой работе» явля</w:t>
      </w:r>
      <w:r w:rsidRPr="00271E51">
        <w:rPr>
          <w:rFonts w:ascii="Times New Roman" w:hAnsi="Times New Roman"/>
          <w:color w:val="000000" w:themeColor="text1"/>
          <w:sz w:val="16"/>
          <w:szCs w:val="16"/>
        </w:rPr>
        <w:softHyphen/>
        <w:t>ется отсутствие в системе технического снабжения так назы</w:t>
      </w:r>
      <w:r w:rsidRPr="00271E51">
        <w:rPr>
          <w:rFonts w:ascii="Times New Roman" w:hAnsi="Times New Roman"/>
          <w:color w:val="000000" w:themeColor="text1"/>
          <w:sz w:val="16"/>
          <w:szCs w:val="16"/>
        </w:rPr>
        <w:softHyphen/>
        <w:t>ваемых «мелочей» (крепежных деталей для силовых узлов шас</w:t>
      </w:r>
      <w:r w:rsidRPr="00271E51">
        <w:rPr>
          <w:rFonts w:ascii="Times New Roman" w:hAnsi="Times New Roman"/>
          <w:color w:val="000000" w:themeColor="text1"/>
          <w:sz w:val="16"/>
          <w:szCs w:val="16"/>
        </w:rPr>
        <w:softHyphen/>
        <w:t>си, костыльной установки подвески консолей, плоскостей и т.д.). Их приходилось изготавливать в полевых авиаремонтных мастерских ПАРМ-1, на что уходило много времени, так как в большинстве случаев требовалось обеспечить 2-й класс точно</w:t>
      </w:r>
      <w:r w:rsidRPr="00271E51">
        <w:rPr>
          <w:rFonts w:ascii="Times New Roman" w:hAnsi="Times New Roman"/>
          <w:color w:val="000000" w:themeColor="text1"/>
          <w:sz w:val="16"/>
          <w:szCs w:val="16"/>
        </w:rPr>
        <w:softHyphen/>
        <w:t>сти обработки деталей и специальную температурную закалку. Отмечалось недостаточно оперативное снабжение частей зап</w:t>
      </w:r>
      <w:r w:rsidRPr="00271E51">
        <w:rPr>
          <w:rFonts w:ascii="Times New Roman" w:hAnsi="Times New Roman"/>
          <w:color w:val="000000" w:themeColor="text1"/>
          <w:sz w:val="16"/>
          <w:szCs w:val="16"/>
        </w:rPr>
        <w:softHyphen/>
        <w:t>частями и ремонтными групповыми комплектами. По этой причине в частях «практиковалась разделка списанных и ре</w:t>
      </w:r>
      <w:r w:rsidRPr="00271E51">
        <w:rPr>
          <w:rFonts w:ascii="Times New Roman" w:hAnsi="Times New Roman"/>
          <w:color w:val="000000" w:themeColor="text1"/>
          <w:sz w:val="16"/>
          <w:szCs w:val="16"/>
        </w:rPr>
        <w:softHyphen/>
        <w:t>монтных самолетов на запчасти силами технического состава авиаполков и ПАРМ-1». Предлагалось пересмотреть состав поставляемых промышленностью групповых комплектов Ил-2, поскольку некоторые комплекты были «слишком гро</w:t>
      </w:r>
      <w:r w:rsidRPr="00271E51">
        <w:rPr>
          <w:rFonts w:ascii="Times New Roman" w:hAnsi="Times New Roman"/>
          <w:color w:val="000000" w:themeColor="text1"/>
          <w:sz w:val="16"/>
          <w:szCs w:val="16"/>
        </w:rPr>
        <w:softHyphen/>
        <w:t>моздкими для войны». Кроме этого, требовалось ввести груп</w:t>
      </w:r>
      <w:r w:rsidRPr="00271E51">
        <w:rPr>
          <w:rFonts w:ascii="Times New Roman" w:hAnsi="Times New Roman"/>
          <w:color w:val="000000" w:themeColor="text1"/>
          <w:sz w:val="16"/>
          <w:szCs w:val="16"/>
        </w:rPr>
        <w:softHyphen/>
        <w:t>повые комплекты по отдельным видам полевого ремонта Ил-2: «Практика совершенно точно определила номенклатуру для восстановления самолета, например, при вынужденных посад</w:t>
      </w:r>
      <w:r w:rsidRPr="00271E51">
        <w:rPr>
          <w:rFonts w:ascii="Times New Roman" w:hAnsi="Times New Roman"/>
          <w:color w:val="000000" w:themeColor="text1"/>
          <w:sz w:val="16"/>
          <w:szCs w:val="16"/>
        </w:rPr>
        <w:softHyphen/>
        <w:t>ках на фюзеляж и т.д.». К сожалению, ничего из этого авиа</w:t>
      </w:r>
      <w:r w:rsidRPr="00271E51">
        <w:rPr>
          <w:rFonts w:ascii="Times New Roman" w:hAnsi="Times New Roman"/>
          <w:color w:val="000000" w:themeColor="text1"/>
          <w:sz w:val="16"/>
          <w:szCs w:val="16"/>
        </w:rPr>
        <w:softHyphen/>
        <w:t>промышленностью до самого конца войны сделано не было.</w:t>
      </w:r>
    </w:p>
    <w:p w14:paraId="1A6C4D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учитывать, что обеспеченность запчастями воз</w:t>
      </w:r>
      <w:r w:rsidRPr="00271E51">
        <w:rPr>
          <w:rFonts w:ascii="Times New Roman" w:hAnsi="Times New Roman"/>
          <w:color w:val="000000" w:themeColor="text1"/>
          <w:sz w:val="16"/>
          <w:szCs w:val="16"/>
        </w:rPr>
        <w:softHyphen/>
        <w:t>душных армий все же была более-менее сносной. Тыловые части снабжались запчастями на порядок хуже. Так, из 1605 (!) неис</w:t>
      </w:r>
      <w:r w:rsidRPr="00271E51">
        <w:rPr>
          <w:rFonts w:ascii="Times New Roman" w:hAnsi="Times New Roman"/>
          <w:color w:val="000000" w:themeColor="text1"/>
          <w:sz w:val="16"/>
          <w:szCs w:val="16"/>
        </w:rPr>
        <w:softHyphen/>
        <w:t>правных самолетов ВВС КА по состоянию на 1 июня 1943 г., не ремонтируемых только лишь из-за нехватки запчастей, 1298 бое</w:t>
      </w:r>
      <w:r w:rsidRPr="00271E51">
        <w:rPr>
          <w:rFonts w:ascii="Times New Roman" w:hAnsi="Times New Roman"/>
          <w:color w:val="000000" w:themeColor="text1"/>
          <w:sz w:val="16"/>
          <w:szCs w:val="16"/>
        </w:rPr>
        <w:softHyphen/>
        <w:t>вых машин находилось в тыловых военных округах, в том числе: 309 Як-1 и Як-7,99 ЛаГГ-3, 78 Ла-5, 84 Пе-2 и 444 (!) Ил-2.</w:t>
      </w:r>
    </w:p>
    <w:p w14:paraId="47F03C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в ВВС КА имелись почти две воздушные армии среднего размера, небоеспособные из-за отсутствия за</w:t>
      </w:r>
      <w:r w:rsidRPr="00271E51">
        <w:rPr>
          <w:rFonts w:ascii="Times New Roman" w:hAnsi="Times New Roman"/>
          <w:color w:val="000000" w:themeColor="text1"/>
          <w:sz w:val="16"/>
          <w:szCs w:val="16"/>
        </w:rPr>
        <w:softHyphen/>
        <w:t>пасных частей. В то же время заводы НКАП перенапрягались сверх всякой меры, форсируя выпуск боевых самолетов. Тре</w:t>
      </w:r>
      <w:r w:rsidRPr="00271E51">
        <w:rPr>
          <w:rFonts w:ascii="Times New Roman" w:hAnsi="Times New Roman"/>
          <w:color w:val="000000" w:themeColor="text1"/>
          <w:sz w:val="16"/>
          <w:szCs w:val="16"/>
        </w:rPr>
        <w:softHyphen/>
        <w:t>бования ВВС увеличить поставки в оборотный фонд авиамо</w:t>
      </w:r>
      <w:r w:rsidRPr="00271E51">
        <w:rPr>
          <w:rFonts w:ascii="Times New Roman" w:hAnsi="Times New Roman"/>
          <w:color w:val="000000" w:themeColor="text1"/>
          <w:sz w:val="16"/>
          <w:szCs w:val="16"/>
        </w:rPr>
        <w:softHyphen/>
        <w:t>торов, запасных частей и ремонтных групповых комплектов, что позволяло бы оперативно восстанавливать имевшуюся ма</w:t>
      </w:r>
      <w:r w:rsidRPr="00271E51">
        <w:rPr>
          <w:rFonts w:ascii="Times New Roman" w:hAnsi="Times New Roman"/>
          <w:color w:val="000000" w:themeColor="text1"/>
          <w:sz w:val="16"/>
          <w:szCs w:val="16"/>
        </w:rPr>
        <w:softHyphen/>
        <w:t>териальную часть, руководством НКАП игнорировались. Ви</w:t>
      </w:r>
      <w:r w:rsidRPr="00271E51">
        <w:rPr>
          <w:rFonts w:ascii="Times New Roman" w:hAnsi="Times New Roman"/>
          <w:color w:val="000000" w:themeColor="text1"/>
          <w:sz w:val="16"/>
          <w:szCs w:val="16"/>
        </w:rPr>
        <w:softHyphen/>
        <w:t>димо, было проще «гнать план» по самолетам, чем заниматься трудоемким процессом налаживания выпуска «мелочей».</w:t>
      </w:r>
    </w:p>
    <w:p w14:paraId="663AF0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стоит затронуть и такой приметный вопрос, как взаи</w:t>
      </w:r>
      <w:r w:rsidRPr="00271E51">
        <w:rPr>
          <w:rFonts w:ascii="Times New Roman" w:hAnsi="Times New Roman"/>
          <w:color w:val="000000" w:themeColor="text1"/>
          <w:sz w:val="16"/>
          <w:szCs w:val="16"/>
        </w:rPr>
        <w:softHyphen/>
        <w:t>мозаменяемость агрегатов самолетов Ил-2, построенных раз</w:t>
      </w:r>
      <w:r w:rsidRPr="00271E51">
        <w:rPr>
          <w:rFonts w:ascii="Times New Roman" w:hAnsi="Times New Roman"/>
          <w:color w:val="000000" w:themeColor="text1"/>
          <w:sz w:val="16"/>
          <w:szCs w:val="16"/>
        </w:rPr>
        <w:softHyphen/>
        <w:t>ными заводами.</w:t>
      </w:r>
    </w:p>
    <w:p w14:paraId="7E27F9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Теоретически все серийные Ил-2, изготовляемые по одному комплекту чертежей, исходящему от завода № 18, как головного по серийному производству штурмовика, должны быть строго одинаковы. Практически так никогда не было. Имелось десяток причин, которые в своей сумме нарушали этот принцип. Само</w:t>
      </w:r>
      <w:r w:rsidRPr="00271E51">
        <w:rPr>
          <w:rFonts w:ascii="Times New Roman" w:hAnsi="Times New Roman"/>
          <w:color w:val="000000" w:themeColor="text1"/>
          <w:sz w:val="16"/>
          <w:szCs w:val="16"/>
        </w:rPr>
        <w:softHyphen/>
        <w:t>леты Ил-2 разных заводов отличались, и притом значительно. Это создавало определенные трудности при организации экс</w:t>
      </w:r>
      <w:r w:rsidRPr="00271E51">
        <w:rPr>
          <w:rFonts w:ascii="Times New Roman" w:hAnsi="Times New Roman"/>
          <w:color w:val="000000" w:themeColor="text1"/>
          <w:sz w:val="16"/>
          <w:szCs w:val="16"/>
        </w:rPr>
        <w:softHyphen/>
        <w:t>плуатации и ремонта самолетов в строевых частях. Командую</w:t>
      </w:r>
      <w:r w:rsidRPr="00271E51">
        <w:rPr>
          <w:rFonts w:ascii="Times New Roman" w:hAnsi="Times New Roman"/>
          <w:color w:val="000000" w:themeColor="text1"/>
          <w:sz w:val="16"/>
          <w:szCs w:val="16"/>
        </w:rPr>
        <w:softHyphen/>
        <w:t>щим ВВС было даже дано указание комплектовать штурмовые авиачасти и соединения преимущественно самолетами с одного завода (11474,275).</w:t>
      </w:r>
    </w:p>
    <w:p w14:paraId="5EAD78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F7AD4" w14:textId="77777777" w:rsidR="006B394D" w:rsidRPr="00271E51" w:rsidRDefault="006B394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 июля 1943 г. приказом Яковлева испытания Як-9 М-107 самолета были прекращены «до отработки вин</w:t>
      </w:r>
      <w:r w:rsidRPr="00271E51">
        <w:rPr>
          <w:color w:val="000000" w:themeColor="text1"/>
          <w:sz w:val="16"/>
          <w:szCs w:val="16"/>
        </w:rPr>
        <w:softHyphen/>
        <w:t>томоторной группы на серийном самолете Як-9». Кроме этого, решили доработать машину с учетом результатов продувок в аэродинамической тру</w:t>
      </w:r>
      <w:r w:rsidRPr="00271E51">
        <w:rPr>
          <w:color w:val="000000" w:themeColor="text1"/>
          <w:sz w:val="16"/>
          <w:szCs w:val="16"/>
        </w:rPr>
        <w:softHyphen/>
        <w:t>бе Т-106 ЦАГИ опытного самолета Як-1М, а также усилить крыло и заменить полотняную обшивку фанерной.</w:t>
      </w:r>
    </w:p>
    <w:p w14:paraId="4717FF9E" w14:textId="77777777" w:rsidR="006B394D" w:rsidRPr="00271E51" w:rsidRDefault="006B394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Между тем попытка «устранить» тряску при работе мотора на серийных Як-9 простым пере</w:t>
      </w:r>
      <w:r w:rsidRPr="00271E51">
        <w:rPr>
          <w:color w:val="000000" w:themeColor="text1"/>
          <w:sz w:val="16"/>
          <w:szCs w:val="16"/>
        </w:rPr>
        <w:softHyphen/>
        <w:t>бором планеров самолетов и моторов успехом не увенчалась. Моторы и подмоторные рамы нещадно трясло. Наибольшей амплитуды тряска достигала при оборотах мотора около 2600—2800 об/мин. По характеру колебаний было понятно, что это ре</w:t>
      </w:r>
      <w:r w:rsidRPr="00271E51">
        <w:rPr>
          <w:color w:val="000000" w:themeColor="text1"/>
          <w:sz w:val="16"/>
          <w:szCs w:val="16"/>
        </w:rPr>
        <w:softHyphen/>
        <w:t>зонанс. К тому же все моторы работали с перебоя</w:t>
      </w:r>
      <w:r w:rsidRPr="00271E51">
        <w:rPr>
          <w:color w:val="000000" w:themeColor="text1"/>
          <w:sz w:val="16"/>
          <w:szCs w:val="16"/>
        </w:rPr>
        <w:softHyphen/>
        <w:t>ми и внезапными остановками, температура воды и масла — выше допустимого предела.</w:t>
      </w:r>
    </w:p>
    <w:p w14:paraId="7EB619C0" w14:textId="77777777" w:rsidR="006B394D" w:rsidRPr="00271E51" w:rsidRDefault="006B394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Стало ясно, что установка М-107А на серийный планер быстрого результата не даст. Для успе</w:t>
      </w:r>
      <w:r w:rsidRPr="00271E51">
        <w:rPr>
          <w:color w:val="000000" w:themeColor="text1"/>
          <w:sz w:val="16"/>
          <w:szCs w:val="16"/>
        </w:rPr>
        <w:softHyphen/>
        <w:t>ха требовалось одновременно доработать мотор и внести изменения в конструкцию самолета так, чтобы «увести» резонансные явления из обла</w:t>
      </w:r>
      <w:r w:rsidRPr="00271E51">
        <w:rPr>
          <w:color w:val="000000" w:themeColor="text1"/>
          <w:sz w:val="16"/>
          <w:szCs w:val="16"/>
        </w:rPr>
        <w:softHyphen/>
        <w:t>сти рабочих оборотов М-107А или ослабить их до уровня, обеспечивающего безопасный полет. Но для этого требовалось время, которого в распоря</w:t>
      </w:r>
      <w:r w:rsidRPr="00271E51">
        <w:rPr>
          <w:color w:val="000000" w:themeColor="text1"/>
          <w:sz w:val="16"/>
          <w:szCs w:val="16"/>
        </w:rPr>
        <w:softHyphen/>
        <w:t>жении Яковлева не было (17500).</w:t>
      </w:r>
    </w:p>
    <w:p w14:paraId="2B06D449" w14:textId="77777777" w:rsidR="006B394D" w:rsidRPr="00271E51" w:rsidRDefault="006B394D" w:rsidP="00271E51">
      <w:pPr>
        <w:spacing w:after="0" w:line="240" w:lineRule="auto"/>
        <w:jc w:val="both"/>
        <w:rPr>
          <w:rFonts w:ascii="Times New Roman" w:hAnsi="Times New Roman"/>
          <w:color w:val="000000" w:themeColor="text1"/>
          <w:sz w:val="16"/>
          <w:szCs w:val="16"/>
        </w:rPr>
      </w:pPr>
    </w:p>
    <w:p w14:paraId="400ABFF9" w14:textId="77777777" w:rsidR="006B394D" w:rsidRPr="00271E51" w:rsidRDefault="006B394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1 июля 1943 г. за</w:t>
      </w:r>
      <w:r w:rsidRPr="00271E51">
        <w:rPr>
          <w:color w:val="000000" w:themeColor="text1"/>
          <w:sz w:val="16"/>
          <w:szCs w:val="16"/>
        </w:rPr>
        <w:softHyphen/>
        <w:t>вод № 51 получил макетный мотор М-107А и уста</w:t>
      </w:r>
      <w:r w:rsidRPr="00271E51">
        <w:rPr>
          <w:color w:val="000000" w:themeColor="text1"/>
          <w:sz w:val="16"/>
          <w:szCs w:val="16"/>
        </w:rPr>
        <w:softHyphen/>
        <w:t>новил его на ИТП (М-1). Вскоре ожидался летный экземпляр М-107А новой редакции. С новым мо</w:t>
      </w:r>
      <w:r w:rsidRPr="00271E51">
        <w:rPr>
          <w:color w:val="000000" w:themeColor="text1"/>
          <w:sz w:val="16"/>
          <w:szCs w:val="16"/>
        </w:rPr>
        <w:softHyphen/>
        <w:t>тором рассчитывали получить следующие летные данные: максимальная скорость 590 км/ч — у зем</w:t>
      </w:r>
      <w:r w:rsidRPr="00271E51">
        <w:rPr>
          <w:color w:val="000000" w:themeColor="text1"/>
          <w:sz w:val="16"/>
          <w:szCs w:val="16"/>
        </w:rPr>
        <w:softHyphen/>
        <w:t>ли и 700 км/ч — на высоте 6200 м, посадочная скорость — 140 км/ч, время подъема на высоту 5000 м — 5,0 мин, скоростная дальность полета на скорости 0,9 максимальной — 725 км (в перегрузку 1000 км). На государственные испытания самолет планировали предъявить к 1 ноября 1943 г.</w:t>
      </w:r>
    </w:p>
    <w:p w14:paraId="777389EC" w14:textId="77777777" w:rsidR="006B394D" w:rsidRPr="00271E51" w:rsidRDefault="006B394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Однако заместитель наркома авиационной промышленности А. С. Яковлев своим приказом от 13 июля потребовал провести статические испыта</w:t>
      </w:r>
      <w:r w:rsidRPr="00271E51">
        <w:rPr>
          <w:color w:val="000000" w:themeColor="text1"/>
          <w:sz w:val="16"/>
          <w:szCs w:val="16"/>
        </w:rPr>
        <w:softHyphen/>
        <w:t>ния ИТП (М-1): «Ввиду того что ранее проведенные статические испытания самолета ИТП с нагрузкой до 67% расчетного значения нагрузки недостаточ</w:t>
      </w:r>
      <w:r w:rsidRPr="00271E51">
        <w:rPr>
          <w:color w:val="000000" w:themeColor="text1"/>
          <w:sz w:val="16"/>
          <w:szCs w:val="16"/>
        </w:rPr>
        <w:softHyphen/>
        <w:t>но по заключению ЦАГИ для суждения об истинной прочности самолета, предлагаю провести полные статические испытания самолета ИТП с нагрузкой до 100% расчетного значения» (17500).</w:t>
      </w:r>
    </w:p>
    <w:p w14:paraId="267F141A" w14:textId="77777777" w:rsidR="006B394D" w:rsidRPr="00271E51" w:rsidRDefault="006B394D" w:rsidP="00271E51">
      <w:pPr>
        <w:spacing w:after="0" w:line="240" w:lineRule="auto"/>
        <w:jc w:val="both"/>
        <w:rPr>
          <w:rFonts w:ascii="Times New Roman" w:hAnsi="Times New Roman"/>
          <w:color w:val="000000" w:themeColor="text1"/>
          <w:sz w:val="16"/>
          <w:szCs w:val="16"/>
        </w:rPr>
      </w:pPr>
    </w:p>
    <w:p w14:paraId="7432FC8A"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30F24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4CC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г. танки ИС сделали, но даже на этапе изготовления опытного образца возникли трудности, причем там, где их никто не ждал. Так, выяснилось, что 107-мм боеприпасы были сняты с производства еще в начале 1942 г., а возобновлять таковое не позволяет дефицит оборудования (тем более что вместо одного 107-мм выстрела можно было сделать полтора-два калибра 85-мм или три-четыре 76-мм). В имевшихся на складах запасах 107-мм выстрелов преоб</w:t>
      </w:r>
      <w:r w:rsidRPr="00271E51">
        <w:rPr>
          <w:rFonts w:ascii="Times New Roman" w:hAnsi="Times New Roman"/>
          <w:color w:val="000000" w:themeColor="text1"/>
          <w:sz w:val="16"/>
          <w:szCs w:val="16"/>
        </w:rPr>
        <w:softHyphen/>
        <w:t>ладали гранаты дореволюционного выпуска и шрапнели, совершенно непригодные не только для борьбы с танками, но и для разрушения полевых укреплений. ИС-4 внезапно оказался разоруженным (11135).</w:t>
      </w:r>
    </w:p>
    <w:p w14:paraId="6E1421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60A5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г. для проведения совместных испытаний, было собрано два танка ИС (с вооружением из 85-мм пушки С-31 и 85-мм пушки Д-5Т), а 19 июля завод отгрузил два танка КВ-1С, причем тот, что нес 85-мм пушку Д-5Т, получил ее вместе с башней третье</w:t>
      </w:r>
      <w:r w:rsidRPr="00271E51">
        <w:rPr>
          <w:rFonts w:ascii="Times New Roman" w:hAnsi="Times New Roman"/>
          <w:color w:val="000000" w:themeColor="text1"/>
          <w:sz w:val="16"/>
          <w:szCs w:val="16"/>
        </w:rPr>
        <w:softHyphen/>
        <w:t>го танка ИС и таким образом являлся новым изделием, именовавшимся «Объект 239» (11135).</w:t>
      </w:r>
    </w:p>
    <w:p w14:paraId="37AA16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DFC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г. вышел приказ о совместном испытанияи трех танков ИС и двух танков КВ-1С, вооруженных 85-мм пушками, был выполнен почти полностью. Причем изготавливая «Объект 239» ки-ровцы сумели втиснуть башню с погоном 1800-мм на крышу подбашенной коробки танка КВ-1С. Несмотря на то, что этот танк был как бы «незаконным», он выглядел предпочтительнее, чем «Объект 238», так как расширен</w:t>
      </w:r>
      <w:r w:rsidRPr="00271E51">
        <w:rPr>
          <w:rFonts w:ascii="Times New Roman" w:hAnsi="Times New Roman"/>
          <w:color w:val="000000" w:themeColor="text1"/>
          <w:sz w:val="16"/>
          <w:szCs w:val="16"/>
        </w:rPr>
        <w:softHyphen/>
        <w:t>ная башня давала возможность экипажу нормально функ</w:t>
      </w:r>
      <w:r w:rsidRPr="00271E51">
        <w:rPr>
          <w:rFonts w:ascii="Times New Roman" w:hAnsi="Times New Roman"/>
          <w:color w:val="000000" w:themeColor="text1"/>
          <w:sz w:val="16"/>
          <w:szCs w:val="16"/>
        </w:rPr>
        <w:softHyphen/>
        <w:t>ционировать в боевом отделении (11135).</w:t>
      </w:r>
    </w:p>
    <w:p w14:paraId="006698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9F3B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начались заводские испытания нового танка ИС, изготовленного всего за полтора месяца, и продолжались две недели. Испытания проводились пробегом на маршру</w:t>
      </w:r>
      <w:r w:rsidRPr="00271E51">
        <w:rPr>
          <w:rFonts w:ascii="Times New Roman" w:hAnsi="Times New Roman"/>
          <w:color w:val="000000" w:themeColor="text1"/>
          <w:sz w:val="16"/>
          <w:szCs w:val="16"/>
        </w:rPr>
        <w:softHyphen/>
        <w:t>те Челябинск-Чебаркуль. С 19 по 23 июля танк ИС подвер</w:t>
      </w:r>
      <w:r w:rsidRPr="00271E51">
        <w:rPr>
          <w:rFonts w:ascii="Times New Roman" w:hAnsi="Times New Roman"/>
          <w:color w:val="000000" w:themeColor="text1"/>
          <w:sz w:val="16"/>
          <w:szCs w:val="16"/>
        </w:rPr>
        <w:softHyphen/>
        <w:t>гся дополнительным испытаниям, в ходе которых состоял</w:t>
      </w:r>
      <w:r w:rsidRPr="00271E51">
        <w:rPr>
          <w:rFonts w:ascii="Times New Roman" w:hAnsi="Times New Roman"/>
          <w:color w:val="000000" w:themeColor="text1"/>
          <w:sz w:val="16"/>
          <w:szCs w:val="16"/>
        </w:rPr>
        <w:softHyphen/>
        <w:t>ся отстрел 85-мм пушки С-31 в тире ЧКЗ.</w:t>
      </w:r>
    </w:p>
    <w:p w14:paraId="7C383B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отчете по заводским испытаниям отмечалось, что по сравнению с танком КВ-1С новый танк имеет лучшую про</w:t>
      </w:r>
      <w:r w:rsidRPr="00271E51">
        <w:rPr>
          <w:rFonts w:ascii="Times New Roman" w:hAnsi="Times New Roman"/>
          <w:color w:val="000000" w:themeColor="text1"/>
          <w:sz w:val="16"/>
          <w:szCs w:val="16"/>
        </w:rPr>
        <w:softHyphen/>
        <w:t>ходимость и подвижность на местности. По сравнению с танком «Объект 233» новая машина имеет более плавный ход (продольные колебания и раскачивание корпуса значитель</w:t>
      </w:r>
      <w:r w:rsidRPr="00271E51">
        <w:rPr>
          <w:rFonts w:ascii="Times New Roman" w:hAnsi="Times New Roman"/>
          <w:color w:val="000000" w:themeColor="text1"/>
          <w:sz w:val="16"/>
          <w:szCs w:val="16"/>
        </w:rPr>
        <w:softHyphen/>
        <w:t>но меньше) и при той же заправке проходит большие рассто</w:t>
      </w:r>
      <w:r w:rsidRPr="00271E51">
        <w:rPr>
          <w:rFonts w:ascii="Times New Roman" w:hAnsi="Times New Roman"/>
          <w:color w:val="000000" w:themeColor="text1"/>
          <w:sz w:val="16"/>
          <w:szCs w:val="16"/>
        </w:rPr>
        <w:softHyphen/>
        <w:t>яния. При управлении танка водители испытывают меньшие нагрузки. Мотор не перегревался и не выходил из строя, трансмиссия и система очистки воздуха работали нормально.</w:t>
      </w:r>
    </w:p>
    <w:p w14:paraId="145EF5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 по итогам испытаний был в целом положитель</w:t>
      </w:r>
      <w:r w:rsidRPr="00271E51">
        <w:rPr>
          <w:rFonts w:ascii="Times New Roman" w:hAnsi="Times New Roman"/>
          <w:color w:val="000000" w:themeColor="text1"/>
          <w:sz w:val="16"/>
          <w:szCs w:val="16"/>
        </w:rPr>
        <w:softHyphen/>
        <w:t>ный. По динамическим качествам ИС превышал показате</w:t>
      </w:r>
      <w:r w:rsidRPr="00271E51">
        <w:rPr>
          <w:rFonts w:ascii="Times New Roman" w:hAnsi="Times New Roman"/>
          <w:color w:val="000000" w:themeColor="text1"/>
          <w:sz w:val="16"/>
          <w:szCs w:val="16"/>
        </w:rPr>
        <w:softHyphen/>
        <w:t>ли не только КВ-85, но и Т-34, оборудованного 4-ск КПП, обзор из танка улучшился как с места командира, так и во</w:t>
      </w:r>
      <w:r w:rsidRPr="00271E51">
        <w:rPr>
          <w:rFonts w:ascii="Times New Roman" w:hAnsi="Times New Roman"/>
          <w:color w:val="000000" w:themeColor="text1"/>
          <w:sz w:val="16"/>
          <w:szCs w:val="16"/>
        </w:rPr>
        <w:softHyphen/>
        <w:t>дителя, утомляемость экипажа снизилась.</w:t>
      </w:r>
    </w:p>
    <w:p w14:paraId="1A0098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были отмечены и недостатки: неудачное размещение механика-водителя, высокое расположение педали главного фрикциона, возможность засорения ПМП пылью, отсутст</w:t>
      </w:r>
      <w:r w:rsidRPr="00271E51">
        <w:rPr>
          <w:rFonts w:ascii="Times New Roman" w:hAnsi="Times New Roman"/>
          <w:color w:val="000000" w:themeColor="text1"/>
          <w:sz w:val="16"/>
          <w:szCs w:val="16"/>
        </w:rPr>
        <w:softHyphen/>
        <w:t>вие доступа к ПМП в полевых условиях, повышенный износ зубчатого венца погона башни, плохое уплотнение верхних люков (особенно трансмиссионных), куда могла затечь как вода, так и зажигательная жидкость, отсутствие освещения МТО, вибрация водяного радиатора...</w:t>
      </w:r>
    </w:p>
    <w:p w14:paraId="23EBBB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танк проходил заводские испытания с 22 по 30 июля 1943 пив целом подтвердил итоги, сделанные по ре</w:t>
      </w:r>
      <w:r w:rsidRPr="00271E51">
        <w:rPr>
          <w:rFonts w:ascii="Times New Roman" w:hAnsi="Times New Roman"/>
          <w:color w:val="000000" w:themeColor="text1"/>
          <w:sz w:val="16"/>
          <w:szCs w:val="16"/>
        </w:rPr>
        <w:softHyphen/>
        <w:t>зультатам испытаний первого.</w:t>
      </w:r>
    </w:p>
    <w:p w14:paraId="2581BF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срочности задания полигонные испытания двух танков ИС и одного КВ-85 («Объект 238'», как уже говори</w:t>
      </w:r>
      <w:r w:rsidRPr="00271E51">
        <w:rPr>
          <w:rFonts w:ascii="Times New Roman" w:hAnsi="Times New Roman"/>
          <w:color w:val="000000" w:themeColor="text1"/>
          <w:sz w:val="16"/>
          <w:szCs w:val="16"/>
        </w:rPr>
        <w:softHyphen/>
        <w:t>лось, был снят с испытаний) проходили с 2 по 15 августа. В ходе их танк ИС № 1 прошел 866 км, № 2 — свыше 600 км, КВ-85 - 285 км.</w:t>
      </w:r>
    </w:p>
    <w:p w14:paraId="7D99A4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Совместные испытания артсистем С-31 и Д-5Т показа</w:t>
      </w:r>
      <w:r w:rsidRPr="00271E51">
        <w:rPr>
          <w:rFonts w:ascii="Times New Roman" w:hAnsi="Times New Roman"/>
          <w:color w:val="000000" w:themeColor="text1"/>
          <w:sz w:val="16"/>
          <w:szCs w:val="16"/>
        </w:rPr>
        <w:softHyphen/>
        <w:t>ли, что по основным параметрам (точность стрельбы и куч</w:t>
      </w:r>
      <w:r w:rsidRPr="00271E51">
        <w:rPr>
          <w:rFonts w:ascii="Times New Roman" w:hAnsi="Times New Roman"/>
          <w:color w:val="000000" w:themeColor="text1"/>
          <w:sz w:val="16"/>
          <w:szCs w:val="16"/>
        </w:rPr>
        <w:softHyphen/>
        <w:t>ность на дистанции 500-600 м) они аналогичны, но послед</w:t>
      </w:r>
      <w:r w:rsidRPr="00271E51">
        <w:rPr>
          <w:rFonts w:ascii="Times New Roman" w:hAnsi="Times New Roman"/>
          <w:color w:val="000000" w:themeColor="text1"/>
          <w:sz w:val="16"/>
          <w:szCs w:val="16"/>
        </w:rPr>
        <w:softHyphen/>
        <w:t>няя имеет ряд преимуществ, связанных с меньшей высотой линии огня, удобстве обслуживания и меньшей вибрацией артсистемы (это сказывалось при стрельбе на расстоянии свыше 1000 м). Больше понравилась пушка Д-5Т меньшей массой и отсутствием дополнительных грузов для уравно</w:t>
      </w:r>
      <w:r w:rsidRPr="00271E51">
        <w:rPr>
          <w:rFonts w:ascii="Times New Roman" w:hAnsi="Times New Roman"/>
          <w:color w:val="000000" w:themeColor="text1"/>
          <w:sz w:val="16"/>
          <w:szCs w:val="16"/>
        </w:rPr>
        <w:softHyphen/>
        <w:t>вешивания ствола, простотой в обслуживании.</w:t>
      </w:r>
    </w:p>
    <w:p w14:paraId="0A42A5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попытка пробить 102-мм броню танка «Тигр» под углом 30° на расстоянии 500 м не удалось ни из пушки Д-5Т, ни из С-31. Даже на расстоянии 100 м пробитие полу</w:t>
      </w:r>
      <w:r w:rsidRPr="00271E51">
        <w:rPr>
          <w:rFonts w:ascii="Times New Roman" w:hAnsi="Times New Roman"/>
          <w:color w:val="000000" w:themeColor="text1"/>
          <w:sz w:val="16"/>
          <w:szCs w:val="16"/>
        </w:rPr>
        <w:softHyphen/>
        <w:t>чалось «неполноценным», тогда как проба бортовой брони была легко пронизана с 600 м. Проверочные расчеты НИИ-48 подтвердили, что существующим бронебойным снарядом указанные орудия под углом 30° могут пробить броню указанной твердости на расстоянии 100 м толщиной лишь 97^98 мм, а на дистанции 600 м - 88 мм. Тем не менее, это был очень многообещающий результат.</w:t>
      </w:r>
    </w:p>
    <w:p w14:paraId="39D212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итогам испытаний Государственная комиссия реко</w:t>
      </w:r>
      <w:r w:rsidRPr="00271E51">
        <w:rPr>
          <w:rFonts w:ascii="Times New Roman" w:hAnsi="Times New Roman"/>
          <w:color w:val="000000" w:themeColor="text1"/>
          <w:sz w:val="16"/>
          <w:szCs w:val="16"/>
        </w:rPr>
        <w:softHyphen/>
        <w:t>мендовала танк ИС для принятия на вооружение со следу</w:t>
      </w:r>
      <w:r w:rsidRPr="00271E51">
        <w:rPr>
          <w:rFonts w:ascii="Times New Roman" w:hAnsi="Times New Roman"/>
          <w:color w:val="000000" w:themeColor="text1"/>
          <w:sz w:val="16"/>
          <w:szCs w:val="16"/>
        </w:rPr>
        <w:softHyphen/>
        <w:t>ющими доработками:</w:t>
      </w:r>
    </w:p>
    <w:p w14:paraId="4B2658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Ввести гидравлический механизм поворота башни по типу примененных на американском танке М4А2.</w:t>
      </w:r>
    </w:p>
    <w:p w14:paraId="190F67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Дополнить командирскую башенку зенитной турелью.</w:t>
      </w:r>
    </w:p>
    <w:p w14:paraId="7EF78D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Предусмотреть возможность перевооружения танка ИС 100-мм и 122-мм пушками.</w:t>
      </w:r>
    </w:p>
    <w:p w14:paraId="79FD91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Предусмотреть возможность дополнения вооружения танка казнозарядным 50-мм минометом для самообо</w:t>
      </w:r>
      <w:r w:rsidRPr="00271E51">
        <w:rPr>
          <w:rFonts w:ascii="Times New Roman" w:hAnsi="Times New Roman"/>
          <w:color w:val="000000" w:themeColor="text1"/>
          <w:sz w:val="16"/>
          <w:szCs w:val="16"/>
        </w:rPr>
        <w:softHyphen/>
        <w:t>роны танка от пехоты противника.</w:t>
      </w:r>
    </w:p>
    <w:p w14:paraId="0FC274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Отработать конструкцию ломающегося прицела «не</w:t>
      </w:r>
      <w:r w:rsidRPr="00271E51">
        <w:rPr>
          <w:rFonts w:ascii="Times New Roman" w:hAnsi="Times New Roman"/>
          <w:color w:val="000000" w:themeColor="text1"/>
          <w:sz w:val="16"/>
          <w:szCs w:val="16"/>
        </w:rPr>
        <w:softHyphen/>
        <w:t>мецкого типа».</w:t>
      </w:r>
    </w:p>
    <w:p w14:paraId="31F086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Предусмотреть возможность размещения командира справа от орудия, а заряжающего слева («под правую руку»).</w:t>
      </w:r>
    </w:p>
    <w:p w14:paraId="736A31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Изготовить и испытать башню и корпус танка из брони высокой твердости с сохранением толщин.</w:t>
      </w:r>
    </w:p>
    <w:p w14:paraId="4C0063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Спроектировать и испытать на танке ИС двухтактный дизельный двигатель мощностью 800 л.с.</w:t>
      </w:r>
    </w:p>
    <w:p w14:paraId="45E7EC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Испытать гусеничные цепи с резинометаллическими</w:t>
      </w:r>
    </w:p>
    <w:p w14:paraId="6D6848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сайлент-блоками американского типа (11135).</w:t>
      </w:r>
    </w:p>
    <w:p w14:paraId="54BD04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63DA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г. была подготовлена ДОКЛАДНАЯ ЗАПИСКА НАЧАЛЬНИКА ТАНКОВОГО УПРАВЛЕНИЯ НАЧАЛЬНИКУ ГБТУ КА ПО ВОПРОСУ ПРЕДЛОЖЕНИЙ НАЧАЛЬНИКА ШТАБА БТ и МВ ЗАПАДНОГО ФРОНТА</w:t>
      </w:r>
    </w:p>
    <w:p w14:paraId="7BC44A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по вопросу предложений начальника штаба БТ и МВ Зап. фронта гвардии пол</w:t>
      </w:r>
      <w:r w:rsidRPr="00271E51">
        <w:rPr>
          <w:rFonts w:ascii="Times New Roman" w:hAnsi="Times New Roman"/>
          <w:color w:val="000000" w:themeColor="text1"/>
          <w:sz w:val="16"/>
          <w:szCs w:val="16"/>
        </w:rPr>
        <w:softHyphen/>
        <w:t>ковника т. Омелюстного в части мероприятий по улучшению использования танкового оружия в Отечественной войне.</w:t>
      </w:r>
    </w:p>
    <w:p w14:paraId="3476BD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Установить на танках КВ и Т-34 зеркальные перископы для стрелка радиста с целью улучше</w:t>
      </w:r>
      <w:r w:rsidRPr="00271E51">
        <w:rPr>
          <w:rFonts w:ascii="Times New Roman" w:hAnsi="Times New Roman"/>
          <w:color w:val="000000" w:themeColor="text1"/>
          <w:sz w:val="16"/>
          <w:szCs w:val="16"/>
        </w:rPr>
        <w:softHyphen/>
        <w:t>ния наблюдения за полем боя.</w:t>
      </w:r>
    </w:p>
    <w:p w14:paraId="4A42F5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танках КВ-1с между стрелком радистом и механиком водителем устанавливается зеркальный перископ, пользуясь которым стрелок радист может наблюдать за полем боя помимо наблюдения через диоптр пулемета. Кроме того, в настоящее время прорабатывается вопрос об установке у стрел</w:t>
      </w:r>
      <w:r w:rsidRPr="00271E51">
        <w:rPr>
          <w:rFonts w:ascii="Times New Roman" w:hAnsi="Times New Roman"/>
          <w:color w:val="000000" w:themeColor="text1"/>
          <w:sz w:val="16"/>
          <w:szCs w:val="16"/>
        </w:rPr>
        <w:softHyphen/>
        <w:t>ка радиста танков КВ-1с и Т-34 телескопического прицела ППУ-8 с полем зрения равным 26° - 28°.</w:t>
      </w:r>
    </w:p>
    <w:p w14:paraId="05C1DD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танке Т-34 для придания пулемету угла склонения и быстроты действия с ним изменить пружину входного люка радиста за счет уменьшения ее кривой поверхности.</w:t>
      </w:r>
    </w:p>
    <w:p w14:paraId="7952F0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танке Т-34 входного люка радиста не имеется.</w:t>
      </w:r>
    </w:p>
    <w:p w14:paraId="7DD37E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танке КВ-1с уравновешивающее устройство ограничивало угол снижения пулемета радиста, в 1942 г. конструкция его была изменена и в настоящее время пулемет радиста имеет достаточный угол снижения. Кроме того, в настоящее время на Кировском заводе изготовляется опытный обра</w:t>
      </w:r>
      <w:r w:rsidRPr="00271E51">
        <w:rPr>
          <w:rFonts w:ascii="Times New Roman" w:hAnsi="Times New Roman"/>
          <w:color w:val="000000" w:themeColor="text1"/>
          <w:sz w:val="16"/>
          <w:szCs w:val="16"/>
        </w:rPr>
        <w:softHyphen/>
        <w:t>зец нового люка радиста, испытания которого в ближайшее время будут проводиться.</w:t>
      </w:r>
    </w:p>
    <w:p w14:paraId="35B743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На танке Т-60 на кожухе пушки «Швак» установить звенеотражатель для устранения задерж</w:t>
      </w:r>
      <w:r w:rsidRPr="00271E51">
        <w:rPr>
          <w:rFonts w:ascii="Times New Roman" w:hAnsi="Times New Roman"/>
          <w:color w:val="000000" w:themeColor="text1"/>
          <w:sz w:val="16"/>
          <w:szCs w:val="16"/>
        </w:rPr>
        <w:softHyphen/>
        <w:t>ки при стрельбе в результате попаданий звеньев под ленту.</w:t>
      </w:r>
    </w:p>
    <w:p w14:paraId="52A53D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Т-60 с производства в 1941 г. снят и произвести установку звенеотражателей на танках Т-60, имеющихся в войсках, считаю нецелесообразным.</w:t>
      </w:r>
    </w:p>
    <w:p w14:paraId="282899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танке Т-70 заменить прицел ТОП прицелом ТМФ. Прицел ТОП устанавливается только на танках Т-70 первого выпуска, в настоящее время на танке Т-70 устанавливается прицел ТМФ.</w:t>
      </w:r>
    </w:p>
    <w:p w14:paraId="388C05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Укладку снарядов вместо кассетной заменить ящичной в целях ускорения заряжения и обе</w:t>
      </w:r>
      <w:r w:rsidRPr="00271E51">
        <w:rPr>
          <w:rFonts w:ascii="Times New Roman" w:hAnsi="Times New Roman"/>
          <w:color w:val="000000" w:themeColor="text1"/>
          <w:sz w:val="16"/>
          <w:szCs w:val="16"/>
        </w:rPr>
        <w:softHyphen/>
        <w:t>спечения сбора стреляных гильз.</w:t>
      </w:r>
    </w:p>
    <w:p w14:paraId="6EAA33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танке Т-34 снаряды укладываются в ящики.</w:t>
      </w:r>
    </w:p>
    <w:p w14:paraId="129385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танке КВ-1с укладка снарядов производится в кассеты.</w:t>
      </w:r>
    </w:p>
    <w:p w14:paraId="4073EF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Ящичная укладка дает некоторое ускорение заряжающему, но зато при кассетной укладке сна</w:t>
      </w:r>
      <w:r w:rsidRPr="00271E51">
        <w:rPr>
          <w:rFonts w:ascii="Times New Roman" w:hAnsi="Times New Roman"/>
          <w:color w:val="000000" w:themeColor="text1"/>
          <w:sz w:val="16"/>
          <w:szCs w:val="16"/>
        </w:rPr>
        <w:softHyphen/>
        <w:t>ряды лучше предохранены от пыли и грязи, и значительно облегчается доступ к тягам управления, проходящим по днищу танка.</w:t>
      </w:r>
    </w:p>
    <w:p w14:paraId="3AAFA1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Сбор стреляных гильз при ящичной укладке по сравнению с кассетной практически не облегча</w:t>
      </w:r>
      <w:r w:rsidRPr="00271E51">
        <w:rPr>
          <w:rFonts w:ascii="Times New Roman" w:hAnsi="Times New Roman"/>
          <w:color w:val="000000" w:themeColor="text1"/>
          <w:sz w:val="16"/>
          <w:szCs w:val="16"/>
        </w:rPr>
        <w:softHyphen/>
        <w:t>ется, так как в полевых условиях стреляные гильзы в укладку не укладываются, а складываются на полу боевого отделения танка.</w:t>
      </w:r>
    </w:p>
    <w:p w14:paraId="7EC73D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Замену кассетной укладки на ящичную на танке КВ-1с в настоящее время считаю нецелесообразным.</w:t>
      </w:r>
    </w:p>
    <w:p w14:paraId="3C8F1E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пунктов:</w:t>
      </w:r>
    </w:p>
    <w:p w14:paraId="599328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 английских танках разгрузить боевое отделение путем выноса 4-5 коробок пулеметных лент в отделение управления;</w:t>
      </w:r>
    </w:p>
    <w:p w14:paraId="7D8EB2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Отсутствие достаточной вентиляции боевого отделения американских танков, то ввиду отсутствия конкретных указаний, на каких типах танков эти недостатки имеют место, и, кроме того, такое предложение поступило впервые и требует проверки, какое-либо заключение по этим предложениям сделать не представляется возможным. Проведенные испытания американ</w:t>
      </w:r>
      <w:r w:rsidRPr="00271E51">
        <w:rPr>
          <w:rFonts w:ascii="Times New Roman" w:hAnsi="Times New Roman"/>
          <w:color w:val="000000" w:themeColor="text1"/>
          <w:sz w:val="16"/>
          <w:szCs w:val="16"/>
        </w:rPr>
        <w:softHyphen/>
        <w:t>ских танков отстрелом показали вполне удовлетворительную вентиляцию боевого отделения.</w:t>
      </w:r>
    </w:p>
    <w:p w14:paraId="666787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танкового управления ГБТУ КА инженер-полковник Афонин</w:t>
      </w:r>
    </w:p>
    <w:p w14:paraId="2CC26E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6 отдела ТУ ГБТУ КА инженер-майор Ворошилов</w:t>
      </w:r>
    </w:p>
    <w:p w14:paraId="3A09CC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3606. Л. 81-82. Подлинник (11403).</w:t>
      </w:r>
    </w:p>
    <w:p w14:paraId="25068C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6D70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года для выяснения ситуации осмотр прибывшей техники провела специально созданная комиссия в составе: заместитель командующего бронетанковыми и механизированными войсками генерал-лейтенант Таранович, заместитель начальника управления самоходной артиллерии (УСА) ГБТУ КА полковник Рупышев, начальник 1-го отдела УСА ГБТУ КА инженер-майор Пестов, военпред ГБТУ КА на заводе № 37 капитан Ворогушин, помощник военпреда инженер-капитан Шитов.</w:t>
      </w:r>
    </w:p>
    <w:p w14:paraId="2984BC4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Они осмотрели трофейные танки и самоходки в следующих местах:</w:t>
      </w:r>
    </w:p>
    <w:p w14:paraId="6436DBB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находящиеся на территории завода № 37–99 штук;</w:t>
      </w:r>
    </w:p>
    <w:p w14:paraId="2798982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находящиеся на территории, прилегающей к заводу № 37–48 штук;</w:t>
      </w:r>
    </w:p>
    <w:p w14:paraId="24112C3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находящиеся на территории станции Черкизово, разгруженные с железнодорожных платформ в количестве — 100 штук;</w:t>
      </w:r>
    </w:p>
    <w:p w14:paraId="41DA07F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прибывшие с фронтов и находящиеся на железнодорожных платформах — 21 штука;</w:t>
      </w:r>
    </w:p>
    <w:p w14:paraId="6471056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кроме Т-3 и «Артштурм» на платформах имелась ещё 21 машина различных марок.</w:t>
      </w:r>
    </w:p>
    <w:p w14:paraId="5EE8CC0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танков было следующим:</w:t>
      </w:r>
    </w:p>
    <w:p w14:paraId="23E82EA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Машины разгруженные, в количестве 190 штук.</w:t>
      </w:r>
    </w:p>
    <w:p w14:paraId="1D530ED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машин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4"/>
        <w:gridCol w:w="1109"/>
        <w:gridCol w:w="5331"/>
        <w:gridCol w:w="3714"/>
      </w:tblGrid>
      <w:tr w:rsidR="00A907A5" w:rsidRPr="00271E51" w14:paraId="29423ED8" w14:textId="77777777" w:rsidTr="00ED5B0A">
        <w:tc>
          <w:tcPr>
            <w:tcW w:w="0" w:type="auto"/>
            <w:shd w:val="clear" w:color="auto" w:fill="auto"/>
            <w:hideMark/>
          </w:tcPr>
          <w:p w14:paraId="166D3B34"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Тип машин</w:t>
            </w:r>
          </w:p>
        </w:tc>
        <w:tc>
          <w:tcPr>
            <w:tcW w:w="0" w:type="auto"/>
            <w:shd w:val="clear" w:color="auto" w:fill="auto"/>
            <w:hideMark/>
          </w:tcPr>
          <w:p w14:paraId="7784FF59"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Общее количество</w:t>
            </w:r>
          </w:p>
        </w:tc>
        <w:tc>
          <w:tcPr>
            <w:tcW w:w="0" w:type="auto"/>
            <w:shd w:val="clear" w:color="auto" w:fill="auto"/>
            <w:hideMark/>
          </w:tcPr>
          <w:p w14:paraId="4444E1C8"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Состояние машин</w:t>
            </w:r>
          </w:p>
        </w:tc>
        <w:tc>
          <w:tcPr>
            <w:tcW w:w="0" w:type="auto"/>
            <w:shd w:val="clear" w:color="auto" w:fill="auto"/>
            <w:hideMark/>
          </w:tcPr>
          <w:p w14:paraId="21969797"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Заключение</w:t>
            </w:r>
          </w:p>
        </w:tc>
      </w:tr>
      <w:tr w:rsidR="00A907A5" w:rsidRPr="00271E51" w14:paraId="75DA4C54" w14:textId="77777777" w:rsidTr="00ED5B0A">
        <w:tc>
          <w:tcPr>
            <w:tcW w:w="0" w:type="auto"/>
            <w:shd w:val="clear" w:color="auto" w:fill="auto"/>
            <w:hideMark/>
          </w:tcPr>
          <w:p w14:paraId="6D71A6C7"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 и „Артштурм“</w:t>
            </w:r>
          </w:p>
        </w:tc>
        <w:tc>
          <w:tcPr>
            <w:tcW w:w="0" w:type="auto"/>
            <w:shd w:val="clear" w:color="auto" w:fill="auto"/>
            <w:hideMark/>
          </w:tcPr>
          <w:p w14:paraId="3C1816FB"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190</w:t>
            </w:r>
          </w:p>
        </w:tc>
        <w:tc>
          <w:tcPr>
            <w:tcW w:w="0" w:type="auto"/>
            <w:shd w:val="clear" w:color="auto" w:fill="auto"/>
            <w:hideMark/>
          </w:tcPr>
          <w:p w14:paraId="03366A3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Машины укомплектованы основными агрегатами и механизмами</w:t>
            </w:r>
          </w:p>
        </w:tc>
        <w:tc>
          <w:tcPr>
            <w:tcW w:w="0" w:type="auto"/>
            <w:shd w:val="clear" w:color="auto" w:fill="auto"/>
            <w:hideMark/>
          </w:tcPr>
          <w:p w14:paraId="59964B7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Годны к ремонту и переделке на СУ-76И</w:t>
            </w:r>
          </w:p>
        </w:tc>
      </w:tr>
      <w:tr w:rsidR="00A907A5" w:rsidRPr="00271E51" w14:paraId="21E1F275" w14:textId="77777777" w:rsidTr="00ED5B0A">
        <w:tc>
          <w:tcPr>
            <w:tcW w:w="0" w:type="auto"/>
            <w:shd w:val="clear" w:color="auto" w:fill="auto"/>
            <w:hideMark/>
          </w:tcPr>
          <w:p w14:paraId="52AF2E8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 и „Артштурм“</w:t>
            </w:r>
          </w:p>
        </w:tc>
        <w:tc>
          <w:tcPr>
            <w:tcW w:w="0" w:type="auto"/>
            <w:shd w:val="clear" w:color="auto" w:fill="auto"/>
            <w:hideMark/>
          </w:tcPr>
          <w:p w14:paraId="259895D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57</w:t>
            </w:r>
          </w:p>
        </w:tc>
        <w:tc>
          <w:tcPr>
            <w:tcW w:w="0" w:type="auto"/>
            <w:shd w:val="clear" w:color="auto" w:fill="auto"/>
            <w:hideMark/>
          </w:tcPr>
          <w:p w14:paraId="69B8ED5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Машины горелые, со взорвавшимся частично боекомплектом и снарядными поражениями, выведены из строя основные агрегаты и механизмы, а на некоторых машинах нет основных механизмов и агрегатов, как то: двигатель, коробка, ходовая часть и т. д.</w:t>
            </w:r>
          </w:p>
        </w:tc>
        <w:tc>
          <w:tcPr>
            <w:tcW w:w="0" w:type="auto"/>
            <w:shd w:val="clear" w:color="auto" w:fill="auto"/>
            <w:hideMark/>
          </w:tcPr>
          <w:p w14:paraId="7675D7BA"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ремонту негодные, подлежат списанию с использованием агрегатов и деталей на запасные части, необходимые при ремонте а заводе и укомплектовке ЗИПов.</w:t>
            </w:r>
          </w:p>
        </w:tc>
      </w:tr>
    </w:tbl>
    <w:p w14:paraId="741F3DF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Машины, находящиеся на железнодорожных платформах.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1076"/>
        <w:gridCol w:w="5658"/>
        <w:gridCol w:w="3441"/>
      </w:tblGrid>
      <w:tr w:rsidR="00A907A5" w:rsidRPr="00271E51" w14:paraId="3E631EBC" w14:textId="77777777" w:rsidTr="00ED5B0A">
        <w:tc>
          <w:tcPr>
            <w:tcW w:w="0" w:type="auto"/>
            <w:shd w:val="clear" w:color="auto" w:fill="auto"/>
            <w:hideMark/>
          </w:tcPr>
          <w:p w14:paraId="6D98B678"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Тип машин</w:t>
            </w:r>
          </w:p>
        </w:tc>
        <w:tc>
          <w:tcPr>
            <w:tcW w:w="0" w:type="auto"/>
            <w:shd w:val="clear" w:color="auto" w:fill="auto"/>
            <w:hideMark/>
          </w:tcPr>
          <w:p w14:paraId="169D0B1D"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Общее количество</w:t>
            </w:r>
          </w:p>
        </w:tc>
        <w:tc>
          <w:tcPr>
            <w:tcW w:w="0" w:type="auto"/>
            <w:shd w:val="clear" w:color="auto" w:fill="auto"/>
            <w:hideMark/>
          </w:tcPr>
          <w:p w14:paraId="21C01235"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Состояние машин</w:t>
            </w:r>
          </w:p>
        </w:tc>
        <w:tc>
          <w:tcPr>
            <w:tcW w:w="0" w:type="auto"/>
            <w:shd w:val="clear" w:color="auto" w:fill="auto"/>
            <w:hideMark/>
          </w:tcPr>
          <w:p w14:paraId="60873758"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Заключение</w:t>
            </w:r>
          </w:p>
        </w:tc>
      </w:tr>
      <w:tr w:rsidR="00A907A5" w:rsidRPr="00271E51" w14:paraId="72BE4428" w14:textId="77777777" w:rsidTr="00ED5B0A">
        <w:tc>
          <w:tcPr>
            <w:tcW w:w="0" w:type="auto"/>
            <w:shd w:val="clear" w:color="auto" w:fill="auto"/>
            <w:hideMark/>
          </w:tcPr>
          <w:p w14:paraId="7B9EDE1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 и „Артштурм“</w:t>
            </w:r>
          </w:p>
        </w:tc>
        <w:tc>
          <w:tcPr>
            <w:tcW w:w="0" w:type="auto"/>
            <w:shd w:val="clear" w:color="auto" w:fill="auto"/>
            <w:hideMark/>
          </w:tcPr>
          <w:p w14:paraId="18BC449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shd w:val="clear" w:color="auto" w:fill="auto"/>
            <w:hideMark/>
          </w:tcPr>
          <w:p w14:paraId="099F71E1"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Машина укомплектована основными агрегатами</w:t>
            </w:r>
          </w:p>
        </w:tc>
        <w:tc>
          <w:tcPr>
            <w:tcW w:w="0" w:type="auto"/>
            <w:shd w:val="clear" w:color="auto" w:fill="auto"/>
            <w:hideMark/>
          </w:tcPr>
          <w:p w14:paraId="44E07A3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Годна к ремонту и подлежит разгрузке</w:t>
            </w:r>
          </w:p>
        </w:tc>
      </w:tr>
      <w:tr w:rsidR="00A907A5" w:rsidRPr="00271E51" w14:paraId="0B2EB9CA" w14:textId="77777777" w:rsidTr="00ED5B0A">
        <w:tc>
          <w:tcPr>
            <w:tcW w:w="0" w:type="auto"/>
            <w:shd w:val="clear" w:color="auto" w:fill="auto"/>
            <w:hideMark/>
          </w:tcPr>
          <w:p w14:paraId="0849B61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 и „Артштурм“</w:t>
            </w:r>
          </w:p>
        </w:tc>
        <w:tc>
          <w:tcPr>
            <w:tcW w:w="0" w:type="auto"/>
            <w:shd w:val="clear" w:color="auto" w:fill="auto"/>
            <w:hideMark/>
          </w:tcPr>
          <w:p w14:paraId="0EDC0227"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w:t>
            </w:r>
          </w:p>
        </w:tc>
        <w:tc>
          <w:tcPr>
            <w:tcW w:w="0" w:type="auto"/>
            <w:shd w:val="clear" w:color="auto" w:fill="auto"/>
            <w:hideMark/>
          </w:tcPr>
          <w:p w14:paraId="294B4B91"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Основные агрегаты и механизмы машин совершенно выведены из строя пожаром внутри, взрывами боекомплектов и снарядными поражениями. На машинах, не подвергшихся действию огня, отсутствуют основные агрегаты: мотор, коробка перемены передач, приводы управления, ходовая часть. Корпуса машин пробиты снарядами или имеют отпуск брони о действия огня.</w:t>
            </w:r>
          </w:p>
        </w:tc>
        <w:tc>
          <w:tcPr>
            <w:tcW w:w="0" w:type="auto"/>
            <w:shd w:val="clear" w:color="auto" w:fill="auto"/>
            <w:hideMark/>
          </w:tcPr>
          <w:p w14:paraId="489EB26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Машины подлежат отправке в металлолом как негодные к восстановлению и переделке под СУ-76И. Разборка их на запасные части нецелесообразна по затратам рабочей силы и времени.</w:t>
            </w:r>
          </w:p>
        </w:tc>
      </w:tr>
      <w:tr w:rsidR="00A907A5" w:rsidRPr="00271E51" w14:paraId="60F12BDD" w14:textId="77777777" w:rsidTr="00ED5B0A">
        <w:tc>
          <w:tcPr>
            <w:tcW w:w="0" w:type="auto"/>
            <w:shd w:val="clear" w:color="auto" w:fill="auto"/>
            <w:hideMark/>
          </w:tcPr>
          <w:p w14:paraId="1A9A3FD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Г-4</w:t>
            </w:r>
          </w:p>
        </w:tc>
        <w:tc>
          <w:tcPr>
            <w:tcW w:w="0" w:type="auto"/>
            <w:shd w:val="clear" w:color="auto" w:fill="auto"/>
            <w:hideMark/>
          </w:tcPr>
          <w:p w14:paraId="2A90038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7</w:t>
            </w:r>
          </w:p>
        </w:tc>
        <w:tc>
          <w:tcPr>
            <w:tcW w:w="0" w:type="auto"/>
            <w:vMerge w:val="restart"/>
            <w:shd w:val="clear" w:color="auto" w:fill="auto"/>
            <w:hideMark/>
          </w:tcPr>
          <w:p w14:paraId="71E5405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Машины частично годные к ремонту, частично годные к разборке на запчасти</w:t>
            </w:r>
          </w:p>
        </w:tc>
        <w:tc>
          <w:tcPr>
            <w:tcW w:w="0" w:type="auto"/>
            <w:vMerge w:val="restart"/>
            <w:shd w:val="clear" w:color="auto" w:fill="auto"/>
            <w:hideMark/>
          </w:tcPr>
          <w:p w14:paraId="02E33191"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Подлежат переправке на другие рембазы и заводы, занимающиеся их восстановлением</w:t>
            </w:r>
          </w:p>
        </w:tc>
      </w:tr>
      <w:tr w:rsidR="00A907A5" w:rsidRPr="00271E51" w14:paraId="22A93973" w14:textId="77777777" w:rsidTr="00ED5B0A">
        <w:tc>
          <w:tcPr>
            <w:tcW w:w="0" w:type="auto"/>
            <w:shd w:val="clear" w:color="auto" w:fill="auto"/>
            <w:hideMark/>
          </w:tcPr>
          <w:p w14:paraId="1F2CB33A"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Т-34</w:t>
            </w:r>
          </w:p>
        </w:tc>
        <w:tc>
          <w:tcPr>
            <w:tcW w:w="0" w:type="auto"/>
            <w:shd w:val="clear" w:color="auto" w:fill="auto"/>
            <w:hideMark/>
          </w:tcPr>
          <w:p w14:paraId="10E47ECE"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w:t>
            </w:r>
          </w:p>
        </w:tc>
        <w:tc>
          <w:tcPr>
            <w:tcW w:w="0" w:type="auto"/>
            <w:vMerge/>
            <w:shd w:val="clear" w:color="auto" w:fill="auto"/>
            <w:hideMark/>
          </w:tcPr>
          <w:p w14:paraId="28E16A4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6AB7A7B2"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155F3984" w14:textId="77777777" w:rsidTr="00ED5B0A">
        <w:tc>
          <w:tcPr>
            <w:tcW w:w="0" w:type="auto"/>
            <w:shd w:val="clear" w:color="auto" w:fill="auto"/>
            <w:hideMark/>
          </w:tcPr>
          <w:p w14:paraId="510DA5D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БТ-5</w:t>
            </w:r>
          </w:p>
        </w:tc>
        <w:tc>
          <w:tcPr>
            <w:tcW w:w="0" w:type="auto"/>
            <w:shd w:val="clear" w:color="auto" w:fill="auto"/>
            <w:hideMark/>
          </w:tcPr>
          <w:p w14:paraId="139F809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vMerge/>
            <w:shd w:val="clear" w:color="auto" w:fill="auto"/>
            <w:hideMark/>
          </w:tcPr>
          <w:p w14:paraId="6914309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4699CD21"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0698B29D" w14:textId="77777777" w:rsidTr="00ED5B0A">
        <w:tc>
          <w:tcPr>
            <w:tcW w:w="0" w:type="auto"/>
            <w:shd w:val="clear" w:color="auto" w:fill="auto"/>
            <w:hideMark/>
          </w:tcPr>
          <w:p w14:paraId="012E3E3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„Валентайн“</w:t>
            </w:r>
          </w:p>
        </w:tc>
        <w:tc>
          <w:tcPr>
            <w:tcW w:w="0" w:type="auto"/>
            <w:shd w:val="clear" w:color="auto" w:fill="auto"/>
            <w:hideMark/>
          </w:tcPr>
          <w:p w14:paraId="6615A5D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vMerge/>
            <w:shd w:val="clear" w:color="auto" w:fill="auto"/>
            <w:hideMark/>
          </w:tcPr>
          <w:p w14:paraId="6787E51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636DCE8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6909197E" w14:textId="77777777" w:rsidTr="00ED5B0A">
        <w:tc>
          <w:tcPr>
            <w:tcW w:w="0" w:type="auto"/>
            <w:shd w:val="clear" w:color="auto" w:fill="auto"/>
            <w:hideMark/>
          </w:tcPr>
          <w:p w14:paraId="2B08F2E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СУТ-2</w:t>
            </w:r>
          </w:p>
        </w:tc>
        <w:tc>
          <w:tcPr>
            <w:tcW w:w="0" w:type="auto"/>
            <w:shd w:val="clear" w:color="auto" w:fill="auto"/>
            <w:hideMark/>
          </w:tcPr>
          <w:p w14:paraId="115B2E6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w:t>
            </w:r>
          </w:p>
        </w:tc>
        <w:tc>
          <w:tcPr>
            <w:tcW w:w="0" w:type="auto"/>
            <w:vMerge/>
            <w:shd w:val="clear" w:color="auto" w:fill="auto"/>
            <w:hideMark/>
          </w:tcPr>
          <w:p w14:paraId="721119B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515311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3CDE0BEC" w14:textId="77777777" w:rsidTr="00ED5B0A">
        <w:tc>
          <w:tcPr>
            <w:tcW w:w="0" w:type="auto"/>
            <w:shd w:val="clear" w:color="auto" w:fill="auto"/>
            <w:hideMark/>
          </w:tcPr>
          <w:p w14:paraId="1D23E452"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38Т</w:t>
            </w:r>
          </w:p>
        </w:tc>
        <w:tc>
          <w:tcPr>
            <w:tcW w:w="0" w:type="auto"/>
            <w:shd w:val="clear" w:color="auto" w:fill="auto"/>
            <w:hideMark/>
          </w:tcPr>
          <w:p w14:paraId="04FAE6B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c>
          <w:tcPr>
            <w:tcW w:w="0" w:type="auto"/>
            <w:vMerge/>
            <w:shd w:val="clear" w:color="auto" w:fill="auto"/>
            <w:hideMark/>
          </w:tcPr>
          <w:p w14:paraId="28710A64"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3A85BF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64C67A5E" w14:textId="77777777" w:rsidTr="00ED5B0A">
        <w:tc>
          <w:tcPr>
            <w:tcW w:w="0" w:type="auto"/>
            <w:shd w:val="clear" w:color="auto" w:fill="auto"/>
            <w:hideMark/>
          </w:tcPr>
          <w:p w14:paraId="2D7C1EB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Т-37</w:t>
            </w:r>
          </w:p>
        </w:tc>
        <w:tc>
          <w:tcPr>
            <w:tcW w:w="0" w:type="auto"/>
            <w:shd w:val="clear" w:color="auto" w:fill="auto"/>
            <w:hideMark/>
          </w:tcPr>
          <w:p w14:paraId="0DB46034"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vMerge/>
            <w:shd w:val="clear" w:color="auto" w:fill="auto"/>
            <w:hideMark/>
          </w:tcPr>
          <w:p w14:paraId="5BDB640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0A9A83F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1AB54347" w14:textId="77777777" w:rsidTr="00ED5B0A">
        <w:tc>
          <w:tcPr>
            <w:tcW w:w="0" w:type="auto"/>
            <w:shd w:val="clear" w:color="auto" w:fill="auto"/>
            <w:hideMark/>
          </w:tcPr>
          <w:p w14:paraId="2D5152D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Т-60</w:t>
            </w:r>
          </w:p>
        </w:tc>
        <w:tc>
          <w:tcPr>
            <w:tcW w:w="0" w:type="auto"/>
            <w:shd w:val="clear" w:color="auto" w:fill="auto"/>
            <w:hideMark/>
          </w:tcPr>
          <w:p w14:paraId="23E41B7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vMerge/>
            <w:shd w:val="clear" w:color="auto" w:fill="auto"/>
            <w:hideMark/>
          </w:tcPr>
          <w:p w14:paraId="00FF36E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59EAAB2A"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p>
        </w:tc>
      </w:tr>
    </w:tbl>
    <w:p w14:paraId="36E2B1A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Общие замечания.</w:t>
      </w:r>
    </w:p>
    <w:p w14:paraId="31C5B8E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все машины в количестве 57 шт., уже разгруженные и по своему техническому со стоянию непригодные к ремонту и переделке на СУ-76И, имеются акты технического осмотра за подписями представителя завода № 37 и военпреда ГБТУ КА на заводе с заключением об их списании.</w:t>
      </w:r>
    </w:p>
    <w:p w14:paraId="0953EF2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связи с невозможностью восстановить машины и переделать их на СУ-76И и для получения необходимого количества запчастей для ремонта и укомплектования формируемых артиллерийских полков, заключение военпреда о списании машин является вполне правильным и целесообразным.</w:t>
      </w:r>
    </w:p>
    <w:p w14:paraId="7409A41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Решение военного представителя ГБТУ КА на заводе № 37 о рассортировке прибывшего в адрес завода № 37 ремонтного фонда машин Т-3 и „Артштурм“ и переадресовке части из них в металлолом без разгрузки железнодорожных платформ, является правильным, так как уменьшается вынужденный простой подвижного состава на станции и, кроме того, разгрузка, транспортировка и разборка машин на заводе с целью использования имеющегося на них незначительного количества годных частей (не дефицитных), является нерентабельной.</w:t>
      </w:r>
    </w:p>
    <w:p w14:paraId="30E833A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5711B9A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Рассортировку и переадресовку приходящих в адрес завода машин, производимую военпредом, считать правильной.</w:t>
      </w:r>
    </w:p>
    <w:p w14:paraId="5E0CE3E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Для ускорения решений по списанию трофейных машин в дальнейшем целесообразно создать комиссию в составе:</w:t>
      </w:r>
    </w:p>
    <w:p w14:paraId="2F91299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Представителя УСА ГБТУ КА;</w:t>
      </w:r>
    </w:p>
    <w:p w14:paraId="6EF5FAB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Военпреда ГБТУ КА на заводе № 37;</w:t>
      </w:r>
    </w:p>
    <w:p w14:paraId="6DA055C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Представителя завода № 37.</w:t>
      </w:r>
    </w:p>
    <w:p w14:paraId="3B06E97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 (12688).</w:t>
      </w:r>
    </w:p>
    <w:p w14:paraId="13383D8D"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6F9DF53B" w14:textId="77777777" w:rsidR="009C3F44" w:rsidRPr="00271E51" w:rsidRDefault="009C3F44" w:rsidP="00271E51">
      <w:pPr>
        <w:pStyle w:val="ae"/>
        <w:shd w:val="clear" w:color="auto" w:fill="FFFFFF"/>
        <w:spacing w:before="0" w:after="0"/>
        <w:jc w:val="both"/>
        <w:rPr>
          <w:color w:val="000000" w:themeColor="text1"/>
          <w:sz w:val="16"/>
          <w:szCs w:val="16"/>
          <w:lang w:eastAsia="ru-RU"/>
        </w:rPr>
      </w:pPr>
      <w:r w:rsidRPr="00271E51">
        <w:rPr>
          <w:color w:val="000000" w:themeColor="text1"/>
          <w:sz w:val="16"/>
          <w:szCs w:val="16"/>
        </w:rPr>
        <w:t>1 июля 1943 года начальник ГАУ генерал-полковник Яковлев предлагал выпустить пробную партию тракторов АТЗ-НАТИ. Но к тому моменту уже началось производство куда более совершенного тягача Я-11, который явно превосходил алтайского конкурента. На этом его история и закончилась (17461).</w:t>
      </w:r>
    </w:p>
    <w:p w14:paraId="19D5BC51" w14:textId="77777777" w:rsidR="009C3F44" w:rsidRPr="00271E51" w:rsidRDefault="009C3F44" w:rsidP="00271E51">
      <w:pPr>
        <w:pStyle w:val="ae"/>
        <w:shd w:val="clear" w:color="auto" w:fill="FFFFFF"/>
        <w:spacing w:before="0" w:after="0"/>
        <w:jc w:val="both"/>
        <w:rPr>
          <w:color w:val="000000" w:themeColor="text1"/>
          <w:sz w:val="16"/>
          <w:szCs w:val="16"/>
        </w:rPr>
      </w:pPr>
    </w:p>
    <w:p w14:paraId="37A62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июля 1943 вышло Постановление ГКО № 3661 О плане производства запасных частей к тракторам и о материально-техническом обеспечении его в III квартале 1943 </w:t>
      </w:r>
      <w:r w:rsidRPr="00271E51">
        <w:rPr>
          <w:rFonts w:ascii="Times New Roman" w:hAnsi="Times New Roman"/>
          <w:color w:val="000000" w:themeColor="text1"/>
          <w:sz w:val="16"/>
          <w:szCs w:val="16"/>
        </w:rPr>
        <w:lastRenderedPageBreak/>
        <w:t>г. на заводах Наркомсредмаша.РГАНИР, Фонд ГКО, д. 129, лл. 74-82, 83-89 (11012).</w:t>
      </w:r>
    </w:p>
    <w:p w14:paraId="7C5381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AC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3662 О реорганизации Кемеровского энергокомбината в районное управление энергетического хозяйства.РГАНИР, Фонд ГКО, д. 129, лл. 90-92, 93-94 (11012).</w:t>
      </w:r>
    </w:p>
    <w:p w14:paraId="29C20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C24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3663 О мероприятиях по обеспечению Саратовской ТЭЦ НКЭС сланцами.РГАНИР, Фонд ГКО, д. 129, лл. 95-96, 97 (11012).</w:t>
      </w:r>
    </w:p>
    <w:p w14:paraId="5C719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0F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3664 О подготовке инженерно-технических кадров для предприятий Наркомата боеприпасов.РГАНИР, Фонд ГКО, д. 129, лл. 98-100, 101-103 (11012).</w:t>
      </w:r>
    </w:p>
    <w:p w14:paraId="0281B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2214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3665 О строительстве узкоколейной железной дороги от разъезда Дебрянский до Арнишицы. (7118, 104).</w:t>
      </w:r>
    </w:p>
    <w:p w14:paraId="54E2FF0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D96E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3666 Об общем плане перевозок народнохозяйственных и воинских грузов по железнодорожному и водному транспорту на июль 1943 года. (7118, 105).</w:t>
      </w:r>
    </w:p>
    <w:p w14:paraId="587368C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873EA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3667 Об обеспечении железных дорог дровами в июле 1943 года. (7118, 106-107,108).</w:t>
      </w:r>
    </w:p>
    <w:p w14:paraId="057AAA5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67FA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вышло Постановление ГКО № 3668 О подготовке и проведении снегоборьбы на железнодорожном транспорте в зиму 1943-1944 гг. (7118, 109-112).</w:t>
      </w:r>
    </w:p>
    <w:p w14:paraId="1EBB5F7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4B1EF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ранее 1 июля – не позднее 23 июля 1943 г.2:</w:t>
      </w:r>
    </w:p>
    <w:p w14:paraId="7DF0D54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Записка И.В. Курчатова </w:t>
      </w:r>
    </w:p>
    <w:p w14:paraId="1B33114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«Состояние работ по урану на 1.VII 1943»1 </w:t>
      </w:r>
    </w:p>
    <w:p w14:paraId="112AE72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Совершенно секретно </w:t>
      </w:r>
    </w:p>
    <w:p w14:paraId="35F3720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Работа по проблеме урана полностью приостановилась у нас в Союзе с началом Отечественной войны. К этому времени были рассмотрены следующие возможные схемы решения проблемы: </w:t>
      </w:r>
    </w:p>
    <w:p w14:paraId="576A57B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блок обычного металлического урана, </w:t>
      </w:r>
    </w:p>
    <w:p w14:paraId="25B4449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блок металлического урана-235, </w:t>
      </w:r>
    </w:p>
    <w:p w14:paraId="0FB88D1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смесь обычного урана с водой, </w:t>
      </w:r>
    </w:p>
    <w:p w14:paraId="360A116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 смесь обогащенного (легким изотопом) урана с водой, </w:t>
      </w:r>
    </w:p>
    <w:p w14:paraId="3B49CED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 смесь обычного урана с тяжелой водой, </w:t>
      </w:r>
    </w:p>
    <w:p w14:paraId="1991F49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е) смесь обычного урана с углеродом. </w:t>
      </w:r>
    </w:p>
    <w:p w14:paraId="0F6010F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Первые две схемы – а) и б) – основывались на использовании быстрых нейтронов; выделение энергии должно было, в связи с этим, протекать в этих системах за очень малые промежутки времени и приводить к взрыву. Эти схемы являются, следовательно, схемами возможного осуществления ядерной бомбы. </w:t>
      </w:r>
    </w:p>
    <w:p w14:paraId="737735E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Последующие четыре схемы – в), г), д) и е) – основывались на использовании медленных нейтронов, выделение энергии должно было бы протекать в них за большие промежутки времени и иметь характер «горения». Эти схемы являются схемами возможного осуществления ядерного котла. </w:t>
      </w:r>
    </w:p>
    <w:p w14:paraId="3F5BFA3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основании экспериментальных данных и теоретических расчетов физики Советского Союза пришли в 1941 г. к заключению, что только две системы: а) блок металлического урана-2353, г) смесь обогащенного (легким изотопом) урана с водой могут привести к развитию лавинного процесса и выделению энергии; остальные четыре схемы не эффективны и не могут дать положительных результатов. </w:t>
      </w:r>
    </w:p>
    <w:p w14:paraId="469C0B3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Обе считавшиеся реализуемыми схемы были связаны с необходимостью изменения состава обычного урана, обогащения его ураном-235, содержащимся в виде примеси в количестве, меньшем 1%, или даже полным выделением этого вещества. В том случае, если бы такая задача была решена, было бы возможно при помощи схемы а) осуществить ядерную бомбу, а при помощи схемы г) – ядерный котел. </w:t>
      </w:r>
    </w:p>
    <w:p w14:paraId="6B663B8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Выделение урана-235 или даже частичное обогащение этим веществом обычного урана, состоящего, главным образом, из урана-238, связано с громадными техническими трудностями. Уран-235 и уран-238 обладают почти тождественно одинаковыми физическими и химическими свойствами, и поэтому задача их разделения может быть решена только в результате широко поставленной научной и научно-технической работы по разделению изотопов. </w:t>
      </w:r>
    </w:p>
    <w:p w14:paraId="4C05A27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г. работа по проблеме урана в СССР возобновилась и уже сейчас привела к радикальным изменениям наших взглядов на пути решения всей проблемы в целом. </w:t>
      </w:r>
    </w:p>
    <w:p w14:paraId="0F37CBD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Выяснились новые возможности: </w:t>
      </w:r>
    </w:p>
    <w:p w14:paraId="6A949C1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возможность осуществления ядерного котла из обычного металлического урана, обычного урана и тяжелой воды и смеси из обычного урана и углерода; </w:t>
      </w:r>
    </w:p>
    <w:p w14:paraId="623466F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возможность осуществления ядерной бомбы из эка-осмия – продукта, образовывающегося в урановом котле. </w:t>
      </w:r>
    </w:p>
    <w:p w14:paraId="0F5FA27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Далее мы подробно обсудим эти возможности, а сейчас хотим отметить вытекающие из этих возможностей очень важные для всей проблемы следствия. </w:t>
      </w:r>
    </w:p>
    <w:p w14:paraId="62E8B60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сказанного выше следует, что осуществление ядерного котла не обязательно требует разделения изотопов урана и что, используя продукты котла, можно сделать ядерную бомбу4. Таким образом, оказывается возможным решать проблему котла и бомбы, минуя задачу разделения изотопов. </w:t>
      </w:r>
    </w:p>
    <w:p w14:paraId="149BFB9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Возможность осуществления ядерного котла из обычного </w:t>
      </w:r>
    </w:p>
    <w:p w14:paraId="3F10A46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металлического урана на смеси из обычного урана с тяжелой водой </w:t>
      </w:r>
    </w:p>
    <w:p w14:paraId="7C7FF29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на смеси из обычного урана и углерода </w:t>
      </w:r>
    </w:p>
    <w:p w14:paraId="538B39C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Возможность осуществления ядерного котла из обычного металлического урана. Еще в 1940 г. я высказывал, в противоположность мнению Харитона и Зельдовича, мысль о том, что в большой массе металлического урана не исключена возможность нарастания лавинного процесса. В расчетах Зельдовича и Харитона допускалось, что нейтрон, испытав акт неупругого рассеяния, настолько сильно теряет свою энергию, что далее уже не способен вызывать деления, и поэтому не должен учитываться. На самом же деле это неверно. Испытав неупругое рассеяние даже с большой потерей энергии, нейтрон все же может быть эффективным, вызывая деление находящегося, хотя и в небольших количествах, в обычном уране изотопа урана-235. </w:t>
      </w:r>
    </w:p>
    <w:p w14:paraId="1F34E29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1940 г. вопрос не был исследован далее, так как мы не располагали данными о вероятности деления урана-235 нейтронами с энергией в несколько сотен тысяч электронвольт, энергией, которой обладает нейтрон после неупругого рассеяния. </w:t>
      </w:r>
    </w:p>
    <w:p w14:paraId="4AE6478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Согласно английским данным, полученным Лабораторией № 2 в 1943 г., вероятность деления урана-235 такими нейтронами достигает довольно высоких значений, и поэтому мной было поручено т. Харитону и т. Зельдовичу выполнить специальный расчет для цепной реакции в металлическом уране, расчет, в котором было бы учтено влияние на ход развития в лавине наличия </w:t>
      </w:r>
    </w:p>
    <w:p w14:paraId="7F53ADA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обычном уране изотопа урана-235. </w:t>
      </w:r>
    </w:p>
    <w:p w14:paraId="48390FA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Расчет был выполнен в мае-июне 1943 г. и показал, что развитие лавины возможно даже в не очень больших массах чистого металлического урана (от 10 до 50 тонн в разных предположениях). </w:t>
      </w:r>
    </w:p>
    <w:p w14:paraId="501A071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того что концентрация атомов урана-235 очень мала в обычном уране, нейтроны, возникшие при делении, будут довольно долго (около 10</w:t>
      </w:r>
      <w:r w:rsidRPr="00271E51">
        <w:rPr>
          <w:rFonts w:ascii="Times New Roman" w:hAnsi="Times New Roman"/>
          <w:color w:val="000000" w:themeColor="text1"/>
          <w:sz w:val="16"/>
          <w:szCs w:val="16"/>
          <w:vertAlign w:val="superscript"/>
        </w:rPr>
        <w:t xml:space="preserve">-7 </w:t>
      </w:r>
      <w:r w:rsidRPr="00271E51">
        <w:rPr>
          <w:rFonts w:ascii="Times New Roman" w:hAnsi="Times New Roman"/>
          <w:color w:val="000000" w:themeColor="text1"/>
          <w:sz w:val="16"/>
          <w:szCs w:val="16"/>
        </w:rPr>
        <w:t xml:space="preserve">сек) странствовать в массе урана, раньше, чем смогут встретиться с ура-ном-235, вызывая его деление. Поэтому развитие лавины в этой системе приведет к «горению», а не «взрыву» всей массы. </w:t>
      </w:r>
    </w:p>
    <w:p w14:paraId="118E77D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расчете Харитона и Зельдовича было, по моему предложению, принято, что поглощение5 ураном-238 нейтронов с энергией в несколько сотен тысяч электронвольт имеет весьма малую вероятность. Соответствующее сечение .</w:t>
      </w:r>
      <w:r w:rsidRPr="00271E51">
        <w:rPr>
          <w:rFonts w:ascii="Times New Roman" w:hAnsi="Times New Roman"/>
          <w:color w:val="000000" w:themeColor="text1"/>
          <w:sz w:val="16"/>
          <w:szCs w:val="16"/>
          <w:vertAlign w:val="subscript"/>
        </w:rPr>
        <w:t xml:space="preserve">с </w:t>
      </w:r>
      <w:r w:rsidRPr="00271E51">
        <w:rPr>
          <w:rFonts w:ascii="Times New Roman" w:hAnsi="Times New Roman"/>
          <w:color w:val="000000" w:themeColor="text1"/>
          <w:sz w:val="16"/>
          <w:szCs w:val="16"/>
        </w:rPr>
        <w:t>взято равным 10</w:t>
      </w:r>
      <w:r w:rsidRPr="00271E51">
        <w:rPr>
          <w:rFonts w:ascii="Times New Roman" w:hAnsi="Times New Roman"/>
          <w:color w:val="000000" w:themeColor="text1"/>
          <w:sz w:val="16"/>
          <w:szCs w:val="16"/>
          <w:vertAlign w:val="superscript"/>
        </w:rPr>
        <w:t xml:space="preserve">-27 </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Возможно, что на самом деле оно несколько выше, и тогда или потребуется большее количество урана для осуществления котла, или вообще котел не будет работать. </w:t>
      </w:r>
    </w:p>
    <w:p w14:paraId="21972F7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сказанного видно, что на данной стадии работ Лаборатории № 2 еще нельзя уверенно сказать, что возможно осуществление котла из чистого металлического урана, но нельзя вместе с тем, как это делалось раньше у нас и как это делается сейчас за границей, считать исключенной эту возможность. </w:t>
      </w:r>
    </w:p>
    <w:p w14:paraId="4004DE5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Возможность осуществления ядерного котла на смеси из обычного урана и тяжелой воды и на смеси из обычного урана и углерода. Из английских и американских материалов нам стало известно, что обе эти смеси дают возможность развития лавинного процесса и могут быть использованы для осуществления соответствующих котлов. </w:t>
      </w:r>
    </w:p>
    <w:p w14:paraId="15D1AD7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Эксперименты, произведенные в Англии и Америке по этим системам, гораздо шире, чем те, которые были выполнены в СССР до войны, или были известны по опубликованным в литературе материалам. </w:t>
      </w:r>
    </w:p>
    <w:p w14:paraId="27F827C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В СССР нет и не было больших количеств тяжелой воды (сейчас мы располагаем одним килограммом этого вещества, полученного в 1939 г. из Норвегии), и поэтому опыты со смесью урана и тяжелой воды у нас не производились. </w:t>
      </w:r>
    </w:p>
    <w:p w14:paraId="761B326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Заключения об этой смеси делались на основании пересчетных данных для смеси из урана и простой воды. Те данные, которыми мы располагали по этой последней системе, также нельзя считать вполне надежными, так как ряд самых существенных, характеризующих эту систему величин (число вторичных нейтронов, сопровождающих деление, часть (.) нейтронов, приходящих в область тепловых скоростей через область резонансного поглощения), не был определен в СССР (из-за отсутствия до войны в соответствующих лабораториях достаточного количества солей урана), а принимался равным величинам, указанным Жолио (Франция). </w:t>
      </w:r>
    </w:p>
    <w:p w14:paraId="0C69278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Опыты со смесью обычного урана с углеродом в СССР также не производились из-за того, что пересчеты Харитона и Зельдовича, сделанные для этой смеси по данным для системы из обычного урана и простой воды, приводили к требованию очень малого поглощения тепловых нейтронов углеродом, делавшему весьма маловероятной возможность развития лавины в уран-углеродном котле. </w:t>
      </w:r>
    </w:p>
    <w:p w14:paraId="391D5F6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совершенно иной стадии находится сейчас за границей изучение смесей из обычного урана с тяжелой водой и углеродом. </w:t>
      </w:r>
    </w:p>
    <w:p w14:paraId="36E1963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английских материалов стало известным, что весь мировой запас тяжелой воды (180 кг) находится в распоряжении Англии и был использован Хальбаном и Коварским для опытов с ураном. Хальбан и Коварский показали, что число вторичных нейтронов, оказывающихся эффективными для последующего деления (т.е. произведение по принятым во второй части нашей докладной записки обозначениям), в этой системе больше 1, и доказали тем самым возможность осуществления котла на смеси «уран – тяжелая вода» путем прямого опыта. </w:t>
      </w:r>
    </w:p>
    <w:p w14:paraId="074D4EE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Смесь урана с углеродом очень подробно изучалась американскими физиками в Чикаго во главе со знаменитым Ферми. Было построено несколько опытным котлов из чистой окиси урана и графита (весом до 2 тонн) и показано, что число (...) вторичных нейтронов, оказывающихся эффективными для последующего деления, в этой системе больше 1 (равно 1,07). </w:t>
      </w:r>
    </w:p>
    <w:p w14:paraId="3BD86B8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Тем самым в Америке была доказана возможность осуществления котла из смеси урана и графита. </w:t>
      </w:r>
    </w:p>
    <w:p w14:paraId="78A1E6B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ближайшем будущем в Америке намечено осуществление котла из 500 тонн графита и 50 тонн урана для окончательной проверки данных, полученных с опытными котлами. </w:t>
      </w:r>
    </w:p>
    <w:p w14:paraId="761C0D8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Запроектированный в Америке котел будет состоять из блоков чистого металлического урана, весом около одной тонны каждый, расположенных внутри6 массы урана на расстоянии друг от друга, равном 20 см. Такое расположение урана, как указано в полученных из Америки материалах, более выгодно, чем равномерное распределение его в виде порошка по объему графита, так как в последнем случае потери нейтронов из-за поглощения ураном-238 в резонансной области больше, чем в первом. </w:t>
      </w:r>
    </w:p>
    <w:p w14:paraId="2D4016B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видим,</w:t>
      </w:r>
      <w:r w:rsidRPr="00271E51">
        <w:rPr>
          <w:rFonts w:ascii="Times New Roman" w:hAnsi="Times New Roman"/>
          <w:color w:val="000000" w:themeColor="text1"/>
          <w:sz w:val="16"/>
          <w:szCs w:val="16"/>
          <w:vertAlign w:val="superscript"/>
        </w:rPr>
        <w:t xml:space="preserve">6 </w:t>
      </w:r>
      <w:r w:rsidRPr="00271E51">
        <w:rPr>
          <w:rFonts w:ascii="Times New Roman" w:hAnsi="Times New Roman"/>
          <w:color w:val="000000" w:themeColor="text1"/>
          <w:sz w:val="16"/>
          <w:szCs w:val="16"/>
        </w:rPr>
        <w:t xml:space="preserve">отрицательным заключениям советских ученых, сделанным в 1941 г. на основании пересчетов, заграничная наука противопоставила в 1943 г. положительные заключения по системам «обычный уран – тяжелая вода» и «обычный уран – углерод», основывающиеся на результатах большой и серьезной экспериментальной работы. </w:t>
      </w:r>
    </w:p>
    <w:p w14:paraId="0EB42B2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Поэтому есть все основания: 1) полагать, что положительные заключения о развитии лавины в смесях «уран – тяжелая вода» и «уран – углерод», сделанные в Америке и Англии, являются более правильными, чем наши прежние отрицательные заключения, и 2) считать осуществимой работу котлов на этих смесях. </w:t>
      </w:r>
    </w:p>
    <w:p w14:paraId="30E7FAE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 представляется пока возможным точно определить те источники неточностей, которые привели советскую науку к неверным заключениям по рассматриваемым в данном разделе системам. Найти же эти неточности совершенно необходимо, если мы хотим гарантировать себя от возможности оказаться на неверном пути развития всей работы в целом из-за ложной информации или ошибок, сделанных в научном исследовании за границей. </w:t>
      </w:r>
    </w:p>
    <w:p w14:paraId="4E91BFF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основе проведенной т. Флёровым в Лабор[атории] № 2 теоретической работы кажется весьма вероятным, что допущенные неточности могут быть связаны, в первую очередь, с неправильным значением указанного Жолио коэффициента ., характеризующего долю поглощаемых ураном-238 нейтронов в резонансной области. Тов. Флёров разработал сейчас новый, более точный, метод определения этого коэффициента и приступил сейчас к экспериментальным исследованиям в этом направлении. </w:t>
      </w:r>
    </w:p>
    <w:p w14:paraId="487F5D1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Наряду с этим Лаборатория № 2 сейчас проводит работу по изучению смеси из обычного урана с углеродом. Зельдович и Харитон произвели расчеты, имевшие целью выяснить преимущества расположения урана в виде блоков, а не равномерного его распределения по объему графита, подтвердили правильность американских утверждений и работают сейчас над вопросом об оптимальных размерах блоков и наивыгоднейшем расстоянии между ними. </w:t>
      </w:r>
    </w:p>
    <w:p w14:paraId="592267A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поручению Лаборатории №2 проф[ессор] Спицын выяснил, что единственной формой углерода, пригодной для осуществления котла (углерод должен быть очень чистым и не содержать даже в ничтожных количествах ряда сильно поглощающих нейтроны примесей), является искусственный графит. </w:t>
      </w:r>
    </w:p>
    <w:p w14:paraId="17EF9C5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Лаборатория получила образцы искусственного графита с заводов, на которых он изготовляется, и занята выяснением степени его чистоты. </w:t>
      </w:r>
    </w:p>
    <w:p w14:paraId="5E4E205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Лаборатория наметила построить опытный котел с весом графита 10 тонн и окисью урана в 1 тонну для проверки и уточнения американских данных7. </w:t>
      </w:r>
    </w:p>
    <w:p w14:paraId="763C1FF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Запроектированные размеры опытного котла лимитируются количеством урана. В ближайшее время Лаборатория будет иметь 250 кг окиси урана, направленной в июне с завода «В», выдающего в данный момент около 350 кг этого вещества в месяц. К сентябрю, когда намечено осуществить котел, мы сможем иметь, таким образом, около одной тонны окиси. </w:t>
      </w:r>
    </w:p>
    <w:p w14:paraId="7BA34FE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Уран-графитовый котел представляет, по-видимому, проще всего технически осуществимый вариант решения проблемы. Его недостатком является необходимость располагать большими количествами урана (до 100 тонн). </w:t>
      </w:r>
    </w:p>
    <w:p w14:paraId="433E010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Ежегодная мировая добыча урана (без США) составляла в 1939 г. 300 тонн (в дальнейшем она, вероятно, увеличилась), и в данный момент Америка, Англия, а вероятно, и Германия имеют возможность изготовить хотя бы по одному уран-графитовому котлу и попытаться использовать его для производства эка-осмиевых бомб. </w:t>
      </w:r>
    </w:p>
    <w:p w14:paraId="3CBB345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 нас нет таких запасов урана и пока не предусматривается накопление их в таких больших количествах. Решением ГОКО, принятым в конце 1942 г., намечено производство 2 тонн солей урана в 1943 г. и 10 тонн ежегодно в последующие годы. Таким образом, только через 5-10 лет будут сосредоточены запасы урана, достаточные для пуска в ход уран-графитового котла в нашей стране, а следует ожидать, что за границей (если не встретится каких-либо непредвиденных осложнений и верны все содержащиеся в полученных из Америки материалах данные) эта система будет осуществлена в конце 1943 – начале 1944 гг. </w:t>
      </w:r>
    </w:p>
    <w:p w14:paraId="74D4385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Возможность осуществления ядерной бомбы из эка-осмия – продукта, образовывающегося в результате превращений в урановом котле </w:t>
      </w:r>
    </w:p>
    <w:p w14:paraId="0C830F3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любом котле, содержащем обычный уран, полезно используется, вызывая деление урана-235, лишь некоторая часть всех вторичных нейтронов. Остальные нейтроны поглощаются ураном-238, не вызывая деления. </w:t>
      </w:r>
    </w:p>
    <w:p w14:paraId="1AEAA8B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Ранее у нас в Советском Союзе не учитывались те последствия, к которым ведет это паразитное поглощение. </w:t>
      </w:r>
    </w:p>
    <w:p w14:paraId="3756324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некоторым замечаниям, разбросанным в английском материале, опубликованным в 1941 г. </w:t>
      </w:r>
      <w:r w:rsidRPr="00271E51">
        <w:rPr>
          <w:rFonts w:ascii="Times New Roman" w:hAnsi="Times New Roman"/>
          <w:color w:val="000000" w:themeColor="text1"/>
          <w:sz w:val="16"/>
          <w:szCs w:val="16"/>
          <w:vertAlign w:val="superscript"/>
        </w:rPr>
        <w:t xml:space="preserve">6 </w:t>
      </w:r>
      <w:r w:rsidRPr="00271E51">
        <w:rPr>
          <w:rFonts w:ascii="Times New Roman" w:hAnsi="Times New Roman"/>
          <w:color w:val="000000" w:themeColor="text1"/>
          <w:sz w:val="16"/>
          <w:szCs w:val="16"/>
        </w:rPr>
        <w:t xml:space="preserve">исследованиям Мак-Миллана и работе Бора-Уилера мне удалось восстановить весьма важную возможную схему использования поглощения нейтронов ураном-238 в урановом котле для создания ядерной бомбы. В последующем был получен дополнительный материал из Америки, не только подтвердивший предположенную схему, но и содержащий ряд новых, весьма существенных данных по этому вопросу. </w:t>
      </w:r>
    </w:p>
    <w:p w14:paraId="00D33BB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Рассмотрим подробнее судьбу поглотившего нейтрон ядра урана-238. </w:t>
      </w:r>
    </w:p>
    <w:p w14:paraId="42A77DC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Возникающее в результате такого поглощения ядро урана-239 неустойчиво и, испуская электроны, превращается (с периодом полураспада в 23 минуты) в 93-й элемент – эка-рений-239. Это ядро также неустойчиво и, в свою очередь, испуская электроны, превращается (с периодом полураспада в 2,3 дня) в 94-й элемент – эка-осмий-239. Дальнейший ход превращений этого ряда элементов стал известен только в самое последнее время. Оказалось, что, хотя эка-осмий-239 также является радиоактивным элементом и превращается, испуская .-частицы, в уран-235, период полураспада его настолько велик, что этим превращением можно полностью пренебречь. </w:t>
      </w:r>
    </w:p>
    <w:p w14:paraId="2E90228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Таким образом, мы видим, что во всяком работающем урановом котле в результате паразитного поглощения нейтронов ураном-238 образовывается и накапливается эка-осмий-239. </w:t>
      </w:r>
    </w:p>
    <w:p w14:paraId="6A88F93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основе теоретических данных можно утверждать, что характеристики эка-осмия-239, по отношению к взаимодействию с нейтронами, должны быть такими же, как и для урана-235. Этот вывод в действительности подтверждается измерениями американских физиков, установивших, что деление эка-осмия-239, так же как и деление урана-235, вызывается медленными нейтронами. Если допустить это подобие в свойствах урана-235 и эка-осмия-239, то все выводы о возможности создания бомбы из блока урана-235 будут справедливыми и для блока эка-осмия-239 и, следовательно, в работающем урановом котле будет непрерывно накапливаться материал для ядерных бомб. </w:t>
      </w:r>
    </w:p>
    <w:p w14:paraId="23CEB0D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Ввиду того что химические свойства эка-осмия отличаются от химических свойств урана, возможно выделить его из окиси рабочей смеси в котле, не прибегая к тем сложным методам разделения изотопов, которые необходимо применять для выделения из обычного урана его изотопа – урана-235. </w:t>
      </w:r>
    </w:p>
    <w:p w14:paraId="4B620DF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Конечно, сейчас нельзя утверждать с абсолютной достоверностью, что блок приемлемых размеров из металлического эка-осмия решит задачу создания ядерной бомбы. Но с абсолютной достоверностью этого нельзя утверждать и для блока из металлического урана-235. Теоретическое же предвидение несколько более благоприятно для плутония, чем для урана-235 *. </w:t>
      </w:r>
    </w:p>
    <w:p w14:paraId="0BBF17A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В заключение мы приводим схемы «котла» и «бомбы», которые считались возможными в СССР в 1941 г. и к моменту окончания этой докладной записки. </w:t>
      </w:r>
    </w:p>
    <w:p w14:paraId="3CFBF1E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сноски 8 9 Пояснения к таблице: Красной чертой окантованы варианты, требующие разделения изотопов урана; синей чертой окантованы варианты, требующие разделения изотопов воды. </w:t>
      </w:r>
    </w:p>
    <w:p w14:paraId="287B411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Экземпляр единственный. Черн[овик] у т. Васина. </w:t>
      </w:r>
    </w:p>
    <w:p w14:paraId="1B7E09D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АП РФ. Ф.93, д.3(43), л.38–49об. Автограф. </w:t>
      </w:r>
    </w:p>
    <w:p w14:paraId="4D4B82A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1 </w:t>
      </w:r>
      <w:r w:rsidRPr="00271E51">
        <w:rPr>
          <w:rFonts w:ascii="Times New Roman" w:hAnsi="Times New Roman"/>
          <w:color w:val="000000" w:themeColor="text1"/>
          <w:sz w:val="16"/>
          <w:szCs w:val="16"/>
        </w:rPr>
        <w:t xml:space="preserve">Заголовок документа вписан от руки карандашом, возможно, М.Г. Первухиным. Адресат в документе не указан, автор установлен по почерку. Подчеркивания, сделанные, вероятно, М.Г. Первухиным, не оговариваются. Возможно, что этот документ – первый вариант докладной записки в ГКО или материал для ее подготовки. Докладная записка – см. документ № 174. </w:t>
      </w:r>
    </w:p>
    <w:p w14:paraId="64E0E1F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 xml:space="preserve">Датируется по заголовку документа, регистрационному штампу, в котором указан месяц и год, и дате подготовки второго варианта документа. </w:t>
      </w:r>
    </w:p>
    <w:p w14:paraId="2249A6A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3 </w:t>
      </w:r>
      <w:r w:rsidRPr="00271E51">
        <w:rPr>
          <w:rFonts w:ascii="Times New Roman" w:hAnsi="Times New Roman"/>
          <w:color w:val="000000" w:themeColor="text1"/>
          <w:sz w:val="16"/>
          <w:szCs w:val="16"/>
        </w:rPr>
        <w:t xml:space="preserve">Напротив пункта помета (возможно, М.Г. Первухина): изотоп. </w:t>
      </w:r>
    </w:p>
    <w:p w14:paraId="7E8A6FE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4 </w:t>
      </w:r>
      <w:r w:rsidRPr="00271E51">
        <w:rPr>
          <w:rFonts w:ascii="Times New Roman" w:hAnsi="Times New Roman"/>
          <w:color w:val="000000" w:themeColor="text1"/>
          <w:sz w:val="16"/>
          <w:szCs w:val="16"/>
        </w:rPr>
        <w:t xml:space="preserve">Здесь и далее выделено автором. </w:t>
      </w:r>
    </w:p>
    <w:p w14:paraId="1FF34BE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5 </w:t>
      </w:r>
      <w:r w:rsidRPr="00271E51">
        <w:rPr>
          <w:rFonts w:ascii="Times New Roman" w:hAnsi="Times New Roman"/>
          <w:color w:val="000000" w:themeColor="text1"/>
          <w:sz w:val="16"/>
          <w:szCs w:val="16"/>
        </w:rPr>
        <w:t xml:space="preserve">Далее одно слово вписано автором над строкой. </w:t>
      </w:r>
    </w:p>
    <w:p w14:paraId="53B3C13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6 </w:t>
      </w:r>
      <w:r w:rsidRPr="00271E51">
        <w:rPr>
          <w:rFonts w:ascii="Times New Roman" w:hAnsi="Times New Roman"/>
          <w:color w:val="000000" w:themeColor="text1"/>
          <w:sz w:val="16"/>
          <w:szCs w:val="16"/>
        </w:rPr>
        <w:t xml:space="preserve">Далее так в документе; описка автора, следует: графита. Вероятно, М.Г. Первухиным вписано от руки над строкой: графита? </w:t>
      </w:r>
    </w:p>
    <w:p w14:paraId="3209700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7 </w:t>
      </w:r>
      <w:r w:rsidRPr="00271E51">
        <w:rPr>
          <w:rFonts w:ascii="Times New Roman" w:hAnsi="Times New Roman"/>
          <w:color w:val="000000" w:themeColor="text1"/>
          <w:sz w:val="16"/>
          <w:szCs w:val="16"/>
        </w:rPr>
        <w:t xml:space="preserve">Реактор Ф-1 (первый в СССР и Европе) был построен и пущен в Лаборатории № 2 в декабре 1946 г. Подробнее см.: И.Ф. Жежерун. Строительство и пуск первого в Советском Союзе атомного реактора.–М.: Атомиздат. 1978; А. Круглов. Как создавалась атомная промышленность в СССР.–М.: ЦНИИатоминформ. 1995. С. 42–52. </w:t>
      </w:r>
    </w:p>
    <w:p w14:paraId="2F1C2DE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8 </w:t>
      </w:r>
      <w:r w:rsidRPr="00271E51">
        <w:rPr>
          <w:rFonts w:ascii="Times New Roman" w:hAnsi="Times New Roman"/>
          <w:color w:val="000000" w:themeColor="text1"/>
          <w:sz w:val="16"/>
          <w:szCs w:val="16"/>
        </w:rPr>
        <w:t xml:space="preserve">В таблице окантовано автором синим карандашом. </w:t>
      </w:r>
    </w:p>
    <w:p w14:paraId="671939C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9 </w:t>
      </w:r>
      <w:r w:rsidRPr="00271E51">
        <w:rPr>
          <w:rFonts w:ascii="Times New Roman" w:hAnsi="Times New Roman"/>
          <w:color w:val="000000" w:themeColor="text1"/>
          <w:sz w:val="16"/>
          <w:szCs w:val="16"/>
        </w:rPr>
        <w:t>В таблице окантовано автором красным карандашом (11323).</w:t>
      </w:r>
    </w:p>
    <w:p w14:paraId="4DCA58B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6BB35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Адмиралтейцы закончили установку подкреплений под артиллерийские системы на канонерской лодке "Ока" (10671).</w:t>
      </w:r>
    </w:p>
    <w:p w14:paraId="37009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69A8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E841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6B93F5"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 июля</w:t>
      </w:r>
      <w:r w:rsidRPr="00271E51">
        <w:rPr>
          <w:rFonts w:ascii="Times New Roman" w:hAnsi="Times New Roman"/>
          <w:color w:val="000000" w:themeColor="text1"/>
          <w:sz w:val="16"/>
          <w:szCs w:val="16"/>
        </w:rPr>
        <w:t xml:space="preserve"> в 1943 году утреннее сообщение Совинформбюро:</w:t>
      </w:r>
    </w:p>
    <w:p w14:paraId="69181344"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ночи на 1 июля на фронте ничего существенного не произошло.</w:t>
      </w:r>
    </w:p>
    <w:p w14:paraId="5BA7FBE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происходила редкая артиллерийская перестрелка. Подразделение, где командиром капитан Ломсадзе, предприняло разведку боем. Ночью сапёры проделали проходы в минных полях и проволочных заграждениях противника.На рассвете, после огневого налёта артиллерии на вражеские позиции, разведчики переправились через реку и ворвались в немецкие траншеи. Отделение старшего сержанта Косачёва окружило вражеский дзот, взорвало его гранатами и захватило пленных. Отделение старшего сержанта Самарина окружило другой дзот. Немцы закрыли амбразуры стальными ставнями. Тогда сержант Самарин влез на дзот и бросил в трубу противотанковую гранату. Старший сержант Мизаев взорвал землянку, где находился пункт связи, а сержант Сатков уничтожил станковый пулемёт вместе с расчётом. Всего наши бойцы истребили более 100 гитлеровцев, уничтожили орудие, 3 миномёта, захватили трофеи и пленных.</w:t>
      </w:r>
    </w:p>
    <w:p w14:paraId="5676E15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9 немецких бомбардировщиков под прикрытием 3 истребителей пытались совершить налёт на прифронтовой населённый пункт. Лётчики Н-ской части вылетели на перехват вражеских самолётов и вступили с ними в бой. В воздушном бою наши лётчики сбили 5 бомбардировщиков и 2 немецких истребителя.</w:t>
      </w:r>
    </w:p>
    <w:p w14:paraId="29AEE6EC"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Волховского фронта немцы предприняли разведку боем. Наши подразделения встретили противника метким ружейно-пулемётным огнём. Не достигнув переднего края советской обороны, гитлеровцы были вынуждены отступить. На поле боя осталось несколько десятков вражеских трупов.</w:t>
      </w:r>
    </w:p>
    <w:p w14:paraId="35DDC74C"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Лейтенант т. Ходульно огнём из противотанкового ружья сбил немецкий самолёт-корректировщик.</w:t>
      </w:r>
    </w:p>
    <w:p w14:paraId="1833871A"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Ленинградского фронта немецкие бомбардировщики атаковали советский бронепоезд. Зенитчики открыли огонь и сбили два вражеских самолёта. Остальные самолёты противника беспорядочно сбросили бомбы далеко от цели.</w:t>
      </w:r>
    </w:p>
    <w:p w14:paraId="0BD2B7C8"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украинских партизан из засады обстрелял вражескую автоколонну. Убито 70 немецких солдат и 4 офицера. Сожжены автобус и несколько автомашин.</w:t>
      </w:r>
    </w:p>
    <w:p w14:paraId="2DE12423"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Могилёвской области, разгромил первую роту 13 немецкого полицейского полка «СС». Среди убитых гитлеровцев оказался командир роты капитан Ганс Эрике. У него найдено «Приложение к приказу № 9 по батальону оборьбе с партизанами».</w:t>
      </w:r>
    </w:p>
    <w:p w14:paraId="31341A33"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разделе приказа, озаглавленном «Прочёсывание деревень», говорится:</w:t>
      </w:r>
    </w:p>
    <w:p w14:paraId="36DDD4F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Если жители поддерживают партизан, следует захватить их, доставить в лагери рейхсфюрера «СС» или обергруппенфюрера «СС» Заукеля.</w:t>
      </w:r>
    </w:p>
    <w:p w14:paraId="773F0727"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Если для задержания и отправки нет времени, жителей следует полностью уничтожить...»</w:t>
      </w:r>
    </w:p>
    <w:p w14:paraId="480248B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Приведённый выше документ лишний раз показывает, что немецкое командование всвоих приказах предписывает офицерам творить расправу над мирными жителями, угонять их на каторгу или поголовно уничтожать. Любому фашистскому бандиту этим приказом дано право совершать любые злодеяния над мирными и ни в чём неповинными жителями временно оккупированных немцами советских районов. Но пусть помнят подлые убийцы стариков, женщин и детей, что они ответят за все свои преступления. Никто из фашистских бандитов не избежит ответственности, никто из них не уйдёт от суровой кары.</w:t>
      </w:r>
    </w:p>
    <w:p w14:paraId="1AABB34D"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Северной Фессалии греческие партизаны разгромили крупный немецкий отряд и захватила большие трофеи. В ущелье юго-западнее Трикалы партизаны вели ожесточённый бой с итальянцами и уничтожили свыше 200 оккупантов. В районе Пинда патриоты совершили налёт на вражеский гарнизон. В завязавшейся схватке убито и ранено 55 солдат противника. Несколько десятков итальянских солдат захвачено в плен. В результате активных действий партизан нарушено железнодорожное движение на линии Афины—Салоники. Патриоты, действующие на вооружённых рыболовных судах, потопили несколько немецких транспортов с военными грузами.» (14939).</w:t>
      </w:r>
    </w:p>
    <w:p w14:paraId="480A5442" w14:textId="77777777" w:rsidR="00082408" w:rsidRPr="00271E51" w:rsidRDefault="00082408" w:rsidP="00271E51">
      <w:pPr>
        <w:spacing w:after="0" w:line="240" w:lineRule="auto"/>
        <w:jc w:val="both"/>
        <w:rPr>
          <w:rFonts w:ascii="Times New Roman" w:hAnsi="Times New Roman"/>
          <w:color w:val="000000" w:themeColor="text1"/>
          <w:sz w:val="16"/>
          <w:szCs w:val="16"/>
        </w:rPr>
      </w:pPr>
    </w:p>
    <w:p w14:paraId="4F4F4629"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 июля</w:t>
      </w:r>
      <w:r w:rsidRPr="00271E51">
        <w:rPr>
          <w:rFonts w:ascii="Times New Roman" w:hAnsi="Times New Roman"/>
          <w:color w:val="000000" w:themeColor="text1"/>
          <w:sz w:val="16"/>
          <w:szCs w:val="16"/>
        </w:rPr>
        <w:t xml:space="preserve"> в 1943 году вечернее сообщение Совинформбюро:</w:t>
      </w:r>
    </w:p>
    <w:p w14:paraId="2F437919"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июля на фронте существенных изменений не произошло.</w:t>
      </w:r>
    </w:p>
    <w:p w14:paraId="4A8984A1"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Западного фронта наши артиллеристы и миномётчики произвели огневой налёт на позиции противника, уничтожили 3 немецких артиллерийских батареи, несколько пулемётов и разрушили 19 блиндажей. Когда вражеские огневые точки были подавлены, советские разведчики с нескольких направлений одновременно атаковали укреплённый пункт обороны противника. В завязавшемся бою немцы потеряли убитыми 70 и ранеными до 130 солдат и офицеров. Разведчики захватили пленных и трофеи. На остальных участках фронта велась редкая артиллерийская и ружейно-пулемётная перестрелка.</w:t>
      </w:r>
    </w:p>
    <w:p w14:paraId="18B1F87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несколько дней назад гвардейцы части, которой командует т. Карапетян, атаковали укреплённую немцами высоту. Эту высоту, имеющую важное значение, противник превратил в сильно укреплённый пункт обороны с развитой системой траншей, ходов сообщения, окопов и дзотов. Подступы к высоте были прикрыты сетью минных полей и проволочными заграждениями. Стремительным ударом гвардейцы захватили высоту и закрепились на ней. Пытаясь восстановить положение, противник в течение последующих шести дней 23 раза переходил в атаки. Гвардейцы отбили все контратаки противника и продолжают удерживать захваченные ими позиции. За это время наши бойцы уничтожили более 600 немецких солдат и офицеров и взяли пленных. Захвачено у противника 13 пулемётов, 11 миномётов, 110 винтовок, 18 автоматов, 5 стереотруб, 2 радиостанции и другие трофеи.</w:t>
      </w:r>
    </w:p>
    <w:p w14:paraId="7E94ECBA"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Лисичанска наши артиллеристы сожгли немецкий танк, обстреливавший, советские позиции. Кроме того, советские артиллеристы разрушили 3 дзота и 2 блиндажа, рассеяли роту гитлеровцев и взорвали склад боеприпасов противника.</w:t>
      </w:r>
    </w:p>
    <w:p w14:paraId="324A8811"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артиллеристы подразделения, где командиром тов. Богуш, уничтожили 4 немецких пулемётных дзота вместе с их гарнизонами. Снайпер Михаил Баринов заметил двух немецких солдат, конвоировавших женщин. Тов. Баринов двумя выстрелами уничтожил обоих немецких конвоиров. Женщины разбежались.</w:t>
      </w:r>
    </w:p>
    <w:p w14:paraId="7052CE9D"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гвардейцы-сапёры из подразделения, где командиром т. Синицкий, проникли в глубокий тыл противника и заминировали шоссейную дорогу ,ведущую к линии фронта. Старший сержант Осипов увидел колонну легковых автомашин. При помощи управляемого фугаса он подорвал две машины с офицерами. Уцелевших во время взрыва немцев сапёры застрелили из автоматов. Другие группы сапёров уничтожили ещё две автомашины и несколько десятков немцев.</w:t>
      </w:r>
    </w:p>
    <w:p w14:paraId="33CD4017"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Винницкой области, организовал крушение немецкого воинского поезда, следовавшего к линии фронта. Паровоз и 26 вагонов упали с высокой насыпи и разбились. Партизаны отряда имени Дзержинского сожгли три моста на шоссейной дороге и взорвали 500 метров железнодорожного пути.</w:t>
      </w:r>
    </w:p>
    <w:p w14:paraId="6420914A"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истребляют мирных жителей советских сёл и городов. В деревне Блужский Бор, Минской области, гитлеровцы убили 19 стариков, женщин и детей, в том числе 60-летнего старика Проновича, его жену и дочь, учительницу вместе с грудным ребёнком и двухлетним сыном. Недавно немецкие бандиты ворвались в деревню Маковье, арестовали 112 человек, заперли их в сарай и живьём сожгли ни в чём не повинных мирных жителей.</w:t>
      </w:r>
    </w:p>
    <w:p w14:paraId="5072A30B"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Болгарская газета «Днесь» 24 июня поместила на первой странице фотографию старика и молодой девушки, осматривающих убранный лён. Редакция снабдила фотографию заголовком «Урожай на Украине» и подписью: «Германское правительство ввело на оккупированной территории новый порядок. Русский крестьянин со своим семейством радуется своему богатству и обильному урожаю».</w:t>
      </w:r>
    </w:p>
    <w:p w14:paraId="58E5AAB2"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Редакция газеты «Днесь» неспроста умолчала о том, в каком оккупированном районе Украины выращен и собран урожай льна, и не назвала имени и фамилии этого крестьянина. Мелкотравчатые жулики из болгарской газеты, помещая фотоснимок и подпись к нему, совершили очередной подлог. На фотографии, помещённой в газете, изображены бригадир льноводческой бригады сельскохозяйственной артели «Совет», Сернурского района, Марийской автономной советской республики, 65-летний колхозник Леонид Максимович Лаптев со своей помощницей колхозницей Тоней Вершининой, осматривающие богатый колхозный урожай льна.. Снимок этот сделан ещёдо войны и вошёл в альбом фотографий, разосланный в своё время за границу. Продавшиеся немцам литературные жулики из редакции газеты «Днесь» извлекли эту старую фотографию, показывающую рост благосостояния советского села, приспособили её для грязных клеветнических целей и... оскандалились на весь мир. Они пойманы за руку, пойманы с поличным.» (14939).</w:t>
      </w:r>
    </w:p>
    <w:p w14:paraId="7DD2565D" w14:textId="77777777" w:rsidR="00082408" w:rsidRPr="00271E51" w:rsidRDefault="00082408" w:rsidP="00271E51">
      <w:pPr>
        <w:spacing w:after="0" w:line="240" w:lineRule="auto"/>
        <w:jc w:val="both"/>
        <w:rPr>
          <w:rFonts w:ascii="Times New Roman" w:hAnsi="Times New Roman"/>
          <w:color w:val="000000" w:themeColor="text1"/>
          <w:sz w:val="16"/>
          <w:szCs w:val="16"/>
        </w:rPr>
      </w:pPr>
    </w:p>
    <w:p w14:paraId="0948169D" w14:textId="77777777" w:rsidR="00593262" w:rsidRPr="00271E51" w:rsidRDefault="0059326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г. в боях участвовало: с советской стороны — 10252 самолетов, а с германской — 2980.</w:t>
      </w:r>
    </w:p>
    <w:p w14:paraId="2D983D02" w14:textId="77777777" w:rsidR="00593262" w:rsidRPr="00271E51" w:rsidRDefault="0059326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июль 1943 г. с ноября 1942 г. количество самолетов в действующей армии возросло вдвое.</w:t>
      </w:r>
    </w:p>
    <w:p w14:paraId="44694381" w14:textId="77777777" w:rsidR="00593262" w:rsidRPr="00271E51" w:rsidRDefault="0059326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были выпущены 35003 крылатые машины, в том числе 29818 боевых. Тем самым удалось превзойти аналогичный показатель 1942 г. на 37,8%, а продуктивность германской авиапромышленности в 1943 г. — на 10500 машин (18305).</w:t>
      </w:r>
    </w:p>
    <w:p w14:paraId="154F742C" w14:textId="77777777" w:rsidR="00593262" w:rsidRPr="00271E51" w:rsidRDefault="00593262" w:rsidP="00271E51">
      <w:pPr>
        <w:spacing w:after="0" w:line="240" w:lineRule="auto"/>
        <w:jc w:val="both"/>
        <w:rPr>
          <w:rFonts w:ascii="Times New Roman" w:hAnsi="Times New Roman"/>
          <w:color w:val="000000" w:themeColor="text1"/>
          <w:sz w:val="16"/>
          <w:szCs w:val="16"/>
        </w:rPr>
      </w:pPr>
    </w:p>
    <w:p w14:paraId="397EF695" w14:textId="77777777" w:rsidR="00C4612F" w:rsidRPr="00271E51" w:rsidRDefault="00C4612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1 июля 1943 года на всех фронтах и в войсках имелось 2554 боеспособных аэростатов заграждения. А всего за годы войны в составе Красной Армии было дополнительно сформировано три дивизии и 17 отдельных дивизионов аэростатов заграждения, 10 отдельных дивизионов аэростатов наблюдения и даже один отдельный воздухоплавательный отряд ВДВ. В этих структурах насчитывалось более 50 тыс. человек личного состава (22863).</w:t>
      </w:r>
    </w:p>
    <w:p w14:paraId="56C68AEB" w14:textId="77777777" w:rsidR="00C4612F" w:rsidRPr="00271E51" w:rsidRDefault="00C4612F" w:rsidP="00271E51">
      <w:pPr>
        <w:spacing w:after="0" w:line="240" w:lineRule="auto"/>
        <w:jc w:val="both"/>
        <w:rPr>
          <w:rFonts w:ascii="Times New Roman" w:hAnsi="Times New Roman"/>
          <w:color w:val="0070C0"/>
          <w:sz w:val="16"/>
          <w:szCs w:val="16"/>
        </w:rPr>
      </w:pPr>
    </w:p>
    <w:p w14:paraId="24287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г. в соста</w:t>
      </w:r>
      <w:r w:rsidRPr="00271E51">
        <w:rPr>
          <w:rFonts w:ascii="Times New Roman" w:hAnsi="Times New Roman"/>
          <w:color w:val="000000" w:themeColor="text1"/>
          <w:sz w:val="16"/>
          <w:szCs w:val="16"/>
        </w:rPr>
        <w:softHyphen/>
        <w:t>ве авиации флотов имелось 164 Ил-2 всех модификаций, из них 75 Ил-2 вое</w:t>
      </w:r>
      <w:r w:rsidRPr="00271E51">
        <w:rPr>
          <w:rFonts w:ascii="Times New Roman" w:hAnsi="Times New Roman"/>
          <w:color w:val="000000" w:themeColor="text1"/>
          <w:sz w:val="16"/>
          <w:szCs w:val="16"/>
        </w:rPr>
        <w:softHyphen/>
        <w:t>вали в составе ВВС ЧФ, 61 Ил-2 - в со</w:t>
      </w:r>
      <w:r w:rsidRPr="00271E51">
        <w:rPr>
          <w:rFonts w:ascii="Times New Roman" w:hAnsi="Times New Roman"/>
          <w:color w:val="000000" w:themeColor="text1"/>
          <w:sz w:val="16"/>
          <w:szCs w:val="16"/>
        </w:rPr>
        <w:softHyphen/>
        <w:t>ставе ВВС КБФ и 28 Ил-2 - в составе ВВС СФ (6467).</w:t>
      </w:r>
    </w:p>
    <w:p w14:paraId="3FE9A0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A28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июля 1943 г. процент неисправных боевых самоле</w:t>
      </w:r>
      <w:r w:rsidRPr="00271E51">
        <w:rPr>
          <w:rFonts w:ascii="Times New Roman" w:hAnsi="Times New Roman"/>
          <w:color w:val="000000" w:themeColor="text1"/>
          <w:sz w:val="16"/>
          <w:szCs w:val="16"/>
        </w:rPr>
        <w:softHyphen/>
        <w:t>тов в ВВС КА удалось понизить до 11,7%. Причем из общего числа небоеспособных самолетов больше всего — 27,4% — приходилось на долю штурмовиков Ил-2.</w:t>
      </w:r>
    </w:p>
    <w:p w14:paraId="668706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отметим, что при общем по ВВС КА сокращении про</w:t>
      </w:r>
      <w:r w:rsidRPr="00271E51">
        <w:rPr>
          <w:rFonts w:ascii="Times New Roman" w:hAnsi="Times New Roman"/>
          <w:color w:val="000000" w:themeColor="text1"/>
          <w:sz w:val="16"/>
          <w:szCs w:val="16"/>
        </w:rPr>
        <w:softHyphen/>
        <w:t>цента неисправных самолетов количество не ремонтируемых из-за отсутствия запчастей боевых машин почти не изменилось, а даже возросло. Если по состоянию на 10 марта 1943 г. по этой причине не ремонтировалось 37,9% неисправных самолетов, то на 1 апреля — 41,3%, на 1 мая — 44,3% и на 1 июня — 46,3%.</w:t>
      </w:r>
    </w:p>
    <w:p w14:paraId="6509C4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Инженеры штурмовых авиаполков и дивизий в своих отче</w:t>
      </w:r>
      <w:r w:rsidRPr="00271E51">
        <w:rPr>
          <w:rFonts w:ascii="Times New Roman" w:hAnsi="Times New Roman"/>
          <w:color w:val="000000" w:themeColor="text1"/>
          <w:sz w:val="16"/>
          <w:szCs w:val="16"/>
        </w:rPr>
        <w:softHyphen/>
        <w:t>тах указывали, что «большим тормозом в боевой работе» явля</w:t>
      </w:r>
      <w:r w:rsidRPr="00271E51">
        <w:rPr>
          <w:rFonts w:ascii="Times New Roman" w:hAnsi="Times New Roman"/>
          <w:color w:val="000000" w:themeColor="text1"/>
          <w:sz w:val="16"/>
          <w:szCs w:val="16"/>
        </w:rPr>
        <w:softHyphen/>
        <w:t>ется отсутствие в системе технического снабжения так назы</w:t>
      </w:r>
      <w:r w:rsidRPr="00271E51">
        <w:rPr>
          <w:rFonts w:ascii="Times New Roman" w:hAnsi="Times New Roman"/>
          <w:color w:val="000000" w:themeColor="text1"/>
          <w:sz w:val="16"/>
          <w:szCs w:val="16"/>
        </w:rPr>
        <w:softHyphen/>
        <w:t>ваемых «мелочей» (крепежных деталей для силовых узлов шас</w:t>
      </w:r>
      <w:r w:rsidRPr="00271E51">
        <w:rPr>
          <w:rFonts w:ascii="Times New Roman" w:hAnsi="Times New Roman"/>
          <w:color w:val="000000" w:themeColor="text1"/>
          <w:sz w:val="16"/>
          <w:szCs w:val="16"/>
        </w:rPr>
        <w:softHyphen/>
        <w:t>си, костыльной установки подвески консолей, плоскостей и т.д.). Их приходилось изготавливать в полевых авиаремонтных мастерских ПАРМ-1, на что уходило много времени, так как в большинстве случаев требовалось обеспечить 2-й класс точно</w:t>
      </w:r>
      <w:r w:rsidRPr="00271E51">
        <w:rPr>
          <w:rFonts w:ascii="Times New Roman" w:hAnsi="Times New Roman"/>
          <w:color w:val="000000" w:themeColor="text1"/>
          <w:sz w:val="16"/>
          <w:szCs w:val="16"/>
        </w:rPr>
        <w:softHyphen/>
        <w:t>сти обработки деталей и специальную температурную закалку. Отмечалось недостаточно оперативное снабжение частей зап</w:t>
      </w:r>
      <w:r w:rsidRPr="00271E51">
        <w:rPr>
          <w:rFonts w:ascii="Times New Roman" w:hAnsi="Times New Roman"/>
          <w:color w:val="000000" w:themeColor="text1"/>
          <w:sz w:val="16"/>
          <w:szCs w:val="16"/>
        </w:rPr>
        <w:softHyphen/>
        <w:t>частями и ремонтными групповыми комплектами. По этой причине в частях «практиковалась разделка списанных и ре</w:t>
      </w:r>
      <w:r w:rsidRPr="00271E51">
        <w:rPr>
          <w:rFonts w:ascii="Times New Roman" w:hAnsi="Times New Roman"/>
          <w:color w:val="000000" w:themeColor="text1"/>
          <w:sz w:val="16"/>
          <w:szCs w:val="16"/>
        </w:rPr>
        <w:softHyphen/>
        <w:t>монтных самолетов на запчасти силами технического состава авиаполков и ПАРМ-1». Предлагалось пересмотреть состав поставляемых промышленностью групповых комплектов Ил-2, поскольку некоторые комплекты были «слишком гро</w:t>
      </w:r>
      <w:r w:rsidRPr="00271E51">
        <w:rPr>
          <w:rFonts w:ascii="Times New Roman" w:hAnsi="Times New Roman"/>
          <w:color w:val="000000" w:themeColor="text1"/>
          <w:sz w:val="16"/>
          <w:szCs w:val="16"/>
        </w:rPr>
        <w:softHyphen/>
        <w:t>моздкими для войны». Кроме этого, требовалось ввести груп</w:t>
      </w:r>
      <w:r w:rsidRPr="00271E51">
        <w:rPr>
          <w:rFonts w:ascii="Times New Roman" w:hAnsi="Times New Roman"/>
          <w:color w:val="000000" w:themeColor="text1"/>
          <w:sz w:val="16"/>
          <w:szCs w:val="16"/>
        </w:rPr>
        <w:softHyphen/>
        <w:t>повые комплекты по отдельным видам полевого ремонта Ил-2: «Практика совершенно точно определила номенклатуру для восстановления самолета, например, при вынужденных посад</w:t>
      </w:r>
      <w:r w:rsidRPr="00271E51">
        <w:rPr>
          <w:rFonts w:ascii="Times New Roman" w:hAnsi="Times New Roman"/>
          <w:color w:val="000000" w:themeColor="text1"/>
          <w:sz w:val="16"/>
          <w:szCs w:val="16"/>
        </w:rPr>
        <w:softHyphen/>
        <w:t>ках на фюзеляж и т.д.». К сожалению, ничего из этого авиа</w:t>
      </w:r>
      <w:r w:rsidRPr="00271E51">
        <w:rPr>
          <w:rFonts w:ascii="Times New Roman" w:hAnsi="Times New Roman"/>
          <w:color w:val="000000" w:themeColor="text1"/>
          <w:sz w:val="16"/>
          <w:szCs w:val="16"/>
        </w:rPr>
        <w:softHyphen/>
        <w:t>промышленностью до самого конца войны сделано не было.</w:t>
      </w:r>
    </w:p>
    <w:p w14:paraId="42C5BE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учитывать, что обеспеченность запчастями воз</w:t>
      </w:r>
      <w:r w:rsidRPr="00271E51">
        <w:rPr>
          <w:rFonts w:ascii="Times New Roman" w:hAnsi="Times New Roman"/>
          <w:color w:val="000000" w:themeColor="text1"/>
          <w:sz w:val="16"/>
          <w:szCs w:val="16"/>
        </w:rPr>
        <w:softHyphen/>
        <w:t>душных армий все же была более-менее сносной. Тыловые части снабжались запчастями на порядок хуже. Так, из 1605 (!) неис</w:t>
      </w:r>
      <w:r w:rsidRPr="00271E51">
        <w:rPr>
          <w:rFonts w:ascii="Times New Roman" w:hAnsi="Times New Roman"/>
          <w:color w:val="000000" w:themeColor="text1"/>
          <w:sz w:val="16"/>
          <w:szCs w:val="16"/>
        </w:rPr>
        <w:softHyphen/>
        <w:t>правных самолетов ВВС КА по состоянию на 1 июня 1943 г., не ремонтируемых только лишь из-за нехватки запчастей, 1298 бое</w:t>
      </w:r>
      <w:r w:rsidRPr="00271E51">
        <w:rPr>
          <w:rFonts w:ascii="Times New Roman" w:hAnsi="Times New Roman"/>
          <w:color w:val="000000" w:themeColor="text1"/>
          <w:sz w:val="16"/>
          <w:szCs w:val="16"/>
        </w:rPr>
        <w:softHyphen/>
        <w:t>вых машин находилось в тыловых военных округах, в том числе: 309 Як-1 и Як-7,99 ЛаГГ-3, 78 Ла-5, 84 Пе-2 и 444 (!) Ил-2.</w:t>
      </w:r>
    </w:p>
    <w:p w14:paraId="371C6D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в ВВС КА имелись почти две воздушные армии среднего размера, небоеспособные из-за отсутствия за</w:t>
      </w:r>
      <w:r w:rsidRPr="00271E51">
        <w:rPr>
          <w:rFonts w:ascii="Times New Roman" w:hAnsi="Times New Roman"/>
          <w:color w:val="000000" w:themeColor="text1"/>
          <w:sz w:val="16"/>
          <w:szCs w:val="16"/>
        </w:rPr>
        <w:softHyphen/>
        <w:t>пасных частей. В то же время заводы НКАП перенапрягались сверх всякой меры, форсируя выпуск боевых самолетов. Тре</w:t>
      </w:r>
      <w:r w:rsidRPr="00271E51">
        <w:rPr>
          <w:rFonts w:ascii="Times New Roman" w:hAnsi="Times New Roman"/>
          <w:color w:val="000000" w:themeColor="text1"/>
          <w:sz w:val="16"/>
          <w:szCs w:val="16"/>
        </w:rPr>
        <w:softHyphen/>
        <w:t>бования ВВС увеличить поставки в оборотный фонд авиамо</w:t>
      </w:r>
      <w:r w:rsidRPr="00271E51">
        <w:rPr>
          <w:rFonts w:ascii="Times New Roman" w:hAnsi="Times New Roman"/>
          <w:color w:val="000000" w:themeColor="text1"/>
          <w:sz w:val="16"/>
          <w:szCs w:val="16"/>
        </w:rPr>
        <w:softHyphen/>
        <w:t>торов, запасных частей и ремонтных групповых комплектов, что позволяло бы оперативно восстанавливать имевшуюся ма</w:t>
      </w:r>
      <w:r w:rsidRPr="00271E51">
        <w:rPr>
          <w:rFonts w:ascii="Times New Roman" w:hAnsi="Times New Roman"/>
          <w:color w:val="000000" w:themeColor="text1"/>
          <w:sz w:val="16"/>
          <w:szCs w:val="16"/>
        </w:rPr>
        <w:softHyphen/>
        <w:t>териальную часть, руководством НКАП игнорировались. Ви</w:t>
      </w:r>
      <w:r w:rsidRPr="00271E51">
        <w:rPr>
          <w:rFonts w:ascii="Times New Roman" w:hAnsi="Times New Roman"/>
          <w:color w:val="000000" w:themeColor="text1"/>
          <w:sz w:val="16"/>
          <w:szCs w:val="16"/>
        </w:rPr>
        <w:softHyphen/>
        <w:t>димо, было проще «гнать план» по самолетам, чем заниматься трудоемким процессом налаживания выпуска «мелочей».</w:t>
      </w:r>
    </w:p>
    <w:p w14:paraId="589CF7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стоит затронуть и такой приметный вопрос, как взаи</w:t>
      </w:r>
      <w:r w:rsidRPr="00271E51">
        <w:rPr>
          <w:rFonts w:ascii="Times New Roman" w:hAnsi="Times New Roman"/>
          <w:color w:val="000000" w:themeColor="text1"/>
          <w:sz w:val="16"/>
          <w:szCs w:val="16"/>
        </w:rPr>
        <w:softHyphen/>
        <w:t>мозаменяемость агрегатов самолетов Ил-2, построенных раз</w:t>
      </w:r>
      <w:r w:rsidRPr="00271E51">
        <w:rPr>
          <w:rFonts w:ascii="Times New Roman" w:hAnsi="Times New Roman"/>
          <w:color w:val="000000" w:themeColor="text1"/>
          <w:sz w:val="16"/>
          <w:szCs w:val="16"/>
        </w:rPr>
        <w:softHyphen/>
        <w:t>ными заводами.</w:t>
      </w:r>
    </w:p>
    <w:p w14:paraId="18C485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Теоретически все серийные Ил-2, изготовляемые по одному комплекту чертежей, исходящему от завода № 18, как головного по серийному производству штурмовика, должны быть строго одинаковы. Практически так никогда не было. Имелось десяток причин, которые в своей сумме нарушали этот принцип. Само</w:t>
      </w:r>
      <w:r w:rsidRPr="00271E51">
        <w:rPr>
          <w:rFonts w:ascii="Times New Roman" w:hAnsi="Times New Roman"/>
          <w:color w:val="000000" w:themeColor="text1"/>
          <w:sz w:val="16"/>
          <w:szCs w:val="16"/>
        </w:rPr>
        <w:softHyphen/>
        <w:t>леты Ил-2 разных заводов отличались, и притом значительно. Это создавало определенные трудности при организации экс</w:t>
      </w:r>
      <w:r w:rsidRPr="00271E51">
        <w:rPr>
          <w:rFonts w:ascii="Times New Roman" w:hAnsi="Times New Roman"/>
          <w:color w:val="000000" w:themeColor="text1"/>
          <w:sz w:val="16"/>
          <w:szCs w:val="16"/>
        </w:rPr>
        <w:softHyphen/>
        <w:t>плуатации и ремонта самолетов в строевых частях. Командую</w:t>
      </w:r>
      <w:r w:rsidRPr="00271E51">
        <w:rPr>
          <w:rFonts w:ascii="Times New Roman" w:hAnsi="Times New Roman"/>
          <w:color w:val="000000" w:themeColor="text1"/>
          <w:sz w:val="16"/>
          <w:szCs w:val="16"/>
        </w:rPr>
        <w:softHyphen/>
        <w:t>щим ВВС было даже дано указание комплектовать штурмовые авиачасти и соединения преимущественно самолетами с одного завода (11474,275).</w:t>
      </w:r>
    </w:p>
    <w:p w14:paraId="463C59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96A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в боях с нашей стороны участвовало 10252 (8290 - 340,134) самолета, а от немцев - 2980 (237,202).</w:t>
      </w:r>
    </w:p>
    <w:p w14:paraId="5F9378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Курском авиагруппировка немцев включала 2050 самолетов, в т.ч. 100 штурмовиков He-129 и 1200 бомбардировщиков. У нас было 940 штурмовиков и 900 бомбардировщиков, а всего 2900 + привлекалась АДД (340,135).</w:t>
      </w:r>
    </w:p>
    <w:p w14:paraId="377106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контрнаступлением под Курском и в последующих операциях авианаступление приобрело оперативный размах. Оно не ограничивалось поддержкой и прикрытием при прорыве обороны, а велось на всю глубину операции во взаимодействии войсковой авиации с АДД в интересах войск фронта со все большим массированием (518,110).</w:t>
      </w:r>
    </w:p>
    <w:p w14:paraId="06171C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01F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A907A5" w:rsidRPr="00271E51" w14:paraId="0B832CB7" w14:textId="77777777" w:rsidTr="00ED5B0A">
        <w:tc>
          <w:tcPr>
            <w:tcW w:w="1019" w:type="dxa"/>
            <w:tcBorders>
              <w:top w:val="single" w:sz="12" w:space="0" w:color="auto"/>
            </w:tcBorders>
          </w:tcPr>
          <w:p w14:paraId="7CD3D4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657E5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3C241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4EC87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Borders>
              <w:top w:val="single" w:sz="12" w:space="0" w:color="auto"/>
            </w:tcBorders>
          </w:tcPr>
          <w:p w14:paraId="7BC33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C0F0DC" w14:textId="77777777" w:rsidTr="00ED5B0A">
        <w:tc>
          <w:tcPr>
            <w:tcW w:w="1019" w:type="dxa"/>
          </w:tcPr>
          <w:p w14:paraId="42572A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5003E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Бомбардировщики</w:t>
            </w:r>
          </w:p>
        </w:tc>
        <w:tc>
          <w:tcPr>
            <w:tcW w:w="1019" w:type="dxa"/>
          </w:tcPr>
          <w:p w14:paraId="1577C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FE35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Разведчики</w:t>
            </w:r>
          </w:p>
        </w:tc>
        <w:tc>
          <w:tcPr>
            <w:tcW w:w="1019" w:type="dxa"/>
          </w:tcPr>
          <w:p w14:paraId="3F733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ECB9AD" w14:textId="77777777" w:rsidTr="00ED5B0A">
        <w:tc>
          <w:tcPr>
            <w:tcW w:w="1019" w:type="dxa"/>
          </w:tcPr>
          <w:p w14:paraId="7EE4F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FF7C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019" w:type="dxa"/>
          </w:tcPr>
          <w:p w14:paraId="4F436A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Неисправны</w:t>
            </w:r>
          </w:p>
        </w:tc>
        <w:tc>
          <w:tcPr>
            <w:tcW w:w="1019" w:type="dxa"/>
          </w:tcPr>
          <w:p w14:paraId="6860CE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019" w:type="dxa"/>
          </w:tcPr>
          <w:p w14:paraId="64E21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Неисправны</w:t>
            </w:r>
          </w:p>
        </w:tc>
      </w:tr>
      <w:tr w:rsidR="00A907A5" w:rsidRPr="00271E51" w14:paraId="759513D4" w14:textId="77777777" w:rsidTr="00ED5B0A">
        <w:tc>
          <w:tcPr>
            <w:tcW w:w="1019" w:type="dxa"/>
          </w:tcPr>
          <w:p w14:paraId="479C0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1-я ВА</w:t>
            </w:r>
          </w:p>
        </w:tc>
        <w:tc>
          <w:tcPr>
            <w:tcW w:w="1019" w:type="dxa"/>
          </w:tcPr>
          <w:p w14:paraId="46EDD6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1019" w:type="dxa"/>
          </w:tcPr>
          <w:p w14:paraId="2D5589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019" w:type="dxa"/>
          </w:tcPr>
          <w:p w14:paraId="459275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1019" w:type="dxa"/>
          </w:tcPr>
          <w:p w14:paraId="1EB08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690D8F78" w14:textId="77777777" w:rsidTr="00ED5B0A">
        <w:tc>
          <w:tcPr>
            <w:tcW w:w="1019" w:type="dxa"/>
          </w:tcPr>
          <w:p w14:paraId="7326A8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2-я ВА</w:t>
            </w:r>
          </w:p>
        </w:tc>
        <w:tc>
          <w:tcPr>
            <w:tcW w:w="1019" w:type="dxa"/>
          </w:tcPr>
          <w:p w14:paraId="2D0E79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tc>
        <w:tc>
          <w:tcPr>
            <w:tcW w:w="1019" w:type="dxa"/>
          </w:tcPr>
          <w:p w14:paraId="1F47A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019" w:type="dxa"/>
          </w:tcPr>
          <w:p w14:paraId="1AD2B7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019" w:type="dxa"/>
          </w:tcPr>
          <w:p w14:paraId="20D6B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5B58DDCB" w14:textId="77777777" w:rsidTr="00ED5B0A">
        <w:tc>
          <w:tcPr>
            <w:tcW w:w="1019" w:type="dxa"/>
          </w:tcPr>
          <w:p w14:paraId="4845E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3-я ВА</w:t>
            </w:r>
          </w:p>
        </w:tc>
        <w:tc>
          <w:tcPr>
            <w:tcW w:w="1019" w:type="dxa"/>
          </w:tcPr>
          <w:p w14:paraId="3D6E1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44B04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39B91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019" w:type="dxa"/>
          </w:tcPr>
          <w:p w14:paraId="0D9D0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5F7983EA" w14:textId="77777777" w:rsidTr="00ED5B0A">
        <w:tc>
          <w:tcPr>
            <w:tcW w:w="1019" w:type="dxa"/>
          </w:tcPr>
          <w:p w14:paraId="7B419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4-я ВА</w:t>
            </w:r>
          </w:p>
        </w:tc>
        <w:tc>
          <w:tcPr>
            <w:tcW w:w="1019" w:type="dxa"/>
          </w:tcPr>
          <w:p w14:paraId="1DCB59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tc>
        <w:tc>
          <w:tcPr>
            <w:tcW w:w="1019" w:type="dxa"/>
          </w:tcPr>
          <w:p w14:paraId="1D305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019" w:type="dxa"/>
          </w:tcPr>
          <w:p w14:paraId="63C742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019" w:type="dxa"/>
          </w:tcPr>
          <w:p w14:paraId="6E3E1A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72F3BBB8" w14:textId="77777777" w:rsidTr="00ED5B0A">
        <w:tc>
          <w:tcPr>
            <w:tcW w:w="1019" w:type="dxa"/>
          </w:tcPr>
          <w:p w14:paraId="53C68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5-я ВА</w:t>
            </w:r>
          </w:p>
        </w:tc>
        <w:tc>
          <w:tcPr>
            <w:tcW w:w="1019" w:type="dxa"/>
          </w:tcPr>
          <w:p w14:paraId="03479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w:t>
            </w:r>
          </w:p>
        </w:tc>
        <w:tc>
          <w:tcPr>
            <w:tcW w:w="1019" w:type="dxa"/>
          </w:tcPr>
          <w:p w14:paraId="6D908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1019" w:type="dxa"/>
          </w:tcPr>
          <w:p w14:paraId="5D3DA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1019" w:type="dxa"/>
          </w:tcPr>
          <w:p w14:paraId="224CA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1011E6F" w14:textId="77777777" w:rsidTr="00ED5B0A">
        <w:tc>
          <w:tcPr>
            <w:tcW w:w="1019" w:type="dxa"/>
          </w:tcPr>
          <w:p w14:paraId="0B758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6-я ВА</w:t>
            </w:r>
          </w:p>
        </w:tc>
        <w:tc>
          <w:tcPr>
            <w:tcW w:w="1019" w:type="dxa"/>
          </w:tcPr>
          <w:p w14:paraId="36A611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019" w:type="dxa"/>
          </w:tcPr>
          <w:p w14:paraId="1BEBB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019" w:type="dxa"/>
          </w:tcPr>
          <w:p w14:paraId="3D557A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019" w:type="dxa"/>
          </w:tcPr>
          <w:p w14:paraId="13500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7D63A567" w14:textId="77777777" w:rsidTr="00ED5B0A">
        <w:tc>
          <w:tcPr>
            <w:tcW w:w="1019" w:type="dxa"/>
          </w:tcPr>
          <w:p w14:paraId="22F94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7-я ВА</w:t>
            </w:r>
          </w:p>
        </w:tc>
        <w:tc>
          <w:tcPr>
            <w:tcW w:w="1019" w:type="dxa"/>
          </w:tcPr>
          <w:p w14:paraId="5018C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1019" w:type="dxa"/>
          </w:tcPr>
          <w:p w14:paraId="617FD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019" w:type="dxa"/>
          </w:tcPr>
          <w:p w14:paraId="01AD38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1019" w:type="dxa"/>
          </w:tcPr>
          <w:p w14:paraId="6D4EA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2E4F7CD1" w14:textId="77777777" w:rsidTr="00ED5B0A">
        <w:tc>
          <w:tcPr>
            <w:tcW w:w="1019" w:type="dxa"/>
          </w:tcPr>
          <w:p w14:paraId="72CD5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8-я ВА</w:t>
            </w:r>
          </w:p>
        </w:tc>
        <w:tc>
          <w:tcPr>
            <w:tcW w:w="1019" w:type="dxa"/>
          </w:tcPr>
          <w:p w14:paraId="4AAD5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w:t>
            </w:r>
          </w:p>
        </w:tc>
        <w:tc>
          <w:tcPr>
            <w:tcW w:w="1019" w:type="dxa"/>
          </w:tcPr>
          <w:p w14:paraId="7699DD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019" w:type="dxa"/>
          </w:tcPr>
          <w:p w14:paraId="07D5A8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019" w:type="dxa"/>
          </w:tcPr>
          <w:p w14:paraId="2AAF9E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04C7D161" w14:textId="77777777" w:rsidTr="00ED5B0A">
        <w:tc>
          <w:tcPr>
            <w:tcW w:w="1019" w:type="dxa"/>
          </w:tcPr>
          <w:p w14:paraId="3A742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13-я ВА</w:t>
            </w:r>
          </w:p>
        </w:tc>
        <w:tc>
          <w:tcPr>
            <w:tcW w:w="1019" w:type="dxa"/>
          </w:tcPr>
          <w:p w14:paraId="165B7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1019" w:type="dxa"/>
          </w:tcPr>
          <w:p w14:paraId="4E543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019" w:type="dxa"/>
          </w:tcPr>
          <w:p w14:paraId="0EF63C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1019" w:type="dxa"/>
          </w:tcPr>
          <w:p w14:paraId="178C8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58AF1154" w14:textId="77777777" w:rsidTr="00ED5B0A">
        <w:tc>
          <w:tcPr>
            <w:tcW w:w="1019" w:type="dxa"/>
          </w:tcPr>
          <w:p w14:paraId="00B82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14-я ВА</w:t>
            </w:r>
          </w:p>
        </w:tc>
        <w:tc>
          <w:tcPr>
            <w:tcW w:w="1019" w:type="dxa"/>
          </w:tcPr>
          <w:p w14:paraId="3430A2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1019" w:type="dxa"/>
          </w:tcPr>
          <w:p w14:paraId="48DC1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019" w:type="dxa"/>
          </w:tcPr>
          <w:p w14:paraId="3D635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019" w:type="dxa"/>
          </w:tcPr>
          <w:p w14:paraId="261397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57763893" w14:textId="77777777" w:rsidTr="00ED5B0A">
        <w:tc>
          <w:tcPr>
            <w:tcW w:w="1019" w:type="dxa"/>
          </w:tcPr>
          <w:p w14:paraId="4F38A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15-я ВА</w:t>
            </w:r>
          </w:p>
        </w:tc>
        <w:tc>
          <w:tcPr>
            <w:tcW w:w="1019" w:type="dxa"/>
          </w:tcPr>
          <w:p w14:paraId="4C74C1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3622B2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6C19A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019" w:type="dxa"/>
          </w:tcPr>
          <w:p w14:paraId="2E964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r>
      <w:tr w:rsidR="00A907A5" w:rsidRPr="00271E51" w14:paraId="765A65E5" w14:textId="77777777" w:rsidTr="00ED5B0A">
        <w:tc>
          <w:tcPr>
            <w:tcW w:w="1019" w:type="dxa"/>
          </w:tcPr>
          <w:p w14:paraId="6D653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16-я ВА</w:t>
            </w:r>
          </w:p>
        </w:tc>
        <w:tc>
          <w:tcPr>
            <w:tcW w:w="1019" w:type="dxa"/>
          </w:tcPr>
          <w:p w14:paraId="5F2C7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1019" w:type="dxa"/>
          </w:tcPr>
          <w:p w14:paraId="473FE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019" w:type="dxa"/>
          </w:tcPr>
          <w:p w14:paraId="791C9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019" w:type="dxa"/>
          </w:tcPr>
          <w:p w14:paraId="58DB7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74D5AD8D" w14:textId="77777777" w:rsidTr="00ED5B0A">
        <w:tc>
          <w:tcPr>
            <w:tcW w:w="1019" w:type="dxa"/>
          </w:tcPr>
          <w:p w14:paraId="0503F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17-я ВА</w:t>
            </w:r>
          </w:p>
        </w:tc>
        <w:tc>
          <w:tcPr>
            <w:tcW w:w="1019" w:type="dxa"/>
          </w:tcPr>
          <w:p w14:paraId="03C8E6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4D3D3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019" w:type="dxa"/>
          </w:tcPr>
          <w:p w14:paraId="40C60D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1019" w:type="dxa"/>
          </w:tcPr>
          <w:p w14:paraId="090DE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6CDACEFF" w14:textId="77777777" w:rsidTr="00ED5B0A">
        <w:tc>
          <w:tcPr>
            <w:tcW w:w="1019" w:type="dxa"/>
          </w:tcPr>
          <w:p w14:paraId="446FF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7-й OA</w:t>
            </w:r>
          </w:p>
        </w:tc>
        <w:tc>
          <w:tcPr>
            <w:tcW w:w="1019" w:type="dxa"/>
          </w:tcPr>
          <w:p w14:paraId="17571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2B586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9065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2BB0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88570B" w14:textId="77777777" w:rsidTr="00ED5B0A">
        <w:tc>
          <w:tcPr>
            <w:tcW w:w="1019" w:type="dxa"/>
          </w:tcPr>
          <w:p w14:paraId="2143F5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ЗАПах и резерве</w:t>
            </w:r>
          </w:p>
        </w:tc>
        <w:tc>
          <w:tcPr>
            <w:tcW w:w="1019" w:type="dxa"/>
          </w:tcPr>
          <w:p w14:paraId="471B4E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DB1B3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5393D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FEE1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FDB676" w14:textId="77777777" w:rsidTr="00ED5B0A">
        <w:tc>
          <w:tcPr>
            <w:tcW w:w="1019" w:type="dxa"/>
          </w:tcPr>
          <w:p w14:paraId="087FF4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резерве ГК</w:t>
            </w:r>
          </w:p>
        </w:tc>
        <w:tc>
          <w:tcPr>
            <w:tcW w:w="1019" w:type="dxa"/>
          </w:tcPr>
          <w:p w14:paraId="2FE3D6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1019" w:type="dxa"/>
          </w:tcPr>
          <w:p w14:paraId="52B65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019" w:type="dxa"/>
          </w:tcPr>
          <w:p w14:paraId="37306B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1019" w:type="dxa"/>
          </w:tcPr>
          <w:p w14:paraId="578CA0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r>
      <w:tr w:rsidR="00A907A5" w:rsidRPr="00271E51" w14:paraId="1929FBD2" w14:textId="77777777" w:rsidTr="00ED5B0A">
        <w:tc>
          <w:tcPr>
            <w:tcW w:w="1019" w:type="dxa"/>
            <w:tcBorders>
              <w:bottom w:val="single" w:sz="12" w:space="0" w:color="auto"/>
            </w:tcBorders>
          </w:tcPr>
          <w:p w14:paraId="484DB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019" w:type="dxa"/>
            <w:tcBorders>
              <w:bottom w:val="single" w:sz="12" w:space="0" w:color="auto"/>
            </w:tcBorders>
          </w:tcPr>
          <w:p w14:paraId="68BE9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853</w:t>
            </w:r>
          </w:p>
        </w:tc>
        <w:tc>
          <w:tcPr>
            <w:tcW w:w="1019" w:type="dxa"/>
            <w:tcBorders>
              <w:bottom w:val="single" w:sz="12" w:space="0" w:color="auto"/>
            </w:tcBorders>
          </w:tcPr>
          <w:p w14:paraId="7407FF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tc>
        <w:tc>
          <w:tcPr>
            <w:tcW w:w="1019" w:type="dxa"/>
            <w:tcBorders>
              <w:bottom w:val="single" w:sz="12" w:space="0" w:color="auto"/>
            </w:tcBorders>
          </w:tcPr>
          <w:p w14:paraId="71DA56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1019" w:type="dxa"/>
            <w:tcBorders>
              <w:bottom w:val="single" w:sz="12" w:space="0" w:color="auto"/>
            </w:tcBorders>
          </w:tcPr>
          <w:p w14:paraId="60398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tc>
      </w:tr>
    </w:tbl>
    <w:p w14:paraId="7AAE65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(12042).</w:t>
      </w:r>
    </w:p>
    <w:p w14:paraId="0F77F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DAB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 июля 1943 года в составе 746-го полка (в 1944 году полк стал 25-м Гвардейским) и вновь созданного 890-го полка 45-й дивизии АЛЛ имелось 18 Пе-8, из них 11 были полностью боеспособны. На 1943 и первую половину 1944 года приходится пик боевой активности Пе-8: участие в бомбардировках во фронтовой полосе на Курской дуге, продолжающиеся налеты на глубокие тылы противника на территории Германии и ее созников, удары по артиллерийским позициям, обстреливавшим Ленинград, участие в налетах на Финляндию в первой половине 1944 года со сбросом на Хельсинки ФАБ-5000, и, как следствие, увеличение потерь Пе-8. Например, применение Пе-8 в тактической полосе обороны немцев привело к самым большим месячным потерям этих машин (7685).</w:t>
      </w:r>
    </w:p>
    <w:p w14:paraId="49ADC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FFC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г. в составе 746-го ап дд и вновь созданного 890-го ап дд в 45-й ад дд имелось 18 Пе-8, 11 из них были боеспособны. На 1943г. пришёлся пик боевой активности Пе-8: участие в бомбардировках во фронтовой полосе на Курской дуге, продолжающиеся налёты на цели на территории Германии и её союзников, удары по артиллерийским позициям, обстреливавшим Ленинград. Применение Пе-8 на Курской дуге привело к самым большим потерям этих машин. С 15 по 23 июля истребители противника уничтожили четыре Пе-8, одна машина была сбита зенитным огнём (11996).</w:t>
      </w:r>
    </w:p>
    <w:p w14:paraId="65119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552D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 июля 1943 года в составе 746-го полка (в 1944 году полк стал 25-м Гвардейским) и вновь созданного 890-го полка 45-й дивизии АДД имелось 18 Пе-8, из них 11 были полностью боеспособны. На 1943 и первую половину 1944 года приходится пик боевой активности Пе-8: участие в бомбардировках во фронтовой полосе на Курской дуге, продолжающиеся налеты на глубокие тылы противника на территории Германии и ее созников, удары по артиллерийским позициям, обстреливавшим Ленинград, участие в налетах на Финляндию в первой половине 1944 года со сбросом на Хельсинки ФАБ-5000, и, как следствие, увеличение потерь Пе-8. Например, применение Пе-8 в тактической полосе обороны немцев привело к самым большим месячным потерям этих машин.</w:t>
      </w:r>
    </w:p>
    <w:p w14:paraId="3467F66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противника в период с 15 по 23 июля 1943 года сбили четыре Пе-8 4М-82. Одна машина была сбита зенитным огнем. Это говорило о возросшей активности ПВО немцев, с другой стороны, выявило серьезный недостаток новых Пе-8 с М-82. Выхлопные коллекторы отработанных газов, сгруппированные для нескольких цилиндров двигателя, давали большой и заметный в ночном небе язык пламени. На них, как на огненные маяки, устремлялись ночные истребители немцев. В августе и сентябре было сбито еще по одному Пе-8. В результате до глубокой осени боевые полеты на Пе-8 4М-82 были прекращены до установки на них эффективных пламегасителей (12726).</w:t>
      </w:r>
    </w:p>
    <w:p w14:paraId="136456F0" w14:textId="77777777" w:rsidR="00BA7A65" w:rsidRPr="00271E51" w:rsidRDefault="00BA7A65" w:rsidP="00271E51">
      <w:pPr>
        <w:pStyle w:val="ae"/>
        <w:spacing w:before="0" w:after="0"/>
        <w:jc w:val="both"/>
        <w:rPr>
          <w:rStyle w:val="mfont1"/>
          <w:rFonts w:eastAsia="Times New Roman"/>
          <w:color w:val="000000" w:themeColor="text1"/>
          <w:sz w:val="16"/>
          <w:szCs w:val="16"/>
        </w:rPr>
      </w:pPr>
    </w:p>
    <w:p w14:paraId="0B67E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 июля 1943 году количество СБ уменьшилось до 41/18 экземпляра. Распределение по различным участкам фронта было следующее: 13-я ВА (Воздушная армия) - 1/0, 14-я ВА - 3/0, 6-я ВА - 3/2, 1-я ВА - 7/1, 2-я ВА - 6/3, 8-я ВА - 10/7, 4-я ВА - 9/5, Резерв - 2/0. Кроме этого, в различных подразделениях имелось 9/2 разведчиков. То есть всего на фронте оставалось около 50 СБ, из которых 20 экземпляров являлись неисправными (12027).</w:t>
      </w:r>
    </w:p>
    <w:p w14:paraId="2CBA2E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63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г. на фронте насчитывался 251 ЛаГГ-3. Они действовали в основном на юге. 4 декабря 1943 г. шестерка ЛаГГ-3 из 790-го иап под командованием старшего лейтенанта Бурака, прикрывая Эльтиген, встретила 25 бомбардировщиков Ju 87, сопровождавшихся четверкой Bf 109. Атаковав "лапотников" сверху в лоб, наши летчики разрушили неприятельский строй и вынудили бомбардировщики беспорядочно сбросить свой груз. В этом бою старшие лейтенанты Бурак и Сальников одержали по одной победе (11983).</w:t>
      </w:r>
    </w:p>
    <w:p w14:paraId="6C868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03197B" w14:textId="77777777" w:rsidR="00082408" w:rsidRPr="00271E51" w:rsidRDefault="000824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г. в ПВО было 495 "Харрикейнов", то на 1 июня 1944 г. - уже 711. Они прослужили там всю войну, на их боевом счету 252 самолета врага (15129).</w:t>
      </w:r>
    </w:p>
    <w:p w14:paraId="6EF5380E" w14:textId="77777777" w:rsidR="00082408" w:rsidRPr="00271E51" w:rsidRDefault="00082408" w:rsidP="00271E51">
      <w:pPr>
        <w:spacing w:after="0" w:line="240" w:lineRule="auto"/>
        <w:jc w:val="both"/>
        <w:rPr>
          <w:rFonts w:ascii="Times New Roman" w:hAnsi="Times New Roman"/>
          <w:color w:val="000000" w:themeColor="text1"/>
          <w:sz w:val="16"/>
          <w:szCs w:val="16"/>
        </w:rPr>
      </w:pPr>
    </w:p>
    <w:p w14:paraId="50747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 июля 1943 г. в ВВС КБФ числится 8 И-15бис в составе 25-й оаэ на аэродроме в Бернгардовке и 3 И-15бис в 7-й учебной авиаэскадрилье на аэродроме Белые Кресты. Кроме этого, несколько И-15бис имелось в составе 10-го гвардейского иап совместно с самолетами И-153. Бипланы выполняли привычную боевую работу - ночью и в плохую погоду осуществляли вылеты на свободную охоту вдоль автодорог, участвовали в контрбатарейной борьбе и борьбе с вражескими прожекторами (12014).</w:t>
      </w:r>
    </w:p>
    <w:p w14:paraId="1DFA2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8C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на флотах:</w:t>
      </w:r>
    </w:p>
    <w:p w14:paraId="573DA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A907A5" w:rsidRPr="00271E51" w14:paraId="2D92DE8D" w14:textId="77777777" w:rsidTr="00ED5B0A">
        <w:tc>
          <w:tcPr>
            <w:tcW w:w="1401" w:type="dxa"/>
            <w:tcBorders>
              <w:top w:val="single" w:sz="12" w:space="0" w:color="auto"/>
            </w:tcBorders>
          </w:tcPr>
          <w:p w14:paraId="727384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49E4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1.05.42</w:t>
            </w:r>
          </w:p>
        </w:tc>
        <w:tc>
          <w:tcPr>
            <w:tcW w:w="1401" w:type="dxa"/>
            <w:tcBorders>
              <w:top w:val="single" w:sz="12" w:space="0" w:color="auto"/>
            </w:tcBorders>
          </w:tcPr>
          <w:p w14:paraId="57D3B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1.07.42</w:t>
            </w:r>
          </w:p>
        </w:tc>
        <w:tc>
          <w:tcPr>
            <w:tcW w:w="1401" w:type="dxa"/>
            <w:tcBorders>
              <w:top w:val="single" w:sz="12" w:space="0" w:color="auto"/>
            </w:tcBorders>
          </w:tcPr>
          <w:p w14:paraId="6FE74A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18.11.42</w:t>
            </w:r>
          </w:p>
        </w:tc>
        <w:tc>
          <w:tcPr>
            <w:tcW w:w="1401" w:type="dxa"/>
            <w:tcBorders>
              <w:top w:val="single" w:sz="12" w:space="0" w:color="auto"/>
            </w:tcBorders>
          </w:tcPr>
          <w:p w14:paraId="171FA1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1.07.43</w:t>
            </w:r>
          </w:p>
        </w:tc>
        <w:tc>
          <w:tcPr>
            <w:tcW w:w="1401" w:type="dxa"/>
            <w:tcBorders>
              <w:top w:val="single" w:sz="12" w:space="0" w:color="auto"/>
            </w:tcBorders>
          </w:tcPr>
          <w:p w14:paraId="33818E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1.01.44</w:t>
            </w:r>
          </w:p>
        </w:tc>
        <w:tc>
          <w:tcPr>
            <w:tcW w:w="1401" w:type="dxa"/>
            <w:tcBorders>
              <w:top w:val="single" w:sz="12" w:space="0" w:color="auto"/>
            </w:tcBorders>
          </w:tcPr>
          <w:p w14:paraId="0C52C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1.06.44</w:t>
            </w:r>
          </w:p>
        </w:tc>
        <w:tc>
          <w:tcPr>
            <w:tcW w:w="1401" w:type="dxa"/>
            <w:tcBorders>
              <w:top w:val="single" w:sz="12" w:space="0" w:color="auto"/>
            </w:tcBorders>
          </w:tcPr>
          <w:p w14:paraId="5FF0A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1.01.45</w:t>
            </w:r>
          </w:p>
        </w:tc>
      </w:tr>
      <w:tr w:rsidR="00A907A5" w:rsidRPr="00271E51" w14:paraId="00E84BF5" w14:textId="77777777" w:rsidTr="00ED5B0A">
        <w:tc>
          <w:tcPr>
            <w:tcW w:w="1401" w:type="dxa"/>
          </w:tcPr>
          <w:p w14:paraId="76708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СФ</w:t>
            </w:r>
          </w:p>
        </w:tc>
        <w:tc>
          <w:tcPr>
            <w:tcW w:w="1401" w:type="dxa"/>
          </w:tcPr>
          <w:p w14:paraId="5567A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w:t>
            </w:r>
          </w:p>
        </w:tc>
        <w:tc>
          <w:tcPr>
            <w:tcW w:w="1401" w:type="dxa"/>
          </w:tcPr>
          <w:p w14:paraId="04A33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w:t>
            </w:r>
          </w:p>
        </w:tc>
        <w:tc>
          <w:tcPr>
            <w:tcW w:w="1401" w:type="dxa"/>
          </w:tcPr>
          <w:p w14:paraId="03C030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w:t>
            </w:r>
          </w:p>
        </w:tc>
        <w:tc>
          <w:tcPr>
            <w:tcW w:w="1401" w:type="dxa"/>
          </w:tcPr>
          <w:p w14:paraId="7F0667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1401" w:type="dxa"/>
          </w:tcPr>
          <w:p w14:paraId="33CCC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1401" w:type="dxa"/>
          </w:tcPr>
          <w:p w14:paraId="52BD0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tc>
        <w:tc>
          <w:tcPr>
            <w:tcW w:w="1401" w:type="dxa"/>
          </w:tcPr>
          <w:p w14:paraId="38827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6DB65C1A" w14:textId="77777777" w:rsidTr="00ED5B0A">
        <w:tc>
          <w:tcPr>
            <w:tcW w:w="1401" w:type="dxa"/>
          </w:tcPr>
          <w:p w14:paraId="6AB69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КБФ</w:t>
            </w:r>
          </w:p>
        </w:tc>
        <w:tc>
          <w:tcPr>
            <w:tcW w:w="1401" w:type="dxa"/>
          </w:tcPr>
          <w:p w14:paraId="796329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52/17</w:t>
            </w:r>
          </w:p>
        </w:tc>
        <w:tc>
          <w:tcPr>
            <w:tcW w:w="1401" w:type="dxa"/>
          </w:tcPr>
          <w:p w14:paraId="6C4D6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w:t>
            </w:r>
          </w:p>
        </w:tc>
        <w:tc>
          <w:tcPr>
            <w:tcW w:w="1401" w:type="dxa"/>
          </w:tcPr>
          <w:p w14:paraId="70E2C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28/11</w:t>
            </w:r>
          </w:p>
        </w:tc>
        <w:tc>
          <w:tcPr>
            <w:tcW w:w="1401" w:type="dxa"/>
          </w:tcPr>
          <w:p w14:paraId="46CF3C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1401" w:type="dxa"/>
          </w:tcPr>
          <w:p w14:paraId="17607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w:t>
            </w:r>
          </w:p>
        </w:tc>
        <w:tc>
          <w:tcPr>
            <w:tcW w:w="1401" w:type="dxa"/>
          </w:tcPr>
          <w:p w14:paraId="6A0A6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2CB66E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7E501E5" w14:textId="77777777" w:rsidTr="00ED5B0A">
        <w:tc>
          <w:tcPr>
            <w:tcW w:w="1401" w:type="dxa"/>
          </w:tcPr>
          <w:p w14:paraId="07F846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ЧФ</w:t>
            </w:r>
          </w:p>
        </w:tc>
        <w:tc>
          <w:tcPr>
            <w:tcW w:w="1401" w:type="dxa"/>
          </w:tcPr>
          <w:p w14:paraId="5AC33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w:t>
            </w:r>
          </w:p>
        </w:tc>
        <w:tc>
          <w:tcPr>
            <w:tcW w:w="1401" w:type="dxa"/>
          </w:tcPr>
          <w:p w14:paraId="0D5585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14/8</w:t>
            </w:r>
          </w:p>
        </w:tc>
        <w:tc>
          <w:tcPr>
            <w:tcW w:w="1401" w:type="dxa"/>
          </w:tcPr>
          <w:p w14:paraId="24FBD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1401" w:type="dxa"/>
          </w:tcPr>
          <w:p w14:paraId="6B7BE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tc>
        <w:tc>
          <w:tcPr>
            <w:tcW w:w="1401" w:type="dxa"/>
          </w:tcPr>
          <w:p w14:paraId="0C24A8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tc>
        <w:tc>
          <w:tcPr>
            <w:tcW w:w="1401" w:type="dxa"/>
          </w:tcPr>
          <w:p w14:paraId="75620E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1401" w:type="dxa"/>
          </w:tcPr>
          <w:p w14:paraId="4DC775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323DC71" w14:textId="77777777" w:rsidTr="00ED5B0A">
        <w:tc>
          <w:tcPr>
            <w:tcW w:w="1401" w:type="dxa"/>
            <w:tcBorders>
              <w:bottom w:val="single" w:sz="12" w:space="0" w:color="auto"/>
            </w:tcBorders>
          </w:tcPr>
          <w:p w14:paraId="2786B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401" w:type="dxa"/>
            <w:tcBorders>
              <w:bottom w:val="single" w:sz="12" w:space="0" w:color="auto"/>
            </w:tcBorders>
          </w:tcPr>
          <w:p w14:paraId="75B4C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91/27</w:t>
            </w:r>
          </w:p>
        </w:tc>
        <w:tc>
          <w:tcPr>
            <w:tcW w:w="1401" w:type="dxa"/>
            <w:tcBorders>
              <w:bottom w:val="single" w:sz="12" w:space="0" w:color="auto"/>
            </w:tcBorders>
          </w:tcPr>
          <w:p w14:paraId="3255D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45/18</w:t>
            </w:r>
          </w:p>
        </w:tc>
        <w:tc>
          <w:tcPr>
            <w:tcW w:w="1401" w:type="dxa"/>
            <w:tcBorders>
              <w:bottom w:val="single" w:sz="12" w:space="0" w:color="auto"/>
            </w:tcBorders>
          </w:tcPr>
          <w:p w14:paraId="2134D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46/19</w:t>
            </w:r>
          </w:p>
        </w:tc>
        <w:tc>
          <w:tcPr>
            <w:tcW w:w="1401" w:type="dxa"/>
            <w:tcBorders>
              <w:bottom w:val="single" w:sz="12" w:space="0" w:color="auto"/>
            </w:tcBorders>
          </w:tcPr>
          <w:p w14:paraId="0450CA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 1</w:t>
            </w:r>
          </w:p>
        </w:tc>
        <w:tc>
          <w:tcPr>
            <w:tcW w:w="1401" w:type="dxa"/>
            <w:tcBorders>
              <w:bottom w:val="single" w:sz="12" w:space="0" w:color="auto"/>
            </w:tcBorders>
          </w:tcPr>
          <w:p w14:paraId="2A87B1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tc>
        <w:tc>
          <w:tcPr>
            <w:tcW w:w="1401" w:type="dxa"/>
            <w:tcBorders>
              <w:bottom w:val="single" w:sz="12" w:space="0" w:color="auto"/>
            </w:tcBorders>
          </w:tcPr>
          <w:p w14:paraId="329E9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w:t>
            </w:r>
          </w:p>
        </w:tc>
        <w:tc>
          <w:tcPr>
            <w:tcW w:w="1401" w:type="dxa"/>
            <w:tcBorders>
              <w:bottom w:val="single" w:sz="12" w:space="0" w:color="auto"/>
            </w:tcBorders>
          </w:tcPr>
          <w:p w14:paraId="08507E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bl>
    <w:p w14:paraId="61CCA7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0344B7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14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июля 1943 в ВВФ насчитывалось 165 тральщиков, а через месяц – 203. К 1 сентября флотилия имела уже 213 тральщиков, а число самих тралов разного типа достигло 317. Подобного противоминного флота не было даже на Балтике!  В августе фронт стал стремительно откатываться на запад, и стало ясно, что Люфтваффе уже не смогут когда-либо возобновить минирование Волги. Поэтому дальнейшая мобилизация транспортных судов для переоборудования в тральщики была приостановлена. Во втором полугодии 1943 г. окончательно сложилась четкая и эффективная организация противовоздушной и противоминной обороны перевозок в бассейне Волги. Была хорошо отработана система наблюдения за всей водной поверхностью Волги от Астрахани до Батраков. В июле – августе количество постов противоминного наблюдения возросло до 956 (11742).</w:t>
      </w:r>
    </w:p>
    <w:p w14:paraId="295B1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6103D" w14:textId="77777777" w:rsidR="00082408" w:rsidRPr="00271E51" w:rsidRDefault="0008240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1 июля 1943 к началу летней компании на девяти фронтах было 19 гвар</w:t>
      </w:r>
      <w:r w:rsidRPr="00271E51">
        <w:rPr>
          <w:rFonts w:ascii="Times New Roman" w:cs="Times New Roman"/>
          <w:color w:val="000000" w:themeColor="text1"/>
          <w:spacing w:val="0"/>
        </w:rPr>
        <w:softHyphen/>
        <w:t>дейских танковых полков прорыва, при этом «рекордсменами являлись Волховский (4 полка), Ленинградский, Центарльный и Юго-Западный (по три) (15226).</w:t>
      </w:r>
    </w:p>
    <w:p w14:paraId="4009AEE7" w14:textId="77777777" w:rsidR="00082408" w:rsidRPr="00271E51" w:rsidRDefault="00082408" w:rsidP="00271E51">
      <w:pPr>
        <w:pStyle w:val="27"/>
        <w:shd w:val="clear" w:color="auto" w:fill="auto"/>
        <w:spacing w:after="0" w:line="240" w:lineRule="auto"/>
        <w:ind w:firstLine="0"/>
        <w:rPr>
          <w:rFonts w:ascii="Times New Roman" w:cs="Times New Roman"/>
          <w:color w:val="000000" w:themeColor="text1"/>
          <w:spacing w:val="0"/>
        </w:rPr>
      </w:pPr>
    </w:p>
    <w:p w14:paraId="4E87BD5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877A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83D74"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 июля</w:t>
      </w:r>
      <w:r w:rsidRPr="00271E51">
        <w:rPr>
          <w:rFonts w:ascii="Times New Roman" w:hAnsi="Times New Roman"/>
          <w:color w:val="000000" w:themeColor="text1"/>
          <w:sz w:val="16"/>
          <w:szCs w:val="16"/>
        </w:rPr>
        <w:t xml:space="preserve"> в 1943 году первый полет </w:t>
      </w:r>
      <w:hyperlink r:id="rId8" w:tgtFrame="_blank" w:history="1">
        <w:r w:rsidRPr="00271E51">
          <w:rPr>
            <w:rFonts w:ascii="Times New Roman" w:hAnsi="Times New Roman"/>
            <w:color w:val="000000" w:themeColor="text1"/>
            <w:sz w:val="16"/>
            <w:szCs w:val="16"/>
          </w:rPr>
          <w:t xml:space="preserve">«Ta-154V-1» </w:t>
        </w:r>
      </w:hyperlink>
      <w:r w:rsidRPr="00271E51">
        <w:rPr>
          <w:rFonts w:ascii="Times New Roman" w:hAnsi="Times New Roman"/>
          <w:color w:val="000000" w:themeColor="text1"/>
          <w:sz w:val="16"/>
          <w:szCs w:val="16"/>
        </w:rPr>
        <w:t>(сер. №.0001, бортовой код TE+FE) с аэродрома Ганновер-Лангенхаген (Нижняя Саксония). Пилотировал самолет Ганс Зандер, летчик-испытатель фирмы "Фокке-Вульф", а на месте оператора находился инженер полетным испытаниям Вальтер Шорн. Машину подняли в воздух на две недели раньше срока, указанного RLM. Не имевший РЛС, вооружения и пламегасителей первый прототип, «Ta-154V-1» (сер. №.0001, бортовой код TE+FE), выкатили из сборочного цеха в Лангенхагене в конце июня 1943 года для газовок двигателей и пробежек (14939).</w:t>
      </w:r>
    </w:p>
    <w:p w14:paraId="5B7A5A90" w14:textId="77777777" w:rsidR="00F93C07" w:rsidRPr="00271E51" w:rsidRDefault="00F93C07" w:rsidP="00271E51">
      <w:pPr>
        <w:spacing w:after="0" w:line="240" w:lineRule="auto"/>
        <w:jc w:val="both"/>
        <w:rPr>
          <w:rFonts w:ascii="Times New Roman" w:hAnsi="Times New Roman"/>
          <w:color w:val="000000" w:themeColor="text1"/>
          <w:sz w:val="16"/>
          <w:szCs w:val="16"/>
        </w:rPr>
      </w:pPr>
    </w:p>
    <w:p w14:paraId="3A523604" w14:textId="77777777" w:rsidR="001E1E94" w:rsidRPr="00271E51" w:rsidRDefault="001E1E9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1 июля 1943 пиковая численность британских женских вспомогательных военно-воздушных сил составляет 182 000 человек (20376).</w:t>
      </w:r>
    </w:p>
    <w:p w14:paraId="7EEF0560" w14:textId="77777777" w:rsidR="001E1E94" w:rsidRPr="00271E51" w:rsidRDefault="001E1E94" w:rsidP="00271E51">
      <w:pPr>
        <w:spacing w:after="0" w:line="240" w:lineRule="auto"/>
        <w:jc w:val="both"/>
        <w:rPr>
          <w:rFonts w:ascii="Times New Roman" w:hAnsi="Times New Roman"/>
          <w:color w:val="0070C0"/>
          <w:sz w:val="16"/>
          <w:szCs w:val="16"/>
        </w:rPr>
      </w:pPr>
    </w:p>
    <w:p w14:paraId="32AE307B" w14:textId="77777777" w:rsidR="001E1E94" w:rsidRPr="00271E51" w:rsidRDefault="001E1E9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июля 1943 муниципальные власти в Гамбурге, Германия, зарегистрировали 137 воздушных атак на город и гибель 1387 человек и ранения 4496 в результате воздушных налетов с начала Второй мировой войны (20376).</w:t>
      </w:r>
    </w:p>
    <w:p w14:paraId="5F86BB38" w14:textId="77777777" w:rsidR="001E1E94" w:rsidRPr="00271E51" w:rsidRDefault="001E1E94" w:rsidP="00271E51">
      <w:pPr>
        <w:spacing w:after="0" w:line="240" w:lineRule="auto"/>
        <w:jc w:val="both"/>
        <w:rPr>
          <w:rFonts w:ascii="Times New Roman" w:hAnsi="Times New Roman"/>
          <w:color w:val="0070C0"/>
          <w:sz w:val="16"/>
          <w:szCs w:val="16"/>
        </w:rPr>
      </w:pPr>
    </w:p>
    <w:p w14:paraId="4EC939B2" w14:textId="77777777" w:rsidR="001E1E94" w:rsidRPr="00271E51" w:rsidRDefault="001E1E9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июля 1943 первый полет Focke-Wulf Ta 154 (20376).</w:t>
      </w:r>
    </w:p>
    <w:p w14:paraId="18B74027" w14:textId="77777777" w:rsidR="001E1E94" w:rsidRPr="00271E51" w:rsidRDefault="001E1E94" w:rsidP="00271E51">
      <w:pPr>
        <w:spacing w:after="0" w:line="240" w:lineRule="auto"/>
        <w:jc w:val="both"/>
        <w:rPr>
          <w:rFonts w:ascii="Times New Roman" w:hAnsi="Times New Roman"/>
          <w:color w:val="0070C0"/>
          <w:sz w:val="16"/>
          <w:szCs w:val="16"/>
        </w:rPr>
      </w:pPr>
    </w:p>
    <w:p w14:paraId="7FF134D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июля 1943 диктатор Италии Б. Муссолини отверг секретное предложение диктатора Румынии И. Антонеску выйти из войны обеим странам одновременно (4962).</w:t>
      </w:r>
    </w:p>
    <w:p w14:paraId="6384A62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E6C07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9728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445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июля 1943 С.В.И. писал А.И.Ш. письмо N 1/742с:</w:t>
      </w:r>
    </w:p>
    <w:p w14:paraId="3993D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Ил-2, строящемся в серии, значительно уменьшилась макс. скорость.</w:t>
      </w:r>
    </w:p>
    <w:p w14:paraId="78EF89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при внедрении в серию имел макс. скорость у земли без РС 419 км/час. В данное время некоторые серийные самолеты имеют скорость без РС 376 км/час.</w:t>
      </w:r>
    </w:p>
    <w:p w14:paraId="186F6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Уменьшение скорости произошло частично за счет увеличения веса самолета и главным образом за счет ухудшения качества внешней отделки самолета.</w:t>
      </w:r>
    </w:p>
    <w:p w14:paraId="05F2D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дать указание заводам, строящим самолет Ил-2, о немедленном создании эталонных самолетов с целью отработки на них внешней поверхности и др. элементов с тем, чтобы достичь макс. скорости у земли 410-415 км/час.</w:t>
      </w:r>
    </w:p>
    <w:p w14:paraId="4FC38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необходимо дать задание винтовикам о подборе лопастей винта к этим эталонам с лучшим КПД (1775,91).</w:t>
      </w:r>
    </w:p>
    <w:p w14:paraId="1A75C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A8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С.В.Ильюшин в письме просил Наркома авиапро</w:t>
      </w:r>
      <w:r w:rsidRPr="00271E51">
        <w:rPr>
          <w:rFonts w:ascii="Times New Roman" w:hAnsi="Times New Roman"/>
          <w:color w:val="000000" w:themeColor="text1"/>
          <w:sz w:val="16"/>
          <w:szCs w:val="16"/>
        </w:rPr>
        <w:softHyphen/>
        <w:t>мышленности "..</w:t>
      </w:r>
      <w:r w:rsidRPr="00271E51">
        <w:rPr>
          <w:rFonts w:ascii="Times New Roman" w:hAnsi="Times New Roman"/>
          <w:iCs/>
          <w:color w:val="000000" w:themeColor="text1"/>
          <w:sz w:val="16"/>
          <w:szCs w:val="16"/>
        </w:rPr>
        <w:t xml:space="preserve">дать указание заводам, строящим самолет Ил-2, о немедленном создании эталонов самолетов с целью отработать на них внешнюю поверхность и другие элементы с тем, чтобы достичь максимальной скорости у земли 410-419 км/ч" </w:t>
      </w:r>
      <w:r w:rsidRPr="00271E51">
        <w:rPr>
          <w:rFonts w:ascii="Times New Roman" w:hAnsi="Times New Roman"/>
          <w:color w:val="000000" w:themeColor="text1"/>
          <w:sz w:val="16"/>
          <w:szCs w:val="16"/>
        </w:rPr>
        <w:t>(6467).</w:t>
      </w:r>
    </w:p>
    <w:p w14:paraId="08372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815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С.В.И. писал А.И.Ш. письмо N 1/744с:</w:t>
      </w:r>
    </w:p>
    <w:p w14:paraId="1C2F76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М-82 на Ил-4 очень сильно затянулась. Руководства завода 23 не выполнило Вашего приказа. Ил-4 с М-82 уже вышел на заводские испытания, но при последнем полете, благодаря небрежному монтажу маслопровода вышел из строя один мотор. Т.о. самолет уже в течение 5 дней стоит. Т.к. мотор, установленный на нем, был случайным, т.е. не такой, какой сейчас идет на заводе 19 в серии, поэтому необходимо на завод 23 дать 2 мотора, т.к. одного мотора установить нельзя из-за того, что моторы на самолете будут разные.</w:t>
      </w:r>
    </w:p>
    <w:p w14:paraId="63EB63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необходимо дать еще один запасной мотор, который в случае каких-либо неприятностей даст возможность без большого перерыва продолжить испытания.</w:t>
      </w:r>
    </w:p>
    <w:p w14:paraId="5863E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о доставке самолетом моторов М-82 заводу 23.</w:t>
      </w:r>
    </w:p>
    <w:p w14:paraId="0BC3C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прошу Вас установить жесткие сроки директору завода 23 Иосиловичу об установке этих моторов и проведении заводских испытаний. Приложение - проект приказа (1775,82).</w:t>
      </w:r>
    </w:p>
    <w:p w14:paraId="701A31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D0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С.В.И. писал А.И.Ш. письмо N 1/740с:</w:t>
      </w:r>
    </w:p>
    <w:p w14:paraId="013878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29 прошел испытания М-88 со след. данными:</w:t>
      </w:r>
    </w:p>
    <w:p w14:paraId="6E828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- 1250-1300 л.с.</w:t>
      </w:r>
    </w:p>
    <w:p w14:paraId="20826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скорость (высота 4600-4850 - 1100-1130 л.с.).</w:t>
      </w:r>
    </w:p>
    <w:p w14:paraId="45234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скорость (высота 7000-7300 - 1000-1030 л.с.).</w:t>
      </w:r>
    </w:p>
    <w:p w14:paraId="76A7E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М-88 имеет отличие от М-88Б только в нагнетательной установке. установка такого мотора на Ил-4 значительно улучшит взлет, увеличит макс. скорость на расчетной высоте на 15 км/час и повысит потолок на 1000 м.</w:t>
      </w:r>
    </w:p>
    <w:p w14:paraId="21EDFE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М-88В в количестве 4 шт. имеются на заводе 29. 3 мотора могут быть отгружены заводу 39 10 июля 1943.</w:t>
      </w:r>
    </w:p>
    <w:p w14:paraId="42519A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разрешения об установке М-88В на заводе 23, а заводу 39 отгрузить 3 М-88В заводу 23 (1775,89).</w:t>
      </w:r>
    </w:p>
    <w:p w14:paraId="4FAE9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E82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УВВС писало письмо А.И.Ш. о конструктивно-технологических дефектах Ла-5, которые затрудняют эксплуатацию и могут привести к летным происшествиям. Прежде всего речь шла о фонаре и его сдвигаемой части (1779).</w:t>
      </w:r>
    </w:p>
    <w:p w14:paraId="56CFD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01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Нач. 7 ГУ С.Шишкин писал письмо НКАП А.И.Ш.:</w:t>
      </w:r>
    </w:p>
    <w:p w14:paraId="352788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Предложение Гудкова М.И. о проведении продувок самолета "Аэрокобра" в аэродинамической трубе не может быть принято по следующим причинам:</w:t>
      </w:r>
    </w:p>
    <w:p w14:paraId="48ACCE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Выводы аварийной комиссии объясняют причины происшедшей катастрофы достаточно полно.</w:t>
      </w:r>
    </w:p>
    <w:p w14:paraId="286D6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Производство аэродинамических продувок самолета в настоящее время невозможно из-за отсутствия самолета. Изготовление для этого 2-го экземпляра "Аэрокобры", находящегося в начальной стадии постройки, или достройка экземпляра, проходившего статиспытания до поломки всех основных частей и не имеющего всей винтомоторной группы, приборов и оборудования, - равноценны постройке самолета почти заново и потребуют больших средств и длительного времени (1458,187).</w:t>
      </w:r>
    </w:p>
    <w:p w14:paraId="086FDB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CA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Репин утвердил Акт по гос. испытаниям Ли-2 № 1846310 на гусеничных шасси.</w:t>
      </w:r>
    </w:p>
    <w:p w14:paraId="1F4C50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Исполнители: и-к Шубралов и л-и м Хрипков.</w:t>
      </w:r>
    </w:p>
    <w:p w14:paraId="4DC110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оба комплекта шасси поломались. Отметили, что маневренность на гусеницах значительно хуже, разбег и пробег - сложнее, длина разбега - увеличивается.</w:t>
      </w:r>
    </w:p>
    <w:p w14:paraId="029F7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 “...конструкция гусениц недоработана и в эксплуатации ненадежна. Вес гусениц больше колесного шасси на 290 кг.” “...в массовой эксплуатации гусеницы неприемлемы - шасси не выдержало гос. испытаний и не м.б. рекомендовано в серию.” (3404, 15).</w:t>
      </w:r>
    </w:p>
    <w:p w14:paraId="39E9F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9AE0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FF5F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39B781" w14:textId="77777777" w:rsidR="00F93C07" w:rsidRPr="00271E51" w:rsidRDefault="00F93C0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2 июля 1943 года на заводе № 100 было четы</w:t>
      </w:r>
      <w:r w:rsidRPr="00271E51">
        <w:rPr>
          <w:rFonts w:ascii="Times New Roman" w:cs="Times New Roman"/>
          <w:color w:val="000000" w:themeColor="text1"/>
          <w:spacing w:val="0"/>
        </w:rPr>
        <w:softHyphen/>
        <w:t>ре КВ-1С - №№ 15002, 15126, 3333 и 10334 (15226).</w:t>
      </w:r>
    </w:p>
    <w:p w14:paraId="3641C294" w14:textId="77777777" w:rsidR="00F93C07" w:rsidRPr="00271E51" w:rsidRDefault="00F93C07" w:rsidP="00271E51">
      <w:pPr>
        <w:pStyle w:val="27"/>
        <w:shd w:val="clear" w:color="auto" w:fill="auto"/>
        <w:spacing w:after="0" w:line="240" w:lineRule="auto"/>
        <w:ind w:firstLine="0"/>
        <w:rPr>
          <w:rFonts w:ascii="Times New Roman" w:cs="Times New Roman"/>
          <w:color w:val="000000" w:themeColor="text1"/>
          <w:spacing w:val="0"/>
        </w:rPr>
      </w:pPr>
    </w:p>
    <w:p w14:paraId="13D28534"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июля</w:t>
      </w:r>
      <w:r w:rsidRPr="00271E51">
        <w:rPr>
          <w:rFonts w:ascii="Times New Roman" w:hAnsi="Times New Roman"/>
          <w:color w:val="000000" w:themeColor="text1"/>
          <w:sz w:val="16"/>
          <w:szCs w:val="16"/>
        </w:rPr>
        <w:t xml:space="preserve"> в 1943 году первая партия металла прокатного цеха Челябинского Металлургического Комбината была отправленна на ЧТЗ для производства САУ (14940).</w:t>
      </w:r>
    </w:p>
    <w:p w14:paraId="0E4CE2C7" w14:textId="77777777" w:rsidR="00F93C07" w:rsidRPr="00271E51" w:rsidRDefault="00F93C07" w:rsidP="00271E51">
      <w:pPr>
        <w:spacing w:after="0" w:line="240" w:lineRule="auto"/>
        <w:jc w:val="both"/>
        <w:rPr>
          <w:rFonts w:ascii="Times New Roman" w:hAnsi="Times New Roman"/>
          <w:color w:val="000000" w:themeColor="text1"/>
          <w:sz w:val="16"/>
          <w:szCs w:val="16"/>
        </w:rPr>
      </w:pPr>
    </w:p>
    <w:p w14:paraId="36A499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г. ОТЧЕТ НАЧАЛЬНИКА ТУ ГБТУ НАЧАЛЬНИКУ ШТАБА БТ и МВ КА О ВЫПОЛНЕНИИ ПОСТАНОВЛЕНИЙ ПРАВИТЕЛЬСТВА НА 1.07.1943 г. №1152366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907A5" w:rsidRPr="00271E51" w14:paraId="53F25102" w14:textId="77777777" w:rsidTr="00ED5B0A">
        <w:tc>
          <w:tcPr>
            <w:tcW w:w="5605" w:type="dxa"/>
            <w:tcBorders>
              <w:top w:val="single" w:sz="12" w:space="0" w:color="auto"/>
            </w:tcBorders>
          </w:tcPr>
          <w:p w14:paraId="639AE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Содержание постановления, ______№ и дата______</w:t>
            </w:r>
          </w:p>
        </w:tc>
        <w:tc>
          <w:tcPr>
            <w:tcW w:w="5605" w:type="dxa"/>
            <w:tcBorders>
              <w:top w:val="single" w:sz="12" w:space="0" w:color="auto"/>
            </w:tcBorders>
          </w:tcPr>
          <w:p w14:paraId="485DD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сделано по постановлениям</w:t>
            </w:r>
          </w:p>
        </w:tc>
      </w:tr>
      <w:tr w:rsidR="00A907A5" w:rsidRPr="00271E51" w14:paraId="0E88EB1D" w14:textId="77777777" w:rsidTr="00ED5B0A">
        <w:tc>
          <w:tcPr>
            <w:tcW w:w="5605" w:type="dxa"/>
          </w:tcPr>
          <w:p w14:paraId="121AA7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№3289сс от 5.05.1943 г.</w:t>
            </w:r>
          </w:p>
          <w:p w14:paraId="23A410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изготовлении опытных образцов 85-мм танковых пушек (с баллистикой 85-мм зенитной пушки) с установкой их на танки КВ и ИС и самоходных установках, к 10.07.1943 года коман</w:t>
            </w:r>
            <w:r w:rsidRPr="00271E51">
              <w:rPr>
                <w:rFonts w:ascii="Times New Roman" w:hAnsi="Times New Roman"/>
                <w:color w:val="000000" w:themeColor="text1"/>
                <w:sz w:val="16"/>
                <w:szCs w:val="16"/>
              </w:rPr>
              <w:softHyphen/>
              <w:t>дующему БТ и МВ и ГАУ КА представить заключение по этим установкам</w:t>
            </w:r>
          </w:p>
        </w:tc>
        <w:tc>
          <w:tcPr>
            <w:tcW w:w="5605" w:type="dxa"/>
          </w:tcPr>
          <w:p w14:paraId="681725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Опытные образцы танковых самоходных установок на испытания не представлены.</w:t>
            </w:r>
          </w:p>
          <w:p w14:paraId="5AFAFC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 о этих установках не представлялось.</w:t>
            </w:r>
          </w:p>
          <w:p w14:paraId="69A944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Письмом за №148210 от 1.07.1943 г. доложено зам. пред</w:t>
            </w:r>
            <w:r w:rsidRPr="00271E51">
              <w:rPr>
                <w:rFonts w:ascii="Times New Roman" w:hAnsi="Times New Roman"/>
                <w:color w:val="000000" w:themeColor="text1"/>
                <w:sz w:val="16"/>
                <w:szCs w:val="16"/>
              </w:rPr>
              <w:softHyphen/>
              <w:t>седателя ГОКО т. Молотову о невыполнении НКТП и НКВ указанного постановления Правительства__________</w:t>
            </w:r>
          </w:p>
          <w:p w14:paraId="1DBD9E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FAD159" w14:textId="77777777" w:rsidTr="00ED5B0A">
        <w:tc>
          <w:tcPr>
            <w:tcW w:w="5605" w:type="dxa"/>
          </w:tcPr>
          <w:p w14:paraId="35B068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№3187сс от 15.04.1943 г.</w:t>
            </w:r>
          </w:p>
          <w:p w14:paraId="4BA748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производстве 57-мм танковых пушек ЗИС-4 для танков Т-34</w:t>
            </w:r>
          </w:p>
          <w:p w14:paraId="6B832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5" w:type="dxa"/>
          </w:tcPr>
          <w:p w14:paraId="20DC53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№183 изготавливает 4 танка Т-34, вооруженных 57-мм танковой пушкой ЗИС-4.</w:t>
            </w:r>
          </w:p>
          <w:p w14:paraId="3F8E1E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на 4.07.1943 г. изготовлено 2 танка с установ</w:t>
            </w:r>
            <w:r w:rsidRPr="00271E51">
              <w:rPr>
                <w:rFonts w:ascii="Times New Roman" w:hAnsi="Times New Roman"/>
                <w:color w:val="000000" w:themeColor="text1"/>
                <w:sz w:val="16"/>
                <w:szCs w:val="16"/>
              </w:rPr>
              <w:softHyphen/>
              <w:t>кой указанных пушек, 2 танка находятся в сборке.</w:t>
            </w:r>
          </w:p>
          <w:p w14:paraId="4A237A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изготовлению образцы будут отправлены на Гороховецкий АНИОП.</w:t>
            </w:r>
          </w:p>
          <w:p w14:paraId="4E2890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№183, по состоянию на 4.07.1943 г., имеется танковых пушек ЗИС-4 - 55 штук___________________</w:t>
            </w:r>
          </w:p>
          <w:p w14:paraId="0535E7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3D588B" w14:textId="77777777" w:rsidTr="00ED5B0A">
        <w:tc>
          <w:tcPr>
            <w:tcW w:w="5605" w:type="dxa"/>
          </w:tcPr>
          <w:p w14:paraId="543E44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№3184сс от 14.04.1943 г. Об изготовлении опытных образцов 76-мм самоходных установок</w:t>
            </w:r>
          </w:p>
          <w:p w14:paraId="73D14F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5" w:type="dxa"/>
          </w:tcPr>
          <w:p w14:paraId="3FD704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Образец самоходной установки СУ-74 конструкции Горьковского автозавода им. Молотова на испытания еще не предъявлен </w:t>
            </w:r>
          </w:p>
          <w:p w14:paraId="36E6DB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Изготовлено заводом №38 и предъявлено на испытания 2 образца самоходных установок СУ-15 и СУ-38.</w:t>
            </w:r>
          </w:p>
          <w:p w14:paraId="517D31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испытаны на Гороховецком АНИОПе.</w:t>
            </w:r>
          </w:p>
          <w:p w14:paraId="4AEA7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B9C108" w14:textId="77777777" w:rsidTr="00ED5B0A">
        <w:tc>
          <w:tcPr>
            <w:tcW w:w="5605" w:type="dxa"/>
          </w:tcPr>
          <w:p w14:paraId="6C7A9B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№3530сс от 7.06.1943 г. Об прекращении изготовления СУ-76, и об окончании опыт</w:t>
            </w:r>
            <w:r w:rsidRPr="00271E51">
              <w:rPr>
                <w:rFonts w:ascii="Times New Roman" w:hAnsi="Times New Roman"/>
                <w:color w:val="000000" w:themeColor="text1"/>
                <w:sz w:val="16"/>
                <w:szCs w:val="16"/>
              </w:rPr>
              <w:softHyphen/>
              <w:t>ных работ и испытаний СУ-15, СУ-38 и СУ-74</w:t>
            </w:r>
          </w:p>
          <w:p w14:paraId="36B99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5" w:type="dxa"/>
          </w:tcPr>
          <w:p w14:paraId="0896BB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Установки СУ-15 и СУ-38 изготовлены и испытаны. СУ-74 на испытания Горьковским автозаводом не предъ</w:t>
            </w:r>
            <w:r w:rsidRPr="00271E51">
              <w:rPr>
                <w:rFonts w:ascii="Times New Roman" w:hAnsi="Times New Roman"/>
                <w:color w:val="000000" w:themeColor="text1"/>
                <w:sz w:val="16"/>
                <w:szCs w:val="16"/>
              </w:rPr>
              <w:softHyphen/>
              <w:t>явлена.</w:t>
            </w:r>
          </w:p>
          <w:p w14:paraId="19B18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A2AEA9" w14:textId="77777777" w:rsidTr="00ED5B0A">
        <w:tc>
          <w:tcPr>
            <w:tcW w:w="5605" w:type="dxa"/>
            <w:tcBorders>
              <w:bottom w:val="single" w:sz="12" w:space="0" w:color="auto"/>
            </w:tcBorders>
          </w:tcPr>
          <w:p w14:paraId="302F24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Постановление ГОКО №3107 от 1.04.1943 г. О производстве артиллерийских установок во II квартале 1943 года</w:t>
            </w:r>
          </w:p>
          <w:p w14:paraId="1B89BF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05" w:type="dxa"/>
            <w:tcBorders>
              <w:bottom w:val="single" w:sz="12" w:space="0" w:color="auto"/>
            </w:tcBorders>
          </w:tcPr>
          <w:p w14:paraId="0E8E51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Изготовлено: Задание: апрель -май -июнь -</w:t>
            </w:r>
          </w:p>
          <w:p w14:paraId="04C7C5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 апрель май -июнь -</w:t>
            </w:r>
          </w:p>
          <w:p w14:paraId="7EE223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 апрель май - июнь-</w:t>
            </w:r>
          </w:p>
          <w:p w14:paraId="448A44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 апрель май -июнь -</w:t>
            </w:r>
          </w:p>
          <w:p w14:paraId="078000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СУ-76и</w:t>
            </w:r>
          </w:p>
          <w:p w14:paraId="549BC1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шт., изг. 15 шт. 35 шт., изг. 25 шт. 45 шт., изг. 20 шт.</w:t>
            </w:r>
          </w:p>
          <w:p w14:paraId="766344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СУ-76</w:t>
            </w:r>
          </w:p>
          <w:p w14:paraId="594B87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 шт., изг. 100 шт. 150 шт., изг. 110 шт. 150 шт., изг. 33 шт.</w:t>
            </w:r>
          </w:p>
          <w:p w14:paraId="41997B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СУ-122</w:t>
            </w:r>
          </w:p>
          <w:p w14:paraId="3813C9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 шт., изг. 75 шт. 100 шт., изг. 100 шт. 100 шт., изг. 100 шт.</w:t>
            </w:r>
          </w:p>
          <w:p w14:paraId="6A1575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СУ-152</w:t>
            </w:r>
          </w:p>
          <w:p w14:paraId="5443F8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- 75 шт., изг. 75 шт. 75 шт., изг. 25 шт. 75 шт., изг. 85 шт.</w:t>
            </w:r>
          </w:p>
          <w:p w14:paraId="4E989B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1361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УСА ГБТУ Красной Армии полковник Рупышев</w:t>
      </w:r>
    </w:p>
    <w:p w14:paraId="159F08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1138. Л. 84-86. Подлинник (11403).</w:t>
      </w:r>
    </w:p>
    <w:p w14:paraId="112150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2B68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г. было СООБЩЕНИЕ НАЧАЛЬНИКА ТУ ГБТУ КА ДИРЕКТОРАМ ТАНКОВЫХ ЗАВОДОВ НКТП О ПОРЯДКЕ РАЗРЕШЕНИЯ ВОПРОСОВ ИЗМЕНЕНИЯ ЧЕРТЕЖЕЙ НА ИЗГОТОВЛЕНИЕ ДЕТАЛЕЙ И АГРЕГАТОВ ТАНКОВ №1152376</w:t>
      </w:r>
    </w:p>
    <w:p w14:paraId="0A4652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танковое управление ГБТУ КА поступают с танковых заводов письма с просьбой о разрешении вопросов, касающихся изменения чертежей, технических условий и замене материалов на изготов</w:t>
      </w:r>
      <w:r w:rsidRPr="00271E51">
        <w:rPr>
          <w:rFonts w:ascii="Times New Roman" w:hAnsi="Times New Roman"/>
          <w:color w:val="000000" w:themeColor="text1"/>
          <w:sz w:val="16"/>
          <w:szCs w:val="16"/>
        </w:rPr>
        <w:softHyphen/>
        <w:t>ление отдельных деталей и агрегатов танков, а также на разрешение пропуска партии деталей и агрегатов, изготовленных с отступлениями от чертежей и технических условий.</w:t>
      </w:r>
    </w:p>
    <w:p w14:paraId="46C62F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Указанные письма поступают без заключения старших военпредов ГБТУ КА на танковых заво</w:t>
      </w:r>
      <w:r w:rsidRPr="00271E51">
        <w:rPr>
          <w:rFonts w:ascii="Times New Roman" w:hAnsi="Times New Roman"/>
          <w:color w:val="000000" w:themeColor="text1"/>
          <w:sz w:val="16"/>
          <w:szCs w:val="16"/>
        </w:rPr>
        <w:softHyphen/>
        <w:t>дах, вследствие чего решение вопросов затягивается.</w:t>
      </w:r>
    </w:p>
    <w:p w14:paraId="3C0EF6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 дальнейшем направлять письма и материалы по вышеуказанным вопросам с заключе</w:t>
      </w:r>
      <w:r w:rsidRPr="00271E51">
        <w:rPr>
          <w:rFonts w:ascii="Times New Roman" w:hAnsi="Times New Roman"/>
          <w:color w:val="000000" w:themeColor="text1"/>
          <w:sz w:val="16"/>
          <w:szCs w:val="16"/>
        </w:rPr>
        <w:softHyphen/>
        <w:t>нием старшего военпреда ГБТУ КА.</w:t>
      </w:r>
    </w:p>
    <w:p w14:paraId="250CAC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заключения старшего военпреда ГБТУ КА эти вопросы нами рассматриваться не будут.</w:t>
      </w:r>
    </w:p>
    <w:p w14:paraId="724AA4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ТУ ГБТУ КА инженер-полковник Афонин</w:t>
      </w:r>
    </w:p>
    <w:p w14:paraId="34A108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 отдела ТУ ГБТУ КА инженер-подполковник Егоров</w:t>
      </w:r>
    </w:p>
    <w:p w14:paraId="20CCB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1414. Л. 27. Копия (11403).</w:t>
      </w:r>
    </w:p>
    <w:p w14:paraId="6795A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07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3672 Об организации Красноярского района управления энергетического хозяйства - Красноярскэнерго.РГАНИР, Фонд ГКО, д. 129, лл. 120-122, 123-124 (11012).</w:t>
      </w:r>
    </w:p>
    <w:p w14:paraId="0B9F19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CE56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3669 О запрещении планировать народнохозяйственные перевозки воинскими транспортами и за счет лимита вагонов НКО. (7118, 113).</w:t>
      </w:r>
    </w:p>
    <w:p w14:paraId="10E9486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8C7DC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3671 О строительстве железнодорожной линии, соединяющей завод № 822 в Сысерти со ст. Арамиль Южно-Уральской железной дороги. (7118, 115-118,119).</w:t>
      </w:r>
    </w:p>
    <w:p w14:paraId="08C2F32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6ABD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3673 Об утверждении постановления Военного совета Ленинградского фронта "О строительстве деревянных озерных барж для Ладожского озера". (7118, 125,126-127).</w:t>
      </w:r>
    </w:p>
    <w:p w14:paraId="472AD89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C47E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Распоряжение ГКО № 3674. О продлении до 1 августа 1943 г. срока работы 2 тыс. мобилизованных на лесосплав в Архангельской и Вологодской обл.РГАНИР, Фонд ГКО, д. 129, лл. 128 (11012).</w:t>
      </w:r>
    </w:p>
    <w:p w14:paraId="7A24F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2E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3675 О плане ремонта боевых кораблей, вспомогательных судов и оборудования береговых установок Военно-Морского Флота на III квартал 1943 г.РГАНИР, Фонд ГКО, д. 129, лл. 129-132, 133-143 (11012).</w:t>
      </w:r>
    </w:p>
    <w:p w14:paraId="5BC8C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2B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3676 О мерах по обеспечению горючим и маслами уборки урожая, вспашки паров и сева озимых в 1943 году.РГАНИР, Фонд ГКО, д. 129, лл. 144-149 (11012).</w:t>
      </w:r>
    </w:p>
    <w:p w14:paraId="1241C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735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3677 О тов. Чернышеве Ф.Ф.РГАНИР, Фонд ГКО, д. 129, лл. 150 (11012).</w:t>
      </w:r>
    </w:p>
    <w:p w14:paraId="49B990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B50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3678 О тов. Гуляеве В.Г.РГАНИР, Фонд ГКО, д. 129, лл. 151 (11012).</w:t>
      </w:r>
    </w:p>
    <w:p w14:paraId="5485EC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4BC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2 по 13 июля 1943 г. были проведены заводские испытания первого опытного образца Объект-237, а второго - ч 22 по 30 июля 1943 (10703).</w:t>
      </w:r>
    </w:p>
    <w:p w14:paraId="6C47C2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ECCA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w:t>
      </w:r>
      <w:r w:rsidRPr="00271E51">
        <w:rPr>
          <w:rFonts w:ascii="Times New Roman" w:hAnsi="Times New Roman"/>
          <w:color w:val="000000" w:themeColor="text1"/>
          <w:sz w:val="16"/>
          <w:szCs w:val="16"/>
        </w:rPr>
        <w:softHyphen/>
        <w:t>риод со 2 по 30 июля 1943 г. обе машины (№ 1 и 2) "Объект 233" успешно прошли заводские ис</w:t>
      </w:r>
      <w:r w:rsidRPr="00271E51">
        <w:rPr>
          <w:rFonts w:ascii="Times New Roman" w:hAnsi="Times New Roman"/>
          <w:color w:val="000000" w:themeColor="text1"/>
          <w:sz w:val="16"/>
          <w:szCs w:val="16"/>
        </w:rPr>
        <w:softHyphen/>
        <w:t>пытания, по результатам которых танк "Объект 237" постановлением ГКО от 4 сентября 1943 г. под маркой "ИС-1" был принят па вооруже</w:t>
      </w:r>
      <w:r w:rsidRPr="00271E51">
        <w:rPr>
          <w:rFonts w:ascii="Times New Roman" w:hAnsi="Times New Roman"/>
          <w:color w:val="000000" w:themeColor="text1"/>
          <w:sz w:val="16"/>
          <w:szCs w:val="16"/>
        </w:rPr>
        <w:softHyphen/>
        <w:t>ние РККА (10703).</w:t>
      </w:r>
    </w:p>
    <w:p w14:paraId="7224B0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7F72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F218B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F482A1"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июля</w:t>
      </w:r>
      <w:r w:rsidRPr="00271E51">
        <w:rPr>
          <w:rFonts w:ascii="Times New Roman" w:hAnsi="Times New Roman"/>
          <w:color w:val="000000" w:themeColor="text1"/>
          <w:sz w:val="16"/>
          <w:szCs w:val="16"/>
        </w:rPr>
        <w:t xml:space="preserve"> в 1943 году утреннее сообщение Совинформбюро:</w:t>
      </w:r>
    </w:p>
    <w:p w14:paraId="634460FC"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ночи на 2 июля на фронте ничего существенного не произошло.</w:t>
      </w:r>
    </w:p>
    <w:p w14:paraId="51497F2F"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дальнего действия в ночь на 1 июля произвела налёт на порты Керчь и Сенная (в 30 километрах к западу от Темрюка). На суда, стоящие в портах,и склады противника сброшено значительное количество фугасных и зажигательных бомб. Все наши самолёты вернулись на свои аэродромы.</w:t>
      </w:r>
    </w:p>
    <w:p w14:paraId="0BA10D89"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разведчики Н-ской части ночью переправились через болото и ворвались в немецкие траншеи. Огнём из автоматов и гранатами наши бойцы уничтожили группу гитлеровцев и благополучно вернулись в свою часть.</w:t>
      </w:r>
    </w:p>
    <w:p w14:paraId="3C9103FB"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Севска 18 снайперов подразделения, где командиром майор Концедалов, за последнее время уничтожили 136 немцев. Сержант т. Слюсарь убил 40 гитлеровцев, красноармеец т. Митин уничтожил 36 немцев.</w:t>
      </w:r>
    </w:p>
    <w:p w14:paraId="22528B67"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Белгорода разведчики-гвардейцы тт. Скрябин, Костычев и Локтев ночью бесшумно пробрались в расположение противника. Приблизившись к немецкому блиндажу, разведчики бросили в открытую дверь две гранаты. В это время на Локтева набросились два немца и пытались захватить его в плен. На помощь Локтеву пришли его товарищи и застрелили гитлеровцев. Большая группа немецких солдат пыталась отрезать путь к отходу и окружить смельчаков. Отстреливаясь от наседавших гитлеровцев, разведчики благополучно отошли в расположение своего подразделения.</w:t>
      </w:r>
    </w:p>
    <w:p w14:paraId="53BAB261"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рота пехоты противника атаковала наше боевое охранение. Командир взвода лейтенант т. Игловиков с группой бойцов вступил в бой против гитлеровцев. Наши бойцы отбили вражескую атаку, уничтожили немецкого офицера и до 30 вражеских солдат.</w:t>
      </w:r>
    </w:p>
    <w:p w14:paraId="3C5A0369"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наши снайперы за июнь месяц уничтожили более двух тысяч солдат и офицеров противника. Снайпер сержант Решетов уничтожил 23 гитлеровца, сержант Трегер—18, сержант Паромов—50, красноармеец Рухамбаев— 18, сержант Анохин истребил 20 немцев.</w:t>
      </w:r>
    </w:p>
    <w:p w14:paraId="6441BA9E"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партизанских отряда, действующих в Орловской области, в трёхдневных бояхс крупными силами немецко-фашистских оккупантов уничтожили до 200 вражеских солдат и офицеров. Партизаны захватили орудие, 15 пулемётов, 110 винтовок и много боеприпасов. Группа партизан из отряда имени Суворова пустила под откос эшелон противника. Разбиты паровоз, 9 вагонов и 24 платформы.</w:t>
      </w:r>
    </w:p>
    <w:p w14:paraId="48A139AE"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Захваченный в плен лётчик 121 немецкой группы дальних разведчиков Иоганн Л. рассказал: «За последние месяцы гестапо производит аресты среди военнослужащих германской армии. Во 2 резервном дальнеразведывательном отряде недавно арестовали унтер-офицера Пернера за то, что он в частной беседе сказал, что Германия проиграет войну. С мая месяца содержится в концлагере командир подводной лодки, отказавшийся продолжать войну. В том же месяце в концлагер ьбыла доставлена команда подводной лодки, которая в море убила своего командира».</w:t>
      </w:r>
    </w:p>
    <w:p w14:paraId="6C2EB2D5"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округе Бертри (Бельгийский Люксембург) патриоты вывели из строя 42 паровоза. На железнодорожном участке Нинов — Граммон вольные стрелки организовали столкновение эшелона эсэсовцев с товарным поездом. При крушении убито и ранено много гитлеровцев. В провинции Лимбург патриоты сожгли большой склад фуража. В Мерксеме вольные стрелки бросили несколько гранат в дом, занятый немецко-фашистскими оккупантами.» (14940).</w:t>
      </w:r>
    </w:p>
    <w:p w14:paraId="568F816D" w14:textId="77777777" w:rsidR="00F93C07" w:rsidRPr="00271E51" w:rsidRDefault="00F93C07" w:rsidP="00271E51">
      <w:pPr>
        <w:spacing w:after="0" w:line="240" w:lineRule="auto"/>
        <w:jc w:val="both"/>
        <w:rPr>
          <w:rFonts w:ascii="Times New Roman" w:hAnsi="Times New Roman"/>
          <w:color w:val="000000" w:themeColor="text1"/>
          <w:sz w:val="16"/>
          <w:szCs w:val="16"/>
        </w:rPr>
      </w:pPr>
    </w:p>
    <w:p w14:paraId="5A6509BD"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июля</w:t>
      </w:r>
      <w:r w:rsidRPr="00271E51">
        <w:rPr>
          <w:rFonts w:ascii="Times New Roman" w:hAnsi="Times New Roman"/>
          <w:color w:val="000000" w:themeColor="text1"/>
          <w:sz w:val="16"/>
          <w:szCs w:val="16"/>
        </w:rPr>
        <w:t xml:space="preserve"> в 1943 году вечернее сообщение Совинформбюро:</w:t>
      </w:r>
    </w:p>
    <w:p w14:paraId="71337B03"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июля на фронте существенных изменений не произошло.</w:t>
      </w:r>
    </w:p>
    <w:p w14:paraId="5F031CBF"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Западного фронта наш разведывательный отряд атаковал позиции противника, расположенные на высоте, господствующей над окружающей местностью. Когда большая часть вражеских огневых точек была подавлена нашей артиллерией и миномётами, советские пехотинцы ворвались в траншеи немцев и в результате боя заняли их. Противник подтянул подкрепления с соседних участков и в течение нескольких часов предпринял одну за другой шесть ожесточённых контратак. Все контратаки немцев были отражены организованным ружейно-пулемётным и артиллерийским огнём наших подразделений. Уничтожив в этом бою до 600 солдат и офицеров противника и успешно выполнив поставленную задачу, разведывательный отряд отошёл на исходные позиции. Захвачены трофеи и пленные.</w:t>
      </w:r>
    </w:p>
    <w:p w14:paraId="1572B291"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Белгорода гвардейское миномётное подразделение, где командиром гвардии капитан Иванов, поддерживая действия разведчиков, уничтожило 5 немецких огневых точек, разрушило 2 дзота и истребило до взвода гитлеровцев. Гвардии младший лейтенант Чуднов и гвардия красноармеец Орлов из ручного пулемёта и полуавтоматической винтовки обстреляли немецкий бомбардировщик «Юнкерс-88". Самолёт загорелся и упал на землю.</w:t>
      </w:r>
    </w:p>
    <w:p w14:paraId="6C391CB8"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Балаклеи артиллеристы Н-ской части уничтожили немецкий танк, приблизившийся к нашему переднему краю. На другом участке артиллеристы обстреляли колонну противника и уничтожили 13 автомашин и до 20 повозок с грузами.</w:t>
      </w:r>
    </w:p>
    <w:p w14:paraId="660FB9F3"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подразделение под командованием капитана Каспера проникло в тыл противника и устроило засаду. Через некоторое время показалась группа в 40 немцев. Наши бойцы окружили их, уничтожили 34 гитлеровца, а остальных захватили в плен. На другом участке бойцы подразделения, где командиром т. Чернуха, ворвались в окопы противника и истребили 20 белофиннов.</w:t>
      </w:r>
    </w:p>
    <w:p w14:paraId="045D89E7"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Минской области, уничтожил немецкий гарнизон, расположенный в крупном населённом пункте. Убито 150 вражеских солдат и полицейских. Захвачено 70 винтовок, 10 пулемётов, 15 тысяч патронов и другие трофеи. Группа партизан этого отряда проникла на аэродром противника и сожгла 5 немецких самолётов. На днях отряд окружил село, занятое гитлеровцами, и предложил гарнизону сдаться. 67 немецких солдат сложили оружие и взяты в плен. Остальные гитлеровцы оказали сопротивление и были уничтожены.</w:t>
      </w:r>
    </w:p>
    <w:p w14:paraId="1380289B"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Ленинградского фронта на сторону Красной Армии перешёл солдат 58 немецкой пехотной дивизии, поляк по национальности, Болеслав М. Перебежчик рассказал: «Я служил в польской армии и в сентябре 1939 года попал в плен к немцам. Долгое время находился в концентрационных лагерях в Вальденбурге и Нейбранденбурге. В лагерях немцы всячески измывались над нами. На моих глазах от рук гитлеровских убийц погибли сотни поляков. Бандиты замучили и моегодвоюродного брата Иозефа Войцеховского. Голод и пытки сломили его, и он заболел. Больного Войцеховского гитлеровцы заставляли столовой ложкой переносить кучи песка с одного места на другие. За этим бессмысленным занятием он и умер. Немцы хотели уничтожить польский народ, стереть Польшу с лица земли. Раньше они открыто говорили и писали, что удел поляков — быть рабами немцев. А теперь, когда русские нанесли Гитлеру тяжёлые поражения, он вспомнил о поляках и начал их массами призывать в армию. Гитлер хочет, чтобы поляки, отцы и братья которых замучены в немецких концлагерях в Дахау, Осьвенциме и других местах, проливали свою кровь за немцев. Но этому не бывать».</w:t>
      </w:r>
    </w:p>
    <w:p w14:paraId="36A272F0"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Французские патриоты наносят немецким захватчикам непрерывные удары. В Тулоне вольные стрелки сожгли 7 цистерн с нефтью. В окрестностях Лиона французы взорвали водонапорную башню. На военном заводе в Гренобле патриоты вывели из строя 4 трансформатора. В Верхней Савойе за один месяц зарегистрировано 122 акта саботажа на заводах и электростанциях.» (14940).</w:t>
      </w:r>
    </w:p>
    <w:p w14:paraId="1120369C" w14:textId="77777777" w:rsidR="00F93C07" w:rsidRPr="00271E51" w:rsidRDefault="00F93C07" w:rsidP="00271E51">
      <w:pPr>
        <w:spacing w:after="0" w:line="240" w:lineRule="auto"/>
        <w:jc w:val="both"/>
        <w:rPr>
          <w:rFonts w:ascii="Times New Roman" w:hAnsi="Times New Roman"/>
          <w:color w:val="000000" w:themeColor="text1"/>
          <w:sz w:val="16"/>
          <w:szCs w:val="16"/>
        </w:rPr>
      </w:pPr>
    </w:p>
    <w:p w14:paraId="1BDBB4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группа из 8 Ил-2 504 шап 1 гшад (бывшего 226 шад) прикомандированного к 8 ВА, под командованием ГСС к М.И.Смилского атаковала скопление 70 танков, готовившихся к контратаке, и за 5 заходов сбросила 1232 ПТАБ и подожгла 15 танков (241,31).</w:t>
      </w:r>
    </w:p>
    <w:p w14:paraId="56B5A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A5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торпедоносец Балебина потопил финский транспорт Сампо в ходе свободной охоты в БМ (1085,157).</w:t>
      </w:r>
    </w:p>
    <w:p w14:paraId="18B2A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C5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Ставка ВГК предупредила командующих ЦФ и ВФ о возможном переходе немцев в наступление в ближайшие дни. Авиация была в боевой готовности (340,142).</w:t>
      </w:r>
    </w:p>
    <w:p w14:paraId="68C93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F5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Президиум ВС наградил первых пять французских л, которые 25 марта 1943 только прибыли на фронт и вошли в состав 1ВА л эскадрильи Н (340,150).</w:t>
      </w:r>
    </w:p>
    <w:p w14:paraId="2623D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C2F0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французские летчики эскадрильи “Нормандия” награждены советскими орденами (4962).</w:t>
      </w:r>
    </w:p>
    <w:p w14:paraId="7F35A25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1F2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специальным циркуляром НКВД N 314 были установлены дополнительные выдачи к пайку военнопленных - 120 г рыбы (3428).</w:t>
      </w:r>
    </w:p>
    <w:p w14:paraId="2AE67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A0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г. вышел приказ НКО № 0396 О применении и преодолении минных заграждений.</w:t>
      </w:r>
    </w:p>
    <w:p w14:paraId="2939D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войны с немецкими фашистами свидетельствует об огромном значении, которое имеет умелое использование общевойсковыми командирами противотанковых и противопехотных мин как в обороне, так и в наступлении.</w:t>
      </w:r>
    </w:p>
    <w:p w14:paraId="2B3A7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Правильно использованные и искусно поставленные противотанковые и противопехотные мины в умелом сочетании с системой огня артиллерии, минометов и тяжелого оружия пехоты способны:</w:t>
      </w:r>
    </w:p>
    <w:p w14:paraId="7CF27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обороне — превращать доступные для танков и пехоты противника участки местности в труднопреодолимые, а иногда и в совершенно недоступные для них.</w:t>
      </w:r>
    </w:p>
    <w:p w14:paraId="7CB858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наступлении — помочь нашим частям быстро закреплять за собой захваченные у противника рубежи и обеспечить от контратак противника фланги продвинувшейся вперед нашей пехоты и танков. Правильно организованная, своевременно выполненная инженерными войсками работа по очистке от мин противника местности и особенно грунтовых и железных дорог обеспечивает успех наших войск в наступлении и способствует их маневру.</w:t>
      </w:r>
    </w:p>
    <w:p w14:paraId="47393D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несмотря на двухлетний опыт войны, общевойсковые командиры еще не научились правильно использовать мины в различных условиях боевой обстановки, равно как наши инженерные войска до сих пор не научились правильно, скрытно и быстро строить и разминировать минные поля.</w:t>
      </w:r>
    </w:p>
    <w:p w14:paraId="79F21A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Речь идет о крупнейших недостатках, которые имеются как в применении минных заграждений нашими войсками, так и в разминировании минных полей противника. Главные из этих недостатков следующие:</w:t>
      </w:r>
    </w:p>
    <w:p w14:paraId="57F264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Наши общевойсковые командиры — командующие армиями, командиры стрелковых корпусов и дивизий, организуя оборону, совершенно не занимаются или плохо занимаются устройством минных заграждений и особенно расположением их на местности в увязке с системой огня. Устройство минных заграждений целиком передается на решение инженерных начальников. Инженерные начальники, не получая должного руководства со стороны общевойсковых и помощи от артиллерийских командиров, неправильно используют мины: минные поля располагаются без увязки с системой противотанкового и противопехотного огня, огня артиллерии и минометов. Минные поля создаются, главным образом, перед передним краем, а в глубине” обороны и особенно непосредственно позади своего переднего края не создаются, поэтому противник, прорвав передний край нашей обороны и не встречая минных заграждений, получает возможность свободно и без задержек продвигаться вперед.</w:t>
      </w:r>
    </w:p>
    <w:p w14:paraId="09084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Инженерные командиры до сих пор применяют однообразные способы расстановки мин, что позволяет противнику легко обнаруживать такие минные поля. Инженерные войска мало применяют неожиданные для противника способы минирования и минные ловушки против танков.</w:t>
      </w:r>
    </w:p>
    <w:p w14:paraId="1D5DF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Еще хуже дело обстоит с минированием в оперативной глубине нашей обороны. Как общевойсковые командиры, так и инженерные начальники не уделяют внимания устройству минных заграждений с целью прикрытия важнейших узлов дорог, мостов и тыловых рубежей, не говоря уже о создании в тылу противотанковых районов. Не ведутся и подготовительные работы по созданию этих заграждений, а также и для разрушения, в случае необходимости, железных, шоссейных и грунтовых дорог. Вследствие этого, танковые и мото-мехчасти противника, в случае прорыва нашей войсковой оборонительной полосы, получают возможность беспрепятственно распространяться в глубину, не встречая на своем пути минных заграждений.</w:t>
      </w:r>
    </w:p>
    <w:p w14:paraId="39747E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Общевойсковые командиры, как правило, не имеют в своем резерве хотя бы небольшие моторизованные саперные подразделения, необходимые для организации </w:t>
      </w:r>
      <w:r w:rsidRPr="00271E51">
        <w:rPr>
          <w:rFonts w:ascii="Times New Roman" w:hAnsi="Times New Roman"/>
          <w:color w:val="000000" w:themeColor="text1"/>
          <w:sz w:val="16"/>
          <w:szCs w:val="16"/>
        </w:rPr>
        <w:lastRenderedPageBreak/>
        <w:t>заграждений на путях продвижения прорвавшихся танковых и моторизованных частей противника, а в наступлении — для закрепления занятых нами рубежей путем быстрого создания минных полей.</w:t>
      </w:r>
    </w:p>
    <w:p w14:paraId="45232C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При наступлении разминирование минных заграждений противника на переднем крае и в глубине его обороны происходит неорганизованно. Действия сапер как при разведке минных полей, так и при разминировании не обеспечиваются в должной мере пехотным прикрытием и огнем, взаимодействие и связь саперных групп разграждений с танками и пехотой организуется плохо, все виды разведки для обнаружения минных полей противника не используются. Такая неорганизованность при разминировании минных заграждений противника замедляет продвижение наступающих боевых порядков и осложняет организацию снабжения наших наступающих войск.</w:t>
      </w:r>
    </w:p>
    <w:p w14:paraId="71809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Документация по минным заграждениям составляется неточно и не проверяется на местности. Передача минных полей при смене частей часто происходит без проверки расположения мин на местности и состояния их. В результате командиры частей и артиллерийские начальники, не зная точного расположения минных полей, не могут использовать в полной мере существующие минные поля для организации обороны против танков и пехоты противника.</w:t>
      </w:r>
    </w:p>
    <w:p w14:paraId="6DDB7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Ставка Верховного Главнокомандования приказывает:*</w:t>
      </w:r>
    </w:p>
    <w:p w14:paraId="16CFAD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Командующим фронтами и армиями, командирам корпусов и дивизий немедленно принять меры по устранению указанных выше недостатков, имея в виду, что правильное использование минных заграждений является их прямой задачей, за выполнение которой они несут полную ответственность. Общевойсковым командирам в боевых действиях войск использовать в полной мере минные заграждения как в обороне для срыва наступления противника, так и для обеспечения своих наступательных действий.</w:t>
      </w:r>
    </w:p>
    <w:p w14:paraId="3833E3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Командирам всех родов войск систематически изучать опыт применения и преодоления минных заграждений.</w:t>
      </w:r>
    </w:p>
    <w:p w14:paraId="39A6C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Инженерным войскам научиться искусному применению мин во всех видах боя и в любых условиях обстановки.</w:t>
      </w:r>
    </w:p>
    <w:p w14:paraId="4EC73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обороне: при организации минных заграждений руководствоваться следующим:</w:t>
      </w:r>
    </w:p>
    <w:p w14:paraId="4C796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Минные заграждения, как правило, должны входить в общую систему заграждений, состоящую из естественных и искусственных препятствий, увязанных с системой огня на данном боевом участке.</w:t>
      </w:r>
    </w:p>
    <w:p w14:paraId="68602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Минные заграждения располагать на местности в соответствии с планом обороны не только на переднем крае, но и в глубине оборонительной полосы, концентрируя их на направлении наиболее вероятных атак танков и пехоты противника и детально увязывая с системой огня артиллерии, минометов и стрелкового оружия.</w:t>
      </w:r>
    </w:p>
    <w:p w14:paraId="4B814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Минные поля против танков устраивать глубиной, не менее 100 метров, располагая мины неправильными рядами на 6—10 метров одна от другой по фронту, при расстоянии между рядами от 15 до 40 метров. Запретить располагать мины прямолинейными рядами с одинаковыми расстояниями как между рядами, так и между минами.</w:t>
      </w:r>
    </w:p>
    <w:p w14:paraId="3A4801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Минные заграждения устанавливать незаметно для противника, с соблюдением строгой секретности и тщательной маскировки, с применением разнообразных и неожиданных для противника способов и схем установки мин, с использованием неизвлекаемых мин и устройством большого числа ложных мин и минных полей.</w:t>
      </w:r>
    </w:p>
    <w:p w14:paraId="7767B5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Проходы в минных полях прикрывать управляемыми минами, тщательно маскировать, постоянно охранять их от захвата противником и менять места их не реже двух раз в месяц.</w:t>
      </w:r>
    </w:p>
    <w:p w14:paraId="609D7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В тылу своей войсковой оборонительной полосы распоряжением командующих фронтами и армиями в соответствии с планом своих действий минировать или подготавливать быстрое минирование подступов к тыловым оборонительным рубежам, переправам, к узлам железных и шоссейных дорог, а также иметь наготове все необходимое для быстрого разрушения и минирования железных, шоссейных и грунтовых дорог, мостов, аэродромов, средств связи.</w:t>
      </w:r>
    </w:p>
    <w:p w14:paraId="13FE5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Устройство минных заграждений производить по особому плану минирования и разрушений. Этот план разрабатывать по указаниям командования штабу соединения с участием инженерного начальника, командующего артиллерией и тех командиров, на участке которых должны быть установлены минные заграждения. План минирования и разрушений перед передним краем и в глубине обороны дивизии утверждается командиром дивизии. Минирование в армейском районе осуществляется по плану минирования и разрушений, утверждаемому военным советом армии; во фронтовом районе — военным советом фронта.</w:t>
      </w:r>
    </w:p>
    <w:p w14:paraId="205E0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 Минирование минами замедленного действия, минами специального назначения, а также минирование объектов, имеющих оперативное или государственное значение, производить по указанию военного совета фронта.</w:t>
      </w:r>
    </w:p>
    <w:p w14:paraId="51E940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наступлении — при организации минных разграждений и заграждений руководствоваться следующим:</w:t>
      </w:r>
    </w:p>
    <w:p w14:paraId="7C63CB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Заблаговременно всеми видами разведки вскрыть систему минных заграждений на переднем крае противника и в глубине его расположения, после чего при помощи специально подготовленных саперных групп разграждений, хорошо прикрытых пехотой и огнем минометов и артиллерии, проделать необходимое для пехоты и танков количество проходов.</w:t>
      </w:r>
    </w:p>
    <w:p w14:paraId="1B896B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w:t>
      </w:r>
      <w:r w:rsidRPr="00271E51">
        <w:rPr>
          <w:rFonts w:ascii="Times New Roman" w:hAnsi="Times New Roman"/>
          <w:iCs/>
          <w:color w:val="000000" w:themeColor="text1"/>
          <w:sz w:val="16"/>
          <w:szCs w:val="16"/>
        </w:rPr>
        <w:t xml:space="preserve">С </w:t>
      </w:r>
      <w:r w:rsidRPr="00271E51">
        <w:rPr>
          <w:rFonts w:ascii="Times New Roman" w:hAnsi="Times New Roman"/>
          <w:color w:val="000000" w:themeColor="text1"/>
          <w:sz w:val="16"/>
          <w:szCs w:val="16"/>
        </w:rPr>
        <w:t>началом наступления в боевых порядках пехоты и танков иметь сапер, с целью определения минных полей и устройства в них проходов, кроме того, в составе первых эшелонов пехоты иметь команды сапер с минами для быстрого устройства, в случае необходимости, минных заграждений, с целью обеспечения наших флангов и закрепления занятых рубежей.*</w:t>
      </w:r>
    </w:p>
    <w:p w14:paraId="01F22F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Вслед за наступающими частями немедленно производить разведку всех минных заграждений противника, которые огораживать и выставлять предупредительные знаки и надписи, а с подходом саперных частей эти заграждения разминировать. В первую очередь разминировать пути сообщения и населенные пункты.</w:t>
      </w:r>
    </w:p>
    <w:p w14:paraId="431C6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Документацию минных полей и отдельных мин составлять своевременно, тщательно проверять на местности. При смене частей производить прием и сдачу как документов, так и самих минных полей общевойсковыми и инженерными командирами. Командирам подразделений, частей и соединений знать расположение и состояние минных заграждений на своих участках.</w:t>
      </w:r>
    </w:p>
    <w:p w14:paraId="32E7B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Начальнику Генерального штаба и начальнику инженерных войск Красной Армии организовать поверку выполнения настоящего* приказа.</w:t>
      </w:r>
    </w:p>
    <w:p w14:paraId="7F0BE6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Приказ довести до командиров стрелковых и саперных батальонов и командиров артдивизионов.</w:t>
      </w:r>
    </w:p>
    <w:p w14:paraId="068A5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Ставка Верховного Главнокомандования</w:t>
      </w:r>
    </w:p>
    <w:p w14:paraId="03F22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И. СТАЛИН</w:t>
      </w:r>
    </w:p>
    <w:p w14:paraId="7AC91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А. ВАСИЛЕВСКИЙ </w:t>
      </w:r>
      <w:r w:rsidRPr="00271E51">
        <w:rPr>
          <w:rFonts w:ascii="Times New Roman" w:hAnsi="Times New Roman"/>
          <w:color w:val="000000" w:themeColor="text1"/>
          <w:sz w:val="16"/>
          <w:szCs w:val="16"/>
        </w:rPr>
        <w:t>(9844).</w:t>
      </w:r>
    </w:p>
    <w:p w14:paraId="0EBAB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2E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3670 О формировании в составе войск Дальневосточного фронта двух стрелковых дивизий.РГАНИР, Фонд ГКО, д. 129, лл. 114 (11012).</w:t>
      </w:r>
    </w:p>
    <w:p w14:paraId="63A6FC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D537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вышло Постановление ГКО № 3679 [О закрытии Военно-политической академии Красной Армии имени В.И. Ленина и создании курсов переподготовки политсостава КА]. (7118, 152).</w:t>
      </w:r>
    </w:p>
    <w:p w14:paraId="1DE876A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C4D1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AC556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9BDC7A" w14:textId="77777777" w:rsidR="00F93C07" w:rsidRPr="00271E51" w:rsidRDefault="00F93C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июля</w:t>
      </w:r>
      <w:r w:rsidRPr="00271E51">
        <w:rPr>
          <w:rFonts w:ascii="Times New Roman" w:hAnsi="Times New Roman"/>
          <w:color w:val="000000" w:themeColor="text1"/>
          <w:sz w:val="16"/>
          <w:szCs w:val="16"/>
        </w:rPr>
        <w:t xml:space="preserve"> в 1943 году первый полет второго опытного образца </w:t>
      </w:r>
      <w:hyperlink r:id="rId9" w:tgtFrame="_blank" w:history="1">
        <w:r w:rsidRPr="00271E51">
          <w:rPr>
            <w:rFonts w:ascii="Times New Roman" w:hAnsi="Times New Roman"/>
            <w:color w:val="000000" w:themeColor="text1"/>
            <w:sz w:val="16"/>
            <w:szCs w:val="16"/>
          </w:rPr>
          <w:t xml:space="preserve">«XB-32» </w:t>
        </w:r>
      </w:hyperlink>
      <w:r w:rsidRPr="00271E51">
        <w:rPr>
          <w:rFonts w:ascii="Times New Roman" w:hAnsi="Times New Roman"/>
          <w:color w:val="000000" w:themeColor="text1"/>
          <w:sz w:val="16"/>
          <w:szCs w:val="16"/>
        </w:rPr>
        <w:t>(серийный номер 41-142) американского стратегического бомбардировщика «Consolidated» «B-32» «Dominator». На втором прототипе также использовалось двухкилевое хвостовое оперение, но с несколько измененными триммерами рулей направления. Самолет имел гермокабины экипажа и убирающиеся в фюзеляж дистанционно управляемые надфюзеляжную и подфюзеляжную турельные установки (14940).</w:t>
      </w:r>
    </w:p>
    <w:p w14:paraId="49663127" w14:textId="77777777" w:rsidR="00F93C07" w:rsidRPr="00271E51" w:rsidRDefault="00F93C07" w:rsidP="00271E51">
      <w:pPr>
        <w:spacing w:after="0" w:line="240" w:lineRule="auto"/>
        <w:jc w:val="both"/>
        <w:rPr>
          <w:rFonts w:ascii="Times New Roman" w:hAnsi="Times New Roman"/>
          <w:color w:val="000000" w:themeColor="text1"/>
          <w:sz w:val="16"/>
          <w:szCs w:val="16"/>
        </w:rPr>
      </w:pPr>
    </w:p>
    <w:p w14:paraId="46013CE5"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июля 1943 авиаудар по американским войскам на острове Рендова, нанесенный 24 японскими бомбардировщиками в сопровождении 48 истребителей, приводит к полной неожиданности, в результате чего 55 человек погибли и 77 получили ранения (20376).</w:t>
      </w:r>
    </w:p>
    <w:p w14:paraId="3889ECC4" w14:textId="77777777" w:rsidR="00E5561C" w:rsidRPr="00271E51" w:rsidRDefault="00E5561C" w:rsidP="00271E51">
      <w:pPr>
        <w:spacing w:after="0" w:line="240" w:lineRule="auto"/>
        <w:jc w:val="both"/>
        <w:rPr>
          <w:rFonts w:ascii="Times New Roman" w:hAnsi="Times New Roman"/>
          <w:color w:val="0070C0"/>
          <w:sz w:val="16"/>
          <w:szCs w:val="16"/>
        </w:rPr>
      </w:pPr>
    </w:p>
    <w:p w14:paraId="1E4CF14C"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июля (ночь) 1943 ВВС Северо-Западной Африки начинают интенсивные дневные и ночные атаки на аэродромы Оси на Сицилии, Сардинии и Италии в рамках подготовки к предстоящему вторжению на Сицилию. Италия утверждает, что в период с 1 по 9 июля совершила 650 боевых вылетов, а Германия - 500, защищаясь от бомбардировок союзников, но почти все аэродромы Оси на Сицилии к моменту вторжения рабиты (20376).</w:t>
      </w:r>
    </w:p>
    <w:p w14:paraId="08D1BF23" w14:textId="77777777" w:rsidR="00E5561C" w:rsidRPr="00271E51" w:rsidRDefault="00E5561C" w:rsidP="00271E51">
      <w:pPr>
        <w:spacing w:after="0" w:line="240" w:lineRule="auto"/>
        <w:jc w:val="both"/>
        <w:rPr>
          <w:rFonts w:ascii="Times New Roman" w:hAnsi="Times New Roman"/>
          <w:color w:val="0070C0"/>
          <w:sz w:val="16"/>
          <w:szCs w:val="16"/>
        </w:rPr>
      </w:pPr>
    </w:p>
    <w:p w14:paraId="70787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2nd, 1943: The US Fifteenth Air Force, based in Libya, raids three airfields in southern Italy (3819).</w:t>
      </w:r>
    </w:p>
    <w:p w14:paraId="5779D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C9AD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1943 15ВА США, базирующаяся в Ливии, разбомбила три аэродрома в Италии (3819).</w:t>
      </w:r>
    </w:p>
    <w:p w14:paraId="6BFF9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BCF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7DE2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C15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июля 1943 вышел приказ НКАП N 386с:</w:t>
      </w:r>
    </w:p>
    <w:p w14:paraId="23AF6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повышения качества выпускаемого самолета Ил-2 в частности в целях повышение его максимальной скорости:</w:t>
      </w:r>
    </w:p>
    <w:p w14:paraId="1A45E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1 Третьякову, 18 - Белянскому, 30 - Смирнову создать эталоны самолета Ил-2, на которых тщательно отработать внешнюю поверхность самолета, с целью достижения макс. скорости у земли без РС 410-4156 км/час.</w:t>
      </w:r>
    </w:p>
    <w:p w14:paraId="0637B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на этих эталонах сделать легким управление элеронами.</w:t>
      </w:r>
    </w:p>
    <w:p w14:paraId="21C7B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заводов 1 и 18 должны иметь консоли со стрелкой назад.</w:t>
      </w:r>
    </w:p>
    <w:p w14:paraId="050EA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выпуска эталонного самолета Ил-2 в полет устанавливаю 15 июля 1943</w:t>
      </w:r>
    </w:p>
    <w:p w14:paraId="1DEC6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Заводские летные испытания закончить к 20-го июля 1943 (1733,4).</w:t>
      </w:r>
    </w:p>
    <w:p w14:paraId="10D05F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Странно, что ни один из заводов не ведущий и каждый делал сам.</w:t>
      </w:r>
    </w:p>
    <w:p w14:paraId="24DD11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A1C4A"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июля 1943 г.</w:t>
      </w:r>
    </w:p>
    <w:p w14:paraId="6ECC135A"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p>
    <w:p w14:paraId="260F670C"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целях повышения качества выпускаемого самолета Ил-2, в частности, в целях повышения его максимальной скорости, - приказываю:</w:t>
      </w:r>
    </w:p>
    <w:p w14:paraId="37F0FADF"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1.Директору завода № 1 тов. Третьякову, директору завода № 18 тов. Белянскому... создать эталоны самолета Ил-2, на которых тщательно отработать внешнюю поверхность самолета с целью достижения максимальной скорости у земли без РСов 410-415 км/час.</w:t>
      </w:r>
    </w:p>
    <w:p w14:paraId="32D509BD"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Кроме того, на этих эталонах сделать легким управление элеронами.</w:t>
      </w:r>
    </w:p>
    <w:p w14:paraId="31E37180"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Самолеты заводов № 1 и 18 должны иметь консоли крыла со стрелкой назад.</w:t>
      </w:r>
    </w:p>
    <w:p w14:paraId="7D860D2B"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Срок выпуска эталонного самолета Ил-2 в полет устанавливаю 15 июля 1943 года.</w:t>
      </w:r>
    </w:p>
    <w:p w14:paraId="1AB42A60"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Заводские летные испытания закончить к 20 июля 1943 года. Отчет об испытаниях предоставить мне.</w:t>
      </w:r>
    </w:p>
    <w:p w14:paraId="0CCA732E"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2.Директору завода № 35 тов. Марочкину подобрать для самолета Ил-2 соответствующие лопасти винтов и подать их заводам не позднее 12 июля 1943 года.</w:t>
      </w:r>
    </w:p>
    <w:p w14:paraId="4DB15811"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Народный Комиссар авиационной промышленности</w:t>
      </w:r>
      <w:r w:rsidRPr="00271E51">
        <w:rPr>
          <w:rFonts w:ascii="Times New Roman" w:hAnsi="Times New Roman"/>
          <w:color w:val="0070C0"/>
          <w:sz w:val="16"/>
          <w:szCs w:val="16"/>
        </w:rPr>
        <w:tab/>
        <w:t>А. Шахурин</w:t>
      </w:r>
    </w:p>
    <w:p w14:paraId="278C7266" w14:textId="77777777" w:rsidR="00E5561C" w:rsidRPr="00271E51" w:rsidRDefault="00E5561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ГАСО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w:t>
      </w:r>
      <w:r w:rsidRPr="00271E51">
        <w:rPr>
          <w:rFonts w:ascii="Times New Roman" w:hAnsi="Times New Roman"/>
          <w:color w:val="0070C0"/>
          <w:sz w:val="16"/>
          <w:szCs w:val="16"/>
          <w:lang w:val="en-US"/>
        </w:rPr>
        <w:t xml:space="preserve">. P-3454. On. 2. </w:t>
      </w:r>
      <w:r w:rsidRPr="00271E51">
        <w:rPr>
          <w:rFonts w:ascii="Times New Roman" w:hAnsi="Times New Roman"/>
          <w:color w:val="0070C0"/>
          <w:sz w:val="16"/>
          <w:szCs w:val="16"/>
        </w:rPr>
        <w:t>Д</w:t>
      </w:r>
      <w:r w:rsidRPr="00271E51">
        <w:rPr>
          <w:rFonts w:ascii="Times New Roman" w:hAnsi="Times New Roman"/>
          <w:color w:val="0070C0"/>
          <w:sz w:val="16"/>
          <w:szCs w:val="16"/>
          <w:lang w:val="en-US"/>
        </w:rPr>
        <w:t xml:space="preserve">. 14. </w:t>
      </w:r>
      <w:r w:rsidRPr="00271E51">
        <w:rPr>
          <w:rFonts w:ascii="Times New Roman" w:hAnsi="Times New Roman"/>
          <w:color w:val="0070C0"/>
          <w:sz w:val="16"/>
          <w:szCs w:val="16"/>
        </w:rPr>
        <w:t>Л</w:t>
      </w:r>
      <w:r w:rsidRPr="00271E51">
        <w:rPr>
          <w:rFonts w:ascii="Times New Roman" w:hAnsi="Times New Roman"/>
          <w:color w:val="0070C0"/>
          <w:sz w:val="16"/>
          <w:szCs w:val="16"/>
          <w:lang w:val="en-US"/>
        </w:rPr>
        <w:t xml:space="preserve">. 196. </w:t>
      </w:r>
      <w:r w:rsidRPr="00271E51">
        <w:rPr>
          <w:rFonts w:ascii="Times New Roman" w:hAnsi="Times New Roman"/>
          <w:color w:val="0070C0"/>
          <w:sz w:val="16"/>
          <w:szCs w:val="16"/>
        </w:rPr>
        <w:t>Завер. Копия (20534).</w:t>
      </w:r>
    </w:p>
    <w:p w14:paraId="520D6DF3" w14:textId="77777777" w:rsidR="00E5561C" w:rsidRPr="00271E51" w:rsidRDefault="00E5561C" w:rsidP="00271E51">
      <w:pPr>
        <w:spacing w:after="0" w:line="240" w:lineRule="auto"/>
        <w:jc w:val="both"/>
        <w:rPr>
          <w:rFonts w:ascii="Times New Roman" w:hAnsi="Times New Roman"/>
          <w:color w:val="0070C0"/>
          <w:sz w:val="16"/>
          <w:szCs w:val="16"/>
        </w:rPr>
      </w:pPr>
    </w:p>
    <w:p w14:paraId="4FEFB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вышел приказ НКАП N 385с:</w:t>
      </w:r>
    </w:p>
    <w:p w14:paraId="39586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взлетных качеств самолета Ил-4, увеличения макс. скорости на расчетной высоте на 15 км и увеличения потолка самолета на 1000 м:</w:t>
      </w:r>
    </w:p>
    <w:p w14:paraId="0ECAF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29 Борисову отгрузить 3 мотора М-88В в адрес завода 23 10 июля 1943</w:t>
      </w:r>
    </w:p>
    <w:p w14:paraId="1BFD6F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23 Иосиловичу по получении М-88В в 5-ти дневный срок установить их на самолет Ил-4 и выпустить на заводские летные испытания (1734,208).</w:t>
      </w:r>
    </w:p>
    <w:p w14:paraId="64A54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8A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вышел приказ НКАП N 387с:</w:t>
      </w:r>
    </w:p>
    <w:p w14:paraId="060F0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23 Иосиловичу с получением М-82 в 3-х дневный срок установить его на самолет Ил-4 и выпустить на заводские испытания" (1733,12).</w:t>
      </w:r>
    </w:p>
    <w:p w14:paraId="0A89E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D7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(по другим данным - 10 июля) после гибели летчика А.И. Никашина 12 июня на его самолете Гу-1 "Аэрокобра" В приказе НКАП:</w:t>
      </w:r>
    </w:p>
    <w:p w14:paraId="0DACBC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заключению аварийной комиссии, катастрофа произошла из-за низких летных качеств самолета, получившихся вследствие плохой компоновки и ряда конструкторских ошибок, например, перетяжеления на 1000 кг, которое свидетельствует о низкой квалификации конструктора.</w:t>
      </w:r>
    </w:p>
    <w:p w14:paraId="36D29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Считая, что т. Гудков М.И. этой работой выявил свою несостоятельность, как конструктор, ПРИКАЗЫВАЮ:</w:t>
      </w:r>
    </w:p>
    <w:p w14:paraId="47ED2A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Лишить Гудкова М.И. звания Главного конструктора 2-й степени и запретить ему заниматься самостоятельной конструкторской работой.</w:t>
      </w:r>
    </w:p>
    <w:p w14:paraId="7076B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Личный состав ОКБ т. Гудкова М.И. перевести в ОКБ Лавочкина. (Это была вторая волна специалистов, первых трех конструкторов от Гудкова - его КБ находилось на территории завода № 156 - перевели в Горький в сентябре 1942 г. - Прим. авт.)</w:t>
      </w:r>
    </w:p>
    <w:p w14:paraId="16A55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Назначить т. Гудкова М.И. заместителем начальника ОТК завода № 84".</w:t>
      </w:r>
    </w:p>
    <w:p w14:paraId="60E0E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Гудкова облили грязью, но не уничтожили как конструктора. Забегая вперед, скажу, что вскоре после войны ушел из жизни Горбунов, утонув в Московском море, а Гудков вернулся к конструкторской деятельности (12032).</w:t>
      </w:r>
    </w:p>
    <w:p w14:paraId="2EB4E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E8084" w14:textId="77777777" w:rsidR="00E5561C" w:rsidRPr="00271E51" w:rsidRDefault="00E5561C" w:rsidP="00271E51">
      <w:pPr>
        <w:pStyle w:val="ae"/>
        <w:spacing w:before="0" w:after="0"/>
        <w:jc w:val="both"/>
        <w:rPr>
          <w:color w:val="0070C0"/>
          <w:sz w:val="16"/>
          <w:szCs w:val="16"/>
        </w:rPr>
      </w:pPr>
      <w:r w:rsidRPr="00271E51">
        <w:rPr>
          <w:color w:val="0070C0"/>
          <w:sz w:val="16"/>
          <w:szCs w:val="16"/>
        </w:rPr>
        <w:t>3 июля 1943 года летчик К.И. Пономарев был назначен приказом НКАП испытателем «Омеги» в Алма-Ате. Тем ж е летом после пробных подъемов и проверки устойчивости и управляемости он приступил к полетам по кругу. Высокая температура воздуха, доходившая до + 50°С, снижала мощность двигателей МВ-6 и тягу несущего винта. Моторы воздушного охлаждения быстро перегревались, и продолжительность полета не превышала 12—15 минут. Полетный вес машины во время испытаний не превышал 2050 кг. При этом удалось достигнуть лишь скорости 115 км /ч и высоты 150 м, в то время как по расчетам эти параметры ожидались не менее 186 км /ч и 2900 м соответственно. Тем не менее кратковременные полеты позволили сделать главный вывод: геликоптер устойчив на всех опробованных режимах полета, а управление им простое и надежное. Рекомендовалось заменить моторы МВ-6 более мощными. Фюзеляж «Омеги» представлял собой ферменную конструкцию, сваренную из стальных труб и обшитую перкалем. В носовой части размещалась двухместная кабина летчика и наблюдателя. Двигатели силовой установки крепились к боковым фермам прямоугольного сечения, также сваренным из стальных труб. Каждая силовая установка имела по два 10 «Омега» в полете редуктора. Нижние соединялись с коленчатыми валами двигателей через муфту свободного хода и передавали вращение на вертикальные валы. Для получения одинаковых оборотов несущих винтов нижние редукторы сопрягались валом синхронизации, состоявшим из двух половин, в свою очередь, соединенных муфтой. Верхний редуктор передавал мощность двигателей с вертикального вала на несущий винт. Лопасти винтов диаметром семь метров имели цельнометаллическую конструкцию и крепились к втулке через горизонтальные, продольные и вертикальные подпружиненные шарниры, замененные впоследствии на масляные демпферы. Для балансировки машины в горизонтальном полете служило хвостовое оперение, состоявшее из киля с рулем поворота и Т-образного подкосного переставного стабилизатора. Продольное и поперечное управление машиной осуществлялось ручкой летчика путем наклона вектора тяги несущих винтов в совокупности с изменением их циклического и дифференциального шага. Путевое управление производилось педалями, связанными с рулем поворота. Для отклонения стабилизатора служило штурвальное колесо. Необходимо отметить, что по сравнению с более ранними геликоптерами ЦАГИ «Омега», сохранив примерно такую же тяговооруженность, имела более чем в два раза большую удельную нагрузку на ометаемую площадь несущих винтов — то, к чему вертолетостроители придут спустя десятки лет. Нагрузка свыше 30 кг/м 2, видимо, стала результатом компоновки машины, а не каким-то предвидением конструктора (20260).</w:t>
      </w:r>
    </w:p>
    <w:p w14:paraId="3E6544B6" w14:textId="77777777" w:rsidR="00E5561C" w:rsidRPr="00271E51" w:rsidRDefault="00E5561C" w:rsidP="00271E51">
      <w:pPr>
        <w:pStyle w:val="ae"/>
        <w:spacing w:before="0" w:after="0"/>
        <w:jc w:val="both"/>
        <w:rPr>
          <w:color w:val="0070C0"/>
          <w:sz w:val="16"/>
          <w:szCs w:val="16"/>
        </w:rPr>
      </w:pPr>
    </w:p>
    <w:p w14:paraId="18A0D0D1" w14:textId="77777777" w:rsidR="00E5561C" w:rsidRPr="00271E51" w:rsidRDefault="00E556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 июля</w:t>
      </w:r>
      <w:r w:rsidRPr="00271E51">
        <w:rPr>
          <w:rFonts w:ascii="Times New Roman" w:hAnsi="Times New Roman"/>
          <w:color w:val="000000" w:themeColor="text1"/>
          <w:sz w:val="16"/>
          <w:szCs w:val="16"/>
        </w:rPr>
        <w:t xml:space="preserve"> в 1943 году погиб летчик-испытатель П.В.Попов. Испытывал серийные «Р-10». Испытывал серийные «Як-7Б», серийные «Як-9». Погиб при выполнении испытательного полёта на серийном «Як-9» (14941).</w:t>
      </w:r>
    </w:p>
    <w:p w14:paraId="6C779E2A" w14:textId="77777777" w:rsidR="00E5561C" w:rsidRPr="00271E51" w:rsidRDefault="00E5561C" w:rsidP="00271E51">
      <w:pPr>
        <w:spacing w:after="0" w:line="240" w:lineRule="auto"/>
        <w:jc w:val="both"/>
        <w:rPr>
          <w:rFonts w:ascii="Times New Roman" w:hAnsi="Times New Roman"/>
          <w:color w:val="000000" w:themeColor="text1"/>
          <w:sz w:val="16"/>
          <w:szCs w:val="16"/>
        </w:rPr>
      </w:pPr>
    </w:p>
    <w:p w14:paraId="6C531A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вышел приказ НКАП и командующего ВВС N 389с/0133 "О маскировочной окраске самолетов":</w:t>
      </w:r>
    </w:p>
    <w:p w14:paraId="4B36E6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маскирующих свойств окраски самолетов:</w:t>
      </w:r>
    </w:p>
    <w:p w14:paraId="142890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Выпускать с заводов НКАП самолеты с нижеследующей маскировочной окраской:</w:t>
      </w:r>
    </w:p>
    <w:p w14:paraId="73415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истребителям:</w:t>
      </w:r>
    </w:p>
    <w:p w14:paraId="2C235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Окраску верхних и боковых поверхностей производить в серо-голубой и темно-серый цвета по принятым эталонам.</w:t>
      </w:r>
    </w:p>
    <w:p w14:paraId="635F2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всем остальным самолетам:</w:t>
      </w:r>
    </w:p>
    <w:p w14:paraId="543D7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Окраску верхних и боковых поверхностей производить по 2-м вариантам для каждого типа самолета в три цвета - зеленый, темно-серый и светло-коричневый по принятым эталонам (1733,26).</w:t>
      </w:r>
    </w:p>
    <w:p w14:paraId="551450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AD7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 в соответствии с приказом НКАП и ВВС Красной Армии № 389/0133 были разработаны и утверждены 18 июля "Схемы маскирующей окраски самолетов". "Схемы..." определяли цвета и марки красок, форму и расположение камуфляжных пятен. Все истребители теперь окрашивались сверху и с боков в два цвета: серо-голубой и темно-серый; самолеты Пе-2, Ил-2, У-2, УТ-2 и Як-6 - в три цвета (зеленый, светло-коричневый и темно-серый), причем Ил-2, УТ-2 и Пе-2 имели по два варианта окраски. Для бомбардировщиков Ил-4 и Пе-8 этот документ предписывал вместо темно-серого цвета черный. Нижние поверхности всех самолетов должны были иметь тот же голубой цвет, что и раньше.</w:t>
      </w:r>
    </w:p>
    <w:p w14:paraId="5248F5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Интересно, что сначала, согласно тактико-техническим требованиям НИИ ВВС на разработку лакокрасочного покрытия самолетов на 1943 г., утвержденным генерал-майором Лосюковым 24 февраля 1943 г., "окраска верхних и боковых поверхностей самолета должна быть камуфляжной с применением как минимум трех цветов: зеленого (цвет №4), черного (цвет №6) и песочного (цвет №1)". Номера цветов, как видим, совпадают с номерами красок серии АМТ. По разработанному в апреле </w:t>
      </w:r>
      <w:r w:rsidRPr="00271E51">
        <w:rPr>
          <w:rFonts w:ascii="Times New Roman" w:hAnsi="Times New Roman"/>
          <w:color w:val="000000" w:themeColor="text1"/>
          <w:sz w:val="16"/>
          <w:szCs w:val="16"/>
        </w:rPr>
        <w:lastRenderedPageBreak/>
        <w:t>1943 г. проекту приказа о переходе на новые схемы окраски, для всех классов самолетов, включая истребители, также планировался трехцветный камуфляж, причем соотношение зеленого, черного (а не темно-серого, как впоследствии) и светло-коричне- вого цветов предполагалось, как 5:2:3.</w:t>
      </w:r>
    </w:p>
    <w:p w14:paraId="53F939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того, в апреле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w:t>
      </w:r>
    </w:p>
    <w:p w14:paraId="1B13C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окраски самолетов разрешалось пользоваться только стандартными красками следующих марок: зеленый цвет - АМТ-4 (для металлических поверхностей - А-24м), светло-коричневый - АМТ-1 (А-21м), серо-голубой - АМТ-11, темно-серый - АМТ-12 (А-32м), голубой - АМТ-7 (А-28м).</w:t>
      </w:r>
    </w:p>
    <w:p w14:paraId="610BE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двух красках, АМТ-4 и АМТ-7 (и их масляных аналогах) уже говорилось. Не указанная в перечне черная краска (для Ил-4 и Пе-8), без сомнения, АМТ-6, также применявшаяся с 1941 г. А что можно сказать об остальных?</w:t>
      </w:r>
    </w:p>
    <w:p w14:paraId="209F1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Светло-коричневый аэролак АМТ-1, разработанный еще в 1941 г., не был востребован ВВС до июля 1943 г., когда на него, а также на АМТ-11 и АМТ-12, ввели ТУ. Цвет АМТ-1 можно назвать светло-серо-коричневым. ТУ допускали "незначительные изменения расцветки при хранении". АМТ-1, так же, как и другие лаки серии АМТ, давал полуматовое покрытие.</w:t>
      </w:r>
    </w:p>
    <w:p w14:paraId="12482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 на масляную эмаль А-21м (цветовой аналог АМТ-1) ввели в сентябре 1943 г. Цвет этой эмали несколько отличался от АМТ-1, вероятно, из-за различий в пленкообразующих. Масляный лак по сравнению с нитроцеллюлозой имел желтоватый оттенок, поэтому и цвет А-21м был более желтым, теплым. Другой характерной для масляных эмалей особенностью А-21м являлась матовая поверхность высохшей пленки.</w:t>
      </w:r>
    </w:p>
    <w:p w14:paraId="75D0C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АМТ-11 имел средне-темный с небольшим голубым оттенком серый цвет. В 1943 г. ТУ на масляную эмаль такого цвета еще отсутствовали. Это объясняется тем, что он использовался тогда только для истребителей, среди которых в тот период не было цельнометаллических самолетов, требовавших окраски масляными эмалями. А для металлических капотов машин смешанной конструкции служили аэролаки, наносимые по грунту АЛГ-5 с горячей сушкой, которая могла быть без особых затруднений произведена на заводах НКАП.</w:t>
      </w:r>
    </w:p>
    <w:p w14:paraId="64A4E6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Темно-серые аэролак АМТ-12 и масляная эмаль А-32м шли на смену черным АМТ-6 и А-26м, которые теперь стали применяться только для окраски лопастей винтов. Обе новые эмали были достаточно темными, близкими к черному цвету, причем аэролак АМТ-12 был немного темнее, чем А-32м. Причиной такой, казалось бы, незначительной замены являлся сделанный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w:t>
      </w:r>
    </w:p>
    <w:p w14:paraId="251B10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НКАП и ВВС определял также порядок введения новых схем камуфляжа в практику. Поставку всех необходимых эмалей должны были обеспечить к 25 июля. Начало выпуска истребителей с новым камуфляжем планировалось с 15 июля, остальных самолетов - с 1 августа, а до этого срока, начиная с 15 июля, предписывалось в существующей двухцветной окраске выпускаемых машин заменить черный цвет на темно- серый. До получения стандартных серо- голубой и темно-серой красок разрешалось применять смеси нитроэмалей АМТ-7 (голубой) и АМТ-6 (черной) или масляных А-26м и А-28м, сделанные по специальной инструкции и эталонам ВИАМ. Такие меры по смешиванию красок, никогда ранее не разрешавшиеся, говорят об особой срочности введения нового камуфляжа. Документального подтверждения применения смесей красок не обнаружено, равно как и сами "специальные" инструкции и эталоны. Однако исключить их использования на начальном этапе внедрения нового камуфляжа нельзя. В этом случае цвета таких эмалей могли значительно отличаться от АМТ-11 и АМТ-12 (А-32м).</w:t>
      </w:r>
    </w:p>
    <w:p w14:paraId="1A5FD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одну и ту же часть предписывалось отправлять самолеты, окрашенные по разным вариантам (для тех типов, у которых имелись два варианта камуфляжа). Перекраска существующего парка самолетов в авиачастях не планировалась. Окрашиваться по новым схемам должны были только ремонтируемые самолеты. Зимой 1943/44 г. по указанию маршала авиации А.А. Новикова все истребители, имеющие новый камуфляж, в белый цвет уже не окрашивались.</w:t>
      </w:r>
    </w:p>
    <w:p w14:paraId="6ABFE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Насколько же пунктуально выполнялись требования "Схем ..." 1943 г.?</w:t>
      </w:r>
    </w:p>
    <w:p w14:paraId="601B6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часто стандартная схема встречается на фотографиях истребителей того периода (ЛаГГ-3, Ла-5, Як-3, Як-9). Правда, форма пятен бывает несколько искажена. Наиболее часто это выражается в отсутствии четких углов, которые при окраске пульверизатором без трафарета становятся скругленными. Больше всего отличий от "Схем..." наблюдается в окраске капотов. Возможно, это объясняется тем, что их лакокрасочное покрытие, как наиболее повреждаемое при эксплуатации, чаще подлежало ремонту.</w:t>
      </w:r>
    </w:p>
    <w:p w14:paraId="17462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Иначе обстояло дело с трехцветным камуфляжем. На самолетах Пе-2, Ил-4, Пе-8 и им подобных наносить его было нелегко из-за больших размеров. На многих заводах введение окраски самолетов по новым схемам задерживалось в связи с неполучением новых аэролаков, да и красить в три цвета (не считая голубого для нижних поверхностей) было сложнее, чем в два. В последний день июля НКАП обратился к начальнику Главного управления заказов ВВС генерал-лейтенанту Н.П. Селезневу с просьбой дать указания военпредам 11-го Главного управления (серийное производство легкомоторных самолетов) о приемке до 1 сентября самолетов с двухцветным камуфляжем. Из черновика письма, как нереальную мечту, замнаркома авиапромышленности П.В. Дементьев вычеркнул предложение о сохранении двухцветного камуфляжа для этих самолетов и "на дальнейший период".</w:t>
      </w:r>
    </w:p>
    <w:p w14:paraId="7A9F28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даже если машина была окрашена по трехцветной схеме, на фотографиях не всегда это можно увидеть, т.к. покрытия, выполненные зеленой краской АМТ-4 (или А-24м) и темно-серой АМТ-12 (А-32м), имели близкие коэффициенты отражения: до 9% и 12% соответственно. Учитывая, что зеленый цвет на черно-белых фотографиях выглядит темно-серым, различить эти цвета можно только на качественных снимках. где камуфлированные поверхности хорошо освещены. На таком общем фоне хорошо заметна лишь светло-коричневая эмаль АМТ-1 (коэффициент отражения до 22%).</w:t>
      </w:r>
    </w:p>
    <w:p w14:paraId="46EC57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светлые пятна, полностью совпадающие по форме и месту расположения со "Схемами...", видны на некоторых фотографиях Ил-2, У-2 и, реже, Пе-2. Поэтому с достаточно большой уверенностью можно говорить об их стандартном трехцветном камуфляже. Известны фотографии и других самолетов, например. Ил-4. на которых ясно виден трехцветный камуфляж (правда, его рисунок не совпадает со "Схемами...").</w:t>
      </w:r>
    </w:p>
    <w:p w14:paraId="73F6D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"Схемах..." отсутствует камуфляж для Ту-2. На момент их разработки серийное производство его на заводе № 166 в Омске было остановлено. 17 июля 1943 г. (за день до утверждения "Схем..."!) вышло постановление ГКО о запуске Ту-2 в серию на московском заводе № 23. Первая же серийная машина покинула сборочный цех только в ноябре. Хотя для нее вполне можно было использовать схему камуфляжа близкого по размерам и конфигурации Пе-2, на заводе предпочли разработать собственный вариант с теми же тремя красками (А-21м, А-24м и А-32м).</w:t>
      </w:r>
    </w:p>
    <w:p w14:paraId="5EA12D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наконец, о причинах смены камуфляжа. Зелено-черный камуфляж лучше всего защищал от наблюдения сверху машину, стоящую на земле или летящую на небольшой высоте, когда расстояние от нее до фона значительно меньше, чем до наблюдателя и. следовательно, можно пренебречь влиянием атмосферной дымки между замаскированным самолетом и землей.</w:t>
      </w:r>
    </w:p>
    <w:p w14:paraId="684EF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наблюдения различие участков земной поверхности по цвету постепенно уменьшается, все более сменяясь различием ахроматическим, т. е. только по светлоте. Дымка придавала расцветкам земного фона холодные, голубоватые оттенки. Тем самым зелено-черный истребитель, набирая высоту и приближаясь к противнику, летящему на большой высоте (расстояние от самолета до фона становилось больше, чем до наблюдателя), все заметнее выделялся зелеными пятнами на голубовато-сероватом фоне земли.</w:t>
      </w:r>
    </w:p>
    <w:p w14:paraId="3902F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давнее недовольство военных черно-зеленой окраской, казалось, причина ясна: советская авиация, переходя к активным действиям, набирала, в прямом и переносном смысле, высоту, для чего и понадобился новый камуфляж. Но все не так просто.</w:t>
      </w:r>
    </w:p>
    <w:p w14:paraId="42FEF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Посмотрим, как тогда выглядела конструкция деревянных обшивок самолетов. Фанера приклеивалась к каркасу и покрывалась двумя слоями нитроклея, затем наносился тонкий слой шпатлевки, потом опять слой нитроклея и, наконец, наклеивалась ткань, которая покрывалась двумя слоями шпатлевки, грунтовочным слоем аэролака АН Ал (в военное временя этот слой мог не наноситься) и двумя слоями аэролака АМТ (11989).</w:t>
      </w:r>
    </w:p>
    <w:p w14:paraId="4A0EC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09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 согласно совместному приказу НКАП и ВВС самолеты ЛаГГ-3, выпускавшиеся в Тбилиси, получили новый стандартный камуфляж. Верхние и боковые поверхности окрашивались аэролаками АМТ-12 темно-серого цвета и АМТ-11 серо-голубого, причем АМТ-11 наносился поверх более темного АМТ-12. Нижние поверхности окрашивались лаком АМТ-7 голубого цвета. Достаточно точное соответствие формы и расположения камуфляжных пятен требованиям альбома "Схемы маскирующей окраски самолетов" издания 1943 г. подтверждается фотографиями ряда истребителей 66-й серии, принадлежавших 9-му иап ВВС Черноморского флота, действовавшего в 1944 г. в районе Новороссийска.</w:t>
      </w:r>
    </w:p>
    <w:p w14:paraId="5AEAFE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АМТ-11 имел довольно темный, с небольшим голубым оттенком, цвет, который при хранении мог незначительно изменяться. Аэролак АМТ-12 заменял в новых камуфляжах черные краски АМТ-6 и А-26м, которые теперь стали применяться только для окраски лопастей винтов. Новая эмаль была достаточно темной. Причиной такой, казалось бы, незначительной замены можно считать сделанный к тому времени военными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w:t>
      </w:r>
    </w:p>
    <w:p w14:paraId="0422AA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Приказ определял также порядок введения новых схем камуфляжа в практику. Начало выпуска истребителей с новой маскировочной окраской планировалось с 15 </w:t>
      </w:r>
      <w:r w:rsidRPr="00271E51">
        <w:rPr>
          <w:rFonts w:ascii="Times New Roman" w:hAnsi="Times New Roman"/>
          <w:color w:val="000000" w:themeColor="text1"/>
          <w:sz w:val="16"/>
          <w:szCs w:val="16"/>
        </w:rPr>
        <w:lastRenderedPageBreak/>
        <w:t>июля 1943 г. До получения стандартных серо-голубой и темно-се- рой красок разрешалось применять краски, изготовленные путем смешивания нитроэмалей АМТ-7 (голубой) и АМТ-6 (черной) по специальной инструкции и эталонам ВИАМ. Такие меры по смешиванию красок, никогда ранее не разрешавшиеся, говорят об особой срочности введения нового камуфляжа.</w:t>
      </w:r>
    </w:p>
    <w:p w14:paraId="40ECF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Перекраска существующего парка самолетов в авиачастях не предусматривалась. Окрашиваться по новым схемам должны были лишь ремонтируемые машины. Зимой 1943/44 г. по указанию маршала авиации А.А. Новикова на все истребители, имеющие новый камуфляж, временная белая окраска уже не наносилась (11983).</w:t>
      </w:r>
    </w:p>
    <w:p w14:paraId="5CC770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Технологический процесс окраски истребителей на заводах в основном выглядел следующим образом. Металлические детали перед окраской грунтовались лако-масляным грунтом АЛГ-5 горячей сушки (серо-зеленого цвета) или глифталевым 138А (красного цвета). Внешние поверхности деревянных обшивок, оклеенных полотном, покрывались шпатлевкой АШ-22 (желтого цвета) или, позднее, АШ-30 (серого цвета). При этом места, загрязненные смоляным клеем, перед оклейкой полотном покрывались грунтом 138А или глифталевой эмалью А-18ф светло-голубого цвета. Затем эти поверхности, а также полотняные обшивки рулей и элеронов грунтовались аэролаком All Ал. серебристого цвета, который предохранял ткань от АЛГ-1 и окрашивали теми же эмалями, что и остальные поверхности, но обязательно в два слоя.</w:t>
      </w:r>
    </w:p>
    <w:p w14:paraId="6A440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моторы могли окрашиваться эмалями МВ-8 и МВ-108, которые давали полуглянцевые покрытия светло-серого цвета. На всасывающих трубах моторов, окрашенных по любому из этих вариантов нитроэмалями оранжевого цвета МВ-3 и МВ-4, наносилось октановое число потребляемого двигателем бензина.</w:t>
      </w:r>
    </w:p>
    <w:p w14:paraId="4EEEA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Тыльная сторона лопастей винтов окрашивалась в черный цвет масляной эмалью А-26м или аэролаком АМТ-6 черного цвета. В обоих случаях перед окраской применялся грунт АЛГ-1 или АЛГ-5, а для АМТ-6 мог применяться также и грунт 138А красно-коричневого цвета.</w:t>
      </w:r>
    </w:p>
    <w:p w14:paraId="35562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Окраска агрегатов и трубопроводов производилась по стандартной в советской авиации схеме: бензобаки и бензопроводы - желтый цвет (масляная эмаль А-6), баки и трубопроводы водяной системы - зеленый (А-7, ядовито- зеленого оттенка), маслобаки и трубопроводы - коричневый (А-8, довольно темного оттенка). Элементы и агрегаты гидравлической системы покрывались синей эмалью А-9, кислородной системы - голубой А-10, воздушной - черной А-12, противопожарное оборудование - красной А-13 (она же служила для опознавательных знаков). Могли использоваться также нитроэмали ДМ тех же цветов. Все эмали были глянцевыми.</w:t>
      </w:r>
    </w:p>
    <w:p w14:paraId="460FA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система окраски действовала, по крайней мере с 1937 г., и отклонения от нее могли возникнуть лишь из-за отсутствия необходимых красок. Известно, что в 1943 г. на заводе № 21 (выпускавшем уже Ла-5) трубки гидросистемы по этой причине окрашивались нитроэмалью АН Ал. Возможно, что подобные случаи происходили и раньше. Для опознавательных знаков иногда использоразрушающего воздействия ультрафиолетовых лучей, проникающих через пигментированные аэролаки. Лишь после этого самолет сверху и с боков красили зеленой нитроэмалью АМТ-4, а снизу - голубой АМТ-7. После высыхания последнего слоя на самолет наносили пятна черной эмали АМТ-6.</w:t>
      </w:r>
    </w:p>
    <w:p w14:paraId="609B1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Внутренние поверхности могли окрашиваться по нескольким вариантам: двумя слоями аэролака АН Ал по серому нитрогрунту ДД-113, двумя слоями серой масляной А-14 (или глифталевой А-14ф того же цвета) или одним слоем смоляного лака № 1. При ремонте самолетов внутренние поверхности могли покрываться слоем клея ВИАМ Б-3 или двумя слоями аэролаков АН Ал., АМТ-7 или All светло-голубого цвета.</w:t>
      </w:r>
    </w:p>
    <w:p w14:paraId="395DF0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Детали моторов перед окраской покрывались грунтом АЛГ-1 (желтого цвета) или АЛГ-5 горячей сушки. Затем производилась окраска в черный цвет глифталевой эмалью 2086ф или двумя слоями нитроэмали МВ-109 и сверху еще одним слоем нитролака МВ-6. Пленка лака МВ-6 была полуглянцевой, черного цвета с фиолетовым оттенком.</w:t>
      </w:r>
    </w:p>
    <w:p w14:paraId="63EA9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два варианта предусматривали окраску моторов в серо-голубой цвет двумя слоями глифталевой эмали АМ-4 или последовательными слоями нитроэмалей МВ-1 и МВ-2. Эти нитроэмали давали полуглянцевое покрытие серо- голубого цвета средней интенсивности.</w:t>
      </w:r>
    </w:p>
    <w:p w14:paraId="39DCAB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Детали моторов из магниевых сплавов предварительно оксидировали, грунтовали только цинкхроматным грунтом.</w:t>
      </w:r>
    </w:p>
    <w:p w14:paraId="61A552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частях окраску ЛаГГ-3 дополняли различными знаками принадлежности к соединению, части и подразделению, бортовыми номерами, элементами быстрого распознавания, индивидуальными эмблемами и обозначениями побед. Цвет кока (красный, желтый или голубой) мог обозначать номер эскадрильи. С этой же целью в 9-м иап использовались полосы на киле. Самолеты этого полка (66-й серии завода № 31) имели и другие отличительные признаки - звезда уменьшенного размера на киле и белый бортовой номер, расположенные прямо за остеклением кабины. Номера, наносимые на бортах фюзеляжа, часто "сгоняли" со своего законного места красную звезду (11983). </w:t>
      </w:r>
    </w:p>
    <w:p w14:paraId="1E63F0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8A8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года согласно приказу НКАП и ВВС верхние и боковые поверхности самолетов окрашивались аэролаками АМТ-12 темно-серого цвета и АМТ-11 серо-голубого, причем АМТ-11 наносился поверх более темного АМТ- 12. Нижние поверхности окрашивались лаком АМТ-7 голубого цвета. Для самолетов Ла-5 формы и расположение камуфляжных пятен достаточно точно соответствовали требованиям альбома "Схемы маскирующей окраски самолетов" издания 1943 г.</w:t>
      </w:r>
    </w:p>
    <w:p w14:paraId="163FA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АМТ-И имел довольно темный, с небольшим голубым оттенком, цвет, который при хранении мог незначительно изменяться. Аэролак АМТ-12 заменял в новых камуфляжах черные краски АМТ-6 и А-26м, которые теперь стали применяться только для окраски лопастей винтов. Новая эмаль была достаточно темной. Причиной такой, казалось бы, незначительной замены можно считать сделанный к тому времени военными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w:t>
      </w:r>
    </w:p>
    <w:p w14:paraId="23C35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определял также порядок введения новых схем камуфляжа в практику окрашивания. Начало выпуска истребителей с новой маскировочной окраской планировалось с 15 июля 1943 г. До получения стандартных серо-голу- бой и темно-серой красок разрешалось применять краски, изготовленные путем смешивания нитроэмалей АМТ-7 (голубой) и АМТ-6 (черной) по специальной инструкции и эталонам ВИАМ. Такие меры по смешиванию красок, никогда ранее не разрешавшиеся, говорят об особой срочности введения новой схемы камуфляжа.</w:t>
      </w:r>
    </w:p>
    <w:p w14:paraId="189BF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Перекраска существующего парка самолетов в авиачастях не предусматривалась. Окрашиваться по новым схемам должны были лишь ремонтируемые машины. Зимой 1943-1944 годов по указанию маршала авиации А.А. Новикова на все истребители, имеющие новый камуфляж, временная белая окраска уже не наносилась.</w:t>
      </w:r>
    </w:p>
    <w:p w14:paraId="31722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же 1943 году у звезд официально появились белые и красные окантовки. Приказ от 3 сентября для улучшения видимости опознавательных знаков предписывал обводить звезды "по внешнему контуру белой полосой шириной 5 см с окантовкой ее красной полоской шириной 1 см".</w:t>
      </w:r>
    </w:p>
    <w:p w14:paraId="0304D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Технологический процесс окраски истребителей на заводах в основном выглядел следующим образом. Металлические детали перед окраской грунтовались лако-масляным грунтом АЛГ-5 горячей сушки (серо-зеленого цвета) или глифталевым 138А (красного цвета). Внешние поверхности деревянных обшивок, оклеенных полотном, покрывались шпатлевкой ALU-22 (желтого цвета) или, позднее, АШ-30 (серого цвета). При этом места, загрязненные смоляным клеем, перед оклейкой полотном покрывались грунтом 138А или глифта- левой эмалью А-18ф светло-голубого цвета. Затем эти поверхности, а также полотняные обшивки рулей и элеронов грунтовались аэролаком АН Ал. серебристого цвета, который предохранял ткань от разрушающего воздействия ультрафиолетовых лучей, проникающих через пигментированные аэролаки. Лишь после этого самолет сверху и с боков красили зеленой нитроэмалью АМТ-4, а снизу - голубой АМТ-7. После высыхания последнего слоя на самолет наносили пятна черной эмали АМТ-6.</w:t>
      </w:r>
    </w:p>
    <w:p w14:paraId="6CD059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Внутренние поверхности могли окрашиваться по нескольким вариантам: двумя слоями аэролака АН Ал по серому нитрогрунту ДД-113, двумя слоями серой масляной А-14 (или глифталевой А-14ф того же цвета) или одним слоем смоляного лака № 1. При ремонте самолетов внутренние поверхности могли покрываться слоем клея ВИАМ Б-3 или двумя слоями аэролаков А II Ал., АМТ-7 или А II светло-голубого цвета.</w:t>
      </w:r>
    </w:p>
    <w:p w14:paraId="10097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Детали моторов перед окраской покрывались фунтом AJ1 Г-1 (желтого цвета) или АЛГ-5 горячей сушки. Затем производилась окраска в черный цвет глифталевой эмалью 2086ф или двумя слоями нитроэмали MB-109 и сверху еще одним слоем нитролака МВ-6. Пленка лака МВ-6 была полуглянцевой, черного цвета с фиолетовым оттенком.</w:t>
      </w:r>
    </w:p>
    <w:p w14:paraId="557709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два варианта предусматривали окраску моторов в серо-голубой цвет двумя слоями глифталевой эмали АМ-4 или последовательными слоями нитроэмалей МВ-1 и МВ-2. Эти нитроэмали давали полуглянцевое покрытие серо- голубого цвета средней интенсивности.</w:t>
      </w:r>
    </w:p>
    <w:p w14:paraId="52B16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Детали моторов из магниевых сплавов предварительно оксидировали, грунтовали только цинкхроматным грунтом АЛГ-1 и окрашивали теми же эмалями, что и остальные поверхности, но обязательно в два слоя.</w:t>
      </w:r>
    </w:p>
    <w:p w14:paraId="7AECB3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Кроме того, моторы могли окрашиваться эмалями МВ-8 и MB-108, которые давали полуглянцевые покрытия светло-серого цвета. На всасывающих трубах моторов, окрашенных по любому из этих вариантов нитроэмалями оранжевого цвета МВ-3 и МВ-4, наносилось октановое число потребляемого бензина. </w:t>
      </w:r>
    </w:p>
    <w:p w14:paraId="65C09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Тыльная сторона лопастей винтов окрашивалась в черный цвет масляной эмалью А-26м или аэролаком АМТ-6 черного цвета. В обоих случаях перед окраской применялся грунт АЛГ-1 или АЛГ-5, а для АМТ-6 мог применяться также и грунт 138А красно-коричневого цвета.</w:t>
      </w:r>
    </w:p>
    <w:p w14:paraId="2823B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Окраска агрегатов и трубопроводов производилась по стандартной в советской авиации схеме: бензобаки и бензопроводы - желтый цвет (масляная эмаль А-6), баки и трубопроводы водяной системы - зеленый (А-7, ядовито- зеленого оттенка), маслобаки и трубопроводы - коричневый (А~8, довольно темного оттенка). Элементы и агрегаты гидравлической системы покрывались синей эмалью А-9, кислородной системы - голубой А-10, воздушной - черной А-12, противопожарное оборудование - красной А-13 (она же служила для опознавательных знаков). Могли использоваться также нитроэмали ДМ тех же цветов. Все эмали были глянцевыми.</w:t>
      </w:r>
    </w:p>
    <w:p w14:paraId="7C26A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Такая система окраски действовала, по крайней мере, с 1937 года, и отклонения от нее могли возникнуть лишь из-за отсутствия необходимых красок. Известно, что в 1943 году на заводе № 21 (выпускавшем уже Ла-5) трубки гидросистемы по этой причине окрашивались нитроэмалью AI1 Ал. Возможно, что подобные случаи </w:t>
      </w:r>
      <w:r w:rsidRPr="00271E51">
        <w:rPr>
          <w:rFonts w:ascii="Times New Roman" w:hAnsi="Times New Roman"/>
          <w:color w:val="000000" w:themeColor="text1"/>
          <w:sz w:val="16"/>
          <w:szCs w:val="16"/>
        </w:rPr>
        <w:lastRenderedPageBreak/>
        <w:t>происходили и раньше. Для опознавательных знаков иногда использовался аэролак АН кр.</w:t>
      </w:r>
    </w:p>
    <w:p w14:paraId="731E2F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частях окраску ЛаГГ-3 дополняли различными знаками принадлежности к соединению, части и подразделению, бортовыми номерами, элементами быстрого распознавания, индивидуальными эмблемами и обозначениями побед.</w:t>
      </w:r>
    </w:p>
    <w:p w14:paraId="6801A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Цвет кока (красный, желтый или голубой) мог обозначать номер эскадрильи. С этой же целью в 9-м иап использовались полосы на киле. Самолеты этого полка (66-й серии завода № 31) имели и другие отличительные признаки - звезда уменьшенного размера на киле и белый бортовой номер, расположенные прямо за остеклением кабины. Номера, наносимые на бортах фюзеляжа, часто "сгоняли" со своего законного места красную звезду.</w:t>
      </w:r>
    </w:p>
    <w:p w14:paraId="23780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Такой же камуфляж наносили и на истребители Ла-5Ф и Ла-5ФН первых серий завода № 21.</w:t>
      </w:r>
    </w:p>
    <w:p w14:paraId="4F4F66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1942-го - первой половине 1943 года завод № 21 выпустил партию самолетов Ла-5 с надписью "Эскадрилья "Валерий Чкалов" на левом борту. На правом было написано: "От колхозников и колхозниц Горьковской области". Камуфляж этих машин не отличался от обычного. Надписи проходили прямо по звездам, сзади которых наносились бортовые номера. Эти номера во время войны стали накрашивать по трафарету, как правило, прямо на заводах; они представляли собой ту часть заводского номера самолета, которая обозначала порядковый номер самолета в производственной серии.</w:t>
      </w:r>
    </w:p>
    <w:p w14:paraId="341086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1943 года первые такие машины уже попали на фронт. На этих истребителях надпись красовалась на фоне временного белого покрытия, выполненного смываемой краской МК-7.</w:t>
      </w:r>
    </w:p>
    <w:p w14:paraId="78FFC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стандартный зелено-черный камуфляж перестал удовлетворять военных летчиков. Уже в отчете о войсковых испытаниях Ла-5 1-й, 2-й и 3-й серий завода № 21, проходивших в 287-й иад под Сталинградом и в 49-м иап на Западном фронте с 31 августа по 13 сентября 1942 года, отмечалось: "Камуфляж самолета Ла-5, как и остальных отечественных истребителей, подобран неудовлетворительно. Самолет Ла-5 в сравнении с истребителями противника своей окраской в воздухе резко выделяется на фоне чистого неба и облаков, что облегчает противнику обнаружение наших самолетов. При просмотре с воздуха, на земле, окраска наших самолетов также резко выделяется на фоне земли".</w:t>
      </w:r>
    </w:p>
    <w:p w14:paraId="089511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пробы изменения маскирующей окраски проводились еще на ЛаГГ-3 в июне 1942 г. Результаты испытаний нового трехцветного камуфляжа удовлетворили ВВС, но авиапромышленность не торопилась с его введением. Положение не изменялось до середины 1943 г. Согласно уже упоминавшемуся приказу НКАП и ВВС от 3 июля 1943 года советские самолеты получили новую стандартную маскировочную окраску. Истребители теперь следовало окрашивать сверху и с боков аэролаками АМТ-12 темно-серого и АМТ-11 серо-голубого, снизу - АМТ-7 голубого цвета.</w:t>
      </w:r>
    </w:p>
    <w:p w14:paraId="59CA59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весной 1943 года в рекламационных актах, направляемых в НКАП из частей ВВС, начали упоминаться случаи срыва обшивки крыльев, оканчивавшиеся, как правило, катастрофами. Предвестником катастроф обычно становилось растрескивание полотна на крыльях или фюзеляже. "Грешили" этим истребители Як-7Б завода № 153, Як-1 завода № 292 и Ла-5 заводов № 21 и № 99. В частности во 2-й воздушной армии дефектными оказались 53 Ла-5 235-й иад, в 5-й воздушной армии - 15 Ла-5, в 17-й воздушной армии - 52 Ла-5. Большинство дефектных самолетов было выпушены в конце зимы или весной 1943 г.</w:t>
      </w:r>
    </w:p>
    <w:p w14:paraId="42D04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предпринимаемые меры, к июню этот дефект принял настолько массовый характер, что грозил срывом боевых операций. Ремонт, производимый авиамастерскими, не помогал - отремонтированные обшивки вскоре снова покрывались трещинами.</w:t>
      </w:r>
    </w:p>
    <w:p w14:paraId="4BF871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чем же крылась причина катастроф? Сначала посмотрим, как выглядела конструкция деревянных обшивок советских самолетов. Фанера приклеивалась к силовому каркасу и покрывалась сверху двумя слоями нитроклея, затем наносился тонкий слой шпатлевки, опять слой нитроклея и наклеивалась ткань. Ткань покрывалась двумя слоями нитрошпатлевки АШ-22, одним грунтовочным слоем аэролака АН алюминиевого цвета (впрочем, в условиях военного времени этой слой разрешалось не наносить) и двумя слоями аэролака второго покрытия марки АМТ.</w:t>
      </w:r>
    </w:p>
    <w:p w14:paraId="15236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1942-го - начале 1943 года в нитрошпатлевке АШ-22 свинцовый крон, входящий в состав пигментной части, заменили на железный сурик. Замена была произведена на заводах НКХП в Челябинске и Новосибирске. Такая эрзац-шпатлевка применялась на авиазаводах в течение всей зимы и весны. Летом под воздействием тепла и солнечных лучей в слое шпатлевки возникли внутренние напряжения, вызвавшие растрескивание всего лакокрасочного слоя. Через трещины проникала влага, что резко снизило прочность приклейки ткани и привело к отрыву ее от деревянных частей. Свою роль сыграл и отказ от грунтовочного слоя аэролака алюминиевого цвета, который мог бы защитить шпатлевку от солнца и влаги.</w:t>
      </w:r>
    </w:p>
    <w:p w14:paraId="09578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Брошенные на фронт заводские бригады успели за две-три недели вернуть в строй дефектные самолеты. Это позволило в полной мере использовать истребители в боях под Курском и Белгородом. В тыловых частях ремонт продолжался еше и в сентябре 1943 г.</w:t>
      </w:r>
    </w:p>
    <w:p w14:paraId="7CEEC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основная причина дефекта - некачественная шпатлевка, из рецептуры которой вывели дефицитный свинцовый крон. Как видим, решить проблему его дефицита за счет шпатлевки не удалось. Но свинцовый крон входил и в состав зеленых эмалей А-24м и АМТ-4. Если нельзя отказаться от него в шпатлевке, то может быть уменьшить расход крона на краски? В них свинцовый крон (пигмент желтого цвета) вместе с милори (синий пигмент) служил для получения зеленого цвета. При этом рецептуры предусматривали возможность замены этой парочки од ним пигментом - зеленой окисью хрома, но и окись хрома была дефицитной. В 1943 году НКАП получил только 53,8 процентов от необходимого его количества. Невозможна была и замена свинцового крона на другой - цинковый: в марте 1943 года "в связи с полным отсутствием цинкового крона" приняли решение "приостановить изготовление грунтов АЛГ-1 и АЛГ-5", применявшихся для покрытия металлических деталей перед окраской их нитроэмалями. Выход виделся один - резко уменьшить выпуск зеленых эмалей. Новый камуфляж 1943 года как раз и отвечал такому решению, весьма выгодному для авиапромышленности: на наиболее массовом типе самолетов, истребителях, зеленый цвет отсутствует полностью, а для других самолетов потребность в зеленых красках уменьшена более чем в 1,6 раза (12032).</w:t>
      </w:r>
    </w:p>
    <w:p w14:paraId="70798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DF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года была подготовлена справка:</w:t>
      </w:r>
    </w:p>
    <w:p w14:paraId="580293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 НКВ расположен на правом берегу Енисея (напротив Красноярска) – Злобино (9271).</w:t>
      </w:r>
    </w:p>
    <w:p w14:paraId="75D9B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7B0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393 – Красногорск Московской области (9271).</w:t>
      </w:r>
    </w:p>
    <w:p w14:paraId="0DFA9C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530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года вышел приказ НКАП за № 459, которым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135233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39547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20E39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55E527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Фабричная линия, д. 11, п/я 2382 (9842).</w:t>
      </w:r>
    </w:p>
    <w:p w14:paraId="531B3F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4B7C2"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81A6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3C5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 Курской Битвой в боекомплект СУ-122 был введен кумулятивный 122-мм снаряд, позволявший пробить броню практически любого немецкого танка. Однако дальность прямого выстрела этим снарядом была очень малой (не свыше 400 м), а в условиях малой скорострельности применение этого боеприпаса не сделало самоходные гаубицы надежным оружием против немецких танков (4017).</w:t>
      </w:r>
    </w:p>
    <w:p w14:paraId="7A13CC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E9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вышло Постановление ГКО № 3680 О сформировании дополнительно четырех гвардейских минометных бригад М-31РГАНИР, Фонд ГКО, д. 129, лл. 153 (11012).</w:t>
      </w:r>
    </w:p>
    <w:p w14:paraId="4E727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85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вышло Распоряжение ГКО № 3681. Об исключении из плана 1943 г. строительства ТЭЦ на заводе № 75 НКВ.РГАНИР, Фонд ГКО, д. 129, лл. 154 (11012).</w:t>
      </w:r>
    </w:p>
    <w:p w14:paraId="5C8200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84D7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июля 1943 вышло Распоряжение ГКО № 3682 [О разработке проекта постановления "О мероприятиях по улучшению работы узкоколейного железнодорожного транспорта торфопредприятий Наркомэлектростанций, Наркомтекстиля СССР, НКместтоппрома РСФСР, Наркомлегпрома СССР и Наркомстройматериалов СССР".] </w:t>
      </w:r>
      <w:r w:rsidRPr="00271E51">
        <w:rPr>
          <w:rFonts w:ascii="Times New Roman" w:hAnsi="Times New Roman"/>
          <w:color w:val="000000" w:themeColor="text1"/>
          <w:sz w:val="16"/>
          <w:szCs w:val="16"/>
        </w:rPr>
        <w:lastRenderedPageBreak/>
        <w:t>(7118, 155,156-179).</w:t>
      </w:r>
    </w:p>
    <w:p w14:paraId="109F9FB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BF547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5189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35C0E4"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 июля</w:t>
      </w:r>
      <w:r w:rsidRPr="00271E51">
        <w:rPr>
          <w:rFonts w:ascii="Times New Roman" w:hAnsi="Times New Roman"/>
          <w:color w:val="000000" w:themeColor="text1"/>
          <w:sz w:val="16"/>
          <w:szCs w:val="16"/>
        </w:rPr>
        <w:t xml:space="preserve"> в 1943 году утреннее сообщение Совинформбюро:</w:t>
      </w:r>
    </w:p>
    <w:p w14:paraId="7835B202"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ночи на 3 июля на фронте ничего существенного не произошло.</w:t>
      </w:r>
    </w:p>
    <w:p w14:paraId="3EFAE5FF"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происходила активная деятельность наших разведывательных подразделений. На одном участке отряд разведчиков проник в траншеи противника и вступил в рукопашную схватку с немцами. Наши бойцы истребили до роты гитлеровцев, уничтожили 4 пулемёта, 2 миномёта и разрушили 9 блиндажей. На другом участке разведчики под командованием старшего лейтенанта Протасова пробрались в расположение немцев и внезапно атаковали подразделение противника. Гитлеровцы в беспорядке отступили, бросив радиостанцию, пулемёт, несколько автоматов и винтовок, миноискатели и другое военное имущество. Захватив трофеи, разведчики возвратились в свою часть.</w:t>
      </w:r>
    </w:p>
    <w:p w14:paraId="3A56377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рота немецкой пехоты пыталась атаковать наши позиции. Бойцы Н-ской части отбили вражескую атаку и истребили 30 гитлеровцев. На другом участке наши разведчики ворвались в немецкие траншеи, истребили группу солдат противника и, захватив пленных, вернулись в свою часть.</w:t>
      </w:r>
    </w:p>
    <w:p w14:paraId="18998853"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лётчиками в воздушном бою сбито два немецких самолёта.</w:t>
      </w:r>
    </w:p>
    <w:p w14:paraId="550F9A5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миномётчики батареи, где командиром т. Батыгин, обстреляли колонну вражеских велосипедистов и истребили 14 гитлеровцев. На другом участке артиллеристы Н-ской части обстреляли скопление пехоты противника и уничтожили 70 немецких солдат и офицеров.</w:t>
      </w:r>
    </w:p>
    <w:p w14:paraId="529FD7D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уничтожили до 150 солдат и офицеров противника. Огнём артиллерии и миномётов разрушено 19 вражеских дзотов и 5 наблюдательных пунктов. В результате артиллерийского обстрела на позициях противника возникли большие пожары и произошло до 30 сильных взрывов.</w:t>
      </w:r>
    </w:p>
    <w:p w14:paraId="59271DDA"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отряда, действующего в Каменец-Подольской области, подорвали немецкий воинский эшелон. Разбиты паровоз, 6 классных вагонов и 2 платформы. Три дня гитлеровцы очищали и исправляли путь. На четвёртый день движение возобновилось, но не надолго. Первый же вражеский поезд, вышедший с соседней станции, был пущен партизанами под откос. В результате крушения уничтожены паровоз и 17 вагонов. Партизанская разведка наблюдала, как немцы увозили в город на грузовиках и подводах много убитых и раненых солдат.</w:t>
      </w:r>
    </w:p>
    <w:p w14:paraId="4CB1257D"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экипажа немецкого самолёта «Юнкерс-88» лейтенант К. Леман рассказал: «После двух лет войны положение на фронтах коренным образом изменилось. Германия теперь вынуждена перейти к обороне. Многие солдаты уверены, что англо-американские войска скоро высадятся в Европе. За последнее время в офицерских кругах часто возникают разговоры на эту тему. Трудно найти офицера, который бы верил, что так называемый «атлантический вал» может служитьпрепятствием для десантных армий. Болтовня об «атлантическом вале» доказывает лишь, что над Германией нависла непосредственная угроза второго фронта, которую невозможно предотвратить».</w:t>
      </w:r>
    </w:p>
    <w:p w14:paraId="42F7F876"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 сообщение о новом злодеянии немецко-фашистских мерзавцев. Немецкиелётчики в учебных целях производят бомбардировки мирных сёл в оккупированных советских районах. 21 мая немецкий самолёт сбросил фугасные бомбы на деревню Болоча, Пуховичского района, Минской области. Разрушено несколько домов. Убиты 3 женщины и шестилетняя девочка. В июне два немецких бомбардировщика в том же районе сбросили 12 бомб на деревню Гребля. Разрушено 15 домов. Убито и ранено много женщин и детей.</w:t>
      </w:r>
    </w:p>
    <w:p w14:paraId="3E03AEB8"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Австрии резко увеличилось количество диверсионных актов. На машиностроительном заводе близ Вены рабочие взорвали силовую установку. В связи с этим ряд цехов завода выведен из строя на длительный срок. На автомобильном заводе в Зиммеринге приёмочная комиссия забраковала крупную партию автомашин. На паровозостроительном заводе в Флоридсдорфе неизвестные поломали много сложных станков.» (14941).</w:t>
      </w:r>
    </w:p>
    <w:p w14:paraId="2E52993E"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31CDB58B"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 июля</w:t>
      </w:r>
      <w:r w:rsidRPr="00271E51">
        <w:rPr>
          <w:rFonts w:ascii="Times New Roman" w:hAnsi="Times New Roman"/>
          <w:color w:val="000000" w:themeColor="text1"/>
          <w:sz w:val="16"/>
          <w:szCs w:val="16"/>
        </w:rPr>
        <w:t xml:space="preserve"> в 1943 году вечернее сообщение Совинформбюро:</w:t>
      </w:r>
    </w:p>
    <w:p w14:paraId="3BBA5D0E"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июля на фронте существенных изменений не произошло.</w:t>
      </w:r>
    </w:p>
    <w:p w14:paraId="7790A777"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кораблями и авиацией в Чёрном море потоплены шхуна и самоходная баржа противника.</w:t>
      </w:r>
    </w:p>
    <w:p w14:paraId="03758814"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происходила редкая артиллерийско-миномётная и ружейно-пулемётная перестрелка. Наши части истребили до роты гитлеровцев, уничтожили 6 пулемётов и подавили огонь нескольких артиллерийских и миномётных батарей противника. На одном участке отряд немцев пытался проникнуть в расположение нашей обороны. Вражеские разведчики нарвались на минное поле. Взрывом мин часть немцев была уничтожена. Остальные гитлеровцы истреблены ружейно-пулемётным огнём наших бойцов из боевого охранения.</w:t>
      </w:r>
    </w:p>
    <w:p w14:paraId="4EF226E1"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Белгорода артиллеристы Н-ской части совершили несколько огневых налётов на позиции противника и уничтожили немецкое орудие, 3 пулемёта и 7 повозок с грузом. Разрушено 4 вражеских дзота и 5 наблюдательных пунктов. Снайперская группа, руководимая гвардии старшим лейтенантом Приблудня, за один день уничтожила 14 солдат и офицеров противника.</w:t>
      </w:r>
    </w:p>
    <w:p w14:paraId="3ACA67BF"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Лисичанска наши части вели разведку и артиллерийско-миномётную перестрелку с противником. Наши артиллеристы обнаружили вражеские огневые точки и подавили огонь нескольких артиллерийских батарей противника. Снайперы Н-ской части истребили 44 гитлеровца.</w:t>
      </w:r>
    </w:p>
    <w:p w14:paraId="01FAD458"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нашей артиллерии уничтожено 2 немецких орудия, 5 пулемётов, разрушено 14 землянок и 6 наблюдательных пунктов противника. Разведчики под командованием старшего сержанта Анисова скрытно проникли в траншеи противника. Наши бойцы уничтожили 17 гитлеровцев и без потерь вернулись в свою часть. На другом участке группа красноармейцев под командованием лейтенанта Трошева истребила 15 немцев, взорвала 2 блиндажа и захватила у противника пулемёт и несколько автоматов.</w:t>
      </w:r>
    </w:p>
    <w:p w14:paraId="0EB0F22A"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Орловской области, в конце июня месяца вёл ожесточённые бои против немецких захватчиков. Партизаны уничтожили до 800 вражеских солдат и офицеров. Советские патриоты подбили 2 танкетки и взорвали 12 автомашин противника. Захвачены трофеи. Группа партизан другого орловского отряда пустила под откос вражеский эшелон. Разбиты паровоз и 15 вагонов с боеприпасами.</w:t>
      </w:r>
    </w:p>
    <w:p w14:paraId="3546DF98"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 сторону Красной Армии перешли четыре солдата 78 немецкой штурмовой дивизии. Перебежчик Антон Л. рассказал: «В нашей роте, кроме немцев, было 35 словенцев, 6 поляков, 8 французов из Лотарингии, 5 люксембуржцев, 3 чеха, 2 голландца и 1 бельгиец. Все они мобилизованы в германскую армию насильно. Несмотря на угрозы, многие словенцы не явились на призывные пункты. Одни ушли в партизанские отряды и сражаются против немцев, другие скрываются. Мой друг Людвиг Вукон, из деревни Больфенг, наотрез отказался итти в германскуюармию. Гестаповцы арестовали Вукона, его мать, двух сестёр и отправили в концлагерь. Словенцы, против своей воли очутившиеся в рядах немецкой армии, хотят перейти на сторону русских. Первым из нашего полка перебежал земляк Франц. Несколько дней спустя мы слушали его выступление по радио. Он призывал нас последовать его примеру. На следующий день мы, четверо, ушли к русским».</w:t>
      </w:r>
    </w:p>
    <w:p w14:paraId="7AFCACBF"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Недавно в городе Ламбюсар (Бельгия) патриоты взорвали крупную угольную шахту. "Близ Брюсселя произошло крушение немецкого воинского эшелона. В результате катастрофы убито и ранено много гитлеровцев. В Льеже бельгийские патриоты напали на немецкую зенитную батарею, перебили прислугу, а орудия вывели из строя.» (14941).</w:t>
      </w:r>
    </w:p>
    <w:p w14:paraId="4A7C161E"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15696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3 июля 1943 с Пе-8 (ТБ-7) сбросили две ФАБ-5000 по железнодорожному узлу в Орле. Рапортовали, что взрыв сопровождался пламенем и дымом, похожими на взрыв бензиновых емкостей. </w:t>
      </w:r>
      <w:r w:rsidRPr="00271E51">
        <w:rPr>
          <w:rFonts w:ascii="Times New Roman" w:hAnsi="Times New Roman"/>
          <w:color w:val="000000" w:themeColor="text1"/>
          <w:sz w:val="16"/>
          <w:szCs w:val="16"/>
          <w:lang w:val="en-US"/>
        </w:rPr>
        <w:t xml:space="preserve">45 </w:t>
      </w:r>
      <w:r w:rsidRPr="00271E51">
        <w:rPr>
          <w:rFonts w:ascii="Times New Roman" w:hAnsi="Times New Roman"/>
          <w:color w:val="000000" w:themeColor="text1"/>
          <w:sz w:val="16"/>
          <w:szCs w:val="16"/>
        </w:rPr>
        <w:t>дивизиясбросила</w:t>
      </w:r>
      <w:r w:rsidRPr="00271E51">
        <w:rPr>
          <w:rFonts w:ascii="Times New Roman" w:hAnsi="Times New Roman"/>
          <w:color w:val="000000" w:themeColor="text1"/>
          <w:sz w:val="16"/>
          <w:szCs w:val="16"/>
          <w:lang w:val="en-US"/>
        </w:rPr>
        <w:t xml:space="preserve"> 110 </w:t>
      </w:r>
      <w:r w:rsidRPr="00271E51">
        <w:rPr>
          <w:rFonts w:ascii="Times New Roman" w:hAnsi="Times New Roman"/>
          <w:color w:val="000000" w:themeColor="text1"/>
          <w:sz w:val="16"/>
          <w:szCs w:val="16"/>
        </w:rPr>
        <w:t>бомбобщимвесом</w:t>
      </w:r>
      <w:r w:rsidRPr="00271E51">
        <w:rPr>
          <w:rFonts w:ascii="Times New Roman" w:hAnsi="Times New Roman"/>
          <w:color w:val="000000" w:themeColor="text1"/>
          <w:sz w:val="16"/>
          <w:szCs w:val="16"/>
          <w:lang w:val="en-US"/>
        </w:rPr>
        <w:t xml:space="preserve"> 57.76 </w:t>
      </w:r>
      <w:r w:rsidRPr="00271E51">
        <w:rPr>
          <w:rFonts w:ascii="Times New Roman" w:hAnsi="Times New Roman"/>
          <w:color w:val="000000" w:themeColor="text1"/>
          <w:sz w:val="16"/>
          <w:szCs w:val="16"/>
        </w:rPr>
        <w:t>т</w:t>
      </w:r>
      <w:r w:rsidRPr="00271E51">
        <w:rPr>
          <w:rFonts w:ascii="Times New Roman" w:hAnsi="Times New Roman"/>
          <w:color w:val="000000" w:themeColor="text1"/>
          <w:sz w:val="16"/>
          <w:szCs w:val="16"/>
          <w:lang w:val="en-US"/>
        </w:rPr>
        <w:t xml:space="preserve"> (1103,118).</w:t>
      </w:r>
    </w:p>
    <w:p w14:paraId="083F3F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66B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3rd, 1943: In the East, the opening of Unternehmen Zitadelle (Operation Citadel), the massive German counter-offensive to encircle and destroy the Soviet forces in the Orel-Belgorod salient near Kursk. is delayed by one day because of heavy Soviet air attacks against the German deployment areas. The RAF carries out a heavy night raid on Cologne, causing considerable damage and killing hundreds of civilians (3819).</w:t>
      </w:r>
    </w:p>
    <w:p w14:paraId="67DBCC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3EF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операция Цитадель была задержана на один день в результате атак советской авиации. Королевские ВВС совершили налет на Кельн, вызвав значительные разрушения и гибель большого числа людей среди гражданского населения (3819).</w:t>
      </w:r>
    </w:p>
    <w:p w14:paraId="69B12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33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июля 1943 г. Докладная записка начальника 6-го Управления НКГБ СССР Власика по поводу охраны самолетов, курсирующих по маршруту Ленинград-Рыбинск-Москва. Жданову. Д.49, л. 9 (11775).</w:t>
      </w:r>
    </w:p>
    <w:p w14:paraId="018618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FC615" w14:textId="77777777" w:rsidR="0012255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B0EC8AE" w14:textId="77777777" w:rsidR="0012255E" w:rsidRPr="00271E51" w:rsidRDefault="0012255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59143"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 июля</w:t>
      </w:r>
      <w:r w:rsidRPr="00271E51">
        <w:rPr>
          <w:rFonts w:ascii="Times New Roman" w:hAnsi="Times New Roman"/>
          <w:color w:val="000000" w:themeColor="text1"/>
          <w:sz w:val="16"/>
          <w:szCs w:val="16"/>
        </w:rPr>
        <w:t xml:space="preserve"> в 1943 году впервые взлетел </w:t>
      </w:r>
      <w:hyperlink r:id="rId10" w:tgtFrame="_blank" w:history="1">
        <w:r w:rsidRPr="00271E51">
          <w:rPr>
            <w:rFonts w:ascii="Times New Roman" w:hAnsi="Times New Roman"/>
            <w:color w:val="000000" w:themeColor="text1"/>
            <w:sz w:val="16"/>
            <w:szCs w:val="16"/>
          </w:rPr>
          <w:t xml:space="preserve">«P-47» </w:t>
        </w:r>
      </w:hyperlink>
      <w:r w:rsidRPr="00271E51">
        <w:rPr>
          <w:rFonts w:ascii="Times New Roman" w:hAnsi="Times New Roman"/>
          <w:color w:val="000000" w:themeColor="text1"/>
          <w:sz w:val="16"/>
          <w:szCs w:val="16"/>
        </w:rPr>
        <w:t xml:space="preserve">с каплевидным фонарем от истребителя «Hawker Typhoon» с наклонным плоским лобовым бронестеклом, обозначеный как «XP-47K». Проведенные испытания показали снижение максимальной скорости на 29 км/час. Несмотря на это модификация была быстро представлена на </w:t>
      </w:r>
      <w:r w:rsidRPr="00271E51">
        <w:rPr>
          <w:rFonts w:ascii="Times New Roman" w:hAnsi="Times New Roman"/>
          <w:color w:val="000000" w:themeColor="text1"/>
          <w:sz w:val="16"/>
          <w:szCs w:val="16"/>
        </w:rPr>
        <w:lastRenderedPageBreak/>
        <w:t>поточных линиях в Фармингдейле и Эвансвиле. Для установки каплевидного фонаря инженеры Republic были вынуждены уменьшить высоту гаргрота фюзеляжа. Благодаря новому фонарю, не имевшему оплетки, пилот получал прекрасный круговой обзор. Обычно после такой модернизации «USAAF» давали самолету новое обозначение или даже новый номер типового ряда. Но на этот раз «USAAF» просто присвоили самолету новый номер серии модели «D» (14941).</w:t>
      </w:r>
    </w:p>
    <w:p w14:paraId="2F12BBED"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0D290260" w14:textId="77777777" w:rsidR="003E3CDD" w:rsidRPr="00271E51" w:rsidRDefault="003E3CD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 июля (ночь) 1943 653 британских бомбардировщика атакуют Кельн. Во время рейда Люфтваффе впервые экспериментирует с тактикой ночных истребителей Wilde Sau ("Дикий кабан"), в которой дневные одномоторные истребители используют любое освещение - от прожекторов, сигнальных ракет , пожаров и т. д., - доступное над городом. для визуального распознавания и атаки бомбардировщиков противника ночью. Пилоты Wilde Sau и зенитная артиллерия заявляют, что над Кельном были сбиты одни и те же 12 бомбардировщиков, и официально каждый получает зачет шесть. Успех эксперимента приведет к образованию Jagdgeschwader 300, который будет специализироваться в Wilde Sau (20376).</w:t>
      </w:r>
    </w:p>
    <w:p w14:paraId="794CC483" w14:textId="77777777" w:rsidR="003E3CDD" w:rsidRPr="00271E51" w:rsidRDefault="003E3CDD" w:rsidP="00271E51">
      <w:pPr>
        <w:spacing w:after="0" w:line="240" w:lineRule="auto"/>
        <w:jc w:val="both"/>
        <w:rPr>
          <w:rFonts w:ascii="Times New Roman" w:hAnsi="Times New Roman"/>
          <w:color w:val="0070C0"/>
          <w:sz w:val="16"/>
          <w:szCs w:val="16"/>
        </w:rPr>
      </w:pPr>
    </w:p>
    <w:p w14:paraId="7CC049A3"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 июля</w:t>
      </w:r>
      <w:r w:rsidRPr="00271E51">
        <w:rPr>
          <w:rFonts w:ascii="Times New Roman" w:hAnsi="Times New Roman"/>
          <w:color w:val="000000" w:themeColor="text1"/>
          <w:sz w:val="16"/>
          <w:szCs w:val="16"/>
        </w:rPr>
        <w:t xml:space="preserve"> в 1943 году тральщик «Ju52MS» (w/n 3462) подорвался и погиб в Керченском проливе. Гибель "мауси" на вытраленных минах, возможно, связана с тем, что специально против «Ju52MS» англичане выпускали мины «A.MkI» имевшие взрыватель без замедлителя, которые взрывались непосредственно под самолетом. Экипаж (ефрейтор Хасхард, унтер-офицеры Фрезен, Реслер соответственно), хотя и получили ранения, но были спасены (14941).</w:t>
      </w:r>
    </w:p>
    <w:p w14:paraId="77D5EA8C"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6493F24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AC233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25E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завершились гос. испытания Як-1МС, начавшиеся 7 июня 1943 (198,54).</w:t>
      </w:r>
    </w:p>
    <w:p w14:paraId="524EF9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A8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Як-1M успешно прошел госиспытания (заводские шли с 28 февраля по 7 июня), которые шли с 7 июня. К этому времени, основываясь на результатах испытаний мотора М-106, ОКБ А.С. Яковлева выдвинуло предложение по дальнейшему форсированию мощности мотора М-105ПФ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06303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февраля 1943 г. был построен первый прототип Як-IM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01EDEB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1F6F5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0E00D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510C5D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87A49" w14:textId="77777777" w:rsidR="00454E8B" w:rsidRPr="00271E51" w:rsidRDefault="00454E8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завершились государственные испытания </w:t>
      </w:r>
      <w:hyperlink r:id="rId11" w:tgtFrame="_blank" w:history="1">
        <w:r w:rsidRPr="00271E51">
          <w:rPr>
            <w:rFonts w:ascii="Times New Roman" w:hAnsi="Times New Roman"/>
            <w:color w:val="000000" w:themeColor="text1"/>
            <w:sz w:val="16"/>
            <w:szCs w:val="16"/>
          </w:rPr>
          <w:t xml:space="preserve">«Як-1М». </w:t>
        </w:r>
      </w:hyperlink>
      <w:r w:rsidRPr="00271E51">
        <w:rPr>
          <w:rFonts w:ascii="Times New Roman" w:hAnsi="Times New Roman"/>
          <w:color w:val="000000" w:themeColor="text1"/>
          <w:sz w:val="16"/>
          <w:szCs w:val="16"/>
        </w:rPr>
        <w:t>К этому времени, основываясь на результатах испытаний мотора «М-106», ОКБ А.С. Яковлева выдвинуло предложение по дальнейшему форсированию мощности мотора «М-105ПФ» путем увеличения наддува с 1050 до 1100 мм рт. 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 Новый самолет получил признание пилотов за легкость пилотирования, сравнимую со "Spitfire V", хорошие летные качества и приличную маневренность. Недостатки самолета остались наследственными - недостаточно эффективная система охлаждения; забрызгивание фонаря маслом и отсутствие радиостанции. Отдельные машины радиостанцию получили, но она отличалась высоким уровнем шума. Чтобы дать самолетам больше шансов попасть на вооружение, в августе 1943 года прототип отправили в ЦАГИ для обдува в аэродинамической трубе. Результаты испытания оказались обнадеживающими, но требующими радикально изменить конструкцию самолета. Поэтому от многих идей по улучшению машины пришлось отказаться. Тем не менее, прототип имел значительные конструктивные особенности. Под двигателем снова появился воздухозаборник, а в хвостовой части фюзеляжа полотняную обшивку заменили фанерой. Самолет «Як-1М» с «М-105ПФ2» далеко ушел от первого прототипа и представлял собой, по сути, «Як-3» (14942).</w:t>
      </w:r>
    </w:p>
    <w:p w14:paraId="42F82E6B" w14:textId="77777777" w:rsidR="00454E8B" w:rsidRPr="00271E51" w:rsidRDefault="00454E8B" w:rsidP="00271E51">
      <w:pPr>
        <w:spacing w:after="0" w:line="240" w:lineRule="auto"/>
        <w:jc w:val="both"/>
        <w:rPr>
          <w:rFonts w:ascii="Times New Roman" w:hAnsi="Times New Roman"/>
          <w:color w:val="000000" w:themeColor="text1"/>
          <w:sz w:val="16"/>
          <w:szCs w:val="16"/>
        </w:rPr>
      </w:pPr>
    </w:p>
    <w:p w14:paraId="46198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1943-го первый бой, проведенный 32-м гиап в ходе войсковых испытаний, показал превосходство Ла-5 с М-82ФН над FW 190. Правда, и эту машину пришлось лечить от "болезней" фонаря, растрескивания покрытия и шпаклевки самолета (4573).</w:t>
      </w:r>
    </w:p>
    <w:p w14:paraId="5C806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92A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4 июля 1943 до начала боевых действий 32 иа пол</w:t>
      </w:r>
      <w:r w:rsidRPr="00271E51">
        <w:rPr>
          <w:rFonts w:ascii="Times New Roman" w:hAnsi="Times New Roman"/>
          <w:color w:val="000000" w:themeColor="text1"/>
          <w:sz w:val="16"/>
          <w:szCs w:val="16"/>
        </w:rPr>
        <w:softHyphen/>
        <w:t>ком, которому были поручены войсковые испытания Ла-5ФН было получено с завода №21 всего 13 самолетов Ла-5 с М-82ФН, один из них разбит при катастрофе во время тренировочного полета (из- за ошибки в технике пилотирования). В период боевых действий получено еще 2 самолета. Таким образом, ис</w:t>
      </w:r>
      <w:r w:rsidRPr="00271E51">
        <w:rPr>
          <w:rFonts w:ascii="Times New Roman" w:hAnsi="Times New Roman"/>
          <w:color w:val="000000" w:themeColor="text1"/>
          <w:sz w:val="16"/>
          <w:szCs w:val="16"/>
        </w:rPr>
        <w:softHyphen/>
        <w:t>пытанию подвергались 14 самолетов Ла-5 с М-82ФН. Остальные самоле</w:t>
      </w:r>
      <w:r w:rsidRPr="00271E51">
        <w:rPr>
          <w:rFonts w:ascii="Times New Roman" w:hAnsi="Times New Roman"/>
          <w:color w:val="000000" w:themeColor="text1"/>
          <w:sz w:val="16"/>
          <w:szCs w:val="16"/>
        </w:rPr>
        <w:softHyphen/>
        <w:t>ты в полку были Ла-5 с М-82Ф. Во время тренировки было проведено несколько показательных боев само</w:t>
      </w:r>
      <w:r w:rsidRPr="00271E51">
        <w:rPr>
          <w:rFonts w:ascii="Times New Roman" w:hAnsi="Times New Roman"/>
          <w:color w:val="000000" w:themeColor="text1"/>
          <w:sz w:val="16"/>
          <w:szCs w:val="16"/>
        </w:rPr>
        <w:softHyphen/>
        <w:t>летов Ла-5 с М-82ФН с самолетами Ла-5 с М-82Ф, которыми было выяв</w:t>
      </w:r>
      <w:r w:rsidRPr="00271E51">
        <w:rPr>
          <w:rFonts w:ascii="Times New Roman" w:hAnsi="Times New Roman"/>
          <w:color w:val="000000" w:themeColor="text1"/>
          <w:sz w:val="16"/>
          <w:szCs w:val="16"/>
        </w:rPr>
        <w:softHyphen/>
        <w:t>лено полное преимущество первых над вторыми. Испытания проходили в боевых ус</w:t>
      </w:r>
      <w:r w:rsidRPr="00271E51">
        <w:rPr>
          <w:rFonts w:ascii="Times New Roman" w:hAnsi="Times New Roman"/>
          <w:color w:val="000000" w:themeColor="text1"/>
          <w:sz w:val="16"/>
          <w:szCs w:val="16"/>
        </w:rPr>
        <w:softHyphen/>
        <w:t>ловиях в 32 ГИАП 1 ГИАК 15 ВА на Брянском фронте (северный фас Кур</w:t>
      </w:r>
      <w:r w:rsidRPr="00271E51">
        <w:rPr>
          <w:rFonts w:ascii="Times New Roman" w:hAnsi="Times New Roman"/>
          <w:color w:val="000000" w:themeColor="text1"/>
          <w:sz w:val="16"/>
          <w:szCs w:val="16"/>
        </w:rPr>
        <w:softHyphen/>
        <w:t>ской дуги) с 5 июля по 25 августа 1943 года. В процессе испытаний полк выпол</w:t>
      </w:r>
      <w:r w:rsidRPr="00271E51">
        <w:rPr>
          <w:rFonts w:ascii="Times New Roman" w:hAnsi="Times New Roman"/>
          <w:color w:val="000000" w:themeColor="text1"/>
          <w:sz w:val="16"/>
          <w:szCs w:val="16"/>
        </w:rPr>
        <w:softHyphen/>
        <w:t>нял боевую задачу по прикрытию на</w:t>
      </w:r>
      <w:r w:rsidRPr="00271E51">
        <w:rPr>
          <w:rFonts w:ascii="Times New Roman" w:hAnsi="Times New Roman"/>
          <w:color w:val="000000" w:themeColor="text1"/>
          <w:sz w:val="16"/>
          <w:szCs w:val="16"/>
        </w:rPr>
        <w:softHyphen/>
        <w:t>земных войск и освобождению воз</w:t>
      </w:r>
      <w:r w:rsidRPr="00271E51">
        <w:rPr>
          <w:rFonts w:ascii="Times New Roman" w:hAnsi="Times New Roman"/>
          <w:color w:val="000000" w:themeColor="text1"/>
          <w:sz w:val="16"/>
          <w:szCs w:val="16"/>
        </w:rPr>
        <w:softHyphen/>
        <w:t>духа над линией фронта от самоле</w:t>
      </w:r>
      <w:r w:rsidRPr="00271E51">
        <w:rPr>
          <w:rFonts w:ascii="Times New Roman" w:hAnsi="Times New Roman"/>
          <w:color w:val="000000" w:themeColor="text1"/>
          <w:sz w:val="16"/>
          <w:szCs w:val="16"/>
        </w:rPr>
        <w:softHyphen/>
        <w:t>тов противника. Продвигаясь вслед за наступающими частями, полк в про</w:t>
      </w:r>
      <w:r w:rsidRPr="00271E51">
        <w:rPr>
          <w:rFonts w:ascii="Times New Roman" w:hAnsi="Times New Roman"/>
          <w:color w:val="000000" w:themeColor="text1"/>
          <w:sz w:val="16"/>
          <w:szCs w:val="16"/>
        </w:rPr>
        <w:softHyphen/>
        <w:t>цессе испытаний 5 раз менял место базирования и находился на аэро</w:t>
      </w:r>
      <w:r w:rsidRPr="00271E51">
        <w:rPr>
          <w:rFonts w:ascii="Times New Roman" w:hAnsi="Times New Roman"/>
          <w:color w:val="000000" w:themeColor="text1"/>
          <w:sz w:val="16"/>
          <w:szCs w:val="16"/>
        </w:rPr>
        <w:softHyphen/>
        <w:t>дромах: Студенец, Пруды (около г. Новосиль), Протасове (вост. г. Орел в 20 км), Орел гражданский и «9 ду</w:t>
      </w:r>
      <w:r w:rsidRPr="00271E51">
        <w:rPr>
          <w:rFonts w:ascii="Times New Roman" w:hAnsi="Times New Roman"/>
          <w:color w:val="000000" w:themeColor="text1"/>
          <w:sz w:val="16"/>
          <w:szCs w:val="16"/>
        </w:rPr>
        <w:softHyphen/>
        <w:t>бов» (с.в. Карачево, в 14 км). Все аэро</w:t>
      </w:r>
      <w:r w:rsidRPr="00271E51">
        <w:rPr>
          <w:rFonts w:ascii="Times New Roman" w:hAnsi="Times New Roman"/>
          <w:color w:val="000000" w:themeColor="text1"/>
          <w:sz w:val="16"/>
          <w:szCs w:val="16"/>
        </w:rPr>
        <w:softHyphen/>
        <w:t>дромы были организованы на полях с травянистым покровом средней пыльности (10723).</w:t>
      </w:r>
    </w:p>
    <w:p w14:paraId="373739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EC2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4 июля по 26 августа 1943 года во время войсковых испытаний Ла-5ФН на самолетах Ла-5 с М-82ФН было произведено 354 боевых с/в с налетом 304 часа. При 151-м с/в встреч с противником не было, при 203-х с/в произошла 31 встреча с противником и было про</w:t>
      </w:r>
      <w:r w:rsidRPr="00271E51">
        <w:rPr>
          <w:rFonts w:ascii="Times New Roman" w:hAnsi="Times New Roman"/>
          <w:color w:val="000000" w:themeColor="text1"/>
          <w:sz w:val="16"/>
          <w:szCs w:val="16"/>
        </w:rPr>
        <w:softHyphen/>
        <w:t>изведено 25 боев, в 6 случаях про</w:t>
      </w:r>
      <w:r w:rsidRPr="00271E51">
        <w:rPr>
          <w:rFonts w:ascii="Times New Roman" w:hAnsi="Times New Roman"/>
          <w:color w:val="000000" w:themeColor="text1"/>
          <w:sz w:val="16"/>
          <w:szCs w:val="16"/>
        </w:rPr>
        <w:softHyphen/>
        <w:t>тивник от боя уклонился. За 25 боев всего было сбито 33 самолета про</w:t>
      </w:r>
      <w:r w:rsidRPr="00271E51">
        <w:rPr>
          <w:rFonts w:ascii="Times New Roman" w:hAnsi="Times New Roman"/>
          <w:color w:val="000000" w:themeColor="text1"/>
          <w:sz w:val="16"/>
          <w:szCs w:val="16"/>
        </w:rPr>
        <w:softHyphen/>
        <w:t>тивника, из них: ФВ-190 - 21, Ме-109Г-2 - 3, Ю-88 - 5, Хе-111 - 3, Ю-87 - 1. За указанный период боевых действий потеряно 6 самолетов Ла-5 с М-82ФН, из которых: сбито противником - 2, не вернулось с боевого задания - 2, разбито при вынужденных посадках - 2. Из 354 боевых с/в было только 2 случая возврата по вине мотора: са</w:t>
      </w:r>
      <w:r w:rsidRPr="00271E51">
        <w:rPr>
          <w:rFonts w:ascii="Times New Roman" w:hAnsi="Times New Roman"/>
          <w:color w:val="000000" w:themeColor="text1"/>
          <w:sz w:val="16"/>
          <w:szCs w:val="16"/>
        </w:rPr>
        <w:softHyphen/>
        <w:t>молет № 39210239 - течь масла из-под гайки упорного подшипника вала редуктора, самолет № 39210257 -тряска мотора из-за разрушения ста</w:t>
      </w:r>
      <w:r w:rsidRPr="00271E51">
        <w:rPr>
          <w:rFonts w:ascii="Times New Roman" w:hAnsi="Times New Roman"/>
          <w:color w:val="000000" w:themeColor="text1"/>
          <w:sz w:val="16"/>
          <w:szCs w:val="16"/>
        </w:rPr>
        <w:softHyphen/>
        <w:t>канчика нижнего уплотнения и сфе</w:t>
      </w:r>
      <w:r w:rsidRPr="00271E51">
        <w:rPr>
          <w:rFonts w:ascii="Times New Roman" w:hAnsi="Times New Roman"/>
          <w:color w:val="000000" w:themeColor="text1"/>
          <w:sz w:val="16"/>
          <w:szCs w:val="16"/>
        </w:rPr>
        <w:softHyphen/>
        <w:t>ры толкателя. Всего за период с 25 мая по 25 августа было выполнено 818 с/в с об</w:t>
      </w:r>
      <w:r w:rsidRPr="00271E51">
        <w:rPr>
          <w:rFonts w:ascii="Times New Roman" w:hAnsi="Times New Roman"/>
          <w:color w:val="000000" w:themeColor="text1"/>
          <w:sz w:val="16"/>
          <w:szCs w:val="16"/>
        </w:rPr>
        <w:softHyphen/>
        <w:t>щей наработкой моторов 782 ч 25 мин, из них: в воздухе - 636 ч 42 мин и на земле 145 ч 43 мин.</w:t>
      </w:r>
    </w:p>
    <w:p w14:paraId="376D72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моторов была проверена до высоты 6000 м. Основная масса полетов проходила на высотах 2000-4000 м при работе моторов на 1-й скорости нагнетателя. Полеты на 2-й скорости нагнетателя до высоты 6000 м производились в редких случаях.</w:t>
      </w:r>
    </w:p>
    <w:p w14:paraId="7CCCAF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на 1-й и 2-й скоростях нагнетателя, на всех режимах и высо</w:t>
      </w:r>
      <w:r w:rsidRPr="00271E51">
        <w:rPr>
          <w:rFonts w:ascii="Times New Roman" w:hAnsi="Times New Roman"/>
          <w:color w:val="000000" w:themeColor="text1"/>
          <w:sz w:val="16"/>
          <w:szCs w:val="16"/>
        </w:rPr>
        <w:softHyphen/>
        <w:t>тах полета работали хорошо. 2-я ско</w:t>
      </w:r>
      <w:r w:rsidRPr="00271E51">
        <w:rPr>
          <w:rFonts w:ascii="Times New Roman" w:hAnsi="Times New Roman"/>
          <w:color w:val="000000" w:themeColor="text1"/>
          <w:sz w:val="16"/>
          <w:szCs w:val="16"/>
        </w:rPr>
        <w:softHyphen/>
        <w:t>рость нагнетателя включалась на вы</w:t>
      </w:r>
      <w:r w:rsidRPr="00271E51">
        <w:rPr>
          <w:rFonts w:ascii="Times New Roman" w:hAnsi="Times New Roman"/>
          <w:color w:val="000000" w:themeColor="text1"/>
          <w:sz w:val="16"/>
          <w:szCs w:val="16"/>
        </w:rPr>
        <w:softHyphen/>
        <w:t>соте 3500-4000 м. При работе мото</w:t>
      </w:r>
      <w:r w:rsidRPr="00271E51">
        <w:rPr>
          <w:rFonts w:ascii="Times New Roman" w:hAnsi="Times New Roman"/>
          <w:color w:val="000000" w:themeColor="text1"/>
          <w:sz w:val="16"/>
          <w:szCs w:val="16"/>
        </w:rPr>
        <w:softHyphen/>
        <w:t>ров на 2-й скорости нагнетателя на</w:t>
      </w:r>
      <w:r w:rsidRPr="00271E51">
        <w:rPr>
          <w:rFonts w:ascii="Times New Roman" w:hAnsi="Times New Roman"/>
          <w:color w:val="000000" w:themeColor="text1"/>
          <w:sz w:val="16"/>
          <w:szCs w:val="16"/>
        </w:rPr>
        <w:softHyphen/>
        <w:t>блюдалось дымление мотора, которое стало проявляться в большей степени после наработки 60 и более часов. Дымление на работу мотора не ска</w:t>
      </w:r>
      <w:r w:rsidRPr="00271E51">
        <w:rPr>
          <w:rFonts w:ascii="Times New Roman" w:hAnsi="Times New Roman"/>
          <w:color w:val="000000" w:themeColor="text1"/>
          <w:sz w:val="16"/>
          <w:szCs w:val="16"/>
        </w:rPr>
        <w:softHyphen/>
        <w:t>зывалось, он работал нормально.</w:t>
      </w:r>
    </w:p>
    <w:p w14:paraId="53728F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моторов на форсаже (п=2500 об/мин и Рк=1180 мм рт.ст.) была нормальная. Непрерывная про</w:t>
      </w:r>
      <w:r w:rsidRPr="00271E51">
        <w:rPr>
          <w:rFonts w:ascii="Times New Roman" w:hAnsi="Times New Roman"/>
          <w:color w:val="000000" w:themeColor="text1"/>
          <w:sz w:val="16"/>
          <w:szCs w:val="16"/>
        </w:rPr>
        <w:softHyphen/>
        <w:t xml:space="preserve">должительность работы мотора на форсаже допускалась не более </w:t>
      </w:r>
      <w:r w:rsidRPr="00271E51">
        <w:rPr>
          <w:rFonts w:ascii="Times New Roman" w:hAnsi="Times New Roman"/>
          <w:color w:val="000000" w:themeColor="text1"/>
          <w:sz w:val="16"/>
          <w:szCs w:val="16"/>
        </w:rPr>
        <w:lastRenderedPageBreak/>
        <w:t>3-4 мин, так как дольше свечи ВГ-12 не выдерживали, давали перебои, и лет</w:t>
      </w:r>
      <w:r w:rsidRPr="00271E51">
        <w:rPr>
          <w:rFonts w:ascii="Times New Roman" w:hAnsi="Times New Roman"/>
          <w:color w:val="000000" w:themeColor="text1"/>
          <w:sz w:val="16"/>
          <w:szCs w:val="16"/>
        </w:rPr>
        <w:softHyphen/>
        <w:t>чик вынужден был уменьшать наддув.</w:t>
      </w:r>
    </w:p>
    <w:p w14:paraId="6CFA4C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Запуск мотора в летних условиях при температуре воздуха +10...+25°С - отличный. Мотор запускался все</w:t>
      </w:r>
      <w:r w:rsidRPr="00271E51">
        <w:rPr>
          <w:rFonts w:ascii="Times New Roman" w:hAnsi="Times New Roman"/>
          <w:color w:val="000000" w:themeColor="text1"/>
          <w:sz w:val="16"/>
          <w:szCs w:val="16"/>
        </w:rPr>
        <w:softHyphen/>
        <w:t>гда с первой попытки. При пониже</w:t>
      </w:r>
      <w:r w:rsidRPr="00271E51">
        <w:rPr>
          <w:rFonts w:ascii="Times New Roman" w:hAnsi="Times New Roman"/>
          <w:color w:val="000000" w:themeColor="text1"/>
          <w:sz w:val="16"/>
          <w:szCs w:val="16"/>
        </w:rPr>
        <w:softHyphen/>
        <w:t>нии температуры (холодные утренни</w:t>
      </w:r>
      <w:r w:rsidRPr="00271E51">
        <w:rPr>
          <w:rFonts w:ascii="Times New Roman" w:hAnsi="Times New Roman"/>
          <w:color w:val="000000" w:themeColor="text1"/>
          <w:sz w:val="16"/>
          <w:szCs w:val="16"/>
        </w:rPr>
        <w:softHyphen/>
        <w:t>ки в августе месяце) мотор запускал</w:t>
      </w:r>
      <w:r w:rsidRPr="00271E51">
        <w:rPr>
          <w:rFonts w:ascii="Times New Roman" w:hAnsi="Times New Roman"/>
          <w:color w:val="000000" w:themeColor="text1"/>
          <w:sz w:val="16"/>
          <w:szCs w:val="16"/>
        </w:rPr>
        <w:softHyphen/>
        <w:t>ся также хорошо.</w:t>
      </w:r>
    </w:p>
    <w:p w14:paraId="59490B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боевой работы режи</w:t>
      </w:r>
      <w:r w:rsidRPr="00271E51">
        <w:rPr>
          <w:rFonts w:ascii="Times New Roman" w:hAnsi="Times New Roman"/>
          <w:color w:val="000000" w:themeColor="text1"/>
          <w:sz w:val="16"/>
          <w:szCs w:val="16"/>
        </w:rPr>
        <w:softHyphen/>
        <w:t>мы моторов были:</w:t>
      </w:r>
    </w:p>
    <w:p w14:paraId="6239CE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следовании на фронт и об</w:t>
      </w:r>
      <w:r w:rsidRPr="00271E51">
        <w:rPr>
          <w:rFonts w:ascii="Times New Roman" w:hAnsi="Times New Roman"/>
          <w:color w:val="000000" w:themeColor="text1"/>
          <w:sz w:val="16"/>
          <w:szCs w:val="16"/>
        </w:rPr>
        <w:softHyphen/>
        <w:t>ратно: п=2000-2200 об/мин и Рк=600-800 мм рт.ст.;</w:t>
      </w:r>
    </w:p>
    <w:p w14:paraId="5EAAA0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над линией фронта: п=2000-2200 об/мин и Рк=800-950 мм;</w:t>
      </w:r>
    </w:p>
    <w:p w14:paraId="52D595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ведении воздушного боя ре</w:t>
      </w:r>
      <w:r w:rsidRPr="00271E51">
        <w:rPr>
          <w:rFonts w:ascii="Times New Roman" w:hAnsi="Times New Roman"/>
          <w:color w:val="000000" w:themeColor="text1"/>
          <w:sz w:val="16"/>
          <w:szCs w:val="16"/>
        </w:rPr>
        <w:softHyphen/>
        <w:t>жим работы мотора изменялся в за</w:t>
      </w:r>
      <w:r w:rsidRPr="00271E51">
        <w:rPr>
          <w:rFonts w:ascii="Times New Roman" w:hAnsi="Times New Roman"/>
          <w:color w:val="000000" w:themeColor="text1"/>
          <w:sz w:val="16"/>
          <w:szCs w:val="16"/>
        </w:rPr>
        <w:softHyphen/>
        <w:t>висимости от обстановки и полная мощность мотора использовалась не</w:t>
      </w:r>
      <w:r w:rsidRPr="00271E51">
        <w:rPr>
          <w:rFonts w:ascii="Times New Roman" w:hAnsi="Times New Roman"/>
          <w:color w:val="000000" w:themeColor="text1"/>
          <w:sz w:val="16"/>
          <w:szCs w:val="16"/>
        </w:rPr>
        <w:softHyphen/>
        <w:t>сколько раз периодами по 3-4 мину</w:t>
      </w:r>
      <w:r w:rsidRPr="00271E51">
        <w:rPr>
          <w:rFonts w:ascii="Times New Roman" w:hAnsi="Times New Roman"/>
          <w:color w:val="000000" w:themeColor="text1"/>
          <w:sz w:val="16"/>
          <w:szCs w:val="16"/>
        </w:rPr>
        <w:softHyphen/>
        <w:t>ты.</w:t>
      </w:r>
    </w:p>
    <w:p w14:paraId="66C1FC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головок цилиндров перед вылетом была в пределах 1 30-140 °С, температура масла - 30-40 °С. При этих условиях взлет произво</w:t>
      </w:r>
      <w:r w:rsidRPr="00271E51">
        <w:rPr>
          <w:rFonts w:ascii="Times New Roman" w:hAnsi="Times New Roman"/>
          <w:color w:val="000000" w:themeColor="text1"/>
          <w:sz w:val="16"/>
          <w:szCs w:val="16"/>
        </w:rPr>
        <w:softHyphen/>
        <w:t>дился нормально и мотор работал хорошо, как на номинальном режиме, так и на форсаже. Температура го</w:t>
      </w:r>
      <w:r w:rsidRPr="00271E51">
        <w:rPr>
          <w:rFonts w:ascii="Times New Roman" w:hAnsi="Times New Roman"/>
          <w:color w:val="000000" w:themeColor="text1"/>
          <w:sz w:val="16"/>
          <w:szCs w:val="16"/>
        </w:rPr>
        <w:softHyphen/>
        <w:t>ловок цилиндров при наборе высоты, а также при работе на форсаже, не превышала 200-230 °С и температу</w:t>
      </w:r>
      <w:r w:rsidRPr="00271E51">
        <w:rPr>
          <w:rFonts w:ascii="Times New Roman" w:hAnsi="Times New Roman"/>
          <w:color w:val="000000" w:themeColor="text1"/>
          <w:sz w:val="16"/>
          <w:szCs w:val="16"/>
        </w:rPr>
        <w:softHyphen/>
        <w:t>ра масла - 50-65 °С. Температура головок цилиндров в горизонтальном полете находилась в пределах 160-190 °С, температура масла - 50-60 "С. Взлет и полет производились, как правило, при полностью закрытых бо</w:t>
      </w:r>
      <w:r w:rsidRPr="00271E51">
        <w:rPr>
          <w:rFonts w:ascii="Times New Roman" w:hAnsi="Times New Roman"/>
          <w:color w:val="000000" w:themeColor="text1"/>
          <w:sz w:val="16"/>
          <w:szCs w:val="16"/>
        </w:rPr>
        <w:softHyphen/>
        <w:t>ковых створках капота мотора и со</w:t>
      </w:r>
      <w:r w:rsidRPr="00271E51">
        <w:rPr>
          <w:rFonts w:ascii="Times New Roman" w:hAnsi="Times New Roman"/>
          <w:color w:val="000000" w:themeColor="text1"/>
          <w:sz w:val="16"/>
          <w:szCs w:val="16"/>
        </w:rPr>
        <w:softHyphen/>
        <w:t>вке маслорадиатора - по потоку.</w:t>
      </w:r>
    </w:p>
    <w:p w14:paraId="3B08B8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отметить, что темпера</w:t>
      </w:r>
      <w:r w:rsidRPr="00271E51">
        <w:rPr>
          <w:rFonts w:ascii="Times New Roman" w:hAnsi="Times New Roman"/>
          <w:color w:val="000000" w:themeColor="text1"/>
          <w:sz w:val="16"/>
          <w:szCs w:val="16"/>
        </w:rPr>
        <w:softHyphen/>
        <w:t>тура головок цилиндров моторов М-82ФН при равных условиях полета и режимах работы моторов, оказалась ниже на 20-30 градусов, а темпера</w:t>
      </w:r>
      <w:r w:rsidRPr="00271E51">
        <w:rPr>
          <w:rFonts w:ascii="Times New Roman" w:hAnsi="Times New Roman"/>
          <w:color w:val="000000" w:themeColor="text1"/>
          <w:sz w:val="16"/>
          <w:szCs w:val="16"/>
        </w:rPr>
        <w:softHyphen/>
        <w:t>тура масла на 10-15 градусов, чем у моторов М-82Ф. Это было следстви</w:t>
      </w:r>
      <w:r w:rsidRPr="00271E51">
        <w:rPr>
          <w:rFonts w:ascii="Times New Roman" w:hAnsi="Times New Roman"/>
          <w:color w:val="000000" w:themeColor="text1"/>
          <w:sz w:val="16"/>
          <w:szCs w:val="16"/>
        </w:rPr>
        <w:softHyphen/>
        <w:t>ем лучшего охлаждения цилиндров в результате испарения непосредствен</w:t>
      </w:r>
      <w:r w:rsidRPr="00271E51">
        <w:rPr>
          <w:rFonts w:ascii="Times New Roman" w:hAnsi="Times New Roman"/>
          <w:color w:val="000000" w:themeColor="text1"/>
          <w:sz w:val="16"/>
          <w:szCs w:val="16"/>
        </w:rPr>
        <w:softHyphen/>
        <w:t>но в них впрыскиваемого топлива.</w:t>
      </w:r>
    </w:p>
    <w:p w14:paraId="589C91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Свечи ВГ-12 до наддува 950-1000 мм работали 15-20 часов. При рабо</w:t>
      </w:r>
      <w:r w:rsidRPr="00271E51">
        <w:rPr>
          <w:rFonts w:ascii="Times New Roman" w:hAnsi="Times New Roman"/>
          <w:color w:val="000000" w:themeColor="text1"/>
          <w:sz w:val="16"/>
          <w:szCs w:val="16"/>
        </w:rPr>
        <w:softHyphen/>
        <w:t>те мотора на форсаже (Рк=1 180 мм) свечи ВГ-12 отказывали в работе че</w:t>
      </w:r>
      <w:r w:rsidRPr="00271E51">
        <w:rPr>
          <w:rFonts w:ascii="Times New Roman" w:hAnsi="Times New Roman"/>
          <w:color w:val="000000" w:themeColor="text1"/>
          <w:sz w:val="16"/>
          <w:szCs w:val="16"/>
        </w:rPr>
        <w:softHyphen/>
        <w:t>рез 5-10 часов. Полет на Рк=1180 мм продолжительностью свыше 3-4 минут был невозможен из-за отказа свечей.</w:t>
      </w:r>
    </w:p>
    <w:p w14:paraId="0997EE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Насос НБ-ЗУ за время испытаний обеспечивал нормальную работу мо</w:t>
      </w:r>
      <w:r w:rsidRPr="00271E51">
        <w:rPr>
          <w:rFonts w:ascii="Times New Roman" w:hAnsi="Times New Roman"/>
          <w:color w:val="000000" w:themeColor="text1"/>
          <w:sz w:val="16"/>
          <w:szCs w:val="16"/>
        </w:rPr>
        <w:softHyphen/>
        <w:t>тора на всех режимах и высотах по</w:t>
      </w:r>
      <w:r w:rsidRPr="00271E51">
        <w:rPr>
          <w:rFonts w:ascii="Times New Roman" w:hAnsi="Times New Roman"/>
          <w:color w:val="000000" w:themeColor="text1"/>
          <w:sz w:val="16"/>
          <w:szCs w:val="16"/>
        </w:rPr>
        <w:softHyphen/>
        <w:t>лета. Форсунки ФБ-10, маятниковый воздухоотделитель и трубки высокого давления (за исключением трещины трубки на самолете №0257) работа</w:t>
      </w:r>
      <w:r w:rsidRPr="00271E51">
        <w:rPr>
          <w:rFonts w:ascii="Times New Roman" w:hAnsi="Times New Roman"/>
          <w:color w:val="000000" w:themeColor="text1"/>
          <w:sz w:val="16"/>
          <w:szCs w:val="16"/>
        </w:rPr>
        <w:softHyphen/>
        <w:t>ли безотказно и дефектов не имели.</w:t>
      </w:r>
    </w:p>
    <w:p w14:paraId="24B3A1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полку были случаи, показавшие, что мотор М-82ФН и ВМГ самолета Ла-5 с мотором М-82ФН в противо</w:t>
      </w:r>
      <w:r w:rsidRPr="00271E51">
        <w:rPr>
          <w:rFonts w:ascii="Times New Roman" w:hAnsi="Times New Roman"/>
          <w:color w:val="000000" w:themeColor="text1"/>
          <w:sz w:val="16"/>
          <w:szCs w:val="16"/>
        </w:rPr>
        <w:softHyphen/>
        <w:t>пожарном отношении достаточно жи</w:t>
      </w:r>
      <w:r w:rsidRPr="00271E51">
        <w:rPr>
          <w:rFonts w:ascii="Times New Roman" w:hAnsi="Times New Roman"/>
          <w:color w:val="000000" w:themeColor="text1"/>
          <w:sz w:val="16"/>
          <w:szCs w:val="16"/>
        </w:rPr>
        <w:softHyphen/>
        <w:t>вуч. Так, например: на самолете №39210257 в полете в результате излома сухариков и обрыва грибка клапана выхлопа произошло разру</w:t>
      </w:r>
      <w:r w:rsidRPr="00271E51">
        <w:rPr>
          <w:rFonts w:ascii="Times New Roman" w:hAnsi="Times New Roman"/>
          <w:color w:val="000000" w:themeColor="text1"/>
          <w:sz w:val="16"/>
          <w:szCs w:val="16"/>
        </w:rPr>
        <w:softHyphen/>
        <w:t>шение головки цилиндра №12 на три части. Летчик не заметил отклоне</w:t>
      </w:r>
      <w:r w:rsidRPr="00271E51">
        <w:rPr>
          <w:rFonts w:ascii="Times New Roman" w:hAnsi="Times New Roman"/>
          <w:color w:val="000000" w:themeColor="text1"/>
          <w:sz w:val="16"/>
          <w:szCs w:val="16"/>
        </w:rPr>
        <w:softHyphen/>
        <w:t>ний в работе мотора, продолжал по</w:t>
      </w:r>
      <w:r w:rsidRPr="00271E51">
        <w:rPr>
          <w:rFonts w:ascii="Times New Roman" w:hAnsi="Times New Roman"/>
          <w:color w:val="000000" w:themeColor="text1"/>
          <w:sz w:val="16"/>
          <w:szCs w:val="16"/>
        </w:rPr>
        <w:softHyphen/>
        <w:t>лет нормально и сел на свой аэро</w:t>
      </w:r>
      <w:r w:rsidRPr="00271E51">
        <w:rPr>
          <w:rFonts w:ascii="Times New Roman" w:hAnsi="Times New Roman"/>
          <w:color w:val="000000" w:themeColor="text1"/>
          <w:sz w:val="16"/>
          <w:szCs w:val="16"/>
        </w:rPr>
        <w:softHyphen/>
        <w:t>дром. Только при осмотре техником на земле обнаружено разрушение головки цилиндра.</w:t>
      </w:r>
    </w:p>
    <w:p w14:paraId="1A459A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№39210218 в поле</w:t>
      </w:r>
      <w:r w:rsidRPr="00271E51">
        <w:rPr>
          <w:rFonts w:ascii="Times New Roman" w:hAnsi="Times New Roman"/>
          <w:color w:val="000000" w:themeColor="text1"/>
          <w:sz w:val="16"/>
          <w:szCs w:val="16"/>
        </w:rPr>
        <w:softHyphen/>
        <w:t>те образовалась трещина трубки, под</w:t>
      </w:r>
      <w:r w:rsidRPr="00271E51">
        <w:rPr>
          <w:rFonts w:ascii="Times New Roman" w:hAnsi="Times New Roman"/>
          <w:color w:val="000000" w:themeColor="text1"/>
          <w:sz w:val="16"/>
          <w:szCs w:val="16"/>
        </w:rPr>
        <w:softHyphen/>
        <w:t>водящей бензин от бензофильтра к насосу НБ-ЗУ. Бензин струей бил в кабину летчика. Летчик продолжал полет в течение 15 минут и сел нор</w:t>
      </w:r>
      <w:r w:rsidRPr="00271E51">
        <w:rPr>
          <w:rFonts w:ascii="Times New Roman" w:hAnsi="Times New Roman"/>
          <w:color w:val="000000" w:themeColor="text1"/>
          <w:sz w:val="16"/>
          <w:szCs w:val="16"/>
        </w:rPr>
        <w:softHyphen/>
        <w:t>мально на свой аэродром.</w:t>
      </w:r>
    </w:p>
    <w:p w14:paraId="7B4CFB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№39210262 в поле</w:t>
      </w:r>
      <w:r w:rsidRPr="00271E51">
        <w:rPr>
          <w:rFonts w:ascii="Times New Roman" w:hAnsi="Times New Roman"/>
          <w:color w:val="000000" w:themeColor="text1"/>
          <w:sz w:val="16"/>
          <w:szCs w:val="16"/>
        </w:rPr>
        <w:softHyphen/>
        <w:t>те произошел обрыв трубки бензо-манометра. Бензин под давлением 1,5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бил в кабину и лицо летчи</w:t>
      </w:r>
      <w:r w:rsidRPr="00271E51">
        <w:rPr>
          <w:rFonts w:ascii="Times New Roman" w:hAnsi="Times New Roman"/>
          <w:color w:val="000000" w:themeColor="text1"/>
          <w:sz w:val="16"/>
          <w:szCs w:val="16"/>
        </w:rPr>
        <w:softHyphen/>
        <w:t>ка - пожара не произошло.</w:t>
      </w:r>
    </w:p>
    <w:p w14:paraId="5349FD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№39210257 на 20-м часу работы мотора была обнаруже</w:t>
      </w:r>
      <w:r w:rsidRPr="00271E51">
        <w:rPr>
          <w:rFonts w:ascii="Times New Roman" w:hAnsi="Times New Roman"/>
          <w:color w:val="000000" w:themeColor="text1"/>
          <w:sz w:val="16"/>
          <w:szCs w:val="16"/>
        </w:rPr>
        <w:softHyphen/>
        <w:t>на трещина (во время послеполетно</w:t>
      </w:r>
      <w:r w:rsidRPr="00271E51">
        <w:rPr>
          <w:rFonts w:ascii="Times New Roman" w:hAnsi="Times New Roman"/>
          <w:color w:val="000000" w:themeColor="text1"/>
          <w:sz w:val="16"/>
          <w:szCs w:val="16"/>
        </w:rPr>
        <w:softHyphen/>
        <w:t>го осмотра) трубки высокого давления цилиндра №1 - пожара в полете не произошло.</w:t>
      </w:r>
    </w:p>
    <w:p w14:paraId="58805E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Отмечалось, что М-82 как мотор воздушного охлаждения по сравнению с мотором жидкостного охлаждения в бою более живуч и достаточно наде</w:t>
      </w:r>
      <w:r w:rsidRPr="00271E51">
        <w:rPr>
          <w:rFonts w:ascii="Times New Roman" w:hAnsi="Times New Roman"/>
          <w:color w:val="000000" w:themeColor="text1"/>
          <w:sz w:val="16"/>
          <w:szCs w:val="16"/>
        </w:rPr>
        <w:softHyphen/>
        <w:t>жен. В полку на самолете Ла-5 с М-82Ф летчик гв. л-т Тукин в воздуш</w:t>
      </w:r>
      <w:r w:rsidRPr="00271E51">
        <w:rPr>
          <w:rFonts w:ascii="Times New Roman" w:hAnsi="Times New Roman"/>
          <w:color w:val="000000" w:themeColor="text1"/>
          <w:sz w:val="16"/>
          <w:szCs w:val="16"/>
        </w:rPr>
        <w:softHyphen/>
        <w:t>ном бою 21 июля 1943 года был ата</w:t>
      </w:r>
      <w:r w:rsidRPr="00271E51">
        <w:rPr>
          <w:rFonts w:ascii="Times New Roman" w:hAnsi="Times New Roman"/>
          <w:color w:val="000000" w:themeColor="text1"/>
          <w:sz w:val="16"/>
          <w:szCs w:val="16"/>
        </w:rPr>
        <w:softHyphen/>
        <w:t>кован ГУ/ 190 и получил следующие повреждения мотора: пробита гильза цилиндра №13, разрушены перемыч</w:t>
      </w:r>
      <w:r w:rsidRPr="00271E51">
        <w:rPr>
          <w:rFonts w:ascii="Times New Roman" w:hAnsi="Times New Roman"/>
          <w:color w:val="000000" w:themeColor="text1"/>
          <w:sz w:val="16"/>
          <w:szCs w:val="16"/>
        </w:rPr>
        <w:softHyphen/>
        <w:t>ки поршня и поршневые кольца (в месте пробоя цилиндра), пробит вса</w:t>
      </w:r>
      <w:r w:rsidRPr="00271E51">
        <w:rPr>
          <w:rFonts w:ascii="Times New Roman" w:hAnsi="Times New Roman"/>
          <w:color w:val="000000" w:themeColor="text1"/>
          <w:sz w:val="16"/>
          <w:szCs w:val="16"/>
        </w:rPr>
        <w:softHyphen/>
        <w:t>сывающий патрубок цилиндра №14 (разрыв площадью около 30 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пе</w:t>
      </w:r>
      <w:r w:rsidRPr="00271E51">
        <w:rPr>
          <w:rFonts w:ascii="Times New Roman" w:hAnsi="Times New Roman"/>
          <w:color w:val="000000" w:themeColor="text1"/>
          <w:sz w:val="16"/>
          <w:szCs w:val="16"/>
        </w:rPr>
        <w:softHyphen/>
        <w:t>ребит кожух тяги клапана всасыва</w:t>
      </w:r>
      <w:r w:rsidRPr="00271E51">
        <w:rPr>
          <w:rFonts w:ascii="Times New Roman" w:hAnsi="Times New Roman"/>
          <w:color w:val="000000" w:themeColor="text1"/>
          <w:sz w:val="16"/>
          <w:szCs w:val="16"/>
        </w:rPr>
        <w:softHyphen/>
        <w:t>ния цилиндра №13 и перебита экра</w:t>
      </w:r>
      <w:r w:rsidRPr="00271E51">
        <w:rPr>
          <w:rFonts w:ascii="Times New Roman" w:hAnsi="Times New Roman"/>
          <w:color w:val="000000" w:themeColor="text1"/>
          <w:sz w:val="16"/>
          <w:szCs w:val="16"/>
        </w:rPr>
        <w:softHyphen/>
        <w:t>нировка коллектора зажигания. С эти</w:t>
      </w:r>
      <w:r w:rsidRPr="00271E51">
        <w:rPr>
          <w:rFonts w:ascii="Times New Roman" w:hAnsi="Times New Roman"/>
          <w:color w:val="000000" w:themeColor="text1"/>
          <w:sz w:val="16"/>
          <w:szCs w:val="16"/>
        </w:rPr>
        <w:softHyphen/>
        <w:t>ми повреждениями гв. л-т Тукин сам атаковал и сбил противника, благо</w:t>
      </w:r>
      <w:r w:rsidRPr="00271E51">
        <w:rPr>
          <w:rFonts w:ascii="Times New Roman" w:hAnsi="Times New Roman"/>
          <w:color w:val="000000" w:themeColor="text1"/>
          <w:sz w:val="16"/>
          <w:szCs w:val="16"/>
        </w:rPr>
        <w:softHyphen/>
        <w:t>получно совершив посадку на свой аэродром. Полет после повреждений продолжался в течение 15 минут.</w:t>
      </w:r>
    </w:p>
    <w:p w14:paraId="4FBC4F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Случаев повреждений в воздуш</w:t>
      </w:r>
      <w:r w:rsidRPr="00271E51">
        <w:rPr>
          <w:rFonts w:ascii="Times New Roman" w:hAnsi="Times New Roman"/>
          <w:color w:val="000000" w:themeColor="text1"/>
          <w:sz w:val="16"/>
          <w:szCs w:val="16"/>
        </w:rPr>
        <w:softHyphen/>
        <w:t>ном бою моторов М-82ФН за время боевой работы полка не было (10723).</w:t>
      </w:r>
    </w:p>
    <w:p w14:paraId="063F5D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E21A8F"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4 июня 1943 г. стар</w:t>
      </w:r>
      <w:r w:rsidRPr="00271E51">
        <w:rPr>
          <w:rFonts w:ascii="Times New Roman" w:cs="Times New Roman"/>
          <w:color w:val="000000" w:themeColor="text1"/>
          <w:spacing w:val="0"/>
        </w:rPr>
        <w:softHyphen/>
        <w:t xml:space="preserve">ший военпред завода № 19 </w:t>
      </w:r>
      <w:r w:rsidRPr="00271E51">
        <w:rPr>
          <w:rFonts w:ascii="Times New Roman" w:cs="Times New Roman"/>
          <w:color w:val="000000" w:themeColor="text1"/>
          <w:spacing w:val="0"/>
          <w:lang w:val="en-US"/>
        </w:rPr>
        <w:t>A</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M</w:t>
      </w:r>
      <w:r w:rsidRPr="00271E51">
        <w:rPr>
          <w:rFonts w:ascii="Times New Roman" w:cs="Times New Roman"/>
          <w:color w:val="000000" w:themeColor="text1"/>
          <w:spacing w:val="0"/>
        </w:rPr>
        <w:t>. Сабуров вынужден был прекратить отправку моторов М-82 ФН (15813).</w:t>
      </w:r>
    </w:p>
    <w:p w14:paraId="4821C16E"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то время, пока завод № 19 выяснял причины появ</w:t>
      </w:r>
      <w:r w:rsidRPr="00271E51">
        <w:rPr>
          <w:rFonts w:ascii="Times New Roman" w:cs="Times New Roman"/>
          <w:color w:val="000000" w:themeColor="text1"/>
          <w:spacing w:val="0"/>
        </w:rPr>
        <w:softHyphen/>
        <w:t>ления дефектов на комиссионных испытаниях, нарко</w:t>
      </w:r>
      <w:r w:rsidRPr="00271E51">
        <w:rPr>
          <w:rFonts w:ascii="Times New Roman" w:cs="Times New Roman"/>
          <w:color w:val="000000" w:themeColor="text1"/>
          <w:spacing w:val="0"/>
        </w:rPr>
        <w:softHyphen/>
        <w:t>мат авиапромышленности обратился к Командующему ВВС А.А. Новикову с просьбой разрешить, в целях эко</w:t>
      </w:r>
      <w:r w:rsidRPr="00271E51">
        <w:rPr>
          <w:rFonts w:ascii="Times New Roman" w:cs="Times New Roman"/>
          <w:color w:val="000000" w:themeColor="text1"/>
          <w:spacing w:val="0"/>
        </w:rPr>
        <w:softHyphen/>
        <w:t>номии времени, транспортировку моторов на завод № 21. Новиков дал такое разрешение, оговорив, что от</w:t>
      </w:r>
      <w:r w:rsidRPr="00271E51">
        <w:rPr>
          <w:rFonts w:ascii="Times New Roman" w:cs="Times New Roman"/>
          <w:color w:val="000000" w:themeColor="text1"/>
          <w:spacing w:val="0"/>
        </w:rPr>
        <w:softHyphen/>
        <w:t>правленные и непроверенные комиссионными испыта</w:t>
      </w:r>
      <w:r w:rsidRPr="00271E51">
        <w:rPr>
          <w:rFonts w:ascii="Times New Roman" w:cs="Times New Roman"/>
          <w:color w:val="000000" w:themeColor="text1"/>
          <w:spacing w:val="0"/>
        </w:rPr>
        <w:softHyphen/>
        <w:t>ниями моторы не должны устанавливаться на самолёты.</w:t>
      </w:r>
    </w:p>
    <w:p w14:paraId="52067EDD"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Таких моторов М-82ФН в период с 6 по 12 июля от</w:t>
      </w:r>
      <w:r w:rsidRPr="00271E51">
        <w:rPr>
          <w:rFonts w:ascii="Times New Roman" w:cs="Times New Roman"/>
          <w:color w:val="000000" w:themeColor="text1"/>
          <w:spacing w:val="0"/>
        </w:rPr>
        <w:softHyphen/>
        <w:t>правили в Горький 168 штук, и 22 из них успели устано</w:t>
      </w:r>
      <w:r w:rsidRPr="00271E51">
        <w:rPr>
          <w:rFonts w:ascii="Times New Roman" w:cs="Times New Roman"/>
          <w:color w:val="000000" w:themeColor="text1"/>
          <w:spacing w:val="0"/>
        </w:rPr>
        <w:softHyphen/>
        <w:t>вить на машины. Моторы эти изготовили в июне—июле.</w:t>
      </w:r>
    </w:p>
    <w:p w14:paraId="5E3DBF52"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Тем временем, в течение июня и по 16 июля постави</w:t>
      </w:r>
      <w:r w:rsidRPr="00271E51">
        <w:rPr>
          <w:rFonts w:ascii="Times New Roman" w:cs="Times New Roman"/>
          <w:color w:val="000000" w:themeColor="text1"/>
          <w:spacing w:val="0"/>
        </w:rPr>
        <w:softHyphen/>
        <w:t>ли на комиссионное испытание 8 моторов за №N9 8211247, -246, -174, -349, -428, -241, -255, -424. Указанные моторы сняли с испытаний по следующим дефектам: поломка ко</w:t>
      </w:r>
      <w:r w:rsidRPr="00271E51">
        <w:rPr>
          <w:rFonts w:ascii="Times New Roman" w:cs="Times New Roman"/>
          <w:color w:val="000000" w:themeColor="text1"/>
          <w:spacing w:val="0"/>
        </w:rPr>
        <w:softHyphen/>
        <w:t>ленвала — 2 мотора, обрыв и трещины гильзы цилиндра — 2 мотора, разрушение веду</w:t>
      </w:r>
      <w:r w:rsidRPr="00271E51">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271E51">
        <w:rPr>
          <w:rFonts w:ascii="Times New Roman" w:cs="Times New Roman"/>
          <w:color w:val="000000" w:themeColor="text1"/>
          <w:spacing w:val="0"/>
        </w:rPr>
        <w:softHyphen/>
        <w:t>щего аппарата крыльчатки — 1 мотор, обрыв всасывающего клапана — 2 мотора.</w:t>
      </w:r>
    </w:p>
    <w:p w14:paraId="01E1A13B"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271E51">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271E51">
        <w:rPr>
          <w:rFonts w:ascii="Times New Roman" w:cs="Times New Roman"/>
          <w:color w:val="000000" w:themeColor="text1"/>
          <w:spacing w:val="0"/>
        </w:rPr>
        <w:softHyphen/>
        <w:t>сли на решение члена ГКО секретаря ЦК ВКП(б) Г.М. Маленкова (15813).</w:t>
      </w:r>
    </w:p>
    <w:p w14:paraId="47F31240" w14:textId="77777777" w:rsidR="0012255E" w:rsidRPr="00271E51" w:rsidRDefault="0012255E" w:rsidP="00271E51">
      <w:pPr>
        <w:pStyle w:val="27"/>
        <w:shd w:val="clear" w:color="auto" w:fill="auto"/>
        <w:spacing w:after="0" w:line="240" w:lineRule="auto"/>
        <w:ind w:firstLine="0"/>
        <w:rPr>
          <w:rFonts w:ascii="Times New Roman" w:cs="Times New Roman"/>
          <w:color w:val="000000" w:themeColor="text1"/>
          <w:spacing w:val="0"/>
        </w:rPr>
      </w:pPr>
    </w:p>
    <w:p w14:paraId="530FF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1942 г. по приказу № 488с завод № 294 7ГУ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передан из 7ГУ в ЮГУ и подчинен вновь образованному заводу № 22 НКАП вместе с ОКБ Д.А. Михайлова в качестве филиала для серийного изготовления самолетных деталей из пластмасс.</w:t>
      </w:r>
    </w:p>
    <w:p w14:paraId="2648F3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13с от 6.01.1942 г. на площадку бывшего завода № 294</w:t>
      </w:r>
      <w:r w:rsidRPr="00271E51">
        <w:rPr>
          <w:rFonts w:ascii="Times New Roman" w:hAnsi="Times New Roman"/>
          <w:iCs/>
          <w:color w:val="000000" w:themeColor="text1"/>
          <w:sz w:val="16"/>
          <w:szCs w:val="16"/>
        </w:rPr>
        <w:t xml:space="preserve"> в</w:t>
      </w:r>
      <w:r w:rsidRPr="00271E51">
        <w:rPr>
          <w:rFonts w:ascii="Times New Roman" w:hAnsi="Times New Roman"/>
          <w:color w:val="000000" w:themeColor="text1"/>
          <w:sz w:val="16"/>
          <w:szCs w:val="16"/>
        </w:rPr>
        <w:t xml:space="preserve"> Москве переведен завод № 480 НКАП.</w:t>
      </w:r>
    </w:p>
    <w:p w14:paraId="57BB1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755с от 16.12.1943 г. завод вновь выделен из состава завода № 22 в самостоятельный с 1.01.1944 г. Введен в эксплуатацию с 1944 г. в ЮГУ. Тем же приказом при заводе образовано КБ по проектированию прессформ и деталей из пластмасс.</w:t>
      </w:r>
    </w:p>
    <w:p w14:paraId="40B198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24с от 29.01.1946 г. завод с 1.01.1946 г. передан из ЮГУ в 17ГУ с целью организации производства высокочастотных пластмассовых изделий для радиопромышленности (прежде всего для Б-4).</w:t>
      </w:r>
    </w:p>
    <w:p w14:paraId="782BA3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 г. назывался Завод Пластмасс, с 1949 г.- Приборный завод.</w:t>
      </w:r>
    </w:p>
    <w:p w14:paraId="3D1AF9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4EE62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6F8C6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7813F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1967 г. образован филиал- Альметьевский завод «Радиоприбор».</w:t>
      </w:r>
    </w:p>
    <w:p w14:paraId="30D9E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дочерние предприятия (2002 г.)- КГП «Аэросервис», ГУЛ «Радиоприбор-СМ».</w:t>
      </w:r>
    </w:p>
    <w:p w14:paraId="31FFC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1983 г. освоено производство БЦВМ.</w:t>
      </w:r>
    </w:p>
    <w:p w14:paraId="3D795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 бортовые ЦВМ; стендовое оборудование для регламетных работ.</w:t>
      </w:r>
    </w:p>
    <w:p w14:paraId="73D84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г.)- 2000 чел.</w:t>
      </w:r>
    </w:p>
    <w:p w14:paraId="4BE2A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502C3C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материально-финансовым вопросам (-1953 г.)- К.А. Машевский.</w:t>
      </w:r>
    </w:p>
    <w:p w14:paraId="4C248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по филиалам- В.А. Иванцов.</w:t>
      </w:r>
    </w:p>
    <w:p w14:paraId="31887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СЛМП- В.А. Иванцов.</w:t>
      </w:r>
    </w:p>
    <w:p w14:paraId="5BDD4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К.А. Машевский, (1950-е)- Н.С. Смоляр.</w:t>
      </w:r>
    </w:p>
    <w:p w14:paraId="541711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испытаний- В.А. Иванцов.</w:t>
      </w:r>
    </w:p>
    <w:p w14:paraId="140EF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271E51">
        <w:rPr>
          <w:rFonts w:ascii="Times New Roman" w:hAnsi="Times New Roman"/>
          <w:iCs/>
          <w:color w:val="000000" w:themeColor="text1"/>
          <w:sz w:val="16"/>
          <w:szCs w:val="16"/>
        </w:rPr>
        <w:t xml:space="preserve"> (2002);</w:t>
      </w:r>
      <w:r w:rsidRPr="00271E51">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w:t>
      </w:r>
      <w:r w:rsidRPr="00271E51">
        <w:rPr>
          <w:rFonts w:ascii="Times New Roman" w:hAnsi="Times New Roman"/>
          <w:color w:val="000000" w:themeColor="text1"/>
          <w:sz w:val="16"/>
          <w:szCs w:val="16"/>
        </w:rPr>
        <w:lastRenderedPageBreak/>
        <w:t>электромеханизмы МЭО, МЭП (2002);</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телевизор «Звезда»; антенны: ПСКД-5-1 «Казань», АТНА-7.1 (11982).</w:t>
      </w:r>
    </w:p>
    <w:p w14:paraId="1D7D5523" w14:textId="77777777" w:rsidR="0012255E" w:rsidRPr="00271E51" w:rsidRDefault="0012255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7D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в соответствии с пост. ГКО № 3686сс завод № 498 (В 1942 г. был создан Завод № 498 НКЭП, Ордена Отечественной войны I степени московский завод «Старт», ОАО «Старт» /107066  г. Москва ул. Новорязанская, 31/7 тел. 267-52-04/) передан в ведение созданного ГУ РЛ промышленности НКЭП. 6.08.1944 г. вышло постановление ГКО № 6328 об обеспечении строительства радиолокационного завода № 498.</w:t>
      </w:r>
    </w:p>
    <w:p w14:paraId="348E31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Первое в стране предприятие, приступившее к производству полупроводниковых изделий. С 1967 г. начал специализироваться на выпуске оптоэлектроники, когда были изготовлены первые в стране светодиоды и излучающие диоды инфракрасного диапазона.</w:t>
      </w:r>
    </w:p>
    <w:p w14:paraId="4E1CF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Полупроводниковые технологии, разработанные на заводе, были переданы на другие заводы в Саранске, Орле, Новгороде, Новосибирске, Запорожье, в Польшу и ЧССР.</w:t>
      </w:r>
    </w:p>
    <w:p w14:paraId="49611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мнемонические светоизлучающие диоды красного, желтого и зеленого цвета, двухцветные; индикаторы различного цвета для электронных табло, фотодиоды, фототранзисторы, оптопары, кремниевые полупроводниковые приборы (выпрямительные диоды и мосты, динисторы, тиристоры, симисторы); импульсные запускающие устройства для ламп уличного освещения.</w:t>
      </w:r>
    </w:p>
    <w:p w14:paraId="2BDD9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2009 г. завод обанкрочен и ликвидирован, на его месте создан бизнес-центр «Старт».</w:t>
      </w:r>
    </w:p>
    <w:p w14:paraId="6F57E599" w14:textId="77777777" w:rsidR="0012255E"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(1943-45 г.)- И.Л. Эристов.</w:t>
      </w:r>
      <w:r w:rsidRPr="00271E51">
        <w:rPr>
          <w:rFonts w:ascii="Times New Roman" w:hAnsi="Times New Roman"/>
          <w:color w:val="000000" w:themeColor="text1"/>
          <w:sz w:val="16"/>
          <w:szCs w:val="16"/>
          <w:vertAlign w:val="superscript"/>
        </w:rPr>
        <w:t>130</w:t>
      </w:r>
      <w:r w:rsidRPr="00271E51">
        <w:rPr>
          <w:rFonts w:ascii="Times New Roman" w:hAnsi="Times New Roman"/>
          <w:color w:val="000000" w:themeColor="text1"/>
          <w:sz w:val="16"/>
          <w:szCs w:val="16"/>
        </w:rPr>
        <w:t xml:space="preserve"> Гендиректор (2000 г.)- Ю.Н. Исаев, (2002 г.)- И.А. Шнайдер.</w:t>
      </w:r>
    </w:p>
    <w:p w14:paraId="1A100D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«Старт», А-1509</w:t>
      </w:r>
    </w:p>
    <w:p w14:paraId="74EA7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Имело наименование «п/я А-1509» (19862).</w:t>
      </w:r>
    </w:p>
    <w:p w14:paraId="617AAE7D" w14:textId="77777777" w:rsidR="0012255E" w:rsidRPr="00271E51" w:rsidRDefault="0012255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84D95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5928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C25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закончились Государственные испытания СУ-122М пробегом по трассе Свердловск — Нижний Тагил и Нижний Тагил — Челябинск, которые проходили с 18 июня. Всего было пройдено 858 км по дорогам и свыше 50 вне их, испытания стрельбой проводились на Нижнетагильском артиллерий</w:t>
      </w:r>
      <w:r w:rsidRPr="00271E51">
        <w:rPr>
          <w:rFonts w:ascii="Times New Roman" w:hAnsi="Times New Roman"/>
          <w:color w:val="000000" w:themeColor="text1"/>
          <w:sz w:val="16"/>
          <w:szCs w:val="16"/>
        </w:rPr>
        <w:softHyphen/>
        <w:t>ском полигоне НКВ 329 выстрелами.</w:t>
      </w:r>
    </w:p>
    <w:p w14:paraId="2B5A19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испытания стрельбой и пробегом самоход вы</w:t>
      </w:r>
      <w:r w:rsidRPr="00271E51">
        <w:rPr>
          <w:rFonts w:ascii="Times New Roman" w:hAnsi="Times New Roman"/>
          <w:color w:val="000000" w:themeColor="text1"/>
          <w:sz w:val="16"/>
          <w:szCs w:val="16"/>
        </w:rPr>
        <w:softHyphen/>
        <w:t>держал, но его вес был сочтен излишним, а стоимость ору</w:t>
      </w:r>
      <w:r w:rsidRPr="00271E51">
        <w:rPr>
          <w:rFonts w:ascii="Times New Roman" w:hAnsi="Times New Roman"/>
          <w:color w:val="000000" w:themeColor="text1"/>
          <w:sz w:val="16"/>
          <w:szCs w:val="16"/>
        </w:rPr>
        <w:softHyphen/>
        <w:t>дия У-11 — высокой. Поэтому комиссия признала необхо</w:t>
      </w:r>
      <w:r w:rsidRPr="00271E51">
        <w:rPr>
          <w:rFonts w:ascii="Times New Roman" w:hAnsi="Times New Roman"/>
          <w:color w:val="000000" w:themeColor="text1"/>
          <w:sz w:val="16"/>
          <w:szCs w:val="16"/>
        </w:rPr>
        <w:softHyphen/>
        <w:t>димым внести изменения в конструкцию САУ для даль</w:t>
      </w:r>
      <w:r w:rsidRPr="00271E51">
        <w:rPr>
          <w:rFonts w:ascii="Times New Roman" w:hAnsi="Times New Roman"/>
          <w:color w:val="000000" w:themeColor="text1"/>
          <w:sz w:val="16"/>
          <w:szCs w:val="16"/>
        </w:rPr>
        <w:softHyphen/>
        <w:t>нейшего улучшения, после чего она могла быть рекомендо</w:t>
      </w:r>
      <w:r w:rsidRPr="00271E51">
        <w:rPr>
          <w:rFonts w:ascii="Times New Roman" w:hAnsi="Times New Roman"/>
          <w:color w:val="000000" w:themeColor="text1"/>
          <w:sz w:val="16"/>
          <w:szCs w:val="16"/>
        </w:rPr>
        <w:softHyphen/>
        <w:t>вана на вооружение артиллерийских частей КА (11417).</w:t>
      </w:r>
    </w:p>
    <w:p w14:paraId="3AA327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284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года, за день до начала битвы на Курской дуге, председатель Государственного комитета обороны Иосиф Сталин подписал постановление “О мероприятиях по организации производства радиолокационной аппаратуры” (термин “радиолокация” появился в СССР в начале Великой Отечественной войны и получил распространение среди специалистов после выхода этого постановления, термины “электрослаботочная промышленность” и “радиообнаружение” постепенно утратили значение) (19109).</w:t>
      </w:r>
    </w:p>
    <w:p w14:paraId="436BFE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09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вышло Постановление ГКО № 3683 О подготовке инженеров и техников для угольной промышленности.РГАНИР, Фонд ГКО, д. 129, лл. 180-185, 186-187 (11012).</w:t>
      </w:r>
    </w:p>
    <w:p w14:paraId="14855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DB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вышло Постановление ГКО № 3684 Об улучшении качества подготовки и увеличении выпуска инженеров и техников для нефтяной промышленности.РГАНИР, Фонд ГКО, д. 129, лл. 188-192, 193 (11012).</w:t>
      </w:r>
    </w:p>
    <w:p w14:paraId="21BDC5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4AB4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вышло Распоряжение ГКО № 3685 [О сокращении отпуска хлебофуража Дальстрою НКВД СССР в 1943 г.] (7118, 194).</w:t>
      </w:r>
    </w:p>
    <w:p w14:paraId="4D6A73E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DC4A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вышло Постановление ГКО № 3686 [О создании при ГКО Совета по радиолокации под председательством Маленкова Г.М. и назначении заместителем наркома электропромышленности по радиолокации Берга А.И.] (7118, 195-197).</w:t>
      </w:r>
    </w:p>
    <w:p w14:paraId="479E230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B337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июля 1943г. в соответствии с пост. ГКО № 3686сс завод № 830 (Завод № 830 НКЭП, МРТП, ФГУП «Завод точных приборов» ФКА /105005 г. Москва ул. Бауманская, 53/2 тел. 267-11-07/) передан в ведение созданного ГУ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промышленности НКЭП. В 1955г. завод № 830 МРТП передан НИИ-648 в качестве опытного завода.</w:t>
      </w:r>
      <w:r w:rsidRPr="00271E51">
        <w:rPr>
          <w:rFonts w:ascii="Times New Roman" w:hAnsi="Times New Roman"/>
          <w:color w:val="000000" w:themeColor="text1"/>
          <w:sz w:val="16"/>
          <w:szCs w:val="16"/>
          <w:vertAlign w:val="superscript"/>
        </w:rPr>
        <w:t>104</w:t>
      </w:r>
    </w:p>
    <w:p w14:paraId="2E70DF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4.08.2004г. вошло в перечень стратегических оборонных предприятий. 25.04.2006г. исключен из списка стратегических предприятий. В 2006г.- в ведении ФКА.</w:t>
      </w:r>
    </w:p>
    <w:p w14:paraId="3B43F9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(2006г.): производство: РЭО для ракетно-космических комплексов и спецтехники; радиотехнической и электротехнической аппаратуры широкого применения; разработка и производство пьезокварцевой техники.</w:t>
      </w:r>
    </w:p>
    <w:p w14:paraId="39C690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(2000г.)- В.И. Афанасьев (11982).</w:t>
      </w:r>
    </w:p>
    <w:p w14:paraId="119F1D35" w14:textId="77777777" w:rsidR="0012255E" w:rsidRPr="00271E51" w:rsidRDefault="0012255E" w:rsidP="00271E51">
      <w:pPr>
        <w:autoSpaceDE w:val="0"/>
        <w:autoSpaceDN w:val="0"/>
        <w:adjustRightInd w:val="0"/>
        <w:spacing w:after="0" w:line="240" w:lineRule="auto"/>
        <w:jc w:val="both"/>
        <w:rPr>
          <w:rFonts w:ascii="Times New Roman" w:hAnsi="Times New Roman"/>
          <w:color w:val="000000" w:themeColor="text1"/>
          <w:sz w:val="16"/>
          <w:szCs w:val="16"/>
        </w:rPr>
      </w:pPr>
    </w:p>
    <w:p w14:paraId="203046E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вышло Постановление Государственного Комитета Обороны СССР «О радиолокации» № ГОКО-3686сс</w:t>
      </w:r>
    </w:p>
    <w:p w14:paraId="771D052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 Москва</w:t>
      </w:r>
    </w:p>
    <w:p w14:paraId="2F5B7EF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 секретно</w:t>
      </w:r>
    </w:p>
    <w:p w14:paraId="64227C7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исключительное военное значение радиолокации для повышения боеспособности Красной Армии и Военно-Морского Флота, Государственный Комитет Обороны постановляет:</w:t>
      </w:r>
    </w:p>
    <w:p w14:paraId="1A0D6D3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Создать при Государственном Комитете Обороны Совет по радиолокации. Возложить на Совет по радиолокации при ГОКО следующие задачи:</w:t>
      </w:r>
    </w:p>
    <w:p w14:paraId="1023D99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подготовку проектов военно-технических заданий ГОКО для конструкторов по вопросам системы вооружения средствами радиолокации Красной Армии и Военно-Морского Флота;</w:t>
      </w:r>
    </w:p>
    <w:p w14:paraId="4A5EF39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всемерное развитие радиолокационной промышленности и техники, обеспечение создания новых средств радиолокации и усовершенствования существующих типов радиолокаторов, а также обеспечение серийного выпуска промышленностью высококачественных радиолокаторов;</w:t>
      </w:r>
    </w:p>
    <w:p w14:paraId="37B4704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привлечение к делу радиолокации наиболее крупных научных, конструкторских и инженерно-технических сил, способных двигать вперед радиолокационную технику;</w:t>
      </w:r>
    </w:p>
    <w:p w14:paraId="20442E0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систематизацию и обобщение всех достижений науки и техники в области радиолокации, как в СССР, так и за границей, путем использования научно-технической литературы и всех источников информации;</w:t>
      </w:r>
    </w:p>
    <w:p w14:paraId="72A5D0E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подготовку предложений для ГОКО по вопросам импорта средств радиолокации.</w:t>
      </w:r>
    </w:p>
    <w:p w14:paraId="5E4B0C8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Утвердить Совет по радиолокации в следующем составе: тт. Маленков (председатель), Архипов, Берг, Голованов, Горохов, Данилин, Кабанов, Калмыков, Кобзарев, Стогов, Терентьев, Угер, Шахурин, Щукин.</w:t>
      </w:r>
    </w:p>
    <w:p w14:paraId="002C40E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Поставить перед Советом по радиолокации в качестве ближайших задач:</w:t>
      </w:r>
    </w:p>
    <w:p w14:paraId="3CC3B28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обеспечение улучшения качества и увеличения серийного производства выпускаемых промышленностью следующих радиолокаторов – установки обнаружения, опознавания самолетов и наведения на них истребительной авиации в системе ПВО – «Пегматит-3» и «Редут» с высотной приставкой; станции орудийной наводки СОН для обеспечения стрельбы зенитных дивизионов в системе ПВО; самолетных радиолокационных установок радионаведения для двухмоторных самолетов «Гнейс-2»; радиолокационных приборов опознавания самолетов и кораблей «СЧ». («СЧ» – «свой-чужой». – Р.П.)</w:t>
      </w:r>
    </w:p>
    <w:p w14:paraId="3AA54E4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обеспечение создания и испытания опытных образцов и подготовки серийного производства следующих радиолокаторов: установки наведения прожекторов для ведения заградительного огня зенитной артиллерией в системе ПВО; станции орудийной наводки СОН-3 для обеспечения стрельбы зенитным дивизионом в системе ПВО; радиолокационной установки для наведения на цель бомбардировочной авиации дальне¬го действия; радиолокационной установки наведения для одномоторного истребителя; универсальной морской установки обнаружения для всех типов кораблей, включая подводные лодки и торпедные катера; корабельной и береговой установки для обнаружения и обеспечения стрельбы главным калибром надводных кораблей и береговых батарей в любых условиях видимости.</w:t>
      </w:r>
    </w:p>
    <w:p w14:paraId="72B98CA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целях обеспечения новых разработок и серийного производства радиолокаторов современными высококачественными электровакуумными изделиями, создать Электровакуумный институт с опытным заводом, объединить в электровакуумном институте научно-технические, инженерные кадры и лабораторное оборудование:</w:t>
      </w:r>
    </w:p>
    <w:p w14:paraId="5354E03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Отраслевой вакуумной лаборатории НКЭП;</w:t>
      </w:r>
    </w:p>
    <w:p w14:paraId="7A2A953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электровакуумной лаборатории завода № 465 НКЭП;</w:t>
      </w:r>
    </w:p>
    <w:p w14:paraId="4EAA524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электровакуумной лаборатории профессора Александрова А.Г.;</w:t>
      </w:r>
    </w:p>
    <w:p w14:paraId="7722D00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специальной электровакуумной лаборатории т. Векшинского С.А.;</w:t>
      </w:r>
    </w:p>
    <w:p w14:paraId="0D9431E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электровакуумной лаборатории Физико-Технического Института АН СССР;</w:t>
      </w:r>
    </w:p>
    <w:p w14:paraId="094C3BB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электровакуумного завода № 747 НКЭП.</w:t>
      </w:r>
    </w:p>
    <w:p w14:paraId="4C9BEDE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Разместить Электровакуумный институт на площадях завода № 747 НКЭП (Бывший завод «Радиолампа» в пос.Фрязино. – Р.П.) </w:t>
      </w:r>
    </w:p>
    <w:p w14:paraId="15021AD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Утвердить начальником Электровакуумного института т. Векшинского С.А.</w:t>
      </w:r>
    </w:p>
    <w:p w14:paraId="0CCBBFB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Для решения задач комплексного проектирования радиолокационного оборудования объектов, разработки тактико-технических заданий на радиолокационные приборы и координации работ отделов главных конструкторов заводов радиолокационной промышленности, организовать Проектно-Конструкторское Бюро по радиолокации.</w:t>
      </w:r>
    </w:p>
    <w:p w14:paraId="7F865F4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Утвердить начальником Проектно-Конструкторского Бюро по радиолокации т. Попова Н.Л.</w:t>
      </w:r>
    </w:p>
    <w:p w14:paraId="6102803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Организовать в Наркомате электропромышленности Главное управление радиолокационной промышленности в составе:</w:t>
      </w:r>
    </w:p>
    <w:p w14:paraId="37FE5C6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Всесоюзного научно-исследовательского института радиолокации;</w:t>
      </w:r>
    </w:p>
    <w:p w14:paraId="342CD19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Электровакуумного института;</w:t>
      </w:r>
    </w:p>
    <w:p w14:paraId="36722BD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Проектно-Конструкторского Бюро;</w:t>
      </w:r>
    </w:p>
    <w:p w14:paraId="550956C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заводов Наркомэлектропрома №№ 465, 747, 498, 208 и 830.</w:t>
      </w:r>
    </w:p>
    <w:p w14:paraId="6252476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Утвердить т. Берга А.И. заместителем наркома электропромышленности по радиолокации.</w:t>
      </w:r>
    </w:p>
    <w:p w14:paraId="098984E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Восстановить в Московском энергетическом институте факультет радиотехники.</w:t>
      </w:r>
    </w:p>
    <w:p w14:paraId="7BBD110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Главное управление трудовых резервов при СНК СССР (тт. Москатов и Зеленко) совместно с ЦК ВЛКСМ (т. Михайлов) организовать 15 ремесленных училищ с контингентом учащихся 10 тысяч человек с целью подготовки в этих училищах квалифицированных рабочих кадров для заводов радиолокационной промышленности.</w:t>
      </w:r>
    </w:p>
    <w:p w14:paraId="1F43E5D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Установить для крупных научных, конструкторских и инженерно-технических работников по радиолокации 30 персональных окладов в размере до 5000 рублей каждый и 70 окладов в размере до 3000 рублей.</w:t>
      </w:r>
    </w:p>
    <w:p w14:paraId="0AD5DD0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Разрешить председателю Совета по радиолокации утвердить штаты аппарата Совета.</w:t>
      </w:r>
    </w:p>
    <w:p w14:paraId="498C05B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Обязать Совет по радиолокации совместно с Госпланом при СНК СССР (т. Вознесенский), Наркомэлектропромом (т. Кабанов), Наркомавиапромом (т. Шахурин), Наркомминвооружения (т. Паршин), Наркомсудпромом (т. Носенко), Наркомсредмашем (т. Акопов), Наркомвооружения (т. Устинов) к 15 июля с.г. представить на утверждение Государственного Комитета Обороны пред¬ложения о мероприятиях по организации производства радиолокационной аппаратуры.</w:t>
      </w:r>
    </w:p>
    <w:p w14:paraId="1BC3361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Государственного Комитета Обороны</w:t>
      </w:r>
    </w:p>
    <w:p w14:paraId="2AFEBB3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СТАЛИН (11460).</w:t>
      </w:r>
    </w:p>
    <w:p w14:paraId="096102E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9B9F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приказом Государственного Комитета Обороны создан Научно-исследовательский институт № 108 (НИИ-108) от Переименовывался: приказом Наркомата электропромышленности СССР от 7 сентября 1943 г. во Всесоюзный научно-исследовательский институт № 108, постановлением Совета Министров СССР от 10 июля 1947 г. в Центральный научно-исследовательский институт № 108, приказом Министерства радиопромышленности СССР от 24 марта 1966 г. в Центральный научно-исследовательский радиотехнический институт (ЦНИРТИ) (12101).</w:t>
      </w:r>
    </w:p>
    <w:p w14:paraId="1F6C6F72" w14:textId="77777777" w:rsidR="0012255E" w:rsidRPr="00271E51" w:rsidRDefault="0012255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C23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июля 1943 г. в соответствии с пост. ГКО № 3686сс был создан в ведении ГУ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промышленности НКЭП ВНИИ радиолокации (НИИ-108) (основан А.И. Бергом) как ведущий институт по радиолокации. 2.01.1944 г. вышло постановление ГКО № 4878 о неотложной помощи институту; 18.04.1944 г. - постановление ГКО № 5647 о мероприятиях по выполнению задач, стоящих перед институтом. В 1945 г. преобразован в ЦНИИ-108. Размещался в одном здании с Советом по радиолокации, а затем - 5ГУ МО.</w:t>
      </w:r>
    </w:p>
    <w:p w14:paraId="6CDD9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войны выполнено 64 НИОКР по радиотехнике.</w:t>
      </w:r>
    </w:p>
    <w:p w14:paraId="0D27E6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1940 г. - работы по СВЧ-радиолокации: СВЧ-электродинамика, дифракция радиоволн, снижение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заметности объектов, инженерная теория флуктуации в радиолокации. В 1944 г. впервые в стране создан передатчик помех, нарушивший работу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(Б.Д. Сергиевский), в 1946 г. на его базе создана самолетная станция помех ПР-1. НИР «Пихта» (1945 г.) по исследованию волноводов и антенн дециметрового диапазона. НИР «Кедр»</w:t>
      </w:r>
    </w:p>
    <w:p w14:paraId="4EBA4A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 г.) по распространению радиоволн. НИР «Клен», «Пиния» по теории распространения УКВ радиоволн 6 учетом кривизны земной поверхности (1940-е). В 1948 г. группа по разработке станций орудийной наводки (СОН) преобразована в лабораторию. В начале 1950-х  г. разработана первая отечественная самолетная станция разведки и помех ПР-1. С середины 1950-х  г. - работы по противодействию радиолокации, разработка средств РЭ подавления. Велись фундаментальные исследования антенно-фидерных и приемо-передающих устройств, мощных широкополосных ламп бегущей и обратной волны. В 1950-е  г. велась разработка РЛС со сверхбыстрой перестройкой частоты «Ветер» («Переход», А.Н. Мусатов).</w:t>
      </w:r>
    </w:p>
    <w:p w14:paraId="5BD72A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составе института (1940-е-50-е): лаборатория № 13 по разработке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устройств.</w:t>
      </w:r>
    </w:p>
    <w:p w14:paraId="68816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 г. из института в КБ-1 переведены К.С. Альперович, Б.В. Бункин, И.Л. Бурштейн и М.Б. Заксон.</w:t>
      </w:r>
    </w:p>
    <w:p w14:paraId="47047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 г. в институт переведен из ЦНИИИС коллектив лаборатории радиотехнической разведки. Ему была поручена НИР «Пароль» по созданию РЛС артиллерийской разведки, в конце 1950 г. создан макет станции «Пароль-1». На базе коллектива образована лаборатория № 20, начата НИР «Пароль-2» по разработке РЛС селекции подвижных целей. На ее основе создана РЛС «Зубр» и первый в стране радиооптический комплекс РАС-1, включавший РЛС и прибор ночного видения. 11.06.1957 г. вышло распоряжение правительства № 1458-рс об изготовлении опытной партии РАС-1. В 1954 г. поручена НИР «Дунай» по разработке РЛС непрерывного излучения для обнаружения самолетов. В 1956 г. поручена разработка станции для обнаружения ГЧ БР на дальности до 1500 км. Лаборатория преобразована в отдел № 1. В 1957 г. создана РЛС «Дунай-2» и в 1958 г. смонтирована на Балхашском полигоне. 6.08.1958 г. станцией впервые обнаружена БР Р-5. Затем работы по радиолокации со специалистами переданы в другие институты: НИИ-17, КБ-1, НИИ-244 и НИИ-37, а НИИ-108 стал специализироваться на разработке средств РЭБ.</w:t>
      </w:r>
    </w:p>
    <w:p w14:paraId="106C0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1959 г. на базе отдела № 1 организован филиал института, который разместился на территории ОКБ завода № 37. В 05.1960 г. филиал преобразован в самостоятельный НИИ-37.</w:t>
      </w:r>
    </w:p>
    <w:p w14:paraId="1B644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2254-1070сс от 3.11.1954 г. прицел ПСБН-МА пнв.</w:t>
      </w:r>
    </w:p>
    <w:p w14:paraId="71054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1958 г. начаты работы по созданию средств защиты ГЧ БР. Для этого на базе лаборатории М.А. Леонтовича создан сектор № 3. Начаты ОКР: по применению надувных и дипольных отражателей «Верба» (П.А. Погорелко); по использоанию радиопоглощающих материалов «Кактус»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Школьников, А.В. Данилов); по созданию космической министанции шумовых помех «Крот» (В.М. Герасименко, Ю.А. Спиридонов). Была создана также ложная цель 15Б26. В 1963 г. проведена НИР «Купол» (Н.Н. Алексеев), начата разработка комплексов средств преодоления (КСП) ПРО для боевых БР. В Калужской обл. был построен полигон для испытаний РЛ характеристик боевых блоков МБР.</w:t>
      </w:r>
    </w:p>
    <w:p w14:paraId="73783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1959 г. начата разработка первой отечественной станции имитационных ответных помех РЛС «Резеда».</w:t>
      </w:r>
    </w:p>
    <w:p w14:paraId="667462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 г. из ЦНИИ-108 в КБ-1 переведен коллектив разработчиков бортовых РЛС во главе с Б.Ф. Высоцким.</w:t>
      </w:r>
    </w:p>
    <w:p w14:paraId="19FA5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1959 г. ЦНИИ-108 имел наименование «п/я 2312». В 1979-85 г. ЦНИРТИ входил в состав НПО «Пальма», в 1987 г. - головное предприятие НПО им. Плешакова.</w:t>
      </w:r>
    </w:p>
    <w:p w14:paraId="337927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30.07.1959 г. ОКБ завода № 37 преобразовано в филиал НИИ-108. 4.05.1960 г. филиал преобразован в самостоятельный НИИ-37.</w:t>
      </w:r>
    </w:p>
    <w:p w14:paraId="49E6E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института: лаборатории: расчетно-теоретическая № 1, № 2, антенно-фидерных устройств № 12, радиоприемных устройств № 13; испытательный полигон (создан в 1957 г., далее - КНИРТИ) в Протве Калужской обл., полигон закрытого типа «Эталон-1» для измерения ЭПР натурных объектов.</w:t>
      </w:r>
    </w:p>
    <w:p w14:paraId="3A95F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Институт являлся головным по разработке системы космической радиотехнической разведки «Целина», создававшейся в соответствии с ПСМ от 29.05.1964 г., разрабатывал для нее бортовой РТК и наземный спецкомплекс. Пост, от 26.03.1972 г. комплекс «Целина-О» (обзорный) пнв. Пост. № 676 от 20.08.1976 г. пнв «Целина-Д» (детальный). С 1973 г. - «Целина» (2).</w:t>
      </w:r>
    </w:p>
    <w:p w14:paraId="2716B8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1960-е  г. для РЛС «Дунай-3» разработана программа для обнаружения и сопровождения целей с выдачей точных координат (Ф.М. Песелева); создана программа, выявлявшая несоответствие траекторий движения целей законам движения в поле тяготения Земли (Е.Е. Мелентьев). Создана уникальная система объемного отображения космической обстановки «Планетарий» (В.Н. Шапошников).</w:t>
      </w:r>
    </w:p>
    <w:p w14:paraId="2DACC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1960-х  г. начаты работы по новому в мире направлению - разработке технических средств для противодействия радиоразведке. В 1970-е  г. началось создание мощных станций помех нового направления- для групповой защиты строя самолетов. Созданы средства РЭБ пяти поколений, станции противодействия ЗРК противника, средства преодоления ПРО (в т.ч. на основе низкотемпературной плазмы), системы глобальной РТР из космоса. Создано направление снижения РЛ заметности ЛА, разработана аппаратура для измерения радиофизических параметров образцов радиопоглощающих материалов и характеристик ЛА (А.В. Данилов).</w:t>
      </w:r>
    </w:p>
    <w:p w14:paraId="59A75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1972 г. разработан и внедрен в производство первый в мире экспериментальный нелинейный радиолокатор (И.Ф. Иванов). С 1990-х  г.- конверсионные работы по </w:t>
      </w:r>
      <w:r w:rsidRPr="00271E51">
        <w:rPr>
          <w:rFonts w:ascii="Times New Roman" w:hAnsi="Times New Roman"/>
          <w:color w:val="000000" w:themeColor="text1"/>
          <w:sz w:val="16"/>
          <w:szCs w:val="16"/>
        </w:rPr>
        <w:lastRenderedPageBreak/>
        <w:t>нелинейным РЛС, физико-математическому моделированию, геолокации, энергосберегающему осветительному оборудованию, безэховым камерам.</w:t>
      </w:r>
    </w:p>
    <w:p w14:paraId="0506F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1980-х  г. создан центр микроэлектроники с производственно-технологическим участком.</w:t>
      </w:r>
    </w:p>
    <w:p w14:paraId="764F4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Созданы научные школы: в области антенн и теории дифракции электромагнитных волн (Я.Н. Фельд); по самолетной противорадиолокации.</w:t>
      </w:r>
    </w:p>
    <w:p w14:paraId="5A19D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Выполнены НИР: «Вектор» - первая работа по противорадиолокации (1940-е); «Ласточка» по противодействию РЛС наведения УРВП; «Кедр» - по теоретическому изучению распространения радиоволн; «Тополь» - по исследованию рассеяния радиоволн на различных объектах; «Клен» - по разработке теории распространения УКВ; «Забор» (1952-53 г.) - по созданию мощной самолетной станции помех; «Импульс» - станция 2-го поколения СНАР-2; «Газон» (1957-58 г.)- станция прицельно-заградительных шумовых помех; «Вьюга» (1958-61 г.); «Куст-П» (1959 г.) - по созданию помех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ПРО; «Сосна», «Рябина», «Крушина», «Ока», «Самшит», «Игла», «Кактус» - по разработке радиопоглощающих материалов и конструкций; «Берест», «Комплект», «Интеграл», «Кратер» - по анализу развития средств противодействия ПРО; «Море» по расчету характеристик заметности низколетящих КР; «Саксаул», «Затвор» по радиопротиводействию; «Эталон», «Комплекс-Д» по созданию автоматизированных РТ комплексов; «Авангард-Анализ-2», «Горизонт-8, -К» по прогнозированию развития РТ средств; «Север», «Север-1» (1955-58 г.), «Партитура» (1956-64 г.) по разработке имитационных и шумовых помех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на базе ЛЕВ; «Метод», «Стимул» по созданию системы оценки деятельности и материального стимулирования работы подразделений института; «Эффект» по разработке показателей внутриинститутского хозрасчета; «Зонд», «Платан», «Прибой», «Иней», «Элемент». ОКР: «Лес» - станция 2-го поколения СНАР-2; «Верба» (1961-63 г.) по созданию ложных целей для защиты ГЧ БР; «Ручей» (1966 г.) по размещению станции «Резеда» на объектах и «Мальва» по их испытаниям; «Соната» - станция радиопротиводействия; «Дента-МВ» (2000 г.) по разработке стоматологической установки и пластмассы для изготовления зубных протезов методом микроволновой полимеризации.</w:t>
      </w:r>
    </w:p>
    <w:p w14:paraId="2CE99A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2002 г. разработаны «Основы политики РФ в области развития системы РЭБ на период до 2010 г. и дальнейшую перспективу».</w:t>
      </w:r>
    </w:p>
    <w:p w14:paraId="18CB3F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(2002 г.): РЭО, средства РЭБ 5-го поколения (на базе сверхширокополосной цифровой радиочастотной памяти), в т.ч. активной буксируемой ловушки; спецсредства для силовых структур; системы сбора и обработки информации, программное обеспечение; системы идентификации грузов для ж/д и автомобильного транспорта; система контроля и учета электроэнергии для РАО ЕЭС; аппаратура и СВЧ-техника для сельского хозяйства.</w:t>
      </w:r>
    </w:p>
    <w:p w14:paraId="48458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Имелся (2000-е) многофункциональный стенд физико-математического моделирования РЭ систем.</w:t>
      </w:r>
    </w:p>
    <w:p w14:paraId="2D5975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Головное предприятие (2005 г.) по разработке комплексов и средств РТР и РЭБ различного базирования.</w:t>
      </w:r>
    </w:p>
    <w:p w14:paraId="5BFD9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1990-х  г. предприятие преобразовано в ФГУП, в 2004 г. присвоено имя А.И. Берга. По Указу Президента РФ № 1009 от 4.08.2004 г. вошло в число стратегических оборонных предприятий.</w:t>
      </w:r>
    </w:p>
    <w:p w14:paraId="2BC67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(12.1943 г.-&gt; к-а А.И. Бер г. Начальник (06.1947-04.1957 г.)- академик (1946 г.) А.И. Берг {10.11.1893-9.07.1979}. Директор (1958-64 г.)- П.С. Плешаков, (-1968 г.)- П.П. Емохонов, (1968-85 г.)- г-м Ю.Н. Мажоров, (1986-87 г.)- Ю.А. Спиридонов, (1987 г.-)- А.Н. Шулунов. Гендиректор (-2000-04 г.)- А.Н. Шулунов, (2005-07 г.-)- Б.С. Лобанов.</w:t>
      </w:r>
      <w:r w:rsidRPr="00271E51">
        <w:rPr>
          <w:rFonts w:ascii="Times New Roman" w:hAnsi="Times New Roman"/>
          <w:color w:val="000000" w:themeColor="text1"/>
          <w:sz w:val="16"/>
          <w:szCs w:val="16"/>
          <w:vertAlign w:val="superscript"/>
        </w:rPr>
        <w:t>101</w:t>
      </w:r>
    </w:p>
    <w:p w14:paraId="786ABD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научной работе (-1981 г.)- А.А. Зиничев; по экономике (2002 г.)- К.А. Калинина;</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(1960- 68 г.)- Ю.Н. Мажоров.</w:t>
      </w:r>
    </w:p>
    <w:p w14:paraId="31FC1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гл. конструктора (1952-54 г.)- Н.Я. Чернецов. Гл. конструктор (1954 г.-)- Н.Я. Чернецов, (1960-е-73 г.-)- М.Х. Заславский («Целина»), Ген. конструктор (1987 г.-)- Ю.М. Перунов.</w:t>
      </w:r>
    </w:p>
    <w:p w14:paraId="2FE5B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(1943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Кугушев, (1960-68 г.)- Ю.Н. Мажоров, (-1981 г.)- А.А. Зиничев, (2002 г.)-  Г.В. Казанцев.</w:t>
      </w:r>
    </w:p>
    <w:p w14:paraId="1B1D4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(-2001 г.)- В.И. Резник, А.А. Зиничев.</w:t>
      </w:r>
    </w:p>
    <w:p w14:paraId="4CB74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(1959 г.-)- М.Х. Заславский, И.Ф. Иванов, (-1991 г.)- П.А. Марков. Начальники НТЦ (1965 г.-)- В.М. Герасименко, (1988 г.-)- Ю.А. Спиридонов, (2000-е)- А.А. Лебедь, (-2006 г.)- С.Ф. Ракитин.</w:t>
      </w:r>
    </w:p>
    <w:p w14:paraId="2F40D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отделения (-1984 г.)- Л.В. Михайлов.</w:t>
      </w:r>
    </w:p>
    <w:p w14:paraId="652111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(1944-51 г.)- Н.И. Оганов (ПР-1), (-1946-61 г.-)- Е.Е. Фридберг (ПР-1, «Силикат», ТОН-2, К- 12), (1952-84 г.-)- А. Г. Рапопорт («Сирена», «Репей», «Рица», «Кортик», «Бриг», «Корвет»), (-1954-56 г.)- В.П. Сосульников («Пароль-2», «Дунай-1», «Дунай-2»), (1959 г.-)- Е.К. Спиридонов («Резеда»), (1960-90 г.)- М.Х. Заславский («Рис», системы для «Целина-Д, -Р, -2», «Крона»), (-1961-75 г.)- В.М. Герасименко («Крот-1», «Лайнер», «Береза», «Каштан», «Кипарис», «Магнолия», «Магнолия-3», «Лавр»), (1961 г.)- А.В. Загорянский (К- 12), (1961-63 г.)- П.А. Погорелко («Верба»), (1964-86 г.)- И.К. Куприянов («Ледокол»), (1960-е)- В.В. Огиевский («Сирень- 1И»), (1967-69 г.)- И.А. Легкий («Поток»), (1988 г.-)- Ю.А. Спиридонов (станции МС, КСП ПРО), И.Я. Альтман («Бета», «Сирень», «Герань», «Гардения»),  Г.Я. Гуськов (пеленгатор для СУ Р-7), Ю.Н. Ерофеев («Объем-69», «Узел»), А.А. Зиничев («Фасоль», «Смальта»), А.Я. Клопов («Апатит»), А.А. Лебедь (системы радионаблюдения), П.А. Марков, Э.Ф. Мешков (наземные спецкомплексы для «Целина-О, -Д, -2»), Л.В. Михайлов («Гардения-1 ФУ»), С.Ф. Ракитин («Целина-О»), В.И. Резник («Рычаг-Б»), Н.Н. Смирнов, Ю.Н. Харитонов («Барс-СМ»), А.И. Ширман («Сирень-1Ф»); направления радиопротиводействия (1968 г.-)- И.Ф. Иванов.</w:t>
      </w:r>
    </w:p>
    <w:p w14:paraId="40B91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И.Я. Альтман (ПР-П, «Альфа», «Резеда»), (1956 г.)- В.П. Васюков («Дунай-2»), (1956 г.)- В.К. Гурьянов («Дунай-2»), А.В. Данилов, Ю.Н. Ерофеев (плоские микромодули), Л.И. Зорин (бортовая космическая аппаратура), (1964-67 г.)- И.Ф. Иванов («Бриг»), (1956 г.)- А.И. Ивлиев («Дунай-2»), Е.К. Киреев («Октава», «Октава-1, -М», «Барс»), И.А. Легкий («Кипарис»), П.А. Марков, И.П. Морозов («Самшит-И», «Ока», «Искандер-М»), (1953-60 г.-)- В.В. Огиевский («Силикат», «Резеда»), Н. Г. Пономарев («Пальма», «Лист», «Ледокол», «Каштан», «Кипарис», «Лавр», «Магнолия», «Вяз», «Тополь»), В.И. Радько (радиопротиводействие), С.Ф. Ракитин («Крона», «Целина-2»), Н.Н. Смирнов, Е.Е. Фридберг («Бриг», «Корвет»), (-1972-84 г.-)- Ю.Н. Харитонов (К-41, «Кливер», «Крона», «Бриг», «Корвет», «Лиана»), А.И. Ширман (СНАР-2, «Соната»),</w:t>
      </w:r>
    </w:p>
    <w:p w14:paraId="176A5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 1 (-1958 г.)- В.П. Сосульников; антенного (1957 г.-)- Я.Н. Фельд; политического (1950 г.)- п В. Дурнев; (1959-84 г.)- И.Я. Альтман, (-1965 г.)- В.М. Герасименко, (1964 г.-)- А.В. Данилов, Н.П. Емохонов, (1969 г.-)- Ю.Н. Ерофеев, А.В. Загорянский, А.А. Зиничев, И.Ф. Иванов, В.Р. Коронелли, А.А. Лебедь, Б.Е. Левин, (1970 г.-)- к1р И.А. Легкий, (1954-72 г.)- п Л.Н. Лошаков, (1960 г.)- Ю.Н. Мажоров, П.А. Марков, (1984 г.-)- Л.В. Михайлов, П.С. Плешаков, (1965 г.-)- Н. Г. Пономарев, (-1996 г.)- В.И. Радько, С.Ф. Ракитин, (1958 г.-)- А. Г. Рапопорт, В.И. Резник, (1974 г.-)- Н.Н. Смирнов, (1969 г.-)- Е.К. Спиридонов, (1965 г.-)- Ю.А. Спиридонов, (1960 г.-)- В.И. Сушкевич, (1972 г.-)- Ю.Н. Харитонов.</w:t>
      </w:r>
    </w:p>
    <w:p w14:paraId="657D2D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Е.К. Киреев.</w:t>
      </w:r>
    </w:p>
    <w:p w14:paraId="0E3FA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секторов: № 3 (конец 1950-х)- Н.Н. Алексеев; Н.П. Емохонов, А.А. Зиничев, Л.И. Зорин, Е.К. Киреев, В.Р. Коронелли, (-1958 г.)- П.С. Плешаков, (1959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xml:space="preserve">. Школьников,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Юдин.</w:t>
      </w:r>
    </w:p>
    <w:p w14:paraId="3A69F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 1 (4.02.1944 г.-)- М.А. Леонтович, (1954 г.)- Л.А. Вайнштейн; № 12 (1944-48 г.)- Е.Н. Майзельс, (-1957 г.)- Я.Н. Фельд; № 13 (09.1943-08.1950 г.)- А.А. Расплетин (ТОН-2); СОН (1948-10.1950 г.)- К.С. Альперович; антенной (1952 г.)- Е.Н. Майзельс; радиопоглощающих покрытий (-1964 г.)- А.В. Данилов; теоретической (1960-е)- Ф.М. Песелева; (1957-59 г.)- И.Я. Альтман, академик Б.А. Введенский, В.М. Герасименко, Н.П. Емохонов, (1967-69 г.)- Ю.Н. Ерофеев, (1953 г.-)- А.В. Загорянский, (-1959 г.)- М.Х. Заславский, А.А. Зиничев, Л.И. Зорин, И.Ф. Иванов, Е.К. Киреев, (1959 г.-)- И.К. Куприянов, А.А. Лебедь, Б.Е. Левин,(- 1970 г.)- И.А. Легкий, (1958 г.)- академик М.А. Леонтович, Л.В. Михайлов, (1991 г.-)- И.П. Морозов, (-1959 г.)- А.Н. Мусатов, (1944-51 г.)- Н.И. Оганов, (-1988 г.)- В.В. Огиевский, (1952 г.-)- П.С. Плешаков, (1953-59 г.-)- П.А. Погорелко, (-1965 г.)- Н. Г. Пономарев, В.И. Радько, С.Ф. Ракитин, (-1958 г.)- А. Г. Рапопорт, В.И. Резник, Б.Д. Сергиевский, (1970 г.-)- И.В. Скоков, (-1974 г.)- Н.Н. Смирнов, (1961-69 г.)- Е.К. Спиридонов, (-1965 г.)- Ю.А. Спиридонов, В.И. Сушкевич, (1946 г.-)- Е.Е. Фридберг, (-1972 г.)- Ю.Н. Харитонов, (1960-е)- В.Н. Шапошников, (-1985 г.)- А.И. Ширман, Л.М. Юдин.</w:t>
      </w:r>
    </w:p>
    <w:p w14:paraId="0DF0B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лаборатории: № 12 (1946 г.-)- Я.Н. Фельд; СОН (1950 г.)- М.Е. Лейбман; (-1945 г.)- Н. Г. Моисеев, (1943-46 г.)- Е.Е. Фридбер г.</w:t>
      </w:r>
    </w:p>
    <w:p w14:paraId="6703E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Бюро новой техники: (1945 г.-)- Н.Я. Чернецов. Руководитель группы лаборатории № 13 (1946 г.-)- Н.Я. Чернецов.</w:t>
      </w:r>
    </w:p>
    <w:p w14:paraId="1BB71B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Ученый секретарь (1972 г.-)- Ю.Н. Ерофеев.</w:t>
      </w:r>
    </w:p>
    <w:p w14:paraId="5A95A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Научные руководители НИР: (1961-80 г.)- А.В. Данилов («Сосна», «Рябина», «Крушина», «Ока», «Самшит», «Игла», «Кактус»), (1952-59 г.-)- А.В. Загорянский («Забор», «Куст-П»), (1968-87 г.)- И.Ф. Иванов, В.Р. Коронелли, И.К. Куприянов, А.А. Лебедь, (1958-61 г.)- И.А. Легкий («Вьюга»), Л.В. Михайлов, (1957-58 г.)- В.В. Огиевский («Газон»), Н. Г. Пономарев («Берест», «Комплект», «Интеграл», «Кратер»), В.И. Резник («Море», «Саксаул», «Затвор», «Эталон», «Комплекс-Д»), (-1956-64 г.-)- Б.Д. Сергиевский («Вектор», «Север-1», «Партитура»), Н.Н. Смирнов, Е.К. Спиридонов («Метод», «Стимул», «Эффект»), Ю.А. Спиридонов, В.А. Фок («Кедр», «Тополь»), Научный руководитель направления «Теоретические исследования отражения и рассеяния электромагнитных волн от различных объектов» (1944 г.-)- академик В.А. Фок.</w:t>
      </w:r>
    </w:p>
    <w:p w14:paraId="39F64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научного руководителя НИР: В.И. Резник («Авангард-Анализ-2», «Горизонт-8, -К»). Зам. научного руководителя НИР: И.Я. Альтман («Зонд», «Ласточка», «Платан»), (1965-2006 г.)- И.П. Морозов («Прибой», «Иней», «Сосна», «Самшит», «Элемент»).</w:t>
      </w:r>
    </w:p>
    <w:p w14:paraId="379D30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Создано: </w:t>
      </w:r>
      <w:r w:rsidRPr="00271E51">
        <w:rPr>
          <w:rFonts w:ascii="Times New Roman" w:hAnsi="Times New Roman"/>
          <w:iCs/>
          <w:color w:val="000000" w:themeColor="text1"/>
          <w:sz w:val="16"/>
          <w:szCs w:val="16"/>
          <w:lang w:val="en-US"/>
        </w:rPr>
        <w:t>PJIC</w:t>
      </w:r>
      <w:r w:rsidRPr="00271E51">
        <w:rPr>
          <w:rFonts w:ascii="Times New Roman" w:hAnsi="Times New Roman"/>
          <w:iCs/>
          <w:color w:val="000000" w:themeColor="text1"/>
          <w:sz w:val="16"/>
          <w:szCs w:val="16"/>
        </w:rPr>
        <w:t>:</w:t>
      </w:r>
      <w:r w:rsidRPr="00271E51">
        <w:rPr>
          <w:rFonts w:ascii="Times New Roman" w:hAnsi="Times New Roman"/>
          <w:color w:val="000000" w:themeColor="text1"/>
          <w:sz w:val="16"/>
          <w:szCs w:val="16"/>
        </w:rPr>
        <w:t xml:space="preserve"> наземной разведки (1940-е), защиты хвоста самолета ТОН-2 (1940-е), наводки зенитной артиллерии СОН-3 (1940-е), артиллерийской разведки СНАР-1, -2, «Пароль-2» (начало 1950-х), «Зубр» (1950-е), обнаружения самолетов «Дунай-1» (1955), обнаружения ГЧ БР «Дунай-2» (1958); самолетный РЛ бомбардировочный прицел ПСБН-МА (пнв 3.11.1954 г.); автоматический дальномер для СОН-9 (1949); аппаратура радиотелевизионной связи с перехватчиками РД (1940-е); радиооптический комплекс РАС-1 (1957); РЭО для КСР-5, Х-15; станция обнаружения и уничтожения РЛС «Рица» для КСР-11 (1959); пеленгатор системы радиоуправления МБР Р-7;</w:t>
      </w:r>
      <w:r w:rsidRPr="00271E51">
        <w:rPr>
          <w:rFonts w:ascii="Times New Roman" w:hAnsi="Times New Roman"/>
          <w:iCs/>
          <w:color w:val="000000" w:themeColor="text1"/>
          <w:sz w:val="16"/>
          <w:szCs w:val="16"/>
        </w:rPr>
        <w:t xml:space="preserve"> КСП ПРО:</w:t>
      </w:r>
      <w:r w:rsidRPr="00271E51">
        <w:rPr>
          <w:rFonts w:ascii="Times New Roman" w:hAnsi="Times New Roman"/>
          <w:color w:val="000000" w:themeColor="text1"/>
          <w:sz w:val="16"/>
          <w:szCs w:val="16"/>
        </w:rPr>
        <w:t xml:space="preserve"> «Береза» для РТ-2, «Каштан» для УР-100К, «Кипарис» для «Темп-2С», «Магнолия» для УР-100Н, «Магнолия-3» для УР-ЮОНУ, </w:t>
      </w:r>
      <w:r w:rsidRPr="00271E51">
        <w:rPr>
          <w:rFonts w:ascii="Times New Roman" w:hAnsi="Times New Roman"/>
          <w:color w:val="000000" w:themeColor="text1"/>
          <w:sz w:val="16"/>
          <w:szCs w:val="16"/>
        </w:rPr>
        <w:lastRenderedPageBreak/>
        <w:t>«Ледокол» для Р-29 (1974), «Лист» для Р-36 (совместно с ОКБ «Южное»), «Лавр» для Р-36М, «Самшит-И» (1986), «Пальма», «Вяз», «Тополь», для ОТРК «Ока» (1980), для «Синева», «Тополь-М», «Искандер-М» (2006); аппаратура: шумовых помех: самолетная «Силикат» (1955), для мишеней «Лайнер» (1965), «Куст» для КА «Зенит» (1960-е), имитационных ответных помех «Резеда» (1960- е); предупреждения об облучении истребителя РЛС противника «Сирена» (1953);</w:t>
      </w:r>
      <w:r w:rsidRPr="00271E51">
        <w:rPr>
          <w:rFonts w:ascii="Times New Roman" w:hAnsi="Times New Roman"/>
          <w:iCs/>
          <w:color w:val="000000" w:themeColor="text1"/>
          <w:sz w:val="16"/>
          <w:szCs w:val="16"/>
        </w:rPr>
        <w:t xml:space="preserve"> станции активных помех: </w:t>
      </w:r>
      <w:r w:rsidRPr="00271E51">
        <w:rPr>
          <w:rFonts w:ascii="Times New Roman" w:hAnsi="Times New Roman"/>
          <w:color w:val="000000" w:themeColor="text1"/>
          <w:sz w:val="16"/>
          <w:szCs w:val="16"/>
        </w:rPr>
        <w:t>авиационные: ПР-1 (1946), и разведки ПР-1В (начало 1950-х), ПР-П, «Завеса» (1950-е), «Сирень», «Сирень-1Д, - 1И, -1Ф (СПС-141), -1ФШ», «Смальта» (1970-е), самолетов фронтовой авиации «Гардения-1 ФУ», «Омуль-ЩЦ-8» (2000-е); защиты ГЧ МБР «Крот-1» (1961); «Натрий», «Натрий-К», МС, МСП-418К (2000-е); станции контроля и РТР: автомобильные «Октава», «Октава-1, -М»; автоматическая «Бамбук-2»; космические комплексы: обзорного РЭ наблюдения «Целина-О» с аппаратурой К-41 и «Кливер» (пнв 26.03.1972 г.), детального наблюдения «Целина- Д» с аппаратурой «Бриг» (1971, пнв 20.08.1976 г.), «Целина-2» с аппаратурой «Корвет» (1984), «Целина-3»; космическая система РТР К-12 для КА «Зенит» (1961); бортовая аппаратура: «Крона» для ОС «Алмаз» (1960-е), РТ наблюдения «Кортик» для КА УС-П (1963), «Барс»; агентурная аппаратура для определения параметров и местонахождения РЛС на территории противника «Рис», «Рак», «Рама», «Репей» (1956); бортовая станция разведки «Бриг» (1960-е), бортовая спецаппаратура «Барс-СМ» системы «Лиана»; активная буксируемая РЛ ловушка; объемно-плоскостные модули «Объем-69», «Узел»; изделия «Альфа», «Бета», «Герань», «Фасоль», «Курс», «Плот», «Поиск», «Солистка», «Прорыв», «Апатит», «Поток», «Север», «Север-1», «Рычаг-Б» (11982).</w:t>
      </w:r>
    </w:p>
    <w:p w14:paraId="245EC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D7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вышло пост. ГКО № 3686сс, в соответствии с которым в ведении ГУ РЛ промышленности НКЭП было создано Проектное КБ по радиолокации (ПКБ-170) (Проектное КБ ПО радиолокации ПКБ-170 НКЭП, НИИ Нормализации и испытаний электронной техники, ВНИИ «Электростандарт», А-1298, Российский НИИ (РНИИ) «Электростандарт», ОАО «РНИИ «Электростандарт» /г. Ленинград,  г. Санкт-Петербург/).</w:t>
      </w:r>
    </w:p>
    <w:p w14:paraId="704EF6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Принимало участие (1960-е) в разработке комплекта технологического оборудования «Корунд» для массового выпуска ИС и полупроводниковых приборов по планарной технологии. Разработка методик испытаний электронных приборов.</w:t>
      </w:r>
    </w:p>
    <w:p w14:paraId="20428D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при ПКБ-170 создан Опытный завод.</w:t>
      </w:r>
    </w:p>
    <w:p w14:paraId="343CD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ВНИИ «Электростандарт» имело наименование «п/я А-1298».</w:t>
      </w:r>
    </w:p>
    <w:p w14:paraId="1DFCB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(07.1943 г.-)- Н.Л. Попов. Директор (1960-е)- Гаген, (1984-93 г.)- В.Д. Степанов. Начальники отделов: морского (1943-44 г.)- академик В.А. Фок.</w:t>
      </w:r>
    </w:p>
    <w:p w14:paraId="02326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завод ПКБ-170, ОАО «РНИИ «Электростандарт» /196143  г. Санкт-Петербург пл. Победы, 2/</w:t>
      </w:r>
    </w:p>
    <w:p w14:paraId="637054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завод при ПЕБ-170 основан в 1962 г. С 1966 г.- при НИИ нормализации и испытаний электронной техники, с 1971 г.- при ВНИИ «Электростандарт», с 1991 г.- при РНИИ «Электростандарт», с 2000 г.- при ОАО «РНИИ «Электростандарт».</w:t>
      </w:r>
    </w:p>
    <w:p w14:paraId="676E5B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конструкторы радиоприемников: «Экон-01, -02, -03» (11982).</w:t>
      </w:r>
    </w:p>
    <w:p w14:paraId="0FC1D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5E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 (Архив МО СССР, ф. 81, оп. 12048, д. 73) Генштаб отклонил постановление объединенного совещания и обязал все вопросы наземной радиолокации для войск ПВО сосредоточить в одних руках – ГАУ НКО. На этом основании отдел радиолокации НИИИС КА передавался в Научно-исследовательскую лабораторию артиллерийского приборостроения (НИЛАП ГАУ).</w:t>
      </w:r>
    </w:p>
    <w:p w14:paraId="3D6FD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Задания на работы по самолетным бортовым РЛС обнаружения, прицеливания и опознавания передавались по директиве Генштаба НИИ ВВС.</w:t>
      </w:r>
    </w:p>
    <w:p w14:paraId="0598E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Той же директивой в ГАУ предусматривалось создание отдела радиолокации, который был первым в центральных аппаратах НКО и НК ВМФ отделом, ведавшим заказами на развитие радиолокационной техники в нашей стране (11026).</w:t>
      </w:r>
    </w:p>
    <w:p w14:paraId="5685F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9FC28D" w14:textId="77777777" w:rsidR="00AB5376" w:rsidRPr="00271E51" w:rsidRDefault="00AB537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вышло постановление ГКО СССР об организации в поселке Фрязино Щелковского района Московской области Научно-исследовательского института № 160 с опытным заводом (ныне ФГУП «НПП Исток») – первенца советской электронной промышленности; 15 сентября 1943 года институту было присвоено номерное обозначение НИИ-160.(впоследствии ФГУП «НПП «Исток»). 1943—1947 гг. — становление предприятия, работы по приемно-усилительным и генераторным лампам. 1947—1961 гг. — строительство НИИ-160, развертывание работ по малошумящим ЛБВ и усилительным клистронам. Была заложена материальная база предприятия, построены корпуса, что позволило резко поднять численность, принять более 2-х тысяч молодых специалистов, заложить основы научной школы. 1962—1988 гг. — этап интенсивного развития предприятия. Отечественная электроника в 1961 г. стала самостоятельной отраслью и ее рукводителем стал Шокин А. И. — один из виднейших деятелей отечественной радиоэлектроники. За эти годы разработаны приборы для всех ЗРК и других систем радиовооружения, увеличены производственные площади на 120 тыс. кв. м. Численность «Истока» выросла до 13 тысяч человек. С 1988 г. по настоящее время — выход из кризиса и возрождение НПП «Исток» (14942).</w:t>
      </w:r>
    </w:p>
    <w:p w14:paraId="24F7810D" w14:textId="77777777" w:rsidR="00AB5376" w:rsidRPr="00271E51" w:rsidRDefault="00AB5376" w:rsidP="00271E51">
      <w:pPr>
        <w:spacing w:after="0" w:line="240" w:lineRule="auto"/>
        <w:jc w:val="both"/>
        <w:rPr>
          <w:rFonts w:ascii="Times New Roman" w:hAnsi="Times New Roman"/>
          <w:color w:val="000000" w:themeColor="text1"/>
          <w:sz w:val="16"/>
          <w:szCs w:val="16"/>
        </w:rPr>
      </w:pPr>
    </w:p>
    <w:p w14:paraId="461EA3DE" w14:textId="77777777" w:rsidR="00AB5376" w:rsidRPr="00271E51" w:rsidRDefault="00AB537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день образования радиоэлектронной отрасли России. Радиоэлектронная отрасль начала отсчет времени с момента выхода </w:t>
      </w:r>
      <w:hyperlink r:id="rId12" w:tgtFrame="_blank" w:history="1">
        <w:r w:rsidRPr="00271E51">
          <w:rPr>
            <w:rFonts w:ascii="Times New Roman" w:hAnsi="Times New Roman"/>
            <w:color w:val="000000" w:themeColor="text1"/>
            <w:sz w:val="16"/>
            <w:szCs w:val="16"/>
          </w:rPr>
          <w:t>Постановления Государственного Комитета Обороны № ГКО-3686сс от 4 июля 1943 года «О радиолокации»</w:t>
        </w:r>
      </w:hyperlink>
      <w:r w:rsidRPr="00271E51">
        <w:rPr>
          <w:rFonts w:ascii="Times New Roman" w:hAnsi="Times New Roman"/>
          <w:color w:val="000000" w:themeColor="text1"/>
          <w:sz w:val="16"/>
          <w:szCs w:val="16"/>
        </w:rPr>
        <w:t>. Постановлением был утвержден Совет по радиолокации в составе: Маленков (председатель), Архипов, Берг, Голованов, Горохов, Данилин, Кабанов, Калмыков, Кобзарев, Стогов, Терентьев, Угер, Шахурин, Щукин. Сегодня под эгидой Российского агентства по системам управления работают более 500 акционерных обществ (концернов, холдингов, корпораций) и свыше 220 федеральных государственных унитарных предприятий. Это достаточно динамично развивающаяся часть оборонно-промышленного комплекса аккумулирующая более 15% общего объема продукции, 25% НИОКР, более 10% экспорта продукции и свыше 22 % численности работающих в ОПК страны (14942).</w:t>
      </w:r>
    </w:p>
    <w:p w14:paraId="208154D1" w14:textId="77777777" w:rsidR="00AB5376" w:rsidRPr="00271E51" w:rsidRDefault="00AB5376" w:rsidP="00271E51">
      <w:pPr>
        <w:spacing w:after="0" w:line="240" w:lineRule="auto"/>
        <w:jc w:val="both"/>
        <w:rPr>
          <w:rFonts w:ascii="Times New Roman" w:hAnsi="Times New Roman"/>
          <w:color w:val="000000" w:themeColor="text1"/>
          <w:sz w:val="16"/>
          <w:szCs w:val="16"/>
        </w:rPr>
      </w:pPr>
    </w:p>
    <w:p w14:paraId="1C9F8F40" w14:textId="77777777" w:rsidR="00AB5376" w:rsidRPr="00271E51" w:rsidRDefault="00AB537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по постановлению Государственного Комитета Обороны (ГКО) образовано ФГУП «Центральный научно-исследовательский радиотехнический институт». Автором постановления был известный академик А.И.Берг, который и стал первым директором института. Его усилиями к работе в ВНИИР были привлечены ведущие специалисты в области радиотехники, радиофизики, радиолокации, радиоэлектроники. Институт начал выполнять работы по радиотехническому оснащению Красной Армии. До конца войны его коллектив выполнил 64 НИР и ОКР, из числа которых отметим: аппаратуру обеспечения телевизионной связи РЛС с самолетами-истребителями для наведения их на самолеты противника, аппаратуру предупреждения экипажа бомбардировщика о нападении с задней полусферы и пр. В первые послевоенные годы упор делался на исследования распространения радиоволн. Эти работы завершились созданием методик измерений и расчетных формул, ставших достоянием широкого круга разработчиков РЛС. Также всесторонне были исследованы и изучены вопросы приема и излучения сантиметровых волн, антенно-фидерные системы, фильтры и резонаторы, процессы в различных цепях и звеньях РЛС. К середине 1950-х годов в деятельности института был начат новый этап: из института по радиолокации он превратился в институт по борьбе с ней. Позже это направление получило название радиоэлектронной борьбы (РЭБ) и стало главным в деятельности НИИ. Для борьбы с авиацией в 1960-х годах в США были созданы зенитные комплексы «Хок», с вероятностью 0,98 уничтожавшие в отсутствии мер радиопротиводействия сверхзвуковые самолеты на высотах от 15 м до 20 км. Специальные разработанные в институте режимы позволили снизить вероятность поражения «Хоком» от 3 до 10 раз. Для еще более эффективного противодействия «Хоку» и новому «Пэтриоту» была предложена защита станцией помех из вынесенной точки. 80-е годы широко внедрялись цифровые методы создания помех, появились новые методы – имитационные. В последние годы основным направлением в разработке средств РЭБ стало создание унифицированных базовых модулей, станций и комплексов. Создан основной базовый элемент – сверхширокополосная цифровая радиочастотная память для аппаратуры РЭБ 5-го поколения. Также появился базовый элемент многолучевой активной решетки для передатчиков на основе твердотельного усилительного устройства. Ведется разработка новейшей ловушки, позволяющей резко увеличить эффективность радиоэлектронной защиты самолета и бороться с методами наведения оружия. Последнее десятилетие в ЦНИРТИ создается конкурентоспособная гражданская продукция, в частности разработана система идентификации контейнеров и транспортных средств, обеспечивающая автоматический, индивидуальный контроль их местонахождения, и многое другое (14942).</w:t>
      </w:r>
    </w:p>
    <w:p w14:paraId="30473C01" w14:textId="77777777" w:rsidR="00AB5376" w:rsidRPr="00271E51" w:rsidRDefault="00AB5376" w:rsidP="00271E51">
      <w:pPr>
        <w:spacing w:after="0" w:line="240" w:lineRule="auto"/>
        <w:jc w:val="both"/>
        <w:rPr>
          <w:rFonts w:ascii="Times New Roman" w:hAnsi="Times New Roman"/>
          <w:color w:val="000000" w:themeColor="text1"/>
          <w:sz w:val="16"/>
          <w:szCs w:val="16"/>
        </w:rPr>
      </w:pPr>
    </w:p>
    <w:p w14:paraId="37D5BD3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DC8D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D8B92"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утреннее сообщение Совинформбюро:</w:t>
      </w:r>
    </w:p>
    <w:p w14:paraId="20203011"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ночи на 4 июля на фронте ничего существенного не произошло.</w:t>
      </w:r>
    </w:p>
    <w:p w14:paraId="0DE0AF5B"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наше разведывательное подразделение ночью, преодолев минные поля и проволочные заграждения противника, ворвалось в передовые траншеи немцев. Огнём из автоматов и гранатами разведчики истребили 60 вражеских солдати офицеров, взорвали 5 дзотов, захватили трофеи и пленных. Выполнив поставленную перед ним задачу, подразделение отошло на исходные рубежи. На другом участке артиллеристы Н-ской части взорвали склад боеприпасов и уничтожили минометную батарею противника.</w:t>
      </w:r>
    </w:p>
    <w:p w14:paraId="7FB3EBDB"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Севска две группы противника пытались вести разведку боем. Ружейно-пулеметным огнём гитлеровцы были рассеяны, не достигнув наших проволочных заграждений.</w:t>
      </w:r>
    </w:p>
    <w:p w14:paraId="346C1A6F"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Огнём нашей зенитной артиллерии сбито 2 немецких самолета.</w:t>
      </w:r>
    </w:p>
    <w:p w14:paraId="323EE12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Белгорода разведчики Н-ской части совершили смелый налёт на позиции противника. В рукопашной схватке разведчики истребили до 40 немецких солдат, а затем взорвали 3 дзота, наблюдательный пункт и землянку. Захватив пленных и трофеи, наши бойцы благополучно вернулись в свою часть. На другом участке советские артиллеристы уничтожили 3 вражеских пулемета, 2 миномёта и разгромили обоз противника.</w:t>
      </w:r>
    </w:p>
    <w:p w14:paraId="314F696F"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Северо-Западном фронте разведывательная группа под командованием старшего лейтенанта Лаврухина ночью подобралась к вражеским дзотам. Бесшумно сняв часовых, разведчики гранатами и в рукопашной схватке уничтожили группу солдат противника.</w:t>
      </w:r>
    </w:p>
    <w:p w14:paraId="4E8C94E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Волховского фронта рота немецкой пехоты пыталась разведать наши позиции. В результате непродолжительной схватки гитлеровцы были отброшены, оставив на поле боя до 50 трупов. На другом участке наши артиллеристы разрушили 10 немецких дзотов и 5 блиндажей, уничтожили 3 орудия и 4 миномёта противника. Ружейным огнём сбит вражеский аэростат воздушного наблюдения.</w:t>
      </w:r>
    </w:p>
    <w:p w14:paraId="02382F25"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Украины за последние 6 дней пустили под откос 17 воинских эшелонов противника. Уничтожено 14 паровозов и 204 вагона с боеприпасами и другими военными грузами. Группа партизан из отряда имени Котовского 25 июня подорвала немецкий поезд. Уничтожено 7 вагонов с солдатами и офицерами противника.</w:t>
      </w:r>
    </w:p>
    <w:p w14:paraId="407542C8"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унтер-офицер 86 артиллерийского полка 112 немецкой пехотной дивизии Петер Ганзен рассказал: «Недавно на ротных учениях наш командир роты объяснил причины длительного затишья на фронте. «В зимних боях, — сказал он, — немецкая армия понесла колоссальные потери в людях и технике. Тотальная, мобилизация, не давшая пока ожидаемых результатов, ещё продолжается. Ввиду изменившейся военной обстановки вводить в бой последние резервы очень рискованно». Солдаты, прослушав такое объяснение, пришли к выводу, что немецкая армия приближается к катастрофе».</w:t>
      </w:r>
    </w:p>
    <w:p w14:paraId="6D8FD02B"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учинили кровавую расправу над мирными гражданами деревни Выселки, Смоленской области. 26 июня эсэсовцы согнали всех жителей деревни, в том числе женщин и малолетних детей, на луг. Здесь гитлеровские бандиты заставили жителей деревни рыть траншею, а затем построили их в ряд спиной к траншее и расстреляли из пулемётов.</w:t>
      </w:r>
    </w:p>
    <w:p w14:paraId="4131E67A"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Югославские партизаны разрушают пути сообщения немецко-итальянских оккупантов. В Славонии патриоты разгромили восемь железнодорожных станций. Близ станций Клокочевац и Олтенцы взорвано несколько сот метров железнодорожного полотна. Между станциями Маюрец и Кошара взорвано два железнодорожных моста. В другом районе партизаны пустили под откос немецкий воинский эшелон.» (14942).</w:t>
      </w:r>
    </w:p>
    <w:p w14:paraId="32639CAE"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327E8831"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вечернее сообщение Совинформбюро:</w:t>
      </w:r>
    </w:p>
    <w:p w14:paraId="3B3B967E"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июля на фронте ничего существенного не произошло.</w:t>
      </w:r>
    </w:p>
    <w:p w14:paraId="78093FAE"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Баренцевом море потоплен транспорт противника.</w:t>
      </w:r>
    </w:p>
    <w:p w14:paraId="15DCE33C"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истекшую неделю, с 27 июня по 3 июля включительно, в воздушных боях и огнём зенитной артиллерии уничтожено 66 немецких самолётов. Наши потери за этоже время —18 самолётов.</w:t>
      </w:r>
    </w:p>
    <w:p w14:paraId="5606335C"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3 июля наша авиация дальнего действия произвела налёт на порты Темрюк и Керчь. Особенно сильной атаке наших бомбардировщиков были подвергнуты транспортные суда и самоходные баржи противника, находившиеся в это время в порту Темрюк. Экипажи наших самолётов наблюдали большие пожары, и сильные взрывы. Прямыми попаданиями бомб потоплено несколько судов противника. Все наши самолёты вернулись на свои аэродромы.</w:t>
      </w:r>
    </w:p>
    <w:p w14:paraId="46ED43F6"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происходила редкая артиллерийская перестрелка. Наводчики орудий тт. Елохин, Гузей и Сысков уничтожили немецкую миномётную батарею, разрушили 6 блиндажей и 2 дзота противника. Группа снайперов Н-ской части под руководством младшего сержанта Зайцева за последний месяц истребила 218 немецкихсолдат и офицеров. Сержант т. Зайцев уничтожил 32 гитлеровца, старший сержант т. Глямов за последние пять дней истребил 9 немецких солдат.</w:t>
      </w:r>
    </w:p>
    <w:p w14:paraId="175511A8"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противник вновь предпринял попытки отвоевать высоту, занятую в конце июня нашими гвардейцами. Под прикрытием сильного артиллерийского и миномётного огня три батальона эсэсовцев, поддержанные 7 танками, атаковали наши позиции. Советские бойцы встретили врага огнём из всех видов оружия и вынудили его отступить. Вскоре немцы опять пошли в атаку, но контрударом наших подразделений вновь были отброшены с большими для них потерями. В бою подбито 4 немецких танка и уничтожено свыше 800 немецких солдат и офицеров.</w:t>
      </w:r>
    </w:p>
    <w:p w14:paraId="359312FA"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командир орудия старшина Воеводский огнём с открытой позиции уничтожил 3 немецких блиндажа и пулемёт с расчётом. На другом участке миномётчики Н-ской гвардейской части огневым налётом уничтожили артиллерийскую батарею, рассеяли и частью истребили до роты пехоты противника.</w:t>
      </w:r>
    </w:p>
    <w:p w14:paraId="664BDC75"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3 немецких самолёта.</w:t>
      </w:r>
    </w:p>
    <w:p w14:paraId="075553F7"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снайперы наших подразделений истребили 80 гитлеровцев. Огнём нашей артиллерии разрушено 16 немецких дзотов, 8 наблюдательных пунктов и 25 стрелковых ячеек. На одном участке разведчики обнаружили месторасположение штаба немецкой части. Батарея, где командиром старший лейтенант Лаптев, открыла огонь и разрушила дом, в котором помещался штаб противника.</w:t>
      </w:r>
    </w:p>
    <w:p w14:paraId="6F82EDF0"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происходила редкая артиллерийско-миномётная перестрелка. Артиллеристы Н-ской части разрушили 4 немецких дзота, наблюдательный пункт, уничтожили 2 орудия, миномёт и 11 пулемётов противника.</w:t>
      </w:r>
    </w:p>
    <w:p w14:paraId="0CEF0DC5"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Барановичской области, пустил под откос немецкий воинский эшелон. В результате крушения разбиты паровоз, 6 пассажирских вагонов и 2 платформы. Партизаны-разведчики установили, что из-под обломков вагонов извлечено 256 убитых и раненых гитлеровцев. Движение на этом участке дороги было приостановлено на несколько дней.</w:t>
      </w:r>
    </w:p>
    <w:p w14:paraId="49F00287" w14:textId="77777777" w:rsidR="0012255E" w:rsidRPr="00271E51" w:rsidRDefault="001225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солдат 56 немецкой пехотной дивизии Артур И. рассказал: «Я находился долгое время в Северной Африке, в отряде при штабе Роммеля. Летом 1942 года солдаты серьёзно верили, что армия Роммеля до рождества захватит Суэц, Сирию, Иран, Ирак и соединится с немецкими войсками, оперировавшими на Кавказе. Однако вскоре все эти иллюзии рассеялись, как дым. Русские разгромили немецкие армии на Кавказе и на Кубани. Англичане также начали широкие наступательные операции. Мы потеряли почти все самолёты. Среди солдат началась паника. Резко упала дисциплина, участились случаи дезертирства и перехода на сторону англичан. В феврале я заболел, был направлен в Германию и более двух месяцев пролежал в госпитале в Мюнхене. В городе ходили упорные слухи, что в сдаче Туниса виноваты итальянцы. Распространяли эти слухи должностные лица нацистской партии и государственные чиновники, чтобы оправдать поражение немецких войск в Северной Африке» (14942).</w:t>
      </w:r>
    </w:p>
    <w:p w14:paraId="179DC538" w14:textId="77777777" w:rsidR="0012255E" w:rsidRPr="00271E51" w:rsidRDefault="0012255E" w:rsidP="00271E51">
      <w:pPr>
        <w:spacing w:after="0" w:line="240" w:lineRule="auto"/>
        <w:jc w:val="both"/>
        <w:rPr>
          <w:rFonts w:ascii="Times New Roman" w:hAnsi="Times New Roman"/>
          <w:color w:val="000000" w:themeColor="text1"/>
          <w:sz w:val="16"/>
          <w:szCs w:val="16"/>
        </w:rPr>
      </w:pPr>
    </w:p>
    <w:p w14:paraId="1AA3B67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Войска Воронежского фронта провели артиллерийскую и авиационную контрподготовку по изготовившемуся к наступлению противнику на Курской дуге (4963 ).</w:t>
      </w:r>
    </w:p>
    <w:p w14:paraId="159B7A6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B46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года в 15 часов немецкая авиация нанесла мощный удар по оборонительным позициям советских войск. Как считал начальник генерального штаба Люфтваффе генерал Ешоннек, лично руководивший здесь авиацией, по своим результатам он должен был стать решающим. В 3 часа 5 июля экипажи немецких бомбардировщиков еще готовились к массированному налету на советские аэродромы, а в это время более 100 советских штурмовиков и около 300 истребителей уже атаковали аэродромы VIII-го воздушного корпуса. Правда, немцам все же удалось поднять значительную часть своих самолетов для выполнения поставленной задачи. Но фактор внезапности, боевая инициатива были утрачены. И, хотя немецкая авиация при начавшемся отступлении своих войск достаточно эффективно их прикрывала, сдерживая продвижение советских танков и механизированных соединений и частей, решающего влияния на ход боевых действий она оказать уже не смогла (3573).</w:t>
      </w:r>
    </w:p>
    <w:p w14:paraId="0C9A9C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6B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немецкие войска в 16.00 пред</w:t>
      </w:r>
      <w:r w:rsidRPr="00271E51">
        <w:rPr>
          <w:rFonts w:ascii="Times New Roman" w:hAnsi="Times New Roman"/>
          <w:color w:val="000000" w:themeColor="text1"/>
          <w:sz w:val="16"/>
          <w:szCs w:val="16"/>
        </w:rPr>
        <w:softHyphen/>
        <w:t>приняли разведку боем из района Томаровки против боевого охранения Во</w:t>
      </w:r>
      <w:r w:rsidRPr="00271E51">
        <w:rPr>
          <w:rFonts w:ascii="Times New Roman" w:hAnsi="Times New Roman"/>
          <w:color w:val="000000" w:themeColor="text1"/>
          <w:sz w:val="16"/>
          <w:szCs w:val="16"/>
        </w:rPr>
        <w:softHyphen/>
        <w:t>ронежского фронта. Захваченные в бою пленные показали, что наступление дол</w:t>
      </w:r>
      <w:r w:rsidRPr="00271E51">
        <w:rPr>
          <w:rFonts w:ascii="Times New Roman" w:hAnsi="Times New Roman"/>
          <w:color w:val="000000" w:themeColor="text1"/>
          <w:sz w:val="16"/>
          <w:szCs w:val="16"/>
        </w:rPr>
        <w:softHyphen/>
        <w:t>жно начаться в 2.30 5 июля. В то же вре</w:t>
      </w:r>
      <w:r w:rsidRPr="00271E51">
        <w:rPr>
          <w:rFonts w:ascii="Times New Roman" w:hAnsi="Times New Roman"/>
          <w:color w:val="000000" w:themeColor="text1"/>
          <w:sz w:val="16"/>
          <w:szCs w:val="16"/>
        </w:rPr>
        <w:softHyphen/>
        <w:t xml:space="preserve">мя взятый в плен разведчиками 15-й </w:t>
      </w:r>
      <w:r w:rsidRPr="00271E51">
        <w:rPr>
          <w:rFonts w:ascii="Times New Roman" w:hAnsi="Times New Roman"/>
          <w:iCs/>
          <w:color w:val="000000" w:themeColor="text1"/>
          <w:sz w:val="16"/>
          <w:szCs w:val="16"/>
        </w:rPr>
        <w:t xml:space="preserve">сд </w:t>
      </w:r>
      <w:r w:rsidRPr="00271E51">
        <w:rPr>
          <w:rFonts w:ascii="Times New Roman" w:hAnsi="Times New Roman"/>
          <w:color w:val="000000" w:themeColor="text1"/>
          <w:sz w:val="16"/>
          <w:szCs w:val="16"/>
        </w:rPr>
        <w:t>Центрального фронта сапер 6-й пехот</w:t>
      </w:r>
      <w:r w:rsidRPr="00271E51">
        <w:rPr>
          <w:rFonts w:ascii="Times New Roman" w:hAnsi="Times New Roman"/>
          <w:color w:val="000000" w:themeColor="text1"/>
          <w:sz w:val="16"/>
          <w:szCs w:val="16"/>
        </w:rPr>
        <w:softHyphen/>
        <w:t>ной дивизии вермахта показал, что на</w:t>
      </w:r>
      <w:r w:rsidRPr="00271E51">
        <w:rPr>
          <w:rFonts w:ascii="Times New Roman" w:hAnsi="Times New Roman"/>
          <w:color w:val="000000" w:themeColor="text1"/>
          <w:sz w:val="16"/>
          <w:szCs w:val="16"/>
        </w:rPr>
        <w:softHyphen/>
        <w:t>ступление немецких войск на этом уча</w:t>
      </w:r>
      <w:r w:rsidRPr="00271E51">
        <w:rPr>
          <w:rFonts w:ascii="Times New Roman" w:hAnsi="Times New Roman"/>
          <w:color w:val="000000" w:themeColor="text1"/>
          <w:sz w:val="16"/>
          <w:szCs w:val="16"/>
        </w:rPr>
        <w:softHyphen/>
        <w:t>стке фронта намечено на 3.00 5 июля. В сложившейся ситуации было принято решение о проведении 5 июля в 2.20 в полосе Центрального и в 3.00 в полосе Воронежского фронтов предусмотрен</w:t>
      </w:r>
      <w:r w:rsidRPr="00271E51">
        <w:rPr>
          <w:rFonts w:ascii="Times New Roman" w:hAnsi="Times New Roman"/>
          <w:color w:val="000000" w:themeColor="text1"/>
          <w:sz w:val="16"/>
          <w:szCs w:val="16"/>
        </w:rPr>
        <w:softHyphen/>
        <w:t>ную планами фронтов и Ставки артиллерийско-авиационную контрподготовку.</w:t>
      </w:r>
    </w:p>
    <w:p w14:paraId="40490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артконтрподготовка в целом была успешной, хотя и не достигла же</w:t>
      </w:r>
      <w:r w:rsidRPr="00271E51">
        <w:rPr>
          <w:rFonts w:ascii="Times New Roman" w:hAnsi="Times New Roman"/>
          <w:color w:val="000000" w:themeColor="text1"/>
          <w:sz w:val="16"/>
          <w:szCs w:val="16"/>
        </w:rPr>
        <w:softHyphen/>
        <w:t>лаемых результатов, то предусмотренная планом авиационная контрподготовка проведена не была. Вместо этого 2-я и 17-я воздушные армии в 4.30 нанесли одновременные массированные удары по аэродромам харьковского аэроузла - Микояновка, Сокольники, Померки, Ос</w:t>
      </w:r>
      <w:r w:rsidRPr="00271E51">
        <w:rPr>
          <w:rFonts w:ascii="Times New Roman" w:hAnsi="Times New Roman"/>
          <w:color w:val="000000" w:themeColor="text1"/>
          <w:sz w:val="16"/>
          <w:szCs w:val="16"/>
        </w:rPr>
        <w:softHyphen/>
        <w:t>нова, Рогань, Барвенково, Краматорская. К удару привлекалось 132 Ил-2 и 285 истребителей прикрытия.</w:t>
      </w:r>
    </w:p>
    <w:p w14:paraId="4CD3C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2-я ВА действовала по аэродромам Микояновка, Сокольники, Померки. Каж</w:t>
      </w:r>
      <w:r w:rsidRPr="00271E51">
        <w:rPr>
          <w:rFonts w:ascii="Times New Roman" w:hAnsi="Times New Roman"/>
          <w:color w:val="000000" w:themeColor="text1"/>
          <w:sz w:val="16"/>
          <w:szCs w:val="16"/>
        </w:rPr>
        <w:softHyphen/>
        <w:t>дый аэродром был атакован группой от 18 до 24 Ил-2. Их действия обеспечи</w:t>
      </w:r>
      <w:r w:rsidRPr="00271E51">
        <w:rPr>
          <w:rFonts w:ascii="Times New Roman" w:hAnsi="Times New Roman"/>
          <w:color w:val="000000" w:themeColor="text1"/>
          <w:sz w:val="16"/>
          <w:szCs w:val="16"/>
        </w:rPr>
        <w:softHyphen/>
        <w:t>вались истребителями непосредствен</w:t>
      </w:r>
      <w:r w:rsidRPr="00271E51">
        <w:rPr>
          <w:rFonts w:ascii="Times New Roman" w:hAnsi="Times New Roman"/>
          <w:color w:val="000000" w:themeColor="text1"/>
          <w:sz w:val="16"/>
          <w:szCs w:val="16"/>
        </w:rPr>
        <w:softHyphen/>
        <w:t>ного сопровождения, блокирования аэродромов базирования немецких ис</w:t>
      </w:r>
      <w:r w:rsidRPr="00271E51">
        <w:rPr>
          <w:rFonts w:ascii="Times New Roman" w:hAnsi="Times New Roman"/>
          <w:color w:val="000000" w:themeColor="text1"/>
          <w:sz w:val="16"/>
          <w:szCs w:val="16"/>
        </w:rPr>
        <w:softHyphen/>
        <w:t>требителей, а также выделением значи</w:t>
      </w:r>
      <w:r w:rsidRPr="00271E51">
        <w:rPr>
          <w:rFonts w:ascii="Times New Roman" w:hAnsi="Times New Roman"/>
          <w:color w:val="000000" w:themeColor="text1"/>
          <w:sz w:val="16"/>
          <w:szCs w:val="16"/>
        </w:rPr>
        <w:softHyphen/>
        <w:t>тельных сил для патрулирования над линией фронта с целью отсечения ис</w:t>
      </w:r>
      <w:r w:rsidRPr="00271E51">
        <w:rPr>
          <w:rFonts w:ascii="Times New Roman" w:hAnsi="Times New Roman"/>
          <w:color w:val="000000" w:themeColor="text1"/>
          <w:sz w:val="16"/>
          <w:szCs w:val="16"/>
        </w:rPr>
        <w:softHyphen/>
        <w:t>требителей Люфтваффе от штурмовиков, возвращавшихся с задания. По осталь</w:t>
      </w:r>
      <w:r w:rsidRPr="00271E51">
        <w:rPr>
          <w:rFonts w:ascii="Times New Roman" w:hAnsi="Times New Roman"/>
          <w:color w:val="000000" w:themeColor="text1"/>
          <w:sz w:val="16"/>
          <w:szCs w:val="16"/>
        </w:rPr>
        <w:softHyphen/>
        <w:t>ным аэродромам "работала" 17-я ВА.</w:t>
      </w:r>
    </w:p>
    <w:p w14:paraId="729AC4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признать, удары воздушных ар</w:t>
      </w:r>
      <w:r w:rsidRPr="00271E51">
        <w:rPr>
          <w:rFonts w:ascii="Times New Roman" w:hAnsi="Times New Roman"/>
          <w:color w:val="000000" w:themeColor="text1"/>
          <w:sz w:val="16"/>
          <w:szCs w:val="16"/>
        </w:rPr>
        <w:softHyphen/>
        <w:t>мий по немецким аэродромам были малоэффективны ввиду плохой их под</w:t>
      </w:r>
      <w:r w:rsidRPr="00271E51">
        <w:rPr>
          <w:rFonts w:ascii="Times New Roman" w:hAnsi="Times New Roman"/>
          <w:color w:val="000000" w:themeColor="text1"/>
          <w:sz w:val="16"/>
          <w:szCs w:val="16"/>
        </w:rPr>
        <w:softHyphen/>
        <w:t>готовки. Отсутствие доразведки немец</w:t>
      </w:r>
      <w:r w:rsidRPr="00271E51">
        <w:rPr>
          <w:rFonts w:ascii="Times New Roman" w:hAnsi="Times New Roman"/>
          <w:color w:val="000000" w:themeColor="text1"/>
          <w:sz w:val="16"/>
          <w:szCs w:val="16"/>
        </w:rPr>
        <w:softHyphen/>
        <w:t>ких аэродромов не позволило командо</w:t>
      </w:r>
      <w:r w:rsidRPr="00271E51">
        <w:rPr>
          <w:rFonts w:ascii="Times New Roman" w:hAnsi="Times New Roman"/>
          <w:color w:val="000000" w:themeColor="text1"/>
          <w:sz w:val="16"/>
          <w:szCs w:val="16"/>
        </w:rPr>
        <w:softHyphen/>
        <w:t>ванию армий своевременно установить время начала подготовки немецких эки</w:t>
      </w:r>
      <w:r w:rsidRPr="00271E51">
        <w:rPr>
          <w:rFonts w:ascii="Times New Roman" w:hAnsi="Times New Roman"/>
          <w:color w:val="000000" w:themeColor="text1"/>
          <w:sz w:val="16"/>
          <w:szCs w:val="16"/>
        </w:rPr>
        <w:softHyphen/>
        <w:t>пажей к боевым действиям. В резуль</w:t>
      </w:r>
      <w:r w:rsidRPr="00271E51">
        <w:rPr>
          <w:rFonts w:ascii="Times New Roman" w:hAnsi="Times New Roman"/>
          <w:color w:val="000000" w:themeColor="text1"/>
          <w:sz w:val="16"/>
          <w:szCs w:val="16"/>
        </w:rPr>
        <w:softHyphen/>
        <w:t xml:space="preserve">тате к моменту подлета </w:t>
      </w:r>
      <w:r w:rsidRPr="00271E51">
        <w:rPr>
          <w:rFonts w:ascii="Times New Roman" w:hAnsi="Times New Roman"/>
          <w:color w:val="000000" w:themeColor="text1"/>
          <w:sz w:val="16"/>
          <w:szCs w:val="16"/>
        </w:rPr>
        <w:lastRenderedPageBreak/>
        <w:t>советских эки</w:t>
      </w:r>
      <w:r w:rsidRPr="00271E51">
        <w:rPr>
          <w:rFonts w:ascii="Times New Roman" w:hAnsi="Times New Roman"/>
          <w:color w:val="000000" w:themeColor="text1"/>
          <w:sz w:val="16"/>
          <w:szCs w:val="16"/>
        </w:rPr>
        <w:softHyphen/>
        <w:t>пажей значительная часть авиации Люфтваффе уже была в воздухе (первый бомбовый удар по советским войскам зафиксирован в 4.25) и действовала в интересах своих войск.</w:t>
      </w:r>
    </w:p>
    <w:p w14:paraId="36767F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 командир 1 -го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2-й ВА гене</w:t>
      </w:r>
      <w:r w:rsidRPr="00271E51">
        <w:rPr>
          <w:rFonts w:ascii="Times New Roman" w:hAnsi="Times New Roman"/>
          <w:color w:val="000000" w:themeColor="text1"/>
          <w:sz w:val="16"/>
          <w:szCs w:val="16"/>
        </w:rPr>
        <w:softHyphen/>
        <w:t>рал В.Г.Рязанов по результатам авиа</w:t>
      </w:r>
      <w:r w:rsidRPr="00271E51">
        <w:rPr>
          <w:rFonts w:ascii="Times New Roman" w:hAnsi="Times New Roman"/>
          <w:color w:val="000000" w:themeColor="text1"/>
          <w:sz w:val="16"/>
          <w:szCs w:val="16"/>
        </w:rPr>
        <w:softHyphen/>
        <w:t xml:space="preserve">ционного удара по немецким аэродромам доносил следующее: </w:t>
      </w:r>
      <w:r w:rsidRPr="00271E51">
        <w:rPr>
          <w:rFonts w:ascii="Times New Roman" w:hAnsi="Times New Roman"/>
          <w:iCs/>
          <w:color w:val="000000" w:themeColor="text1"/>
          <w:sz w:val="16"/>
          <w:szCs w:val="16"/>
        </w:rPr>
        <w:t>"В момент удара на аэродроме Померки было всего лишь 14 самолетов противника, а на аэродроме Рогань не оказалось ни од</w:t>
      </w:r>
      <w:r w:rsidRPr="00271E51">
        <w:rPr>
          <w:rFonts w:ascii="Times New Roman" w:hAnsi="Times New Roman"/>
          <w:iCs/>
          <w:color w:val="000000" w:themeColor="text1"/>
          <w:sz w:val="16"/>
          <w:szCs w:val="16"/>
        </w:rPr>
        <w:softHyphen/>
        <w:t>ного вражеского самолета... Лишь на аэродроме Сокольники было атаковано 50 его самолетов, которые понесли зна</w:t>
      </w:r>
      <w:r w:rsidRPr="00271E51">
        <w:rPr>
          <w:rFonts w:ascii="Times New Roman" w:hAnsi="Times New Roman"/>
          <w:iCs/>
          <w:color w:val="000000" w:themeColor="text1"/>
          <w:sz w:val="16"/>
          <w:szCs w:val="16"/>
        </w:rPr>
        <w:softHyphen/>
        <w:t>чительный урон".</w:t>
      </w:r>
    </w:p>
    <w:p w14:paraId="7B0DD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Трагически сложился боевой вылет на уничтожение немецких самолетов на аэродроме Основа (6 км южнее Харько</w:t>
      </w:r>
      <w:r w:rsidRPr="00271E51">
        <w:rPr>
          <w:rFonts w:ascii="Times New Roman" w:hAnsi="Times New Roman"/>
          <w:color w:val="000000" w:themeColor="text1"/>
          <w:sz w:val="16"/>
          <w:szCs w:val="16"/>
        </w:rPr>
        <w:softHyphen/>
        <w:t xml:space="preserve">ва) для летчиков 237-го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305-й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9-го смешанного авиакорпуса 17-й воз</w:t>
      </w:r>
      <w:r w:rsidRPr="00271E51">
        <w:rPr>
          <w:rFonts w:ascii="Times New Roman" w:hAnsi="Times New Roman"/>
          <w:color w:val="000000" w:themeColor="text1"/>
          <w:sz w:val="16"/>
          <w:szCs w:val="16"/>
        </w:rPr>
        <w:softHyphen/>
        <w:t>душной армии. По данным авиаразвед</w:t>
      </w:r>
      <w:r w:rsidRPr="00271E51">
        <w:rPr>
          <w:rFonts w:ascii="Times New Roman" w:hAnsi="Times New Roman"/>
          <w:color w:val="000000" w:themeColor="text1"/>
          <w:sz w:val="16"/>
          <w:szCs w:val="16"/>
        </w:rPr>
        <w:softHyphen/>
        <w:t>ки на аэродроме находилось до 150 не</w:t>
      </w:r>
      <w:r w:rsidRPr="00271E51">
        <w:rPr>
          <w:rFonts w:ascii="Times New Roman" w:hAnsi="Times New Roman"/>
          <w:color w:val="000000" w:themeColor="text1"/>
          <w:sz w:val="16"/>
          <w:szCs w:val="16"/>
        </w:rPr>
        <w:softHyphen/>
        <w:t>мецких самолетов. Аэродром прикры</w:t>
      </w:r>
      <w:r w:rsidRPr="00271E51">
        <w:rPr>
          <w:rFonts w:ascii="Times New Roman" w:hAnsi="Times New Roman"/>
          <w:color w:val="000000" w:themeColor="text1"/>
          <w:sz w:val="16"/>
          <w:szCs w:val="16"/>
        </w:rPr>
        <w:softHyphen/>
        <w:t>вался 6 батареями зенитной артилле</w:t>
      </w:r>
      <w:r w:rsidRPr="00271E51">
        <w:rPr>
          <w:rFonts w:ascii="Times New Roman" w:hAnsi="Times New Roman"/>
          <w:color w:val="000000" w:themeColor="text1"/>
          <w:sz w:val="16"/>
          <w:szCs w:val="16"/>
        </w:rPr>
        <w:softHyphen/>
        <w:t>рии. В светлое время на аэродроме все</w:t>
      </w:r>
      <w:r w:rsidRPr="00271E51">
        <w:rPr>
          <w:rFonts w:ascii="Times New Roman" w:hAnsi="Times New Roman"/>
          <w:color w:val="000000" w:themeColor="text1"/>
          <w:sz w:val="16"/>
          <w:szCs w:val="16"/>
        </w:rPr>
        <w:softHyphen/>
        <w:t>гда находилась готовая к вылету дежур</w:t>
      </w:r>
      <w:r w:rsidRPr="00271E51">
        <w:rPr>
          <w:rFonts w:ascii="Times New Roman" w:hAnsi="Times New Roman"/>
          <w:color w:val="000000" w:themeColor="text1"/>
          <w:sz w:val="16"/>
          <w:szCs w:val="16"/>
        </w:rPr>
        <w:softHyphen/>
        <w:t>ная группа истребителей. Бомбоштурмовой удар предполагалось нанести силами 16 Ил-2 в составе двух групп по 8 машин в каждой. Ведущим двух групп, он же ведущий первой группы, был на</w:t>
      </w:r>
      <w:r w:rsidRPr="00271E51">
        <w:rPr>
          <w:rFonts w:ascii="Times New Roman" w:hAnsi="Times New Roman"/>
          <w:color w:val="000000" w:themeColor="text1"/>
          <w:sz w:val="16"/>
          <w:szCs w:val="16"/>
        </w:rPr>
        <w:softHyphen/>
        <w:t>значен командир эскадрильи к-н Г.Я. Цыганков, ведущим второй группы - за</w:t>
      </w:r>
      <w:r w:rsidRPr="00271E51">
        <w:rPr>
          <w:rFonts w:ascii="Times New Roman" w:hAnsi="Times New Roman"/>
          <w:color w:val="000000" w:themeColor="text1"/>
          <w:sz w:val="16"/>
          <w:szCs w:val="16"/>
        </w:rPr>
        <w:softHyphen/>
        <w:t>меститель командира полка м-р Г.М.Карбинский.</w:t>
      </w:r>
    </w:p>
    <w:p w14:paraId="5C3705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группа "Илов" должна была атаковать немецкие самолеты с высоты 1000-1200 м, а следующая за ней вторая группа - с бреющего полета. Предпо</w:t>
      </w:r>
      <w:r w:rsidRPr="00271E51">
        <w:rPr>
          <w:rFonts w:ascii="Times New Roman" w:hAnsi="Times New Roman"/>
          <w:color w:val="000000" w:themeColor="text1"/>
          <w:sz w:val="16"/>
          <w:szCs w:val="16"/>
        </w:rPr>
        <w:softHyphen/>
        <w:t>лагалось, что в этом случае система ПВО аэродрома будет дезориентирована и ее огонь будет не эффективным.</w:t>
      </w:r>
    </w:p>
    <w:p w14:paraId="45EC6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загрузка Ил-2 состояла из 500 кг фугасных и осколочных бомб, 4-6 РС-132 и полного боекомплекта к пушкам и пулеметам.</w:t>
      </w:r>
    </w:p>
    <w:p w14:paraId="1991E0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Штурмовиков прикрывали 10 Ла-5 из 31-го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295-й </w:t>
      </w:r>
      <w:r w:rsidRPr="00271E51">
        <w:rPr>
          <w:rFonts w:ascii="Times New Roman" w:hAnsi="Times New Roman"/>
          <w:iCs/>
          <w:color w:val="000000" w:themeColor="text1"/>
          <w:sz w:val="16"/>
          <w:szCs w:val="16"/>
        </w:rPr>
        <w:t>иад,</w:t>
      </w:r>
      <w:r w:rsidRPr="00271E51">
        <w:rPr>
          <w:rFonts w:ascii="Times New Roman" w:hAnsi="Times New Roman"/>
          <w:color w:val="000000" w:themeColor="text1"/>
          <w:sz w:val="16"/>
          <w:szCs w:val="16"/>
        </w:rPr>
        <w:t xml:space="preserve"> две пары которых должны были за 3 минуты до подхода штурмовиков к аэродрому выйти впе</w:t>
      </w:r>
      <w:r w:rsidRPr="00271E51">
        <w:rPr>
          <w:rFonts w:ascii="Times New Roman" w:hAnsi="Times New Roman"/>
          <w:color w:val="000000" w:themeColor="text1"/>
          <w:sz w:val="16"/>
          <w:szCs w:val="16"/>
        </w:rPr>
        <w:softHyphen/>
        <w:t>ред и блокировать аэродром.</w:t>
      </w:r>
    </w:p>
    <w:p w14:paraId="0C5334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до линии фронта выполнялся на высоте 400 м, затем на подходе к аэро</w:t>
      </w:r>
      <w:r w:rsidRPr="00271E51">
        <w:rPr>
          <w:rFonts w:ascii="Times New Roman" w:hAnsi="Times New Roman"/>
          <w:color w:val="000000" w:themeColor="text1"/>
          <w:sz w:val="16"/>
          <w:szCs w:val="16"/>
        </w:rPr>
        <w:softHyphen/>
        <w:t>дрому первая группа набирала необхо</w:t>
      </w:r>
      <w:r w:rsidRPr="00271E51">
        <w:rPr>
          <w:rFonts w:ascii="Times New Roman" w:hAnsi="Times New Roman"/>
          <w:color w:val="000000" w:themeColor="text1"/>
          <w:sz w:val="16"/>
          <w:szCs w:val="16"/>
        </w:rPr>
        <w:softHyphen/>
        <w:t>димую для атаки высоту, а вторая - сни</w:t>
      </w:r>
      <w:r w:rsidRPr="00271E51">
        <w:rPr>
          <w:rFonts w:ascii="Times New Roman" w:hAnsi="Times New Roman"/>
          <w:color w:val="000000" w:themeColor="text1"/>
          <w:sz w:val="16"/>
          <w:szCs w:val="16"/>
        </w:rPr>
        <w:softHyphen/>
        <w:t>жалась до бреющего. Выход в эфир до пересечения линии фронта категоричес</w:t>
      </w:r>
      <w:r w:rsidRPr="00271E51">
        <w:rPr>
          <w:rFonts w:ascii="Times New Roman" w:hAnsi="Times New Roman"/>
          <w:color w:val="000000" w:themeColor="text1"/>
          <w:sz w:val="16"/>
          <w:szCs w:val="16"/>
        </w:rPr>
        <w:softHyphen/>
        <w:t>ки запрещался, радиосвязь - только на прием.</w:t>
      </w:r>
    </w:p>
    <w:p w14:paraId="6F133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Казалось бы, сделано все для обес</w:t>
      </w:r>
      <w:r w:rsidRPr="00271E51">
        <w:rPr>
          <w:rFonts w:ascii="Times New Roman" w:hAnsi="Times New Roman"/>
          <w:color w:val="000000" w:themeColor="text1"/>
          <w:sz w:val="16"/>
          <w:szCs w:val="16"/>
        </w:rPr>
        <w:softHyphen/>
        <w:t>печения скрытности удара, но судьба распорядилась иначе. Подлетая к линии фронта, "Илы" и "Лавочкины" встретили несколько групп Не 111Н и Bf 109G, ко</w:t>
      </w:r>
      <w:r w:rsidRPr="00271E51">
        <w:rPr>
          <w:rFonts w:ascii="Times New Roman" w:hAnsi="Times New Roman"/>
          <w:color w:val="000000" w:themeColor="text1"/>
          <w:sz w:val="16"/>
          <w:szCs w:val="16"/>
        </w:rPr>
        <w:softHyphen/>
        <w:t xml:space="preserve">торые летели для нанесения бомбовых ударов по войскам Красной Армии. Ни советские летчики, ни экипажи Люфтваффе в бой не вступали. Каждый решал свою задачу. Однако было совершенно очевидно, что и внезапного налета на аэродром Основа не будет. Наверное, командованию 237-го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или ведуще</w:t>
      </w:r>
      <w:r w:rsidRPr="00271E51">
        <w:rPr>
          <w:rFonts w:ascii="Times New Roman" w:hAnsi="Times New Roman"/>
          <w:color w:val="000000" w:themeColor="text1"/>
          <w:sz w:val="16"/>
          <w:szCs w:val="16"/>
        </w:rPr>
        <w:softHyphen/>
        <w:t>му группы следовало бы прекратить вы</w:t>
      </w:r>
      <w:r w:rsidRPr="00271E51">
        <w:rPr>
          <w:rFonts w:ascii="Times New Roman" w:hAnsi="Times New Roman"/>
          <w:color w:val="000000" w:themeColor="text1"/>
          <w:sz w:val="16"/>
          <w:szCs w:val="16"/>
        </w:rPr>
        <w:softHyphen/>
        <w:t>полнение поставленной боевой задачи и ударить по запасной цели на линии фронта, но этого не случилось...</w:t>
      </w:r>
    </w:p>
    <w:p w14:paraId="4F8238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рубеже Старый Салтов немцы встретили советские штурмовики хоро</w:t>
      </w:r>
      <w:r w:rsidRPr="00271E51">
        <w:rPr>
          <w:rFonts w:ascii="Times New Roman" w:hAnsi="Times New Roman"/>
          <w:color w:val="000000" w:themeColor="text1"/>
          <w:sz w:val="16"/>
          <w:szCs w:val="16"/>
        </w:rPr>
        <w:softHyphen/>
        <w:t>шо организованным трех-четырех слойным зенитным огнем, а около 10 Bf 109G атаковали Ла-5. На высоте 1500 м завя</w:t>
      </w:r>
      <w:r w:rsidRPr="00271E51">
        <w:rPr>
          <w:rFonts w:ascii="Times New Roman" w:hAnsi="Times New Roman"/>
          <w:color w:val="000000" w:themeColor="text1"/>
          <w:sz w:val="16"/>
          <w:szCs w:val="16"/>
        </w:rPr>
        <w:softHyphen/>
        <w:t>зался воздушный бой. В результате обе группы Ил-2 оказались без прикрытия и пошли к цели самостоятельно. Выделен</w:t>
      </w:r>
      <w:r w:rsidRPr="00271E51">
        <w:rPr>
          <w:rFonts w:ascii="Times New Roman" w:hAnsi="Times New Roman"/>
          <w:color w:val="000000" w:themeColor="text1"/>
          <w:sz w:val="16"/>
          <w:szCs w:val="16"/>
        </w:rPr>
        <w:softHyphen/>
        <w:t>ная для блокирования аэродрома груп</w:t>
      </w:r>
      <w:r w:rsidRPr="00271E51">
        <w:rPr>
          <w:rFonts w:ascii="Times New Roman" w:hAnsi="Times New Roman"/>
          <w:color w:val="000000" w:themeColor="text1"/>
          <w:sz w:val="16"/>
          <w:szCs w:val="16"/>
        </w:rPr>
        <w:softHyphen/>
        <w:t>па Ла-5 к этому времени также была связана боем с немецкими истребите</w:t>
      </w:r>
      <w:r w:rsidRPr="00271E51">
        <w:rPr>
          <w:rFonts w:ascii="Times New Roman" w:hAnsi="Times New Roman"/>
          <w:color w:val="000000" w:themeColor="text1"/>
          <w:sz w:val="16"/>
          <w:szCs w:val="16"/>
        </w:rPr>
        <w:softHyphen/>
        <w:t>лями и прикрыть штурмовики над це</w:t>
      </w:r>
      <w:r w:rsidRPr="00271E51">
        <w:rPr>
          <w:rFonts w:ascii="Times New Roman" w:hAnsi="Times New Roman"/>
          <w:color w:val="000000" w:themeColor="text1"/>
          <w:sz w:val="16"/>
          <w:szCs w:val="16"/>
        </w:rPr>
        <w:softHyphen/>
        <w:t>лью не могла.</w:t>
      </w:r>
    </w:p>
    <w:p w14:paraId="51CF4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подходе к аэродрому Основа Ил-2 были перехвачены примерно 20 Bf109G, которые парами и четверками атакова</w:t>
      </w:r>
      <w:r w:rsidRPr="00271E51">
        <w:rPr>
          <w:rFonts w:ascii="Times New Roman" w:hAnsi="Times New Roman"/>
          <w:color w:val="000000" w:themeColor="text1"/>
          <w:sz w:val="16"/>
          <w:szCs w:val="16"/>
        </w:rPr>
        <w:softHyphen/>
        <w:t>ли (со стороны задней полусферы од</w:t>
      </w:r>
      <w:r w:rsidRPr="00271E51">
        <w:rPr>
          <w:rFonts w:ascii="Times New Roman" w:hAnsi="Times New Roman"/>
          <w:color w:val="000000" w:themeColor="text1"/>
          <w:sz w:val="16"/>
          <w:szCs w:val="16"/>
        </w:rPr>
        <w:softHyphen/>
        <w:t>новременно сверху и снизу) отдельные штурмовики (главным образом отстав</w:t>
      </w:r>
      <w:r w:rsidRPr="00271E51">
        <w:rPr>
          <w:rFonts w:ascii="Times New Roman" w:hAnsi="Times New Roman"/>
          <w:color w:val="000000" w:themeColor="text1"/>
          <w:sz w:val="16"/>
          <w:szCs w:val="16"/>
        </w:rPr>
        <w:softHyphen/>
        <w:t>шие) группы Цыганкова, шедшей первой. В первые же минуты боя были сбиты младшие лейтенанты Городников (воз</w:t>
      </w:r>
      <w:r w:rsidRPr="00271E51">
        <w:rPr>
          <w:rFonts w:ascii="Times New Roman" w:hAnsi="Times New Roman"/>
          <w:color w:val="000000" w:themeColor="text1"/>
          <w:sz w:val="16"/>
          <w:szCs w:val="16"/>
        </w:rPr>
        <w:softHyphen/>
        <w:t>душный стрелок с-т Новицкий), Быков (без воздушного стрелка), Трусков (воз</w:t>
      </w:r>
      <w:r w:rsidRPr="00271E51">
        <w:rPr>
          <w:rFonts w:ascii="Times New Roman" w:hAnsi="Times New Roman"/>
          <w:color w:val="000000" w:themeColor="text1"/>
          <w:sz w:val="16"/>
          <w:szCs w:val="16"/>
        </w:rPr>
        <w:softHyphen/>
        <w:t>душный стрелок с-т Зорин) и Русакевич. Огневое взаимодействие в группе нарушилось. К аэродрому пробиться все же удалось. Однако вместо обещанных разведкой 150 самолетов на аэродроме экипажи обнаружили лишь две неболь</w:t>
      </w:r>
      <w:r w:rsidRPr="00271E51">
        <w:rPr>
          <w:rFonts w:ascii="Times New Roman" w:hAnsi="Times New Roman"/>
          <w:color w:val="000000" w:themeColor="text1"/>
          <w:sz w:val="16"/>
          <w:szCs w:val="16"/>
        </w:rPr>
        <w:softHyphen/>
        <w:t>шие группы немецких машин: одна по</w:t>
      </w:r>
      <w:r w:rsidRPr="00271E51">
        <w:rPr>
          <w:rFonts w:ascii="Times New Roman" w:hAnsi="Times New Roman"/>
          <w:color w:val="000000" w:themeColor="text1"/>
          <w:sz w:val="16"/>
          <w:szCs w:val="16"/>
        </w:rPr>
        <w:softHyphen/>
        <w:t>меньше - на старте и вторая побольше - на северо-восточной окраине аэродро</w:t>
      </w:r>
      <w:r w:rsidRPr="00271E51">
        <w:rPr>
          <w:rFonts w:ascii="Times New Roman" w:hAnsi="Times New Roman"/>
          <w:color w:val="000000" w:themeColor="text1"/>
          <w:sz w:val="16"/>
          <w:szCs w:val="16"/>
        </w:rPr>
        <w:softHyphen/>
        <w:t>ма. Одна пара Ил-2 ударила по первой группе, а другая пара - по второй груп</w:t>
      </w:r>
      <w:r w:rsidRPr="00271E51">
        <w:rPr>
          <w:rFonts w:ascii="Times New Roman" w:hAnsi="Times New Roman"/>
          <w:color w:val="000000" w:themeColor="text1"/>
          <w:sz w:val="16"/>
          <w:szCs w:val="16"/>
        </w:rPr>
        <w:softHyphen/>
        <w:t>пе немецких самолетов. Каждая пара штурмовиков бомбила и обстреливала свои цели самостоятельно. В результа</w:t>
      </w:r>
      <w:r w:rsidRPr="00271E51">
        <w:rPr>
          <w:rFonts w:ascii="Times New Roman" w:hAnsi="Times New Roman"/>
          <w:color w:val="000000" w:themeColor="text1"/>
          <w:sz w:val="16"/>
          <w:szCs w:val="16"/>
        </w:rPr>
        <w:softHyphen/>
        <w:t>те удара несколько немецких самолетов загорелись. Во время атаки огнем МЗА был поврежден самолет ведущего груп</w:t>
      </w:r>
      <w:r w:rsidRPr="00271E51">
        <w:rPr>
          <w:rFonts w:ascii="Times New Roman" w:hAnsi="Times New Roman"/>
          <w:color w:val="000000" w:themeColor="text1"/>
          <w:sz w:val="16"/>
          <w:szCs w:val="16"/>
        </w:rPr>
        <w:softHyphen/>
        <w:t>пы к-на Цыганкова (сел на вынужден</w:t>
      </w:r>
      <w:r w:rsidRPr="00271E51">
        <w:rPr>
          <w:rFonts w:ascii="Times New Roman" w:hAnsi="Times New Roman"/>
          <w:color w:val="000000" w:themeColor="text1"/>
          <w:sz w:val="16"/>
          <w:szCs w:val="16"/>
        </w:rPr>
        <w:softHyphen/>
        <w:t>ную в 5 км от аэродрома Основа). Ос</w:t>
      </w:r>
      <w:r w:rsidRPr="00271E51">
        <w:rPr>
          <w:rFonts w:ascii="Times New Roman" w:hAnsi="Times New Roman"/>
          <w:color w:val="000000" w:themeColor="text1"/>
          <w:sz w:val="16"/>
          <w:szCs w:val="16"/>
        </w:rPr>
        <w:softHyphen/>
        <w:t>тавшиеся штурмовики выходили из ата</w:t>
      </w:r>
      <w:r w:rsidRPr="00271E51">
        <w:rPr>
          <w:rFonts w:ascii="Times New Roman" w:hAnsi="Times New Roman"/>
          <w:color w:val="000000" w:themeColor="text1"/>
          <w:sz w:val="16"/>
          <w:szCs w:val="16"/>
        </w:rPr>
        <w:softHyphen/>
        <w:t>ки разрозненно и безо всякого огнево</w:t>
      </w:r>
      <w:r w:rsidRPr="00271E51">
        <w:rPr>
          <w:rFonts w:ascii="Times New Roman" w:hAnsi="Times New Roman"/>
          <w:color w:val="000000" w:themeColor="text1"/>
          <w:sz w:val="16"/>
          <w:szCs w:val="16"/>
        </w:rPr>
        <w:softHyphen/>
        <w:t>го взаимодействия, вследствие чего "Илы" младших лейтенантов Малышева и Кралина были сбиты "мессершмиттами". Самолеты упали в районе цели...</w:t>
      </w:r>
    </w:p>
    <w:p w14:paraId="18BE0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м-ра Карбинского вышла к цели в полном составе и парами атако</w:t>
      </w:r>
      <w:r w:rsidRPr="00271E51">
        <w:rPr>
          <w:rFonts w:ascii="Times New Roman" w:hAnsi="Times New Roman"/>
          <w:color w:val="000000" w:themeColor="text1"/>
          <w:sz w:val="16"/>
          <w:szCs w:val="16"/>
        </w:rPr>
        <w:softHyphen/>
        <w:t>вала немецкие самолеты на северо-во</w:t>
      </w:r>
      <w:r w:rsidRPr="00271E51">
        <w:rPr>
          <w:rFonts w:ascii="Times New Roman" w:hAnsi="Times New Roman"/>
          <w:color w:val="000000" w:themeColor="text1"/>
          <w:sz w:val="16"/>
          <w:szCs w:val="16"/>
        </w:rPr>
        <w:softHyphen/>
        <w:t>сточной окраине. Во время и на выходе из атаки огнем МЗА были сбиты Ил-2 м-ра Карбинского (воздушный стрелок с-т Рушенцев) и мл. лейтенантов Собо</w:t>
      </w:r>
      <w:r w:rsidRPr="00271E51">
        <w:rPr>
          <w:rFonts w:ascii="Times New Roman" w:hAnsi="Times New Roman"/>
          <w:color w:val="000000" w:themeColor="text1"/>
          <w:sz w:val="16"/>
          <w:szCs w:val="16"/>
        </w:rPr>
        <w:softHyphen/>
        <w:t>лева (воздушный стрелок с-т Клевковский) и Балабанова (без воздушного стрелка). Самолеты командира эскадри</w:t>
      </w:r>
      <w:r w:rsidRPr="00271E51">
        <w:rPr>
          <w:rFonts w:ascii="Times New Roman" w:hAnsi="Times New Roman"/>
          <w:color w:val="000000" w:themeColor="text1"/>
          <w:sz w:val="16"/>
          <w:szCs w:val="16"/>
        </w:rPr>
        <w:softHyphen/>
        <w:t>льи капитана Силенберга и комзвена мл. л-та Шмидта были сбиты Bf 109-ми на отходе от цели и места их падения ник</w:t>
      </w:r>
      <w:r w:rsidRPr="00271E51">
        <w:rPr>
          <w:rFonts w:ascii="Times New Roman" w:hAnsi="Times New Roman"/>
          <w:color w:val="000000" w:themeColor="text1"/>
          <w:sz w:val="16"/>
          <w:szCs w:val="16"/>
        </w:rPr>
        <w:softHyphen/>
        <w:t>то не наблюдал.</w:t>
      </w:r>
    </w:p>
    <w:p w14:paraId="4CEBD2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свой аэродром (Покровское) на изрешеченном самолете вернулся лишь экипаж ст.л-та К.Шакурского. По вос</w:t>
      </w:r>
      <w:r w:rsidRPr="00271E51">
        <w:rPr>
          <w:rFonts w:ascii="Times New Roman" w:hAnsi="Times New Roman"/>
          <w:color w:val="000000" w:themeColor="text1"/>
          <w:sz w:val="16"/>
          <w:szCs w:val="16"/>
        </w:rPr>
        <w:softHyphen/>
        <w:t>поминаниям очевидцев, старший лейте</w:t>
      </w:r>
      <w:r w:rsidRPr="00271E51">
        <w:rPr>
          <w:rFonts w:ascii="Times New Roman" w:hAnsi="Times New Roman"/>
          <w:color w:val="000000" w:themeColor="text1"/>
          <w:sz w:val="16"/>
          <w:szCs w:val="16"/>
        </w:rPr>
        <w:softHyphen/>
        <w:t>нант долго плакал в кабине, а воздуш</w:t>
      </w:r>
      <w:r w:rsidRPr="00271E51">
        <w:rPr>
          <w:rFonts w:ascii="Times New Roman" w:hAnsi="Times New Roman"/>
          <w:color w:val="000000" w:themeColor="text1"/>
          <w:sz w:val="16"/>
          <w:szCs w:val="16"/>
        </w:rPr>
        <w:softHyphen/>
        <w:t>ный стрелок с-т Черняк от перенапря</w:t>
      </w:r>
      <w:r w:rsidRPr="00271E51">
        <w:rPr>
          <w:rFonts w:ascii="Times New Roman" w:hAnsi="Times New Roman"/>
          <w:color w:val="000000" w:themeColor="text1"/>
          <w:sz w:val="16"/>
          <w:szCs w:val="16"/>
        </w:rPr>
        <w:softHyphen/>
        <w:t>жения никак не мог освободиться от парашюта. Это был их первый боевой вылет. Лейтенант И.Данильченко (воз</w:t>
      </w:r>
      <w:r w:rsidRPr="00271E51">
        <w:rPr>
          <w:rFonts w:ascii="Times New Roman" w:hAnsi="Times New Roman"/>
          <w:color w:val="000000" w:themeColor="text1"/>
          <w:sz w:val="16"/>
          <w:szCs w:val="16"/>
        </w:rPr>
        <w:softHyphen/>
        <w:t>душный стрелок с-т Зайков) на повреж</w:t>
      </w:r>
      <w:r w:rsidRPr="00271E51">
        <w:rPr>
          <w:rFonts w:ascii="Times New Roman" w:hAnsi="Times New Roman"/>
          <w:color w:val="000000" w:themeColor="text1"/>
          <w:sz w:val="16"/>
          <w:szCs w:val="16"/>
        </w:rPr>
        <w:softHyphen/>
        <w:t>денном Ил-2 сел на соседнем аэродро</w:t>
      </w:r>
      <w:r w:rsidRPr="00271E51">
        <w:rPr>
          <w:rFonts w:ascii="Times New Roman" w:hAnsi="Times New Roman"/>
          <w:color w:val="000000" w:themeColor="text1"/>
          <w:sz w:val="16"/>
          <w:szCs w:val="16"/>
        </w:rPr>
        <w:softHyphen/>
        <w:t>ме в Уразово и после дозаправки и мел</w:t>
      </w:r>
      <w:r w:rsidRPr="00271E51">
        <w:rPr>
          <w:rFonts w:ascii="Times New Roman" w:hAnsi="Times New Roman"/>
          <w:color w:val="000000" w:themeColor="text1"/>
          <w:sz w:val="16"/>
          <w:szCs w:val="16"/>
        </w:rPr>
        <w:softHyphen/>
        <w:t>кого ремонта перелетел на свой аэро</w:t>
      </w:r>
      <w:r w:rsidRPr="00271E51">
        <w:rPr>
          <w:rFonts w:ascii="Times New Roman" w:hAnsi="Times New Roman"/>
          <w:color w:val="000000" w:themeColor="text1"/>
          <w:sz w:val="16"/>
          <w:szCs w:val="16"/>
        </w:rPr>
        <w:softHyphen/>
        <w:t>дром. Его "Ил" имел большие и малые повреждения. Данильченко доложил, что наблюдал на аэродроме Основа, до 17 горящих немецких самолетов на севе</w:t>
      </w:r>
      <w:r w:rsidRPr="00271E51">
        <w:rPr>
          <w:rFonts w:ascii="Times New Roman" w:hAnsi="Times New Roman"/>
          <w:color w:val="000000" w:themeColor="text1"/>
          <w:sz w:val="16"/>
          <w:szCs w:val="16"/>
        </w:rPr>
        <w:softHyphen/>
        <w:t>ро-восточной окраине, где последние стояли скученно. Позже вернулись сби</w:t>
      </w:r>
      <w:r w:rsidRPr="00271E51">
        <w:rPr>
          <w:rFonts w:ascii="Times New Roman" w:hAnsi="Times New Roman"/>
          <w:color w:val="000000" w:themeColor="text1"/>
          <w:sz w:val="16"/>
          <w:szCs w:val="16"/>
        </w:rPr>
        <w:softHyphen/>
        <w:t>тые над аэродромом к-н Цыганков, мл. л-т Трусков вместе со своим воздуш</w:t>
      </w:r>
      <w:r w:rsidRPr="00271E51">
        <w:rPr>
          <w:rFonts w:ascii="Times New Roman" w:hAnsi="Times New Roman"/>
          <w:color w:val="000000" w:themeColor="text1"/>
          <w:sz w:val="16"/>
          <w:szCs w:val="16"/>
        </w:rPr>
        <w:softHyphen/>
        <w:t>ным стрелком сержантом Зориным (в бою ранен в руку) и мл. л-т Соболев (попал в плен, но вскоре освобожден).</w:t>
      </w:r>
    </w:p>
    <w:p w14:paraId="0DF0A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общие потери, поне</w:t>
      </w:r>
      <w:r w:rsidRPr="00271E51">
        <w:rPr>
          <w:rFonts w:ascii="Times New Roman" w:hAnsi="Times New Roman"/>
          <w:color w:val="000000" w:themeColor="text1"/>
          <w:sz w:val="16"/>
          <w:szCs w:val="16"/>
        </w:rPr>
        <w:softHyphen/>
        <w:t>сенные 237-м штурмовым авиаполком в ударе по аэродрому Основа составили: 13 самолетов, 10 летчиков и 11 воздуш</w:t>
      </w:r>
      <w:r w:rsidRPr="00271E51">
        <w:rPr>
          <w:rFonts w:ascii="Times New Roman" w:hAnsi="Times New Roman"/>
          <w:color w:val="000000" w:themeColor="text1"/>
          <w:sz w:val="16"/>
          <w:szCs w:val="16"/>
        </w:rPr>
        <w:softHyphen/>
        <w:t>ных стрелков. Из них 9 Ил-2 потеряны от воздействия истребительной авиации противника и 4 машины - от огня зе</w:t>
      </w:r>
      <w:r w:rsidRPr="00271E51">
        <w:rPr>
          <w:rFonts w:ascii="Times New Roman" w:hAnsi="Times New Roman"/>
          <w:color w:val="000000" w:themeColor="text1"/>
          <w:sz w:val="16"/>
          <w:szCs w:val="16"/>
        </w:rPr>
        <w:softHyphen/>
        <w:t>нитной артиллерии. При этом, в первой группе штурмовиков (группа Цыганкова) из 8 машин 6 Ил-2 были сбиты истре</w:t>
      </w:r>
      <w:r w:rsidRPr="00271E51">
        <w:rPr>
          <w:rFonts w:ascii="Times New Roman" w:hAnsi="Times New Roman"/>
          <w:color w:val="000000" w:themeColor="text1"/>
          <w:sz w:val="16"/>
          <w:szCs w:val="16"/>
        </w:rPr>
        <w:softHyphen/>
        <w:t>бителями Люфтваффе и только 1 Ил-2 сбит немецкими зенитчиками. Во вто</w:t>
      </w:r>
      <w:r w:rsidRPr="00271E51">
        <w:rPr>
          <w:rFonts w:ascii="Times New Roman" w:hAnsi="Times New Roman"/>
          <w:color w:val="000000" w:themeColor="text1"/>
          <w:sz w:val="16"/>
          <w:szCs w:val="16"/>
        </w:rPr>
        <w:softHyphen/>
        <w:t>рой группе (группа Карбинского) 3 са</w:t>
      </w:r>
      <w:r w:rsidRPr="00271E51">
        <w:rPr>
          <w:rFonts w:ascii="Times New Roman" w:hAnsi="Times New Roman"/>
          <w:color w:val="000000" w:themeColor="text1"/>
          <w:sz w:val="16"/>
          <w:szCs w:val="16"/>
        </w:rPr>
        <w:softHyphen/>
        <w:t>молета сбиты зенитной артиллерией и 3 "Ила" - истребителями.</w:t>
      </w:r>
    </w:p>
    <w:p w14:paraId="63671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Воздушный бой истребителей 31-го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закончился в пользу советских лет</w:t>
      </w:r>
      <w:r w:rsidRPr="00271E51">
        <w:rPr>
          <w:rFonts w:ascii="Times New Roman" w:hAnsi="Times New Roman"/>
          <w:color w:val="000000" w:themeColor="text1"/>
          <w:sz w:val="16"/>
          <w:szCs w:val="16"/>
        </w:rPr>
        <w:softHyphen/>
        <w:t>чиков. Два Bf109G записал на свой счет л-т Горбинов и по одному "мессершмитту" сбили комполка м-р П.Ф.Муташев и л-т П.И.Якубовский. Своих потерь полк не имел.</w:t>
      </w:r>
    </w:p>
    <w:p w14:paraId="042C7B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показывает, что причинами случившегося являются как плохая под</w:t>
      </w:r>
      <w:r w:rsidRPr="00271E51">
        <w:rPr>
          <w:rFonts w:ascii="Times New Roman" w:hAnsi="Times New Roman"/>
          <w:color w:val="000000" w:themeColor="text1"/>
          <w:sz w:val="16"/>
          <w:szCs w:val="16"/>
        </w:rPr>
        <w:softHyphen/>
        <w:t>готовка летного состава к ведению бое</w:t>
      </w:r>
      <w:r w:rsidRPr="00271E51">
        <w:rPr>
          <w:rFonts w:ascii="Times New Roman" w:hAnsi="Times New Roman"/>
          <w:color w:val="000000" w:themeColor="text1"/>
          <w:sz w:val="16"/>
          <w:szCs w:val="16"/>
        </w:rPr>
        <w:softHyphen/>
        <w:t>вых действий в составе групп самоле</w:t>
      </w:r>
      <w:r w:rsidRPr="00271E51">
        <w:rPr>
          <w:rFonts w:ascii="Times New Roman" w:hAnsi="Times New Roman"/>
          <w:color w:val="000000" w:themeColor="text1"/>
          <w:sz w:val="16"/>
          <w:szCs w:val="16"/>
        </w:rPr>
        <w:softHyphen/>
        <w:t>тов, так и плохое планирование боевого вылета групп полка со стороны коман</w:t>
      </w:r>
      <w:r w:rsidRPr="00271E51">
        <w:rPr>
          <w:rFonts w:ascii="Times New Roman" w:hAnsi="Times New Roman"/>
          <w:color w:val="000000" w:themeColor="text1"/>
          <w:sz w:val="16"/>
          <w:szCs w:val="16"/>
        </w:rPr>
        <w:softHyphen/>
        <w:t xml:space="preserve">дования 305-й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(командир - п-к Н.Г.Михевичев) и 9-го </w:t>
      </w:r>
      <w:r w:rsidRPr="00271E51">
        <w:rPr>
          <w:rFonts w:ascii="Times New Roman" w:hAnsi="Times New Roman"/>
          <w:iCs/>
          <w:color w:val="000000" w:themeColor="text1"/>
          <w:sz w:val="16"/>
          <w:szCs w:val="16"/>
        </w:rPr>
        <w:t>сак</w:t>
      </w:r>
      <w:r w:rsidRPr="00271E51">
        <w:rPr>
          <w:rFonts w:ascii="Times New Roman" w:hAnsi="Times New Roman"/>
          <w:color w:val="000000" w:themeColor="text1"/>
          <w:sz w:val="16"/>
          <w:szCs w:val="16"/>
        </w:rPr>
        <w:t xml:space="preserve"> (командир -генерал-майор О.В.Толстиков).</w:t>
      </w:r>
    </w:p>
    <w:p w14:paraId="399C03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Летный состав 237-й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по сути, не был готов к выполнению такой сложной боевой задачи, как удар по аэродрому противника. Летчики полка были обуче</w:t>
      </w:r>
      <w:r w:rsidRPr="00271E51">
        <w:rPr>
          <w:rFonts w:ascii="Times New Roman" w:hAnsi="Times New Roman"/>
          <w:color w:val="000000" w:themeColor="text1"/>
          <w:sz w:val="16"/>
          <w:szCs w:val="16"/>
        </w:rPr>
        <w:softHyphen/>
        <w:t>ны боевым действиям лишь в составе пар самолетов. Боевой опыт на Ил-2 из всего полка имели только два пилота -к-н Цыганков и м-р Карбинский, один боевой вылет был у мл. л-та Дъяченко. Много воевал лейтенант Данильченко, но на У-2. Остальные летчики полка и воз</w:t>
      </w:r>
      <w:r w:rsidRPr="00271E51">
        <w:rPr>
          <w:rFonts w:ascii="Times New Roman" w:hAnsi="Times New Roman"/>
          <w:color w:val="000000" w:themeColor="text1"/>
          <w:sz w:val="16"/>
          <w:szCs w:val="16"/>
        </w:rPr>
        <w:softHyphen/>
        <w:t>душные стрелки 5 июля выполняли свой первый боевой вылет.</w:t>
      </w:r>
    </w:p>
    <w:p w14:paraId="313D3B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Собственно, во всем корпусе только 672-й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из 306-й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имел боевой опыт. Другие полки хотя и участвовали в боях в 1941-42 гг., но из-за потерь и полной замены личного состава боево</w:t>
      </w:r>
      <w:r w:rsidRPr="00271E51">
        <w:rPr>
          <w:rFonts w:ascii="Times New Roman" w:hAnsi="Times New Roman"/>
          <w:color w:val="000000" w:themeColor="text1"/>
          <w:sz w:val="16"/>
          <w:szCs w:val="16"/>
        </w:rPr>
        <w:softHyphen/>
        <w:t xml:space="preserve">го опыта не имели. Молодежь 305-й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 xml:space="preserve">за время учебы в 1-й </w:t>
      </w:r>
      <w:r w:rsidRPr="00271E51">
        <w:rPr>
          <w:rFonts w:ascii="Times New Roman" w:hAnsi="Times New Roman"/>
          <w:iCs/>
          <w:color w:val="000000" w:themeColor="text1"/>
          <w:sz w:val="16"/>
          <w:szCs w:val="16"/>
        </w:rPr>
        <w:t>заб</w:t>
      </w:r>
      <w:r w:rsidRPr="00271E51">
        <w:rPr>
          <w:rFonts w:ascii="Times New Roman" w:hAnsi="Times New Roman"/>
          <w:color w:val="000000" w:themeColor="text1"/>
          <w:sz w:val="16"/>
          <w:szCs w:val="16"/>
        </w:rPr>
        <w:t xml:space="preserve"> не выполнила в полном объеме 2-й раздел програм</w:t>
      </w:r>
      <w:r w:rsidRPr="00271E51">
        <w:rPr>
          <w:rFonts w:ascii="Times New Roman" w:hAnsi="Times New Roman"/>
          <w:color w:val="000000" w:themeColor="text1"/>
          <w:sz w:val="16"/>
          <w:szCs w:val="16"/>
        </w:rPr>
        <w:softHyphen/>
        <w:t>мы боевой подготовки - боевое приме</w:t>
      </w:r>
      <w:r w:rsidRPr="00271E51">
        <w:rPr>
          <w:rFonts w:ascii="Times New Roman" w:hAnsi="Times New Roman"/>
          <w:color w:val="000000" w:themeColor="text1"/>
          <w:sz w:val="16"/>
          <w:szCs w:val="16"/>
        </w:rPr>
        <w:softHyphen/>
        <w:t>нение. Многие летчики нуждались в большой летной тренировке и в обуче</w:t>
      </w:r>
      <w:r w:rsidRPr="00271E51">
        <w:rPr>
          <w:rFonts w:ascii="Times New Roman" w:hAnsi="Times New Roman"/>
          <w:color w:val="000000" w:themeColor="text1"/>
          <w:sz w:val="16"/>
          <w:szCs w:val="16"/>
        </w:rPr>
        <w:softHyphen/>
        <w:t>нии ведению групповых и индивидуаль</w:t>
      </w:r>
      <w:r w:rsidRPr="00271E51">
        <w:rPr>
          <w:rFonts w:ascii="Times New Roman" w:hAnsi="Times New Roman"/>
          <w:color w:val="000000" w:themeColor="text1"/>
          <w:sz w:val="16"/>
          <w:szCs w:val="16"/>
        </w:rPr>
        <w:softHyphen/>
        <w:t>ных воздушных боев с истребителями противника.</w:t>
      </w:r>
    </w:p>
    <w:p w14:paraId="151BC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в условиях сильного противодействия истребительной авиа</w:t>
      </w:r>
      <w:r w:rsidRPr="00271E51">
        <w:rPr>
          <w:rFonts w:ascii="Times New Roman" w:hAnsi="Times New Roman"/>
          <w:color w:val="000000" w:themeColor="text1"/>
          <w:sz w:val="16"/>
          <w:szCs w:val="16"/>
        </w:rPr>
        <w:softHyphen/>
        <w:t>ции и зенитной артиллерии атака це</w:t>
      </w:r>
      <w:r w:rsidRPr="00271E51">
        <w:rPr>
          <w:rFonts w:ascii="Times New Roman" w:hAnsi="Times New Roman"/>
          <w:color w:val="000000" w:themeColor="text1"/>
          <w:sz w:val="16"/>
          <w:szCs w:val="16"/>
        </w:rPr>
        <w:softHyphen/>
        <w:t xml:space="preserve">лей экипажами 237-го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выполнялась в составе пар самолетов, которые дей</w:t>
      </w:r>
      <w:r w:rsidRPr="00271E51">
        <w:rPr>
          <w:rFonts w:ascii="Times New Roman" w:hAnsi="Times New Roman"/>
          <w:color w:val="000000" w:themeColor="text1"/>
          <w:sz w:val="16"/>
          <w:szCs w:val="16"/>
        </w:rPr>
        <w:softHyphen/>
        <w:t>ствовали по отдельным целям. Это со</w:t>
      </w:r>
      <w:r w:rsidRPr="00271E51">
        <w:rPr>
          <w:rFonts w:ascii="Times New Roman" w:hAnsi="Times New Roman"/>
          <w:color w:val="000000" w:themeColor="text1"/>
          <w:sz w:val="16"/>
          <w:szCs w:val="16"/>
        </w:rPr>
        <w:softHyphen/>
        <w:t>вершенно не обеспечивало как надеж</w:t>
      </w:r>
      <w:r w:rsidRPr="00271E51">
        <w:rPr>
          <w:rFonts w:ascii="Times New Roman" w:hAnsi="Times New Roman"/>
          <w:color w:val="000000" w:themeColor="text1"/>
          <w:sz w:val="16"/>
          <w:szCs w:val="16"/>
        </w:rPr>
        <w:softHyphen/>
        <w:t>ного подавления целей, так и огневого взаимодействия во время атаки истре</w:t>
      </w:r>
      <w:r w:rsidRPr="00271E51">
        <w:rPr>
          <w:rFonts w:ascii="Times New Roman" w:hAnsi="Times New Roman"/>
          <w:color w:val="000000" w:themeColor="text1"/>
          <w:sz w:val="16"/>
          <w:szCs w:val="16"/>
        </w:rPr>
        <w:softHyphen/>
        <w:t>бителей противника. Кроме того, при</w:t>
      </w:r>
      <w:r w:rsidRPr="00271E51">
        <w:rPr>
          <w:rFonts w:ascii="Times New Roman" w:hAnsi="Times New Roman"/>
          <w:color w:val="000000" w:themeColor="text1"/>
          <w:sz w:val="16"/>
          <w:szCs w:val="16"/>
        </w:rPr>
        <w:softHyphen/>
        <w:t>крытие 16 штурмовиков Ил-2 всего де</w:t>
      </w:r>
      <w:r w:rsidRPr="00271E51">
        <w:rPr>
          <w:rFonts w:ascii="Times New Roman" w:hAnsi="Times New Roman"/>
          <w:color w:val="000000" w:themeColor="text1"/>
          <w:sz w:val="16"/>
          <w:szCs w:val="16"/>
        </w:rPr>
        <w:softHyphen/>
        <w:t>сяткой истребителей Ла-5 нельзя при</w:t>
      </w:r>
      <w:r w:rsidRPr="00271E51">
        <w:rPr>
          <w:rFonts w:ascii="Times New Roman" w:hAnsi="Times New Roman"/>
          <w:color w:val="000000" w:themeColor="text1"/>
          <w:sz w:val="16"/>
          <w:szCs w:val="16"/>
        </w:rPr>
        <w:softHyphen/>
        <w:t>знать достаточным и соответствующим степени защищенности цели.</w:t>
      </w:r>
    </w:p>
    <w:p w14:paraId="64DEB7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по этим причинам немцы, сразу же введя в бой крупные силы сво</w:t>
      </w:r>
      <w:r w:rsidRPr="00271E51">
        <w:rPr>
          <w:rFonts w:ascii="Times New Roman" w:hAnsi="Times New Roman"/>
          <w:color w:val="000000" w:themeColor="text1"/>
          <w:sz w:val="16"/>
          <w:szCs w:val="16"/>
        </w:rPr>
        <w:softHyphen/>
        <w:t>их истребителей, смогли отсечь истре</w:t>
      </w:r>
      <w:r w:rsidRPr="00271E51">
        <w:rPr>
          <w:rFonts w:ascii="Times New Roman" w:hAnsi="Times New Roman"/>
          <w:color w:val="000000" w:themeColor="text1"/>
          <w:sz w:val="16"/>
          <w:szCs w:val="16"/>
        </w:rPr>
        <w:softHyphen/>
        <w:t xml:space="preserve">бители 31-го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от сопровождаемых ими штурмовиков, а затем разгромить обе группы Ил-2, уничтожая отдельные пары штурмовиков. К тому же, с нача</w:t>
      </w:r>
      <w:r w:rsidRPr="00271E51">
        <w:rPr>
          <w:rFonts w:ascii="Times New Roman" w:hAnsi="Times New Roman"/>
          <w:color w:val="000000" w:themeColor="text1"/>
          <w:sz w:val="16"/>
          <w:szCs w:val="16"/>
        </w:rPr>
        <w:softHyphen/>
        <w:t>лом воздушного боя наращивание сил своих истребителей командованием кор</w:t>
      </w:r>
      <w:r w:rsidRPr="00271E51">
        <w:rPr>
          <w:rFonts w:ascii="Times New Roman" w:hAnsi="Times New Roman"/>
          <w:color w:val="000000" w:themeColor="text1"/>
          <w:sz w:val="16"/>
          <w:szCs w:val="16"/>
        </w:rPr>
        <w:softHyphen/>
        <w:t xml:space="preserve">пуса и 295-й </w:t>
      </w:r>
      <w:r w:rsidRPr="00271E51">
        <w:rPr>
          <w:rFonts w:ascii="Times New Roman" w:hAnsi="Times New Roman"/>
          <w:iCs/>
          <w:color w:val="000000" w:themeColor="text1"/>
          <w:sz w:val="16"/>
          <w:szCs w:val="16"/>
        </w:rPr>
        <w:t>иад</w:t>
      </w:r>
      <w:r w:rsidRPr="00271E51">
        <w:rPr>
          <w:rFonts w:ascii="Times New Roman" w:hAnsi="Times New Roman"/>
          <w:color w:val="000000" w:themeColor="text1"/>
          <w:sz w:val="16"/>
          <w:szCs w:val="16"/>
        </w:rPr>
        <w:t xml:space="preserve"> организовано не было.</w:t>
      </w:r>
    </w:p>
    <w:p w14:paraId="4F2E42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Удар штурмовиков и истребителей 1 -го </w:t>
      </w:r>
      <w:r w:rsidRPr="00271E51">
        <w:rPr>
          <w:rFonts w:ascii="Times New Roman" w:hAnsi="Times New Roman"/>
          <w:iCs/>
          <w:color w:val="000000" w:themeColor="text1"/>
          <w:sz w:val="16"/>
          <w:szCs w:val="16"/>
        </w:rPr>
        <w:t>сак</w:t>
      </w:r>
      <w:r w:rsidRPr="00271E51">
        <w:rPr>
          <w:rFonts w:ascii="Times New Roman" w:hAnsi="Times New Roman"/>
          <w:color w:val="000000" w:themeColor="text1"/>
          <w:sz w:val="16"/>
          <w:szCs w:val="16"/>
        </w:rPr>
        <w:t xml:space="preserve"> генерал-майора В.И.Шевченко 17-й ВА по аэродрому Краматорская был более удачным. Летчики корпуса, что называется, подловили немцев на взлете. Подавив в первом заходе зенит</w:t>
      </w:r>
      <w:r w:rsidRPr="00271E51">
        <w:rPr>
          <w:rFonts w:ascii="Times New Roman" w:hAnsi="Times New Roman"/>
          <w:color w:val="000000" w:themeColor="text1"/>
          <w:sz w:val="16"/>
          <w:szCs w:val="16"/>
        </w:rPr>
        <w:softHyphen/>
        <w:t>ную артиллерию ПВО аэродрома и унич</w:t>
      </w:r>
      <w:r w:rsidRPr="00271E51">
        <w:rPr>
          <w:rFonts w:ascii="Times New Roman" w:hAnsi="Times New Roman"/>
          <w:color w:val="000000" w:themeColor="text1"/>
          <w:sz w:val="16"/>
          <w:szCs w:val="16"/>
        </w:rPr>
        <w:softHyphen/>
        <w:t>тожив самолеты, изготовившиеся к взле</w:t>
      </w:r>
      <w:r w:rsidRPr="00271E51">
        <w:rPr>
          <w:rFonts w:ascii="Times New Roman" w:hAnsi="Times New Roman"/>
          <w:color w:val="000000" w:themeColor="text1"/>
          <w:sz w:val="16"/>
          <w:szCs w:val="16"/>
        </w:rPr>
        <w:softHyphen/>
        <w:t>ту, "ильюшины" в последующих заходах действовали почти как на полигоне. В результате, по сообщениям экипажей штурмовиков и истребителей прикры</w:t>
      </w:r>
      <w:r w:rsidRPr="00271E51">
        <w:rPr>
          <w:rFonts w:ascii="Times New Roman" w:hAnsi="Times New Roman"/>
          <w:color w:val="000000" w:themeColor="text1"/>
          <w:sz w:val="16"/>
          <w:szCs w:val="16"/>
        </w:rPr>
        <w:softHyphen/>
        <w:t>тия, пулеметно-пушечным огнем было повреждено и уничтожено до 50 "юнкерсов" и "мессершмиттов".</w:t>
      </w:r>
    </w:p>
    <w:p w14:paraId="3CBF0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по данным штаба ВВС КА на аэродромах Харьковского аэроузла, под</w:t>
      </w:r>
      <w:r w:rsidRPr="00271E51">
        <w:rPr>
          <w:rFonts w:ascii="Times New Roman" w:hAnsi="Times New Roman"/>
          <w:color w:val="000000" w:themeColor="text1"/>
          <w:sz w:val="16"/>
          <w:szCs w:val="16"/>
        </w:rPr>
        <w:softHyphen/>
        <w:t>вергшихся ударам советской авиации, было уничтожено и повреждено до 60 немецких самолетов (6467).</w:t>
      </w:r>
    </w:p>
    <w:p w14:paraId="07D7C7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AA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поздно вечером, шесть Bf109G возглавляемые Тео Вайссенбергером вылетели на прикрытие своего морского конвоя в район Киркенеса. Уже в воздухе береговые посты ВНОС сообщили ведущему о появившемся советском разведчике Пе-2. И действительно, на подходе к ордеру Вайссенбергер обнаружил двухмоторный самолет. На самом деле это был Пе-3 и его штурман, в этот момент передавал по радио в третий раз координаты немецкого конвоя, его состав и погоду в районе цели. Надо сказать, что советские пилоты отметили в своем сообщении наличие прикрытия в составе пяти истребителей, но "Мессер" ведущего, отделившийся от общего строя, они не заметили. Сблизившись с "пешкой" он смог успешно атаковать советский самолет. Оставляя шлейф дыма, "Петляков" начал снижаться, уходя прочь от конвоя.</w:t>
      </w:r>
    </w:p>
    <w:p w14:paraId="24C9AA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Именно в эти минуты с аэродрома Ваенга-2 для удара по конвою взлетали пять торпедоносцев (три ДБ-3Ф и два "Хэмпдена") и пара штурмовиков Ил-2 (для подавления зенитного огня кораблей эскорта) из состава 6-й мтад Северного флота под командованием командира 9-го гв. мтап гвардии майора Костькина. Их </w:t>
      </w:r>
      <w:r w:rsidRPr="00271E51">
        <w:rPr>
          <w:rFonts w:ascii="Times New Roman" w:hAnsi="Times New Roman"/>
          <w:color w:val="000000" w:themeColor="text1"/>
          <w:sz w:val="16"/>
          <w:szCs w:val="16"/>
        </w:rPr>
        <w:lastRenderedPageBreak/>
        <w:t>прикрытие возлагалось на семь "Аэрокобр" 255-го иап. Несмотря на благоприятный прогноз погоды над целью, в районе аэродромов метеоусловия не баловали: с самого утра низкая облачность закрывала вершины сопок, и поэтому на задание вылетели самые подготовленные экипажи.</w:t>
      </w:r>
    </w:p>
    <w:p w14:paraId="6793FA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полуострова Рыбачий, у самого побережья Ледовитого океана, соединение наткнулось на сплошную облачность ниже ста метров и дождь. Ведущий "Аэрокобр", несмотря на запрет майора Костькика, развернул истребители на обратный курс и вернулся на свой аэродром. Торпедоносцы и штурмовики, оставшись без прикрытия, продолжили полет к цели. Вскоре в районе мыса Скальнес облака остались позади, впереди был немецкий конвой, над которым по докладам уцелевших кружили "7 ФВ-190, 4 Me-109, 3 Me-110 и 1 Хе-115".</w:t>
      </w:r>
    </w:p>
    <w:p w14:paraId="32EC2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Зенитные расчеты боевых кораблей и транспортов открыли по приближающимся советским самолетам сильный зенитный огонь, а истребители противника устремились в атаку. Согласно официальной немецкой версии, зафиксированной в книге В.Гирбига "5-я истребительная эскадра "Полярное море"" (W.Girbig. Jagdgeschwader 5 "Eismeer") "наземные посты передали предупреждение о появлении соединения противника над северной оконечностью полуострова Рыбачий. Через 10 минут оно уже было на месте, строй из 25-30 бомбардировщиков и торпедоносцев направлялся к цепи. Впереди шла группа старых английский бомбардировщиков "Хэмпден",.. за ними - строй Ил-2, еще строй Пе-2 и несколько "Бостонов"". Простой подсчет, показывает, что если уцелевшие советские экипажи завысили число вражеских самолетов с в 2,5 раза (с 6 до 15), то немецкие летчики не поскупившись - более чем в 4 раза (с 7 до 30). Единственно в чем последние не ошиблись: рядом не было ни одного краснозвездного истребителя...</w:t>
      </w:r>
    </w:p>
    <w:p w14:paraId="28AE79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 все могло закончиться трагически для наших пилотов еще на подходе к конвою, но пара штурмовиков Ил-2 выйдя вперед, произвела залп реактивными снарядами по приближавшимися на встречном курсе "Мессершмиттам". Опасаясь попаданий, стервятники шарахнулись в стороны открывая путь торпедоносцам. Развернувшись, "мессеры" навалились на "горбатых" и спустя несколько секунд в воду рухнул экипаж командира 1-й эскадрильи 46-го шап капитана Л.Г.Колтунова со штурманом эскадрилий лейтенантом А.В.Корсунским. Затем настала очередь торпедоносцев, упорно шедших сквозь огневую завесу. К сожалению, все пять сброшенных ими смертоносных сигар прошли мимо целей. Экипаж второго штурмовика сбросил бомбы, но с каким результатом, выяснить не удалось. Правда, архивы сохранили воспоминания воздушного стрелка В.И.Саяпина:</w:t>
      </w:r>
    </w:p>
    <w:p w14:paraId="48814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"...Дорохов, отбив атаку "стодевятого" пошел на цель и с высоты 150 метров сбросил бомбы. Мы видели прямое попадание в транспорт, который сразу же загорелся. Осколками своих бомб повредило плоскость, а взрывной волной сильно подбросило наш самолет.</w:t>
      </w:r>
    </w:p>
    <w:p w14:paraId="22166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выхода из атаки нас в лоб атаковали шесть Me-109. Один был сразу сбит Дороховым, а остальные продолжали нас преследовать. Один за другим с задней полусферы атаковали истребители наш штурмовик, я потерял счет этим атакам. Один "Мессершмитт" мне все же удалось сбить. Вот уже рукой подать до полуострова Рыбачий, а "стодевятые" назойливо атакуют. Вдруг в кабине что-то зашипело. Дорохов рядом с собой обнаружил неразорвавшийся снаряд. Едва он успел его затолкать под сиденье, как раздался глухой взрыв - взорвался топливный бак. Мы стали стремительно падать. Из последних сил Дорохов посадил самолет на воду. В те считанные секунды, которые бронированный штурмовик может продержаться на воде, я сам выбрался, отстегнул лямки и вытащил из наполнявшейся водой кабины потерявшего сознание своего командира.</w:t>
      </w:r>
    </w:p>
    <w:p w14:paraId="4FB336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Спасательный жилет Дорохова был пробит и не сработал. Лодка также не наполнилась воздухом, запутавшись в стропах парашюта. Мне все же удалось надуть ее и втащить на нее командира. Сам я остался в воде и старался грести к берегу. Но сил надолго не хватило, холодная вода сводила руки, а ноги в сапогах тянуло вниз. Сбросив их, на какое-то время стало легче. Дорохов, заметив мое тяжелое состояние, со словами: "Витя, идти на дно, так вместе" и сделал попытку оставить свое "привилегированное" место в лодке. После короткой борьбы я не дал ему этого сделать. Когда казалось, что все уже кончено и мы погибнем, запели свою любимую песню "Раскинулось море широко... " И в этот момент я услышал всплески весел. К нам плыли на помощь батарейцы с полуострова, видевшие наше падение."</w:t>
      </w:r>
    </w:p>
    <w:p w14:paraId="2932B0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Разворачивавшиеся на обратный курс советские самолеты подверглись многочисленным атакам истребителей противника. "Хэмпден" гвардии майора Ф.Г.Шепилова и ДБ-3Ф гвардии капитана В.П.Балашова, подбитые истребителями противника еще при сближении с конвоем, совершили вынужденную посадку на воду и затонули. Экипажам торпедоносцев с помощью надувных резиновых лодок удалось самостоятельно добраться до берега.</w:t>
      </w:r>
    </w:p>
    <w:p w14:paraId="189D4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Гвардии младший лейтенант А.А.Мартынов после сброса торпеды пытался увести свой "Хэмпден" в облака, но, не дойдя до них, потерял скорость и был вынужден начать снижение. После чего самолет подвергся ожесточенным атакам "Месершмиттов". В конце концов горящий самолет упал в воду на расстоянии полукилометра от берега в районе Вайталахти. Экипаж подобрала шлюпка, высланная с берега полуострова Рыбачий.</w:t>
      </w:r>
    </w:p>
    <w:p w14:paraId="65DBEE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Лишь двум ДБ-3Ф с многочисленными повреждениями удалось вернуться на свой аэродром. Торпедоносец гвардии лейтенанта Дубинца получил более ста пулевых и осколочных пробоин, а сам летчик был ранен в ногу. После этого боевого вылета в составе 9-го гв. мтап в строю не осталось ни одного боеспособного самолета: единственный оставшийся в полку "Хэмпден" и четыре ДБ-3Ф требовали продолжительного ремонта.</w:t>
      </w:r>
    </w:p>
    <w:p w14:paraId="415BD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Вернувшись на свой аэродром, Тео Вайссенбергер заявил о семи сбитых вражеских самолетах, а один из Ил-2, сбитый в 21:54 в районе полуострова Рыбачий стал его 100-й воздушной победой на Полярном фронте. Это считалось самым высшим достижением по числу сбитых вражеских самолетов в течение одного дня среди "полярных охотников". Всего же пилоты претендовали на уничтожение 16 самолетов (семи "Хэмпденов", пяти Ил-2, трех Пе-2 и одного "Бостона")!!</w:t>
      </w:r>
    </w:p>
    <w:p w14:paraId="7AF97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пилоты и посты береговые посты ВНОС, наблюдавшие за этой бойней, тоже не поскупились, сообщив что в воздушном бою было сбито "5 Me-109, 1 ФВ-190 и 1 гидросамолет Хе-115", а в результате торпедного удара "потоплен один транспорт водоизмещением 8 тысяч тонн и два повреждены". Согласно немецких данным - ни в воздухе, ни на воде, в этот день потерь не было (3480).</w:t>
      </w:r>
    </w:p>
    <w:p w14:paraId="4F94DB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Результатом нескольких подобных налетов стала острая нехватка специализированных ударных самолетов в составе ВВС Северного Флота. Например, на 1 июля 1943 г. в исправном состоянии находились лишь 22 штурмовика Ил-2 (из 27), около десятка пикировщиков Пе-2, пять торпедоносцев (три ДБ-3Ф и два "Хэмпдена", о гибели которых рассказано выше) и один СБ. Имевшиеся помимо них около 20 разведчиков Пе-3 и СБ (номинально способных поднимать по 600-700 кг бомб) не использовались для ударов по конвоям, поскольку их экипажам и так хватало работы. В тоже время освоение современных торпедоносцев "Бостон" проходило медленно.</w:t>
      </w:r>
    </w:p>
    <w:p w14:paraId="1CA74E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заставило командование пересмотреть роль истребительной авиации Северного Флота, в боевом составе которой по-прежнему находилось немало устаревших машин (около 60 "Харрикейнов", 21 И-153, пять И-16, а также четыре ЛаГГ-3). Все они, уже неспособные эффективно противостоять новейшим Bf109G, были переквалифицированы в разряд истребителей-штурмовиков. Поскольку большая их часть к этому времени уже имела бомбодержатели и направляющие для реактивных снарядов, то такое перепрофилирование выглядело чистой формальностью, так как уже с лета 1942 г. эти машины активно привлекались для нанесения ударов по наземным целям.</w:t>
      </w:r>
    </w:p>
    <w:p w14:paraId="597CDD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на этот раз пилотам предстояло действовать по морским целям, обладавшим не только заметной подвижностью и мощным зенитным вооружением, но и достаточной живучестью. Приходится признать, что попадания даже нескольких 100-кг бомб только в очень редких случаях наносили серьезные повреждения таким, казалось бы, "лоханкам" как переоборудованные норвежские сейнеры9. Причина была самая прозаическая: это были суда предназначенные для ледового плавания и потому имевшие упрочненный корпус. Заметим, что к этому времени количество "Киттихауков", способных поднимать одну ФАБ-250 и пару "соток", в составе авиации СФ было еще весьма незначительным - чуть больше десятка. Лишь с резким увеличением их числа осенью 1943 г. они начали играть заметную роль в авиаударах по германскому судоходству.</w:t>
      </w:r>
    </w:p>
    <w:p w14:paraId="26598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одной проблемой являлась не слишком большая дальность полета истребителей и штурмовиков. Фактически, их радиус действия простирался на запад до мыса Нордкин, захватывая Лаксе-фьорд, Тана-фьорд, побережье полуострова Варангер и собственно Варангер-фьорд, в глубине которого находились порты Лиинахамари, Киркенес и Петсамо. Роль этих баз на северном фланге германского фронта трудно переоценить. Являясь перевалочными пунктами 20-й полевой армии генерал-полковника Дитля и передовыми форпостами Кригсмарине, они в тоже время имели поистине стратегическое значение для всего III Рейха, поскольку через их причалы в Германию шел поток жизненно необходимой для ведения войны никелевой руды. Таким образом, на небольшом отрезке морского пути велось оживленное двухстороннее движение, расписание которого и собирались перекроить ВВС Северного флота (3480).</w:t>
      </w:r>
    </w:p>
    <w:p w14:paraId="54404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6C9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Курского сражения советские ВВС сосредоточили под Курском 853 Пе-2 - 42% всей бомбардировочной авиации, из этого количества 332 самолета находились во 2-й и 16-й воздушных армиях, располагавшихся на главных направлениях обороны. Боеготовности пикировщиков уделялось колоссальное внимание - на 5 июля 95% имеющихся Пе-2 готовы были лететь в бой. 1-й бак (полковника П.С.Полбина), входивший в состав 2-й воздушной армии, имел к началу сражения 179 бомбардировщиков, потерял 52 самолета, причем 36 из них было сбито в воздухе. При этом за месяц его самолеты совершили 1051 боевых вылета (в среднем одна боевая потеря на 29 вылетов). Анализируя причины потерь этого и других соединений, командующий ВВС Красной Армии А.А.Новиков отмечал слабую подготовку экипажей Пе-2 к воздушным боям. Наиболее распространенной ошибкой командиров групп являлась попытка уйти от вражеского преследования на повышенной скорости. В результате строй растягивался, и врагу оказывалось легче атаковать отставшие самолеты, не создававшие сплошной огневой завесы. Кроме того, невысокой оказалась и точность бомбометания. Пе-2 действовали в одних и тех же боевых порядках, использовали в основном фугасные авиабомбы (предпочитая загружать ФАБ-100), несмотря на различный характер решаемых задач (3542).</w:t>
      </w:r>
    </w:p>
    <w:p w14:paraId="7993DE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00D9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4 июля 1943 года командир 1902-й самоходно-артиллерийского полка выехал в Москву, на завод № 37 за получением матчасти — самоходных установок СУ-76И. 13 июля 15 таких машин погрузили на платформы на станции Белокаменка, и через восемь дней они прибыли в Новый Оскол. Здесь самоходки закрепили за экипажами 1902-го самоходно-артиллерийского полка и сформировали пять батарей (по три СУ-76И), которые 28 июля перебросили на станцию Обоянь и включили в состав 5-й гвардейской армии. Однако из-за недоукомплектованности боевыми машинами, автотранспортом (например, первоначально количество автомобилей составляло 10 % штатной численности) полк еще две недели находился на формировании, получив за это время, помимо машин и прочего имущества, пять СУ-122 (на базе Т-34). И только 13 августа он смог выдвинуться к линии фронта, сосредоточившись в селе Лозовое. Здесь полк придали 13-й гвардейской стрелковой дивизии 32-го гвардейского стрелкового корпуса с задачей: поддержать атаку нашей пехоты на сильно укрепленную высоту 202,4, господствующую над местностью.</w:t>
      </w:r>
    </w:p>
    <w:p w14:paraId="20A7457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12.00 14 августа три СУ-122 1902-го полка огнем поддерживали части дивизии, в результате чего высота была взята. Но ночью, подтянув 6–8 танков и до батальона пехоты, немцы выбили с высоты наши части.</w:t>
      </w:r>
    </w:p>
    <w:p w14:paraId="4C216CC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12.00 15 августа 1943 года, после короткой артподготовки, стрелковый полк 13-й гвардейской дивизии при поддержке девяти самоходок (три СУ-122, шесть СУ-76И) атаковали высоту и после двухчасового боя вновь взяли ее. При этом отмечалось, что «личный состав 1902-го САП с поставленной задачей справился отлично, за что от командира корпуса получили благодарность». В этом бою самоходчики уничтожили один танк, два орудия, до взвода пехоты и подавили батарею 75-мм орудий. Свои потери составили одна подбитая СУ-76И, командир которой был ранен.</w:t>
      </w:r>
    </w:p>
    <w:p w14:paraId="3956FA1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полк передали в оперативное подчинение Степного фронта и, получив 17 августа на станции Мерлово пять СУ-122 и одну СУ-76, стал выдвигаться на Максимовку, ведя бои с арьергардами противника.</w:t>
      </w:r>
    </w:p>
    <w:p w14:paraId="58C612F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самоходки поддерживали атаки 66-й стрелковой дивизии в районе Кадница. Немцы оказывали яростное сопротивление, часто переходя в контратаки — прорыв этого рубежа позволял нашим частям перерезать железную дорогу Полтава — Харьков. К вечеру противник начал отход на Александров-ку (35 километров западнее Максимовки), преследование и бои с его арьергардами шли весь следующий день.</w:t>
      </w:r>
    </w:p>
    <w:p w14:paraId="41D32F5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года 1902-й САП, совместно с 57-м тяжёлым танковым полком, участвовали в отвлекающем ударе, наносимом частями 66-й стрелковой дивизии в районе совхоза Кирасирский. В результате немцев выбили из Марьино, а своим огнем самоходки уничтожили один танк, два орудия, девять пулеметов и до 100 человек пехоты. Артиллерией противника была подбита одна СУ-76И, убито два и ранено два человека.</w:t>
      </w:r>
    </w:p>
    <w:p w14:paraId="5DCB84E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9 сентября 1943 года одна СУ-122 и восемь СУ-76И, приданные 9-й стрелковой дивизии 5-й гвардейской армии, участвовали в бою за высоту 200,4 (в районе Марьино). Однако заняв высоту самоходки попали под сильный огонь противника со стороны хутора Журавли, и перешли к обороне. На следующий день две СУ-76И, проводивших разведку в направлении Журавли, нарвались немецкую артиллерию, в результате чего одна машина сгорела от прямого попадания снаряда.</w:t>
      </w:r>
    </w:p>
    <w:p w14:paraId="63B7690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шесть СУ-76И совместно с пехотой 9-й стрелковой дивизии перерезали железную дорогу Полтава — Харьков, и, закрепившись у деревни Высокополье, отбили все атаки противника. При этом две машины подорвались на минах, но были восстановлены силами экипажей.</w:t>
      </w:r>
    </w:p>
    <w:p w14:paraId="0E448E0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17 на 18 сентября в ходе артиллерийской дуэли с немецкими танками у Синькова балка огнём СУ-76И был уничтожен танк Pz. III.</w:t>
      </w:r>
    </w:p>
    <w:p w14:paraId="770978A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1902-й полк, приданный 13-й стрелковой дивизии, получил задачу: выдвинуться вперед и занять переправу через реку Ворскла, тем самым отрезав пути отхода противнику на Полтаву. В ночь на 21 сентября самоходчики, имея одну СУ-122 и пять СУ-76И, двинулись в ночной рейд, и после скоротечного боя захватили переправу и удерживали ее до подхода основных сил. При этом была потеряна одна СУ-76И (сгорела). Ответным огнем самоходки подбили и уничтожили три немецких танка.</w:t>
      </w:r>
    </w:p>
    <w:p w14:paraId="4165D3B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последующее дни полк, преследуя отходящего противника, форсировал Ворсклу, перерезал шоссе Диканька — Полтава (в 12 километрах от города) и к вечеру 26 сентября занял село Мануселия в 20 километрах от Кременчуга.</w:t>
      </w:r>
    </w:p>
    <w:p w14:paraId="7A78E14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приведения себя в порядок, в ночь на 29 сентября 1943 года 1902-й полк, совместно с 13-й стрелковой дивизией, атаковали город с севера. Ворвавшись в Кременчуг первыми, самоходки «огнём и гусеницами поддерживали наступление своей пехоты, громя оставшиеся огневые точки и живую силу противника». К вечеру того же дня Кременчуг был освобожден, а немецкие части отошли на правый берег Днепра. В тот же день приказом Верховного Главнокомандующего И. Сталина 1902-й самоходно-артиллерийский полк, вместе с другими частями, отличившимися при взятии города, получил почетное наименование Кременчугский.</w:t>
      </w:r>
    </w:p>
    <w:p w14:paraId="0A678F6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форсирования Днепра в октябре 1943 года 1902-й полк участвовал в боях за Вовкивку и Пятихатку, после чего был выведен в резерв. 25 ноября он убыл на переформирование в Москву, передав все оставшиеся машины на СПАМ. Впоследствии эта часть получила самоходные установки СУ-76М (12688).</w:t>
      </w:r>
    </w:p>
    <w:p w14:paraId="41F43868"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5124C226" w14:textId="77777777" w:rsidR="00AC718A" w:rsidRPr="00271E51" w:rsidRDefault="00AC718A"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на южном фасе Курской Дуги немцы в 16.00 начали разведку боем - началась операция "Цитадель". По данным штаба Воронежского фронта, противник силой до пехотного полка и 20 танков наступал в направлении Новая Горянка (ныне - Горянка), высота в 1,5 км сев-вост Фастова и разъезда Герцовка, два батальона с 20 танками - на Бутово. В этих пунктах располагалось боевое охранение 71-й и 67-й гвардейской стрелковой дивизии (6-я гвардейская армия). В районе Горянки и Бутово охранение (батальонного состава) было сбито. По немецким источникам, также была взята Герцовка - двумя пехотными батальонами 3-й танковой дивизии и механизированной дивизии "Гроссдойчланд" (взятие Герцовки подтверждается и советскими источниками - например, Колтуновым). Мелкими силами пехоты (взводами-ротами) противник также провел разведку боем на правом фланге Воронежского фронта (где в последствии немцы не наступали) и на левом фланге в районе Топлинка. Немецкая авиация группами по 20-45 бомбардировщиков бомбила позиции первой и второй линий обороны фронта (14942).</w:t>
      </w:r>
    </w:p>
    <w:p w14:paraId="0A3919E1" w14:textId="77777777" w:rsidR="00AC718A" w:rsidRPr="00271E51" w:rsidRDefault="00AC718A" w:rsidP="00271E51">
      <w:pPr>
        <w:spacing w:after="0" w:line="240" w:lineRule="auto"/>
        <w:jc w:val="both"/>
        <w:rPr>
          <w:rFonts w:ascii="Times New Roman" w:hAnsi="Times New Roman"/>
          <w:color w:val="000000" w:themeColor="text1"/>
          <w:sz w:val="16"/>
          <w:szCs w:val="16"/>
        </w:rPr>
      </w:pPr>
    </w:p>
    <w:p w14:paraId="4BA279B2" w14:textId="77777777" w:rsidR="00AC718A" w:rsidRPr="00271E51" w:rsidRDefault="00AC718A"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войска Воронежского фронта провели артиллерийскую и авиационную контрподготовку по изготовившемуся к наступлению противнику на Курской дуге (14942).</w:t>
      </w:r>
    </w:p>
    <w:p w14:paraId="33237AE8" w14:textId="77777777" w:rsidR="00AC718A" w:rsidRPr="00271E51" w:rsidRDefault="00AC718A" w:rsidP="00271E51">
      <w:pPr>
        <w:spacing w:after="0" w:line="240" w:lineRule="auto"/>
        <w:jc w:val="both"/>
        <w:rPr>
          <w:rFonts w:ascii="Times New Roman" w:hAnsi="Times New Roman"/>
          <w:color w:val="000000" w:themeColor="text1"/>
          <w:sz w:val="16"/>
          <w:szCs w:val="16"/>
        </w:rPr>
      </w:pPr>
    </w:p>
    <w:p w14:paraId="732ED69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6EA73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4BEB9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при таинственных обстоятельствах у Гибралтара разбился на самолете глава польского правительства в изгнании В. Сикорский (4962).</w:t>
      </w:r>
    </w:p>
    <w:p w14:paraId="3A992EE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A5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4th, 1943: General Sikorski, leader of the London-based anti-Communist Polish government-in-exile, is killed in a plane crash at Gibraltar, some suspect as the result of deliberate sabotage (3819).</w:t>
      </w:r>
    </w:p>
    <w:p w14:paraId="1F4E3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998D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04 1943 Polish General Wladyslaw Sikorski dies in the crash of a B-24 Liberator. It was suspected that the aircraft was sabotaged because of Sikorski's feelings about Polish and Russian cooperation after Barbarossa (1242).</w:t>
      </w:r>
    </w:p>
    <w:p w14:paraId="1BE85D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479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июля 1943 польский г Сикорский и еще несколько высших офицеров погибли при катастрофе В-24 Либерейтор. Есть подозрения в диверсии со стороны СССР (1242).</w:t>
      </w:r>
    </w:p>
    <w:p w14:paraId="21794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08B41" w14:textId="77777777" w:rsidR="00454E8B" w:rsidRPr="00271E51" w:rsidRDefault="00454E8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июля</w:t>
      </w:r>
      <w:r w:rsidRPr="00271E51">
        <w:rPr>
          <w:rFonts w:ascii="Times New Roman" w:hAnsi="Times New Roman"/>
          <w:color w:val="000000" w:themeColor="text1"/>
          <w:sz w:val="16"/>
          <w:szCs w:val="16"/>
        </w:rPr>
        <w:t xml:space="preserve"> в 1943 году в авиакатастрофе самолета «Либерейтор» в Гибралтаре погибли 15 человек, в том числе глава польского правительства в изгнании Владислав Сикорский. Весной 1943 года Сикорский оказался в центре международного скандала, связанного с обнаружением массовых захоронений польских офицеров в Катынском лесу. Сикорский потребовал международного расследования. После этого его самолет рухнул в Средиземное море. После смерти генерала Сикорского на его пост назначен правый политический деятель С.Миколайчик (14942).</w:t>
      </w:r>
    </w:p>
    <w:p w14:paraId="725B201E" w14:textId="77777777" w:rsidR="00454E8B" w:rsidRPr="00271E51" w:rsidRDefault="00454E8B" w:rsidP="00271E51">
      <w:pPr>
        <w:spacing w:after="0" w:line="240" w:lineRule="auto"/>
        <w:jc w:val="both"/>
        <w:rPr>
          <w:rFonts w:ascii="Times New Roman" w:hAnsi="Times New Roman"/>
          <w:color w:val="000000" w:themeColor="text1"/>
          <w:sz w:val="16"/>
          <w:szCs w:val="16"/>
        </w:rPr>
      </w:pPr>
    </w:p>
    <w:p w14:paraId="361373C0" w14:textId="77777777" w:rsidR="003E3CDD" w:rsidRPr="00271E51" w:rsidRDefault="003E3CD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4 июля 1943 Премьер польского правительства в изгнании и главнокомандующий из вооруженных сил Польши, Владислав Сикорского, его начальник штаба Тадеуш Климеки , и восьми других погибают в результате крушения Либерейтера II сразу после взлета с Гибралтара (20376). </w:t>
      </w:r>
    </w:p>
    <w:p w14:paraId="234C4CF7" w14:textId="77777777" w:rsidR="003E3CDD" w:rsidRPr="00271E51" w:rsidRDefault="003E3CDD" w:rsidP="00271E51">
      <w:pPr>
        <w:spacing w:after="0" w:line="240" w:lineRule="auto"/>
        <w:jc w:val="both"/>
        <w:rPr>
          <w:rFonts w:ascii="Times New Roman" w:hAnsi="Times New Roman"/>
          <w:color w:val="0070C0"/>
          <w:sz w:val="16"/>
          <w:szCs w:val="16"/>
        </w:rPr>
      </w:pPr>
    </w:p>
    <w:p w14:paraId="7F7270DE" w14:textId="77777777" w:rsidR="003E3CDD" w:rsidRPr="00271E51" w:rsidRDefault="003E3CD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июля 1943 семнадцать японских бомбардировщиков в сопровождении 66 истребителей совершили налет на Рендову, уничтожив и повредив несколько десантных кораблей (20376).</w:t>
      </w:r>
    </w:p>
    <w:p w14:paraId="6460E809" w14:textId="77777777" w:rsidR="003E3CDD" w:rsidRPr="00271E51" w:rsidRDefault="003E3CDD" w:rsidP="00271E51">
      <w:pPr>
        <w:spacing w:after="0" w:line="240" w:lineRule="auto"/>
        <w:jc w:val="both"/>
        <w:rPr>
          <w:rFonts w:ascii="Times New Roman" w:hAnsi="Times New Roman"/>
          <w:color w:val="0070C0"/>
          <w:sz w:val="16"/>
          <w:szCs w:val="16"/>
        </w:rPr>
      </w:pPr>
    </w:p>
    <w:p w14:paraId="2CEC012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4F42D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29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июля 1943 в ходе битвы под Курском “Боево крещение” получили ПТАБы. В тот день летчикам 291-й штурмовой авиадивизии пол ковника А.Н.Витрука в районе Воронежа за день удалось уничтожить 30 танков противника. Штурмовики Ил-2 оснащали четырьмя крыльевыми контейнерами. В центральные умещалось по 72 таких боеприпаса, в крайние - по 68. По одной цели расходовали содержимое одного - двух контейнеров. Официально считается, что благодаря высокой эффективности новая авиабомба быстро завоевала у пилотов популярность. С ее помощью авиаторы успешно выводили из строя тяжелые немецкие танки и прочие </w:t>
      </w:r>
      <w:r w:rsidRPr="00271E51">
        <w:rPr>
          <w:rFonts w:ascii="Times New Roman" w:hAnsi="Times New Roman"/>
          <w:color w:val="000000" w:themeColor="text1"/>
          <w:sz w:val="16"/>
          <w:szCs w:val="16"/>
        </w:rPr>
        <w:lastRenderedPageBreak/>
        <w:t>бронеце-ли а также наносили большой урон открыто расположенным складам боеприпасов и горючего, автомобильному и железнодорожному транспорту противника. В люфтваффе подобного боеприпаса не было. Однако инженерный анализ показывает, что, несмотря на исключительные “бронебойные способности”, уничтожить танк можно было, лишь угодив авиабомбой в район боеукладки или бензобака. Мощного акустического удара, способного вывести из строя экипаж хотя бы на непродолжительное время, тогда быть не могло, поскольку машины не герметизировали. Если же прямым попаданием убить одного танкиста, это не решало всей проблемы. Основную часть площади машины составляли механизмы и агрегаты силовой установки и трансмиссии. Вывод их из строя лишь на время мог обездвижить танк, который если не добить, вскоре снова вступал в бой (7453). В 1943 г. промышленность изготовила 6044 тысячи этих авиабомб, а в следующем году их выпуск достиг 6792 тысяч. Всего за годы войны было изготовлено 12370 тысяч ПТАБ-2,5-1,5. Оснащать ПТАБ-2,5-1,5 предусматривалось двумя вариантами стальных переходных втулок для снаряжания авиабомб донными взрывателями разных типов, что требовало изготавливать различные донные части корпусов боеприпасов. Кроме того, на заводе № 67 разработали вариант более технологичной металлической штампованной втулки. Между тем боеприпас, созданный в спешке, имел несколько существенных недостатков. Какую-нибудь другую авиабомбу из-за этого либо оперативно доработали бы, либо просто не допустили к применению. Однако “крестным отцом” ларионовской ПТАБ был сам Сталин. Поэтому подвергать сомнению ее боевую эффективность было себе дороже (7453).</w:t>
      </w:r>
    </w:p>
    <w:p w14:paraId="508D4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EB5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г. утром были применены противотанковые бомбы ПТАБ впервые. Счет открыли летчики 2-й ВА Воронеж</w:t>
      </w:r>
      <w:r w:rsidRPr="00271E51">
        <w:rPr>
          <w:rFonts w:ascii="Times New Roman" w:hAnsi="Times New Roman"/>
          <w:color w:val="000000" w:themeColor="text1"/>
          <w:sz w:val="16"/>
          <w:szCs w:val="16"/>
        </w:rPr>
        <w:softHyphen/>
        <w:t>ского фронта. Под удар 8 экипажей от 617-го шап 291-й шад по</w:t>
      </w:r>
      <w:r w:rsidRPr="00271E51">
        <w:rPr>
          <w:rFonts w:ascii="Times New Roman" w:hAnsi="Times New Roman"/>
          <w:color w:val="000000" w:themeColor="text1"/>
          <w:sz w:val="16"/>
          <w:szCs w:val="16"/>
        </w:rPr>
        <w:softHyphen/>
        <w:t>пали немецкие танки из 48-го танкового корпуса, выдвигав</w:t>
      </w:r>
      <w:r w:rsidRPr="00271E51">
        <w:rPr>
          <w:rFonts w:ascii="Times New Roman" w:hAnsi="Times New Roman"/>
          <w:color w:val="000000" w:themeColor="text1"/>
          <w:sz w:val="16"/>
          <w:szCs w:val="16"/>
        </w:rPr>
        <w:softHyphen/>
        <w:t>шиеся из Бутова на Черкасское, и скопление танков в двух км севернее Бутова. Экипажи доложили, что они «наблюдали в районе взрывов авиабомб сильный огонь и дым, на фоне чего выделялось до 15 горящих танков». Кроме этого, было уничто</w:t>
      </w:r>
      <w:r w:rsidRPr="00271E51">
        <w:rPr>
          <w:rFonts w:ascii="Times New Roman" w:hAnsi="Times New Roman"/>
          <w:color w:val="000000" w:themeColor="text1"/>
          <w:sz w:val="16"/>
          <w:szCs w:val="16"/>
        </w:rPr>
        <w:softHyphen/>
        <w:t>жено 6 автомашин. Всего израсходовано 1248 ПТАБ 8 АО-25 28 РС-82 и 890 снарядов к ВЯ-23.</w:t>
      </w:r>
    </w:p>
    <w:p w14:paraId="5BDCF8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этот же день ПТАБ применили и летчики 266-й шад 1-го штурмового авиакорпуса. Группа в составе 10 Ил-2 от 673-го шап атаковала немецкие танки, стоявшие на месте в районах Яковлеве, Погорелово. В результате удара было уничтожено и повреждено до 10 танков и 10 автомашин, наблюдался один взрыв большой силы. Помимо осколочных и фугасных бомб было сброшено 491 ПТАБ.</w:t>
      </w:r>
    </w:p>
    <w:p w14:paraId="473BD7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поводу боевого дебюта ПТАБ начальник штаба ВВС ге нерал-полковник С.А. Худяков в донесении на имя командую</w:t>
      </w:r>
      <w:r w:rsidRPr="00271E51">
        <w:rPr>
          <w:rFonts w:ascii="Times New Roman" w:hAnsi="Times New Roman"/>
          <w:color w:val="000000" w:themeColor="text1"/>
          <w:sz w:val="16"/>
          <w:szCs w:val="16"/>
        </w:rPr>
        <w:softHyphen/>
        <w:t>щего ВВС маршала А.А. Новикова о действиях авиации 5 июля сообщал: «...летчики полковника Витрука в восхищении от ре</w:t>
      </w:r>
      <w:r w:rsidRPr="00271E51">
        <w:rPr>
          <w:rFonts w:ascii="Times New Roman" w:hAnsi="Times New Roman"/>
          <w:color w:val="000000" w:themeColor="text1"/>
          <w:sz w:val="16"/>
          <w:szCs w:val="16"/>
        </w:rPr>
        <w:softHyphen/>
        <w:t>зультатов действия этих бомб».</w:t>
      </w:r>
    </w:p>
    <w:p w14:paraId="5DBFFE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отличные результаты действия ПТАБ, советское командование приняло решение применить эти бомбы масси</w:t>
      </w:r>
      <w:r w:rsidRPr="00271E51">
        <w:rPr>
          <w:rFonts w:ascii="Times New Roman" w:hAnsi="Times New Roman"/>
          <w:color w:val="000000" w:themeColor="text1"/>
          <w:sz w:val="16"/>
          <w:szCs w:val="16"/>
        </w:rPr>
        <w:softHyphen/>
        <w:t>рованно одновременно на нескольких фронтах.</w:t>
      </w:r>
    </w:p>
    <w:p w14:paraId="298767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Массовое применение ПТАБ имело ошеломляющий эф</w:t>
      </w:r>
      <w:r w:rsidRPr="00271E51">
        <w:rPr>
          <w:rFonts w:ascii="Times New Roman" w:hAnsi="Times New Roman"/>
          <w:color w:val="000000" w:themeColor="text1"/>
          <w:sz w:val="16"/>
          <w:szCs w:val="16"/>
        </w:rPr>
        <w:softHyphen/>
        <w:t>фект тактической неожиданности и оказало сильное мораль</w:t>
      </w:r>
      <w:r w:rsidRPr="00271E51">
        <w:rPr>
          <w:rFonts w:ascii="Times New Roman" w:hAnsi="Times New Roman"/>
          <w:color w:val="000000" w:themeColor="text1"/>
          <w:sz w:val="16"/>
          <w:szCs w:val="16"/>
        </w:rPr>
        <w:softHyphen/>
        <w:t>ное воздействие на противника. Бывший начальник штаба 48-го танкового корпуса генерал фон Меллентин впоследствии писал: «...многие танки стали жертвой советской авиации — в ходе этого сражения русские летчики, несмотря на превосход</w:t>
      </w:r>
      <w:r w:rsidRPr="00271E51">
        <w:rPr>
          <w:rFonts w:ascii="Times New Roman" w:hAnsi="Times New Roman"/>
          <w:color w:val="000000" w:themeColor="text1"/>
          <w:sz w:val="16"/>
          <w:szCs w:val="16"/>
        </w:rPr>
        <w:softHyphen/>
        <w:t>ство в воздухе немецкой авиации, проявляли исключительную смелость».</w:t>
      </w:r>
    </w:p>
    <w:p w14:paraId="4A95DC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случаях экипажи докладывали, что от прямых по</w:t>
      </w:r>
      <w:r w:rsidRPr="00271E51">
        <w:rPr>
          <w:rFonts w:ascii="Times New Roman" w:hAnsi="Times New Roman"/>
          <w:color w:val="000000" w:themeColor="text1"/>
          <w:sz w:val="16"/>
          <w:szCs w:val="16"/>
        </w:rPr>
        <w:softHyphen/>
        <w:t>паданий ПТАБ танки и автомашины горят, а при повторных налетах танки сходят с дороги и рассредоточиваются.</w:t>
      </w:r>
    </w:p>
    <w:p w14:paraId="7231CE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Многочисленные доклады летчиков об уничтожении ПТАБ большого количества бронетехники вызывали вполне закон</w:t>
      </w:r>
      <w:r w:rsidRPr="00271E51">
        <w:rPr>
          <w:rFonts w:ascii="Times New Roman" w:hAnsi="Times New Roman"/>
          <w:color w:val="000000" w:themeColor="text1"/>
          <w:sz w:val="16"/>
          <w:szCs w:val="16"/>
        </w:rPr>
        <w:softHyphen/>
        <w:t>ное недоверие вышестоящего командования. «Данные, полу</w:t>
      </w:r>
      <w:r w:rsidRPr="00271E51">
        <w:rPr>
          <w:rFonts w:ascii="Times New Roman" w:hAnsi="Times New Roman"/>
          <w:color w:val="000000" w:themeColor="text1"/>
          <w:sz w:val="16"/>
          <w:szCs w:val="16"/>
        </w:rPr>
        <w:softHyphen/>
        <w:t>ченные от летного состава, не могут являться объективными, так как летный состав штурмовиков падения своих бомб не ви</w:t>
      </w:r>
      <w:r w:rsidRPr="00271E51">
        <w:rPr>
          <w:rFonts w:ascii="Times New Roman" w:hAnsi="Times New Roman"/>
          <w:color w:val="000000" w:themeColor="text1"/>
          <w:sz w:val="16"/>
          <w:szCs w:val="16"/>
        </w:rPr>
        <w:softHyphen/>
        <w:t>дит и судит о поражении танков по косвенным признакам, — например, по столбам дыма, выделяющимся из общего облака пыли, &lt;...&gt; или по очагам взрыва, которые при смешанной бомбовой зарядке в группах, практикующейся в частях, могут являться следствием взрыва своих бомб крупного калибра», — указывал старший помощник начальника 2-го отдела Опера</w:t>
      </w:r>
      <w:r w:rsidRPr="00271E51">
        <w:rPr>
          <w:rFonts w:ascii="Times New Roman" w:hAnsi="Times New Roman"/>
          <w:color w:val="000000" w:themeColor="text1"/>
          <w:sz w:val="16"/>
          <w:szCs w:val="16"/>
        </w:rPr>
        <w:softHyphen/>
        <w:t>тивного управления штаба ВВС инженер-майор И.В. Пименов в своем отчете о командировке в части 16-й ВА.</w:t>
      </w:r>
    </w:p>
    <w:p w14:paraId="7BC6B5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этой причине в ряде случаев для контроля результатов ударов стали вылетать офицеры штабов дивизий и лично коман</w:t>
      </w:r>
      <w:r w:rsidRPr="00271E51">
        <w:rPr>
          <w:rFonts w:ascii="Times New Roman" w:hAnsi="Times New Roman"/>
          <w:color w:val="000000" w:themeColor="text1"/>
          <w:sz w:val="16"/>
          <w:szCs w:val="16"/>
        </w:rPr>
        <w:softHyphen/>
        <w:t>диры полков, а в войска выехали спецгруппы штабов воздушных армий (11474,341).</w:t>
      </w:r>
    </w:p>
    <w:p w14:paraId="113968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6E5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5 июля 1943 г. впервые были применены противотанковые бомбы ПТАБ. Счет открыли летчики 2-й ВА Воронежского фронта. Под удар 8 экипажей от 617-го шап 291-й шад попали немецкие танки из 48-го танкового корпуса, выдвигавшиеся из Бутово на Черкасское, и скопление танков в 2-х км севернее Бутово. Экипажи доложили, что они "наблюдали в районе взрывов авиабомб сильный огонь и дым, на фоне чего выделялось до 15 горяших танков". Кроме этого, было уничтожено 6 автомашин. Всего израсходовано 1248 ПТАБ, 8 АО-25, 28 РС-82 и 890 снарядов к ВЯ-23.</w:t>
      </w:r>
    </w:p>
    <w:p w14:paraId="3D295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этот же день ПТАБы применили и летчики 266-й шад 1-го штурмового авиакорпуса. Группа в составе 10 Ил-2 от 673-го шап атаковали немецкие танки, стоявшие на месте в районе Яковлево, Погорелово. В результате удара было уничтожено и повреждено до 10 танков и 10 автомашин, наблюдался один взрыв большой силы. Помимо осколочных и фугасных бомб, было сброшено 491 ПТАБ.</w:t>
      </w:r>
    </w:p>
    <w:p w14:paraId="7741B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поводу боевого дебюта ПТАБ начальник штаба ВВС генерал-полковник С. А. Худяков в донесении на имя командующего ВВС маршала А. А. Новикова о действиях авиации 5 июля сообщал: "...летчики полковника Витрука в восхищении от результатов действия этих бомб".</w:t>
      </w:r>
    </w:p>
    <w:p w14:paraId="3061C0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отличные результаты действия ПТАБ, советское командование приняло решение применить эти бомбы массированно одновременно на нескольких фронтах.</w:t>
      </w:r>
    </w:p>
    <w:p w14:paraId="310FE6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Массовое применение ПТАБ имело ошеломляющий эффект тактической неожиданности и оказало сильное моральное воздействие на противника. Бывший начальник штаба 48-го танкового корпуса генерал фон Меллентин впоследствии писал: "...многие танки стали жертвой советской авиации - в ходе этого сражения русские летчики, несмотря на превосходство в воздухе немецкой авиации, проявляли исключительную смелость".</w:t>
      </w:r>
    </w:p>
    <w:p w14:paraId="4A189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случаях экипажи докладывали, что от прямых попаданий ПТАБ танки и автомашины горят, а при повторных налетах танки сходят с дороги и рассредоточиваются.</w:t>
      </w:r>
    </w:p>
    <w:p w14:paraId="2CD249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Многочисленные доклады летчиков об уничтожении ПТАБами большого количества бронетехники вызывали вполне законное недоверие вышестоящего командования. "Данные, полученные от летного состава, не могут являться объективными, так как летный состав штурмовиков падения своих бомб не видит и судит о поражении танков по косвенным признакам, например, столбам дыма, выделяющимся из общего облака пыли, ...или по очагам взрыва, которые при смешанной бомбовой зарядке в группах, практикующейся в частях, могут являться следствием взрыва своих бомб крупного калибра", - указывал старший помощник начальника 2-го отдела Оперативного управления штаба ВВС инженер-майор И. В. Пименов в своем отчете о командировке в части 16-й ВА.</w:t>
      </w:r>
    </w:p>
    <w:p w14:paraId="1A524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этой причине в ряде случаев для контроля результатов ударов стали вылетать офицеры штабов дивизий и лично командиры полков, а в войска выехали спецгруппы штабов воздушных армий.</w:t>
      </w:r>
    </w:p>
    <w:p w14:paraId="61373F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7 июля заместитель командира 299-го шад по воздушно-стрелковой службе военный инженер 2-го ранга Щербина вылетал в составе группы из 7 Ил-2 от 217-го шап (ведущий ст. лейтенант Рыжков) для контроля результатов удара по танкам противника на выс. 255.0 в 1 км севернее ст. Поныри. В этом районе было обнаружено до 35 немецких танков, вкопанных в землю, и около 15 танков в движении. Группа нанесла удар с высоты 800-900 м с пикирования под углом 20-25°. Бомбовая зарядка двух самолетов состояла из ПТАБ, у остальных - из ФАБ-50. Штурмовики выполнили два захода на цель. Сброшенные ПТАБ накрыли разрывами танки, три из которых загорелись - экипажи отчетливо наблюдали пламя и черный дым.</w:t>
      </w:r>
    </w:p>
    <w:p w14:paraId="1F8DF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командир 617-го шап майор Д. J1. Ломовцев возглавил группу в составе 6 Ил-2. Штурмовики нанесли удар по скоплению танков в районе Покровка, Яковлево, Козьмо-Демьяновка. Экипажи выполнили две атаки: первая с высоты 600-800 м со сбросом ПТАБ и вторая - с обстрелом целей из PC и пушек с высоты 200-150 м. На отходе группы было зафиксировано до 15 горяших танков и четыре больших взрывов.</w:t>
      </w:r>
    </w:p>
    <w:p w14:paraId="235E5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вылеты "ответственных командиров" и поездки офицеров штабов на передовую с целью установления действительной эффективности ПТАБ позволили командованию воздушных армий заявить, что "приведенные цифры потерь противника ... являются правильными" и заслуживают доверия (12020).</w:t>
      </w:r>
    </w:p>
    <w:p w14:paraId="762389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1B4C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Ранним утром 5 июля 1943 г. в ходе отражения начавшегося в тот день наступления гер</w:t>
      </w:r>
      <w:r w:rsidRPr="00271E51">
        <w:rPr>
          <w:rFonts w:ascii="Times New Roman" w:cs="Times New Roman"/>
          <w:color w:val="000000" w:themeColor="text1"/>
          <w:spacing w:val="0"/>
        </w:rPr>
        <w:softHyphen/>
        <w:t>манских войск в районе Курского выступа в полосе Воронежского и Центрального фронтов впервые были применены противотанковые авиабомбы ПТАБ- 2,5-1,5.</w:t>
      </w:r>
    </w:p>
    <w:p w14:paraId="41323374"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Счет боевому применению этих бомб открыли летчики 617-го шап 291-й шад 2-й воздушной армии Воронежского фронта. Под удар 8 экипажей этого полка топали немецкие танки из 48-го танково</w:t>
      </w:r>
      <w:r w:rsidRPr="00271E51">
        <w:rPr>
          <w:rFonts w:ascii="Times New Roman" w:cs="Times New Roman"/>
          <w:color w:val="000000" w:themeColor="text1"/>
          <w:spacing w:val="0"/>
        </w:rPr>
        <w:softHyphen/>
        <w:t>го корпуса, выдвигавшиеся из Бутово на Черкасское, и скопление танков в 2 км се</w:t>
      </w:r>
      <w:r w:rsidRPr="00271E51">
        <w:rPr>
          <w:rFonts w:ascii="Times New Roman" w:cs="Times New Roman"/>
          <w:color w:val="000000" w:themeColor="text1"/>
          <w:spacing w:val="0"/>
        </w:rPr>
        <w:softHyphen/>
        <w:t>вернее Бутово. После возвращения с бое</w:t>
      </w:r>
      <w:r w:rsidRPr="00271E51">
        <w:rPr>
          <w:rFonts w:ascii="Times New Roman" w:cs="Times New Roman"/>
          <w:color w:val="000000" w:themeColor="text1"/>
          <w:spacing w:val="0"/>
        </w:rPr>
        <w:softHyphen/>
        <w:t>вого задания экипажи доложили, что они наблюдали в районе взрывов авиабомб сильный огонь и дым, на фоне чего выделя</w:t>
      </w:r>
      <w:r w:rsidRPr="00271E51">
        <w:rPr>
          <w:rFonts w:ascii="Times New Roman" w:cs="Times New Roman"/>
          <w:color w:val="000000" w:themeColor="text1"/>
          <w:spacing w:val="0"/>
        </w:rPr>
        <w:softHyphen/>
        <w:t>лось до 15 горящих танков». Кроме этого, было уничтожено 6 автомашин и создано 12 очагов пожаров. Всего было израсходо</w:t>
      </w:r>
      <w:r w:rsidRPr="00271E51">
        <w:rPr>
          <w:rFonts w:ascii="Times New Roman" w:cs="Times New Roman"/>
          <w:color w:val="000000" w:themeColor="text1"/>
          <w:spacing w:val="0"/>
        </w:rPr>
        <w:softHyphen/>
        <w:t>вано 1248 ПТАБ, 8 АО-25, 28 РС-82 и 890 снарядов к пушкам ВЯ-23. Экипажи 61-го шап из этой же дивизии, также вылетали для уничтожения танков, но новые авиа</w:t>
      </w:r>
      <w:r w:rsidRPr="00271E51">
        <w:rPr>
          <w:rFonts w:ascii="Times New Roman" w:cs="Times New Roman"/>
          <w:color w:val="000000" w:themeColor="text1"/>
          <w:spacing w:val="0"/>
        </w:rPr>
        <w:softHyphen/>
        <w:t>бомбы они не применяли.</w:t>
      </w:r>
    </w:p>
    <w:p w14:paraId="3DECC334"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тот же день ПТАБы с большим эффектом применили и летчики 266-й шад 1-го -ггурмового авиакорпуса. Группа в составе </w:t>
      </w:r>
      <w:r w:rsidRPr="00271E51">
        <w:rPr>
          <w:rStyle w:val="ArialNarrow-1pt"/>
          <w:rFonts w:ascii="Times New Roman" w:hAnsi="Times New Roman" w:cs="Times New Roman"/>
          <w:b w:val="0"/>
          <w:color w:val="000000" w:themeColor="text1"/>
          <w:spacing w:val="0"/>
          <w:sz w:val="16"/>
          <w:szCs w:val="16"/>
        </w:rPr>
        <w:t>10</w:t>
      </w:r>
      <w:r w:rsidRPr="00271E51">
        <w:rPr>
          <w:rFonts w:ascii="Times New Roman" w:cs="Times New Roman"/>
          <w:color w:val="000000" w:themeColor="text1"/>
          <w:spacing w:val="0"/>
        </w:rPr>
        <w:t xml:space="preserve"> Ил-2 от 673-го шап (ведущий комполка майор Матиков) атаковали немецкие тан</w:t>
      </w:r>
      <w:r w:rsidRPr="00271E51">
        <w:rPr>
          <w:rFonts w:ascii="Times New Roman" w:cs="Times New Roman"/>
          <w:color w:val="000000" w:themeColor="text1"/>
          <w:spacing w:val="0"/>
        </w:rPr>
        <w:softHyphen/>
        <w:t>ки, стоявшие на месте в районе Яковлево, Погорелово. В результате удара было унич</w:t>
      </w:r>
      <w:r w:rsidRPr="00271E51">
        <w:rPr>
          <w:rFonts w:ascii="Times New Roman" w:cs="Times New Roman"/>
          <w:color w:val="000000" w:themeColor="text1"/>
          <w:spacing w:val="0"/>
        </w:rPr>
        <w:softHyphen/>
        <w:t>тожено и повреждено до 10 танков и 10 ав</w:t>
      </w:r>
      <w:r w:rsidRPr="00271E51">
        <w:rPr>
          <w:rFonts w:ascii="Times New Roman" w:cs="Times New Roman"/>
          <w:color w:val="000000" w:themeColor="text1"/>
          <w:spacing w:val="0"/>
        </w:rPr>
        <w:softHyphen/>
        <w:t>томашин, наблюдался один взрыв большой силы. Помимо осколочных и фугасных авиа</w:t>
      </w:r>
      <w:r w:rsidRPr="00271E51">
        <w:rPr>
          <w:rFonts w:ascii="Times New Roman" w:cs="Times New Roman"/>
          <w:color w:val="000000" w:themeColor="text1"/>
          <w:spacing w:val="0"/>
        </w:rPr>
        <w:softHyphen/>
        <w:t>бомб было сброшено 491 ПТАБ (12739).</w:t>
      </w:r>
    </w:p>
    <w:p w14:paraId="3F09887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6BC5309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5 июля 1943 по поводу первого боевого применения ПТАБ летчиками 291-й шад генерал- полковник С.А. Худяков в донесении на имя командующего ВВС маршала А.А. Новико</w:t>
      </w:r>
      <w:r w:rsidRPr="00271E51">
        <w:rPr>
          <w:rFonts w:ascii="Times New Roman" w:cs="Times New Roman"/>
          <w:color w:val="000000" w:themeColor="text1"/>
          <w:spacing w:val="0"/>
        </w:rPr>
        <w:softHyphen/>
        <w:t>ва о действиях авиации сообщал:</w:t>
      </w:r>
    </w:p>
    <w:p w14:paraId="06E7131D" w14:textId="77777777" w:rsidR="00BA7A65" w:rsidRPr="00271E51" w:rsidRDefault="00BA7A65" w:rsidP="00271E51">
      <w:pPr>
        <w:pStyle w:val="27"/>
        <w:shd w:val="clear" w:color="auto" w:fill="auto"/>
        <w:tabs>
          <w:tab w:val="left" w:pos="188"/>
        </w:tabs>
        <w:autoSpaceDE/>
        <w:autoSpaceDN/>
        <w:adjustRightInd/>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«Летчики полковника Витрука в восхище</w:t>
      </w:r>
      <w:r w:rsidRPr="00271E51">
        <w:rPr>
          <w:rFonts w:ascii="Times New Roman" w:cs="Times New Roman"/>
          <w:color w:val="000000" w:themeColor="text1"/>
          <w:spacing w:val="0"/>
        </w:rPr>
        <w:softHyphen/>
        <w:t>нии от результатов действия этих бомб» (12739).</w:t>
      </w:r>
    </w:p>
    <w:p w14:paraId="69D500CC" w14:textId="77777777" w:rsidR="00BA7A65" w:rsidRPr="00271E51" w:rsidRDefault="00BA7A65" w:rsidP="00271E51">
      <w:pPr>
        <w:pStyle w:val="27"/>
        <w:shd w:val="clear" w:color="auto" w:fill="auto"/>
        <w:tabs>
          <w:tab w:val="left" w:pos="188"/>
        </w:tabs>
        <w:autoSpaceDE/>
        <w:autoSpaceDN/>
        <w:adjustRightInd/>
        <w:spacing w:after="0" w:line="240" w:lineRule="auto"/>
        <w:ind w:firstLine="0"/>
        <w:rPr>
          <w:rFonts w:ascii="Times New Roman" w:cs="Times New Roman"/>
          <w:color w:val="000000" w:themeColor="text1"/>
          <w:spacing w:val="0"/>
        </w:rPr>
      </w:pPr>
    </w:p>
    <w:p w14:paraId="2B8C73F8"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5 июля 1943 г. в ходе отражения начавшегося в этот день наступления германских войск в районе Курского выступа в полосе Воронежского и Центрального фронтов ранним утром впервые были применены Противотанковые авиабомбы ПТАБ-2,5-1,5.</w:t>
      </w:r>
    </w:p>
    <w:p w14:paraId="4649AD1C"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Счет боевому применению этих бомб откры</w:t>
      </w:r>
      <w:r w:rsidRPr="00271E51">
        <w:rPr>
          <w:color w:val="000000" w:themeColor="text1"/>
          <w:sz w:val="16"/>
          <w:szCs w:val="16"/>
        </w:rPr>
        <w:softHyphen/>
        <w:t>ли летчики 617-го шап 291-й шад 2-й воздушной армии Воронежского фронта. Под удар 8 экипажей этого полка по</w:t>
      </w:r>
      <w:r w:rsidRPr="00271E51">
        <w:rPr>
          <w:color w:val="000000" w:themeColor="text1"/>
          <w:sz w:val="16"/>
          <w:szCs w:val="16"/>
        </w:rPr>
        <w:softHyphen/>
        <w:t>пали немецкие танки из 48-го тан</w:t>
      </w:r>
      <w:r w:rsidRPr="00271E51">
        <w:rPr>
          <w:color w:val="000000" w:themeColor="text1"/>
          <w:sz w:val="16"/>
          <w:szCs w:val="16"/>
        </w:rPr>
        <w:softHyphen/>
        <w:t>кового корпуса, выдвигавшиеся из Бутова на Черкасское, и скопление танков в 2 км севернее Бутова. По</w:t>
      </w:r>
      <w:r w:rsidRPr="00271E51">
        <w:rPr>
          <w:color w:val="000000" w:themeColor="text1"/>
          <w:sz w:val="16"/>
          <w:szCs w:val="16"/>
        </w:rPr>
        <w:softHyphen/>
        <w:t>сле возвращения с боевого задания экипажи доложили, что они «наблю</w:t>
      </w:r>
      <w:r w:rsidRPr="00271E51">
        <w:rPr>
          <w:color w:val="000000" w:themeColor="text1"/>
          <w:sz w:val="16"/>
          <w:szCs w:val="16"/>
        </w:rPr>
        <w:softHyphen/>
        <w:t>дали в районе взрывов авиабомб сильный огонь и дым, на фоне чего выделялось до 15 горящих танков». Кроме этого, было уничтожено 6 автомашин и создано 12 очагов пожаров. Всего было израсходо</w:t>
      </w:r>
      <w:r w:rsidRPr="00271E51">
        <w:rPr>
          <w:color w:val="000000" w:themeColor="text1"/>
          <w:sz w:val="16"/>
          <w:szCs w:val="16"/>
        </w:rPr>
        <w:softHyphen/>
        <w:t>вано 1248 ПТАБ, 8 АО-25, 28 РС-82 и 890 снарядов к пушкам ВЯ. Эки</w:t>
      </w:r>
      <w:r w:rsidRPr="00271E51">
        <w:rPr>
          <w:color w:val="000000" w:themeColor="text1"/>
          <w:sz w:val="16"/>
          <w:szCs w:val="16"/>
        </w:rPr>
        <w:softHyphen/>
        <w:t>пажи 61-го шап из этой же дивизии также вылетали для уничтожения танков, но новые авиабомбы они не применяли.</w:t>
      </w:r>
    </w:p>
    <w:p w14:paraId="1382F7F9"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этот же день ПТАБы с большим эффектом применили и летчики 266-й шад 1-го штурмового авиа</w:t>
      </w:r>
      <w:r w:rsidRPr="00271E51">
        <w:rPr>
          <w:color w:val="000000" w:themeColor="text1"/>
          <w:sz w:val="16"/>
          <w:szCs w:val="16"/>
        </w:rPr>
        <w:softHyphen/>
        <w:t>корпуса. Группа в составе 10 Ил-2 от 673-го шап (ведущий комполка май</w:t>
      </w:r>
      <w:r w:rsidRPr="00271E51">
        <w:rPr>
          <w:color w:val="000000" w:themeColor="text1"/>
          <w:sz w:val="16"/>
          <w:szCs w:val="16"/>
        </w:rPr>
        <w:softHyphen/>
        <w:t>ор Матиков) атаковали немецкие танки, стоявшие на месте в районе Яковлево, Погорелово. В результате удара было уничтожено и повреж</w:t>
      </w:r>
      <w:r w:rsidRPr="00271E51">
        <w:rPr>
          <w:color w:val="000000" w:themeColor="text1"/>
          <w:sz w:val="16"/>
          <w:szCs w:val="16"/>
        </w:rPr>
        <w:softHyphen/>
        <w:t>дено до 10 танков и 10 автомашин, наблюдался один взрыв большой силы. Помимо осколочных и фугас</w:t>
      </w:r>
      <w:r w:rsidRPr="00271E51">
        <w:rPr>
          <w:color w:val="000000" w:themeColor="text1"/>
          <w:sz w:val="16"/>
          <w:szCs w:val="16"/>
        </w:rPr>
        <w:softHyphen/>
        <w:t>ных авиабомб была сброшена 491 ПТАБ.</w:t>
      </w:r>
    </w:p>
    <w:p w14:paraId="226FB50B"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поводу первого боевого при</w:t>
      </w:r>
      <w:r w:rsidRPr="00271E51">
        <w:rPr>
          <w:color w:val="000000" w:themeColor="text1"/>
          <w:sz w:val="16"/>
          <w:szCs w:val="16"/>
        </w:rPr>
        <w:softHyphen/>
        <w:t>менения ПТАБ летчиками 291-й шад генерал-полковник С.А. Худяков в донесении на имя командующего ВВС маршала А. А. Новикова о действиях авиации 5 июля сообщал: «...летчики полковника Витрука в восхищении от результатов действия этих бомб».</w:t>
      </w:r>
    </w:p>
    <w:p w14:paraId="32813991"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Учитывая отличные результаты действия ПТАБ, советское командование приняло решение 6 ию</w:t>
      </w:r>
      <w:r w:rsidRPr="00271E51">
        <w:rPr>
          <w:color w:val="000000" w:themeColor="text1"/>
          <w:sz w:val="16"/>
          <w:szCs w:val="16"/>
        </w:rPr>
        <w:softHyphen/>
        <w:t>ля применить эти бомбы массированно одновре</w:t>
      </w:r>
      <w:r w:rsidRPr="00271E51">
        <w:rPr>
          <w:color w:val="000000" w:themeColor="text1"/>
          <w:sz w:val="16"/>
          <w:szCs w:val="16"/>
        </w:rPr>
        <w:softHyphen/>
        <w:t>менно на Центральном и Воронежском фронтах. В этот день штурмовики 2 ВА сбросили по танкам противника 11 703 ПТАБ, а 16 ВА — 1784 таких бом</w:t>
      </w:r>
      <w:r w:rsidRPr="00271E51">
        <w:rPr>
          <w:color w:val="000000" w:themeColor="text1"/>
          <w:sz w:val="16"/>
          <w:szCs w:val="16"/>
        </w:rPr>
        <w:softHyphen/>
        <w:t>бы. На следующий день масштабы боевого приме</w:t>
      </w:r>
      <w:r w:rsidRPr="00271E51">
        <w:rPr>
          <w:color w:val="000000" w:themeColor="text1"/>
          <w:sz w:val="16"/>
          <w:szCs w:val="16"/>
        </w:rPr>
        <w:softHyphen/>
        <w:t>нения ПТАБ возросли: их расход во 2-й воздушной армии составил 14 272 штуки и 7585 в 16 ВА. При</w:t>
      </w:r>
      <w:r w:rsidRPr="00271E51">
        <w:rPr>
          <w:color w:val="000000" w:themeColor="text1"/>
          <w:sz w:val="16"/>
          <w:szCs w:val="16"/>
        </w:rPr>
        <w:softHyphen/>
        <w:t>чем главными противотанкистами оказались 291-я шад 2 ВА и 299-я шад 16 ВА. На полки этих диви</w:t>
      </w:r>
      <w:r w:rsidRPr="00271E51">
        <w:rPr>
          <w:color w:val="000000" w:themeColor="text1"/>
          <w:sz w:val="16"/>
          <w:szCs w:val="16"/>
        </w:rPr>
        <w:softHyphen/>
        <w:t>зий пришлась львиная доля расхода ПТАБ. Начиная с 9 июля ПТАБы начали использовать и в 17-й воз</w:t>
      </w:r>
      <w:r w:rsidRPr="00271E51">
        <w:rPr>
          <w:color w:val="000000" w:themeColor="text1"/>
          <w:sz w:val="16"/>
          <w:szCs w:val="16"/>
        </w:rPr>
        <w:softHyphen/>
        <w:t>душной армии. Еще через три дня новые авиабом</w:t>
      </w:r>
      <w:r w:rsidRPr="00271E51">
        <w:rPr>
          <w:color w:val="000000" w:themeColor="text1"/>
          <w:sz w:val="16"/>
          <w:szCs w:val="16"/>
        </w:rPr>
        <w:softHyphen/>
        <w:t>бы в большом количестве были применены штур</w:t>
      </w:r>
      <w:r w:rsidRPr="00271E51">
        <w:rPr>
          <w:color w:val="000000" w:themeColor="text1"/>
          <w:sz w:val="16"/>
          <w:szCs w:val="16"/>
        </w:rPr>
        <w:softHyphen/>
        <w:t>мовиками 1-й и 15-й воздушных армий Западного и Брянского фронтов, войска которых проводили Орловскую наступательную операцию.</w:t>
      </w:r>
    </w:p>
    <w:p w14:paraId="228A4FF6"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Отметим, что из-за недостатка бомб ПТАБ ими снаряжались только 25—50% состава группы штур</w:t>
      </w:r>
      <w:r w:rsidRPr="00271E51">
        <w:rPr>
          <w:color w:val="000000" w:themeColor="text1"/>
          <w:sz w:val="16"/>
          <w:szCs w:val="16"/>
        </w:rPr>
        <w:softHyphen/>
        <w:t>мовиков Ил-2 в зависимости от вероятности встре</w:t>
      </w:r>
      <w:r w:rsidRPr="00271E51">
        <w:rPr>
          <w:color w:val="000000" w:themeColor="text1"/>
          <w:sz w:val="16"/>
          <w:szCs w:val="16"/>
        </w:rPr>
        <w:softHyphen/>
        <w:t>чи с танками противника. Обычный состав группы был 6—8 Ил-2.</w:t>
      </w:r>
    </w:p>
    <w:p w14:paraId="2F2A5381"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Массовое применение ПТАБ имело ошеломляю</w:t>
      </w:r>
      <w:r w:rsidRPr="00271E51">
        <w:rPr>
          <w:color w:val="000000" w:themeColor="text1"/>
          <w:sz w:val="16"/>
          <w:szCs w:val="16"/>
        </w:rPr>
        <w:softHyphen/>
        <w:t>щий эффект тактической неожиданности и оказало сильное моральное воздействие на противника. Немецкие танкисты, впрочем, как и советские, за два года войны привыкли к относительно низкой эффективности ударов авиации. Поэтому на пер</w:t>
      </w:r>
      <w:r w:rsidRPr="00271E51">
        <w:rPr>
          <w:color w:val="000000" w:themeColor="text1"/>
          <w:sz w:val="16"/>
          <w:szCs w:val="16"/>
        </w:rPr>
        <w:softHyphen/>
        <w:t>вых порах совершенно не применяли рассредото</w:t>
      </w:r>
      <w:r w:rsidRPr="00271E51">
        <w:rPr>
          <w:color w:val="000000" w:themeColor="text1"/>
          <w:sz w:val="16"/>
          <w:szCs w:val="16"/>
        </w:rPr>
        <w:softHyphen/>
        <w:t>ченные походные и предбоевые порядки, за что и были наказаны.</w:t>
      </w:r>
    </w:p>
    <w:p w14:paraId="05D24C1E"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Бывший начальник штаба 48-го германского танкового корпуса генерал фон Меллентин впо</w:t>
      </w:r>
      <w:r w:rsidRPr="00271E51">
        <w:rPr>
          <w:color w:val="000000" w:themeColor="text1"/>
          <w:sz w:val="16"/>
          <w:szCs w:val="16"/>
        </w:rPr>
        <w:softHyphen/>
        <w:t>следствии писал: «. многие танки стали жертвой советской авиации — в ходе этого сражения рус</w:t>
      </w:r>
      <w:r w:rsidRPr="00271E51">
        <w:rPr>
          <w:color w:val="000000" w:themeColor="text1"/>
          <w:sz w:val="16"/>
          <w:szCs w:val="16"/>
        </w:rPr>
        <w:softHyphen/>
        <w:t>ские летчики, несмотря на превосходство в возду</w:t>
      </w:r>
      <w:r w:rsidRPr="00271E51">
        <w:rPr>
          <w:color w:val="000000" w:themeColor="text1"/>
          <w:sz w:val="16"/>
          <w:szCs w:val="16"/>
        </w:rPr>
        <w:softHyphen/>
        <w:t>хе немецкой авиации, проявляли исключительную смелость».</w:t>
      </w:r>
    </w:p>
    <w:p w14:paraId="6FBEBC9D"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 всех случаях экипажи докладывали, что от прямых попаданий ПТАБ танки и автомашины горят, на местности все загорается, а при повторных на</w:t>
      </w:r>
      <w:r w:rsidRPr="00271E51">
        <w:rPr>
          <w:color w:val="000000" w:themeColor="text1"/>
          <w:sz w:val="16"/>
          <w:szCs w:val="16"/>
        </w:rPr>
        <w:softHyphen/>
        <w:t>летах танки сходят с дороги и рассредоточиваются.</w:t>
      </w:r>
    </w:p>
    <w:p w14:paraId="0356C933"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Многочисленные доклады летчиков об унич</w:t>
      </w:r>
      <w:r w:rsidRPr="00271E51">
        <w:rPr>
          <w:color w:val="000000" w:themeColor="text1"/>
          <w:sz w:val="16"/>
          <w:szCs w:val="16"/>
        </w:rPr>
        <w:softHyphen/>
        <w:t>тожении ПТАБами большого количества бронетех</w:t>
      </w:r>
      <w:r w:rsidRPr="00271E51">
        <w:rPr>
          <w:color w:val="000000" w:themeColor="text1"/>
          <w:sz w:val="16"/>
          <w:szCs w:val="16"/>
        </w:rPr>
        <w:softHyphen/>
        <w:t>ники противника вызывали вполне законное не</w:t>
      </w:r>
      <w:r w:rsidRPr="00271E51">
        <w:rPr>
          <w:color w:val="000000" w:themeColor="text1"/>
          <w:sz w:val="16"/>
          <w:szCs w:val="16"/>
        </w:rPr>
        <w:softHyphen/>
        <w:t>доверие вышестоящего командования. «Данные, полученные от летного состава, не могут являться объективными, так как летный состав штурмовиков падения своих бомб не видит и судит о поражении танков по косвенным признакам, например стол бам дыма, выделяющимся из общего облака пыли, /.../ или по очагам взрыва, которые при смешанной бомбовой зарядке в группах, практикующейся в ча</w:t>
      </w:r>
      <w:r w:rsidRPr="00271E51">
        <w:rPr>
          <w:color w:val="000000" w:themeColor="text1"/>
          <w:sz w:val="16"/>
          <w:szCs w:val="16"/>
        </w:rPr>
        <w:softHyphen/>
        <w:t>стях, могут являться следствием взрыва своих бомб крупного калибра», — указывал старший помощ</w:t>
      </w:r>
      <w:r w:rsidRPr="00271E51">
        <w:rPr>
          <w:color w:val="000000" w:themeColor="text1"/>
          <w:sz w:val="16"/>
          <w:szCs w:val="16"/>
        </w:rPr>
        <w:softHyphen/>
        <w:t>ник начальника 2-го отдела Оперативного управ</w:t>
      </w:r>
      <w:r w:rsidRPr="00271E51">
        <w:rPr>
          <w:color w:val="000000" w:themeColor="text1"/>
          <w:sz w:val="16"/>
          <w:szCs w:val="16"/>
        </w:rPr>
        <w:softHyphen/>
        <w:t>ления штаба ВВС инженер-майор И. В. Пименов в своем отчете о командировке в части и соедине</w:t>
      </w:r>
      <w:r w:rsidRPr="00271E51">
        <w:rPr>
          <w:color w:val="000000" w:themeColor="text1"/>
          <w:sz w:val="16"/>
          <w:szCs w:val="16"/>
        </w:rPr>
        <w:softHyphen/>
        <w:t>ния 16 ВА.</w:t>
      </w:r>
    </w:p>
    <w:p w14:paraId="33716E3D"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этой причине в ряде случаев для контроля результатов ударов стали вылетать офицеры штабов дивизий и лично командиры пол</w:t>
      </w:r>
      <w:r w:rsidRPr="00271E51">
        <w:rPr>
          <w:color w:val="000000" w:themeColor="text1"/>
          <w:sz w:val="16"/>
          <w:szCs w:val="16"/>
        </w:rPr>
        <w:softHyphen/>
        <w:t>ков, а в войска выехали спецгруппы штабов воздушных армий.</w:t>
      </w:r>
    </w:p>
    <w:p w14:paraId="219EE34B"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Например, 7 июля заместитель командира 299-й шад по воздуш</w:t>
      </w:r>
      <w:r w:rsidRPr="00271E51">
        <w:rPr>
          <w:color w:val="000000" w:themeColor="text1"/>
          <w:sz w:val="16"/>
          <w:szCs w:val="16"/>
        </w:rPr>
        <w:softHyphen/>
        <w:t>но-стрелковой службе военинже</w:t>
      </w:r>
      <w:r w:rsidRPr="00271E51">
        <w:rPr>
          <w:color w:val="000000" w:themeColor="text1"/>
          <w:sz w:val="16"/>
          <w:szCs w:val="16"/>
        </w:rPr>
        <w:softHyphen/>
        <w:t>нер 2-го ранга Щербина вылетал в составе группы из 7 самолетов Ил-2 от 217-го шап (ведущий — старший лейтенант Рыжков) для контроля результатов удара по тан</w:t>
      </w:r>
      <w:r w:rsidRPr="00271E51">
        <w:rPr>
          <w:color w:val="000000" w:themeColor="text1"/>
          <w:sz w:val="16"/>
          <w:szCs w:val="16"/>
        </w:rPr>
        <w:softHyphen/>
        <w:t>кам противника на выс. 255.0 в 1 км севернее ст. Поныри. В этом районе было обнаружено до 35 немецких танков, вкопанных в землю, и око</w:t>
      </w:r>
      <w:r w:rsidRPr="00271E51">
        <w:rPr>
          <w:color w:val="000000" w:themeColor="text1"/>
          <w:sz w:val="16"/>
          <w:szCs w:val="16"/>
        </w:rPr>
        <w:softHyphen/>
        <w:t>ло 15 танков в движении. Группа на</w:t>
      </w:r>
      <w:r w:rsidRPr="00271E51">
        <w:rPr>
          <w:color w:val="000000" w:themeColor="text1"/>
          <w:sz w:val="16"/>
          <w:szCs w:val="16"/>
        </w:rPr>
        <w:softHyphen/>
        <w:t>несла удар в 16.00 с высоты 800— 900 м с пикирования под углом 20—25°. Направление удара — 15° к большей стороне цели (площади сосредоточении танков). Бомбовая зарядка 2 самолетов состояла из ПТАБ, у остальных — из ФАБ-50. Штурмовики выполнили 2 захода на цель. Сброшенные ПТАБы на</w:t>
      </w:r>
      <w:r w:rsidRPr="00271E51">
        <w:rPr>
          <w:color w:val="000000" w:themeColor="text1"/>
          <w:sz w:val="16"/>
          <w:szCs w:val="16"/>
        </w:rPr>
        <w:softHyphen/>
        <w:t>крыли разрывами танки, 3 из ко</w:t>
      </w:r>
      <w:r w:rsidRPr="00271E51">
        <w:rPr>
          <w:color w:val="000000" w:themeColor="text1"/>
          <w:sz w:val="16"/>
          <w:szCs w:val="16"/>
        </w:rPr>
        <w:softHyphen/>
        <w:t>торых загорелись — экипажи от</w:t>
      </w:r>
      <w:r w:rsidRPr="00271E51">
        <w:rPr>
          <w:color w:val="000000" w:themeColor="text1"/>
          <w:sz w:val="16"/>
          <w:szCs w:val="16"/>
        </w:rPr>
        <w:softHyphen/>
        <w:t>четливо наблюдали пламя и чер</w:t>
      </w:r>
      <w:r w:rsidRPr="00271E51">
        <w:rPr>
          <w:color w:val="000000" w:themeColor="text1"/>
          <w:sz w:val="16"/>
          <w:szCs w:val="16"/>
        </w:rPr>
        <w:softHyphen/>
        <w:t>ный дым.</w:t>
      </w:r>
    </w:p>
    <w:p w14:paraId="6782728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этот же день 2 группы по 8 Ил-2 (ведущие — старший лейте</w:t>
      </w:r>
      <w:r w:rsidRPr="00271E51">
        <w:rPr>
          <w:color w:val="000000" w:themeColor="text1"/>
          <w:sz w:val="16"/>
          <w:szCs w:val="16"/>
        </w:rPr>
        <w:softHyphen/>
        <w:t>нант Баранов, младший лейтенант Голубев) от 291-й шад атаковали колонну немецкой бронетехни</w:t>
      </w:r>
      <w:r w:rsidRPr="00271E51">
        <w:rPr>
          <w:color w:val="000000" w:themeColor="text1"/>
          <w:sz w:val="16"/>
          <w:szCs w:val="16"/>
        </w:rPr>
        <w:softHyphen/>
        <w:t>ки в количестве около 400 еди</w:t>
      </w:r>
      <w:r w:rsidRPr="00271E51">
        <w:rPr>
          <w:color w:val="000000" w:themeColor="text1"/>
          <w:sz w:val="16"/>
          <w:szCs w:val="16"/>
        </w:rPr>
        <w:softHyphen/>
        <w:t>ниц в движении от Томаровка на Черкасское. Каждая группа выполнила по 2 за</w:t>
      </w:r>
      <w:r w:rsidRPr="00271E51">
        <w:rPr>
          <w:color w:val="000000" w:themeColor="text1"/>
          <w:sz w:val="16"/>
          <w:szCs w:val="16"/>
        </w:rPr>
        <w:softHyphen/>
        <w:t>хода, сбрасывая бомбы с высоты 200—300 м. В результате удара загорелось до 20 танков. Дви</w:t>
      </w:r>
      <w:r w:rsidRPr="00271E51">
        <w:rPr>
          <w:color w:val="000000" w:themeColor="text1"/>
          <w:sz w:val="16"/>
          <w:szCs w:val="16"/>
        </w:rPr>
        <w:softHyphen/>
        <w:t>жение колонны расстроилось. Противник свер</w:t>
      </w:r>
      <w:r w:rsidRPr="00271E51">
        <w:rPr>
          <w:color w:val="000000" w:themeColor="text1"/>
          <w:sz w:val="16"/>
          <w:szCs w:val="16"/>
        </w:rPr>
        <w:softHyphen/>
        <w:t>нул с дороги и рассредоточился в перелесках и лощинах.</w:t>
      </w:r>
    </w:p>
    <w:p w14:paraId="126FE34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июля командир 617-го шап майор Д. Л. Ломов- цев возглавил группу в составе 6 Ил-2. Штурмови ки нанесли удар по скоплению танков в районе Покровка, Яковлево, Козьмо-Демьяновка. Экипа</w:t>
      </w:r>
      <w:r w:rsidRPr="00271E51">
        <w:rPr>
          <w:color w:val="000000" w:themeColor="text1"/>
          <w:sz w:val="16"/>
          <w:szCs w:val="16"/>
        </w:rPr>
        <w:softHyphen/>
        <w:t>жи выполнили 2 атаки: 1-я с высоты 600—800 м со сбросом ПТАБ и 2-я — с обстрелом целей из РС и пушек с высоты 200—150 м. На отходе груп</w:t>
      </w:r>
      <w:r w:rsidRPr="00271E51">
        <w:rPr>
          <w:color w:val="000000" w:themeColor="text1"/>
          <w:sz w:val="16"/>
          <w:szCs w:val="16"/>
        </w:rPr>
        <w:softHyphen/>
        <w:t>пы было зафиксировано до 15 горящих танков и 4 больших взрыва.</w:t>
      </w:r>
    </w:p>
    <w:p w14:paraId="696E226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Контрольные вылеты «ответственных команди</w:t>
      </w:r>
      <w:r w:rsidRPr="00271E51">
        <w:rPr>
          <w:color w:val="000000" w:themeColor="text1"/>
          <w:sz w:val="16"/>
          <w:szCs w:val="16"/>
        </w:rPr>
        <w:softHyphen/>
        <w:t>ров» и поездки офицеров штабов на передовую с целью установления действительной эффектив</w:t>
      </w:r>
      <w:r w:rsidRPr="00271E51">
        <w:rPr>
          <w:color w:val="000000" w:themeColor="text1"/>
          <w:sz w:val="16"/>
          <w:szCs w:val="16"/>
        </w:rPr>
        <w:softHyphen/>
        <w:t>ности ПТАБ позволили командованию воздушных армий заявить, что «приведенные цифры потерь противника /.../ являются правильными» и заслу</w:t>
      </w:r>
      <w:r w:rsidRPr="00271E51">
        <w:rPr>
          <w:color w:val="000000" w:themeColor="text1"/>
          <w:sz w:val="16"/>
          <w:szCs w:val="16"/>
        </w:rPr>
        <w:softHyphen/>
        <w:t>живают доверия (17500).</w:t>
      </w:r>
    </w:p>
    <w:p w14:paraId="4129E769" w14:textId="77777777" w:rsidR="00B8210E" w:rsidRPr="00271E51" w:rsidRDefault="00B8210E" w:rsidP="00271E51">
      <w:pPr>
        <w:spacing w:after="0" w:line="240" w:lineRule="auto"/>
        <w:jc w:val="both"/>
        <w:rPr>
          <w:rFonts w:ascii="Times New Roman" w:hAnsi="Times New Roman"/>
          <w:color w:val="000000" w:themeColor="text1"/>
          <w:sz w:val="16"/>
          <w:szCs w:val="16"/>
        </w:rPr>
      </w:pPr>
    </w:p>
    <w:p w14:paraId="7F9F9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самолет Ил-6 из Иркутска отправлен вагонами N 156016, 1021007, 1240788, 564382 с воинским транспортом 91/5921. 25 июля 1943 должны были быть в пункте назначения (1786,266).</w:t>
      </w:r>
    </w:p>
    <w:p w14:paraId="278579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E8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года начальник НИИ ВВС Лосюков писал письмо N 1/0088 Шахурину.</w:t>
      </w:r>
    </w:p>
    <w:p w14:paraId="4BFBC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карточки летно-тактических данных самолетов, прошедших испытания в НИИ ВВС для включения их в альбом самолетов ВВС 1943 г.</w:t>
      </w:r>
    </w:p>
    <w:p w14:paraId="15B12E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Як-1 с М-105ПФ, серийный N 07127, по контр. испыт. с-та от 7.V.43 г.</w:t>
      </w:r>
    </w:p>
    <w:p w14:paraId="494F76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Як-1 с М-106-1ск, серийный N 17122 и N 32123, по госиспыт. самолетов от 14.IV.43 г.</w:t>
      </w:r>
    </w:p>
    <w:p w14:paraId="08903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Як-9П с М-105ПФ, N 0120, по госиспыт. с-та от 2.VI.43 г.</w:t>
      </w:r>
    </w:p>
    <w:p w14:paraId="1E9B3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Як-7Б с М-105ПФ, серийный N 82936, по контр. испыт. самолете от 8.IV.43 г.</w:t>
      </w:r>
    </w:p>
    <w:p w14:paraId="44E35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Лагг-3 с М-105ПФ, серийный N 6066, по контр. испытаниям самолета от 29.V.43 г.</w:t>
      </w:r>
    </w:p>
    <w:p w14:paraId="5F8E9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Ил-2 с АМ-38ф, серийный, N 6526, по контр. испытаниям самолета от 19.V.43 г.</w:t>
      </w:r>
    </w:p>
    <w:p w14:paraId="7D5DE7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Ил-4 с 2М-88Б, серийный N 5043920, по испытанию самолета от 20.IV.43 г.</w:t>
      </w:r>
    </w:p>
    <w:p w14:paraId="16775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Пе-2 с 2М-82, N 19/31, по гос. испытаниям самолета от 14.IV.43 г.</w:t>
      </w:r>
    </w:p>
    <w:p w14:paraId="7C10A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Як-6 с 2М-11Ф, серийный N 09, по контр. испытаниям самолета от 17.V.43 г.</w:t>
      </w:r>
    </w:p>
    <w:p w14:paraId="268FA5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УТ-2МВ с -11Д, серийный N 1680112, по контр. испытаниям самолета от 20.IV.43 г.</w:t>
      </w:r>
    </w:p>
    <w:p w14:paraId="6FC10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Дуглас ДВ-7С с моторами Райт-Циклон GR-2600-А5В, по испытаниям самолета от...IV.43 г.</w:t>
      </w:r>
    </w:p>
    <w:p w14:paraId="5B38E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Фокке-Вульф 200 "Курьер" с 4 моторами Брамо 323 R/2, по испытанию самолета от 19.V.43 г (1793,193).</w:t>
      </w:r>
    </w:p>
    <w:p w14:paraId="322F9C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17D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5 июля по 6 августа 1943 проводились войсковые испытания 34-х Як-9Т на ЦФ в 16ВА. Летало 80 летчиков 6 полков, входивших в 273 иад 6 иак и 1 кв. Сталинградской иак. Провели 78 боев и в 31 были результаты. Тратили в среднем 31 снаряд 37 мм на сбитую машину по сравнению с 147 20 мм и 123 снарядами 12.7 мм (65,117).</w:t>
      </w:r>
    </w:p>
    <w:p w14:paraId="6DC8CE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9E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года 34 Як-9Т поступили в 1-ю гвардейскую Сталинградскую иад и 273-ю иад 6-го иак (16 ВА, Центральный фронт) для войсковых испытаний. К началу испытаний в 53-м гвардейском Сталинградском иап (гсиап) (командир - майор Моторный) было 2 Як-9Т, в 54-м гвардейском Керченском иап (гкиап) - 8 Як-9Т (командир - подполковник Мельников) и 55-м гвардейском Харьковском иап (гхиап, командир - подполковник Шишкин) - 2 Як-9Т. Все они входили в 1-ю гвардейскую Сталинградскую иад. В 273-ю иад входили 157-й (командир - майор Волков) 163-й (командир - майор Пологов) и 347-й иап (командир - капитан Данкевич). В них числилось соответственно 6 и по 8 Як-9Т.</w:t>
      </w:r>
    </w:p>
    <w:p w14:paraId="507620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Участвовавшие в войсковых испытаниях 34 самолета, базировались на различных аэродромах, находившихся друг от друга на расстоянии до 100 км. В ходе испытаний </w:t>
      </w:r>
      <w:r w:rsidRPr="00271E51">
        <w:rPr>
          <w:rFonts w:ascii="Times New Roman" w:hAnsi="Times New Roman"/>
          <w:color w:val="000000" w:themeColor="text1"/>
          <w:sz w:val="16"/>
          <w:szCs w:val="16"/>
        </w:rPr>
        <w:lastRenderedPageBreak/>
        <w:t>самолеты нередко переходили из одного полка в другой. Например, 29 июля 1943 года командование 54 полка передало оставшиеся пять машин в 55 гхиап. Все полки никакой специальной подготовки по освоению материальной части самолета Як-9Т и его вооружения не проходили. В отдельных случаях, как, например, в 157-м иап боевые вылеты начались на следующий день после получения самолетов.</w:t>
      </w:r>
    </w:p>
    <w:p w14:paraId="5EBC9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не были закреплены за летчиками. На некоторых машинах в один день летало по несколько пилотов, особенно в 53-м и 54-м гвардейских иап, с различным уровнем подготовки. В итоге на 34 самолетах выполняли боевые задания 80 летчиков, что не могло не сказаться на эффективности использования истребителей.</w:t>
      </w:r>
    </w:p>
    <w:p w14:paraId="035F18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Як-9Т были получены с примитивными механическими прицелами (кольцо и мушка), но к концу испытаний инженерно- технический состав и бригада омского завода заменили их коллиматорными ПБП-1а.</w:t>
      </w:r>
    </w:p>
    <w:p w14:paraId="723309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Снаряжение патронной ленты производилось по-разному. В некоторых полках половина боекомплекта снаряжалась патронами с бронебойными (без наконечника) и осколочными снарядами. После запрета снаряжать орудия бронебойными патронами со снарядами без наконечников использовали только патроны с осколочными снарядами. Других боеприпасов на складах 16-й ВА не было.</w:t>
      </w:r>
    </w:p>
    <w:p w14:paraId="2B060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месяц до 6 августа летчики выполнили в общей сложности 150 самолето-вылетов на Як-9Т и 78 раз вступали в воздушные бои с противником. Несмотря на то, что бои проходили в смешанных боевых порядках с участием истребителей других типов, на долю Як-9Т пришлось 49 побед из 54-х сбитых истребителей FW-190, четыре - Ме-109, 31 пикирующий бомбардировщик Ju-87, 14 бомбардировщиков Ju-88 и семь - Не-111. Свои потери в боях составили 12 Як-9Т, а не боевые - три машины. При этом израсходовали 1503 патрона к 37-мм пушке, 8958 - к ШВАК и 16 820 - к пулемету УБС. В среднем за один сбитый самолет противника расходовалось 15 патронов к НС-37, 124 - к ШВАК и 123-к УБС.</w:t>
      </w:r>
    </w:p>
    <w:p w14:paraId="210B75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Первые две потери в ходе войсковых испытаний Як-9Т понесли 5 июля. Летчики обоих самолетов (№ 0160 из 163 иап и № 0165 из 347 иап) прикрывали наземные войска. Для самолета № 0160 это был второй боевой вылет, а причины трагедии так и не установили. Что касается машины № 0165, </w:t>
      </w:r>
    </w:p>
    <w:p w14:paraId="4FA0D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летчик - майор Плотников, преследуя противника на пикировании, выводил самолет на малой высоте и, задев верхушки деревьев, упал на нейтральной полосе.</w:t>
      </w:r>
    </w:p>
    <w:p w14:paraId="676FD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 еще три потери. При возвращении с сопровождения бомбардировщиков потерпел катастрофу на своей территории Як-9Т № 0122 347 иап. Встреч с противником в тот день и обстрела зенитной артиллерией не было и причину трагедии так и не установили. В тот же день гвардии младший лейтенант Полянский из 55 гхиап, израсходовав боеприпасы, прикрывая наземные войска, совершил лобовой таран. Это был пятый боевой вылет самолета № 0167. Третьим был истребитель № 0168 из 54 гкиап. В ходе перехвата бомбардировщика Ju-88, Як-9Т (четвертый боевой вылет) был подбит воздушным стрелком противника. Самолет сгорел, а летчик благополучно покинул его с парашютом и приземлился на своей территории.</w:t>
      </w:r>
    </w:p>
    <w:p w14:paraId="49147A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потеряли лишь одну машину. Прикрывая наземные войска, самолет № 0162 (54 гкиап) был атакован сзади с малой дистанции истребителем FW-190. Это был его четвертый боевой вылет.</w:t>
      </w:r>
    </w:p>
    <w:p w14:paraId="319D21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Спустя три дня недосчитались еще двух машин. Самолет № 0112 (54 гкиап) не вернулся с задания в третьем боевом вылете. В тот же день в бою с FW-190 и Ме-110, во время прикрытия наземных войск, был сбит истребитель № 0150 из 55 гхиап, на счету этой машины было 13 боевых вылета.</w:t>
      </w:r>
    </w:p>
    <w:p w14:paraId="742552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летчик самолета № 0109 (третий боевой вылет, 53-й гсиап), возвращаясь с разведки противника, атаковал автоколонну.</w:t>
      </w:r>
    </w:p>
    <w:p w14:paraId="56E40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выходе из атаки пуля пробила водора- диатор, и при вынужденной посадке Як-9Т был разбит.</w:t>
      </w:r>
    </w:p>
    <w:p w14:paraId="047F8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не вернулся из полета на разведку противника самолет № 0140 (157-й иап), выполнявший 22 боевой вылет . В тот день четыре "яка" атаковали 30 FW-190. В завязавшемся бою самолет потеряли из виду и судьба его до сих пор не установлена.</w:t>
      </w:r>
    </w:p>
    <w:p w14:paraId="2B5FB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не вернулся с задания летчик того же полка капитан Овчаров, летавший на Як-9Т № 0118 (18-й боевой вылет). Прикрывая наземные войска, капитан Овчаров в воздушном бою с FW-190, Ме-109 и Не-111 сбил два самолета врага: Ме-109 и Не-111, но попал под огонь FW-190. Уйдя после этого в облачность, истребитель Овча- рова вышел из облаков с отвесным пикированием и был потерян из виду.</w:t>
      </w:r>
    </w:p>
    <w:p w14:paraId="133C7A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Як-9 № 0143 из 347-го иап стал последней потерей в ходе войсковых испытаний. В бою с восьмеркой FW-190, прикрывавший наземные войска, самолет был потерян из виду и причину этой трагедии так и не установили.</w:t>
      </w:r>
    </w:p>
    <w:p w14:paraId="12437A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Может, кому-то покажутся излишним столь подробные описания, но автор считает своим долгом еще раз отметить мужество, самоотверженность и преданность отечеству наших воздушных бойцов.</w:t>
      </w:r>
    </w:p>
    <w:p w14:paraId="41C19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решали боевые задачи, как совместно с Як-1, Як-7Б и Як-9, так и самостоятельно. Например, в 54-м гкиап, из-за отсутствия исправных истребителей других типов, с 10 по 18 июля выполнили шесть боевых вылетов на прикрытие наземных войск в группах от двух до четырех самолетов, а с 20 по 24 июля - 12 боевых вылетов на разведку парами. Кроме этого, с 7 по 17 июля проведено пять групповых вылетов Як-9Т на прикрытие наземных войск, с 20 по 24 июля - восемь групповых вылетов (три Як-9Т и один Як-1) на разведку.</w:t>
      </w:r>
    </w:p>
    <w:p w14:paraId="3A04F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всех смешанных групп были Як-1 или Як-9, а в 54-м гкиап - Як-9Т. В большинстве случаев Як-9Т был ведущим пары, а их ведомыми были Як-1 или Як-9. Отмечены случаи, когда ведущими пары были Як-1, а ведомыми Як-9Т, которые во время воздушного боя отставали от ведущего. В итоге нарушалось огневое взаимодействие пары. При полетах шести и более самолетов, группы делились на ударные и прикрывающие части. Управление боем проводилось с помощью радио.</w:t>
      </w:r>
    </w:p>
    <w:p w14:paraId="6BEE9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истребителеми, применявшимися противником на Центральном фронте, были FW-190, количество которых в группе доходило порой до 30. Воздушные бои с ними проходили на различных высотах, как на встречных, так и на преследующих курсах. В отчете о результатах войсковых испытаний Як-9Т чаще других упоминается молодой и очень инициативный летчик Зеленин. Например, 7 июня лейтенант Зеленин, выбивая с хвоста ведущего своей группы FW-190 с превышением 500 м, атаковал "немца" на дистанции 25 м и сбил его. Спустя месяц этот же летчик встретился с FW-190 на встречных курсах. "Немец" сделал полупереворот и стал заходить в хвост "яка". Видя это, Зеленин отвернул влево со снижением и скольжением, но пилот FW-190, сблизившись на дистанцию 50 м, начал стрелять. Огненные трассы прошли в 15 м от "яка". Зеленин разогнал "як" со снижением, и "немец" отстал. Затем наш летчик выполнил полупереворот, но оказавшись ниже "фок- ке-вульфа", энергично сделал горку, набрав 500 м высоты. Сблизившись на дистанцию около 400 м, летчик дал прицельную очередь из УБС, но FW-190, имея преимущество в скорости, ушел вверх.</w:t>
      </w:r>
    </w:p>
    <w:p w14:paraId="3AFFD7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лейтенант Яшин на лобовой атаке сбил FW-190. В тот день группа из четырех "фокке-вульфов", идя в лобовую атаку, открыла огонь на дистанции 800-600 м, Яшин же, выбрав момент, открыл огонь с вдвое меньшего расстояния. Когда "немцы" стали отворачивать, Яшин дал четыре очереди из 37-миллиметрового орудия по 4-5 снарядов, один из которых попал в FW-190.</w:t>
      </w:r>
    </w:p>
    <w:p w14:paraId="03E9F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истребителей противника были сбиты сзади: сверху и сбоку, на дистанциях 25-400 м очередями по 3-5 снарядов.</w:t>
      </w:r>
    </w:p>
    <w:p w14:paraId="4181B8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противника ходили парами или четверками эшелонированно на высотах от 500 до 5000 м. В ходе боя эти группы наращивались. Излюбленными у пилотов FW-190 были атаки сверху с солнечной стороны. Проведя одну - две атаки, они уходили вверх, откуда выискивали отставших или выходивших из боя наших истребителей.</w:t>
      </w:r>
    </w:p>
    <w:p w14:paraId="28967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Пилоты FW-190 чаще всего вели бои на вертикалях, что было не выгодно нашим летчикам, из-за меньшей скороподъемности противотанковых "яков". На виражах, особенно правом, Як-9Т легко заходил "немцу" в хвост, а на пикировании догонял его. Лобовые атаки со стрельбой из 37-мм пушки пилоты FW-190 не выдерживали, уклоняясь от боя. Выход "яка" из боя происходил путем разворота со скольжением. Отмечались случаи, когда преследуемые FW-190 при резком вводе в правый вираж срывались в штопор.</w:t>
      </w:r>
    </w:p>
    <w:p w14:paraId="2E622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эффективны были удары Як-9Т против бомбардировщиков противника. И опять в сводках упоминается имя Зеленина, к сожалению, в сухих строках отчета не отмечены его инициалы: "6 июля 1943 года гвардии лейтенант Зеленин, воспользовавшись тем, что стрелки были заняты боем с другими истребителями, зашел в хвост самолету Ю-87 и с дистанции 300-400 метров под ракурсом 0/4 с трех снарядов сбил его... В тот же день &lt;...&gt; Зеленин в группе наших истребителей на одной высоте при встречных курсах и ракурсе 0/4 атаковал ведущего шести самолетов Ме-110 и сбил его...".</w:t>
      </w:r>
    </w:p>
    <w:p w14:paraId="06937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Третьим самолетом, сбитым Зелениным в тот день, стал разведчик Ju-88, упавший в районе Хлебтово.</w:t>
      </w:r>
    </w:p>
    <w:p w14:paraId="61EE37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 место отдельные случаи, когда огонь по группе самолетов противника из 37-мм пушки открывался с дистанции 1500-800 м, но попадания в самолеты не наблюдалось. Иногда открытие огня на таких дистанциях вносило панику в боевой порядок противника.</w:t>
      </w:r>
    </w:p>
    <w:p w14:paraId="0ADCC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того же года войсковые испытания Як-9Т начались на Западном фронте в 18-м гвардейском истребительном авиаполку (1-й ВА). За месяц боев практически полностью подтвердились выводы, сделанные летчиками, воевавшими на Центральном фронте. Итогом появления на фронтах Як-9Т - самого массового истребителя с 37-мм пушкой стала изменившаяся тактика немецких летчиков. Например, пилоты истребителей FW-190, которых спереди защищал звездообразный двигатель, стали избегать лобовых атак (12046).</w:t>
      </w:r>
    </w:p>
    <w:p w14:paraId="521899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FA7FB"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 5 июля по 26 ав</w:t>
      </w:r>
      <w:r w:rsidRPr="00271E51">
        <w:rPr>
          <w:color w:val="000000" w:themeColor="text1"/>
          <w:sz w:val="16"/>
          <w:szCs w:val="16"/>
        </w:rPr>
        <w:softHyphen/>
        <w:t>густа 1943 г. в 16 ВА (1-я гиад, 273-я иад) Централь</w:t>
      </w:r>
      <w:r w:rsidRPr="00271E51">
        <w:rPr>
          <w:color w:val="000000" w:themeColor="text1"/>
          <w:sz w:val="16"/>
          <w:szCs w:val="16"/>
        </w:rPr>
        <w:softHyphen/>
        <w:t>ного, 15 ВА (11-й сак) Брянского и 1 ВА (18-й гиап) Западного фронтов прошли войсковые испытания Як-9т на боевое примене</w:t>
      </w:r>
      <w:r w:rsidRPr="00271E51">
        <w:rPr>
          <w:color w:val="000000" w:themeColor="text1"/>
          <w:sz w:val="16"/>
          <w:szCs w:val="16"/>
        </w:rPr>
        <w:softHyphen/>
        <w:t>ние.</w:t>
      </w:r>
    </w:p>
    <w:p w14:paraId="7D6C0F5D"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в испытаниях были задей</w:t>
      </w:r>
      <w:r w:rsidRPr="00271E51">
        <w:rPr>
          <w:color w:val="000000" w:themeColor="text1"/>
          <w:sz w:val="16"/>
          <w:szCs w:val="16"/>
        </w:rPr>
        <w:softHyphen/>
        <w:t>ствованы 10 истребительных авиаполков (53, 54, 55, 18-й гиап, 157, 347, 163, 4, 148, 293-й иап) — всего 113 самолетов Як-9т. Суммарный налет составил 1087 боевых самолето-вылетов. Проведено 378 воз</w:t>
      </w:r>
      <w:r w:rsidRPr="00271E51">
        <w:rPr>
          <w:color w:val="000000" w:themeColor="text1"/>
          <w:sz w:val="16"/>
          <w:szCs w:val="16"/>
        </w:rPr>
        <w:softHyphen/>
        <w:t>душных боев, в которых, помимо Як-9т, участвовали Як-1, Як-7б и Як-9. Потери противника, по докладам экипажей и частично наземных войск, достигли 206 самолетов противника. Еще 28 неприятельских са</w:t>
      </w:r>
      <w:r w:rsidRPr="00271E51">
        <w:rPr>
          <w:color w:val="000000" w:themeColor="text1"/>
          <w:sz w:val="16"/>
          <w:szCs w:val="16"/>
        </w:rPr>
        <w:softHyphen/>
        <w:t xml:space="preserve">молетов были уничтожены и </w:t>
      </w:r>
      <w:r w:rsidRPr="00271E51">
        <w:rPr>
          <w:color w:val="000000" w:themeColor="text1"/>
          <w:sz w:val="16"/>
          <w:szCs w:val="16"/>
        </w:rPr>
        <w:lastRenderedPageBreak/>
        <w:t>повреждены при штур</w:t>
      </w:r>
      <w:r w:rsidRPr="00271E51">
        <w:rPr>
          <w:color w:val="000000" w:themeColor="text1"/>
          <w:sz w:val="16"/>
          <w:szCs w:val="16"/>
        </w:rPr>
        <w:softHyphen/>
        <w:t>мовых ударах по аэродромам. Свои безвозвратные потери по всем причинам были меньше — 52 Як-9т. Соответственно, живучесть «танковой девятки» по всем причинам получалась около 21 самолето-вы</w:t>
      </w:r>
      <w:r w:rsidRPr="00271E51">
        <w:rPr>
          <w:color w:val="000000" w:themeColor="text1"/>
          <w:sz w:val="16"/>
          <w:szCs w:val="16"/>
        </w:rPr>
        <w:softHyphen/>
        <w:t>лета (диапазон от 13 до 57 вылетов) на одну безвоз</w:t>
      </w:r>
      <w:r w:rsidRPr="00271E51">
        <w:rPr>
          <w:color w:val="000000" w:themeColor="text1"/>
          <w:sz w:val="16"/>
          <w:szCs w:val="16"/>
        </w:rPr>
        <w:softHyphen/>
        <w:t>вратную потерю. На один сбитый самолет против</w:t>
      </w:r>
      <w:r w:rsidRPr="00271E51">
        <w:rPr>
          <w:color w:val="000000" w:themeColor="text1"/>
          <w:sz w:val="16"/>
          <w:szCs w:val="16"/>
        </w:rPr>
        <w:softHyphen/>
        <w:t>ника в среднем приходилось 29 снарядов калибра 37 мм, что было в 4—5 раз меньше, чем калибров 12,7 мм (пулемет БС) и 20 мм (пушка ШВАК).</w:t>
      </w:r>
    </w:p>
    <w:p w14:paraId="3596520E"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Анализ результатов воздушных боев показы</w:t>
      </w:r>
      <w:r w:rsidRPr="00271E51">
        <w:rPr>
          <w:color w:val="000000" w:themeColor="text1"/>
          <w:sz w:val="16"/>
          <w:szCs w:val="16"/>
        </w:rPr>
        <w:softHyphen/>
        <w:t>вает, что около 67% потерь противника составили истребители (</w:t>
      </w:r>
      <w:r w:rsidRPr="00271E51">
        <w:rPr>
          <w:color w:val="000000" w:themeColor="text1"/>
          <w:sz w:val="16"/>
          <w:szCs w:val="16"/>
          <w:lang w:val="en-US"/>
        </w:rPr>
        <w:t>Fw</w:t>
      </w:r>
      <w:r w:rsidRPr="00271E51">
        <w:rPr>
          <w:color w:val="000000" w:themeColor="text1"/>
          <w:sz w:val="16"/>
          <w:szCs w:val="16"/>
        </w:rPr>
        <w:t xml:space="preserve">190, </w:t>
      </w:r>
      <w:r w:rsidRPr="00271E51">
        <w:rPr>
          <w:color w:val="000000" w:themeColor="text1"/>
          <w:sz w:val="16"/>
          <w:szCs w:val="16"/>
          <w:lang w:val="en-US"/>
        </w:rPr>
        <w:t>Bf</w:t>
      </w:r>
      <w:r w:rsidRPr="00271E51">
        <w:rPr>
          <w:color w:val="000000" w:themeColor="text1"/>
          <w:sz w:val="16"/>
          <w:szCs w:val="16"/>
        </w:rPr>
        <w:t>109), примерно 30% — бом</w:t>
      </w:r>
      <w:r w:rsidRPr="00271E51">
        <w:rPr>
          <w:color w:val="000000" w:themeColor="text1"/>
          <w:sz w:val="16"/>
          <w:szCs w:val="16"/>
        </w:rPr>
        <w:softHyphen/>
        <w:t>бардировщики (</w:t>
      </w:r>
      <w:r w:rsidRPr="00271E51">
        <w:rPr>
          <w:color w:val="000000" w:themeColor="text1"/>
          <w:sz w:val="16"/>
          <w:szCs w:val="16"/>
          <w:lang w:val="en-US"/>
        </w:rPr>
        <w:t>Ju</w:t>
      </w:r>
      <w:r w:rsidRPr="00271E51">
        <w:rPr>
          <w:color w:val="000000" w:themeColor="text1"/>
          <w:sz w:val="16"/>
          <w:szCs w:val="16"/>
        </w:rPr>
        <w:t xml:space="preserve">87, </w:t>
      </w:r>
      <w:r w:rsidRPr="00271E51">
        <w:rPr>
          <w:color w:val="000000" w:themeColor="text1"/>
          <w:sz w:val="16"/>
          <w:szCs w:val="16"/>
          <w:lang w:val="en-US"/>
        </w:rPr>
        <w:t>Ju</w:t>
      </w:r>
      <w:r w:rsidRPr="00271E51">
        <w:rPr>
          <w:color w:val="000000" w:themeColor="text1"/>
          <w:sz w:val="16"/>
          <w:szCs w:val="16"/>
        </w:rPr>
        <w:t xml:space="preserve">88 и </w:t>
      </w:r>
      <w:r w:rsidRPr="00271E51">
        <w:rPr>
          <w:color w:val="000000" w:themeColor="text1"/>
          <w:sz w:val="16"/>
          <w:szCs w:val="16"/>
          <w:lang w:val="en-US"/>
        </w:rPr>
        <w:t>He</w:t>
      </w:r>
      <w:r w:rsidRPr="00271E51">
        <w:rPr>
          <w:color w:val="000000" w:themeColor="text1"/>
          <w:sz w:val="16"/>
          <w:szCs w:val="16"/>
        </w:rPr>
        <w:t>111), остальные по</w:t>
      </w:r>
      <w:r w:rsidRPr="00271E51">
        <w:rPr>
          <w:color w:val="000000" w:themeColor="text1"/>
          <w:sz w:val="16"/>
          <w:szCs w:val="16"/>
        </w:rPr>
        <w:softHyphen/>
        <w:t>тери пришлись на самолеты-разведчики (</w:t>
      </w:r>
      <w:r w:rsidRPr="00271E51">
        <w:rPr>
          <w:color w:val="000000" w:themeColor="text1"/>
          <w:sz w:val="16"/>
          <w:szCs w:val="16"/>
          <w:lang w:val="en-US"/>
        </w:rPr>
        <w:t>Fw</w:t>
      </w:r>
      <w:r w:rsidRPr="00271E51">
        <w:rPr>
          <w:color w:val="000000" w:themeColor="text1"/>
          <w:sz w:val="16"/>
          <w:szCs w:val="16"/>
        </w:rPr>
        <w:t xml:space="preserve">189, </w:t>
      </w:r>
      <w:r w:rsidRPr="00271E51">
        <w:rPr>
          <w:color w:val="000000" w:themeColor="text1"/>
          <w:sz w:val="16"/>
          <w:szCs w:val="16"/>
          <w:lang w:val="en-US"/>
        </w:rPr>
        <w:t>Hs</w:t>
      </w:r>
      <w:r w:rsidRPr="00271E51">
        <w:rPr>
          <w:color w:val="000000" w:themeColor="text1"/>
          <w:sz w:val="16"/>
          <w:szCs w:val="16"/>
        </w:rPr>
        <w:t>126).</w:t>
      </w:r>
    </w:p>
    <w:p w14:paraId="62D6B2E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сопровождение штурмовиков и бомбар</w:t>
      </w:r>
      <w:r w:rsidRPr="00271E51">
        <w:rPr>
          <w:color w:val="000000" w:themeColor="text1"/>
          <w:sz w:val="16"/>
          <w:szCs w:val="16"/>
        </w:rPr>
        <w:softHyphen/>
        <w:t>дировщиков и прикрытие войск было выполнено 88,8% вылетов, на перехват самолетов противни</w:t>
      </w:r>
      <w:r w:rsidRPr="00271E51">
        <w:rPr>
          <w:color w:val="000000" w:themeColor="text1"/>
          <w:sz w:val="16"/>
          <w:szCs w:val="16"/>
        </w:rPr>
        <w:softHyphen/>
        <w:t>ка — 4,4%, на разведку — 5,1%, на свободную «охо</w:t>
      </w:r>
      <w:r w:rsidRPr="00271E51">
        <w:rPr>
          <w:color w:val="000000" w:themeColor="text1"/>
          <w:sz w:val="16"/>
          <w:szCs w:val="16"/>
        </w:rPr>
        <w:softHyphen/>
        <w:t>ту» — 1,6%.</w:t>
      </w:r>
    </w:p>
    <w:p w14:paraId="61997319"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Командный и летный состав ряда полков и авиасоединений неоднократно поднимал вопрос о том, что так использовать Як-9т нецелесообраз</w:t>
      </w:r>
      <w:r w:rsidRPr="00271E51">
        <w:rPr>
          <w:color w:val="000000" w:themeColor="text1"/>
          <w:sz w:val="16"/>
          <w:szCs w:val="16"/>
        </w:rPr>
        <w:softHyphen/>
        <w:t>но: «В первых боевых вылетах Як-9т показал себя как серьезное оружие, способное решать самосто</w:t>
      </w:r>
      <w:r w:rsidRPr="00271E51">
        <w:rPr>
          <w:color w:val="000000" w:themeColor="text1"/>
          <w:sz w:val="16"/>
          <w:szCs w:val="16"/>
        </w:rPr>
        <w:softHyphen/>
        <w:t>ятельные задачи по борьбе с бомбардировщиками в воздухе, автомашинами, паровозами, авиацией на аэродромах и т.д. Однако в течение августа Як-9т на 51,7% использовались для прикрытия штурмо</w:t>
      </w:r>
      <w:r w:rsidRPr="00271E51">
        <w:rPr>
          <w:color w:val="000000" w:themeColor="text1"/>
          <w:sz w:val="16"/>
          <w:szCs w:val="16"/>
        </w:rPr>
        <w:softHyphen/>
        <w:t>виков и бомбардировщиков, то есть не в наступа</w:t>
      </w:r>
      <w:r w:rsidRPr="00271E51">
        <w:rPr>
          <w:color w:val="000000" w:themeColor="text1"/>
          <w:sz w:val="16"/>
          <w:szCs w:val="16"/>
        </w:rPr>
        <w:softHyphen/>
        <w:t>тельных целях, а в оборонительных целях».</w:t>
      </w:r>
    </w:p>
    <w:p w14:paraId="56E16E9B"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Несмотря на то что первоначальными плана</w:t>
      </w:r>
      <w:r w:rsidRPr="00271E51">
        <w:rPr>
          <w:color w:val="000000" w:themeColor="text1"/>
          <w:sz w:val="16"/>
          <w:szCs w:val="16"/>
        </w:rPr>
        <w:softHyphen/>
        <w:t>ми предполагалось непосредственное взаимодей</w:t>
      </w:r>
      <w:r w:rsidRPr="00271E51">
        <w:rPr>
          <w:color w:val="000000" w:themeColor="text1"/>
          <w:sz w:val="16"/>
          <w:szCs w:val="16"/>
        </w:rPr>
        <w:softHyphen/>
        <w:t>ствие с наступающими войсками и готовилось шта</w:t>
      </w:r>
      <w:r w:rsidRPr="00271E51">
        <w:rPr>
          <w:color w:val="000000" w:themeColor="text1"/>
          <w:sz w:val="16"/>
          <w:szCs w:val="16"/>
        </w:rPr>
        <w:softHyphen/>
        <w:t>бами, по факту такового не было.</w:t>
      </w:r>
    </w:p>
    <w:p w14:paraId="215D190F"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поскольку Як-9т способен решать самостоятельные задачи (например, авиадивизия или авиакорпус могут срывать ж.-д. перевозки по фронту до 60—100 км и на глубину до 60—80 км, дезорганизовать автоперевозки по основным маги</w:t>
      </w:r>
      <w:r w:rsidRPr="00271E51">
        <w:rPr>
          <w:color w:val="000000" w:themeColor="text1"/>
          <w:sz w:val="16"/>
          <w:szCs w:val="16"/>
        </w:rPr>
        <w:softHyphen/>
        <w:t>стральным коммуникациям фронта), «такое взаимо</w:t>
      </w:r>
      <w:r w:rsidRPr="00271E51">
        <w:rPr>
          <w:color w:val="000000" w:themeColor="text1"/>
          <w:sz w:val="16"/>
          <w:szCs w:val="16"/>
        </w:rPr>
        <w:softHyphen/>
        <w:t>действие позволило бы использовать Як-9т более эффективно».</w:t>
      </w:r>
    </w:p>
    <w:p w14:paraId="0B972BBF"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«Само содержание этих целей предполагает на</w:t>
      </w:r>
      <w:r w:rsidRPr="00271E51">
        <w:rPr>
          <w:color w:val="000000" w:themeColor="text1"/>
          <w:sz w:val="16"/>
          <w:szCs w:val="16"/>
        </w:rPr>
        <w:softHyphen/>
        <w:t>ступательный характер применения Як-9т», то есть «самолет должен быть использован для удара по противнику, а не для обороны от его ударов».</w:t>
      </w:r>
    </w:p>
    <w:p w14:paraId="4175E2F4"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Например, всего в 12 самолето-вылетах (лета</w:t>
      </w:r>
      <w:r w:rsidRPr="00271E51">
        <w:rPr>
          <w:color w:val="000000" w:themeColor="text1"/>
          <w:sz w:val="16"/>
          <w:szCs w:val="16"/>
        </w:rPr>
        <w:softHyphen/>
        <w:t>ли 6 пар Як-9т) «охотников» было разбито 3 паро</w:t>
      </w:r>
      <w:r w:rsidRPr="00271E51">
        <w:rPr>
          <w:color w:val="000000" w:themeColor="text1"/>
          <w:sz w:val="16"/>
          <w:szCs w:val="16"/>
        </w:rPr>
        <w:softHyphen/>
        <w:t>воза и 17 вагонов. При этом «охотники» потерь не имели.</w:t>
      </w:r>
    </w:p>
    <w:p w14:paraId="629076B1"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единодушному мнению командного соста</w:t>
      </w:r>
      <w:r w:rsidRPr="00271E51">
        <w:rPr>
          <w:color w:val="000000" w:themeColor="text1"/>
          <w:sz w:val="16"/>
          <w:szCs w:val="16"/>
        </w:rPr>
        <w:softHyphen/>
        <w:t>ва 11-го сак, «использование самолетов с 37-мм пушками по ж.-д. составам и автоперевозкам мо</w:t>
      </w:r>
      <w:r w:rsidRPr="00271E51">
        <w:rPr>
          <w:color w:val="000000" w:themeColor="text1"/>
          <w:sz w:val="16"/>
          <w:szCs w:val="16"/>
        </w:rPr>
        <w:softHyphen/>
        <w:t>жет принести колоссальный ущерб противнику»: «Свободная «охота» в тех масштабах, как она про</w:t>
      </w:r>
      <w:r w:rsidRPr="00271E51">
        <w:rPr>
          <w:color w:val="000000" w:themeColor="text1"/>
          <w:sz w:val="16"/>
          <w:szCs w:val="16"/>
        </w:rPr>
        <w:softHyphen/>
        <w:t>изводится в данное время, большого оперативно</w:t>
      </w:r>
      <w:r w:rsidRPr="00271E51">
        <w:rPr>
          <w:color w:val="000000" w:themeColor="text1"/>
          <w:sz w:val="16"/>
          <w:szCs w:val="16"/>
        </w:rPr>
        <w:softHyphen/>
        <w:t>го и даже тактического успеха не приносит и не принесет, а является лишь небольшим приработ</w:t>
      </w:r>
      <w:r w:rsidRPr="00271E51">
        <w:rPr>
          <w:color w:val="000000" w:themeColor="text1"/>
          <w:sz w:val="16"/>
          <w:szCs w:val="16"/>
        </w:rPr>
        <w:softHyphen/>
        <w:t>ком к общему активу боевой работы полка, если процент вылетов на охоту составляет только 0,8% к общему числу вылетов. /.../ Можно представить себе, каков бы был эффект, если бы из 1500 боевых вылетов корпуса на «охоту» было бы выполнено не 12, а 1200 вылетов (80%). Нам кажется, что это был бы выигрыш целой операции по срыву ж.-д. перевозок и много бы немцу пришлось потрудить</w:t>
      </w:r>
      <w:r w:rsidRPr="00271E51">
        <w:rPr>
          <w:color w:val="000000" w:themeColor="text1"/>
          <w:sz w:val="16"/>
          <w:szCs w:val="16"/>
        </w:rPr>
        <w:softHyphen/>
        <w:t>ся, чтобы растащить и восстановить поврежденное. Кроме того, истребитель-охотник почти всегда мо</w:t>
      </w:r>
      <w:r w:rsidRPr="00271E51">
        <w:rPr>
          <w:color w:val="000000" w:themeColor="text1"/>
          <w:sz w:val="16"/>
          <w:szCs w:val="16"/>
        </w:rPr>
        <w:softHyphen/>
        <w:t>жет «по пути» подхватить 1—2 автомашины. Зоной «охоты» считать для Як-9т полосу 25—80 км от ли</w:t>
      </w:r>
      <w:r w:rsidRPr="00271E51">
        <w:rPr>
          <w:color w:val="000000" w:themeColor="text1"/>
          <w:sz w:val="16"/>
          <w:szCs w:val="16"/>
        </w:rPr>
        <w:softHyphen/>
        <w:t>нии фронта».</w:t>
      </w:r>
    </w:p>
    <w:p w14:paraId="5B264C26"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 как немцы базируют свои бомбардировщи</w:t>
      </w:r>
      <w:r w:rsidRPr="00271E51">
        <w:rPr>
          <w:color w:val="000000" w:themeColor="text1"/>
          <w:sz w:val="16"/>
          <w:szCs w:val="16"/>
        </w:rPr>
        <w:softHyphen/>
        <w:t>ки, как правило, на большом удалении от линии фронта, то истребитель Як-9т «для массового ис</w:t>
      </w:r>
      <w:r w:rsidRPr="00271E51">
        <w:rPr>
          <w:color w:val="000000" w:themeColor="text1"/>
          <w:sz w:val="16"/>
          <w:szCs w:val="16"/>
        </w:rPr>
        <w:softHyphen/>
        <w:t>пользования для удара по аэродромам, где базиру</w:t>
      </w:r>
      <w:r w:rsidRPr="00271E51">
        <w:rPr>
          <w:color w:val="000000" w:themeColor="text1"/>
          <w:sz w:val="16"/>
          <w:szCs w:val="16"/>
        </w:rPr>
        <w:softHyphen/>
        <w:t>ется бомбардировочная авиация противника, из-за ограниченного запаса горючего непригоден».</w:t>
      </w:r>
    </w:p>
    <w:p w14:paraId="67444490"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этих целей предлагалось применять «даль</w:t>
      </w:r>
      <w:r w:rsidRPr="00271E51">
        <w:rPr>
          <w:color w:val="000000" w:themeColor="text1"/>
          <w:sz w:val="16"/>
          <w:szCs w:val="16"/>
        </w:rPr>
        <w:softHyphen/>
        <w:t>ние» Як-9д, вооруженные пушкой МП-37: «Обычно дальние аэродромы прикрываются среднекали</w:t>
      </w:r>
      <w:r w:rsidRPr="00271E51">
        <w:rPr>
          <w:color w:val="000000" w:themeColor="text1"/>
          <w:sz w:val="16"/>
          <w:szCs w:val="16"/>
        </w:rPr>
        <w:softHyphen/>
        <w:t>берной зенитной артиллерией, которые для борь</w:t>
      </w:r>
      <w:r w:rsidRPr="00271E51">
        <w:rPr>
          <w:color w:val="000000" w:themeColor="text1"/>
          <w:sz w:val="16"/>
          <w:szCs w:val="16"/>
        </w:rPr>
        <w:softHyphen/>
        <w:t>бы с истребителями малопригодны, как следствие, Як-9д с 37-мм пушкой ОКБ-16 может быть эффек</w:t>
      </w:r>
      <w:r w:rsidRPr="00271E51">
        <w:rPr>
          <w:color w:val="000000" w:themeColor="text1"/>
          <w:sz w:val="16"/>
          <w:szCs w:val="16"/>
        </w:rPr>
        <w:softHyphen/>
        <w:t>тивным».</w:t>
      </w:r>
    </w:p>
    <w:p w14:paraId="410744B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Применение Як-9т «при проведении боевых операций по уничтожению бомбардировщиков противника выявило ряд следующих замечатель</w:t>
      </w:r>
      <w:r w:rsidRPr="00271E51">
        <w:rPr>
          <w:color w:val="000000" w:themeColor="text1"/>
          <w:sz w:val="16"/>
          <w:szCs w:val="16"/>
        </w:rPr>
        <w:softHyphen/>
        <w:t>ных качеств», а именно, исключительная эффектив</w:t>
      </w:r>
      <w:r w:rsidRPr="00271E51">
        <w:rPr>
          <w:color w:val="000000" w:themeColor="text1"/>
          <w:sz w:val="16"/>
          <w:szCs w:val="16"/>
        </w:rPr>
        <w:softHyphen/>
        <w:t>ность 37-мм снаряда пушки ОКБ-16 при действии по самолетам всех типов (1—2 попаданий было достаточно для уничтожения истребителя или 2—4 попаданий для бомбардировщика). Кроме того, хорошие летные данные (скорость, маневр) Як-9т позволяли летчикам вполне успешно вести воз</w:t>
      </w:r>
      <w:r w:rsidRPr="00271E51">
        <w:rPr>
          <w:color w:val="000000" w:themeColor="text1"/>
          <w:sz w:val="16"/>
          <w:szCs w:val="16"/>
        </w:rPr>
        <w:softHyphen/>
        <w:t xml:space="preserve">душный бой с немецкими истребителями </w:t>
      </w:r>
      <w:r w:rsidRPr="00271E51">
        <w:rPr>
          <w:color w:val="000000" w:themeColor="text1"/>
          <w:sz w:val="16"/>
          <w:szCs w:val="16"/>
          <w:lang w:val="en-US"/>
        </w:rPr>
        <w:t>Bf</w:t>
      </w:r>
      <w:r w:rsidRPr="00271E51">
        <w:rPr>
          <w:color w:val="000000" w:themeColor="text1"/>
          <w:sz w:val="16"/>
          <w:szCs w:val="16"/>
        </w:rPr>
        <w:t xml:space="preserve">109 и </w:t>
      </w:r>
      <w:r w:rsidRPr="00271E51">
        <w:rPr>
          <w:color w:val="000000" w:themeColor="text1"/>
          <w:sz w:val="16"/>
          <w:szCs w:val="16"/>
          <w:lang w:val="en-US"/>
        </w:rPr>
        <w:t>Fw</w:t>
      </w:r>
      <w:r w:rsidRPr="00271E51">
        <w:rPr>
          <w:color w:val="000000" w:themeColor="text1"/>
          <w:sz w:val="16"/>
          <w:szCs w:val="16"/>
        </w:rPr>
        <w:t>190. Однако пушка ОКБ-16 оказалась все же малоэффективной «при воздушном бое с истреби</w:t>
      </w:r>
      <w:r w:rsidRPr="00271E51">
        <w:rPr>
          <w:color w:val="000000" w:themeColor="text1"/>
          <w:sz w:val="16"/>
          <w:szCs w:val="16"/>
        </w:rPr>
        <w:softHyphen/>
        <w:t>телями противника из-за низкой скорострельно</w:t>
      </w:r>
      <w:r w:rsidRPr="00271E51">
        <w:rPr>
          <w:color w:val="000000" w:themeColor="text1"/>
          <w:sz w:val="16"/>
          <w:szCs w:val="16"/>
        </w:rPr>
        <w:softHyphen/>
        <w:t>сти». Отсюда следовало, «что в группе необходимо иметь разное вооружение: ударная группа — Як-9т (ведущий) и Як-9 (ведомый)».</w:t>
      </w:r>
    </w:p>
    <w:p w14:paraId="4EE32838"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5 очередей, продолжительностью по 1,5 с каждая, летчик Як-9т оставался только с одним пулеметом БС (время непрерывной стрельбы 14 с). Эффективность огня резко падала. В то же время «опыт боев показал необходимость ведения огня одновременно из всех точек оружия, чем увеличи</w:t>
      </w:r>
      <w:r w:rsidRPr="00271E51">
        <w:rPr>
          <w:color w:val="000000" w:themeColor="text1"/>
          <w:sz w:val="16"/>
          <w:szCs w:val="16"/>
        </w:rPr>
        <w:softHyphen/>
        <w:t>вается вероятность поражения цели».</w:t>
      </w:r>
    </w:p>
    <w:p w14:paraId="7B8AD816"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Отмечалось, что «сильная отдача пушки ОКБ-16 при стрельбе требует от летчиков умения прице</w:t>
      </w:r>
      <w:r w:rsidRPr="00271E51">
        <w:rPr>
          <w:color w:val="000000" w:themeColor="text1"/>
          <w:sz w:val="16"/>
          <w:szCs w:val="16"/>
        </w:rPr>
        <w:softHyphen/>
        <w:t>ливаться и вести стрельбу короткими очередями». По опыту частей 3-го иак, «хорошо подготовленные стрелки-летчики сбивают самолет противника од</w:t>
      </w:r>
      <w:r w:rsidRPr="00271E51">
        <w:rPr>
          <w:color w:val="000000" w:themeColor="text1"/>
          <w:sz w:val="16"/>
          <w:szCs w:val="16"/>
        </w:rPr>
        <w:softHyphen/>
        <w:t>ной очередью (3—4 выстрела) /.../ молодой состав расходует значительно больше».</w:t>
      </w:r>
    </w:p>
    <w:p w14:paraId="1890CBD7"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этим причинам для успеха в бою летчи</w:t>
      </w:r>
      <w:r w:rsidRPr="00271E51">
        <w:rPr>
          <w:color w:val="000000" w:themeColor="text1"/>
          <w:sz w:val="16"/>
          <w:szCs w:val="16"/>
        </w:rPr>
        <w:softHyphen/>
        <w:t>ки должны были иметь только отличную летную и стрелковую подготовку.</w:t>
      </w:r>
    </w:p>
    <w:p w14:paraId="05E8B6B9"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Летный состав, «отмечая случаи успешных воз</w:t>
      </w:r>
      <w:r w:rsidRPr="00271E51">
        <w:rPr>
          <w:color w:val="000000" w:themeColor="text1"/>
          <w:sz w:val="16"/>
          <w:szCs w:val="16"/>
        </w:rPr>
        <w:softHyphen/>
        <w:t>душных боев Як-9т с истребителями противника, /. / приходит к единому выводу о целесообраз</w:t>
      </w:r>
      <w:r w:rsidRPr="00271E51">
        <w:rPr>
          <w:color w:val="000000" w:themeColor="text1"/>
          <w:sz w:val="16"/>
          <w:szCs w:val="16"/>
        </w:rPr>
        <w:softHyphen/>
        <w:t>ности применения самолета Як-9т в качестве тяже</w:t>
      </w:r>
      <w:r w:rsidRPr="00271E51">
        <w:rPr>
          <w:color w:val="000000" w:themeColor="text1"/>
          <w:sz w:val="16"/>
          <w:szCs w:val="16"/>
        </w:rPr>
        <w:softHyphen/>
        <w:t>лого истребителя, основным назначением которо</w:t>
      </w:r>
      <w:r w:rsidRPr="00271E51">
        <w:rPr>
          <w:color w:val="000000" w:themeColor="text1"/>
          <w:sz w:val="16"/>
          <w:szCs w:val="16"/>
        </w:rPr>
        <w:softHyphen/>
        <w:t>го должно быть уничтожение бомбардировщиков противника /.../, а также в качестве «охотника» с целью поражения танков, ж.-д. эшелонов, авто</w:t>
      </w:r>
      <w:r w:rsidRPr="00271E51">
        <w:rPr>
          <w:color w:val="000000" w:themeColor="text1"/>
          <w:sz w:val="16"/>
          <w:szCs w:val="16"/>
        </w:rPr>
        <w:softHyphen/>
        <w:t>транспорта и других наземных целей».</w:t>
      </w:r>
    </w:p>
    <w:p w14:paraId="4BB692D9"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Рациональными считались совместные дей</w:t>
      </w:r>
      <w:r w:rsidRPr="00271E51">
        <w:rPr>
          <w:color w:val="000000" w:themeColor="text1"/>
          <w:sz w:val="16"/>
          <w:szCs w:val="16"/>
        </w:rPr>
        <w:softHyphen/>
        <w:t>ствия Як-9т и Ил-2 при ударах по самолетам про</w:t>
      </w:r>
      <w:r w:rsidRPr="00271E51">
        <w:rPr>
          <w:color w:val="000000" w:themeColor="text1"/>
          <w:sz w:val="16"/>
          <w:szCs w:val="16"/>
        </w:rPr>
        <w:softHyphen/>
        <w:t>тивника на аэродромах базирования, ж.-д. составам на перегонах и станциях, мотомеханизированным и танковым колоннам и т.д. При этом «танковые» Як-9т подавляли огонь малокалиберной и средне</w:t>
      </w:r>
      <w:r w:rsidRPr="00271E51">
        <w:rPr>
          <w:color w:val="000000" w:themeColor="text1"/>
          <w:sz w:val="16"/>
          <w:szCs w:val="16"/>
        </w:rPr>
        <w:softHyphen/>
        <w:t>калиберной артиллерии («так как истребители находятся выше и лучше видят, плюс мощь огня пушки ОКБ-16») и отсекали истребители против</w:t>
      </w:r>
      <w:r w:rsidRPr="00271E51">
        <w:rPr>
          <w:color w:val="000000" w:themeColor="text1"/>
          <w:sz w:val="16"/>
          <w:szCs w:val="16"/>
        </w:rPr>
        <w:softHyphen/>
        <w:t>ника при отходе штурмовиков от цели. Ставить задачи для уничтожения наземных целей на по</w:t>
      </w:r>
      <w:r w:rsidRPr="00271E51">
        <w:rPr>
          <w:color w:val="000000" w:themeColor="text1"/>
          <w:sz w:val="16"/>
          <w:szCs w:val="16"/>
        </w:rPr>
        <w:softHyphen/>
        <w:t>ле боя не следовало по причине низкой живу</w:t>
      </w:r>
      <w:r w:rsidRPr="00271E51">
        <w:rPr>
          <w:color w:val="000000" w:themeColor="text1"/>
          <w:sz w:val="16"/>
          <w:szCs w:val="16"/>
        </w:rPr>
        <w:softHyphen/>
        <w:t>чести Як-9т.</w:t>
      </w:r>
    </w:p>
    <w:p w14:paraId="362C7F27"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Заметным недостатком Як-9т летчики сочли не</w:t>
      </w:r>
      <w:r w:rsidRPr="00271E51">
        <w:rPr>
          <w:color w:val="000000" w:themeColor="text1"/>
          <w:sz w:val="16"/>
          <w:szCs w:val="16"/>
        </w:rPr>
        <w:softHyphen/>
        <w:t>достаточный запас топлива, что ограничивало рай</w:t>
      </w:r>
      <w:r w:rsidRPr="00271E51">
        <w:rPr>
          <w:color w:val="000000" w:themeColor="text1"/>
          <w:sz w:val="16"/>
          <w:szCs w:val="16"/>
        </w:rPr>
        <w:softHyphen/>
        <w:t>он активных действий истребительных полков, во</w:t>
      </w:r>
      <w:r w:rsidRPr="00271E51">
        <w:rPr>
          <w:color w:val="000000" w:themeColor="text1"/>
          <w:sz w:val="16"/>
          <w:szCs w:val="16"/>
        </w:rPr>
        <w:softHyphen/>
        <w:t>оруженных этим типом самолета.</w:t>
      </w:r>
    </w:p>
    <w:p w14:paraId="6416B95B"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Опыт боевого применения Як-9т показал, что по сравнению с Як-9 он имеет больший радиус и вре</w:t>
      </w:r>
      <w:r w:rsidRPr="00271E51">
        <w:rPr>
          <w:color w:val="000000" w:themeColor="text1"/>
          <w:sz w:val="16"/>
          <w:szCs w:val="16"/>
        </w:rPr>
        <w:softHyphen/>
        <w:t>мя виража (22—23 с), на 100 м меньший набор вы</w:t>
      </w:r>
      <w:r w:rsidRPr="00271E51">
        <w:rPr>
          <w:color w:val="000000" w:themeColor="text1"/>
          <w:sz w:val="16"/>
          <w:szCs w:val="16"/>
        </w:rPr>
        <w:softHyphen/>
        <w:t>соты на боевом развороте, увеличенную скорость на пикировании. При планировании с убранным газом Як-9т быстро теряет высоту, а при взлете и посадке «имеет тенденцию тянуть на нос». Раз</w:t>
      </w:r>
      <w:r w:rsidRPr="00271E51">
        <w:rPr>
          <w:color w:val="000000" w:themeColor="text1"/>
          <w:sz w:val="16"/>
          <w:szCs w:val="16"/>
        </w:rPr>
        <w:softHyphen/>
        <w:t>бег и пробег у Як-9т больше. При пробеге «во избе</w:t>
      </w:r>
      <w:r w:rsidRPr="00271E51">
        <w:rPr>
          <w:color w:val="000000" w:themeColor="text1"/>
          <w:sz w:val="16"/>
          <w:szCs w:val="16"/>
        </w:rPr>
        <w:softHyphen/>
        <w:t>жание капота самолет требует более осторожного (плавного) торможения». Путевая устойчивость са</w:t>
      </w:r>
      <w:r w:rsidRPr="00271E51">
        <w:rPr>
          <w:color w:val="000000" w:themeColor="text1"/>
          <w:sz w:val="16"/>
          <w:szCs w:val="16"/>
        </w:rPr>
        <w:softHyphen/>
        <w:t>молета хорошая, продольная управляемость «тяже</w:t>
      </w:r>
      <w:r w:rsidRPr="00271E51">
        <w:rPr>
          <w:color w:val="000000" w:themeColor="text1"/>
          <w:sz w:val="16"/>
          <w:szCs w:val="16"/>
        </w:rPr>
        <w:softHyphen/>
        <w:t>лее, чем у Як-9». В остальном по технике пилотиро</w:t>
      </w:r>
      <w:r w:rsidRPr="00271E51">
        <w:rPr>
          <w:color w:val="000000" w:themeColor="text1"/>
          <w:sz w:val="16"/>
          <w:szCs w:val="16"/>
        </w:rPr>
        <w:softHyphen/>
        <w:t>вания Як-9т не отличается от Як-9.</w:t>
      </w:r>
    </w:p>
    <w:p w14:paraId="56D1CF1E"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 опыта воздушных боев следовало, что летчи</w:t>
      </w:r>
      <w:r w:rsidRPr="00271E51">
        <w:rPr>
          <w:color w:val="000000" w:themeColor="text1"/>
          <w:sz w:val="16"/>
          <w:szCs w:val="16"/>
        </w:rPr>
        <w:softHyphen/>
        <w:t xml:space="preserve">ки на Як-9т успешно вели воздушные бои с </w:t>
      </w:r>
      <w:r w:rsidRPr="00271E51">
        <w:rPr>
          <w:color w:val="000000" w:themeColor="text1"/>
          <w:sz w:val="16"/>
          <w:szCs w:val="16"/>
          <w:lang w:val="en-US"/>
        </w:rPr>
        <w:t>Bf</w:t>
      </w:r>
      <w:r w:rsidRPr="00271E51">
        <w:rPr>
          <w:color w:val="000000" w:themeColor="text1"/>
          <w:sz w:val="16"/>
          <w:szCs w:val="16"/>
        </w:rPr>
        <w:t>109</w:t>
      </w:r>
      <w:r w:rsidRPr="00271E51">
        <w:rPr>
          <w:color w:val="000000" w:themeColor="text1"/>
          <w:sz w:val="16"/>
          <w:szCs w:val="16"/>
          <w:lang w:val="en-US"/>
        </w:rPr>
        <w:t>G</w:t>
      </w:r>
      <w:r w:rsidRPr="00271E51">
        <w:rPr>
          <w:color w:val="000000" w:themeColor="text1"/>
          <w:sz w:val="16"/>
          <w:szCs w:val="16"/>
        </w:rPr>
        <w:t xml:space="preserve"> только до высоты 3000 м (выше — Як-9т уступал в вертикальном маневре), а с Fw190А — на всех рабочих высотах, как на вертикальном, так и гори</w:t>
      </w:r>
      <w:r w:rsidRPr="00271E51">
        <w:rPr>
          <w:color w:val="000000" w:themeColor="text1"/>
          <w:sz w:val="16"/>
          <w:szCs w:val="16"/>
        </w:rPr>
        <w:softHyphen/>
        <w:t xml:space="preserve">зонтальном маневре («имея преимущества перед </w:t>
      </w:r>
      <w:r w:rsidRPr="00271E51">
        <w:rPr>
          <w:color w:val="000000" w:themeColor="text1"/>
          <w:sz w:val="16"/>
          <w:szCs w:val="16"/>
          <w:lang w:val="en-US"/>
        </w:rPr>
        <w:t>Fw</w:t>
      </w:r>
      <w:r w:rsidRPr="00271E51">
        <w:rPr>
          <w:color w:val="000000" w:themeColor="text1"/>
          <w:sz w:val="16"/>
          <w:szCs w:val="16"/>
        </w:rPr>
        <w:t>190 в более резком переломе траектории само</w:t>
      </w:r>
      <w:r w:rsidRPr="00271E51">
        <w:rPr>
          <w:color w:val="000000" w:themeColor="text1"/>
          <w:sz w:val="16"/>
          <w:szCs w:val="16"/>
        </w:rPr>
        <w:softHyphen/>
        <w:t>лета»). На пикировании серийный Як-9т отставал от немецких машин и несколько уступал им в гори</w:t>
      </w:r>
      <w:r w:rsidRPr="00271E51">
        <w:rPr>
          <w:color w:val="000000" w:themeColor="text1"/>
          <w:sz w:val="16"/>
          <w:szCs w:val="16"/>
        </w:rPr>
        <w:softHyphen/>
        <w:t>зонтальной скорости.</w:t>
      </w:r>
    </w:p>
    <w:p w14:paraId="4A03A3CA"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 все же для воздушного боя с истребителя</w:t>
      </w:r>
      <w:r w:rsidRPr="00271E51">
        <w:rPr>
          <w:color w:val="000000" w:themeColor="text1"/>
          <w:sz w:val="16"/>
          <w:szCs w:val="16"/>
        </w:rPr>
        <w:softHyphen/>
        <w:t>ми Як-9т был малопригоден из-за малого темпа стрельбы пушки МП-37 и небольшого боекомп</w:t>
      </w:r>
      <w:r w:rsidRPr="00271E51">
        <w:rPr>
          <w:color w:val="000000" w:themeColor="text1"/>
          <w:sz w:val="16"/>
          <w:szCs w:val="16"/>
        </w:rPr>
        <w:softHyphen/>
        <w:t>лекта.</w:t>
      </w:r>
    </w:p>
    <w:p w14:paraId="08AF59D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Большая отдача пушки МП-37 при стрельбе не позволяла летчикам вести огонь на малых скоро</w:t>
      </w:r>
      <w:r w:rsidRPr="00271E51">
        <w:rPr>
          <w:color w:val="000000" w:themeColor="text1"/>
          <w:sz w:val="16"/>
          <w:szCs w:val="16"/>
        </w:rPr>
        <w:softHyphen/>
        <w:t>стях. Прицельной была стрельба только очередя</w:t>
      </w:r>
      <w:r w:rsidRPr="00271E51">
        <w:rPr>
          <w:color w:val="000000" w:themeColor="text1"/>
          <w:sz w:val="16"/>
          <w:szCs w:val="16"/>
        </w:rPr>
        <w:softHyphen/>
        <w:t>ми 1—2 снаряда. При увеличении длины очереди самолет опускал нос, сбивался с линии прицелива</w:t>
      </w:r>
      <w:r w:rsidRPr="00271E51">
        <w:rPr>
          <w:color w:val="000000" w:themeColor="text1"/>
          <w:sz w:val="16"/>
          <w:szCs w:val="16"/>
        </w:rPr>
        <w:softHyphen/>
        <w:t>ния, что вызывало недолеты при стрельбе по на</w:t>
      </w:r>
      <w:r w:rsidRPr="00271E51">
        <w:rPr>
          <w:color w:val="000000" w:themeColor="text1"/>
          <w:sz w:val="16"/>
          <w:szCs w:val="16"/>
        </w:rPr>
        <w:softHyphen/>
        <w:t>земным целям и снижение трассы — при стрельбе по воздушным целям. Для продолжения стрельбы необходимо было восстанавливать прицеливание. С увеличением скорости вплоть до максимальной (например, на пикировании) появлялась возмож</w:t>
      </w:r>
      <w:r w:rsidRPr="00271E51">
        <w:rPr>
          <w:color w:val="000000" w:themeColor="text1"/>
          <w:sz w:val="16"/>
          <w:szCs w:val="16"/>
        </w:rPr>
        <w:softHyphen/>
        <w:t>ность вести огонь как короткими очередями по 2—3 снаряда (по бомбардировщикам с 200 м — до 4 выстрелов), так и длинной очередью по 4—6—8 снарядов «без значительного отклонения на рас</w:t>
      </w:r>
      <w:r w:rsidRPr="00271E51">
        <w:rPr>
          <w:color w:val="000000" w:themeColor="text1"/>
          <w:sz w:val="16"/>
          <w:szCs w:val="16"/>
        </w:rPr>
        <w:softHyphen/>
        <w:t>сеивание».</w:t>
      </w:r>
    </w:p>
    <w:p w14:paraId="4A15942C"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Направление атаки Як-9т по бомбардировщи</w:t>
      </w:r>
      <w:r w:rsidRPr="00271E51">
        <w:rPr>
          <w:color w:val="000000" w:themeColor="text1"/>
          <w:sz w:val="16"/>
          <w:szCs w:val="16"/>
        </w:rPr>
        <w:softHyphen/>
        <w:t>кам определялось малым темпом стрельбы пушки МП-37 (240 выстр./мин). Наиболее эффективным был огонь лишь при ракурсах 0/4—2/4. При атаках истребителей ракурс стрельбы не превышал 1/4. Поскольку дистанция прицельной стрельбы состав</w:t>
      </w:r>
      <w:r w:rsidRPr="00271E51">
        <w:rPr>
          <w:color w:val="000000" w:themeColor="text1"/>
          <w:sz w:val="16"/>
          <w:szCs w:val="16"/>
        </w:rPr>
        <w:softHyphen/>
        <w:t>ляла 600 м, то дальность начала огня при стрель</w:t>
      </w:r>
      <w:r w:rsidRPr="00271E51">
        <w:rPr>
          <w:color w:val="000000" w:themeColor="text1"/>
          <w:sz w:val="16"/>
          <w:szCs w:val="16"/>
        </w:rPr>
        <w:softHyphen/>
        <w:t>бе по истребителям не превышала 200—400 м, по бомбардировщикам — 400—600 м, по наземной цели — 600—1000 м. Действительная стрельба на встречных курсах начиналась с 500—600 м, не вы</w:t>
      </w:r>
      <w:r w:rsidRPr="00271E51">
        <w:rPr>
          <w:color w:val="000000" w:themeColor="text1"/>
          <w:sz w:val="16"/>
          <w:szCs w:val="16"/>
        </w:rPr>
        <w:softHyphen/>
        <w:t>ше. При этом с целью нарушения строя бомбарди</w:t>
      </w:r>
      <w:r w:rsidRPr="00271E51">
        <w:rPr>
          <w:color w:val="000000" w:themeColor="text1"/>
          <w:sz w:val="16"/>
          <w:szCs w:val="16"/>
        </w:rPr>
        <w:softHyphen/>
        <w:t>ровщиков и подавления огня воздушных стрелков летчики вели неприцельную стрельбу с дальности 1000—1200 м.</w:t>
      </w:r>
    </w:p>
    <w:p w14:paraId="38E22F61"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Атаку малых наземных целей (танки, артиллерия и минометные батареи) на Як-9т следовало выпол</w:t>
      </w:r>
      <w:r w:rsidRPr="00271E51">
        <w:rPr>
          <w:color w:val="000000" w:themeColor="text1"/>
          <w:sz w:val="16"/>
          <w:szCs w:val="16"/>
        </w:rPr>
        <w:softHyphen/>
        <w:t>нять с высоты 800—1000 м на пикировании под углом 30—45°, «которые обеспечивают наиболь</w:t>
      </w:r>
      <w:r w:rsidRPr="00271E51">
        <w:rPr>
          <w:color w:val="000000" w:themeColor="text1"/>
          <w:sz w:val="16"/>
          <w:szCs w:val="16"/>
        </w:rPr>
        <w:softHyphen/>
        <w:t>шую точность стрельбы» и производство 2—3 при</w:t>
      </w:r>
      <w:r w:rsidRPr="00271E51">
        <w:rPr>
          <w:color w:val="000000" w:themeColor="text1"/>
          <w:sz w:val="16"/>
          <w:szCs w:val="16"/>
        </w:rPr>
        <w:softHyphen/>
        <w:t>цельных очередей по 2—3 снаряда каждая. Заход на цель — на скорости 300—320 км/ч с разворотом в сторону цели под углом 40—45°. Вывод из пики</w:t>
      </w:r>
      <w:r w:rsidRPr="00271E51">
        <w:rPr>
          <w:color w:val="000000" w:themeColor="text1"/>
          <w:sz w:val="16"/>
          <w:szCs w:val="16"/>
        </w:rPr>
        <w:softHyphen/>
        <w:t>рования — на высоте 300—200 м.</w:t>
      </w:r>
    </w:p>
    <w:p w14:paraId="58407C7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Наилучшие результаты при атаке ж.-д. эшелона получались при построении захода под углом 15— 20° к направлению движения эшелона и под углами пикирования 25—45°. В этом случае ж.-д. эшелон на перегоне выводился из строя вместе с парово</w:t>
      </w:r>
      <w:r w:rsidRPr="00271E51">
        <w:rPr>
          <w:color w:val="000000" w:themeColor="text1"/>
          <w:sz w:val="16"/>
          <w:szCs w:val="16"/>
        </w:rPr>
        <w:softHyphen/>
        <w:t>зом после штурмовки группы в составе 4—6 Як-9т.</w:t>
      </w:r>
    </w:p>
    <w:p w14:paraId="3CF303F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по наземной цели наибольшую эффективность дают осколочно-зажигательные снаряды ОЗ-37. При попадании одного такого сна</w:t>
      </w:r>
      <w:r w:rsidRPr="00271E51">
        <w:rPr>
          <w:color w:val="000000" w:themeColor="text1"/>
          <w:sz w:val="16"/>
          <w:szCs w:val="16"/>
        </w:rPr>
        <w:softHyphen/>
        <w:t>ряда в моторную часть автомашин возникал пожар. Разрывы снарядов рядом с автомашиной выводили из строя ее ходовую часть. Анализ поражения па</w:t>
      </w:r>
      <w:r w:rsidRPr="00271E51">
        <w:rPr>
          <w:color w:val="000000" w:themeColor="text1"/>
          <w:sz w:val="16"/>
          <w:szCs w:val="16"/>
        </w:rPr>
        <w:softHyphen/>
        <w:t>ровозов показал, что при действии по ним 37-мм снарядов типа ОЗ-37, которые, помимо осколочно</w:t>
      </w:r>
      <w:r w:rsidRPr="00271E51">
        <w:rPr>
          <w:color w:val="000000" w:themeColor="text1"/>
          <w:sz w:val="16"/>
          <w:szCs w:val="16"/>
        </w:rPr>
        <w:softHyphen/>
        <w:t>го, имеют и значительное фугасное действие, в ре</w:t>
      </w:r>
      <w:r w:rsidRPr="00271E51">
        <w:rPr>
          <w:color w:val="000000" w:themeColor="text1"/>
          <w:sz w:val="16"/>
          <w:szCs w:val="16"/>
        </w:rPr>
        <w:softHyphen/>
        <w:t>зультате разрыва снаряда разрушается верхний кожух и асбестовая прокладка парового котла, но пробитие котла не происходит. Паровоз получает повреждения, которые достаточно быстро устраня</w:t>
      </w:r>
      <w:r w:rsidRPr="00271E51">
        <w:rPr>
          <w:color w:val="000000" w:themeColor="text1"/>
          <w:sz w:val="16"/>
          <w:szCs w:val="16"/>
        </w:rPr>
        <w:softHyphen/>
        <w:t>лись ремонтной бригадой. Значительные разруше</w:t>
      </w:r>
      <w:r w:rsidRPr="00271E51">
        <w:rPr>
          <w:color w:val="000000" w:themeColor="text1"/>
          <w:sz w:val="16"/>
          <w:szCs w:val="16"/>
        </w:rPr>
        <w:softHyphen/>
        <w:t>ния наносились приборному хозяйству и системе управления паровозом при попадании ОЗ-37 в буд</w:t>
      </w:r>
      <w:r w:rsidRPr="00271E51">
        <w:rPr>
          <w:color w:val="000000" w:themeColor="text1"/>
          <w:sz w:val="16"/>
          <w:szCs w:val="16"/>
        </w:rPr>
        <w:softHyphen/>
        <w:t>ку машиниста.</w:t>
      </w:r>
    </w:p>
    <w:p w14:paraId="51EB2F48"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бронебойными снарядами БЗТ-37, как правило, сопровождается пробитием основной об</w:t>
      </w:r>
      <w:r w:rsidRPr="00271E51">
        <w:rPr>
          <w:color w:val="000000" w:themeColor="text1"/>
          <w:sz w:val="16"/>
          <w:szCs w:val="16"/>
        </w:rPr>
        <w:softHyphen/>
        <w:t>шивки котла и его взрывом. Паровоз выходит из строя на долгое время. Снаряды этого типа уверен</w:t>
      </w:r>
      <w:r w:rsidRPr="00271E51">
        <w:rPr>
          <w:color w:val="000000" w:themeColor="text1"/>
          <w:sz w:val="16"/>
          <w:szCs w:val="16"/>
        </w:rPr>
        <w:softHyphen/>
        <w:t>но поражали паровозы, легкие катера и бронетех</w:t>
      </w:r>
      <w:r w:rsidRPr="00271E51">
        <w:rPr>
          <w:color w:val="000000" w:themeColor="text1"/>
          <w:sz w:val="16"/>
          <w:szCs w:val="16"/>
        </w:rPr>
        <w:softHyphen/>
        <w:t>нику с толщиной брони до 40 мм.</w:t>
      </w:r>
    </w:p>
    <w:p w14:paraId="4681CB3A"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При этом красная трасса снарядов БЗТ-37, хоро</w:t>
      </w:r>
      <w:r w:rsidRPr="00271E51">
        <w:rPr>
          <w:color w:val="000000" w:themeColor="text1"/>
          <w:sz w:val="16"/>
          <w:szCs w:val="16"/>
        </w:rPr>
        <w:softHyphen/>
        <w:t>шо видимая при стрельбе по наземной цели, по</w:t>
      </w:r>
      <w:r w:rsidRPr="00271E51">
        <w:rPr>
          <w:color w:val="000000" w:themeColor="text1"/>
          <w:sz w:val="16"/>
          <w:szCs w:val="16"/>
        </w:rPr>
        <w:softHyphen/>
        <w:t>зволяет уверенно корректировать огонь.</w:t>
      </w:r>
    </w:p>
    <w:p w14:paraId="7C5E4363"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Учитывая реальные условия воздушных боев и распределение наземных целей, считалось ра</w:t>
      </w:r>
      <w:r w:rsidRPr="00271E51">
        <w:rPr>
          <w:color w:val="000000" w:themeColor="text1"/>
          <w:sz w:val="16"/>
          <w:szCs w:val="16"/>
        </w:rPr>
        <w:softHyphen/>
        <w:t>циональным в составе боекомплекта Як-9т иметь 100% осколочно-зажигательно-трассирующих сна</w:t>
      </w:r>
      <w:r w:rsidRPr="00271E51">
        <w:rPr>
          <w:color w:val="000000" w:themeColor="text1"/>
          <w:sz w:val="16"/>
          <w:szCs w:val="16"/>
        </w:rPr>
        <w:softHyphen/>
        <w:t>рядов ОЗТ-37 или при их отсутствии — 80% ОЗ-37 и 20% БЗТ-37. Введение бронебойных боеприпасов в таком проценте обуславливалось лишь необходи</w:t>
      </w:r>
      <w:r w:rsidRPr="00271E51">
        <w:rPr>
          <w:color w:val="000000" w:themeColor="text1"/>
          <w:sz w:val="16"/>
          <w:szCs w:val="16"/>
        </w:rPr>
        <w:softHyphen/>
        <w:t>мостью иметь видимую трассу.</w:t>
      </w:r>
    </w:p>
    <w:p w14:paraId="474C2C91"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действии по автомашинам, живой силе и паровозам боекомплект должен был состоять на 50% из ОЗ-37 и на 50% из БЗТ-37. В случае работы по танкам доля бронебойных снарядов возрастает до 60%. Такое соотношение снаря</w:t>
      </w:r>
      <w:r w:rsidRPr="00271E51">
        <w:rPr>
          <w:color w:val="000000" w:themeColor="text1"/>
          <w:sz w:val="16"/>
          <w:szCs w:val="16"/>
        </w:rPr>
        <w:softHyphen/>
        <w:t>дов было «пригодным и для штур</w:t>
      </w:r>
      <w:r w:rsidRPr="00271E51">
        <w:rPr>
          <w:color w:val="000000" w:themeColor="text1"/>
          <w:sz w:val="16"/>
          <w:szCs w:val="16"/>
        </w:rPr>
        <w:softHyphen/>
        <w:t>мовки небольших судов против</w:t>
      </w:r>
      <w:r w:rsidRPr="00271E51">
        <w:rPr>
          <w:color w:val="000000" w:themeColor="text1"/>
          <w:sz w:val="16"/>
          <w:szCs w:val="16"/>
        </w:rPr>
        <w:softHyphen/>
        <w:t>ника, а также переправ (понтоны, катера и т.д.)».</w:t>
      </w:r>
    </w:p>
    <w:p w14:paraId="50569D67"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Пристрелка на 400 м обеспечи</w:t>
      </w:r>
      <w:r w:rsidRPr="00271E51">
        <w:rPr>
          <w:color w:val="000000" w:themeColor="text1"/>
          <w:sz w:val="16"/>
          <w:szCs w:val="16"/>
        </w:rPr>
        <w:softHyphen/>
        <w:t>вает поражаемое пространство до 100 м. Понижение траектории над линией цели с учетом собственной скорости около 45,5 см, следова</w:t>
      </w:r>
      <w:r w:rsidRPr="00271E51">
        <w:rPr>
          <w:color w:val="000000" w:themeColor="text1"/>
          <w:sz w:val="16"/>
          <w:szCs w:val="16"/>
        </w:rPr>
        <w:softHyphen/>
        <w:t>тельно, можно вести огонь без по</w:t>
      </w:r>
      <w:r w:rsidRPr="00271E51">
        <w:rPr>
          <w:color w:val="000000" w:themeColor="text1"/>
          <w:sz w:val="16"/>
          <w:szCs w:val="16"/>
        </w:rPr>
        <w:softHyphen/>
        <w:t>правок на 1000 м.</w:t>
      </w:r>
    </w:p>
    <w:p w14:paraId="25E15362"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Основные выводы по результа</w:t>
      </w:r>
      <w:r w:rsidRPr="00271E51">
        <w:rPr>
          <w:color w:val="000000" w:themeColor="text1"/>
          <w:sz w:val="16"/>
          <w:szCs w:val="16"/>
        </w:rPr>
        <w:softHyphen/>
        <w:t>там войсковых испытаний сводились к тому, что Як-9т «является нужным для ВВС КА истребителем». Само</w:t>
      </w:r>
      <w:r w:rsidRPr="00271E51">
        <w:rPr>
          <w:color w:val="000000" w:themeColor="text1"/>
          <w:sz w:val="16"/>
          <w:szCs w:val="16"/>
        </w:rPr>
        <w:softHyphen/>
        <w:t>лет необходимо было использовать главным образом для уничтожения бомбардировщиков в воздухе и са</w:t>
      </w:r>
      <w:r w:rsidRPr="00271E51">
        <w:rPr>
          <w:color w:val="000000" w:themeColor="text1"/>
          <w:sz w:val="16"/>
          <w:szCs w:val="16"/>
        </w:rPr>
        <w:softHyphen/>
        <w:t>молетов на аэродромах, танков, САУ и автомашин на походе и на поле боя, а также паровозов и ж.-д. эше</w:t>
      </w:r>
      <w:r w:rsidRPr="00271E51">
        <w:rPr>
          <w:color w:val="000000" w:themeColor="text1"/>
          <w:sz w:val="16"/>
          <w:szCs w:val="16"/>
        </w:rPr>
        <w:softHyphen/>
        <w:t>лонов на станциях и перегонах. При формировании частей истребитель</w:t>
      </w:r>
      <w:r w:rsidRPr="00271E51">
        <w:rPr>
          <w:color w:val="000000" w:themeColor="text1"/>
          <w:sz w:val="16"/>
          <w:szCs w:val="16"/>
        </w:rPr>
        <w:softHyphen/>
        <w:t>ной авиации полки целесообразно делать смешанными, «включающими в свой состав 30—50% самолетов Як с обычным вооружением и 70—50% самолетов с пушкой 37 мм». Полки на Як-9т необходимо комплектовать летным составом с отличной летной и стрелковой подготовкой.</w:t>
      </w:r>
    </w:p>
    <w:p w14:paraId="50489DB5" w14:textId="77777777" w:rsidR="00B8210E" w:rsidRPr="00271E51" w:rsidRDefault="00B821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Требовалось каждый снаряд снабдить трас</w:t>
      </w:r>
      <w:r w:rsidRPr="00271E51">
        <w:rPr>
          <w:color w:val="000000" w:themeColor="text1"/>
          <w:sz w:val="16"/>
          <w:szCs w:val="16"/>
        </w:rPr>
        <w:softHyphen/>
        <w:t>сером, поставить самоликвидатор на дальность 1000 м, сделать пламегаситель (при стрельбе пламя пушки при первом выстреле не дает возможности видеть в прицел самолет противника) (17500).</w:t>
      </w:r>
    </w:p>
    <w:p w14:paraId="0CD7110F" w14:textId="77777777" w:rsidR="00B8210E" w:rsidRPr="00271E51" w:rsidRDefault="00B8210E" w:rsidP="00271E51">
      <w:pPr>
        <w:spacing w:after="0" w:line="240" w:lineRule="auto"/>
        <w:jc w:val="both"/>
        <w:rPr>
          <w:rFonts w:ascii="Times New Roman" w:hAnsi="Times New Roman"/>
          <w:color w:val="000000" w:themeColor="text1"/>
          <w:sz w:val="16"/>
          <w:szCs w:val="16"/>
        </w:rPr>
      </w:pPr>
    </w:p>
    <w:p w14:paraId="31B619EF" w14:textId="77777777" w:rsidR="00593262" w:rsidRPr="00271E51" w:rsidRDefault="00593262"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С 5 июля по 6 августа 1943 г. на Центральном фронте в 16 ВА на 34-х самолетах Як-9Т проводились Войсковые испытания Як-9Т (танковый) на боевое применение. На Як-9Т летали 80 летчиков шести полков, входивших в состав 273 иад 6 иак и 1 гв. Сталинградской иад. Не смотря на потерю в ходе войсковых испытаний 12 Як-9Т, они были признаны успешными – пилотам Як-9Т были засчитаны 49 воздушных побед.</w:t>
      </w:r>
    </w:p>
    <w:p w14:paraId="320DA31E" w14:textId="77777777" w:rsidR="00593262" w:rsidRPr="00271E51" w:rsidRDefault="00593262"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Серийно Як-9Т строился на заводе N153 с марта 1943 г. по июнь 1945 г. Всего выпущено 2748 самолетов (19170).</w:t>
      </w:r>
    </w:p>
    <w:p w14:paraId="50377FB4" w14:textId="77777777" w:rsidR="00593262" w:rsidRPr="00271E51" w:rsidRDefault="00593262" w:rsidP="00271E51">
      <w:pPr>
        <w:pStyle w:val="rtejustify"/>
        <w:shd w:val="clear" w:color="auto" w:fill="FFFFFF"/>
        <w:spacing w:before="0" w:after="0"/>
        <w:textAlignment w:val="baseline"/>
        <w:rPr>
          <w:color w:val="000000" w:themeColor="text1"/>
          <w:sz w:val="16"/>
          <w:szCs w:val="16"/>
        </w:rPr>
      </w:pPr>
    </w:p>
    <w:p w14:paraId="7C2AF301" w14:textId="77777777" w:rsidR="00593262" w:rsidRPr="00271E51" w:rsidRDefault="0059326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июля 1943 г. эскадрилья «Норман</w:t>
      </w:r>
      <w:r w:rsidRPr="00271E51">
        <w:rPr>
          <w:rFonts w:ascii="Times New Roman" w:cs="Times New Roman"/>
          <w:color w:val="000000" w:themeColor="text1"/>
          <w:spacing w:val="0"/>
        </w:rPr>
        <w:softHyphen/>
        <w:t>дия», получившей впоследствии статус пол</w:t>
      </w:r>
      <w:r w:rsidRPr="00271E51">
        <w:rPr>
          <w:rFonts w:ascii="Times New Roman" w:cs="Times New Roman"/>
          <w:color w:val="000000" w:themeColor="text1"/>
          <w:spacing w:val="0"/>
        </w:rPr>
        <w:softHyphen/>
        <w:t>ка и наименование «Нормандия-Неман» получила первые 12 Як-9. Затем в полку эксплуатировались также машины вариантов Д, М и Т. Эти ма</w:t>
      </w:r>
      <w:r w:rsidRPr="00271E51">
        <w:rPr>
          <w:rFonts w:ascii="Times New Roman" w:cs="Times New Roman"/>
          <w:color w:val="000000" w:themeColor="text1"/>
          <w:spacing w:val="0"/>
        </w:rPr>
        <w:softHyphen/>
        <w:t>шины сосредоточили в 4-й эскадрилье, ко</w:t>
      </w:r>
      <w:r w:rsidRPr="00271E51">
        <w:rPr>
          <w:rFonts w:ascii="Times New Roman" w:cs="Times New Roman"/>
          <w:color w:val="000000" w:themeColor="text1"/>
          <w:spacing w:val="0"/>
        </w:rPr>
        <w:softHyphen/>
        <w:t>мандиром которой являлся Р. Шала.</w:t>
      </w:r>
    </w:p>
    <w:p w14:paraId="16B96CAB" w14:textId="77777777" w:rsidR="00593262" w:rsidRPr="00271E51" w:rsidRDefault="0059326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Французы воевали на них год, с августа 1943 г. по август 1944 г. Полк добился больших успехов, но и потери оказались велики. На</w:t>
      </w:r>
      <w:r w:rsidRPr="00271E51">
        <w:rPr>
          <w:rFonts w:ascii="Times New Roman" w:hAnsi="Times New Roman"/>
          <w:color w:val="000000" w:themeColor="text1"/>
          <w:sz w:val="16"/>
          <w:szCs w:val="16"/>
        </w:rPr>
        <w:softHyphen/>
        <w:t xml:space="preserve">пример, 31 августа 1943 г. в бою десятки Як-9 с немецкими Не 111 и </w:t>
      </w:r>
      <w:r w:rsidRPr="00271E51">
        <w:rPr>
          <w:rFonts w:ascii="Times New Roman" w:hAnsi="Times New Roman"/>
          <w:color w:val="000000" w:themeColor="text1"/>
          <w:sz w:val="16"/>
          <w:szCs w:val="16"/>
          <w:lang w:val="en-US"/>
        </w:rPr>
        <w:t>FW</w:t>
      </w:r>
      <w:r w:rsidRPr="00271E51">
        <w:rPr>
          <w:rFonts w:ascii="Times New Roman" w:hAnsi="Times New Roman"/>
          <w:color w:val="000000" w:themeColor="text1"/>
          <w:sz w:val="16"/>
          <w:szCs w:val="16"/>
        </w:rPr>
        <w:t xml:space="preserve"> 190, превосходив</w:t>
      </w:r>
      <w:r w:rsidRPr="00271E51">
        <w:rPr>
          <w:rFonts w:ascii="Times New Roman" w:hAnsi="Times New Roman"/>
          <w:color w:val="000000" w:themeColor="text1"/>
          <w:sz w:val="16"/>
          <w:szCs w:val="16"/>
        </w:rPr>
        <w:softHyphen/>
        <w:t>шими их по численности почти в десять раз, пилоты «Нормандии» сбили один бомбар</w:t>
      </w:r>
      <w:r w:rsidRPr="00271E51">
        <w:rPr>
          <w:rFonts w:ascii="Times New Roman" w:hAnsi="Times New Roman"/>
          <w:color w:val="000000" w:themeColor="text1"/>
          <w:sz w:val="16"/>
          <w:szCs w:val="16"/>
        </w:rPr>
        <w:softHyphen/>
        <w:t>дировщик и три истребителя, однако и сами потеряли четыре машины и двух пилотов (19103).</w:t>
      </w:r>
    </w:p>
    <w:p w14:paraId="628AA6F9" w14:textId="77777777" w:rsidR="00593262" w:rsidRPr="00271E51" w:rsidRDefault="00593262" w:rsidP="00271E51">
      <w:pPr>
        <w:spacing w:after="0" w:line="240" w:lineRule="auto"/>
        <w:jc w:val="both"/>
        <w:rPr>
          <w:rFonts w:ascii="Times New Roman" w:hAnsi="Times New Roman"/>
          <w:color w:val="000000" w:themeColor="text1"/>
          <w:sz w:val="16"/>
          <w:szCs w:val="16"/>
        </w:rPr>
      </w:pPr>
    </w:p>
    <w:p w14:paraId="7C3489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у И.В.С. было совещание с участием специалистов НКВ и НКАП, а также конструкторов самолетов, пушек, прицелов. Результатом стало постановление о разработке 45 мм пушки (177,309) для истребителей (263,14). А.Э.Нудельман и А.С.Суранов были из ОКБ-16 (177,305), а Ижмаш был 74 заводом НКВ и именно он делал и НС-37 и НС-45 (177,308).</w:t>
      </w:r>
    </w:p>
    <w:p w14:paraId="069B4E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8 часов вечера в Кремле. В присутствии членов ПБ. И.В.С. сразу отказался от нереального задания и сократил дальность до 1000-1200 м. Длилось 2.5 час. Кто-то позвонил. И.В.С.: "Что? 500? А Василевский знает? Ну хорошо." Это о том, что началась Курская битва. Опять встал вопрос о ДРП - отложили, так как не было конструкторов (263,74).</w:t>
      </w:r>
    </w:p>
    <w:p w14:paraId="0F2E5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 дали на 45-мм (две - одну под имеющийся патрон - быстро - в соревновании с ОКБ-16 и ОКБ-15, другую - под новый патрон со скоростью 1000 м/с), 57-мм и даже 76-мм АП. 76-мм под названием РШР сделали С.Е.Рашков, Е.В.Шенков и С.С.Розанов. Испытывалась в воздухе на Ту-2 в фюзеляже в 1947 (263,75).</w:t>
      </w:r>
    </w:p>
    <w:p w14:paraId="7EE37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Через 2-3 дня вышло соответствующее постановление ГКО (263,75).</w:t>
      </w:r>
    </w:p>
    <w:p w14:paraId="76FD36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Первым был коллектив А.Э.Нудельмана, представившего в 1944 НС-45, созданную на базе НС-37. Вес снаряда вырос в 1.5 раз (85,447).</w:t>
      </w:r>
    </w:p>
    <w:p w14:paraId="6B1AD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НС-45 сделали свой патрон с фугасно-осколочным снарядом от противотанковой пушки массой 1065 г и гильзой от НС-37 (263,75) Тонкий ствол - чтобы пролез через втулку. Дульный тормоз - впервые на АП (263,76). Б.Г.Шпитальный тоже сделал, демонстрировал К.Е.В., но сохранились недостатки Ш-37 (263,77).</w:t>
      </w:r>
    </w:p>
    <w:p w14:paraId="00DCA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0C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состоялось совещание специалистов ВВС со специалистами ВИАМ и в результате ВИАМом была разработана и 1 сентября 1943 находилась на утверждении НКАП производственная инструкция по окраске и режимам сушки лакокрасочных покрытий на заводах НКАП (1779,255).</w:t>
      </w:r>
    </w:p>
    <w:p w14:paraId="20E7D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62F6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60506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5A50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дирекция завода № 37 уведомила ГБТУ КАо временном прекращении завоза в адрес завода трофейной матчасти и сообщило, что «в ближайшие месяц — два завод ни одну машину не примет».</w:t>
      </w:r>
    </w:p>
    <w:p w14:paraId="09F9D039"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FB5CEC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Распоряжение ГКО № 3687 [О передаче на Златоустовский завод HКЧМ заказа на 250 т проката для Кировского завода (Челябинск) и отгрузке с Бакальского завода для Кировского завода металла для коленчатых валов и дизельмоторов.] (7118, 198).</w:t>
      </w:r>
    </w:p>
    <w:p w14:paraId="0CCAB1B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1071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Постановление ГКО № 3688 О срочных мерах по материально-техническому обеспечению ремонта комбайнов и сельхозмашин к уборке урожая.РГАНИР, Фонд ГКО, д. 129, лл. 199-203 (11012).</w:t>
      </w:r>
    </w:p>
    <w:p w14:paraId="2CEE7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D470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Распоряжение ГКО № 3689 [О разработке мероприятий по восстановлению и организации производства оборудования для электро- и дизельэлектротяги на ж.-д. транспорте.] (7118, 204,205-209).</w:t>
      </w:r>
    </w:p>
    <w:p w14:paraId="023A71C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B5C1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Распоряжение ГКО № 3690 [О реконструкции котлов на ТЭЦ Щадринского автоагрегатного завода.] (7118, 210).</w:t>
      </w:r>
    </w:p>
    <w:p w14:paraId="7577FFA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975D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Постановление ГКО № 3691 О т.т. Оленине В.М., Запорожец А.И.РГАНИР, Фонд ГКО, д. 129, лл. 211 (11012).</w:t>
      </w:r>
    </w:p>
    <w:p w14:paraId="24E5C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4FD5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Постановление ГКО № 3692 [Об освобождении Молотова В.М. от контроля за производством танков и возложении этих обязанностей на Берия л. П.] (7118, 212).</w:t>
      </w:r>
    </w:p>
    <w:p w14:paraId="74D7B9B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FC6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вышло Постановление ГКО № 3693 Об учреждении переходящих Красных знамен Государственного Комитета Обороны для электростанций НКЭС.РГАНИР, Фонд ГКО, д. 129, лл. 213 (11012).</w:t>
      </w:r>
    </w:p>
    <w:p w14:paraId="777ED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CF72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июня 1943 вышло Распоряжение ГКО № 3694 [О разрешении финансирования строительства МЭИ им. Молотова без утвержденных проектов и смет до 31 декабря 1943 г.] (7118, 214).</w:t>
      </w:r>
    </w:p>
    <w:p w14:paraId="55F1C3A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C5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На 40 дней раньше срока адмиралтейцы завершили аварийный ремонт подводного минного заградителя "Лембит" (10671).</w:t>
      </w:r>
    </w:p>
    <w:p w14:paraId="2485C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4E26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26DC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DAF4C"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июля</w:t>
      </w:r>
      <w:r w:rsidRPr="00271E51">
        <w:rPr>
          <w:rFonts w:ascii="Times New Roman" w:hAnsi="Times New Roman"/>
          <w:color w:val="000000" w:themeColor="text1"/>
          <w:sz w:val="16"/>
          <w:szCs w:val="16"/>
        </w:rPr>
        <w:t xml:space="preserve"> в 1943 году утреннее сообщение Совинформбюро:</w:t>
      </w:r>
    </w:p>
    <w:p w14:paraId="2FEAF05F"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ночи на 5 июля на фронте ничего существенного не произошло.</w:t>
      </w:r>
    </w:p>
    <w:p w14:paraId="6314265B"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наша разведывательная группа скрытно проникла в расположение противника и забросала гранатами немцев, засевших в одной из траншей. На другом участке немецкий разведывательный отряд пытался проникнуть на наш передний край обороны. Вражеские разведчики были своевременно обнаружены. Наши бойцы огнём из пулемётов и винтовок истребили несколько десятков гитлеровцев.</w:t>
      </w:r>
    </w:p>
    <w:p w14:paraId="17105398"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Белгорода разведчики установили, что на переднем крае противника накапливается для атаки вражеская пехота. Ночью гвардейское миномётное подразделение совершило огневой налёт и точно накрыло скопление гитлеровцев. Противник понёс большие потери. Вражеская атака была сорвана.</w:t>
      </w:r>
    </w:p>
    <w:p w14:paraId="68639C39"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Чугуева две самоходные пушки противника обстреливали наши позиции. Артиллеристы Н-ской части открыли ответный огонь и уничтожили вражеские орудия. На другом участке советские минометчики уничтожили два станковых пулемёта и рассеяли роту немецкой пехоты.</w:t>
      </w:r>
    </w:p>
    <w:p w14:paraId="506D24C7"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командир орудия старший сержант Верещагин ночьюоткрыл огонь по дзотам и блиндажам противника. Утром разведчики донесли, что артиллеристы разрушили 2 немецких дзота и 4 блиндажа. На другом участке боевое охранение Н-ского подразделения ружейно-пулемётным огнём рассеяло отряд немецких разведчиков, пытавшихся преодолеть наши проволочные заграждения.</w:t>
      </w:r>
    </w:p>
    <w:p w14:paraId="0628B99E"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в течение нескольких дней вёл ожесточённые бои против крупной немецкой карательной экспедиции. Все попытки немцев окружить и уничтожить партизан провалились. В отдельные дни советские патриоты отбивали по нескольку атак противника и наносили ему контрудары. Потеряв только убитыми 250 солдат и офицеров, немцы отступили. Группа партизан другого ленинградского отряда пустила под откос немецкий воинский эшелон. При крушении разбит паровоз и 4 вагона. Другая группа партизан уничтожила на шоссейной дороге вражескую легковую машину. Убит командир контрразведывательной группы и тяжело ранен руководитель особой службы немцев.</w:t>
      </w:r>
    </w:p>
    <w:p w14:paraId="63659546"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фронта взят в плен капитан 1 румынской истребительной флотилии Октав Пэнеску. Пленный заявил: «За два года войны Румыния потеряла на советско-германском фронте почти всю свою авиацию. Правда, в составе воздушных сил Румынии числится 9 авиационных флотилий, но они не укомплектованы самолётами. Румынские заводы выпускают самолёты и моторы устаревших типов, притом в крайне незначительном количестве. Снабжение румынской авиации материальной частью целиком зависит от Германии. Немцы не хотят нас снабжать, заявляя, что им самим не хватает самолётов. Они продолжают опустошать страну и вывозят всё, что представляет ценность. Народ враждебно относится к немцам и считает их виновниками громадных людских потерь, понесённых румынской армией. Подавляющее большинство населения, а также солдат высказывается против союза с Германией и дальнейшего участия Румынии в войне».</w:t>
      </w:r>
    </w:p>
    <w:p w14:paraId="4B1C8515"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Марселе французские патриоты взорвали немецкую казарму. Взрывом убито и ранено 80 гитлеровцев. Близ Тулузы вольные стрелки совершили налёт на немецкую автоколонну, убили 20 немецких солдат и уничтожили 11 автомашин с грузами. В Верхней Савойе группа вооружённых французов проникла на военный склад, перебила охрану и захватила несколько пулемётов. Перед уходом патриоты подожгли склад.» (14943).</w:t>
      </w:r>
    </w:p>
    <w:p w14:paraId="202A4AA0" w14:textId="77777777" w:rsidR="00E17F47" w:rsidRPr="00271E51" w:rsidRDefault="00E17F47" w:rsidP="00271E51">
      <w:pPr>
        <w:spacing w:after="0" w:line="240" w:lineRule="auto"/>
        <w:jc w:val="both"/>
        <w:rPr>
          <w:rFonts w:ascii="Times New Roman" w:hAnsi="Times New Roman"/>
          <w:color w:val="000000" w:themeColor="text1"/>
          <w:sz w:val="16"/>
          <w:szCs w:val="16"/>
        </w:rPr>
      </w:pPr>
    </w:p>
    <w:p w14:paraId="117DA75B"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июля</w:t>
      </w:r>
      <w:r w:rsidRPr="00271E51">
        <w:rPr>
          <w:rFonts w:ascii="Times New Roman" w:hAnsi="Times New Roman"/>
          <w:color w:val="000000" w:themeColor="text1"/>
          <w:sz w:val="16"/>
          <w:szCs w:val="16"/>
        </w:rPr>
        <w:t xml:space="preserve"> в 1943 году вечернее сообщение Совинформбюро:</w:t>
      </w:r>
    </w:p>
    <w:p w14:paraId="1C8A0FA0"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утра 5 июля наши войска на Орловско-Курском и Белгородском направлениях вели упорные бои с перешедшими в наступление крупными силами пехоты и танков противника, поддержанными большим количеством авиации. Все атаки противника отбиты с большими для него потерями и лишь в отдельных местах небольшим отрядам немцев удалось незначительно вклиниться в нашу оборону.</w:t>
      </w:r>
    </w:p>
    <w:p w14:paraId="77861E20"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предварительным данным, нашими войсками на Орловско-Курском и Белгородском направлениях за день боёв подбито и уничтожено 586 немецких танков, в воздушных боях и зенитной артиллерией сбито 203 самолёта противника. Бои продолжаются.</w:t>
      </w:r>
    </w:p>
    <w:p w14:paraId="6F3EA9E2"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бойцы Н-ского соединения отбивали ожесточённые атаки противника. На одном участке небольшому отряду немцев удалосьна полкилометра вклиниться в передний край нашей обороны. Сосредоточенным огнём артиллерии и контрударом стрелковых частей дальнейшее продвижение противника приостановлено. На других участках немцы бросили на поддержку своей пехоты большое число танков и авиации, но не добились успеха. Ожесточённые атаки гитлеровцев отбиты. Противнику нанесён тяжёлый урон в живой силе и технике.</w:t>
      </w:r>
    </w:p>
    <w:p w14:paraId="52083178"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Белгорода наши передовые части мощным артиллерийско-миномётным и ружейно-пулемётным огнём встретили перешедшего в наступление противника. Ожесточённые бои завязались перед передним краем советской обороны. Наши бойцы стойко обороняют свои позиции и наносят немцам большой урон. Бойцы Н-ского соединения в боях, происходивших утром, истребили свыше 3.000 немецких солдат и офицеров, сожгли и подбили 123 вражеских танков.</w:t>
      </w:r>
    </w:p>
    <w:p w14:paraId="1F5EB7DD"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одной нашей части, отражая атаки авиации противника, сбили в воздушных боях 62 немецких самолёта.</w:t>
      </w:r>
    </w:p>
    <w:p w14:paraId="0FC06903"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активно действовали разведывательные группы. Разведчики под командованием лейтенанта Сипитого приблизились к позициям противника и забросали гранатами вражеские траншеи. На другом участке наша разведывательная группа преодолела несколько минных полей и в рукопашной схватке уничтожила боевое охранение немцев. Добыв ценные сведения о системе обороны противника, разведчики вернулись в свою часть.</w:t>
      </w:r>
    </w:p>
    <w:p w14:paraId="638955C1"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подразделение, которым командует старший лейтенант Белоусов, стремительно атаковало немцев, укрепившихся в населённом пункте. Застигнутые врасплох вражеские солдаты беспорядочно бежали, побросав оружие и военное имущество. Советские бойцы уничтожили 60 гитлеровцев и заняли населённый пункт. Группа немецких солдат взята в плен. Захвачены трофеи, в числе которых 6 пулемётов, 20 тысяч патронов, 300 гранат, 2 радиостанции и другое военное имущество. Наши бойцы закрепились на новых позициях и успешно отбили три контратаки противника.</w:t>
      </w:r>
    </w:p>
    <w:p w14:paraId="26ABB9C3"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происходила редкая артиллерийско-миномётная перестрелка. Наши подразделения уничтожили до роты гитлеровцев, артиллерийскую батарею и разбили два блиндажа противника. Разведывательная группа под командованием капитана Жатеева атаковала опорный пункт немцев. В завязавшейся схватке разведчики убили несколько десятков гитлеровцев и захватили пленных.</w:t>
      </w:r>
    </w:p>
    <w:p w14:paraId="25022FDB"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группа разведчиков Н-ского подразделения проникла в тыл противника. Рано утром наши бойцы из засады обстреляли проходившую вражескую колонну и уничтожили свыше 30 немецких солдат.</w:t>
      </w:r>
    </w:p>
    <w:p w14:paraId="5FF29902"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Пинской области, несколько дней тому назад подорвал эшелон противника, следовавший на фронт. Уничтожено много авиамоторов, 200 ящиков авиационного стекла, разбито 5 автомашин, паровоз, 30 вагонов и 3 платформы. При крушении убито несколько десятков немецких солдат.</w:t>
      </w:r>
    </w:p>
    <w:p w14:paraId="78E4C142"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Письма, найденные у убитых и пленных солдат противника, дают некоторое представление о настроениях населения Германии. В письме, адресованном солдату Бруно Цшоке, говорится: «Мы все охвачены одним желанием — скорее бы, наконец, закончилась эта ужасная война. Нервы не выдерживают». Некий Генрих Вольфен пишетсолдату Новаку: «Сообщаю новость — ученики 6 и 7 классов в понедельник призваны в армию. Плохи наши дела, если в ход пошли зелёные юнцы».</w:t>
      </w:r>
    </w:p>
    <w:p w14:paraId="7AD6F184"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продолжают творить кровавые злодеяния в оккупированных советских районах. В лесу за деревней Белой, Витебской области, гитлеровцы расстреляли 86 стариков, женщин и детей. В селении Старина немцы сожгли живьём 24 колхозника. Фашистские мерзавцы в этом же селе изнасиловали нескольких девушек, а затем убили их.» (14943).</w:t>
      </w:r>
    </w:p>
    <w:p w14:paraId="22FC4E90" w14:textId="77777777" w:rsidR="00E17F47" w:rsidRPr="00271E51" w:rsidRDefault="00E17F47" w:rsidP="00271E51">
      <w:pPr>
        <w:spacing w:after="0" w:line="240" w:lineRule="auto"/>
        <w:jc w:val="both"/>
        <w:rPr>
          <w:rFonts w:ascii="Times New Roman" w:hAnsi="Times New Roman"/>
          <w:color w:val="000000" w:themeColor="text1"/>
          <w:sz w:val="16"/>
          <w:szCs w:val="16"/>
        </w:rPr>
      </w:pPr>
    </w:p>
    <w:p w14:paraId="445EBCA9"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Утро 5 июля 1943 на Германские РЛС «Вюрцбург» и «Фрея» засекли приближение большого количества самолетов уже на дистанции в несколько десятков километров. Это позволило своевременно поднять в воздух все имевшиеся истребители и привести в полную боевую готовность зенитную артиллерию. Bf-109G из JG52 и JG3 «Удет» начали барражировать над районом, куда направлялись русские. По радио их пилотам постоянно поступали сведения о курсе и скорости полета воздушных целей.</w:t>
      </w:r>
    </w:p>
    <w:p w14:paraId="01786AC7"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Восемнадцать Ил-2 из 735-го и 66-го шап на рассвете вылетели для атаки аэродрома Померки. Но дело сразу пошло наперекосяк, так как уже на взлете в воздухе столкнулись две машины. Неопытные пилоты все внимание концентрировали на ведущих, боясь нарушить строй и сбиться с курса. И видимо, не зря, так как на маршруте полета где-то «потерялась» еще пара самолетов. В итоге до цели долетели лишь четырнадцать штурмовиков. Это ослабило ударную группу, но экипажи все же надеялись на внезапность, которую им обещало командование.</w:t>
      </w:r>
    </w:p>
    <w:p w14:paraId="03A4FD6F"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Однако аэродром Померки оказался отнюдь не «мирно спящим». На фоне уже светлеющего неба над ним виднелись силуэты патрульных немецких истребителей, потом показались вспышки выстрелов зениток, и рядом со штурмовиками прошли трассеры. Но главный сюрприз состоял в том, что на летном поле не было ни одного вражеского самолета, хотя по донесениям разведки оно было должно забито ими…</w:t>
      </w:r>
    </w:p>
    <w:p w14:paraId="6B9B3416"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В 4.27 по московскому времени Илы вышли в атаку, сбросив бомбы просто посередине летного поля. Вслед за этим первые четыре штурмовика были атакованы истребителями и один за другим рухнули на землю. Оставшиеся собрались в группу и, как могли, отбивали атаки «Мессершмиттов». Но помогло это мало. В итоге вылет закончился потерей десяти «горбатых» с экипажами и соответственно полным фиаско.</w:t>
      </w:r>
    </w:p>
    <w:p w14:paraId="3C2A0E23"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Шестнадцать Ил-2 из 237-го шап также пересекли линию фронта на рассвете и взяли курс на полевой аэродром Основа. Они шли на высоте 1000–1500 м двумя группами по восемь машин. Их прикрывала десятка Лa-5 из 31-го иап. Но и здесь воздушного удара в стиле блицкрига тоже не получилось. На подходе к цели ударную группу встретили Bf-109G из II./JG3. Часть «Мессершмиттов» быстро отсекла «Лавочкины», тогда как остальные ринулись в атаку на оставшиеся без защиты штурмовики первой восьмерки. Первым был сбит Ил-2 лейтенанта Воробьева. Затем, получив серию прямых попаданий, в воздухе взорвался еще один «цементбомбер». Остальные машины получили повреждения, но продолжили полет.</w:t>
      </w:r>
    </w:p>
    <w:p w14:paraId="346D1CB9"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Никто из экипажей уже не строил иллюзий относительно внезапности налета. Следующей преградой для них стал огонь зенитной артиллерии, которой удалось поразить еще один самолет. В итоге оставшиеся пять штурмовиков из первой группы в 4.43 вышли на цель уже без всякого строя, каждый сам по себе. Но и над аэродромом Основа в небе взрывались десятки зенитных снарядов, мешавшие какому-либо прицеливанию. Наскоро сбросив бомбы, «горбатые» повернули обратно.</w:t>
      </w:r>
    </w:p>
    <w:p w14:paraId="58F3AE09"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Но шансов на возвращение у летевших поодиночке машин практически не было, поскольку в небе было полно истребителей люфтваффе. Первым был сбит самолет </w:t>
      </w:r>
      <w:r w:rsidRPr="00271E51">
        <w:rPr>
          <w:color w:val="000000" w:themeColor="text1"/>
          <w:sz w:val="16"/>
          <w:szCs w:val="16"/>
        </w:rPr>
        <w:lastRenderedPageBreak/>
        <w:t>ведущего группы капитана Г. Я. Цыганкова. Затем немцы один за другим сбили еще три «цементбомбера». Один из них с трудом перетянул через линию фронта и плюхнулся «на живот» около деревни Юрьевка. На свой же аэродром вернулся лишь один изрешеченный штурмовик младшего лейтенанта Шакурского.</w:t>
      </w:r>
    </w:p>
    <w:p w14:paraId="17687E64"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Вторая восьмерка Ил-2 фактически повторила судьбу первой, потеряв еще шесть машин. В общей сложности ударная группа лишилась тринадцати «горбатых» и двух Ла-5. А результат налета на аэродром Основа тоже оказался нулевым.</w:t>
      </w:r>
    </w:p>
    <w:p w14:paraId="1EC5841E"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У немцев отличились фельдфебель Ханс Грюнберг из 5-й эскадрильи JG3, сбивший в то утро сразу четыре «черные смерти», а также командир II./JG3 майор Вернер-Курт Брёндле и командир той же 5-й эскадрильи обер-лейтенант Йоахим Киршнер, на чьем счету были по два штурмовика и одному истребителю.</w:t>
      </w:r>
    </w:p>
    <w:p w14:paraId="1A6A38CF"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Восемнадцать Ил-2 из 241-го шап под прикрытием такого же количества Як-76 должны были атаковать аэродром Микояновка. Удар планировался как внезапный, так что экипажи надеялись лишь на слабое противодействие вражеской ПВО. Однако еще на подходе к цели их встретили Bf-109 из I./JG52. Пилоты советских истребителей тут же бросили своих подопечных на произвол судьбы и стали отбиваться от атак мессеров каждый сам по себе. Лишь командир 737-го иап майор Николай Варчук в одиночку продолжал «сопровождение» штурмовиков, но его личный героизм уже не мог спасти их. Немцы в ходе первых же атак практически беспрепятственно сбили сразу семь «горбатых» машин, в том числе машину ведущего группы капитана Авдеева.</w:t>
      </w:r>
    </w:p>
    <w:p w14:paraId="781222BB"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Оставшиеся одиннадцать штурмовиков настойчиво продолжили полет к Микояновке, причем некоторые летели с сильными повреждениями и с мертвыми бортстрелками в задних кабинах. На подходе к аэродрому они попали еще и под обстрел зениток, но преодолели и этот барьер. Однако самое неприятное ощущение экипажи испытали, достигнув своей цели. Когда из утренней дымки показалось летное поле, то стало отчетливо видно, что оно пусто! А на стоянках виднелась всего пара неисправных «Мессершмиттов». Сбросив бомбы на безлюдный аэродром, Илы повернули обратно. Семь штурмовиков и три истребителя вместе с летчиками были потеряны фактически впустую.</w:t>
      </w:r>
    </w:p>
    <w:p w14:paraId="6ACB4F5A"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Аналогичным образом закончились крахом и налеты на аэродромы Харьков-Сокольники, Харьков-Рогань, Краматорск, Барвенково и др. Николай Пургин, служивший тогда в 820-м шап и ставший позднее Героем Советского Союза, затем вспоминал об атаке аэродрома Харьков-Сокольники:</w:t>
      </w:r>
    </w:p>
    <w:p w14:paraId="14B00D6F" w14:textId="77777777" w:rsidR="00C25E5B" w:rsidRPr="00271E51" w:rsidRDefault="00C25E5B"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«Свой первый боевой вылет я сделал в составе двенадцати самолетов на рассвете пятого июля на немецкий аэродром Сокольники. Однако мы опоздали с ударом — самолетов на аэродроме не было. Наносили удар по ангарам и складам. Честно говоря, я ничего не понял в этом вылете. Поскольку я был ведомым, то основная моя задача была держаться ведущего, не отстать. Видел разрывы зенитных снарядов, потом подошли немецкие истребители».</w:t>
      </w:r>
    </w:p>
    <w:p w14:paraId="410017CB"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Потери 820-го шап в том вылете составили четыре машины.</w:t>
      </w:r>
    </w:p>
    <w:p w14:paraId="3B9D90A0" w14:textId="77777777" w:rsidR="00C25E5B" w:rsidRPr="00271E51" w:rsidRDefault="00C25E5B" w:rsidP="00271E51">
      <w:pPr>
        <w:pStyle w:val="ae"/>
        <w:spacing w:before="0" w:after="0"/>
        <w:jc w:val="both"/>
        <w:textAlignment w:val="baseline"/>
        <w:rPr>
          <w:color w:val="000000" w:themeColor="text1"/>
          <w:sz w:val="16"/>
          <w:szCs w:val="16"/>
        </w:rPr>
      </w:pPr>
      <w:r w:rsidRPr="00271E51">
        <w:rPr>
          <w:color w:val="000000" w:themeColor="text1"/>
          <w:sz w:val="16"/>
          <w:szCs w:val="16"/>
        </w:rPr>
        <w:t>Всего в ходе налетов на немецкие аэродромы утром 5 июня 1943 г. советские штурмовые и истребительные полки потеряли 120 самолетов. По итогам воздушных ударов командиры полков заявили о 71 якобы уничтоженном самолете. Однако фактически ни один немецкий самолет не пострадал! В самом преддверии немецкого наступления оказалась ослаблена не вражеская, как было задумано, а как раз советская авиация (19522).</w:t>
      </w:r>
    </w:p>
    <w:p w14:paraId="26C227B6" w14:textId="77777777" w:rsidR="00C25E5B" w:rsidRPr="00271E51" w:rsidRDefault="00C25E5B" w:rsidP="00271E51">
      <w:pPr>
        <w:pStyle w:val="ae"/>
        <w:spacing w:before="0" w:after="0"/>
        <w:jc w:val="both"/>
        <w:textAlignment w:val="baseline"/>
        <w:rPr>
          <w:color w:val="000000" w:themeColor="text1"/>
          <w:sz w:val="16"/>
          <w:szCs w:val="16"/>
        </w:rPr>
      </w:pPr>
    </w:p>
    <w:p w14:paraId="017A45F1"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июля</w:t>
      </w:r>
      <w:r w:rsidRPr="00271E51">
        <w:rPr>
          <w:rFonts w:ascii="Times New Roman" w:hAnsi="Times New Roman"/>
          <w:color w:val="000000" w:themeColor="text1"/>
          <w:sz w:val="16"/>
          <w:szCs w:val="16"/>
        </w:rPr>
        <w:t xml:space="preserve"> в 1943 году наступлением ударных группировок противника из районов Орла и Белгорода (кодовое наименование операции – "Цитадель") началась Курская битва 1943 - оборонительная (5-23 июля) и наступательная (12 июля - 23 августа; Орловская и Белгородско-Харьковская) операции советских войск в районе Курского выступа. Задача отразить наступление противника со стороны Орла возлагалась на войска Центрального фронта (48, 13, 70, 65, 60-я общевойсковые армии, 2-я танковая армия, 16-я воздушная армия, 9-й и 19-й отдельные танковые корпуса), из района Белгорода - на Воронежский фронт (38, 40, 6 и 7-я гвардейская, 69-я армии, 1-я танковая армия, 2-я воздушная армия, 35-й гвардейский стрелковый корпус, 5-й и 2-й гвардейские танковые корпуса). В тылу Курского выступа был развернут Степной ВО (с 9 июля - Степной фронт; 4-я и 5-я гвардейские, 27,47, 53-я армии, 5-я гвардейская танковая армия, 5-я воздушная армия, 1 стрелковый, 3 танковый, 3 моторизованный, 3 кавалерийский корпуса), являвшийся стратегическим резервом Ставки ВГК. Войска противника: на орловско-курском направлении - 9-я и 2-я армии группы армий "Центр" (50 дивизий, в том числе 16 танковых и моторизированных; командующий -генерал-фельдмаршал Г.Клюге), на белгородско-курском направлении - 4-я танковая армия и оперативная группа "Кемпф" группы армий "Юг" (командующий - генерал-фельдмаршал Э.Манштейн) (14943).</w:t>
      </w:r>
    </w:p>
    <w:p w14:paraId="4AD9D357" w14:textId="77777777" w:rsidR="00E17F47" w:rsidRPr="00271E51" w:rsidRDefault="00E17F47" w:rsidP="00271E51">
      <w:pPr>
        <w:spacing w:after="0" w:line="240" w:lineRule="auto"/>
        <w:jc w:val="both"/>
        <w:rPr>
          <w:rFonts w:ascii="Times New Roman" w:hAnsi="Times New Roman"/>
          <w:color w:val="000000" w:themeColor="text1"/>
          <w:sz w:val="16"/>
          <w:szCs w:val="16"/>
        </w:rPr>
      </w:pPr>
    </w:p>
    <w:p w14:paraId="218D9191"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июля</w:t>
      </w:r>
      <w:r w:rsidRPr="00271E51">
        <w:rPr>
          <w:rFonts w:ascii="Times New Roman" w:hAnsi="Times New Roman"/>
          <w:color w:val="000000" w:themeColor="text1"/>
          <w:sz w:val="16"/>
          <w:szCs w:val="16"/>
        </w:rPr>
        <w:t xml:space="preserve"> в 1943 году по данным штаба Воронежского фронта, в 2.30 противник силой до трех пехотных батальонов атаковал позиции боевого охранения 52-й гвардейской стрелковой дивизии (6-я гвардейская армия) в районе Яхонтова. Боевые порядки армии бомбардировались немецкой авиацией (по донесению комфронта - до 400 самолетов).</w:t>
      </w:r>
    </w:p>
    <w:p w14:paraId="4F162843"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6.30 по данным штаба фронта до 100 танков противника с мотопехотой атаковали от Бутово на Черкасское. К исходу дня противник овладел Черкасским и Коровино, продвинувшись на 17-км участке на глубину до 5-6 км. Здесь против 71-й и 67-й гвардейских стрелковых дивизий действовали 3-я и 11-я танковая дивизия и мотострелковая дивизия "Гроссдойчланд". По донесению Ватутина - противник ввел в бой не менее 450 танков, однако впоследствии Генштаб снизил эту оценку до 300 танков.</w:t>
      </w:r>
    </w:p>
    <w:p w14:paraId="20138236" w14:textId="77777777" w:rsidR="00E17F47" w:rsidRPr="00271E51" w:rsidRDefault="00E17F47"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color w:val="000000" w:themeColor="text1"/>
          <w:sz w:val="16"/>
          <w:szCs w:val="16"/>
        </w:rPr>
        <w:t>На 10-и км участке 52-й гвардейской стрелковой дивизии противник (мотострелковые дивизии СС "Лейбштандарт" и "Райх") прорвался на глубину до 10 км, захватил несколько населенных пунктов и приблизился ко второй линии обороны Воронежского фронта. В бой вступили передовые части 51-й гвардейской стрелковой дивизии, стоявшей на второй линии обороны. Между частями 52-й гвардейской стрелковой дивизии образовался разрыв в 6-8 км. В 6.00 противник атаковал двумя пехотными батальонами позиции 7-й гвардейской армии (81-й гвардейской стрелковой дивизии) от Белгорода на Старый Город, но успеха не имел. На участке 7-й гвардейской армии (порядка 15 км по фронту - 78-я и 72-я гвардейские стрелковые дивизии) противник переправился на восточный берег реки Северский Донец. По оценке командования Воронежского фронта - первоначально силами до четырех пехотных полков. По немецким источникам против 72-й гвардейской стрелковой дивизии действовали 106-я и 320-я пехотные дивизии, против 78-й гвардейской стрелковой дивизии - 19-я и 7-я танковые дивизии. Первоначально танковые дивизии немцев захватили Разумное и Крутой Лог, но были выбиты оттуда. К исходу дня немецкий плацдарм на восточном берегу Северского Донца был 15 км по фронту и до 6 км глубиной (в донесении Верховному Главнокомандующему Ватутин утверждал, что на этом участке противник отброшен на западный берег Донца, что не соответствовало действительности). По данным немецких архивов, 5 июля на южном фасе Курской дуги немецкие потери (без потерь авиации) составили 640 убитыми, 5.240 ранеными, 131 пропало без вести - в сумме 6.011. Для немцев это был самый кровопролитный день операции "Цитадель".</w:t>
      </w:r>
    </w:p>
    <w:p w14:paraId="27770C5D"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базе авиаэскадрильи создан 1-й истребительный авиационный полк "Нормандия" (28 ноября 1944 за боевые заслуги и мужество в период боев при форсировании реки Неман полку присвоено почетное наименование "Неманский", и он стал называться "Нормандия-Неман". За время боевых действий на советско-германском фронте летчики полка совершили свыше 5 тысяч боевых вылетов, провели 869 воздушных боев, сбили 273 и повредили 80 самолетов, уничтожили значительное количество живой силы и техники противника) (14943).</w:t>
      </w:r>
    </w:p>
    <w:p w14:paraId="1D220ED9" w14:textId="77777777" w:rsidR="00E17F47" w:rsidRPr="00271E51" w:rsidRDefault="00E17F47" w:rsidP="00271E51">
      <w:pPr>
        <w:spacing w:after="0" w:line="240" w:lineRule="auto"/>
        <w:jc w:val="both"/>
        <w:rPr>
          <w:rFonts w:ascii="Times New Roman" w:hAnsi="Times New Roman"/>
          <w:color w:val="000000" w:themeColor="text1"/>
          <w:sz w:val="16"/>
          <w:szCs w:val="16"/>
        </w:rPr>
      </w:pPr>
    </w:p>
    <w:p w14:paraId="3EA064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для удара по аэродрому Основа под Харьковом, где, по данным разведки, находилось до 150 не</w:t>
      </w:r>
      <w:r w:rsidRPr="00271E51">
        <w:rPr>
          <w:rFonts w:ascii="Times New Roman" w:hAnsi="Times New Roman"/>
          <w:color w:val="000000" w:themeColor="text1"/>
          <w:sz w:val="16"/>
          <w:szCs w:val="16"/>
        </w:rPr>
        <w:softHyphen/>
        <w:t>мецких самолетов, отправились16 Ил-2 из 237-го ШАП под прикрытием 10 Ла-5 из 31-го ИАП 295-й НАД. К сожалению, внезапности достичь не уда</w:t>
      </w:r>
      <w:r w:rsidRPr="00271E51">
        <w:rPr>
          <w:rFonts w:ascii="Times New Roman" w:hAnsi="Times New Roman"/>
          <w:color w:val="000000" w:themeColor="text1"/>
          <w:sz w:val="16"/>
          <w:szCs w:val="16"/>
        </w:rPr>
        <w:softHyphen/>
        <w:t>лось. На подходе к цели первую восьмерку «Илов» атаковали сверху-сзади 10 В{ 109С, которые отсек</w:t>
      </w:r>
      <w:r w:rsidRPr="00271E51">
        <w:rPr>
          <w:rFonts w:ascii="Times New Roman" w:hAnsi="Times New Roman"/>
          <w:color w:val="000000" w:themeColor="text1"/>
          <w:sz w:val="16"/>
          <w:szCs w:val="16"/>
        </w:rPr>
        <w:softHyphen/>
        <w:t>ли прикрытие. Затем на штурмовиков из задней по</w:t>
      </w:r>
      <w:r w:rsidRPr="00271E51">
        <w:rPr>
          <w:rFonts w:ascii="Times New Roman" w:hAnsi="Times New Roman"/>
          <w:color w:val="000000" w:themeColor="text1"/>
          <w:sz w:val="16"/>
          <w:szCs w:val="16"/>
        </w:rPr>
        <w:softHyphen/>
        <w:t>лусферы вертикальными «ножницами» обрушились еще 20 «худых» и почти сразу сбили 4 самолета. Че</w:t>
      </w:r>
      <w:r w:rsidRPr="00271E51">
        <w:rPr>
          <w:rFonts w:ascii="Times New Roman" w:hAnsi="Times New Roman"/>
          <w:color w:val="000000" w:themeColor="text1"/>
          <w:sz w:val="16"/>
          <w:szCs w:val="16"/>
        </w:rPr>
        <w:softHyphen/>
        <w:t>тыре оставшихся смогли отбомбиться по практи</w:t>
      </w:r>
      <w:r w:rsidRPr="00271E51">
        <w:rPr>
          <w:rFonts w:ascii="Times New Roman" w:hAnsi="Times New Roman"/>
          <w:color w:val="000000" w:themeColor="text1"/>
          <w:sz w:val="16"/>
          <w:szCs w:val="16"/>
        </w:rPr>
        <w:softHyphen/>
        <w:t>чески пустым стоянкам, а на отходе от аэродрома «Мессершмитты» сбили три из них. Второй вось</w:t>
      </w:r>
      <w:r w:rsidRPr="00271E51">
        <w:rPr>
          <w:rFonts w:ascii="Times New Roman" w:hAnsi="Times New Roman"/>
          <w:color w:val="000000" w:themeColor="text1"/>
          <w:sz w:val="16"/>
          <w:szCs w:val="16"/>
        </w:rPr>
        <w:softHyphen/>
        <w:t>мерке Ил-2 удалось в полном составе атаковать восточную стоянку, где самолетов противника ока</w:t>
      </w:r>
      <w:r w:rsidRPr="00271E51">
        <w:rPr>
          <w:rFonts w:ascii="Times New Roman" w:hAnsi="Times New Roman"/>
          <w:color w:val="000000" w:themeColor="text1"/>
          <w:sz w:val="16"/>
          <w:szCs w:val="16"/>
        </w:rPr>
        <w:softHyphen/>
        <w:t>залось больше. Однако затем и эта группа подверг</w:t>
      </w:r>
      <w:r w:rsidRPr="00271E51">
        <w:rPr>
          <w:rFonts w:ascii="Times New Roman" w:hAnsi="Times New Roman"/>
          <w:color w:val="000000" w:themeColor="text1"/>
          <w:sz w:val="16"/>
          <w:szCs w:val="16"/>
        </w:rPr>
        <w:softHyphen/>
        <w:t>лась истреблению: непосредственно у аэродрома и по дороге домой вражеские зенитчики сбили 4 «Ила», «мессеры» — 2. «Лавочкины» потерь не по</w:t>
      </w:r>
      <w:r w:rsidRPr="00271E51">
        <w:rPr>
          <w:rFonts w:ascii="Times New Roman" w:hAnsi="Times New Roman"/>
          <w:color w:val="000000" w:themeColor="text1"/>
          <w:sz w:val="16"/>
          <w:szCs w:val="16"/>
        </w:rPr>
        <w:softHyphen/>
        <w:t>несли и смогли уничтожить 4 В1 109С, но с прикры</w:t>
      </w:r>
      <w:r w:rsidRPr="00271E51">
        <w:rPr>
          <w:rFonts w:ascii="Times New Roman" w:hAnsi="Times New Roman"/>
          <w:color w:val="000000" w:themeColor="text1"/>
          <w:sz w:val="16"/>
          <w:szCs w:val="16"/>
        </w:rPr>
        <w:softHyphen/>
        <w:t>тием штурмовиков они не справились (11123). Неудачно сработали Ла-5 и 116-го ИАП, при</w:t>
      </w:r>
      <w:r w:rsidRPr="00271E51">
        <w:rPr>
          <w:rFonts w:ascii="Times New Roman" w:hAnsi="Times New Roman"/>
          <w:color w:val="000000" w:themeColor="text1"/>
          <w:sz w:val="16"/>
          <w:szCs w:val="16"/>
        </w:rPr>
        <w:softHyphen/>
        <w:t>крывавшие 3 шестерки Ил-2, безуспешно штурмо</w:t>
      </w:r>
      <w:r w:rsidRPr="00271E51">
        <w:rPr>
          <w:rFonts w:ascii="Times New Roman" w:hAnsi="Times New Roman"/>
          <w:color w:val="000000" w:themeColor="text1"/>
          <w:sz w:val="16"/>
          <w:szCs w:val="16"/>
        </w:rPr>
        <w:softHyphen/>
        <w:t>вавших переправу через Северный Донец. Из 9 «Илов» 8 сбили «мессеры» (11123).</w:t>
      </w:r>
    </w:p>
    <w:p w14:paraId="2A2D78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4.25 немецкая бомбардировочная и штурмо</w:t>
      </w:r>
      <w:r w:rsidRPr="00271E51">
        <w:rPr>
          <w:rFonts w:ascii="Times New Roman" w:hAnsi="Times New Roman"/>
          <w:color w:val="000000" w:themeColor="text1"/>
          <w:sz w:val="16"/>
          <w:szCs w:val="16"/>
        </w:rPr>
        <w:softHyphen/>
        <w:t>вая авиация начала наносить систематические удары по советским войскам на всю глубину обо</w:t>
      </w:r>
      <w:r w:rsidRPr="00271E51">
        <w:rPr>
          <w:rFonts w:ascii="Times New Roman" w:hAnsi="Times New Roman"/>
          <w:color w:val="000000" w:themeColor="text1"/>
          <w:sz w:val="16"/>
          <w:szCs w:val="16"/>
        </w:rPr>
        <w:softHyphen/>
        <w:t>роны. По данным постов ВНОС, противник к 11.00 сделал почти вдвое больше вылетов над полем боя, чем более многочисленная советская авиа</w:t>
      </w:r>
      <w:r w:rsidRPr="00271E51">
        <w:rPr>
          <w:rFonts w:ascii="Times New Roman" w:hAnsi="Times New Roman"/>
          <w:color w:val="000000" w:themeColor="text1"/>
          <w:sz w:val="16"/>
          <w:szCs w:val="16"/>
        </w:rPr>
        <w:softHyphen/>
        <w:t>ция. Вернувшись к поддержке войск, командова</w:t>
      </w:r>
      <w:r w:rsidRPr="00271E51">
        <w:rPr>
          <w:rFonts w:ascii="Times New Roman" w:hAnsi="Times New Roman"/>
          <w:color w:val="000000" w:themeColor="text1"/>
          <w:sz w:val="16"/>
          <w:szCs w:val="16"/>
        </w:rPr>
        <w:softHyphen/>
        <w:t>ние 16-й и 2-й ВА не смогло правильно выделить главные направления и распылило силы штурмо</w:t>
      </w:r>
      <w:r w:rsidRPr="00271E51">
        <w:rPr>
          <w:rFonts w:ascii="Times New Roman" w:hAnsi="Times New Roman"/>
          <w:color w:val="000000" w:themeColor="text1"/>
          <w:sz w:val="16"/>
          <w:szCs w:val="16"/>
        </w:rPr>
        <w:softHyphen/>
        <w:t>виков. Истребительной авиации, пытавшейся бо</w:t>
      </w:r>
      <w:r w:rsidRPr="00271E51">
        <w:rPr>
          <w:rFonts w:ascii="Times New Roman" w:hAnsi="Times New Roman"/>
          <w:color w:val="000000" w:themeColor="text1"/>
          <w:sz w:val="16"/>
          <w:szCs w:val="16"/>
        </w:rPr>
        <w:softHyphen/>
        <w:t>роться с мелкими группами истребителей против</w:t>
      </w:r>
      <w:r w:rsidRPr="00271E51">
        <w:rPr>
          <w:rFonts w:ascii="Times New Roman" w:hAnsi="Times New Roman"/>
          <w:color w:val="000000" w:themeColor="text1"/>
          <w:sz w:val="16"/>
          <w:szCs w:val="16"/>
        </w:rPr>
        <w:softHyphen/>
        <w:t>ника на большом пространстве, не удалось при</w:t>
      </w:r>
      <w:r w:rsidRPr="00271E51">
        <w:rPr>
          <w:rFonts w:ascii="Times New Roman" w:hAnsi="Times New Roman"/>
          <w:color w:val="000000" w:themeColor="text1"/>
          <w:sz w:val="16"/>
          <w:szCs w:val="16"/>
        </w:rPr>
        <w:softHyphen/>
        <w:t>крыть ни ударную авиацию, ни войска. Таким образом, в первый день сражения ВВС РККА свои задачи не выполнили (11123).</w:t>
      </w:r>
    </w:p>
    <w:p w14:paraId="2D7DBA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6 июля было решено изменить такти</w:t>
      </w:r>
      <w:r w:rsidRPr="00271E51">
        <w:rPr>
          <w:rFonts w:ascii="Times New Roman" w:hAnsi="Times New Roman"/>
          <w:color w:val="000000" w:themeColor="text1"/>
          <w:sz w:val="16"/>
          <w:szCs w:val="16"/>
        </w:rPr>
        <w:softHyphen/>
        <w:t>ку истребительной авиации. Комдивам поставили задачу выделить силы на действия по вызову сухо</w:t>
      </w:r>
      <w:r w:rsidRPr="00271E51">
        <w:rPr>
          <w:rFonts w:ascii="Times New Roman" w:hAnsi="Times New Roman"/>
          <w:color w:val="000000" w:themeColor="text1"/>
          <w:sz w:val="16"/>
          <w:szCs w:val="16"/>
        </w:rPr>
        <w:softHyphen/>
        <w:t>путных частей и на «расчистку» воздушного про</w:t>
      </w:r>
      <w:r w:rsidRPr="00271E51">
        <w:rPr>
          <w:rFonts w:ascii="Times New Roman" w:hAnsi="Times New Roman"/>
          <w:color w:val="000000" w:themeColor="text1"/>
          <w:sz w:val="16"/>
          <w:szCs w:val="16"/>
        </w:rPr>
        <w:softHyphen/>
        <w:t>странства. Поступил приказ выдвинуть часть са</w:t>
      </w:r>
      <w:r w:rsidRPr="00271E51">
        <w:rPr>
          <w:rFonts w:ascii="Times New Roman" w:hAnsi="Times New Roman"/>
          <w:color w:val="000000" w:themeColor="text1"/>
          <w:sz w:val="16"/>
          <w:szCs w:val="16"/>
        </w:rPr>
        <w:softHyphen/>
        <w:t>молетов на передовые площадки.. (11123).</w:t>
      </w:r>
    </w:p>
    <w:p w14:paraId="4B58A6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AD6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 5.30 против войск Центрального фронта перешла в наступление группа армий "Центр", а в 6.00 по позициям Воронежского фронта - группа армий "Юг". С орловского плацдарма, в полосе 13-й армии Центрального фронта, немцы при поддержке крупных сил 6-го воз</w:t>
      </w:r>
      <w:r w:rsidRPr="00271E51">
        <w:rPr>
          <w:rFonts w:ascii="Times New Roman" w:hAnsi="Times New Roman"/>
          <w:color w:val="000000" w:themeColor="text1"/>
          <w:sz w:val="16"/>
          <w:szCs w:val="16"/>
        </w:rPr>
        <w:softHyphen/>
        <w:t>душного флота наступали на Ольховатку и Гнилец.</w:t>
      </w:r>
    </w:p>
    <w:p w14:paraId="26368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4.25 бомбардировочная авиация 6-го воздушного флота одновременно с артиллерийской подготовкой нанесла мощный бомбовый удар по огневым по</w:t>
      </w:r>
      <w:r w:rsidRPr="00271E51">
        <w:rPr>
          <w:rFonts w:ascii="Times New Roman" w:hAnsi="Times New Roman"/>
          <w:color w:val="000000" w:themeColor="text1"/>
          <w:sz w:val="16"/>
          <w:szCs w:val="16"/>
        </w:rPr>
        <w:softHyphen/>
        <w:t>зициям артиллерии, полковым опорным пунктам, боевым порядкам танков и пе</w:t>
      </w:r>
      <w:r w:rsidRPr="00271E51">
        <w:rPr>
          <w:rFonts w:ascii="Times New Roman" w:hAnsi="Times New Roman"/>
          <w:color w:val="000000" w:themeColor="text1"/>
          <w:sz w:val="16"/>
          <w:szCs w:val="16"/>
        </w:rPr>
        <w:softHyphen/>
        <w:t>хоты левого фланга 13-й армии в райо</w:t>
      </w:r>
      <w:r w:rsidRPr="00271E51">
        <w:rPr>
          <w:rFonts w:ascii="Times New Roman" w:hAnsi="Times New Roman"/>
          <w:color w:val="000000" w:themeColor="text1"/>
          <w:sz w:val="16"/>
          <w:szCs w:val="16"/>
        </w:rPr>
        <w:softHyphen/>
        <w:t>не Панская, ст. Малоархангельск в общем направлении на Малоархангельск, где противник наносил отвлекающий удар с целью дезориентации советского ко</w:t>
      </w:r>
      <w:r w:rsidRPr="00271E51">
        <w:rPr>
          <w:rFonts w:ascii="Times New Roman" w:hAnsi="Times New Roman"/>
          <w:color w:val="000000" w:themeColor="text1"/>
          <w:sz w:val="16"/>
          <w:szCs w:val="16"/>
        </w:rPr>
        <w:softHyphen/>
        <w:t>мандования. В первом налете принима</w:t>
      </w:r>
      <w:r w:rsidRPr="00271E51">
        <w:rPr>
          <w:rFonts w:ascii="Times New Roman" w:hAnsi="Times New Roman"/>
          <w:color w:val="000000" w:themeColor="text1"/>
          <w:sz w:val="16"/>
          <w:szCs w:val="16"/>
        </w:rPr>
        <w:softHyphen/>
        <w:t xml:space="preserve">ло участие свыше 150 </w:t>
      </w:r>
      <w:r w:rsidRPr="00271E51">
        <w:rPr>
          <w:rFonts w:ascii="Times New Roman" w:hAnsi="Times New Roman"/>
          <w:color w:val="000000" w:themeColor="text1"/>
          <w:sz w:val="16"/>
          <w:szCs w:val="16"/>
        </w:rPr>
        <w:lastRenderedPageBreak/>
        <w:t>бомбардировщи</w:t>
      </w:r>
      <w:r w:rsidRPr="00271E51">
        <w:rPr>
          <w:rFonts w:ascii="Times New Roman" w:hAnsi="Times New Roman"/>
          <w:color w:val="000000" w:themeColor="text1"/>
          <w:sz w:val="16"/>
          <w:szCs w:val="16"/>
        </w:rPr>
        <w:softHyphen/>
        <w:t>ков под прикрытием около 60 истреби</w:t>
      </w:r>
      <w:r w:rsidRPr="00271E51">
        <w:rPr>
          <w:rFonts w:ascii="Times New Roman" w:hAnsi="Times New Roman"/>
          <w:color w:val="000000" w:themeColor="text1"/>
          <w:sz w:val="16"/>
          <w:szCs w:val="16"/>
        </w:rPr>
        <w:softHyphen/>
        <w:t>телей, большая часть которых с началом удара, разбившись на группы по 4-6 са</w:t>
      </w:r>
      <w:r w:rsidRPr="00271E51">
        <w:rPr>
          <w:rFonts w:ascii="Times New Roman" w:hAnsi="Times New Roman"/>
          <w:color w:val="000000" w:themeColor="text1"/>
          <w:sz w:val="16"/>
          <w:szCs w:val="16"/>
        </w:rPr>
        <w:softHyphen/>
        <w:t>молетов, проникла в тыл 13-й армии на 10-15 км для перехвата советских ис</w:t>
      </w:r>
      <w:r w:rsidRPr="00271E51">
        <w:rPr>
          <w:rFonts w:ascii="Times New Roman" w:hAnsi="Times New Roman"/>
          <w:color w:val="000000" w:themeColor="text1"/>
          <w:sz w:val="16"/>
          <w:szCs w:val="16"/>
        </w:rPr>
        <w:softHyphen/>
        <w:t>требителей на подходе к полю боя.</w:t>
      </w:r>
    </w:p>
    <w:p w14:paraId="14BC4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группы немецких бом</w:t>
      </w:r>
      <w:r w:rsidRPr="00271E51">
        <w:rPr>
          <w:rFonts w:ascii="Times New Roman" w:hAnsi="Times New Roman"/>
          <w:color w:val="000000" w:themeColor="text1"/>
          <w:sz w:val="16"/>
          <w:szCs w:val="16"/>
        </w:rPr>
        <w:softHyphen/>
        <w:t>бардировщиков (по 50-100 машин в каж</w:t>
      </w:r>
      <w:r w:rsidRPr="00271E51">
        <w:rPr>
          <w:rFonts w:ascii="Times New Roman" w:hAnsi="Times New Roman"/>
          <w:color w:val="000000" w:themeColor="text1"/>
          <w:sz w:val="16"/>
          <w:szCs w:val="16"/>
        </w:rPr>
        <w:softHyphen/>
        <w:t>дой) сменяли друг друга над полем боя через каждые 10-15 минут, подвергая массированным бомбовым ударам вой</w:t>
      </w:r>
      <w:r w:rsidRPr="00271E51">
        <w:rPr>
          <w:rFonts w:ascii="Times New Roman" w:hAnsi="Times New Roman"/>
          <w:color w:val="000000" w:themeColor="text1"/>
          <w:sz w:val="16"/>
          <w:szCs w:val="16"/>
        </w:rPr>
        <w:softHyphen/>
        <w:t>ска 13-й армии и смежные с ней флан</w:t>
      </w:r>
      <w:r w:rsidRPr="00271E51">
        <w:rPr>
          <w:rFonts w:ascii="Times New Roman" w:hAnsi="Times New Roman"/>
          <w:color w:val="000000" w:themeColor="text1"/>
          <w:sz w:val="16"/>
          <w:szCs w:val="16"/>
        </w:rPr>
        <w:softHyphen/>
        <w:t>ги 48-й и особенно 70-й армий на глу</w:t>
      </w:r>
      <w:r w:rsidRPr="00271E51">
        <w:rPr>
          <w:rFonts w:ascii="Times New Roman" w:hAnsi="Times New Roman"/>
          <w:color w:val="000000" w:themeColor="text1"/>
          <w:sz w:val="16"/>
          <w:szCs w:val="16"/>
        </w:rPr>
        <w:softHyphen/>
        <w:t>бину до 6-8 км, а в некоторых случаях -до 10 км. Войска на второй линии обо</w:t>
      </w:r>
      <w:r w:rsidRPr="00271E51">
        <w:rPr>
          <w:rFonts w:ascii="Times New Roman" w:hAnsi="Times New Roman"/>
          <w:color w:val="000000" w:themeColor="text1"/>
          <w:sz w:val="16"/>
          <w:szCs w:val="16"/>
        </w:rPr>
        <w:softHyphen/>
        <w:t>роны практически не подвергались авиа</w:t>
      </w:r>
      <w:r w:rsidRPr="00271E51">
        <w:rPr>
          <w:rFonts w:ascii="Times New Roman" w:hAnsi="Times New Roman"/>
          <w:color w:val="000000" w:themeColor="text1"/>
          <w:sz w:val="16"/>
          <w:szCs w:val="16"/>
        </w:rPr>
        <w:softHyphen/>
        <w:t>ционному воздействию.</w:t>
      </w:r>
    </w:p>
    <w:p w14:paraId="16928B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Люфтваффе, обеспечи</w:t>
      </w:r>
      <w:r w:rsidRPr="00271E51">
        <w:rPr>
          <w:rFonts w:ascii="Times New Roman" w:hAnsi="Times New Roman"/>
          <w:color w:val="000000" w:themeColor="text1"/>
          <w:sz w:val="16"/>
          <w:szCs w:val="16"/>
        </w:rPr>
        <w:softHyphen/>
        <w:t>вая непрерывный конвейер своих бом</w:t>
      </w:r>
      <w:r w:rsidRPr="00271E51">
        <w:rPr>
          <w:rFonts w:ascii="Times New Roman" w:hAnsi="Times New Roman"/>
          <w:color w:val="000000" w:themeColor="text1"/>
          <w:sz w:val="16"/>
          <w:szCs w:val="16"/>
        </w:rPr>
        <w:softHyphen/>
        <w:t>бардировщиков, как и в первом ударе, появлялись (50-60 машин) над районом боевых действий за 5-10 минут до под</w:t>
      </w:r>
      <w:r w:rsidRPr="00271E51">
        <w:rPr>
          <w:rFonts w:ascii="Times New Roman" w:hAnsi="Times New Roman"/>
          <w:color w:val="000000" w:themeColor="text1"/>
          <w:sz w:val="16"/>
          <w:szCs w:val="16"/>
        </w:rPr>
        <w:softHyphen/>
        <w:t>хода своих подопечных и, вытеснив ис</w:t>
      </w:r>
      <w:r w:rsidRPr="00271E51">
        <w:rPr>
          <w:rFonts w:ascii="Times New Roman" w:hAnsi="Times New Roman"/>
          <w:color w:val="000000" w:themeColor="text1"/>
          <w:sz w:val="16"/>
          <w:szCs w:val="16"/>
        </w:rPr>
        <w:softHyphen/>
        <w:t>требители ВВС КА из района, мелкими группами проникали в глубь советской территории, создавая там завесу с це</w:t>
      </w:r>
      <w:r w:rsidRPr="00271E51">
        <w:rPr>
          <w:rFonts w:ascii="Times New Roman" w:hAnsi="Times New Roman"/>
          <w:color w:val="000000" w:themeColor="text1"/>
          <w:sz w:val="16"/>
          <w:szCs w:val="16"/>
        </w:rPr>
        <w:softHyphen/>
        <w:t>лью перехвата краснозвездных самолетов.</w:t>
      </w:r>
    </w:p>
    <w:p w14:paraId="0EFEE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промежутках между бомбоштурмовыми ударами командование Люфтваффе выделяло небольшие группы истре</w:t>
      </w:r>
      <w:r w:rsidRPr="00271E51">
        <w:rPr>
          <w:rFonts w:ascii="Times New Roman" w:hAnsi="Times New Roman"/>
          <w:color w:val="000000" w:themeColor="text1"/>
          <w:sz w:val="16"/>
          <w:szCs w:val="16"/>
        </w:rPr>
        <w:softHyphen/>
        <w:t>бителей-охотников", которые действо</w:t>
      </w:r>
      <w:r w:rsidRPr="00271E51">
        <w:rPr>
          <w:rFonts w:ascii="Times New Roman" w:hAnsi="Times New Roman"/>
          <w:color w:val="000000" w:themeColor="text1"/>
          <w:sz w:val="16"/>
          <w:szCs w:val="16"/>
        </w:rPr>
        <w:softHyphen/>
        <w:t>вали на вероятных направлениях поле</w:t>
      </w:r>
      <w:r w:rsidRPr="00271E51">
        <w:rPr>
          <w:rFonts w:ascii="Times New Roman" w:hAnsi="Times New Roman"/>
          <w:color w:val="000000" w:themeColor="text1"/>
          <w:sz w:val="16"/>
          <w:szCs w:val="16"/>
        </w:rPr>
        <w:softHyphen/>
        <w:t>тов штурмовиков и бомбардировщиков Красной Армии.</w:t>
      </w:r>
    </w:p>
    <w:p w14:paraId="6361E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Патрулирование над расположением своих войск немцами не применялось, поэтому вначале бомбардировщики Люфтваффе непосредственно не при</w:t>
      </w:r>
      <w:r w:rsidRPr="00271E51">
        <w:rPr>
          <w:rFonts w:ascii="Times New Roman" w:hAnsi="Times New Roman"/>
          <w:color w:val="000000" w:themeColor="text1"/>
          <w:sz w:val="16"/>
          <w:szCs w:val="16"/>
        </w:rPr>
        <w:softHyphen/>
        <w:t>крывались, однако с усилением воздуш</w:t>
      </w:r>
      <w:r w:rsidRPr="00271E51">
        <w:rPr>
          <w:rFonts w:ascii="Times New Roman" w:hAnsi="Times New Roman"/>
          <w:color w:val="000000" w:themeColor="text1"/>
          <w:sz w:val="16"/>
          <w:szCs w:val="16"/>
        </w:rPr>
        <w:softHyphen/>
        <w:t>ной борьбы последние стали действовать только в сопровождении своих ис</w:t>
      </w:r>
      <w:r w:rsidRPr="00271E51">
        <w:rPr>
          <w:rFonts w:ascii="Times New Roman" w:hAnsi="Times New Roman"/>
          <w:color w:val="000000" w:themeColor="text1"/>
          <w:sz w:val="16"/>
          <w:szCs w:val="16"/>
        </w:rPr>
        <w:softHyphen/>
        <w:t>требителей.</w:t>
      </w:r>
    </w:p>
    <w:p w14:paraId="3DFE9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отметить хорошую орга</w:t>
      </w:r>
      <w:r w:rsidRPr="00271E51">
        <w:rPr>
          <w:rFonts w:ascii="Times New Roman" w:hAnsi="Times New Roman"/>
          <w:color w:val="000000" w:themeColor="text1"/>
          <w:sz w:val="16"/>
          <w:szCs w:val="16"/>
        </w:rPr>
        <w:softHyphen/>
        <w:t>низацию взаимодействия видов авиации противника и наращивание усилий над полем боя. Вызов авиации по радио немецкими летчиками был отработан в совершенстве и доведен до автоматизма.</w:t>
      </w:r>
    </w:p>
    <w:p w14:paraId="6A5B4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7.30 немцы, введя в бой главные силы (пять пехотных и три танковые ди</w:t>
      </w:r>
      <w:r w:rsidRPr="00271E51">
        <w:rPr>
          <w:rFonts w:ascii="Times New Roman" w:hAnsi="Times New Roman"/>
          <w:color w:val="000000" w:themeColor="text1"/>
          <w:sz w:val="16"/>
          <w:szCs w:val="16"/>
        </w:rPr>
        <w:softHyphen/>
        <w:t>визии - до 500 танков и штурмовых ору</w:t>
      </w:r>
      <w:r w:rsidRPr="00271E51">
        <w:rPr>
          <w:rFonts w:ascii="Times New Roman" w:hAnsi="Times New Roman"/>
          <w:color w:val="000000" w:themeColor="text1"/>
          <w:sz w:val="16"/>
          <w:szCs w:val="16"/>
        </w:rPr>
        <w:softHyphen/>
        <w:t>дий), при массированной поддержке авиации повели наступление на левом фланге 13-й армии на фронте Соглас</w:t>
      </w:r>
      <w:r w:rsidRPr="00271E51">
        <w:rPr>
          <w:rFonts w:ascii="Times New Roman" w:hAnsi="Times New Roman"/>
          <w:color w:val="000000" w:themeColor="text1"/>
          <w:sz w:val="16"/>
          <w:szCs w:val="16"/>
        </w:rPr>
        <w:softHyphen/>
        <w:t>ный, Архангельское, Ясная Поляна в об</w:t>
      </w:r>
      <w:r w:rsidRPr="00271E51">
        <w:rPr>
          <w:rFonts w:ascii="Times New Roman" w:hAnsi="Times New Roman"/>
          <w:color w:val="000000" w:themeColor="text1"/>
          <w:sz w:val="16"/>
          <w:szCs w:val="16"/>
        </w:rPr>
        <w:softHyphen/>
        <w:t>щем направлении на Ольховатка. В де</w:t>
      </w:r>
      <w:r w:rsidRPr="00271E51">
        <w:rPr>
          <w:rFonts w:ascii="Times New Roman" w:hAnsi="Times New Roman"/>
          <w:color w:val="000000" w:themeColor="text1"/>
          <w:sz w:val="16"/>
          <w:szCs w:val="16"/>
        </w:rPr>
        <w:softHyphen/>
        <w:t>вятом часу противнику удалось подойти и атаковать передний край обороны 81 -и и 15-й стрелковых дивизий 13-й ар</w:t>
      </w:r>
      <w:r w:rsidRPr="00271E51">
        <w:rPr>
          <w:rFonts w:ascii="Times New Roman" w:hAnsi="Times New Roman"/>
          <w:color w:val="000000" w:themeColor="text1"/>
          <w:sz w:val="16"/>
          <w:szCs w:val="16"/>
        </w:rPr>
        <w:softHyphen/>
        <w:t xml:space="preserve">мии. Находясь под мощными ударами бомбардировщиков Люфтваффе, части этих дивизий стали медленно отходить на юг. Одновременно противник силой до двух пехотных дивизий и 100 танков, поддержанных авиацией, нанес сильный удар по 132-й и 280-й </w:t>
      </w:r>
      <w:r w:rsidRPr="00271E51">
        <w:rPr>
          <w:rFonts w:ascii="Times New Roman" w:hAnsi="Times New Roman"/>
          <w:iCs/>
          <w:color w:val="000000" w:themeColor="text1"/>
          <w:sz w:val="16"/>
          <w:szCs w:val="16"/>
        </w:rPr>
        <w:t>сд</w:t>
      </w:r>
      <w:r w:rsidRPr="00271E51">
        <w:rPr>
          <w:rFonts w:ascii="Times New Roman" w:hAnsi="Times New Roman"/>
          <w:color w:val="000000" w:themeColor="text1"/>
          <w:sz w:val="16"/>
          <w:szCs w:val="16"/>
        </w:rPr>
        <w:t xml:space="preserve"> 70-й армии, но прорвать оборону дивизий не смог.</w:t>
      </w:r>
    </w:p>
    <w:p w14:paraId="49DD0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10.30 немецкие танкисты и мотопе</w:t>
      </w:r>
      <w:r w:rsidRPr="00271E51">
        <w:rPr>
          <w:rFonts w:ascii="Times New Roman" w:hAnsi="Times New Roman"/>
          <w:color w:val="000000" w:themeColor="text1"/>
          <w:sz w:val="16"/>
          <w:szCs w:val="16"/>
        </w:rPr>
        <w:softHyphen/>
        <w:t>хота ценой больших потерь овладели населенными пунктами: 1-я Никольская, Озерки, Ясная Поляна. Вскоре, до 60 тан</w:t>
      </w:r>
      <w:r w:rsidRPr="00271E51">
        <w:rPr>
          <w:rFonts w:ascii="Times New Roman" w:hAnsi="Times New Roman"/>
          <w:color w:val="000000" w:themeColor="text1"/>
          <w:sz w:val="16"/>
          <w:szCs w:val="16"/>
        </w:rPr>
        <w:softHyphen/>
        <w:t>ков прорвались у 1 -я Никольская и на</w:t>
      </w:r>
      <w:r w:rsidRPr="00271E51">
        <w:rPr>
          <w:rFonts w:ascii="Times New Roman" w:hAnsi="Times New Roman"/>
          <w:color w:val="000000" w:themeColor="text1"/>
          <w:sz w:val="16"/>
          <w:szCs w:val="16"/>
        </w:rPr>
        <w:softHyphen/>
        <w:t>чали развивать наступление в направ</w:t>
      </w:r>
      <w:r w:rsidRPr="00271E51">
        <w:rPr>
          <w:rFonts w:ascii="Times New Roman" w:hAnsi="Times New Roman"/>
          <w:color w:val="000000" w:themeColor="text1"/>
          <w:sz w:val="16"/>
          <w:szCs w:val="16"/>
        </w:rPr>
        <w:softHyphen/>
        <w:t>лении на 1-е Поныри, а более 100 тан</w:t>
      </w:r>
      <w:r w:rsidRPr="00271E51">
        <w:rPr>
          <w:rFonts w:ascii="Times New Roman" w:hAnsi="Times New Roman"/>
          <w:color w:val="000000" w:themeColor="text1"/>
          <w:sz w:val="16"/>
          <w:szCs w:val="16"/>
        </w:rPr>
        <w:softHyphen/>
        <w:t xml:space="preserve">ков, прорвавшихся на участке 15-й </w:t>
      </w:r>
      <w:r w:rsidRPr="00271E51">
        <w:rPr>
          <w:rFonts w:ascii="Times New Roman" w:hAnsi="Times New Roman"/>
          <w:iCs/>
          <w:color w:val="000000" w:themeColor="text1"/>
          <w:sz w:val="16"/>
          <w:szCs w:val="16"/>
        </w:rPr>
        <w:t xml:space="preserve">сд, </w:t>
      </w:r>
      <w:r w:rsidRPr="00271E51">
        <w:rPr>
          <w:rFonts w:ascii="Times New Roman" w:hAnsi="Times New Roman"/>
          <w:color w:val="000000" w:themeColor="text1"/>
          <w:sz w:val="16"/>
          <w:szCs w:val="16"/>
        </w:rPr>
        <w:t>наступали в направлениях Снова и Подолянь.</w:t>
      </w:r>
    </w:p>
    <w:p w14:paraId="40A7D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бомбардировщики Люфтваффе перенесли свои удары с участка 13-й армии на правый фланг 70-й армии - по позициям 132-й и 280-й стрелковых дивизий, которые после по</w:t>
      </w:r>
      <w:r w:rsidRPr="00271E51">
        <w:rPr>
          <w:rFonts w:ascii="Times New Roman" w:hAnsi="Times New Roman"/>
          <w:color w:val="000000" w:themeColor="text1"/>
          <w:sz w:val="16"/>
          <w:szCs w:val="16"/>
        </w:rPr>
        <w:softHyphen/>
        <w:t>вторных атак немецких танков и мото</w:t>
      </w:r>
      <w:r w:rsidRPr="00271E51">
        <w:rPr>
          <w:rFonts w:ascii="Times New Roman" w:hAnsi="Times New Roman"/>
          <w:color w:val="000000" w:themeColor="text1"/>
          <w:sz w:val="16"/>
          <w:szCs w:val="16"/>
        </w:rPr>
        <w:softHyphen/>
        <w:t>пехоты были вынуждены начать отход в направлении на Гнилец...</w:t>
      </w:r>
    </w:p>
    <w:p w14:paraId="014CE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прорыва первой линии оборо</w:t>
      </w:r>
      <w:r w:rsidRPr="00271E51">
        <w:rPr>
          <w:rFonts w:ascii="Times New Roman" w:hAnsi="Times New Roman"/>
          <w:color w:val="000000" w:themeColor="text1"/>
          <w:sz w:val="16"/>
          <w:szCs w:val="16"/>
        </w:rPr>
        <w:softHyphen/>
        <w:t xml:space="preserve">ны в полосе 81-й и 15-й </w:t>
      </w:r>
      <w:r w:rsidRPr="00271E51">
        <w:rPr>
          <w:rFonts w:ascii="Times New Roman" w:hAnsi="Times New Roman"/>
          <w:iCs/>
          <w:color w:val="000000" w:themeColor="text1"/>
          <w:sz w:val="16"/>
          <w:szCs w:val="16"/>
        </w:rPr>
        <w:t>сд</w:t>
      </w:r>
      <w:r w:rsidRPr="00271E51">
        <w:rPr>
          <w:rFonts w:ascii="Times New Roman" w:hAnsi="Times New Roman"/>
          <w:color w:val="000000" w:themeColor="text1"/>
          <w:sz w:val="16"/>
          <w:szCs w:val="16"/>
        </w:rPr>
        <w:t xml:space="preserve"> немецкие танки возобновили наступление на ма</w:t>
      </w:r>
      <w:r w:rsidRPr="00271E51">
        <w:rPr>
          <w:rFonts w:ascii="Times New Roman" w:hAnsi="Times New Roman"/>
          <w:color w:val="000000" w:themeColor="text1"/>
          <w:sz w:val="16"/>
          <w:szCs w:val="16"/>
        </w:rPr>
        <w:softHyphen/>
        <w:t>лоархангельском направлении и выну</w:t>
      </w:r>
      <w:r w:rsidRPr="00271E51">
        <w:rPr>
          <w:rFonts w:ascii="Times New Roman" w:hAnsi="Times New Roman"/>
          <w:color w:val="000000" w:themeColor="text1"/>
          <w:sz w:val="16"/>
          <w:szCs w:val="16"/>
        </w:rPr>
        <w:softHyphen/>
        <w:t xml:space="preserve">дили 148-ю </w:t>
      </w:r>
      <w:r w:rsidRPr="00271E51">
        <w:rPr>
          <w:rFonts w:ascii="Times New Roman" w:hAnsi="Times New Roman"/>
          <w:iCs/>
          <w:color w:val="000000" w:themeColor="text1"/>
          <w:sz w:val="16"/>
          <w:szCs w:val="16"/>
        </w:rPr>
        <w:t>сд</w:t>
      </w:r>
      <w:r w:rsidRPr="00271E51">
        <w:rPr>
          <w:rFonts w:ascii="Times New Roman" w:hAnsi="Times New Roman"/>
          <w:color w:val="000000" w:themeColor="text1"/>
          <w:sz w:val="16"/>
          <w:szCs w:val="16"/>
        </w:rPr>
        <w:t xml:space="preserve"> своим левым флангом отойти на юго-восток в район Троена.</w:t>
      </w:r>
    </w:p>
    <w:p w14:paraId="7F36F1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Четкая организация боевых действий авиации позволила немецкому командо</w:t>
      </w:r>
      <w:r w:rsidRPr="00271E51">
        <w:rPr>
          <w:rFonts w:ascii="Times New Roman" w:hAnsi="Times New Roman"/>
          <w:color w:val="000000" w:themeColor="text1"/>
          <w:sz w:val="16"/>
          <w:szCs w:val="16"/>
        </w:rPr>
        <w:softHyphen/>
        <w:t>ванию обеспечить наивысшую интенсив</w:t>
      </w:r>
      <w:r w:rsidRPr="00271E51">
        <w:rPr>
          <w:rFonts w:ascii="Times New Roman" w:hAnsi="Times New Roman"/>
          <w:color w:val="000000" w:themeColor="text1"/>
          <w:sz w:val="16"/>
          <w:szCs w:val="16"/>
        </w:rPr>
        <w:softHyphen/>
        <w:t>ность бомбоштурмовых ударов по пози</w:t>
      </w:r>
      <w:r w:rsidRPr="00271E51">
        <w:rPr>
          <w:rFonts w:ascii="Times New Roman" w:hAnsi="Times New Roman"/>
          <w:color w:val="000000" w:themeColor="text1"/>
          <w:sz w:val="16"/>
          <w:szCs w:val="16"/>
        </w:rPr>
        <w:softHyphen/>
        <w:t>циям красноармейцев. Уже к 11.00 по</w:t>
      </w:r>
      <w:r w:rsidRPr="00271E51">
        <w:rPr>
          <w:rFonts w:ascii="Times New Roman" w:hAnsi="Times New Roman"/>
          <w:color w:val="000000" w:themeColor="text1"/>
          <w:sz w:val="16"/>
          <w:szCs w:val="16"/>
        </w:rPr>
        <w:softHyphen/>
        <w:t>стами ВНОС Центрального фронта было зафиксировано 1000 самолето-пролетов немецких самолетов, из которых 800 бо</w:t>
      </w:r>
      <w:r w:rsidRPr="00271E51">
        <w:rPr>
          <w:rFonts w:ascii="Times New Roman" w:hAnsi="Times New Roman"/>
          <w:color w:val="000000" w:themeColor="text1"/>
          <w:sz w:val="16"/>
          <w:szCs w:val="16"/>
        </w:rPr>
        <w:softHyphen/>
        <w:t>евых вылетов выполнили бомбардиров</w:t>
      </w:r>
      <w:r w:rsidRPr="00271E51">
        <w:rPr>
          <w:rFonts w:ascii="Times New Roman" w:hAnsi="Times New Roman"/>
          <w:color w:val="000000" w:themeColor="text1"/>
          <w:sz w:val="16"/>
          <w:szCs w:val="16"/>
        </w:rPr>
        <w:softHyphen/>
        <w:t>щики. К исходу дня экипажи 6-го воз</w:t>
      </w:r>
      <w:r w:rsidRPr="00271E51">
        <w:rPr>
          <w:rFonts w:ascii="Times New Roman" w:hAnsi="Times New Roman"/>
          <w:color w:val="000000" w:themeColor="text1"/>
          <w:sz w:val="16"/>
          <w:szCs w:val="16"/>
        </w:rPr>
        <w:softHyphen/>
        <w:t>душного флота выполнили еще 1257 боевых вылетов.</w:t>
      </w:r>
    </w:p>
    <w:p w14:paraId="79CFB4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Жесткому прессингу пилотов Люфтваффе противостояли летчики 6-го </w:t>
      </w:r>
      <w:r w:rsidRPr="00271E51">
        <w:rPr>
          <w:rFonts w:ascii="Times New Roman" w:hAnsi="Times New Roman"/>
          <w:iCs/>
          <w:color w:val="000000" w:themeColor="text1"/>
          <w:sz w:val="16"/>
          <w:szCs w:val="16"/>
        </w:rPr>
        <w:t xml:space="preserve">иак </w:t>
      </w:r>
      <w:r w:rsidRPr="00271E51">
        <w:rPr>
          <w:rFonts w:ascii="Times New Roman" w:hAnsi="Times New Roman"/>
          <w:color w:val="000000" w:themeColor="text1"/>
          <w:sz w:val="16"/>
          <w:szCs w:val="16"/>
        </w:rPr>
        <w:t xml:space="preserve">(генерал-майор А. Б. Юмашев, с 10.07.43 г. генерал-майор Е.Е.Ерлыкин) и 1-й </w:t>
      </w:r>
      <w:r w:rsidRPr="00271E51">
        <w:rPr>
          <w:rFonts w:ascii="Times New Roman" w:hAnsi="Times New Roman"/>
          <w:iCs/>
          <w:color w:val="000000" w:themeColor="text1"/>
          <w:sz w:val="16"/>
          <w:szCs w:val="16"/>
        </w:rPr>
        <w:t xml:space="preserve">иад </w:t>
      </w:r>
      <w:r w:rsidRPr="00271E51">
        <w:rPr>
          <w:rFonts w:ascii="Times New Roman" w:hAnsi="Times New Roman"/>
          <w:color w:val="000000" w:themeColor="text1"/>
          <w:sz w:val="16"/>
          <w:szCs w:val="16"/>
        </w:rPr>
        <w:t>(п-п-к И.В.Крупенин) 16-й ВА. Однако в этот период их действия носили эпизо</w:t>
      </w:r>
      <w:r w:rsidRPr="00271E51">
        <w:rPr>
          <w:rFonts w:ascii="Times New Roman" w:hAnsi="Times New Roman"/>
          <w:color w:val="000000" w:themeColor="text1"/>
          <w:sz w:val="16"/>
          <w:szCs w:val="16"/>
        </w:rPr>
        <w:softHyphen/>
        <w:t>дический характер - к 11.00 воздушная армия выполнила лишь 520 самолето-вылетов.</w:t>
      </w:r>
    </w:p>
    <w:p w14:paraId="303C29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Разработанный план боевого ис</w:t>
      </w:r>
      <w:r w:rsidRPr="00271E51">
        <w:rPr>
          <w:rFonts w:ascii="Times New Roman" w:hAnsi="Times New Roman"/>
          <w:color w:val="000000" w:themeColor="text1"/>
          <w:sz w:val="16"/>
          <w:szCs w:val="16"/>
        </w:rPr>
        <w:softHyphen/>
        <w:t>пользования авиации 16-й ВА и графи</w:t>
      </w:r>
      <w:r w:rsidRPr="00271E51">
        <w:rPr>
          <w:rFonts w:ascii="Times New Roman" w:hAnsi="Times New Roman"/>
          <w:color w:val="000000" w:themeColor="text1"/>
          <w:sz w:val="16"/>
          <w:szCs w:val="16"/>
        </w:rPr>
        <w:softHyphen/>
        <w:t>ки боевых вылетов по прикрытию бое</w:t>
      </w:r>
      <w:r w:rsidRPr="00271E51">
        <w:rPr>
          <w:rFonts w:ascii="Times New Roman" w:hAnsi="Times New Roman"/>
          <w:color w:val="000000" w:themeColor="text1"/>
          <w:sz w:val="16"/>
          <w:szCs w:val="16"/>
        </w:rPr>
        <w:softHyphen/>
        <w:t>вых порядков войск фронта были вве</w:t>
      </w:r>
      <w:r w:rsidRPr="00271E51">
        <w:rPr>
          <w:rFonts w:ascii="Times New Roman" w:hAnsi="Times New Roman"/>
          <w:color w:val="000000" w:themeColor="text1"/>
          <w:sz w:val="16"/>
          <w:szCs w:val="16"/>
        </w:rPr>
        <w:softHyphen/>
        <w:t>дены в действие только в 9.30, когда первая атака немецких танков была уже отбита. Только начиная с этого момен</w:t>
      </w:r>
      <w:r w:rsidRPr="00271E51">
        <w:rPr>
          <w:rFonts w:ascii="Times New Roman" w:hAnsi="Times New Roman"/>
          <w:color w:val="000000" w:themeColor="text1"/>
          <w:sz w:val="16"/>
          <w:szCs w:val="16"/>
        </w:rPr>
        <w:softHyphen/>
        <w:t>та, истребители армии перешли от отражения налетов немецких самолетов к непосредственному прикрытию боевых порядков войск фронта путем патрули</w:t>
      </w:r>
      <w:r w:rsidRPr="00271E51">
        <w:rPr>
          <w:rFonts w:ascii="Times New Roman" w:hAnsi="Times New Roman"/>
          <w:color w:val="000000" w:themeColor="text1"/>
          <w:sz w:val="16"/>
          <w:szCs w:val="16"/>
        </w:rPr>
        <w:softHyphen/>
        <w:t>рования группами по 10-12 машин. На</w:t>
      </w:r>
      <w:r w:rsidRPr="00271E51">
        <w:rPr>
          <w:rFonts w:ascii="Times New Roman" w:hAnsi="Times New Roman"/>
          <w:color w:val="000000" w:themeColor="text1"/>
          <w:sz w:val="16"/>
          <w:szCs w:val="16"/>
        </w:rPr>
        <w:softHyphen/>
        <w:t>пряженность боев была такова, что ос</w:t>
      </w:r>
      <w:r w:rsidRPr="00271E51">
        <w:rPr>
          <w:rFonts w:ascii="Times New Roman" w:hAnsi="Times New Roman"/>
          <w:color w:val="000000" w:themeColor="text1"/>
          <w:sz w:val="16"/>
          <w:szCs w:val="16"/>
        </w:rPr>
        <w:softHyphen/>
        <w:t>тававшийся на аэродроме плановый резерв дивизий в размере 16 экипажей, готовых к немедленному вылету по вы</w:t>
      </w:r>
      <w:r w:rsidRPr="00271E51">
        <w:rPr>
          <w:rFonts w:ascii="Times New Roman" w:hAnsi="Times New Roman"/>
          <w:color w:val="000000" w:themeColor="text1"/>
          <w:sz w:val="16"/>
          <w:szCs w:val="16"/>
        </w:rPr>
        <w:softHyphen/>
        <w:t>зову, расходовался в первые же минуты после его выделения. Во второй поло</w:t>
      </w:r>
      <w:r w:rsidRPr="00271E51">
        <w:rPr>
          <w:rFonts w:ascii="Times New Roman" w:hAnsi="Times New Roman"/>
          <w:color w:val="000000" w:themeColor="text1"/>
          <w:sz w:val="16"/>
          <w:szCs w:val="16"/>
        </w:rPr>
        <w:softHyphen/>
        <w:t>вине дня, из-за больших потерь и рас</w:t>
      </w:r>
      <w:r w:rsidRPr="00271E51">
        <w:rPr>
          <w:rFonts w:ascii="Times New Roman" w:hAnsi="Times New Roman"/>
          <w:color w:val="000000" w:themeColor="text1"/>
          <w:sz w:val="16"/>
          <w:szCs w:val="16"/>
        </w:rPr>
        <w:softHyphen/>
        <w:t>хода истребителей на патрулирование, дежурные подразделения вообще не выделялись. В результате у командова</w:t>
      </w:r>
      <w:r w:rsidRPr="00271E51">
        <w:rPr>
          <w:rFonts w:ascii="Times New Roman" w:hAnsi="Times New Roman"/>
          <w:color w:val="000000" w:themeColor="text1"/>
          <w:sz w:val="16"/>
          <w:szCs w:val="16"/>
        </w:rPr>
        <w:softHyphen/>
        <w:t>ния армии не было никакой возможнос</w:t>
      </w:r>
      <w:r w:rsidRPr="00271E51">
        <w:rPr>
          <w:rFonts w:ascii="Times New Roman" w:hAnsi="Times New Roman"/>
          <w:color w:val="000000" w:themeColor="text1"/>
          <w:sz w:val="16"/>
          <w:szCs w:val="16"/>
        </w:rPr>
        <w:softHyphen/>
        <w:t>ти для наращивания сил в воздушном бою с самолетами Люфтваффе.</w:t>
      </w:r>
    </w:p>
    <w:p w14:paraId="0EFEA9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Штурмовая и бомбардировочная авиация армии (3-й </w:t>
      </w:r>
      <w:r w:rsidRPr="00271E51">
        <w:rPr>
          <w:rFonts w:ascii="Times New Roman" w:hAnsi="Times New Roman"/>
          <w:iCs/>
          <w:color w:val="000000" w:themeColor="text1"/>
          <w:sz w:val="16"/>
          <w:szCs w:val="16"/>
        </w:rPr>
        <w:t>бак</w:t>
      </w:r>
      <w:r w:rsidRPr="00271E51">
        <w:rPr>
          <w:rFonts w:ascii="Times New Roman" w:hAnsi="Times New Roman"/>
          <w:color w:val="000000" w:themeColor="text1"/>
          <w:sz w:val="16"/>
          <w:szCs w:val="16"/>
        </w:rPr>
        <w:t xml:space="preserve"> генерал-майо</w:t>
      </w:r>
      <w:r w:rsidRPr="00271E51">
        <w:rPr>
          <w:rFonts w:ascii="Times New Roman" w:hAnsi="Times New Roman"/>
          <w:color w:val="000000" w:themeColor="text1"/>
          <w:sz w:val="16"/>
          <w:szCs w:val="16"/>
        </w:rPr>
        <w:softHyphen/>
        <w:t xml:space="preserve">ра А.З.Каравацкого, 6-й </w:t>
      </w:r>
      <w:r w:rsidRPr="00271E51">
        <w:rPr>
          <w:rFonts w:ascii="Times New Roman" w:hAnsi="Times New Roman"/>
          <w:iCs/>
          <w:color w:val="000000" w:themeColor="text1"/>
          <w:sz w:val="16"/>
          <w:szCs w:val="16"/>
        </w:rPr>
        <w:t>сак</w:t>
      </w:r>
      <w:r w:rsidRPr="00271E51">
        <w:rPr>
          <w:rFonts w:ascii="Times New Roman" w:hAnsi="Times New Roman"/>
          <w:color w:val="000000" w:themeColor="text1"/>
          <w:sz w:val="16"/>
          <w:szCs w:val="16"/>
        </w:rPr>
        <w:t xml:space="preserve"> генерал-май</w:t>
      </w:r>
      <w:r w:rsidRPr="00271E51">
        <w:rPr>
          <w:rFonts w:ascii="Times New Roman" w:hAnsi="Times New Roman"/>
          <w:color w:val="000000" w:themeColor="text1"/>
          <w:sz w:val="16"/>
          <w:szCs w:val="16"/>
        </w:rPr>
        <w:softHyphen/>
        <w:t xml:space="preserve">ора И.Д.Антошкина, 2-я </w:t>
      </w:r>
      <w:r w:rsidRPr="00271E51">
        <w:rPr>
          <w:rFonts w:ascii="Times New Roman" w:hAnsi="Times New Roman"/>
          <w:iCs/>
          <w:color w:val="000000" w:themeColor="text1"/>
          <w:sz w:val="16"/>
          <w:szCs w:val="16"/>
        </w:rPr>
        <w:t>гшад</w:t>
      </w:r>
      <w:r w:rsidRPr="00271E51">
        <w:rPr>
          <w:rFonts w:ascii="Times New Roman" w:hAnsi="Times New Roman"/>
          <w:color w:val="000000" w:themeColor="text1"/>
          <w:sz w:val="16"/>
          <w:szCs w:val="16"/>
        </w:rPr>
        <w:t xml:space="preserve"> п-ка Г. И. Комарова и 299-я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п-ка И.В.Крупского) вступили "в дело" лишь после того, как было установлено направление глав</w:t>
      </w:r>
      <w:r w:rsidRPr="00271E51">
        <w:rPr>
          <w:rFonts w:ascii="Times New Roman" w:hAnsi="Times New Roman"/>
          <w:color w:val="000000" w:themeColor="text1"/>
          <w:sz w:val="16"/>
          <w:szCs w:val="16"/>
        </w:rPr>
        <w:softHyphen/>
        <w:t>ного удара противника.</w:t>
      </w:r>
    </w:p>
    <w:p w14:paraId="5AAE7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создавшееся тяжелое по</w:t>
      </w:r>
      <w:r w:rsidRPr="00271E51">
        <w:rPr>
          <w:rFonts w:ascii="Times New Roman" w:hAnsi="Times New Roman"/>
          <w:color w:val="000000" w:themeColor="text1"/>
          <w:sz w:val="16"/>
          <w:szCs w:val="16"/>
        </w:rPr>
        <w:softHyphen/>
        <w:t>ложение на левом фланге и в центре 13-й армии, командующий фронтом при</w:t>
      </w:r>
      <w:r w:rsidRPr="00271E51">
        <w:rPr>
          <w:rFonts w:ascii="Times New Roman" w:hAnsi="Times New Roman"/>
          <w:color w:val="000000" w:themeColor="text1"/>
          <w:sz w:val="16"/>
          <w:szCs w:val="16"/>
        </w:rPr>
        <w:softHyphen/>
        <w:t>казал бросить на этот участок все на</w:t>
      </w:r>
      <w:r w:rsidRPr="00271E51">
        <w:rPr>
          <w:rFonts w:ascii="Times New Roman" w:hAnsi="Times New Roman"/>
          <w:color w:val="000000" w:themeColor="text1"/>
          <w:sz w:val="16"/>
          <w:szCs w:val="16"/>
        </w:rPr>
        <w:softHyphen/>
        <w:t>личные силы бомбардировочной и штур</w:t>
      </w:r>
      <w:r w:rsidRPr="00271E51">
        <w:rPr>
          <w:rFonts w:ascii="Times New Roman" w:hAnsi="Times New Roman"/>
          <w:color w:val="000000" w:themeColor="text1"/>
          <w:sz w:val="16"/>
          <w:szCs w:val="16"/>
        </w:rPr>
        <w:softHyphen/>
        <w:t>мовой авиации 16-й ВА. Штурмовикам была поставлена задача группами по 8-12 самолетов в течение всего дня унич</w:t>
      </w:r>
      <w:r w:rsidRPr="00271E51">
        <w:rPr>
          <w:rFonts w:ascii="Times New Roman" w:hAnsi="Times New Roman"/>
          <w:color w:val="000000" w:themeColor="text1"/>
          <w:sz w:val="16"/>
          <w:szCs w:val="16"/>
        </w:rPr>
        <w:softHyphen/>
        <w:t>тожать танки, орудия и живую силу про</w:t>
      </w:r>
      <w:r w:rsidRPr="00271E51">
        <w:rPr>
          <w:rFonts w:ascii="Times New Roman" w:hAnsi="Times New Roman"/>
          <w:color w:val="000000" w:themeColor="text1"/>
          <w:sz w:val="16"/>
          <w:szCs w:val="16"/>
        </w:rPr>
        <w:softHyphen/>
        <w:t>тивника на поле боя в районах Васильевка, Сеньково, Верх. Тагино, Озерки, Ар</w:t>
      </w:r>
      <w:r w:rsidRPr="00271E51">
        <w:rPr>
          <w:rFonts w:ascii="Times New Roman" w:hAnsi="Times New Roman"/>
          <w:color w:val="000000" w:themeColor="text1"/>
          <w:sz w:val="16"/>
          <w:szCs w:val="16"/>
        </w:rPr>
        <w:softHyphen/>
        <w:t>хангельское и в местах их сосредоточе</w:t>
      </w:r>
      <w:r w:rsidRPr="00271E51">
        <w:rPr>
          <w:rFonts w:ascii="Times New Roman" w:hAnsi="Times New Roman"/>
          <w:color w:val="000000" w:themeColor="text1"/>
          <w:sz w:val="16"/>
          <w:szCs w:val="16"/>
        </w:rPr>
        <w:softHyphen/>
        <w:t>ния. Однако, ввиду отсутствия необхо</w:t>
      </w:r>
      <w:r w:rsidRPr="00271E51">
        <w:rPr>
          <w:rFonts w:ascii="Times New Roman" w:hAnsi="Times New Roman"/>
          <w:color w:val="000000" w:themeColor="text1"/>
          <w:sz w:val="16"/>
          <w:szCs w:val="16"/>
        </w:rPr>
        <w:softHyphen/>
        <w:t>димого количества истребителей при</w:t>
      </w:r>
      <w:r w:rsidRPr="00271E51">
        <w:rPr>
          <w:rFonts w:ascii="Times New Roman" w:hAnsi="Times New Roman"/>
          <w:color w:val="000000" w:themeColor="text1"/>
          <w:sz w:val="16"/>
          <w:szCs w:val="16"/>
        </w:rPr>
        <w:softHyphen/>
        <w:t>крытия, напряжение боевой работы штурмовой авиации 16-й ВА было не</w:t>
      </w:r>
      <w:r w:rsidRPr="00271E51">
        <w:rPr>
          <w:rFonts w:ascii="Times New Roman" w:hAnsi="Times New Roman"/>
          <w:color w:val="000000" w:themeColor="text1"/>
          <w:sz w:val="16"/>
          <w:szCs w:val="16"/>
        </w:rPr>
        <w:softHyphen/>
        <w:t>значительным. Имея в своем составе 267 исправных "Илов", штурмовые авиа</w:t>
      </w:r>
      <w:r w:rsidRPr="00271E51">
        <w:rPr>
          <w:rFonts w:ascii="Times New Roman" w:hAnsi="Times New Roman"/>
          <w:color w:val="000000" w:themeColor="text1"/>
          <w:sz w:val="16"/>
          <w:szCs w:val="16"/>
        </w:rPr>
        <w:softHyphen/>
        <w:t>полки армии выполнили в течение 5 июля лишь 225 боевых самолето-выле</w:t>
      </w:r>
      <w:r w:rsidRPr="00271E51">
        <w:rPr>
          <w:rFonts w:ascii="Times New Roman" w:hAnsi="Times New Roman"/>
          <w:color w:val="000000" w:themeColor="text1"/>
          <w:sz w:val="16"/>
          <w:szCs w:val="16"/>
        </w:rPr>
        <w:softHyphen/>
        <w:t>тов. Для сравнения, истребители в этот день выполнили 817 самолето-вылетов, а бомбардировщики - 105. Фактически наземные войска фронта остались без должной огневой поддержки с воздуха...</w:t>
      </w:r>
    </w:p>
    <w:p w14:paraId="72BAF8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следствие, к исходу 5 июля нем</w:t>
      </w:r>
      <w:r w:rsidRPr="00271E51">
        <w:rPr>
          <w:rFonts w:ascii="Times New Roman" w:hAnsi="Times New Roman"/>
          <w:color w:val="000000" w:themeColor="text1"/>
          <w:sz w:val="16"/>
          <w:szCs w:val="16"/>
        </w:rPr>
        <w:softHyphen/>
        <w:t>цы сумели "продавить" оборону право</w:t>
      </w:r>
      <w:r w:rsidRPr="00271E51">
        <w:rPr>
          <w:rFonts w:ascii="Times New Roman" w:hAnsi="Times New Roman"/>
          <w:color w:val="000000" w:themeColor="text1"/>
          <w:sz w:val="16"/>
          <w:szCs w:val="16"/>
        </w:rPr>
        <w:softHyphen/>
        <w:t>го крыла Центрального фронта на ольховатском направлении на 6-8 км и на участке шириной 15 км выйти ко второй оборонительной полосе (6467).</w:t>
      </w:r>
    </w:p>
    <w:p w14:paraId="09E2E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войск Воронежского фрон</w:t>
      </w:r>
      <w:r w:rsidRPr="00271E51">
        <w:rPr>
          <w:rFonts w:ascii="Times New Roman" w:hAnsi="Times New Roman"/>
          <w:color w:val="000000" w:themeColor="text1"/>
          <w:sz w:val="16"/>
          <w:szCs w:val="16"/>
        </w:rPr>
        <w:softHyphen/>
        <w:t>та наиболее напряженные бои развер</w:t>
      </w:r>
      <w:r w:rsidRPr="00271E51">
        <w:rPr>
          <w:rFonts w:ascii="Times New Roman" w:hAnsi="Times New Roman"/>
          <w:color w:val="000000" w:themeColor="text1"/>
          <w:sz w:val="16"/>
          <w:szCs w:val="16"/>
        </w:rPr>
        <w:softHyphen/>
        <w:t>нулись на томаровско-обоянском и белгородско-корочанском направлениях, где оборонялись 6-я и 7-я гвардейские армии.</w:t>
      </w:r>
    </w:p>
    <w:p w14:paraId="60ED2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Введя в бой два танковых и один ар</w:t>
      </w:r>
      <w:r w:rsidRPr="00271E51">
        <w:rPr>
          <w:rFonts w:ascii="Times New Roman" w:hAnsi="Times New Roman"/>
          <w:color w:val="000000" w:themeColor="text1"/>
          <w:sz w:val="16"/>
          <w:szCs w:val="16"/>
        </w:rPr>
        <w:softHyphen/>
        <w:t>мейский корпуса 4-й танковой армии (до 700 танков и САУ) вдоль шоссе Белгород-Обоянь, немцы стремились кратчай</w:t>
      </w:r>
      <w:r w:rsidRPr="00271E51">
        <w:rPr>
          <w:rFonts w:ascii="Times New Roman" w:hAnsi="Times New Roman"/>
          <w:color w:val="000000" w:themeColor="text1"/>
          <w:sz w:val="16"/>
          <w:szCs w:val="16"/>
        </w:rPr>
        <w:softHyphen/>
        <w:t>шим путем прорваться к Курску с юга для соединения с 9-й армией, наступав</w:t>
      </w:r>
      <w:r w:rsidRPr="00271E51">
        <w:rPr>
          <w:rFonts w:ascii="Times New Roman" w:hAnsi="Times New Roman"/>
          <w:color w:val="000000" w:themeColor="text1"/>
          <w:sz w:val="16"/>
          <w:szCs w:val="16"/>
        </w:rPr>
        <w:softHyphen/>
        <w:t>шей с севера.</w:t>
      </w:r>
    </w:p>
    <w:p w14:paraId="050F09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Вспомогательный удар силами 11-го армейского и 3-го танкового корпусов (до 300 танков и САУ) противник нано</w:t>
      </w:r>
      <w:r w:rsidRPr="00271E51">
        <w:rPr>
          <w:rFonts w:ascii="Times New Roman" w:hAnsi="Times New Roman"/>
          <w:color w:val="000000" w:themeColor="text1"/>
          <w:sz w:val="16"/>
          <w:szCs w:val="16"/>
        </w:rPr>
        <w:softHyphen/>
        <w:t>сил на корочанском направлении юго-восточнее Белгорода, где после артил</w:t>
      </w:r>
      <w:r w:rsidRPr="00271E51">
        <w:rPr>
          <w:rFonts w:ascii="Times New Roman" w:hAnsi="Times New Roman"/>
          <w:color w:val="000000" w:themeColor="text1"/>
          <w:sz w:val="16"/>
          <w:szCs w:val="16"/>
        </w:rPr>
        <w:softHyphen/>
        <w:t>лерийской и авиационной подготовки начал форсирование р. Сев. Донец одно</w:t>
      </w:r>
      <w:r w:rsidRPr="00271E51">
        <w:rPr>
          <w:rFonts w:ascii="Times New Roman" w:hAnsi="Times New Roman"/>
          <w:color w:val="000000" w:themeColor="text1"/>
          <w:sz w:val="16"/>
          <w:szCs w:val="16"/>
        </w:rPr>
        <w:softHyphen/>
        <w:t>временно в восьми пунктах: Пушкарное, Дальние-Пески, Дорогобужи, Соломине, Пуляевка, Маслова Пристань, Приютивка, Безлюдовка.</w:t>
      </w:r>
    </w:p>
    <w:p w14:paraId="2CE83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войска поддерживались почти всей авиацией 4-го воздушного флота, который группами по 100-120 бом</w:t>
      </w:r>
      <w:r w:rsidRPr="00271E51">
        <w:rPr>
          <w:rFonts w:ascii="Times New Roman" w:hAnsi="Times New Roman"/>
          <w:color w:val="000000" w:themeColor="text1"/>
          <w:sz w:val="16"/>
          <w:szCs w:val="16"/>
        </w:rPr>
        <w:softHyphen/>
        <w:t>бардировщиков и 50-60 истребителей активно "работал" на поле боя, действуя на главном направлении в районе Сырцево, Герцовка, Терновка. Сосредоточив основные усилия на обеспечении про</w:t>
      </w:r>
      <w:r w:rsidRPr="00271E51">
        <w:rPr>
          <w:rFonts w:ascii="Times New Roman" w:hAnsi="Times New Roman"/>
          <w:color w:val="000000" w:themeColor="text1"/>
          <w:sz w:val="16"/>
          <w:szCs w:val="16"/>
        </w:rPr>
        <w:softHyphen/>
        <w:t>движения своих танков на узком участ</w:t>
      </w:r>
      <w:r w:rsidRPr="00271E51">
        <w:rPr>
          <w:rFonts w:ascii="Times New Roman" w:hAnsi="Times New Roman"/>
          <w:color w:val="000000" w:themeColor="text1"/>
          <w:sz w:val="16"/>
          <w:szCs w:val="16"/>
        </w:rPr>
        <w:softHyphen/>
        <w:t>ке фронта Бутово-Драгунское (ширина по фронту 10-15 км и вглубь - не более 5-10 км), 4-й воздушный флот только за первый час боевых действий по данным постов ВНОС произвел 400 самолето-пролетов, а к исходу 5 июля - 1958 са</w:t>
      </w:r>
      <w:r w:rsidRPr="00271E51">
        <w:rPr>
          <w:rFonts w:ascii="Times New Roman" w:hAnsi="Times New Roman"/>
          <w:color w:val="000000" w:themeColor="text1"/>
          <w:sz w:val="16"/>
          <w:szCs w:val="16"/>
        </w:rPr>
        <w:softHyphen/>
        <w:t>молето-пролетов, из них бомбардиров</w:t>
      </w:r>
      <w:r w:rsidRPr="00271E51">
        <w:rPr>
          <w:rFonts w:ascii="Times New Roman" w:hAnsi="Times New Roman"/>
          <w:color w:val="000000" w:themeColor="text1"/>
          <w:sz w:val="16"/>
          <w:szCs w:val="16"/>
        </w:rPr>
        <w:softHyphen/>
        <w:t>щики - 1600.</w:t>
      </w:r>
    </w:p>
    <w:p w14:paraId="64AE15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усилия штурмовой авиации 2-й (обоянское направление) и 17-й (корочанское направление) воздушных ар</w:t>
      </w:r>
      <w:r w:rsidRPr="00271E51">
        <w:rPr>
          <w:rFonts w:ascii="Times New Roman" w:hAnsi="Times New Roman"/>
          <w:color w:val="000000" w:themeColor="text1"/>
          <w:sz w:val="16"/>
          <w:szCs w:val="16"/>
        </w:rPr>
        <w:softHyphen/>
        <w:t>мий были направлены на уничтожение немецкой танковой группировки в рай</w:t>
      </w:r>
      <w:r w:rsidRPr="00271E51">
        <w:rPr>
          <w:rFonts w:ascii="Times New Roman" w:hAnsi="Times New Roman"/>
          <w:color w:val="000000" w:themeColor="text1"/>
          <w:sz w:val="16"/>
          <w:szCs w:val="16"/>
        </w:rPr>
        <w:softHyphen/>
        <w:t>оне Зыбино, Мощеное, Томаровка, Стре</w:t>
      </w:r>
      <w:r w:rsidRPr="00271E51">
        <w:rPr>
          <w:rFonts w:ascii="Times New Roman" w:hAnsi="Times New Roman"/>
          <w:color w:val="000000" w:themeColor="text1"/>
          <w:sz w:val="16"/>
          <w:szCs w:val="16"/>
        </w:rPr>
        <w:softHyphen/>
        <w:t>лецкое в полосе 6-й гвардейской армии, а также по переправам через р. Сев. Донец в полосе 7-й гвардейской армии на участке Соломине, Карноуховка, Масло</w:t>
      </w:r>
      <w:r w:rsidRPr="00271E51">
        <w:rPr>
          <w:rFonts w:ascii="Times New Roman" w:hAnsi="Times New Roman"/>
          <w:color w:val="000000" w:themeColor="text1"/>
          <w:sz w:val="16"/>
          <w:szCs w:val="16"/>
        </w:rPr>
        <w:softHyphen/>
        <w:t>ва Пристань, Приютовка, где противнику удалось навести переправы и захватить плацдармы на восточном берегу.</w:t>
      </w:r>
    </w:p>
    <w:p w14:paraId="057C0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воздушные армии, на</w:t>
      </w:r>
      <w:r w:rsidRPr="00271E51">
        <w:rPr>
          <w:rFonts w:ascii="Times New Roman" w:hAnsi="Times New Roman"/>
          <w:color w:val="000000" w:themeColor="text1"/>
          <w:sz w:val="16"/>
          <w:szCs w:val="16"/>
        </w:rPr>
        <w:softHyphen/>
        <w:t>правив часть своей авиации для ударов по аэродромам, не смогли с началом наступления противника оказать эффек</w:t>
      </w:r>
      <w:r w:rsidRPr="00271E51">
        <w:rPr>
          <w:rFonts w:ascii="Times New Roman" w:hAnsi="Times New Roman"/>
          <w:color w:val="000000" w:themeColor="text1"/>
          <w:sz w:val="16"/>
          <w:szCs w:val="16"/>
        </w:rPr>
        <w:softHyphen/>
        <w:t>тивной помощи войскам фронта, так как оставшиеся на аэродромах 356 штурмо</w:t>
      </w:r>
      <w:r w:rsidRPr="00271E51">
        <w:rPr>
          <w:rFonts w:ascii="Times New Roman" w:hAnsi="Times New Roman"/>
          <w:color w:val="000000" w:themeColor="text1"/>
          <w:sz w:val="16"/>
          <w:szCs w:val="16"/>
        </w:rPr>
        <w:softHyphen/>
        <w:t>виков (211 машин во 2-й ВА и 145 само</w:t>
      </w:r>
      <w:r w:rsidRPr="00271E51">
        <w:rPr>
          <w:rFonts w:ascii="Times New Roman" w:hAnsi="Times New Roman"/>
          <w:color w:val="000000" w:themeColor="text1"/>
          <w:sz w:val="16"/>
          <w:szCs w:val="16"/>
        </w:rPr>
        <w:softHyphen/>
        <w:t>летов в 17-й ВА) из-за нехватки истре</w:t>
      </w:r>
      <w:r w:rsidRPr="00271E51">
        <w:rPr>
          <w:rFonts w:ascii="Times New Roman" w:hAnsi="Times New Roman"/>
          <w:color w:val="000000" w:themeColor="text1"/>
          <w:sz w:val="16"/>
          <w:szCs w:val="16"/>
        </w:rPr>
        <w:softHyphen/>
        <w:t>бителей прикрытия действовали совер</w:t>
      </w:r>
      <w:r w:rsidRPr="00271E51">
        <w:rPr>
          <w:rFonts w:ascii="Times New Roman" w:hAnsi="Times New Roman"/>
          <w:color w:val="000000" w:themeColor="text1"/>
          <w:sz w:val="16"/>
          <w:szCs w:val="16"/>
        </w:rPr>
        <w:softHyphen/>
        <w:t>шенно не активно и "погоды не дела</w:t>
      </w:r>
      <w:r w:rsidRPr="00271E51">
        <w:rPr>
          <w:rFonts w:ascii="Times New Roman" w:hAnsi="Times New Roman"/>
          <w:color w:val="000000" w:themeColor="text1"/>
          <w:sz w:val="16"/>
          <w:szCs w:val="16"/>
        </w:rPr>
        <w:softHyphen/>
        <w:t xml:space="preserve">ли". Наличных сил 5-го </w:t>
      </w:r>
      <w:r w:rsidRPr="00271E51">
        <w:rPr>
          <w:rFonts w:ascii="Times New Roman" w:hAnsi="Times New Roman"/>
          <w:iCs/>
          <w:color w:val="000000" w:themeColor="text1"/>
          <w:sz w:val="16"/>
          <w:szCs w:val="16"/>
        </w:rPr>
        <w:t>иак</w:t>
      </w:r>
      <w:r w:rsidRPr="00271E51">
        <w:rPr>
          <w:rFonts w:ascii="Times New Roman" w:hAnsi="Times New Roman"/>
          <w:color w:val="000000" w:themeColor="text1"/>
          <w:sz w:val="16"/>
          <w:szCs w:val="16"/>
        </w:rPr>
        <w:t xml:space="preserve"> одновремен</w:t>
      </w:r>
      <w:r w:rsidRPr="00271E51">
        <w:rPr>
          <w:rFonts w:ascii="Times New Roman" w:hAnsi="Times New Roman"/>
          <w:color w:val="000000" w:themeColor="text1"/>
          <w:sz w:val="16"/>
          <w:szCs w:val="16"/>
        </w:rPr>
        <w:softHyphen/>
        <w:t>но для борьбы с бомбардировщиками противника и для обеспечения сопро</w:t>
      </w:r>
      <w:r w:rsidRPr="00271E51">
        <w:rPr>
          <w:rFonts w:ascii="Times New Roman" w:hAnsi="Times New Roman"/>
          <w:color w:val="000000" w:themeColor="text1"/>
          <w:sz w:val="16"/>
          <w:szCs w:val="16"/>
        </w:rPr>
        <w:softHyphen/>
        <w:t>вождения своих штурмовиков не хвата</w:t>
      </w:r>
      <w:r w:rsidRPr="00271E51">
        <w:rPr>
          <w:rFonts w:ascii="Times New Roman" w:hAnsi="Times New Roman"/>
          <w:color w:val="000000" w:themeColor="text1"/>
          <w:sz w:val="16"/>
          <w:szCs w:val="16"/>
        </w:rPr>
        <w:softHyphen/>
        <w:t xml:space="preserve">ло. Лишь после посадки 4-го </w:t>
      </w:r>
      <w:r w:rsidRPr="00271E51">
        <w:rPr>
          <w:rFonts w:ascii="Times New Roman" w:hAnsi="Times New Roman"/>
          <w:iCs/>
          <w:color w:val="000000" w:themeColor="text1"/>
          <w:sz w:val="16"/>
          <w:szCs w:val="16"/>
        </w:rPr>
        <w:t>иак</w:t>
      </w:r>
      <w:r w:rsidRPr="00271E51">
        <w:rPr>
          <w:rFonts w:ascii="Times New Roman" w:hAnsi="Times New Roman"/>
          <w:color w:val="000000" w:themeColor="text1"/>
          <w:sz w:val="16"/>
          <w:szCs w:val="16"/>
        </w:rPr>
        <w:t xml:space="preserve"> 2-й ВА и частей 3-го и 9-го </w:t>
      </w:r>
      <w:r w:rsidRPr="00271E51">
        <w:rPr>
          <w:rFonts w:ascii="Times New Roman" w:hAnsi="Times New Roman"/>
          <w:iCs/>
          <w:color w:val="000000" w:themeColor="text1"/>
          <w:sz w:val="16"/>
          <w:szCs w:val="16"/>
        </w:rPr>
        <w:t>сак</w:t>
      </w:r>
      <w:r w:rsidRPr="00271E51">
        <w:rPr>
          <w:rFonts w:ascii="Times New Roman" w:hAnsi="Times New Roman"/>
          <w:color w:val="000000" w:themeColor="text1"/>
          <w:sz w:val="16"/>
          <w:szCs w:val="16"/>
        </w:rPr>
        <w:t xml:space="preserve"> 17-й ВА, кото</w:t>
      </w:r>
      <w:r w:rsidRPr="00271E51">
        <w:rPr>
          <w:rFonts w:ascii="Times New Roman" w:hAnsi="Times New Roman"/>
          <w:color w:val="000000" w:themeColor="text1"/>
          <w:sz w:val="16"/>
          <w:szCs w:val="16"/>
        </w:rPr>
        <w:softHyphen/>
        <w:t>рые по плану выделялись для сопровож</w:t>
      </w:r>
      <w:r w:rsidRPr="00271E51">
        <w:rPr>
          <w:rFonts w:ascii="Times New Roman" w:hAnsi="Times New Roman"/>
          <w:color w:val="000000" w:themeColor="text1"/>
          <w:sz w:val="16"/>
          <w:szCs w:val="16"/>
        </w:rPr>
        <w:softHyphen/>
        <w:t>дения штурмовиков и бомбардировщи</w:t>
      </w:r>
      <w:r w:rsidRPr="00271E51">
        <w:rPr>
          <w:rFonts w:ascii="Times New Roman" w:hAnsi="Times New Roman"/>
          <w:color w:val="000000" w:themeColor="text1"/>
          <w:sz w:val="16"/>
          <w:szCs w:val="16"/>
        </w:rPr>
        <w:softHyphen/>
        <w:t>ков, последние стали действовать не</w:t>
      </w:r>
      <w:r w:rsidRPr="00271E51">
        <w:rPr>
          <w:rFonts w:ascii="Times New Roman" w:hAnsi="Times New Roman"/>
          <w:color w:val="000000" w:themeColor="text1"/>
          <w:sz w:val="16"/>
          <w:szCs w:val="16"/>
        </w:rPr>
        <w:softHyphen/>
        <w:t>сколько интенсивнее. Однако командо</w:t>
      </w:r>
      <w:r w:rsidRPr="00271E51">
        <w:rPr>
          <w:rFonts w:ascii="Times New Roman" w:hAnsi="Times New Roman"/>
          <w:color w:val="000000" w:themeColor="text1"/>
          <w:sz w:val="16"/>
          <w:szCs w:val="16"/>
        </w:rPr>
        <w:softHyphen/>
        <w:t>вание армий, стремясь одновременно поразить большое количество целей, распылило силы штурмовиков, которые действовали небольшими группами по 6-8 машин и, естественно, не могли на</w:t>
      </w:r>
      <w:r w:rsidRPr="00271E51">
        <w:rPr>
          <w:rFonts w:ascii="Times New Roman" w:hAnsi="Times New Roman"/>
          <w:color w:val="000000" w:themeColor="text1"/>
          <w:sz w:val="16"/>
          <w:szCs w:val="16"/>
        </w:rPr>
        <w:softHyphen/>
        <w:t>дежно подавлять наземные цели. Если еще учесть, что в течение 5 июля Ил-2 2-й ВА выполнили 220, а 17-й ВА - 152 самолето-вылетов, то следует признать, ильюшинские штурмовики значительно</w:t>
      </w:r>
      <w:r w:rsidRPr="00271E51">
        <w:rPr>
          <w:rFonts w:ascii="Times New Roman" w:hAnsi="Times New Roman"/>
          <w:color w:val="000000" w:themeColor="text1"/>
          <w:sz w:val="16"/>
          <w:szCs w:val="16"/>
        </w:rPr>
        <w:softHyphen/>
        <w:t>го влияния на ход боев наземных войск Воронежского фронта в первый день сражения не оказали.</w:t>
      </w:r>
    </w:p>
    <w:p w14:paraId="027B9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исходу дня на обоянском направ</w:t>
      </w:r>
      <w:r w:rsidRPr="00271E51">
        <w:rPr>
          <w:rFonts w:ascii="Times New Roman" w:hAnsi="Times New Roman"/>
          <w:color w:val="000000" w:themeColor="text1"/>
          <w:sz w:val="16"/>
          <w:szCs w:val="16"/>
        </w:rPr>
        <w:softHyphen/>
        <w:t>лении противнику удалось продвинуть</w:t>
      </w:r>
      <w:r w:rsidRPr="00271E51">
        <w:rPr>
          <w:rFonts w:ascii="Times New Roman" w:hAnsi="Times New Roman"/>
          <w:color w:val="000000" w:themeColor="text1"/>
          <w:sz w:val="16"/>
          <w:szCs w:val="16"/>
        </w:rPr>
        <w:softHyphen/>
        <w:t>ся на 8-10 км, а на корочанском направ</w:t>
      </w:r>
      <w:r w:rsidRPr="00271E51">
        <w:rPr>
          <w:rFonts w:ascii="Times New Roman" w:hAnsi="Times New Roman"/>
          <w:color w:val="000000" w:themeColor="text1"/>
          <w:sz w:val="16"/>
          <w:szCs w:val="16"/>
        </w:rPr>
        <w:softHyphen/>
        <w:t>лении - на 3-4 км. Перед 2-й и 17-й ВА были поставлены задачи на уничтоже</w:t>
      </w:r>
      <w:r w:rsidRPr="00271E51">
        <w:rPr>
          <w:rFonts w:ascii="Times New Roman" w:hAnsi="Times New Roman"/>
          <w:color w:val="000000" w:themeColor="text1"/>
          <w:sz w:val="16"/>
          <w:szCs w:val="16"/>
        </w:rPr>
        <w:softHyphen/>
        <w:t>ние танков на поле боя и оказание со</w:t>
      </w:r>
      <w:r w:rsidRPr="00271E51">
        <w:rPr>
          <w:rFonts w:ascii="Times New Roman" w:hAnsi="Times New Roman"/>
          <w:color w:val="000000" w:themeColor="text1"/>
          <w:sz w:val="16"/>
          <w:szCs w:val="16"/>
        </w:rPr>
        <w:softHyphen/>
        <w:t>действия своим войскам в удержании 2-й линии обороны, не допуская подхо</w:t>
      </w:r>
      <w:r w:rsidRPr="00271E51">
        <w:rPr>
          <w:rFonts w:ascii="Times New Roman" w:hAnsi="Times New Roman"/>
          <w:color w:val="000000" w:themeColor="text1"/>
          <w:sz w:val="16"/>
          <w:szCs w:val="16"/>
        </w:rPr>
        <w:softHyphen/>
        <w:t>да резервов противника.</w:t>
      </w:r>
    </w:p>
    <w:p w14:paraId="5AEC31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первый день воздуш</w:t>
      </w:r>
      <w:r w:rsidRPr="00271E51">
        <w:rPr>
          <w:rFonts w:ascii="Times New Roman" w:hAnsi="Times New Roman"/>
          <w:color w:val="000000" w:themeColor="text1"/>
          <w:sz w:val="16"/>
          <w:szCs w:val="16"/>
        </w:rPr>
        <w:softHyphen/>
        <w:t>ных боев на Курской дуге показал, что на всех направлениях боевых действий авиация Красной Армии не выполнила поставленных перед ней задач, распы</w:t>
      </w:r>
      <w:r w:rsidRPr="00271E51">
        <w:rPr>
          <w:rFonts w:ascii="Times New Roman" w:hAnsi="Times New Roman"/>
          <w:color w:val="000000" w:themeColor="text1"/>
          <w:sz w:val="16"/>
          <w:szCs w:val="16"/>
        </w:rPr>
        <w:softHyphen/>
        <w:t>лив свои усилия на подавление и унич</w:t>
      </w:r>
      <w:r w:rsidRPr="00271E51">
        <w:rPr>
          <w:rFonts w:ascii="Times New Roman" w:hAnsi="Times New Roman"/>
          <w:color w:val="000000" w:themeColor="text1"/>
          <w:sz w:val="16"/>
          <w:szCs w:val="16"/>
        </w:rPr>
        <w:softHyphen/>
        <w:t>тожение большого количества целей на поле боя.</w:t>
      </w:r>
    </w:p>
    <w:p w14:paraId="32298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Вследствие серьезных недостатков в организации ведения воздушных боев истребителей Красной Армии, в управ</w:t>
      </w:r>
      <w:r w:rsidRPr="00271E51">
        <w:rPr>
          <w:rFonts w:ascii="Times New Roman" w:hAnsi="Times New Roman"/>
          <w:color w:val="000000" w:themeColor="text1"/>
          <w:sz w:val="16"/>
          <w:szCs w:val="16"/>
        </w:rPr>
        <w:softHyphen/>
        <w:t>лении ими в районах боевых действий, а также в системе оповещения о при</w:t>
      </w:r>
      <w:r w:rsidRPr="00271E51">
        <w:rPr>
          <w:rFonts w:ascii="Times New Roman" w:hAnsi="Times New Roman"/>
          <w:color w:val="000000" w:themeColor="text1"/>
          <w:sz w:val="16"/>
          <w:szCs w:val="16"/>
        </w:rPr>
        <w:softHyphen/>
        <w:t>ближении немецких бомбардировщиков, Люфтваффе удалось захватить инициа</w:t>
      </w:r>
      <w:r w:rsidRPr="00271E51">
        <w:rPr>
          <w:rFonts w:ascii="Times New Roman" w:hAnsi="Times New Roman"/>
          <w:color w:val="000000" w:themeColor="text1"/>
          <w:sz w:val="16"/>
          <w:szCs w:val="16"/>
        </w:rPr>
        <w:softHyphen/>
        <w:t>тиву в воздухе.</w:t>
      </w:r>
    </w:p>
    <w:p w14:paraId="7E007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немецкой истребитель</w:t>
      </w:r>
      <w:r w:rsidRPr="00271E51">
        <w:rPr>
          <w:rFonts w:ascii="Times New Roman" w:hAnsi="Times New Roman"/>
          <w:color w:val="000000" w:themeColor="text1"/>
          <w:sz w:val="16"/>
          <w:szCs w:val="16"/>
        </w:rPr>
        <w:softHyphen/>
        <w:t>ной авиации, советским истребителям в этот период ставились в основном пас</w:t>
      </w:r>
      <w:r w:rsidRPr="00271E51">
        <w:rPr>
          <w:rFonts w:ascii="Times New Roman" w:hAnsi="Times New Roman"/>
          <w:color w:val="000000" w:themeColor="text1"/>
          <w:sz w:val="16"/>
          <w:szCs w:val="16"/>
        </w:rPr>
        <w:softHyphen/>
        <w:t>сивные задачи: непосредственное со</w:t>
      </w:r>
      <w:r w:rsidRPr="00271E51">
        <w:rPr>
          <w:rFonts w:ascii="Times New Roman" w:hAnsi="Times New Roman"/>
          <w:color w:val="000000" w:themeColor="text1"/>
          <w:sz w:val="16"/>
          <w:szCs w:val="16"/>
        </w:rPr>
        <w:softHyphen/>
        <w:t>провождение штурмовиков и бомбарди</w:t>
      </w:r>
      <w:r w:rsidRPr="00271E51">
        <w:rPr>
          <w:rFonts w:ascii="Times New Roman" w:hAnsi="Times New Roman"/>
          <w:color w:val="000000" w:themeColor="text1"/>
          <w:sz w:val="16"/>
          <w:szCs w:val="16"/>
        </w:rPr>
        <w:softHyphen/>
        <w:t>ровщиков, а также патрулирование над своими войсками в определенных зо</w:t>
      </w:r>
      <w:r w:rsidRPr="00271E51">
        <w:rPr>
          <w:rFonts w:ascii="Times New Roman" w:hAnsi="Times New Roman"/>
          <w:color w:val="000000" w:themeColor="text1"/>
          <w:sz w:val="16"/>
          <w:szCs w:val="16"/>
        </w:rPr>
        <w:softHyphen/>
        <w:t>нах и со сменой патрулей по времени. Другими словами, у советских летчиков были как бы "связаны руки" - привя</w:t>
      </w:r>
      <w:r w:rsidRPr="00271E51">
        <w:rPr>
          <w:rFonts w:ascii="Times New Roman" w:hAnsi="Times New Roman"/>
          <w:color w:val="000000" w:themeColor="text1"/>
          <w:sz w:val="16"/>
          <w:szCs w:val="16"/>
        </w:rPr>
        <w:softHyphen/>
        <w:t>занные к боевому порядку или к участку патрулирования они были вынуждены вести бои в основном оборонительного характера, изначально отдавая инициа</w:t>
      </w:r>
      <w:r w:rsidRPr="00271E51">
        <w:rPr>
          <w:rFonts w:ascii="Times New Roman" w:hAnsi="Times New Roman"/>
          <w:color w:val="000000" w:themeColor="text1"/>
          <w:sz w:val="16"/>
          <w:szCs w:val="16"/>
        </w:rPr>
        <w:softHyphen/>
        <w:t>тиву противнику.</w:t>
      </w:r>
    </w:p>
    <w:p w14:paraId="74169F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Кроме этого, действия советских ис</w:t>
      </w:r>
      <w:r w:rsidRPr="00271E51">
        <w:rPr>
          <w:rFonts w:ascii="Times New Roman" w:hAnsi="Times New Roman"/>
          <w:color w:val="000000" w:themeColor="text1"/>
          <w:sz w:val="16"/>
          <w:szCs w:val="16"/>
        </w:rPr>
        <w:softHyphen/>
        <w:t>требителей как во время патрулирова</w:t>
      </w:r>
      <w:r w:rsidRPr="00271E51">
        <w:rPr>
          <w:rFonts w:ascii="Times New Roman" w:hAnsi="Times New Roman"/>
          <w:color w:val="000000" w:themeColor="text1"/>
          <w:sz w:val="16"/>
          <w:szCs w:val="16"/>
        </w:rPr>
        <w:softHyphen/>
        <w:t>ния, так и при решении задачи сопро</w:t>
      </w:r>
      <w:r w:rsidRPr="00271E51">
        <w:rPr>
          <w:rFonts w:ascii="Times New Roman" w:hAnsi="Times New Roman"/>
          <w:color w:val="000000" w:themeColor="text1"/>
          <w:sz w:val="16"/>
          <w:szCs w:val="16"/>
        </w:rPr>
        <w:softHyphen/>
        <w:t>вождения штурмовиков и бомбардиров</w:t>
      </w:r>
      <w:r w:rsidRPr="00271E51">
        <w:rPr>
          <w:rFonts w:ascii="Times New Roman" w:hAnsi="Times New Roman"/>
          <w:color w:val="000000" w:themeColor="text1"/>
          <w:sz w:val="16"/>
          <w:szCs w:val="16"/>
        </w:rPr>
        <w:softHyphen/>
        <w:t>щиков были не всегда тактически гра</w:t>
      </w:r>
      <w:r w:rsidRPr="00271E51">
        <w:rPr>
          <w:rFonts w:ascii="Times New Roman" w:hAnsi="Times New Roman"/>
          <w:color w:val="000000" w:themeColor="text1"/>
          <w:sz w:val="16"/>
          <w:szCs w:val="16"/>
        </w:rPr>
        <w:softHyphen/>
        <w:t>мотными. Краснозвездные ястребки охотно ввязывались в воздушные бои с истребителями Люфтваффе, оставляя без прикрытия своих подопечных или без огневого воздействия бомбардировщики противника.</w:t>
      </w:r>
    </w:p>
    <w:p w14:paraId="22E20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Плохая организация оповещения о приближении немецких бомбардиров</w:t>
      </w:r>
      <w:r w:rsidRPr="00271E51">
        <w:rPr>
          <w:rFonts w:ascii="Times New Roman" w:hAnsi="Times New Roman"/>
          <w:color w:val="000000" w:themeColor="text1"/>
          <w:sz w:val="16"/>
          <w:szCs w:val="16"/>
        </w:rPr>
        <w:softHyphen/>
        <w:t>щиков вынуждало командование ВВС КА прикрывать войска непрерывным патру</w:t>
      </w:r>
      <w:r w:rsidRPr="00271E51">
        <w:rPr>
          <w:rFonts w:ascii="Times New Roman" w:hAnsi="Times New Roman"/>
          <w:color w:val="000000" w:themeColor="text1"/>
          <w:sz w:val="16"/>
          <w:szCs w:val="16"/>
        </w:rPr>
        <w:softHyphen/>
        <w:t>лированием в воздухе, что приводило к большому расходу сил. Группы патру</w:t>
      </w:r>
      <w:r w:rsidRPr="00271E51">
        <w:rPr>
          <w:rFonts w:ascii="Times New Roman" w:hAnsi="Times New Roman"/>
          <w:color w:val="000000" w:themeColor="text1"/>
          <w:sz w:val="16"/>
          <w:szCs w:val="16"/>
        </w:rPr>
        <w:softHyphen/>
        <w:t>лей практически не эшелонировались по высотам, дежурили, как правило, над сво</w:t>
      </w:r>
      <w:r w:rsidRPr="00271E51">
        <w:rPr>
          <w:rFonts w:ascii="Times New Roman" w:hAnsi="Times New Roman"/>
          <w:color w:val="000000" w:themeColor="text1"/>
          <w:sz w:val="16"/>
          <w:szCs w:val="16"/>
        </w:rPr>
        <w:softHyphen/>
        <w:t xml:space="preserve">ей территорией, а иногда совершенно </w:t>
      </w:r>
      <w:r w:rsidRPr="00271E51">
        <w:rPr>
          <w:rFonts w:ascii="Times New Roman" w:hAnsi="Times New Roman"/>
          <w:iCs/>
          <w:color w:val="000000" w:themeColor="text1"/>
          <w:sz w:val="16"/>
          <w:szCs w:val="16"/>
        </w:rPr>
        <w:t>"...не в тех зонах, где требовала обста</w:t>
      </w:r>
      <w:r w:rsidRPr="00271E51">
        <w:rPr>
          <w:rFonts w:ascii="Times New Roman" w:hAnsi="Times New Roman"/>
          <w:iCs/>
          <w:color w:val="000000" w:themeColor="text1"/>
          <w:sz w:val="16"/>
          <w:szCs w:val="16"/>
        </w:rPr>
        <w:softHyphen/>
        <w:t>новка, не искали противника, действова</w:t>
      </w:r>
      <w:r w:rsidRPr="00271E51">
        <w:rPr>
          <w:rFonts w:ascii="Times New Roman" w:hAnsi="Times New Roman"/>
          <w:iCs/>
          <w:color w:val="000000" w:themeColor="text1"/>
          <w:sz w:val="16"/>
          <w:szCs w:val="16"/>
        </w:rPr>
        <w:softHyphen/>
        <w:t>ли пассивно или попросту утюжили воз</w:t>
      </w:r>
      <w:r w:rsidRPr="00271E51">
        <w:rPr>
          <w:rFonts w:ascii="Times New Roman" w:hAnsi="Times New Roman"/>
          <w:iCs/>
          <w:color w:val="000000" w:themeColor="text1"/>
          <w:sz w:val="16"/>
          <w:szCs w:val="16"/>
        </w:rPr>
        <w:softHyphen/>
        <w:t>дух".</w:t>
      </w:r>
      <w:r w:rsidRPr="00271E51">
        <w:rPr>
          <w:rFonts w:ascii="Times New Roman" w:hAnsi="Times New Roman"/>
          <w:color w:val="000000" w:themeColor="text1"/>
          <w:sz w:val="16"/>
          <w:szCs w:val="16"/>
        </w:rPr>
        <w:t xml:space="preserve"> Очень часто, ввиду запаздывания очередной смены воздушных патрулей с приходом в зону патрулирования и ухода дежурной смены (из-за выработ</w:t>
      </w:r>
      <w:r w:rsidRPr="00271E51">
        <w:rPr>
          <w:rFonts w:ascii="Times New Roman" w:hAnsi="Times New Roman"/>
          <w:color w:val="000000" w:themeColor="text1"/>
          <w:sz w:val="16"/>
          <w:szCs w:val="16"/>
        </w:rPr>
        <w:softHyphen/>
        <w:t xml:space="preserve">ки горючего) на свои аэродромы, "...в </w:t>
      </w:r>
      <w:r w:rsidRPr="00271E51">
        <w:rPr>
          <w:rFonts w:ascii="Times New Roman" w:hAnsi="Times New Roman"/>
          <w:iCs/>
          <w:color w:val="000000" w:themeColor="text1"/>
          <w:sz w:val="16"/>
          <w:szCs w:val="16"/>
        </w:rPr>
        <w:t>прикрытии создавались разрывы, кото</w:t>
      </w:r>
      <w:r w:rsidRPr="00271E51">
        <w:rPr>
          <w:rFonts w:ascii="Times New Roman" w:hAnsi="Times New Roman"/>
          <w:iCs/>
          <w:color w:val="000000" w:themeColor="text1"/>
          <w:sz w:val="16"/>
          <w:szCs w:val="16"/>
        </w:rPr>
        <w:softHyphen/>
        <w:t>рые и использовались противником для бомбежки".</w:t>
      </w:r>
      <w:r w:rsidRPr="00271E51">
        <w:rPr>
          <w:rFonts w:ascii="Times New Roman" w:hAnsi="Times New Roman"/>
          <w:color w:val="000000" w:themeColor="text1"/>
          <w:sz w:val="16"/>
          <w:szCs w:val="16"/>
        </w:rPr>
        <w:t xml:space="preserve"> Более того, советские </w:t>
      </w:r>
      <w:r w:rsidRPr="00271E51">
        <w:rPr>
          <w:rFonts w:ascii="Times New Roman" w:hAnsi="Times New Roman"/>
          <w:iCs/>
          <w:color w:val="000000" w:themeColor="text1"/>
          <w:sz w:val="16"/>
          <w:szCs w:val="16"/>
        </w:rPr>
        <w:t>"...пат</w:t>
      </w:r>
      <w:r w:rsidRPr="00271E51">
        <w:rPr>
          <w:rFonts w:ascii="Times New Roman" w:hAnsi="Times New Roman"/>
          <w:iCs/>
          <w:color w:val="000000" w:themeColor="text1"/>
          <w:sz w:val="16"/>
          <w:szCs w:val="16"/>
        </w:rPr>
        <w:softHyphen/>
        <w:t>рули в 6-12 самолетов нередко оказы</w:t>
      </w:r>
      <w:r w:rsidRPr="00271E51">
        <w:rPr>
          <w:rFonts w:ascii="Times New Roman" w:hAnsi="Times New Roman"/>
          <w:iCs/>
          <w:color w:val="000000" w:themeColor="text1"/>
          <w:sz w:val="16"/>
          <w:szCs w:val="16"/>
        </w:rPr>
        <w:softHyphen/>
        <w:t>вались недостаточными для серьезного противодействия крупным группам бом</w:t>
      </w:r>
      <w:r w:rsidRPr="00271E51">
        <w:rPr>
          <w:rFonts w:ascii="Times New Roman" w:hAnsi="Times New Roman"/>
          <w:iCs/>
          <w:color w:val="000000" w:themeColor="text1"/>
          <w:sz w:val="16"/>
          <w:szCs w:val="16"/>
        </w:rPr>
        <w:softHyphen/>
        <w:t>бардировщиков, приходившим под силь</w:t>
      </w:r>
      <w:r w:rsidRPr="00271E51">
        <w:rPr>
          <w:rFonts w:ascii="Times New Roman" w:hAnsi="Times New Roman"/>
          <w:iCs/>
          <w:color w:val="000000" w:themeColor="text1"/>
          <w:sz w:val="16"/>
          <w:szCs w:val="16"/>
        </w:rPr>
        <w:softHyphen/>
        <w:t>ным истребительным прикрытием, так как связывались воздушным боем, а под</w:t>
      </w:r>
      <w:r w:rsidRPr="00271E51">
        <w:rPr>
          <w:rFonts w:ascii="Times New Roman" w:hAnsi="Times New Roman"/>
          <w:iCs/>
          <w:color w:val="000000" w:themeColor="text1"/>
          <w:sz w:val="16"/>
          <w:szCs w:val="16"/>
        </w:rPr>
        <w:softHyphen/>
        <w:t>крепление в этих случаях запаздывало и приходило на поле боя к шапочному разбору, когда бомбардировщики про</w:t>
      </w:r>
      <w:r w:rsidRPr="00271E51">
        <w:rPr>
          <w:rFonts w:ascii="Times New Roman" w:hAnsi="Times New Roman"/>
          <w:iCs/>
          <w:color w:val="000000" w:themeColor="text1"/>
          <w:sz w:val="16"/>
          <w:szCs w:val="16"/>
        </w:rPr>
        <w:softHyphen/>
        <w:t>тивника уже уходили на свою террито</w:t>
      </w:r>
      <w:r w:rsidRPr="00271E51">
        <w:rPr>
          <w:rFonts w:ascii="Times New Roman" w:hAnsi="Times New Roman"/>
          <w:iCs/>
          <w:color w:val="000000" w:themeColor="text1"/>
          <w:sz w:val="16"/>
          <w:szCs w:val="16"/>
        </w:rPr>
        <w:softHyphen/>
        <w:t>рию".</w:t>
      </w:r>
    </w:p>
    <w:p w14:paraId="53BE96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недостатки позволяли не</w:t>
      </w:r>
      <w:r w:rsidRPr="00271E51">
        <w:rPr>
          <w:rFonts w:ascii="Times New Roman" w:hAnsi="Times New Roman"/>
          <w:color w:val="000000" w:themeColor="text1"/>
          <w:sz w:val="16"/>
          <w:szCs w:val="16"/>
        </w:rPr>
        <w:softHyphen/>
        <w:t>мецким бомбардировщикам безнаказан</w:t>
      </w:r>
      <w:r w:rsidRPr="00271E51">
        <w:rPr>
          <w:rFonts w:ascii="Times New Roman" w:hAnsi="Times New Roman"/>
          <w:color w:val="000000" w:themeColor="text1"/>
          <w:sz w:val="16"/>
          <w:szCs w:val="16"/>
        </w:rPr>
        <w:softHyphen/>
        <w:t xml:space="preserve">но отбомбиться по советским войскам, что </w:t>
      </w:r>
      <w:r w:rsidRPr="00271E51">
        <w:rPr>
          <w:rFonts w:ascii="Times New Roman" w:hAnsi="Times New Roman"/>
          <w:iCs/>
          <w:color w:val="000000" w:themeColor="text1"/>
          <w:sz w:val="16"/>
          <w:szCs w:val="16"/>
        </w:rPr>
        <w:t>"...вызывало справедливые нарека</w:t>
      </w:r>
      <w:r w:rsidRPr="00271E51">
        <w:rPr>
          <w:rFonts w:ascii="Times New Roman" w:hAnsi="Times New Roman"/>
          <w:iCs/>
          <w:color w:val="000000" w:themeColor="text1"/>
          <w:sz w:val="16"/>
          <w:szCs w:val="16"/>
        </w:rPr>
        <w:softHyphen/>
        <w:t>ния со стороны наземного командова</w:t>
      </w:r>
      <w:r w:rsidRPr="00271E51">
        <w:rPr>
          <w:rFonts w:ascii="Times New Roman" w:hAnsi="Times New Roman"/>
          <w:iCs/>
          <w:color w:val="000000" w:themeColor="text1"/>
          <w:sz w:val="16"/>
          <w:szCs w:val="16"/>
        </w:rPr>
        <w:softHyphen/>
        <w:t>ния на плохую работу нашей авиации".</w:t>
      </w:r>
    </w:p>
    <w:p w14:paraId="51993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истребительной авиаци</w:t>
      </w:r>
      <w:r w:rsidRPr="00271E51">
        <w:rPr>
          <w:rFonts w:ascii="Times New Roman" w:hAnsi="Times New Roman"/>
          <w:color w:val="000000" w:themeColor="text1"/>
          <w:sz w:val="16"/>
          <w:szCs w:val="16"/>
        </w:rPr>
        <w:softHyphen/>
        <w:t>ей Красной Армии в воздухе было орга</w:t>
      </w:r>
      <w:r w:rsidRPr="00271E51">
        <w:rPr>
          <w:rFonts w:ascii="Times New Roman" w:hAnsi="Times New Roman"/>
          <w:color w:val="000000" w:themeColor="text1"/>
          <w:sz w:val="16"/>
          <w:szCs w:val="16"/>
        </w:rPr>
        <w:softHyphen/>
        <w:t>низовано также крайне неудовлетво</w:t>
      </w:r>
      <w:r w:rsidRPr="00271E51">
        <w:rPr>
          <w:rFonts w:ascii="Times New Roman" w:hAnsi="Times New Roman"/>
          <w:color w:val="000000" w:themeColor="text1"/>
          <w:sz w:val="16"/>
          <w:szCs w:val="16"/>
        </w:rPr>
        <w:softHyphen/>
        <w:t>рительно: радиостанции наведения были установлены на большом удале</w:t>
      </w:r>
      <w:r w:rsidRPr="00271E51">
        <w:rPr>
          <w:rFonts w:ascii="Times New Roman" w:hAnsi="Times New Roman"/>
          <w:color w:val="000000" w:themeColor="text1"/>
          <w:sz w:val="16"/>
          <w:szCs w:val="16"/>
        </w:rPr>
        <w:softHyphen/>
        <w:t>нии от линии боевого соприкосновения, а находящиеся на них командиры, к со</w:t>
      </w:r>
      <w:r w:rsidRPr="00271E51">
        <w:rPr>
          <w:rFonts w:ascii="Times New Roman" w:hAnsi="Times New Roman"/>
          <w:color w:val="000000" w:themeColor="text1"/>
          <w:sz w:val="16"/>
          <w:szCs w:val="16"/>
        </w:rPr>
        <w:softHyphen/>
        <w:t>жалению, не могли правильно оценивать воздушную обстановку, анализировать тактику немецкой авиации, наращивать силы и управлять истребителями непос</w:t>
      </w:r>
      <w:r w:rsidRPr="00271E51">
        <w:rPr>
          <w:rFonts w:ascii="Times New Roman" w:hAnsi="Times New Roman"/>
          <w:color w:val="000000" w:themeColor="text1"/>
          <w:sz w:val="16"/>
          <w:szCs w:val="16"/>
        </w:rPr>
        <w:softHyphen/>
        <w:t>редственно в ходе воздушного боя. Командиры же авиационных корпусов и дивизий, находясь далеко от районов боевых действий, не стремились лично управлять своей авиацией с земли и не добивались от нижестоящих командиров быстрой и правдивой информации о воздушной обстановке над полем боя, вследствие чего, по сути, не являлись подлинными органами управления (6467).</w:t>
      </w:r>
    </w:p>
    <w:p w14:paraId="7E3C0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F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июля 1943 три группы Ил-2 175-го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17-й ВА по 6 машин в каждой, вы</w:t>
      </w:r>
      <w:r w:rsidRPr="00271E51">
        <w:rPr>
          <w:rFonts w:ascii="Times New Roman" w:hAnsi="Times New Roman"/>
          <w:color w:val="000000" w:themeColor="text1"/>
          <w:sz w:val="16"/>
          <w:szCs w:val="16"/>
        </w:rPr>
        <w:softHyphen/>
        <w:t>полняя боевую задачу по уничтожению переправы через реку Сев. Донец в рай</w:t>
      </w:r>
      <w:r w:rsidRPr="00271E51">
        <w:rPr>
          <w:rFonts w:ascii="Times New Roman" w:hAnsi="Times New Roman"/>
          <w:color w:val="000000" w:themeColor="text1"/>
          <w:sz w:val="16"/>
          <w:szCs w:val="16"/>
        </w:rPr>
        <w:softHyphen/>
        <w:t>оне Соломине, на подходе к цели были встречены истребительным заслоном из 16 Bf 109 и сильным огнем МЗА, кото</w:t>
      </w:r>
      <w:r w:rsidRPr="00271E51">
        <w:rPr>
          <w:rFonts w:ascii="Times New Roman" w:hAnsi="Times New Roman"/>
          <w:color w:val="000000" w:themeColor="text1"/>
          <w:sz w:val="16"/>
          <w:szCs w:val="16"/>
        </w:rPr>
        <w:softHyphen/>
        <w:t>рые не позволили прицельно отбомбить</w:t>
      </w:r>
      <w:r w:rsidRPr="00271E51">
        <w:rPr>
          <w:rFonts w:ascii="Times New Roman" w:hAnsi="Times New Roman"/>
          <w:color w:val="000000" w:themeColor="text1"/>
          <w:sz w:val="16"/>
          <w:szCs w:val="16"/>
        </w:rPr>
        <w:softHyphen/>
        <w:t>ся. Бомбы, сброшенные на выходе из планирования, легли рядом с перепра</w:t>
      </w:r>
      <w:r w:rsidRPr="00271E51">
        <w:rPr>
          <w:rFonts w:ascii="Times New Roman" w:hAnsi="Times New Roman"/>
          <w:color w:val="000000" w:themeColor="text1"/>
          <w:sz w:val="16"/>
          <w:szCs w:val="16"/>
        </w:rPr>
        <w:softHyphen/>
        <w:t>вой и вреда ей не нанесли.</w:t>
      </w:r>
    </w:p>
    <w:p w14:paraId="4C7E6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атаки огнем МЗА был под</w:t>
      </w:r>
      <w:r w:rsidRPr="00271E51">
        <w:rPr>
          <w:rFonts w:ascii="Times New Roman" w:hAnsi="Times New Roman"/>
          <w:color w:val="000000" w:themeColor="text1"/>
          <w:sz w:val="16"/>
          <w:szCs w:val="16"/>
        </w:rPr>
        <w:softHyphen/>
        <w:t>бит и загорелся Ил-2 ведущего первой группы к-на А.П.Долгова (воздушный стрелок нач. связи полка ст. л-т П.К.Песиголовец). Объятая пламенем машина упала на скопление немецких автома</w:t>
      </w:r>
      <w:r w:rsidRPr="00271E51">
        <w:rPr>
          <w:rFonts w:ascii="Times New Roman" w:hAnsi="Times New Roman"/>
          <w:color w:val="000000" w:themeColor="text1"/>
          <w:sz w:val="16"/>
          <w:szCs w:val="16"/>
        </w:rPr>
        <w:softHyphen/>
        <w:t>шин в селе Бессоновка.</w:t>
      </w:r>
    </w:p>
    <w:p w14:paraId="277C8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Оставшиеся Ил-2 на выходе из атаки были атакованы "мессершмиттами", ко</w:t>
      </w:r>
      <w:r w:rsidRPr="00271E51">
        <w:rPr>
          <w:rFonts w:ascii="Times New Roman" w:hAnsi="Times New Roman"/>
          <w:color w:val="000000" w:themeColor="text1"/>
          <w:sz w:val="16"/>
          <w:szCs w:val="16"/>
        </w:rPr>
        <w:softHyphen/>
        <w:t xml:space="preserve">торым удалось отсечь от штурмовиков истребители прикрытия из 116-го </w:t>
      </w:r>
      <w:r w:rsidRPr="00271E51">
        <w:rPr>
          <w:rFonts w:ascii="Times New Roman" w:hAnsi="Times New Roman"/>
          <w:iCs/>
          <w:color w:val="000000" w:themeColor="text1"/>
          <w:sz w:val="16"/>
          <w:szCs w:val="16"/>
        </w:rPr>
        <w:t xml:space="preserve">иап. </w:t>
      </w:r>
      <w:r w:rsidRPr="00271E51">
        <w:rPr>
          <w:rFonts w:ascii="Times New Roman" w:hAnsi="Times New Roman"/>
          <w:color w:val="000000" w:themeColor="text1"/>
          <w:sz w:val="16"/>
          <w:szCs w:val="16"/>
        </w:rPr>
        <w:t>В последовавшем исключительно тяже</w:t>
      </w:r>
      <w:r w:rsidRPr="00271E51">
        <w:rPr>
          <w:rFonts w:ascii="Times New Roman" w:hAnsi="Times New Roman"/>
          <w:color w:val="000000" w:themeColor="text1"/>
          <w:sz w:val="16"/>
          <w:szCs w:val="16"/>
        </w:rPr>
        <w:softHyphen/>
        <w:t>лом воздушном бою были сбиты и по</w:t>
      </w:r>
      <w:r w:rsidRPr="00271E51">
        <w:rPr>
          <w:rFonts w:ascii="Times New Roman" w:hAnsi="Times New Roman"/>
          <w:color w:val="000000" w:themeColor="text1"/>
          <w:sz w:val="16"/>
          <w:szCs w:val="16"/>
        </w:rPr>
        <w:softHyphen/>
        <w:t>гибли: мл. л-т А.В.Шелегов (воздушный стрелок мл. с-т И.Ф.Майоров), комзвена л-т Н.Е.Золотухин (воздушный стре</w:t>
      </w:r>
      <w:r w:rsidRPr="00271E51">
        <w:rPr>
          <w:rFonts w:ascii="Times New Roman" w:hAnsi="Times New Roman"/>
          <w:color w:val="000000" w:themeColor="text1"/>
          <w:sz w:val="16"/>
          <w:szCs w:val="16"/>
        </w:rPr>
        <w:softHyphen/>
        <w:t>лок мл. с-т П.Т.Подывайло), мл. л-т Н.И. Ранеев (воздушный стрелок ст. с-т М.3.Сивков), мл. л-т В.В.Стадухин (воз</w:t>
      </w:r>
      <w:r w:rsidRPr="00271E51">
        <w:rPr>
          <w:rFonts w:ascii="Times New Roman" w:hAnsi="Times New Roman"/>
          <w:color w:val="000000" w:themeColor="text1"/>
          <w:sz w:val="16"/>
          <w:szCs w:val="16"/>
        </w:rPr>
        <w:softHyphen/>
        <w:t>душный стрелок с-т Б.М.Иванов), мл. л-т Т.Т.Марьянченко (воздушный стрелок мл. с-т Н.М.Маров), летчик ст. с-т А.В. Игнатьев (воздушный стрелок мл. с-т М.В.Колесников), летчик с-т В.Я.Голубев. Таким образом, 175-й штурмовой авиаполк за один боевой вылет потерял 9 Ил-2, 8 летчиков и 7 воздушных стрел</w:t>
      </w:r>
      <w:r w:rsidRPr="00271E51">
        <w:rPr>
          <w:rFonts w:ascii="Times New Roman" w:hAnsi="Times New Roman"/>
          <w:color w:val="000000" w:themeColor="text1"/>
          <w:sz w:val="16"/>
          <w:szCs w:val="16"/>
        </w:rPr>
        <w:softHyphen/>
        <w:t>ков.</w:t>
      </w:r>
    </w:p>
    <w:p w14:paraId="709E1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Экипажам 955-го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17-й ВА повез</w:t>
      </w:r>
      <w:r w:rsidRPr="00271E51">
        <w:rPr>
          <w:rFonts w:ascii="Times New Roman" w:hAnsi="Times New Roman"/>
          <w:color w:val="000000" w:themeColor="text1"/>
          <w:sz w:val="16"/>
          <w:szCs w:val="16"/>
        </w:rPr>
        <w:softHyphen/>
        <w:t>ло больше. При атаке переправы в рай</w:t>
      </w:r>
      <w:r w:rsidRPr="00271E51">
        <w:rPr>
          <w:rFonts w:ascii="Times New Roman" w:hAnsi="Times New Roman"/>
          <w:color w:val="000000" w:themeColor="text1"/>
          <w:sz w:val="16"/>
          <w:szCs w:val="16"/>
        </w:rPr>
        <w:softHyphen/>
        <w:t>оне Безлюдовка, несмотря на ураганный огонь МЗА и сильные атаки истребитель</w:t>
      </w:r>
      <w:r w:rsidRPr="00271E51">
        <w:rPr>
          <w:rFonts w:ascii="Times New Roman" w:hAnsi="Times New Roman"/>
          <w:color w:val="000000" w:themeColor="text1"/>
          <w:sz w:val="16"/>
          <w:szCs w:val="16"/>
        </w:rPr>
        <w:softHyphen/>
        <w:t>ной авиации, было потеряно только 2 "Ила" (экипажи живы) из 18. Однако и атака штурмовиков цели не достигла -сброшенные на выходе из пикирования бомбы в переправу не попали. Наблю</w:t>
      </w:r>
      <w:r w:rsidRPr="00271E51">
        <w:rPr>
          <w:rFonts w:ascii="Times New Roman" w:hAnsi="Times New Roman"/>
          <w:color w:val="000000" w:themeColor="text1"/>
          <w:sz w:val="16"/>
          <w:szCs w:val="16"/>
        </w:rPr>
        <w:softHyphen/>
        <w:t>дались лишь три сильных взрыва вбли</w:t>
      </w:r>
      <w:r w:rsidRPr="00271E51">
        <w:rPr>
          <w:rFonts w:ascii="Times New Roman" w:hAnsi="Times New Roman"/>
          <w:color w:val="000000" w:themeColor="text1"/>
          <w:sz w:val="16"/>
          <w:szCs w:val="16"/>
        </w:rPr>
        <w:softHyphen/>
        <w:t>зи переправы в месте скопления немец</w:t>
      </w:r>
      <w:r w:rsidRPr="00271E51">
        <w:rPr>
          <w:rFonts w:ascii="Times New Roman" w:hAnsi="Times New Roman"/>
          <w:color w:val="000000" w:themeColor="text1"/>
          <w:sz w:val="16"/>
          <w:szCs w:val="16"/>
        </w:rPr>
        <w:softHyphen/>
        <w:t xml:space="preserve">кой техники. В воздушном бою "Лавочкины" прикрытия из 104-го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"завали</w:t>
      </w:r>
      <w:r w:rsidRPr="00271E51">
        <w:rPr>
          <w:rFonts w:ascii="Times New Roman" w:hAnsi="Times New Roman"/>
          <w:color w:val="000000" w:themeColor="text1"/>
          <w:sz w:val="16"/>
          <w:szCs w:val="16"/>
        </w:rPr>
        <w:softHyphen/>
        <w:t>ли" один Bf109, который упал у Безлюдовки (6467).</w:t>
      </w:r>
    </w:p>
    <w:p w14:paraId="7CA42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03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тяжелый бой выдержала се</w:t>
      </w:r>
      <w:r w:rsidRPr="00271E51">
        <w:rPr>
          <w:rFonts w:ascii="Times New Roman" w:hAnsi="Times New Roman"/>
          <w:color w:val="000000" w:themeColor="text1"/>
          <w:sz w:val="16"/>
          <w:szCs w:val="16"/>
        </w:rPr>
        <w:softHyphen/>
        <w:t xml:space="preserve">мерка Ил-2 (ведущий ст. л-т Смирнов) 431 -го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15-й воздушной армии в рай</w:t>
      </w:r>
      <w:r w:rsidRPr="00271E51">
        <w:rPr>
          <w:rFonts w:ascii="Times New Roman" w:hAnsi="Times New Roman"/>
          <w:color w:val="000000" w:themeColor="text1"/>
          <w:sz w:val="16"/>
          <w:szCs w:val="16"/>
        </w:rPr>
        <w:softHyphen/>
        <w:t>оне южнее ст. Поныри. На втором захо</w:t>
      </w:r>
      <w:r w:rsidRPr="00271E51">
        <w:rPr>
          <w:rFonts w:ascii="Times New Roman" w:hAnsi="Times New Roman"/>
          <w:color w:val="000000" w:themeColor="text1"/>
          <w:sz w:val="16"/>
          <w:szCs w:val="16"/>
        </w:rPr>
        <w:softHyphen/>
        <w:t>де на цель штурмовики на высоте 400 м были атакованы 8 Fw190. Истребители прикрытия (7 Ла-5), находясь на высоте 650 м и в стороне от цели, не успевали отсечь противника. Группа Ил-2, а это были опытные бойцы, перестроилась в оборонительный круг, но одному "фоккеру" удалось в первой же атаке нанес</w:t>
      </w:r>
      <w:r w:rsidRPr="00271E51">
        <w:rPr>
          <w:rFonts w:ascii="Times New Roman" w:hAnsi="Times New Roman"/>
          <w:color w:val="000000" w:themeColor="text1"/>
          <w:sz w:val="16"/>
          <w:szCs w:val="16"/>
        </w:rPr>
        <w:softHyphen/>
        <w:t>ти повреждения замыкающему "Илу" ст. л-та Опарникова. Несмотря на ранения, Опарников не вышел из круга, а его воз</w:t>
      </w:r>
      <w:r w:rsidRPr="00271E51">
        <w:rPr>
          <w:rFonts w:ascii="Times New Roman" w:hAnsi="Times New Roman"/>
          <w:color w:val="000000" w:themeColor="text1"/>
          <w:sz w:val="16"/>
          <w:szCs w:val="16"/>
        </w:rPr>
        <w:softHyphen/>
        <w:t>душный стрелок сбил один Fw190. Лей</w:t>
      </w:r>
      <w:r w:rsidRPr="00271E51">
        <w:rPr>
          <w:rFonts w:ascii="Times New Roman" w:hAnsi="Times New Roman"/>
          <w:color w:val="000000" w:themeColor="text1"/>
          <w:sz w:val="16"/>
          <w:szCs w:val="16"/>
        </w:rPr>
        <w:softHyphen/>
        <w:t>тенант Пчелинцев, отбивая вторую атаку на самолет Опарникова, подбил еще один "фокке-вульф". Пчелинцев пресле</w:t>
      </w:r>
      <w:r w:rsidRPr="00271E51">
        <w:rPr>
          <w:rFonts w:ascii="Times New Roman" w:hAnsi="Times New Roman"/>
          <w:color w:val="000000" w:themeColor="text1"/>
          <w:sz w:val="16"/>
          <w:szCs w:val="16"/>
        </w:rPr>
        <w:softHyphen/>
        <w:t>довал его и добил, но сам был атакован парой Fw190 и получил ранения. Подо</w:t>
      </w:r>
      <w:r w:rsidRPr="00271E51">
        <w:rPr>
          <w:rFonts w:ascii="Times New Roman" w:hAnsi="Times New Roman"/>
          <w:color w:val="000000" w:themeColor="text1"/>
          <w:sz w:val="16"/>
          <w:szCs w:val="16"/>
        </w:rPr>
        <w:softHyphen/>
        <w:t>спевшие "лавочкины" прикрытия надеж</w:t>
      </w:r>
      <w:r w:rsidRPr="00271E51">
        <w:rPr>
          <w:rFonts w:ascii="Times New Roman" w:hAnsi="Times New Roman"/>
          <w:color w:val="000000" w:themeColor="text1"/>
          <w:sz w:val="16"/>
          <w:szCs w:val="16"/>
        </w:rPr>
        <w:softHyphen/>
        <w:t>но защитили своих подопечных...(6467).</w:t>
      </w:r>
    </w:p>
    <w:p w14:paraId="400A2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52F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июля 1943 266-я, 292-я и 291 -я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2-й ВА в воз</w:t>
      </w:r>
      <w:r w:rsidRPr="00271E51">
        <w:rPr>
          <w:rFonts w:ascii="Times New Roman" w:hAnsi="Times New Roman"/>
          <w:color w:val="000000" w:themeColor="text1"/>
          <w:sz w:val="16"/>
          <w:szCs w:val="16"/>
        </w:rPr>
        <w:softHyphen/>
        <w:t>душных боях с немецкими истребите</w:t>
      </w:r>
      <w:r w:rsidRPr="00271E51">
        <w:rPr>
          <w:rFonts w:ascii="Times New Roman" w:hAnsi="Times New Roman"/>
          <w:color w:val="000000" w:themeColor="text1"/>
          <w:sz w:val="16"/>
          <w:szCs w:val="16"/>
        </w:rPr>
        <w:softHyphen/>
        <w:t>лями потеряли 27 самолетов Ил-2, И это при том, что интенсивность бо</w:t>
      </w:r>
      <w:r w:rsidRPr="00271E51">
        <w:rPr>
          <w:rFonts w:ascii="Times New Roman" w:hAnsi="Times New Roman"/>
          <w:color w:val="000000" w:themeColor="text1"/>
          <w:sz w:val="16"/>
          <w:szCs w:val="16"/>
        </w:rPr>
        <w:softHyphen/>
        <w:t>евых вылетов штурмовиков в этот день была менее одного самолето-вылета на каждый исправный "Ил" (6467).</w:t>
      </w:r>
    </w:p>
    <w:p w14:paraId="3C0F8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160FF" w14:textId="77777777" w:rsidR="00171372" w:rsidRPr="00271E51" w:rsidRDefault="00171372" w:rsidP="00271E51">
      <w:pPr>
        <w:spacing w:after="0" w:line="240" w:lineRule="auto"/>
        <w:jc w:val="both"/>
        <w:rPr>
          <w:rFonts w:ascii="Times New Roman" w:hAnsi="Times New Roman"/>
          <w:sz w:val="16"/>
          <w:szCs w:val="16"/>
        </w:rPr>
      </w:pPr>
      <w:r w:rsidRPr="00271E51">
        <w:rPr>
          <w:rFonts w:ascii="Times New Roman" w:hAnsi="Times New Roman"/>
          <w:sz w:val="16"/>
          <w:szCs w:val="16"/>
        </w:rPr>
        <w:t>5 июля 1943 г. Но сквозь зенитный огонь я прошел и после того, как я отбомбился, из нашей группы уже никого не видел. Меня атаковал МЕ-109 и с первого захода сразу вывел из строя стрелка-радиста. Он ему перебил на руках пальцы. Стрелок-радист не успел сделать даже ни одной очереди. А ты, вероятно, помнишь, Что на моем самолете на турели стрелка-радиста стояла пушка «ШВАК». МЕ-109 сделал еще три атаки сбоку, со стороны солнца и пробил мне бензобак. У меня кончилось горючее и я сел прямо «живот» (фюзеляж) перед линией фронта. Сбил меня МЕ-109 с хвостовым номером «9». Фонарь заклинило, и я вылез в форточку. Они были выбиты во время атак. Ну а дальше моя судьба тебе, вероятно, известна. Мы сидели в тюрьме в Харькове на Холодной горе с Кралиным и его стрелком (Мемуар: Соболев Н.А. "Отважные сыны отчизны", летал в 237 ШАП) (23198).</w:t>
      </w:r>
    </w:p>
    <w:p w14:paraId="79B2D593" w14:textId="77777777" w:rsidR="00171372" w:rsidRPr="00271E51" w:rsidRDefault="00171372" w:rsidP="00271E51">
      <w:pPr>
        <w:spacing w:after="0" w:line="240" w:lineRule="auto"/>
        <w:jc w:val="both"/>
        <w:rPr>
          <w:rFonts w:ascii="Times New Roman" w:hAnsi="Times New Roman"/>
          <w:color w:val="0070C0"/>
          <w:sz w:val="16"/>
          <w:szCs w:val="16"/>
        </w:rPr>
      </w:pPr>
    </w:p>
    <w:p w14:paraId="3BA39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г., в первый же день сражения на Курс</w:t>
      </w:r>
      <w:r w:rsidRPr="00271E51">
        <w:rPr>
          <w:rFonts w:ascii="Times New Roman" w:hAnsi="Times New Roman"/>
          <w:color w:val="000000" w:themeColor="text1"/>
          <w:sz w:val="16"/>
          <w:szCs w:val="16"/>
        </w:rPr>
        <w:softHyphen/>
        <w:t>кой дуге, ВВС Красной Армии впервые применили противотан</w:t>
      </w:r>
      <w:r w:rsidRPr="00271E51">
        <w:rPr>
          <w:rFonts w:ascii="Times New Roman" w:hAnsi="Times New Roman"/>
          <w:color w:val="000000" w:themeColor="text1"/>
          <w:sz w:val="16"/>
          <w:szCs w:val="16"/>
        </w:rPr>
        <w:softHyphen/>
        <w:t>ковые авиабомбы кумулятивного дей</w:t>
      </w:r>
      <w:r w:rsidRPr="00271E51">
        <w:rPr>
          <w:rFonts w:ascii="Times New Roman" w:hAnsi="Times New Roman"/>
          <w:color w:val="000000" w:themeColor="text1"/>
          <w:sz w:val="16"/>
          <w:szCs w:val="16"/>
        </w:rPr>
        <w:softHyphen/>
        <w:t>ствия ПТАБ-2,5-1,5. Первыми новые авиабомбы опробовали летчики 2-й гвардейской и 299-й штурмовых авиа</w:t>
      </w:r>
      <w:r w:rsidRPr="00271E51">
        <w:rPr>
          <w:rFonts w:ascii="Times New Roman" w:hAnsi="Times New Roman"/>
          <w:color w:val="000000" w:themeColor="text1"/>
          <w:sz w:val="16"/>
          <w:szCs w:val="16"/>
        </w:rPr>
        <w:softHyphen/>
        <w:t>дивизий 16-й ВА, действуя против не</w:t>
      </w:r>
      <w:r w:rsidRPr="00271E51">
        <w:rPr>
          <w:rFonts w:ascii="Times New Roman" w:hAnsi="Times New Roman"/>
          <w:color w:val="000000" w:themeColor="text1"/>
          <w:sz w:val="16"/>
          <w:szCs w:val="16"/>
        </w:rPr>
        <w:softHyphen/>
        <w:t>мецких танков на участке ст. Малоархангельск, Ясная Поляна. Здесь танки и мотопехота противника провели в тече</w:t>
      </w:r>
      <w:r w:rsidRPr="00271E51">
        <w:rPr>
          <w:rFonts w:ascii="Times New Roman" w:hAnsi="Times New Roman"/>
          <w:color w:val="000000" w:themeColor="text1"/>
          <w:sz w:val="16"/>
          <w:szCs w:val="16"/>
        </w:rPr>
        <w:softHyphen/>
        <w:t>ние дня до 10 атак.</w:t>
      </w:r>
    </w:p>
    <w:p w14:paraId="0DC21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Массовое применение ПТАБ имело ошеломляющий эффект тактической неожиданности и оказало сильное мо</w:t>
      </w:r>
      <w:r w:rsidRPr="00271E51">
        <w:rPr>
          <w:rFonts w:ascii="Times New Roman" w:hAnsi="Times New Roman"/>
          <w:color w:val="000000" w:themeColor="text1"/>
          <w:sz w:val="16"/>
          <w:szCs w:val="16"/>
        </w:rPr>
        <w:softHyphen/>
        <w:t>ральное воздействие на противника. Немецкие танкисты, впрочем, как и со</w:t>
      </w:r>
      <w:r w:rsidRPr="00271E51">
        <w:rPr>
          <w:rFonts w:ascii="Times New Roman" w:hAnsi="Times New Roman"/>
          <w:color w:val="000000" w:themeColor="text1"/>
          <w:sz w:val="16"/>
          <w:szCs w:val="16"/>
        </w:rPr>
        <w:softHyphen/>
        <w:t>ветские, к третьему году войны уже при</w:t>
      </w:r>
      <w:r w:rsidRPr="00271E51">
        <w:rPr>
          <w:rFonts w:ascii="Times New Roman" w:hAnsi="Times New Roman"/>
          <w:color w:val="000000" w:themeColor="text1"/>
          <w:sz w:val="16"/>
          <w:szCs w:val="16"/>
        </w:rPr>
        <w:softHyphen/>
        <w:t>выкли к относительно низкой эффектив</w:t>
      </w:r>
      <w:r w:rsidRPr="00271E51">
        <w:rPr>
          <w:rFonts w:ascii="Times New Roman" w:hAnsi="Times New Roman"/>
          <w:color w:val="000000" w:themeColor="text1"/>
          <w:sz w:val="16"/>
          <w:szCs w:val="16"/>
        </w:rPr>
        <w:softHyphen/>
        <w:t>ности бомбоштурмовых ударов авиации. Поэтому на первых порах сражения нем</w:t>
      </w:r>
      <w:r w:rsidRPr="00271E51">
        <w:rPr>
          <w:rFonts w:ascii="Times New Roman" w:hAnsi="Times New Roman"/>
          <w:color w:val="000000" w:themeColor="text1"/>
          <w:sz w:val="16"/>
          <w:szCs w:val="16"/>
        </w:rPr>
        <w:softHyphen/>
        <w:t>цы совершенно не применяли рассре</w:t>
      </w:r>
      <w:r w:rsidRPr="00271E51">
        <w:rPr>
          <w:rFonts w:ascii="Times New Roman" w:hAnsi="Times New Roman"/>
          <w:color w:val="000000" w:themeColor="text1"/>
          <w:sz w:val="16"/>
          <w:szCs w:val="16"/>
        </w:rPr>
        <w:softHyphen/>
        <w:t>доточенные походные и предбоевые порядки, то есть на маршрутах движе</w:t>
      </w:r>
      <w:r w:rsidRPr="00271E51">
        <w:rPr>
          <w:rFonts w:ascii="Times New Roman" w:hAnsi="Times New Roman"/>
          <w:color w:val="000000" w:themeColor="text1"/>
          <w:sz w:val="16"/>
          <w:szCs w:val="16"/>
        </w:rPr>
        <w:softHyphen/>
        <w:t>ния в составе колонн, в местах сосредо</w:t>
      </w:r>
      <w:r w:rsidRPr="00271E51">
        <w:rPr>
          <w:rFonts w:ascii="Times New Roman" w:hAnsi="Times New Roman"/>
          <w:color w:val="000000" w:themeColor="text1"/>
          <w:sz w:val="16"/>
          <w:szCs w:val="16"/>
        </w:rPr>
        <w:softHyphen/>
        <w:t>точения и на исходных позициях, за что и были жестоко наказаны - полоса разлета ПТАБ перекрывала 2-3 танка, уда</w:t>
      </w:r>
      <w:r w:rsidRPr="00271E51">
        <w:rPr>
          <w:rFonts w:ascii="Times New Roman" w:hAnsi="Times New Roman"/>
          <w:color w:val="000000" w:themeColor="text1"/>
          <w:sz w:val="16"/>
          <w:szCs w:val="16"/>
        </w:rPr>
        <w:softHyphen/>
        <w:t>ленных один от другого на 60-75 м, вследствие чего последние несли ощу</w:t>
      </w:r>
      <w:r w:rsidRPr="00271E51">
        <w:rPr>
          <w:rFonts w:ascii="Times New Roman" w:hAnsi="Times New Roman"/>
          <w:color w:val="000000" w:themeColor="text1"/>
          <w:sz w:val="16"/>
          <w:szCs w:val="16"/>
        </w:rPr>
        <w:softHyphen/>
        <w:t>тимые потери, даже в условиях отсутствия массированного применения Ил-2.</w:t>
      </w:r>
    </w:p>
    <w:p w14:paraId="6AF32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Бывший начальник штаба 48-го гер</w:t>
      </w:r>
      <w:r w:rsidRPr="00271E51">
        <w:rPr>
          <w:rFonts w:ascii="Times New Roman" w:hAnsi="Times New Roman"/>
          <w:color w:val="000000" w:themeColor="text1"/>
          <w:sz w:val="16"/>
          <w:szCs w:val="16"/>
        </w:rPr>
        <w:softHyphen/>
        <w:t xml:space="preserve">манского танкового корпуса генерал Ф.Меллентин впоследствии запишет: </w:t>
      </w:r>
      <w:r w:rsidRPr="00271E51">
        <w:rPr>
          <w:rFonts w:ascii="Times New Roman" w:hAnsi="Times New Roman"/>
          <w:iCs/>
          <w:color w:val="000000" w:themeColor="text1"/>
          <w:sz w:val="16"/>
          <w:szCs w:val="16"/>
        </w:rPr>
        <w:t>"...многие танки стали жертвой советс</w:t>
      </w:r>
      <w:r w:rsidRPr="00271E51">
        <w:rPr>
          <w:rFonts w:ascii="Times New Roman" w:hAnsi="Times New Roman"/>
          <w:iCs/>
          <w:color w:val="000000" w:themeColor="text1"/>
          <w:sz w:val="16"/>
          <w:szCs w:val="16"/>
        </w:rPr>
        <w:softHyphen/>
        <w:t>кой авиации - в ходе этого сражения русские летчики, несмотря на превосход</w:t>
      </w:r>
      <w:r w:rsidRPr="00271E51">
        <w:rPr>
          <w:rFonts w:ascii="Times New Roman" w:hAnsi="Times New Roman"/>
          <w:iCs/>
          <w:color w:val="000000" w:themeColor="text1"/>
          <w:sz w:val="16"/>
          <w:szCs w:val="16"/>
        </w:rPr>
        <w:softHyphen/>
        <w:t>ство в воздухе немецкой авиации, про</w:t>
      </w:r>
      <w:r w:rsidRPr="00271E51">
        <w:rPr>
          <w:rFonts w:ascii="Times New Roman" w:hAnsi="Times New Roman"/>
          <w:iCs/>
          <w:color w:val="000000" w:themeColor="text1"/>
          <w:sz w:val="16"/>
          <w:szCs w:val="16"/>
        </w:rPr>
        <w:softHyphen/>
        <w:t>являли исключительную смелость".</w:t>
      </w:r>
    </w:p>
    <w:p w14:paraId="0C6D2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 летчики лишь одной 291-й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п-ка А.Н.Витрука 2-й ВА, применяя эти бомбы, уничтожили и вывели из строя в течение 5 июля до 30 немецких танков (6467).</w:t>
      </w:r>
    </w:p>
    <w:p w14:paraId="539FA0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EE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года "Нормандия" получила первые 12 самолётов Як-9. Затем в полку появились Як-9 вариантов "Д", "М" и "Т". Эти машины были сосредоточены в 4-й эскадрильи, командиром которой был Рене Шала. Французы воевали на них год, с августа 1943-го по август 1944 г. Воюя на Як-9, полк добился наибольших успехов, но и потери его были велики. Например, 31 августа 1943 года, в бою десятки Як-9 с немецкими Не-111 и FW-190, превосходившими их по численности почти в десять раз, пилоты "Нормандии" сбили один бомбардировщик и три FW-190. Однако и сами потеряли четыре машины и двух пилотов.</w:t>
      </w:r>
    </w:p>
    <w:p w14:paraId="74B5E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Инженером полка тогда был капитан С.Д. Агавельян. Кстати, во время одной из бесед с ним автор задал вопрос, связанный с технической эксплуатацией истребителей Яковлева. На что Сергей Давидович кратко ответил: "Истребители Яковлева, в том числе и Як-9, отличались крайней неприхотливостью в эксплуатации, и практически любые повреждения и неисправности оперативно устранялись в полевых условиях".</w:t>
      </w:r>
    </w:p>
    <w:p w14:paraId="017163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из полетов Як-9Д № 1530 "Нормандии" получил тяжелые повреждения в воздушном бою. Крыло вместе с набором нервюр, стрингеров и обшивкой до бензинового бака было разорвано снарядом. В брешь, образовавшуюся между лонжеронами, свободно пролезали два человека. Тем не менее, летчик дотянул до своего аэродрома.</w:t>
      </w:r>
    </w:p>
    <w:p w14:paraId="75F32B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можно было восстановить до летного состояния лишь в Передвижных авиаремонтных мастерских ПАРМ-1, на что требовалось не менее пяти суток. Но шла война, и старший техник-лейтенант Рыжев, исполнявший обязанности инженера полка поставил задачу ввести машину в строй как можно скорее, и за дело взялись сержанты Петухов и Иванов. В итоге, самолет восстановили за тридцать часов, заслужив благодарность командира полка Пуяда. На следующий день после передачи Як-9Д в полк летчик этого самолета сбил FW-190. К сожалению, пока установить дату этого события и имя пилота не удалось (12046).</w:t>
      </w:r>
    </w:p>
    <w:p w14:paraId="0CD94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38F3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фашисты начали наступление под Курском, впервые задействовав танки “Пантера” (4962).</w:t>
      </w:r>
    </w:p>
    <w:p w14:paraId="5A2A479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2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начавшейся 5 июля 1943-го на Курской дуге операции "Цитадель", довелось участвовать четырем эскадрильям немецких штурмовиков: отдельной эскадрилье 51-й истребительной авиационной эскадры, оснащенной Hs 129В-1/R-2 с 30-мм пушкой МК 101 и 8-й эскадрилье вместе с вновь укомплектованной 4-й эскадрильей 2-й эскадры, так неудачно начавшей свою карьеру в Северной Африке. Цель у самолетов была одна - русские танки, а боевые вылеты совершались практически без перерыва. Когда "Хеншели" одной эскадрильи атаковали танковые соединения, другая эскадрилья готовилась к вылету, третья уже взлетала, а четвертая возвращалась на аэродром в Микояновке. Такое применение немецких штурмовиков доставило немало хлопот нашим танкистам, хотя без надежного прикрытия с воздуха "Хеншели" были беззащитны от атак советских истребителей и несли ощутимые потери (3039,30).</w:t>
      </w:r>
    </w:p>
    <w:p w14:paraId="30938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Курской операции Ставка ВГК организовала действия по срыву оперативных перевозок с привлечением АДД и ВА (518,130).</w:t>
      </w:r>
    </w:p>
    <w:p w14:paraId="274B96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Непосредственную поддержку 1 и 5ГТА ВФ обеспечивали всего по одной шад и одной иад (518,157).</w:t>
      </w:r>
    </w:p>
    <w:p w14:paraId="19CBEA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EC2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 ходе предупредительного удара 400 Ил-2 бомбили аэродромы Михайловка, Померки, Сокольники, Рогань (3044,130).</w:t>
      </w:r>
    </w:p>
    <w:p w14:paraId="048F7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2AF4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один из наиболее известных лет</w:t>
      </w:r>
      <w:r w:rsidRPr="00271E51">
        <w:rPr>
          <w:rFonts w:ascii="Times New Roman" w:hAnsi="Times New Roman"/>
          <w:color w:val="000000" w:themeColor="text1"/>
          <w:sz w:val="16"/>
          <w:szCs w:val="16"/>
        </w:rPr>
        <w:softHyphen/>
        <w:t>чиков люфтваффе командир 10.(Рг)./5102 гауптман Рудель уже в первый день сра</w:t>
      </w:r>
      <w:r w:rsidRPr="00271E51">
        <w:rPr>
          <w:rFonts w:ascii="Times New Roman" w:hAnsi="Times New Roman"/>
          <w:color w:val="000000" w:themeColor="text1"/>
          <w:sz w:val="16"/>
          <w:szCs w:val="16"/>
        </w:rPr>
        <w:softHyphen/>
        <w:t>жения на Курской дуге заявил об уничтожении 12 советских танков. Причем 4 танка по его словам были подбиты в пер</w:t>
      </w:r>
      <w:r w:rsidRPr="00271E51">
        <w:rPr>
          <w:rFonts w:ascii="Times New Roman" w:hAnsi="Times New Roman"/>
          <w:color w:val="000000" w:themeColor="text1"/>
          <w:sz w:val="16"/>
          <w:szCs w:val="16"/>
        </w:rPr>
        <w:softHyphen/>
        <w:t>вом же боевом вылете. Всего же немецкие пилоты заявили об уничтожении в тот день 64 танков.</w:t>
      </w:r>
    </w:p>
    <w:p w14:paraId="7AEAC08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пилоты 51077, 5Ю2 и 5сИ.01 доложили об уничтожении 44 тан</w:t>
      </w:r>
      <w:r w:rsidRPr="00271E51">
        <w:rPr>
          <w:rFonts w:ascii="Times New Roman" w:hAnsi="Times New Roman"/>
          <w:color w:val="000000" w:themeColor="text1"/>
          <w:sz w:val="16"/>
          <w:szCs w:val="16"/>
        </w:rPr>
        <w:softHyphen/>
        <w:t>ков, 20 орудий и около 50 автомашин.</w:t>
      </w:r>
    </w:p>
    <w:p w14:paraId="1AE912C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июля пилоты этих же эскадр и противотанковой группы РиР2 уничтожили и повредили якобы 88 танков, 4 артиллерийских и 3 зенитных орудий, 2 установки гвардейских минометов БМ-13 и около 40 автомашин. Причем бо</w:t>
      </w:r>
      <w:r w:rsidRPr="00271E51">
        <w:rPr>
          <w:rFonts w:ascii="Times New Roman" w:hAnsi="Times New Roman"/>
          <w:color w:val="000000" w:themeColor="text1"/>
          <w:sz w:val="16"/>
          <w:szCs w:val="16"/>
        </w:rPr>
        <w:softHyphen/>
        <w:t>лее 80 единиц советской бронетехники из этого числа было уничтожено и поврежде</w:t>
      </w:r>
      <w:r w:rsidRPr="00271E51">
        <w:rPr>
          <w:rFonts w:ascii="Times New Roman" w:hAnsi="Times New Roman"/>
          <w:color w:val="000000" w:themeColor="text1"/>
          <w:sz w:val="16"/>
          <w:szCs w:val="16"/>
        </w:rPr>
        <w:softHyphen/>
        <w:t>но летчиками самолетов Нз129В.</w:t>
      </w:r>
    </w:p>
    <w:p w14:paraId="7A82090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заявления немецких пилотов об уничтожении большого коли</w:t>
      </w:r>
      <w:r w:rsidRPr="00271E51">
        <w:rPr>
          <w:rFonts w:ascii="Times New Roman" w:hAnsi="Times New Roman"/>
          <w:color w:val="000000" w:themeColor="text1"/>
          <w:sz w:val="16"/>
          <w:szCs w:val="16"/>
        </w:rPr>
        <w:softHyphen/>
        <w:t>чества советских танков, как, впрочем, и других наземных целей, обычно не под</w:t>
      </w:r>
      <w:r w:rsidRPr="00271E51">
        <w:rPr>
          <w:rFonts w:ascii="Times New Roman" w:hAnsi="Times New Roman"/>
          <w:color w:val="000000" w:themeColor="text1"/>
          <w:sz w:val="16"/>
          <w:szCs w:val="16"/>
        </w:rPr>
        <w:softHyphen/>
        <w:t>тверждались ничем, кроме их собственных слов. На большинстве самолетов кинофотопулеметы отсутствовали, а если и были, то фиксировали не результат действия, а лишь попадания снарядов в танк.</w:t>
      </w:r>
    </w:p>
    <w:p w14:paraId="69A115E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реальные по</w:t>
      </w:r>
      <w:r w:rsidRPr="00271E51">
        <w:rPr>
          <w:rFonts w:ascii="Times New Roman" w:hAnsi="Times New Roman"/>
          <w:color w:val="000000" w:themeColor="text1"/>
          <w:sz w:val="16"/>
          <w:szCs w:val="16"/>
        </w:rPr>
        <w:softHyphen/>
        <w:t>тери советских танкистов от бомб, а уж тем более от пушечного немецкой авиации в действительности оказались значительно скромнее, чем это отражается в докладах немецких пилотов (12728).</w:t>
      </w:r>
    </w:p>
    <w:p w14:paraId="63D12563"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6994403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5 по 20 июля 1943 г. по данным штаба 1-й танковой армии Воронежского фронта, против которой как раз и действовали противотанковые эскадрильи «хеншелей» из РиРг, боевые безвозвратные потери в танках Т-34 от воздействия авиации в целом составили всего 7 машин. Кроме этого, от артогня и бомб армия потеряла около 30 легких танков.</w:t>
      </w:r>
    </w:p>
    <w:p w14:paraId="776FBA5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подразделения, осна</w:t>
      </w:r>
      <w:r w:rsidRPr="00271E51">
        <w:rPr>
          <w:rFonts w:ascii="Times New Roman" w:hAnsi="Times New Roman"/>
          <w:color w:val="000000" w:themeColor="text1"/>
          <w:sz w:val="16"/>
          <w:szCs w:val="16"/>
        </w:rPr>
        <w:softHyphen/>
        <w:t>щенные Нз129В и ^870-1, сами несли при этом значительные потери.</w:t>
      </w:r>
    </w:p>
    <w:p w14:paraId="144BB4C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эскадрильи РиРг за 11 дней боев безвозвратно потеряли 30% своего перво</w:t>
      </w:r>
      <w:r w:rsidRPr="00271E51">
        <w:rPr>
          <w:rFonts w:ascii="Times New Roman" w:hAnsi="Times New Roman"/>
          <w:color w:val="000000" w:themeColor="text1"/>
          <w:sz w:val="16"/>
          <w:szCs w:val="16"/>
        </w:rPr>
        <w:softHyphen/>
        <w:t>начального состава. К середине августа в составе группы насчитывалось около двух десятков «хеншелей» (12728).</w:t>
      </w:r>
    </w:p>
    <w:p w14:paraId="37641495"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5767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 результате опроса пленных советскому командованию удалось установить час начала наступления - 3:00 и с рассветом по указанию Г.К.Ж. провели мощную артиллерийскую контрподготовку (340,142).</w:t>
      </w:r>
    </w:p>
    <w:p w14:paraId="7CF91D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E1D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2 и 17ВА ударили силами 417 ш по 7 аэродромам (Микояновка, Сокольники, Померки, Основа, Рогань, Барвенково, Краматорская) (340,142).</w:t>
      </w:r>
    </w:p>
    <w:p w14:paraId="78DE7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B5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под Курском на узких участках фронта протяженностью 100 км было сосредоточено с обеих сторон 5000 самолетов. Прошло 175 групповых воздушных боя (до 200-250 истребителей одновременно) и сбили 279 немцев, а за 2 недели - 1000 боев, в которых сбили 1400 машин немцев (518,48).</w:t>
      </w:r>
    </w:p>
    <w:p w14:paraId="41093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C4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под Курском из-за того, что не была произведена доразведка целей, массированный удар 2 и 17 ВА по аэродромам оказался недостаточно эффективной. Немецкие самолеты были в воздухе и за 417 вылетов уничтожили не более 60. Согласно командиру 1 шак г В.Г.Рязанову в момент удара по аэродрому Померни там было всего 14 машин, а на аэродроме Рогань - ни одного. Лишь на аэродроме Сокольники нашли 50 и разгромили их (518,68).</w:t>
      </w:r>
    </w:p>
    <w:p w14:paraId="51B98D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смогли начать наступление не в 3, как планировали, а в 5:30. Б действовали группами по 100-150 машин. Первыми преградили путь л 6 иак (г Е.Е.Ерлыкин) и 1гиад (п И.В.Крупенин) 16 ВА, а также 4 и 5 иак (г И.Д.Подгорный и Д.П.Галунов) 2 ВА (340,143).</w:t>
      </w:r>
    </w:p>
    <w:p w14:paraId="5668F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00D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со второй половины дня 5 июля 1943 летчики генерала А.З. Каравацкого приступили к сосредоточенным и эшелонированным ударам по наступавшим мотомеханизированным войскам противника, но интенсивно использоваться стали только 9 июля. Тем утром шесть групп "пешек" нанесли эффективные удары по танкам и автомашинам неприятеля в районе Кашара, Соборовка (западнее Понырей), сбросив 366 ФАБ-100, 7 ФАБ-50, 685 АО-10, 42 АО-25. Противник понес заметный урон.</w:t>
      </w:r>
    </w:p>
    <w:p w14:paraId="2194B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Наблюдавший за действиями экипажей бомбардировщиков командующий 16-й ВА генерал С.И. Руденко остался доволен результатами налета, решил и в дальнейшем использовать массированные удары. Планировалось, что 3-й бак полным составом совершит не менее трех вылетов 15 июля в поддержку начавшегося контрнаступления войск Центрального фронта, но ухудшившаяся погода помешала осуществлению этих планов. А на следующий день одновременно с вводом в бой танковой армии авиация 16-й ВА нанесла три сосредоточенных удара с участием 155, 140 и 146 бомбардировщиков, соответственно.</w:t>
      </w:r>
    </w:p>
    <w:p w14:paraId="60D00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наши авиаторы выполнили 16 июля 1713 самолето-вылетов, а на следующий день - 1743 вылета, из которых 779 совершили бомбардировщики (участвовали Пе-2 из 241-й и 301-й бад, а также А-20В из 221-й бад). В результате семи массированных налетов за три дня, в которых "пешки" 3-го бак выполнили 722 боевых вылета, удалось подавить очаги сопротивления неприятеля, немцев отбросили на рубеж, который они занимали до 5 июля. Удары бомбардировщиков и штурмовиков 16-й ВА, в каждом из которых принимали участие несколько сот самолетов, получили положительную оценку зам. командующего ВВС КА генерала Ф.Я. Фалалеева.</w:t>
      </w:r>
    </w:p>
    <w:p w14:paraId="27317B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Он отметил, что потери при таких ударах оказались в три - четыре раза меньше в расчете на самолето-вылет, рекомендовал использовать полученный опыт в других объединениях, указав на возможность ввести врага в заблуждение относительно наших сил: "Самолеты, участвовавшие в массированных ударах, при первых заходах сбрасывали только половину своих бомб, затем уходили на 20-30 км на свою территорию и вновь атаковали противника... Такой способ приводил к тому, что у противника создавалось впечатление налета на него вдвое большего числа самолетов, чем в действительности. Все наши войска одобряют массированные удары авиации".</w:t>
      </w:r>
    </w:p>
    <w:p w14:paraId="30633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июля 3-й бак лишился 39 Пе-2 в результате воздействия неприятеля и еще 2 разбитых в катастрофах и 5 в авариях на своих аэродромах. Погибли или пропали без вести 87 авиаторов, включая 25 пилотов и 3 командиров звеньев (при 1896 боевых вылетах). Одна безвозвратная потеря по всем причинам приходилась на 41 самолето-вылет. По сравнению с другими родами авиации 16-й ВА такие потери не являлись огромными. Многие авиаторы корпуса отмечали, что в боях на Курской дуге "пешки" продемонстрировали отменную живучесть, возвращаясь на аэродромы с 40-70 осколочными пробоинами, не теряя управляемости при повреждении элеронов и рулей высоты.</w:t>
      </w:r>
    </w:p>
    <w:p w14:paraId="68F168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докладам экипажей и результатам фотоконтроля, было уничтожено 96 танков, 492 автомашины, 22 орудия, прямыми попаданиями бомб разрушено три ДЗОТа, взорваны 11 складов с горючим и боеприпасами. До 70% всех сброшенных экипажами бомб составляли фугаски крупных и средних калибров, в то время как мелкие осколочные и особенно зажигательные бомбы применялись крайне редко, что командиры объясняли отсутствием специальных кассет КМ Б-Пе-2. Главным образом удары наносились на поле боя, и лишь однажды, 21 июля, "петляковы" корпуса с пикирования пытались разрушить неприятельскую переправу, однако бомбы упали в 30-60 м от цели.</w:t>
      </w:r>
    </w:p>
    <w:p w14:paraId="10457D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такие же потери, как и 3-й бак, но при существенно меньшем числе вылетов, понес в июльской операции 1-й бак (до гибели каждый Пе-2 успевал 24 раза подняться в воздух). В период подготовки к летним боям в корпусе проводилось усиленное обучение летного состава бомбометанию с пикирования. В результате исключительно напряженной и хорошо организованной работы к началу немецкого наступления на Курской дуге в соединении успели обучить личный состав двух полков (по одному в каждой дивизии) поражать цели, круто снижаясь под углом 60° в составе звеньев и девяток. В четырех остальных полках к таким действиям одиночными экипажами считались подготовленными командиры эскадрилий, иногда командиры звеньев и отдельные опытные летчики. Согласно данным отчета штаба 1-го бак, всего для применения Пе-2 в роли пикирующего бомбардировщика на 2 августа были готовы 48 экипажей (12042).</w:t>
      </w:r>
    </w:p>
    <w:p w14:paraId="54DA8D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32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July 5th, 1943: Beginning of Unternehmen Zitadelle (Operation Citadel), the massive counter-offensive by Heeresgruppe Mitte to eliminate the Soviet salient between Orel and Belgorod near Kursk. On a 200-mile front, 37 divisions totaling 900,000 men of 9.Armee (Model) attacking from the north, and 4.Panzerarmee (Hoth) attacking from the south, </w:t>
      </w:r>
      <w:r w:rsidRPr="00271E51">
        <w:rPr>
          <w:rFonts w:ascii="Times New Roman" w:hAnsi="Times New Roman"/>
          <w:color w:val="000000" w:themeColor="text1"/>
          <w:sz w:val="16"/>
          <w:szCs w:val="16"/>
          <w:lang w:val="en-US"/>
        </w:rPr>
        <w:lastRenderedPageBreak/>
        <w:t>including 11 Panzer divisions with 2,500 tanks and assault guns, 10,000 guns and Nebelwerfer (rocket guns), as well as 1,800 aircraft go into action against 1,300,000 Soviet troops in deeply echeloned defensive positions and protected by 8,000 land mines per square mile, 3,300 tanks, 20,000 guns and 2,500 aircraft. Taken together, the opposing forces in this operation constitute the largest concentration of military power ever assembled in history; the greatest tank and air battles of WWII will be fought here. -- In the northern sector, the Germans advance 6, in the southern, some 25 miles against stubborn Soviet resistance inflicting heavy casualties in tanks and infantry (3819).</w:t>
      </w:r>
    </w:p>
    <w:p w14:paraId="5FFB22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5B1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началась Курская битва. На южном фасе Курского выступа в составе немецкой группы армий "Юг" наступала 10-я немецкая бригада, насчитывавшая 204 "Пантеры". В составе одной танковой и четырех моторизованных дивизий СС было 133 "Тигра".</w:t>
      </w:r>
    </w:p>
    <w:p w14:paraId="0098F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северном фасе выступа в группе армий "Центр" в составе 21-й танковой бригады имелось 45 "Тигров". Их усиливали 90 самоходных установок "Элефант", известных у нас под названием "Фердинанд". В обеих группировках насчитывалось 533 штурмовых орудия.</w:t>
      </w:r>
    </w:p>
    <w:p w14:paraId="078614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Штурмовыми орудиями в немецкой армии были полностью бронированные машины, по существу безбашенные танки на базе Pz. Ill (позже и на базе Pz. IV). Их 75-мм орудие, такое же как на танке PZ. IV ранних модификаций, имевшее ограниченный угол горизонтальной наводки, устанавливалось в лобовом листе рубки. Их задача - поддержка пехоты непосредственно в ее боевых порядках.</w:t>
      </w:r>
    </w:p>
    <w:p w14:paraId="3DC0A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нашей стороны около 70 % танков составляли Т-34. Остальное тяжелые КВ-1, KB-1С, легкие Т-70, некоторое количество танков, полученных по ленд-лизу от союзников ("Шерманы", "Черчилли") и новые самоходные артиллерийские установки СУ-76, СУ-122, СУ-152, недавно начавшие поступать на вооружение. Именно двум последним выпала доля отличиться в борьбе с новыми немецкими тяжелыми танками. Тогда-то они и получили у наших солдат почетное прозвище "зверобои". Их, впрочем, было очень немного: так, к началу Курской битвы в двух тяжелых самоходных артиллерийских полках насчитывалось всего 24 СУ-152 (3905).</w:t>
      </w:r>
    </w:p>
    <w:p w14:paraId="231AF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0C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Курская битва включала Курскую оборонительную операцию: 5-23 июля. Орловскую наступательную операцию: 12 июля - 18 августа, Белгородско-Харьковскую наступательную операцию: 2-23 августа, операции) и длилась 50 дней. В ней помимо тяжелых людских потерь враг потерял около 1500 танков и штурмовых орудий. Наши потери, в частности, в бронетанковой технике составили более 6 тысяч танков и СУ (3905).</w:t>
      </w:r>
    </w:p>
    <w:p w14:paraId="3E8E5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46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 5:30 началось наступление немцев при поддержке крупных сил авиации. Фашистские бомбардировщики шли группами по 100-150 самолетов под прикрытием и. Первыми преградили путь л 6 иак (командир г Е.Е.Ерлыкин) и 1 гиад (к п И.В.Крупенин) 16ВА, а также 4 и 5 иак (г И.Д.Подгорный и г Д.П.Галунов) 2ВА (340,143).</w:t>
      </w:r>
    </w:p>
    <w:p w14:paraId="04B151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первую половину дня сбили 79 немецких самолетов. Л 3 бак (г А.З.Каравацкий), 6 сак (г И.Д.Антошкин), 2 гшад (п Г.И.Комаров) и 299 шад (п И.В.Крупский). Действовали группами по 6-8 машин. Впервые применили ПТАБ. Витрук - 30 танков за раз. Нач. ш 48 ТК Ф.Меллентин писал: "Многие танки стали жертвами советской авиации, а русские л проявили исключительную смелость." За день сбили 260 + 70 уничтожили на аэродромах (340,143).</w:t>
      </w:r>
    </w:p>
    <w:p w14:paraId="219AE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A92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л 3 бак (г А.З.Каравацкий) и 6 сак (г И.Д.Антошкин), а также 2 гад (п Г.И.Комаров) и 299 шад (п И.В.Крупский) сразу после отпора, данного немецким бомбардировщикам и 16 и 2ВАгруппами по 6-8 машин наносили удары по вражеским танкам и пехоте на поле боя в районах Ясной Поляны, Озерок, Архангельского. Тут то впервые применили ПТАБ 2.5-1.5 и ш 291 иак А.Н.Витрука уничтожили 30 танков. Нач. ш 48ТК г Ф.Меллентин писал: 2Многие танки стали жертвой советской авиации, а русские л проявили исключительную смелость." (340,143).</w:t>
      </w:r>
    </w:p>
    <w:p w14:paraId="17F1D4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C27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 в 1-ю гвардейской Сталинградской иад и 273-ю иад 6-го иак (16 ВА, Центральный фронт), где проходили войсковые испытания Як-9Т, понесли первые потери. Летчики обоих самолетов (№ 0160 из 163 иап и № 0165 из 347 иап) прикрывали наземные войска. Для самолета № 0160 это был второй боевой вылет, а причины трагедии так и не установили. Что касается машины № 0165, то летчик - майор Плотников, преследуя противника на пикировании, выводил самолет на малой высоте и, задев верхушки деревьев, упал на нейтральной полосе (12046).</w:t>
      </w:r>
    </w:p>
    <w:p w14:paraId="3CF466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67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эскадрилья Нормандия была преобразована в иап Нормандия и включал 3 боевых и одну истребительную эскадрилью (455,157).</w:t>
      </w:r>
    </w:p>
    <w:p w14:paraId="75043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B1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французская эскадрилья была преобразована в 1-й отдельный иап сражающейся Франции "Нормандия" (340,150).</w:t>
      </w:r>
    </w:p>
    <w:p w14:paraId="2FA3F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AC0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в полосе ЦФ в отдельные моменты над полем боя одновременно находилось до 300 немецких б и 100 и. Л 16ВА в 76 групповых боях сбили 106. Всего за день сделали 2285 и зафиксировали 4526 вражеских пролетов, в т.ч. в полосе БФ - 108, ЦФ - 1737, ВФ - 2561, ЮЗФ - 120 (340,144).</w:t>
      </w:r>
    </w:p>
    <w:p w14:paraId="26137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70D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оказалось, что советские и увлекались боями с и и пропускали б. Недостаточно четким было оповещении о приближении немецких б. Действия б и ш малыми группами не помогало эффективно бороться с зенитной артиллерией и требовалось мощное прикрытие. Поэтому командование на следующий день потребовало массирования (340,144).</w:t>
      </w:r>
    </w:p>
    <w:p w14:paraId="73705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96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132 Ш и 285 И полки стремились использовать момент, когда немцы готовились к взлету на аэродромах, но застигли только на 2 - Сокольники и Померки. При этом сбили до 62 наших штурмовиков (137,33).</w:t>
      </w:r>
    </w:p>
    <w:p w14:paraId="655EF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идея перехвата на аэродромах - действительно херня.</w:t>
      </w:r>
    </w:p>
    <w:p w14:paraId="06FAB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DBF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под Воронежем 291 шад полковника А.Н.Витрука применяла ПТАБ и за день уничтожила 30 Тигров и Пантер (337,66).</w:t>
      </w:r>
    </w:p>
    <w:p w14:paraId="67E9A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58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за день немцы потеряли 260 в воздухе и 60 на аэродромах, а мы - 176 (340,144).</w:t>
      </w:r>
    </w:p>
    <w:p w14:paraId="5AED36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A7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5 июля по 23 августа 1943 проходила Курская битва из двух фаз - с оборонительной с 5 по 23 июля и наступательной с 12 июля по 25 августа (2438,346).</w:t>
      </w:r>
    </w:p>
    <w:p w14:paraId="183E1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Курской наступательной операции задействовали 60% всей фронтовой авиации - максимально за войну, т.к. в Висло-Одерской было 43, а в Берлинской - 47% (518,112).</w:t>
      </w:r>
    </w:p>
    <w:p w14:paraId="21CA6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68D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Ил-2 291 шад 16 ВА под командованием п А.Витрука объявила об уничтожении 30 танков под Воронежем с использованием ПТАБ (241,31).</w:t>
      </w:r>
    </w:p>
    <w:p w14:paraId="46A06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Курской битвы 16 ВА под командованием С.И.Руденко выполнила 56350 боевых вылетов и большая часть из них - на Ил-2 (241,31).</w:t>
      </w:r>
    </w:p>
    <w:p w14:paraId="1194E7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F8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л 1 гиад мл.л. В.Поляков, прикрывая войска на Курской дуге сбил Не-111, был подбит и на горящем самолете таранил второй, сам выбросился с парашютом и приземлился на своей территории. Стал ГСС (438,874).</w:t>
      </w:r>
    </w:p>
    <w:p w14:paraId="0AE1B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DB6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июля 1943 один из наиболее известных летчиков люфтваффе командир 10.(Pz)./ StG2 гауптман Рудель уже в первый день сражения заявил об уничтожении 12 советских танков. Причем 4 танка, по его словам, были уничтожены в первом боевом вылете. Всего же немецкие пилоты заявили об уничтожении в этот день 64 танков Красной Армии (9084).</w:t>
      </w:r>
    </w:p>
    <w:p w14:paraId="04AF80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93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5 по 20 июля 1943 г. по данным штаба советской 1-й танковой армии Воронежского фронта, против которой действовали противотанковые эскадрильи "хеншелей" из FuPz, боевые безвозвратные потери в танках Т-34 от воздействия авиации в целом составили всего 7 машин, или 1,6% всех потерь "тридцатьчетверок". Кроме этого, от артогня и бомб люфтваффе армия потеряла около 30 легких танков Т-60 и Т-70 (9084).</w:t>
      </w:r>
    </w:p>
    <w:p w14:paraId="36210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8530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04E6D9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7211A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5 1943 The first turbojet engine developed for the Navy, the Westinghouse l9A, completed its 100-hour endurance test (1090).</w:t>
      </w:r>
    </w:p>
    <w:p w14:paraId="3C0CA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2195A2" w14:textId="77777777" w:rsidR="00236356" w:rsidRPr="00271E51" w:rsidRDefault="00236356"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bCs/>
          <w:color w:val="000000" w:themeColor="text1"/>
          <w:sz w:val="16"/>
          <w:szCs w:val="16"/>
        </w:rPr>
        <w:t>5 июля 1943 первый ВРД закончил 100-часовые испытания (1090).</w:t>
      </w:r>
    </w:p>
    <w:p w14:paraId="1C7646A3" w14:textId="77777777" w:rsidR="00236356" w:rsidRPr="00271E51" w:rsidRDefault="00236356" w:rsidP="00271E51">
      <w:pPr>
        <w:spacing w:after="0" w:line="240" w:lineRule="auto"/>
        <w:jc w:val="both"/>
        <w:rPr>
          <w:rFonts w:ascii="Times New Roman" w:hAnsi="Times New Roman"/>
          <w:bCs/>
          <w:color w:val="000000" w:themeColor="text1"/>
          <w:sz w:val="16"/>
          <w:szCs w:val="16"/>
        </w:rPr>
      </w:pPr>
    </w:p>
    <w:p w14:paraId="0080AC71" w14:textId="77777777" w:rsidR="00E17F47" w:rsidRPr="00271E51" w:rsidRDefault="00E1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lastRenderedPageBreak/>
        <w:t>5 июля</w:t>
      </w:r>
      <w:r w:rsidRPr="00271E51">
        <w:rPr>
          <w:rFonts w:ascii="Times New Roman" w:hAnsi="Times New Roman"/>
          <w:color w:val="000000" w:themeColor="text1"/>
          <w:sz w:val="16"/>
          <w:szCs w:val="16"/>
        </w:rPr>
        <w:t xml:space="preserve"> в 1943 году премьер-министром польского эмигрантского правительства в Лондоне стал представитель Польской крестьянской партии С.Миколайчик (14943).</w:t>
      </w:r>
    </w:p>
    <w:p w14:paraId="63641AA1" w14:textId="77777777" w:rsidR="00E17F47" w:rsidRPr="00271E51" w:rsidRDefault="00E17F47" w:rsidP="00271E51">
      <w:pPr>
        <w:spacing w:after="0" w:line="240" w:lineRule="auto"/>
        <w:jc w:val="both"/>
        <w:rPr>
          <w:rFonts w:ascii="Times New Roman" w:hAnsi="Times New Roman"/>
          <w:color w:val="000000" w:themeColor="text1"/>
          <w:sz w:val="16"/>
          <w:szCs w:val="16"/>
        </w:rPr>
      </w:pPr>
    </w:p>
    <w:p w14:paraId="125E7972" w14:textId="77777777" w:rsidR="00236356" w:rsidRPr="00271E51" w:rsidRDefault="0023635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июля</w:t>
      </w:r>
      <w:r w:rsidRPr="00271E51">
        <w:rPr>
          <w:rFonts w:ascii="Times New Roman" w:hAnsi="Times New Roman"/>
          <w:color w:val="000000" w:themeColor="text1"/>
          <w:sz w:val="16"/>
          <w:szCs w:val="16"/>
        </w:rPr>
        <w:t xml:space="preserve"> в 1943 году американский флот высадился на Сицилии (14943).</w:t>
      </w:r>
    </w:p>
    <w:p w14:paraId="4D65B905" w14:textId="77777777" w:rsidR="00236356" w:rsidRPr="00271E51" w:rsidRDefault="00236356" w:rsidP="00271E51">
      <w:pPr>
        <w:spacing w:after="0" w:line="240" w:lineRule="auto"/>
        <w:jc w:val="both"/>
        <w:rPr>
          <w:rFonts w:ascii="Times New Roman" w:hAnsi="Times New Roman"/>
          <w:color w:val="000000" w:themeColor="text1"/>
          <w:sz w:val="16"/>
          <w:szCs w:val="16"/>
        </w:rPr>
      </w:pPr>
    </w:p>
    <w:p w14:paraId="5277CDE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92315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0FB3E0"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 6 по 19 июля 1943 в ходе испытания самолетов  Ил-2 на прочность, которое заключалось в многократных пикирова</w:t>
      </w:r>
      <w:r w:rsidRPr="00271E51">
        <w:rPr>
          <w:rFonts w:ascii="Times New Roman" w:hAnsi="Times New Roman" w:cs="Times New Roman"/>
          <w:color w:val="000000" w:themeColor="text1"/>
          <w:sz w:val="16"/>
          <w:szCs w:val="16"/>
        </w:rPr>
        <w:softHyphen/>
        <w:t>ниях на сверхмаксимальной скорости с нормированной эксплуатационной пере</w:t>
      </w:r>
      <w:r w:rsidRPr="00271E51">
        <w:rPr>
          <w:rFonts w:ascii="Times New Roman" w:hAnsi="Times New Roman" w:cs="Times New Roman"/>
          <w:color w:val="000000" w:themeColor="text1"/>
          <w:sz w:val="16"/>
          <w:szCs w:val="16"/>
        </w:rPr>
        <w:softHyphen/>
        <w:t>грузкой на выходе, было выполнено 42 пикирования, из них 30 - на Ил-2 зав. №2034, и 12 - на Ил-2 зав. №2080.</w:t>
      </w:r>
    </w:p>
    <w:p w14:paraId="1F7462DB"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указанию начальника УТЭ ВВС ге</w:t>
      </w:r>
      <w:r w:rsidRPr="00271E51">
        <w:rPr>
          <w:rFonts w:ascii="Times New Roman" w:hAnsi="Times New Roman" w:cs="Times New Roman"/>
          <w:color w:val="000000" w:themeColor="text1"/>
          <w:sz w:val="16"/>
          <w:szCs w:val="16"/>
        </w:rPr>
        <w:softHyphen/>
        <w:t>нерал-майора Шульговского в ЛИИ НКАП для проверки надежности новой техно</w:t>
      </w:r>
      <w:r w:rsidRPr="00271E51">
        <w:rPr>
          <w:rFonts w:ascii="Times New Roman" w:hAnsi="Times New Roman" w:cs="Times New Roman"/>
          <w:color w:val="000000" w:themeColor="text1"/>
          <w:sz w:val="16"/>
          <w:szCs w:val="16"/>
        </w:rPr>
        <w:softHyphen/>
        <w:t>логии ремонта были переданы два само</w:t>
      </w:r>
      <w:r w:rsidRPr="00271E51">
        <w:rPr>
          <w:rFonts w:ascii="Times New Roman" w:hAnsi="Times New Roman" w:cs="Times New Roman"/>
          <w:color w:val="000000" w:themeColor="text1"/>
          <w:sz w:val="16"/>
          <w:szCs w:val="16"/>
        </w:rPr>
        <w:softHyphen/>
        <w:t>лета Ил-2 зав. №№302080 и 302034, на</w:t>
      </w:r>
      <w:r w:rsidRPr="00271E51">
        <w:rPr>
          <w:rFonts w:ascii="Times New Roman" w:hAnsi="Times New Roman" w:cs="Times New Roman"/>
          <w:color w:val="000000" w:themeColor="text1"/>
          <w:sz w:val="16"/>
          <w:szCs w:val="16"/>
        </w:rPr>
        <w:softHyphen/>
        <w:t>ходившихся в эксплуатации в 232-й шад 2-го шак и прошедших в мае полевой ре</w:t>
      </w:r>
      <w:r w:rsidRPr="00271E51">
        <w:rPr>
          <w:rFonts w:ascii="Times New Roman" w:hAnsi="Times New Roman" w:cs="Times New Roman"/>
          <w:color w:val="000000" w:themeColor="text1"/>
          <w:sz w:val="16"/>
          <w:szCs w:val="16"/>
        </w:rPr>
        <w:softHyphen/>
        <w:t>монт по старой технологии.</w:t>
      </w:r>
    </w:p>
    <w:p w14:paraId="4F01342A"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Оба самолета были сданы военной приемке 8 апреля 1943 г., и с 15 апреля по 27 июня находились в 232 шад. За это время налет машин составил 12 ч 34 мин и 3 ч 02 мин, соответственно. Боевых вы</w:t>
      </w:r>
      <w:r w:rsidRPr="00271E51">
        <w:rPr>
          <w:rFonts w:ascii="Times New Roman" w:hAnsi="Times New Roman" w:cs="Times New Roman"/>
          <w:color w:val="000000" w:themeColor="text1"/>
          <w:sz w:val="16"/>
          <w:szCs w:val="16"/>
        </w:rPr>
        <w:softHyphen/>
        <w:t>летов не было. Самолеты все время хра</w:t>
      </w:r>
      <w:r w:rsidRPr="00271E51">
        <w:rPr>
          <w:rFonts w:ascii="Times New Roman" w:hAnsi="Times New Roman" w:cs="Times New Roman"/>
          <w:color w:val="000000" w:themeColor="text1"/>
          <w:sz w:val="16"/>
          <w:szCs w:val="16"/>
        </w:rPr>
        <w:softHyphen/>
        <w:t>нились на аэродроме под открытым не</w:t>
      </w:r>
      <w:r w:rsidRPr="00271E51">
        <w:rPr>
          <w:rFonts w:ascii="Times New Roman" w:hAnsi="Times New Roman" w:cs="Times New Roman"/>
          <w:color w:val="000000" w:themeColor="text1"/>
          <w:sz w:val="16"/>
          <w:szCs w:val="16"/>
        </w:rPr>
        <w:softHyphen/>
        <w:t>бом. В ходе эксплуатации повреждений силовой конструкции не отмечалось. Перед летными испытаниями оба са</w:t>
      </w:r>
      <w:r w:rsidRPr="00271E51">
        <w:rPr>
          <w:rFonts w:ascii="Times New Roman" w:hAnsi="Times New Roman" w:cs="Times New Roman"/>
          <w:color w:val="000000" w:themeColor="text1"/>
          <w:sz w:val="16"/>
          <w:szCs w:val="16"/>
        </w:rPr>
        <w:softHyphen/>
        <w:t>молета были вновь отремонтированы. Ре</w:t>
      </w:r>
      <w:r w:rsidRPr="00271E51">
        <w:rPr>
          <w:rFonts w:ascii="Times New Roman" w:hAnsi="Times New Roman" w:cs="Times New Roman"/>
          <w:color w:val="000000" w:themeColor="text1"/>
          <w:sz w:val="16"/>
          <w:szCs w:val="16"/>
        </w:rPr>
        <w:softHyphen/>
        <w:t>монт консолей крыла Ил-2 зав. №302080 выполнили по старой технологии, а Ил-2 зав. №302034 - по новой технологии, разработанной специалистами ОКБ Илью</w:t>
      </w:r>
      <w:r w:rsidRPr="00271E51">
        <w:rPr>
          <w:rFonts w:ascii="Times New Roman" w:hAnsi="Times New Roman" w:cs="Times New Roman"/>
          <w:color w:val="000000" w:themeColor="text1"/>
          <w:sz w:val="16"/>
          <w:szCs w:val="16"/>
        </w:rPr>
        <w:softHyphen/>
        <w:t>шина.</w:t>
      </w:r>
    </w:p>
    <w:p w14:paraId="7C3B0978"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14 июля при выполнении крайнего полета на Ил-2 зав. №302080 при вы</w:t>
      </w:r>
      <w:r w:rsidRPr="00271E51">
        <w:rPr>
          <w:rFonts w:ascii="Times New Roman" w:hAnsi="Times New Roman" w:cs="Times New Roman"/>
          <w:color w:val="000000" w:themeColor="text1"/>
          <w:sz w:val="16"/>
          <w:szCs w:val="16"/>
        </w:rPr>
        <w:softHyphen/>
        <w:t>воде из 12-го пикирования при скоро</w:t>
      </w:r>
      <w:r w:rsidRPr="00271E51">
        <w:rPr>
          <w:rFonts w:ascii="Times New Roman" w:hAnsi="Times New Roman" w:cs="Times New Roman"/>
          <w:color w:val="000000" w:themeColor="text1"/>
          <w:sz w:val="16"/>
          <w:szCs w:val="16"/>
        </w:rPr>
        <w:softHyphen/>
        <w:t>сти 420 км/ч по прибору и перегрузке 4,95 единиц произошло разрушение об</w:t>
      </w:r>
      <w:r w:rsidRPr="00271E51">
        <w:rPr>
          <w:rFonts w:ascii="Times New Roman" w:hAnsi="Times New Roman" w:cs="Times New Roman"/>
          <w:color w:val="000000" w:themeColor="text1"/>
          <w:sz w:val="16"/>
          <w:szCs w:val="16"/>
        </w:rPr>
        <w:softHyphen/>
        <w:t>шивки правой консоли крыла.</w:t>
      </w:r>
    </w:p>
    <w:p w14:paraId="7FE7351B"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Как следует из доклада летчика-ис- пытателя Н.В.Адамовича, ввод самолета в пикирование был выполнен на высоте 3000 м. Вывод из пикирования был начат при скорости 430 км/ч по прибору.</w:t>
      </w:r>
    </w:p>
    <w:p w14:paraId="63ED3807" w14:textId="77777777" w:rsidR="00C85280" w:rsidRPr="00271E51" w:rsidRDefault="00C85280" w:rsidP="00271E51">
      <w:pPr>
        <w:spacing w:after="0" w:line="240" w:lineRule="auto"/>
        <w:jc w:val="both"/>
        <w:rPr>
          <w:rStyle w:val="9pt80"/>
          <w:rFonts w:ascii="Times New Roman" w:hAnsi="Times New Roman" w:cs="Times New Roman"/>
          <w:color w:val="000000" w:themeColor="text1"/>
          <w:w w:val="100"/>
          <w:sz w:val="16"/>
          <w:szCs w:val="16"/>
        </w:rPr>
      </w:pPr>
      <w:r w:rsidRPr="00271E51">
        <w:rPr>
          <w:rFonts w:ascii="Times New Roman" w:hAnsi="Times New Roman"/>
          <w:color w:val="000000" w:themeColor="text1"/>
          <w:sz w:val="16"/>
          <w:szCs w:val="16"/>
        </w:rPr>
        <w:t>В момент достижения заданной ве</w:t>
      </w:r>
      <w:r w:rsidRPr="00271E51">
        <w:rPr>
          <w:rFonts w:ascii="Times New Roman" w:hAnsi="Times New Roman"/>
          <w:color w:val="000000" w:themeColor="text1"/>
          <w:sz w:val="16"/>
          <w:szCs w:val="16"/>
        </w:rPr>
        <w:softHyphen/>
        <w:t>личины перегрузки 4,95 единицы са</w:t>
      </w:r>
      <w:r w:rsidRPr="00271E51">
        <w:rPr>
          <w:rFonts w:ascii="Times New Roman" w:hAnsi="Times New Roman"/>
          <w:color w:val="000000" w:themeColor="text1"/>
          <w:sz w:val="16"/>
          <w:szCs w:val="16"/>
        </w:rPr>
        <w:softHyphen/>
        <w:t>молет резко перевернулся через пра</w:t>
      </w:r>
      <w:r w:rsidRPr="00271E51">
        <w:rPr>
          <w:rFonts w:ascii="Times New Roman" w:hAnsi="Times New Roman"/>
          <w:color w:val="000000" w:themeColor="text1"/>
          <w:sz w:val="16"/>
          <w:szCs w:val="16"/>
        </w:rPr>
        <w:softHyphen/>
        <w:t>вое крыло и начал вращаться. Враще</w:t>
      </w:r>
      <w:r w:rsidRPr="00271E51">
        <w:rPr>
          <w:rFonts w:ascii="Times New Roman" w:hAnsi="Times New Roman"/>
          <w:color w:val="000000" w:themeColor="text1"/>
          <w:sz w:val="16"/>
          <w:szCs w:val="16"/>
        </w:rPr>
        <w:softHyphen/>
        <w:t>ние было остановлено летчиком путем неполной дачи ноги и ручки от себя, «но вследствие весьма больших нагрузок на управление (летчик с трудом удерживал ручку управления двумя руками) вращение несколько раз возобнов</w:t>
      </w:r>
      <w:r w:rsidRPr="00271E51">
        <w:rPr>
          <w:rFonts w:ascii="Times New Roman" w:hAnsi="Times New Roman"/>
          <w:color w:val="000000" w:themeColor="text1"/>
          <w:sz w:val="16"/>
          <w:szCs w:val="16"/>
        </w:rPr>
        <w:softHyphen/>
        <w:t>лялось снова». На высоте 250 м по при</w:t>
      </w:r>
      <w:r w:rsidRPr="00271E51">
        <w:rPr>
          <w:rFonts w:ascii="Times New Roman" w:hAnsi="Times New Roman"/>
          <w:color w:val="000000" w:themeColor="text1"/>
          <w:sz w:val="16"/>
          <w:szCs w:val="16"/>
        </w:rPr>
        <w:softHyphen/>
        <w:t>бору самолет все же перешел в нормаль</w:t>
      </w:r>
      <w:r w:rsidRPr="00271E51">
        <w:rPr>
          <w:rFonts w:ascii="Times New Roman" w:hAnsi="Times New Roman"/>
          <w:color w:val="000000" w:themeColor="text1"/>
          <w:sz w:val="16"/>
          <w:szCs w:val="16"/>
        </w:rPr>
        <w:softHyphen/>
        <w:t>ный полет. Посадка на аэродром Раменское была выполнена на колеса без выпу</w:t>
      </w:r>
      <w:r w:rsidRPr="00271E51">
        <w:rPr>
          <w:rFonts w:ascii="Times New Roman" w:hAnsi="Times New Roman"/>
          <w:color w:val="000000" w:themeColor="text1"/>
          <w:sz w:val="16"/>
          <w:szCs w:val="16"/>
        </w:rPr>
        <w:softHyphen/>
        <w:t>ска щитков</w:t>
      </w:r>
    </w:p>
    <w:p w14:paraId="1E8B620D"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 моменту аварии на Ил-2 зав. №302080 было выполнено одно пи</w:t>
      </w:r>
      <w:r w:rsidRPr="00271E51">
        <w:rPr>
          <w:rFonts w:ascii="Times New Roman" w:hAnsi="Times New Roman" w:cs="Times New Roman"/>
          <w:color w:val="000000" w:themeColor="text1"/>
          <w:sz w:val="16"/>
          <w:szCs w:val="16"/>
        </w:rPr>
        <w:softHyphen/>
        <w:t>кирование с перегрузкой в 4 единицы и 3 пикирования с перегрузкой в 4,5 еди</w:t>
      </w:r>
      <w:r w:rsidRPr="00271E51">
        <w:rPr>
          <w:rFonts w:ascii="Times New Roman" w:hAnsi="Times New Roman" w:cs="Times New Roman"/>
          <w:color w:val="000000" w:themeColor="text1"/>
          <w:sz w:val="16"/>
          <w:szCs w:val="16"/>
        </w:rPr>
        <w:softHyphen/>
        <w:t>ницы. В остальных случаях перегрузка не превышала 3,2 единицы (разброс от 1,6 до 3,2). Скорость при пикировании последовательно доводилась от 317 до 447 км/ч по прибору.</w:t>
      </w:r>
    </w:p>
    <w:p w14:paraId="643D49B6"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осмотре самолета после посадки были зафиксированы следующие разру</w:t>
      </w:r>
      <w:r w:rsidRPr="00271E51">
        <w:rPr>
          <w:rFonts w:ascii="Times New Roman" w:hAnsi="Times New Roman" w:cs="Times New Roman"/>
          <w:color w:val="000000" w:themeColor="text1"/>
          <w:sz w:val="16"/>
          <w:szCs w:val="16"/>
        </w:rPr>
        <w:softHyphen/>
        <w:t>шения конструкции планера машины.</w:t>
      </w:r>
    </w:p>
    <w:p w14:paraId="1E41C5C7"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правой консоли крыла в межлон- жеронной части на участке между 8-й и 20-й нервюрами сорвана фанерная об</w:t>
      </w:r>
      <w:r w:rsidRPr="00271E51">
        <w:rPr>
          <w:rFonts w:ascii="Times New Roman" w:hAnsi="Times New Roman" w:cs="Times New Roman"/>
          <w:color w:val="000000" w:themeColor="text1"/>
          <w:sz w:val="16"/>
          <w:szCs w:val="16"/>
        </w:rPr>
        <w:softHyphen/>
        <w:t>шивка и выломаны пять стрингеров («со</w:t>
      </w:r>
      <w:r w:rsidRPr="00271E51">
        <w:rPr>
          <w:rFonts w:ascii="Times New Roman" w:hAnsi="Times New Roman" w:cs="Times New Roman"/>
          <w:color w:val="000000" w:themeColor="text1"/>
          <w:sz w:val="16"/>
          <w:szCs w:val="16"/>
        </w:rPr>
        <w:softHyphen/>
        <w:t>рванная в полете обшивка крыла имела недоброкачественную приклейку к лон</w:t>
      </w:r>
      <w:r w:rsidRPr="00271E51">
        <w:rPr>
          <w:rFonts w:ascii="Times New Roman" w:hAnsi="Times New Roman" w:cs="Times New Roman"/>
          <w:color w:val="000000" w:themeColor="text1"/>
          <w:sz w:val="16"/>
          <w:szCs w:val="16"/>
        </w:rPr>
        <w:softHyphen/>
        <w:t>жеронам, нервюрам и стрингерам»). Образовались трещины в обшивке сверху вдоль 20-й нервюры и на нижней об</w:t>
      </w:r>
      <w:r w:rsidRPr="00271E51">
        <w:rPr>
          <w:rFonts w:ascii="Times New Roman" w:hAnsi="Times New Roman" w:cs="Times New Roman"/>
          <w:color w:val="000000" w:themeColor="text1"/>
          <w:sz w:val="16"/>
          <w:szCs w:val="16"/>
        </w:rPr>
        <w:softHyphen/>
        <w:t>шивке вдоль 8-й нервюры на участке от переднего лонжерона до 3-го стрингера. На элероне отклеился перкаль, а нижний узел подвески элерона сместился вниз.</w:t>
      </w:r>
    </w:p>
    <w:p w14:paraId="5C4D2408"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левой консоли крыла деформиро</w:t>
      </w:r>
      <w:r w:rsidRPr="00271E51">
        <w:rPr>
          <w:rFonts w:ascii="Times New Roman" w:hAnsi="Times New Roman" w:cs="Times New Roman"/>
          <w:color w:val="000000" w:themeColor="text1"/>
          <w:sz w:val="16"/>
          <w:szCs w:val="16"/>
        </w:rPr>
        <w:softHyphen/>
        <w:t>валась и отклеилась от большинства не</w:t>
      </w:r>
      <w:r w:rsidRPr="00271E51">
        <w:rPr>
          <w:rFonts w:ascii="Times New Roman" w:hAnsi="Times New Roman" w:cs="Times New Roman"/>
          <w:color w:val="000000" w:themeColor="text1"/>
          <w:sz w:val="16"/>
          <w:szCs w:val="16"/>
        </w:rPr>
        <w:softHyphen/>
        <w:t>рвюр и стрингеров почти вся верхняя об</w:t>
      </w:r>
      <w:r w:rsidRPr="00271E51">
        <w:rPr>
          <w:rFonts w:ascii="Times New Roman" w:hAnsi="Times New Roman" w:cs="Times New Roman"/>
          <w:color w:val="000000" w:themeColor="text1"/>
          <w:sz w:val="16"/>
          <w:szCs w:val="16"/>
        </w:rPr>
        <w:softHyphen/>
        <w:t>шивка в межлонжеронной части («от</w:t>
      </w:r>
      <w:r w:rsidRPr="00271E51">
        <w:rPr>
          <w:rFonts w:ascii="Times New Roman" w:hAnsi="Times New Roman" w:cs="Times New Roman"/>
          <w:color w:val="000000" w:themeColor="text1"/>
          <w:sz w:val="16"/>
          <w:szCs w:val="16"/>
        </w:rPr>
        <w:softHyphen/>
        <w:t>клейка обшивки установлена после вы</w:t>
      </w:r>
      <w:r w:rsidRPr="00271E51">
        <w:rPr>
          <w:rFonts w:ascii="Times New Roman" w:hAnsi="Times New Roman" w:cs="Times New Roman"/>
          <w:color w:val="000000" w:themeColor="text1"/>
          <w:sz w:val="16"/>
          <w:szCs w:val="16"/>
        </w:rPr>
        <w:softHyphen/>
        <w:t>резания части обшивки»). Поверхность крыла стала волнистой. В фанерной об</w:t>
      </w:r>
      <w:r w:rsidRPr="00271E51">
        <w:rPr>
          <w:rFonts w:ascii="Times New Roman" w:hAnsi="Times New Roman" w:cs="Times New Roman"/>
          <w:color w:val="000000" w:themeColor="text1"/>
          <w:sz w:val="16"/>
          <w:szCs w:val="16"/>
        </w:rPr>
        <w:softHyphen/>
        <w:t>шивке снизу и сверху вдоль 11-й не</w:t>
      </w:r>
      <w:r w:rsidRPr="00271E51">
        <w:rPr>
          <w:rFonts w:ascii="Times New Roman" w:hAnsi="Times New Roman" w:cs="Times New Roman"/>
          <w:color w:val="000000" w:themeColor="text1"/>
          <w:sz w:val="16"/>
          <w:szCs w:val="16"/>
        </w:rPr>
        <w:softHyphen/>
        <w:t>рвюры от заднего лонжерона до хвосто</w:t>
      </w:r>
      <w:r w:rsidRPr="00271E51">
        <w:rPr>
          <w:rFonts w:ascii="Times New Roman" w:hAnsi="Times New Roman" w:cs="Times New Roman"/>
          <w:color w:val="000000" w:themeColor="text1"/>
          <w:sz w:val="16"/>
          <w:szCs w:val="16"/>
        </w:rPr>
        <w:softHyphen/>
        <w:t>вика нервюры образовались трещины («при вскрытии обшивки в этом месте обнаружено частичное загнивание об</w:t>
      </w:r>
      <w:r w:rsidRPr="00271E51">
        <w:rPr>
          <w:rFonts w:ascii="Times New Roman" w:hAnsi="Times New Roman" w:cs="Times New Roman"/>
          <w:color w:val="000000" w:themeColor="text1"/>
          <w:sz w:val="16"/>
          <w:szCs w:val="16"/>
        </w:rPr>
        <w:softHyphen/>
        <w:t>шивки»). Трещины вдоль заднего лонже</w:t>
      </w:r>
      <w:r w:rsidRPr="00271E51">
        <w:rPr>
          <w:rFonts w:ascii="Times New Roman" w:hAnsi="Times New Roman" w:cs="Times New Roman"/>
          <w:color w:val="000000" w:themeColor="text1"/>
          <w:sz w:val="16"/>
          <w:szCs w:val="16"/>
        </w:rPr>
        <w:softHyphen/>
        <w:t>рона появились и на участке между 8-й и 13-й нервюрами. Деформировалась ме</w:t>
      </w:r>
      <w:r w:rsidRPr="00271E51">
        <w:rPr>
          <w:rFonts w:ascii="Times New Roman" w:hAnsi="Times New Roman" w:cs="Times New Roman"/>
          <w:color w:val="000000" w:themeColor="text1"/>
          <w:sz w:val="16"/>
          <w:szCs w:val="16"/>
        </w:rPr>
        <w:softHyphen/>
        <w:t>таллическая обшивка над пушкой. Сме</w:t>
      </w:r>
      <w:r w:rsidRPr="00271E51">
        <w:rPr>
          <w:rFonts w:ascii="Times New Roman" w:hAnsi="Times New Roman" w:cs="Times New Roman"/>
          <w:color w:val="000000" w:themeColor="text1"/>
          <w:sz w:val="16"/>
          <w:szCs w:val="16"/>
        </w:rPr>
        <w:softHyphen/>
        <w:t>стился вниз крайний узел крепления эле</w:t>
      </w:r>
      <w:r w:rsidRPr="00271E51">
        <w:rPr>
          <w:rFonts w:ascii="Times New Roman" w:hAnsi="Times New Roman" w:cs="Times New Roman"/>
          <w:color w:val="000000" w:themeColor="text1"/>
          <w:sz w:val="16"/>
          <w:szCs w:val="16"/>
        </w:rPr>
        <w:softHyphen/>
        <w:t>рона. Кроме этого, сорвало с замков и за</w:t>
      </w:r>
      <w:r w:rsidRPr="00271E51">
        <w:rPr>
          <w:rFonts w:ascii="Times New Roman" w:hAnsi="Times New Roman" w:cs="Times New Roman"/>
          <w:color w:val="000000" w:themeColor="text1"/>
          <w:sz w:val="16"/>
          <w:szCs w:val="16"/>
        </w:rPr>
        <w:softHyphen/>
        <w:t>клинило боковые бронелюки капота мо</w:t>
      </w:r>
      <w:r w:rsidRPr="00271E51">
        <w:rPr>
          <w:rFonts w:ascii="Times New Roman" w:hAnsi="Times New Roman" w:cs="Times New Roman"/>
          <w:color w:val="000000" w:themeColor="text1"/>
          <w:sz w:val="16"/>
          <w:szCs w:val="16"/>
        </w:rPr>
        <w:softHyphen/>
        <w:t>тора, а в обтекателях шасси, зализах и в других местах растрескалась шпатлевка.</w:t>
      </w:r>
    </w:p>
    <w:p w14:paraId="166C1E5A"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Полеты на Ил-2 зав. №302034 завер</w:t>
      </w:r>
      <w:r w:rsidRPr="00271E51">
        <w:rPr>
          <w:rFonts w:ascii="Times New Roman" w:hAnsi="Times New Roman" w:cs="Times New Roman"/>
          <w:color w:val="000000" w:themeColor="text1"/>
          <w:sz w:val="16"/>
          <w:szCs w:val="16"/>
        </w:rPr>
        <w:softHyphen/>
        <w:t>шились вполне удовлетворительно - ис</w:t>
      </w:r>
      <w:r w:rsidRPr="00271E51">
        <w:rPr>
          <w:rFonts w:ascii="Times New Roman" w:hAnsi="Times New Roman" w:cs="Times New Roman"/>
          <w:color w:val="000000" w:themeColor="text1"/>
          <w:sz w:val="16"/>
          <w:szCs w:val="16"/>
        </w:rPr>
        <w:softHyphen/>
        <w:t>пытания на прочность самолет выдер</w:t>
      </w:r>
      <w:r w:rsidRPr="00271E51">
        <w:rPr>
          <w:rFonts w:ascii="Times New Roman" w:hAnsi="Times New Roman" w:cs="Times New Roman"/>
          <w:color w:val="000000" w:themeColor="text1"/>
          <w:sz w:val="16"/>
          <w:szCs w:val="16"/>
        </w:rPr>
        <w:softHyphen/>
        <w:t>жал. Перегрузка при выводе из пикирова</w:t>
      </w:r>
      <w:r w:rsidRPr="00271E51">
        <w:rPr>
          <w:rFonts w:ascii="Times New Roman" w:hAnsi="Times New Roman" w:cs="Times New Roman"/>
          <w:color w:val="000000" w:themeColor="text1"/>
          <w:sz w:val="16"/>
          <w:szCs w:val="16"/>
        </w:rPr>
        <w:softHyphen/>
        <w:t>ния достигала 6,2 единицы. Силовая кон</w:t>
      </w:r>
      <w:r w:rsidRPr="00271E51">
        <w:rPr>
          <w:rFonts w:ascii="Times New Roman" w:hAnsi="Times New Roman" w:cs="Times New Roman"/>
          <w:color w:val="000000" w:themeColor="text1"/>
          <w:sz w:val="16"/>
          <w:szCs w:val="16"/>
        </w:rPr>
        <w:softHyphen/>
        <w:t>струкция крыла повреждений не имела. При этом в 9 случаях пикирования пере</w:t>
      </w:r>
      <w:r w:rsidRPr="00271E51">
        <w:rPr>
          <w:rFonts w:ascii="Times New Roman" w:hAnsi="Times New Roman" w:cs="Times New Roman"/>
          <w:color w:val="000000" w:themeColor="text1"/>
          <w:sz w:val="16"/>
          <w:szCs w:val="16"/>
        </w:rPr>
        <w:softHyphen/>
        <w:t>грузка превосходила 5 единиц, и в 11 - 4,5 единицы.</w:t>
      </w:r>
    </w:p>
    <w:p w14:paraId="4CD51532" w14:textId="77777777" w:rsidR="00C85280" w:rsidRPr="00271E51" w:rsidRDefault="00C8528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заключении отчета по результатам испытаний констатировалось: «профилак</w:t>
      </w:r>
      <w:r w:rsidRPr="00271E51">
        <w:rPr>
          <w:rFonts w:ascii="Times New Roman" w:hAnsi="Times New Roman" w:cs="Times New Roman"/>
          <w:color w:val="000000" w:themeColor="text1"/>
          <w:sz w:val="16"/>
          <w:szCs w:val="16"/>
        </w:rPr>
        <w:softHyphen/>
        <w:t>тический ремонт консолей крыла в поле</w:t>
      </w:r>
      <w:r w:rsidRPr="00271E51">
        <w:rPr>
          <w:rFonts w:ascii="Times New Roman" w:hAnsi="Times New Roman" w:cs="Times New Roman"/>
          <w:color w:val="000000" w:themeColor="text1"/>
          <w:sz w:val="16"/>
          <w:szCs w:val="16"/>
        </w:rPr>
        <w:softHyphen/>
        <w:t>вых условиях (проклейка, прошурупка и частичная замена полотна) не является надежным и не может быть рекомендован для применения» (19558).</w:t>
      </w:r>
    </w:p>
    <w:p w14:paraId="259B0957" w14:textId="77777777" w:rsidR="00C85280" w:rsidRPr="00271E51" w:rsidRDefault="00C85280" w:rsidP="00271E51">
      <w:pPr>
        <w:spacing w:after="0" w:line="240" w:lineRule="auto"/>
        <w:jc w:val="both"/>
        <w:rPr>
          <w:rStyle w:val="9pt80"/>
          <w:rFonts w:ascii="Times New Roman" w:hAnsi="Times New Roman" w:cs="Times New Roman"/>
          <w:color w:val="000000" w:themeColor="text1"/>
          <w:w w:val="100"/>
          <w:sz w:val="16"/>
          <w:szCs w:val="16"/>
        </w:rPr>
      </w:pPr>
    </w:p>
    <w:p w14:paraId="47C210D8" w14:textId="77777777" w:rsidR="00C85280" w:rsidRPr="00271E51" w:rsidRDefault="00C85280" w:rsidP="00271E51">
      <w:pPr>
        <w:pStyle w:val="ae"/>
        <w:spacing w:before="0" w:after="0"/>
        <w:jc w:val="both"/>
        <w:textAlignment w:val="baseline"/>
        <w:rPr>
          <w:color w:val="000000" w:themeColor="text1"/>
          <w:sz w:val="16"/>
          <w:szCs w:val="16"/>
        </w:rPr>
      </w:pPr>
      <w:r w:rsidRPr="00271E51">
        <w:rPr>
          <w:color w:val="000000" w:themeColor="text1"/>
          <w:sz w:val="16"/>
          <w:szCs w:val="16"/>
        </w:rPr>
        <w:t>Вечером 6 июля 1943 четыре Ил-2 из 290-й шад атаковали аэродром Толоконное, на котором их экипажи насчитали 40–50 припаркованных «Мессершмиттов». Пять из них летчики посчитали уничтоженными и еще десять поврежденными. В этот же день бомбардировке и обстрелу с воздуха подверглись полевые аэродромы Болдыревка, Дудовка и Головино (19522).</w:t>
      </w:r>
    </w:p>
    <w:p w14:paraId="7B0CF7D2" w14:textId="77777777" w:rsidR="00C85280" w:rsidRPr="00271E51" w:rsidRDefault="00C85280" w:rsidP="00271E51">
      <w:pPr>
        <w:pStyle w:val="ae"/>
        <w:spacing w:before="0" w:after="0"/>
        <w:jc w:val="both"/>
        <w:textAlignment w:val="baseline"/>
        <w:rPr>
          <w:color w:val="000000" w:themeColor="text1"/>
          <w:sz w:val="16"/>
          <w:szCs w:val="16"/>
        </w:rPr>
      </w:pPr>
    </w:p>
    <w:p w14:paraId="3B8C2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С.В.И. писал А.И.Ш. письмо N 1/753с:</w:t>
      </w:r>
    </w:p>
    <w:p w14:paraId="0BA066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 А.А.М. предложил осуществить на АМ-42 10 часовую "боевую мощность" с использованием этой мощности этапами длительностью не более 5 мин.</w:t>
      </w:r>
    </w:p>
    <w:p w14:paraId="2379F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АМ-42: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558"/>
        <w:gridCol w:w="1558"/>
      </w:tblGrid>
      <w:tr w:rsidR="00A907A5" w:rsidRPr="00271E51" w14:paraId="5566279E" w14:textId="77777777" w:rsidTr="00ED5B0A">
        <w:tc>
          <w:tcPr>
            <w:tcW w:w="2518" w:type="dxa"/>
          </w:tcPr>
          <w:p w14:paraId="18039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8" w:type="dxa"/>
          </w:tcPr>
          <w:p w14:paraId="5DEFCB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 мощность</w:t>
            </w:r>
          </w:p>
        </w:tc>
        <w:tc>
          <w:tcPr>
            <w:tcW w:w="1558" w:type="dxa"/>
          </w:tcPr>
          <w:p w14:paraId="53509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мощн.</w:t>
            </w:r>
          </w:p>
        </w:tc>
      </w:tr>
      <w:tr w:rsidR="00A907A5" w:rsidRPr="00271E51" w14:paraId="29B2AAFF" w14:textId="77777777" w:rsidTr="00ED5B0A">
        <w:tc>
          <w:tcPr>
            <w:tcW w:w="2518" w:type="dxa"/>
          </w:tcPr>
          <w:p w14:paraId="4B0AA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 мощн.</w:t>
            </w:r>
          </w:p>
        </w:tc>
        <w:tc>
          <w:tcPr>
            <w:tcW w:w="1558" w:type="dxa"/>
          </w:tcPr>
          <w:p w14:paraId="734AE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558" w:type="dxa"/>
          </w:tcPr>
          <w:p w14:paraId="1C5FF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w:t>
            </w:r>
          </w:p>
        </w:tc>
      </w:tr>
      <w:tr w:rsidR="00A907A5" w:rsidRPr="00271E51" w14:paraId="7CF24450" w14:textId="77777777" w:rsidTr="00ED5B0A">
        <w:tc>
          <w:tcPr>
            <w:tcW w:w="2518" w:type="dxa"/>
          </w:tcPr>
          <w:p w14:paraId="4656CB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Номинальная мощ. у земли</w:t>
            </w:r>
          </w:p>
        </w:tc>
        <w:tc>
          <w:tcPr>
            <w:tcW w:w="1558" w:type="dxa"/>
          </w:tcPr>
          <w:p w14:paraId="0ABE9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1750</w:t>
            </w:r>
          </w:p>
        </w:tc>
        <w:tc>
          <w:tcPr>
            <w:tcW w:w="1558" w:type="dxa"/>
          </w:tcPr>
          <w:p w14:paraId="4BBBC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w:t>
            </w:r>
          </w:p>
        </w:tc>
      </w:tr>
      <w:tr w:rsidR="00A907A5" w:rsidRPr="00271E51" w14:paraId="1CA24587" w14:textId="77777777" w:rsidTr="00ED5B0A">
        <w:tc>
          <w:tcPr>
            <w:tcW w:w="2518" w:type="dxa"/>
          </w:tcPr>
          <w:p w14:paraId="75339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Номинальная мощ.</w:t>
            </w:r>
          </w:p>
        </w:tc>
        <w:tc>
          <w:tcPr>
            <w:tcW w:w="1558" w:type="dxa"/>
          </w:tcPr>
          <w:p w14:paraId="587B0E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8" w:type="dxa"/>
          </w:tcPr>
          <w:p w14:paraId="03DBA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EE606D" w14:textId="77777777" w:rsidTr="00ED5B0A">
        <w:tc>
          <w:tcPr>
            <w:tcW w:w="2518" w:type="dxa"/>
          </w:tcPr>
          <w:p w14:paraId="18520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1500 м</w:t>
            </w:r>
          </w:p>
        </w:tc>
        <w:tc>
          <w:tcPr>
            <w:tcW w:w="1558" w:type="dxa"/>
          </w:tcPr>
          <w:p w14:paraId="1E7F0F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1750</w:t>
            </w:r>
          </w:p>
        </w:tc>
        <w:tc>
          <w:tcPr>
            <w:tcW w:w="1558" w:type="dxa"/>
          </w:tcPr>
          <w:p w14:paraId="0B721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2080</w:t>
            </w:r>
          </w:p>
        </w:tc>
      </w:tr>
    </w:tbl>
    <w:p w14:paraId="20F5F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сем представляю проект приказа, согласованный с А.А.М. (1775,100).</w:t>
      </w:r>
    </w:p>
    <w:p w14:paraId="17D56E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5A4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 по 12 июля 1943 с завода № 19 на завод № 21 согласно разрешению Новикова было отправлено 168 моторов М-82ФН и 22 из них успели установить на самолеты. Мо</w:t>
      </w:r>
      <w:r w:rsidRPr="00271E51">
        <w:rPr>
          <w:rFonts w:ascii="Times New Roman" w:hAnsi="Times New Roman"/>
          <w:color w:val="000000" w:themeColor="text1"/>
          <w:sz w:val="16"/>
          <w:szCs w:val="16"/>
        </w:rPr>
        <w:softHyphen/>
        <w:t>торы эти были изготовлены в июне-июле месяцах. Решением Военного Совета ВВС 168 моторов М-82ФН, находящихся на заводе № 21 должны были быть от</w:t>
      </w:r>
      <w:r w:rsidRPr="00271E51">
        <w:rPr>
          <w:rFonts w:ascii="Times New Roman" w:hAnsi="Times New Roman"/>
          <w:color w:val="000000" w:themeColor="text1"/>
          <w:sz w:val="16"/>
          <w:szCs w:val="16"/>
        </w:rPr>
        <w:softHyphen/>
        <w:t>правлены обратно на завод № 19 для переборки и доделок по колен</w:t>
      </w:r>
      <w:r w:rsidRPr="00271E51">
        <w:rPr>
          <w:rFonts w:ascii="Times New Roman" w:hAnsi="Times New Roman"/>
          <w:color w:val="000000" w:themeColor="text1"/>
          <w:sz w:val="16"/>
          <w:szCs w:val="16"/>
        </w:rPr>
        <w:softHyphen/>
        <w:t>чатым валам, так как они имели ава</w:t>
      </w:r>
      <w:r w:rsidRPr="00271E51">
        <w:rPr>
          <w:rFonts w:ascii="Times New Roman" w:hAnsi="Times New Roman"/>
          <w:color w:val="000000" w:themeColor="text1"/>
          <w:sz w:val="16"/>
          <w:szCs w:val="16"/>
        </w:rPr>
        <w:softHyphen/>
        <w:t>рийные дефекты. В результате вы</w:t>
      </w:r>
      <w:r w:rsidRPr="00271E51">
        <w:rPr>
          <w:rFonts w:ascii="Times New Roman" w:hAnsi="Times New Roman"/>
          <w:color w:val="000000" w:themeColor="text1"/>
          <w:sz w:val="16"/>
          <w:szCs w:val="16"/>
        </w:rPr>
        <w:softHyphen/>
        <w:t>пуск Ла-5 с М-82ФН в июле 1943 года на заводе №21 фактически был остановлен. Директор завода №19 А.Г. Солдатов, а затем и нарком .А.И. Шахурин не согласились с этим ре</w:t>
      </w:r>
      <w:r w:rsidRPr="00271E51">
        <w:rPr>
          <w:rFonts w:ascii="Times New Roman" w:hAnsi="Times New Roman"/>
          <w:color w:val="000000" w:themeColor="text1"/>
          <w:sz w:val="16"/>
          <w:szCs w:val="16"/>
        </w:rPr>
        <w:softHyphen/>
        <w:t>шением, и спор был вынесен на ре</w:t>
      </w:r>
      <w:r w:rsidRPr="00271E51">
        <w:rPr>
          <w:rFonts w:ascii="Times New Roman" w:hAnsi="Times New Roman"/>
          <w:color w:val="000000" w:themeColor="text1"/>
          <w:sz w:val="16"/>
          <w:szCs w:val="16"/>
        </w:rPr>
        <w:softHyphen/>
        <w:t>шение члена ГКО секретаря ЦК ВКП(б) Г.М. Маленкова (10723).</w:t>
      </w:r>
    </w:p>
    <w:p w14:paraId="5D7234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3E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 по 14 июля 1943 в НИИ ВВС прошли контрольные испытания Як-6 № Э014347 з-да № 47, сделанного в мае 1943.</w:t>
      </w:r>
    </w:p>
    <w:p w14:paraId="0B94D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м М.Д.Яськов, вл м А.В.Синельников.</w:t>
      </w:r>
    </w:p>
    <w:p w14:paraId="6738B6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серийных отличался:</w:t>
      </w:r>
    </w:p>
    <w:p w14:paraId="05AF67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сделано разъемным,</w:t>
      </w:r>
    </w:p>
    <w:p w14:paraId="351C4C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Увеличена стреловидность консолей с 9 гр до 15 гр, а поперечное V с 8.50 до 10.50,</w:t>
      </w:r>
    </w:p>
    <w:p w14:paraId="19BDDF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Увеличена площадь элеронов с 1.93 м до 2.13 м,</w:t>
      </w:r>
    </w:p>
    <w:p w14:paraId="243F9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Изменен угол установки стабилизатора с -3 до 0,</w:t>
      </w:r>
    </w:p>
    <w:p w14:paraId="37B73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правой стороны фюзеляжа сделан двустворчатый люк размером 850х1100 мм, открывающийся внутрь,</w:t>
      </w:r>
    </w:p>
    <w:p w14:paraId="0C0E8D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консолях поставили баки по 90 л и увеличили запас с 380 до 560 л,</w:t>
      </w:r>
    </w:p>
    <w:p w14:paraId="2544C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Поставили выхлопные коллекторы,</w:t>
      </w:r>
    </w:p>
    <w:p w14:paraId="5BD98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поставили одну большую Вентури вместо трех малых для АГ,</w:t>
      </w:r>
    </w:p>
    <w:p w14:paraId="442E9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Подняли сидение на 45 мм и отклонили спинку на 40 мм.</w:t>
      </w:r>
    </w:p>
    <w:p w14:paraId="4B0B70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Улучшились поперечная и продольная устойчивость и пилотажные свойства, но мал диапазон скоростей и раскрутка винта (4657, 19).</w:t>
      </w:r>
    </w:p>
    <w:p w14:paraId="10E28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F6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года начальник отдела внешних сношений НКО полковник Евстегнеев писал письмо N 1411200с Шахурину.</w:t>
      </w:r>
    </w:p>
    <w:p w14:paraId="5A949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Находящийся в СССР капитан армии США Риккенбеккер, являющийся представителем Военного министерства США, обращается к Вам, через отдел внешних сношений НКО, с просьбой разрешить посетить ему следующие объекты:</w:t>
      </w:r>
    </w:p>
    <w:p w14:paraId="1104E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Завод, производящий авиационное вооружение;</w:t>
      </w:r>
    </w:p>
    <w:p w14:paraId="053B4C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Авиационный завод, производящий штурмовики.</w:t>
      </w:r>
    </w:p>
    <w:p w14:paraId="4EF56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Риккенбеккер просит решить этот вопрос в ближайшие один-два дня, в связи с его скорым отъездом из СССР.</w:t>
      </w:r>
    </w:p>
    <w:p w14:paraId="37268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Сообщая об изложенном, прошу Вашего решения (1778,214).</w:t>
      </w:r>
    </w:p>
    <w:p w14:paraId="5D5B6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0AB82" w14:textId="77777777" w:rsidR="00236356" w:rsidRPr="00271E51" w:rsidRDefault="0023635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6 по 12 июля 1943 с завода № 19 от</w:t>
      </w:r>
      <w:r w:rsidRPr="00271E51">
        <w:rPr>
          <w:rFonts w:ascii="Times New Roman" w:cs="Times New Roman"/>
          <w:color w:val="000000" w:themeColor="text1"/>
          <w:spacing w:val="0"/>
        </w:rPr>
        <w:softHyphen/>
        <w:t>правили в Горький 168 штук моторов непроверенных М-82ФН, и 22 из них успели устано</w:t>
      </w:r>
      <w:r w:rsidRPr="00271E51">
        <w:rPr>
          <w:rFonts w:ascii="Times New Roman" w:cs="Times New Roman"/>
          <w:color w:val="000000" w:themeColor="text1"/>
          <w:spacing w:val="0"/>
        </w:rPr>
        <w:softHyphen/>
        <w:t>вить на машины. Моторы эти изготовили в июне—июле.</w:t>
      </w:r>
    </w:p>
    <w:p w14:paraId="7B7066A6" w14:textId="77777777" w:rsidR="00236356" w:rsidRPr="00271E51" w:rsidRDefault="0023635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Тем временем, в течение июня и по 16 июля постави</w:t>
      </w:r>
      <w:r w:rsidRPr="00271E51">
        <w:rPr>
          <w:rFonts w:ascii="Times New Roman" w:cs="Times New Roman"/>
          <w:color w:val="000000" w:themeColor="text1"/>
          <w:spacing w:val="0"/>
        </w:rPr>
        <w:softHyphen/>
        <w:t>ли на комиссионное испытание 8 моторов за №N9 8211247, -246, -174, -349, -428, -241, -255, -424. Указанные моторы сняли с испытаний по следующим дефектам: поломка ко</w:t>
      </w:r>
      <w:r w:rsidRPr="00271E51">
        <w:rPr>
          <w:rFonts w:ascii="Times New Roman" w:cs="Times New Roman"/>
          <w:color w:val="000000" w:themeColor="text1"/>
          <w:spacing w:val="0"/>
        </w:rPr>
        <w:softHyphen/>
        <w:t>ленвала — 2 мотора, обрыв и трещины гильзы цилиндра — 2 мотора, разрушение веду</w:t>
      </w:r>
      <w:r w:rsidRPr="00271E51">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271E51">
        <w:rPr>
          <w:rFonts w:ascii="Times New Roman" w:cs="Times New Roman"/>
          <w:color w:val="000000" w:themeColor="text1"/>
          <w:spacing w:val="0"/>
        </w:rPr>
        <w:softHyphen/>
        <w:t>щего аппарата крыльчатки — 1 мотор, обрыв всасывающего клапана — 2 мотора.</w:t>
      </w:r>
    </w:p>
    <w:p w14:paraId="221EF900" w14:textId="77777777" w:rsidR="00236356" w:rsidRPr="00271E51" w:rsidRDefault="0023635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271E51">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271E51">
        <w:rPr>
          <w:rFonts w:ascii="Times New Roman" w:cs="Times New Roman"/>
          <w:color w:val="000000" w:themeColor="text1"/>
          <w:spacing w:val="0"/>
        </w:rPr>
        <w:softHyphen/>
        <w:t>сли на решение члена ГКО секретаря ЦК ВКП(б) Г.М. Маленкова (15813).</w:t>
      </w:r>
    </w:p>
    <w:p w14:paraId="194330DF" w14:textId="77777777" w:rsidR="00236356" w:rsidRPr="00271E51" w:rsidRDefault="00236356" w:rsidP="00271E51">
      <w:pPr>
        <w:pStyle w:val="27"/>
        <w:shd w:val="clear" w:color="auto" w:fill="auto"/>
        <w:spacing w:after="0" w:line="240" w:lineRule="auto"/>
        <w:ind w:firstLine="0"/>
        <w:rPr>
          <w:rFonts w:ascii="Times New Roman" w:cs="Times New Roman"/>
          <w:color w:val="000000" w:themeColor="text1"/>
          <w:spacing w:val="0"/>
        </w:rPr>
      </w:pPr>
    </w:p>
    <w:p w14:paraId="41B69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июля 1943 г. руководством НКБ СССР и командованием Главного управления вооружения гвардейских минометных частей Ставки Верховного Главнокомандования (ГУВГМЧ СВГК) были утверждены ТУ на изготовление и прием ракетных зарядов для M-13, М-8 и M-31. Эти ТУ не только сыграли "исключительную роль при производстве ракетных зарядов в 1943-1945 гг., но и послужили фундаментом для разработки технической документации на ракетные заряды послевоенного периода. Учитывая, что эта техническая документация аккумулирует в себе бесценный опыт производства ракетных зарядов в период войны, приведу краткое изложение основного содержания описываемых технических условий, взяв за основу ТУ на изготовление и прием зарядов для снаряда M-13. Требования и структура ТУ для зарядов к М-8 и M-31 аналогичны ТУ на заряда к M-13. </w:t>
      </w:r>
    </w:p>
    <w:p w14:paraId="1445B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ТУ состоял из десяти разделов (определение и назначение, индексация, технические требования, ТУ на исходные материалы, комплектование зарядов, укупорка, маркировка, правила приема, методы испытаний и правила хранения), и трех приложений (перечень ТУ и ОСТ, необходимых при изготовлении и приемке, инструкции на производство стендовых испытаний и химический анализ порохов). Чертеж на пороховой заряд не разрабатывался. Все необходимые для изготовления зарядов данные содержались в ТУ. </w:t>
      </w:r>
    </w:p>
    <w:p w14:paraId="520D6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Остановлюсь подробнее на некоторых формулировках и требованиях ТУ. Впервые в техническую документацию была введена индексация ракетного заряда, содержавшая в очень краткой форме необходимый минимум информации об изготовленном заряде. </w:t>
      </w:r>
    </w:p>
    <w:p w14:paraId="680FA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Индекс партии зарядов был представлен дробью, в числителе которой указывались наименование пороха, условное обозначение реактивного снаряда, для которого изготовлена партия зарядов, (номер партии пороха, год ее выпуска и условное обозначение завода-изготовителя. В знаменателе указывался номер партии зарядов, год ее выпуска и условное обозначение завода-изготовителя. </w:t>
      </w:r>
    </w:p>
    <w:p w14:paraId="3BEB4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разделе "Технические требования" приводился химический состав порохов, применявшихся для изготовления зарядов, и указывались допуска на содержание компонентов, а также требования по калорийности пороха.</w:t>
      </w:r>
    </w:p>
    <w:p w14:paraId="4CBB2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Подчеркивалось, что калорийность пороха должна определяться как при пофазном контроле пороховых смесей, так и в готовых изделиях. Непосредственно в ТУ приводились требования к размерам пороховых шашек (наружный диаметр, диаметр канала и длина), с допусками. Указывалось, что в заряд может быть введена одна шашка диаметром на 0,2 мм ниже нижнего предела и одна шашка укороченная при условии обеспечения требований по массе заряда. Допускалась разносводность шашки (но не более 1,5 мм), а также непараллельность торцов, овальность и косина среза (в пределах допусков по размерам). Прямолинейность отдельных шашек не проверялась, но полный заряд должен был свободно, без усилий входить в контрольную камеры. </w:t>
      </w:r>
    </w:p>
    <w:p w14:paraId="43CBCC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ТУ были сформулированы требования по внешнему виду пороховых шашек. Не допускались шашки, имевшие внешние дефекты четырех видов: торцевые воздушные включения, трещины на поверхности, отчетливую слоистую структуру на торцах, ясно выраженные следы иглодержателей на торцах и боковой поверхности. Допускались шашки с отколами по торцу с наружной поверхности, если длина и толщина откола менее 5 мм, с инородными включениями (дерево, бумага) площадью до 5 мм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и числом не более трех, с шероховатой поверхностью (устанавливался эталон), с поверхностными воздушными включениями по всей длине, шашек шириной до 2 мм и глубиной до 1 мм. </w:t>
      </w:r>
    </w:p>
    <w:p w14:paraId="7C7CB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Устанавливалось, что влажность пороха не должна превышать 1%, а удельный вес пороха должен быть не менее 1,57 г/см . Предъявлялись требования по химической стойкости пороха: </w:t>
      </w:r>
    </w:p>
    <w:p w14:paraId="56D8FD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проба Абеля при 82°С — не менее 8 мин; </w:t>
      </w:r>
    </w:p>
    <w:p w14:paraId="5D81A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проба Абеля (повторная) при 106,5°С — не менее 25 ч, </w:t>
      </w:r>
    </w:p>
    <w:p w14:paraId="51726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проба до появления бурых паров при 132°С — не менее 100 мин. </w:t>
      </w:r>
    </w:p>
    <w:p w14:paraId="2DFCB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Изготовленные заряды подвергались стендовым испытаниям сериями по семь счетных сжиганий только при положительной температуре заряда 40°С (испытания при отрицательной температуре заряда, как правило, не проводились). При испытаниях определялось только давление газов. </w:t>
      </w:r>
    </w:p>
    <w:p w14:paraId="54235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 каждом из опытов не допускалось выше 285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причем среднее давление в серии не должно было превышать 250 кг/см2. Для рецептур Н и НДК дополнительно требовалось, чтобы среднее давление в серии было не менее 175 кг/см2, в противном случае проводились испытания при температуре минус 40°С. Партия принималась, если не было затуханий и хлопков. Если при испытаниях не выдерживались требования по среднему или максимальному давлению газов, то партия зарядов возвращалась заводу на исправление и при повторном предъявлении испытывалась серией из 14 опытов. </w:t>
      </w:r>
    </w:p>
    <w:p w14:paraId="6AFCC5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Предъявлялись требования и по стабильности баллистических характеристик в партии. Отклонение максимального и минимального давлений от среднего не могло превышать ±13%. Требования по полному импульсу реактивной силы, а также по времени работы заряда не предъявлялись. В разделе "Комплектация" указывалось число шашек в заряде, масса заряда с допуском и др. </w:t>
      </w:r>
    </w:p>
    <w:p w14:paraId="7E2F83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разделе "Правила приема" указывалось, что заряды предъявляются военному представителю партиями от 500 до 5000 комплектов (можно частями, но не менее 10 ящиков). Для наружного осмотра и обмера бралось не менее 5% зарядов, а для обмера и производства физико-химических испытаний отбиралось 20-30 шашек. В ТУ подчеркивалось, что заряды должны изготовляться по технологическому регламенту, утвержденному НКБ СССР. </w:t>
      </w:r>
    </w:p>
    <w:p w14:paraId="7FD3A9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таблице 2 даны характеристики зарядов для авиационных снарядов РС-82 и PC-132, а также для снарядов M-13, М-8 и M-31 с указанием производственных допусков, которыми руководствовались при изготовлении зарядов во время Великой Отечественной войны. </w:t>
      </w:r>
    </w:p>
    <w:p w14:paraId="7628C6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w:t>
      </w:r>
    </w:p>
    <w:p w14:paraId="1541B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ракетных зарядов к реактивным снарядам Советской Армии периода Великой Отечественной войны</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802"/>
        <w:gridCol w:w="748"/>
        <w:gridCol w:w="748"/>
        <w:gridCol w:w="2030"/>
        <w:gridCol w:w="854"/>
        <w:gridCol w:w="1175"/>
      </w:tblGrid>
      <w:tr w:rsidR="00A907A5" w:rsidRPr="00271E51" w14:paraId="39ECBC83" w14:textId="77777777" w:rsidTr="00ED5B0A">
        <w:trPr>
          <w:jc w:val="center"/>
        </w:trPr>
        <w:tc>
          <w:tcPr>
            <w:tcW w:w="3802" w:type="dxa"/>
            <w:tcBorders>
              <w:top w:val="single" w:sz="12" w:space="0" w:color="auto"/>
            </w:tcBorders>
          </w:tcPr>
          <w:p w14:paraId="143C4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w:t>
            </w:r>
          </w:p>
        </w:tc>
        <w:tc>
          <w:tcPr>
            <w:tcW w:w="748" w:type="dxa"/>
            <w:gridSpan w:val="5"/>
            <w:tcBorders>
              <w:top w:val="single" w:sz="12" w:space="0" w:color="auto"/>
            </w:tcBorders>
          </w:tcPr>
          <w:p w14:paraId="66B7F2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Реактивные снаряды</w:t>
            </w:r>
          </w:p>
        </w:tc>
      </w:tr>
      <w:tr w:rsidR="00A907A5" w:rsidRPr="00271E51" w14:paraId="0E4D7797" w14:textId="77777777" w:rsidTr="00ED5B0A">
        <w:trPr>
          <w:jc w:val="center"/>
        </w:trPr>
        <w:tc>
          <w:tcPr>
            <w:tcW w:w="3802" w:type="dxa"/>
          </w:tcPr>
          <w:p w14:paraId="4A08B8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8" w:type="dxa"/>
            <w:gridSpan w:val="2"/>
          </w:tcPr>
          <w:p w14:paraId="4B901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Авиационные</w:t>
            </w:r>
          </w:p>
        </w:tc>
        <w:tc>
          <w:tcPr>
            <w:tcW w:w="2030" w:type="dxa"/>
            <w:gridSpan w:val="3"/>
          </w:tcPr>
          <w:p w14:paraId="713160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Сухопутные</w:t>
            </w:r>
          </w:p>
        </w:tc>
      </w:tr>
      <w:tr w:rsidR="00A907A5" w:rsidRPr="00271E51" w14:paraId="0389BCCF" w14:textId="77777777" w:rsidTr="00ED5B0A">
        <w:trPr>
          <w:jc w:val="center"/>
        </w:trPr>
        <w:tc>
          <w:tcPr>
            <w:tcW w:w="3802" w:type="dxa"/>
          </w:tcPr>
          <w:p w14:paraId="4CF19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8" w:type="dxa"/>
          </w:tcPr>
          <w:p w14:paraId="6BA12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РС-82</w:t>
            </w:r>
          </w:p>
        </w:tc>
        <w:tc>
          <w:tcPr>
            <w:tcW w:w="748" w:type="dxa"/>
          </w:tcPr>
          <w:p w14:paraId="21AFE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PС-132</w:t>
            </w:r>
          </w:p>
        </w:tc>
        <w:tc>
          <w:tcPr>
            <w:tcW w:w="2030" w:type="dxa"/>
          </w:tcPr>
          <w:p w14:paraId="7511A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w:t>
            </w:r>
          </w:p>
        </w:tc>
        <w:tc>
          <w:tcPr>
            <w:tcW w:w="854" w:type="dxa"/>
          </w:tcPr>
          <w:p w14:paraId="420C7E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w:t>
            </w:r>
          </w:p>
        </w:tc>
        <w:tc>
          <w:tcPr>
            <w:tcW w:w="1175" w:type="dxa"/>
          </w:tcPr>
          <w:p w14:paraId="746C8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M-31</w:t>
            </w:r>
          </w:p>
        </w:tc>
      </w:tr>
      <w:tr w:rsidR="00A907A5" w:rsidRPr="00271E51" w14:paraId="4B6A1E70" w14:textId="77777777" w:rsidTr="00ED5B0A">
        <w:trPr>
          <w:jc w:val="center"/>
        </w:trPr>
        <w:tc>
          <w:tcPr>
            <w:tcW w:w="3802" w:type="dxa"/>
          </w:tcPr>
          <w:p w14:paraId="561D0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пороха</w:t>
            </w:r>
          </w:p>
        </w:tc>
        <w:tc>
          <w:tcPr>
            <w:tcW w:w="748" w:type="dxa"/>
          </w:tcPr>
          <w:p w14:paraId="338B2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748" w:type="dxa"/>
          </w:tcPr>
          <w:p w14:paraId="7BF24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2030" w:type="dxa"/>
          </w:tcPr>
          <w:p w14:paraId="185F91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 НДК, НМ-2, НМ-4Ш</w:t>
            </w:r>
          </w:p>
        </w:tc>
        <w:tc>
          <w:tcPr>
            <w:tcW w:w="854" w:type="dxa"/>
          </w:tcPr>
          <w:p w14:paraId="2564F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w:t>
            </w:r>
          </w:p>
        </w:tc>
        <w:tc>
          <w:tcPr>
            <w:tcW w:w="1175" w:type="dxa"/>
          </w:tcPr>
          <w:p w14:paraId="2CFB9A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H-31, HM-31</w:t>
            </w:r>
          </w:p>
        </w:tc>
      </w:tr>
      <w:tr w:rsidR="00A907A5" w:rsidRPr="00271E51" w14:paraId="51576C90" w14:textId="77777777" w:rsidTr="00ED5B0A">
        <w:trPr>
          <w:jc w:val="center"/>
        </w:trPr>
        <w:tc>
          <w:tcPr>
            <w:tcW w:w="3802" w:type="dxa"/>
          </w:tcPr>
          <w:p w14:paraId="411E9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ракетного заряда, г</w:t>
            </w:r>
          </w:p>
        </w:tc>
        <w:tc>
          <w:tcPr>
            <w:tcW w:w="748" w:type="dxa"/>
          </w:tcPr>
          <w:p w14:paraId="4E063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1040±10</w:t>
            </w:r>
          </w:p>
        </w:tc>
        <w:tc>
          <w:tcPr>
            <w:tcW w:w="748" w:type="dxa"/>
          </w:tcPr>
          <w:p w14:paraId="5F68CA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3500±35</w:t>
            </w:r>
          </w:p>
        </w:tc>
        <w:tc>
          <w:tcPr>
            <w:tcW w:w="2030" w:type="dxa"/>
          </w:tcPr>
          <w:p w14:paraId="301751EA" w14:textId="77777777" w:rsidR="004E18F4"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7050±35 НДК)</w:t>
            </w:r>
          </w:p>
          <w:p w14:paraId="52295D7B" w14:textId="5D055193"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7130±35</w:t>
            </w:r>
          </w:p>
          <w:p w14:paraId="17F41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 НМ-4Ш)</w:t>
            </w:r>
          </w:p>
        </w:tc>
        <w:tc>
          <w:tcPr>
            <w:tcW w:w="854" w:type="dxa"/>
          </w:tcPr>
          <w:p w14:paraId="0AB86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1180±10</w:t>
            </w:r>
          </w:p>
        </w:tc>
        <w:tc>
          <w:tcPr>
            <w:tcW w:w="1175" w:type="dxa"/>
          </w:tcPr>
          <w:p w14:paraId="7EA10631" w14:textId="77777777" w:rsidR="004E18F4"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11250±50 (H-31)</w:t>
            </w:r>
          </w:p>
          <w:p w14:paraId="5EC1F16B" w14:textId="09AE4BDD"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11150±50 (HM-31)</w:t>
            </w:r>
          </w:p>
        </w:tc>
      </w:tr>
      <w:tr w:rsidR="00A907A5" w:rsidRPr="00271E51" w14:paraId="32033992" w14:textId="77777777" w:rsidTr="00ED5B0A">
        <w:trPr>
          <w:jc w:val="center"/>
        </w:trPr>
        <w:tc>
          <w:tcPr>
            <w:tcW w:w="3802" w:type="dxa"/>
          </w:tcPr>
          <w:p w14:paraId="21ECB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пороховых шашек в заряде, шт.</w:t>
            </w:r>
          </w:p>
        </w:tc>
        <w:tc>
          <w:tcPr>
            <w:tcW w:w="748" w:type="dxa"/>
          </w:tcPr>
          <w:p w14:paraId="103141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48" w:type="dxa"/>
          </w:tcPr>
          <w:p w14:paraId="4CA57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2030" w:type="dxa"/>
          </w:tcPr>
          <w:p w14:paraId="020566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854" w:type="dxa"/>
          </w:tcPr>
          <w:p w14:paraId="24450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175" w:type="dxa"/>
          </w:tcPr>
          <w:p w14:paraId="08474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47D76102" w14:textId="77777777" w:rsidTr="00ED5B0A">
        <w:trPr>
          <w:jc w:val="center"/>
        </w:trPr>
        <w:tc>
          <w:tcPr>
            <w:tcW w:w="3802" w:type="dxa"/>
            <w:gridSpan w:val="6"/>
          </w:tcPr>
          <w:p w14:paraId="40C45A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Размеры шашек с допусками:</w:t>
            </w:r>
          </w:p>
        </w:tc>
      </w:tr>
      <w:tr w:rsidR="00A907A5" w:rsidRPr="00271E51" w14:paraId="1D81F038" w14:textId="77777777" w:rsidTr="00ED5B0A">
        <w:trPr>
          <w:jc w:val="center"/>
        </w:trPr>
        <w:tc>
          <w:tcPr>
            <w:tcW w:w="3802" w:type="dxa"/>
          </w:tcPr>
          <w:p w14:paraId="2CB17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наружный диаметр, мм</w:t>
            </w:r>
          </w:p>
        </w:tc>
        <w:tc>
          <w:tcPr>
            <w:tcW w:w="748" w:type="dxa"/>
          </w:tcPr>
          <w:p w14:paraId="2E8189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24±0,6</w:t>
            </w:r>
          </w:p>
        </w:tc>
        <w:tc>
          <w:tcPr>
            <w:tcW w:w="748" w:type="dxa"/>
          </w:tcPr>
          <w:p w14:paraId="3A8916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40±1</w:t>
            </w:r>
          </w:p>
        </w:tc>
        <w:tc>
          <w:tcPr>
            <w:tcW w:w="2030" w:type="dxa"/>
          </w:tcPr>
          <w:p w14:paraId="3842CD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40±1</w:t>
            </w:r>
          </w:p>
        </w:tc>
        <w:tc>
          <w:tcPr>
            <w:tcW w:w="854" w:type="dxa"/>
          </w:tcPr>
          <w:p w14:paraId="75DD59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26,6±0,6</w:t>
            </w:r>
          </w:p>
        </w:tc>
        <w:tc>
          <w:tcPr>
            <w:tcW w:w="1175" w:type="dxa"/>
          </w:tcPr>
          <w:p w14:paraId="47BFA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w:t>
            </w:r>
          </w:p>
        </w:tc>
      </w:tr>
      <w:tr w:rsidR="00A907A5" w:rsidRPr="00271E51" w14:paraId="2F990D68" w14:textId="77777777" w:rsidTr="00ED5B0A">
        <w:trPr>
          <w:jc w:val="center"/>
        </w:trPr>
        <w:tc>
          <w:tcPr>
            <w:tcW w:w="3802" w:type="dxa"/>
          </w:tcPr>
          <w:p w14:paraId="1CE96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канала, мм</w:t>
            </w:r>
          </w:p>
        </w:tc>
        <w:tc>
          <w:tcPr>
            <w:tcW w:w="748" w:type="dxa"/>
          </w:tcPr>
          <w:p w14:paraId="4082C6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6±0,5</w:t>
            </w:r>
          </w:p>
        </w:tc>
        <w:tc>
          <w:tcPr>
            <w:tcW w:w="748" w:type="dxa"/>
          </w:tcPr>
          <w:p w14:paraId="73FD4D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8±0,5</w:t>
            </w:r>
          </w:p>
        </w:tc>
        <w:tc>
          <w:tcPr>
            <w:tcW w:w="2030" w:type="dxa"/>
          </w:tcPr>
          <w:p w14:paraId="578AC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8±0,5</w:t>
            </w:r>
          </w:p>
        </w:tc>
        <w:tc>
          <w:tcPr>
            <w:tcW w:w="854" w:type="dxa"/>
          </w:tcPr>
          <w:p w14:paraId="02BD2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6±0,5</w:t>
            </w:r>
          </w:p>
        </w:tc>
        <w:tc>
          <w:tcPr>
            <w:tcW w:w="1175" w:type="dxa"/>
          </w:tcPr>
          <w:p w14:paraId="2D04E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r>
      <w:tr w:rsidR="00A907A5" w:rsidRPr="00271E51" w14:paraId="71399E2A" w14:textId="77777777" w:rsidTr="00ED5B0A">
        <w:trPr>
          <w:jc w:val="center"/>
        </w:trPr>
        <w:tc>
          <w:tcPr>
            <w:tcW w:w="3802" w:type="dxa"/>
            <w:tcBorders>
              <w:bottom w:val="single" w:sz="12" w:space="0" w:color="auto"/>
            </w:tcBorders>
          </w:tcPr>
          <w:p w14:paraId="1DA420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шашки, мм</w:t>
            </w:r>
          </w:p>
        </w:tc>
        <w:tc>
          <w:tcPr>
            <w:tcW w:w="748" w:type="dxa"/>
            <w:tcBorders>
              <w:bottom w:val="single" w:sz="12" w:space="0" w:color="auto"/>
            </w:tcBorders>
          </w:tcPr>
          <w:p w14:paraId="3C6F7C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230±3</w:t>
            </w:r>
          </w:p>
        </w:tc>
        <w:tc>
          <w:tcPr>
            <w:tcW w:w="748" w:type="dxa"/>
            <w:tcBorders>
              <w:bottom w:val="single" w:sz="12" w:space="0" w:color="auto"/>
            </w:tcBorders>
          </w:tcPr>
          <w:p w14:paraId="1BFBA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287,5±3</w:t>
            </w:r>
          </w:p>
        </w:tc>
        <w:tc>
          <w:tcPr>
            <w:tcW w:w="2030" w:type="dxa"/>
            <w:tcBorders>
              <w:bottom w:val="single" w:sz="12" w:space="0" w:color="auto"/>
            </w:tcBorders>
          </w:tcPr>
          <w:p w14:paraId="212F8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550±5</w:t>
            </w:r>
          </w:p>
        </w:tc>
        <w:tc>
          <w:tcPr>
            <w:tcW w:w="854" w:type="dxa"/>
            <w:tcBorders>
              <w:bottom w:val="single" w:sz="12" w:space="0" w:color="auto"/>
            </w:tcBorders>
          </w:tcPr>
          <w:p w14:paraId="377189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287±3</w:t>
            </w:r>
          </w:p>
        </w:tc>
        <w:tc>
          <w:tcPr>
            <w:tcW w:w="1175" w:type="dxa"/>
            <w:tcBorders>
              <w:bottom w:val="single" w:sz="12" w:space="0" w:color="auto"/>
            </w:tcBorders>
          </w:tcPr>
          <w:p w14:paraId="19B28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900±10</w:t>
            </w:r>
          </w:p>
        </w:tc>
      </w:tr>
    </w:tbl>
    <w:p w14:paraId="4A759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таблице 3 приведены взятые из ТУ составы баллиститных порохов, использованных во время Великой Отечественной войны для изготовления ракетных зарядов к снарядам M-13, М-8, M-31 с указанием допусков на содержание компонентов.</w:t>
      </w:r>
    </w:p>
    <w:p w14:paraId="1B772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Таблица 3 </w:t>
      </w:r>
    </w:p>
    <w:p w14:paraId="449E4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Составы баллиститных порохов для ракетных зарядов PC Советской Армии периода Великой Отечественной войны</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201"/>
        <w:gridCol w:w="455"/>
        <w:gridCol w:w="455"/>
        <w:gridCol w:w="607"/>
        <w:gridCol w:w="758"/>
        <w:gridCol w:w="607"/>
        <w:gridCol w:w="758"/>
        <w:gridCol w:w="1366"/>
      </w:tblGrid>
      <w:tr w:rsidR="00A907A5" w:rsidRPr="00271E51" w14:paraId="6D8699FF" w14:textId="77777777" w:rsidTr="00ED5B0A">
        <w:trPr>
          <w:jc w:val="center"/>
        </w:trPr>
        <w:tc>
          <w:tcPr>
            <w:tcW w:w="5201" w:type="dxa"/>
            <w:tcBorders>
              <w:top w:val="single" w:sz="12" w:space="0" w:color="auto"/>
            </w:tcBorders>
          </w:tcPr>
          <w:p w14:paraId="069E1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Компоненты порохов, %</w:t>
            </w:r>
          </w:p>
        </w:tc>
        <w:tc>
          <w:tcPr>
            <w:tcW w:w="455" w:type="dxa"/>
            <w:gridSpan w:val="7"/>
            <w:tcBorders>
              <w:top w:val="single" w:sz="12" w:space="0" w:color="auto"/>
            </w:tcBorders>
          </w:tcPr>
          <w:p w14:paraId="792A7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Пороха</w:t>
            </w:r>
          </w:p>
        </w:tc>
      </w:tr>
      <w:tr w:rsidR="00A907A5" w:rsidRPr="00271E51" w14:paraId="2E722571" w14:textId="77777777" w:rsidTr="00ED5B0A">
        <w:trPr>
          <w:jc w:val="center"/>
        </w:trPr>
        <w:tc>
          <w:tcPr>
            <w:tcW w:w="5201" w:type="dxa"/>
          </w:tcPr>
          <w:p w14:paraId="5FCEC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5" w:type="dxa"/>
          </w:tcPr>
          <w:p w14:paraId="19FED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455" w:type="dxa"/>
          </w:tcPr>
          <w:p w14:paraId="60E74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НДК</w:t>
            </w:r>
          </w:p>
        </w:tc>
        <w:tc>
          <w:tcPr>
            <w:tcW w:w="607" w:type="dxa"/>
          </w:tcPr>
          <w:p w14:paraId="22CA7E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w:t>
            </w:r>
          </w:p>
        </w:tc>
        <w:tc>
          <w:tcPr>
            <w:tcW w:w="758" w:type="dxa"/>
          </w:tcPr>
          <w:p w14:paraId="4D6CDB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НМ-4Ш</w:t>
            </w:r>
          </w:p>
        </w:tc>
        <w:tc>
          <w:tcPr>
            <w:tcW w:w="607" w:type="dxa"/>
          </w:tcPr>
          <w:p w14:paraId="6421F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H-31</w:t>
            </w:r>
          </w:p>
        </w:tc>
        <w:tc>
          <w:tcPr>
            <w:tcW w:w="758" w:type="dxa"/>
          </w:tcPr>
          <w:p w14:paraId="055CC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HM-31</w:t>
            </w:r>
          </w:p>
        </w:tc>
        <w:tc>
          <w:tcPr>
            <w:tcW w:w="1366" w:type="dxa"/>
          </w:tcPr>
          <w:p w14:paraId="548C89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Допуск, %</w:t>
            </w:r>
          </w:p>
        </w:tc>
      </w:tr>
      <w:tr w:rsidR="00A907A5" w:rsidRPr="00271E51" w14:paraId="35E7B627" w14:textId="77777777" w:rsidTr="00ED5B0A">
        <w:trPr>
          <w:jc w:val="center"/>
        </w:trPr>
        <w:tc>
          <w:tcPr>
            <w:tcW w:w="5201" w:type="dxa"/>
          </w:tcPr>
          <w:p w14:paraId="6C132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Коллоксилин</w:t>
            </w:r>
          </w:p>
        </w:tc>
        <w:tc>
          <w:tcPr>
            <w:tcW w:w="455" w:type="dxa"/>
          </w:tcPr>
          <w:p w14:paraId="36C94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455" w:type="dxa"/>
          </w:tcPr>
          <w:p w14:paraId="62AA7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607" w:type="dxa"/>
          </w:tcPr>
          <w:p w14:paraId="41D5DB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758" w:type="dxa"/>
          </w:tcPr>
          <w:p w14:paraId="445429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607" w:type="dxa"/>
          </w:tcPr>
          <w:p w14:paraId="6BB9C0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758" w:type="dxa"/>
          </w:tcPr>
          <w:p w14:paraId="50278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1366" w:type="dxa"/>
          </w:tcPr>
          <w:p w14:paraId="17230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33E0488E" w14:textId="77777777" w:rsidTr="00ED5B0A">
        <w:trPr>
          <w:jc w:val="center"/>
        </w:trPr>
        <w:tc>
          <w:tcPr>
            <w:tcW w:w="5201" w:type="dxa"/>
          </w:tcPr>
          <w:p w14:paraId="1543B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Нитроглицерин</w:t>
            </w:r>
          </w:p>
        </w:tc>
        <w:tc>
          <w:tcPr>
            <w:tcW w:w="455" w:type="dxa"/>
          </w:tcPr>
          <w:p w14:paraId="62FA8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c>
          <w:tcPr>
            <w:tcW w:w="455" w:type="dxa"/>
          </w:tcPr>
          <w:p w14:paraId="40DF3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607" w:type="dxa"/>
          </w:tcPr>
          <w:p w14:paraId="4E17CD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758" w:type="dxa"/>
          </w:tcPr>
          <w:p w14:paraId="02206F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607" w:type="dxa"/>
          </w:tcPr>
          <w:p w14:paraId="3160E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w:t>
            </w:r>
          </w:p>
        </w:tc>
        <w:tc>
          <w:tcPr>
            <w:tcW w:w="758" w:type="dxa"/>
          </w:tcPr>
          <w:p w14:paraId="6CD954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1366" w:type="dxa"/>
          </w:tcPr>
          <w:p w14:paraId="689B96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w:t>
            </w:r>
          </w:p>
        </w:tc>
      </w:tr>
      <w:tr w:rsidR="00A907A5" w:rsidRPr="00271E51" w14:paraId="6DD06A8B" w14:textId="77777777" w:rsidTr="00ED5B0A">
        <w:trPr>
          <w:jc w:val="center"/>
        </w:trPr>
        <w:tc>
          <w:tcPr>
            <w:tcW w:w="5201" w:type="dxa"/>
          </w:tcPr>
          <w:p w14:paraId="3E4C3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Динитротолуол</w:t>
            </w:r>
          </w:p>
        </w:tc>
        <w:tc>
          <w:tcPr>
            <w:tcW w:w="455" w:type="dxa"/>
          </w:tcPr>
          <w:p w14:paraId="0DBE2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455" w:type="dxa"/>
          </w:tcPr>
          <w:p w14:paraId="5239F1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07" w:type="dxa"/>
          </w:tcPr>
          <w:p w14:paraId="13E540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758" w:type="dxa"/>
          </w:tcPr>
          <w:p w14:paraId="5CD73F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c>
          <w:tcPr>
            <w:tcW w:w="607" w:type="dxa"/>
          </w:tcPr>
          <w:p w14:paraId="48AF49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758" w:type="dxa"/>
          </w:tcPr>
          <w:p w14:paraId="07B36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366" w:type="dxa"/>
          </w:tcPr>
          <w:p w14:paraId="08E25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622EB5D2" w14:textId="77777777" w:rsidTr="00ED5B0A">
        <w:trPr>
          <w:jc w:val="center"/>
        </w:trPr>
        <w:tc>
          <w:tcPr>
            <w:tcW w:w="5201" w:type="dxa"/>
          </w:tcPr>
          <w:p w14:paraId="6F9451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Окись магния</w:t>
            </w:r>
          </w:p>
        </w:tc>
        <w:tc>
          <w:tcPr>
            <w:tcW w:w="455" w:type="dxa"/>
          </w:tcPr>
          <w:p w14:paraId="280B6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55" w:type="dxa"/>
          </w:tcPr>
          <w:p w14:paraId="592A8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07" w:type="dxa"/>
          </w:tcPr>
          <w:p w14:paraId="4F5BC1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58" w:type="dxa"/>
          </w:tcPr>
          <w:p w14:paraId="0E0AA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607" w:type="dxa"/>
          </w:tcPr>
          <w:p w14:paraId="48C90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c>
          <w:tcPr>
            <w:tcW w:w="758" w:type="dxa"/>
          </w:tcPr>
          <w:p w14:paraId="6443FF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366" w:type="dxa"/>
          </w:tcPr>
          <w:p w14:paraId="1FAD9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r>
      <w:tr w:rsidR="00A907A5" w:rsidRPr="00271E51" w14:paraId="03711837" w14:textId="77777777" w:rsidTr="00ED5B0A">
        <w:trPr>
          <w:jc w:val="center"/>
        </w:trPr>
        <w:tc>
          <w:tcPr>
            <w:tcW w:w="5201" w:type="dxa"/>
          </w:tcPr>
          <w:p w14:paraId="35023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Вазелин или трансформаторное масло</w:t>
            </w:r>
          </w:p>
        </w:tc>
        <w:tc>
          <w:tcPr>
            <w:tcW w:w="455" w:type="dxa"/>
          </w:tcPr>
          <w:p w14:paraId="30A3D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455" w:type="dxa"/>
          </w:tcPr>
          <w:p w14:paraId="179A0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607" w:type="dxa"/>
          </w:tcPr>
          <w:p w14:paraId="0A03C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58" w:type="dxa"/>
          </w:tcPr>
          <w:p w14:paraId="4EEE9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607" w:type="dxa"/>
          </w:tcPr>
          <w:p w14:paraId="318433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58" w:type="dxa"/>
          </w:tcPr>
          <w:p w14:paraId="37C8B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66" w:type="dxa"/>
          </w:tcPr>
          <w:p w14:paraId="2AC28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r>
      <w:tr w:rsidR="00A907A5" w:rsidRPr="00271E51" w14:paraId="2E70049E" w14:textId="77777777" w:rsidTr="00ED5B0A">
        <w:trPr>
          <w:jc w:val="center"/>
        </w:trPr>
        <w:tc>
          <w:tcPr>
            <w:tcW w:w="5201" w:type="dxa"/>
          </w:tcPr>
          <w:p w14:paraId="24BAB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Централит</w:t>
            </w:r>
          </w:p>
        </w:tc>
        <w:tc>
          <w:tcPr>
            <w:tcW w:w="455" w:type="dxa"/>
          </w:tcPr>
          <w:p w14:paraId="297F2E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455" w:type="dxa"/>
          </w:tcPr>
          <w:p w14:paraId="0F189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607" w:type="dxa"/>
          </w:tcPr>
          <w:p w14:paraId="3CFE4D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58" w:type="dxa"/>
          </w:tcPr>
          <w:p w14:paraId="02F5C6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07" w:type="dxa"/>
          </w:tcPr>
          <w:p w14:paraId="29DD4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58" w:type="dxa"/>
          </w:tcPr>
          <w:p w14:paraId="2838B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66" w:type="dxa"/>
          </w:tcPr>
          <w:p w14:paraId="23206F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0,5</w:t>
            </w:r>
          </w:p>
        </w:tc>
      </w:tr>
      <w:tr w:rsidR="00A907A5" w:rsidRPr="00271E51" w14:paraId="6AFF67F0" w14:textId="77777777" w:rsidTr="00ED5B0A">
        <w:trPr>
          <w:jc w:val="center"/>
        </w:trPr>
        <w:tc>
          <w:tcPr>
            <w:tcW w:w="5201" w:type="dxa"/>
          </w:tcPr>
          <w:p w14:paraId="1A6DF5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Динитроксилол</w:t>
            </w:r>
          </w:p>
        </w:tc>
        <w:tc>
          <w:tcPr>
            <w:tcW w:w="455" w:type="dxa"/>
          </w:tcPr>
          <w:p w14:paraId="0782E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5" w:type="dxa"/>
          </w:tcPr>
          <w:p w14:paraId="44ECE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607" w:type="dxa"/>
          </w:tcPr>
          <w:p w14:paraId="4F03D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58" w:type="dxa"/>
          </w:tcPr>
          <w:p w14:paraId="625912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07" w:type="dxa"/>
          </w:tcPr>
          <w:p w14:paraId="0E2E0D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58" w:type="dxa"/>
          </w:tcPr>
          <w:p w14:paraId="17B69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366" w:type="dxa"/>
          </w:tcPr>
          <w:p w14:paraId="52B453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6705E471" w14:textId="77777777" w:rsidTr="00ED5B0A">
        <w:trPr>
          <w:jc w:val="center"/>
        </w:trPr>
        <w:tc>
          <w:tcPr>
            <w:tcW w:w="5201" w:type="dxa"/>
            <w:tcBorders>
              <w:bottom w:val="single" w:sz="12" w:space="0" w:color="auto"/>
            </w:tcBorders>
          </w:tcPr>
          <w:p w14:paraId="634350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Калорийность пороха, ккал/кг</w:t>
            </w:r>
          </w:p>
        </w:tc>
        <w:tc>
          <w:tcPr>
            <w:tcW w:w="455" w:type="dxa"/>
            <w:tcBorders>
              <w:bottom w:val="single" w:sz="12" w:space="0" w:color="auto"/>
            </w:tcBorders>
          </w:tcPr>
          <w:p w14:paraId="2867E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w:t>
            </w:r>
          </w:p>
        </w:tc>
        <w:tc>
          <w:tcPr>
            <w:tcW w:w="455" w:type="dxa"/>
            <w:tcBorders>
              <w:bottom w:val="single" w:sz="12" w:space="0" w:color="auto"/>
            </w:tcBorders>
          </w:tcPr>
          <w:p w14:paraId="35261D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w:t>
            </w:r>
          </w:p>
        </w:tc>
        <w:tc>
          <w:tcPr>
            <w:tcW w:w="607" w:type="dxa"/>
            <w:tcBorders>
              <w:bottom w:val="single" w:sz="12" w:space="0" w:color="auto"/>
            </w:tcBorders>
          </w:tcPr>
          <w:p w14:paraId="125826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880</w:t>
            </w:r>
          </w:p>
        </w:tc>
        <w:tc>
          <w:tcPr>
            <w:tcW w:w="758" w:type="dxa"/>
            <w:tcBorders>
              <w:bottom w:val="single" w:sz="12" w:space="0" w:color="auto"/>
            </w:tcBorders>
          </w:tcPr>
          <w:p w14:paraId="5AC16F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w:t>
            </w:r>
          </w:p>
        </w:tc>
        <w:tc>
          <w:tcPr>
            <w:tcW w:w="607" w:type="dxa"/>
            <w:tcBorders>
              <w:bottom w:val="single" w:sz="12" w:space="0" w:color="auto"/>
            </w:tcBorders>
          </w:tcPr>
          <w:p w14:paraId="49E5F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915</w:t>
            </w:r>
          </w:p>
        </w:tc>
        <w:tc>
          <w:tcPr>
            <w:tcW w:w="758" w:type="dxa"/>
            <w:tcBorders>
              <w:bottom w:val="single" w:sz="12" w:space="0" w:color="auto"/>
            </w:tcBorders>
          </w:tcPr>
          <w:p w14:paraId="169A7E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915</w:t>
            </w:r>
          </w:p>
        </w:tc>
        <w:tc>
          <w:tcPr>
            <w:tcW w:w="1366" w:type="dxa"/>
            <w:tcBorders>
              <w:bottom w:val="single" w:sz="12" w:space="0" w:color="auto"/>
            </w:tcBorders>
          </w:tcPr>
          <w:p w14:paraId="3FF2F7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bl>
    <w:p w14:paraId="6819A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таблице 4 приведены для справки некоторые характеристики основных реактивных снарядов периода Великой Отечественной войны.</w:t>
      </w:r>
    </w:p>
    <w:p w14:paraId="3B4E1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4</w:t>
      </w:r>
    </w:p>
    <w:p w14:paraId="3D964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реактивных снарядов сухопутных войск Советской Армии периода Великой Отечественной войны</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808"/>
        <w:gridCol w:w="974"/>
        <w:gridCol w:w="695"/>
        <w:gridCol w:w="695"/>
        <w:gridCol w:w="695"/>
        <w:gridCol w:w="835"/>
        <w:gridCol w:w="835"/>
        <w:gridCol w:w="835"/>
        <w:gridCol w:w="835"/>
      </w:tblGrid>
      <w:tr w:rsidR="00A907A5" w:rsidRPr="00271E51" w14:paraId="6E60523C" w14:textId="77777777" w:rsidTr="00ED5B0A">
        <w:trPr>
          <w:jc w:val="center"/>
        </w:trPr>
        <w:tc>
          <w:tcPr>
            <w:tcW w:w="3808" w:type="dxa"/>
            <w:tcBorders>
              <w:top w:val="single" w:sz="12" w:space="0" w:color="auto"/>
            </w:tcBorders>
          </w:tcPr>
          <w:p w14:paraId="4949C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gridSpan w:val="8"/>
            <w:tcBorders>
              <w:top w:val="single" w:sz="12" w:space="0" w:color="auto"/>
            </w:tcBorders>
          </w:tcPr>
          <w:p w14:paraId="2ED9A3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Реактивные снаряды</w:t>
            </w:r>
          </w:p>
        </w:tc>
      </w:tr>
      <w:tr w:rsidR="00A907A5" w:rsidRPr="00271E51" w14:paraId="5EA7A880" w14:textId="77777777" w:rsidTr="00ED5B0A">
        <w:trPr>
          <w:jc w:val="center"/>
        </w:trPr>
        <w:tc>
          <w:tcPr>
            <w:tcW w:w="3808" w:type="dxa"/>
          </w:tcPr>
          <w:p w14:paraId="003FB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268460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w:t>
            </w:r>
          </w:p>
        </w:tc>
        <w:tc>
          <w:tcPr>
            <w:tcW w:w="695" w:type="dxa"/>
          </w:tcPr>
          <w:p w14:paraId="3F828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M-13</w:t>
            </w:r>
          </w:p>
        </w:tc>
        <w:tc>
          <w:tcPr>
            <w:tcW w:w="695" w:type="dxa"/>
          </w:tcPr>
          <w:p w14:paraId="0DEBFE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М-20</w:t>
            </w:r>
          </w:p>
        </w:tc>
        <w:tc>
          <w:tcPr>
            <w:tcW w:w="695" w:type="dxa"/>
          </w:tcPr>
          <w:p w14:paraId="3194BC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w:t>
            </w:r>
          </w:p>
        </w:tc>
        <w:tc>
          <w:tcPr>
            <w:tcW w:w="835" w:type="dxa"/>
          </w:tcPr>
          <w:p w14:paraId="32157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М-13УК</w:t>
            </w:r>
          </w:p>
        </w:tc>
        <w:tc>
          <w:tcPr>
            <w:tcW w:w="835" w:type="dxa"/>
          </w:tcPr>
          <w:p w14:paraId="7BB54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М-13ДД</w:t>
            </w:r>
          </w:p>
        </w:tc>
        <w:tc>
          <w:tcPr>
            <w:tcW w:w="835" w:type="dxa"/>
          </w:tcPr>
          <w:p w14:paraId="751BDD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М-31</w:t>
            </w:r>
          </w:p>
        </w:tc>
        <w:tc>
          <w:tcPr>
            <w:tcW w:w="835" w:type="dxa"/>
          </w:tcPr>
          <w:p w14:paraId="491250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М-31УК</w:t>
            </w:r>
          </w:p>
        </w:tc>
      </w:tr>
      <w:tr w:rsidR="00A907A5" w:rsidRPr="00271E51" w14:paraId="11241B8B" w14:textId="77777777" w:rsidTr="00ED5B0A">
        <w:trPr>
          <w:jc w:val="center"/>
        </w:trPr>
        <w:tc>
          <w:tcPr>
            <w:tcW w:w="3808" w:type="dxa"/>
          </w:tcPr>
          <w:p w14:paraId="60F81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974" w:type="dxa"/>
          </w:tcPr>
          <w:p w14:paraId="291BB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695" w:type="dxa"/>
          </w:tcPr>
          <w:p w14:paraId="27B47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695" w:type="dxa"/>
          </w:tcPr>
          <w:p w14:paraId="50BCD0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695" w:type="dxa"/>
          </w:tcPr>
          <w:p w14:paraId="769E3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835" w:type="dxa"/>
          </w:tcPr>
          <w:p w14:paraId="2F124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835" w:type="dxa"/>
          </w:tcPr>
          <w:p w14:paraId="6A77A5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835" w:type="dxa"/>
          </w:tcPr>
          <w:p w14:paraId="0B1B6E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835" w:type="dxa"/>
          </w:tcPr>
          <w:p w14:paraId="36590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r>
      <w:tr w:rsidR="00A907A5" w:rsidRPr="00271E51" w14:paraId="5E50FDEB" w14:textId="77777777" w:rsidTr="00ED5B0A">
        <w:trPr>
          <w:jc w:val="center"/>
        </w:trPr>
        <w:tc>
          <w:tcPr>
            <w:tcW w:w="3808" w:type="dxa"/>
          </w:tcPr>
          <w:p w14:paraId="31415A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снаряда, мм</w:t>
            </w:r>
          </w:p>
        </w:tc>
        <w:tc>
          <w:tcPr>
            <w:tcW w:w="974" w:type="dxa"/>
          </w:tcPr>
          <w:p w14:paraId="334219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714</w:t>
            </w:r>
          </w:p>
        </w:tc>
        <w:tc>
          <w:tcPr>
            <w:tcW w:w="695" w:type="dxa"/>
          </w:tcPr>
          <w:p w14:paraId="09DF59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w:t>
            </w:r>
          </w:p>
        </w:tc>
        <w:tc>
          <w:tcPr>
            <w:tcW w:w="695" w:type="dxa"/>
          </w:tcPr>
          <w:p w14:paraId="588920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2090</w:t>
            </w:r>
          </w:p>
        </w:tc>
        <w:tc>
          <w:tcPr>
            <w:tcW w:w="695" w:type="dxa"/>
          </w:tcPr>
          <w:p w14:paraId="1FB48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w:t>
            </w:r>
          </w:p>
        </w:tc>
        <w:tc>
          <w:tcPr>
            <w:tcW w:w="835" w:type="dxa"/>
          </w:tcPr>
          <w:p w14:paraId="6CEF6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w:t>
            </w:r>
          </w:p>
        </w:tc>
        <w:tc>
          <w:tcPr>
            <w:tcW w:w="835" w:type="dxa"/>
          </w:tcPr>
          <w:p w14:paraId="37495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2120</w:t>
            </w:r>
          </w:p>
        </w:tc>
        <w:tc>
          <w:tcPr>
            <w:tcW w:w="835" w:type="dxa"/>
          </w:tcPr>
          <w:p w14:paraId="14B2E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1760</w:t>
            </w:r>
          </w:p>
        </w:tc>
        <w:tc>
          <w:tcPr>
            <w:tcW w:w="835" w:type="dxa"/>
          </w:tcPr>
          <w:p w14:paraId="2F3D50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1760</w:t>
            </w:r>
          </w:p>
        </w:tc>
      </w:tr>
      <w:tr w:rsidR="00A907A5" w:rsidRPr="00271E51" w14:paraId="7F2FB1E6" w14:textId="77777777" w:rsidTr="00ED5B0A">
        <w:trPr>
          <w:jc w:val="center"/>
        </w:trPr>
        <w:tc>
          <w:tcPr>
            <w:tcW w:w="3808" w:type="dxa"/>
          </w:tcPr>
          <w:p w14:paraId="642A0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снаряда, кг</w:t>
            </w:r>
          </w:p>
        </w:tc>
        <w:tc>
          <w:tcPr>
            <w:tcW w:w="974" w:type="dxa"/>
          </w:tcPr>
          <w:p w14:paraId="3AFA8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695" w:type="dxa"/>
          </w:tcPr>
          <w:p w14:paraId="387C8A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w:t>
            </w:r>
          </w:p>
        </w:tc>
        <w:tc>
          <w:tcPr>
            <w:tcW w:w="695" w:type="dxa"/>
          </w:tcPr>
          <w:p w14:paraId="1CD23A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695" w:type="dxa"/>
          </w:tcPr>
          <w:p w14:paraId="48189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tc>
        <w:tc>
          <w:tcPr>
            <w:tcW w:w="835" w:type="dxa"/>
          </w:tcPr>
          <w:p w14:paraId="71660F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w:t>
            </w:r>
          </w:p>
        </w:tc>
        <w:tc>
          <w:tcPr>
            <w:tcW w:w="835" w:type="dxa"/>
          </w:tcPr>
          <w:p w14:paraId="73612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835" w:type="dxa"/>
          </w:tcPr>
          <w:p w14:paraId="71FBE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92,5</w:t>
            </w:r>
          </w:p>
        </w:tc>
        <w:tc>
          <w:tcPr>
            <w:tcW w:w="835" w:type="dxa"/>
          </w:tcPr>
          <w:p w14:paraId="68116A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94,5</w:t>
            </w:r>
          </w:p>
        </w:tc>
      </w:tr>
      <w:tr w:rsidR="00A907A5" w:rsidRPr="00271E51" w14:paraId="0A0F0C4E" w14:textId="77777777" w:rsidTr="00ED5B0A">
        <w:trPr>
          <w:jc w:val="center"/>
        </w:trPr>
        <w:tc>
          <w:tcPr>
            <w:tcW w:w="3808" w:type="dxa"/>
          </w:tcPr>
          <w:p w14:paraId="63C8B8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боевой части, кг</w:t>
            </w:r>
          </w:p>
        </w:tc>
        <w:tc>
          <w:tcPr>
            <w:tcW w:w="974" w:type="dxa"/>
          </w:tcPr>
          <w:p w14:paraId="266DCC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695" w:type="dxa"/>
          </w:tcPr>
          <w:p w14:paraId="5D4F1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695" w:type="dxa"/>
          </w:tcPr>
          <w:p w14:paraId="3D7647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w:t>
            </w:r>
          </w:p>
        </w:tc>
        <w:tc>
          <w:tcPr>
            <w:tcW w:w="695" w:type="dxa"/>
          </w:tcPr>
          <w:p w14:paraId="7D9B8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835" w:type="dxa"/>
          </w:tcPr>
          <w:p w14:paraId="531F3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835" w:type="dxa"/>
          </w:tcPr>
          <w:p w14:paraId="70288C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835" w:type="dxa"/>
          </w:tcPr>
          <w:p w14:paraId="5EAF82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835" w:type="dxa"/>
          </w:tcPr>
          <w:p w14:paraId="0E3108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r>
      <w:tr w:rsidR="00A907A5" w:rsidRPr="00271E51" w14:paraId="715D53A9" w14:textId="77777777" w:rsidTr="00ED5B0A">
        <w:trPr>
          <w:jc w:val="center"/>
        </w:trPr>
        <w:tc>
          <w:tcPr>
            <w:tcW w:w="3808" w:type="dxa"/>
          </w:tcPr>
          <w:p w14:paraId="7E57D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стрельбы, км</w:t>
            </w:r>
          </w:p>
        </w:tc>
        <w:tc>
          <w:tcPr>
            <w:tcW w:w="974" w:type="dxa"/>
          </w:tcPr>
          <w:p w14:paraId="0A34F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695" w:type="dxa"/>
          </w:tcPr>
          <w:p w14:paraId="2E4A1F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8,47</w:t>
            </w:r>
          </w:p>
        </w:tc>
        <w:tc>
          <w:tcPr>
            <w:tcW w:w="695" w:type="dxa"/>
          </w:tcPr>
          <w:p w14:paraId="6CB4C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695" w:type="dxa"/>
          </w:tcPr>
          <w:p w14:paraId="6F36E9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c>
          <w:tcPr>
            <w:tcW w:w="835" w:type="dxa"/>
          </w:tcPr>
          <w:p w14:paraId="28B29F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w:t>
            </w:r>
          </w:p>
        </w:tc>
        <w:tc>
          <w:tcPr>
            <w:tcW w:w="835" w:type="dxa"/>
          </w:tcPr>
          <w:p w14:paraId="67944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w:t>
            </w:r>
          </w:p>
        </w:tc>
        <w:tc>
          <w:tcPr>
            <w:tcW w:w="835" w:type="dxa"/>
          </w:tcPr>
          <w:p w14:paraId="3EEC42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tc>
        <w:tc>
          <w:tcPr>
            <w:tcW w:w="835" w:type="dxa"/>
          </w:tcPr>
          <w:p w14:paraId="08AD09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r>
      <w:tr w:rsidR="00A907A5" w:rsidRPr="00271E51" w14:paraId="3B10F434" w14:textId="77777777" w:rsidTr="00ED5B0A">
        <w:trPr>
          <w:jc w:val="center"/>
        </w:trPr>
        <w:tc>
          <w:tcPr>
            <w:tcW w:w="3808" w:type="dxa"/>
          </w:tcPr>
          <w:p w14:paraId="245F6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Кучность по дальности</w:t>
            </w:r>
          </w:p>
        </w:tc>
        <w:tc>
          <w:tcPr>
            <w:tcW w:w="974" w:type="dxa"/>
          </w:tcPr>
          <w:p w14:paraId="7BE3E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695" w:type="dxa"/>
          </w:tcPr>
          <w:p w14:paraId="71695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w:t>
            </w:r>
          </w:p>
        </w:tc>
        <w:tc>
          <w:tcPr>
            <w:tcW w:w="695" w:type="dxa"/>
          </w:tcPr>
          <w:p w14:paraId="71F28D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c>
          <w:tcPr>
            <w:tcW w:w="695" w:type="dxa"/>
          </w:tcPr>
          <w:p w14:paraId="012E2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35" w:type="dxa"/>
          </w:tcPr>
          <w:p w14:paraId="62B6F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1/105</w:t>
            </w:r>
          </w:p>
        </w:tc>
        <w:tc>
          <w:tcPr>
            <w:tcW w:w="835" w:type="dxa"/>
          </w:tcPr>
          <w:p w14:paraId="202E4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835" w:type="dxa"/>
          </w:tcPr>
          <w:p w14:paraId="299D08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w:t>
            </w:r>
          </w:p>
        </w:tc>
        <w:tc>
          <w:tcPr>
            <w:tcW w:w="835" w:type="dxa"/>
          </w:tcPr>
          <w:p w14:paraId="08623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r>
      <w:tr w:rsidR="00A907A5" w:rsidRPr="00271E51" w14:paraId="0E09BEE7" w14:textId="77777777" w:rsidTr="00ED5B0A">
        <w:trPr>
          <w:jc w:val="center"/>
        </w:trPr>
        <w:tc>
          <w:tcPr>
            <w:tcW w:w="3808" w:type="dxa"/>
          </w:tcPr>
          <w:p w14:paraId="147546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Кучность по направлению</w:t>
            </w:r>
          </w:p>
        </w:tc>
        <w:tc>
          <w:tcPr>
            <w:tcW w:w="974" w:type="dxa"/>
          </w:tcPr>
          <w:p w14:paraId="720C84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w:t>
            </w:r>
          </w:p>
        </w:tc>
        <w:tc>
          <w:tcPr>
            <w:tcW w:w="695" w:type="dxa"/>
          </w:tcPr>
          <w:p w14:paraId="653AD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695" w:type="dxa"/>
          </w:tcPr>
          <w:p w14:paraId="1CAF78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695" w:type="dxa"/>
          </w:tcPr>
          <w:p w14:paraId="129C8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35" w:type="dxa"/>
          </w:tcPr>
          <w:p w14:paraId="19589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835" w:type="dxa"/>
          </w:tcPr>
          <w:p w14:paraId="77E75D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835" w:type="dxa"/>
          </w:tcPr>
          <w:p w14:paraId="01ED5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35" w:type="dxa"/>
          </w:tcPr>
          <w:p w14:paraId="0A843C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r>
      <w:tr w:rsidR="00A907A5" w:rsidRPr="00271E51" w14:paraId="785493B2" w14:textId="77777777" w:rsidTr="00ED5B0A">
        <w:trPr>
          <w:jc w:val="center"/>
        </w:trPr>
        <w:tc>
          <w:tcPr>
            <w:tcW w:w="3808" w:type="dxa"/>
            <w:tcBorders>
              <w:bottom w:val="single" w:sz="12" w:space="0" w:color="auto"/>
            </w:tcBorders>
          </w:tcPr>
          <w:p w14:paraId="26ED4A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принятия на вооружение</w:t>
            </w:r>
          </w:p>
        </w:tc>
        <w:tc>
          <w:tcPr>
            <w:tcW w:w="974" w:type="dxa"/>
            <w:tcBorders>
              <w:bottom w:val="single" w:sz="12" w:space="0" w:color="auto"/>
            </w:tcBorders>
          </w:tcPr>
          <w:p w14:paraId="78416A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VIII.41</w:t>
            </w:r>
          </w:p>
        </w:tc>
        <w:tc>
          <w:tcPr>
            <w:tcW w:w="695" w:type="dxa"/>
            <w:tcBorders>
              <w:bottom w:val="single" w:sz="12" w:space="0" w:color="auto"/>
            </w:tcBorders>
          </w:tcPr>
          <w:p w14:paraId="009714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VI.41</w:t>
            </w:r>
          </w:p>
        </w:tc>
        <w:tc>
          <w:tcPr>
            <w:tcW w:w="695" w:type="dxa"/>
            <w:tcBorders>
              <w:bottom w:val="single" w:sz="12" w:space="0" w:color="auto"/>
            </w:tcBorders>
          </w:tcPr>
          <w:p w14:paraId="3EF1A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VI.42</w:t>
            </w:r>
          </w:p>
        </w:tc>
        <w:tc>
          <w:tcPr>
            <w:tcW w:w="695" w:type="dxa"/>
            <w:tcBorders>
              <w:bottom w:val="single" w:sz="12" w:space="0" w:color="auto"/>
            </w:tcBorders>
          </w:tcPr>
          <w:p w14:paraId="57C72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VI.42</w:t>
            </w:r>
          </w:p>
        </w:tc>
        <w:tc>
          <w:tcPr>
            <w:tcW w:w="835" w:type="dxa"/>
            <w:tcBorders>
              <w:bottom w:val="single" w:sz="12" w:space="0" w:color="auto"/>
            </w:tcBorders>
          </w:tcPr>
          <w:p w14:paraId="0D66C3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IV.44</w:t>
            </w:r>
          </w:p>
        </w:tc>
        <w:tc>
          <w:tcPr>
            <w:tcW w:w="835" w:type="dxa"/>
            <w:tcBorders>
              <w:bottom w:val="single" w:sz="12" w:space="0" w:color="auto"/>
            </w:tcBorders>
          </w:tcPr>
          <w:p w14:paraId="3A773A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Х.44</w:t>
            </w:r>
          </w:p>
        </w:tc>
        <w:tc>
          <w:tcPr>
            <w:tcW w:w="835" w:type="dxa"/>
            <w:tcBorders>
              <w:bottom w:val="single" w:sz="12" w:space="0" w:color="auto"/>
            </w:tcBorders>
          </w:tcPr>
          <w:p w14:paraId="0B1123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III.43</w:t>
            </w:r>
          </w:p>
        </w:tc>
        <w:tc>
          <w:tcPr>
            <w:tcW w:w="835" w:type="dxa"/>
            <w:tcBorders>
              <w:bottom w:val="single" w:sz="12" w:space="0" w:color="auto"/>
            </w:tcBorders>
          </w:tcPr>
          <w:p w14:paraId="2B79BD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IV.44</w:t>
            </w:r>
          </w:p>
        </w:tc>
      </w:tr>
    </w:tbl>
    <w:p w14:paraId="5FB306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(11209).</w:t>
      </w:r>
    </w:p>
    <w:p w14:paraId="72141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61F4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 руководством НКБ СССР и командованием Главного управления вооружения гвардейских минометных частей Ставки Верховного Главнокомандования (ГУВГМЧ СВГК) были утверждены требования к РС, которыеучитывали как практический опыт изготовления зарядов пороховыми заводами, так и опыт боевого применения реактивных снарядов на фронтах Великой Отечественной войны, в виде технических условий на изготовление и прием ракетных зарядов для M-13, М-8 и M-31, разработанных Особым бюро среднеуральского порохового завода.</w:t>
      </w:r>
    </w:p>
    <w:p w14:paraId="0DFB554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ТУ не только сыграли "исключительную роль при производстве ракетных зарядов в 1943-1945 гг., но и послужили фундаментом для разработки технической документации на ракетные заряды послевоенного периода.</w:t>
      </w:r>
    </w:p>
    <w:p w14:paraId="7E03D7F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Требования и структура ТУ для зарядов к М-8 и M-31 аналогичны ТУ на заряда к M-13.</w:t>
      </w:r>
    </w:p>
    <w:p w14:paraId="74800D2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 состоял из десяти разделов (определение и назначение, индексация, технические требования, ТУ на исходные материалы, комплектование зарядов, укупорка, маркировка, правила приема, методы испытаний и правила хранения), и трех приложений (перечень ТУ и ОСТ, необходимых при изготовлении и приемке, инструкции на производство стендовых испытаний и химический анализ порохов). Чертеж на пороховой заряд не разрабатывался. Все необходимые для изготовления зарядов данные содержались в ТУ.</w:t>
      </w:r>
    </w:p>
    <w:p w14:paraId="6F85212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Впервые в техническую документацию была введена индексация ракетного заряда, содержавшая в очень краткой форме необходимый минимум информации об изготовленном заряде.</w:t>
      </w:r>
    </w:p>
    <w:p w14:paraId="6154BCF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Индекс партии зарядов был представлен дробью, в числителе которой указывались наименование пороха, условное обозначение реактивного снаряда, для которого изготовлена партия зарядов, (номер партии пороха, год ее выпуска и условное обозначение завода-изготовителя. В знаменателе указывался номер партии зарядов, год ее выпуска и условное обозначение завода-изготовителя.</w:t>
      </w:r>
    </w:p>
    <w:p w14:paraId="0AE3133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разделе "Технические требования" приводился химический состав порохов, применявшихся для изготовления зарядов, и указывались допуска на содержание компонентов, а также требования по калорийности пороха (в послевоенные годи вместо термина "калорийность" применяется термин "теплота сгорания").</w:t>
      </w:r>
    </w:p>
    <w:p w14:paraId="4464447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Подчеркивалось, что калорийность пороха должна определяться как при пофазном контроле пороховых смесей, так и в готовых изделиях. Непосредственно в ТУ приводились требования к размерам пороховых шашек (наружный диаметр, диаметр канала и длина), с допусками. Указывалось, что в заряд может быть введена одна шашка диаметром на 0,2 мм ниже нижнего предела и одна шашка укороченная при условии обеспечения требований по массе заряда. Допускалась разносводность шашки (но не более 1,5 мм), а также непараллельность торцов, овальность и косина среза (в пределах допусков по размерам). Прямолинейность отдельных шашек не проверялась, но полный заряд должен был свободно, без усилий входить в контрольную камеры.</w:t>
      </w:r>
    </w:p>
    <w:p w14:paraId="55A3B19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ТУ были сформулированы требования по внешнему виду пороховых шашек. Не допускались шашки, имевшие внешние дефекты четырех видов: торцевые воздушные включения, трещины на поверхности, отчетливую слоистую структуру на торцах, ясно выраженные следы иглодержателей на торцах и боковой поверхности. Допускались шашки с отколами по торцу с наружной поверхности, если длина и толщина откола менее 5 мм, с инородными включениями (дерево, бумага) площадью до 5 мм2, и числом не более трех, с шероховатой поверхностью (устанавливался эталон), с поверхностными воздушными включениями по всей длине, шашек шириной до 2 мм и глубиной до 1 мм.</w:t>
      </w:r>
    </w:p>
    <w:p w14:paraId="03E0F3A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Устанавливалось, что влажность пороха не должна превышать 1%, а удельный вес пороха должен быть не менее 1,57 г/см . Предъявлялись требования по химической стойкости пороха:</w:t>
      </w:r>
    </w:p>
    <w:p w14:paraId="67F11D6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проба Абеля при 82°С — не менее 8 мин;</w:t>
      </w:r>
    </w:p>
    <w:p w14:paraId="28028F7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проба Абеля (повторная) при 106,5°С — не менее 25 ч,</w:t>
      </w:r>
    </w:p>
    <w:p w14:paraId="0546191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проба до появления бурых паров при 132°С — не менее 100 мин.</w:t>
      </w:r>
    </w:p>
    <w:p w14:paraId="6D3DCA9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Изготовленные заряды подвергались стендовым испытаниям сериями по семь счетных сжиганий только при положительной температуре заряда 40°С (испытания при отрицательной температуре заряда, как правило, не проводились). При испытаниях определялось только давление газов.</w:t>
      </w:r>
    </w:p>
    <w:p w14:paraId="7692F6D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 каждом из опытов не допускалось выше 285 кг/см2, причем среднее давление в серии не должно было превышать 250 кг/см2. Для рецептур Н и НДК дополнительно требовалось, чтобы среднее давление в серии было не менее 175 кг/см2, в противном случае проводились испытания при температуре минус 40°С. Партия принималась, если не было затуханий и хлопков. Если при испытаниях не выдерживались требования по среднему или максимальному давлению газов, то партия зарядов возвращалась заводу на исправление и при повторном предъявлении испытывалась серией из 14 опытов.</w:t>
      </w:r>
    </w:p>
    <w:p w14:paraId="7F15C35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Предъявлялись требования и по стабильности баллистических характеристик в партии. Отклонение максимального и минимального давлений от среднего не могло превышать ±13%. Требования по полному импульсу реактивной силы, а также по времени работы заряда не предъявлялись. В разделе "Комплектация" указывалось число шашек в заряде, масса заряда с допуском и др.</w:t>
      </w:r>
    </w:p>
    <w:p w14:paraId="00F4DED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разделе "Правила приема" указывалось, что заряды предъявляются военному представителю партиями от 500 до 5000 комплектов (можно частями, но не менее 10 ящиков). Для наружного осмотра и обмера бралось не менее 5% зарядов, а для обмера и производства физико-химических испытаний отбиралось 20-30 шашек. В ТУ подчеркивалось, что заряды должны изготовляться по технологическому регламенту, утвержденному НКБ СССР (18646).</w:t>
      </w:r>
    </w:p>
    <w:p w14:paraId="4D14C08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ракетных зарядов к реактивным снарядам Советской Армии</w:t>
      </w:r>
    </w:p>
    <w:p w14:paraId="302AFB9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периода Великой Отечественной войны</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730"/>
        <w:gridCol w:w="658"/>
        <w:gridCol w:w="658"/>
        <w:gridCol w:w="1721"/>
        <w:gridCol w:w="658"/>
        <w:gridCol w:w="985"/>
      </w:tblGrid>
      <w:tr w:rsidR="00A907A5" w:rsidRPr="00271E51" w14:paraId="5CCD3630" w14:textId="77777777" w:rsidTr="00AE304B">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03DC5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B2A320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Реактивные снаряды</w:t>
            </w:r>
          </w:p>
        </w:tc>
      </w:tr>
      <w:tr w:rsidR="00A907A5" w:rsidRPr="00271E51" w14:paraId="54D54A30" w14:textId="77777777" w:rsidTr="00AE304B">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A4C9DF" w14:textId="77777777" w:rsidR="00C85280" w:rsidRPr="00271E51" w:rsidRDefault="00C85280" w:rsidP="00271E5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E1423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Авиационные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B5CF0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Сухопутные</w:t>
            </w:r>
          </w:p>
        </w:tc>
      </w:tr>
      <w:tr w:rsidR="00A907A5" w:rsidRPr="00271E51" w14:paraId="6B435BA0" w14:textId="77777777" w:rsidTr="00AE304B">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8C082E" w14:textId="77777777" w:rsidR="00C85280" w:rsidRPr="00271E51" w:rsidRDefault="00C85280" w:rsidP="00271E5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2800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РС-82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6C35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PС-132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1CEC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69C2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0972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M-31</w:t>
            </w:r>
          </w:p>
        </w:tc>
      </w:tr>
      <w:tr w:rsidR="00A907A5" w:rsidRPr="00271E51" w14:paraId="610A7B26"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1F0CA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4279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F6E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23D0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 НДК, НМ-2, НМ-4Ш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D0CB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D9F0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H-31, HM-31</w:t>
            </w:r>
          </w:p>
        </w:tc>
      </w:tr>
      <w:tr w:rsidR="00A907A5" w:rsidRPr="00271E51" w14:paraId="7592A898"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23561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ракетного заряда,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9AE4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CD6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F30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7050±35</w:t>
            </w:r>
          </w:p>
          <w:p w14:paraId="0CC37B7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 НДК)</w:t>
            </w:r>
          </w:p>
          <w:p w14:paraId="4264138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7130±35</w:t>
            </w:r>
          </w:p>
          <w:p w14:paraId="144D8AE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 НМ-4Ш)</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621C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B683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11250±50</w:t>
            </w:r>
          </w:p>
          <w:p w14:paraId="6E39455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(H-31)</w:t>
            </w:r>
          </w:p>
          <w:p w14:paraId="262517A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11150±50</w:t>
            </w:r>
          </w:p>
          <w:p w14:paraId="7808683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(HM-31)</w:t>
            </w:r>
          </w:p>
        </w:tc>
      </w:tr>
      <w:tr w:rsidR="00A907A5" w:rsidRPr="00271E51" w14:paraId="037D4686"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5ACC6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пороховых шашек в заряде,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392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A78E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D8A7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6C35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AF1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49421C5B" w14:textId="77777777" w:rsidTr="00AE304B">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807407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Размеры шашек с допусками:</w:t>
            </w:r>
          </w:p>
        </w:tc>
      </w:tr>
      <w:tr w:rsidR="00A907A5" w:rsidRPr="00271E51" w14:paraId="4E4173AE"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46AF3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наружный диаметр,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BC65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5B64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E892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F677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12E1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w:t>
            </w:r>
          </w:p>
        </w:tc>
      </w:tr>
      <w:tr w:rsidR="00A907A5" w:rsidRPr="00271E51" w14:paraId="109105C5"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FFBFD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канала,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E741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874E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A17B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B9D3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C395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r>
      <w:tr w:rsidR="00A907A5" w:rsidRPr="00271E51" w14:paraId="1057E3E1"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97028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шашки,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9A69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9317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AB18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9CDC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8328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900±10</w:t>
            </w:r>
          </w:p>
        </w:tc>
      </w:tr>
    </w:tbl>
    <w:p w14:paraId="16CDD90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Составы баллиститных порохов для ракетных зарядов PC Советской Армии</w:t>
      </w:r>
    </w:p>
    <w:p w14:paraId="720A998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периода Великой Отечественной войны</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723"/>
        <w:gridCol w:w="330"/>
        <w:gridCol w:w="422"/>
        <w:gridCol w:w="482"/>
        <w:gridCol w:w="643"/>
        <w:gridCol w:w="419"/>
        <w:gridCol w:w="562"/>
        <w:gridCol w:w="822"/>
      </w:tblGrid>
      <w:tr w:rsidR="00A907A5" w:rsidRPr="00271E51" w14:paraId="6F8C63F4" w14:textId="77777777" w:rsidTr="00AE304B">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B1E48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Компоненты порохов, %</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29815E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Пороха</w:t>
            </w:r>
          </w:p>
        </w:tc>
      </w:tr>
      <w:tr w:rsidR="00A907A5" w:rsidRPr="00271E51" w14:paraId="5056B3F6" w14:textId="77777777" w:rsidTr="00AE304B">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E37435" w14:textId="77777777" w:rsidR="00C85280" w:rsidRPr="00271E51" w:rsidRDefault="00C85280" w:rsidP="00271E5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E1D1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F2E1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6D78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4D5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НМ-4Ш</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E6FF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98E5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HM-31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6DAD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Допуск, %</w:t>
            </w:r>
          </w:p>
        </w:tc>
      </w:tr>
      <w:tr w:rsidR="00A907A5" w:rsidRPr="00271E51" w14:paraId="3EF492DC"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42CB3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Коллоксилин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BF26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FFE7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DDE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B642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EEA1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42B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7D99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3508B0D1"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B2E38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Нитроглицерин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8C1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149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5738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CAC4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9CAC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5FE8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612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w:t>
            </w:r>
          </w:p>
        </w:tc>
      </w:tr>
      <w:tr w:rsidR="00A907A5" w:rsidRPr="00271E51" w14:paraId="17594624"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741CB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Динитротолуол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F5E3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D6E5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EF91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5C58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6FF3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AC06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B87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7B24E454"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E4856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Окись магния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FA93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D40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4195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CAC2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5C2D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F938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CA14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r>
      <w:tr w:rsidR="00A907A5" w:rsidRPr="00271E51" w14:paraId="29F5D182"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58772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Вазелин или трансформаторное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0111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B91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17CB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B6E5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1B3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D0C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E97E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r>
      <w:tr w:rsidR="00A907A5" w:rsidRPr="00271E51" w14:paraId="1E4D1D79"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732D3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Централит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B3BC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FB9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EB59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834F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5F2C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A0F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20F2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0,5</w:t>
            </w:r>
          </w:p>
        </w:tc>
      </w:tr>
      <w:tr w:rsidR="00A907A5" w:rsidRPr="00271E51" w14:paraId="74F02F2F"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70628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Динитроксилол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B2E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650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806E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E559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45A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6B99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544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65E24BAC"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4F26E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Калорийность пороха, ккал/кг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ECB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E0EC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261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3F78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ADDB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884C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C0B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bl>
    <w:p w14:paraId="357DEB9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реактивных снарядов сухопутных</w:t>
      </w:r>
    </w:p>
    <w:p w14:paraId="3AC4AF9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 Советской Армии периода Великой Отечественной войны</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62"/>
        <w:gridCol w:w="566"/>
        <w:gridCol w:w="459"/>
        <w:gridCol w:w="459"/>
        <w:gridCol w:w="459"/>
        <w:gridCol w:w="666"/>
        <w:gridCol w:w="664"/>
        <w:gridCol w:w="450"/>
        <w:gridCol w:w="681"/>
      </w:tblGrid>
      <w:tr w:rsidR="00A907A5" w:rsidRPr="00271E51" w14:paraId="0BDBFEFA" w14:textId="77777777" w:rsidTr="00AE304B">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92021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A67D17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Реактивные снаряды</w:t>
            </w:r>
          </w:p>
        </w:tc>
      </w:tr>
      <w:tr w:rsidR="00A907A5" w:rsidRPr="00271E51" w14:paraId="584E5453" w14:textId="77777777" w:rsidTr="00AE304B">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D18581" w14:textId="77777777" w:rsidR="00C85280" w:rsidRPr="00271E51" w:rsidRDefault="00C85280" w:rsidP="00271E5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B60A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8E39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0767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DA62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CB1E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М-13УК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12B6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М-13ДД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A00E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8D0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М-31УК</w:t>
            </w:r>
          </w:p>
        </w:tc>
      </w:tr>
      <w:tr w:rsidR="00A907A5" w:rsidRPr="00271E51" w14:paraId="2EE73C4C"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05E2B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8972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A630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79B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BB65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761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2DAB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E12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1E8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r>
      <w:tr w:rsidR="00A907A5" w:rsidRPr="00271E51" w14:paraId="288F6F43"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00F0D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снаряда,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57CD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4332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401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32D5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0FA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7C06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DD1C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5209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1760</w:t>
            </w:r>
          </w:p>
        </w:tc>
      </w:tr>
      <w:tr w:rsidR="00A907A5" w:rsidRPr="00271E51" w14:paraId="05D9B5CC"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1AC183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снаряда,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A86C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2012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DBC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569D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AE23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5CBF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DECF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78DD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94,5</w:t>
            </w:r>
          </w:p>
        </w:tc>
      </w:tr>
      <w:tr w:rsidR="00A907A5" w:rsidRPr="00271E51" w14:paraId="5E9C88DA"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1FFF2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боевой части,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CE6F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5837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1887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CBFA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0562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53D9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225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69AC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r>
      <w:tr w:rsidR="00A907A5" w:rsidRPr="00271E51" w14:paraId="0A33AF0B"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3AF4C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стрельбы,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56A0"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3E8A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29A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190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EEDB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1CE0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9F93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AE44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r>
      <w:tr w:rsidR="00A907A5" w:rsidRPr="00271E51" w14:paraId="7D94C1E0"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CEDE2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Кучность по дальности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DA854"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8BD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6B1C"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DC6E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221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CE9E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728E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9E14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r>
      <w:tr w:rsidR="00A907A5" w:rsidRPr="00271E51" w14:paraId="30FAE35F"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DEA117"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Кучность по направлению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6CCC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B4EA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449E2"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3434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A103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7BE1"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6356A"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F2B6"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r>
      <w:tr w:rsidR="00A907A5" w:rsidRPr="00271E51" w14:paraId="025EF820" w14:textId="77777777" w:rsidTr="00AE304B">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F17048"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принятия на 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D398D"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VIII.41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7CF5"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7BFA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18B8B"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32DC9"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04D2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1EBF"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42F7E"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IV.44</w:t>
            </w:r>
          </w:p>
        </w:tc>
      </w:tr>
    </w:tbl>
    <w:p w14:paraId="1061A723" w14:textId="77777777" w:rsidR="00C85280" w:rsidRPr="00271E51" w:rsidRDefault="00C852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(18646).</w:t>
      </w:r>
    </w:p>
    <w:p w14:paraId="0D55B672" w14:textId="77777777" w:rsidR="00C85280" w:rsidRPr="00271E51" w:rsidRDefault="00C85280" w:rsidP="00271E51">
      <w:pPr>
        <w:spacing w:after="0" w:line="240" w:lineRule="auto"/>
        <w:jc w:val="both"/>
        <w:rPr>
          <w:rFonts w:ascii="Times New Roman" w:hAnsi="Times New Roman"/>
          <w:color w:val="000000" w:themeColor="text1"/>
          <w:sz w:val="16"/>
          <w:szCs w:val="16"/>
        </w:rPr>
      </w:pPr>
    </w:p>
    <w:p w14:paraId="2C44FDE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DCD02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F12652" w14:textId="77777777" w:rsidR="001974A8" w:rsidRPr="00271E51" w:rsidRDefault="001974A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 июля 1943 года была подписана программа заводских испытаний самоходной установки. Тогда же, в июле, машина была построена. На испытания СУ-122-III вышла 25 июля, вместе с тремя образцами СУ-85. Шасси и боевые отделения всех вышедших на испытания машин оказались практически одинаковыми. Тем самым упрощался запуск серийного производства победившей самоходной установки. Надо сказать, что СУ-122-III испытывалась едва ли не вне конкурса, поскольку наибольший приоритет, по понятным причинам, имела СУ-85.</w:t>
      </w:r>
    </w:p>
    <w:p w14:paraId="7A580C4D" w14:textId="77777777" w:rsidR="001974A8" w:rsidRPr="00271E51" w:rsidRDefault="001974A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Методика испытаний всех машин оказалась одинаковой. Было пройдено 373 километра по булыжно-щебеночному шоссе и 112 – по проселочным дорогам. При этом расход топлива составил 187 и 220 литров на 100 километров соответственно. Основными дефектами при этом оказались повреждения бандажей опорных катков. Стоит отметить, что СУ-122-III оказалась самой тяжелой из машин, ее боевая масса составила 30 тонн.</w:t>
      </w:r>
    </w:p>
    <w:p w14:paraId="1EDCD133" w14:textId="77777777" w:rsidR="001974A8" w:rsidRPr="00271E51" w:rsidRDefault="001974A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Настоящей проблемой стали испытания стрельбой. Недоработка противооткатных устройств привела к тому, что произошел целый ряд недокатов и предельных откатов. Проблемы с откатными механизмами привели к деформации деталей орудийной установки. В результате комиссия приняла решение СУ-122-III с испытаний снять. Комиссия обратила внимание на неудобное место командира, не самую лучшую конструкцию боеукладок и ряд других недоработок. Вместе с тем, отмечалась удачная конструкция гильзоулавливателя.</w:t>
      </w:r>
    </w:p>
    <w:p w14:paraId="1852424F" w14:textId="77777777" w:rsidR="001974A8" w:rsidRPr="00271E51" w:rsidRDefault="001974A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 итогам испытаний комиссия предложила заводу №9 самоходную установку доработать. Помимо устранения проблем с противооткатными механизмами, имелся целый перечень и других доработок. В их числе значилась, например, замена поршневого затвора на клиновой.</w:t>
      </w:r>
    </w:p>
    <w:p w14:paraId="26C68DB1" w14:textId="77777777" w:rsidR="001974A8" w:rsidRPr="00271E51" w:rsidRDefault="001974A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Лучше всего на испытаниях себя показала СУ-85-II с системой Д-5-С-85. Именно она и пошла в серийное производство как СУ-85. Что же касается СУ-122-III, то в августе работы по штурмовым средним САУ закончились. Приоритеты окончательно сместились в пользу противотанковых самоходных установок, предназначенных для борьбы с немецким «зверинцем» (17689).</w:t>
      </w:r>
    </w:p>
    <w:p w14:paraId="2A369399" w14:textId="77777777" w:rsidR="001974A8" w:rsidRPr="00271E51" w:rsidRDefault="001974A8" w:rsidP="00271E51">
      <w:pPr>
        <w:pStyle w:val="12a"/>
        <w:shd w:val="clear" w:color="auto" w:fill="auto"/>
        <w:spacing w:after="0" w:line="240" w:lineRule="auto"/>
        <w:jc w:val="both"/>
        <w:rPr>
          <w:color w:val="000000" w:themeColor="text1"/>
          <w:sz w:val="16"/>
          <w:szCs w:val="16"/>
        </w:rPr>
      </w:pPr>
    </w:p>
    <w:p w14:paraId="0AC9155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вышло Распоряжение ГКО № 3695 [О производстве синтетического карбидного каучука на Ереванском комбинате СК "Совпрен" HКРП.] (7118, 215-216,217).</w:t>
      </w:r>
    </w:p>
    <w:p w14:paraId="5F43C23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7F2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вышло Распоряжение ГКО № 3696. Об откомандировании на завод № 564 НКБ 8 радиоспециалистов для производства радиостанций А-7.РГАНИР, Фонд ГКО, д. 129, лл. 218 (11012).</w:t>
      </w:r>
    </w:p>
    <w:p w14:paraId="3A868F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6D441"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года, пикирующие бомбардировщики превратили в металлолом бронепоезд «Московский метрополитен», принадлежавший к новейшим бронепоездам типа БП-43, и только что вступивший в боевой состав Красной Армии (15218).</w:t>
      </w:r>
    </w:p>
    <w:p w14:paraId="5349B155" w14:textId="77777777" w:rsidR="00D535E7" w:rsidRPr="00271E51" w:rsidRDefault="00D535E7" w:rsidP="00271E51">
      <w:pPr>
        <w:spacing w:after="0" w:line="240" w:lineRule="auto"/>
        <w:jc w:val="both"/>
        <w:rPr>
          <w:rFonts w:ascii="Times New Roman" w:hAnsi="Times New Roman"/>
          <w:color w:val="000000" w:themeColor="text1"/>
          <w:sz w:val="16"/>
          <w:szCs w:val="16"/>
        </w:rPr>
      </w:pPr>
    </w:p>
    <w:p w14:paraId="4D24DD0D" w14:textId="77777777" w:rsidR="00D535E7" w:rsidRPr="00271E51" w:rsidRDefault="00D535E7" w:rsidP="00271E51">
      <w:pPr>
        <w:pStyle w:val="Default"/>
        <w:jc w:val="both"/>
        <w:rPr>
          <w:color w:val="000000" w:themeColor="text1"/>
          <w:sz w:val="16"/>
          <w:szCs w:val="16"/>
        </w:rPr>
      </w:pPr>
      <w:r w:rsidRPr="00271E51">
        <w:rPr>
          <w:color w:val="000000" w:themeColor="text1"/>
          <w:sz w:val="16"/>
          <w:szCs w:val="16"/>
        </w:rPr>
        <w:t>6 июля 1943 приказом наркомата создается в поселке Фрязино на базе радио-лампового завода №70712 НИИ-160 с опытным заводом. В руководстве – ленинградцы-светлановцы: директор – будущий академик С.Векшинский (1896-1974), зам. по науке С.Зусмановский (1903-1979). Оба - опытные электронщики, оба посидели в тюрьме, оба по очереди возглавляли знамени-тую ОВЛ (отраслевую вакуумную лабораторию) в Ленинграде при радио-ламповом заводе «Светлана» - прообраз первого электровакуумного НИИ.</w:t>
      </w:r>
    </w:p>
    <w:p w14:paraId="1A410707" w14:textId="77777777" w:rsidR="00D535E7" w:rsidRPr="00271E51" w:rsidRDefault="00D535E7"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Первое военное задание - создание серии электровакуумных приборов для радиолокационной станции орудийной наводки (СОН-2). Для этого из Москвы переезжает группа электронщиков-ленинградцев во главе с будущим академиком Н.Девятковым и В.Егиазаровым, уже начавшим эту работу в 1942 году в Москве на основе комплекта приборов полученной по ленд-лизу английской РЛС ПВО. Егиазаров был назначен директором опытного завода, а Девятков с 1948 станет зам. гл. инженера по научной части (научным руководителем) НИИ.</w:t>
      </w:r>
    </w:p>
    <w:p w14:paraId="4BB76013" w14:textId="77777777" w:rsidR="00D535E7" w:rsidRPr="00271E51" w:rsidRDefault="00D535E7" w:rsidP="00271E51">
      <w:pPr>
        <w:shd w:val="clear" w:color="auto" w:fill="FFFFFF"/>
        <w:spacing w:after="0" w:line="240" w:lineRule="auto"/>
        <w:jc w:val="both"/>
        <w:rPr>
          <w:rFonts w:ascii="Times New Roman" w:hAnsi="Times New Roman"/>
          <w:color w:val="000000" w:themeColor="text1"/>
          <w:sz w:val="16"/>
          <w:szCs w:val="16"/>
        </w:rPr>
      </w:pPr>
    </w:p>
    <w:p w14:paraId="54ED8C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июля 1943 г. приказом НКЭП в соответствии с пост. ГКО № 3686сс от 4.07.1943 г. на базе завода № 747 создан НИИ-160 (НИИ-160 НКЭП, п/я 17, Электровакуумный институт, НИИЭТ, НИИ «Исток» МЭП, ГНПП «Исток», А-7139, ГП «НПО «Исток», ФГУП «НПП «Исток» /г. Фрязино Московской обл. а/я 7/ /141120 (141190)  г. </w:t>
      </w:r>
      <w:r w:rsidRPr="00271E51">
        <w:rPr>
          <w:rFonts w:ascii="Times New Roman" w:hAnsi="Times New Roman"/>
          <w:color w:val="000000" w:themeColor="text1"/>
          <w:sz w:val="16"/>
          <w:szCs w:val="16"/>
        </w:rPr>
        <w:lastRenderedPageBreak/>
        <w:t xml:space="preserve">Фрязино Московской обл. ул. Вокзальная, 2А тел. 465-86-86/), а завод № 747 стал его опытным заводом в ведении ГУ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промышленности НКЭП (возможно, далее это- завод «Рений»). 6.08.1944 г. вышло постановление ГКО № 6328 об обеспечении строительства завода.</w:t>
      </w:r>
    </w:p>
    <w:p w14:paraId="38266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Электровакуумный институт (НИИ-160) в ведении ГУ РЛ промышленности НКЭП был создан для разработки и производства электронных приборов и устройств для связной и РЛ техники, а завод № 747 стал его опытным заводом. 23.09.1943 г. вышло постановление ГКО № 4189 о производстве в НИИ-160 и на заводе № 747 НКЭП специальных электронных приборов. 6.08.1944 г. вышло постановление ГКО № 6328 об обеспечении строительства института.</w:t>
      </w:r>
    </w:p>
    <w:p w14:paraId="3340A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1949 г. создан первый в стране действующий макет транзистора (А.В. Красилов, С. Г. Мадоян), в 1950-52 г. - образцы промышленных точечных транзисторов (А.В. Красилов, Ф.А. Щиголь).</w:t>
      </w:r>
    </w:p>
    <w:p w14:paraId="51D3F7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1966 г. имел наименование «предприятие- п/я 17». В 1973 г. назывался НИИ «Исток», в 1989 г.- ГНПП «Исток», имело наименование «п/я А-7139». При НИИ действовало ОКБ.</w:t>
      </w:r>
    </w:p>
    <w:p w14:paraId="4BC98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на базе отдела электронно-лучевых приборов создан самостоятельный НИИ электронных приборов.</w:t>
      </w:r>
    </w:p>
    <w:p w14:paraId="0D0D5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Выполнены НИР: по электронно-лучевым усилителям слабых сигналов СВЧ (В.А. Афанасьев); по изысканию методов снижения коэффициента шума усилителей СВЧ (В.А. Афанасьев); НИЭР «Союз-Синтез» (совместно с НИИАС) по РЛС для Су-27 и головке самонаведения для УР.</w:t>
      </w:r>
    </w:p>
    <w:p w14:paraId="53D4AF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создан филиал, а в 1995 г. - дочернее предприятие «Исток-Система». В него вошли подразделения микропроцессорной техники, программирования, спецэлектроники, медицинской электроники.</w:t>
      </w:r>
    </w:p>
    <w:p w14:paraId="21526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Ведущее предприятие страны по по разработке и производству электронных приборов СВЧ. Создана школа отечественного СВЧ-приборостроения (С.А. Зусмановский). Предприятию принадлежит мировой приоритет в создании ламп обратной волны миллиметрового и субмиллиметрового диапазона, лавинно-пролетных диодов, многолучевых клистронов и ламп бегущей волны, приборов на циклотронной волне. Создана единственная в мире серия (13 приборов) широкодиапазонных электрически перестраиваемых генераторов типа ЛОВ (А.А. Негирев). Создан новый класс источников электронной эмиссии - металлосплавных катодов. Разработан комплекс унифицированных микроволновых технологий.</w:t>
      </w:r>
    </w:p>
    <w:p w14:paraId="71635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Крупнейший в стране производитель активных РЛ ГСН для УРВВ.</w:t>
      </w:r>
    </w:p>
    <w:p w14:paraId="0C5B81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от 21.02.2002 г. «О государственном оборонном заказе на 2002 г.» начата реконструкция и техническое перевооружение предприятия.</w:t>
      </w:r>
    </w:p>
    <w:p w14:paraId="2D883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2002 г.- ГП «НПО «Исток». По Указу Президента РФ № 1009 от 4.08.2004 г. ФГУП «НПП «Исток»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5E810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2005 г. создано более 600 типов электровакуумных и около 500 типов твердотельных СВЧ приборов для 200 различных систем вооружения, в т.ч . для С-25, С-23, С-23МЛ, С-75, С-125, С-200, С-225, С-300, С-400, А-35, «Тор», «Заслон», «Шмель», «Равенство», «Кинжал», «Кортик», «Фрегат», «Фара-1», «Кредо», «Зоопарк», РВВ- АЕ, «Горизонт», «Экран-М», «Форум», «Кристалл-БТ», «Метеор-ЗМ», Э-801СВ.</w:t>
      </w:r>
    </w:p>
    <w:p w14:paraId="181B3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маршрутный компьютер; лампы бегущей волны для спутников связи; электронно- оптическое оборудование; радиоизмерительные приборы; медоборудование. Разработка и производство (2005 г.): медицинская электронная аппаратура; газовые лазеры, лазерные установки прецизионной обработки материалов; цифровые радиорелейные комплексы беспроводной связи; РЛ датчики уровня и скорости, РЛ маяки-ответчики; многоканальные регистраторы телефонной и видеоинформации.</w:t>
      </w:r>
      <w:r w:rsidRPr="00271E51">
        <w:rPr>
          <w:rFonts w:ascii="Times New Roman" w:hAnsi="Times New Roman"/>
          <w:color w:val="000000" w:themeColor="text1"/>
          <w:sz w:val="16"/>
          <w:szCs w:val="16"/>
          <w:vertAlign w:val="superscript"/>
        </w:rPr>
        <w:t>101</w:t>
      </w:r>
    </w:p>
    <w:p w14:paraId="67D72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(07.1943 г.-)- С.А. Векшинский, (1943 г.)- И.И. Каминский, (1945-47 г.)- А.А. Захаров. Директор (1953-61 г.)- М.М. Федоров, А.В. Потапов, (1966-89 г.)- С.И. Ребров. Гендиректор (1989-2007 г.-)- А.Н. Королев.</w:t>
      </w:r>
    </w:p>
    <w:p w14:paraId="44E31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Е.Н. Покровский. Зам. директора по научной работе (1943 г.-)- С.А. Зусмановский, по научной части- академик Н.Д. Девятков. Зам. гендиректора: по науке (-2002-07 г.-)- С.А. Зайцев;</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по производству- Е.Н. Покровский.</w:t>
      </w:r>
    </w:p>
    <w:p w14:paraId="58308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(1980-е-2000-е)- С.И. Ребров.</w:t>
      </w:r>
    </w:p>
    <w:p w14:paraId="58281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Н.Д. Девятков.</w:t>
      </w:r>
    </w:p>
    <w:p w14:paraId="13FBD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производства (2007 г.)- Е.Н. Покровский. Начальник научно-производственного комплекса (НПК)- Э.А. Гельвич, С.А. Зайцев, С.П. Кантюк, А.Н. Королев, (2000-е)- Ю.А. Будзинский, (2000-е)- П.М. Мелешкевич, (2000-е)- А .В. Потапов.</w:t>
      </w:r>
    </w:p>
    <w:p w14:paraId="408CBA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завода- Е.Н. Покровский. Гл. технолог НПК (2007 г.)- Е.А. Котюргин.</w:t>
      </w:r>
    </w:p>
    <w:p w14:paraId="71D59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Э.А. Гельвич (магнетроны для СУ БР, ИСЗ), Е.В. Жарый, С.А. Зайцев, С.П. Кантюк (электростатические усилители, потенциалотроны), В. Г. Кармазин (умножительный клистрон, ЭВП СВЧ), А.Н. Королев (первый отечественный ВК с программируемой цифровой обработкой РЛ сигнала), Ю.П. Мякиньков (ЛБВ средней мощности для КА), А.А. Негирев (генераторы типа ЛОВ).</w:t>
      </w:r>
    </w:p>
    <w:p w14:paraId="293D5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Е.В. Жарый.</w:t>
      </w:r>
    </w:p>
    <w:p w14:paraId="31560A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С.А. Зайцев, С.П. Кантюк, А.В. Потапов.</w:t>
      </w:r>
    </w:p>
    <w:p w14:paraId="4CDBF2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секторов: Э.А. Гельвич, (2007 г.)- Е.В. Жарый, А.Н. Королев, А.А. Негирев.</w:t>
      </w:r>
    </w:p>
    <w:p w14:paraId="2CFBF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В.А. Афанасьев, Э.А. Гельвич, М.Б. Голант, (2000-е)- Б.Ч. Дюбуа, С.А. Зайцев, (-1978 г.)- В. Г. Кармазин, Е.А. Котюргин, Ю.П. Мякиньков, В.И. Новоселец, А.С. Победоносцев, Е.Н. Покровский, А.В. Потапов, С.И. Ребров. Начальник ОКБ (-1959 г.)- К.П. Шахов.</w:t>
      </w:r>
    </w:p>
    <w:p w14:paraId="58CDB9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(1951 г.-)- В.А. Афанасьев, Ю.А. Будзинский, Э.А. Гельвич, М.Б. Голант, (-1970 г.)- А.А. Гугнин, Н.Д. Девятков, Б.Ч. Дюбуа, Е.В. Жарый, С.А. Зайцев, С.А. Зусмановский, С.П. Кантюк, В. Г. Кармазин, (1975 г.-)- А.Н. Королев, (-1983 г.)- С.В. Королев, Е.А. Котюргин, П.М. Мелешкевич, Ю.П. Мякиньков, А.А. Негирев, (1942-45 г.)- С.М. Никифоров, В.И. Новоселец, Л.А. Парышкуро, (1957-71 г.)- Д.М. Петров, А.С. Победоносцев, (1974 г.-)- А.В. Потапов, (1952 г.-)- С.И. Ребров, (-1965 г.)- В.А. Смирнов, (1945 г.-)- К.П. Шахов.</w:t>
      </w:r>
    </w:p>
    <w:p w14:paraId="67587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Е.Н. Покровский.</w:t>
      </w:r>
    </w:p>
    <w:p w14:paraId="470D8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Научные руководители НИР: В.А. Афанасьев, Н.Д. Девятков, С.П. Кантюк, А.А. Негирев.</w:t>
      </w:r>
    </w:p>
    <w:p w14:paraId="6E2D2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участков: Е.Н. Покровский.</w:t>
      </w:r>
    </w:p>
    <w:p w14:paraId="56829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электронные лампы: 6Ж1П, 6Ж2П. 6НЗП, СГ1П, 6П1П, 6А4П; генераторы шума ГШ-2, ГШ-3, ГШ-5; ЛБВ: УВ-5, УВ-13, УВ-35; клистроны К-41, К-42, К-83; генератор оптический квантовый ОКГ11; ЭЛТ: передающая ЛИ416, приемная 23ЛК9Б, запоминающие; атомно-лучевые трубки для ГЛОНАСС; тиратроны, кенотроны, импульсные магнетроны, ЛОВ; приборы СВЧ: «Аэробус», «Арарат», «Антрацит», «Атлас», «Шкала», «Шифон».</w:t>
      </w:r>
      <w:r w:rsidRPr="00271E51">
        <w:rPr>
          <w:rFonts w:ascii="Times New Roman" w:hAnsi="Times New Roman"/>
          <w:color w:val="000000" w:themeColor="text1"/>
          <w:sz w:val="16"/>
          <w:szCs w:val="16"/>
          <w:vertAlign w:val="superscript"/>
        </w:rPr>
        <w:t>130</w:t>
      </w:r>
    </w:p>
    <w:p w14:paraId="69EFF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«Рений» /141190  г. Фрязино Московской обл. ул. Вокзальная, 2А/</w:t>
      </w:r>
    </w:p>
    <w:p w14:paraId="356A8D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«Рений» создан в 1943 г. (возможно, это опытный завод НИИ-160). Затем вошел в состав ПО «Исток», ФГУП «НПП «Исток».</w:t>
      </w:r>
    </w:p>
    <w:p w14:paraId="53B0D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магнитофон «Электроника ТА-004».</w:t>
      </w:r>
    </w:p>
    <w:p w14:paraId="41B686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 электронных приборов, ФГУП «НИИ «Платан» с заводом», Г-4937, ОАО «НИИ электронных приборов» /141190  г. Фрязино Московской обл. Заводской пр., 2 тел. 526-90-17/</w:t>
      </w:r>
    </w:p>
    <w:p w14:paraId="1261C5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на базе отдела электронно-лучевых приборов НИИ-160 создан самостоятельный НИИ электронных приборов. НИИ «Платан» имел наименование «п/я Г-4937».</w:t>
      </w:r>
    </w:p>
    <w:p w14:paraId="4BD8FB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2002 г. назывался ФГУП «НИИ «Платан» с заводом».</w:t>
      </w:r>
    </w:p>
    <w:p w14:paraId="5E3DA9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Головное предприятие России (2002 г.) по разработке и производству приборов отображения информации для ЛА (высокояркостные ЭЛТ, нашлемные системы, лазерные ЭЛТ, ЖКИ, видиконы, видеопроекторы).</w:t>
      </w:r>
    </w:p>
    <w:p w14:paraId="7E8A0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и Указу Президента РФ № 1009 от 4.08.2004 г. ОАО «НИИ электронных приборов» вошло в перечень стратегических предприятий. В 2007 г. планировалось вхождение предприятия в холдинг «Электронные системы» ОПК «Оборонпром».</w:t>
      </w:r>
    </w:p>
    <w:p w14:paraId="0FAA9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(2002 г.)- А. Г. Михальченков.</w:t>
      </w:r>
      <w:r w:rsidRPr="00271E51">
        <w:rPr>
          <w:rFonts w:ascii="Times New Roman" w:hAnsi="Times New Roman"/>
          <w:color w:val="000000" w:themeColor="text1"/>
          <w:sz w:val="16"/>
          <w:szCs w:val="16"/>
          <w:vertAlign w:val="superscript"/>
        </w:rPr>
        <w:t>69</w:t>
      </w:r>
    </w:p>
    <w:p w14:paraId="1F4EC2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ЖК дисплей ИЖЦ5-4/8 «Лещ» для дозиметров.</w:t>
      </w:r>
    </w:p>
    <w:p w14:paraId="2B7C71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НПО «Платан», А-7017 /г. Фрязино Московской обл./</w:t>
      </w:r>
    </w:p>
    <w:p w14:paraId="600C8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Имело наименование «п/я А-7017». В составе НПО - завод «п/я В-8419» ( г. Фрязино) (11982).</w:t>
      </w:r>
    </w:p>
    <w:p w14:paraId="5BFA58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0077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7FA6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512DE8"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июля</w:t>
      </w:r>
      <w:r w:rsidRPr="00271E51">
        <w:rPr>
          <w:rFonts w:ascii="Times New Roman" w:hAnsi="Times New Roman"/>
          <w:color w:val="000000" w:themeColor="text1"/>
          <w:sz w:val="16"/>
          <w:szCs w:val="16"/>
        </w:rPr>
        <w:t xml:space="preserve"> в 1943 году оперативная сводка Совинформбюро:</w:t>
      </w:r>
    </w:p>
    <w:p w14:paraId="145AD2A2"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июля наши войска на Орловско-Курском и Белгородском направлениях продолжали вести упорные бои с крупными силами танков и пехоты противника. Наступление противника поддерживалось большим количеством авиации.</w:t>
      </w:r>
    </w:p>
    <w:p w14:paraId="7B4F50E9"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все атаки противника отбиты с большими для него потерями.</w:t>
      </w:r>
    </w:p>
    <w:p w14:paraId="2CE00676"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Белгородском направлении противнику, ценой больших потерь, удалось незначительно продвинуться на отдельных участках.</w:t>
      </w:r>
    </w:p>
    <w:p w14:paraId="2964B49C"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неполным данным, нашими войсками на Орловско-Курском и Белгородском направлениях за день боёв подбито и уничтожено 433 немецких танка. В воздушныхбоях и зенитной артиллерией сбито 111 самолётов противника. Взято в плен 22 немецких лётчика.</w:t>
      </w:r>
    </w:p>
    <w:p w14:paraId="1771930D"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бойцы Н-ского соединения второй день отбивают непрерывные атаки танков и пехоты противника и прочно удерживают свои позиции. На участке фронта, занимаемом этим соединением, немцы после артиллерийской подготовки ввели в бой до 400 танков. В ходе сражения наши артиллеристы, пехотинцы и бронебойщики подбили и уничтожили 110 вражеских танков и истребили до 3.000 немецких солдат и офицеров. На других участках Орловско-Курского направления все попытки немцев прорваться за передний край советской обороны также потерпели неудачу.</w:t>
      </w:r>
    </w:p>
    <w:p w14:paraId="7B230D0C"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и командиры проявляют стойкость и мужество в борьбе с врагом. Лейтенант Маклин из противотанкового ружья сжёг 4 немецких танка. Бронебойщик сержант Лозовой уничтожил 2 танка, красноармеец Гусев противотанковой гранатой взорвал тяжёлый танк противника.</w:t>
      </w:r>
    </w:p>
    <w:p w14:paraId="0AB86F76"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немцы с утра возобновили атаки советских позиций. Наши войска встретили противника мощным огнём из всех видов оружия и отбросили на исходные позиции. Во второй половине дня противник, подтянув крупные силы танков, вновь перешёл в наступление. В этом бою немцы потеряли более ста танков. В одном месте гитлеровцам ценой тяжёлых потерь удалось занять два населённых пункта. Дальнейшее продвижение противника, несмотря на все его атаки, приостановлено. На всех участках фронта к исходу дня продолжаются ожесточённые бои, в ходе которых танковые части и пехота противника несут крупные потери.</w:t>
      </w:r>
    </w:p>
    <w:p w14:paraId="6098BD22"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активно действовали разведывательные группы обеих сторон.На одном участке наш разведывательный отряд преодолел проволочные заграждения и ворвался в расположение вражеской обороны. В завязавшейся рукопашной схватке разведчики уничтожили группу гитлеровцев и захватили пленных. На другом участке пехота противника пыталась атаковать наши позиции. Вражеский отряд был встречен пулемётным и залповым ружейным огнём и в беспорядке отступил.</w:t>
      </w:r>
    </w:p>
    <w:p w14:paraId="5E9CB530"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Калининском фронте немцы продолжали попытки вернуть высоту, захваченную нашими гвардейцами в конце июня месяца. Рано утром немецкая пехота, поддержанная танками, перешла в атаку. Огнём наших пехотных подразделений и гвардейцев-миномётчиков противник был рассеян на подступах к переднему краю. Днём немцы, после 30-минутной артиллерийской подготовки, повторили атаку. Часть вражеских солдат прорвалась на юго-западные скаты высоты. Контрударом советских подразделений гитлеровцы были отброшены. В этом бою наши бойцы истребили более роты гитлеровцев и уничтожили 5 немецких танков.</w:t>
      </w:r>
    </w:p>
    <w:p w14:paraId="3CDFEB99"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истребили 170 гитлеровцев. Огнём артиллерийских и миномётных подразделений разрушены 16 немецких дзотов, 10 землянок и 5 наблюдательных пунктов. На одном участке артиллеристы подразделения, где командиром капитан Бондарев, обстреляли немецкий железнодорожный эшелон и разбили несколько вагонов. На другом участке орудийный расчёт сержанта Алексашева открыл огонь по скоплению автотранспорта противника и уничтожил не менее 10 автомашин с грузами.</w:t>
      </w:r>
    </w:p>
    <w:p w14:paraId="755E1B67"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Могилёвской области, разгромил укреплённый немецкий опорный пункт. Партизаны преодолели две полосы проволочных заграждений, ворвались в опорный пункт и уничтожили 120 гитлеровцев. Партизаны другого отряда подорвали воинский эшелон противника. Разбиты паровоз и 23 платформы с автомашинами. Убито и ранено 60 гитлеровцев.</w:t>
      </w:r>
    </w:p>
    <w:p w14:paraId="364E41EB"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Захваченные в плен 5 июля южнее Орла немецкий лётчик унтер-офицер Гайнц Гейль и радист обер-ефрейтор Гергарт Шрамм сообщили: «Мы прибыли на советско-германский фронт 3 июля из Югославии. 5 июля в 2 часа 15 минут наша эскадра получила приказ бомбить укрепления русских. Мы ещё не успели сброситьбомбы, как наш бомбардировщик «Юнкерс-87» был подожжён советским истребителем. Признаться, мы ожидали сильного противодействия со стороны советской авиации и зенитной артиллерии. Однако жестокий отпор русских лётчиков превзошёл все ожидания и ошеломил нас» (14944).</w:t>
      </w:r>
    </w:p>
    <w:p w14:paraId="7343A5D1" w14:textId="77777777" w:rsidR="00D535E7" w:rsidRPr="00271E51" w:rsidRDefault="00D535E7" w:rsidP="00271E51">
      <w:pPr>
        <w:spacing w:after="0" w:line="240" w:lineRule="auto"/>
        <w:jc w:val="both"/>
        <w:rPr>
          <w:rFonts w:ascii="Times New Roman" w:hAnsi="Times New Roman"/>
          <w:color w:val="000000" w:themeColor="text1"/>
          <w:sz w:val="16"/>
          <w:szCs w:val="16"/>
        </w:rPr>
      </w:pPr>
    </w:p>
    <w:p w14:paraId="053D2DC7" w14:textId="77777777" w:rsidR="00D535E7" w:rsidRPr="00271E51" w:rsidRDefault="00D535E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июля</w:t>
      </w:r>
      <w:r w:rsidRPr="00271E51">
        <w:rPr>
          <w:rFonts w:ascii="Times New Roman" w:hAnsi="Times New Roman"/>
          <w:color w:val="000000" w:themeColor="text1"/>
          <w:sz w:val="16"/>
          <w:szCs w:val="16"/>
        </w:rPr>
        <w:t xml:space="preserve"> в 1943 году в ходе операции "Цитадель" немцы на южном фасе Курской Дуги продолжали развивать наступление на участках 6-й и 7-й гвардейских армий, почти на всем протяжении прорвав первую линию обороны (кроме участков 375-й стрелковой дивизии и 81-ой гвардейской стрелковой дивизии) и в двух местах прорвав вторую линию обороны (на 16-км участке 51-й гвардейской стрелковой дивизии и 5-го гвардейского танкового корпуса силами механизированных дивизий СС "Лейбштандарт" и "Райх" на глубину до 4-5 км и на 3-км участке 73-й гвардейской стрелковой дивизии силами 7-й танковой дивизии на глубину 1 км за позиции второй линии обороны). Утром немцы силами шести танковых и двух пехотных дивизий перешли в наступление на участке от Бубны до Ерик (порядка 50 км по фронту) против трех танковых корпусов, одного мехкорпуса и шести стрелковых дивизий. К исходу дня немцы достигли рубежа Ново-Ивановка - Сетное - Подимовка - Завидовка - Луханино - Дуброва - Покровка - Лучки - Смородино - Вислое - Шопино. Продвижение на этом участке составило от 2 до 11 км. В течение дня немцы продолжали бои за расширение плацдарма на восточном берегу реки Сев. Донец на участке Белгород - Безлюдовка (порядка 30 км) силами трех танковых дивизий, батальона тяжелых танков и трех пехотных дивизий против пяти стрелковых дивизий (в которых было более 200 танков и САУ). На этом участке немцам удалось расширить плацдарм по фронту до 18 км и в глубину до 8 км (14944).</w:t>
      </w:r>
    </w:p>
    <w:p w14:paraId="1711DFAC" w14:textId="77777777" w:rsidR="00D535E7" w:rsidRPr="00271E51" w:rsidRDefault="00D535E7" w:rsidP="00271E51">
      <w:pPr>
        <w:spacing w:after="0" w:line="240" w:lineRule="auto"/>
        <w:jc w:val="both"/>
        <w:rPr>
          <w:rFonts w:ascii="Times New Roman" w:hAnsi="Times New Roman"/>
          <w:color w:val="000000" w:themeColor="text1"/>
          <w:sz w:val="16"/>
          <w:szCs w:val="16"/>
        </w:rPr>
      </w:pPr>
    </w:p>
    <w:p w14:paraId="23BE7B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исходу 6 июля 1943 летчики-штурмовики 3-го и 9-го сме</w:t>
      </w:r>
      <w:r w:rsidRPr="00271E51">
        <w:rPr>
          <w:rFonts w:ascii="Times New Roman" w:hAnsi="Times New Roman"/>
          <w:color w:val="000000" w:themeColor="text1"/>
          <w:sz w:val="16"/>
          <w:szCs w:val="16"/>
        </w:rPr>
        <w:softHyphen/>
        <w:t>шанных авиакорпусов 17-й ВА доложили об уничтожении или повреждении ПТАБами до 90 единиц бронетехники противника на поле боя и в районе переправ через р. Сев. Донец (6467).</w:t>
      </w:r>
    </w:p>
    <w:p w14:paraId="5D9BD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2291B"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июля 1943 вечером четыре Ил</w:t>
      </w:r>
      <w:r w:rsidRPr="00271E51">
        <w:rPr>
          <w:rFonts w:ascii="Times New Roman" w:hAnsi="Times New Roman"/>
          <w:color w:val="0070C0"/>
          <w:sz w:val="16"/>
          <w:szCs w:val="16"/>
        </w:rPr>
        <w:noBreakHyphen/>
        <w:t>2 из 290</w:t>
      </w:r>
      <w:r w:rsidRPr="00271E51">
        <w:rPr>
          <w:rFonts w:ascii="Times New Roman" w:hAnsi="Times New Roman"/>
          <w:color w:val="0070C0"/>
          <w:sz w:val="16"/>
          <w:szCs w:val="16"/>
        </w:rPr>
        <w:noBreakHyphen/>
        <w:t>й шад атаковали аэродром Толоконное, на котором их экипажи насчитали 40–50 припаркованных «Мессершмиттов». Пять из них летчики посчитали уничтоженными и еще десять поврежденными. В этот же день бомбардировке и обстрелу с воздуха подверглись полевые аэродромы Болдыревка, Дудовка и Головино (23199).</w:t>
      </w:r>
    </w:p>
    <w:p w14:paraId="125FAABB" w14:textId="77777777" w:rsidR="00524306" w:rsidRPr="00271E51" w:rsidRDefault="00524306" w:rsidP="00271E51">
      <w:pPr>
        <w:spacing w:after="0" w:line="240" w:lineRule="auto"/>
        <w:jc w:val="both"/>
        <w:rPr>
          <w:rFonts w:ascii="Times New Roman" w:hAnsi="Times New Roman"/>
          <w:color w:val="0070C0"/>
          <w:sz w:val="16"/>
          <w:szCs w:val="16"/>
        </w:rPr>
      </w:pPr>
    </w:p>
    <w:p w14:paraId="3F833FE2"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 июля 1943, учитывая отличные результаты действия ПТАБ, советское командование приеяло решение применить эти бомбы массированно одновременно на Центральом и Воронежском фронтах. В этот день штурмовики 2-й ВА сбросили по танкам -ротивника 11703 ПТАБ, а 16-й ВА - 1784 таких бомб. На следующий день масшта</w:t>
      </w:r>
      <w:r w:rsidRPr="00271E51">
        <w:rPr>
          <w:rFonts w:ascii="Times New Roman" w:cs="Times New Roman"/>
          <w:color w:val="000000" w:themeColor="text1"/>
          <w:spacing w:val="0"/>
        </w:rPr>
        <w:softHyphen/>
        <w:t xml:space="preserve">бы боевого применения ПТАБ возросли: </w:t>
      </w:r>
      <w:r w:rsidRPr="00271E51">
        <w:rPr>
          <w:rStyle w:val="ArialNarrow-1pt"/>
          <w:rFonts w:ascii="Times New Roman" w:hAnsi="Times New Roman" w:cs="Times New Roman"/>
          <w:b w:val="0"/>
          <w:color w:val="000000" w:themeColor="text1"/>
          <w:spacing w:val="0"/>
          <w:sz w:val="16"/>
          <w:szCs w:val="16"/>
        </w:rPr>
        <w:t>их</w:t>
      </w:r>
      <w:r w:rsidRPr="00271E51">
        <w:rPr>
          <w:rFonts w:ascii="Times New Roman" w:cs="Times New Roman"/>
          <w:color w:val="000000" w:themeColor="text1"/>
          <w:spacing w:val="0"/>
        </w:rPr>
        <w:t xml:space="preserve"> расход во 2-й воздушной армии соста</w:t>
      </w:r>
      <w:r w:rsidRPr="00271E51">
        <w:rPr>
          <w:rFonts w:ascii="Times New Roman" w:cs="Times New Roman"/>
          <w:color w:val="000000" w:themeColor="text1"/>
          <w:spacing w:val="0"/>
        </w:rPr>
        <w:softHyphen/>
        <w:t xml:space="preserve">вил 14272 штуки и 7585 в 16-й ВА. Причем "лавными противотанкистами оказались </w:t>
      </w:r>
      <w:r w:rsidRPr="00271E51">
        <w:rPr>
          <w:rStyle w:val="ArialNarrow-1pt"/>
          <w:rFonts w:ascii="Times New Roman" w:hAnsi="Times New Roman" w:cs="Times New Roman"/>
          <w:b w:val="0"/>
          <w:color w:val="000000" w:themeColor="text1"/>
          <w:spacing w:val="0"/>
          <w:sz w:val="16"/>
          <w:szCs w:val="16"/>
        </w:rPr>
        <w:t>291</w:t>
      </w:r>
      <w:r w:rsidRPr="00271E51">
        <w:rPr>
          <w:rFonts w:ascii="Times New Roman" w:cs="Times New Roman"/>
          <w:color w:val="000000" w:themeColor="text1"/>
          <w:spacing w:val="0"/>
        </w:rPr>
        <w:t>-я шад 2-й ВА и 299-я шад 16-й ВА. На полки этих дивизий пришлась львиная доля расхода ПТАБ (12739).</w:t>
      </w:r>
    </w:p>
    <w:p w14:paraId="293688F6"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2C3100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истребительные соединения 16ВА провели 92 групповых воздушных боя и сбили 113 самолетов (518,233).</w:t>
      </w:r>
    </w:p>
    <w:p w14:paraId="6EE3DB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259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И.Н.Кожедуб сбил свой первый самолет - Ю-87 (2015), а А.К.Горовец - 9 Ю-87 (2668).</w:t>
      </w:r>
    </w:p>
    <w:p w14:paraId="7615D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1A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был тот самый бой, в котором А.К.Горовец якобы сбил 9 самолетов (3017,28).</w:t>
      </w:r>
    </w:p>
    <w:p w14:paraId="37CCD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EE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 гвардии старший лейтенант А.К.Горовец, в одиночку напав на охраняемый строй немецких пикирующих бомбардировщиков Ju-87, сбил 9 шт. Анкеты на них он не заполнял, когда у него кончились боеприпасы, его расстреляла шестерка, прикрывавших бомбардировщики, "Мессершмитов". А 9 упавших "Юнкерсов" подтвердили наземные войска (3573).</w:t>
      </w:r>
    </w:p>
    <w:p w14:paraId="7E5BF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B02A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 в одном воздушном бою на Курской дуге А.К.Горовец на Ла-5 уничтожил 9 Ju-87, И.Н.Кожедуб сбил свой первый самолет - Ju-87 (6395).</w:t>
      </w:r>
    </w:p>
    <w:p w14:paraId="2C51D7F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654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Летчик 88-го ГИАП А.К. Горовец, возвращаясь на Ла-5 М-82А из бое</w:t>
      </w:r>
      <w:r w:rsidRPr="00271E51">
        <w:rPr>
          <w:rFonts w:ascii="Times New Roman" w:hAnsi="Times New Roman"/>
          <w:color w:val="000000" w:themeColor="text1"/>
          <w:sz w:val="16"/>
          <w:szCs w:val="16"/>
        </w:rPr>
        <w:softHyphen/>
        <w:t>вого вылета, увидел группу и и 87. В напряженной схватке он сбил 9 «лапотников», но затем погиб сам. Споры вокруг этого легендарного боя не ути</w:t>
      </w:r>
      <w:r w:rsidRPr="00271E51">
        <w:rPr>
          <w:rFonts w:ascii="Times New Roman" w:hAnsi="Times New Roman"/>
          <w:color w:val="000000" w:themeColor="text1"/>
          <w:sz w:val="16"/>
          <w:szCs w:val="16"/>
        </w:rPr>
        <w:softHyphen/>
        <w:t>хают до сих пор, и пока не опубликованы докумен</w:t>
      </w:r>
      <w:r w:rsidRPr="00271E51">
        <w:rPr>
          <w:rFonts w:ascii="Times New Roman" w:hAnsi="Times New Roman"/>
          <w:color w:val="000000" w:themeColor="text1"/>
          <w:sz w:val="16"/>
          <w:szCs w:val="16"/>
        </w:rPr>
        <w:softHyphen/>
        <w:t>тальные данные, позволяющие однозначно под</w:t>
      </w:r>
      <w:r w:rsidRPr="00271E51">
        <w:rPr>
          <w:rFonts w:ascii="Times New Roman" w:hAnsi="Times New Roman"/>
          <w:color w:val="000000" w:themeColor="text1"/>
          <w:sz w:val="16"/>
          <w:szCs w:val="16"/>
        </w:rPr>
        <w:softHyphen/>
        <w:t>твердить или опровергнуть достижение Горовца. Однако стоит заметить, что он был опытным бой</w:t>
      </w:r>
      <w:r w:rsidRPr="00271E51">
        <w:rPr>
          <w:rFonts w:ascii="Times New Roman" w:hAnsi="Times New Roman"/>
          <w:color w:val="000000" w:themeColor="text1"/>
          <w:sz w:val="16"/>
          <w:szCs w:val="16"/>
        </w:rPr>
        <w:softHyphen/>
        <w:t>цом, летал с начала 1930-х гг., служил летчиком-испытателем. К июлю 1943 г. он уже сбил 2 само</w:t>
      </w:r>
      <w:r w:rsidRPr="00271E51">
        <w:rPr>
          <w:rFonts w:ascii="Times New Roman" w:hAnsi="Times New Roman"/>
          <w:color w:val="000000" w:themeColor="text1"/>
          <w:sz w:val="16"/>
          <w:szCs w:val="16"/>
        </w:rPr>
        <w:softHyphen/>
        <w:t>лета лично и 6 в группе. И еще — высокие летные данные, мощное вооружение и солидный боеза</w:t>
      </w:r>
      <w:r w:rsidRPr="00271E51">
        <w:rPr>
          <w:rFonts w:ascii="Times New Roman" w:hAnsi="Times New Roman"/>
          <w:color w:val="000000" w:themeColor="text1"/>
          <w:sz w:val="16"/>
          <w:szCs w:val="16"/>
        </w:rPr>
        <w:softHyphen/>
        <w:t>пас Ла-5 вполне позволяли сделать это (11123).</w:t>
      </w:r>
    </w:p>
    <w:p w14:paraId="6B8205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11B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года, на второй день Курской битвы, А. Маресьев в составе шестерки JIa-5 (видимо, Ла-5ФН), ведомой капитаном А. Числовым, совершил первый боевой вылет на протезах. И это на самолете, отличавшемся тяжелым управлением рулем поворота. В тот день группа истребителей дважды вступала в бой, и во втором из них Маресьев сбил один Ju 87. В боях на Курской дуге и в Прибалтике Маресьев сбил, до перехода в 1944 году в Управление военно- учебных заведений, семь самолетов противника. За участие в боях на Курской дуге 24 августа 1943 года Маресьеву присвоили звание Героя Советского Союза. Чуть позже вы узнаете, что именно в этом полку проходил войсковые испытания Ла-7 (12032).</w:t>
      </w:r>
    </w:p>
    <w:p w14:paraId="208F9B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9C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6 июля 1943 одновременно наносило удар 450 штурмовиков (340,144).</w:t>
      </w:r>
    </w:p>
    <w:p w14:paraId="69591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немцев были 217, а наших - 171 (340,146).</w:t>
      </w:r>
    </w:p>
    <w:p w14:paraId="1ACC46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это была 16ВА - 6 сак, 2 и 299 шад и действовали по танкам и мотопехоте в районах Подолянь, Соборовка. В этот день 16 ВА наносила еще 2 массированных удара. 2 и 17ВА действовали на Белгородско-курском направлении (340,144).</w:t>
      </w:r>
    </w:p>
    <w:p w14:paraId="29C90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5C3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при авиационной подготовке контрудара ЦФ наряду с соединениями 16ВА, которые выполнили 290 самолетов-вылетов, участвовала АДД, совершившая 293 вылета (518,231).</w:t>
      </w:r>
    </w:p>
    <w:p w14:paraId="03D46C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3E6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в 1-ю гвардейской Сталинградской иад и 273-ю иад 6-го иак (16 ВА, Центральный фронт), где проходили войсковые испытания Як-9Т - еще три потери. При возвращении с сопровождения бомбардировщиков потерпел катастрофу на своей территории Як-9Т № 0122 347 иап. Встреч с противником в тот день и обстрела зенитной артиллерией не было и причину трагедии так и не установили. В тот же день гвардии младший лейтенант Полянский из 55 гхиап, израсходовав боеприпасы, прикрывая наземные войска, совершил лобовой таран. Это был пятый боевой вылет самолета № 0167. Третьим был истребитель № 0168 из 54 гкиап. В ходе перехвата бомбардировщика Ju-88, Як-9Т (четвертый боевой вылет) был подбит воздушным стрелком противника. Самолет сгорел, а летчик благополучно покинул его с парашютом и приземлился на своей территории (12046).</w:t>
      </w:r>
    </w:p>
    <w:p w14:paraId="52ECD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9C0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года гвардии лейтенант Зеленин, воспользовавшись тем, что стрелки были заняты боем с другими истребителями, зашел в хвост самолету Ю-87 и с дистанции 300-400 метров под ракурсом 0/4 с трех снарядов сбил его... В тот же день &lt;...&gt; Зеленин в группе наших истребителей на одной высоте при встречных курсах и ракурсе 0/4 атаковал ведущего шести самолетов Ме-110 и сбил его...". Третьим самолетом, сбитым Зелениным в тот день, стал разведчик Ju-88, упавший в районе Хлебтово.</w:t>
      </w:r>
    </w:p>
    <w:p w14:paraId="0B1E13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 место отдельные случаи, когда огонь по группе самолетов противника из 37-мм пушки открывался с дистанции 1500-800 м, но попадания в самолеты не наблюдалось. Иногда открытие огня на таких дистанциях вносило панику в боевой порядок противника (12046).</w:t>
      </w:r>
    </w:p>
    <w:p w14:paraId="1BE4F3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68B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6th. 1943: In the East, the battle of Kursk continues with unabated ferocity. While the northern pincer of 9.Armee (Model) is struggling to make any significant progress, the southern pincer of 4.Panzerarmee (Hoth) advances some 12 miles, with both sides incurring heavy casualties (3819).</w:t>
      </w:r>
    </w:p>
    <w:p w14:paraId="2E063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8988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в ходе Курской битвы 9А (Модель) старалась добиться хотя бы какого-то успеха, а 4ТА (Гот) продвинулась на 12 миль (3819).</w:t>
      </w:r>
    </w:p>
    <w:p w14:paraId="1A50D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653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в 23.00 был получен приказ, требовавший сосредоточения 5ГА на правом берегу реки Оскол. В 23.15 передовой отряд армии уже начал движение, а спустя 45 минут тронулись с места и главные силы. Необходимо отметить безукоризненную организацию марша. По маршрутам движения колонн было запрещено встречное движение. Армия двигалась круглосуточно, с короткими остановками для заправки машин. Марш надежно прикрывался зенитной артиллерией и авиацией, и благодаря этому остался не замеченным вражеской разведкой. За трое суток армия переместилась на 330- 380 км. При этом почти не было случаев выхода боевых машин из строя по техническим причинам, что свидетельствует как о возросшей надежности танков, так и о грамотном техническом обслуживании техники (3862).</w:t>
      </w:r>
    </w:p>
    <w:p w14:paraId="2FA0F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63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командующий 16ВА Руденко писал: "Скопление танков было накрыто бомбами, сразу же загорелось более десятка машин... Над полем боя... было более 500 самолетов. Это зрелище и мощная бомбардировка боевых порядков противника воодушевили наших бойцов. Из окопов полетели вверх пилотки, а некоторые солдаты даже вылезли на бруствер с криками ура..." На КП позвонил командующий фронтом. Он был очень доволен действиями авиации и просил как можно быстрее организовать еще такой удар." (518,227).</w:t>
      </w:r>
    </w:p>
    <w:p w14:paraId="418D89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02F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командование внесло коррективы в организации боевых действий и. Командиры и соединений выехали на передовые пункты управления и оттуда непосредственно управляли подчиненными частями. Зоны патрулирования и были вынесены на территорию противника. И наводили с помощью радио и в первую очередь на б. Немцы резко сократили активность. Если на 5 июля на ЦФ и ВФ было 4298 пролетов, то 6 - 2100 (340,146).</w:t>
      </w:r>
    </w:p>
    <w:p w14:paraId="3260A6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B1867" w14:textId="77777777" w:rsidR="008E68A0" w:rsidRPr="00271E51" w:rsidRDefault="008E68A0"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 июля 1943 года 48-й гв. ттп на Черчилях, вступил в бой, за день потеряв 8 танков (один из них был уничтожен немецкими штурмовиками), записав при этом на свой счет 23 танка и 13 самоходных установок противника. Действуя совместно с 21-й танковой бригадой, на следующий день полк отошел к Прохоровке. Во время отхода он потерял еще 7 танков, при этом на свой счет танкисты записали 5 танков и 7 самоходных установок. В течение следующих дней оставшиеся 6 «Черчиллей» были переданы в 21-ю танковую бригаду. Снова полк получил «Черчилли» 9 сентября 1943 года, с ними он участвовал в освобождении Киева (17691).</w:t>
      </w:r>
    </w:p>
    <w:p w14:paraId="161407C7" w14:textId="77777777" w:rsidR="008E68A0" w:rsidRPr="00271E51" w:rsidRDefault="008E68A0" w:rsidP="00271E51">
      <w:pPr>
        <w:pStyle w:val="12a"/>
        <w:shd w:val="clear" w:color="auto" w:fill="auto"/>
        <w:spacing w:after="0" w:line="240" w:lineRule="auto"/>
        <w:jc w:val="both"/>
        <w:rPr>
          <w:color w:val="000000" w:themeColor="text1"/>
          <w:sz w:val="16"/>
          <w:szCs w:val="16"/>
        </w:rPr>
      </w:pPr>
    </w:p>
    <w:p w14:paraId="197B2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произошел упоминаемый в литературе случай повреждения немецкого торпедного катера “S-47 РС у Анапы. Этот случай трудно считать достоверным, поскольку именно в эти сутки применения ракет катерами ЧФ вообще не зафиксировано. Такое оружие в тот день использовали только штурмовики Ил-2 в бою с БДБ (классификация наших пилотов) у мыса Железный Рог. Возможно, летчики ошиблись при определении цели, но более вероятно, что “немца” подбил СКА №062, вступивший в бой с вражеским отрядом из четырех единиц у мыса Утриш (6002).</w:t>
      </w:r>
    </w:p>
    <w:p w14:paraId="24A340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2138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D141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6A5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1943 у берегов Сирии взорвалось греческое судно Орион (7000 т), на которое 6 дней назад, 30 июня итальянский боевой пловец поставил мину Баулетти. Атаки 19 июля и 30 июля оказались неудачными, т.к. в первом случае одна мина не взорвалась, а во втором - ее обнаружили водолазы. Успех пришел 2 августа (3961, 59).</w:t>
      </w:r>
    </w:p>
    <w:p w14:paraId="28241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E4A01"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июля</w:t>
      </w:r>
      <w:r w:rsidRPr="00271E51">
        <w:rPr>
          <w:rFonts w:ascii="Times New Roman" w:hAnsi="Times New Roman"/>
          <w:color w:val="000000" w:themeColor="text1"/>
          <w:sz w:val="16"/>
          <w:szCs w:val="16"/>
        </w:rPr>
        <w:t xml:space="preserve"> в 1943 году морское сражение в заливе Куда (Соломоновы острова) между американскими и японскими крейсерами и миноносцами (14944).</w:t>
      </w:r>
    </w:p>
    <w:p w14:paraId="5579C13C"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35D81E7F"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июля 1943 удар 39 американских самолетов уничтожает японский эсминец, выброшенный на берег у острова Коломбангара после битвы в Куласком заливе  (20376).</w:t>
      </w:r>
    </w:p>
    <w:p w14:paraId="3F16CF78" w14:textId="77777777" w:rsidR="00171372" w:rsidRPr="00271E51" w:rsidRDefault="00171372" w:rsidP="00271E51">
      <w:pPr>
        <w:spacing w:after="0" w:line="240" w:lineRule="auto"/>
        <w:jc w:val="both"/>
        <w:rPr>
          <w:rFonts w:ascii="Times New Roman" w:hAnsi="Times New Roman"/>
          <w:color w:val="0070C0"/>
          <w:sz w:val="16"/>
          <w:szCs w:val="16"/>
        </w:rPr>
      </w:pPr>
    </w:p>
    <w:p w14:paraId="3AF6EF77"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июля</w:t>
      </w:r>
      <w:r w:rsidRPr="00271E51">
        <w:rPr>
          <w:rFonts w:ascii="Times New Roman" w:hAnsi="Times New Roman"/>
          <w:color w:val="000000" w:themeColor="text1"/>
          <w:sz w:val="16"/>
          <w:szCs w:val="16"/>
        </w:rPr>
        <w:t xml:space="preserve"> в 1943 году крейсер </w:t>
      </w:r>
      <w:hyperlink r:id="rId13" w:anchor="101622" w:tgtFrame="_blank" w:history="1">
        <w:r w:rsidRPr="00271E51">
          <w:rPr>
            <w:rFonts w:ascii="Times New Roman" w:hAnsi="Times New Roman"/>
            <w:color w:val="000000" w:themeColor="text1"/>
            <w:sz w:val="16"/>
            <w:szCs w:val="16"/>
          </w:rPr>
          <w:t xml:space="preserve">«Хелена» («Helena») </w:t>
        </w:r>
      </w:hyperlink>
      <w:r w:rsidRPr="00271E51">
        <w:rPr>
          <w:rFonts w:ascii="Times New Roman" w:hAnsi="Times New Roman"/>
          <w:color w:val="000000" w:themeColor="text1"/>
          <w:sz w:val="16"/>
          <w:szCs w:val="16"/>
        </w:rPr>
        <w:t>получил попадания 3 торпедами, разломился на части и затонул. Погибли 168 человек (14944).</w:t>
      </w:r>
    </w:p>
    <w:p w14:paraId="2E4D8BD0"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6FF96D6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E6B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590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Только к началу июня 1943 г. в связи с сильной загрузкой ОКБ С.В. Ильюшина работа</w:t>
      </w:r>
      <w:r w:rsidRPr="00271E51">
        <w:rPr>
          <w:rFonts w:ascii="Times New Roman" w:hAnsi="Times New Roman"/>
          <w:color w:val="000000" w:themeColor="text1"/>
          <w:sz w:val="16"/>
          <w:szCs w:val="16"/>
        </w:rPr>
        <w:softHyphen/>
        <w:t>ми по совершенствованию серийных самолетов и другим опытным машинам чертежи Ил-1 с мотором АМ-42 были за</w:t>
      </w:r>
      <w:r w:rsidRPr="00271E51">
        <w:rPr>
          <w:rFonts w:ascii="Times New Roman" w:hAnsi="Times New Roman"/>
          <w:color w:val="000000" w:themeColor="text1"/>
          <w:sz w:val="16"/>
          <w:szCs w:val="16"/>
        </w:rPr>
        <w:softHyphen/>
        <w:t>кончены (11474,486).</w:t>
      </w:r>
    </w:p>
    <w:p w14:paraId="75E0FB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12FB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заводом № 35 был подготовлен еще один экземпляр вин</w:t>
      </w:r>
      <w:r w:rsidRPr="00271E51">
        <w:rPr>
          <w:rFonts w:ascii="Times New Roman" w:hAnsi="Times New Roman"/>
          <w:color w:val="000000" w:themeColor="text1"/>
          <w:sz w:val="16"/>
          <w:szCs w:val="16"/>
        </w:rPr>
        <w:softHyphen/>
        <w:t>та АВ-5л-18А с улучшенной аэроди</w:t>
      </w:r>
      <w:r w:rsidRPr="00271E51">
        <w:rPr>
          <w:rFonts w:ascii="Times New Roman" w:hAnsi="Times New Roman"/>
          <w:color w:val="000000" w:themeColor="text1"/>
          <w:sz w:val="16"/>
          <w:szCs w:val="16"/>
        </w:rPr>
        <w:softHyphen/>
        <w:t>намической балансировкой для Ил-2М и пере</w:t>
      </w:r>
      <w:r w:rsidRPr="00271E51">
        <w:rPr>
          <w:rFonts w:ascii="Times New Roman" w:hAnsi="Times New Roman"/>
          <w:color w:val="000000" w:themeColor="text1"/>
          <w:sz w:val="16"/>
          <w:szCs w:val="16"/>
        </w:rPr>
        <w:softHyphen/>
        <w:t>дан в Куйбышев на 18-й завод для производства летных испытаний. При полетах с этим винтом тряска умень</w:t>
      </w:r>
      <w:r w:rsidRPr="00271E51">
        <w:rPr>
          <w:rFonts w:ascii="Times New Roman" w:hAnsi="Times New Roman"/>
          <w:color w:val="000000" w:themeColor="text1"/>
          <w:sz w:val="16"/>
          <w:szCs w:val="16"/>
        </w:rPr>
        <w:softHyphen/>
        <w:t>шилась, но окончательно ликвидиро</w:t>
      </w:r>
      <w:r w:rsidRPr="00271E51">
        <w:rPr>
          <w:rFonts w:ascii="Times New Roman" w:hAnsi="Times New Roman"/>
          <w:color w:val="000000" w:themeColor="text1"/>
          <w:sz w:val="16"/>
          <w:szCs w:val="16"/>
        </w:rPr>
        <w:softHyphen/>
        <w:t>вать тряску все же не удалось. Те</w:t>
      </w:r>
      <w:r w:rsidRPr="00271E51">
        <w:rPr>
          <w:rFonts w:ascii="Times New Roman" w:hAnsi="Times New Roman"/>
          <w:color w:val="000000" w:themeColor="text1"/>
          <w:sz w:val="16"/>
          <w:szCs w:val="16"/>
        </w:rPr>
        <w:softHyphen/>
        <w:t>перь тряска появлялась при несколь</w:t>
      </w:r>
      <w:r w:rsidRPr="00271E51">
        <w:rPr>
          <w:rFonts w:ascii="Times New Roman" w:hAnsi="Times New Roman"/>
          <w:color w:val="000000" w:themeColor="text1"/>
          <w:sz w:val="16"/>
          <w:szCs w:val="16"/>
        </w:rPr>
        <w:softHyphen/>
        <w:t>ко меньших оборотах - 2200 об/ мин. Мотористы считали, что при со</w:t>
      </w:r>
      <w:r w:rsidRPr="00271E51">
        <w:rPr>
          <w:rFonts w:ascii="Times New Roman" w:hAnsi="Times New Roman"/>
          <w:color w:val="000000" w:themeColor="text1"/>
          <w:sz w:val="16"/>
          <w:szCs w:val="16"/>
        </w:rPr>
        <w:softHyphen/>
        <w:t>ответствующей доводке винта тряс</w:t>
      </w:r>
      <w:r w:rsidRPr="00271E51">
        <w:rPr>
          <w:rFonts w:ascii="Times New Roman" w:hAnsi="Times New Roman"/>
          <w:color w:val="000000" w:themeColor="text1"/>
          <w:sz w:val="16"/>
          <w:szCs w:val="16"/>
        </w:rPr>
        <w:softHyphen/>
        <w:t>ка прекратится. Однако в ходе со</w:t>
      </w:r>
      <w:r w:rsidRPr="00271E51">
        <w:rPr>
          <w:rFonts w:ascii="Times New Roman" w:hAnsi="Times New Roman"/>
          <w:color w:val="000000" w:themeColor="text1"/>
          <w:sz w:val="16"/>
          <w:szCs w:val="16"/>
        </w:rPr>
        <w:softHyphen/>
        <w:t>вместных 100-часовых испытаний на заводе № 24 моторов АМ-42 и опыт</w:t>
      </w:r>
      <w:r w:rsidRPr="00271E51">
        <w:rPr>
          <w:rFonts w:ascii="Times New Roman" w:hAnsi="Times New Roman"/>
          <w:color w:val="000000" w:themeColor="text1"/>
          <w:sz w:val="16"/>
          <w:szCs w:val="16"/>
        </w:rPr>
        <w:softHyphen/>
        <w:t>ного флюгерного винта АВ-7л-18А (лопасти винта выполнялись по од</w:t>
      </w:r>
      <w:r w:rsidRPr="00271E51">
        <w:rPr>
          <w:rFonts w:ascii="Times New Roman" w:hAnsi="Times New Roman"/>
          <w:color w:val="000000" w:themeColor="text1"/>
          <w:sz w:val="16"/>
          <w:szCs w:val="16"/>
        </w:rPr>
        <w:softHyphen/>
        <w:t>ному чертежу с АВ-5л-18А) в июле произошли аварии двух моторов (зав. № 4226 и 4229). В обоих случаях разрушились демпферные пружины муфты сцепления приводного цент</w:t>
      </w:r>
      <w:r w:rsidRPr="00271E51">
        <w:rPr>
          <w:rFonts w:ascii="Times New Roman" w:hAnsi="Times New Roman"/>
          <w:color w:val="000000" w:themeColor="text1"/>
          <w:sz w:val="16"/>
          <w:szCs w:val="16"/>
        </w:rPr>
        <w:softHyphen/>
        <w:t>робежного нагнетателя с коленчатым валом. Ни один из этих моторов не наработал 25 режимных часов на стенде. На "разборе полетов" спе</w:t>
      </w:r>
      <w:r w:rsidRPr="00271E51">
        <w:rPr>
          <w:rFonts w:ascii="Times New Roman" w:hAnsi="Times New Roman"/>
          <w:color w:val="000000" w:themeColor="text1"/>
          <w:sz w:val="16"/>
          <w:szCs w:val="16"/>
        </w:rPr>
        <w:softHyphen/>
        <w:t>циалистам завода № 35 пришлось напомнить членам комиссии, что еще в июле 1941 г. первый образец вин</w:t>
      </w:r>
      <w:r w:rsidRPr="00271E51">
        <w:rPr>
          <w:rFonts w:ascii="Times New Roman" w:hAnsi="Times New Roman"/>
          <w:color w:val="000000" w:themeColor="text1"/>
          <w:sz w:val="16"/>
          <w:szCs w:val="16"/>
        </w:rPr>
        <w:softHyphen/>
        <w:t>та серии АВ-5л прошел заводские 100-часовые испытания на опытном моторе М-90. Никакой тряски не наблюдалось. На Ил-2М срочно ус</w:t>
      </w:r>
      <w:r w:rsidRPr="00271E51">
        <w:rPr>
          <w:rFonts w:ascii="Times New Roman" w:hAnsi="Times New Roman"/>
          <w:color w:val="000000" w:themeColor="text1"/>
          <w:sz w:val="16"/>
          <w:szCs w:val="16"/>
        </w:rPr>
        <w:softHyphen/>
        <w:t>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w:t>
      </w:r>
      <w:r w:rsidRPr="00271E51">
        <w:rPr>
          <w:rFonts w:ascii="Times New Roman" w:hAnsi="Times New Roman"/>
          <w:color w:val="000000" w:themeColor="text1"/>
          <w:sz w:val="16"/>
          <w:szCs w:val="16"/>
        </w:rPr>
        <w:softHyphen/>
        <w:t>ра А. А. Микулин запретил полеты с АМ-42 с винтами диаметром 4,0 м. Было решено определить частоты собственных колебаний воздушного винта и системы "коленчатый вал — редуктор" мотора.</w:t>
      </w:r>
    </w:p>
    <w:p w14:paraId="1A4340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летные данные Ил-2М с винтом АВ-5л-158 снизились почти до уровня обычной "двойки", то о предъявлении новой машины на го</w:t>
      </w:r>
      <w:r w:rsidRPr="00271E51">
        <w:rPr>
          <w:rFonts w:ascii="Times New Roman" w:hAnsi="Times New Roman"/>
          <w:color w:val="000000" w:themeColor="text1"/>
          <w:sz w:val="16"/>
          <w:szCs w:val="16"/>
        </w:rPr>
        <w:softHyphen/>
        <w:t>сударственные испытания в установ</w:t>
      </w:r>
      <w:r w:rsidRPr="00271E51">
        <w:rPr>
          <w:rFonts w:ascii="Times New Roman" w:hAnsi="Times New Roman"/>
          <w:color w:val="000000" w:themeColor="text1"/>
          <w:sz w:val="16"/>
          <w:szCs w:val="16"/>
        </w:rPr>
        <w:softHyphen/>
        <w:t>ленные сроки не могло быть и речи. По этой причине наркомат авиапро</w:t>
      </w:r>
      <w:r w:rsidRPr="00271E51">
        <w:rPr>
          <w:rFonts w:ascii="Times New Roman" w:hAnsi="Times New Roman"/>
          <w:color w:val="000000" w:themeColor="text1"/>
          <w:sz w:val="16"/>
          <w:szCs w:val="16"/>
        </w:rPr>
        <w:softHyphen/>
        <w:t xml:space="preserve">мышленности по согласованию с ГОКО своим приказом от 12 июля перенес на 15 </w:t>
      </w:r>
      <w:r w:rsidRPr="00271E51">
        <w:rPr>
          <w:rFonts w:ascii="Times New Roman" w:hAnsi="Times New Roman"/>
          <w:color w:val="000000" w:themeColor="text1"/>
          <w:sz w:val="16"/>
          <w:szCs w:val="16"/>
        </w:rPr>
        <w:lastRenderedPageBreak/>
        <w:t>сентября срок пере</w:t>
      </w:r>
      <w:r w:rsidRPr="00271E51">
        <w:rPr>
          <w:rFonts w:ascii="Times New Roman" w:hAnsi="Times New Roman"/>
          <w:color w:val="000000" w:themeColor="text1"/>
          <w:sz w:val="16"/>
          <w:szCs w:val="16"/>
        </w:rPr>
        <w:softHyphen/>
        <w:t>дачи Ил-2М на испытания. В этой связи 7 августа Ил-2М с винтом АВ-5л-158 перелетел в Москву на за</w:t>
      </w:r>
      <w:r w:rsidRPr="00271E51">
        <w:rPr>
          <w:rFonts w:ascii="Times New Roman" w:hAnsi="Times New Roman"/>
          <w:color w:val="000000" w:themeColor="text1"/>
          <w:sz w:val="16"/>
          <w:szCs w:val="16"/>
        </w:rPr>
        <w:softHyphen/>
        <w:t>вод № 240, где предполагалось про</w:t>
      </w:r>
      <w:r w:rsidRPr="00271E51">
        <w:rPr>
          <w:rFonts w:ascii="Times New Roman" w:hAnsi="Times New Roman"/>
          <w:color w:val="000000" w:themeColor="text1"/>
          <w:sz w:val="16"/>
          <w:szCs w:val="16"/>
        </w:rPr>
        <w:softHyphen/>
        <w:t>должить доводку машины и провести весь цикл официальных заводских ис</w:t>
      </w:r>
      <w:r w:rsidRPr="00271E51">
        <w:rPr>
          <w:rFonts w:ascii="Times New Roman" w:hAnsi="Times New Roman"/>
          <w:color w:val="000000" w:themeColor="text1"/>
          <w:sz w:val="16"/>
          <w:szCs w:val="16"/>
        </w:rPr>
        <w:softHyphen/>
        <w:t>пытаний.</w:t>
      </w:r>
    </w:p>
    <w:p w14:paraId="2108EE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этим же приказом по НКАП завод № 18 обязывался построить эталон нового штурмови</w:t>
      </w:r>
      <w:r w:rsidRPr="00271E51">
        <w:rPr>
          <w:rFonts w:ascii="Times New Roman" w:hAnsi="Times New Roman"/>
          <w:color w:val="000000" w:themeColor="text1"/>
          <w:sz w:val="16"/>
          <w:szCs w:val="16"/>
        </w:rPr>
        <w:softHyphen/>
        <w:t>ка для серийного производства. Са</w:t>
      </w:r>
      <w:r w:rsidRPr="00271E51">
        <w:rPr>
          <w:rFonts w:ascii="Times New Roman" w:hAnsi="Times New Roman"/>
          <w:color w:val="000000" w:themeColor="text1"/>
          <w:sz w:val="16"/>
          <w:szCs w:val="16"/>
        </w:rPr>
        <w:softHyphen/>
        <w:t>молет получил заводское обозначе</w:t>
      </w:r>
      <w:r w:rsidRPr="00271E51">
        <w:rPr>
          <w:rFonts w:ascii="Times New Roman" w:hAnsi="Times New Roman"/>
          <w:color w:val="000000" w:themeColor="text1"/>
          <w:sz w:val="16"/>
          <w:szCs w:val="16"/>
        </w:rPr>
        <w:softHyphen/>
        <w:t>ние С-42. В отличие от Ил-2М кон</w:t>
      </w:r>
      <w:r w:rsidRPr="00271E51">
        <w:rPr>
          <w:rFonts w:ascii="Times New Roman" w:hAnsi="Times New Roman"/>
          <w:color w:val="000000" w:themeColor="text1"/>
          <w:sz w:val="16"/>
          <w:szCs w:val="16"/>
        </w:rPr>
        <w:softHyphen/>
        <w:t>соли крыла эталона отводились на</w:t>
      </w:r>
      <w:r w:rsidRPr="00271E51">
        <w:rPr>
          <w:rFonts w:ascii="Times New Roman" w:hAnsi="Times New Roman"/>
          <w:color w:val="000000" w:themeColor="text1"/>
          <w:sz w:val="16"/>
          <w:szCs w:val="16"/>
        </w:rPr>
        <w:softHyphen/>
        <w:t>зад на 6°, а само крыло несколько смещалось назад. Усиливались сты</w:t>
      </w:r>
      <w:r w:rsidRPr="00271E51">
        <w:rPr>
          <w:rFonts w:ascii="Times New Roman" w:hAnsi="Times New Roman"/>
          <w:color w:val="000000" w:themeColor="text1"/>
          <w:sz w:val="16"/>
          <w:szCs w:val="16"/>
        </w:rPr>
        <w:softHyphen/>
        <w:t>ковочные узлы крыла с центропла</w:t>
      </w:r>
      <w:r w:rsidRPr="00271E51">
        <w:rPr>
          <w:rFonts w:ascii="Times New Roman" w:hAnsi="Times New Roman"/>
          <w:color w:val="000000" w:themeColor="text1"/>
          <w:sz w:val="16"/>
          <w:szCs w:val="16"/>
        </w:rPr>
        <w:softHyphen/>
        <w:t>ном накладками (от 6 до 7 нервю</w:t>
      </w:r>
      <w:r w:rsidRPr="00271E51">
        <w:rPr>
          <w:rFonts w:ascii="Times New Roman" w:hAnsi="Times New Roman"/>
          <w:color w:val="000000" w:themeColor="text1"/>
          <w:sz w:val="16"/>
          <w:szCs w:val="16"/>
        </w:rPr>
        <w:softHyphen/>
        <w:t>ры), а также крепление нервюр (на</w:t>
      </w:r>
      <w:r w:rsidRPr="00271E51">
        <w:rPr>
          <w:rFonts w:ascii="Times New Roman" w:hAnsi="Times New Roman"/>
          <w:color w:val="000000" w:themeColor="text1"/>
          <w:sz w:val="16"/>
          <w:szCs w:val="16"/>
        </w:rPr>
        <w:softHyphen/>
        <w:t>чиная с 5-й) к лонжеронам крыла. Само крыло несколько изменялось - хвостики нервюр в месте подвески элерона выполнялись укороченными. Зализ стыка центроплана с фюзеля</w:t>
      </w:r>
      <w:r w:rsidRPr="00271E51">
        <w:rPr>
          <w:rFonts w:ascii="Times New Roman" w:hAnsi="Times New Roman"/>
          <w:color w:val="000000" w:themeColor="text1"/>
          <w:sz w:val="16"/>
          <w:szCs w:val="16"/>
        </w:rPr>
        <w:softHyphen/>
        <w:t>жем ставился только на хвостике цен</w:t>
      </w:r>
      <w:r w:rsidRPr="00271E51">
        <w:rPr>
          <w:rFonts w:ascii="Times New Roman" w:hAnsi="Times New Roman"/>
          <w:color w:val="000000" w:themeColor="text1"/>
          <w:sz w:val="16"/>
          <w:szCs w:val="16"/>
        </w:rPr>
        <w:softHyphen/>
        <w:t>троплана и на носке крыла.</w:t>
      </w:r>
    </w:p>
    <w:p w14:paraId="6EA420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Аэродинамика С-42 была не</w:t>
      </w:r>
      <w:r w:rsidRPr="00271E51">
        <w:rPr>
          <w:rFonts w:ascii="Times New Roman" w:hAnsi="Times New Roman"/>
          <w:color w:val="000000" w:themeColor="text1"/>
          <w:sz w:val="16"/>
          <w:szCs w:val="16"/>
        </w:rPr>
        <w:softHyphen/>
        <w:t>сколько облагорожена за счет уста</w:t>
      </w:r>
      <w:r w:rsidRPr="00271E51">
        <w:rPr>
          <w:rFonts w:ascii="Times New Roman" w:hAnsi="Times New Roman"/>
          <w:color w:val="000000" w:themeColor="text1"/>
          <w:sz w:val="16"/>
          <w:szCs w:val="16"/>
        </w:rPr>
        <w:softHyphen/>
        <w:t>новки встык листов обшивки консо</w:t>
      </w:r>
      <w:r w:rsidRPr="00271E51">
        <w:rPr>
          <w:rFonts w:ascii="Times New Roman" w:hAnsi="Times New Roman"/>
          <w:color w:val="000000" w:themeColor="text1"/>
          <w:sz w:val="16"/>
          <w:szCs w:val="16"/>
        </w:rPr>
        <w:softHyphen/>
        <w:t>лей и центроплана и применения клепки впотай, а также уборки хвос</w:t>
      </w:r>
      <w:r w:rsidRPr="00271E51">
        <w:rPr>
          <w:rFonts w:ascii="Times New Roman" w:hAnsi="Times New Roman"/>
          <w:color w:val="000000" w:themeColor="text1"/>
          <w:sz w:val="16"/>
          <w:szCs w:val="16"/>
        </w:rPr>
        <w:softHyphen/>
        <w:t>тового колеса в полете.</w:t>
      </w:r>
    </w:p>
    <w:p w14:paraId="29766D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эксплуатационных возможностей самолета вместо съем</w:t>
      </w:r>
      <w:r w:rsidRPr="00271E51">
        <w:rPr>
          <w:rFonts w:ascii="Times New Roman" w:hAnsi="Times New Roman"/>
          <w:color w:val="000000" w:themeColor="text1"/>
          <w:sz w:val="16"/>
          <w:szCs w:val="16"/>
        </w:rPr>
        <w:softHyphen/>
        <w:t>ных патронных и снарядных ящиков в крыле монтировались специальные встроенные отсеки.</w:t>
      </w:r>
    </w:p>
    <w:p w14:paraId="3F5871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пилотажных качеств и снижение нагрузок на ручку управ</w:t>
      </w:r>
      <w:r w:rsidRPr="00271E51">
        <w:rPr>
          <w:rFonts w:ascii="Times New Roman" w:hAnsi="Times New Roman"/>
          <w:color w:val="000000" w:themeColor="text1"/>
          <w:sz w:val="16"/>
          <w:szCs w:val="16"/>
        </w:rPr>
        <w:softHyphen/>
        <w:t>ления обеспечивалось путем увели</w:t>
      </w:r>
      <w:r w:rsidRPr="00271E51">
        <w:rPr>
          <w:rFonts w:ascii="Times New Roman" w:hAnsi="Times New Roman"/>
          <w:color w:val="000000" w:themeColor="text1"/>
          <w:sz w:val="16"/>
          <w:szCs w:val="16"/>
        </w:rPr>
        <w:softHyphen/>
        <w:t>чения до 30% осевой компенсации элеронов и руля высоты. Кроме это</w:t>
      </w:r>
      <w:r w:rsidRPr="00271E51">
        <w:rPr>
          <w:rFonts w:ascii="Times New Roman" w:hAnsi="Times New Roman"/>
          <w:color w:val="000000" w:themeColor="text1"/>
          <w:sz w:val="16"/>
          <w:szCs w:val="16"/>
        </w:rPr>
        <w:softHyphen/>
        <w:t>го, устанавливалась новая проводка управления триммерами.</w:t>
      </w:r>
    </w:p>
    <w:p w14:paraId="3F0589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Предусматривалась также уста</w:t>
      </w:r>
      <w:r w:rsidRPr="00271E51">
        <w:rPr>
          <w:rFonts w:ascii="Times New Roman" w:hAnsi="Times New Roman"/>
          <w:color w:val="000000" w:themeColor="text1"/>
          <w:sz w:val="16"/>
          <w:szCs w:val="16"/>
        </w:rPr>
        <w:softHyphen/>
        <w:t>новка щитков на вираж (отклонение 17°) с кнопочным управлением. Это</w:t>
      </w:r>
    </w:p>
    <w:p w14:paraId="527E47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мероприятие уменьшало радиус ви</w:t>
      </w:r>
      <w:r w:rsidRPr="00271E51">
        <w:rPr>
          <w:rFonts w:ascii="Times New Roman" w:hAnsi="Times New Roman"/>
          <w:color w:val="000000" w:themeColor="text1"/>
          <w:sz w:val="16"/>
          <w:szCs w:val="16"/>
        </w:rPr>
        <w:softHyphen/>
        <w:t>ража.</w:t>
      </w:r>
    </w:p>
    <w:p w14:paraId="518020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самолета повы</w:t>
      </w:r>
      <w:r w:rsidRPr="00271E51">
        <w:rPr>
          <w:rFonts w:ascii="Times New Roman" w:hAnsi="Times New Roman"/>
          <w:color w:val="000000" w:themeColor="text1"/>
          <w:sz w:val="16"/>
          <w:szCs w:val="16"/>
        </w:rPr>
        <w:softHyphen/>
        <w:t>шалась путем постановки дополни</w:t>
      </w:r>
      <w:r w:rsidRPr="00271E51">
        <w:rPr>
          <w:rFonts w:ascii="Times New Roman" w:hAnsi="Times New Roman"/>
          <w:color w:val="000000" w:themeColor="text1"/>
          <w:sz w:val="16"/>
          <w:szCs w:val="16"/>
        </w:rPr>
        <w:softHyphen/>
        <w:t>тельной тросовой проводки управ</w:t>
      </w:r>
      <w:r w:rsidRPr="00271E51">
        <w:rPr>
          <w:rFonts w:ascii="Times New Roman" w:hAnsi="Times New Roman"/>
          <w:color w:val="000000" w:themeColor="text1"/>
          <w:sz w:val="16"/>
          <w:szCs w:val="16"/>
        </w:rPr>
        <w:softHyphen/>
        <w:t>ления рулем высоты за пределами бронекорпуса (в хвостовой части фю</w:t>
      </w:r>
      <w:r w:rsidRPr="00271E51">
        <w:rPr>
          <w:rFonts w:ascii="Times New Roman" w:hAnsi="Times New Roman"/>
          <w:color w:val="000000" w:themeColor="text1"/>
          <w:sz w:val="16"/>
          <w:szCs w:val="16"/>
        </w:rPr>
        <w:softHyphen/>
        <w:t>зеляжа) (11427).</w:t>
      </w:r>
    </w:p>
    <w:p w14:paraId="3B6F1F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7E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заводом № 35 был подготовлен еще один экземпляр винта АВ-5л- 18А с улучшенной аэродинамической балансировкой и передан в Куйбышев на 18-й завод для производства летных испытаний. При полетах с этим винтом тряска уменьшилась, но окончательно ликвидировать тряску все же не удалось. Теперь тряска появлялась при несколько меньших оборотах - 2200 об/мин. Мотористы считали, что при соответствующей доводке винта тряска прекратится. Однако в ходе совместных 100-часовых испытаний на заводе № 24 моторов АМ-42 и опытного флюгерного винта АВ-7л-18А (лопасти винта выполнялись по одному чертежу с АВ-5л-18А) в июле произошли аварии двух моторов (зав. №4226 и 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 35 пришлось напомнить членам комиссии, что еще в июле 1941 г.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мотора Микулин запретил полеты с АМ-42 с винтами диаметром 4,0 м. Было решено определить частоты собственных колебаний воздушного винта и системы "коленчатый вал - редуктор" мотора.</w:t>
      </w:r>
    </w:p>
    <w:p w14:paraId="7D2E6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летные данные Ил-2М с винтом АВ-5л-158 снизились почти до уровня обычной "двойки", то о предъявлении новой машины на государственные испытания в установленные сроки не могло быть и речи. Было решено перегнать летом Ил-2М на завод № 240, где продолжить доводку машины и провести весь цикл заводских испытаний, а на заводе № 18 построить его эталон для серийного производства (заводское обозначение С-42) (12020).</w:t>
      </w:r>
    </w:p>
    <w:p w14:paraId="77FDDE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3C8F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июля 1943 года завершили постройку опытного экземпляра ДДБШ. Весной 1943 года самолет ДДБШ был включен в проект плана строительства самолетов и моди</w:t>
      </w:r>
      <w:r w:rsidRPr="00271E51">
        <w:rPr>
          <w:rFonts w:ascii="Times New Roman" w:hAnsi="Times New Roman"/>
          <w:color w:val="000000" w:themeColor="text1"/>
          <w:sz w:val="16"/>
          <w:szCs w:val="16"/>
        </w:rPr>
        <w:softHyphen/>
        <w:t>фикаций самолетов на 1943 год со сроком передачи его на госиспы</w:t>
      </w:r>
      <w:r w:rsidRPr="00271E51">
        <w:rPr>
          <w:rFonts w:ascii="Times New Roman" w:hAnsi="Times New Roman"/>
          <w:color w:val="000000" w:themeColor="text1"/>
          <w:sz w:val="16"/>
          <w:szCs w:val="16"/>
        </w:rPr>
        <w:softHyphen/>
        <w:t>тания 1.09.43 г. К этому времени правительство при</w:t>
      </w:r>
      <w:r w:rsidRPr="00271E51">
        <w:rPr>
          <w:rFonts w:ascii="Times New Roman" w:hAnsi="Times New Roman"/>
          <w:color w:val="000000" w:themeColor="text1"/>
          <w:sz w:val="16"/>
          <w:szCs w:val="16"/>
        </w:rPr>
        <w:softHyphen/>
        <w:t>няло решение о реэвакуации заво</w:t>
      </w:r>
      <w:r w:rsidRPr="00271E51">
        <w:rPr>
          <w:rFonts w:ascii="Times New Roman" w:hAnsi="Times New Roman"/>
          <w:color w:val="000000" w:themeColor="text1"/>
          <w:sz w:val="16"/>
          <w:szCs w:val="16"/>
        </w:rPr>
        <w:softHyphen/>
        <w:t>да № 289 на прежнее место бази</w:t>
      </w:r>
      <w:r w:rsidRPr="00271E51">
        <w:rPr>
          <w:rFonts w:ascii="Times New Roman" w:hAnsi="Times New Roman"/>
          <w:color w:val="000000" w:themeColor="text1"/>
          <w:sz w:val="16"/>
          <w:szCs w:val="16"/>
        </w:rPr>
        <w:softHyphen/>
        <w:t>рования в подмосковный город Ка</w:t>
      </w:r>
      <w:r w:rsidRPr="00271E51">
        <w:rPr>
          <w:rFonts w:ascii="Times New Roman" w:hAnsi="Times New Roman"/>
          <w:color w:val="000000" w:themeColor="text1"/>
          <w:sz w:val="16"/>
          <w:szCs w:val="16"/>
        </w:rPr>
        <w:softHyphen/>
        <w:t>лининград (Королев). Самолету ДДБШ, в переписке получившему обозначение Су-8, предстояло дли</w:t>
      </w:r>
      <w:r w:rsidRPr="00271E51">
        <w:rPr>
          <w:rFonts w:ascii="Times New Roman" w:hAnsi="Times New Roman"/>
          <w:color w:val="000000" w:themeColor="text1"/>
          <w:sz w:val="16"/>
          <w:szCs w:val="16"/>
        </w:rPr>
        <w:softHyphen/>
        <w:t>тельное «путешествие» по железной дороге. Желая предъявить самолет на испытания к установленному сроку, П.О.Сухой принял решение все работы на нем завершить в Молотове. На самолете предстоя</w:t>
      </w:r>
      <w:r w:rsidRPr="00271E51">
        <w:rPr>
          <w:rFonts w:ascii="Times New Roman" w:hAnsi="Times New Roman"/>
          <w:color w:val="000000" w:themeColor="text1"/>
          <w:sz w:val="16"/>
          <w:szCs w:val="16"/>
        </w:rPr>
        <w:softHyphen/>
        <w:t>ло установить прозрачную броню, стрелково-пушечное вооружение, а также устранить деформацию об</w:t>
      </w:r>
      <w:r w:rsidRPr="00271E51">
        <w:rPr>
          <w:rFonts w:ascii="Times New Roman" w:hAnsi="Times New Roman"/>
          <w:color w:val="000000" w:themeColor="text1"/>
          <w:sz w:val="16"/>
          <w:szCs w:val="16"/>
        </w:rPr>
        <w:softHyphen/>
        <w:t>шивки крыла, выполненной из не</w:t>
      </w:r>
      <w:r w:rsidRPr="00271E51">
        <w:rPr>
          <w:rFonts w:ascii="Times New Roman" w:hAnsi="Times New Roman"/>
          <w:color w:val="000000" w:themeColor="text1"/>
          <w:sz w:val="16"/>
          <w:szCs w:val="16"/>
        </w:rPr>
        <w:softHyphen/>
        <w:t>качественной фанеры. Приближался срок начала лет</w:t>
      </w:r>
      <w:r w:rsidRPr="00271E51">
        <w:rPr>
          <w:rFonts w:ascii="Times New Roman" w:hAnsi="Times New Roman"/>
          <w:color w:val="000000" w:themeColor="text1"/>
          <w:sz w:val="16"/>
          <w:szCs w:val="16"/>
        </w:rPr>
        <w:softHyphen/>
        <w:t>ных испытаний, однако статический экземпляр самолета Су-8 еще не был испытан из-за загруженности статической лаборатории ЦАГИ другими заданиями. Поэтому в на</w:t>
      </w:r>
      <w:r w:rsidRPr="00271E51">
        <w:rPr>
          <w:rFonts w:ascii="Times New Roman" w:hAnsi="Times New Roman"/>
          <w:color w:val="000000" w:themeColor="text1"/>
          <w:sz w:val="16"/>
          <w:szCs w:val="16"/>
        </w:rPr>
        <w:softHyphen/>
        <w:t>чале августа опытный самолет Су-8 отправили в Москву водным путем (Кама - Волга - Москва-река). В октябре он прибыл в Тушино. Размещение завода № 289 в под</w:t>
      </w:r>
      <w:r w:rsidRPr="00271E51">
        <w:rPr>
          <w:rFonts w:ascii="Times New Roman" w:hAnsi="Times New Roman"/>
          <w:color w:val="000000" w:themeColor="text1"/>
          <w:sz w:val="16"/>
          <w:szCs w:val="16"/>
        </w:rPr>
        <w:softHyphen/>
        <w:t>московном поселке Тушино стало результатом организационных не</w:t>
      </w:r>
      <w:r w:rsidRPr="00271E51">
        <w:rPr>
          <w:rFonts w:ascii="Times New Roman" w:hAnsi="Times New Roman"/>
          <w:color w:val="000000" w:themeColor="text1"/>
          <w:sz w:val="16"/>
          <w:szCs w:val="16"/>
        </w:rPr>
        <w:softHyphen/>
        <w:t>увязок, возникших между Наркома</w:t>
      </w:r>
      <w:r w:rsidRPr="00271E51">
        <w:rPr>
          <w:rFonts w:ascii="Times New Roman" w:hAnsi="Times New Roman"/>
          <w:color w:val="000000" w:themeColor="text1"/>
          <w:sz w:val="16"/>
          <w:szCs w:val="16"/>
        </w:rPr>
        <w:softHyphen/>
        <w:t>тами Обороны и авиационной про</w:t>
      </w:r>
      <w:r w:rsidRPr="00271E51">
        <w:rPr>
          <w:rFonts w:ascii="Times New Roman" w:hAnsi="Times New Roman"/>
          <w:color w:val="000000" w:themeColor="text1"/>
          <w:sz w:val="16"/>
          <w:szCs w:val="16"/>
        </w:rPr>
        <w:softHyphen/>
        <w:t>мышленности. На новом месте са</w:t>
      </w:r>
      <w:r w:rsidRPr="00271E51">
        <w:rPr>
          <w:rFonts w:ascii="Times New Roman" w:hAnsi="Times New Roman"/>
          <w:color w:val="000000" w:themeColor="text1"/>
          <w:sz w:val="16"/>
          <w:szCs w:val="16"/>
        </w:rPr>
        <w:softHyphen/>
        <w:t>молет был доукомплектован (за ис</w:t>
      </w:r>
      <w:r w:rsidRPr="00271E51">
        <w:rPr>
          <w:rFonts w:ascii="Times New Roman" w:hAnsi="Times New Roman"/>
          <w:color w:val="000000" w:themeColor="text1"/>
          <w:sz w:val="16"/>
          <w:szCs w:val="16"/>
        </w:rPr>
        <w:softHyphen/>
        <w:t>ключением стрелково-пушечного вооружения) и в ноябре перевезен на Тушинский аэродром для подго</w:t>
      </w:r>
      <w:r w:rsidRPr="00271E51">
        <w:rPr>
          <w:rFonts w:ascii="Times New Roman" w:hAnsi="Times New Roman"/>
          <w:color w:val="000000" w:themeColor="text1"/>
          <w:sz w:val="16"/>
          <w:szCs w:val="16"/>
        </w:rPr>
        <w:softHyphen/>
        <w:t>товки к летным испытаниям (веду</w:t>
      </w:r>
      <w:r w:rsidRPr="00271E51">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271E51">
        <w:rPr>
          <w:rFonts w:ascii="Times New Roman" w:hAnsi="Times New Roman"/>
          <w:color w:val="000000" w:themeColor="text1"/>
          <w:sz w:val="16"/>
          <w:szCs w:val="16"/>
        </w:rPr>
        <w:softHyphen/>
        <w:t>работке самолета Су-6 под двига</w:t>
      </w:r>
      <w:r w:rsidRPr="00271E51">
        <w:rPr>
          <w:rFonts w:ascii="Times New Roman" w:hAnsi="Times New Roman"/>
          <w:color w:val="000000" w:themeColor="text1"/>
          <w:sz w:val="16"/>
          <w:szCs w:val="16"/>
        </w:rPr>
        <w:softHyphen/>
        <w:t>тель АМ-42. Под эти же двигатели, но уже в инициативном порядке до</w:t>
      </w:r>
      <w:r w:rsidRPr="00271E51">
        <w:rPr>
          <w:rFonts w:ascii="Times New Roman" w:hAnsi="Times New Roman"/>
          <w:color w:val="000000" w:themeColor="text1"/>
          <w:sz w:val="16"/>
          <w:szCs w:val="16"/>
        </w:rPr>
        <w:softHyphen/>
        <w:t>работали и проект самолета Су-8, однако проект ДДБШ 2АМ-42 остал</w:t>
      </w:r>
      <w:r w:rsidRPr="00271E51">
        <w:rPr>
          <w:rFonts w:ascii="Times New Roman" w:hAnsi="Times New Roman"/>
          <w:color w:val="000000" w:themeColor="text1"/>
          <w:sz w:val="16"/>
          <w:szCs w:val="16"/>
        </w:rPr>
        <w:softHyphen/>
        <w:t>ся нереализованным (11853).</w:t>
      </w:r>
    </w:p>
    <w:p w14:paraId="6B5F1D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A2D63"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началу июля 1943, несмотря на трудности объективного и субъек</w:t>
      </w:r>
      <w:r w:rsidRPr="00271E51">
        <w:rPr>
          <w:color w:val="000000" w:themeColor="text1"/>
          <w:sz w:val="16"/>
          <w:szCs w:val="16"/>
        </w:rPr>
        <w:softHyphen/>
        <w:t>тивного характера, все же удалось в целом достроить первый экземпляр ДДБШ 2М-71, который в переписке стал именоваться как Су-8.</w:t>
      </w:r>
    </w:p>
    <w:p w14:paraId="107BF121"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самолете не были установлены вооружение, прозрачная броня и ряд других систем. Опытный штурмовик имел усиленный по сравнению с про</w:t>
      </w:r>
      <w:r w:rsidRPr="00271E51">
        <w:rPr>
          <w:color w:val="000000" w:themeColor="text1"/>
          <w:sz w:val="16"/>
          <w:szCs w:val="16"/>
        </w:rPr>
        <w:softHyphen/>
        <w:t>ектом состав вооружения: в подфюзеляжной бата</w:t>
      </w:r>
      <w:r w:rsidRPr="00271E51">
        <w:rPr>
          <w:color w:val="000000" w:themeColor="text1"/>
          <w:sz w:val="16"/>
          <w:szCs w:val="16"/>
        </w:rPr>
        <w:softHyphen/>
        <w:t>рее — 4 пушки 11П калибра 37 мм ОКБ-16 (200 сна</w:t>
      </w:r>
      <w:r w:rsidRPr="00271E51">
        <w:rPr>
          <w:color w:val="000000" w:themeColor="text1"/>
          <w:sz w:val="16"/>
          <w:szCs w:val="16"/>
        </w:rPr>
        <w:softHyphen/>
        <w:t>рядов), в каждой консоли крыла — по 4 пулемета ШКАС (2400 патронов), на верхней турели УТК-1 — пулемет УБТ (200 патронов) и в люковой оборо</w:t>
      </w:r>
      <w:r w:rsidRPr="00271E51">
        <w:rPr>
          <w:color w:val="000000" w:themeColor="text1"/>
          <w:sz w:val="16"/>
          <w:szCs w:val="16"/>
        </w:rPr>
        <w:softHyphen/>
        <w:t>нительной установке ЛУ-100 — пулемет ШКАС (700 патронов). Бомбовое и ракетное вооружение осталось без изменений: 6 РО-132 и 400 кг бомб (в перегрузку 1600 кг).</w:t>
      </w:r>
    </w:p>
    <w:p w14:paraId="7DDE415F"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этому времени было принято решение о воз</w:t>
      </w:r>
      <w:r w:rsidRPr="00271E51">
        <w:rPr>
          <w:color w:val="000000" w:themeColor="text1"/>
          <w:sz w:val="16"/>
          <w:szCs w:val="16"/>
        </w:rPr>
        <w:softHyphen/>
        <w:t>вращении завода № 289 на прежнее место в под</w:t>
      </w:r>
      <w:r w:rsidRPr="00271E51">
        <w:rPr>
          <w:color w:val="000000" w:themeColor="text1"/>
          <w:sz w:val="16"/>
          <w:szCs w:val="16"/>
        </w:rPr>
        <w:softHyphen/>
        <w:t>московный г. Калининград.</w:t>
      </w:r>
    </w:p>
    <w:p w14:paraId="527ED72A"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сложившейся обстановке Сухой принимает решение все работы по самолету завершить в Мо- лотове и затем отправить его в Москву водным пу</w:t>
      </w:r>
      <w:r w:rsidRPr="00271E51">
        <w:rPr>
          <w:color w:val="000000" w:themeColor="text1"/>
          <w:sz w:val="16"/>
          <w:szCs w:val="16"/>
        </w:rPr>
        <w:softHyphen/>
        <w:t>тем (по Каме, Волге и Москве-реке). Это позволяло при удачном стечении обстоятельств обеспечить заданные сроки предъявления самолета на госу</w:t>
      </w:r>
      <w:r w:rsidRPr="00271E51">
        <w:rPr>
          <w:color w:val="000000" w:themeColor="text1"/>
          <w:sz w:val="16"/>
          <w:szCs w:val="16"/>
        </w:rPr>
        <w:softHyphen/>
        <w:t>дарственные испытания.</w:t>
      </w:r>
    </w:p>
    <w:p w14:paraId="6711579F"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установки на самолет прозрачной брони, всего стрелково-пушечного вооружения и устране</w:t>
      </w:r>
      <w:r w:rsidRPr="00271E51">
        <w:rPr>
          <w:color w:val="000000" w:themeColor="text1"/>
          <w:sz w:val="16"/>
          <w:szCs w:val="16"/>
        </w:rPr>
        <w:softHyphen/>
        <w:t>ния дефекта обшивки крыла, которая была выпол</w:t>
      </w:r>
      <w:r w:rsidRPr="00271E51">
        <w:rPr>
          <w:color w:val="000000" w:themeColor="text1"/>
          <w:sz w:val="16"/>
          <w:szCs w:val="16"/>
        </w:rPr>
        <w:softHyphen/>
        <w:t>нена из некачественной фанеры, ДДБШ в начале августа 1943 г. был отправлен в Москву.</w:t>
      </w:r>
    </w:p>
    <w:p w14:paraId="1F5B6826"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Однако из-за сильной загруженности статлабо- ратории ЦАГИ другими заданиями, статический эк</w:t>
      </w:r>
      <w:r w:rsidRPr="00271E51">
        <w:rPr>
          <w:color w:val="000000" w:themeColor="text1"/>
          <w:sz w:val="16"/>
          <w:szCs w:val="16"/>
        </w:rPr>
        <w:softHyphen/>
        <w:t>земпляр самолета ДДБШ все еще не был испытан на прочность. Как известно, в это время «вне оче</w:t>
      </w:r>
      <w:r w:rsidRPr="00271E51">
        <w:rPr>
          <w:color w:val="000000" w:themeColor="text1"/>
          <w:sz w:val="16"/>
          <w:szCs w:val="16"/>
        </w:rPr>
        <w:softHyphen/>
        <w:t>реди» проходили статиспытания серийные само</w:t>
      </w:r>
      <w:r w:rsidRPr="00271E51">
        <w:rPr>
          <w:color w:val="000000" w:themeColor="text1"/>
          <w:sz w:val="16"/>
          <w:szCs w:val="16"/>
        </w:rPr>
        <w:softHyphen/>
        <w:t>леты Ил-2, на которых в массовом количестве про</w:t>
      </w:r>
      <w:r w:rsidRPr="00271E51">
        <w:rPr>
          <w:color w:val="000000" w:themeColor="text1"/>
          <w:sz w:val="16"/>
          <w:szCs w:val="16"/>
        </w:rPr>
        <w:softHyphen/>
        <w:t>явился такой дефект, как срыв в полете обшивки с крыла самолета.</w:t>
      </w:r>
    </w:p>
    <w:p w14:paraId="10B7372D" w14:textId="77777777" w:rsidR="00EF3A16" w:rsidRPr="00271E51" w:rsidRDefault="00EF3A1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ОКБ Сухого при переезде в Москву встретило серьезные затруднения организацион</w:t>
      </w:r>
      <w:r w:rsidRPr="00271E51">
        <w:rPr>
          <w:color w:val="000000" w:themeColor="text1"/>
          <w:sz w:val="16"/>
          <w:szCs w:val="16"/>
        </w:rPr>
        <w:softHyphen/>
        <w:t>ного характера. Вместо старой площадки в Кали</w:t>
      </w:r>
      <w:r w:rsidRPr="00271E51">
        <w:rPr>
          <w:color w:val="000000" w:themeColor="text1"/>
          <w:sz w:val="16"/>
          <w:szCs w:val="16"/>
        </w:rPr>
        <w:softHyphen/>
        <w:t>нинграде суховцы были размещены в подмосков</w:t>
      </w:r>
      <w:r w:rsidRPr="00271E51">
        <w:rPr>
          <w:color w:val="000000" w:themeColor="text1"/>
          <w:sz w:val="16"/>
          <w:szCs w:val="16"/>
        </w:rPr>
        <w:softHyphen/>
        <w:t>ном поселке Тушино (17500).</w:t>
      </w:r>
    </w:p>
    <w:p w14:paraId="5FCC63C1" w14:textId="77777777" w:rsidR="00EF3A16" w:rsidRPr="00271E51" w:rsidRDefault="00EF3A16" w:rsidP="00271E51">
      <w:pPr>
        <w:spacing w:after="0" w:line="240" w:lineRule="auto"/>
        <w:jc w:val="both"/>
        <w:rPr>
          <w:rFonts w:ascii="Times New Roman" w:hAnsi="Times New Roman"/>
          <w:color w:val="000000" w:themeColor="text1"/>
          <w:sz w:val="16"/>
          <w:szCs w:val="16"/>
        </w:rPr>
      </w:pPr>
    </w:p>
    <w:p w14:paraId="3F1BDBF9" w14:textId="77777777" w:rsidR="00EF3A16" w:rsidRPr="00271E51" w:rsidRDefault="00EF3A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июля 1943 года удалось в целом построить первый экземпляр самолета Су-8.</w:t>
      </w:r>
    </w:p>
    <w:p w14:paraId="2AD2B8C6" w14:textId="77777777" w:rsidR="00EF3A16" w:rsidRPr="00271E51" w:rsidRDefault="00EF3A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своем выступлении на защите макета самолета П. О. Сухой по этому вопросу высказался так: «Мы пытались скомпоновать одномоторный штурмовик с большим пушечным вооружением. Но сочетать в одномоторной машине скорость с мощным вооружением не представляется возможным. Надо, кроме того, смотреть дальше. Надо иметь возможность поставить на самолет пушки большего калибра, чем теперешние. Это пушки 45-мм и даже 75-мм. На одномоторной машине провести такую замену пушек будет невозможно. Отсюда появился второй мотор. Мы говорим о машине завтрашнего дня».</w:t>
      </w:r>
    </w:p>
    <w:p w14:paraId="71074B2F" w14:textId="77777777" w:rsidR="00EF3A16" w:rsidRPr="00271E51" w:rsidRDefault="00EF3A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первой декаде июля 1943 заводом № 35 был подготовлен еще один экземпляр винта АВ-5л-18А с улучшенной аэродинамической балансировкой и передан в Куйбышев на 18-й завод для производства летных испытаний. При полетах с этим винтом тряска уменьшилась, но окончательно ликвидировать тряску все же не удалось. Теперь тряска появлялась при несколько меньших оборотах – 2200 об/мин. Мотористы считали, что при соответствующей доводке винта тряска прекратится. Однако в ходе совместных 100-часовых испытаний на заводе № 24 моторов АМ-42 и опытного флюгерного винта АВ-7л-18А (лопасти винта выполнялись по одному чертежу с АВ-5л-18А) в июле произошли аварии двух моторов (зав. № 4226 и № 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 35 пришлось напомнить членам комиссии, что еще в июле 1941 года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мотора А. А. Микулин запретил полеты с АМ-42 с винтами диаметром 4,0 м. Было решено определить частоты собственных колебаний воздушного винта и системы коленчатого вала мотора.</w:t>
      </w:r>
    </w:p>
    <w:p w14:paraId="3FDC4050" w14:textId="77777777" w:rsidR="00EF3A16" w:rsidRPr="00271E51" w:rsidRDefault="00EF3A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летные данные Ил-2М со стандартным винтом АВ-5л-158 снизились почти до уровня обычной «двойки», то о предъявлении новой машины на государственные испытания в установленные сроки не могло быть и речи.</w:t>
      </w:r>
    </w:p>
    <w:p w14:paraId="7F9C08D0" w14:textId="77777777" w:rsidR="00EF3A16" w:rsidRPr="00271E51" w:rsidRDefault="00EF3A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оценки обстановки и «выяснения всех вопросов, связанных с доводкой самолета», в Куйбышев на завод № 18 выехала группа ведущих конструкторов ОКБ-240 во главе с главным конструктором С. В. Ильюшиным. Одновременно Ильюшин ознакомился с фактическими результатами работы завода № 1 по новым самолетам с мотором АМ-42 (17490).</w:t>
      </w:r>
    </w:p>
    <w:p w14:paraId="200B05E8" w14:textId="77777777" w:rsidR="00EF3A16" w:rsidRPr="00271E51" w:rsidRDefault="00EF3A16" w:rsidP="00271E51">
      <w:pPr>
        <w:spacing w:after="0" w:line="240" w:lineRule="auto"/>
        <w:jc w:val="both"/>
        <w:rPr>
          <w:rFonts w:ascii="Times New Roman" w:hAnsi="Times New Roman"/>
          <w:color w:val="000000" w:themeColor="text1"/>
          <w:sz w:val="16"/>
          <w:szCs w:val="16"/>
        </w:rPr>
      </w:pPr>
    </w:p>
    <w:p w14:paraId="61EE4F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начале июля 1943 года 34 Як-9Т поступили в 1-ю гвардейскую Сталинградскую иад и 273-ю иад 6-го иак (16 ВА, Центральный фронт) для войсковых испытаний. К началу испытаний в 53-м гвардейском Сталинградском иап (гсиап) (командир - майор Моторный) было 2 Як-9Т, в 54-м гвардейском Керченском иап (гкиап) - 8 Як-9Т (командир - подполковник Мельников) и 55-м гвардейском Харьковском иап (гхиап, командир - подполковник Шишкин) - 2 Як-9Т. Все они входили в 1-ю гвардейскую Сталинградскую иад. В 273-ю иад входили 157-й (командир - майор Волков) 163-й (командир - майор Пологов) и 347-й иап (командир - капитан Данкевич). В них числилось соответственно 6 и по 8 Як-9Т.</w:t>
      </w:r>
    </w:p>
    <w:p w14:paraId="0E7DFF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Участвовавшие в войсковых испытаниях 34 самолета, базировались на различных аэродромах, находившихся друг от друга на расстоянии до 100 км. В ходе испытаний самолеты нередко переходили из одного полка в другой. Например, 29 июля 1943 года командование 54 полка передало оставшиеся пять машин в 55 гхиап. Все полки никакой специальной подготовки по освоению материальной части самолета Як-9Т и его вооружения не проходили. В отдельных случаях, как, например, в 157-м иап боевые вылеты начались на следующий день после получения самолетов.</w:t>
      </w:r>
    </w:p>
    <w:p w14:paraId="12C89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не были закреплены за летчиками. На некоторых машинах в один день летало по несколько пилотов, особенно в 53-м и 54-м гвардейских иап, с различным уровнем подготовки. В итоге на 34 самолетах выполняли боевые задания 80 летчиков, что не могло не сказаться на эффективности использования истребителей.</w:t>
      </w:r>
    </w:p>
    <w:p w14:paraId="35304A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Як-9Т были получены с примитивными механическими прицелами (кольцо и мушка), но к концу испытаний инженерно- технический состав и бригада омского завода заменили их коллиматорными ПБП-1а.</w:t>
      </w:r>
    </w:p>
    <w:p w14:paraId="18B486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Снаряжение патронной ленты производилось по-разному. В некоторых полках половина боекомплекта снаряжалась патронами с бронебойными (без наконечника) и осколочными снарядами. После запрета снаряжать орудия бронебойными патронами со снарядами без наконечников использовали только патроны с осколочными снарядами. Других боеприпасов на складах 16-й ВА не было.</w:t>
      </w:r>
    </w:p>
    <w:p w14:paraId="6098D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месяц до 6 августа летчики выполнили в общей сложности 150 самолето-вылетов на Як-9Т и 78 раз вступали в воздушные бои с противником. Несмотря на то, что бои проходили в смешанных боевых порядках с участием истребителей других типов, на долю Як-9Т пришлось 49 побед из 54-х сбитых истребителей FW-190, четыре - Ме-109, 31 пикирующий бомбардировщик Ju-87, 14 бомбардировщиков Ju-88 и семь - Не-111. Свои потери в боях составили 12 Як-9Т, а не боевые - три машины. При этом израсходовали 1503 патрона к 37-мм пушке, 8958 - к ШВАК и 16 820 - к пулемету УБС. В среднем за один сбитый самолет противника расходовалось 15 патронов к НС-37, 124 - к ШВАК и 123-к УБС.</w:t>
      </w:r>
    </w:p>
    <w:p w14:paraId="63C7D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Первые две потери в ходе войсковых испытаний Як-9Т понесли 5 июля. Летчики обоих самолетов (№ 0160 из 163 иап и № 0165 из 347 иап) прикрывали наземные войска. Для самолета № 0160 это был второй боевой вылет, а причины трагедии так и не установили. Что касается машины № 0165, </w:t>
      </w:r>
    </w:p>
    <w:p w14:paraId="03D0D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летчик - майор Плотников, преследуя противника на пикировании, выводил самолет на малой высоте и, задев верхушки деревьев, упал на нейтральной полосе.</w:t>
      </w:r>
    </w:p>
    <w:p w14:paraId="7E926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 еще три потери. При возвращении с сопровождения бомбардировщиков потерпел катастрофу на своей территории Як-9Т № 0122 347 иап. Встреч с противником в тот день и обстрела зенитной артиллерией не было и причину трагедии так и не установили. В тот же день гвардии младший лейтенант Полянский из 55 гхиап, израсходовав боеприпасы, прикрывая наземные войска, совершил лобовой таран. Это был пятый боевой вылет самолета № 0167. Третьим был истребитель № 0168 из 54 гкиап. В ходе перехвата бомбардировщика Ju-88, Як-9Т (четвертый боевой вылет) был подбит воздушным стрелком противника. Самолет сгорел, а летчик благополучно покинул его с парашютом и приземлился на своей территории.</w:t>
      </w:r>
    </w:p>
    <w:p w14:paraId="50EDB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потеряли лишь одну машину. Прикрывая наземные войска, самолет № 0162 (54 гкиап) был атакован сзади с малой дистанции истребителем FW-190. Это был его четвертый боевой вылет.</w:t>
      </w:r>
    </w:p>
    <w:p w14:paraId="4AE0A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Спустя три дня недосчитались еще двух машин. Самолет № 0112 (54 гкиап) не вернулся с задания в третьем боевом вылете. В тот же день в бою с FW-190 и Ме-110, во время прикрытия наземных войск, был сбит истребитель № 0150 из 55 гхиап, на счету этой машины было 13 боевых вылета.</w:t>
      </w:r>
    </w:p>
    <w:p w14:paraId="27C5DB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летчик самолета № 0109 (третий боевой вылет, 53-й гсиап), возвращаясь с разведки противника, атаковал автоколонну.</w:t>
      </w:r>
    </w:p>
    <w:p w14:paraId="6C85F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выходе из атаки пуля пробила водора- диатор, и при вынужденной посадке Як-9Т был разбит.</w:t>
      </w:r>
    </w:p>
    <w:p w14:paraId="6BB91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не вернулся из полета на разведку противника самолет № 0140 (157-й иап), выполнявший 22 боевой вылет . В тот день четыре "яка" атаковали 30 FW-190. В завязавшемся бою самолет потеряли из виду и судьба его до сих пор не установлена.</w:t>
      </w:r>
    </w:p>
    <w:p w14:paraId="3646C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не вернулся с задания летчик того же полка капитан Овчаров, летавший на Як-9Т № 0118 (18-й боевой вылет). Прикрывая наземные войска, капитан Овчаров в воздушном бою с FW-190, Ме-109 и Не-111 сбил два самолета врага: Ме-109 и Не-111, но попал под огонь FW-190. Уйдя после этого в облачность, истребитель Овча- рова вышел из облаков с отвесным пикированием и был потерян из виду.</w:t>
      </w:r>
    </w:p>
    <w:p w14:paraId="5553C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Як-9 № 0143 из 347-го иап стал последней потерей в ходе войсковых испытаний. В бою с восьмеркой FW-190, прикрывавший наземные войска, самолет был потерян из виду и причину этой трагедии так и не установили.</w:t>
      </w:r>
    </w:p>
    <w:p w14:paraId="093E5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Может, кому-то покажутся излишним столь подробные описания, но автор считает своим долгом еще раз отметить мужество, самоотверженность и преданность отечеству наших воздушных бойцов.</w:t>
      </w:r>
    </w:p>
    <w:p w14:paraId="37E61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решали боевые задачи, как совместно с Як-1, Як-7Б и Як-9, так и самостоятельно. Например, в 54-м гкиап, из-за отсутствия исправных истребителей других типов, с 10 по 18 июля выполнили шесть боевых вылетов на прикрытие наземных войск в группах от двух до четырех самолетов, а с 20 по 24 июля - 12 боевых вылетов на разведку парами. Кроме этого, с 7 по 17 июля проведено пять групповых вылетов Як-9Т на прикрытие наземных войск, с 20 по 24 июля - восемь групповых вылетов (три Як-9Т и один Як-1) на разведку.</w:t>
      </w:r>
    </w:p>
    <w:p w14:paraId="110756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всех смешанных групп были Як-1 или Як-9, а в 54-м гкиап - Як-9Т. В большинстве случаев Як-9Т был ведущим пары, а их ведомыми были Як-1 или Як-9. Отмечены случаи, когда ведущими пары были Як-1, а ведомыми Як-9Т, которые во время воздушного боя отставали от ведущего. В итоге нарушалось огневое взаимодействие пары. При полетах шести и более самолетов, группы делились на ударные и прикрывающие части. Управление боем проводилось с помощью радио.</w:t>
      </w:r>
    </w:p>
    <w:p w14:paraId="6197E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истребителеми, применявшимися противником на Центральном фронте, были FW-190, количество которых в группе доходило порой до 30. Воздушные бои с ними проходили на различных высотах, как на встречных, так и на преследующих курсах. В отчете о результатах войсковых испытаний Як-9Т чаще других упоминается молодой и очень инициативный летчик Зеленин. Например, 7 июня лейтенант Зеленин, выбивая с хвоста ведущего своей группы FW-190 с превышением 500 м, атаковал "немца" на дистанции 25 м и сбил его. Спустя месяц этот же летчик встретился с FW-190 на встречных курсах. "Немец" сделал полупереворот и стал заходить в хвост "яка". Видя это, Зеленин отвернул влево со снижением и скольжением, но пилот FW-190, сблизившись на дистанцию 50 м, начал стрелять. Огненные трассы прошли в 15 м от "яка". Зеленин разогнал "як" со снижением, и "немец" отстал. Затем наш летчик выполнил полупереворот, но оказавшись ниже "фок- ке-вульфа", энергично сделал горку, набрав 500 м высоты. Сблизившись на дистанцию около 400 м, летчик дал прицельную очередь из УБС, но FW-190, имея преимущество в скорости, ушел вверх.</w:t>
      </w:r>
    </w:p>
    <w:p w14:paraId="1CA09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лейтенант Яшин на лобовой атаке сбил FW-190. В тот день группа из четырех "фокке-вульфов", идя в лобовую атаку, открыла огонь на дистанции 800-600 м, Яшин же, выбрав момент, открыл огонь с вдвое меньшего расстояния. Когда "немцы" стали отворачивать, Яшин дал четыре очереди из 37-миллиметрового орудия по 4-5 снарядов, один из которых попал в FW-190.</w:t>
      </w:r>
    </w:p>
    <w:p w14:paraId="58EFAA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истребителей противника были сбиты сзади: сверху и сбоку, на дистанциях 25-400 м очередями по 3-5 снарядов.</w:t>
      </w:r>
    </w:p>
    <w:p w14:paraId="7D7DB4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противника ходили парами или четверками эшелонированно на высотах от 500 до 5000 м. В ходе боя эти группы наращивались. Излюбленными у пилотов FW-190 были атаки сверху с солнечной стороны. Проведя одну - две атаки, они уходили вверх, откуда выискивали отставших или выходивших из боя наших истребителей.</w:t>
      </w:r>
    </w:p>
    <w:p w14:paraId="5A946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Пилоты FW-190 чаще всего вели бои на вертикалях, что было не выгодно нашим летчикам, из-за меньшей скороподъемности противотанковых "яков". На виражах, особенно правом, Як-9Т легко заходил "немцу" в хвост, а на пикировании догонял его. Лобовые атаки со стрельбой из 37-мм пушки пилоты FW-190 не выдерживали, уклоняясь от боя. Выход "яка" из боя происходил путем разворота со скольжением. Отмечались случаи, когда преследуемые FW-190 при резком вводе в правый вираж срывались в штопор.</w:t>
      </w:r>
    </w:p>
    <w:p w14:paraId="0ACB88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эффективны были удары Як-9Т против бомбардировщиков противника. И опять в сводках упоминается имя Зеленина, к сожалению, в сухих строках отчета не отмечены его инициалы: "6 июля 1943 года гвардии лейтенант Зеленин, воспользовавшись тем, что стрелки были заняты боем с другими истребителями, зашел в хвост самолету Ю-87 и с дистанции 300-400 метров под ракурсом 0/4 с трех снарядов сбил его... В тот же день &lt;...&gt; Зеленин в группе наших истребителей на одной высоте при встречных курсах и ракурсе 0/4 атаковал ведущего шести самолетов Ме-110 и сбил его...".</w:t>
      </w:r>
    </w:p>
    <w:p w14:paraId="3D505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Третьим самолетом, сбитым Зелениным в тот день, стал разведчик Ju-88, упавший в районе Хлебтово.</w:t>
      </w:r>
    </w:p>
    <w:p w14:paraId="4F44A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 место отдельные случаи, когда огонь по группе самолетов противника из 37-мм пушки открывался с дистанции 1500-800 м, но попадания в самолеты не наблюдалось. Иногда открытие огня на таких дистанциях вносило панику в боевой порядок противника.</w:t>
      </w:r>
    </w:p>
    <w:p w14:paraId="1898E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того же года войсковые испытания Як-9Т начались на Западном фронте в 18-м гвардейском истребительном авиаполку (1-й ВА). За месяц боев практически полностью подтвердились выводы, сделанные летчиками, воевавшими на Центральном фронте. Итогом появления на фронтах Як-9Т - самого массового истребителя с 37-мм пушкой стала изменившаяся тактика немецких летчиков. Например, пилоты истребителей FW-190, которых спереди защищал звездообразный двигатель, стали избегать лобовых атак (12046).</w:t>
      </w:r>
    </w:p>
    <w:p w14:paraId="3D87F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FA70E" w14:textId="77777777" w:rsidR="00635F63" w:rsidRPr="00271E51" w:rsidRDefault="00635F6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началу июля 1943 на заводе № 115 были облетаны и доводились 6 Як-9 с М-107А. Еще на 4 «девятках» велись работы по установке М-107А.</w:t>
      </w:r>
    </w:p>
    <w:p w14:paraId="5BF88665" w14:textId="77777777" w:rsidR="00635F63" w:rsidRPr="00271E51" w:rsidRDefault="00635F6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Параллельно на основе планера «танкового» Як-9т с кабиной летчика, смещенной ближе к хво</w:t>
      </w:r>
      <w:r w:rsidRPr="00271E51">
        <w:rPr>
          <w:color w:val="000000" w:themeColor="text1"/>
          <w:sz w:val="16"/>
          <w:szCs w:val="16"/>
        </w:rPr>
        <w:softHyphen/>
        <w:t>сту, началась постройка улучшенного варианта самолета Як-9у, адаптированного под установку М-107А.</w:t>
      </w:r>
    </w:p>
    <w:p w14:paraId="474180AA"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начале июля 1943</w:t>
      </w:r>
    </w:p>
    <w:p w14:paraId="36F1E368"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ОТЧЕТ О КОНТРОЛЬНЫХ ИСПЫТАНИЯХ № 351 ЗА ИЮНЬ 1943 Г.</w:t>
      </w:r>
    </w:p>
    <w:p w14:paraId="78ADEAF7"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Краткая характеристика серийного самолета Ла-5 тип 37 с М-82Ф.</w:t>
      </w:r>
    </w:p>
    <w:p w14:paraId="431BEBEF"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Ла-5 М-82</w:t>
      </w:r>
      <w:r w:rsidRPr="00271E51">
        <w:rPr>
          <w:rFonts w:ascii="Times New Roman" w:hAnsi="Times New Roman"/>
          <w:color w:val="0070C0"/>
          <w:sz w:val="16"/>
          <w:szCs w:val="16"/>
        </w:rPr>
        <w:tab/>
        <w:t>Январь</w:t>
      </w:r>
      <w:r w:rsidRPr="00271E51">
        <w:rPr>
          <w:rFonts w:ascii="Times New Roman" w:hAnsi="Times New Roman"/>
          <w:color w:val="0070C0"/>
          <w:sz w:val="16"/>
          <w:szCs w:val="16"/>
        </w:rPr>
        <w:tab/>
        <w:t>февраль</w:t>
      </w:r>
      <w:r w:rsidRPr="00271E51">
        <w:rPr>
          <w:rFonts w:ascii="Times New Roman" w:hAnsi="Times New Roman"/>
          <w:color w:val="0070C0"/>
          <w:sz w:val="16"/>
          <w:szCs w:val="16"/>
        </w:rPr>
        <w:tab/>
        <w:t>март</w:t>
      </w:r>
      <w:r w:rsidRPr="00271E51">
        <w:rPr>
          <w:rFonts w:ascii="Times New Roman" w:hAnsi="Times New Roman"/>
          <w:color w:val="0070C0"/>
          <w:sz w:val="16"/>
          <w:szCs w:val="16"/>
        </w:rPr>
        <w:tab/>
        <w:t>апрель</w:t>
      </w:r>
      <w:r w:rsidRPr="00271E51">
        <w:rPr>
          <w:rFonts w:ascii="Times New Roman" w:hAnsi="Times New Roman"/>
          <w:color w:val="0070C0"/>
          <w:sz w:val="16"/>
          <w:szCs w:val="16"/>
        </w:rPr>
        <w:tab/>
        <w:t>Май</w:t>
      </w:r>
      <w:r w:rsidRPr="00271E51">
        <w:rPr>
          <w:rFonts w:ascii="Times New Roman" w:hAnsi="Times New Roman"/>
          <w:color w:val="0070C0"/>
          <w:sz w:val="16"/>
          <w:szCs w:val="16"/>
        </w:rPr>
        <w:tab/>
        <w:t>ИЮЛЬ</w:t>
      </w:r>
      <w:r w:rsidRPr="00271E51">
        <w:rPr>
          <w:rFonts w:ascii="Times New Roman" w:hAnsi="Times New Roman"/>
          <w:color w:val="0070C0"/>
          <w:sz w:val="16"/>
          <w:szCs w:val="16"/>
        </w:rPr>
        <w:tab/>
        <w:t>август  Ла-5  М-82Ф</w:t>
      </w:r>
    </w:p>
    <w:p w14:paraId="21370060"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Полетный вес, кг</w:t>
      </w:r>
      <w:r w:rsidRPr="00271E51">
        <w:rPr>
          <w:rFonts w:ascii="Times New Roman" w:hAnsi="Times New Roman"/>
          <w:color w:val="0070C0"/>
          <w:sz w:val="16"/>
          <w:szCs w:val="16"/>
        </w:rPr>
        <w:tab/>
        <w:t>3240</w:t>
      </w:r>
      <w:r w:rsidRPr="00271E51">
        <w:rPr>
          <w:rFonts w:ascii="Times New Roman" w:hAnsi="Times New Roman"/>
          <w:color w:val="0070C0"/>
          <w:sz w:val="16"/>
          <w:szCs w:val="16"/>
        </w:rPr>
        <w:tab/>
        <w:t>3224</w:t>
      </w:r>
      <w:r w:rsidRPr="00271E51">
        <w:rPr>
          <w:rFonts w:ascii="Times New Roman" w:hAnsi="Times New Roman"/>
          <w:color w:val="0070C0"/>
          <w:sz w:val="16"/>
          <w:szCs w:val="16"/>
        </w:rPr>
        <w:tab/>
        <w:t>3208</w:t>
      </w:r>
      <w:r w:rsidRPr="00271E51">
        <w:rPr>
          <w:rFonts w:ascii="Times New Roman" w:hAnsi="Times New Roman"/>
          <w:color w:val="0070C0"/>
          <w:sz w:val="16"/>
          <w:szCs w:val="16"/>
        </w:rPr>
        <w:tab/>
        <w:t>3235</w:t>
      </w:r>
      <w:r w:rsidRPr="00271E51">
        <w:rPr>
          <w:rFonts w:ascii="Times New Roman" w:hAnsi="Times New Roman"/>
          <w:color w:val="0070C0"/>
          <w:sz w:val="16"/>
          <w:szCs w:val="16"/>
        </w:rPr>
        <w:tab/>
        <w:t>3220</w:t>
      </w:r>
      <w:r w:rsidRPr="00271E51">
        <w:rPr>
          <w:rFonts w:ascii="Times New Roman" w:hAnsi="Times New Roman"/>
          <w:color w:val="0070C0"/>
          <w:sz w:val="16"/>
          <w:szCs w:val="16"/>
        </w:rPr>
        <w:tab/>
        <w:t>3200</w:t>
      </w:r>
      <w:r w:rsidRPr="00271E51">
        <w:rPr>
          <w:rFonts w:ascii="Times New Roman" w:hAnsi="Times New Roman"/>
          <w:color w:val="0070C0"/>
          <w:sz w:val="16"/>
          <w:szCs w:val="16"/>
        </w:rPr>
        <w:tab/>
        <w:t>3230</w:t>
      </w:r>
    </w:p>
    <w:p w14:paraId="56162077"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V max у зем- ли, км/час</w:t>
      </w:r>
      <w:r w:rsidRPr="00271E51">
        <w:rPr>
          <w:rFonts w:ascii="Times New Roman" w:hAnsi="Times New Roman"/>
          <w:color w:val="0070C0"/>
          <w:sz w:val="16"/>
          <w:szCs w:val="16"/>
        </w:rPr>
        <w:tab/>
        <w:t>563</w:t>
      </w:r>
      <w:r w:rsidRPr="00271E51">
        <w:rPr>
          <w:rFonts w:ascii="Times New Roman" w:hAnsi="Times New Roman"/>
          <w:color w:val="0070C0"/>
          <w:sz w:val="16"/>
          <w:szCs w:val="16"/>
        </w:rPr>
        <w:tab/>
        <w:t>550</w:t>
      </w:r>
      <w:r w:rsidRPr="00271E51">
        <w:rPr>
          <w:rFonts w:ascii="Times New Roman" w:hAnsi="Times New Roman"/>
          <w:color w:val="0070C0"/>
          <w:sz w:val="16"/>
          <w:szCs w:val="16"/>
        </w:rPr>
        <w:tab/>
        <w:t>555</w:t>
      </w:r>
      <w:r w:rsidRPr="00271E51">
        <w:rPr>
          <w:rFonts w:ascii="Times New Roman" w:hAnsi="Times New Roman"/>
          <w:color w:val="0070C0"/>
          <w:sz w:val="16"/>
          <w:szCs w:val="16"/>
        </w:rPr>
        <w:tab/>
        <w:t>557</w:t>
      </w:r>
      <w:r w:rsidRPr="00271E51">
        <w:rPr>
          <w:rFonts w:ascii="Times New Roman" w:hAnsi="Times New Roman"/>
          <w:color w:val="0070C0"/>
          <w:sz w:val="16"/>
          <w:szCs w:val="16"/>
        </w:rPr>
        <w:tab/>
        <w:t>548</w:t>
      </w:r>
      <w:r w:rsidRPr="00271E51">
        <w:rPr>
          <w:rFonts w:ascii="Times New Roman" w:hAnsi="Times New Roman"/>
          <w:color w:val="0070C0"/>
          <w:sz w:val="16"/>
          <w:szCs w:val="16"/>
        </w:rPr>
        <w:tab/>
        <w:t>560</w:t>
      </w:r>
      <w:r w:rsidRPr="00271E51">
        <w:rPr>
          <w:rFonts w:ascii="Times New Roman" w:hAnsi="Times New Roman"/>
          <w:color w:val="0070C0"/>
          <w:sz w:val="16"/>
          <w:szCs w:val="16"/>
        </w:rPr>
        <w:tab/>
        <w:t>550</w:t>
      </w:r>
    </w:p>
    <w:p w14:paraId="29E85AE9"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Скорость на 1-й границе высотности: 4000 м 5000 м</w:t>
      </w:r>
      <w:r w:rsidRPr="00271E51">
        <w:rPr>
          <w:rFonts w:ascii="Times New Roman" w:hAnsi="Times New Roman"/>
          <w:color w:val="0070C0"/>
          <w:sz w:val="16"/>
          <w:szCs w:val="16"/>
        </w:rPr>
        <w:tab/>
        <w:t>603  556</w:t>
      </w:r>
      <w:r w:rsidRPr="00271E51">
        <w:rPr>
          <w:rFonts w:ascii="Times New Roman" w:hAnsi="Times New Roman"/>
          <w:color w:val="0070C0"/>
          <w:sz w:val="16"/>
          <w:szCs w:val="16"/>
        </w:rPr>
        <w:tab/>
        <w:t>561  579</w:t>
      </w:r>
      <w:r w:rsidRPr="00271E51">
        <w:rPr>
          <w:rFonts w:ascii="Times New Roman" w:hAnsi="Times New Roman"/>
          <w:color w:val="0070C0"/>
          <w:sz w:val="16"/>
          <w:szCs w:val="16"/>
        </w:rPr>
        <w:tab/>
        <w:t>578  546</w:t>
      </w:r>
      <w:r w:rsidRPr="00271E51">
        <w:rPr>
          <w:rFonts w:ascii="Times New Roman" w:hAnsi="Times New Roman"/>
          <w:color w:val="0070C0"/>
          <w:sz w:val="16"/>
          <w:szCs w:val="16"/>
        </w:rPr>
        <w:tab/>
        <w:t>583  572</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51F462C7"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Время подъема</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277E46BC"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высоту</w:t>
      </w:r>
      <w:r w:rsidRPr="00271E51">
        <w:rPr>
          <w:rFonts w:ascii="Times New Roman" w:hAnsi="Times New Roman"/>
          <w:color w:val="0070C0"/>
          <w:sz w:val="16"/>
          <w:szCs w:val="16"/>
        </w:rPr>
        <w:tab/>
        <w:t>5,2</w:t>
      </w:r>
      <w:r w:rsidRPr="00271E51">
        <w:rPr>
          <w:rFonts w:ascii="Times New Roman" w:hAnsi="Times New Roman"/>
          <w:color w:val="0070C0"/>
          <w:sz w:val="16"/>
          <w:szCs w:val="16"/>
        </w:rPr>
        <w:tab/>
        <w:t>-</w:t>
      </w:r>
      <w:r w:rsidRPr="00271E51">
        <w:rPr>
          <w:rFonts w:ascii="Times New Roman" w:hAnsi="Times New Roman"/>
          <w:color w:val="0070C0"/>
          <w:sz w:val="16"/>
          <w:szCs w:val="16"/>
        </w:rPr>
        <w:tab/>
        <w:t>5,4</w:t>
      </w:r>
      <w:r w:rsidRPr="00271E51">
        <w:rPr>
          <w:rFonts w:ascii="Times New Roman" w:hAnsi="Times New Roman"/>
          <w:color w:val="0070C0"/>
          <w:sz w:val="16"/>
          <w:szCs w:val="16"/>
        </w:rPr>
        <w:tab/>
        <w:t>5,0</w:t>
      </w:r>
      <w:r w:rsidRPr="00271E51">
        <w:rPr>
          <w:rFonts w:ascii="Times New Roman" w:hAnsi="Times New Roman"/>
          <w:color w:val="0070C0"/>
          <w:sz w:val="16"/>
          <w:szCs w:val="16"/>
        </w:rPr>
        <w:tab/>
        <w:t>5,3</w:t>
      </w:r>
      <w:r w:rsidRPr="00271E51">
        <w:rPr>
          <w:rFonts w:ascii="Times New Roman" w:hAnsi="Times New Roman"/>
          <w:color w:val="0070C0"/>
          <w:sz w:val="16"/>
          <w:szCs w:val="16"/>
        </w:rPr>
        <w:tab/>
        <w:t>5,5</w:t>
      </w:r>
      <w:r w:rsidRPr="00271E51">
        <w:rPr>
          <w:rFonts w:ascii="Times New Roman" w:hAnsi="Times New Roman"/>
          <w:color w:val="0070C0"/>
          <w:sz w:val="16"/>
          <w:szCs w:val="16"/>
        </w:rPr>
        <w:tab/>
        <w:t>6</w:t>
      </w:r>
    </w:p>
    <w:p w14:paraId="326C56FD"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5000 м, мин</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015206B3"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вооружение</w:t>
      </w:r>
      <w:r w:rsidRPr="00271E51">
        <w:rPr>
          <w:rFonts w:ascii="Times New Roman" w:hAnsi="Times New Roman"/>
          <w:color w:val="0070C0"/>
          <w:sz w:val="16"/>
          <w:szCs w:val="16"/>
        </w:rPr>
        <w:tab/>
        <w:t>УБ 200</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42D7ABE3"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патронов,</w:t>
      </w:r>
      <w:r w:rsidRPr="00271E51">
        <w:rPr>
          <w:rFonts w:ascii="Times New Roman" w:hAnsi="Times New Roman"/>
          <w:color w:val="0070C0"/>
          <w:sz w:val="16"/>
          <w:szCs w:val="16"/>
        </w:rPr>
        <w:tab/>
        <w:t>СШ-20</w:t>
      </w:r>
      <w:r w:rsidRPr="00271E51">
        <w:rPr>
          <w:rFonts w:ascii="Times New Roman" w:hAnsi="Times New Roman"/>
          <w:color w:val="0070C0"/>
          <w:sz w:val="16"/>
          <w:szCs w:val="16"/>
        </w:rPr>
        <w:tab/>
        <w:t>2</w:t>
      </w:r>
      <w:r w:rsidRPr="00271E51">
        <w:rPr>
          <w:rFonts w:ascii="Times New Roman" w:hAnsi="Times New Roman"/>
          <w:color w:val="0070C0"/>
          <w:sz w:val="16"/>
          <w:szCs w:val="16"/>
        </w:rPr>
        <w:tab/>
        <w:t>2 СП-</w:t>
      </w:r>
      <w:r w:rsidRPr="00271E51">
        <w:rPr>
          <w:rFonts w:ascii="Times New Roman" w:hAnsi="Times New Roman"/>
          <w:color w:val="0070C0"/>
          <w:sz w:val="16"/>
          <w:szCs w:val="16"/>
        </w:rPr>
        <w:tab/>
        <w:t>2</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66E9F968"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1 ШВАК</w:t>
      </w:r>
      <w:r w:rsidRPr="00271E51">
        <w:rPr>
          <w:rFonts w:ascii="Times New Roman" w:hAnsi="Times New Roman"/>
          <w:color w:val="0070C0"/>
          <w:sz w:val="16"/>
          <w:szCs w:val="16"/>
        </w:rPr>
        <w:tab/>
      </w:r>
      <w:r w:rsidRPr="00271E51">
        <w:rPr>
          <w:rFonts w:ascii="Times New Roman" w:hAnsi="Times New Roman"/>
          <w:color w:val="0070C0"/>
          <w:sz w:val="16"/>
          <w:szCs w:val="16"/>
        </w:rPr>
        <w:tab/>
        <w:t>ШВА</w:t>
      </w:r>
      <w:r w:rsidRPr="00271E51">
        <w:rPr>
          <w:rFonts w:ascii="Times New Roman" w:hAnsi="Times New Roman"/>
          <w:color w:val="0070C0"/>
          <w:sz w:val="16"/>
          <w:szCs w:val="16"/>
        </w:rPr>
        <w:tab/>
        <w:t>20</w:t>
      </w:r>
      <w:r w:rsidRPr="00271E51">
        <w:rPr>
          <w:rFonts w:ascii="Times New Roman" w:hAnsi="Times New Roman"/>
          <w:color w:val="0070C0"/>
          <w:sz w:val="16"/>
          <w:szCs w:val="16"/>
        </w:rPr>
        <w:tab/>
        <w:t>СП-</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3911FD33"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70 патро-</w:t>
      </w:r>
      <w:r w:rsidRPr="00271E51">
        <w:rPr>
          <w:rFonts w:ascii="Times New Roman" w:hAnsi="Times New Roman"/>
          <w:color w:val="0070C0"/>
          <w:sz w:val="16"/>
          <w:szCs w:val="16"/>
        </w:rPr>
        <w:tab/>
      </w:r>
      <w:r w:rsidRPr="00271E51">
        <w:rPr>
          <w:rFonts w:ascii="Times New Roman" w:hAnsi="Times New Roman"/>
          <w:color w:val="0070C0"/>
          <w:sz w:val="16"/>
          <w:szCs w:val="16"/>
        </w:rPr>
        <w:tab/>
        <w:t>К</w:t>
      </w:r>
      <w:r w:rsidRPr="00271E51">
        <w:rPr>
          <w:rFonts w:ascii="Times New Roman" w:hAnsi="Times New Roman"/>
          <w:color w:val="0070C0"/>
          <w:sz w:val="16"/>
          <w:szCs w:val="16"/>
        </w:rPr>
        <w:tab/>
      </w:r>
      <w:r w:rsidRPr="00271E51">
        <w:rPr>
          <w:rFonts w:ascii="Times New Roman" w:hAnsi="Times New Roman"/>
          <w:color w:val="0070C0"/>
          <w:sz w:val="16"/>
          <w:szCs w:val="16"/>
        </w:rPr>
        <w:tab/>
        <w:t>20</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022B4F05"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нов</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52831CDA"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Самолет Ла-</w:t>
      </w:r>
      <w:r w:rsidRPr="00271E51">
        <w:rPr>
          <w:rFonts w:ascii="Times New Roman" w:hAnsi="Times New Roman"/>
          <w:color w:val="0070C0"/>
          <w:sz w:val="16"/>
          <w:szCs w:val="16"/>
        </w:rPr>
        <w:tab/>
        <w:t>Скорость</w:t>
      </w:r>
      <w:r w:rsidRPr="00271E51">
        <w:rPr>
          <w:rFonts w:ascii="Times New Roman" w:hAnsi="Times New Roman"/>
          <w:color w:val="0070C0"/>
          <w:sz w:val="16"/>
          <w:szCs w:val="16"/>
        </w:rPr>
        <w:tab/>
        <w:t>Ско-</w:t>
      </w:r>
      <w:r w:rsidRPr="00271E51">
        <w:rPr>
          <w:rFonts w:ascii="Times New Roman" w:hAnsi="Times New Roman"/>
          <w:color w:val="0070C0"/>
          <w:sz w:val="16"/>
          <w:szCs w:val="16"/>
        </w:rPr>
        <w:tab/>
        <w:t>Ско-</w:t>
      </w:r>
      <w:r w:rsidRPr="00271E51">
        <w:rPr>
          <w:rFonts w:ascii="Times New Roman" w:hAnsi="Times New Roman"/>
          <w:color w:val="0070C0"/>
          <w:sz w:val="16"/>
          <w:szCs w:val="16"/>
        </w:rPr>
        <w:tab/>
        <w:t>Время</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0AF6AD38"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5ФН</w:t>
      </w:r>
      <w:r w:rsidRPr="00271E51">
        <w:rPr>
          <w:rFonts w:ascii="Times New Roman" w:hAnsi="Times New Roman"/>
          <w:color w:val="0070C0"/>
          <w:sz w:val="16"/>
          <w:szCs w:val="16"/>
        </w:rPr>
        <w:tab/>
        <w:t>у земли,</w:t>
      </w:r>
      <w:r w:rsidRPr="00271E51">
        <w:rPr>
          <w:rFonts w:ascii="Times New Roman" w:hAnsi="Times New Roman"/>
          <w:color w:val="0070C0"/>
          <w:sz w:val="16"/>
          <w:szCs w:val="16"/>
        </w:rPr>
        <w:tab/>
        <w:t>рость на</w:t>
      </w:r>
      <w:r w:rsidRPr="00271E51">
        <w:rPr>
          <w:rFonts w:ascii="Times New Roman" w:hAnsi="Times New Roman"/>
          <w:color w:val="0070C0"/>
          <w:sz w:val="16"/>
          <w:szCs w:val="16"/>
        </w:rPr>
        <w:tab/>
        <w:t>рость</w:t>
      </w:r>
      <w:r w:rsidRPr="00271E51">
        <w:rPr>
          <w:rFonts w:ascii="Times New Roman" w:hAnsi="Times New Roman"/>
          <w:color w:val="0070C0"/>
          <w:sz w:val="16"/>
          <w:szCs w:val="16"/>
        </w:rPr>
        <w:tab/>
        <w:t>набора</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345FF58A"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км/час</w:t>
      </w:r>
      <w:r w:rsidRPr="00271E51">
        <w:rPr>
          <w:rFonts w:ascii="Times New Roman" w:hAnsi="Times New Roman"/>
          <w:color w:val="0070C0"/>
          <w:sz w:val="16"/>
          <w:szCs w:val="16"/>
        </w:rPr>
        <w:tab/>
        <w:t>высоте</w:t>
      </w:r>
      <w:r w:rsidRPr="00271E51">
        <w:rPr>
          <w:rFonts w:ascii="Times New Roman" w:hAnsi="Times New Roman"/>
          <w:color w:val="0070C0"/>
          <w:sz w:val="16"/>
          <w:szCs w:val="16"/>
        </w:rPr>
        <w:tab/>
        <w:t>на</w:t>
      </w:r>
      <w:r w:rsidRPr="00271E51">
        <w:rPr>
          <w:rFonts w:ascii="Times New Roman" w:hAnsi="Times New Roman"/>
          <w:color w:val="0070C0"/>
          <w:sz w:val="16"/>
          <w:szCs w:val="16"/>
        </w:rPr>
        <w:tab/>
        <w:t>ВЫСОТЫ</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605B91D0"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r>
      <w:r w:rsidRPr="00271E51">
        <w:rPr>
          <w:rFonts w:ascii="Times New Roman" w:hAnsi="Times New Roman"/>
          <w:color w:val="0070C0"/>
          <w:sz w:val="16"/>
          <w:szCs w:val="16"/>
        </w:rPr>
        <w:tab/>
        <w:t>5000 м.,</w:t>
      </w:r>
      <w:r w:rsidRPr="00271E51">
        <w:rPr>
          <w:rFonts w:ascii="Times New Roman" w:hAnsi="Times New Roman"/>
          <w:color w:val="0070C0"/>
          <w:sz w:val="16"/>
          <w:szCs w:val="16"/>
        </w:rPr>
        <w:tab/>
        <w:t>высоте</w:t>
      </w:r>
      <w:r w:rsidRPr="00271E51">
        <w:rPr>
          <w:rFonts w:ascii="Times New Roman" w:hAnsi="Times New Roman"/>
          <w:color w:val="0070C0"/>
          <w:sz w:val="16"/>
          <w:szCs w:val="16"/>
        </w:rPr>
        <w:tab/>
        <w:t>5000 м,</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33F5BADF"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r>
      <w:r w:rsidRPr="00271E51">
        <w:rPr>
          <w:rFonts w:ascii="Times New Roman" w:hAnsi="Times New Roman"/>
          <w:color w:val="0070C0"/>
          <w:sz w:val="16"/>
          <w:szCs w:val="16"/>
        </w:rPr>
        <w:tab/>
        <w:t>км/час</w:t>
      </w:r>
      <w:r w:rsidRPr="00271E51">
        <w:rPr>
          <w:rFonts w:ascii="Times New Roman" w:hAnsi="Times New Roman"/>
          <w:color w:val="0070C0"/>
          <w:sz w:val="16"/>
          <w:szCs w:val="16"/>
        </w:rPr>
        <w:tab/>
        <w:t>6000м.</w:t>
      </w:r>
      <w:r w:rsidRPr="00271E51">
        <w:rPr>
          <w:rFonts w:ascii="Times New Roman" w:hAnsi="Times New Roman"/>
          <w:color w:val="0070C0"/>
          <w:sz w:val="16"/>
          <w:szCs w:val="16"/>
        </w:rPr>
        <w:tab/>
        <w:t>МИН.</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750EBC79"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t>км/час</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51616864"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597</w:t>
      </w:r>
      <w:r w:rsidRPr="00271E51">
        <w:rPr>
          <w:rFonts w:ascii="Times New Roman" w:hAnsi="Times New Roman"/>
          <w:color w:val="0070C0"/>
          <w:sz w:val="16"/>
          <w:szCs w:val="16"/>
        </w:rPr>
        <w:tab/>
        <w:t>620</w:t>
      </w:r>
      <w:r w:rsidRPr="00271E51">
        <w:rPr>
          <w:rFonts w:ascii="Times New Roman" w:hAnsi="Times New Roman"/>
          <w:color w:val="0070C0"/>
          <w:sz w:val="16"/>
          <w:szCs w:val="16"/>
        </w:rPr>
        <w:tab/>
        <w:t>640</w:t>
      </w:r>
      <w:r w:rsidRPr="00271E51">
        <w:rPr>
          <w:rFonts w:ascii="Times New Roman" w:hAnsi="Times New Roman"/>
          <w:color w:val="0070C0"/>
          <w:sz w:val="16"/>
          <w:szCs w:val="16"/>
        </w:rPr>
        <w:tab/>
        <w:t>4,7</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20EE96AD"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2066. On. 9. Д. 877. Л. 1.</w:t>
      </w:r>
    </w:p>
    <w:p w14:paraId="7C173639"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Подлинник. Машинопись (20953).</w:t>
      </w:r>
    </w:p>
    <w:p w14:paraId="21881E92" w14:textId="77777777" w:rsidR="00171372" w:rsidRPr="00271E51" w:rsidRDefault="00171372" w:rsidP="00271E51">
      <w:pPr>
        <w:spacing w:after="0" w:line="240" w:lineRule="auto"/>
        <w:jc w:val="both"/>
        <w:rPr>
          <w:rFonts w:ascii="Times New Roman" w:hAnsi="Times New Roman"/>
          <w:color w:val="0070C0"/>
          <w:sz w:val="16"/>
          <w:szCs w:val="16"/>
        </w:rPr>
      </w:pPr>
    </w:p>
    <w:p w14:paraId="6848C760" w14:textId="77777777" w:rsidR="00635F63" w:rsidRPr="00271E51" w:rsidRDefault="00635F6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прогнозу очередной вариант доработанного мотора М-107А должен был поступить на совмест</w:t>
      </w:r>
      <w:r w:rsidRPr="00271E51">
        <w:rPr>
          <w:color w:val="000000" w:themeColor="text1"/>
          <w:sz w:val="16"/>
          <w:szCs w:val="16"/>
        </w:rPr>
        <w:softHyphen/>
        <w:t>ные стендовые ресурсные испытания в августе месяце. Соответственно, выход на заводские испы</w:t>
      </w:r>
      <w:r w:rsidRPr="00271E51">
        <w:rPr>
          <w:color w:val="000000" w:themeColor="text1"/>
          <w:sz w:val="16"/>
          <w:szCs w:val="16"/>
        </w:rPr>
        <w:softHyphen/>
        <w:t>тания опытных Як-1 и Як-9у с М-107А ожидался не ранее октября — ноября 1943 г. (17500)</w:t>
      </w:r>
    </w:p>
    <w:p w14:paraId="4B15A34A" w14:textId="77777777" w:rsidR="00635F63" w:rsidRPr="00271E51" w:rsidRDefault="00635F63" w:rsidP="00271E51">
      <w:pPr>
        <w:spacing w:after="0" w:line="240" w:lineRule="auto"/>
        <w:jc w:val="both"/>
        <w:rPr>
          <w:rFonts w:ascii="Times New Roman" w:hAnsi="Times New Roman"/>
          <w:color w:val="000000" w:themeColor="text1"/>
          <w:sz w:val="16"/>
          <w:szCs w:val="16"/>
        </w:rPr>
      </w:pPr>
    </w:p>
    <w:p w14:paraId="18261990" w14:textId="77777777" w:rsidR="00E36137" w:rsidRPr="00271E51" w:rsidRDefault="00E36137"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начале июля 1943 года вышло постановление ГКО о разработке авиапушки калибра 45 мм. На тот момент для борьбы с бронетехникой с воздуха оптимальным считалось именно пушечное вооружение. Но в попытке «догнать» эволюцию бронезащиты простым наращиванием могущества авиапушки, явно не учитывались возможности потенциальных носителей этих пушек (19200).</w:t>
      </w:r>
    </w:p>
    <w:p w14:paraId="08AF6E53" w14:textId="77777777" w:rsidR="00E36137" w:rsidRPr="00271E51" w:rsidRDefault="00E36137"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D2824CB"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8185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572AFD"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1942 стало совсем не до проектных танков: вместо Малышева на должность наркома танковой промышленности назначили И.М. Зальцмана, получившего задачу резко нарастить выпуск Т-34. Ради обеспечения выпуска Т-34 в Челябинске сильно «подвинули» КВ-1 и сменивший его на производстве </w:t>
      </w:r>
      <w:hyperlink r:id="rId14" w:history="1">
        <w:r w:rsidRPr="00271E51">
          <w:rPr>
            <w:rStyle w:val="a5"/>
            <w:rFonts w:ascii="Times New Roman" w:hAnsi="Times New Roman"/>
            <w:color w:val="000000" w:themeColor="text1"/>
            <w:sz w:val="16"/>
            <w:szCs w:val="16"/>
            <w:u w:val="none"/>
          </w:rPr>
          <w:t>КВ-1с</w:t>
        </w:r>
      </w:hyperlink>
      <w:r w:rsidRPr="00271E51">
        <w:rPr>
          <w:rFonts w:ascii="Times New Roman" w:hAnsi="Times New Roman"/>
          <w:color w:val="000000" w:themeColor="text1"/>
          <w:sz w:val="16"/>
          <w:szCs w:val="16"/>
        </w:rPr>
        <w:t>, а КВ-13 на несколько месяцев исчез из программы разработки. Что же касается Т-34М, или Т-44, то он и вовсе исчез из плана опытных работ. На его месте появился другой танк, являвшийся прямым развитием Т-34М/Т-44, но носивший совсем другой индекс (18420).</w:t>
      </w:r>
    </w:p>
    <w:p w14:paraId="431931F5"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389E5C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года были готовы два опытных ИСa, №1 - с пушкой С-31 и №2 с Д-5Т..</w:t>
      </w:r>
    </w:p>
    <w:p w14:paraId="2E43B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в ходе эскизных проработок компоновки танка ИС с 85-мм пушкой выяснилось, что при диаметре башенного погона 1535 мм установить такое орудие без резкого ухудшения условий работы экипажа не представляется возможным. Поэтому погон решили расширить до 1800 мм за счет увеличения объема боевого отделения и, соответственно, длины танка на 420 мм..</w:t>
      </w:r>
    </w:p>
    <w:p w14:paraId="778F99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длина корпуса между вторым и третьим опорными катками существенно возросла в ходовую часть танка пришлось добавить шестой опорный каток (на каждый борт). Под увеличенный диаметр погона на заводе №200 отлили новую башню. Все эти изменения привели к росту массы танка до 44 тонн, снижению удельной мощности и ухудшению динамических характеристик..</w:t>
      </w:r>
    </w:p>
    <w:p w14:paraId="5B0EE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Такова была плата за более мощное вооружение. Танк с 85-мм пушкой получил обозначение "объект 237". (3862).</w:t>
      </w:r>
    </w:p>
    <w:p w14:paraId="668E52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F7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работой над "объектом 237" на ЧКЗ изготовили и два эскизных проекта установки 85-мм пушки на танк KB-1с. Первый вариант - "объект 238" - представлял собой серийный KB-1с с пушкой С-31 в штатной башне, второй - " объект 239" - получил башню от "объекта 237" с пушкой Д- 5Т. (3862).</w:t>
      </w:r>
    </w:p>
    <w:p w14:paraId="09860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34C4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 xml:space="preserve">В начале июля </w:t>
      </w:r>
      <w:r w:rsidRPr="00271E51">
        <w:rPr>
          <w:rFonts w:ascii="Times New Roman" w:hAnsi="Times New Roman"/>
          <w:color w:val="000000" w:themeColor="text1"/>
          <w:sz w:val="16"/>
          <w:szCs w:val="16"/>
        </w:rPr>
        <w:t xml:space="preserve">1943 </w:t>
      </w:r>
      <w:r w:rsidRPr="00271E51">
        <w:rPr>
          <w:rFonts w:ascii="Times New Roman" w:hAnsi="Times New Roman"/>
          <w:noProof/>
          <w:color w:val="000000" w:themeColor="text1"/>
          <w:sz w:val="16"/>
          <w:szCs w:val="16"/>
        </w:rPr>
        <w:t>были изготовлены четы</w:t>
      </w:r>
      <w:r w:rsidRPr="00271E51">
        <w:rPr>
          <w:rFonts w:ascii="Times New Roman" w:hAnsi="Times New Roman"/>
          <w:noProof/>
          <w:color w:val="000000" w:themeColor="text1"/>
          <w:sz w:val="16"/>
          <w:szCs w:val="16"/>
        </w:rPr>
        <w:softHyphen/>
        <w:t>ре варианта опытных танков с 85-мм пушка</w:t>
      </w:r>
      <w:r w:rsidRPr="00271E51">
        <w:rPr>
          <w:rFonts w:ascii="Times New Roman" w:hAnsi="Times New Roman"/>
          <w:noProof/>
          <w:color w:val="000000" w:themeColor="text1"/>
          <w:sz w:val="16"/>
          <w:szCs w:val="16"/>
        </w:rPr>
        <w:softHyphen/>
        <w:t>ми: два танка ИС с увеличенными башнями и пушками С-31 (ИС №1) и Д-5Т (ИС №2), два КВ-1С (с пушкой С-31 в штатной башне и с пушкой Д-5Т в увеличенной башне). За</w:t>
      </w:r>
      <w:r w:rsidRPr="00271E51">
        <w:rPr>
          <w:rFonts w:ascii="Times New Roman" w:hAnsi="Times New Roman"/>
          <w:noProof/>
          <w:color w:val="000000" w:themeColor="text1"/>
          <w:sz w:val="16"/>
          <w:szCs w:val="16"/>
        </w:rPr>
        <w:softHyphen/>
        <w:t>водские испытания всех четырех вариантов были проведены в течение июля 1943 г. Луч</w:t>
      </w:r>
      <w:r w:rsidRPr="00271E51">
        <w:rPr>
          <w:rFonts w:ascii="Times New Roman" w:hAnsi="Times New Roman"/>
          <w:noProof/>
          <w:color w:val="000000" w:themeColor="text1"/>
          <w:sz w:val="16"/>
          <w:szCs w:val="16"/>
        </w:rPr>
        <w:softHyphen/>
        <w:t>шие результаты оказались у танков с пуш</w:t>
      </w:r>
      <w:r w:rsidRPr="00271E51">
        <w:rPr>
          <w:rFonts w:ascii="Times New Roman" w:hAnsi="Times New Roman"/>
          <w:noProof/>
          <w:color w:val="000000" w:themeColor="text1"/>
          <w:sz w:val="16"/>
          <w:szCs w:val="16"/>
        </w:rPr>
        <w:softHyphen/>
        <w:t>кой Д-5Т. Они получили наименование, со</w:t>
      </w:r>
      <w:r w:rsidRPr="00271E51">
        <w:rPr>
          <w:rFonts w:ascii="Times New Roman" w:hAnsi="Times New Roman"/>
          <w:noProof/>
          <w:color w:val="000000" w:themeColor="text1"/>
          <w:sz w:val="16"/>
          <w:szCs w:val="16"/>
        </w:rPr>
        <w:softHyphen/>
        <w:t>ответственно, КВ-85 и ИС-85. Варианты тан</w:t>
      </w:r>
      <w:r w:rsidRPr="00271E51">
        <w:rPr>
          <w:rFonts w:ascii="Times New Roman" w:hAnsi="Times New Roman"/>
          <w:noProof/>
          <w:color w:val="000000" w:themeColor="text1"/>
          <w:sz w:val="16"/>
          <w:szCs w:val="16"/>
        </w:rPr>
        <w:softHyphen/>
        <w:t>ков с пушкой С-31 забраковали. 31 июля танки КВ-85 и ИС-85 направили на госиспы</w:t>
      </w:r>
      <w:r w:rsidRPr="00271E51">
        <w:rPr>
          <w:rFonts w:ascii="Times New Roman" w:hAnsi="Times New Roman"/>
          <w:noProof/>
          <w:color w:val="000000" w:themeColor="text1"/>
          <w:sz w:val="16"/>
          <w:szCs w:val="16"/>
        </w:rPr>
        <w:softHyphen/>
        <w:t>тания в Кубинку. По результатам испытаний оба образца были рекомендованы комисси</w:t>
      </w:r>
      <w:r w:rsidRPr="00271E51">
        <w:rPr>
          <w:rFonts w:ascii="Times New Roman" w:hAnsi="Times New Roman"/>
          <w:noProof/>
          <w:color w:val="000000" w:themeColor="text1"/>
          <w:sz w:val="16"/>
          <w:szCs w:val="16"/>
        </w:rPr>
        <w:softHyphen/>
        <w:t>ей к принятию на вооружение</w:t>
      </w:r>
      <w:r w:rsidRPr="00271E51">
        <w:rPr>
          <w:rFonts w:ascii="Times New Roman" w:hAnsi="Times New Roman"/>
          <w:color w:val="000000" w:themeColor="text1"/>
          <w:sz w:val="16"/>
          <w:szCs w:val="16"/>
        </w:rPr>
        <w:t xml:space="preserve"> (11897)</w:t>
      </w:r>
      <w:r w:rsidRPr="00271E51">
        <w:rPr>
          <w:rFonts w:ascii="Times New Roman" w:hAnsi="Times New Roman"/>
          <w:noProof/>
          <w:color w:val="000000" w:themeColor="text1"/>
          <w:sz w:val="16"/>
          <w:szCs w:val="16"/>
        </w:rPr>
        <w:t>.</w:t>
      </w:r>
    </w:p>
    <w:p w14:paraId="6632D853"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p>
    <w:p w14:paraId="47A1C464" w14:textId="77777777" w:rsidR="008E68A0" w:rsidRPr="00271E51" w:rsidRDefault="008E68A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Начало июля 1943 мытищенский завод № 40 встретил, имея задел из 22 танков. Фактически за июль собрали всего 3 новых танка, остальные доводились. В задел попало и 11 танков апреля-мая 1943 года, которые подверглись серьёзной доработке. Этот факт привёл к ошибке в оценке числа выпущенных заводом №40 Т-80. В июле произошли и первые отправки: 6 Т-80 ушло в Горьковское танковое училище, ещё 5 машин — в Сызранское танковое училище. Отправлять в боевые части самые первые Т-80 руководство РККА не решилось.</w:t>
      </w:r>
    </w:p>
    <w:p w14:paraId="23F7FACF" w14:textId="77777777" w:rsidR="008E68A0" w:rsidRPr="00271E51" w:rsidRDefault="008E68A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Массовое производство началось только в августе, когда было сдано 40 танков. Но уже после Курской битвы руководство ГАБТУ КА пришло к выводу, что далее производить Т-70 и Т-80 нет смысла. Согласно постановлению ГКО №3964сс от 21 августа 1943 года, с 1 сентября производство Т-80 на заводе №40 прекратилось. Завод приступил к выпуску СУ-15М (СУ-76М). Общий объём выпуска Т-80 в Мытищах составил 66 танков. С учётом 8 Т-80 на ГАЗ им. Молотова, из которых, правда, не все были приняты заказчиком, а также 2 опытных Т-80, получается, что было построено 76 Т-80. При этом завод №176 успел изготовить 334 комплекта корпусов и башен. Несмотря на все проблемы, машина получилась вполне удачная. Её создатели во главе с Н.А. Астровым вполне заслуженно стали обладателями Сталинской премии второй степени за 1943 год. Они явно не были виноваты, что время лёгких танков в их традиционном понимании подошло к концу (17712).</w:t>
      </w:r>
    </w:p>
    <w:p w14:paraId="7B5D9FCD" w14:textId="77777777" w:rsidR="008E68A0" w:rsidRPr="00271E51" w:rsidRDefault="008E68A0" w:rsidP="00271E51">
      <w:pPr>
        <w:pStyle w:val="ae"/>
        <w:shd w:val="clear" w:color="auto" w:fill="FFFFFF"/>
        <w:spacing w:before="0" w:after="0"/>
        <w:jc w:val="both"/>
        <w:rPr>
          <w:color w:val="000000" w:themeColor="text1"/>
          <w:sz w:val="16"/>
          <w:szCs w:val="16"/>
        </w:rPr>
      </w:pPr>
    </w:p>
    <w:p w14:paraId="51C87C0D" w14:textId="77777777" w:rsidR="00953CBB" w:rsidRPr="00271E51" w:rsidRDefault="00953CBB" w:rsidP="00271E51">
      <w:pPr>
        <w:pStyle w:val="book"/>
        <w:ind w:firstLine="0"/>
        <w:jc w:val="both"/>
        <w:rPr>
          <w:color w:val="000000" w:themeColor="text1"/>
          <w:sz w:val="16"/>
          <w:szCs w:val="16"/>
        </w:rPr>
      </w:pPr>
      <w:r w:rsidRPr="00271E51">
        <w:rPr>
          <w:color w:val="000000" w:themeColor="text1"/>
          <w:sz w:val="16"/>
          <w:szCs w:val="16"/>
        </w:rPr>
        <w:t>К началу июля 1943 г. в распоряжении 13-й армии Центрального фронта имелось 16 СУ-76 на трофейном шасси, причем в ходе оборонительных боев было потеряно восемь таких машин (три сгорели). Воронежский фронт также имел некоторое количество СУ-76И, но в отчете фронта на начало боев дано лишь суммарное количество всех САУ с 76-мм пушкой (33 штуки). В ходе наступления на Орел Центральный фронт был усилен двумя самоходно-артиллерийскими полками, один из которых также имел машины на трофейном шасси (16 СУ-76И и один танк Pz. Kpfw. III) (15225).</w:t>
      </w:r>
    </w:p>
    <w:p w14:paraId="134BCCE0" w14:textId="77777777" w:rsidR="00953CBB" w:rsidRPr="00271E51" w:rsidRDefault="00953CBB" w:rsidP="00271E51">
      <w:pPr>
        <w:pStyle w:val="book"/>
        <w:ind w:firstLine="0"/>
        <w:jc w:val="both"/>
        <w:rPr>
          <w:color w:val="000000" w:themeColor="text1"/>
          <w:sz w:val="16"/>
          <w:szCs w:val="16"/>
        </w:rPr>
      </w:pPr>
    </w:p>
    <w:p w14:paraId="5DFF7228" w14:textId="77777777" w:rsidR="008E68A0" w:rsidRPr="00271E51" w:rsidRDefault="008E68A0"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 начале июля 1943 года на УЗТМ приступили к работам по переделке системы С-18. При проектировании системы, получившей обозначение С-18-1, максимально учитывался опыт разработки орудий семейства Д-5. В результате орудийная установка оказалась частично унифицированной с Д-5С-85, в том числе по элементам рамки и неподвижной бронировки. Наиболее существенным внешним отличием систем стала подвижная бронировка. Из-за особенностей конструкции системы форма бронировки изменилась, также в ней появился лючок для обслуживания гидравлики откатной системы. Кроме того, высота линии огня немного увеличилась, </w:t>
      </w:r>
      <w:r w:rsidRPr="00271E51">
        <w:rPr>
          <w:color w:val="000000" w:themeColor="text1"/>
          <w:sz w:val="16"/>
          <w:szCs w:val="16"/>
        </w:rPr>
        <w:lastRenderedPageBreak/>
        <w:t>достигнув 1635 мм.</w:t>
      </w:r>
    </w:p>
    <w:p w14:paraId="2BCB5EFF" w14:textId="77777777" w:rsidR="008E68A0" w:rsidRPr="00271E51" w:rsidRDefault="008E68A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Боевое отделение СУ-85-I было идентичным боевому отделению СУ-85-IV. Тем не менее, более рациональная конструкция системы С-18-1 благотворно повлияла на целый ряд характеристик. Для начала, боевая масса машины снизилась с 30 до 29,66 тонн. Благодаря более компактной орудийной установке общая длина машины уменьшилась с 8320 до 8130 мм. Кроме того, толщина неподвижной бронировки системы увеличилась с 30-45 до 52 мм, при этом её масса снизилась с 860 до 500 килограмм. Масса С-18-1 без бронировки составила 1160 килограмм. Для сравнения: масса С-18 составляла 1310, а Д-5С-85 — 1215 килограмм.</w:t>
      </w:r>
    </w:p>
    <w:p w14:paraId="340816C8" w14:textId="77777777" w:rsidR="008E68A0" w:rsidRPr="00271E51" w:rsidRDefault="008E68A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ходе обсуждения проекта системы Д-5С-85 комиссия не нашла каких-то серьёзных недостатков. Благодаря меньшим габаритным размерам и массе появлялась возможность более рационально разместить орудие в СУ-85. Самоходная установка с системой разработки КБ завода №9 получила обозначение СУ-85-II. Она оказалась максимально унифицированной с СУ-85-I и СУ-85-IV. Экипаж машины также состоял из 5 человек. Боевая масса СУ-85-II составила 29,15 тонн, то есть она оказалась самой лёгкой.</w:t>
      </w:r>
    </w:p>
    <w:p w14:paraId="355ECEB3" w14:textId="77777777" w:rsidR="008E68A0" w:rsidRPr="00271E51" w:rsidRDefault="008E68A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Выполнить в срок требования постановления ГКО №3289 не удалось. Окончательная доработка проектов СУ-85 велась вплоть до 10-х чисел июля. Опытные образцы самоходных установок удалось построить к 20 июля, на Гороховецкий АНИОП машины прибыли к 25 июля, тогда же начались и их испытания. Сначала САУ прошли технический осмотр и были доукомплектованы для получения полной боевой массы (17704).</w:t>
      </w:r>
    </w:p>
    <w:p w14:paraId="112C6CEA" w14:textId="77777777" w:rsidR="008E68A0" w:rsidRPr="00271E51" w:rsidRDefault="008E68A0" w:rsidP="00271E51">
      <w:pPr>
        <w:spacing w:after="0" w:line="240" w:lineRule="auto"/>
        <w:jc w:val="both"/>
        <w:rPr>
          <w:rFonts w:ascii="Times New Roman" w:hAnsi="Times New Roman"/>
          <w:color w:val="000000" w:themeColor="text1"/>
          <w:sz w:val="16"/>
          <w:szCs w:val="16"/>
        </w:rPr>
      </w:pPr>
    </w:p>
    <w:p w14:paraId="705B163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июля 1943 года сложная ситуация сложилась на московской станции Черкизово, куда прибывали эшелоны с трофейными танками и самоходками для завода № 37. Станция оказалась буквально забитой платформами с бронетехникой, причём многие машины были в весьма плачевном состоянии. Ситуация усугублялась тем, что в Черкизово не было железнодорожных кранов большой грузоподъёмности, пригодных для разгрузки танков (12688).</w:t>
      </w:r>
    </w:p>
    <w:p w14:paraId="71700136"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70EB6E8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1943-го на ЯГАЗ начали поступать вагоны с силовыми агрегатами GМС-4-71 и запчастями к ним. До этого как невоенный груз они задерживались во Владивостоке, И тут выяснилось, что силовой агрегат GМС (дизель 4-71, главный фрикцион "Лонг-32", 5-ступенчатая КП "Спайсер-5553") по своим энергетическим и массо-габаритным показателям как нельзя лучше подходил под установку на тягач Я-11. Быстро, в течение двух недель, сделали компоновку тягача с новым двигателем и выпустили основные рабочие чертежи по его установке, оборудованию вспомогательными системами и по неизбежным переделкам трансмиссии.</w:t>
      </w:r>
    </w:p>
    <w:p w14:paraId="12FBF8E7"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Силовой агрегат GМС удачно разместили со сдвигом от центра вправо на 100 мм и с наклоном назад на 4°. Впереди смонтировали новый большой радиатор пластинчатого типа с диффузором (подобный ставился на грузовики ЯГ-6), а водомаслорадиатор уже входил в состав двигателя, что было тогда большой редкостью. На щитке приборов появился отсутствовавший ранее аэротермометр. Питание двигателя теперь происходило из двух баков: основного (124 л) и резервного (176 л). Топливо подвергалось двойной фильтрации (и еще сверхтонкой - в насос-форсунках) - иначе двигатель GМС не мог работать. Вместе с ним поставлялись и два более эффективных пылеемких воздушных фильтра, обеспечивающих почти 100% очистку.</w:t>
      </w:r>
    </w:p>
    <w:p w14:paraId="678870E2"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задней части шасси установили одну главную передачу с двумя механизмами поворота и тормозами, теперь полностью унифицированную с Т-70М и СУ-76М, кроме передаточного числа. Его пришлось уменьшить до 1,000 - по сравнению с Я-11, частота вращения коленчатого вала двигателя СМС также уменьшилась на 40%, зато момент на выходе из КП возрос на 36%.</w:t>
      </w:r>
    </w:p>
    <w:p w14:paraId="785F8C6D"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из-за возросшей полной массы нового тягача (более, чем на тонну) клиренс его уменьшился на 53 мм. Заднее буксирное приспособление было поднято на 25 мм для приведения его в соответствие с новыми прицепными системами. Размеры деревянной с металлической окантовкой грузовой платформы пришлось уменьшить - площадь пола теперь составляла 3,37 м2, а объем кузова - 2,02 м3. Ящики для ЗИПа вынесли наружу за пределы платформы, что и заставило значительно уменьшить ее внутреннюю ширину. На количестве перевозимого груза и численности орудийного расчета это не отразилось - те же ящики с боекомплектом и 8 - 10 бойцов.</w:t>
      </w:r>
    </w:p>
    <w:p w14:paraId="049B3B3F"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значительно возросшей мощности двигателя (и удельной мощности - на 13%) максимальная скорость движения (на пятой передаче) без прицепа на дорогах с твердым покрытием увеличилась до 37 м/ч, но максимальное расчетное тяговое усилие уменьшилось на 12%. Так как на Я-11 тяговое усилие было излишним и не реализовывалось полностью по сцеплению с грунтом, то и на новой машине его оказалось достаточно для буксирования 8-тонных арт- систем (15646).</w:t>
      </w:r>
    </w:p>
    <w:p w14:paraId="523C86EC"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7710FD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вышло постановление ГКО N 3686сс "О мероприятиях по организации производства радиолокационной аппаратуры" (1566,253).</w:t>
      </w:r>
    </w:p>
    <w:p w14:paraId="61EA4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7C2D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8EA4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D5B5AD"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К началу июля 1943 г. под впечатлением мнимых майско-июньских «успехов» командование ВВС Красной армии подготовило очередную, уже третью подряд масштабную операцию по атакам немецких аэродромов. Общий замысел ее состоял в том, чтобы накануне предполагаемого немецкого наступления в районе Курского выступа взять и ударить сразу по всем авиабазам люфтваффе, дабы «намного ослабить группировку врага». Для участия в ней командующие 2-й и 17-й воздушными армиями решили задействовать не менее сотни Ил-2 и в два раза больше истребителей сопровождения.</w:t>
      </w:r>
    </w:p>
    <w:p w14:paraId="4AA772A2"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Сигналом к началу массированной атаки должны были стать «очевидные признаки подготовки противника к наступлению», а именно перебазирование немецких самолетов на прифронтовые аэродромы. И таковое после томительного ожидания началось вечером 4 июля. Советские наземные наблюдатели и разведчики ночью наперебой докладывали о массовом перелете разных типов самолетов, шуме двигателей и других признаках приготовлений. После этого советское командование решило, что час пробил. Так, командующий Воронежским фронтом генерал-полковник Н. Ф. Ватутин лично санкционировал удар 2-й воздушной армии по аэродромам. Воздушная операция должна была начаться с рассветом 5 июля.</w:t>
      </w:r>
    </w:p>
    <w:p w14:paraId="14E580F4"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Всю ночь на аэродромах кипела работа, механики готовили «горбатых» к вылету, подвешивали бомбы и «эрэсы». Командиры полков и эскадрилий изучали аэрофотоснимки авиабаз, взлетных площадок и основные ориентиры. Все цели были поделены между ударными группами. Так, 237-й шап должен был «накрыть» аэродромы Основа и Харьков-Рогань, 266-я, 291-я и 292-я шад наносили удар по аэродромам Харьков-Сокольники, Микояновка и Померки, а Илы из 17-й воздушной армии взяли на себя Барвенково и Краматорск. Для атаки каждой цели выделялись группы по восемнадцать штурмовиков (19522).</w:t>
      </w:r>
    </w:p>
    <w:p w14:paraId="4390CAC9" w14:textId="77777777" w:rsidR="00E36137" w:rsidRPr="00271E51" w:rsidRDefault="00E36137" w:rsidP="00271E51">
      <w:pPr>
        <w:pStyle w:val="12a"/>
        <w:shd w:val="clear" w:color="auto" w:fill="auto"/>
        <w:spacing w:after="0" w:line="240" w:lineRule="auto"/>
        <w:jc w:val="both"/>
        <w:rPr>
          <w:color w:val="000000" w:themeColor="text1"/>
          <w:sz w:val="16"/>
          <w:szCs w:val="16"/>
        </w:rPr>
      </w:pPr>
    </w:p>
    <w:p w14:paraId="24C05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четыре из пяти штаффелей Hs 129 под общим командованием капитана Мейера приняли участие в операции "Zitadelle". Все штаффели Hs 129, сосредоточенные против советских бронетанковых сил, вошли в созданную специальную руководящую структуру, известную как Fuhrer der Panzer Jager (командование истребителей танков), для руководства различными частями. Кроме 4 и 8/SchG 1, 4 и 8/SchG 2 и Pz.Jag JG 51 с Hs 129, другими частями в его составе были 1/ZG 1 с Bf 110, Pz.Jag.Staffel и Staffel 92 с Ju 88P-1 (3188).</w:t>
      </w:r>
    </w:p>
    <w:p w14:paraId="02257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A6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1943-го с целью обеспечения эффективной авиационной поддержки войск в операции "Цитадель" было сформировано специальное "Боевое соединение Купфер", в состав которого вошли I./StG3, H./StG77 и группа истребителей-бомбардировщиков III./JG3. Кроме того, к боям под Курском привлекались StGl, III./StG3, StG2, I. и III./StG77 и Sch.Gl.</w:t>
      </w:r>
    </w:p>
    <w:p w14:paraId="39175D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Противотанковые Ju87G-1 состояли на вооружении всего двух эскадрилий - 10.(Pz)/StG2 и 10.(Pz)7StGl.</w:t>
      </w:r>
    </w:p>
    <w:p w14:paraId="5058E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немецким данным, на начальной фазе сражения немецким противотанковым "хеншелям" и "юнкерсам" удалось достичь серьезных успехов (9084).</w:t>
      </w:r>
    </w:p>
    <w:p w14:paraId="7D90B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00A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г. летчиков французской эскадрильи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5219C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42F9FB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50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июля 1943 года в распоряжении 13-й армии Центрального фронта имелось 16 СУ-76 на трофейном шасси, причем в ходе оборонительных боев было потеряно восемь таких машин (три сгорели). Воронежский фронт также имел некоторое количество СУ-76И, но в отчете фронта на начало боев дано лишь суммарное количество всех САУ с 76-мм пушкой (33 штуки). Известно также, что в ходе наступления на Орел Центральный фронт был усилен двумя самоходно-артиллерийскими полками, один из которых также имел машины на трофейном шасси (16 СУ-76И и один танк PzKpfwIII) (9695).</w:t>
      </w:r>
    </w:p>
    <w:p w14:paraId="27DA8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7CD3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началу июля 1943 г. в распоряжении 13-й армии Центрального фронта имелось 16 СУ-76 на трофейном шасси, причем в ходе оборонительных боев было потеряно восемь таких машин (три сгорели). Воронежский фронт также имел некоторое количество СУ-76И, но в отчете фронта на начало боев дано лишь суммарное количество всех САУ с 76-мм пушкой (33 штуки). В ходе наступления на Орел Центральный фронт был усилен двумя самоходно-артиллерийскими полками, один из </w:t>
      </w:r>
      <w:r w:rsidRPr="00271E51">
        <w:rPr>
          <w:rFonts w:ascii="Times New Roman" w:hAnsi="Times New Roman"/>
          <w:color w:val="000000" w:themeColor="text1"/>
          <w:sz w:val="16"/>
          <w:szCs w:val="16"/>
        </w:rPr>
        <w:lastRenderedPageBreak/>
        <w:t>которых также имел машины на трофейном шасси (16 СУ-76И и один танк Pz. KpfwIII). 2 августа 1943 г. в 5-ю гвардейскую армию прибыл 1902-й самоходио-артиллерийский полк в составе пятнадцати СУ-76И. До 14 августа полк в бой не вводился, а занимался ремонтом САУ и ждал пополнения автотранспортом (первоначально количество автомобилей в полку составляло 10 % от штатной численности). В это же время на укомплектование полка поступило пять СУ-122. С 14 по 31 августа полк участвовал в пяти боях (в среднем на 2—3 боя больше, чем любой другой полк армии). За этот период самоходчики уничтожили 2 танка, 9 орудий, 12 пулеметов и до 250 вражеских солдат и офицеров. Согласно докладу командира полка от 1 сентября, «все машины, участвовавшие в ггоедыдущих боях, имеют повреждения. Отдельные машины восстанавливались по нескольку раз, вся матчасть СУ-76 (на базе Pz. ГП) изношена и находится в плохом состоянии. Полк был постоянно недоукомплектован, подготовка личного состава — удовлетворительная». В сентябре 1943 г. полк участвовал в 14 боях, в которые одновременно вводилось от двух до семи машин СУ-76И. Своим огнем самоходки оказывали существенную помощь пехоте при отражении атак противника (12687).</w:t>
      </w:r>
    </w:p>
    <w:p w14:paraId="7458AF2A"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944C596" w14:textId="77777777" w:rsidR="003F60E5" w:rsidRPr="00271E51" w:rsidRDefault="003F60E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начале июля 1943 года сформированный 1902-й самоходно-артиллерийский полк (сап) стал первой такой частью, укомплектованной СУ-76и. Полк получил 15 СУ-76И, которые распределили по трём батареям (пять машин в каждой). Боевой дебют машин на трофейной базе состоялся 14 августа 1943 года, к тому времени полк был усилен батареей из пяти СУ-122.</w:t>
      </w:r>
    </w:p>
    <w:p w14:paraId="2E5CD18D" w14:textId="77777777" w:rsidR="003F60E5" w:rsidRPr="00271E51" w:rsidRDefault="003F60E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Действуя в составе 5-й гвардейской армии, 1902-й сап атаковал высоту 202,4 в районе Лозовая-Крысино. В ходе ночной контратаки немцы смогли выбить советские подразделения с высоты, но 1902-й САП выбил немцев оттуда повторной атакой. В бою отличился экипаж лейтенанта Н.П. Алексеева, который подбил один средний танк, уничтожил одну противотанковую пушку и до взвода немецкой пехоты. Ответным огнём была подбита одна СУ-76И.</w:t>
      </w:r>
    </w:p>
    <w:p w14:paraId="39DFE1B2" w14:textId="77777777" w:rsidR="003F60E5" w:rsidRPr="00271E51" w:rsidRDefault="003F60E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Полк весьма успешно действовал в связке с 33-м гвардейским стрелковым корпусом и 57-м танковым полком. Несмотря на то, что матчасть вела себя довольно капризно, на фронте 1902-й сап находился вплоть до ноября 1943 года. Он принял самое активное участие в освобождении Кременчуга (18090).</w:t>
      </w:r>
    </w:p>
    <w:p w14:paraId="5CE22A7A" w14:textId="77777777" w:rsidR="003F60E5" w:rsidRPr="00271E51" w:rsidRDefault="003F60E5" w:rsidP="00271E51">
      <w:pPr>
        <w:pStyle w:val="ae"/>
        <w:shd w:val="clear" w:color="auto" w:fill="FFFFFF"/>
        <w:spacing w:before="0" w:after="0"/>
        <w:jc w:val="both"/>
        <w:rPr>
          <w:color w:val="000000" w:themeColor="text1"/>
          <w:sz w:val="16"/>
          <w:szCs w:val="16"/>
        </w:rPr>
      </w:pPr>
    </w:p>
    <w:p w14:paraId="6B8468B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1B2A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17B1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года начальник 10 Гл. управления Тарасевич писал письмо N 1714 Шахурину.</w:t>
      </w:r>
    </w:p>
    <w:p w14:paraId="21003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по вопросу возобновления на заводе N 1 выпуска самолетов Ил-2 в варианте корректировщика:</w:t>
      </w:r>
    </w:p>
    <w:p w14:paraId="1FF04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Выпуск корректировщиков Ил-2 может быть возобновлен только с августа из-за отсутствия задела, так как задел и обеспечение готовыми изделиями по этому типу самолета производились в пределах программы установленной ГОКО.</w:t>
      </w:r>
    </w:p>
    <w:p w14:paraId="61030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Учитывая, что заводу N 1 во 2-ом полугодии предстоит освоение и выпуск Ил-2 в варианте истребителя, возможно принять до конца года заказ на изготовление не более 125-ти самолетов Ил-2 в варианте корректировщика.</w:t>
      </w:r>
    </w:p>
    <w:p w14:paraId="4D01C1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Кроме трудностей на заводе, связанных с наличием в производстве одновременно двух типов самолетов, выпуск больше чем 125 самолетов Ил-2 в варианте корректировщика трудно будет обеспечить приемниками УС-4 и радиополукомпасами РПК-10, которые являются остродефицитными изделиями (1778).</w:t>
      </w:r>
    </w:p>
    <w:p w14:paraId="57578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B4D9EA" w14:textId="77777777" w:rsidR="00171372" w:rsidRPr="00271E51" w:rsidRDefault="00171372"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 xml:space="preserve">7 июля 1943 г., в ходе боев на Курской дуге огнем «Пантер» 39-го танкового полка был сбит Ил-2 (19854). </w:t>
      </w:r>
    </w:p>
    <w:p w14:paraId="5C18BA3A" w14:textId="77777777" w:rsidR="00171372" w:rsidRPr="00271E51" w:rsidRDefault="00171372" w:rsidP="00271E51">
      <w:pPr>
        <w:pStyle w:val="36"/>
        <w:shd w:val="clear" w:color="auto" w:fill="auto"/>
        <w:spacing w:after="0" w:line="240" w:lineRule="auto"/>
        <w:jc w:val="both"/>
        <w:rPr>
          <w:rFonts w:ascii="Times New Roman" w:cs="Times New Roman"/>
          <w:color w:val="0070C0"/>
          <w:spacing w:val="0"/>
          <w:sz w:val="16"/>
          <w:szCs w:val="16"/>
        </w:rPr>
      </w:pPr>
    </w:p>
    <w:p w14:paraId="5348D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года Новиков писал письмо N 500087с Шахурину.</w:t>
      </w:r>
    </w:p>
    <w:p w14:paraId="2D2DF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Як-1 М-105ПФ "Москито", имея полетный вес 2640 кг и обладая скоростями: у земли 545 км/час и на высоте 4400 метров - 632 км/час, показал хорошую маневренность, а во время воздушных боев в НИИ ВВС выявил высокие летно-тактические свойства.</w:t>
      </w:r>
    </w:p>
    <w:p w14:paraId="57F46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боев с немецкими самолетами ФВ-190 ДБ-801 и Ме-109 26 с трехточечным вооружением (облегченный) самолет Як-1 "Москито" имел преимущество в вертикальном и горизонтальном маневре, а также и по скоростям до высоты 5000 метров.</w:t>
      </w:r>
    </w:p>
    <w:p w14:paraId="55F335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Считал бы целесообразным на заводе N 292 организовать выпуск самолетов Як-1 "Москито" (1779).</w:t>
      </w:r>
    </w:p>
    <w:p w14:paraId="6E492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643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в ЛИИ НКАП закончились испытания Як-7 с М-105ПФ с автоматом переключения скоростей нагнетателя Э-67 ЦИАМ. Выполнили 58 полетов (1783).</w:t>
      </w:r>
    </w:p>
    <w:p w14:paraId="16660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3B6FE" w14:textId="77777777" w:rsidR="00171372" w:rsidRPr="00271E51" w:rsidRDefault="0017137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июля 1943 маршал авиации Новиков писал Наркому авиационной промышленности Шахурину: «…Во время боев с немецкими самолетами ФВ-190 ДБ-801 (так в тексте) и Ме-109 с трехточечным вооружением (облегченный) самолет Як-1 «Москито» имел преимущество в вертикальном и горизонтальном маневре, а также и по скоростям до высоты 5 000 метров. Считал бы целесообразным на заводе № 292 организовать выпуск самолетов Як-1 “Москито”» (22751).</w:t>
      </w:r>
    </w:p>
    <w:p w14:paraId="6FA00497" w14:textId="77777777" w:rsidR="00171372" w:rsidRPr="00271E51" w:rsidRDefault="00171372" w:rsidP="00271E51">
      <w:pPr>
        <w:spacing w:after="0" w:line="240" w:lineRule="auto"/>
        <w:jc w:val="both"/>
        <w:rPr>
          <w:rFonts w:ascii="Times New Roman" w:hAnsi="Times New Roman"/>
          <w:color w:val="0070C0"/>
          <w:sz w:val="16"/>
          <w:szCs w:val="16"/>
        </w:rPr>
      </w:pPr>
    </w:p>
    <w:p w14:paraId="63AD46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была подготовлена за № 8352 НКАП А.И.Ш.</w:t>
      </w:r>
    </w:p>
    <w:p w14:paraId="098069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w:t>
      </w:r>
    </w:p>
    <w:p w14:paraId="1E4ECD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о ксилидинах, как ангидетонирующей присадке.</w:t>
      </w:r>
    </w:p>
    <w:p w14:paraId="502E29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Ксилидины - предсгавляюг собой органические соединения, относящиеся к классу ароматических аминов. Являются производными ксилола; получаются замещениям в ядре последнего водорода на амино-группу. Имеют общую химическую формулу.</w:t>
      </w:r>
    </w:p>
    <w:p w14:paraId="16074F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ЦИАМ"е были исследованы и испытаны на моторах оргоксилидин, метаксилидин и параксилидин, отличающие</w:t>
      </w:r>
      <w:r w:rsidRPr="00271E51">
        <w:rPr>
          <w:rFonts w:ascii="Times New Roman" w:hAnsi="Times New Roman"/>
          <w:color w:val="000000" w:themeColor="text1"/>
          <w:sz w:val="16"/>
          <w:szCs w:val="16"/>
        </w:rPr>
        <w:softHyphen/>
        <w:t>ся между собой физико-химическими свойствами.</w:t>
      </w:r>
    </w:p>
    <w:p w14:paraId="317B34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физико-химические свойства ксилидинов.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A907A5" w:rsidRPr="00271E51" w14:paraId="70D4F025" w14:textId="77777777" w:rsidTr="00ED5B0A">
        <w:tc>
          <w:tcPr>
            <w:tcW w:w="1915" w:type="dxa"/>
            <w:tcBorders>
              <w:top w:val="single" w:sz="12" w:space="0" w:color="auto"/>
            </w:tcBorders>
            <w:shd w:val="clear" w:color="auto" w:fill="FFFFFF"/>
          </w:tcPr>
          <w:p w14:paraId="5EA8C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w:t>
            </w:r>
          </w:p>
        </w:tc>
        <w:tc>
          <w:tcPr>
            <w:tcW w:w="1915" w:type="dxa"/>
            <w:tcBorders>
              <w:top w:val="single" w:sz="12" w:space="0" w:color="auto"/>
            </w:tcBorders>
            <w:shd w:val="clear" w:color="auto" w:fill="FFFFFF"/>
          </w:tcPr>
          <w:p w14:paraId="0CDF48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продукта</w:t>
            </w:r>
          </w:p>
        </w:tc>
        <w:tc>
          <w:tcPr>
            <w:tcW w:w="1915" w:type="dxa"/>
            <w:tcBorders>
              <w:top w:val="single" w:sz="12" w:space="0" w:color="auto"/>
            </w:tcBorders>
            <w:shd w:val="clear" w:color="auto" w:fill="FFFFFF"/>
          </w:tcPr>
          <w:p w14:paraId="6CF653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Удельный вес при 15°С</w:t>
            </w:r>
          </w:p>
        </w:tc>
        <w:tc>
          <w:tcPr>
            <w:tcW w:w="1915" w:type="dxa"/>
            <w:tcBorders>
              <w:top w:val="single" w:sz="12" w:space="0" w:color="auto"/>
            </w:tcBorders>
            <w:shd w:val="clear" w:color="auto" w:fill="FFFFFF"/>
          </w:tcPr>
          <w:p w14:paraId="40FAA5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кипения</w:t>
            </w:r>
          </w:p>
        </w:tc>
        <w:tc>
          <w:tcPr>
            <w:tcW w:w="1915" w:type="dxa"/>
            <w:tcBorders>
              <w:top w:val="single" w:sz="12" w:space="0" w:color="auto"/>
            </w:tcBorders>
            <w:shd w:val="clear" w:color="auto" w:fill="FFFFFF"/>
          </w:tcPr>
          <w:p w14:paraId="6AA5A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застывания.</w:t>
            </w:r>
          </w:p>
        </w:tc>
      </w:tr>
      <w:tr w:rsidR="00A907A5" w:rsidRPr="00271E51" w14:paraId="3507EB31" w14:textId="77777777" w:rsidTr="00ED5B0A">
        <w:tc>
          <w:tcPr>
            <w:tcW w:w="1915" w:type="dxa"/>
            <w:shd w:val="clear" w:color="auto" w:fill="FFFFFF"/>
          </w:tcPr>
          <w:p w14:paraId="340DA2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5" w:type="dxa"/>
            <w:shd w:val="clear" w:color="auto" w:fill="FFFFFF"/>
          </w:tcPr>
          <w:p w14:paraId="0A2A25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Метаксилидин</w:t>
            </w:r>
          </w:p>
        </w:tc>
        <w:tc>
          <w:tcPr>
            <w:tcW w:w="1915" w:type="dxa"/>
            <w:shd w:val="clear" w:color="auto" w:fill="FFFFFF"/>
          </w:tcPr>
          <w:p w14:paraId="0DF23E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0,972</w:t>
            </w:r>
          </w:p>
        </w:tc>
        <w:tc>
          <w:tcPr>
            <w:tcW w:w="1915" w:type="dxa"/>
            <w:shd w:val="clear" w:color="auto" w:fill="FFFFFF"/>
          </w:tcPr>
          <w:p w14:paraId="215834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 С</w:t>
            </w:r>
          </w:p>
        </w:tc>
        <w:tc>
          <w:tcPr>
            <w:tcW w:w="1915" w:type="dxa"/>
            <w:shd w:val="clear" w:color="auto" w:fill="FFFFFF"/>
          </w:tcPr>
          <w:p w14:paraId="4FDEE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Смесь ксилидинов застываег при минус 50С</w:t>
            </w:r>
          </w:p>
        </w:tc>
      </w:tr>
      <w:tr w:rsidR="00A907A5" w:rsidRPr="00271E51" w14:paraId="1D3EC4E0" w14:textId="77777777" w:rsidTr="00ED5B0A">
        <w:tc>
          <w:tcPr>
            <w:tcW w:w="1915" w:type="dxa"/>
            <w:shd w:val="clear" w:color="auto" w:fill="FFFFFF"/>
          </w:tcPr>
          <w:p w14:paraId="0BD67A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5" w:type="dxa"/>
            <w:shd w:val="clear" w:color="auto" w:fill="FFFFFF"/>
          </w:tcPr>
          <w:p w14:paraId="3E38FA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Параксилидин</w:t>
            </w:r>
          </w:p>
        </w:tc>
        <w:tc>
          <w:tcPr>
            <w:tcW w:w="1915" w:type="dxa"/>
            <w:shd w:val="clear" w:color="auto" w:fill="FFFFFF"/>
          </w:tcPr>
          <w:p w14:paraId="2AF3A7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0,980</w:t>
            </w:r>
          </w:p>
        </w:tc>
        <w:tc>
          <w:tcPr>
            <w:tcW w:w="1915" w:type="dxa"/>
            <w:shd w:val="clear" w:color="auto" w:fill="FFFFFF"/>
          </w:tcPr>
          <w:p w14:paraId="6063A4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215°С</w:t>
            </w:r>
          </w:p>
        </w:tc>
        <w:tc>
          <w:tcPr>
            <w:tcW w:w="1915" w:type="dxa"/>
            <w:shd w:val="clear" w:color="auto" w:fill="FFFFFF"/>
          </w:tcPr>
          <w:p w14:paraId="699F3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169A5D" w14:textId="77777777" w:rsidTr="00ED5B0A">
        <w:tc>
          <w:tcPr>
            <w:tcW w:w="1915" w:type="dxa"/>
            <w:tcBorders>
              <w:bottom w:val="single" w:sz="12" w:space="0" w:color="auto"/>
            </w:tcBorders>
            <w:shd w:val="clear" w:color="auto" w:fill="FFFFFF"/>
          </w:tcPr>
          <w:p w14:paraId="0C137B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Borders>
              <w:bottom w:val="single" w:sz="12" w:space="0" w:color="auto"/>
            </w:tcBorders>
            <w:shd w:val="clear" w:color="auto" w:fill="FFFFFF"/>
          </w:tcPr>
          <w:p w14:paraId="627A70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Сртоксилидин</w:t>
            </w:r>
          </w:p>
        </w:tc>
        <w:tc>
          <w:tcPr>
            <w:tcW w:w="1915" w:type="dxa"/>
            <w:tcBorders>
              <w:bottom w:val="single" w:sz="12" w:space="0" w:color="auto"/>
            </w:tcBorders>
            <w:shd w:val="clear" w:color="auto" w:fill="FFFFFF"/>
          </w:tcPr>
          <w:p w14:paraId="0E2AAF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0,991</w:t>
            </w:r>
          </w:p>
        </w:tc>
        <w:tc>
          <w:tcPr>
            <w:tcW w:w="1915" w:type="dxa"/>
            <w:tcBorders>
              <w:bottom w:val="single" w:sz="12" w:space="0" w:color="auto"/>
            </w:tcBorders>
            <w:shd w:val="clear" w:color="auto" w:fill="FFFFFF"/>
          </w:tcPr>
          <w:p w14:paraId="16AE7F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223°С</w:t>
            </w:r>
          </w:p>
        </w:tc>
        <w:tc>
          <w:tcPr>
            <w:tcW w:w="1915" w:type="dxa"/>
            <w:tcBorders>
              <w:bottom w:val="single" w:sz="12" w:space="0" w:color="auto"/>
            </w:tcBorders>
            <w:shd w:val="clear" w:color="auto" w:fill="FFFFFF"/>
          </w:tcPr>
          <w:p w14:paraId="3F58CF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72CBB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Технологический процесс получения ксилидинов сос</w:t>
      </w:r>
      <w:r w:rsidRPr="00271E51">
        <w:rPr>
          <w:rFonts w:ascii="Times New Roman" w:hAnsi="Times New Roman"/>
          <w:color w:val="000000" w:themeColor="text1"/>
          <w:sz w:val="16"/>
          <w:szCs w:val="16"/>
        </w:rPr>
        <w:softHyphen/>
        <w:t>тоит в обработке ксилольной фракции смесью серной и азот</w:t>
      </w:r>
      <w:r w:rsidRPr="00271E51">
        <w:rPr>
          <w:rFonts w:ascii="Times New Roman" w:hAnsi="Times New Roman"/>
          <w:color w:val="000000" w:themeColor="text1"/>
          <w:sz w:val="16"/>
          <w:szCs w:val="16"/>
        </w:rPr>
        <w:softHyphen/>
        <w:t>ной кислот (процесс нитрования) при температурах порядка 0-+2°С. Пои этом получаются гак называемые нитросоединения (нигроксилолы), которые при помощи следующего процес</w:t>
      </w:r>
      <w:r w:rsidRPr="00271E51">
        <w:rPr>
          <w:rFonts w:ascii="Times New Roman" w:hAnsi="Times New Roman"/>
          <w:color w:val="000000" w:themeColor="text1"/>
          <w:sz w:val="16"/>
          <w:szCs w:val="16"/>
        </w:rPr>
        <w:softHyphen/>
        <w:t>са - восстановления, совершаемого с помощью соляной кис</w:t>
      </w:r>
      <w:r w:rsidRPr="00271E51">
        <w:rPr>
          <w:rFonts w:ascii="Times New Roman" w:hAnsi="Times New Roman"/>
          <w:color w:val="000000" w:themeColor="text1"/>
          <w:sz w:val="16"/>
          <w:szCs w:val="16"/>
        </w:rPr>
        <w:softHyphen/>
        <w:t>лоты (или серной) и железных опилок, пеоеводягся в амино-соединения - аминоксилолы или ксилидины.</w:t>
      </w:r>
    </w:p>
    <w:p w14:paraId="0A185B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ксилидинов, с целью получения иа них красителей ддя тканей, у нас в СССР было освоено в промыш</w:t>
      </w:r>
      <w:r w:rsidRPr="00271E51">
        <w:rPr>
          <w:rFonts w:ascii="Times New Roman" w:hAnsi="Times New Roman"/>
          <w:color w:val="000000" w:themeColor="text1"/>
          <w:sz w:val="16"/>
          <w:szCs w:val="16"/>
        </w:rPr>
        <w:softHyphen/>
        <w:t>ленном масштабе на Кинешемском заводе Главанилпрома сис</w:t>
      </w:r>
      <w:r w:rsidRPr="00271E51">
        <w:rPr>
          <w:rFonts w:ascii="Times New Roman" w:hAnsi="Times New Roman"/>
          <w:color w:val="000000" w:themeColor="text1"/>
          <w:sz w:val="16"/>
          <w:szCs w:val="16"/>
        </w:rPr>
        <w:softHyphen/>
        <w:t>темы Наркомхимпрома. В настоящее время ксилидины в СССР не производятся, ввиду отсутствия потребностей в них (1458,229).</w:t>
      </w:r>
    </w:p>
    <w:p w14:paraId="6378EC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73495"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нарком А.И.Шахурин обратился к зампред Совнаркома А.И.Микояну с просьбой дать указание о переброске эвакуируемых работников завода № 600 силами авиатранспорта Отдела Спецзаданий Генерального Штаба Красной Армии. По расчёту, самолёты ПС-84 должны были 50 рейсами вывезти около 1000 человек, в основном рабочих из числа местных жителей, а также т. наз. «упрощенцев» без загранпаспортов. Соответствующее распоряжение было сделано Совнаркомом 12 июля 1943 г. [ГАРФ Ф. 5446 оп. 44а д. 10347 лл. 1-6] По оценке руководства завода, эвакуация прошла «исключительно организованно, в установленные сроки и без каких-либо конфликтов и трений с местными властями» (19006).</w:t>
      </w:r>
    </w:p>
    <w:p w14:paraId="7C79115D"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4B9C29CD" w14:textId="77777777" w:rsidR="00BA7A65" w:rsidRPr="00271E51" w:rsidRDefault="00617503"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0FC71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F9F939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из ДОКЛАДНОЙ ЗАПИСКИ СЕКРЕТАРЯ НОВОСИБИРСКОГО ОБКОМА ВКП(б) ПО ЭЛЕКТРОПРОМЫШЛЕННОСТИ А.Ф. ЖИГАЛЬСКОГО СЕКРЕТАРЮ ЦК ВКП(б) Г.М. МАЛЕНКОВУ</w:t>
      </w:r>
    </w:p>
    <w:p w14:paraId="17ECDB0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Окончание строительства первой очереди крупнейшего в стране по выпуску радиоприемной аппаратуры завода № 590, эвакуированного в город Новосибирск, имеет весьма большое значение для оборудования танков и самолетов средствами связи. Вместо выпускаемых 5 000 штук радиоприемных устройств различного типа в настоящее время завод может увеличить выпуск продукции на 40 %, как только будут окончены строительством работы первой очереди и соответственно увеличены площади штамповочного, механического, отделочного и конденсаторного цехов, полностью использовав наличное оборудование. Весь оставшийся объем строительно-монтажных работ первой очереди определяется в сумме 9 миллионов рублей и в основном он мог быть закончен в 1943 году. Однако, начиная с первого квартала 1943 года, Наркомстрой, вместо принятия мер по быстрейшему окончанию строительно-монтажных работ первой очереди, резко сократил работы, считая работы по этому заводу третьей степени важности, сняв со стройплощадки значительную часть рабочих на строительство двух других объектов ... Наркомстрой, не считаясь с необходимостью быстрого окончания строительства завода № 590, вместо принятия необходимых мер для этого, самовольно определил себе </w:t>
      </w:r>
      <w:r w:rsidRPr="00271E51">
        <w:rPr>
          <w:rFonts w:ascii="Times New Roman" w:hAnsi="Times New Roman"/>
          <w:color w:val="000000" w:themeColor="text1"/>
          <w:sz w:val="16"/>
          <w:szCs w:val="16"/>
        </w:rPr>
        <w:lastRenderedPageBreak/>
        <w:t>незначительный объем работ поквартально и этим самым сильно затягивает окончание строительства завода. Так, например, Наркомстрой на 1943 год предусмотрел планом на I квартал 1 600 тысяч рублей, на II квартал - 1 500 тысяч рублей, на III квартал — 1 600 тысяч рублей. Фактическое выполнение значительно меньше плана, составляя за I полугодие 86 %.</w:t>
      </w:r>
    </w:p>
    <w:p w14:paraId="749A40C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Такие недопустимо медленные темпы окончания строитель но-монтажных работ и нежелание использовать сезонные возможности II и Ш кварталов неизбежно приведут к тому, что окончание строительно-монтажных работ первой очереди вместо 1943 года затянется на весь 1944 год. Отсутствие внимания строительству завода № 590 со стороны Нар-комстроя, Главного управления Сибсредазстроя и Особой строительно-монтажной части «Севкавтяжстроя» (начальник Обухов) привело к тому, что ОСМУ-5, ведущее работу на стройплощадке завода, получает снабжение стройматериалами, горючим и транспортом в последнюю очередь, вследствие чего даже имеющаяся в наличии рабочая сила не может быть использована ОСМУ-5 наиболее эффективно. Прошу Вас сделать необходимые указания для решительного изменения отношения Наркомстроя к ведению строительства завода № 590, принятия немедленных мер Наркомстроем по резкому увеличению объема строительных работ, улучшения снабжения строительства необходимыми строительными материалами и окончания всех строительных работ не позднее I квартала 1943 года.</w:t>
      </w:r>
    </w:p>
    <w:p w14:paraId="5CB2F6F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Новосибирского обкома ВКП(б) по электропромышленности Жигальский</w:t>
      </w:r>
    </w:p>
    <w:p w14:paraId="58B94D4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33. Подлинник.</w:t>
      </w:r>
    </w:p>
    <w:p w14:paraId="57D5833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 граф Жнгальского. Внизу под документом дата: «7 июля 1943 года» (12193).</w:t>
      </w:r>
    </w:p>
    <w:p w14:paraId="3516BAB4"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405654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w:t>
      </w:r>
    </w:p>
    <w:p w14:paraId="1E0C39F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записки И.В.Курчатова М.Г.Первухину </w:t>
      </w:r>
    </w:p>
    <w:p w14:paraId="5619011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результатах НИР </w:t>
      </w:r>
    </w:p>
    <w:p w14:paraId="184B9DF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 секретно </w:t>
      </w:r>
    </w:p>
    <w:p w14:paraId="27F7883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Направляю Вам вторую группу отчетов по проблеме урана. В нее входят следующие отчеты: </w:t>
      </w:r>
    </w:p>
    <w:p w14:paraId="5E32438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Проф[ессор] Зельдович и проф[ессор] Харитон1. «О возникновении взрывной реакции деления в металлическом уране при участии в реакции изотопов U</w:t>
      </w:r>
      <w:r w:rsidRPr="00271E51">
        <w:rPr>
          <w:rFonts w:ascii="Times New Roman" w:hAnsi="Times New Roman"/>
          <w:color w:val="000000" w:themeColor="text1"/>
          <w:sz w:val="16"/>
          <w:szCs w:val="16"/>
          <w:vertAlign w:val="superscript"/>
        </w:rPr>
        <w:t xml:space="preserve">238 </w:t>
      </w:r>
      <w:r w:rsidRPr="00271E51">
        <w:rPr>
          <w:rFonts w:ascii="Times New Roman" w:hAnsi="Times New Roman"/>
          <w:color w:val="000000" w:themeColor="text1"/>
          <w:sz w:val="16"/>
          <w:szCs w:val="16"/>
        </w:rPr>
        <w:t>и U</w:t>
      </w:r>
      <w:r w:rsidRPr="00271E51">
        <w:rPr>
          <w:rFonts w:ascii="Times New Roman" w:hAnsi="Times New Roman"/>
          <w:color w:val="000000" w:themeColor="text1"/>
          <w:sz w:val="16"/>
          <w:szCs w:val="16"/>
          <w:vertAlign w:val="superscript"/>
        </w:rPr>
        <w:t>235</w:t>
      </w:r>
      <w:r w:rsidRPr="00271E51">
        <w:rPr>
          <w:rFonts w:ascii="Times New Roman" w:hAnsi="Times New Roman"/>
          <w:color w:val="000000" w:themeColor="text1"/>
          <w:sz w:val="16"/>
          <w:szCs w:val="16"/>
        </w:rPr>
        <w:t xml:space="preserve">». </w:t>
      </w:r>
    </w:p>
    <w:p w14:paraId="49559B2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Проф[ессор] Харитон. «К вопросу о возможности возникновения взрыва в окиси урана». </w:t>
      </w:r>
    </w:p>
    <w:p w14:paraId="742E5D2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Петржак и Орбели. Отчет по работе «Определение сечения деления изотопа урана-235 нейтронами с энергией 200 kv». </w:t>
      </w:r>
    </w:p>
    <w:p w14:paraId="31B91C5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Проф[ессор] Померанчук. «Поглощение и рассеяние нейтронов ядрами (по Бете)». </w:t>
      </w:r>
    </w:p>
    <w:p w14:paraId="258096F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Проф[ессор] Спицын. «Материалы к химии углерода». </w:t>
      </w:r>
    </w:p>
    <w:p w14:paraId="512C2A0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Проф[ессор] Корнфельд и Самойлович. «Разделение изотопов ректификацией» с приложениями: проф[ессор] Ландау. «Давление паров изотопов»; проф[ессор] Померанчук. «О разделении изотопов при химических реакциях». </w:t>
      </w:r>
    </w:p>
    <w:p w14:paraId="2655B73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Материал первых четырех отчетов относится к котлу из обычного урана. Эта система была ранее признана непригодной для практического использования, так как считалось, что большая вероятность процессов неупругого рассеяния не допускает развития лавинного процесса. </w:t>
      </w:r>
    </w:p>
    <w:p w14:paraId="4161D2C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Мне казалось, однако, что учет урана-235, деление которого не требует нейтронов высокой энергии, может привести к противоположным заключениям относительно этой системы. </w:t>
      </w:r>
    </w:p>
    <w:p w14:paraId="60DFFF6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видно из прилагаемых отчетов проф[ессоров] Ю.Б. Харитона и Я.Б. Зельдовича и проф[ессора] Ю.Б. Харитона, развитие лавинного процесса действительно возможно в массе чистого металлического урана (в 10-20 тонн) и невозможно в окиси урана *, если сечение захвата нейтронов промежуточных энергий урана-238 близко к 10</w:t>
      </w:r>
      <w:r w:rsidRPr="00271E51">
        <w:rPr>
          <w:rFonts w:ascii="Times New Roman" w:hAnsi="Times New Roman"/>
          <w:color w:val="000000" w:themeColor="text1"/>
          <w:sz w:val="16"/>
          <w:szCs w:val="16"/>
          <w:vertAlign w:val="superscript"/>
        </w:rPr>
        <w:t xml:space="preserve">-27 </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а сечение деления урана-235 близко к 10</w:t>
      </w:r>
      <w:r w:rsidRPr="00271E51">
        <w:rPr>
          <w:rFonts w:ascii="Times New Roman" w:hAnsi="Times New Roman"/>
          <w:color w:val="000000" w:themeColor="text1"/>
          <w:sz w:val="16"/>
          <w:szCs w:val="16"/>
          <w:vertAlign w:val="superscript"/>
        </w:rPr>
        <w:t xml:space="preserve">-24 </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w:t>
      </w:r>
    </w:p>
    <w:p w14:paraId="0C56B7F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Сечение захвата нейтронов ураном-238 в этой области энергий никем не определялось. В прилагаемой работе проф[ессора] Померанчука, представляющей собой развитие теоретических исследований Бете, дана оценка сечения захвата, которое оказывается близким к 10</w:t>
      </w:r>
      <w:r w:rsidRPr="00271E51">
        <w:rPr>
          <w:rFonts w:ascii="Times New Roman" w:hAnsi="Times New Roman"/>
          <w:color w:val="000000" w:themeColor="text1"/>
          <w:sz w:val="16"/>
          <w:szCs w:val="16"/>
          <w:vertAlign w:val="superscript"/>
        </w:rPr>
        <w:t xml:space="preserve">-25 </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Если бы эта оценка была правильной, то развитие лавины было бы невозможно в металлическом уране. Однако известно, что в вопросе о захвате нейтронов промежуточных энергий атомными ядрами теория не совпадает с опытными данными (возможная причина этого расхождения обсуждается в работе Померанчука), и поэтому необходимы опытные исследования по этому вопросу. </w:t>
      </w:r>
    </w:p>
    <w:p w14:paraId="75DD320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Лаборатория № 2 ведет сейчас работу по опытному определению сечения захвата нейтронов промежуточных энергий ураном-238, эта задача является очень сложной в экспериментальном отношении, и ответ может быть получен только к концу 1943 г. </w:t>
      </w:r>
    </w:p>
    <w:p w14:paraId="41D4736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Иначе обстоит дело с константой, характеризующей сечение деления урана-235 нейтронами промежуточных энергий. По данным английских экспериментаторов, сечение деления урана-235 нейтронами с энергией в 200-600 тысяч электронвольт равно 2-3·10</w:t>
      </w:r>
      <w:r w:rsidRPr="00271E51">
        <w:rPr>
          <w:rFonts w:ascii="Times New Roman" w:hAnsi="Times New Roman"/>
          <w:color w:val="000000" w:themeColor="text1"/>
          <w:sz w:val="16"/>
          <w:szCs w:val="16"/>
          <w:vertAlign w:val="superscript"/>
        </w:rPr>
        <w:t>-24</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По экспериментальным же определениям К.А. Петржака и М.Л. Орбели из РИАНа (отчет прилагается), это сечение для нейтронов с энергией в 200 тысяч электронвольт равно 2·10</w:t>
      </w:r>
      <w:r w:rsidRPr="00271E51">
        <w:rPr>
          <w:rFonts w:ascii="Times New Roman" w:hAnsi="Times New Roman"/>
          <w:color w:val="000000" w:themeColor="text1"/>
          <w:sz w:val="16"/>
          <w:szCs w:val="16"/>
          <w:vertAlign w:val="superscript"/>
        </w:rPr>
        <w:t xml:space="preserve">-28 </w:t>
      </w:r>
      <w:r w:rsidRPr="00271E51">
        <w:rPr>
          <w:rFonts w:ascii="Times New Roman" w:hAnsi="Times New Roman"/>
          <w:color w:val="000000" w:themeColor="text1"/>
          <w:sz w:val="16"/>
          <w:szCs w:val="16"/>
        </w:rPr>
        <w:t>X 140 = ~ 3·10</w:t>
      </w:r>
      <w:r w:rsidRPr="00271E51">
        <w:rPr>
          <w:rFonts w:ascii="Times New Roman" w:hAnsi="Times New Roman"/>
          <w:color w:val="000000" w:themeColor="text1"/>
          <w:sz w:val="16"/>
          <w:szCs w:val="16"/>
          <w:vertAlign w:val="superscript"/>
        </w:rPr>
        <w:t xml:space="preserve">-26 </w:t>
      </w:r>
      <w:r w:rsidRPr="00271E51">
        <w:rPr>
          <w:rFonts w:ascii="Times New Roman" w:hAnsi="Times New Roman"/>
          <w:color w:val="000000" w:themeColor="text1"/>
          <w:sz w:val="16"/>
          <w:szCs w:val="16"/>
        </w:rPr>
        <w:t>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т.е. в 100 раз меньше, чем по определениям английских физиков. </w:t>
      </w:r>
    </w:p>
    <w:p w14:paraId="0E5C403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Внимательное рассмотрение отчета Петржака и Орбели (произведенное мной совместно с н[аучным] с[отрудником] Лаб[оратории] №2 т. Флёровым) показало, что Петржак и Орбели допустили ошибку при пересчете своих данных, подставив в формулы не поверхностную плотность урана (что требовалось), а плотность урана по всей площади электродов ионизационной камеры. Из-за этого они получили величину сечения в 30 раз меньшую истинной! После введения поправки их данные оказываются уже близкими к тем, которые получены в Англии и которые допускают развитие лавинного процесса в чистом металлическом уране. </w:t>
      </w:r>
    </w:p>
    <w:p w14:paraId="041832E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этих замечаний видно, что сейчас еще нельзя с полной достоверностью утверждать, что масса чистого металлического урана не пригодна для осуществления котла, как мы думали раньше и как, по-видимому, допускается сейчас в Англии и Америке. Окончательное суждение можно будет сделать только после определения сечения захвата нейтронов промежуточных энергий ураном-238 и более точного определения сечения деления этими нейтронами урана-235. Необходимо отметить, что осуществление этой системы, если бы оно оказалось возможным, потребует изготовления металлического урана большой чистоты – опасны примеси легких атомов даже в небольших количествах. </w:t>
      </w:r>
    </w:p>
    <w:p w14:paraId="2F64C4B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Проф[ессор] Харитон занят сейчас по поручению Лаборатории № 2 анализом этого вопроса и формулировкой технических требований на пригодный для наших целей металлический уран. </w:t>
      </w:r>
    </w:p>
    <w:p w14:paraId="47DB9EA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Работа проф[ессора] Спицына выполнена по поручению Лаборатории № 2 в связи с начатыми у нас работами по уран-графитовому котлу. В этой системе необходимо избежать поглощения медленных тепловых нейтронов как углеродом, так и содержащимися в нем примесями. Каждый атом характеризуется своим сечением поглощения тепловых нейтронов, причем эта величина сильно колеблется от одного химического элемента к другому. Мной был собран литературный материал по сечениям захвата тепловых нейтронов и в виде таблицы индексов сообщен проф[ессору] Спицыну.2 [...] </w:t>
      </w:r>
    </w:p>
    <w:p w14:paraId="4F628EB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осуществления уран-графитового котла пригоден лишь такой углерод, для которого сумма (по всем примесям) произведений индекса на концентрацию не превосходит 0,003. Это очень жесткое условие. Из таблицы индексов видно, что примесь к углероду, например, бора в количестве 0,001%, уже недопустима! Индекс для бора равен 600 и, следовательно, произведение из индекса на концентрацию равно в этом случае 6·10</w:t>
      </w: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х 10</w:t>
      </w:r>
      <w:r w:rsidRPr="00271E51">
        <w:rPr>
          <w:rFonts w:ascii="Times New Roman" w:hAnsi="Times New Roman"/>
          <w:color w:val="000000" w:themeColor="text1"/>
          <w:sz w:val="16"/>
          <w:szCs w:val="16"/>
          <w:vertAlign w:val="superscript"/>
        </w:rPr>
        <w:t xml:space="preserve">-5 </w:t>
      </w:r>
      <w:r w:rsidRPr="00271E51">
        <w:rPr>
          <w:rFonts w:ascii="Times New Roman" w:hAnsi="Times New Roman"/>
          <w:color w:val="000000" w:themeColor="text1"/>
          <w:sz w:val="16"/>
          <w:szCs w:val="16"/>
        </w:rPr>
        <w:t xml:space="preserve">= 0,006, т.е. в два раза больше допустимого предела. </w:t>
      </w:r>
    </w:p>
    <w:p w14:paraId="130ABE3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работы проф[ессора] Спицына видно, что единственной формой углерода, пригодной для котла, может быть искусственный графит. Лаборатория № 2 собирается сейчас произвести определения степени чистоты графитированных электродов, изготовляемых на заводах СССР. </w:t>
      </w:r>
    </w:p>
    <w:p w14:paraId="1E30A18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Работа проф[ессора] Корнфельда и н[аучного] с[отрудника] Самойлович с приложениями [работ] проф[ессора] Ландау и проф[ессора] Померанчука посвящена методу ректификационных колонн. </w:t>
      </w:r>
    </w:p>
    <w:p w14:paraId="4AB22F9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Авторы приходят к выводу о технической возможности применения этого метода для разделения изотопов урана, но окончательное решение может быть дано только после производства опытных работ, которые намечены Лабораторией № 2 на второе полугодие 1943 года. </w:t>
      </w:r>
    </w:p>
    <w:p w14:paraId="30D92C8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Применение метода ректификационных колонн осложняется в данный момент тем обстоятельством, что не известно ни одного соединения урана, которое бы при комнатной или более низких температурах находилось в жидком состоянии. Поэтому даже при самых благоприятных общих свойствах метода применение его к интересующей нас задаче возможно только в том случае, если химиками будут найдены новые подходящие соединения урана. </w:t>
      </w:r>
    </w:p>
    <w:p w14:paraId="168EA52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Курчатов </w:t>
      </w:r>
    </w:p>
    <w:p w14:paraId="79631FD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7.07.43 </w:t>
      </w:r>
    </w:p>
    <w:p w14:paraId="6AC93DF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Экз[емпляр] единств[енный]. </w:t>
      </w:r>
    </w:p>
    <w:p w14:paraId="455A214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АП РФ. Ф.93, д.3(43), л.131–135об. Автограф. </w:t>
      </w:r>
    </w:p>
    <w:p w14:paraId="2DBBEC8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Рассмотрение развития лавинного процесса в окиси урана было выполнено Лабораторией № 2 по Вашему поручению. [Примеч. авт.] </w:t>
      </w:r>
    </w:p>
    <w:p w14:paraId="1D6DA5F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1 </w:t>
      </w:r>
      <w:r w:rsidRPr="00271E51">
        <w:rPr>
          <w:rFonts w:ascii="Times New Roman" w:hAnsi="Times New Roman"/>
          <w:color w:val="000000" w:themeColor="text1"/>
          <w:sz w:val="16"/>
          <w:szCs w:val="16"/>
        </w:rPr>
        <w:t xml:space="preserve">Здесь и далее выделено автором. </w:t>
      </w:r>
    </w:p>
    <w:p w14:paraId="128429E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Далее опущена таблица (11323).</w:t>
      </w:r>
    </w:p>
    <w:p w14:paraId="734764F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4F95BD5"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w:t>
      </w:r>
    </w:p>
    <w:p w14:paraId="3D44B6D9"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Справка на имя председателя КПК А.А.Андреева по записке уполномоченного КПК по Ярославской области Пономарева «О работе военных представителей на предприятиях г. Ярославля», подготовленная ответственным контролером КПК Н.Волковым 07.07.1943 (18627).</w:t>
      </w:r>
    </w:p>
    <w:p w14:paraId="10276CB7"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53825F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года в газетах появилось постановление Совнар</w:t>
      </w:r>
      <w:r w:rsidRPr="00271E51">
        <w:rPr>
          <w:rFonts w:ascii="Times New Roman" w:hAnsi="Times New Roman"/>
          <w:color w:val="000000" w:themeColor="text1"/>
          <w:sz w:val="16"/>
          <w:szCs w:val="16"/>
        </w:rPr>
        <w:softHyphen/>
        <w:t>кома Союза ССР № 734</w:t>
      </w:r>
    </w:p>
    <w:p w14:paraId="4B9E51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присуждении Сталинской премии профессору Рамзину Леониду Кон</w:t>
      </w:r>
      <w:r w:rsidRPr="00271E51">
        <w:rPr>
          <w:rFonts w:ascii="Times New Roman" w:hAnsi="Times New Roman"/>
          <w:color w:val="000000" w:themeColor="text1"/>
          <w:sz w:val="16"/>
          <w:szCs w:val="16"/>
        </w:rPr>
        <w:softHyphen/>
        <w:t>стантиновичу за создание конструкции прямоточного котла и о присвоении прямоточному котлу имени автора». Вот текст этого постановления:</w:t>
      </w:r>
    </w:p>
    <w:p w14:paraId="139E4F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 Народных Комиссаров Союза ССР постановляет:</w:t>
      </w:r>
    </w:p>
    <w:p w14:paraId="3B6719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Присудить Сталинскую премию первой степени в размере 150000 рублей профессору Рамзину Леониду Константиновичу за создание кон</w:t>
      </w:r>
      <w:r w:rsidRPr="00271E51">
        <w:rPr>
          <w:rFonts w:ascii="Times New Roman" w:hAnsi="Times New Roman"/>
          <w:color w:val="000000" w:themeColor="text1"/>
          <w:sz w:val="16"/>
          <w:szCs w:val="16"/>
        </w:rPr>
        <w:softHyphen/>
        <w:t>струкции прямоточного котла.</w:t>
      </w:r>
    </w:p>
    <w:p w14:paraId="7D4B05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Присвоить прямоточному котлу имя автора и впредь именовать его «котел Рамзина»*.</w:t>
      </w:r>
    </w:p>
    <w:p w14:paraId="421214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Указом Президиума Верховного Совета ССОР Рамзин был награжден орденом Ленина. После этих наград ВАК утвердил Л. К.Рамзину без за</w:t>
      </w:r>
      <w:r w:rsidRPr="00271E51">
        <w:rPr>
          <w:rFonts w:ascii="Times New Roman" w:hAnsi="Times New Roman"/>
          <w:color w:val="000000" w:themeColor="text1"/>
          <w:sz w:val="16"/>
          <w:szCs w:val="16"/>
        </w:rPr>
        <w:softHyphen/>
        <w:t>щиты диссертации ученую степень доктора технических наук (11504).</w:t>
      </w:r>
    </w:p>
    <w:p w14:paraId="4A9B9A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219A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5EF3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93A313"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июля</w:t>
      </w:r>
      <w:r w:rsidRPr="00271E51">
        <w:rPr>
          <w:rFonts w:ascii="Times New Roman" w:hAnsi="Times New Roman"/>
          <w:color w:val="000000" w:themeColor="text1"/>
          <w:sz w:val="16"/>
          <w:szCs w:val="16"/>
        </w:rPr>
        <w:t xml:space="preserve"> в 1943 году оперативная сводка Совинформбюро:</w:t>
      </w:r>
    </w:p>
    <w:p w14:paraId="3EE3F3A2"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июля наши войска на Орловско-Курском и Белгородском направлениях вели упорные бои с противником, продолжавшим наступление крупными силами танков и пехоты. Наступление немцев поддерживалось большим количеством авиации, дополнительно подброшенной с других фронтов. В течение всего дня велись ожесточённые воздушные бои.</w:t>
      </w:r>
    </w:p>
    <w:p w14:paraId="4A065EA0"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все атаки противника успеха не имели.</w:t>
      </w:r>
    </w:p>
    <w:p w14:paraId="7168F29E"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противник, понеся большие потери, имел некоторое продвижение.</w:t>
      </w:r>
    </w:p>
    <w:p w14:paraId="62309713"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Орловско-Курском и Белгородском направлениях за день боёв подбито и уничтожено до 520 немецких танков. В воздушных боях и зенитной артиллерией сбито 229 самолётов противника.</w:t>
      </w:r>
    </w:p>
    <w:p w14:paraId="7D20A185"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уточнённым данным, за 6 июля в воздушных боях и огнём нашей зенитной артиллерии сбито не 111 немецких самолётов, как об этом сообщалось ранее, а 217 самолётов противника.</w:t>
      </w:r>
    </w:p>
    <w:p w14:paraId="67E1618D"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войска в течение всего дня вели упорные бои с наступающим противником. На участке Н-ского соединения группы вражеских танков, численностью от 80 до 100 машин каждая, непрерывно штурмовали советские укрепления, пытаясь прорвать наш фронт. За танками следовали крупные силы немецкой мотопехоты. Наши войска отбили все атаки противника и прочно удерживают свои позиции. На отдельных участках несколько групп немецких танков, по 15—30 машин, прорвались через боевые порядки наших частей в глубину обороны. К исходу дня все прорвавшиеся танки были уничтожены. Среди подбитых и уничтоженных немецких танков более 40 танков типа «Тигр».</w:t>
      </w:r>
    </w:p>
    <w:p w14:paraId="4C685057"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ожесточённых воздушных боях нанесла тяжёлый урон авиации противника.</w:t>
      </w:r>
    </w:p>
    <w:p w14:paraId="58DEE595"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и командиры показывают примеры храбрости и героизма. Подразделение, которым командует подполковник Оноприенко, выдержало бешеный натиск крупных вражеских сил. Бойцы не оставили своих позиций и тогда, когда немецкие танки и пехота окружили подразделение. Сегодня бойцы подразделения прорвали вражеское кольцо, вышли из окружения и немедленно контратаковали немцев. В результате ожесточённой схватки подразделение отбросило противника и прочно закрепилось на своих старых позициях.</w:t>
      </w:r>
    </w:p>
    <w:p w14:paraId="7A1A6602"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утром немцы после часовой артиллерийской подготовки возобновили наступление. Сражение приняло крайне напряжённый характер. Отдельные населённые пункты, выгодные рубежи и высоты по нескольку раз переходили из рук в руки. В течение дня немцы непрерывно подтягивали подкрепления своим истрёпанным дивизиям и бросали их в атаки. На одном участке противник к исходу дня незначительно продвинулся вперёд и занял несколько деревень. Наши войска перешли в контратаку и ведут бои за восстановление положения.</w:t>
      </w:r>
    </w:p>
    <w:p w14:paraId="61C8559B"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наши подразделения успешно отразили несколько атак противника. В течение дня уничтожено до 300 немецких солдат и офицеров, 13 пулемётов, 6 миномётов и сожжено 2 танка противника. Нашими бойцами захвачены трофеи: 9 пулемётов, 6 миномётов и 50 винтовок. На другом участке разведывательная группа Н-ской части внезапно атаковала вражеский опорный пункт и истребила немецкий гарнизон. На поле боя осталось до 60 трупов гитлеровцев. Взяты пленные и трофеи. Выполнив задачу, разведчики отошли в расположение своей части.</w:t>
      </w:r>
    </w:p>
    <w:p w14:paraId="5D891750"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происходила артиллерийско-миномётная перестрелка. Наши подразделения подавили огонь нескольких артиллерийских и миномётных батарей, разрушили 11 блиндажей и 3 дзота противника. Миномётные расчёты, где наводчиками младшие сержанты Акишнев и Кичибеков, взорвали вражеский склад боеприпасов. За полтора месяца 37 снайперов Н-ской части истребили 472 немецких солдата и офицера. Снайпер Пётр Беляков уничтожил 101 гитлеровца, АлексейАдров—66, снайпер Павел Хромов истребил 65 немцев.</w:t>
      </w:r>
    </w:p>
    <w:p w14:paraId="6F504980"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Пинской области, в конце июня, ночью, напал на немецкую охрану железнодорожной станции. В рукопашной схватке партизаны истребили несколько десятков гитлеровцев. Остальные немецкие солдаты разбежались. Овладев станцией, советские патриоты взорвали мост, все входные и выходные стрелки, подорвали тысячу метров железнодорожного полотна.</w:t>
      </w:r>
    </w:p>
    <w:p w14:paraId="7620B3D9"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последнее время гитлеровцы произвели в оккупированных советских районах многочисленные аресты среди интеллигенции и духовенства. В городе Барановичи арестованы 3 ксендза и 50 учителей, инженеров и врачей. В Слониме и окрестных деревнях немцы бросили в застенки 17 ксендзов и свыше ста учителей и врачей. В Несвижском районе арестованы и отправлены в концлагерь 35 работников интеллигентного труда. Немецко-фашистские людоеды подвергли заключённых мучительным пыткам, а часть из них расстреляли.</w:t>
      </w:r>
    </w:p>
    <w:p w14:paraId="5FA091E1"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итальянской морской базе в Бриндизи среди матросов вспыхнули волнения. Команда одного военного корабля отказалась выйти в море для выполнения боевого задания. Волнения произошли также и в Специи, где итальянские матросы, поддержанные группой офицеров, потребовали удаления из флота немецких контролёров. Сообщают, что итальянские военные власти произвели многочисленныеаресты среди матросов и офицеров.»</w:t>
      </w:r>
    </w:p>
    <w:p w14:paraId="2E093CEE"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Наступление немцев в районе Курска и жулики из ставки Гитлера.</w:t>
      </w:r>
    </w:p>
    <w:p w14:paraId="33734849"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«Гитлеровская ставка промолчала о результатах первого дня крупного наступления немецких войск, начатого ими утром 5 июля на Орловско-Курском и Белгородском направлениях. 6 и 7 июля гитлеровское командование решило из «Савла превратитьсяв Павла», из наступающей стороны превратиться в обороняющуюся, заявляя, что наступление ведут не немцы, а Красная Армия.</w:t>
      </w:r>
    </w:p>
    <w:p w14:paraId="68A8D97B"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Почему гитлеровская ставка вынуждена прибегнуть к этому жульническому трюку?</w:t>
      </w:r>
    </w:p>
    <w:p w14:paraId="30AC3008"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сообщалось Советским Информбюро, с утра 5 июля немецко-фашистские войска крупными силами танков и пехоты при поддержке многочисленной авиации перешли в наступление на занимаемые нашими войсками позиции. Удар наносится в двух направлениях: из района южнее Орла — на Курск и из района Белгорода — на север, также в направлении на Курск.</w:t>
      </w:r>
    </w:p>
    <w:p w14:paraId="58BB6F68"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бросили в наступление против наших войск свои главные силы, сосредоточенные в районах Орёл и Белгород. На Орловско-Курском направлении немецкое командование ввело в бой: 2, 9, 12, 18, 20 и 23 танковые дивизии, 36 мотодивизию, 6, 7, 78, 86, 216, 258 и 383 пехотные дивизии. На Белгородском направлении наступают 3, 6, 7, 11 и 19 танковые дивизии, а также танковые дивизии СС: «Адольф Гитлер», «Великая Германия», «Райх» и «Мёртвая голова», 106,167, 168, 255, 320, 162 и 332 пехотные дивизии.</w:t>
      </w:r>
    </w:p>
    <w:p w14:paraId="29ADD415"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с немецкой стороны в наступлении уже участвуют 15 танковых дивизий, 1 мотодивизия и 14 пехотных дивизий.</w:t>
      </w:r>
    </w:p>
    <w:p w14:paraId="0CADE14E"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поддержки наступления пехоты и танков немецкое командование стянуло на этот участок фронта многочисленные соединения авиации, взятые не только с других участков советско-германского фронта, но и переброшенные из Западной Европы. Так, например, между 9 и 29 июня немцы перебросили с запада 28 и 77 бомбардировочные эскадры и 5 эскадру ночных истребителей. Кроме того, как показали 5 июля пленные немецкие лётчики — унтер-офицер Гайнц Гейль и радист обер-ефрейтор Гергарт Шрамм из 7 отряда 1 эскадры — их часть прибыла в район Орла 3 июля из Югославии. Советскому командованию известно также, что немцы, подготавливая большое наступление, перебросили в район Орла и Белгорода большое количество танков для восполнения потерь танковых дивизий в ходе наступления.</w:t>
      </w:r>
    </w:p>
    <w:p w14:paraId="05A91F3E"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этих данных, а также из показаний пленных офицеров и солдат видно, что, начав 5 июля сего года генеральное наступление на советско-германском фронте, немцы предполагали сосредоточением и вводом в бой главных сил своей армии на узких участках фронта быстро сокрушить советскую оборону и добиться уже в первые дни наступления крупных оперативных результатов. Достаточно взглянуть на карту, чтобы понять оперативный замысел немецкого командования. Оно имело в виду окружить и уничтожить наши войска, расположенные по дуге курского выступа. Об этих же целях наступления немцев на Орловско-Курском и Белгородском направлениях говорят также единодушные заявления захваченных нашими войсками в плен немецких солдат и офицеров.</w:t>
      </w:r>
    </w:p>
    <w:p w14:paraId="44203FF3"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Но новое немецкое наступление не застало наши войска врасплох. На обоих направлениях третий день идут ожесточённые бои, в ходе которых наши войска уничтожили до 30.000 солдат и офицеров, подбили и уничтожили 1.539 танков и сбили 649 самолётов противника. Наши войска прочно удерживают занимаемые рубежи. Только на некоторых участках Белгородского направления противнику, ценой огромных потерь, удалось незначительно вклиниться в нашу оборону.</w:t>
      </w:r>
    </w:p>
    <w:p w14:paraId="2442307C"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Получив по зубам, жулики из ставки Гитлера теперь поджали хвост и завопили о том, что якобы наступают не они, немцы, а советские войска и что тем самым впервые три дня крупных сражений провалилась не их попытка захватить Курск, а попытка наших войск прорвать оборону немцев.</w:t>
      </w:r>
    </w:p>
    <w:p w14:paraId="1A4ACB68"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6 июля, в разгар немецкого наступления, берлинское радио передало смехотворное сообщение о якобы начавшемся наступлении Красной Армии на Орловском и Белгородском направлениях, в ходе которого:</w:t>
      </w:r>
    </w:p>
    <w:p w14:paraId="426A1DC3"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«советское командование беспрерывно вводило в действие танковые части, однако главные позиции германской обороны на всех участках находятся прочно в наших руках и ни на одном участке фронта не введены ещё в бой сколько-нибудь значительные германские танковые силы». 7 июля гитлеровцы вновь повторили эту несусветную чепуху, заявив будто бы:</w:t>
      </w:r>
    </w:p>
    <w:p w14:paraId="7C049887"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«советское сообщение о том, что началось германское наступление, —ложно».</w:t>
      </w:r>
    </w:p>
    <w:p w14:paraId="575C7950"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Таков новый трюк немецко-фашистских шулеров.</w:t>
      </w:r>
    </w:p>
    <w:p w14:paraId="11A6DF16"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бы неправильно с нашей стороны недооценивать силы немецких войск, ведущих крупное наступление на Орловско-Курском и Белгородском направлениях. Силы немцев здесь велики. Рано ещё сегодня делать окончательное заключение об исходе боёв. Одно несомненно и ясно — решительное наступление немцев, начатое ими 5 июля, в первые три дня не получило успеха. Результатом этого неуспеха является нервозность и замешательство гитлеровского командования, которые оно пытается прикрыть жульническими трюками.»</w:t>
      </w:r>
    </w:p>
    <w:p w14:paraId="49C90D7B"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41171441" w14:textId="77777777" w:rsidR="00884CE6" w:rsidRPr="00271E51" w:rsidRDefault="00884CE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7 июля 1943 заместитель командира 299-й шад по воздуш</w:t>
      </w:r>
      <w:r w:rsidRPr="00271E51">
        <w:rPr>
          <w:color w:val="000000" w:themeColor="text1"/>
          <w:sz w:val="16"/>
          <w:szCs w:val="16"/>
        </w:rPr>
        <w:softHyphen/>
        <w:t>но-стрелковой службе военинже</w:t>
      </w:r>
      <w:r w:rsidRPr="00271E51">
        <w:rPr>
          <w:color w:val="000000" w:themeColor="text1"/>
          <w:sz w:val="16"/>
          <w:szCs w:val="16"/>
        </w:rPr>
        <w:softHyphen/>
        <w:t>нер 2-го ранга Щербина вылетал в составе группы из 7 самолетов Ил-2 от 217-го шап (ведущий — старший лейтенант Рыжков) для контроля результатов удара по тан</w:t>
      </w:r>
      <w:r w:rsidRPr="00271E51">
        <w:rPr>
          <w:color w:val="000000" w:themeColor="text1"/>
          <w:sz w:val="16"/>
          <w:szCs w:val="16"/>
        </w:rPr>
        <w:softHyphen/>
        <w:t>кам противника на выс. 255.0 в 1 км севернее ст. Поныри. В этом районе было обнаружено до 35 немецких танков, вкопанных в землю, и око</w:t>
      </w:r>
      <w:r w:rsidRPr="00271E51">
        <w:rPr>
          <w:color w:val="000000" w:themeColor="text1"/>
          <w:sz w:val="16"/>
          <w:szCs w:val="16"/>
        </w:rPr>
        <w:softHyphen/>
        <w:t>ло 15 танков в движении. Группа на</w:t>
      </w:r>
      <w:r w:rsidRPr="00271E51">
        <w:rPr>
          <w:color w:val="000000" w:themeColor="text1"/>
          <w:sz w:val="16"/>
          <w:szCs w:val="16"/>
        </w:rPr>
        <w:softHyphen/>
        <w:t>несла удар в 16.00 с высоты 800— 900 м с пикирования под углом 20—25°. Направление удара — 15° к большей стороне цели (площади сосредоточении танков). Бомбовая зарядка 2 самолетов состояла из ПТАБ, у остальных — из ФАБ-50. Штурмовики выполнили 2 захода на цель. Сброшенные ПТАБы на</w:t>
      </w:r>
      <w:r w:rsidRPr="00271E51">
        <w:rPr>
          <w:color w:val="000000" w:themeColor="text1"/>
          <w:sz w:val="16"/>
          <w:szCs w:val="16"/>
        </w:rPr>
        <w:softHyphen/>
        <w:t>крыли разрывами танки, 3 из ко</w:t>
      </w:r>
      <w:r w:rsidRPr="00271E51">
        <w:rPr>
          <w:color w:val="000000" w:themeColor="text1"/>
          <w:sz w:val="16"/>
          <w:szCs w:val="16"/>
        </w:rPr>
        <w:softHyphen/>
        <w:t>торых загорелись — экипажи от</w:t>
      </w:r>
      <w:r w:rsidRPr="00271E51">
        <w:rPr>
          <w:color w:val="000000" w:themeColor="text1"/>
          <w:sz w:val="16"/>
          <w:szCs w:val="16"/>
        </w:rPr>
        <w:softHyphen/>
        <w:t>четливо наблюдали пламя и чер</w:t>
      </w:r>
      <w:r w:rsidRPr="00271E51">
        <w:rPr>
          <w:color w:val="000000" w:themeColor="text1"/>
          <w:sz w:val="16"/>
          <w:szCs w:val="16"/>
        </w:rPr>
        <w:softHyphen/>
        <w:t>ный дым.</w:t>
      </w:r>
    </w:p>
    <w:p w14:paraId="2D70E306" w14:textId="77777777" w:rsidR="00884CE6" w:rsidRPr="00271E51" w:rsidRDefault="00884CE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этот же день 2 группы по 8 Ил-2 (ведущие — старший лейте</w:t>
      </w:r>
      <w:r w:rsidRPr="00271E51">
        <w:rPr>
          <w:color w:val="000000" w:themeColor="text1"/>
          <w:sz w:val="16"/>
          <w:szCs w:val="16"/>
        </w:rPr>
        <w:softHyphen/>
        <w:t>нант Баранов, младший лейтенант Голубев) от 291-й шад атаковали колонну немецкой бронетехни</w:t>
      </w:r>
      <w:r w:rsidRPr="00271E51">
        <w:rPr>
          <w:color w:val="000000" w:themeColor="text1"/>
          <w:sz w:val="16"/>
          <w:szCs w:val="16"/>
        </w:rPr>
        <w:softHyphen/>
        <w:t>ки в количестве около 400 еди</w:t>
      </w:r>
      <w:r w:rsidRPr="00271E51">
        <w:rPr>
          <w:color w:val="000000" w:themeColor="text1"/>
          <w:sz w:val="16"/>
          <w:szCs w:val="16"/>
        </w:rPr>
        <w:softHyphen/>
        <w:t>ниц в движении от Томаровка на Черкасское. Каждая группа выполнила по 2 за</w:t>
      </w:r>
      <w:r w:rsidRPr="00271E51">
        <w:rPr>
          <w:color w:val="000000" w:themeColor="text1"/>
          <w:sz w:val="16"/>
          <w:szCs w:val="16"/>
        </w:rPr>
        <w:softHyphen/>
        <w:t>хода, сбрасывая бомбы с высоты 200—300 м. В результате удара загорелось до 20 танков. Дви</w:t>
      </w:r>
      <w:r w:rsidRPr="00271E51">
        <w:rPr>
          <w:color w:val="000000" w:themeColor="text1"/>
          <w:sz w:val="16"/>
          <w:szCs w:val="16"/>
        </w:rPr>
        <w:softHyphen/>
        <w:t>жение колонны расстроилось. Противник свер</w:t>
      </w:r>
      <w:r w:rsidRPr="00271E51">
        <w:rPr>
          <w:color w:val="000000" w:themeColor="text1"/>
          <w:sz w:val="16"/>
          <w:szCs w:val="16"/>
        </w:rPr>
        <w:softHyphen/>
        <w:t>нул с дороги и рассредоточился в перелесках и лощинах.</w:t>
      </w:r>
    </w:p>
    <w:p w14:paraId="5EC215C0" w14:textId="77777777" w:rsidR="00884CE6" w:rsidRPr="00271E51" w:rsidRDefault="00884CE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июля командир 617-го шап майор Д. Л. Ломов- цев возглавил группу в составе 6 Ил-2. Штурмови ки нанесли удар по скоплению танков в районе Покровка, Яковлево, Козьмо-Демьяновка. Экипа</w:t>
      </w:r>
      <w:r w:rsidRPr="00271E51">
        <w:rPr>
          <w:color w:val="000000" w:themeColor="text1"/>
          <w:sz w:val="16"/>
          <w:szCs w:val="16"/>
        </w:rPr>
        <w:softHyphen/>
        <w:t>жи выполнили 2 атаки: 1-я с высоты 600—800 м со сбросом ПТАБ и 2-я — с обстрелом целей из РС и пушек с высоты 200—150 м. На отходе груп</w:t>
      </w:r>
      <w:r w:rsidRPr="00271E51">
        <w:rPr>
          <w:color w:val="000000" w:themeColor="text1"/>
          <w:sz w:val="16"/>
          <w:szCs w:val="16"/>
        </w:rPr>
        <w:softHyphen/>
        <w:t>пы было зафиксировано до 15 горящих танков и 4 больших взрыва.</w:t>
      </w:r>
    </w:p>
    <w:p w14:paraId="56C945E8" w14:textId="77777777" w:rsidR="00884CE6" w:rsidRPr="00271E51" w:rsidRDefault="00884CE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Контрольные вылеты «ответственных команди</w:t>
      </w:r>
      <w:r w:rsidRPr="00271E51">
        <w:rPr>
          <w:color w:val="000000" w:themeColor="text1"/>
          <w:sz w:val="16"/>
          <w:szCs w:val="16"/>
        </w:rPr>
        <w:softHyphen/>
        <w:t>ров» и поездки офицеров штабов на передовую с целью установления действительной эффектив</w:t>
      </w:r>
      <w:r w:rsidRPr="00271E51">
        <w:rPr>
          <w:color w:val="000000" w:themeColor="text1"/>
          <w:sz w:val="16"/>
          <w:szCs w:val="16"/>
        </w:rPr>
        <w:softHyphen/>
        <w:t>ности ПТАБ позволили командованию воздушных армий заявить, что «приведенные цифры потерь противника /.../ являются правильными» и заслу</w:t>
      </w:r>
      <w:r w:rsidRPr="00271E51">
        <w:rPr>
          <w:color w:val="000000" w:themeColor="text1"/>
          <w:sz w:val="16"/>
          <w:szCs w:val="16"/>
        </w:rPr>
        <w:softHyphen/>
        <w:t>живают доверия (17500).</w:t>
      </w:r>
    </w:p>
    <w:p w14:paraId="028BC959" w14:textId="77777777" w:rsidR="00884CE6" w:rsidRPr="00271E51" w:rsidRDefault="00884CE6" w:rsidP="00271E51">
      <w:pPr>
        <w:spacing w:after="0" w:line="240" w:lineRule="auto"/>
        <w:jc w:val="both"/>
        <w:rPr>
          <w:rFonts w:ascii="Times New Roman" w:hAnsi="Times New Roman"/>
          <w:color w:val="000000" w:themeColor="text1"/>
          <w:sz w:val="16"/>
          <w:szCs w:val="16"/>
        </w:rPr>
      </w:pPr>
    </w:p>
    <w:p w14:paraId="47B81CAB" w14:textId="77777777" w:rsidR="00E36137" w:rsidRPr="00271E51" w:rsidRDefault="00E36137" w:rsidP="00271E51">
      <w:pPr>
        <w:pStyle w:val="book"/>
        <w:ind w:firstLine="0"/>
        <w:jc w:val="both"/>
        <w:rPr>
          <w:color w:val="000000" w:themeColor="text1"/>
          <w:sz w:val="16"/>
          <w:szCs w:val="16"/>
        </w:rPr>
      </w:pPr>
      <w:r w:rsidRPr="00271E51">
        <w:rPr>
          <w:color w:val="000000" w:themeColor="text1"/>
          <w:sz w:val="16"/>
          <w:szCs w:val="16"/>
        </w:rPr>
        <w:t>7 июля 1943 г. две восьмерки штурмовиков 291 шад атаковали колонну противника, движущуюся в составе около 400 танков по дороге от Томаровка на Черкасское. Каждая группа штурмовиков сделала по два захода на цель, сбросив противотанковые бомбы с высоты 300-200 м. В результате удара было сожжено до 20 танков; движение колонны было нарушено, так как противник свернул с дороги и поспешил рассредоточиться в окружающих лесах и лощинах.</w:t>
      </w:r>
    </w:p>
    <w:p w14:paraId="7D30B4F2" w14:textId="77777777" w:rsidR="00E36137" w:rsidRPr="00271E51" w:rsidRDefault="00E36137" w:rsidP="00271E51">
      <w:pPr>
        <w:pStyle w:val="book"/>
        <w:ind w:firstLine="0"/>
        <w:jc w:val="both"/>
        <w:rPr>
          <w:color w:val="000000" w:themeColor="text1"/>
          <w:sz w:val="16"/>
          <w:szCs w:val="16"/>
        </w:rPr>
      </w:pPr>
      <w:r w:rsidRPr="00271E51">
        <w:rPr>
          <w:color w:val="000000" w:themeColor="text1"/>
          <w:sz w:val="16"/>
          <w:szCs w:val="16"/>
        </w:rPr>
        <w:t>Опыт применения ПТАБ-2.5-1.5 показал, что наилучшие результаты достигаются при сбрасывании их с высоты 400—300 м на выходе из планирования или с высот 120-150 м с горизонтального полёта. Бомбометание с высот 500 м и выше давало большой разнос бомб, в результате чего плотность очагов поражение оказывалась недостаточной, так как бомбы падали на расстоянии 30-40 м одна от другой. В отдельных случаях применялись противотанковые бомбы по танкам, укрывавшимся в лесу, что также не давало должного эффекта, так как ПТАБ взрывались при ударе о вершины и сучья деревьев и не могли поразить танки (18737).</w:t>
      </w:r>
    </w:p>
    <w:p w14:paraId="509A9D2D" w14:textId="77777777" w:rsidR="00E36137" w:rsidRPr="00271E51" w:rsidRDefault="00E36137" w:rsidP="00271E51">
      <w:pPr>
        <w:pStyle w:val="book"/>
        <w:ind w:firstLine="0"/>
        <w:jc w:val="both"/>
        <w:rPr>
          <w:bCs/>
          <w:color w:val="000000" w:themeColor="text1"/>
          <w:sz w:val="16"/>
          <w:szCs w:val="16"/>
        </w:rPr>
      </w:pPr>
    </w:p>
    <w:p w14:paraId="568CAB87"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7 июля 1943 восьмерка Ла-5 из 5-го гв. иап майора В. А. Зайцева нанесла удар по аэродрому Харьков-Рогань, где незадолго до этого самолет-разведчик обнаружил «скопление фашистских самолетов». Хотя каждый истребитель нес всего по две бомбы ФАБ-50, пилоты по возвращении заявили об уничтожении сразу шестнадцати самолетов, то есть по паре на брата, при этом среди них, как утверждалось, был один четырехмоторный FW-200! Собственные потери составили один «Лавочкин».</w:t>
      </w:r>
    </w:p>
    <w:p w14:paraId="6D9D2E43"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В этот же день шесть «цементбомберов» из 775-го шап атаковали аэродромы Болдыревка и Толоконное. И снова, согласно донесениям, полный успех — одиннадцать сожженных FW-190. По немецким данным, 7 июля на аэродроме Варваровка прямым попаданием авиабомбы был уничтожен один «Фокке-Вульф» из 3-й эскадрильи SchGl (19522).</w:t>
      </w:r>
    </w:p>
    <w:p w14:paraId="4204A079" w14:textId="77777777" w:rsidR="00E36137" w:rsidRPr="00271E51" w:rsidRDefault="00E36137" w:rsidP="00271E51">
      <w:pPr>
        <w:pStyle w:val="ae"/>
        <w:spacing w:before="0" w:after="0"/>
        <w:jc w:val="both"/>
        <w:textAlignment w:val="baseline"/>
        <w:rPr>
          <w:color w:val="000000" w:themeColor="text1"/>
          <w:sz w:val="16"/>
          <w:szCs w:val="16"/>
        </w:rPr>
      </w:pPr>
    </w:p>
    <w:p w14:paraId="468D1D98"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июля</w:t>
      </w:r>
      <w:r w:rsidRPr="00271E51">
        <w:rPr>
          <w:rFonts w:ascii="Times New Roman" w:hAnsi="Times New Roman"/>
          <w:color w:val="000000" w:themeColor="text1"/>
          <w:sz w:val="16"/>
          <w:szCs w:val="16"/>
        </w:rPr>
        <w:t xml:space="preserve"> в 1943 году по данным штаба Воронежского фронта, в 5.00 противник продолжал наступление с рубежа Новая Горянка - Зарытое - Яковлево - Крюково - Шопино, нанося, согласно донесению разведотдела штаба, главные удары на Быковку, Беленихино, Александровский. (Однако Быковка была уже в немецком тылу - там могли сражаться только части 52-й гвардейской стрелковой дивизии. Насчет Александровского - явная ошибка.). На участке Дуброва - Петровский (порядка 20 км по фронту) немцы силами 48-го танкового корпуса и 2-го танкового корпуса СС вклинились в оборону 3-го механизированного корпуса, 31-го танкового корпуса и 5-го гвардейского танкового корпуса, 90-й, 67-й, 51-й гвардейских стрелковых дивизий и к 20.00 вели упорные танковые бои в районах Гремучий, Покровка, Малые Маячки, Лучки, Грезное, хуторов Тетеревино, Ясная Поляна, пытаясь развить успех в направлении Обояни. Продвижение составило от 2 до 14 км. Наибольшего успеха достигли механизированные дивизии СС "Лейбштандарт" и "Райх", сражавшиеся против 31-го танкового корпуса и 5-го гвардейского танкового корпуса. К исходу дня вторая полоса обороны была прорвана в общей сложности на протяжении порядка 25 км на глубину до 16 км, на 10-км участке (Красный Октябрь - Ясная Поляна) механизированные дивизии СС "Лейбштандарт" и "Райх" подошли к тыловой полосе обороны на расстояние порядка 2 км. Здесь общее продвижение немцев за три дня наступления составило 32 км. Также с 5.00 немцы вели бои за расширение плацдарма на восточном берегу р. Северный Донец силами трех танковых дивизий и двух пехотных дивизий против семи стрелковых дивизий и трех танковых бригад. Немецкие танковые дивизии продвинулись на 10-км участке от Крейды до Батрацкой дачи на глубину до 6 км, взяв Беловскую, Ястребово, Севрюково. 81-я гвардейская стрелковая дивизия оказалась в полуокружении. Вторая полоса обороны была прорвана в общей сложности на участке порядка 12 км на глубину до 3 км. В 23.00 командующий войсками Воронежского фронта генерал армии Ватутин отдал приказ о нанесении в 10.30 8 июля контрудара силами шести танковых корпусов и двух стрелковых дивизий с целью срезать фронт на участке Сырцево - Шопино, где было пять танковых и механизированных дивизий и одна пехотная дивизия немцев (14945).</w:t>
      </w:r>
    </w:p>
    <w:p w14:paraId="2EB52FAE"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77F2E96B"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июля</w:t>
      </w:r>
      <w:r w:rsidRPr="00271E51">
        <w:rPr>
          <w:rFonts w:ascii="Times New Roman" w:hAnsi="Times New Roman"/>
          <w:color w:val="000000" w:themeColor="text1"/>
          <w:sz w:val="16"/>
          <w:szCs w:val="16"/>
        </w:rPr>
        <w:t xml:space="preserve"> в 1943 году </w:t>
      </w:r>
      <w:hyperlink r:id="rId15" w:tgtFrame="_blank" w:history="1">
        <w:r w:rsidRPr="00271E51">
          <w:rPr>
            <w:rFonts w:ascii="Times New Roman" w:hAnsi="Times New Roman"/>
            <w:color w:val="000000" w:themeColor="text1"/>
            <w:sz w:val="16"/>
            <w:szCs w:val="16"/>
          </w:rPr>
          <w:t xml:space="preserve">Эрих Хартманн </w:t>
        </w:r>
      </w:hyperlink>
      <w:r w:rsidRPr="00271E51">
        <w:rPr>
          <w:rFonts w:ascii="Times New Roman" w:hAnsi="Times New Roman"/>
          <w:color w:val="000000" w:themeColor="text1"/>
          <w:sz w:val="16"/>
          <w:szCs w:val="16"/>
        </w:rPr>
        <w:t>сбивает 7 cоветских самолетов в районе Курска, 3 «Ил-2» и 4 «Лагг-3». Самый продуктивный день в его карьере и не самый лучший для ВВС. Его персональный «Bf-109» в то время был украшен "червовым" девизом и именем невесты Хартмана Usch. Личный счет Хартмана к концу войны 352, из них 4 Мустанги. После 10 лет в советских лагерях вернулся в Германию, женился на Usch, служил в Люфтваффе ФРГ. Больше всего гордился тем, что за все время войны ни разу не потерял ведомого. Умер в 1995 году (14945).</w:t>
      </w:r>
    </w:p>
    <w:p w14:paraId="3CF1AB74"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1E4B4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Ил-2 за 20 минут уничтожили 17 танков. Потом в 4 часовом налете на 17 танковую дивизию было уничтожено 240 из 300 танков (241,41).</w:t>
      </w:r>
    </w:p>
    <w:p w14:paraId="48A6C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E8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7 июля 1943 во время атаки груп</w:t>
      </w:r>
      <w:r w:rsidRPr="00271E51">
        <w:rPr>
          <w:rFonts w:ascii="Times New Roman" w:hAnsi="Times New Roman"/>
          <w:color w:val="000000" w:themeColor="text1"/>
          <w:sz w:val="16"/>
          <w:szCs w:val="16"/>
        </w:rPr>
        <w:softHyphen/>
        <w:t xml:space="preserve">пой Ил-2 874-го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(10 машин) немец</w:t>
      </w:r>
      <w:r w:rsidRPr="00271E51">
        <w:rPr>
          <w:rFonts w:ascii="Times New Roman" w:hAnsi="Times New Roman"/>
          <w:color w:val="000000" w:themeColor="text1"/>
          <w:sz w:val="16"/>
          <w:szCs w:val="16"/>
        </w:rPr>
        <w:softHyphen/>
        <w:t>ких танков и автомашин в районах ст. Малоархангельск, Бузулук, Семеновка в воз</w:t>
      </w:r>
      <w:r w:rsidRPr="00271E51">
        <w:rPr>
          <w:rFonts w:ascii="Times New Roman" w:hAnsi="Times New Roman"/>
          <w:color w:val="000000" w:themeColor="text1"/>
          <w:sz w:val="16"/>
          <w:szCs w:val="16"/>
        </w:rPr>
        <w:softHyphen/>
        <w:t>душном бою с истребителями Люфтваффе был сбит одноместный Ил-2 мл. л-та А.С.Баранова (по докладам экипажей горящая машина упала на скопление танков противника). Одноместный "Ил" л-та В.Г.Бенуа и двухместный "ильюшин" л-та К.С.Проценко (воздушный стрелок Б.С.Первунин) получили серь</w:t>
      </w:r>
      <w:r w:rsidRPr="00271E51">
        <w:rPr>
          <w:rFonts w:ascii="Times New Roman" w:hAnsi="Times New Roman"/>
          <w:color w:val="000000" w:themeColor="text1"/>
          <w:sz w:val="16"/>
          <w:szCs w:val="16"/>
        </w:rPr>
        <w:softHyphen/>
        <w:t>езные повреждения и вышли из боя. Лейтенант Проценко сел на вынужден</w:t>
      </w:r>
      <w:r w:rsidRPr="00271E51">
        <w:rPr>
          <w:rFonts w:ascii="Times New Roman" w:hAnsi="Times New Roman"/>
          <w:color w:val="000000" w:themeColor="text1"/>
          <w:sz w:val="16"/>
          <w:szCs w:val="16"/>
        </w:rPr>
        <w:softHyphen/>
        <w:t>ную в районе Малоархангельска, а л-ту Бенуа удалось довести израненную ма</w:t>
      </w:r>
      <w:r w:rsidRPr="00271E51">
        <w:rPr>
          <w:rFonts w:ascii="Times New Roman" w:hAnsi="Times New Roman"/>
          <w:color w:val="000000" w:themeColor="text1"/>
          <w:sz w:val="16"/>
          <w:szCs w:val="16"/>
        </w:rPr>
        <w:softHyphen/>
        <w:t>шину (перебиты система выпуска шас</w:t>
      </w:r>
      <w:r w:rsidRPr="00271E51">
        <w:rPr>
          <w:rFonts w:ascii="Times New Roman" w:hAnsi="Times New Roman"/>
          <w:color w:val="000000" w:themeColor="text1"/>
          <w:sz w:val="16"/>
          <w:szCs w:val="16"/>
        </w:rPr>
        <w:softHyphen/>
        <w:t xml:space="preserve">си, сильно повреждены хвост, плоскости и т.д.) на свой аэродром (при посадке отвалился хвост, летчик остался жив). Во втором боевом вылете летчиков полка (группа в составе 7 Ил-2) на штурмовку этих же целей немецкие истребители подбили "Ил" А.В.Трубецкова, который сел на вынужденную в районе с.Юдиновка. Третий боевой вылет 874-го </w:t>
      </w:r>
      <w:r w:rsidRPr="00271E51">
        <w:rPr>
          <w:rFonts w:ascii="Times New Roman" w:hAnsi="Times New Roman"/>
          <w:iCs/>
          <w:color w:val="000000" w:themeColor="text1"/>
          <w:sz w:val="16"/>
          <w:szCs w:val="16"/>
        </w:rPr>
        <w:t xml:space="preserve">шап </w:t>
      </w:r>
      <w:r w:rsidRPr="00271E51">
        <w:rPr>
          <w:rFonts w:ascii="Times New Roman" w:hAnsi="Times New Roman"/>
          <w:color w:val="000000" w:themeColor="text1"/>
          <w:sz w:val="16"/>
          <w:szCs w:val="16"/>
        </w:rPr>
        <w:t>в район ст. Малоархангельск, Бузулук, Семеновка был самым драматичным. Над целью группа "горбатых" (ведущий группы л-т И.П.Удовенко) была перехва</w:t>
      </w:r>
      <w:r w:rsidRPr="00271E51">
        <w:rPr>
          <w:rFonts w:ascii="Times New Roman" w:hAnsi="Times New Roman"/>
          <w:color w:val="000000" w:themeColor="text1"/>
          <w:sz w:val="16"/>
          <w:szCs w:val="16"/>
        </w:rPr>
        <w:softHyphen/>
        <w:t>чена 18 истребителями Люфтваффе (10 Bf109 и 8 Fw190). В результате из 7 Ил-2, участвовавших в этом вылете, 5 ма</w:t>
      </w:r>
      <w:r w:rsidRPr="00271E51">
        <w:rPr>
          <w:rFonts w:ascii="Times New Roman" w:hAnsi="Times New Roman"/>
          <w:color w:val="000000" w:themeColor="text1"/>
          <w:sz w:val="16"/>
          <w:szCs w:val="16"/>
        </w:rPr>
        <w:softHyphen/>
        <w:t>шин было сбито... В донесении замес</w:t>
      </w:r>
      <w:r w:rsidRPr="00271E51">
        <w:rPr>
          <w:rFonts w:ascii="Times New Roman" w:hAnsi="Times New Roman"/>
          <w:color w:val="000000" w:themeColor="text1"/>
          <w:sz w:val="16"/>
          <w:szCs w:val="16"/>
        </w:rPr>
        <w:softHyphen/>
        <w:t>тителя начальника штаба полка по опе</w:t>
      </w:r>
      <w:r w:rsidRPr="00271E51">
        <w:rPr>
          <w:rFonts w:ascii="Times New Roman" w:hAnsi="Times New Roman"/>
          <w:color w:val="000000" w:themeColor="text1"/>
          <w:sz w:val="16"/>
          <w:szCs w:val="16"/>
        </w:rPr>
        <w:softHyphen/>
        <w:t>ративно-разведывательной работе м-ра А.М.Эдельштейна в этой связи указы</w:t>
      </w:r>
      <w:r w:rsidRPr="00271E51">
        <w:rPr>
          <w:rFonts w:ascii="Times New Roman" w:hAnsi="Times New Roman"/>
          <w:color w:val="000000" w:themeColor="text1"/>
          <w:sz w:val="16"/>
          <w:szCs w:val="16"/>
        </w:rPr>
        <w:softHyphen/>
        <w:t xml:space="preserve">валось: </w:t>
      </w:r>
      <w:r w:rsidRPr="00271E51">
        <w:rPr>
          <w:rFonts w:ascii="Times New Roman" w:hAnsi="Times New Roman"/>
          <w:iCs/>
          <w:color w:val="000000" w:themeColor="text1"/>
          <w:sz w:val="16"/>
          <w:szCs w:val="16"/>
        </w:rPr>
        <w:t>"Группа лейтенанта Удовенко с кон</w:t>
      </w:r>
      <w:r w:rsidRPr="00271E51">
        <w:rPr>
          <w:rFonts w:ascii="Times New Roman" w:hAnsi="Times New Roman"/>
          <w:iCs/>
          <w:color w:val="000000" w:themeColor="text1"/>
          <w:sz w:val="16"/>
          <w:szCs w:val="16"/>
        </w:rPr>
        <w:softHyphen/>
        <w:t>тролирующим летчиком Юткевичем в количестве 7 самолетов после атаки цели была атакована 10 Me-109 и 8 ФВ-190. Сопровождающие истребите</w:t>
      </w:r>
      <w:r w:rsidRPr="00271E51">
        <w:rPr>
          <w:rFonts w:ascii="Times New Roman" w:hAnsi="Times New Roman"/>
          <w:iCs/>
          <w:color w:val="000000" w:themeColor="text1"/>
          <w:sz w:val="16"/>
          <w:szCs w:val="16"/>
        </w:rPr>
        <w:softHyphen/>
        <w:t>ли не принимали надлежащих мер по отражению атак противника, в резуль</w:t>
      </w:r>
      <w:r w:rsidRPr="00271E51">
        <w:rPr>
          <w:rFonts w:ascii="Times New Roman" w:hAnsi="Times New Roman"/>
          <w:iCs/>
          <w:color w:val="000000" w:themeColor="text1"/>
          <w:sz w:val="16"/>
          <w:szCs w:val="16"/>
        </w:rPr>
        <w:softHyphen/>
        <w:t>тате не вернулись с боевого задания:</w:t>
      </w:r>
    </w:p>
    <w:p w14:paraId="4A8F9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lastRenderedPageBreak/>
        <w:t>1) коммунист, летчик, л-т Удовенко Иван Петрович,</w:t>
      </w:r>
    </w:p>
    <w:p w14:paraId="02DEEA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2) б/п, летчик, ком-р 1 аэ Юткевич Григорий Борисович,</w:t>
      </w:r>
    </w:p>
    <w:p w14:paraId="3CE53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3) коммунист, летчик, мл.л-т Спи</w:t>
      </w:r>
      <w:r w:rsidRPr="00271E51">
        <w:rPr>
          <w:rFonts w:ascii="Times New Roman" w:hAnsi="Times New Roman"/>
          <w:iCs/>
          <w:color w:val="000000" w:themeColor="text1"/>
          <w:sz w:val="16"/>
          <w:szCs w:val="16"/>
        </w:rPr>
        <w:softHyphen/>
        <w:t>ридонов Геннадий Константинович,</w:t>
      </w:r>
    </w:p>
    <w:p w14:paraId="3FD6A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4) коммунист, летчик, мл.л-т Кротков Вениамин Михайлович,</w:t>
      </w:r>
    </w:p>
    <w:p w14:paraId="29D0F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5) комсомолец, возд. стрелок Шев</w:t>
      </w:r>
      <w:r w:rsidRPr="00271E51">
        <w:rPr>
          <w:rFonts w:ascii="Times New Roman" w:hAnsi="Times New Roman"/>
          <w:iCs/>
          <w:color w:val="000000" w:themeColor="text1"/>
          <w:sz w:val="16"/>
          <w:szCs w:val="16"/>
        </w:rPr>
        <w:softHyphen/>
        <w:t>цов Иван Тимофеевич,</w:t>
      </w:r>
    </w:p>
    <w:p w14:paraId="4FF21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6) комсомолец, возд. стрелок Чуринов Филипп Сергеевич,</w:t>
      </w:r>
    </w:p>
    <w:p w14:paraId="16B38A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7) б/п, возд. стрелок Королев Лео</w:t>
      </w:r>
      <w:r w:rsidRPr="00271E51">
        <w:rPr>
          <w:rFonts w:ascii="Times New Roman" w:hAnsi="Times New Roman"/>
          <w:iCs/>
          <w:color w:val="000000" w:themeColor="text1"/>
          <w:sz w:val="16"/>
          <w:szCs w:val="16"/>
        </w:rPr>
        <w:softHyphen/>
        <w:t>нид Иванович.</w:t>
      </w:r>
    </w:p>
    <w:p w14:paraId="00E28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 задания вернулись летчики Бли</w:t>
      </w:r>
      <w:r w:rsidRPr="00271E51">
        <w:rPr>
          <w:rFonts w:ascii="Times New Roman" w:hAnsi="Times New Roman"/>
          <w:iCs/>
          <w:color w:val="000000" w:themeColor="text1"/>
          <w:sz w:val="16"/>
          <w:szCs w:val="16"/>
        </w:rPr>
        <w:softHyphen/>
        <w:t>нов и Манякин, судьба остальных не</w:t>
      </w:r>
      <w:r w:rsidRPr="00271E51">
        <w:rPr>
          <w:rFonts w:ascii="Times New Roman" w:hAnsi="Times New Roman"/>
          <w:iCs/>
          <w:color w:val="000000" w:themeColor="text1"/>
          <w:sz w:val="16"/>
          <w:szCs w:val="16"/>
        </w:rPr>
        <w:softHyphen/>
        <w:t>известна. По докладу сопровождавших истребителей и вернувшихся экипа</w:t>
      </w:r>
      <w:r w:rsidRPr="00271E51">
        <w:rPr>
          <w:rFonts w:ascii="Times New Roman" w:hAnsi="Times New Roman"/>
          <w:iCs/>
          <w:color w:val="000000" w:themeColor="text1"/>
          <w:sz w:val="16"/>
          <w:szCs w:val="16"/>
        </w:rPr>
        <w:softHyphen/>
        <w:t>жей один самолет горящим упал на цель..."</w:t>
      </w:r>
    </w:p>
    <w:p w14:paraId="0D1E70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То есть боевая живучесть Ил-2 874-го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за первые 5 дней оборонитель</w:t>
      </w:r>
      <w:r w:rsidRPr="00271E51">
        <w:rPr>
          <w:rFonts w:ascii="Times New Roman" w:hAnsi="Times New Roman"/>
          <w:color w:val="000000" w:themeColor="text1"/>
          <w:sz w:val="16"/>
          <w:szCs w:val="16"/>
        </w:rPr>
        <w:softHyphen/>
        <w:t>ного сражения составила всего 6 (!) бо</w:t>
      </w:r>
      <w:r w:rsidRPr="00271E51">
        <w:rPr>
          <w:rFonts w:ascii="Times New Roman" w:hAnsi="Times New Roman"/>
          <w:color w:val="000000" w:themeColor="text1"/>
          <w:sz w:val="16"/>
          <w:szCs w:val="16"/>
        </w:rPr>
        <w:softHyphen/>
        <w:t>евых вылетов. Усреднение за весь июль месяц дает 11 самолето-вылетов на одну боевую потерю Ил-2. Это немногим больше среднего налета на одну бое</w:t>
      </w:r>
      <w:r w:rsidRPr="00271E51">
        <w:rPr>
          <w:rFonts w:ascii="Times New Roman" w:hAnsi="Times New Roman"/>
          <w:color w:val="000000" w:themeColor="text1"/>
          <w:sz w:val="16"/>
          <w:szCs w:val="16"/>
        </w:rPr>
        <w:softHyphen/>
        <w:t>вую потерю, показанного авиаполком в самый трудный период войны - июль-сентябрь 42-го. Тогда одноместный Ил-2 терялся в среднем за 9 боевых выле</w:t>
      </w:r>
      <w:r w:rsidRPr="00271E51">
        <w:rPr>
          <w:rFonts w:ascii="Times New Roman" w:hAnsi="Times New Roman"/>
          <w:color w:val="000000" w:themeColor="text1"/>
          <w:sz w:val="16"/>
          <w:szCs w:val="16"/>
        </w:rPr>
        <w:softHyphen/>
        <w:t xml:space="preserve">тов. Что касается абсолютных потерь, то за 30 дней июля 43-го 874-й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лишил</w:t>
      </w:r>
      <w:r w:rsidRPr="00271E51">
        <w:rPr>
          <w:rFonts w:ascii="Times New Roman" w:hAnsi="Times New Roman"/>
          <w:color w:val="000000" w:themeColor="text1"/>
          <w:sz w:val="16"/>
          <w:szCs w:val="16"/>
        </w:rPr>
        <w:softHyphen/>
        <w:t>ся почти такого же количества машин, как и за 84 боевых дня июля-сентября 42-го - 24 Ил-2 против 26. А это состав</w:t>
      </w:r>
      <w:r w:rsidRPr="00271E51">
        <w:rPr>
          <w:rFonts w:ascii="Times New Roman" w:hAnsi="Times New Roman"/>
          <w:color w:val="000000" w:themeColor="text1"/>
          <w:sz w:val="16"/>
          <w:szCs w:val="16"/>
        </w:rPr>
        <w:softHyphen/>
        <w:t>ляет 19,8% (!) от полных безвозвратных потерь полка, понесенных за все время войны - с 27.06.42 г. по 27.04.45 г (6467).</w:t>
      </w:r>
    </w:p>
    <w:p w14:paraId="63C5C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34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июля 1943 Ил-2 на обоянском направлении 1 -го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2-й ВА, оказывая поддер</w:t>
      </w:r>
      <w:r w:rsidRPr="00271E51">
        <w:rPr>
          <w:rFonts w:ascii="Times New Roman" w:hAnsi="Times New Roman"/>
          <w:color w:val="000000" w:themeColor="text1"/>
          <w:sz w:val="16"/>
          <w:szCs w:val="16"/>
        </w:rPr>
        <w:softHyphen/>
        <w:t>жку 3-му мехкорпусу 1-й танковой ар</w:t>
      </w:r>
      <w:r w:rsidRPr="00271E51">
        <w:rPr>
          <w:rFonts w:ascii="Times New Roman" w:hAnsi="Times New Roman"/>
          <w:color w:val="000000" w:themeColor="text1"/>
          <w:sz w:val="16"/>
          <w:szCs w:val="16"/>
        </w:rPr>
        <w:softHyphen/>
        <w:t>мии, в период с 4.40 до 6.40 утра двумя группами в 46 и 33 самолетов при под</w:t>
      </w:r>
      <w:r w:rsidRPr="00271E51">
        <w:rPr>
          <w:rFonts w:ascii="Times New Roman" w:hAnsi="Times New Roman"/>
          <w:color w:val="000000" w:themeColor="text1"/>
          <w:sz w:val="16"/>
          <w:szCs w:val="16"/>
        </w:rPr>
        <w:softHyphen/>
        <w:t>держке 66 истребителей нанесли сосре</w:t>
      </w:r>
      <w:r w:rsidRPr="00271E51">
        <w:rPr>
          <w:rFonts w:ascii="Times New Roman" w:hAnsi="Times New Roman"/>
          <w:color w:val="000000" w:themeColor="text1"/>
          <w:sz w:val="16"/>
          <w:szCs w:val="16"/>
        </w:rPr>
        <w:softHyphen/>
        <w:t>доточенные удары по скоплению танков противника на исходных позициях в рай</w:t>
      </w:r>
      <w:r w:rsidRPr="00271E51">
        <w:rPr>
          <w:rFonts w:ascii="Times New Roman" w:hAnsi="Times New Roman"/>
          <w:color w:val="000000" w:themeColor="text1"/>
          <w:sz w:val="16"/>
          <w:szCs w:val="16"/>
        </w:rPr>
        <w:softHyphen/>
        <w:t>оне Сырцево-Яковлево, сосредоточен</w:t>
      </w:r>
      <w:r w:rsidRPr="00271E51">
        <w:rPr>
          <w:rFonts w:ascii="Times New Roman" w:hAnsi="Times New Roman"/>
          <w:color w:val="000000" w:themeColor="text1"/>
          <w:sz w:val="16"/>
          <w:szCs w:val="16"/>
        </w:rPr>
        <w:softHyphen/>
        <w:t>ных для атаки в направлении на Крас</w:t>
      </w:r>
      <w:r w:rsidRPr="00271E51">
        <w:rPr>
          <w:rFonts w:ascii="Times New Roman" w:hAnsi="Times New Roman"/>
          <w:color w:val="000000" w:themeColor="text1"/>
          <w:sz w:val="16"/>
          <w:szCs w:val="16"/>
        </w:rPr>
        <w:softHyphen/>
        <w:t>ную Дубраву (до 300-350 танков) и Боль</w:t>
      </w:r>
      <w:r w:rsidRPr="00271E51">
        <w:rPr>
          <w:rFonts w:ascii="Times New Roman" w:hAnsi="Times New Roman"/>
          <w:color w:val="000000" w:themeColor="text1"/>
          <w:sz w:val="16"/>
          <w:szCs w:val="16"/>
        </w:rPr>
        <w:softHyphen/>
        <w:t>шие Маячки (до 100 танков).</w:t>
      </w:r>
    </w:p>
    <w:p w14:paraId="1C911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Удар 1-го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и активные действия 3-го мехкорпуса увенчались успехом -немцы не смогли прорвать вторую по</w:t>
      </w:r>
      <w:r w:rsidRPr="00271E51">
        <w:rPr>
          <w:rFonts w:ascii="Times New Roman" w:hAnsi="Times New Roman"/>
          <w:color w:val="000000" w:themeColor="text1"/>
          <w:sz w:val="16"/>
          <w:szCs w:val="16"/>
        </w:rPr>
        <w:softHyphen/>
        <w:t>лосу обороны в центре 1 -и ТА. Дешиф</w:t>
      </w:r>
      <w:r w:rsidRPr="00271E51">
        <w:rPr>
          <w:rFonts w:ascii="Times New Roman" w:hAnsi="Times New Roman"/>
          <w:color w:val="000000" w:themeColor="text1"/>
          <w:sz w:val="16"/>
          <w:szCs w:val="16"/>
        </w:rPr>
        <w:softHyphen/>
        <w:t>ровка фотоснимков поля боя на 13.15 показала наличие более 200 подбитых немецких танков и САУ (6467).</w:t>
      </w:r>
    </w:p>
    <w:p w14:paraId="060B43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06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заместитель командира 299-го шад по воздушно-стрелковой службе военный инженер 2-го ранга Щербина вылетал в составе группы из 7 Ил-2 от 217-го шап (ведущий ст. лейтенант Рыжков) для контроля результатов удара по танкам противника на выс. 255.0 в 1 км севернее ст. Поныри. В этом районе было обнаружено до 35 немецких танков, вкопанных в землю, и около 15 танков в движении. Группа нанесла удар с высоты 800-900 м с пикирования под углом 20-25°. Бомбовая зарядка двух самолетов состояла из ПТАБ, у остальных - из ФАБ-50. Штурмовики выполнили два захода на цель. Сброшенные ПТАБ накрыли разрывами танки, три из которых загорелись - экипажи отчетливо наблюдали пламя и черный дым.</w:t>
      </w:r>
    </w:p>
    <w:p w14:paraId="520D4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командир 617-го шап майор Д. J1. Ломовцев возглавил группу в составе 6 Ил-2. Штурмовики нанесли удар по скоплению танков в районе Покровка, Яковлево, Козьмо-Демьяновка. Экипажи выполнили две атаки: первая с высоты 600-800 м со сбросом ПТАБ и вторая - с обстрелом целей из PC и пушек с высоты 200-150 м. На отходе группы было зафиксировано до 15 горяших танков и четыре больших взрывов.</w:t>
      </w:r>
    </w:p>
    <w:p w14:paraId="639F1C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вылеты "ответственных командиров" и поездки офицеров штабов на передовую с целью установления действительной эффективности ПТАБ позволили командованию воздушных армий заявить, что "приведенные цифры потерь противника ... являются правильными" и заслуживают доверия (12020).</w:t>
      </w:r>
    </w:p>
    <w:p w14:paraId="6A083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0846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7 июля 1943 заместитель коман</w:t>
      </w:r>
      <w:r w:rsidRPr="00271E51">
        <w:rPr>
          <w:rFonts w:ascii="Times New Roman" w:cs="Times New Roman"/>
          <w:color w:val="000000" w:themeColor="text1"/>
          <w:spacing w:val="0"/>
        </w:rPr>
        <w:softHyphen/>
        <w:t>дира 299-й шад по воздушно-стрелковой службе военинженер 2-го ранга Щербина вылетал в составе группы из 7 самолетов Ил-2 от 217-го шап (ведущий старший лей</w:t>
      </w:r>
      <w:r w:rsidRPr="00271E51">
        <w:rPr>
          <w:rFonts w:ascii="Times New Roman" w:cs="Times New Roman"/>
          <w:color w:val="000000" w:themeColor="text1"/>
          <w:spacing w:val="0"/>
        </w:rPr>
        <w:softHyphen/>
        <w:t>тенант Рыжков) для контроля результатов удара по танкам противника на высоте 255.0 в 1 км севернее ст. Поныри. В этом районе было обнаружено до 35 немецких танков, вкопанных в землю, и около 15 тан</w:t>
      </w:r>
      <w:r w:rsidRPr="00271E51">
        <w:rPr>
          <w:rFonts w:ascii="Times New Roman" w:cs="Times New Roman"/>
          <w:color w:val="000000" w:themeColor="text1"/>
          <w:spacing w:val="0"/>
        </w:rPr>
        <w:softHyphen/>
        <w:t>ков в движении. Группа нанесла удар с вы</w:t>
      </w:r>
      <w:r w:rsidRPr="00271E51">
        <w:rPr>
          <w:rFonts w:ascii="Times New Roman" w:cs="Times New Roman"/>
          <w:color w:val="000000" w:themeColor="text1"/>
          <w:spacing w:val="0"/>
        </w:rPr>
        <w:softHyphen/>
        <w:t>соты 800-900 м с пикирования под углом 20-25'. Бомбовая зарядка двух самолетов состояла из ПТАБ, у остальных - из ФАБ-50. Штурмовики выполнили два захода на цель. Сброшенные ПТАБ накрыли разрывами тан</w:t>
      </w:r>
      <w:r w:rsidRPr="00271E51">
        <w:rPr>
          <w:rFonts w:ascii="Times New Roman" w:cs="Times New Roman"/>
          <w:color w:val="000000" w:themeColor="text1"/>
          <w:spacing w:val="0"/>
        </w:rPr>
        <w:softHyphen/>
        <w:t>ки, три из которых загорелись, экипажи от</w:t>
      </w:r>
      <w:r w:rsidRPr="00271E51">
        <w:rPr>
          <w:rFonts w:ascii="Times New Roman" w:cs="Times New Roman"/>
          <w:color w:val="000000" w:themeColor="text1"/>
          <w:spacing w:val="0"/>
        </w:rPr>
        <w:softHyphen/>
        <w:t>четливо наблюдали пламя и черный дым (12739).</w:t>
      </w:r>
    </w:p>
    <w:p w14:paraId="6CA50131"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112BAC7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пилоты 51077, 5Ю2 и 5сИ.01 доложили об уничтожении 44 тан</w:t>
      </w:r>
      <w:r w:rsidRPr="00271E51">
        <w:rPr>
          <w:rFonts w:ascii="Times New Roman" w:hAnsi="Times New Roman"/>
          <w:color w:val="000000" w:themeColor="text1"/>
          <w:sz w:val="16"/>
          <w:szCs w:val="16"/>
        </w:rPr>
        <w:softHyphen/>
        <w:t>ков, 20 орудий и около 50 автомашин.</w:t>
      </w:r>
    </w:p>
    <w:p w14:paraId="538407D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июля пилоты этих же эскадр и противотанковой группы РиР2 уничтожили и повредили якобы 88 танков, 4 артиллерийских и 3 зенитных орудий, 2 установки гвардейских минометов БМ-13 и около 40 автомашин. Причем бо</w:t>
      </w:r>
      <w:r w:rsidRPr="00271E51">
        <w:rPr>
          <w:rFonts w:ascii="Times New Roman" w:hAnsi="Times New Roman"/>
          <w:color w:val="000000" w:themeColor="text1"/>
          <w:sz w:val="16"/>
          <w:szCs w:val="16"/>
        </w:rPr>
        <w:softHyphen/>
        <w:t>лее 80 единиц советской бронетехники из этого числа было уничтожено и поврежде</w:t>
      </w:r>
      <w:r w:rsidRPr="00271E51">
        <w:rPr>
          <w:rFonts w:ascii="Times New Roman" w:hAnsi="Times New Roman"/>
          <w:color w:val="000000" w:themeColor="text1"/>
          <w:sz w:val="16"/>
          <w:szCs w:val="16"/>
        </w:rPr>
        <w:softHyphen/>
        <w:t>но летчиками самолетов Нз129В.</w:t>
      </w:r>
    </w:p>
    <w:p w14:paraId="0B2E1FF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заявления немецких пилотов об уничтожении большого коли</w:t>
      </w:r>
      <w:r w:rsidRPr="00271E51">
        <w:rPr>
          <w:rFonts w:ascii="Times New Roman" w:hAnsi="Times New Roman"/>
          <w:color w:val="000000" w:themeColor="text1"/>
          <w:sz w:val="16"/>
          <w:szCs w:val="16"/>
        </w:rPr>
        <w:softHyphen/>
        <w:t>чества советских танков, как, впрочем, и других наземных целей, обычно не под</w:t>
      </w:r>
      <w:r w:rsidRPr="00271E51">
        <w:rPr>
          <w:rFonts w:ascii="Times New Roman" w:hAnsi="Times New Roman"/>
          <w:color w:val="000000" w:themeColor="text1"/>
          <w:sz w:val="16"/>
          <w:szCs w:val="16"/>
        </w:rPr>
        <w:softHyphen/>
        <w:t>тверждались ничем, кроме их собственных слов. На большинстве самолетов кинофотопулеметы отсутствовали, а если и были, то фиксировали не результат действия, а лишь попадания снарядов в танк.</w:t>
      </w:r>
    </w:p>
    <w:p w14:paraId="038E3F6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реальные по</w:t>
      </w:r>
      <w:r w:rsidRPr="00271E51">
        <w:rPr>
          <w:rFonts w:ascii="Times New Roman" w:hAnsi="Times New Roman"/>
          <w:color w:val="000000" w:themeColor="text1"/>
          <w:sz w:val="16"/>
          <w:szCs w:val="16"/>
        </w:rPr>
        <w:softHyphen/>
        <w:t>тери советских танкистов от бомб, а уж тем более от пушечного немецкой авиации в действительности оказались значительно скромнее, чем это отражается в докладах немецких пилотов (12728).</w:t>
      </w:r>
    </w:p>
    <w:p w14:paraId="0322E3A8"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6C844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по немецким данным, подвергшаяся в течение дня нескольким массирован</w:t>
      </w:r>
      <w:r w:rsidRPr="00271E51">
        <w:rPr>
          <w:rFonts w:ascii="Times New Roman" w:hAnsi="Times New Roman"/>
          <w:color w:val="000000" w:themeColor="text1"/>
          <w:sz w:val="16"/>
          <w:szCs w:val="16"/>
        </w:rPr>
        <w:softHyphen/>
        <w:t>ным бомбоштурмовым ударам штурмо</w:t>
      </w:r>
      <w:r w:rsidRPr="00271E51">
        <w:rPr>
          <w:rFonts w:ascii="Times New Roman" w:hAnsi="Times New Roman"/>
          <w:color w:val="000000" w:themeColor="text1"/>
          <w:sz w:val="16"/>
          <w:szCs w:val="16"/>
        </w:rPr>
        <w:softHyphen/>
        <w:t>виков 2-й воздушной армии 3-я танко</w:t>
      </w:r>
      <w:r w:rsidRPr="00271E51">
        <w:rPr>
          <w:rFonts w:ascii="Times New Roman" w:hAnsi="Times New Roman"/>
          <w:color w:val="000000" w:themeColor="text1"/>
          <w:sz w:val="16"/>
          <w:szCs w:val="16"/>
        </w:rPr>
        <w:softHyphen/>
        <w:t>вая дивизия СС "Мертвая Голова" в рай</w:t>
      </w:r>
      <w:r w:rsidRPr="00271E51">
        <w:rPr>
          <w:rFonts w:ascii="Times New Roman" w:hAnsi="Times New Roman"/>
          <w:color w:val="000000" w:themeColor="text1"/>
          <w:sz w:val="16"/>
          <w:szCs w:val="16"/>
        </w:rPr>
        <w:softHyphen/>
        <w:t>оне Большие Маячки лишилась в общей сложности 270 танков, САУ и бронетран</w:t>
      </w:r>
      <w:r w:rsidRPr="00271E51">
        <w:rPr>
          <w:rFonts w:ascii="Times New Roman" w:hAnsi="Times New Roman"/>
          <w:color w:val="000000" w:themeColor="text1"/>
          <w:sz w:val="16"/>
          <w:szCs w:val="16"/>
        </w:rPr>
        <w:softHyphen/>
        <w:t>спортеров. Плотность накрытия бомба</w:t>
      </w:r>
      <w:r w:rsidRPr="00271E51">
        <w:rPr>
          <w:rFonts w:ascii="Times New Roman" w:hAnsi="Times New Roman"/>
          <w:color w:val="000000" w:themeColor="text1"/>
          <w:sz w:val="16"/>
          <w:szCs w:val="16"/>
        </w:rPr>
        <w:softHyphen/>
        <w:t>ми была такова, что было зафиксирова</w:t>
      </w:r>
      <w:r w:rsidRPr="00271E51">
        <w:rPr>
          <w:rFonts w:ascii="Times New Roman" w:hAnsi="Times New Roman"/>
          <w:color w:val="000000" w:themeColor="text1"/>
          <w:sz w:val="16"/>
          <w:szCs w:val="16"/>
        </w:rPr>
        <w:softHyphen/>
        <w:t>но свыше 2000 (!) прямых попаданий ПТАБ-2,5-1,5.</w:t>
      </w:r>
    </w:p>
    <w:p w14:paraId="2AD63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этот же день немецкая танковая колонна численностью до 400 единиц бронетехники, двигавшаяся по дороге из Томаровки на Черкаское, была атакова</w:t>
      </w:r>
      <w:r w:rsidRPr="00271E51">
        <w:rPr>
          <w:rFonts w:ascii="Times New Roman" w:hAnsi="Times New Roman"/>
          <w:color w:val="000000" w:themeColor="text1"/>
          <w:sz w:val="16"/>
          <w:szCs w:val="16"/>
        </w:rPr>
        <w:softHyphen/>
        <w:t xml:space="preserve">на двумя группами Ил-2 из 61-го </w:t>
      </w:r>
      <w:r w:rsidRPr="00271E51">
        <w:rPr>
          <w:rFonts w:ascii="Times New Roman" w:hAnsi="Times New Roman"/>
          <w:iCs/>
          <w:color w:val="000000" w:themeColor="text1"/>
          <w:sz w:val="16"/>
          <w:szCs w:val="16"/>
        </w:rPr>
        <w:t xml:space="preserve">шап </w:t>
      </w:r>
      <w:r w:rsidRPr="00271E51">
        <w:rPr>
          <w:rFonts w:ascii="Times New Roman" w:hAnsi="Times New Roman"/>
          <w:color w:val="000000" w:themeColor="text1"/>
          <w:sz w:val="16"/>
          <w:szCs w:val="16"/>
        </w:rPr>
        <w:t xml:space="preserve">291-й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2-й ВА, по 8 машин в каждой группе, под командованием ст.л-та П.Ба</w:t>
      </w:r>
      <w:r w:rsidRPr="00271E51">
        <w:rPr>
          <w:rFonts w:ascii="Times New Roman" w:hAnsi="Times New Roman"/>
          <w:color w:val="000000" w:themeColor="text1"/>
          <w:sz w:val="16"/>
          <w:szCs w:val="16"/>
        </w:rPr>
        <w:softHyphen/>
        <w:t>ранова и мл.л-та С.Голубева. В резуль</w:t>
      </w:r>
      <w:r w:rsidRPr="00271E51">
        <w:rPr>
          <w:rFonts w:ascii="Times New Roman" w:hAnsi="Times New Roman"/>
          <w:color w:val="000000" w:themeColor="text1"/>
          <w:sz w:val="16"/>
          <w:szCs w:val="16"/>
        </w:rPr>
        <w:softHyphen/>
        <w:t>тате удара по докладам экипажей было выведено из строя до 20 танков и САУ противника. Движение колонны было приостановлено. Танки стали рассредо</w:t>
      </w:r>
      <w:r w:rsidRPr="00271E51">
        <w:rPr>
          <w:rFonts w:ascii="Times New Roman" w:hAnsi="Times New Roman"/>
          <w:color w:val="000000" w:themeColor="text1"/>
          <w:sz w:val="16"/>
          <w:szCs w:val="16"/>
        </w:rPr>
        <w:softHyphen/>
        <w:t>точиваться в лощинах и перелесках. Сразу же после посадки Голубев повел другую восьмерку "Илов" к месту обна</w:t>
      </w:r>
      <w:r w:rsidRPr="00271E51">
        <w:rPr>
          <w:rFonts w:ascii="Times New Roman" w:hAnsi="Times New Roman"/>
          <w:color w:val="000000" w:themeColor="text1"/>
          <w:sz w:val="16"/>
          <w:szCs w:val="16"/>
        </w:rPr>
        <w:softHyphen/>
        <w:t>ружения танковой колонны. В повторном ударе было выведено из строя 12 танков (6467).</w:t>
      </w:r>
    </w:p>
    <w:p w14:paraId="76FB2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02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летчики-штурмовики 16-й воздушной армии в период 15.40-17.15 тре</w:t>
      </w:r>
      <w:r w:rsidRPr="00271E51">
        <w:rPr>
          <w:rFonts w:ascii="Times New Roman" w:hAnsi="Times New Roman"/>
          <w:color w:val="000000" w:themeColor="text1"/>
          <w:sz w:val="16"/>
          <w:szCs w:val="16"/>
        </w:rPr>
        <w:softHyphen/>
        <w:t>мя сосредоточенными бомбоштурмовыми ударами по 20-30 Ил-2 в каждом со</w:t>
      </w:r>
      <w:r w:rsidRPr="00271E51">
        <w:rPr>
          <w:rFonts w:ascii="Times New Roman" w:hAnsi="Times New Roman"/>
          <w:color w:val="000000" w:themeColor="text1"/>
          <w:sz w:val="16"/>
          <w:szCs w:val="16"/>
        </w:rPr>
        <w:softHyphen/>
        <w:t>рвали атаку 200 немецких танков и мо</w:t>
      </w:r>
      <w:r w:rsidRPr="00271E51">
        <w:rPr>
          <w:rFonts w:ascii="Times New Roman" w:hAnsi="Times New Roman"/>
          <w:color w:val="000000" w:themeColor="text1"/>
          <w:sz w:val="16"/>
          <w:szCs w:val="16"/>
        </w:rPr>
        <w:softHyphen/>
        <w:t>топехоты в районе вые. 257,0, Кашара на позиции 16-го танкового корпуса 2-й танковой армии. По докладам экипажей в результате ударов на поле боя заго</w:t>
      </w:r>
      <w:r w:rsidRPr="00271E51">
        <w:rPr>
          <w:rFonts w:ascii="Times New Roman" w:hAnsi="Times New Roman"/>
          <w:color w:val="000000" w:themeColor="text1"/>
          <w:sz w:val="16"/>
          <w:szCs w:val="16"/>
        </w:rPr>
        <w:softHyphen/>
        <w:t>релось 34 немецких танка (6467).</w:t>
      </w:r>
    </w:p>
    <w:p w14:paraId="11EC8C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CE3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заместитель командира 299-го шад по воздушно-стрелковой службе военный инженер 2-го ранга Щербина вылетал в составе группы из 7 Ил-2 от 217-го шап (ведущий ст. лейтенант Рыжков) для контроля результатов удара по танкам противника на вые. 255.0 в 1 км севернее ст. Поныри. В этом районе было обнаружено до 35 немецких тан</w:t>
      </w:r>
      <w:r w:rsidRPr="00271E51">
        <w:rPr>
          <w:rFonts w:ascii="Times New Roman" w:hAnsi="Times New Roman"/>
          <w:color w:val="000000" w:themeColor="text1"/>
          <w:sz w:val="16"/>
          <w:szCs w:val="16"/>
        </w:rPr>
        <w:softHyphen/>
        <w:t>ков, вкопанных в землю, и около 15 танков в движении. Груп</w:t>
      </w:r>
      <w:r w:rsidRPr="00271E51">
        <w:rPr>
          <w:rFonts w:ascii="Times New Roman" w:hAnsi="Times New Roman"/>
          <w:color w:val="000000" w:themeColor="text1"/>
          <w:sz w:val="16"/>
          <w:szCs w:val="16"/>
        </w:rPr>
        <w:softHyphen/>
        <w:t>па нанесла удар с высоты 800—900 м с пикирования под углом 20—25°. Бомбовая зарядка двух самолетов состояла из ПТАБ, у остальных — из ФАБ-50. Штурмовики выполнили два захода на цель. Сброшенные ПТАБ накрыли разрывами танки, три из которых загорелись — экипажи отчетливо наблюдали пламя и черный дым (11474,242).</w:t>
      </w:r>
    </w:p>
    <w:p w14:paraId="613593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7297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7 июля с 5 июля 1943 включительно безвозвратная убыль матчасти 9-го смешанного авиакорпуса 17-й ВА, который в основном работал по переправам через р.Северский Донец, составила около 55% первоначального состава: 672-й шап - 23, 995-й шап - 18, 991-й шап - 14, 237-й шап - 18, 175-й шап - 13 и 955-й шап - 17 самолетов Ил-2. На одну потерю Ил-2 пришлось всего 2,8 (!) боевых самолето-вылетов. При этом первая немецкая переправа через Северский Донец была разрушена экипажами 9-го сак только вечером 6 июля, когда группу 6 Ил-2 от 955-го шап повел командир полка подполковник Буланов.</w:t>
      </w:r>
    </w:p>
    <w:p w14:paraId="4A280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Расследование офицерами Генерального штаба столь больших потерь 9 сак показало, что: "...Не была организована борьба с зенитной артиллерией у цели. Выделялись только отдельные замыкающие в группе, что мало. Одновременно в районе цели появлялись 3-4 группы - большая скученность у цели. ...В указанных местах сбора экипажи не собирались, в других случаях не было ясно указано командованием частей и ведущих групп порядок и места сбора. ...Часть летного состава не знала действующих аэродромов и посадочных площадок по ходу цели и обратно, не было указано, куда садиться подбитым самолетам при уходе от цели".</w:t>
      </w:r>
    </w:p>
    <w:p w14:paraId="7C8FC3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полноты картины необходимо добавить, что "истребители прикрытия с 5 по 8 июля своей работы полностью не выполняли": "Если до цели сопровождение хорошее, то в районе цели брали большое превышение, вследствие чего отрывались от группы и теряли ее из виду. Штурмовики после атаки цели попадали под удар истребительной авиации противника и не получали помощи от своих истребителей".</w:t>
      </w:r>
    </w:p>
    <w:p w14:paraId="323BE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Критически оценивая сложившуюся ситуацию, командование ВВС КА, командующие воздушными армиями внесли серьезные коррективы в организацию боевых действий авиации в районе Курского выступа (12020).</w:t>
      </w:r>
    </w:p>
    <w:p w14:paraId="3FECA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F0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июля 1943 в 1-ю гвардейской Сталинградской иад и 273-ю иад 6-го иак (16 ВА, Центральный фронт), где проходили войсковые испытания Як-9Т - потеряли лишь одну машину. Прикрывая наземные войска, самолет № 0162 (54 гкиап) был атакован сзади с малой дистанции истребителем FW-190. Это был его четвертый боевой вылет (12046).</w:t>
      </w:r>
    </w:p>
    <w:p w14:paraId="2DB8B1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C5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в соответствии с приказом командира 1-й польской дивизии (пд) имени Т. Костюшко полковника 3. Берлинга началось формирование Отдельной польской истребительной эскадрильи. Личный состав был набран из солдат и офицеров советских ВВС, поляков по национальности. Командиром эскадрильи, увеличенной приказом от 10 августа 1943 г. до размеров полка, стал капитан Ч. Козловски - гражданин СССР, поляк по национальности.</w:t>
      </w:r>
    </w:p>
    <w:p w14:paraId="39E62F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1-й иап "Варшава" получил три первые машины Як-1. Обучение, как и у французов, началось с полетов на УТ-2 и Як-7В. Первых два летчика вылетели самостоятельно 30 сентября. К 20 февраля 1944 г. была подготовлена первая эскадрилья, а к 28 мая весь полк стал полностью бо- еготовым. 3 июня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4EC5D4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16697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66BA52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150549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AEE7F"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7 июня 1943 самолет-разведчик обнаружил в Кобхольм-фьорде два немецких транспорта, шедшие без охранения. Для нанесения воздушного удара по ним вылетели пять Ил-2 во главе с капитаном Алексеем Мазуренко. Их прикрывали 12 «Харрикейнов» и «Аэрокобр». Штурмовики зашли на цель со стороны финского берега и на высоте 1500 метров появились над морем.</w:t>
      </w:r>
    </w:p>
    <w:p w14:paraId="7DCC23E6"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Немецкие моряки, до этого в Арктике ни разу не видавшие «черную смерть», поначалу даже не поняли, что это за самолеты, и подали опознавательные сигналы. И, только не получив ответа, корабельные зенитки открыли по ним огонь. Трассеры также появились и со стороны берега, с замаскированных зенитных батарей.</w:t>
      </w:r>
    </w:p>
    <w:p w14:paraId="1B8A1D60" w14:textId="77777777" w:rsidR="00E36137" w:rsidRPr="00271E51" w:rsidRDefault="00E36137" w:rsidP="00271E51">
      <w:pPr>
        <w:pStyle w:val="ae"/>
        <w:spacing w:before="0" w:after="0"/>
        <w:jc w:val="both"/>
        <w:textAlignment w:val="baseline"/>
        <w:rPr>
          <w:color w:val="000000" w:themeColor="text1"/>
          <w:sz w:val="16"/>
          <w:szCs w:val="16"/>
        </w:rPr>
      </w:pPr>
      <w:r w:rsidRPr="00271E51">
        <w:rPr>
          <w:color w:val="000000" w:themeColor="text1"/>
          <w:sz w:val="16"/>
          <w:szCs w:val="16"/>
        </w:rPr>
        <w:t>Штурмовики выполнили сброс бомб по традиционной «сухопутной» схеме, с пологого пикирования и с высоты 1200–1400 метров. Лейтенант Сергей Гуляев затем доложил, что после прямых попаданий его 100-кг бомб «загорелся и затонул» транспорт тоннажем в 5000 брт, а капитан Мазуренко претендовал на «повреждение» другого судна. Однако на самом деле оба транспорта благополучно дошли до порта назначения (19522).</w:t>
      </w:r>
    </w:p>
    <w:p w14:paraId="1C95B83B" w14:textId="77777777" w:rsidR="00E36137" w:rsidRPr="00271E51" w:rsidRDefault="00E36137" w:rsidP="00271E51">
      <w:pPr>
        <w:pStyle w:val="ae"/>
        <w:spacing w:before="0" w:after="0"/>
        <w:jc w:val="both"/>
        <w:textAlignment w:val="baseline"/>
        <w:rPr>
          <w:color w:val="000000" w:themeColor="text1"/>
          <w:sz w:val="16"/>
          <w:szCs w:val="16"/>
        </w:rPr>
      </w:pPr>
    </w:p>
    <w:p w14:paraId="36C96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по немецким данным 9-я германская танковая дивизия в районе вые. 257,0, Кашара от воздействия авиации потеряла 70 танков (6467).</w:t>
      </w:r>
    </w:p>
    <w:p w14:paraId="676B7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DA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согласно данным противника, при атаке конвоя "Geleit-134" у Ана</w:t>
      </w:r>
      <w:r w:rsidRPr="00271E51">
        <w:rPr>
          <w:rFonts w:ascii="Times New Roman" w:hAnsi="Times New Roman"/>
          <w:color w:val="000000" w:themeColor="text1"/>
          <w:sz w:val="16"/>
          <w:szCs w:val="16"/>
        </w:rPr>
        <w:softHyphen/>
        <w:t xml:space="preserve">пы штурмовики-гвардейцы 8-го </w:t>
      </w:r>
      <w:r w:rsidRPr="00271E51">
        <w:rPr>
          <w:rFonts w:ascii="Times New Roman" w:hAnsi="Times New Roman"/>
          <w:iCs/>
          <w:color w:val="000000" w:themeColor="text1"/>
          <w:sz w:val="16"/>
          <w:szCs w:val="16"/>
        </w:rPr>
        <w:t xml:space="preserve">гшап </w:t>
      </w:r>
      <w:r w:rsidRPr="00271E51">
        <w:rPr>
          <w:rFonts w:ascii="Times New Roman" w:hAnsi="Times New Roman"/>
          <w:color w:val="000000" w:themeColor="text1"/>
          <w:sz w:val="16"/>
          <w:szCs w:val="16"/>
        </w:rPr>
        <w:t>повредили 3 БДБ</w:t>
      </w:r>
    </w:p>
    <w:p w14:paraId="4A6FE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158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массированным упреждающим ударом 16ВА в районе Поныри была сорвана готовившаяся атака противника (518,229).</w:t>
      </w:r>
    </w:p>
    <w:p w14:paraId="2893EB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74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после массированного удара советской авиации командующий 13А г Н.П.Пухов писал: "В 12 час. 30 мин. немецкие войска были подвергнуты мощному удару нашей авиации. войска, наблюдавшие за действиями авиации, сообщили, что в результате бомбардировки сожжено и подбито 30 танков, а также уничтожено большое количество пехоты." (518,227).</w:t>
      </w:r>
    </w:p>
    <w:p w14:paraId="0B5BF0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35C1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приказом НКО N 255 7 ак Лен.А ПВО, сформированный 19 июня 1941, преобразовали во 2-й ГЛен.иак ПВО (Е.Е.Ерлыкин) (3398,235).</w:t>
      </w:r>
    </w:p>
    <w:p w14:paraId="664B8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55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7th, 1943: In the battle of Kursk, the German forces engaged are still unable to achieve a major breakthrough in the face of stiffening Soviet resistance reenforced by the arrival of strong tank and infantry reserves. Lt. Hartmann, II/JG 52, downs 7 Soviet aircraft near Kursk, bringing his total to date to 22. Off the coast of Brazil, U-185 (Kptlt. Maus) sinks 3 merchant ships (3819).</w:t>
      </w:r>
    </w:p>
    <w:p w14:paraId="6F6E87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61E1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немецкий ас Эрих Хартман на Курской дуге сбил в течение дня 7 советских самолетов (2115), доведя счет до 22 (3819).</w:t>
      </w:r>
    </w:p>
    <w:p w14:paraId="0C1D4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EC9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во время оборонительной операции Воронежского фронта под Курском воздушная разведка 2ВА обнаружила выдвижение из района Томаровки крупной танковой группировки (до 400 единиц), предназначавшаяся для развития успеха. Привлекли АДД, которые совершили 300 самолето-вылетов. По колонне действовала и часть сил ш и б авиации 2 и 17ВА, которые произвели 178 вылетов. Колонна в результате ударов неоднократно прекращала движение и рассосредотачивалась и была введена в сражение разрозненными частями и с опозданием (518,227).</w:t>
      </w:r>
    </w:p>
    <w:p w14:paraId="58B21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26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н авиация сосредоточилась против войск ЦФ, действуя группами по 80-120 , но добиться превосходства в воздухе не смог. 16ВА при содействии 15Ва выполнила 1370 вылетов, а немцы - 1000. На воронежском фронте - 2ВА при поддержке 17ВА выполнила 1400 против 560 немецких. Сбили вместе на Ц и В - 233 + 12 на аэродромах, потеряв 122 (340,146).</w:t>
      </w:r>
    </w:p>
    <w:p w14:paraId="1794CF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FA5A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потери немцев были 233 в воздухе + 12 на аэродромах, а наших - 122 (340,146).</w:t>
      </w:r>
    </w:p>
    <w:p w14:paraId="197FBC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3B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маршал авиации А.Новиков выпустил директиву N 502634, в которой по результатам боев на Курской дуге отмечал недостаточное взаимодействие между родами авиации, плохое управление самолетами с земли по радио. Слишком пассивно вели борьбу истребители, привязанные к объекту или району. Л нечетко действовали в паре, а пары между собой. Шаблонно действовали ш. Немцы изучили их основные тактические приемы и заранее знали как и когда их лучше атаковать. Основной недостаток бомбардировщиков - низкая точность бомбометания (атаки с пикирования применялись крайне редко) и слабая обороноспособность в бою (2785,34).</w:t>
      </w:r>
    </w:p>
    <w:p w14:paraId="0FC532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04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командир эскадрильи ОН Н.И.Новиков, который стал первым миллионером, был награжден ОЛ за второй миллион (438,875).</w:t>
      </w:r>
    </w:p>
    <w:p w14:paraId="0CE7F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CD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 пилоты StG77, StG2 и Sch.Gl доложили об уничтожении 44 танков, 20 орудий и около 50 автомашин (9084).</w:t>
      </w:r>
    </w:p>
    <w:p w14:paraId="41383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D7A4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119FB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D4E5D5" w14:textId="77777777" w:rsidR="00B12AF7" w:rsidRPr="00271E51" w:rsidRDefault="00B12AF7" w:rsidP="00271E51">
      <w:pPr>
        <w:spacing w:after="0" w:line="240" w:lineRule="auto"/>
        <w:jc w:val="both"/>
        <w:rPr>
          <w:rFonts w:ascii="Times New Roman" w:hAnsi="Times New Roman"/>
          <w:bCs/>
          <w:color w:val="000000" w:themeColor="text1"/>
          <w:sz w:val="16"/>
          <w:szCs w:val="16"/>
          <w:vertAlign w:val="subscript"/>
        </w:rPr>
      </w:pPr>
      <w:r w:rsidRPr="00271E51">
        <w:rPr>
          <w:rFonts w:ascii="Times New Roman" w:hAnsi="Times New Roman"/>
          <w:bCs/>
          <w:color w:val="000000" w:themeColor="text1"/>
          <w:sz w:val="16"/>
          <w:szCs w:val="16"/>
        </w:rPr>
        <w:lastRenderedPageBreak/>
        <w:t>7 июля</w:t>
      </w:r>
      <w:r w:rsidRPr="00271E51">
        <w:rPr>
          <w:rFonts w:ascii="Times New Roman" w:hAnsi="Times New Roman"/>
          <w:color w:val="000000" w:themeColor="text1"/>
          <w:sz w:val="16"/>
          <w:szCs w:val="16"/>
        </w:rPr>
        <w:t xml:space="preserve"> в 1943 году Курт Танк решил лично опробовать «Та-154V-1». В целом программа испытаний была чрезвычайно насыщенной - в отдельные дни выполнялось по несколько вылетов. Но из-за неполадки в гидросистеме пришлось преждевременно завершить полет</w:t>
      </w:r>
    </w:p>
    <w:p w14:paraId="7E81F564" w14:textId="77777777" w:rsidR="00B12AF7" w:rsidRPr="00271E51" w:rsidRDefault="00B12AF7" w:rsidP="00271E51">
      <w:pPr>
        <w:spacing w:after="0" w:line="240" w:lineRule="auto"/>
        <w:jc w:val="both"/>
        <w:rPr>
          <w:rFonts w:ascii="Times New Roman" w:hAnsi="Times New Roman"/>
          <w:bCs/>
          <w:color w:val="000000" w:themeColor="text1"/>
          <w:sz w:val="16"/>
          <w:szCs w:val="16"/>
          <w:vertAlign w:val="subscript"/>
        </w:rPr>
      </w:pPr>
    </w:p>
    <w:p w14:paraId="5AAFF570"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июля</w:t>
      </w:r>
      <w:r w:rsidRPr="00271E51">
        <w:rPr>
          <w:rFonts w:ascii="Times New Roman" w:hAnsi="Times New Roman"/>
          <w:color w:val="000000" w:themeColor="text1"/>
          <w:sz w:val="16"/>
          <w:szCs w:val="16"/>
        </w:rPr>
        <w:t xml:space="preserve"> в 1943 году из Японии в Германию стартовал второй опытный японский экспериментальный дальний самолет </w:t>
      </w:r>
      <w:hyperlink r:id="rId16" w:tgtFrame="_blank" w:history="1">
        <w:r w:rsidRPr="00271E51">
          <w:rPr>
            <w:rFonts w:ascii="Times New Roman" w:hAnsi="Times New Roman"/>
            <w:color w:val="000000" w:themeColor="text1"/>
            <w:sz w:val="16"/>
            <w:szCs w:val="16"/>
          </w:rPr>
          <w:t xml:space="preserve">самолет «Ки 77», </w:t>
        </w:r>
      </w:hyperlink>
      <w:r w:rsidRPr="00271E51">
        <w:rPr>
          <w:rFonts w:ascii="Times New Roman" w:hAnsi="Times New Roman"/>
          <w:color w:val="000000" w:themeColor="text1"/>
          <w:sz w:val="16"/>
          <w:szCs w:val="16"/>
        </w:rPr>
        <w:t>но пропал где-то над Индийским океаном, предположительно был сбит британскими истребителями. Самолет получил военное обозначение «Ки 77» и был закончен в сентябре 1942 г. После доработки системы охлаждения двигателей самолет был впервые поднят в воздух 18 ноября 1942 г с аэродрома Тачикавы под управлением пилотов Камады и Hагатомо. Летные характеристики полностью удовлетворяли заказчика, но мотогондолы пришлось переделывать несколько раз, чтобы добиться нормального охлаждения двигателей при рулежках на земле. После решения всех проблем на «Ки 77 20-21» апреля 1943 г был совершен беспосадочный перелет из Фусса под Токио до Сингапура протяженностью 5330 км за 19 часов 13 минут. Второй опытный самолет был облетан через месяц. Его и готовили к перелету в Германию (14945).</w:t>
      </w:r>
    </w:p>
    <w:p w14:paraId="2B67AA1F"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157B781D"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июля 1943 Tachikawa Ki-77 Императорской армии Японии вылетает из Сингапура с экипажем из пяти человек и тремя пассажирами на борту, намереваясь совершить беспосадочный перелет на немецкий аэродром в Сарабусе (ныне Гвардейское ) в Крыму. Он исчезает над Индийским океаном во время полета. (20376)</w:t>
      </w:r>
    </w:p>
    <w:p w14:paraId="3CBBA0DD" w14:textId="77777777" w:rsidR="007B4EF1" w:rsidRPr="00271E51" w:rsidRDefault="007B4EF1" w:rsidP="00271E51">
      <w:pPr>
        <w:spacing w:after="0" w:line="240" w:lineRule="auto"/>
        <w:jc w:val="both"/>
        <w:rPr>
          <w:rFonts w:ascii="Times New Roman" w:hAnsi="Times New Roman"/>
          <w:color w:val="0070C0"/>
          <w:sz w:val="16"/>
          <w:szCs w:val="16"/>
        </w:rPr>
      </w:pPr>
    </w:p>
    <w:p w14:paraId="05171E33"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7 июля 1943 года в Италии начались войсковые испытания «леона» Z.1018А. </w:t>
      </w:r>
    </w:p>
    <w:p w14:paraId="62EE2AD2"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Чтобы ускорить дело, фирма CRDA построила прототип частично из дерева, а первые из десяти Z.1018A установочной серии и вовсе были цельнодеревянными.</w:t>
      </w:r>
    </w:p>
    <w:p w14:paraId="65ED9F24"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Один предсерийный самолет был передан в 262-ю бомбардировочную эскадрилью, но вскоре он разбился. На почве этой неудачи между Заппатой и руководством CRDA возник конфликт, и тот перебрался на фирму «Бреда», где на базе Z.1018 он спроектировал целый ряд цельнометаллических самолетов, в том числе высотный бомбардировщик B.Z.301 «Леон» I и дальний торпедоносец B.Z.303 «Леон» II, но ни один из них построен не был (22845).</w:t>
      </w:r>
    </w:p>
    <w:p w14:paraId="67FF14A6" w14:textId="77777777" w:rsidR="007B4EF1" w:rsidRPr="00271E51" w:rsidRDefault="007B4EF1" w:rsidP="00271E51">
      <w:pPr>
        <w:spacing w:after="0" w:line="240" w:lineRule="auto"/>
        <w:jc w:val="both"/>
        <w:rPr>
          <w:rFonts w:ascii="Times New Roman" w:hAnsi="Times New Roman"/>
          <w:color w:val="0070C0"/>
          <w:sz w:val="16"/>
          <w:szCs w:val="16"/>
        </w:rPr>
      </w:pPr>
    </w:p>
    <w:p w14:paraId="3FC805B6"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июля 1943-го начальник ракетного центра в Пенемюнде Дорнбергер, технический директор фон Браун и начальник полигона Штейнгоф выступили с докладом об испытании «оружия возмездия» в ставке Гитлера «Вольфшанце» в Восточной Пруссии. Был продемонстрирован цветной фильм о первом удачном запуске ракеты А-4 с комментариями фон Брауна, а Дорнбергер высту</w:t>
      </w:r>
      <w:r w:rsidRPr="00271E51">
        <w:rPr>
          <w:rFonts w:ascii="Times New Roman" w:hAnsi="Times New Roman"/>
          <w:color w:val="0070C0"/>
          <w:sz w:val="16"/>
          <w:szCs w:val="16"/>
        </w:rPr>
        <w:softHyphen/>
        <w:t>пил с подробным докладом. Гитлер был буквально заворожен увиденным. 28-летнему фон Брауну присвоили звание профес</w:t>
      </w:r>
      <w:r w:rsidRPr="00271E51">
        <w:rPr>
          <w:rFonts w:ascii="Times New Roman" w:hAnsi="Times New Roman"/>
          <w:color w:val="0070C0"/>
          <w:sz w:val="16"/>
          <w:szCs w:val="16"/>
        </w:rPr>
        <w:softHyphen/>
        <w:t>сора, а руководство полигона добилось получения вне очереди необходимых материалов и квалифицированных кадров для массового производства своего детища.</w:t>
      </w:r>
    </w:p>
    <w:p w14:paraId="778FF60C"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Итак, через десять лет после начала теоретических иссле</w:t>
      </w:r>
      <w:r w:rsidRPr="00271E51">
        <w:rPr>
          <w:rFonts w:ascii="Times New Roman" w:hAnsi="Times New Roman"/>
          <w:color w:val="0070C0"/>
          <w:sz w:val="16"/>
          <w:szCs w:val="16"/>
        </w:rPr>
        <w:softHyphen/>
        <w:t>дований и шести лет практических работ в Германии появился новый вид оружия — баллистическая ракета среднего радиу</w:t>
      </w:r>
      <w:r w:rsidRPr="00271E51">
        <w:rPr>
          <w:rFonts w:ascii="Times New Roman" w:hAnsi="Times New Roman"/>
          <w:color w:val="0070C0"/>
          <w:sz w:val="16"/>
          <w:szCs w:val="16"/>
        </w:rPr>
        <w:softHyphen/>
        <w:t>са действия. Эта ракета имела характеристики, которые мог</w:t>
      </w:r>
      <w:r w:rsidRPr="00271E51">
        <w:rPr>
          <w:rFonts w:ascii="Times New Roman" w:hAnsi="Times New Roman"/>
          <w:color w:val="0070C0"/>
          <w:sz w:val="16"/>
          <w:szCs w:val="16"/>
        </w:rPr>
        <w:softHyphen/>
        <w:t>ли ввергнуть в шок и прострацию всех ракетчиков остально</w:t>
      </w:r>
      <w:r w:rsidRPr="00271E51">
        <w:rPr>
          <w:rFonts w:ascii="Times New Roman" w:hAnsi="Times New Roman"/>
          <w:color w:val="0070C0"/>
          <w:sz w:val="16"/>
          <w:szCs w:val="16"/>
        </w:rPr>
        <w:softHyphen/>
        <w:t>го мира: длина 14 м, диаметр 1,65 м, размах стабилизаторов 3,55 м, стартовая масса 12,9 т, вес боеголовки 1 т, дальность 275 км (22798).</w:t>
      </w:r>
    </w:p>
    <w:p w14:paraId="68DF2FE1" w14:textId="77777777" w:rsidR="007B4EF1" w:rsidRPr="00271E51" w:rsidRDefault="007B4EF1" w:rsidP="00271E51">
      <w:pPr>
        <w:spacing w:after="0" w:line="240" w:lineRule="auto"/>
        <w:jc w:val="both"/>
        <w:rPr>
          <w:rFonts w:ascii="Times New Roman" w:hAnsi="Times New Roman"/>
          <w:color w:val="0070C0"/>
          <w:sz w:val="16"/>
          <w:szCs w:val="16"/>
        </w:rPr>
      </w:pPr>
    </w:p>
    <w:p w14:paraId="42F63856"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7 1943 Adolf Hitler gave the German V-2 program highest military priority (1038).</w:t>
      </w:r>
    </w:p>
    <w:p w14:paraId="7ADC033F"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757714"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А.Г. дал программе Фау-2 высший военный приоритет (1038). это было после выступления Нач. центра в Пенемюнде Дорнберга, тех. директора Вернера фон Брауна и нач. полигона Штейнгофа в Вольфшанце в Восточной Пруссии. Показали цветной фильм. А.Г. был заворожен и 28-летнему фон Брауну присвоили звание профессора (2469,17).</w:t>
      </w:r>
    </w:p>
    <w:p w14:paraId="66662962"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E7CC0" w14:textId="77777777" w:rsidR="00E36137" w:rsidRPr="00271E51" w:rsidRDefault="00E36137" w:rsidP="00271E51">
      <w:pPr>
        <w:pStyle w:val="ae"/>
        <w:shd w:val="clear" w:color="auto" w:fill="FFFFFF"/>
        <w:spacing w:before="0" w:after="0"/>
        <w:jc w:val="both"/>
        <w:rPr>
          <w:color w:val="000000" w:themeColor="text1"/>
          <w:sz w:val="16"/>
          <w:szCs w:val="16"/>
        </w:rPr>
      </w:pPr>
      <w:r w:rsidRPr="00271E51">
        <w:rPr>
          <w:color w:val="000000" w:themeColor="text1"/>
          <w:sz w:val="16"/>
          <w:szCs w:val="16"/>
        </w:rPr>
        <w:t>7 июля 1943-го начальник ракетного центра в Пенемюнде Дорнбергер, технический директор фон Браун и начальник полигона Штейнгоф выступили с докладом об испытании «оружия возмездия» в ставке Гитлера «Вольфшанц» в Восточной Пруссии. Был продемонстрирован цветной фильм о первом удачном запуске ракеты А-4 с комментариями фон Брауна. Гитлер был буквально заворожен увиденным. Специально созданной комиссии по ракетам дальнего действия были продемонстрированы пуски двух ракет А-4, точно поразивших условные цели. Эффект удачных стартов А-4 произвел ошеломляющее впечатление на Шпеера и гросс-адмирала Деница, которые безоговорочно поверили в возможность при помощи нового «чуда-оружия» поставить на колени правительства и население многих стран. В денежном выражении при запланированном производстве 12000 ракет (30 штук в cутки) одна Фау-2 обошлась бы в 6 раз дешевле бомбардировщика, которого в среднем хватало на 4-5 боевых вылетов (19624).</w:t>
      </w:r>
    </w:p>
    <w:p w14:paraId="7614BE05"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14CAB1CB"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года в ставке «Вольфшанце» под Растенбургом (Восточная Пруссия) состоялась встреча начальника ракетного центра Пенемюнде Вальтера Дорнбергера и технического директора Вернера фон Брауна с фюрером.</w:t>
      </w:r>
    </w:p>
    <w:p w14:paraId="3F13627B"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Фон Браун сделал краткое сообщение о ходе работ над «А-4». После доклада Гитлеру были показаны фильм о запуске снарядов, а также модели ракеты и средств ее транспортировки: «майлервагена» и «видальвагена». Не забыл Дорнбергер упомянуть и об экономической составляющей. Его доводы были просты. Во время «Битвы за Англию» люфтваффе теряли в среднем один бомбардировщик после пяти-шести вылетов, то есть каждый бомбардировщик успевал сбросить от шести до восьми тонн бомб. Стоимость же бомбардировщика вместе с обученным экипажем определяется в 1140000 марок. А ракета «А-4», несущая тонну взрывчатки, стоит в тридцать раз меньше – всего 38000 марок. Сплошная экономия!</w:t>
      </w:r>
    </w:p>
    <w:p w14:paraId="65B5E930"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Дорнбергер умолчал о другом. Неприцельная стрельба ракетами могла деморализовать противника, но не могла нанести существенного ущерба его инфраструктуре, экономическому и военному потенциалу. В то же время союзники по антигитлеровской коалиции в ответ на ракетные обстрелы могли усилить интенсивность бомбардировок, загоняя Германию под землю.</w:t>
      </w:r>
    </w:p>
    <w:p w14:paraId="0EBFD4D8"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Альберт Шпеер по этому поводу писал:</w:t>
      </w:r>
    </w:p>
    <w:p w14:paraId="7055265A"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«Абсурдной была сама идея противопоставить бомбардировочной авиации образца 1944 г., которая на протяжении многих месяцев (в среднем по 4100 вылетов в месяц) сбрасывала с четырехмоторных бомбардировщиков ежедневно три тысячи тонн взрывчатки на Германию, ракетные залпы, которые могли бы доставлять в Англию 24 т взрывчатки, т.е. бомбовый груз налета всего шести „летающих крепостей“. И нарекать это Возмездием!</w:t>
      </w:r>
    </w:p>
    <w:p w14:paraId="0DAD3A44"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по-видимому, была моя самая тяжелая ошибка за время руководства немецкой военной промышленностью – я не только согласился с этим решением Гитлера, но и одобрил его. И это – вместо того, чтобы сконцентрировать наши усилия на создании оборонительной ракеты «земля-воздух». Еще в 1942 г. под кодовым названием «Водопад» ее разработка продвинулась настолько далеко, что было уже почти возможно запускать ее в серию. Но для этого на ее доводке нужно было бы сосредоточить все таланты техников и ученых ракетного центра в Пенемюнде под руководством Вернера фон Брауна. &lt;…&gt;</w:t>
      </w:r>
    </w:p>
    <w:p w14:paraId="49A10803"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и сегодня полагаю, что ракеты в комбинации с реактивными истребителями могли бы с начала 1944 г. сорвать воздушное наступление западных союзников с воздуха на нашу промышленность. Вместо этого огромные средства были затрачены на разработку и производство ракет дальнего действия, которые, когда осенью 1944 г., наконец, дошло дело до их боевого применения, обнаружили себя как почти полная неудача. Наш самый дорогой проект оказался и самым бессмысленным. Предмет нашей гордости, какое-то время и мне особенно импонировавший вид вооружения обернулся всего лишь растратой сил и средств. Помимо всего прочего, он явился одной из причин того, что мы проиграли и оборонительную воздушную войну».</w:t>
      </w:r>
    </w:p>
    <w:p w14:paraId="41BD359A"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ни Дорнбергер, ни фон Браун, ни Гитлер об этом не подумали. Наоборот, фюрер был совершенно очарован рассказом фон Брауна и фильмом. Поздравив ракетчиков с большим успехом, достигнутым ими в столь сложном деле, фюрер выразил сожаление, что раньше был недостаточно информирован о боевых свойствах нового оружия.</w:t>
      </w:r>
    </w:p>
    <w:p w14:paraId="12BE3EF9"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бы, – сказал он со вдохом, – мы имели А-4 раньше и в достаточных количествах, это могло бы сыграть решающую роль в войне».</w:t>
      </w:r>
    </w:p>
    <w:p w14:paraId="27828AC2"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Дорнбергер продолжал еще рассказывать о каких-то организационных проблемах, а присутствовавший Шпеер предложил Гитлеру присвоить фон Брауну звание профессора.</w:t>
      </w:r>
    </w:p>
    <w:p w14:paraId="56120613"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 организуйте это сейчас же, – оживленно согласился тот. – Ради такого случая я сам подпишу диплом».</w:t>
      </w:r>
    </w:p>
    <w:p w14:paraId="0C7FD954"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Вернер фон Браун стал самым молодым профессором.</w:t>
      </w:r>
    </w:p>
    <w:p w14:paraId="1FC11780"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ракетчиками Гитлер распрощался необыкновенно сердечно. Он был под сильным впечатлением, более того – загорелся. Вернувшись в свой бункер, он упивался перспективами, которые открывались этим проектом:</w:t>
      </w:r>
    </w:p>
    <w:p w14:paraId="4DAF54E1"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«А-4 – это решающая стратегическая акция. И какое бремя свалится с нашей родины, когда мы нанесем такой удар по англичанам! Это решающее в военном отношении оружие и относительно дешевое в производстве. Вы, Шпеер, должны всемерно содействовать А-4. Все, что потребуется, – рабочая сила, материалы – все должно им даваться немедленно. Я уже собирался подписывать программу по танкам. А теперь вот что – пройдитесь по тексту и уравняйте по категории срочности А-4 с производством танков».</w:t>
      </w:r>
    </w:p>
    <w:p w14:paraId="5A580B3C" w14:textId="77777777" w:rsidR="00B12AF7" w:rsidRPr="00271E51" w:rsidRDefault="00B12AF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Вопрос был решен раз и навсегда. Ракеты стали частью программы нанесения «ударов возмездия». Самолеты-снаряды «Fi-103» отныне назывались «V-1» («Фау-1»), а баллистические ракеты «А-4» – «V-2» («Фау-2»). Буква «V» одновременно означала немецкое слово «Vergeltung» («Возмездие») и использовалась для </w:t>
      </w:r>
      <w:r w:rsidRPr="00271E51">
        <w:rPr>
          <w:rFonts w:ascii="Times New Roman" w:hAnsi="Times New Roman"/>
          <w:color w:val="000000" w:themeColor="text1"/>
          <w:sz w:val="16"/>
          <w:szCs w:val="16"/>
        </w:rPr>
        <w:lastRenderedPageBreak/>
        <w:t>дискредитации известного английского символа победы. Обозначение «V-3» было зарезервировано за проектом сверхдальнобойной пушки (11688).</w:t>
      </w:r>
    </w:p>
    <w:p w14:paraId="7EB3F248" w14:textId="77777777" w:rsidR="00B12AF7" w:rsidRPr="00271E51" w:rsidRDefault="00B12AF7" w:rsidP="00271E51">
      <w:pPr>
        <w:spacing w:after="0" w:line="240" w:lineRule="auto"/>
        <w:jc w:val="both"/>
        <w:rPr>
          <w:rFonts w:ascii="Times New Roman" w:hAnsi="Times New Roman"/>
          <w:bCs/>
          <w:color w:val="000000" w:themeColor="text1"/>
          <w:sz w:val="16"/>
          <w:szCs w:val="16"/>
        </w:rPr>
      </w:pPr>
    </w:p>
    <w:p w14:paraId="5862AD2A" w14:textId="77777777" w:rsidR="00B12AF7" w:rsidRPr="00271E51" w:rsidRDefault="00B12AF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июля</w:t>
      </w:r>
      <w:r w:rsidRPr="00271E51">
        <w:rPr>
          <w:rFonts w:ascii="Times New Roman" w:hAnsi="Times New Roman"/>
          <w:color w:val="000000" w:themeColor="text1"/>
          <w:sz w:val="16"/>
          <w:szCs w:val="16"/>
        </w:rPr>
        <w:t xml:space="preserve"> в 1943 году нападение гоминьдановских войск на Пограничный (Особый) район Шэньси — Ганьсу — Нинься, контролируемый коммунистами (14945).</w:t>
      </w:r>
    </w:p>
    <w:p w14:paraId="5C9A0B95" w14:textId="77777777" w:rsidR="00B12AF7" w:rsidRPr="00271E51" w:rsidRDefault="00B12AF7" w:rsidP="00271E51">
      <w:pPr>
        <w:spacing w:after="0" w:line="240" w:lineRule="auto"/>
        <w:jc w:val="both"/>
        <w:rPr>
          <w:rFonts w:ascii="Times New Roman" w:hAnsi="Times New Roman"/>
          <w:color w:val="000000" w:themeColor="text1"/>
          <w:sz w:val="16"/>
          <w:szCs w:val="16"/>
        </w:rPr>
      </w:pPr>
    </w:p>
    <w:p w14:paraId="1CBB3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У-185 (Маус) потопила у побережья Бразилии три транспорта (3819).</w:t>
      </w:r>
    </w:p>
    <w:p w14:paraId="567EF7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61E9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1943 американской мафией убит миллионер Гарри Окс (4962).</w:t>
      </w:r>
    </w:p>
    <w:p w14:paraId="00003E8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B994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E544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816067"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июля 1943 с замечанием: «По постановлению ГКО № 3144 Ил-2 с пушками 37 мм ОКБ-15 должен иметь боекомплект 100 патронов и 100 кг бомб. При такой нагрузке и надо было ис</w:t>
      </w:r>
      <w:r w:rsidRPr="00271E51">
        <w:rPr>
          <w:color w:val="000000" w:themeColor="text1"/>
          <w:sz w:val="16"/>
          <w:szCs w:val="16"/>
        </w:rPr>
        <w:softHyphen/>
        <w:t>пытывать» главныый инженер ВВС генерал А. К. Репин утвердил Акт по первому этапу контрольных государственных испытаний головного серийного Ил-2 зав. № 302349 с пушками 11П, которые прошли с 27 мая по 22 июня 1943.</w:t>
      </w:r>
    </w:p>
    <w:p w14:paraId="1A5C25F6"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271E51">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5C292056"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30CA7882"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Отстрел пушек 11П производился с целью вы</w:t>
      </w:r>
      <w:r w:rsidRPr="00271E51">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271E51">
        <w:rPr>
          <w:color w:val="000000" w:themeColor="text1"/>
          <w:sz w:val="16"/>
          <w:szCs w:val="16"/>
        </w:rPr>
        <w:softHyphen/>
        <w:t>ния точечных целей. Пушки пристре</w:t>
      </w:r>
      <w:r w:rsidRPr="00271E51">
        <w:rPr>
          <w:color w:val="000000" w:themeColor="text1"/>
          <w:sz w:val="16"/>
          <w:szCs w:val="16"/>
        </w:rPr>
        <w:softHyphen/>
        <w:t>ливались на дистанцию 800 м.</w:t>
      </w:r>
    </w:p>
    <w:p w14:paraId="627DD0F7"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стрельбах выяснилось, что правая пушечная установка (пушка зав. № АГ-191) работала удовлетво</w:t>
      </w:r>
      <w:r w:rsidRPr="00271E51">
        <w:rPr>
          <w:color w:val="000000" w:themeColor="text1"/>
          <w:sz w:val="16"/>
          <w:szCs w:val="16"/>
        </w:rPr>
        <w:softHyphen/>
        <w:t>рительно, а в левой установке (пушка зав. № АГ-242) «остались неустраненными выпадения патронов из лен</w:t>
      </w:r>
      <w:r w:rsidRPr="00271E51">
        <w:rPr>
          <w:color w:val="000000" w:themeColor="text1"/>
          <w:sz w:val="16"/>
          <w:szCs w:val="16"/>
        </w:rPr>
        <w:softHyphen/>
        <w:t>ты при расстреле последних 4—15 патронов боекомплекта, приводя</w:t>
      </w:r>
      <w:r w:rsidRPr="00271E51">
        <w:rPr>
          <w:color w:val="000000" w:themeColor="text1"/>
          <w:sz w:val="16"/>
          <w:szCs w:val="16"/>
        </w:rPr>
        <w:softHyphen/>
        <w:t>щие к рассоединению ленты» (всего 4 случая).</w:t>
      </w:r>
    </w:p>
    <w:p w14:paraId="0FC68759"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сами пушки, уста</w:t>
      </w:r>
      <w:r w:rsidRPr="00271E51">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4E431F39"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Максимальная емкость патрон</w:t>
      </w:r>
      <w:r w:rsidRPr="00271E51">
        <w:rPr>
          <w:color w:val="000000" w:themeColor="text1"/>
          <w:sz w:val="16"/>
          <w:szCs w:val="16"/>
        </w:rPr>
        <w:softHyphen/>
        <w:t>ных ящиков пушек 11П равнялась 60 снарядам, при испытаниях в них загружали не более 50—55 снаря</w:t>
      </w:r>
      <w:r w:rsidRPr="00271E51">
        <w:rPr>
          <w:color w:val="000000" w:themeColor="text1"/>
          <w:sz w:val="16"/>
          <w:szCs w:val="16"/>
        </w:rPr>
        <w:softHyphen/>
        <w:t>дов. При этом наиболее благоприят</w:t>
      </w:r>
      <w:r w:rsidRPr="00271E51">
        <w:rPr>
          <w:color w:val="000000" w:themeColor="text1"/>
          <w:sz w:val="16"/>
          <w:szCs w:val="16"/>
        </w:rPr>
        <w:softHyphen/>
        <w:t>ной укладкой ленты, для исключения задевания звеньев съемниками, яв</w:t>
      </w:r>
      <w:r w:rsidRPr="00271E51">
        <w:rPr>
          <w:color w:val="000000" w:themeColor="text1"/>
          <w:sz w:val="16"/>
          <w:szCs w:val="16"/>
        </w:rPr>
        <w:softHyphen/>
        <w:t>ляется укладка нижнего горизонталь</w:t>
      </w:r>
      <w:r w:rsidRPr="00271E51">
        <w:rPr>
          <w:color w:val="000000" w:themeColor="text1"/>
          <w:sz w:val="16"/>
          <w:szCs w:val="16"/>
        </w:rPr>
        <w:softHyphen/>
        <w:t>ного ряда и последующей вертикаль</w:t>
      </w:r>
      <w:r w:rsidRPr="00271E51">
        <w:rPr>
          <w:color w:val="000000" w:themeColor="text1"/>
          <w:sz w:val="16"/>
          <w:szCs w:val="16"/>
        </w:rPr>
        <w:softHyphen/>
        <w:t>ной змейкой (укладка начинается от пушки).</w:t>
      </w:r>
    </w:p>
    <w:p w14:paraId="0011A8E6"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в горизонтальном по</w:t>
      </w:r>
      <w:r w:rsidRPr="00271E51">
        <w:rPr>
          <w:color w:val="000000" w:themeColor="text1"/>
          <w:sz w:val="16"/>
          <w:szCs w:val="16"/>
        </w:rPr>
        <w:softHyphen/>
        <w:t>лете и на кабрировании произво</w:t>
      </w:r>
      <w:r w:rsidRPr="00271E51">
        <w:rPr>
          <w:color w:val="000000" w:themeColor="text1"/>
          <w:sz w:val="16"/>
          <w:szCs w:val="16"/>
        </w:rPr>
        <w:softHyphen/>
        <w:t>дилась на скоростях 320, 300, 270, 250 и 230 км/ч по прибору одновре</w:t>
      </w:r>
      <w:r w:rsidRPr="00271E51">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271E51">
        <w:rPr>
          <w:color w:val="000000" w:themeColor="text1"/>
          <w:sz w:val="16"/>
          <w:szCs w:val="16"/>
        </w:rPr>
        <w:softHyphen/>
        <w:t>ет значительные толчки, причем чем меньше ско</w:t>
      </w:r>
      <w:r w:rsidRPr="00271E51">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40893534"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по наземным мишеням проводи</w:t>
      </w:r>
      <w:r w:rsidRPr="00271E51">
        <w:rPr>
          <w:color w:val="000000" w:themeColor="text1"/>
          <w:sz w:val="16"/>
          <w:szCs w:val="16"/>
        </w:rPr>
        <w:softHyphen/>
        <w:t>лась с планирования и пикирования под углами 10° и 30°. Было установлено, что наиболее выгод</w:t>
      </w:r>
      <w:r w:rsidRPr="00271E51">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6ACAE7D4"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271E51">
        <w:rPr>
          <w:color w:val="000000" w:themeColor="text1"/>
          <w:sz w:val="16"/>
          <w:szCs w:val="16"/>
        </w:rPr>
        <w:softHyphen/>
        <w:t>ся в поле зрения летчика и получаются меньшие ошибки в наводке по направлению». Ввод в пики</w:t>
      </w:r>
      <w:r w:rsidRPr="00271E51">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271E51">
        <w:rPr>
          <w:color w:val="000000" w:themeColor="text1"/>
          <w:sz w:val="16"/>
          <w:szCs w:val="16"/>
        </w:rPr>
        <w:softHyphen/>
        <w:t>лете иметь высоту не менее 100 м». То есть с высо</w:t>
      </w:r>
      <w:r w:rsidRPr="00271E51">
        <w:rPr>
          <w:color w:val="000000" w:themeColor="text1"/>
          <w:sz w:val="16"/>
          <w:szCs w:val="16"/>
        </w:rPr>
        <w:softHyphen/>
        <w:t>ты 200 м при перегрузке на выводе 2,5—3 единицы.</w:t>
      </w:r>
    </w:p>
    <w:p w14:paraId="052C92A0"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2 пушек «чувствуется значи</w:t>
      </w:r>
      <w:r w:rsidRPr="00271E51">
        <w:rPr>
          <w:color w:val="000000" w:themeColor="text1"/>
          <w:sz w:val="16"/>
          <w:szCs w:val="16"/>
        </w:rPr>
        <w:softHyphen/>
        <w:t>тельная отдача назад». Вследствие плохой про</w:t>
      </w:r>
      <w:r w:rsidRPr="00271E51">
        <w:rPr>
          <w:color w:val="000000" w:themeColor="text1"/>
          <w:sz w:val="16"/>
          <w:szCs w:val="16"/>
        </w:rPr>
        <w:softHyphen/>
        <w:t>дольной устойчивости самолета прицеливание нарушается после первых же выстрелов и «получа</w:t>
      </w:r>
      <w:r w:rsidRPr="00271E51">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271E51">
        <w:rPr>
          <w:color w:val="000000" w:themeColor="text1"/>
          <w:sz w:val="16"/>
          <w:szCs w:val="16"/>
        </w:rPr>
        <w:softHyphen/>
        <w:t>обходимо было вести только короткими очередями по 2—3 выстрела. Внесение поправок в прицелива</w:t>
      </w:r>
      <w:r w:rsidRPr="00271E51">
        <w:rPr>
          <w:color w:val="000000" w:themeColor="text1"/>
          <w:sz w:val="16"/>
          <w:szCs w:val="16"/>
        </w:rPr>
        <w:softHyphen/>
        <w:t>ние было возможным, но требует от летчиков опре</w:t>
      </w:r>
      <w:r w:rsidRPr="00271E51">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271E51">
        <w:rPr>
          <w:color w:val="000000" w:themeColor="text1"/>
          <w:sz w:val="16"/>
          <w:szCs w:val="16"/>
        </w:rPr>
        <w:softHyphen/>
        <w:t>ровке можно было выполнить 3—4 прицельные очереди.</w:t>
      </w:r>
    </w:p>
    <w:p w14:paraId="1A01B91A"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одной пушки самолет силь</w:t>
      </w:r>
      <w:r w:rsidRPr="00271E51">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4F26DE08"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Прицел ВВ-1 не отвечает требованиям прицель</w:t>
      </w:r>
      <w:r w:rsidRPr="00271E51">
        <w:rPr>
          <w:color w:val="000000" w:themeColor="text1"/>
          <w:sz w:val="16"/>
          <w:szCs w:val="16"/>
        </w:rPr>
        <w:softHyphen/>
        <w:t>ной стрельбы из пушек 11П по точечным целям с самолета Ил-2. Получалось так, что цель разме</w:t>
      </w:r>
      <w:r w:rsidRPr="00271E51">
        <w:rPr>
          <w:color w:val="000000" w:themeColor="text1"/>
          <w:sz w:val="16"/>
          <w:szCs w:val="16"/>
        </w:rPr>
        <w:softHyphen/>
        <w:t>рами 6x6 м с дистанции 900—800 м закрывается мушкой, а «совмещение перекрестия на козырь</w:t>
      </w:r>
      <w:r w:rsidRPr="00271E51">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2120AC9A"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271E51">
        <w:rPr>
          <w:color w:val="000000" w:themeColor="text1"/>
          <w:sz w:val="16"/>
          <w:szCs w:val="16"/>
        </w:rPr>
        <w:softHyphen/>
        <w:t>зон — от 2,13 до 4,76%).</w:t>
      </w:r>
    </w:p>
    <w:p w14:paraId="7D8A65A9"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числу основных выводов по результатам ис</w:t>
      </w:r>
      <w:r w:rsidRPr="00271E51">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271E51">
        <w:rPr>
          <w:color w:val="000000" w:themeColor="text1"/>
          <w:sz w:val="16"/>
          <w:szCs w:val="16"/>
        </w:rPr>
        <w:softHyphen/>
        <w:t>новленными 37-мм пушками самолет инертен, на</w:t>
      </w:r>
      <w:r w:rsidRPr="00271E51">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271E51">
        <w:rPr>
          <w:color w:val="000000" w:themeColor="text1"/>
          <w:sz w:val="16"/>
          <w:szCs w:val="16"/>
        </w:rPr>
        <w:softHyphen/>
        <w:t>лета продольной устойчивости «снижает качество стрельбы, особенно из пушек калибра 37 мм».</w:t>
      </w:r>
    </w:p>
    <w:p w14:paraId="416AFCCE"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отмечалось, что самолет Ил-2 с пушками 11П «может быть применен для пораже</w:t>
      </w:r>
      <w:r w:rsidRPr="00271E51">
        <w:rPr>
          <w:color w:val="000000" w:themeColor="text1"/>
          <w:sz w:val="16"/>
          <w:szCs w:val="16"/>
        </w:rPr>
        <w:softHyphen/>
        <w:t>ния железнодорожных эшелонов, паровозов, тан</w:t>
      </w:r>
      <w:r w:rsidRPr="00271E51">
        <w:rPr>
          <w:color w:val="000000" w:themeColor="text1"/>
          <w:sz w:val="16"/>
          <w:szCs w:val="16"/>
        </w:rPr>
        <w:softHyphen/>
        <w:t>ков, автоколонн и других целей» при соответствую</w:t>
      </w:r>
      <w:r w:rsidRPr="00271E51">
        <w:rPr>
          <w:color w:val="000000" w:themeColor="text1"/>
          <w:sz w:val="16"/>
          <w:szCs w:val="16"/>
        </w:rPr>
        <w:softHyphen/>
        <w:t>щей тренировке летного состава и нормальной ра</w:t>
      </w:r>
      <w:r w:rsidRPr="00271E51">
        <w:rPr>
          <w:color w:val="000000" w:themeColor="text1"/>
          <w:sz w:val="16"/>
          <w:szCs w:val="16"/>
        </w:rPr>
        <w:softHyphen/>
        <w:t>боте самих пушек. При этом стрельбу необходимо производить только короткими очередями не бо</w:t>
      </w:r>
      <w:r w:rsidRPr="00271E51">
        <w:rPr>
          <w:color w:val="000000" w:themeColor="text1"/>
          <w:sz w:val="16"/>
          <w:szCs w:val="16"/>
        </w:rPr>
        <w:softHyphen/>
        <w:t>лее 3—4 выстрелов, «помня, что первые выстрелы наиболее прицельные».</w:t>
      </w:r>
    </w:p>
    <w:p w14:paraId="407140C7"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271E51">
        <w:rPr>
          <w:color w:val="000000" w:themeColor="text1"/>
          <w:sz w:val="16"/>
          <w:szCs w:val="16"/>
        </w:rPr>
        <w:softHyphen/>
        <w:t>да № 30 зав. № 2067, 1140 и 1122, «повторено и на испытанном самолете».</w:t>
      </w:r>
    </w:p>
    <w:p w14:paraId="53CEF93E"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271E51">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271E51">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271E51">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463CAF64"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271E51">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271E51">
        <w:rPr>
          <w:color w:val="000000" w:themeColor="text1"/>
          <w:sz w:val="16"/>
          <w:szCs w:val="16"/>
        </w:rPr>
        <w:softHyphen/>
        <w:t>го исполнения».</w:t>
      </w:r>
    </w:p>
    <w:p w14:paraId="21217070"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271E51">
        <w:rPr>
          <w:color w:val="000000" w:themeColor="text1"/>
          <w:sz w:val="16"/>
          <w:szCs w:val="16"/>
        </w:rPr>
        <w:softHyphen/>
        <w:t>ной системой питания, предъявить в НИИ ВВС на повторные испытания».</w:t>
      </w:r>
    </w:p>
    <w:p w14:paraId="1AE33BC0" w14:textId="77777777" w:rsidR="00CB34CD" w:rsidRPr="00271E51" w:rsidRDefault="00CB34C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Акт по результатам испытаний Ил-2 зав. № 302349 главный инженер ВВС генерал-полков</w:t>
      </w:r>
      <w:r w:rsidRPr="00271E51">
        <w:rPr>
          <w:color w:val="000000" w:themeColor="text1"/>
          <w:sz w:val="16"/>
          <w:szCs w:val="16"/>
        </w:rPr>
        <w:softHyphen/>
        <w:t>ник А. К. Репин утвердил 14 августа 1943 г. (17500).</w:t>
      </w:r>
    </w:p>
    <w:p w14:paraId="1A77FE08" w14:textId="77777777" w:rsidR="00CB34CD" w:rsidRPr="00271E51" w:rsidRDefault="00CB34CD" w:rsidP="00271E51">
      <w:pPr>
        <w:spacing w:after="0" w:line="240" w:lineRule="auto"/>
        <w:jc w:val="both"/>
        <w:rPr>
          <w:rFonts w:ascii="Times New Roman" w:eastAsia="Times New Roman" w:hAnsi="Times New Roman"/>
          <w:color w:val="000000" w:themeColor="text1"/>
          <w:sz w:val="16"/>
          <w:szCs w:val="16"/>
          <w:lang w:eastAsia="ru-RU"/>
        </w:rPr>
      </w:pPr>
    </w:p>
    <w:p w14:paraId="08594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Нач. 10 ГУ Тарасевич в письме А.И.Ш. НКАП N 1725 сообщил, что 22 завод освоил Пе-2 в разведывательном варианте и в 1942 выпустил 62, ав 1943 - 65, но объем переделок требуется значительный и по 30 в месяц сделать не смогут, т.к. уже делает 3 варианта Пе-2 с М-105ПФ, с М-82Ф и в учебном варианте (1778,228).</w:t>
      </w:r>
    </w:p>
    <w:p w14:paraId="63BD1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директору завода 22 выпускать в счет программы ежемесячно по 30 Пе-2 в варианте разведчика по образцу, отработанному на заводе и оборудованному АК-1, согласно постановлению ГОКО N 2144сс от 6 августа 1942" (1778,229).</w:t>
      </w:r>
    </w:p>
    <w:p w14:paraId="677F3F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D0C6E"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A9298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F042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 была подготовлена ДОКЛАДНАЯ ЗАПИСКА НАЧАЛЬНИКА ГБТУ КА НАРОДНОМУ КОМИССАРУ СРЕДНЕГО МАШИНОСТРОЕНИЯ С.А. АКОПОВУ ОБ УСТАНОВКЕ НА ТАНКИ УНИФИЦИРОВАННОГО СМОТРОВОГО ПРИБОРА № 1152495</w:t>
      </w:r>
    </w:p>
    <w:p w14:paraId="4041B0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обзорности из танка Т-34 изготавливается специальная смотровая командирская башенка. В этой башенке основным прибором наблюдения служит английский призматический смотровой прибор танка МК-4. Призматический смотровой прибор сейчас ставится на серийное производство завода №363 НКВ.</w:t>
      </w:r>
    </w:p>
    <w:p w14:paraId="3327F8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Указанный прибор по своим показателям значительно выше устанавливаемого сейчас смотро</w:t>
      </w:r>
      <w:r w:rsidRPr="00271E51">
        <w:rPr>
          <w:rFonts w:ascii="Times New Roman" w:hAnsi="Times New Roman"/>
          <w:color w:val="000000" w:themeColor="text1"/>
          <w:sz w:val="16"/>
          <w:szCs w:val="16"/>
        </w:rPr>
        <w:softHyphen/>
        <w:t>вого прибора в танки Т-70 и Т-80.</w:t>
      </w:r>
    </w:p>
    <w:p w14:paraId="1F6777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боевых качеств танков Т-70 и Т-80, а также для унификации смотровых прибо</w:t>
      </w:r>
      <w:r w:rsidRPr="00271E51">
        <w:rPr>
          <w:rFonts w:ascii="Times New Roman" w:hAnsi="Times New Roman"/>
          <w:color w:val="000000" w:themeColor="text1"/>
          <w:sz w:val="16"/>
          <w:szCs w:val="16"/>
        </w:rPr>
        <w:softHyphen/>
        <w:t>ров всех типов танков необходимо предусмотреть возможность установки на места существующих смотровых приборов у водителя танка и в башне английского смотрового прибора танка МК-4.</w:t>
      </w:r>
    </w:p>
    <w:p w14:paraId="5F552F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директору завода ГАЗ т. Лоскутову оборудовать один танк Т-70 и один танк Т-80 указанными приборами, и по этим образцам подготовить серийные чертежи.</w:t>
      </w:r>
    </w:p>
    <w:p w14:paraId="620491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ГБТУ КА генерал-лейтенант технических войск Лебедев</w:t>
      </w:r>
    </w:p>
    <w:p w14:paraId="64458D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ТУ ГБТУ КА инженер-полковник Афонин</w:t>
      </w:r>
    </w:p>
    <w:p w14:paraId="5B556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1377. Л. 193. Копия (11403).</w:t>
      </w:r>
    </w:p>
    <w:p w14:paraId="76C0A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FF7C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года по постановлению ГКО № 3703сс планировалось изготовить в третьем квартале 1943 года 80 самоходок СУ-76И, в том числе в июле 25 машин. Этим же документом завод № 176 (г. Муром) должен был в июле поставить «10 башен» для этих машин.</w:t>
      </w:r>
    </w:p>
    <w:p w14:paraId="4920F58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 третьего квартала удалось выполнить почти на 100 % — завод № 37 сдал за три месяца 78 СУ-76И (12688).</w:t>
      </w:r>
    </w:p>
    <w:p w14:paraId="10789916"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7D958E52" w14:textId="77777777" w:rsidR="0008412D" w:rsidRPr="00271E51" w:rsidRDefault="0008412D"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hAnsi="Times New Roman"/>
          <w:color w:val="000000" w:themeColor="text1"/>
          <w:sz w:val="16"/>
          <w:szCs w:val="16"/>
        </w:rPr>
        <w:t>8 июля 1943 полностью закончили первый образец Объекта 237. Система Д-5Т-85 на тот момент существовала в единственном экземпляре и ее установили на этой машине (17710).</w:t>
      </w:r>
    </w:p>
    <w:p w14:paraId="6D81DBDE" w14:textId="77777777" w:rsidR="0008412D" w:rsidRPr="00271E51" w:rsidRDefault="0008412D" w:rsidP="00271E51">
      <w:pPr>
        <w:pStyle w:val="12a"/>
        <w:shd w:val="clear" w:color="auto" w:fill="auto"/>
        <w:spacing w:after="0" w:line="240" w:lineRule="auto"/>
        <w:jc w:val="both"/>
        <w:rPr>
          <w:color w:val="000000" w:themeColor="text1"/>
          <w:sz w:val="16"/>
          <w:szCs w:val="16"/>
        </w:rPr>
      </w:pPr>
    </w:p>
    <w:p w14:paraId="29DCCC0F" w14:textId="77777777" w:rsidR="0008412D" w:rsidRPr="00271E51" w:rsidRDefault="0008412D" w:rsidP="00271E51">
      <w:pPr>
        <w:pStyle w:val="ae"/>
        <w:shd w:val="clear" w:color="auto" w:fill="FFFFFF"/>
        <w:spacing w:before="0" w:after="0"/>
        <w:jc w:val="both"/>
        <w:rPr>
          <w:color w:val="000000" w:themeColor="text1"/>
          <w:sz w:val="16"/>
          <w:szCs w:val="16"/>
        </w:rPr>
      </w:pPr>
      <w:r w:rsidRPr="00271E51">
        <w:rPr>
          <w:color w:val="000000" w:themeColor="text1"/>
          <w:sz w:val="16"/>
          <w:szCs w:val="16"/>
        </w:rPr>
        <w:t>8 июля 1943 года в соответствии с постановлением ГКО №3703сс завод №38 получил план на выпуск установочной партии из 25 СУ-15М. 24 июля в сборке находилось пять СУ-15М, к 1 августа была собрана вся партия из 25 машин. Об изготовлении некоего второго опытного образца СУ-15, о котором говорится в ряде публикаций, не шло и речи. Приказом Народного комиссариата танковой промышленности (НКТП) №360 от 9 июля 1943 года на 3-й квартал 1943 года был запланирован выпуск 225 СУ-15М (17728).</w:t>
      </w:r>
    </w:p>
    <w:p w14:paraId="168D3165" w14:textId="77777777" w:rsidR="0008412D" w:rsidRPr="00271E51" w:rsidRDefault="0008412D" w:rsidP="00271E51">
      <w:pPr>
        <w:pStyle w:val="12a"/>
        <w:shd w:val="clear" w:color="auto" w:fill="auto"/>
        <w:spacing w:after="0" w:line="240" w:lineRule="auto"/>
        <w:jc w:val="both"/>
        <w:rPr>
          <w:color w:val="000000" w:themeColor="text1"/>
          <w:sz w:val="16"/>
          <w:szCs w:val="16"/>
        </w:rPr>
      </w:pPr>
    </w:p>
    <w:p w14:paraId="41ACB048"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года на вооружение Красной армии была принята лёгкая самоходная установка СУ-76М (СУ-15М). По массовости она стала второй после Т-34/Т-34-85 боевой машиной Красной армии. Благодаря вполне удачной конструкции СУ-76М не претерпевала серьёзных метаморфоз. Но ближе к концу Великой Отечественной войны с учётом отзывов с фронтов машина прошла небольшую модернизацию, направленную, прежде всего, на улучшение защиты боевого отделения. Нового индекса эта машина не получила. Часто её называют «СУ-76М послевоенного выпуска», что неверно: в серию эти САУ пошли с апреля 1945 года, а после окончания Второй мировой войны они выпускались всего два месяца. В ходе советско-японской войны эти «послевоенные» машины успели и повоевать (18172).</w:t>
      </w:r>
    </w:p>
    <w:p w14:paraId="18F383AA"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510ECB8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года вышел приказ № 355 НКТП</w:t>
      </w:r>
    </w:p>
    <w:p w14:paraId="3FA1D6E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37 включить в состав Гл. управления по ремонту танков.</w:t>
      </w:r>
    </w:p>
    <w:p w14:paraId="3EBF0B6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222 включить в состав Гл. управления по ремонту танков (6137, 41).</w:t>
      </w:r>
    </w:p>
    <w:p w14:paraId="4224547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C842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3697 О плане производства боеприпасов в III квартале 1943 года.РГАНИР, Фонд ГКО, д. 130, лл. 1-21, 22-419 (11012).</w:t>
      </w:r>
    </w:p>
    <w:p w14:paraId="4BAB0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DC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Распоряжение ГКО № 3699. Об ограничении с III кв. 1943 г. производства на заводе N259 НКБ шанцевого и деревообрабатывающего инструмента и включении его в число фондируемого инструмента.РГАНИР, Фонд ГКО, д. 131, лл. 2, 3 (11012).</w:t>
      </w:r>
    </w:p>
    <w:p w14:paraId="39A54F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F5E0A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Распоряжение ГКО № 3700 [О мерах по устранению нерациональных и встречных перевозок леса по железной дороге и снабжении лесоматериалами строек НКБ и НКЧМ.] (7119, 4).</w:t>
      </w:r>
    </w:p>
    <w:p w14:paraId="14B71FF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51D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3701 Об обеспечении заводов Главкотлотурбопрома Наркомтяжмаша металлом и трубами в III квартале 1943 года.РГАНИР, Фонд ГКО, д. 131, лл. 5, 6 (11012).</w:t>
      </w:r>
    </w:p>
    <w:p w14:paraId="6FE243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7914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3702 О производстве Наркомлегпромом в III квартале 1943 года парашютно-десантного имущества и парашютов для боеприпасов. (7119, 7-8).</w:t>
      </w:r>
    </w:p>
    <w:p w14:paraId="786D7CE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5D8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3703 О плане производства танков, артсамоходов, дизелей, запасных частей к ним и ремонта танков, артсамоходов и дизелей на июль и III квартал 1943 г.РГАНИР, Фонд ГКО, д. 131, лл. 9-16, 17-22 (11012).</w:t>
      </w:r>
    </w:p>
    <w:p w14:paraId="6EE4C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39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Распоряжение ГКО № 3704. О производстве заводом № 112 НКТП танков Т-34 с масляными радиаторами с 1 августа 1943 г.РГАНИР, Фонд ГКО, д. 131, лл. 23 (11012).</w:t>
      </w:r>
    </w:p>
    <w:p w14:paraId="20B70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81B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3705 О плане производства и поставок артиллерийского и стрелкового вооружения и военных приборов на июль месяц и III квартал 1943 г.РГАНИР, Фонд ГКО, д. 131, лл. 24-50, 51-120 (11012).</w:t>
      </w:r>
    </w:p>
    <w:p w14:paraId="22D6CF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0F8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3706 О плане производства минометов, лыжных установок и волокуш под вооружение на июль месяц и III квартал 1943 года.РГАНИР, Фонд ГКО, д. 131, лл. 121-127, 128-150 (11012).</w:t>
      </w:r>
    </w:p>
    <w:p w14:paraId="42B091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9D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3707 О производстве и поставке бочковой клепки для затаривания овощей и сухофруктов для Красной Армии.РГАНИР, Фонд ГКО, д. 131, лл. 151-153 (11012).</w:t>
      </w:r>
    </w:p>
    <w:p w14:paraId="1776C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682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3708 О плане производства и поставок патронов и звеньев Наркоматом вооружения в III квартале 1943 года.РГАНИР, Фонд ГКО, д. 131, лл. 154-164, 165-169 (11012).</w:t>
      </w:r>
    </w:p>
    <w:p w14:paraId="176B5A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C9A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3709 О плане производства и поставок пулеметов-пистолетов Шпагина и ПП-43 в июле и третьем квартале 1943 года.РГАНИР, Фонд ГКО, д. 131, лл. 170-177, 178-192 (11012).</w:t>
      </w:r>
    </w:p>
    <w:p w14:paraId="3D7E27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AF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3710 О плане производства важнейших химикатов для боеприпасов и народного хозяйства на III квартал 1943 г.РГАНИР, Фонд ГКО, д. 131, лл. 193-204, 205-210 (11012).</w:t>
      </w:r>
    </w:p>
    <w:p w14:paraId="3E695A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4141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3711 О производстве и поставках военно-полевых средств связи Наркомэлектропромом для Красной Армии в III квартале 1943 г. (7119, 211-215,216-233).</w:t>
      </w:r>
    </w:p>
    <w:p w14:paraId="7F437EA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5EF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3712 О плане добычи угля и сланца на июль и III квартал 1943 года по Наркомуглю.РГАНИР, Фонд ГКО, д. 131, лл. 234-245, 246-265 (11012).</w:t>
      </w:r>
    </w:p>
    <w:p w14:paraId="6646E3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ACD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3713 О добыче нефти и выработке нефтепродуктов в III квартале и июле 1943 г.РГАНИР, Фонд ГКО, д. 132, лл. 1-6, 7-10 (11012).</w:t>
      </w:r>
    </w:p>
    <w:p w14:paraId="75BC4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00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3714 Об оказании помощи азербайджанской нефтяной промышленности.РГАНИР, Фонд ГКО, д. 132, лл. 11-16, 17-19 (11012).</w:t>
      </w:r>
    </w:p>
    <w:p w14:paraId="3F971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65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 июля 1943 вышло Распоряжение ГКО № 3715. Об учреждении дополнительно трех переходящих знамен ГКО для предприятий HКлегпрома - победителей во Всесоюзном соревновании.РГАНИР, Фонд ГКО, д. 132, лл. 20 (11012).</w:t>
      </w:r>
    </w:p>
    <w:p w14:paraId="63AA9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685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Распоряжение ГКО № 3716. О плане производства и ремонта боевых установок М-13 и М-8 в III квартале 1943 года.РГАНИР, Фонд ГКО, д. 132, лл. 21-25, 26-48 (11012).</w:t>
      </w:r>
    </w:p>
    <w:p w14:paraId="37F989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C6C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3717 О мероприятиях по обеспечению топливом электростанций Кировэнерго НКЭС.РГАНИР, Фонд ГКО, д. 132, лл. 49-52, 53-54 (11012).</w:t>
      </w:r>
    </w:p>
    <w:p w14:paraId="7244FE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223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Постановление ГКО № 3718 Об улучшении качества подготовки и увеличении выпуска инженерных кадров для торфяной промышленности.РГАНИР, Фонд ГКО, д. 132, лл. 55-58, 59-60 (11012).</w:t>
      </w:r>
    </w:p>
    <w:p w14:paraId="27B5C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37828" w14:textId="77777777" w:rsidR="00E36137" w:rsidRPr="00271E51" w:rsidRDefault="00E3613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 Постановлением ГКО заводу № 616 была определена задача обеспечить, начиная с сентября, выпуск радиостанции 13Р3, освоенной к тому времени на заводе № 2 НКО (завод № 528 НКЭП). Это была станция из «семейства» раций, при изготовлении которых использовались детали широковещательных приемников, изъятых у населения. Естественно, производство такой продукции было мерой вынужденной и не могло рассматриваться в качестве основной производственной задачи такого предприятия, как завод им. Козицкого. Поэтому этим же постановлением ГКО предприятию ставилась задача подготовиться к выпуску радиостанции А-7 – первой в РККА УКВ станции с частотной модуляцией, созданной в середине 1942 г. военными инженерами Г.Г. Шитиковым, Р.А. Чигиревым и В.Н. Сосуновым. Постановление ГКО требовало от Ленинградского горкома ВКП (б) обеспечить передачу заводу № 616 с других ленинградских предприятий 19 единиц оборудования, обеспечить изготовление промышленностью города инструмента, необходимого для производства А-76. Соответствующие решения были приняты горкомом ВКП (б) 7 августа 1943 г. (18297).</w:t>
      </w:r>
    </w:p>
    <w:p w14:paraId="77055C49" w14:textId="77777777" w:rsidR="00E36137" w:rsidRPr="00271E51" w:rsidRDefault="00E36137" w:rsidP="00271E51">
      <w:pPr>
        <w:spacing w:after="0" w:line="240" w:lineRule="auto"/>
        <w:jc w:val="both"/>
        <w:rPr>
          <w:rFonts w:ascii="Times New Roman" w:hAnsi="Times New Roman"/>
          <w:color w:val="000000" w:themeColor="text1"/>
          <w:sz w:val="16"/>
          <w:szCs w:val="16"/>
        </w:rPr>
      </w:pPr>
    </w:p>
    <w:p w14:paraId="23B260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8 июля 1943 директор ГАЗа И. К. Лоскутов в письме начальнику УНКВД В. С. Рясному отмечал  «срыв первоочередных поставок необходимого для восстановления металла, срыв плана ремонта электромоторов». Наблюдалась тенденция под предлогом выполнения государственной программы и др. объективным причинам уклониться от внеплановых поставок автозаводу. В частности, этим нагло занимались Кулебакский металлургический завод и «Красное Сормово». Лоскутов писал:  «Налицо желание некоторых заводов затянуть организацию и выполнение заказов для автозавода, дождаться окончания месяца, квартала и считать свои обязательства по поставкам утратившими силу (Выкса), сослаться на отсутствие у себя постановления (Наркомчермет) и т.п.». </w:t>
      </w:r>
    </w:p>
    <w:p w14:paraId="0D3A0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выполнение плана поставок составило лишь 23%. Особые трудности представлял ремонт электрооборудования. Руководству завода пришлось организовать новые цеха, укомплектовать их малоквалифицированной рабочей силой и приступить к выпуску сложной электроаппаратуры и электроремонту. Из-за отсутствия специалистов, нехватки шарикоподшипников и роликоподшипников работы шли очень медленно и некачественно. В итоге план по ремонту электрооборудования был исполнен лишь на 27%.</w:t>
      </w:r>
    </w:p>
    <w:p w14:paraId="07816E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с момента первых разрушений прошел почти месяц, руководство «Стройгаза» не развернуло подготовительные и восстановительные работы в темпах, обеспечивающих выполнение решений Государственного и Городского комитетов обороны. Согласно постановлениям, трест должен был развернуть работы сразу на 24 объектах, однако руководство ОСМЧ считало первоочередными объектами лишь пять (механосборочный и литейный корпуса, колесный и прессово-кузовной цеха и главный магазин смежных деталей), а подготовительные работы, которые шли совершенно неудовлетворительно, в основном вело лишь в механосборочном и литейном корпусах и колесном цехе. Часть работ начали 30 июня – 1 июля (по цехам №№ 5, 8, прессово-кузовному и ТЭЦ). В общей сложности на 1 июля в распоряжении треста и его субподрядчиков имелись 9756 рабочих.</w:t>
      </w:r>
    </w:p>
    <w:p w14:paraId="0B86A2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литейном корпусе нужно было установить 47 ферм, но фактически к началу июля успели смонтировать только пять (участок № 1). Из 15 400 кв. м кровли было сделано 4640. Особые трудности представляла расчистка завалов на площади 13 000 кв. м в механосборочном корпусе. К началу июля ее удалось выполнить менее чем на треть. Разрушенную кровлю корпуса площадью 62 500 кв. м только начали ремонтировать, сделав 2700 кв. м. Были установлены всего 24 из 528 прогонов, демонтированы 272 металлоконструкции из 600.</w:t>
      </w:r>
    </w:p>
    <w:p w14:paraId="47075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Организация работ находилась на низком уровне: отмечались самовольные уходы и простои. Так, 27 июня в колесном цехе на участке плотничных работ из 14 рабочих фактически работали четверо. Работы в цехе еще только начинались, хотя он лежал в руинах уже три недели. Рабочий день формально составлял 12 часов, но строительство было слабо обеспечено сварочными аппаратами, инструментом для газорезки, не хватало лебедок, рукавиц и костюмов. Для огромной массы людей, привлеченных для восстановления, не хватало самого элементарного: столов, табуреток, кипятильников, бачков для воды и кружек. Часть людей на участке № 1 работала вообще разутыми.</w:t>
      </w:r>
    </w:p>
    <w:p w14:paraId="7F8BB6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ГАЗа Лоскутов постоянно констатировал срыв поставок и графиков работ. В отчаянии он буквально завалил письмами начальника УКВД Рясного. В очередном послании Лоскутов писал:  «Водный транспорт: не только внеочередная, но и вообще доставка грузов, следующих в адрес автозавода, не обеспечена. Большинство грузов разгружается на участке горьковского порта, а не автозавода. В настоящее время имеется 1000т необходимого металла. Мало того что эти грузы преступно задерживаются, завод вынужден платить большие суммы за их хранение в порту. </w:t>
      </w:r>
    </w:p>
    <w:p w14:paraId="2DF334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92 не выполняет обязательства по восстановлению к 15.07 производственных корпусов кузницы №3и паровой. Облегпром ничего не выдал из спецодежды: ботинки, лапти и т.д. Завод Ленина игнорирует прокладку кабеля на автозавод. Директор стеклозавода Артемьев из запланированных ему на июнь 80 тыс. кв. мина июль 120 тыс. кв. м стекла на 7.7 выдал 28 тыс. кв. м». </w:t>
      </w:r>
    </w:p>
    <w:p w14:paraId="66368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Плохо обстояло дело и с топливом. 6 июля из Астрахани отплыла баржа «Анадырь» с мазутом для заводов №№ 92,112,176 и автозавода. Однако до потребителей груз так и не дошел. Без ведома Главнефтеснаба судно было остановлено в Камском устье, 6000 т «забрал» себе речфлот, остальное направили в Молотовскую (Пермскую) область. В результате все указанные заводы остались без топлива.</w:t>
      </w:r>
    </w:p>
    <w:p w14:paraId="54DEA5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руководства треста «Стройгаз» № 2 было свое видение, как надо вести восстановительные работы. Представители обкома фактически предлагали возрождать завод по-стахановски, методом штурмовщины сразу на всех участках. Однако на это не было ни необходимых людских ресурсов, ни техники и стройматериалов. Поэтому по окончании безотлагательных аварийных работ, обеспечивших нормальную работу отдельных цехов завода с оставшимся неповрежденным оборудованием, строители приступили к восстановительным работам на первоочередных объектах.</w:t>
      </w:r>
    </w:p>
    <w:p w14:paraId="7C7600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контуре каждого корпуса первой очереди была установлена очередность производства строительно-монтажных работ по отдельным цехам. Так, механосборочный корпус № 1 с находящимися в нем четырьмя основными цехами был разбит на четыре очереди: 1-я – моторный цех № 2, 2-я – термический цех, 3-я – главный конвейер, 4-я – цех шасси. Это дало возможность концентрировать людские и материальные ресурсы на узком участке работ и обеспечить введение в эксплуатацию отдельных цехов и агрегатов последовательно, по частям, не дожидаясь окончания работ по всем корпусам в целом.</w:t>
      </w:r>
    </w:p>
    <w:p w14:paraId="55FF46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необходимость быстрейшего восстановления завода и отсутствие возможности вести строительно-монтажные работы развернутым фронтом по всем подлежащим восстановлению объектам, в первую очередь производились работы только по восстановлению производственных площадей. Ремонтные работы на участках цехов, имеющих вспомогательные, бытовые и служебные функции, проводились во вторую очередь.</w:t>
      </w:r>
    </w:p>
    <w:p w14:paraId="3D3CFE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Основная задача строителей в первый период восстановления заключалась в обеспечении защиты цехов от атмосферных осадков и устройству промразводок, связанных с работой технологического оборудования. При этом использовалась следующая очередность:</w:t>
      </w:r>
    </w:p>
    <w:p w14:paraId="67F43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общестроительные работы, в т.ч. восстановление и монтаж основных несущих конструкций перекрытий с устройством кровли;</w:t>
      </w:r>
    </w:p>
    <w:p w14:paraId="1ECA4A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электромонтажные работы, в т.ч. восстановление цеховых подстанций и подводок к ним электроэнергии;</w:t>
      </w:r>
    </w:p>
    <w:p w14:paraId="518760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промвентиляция: монтаж воздуховодов к печам, вытяжки;</w:t>
      </w:r>
    </w:p>
    <w:p w14:paraId="517F03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сантехмонтаж и промразводки (нефтепровод, паропровод, ливневая канализация, отопление, фекальная канализация).</w:t>
      </w:r>
    </w:p>
    <w:p w14:paraId="10B1D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рабочий день составлял 11 часов, во многих случаях строители работали по 14—15 часов, а зачастую оставались ночевать прямо на стройке с тем, чтобы с рассветом приняться за выполнение срочного задания.</w:t>
      </w:r>
    </w:p>
    <w:p w14:paraId="11C82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Однако сроки работ не устраивали начальство. 13 июля на бюро обкома ВКП(б) обсуждался вопрос о выполнении постановления ГКО от 19 июня по восстановлению цехов ГАЗа. Участники совещания констатировали, что  «работы идут неудовлетворительно». К 9 июля из 24 объектов 1-й очереди строительные работы были организованы только на пяти. График выполнялся с большим отставанием, имели место массовые простои и невыполнение норм. Обкомовские работники отмечали:  «Партийное и хозяйственное руководство ОСМЧ „Стройгаз № 2“ не приняло мер к развороту строительных работ, не умеет координировать управление и руководство с субподрядными организациями, допустило путаницу в распределении объектов… По решению ГОКО кровля кузнечного корпуса должна быть восстановлена к 15 июля, но на 10 июля ведутся лишь подготовительные работы (демонтаж: поврежденных металлоконструкций). По колесному цеху срок окончания работ установлен 25 июля, на 10.07проведены работы по восстановлению несущих ж/б элементов здания. Объем металлоконструкций составляет 597тонн, восстановлено на 8.07– </w:t>
      </w:r>
      <w:r w:rsidRPr="00271E51">
        <w:rPr>
          <w:rFonts w:ascii="Times New Roman" w:hAnsi="Times New Roman"/>
          <w:color w:val="000000" w:themeColor="text1"/>
          <w:sz w:val="16"/>
          <w:szCs w:val="16"/>
        </w:rPr>
        <w:lastRenderedPageBreak/>
        <w:t xml:space="preserve">5тонн». </w:t>
      </w:r>
    </w:p>
    <w:p w14:paraId="4584E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горкомитета обороны и местных организаций за период 20 июня – 7 июля в ОСМЧ «Стройгаз» № 2 для восстановительных работ на ГАЗе прибыли в общей сложности 8159 рабочих.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 3. Гинзбург.</w:t>
      </w:r>
    </w:p>
    <w:p w14:paraId="17CEAD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оформление и размещение рабочей силы велось неудовлетворительно. Группа, прибывшая 25 июня из Арзамасского района, к работе не приступила до начала июля, другая группа, из Павловского района, прибыв 22 июня, приступила к работе лишь 1 июля.</w:t>
      </w:r>
    </w:p>
    <w:p w14:paraId="6EDA3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бараки для проживания рабочих построены не были. Большое количество людей было размещено в недостроенных бараках Ново-Западного поселка, где спали прямо на кучах строительного мусора или на досках. Общежития и бараки находились в антисанитарном состоянии. Не хватало еды, постельных принадлежностей, спящих рабочих атаковали вши и клопы. В столовых не хватало ложек и тарелок. Рабочие, приехавшие на ГАЗ из разных уголков страны, были поражены созданными здесь «условиями». В итоге туркмены, работавшие на строительном участке № 2, написали в Верховный Совет Туркменской ССР письмо о плохом культурно-бытовом и медицинском обслуживании:  «…питание было организовано одноразовое, т.е. горячий обед один раз в сутки, общежитие не подготовлено к жилью, грязь, темно и т.п.». Письмо вскоре возымело действие, и туркмены были помещены в благоустроенное общежитие (двухэтажный деревянный дом), обеспечены постельными принадлежностями, одеждой и др. инвентарем. Предметом особой гордости автозаводцев за своих коллег из Азии являлось наличие в общежитиях портретов вождей, лозунгов и плакатов.</w:t>
      </w:r>
    </w:p>
    <w:p w14:paraId="43D3B4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Оптимистические графики работ были безнадежно сорваны, и 26 июля приказом по Наркомату среднего машиностроения ранее установленные сроки восстановления цехов (15 июля – 15 августа) были отодвинуты на более поздние.</w:t>
      </w:r>
    </w:p>
    <w:p w14:paraId="2BC936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авральные работы на Горьковском автозаводе пришлись на конец июля – сентябрь 1943 г.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 предприятий треста. Трест «Стройгаз» № 2 производил работы, руководствуясь принципом одновременного ведения строительных, монтажных и специальных работ, что давало возможность ускорить сдачу объектов в эксплуатацию.</w:t>
      </w:r>
    </w:p>
    <w:p w14:paraId="6145AB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Разбор разрушенных зданий производился экскаваторами, передвижными кранами, инструментом, бензорезами, тракторами и вручную. На расчищенных площадях немедленно начинались восстановительные работы. Нередко они были связаны с большими трудностями и сложными техническими решениями. Например, в колесном цехе монтаж металлоконструкций выполнялся при помощи огромной мачты и нескольких качающихся мачт. 24-метровый пролет был восстановлен с помощью специально смонтированного двухпролетного кабель-крана со средней качающейся мачтой, изготовленного силами объединения «Стальконструкция» прямо на месте за 12 дней и смонтированного в течение 10 дней. Фермы собирали вне цеха, с двух торцов, перевозили кабель-краном к месту установки и опускали на железобетонные колонны. Срок монтажа составил всего 25 рабочих дней.</w:t>
      </w:r>
    </w:p>
    <w:p w14:paraId="48C1F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восстановлении механосборочного корпуса из-за нехватки металла пришлось многие фермы и прогоны выправлять с помощью гидравлических и механических прессов. Просевшие фермы поднимали до прежнего положения соединительными стойками, домкратами, а при большой высоте – специальными металлическими башнями и закрепляли. Деформированные части вырезали и вместо них вставляли новые элементы. Исправление колонн, деформировавшихся в нижней части, производилось путем замены поврежденной части новым отрезком колонны. Во время замены примыкающая часть стены поддерживалась стойками и подкосами, а с колонн снималась нагрузка.</w:t>
      </w:r>
    </w:p>
    <w:p w14:paraId="5461B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Большие трудности представлял ремонт литейного цеха № 1. На шихтовом дворе разрывом бомбы две соседних колонны были втянуты в воронку, все конструктивные элементы получили осадку до 0,5 м по вертикали, а колонна искривилась до 0,4 м. Невозможность правки колонны на месте и подъема всей конструкции в целом заставила применить следующий способ: подкрановые балки были подняты на консолях, а влияние кривизны колонн было устранено путем устройства мощной решетки между соседними колоннами и превращением всей системы в стержневую, с угловыми вирнарами в местах перегиба колонн.</w:t>
      </w:r>
    </w:p>
    <w:p w14:paraId="4456EB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восстановлении склада песка в этом же цехе на мостовом кране были выложены шпальные клетки, на которых установлены песочные домкраты. Металлические фермы пролетом 24 м поднимались при помощи 30-метровой мачты, установленной в торце склада, и путем оттяжки тросов устанавливались на песочные домкраты. Устойчивость ферм на домкратах обеспечивалась установкой жестких боковых связей из уголков, по три с каждой стороны фермы. В таком положении мостовой кран с установленной на нем фермой передвигался при помощи ручных лебедок на место установки фермы. Опускание фермы на опоры производилось песочными домкратами, что обеспечивало точную и плавную посадку фермы. После опускания фермы мостовой кран передвигался теми же лебедками в торец здания к подъемной мачте, и цикл работ повторялся. Подготовительные работы провели за шесть дней, а все фермы установили за пять дней. Полный монтаж связей прогонов и рифленого настила был выполнен за четыре дня.</w:t>
      </w:r>
    </w:p>
    <w:p w14:paraId="5587A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силу исключительно большого разнообразия повреждений железобетонных конструкций различного рода невозможно было найти общий метод по их восстановлению. В каждом случае приходилось принимать индивидуальное решение, в зависимости от степени и характера повреждений. Перед восстановлением поврежденные участки железобетонных элементов расчищались, а бетон, потерявший прочность в результате пожара или откола, удалялся до глубины, где его прочность не вызывала сомнений.</w:t>
      </w:r>
    </w:p>
    <w:p w14:paraId="4F4EEB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нехватки железа и железобетона для кровли применялся металлический настил из гофрированного железа, в некоторых цехах использовались железобетонные кровельные плиты.</w:t>
      </w:r>
    </w:p>
    <w:p w14:paraId="21B54E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Сантехнические работы велись управлением № 4 ОСМЧ-102, а электромонтажные – участком № 3 особого проектно-монтажного управления № 5 «Центрэлектромонтаж». Они шли по двум основным направлениям:</w:t>
      </w:r>
    </w:p>
    <w:p w14:paraId="437F4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восстановление основных питающих кабелей и линейных фидеров от ТЭЦ к цеховым подстанциям и восстановление силовых магистральных линий внутри цехов;</w:t>
      </w:r>
    </w:p>
    <w:p w14:paraId="043F0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пуск в ход всех непострадавших станков во вновь созданных технических группировках.</w:t>
      </w:r>
    </w:p>
    <w:p w14:paraId="002E8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работами на линии в цехах была организована мастерская, в которой производилось изготовление шинных сборок, силовых и осветительных щитков, предохранителей, высоковольтных сборок, пультов, а также реставрация демонтируемых в цехах силовых пультов, ящиков с предохранителями и др.</w:t>
      </w:r>
    </w:p>
    <w:p w14:paraId="14702B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Работы по восстановлению систем вентиляции производились монтажным управлением № 2 ОСМЧ-48. Монтажный участок был разделен на прорабства, выполнявшие отдельные объекты, подлежащие восстановлению. За восстановительный период были смонтированы и сданы в эксплуатацию 124 вентиляционные системы на сумму 608 тыс. рублей.</w:t>
      </w:r>
    </w:p>
    <w:p w14:paraId="2E4BB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Громадный объем материалов и полуфабрикатов (кирпич, раствор, бетон, железобетонные плиты, утеплитель, металлический настил и т.д.), которые нужно было поднять в крайне сжатые сроки, потребовал большого количества подъемников. Отсутствие времени на изготовление сложных подъемников заставило строителей встать на путь использования простейших подъемников. Одним из них был подъемный блок, представляющий собой две стойки, установленные с небольшим наклоном к стене цеха и соединенные поперечными связями. На верхнюю площадку укладывался брус, на консольном конце которого укреплялся блок. Через блок продевался трос, к одному концу которого прикреплялась подъемная платформа, а другой закреплялся на электролебедке. Кроме этого, применялись скиповые подъемники, ленточные транспортеры и т.п.</w:t>
      </w:r>
    </w:p>
    <w:p w14:paraId="2B0E6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бомбардировки было повреждено значительное число жилых домов и культурно-бытовых зданий. Характерным примером являлись жилые четырехэтажные дома, выполненные из силикатного кирпича. Для них типичным было продольное расслоение кирпичной кладки от сотрясения взрывной волной. Кроме этого, продольные стены домов получили отклонения по вертикали до 10 см с разрывом кладки в местах примыкания продольных стен к средним поперечным стенам и стенам лестничных клеток. Приходилось практически заново устанавливать кровлю, делать металлические стяжки, во множестве мест заменить кладку, а швы заливать бетоном.</w:t>
      </w:r>
    </w:p>
    <w:p w14:paraId="62AC4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Проектирование всех работ велось непосредственно на стройплощадке бригадой «Промстройпроекта»,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выбирались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06C3B3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ускорения работ все несущие конструкции разрушенных цехов были восстановлены в металле, и лишь цеха с железобетонными колоннами, имевшие незначительные разрушения, оставили в прежнем виде. Число световых фонарей пришлось сократить на 30%, закрыв их железом и асбестофанерой. Деревянная обрешетка заменялась гофрированным железом, чье производство организовали в прессовом цехе автозавода. Для утепления использовали самые примитивные материалы: алебастро-опилочные, цементно-зольные и торфяные и даже глиноземные плиты. При этом все они перед использованием проходили испытания зажигательными бомбами и противотанковой горючей жидкостью.</w:t>
      </w:r>
    </w:p>
    <w:p w14:paraId="1CB7E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Восстановление громадных площадей кровель корпусов потребовало свыше 1500 ливневых воронок. Нехватка чугуна заставила применять «подсобные материалы» – части коробки заднего моста «полуторки» и головки авиабомб, производившихся на ГАЗе.</w:t>
      </w:r>
    </w:p>
    <w:p w14:paraId="55E14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августа прошло партсобрание треста «Стройгаз» № 2. Выступавшие на нем констатировали:  «По второму участку: трудовая дисциплина неудовлетворительна. </w:t>
      </w:r>
      <w:r w:rsidRPr="00271E51">
        <w:rPr>
          <w:rFonts w:ascii="Times New Roman" w:hAnsi="Times New Roman"/>
          <w:color w:val="000000" w:themeColor="text1"/>
          <w:sz w:val="16"/>
          <w:szCs w:val="16"/>
        </w:rPr>
        <w:lastRenderedPageBreak/>
        <w:t>Программа за 20 дней августа выполнена на 62%. Срок сдачи объектов 25 августа сорван. Низкая трудовая дисциплина. 23 августа прогуляло 721 чел., рабочий день начинается с опозданием на 30—40 минут. Накануне рабочего дня задание дается только нескольким бригадам, остальные получают его в начале рабочего дня». По итогам собрания начальнику второго участка Романову даже пригрозили исключением из ВКП(б).</w:t>
      </w:r>
    </w:p>
    <w:p w14:paraId="3EA232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Впрочем, всевозможные накладки и игнорирование приказов и распоряжений были постоянно. В частности, не было выполнено постановление бюро обкома ВКП(б) и распоряжение горкомитета обороны от 11 августа в части мобилизации сроком на два месяца для восстановления ГАЗа с предприятий области электросварщиков – 45 человек, газорезчиков – 25 человек. К 15 сентября в трест «Стройгаз» № 2 поступили всего шесть человек. Директора заводов Глян, Рубинчик и Агаджаев, а также заводы Вторчермет, Главчермет в категорической форме отказались выделить полагающееся количество сварщиков и попросту игнорировали распоряжение.</w:t>
      </w:r>
    </w:p>
    <w:p w14:paraId="6F814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Общая потребность рабочей силы к началу строительства составляла примерно 9500 человек, к началу же июля в распоряжении треста «Стройгаз» № 2 имелись лишь 2242 человека (23,4%). Согласно распоряжениям различных ведомств, к работам должны были быть привлечены 12 800 человек, однако этот план так и не был выполнен. К1 октября на восстановлении автозавода трудились (по спискам) 8621 человек, в т.ч. 2023 – из сельских районов области, 1447 – из САВО, 816 – из разных воинских частей, 1675 – с самого ГАЗа и еще 2331 человека предоставил Московский военный округ. Кроме того, на строительстве были задействованы 1211 рабочих из субподрядных организаций. Таким образом, в восстановительных работах с 15 июля по 15 ноября участвовали почти 10 тыс. человек!</w:t>
      </w:r>
    </w:p>
    <w:p w14:paraId="4DC3D6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размещения этой огромной массы требовалась значительная жилплощадь, между тем многие дома Соцгорода и прилегающих поселков были разрушены, и места не хватало самим автозаводцам. Под жилье пришлось использовать школы, недостроенные жилые дома, клубы и простые палатки. Кроме того, были в спешном порядке сооружены каркасно-засыпные бараки и полуземлянки. Всего под временное жилье было приспособлено 10 тыс. кв. м. К августу, чтобы кормить всю эту толпу, были открыты 20 столовых и раздаточных пунктов. Но и этого оказалось недостаточно. Да и комфорт в сооруженных наспех «летних кафе» оставлял желать лучшего. При проверке, проведенной 17 июля в столовой № 7, выяснилось отсутствие какого-либо порядка:  «Нет света, почти нет посуды, нет помещения для хлеборезки, продукты тухнут. Рабочие часами ожидают получения ужина, не всем отпускается из-за темноты хлеб». </w:t>
      </w:r>
    </w:p>
    <w:p w14:paraId="6D083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ход работ серьезно затруднили продолжительные дожди и ливни. В начале августа начались побеги рабочих и массовые прогулы. В результате среднесуточное число людей, занятых на восстановительных работах, сократилось на 1500 человек. Часто происходили несчастные случаи, особенно на подъемниках.</w:t>
      </w:r>
    </w:p>
    <w:p w14:paraId="6EC2C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велись при постоянной нехватке транспорта. Первоначально в распоряжении треста «Стройгаз» № 2 имелись всего 64 грузовых автомашины разных типов, из них в исправном состоянии всего 27! Можно было использовать также 36 лошадей. Решением Горьковского комитета обороны во второй половине июля для ремонтных работ были выделены 75 автомобилей ЗиС-5 грузоподъемностью пять тонн. Однако ко всему прочего для машин не хватало горючего. Газогенераторные грузовики простаивали из-за отсутствия чурок, т.к. цех по их изготовлению сгорел во время налетов. Не хватало шоферов и ремонтников. Руководству треста пришлось прямо на месте организовать краткосрочные курсы, в сжатые сроки подготовив 28 новых водителей. Ремонтники проявили настоящий героизм, восстанавливая поломанные в ходе безжалостной эксплуатации грузовики буквально из ничего. В результате шоферы делали в среднем по 33 рейса в день, перевозя грузы на самые разные участки. Всего в течение III квартала 1943 г. автомашины сделали по 530 тонно-километров.</w:t>
      </w:r>
    </w:p>
    <w:p w14:paraId="41281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этот же период водный транспорт, имевшийся в распоряжении треста, перевез 23,5 тыс. т грузов. Остальное доставлялось по железной дороге, алее вообще сплавлялся по течению. В октябре Горьковская железная дорога из 157 вагонов подала на стройплощадку автозавода лишь 20, создав значительные трудности.</w:t>
      </w:r>
    </w:p>
    <w:p w14:paraId="3A2447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восстановительных работ требовалось большое количество дерева и бетона. Вместе с тем при бомбежках полностью сгорели бетонный завод, деревообделочный завод, кузница, машиностроительная мастерская и лесозавод треста «Стройгаз» № 2. Ремонтники, невзирая на погоду и усталость, трудились день и ночь, причем одновременно с восстановлением этих предприятий начался выпуск продукции. Уже на второй день после начала работ бетонный завод дал первый бетон! И это без воды и электричества. Вода подвозилась на автомашинах, а электроэнергия подавалась по временному кабелю. В разгар восстановительных работ предприятие давало в сутки 230 куб. м бетона, хотя этого, конечно, было недостаточно.</w:t>
      </w:r>
    </w:p>
    <w:p w14:paraId="1CD0C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Новый деревообделочный завод было решено строить на берегу Оки, на территории уцелевшего лесозавода № 1. В первую очередь был сооружен плотничный цех, который немедленно начал выпускать балки, щиты, фермы, строительные леса и т.п. Строительные участки получали из цеха железобетонных изделий кровельные плиты, из цеха плит «АС» – алебастро-опилочные плиты утеплителя, с бетонного завода – раствор. Всего с июля по ноябрь производственным комбинатом «Стройгаза» были выпущены 3374 куб. м бетона, 7350 куб. м цементного раствора, 9920 кв. м железобетонных кровельных плит, 500 кв. м пенобетона, 60 661 кв. м алебастро-опилочных плит, 200 т арматуры, 5693 кв. м переплетов и т.п.</w:t>
      </w:r>
    </w:p>
    <w:p w14:paraId="0F6658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Объем работ, выполненных трестом «Стройгаз» № 2 и его субподрядчиками, характеризуют следующие цифры. С 1 июля по 1 октября были уложены 2,7 млн кирпичей, 128 170 кв. м рубероида, смонтированы металлоконструкции весом 3400 т, трубопроводы протяженностью почти 43 км, проложено 32,6 км высоко– и низковольтного кабеля и еще 50 км различных проводов, подключены к станкам 3500 электромоторов, смонтированы 2640 электроточек и 348 калориферов. Большинство работ выполнялось «временно», т.е. с низким качеством. Так, «остекление» окон и световых фонарей, кроме собственно стекла, производилось фанерой и кровельным железом. Всего таким способом были «остеклены» 79 800 кв. м.</w:t>
      </w:r>
    </w:p>
    <w:p w14:paraId="645CE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треста «Стройгаз» № 2, на восстановлении ГАЗа работали 11 субподрядных организаций, каждая из которых выполняла определенный тип работ. Решением ГКО строительные работы на заводах «Серп и молот», «Красная Этна» и № 466 были приостановлены и все силы бросили на автозавод. Нужно было любой ценой возродить из пепла это крупнейшее предприятие Поволжья. Приказами по тресту была утверждена система премирования и вручения переходящих Красных знамен за лучшие показатели в работе.</w:t>
      </w:r>
    </w:p>
    <w:p w14:paraId="5B441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Отличившихся рабочих награждали премиями, а также ордерами на промтовары. Вошли в моду так называемые фронтовые декады.</w:t>
      </w:r>
    </w:p>
    <w:p w14:paraId="5F5F7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октября было «в целом» обеспечено восстановление производственных мощностей ГАЗа. Первые пять автомобилей «по обходной технологии» были выпущены заводом еще 25 июля. В августе с «конвейеров» сошли первые 100 бронемашин БА-64, в октябре – первые вездеходы ГАЗ-67. Сборка американских грузовиков шла прямо под открытым небом.</w:t>
      </w:r>
    </w:p>
    <w:p w14:paraId="6C64C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не менее сроки окончания работ 15—30 сентября снова оказались невыполненными, и 6 октября нарком среднего машиностроения С. Акопов, ссылаясь на постановление ГКО, вновь перенес их, уже на 15 октября – 15 ноября. Да и они касались лишь основных производственных объектов. Вспомогательные сооружения предполагалось восстановить лишь к 20 декабря 1943 г. Согласно актам о приемке, большинство цехов были сданы между 21 и 30 октября (11774).</w:t>
      </w:r>
    </w:p>
    <w:p w14:paraId="726C0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0F65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2683F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514DEE"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8 июля</w:t>
      </w:r>
      <w:r w:rsidRPr="00271E51">
        <w:rPr>
          <w:rFonts w:ascii="Times New Roman" w:hAnsi="Times New Roman"/>
          <w:color w:val="000000" w:themeColor="text1"/>
          <w:sz w:val="16"/>
          <w:szCs w:val="16"/>
        </w:rPr>
        <w:t xml:space="preserve"> в 1943 году оперативная сводка Совинформбюро:</w:t>
      </w:r>
    </w:p>
    <w:p w14:paraId="1E277EF3"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июля наши войска на Орловско-Курском и Белгородском направлениях продолжали вести упорные бои с наступающими крупными силами пехоты и танков противника. Как и в предыдущие дни, наступление немцев поддерживалось большим количеством авиации. В течение всего дня велись ожесточённые воздушные бои.</w:t>
      </w:r>
    </w:p>
    <w:p w14:paraId="6C3E01C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все атаки противника были отбиты. В результате успешно проведённых контратак наши войска выбили противника из ряда пунктов, занятых им в первый день наступления, и улучшили свои позиции.</w:t>
      </w:r>
    </w:p>
    <w:p w14:paraId="21D7E0ED"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группе танков противника удалось вклиниться в оборону наших войск.</w:t>
      </w:r>
    </w:p>
    <w:p w14:paraId="71DCBAA3"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Орловско-Курском и Белгородском направлениях за день боёв подбито и уничтожено 304 немецких танка. В воздушных боях и зенитной артиллерией сбит 161 самолёт противника.</w:t>
      </w:r>
    </w:p>
    <w:p w14:paraId="3BF0F78D"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противник рано утром возобновил наступление. В районе одного населённого пункта немцы, на узком участке, бросили в бой три танковых и три пехотных дивизии. Части Н-ского соединения выдержали тринадцать ожесточённых атак противника, следовавших одна за другой, но не отступили ни на шаг. В этих бесплодных атаках противник потерял более 5.000 солдат и офицеров, до 120 танков, 33 орудия, 150 пулемётов и 210 автомашин.</w:t>
      </w:r>
    </w:p>
    <w:p w14:paraId="2655AB4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другом участке Орловско-Курского направления наши войска провели несколько успешных контратак, выбили противника из нескольких населённых пунктов, занятых им в первый день наступления.</w:t>
      </w:r>
    </w:p>
    <w:p w14:paraId="3F98681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поля сражения поступают многочисленные сообщения о героических подвигах советских воинов. Артиллерийская батарея, где командиром лейтенант Дудаура, подверглась бомбардировке с воздуха и артиллерийскому обстрелу. Затем пехота и танки противника атаковали позиции батареи. Артиллеристы подпустили врага на близкое расстояние и метким огнём сожгли несколько тяжёлых танков типа «Тигр». Группа артиллеристов захватила самоходное орудие противника и открыла из него огонь по немецкой пехоте. Разведчики Лукашин и Ширманов проникли на наблюдательный пункт противника, убили немецкого обер-лейтенанта из 533 полка, захватили документы, радиостанцию и стереотрубу. Пробиваясь обратно в свою часть, разведчики уничтожили ещё несколько немцев. Бронебойщики младший сержант Фомиченко и красноармеец Пешков, отражая атаку пикирующих немецких бомбардировщиков, сбили 2 самолёта «Юнкерс-88». Красноармеец Грачков в бою израсходовал все патроны и был захвачен в плен. По дороге Грачков убил двух конвоировавших его гитлеровцев, вернулся в своё подразделение и снова вступил в бой.</w:t>
      </w:r>
    </w:p>
    <w:p w14:paraId="54DEBF2E"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Белгородском направлении продолжались упорные бои. Колонны танков и пехоты противника, поддержанные крупными силами авиации, непрерывно штурмовали советские позиции. Огнём из всех видов оружия наши части уничтожали живую силу и технику противника, контрударами отбрасывали его штурмующие колонны. К концу дня группе немецких танков удалось вклиниться в нашу оборону.</w:t>
      </w:r>
    </w:p>
    <w:p w14:paraId="00592CB8"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с противником красноармейцы и командиры проявляют исключительную стойкость и упорство. Наша пехота пропускает немецкие танки через свои боевые порядки, потом отсекает от танков пехоту противника и наносит ей уничтожающие удары. В это время артиллеристы, танкисты, бронебойщики выводят из строя прорвавшиеся вражеские танки. Немецкие войска под ударами наших бойцов несут огромные потери в живой силе и технике. На поле боя валяются сотни подбитых и сожжённых танков противника, много разбитых автомашин и немецких самолётов.</w:t>
      </w:r>
    </w:p>
    <w:p w14:paraId="78153C9F"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Калининском фронте происходили активные действия разведывательных отрядов. На одном участке рота гитлеровцев атаковала наши позиции. Советские бойцы контрударом отбросили немцев на исходный рубеж. На поле боя осталось 60 вражеских трупов. На другом участке наша разведывательная группа внезапным ударом выбила противника из позиций, расположенных на одной высоте. Снайперы Н-ского соединения за последний месяц истребили 374 гитлеровца. Снайпер Засенко за это время истребил 24 немца, снайпер Бойненко—20, снайпер Петренко уничтожил 14 гитлеровцев.</w:t>
      </w:r>
    </w:p>
    <w:p w14:paraId="61C39F4A"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происходила оживлённая перестрелка. Наши артиллеристы разрушили 3 блиндажа, взорвали склад боеприпасов, подавили огонь до 20 артиллерийских и миномётных батарей противника.</w:t>
      </w:r>
    </w:p>
    <w:p w14:paraId="28C2C7F4"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 разведывательный отряд совершил вылазку в расположение противника. Разведчики взяли в плен немецкого ефрейтора и захватили миномёт, 2 пулемёта и несколько винтовок. Огнём советской артиллерии и миномётов разрушено 9 вражеских дзотов, 4 наблюдательных пункта, 5 землянок и 24 пулемётных точки. Снайперы Н-ской части истребили 70 гитлеровцев.</w:t>
      </w:r>
    </w:p>
    <w:p w14:paraId="537DAEF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Каменец-Подольской области, в июне месяце пустил под откос 7 немецких железнодорожных эшелонов свойсками и техникой. Под обломками вагонов погибло несколько сот гитлеровцев. Разведчики отряда установили, что немцы собираются отправить на фронт продовольствие, отнятое ими у местных жителей. Советские патриоты совершили налёт на вражеские базы и разгромили 6 складов. Много продуктов возвращено населению.»</w:t>
      </w:r>
    </w:p>
    <w:p w14:paraId="17ADEC9C"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065ADCF7"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8 июля</w:t>
      </w:r>
      <w:r w:rsidRPr="00271E51">
        <w:rPr>
          <w:rFonts w:ascii="Times New Roman" w:hAnsi="Times New Roman"/>
          <w:color w:val="000000" w:themeColor="text1"/>
          <w:sz w:val="16"/>
          <w:szCs w:val="16"/>
        </w:rPr>
        <w:t xml:space="preserve"> в 1943 году накануне командующий войсками Воронежского фронта издал директиву о нанесении контрудара. "Основная задача контрудара разгромить группировку противника в районе Беленихино, Ерик, Шопино, выйти на фронт Сырцева, Яковлево, Козьмо-Демьяновский, Быковка, Ерик, Шопино."</w:t>
      </w:r>
    </w:p>
    <w:p w14:paraId="66DB9D5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Задача на контрудар была поставлена:</w:t>
      </w:r>
    </w:p>
    <w:p w14:paraId="1230C404"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10-му танковому корпусу в направлении Васильевка, Яковлево</w:t>
      </w:r>
    </w:p>
    <w:p w14:paraId="73DC8F03"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2-му танковому корпусу в направлении Козьмо-Демьяновка, Быковка</w:t>
      </w:r>
    </w:p>
    <w:p w14:paraId="6F6763D1"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5-му гвардейскому танковому корпусу в направлении Крапивинские Дворы, Гремячий, колхоза "Смело к труду"</w:t>
      </w:r>
    </w:p>
    <w:p w14:paraId="6C6D4155"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2-му танковому корпусу танковому корпусу в направлении Гонок</w:t>
      </w:r>
    </w:p>
    <w:p w14:paraId="3670563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89-й и 375-й стрелковой дивизии в направлении Ерик, Шопино</w:t>
      </w:r>
    </w:p>
    <w:p w14:paraId="0EA7301B"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танковой армии (6-й и 31 танковые корпуса) в направлении Сырцев, Яковлевка, Покровка.</w:t>
      </w:r>
    </w:p>
    <w:p w14:paraId="3EED25EB"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Начало контрудара было запланировано на 10.30, однако в 10.00 немцы (по оценке штаба Воронежского фронта - силами пяти-шести танковых дивизий с общей численностью до 800 танков, по немецким данным - четырьмя танковыми дивизиями, до 300 танков) возобновили наступление с рубежа Сырцев - Грезное в северо-западном направлении.</w:t>
      </w:r>
    </w:p>
    <w:p w14:paraId="2AD4855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упорных боев немцы взяли Сырцево, Красную Дубраву, Гремучий и к 18.00 вышли на рубеж Луханино - Сырцево, юго-восточный округ Верхопенья, урочище Сухая, Сухо-Солотино, Кочетовка, Ильинский. В районе Красной Поляны в мешке оказалась 180-я танковая бригада. На участке 6-го танкового корпуса, 3-го механизированного корпуса и 67-й гвардейской стрелковой дивизии немцы (3-я танковая дивизия, механизированная дивизия "Гроссдойчланд", 11-я танковая дивизия ) продвинулись на 2-6 км. На участке 51-й гвардейской стрелковой дивизии и 31-го танкового корпуса немцы (механизированная дивизия СС "Лейбштандарт") продвинулись на 6-7 км. Как сказано в разведсводке штаба Воронежского фронта - "на остальных участках направления противник вел огневой бой на прежнем рубеже" - то есть никаких контрударов 10-го и 2-го танковых корпусов, 5-го и 2-го гвардейских танковых корпусов не было. Это подтверждается приказом Ватутина командирам этих корпусов, отданным в 14.20 - "топтание на месте прекратить и стремительно наступать" (при этом в 15.40 Ватутин доложил Сталину, что "наш контрудар начался в 12.30 и наносится с фронта Васильевка, Беленихино [то есть 10-м, 2-м танковые корпуса и 5-м гвардейский танковый корпус] на Яковлево". Правда, в распоряжении заместителя начальника Генштаба Антонова командующего ВФ от 10 июля указывается, что "8 июля с 21.00 до 22.00 танковая бригада 2-го танкового корпуса наступала на высоту 258,2 (0,5 км севернее Тетеревино), которая к этому времени занималась частями 183-й стрелковой дивизии. В результате боя имелись потери с обеих сторон". С плацдарма южнее Белгорода немцы (силами 6-й танковой дивизии и 503-го батальона Тигров против 92-й гвардейской стрелковой дивизии и 96 танковой бригады) с рубежа Ближняя Игуменка - Севрюково наступали на Мелехово, взяв его к 21.30 (продвинувшись на 10 км). Южнее к исходу дня немцы взяли Батрацкую Дачу и совхоз Поляна (продвижение 2-3 км) (14946).</w:t>
      </w:r>
    </w:p>
    <w:p w14:paraId="360CDDDC"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26A806AF"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8 июля</w:t>
      </w:r>
      <w:r w:rsidRPr="00271E51">
        <w:rPr>
          <w:rFonts w:ascii="Times New Roman" w:hAnsi="Times New Roman"/>
          <w:color w:val="000000" w:themeColor="text1"/>
          <w:sz w:val="16"/>
          <w:szCs w:val="16"/>
        </w:rPr>
        <w:t xml:space="preserve"> в 1943 году на орловско-курском и белгородском направлениях советские войска отражали наступление противника. Контрударом войск Центрального фронта противник отброшен с северной окраины Понырей. В районе Курска в воздушных боях и огнем зенитной артиллерии сбит 161 самолет противника (14946).</w:t>
      </w:r>
    </w:p>
    <w:p w14:paraId="17151F2D"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2059A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шестерка Ил-2 под командо</w:t>
      </w:r>
      <w:r w:rsidRPr="00271E51">
        <w:rPr>
          <w:rFonts w:ascii="Times New Roman" w:hAnsi="Times New Roman"/>
          <w:color w:val="000000" w:themeColor="text1"/>
          <w:sz w:val="16"/>
          <w:szCs w:val="16"/>
        </w:rPr>
        <w:softHyphen/>
        <w:t xml:space="preserve">ванием командира 617-го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м-ра Ломовцева из этой же дивизии нанесла эф</w:t>
      </w:r>
      <w:r w:rsidRPr="00271E51">
        <w:rPr>
          <w:rFonts w:ascii="Times New Roman" w:hAnsi="Times New Roman"/>
          <w:color w:val="000000" w:themeColor="text1"/>
          <w:sz w:val="16"/>
          <w:szCs w:val="16"/>
        </w:rPr>
        <w:softHyphen/>
        <w:t>фективный удар по скоплению немец</w:t>
      </w:r>
      <w:r w:rsidRPr="00271E51">
        <w:rPr>
          <w:rFonts w:ascii="Times New Roman" w:hAnsi="Times New Roman"/>
          <w:color w:val="000000" w:themeColor="text1"/>
          <w:sz w:val="16"/>
          <w:szCs w:val="16"/>
        </w:rPr>
        <w:softHyphen/>
        <w:t>ких танков в районе вые. 242,1, сосре</w:t>
      </w:r>
      <w:r w:rsidRPr="00271E51">
        <w:rPr>
          <w:rFonts w:ascii="Times New Roman" w:hAnsi="Times New Roman"/>
          <w:color w:val="000000" w:themeColor="text1"/>
          <w:sz w:val="16"/>
          <w:szCs w:val="16"/>
        </w:rPr>
        <w:softHyphen/>
        <w:t>доточенных для атаки позиции 67-й гвардейской дивизии 3-го мехкорпуса. Сбросив ПТАБы с высоты 800 м, штур</w:t>
      </w:r>
      <w:r w:rsidRPr="00271E51">
        <w:rPr>
          <w:rFonts w:ascii="Times New Roman" w:hAnsi="Times New Roman"/>
          <w:color w:val="000000" w:themeColor="text1"/>
          <w:sz w:val="16"/>
          <w:szCs w:val="16"/>
        </w:rPr>
        <w:softHyphen/>
        <w:t>мовики подожгли 15 танков (6467).</w:t>
      </w:r>
    </w:p>
    <w:p w14:paraId="2B3323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итоге немцы были вынуждены пре</w:t>
      </w:r>
      <w:r w:rsidRPr="00271E51">
        <w:rPr>
          <w:rFonts w:ascii="Times New Roman" w:hAnsi="Times New Roman"/>
          <w:color w:val="000000" w:themeColor="text1"/>
          <w:sz w:val="16"/>
          <w:szCs w:val="16"/>
        </w:rPr>
        <w:softHyphen/>
        <w:t>кратить атаки и отвести остатки сил в район севернее Кашара (6467).</w:t>
      </w:r>
    </w:p>
    <w:p w14:paraId="63D526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FE4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командир 617-го шап майор Д.Л. Ломовцев возгла</w:t>
      </w:r>
      <w:r w:rsidRPr="00271E51">
        <w:rPr>
          <w:rFonts w:ascii="Times New Roman" w:hAnsi="Times New Roman"/>
          <w:color w:val="000000" w:themeColor="text1"/>
          <w:sz w:val="16"/>
          <w:szCs w:val="16"/>
        </w:rPr>
        <w:softHyphen/>
        <w:t>вил группу в составе 6 Ил-2. Штурмовики нанесли удар по скоплению танков в районах Покровка, Яковлеве, Козь-мо-Демьяновка. Экипажи выполнили две атаки: первая с вы</w:t>
      </w:r>
      <w:r w:rsidRPr="00271E51">
        <w:rPr>
          <w:rFonts w:ascii="Times New Roman" w:hAnsi="Times New Roman"/>
          <w:color w:val="000000" w:themeColor="text1"/>
          <w:sz w:val="16"/>
          <w:szCs w:val="16"/>
        </w:rPr>
        <w:softHyphen/>
        <w:t>соты 600—800 м со сбросом ПТАБ и вторая — с обстрелом це</w:t>
      </w:r>
      <w:r w:rsidRPr="00271E51">
        <w:rPr>
          <w:rFonts w:ascii="Times New Roman" w:hAnsi="Times New Roman"/>
          <w:color w:val="000000" w:themeColor="text1"/>
          <w:sz w:val="16"/>
          <w:szCs w:val="16"/>
        </w:rPr>
        <w:softHyphen/>
        <w:t>лей из РС и пушек с высоты 200—150 м. На отходе группы бы</w:t>
      </w:r>
      <w:r w:rsidRPr="00271E51">
        <w:rPr>
          <w:rFonts w:ascii="Times New Roman" w:hAnsi="Times New Roman"/>
          <w:color w:val="000000" w:themeColor="text1"/>
          <w:sz w:val="16"/>
          <w:szCs w:val="16"/>
        </w:rPr>
        <w:softHyphen/>
        <w:t>ло зафиксировано до 15 горящих танков и четыре больших взрыва (11474,242).</w:t>
      </w:r>
    </w:p>
    <w:p w14:paraId="7991EB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38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командир 617-го шап майор Д. Л. Ломовцев возглавил группу в составе 6 Ил-2. Штурмовики нанесли удар по скоплению танков в районе Покровка, Яковлево, Козьмо-Демьяновка. Экипажи выполнили две атаки: первая с высоты 600-800 м со сбросом ПТАБ и вторая - с обстрелом целей из PC и пушек с высоты 200-150 м. На отходе группы было зафиксировано до 15 горяших танков и четыре больших взрывов.</w:t>
      </w:r>
    </w:p>
    <w:p w14:paraId="7DE2A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вылеты "ответственных командиров" и поездки офицеров штабов на передовую с целью установления действительной эффективности ПТАБ позволили командованию воздушных армий заявить, что "приведенные цифры потерь противника ... являются правильными" и заслуживают доверия (12020).</w:t>
      </w:r>
    </w:p>
    <w:p w14:paraId="7B137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BE7671"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8 июля 1943 командир 617-го шап майор Д.Л. Ломовцев возглавил группу в составе шести Ил-2. Штурмовики нанесли удар по скоплению танков в районе Покровка, Яковлево, Козьмо-Демьяновка. Экипажи выпол</w:t>
      </w:r>
      <w:r w:rsidRPr="00271E51">
        <w:rPr>
          <w:rFonts w:ascii="Times New Roman" w:cs="Times New Roman"/>
          <w:color w:val="000000" w:themeColor="text1"/>
          <w:spacing w:val="0"/>
        </w:rPr>
        <w:softHyphen/>
        <w:t>нили две атаки: первая с высоты 600-800 м со сбросом ПТАБ и вторая с обстрелом целей из РС и пушек с высоты 200-150 м. На отходе группы было зафиксировано до 15 горящих танков и 4 больших взрыва.</w:t>
      </w:r>
    </w:p>
    <w:p w14:paraId="09D2A1C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Контрольные вылеты «ответственных командиров» и поездки офицеров шта</w:t>
      </w:r>
      <w:r w:rsidRPr="00271E51">
        <w:rPr>
          <w:rFonts w:ascii="Times New Roman" w:cs="Times New Roman"/>
          <w:color w:val="000000" w:themeColor="text1"/>
          <w:spacing w:val="0"/>
        </w:rPr>
        <w:softHyphen/>
        <w:t>бов на передовую с целью установления действительной эффективности ПТАБ по</w:t>
      </w:r>
      <w:r w:rsidRPr="00271E51">
        <w:rPr>
          <w:rFonts w:ascii="Times New Roman" w:cs="Times New Roman"/>
          <w:color w:val="000000" w:themeColor="text1"/>
          <w:spacing w:val="0"/>
        </w:rPr>
        <w:softHyphen/>
        <w:t>зволили командованию воздушных армий заявить, что «приведенные цифры потерь противника являются правильными» и за</w:t>
      </w:r>
      <w:r w:rsidRPr="00271E51">
        <w:rPr>
          <w:rFonts w:ascii="Times New Roman" w:cs="Times New Roman"/>
          <w:color w:val="000000" w:themeColor="text1"/>
          <w:spacing w:val="0"/>
        </w:rPr>
        <w:softHyphen/>
        <w:t>служивают доверия (12739).</w:t>
      </w:r>
    </w:p>
    <w:p w14:paraId="7095D34B"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3ED7C953" w14:textId="77777777" w:rsidR="0008412D" w:rsidRPr="00271E51" w:rsidRDefault="00084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июля 1943 командир 617-го шап майор Д. Л. Ломовцев возглавил группу в составе 6 Ил-2. Штурмови ки нанесли удар по скоплению танков в районе Покровка, Яковлево, Козьмо-Демьяновка. Экипа</w:t>
      </w:r>
      <w:r w:rsidRPr="00271E51">
        <w:rPr>
          <w:color w:val="000000" w:themeColor="text1"/>
          <w:sz w:val="16"/>
          <w:szCs w:val="16"/>
        </w:rPr>
        <w:softHyphen/>
        <w:t>жи выполнили 2 атаки: 1-я с высоты 600—800 м со сбросом ПТАБ и 2-я — с обстрелом целей из РС и пушек с высоты 200—150 м. На отходе груп</w:t>
      </w:r>
      <w:r w:rsidRPr="00271E51">
        <w:rPr>
          <w:color w:val="000000" w:themeColor="text1"/>
          <w:sz w:val="16"/>
          <w:szCs w:val="16"/>
        </w:rPr>
        <w:softHyphen/>
        <w:t>пы было зафиксировано до 15 горящих танков и 4 больших взрыва.</w:t>
      </w:r>
    </w:p>
    <w:p w14:paraId="77535056" w14:textId="77777777" w:rsidR="0008412D" w:rsidRPr="00271E51" w:rsidRDefault="00084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Контрольные вылеты «ответственных команди</w:t>
      </w:r>
      <w:r w:rsidRPr="00271E51">
        <w:rPr>
          <w:color w:val="000000" w:themeColor="text1"/>
          <w:sz w:val="16"/>
          <w:szCs w:val="16"/>
        </w:rPr>
        <w:softHyphen/>
        <w:t>ров» и поездки офицеров штабов на передовую с целью установления действительной эффектив</w:t>
      </w:r>
      <w:r w:rsidRPr="00271E51">
        <w:rPr>
          <w:color w:val="000000" w:themeColor="text1"/>
          <w:sz w:val="16"/>
          <w:szCs w:val="16"/>
        </w:rPr>
        <w:softHyphen/>
        <w:t>ности ПТАБ позволили командованию воздушных армий заявить, что «приведенные цифры потерь противника /.../ являются правильными» и заслу</w:t>
      </w:r>
      <w:r w:rsidRPr="00271E51">
        <w:rPr>
          <w:color w:val="000000" w:themeColor="text1"/>
          <w:sz w:val="16"/>
          <w:szCs w:val="16"/>
        </w:rPr>
        <w:softHyphen/>
        <w:t>живают доверия (17500).</w:t>
      </w:r>
    </w:p>
    <w:p w14:paraId="523DF59E" w14:textId="77777777" w:rsidR="0008412D" w:rsidRPr="00271E51" w:rsidRDefault="0008412D" w:rsidP="00271E51">
      <w:pPr>
        <w:spacing w:after="0" w:line="240" w:lineRule="auto"/>
        <w:jc w:val="both"/>
        <w:rPr>
          <w:rFonts w:ascii="Times New Roman" w:hAnsi="Times New Roman"/>
          <w:color w:val="000000" w:themeColor="text1"/>
          <w:sz w:val="16"/>
          <w:szCs w:val="16"/>
        </w:rPr>
      </w:pPr>
    </w:p>
    <w:p w14:paraId="2E048A5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июля пилоты 51077, 5Ю2 и 5сИ.01 и противотанковой группы РиР2 уничтожили и повредили якобы 88 танков, 4 артиллерийских и 3 зенитных орудий, 2 установки гвардейских минометов БМ-13 и около 40 автомашин. Причем бо</w:t>
      </w:r>
      <w:r w:rsidRPr="00271E51">
        <w:rPr>
          <w:rFonts w:ascii="Times New Roman" w:hAnsi="Times New Roman"/>
          <w:color w:val="000000" w:themeColor="text1"/>
          <w:sz w:val="16"/>
          <w:szCs w:val="16"/>
        </w:rPr>
        <w:softHyphen/>
        <w:t>лее 80 единиц советской бронетехники из этого числа было уничтожено и поврежде</w:t>
      </w:r>
      <w:r w:rsidRPr="00271E51">
        <w:rPr>
          <w:rFonts w:ascii="Times New Roman" w:hAnsi="Times New Roman"/>
          <w:color w:val="000000" w:themeColor="text1"/>
          <w:sz w:val="16"/>
          <w:szCs w:val="16"/>
        </w:rPr>
        <w:softHyphen/>
        <w:t>но летчиками самолетов Нз129В.</w:t>
      </w:r>
    </w:p>
    <w:p w14:paraId="7F3BDA3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Отметим, что заявления немецких пилотов об уничтожении большого коли</w:t>
      </w:r>
      <w:r w:rsidRPr="00271E51">
        <w:rPr>
          <w:rFonts w:ascii="Times New Roman" w:hAnsi="Times New Roman"/>
          <w:color w:val="000000" w:themeColor="text1"/>
          <w:sz w:val="16"/>
          <w:szCs w:val="16"/>
        </w:rPr>
        <w:softHyphen/>
        <w:t>чества советских танков, как, впрочем, и других наземных целей, обычно не под</w:t>
      </w:r>
      <w:r w:rsidRPr="00271E51">
        <w:rPr>
          <w:rFonts w:ascii="Times New Roman" w:hAnsi="Times New Roman"/>
          <w:color w:val="000000" w:themeColor="text1"/>
          <w:sz w:val="16"/>
          <w:szCs w:val="16"/>
        </w:rPr>
        <w:softHyphen/>
        <w:t>тверждались ничем, кроме их собственных слов. На большинстве самолетов кинофотопулеметы отсутствовали, а если и были, то фиксировали не результат действия, а лишь попадания снарядов в танк.</w:t>
      </w:r>
    </w:p>
    <w:p w14:paraId="362F22B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реальные по</w:t>
      </w:r>
      <w:r w:rsidRPr="00271E51">
        <w:rPr>
          <w:rFonts w:ascii="Times New Roman" w:hAnsi="Times New Roman"/>
          <w:color w:val="000000" w:themeColor="text1"/>
          <w:sz w:val="16"/>
          <w:szCs w:val="16"/>
        </w:rPr>
        <w:softHyphen/>
        <w:t>тери советских танкистов от бомб, а уж тем более от пушечного немецкой авиации в действительности оказались значительно скромнее, чем это отражается в докладах немецких пилотов (12728).</w:t>
      </w:r>
    </w:p>
    <w:p w14:paraId="4953528B"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C9281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16ВА произвела 1070 вылетов и в 48 боях сбила 88, потеряв 43. На ВФ немцы к 13:00 сделали только 118 против 1210 наших и было сбито 78 немцев против 54 наших (340,146).</w:t>
      </w:r>
    </w:p>
    <w:p w14:paraId="3B869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83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8th, 1943: The battle of Kursk is about to reach its climax, with the exhausted German forces unable to make any further gains while losing vast numbers of men, tanks and planes. Soviet claims for the day are 304 tanks and 161 aircraft, the German 400 tanks and 193 aircraft (3819).</w:t>
      </w:r>
    </w:p>
    <w:p w14:paraId="2631E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9C5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потери немцев были 78 в воздухе, а наших - 54 (340,146).</w:t>
      </w:r>
    </w:p>
    <w:p w14:paraId="5BB72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67B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на орловско-курском и 9 июля на Белгородско-курском направлениях советская авиация завоевала оперативное господство в воздухе и числе немецких самолетовылетов снизилось с 5-6 тыс. 5 и 6 июля до 2.5-3 тыс. Это позволило усилить бомбоштурмовые удары (518,50).</w:t>
      </w:r>
    </w:p>
    <w:p w14:paraId="7CBE0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337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четыре штаффеля Hs 129, базировавшихся примерно в 50 км к северо-западу от Харькова, полностью отразили внезапную атаку советскую бронетанковой бригады. Эта атака была направлена в тыл 11-го танкового корпуса СС генерала Гассера, входившего в 4-ю танковую армию. Четыре штаффели, по шестнадцать Hs 129 каждый, атаковали, сменяя друг друга. Тогда как один штаффели действительно атаковал танки, два других находились в полете к цели и от нее, а последний проходил дозаправку и перевооружение. Удары наносились по бортам и в кормовую часть танков, где броня была тоньше и большинство танков было уничтожено. В ходе операции "Цитадель" Luftwaffe выполнили в целом 37421 вылет, причем при своих потерях в 64 машины были уничтожены 1735 советских самолетов. Были сброшены 20000 тонн бомб, и при этом части 1-го Fliegerkorps уничтожили 1100 танков и 1300 машин (3188).</w:t>
      </w:r>
    </w:p>
    <w:p w14:paraId="2D9AF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2B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июля 1943 пилоты эскадр и противотанковой группы FuPz уничтожили и повредили 88 танков, 5 артиллерийских и 3 зенитных орудий, 2 установки гвардейских минометов БМ-13 и около 40 автомашин. Причем более 80 единиц советской бронетехники из этого числа было уничтожено и повреждено Hsl29B из состава FuPz.</w:t>
      </w:r>
    </w:p>
    <w:p w14:paraId="200B2E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заявления немецких пилотов об уничтожении большого количества советских танков, как, впрочем, и других наземных целей, обычно не подтверждались ничем, кроме их собственных слов. На большинстве самолетов кинофотопулеметы отсутствовали, а если и были, то фиксировали не столько результат действия, сколько попадания снарядов в танк.</w:t>
      </w:r>
    </w:p>
    <w:p w14:paraId="68016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реальные потери советских танкистов от бомб и артогня немецкой авиации в действительности оказались значительно скромнее, чем это отражается в докладах немецких пилотов (9084).</w:t>
      </w:r>
    </w:p>
    <w:p w14:paraId="18C1C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DA3FA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 проводились учения воздушно-десантных войск на аэродро</w:t>
      </w:r>
      <w:r w:rsidRPr="00271E51">
        <w:rPr>
          <w:rFonts w:ascii="Times New Roman" w:hAnsi="Times New Roman"/>
          <w:color w:val="000000" w:themeColor="text1"/>
          <w:sz w:val="16"/>
          <w:szCs w:val="16"/>
        </w:rPr>
        <w:softHyphen/>
        <w:t>ме Гаврилов Посад. Сначала осущест</w:t>
      </w:r>
      <w:r w:rsidRPr="00271E51">
        <w:rPr>
          <w:rFonts w:ascii="Times New Roman" w:hAnsi="Times New Roman"/>
          <w:color w:val="000000" w:themeColor="text1"/>
          <w:sz w:val="16"/>
          <w:szCs w:val="16"/>
        </w:rPr>
        <w:softHyphen/>
        <w:t>вили выброску парашютного десанта, осуществившего захват посадочной площадки, на которую затем с помощью планёров были доставлены основные силы и тяжёлые грузы. В этих учени</w:t>
      </w:r>
      <w:r w:rsidRPr="00271E51">
        <w:rPr>
          <w:rFonts w:ascii="Times New Roman" w:hAnsi="Times New Roman"/>
          <w:color w:val="000000" w:themeColor="text1"/>
          <w:sz w:val="16"/>
          <w:szCs w:val="16"/>
        </w:rPr>
        <w:softHyphen/>
        <w:t>ях, наряду с А-7 и Г-11, участвовали планёры КЦ-20 (12266).</w:t>
      </w:r>
    </w:p>
    <w:p w14:paraId="18C863C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5AA7892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8 июля 1943 и началу знаменитой битвы на Курской дуге в составе советских войск имелось следующее количество танков.</w:t>
      </w:r>
    </w:p>
    <w:p w14:paraId="684667A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Воронежском фронте (по состоянию на вечер 1 июля 1943 года) - 2007 машин (считая учебные части и резерв фронта), из которых 1196 составляли Т-34 (60% обшей численности). Больше всего тридцатьчетверок было в составе 1-й танковой армии (519 машин), а также 2 и 5-го гвардейских танковых корпусов (261 машина).</w:t>
      </w:r>
    </w:p>
    <w:p w14:paraId="70043A0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Центрального фронта насчитывали в своем составе к вечеру 4 июля 1943 года 1654 танка, из них 967 тридцатьчетверок (50% численности), включая 166 машин технического резерва фронта. Больше всего Т-34 имелось во 2-й танковой армии (305 машин), 9 и 19-м танковых корпусах (232 машины) (12217).</w:t>
      </w:r>
    </w:p>
    <w:p w14:paraId="6D32104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4A66A0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 июля 1943 года в районе села Верхопенье (Воронежский фронт) лейтенант Михаил Замула из 200-й танковой бригады на своей тридцатьчетверке в одном бою подбил и уничтожил 17 танков и самоходок противника (12217).</w:t>
      </w:r>
    </w:p>
    <w:p w14:paraId="6F3D5A7D"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FC55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года утверждена и объявлена Директивой ГУКР "Смерш" №38288 от 16 июля 1943 года "Инструкция по организации и проведению радиоигры с противником" (8983).</w:t>
      </w:r>
    </w:p>
    <w:p w14:paraId="7144F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75B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 Финансовое управление НКО на основании п. 5 приказа НКО № 0387 от 24 июня 1943 г. издало Инструкцию о порядке выплаты премий за уничтоженные вражеские танки. Согласно этой инструкции с 1 июля 1943 г. устанавливался следующий порядок выплаты премий:</w:t>
      </w:r>
    </w:p>
    <w:p w14:paraId="3870A5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 каждый уничтоженный (подбитый, подожженный) танк противника:</w:t>
      </w:r>
    </w:p>
    <w:p w14:paraId="5492E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расчету противотанковых ружей — наводчику противотанкового ружья 500 рублей, номеру противотанкового ружья 250 руб.;</w:t>
      </w:r>
    </w:p>
    <w:p w14:paraId="233CE1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экипажу танка — командиру, механику-водителю танка и командиру орудия (башни) по 500 руб. каждому, остальным членам экипажа по 200 руб.;</w:t>
      </w:r>
    </w:p>
    <w:p w14:paraId="7194F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артиллеристам всех видов артиллерии — командиру орудия и наводчику по 500 руб. каждому, остальному составу орудийного расчета по 200 руб.;</w:t>
      </w:r>
    </w:p>
    <w:p w14:paraId="79E3C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уничтоженные танки индивидуальными средствами борьбы (мины, заряды взрыввеществ, гранаты, зажигательные бутылки и т. п.) — каждому бойцу (командиру), лично уничтожившему танк противника, по 1000 руб.</w:t>
      </w:r>
    </w:p>
    <w:p w14:paraId="3211D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в уничтожении вражеского танка индивидуальными средствами борьбы участвовало два или более бойцов (командиров), то сумма премии повышалась до 1500 руб. и выплачивалась всем участникам группы равными долями.</w:t>
      </w:r>
    </w:p>
    <w:p w14:paraId="70968C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Денежная премия в размере 1500 руб. (независимо от числа уничтоженных танков) выплачивалась также группе саперов-минеров, управляющей минным полем, если эта группа привела в действие мины или подняла минное поле приборами управления в момент, когда танки противника оказались на минном поле и были подорваны.</w:t>
      </w:r>
    </w:p>
    <w:p w14:paraId="5A8D60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 считался уничтоженным, если он в результате воздействия артиллерии, танков, противотанковых ружей или индивидуальных средств борьбы:</w:t>
      </w:r>
    </w:p>
    <w:p w14:paraId="7CBF2F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подбит (сожжен) на территории, занимаемой нашими войсками;</w:t>
      </w:r>
    </w:p>
    <w:p w14:paraId="4D83FB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остался в нейтральной зоне, но выведен из строя, танк сожжен; повреждена ходовая часть и танк не может самостоятельно двигаться; танк не может ни двигаться, ни вести огня, так как его экипаж выведен из строя, либо был вынужден покинуть танк.</w:t>
      </w:r>
    </w:p>
    <w:p w14:paraId="5B4E44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Основанием к выплате всех денежных премий за уничтоженные танки служили приказы по части, составлявшиеся в полном соответствии с оперативными донесениями (сводками) данной части вышестоящему командиру (начальнику) о результатах боя.</w:t>
      </w:r>
    </w:p>
    <w:p w14:paraId="649B1B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приказе по части указывалось: когда, где (точное местонахождение уничтоженного танка, например: в 50 м севернее моста у д. Никольское), кем, какими средствами и в каком количестве уничтожены неприятельские танки и размер премии, подлежащей выплате каждому бойцу (командиру).</w:t>
      </w:r>
    </w:p>
    <w:p w14:paraId="2D6FD9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 танковых экипажей, орудийных (минометных) расчетов, а также отдельных групп бойцов (командиров), имевших право на получение премий, объявлялся в приказе по части, поименно, с указанием должностей военнослужащих и размера причитающейся премии каждому.</w:t>
      </w:r>
    </w:p>
    <w:p w14:paraId="3702AE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тех случаях, когда в уничтожении вражеских танков в одном бою участвовали различные части (например, приданная артиллерия, танки и т. п.), проект приказа по части о выдаче премий предварительно представлялся начальнику штаба соединения, в состав которого часть входила или которому она была придана. Приказ подписывался командиром части только после получения визы начальника штаба соединения на проекте приказа.</w:t>
      </w:r>
    </w:p>
    <w:p w14:paraId="7CEBD8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соединения обязан был проверять представляемые войсковыми частями данные об уничтоженных танках, не допуская выплаты премий за одни и те же танки личному составу нескольких войсковых частей.</w:t>
      </w:r>
    </w:p>
    <w:p w14:paraId="7EE84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Если огонь по танкам противника велся несколькими артиллерийскими подразделениями или частями (например, заградительный огонь), число подбитых ими танков распределялось между подразделениями (частями) артиллерийским начальником, руководившим артиллерией в данном бою. Премия между личным составом подразделения (части) в этом случае распределялась командиром части с объявлением в приказе по части.</w:t>
      </w:r>
    </w:p>
    <w:p w14:paraId="307BD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Выплата премий за уничтоженные танки артиллерий (п. 1 “в”) производилась всему наличному составу орудийного (минометного) расчета, принимавшему участие в бою, в пределах штатной численности. Шоферам и ездовым огневых взводов батарей эта премия не выплачивалась. В тех случаях, когда шоферы и ездовые заменяли </w:t>
      </w:r>
      <w:r w:rsidRPr="00271E51">
        <w:rPr>
          <w:rFonts w:ascii="Times New Roman" w:hAnsi="Times New Roman"/>
          <w:color w:val="000000" w:themeColor="text1"/>
          <w:sz w:val="16"/>
          <w:szCs w:val="16"/>
        </w:rPr>
        <w:lastRenderedPageBreak/>
        <w:t>выбывших из строя лиц орудийного расчета, им, по докладу командира батареи, денежная премия могла быть выплачена по решению командира части.</w:t>
      </w:r>
    </w:p>
    <w:p w14:paraId="1AB72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Механикам-водителям артиллерийских самоходных установок на танковой базе (СУ) премия выплачивалась как механикам-водителям танков в размере 500 руб.</w:t>
      </w:r>
    </w:p>
    <w:p w14:paraId="7EDA4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Премии за уничтоженные танки должны были быть выплачены в 3-дневный срок после выхода приказа по части.</w:t>
      </w:r>
    </w:p>
    <w:p w14:paraId="17906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Личному составу частей и подразделений истребительно-противотанковой артиллерии выплата премий за уничтоженные танки производилась также в порядке указанной Инструкции (9844).</w:t>
      </w:r>
    </w:p>
    <w:p w14:paraId="1A97E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FFB8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вышло Распоряжение ГКО № 3698 [О материальном обеспечении, правах и льготах лиц командного и начальствующего состава КА и ВМФ, привлеченных для работы в аппарат членов ГКО, СHК, HКВТ.] (7119, 1).</w:t>
      </w:r>
    </w:p>
    <w:p w14:paraId="6A41FB0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74AB5" w14:textId="77777777" w:rsidR="00E36137" w:rsidRPr="00271E51" w:rsidRDefault="00E36137"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8 июля 1943 г проводились учения ВДВ на аэродроме Гаврилов Посад. При этом осуществили выброску парашютного десанта, который захватил посадочную площадку, на которую затем, с помощью планеров, были доставлены основные силы десанта и тяжёлые грузы. В учениях, наряду с А-7 и Г-11, участвовали планеры КЦ-20.</w:t>
      </w:r>
    </w:p>
    <w:p w14:paraId="4A09A019" w14:textId="77777777" w:rsidR="00E36137" w:rsidRPr="00271E51" w:rsidRDefault="00E36137"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После этого на КЦ-20 выполняли единичные вылеты для доставки грузов партизанам и для заброски во вражеский тыл групп подрывников в полосе Калининского фронта (19191).</w:t>
      </w:r>
    </w:p>
    <w:p w14:paraId="6E4FCE93" w14:textId="77777777" w:rsidR="00E36137" w:rsidRPr="00271E51" w:rsidRDefault="00E36137" w:rsidP="00271E51">
      <w:pPr>
        <w:pStyle w:val="ae"/>
        <w:shd w:val="clear" w:color="auto" w:fill="FFFFFF"/>
        <w:spacing w:before="0" w:after="0"/>
        <w:jc w:val="both"/>
        <w:textAlignment w:val="baseline"/>
        <w:rPr>
          <w:color w:val="000000" w:themeColor="text1"/>
          <w:sz w:val="16"/>
          <w:szCs w:val="16"/>
        </w:rPr>
      </w:pPr>
    </w:p>
    <w:p w14:paraId="06B4D06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1AC6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B10DB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Гитлер приказал задействовать всех советских военнопленных на работах в Германии (4962).</w:t>
      </w:r>
    </w:p>
    <w:p w14:paraId="5966EDD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ED6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8/10 июля до 7 августа 1943 состоялась высадка союзников на Сицилии (операция Husky) (2246,3).</w:t>
      </w:r>
    </w:p>
    <w:p w14:paraId="2037C9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3C41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июля 1943 при пытках в гестапо погиб герой французского Сопротивления Жан Мулен (4962).</w:t>
      </w:r>
    </w:p>
    <w:p w14:paraId="37F70DC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99B6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62BE3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2EBCE"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w:t>
      </w:r>
      <w:r w:rsidRPr="00271E51">
        <w:rPr>
          <w:rStyle w:val="aff9"/>
          <w:rFonts w:ascii="Times New Roman" w:hAnsi="Times New Roman" w:cs="Times New Roman"/>
          <w:b w:val="0"/>
          <w:color w:val="000000" w:themeColor="text1"/>
          <w:spacing w:val="0"/>
          <w:sz w:val="16"/>
          <w:szCs w:val="16"/>
        </w:rPr>
        <w:t xml:space="preserve"> 1943, п</w:t>
      </w:r>
      <w:r w:rsidRPr="00271E51">
        <w:rPr>
          <w:rFonts w:ascii="Times New Roman" w:hAnsi="Times New Roman"/>
          <w:color w:val="000000" w:themeColor="text1"/>
          <w:sz w:val="16"/>
          <w:szCs w:val="16"/>
        </w:rPr>
        <w:t>осле проведения предварительных кон</w:t>
      </w:r>
      <w:r w:rsidRPr="00271E51">
        <w:rPr>
          <w:rFonts w:ascii="Times New Roman" w:hAnsi="Times New Roman"/>
          <w:color w:val="000000" w:themeColor="text1"/>
          <w:sz w:val="16"/>
          <w:szCs w:val="16"/>
        </w:rPr>
        <w:softHyphen/>
        <w:t>сультаций с представителями</w:t>
      </w:r>
      <w:r w:rsidRPr="00271E51">
        <w:rPr>
          <w:rStyle w:val="aff9"/>
          <w:rFonts w:ascii="Times New Roman" w:hAnsi="Times New Roman" w:cs="Times New Roman"/>
          <w:b w:val="0"/>
          <w:color w:val="000000" w:themeColor="text1"/>
          <w:spacing w:val="0"/>
          <w:sz w:val="16"/>
          <w:szCs w:val="16"/>
        </w:rPr>
        <w:t xml:space="preserve"> НКХП и НКПСМ </w:t>
      </w:r>
      <w:r w:rsidRPr="00271E51">
        <w:rPr>
          <w:rFonts w:ascii="Times New Roman" w:hAnsi="Times New Roman"/>
          <w:color w:val="000000" w:themeColor="text1"/>
          <w:sz w:val="16"/>
          <w:szCs w:val="16"/>
        </w:rPr>
        <w:t xml:space="preserve">генерал Лапин </w:t>
      </w:r>
      <w:r w:rsidRPr="00271E51">
        <w:rPr>
          <w:rStyle w:val="aff9"/>
          <w:rFonts w:ascii="Times New Roman" w:hAnsi="Times New Roman" w:cs="Times New Roman"/>
          <w:b w:val="0"/>
          <w:color w:val="000000" w:themeColor="text1"/>
          <w:spacing w:val="0"/>
          <w:sz w:val="16"/>
          <w:szCs w:val="16"/>
        </w:rPr>
        <w:t>направил письмо</w:t>
      </w:r>
      <w:r w:rsidRPr="00271E51">
        <w:rPr>
          <w:rFonts w:ascii="Times New Roman" w:hAnsi="Times New Roman"/>
          <w:color w:val="000000" w:themeColor="text1"/>
          <w:sz w:val="16"/>
          <w:szCs w:val="16"/>
        </w:rPr>
        <w:t xml:space="preserve"> за</w:t>
      </w:r>
      <w:r w:rsidRPr="00271E51">
        <w:rPr>
          <w:rFonts w:ascii="Times New Roman" w:hAnsi="Times New Roman"/>
          <w:color w:val="000000" w:themeColor="text1"/>
          <w:sz w:val="16"/>
          <w:szCs w:val="16"/>
        </w:rPr>
        <w:softHyphen/>
        <w:t>местителю наркома</w:t>
      </w:r>
      <w:r w:rsidRPr="00271E51">
        <w:rPr>
          <w:rStyle w:val="aff9"/>
          <w:rFonts w:ascii="Times New Roman" w:hAnsi="Times New Roman" w:cs="Times New Roman"/>
          <w:b w:val="0"/>
          <w:color w:val="000000" w:themeColor="text1"/>
          <w:spacing w:val="0"/>
          <w:sz w:val="16"/>
          <w:szCs w:val="16"/>
        </w:rPr>
        <w:t xml:space="preserve"> НКХП Касаткину и заме</w:t>
      </w:r>
      <w:r w:rsidRPr="00271E51">
        <w:rPr>
          <w:rStyle w:val="aff9"/>
          <w:rFonts w:ascii="Times New Roman" w:hAnsi="Times New Roman" w:cs="Times New Roman"/>
          <w:b w:val="0"/>
          <w:color w:val="000000" w:themeColor="text1"/>
          <w:spacing w:val="0"/>
          <w:sz w:val="16"/>
          <w:szCs w:val="16"/>
        </w:rPr>
        <w:softHyphen/>
      </w:r>
      <w:r w:rsidRPr="00271E51">
        <w:rPr>
          <w:rFonts w:ascii="Times New Roman" w:hAnsi="Times New Roman"/>
          <w:color w:val="000000" w:themeColor="text1"/>
          <w:sz w:val="16"/>
          <w:szCs w:val="16"/>
        </w:rPr>
        <w:t>стителю наркома</w:t>
      </w:r>
      <w:r w:rsidRPr="00271E51">
        <w:rPr>
          <w:rStyle w:val="aff9"/>
          <w:rFonts w:ascii="Times New Roman" w:hAnsi="Times New Roman" w:cs="Times New Roman"/>
          <w:b w:val="0"/>
          <w:color w:val="000000" w:themeColor="text1"/>
          <w:spacing w:val="0"/>
          <w:sz w:val="16"/>
          <w:szCs w:val="16"/>
        </w:rPr>
        <w:t xml:space="preserve"> НКПСМ Шилову, в котором </w:t>
      </w:r>
      <w:r w:rsidRPr="00271E51">
        <w:rPr>
          <w:rFonts w:ascii="Times New Roman" w:hAnsi="Times New Roman"/>
          <w:color w:val="000000" w:themeColor="text1"/>
          <w:sz w:val="16"/>
          <w:szCs w:val="16"/>
        </w:rPr>
        <w:t>просил дать указания</w:t>
      </w:r>
      <w:r w:rsidRPr="00271E51">
        <w:rPr>
          <w:rStyle w:val="aff9"/>
          <w:rFonts w:ascii="Times New Roman" w:hAnsi="Times New Roman" w:cs="Times New Roman"/>
          <w:b w:val="0"/>
          <w:color w:val="000000" w:themeColor="text1"/>
          <w:spacing w:val="0"/>
          <w:sz w:val="16"/>
          <w:szCs w:val="16"/>
        </w:rPr>
        <w:t xml:space="preserve"> заводам срочно изго</w:t>
      </w:r>
      <w:r w:rsidRPr="00271E51">
        <w:rPr>
          <w:rStyle w:val="aff9"/>
          <w:rFonts w:ascii="Times New Roman" w:hAnsi="Times New Roman" w:cs="Times New Roman"/>
          <w:b w:val="0"/>
          <w:color w:val="000000" w:themeColor="text1"/>
          <w:spacing w:val="0"/>
          <w:sz w:val="16"/>
          <w:szCs w:val="16"/>
        </w:rPr>
        <w:softHyphen/>
      </w:r>
      <w:r w:rsidRPr="00271E51">
        <w:rPr>
          <w:rFonts w:ascii="Times New Roman" w:hAnsi="Times New Roman"/>
          <w:color w:val="000000" w:themeColor="text1"/>
          <w:sz w:val="16"/>
          <w:szCs w:val="16"/>
        </w:rPr>
        <w:t>товить в счет майского</w:t>
      </w:r>
      <w:r w:rsidRPr="00271E51">
        <w:rPr>
          <w:rStyle w:val="aff9"/>
          <w:rFonts w:ascii="Times New Roman" w:hAnsi="Times New Roman" w:cs="Times New Roman"/>
          <w:b w:val="0"/>
          <w:color w:val="000000" w:themeColor="text1"/>
          <w:spacing w:val="0"/>
          <w:sz w:val="16"/>
          <w:szCs w:val="16"/>
        </w:rPr>
        <w:t xml:space="preserve"> плана</w:t>
      </w:r>
      <w:r w:rsidRPr="00271E51">
        <w:rPr>
          <w:rFonts w:ascii="Times New Roman" w:hAnsi="Times New Roman"/>
          <w:color w:val="000000" w:themeColor="text1"/>
          <w:sz w:val="16"/>
          <w:szCs w:val="16"/>
        </w:rPr>
        <w:t xml:space="preserve"> 20</w:t>
      </w:r>
      <w:r w:rsidRPr="00271E51">
        <w:rPr>
          <w:rStyle w:val="aff9"/>
          <w:rFonts w:ascii="Times New Roman" w:hAnsi="Times New Roman" w:cs="Times New Roman"/>
          <w:b w:val="0"/>
          <w:color w:val="000000" w:themeColor="text1"/>
          <w:spacing w:val="0"/>
          <w:sz w:val="16"/>
          <w:szCs w:val="16"/>
        </w:rPr>
        <w:t xml:space="preserve"> комплектов </w:t>
      </w:r>
      <w:r w:rsidRPr="00271E51">
        <w:rPr>
          <w:rFonts w:ascii="Times New Roman" w:hAnsi="Times New Roman"/>
          <w:color w:val="000000" w:themeColor="text1"/>
          <w:sz w:val="16"/>
          <w:szCs w:val="16"/>
        </w:rPr>
        <w:t>бронекозырьков самолетов Ил-2</w:t>
      </w:r>
      <w:r w:rsidRPr="00271E51">
        <w:rPr>
          <w:rStyle w:val="aff9"/>
          <w:rFonts w:ascii="Times New Roman" w:hAnsi="Times New Roman" w:cs="Times New Roman"/>
          <w:b w:val="0"/>
          <w:color w:val="000000" w:themeColor="text1"/>
          <w:spacing w:val="0"/>
          <w:sz w:val="16"/>
          <w:szCs w:val="16"/>
        </w:rPr>
        <w:t xml:space="preserve"> нового типа.</w:t>
      </w:r>
    </w:p>
    <w:p w14:paraId="3CDD1CEC"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Бронекозырьки из прозрачной брони «на двойной пленке» удовлетворительно прошли войсковые и государственные испытания и с декабря 1943 г. были запущены в серийное производство (17481).</w:t>
      </w:r>
    </w:p>
    <w:p w14:paraId="09AB5078"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0C3AD1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9 июля 1943 на заводе 21 начались заводские испытания Ла-5 М-82ФН 2ТК-3, которые проводил л ЛИИ Юганов л завода 21 Самусев. Прервали 17 сентября 1943 при обнаружении в моторе стружки. Потом, 7 октября 1943 подключился и л ЛИИ Шиянов (1458,332). По 26 ноября 1943 на Ла-5 выполнили 33 полета, из которых 18 на высоту свыше 9000 м, установив боевую высоту 12500 м (1824,19).</w:t>
      </w:r>
    </w:p>
    <w:p w14:paraId="4772C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621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года самолет Ла-5 с мотором М-82ФН, но без автомата переключения скоростей турбокомпрессора поднялся в воздух с заводского аэродрома в Горьком.</w:t>
      </w:r>
    </w:p>
    <w:p w14:paraId="63FA3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15 апреля следующего года первый высотный Ла-5 выполнил 30 испытательных полетов, из них девять - на высоте более 9000 м. Но выше 12 500 м подняться не удавалось, хотя самолет отличался достаточной маневренностью: как горизонтальной, так и вертикальной на этой высоте. Испытания шли тяжело, перегревались масло и головки цилиндров двигателя, падало давление бензина. Все это не позволяло достигнуть расчетного потолка. За отмеченный период пришлось заменить три двигателя, увеличить объем масло- радиатора и поставить дополнительный масляный бак на 60 кг. Вырос запас горючего и появился бак с водой, предназначавшейся для охлаждения цилиндров мотора при ее впрыске в клапанные коробки. В итоге вес машины возрос на 100 кг, а потолок снизился до 12 000 м (12032).</w:t>
      </w:r>
    </w:p>
    <w:p w14:paraId="11347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ACA37"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 на заводе № 21 начались заводские испытания второго варианта Ла-5 с М-82ФН (винт ВИШ-105В) и двумя ТК-3 (в некоторых документах он называется «ФТК»), их проводили лётчик ЛИИ В.Н. Юганов и летчик завода № 21 М.А. Самусев.</w:t>
      </w:r>
    </w:p>
    <w:p w14:paraId="189C7613"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первого варианта на нём, помимо установки мотора М-82ФН, улучшили дефлектировку цилиндров, а также капотировку турбокомпрессоров и воздушных труб.</w:t>
      </w:r>
    </w:p>
    <w:p w14:paraId="456A856D"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ТК-3 установили за мотором М-82ФН симметрично относительно оси самолёта, наружу роторами. Для своей работы каждый ТК-3 использовал газы от семи цилиндров, которые собирались в коллекторы, затем оттуда поступали в выхлопной трубопровод, подводивший их через специальный сборник — ресивер, к сопловому венцу турбины. Расширившись в соплах, приблизительно до атмосферного давления, они приобретали большую скорость и попадали на лопатки турбинного диска, раскручивая ротор. Забор воздуха в турбокомпрессоры производился одной трубой от передней кромки моторно</w:t>
      </w:r>
      <w:r w:rsidRPr="00271E51">
        <w:rPr>
          <w:rFonts w:ascii="Times New Roman" w:hAnsi="Times New Roman"/>
          <w:color w:val="000000" w:themeColor="text1"/>
          <w:sz w:val="16"/>
          <w:szCs w:val="16"/>
        </w:rPr>
        <w:softHyphen/>
        <w:t>го капота в нижней его части. Горячие части турбокомпрессоров от гидравлической ча</w:t>
      </w:r>
      <w:r w:rsidRPr="00271E51">
        <w:rPr>
          <w:rFonts w:ascii="Times New Roman" w:hAnsi="Times New Roman"/>
          <w:color w:val="000000" w:themeColor="text1"/>
          <w:sz w:val="16"/>
          <w:szCs w:val="16"/>
        </w:rPr>
        <w:softHyphen/>
        <w:t>сти и замоторного пространства изолировали внутренними капотами. Регулировка охлаждения мотора осуществлялась регулируемыми створками, расположенными в верхней части капота над крылом и жаберными щелями в боковых крышках.</w:t>
      </w:r>
    </w:p>
    <w:p w14:paraId="228D8E3A"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же полёты показали, что бензопомпа БНК-10 не обеспечивает ну</w:t>
      </w:r>
      <w:r w:rsidRPr="00271E51">
        <w:rPr>
          <w:rFonts w:ascii="Times New Roman" w:hAnsi="Times New Roman"/>
          <w:color w:val="000000" w:themeColor="text1"/>
          <w:sz w:val="16"/>
          <w:szCs w:val="16"/>
        </w:rPr>
        <w:softHyphen/>
        <w:t>жного давления бензина на больших высотах полёта. Поэтому на мотор установили аг</w:t>
      </w:r>
      <w:r w:rsidRPr="00271E51">
        <w:rPr>
          <w:rFonts w:ascii="Times New Roman" w:hAnsi="Times New Roman"/>
          <w:color w:val="000000" w:themeColor="text1"/>
          <w:sz w:val="16"/>
          <w:szCs w:val="16"/>
        </w:rPr>
        <w:softHyphen/>
        <w:t>регат «178» с эжекторной подкачкой топлива. На тот случай, если и он не обеспечит нормальное питание мотора топливом, установили баллон со сжатым азотом, из ко</w:t>
      </w:r>
      <w:r w:rsidRPr="00271E51">
        <w:rPr>
          <w:rFonts w:ascii="Times New Roman" w:hAnsi="Times New Roman"/>
          <w:color w:val="000000" w:themeColor="text1"/>
          <w:sz w:val="16"/>
          <w:szCs w:val="16"/>
        </w:rPr>
        <w:softHyphen/>
        <w:t>торого азот через редукционный клапан, отрегулированный на избыточное давление 0,15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поступал в бензобаки (15830).</w:t>
      </w:r>
    </w:p>
    <w:p w14:paraId="2B960291"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34ED30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9 июля до 17 сентября 1943 летал доработанный Ла-5ТК под управлением летчика-испытателя ЛИИ Юганов и заводской пилот Самсуев, но когда мотор сняли, так как в цилиндрах нашли стружку (11123).</w:t>
      </w:r>
    </w:p>
    <w:p w14:paraId="0A71E3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220608"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в 1943 году самолет </w:t>
      </w:r>
      <w:hyperlink r:id="rId17" w:tgtFrame="_blank" w:history="1">
        <w:r w:rsidRPr="00271E51">
          <w:rPr>
            <w:rFonts w:ascii="Times New Roman" w:hAnsi="Times New Roman"/>
            <w:color w:val="000000" w:themeColor="text1"/>
            <w:sz w:val="16"/>
            <w:szCs w:val="16"/>
          </w:rPr>
          <w:t xml:space="preserve">«Ла-5» </w:t>
        </w:r>
      </w:hyperlink>
      <w:r w:rsidRPr="00271E51">
        <w:rPr>
          <w:rFonts w:ascii="Times New Roman" w:hAnsi="Times New Roman"/>
          <w:color w:val="000000" w:themeColor="text1"/>
          <w:sz w:val="16"/>
          <w:szCs w:val="16"/>
        </w:rPr>
        <w:t>с мотором «М-82ФН», турбокомпрессором «ТК-3» и гермокабиной, поднялся в воздух с заводского аэродрома в Горьком (14947).</w:t>
      </w:r>
    </w:p>
    <w:p w14:paraId="0A4E337B"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7519AF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вышел приказ НКАП N 404 "О пересмотре и присвоении классов ли НКАП (888,33).</w:t>
      </w:r>
    </w:p>
    <w:p w14:paraId="757290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3 во 2 В.Л.Расторгуева</w:t>
      </w:r>
    </w:p>
    <w:p w14:paraId="471C35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4 в 3 С.Б.Петухова</w:t>
      </w:r>
    </w:p>
    <w:p w14:paraId="20438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5 в 4 Д.С.Зосим</w:t>
      </w:r>
    </w:p>
    <w:p w14:paraId="59022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был сохранен Жезлову, В.К.Коккинаки, И.Ф.Козлову, Б.Н.Кудрину, Я.Н.Моисееву</w:t>
      </w:r>
    </w:p>
    <w:p w14:paraId="41D68F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был сохранен Л.М.Максимову</w:t>
      </w:r>
    </w:p>
    <w:p w14:paraId="5F57B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был сохранен Л.П.Якимову (888,33).</w:t>
      </w:r>
    </w:p>
    <w:p w14:paraId="43A3A3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534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1943 г. завод № 154 НКАП (Завод № 154 им. Сталина НКАП, МАП, СНХ, Завод «Триер», Дизельный завод, Завод им. Сталина НКТП, НКМ, НКТМ, Воронежский механический завод (ВМЗ)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который во время боев за освобождение Воронежа завод был полностью разрушен, был передан в систему сельскохозяйственного машиностроения, 7.10.1943 г. переименован в завод «Воронежсельмаш».</w:t>
      </w:r>
    </w:p>
    <w:p w14:paraId="6384B6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75632B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и по приказу от 6.03.1966 г. преобразован в ВМЗ.</w:t>
      </w:r>
    </w:p>
    <w:p w14:paraId="787C58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5551A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Были освоены новые технологии: высокоточное литье в оболочковые керамические формы; горячее изостатическое прессование деталей из гранул; метод </w:t>
      </w:r>
      <w:r w:rsidRPr="00271E51">
        <w:rPr>
          <w:rFonts w:ascii="Times New Roman" w:hAnsi="Times New Roman"/>
          <w:color w:val="000000" w:themeColor="text1"/>
          <w:sz w:val="16"/>
          <w:szCs w:val="16"/>
        </w:rPr>
        <w:lastRenderedPageBreak/>
        <w:t>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271E51">
        <w:rPr>
          <w:rFonts w:ascii="Times New Roman" w:hAnsi="Times New Roman"/>
          <w:color w:val="000000" w:themeColor="text1"/>
          <w:sz w:val="16"/>
          <w:szCs w:val="16"/>
          <w:vertAlign w:val="superscript"/>
        </w:rPr>
        <w:t>3</w:t>
      </w:r>
      <w:r w:rsidRPr="00271E51">
        <w:rPr>
          <w:rFonts w:ascii="Times New Roman" w:hAnsi="Times New Roman"/>
          <w:color w:val="000000" w:themeColor="text1"/>
          <w:sz w:val="16"/>
          <w:szCs w:val="16"/>
        </w:rPr>
        <w:t>); штамповка оболочковых изделий взрывом.</w:t>
      </w:r>
    </w:p>
    <w:p w14:paraId="3836B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26C0D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1990-х  г. освоен выпуск нефтегазового оборудования.</w:t>
      </w:r>
    </w:p>
    <w:p w14:paraId="4F4B18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0EF7D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предприятия: цехи: литья по выплавляемым моделям (</w:t>
      </w:r>
      <w:r w:rsidRPr="00271E51">
        <w:rPr>
          <w:rFonts w:ascii="Times New Roman" w:hAnsi="Times New Roman"/>
          <w:color w:val="000000" w:themeColor="text1"/>
          <w:sz w:val="16"/>
          <w:szCs w:val="16"/>
          <w:lang w:val="en-US"/>
        </w:rPr>
        <w:t>JIBM</w:t>
      </w:r>
      <w:r w:rsidRPr="00271E51">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561B47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6F8FAA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75869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1-й зам. гендиректора (2002 г.)- А.В. Бондарь, (2002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Лапшин. Зам. гендиректора: по производству (2002 г.)- И.Т. Коптев; О. Малышев.</w:t>
      </w:r>
    </w:p>
    <w:p w14:paraId="474CB1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(1940 г.)- И.Н. Шендерович, (1941 г.)- М.А. Коссов.</w:t>
      </w:r>
    </w:p>
    <w:p w14:paraId="644C96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(2002 г.)- А.В. Бондарь. Гл. инженер (2002 г.)- Н.В. Сухоруков.</w:t>
      </w:r>
    </w:p>
    <w:p w14:paraId="6948C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филиала по маломощным моторам (09.1940 г.-)- М.А. Коссов.</w:t>
      </w:r>
    </w:p>
    <w:p w14:paraId="283E65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московского представительства (-2003-06 г.-)- А. Г. Пыкин.</w:t>
      </w:r>
    </w:p>
    <w:p w14:paraId="7CD43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Финансовый директор московского представительства (2006 г.)-  Г.А. Проскурин.</w:t>
      </w:r>
    </w:p>
    <w:p w14:paraId="759A4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отдела продаж представительства (2006 г.)- А.А. Валеев.</w:t>
      </w:r>
    </w:p>
    <w:p w14:paraId="3B653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4409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ремонт 45-мм пушек (1937) (11982).</w:t>
      </w:r>
    </w:p>
    <w:p w14:paraId="2C348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ACF1BE"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6C2F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26642A" w14:textId="77777777" w:rsidR="000A125D" w:rsidRPr="00271E51" w:rsidRDefault="000A125D" w:rsidP="00271E51">
      <w:pPr>
        <w:pStyle w:val="ae"/>
        <w:shd w:val="clear" w:color="auto" w:fill="FFFFFF"/>
        <w:spacing w:before="0" w:after="0"/>
        <w:jc w:val="both"/>
        <w:rPr>
          <w:color w:val="000000" w:themeColor="text1"/>
          <w:sz w:val="16"/>
          <w:szCs w:val="16"/>
        </w:rPr>
      </w:pPr>
      <w:r w:rsidRPr="00271E51">
        <w:rPr>
          <w:color w:val="000000" w:themeColor="text1"/>
          <w:sz w:val="16"/>
          <w:szCs w:val="16"/>
        </w:rPr>
        <w:t>9 июля 1943 года Приказом Народного комиссариата танковой промышленности (НКТП) №360 на 3-й квартал 1943 года был запланирован выпуск 225 СУ-15М (17728).</w:t>
      </w:r>
    </w:p>
    <w:p w14:paraId="38DD6072" w14:textId="77777777" w:rsidR="000A125D" w:rsidRPr="00271E51" w:rsidRDefault="000A125D" w:rsidP="00271E51">
      <w:pPr>
        <w:pStyle w:val="12a"/>
        <w:shd w:val="clear" w:color="auto" w:fill="auto"/>
        <w:spacing w:after="0" w:line="240" w:lineRule="auto"/>
        <w:jc w:val="both"/>
        <w:rPr>
          <w:color w:val="000000" w:themeColor="text1"/>
          <w:sz w:val="16"/>
          <w:szCs w:val="16"/>
        </w:rPr>
      </w:pPr>
    </w:p>
    <w:p w14:paraId="15B9BA5D" w14:textId="77777777" w:rsidR="007B4EF1" w:rsidRPr="00271E51" w:rsidRDefault="007B4EF1" w:rsidP="00271E51">
      <w:pPr>
        <w:pStyle w:val="1162"/>
        <w:shd w:val="clear" w:color="auto" w:fill="auto"/>
        <w:spacing w:after="0" w:line="240" w:lineRule="auto"/>
        <w:ind w:firstLine="0"/>
        <w:jc w:val="both"/>
        <w:rPr>
          <w:rFonts w:ascii="Times New Roman" w:hAnsi="Times New Roman" w:cs="Times New Roman"/>
          <w:color w:val="0070C0"/>
          <w:sz w:val="16"/>
          <w:szCs w:val="16"/>
        </w:rPr>
      </w:pPr>
      <w:r w:rsidRPr="00271E51">
        <w:rPr>
          <w:rStyle w:val="940"/>
          <w:rFonts w:ascii="Times New Roman" w:hAnsi="Times New Roman" w:cs="Times New Roman"/>
          <w:color w:val="0070C0"/>
          <w:sz w:val="16"/>
          <w:szCs w:val="16"/>
        </w:rPr>
        <w:t>9 июля 1943 года на</w:t>
      </w:r>
      <w:r w:rsidRPr="00271E51">
        <w:rPr>
          <w:rStyle w:val="940"/>
          <w:rFonts w:ascii="Times New Roman" w:hAnsi="Times New Roman" w:cs="Times New Roman"/>
          <w:color w:val="0070C0"/>
          <w:sz w:val="16"/>
          <w:szCs w:val="16"/>
          <w:lang w:val="ru-RU"/>
        </w:rPr>
        <w:t>чались</w:t>
      </w:r>
      <w:r w:rsidRPr="00271E51">
        <w:rPr>
          <w:rStyle w:val="940"/>
          <w:rFonts w:ascii="Times New Roman" w:hAnsi="Times New Roman" w:cs="Times New Roman"/>
          <w:color w:val="0070C0"/>
          <w:sz w:val="16"/>
          <w:szCs w:val="16"/>
        </w:rPr>
        <w:t xml:space="preserve"> заводски</w:t>
      </w:r>
      <w:r w:rsidRPr="00271E51">
        <w:rPr>
          <w:rStyle w:val="940"/>
          <w:rFonts w:ascii="Times New Roman" w:hAnsi="Times New Roman" w:cs="Times New Roman"/>
          <w:color w:val="0070C0"/>
          <w:sz w:val="16"/>
          <w:szCs w:val="16"/>
          <w:lang w:val="ru-RU"/>
        </w:rPr>
        <w:t>е</w:t>
      </w:r>
      <w:r w:rsidRPr="00271E51">
        <w:rPr>
          <w:rStyle w:val="940"/>
          <w:rFonts w:ascii="Times New Roman" w:hAnsi="Times New Roman" w:cs="Times New Roman"/>
          <w:color w:val="0070C0"/>
          <w:sz w:val="16"/>
          <w:szCs w:val="16"/>
        </w:rPr>
        <w:t xml:space="preserve"> испытания</w:t>
      </w:r>
      <w:r w:rsidRPr="00271E51">
        <w:rPr>
          <w:rStyle w:val="940"/>
          <w:rFonts w:ascii="Times New Roman" w:hAnsi="Times New Roman" w:cs="Times New Roman"/>
          <w:color w:val="0070C0"/>
          <w:sz w:val="16"/>
          <w:szCs w:val="16"/>
          <w:lang w:val="ru-RU"/>
        </w:rPr>
        <w:t xml:space="preserve"> танка ИС или ИС-3 (первого)</w:t>
      </w:r>
      <w:r w:rsidRPr="00271E51">
        <w:rPr>
          <w:rStyle w:val="940"/>
          <w:rFonts w:ascii="Times New Roman" w:hAnsi="Times New Roman" w:cs="Times New Roman"/>
          <w:color w:val="0070C0"/>
          <w:sz w:val="16"/>
          <w:szCs w:val="16"/>
        </w:rPr>
        <w:t xml:space="preserve">, </w:t>
      </w:r>
      <w:r w:rsidRPr="00271E51">
        <w:rPr>
          <w:rStyle w:val="940"/>
          <w:rFonts w:ascii="Times New Roman" w:hAnsi="Times New Roman" w:cs="Times New Roman"/>
          <w:color w:val="0070C0"/>
          <w:sz w:val="16"/>
          <w:szCs w:val="16"/>
          <w:lang w:val="ru-RU"/>
        </w:rPr>
        <w:t xml:space="preserve">к ходе которых </w:t>
      </w:r>
      <w:r w:rsidRPr="00271E51">
        <w:rPr>
          <w:rStyle w:val="940"/>
          <w:rFonts w:ascii="Times New Roman" w:hAnsi="Times New Roman" w:cs="Times New Roman"/>
          <w:color w:val="0070C0"/>
          <w:sz w:val="16"/>
          <w:szCs w:val="16"/>
        </w:rPr>
        <w:t>стало ясно, что танк лучше своих предшественников. Да, машина стала менее проворной, чем ИС-1 и КВ-13, но средняя скорость 23,6 км/ч для тя</w:t>
      </w:r>
      <w:r w:rsidRPr="00271E51">
        <w:rPr>
          <w:rStyle w:val="940"/>
          <w:rFonts w:ascii="Times New Roman" w:hAnsi="Times New Roman" w:cs="Times New Roman"/>
          <w:color w:val="0070C0"/>
          <w:sz w:val="16"/>
          <w:szCs w:val="16"/>
        </w:rPr>
        <w:softHyphen/>
        <w:t>желого танка - это очень неплохо. Имелись некоторые неполадки, вполне допустимые для заводских испытаний, но в целом ИС по</w:t>
      </w:r>
      <w:r w:rsidRPr="00271E51">
        <w:rPr>
          <w:rStyle w:val="940"/>
          <w:rFonts w:ascii="Times New Roman" w:hAnsi="Times New Roman" w:cs="Times New Roman"/>
          <w:color w:val="0070C0"/>
          <w:sz w:val="16"/>
          <w:szCs w:val="16"/>
        </w:rPr>
        <w:softHyphen/>
        <w:t>казал себя очень неплохо. Немного позже к испытаниям присоединился и второй обра</w:t>
      </w:r>
      <w:r w:rsidRPr="00271E51">
        <w:rPr>
          <w:rStyle w:val="940"/>
          <w:rFonts w:ascii="Times New Roman" w:hAnsi="Times New Roman" w:cs="Times New Roman"/>
          <w:color w:val="0070C0"/>
          <w:sz w:val="16"/>
          <w:szCs w:val="16"/>
        </w:rPr>
        <w:softHyphen/>
        <w:t>зец ИС.</w:t>
      </w:r>
      <w:r w:rsidRPr="00271E51">
        <w:rPr>
          <w:rStyle w:val="940"/>
          <w:rFonts w:ascii="Times New Roman" w:hAnsi="Times New Roman" w:cs="Times New Roman"/>
          <w:color w:val="0070C0"/>
          <w:sz w:val="16"/>
          <w:szCs w:val="16"/>
          <w:lang w:val="ru-RU"/>
        </w:rPr>
        <w:t xml:space="preserve"> </w:t>
      </w:r>
      <w:r w:rsidRPr="00271E51">
        <w:rPr>
          <w:rStyle w:val="940"/>
          <w:rFonts w:ascii="Times New Roman" w:hAnsi="Times New Roman" w:cs="Times New Roman"/>
          <w:color w:val="0070C0"/>
          <w:sz w:val="16"/>
          <w:szCs w:val="16"/>
        </w:rPr>
        <w:t>По итогам первого этапа заводских испы</w:t>
      </w:r>
      <w:r w:rsidRPr="00271E51">
        <w:rPr>
          <w:rStyle w:val="940"/>
          <w:rFonts w:ascii="Times New Roman" w:hAnsi="Times New Roman" w:cs="Times New Roman"/>
          <w:color w:val="0070C0"/>
          <w:sz w:val="16"/>
          <w:szCs w:val="16"/>
        </w:rPr>
        <w:softHyphen/>
        <w:t>таний был составлен список из 17 пунктов ис</w:t>
      </w:r>
      <w:r w:rsidRPr="00271E51">
        <w:rPr>
          <w:rStyle w:val="950"/>
          <w:rFonts w:ascii="Times New Roman" w:hAnsi="Times New Roman" w:cs="Times New Roman"/>
          <w:color w:val="0070C0"/>
          <w:sz w:val="16"/>
          <w:szCs w:val="16"/>
        </w:rPr>
        <w:t>правлений дефектов. Главные претензии были к месту механика-водителя. В частности, требовалось приподнять смотровой лючок механика-водителя, расширить отделение управления, переделать рычаги управления и сиденье, изменить жалюзи и переделать за</w:t>
      </w:r>
      <w:r w:rsidRPr="00271E51">
        <w:rPr>
          <w:rStyle w:val="950"/>
          <w:rFonts w:ascii="Times New Roman" w:hAnsi="Times New Roman" w:cs="Times New Roman"/>
          <w:color w:val="0070C0"/>
          <w:sz w:val="16"/>
          <w:szCs w:val="16"/>
        </w:rPr>
        <w:softHyphen/>
        <w:t>щелку буксирных крюков. Тем не менее в общем вердикте указывалось, что танк без проблем двигается на 7-8 передачах, а также показывает высокую для своей массы дина</w:t>
      </w:r>
      <w:r w:rsidRPr="00271E51">
        <w:rPr>
          <w:rStyle w:val="950"/>
          <w:rFonts w:ascii="Times New Roman" w:hAnsi="Times New Roman" w:cs="Times New Roman"/>
          <w:color w:val="0070C0"/>
          <w:sz w:val="16"/>
          <w:szCs w:val="16"/>
        </w:rPr>
        <w:softHyphen/>
        <w:t>мику. Для сравнения, «Объект 239» (будущий КВ-85) в тех же условиях развивал среднюю скорость по шоссе 18 км/ч, при этом расход топлива оказался выше, выше была боевая масса, а по броневой защите он ИСу явно усту</w:t>
      </w:r>
      <w:r w:rsidRPr="00271E51">
        <w:rPr>
          <w:rStyle w:val="950"/>
          <w:rFonts w:ascii="Times New Roman" w:hAnsi="Times New Roman" w:cs="Times New Roman"/>
          <w:color w:val="0070C0"/>
          <w:sz w:val="16"/>
          <w:szCs w:val="16"/>
        </w:rPr>
        <w:softHyphen/>
        <w:t>пал. Тем не менее 8 августа 1943 года после программы артиллерийских испытаний КВ-85 приняли на вооружение Красной Армии. Единственная причина, почему «Объект 239» приняли на вооружение, заключалась, как тогда казалось, в большей простоте освоения этого танка в серии. Фактически это была башня ИС на немного доработанном шасси КВ-1с. Как позже оказалось, на ЧКЗ запуск КВ-85 в серию превратился в производствен</w:t>
      </w:r>
      <w:r w:rsidRPr="00271E51">
        <w:rPr>
          <w:rStyle w:val="950"/>
          <w:rFonts w:ascii="Times New Roman" w:hAnsi="Times New Roman" w:cs="Times New Roman"/>
          <w:color w:val="0070C0"/>
          <w:sz w:val="16"/>
          <w:szCs w:val="16"/>
        </w:rPr>
        <w:softHyphen/>
        <w:t>ную драму. Впрочем, с постановкой ИС на во</w:t>
      </w:r>
      <w:r w:rsidRPr="00271E51">
        <w:rPr>
          <w:rStyle w:val="950"/>
          <w:rFonts w:ascii="Times New Roman" w:hAnsi="Times New Roman" w:cs="Times New Roman"/>
          <w:color w:val="0070C0"/>
          <w:sz w:val="16"/>
          <w:szCs w:val="16"/>
        </w:rPr>
        <w:softHyphen/>
        <w:t>оружение тоже затягивать не стали. 4 сентяб</w:t>
      </w:r>
      <w:r w:rsidRPr="00271E51">
        <w:rPr>
          <w:rStyle w:val="950"/>
          <w:rFonts w:ascii="Times New Roman" w:hAnsi="Times New Roman" w:cs="Times New Roman"/>
          <w:color w:val="0070C0"/>
          <w:sz w:val="16"/>
          <w:szCs w:val="16"/>
        </w:rPr>
        <w:softHyphen/>
        <w:t>ря 1943 года Сталин подписал постановление ГКО № 4043 «О производстве танков ИС». Со</w:t>
      </w:r>
      <w:r w:rsidRPr="00271E51">
        <w:rPr>
          <w:rStyle w:val="950"/>
          <w:rFonts w:ascii="Times New Roman" w:hAnsi="Times New Roman" w:cs="Times New Roman"/>
          <w:color w:val="0070C0"/>
          <w:sz w:val="16"/>
          <w:szCs w:val="16"/>
        </w:rPr>
        <w:softHyphen/>
        <w:t>гласно ему, в ноябре 1943 года ожидался вы</w:t>
      </w:r>
      <w:r w:rsidRPr="00271E51">
        <w:rPr>
          <w:rStyle w:val="950"/>
          <w:rFonts w:ascii="Times New Roman" w:hAnsi="Times New Roman" w:cs="Times New Roman"/>
          <w:color w:val="0070C0"/>
          <w:sz w:val="16"/>
          <w:szCs w:val="16"/>
        </w:rPr>
        <w:softHyphen/>
        <w:t>пуск первых 25 танков данного типа</w:t>
      </w:r>
      <w:r w:rsidRPr="00271E51">
        <w:rPr>
          <w:rStyle w:val="950"/>
          <w:rFonts w:ascii="Times New Roman" w:hAnsi="Times New Roman" w:cs="Times New Roman"/>
          <w:color w:val="0070C0"/>
          <w:sz w:val="16"/>
          <w:szCs w:val="16"/>
          <w:lang w:val="ru-RU"/>
        </w:rPr>
        <w:t xml:space="preserve"> (19872)</w:t>
      </w:r>
      <w:r w:rsidRPr="00271E51">
        <w:rPr>
          <w:rStyle w:val="950"/>
          <w:rFonts w:ascii="Times New Roman" w:hAnsi="Times New Roman" w:cs="Times New Roman"/>
          <w:color w:val="0070C0"/>
          <w:sz w:val="16"/>
          <w:szCs w:val="16"/>
        </w:rPr>
        <w:t>.</w:t>
      </w:r>
    </w:p>
    <w:p w14:paraId="112F3809" w14:textId="77777777" w:rsidR="007B4EF1" w:rsidRPr="00271E51" w:rsidRDefault="007B4EF1" w:rsidP="00271E51">
      <w:pPr>
        <w:pStyle w:val="1162"/>
        <w:shd w:val="clear" w:color="auto" w:fill="auto"/>
        <w:spacing w:after="0" w:line="240" w:lineRule="auto"/>
        <w:ind w:firstLine="0"/>
        <w:jc w:val="both"/>
        <w:rPr>
          <w:rFonts w:ascii="Times New Roman" w:hAnsi="Times New Roman" w:cs="Times New Roman"/>
          <w:color w:val="0070C0"/>
          <w:sz w:val="16"/>
          <w:szCs w:val="16"/>
        </w:rPr>
      </w:pPr>
    </w:p>
    <w:p w14:paraId="1FC9D04E" w14:textId="77777777" w:rsidR="000A125D" w:rsidRPr="00271E51" w:rsidRDefault="000A125D" w:rsidP="00271E51">
      <w:pPr>
        <w:pStyle w:val="ae"/>
        <w:shd w:val="clear" w:color="auto" w:fill="FFFFFF"/>
        <w:spacing w:before="0" w:after="0"/>
        <w:jc w:val="both"/>
        <w:rPr>
          <w:color w:val="000000" w:themeColor="text1"/>
          <w:sz w:val="16"/>
          <w:szCs w:val="16"/>
        </w:rPr>
      </w:pPr>
      <w:r w:rsidRPr="00271E51">
        <w:rPr>
          <w:color w:val="000000" w:themeColor="text1"/>
          <w:sz w:val="16"/>
          <w:szCs w:val="16"/>
        </w:rPr>
        <w:t>9 июля 1943 года, то есть уже во время Курской Дуги советское командование получило от англичан первую более-менее достоверную информацию о Pz.Kpfw.Panther. Поступила она раньше, чем «Пантеры» появились в сводках с Курской дуги. Даже в сводке от 20 июля 1943 года уже присутствует Ferdinand, но «Пантеры» всё ещё нет (17729).</w:t>
      </w:r>
    </w:p>
    <w:p w14:paraId="1C490BF1" w14:textId="77777777" w:rsidR="000A125D" w:rsidRPr="00271E51" w:rsidRDefault="000A125D" w:rsidP="00271E51">
      <w:pPr>
        <w:pStyle w:val="12a"/>
        <w:shd w:val="clear" w:color="auto" w:fill="auto"/>
        <w:spacing w:after="0" w:line="240" w:lineRule="auto"/>
        <w:jc w:val="both"/>
        <w:rPr>
          <w:color w:val="000000" w:themeColor="text1"/>
          <w:sz w:val="16"/>
          <w:szCs w:val="16"/>
        </w:rPr>
      </w:pPr>
    </w:p>
    <w:p w14:paraId="395BDA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 после прове</w:t>
      </w:r>
      <w:r w:rsidRPr="00271E51">
        <w:rPr>
          <w:rFonts w:ascii="Times New Roman" w:hAnsi="Times New Roman"/>
          <w:color w:val="000000" w:themeColor="text1"/>
          <w:sz w:val="16"/>
          <w:szCs w:val="16"/>
        </w:rPr>
        <w:softHyphen/>
        <w:t>денных испытаний американ</w:t>
      </w:r>
      <w:r w:rsidRPr="00271E51">
        <w:rPr>
          <w:rFonts w:ascii="Times New Roman" w:hAnsi="Times New Roman"/>
          <w:color w:val="000000" w:themeColor="text1"/>
          <w:sz w:val="16"/>
          <w:szCs w:val="16"/>
        </w:rPr>
        <w:softHyphen/>
        <w:t>ских мотоциклов фирм «Индиан» и «Харлей-Дэвидсон», в соответствии с приказом № 94 НКСМ от ввели улучшения конструкции мотоцикла М-72 и мотоциклетной коляски к нему. В ней усилили ось, кузов в угло вых соединениях, переднюю шпильку и кронштейн крепления к раме мотоцикла, толщину спиц колеса увеличили до 4 мм и пр. [5.102]. За период 1941-1945 гг. на ГАЗ изготовили более 35 тыс. колясок: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559"/>
      </w:tblGrid>
      <w:tr w:rsidR="00A907A5" w:rsidRPr="00271E51" w14:paraId="37F29471" w14:textId="77777777" w:rsidTr="00ED5B0A">
        <w:tc>
          <w:tcPr>
            <w:tcW w:w="1384" w:type="dxa"/>
            <w:tcBorders>
              <w:top w:val="single" w:sz="12" w:space="0" w:color="auto"/>
            </w:tcBorders>
            <w:shd w:val="clear" w:color="auto" w:fill="FFFFFF"/>
          </w:tcPr>
          <w:p w14:paraId="13DDB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 выпуска</w:t>
            </w:r>
          </w:p>
        </w:tc>
        <w:tc>
          <w:tcPr>
            <w:tcW w:w="1559" w:type="dxa"/>
            <w:tcBorders>
              <w:top w:val="single" w:sz="12" w:space="0" w:color="auto"/>
            </w:tcBorders>
            <w:shd w:val="clear" w:color="auto" w:fill="FFFFFF"/>
          </w:tcPr>
          <w:p w14:paraId="3C815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Объем</w:t>
            </w:r>
          </w:p>
        </w:tc>
        <w:tc>
          <w:tcPr>
            <w:tcW w:w="1559" w:type="dxa"/>
            <w:tcBorders>
              <w:top w:val="single" w:sz="12" w:space="0" w:color="auto"/>
            </w:tcBorders>
            <w:shd w:val="clear" w:color="auto" w:fill="FFFFFF"/>
          </w:tcPr>
          <w:p w14:paraId="4A4AF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EDD211" w14:textId="77777777" w:rsidTr="00ED5B0A">
        <w:tc>
          <w:tcPr>
            <w:tcW w:w="1384" w:type="dxa"/>
            <w:shd w:val="clear" w:color="auto" w:fill="FFFFFF"/>
          </w:tcPr>
          <w:p w14:paraId="703589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1559" w:type="dxa"/>
            <w:shd w:val="clear" w:color="auto" w:fill="FFFFFF"/>
          </w:tcPr>
          <w:p w14:paraId="50E0DE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5346</w:t>
            </w:r>
          </w:p>
        </w:tc>
        <w:tc>
          <w:tcPr>
            <w:tcW w:w="1559" w:type="dxa"/>
            <w:shd w:val="clear" w:color="auto" w:fill="FFFFFF"/>
          </w:tcPr>
          <w:p w14:paraId="5DCCA5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[5.21]</w:t>
            </w:r>
          </w:p>
        </w:tc>
      </w:tr>
      <w:tr w:rsidR="00A907A5" w:rsidRPr="00271E51" w14:paraId="08AB319E" w14:textId="77777777" w:rsidTr="00ED5B0A">
        <w:tc>
          <w:tcPr>
            <w:tcW w:w="1384" w:type="dxa"/>
            <w:shd w:val="clear" w:color="auto" w:fill="FFFFFF"/>
          </w:tcPr>
          <w:p w14:paraId="54A082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1559" w:type="dxa"/>
            <w:shd w:val="clear" w:color="auto" w:fill="FFFFFF"/>
          </w:tcPr>
          <w:p w14:paraId="2CCAE8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1997</w:t>
            </w:r>
          </w:p>
        </w:tc>
        <w:tc>
          <w:tcPr>
            <w:tcW w:w="1559" w:type="dxa"/>
            <w:shd w:val="clear" w:color="auto" w:fill="FFFFFF"/>
          </w:tcPr>
          <w:p w14:paraId="7F58B1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[5.103]</w:t>
            </w:r>
          </w:p>
        </w:tc>
      </w:tr>
      <w:tr w:rsidR="00A907A5" w:rsidRPr="00271E51" w14:paraId="0B2BD66F" w14:textId="77777777" w:rsidTr="00ED5B0A">
        <w:tc>
          <w:tcPr>
            <w:tcW w:w="1384" w:type="dxa"/>
            <w:shd w:val="clear" w:color="auto" w:fill="FFFFFF"/>
          </w:tcPr>
          <w:p w14:paraId="2A9B29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1559" w:type="dxa"/>
            <w:shd w:val="clear" w:color="auto" w:fill="FFFFFF"/>
          </w:tcPr>
          <w:p w14:paraId="1DA642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8062</w:t>
            </w:r>
          </w:p>
        </w:tc>
        <w:tc>
          <w:tcPr>
            <w:tcW w:w="1559" w:type="dxa"/>
            <w:shd w:val="clear" w:color="auto" w:fill="FFFFFF"/>
          </w:tcPr>
          <w:p w14:paraId="0E5C6F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[5.103,5.104]</w:t>
            </w:r>
          </w:p>
        </w:tc>
      </w:tr>
      <w:tr w:rsidR="00A907A5" w:rsidRPr="00271E51" w14:paraId="4CA3F0C7" w14:textId="77777777" w:rsidTr="00ED5B0A">
        <w:tc>
          <w:tcPr>
            <w:tcW w:w="1384" w:type="dxa"/>
            <w:shd w:val="clear" w:color="auto" w:fill="FFFFFF"/>
          </w:tcPr>
          <w:p w14:paraId="2BCE23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1559" w:type="dxa"/>
            <w:shd w:val="clear" w:color="auto" w:fill="FFFFFF"/>
          </w:tcPr>
          <w:p w14:paraId="1E3056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10736</w:t>
            </w:r>
          </w:p>
        </w:tc>
        <w:tc>
          <w:tcPr>
            <w:tcW w:w="1559" w:type="dxa"/>
            <w:shd w:val="clear" w:color="auto" w:fill="FFFFFF"/>
          </w:tcPr>
          <w:p w14:paraId="3F697B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[5.104,5.105]</w:t>
            </w:r>
          </w:p>
        </w:tc>
      </w:tr>
      <w:tr w:rsidR="00A907A5" w:rsidRPr="00271E51" w14:paraId="4230903A" w14:textId="77777777" w:rsidTr="00ED5B0A">
        <w:tc>
          <w:tcPr>
            <w:tcW w:w="1384" w:type="dxa"/>
            <w:shd w:val="clear" w:color="auto" w:fill="FFFFFF"/>
          </w:tcPr>
          <w:p w14:paraId="4858F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w:t>
            </w:r>
          </w:p>
        </w:tc>
        <w:tc>
          <w:tcPr>
            <w:tcW w:w="1559" w:type="dxa"/>
            <w:shd w:val="clear" w:color="auto" w:fill="FFFFFF"/>
          </w:tcPr>
          <w:p w14:paraId="171B32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9317</w:t>
            </w:r>
          </w:p>
        </w:tc>
        <w:tc>
          <w:tcPr>
            <w:tcW w:w="1559" w:type="dxa"/>
            <w:shd w:val="clear" w:color="auto" w:fill="FFFFFF"/>
          </w:tcPr>
          <w:p w14:paraId="0966A7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[5.105]</w:t>
            </w:r>
          </w:p>
        </w:tc>
      </w:tr>
      <w:tr w:rsidR="00A907A5" w:rsidRPr="00271E51" w14:paraId="250F28F9" w14:textId="77777777" w:rsidTr="00ED5B0A">
        <w:tc>
          <w:tcPr>
            <w:tcW w:w="1384" w:type="dxa"/>
            <w:tcBorders>
              <w:bottom w:val="single" w:sz="12" w:space="0" w:color="auto"/>
            </w:tcBorders>
            <w:shd w:val="clear" w:color="auto" w:fill="FFFFFF"/>
          </w:tcPr>
          <w:p w14:paraId="5C19E6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559" w:type="dxa"/>
            <w:tcBorders>
              <w:bottom w:val="single" w:sz="12" w:space="0" w:color="auto"/>
            </w:tcBorders>
            <w:shd w:val="clear" w:color="auto" w:fill="FFFFFF"/>
          </w:tcPr>
          <w:p w14:paraId="68A4D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35 458</w:t>
            </w:r>
          </w:p>
        </w:tc>
        <w:tc>
          <w:tcPr>
            <w:tcW w:w="1559" w:type="dxa"/>
            <w:tcBorders>
              <w:bottom w:val="single" w:sz="12" w:space="0" w:color="auto"/>
            </w:tcBorders>
            <w:shd w:val="clear" w:color="auto" w:fill="FFFFFF"/>
          </w:tcPr>
          <w:p w14:paraId="17655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1A3A6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Мотоциклетных колясок на ГАЗ сделали меньше, чем тре</w:t>
      </w:r>
      <w:r w:rsidRPr="00271E51">
        <w:rPr>
          <w:rFonts w:ascii="Times New Roman" w:hAnsi="Times New Roman"/>
          <w:color w:val="000000" w:themeColor="text1"/>
          <w:sz w:val="16"/>
          <w:szCs w:val="16"/>
        </w:rPr>
        <w:softHyphen/>
        <w:t>бовалось, поэтому часть мотоциклов, поставляемых в Красную Армию, передавали без колясок. Дефицит мотоколясок ска</w:t>
      </w:r>
      <w:r w:rsidRPr="00271E51">
        <w:rPr>
          <w:rFonts w:ascii="Times New Roman" w:hAnsi="Times New Roman"/>
          <w:color w:val="000000" w:themeColor="text1"/>
          <w:sz w:val="16"/>
          <w:szCs w:val="16"/>
        </w:rPr>
        <w:softHyphen/>
        <w:t>зался на количестве собранных импортных мотоциклов. На БТРЗ № 20 собрали столько мотоциклов фирмы «Харлей-Дэвидсон», сколько мотоколясок удалось получить. Мотоколяски, изготавливаемые на ГАЗе и на ММЗ устанавливали на постав</w:t>
      </w:r>
      <w:r w:rsidRPr="00271E51">
        <w:rPr>
          <w:rFonts w:ascii="Times New Roman" w:hAnsi="Times New Roman"/>
          <w:color w:val="000000" w:themeColor="text1"/>
          <w:sz w:val="16"/>
          <w:szCs w:val="16"/>
        </w:rPr>
        <w:softHyphen/>
        <w:t>ляемые в Красную Армию тяжелые мотоциклы: отечествен</w:t>
      </w:r>
      <w:r w:rsidRPr="00271E51">
        <w:rPr>
          <w:rFonts w:ascii="Times New Roman" w:hAnsi="Times New Roman"/>
          <w:color w:val="000000" w:themeColor="text1"/>
          <w:sz w:val="16"/>
          <w:szCs w:val="16"/>
        </w:rPr>
        <w:softHyphen/>
        <w:t>ные - М-72, импортные - «Индиан» 741-Б и «Харлей-Дэвидсон», трофейные - БМВ Р-71 и др. Для каждого типа мотоцикла по</w:t>
      </w:r>
      <w:r w:rsidRPr="00271E51">
        <w:rPr>
          <w:rFonts w:ascii="Times New Roman" w:hAnsi="Times New Roman"/>
          <w:color w:val="000000" w:themeColor="text1"/>
          <w:sz w:val="16"/>
          <w:szCs w:val="16"/>
        </w:rPr>
        <w:softHyphen/>
        <w:t>ставляли особое сцепное устройство, которое изготавливали на ММЗ по чертежам, разработанным конструкторами ВКБ г. Серпухов (11429).</w:t>
      </w:r>
    </w:p>
    <w:p w14:paraId="0E2474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5D07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 из ПИСЬМА ДИРЕКТОРА ЗАВОДА № 208 И.Н. ГУДАНИСА СЕКРЕТАРЯМ ОБЛАСТНОГО И ГОРОДСКОГО КОМИТЕТОВ ВКП(б) ОБ ОКАЗАНИИ ПОМОЩИ В РАССЕЛЕНИИ РАБОТАЮЩИХ НА ПРОИЗВОДСТВЕ</w:t>
      </w:r>
    </w:p>
    <w:p w14:paraId="396BB5D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областного комитета ВКП(б) тов. КУЛАГИНУ М.В.</w:t>
      </w:r>
    </w:p>
    <w:p w14:paraId="742B7A3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городского комитета ВКП(б) тов. ЯКОВЛЕВУ И.Д.</w:t>
      </w:r>
    </w:p>
    <w:p w14:paraId="42FCF8B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Я неоднократно обращался к Вам об оказании мне помощи в расселении работающих на заводе и проживающих на производственной площади. Вам также известно, что вследствие отсутствия на заводе стройорганизации - мне этого вопроса не разрешить, а мощность завода не увеличивается из-за отсутствия площадей. Решение ГКО от 25 августа 1942 года, обязывающее Новосибирский облисполком и горисполком расселить в порядке чрезвычайного мероприятия 1 500 человек, осталось невыполненным. В настоящее время мне известно, что в связи с разделением областей, а также реэвакуацией ряд организаций и граждан освобождают значительную площадь. Все мои попытки через горисполком и райсовет о предоставлении мне площади кончились неуспешно и даже более - попреками со стороны организаций, </w:t>
      </w:r>
      <w:r w:rsidRPr="00271E51">
        <w:rPr>
          <w:rFonts w:ascii="Times New Roman" w:hAnsi="Times New Roman"/>
          <w:color w:val="000000" w:themeColor="text1"/>
          <w:sz w:val="16"/>
          <w:szCs w:val="16"/>
        </w:rPr>
        <w:lastRenderedPageBreak/>
        <w:t>что я ничего не сделал для района и города в области строительства. Прошу Вас оказать мне помощь и обязать Вашим решением горисполком выполнить решение ГКО от 25 августа 1942 года.</w:t>
      </w:r>
    </w:p>
    <w:p w14:paraId="7DDE187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208 Гуданис</w:t>
      </w:r>
    </w:p>
    <w:p w14:paraId="4C5E39F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477. Л. 58. Подлинник.</w:t>
      </w:r>
    </w:p>
    <w:p w14:paraId="55E3A34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Гуданиса. Письмо составлено на бланке, в верхнем левом углу -штамп дирекции завода № 208 (12193).</w:t>
      </w:r>
    </w:p>
    <w:p w14:paraId="18FCE5F8"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90F0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вышло Постановление ГКО № 3719 О повышении высоты плотины и увеличении мощности гидроэлектростанции Нижне-туринского завода НКЧМ.РГАНИР, Фонд ГКО, д. 132, лл. 61 (11012).</w:t>
      </w:r>
    </w:p>
    <w:p w14:paraId="11868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CFD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вышло Постановление ГКО № 3720 О плане распределения электроэнергии на III квартал 1943 г.РГАНИР, Фонд ГКО, д. 132, лл. 62-63, 64-108 (11012).</w:t>
      </w:r>
    </w:p>
    <w:p w14:paraId="63043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02AE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2A9C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6662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в 1943 году оперативная сводка Совинформбюро:</w:t>
      </w:r>
    </w:p>
    <w:p w14:paraId="446898DD"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июля наши войска на Орловско-Курском и БЕлгородском направлениях вели бои с противником, продолжавшим наступление крупными силами пехоты и танков. В течение всего дня наши воздушные силы вели ожесточённые бои с многочисленной авиацией противника. Наша авиация, обеспечивая свои войска от налётов авиации противника, одновременно наносила мощные штурмовые и бомбовые удары по боевым порядкам его наступающих войск.</w:t>
      </w:r>
    </w:p>
    <w:p w14:paraId="7BBD3BCF"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неполным данным, нашими войсками на Орловско-Курском и Белгородском направлениях за день боя подбито и уничтожено 193 немецких танка. В воздушных боях и зенитной артиллерией сбито 94 самолёта противника.</w:t>
      </w:r>
    </w:p>
    <w:p w14:paraId="25AC792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противник за четыре дня наступления понёс тяжёлые потери в танках, живой силе и не добился успеха. Сегодня с утра гитлеровцы перенесли свой удар на соседний участок фронта. Усилив потрёпанные соединения двумя пехотными и одной танковой дивизиями, немцы с утра предприняли ряд ожесточённых атак. Завязались упорные бои, часто переходившие в рукопашные схватки. Все атаки гитлеровцев отбиты нашими войсками.</w:t>
      </w:r>
    </w:p>
    <w:p w14:paraId="64AF7D17"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другом участке Орловско-Курского направления бойцы Н-ского соединения отразили тринадцать атак танков и пехоты противника, действовавших при поддержке крупных сил авиации. Прочно удерживая свои позиции, наши части на этом участке истребили свыше 1.500 гитлеровцев и уничтожили 34 немецких танка. В районе одной высоты батальон немецкой пехоты ворвался на позиции Н-ской литовской части. Завязалась ожесточённая рукопашная схватка. Наши подразделения под командованием лейтенанта т. Кавалюнаса отбросили немцев, а затем контратакой рассеяли и в большей части уничтожили батальон противника. Орудийный расчёт старшего сержанта т. Закоржаева подбил три немецких тяжёлых танка типа «Тигр».</w:t>
      </w:r>
    </w:p>
    <w:p w14:paraId="3B5ECB99"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танкисты, артиллеристы и пехотинцы вели бои с танками противника, вклинившимися в нашу оборону. Немцы вводят в бой свежие резервы, пытаясь любой ценой добиться успеха. Танкисты Н-ского соединения в упорных боях в течение дня уничтожили более 80 немецких танков, до 200 автомашин, 5 бронетранспортёров, несколько самоходных орудий и не менее 2.000 гитлеровцев. На соседнем участке немецкая пехотная дивизия, поддержанная 160 танками, с утра перешла в наступление, пытаясь овладеть одним населённым пунктом. Уже к полудню наши части уничтожили несколько десятков танков и до тысячи немецких солдат и офицеров.</w:t>
      </w:r>
    </w:p>
    <w:p w14:paraId="3EB58A2B"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бойцы и командиры всех родов войск самоотверженно отбивают натиск врага. Танковые экипажи лейтенантов тт. Силачёва и Димитриева, отражая вражеские атаки, за три дня подбили и сожгли свыше 20 немецких танков. Лейтенант т. Золотаренко меткими очередями из пулемёта уничтожил до 200 гитлеровцев. За один день лётчик старший лейтенант т. Гулаев в ожесточённых воздушных схватках сбил 2 бомбардировщика и 2 немецких истребителя. Младший лейтенант т. Шпак уничтожил 4 вражеских самолёта. Пятый немецкий самолёт т. Шпак в этот же день сбил в паре с другим лётчиком. Лётчики Н-ского соединения за два дня сбили 77 самолётов противника, потеряв всего лишь одну машину, пилот которой спасся на парашюте. В воздушном бою был подбит самолёт младшего лейтенанта т. Колоскова. Лётчик совершил посадку в тылу врага. Отряд немецких кавалеристов бросился к месту посадки. Лётчик т. Николаев поспешил на выручку товарища и посадил свой самолёт рядом с подбитой машиной Колоскова. На глазах у приближавшихся гитлеровцев лётчики подожгли повреждённый самолёт и вдвоём улетели на машине Николаева. Вскоре они благополучно приземлились на своём аэродроме.</w:t>
      </w:r>
    </w:p>
    <w:p w14:paraId="5582687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Лисичанска наши артиллеристы уничтожили 3 орудия и разрушили 5 немецких дзотов и блиндажей. Советские лётчики уничтожили до 60 вражеских автомашин и взорвали 2 склада боеприпасов. В воздушных боях наши лётчики сбили 20 немецких самолётов.</w:t>
      </w:r>
    </w:p>
    <w:p w14:paraId="06ED8235"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наши части вели артиллерийский обстрел противника. Артиллерийским огнём уничтожена миномётная батарея, разрушено 8 вражеских дзотов и блиндажей, взорвано 5 складов с боеприпасами. На одном участке рота немцев пыталась разведать наши позиции. Пулемётным и миномётным огнём гитлеровцы были рассеяны на подступах к переднему краю нашей обороны.</w:t>
      </w:r>
    </w:p>
    <w:p w14:paraId="60A8E5D9"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подразделение под командованием майора т. Глазкова после огневого налёта артиллерии атаковало немецкий опорный пункт. Наши бойцы ворвались в траншеи и вступили в рукопашную схватку с гитлеровцами. Овладев опорным пунктом, бойцы подразделения уничтожили до 120 немецких солдат и офицеров, 24 огневых точки, 3 противотанковых орудия, 2 миномётных батареи и 6 пулемётов. Захвачены трофеи и пленные.</w:t>
      </w:r>
    </w:p>
    <w:p w14:paraId="4A869152"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Пожарского, действующий в одном из районов Орловскойобласти, разгромил немецкий гарнизон, расположенный в населённом пункте. Партизаны истребили до 50 немецких солдат. Группа партизан взорвала два хранилища, в которых находилось 200 тонн горючего. Партизаны-подрывники пустили под откос немецкий поезд, шедший к линии фронта. Уничтожены паровоз, 7 вагонов с солдатами и офицерами и 5 платформ с зенитными орудиями. Залповым огнём из винтовок партизаны сбили два немецких самолёта «Фокке-Вульф-189».</w:t>
      </w:r>
    </w:p>
    <w:p w14:paraId="2781C85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захвачена в плен группа солдат 86 немецкой пехотной дивизии. Пленный обер-ефрейтор 5 роты 177 немецкого полка Баумгоф заявил: «Первый день нашего наступления я никогда не забуду. У меня не было никакой надежды выйти живым из боя. Наш полк понёс очень тяжёлые; потери. Другие полки дивизии пострадали ещё больше. Уже к полудню 5 июля 216 полк, брошенный на прорыв обороны русских, потерял две трети личного состава, но не добился никакого результата. Жалкие остатки полка были отведены во второй эшелон. Санитары не успевали выносить раненых. Один санитарный унтер-офицер сказал мне, что перевязочный пункт напоминает двор скотобойни». На Белгородском направлении перебежавшие 6 июля на сторону Красной Армии немецкие солдаты из 587 полка 320 немецкой пехотной дивизии рассказали: «В первый же день наступления 587 полк потерял более половины солдат. В 3 батальоне убиты все командиры рот. Командир 320 дивизии — генерал-майор Постель ранен. Старые солдаты, участвующие в войне с самого начала, уверяют, что ни в одном из всех предыдущих наступлений немецкие войска ещё не знали таких потерь, как в эти дни» (14947).</w:t>
      </w:r>
    </w:p>
    <w:p w14:paraId="38EE7084"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2E5F4E6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в 1943 году наши войска на Орловско-Курском и Белгородском направлениях вели бои с противником, продолжавшим наступление крупными силами пехоты и танков. В течение всего дня наши воздушные силы вели ожесточенные бои с многочисленной авиацией противника. Наши авиация, обеспечивая свои войска от налетов авиации противника, одновременно наносила мощные штурмовые и бомбовые удары по боевым порядкам его наступающих войск (14947).</w:t>
      </w:r>
    </w:p>
    <w:p w14:paraId="1950503E"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3923072E"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в 1943 году Ставка ВГК переименовала Степной Военный Округ в Степной фронт (20 октября 1943 переименован во 2-й Украинский фронт). Командующий - генерал-полковник (с августа 1943 генерал армии) И.С.Конев, член Военного совета - генерал-лейтенант танковых войск И.3.Сусайков, начальник штаба - генерал-лейтенант М.В.Захаров. Войска Центрального фронта остановили наступление на Курск группировки противника, вклинившейся в оборону советских войск на 10-12 км. Войска Воронежского фронта вели бои с противником, вклинившимся в оборону советских войск на обоянском направлении на 35 км, а на корочанском - на 8-10 км. В районе Курска в воздушных боях и огнем зенитной артиллерии сбито 144 самолета противника (14947).</w:t>
      </w:r>
    </w:p>
    <w:p w14:paraId="0FD75372"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52A8E6D3"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в 1943 году по данным Генштаба, в результате ложной информации о положении войск, между 7.00 и 9.00 60 самолетов Ил-2 штурмовали боевые порядки 183-й стрелковой дивизии в районе Васильевка, совхоза "Комсомолец", высоты 241,6. В результате части дивизии понесли потери. Заместитель начальника Генштаба на следующий день распорядился привлечь к ответственности виновных. По данным штаба Воронежского фронта противник в 9.00 возобновил наступление с рубежа Верхопенье - Грезное в направлении Обояни. Немцы взяли Новоселовку, Сухо-Солотино, продвижение на 20-25-км участке составило до 12 км. Против 6-го, 10-го и 31-го танковых корпусов 3-го моторизированного корпуса 67-й и 51-й гвардейской стрелковой дивизии действовали моторизированная дивизия "Гроссдойчланд", 11-я танковая дивизия и моторизированная дивизия СС "Лейбштандарт". Из района Грезное моторизированная дивизия СС "Тотенкопф" атаковала в направлении Красного Октября и Козловки. По данным штаба Воронежского фронта, "в 19.40 18 танков продолжали вести бой на подступах к Васильевке". Против моторизированная дивизия СС "Тотенкопф" действовал 2-й танковый корпус. По сводке разведотдела штаба ВФ, действиями 71-й гвардейской стрелковой дивизии (40-я армия) части 332-й пехотной дивизии были выбиты из Ново-Ивановки, Сетного, Красного Починка. (Однако на карте Генштаба это не отражено.). На участке южнее Белгорода по данным штаба Воронежского фронта противник в 5.00 перешел в наступление с рубежа х. Постников - Мелихово. "Группа до 60 танков </w:t>
      </w:r>
      <w:r w:rsidRPr="00271E51">
        <w:rPr>
          <w:rFonts w:ascii="Times New Roman" w:hAnsi="Times New Roman"/>
          <w:color w:val="000000" w:themeColor="text1"/>
          <w:sz w:val="16"/>
          <w:szCs w:val="16"/>
        </w:rPr>
        <w:lastRenderedPageBreak/>
        <w:t>продолжала бой на подступах к Шляхово" (1 км северо-восточнее Мелихово). Немцы (6-я и 19-я танковые дивизии, 503-й батальон тяжёлых танков против 81-й и 92-й гвардейской стрелковой дивизии и 96-й танковой бригады) продвинулись на север и северо-запад на 4-8 км, взяв Старый Город, Ближнюю и Дальнюю Игуменки. Южнее успеха не имели. В 11.30 Ватутин отдал распоряжение командующим 69-й армии, 6-й и 7-й гвардейских армий на перегруппировку и оборону. В состав 69-й армии включались 183-я, 305-я, 107-я стрелковые дивизии, 92-я, 93-я, 94-я гвардейские стрелковые дивизии, 375-я стрелковая дивизия и 89 гвардейская стрелковая дивизия из 6-й вардейской армии, 81-я гвардейская стрелковая дивизии из 7-й гвардейской армии, 96-я танковая бригада, 148 танковый полк, артиллерийские части и прочие средства усиления. 69-я армия должна была "прочно удерживать занимаемый войсками фронт Васильевка, Беленихино, Вислое, Шопино, Черная Поляна, Старый Город, Ближняя Игуменка, Мясоедово, уничтожить противника в районе Мелихово." 111-я и 270-я стрелковой дивизии из 69-й армии передавались 7-й гвардейская армии (14947).</w:t>
      </w:r>
    </w:p>
    <w:p w14:paraId="34ABFF26"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45682E1F" w14:textId="77777777" w:rsidR="00FE7A4E" w:rsidRPr="00271E51" w:rsidRDefault="00FE7A4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 июля 1943 36-й гвардейский танковый полк выдвинулся в район сосредоточения, при этом 5 танков вышли из строя. Полк занял оборонительные позиции севернее Прохоровки. 12 июля полк принял самое активное участие в сражении в районе Прохоровки. Утром командира полка ранило при налете вражеской авиации. Всего к началу сражения полк имел 15 боеспособных машин. За 12 июля полк потерял 7 машин сгоревшими и 4 подбитыми, на свой счет они записали 6 немецких танков, из них 2 «Тигра». По итогам боев июля-августа 1943 года в полку осталось 10 «Черчиллей». 23 августа их передали на ремонт, вместо них в октябре было получено 13 СУ-152 и КВ-1с. В конце декабря 1943 года полк вновь получил «Черчилли», из них часть были теми самыми танками, которые служили ранее. Всего полк получил 14 «Черчиллей». На них он сражался под Псковом до начала апреля 1944 года. В июне полк перевооружили на ИС-2 (17691).</w:t>
      </w:r>
    </w:p>
    <w:p w14:paraId="48BE2285" w14:textId="77777777" w:rsidR="00FE7A4E" w:rsidRPr="00271E51" w:rsidRDefault="00FE7A4E" w:rsidP="00271E51">
      <w:pPr>
        <w:spacing w:after="0" w:line="240" w:lineRule="auto"/>
        <w:jc w:val="both"/>
        <w:rPr>
          <w:rFonts w:ascii="Times New Roman" w:hAnsi="Times New Roman"/>
          <w:color w:val="000000" w:themeColor="text1"/>
          <w:sz w:val="16"/>
          <w:szCs w:val="16"/>
        </w:rPr>
      </w:pPr>
    </w:p>
    <w:p w14:paraId="413F1831"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в 1943 году директива Центрально штаба партизанского движения при Ставке ВГК о борьбе с «власовским движением» (14947).</w:t>
      </w:r>
    </w:p>
    <w:p w14:paraId="2C8FDB68"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25E0E2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в районе села Поныри 14 Ил-2 из 218-го ШАП атаковали колонну танков и пехоты. Прикрывали их Ла-5 из 165-го ИАП. Они отбили первую атаку шести ФВ190А, позволили «Илам» отбомбиться по цели, а когда появи</w:t>
      </w:r>
      <w:r w:rsidRPr="00271E51">
        <w:rPr>
          <w:rFonts w:ascii="Times New Roman" w:hAnsi="Times New Roman"/>
          <w:color w:val="000000" w:themeColor="text1"/>
          <w:sz w:val="16"/>
          <w:szCs w:val="16"/>
        </w:rPr>
        <w:softHyphen/>
        <w:t>лась следующая группа из 8 ФВ190, дали время штурмовикам встать в оборонительный круг. Не сбив ни одного «фоккера», Ла-5 спасли все штурмовики, а те «завалили» 3 «Фокке-Вульфа» (11123).</w:t>
      </w:r>
    </w:p>
    <w:p w14:paraId="3F6A7B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D65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9 июля 1943 874-й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299-й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16-й воздушной армии, выполнив 105 боевых самолето-вылетов, от атак истребителей Люфтваффе потерял 16 машин и только один "Ил" - от огня зенитной артилле</w:t>
      </w:r>
      <w:r w:rsidRPr="00271E51">
        <w:rPr>
          <w:rFonts w:ascii="Times New Roman" w:hAnsi="Times New Roman"/>
          <w:color w:val="000000" w:themeColor="text1"/>
          <w:sz w:val="16"/>
          <w:szCs w:val="16"/>
        </w:rPr>
        <w:softHyphen/>
        <w:t>рии. Потери среди летного состава со</w:t>
      </w:r>
      <w:r w:rsidRPr="00271E51">
        <w:rPr>
          <w:rFonts w:ascii="Times New Roman" w:hAnsi="Times New Roman"/>
          <w:color w:val="000000" w:themeColor="text1"/>
          <w:sz w:val="16"/>
          <w:szCs w:val="16"/>
        </w:rPr>
        <w:softHyphen/>
        <w:t>ставили: 9 летчиков и 7 воздушных стрелков.</w:t>
      </w:r>
    </w:p>
    <w:p w14:paraId="63F33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"Черным днем календаря" для 874-го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стал третий день битвы - 7 июля 43-го. В этот день прославленный полк, произведя 24 боевых самолето-вылетов, потерял 9 "ильюшиных", 6 летчиков и 4 воздушных стрелков. Все потери полка пришлись на долю истребительной авиа</w:t>
      </w:r>
      <w:r w:rsidRPr="00271E51">
        <w:rPr>
          <w:rFonts w:ascii="Times New Roman" w:hAnsi="Times New Roman"/>
          <w:color w:val="000000" w:themeColor="text1"/>
          <w:sz w:val="16"/>
          <w:szCs w:val="16"/>
        </w:rPr>
        <w:softHyphen/>
        <w:t>ции Люфтваффе (6467).</w:t>
      </w:r>
    </w:p>
    <w:p w14:paraId="03BE0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65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1943 г. на белгородском направлении 14 Як-1 270-го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2-й </w:t>
      </w:r>
      <w:r w:rsidRPr="00271E51">
        <w:rPr>
          <w:rFonts w:ascii="Times New Roman" w:hAnsi="Times New Roman"/>
          <w:iCs/>
          <w:color w:val="000000" w:themeColor="text1"/>
          <w:sz w:val="16"/>
          <w:szCs w:val="16"/>
        </w:rPr>
        <w:t xml:space="preserve">иад </w:t>
      </w:r>
      <w:r w:rsidRPr="00271E51">
        <w:rPr>
          <w:rFonts w:ascii="Times New Roman" w:hAnsi="Times New Roman"/>
          <w:color w:val="000000" w:themeColor="text1"/>
          <w:sz w:val="16"/>
          <w:szCs w:val="16"/>
        </w:rPr>
        <w:t>17-й ВА, возглавляемых командиром пол</w:t>
      </w:r>
      <w:r w:rsidRPr="00271E51">
        <w:rPr>
          <w:rFonts w:ascii="Times New Roman" w:hAnsi="Times New Roman"/>
          <w:color w:val="000000" w:themeColor="text1"/>
          <w:sz w:val="16"/>
          <w:szCs w:val="16"/>
        </w:rPr>
        <w:softHyphen/>
        <w:t>ка майором В.А.Меркушевым, сопровож</w:t>
      </w:r>
      <w:r w:rsidRPr="00271E51">
        <w:rPr>
          <w:rFonts w:ascii="Times New Roman" w:hAnsi="Times New Roman"/>
          <w:color w:val="000000" w:themeColor="text1"/>
          <w:sz w:val="16"/>
          <w:szCs w:val="16"/>
        </w:rPr>
        <w:softHyphen/>
        <w:t xml:space="preserve">дая 8 Ил-2 94-го гвардейского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5-й </w:t>
      </w:r>
      <w:r w:rsidRPr="00271E51">
        <w:rPr>
          <w:rFonts w:ascii="Times New Roman" w:hAnsi="Times New Roman"/>
          <w:iCs/>
          <w:color w:val="000000" w:themeColor="text1"/>
          <w:sz w:val="16"/>
          <w:szCs w:val="16"/>
        </w:rPr>
        <w:t>гшад,</w:t>
      </w:r>
      <w:r w:rsidRPr="00271E51">
        <w:rPr>
          <w:rFonts w:ascii="Times New Roman" w:hAnsi="Times New Roman"/>
          <w:color w:val="000000" w:themeColor="text1"/>
          <w:sz w:val="16"/>
          <w:szCs w:val="16"/>
        </w:rPr>
        <w:t xml:space="preserve"> встретились в районе цели с двумя группами Bf109 и Fw190 общей чис</w:t>
      </w:r>
      <w:r w:rsidRPr="00271E51">
        <w:rPr>
          <w:rFonts w:ascii="Times New Roman" w:hAnsi="Times New Roman"/>
          <w:color w:val="000000" w:themeColor="text1"/>
          <w:sz w:val="16"/>
          <w:szCs w:val="16"/>
        </w:rPr>
        <w:softHyphen/>
        <w:t>ленностью до 15 самолетов. Группа не</w:t>
      </w:r>
      <w:r w:rsidRPr="00271E51">
        <w:rPr>
          <w:rFonts w:ascii="Times New Roman" w:hAnsi="Times New Roman"/>
          <w:color w:val="000000" w:themeColor="text1"/>
          <w:sz w:val="16"/>
          <w:szCs w:val="16"/>
        </w:rPr>
        <w:softHyphen/>
        <w:t>посредственного прикрытия в составе 6 Як-1 продолжала следовать в боевом порядке Ил-2, прикрывая последних. Ударная группа из 8 Як-1 во главе с Меркушевым, успешно отразила все ата</w:t>
      </w:r>
      <w:r w:rsidRPr="00271E51">
        <w:rPr>
          <w:rFonts w:ascii="Times New Roman" w:hAnsi="Times New Roman"/>
          <w:color w:val="000000" w:themeColor="text1"/>
          <w:sz w:val="16"/>
          <w:szCs w:val="16"/>
        </w:rPr>
        <w:softHyphen/>
        <w:t>ки истребители Люфтваффе. "Илы" и "Яки" выполнили боевую задачу и без потерь вернулись на свои аэродромы.</w:t>
      </w:r>
    </w:p>
    <w:p w14:paraId="397C06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1943 14 Ил-2 218-го </w:t>
      </w:r>
      <w:r w:rsidRPr="00271E51">
        <w:rPr>
          <w:rFonts w:ascii="Times New Roman" w:hAnsi="Times New Roman"/>
          <w:iCs/>
          <w:color w:val="000000" w:themeColor="text1"/>
          <w:sz w:val="16"/>
          <w:szCs w:val="16"/>
        </w:rPr>
        <w:t xml:space="preserve">шап </w:t>
      </w:r>
      <w:r w:rsidRPr="00271E51">
        <w:rPr>
          <w:rFonts w:ascii="Times New Roman" w:hAnsi="Times New Roman"/>
          <w:color w:val="000000" w:themeColor="text1"/>
          <w:sz w:val="16"/>
          <w:szCs w:val="16"/>
        </w:rPr>
        <w:t xml:space="preserve">16-й ВА под командованием комполка м-ра Н.К.Лысенко, прикрываемая группой Ла-5-х из 165-го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на подходе к райо</w:t>
      </w:r>
      <w:r w:rsidRPr="00271E51">
        <w:rPr>
          <w:rFonts w:ascii="Times New Roman" w:hAnsi="Times New Roman"/>
          <w:color w:val="000000" w:themeColor="text1"/>
          <w:sz w:val="16"/>
          <w:szCs w:val="16"/>
        </w:rPr>
        <w:softHyphen/>
        <w:t>ну Понырей, где "ильюшины" должны были штурмовать танки и живую силу противника, были атакованы шестеркой Fw190. Между "лавочкинами" и "фоккерами" завязался воздушный бой. В это время, уже во время штурмовки цели, Ил-2 были атакованы второй группой не</w:t>
      </w:r>
      <w:r w:rsidRPr="00271E51">
        <w:rPr>
          <w:rFonts w:ascii="Times New Roman" w:hAnsi="Times New Roman"/>
          <w:color w:val="000000" w:themeColor="text1"/>
          <w:sz w:val="16"/>
          <w:szCs w:val="16"/>
        </w:rPr>
        <w:softHyphen/>
        <w:t>мецких истребителей - восьмеркой "Фоккеров". Вовремя заметив опасность, "Илы" встали в "круг", смещая последний в течение боя в сторону своей террито</w:t>
      </w:r>
      <w:r w:rsidRPr="00271E51">
        <w:rPr>
          <w:rFonts w:ascii="Times New Roman" w:hAnsi="Times New Roman"/>
          <w:color w:val="000000" w:themeColor="text1"/>
          <w:sz w:val="16"/>
          <w:szCs w:val="16"/>
        </w:rPr>
        <w:softHyphen/>
        <w:t>рии. В итоге боя от оборонительного огня стрелков Ил-2 немцы потеряли три машины. Штурмовики потерь не имели. Воздушный бой между "фоккерами" и "ла</w:t>
      </w:r>
      <w:r w:rsidRPr="00271E51">
        <w:rPr>
          <w:rFonts w:ascii="Times New Roman" w:hAnsi="Times New Roman"/>
          <w:color w:val="000000" w:themeColor="text1"/>
          <w:sz w:val="16"/>
          <w:szCs w:val="16"/>
        </w:rPr>
        <w:softHyphen/>
        <w:t>вочкинами" закончился вничью - 0:0.</w:t>
      </w:r>
    </w:p>
    <w:p w14:paraId="660CD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Родоначальники же новой тактики -летчики 291-й </w:t>
      </w:r>
      <w:r w:rsidRPr="00271E51">
        <w:rPr>
          <w:rFonts w:ascii="Times New Roman" w:hAnsi="Times New Roman"/>
          <w:iCs/>
          <w:color w:val="000000" w:themeColor="text1"/>
          <w:sz w:val="16"/>
          <w:szCs w:val="16"/>
        </w:rPr>
        <w:t>шад, в</w:t>
      </w:r>
      <w:r w:rsidRPr="00271E51">
        <w:rPr>
          <w:rFonts w:ascii="Times New Roman" w:hAnsi="Times New Roman"/>
          <w:color w:val="000000" w:themeColor="text1"/>
          <w:sz w:val="16"/>
          <w:szCs w:val="16"/>
        </w:rPr>
        <w:t xml:space="preserve"> 68 оборонитель</w:t>
      </w:r>
      <w:r w:rsidRPr="00271E51">
        <w:rPr>
          <w:rFonts w:ascii="Times New Roman" w:hAnsi="Times New Roman"/>
          <w:color w:val="000000" w:themeColor="text1"/>
          <w:sz w:val="16"/>
          <w:szCs w:val="16"/>
        </w:rPr>
        <w:softHyphen/>
        <w:t>ных воздушных боях с немецкими ис</w:t>
      </w:r>
      <w:r w:rsidRPr="00271E51">
        <w:rPr>
          <w:rFonts w:ascii="Times New Roman" w:hAnsi="Times New Roman"/>
          <w:color w:val="000000" w:themeColor="text1"/>
          <w:sz w:val="16"/>
          <w:szCs w:val="16"/>
        </w:rPr>
        <w:softHyphen/>
        <w:t xml:space="preserve">требителями, проведенными в периоде 5 по 11 июля 43-го, сбили 48 машин Люфтваффе. Летчики 1-го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генера</w:t>
      </w:r>
      <w:r w:rsidRPr="00271E51">
        <w:rPr>
          <w:rFonts w:ascii="Times New Roman" w:hAnsi="Times New Roman"/>
          <w:color w:val="000000" w:themeColor="text1"/>
          <w:sz w:val="16"/>
          <w:szCs w:val="16"/>
        </w:rPr>
        <w:softHyphen/>
        <w:t>ла В.Г.Рязанова добились еще более значительных результатов, сбив за этот же период в 131 воздушном бою 121 самолет противника (6467).</w:t>
      </w:r>
    </w:p>
    <w:p w14:paraId="15A7DE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AFED7"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Начиная с 9 июля, ПТА</w:t>
      </w:r>
      <w:r w:rsidRPr="00271E51">
        <w:rPr>
          <w:rFonts w:ascii="Times New Roman" w:cs="Times New Roman"/>
          <w:color w:val="000000" w:themeColor="text1"/>
          <w:spacing w:val="0"/>
        </w:rPr>
        <w:softHyphen/>
        <w:t>Бы начали использовать и в 17-й воздушной армии. Еще через три дня новые авиабомбы в большом ко</w:t>
      </w:r>
      <w:r w:rsidRPr="00271E51">
        <w:rPr>
          <w:rFonts w:ascii="Times New Roman" w:cs="Times New Roman"/>
          <w:color w:val="000000" w:themeColor="text1"/>
          <w:spacing w:val="0"/>
        </w:rPr>
        <w:softHyphen/>
        <w:t>личестве были применены штурмовиками 1-й и 15-й воздушных армий Запад</w:t>
      </w:r>
      <w:r w:rsidRPr="00271E51">
        <w:rPr>
          <w:rFonts w:ascii="Times New Roman" w:cs="Times New Roman"/>
          <w:color w:val="000000" w:themeColor="text1"/>
          <w:spacing w:val="0"/>
        </w:rPr>
        <w:softHyphen/>
        <w:t>ного и Брянского фронтов, войска которых проводили орловскую наступательную операцию.</w:t>
      </w:r>
    </w:p>
    <w:p w14:paraId="7AAF69ED"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Массовое применение ПТАБ имело ошеломляю</w:t>
      </w:r>
      <w:r w:rsidRPr="00271E51">
        <w:rPr>
          <w:rFonts w:ascii="Times New Roman" w:cs="Times New Roman"/>
          <w:color w:val="000000" w:themeColor="text1"/>
          <w:spacing w:val="0"/>
        </w:rPr>
        <w:softHyphen/>
        <w:t>щий эффект тактической неожиданности и оказало сильное моральное воз</w:t>
      </w:r>
      <w:r w:rsidRPr="00271E51">
        <w:rPr>
          <w:rFonts w:ascii="Times New Roman" w:cs="Times New Roman"/>
          <w:color w:val="000000" w:themeColor="text1"/>
          <w:spacing w:val="0"/>
        </w:rPr>
        <w:softHyphen/>
        <w:t>действие на противника. Немецкие танкисты, впро</w:t>
      </w:r>
      <w:r w:rsidRPr="00271E51">
        <w:rPr>
          <w:rFonts w:ascii="Times New Roman" w:cs="Times New Roman"/>
          <w:color w:val="000000" w:themeColor="text1"/>
          <w:spacing w:val="0"/>
        </w:rPr>
        <w:softHyphen/>
        <w:t>чем, как и советские,за два года войны привыкли к от</w:t>
      </w:r>
      <w:r w:rsidRPr="00271E51">
        <w:rPr>
          <w:rFonts w:ascii="Times New Roman" w:cs="Times New Roman"/>
          <w:color w:val="000000" w:themeColor="text1"/>
          <w:spacing w:val="0"/>
        </w:rPr>
        <w:softHyphen/>
        <w:t>носительно низкой эффек</w:t>
      </w:r>
      <w:r w:rsidRPr="00271E51">
        <w:rPr>
          <w:rFonts w:ascii="Times New Roman" w:cs="Times New Roman"/>
          <w:color w:val="000000" w:themeColor="text1"/>
          <w:spacing w:val="0"/>
        </w:rPr>
        <w:softHyphen/>
        <w:t>тивности ударов авиации. Поэтому на первых порах совершенно не применяли рассредоточенные походные и предбоевые порядки, за что и поплатились.</w:t>
      </w:r>
    </w:p>
    <w:p w14:paraId="367F918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Многочисленные доклады летчиков об уничтожении ПТАБами большого количе</w:t>
      </w:r>
      <w:r w:rsidRPr="00271E51">
        <w:rPr>
          <w:rFonts w:ascii="Times New Roman" w:cs="Times New Roman"/>
          <w:color w:val="000000" w:themeColor="text1"/>
          <w:spacing w:val="0"/>
        </w:rPr>
        <w:softHyphen/>
        <w:t>ства бронетехники противника вызывали вполне законное недоверие вышестояще</w:t>
      </w:r>
      <w:r w:rsidRPr="00271E51">
        <w:rPr>
          <w:rFonts w:ascii="Times New Roman" w:cs="Times New Roman"/>
          <w:color w:val="000000" w:themeColor="text1"/>
          <w:spacing w:val="0"/>
        </w:rPr>
        <w:softHyphen/>
        <w:t>го командования. «Данные, полученные от летного состава, не могут являться объ</w:t>
      </w:r>
      <w:r w:rsidRPr="00271E51">
        <w:rPr>
          <w:rFonts w:ascii="Times New Roman" w:cs="Times New Roman"/>
          <w:color w:val="000000" w:themeColor="text1"/>
          <w:spacing w:val="0"/>
        </w:rPr>
        <w:softHyphen/>
        <w:t>ективными, так как летный состав штур</w:t>
      </w:r>
      <w:r w:rsidRPr="00271E51">
        <w:rPr>
          <w:rFonts w:ascii="Times New Roman" w:cs="Times New Roman"/>
          <w:color w:val="000000" w:themeColor="text1"/>
          <w:spacing w:val="0"/>
        </w:rPr>
        <w:softHyphen/>
        <w:t>мовиков падения своих бомб не видит и судит о поражении танков по косвенным признакам, например, столбам дыма, вы</w:t>
      </w:r>
      <w:r w:rsidRPr="00271E51">
        <w:rPr>
          <w:rFonts w:ascii="Times New Roman" w:cs="Times New Roman"/>
          <w:color w:val="000000" w:themeColor="text1"/>
          <w:spacing w:val="0"/>
        </w:rPr>
        <w:softHyphen/>
        <w:t>деляющимся из общего облака пыли,...или по очагам взрыва, которые при смешанной бомбовой зарядке в группах, практикую</w:t>
      </w:r>
      <w:r w:rsidRPr="00271E51">
        <w:rPr>
          <w:rFonts w:ascii="Times New Roman" w:cs="Times New Roman"/>
          <w:color w:val="000000" w:themeColor="text1"/>
          <w:spacing w:val="0"/>
        </w:rPr>
        <w:softHyphen/>
        <w:t>щейся в частях, могут являться следстви</w:t>
      </w:r>
      <w:r w:rsidRPr="00271E51">
        <w:rPr>
          <w:rFonts w:ascii="Times New Roman" w:cs="Times New Roman"/>
          <w:color w:val="000000" w:themeColor="text1"/>
          <w:spacing w:val="0"/>
        </w:rPr>
        <w:softHyphen/>
        <w:t>ем взрыва своих бомб крупного калибра», - указывал старший помощник начальни</w:t>
      </w:r>
      <w:r w:rsidRPr="00271E51">
        <w:rPr>
          <w:rFonts w:ascii="Times New Roman" w:cs="Times New Roman"/>
          <w:color w:val="000000" w:themeColor="text1"/>
          <w:spacing w:val="0"/>
        </w:rPr>
        <w:softHyphen/>
        <w:t>ка 2-го отдела Оперативного управления штаба ВВС инженер-майор И.В. Пименов в своем отчете о командировке в части и соединения 16-й ВА.</w:t>
      </w:r>
    </w:p>
    <w:p w14:paraId="56FF89CA"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этой причине в ряде случаев для кон</w:t>
      </w:r>
      <w:r w:rsidRPr="00271E51">
        <w:rPr>
          <w:rFonts w:ascii="Times New Roman" w:cs="Times New Roman"/>
          <w:color w:val="000000" w:themeColor="text1"/>
          <w:spacing w:val="0"/>
        </w:rPr>
        <w:softHyphen/>
        <w:t>троля результатов ударов стали вылетать офицеры штабов дивизий и лично команди</w:t>
      </w:r>
      <w:r w:rsidRPr="00271E51">
        <w:rPr>
          <w:rFonts w:ascii="Times New Roman" w:cs="Times New Roman"/>
          <w:color w:val="000000" w:themeColor="text1"/>
          <w:spacing w:val="0"/>
        </w:rPr>
        <w:softHyphen/>
        <w:t>ры полков, а в войска выехали спецгруппы штабов воздушных армий (12739).</w:t>
      </w:r>
    </w:p>
    <w:p w14:paraId="2455F3B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107435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исходу 9 июля 1943 на участке Центрального фронта 16-я ВА, при содействии части сил 15-й ВА, прочно овладела инициативой в возду</w:t>
      </w:r>
      <w:r w:rsidRPr="00271E51">
        <w:rPr>
          <w:rFonts w:ascii="Times New Roman" w:hAnsi="Times New Roman"/>
          <w:color w:val="000000" w:themeColor="text1"/>
          <w:sz w:val="16"/>
          <w:szCs w:val="16"/>
        </w:rPr>
        <w:softHyphen/>
        <w:t>хе (6467).</w:t>
      </w:r>
    </w:p>
    <w:p w14:paraId="553971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71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июля 1943 5-я гвардейская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17-й ВА в течение дня буквально растерзала моторизованную колонну немцев в рай</w:t>
      </w:r>
      <w:r w:rsidRPr="00271E51">
        <w:rPr>
          <w:rFonts w:ascii="Times New Roman" w:hAnsi="Times New Roman"/>
          <w:color w:val="000000" w:themeColor="text1"/>
          <w:sz w:val="16"/>
          <w:szCs w:val="16"/>
        </w:rPr>
        <w:softHyphen/>
        <w:t>оне Маслова Пристань, уничтожив и под</w:t>
      </w:r>
      <w:r w:rsidRPr="00271E51">
        <w:rPr>
          <w:rFonts w:ascii="Times New Roman" w:hAnsi="Times New Roman"/>
          <w:color w:val="000000" w:themeColor="text1"/>
          <w:sz w:val="16"/>
          <w:szCs w:val="16"/>
        </w:rPr>
        <w:softHyphen/>
        <w:t>бив до 47 единиц бронетехники и до 147 автомашин (6467).</w:t>
      </w:r>
    </w:p>
    <w:p w14:paraId="30F4B5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83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был массированный удар 16ВА силами 150 ш и б под прикрытием и против 9ТА в районе Соборовки. Сорвал наступление и немцы целый день не проявляли активности (340,146).</w:t>
      </w:r>
    </w:p>
    <w:p w14:paraId="050901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65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И.Петрухин, подбитый при штурмовке вражеских войск, направил горящую машину на группу танков. Его командир А.Усманов, у которого кончились боеприпасы, пробрил винтом колонну мотоциклистов (455,142).</w:t>
      </w:r>
    </w:p>
    <w:p w14:paraId="328E3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DF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года около девяти часов вечера на участке 31 СВР в 500 метрах восточнее Печно, что в 9,5 км юго-восточнее ст. Насва, на нейтральной полосе (200 метров от противника и более 1000 метров от наших позиций) произвел вынужденную посадку Ту-2 47-го апдр, базировавшегося на аэродроме Андре- аполь.</w:t>
      </w:r>
    </w:p>
    <w:p w14:paraId="3EDCF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разведчика (летчик капитан Дрыгин, штурман старший лейтенант Рыжков, стрелок-радист старший сержант Белов и воздушный стрелок сержант Рашутин) возвращался с боевого задания, когда отказал левый мотор. Казалось бы ничего страшного нет, Ту-2 прекрасно шел и на одном двигателе. Но через 48 минут полета правый мотор перегрелся и пришлось идти на вынужденную посадку с убранным шасси.</w:t>
      </w:r>
    </w:p>
    <w:p w14:paraId="3E5BF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забрав документы и затыльники пулеметов, благополучно покинул самолет. Обнаружив, что к ним приближались солдаты противника, пытался поджечь машину. Но из этого ничего не получилось, поскольку не удалось открыть бензобаки. "Оставив у самолета (по его собственной просьбе - Прим. авт.) воздушного стрелка сержанта Рашутина, раненого в обе ноги во время перелета на высоте около 100 метров переднего края обороны противника, - говорилось в докладе начальника штаба 3-й ВА ге- нерал-майора Дагаева начальнику штабе Калининского фронта генерал-лейтенанту Ку- расову - экипаж под огнем противника отошел в северо-восточном направлении и после 22 часов блужданий, был обнаружен в районе Белая Липа (4 км восточнее Горохо- вье), откуда был направлен в штаб 31 СБр и в дальнейшем в свою часть".</w:t>
      </w:r>
    </w:p>
    <w:p w14:paraId="69C32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доклада подполковника Азарова начальнику штаба 3-й ВА, часть солдат противника до 20 человек пыталась преследовать уходивший в сторону леса экипаж. При этом между ними завязалась перестрелка, во время которой были пленены два раненых немца. У них забрали чистую карту местности и летный шлем. Пленные немцы были доставлены в расположение наших войск, из допроса которых стало известно, что раненого стрелка Ту-2 противник забрал с собой.</w:t>
      </w:r>
    </w:p>
    <w:p w14:paraId="7E671E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оставался на месте вынужденной посадки до утра 10 июля 1943 г. Тогда же стало известно, что противник пытался танком отбуксировать "трофей" в свою сторону.</w:t>
      </w:r>
    </w:p>
    <w:p w14:paraId="551CC6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Утром того же дня у самолета была замечена группа солдат противника до 40 человек, по которой части 31-й СБР открыли ми- нометно-артиллерийский огонь отогнав </w:t>
      </w:r>
      <w:r w:rsidRPr="00271E51">
        <w:rPr>
          <w:rFonts w:ascii="Times New Roman" w:hAnsi="Times New Roman"/>
          <w:color w:val="000000" w:themeColor="text1"/>
          <w:sz w:val="16"/>
          <w:szCs w:val="16"/>
        </w:rPr>
        <w:lastRenderedPageBreak/>
        <w:t>противника. При этом самолет, получив несколько прямых попаданий мин и снарядов, сгорел (12035).</w:t>
      </w:r>
    </w:p>
    <w:p w14:paraId="4BF02B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B42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были захвачены два Bf 109G-4, когда один из пилотов сел, чтобы спасти другого. Потом машина N 19968 испытывалась в НИИ ВВС А.Г.Прошаковым (2466,118).</w:t>
      </w:r>
    </w:p>
    <w:p w14:paraId="362DE9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7A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г. четыре "Харрикейна", три И-16 и пара Ил-2 атаковала у мыса Эккерей (район Варангер-фьорд) восемь вооруженных траулеров. Трудно сказать, какой эффект имело это нападение (зенитным огнем был сбит один И-16), но немцы были вынуждены вызвать шесть "Мессершмиттов" из состава 6/JG5 и пару "Фокке-Вульфов" из состава 14(Jabo)/JG5. Наши тоже подтянули истребители: шестерка Як-1 20-го иап вылетела на отсечение вражеских перехватчиков. В завязавшемся бою старшим лейтенантом К.К.Мельдизиным был сбит Bf109G-6 унтер-офицера Ганса Гроссера (Uffz. H.Grosser) (3480).</w:t>
      </w:r>
    </w:p>
    <w:p w14:paraId="163FAF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D9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мл. л. А.Колосков сел в расположении противника и л П.Николаев посадил свой и и вывез его (438,875).</w:t>
      </w:r>
    </w:p>
    <w:p w14:paraId="0400B5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D87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5 гв.ТА сосредоточилась в районе Прохоровки. Предполагалось, что армия с двумя приданными ей танковыми корпусами - 2-м и 2-м гвардейским - в 10.00 12 июля нанесет удар по немецким войскам и совместно с 5-й и б-й гвардейскими общевойсковыми армиями и 1-й танковой армией уничтожит вклинившуюся на Обоянском направлении группировку противника, не допустив ее отхода на юг. Однако подготовка контрудара, начавшаяся 11 июля, была сорвана немцами, которые нанесли по нашей обороне два мощных удара: первый - в направлении Обояни, второй - на Прохоровку. В результате частичного отхода наших войск артиллерия, которой в контрударе отводилась значительная роль, понесла потери и на позициях развертывания, и в движении к линии фронта (3862).</w:t>
      </w:r>
    </w:p>
    <w:p w14:paraId="7B4688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1A1ED" w14:textId="77777777" w:rsidR="00A005EA" w:rsidRPr="00271E51" w:rsidRDefault="00A005E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FDDE221" w14:textId="77777777" w:rsidR="00A005EA" w:rsidRPr="00271E51" w:rsidRDefault="00A005E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8EE71" w14:textId="77777777" w:rsidR="00A005EA" w:rsidRPr="00271E51" w:rsidRDefault="00A005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В Москве в последний раз была объявлена воздушная тревога. А за все время войны ее объявляли в столице 141 раз (18693).</w:t>
      </w:r>
    </w:p>
    <w:p w14:paraId="492058D1" w14:textId="77777777" w:rsidR="00A005EA" w:rsidRPr="00271E51" w:rsidRDefault="00A005EA" w:rsidP="00271E51">
      <w:pPr>
        <w:spacing w:after="0" w:line="240" w:lineRule="auto"/>
        <w:jc w:val="both"/>
        <w:rPr>
          <w:rFonts w:ascii="Times New Roman" w:hAnsi="Times New Roman"/>
          <w:color w:val="000000" w:themeColor="text1"/>
          <w:sz w:val="16"/>
          <w:szCs w:val="16"/>
        </w:rPr>
      </w:pPr>
    </w:p>
    <w:p w14:paraId="78FC15C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79DB60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1E67103"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9-10 июля (ночь) 1943 160 планеров британской армии с пехотинцами приземляются на Сицилии на Маддалена полуостров, захватывая артиллерийские батареи береговой, радиостанцию и мост Понте - Гранде в подготовке к морскии десантам утром 10 июля. 10 июля Начинается операция «Хаски» - высадка британцев и американцев на Сицилию; Поддерживающие военно-морские силы включают британские авианосцы HMS Indomitable и HMS Formidable. Самолеты Оси атакуют корабли союзников в открытом море, а пикирующий бомбардировщик Junkers Ju 87 Stuka топит американский эсминец USS Maddox, унеся 212 жизней. Гидросамолеты, базирующиеся на американских легких крейсерах, обеспечивают ценную поддержку при стрельбе с моря по целям на берегу (20376).</w:t>
      </w:r>
    </w:p>
    <w:p w14:paraId="308A683E" w14:textId="77777777" w:rsidR="007B4EF1" w:rsidRPr="00271E51" w:rsidRDefault="007B4EF1" w:rsidP="00271E51">
      <w:pPr>
        <w:spacing w:after="0" w:line="240" w:lineRule="auto"/>
        <w:jc w:val="both"/>
        <w:rPr>
          <w:rFonts w:ascii="Times New Roman" w:hAnsi="Times New Roman"/>
          <w:color w:val="0070C0"/>
          <w:sz w:val="16"/>
          <w:szCs w:val="16"/>
        </w:rPr>
      </w:pPr>
    </w:p>
    <w:p w14:paraId="7000F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9th, 1943: Beginning of Operation Husky, the Allied invasion of Sicily, with the US 82nd and the British 1st Airborne Divisions making the first landings at night; due to navigational errors, hundreds of US paratroopers are dropped in the sea and are drowned, while many others are widely scattered and miss their assigned targets (3819).</w:t>
      </w:r>
    </w:p>
    <w:p w14:paraId="70DB5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DD5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9 July 1943 (9-10-July night) Allied Army begins its invasion of Sicily - Operation Husky (270). </w:t>
      </w:r>
      <w:r w:rsidRPr="00271E51">
        <w:rPr>
          <w:rFonts w:ascii="Times New Roman" w:hAnsi="Times New Roman"/>
          <w:color w:val="000000" w:themeColor="text1"/>
          <w:sz w:val="16"/>
          <w:szCs w:val="16"/>
        </w:rPr>
        <w:t>Множество парашютистов призеилились в море, а жругие были рассеяны по большому пространству и не достигли намеченных целей (3819).</w:t>
      </w:r>
    </w:p>
    <w:p w14:paraId="2B27BB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3DA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1943 (с 9 по 10) союзники начали операцию по высадке на Сицилии (270).</w:t>
      </w:r>
    </w:p>
    <w:p w14:paraId="47CF1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AF120"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июля в 1943 году к востоку и западу от мыса Пассеро на юге Сицилии высадились войска союзников - британские (Монтгомери), американские (Паттон) и канадские: началась операция "Хаски". 8 дивизий высадились с моря, 2 — с воздуха. Общее командование осуществлял Дуайт Эйзенхауэр. У противостоящего им генерала Гуццони было 12 дивизий, в том числе две германские: танковая «Герман Геринг» и 15-я дивизия моторизированной пехоты «панцергренадир» (14947).</w:t>
      </w:r>
    </w:p>
    <w:p w14:paraId="5A8155D4"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12E5848E"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9-10 июля 1943 шесть B-24 Liberators ВВС США вылетают из Атту, чтобы совершить перелет туда и обратно на 1300 миль (2100 км), чтобы атаковать японскую базу в Парамуширо , что могло бы стать первым воздушным налетом союзников на Курильские острова; однако по пути их отвлекают, чтобы присоединиться к B-25 Mitchells в атаке на колонну японских транспортов средств , в результате чего один самолет был поврежден перед возвращением в Атту. В тот же день отдельная группа из восьми B-25 по собственной инициативе пытается бомбить Парамуширо; они бомбят неопознанный массив суши из-за облачности, не зная, что это Япония, Курилы, Камчатка или неопознанный остров в северной части Тихого океана (20376).</w:t>
      </w:r>
    </w:p>
    <w:p w14:paraId="0A1AF057" w14:textId="77777777" w:rsidR="007B4EF1" w:rsidRPr="00271E51" w:rsidRDefault="007B4EF1" w:rsidP="00271E51">
      <w:pPr>
        <w:spacing w:after="0" w:line="240" w:lineRule="auto"/>
        <w:jc w:val="both"/>
        <w:rPr>
          <w:rFonts w:ascii="Times New Roman" w:hAnsi="Times New Roman"/>
          <w:color w:val="0070C0"/>
          <w:sz w:val="16"/>
          <w:szCs w:val="16"/>
        </w:rPr>
      </w:pPr>
    </w:p>
    <w:p w14:paraId="2EC693F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3262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F79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Дементьев писал письмо нач. ГУ заказов ВВС Селезневу письмо N Н-34/2766:</w:t>
      </w:r>
    </w:p>
    <w:p w14:paraId="6D55C9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возобновления на заводе 1 выпуска самолетов Ил-2 в варианте корректировщика:</w:t>
      </w:r>
    </w:p>
    <w:p w14:paraId="0F154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Выпуск корректировщиков Ил-2 может быть возобновлен только с августа в связи с отсутствием задела. Обеспечение готовыми изделиями и задела по этому типу самолета производились в пределах программы, установленной ГКО.</w:t>
      </w:r>
    </w:p>
    <w:p w14:paraId="3DED3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Учитывая, что заводу 1 во 2 полугодии предстоит освоение и выпуск Ил-2 в варианте истребителя, возможно принять до конца года заказ на изготовление не более 25 самолетов Ил-2 в варианте корректировщика.</w:t>
      </w:r>
    </w:p>
    <w:p w14:paraId="4F9A7D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трудностей на заводе, связанных с наличием в производстве одновременно двух типов самолетов, большое количество самолетов Ил-2 в варианте корректировщика будет трудно обеспечить приемниками УС-4 и РПК РПК-10, являющимися остродефицитными изделиями" (1778,224).</w:t>
      </w:r>
    </w:p>
    <w:p w14:paraId="74DCB0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1D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завод 23 получил с 19 завода 2 М-82ФН для Ил-4 в варианте дневного бомбардировщика, но потребовалось переделывать фланцы выхлопных коллекторов (1785,41).</w:t>
      </w:r>
    </w:p>
    <w:p w14:paraId="1758B1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A0D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 са</w:t>
      </w:r>
      <w:r w:rsidRPr="00271E51">
        <w:rPr>
          <w:rFonts w:ascii="Times New Roman" w:hAnsi="Times New Roman"/>
          <w:color w:val="000000" w:themeColor="text1"/>
          <w:sz w:val="16"/>
          <w:szCs w:val="16"/>
        </w:rPr>
        <w:softHyphen/>
        <w:t>молет Ил-4 ТК передали ЦИАМ для доводки мо</w:t>
      </w:r>
      <w:r w:rsidRPr="00271E51">
        <w:rPr>
          <w:rFonts w:ascii="Times New Roman" w:hAnsi="Times New Roman"/>
          <w:color w:val="000000" w:themeColor="text1"/>
          <w:sz w:val="16"/>
          <w:szCs w:val="16"/>
        </w:rPr>
        <w:softHyphen/>
        <w:t>тоустановки. Самолет обследовали спе</w:t>
      </w:r>
      <w:r w:rsidRPr="00271E51">
        <w:rPr>
          <w:rFonts w:ascii="Times New Roman" w:hAnsi="Times New Roman"/>
          <w:color w:val="000000" w:themeColor="text1"/>
          <w:sz w:val="16"/>
          <w:szCs w:val="16"/>
        </w:rPr>
        <w:softHyphen/>
        <w:t>циалисты ЛИИ. Расположение турбо</w:t>
      </w:r>
      <w:r w:rsidRPr="00271E51">
        <w:rPr>
          <w:rFonts w:ascii="Times New Roman" w:hAnsi="Times New Roman"/>
          <w:color w:val="000000" w:themeColor="text1"/>
          <w:sz w:val="16"/>
          <w:szCs w:val="16"/>
        </w:rPr>
        <w:softHyphen/>
        <w:t>нагнетателей признали неудачным, а мо</w:t>
      </w:r>
      <w:r w:rsidRPr="00271E51">
        <w:rPr>
          <w:rFonts w:ascii="Times New Roman" w:hAnsi="Times New Roman"/>
          <w:color w:val="000000" w:themeColor="text1"/>
          <w:sz w:val="16"/>
          <w:szCs w:val="16"/>
        </w:rPr>
        <w:softHyphen/>
        <w:t>тоустановку в целом — перетяжелен</w:t>
      </w:r>
      <w:r w:rsidRPr="00271E51">
        <w:rPr>
          <w:rFonts w:ascii="Times New Roman" w:hAnsi="Times New Roman"/>
          <w:color w:val="000000" w:themeColor="text1"/>
          <w:sz w:val="16"/>
          <w:szCs w:val="16"/>
        </w:rPr>
        <w:softHyphen/>
        <w:t>ной. В отчете ЛИИ сделано заключение: «Самолет Ил-4... с моторами М-886 и ТК-3 для эксплуатации не пригоден» (10734,87).</w:t>
      </w:r>
    </w:p>
    <w:p w14:paraId="70F9C0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EB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 первый самолет Ил-4ТК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w:t>
      </w:r>
    </w:p>
    <w:p w14:paraId="3EC2B8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Вторую машину постановление требовало сдать на испытания к 15 марта. За три дня до срока самолет был готов. Первый полет на Ил-4ТК совершил В. К. Коккинаки 16 марта 1943 г.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4F1AD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53118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61A39"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10 июля 1943 г. первый Ил-4ТК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 (21548).</w:t>
      </w:r>
    </w:p>
    <w:p w14:paraId="5E98E5AE" w14:textId="77777777" w:rsidR="007B4EF1" w:rsidRPr="00271E51" w:rsidRDefault="007B4EF1" w:rsidP="00271E51">
      <w:pPr>
        <w:spacing w:after="0" w:line="240" w:lineRule="auto"/>
        <w:jc w:val="both"/>
        <w:rPr>
          <w:rFonts w:ascii="Times New Roman" w:hAnsi="Times New Roman"/>
          <w:color w:val="0070C0"/>
          <w:sz w:val="16"/>
          <w:szCs w:val="16"/>
        </w:rPr>
      </w:pPr>
    </w:p>
    <w:p w14:paraId="620A7A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вышел приказ НКАП N 405 по результатам разбора катастрофы Аэрокобры М.И.Гудкова. Считая, что М.И.Гудков проявил несостоятельность как конструктор его лишили звания ГК 2-й степени и запретили работать самостоятельно, а личный состав перевели в ОКБ С.А.Л., а М.И.Гудкова назначили зам нач. ОТК завода 84 (888,43).</w:t>
      </w:r>
    </w:p>
    <w:p w14:paraId="46FE6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заключению авторитетной комисси катастрофа произошла из-за низких летных качеств, получившихся вследствие плохой его компоновки и ряда конструктивных ошибок, например, перетяжеления на 1000 кг. конструкции, свидетельствуют о нихкой квалификации конструктора.</w:t>
      </w:r>
    </w:p>
    <w:p w14:paraId="29472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Считая, что М.И.Гудков проявил несостоятельность как конструктор, приказываю:</w:t>
      </w:r>
    </w:p>
    <w:p w14:paraId="29CB01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Лишить т. Гудкова М.И. звания ГК 2-й степени и запретить ему самостоятельную конструкторскую работу,</w:t>
      </w:r>
    </w:p>
    <w:p w14:paraId="6C00A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Личный состав ОКБ т. Гудкова перевести в ОКБ С.АюЛ.</w:t>
      </w:r>
    </w:p>
    <w:p w14:paraId="707A17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Назначить т. Гудкова М.М. зам. Нач. ОКБ з-да № 84</w:t>
      </w:r>
    </w:p>
    <w:p w14:paraId="16E87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Подписал А.И.Ш. (888,43)</w:t>
      </w:r>
    </w:p>
    <w:p w14:paraId="6E9DCF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6E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3724 О помощи авиамоторному заводу № 466 Наркомавиапрома в г. Горьком.РГАНИР, Фонд ГКО, д. 132, лл. 152-153, 154 (11012).</w:t>
      </w:r>
    </w:p>
    <w:p w14:paraId="6AD70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08354"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3724 О помощи авиамоторному заводу № 466 Наркомавиапрома в г. Горьком</w:t>
      </w:r>
    </w:p>
    <w:p w14:paraId="2F8B113F"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восстановительных работ на за</w:t>
      </w:r>
      <w:r w:rsidRPr="00271E51">
        <w:rPr>
          <w:rFonts w:ascii="Times New Roman" w:hAnsi="Times New Roman"/>
          <w:color w:val="000000" w:themeColor="text1"/>
          <w:sz w:val="16"/>
          <w:szCs w:val="16"/>
        </w:rPr>
        <w:softHyphen/>
        <w:t>воде л'</w:t>
      </w:r>
      <w:r w:rsidRPr="00271E51">
        <w:rPr>
          <w:rFonts w:ascii="Times New Roman" w:hAnsi="Times New Roman"/>
          <w:color w:val="000000" w:themeColor="text1"/>
          <w:sz w:val="16"/>
          <w:szCs w:val="16"/>
          <w:vertAlign w:val="superscript"/>
        </w:rPr>
        <w:t>:</w:t>
      </w:r>
      <w:r w:rsidRPr="00271E51">
        <w:rPr>
          <w:rFonts w:ascii="Times New Roman" w:hAnsi="Times New Roman"/>
          <w:color w:val="000000" w:themeColor="text1"/>
          <w:sz w:val="16"/>
          <w:szCs w:val="16"/>
        </w:rPr>
        <w:t xml:space="preserve"> 466 Наркомавиапроаа в г.Горьком,Государственный Ко</w:t>
      </w:r>
      <w:r w:rsidRPr="00271E51">
        <w:rPr>
          <w:rFonts w:ascii="Times New Roman" w:hAnsi="Times New Roman"/>
          <w:color w:val="000000" w:themeColor="text1"/>
          <w:sz w:val="16"/>
          <w:szCs w:val="16"/>
        </w:rPr>
        <w:softHyphen/>
        <w:t>митет Обороны постановляет:</w:t>
      </w:r>
    </w:p>
    <w:p w14:paraId="05216EAA"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Обязать Наркоыстройматериалов СССР т.Соснина,Нар- хомчермет т.Товосяна,Главснаблес при СНК СССР т.Лопухова и Главнефтеснаб при СНК СССР т.Широкова отгрузить заводу </w:t>
      </w:r>
      <w:r w:rsidRPr="00271E51">
        <w:rPr>
          <w:rFonts w:ascii="Times New Roman" w:hAnsi="Times New Roman"/>
          <w:color w:val="000000" w:themeColor="text1"/>
          <w:sz w:val="16"/>
          <w:szCs w:val="16"/>
          <w:lang w:val="en-US"/>
        </w:rPr>
        <w:t>it</w:t>
      </w:r>
      <w:r w:rsidRPr="00271E51">
        <w:rPr>
          <w:rFonts w:ascii="Times New Roman" w:hAnsi="Times New Roman"/>
          <w:color w:val="000000" w:themeColor="text1"/>
          <w:sz w:val="16"/>
          <w:szCs w:val="16"/>
        </w:rPr>
        <w:t xml:space="preserve"> 4-36 НКАП в г.Горьком аварийно,не позднее,чем в недель</w:t>
      </w:r>
      <w:r w:rsidRPr="00271E51">
        <w:rPr>
          <w:rFonts w:ascii="Times New Roman" w:hAnsi="Times New Roman"/>
          <w:color w:val="000000" w:themeColor="text1"/>
          <w:sz w:val="16"/>
          <w:szCs w:val="16"/>
        </w:rPr>
        <w:softHyphen/>
        <w:t xml:space="preserve">ный срок,материалы в счет фондов НКАП на </w:t>
      </w:r>
      <w:r w:rsidRPr="00271E51">
        <w:rPr>
          <w:rFonts w:ascii="Times New Roman" w:hAnsi="Times New Roman"/>
          <w:color w:val="000000" w:themeColor="text1"/>
          <w:sz w:val="16"/>
          <w:szCs w:val="16"/>
          <w:lang w:val="en-US"/>
        </w:rPr>
        <w:t>ill</w:t>
      </w:r>
      <w:r w:rsidRPr="00271E51">
        <w:rPr>
          <w:rFonts w:ascii="Times New Roman" w:hAnsi="Times New Roman"/>
          <w:color w:val="000000" w:themeColor="text1"/>
          <w:sz w:val="16"/>
          <w:szCs w:val="16"/>
        </w:rPr>
        <w:t xml:space="preserve"> квартал </w:t>
      </w:r>
      <w:r w:rsidRPr="00271E51">
        <w:rPr>
          <w:rStyle w:val="2pt0"/>
          <w:rFonts w:ascii="Times New Roman" w:hAnsi="Times New Roman" w:cs="Times New Roman"/>
          <w:color w:val="000000" w:themeColor="text1"/>
          <w:spacing w:val="0"/>
          <w:sz w:val="16"/>
          <w:szCs w:val="16"/>
        </w:rPr>
        <w:t xml:space="preserve">с.г., </w:t>
      </w:r>
      <w:r w:rsidRPr="00271E51">
        <w:rPr>
          <w:rFonts w:ascii="Times New Roman" w:hAnsi="Times New Roman"/>
          <w:color w:val="000000" w:themeColor="text1"/>
          <w:sz w:val="16"/>
          <w:szCs w:val="16"/>
        </w:rPr>
        <w:t>согласно приложению.</w:t>
      </w:r>
    </w:p>
    <w:p w14:paraId="6E9F1BE3"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НКПС т.Кагановичу обеспечить срочную перевозку ука</w:t>
      </w:r>
      <w:r w:rsidRPr="00271E51">
        <w:rPr>
          <w:rFonts w:ascii="Times New Roman" w:hAnsi="Times New Roman"/>
          <w:color w:val="000000" w:themeColor="text1"/>
          <w:sz w:val="16"/>
          <w:szCs w:val="16"/>
        </w:rPr>
        <w:softHyphen/>
        <w:t>занных материалов в адрес завода № 466 НКАП.</w:t>
      </w:r>
    </w:p>
    <w:p w14:paraId="68FDD324"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Наркомавиапром т.Шахурина немедленно пере</w:t>
      </w:r>
      <w:r w:rsidRPr="00271E51">
        <w:rPr>
          <w:rFonts w:ascii="Times New Roman" w:hAnsi="Times New Roman"/>
          <w:color w:val="000000" w:themeColor="text1"/>
          <w:sz w:val="16"/>
          <w:szCs w:val="16"/>
        </w:rPr>
        <w:softHyphen/>
        <w:t>вести на завод № 465 из треста № 14 НКАП (г.Казань) 500 рабочих, строительные механизмы и автотранспорт для произ</w:t>
      </w:r>
      <w:r w:rsidRPr="00271E51">
        <w:rPr>
          <w:rFonts w:ascii="Times New Roman" w:hAnsi="Times New Roman"/>
          <w:color w:val="000000" w:themeColor="text1"/>
          <w:sz w:val="16"/>
          <w:szCs w:val="16"/>
        </w:rPr>
        <w:softHyphen/>
        <w:t>водства восстановительных строительно-монтажных работ.</w:t>
      </w:r>
    </w:p>
    <w:p w14:paraId="6C99F9B2"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Татарского обкома ВКП(б) т.Никитину ока</w:t>
      </w:r>
      <w:r w:rsidRPr="00271E51">
        <w:rPr>
          <w:rFonts w:ascii="Times New Roman" w:hAnsi="Times New Roman"/>
          <w:color w:val="000000" w:themeColor="text1"/>
          <w:sz w:val="16"/>
          <w:szCs w:val="16"/>
        </w:rPr>
        <w:softHyphen/>
        <w:t>зать содействие Наркомавиапрому в этом деле.</w:t>
      </w:r>
    </w:p>
    <w:p w14:paraId="6A0D17E6"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Наркомсредмаш - т.Акопова не позднее чем в недельный срок поставить заводу № 466 НКАП в г.Горьком для обеспечения восстановительных работ 10 грузовых авто</w:t>
      </w:r>
      <w:r w:rsidRPr="00271E51">
        <w:rPr>
          <w:rFonts w:ascii="Times New Roman" w:hAnsi="Times New Roman"/>
          <w:color w:val="000000" w:themeColor="text1"/>
          <w:sz w:val="16"/>
          <w:szCs w:val="16"/>
        </w:rPr>
        <w:softHyphen/>
        <w:t>машину счет поставок НКО.</w:t>
      </w:r>
    </w:p>
    <w:p w14:paraId="135AC4AC"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Наркомрезинпром т.Митрохина в недельный срок отгрузить заводу 466 Наркомавиапрома, в счет фондов НКАП на Ш квартал 80 комплектов авторезины,в том числе 35 комплектов "Гигант".</w:t>
      </w:r>
    </w:p>
    <w:p w14:paraId="1C37C677" w14:textId="77777777" w:rsidR="008C53D2" w:rsidRPr="00271E51" w:rsidRDefault="008C53D2" w:rsidP="00271E51">
      <w:pPr>
        <w:spacing w:after="0" w:line="240" w:lineRule="auto"/>
        <w:jc w:val="both"/>
        <w:rPr>
          <w:rFonts w:ascii="Times New Roman" w:hAnsi="Times New Roman"/>
          <w:color w:val="000000" w:themeColor="text1"/>
          <w:sz w:val="16"/>
          <w:szCs w:val="16"/>
        </w:rPr>
      </w:pPr>
      <w:r w:rsidRPr="00271E51">
        <w:rPr>
          <w:rFonts w:ascii="Times New Roman" w:eastAsia="Batang" w:hAnsi="Times New Roman"/>
          <w:color w:val="000000" w:themeColor="text1"/>
          <w:sz w:val="16"/>
          <w:szCs w:val="16"/>
        </w:rPr>
        <w:t>5. Обязать Горьковский обком ВКП (б) т.Родионова и облисполком т.Ефимова не позднее чем до 1 октября с.г. мобилизовать и направить для постоянной работы на завод № 466 Наркомавиапрома 2.000 человек из числа неработающе</w:t>
      </w:r>
      <w:r w:rsidRPr="00271E51">
        <w:rPr>
          <w:rFonts w:ascii="Times New Roman" w:eastAsia="Batang" w:hAnsi="Times New Roman"/>
          <w:color w:val="000000" w:themeColor="text1"/>
          <w:sz w:val="16"/>
          <w:szCs w:val="16"/>
        </w:rPr>
        <w:softHyphen/>
        <w:t xml:space="preserve">го населения области н г.Горького </w:t>
      </w:r>
      <w:r w:rsidRPr="00271E51">
        <w:rPr>
          <w:rFonts w:ascii="Times New Roman" w:hAnsi="Times New Roman"/>
          <w:color w:val="000000" w:themeColor="text1"/>
          <w:sz w:val="16"/>
          <w:szCs w:val="16"/>
        </w:rPr>
        <w:t>(19412).</w:t>
      </w:r>
    </w:p>
    <w:p w14:paraId="22C57DC0" w14:textId="77777777" w:rsidR="008C53D2" w:rsidRPr="00271E51" w:rsidRDefault="008C53D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603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3725 О мерах неотложной помощи по восстановлению завода N292 НКАП в г. Саратове.РГАНИР, Фонд ГКО, д. 132, лл. 155-160, 161-170 (11012).</w:t>
      </w:r>
    </w:p>
    <w:p w14:paraId="036843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A6832"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3725 О мерах неотложной помощи по восстановлению завода N292 НКАП в г. Саратове</w:t>
      </w:r>
    </w:p>
    <w:p w14:paraId="0E7C2028"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Государственный Комитет Обороны постановляет: </w:t>
      </w:r>
    </w:p>
    <w:p w14:paraId="4AEA57C7"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 Обязать Нарломавиапрок - т.Шахурина, т.Вкзиряна, директора завода 292 - т.Левина и начальника Глававиастроя - т.Кузнецова восстановить 60.000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 xml:space="preserve"> производствен</w:t>
      </w:r>
      <w:r w:rsidRPr="00271E51">
        <w:rPr>
          <w:rFonts w:ascii="Times New Roman" w:cs="Times New Roman"/>
          <w:color w:val="000000" w:themeColor="text1"/>
          <w:spacing w:val="0"/>
        </w:rPr>
        <w:softHyphen/>
        <w:t xml:space="preserve">ной площади завода № </w:t>
      </w:r>
      <w:r w:rsidRPr="00271E51">
        <w:rPr>
          <w:rStyle w:val="-1pt"/>
          <w:rFonts w:ascii="Times New Roman" w:hAnsi="Times New Roman" w:cs="Times New Roman"/>
          <w:color w:val="000000" w:themeColor="text1"/>
          <w:spacing w:val="0"/>
          <w:sz w:val="16"/>
          <w:szCs w:val="16"/>
        </w:rPr>
        <w:t>292</w:t>
      </w:r>
      <w:r w:rsidRPr="00271E51">
        <w:rPr>
          <w:rFonts w:ascii="Times New Roman" w:cs="Times New Roman"/>
          <w:color w:val="000000" w:themeColor="text1"/>
          <w:spacing w:val="0"/>
        </w:rPr>
        <w:t xml:space="preserve"> с окончанием всех строительно- монтажных работ к 20 сентября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в том числе:</w:t>
      </w:r>
    </w:p>
    <w:p w14:paraId="1B363E71"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корпус № 5 (крыльевого и фюзеляжного цехов), площадью 25.000 мт - к 20 августа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w:t>
      </w:r>
    </w:p>
    <w:p w14:paraId="0B064407"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корпуса № 3 и 4 (механо-сборочных цехов), площадью 16.000 мт, из них - к 15 августа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 10.000 мт и к 20 сентября - 6.000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w:t>
      </w:r>
    </w:p>
    <w:p w14:paraId="0A6C8541"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центральный материальный склад, площадью 5.000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 xml:space="preserve"> - к 15 августа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w:t>
      </w:r>
    </w:p>
    <w:p w14:paraId="0040D7BF"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корпус № 1 (дюралево-заготовительных цехов ) общей площадью 14.000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 xml:space="preserve"> - к </w:t>
      </w:r>
      <w:r w:rsidRPr="00271E51">
        <w:rPr>
          <w:rStyle w:val="-1pt"/>
          <w:rFonts w:ascii="Times New Roman" w:hAnsi="Times New Roman" w:cs="Times New Roman"/>
          <w:color w:val="000000" w:themeColor="text1"/>
          <w:spacing w:val="0"/>
          <w:sz w:val="16"/>
          <w:szCs w:val="16"/>
        </w:rPr>
        <w:t>1.5</w:t>
      </w:r>
      <w:r w:rsidRPr="00271E51">
        <w:rPr>
          <w:rFonts w:ascii="Times New Roman" w:cs="Times New Roman"/>
          <w:color w:val="000000" w:themeColor="text1"/>
          <w:spacing w:val="0"/>
        </w:rPr>
        <w:t xml:space="preserve"> сентября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w:t>
      </w:r>
    </w:p>
    <w:p w14:paraId="52A178A7" w14:textId="77777777" w:rsidR="00B51B67" w:rsidRPr="00271E51" w:rsidRDefault="00B51B6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Установить из общего количества подлежащей восстанов</w:t>
      </w:r>
      <w:r w:rsidRPr="00271E51">
        <w:rPr>
          <w:rFonts w:ascii="Times New Roman" w:cs="Times New Roman"/>
          <w:color w:val="000000" w:themeColor="text1"/>
          <w:spacing w:val="0"/>
        </w:rPr>
        <w:softHyphen/>
        <w:t>лению производственной площади 60.000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 xml:space="preserve"> срок ввода пер</w:t>
      </w:r>
      <w:r w:rsidRPr="00271E51">
        <w:rPr>
          <w:rFonts w:ascii="Times New Roman" w:cs="Times New Roman"/>
          <w:color w:val="000000" w:themeColor="text1"/>
          <w:spacing w:val="0"/>
        </w:rPr>
        <w:softHyphen/>
        <w:t>вой очереди 20.000 мт</w:t>
      </w:r>
      <w:r w:rsidRPr="00271E51">
        <w:rPr>
          <w:rFonts w:ascii="Times New Roman" w:cs="Times New Roman"/>
          <w:color w:val="000000" w:themeColor="text1"/>
          <w:spacing w:val="0"/>
          <w:vertAlign w:val="superscript"/>
        </w:rPr>
        <w:t>2</w:t>
      </w:r>
      <w:r w:rsidRPr="00271E51">
        <w:rPr>
          <w:rFonts w:ascii="Times New Roman" w:cs="Times New Roman"/>
          <w:color w:val="000000" w:themeColor="text1"/>
          <w:spacing w:val="0"/>
        </w:rPr>
        <w:t xml:space="preserve"> в корпусах № 1,2,3,4,5 - к 15 июля </w:t>
      </w:r>
      <w:r w:rsidRPr="00271E51">
        <w:rPr>
          <w:rStyle w:val="-1pt"/>
          <w:rFonts w:ascii="Times New Roman" w:hAns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а также окончание к этому сроку ремонта фабрики кухни и подстанции № 5.</w:t>
      </w:r>
    </w:p>
    <w:p w14:paraId="179E7657" w14:textId="77777777" w:rsidR="00B51B67" w:rsidRPr="00271E51" w:rsidRDefault="00B51B67" w:rsidP="00271E51">
      <w:pPr>
        <w:tabs>
          <w:tab w:val="left" w:pos="110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Наркомстанкостроения - т.Ефремова, Нарком- тяжмаш - т.Казакова, Наркоиминвооружения - т.Паршина, Нарком- цветмет - т.Ломано, Наркомпромстройматериалов - т.Соснина, Наркомвооружения - т.Устинова, Наркомчермет - т.Тевосяна, Наркомэлектропром - т.Кабанова, Каркомрезинпром - т.Митрохи</w:t>
      </w:r>
      <w:r w:rsidRPr="00271E51">
        <w:rPr>
          <w:rFonts w:ascii="Times New Roman" w:hAnsi="Times New Roman"/>
          <w:color w:val="000000" w:themeColor="text1"/>
          <w:sz w:val="16"/>
          <w:szCs w:val="16"/>
        </w:rPr>
        <w:softHyphen/>
        <w:t xml:space="preserve">на, Наркомбумпром - т.Чеботарева, Наркомлегпром - т.Лукина, Наркомтекстиль - т.Акимова, Главнефтеснаб при СНК СССР - т.Широкова отгрузить стройтресту № 6 НКАП и заводу № </w:t>
      </w:r>
      <w:r w:rsidRPr="00271E51">
        <w:rPr>
          <w:rStyle w:val="0pt"/>
          <w:rFonts w:ascii="Times New Roman" w:hAnsi="Times New Roman" w:cs="Times New Roman"/>
          <w:color w:val="000000" w:themeColor="text1"/>
          <w:spacing w:val="0"/>
          <w:sz w:val="16"/>
          <w:szCs w:val="16"/>
        </w:rPr>
        <w:t>292</w:t>
      </w:r>
      <w:r w:rsidRPr="00271E51">
        <w:rPr>
          <w:rFonts w:ascii="Times New Roman" w:hAnsi="Times New Roman"/>
          <w:color w:val="000000" w:themeColor="text1"/>
          <w:sz w:val="16"/>
          <w:szCs w:val="16"/>
        </w:rPr>
        <w:t xml:space="preserve"> НКАП (г.Саратов) материалы, оборудование, инструменты и приборы в количествах и сроки, согласно приложениям № 1 и 2.</w:t>
      </w:r>
    </w:p>
    <w:p w14:paraId="352E9709"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Отгрузку материалов, оборудования, инструментов, абрази</w:t>
      </w:r>
      <w:r w:rsidRPr="00271E51">
        <w:rPr>
          <w:rFonts w:ascii="Times New Roman" w:hAnsi="Times New Roman"/>
          <w:color w:val="000000" w:themeColor="text1"/>
          <w:sz w:val="16"/>
          <w:szCs w:val="16"/>
        </w:rPr>
        <w:softHyphen/>
        <w:t>вов и приборов произвести за счет любых потребителей в стро</w:t>
      </w:r>
      <w:r w:rsidRPr="00271E51">
        <w:rPr>
          <w:rFonts w:ascii="Times New Roman" w:hAnsi="Times New Roman"/>
          <w:color w:val="000000" w:themeColor="text1"/>
          <w:sz w:val="16"/>
          <w:szCs w:val="16"/>
        </w:rPr>
        <w:softHyphen/>
        <w:t>гом соответствии с указанными в приложениях сроками впереди всех заказчиков.</w:t>
      </w:r>
    </w:p>
    <w:p w14:paraId="57650D49" w14:textId="77777777" w:rsidR="00B51B67" w:rsidRPr="00271E51" w:rsidRDefault="00B51B67" w:rsidP="00271E51">
      <w:pPr>
        <w:tabs>
          <w:tab w:val="left" w:pos="9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Обяэать Главснаблес при СНК СССР - т.Лопухова до 15-го июля </w:t>
      </w:r>
      <w:r w:rsidRPr="00271E51">
        <w:rPr>
          <w:rStyle w:val="0pt"/>
          <w:rFonts w:ascii="Times New Roman" w:hAnsi="Times New Roman" w:cs="Times New Roman"/>
          <w:color w:val="000000" w:themeColor="text1"/>
          <w:spacing w:val="0"/>
          <w:sz w:val="16"/>
          <w:szCs w:val="16"/>
        </w:rPr>
        <w:t>1943</w:t>
      </w:r>
      <w:r w:rsidRPr="00271E51">
        <w:rPr>
          <w:rFonts w:ascii="Times New Roman" w:hAnsi="Times New Roman"/>
          <w:color w:val="000000" w:themeColor="text1"/>
          <w:sz w:val="16"/>
          <w:szCs w:val="16"/>
        </w:rPr>
        <w:t xml:space="preserve"> года поставить сплавом тресту № 6 НКАП (г.Саратов), в счет фондов НКАП - </w:t>
      </w:r>
      <w:r w:rsidRPr="00271E51">
        <w:rPr>
          <w:rStyle w:val="0pt"/>
          <w:rFonts w:ascii="Times New Roman" w:hAnsi="Times New Roman" w:cs="Times New Roman"/>
          <w:color w:val="000000" w:themeColor="text1"/>
          <w:spacing w:val="0"/>
          <w:sz w:val="16"/>
          <w:szCs w:val="16"/>
        </w:rPr>
        <w:t>16.000</w:t>
      </w:r>
      <w:r w:rsidRPr="00271E51">
        <w:rPr>
          <w:rFonts w:ascii="Times New Roman" w:hAnsi="Times New Roman"/>
          <w:color w:val="000000" w:themeColor="text1"/>
          <w:sz w:val="16"/>
          <w:szCs w:val="16"/>
        </w:rPr>
        <w:t xml:space="preserve"> кб/мт круглого леса за счет отодвижки сроков поставки другим потребителям.</w:t>
      </w:r>
    </w:p>
    <w:p w14:paraId="5ABB7B44" w14:textId="77777777" w:rsidR="00B51B67" w:rsidRPr="00271E51" w:rsidRDefault="00B51B67"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Наркомвнешторг - т.Микояна:</w:t>
      </w:r>
    </w:p>
    <w:p w14:paraId="6574C00F" w14:textId="77777777" w:rsidR="00B51B67" w:rsidRPr="00271E51" w:rsidRDefault="00B51B67" w:rsidP="00271E51">
      <w:pPr>
        <w:tabs>
          <w:tab w:val="left" w:pos="9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немедленно отгрузить специальным маршрутом заводу №</w:t>
      </w:r>
      <w:r w:rsidRPr="00271E51">
        <w:rPr>
          <w:rStyle w:val="0pt"/>
          <w:rFonts w:ascii="Times New Roman" w:hAnsi="Times New Roman" w:cs="Times New Roman"/>
          <w:color w:val="000000" w:themeColor="text1"/>
          <w:spacing w:val="0"/>
          <w:sz w:val="16"/>
          <w:szCs w:val="16"/>
        </w:rPr>
        <w:t xml:space="preserve"> 292</w:t>
      </w:r>
      <w:r w:rsidRPr="00271E51">
        <w:rPr>
          <w:rFonts w:ascii="Times New Roman" w:hAnsi="Times New Roman"/>
          <w:color w:val="000000" w:themeColor="text1"/>
          <w:sz w:val="16"/>
          <w:szCs w:val="16"/>
        </w:rPr>
        <w:t xml:space="preserve"> НКАП 60 единиц импортного оборудования, находящегося во Владивостокском порту, согласно приложению № 3, за счет отодвижки сроков поставки импортного оборудования другим заводам Наркомавиапрома.</w:t>
      </w:r>
    </w:p>
    <w:p w14:paraId="4AF8EFEB"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НКПС - т.Кагановичу немедленно выделить для перевозки импортного оборудования 20 вагонов, обеспечив доставку этого оборудования на завод № 292 (г.Саратов) не позднее месячного срока;</w:t>
      </w:r>
    </w:p>
    <w:p w14:paraId="4B18D67F" w14:textId="77777777" w:rsidR="00B51B67" w:rsidRPr="00271E51" w:rsidRDefault="00B51B67"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выделить в третьем квартале с.г. заводу № </w:t>
      </w:r>
      <w:r w:rsidRPr="00271E51">
        <w:rPr>
          <w:rStyle w:val="0pt"/>
          <w:rFonts w:ascii="Times New Roman" w:hAnsi="Times New Roman" w:cs="Times New Roman"/>
          <w:color w:val="000000" w:themeColor="text1"/>
          <w:spacing w:val="0"/>
          <w:sz w:val="16"/>
          <w:szCs w:val="16"/>
        </w:rPr>
        <w:t>292</w:t>
      </w:r>
      <w:r w:rsidRPr="00271E51">
        <w:rPr>
          <w:rFonts w:ascii="Times New Roman" w:hAnsi="Times New Roman"/>
          <w:color w:val="000000" w:themeColor="text1"/>
          <w:sz w:val="16"/>
          <w:szCs w:val="16"/>
        </w:rPr>
        <w:t xml:space="preserve"> НКАП 5 приборов для определения твердости металлов типа "Вильсон", 1 прибор для определения средних диаметров резьб типа "Пратт Витней" и 1 компаратор типа "Джон Лямсон".</w:t>
      </w:r>
    </w:p>
    <w:p w14:paraId="12E9B4F5" w14:textId="77777777" w:rsidR="00B51B67" w:rsidRPr="00271E51" w:rsidRDefault="00B51B67" w:rsidP="00271E51">
      <w:pPr>
        <w:tabs>
          <w:tab w:val="left" w:pos="9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Наркомсредмаш - т.Акопова немедленно отгру</w:t>
      </w:r>
      <w:r w:rsidRPr="00271E51">
        <w:rPr>
          <w:rFonts w:ascii="Times New Roman" w:hAnsi="Times New Roman"/>
          <w:color w:val="000000" w:themeColor="text1"/>
          <w:sz w:val="16"/>
          <w:szCs w:val="16"/>
        </w:rPr>
        <w:softHyphen/>
        <w:t>зить заводу № 292 30 грузовых автомашин и стройтресту 6 НКАП 20 грузовых автомашин и запчастей к автомашинам на 80.000 рублей за счет поставок НКО.</w:t>
      </w:r>
    </w:p>
    <w:p w14:paraId="2ACFE748" w14:textId="77777777" w:rsidR="00B51B67" w:rsidRPr="00271E51" w:rsidRDefault="00B51B67"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НКПС - т.Кагановича:</w:t>
      </w:r>
    </w:p>
    <w:p w14:paraId="04E88B8D" w14:textId="77777777" w:rsidR="00B51B67" w:rsidRPr="00271E51" w:rsidRDefault="00B51B67" w:rsidP="00271E51">
      <w:pPr>
        <w:tabs>
          <w:tab w:val="left" w:pos="98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грузы, пред"являемые поставщиками для отправки в ад</w:t>
      </w:r>
      <w:r w:rsidRPr="00271E51">
        <w:rPr>
          <w:rFonts w:ascii="Times New Roman" w:hAnsi="Times New Roman"/>
          <w:color w:val="000000" w:themeColor="text1"/>
          <w:sz w:val="16"/>
          <w:szCs w:val="16"/>
        </w:rPr>
        <w:softHyphen/>
        <w:t>рес стройтреста № 6 НКАП и завода № 292 НКАП (г.Саратов), доставлять в кратчайший срок, производя отгрузку грузов транспортами и первыми отходящими прямыми поездами.</w:t>
      </w:r>
    </w:p>
    <w:p w14:paraId="683E6441"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Установить специальное наблюдение эа продвижением гру</w:t>
      </w:r>
      <w:r w:rsidRPr="00271E51">
        <w:rPr>
          <w:rFonts w:ascii="Times New Roman" w:hAnsi="Times New Roman"/>
          <w:color w:val="000000" w:themeColor="text1"/>
          <w:sz w:val="16"/>
          <w:szCs w:val="16"/>
        </w:rPr>
        <w:softHyphen/>
        <w:t>зов, идущих в адрес завода № 292 к стройтреста № 6;</w:t>
      </w:r>
    </w:p>
    <w:p w14:paraId="3C990F1E" w14:textId="77777777" w:rsidR="00B51B67" w:rsidRPr="00271E51" w:rsidRDefault="00B51B67" w:rsidP="00271E51">
      <w:pPr>
        <w:tabs>
          <w:tab w:val="left" w:pos="9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десятидневный срок поставить стройтресту № 6 НКАП 350 вагонов паровозного шлака;</w:t>
      </w:r>
    </w:p>
    <w:p w14:paraId="56E5D541" w14:textId="77777777" w:rsidR="00B51B67" w:rsidRPr="00271E51" w:rsidRDefault="00B51B67" w:rsidP="00271E51">
      <w:pPr>
        <w:tabs>
          <w:tab w:val="left" w:pos="95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 20 июля с.г. отгрузить стройтресту № 6 НКАП 300 вагонов бутового камня с Пугачевского карьера;</w:t>
      </w:r>
    </w:p>
    <w:p w14:paraId="4A32F2E8" w14:textId="77777777" w:rsidR="00B51B67" w:rsidRPr="00271E51" w:rsidRDefault="00B51B67" w:rsidP="00271E51">
      <w:pPr>
        <w:tabs>
          <w:tab w:val="left" w:pos="98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 выделить стройтресту № 6 НКАП на июль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сверх ут</w:t>
      </w:r>
      <w:r w:rsidRPr="00271E51">
        <w:rPr>
          <w:rFonts w:ascii="Times New Roman" w:hAnsi="Times New Roman"/>
          <w:color w:val="000000" w:themeColor="text1"/>
          <w:sz w:val="16"/>
          <w:szCs w:val="16"/>
        </w:rPr>
        <w:softHyphen/>
        <w:t>вержденного плана 300 вагонов для перевозки строительных и лесных материалов внутри Саратовского узла.</w:t>
      </w:r>
    </w:p>
    <w:p w14:paraId="1F9D9563" w14:textId="77777777" w:rsidR="00B51B67" w:rsidRPr="00271E51" w:rsidRDefault="00B51B67"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Наркомуголь - т.Вахрушева во изменение поста</w:t>
      </w:r>
      <w:r w:rsidRPr="00271E51">
        <w:rPr>
          <w:rFonts w:ascii="Times New Roman" w:hAnsi="Times New Roman"/>
          <w:color w:val="000000" w:themeColor="text1"/>
          <w:sz w:val="16"/>
          <w:szCs w:val="16"/>
        </w:rPr>
        <w:softHyphen/>
        <w:t>новления ГОКО № 3520с от 5 июня 1943 года изготовить и поста</w:t>
      </w:r>
      <w:r w:rsidRPr="00271E51">
        <w:rPr>
          <w:rFonts w:ascii="Times New Roman" w:hAnsi="Times New Roman"/>
          <w:color w:val="000000" w:themeColor="text1"/>
          <w:sz w:val="16"/>
          <w:szCs w:val="16"/>
        </w:rPr>
        <w:softHyphen/>
        <w:t xml:space="preserve">вить в июле-августе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заводу № 292 НКАП вентилятор типа "Сирокко" № 5 - 10 штук, № 6,5 - 10 штук, № 8 - 55 штук и № 12,5 - 5 штук.</w:t>
      </w:r>
    </w:p>
    <w:p w14:paraId="7B78A80A" w14:textId="77777777" w:rsidR="00B51B67" w:rsidRPr="00271E51" w:rsidRDefault="00B51B67"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 частичное изменение постанозления СНК СССР № 380-120сс от 12 апреля 1943 года, освободить Глававиастрой НКАП (стройтрест 6) от производства пулеметных колпаков.</w:t>
      </w:r>
    </w:p>
    <w:p w14:paraId="5ED386DC" w14:textId="77777777" w:rsidR="00B51B67" w:rsidRPr="00271E51" w:rsidRDefault="00B51B67" w:rsidP="00271E51">
      <w:pPr>
        <w:tabs>
          <w:tab w:val="left" w:pos="96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Освободить завод № 292 НКАП от производства ручных гранат.</w:t>
      </w:r>
    </w:p>
    <w:p w14:paraId="73E9903E" w14:textId="77777777" w:rsidR="00B51B67" w:rsidRPr="00271E51" w:rsidRDefault="00B51B67" w:rsidP="00271E51">
      <w:pPr>
        <w:tabs>
          <w:tab w:val="left" w:pos="10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Обязать НКО - т.Щаденко и командующего ПРИВО - т.Ка</w:t>
      </w:r>
      <w:r w:rsidRPr="00271E51">
        <w:rPr>
          <w:rFonts w:ascii="Times New Roman" w:hAnsi="Times New Roman"/>
          <w:color w:val="000000" w:themeColor="text1"/>
          <w:sz w:val="16"/>
          <w:szCs w:val="16"/>
        </w:rPr>
        <w:softHyphen/>
        <w:t>линина в течение пяти дней, вне всякой очереди, скомплекто</w:t>
      </w:r>
      <w:r w:rsidRPr="00271E51">
        <w:rPr>
          <w:rFonts w:ascii="Times New Roman" w:hAnsi="Times New Roman"/>
          <w:color w:val="000000" w:themeColor="text1"/>
          <w:sz w:val="16"/>
          <w:szCs w:val="16"/>
        </w:rPr>
        <w:softHyphen/>
        <w:t>вать и передать строительному тресту № б НКАП, сроком на три месяца 3 строительных батальона в составе 500 человек каждый для производства восстановительных работ на заводе № 292 Нар</w:t>
      </w:r>
      <w:r w:rsidRPr="00271E51">
        <w:rPr>
          <w:rFonts w:ascii="Times New Roman" w:hAnsi="Times New Roman"/>
          <w:color w:val="000000" w:themeColor="text1"/>
          <w:sz w:val="16"/>
          <w:szCs w:val="16"/>
        </w:rPr>
        <w:softHyphen/>
        <w:t>комавиапрома.</w:t>
      </w:r>
    </w:p>
    <w:p w14:paraId="624F910F" w14:textId="77777777" w:rsidR="00B51B67" w:rsidRPr="00271E51" w:rsidRDefault="00B51B67" w:rsidP="00271E51">
      <w:pPr>
        <w:tabs>
          <w:tab w:val="left" w:pos="107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Разрешить Наркомавиапрому - т.Шахурину организо</w:t>
      </w:r>
      <w:r w:rsidRPr="00271E51">
        <w:rPr>
          <w:rFonts w:ascii="Times New Roman" w:hAnsi="Times New Roman"/>
          <w:color w:val="000000" w:themeColor="text1"/>
          <w:sz w:val="16"/>
          <w:szCs w:val="16"/>
        </w:rPr>
        <w:softHyphen/>
        <w:t>вать для 10.000 рабочих, занятых на восстановительных ра</w:t>
      </w:r>
      <w:r w:rsidRPr="00271E51">
        <w:rPr>
          <w:rFonts w:ascii="Times New Roman" w:hAnsi="Times New Roman"/>
          <w:color w:val="000000" w:themeColor="text1"/>
          <w:sz w:val="16"/>
          <w:szCs w:val="16"/>
        </w:rPr>
        <w:softHyphen/>
        <w:t>ботах завода № 292 трехразовое питание без продкарточек с расходом продуктов из расчета 2 норм рабочей категории сро</w:t>
      </w:r>
      <w:r w:rsidRPr="00271E51">
        <w:rPr>
          <w:rFonts w:ascii="Times New Roman" w:hAnsi="Times New Roman"/>
          <w:color w:val="000000" w:themeColor="text1"/>
          <w:sz w:val="16"/>
          <w:szCs w:val="16"/>
        </w:rPr>
        <w:softHyphen/>
        <w:t>ком на два месяца.</w:t>
      </w:r>
    </w:p>
    <w:p w14:paraId="217CD414"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Обязать Наркоммясомолпром СССР - т.Смирнова, Наркомрыбпром СССР - т.Ишкова, Наркомзаг СССР - т.Субботина и Нарком- пищепром СССР - т.Пронина выделить для этой цели Наркомавиапрому: мясопродуктов - 40 тонн, рыбопродуктов - 48 тонн, жи</w:t>
      </w:r>
      <w:r w:rsidRPr="00271E51">
        <w:rPr>
          <w:rFonts w:ascii="Times New Roman" w:hAnsi="Times New Roman"/>
          <w:color w:val="000000" w:themeColor="text1"/>
          <w:sz w:val="16"/>
          <w:szCs w:val="16"/>
        </w:rPr>
        <w:softHyphen/>
        <w:t>ров животных - 18 тонн, жиров растительных - 5 тонн, сахара и кондитерских иэделий - 20 тонн, крупы - 60 тонн.</w:t>
      </w:r>
    </w:p>
    <w:p w14:paraId="4CE0BEC2"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Наркомторг СССР отпустить для пяти тысяч рабочих, занятых на восстановительных работах завода 292, по 200 граммов хлеба в день каждому без карточек.</w:t>
      </w:r>
    </w:p>
    <w:p w14:paraId="6502FADB" w14:textId="77777777" w:rsidR="00B51B67" w:rsidRPr="00271E51" w:rsidRDefault="00B51B67" w:rsidP="00271E51">
      <w:pPr>
        <w:tabs>
          <w:tab w:val="left" w:pos="10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Обязать Наркомпищепром СССР - т.Пронина в июле с.г. выделить стройтресту № 6 НКАП и заводу № 292 для продажи ра</w:t>
      </w:r>
      <w:r w:rsidRPr="00271E51">
        <w:rPr>
          <w:rFonts w:ascii="Times New Roman" w:hAnsi="Times New Roman"/>
          <w:color w:val="000000" w:themeColor="text1"/>
          <w:sz w:val="16"/>
          <w:szCs w:val="16"/>
        </w:rPr>
        <w:softHyphen/>
        <w:t>бочим, занятым на восстановительных работах, без карточек: табаку - 4 тонны, винно-водочных изделий - 3.000 декалитров, мыла хозяйственного - 10 тонн и мыла туалетного - на 30.000 рублей.</w:t>
      </w:r>
    </w:p>
    <w:p w14:paraId="3E5E905B" w14:textId="77777777" w:rsidR="00B51B67" w:rsidRPr="00271E51" w:rsidRDefault="00B51B67" w:rsidP="00271E51">
      <w:pPr>
        <w:tabs>
          <w:tab w:val="left" w:pos="10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Обязать Наркомтекстиль СССР - т.Акимова и Наркомлегпром СССР - т.Лукина выделить в июле эаводу № 292 и тресту № 6 НКАП хлопчатобумажных тканей на 300.000 рублей и рабочей обуви - 5.000 пар для продажи рабочим, занятым на восстано</w:t>
      </w:r>
      <w:r w:rsidRPr="00271E51">
        <w:rPr>
          <w:rFonts w:ascii="Times New Roman" w:hAnsi="Times New Roman"/>
          <w:color w:val="000000" w:themeColor="text1"/>
          <w:sz w:val="16"/>
          <w:szCs w:val="16"/>
        </w:rPr>
        <w:softHyphen/>
        <w:t>вительных работах,</w:t>
      </w:r>
    </w:p>
    <w:p w14:paraId="4CD4C302" w14:textId="77777777" w:rsidR="00B51B67" w:rsidRPr="00271E51" w:rsidRDefault="00B51B67" w:rsidP="00271E51">
      <w:pPr>
        <w:tabs>
          <w:tab w:val="left" w:pos="10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Обязать НКАП - т.Шахурина в десятидневный срок выде</w:t>
      </w:r>
      <w:r w:rsidRPr="00271E51">
        <w:rPr>
          <w:rFonts w:ascii="Times New Roman" w:hAnsi="Times New Roman"/>
          <w:color w:val="000000" w:themeColor="text1"/>
          <w:sz w:val="16"/>
          <w:szCs w:val="16"/>
        </w:rPr>
        <w:softHyphen/>
        <w:t>лить заводу № 292 за счет перераспределения внутренних ресур</w:t>
      </w:r>
      <w:r w:rsidRPr="00271E51">
        <w:rPr>
          <w:rFonts w:ascii="Times New Roman" w:hAnsi="Times New Roman"/>
          <w:color w:val="000000" w:themeColor="text1"/>
          <w:sz w:val="16"/>
          <w:szCs w:val="16"/>
        </w:rPr>
        <w:softHyphen/>
        <w:t>сов 74 единиц оборудования, согласно приложению 4.</w:t>
      </w:r>
    </w:p>
    <w:p w14:paraId="1949F64D" w14:textId="77777777" w:rsidR="00B51B67" w:rsidRPr="00271E51" w:rsidRDefault="00B51B67" w:rsidP="00271E51">
      <w:pPr>
        <w:tabs>
          <w:tab w:val="left" w:pos="10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Обязать Наркомфин СССР - т.Зверева выделить Нарком- авиапрому в июле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из резервного фонда СНК СССР, 25 млн. рублей на покрытие расходов, связанных с восстановлением завода № 292 НКАП.</w:t>
      </w:r>
    </w:p>
    <w:p w14:paraId="457AA1E4" w14:textId="77777777" w:rsidR="00B51B67" w:rsidRPr="00271E51" w:rsidRDefault="00B51B67" w:rsidP="00271E51">
      <w:pPr>
        <w:tabs>
          <w:tab w:val="left" w:pos="107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Обязать Наркомстройматериалов СССР - т.Соснина при всех условиях в течение пяти дней отгрузить тресту № 6 НКАП (г.Саратов) следующие строительные материалы:</w:t>
      </w:r>
    </w:p>
    <w:p w14:paraId="0CA19155"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цемента - </w:t>
      </w:r>
      <w:r w:rsidRPr="00271E51">
        <w:rPr>
          <w:rStyle w:val="0pt"/>
          <w:rFonts w:ascii="Times New Roman" w:hAnsi="Times New Roman" w:cs="Times New Roman"/>
          <w:color w:val="000000" w:themeColor="text1"/>
          <w:spacing w:val="0"/>
          <w:sz w:val="16"/>
          <w:szCs w:val="16"/>
        </w:rPr>
        <w:t>2000</w:t>
      </w:r>
      <w:r w:rsidRPr="00271E51">
        <w:rPr>
          <w:rFonts w:ascii="Times New Roman" w:hAnsi="Times New Roman"/>
          <w:color w:val="000000" w:themeColor="text1"/>
          <w:sz w:val="16"/>
          <w:szCs w:val="16"/>
        </w:rPr>
        <w:t xml:space="preserve"> тонн - с Вольских заводов</w:t>
      </w:r>
    </w:p>
    <w:p w14:paraId="2D5113C4"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руберойда - </w:t>
      </w:r>
      <w:r w:rsidRPr="00271E51">
        <w:rPr>
          <w:rStyle w:val="0pt"/>
          <w:rFonts w:ascii="Times New Roman" w:hAnsi="Times New Roman" w:cs="Times New Roman"/>
          <w:color w:val="000000" w:themeColor="text1"/>
          <w:spacing w:val="0"/>
          <w:sz w:val="16"/>
          <w:szCs w:val="16"/>
        </w:rPr>
        <w:t>2000</w:t>
      </w:r>
      <w:r w:rsidRPr="00271E51">
        <w:rPr>
          <w:rFonts w:ascii="Times New Roman" w:hAnsi="Times New Roman"/>
          <w:color w:val="000000" w:themeColor="text1"/>
          <w:sz w:val="16"/>
          <w:szCs w:val="16"/>
        </w:rPr>
        <w:t xml:space="preserve"> тонн (Куйбышевского завода</w:t>
      </w:r>
    </w:p>
    <w:p w14:paraId="1A700E49" w14:textId="77777777" w:rsidR="00B51B67" w:rsidRPr="00271E51" w:rsidRDefault="00B51B67" w:rsidP="00271E51">
      <w:pPr>
        <w:tabs>
          <w:tab w:val="left" w:pos="432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пергамина - </w:t>
      </w:r>
      <w:r w:rsidRPr="00271E51">
        <w:rPr>
          <w:rStyle w:val="0pt"/>
          <w:rFonts w:ascii="Times New Roman" w:hAnsi="Times New Roman" w:cs="Times New Roman"/>
          <w:color w:val="000000" w:themeColor="text1"/>
          <w:spacing w:val="0"/>
          <w:sz w:val="16"/>
          <w:szCs w:val="16"/>
        </w:rPr>
        <w:t>2000</w:t>
      </w:r>
      <w:r w:rsidRPr="00271E51">
        <w:rPr>
          <w:rFonts w:ascii="Times New Roman" w:hAnsi="Times New Roman"/>
          <w:color w:val="000000" w:themeColor="text1"/>
          <w:sz w:val="16"/>
          <w:szCs w:val="16"/>
        </w:rPr>
        <w:t xml:space="preserve"> тонн ;</w:t>
      </w:r>
    </w:p>
    <w:p w14:paraId="57E0D651"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стекла - 10 вагонов - с заводов Гусевского и "Дагогни" асфальта - </w:t>
      </w:r>
      <w:r w:rsidRPr="00271E51">
        <w:rPr>
          <w:rStyle w:val="0pt"/>
          <w:rFonts w:ascii="Times New Roman" w:hAnsi="Times New Roman" w:cs="Times New Roman"/>
          <w:color w:val="000000" w:themeColor="text1"/>
          <w:spacing w:val="0"/>
          <w:sz w:val="16"/>
          <w:szCs w:val="16"/>
        </w:rPr>
        <w:t>250</w:t>
      </w:r>
      <w:r w:rsidRPr="00271E51">
        <w:rPr>
          <w:rFonts w:ascii="Times New Roman" w:hAnsi="Times New Roman"/>
          <w:color w:val="000000" w:themeColor="text1"/>
          <w:sz w:val="16"/>
          <w:szCs w:val="16"/>
        </w:rPr>
        <w:t xml:space="preserve"> тонн.</w:t>
      </w:r>
    </w:p>
    <w:p w14:paraId="678ACC6C" w14:textId="77777777" w:rsidR="00B51B67" w:rsidRPr="00271E51" w:rsidRDefault="00B51B67" w:rsidP="00271E51">
      <w:pPr>
        <w:tabs>
          <w:tab w:val="left" w:pos="109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Обязать Наркомтяжмаш - т.Казакова отпускать тресту № 6 НКАП (г.Саратов) с завода ВАТ ежедневно по 20 баллонов кислорода и по 8 баллонов ацетилена сроком до 1-го сентября </w:t>
      </w:r>
      <w:r w:rsidRPr="00271E51">
        <w:rPr>
          <w:rStyle w:val="0pt"/>
          <w:rFonts w:ascii="Times New Roman" w:hAnsi="Times New Roman" w:cs="Times New Roman"/>
          <w:color w:val="000000" w:themeColor="text1"/>
          <w:spacing w:val="0"/>
          <w:sz w:val="16"/>
          <w:szCs w:val="16"/>
        </w:rPr>
        <w:t>1943</w:t>
      </w:r>
      <w:r w:rsidRPr="00271E51">
        <w:rPr>
          <w:rFonts w:ascii="Times New Roman" w:hAnsi="Times New Roman"/>
          <w:color w:val="000000" w:themeColor="text1"/>
          <w:sz w:val="16"/>
          <w:szCs w:val="16"/>
        </w:rPr>
        <w:t xml:space="preserve"> года.</w:t>
      </w:r>
    </w:p>
    <w:p w14:paraId="52D133C2" w14:textId="77777777" w:rsidR="00B51B67" w:rsidRPr="00271E51" w:rsidRDefault="00B51B67" w:rsidP="00271E51">
      <w:pPr>
        <w:tabs>
          <w:tab w:val="left" w:pos="10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Обяэать Наркомлес - т.Салтыкова до 15 августа с.г. произвести распиловку </w:t>
      </w:r>
      <w:r w:rsidRPr="00271E51">
        <w:rPr>
          <w:rStyle w:val="0pt"/>
          <w:rFonts w:ascii="Times New Roman" w:hAnsi="Times New Roman" w:cs="Times New Roman"/>
          <w:color w:val="000000" w:themeColor="text1"/>
          <w:spacing w:val="0"/>
          <w:sz w:val="16"/>
          <w:szCs w:val="16"/>
        </w:rPr>
        <w:t xml:space="preserve">10.000 </w:t>
      </w:r>
      <w:r w:rsidRPr="00271E51">
        <w:rPr>
          <w:rFonts w:ascii="Times New Roman" w:hAnsi="Times New Roman"/>
          <w:color w:val="000000" w:themeColor="text1"/>
          <w:sz w:val="16"/>
          <w:szCs w:val="16"/>
        </w:rPr>
        <w:t>кбм. леса для треста № 6 НКАП на 8-ми рамном лесопильном комбинате в г.Саратове.</w:t>
      </w:r>
    </w:p>
    <w:p w14:paraId="3EBB823A"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Распиловку произвести по графику, согласованному строй- трестом б и 8-ми рамным лесопильным комбинатом.</w:t>
      </w:r>
    </w:p>
    <w:p w14:paraId="3A7FC25D" w14:textId="77777777" w:rsidR="00B51B67" w:rsidRPr="00271E51" w:rsidRDefault="00B51B67" w:rsidP="00271E51">
      <w:pPr>
        <w:tabs>
          <w:tab w:val="left" w:pos="10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 Обяэать Наркомпищепром СССР - т.Пронина произвести в июле с.г. распиловку </w:t>
      </w:r>
      <w:r w:rsidRPr="00271E51">
        <w:rPr>
          <w:rStyle w:val="0pt"/>
          <w:rFonts w:ascii="Times New Roman" w:hAnsi="Times New Roman" w:cs="Times New Roman"/>
          <w:color w:val="000000" w:themeColor="text1"/>
          <w:spacing w:val="0"/>
          <w:sz w:val="16"/>
          <w:szCs w:val="16"/>
        </w:rPr>
        <w:t xml:space="preserve">3.000 </w:t>
      </w:r>
      <w:r w:rsidRPr="00271E51">
        <w:rPr>
          <w:rFonts w:ascii="Times New Roman" w:hAnsi="Times New Roman"/>
          <w:color w:val="000000" w:themeColor="text1"/>
          <w:sz w:val="16"/>
          <w:szCs w:val="16"/>
        </w:rPr>
        <w:t xml:space="preserve">кбм. леса тресту № 6 НКАП на тарном комбинате (завод № </w:t>
      </w:r>
      <w:r w:rsidRPr="00271E51">
        <w:rPr>
          <w:rStyle w:val="0pt"/>
          <w:rFonts w:ascii="Times New Roman" w:hAnsi="Times New Roman" w:cs="Times New Roman"/>
          <w:color w:val="000000" w:themeColor="text1"/>
          <w:spacing w:val="0"/>
          <w:sz w:val="16"/>
          <w:szCs w:val="16"/>
        </w:rPr>
        <w:t>1-2)</w:t>
      </w:r>
      <w:r w:rsidRPr="00271E51">
        <w:rPr>
          <w:rFonts w:ascii="Times New Roman" w:hAnsi="Times New Roman"/>
          <w:color w:val="000000" w:themeColor="text1"/>
          <w:sz w:val="16"/>
          <w:szCs w:val="16"/>
        </w:rPr>
        <w:t xml:space="preserve"> в г.Саратове.</w:t>
      </w:r>
    </w:p>
    <w:p w14:paraId="525034B6" w14:textId="77777777" w:rsidR="00B51B67" w:rsidRPr="00271E51" w:rsidRDefault="00B51B67" w:rsidP="00271E51">
      <w:pPr>
        <w:tabs>
          <w:tab w:val="left" w:pos="109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Обязать Саратовский облисполком - т.Силина обеспе</w:t>
      </w:r>
      <w:r w:rsidRPr="00271E51">
        <w:rPr>
          <w:rFonts w:ascii="Times New Roman" w:hAnsi="Times New Roman"/>
          <w:color w:val="000000" w:themeColor="text1"/>
          <w:sz w:val="16"/>
          <w:szCs w:val="16"/>
        </w:rPr>
        <w:softHyphen/>
        <w:t xml:space="preserve">чить производство кирпича на силикатном заводе для стройтре- ста № 6 НКАП, выделив в течение июля и августа </w:t>
      </w:r>
      <w:r w:rsidRPr="00271E51">
        <w:rPr>
          <w:rStyle w:val="0pt"/>
          <w:rFonts w:ascii="Times New Roman" w:hAnsi="Times New Roman" w:cs="Times New Roman"/>
          <w:color w:val="000000" w:themeColor="text1"/>
          <w:spacing w:val="0"/>
          <w:sz w:val="16"/>
          <w:szCs w:val="16"/>
        </w:rPr>
        <w:t>1943</w:t>
      </w:r>
      <w:r w:rsidRPr="00271E51">
        <w:rPr>
          <w:rFonts w:ascii="Times New Roman" w:hAnsi="Times New Roman"/>
          <w:color w:val="000000" w:themeColor="text1"/>
          <w:sz w:val="16"/>
          <w:szCs w:val="16"/>
        </w:rPr>
        <w:t xml:space="preserve"> года </w:t>
      </w:r>
      <w:r w:rsidRPr="00271E51">
        <w:rPr>
          <w:rStyle w:val="0pt"/>
          <w:rFonts w:ascii="Times New Roman" w:hAnsi="Times New Roman" w:cs="Times New Roman"/>
          <w:color w:val="000000" w:themeColor="text1"/>
          <w:spacing w:val="0"/>
          <w:sz w:val="16"/>
          <w:szCs w:val="16"/>
        </w:rPr>
        <w:t xml:space="preserve">2,5 </w:t>
      </w:r>
      <w:r w:rsidRPr="00271E51">
        <w:rPr>
          <w:rFonts w:ascii="Times New Roman" w:hAnsi="Times New Roman"/>
          <w:color w:val="000000" w:themeColor="text1"/>
          <w:sz w:val="16"/>
          <w:szCs w:val="16"/>
        </w:rPr>
        <w:t>млн.штук кирпича - по 40 тыс.штук в сутки.</w:t>
      </w:r>
    </w:p>
    <w:p w14:paraId="6A031C88"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Стройтресту № 6 НКАП передать кирпичному заводу </w:t>
      </w:r>
      <w:r w:rsidRPr="00271E51">
        <w:rPr>
          <w:rStyle w:val="0pt"/>
          <w:rFonts w:ascii="Times New Roman" w:hAnsi="Times New Roman" w:cs="Times New Roman"/>
          <w:color w:val="000000" w:themeColor="text1"/>
          <w:spacing w:val="0"/>
          <w:sz w:val="16"/>
          <w:szCs w:val="16"/>
        </w:rPr>
        <w:t xml:space="preserve">180 </w:t>
      </w:r>
      <w:r w:rsidRPr="00271E51">
        <w:rPr>
          <w:rFonts w:ascii="Times New Roman" w:hAnsi="Times New Roman"/>
          <w:color w:val="000000" w:themeColor="text1"/>
          <w:sz w:val="16"/>
          <w:szCs w:val="16"/>
        </w:rPr>
        <w:t>тонн мазута.</w:t>
      </w:r>
    </w:p>
    <w:p w14:paraId="146A7543" w14:textId="77777777" w:rsidR="00B51B67" w:rsidRPr="00271E51" w:rsidRDefault="00B51B6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Возложить на Народного комиссара авиационной про</w:t>
      </w:r>
      <w:r w:rsidRPr="00271E51">
        <w:rPr>
          <w:rFonts w:ascii="Times New Roman" w:hAnsi="Times New Roman"/>
          <w:color w:val="000000" w:themeColor="text1"/>
          <w:sz w:val="16"/>
          <w:szCs w:val="16"/>
        </w:rPr>
        <w:softHyphen/>
        <w:t>мышленности - т.Шахурина, секретаря Саратовского</w:t>
      </w:r>
      <w:r w:rsidRPr="00271E51">
        <w:rPr>
          <w:rStyle w:val="Candara10pt"/>
          <w:rFonts w:ascii="Times New Roman" w:hAnsi="Times New Roman" w:cs="Times New Roman"/>
          <w:color w:val="000000" w:themeColor="text1"/>
          <w:sz w:val="16"/>
          <w:szCs w:val="16"/>
        </w:rPr>
        <w:t xml:space="preserve"> обкома</w:t>
      </w:r>
      <w:r w:rsidRPr="00271E51">
        <w:rPr>
          <w:rFonts w:ascii="Times New Roman" w:hAnsi="Times New Roman"/>
          <w:color w:val="000000" w:themeColor="text1"/>
          <w:sz w:val="16"/>
          <w:szCs w:val="16"/>
        </w:rPr>
        <w:t xml:space="preserve"> ВКП(б) - т.Комарова и председателя облисполкома - т.Силина персо</w:t>
      </w:r>
      <w:r w:rsidRPr="00271E51">
        <w:rPr>
          <w:rFonts w:ascii="Times New Roman" w:hAnsi="Times New Roman"/>
          <w:color w:val="000000" w:themeColor="text1"/>
          <w:sz w:val="16"/>
          <w:szCs w:val="16"/>
        </w:rPr>
        <w:softHyphen/>
        <w:t xml:space="preserve">нальную ответственность за восстановление завода 292 НКАП (г.Саратов) к 1 октября </w:t>
      </w:r>
      <w:r w:rsidRPr="00271E51">
        <w:rPr>
          <w:rStyle w:val="-1pt"/>
          <w:rFonts w:ascii="Times New Roman" w:hAnsi="Times New Roman" w:cs="Times New Roman"/>
          <w:color w:val="000000" w:themeColor="text1"/>
          <w:spacing w:val="0"/>
          <w:sz w:val="16"/>
          <w:szCs w:val="16"/>
        </w:rPr>
        <w:t>1943</w:t>
      </w:r>
      <w:r w:rsidRPr="00271E51">
        <w:rPr>
          <w:rFonts w:ascii="Times New Roman" w:hAnsi="Times New Roman"/>
          <w:color w:val="000000" w:themeColor="text1"/>
          <w:sz w:val="16"/>
          <w:szCs w:val="16"/>
        </w:rPr>
        <w:t xml:space="preserve"> года (19413).</w:t>
      </w:r>
    </w:p>
    <w:p w14:paraId="53213560" w14:textId="77777777" w:rsidR="008C53D2" w:rsidRPr="00271E51" w:rsidRDefault="008C53D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979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 вышло постановление ГКО № 3725 о мерах неотложной помощи по восстановлению завода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52960D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619A4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действовал филиал ОКБ-115 (1950-е  г.).</w:t>
      </w:r>
    </w:p>
    <w:p w14:paraId="7634AD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СНХ РСФСР.</w:t>
      </w:r>
    </w:p>
    <w:p w14:paraId="5DFDAA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 xml:space="preserve"> «ЭКИП».</w:t>
      </w:r>
    </w:p>
    <w:p w14:paraId="677A67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5DD5B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(11.1940 г.)- 601 металлорежущий станок.</w:t>
      </w:r>
    </w:p>
    <w:p w14:paraId="6AE383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(1.01.2001 г.)- 4450 чел.</w:t>
      </w:r>
    </w:p>
    <w:p w14:paraId="35327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6BB8A2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2549D4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Юсов.</w:t>
      </w:r>
    </w:p>
    <w:p w14:paraId="1C6D3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271E51">
        <w:rPr>
          <w:rFonts w:ascii="Times New Roman" w:hAnsi="Times New Roman"/>
          <w:color w:val="000000" w:themeColor="text1"/>
          <w:sz w:val="16"/>
          <w:szCs w:val="16"/>
          <w:vertAlign w:val="superscript"/>
        </w:rPr>
        <w:t>69</w:t>
      </w:r>
    </w:p>
    <w:p w14:paraId="23F4CA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1164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(08.1941 г.-)- А.С. Яковлев.</w:t>
      </w:r>
    </w:p>
    <w:p w14:paraId="4DFBF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диспетчер (12.04.1938 г.-)- Портнов.</w:t>
      </w:r>
    </w:p>
    <w:p w14:paraId="55876C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механического (12.04.1938 г.-)- Дитяткин.</w:t>
      </w:r>
    </w:p>
    <w:p w14:paraId="47513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лесного хозяйства: и.о. (12.04.1938 г.-)- Саморуков.</w:t>
      </w:r>
    </w:p>
    <w:p w14:paraId="115A3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4C6B4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4AE60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мастерских: вооружения (12.04.1938 г.-)- Лепихов.</w:t>
      </w:r>
    </w:p>
    <w:p w14:paraId="7526E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ЦЗЛ (12.04;1938 г.-)- Л.А. Петров.</w:t>
      </w:r>
    </w:p>
    <w:p w14:paraId="71039E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бюро: оргбюро (12.04.1938 г.-)- Я.М. Пистрак.</w:t>
      </w:r>
    </w:p>
    <w:p w14:paraId="32D6B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72337E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групп: контрольной (12.04.1938 г.-)- Гудков; стандартизации (12.04.1938 г.-)- Гудков.</w:t>
      </w:r>
      <w:r w:rsidRPr="00271E51">
        <w:rPr>
          <w:rFonts w:ascii="Times New Roman" w:hAnsi="Times New Roman"/>
          <w:color w:val="000000" w:themeColor="text1"/>
          <w:sz w:val="16"/>
          <w:szCs w:val="16"/>
          <w:vertAlign w:val="superscript"/>
        </w:rPr>
        <w:t>139</w:t>
      </w:r>
    </w:p>
    <w:p w14:paraId="3C78A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122-мм гаубица обр. 1910/30 г. (1937);</w:t>
      </w:r>
      <w:r w:rsidRPr="00271E51">
        <w:rPr>
          <w:rFonts w:ascii="Times New Roman" w:hAnsi="Times New Roman"/>
          <w:iCs/>
          <w:color w:val="000000" w:themeColor="text1"/>
          <w:sz w:val="16"/>
          <w:szCs w:val="16"/>
        </w:rPr>
        <w:t xml:space="preserve"> самолеты и вертолеты:</w:t>
      </w:r>
      <w:r w:rsidRPr="00271E51">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CB8A6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52E77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59B6A"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D57D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599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 ходе ожесточенных боев под Курском, завод № 183 рапортовал об изготовлении первого танка Т-34-57, а спустя неделю отчитался о готовности еще трех.</w:t>
      </w:r>
    </w:p>
    <w:p w14:paraId="066E06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начались 20 июля на Гороховецком полиго</w:t>
      </w:r>
      <w:r w:rsidRPr="00271E51">
        <w:rPr>
          <w:rFonts w:ascii="Times New Roman" w:hAnsi="Times New Roman"/>
          <w:color w:val="000000" w:themeColor="text1"/>
          <w:sz w:val="16"/>
          <w:szCs w:val="16"/>
        </w:rPr>
        <w:softHyphen/>
        <w:t>не ГАУ и продлились без малого месяц. В них участвовали орудия ЗИС-4 со стволами выпуска еще 1941 г. (№ 22, 24, 38 и 47), установленные в серийные танки завода № 183. Ору</w:t>
      </w:r>
      <w:r w:rsidRPr="00271E51">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271E51">
        <w:rPr>
          <w:rFonts w:ascii="Times New Roman" w:hAnsi="Times New Roman"/>
          <w:color w:val="000000" w:themeColor="text1"/>
          <w:sz w:val="16"/>
          <w:szCs w:val="16"/>
        </w:rPr>
        <w:softHyphen/>
        <w:t>руктивного характера. В заключение комиссия рекомендо</w:t>
      </w:r>
      <w:r w:rsidRPr="00271E51">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46092A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271E51">
        <w:rPr>
          <w:rFonts w:ascii="Times New Roman" w:hAnsi="Times New Roman"/>
          <w:color w:val="000000" w:themeColor="text1"/>
          <w:sz w:val="16"/>
          <w:szCs w:val="16"/>
        </w:rPr>
        <w:softHyphen/>
        <w:t xml:space="preserve">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w:t>
      </w:r>
      <w:r w:rsidRPr="00271E51">
        <w:rPr>
          <w:rFonts w:ascii="Times New Roman" w:hAnsi="Times New Roman"/>
          <w:color w:val="000000" w:themeColor="text1"/>
          <w:sz w:val="16"/>
          <w:szCs w:val="16"/>
        </w:rPr>
        <w:lastRenderedPageBreak/>
        <w:t>роты № 100 НКТП» под командованием капитана Г.П. Волосатова бы</w:t>
      </w:r>
      <w:r w:rsidRPr="00271E51">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271E51">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68AB1D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перед окончанием испытаний согласно распоря</w:t>
      </w:r>
      <w:r w:rsidRPr="00271E51">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271E51">
        <w:rPr>
          <w:rFonts w:ascii="Times New Roman" w:hAnsi="Times New Roman"/>
          <w:color w:val="000000" w:themeColor="text1"/>
          <w:sz w:val="16"/>
          <w:szCs w:val="16"/>
        </w:rPr>
        <w:softHyphen/>
        <w:t>шенным и подбитым немецким танкам и САУ, а также ам</w:t>
      </w:r>
      <w:r w:rsidRPr="00271E51">
        <w:rPr>
          <w:rFonts w:ascii="Times New Roman" w:hAnsi="Times New Roman"/>
          <w:color w:val="000000" w:themeColor="text1"/>
          <w:sz w:val="16"/>
          <w:szCs w:val="16"/>
        </w:rPr>
        <w:softHyphen/>
        <w:t>бразурам ДЗОТ и пулеметным бронеколпакам. Бронепро-биваемость орудия была сочтена удовлетворительной (ло</w:t>
      </w:r>
      <w:r w:rsidRPr="00271E51">
        <w:rPr>
          <w:rFonts w:ascii="Times New Roman" w:hAnsi="Times New Roman"/>
          <w:color w:val="000000" w:themeColor="text1"/>
          <w:sz w:val="16"/>
          <w:szCs w:val="16"/>
        </w:rPr>
        <w:softHyphen/>
        <w:t>бовая 82-мм броня танка РгКрг\у ГУ пробивалась с дистан</w:t>
      </w:r>
      <w:r w:rsidRPr="00271E51">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07A44B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Покуда велась доводка орудия ЗИС-4М и танка-истреби</w:t>
      </w:r>
      <w:r w:rsidRPr="00271E51">
        <w:rPr>
          <w:rFonts w:ascii="Times New Roman" w:hAnsi="Times New Roman"/>
          <w:color w:val="000000" w:themeColor="text1"/>
          <w:sz w:val="16"/>
          <w:szCs w:val="16"/>
        </w:rPr>
        <w:softHyphen/>
        <w:t>теля Т-34-57 в целом, завод № 92 выпустил установочную се</w:t>
      </w:r>
      <w:r w:rsidRPr="00271E51">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44EC5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99700" w14:textId="77777777" w:rsidR="00665ECA" w:rsidRPr="00271E51" w:rsidRDefault="00665ECA" w:rsidP="00271E51">
      <w:pPr>
        <w:pStyle w:val="a3"/>
        <w:rPr>
          <w:color w:val="000000" w:themeColor="text1"/>
          <w:lang w:val="ru-RU"/>
        </w:rPr>
      </w:pPr>
      <w:r w:rsidRPr="00271E51">
        <w:rPr>
          <w:color w:val="000000" w:themeColor="text1"/>
          <w:lang w:val="ru-RU"/>
        </w:rPr>
        <w:t>По состоянию на 10 июля 1943 года из 80 СУ-152 было принято лишь 10 машин. Впрочем, на этот раз ситуация находилась под контролем: согласно графику Наркомата танковой промышленности, полномас</w:t>
      </w:r>
      <w:r w:rsidRPr="00271E51">
        <w:rPr>
          <w:color w:val="000000" w:themeColor="text1"/>
          <w:lang w:val="ru-RU"/>
        </w:rPr>
        <w:softHyphen/>
        <w:t>штабное производство самоходных установок планировалось со вто</w:t>
      </w:r>
      <w:r w:rsidRPr="00271E51">
        <w:rPr>
          <w:color w:val="000000" w:themeColor="text1"/>
          <w:lang w:val="ru-RU"/>
        </w:rPr>
        <w:softHyphen/>
        <w:t>рой половины месяца. Уже на 20-е число приняли 36 машин, а к концу июля завод сдал положенные по плану 80 СУ-152. Машины, выпущен</w:t>
      </w:r>
      <w:r w:rsidRPr="00271E51">
        <w:rPr>
          <w:color w:val="000000" w:themeColor="text1"/>
          <w:lang w:val="ru-RU"/>
        </w:rPr>
        <w:softHyphen/>
        <w:t>ные в конце месяца, претерпели некоторые изменения. Поручень на кормовом листе рубки стал крепиться не на двух, а на трех опорах. Еще одно конструктивное изменение самоходные установки получили од</w:t>
      </w:r>
      <w:r w:rsidRPr="00271E51">
        <w:rPr>
          <w:color w:val="000000" w:themeColor="text1"/>
          <w:lang w:val="ru-RU"/>
        </w:rPr>
        <w:softHyphen/>
        <w:t xml:space="preserve">новременно с </w:t>
      </w:r>
      <w:r w:rsidRPr="00271E51">
        <w:rPr>
          <w:color w:val="000000" w:themeColor="text1"/>
        </w:rPr>
        <w:t>KB</w:t>
      </w:r>
      <w:r w:rsidRPr="00271E51">
        <w:rPr>
          <w:color w:val="000000" w:themeColor="text1"/>
          <w:lang w:val="ru-RU"/>
        </w:rPr>
        <w:t>-1С. Были изменены выхлопные патрубки, которые получили более короткую и защищенную бронировку. В таком виде СУ-152 выпускалась до конца сентября 1943 года.</w:t>
      </w:r>
    </w:p>
    <w:p w14:paraId="74529AFC" w14:textId="77777777" w:rsidR="00665ECA" w:rsidRPr="00271E51" w:rsidRDefault="00665ECA" w:rsidP="00271E51">
      <w:pPr>
        <w:pStyle w:val="a3"/>
        <w:rPr>
          <w:color w:val="000000" w:themeColor="text1"/>
          <w:lang w:val="ru-RU"/>
        </w:rPr>
      </w:pPr>
      <w:r w:rsidRPr="00271E51">
        <w:rPr>
          <w:color w:val="000000" w:themeColor="text1"/>
          <w:lang w:val="ru-RU"/>
        </w:rPr>
        <w:t>Август месяц для ЧКЗ прошел относительно спокойно. Самоход</w:t>
      </w:r>
      <w:r w:rsidRPr="00271E51">
        <w:rPr>
          <w:color w:val="000000" w:themeColor="text1"/>
          <w:lang w:val="ru-RU"/>
        </w:rPr>
        <w:softHyphen/>
        <w:t>ные установки сдавались на сей раз не скопом, а вполне равномерно — 28 машин к 10 числу, 36 — к 15-му и положенные по плану 84 штуки - к 1 сентября. Правда, были и свои накладки, которые выявились уже после сдачи самоходных установок в войска. Военпред Кировского за</w:t>
      </w:r>
      <w:r w:rsidRPr="00271E51">
        <w:rPr>
          <w:color w:val="000000" w:themeColor="text1"/>
          <w:lang w:val="ru-RU"/>
        </w:rPr>
        <w:softHyphen/>
        <w:t>вода Шаронов принял несколько десятков СУ-152 с дефектами в ору</w:t>
      </w:r>
      <w:r w:rsidRPr="00271E51">
        <w:rPr>
          <w:color w:val="000000" w:themeColor="text1"/>
          <w:lang w:val="ru-RU"/>
        </w:rPr>
        <w:softHyphen/>
        <w:t>дийных масках. Отверстие для ключа к противооткатным устройствам было выполнено неправильно, что делало невозможным использова.</w:t>
      </w:r>
    </w:p>
    <w:p w14:paraId="2010BA66" w14:textId="77777777" w:rsidR="00665ECA" w:rsidRPr="00271E51" w:rsidRDefault="00665ECA" w:rsidP="00271E51">
      <w:pPr>
        <w:pStyle w:val="a3"/>
        <w:rPr>
          <w:color w:val="000000" w:themeColor="text1"/>
          <w:lang w:val="ru-RU"/>
        </w:rPr>
      </w:pPr>
      <w:r w:rsidRPr="00271E51">
        <w:rPr>
          <w:color w:val="000000" w:themeColor="text1"/>
          <w:lang w:val="ru-RU"/>
        </w:rPr>
        <w:t>ние ключа для скручивания вентиля для наполнения противооткатных устройств жидкостью. Дефект выявился после того, как самоходные установки отправили в Московский центр самоходной артиллерии. Устранять неисправность пришлось на месте, используя газорезное оборудование (17484).</w:t>
      </w:r>
    </w:p>
    <w:p w14:paraId="3CCB907B"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687285B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года на НИБТПолигоне в условиях, приближенных к боевым закончились сравнительные испытания ГАЗ-64, "Бантам BRC-40", "Виллис-МВ", "Форд GPW", которые проходили с 20 мая 1943. Благодаря своим отличным тяговым свойствам доработанный ГАЗ-64 (его уже тогда называли ГАЗ-67) "...во всех случаях движения по тяжелым дорогам как с прицепом, так и без него..." мог преодолевать короткие подъемы до 42°, длительные - до 38° ("Виллис" и "Форд" - до 37°), а с 45-мм пушкой на крюке - до 31 °, ("они" - до 26°). По максимальному тяговому усилию ГАЗ-64 также значительно превосходил "Виллис" и "Форд" (1195 кгс против 890 кгс), а на бездорожье - в среднем на 12-25%. Имел он и несколько лучшую проходимость, что объяснялось лучшим сцеплением шин с более удачным протектором, меньшим удельным давлением на грунт, а также более устойчивой работой двигателя на малых оборотах с реализацией при этом значительного крутящего момента. Можно было длительно двигаться по бездорожью на "ползучих" скоростях на III и даже IV передачах почти без их переключения, ибо чаще всего в этот момент происходит разрыв потока мощности и теряется подвижность. На высшей передаче машина могла разгоняться со скорости всего 9 км/ч. Будучи заметно тяжелее американских "джипов" и имея меньшую удельную мощность, ГАЗ-64 практически не уступал им в подвижности (средние скорости по шоссе - соответственно 42,8 и 44 км/ч, по проселку - 34,8 и 36,2, по бездорожью - 25,1 и 25,8 км/ч), а с прицепом двигался даже лучше. Этому содействовала и подвеска с удачно подобранными характеристиками, необычайно мягкая для автомобиля подобного назначения. Конечно, машина была еще достаточно "сырая", не столь технически совершенная и законченная, как "Виллис",- трудно было иного ожидать при столь рекордных темпах проектирования и освоения в производстве принципиально нового, ранее нам неизвестного типа автомобиля (который в то же время был вынужден базироваться по большей части на устаревших агрегатах). При положительном в целом отзыве в отчете отмечались и недостатки, вызванные применением некачественных материалов и низкой культурой изготовления - неизбежное следствие военного времени. Отсюда и малая износостойкость ряда деталей (хотя и в пределах гарантийного пробега), поломки элементов рамы и рессор (у "Виллиса" - тоже), неудобная посадка пассажиров и затруднительное управление, большой расход топлива и масла, плохая работа тормозов. Не оправдала себя узкая колея - автомобиль не вписывался в проложенные грузовиками следы, имел недостаточную боковую устойчивость на косогорах, были даже случаи его опрокидывания (как и на "Виллисе") (9638).</w:t>
      </w:r>
    </w:p>
    <w:p w14:paraId="0C809ED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3D59698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г.СПИСОК ЛУЧШИХ СПЕЦИАЛИСТОВ ЗАВОДОВ № 590 И № 617, ПОДПИСАННЫЙ ИНСТРУКТОРОМ ОТДЕЛА ЭЛЕКТРОПРОМЫШЛЕННОСТИ ОБКОМА ВКП(б) М.З. ФЕДОРОВЫМ</w:t>
      </w:r>
    </w:p>
    <w:p w14:paraId="2A32435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590</w:t>
      </w:r>
    </w:p>
    <w:p w14:paraId="654D94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ФРОЛОВ А.Д. - главный инженер завода, разработчик радиоаппаратуры.</w:t>
      </w:r>
    </w:p>
    <w:p w14:paraId="6C45F78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ЛИВИТАН Е.А. - главный конструктор, руководитель ряда новых разработок в лаборатории ЦРЛ и ИРПА.</w:t>
      </w:r>
    </w:p>
    <w:p w14:paraId="5336669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САВРОВСКИИ Д.С. - главный технолог, специалист-технолог по холодной обработке металла.</w:t>
      </w:r>
    </w:p>
    <w:p w14:paraId="69097ED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ДЕХТЯРЕВ В.П. — начальник спецлаборатории, руководитель новых разработок приемно-передающей аппаратуры, автор безумфор-менной «Малютки».</w:t>
      </w:r>
    </w:p>
    <w:p w14:paraId="2C54313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ИЛЬИН Г.Б. - старший инженер лаборатории, ведет разработку нового объекта, участник разработки безумформенной «Малютки».</w:t>
      </w:r>
    </w:p>
    <w:p w14:paraId="34EFB68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МИЦНЕР И.С. - ведущий инженер, руководитель разработки объекта «Левкой» в нормальном и мощном варианте. Работает над модернизацией этого объекта.</w:t>
      </w:r>
    </w:p>
    <w:p w14:paraId="6B3B67A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ЧЕРНЫХ А.Д. — старший конструктор, участник разработки всех объектов. Один из выдающихся конструкторов, наиболее хорошо знающий производство завода, рационализатор, предложивший ряд своих конструкций.</w:t>
      </w:r>
    </w:p>
    <w:p w14:paraId="6104A4D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СИЛАНТЬЕВА Л.А. - ведущий конструктор «Малютки», непрерывно работает над модернизацией объекта. Обеспечивает быстрое решение всех вопросов, выдвигаемых текущим производством по этому заводу.</w:t>
      </w:r>
    </w:p>
    <w:p w14:paraId="0A33F1D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ПРОНИН А.Н. - заместитель главного технолога, руководитель технологических разработок всех объектов, быстро решает вопросы, связанные с технологическим процессом.</w:t>
      </w:r>
    </w:p>
    <w:p w14:paraId="05D0BD7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ПОЛУХИН — начальник цеха № 36, специалист по узлам вернерного механизма. Лучший организатор краснознаменного цеха.</w:t>
      </w:r>
    </w:p>
    <w:p w14:paraId="340220B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ГУТИН - заместитель главного инженера завода, лучший специалист по электролитическим конденсаторам, изобретатель морозостойких конденсаторов.</w:t>
      </w:r>
    </w:p>
    <w:p w14:paraId="50AE61E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ФУРСОВ Г.П. - начальник цеха № 32, лучший специалист, конструктор автоматно-штамповочного цеха.</w:t>
      </w:r>
    </w:p>
    <w:p w14:paraId="4CEDB43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ЧЕРНЫХ В.Д. - конструктор, лучший конструктор по прессовому цеху.</w:t>
      </w:r>
    </w:p>
    <w:p w14:paraId="562702F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АБРОСИМОВ - конструктор, лучший конструктор по инструментальному цеху.</w:t>
      </w:r>
    </w:p>
    <w:p w14:paraId="31A9699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617</w:t>
      </w:r>
    </w:p>
    <w:p w14:paraId="4B439D1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КОЧУРИН А.Д. — главный технолог, специалист по металлическим лампам, хорошо знает инструмент вакуумной промышленности.</w:t>
      </w:r>
    </w:p>
    <w:p w14:paraId="7BEF5FA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АВДЕЕВ В.Н. - начальник первого цеха, молодой специалист по малогабаритным лампам, лучший организатор, первый внедрил поточный метод работы.</w:t>
      </w:r>
    </w:p>
    <w:p w14:paraId="2934E4F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СИНЯКОВ А.Ф. — начальник металлургического цеха, хороший специалист по тугоплавким металлам.</w:t>
      </w:r>
    </w:p>
    <w:p w14:paraId="6D403E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ЧУДНОВСКИЙ СБ. - старший технолог цеха № 2, окончил два университета, теоретически грамотный технолог.</w:t>
      </w:r>
    </w:p>
    <w:p w14:paraId="54A9C65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КОЗЕВ М.Д. — старший технолог цеха № 6, лучший специалист по генераторным лампам.</w:t>
      </w:r>
    </w:p>
    <w:p w14:paraId="102B6A9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ЛЕЛИОВСКИИ А.Д. — старший технолог цеха № 9, специалист по металлическим лампам.</w:t>
      </w:r>
    </w:p>
    <w:p w14:paraId="6CA54BB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БЕЛОУСОВ А.А. -технолог, орденоносец, член ВКЩб), крупный специалист по мощным лампам.</w:t>
      </w:r>
    </w:p>
    <w:p w14:paraId="1C57A1E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МОНОВСКИЙ B.C. — начальник цеха Мё 5 — специалист по ртутным колбам и газовым приборам.</w:t>
      </w:r>
    </w:p>
    <w:p w14:paraId="68EAC15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МОШКОВИЧ — начальник ОТК, лауреат Сталинской премии ...</w:t>
      </w:r>
    </w:p>
    <w:p w14:paraId="1108A0D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ИВАНОВ — начальник химической лаборатории, автор ряда учебников по технологии вакуумных изделий и материалов.</w:t>
      </w:r>
    </w:p>
    <w:p w14:paraId="1310323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ХОРОДЖА - профессор по рентгеновским трубкам.</w:t>
      </w:r>
    </w:p>
    <w:p w14:paraId="6F62A84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ЖДАНОВ — конструктор, лучший конструктор по машинному инструменту.</w:t>
      </w:r>
    </w:p>
    <w:p w14:paraId="36DF0FF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МОФЕТ - конструктор, лучший конструктор по машинному инструменту.</w:t>
      </w:r>
    </w:p>
    <w:p w14:paraId="2673BAD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Инструктор отдела</w:t>
      </w:r>
    </w:p>
    <w:p w14:paraId="40D4851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электропромышленности обкома ВКЩб) Федоров</w:t>
      </w:r>
    </w:p>
    <w:p w14:paraId="340327F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43-43об. Подлинник (12193).</w:t>
      </w:r>
    </w:p>
    <w:p w14:paraId="7820E952"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21A3F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Распоряжение ГКО № 3721. Об обеспечении углеродистой снарядной заготовкой заводов промышленности боеприпасов в III квартале 1943 г.РГАНИР, Фонд ГКО, д. 132, лл. 109-110, 111-116 (11012).</w:t>
      </w:r>
    </w:p>
    <w:p w14:paraId="295395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EB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3722 О плане распределения нефтепродуктов на III квартал 1943 года.РГАНИР, Фонд ГКО, д. 132, лл. 117, 118-150 (11012).</w:t>
      </w:r>
    </w:p>
    <w:p w14:paraId="2B46A4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1706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3723 О назначении т. Петросьянца А.М. заместителем члена ГКО [по контролю за выполнением решений ГКО по танковой промышленности.] (7120, 151).</w:t>
      </w:r>
    </w:p>
    <w:p w14:paraId="13B1557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288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Распоряжение ГКО № 3726. О мобилизации 2 тыс. труд- и спецпереселенцев для работы на угольных шахтах Кузбасса.РГАНИР, Фонд ГКО, д. 132, лл. 171 (11012).</w:t>
      </w:r>
    </w:p>
    <w:p w14:paraId="4E90C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3CE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Распоряжение ГКО № 3727. О поставках бронедеталей на ЛФ для строительства железобетонных оборонительных сооружений.РГАНИР, Фонд ГКО, д. 132, лл. 172 (11012).</w:t>
      </w:r>
    </w:p>
    <w:p w14:paraId="2FBB4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0DDA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вышло Постановление ГКО № 3728 Об обеспечении погрузки воинских и импортных грузов в июле 1943 года на Приморской и Дальневосточной железных дорогах. (7120, 173-175).</w:t>
      </w:r>
    </w:p>
    <w:p w14:paraId="4AD32E0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A63E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7F7F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A32A8"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в 1943 году оперативная сводка Совинформбюро:</w:t>
      </w:r>
    </w:p>
    <w:p w14:paraId="50F6257B"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наши войска на Орловско-Курском и Белгородском направлениях отбивали многочисленные атаки крупных сил противника.</w:t>
      </w:r>
    </w:p>
    <w:p w14:paraId="0E08C058"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наносить массированные удары по боевым порядкам наступающих немецких войск и прикрывала свои войска на поле боя от налётов авиации противника.</w:t>
      </w:r>
    </w:p>
    <w:p w14:paraId="00C7AF9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Орловско-Курском и Белгородском направлениях за день боёв подбито и уничтожено 272 немецких танка. В воздушных боях и зенитной артиллерией сбито 83 самолёта противника.</w:t>
      </w:r>
    </w:p>
    <w:p w14:paraId="07A7C924"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уточнённым данным, за 9 июля нашими войсками подбито и уничтожено не 193 немецких танка, как сообщалось ранее, а 223 танка и в воздушных боях и огнём зенитной артиллерии сбито не 94 немецких самолёта, а 144 самолёта противника.</w:t>
      </w:r>
    </w:p>
    <w:p w14:paraId="4ADC0DAB"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войска отбивали атаки противника. На участке Н-ского соединения немцы с утра возобновили атаки одновременно в нескольких местах. Наши части отбили одну за другой десять вражеских атак и прочно удерживают свои позиции. В этих бесплодных атаках противник потерял до 1.500 солдат и офицеров. Уничтожено до 40 немецких танков, 16 орудий и 70 автомашин. На участке другого соединения с утра завязался сильный огневой бой. Наши артиллеристы уничтожили несколько тяжёлых немецких танков типа «Тигр», рассеяли и частью истребили до двух полков пехоты противника.</w:t>
      </w:r>
    </w:p>
    <w:p w14:paraId="7705492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упорных боях с врагом наши бойцы и командиры умножают славу советского оружия. Подразделение, где командиром т. Киселёв, было окружено двумя батальонами немецкой пехоты и 15 танками. После двенадцатичасового боя наши бойцы прорвали вражеское кольцо и контрударом восстановили положение. Истреблено 400 немецких солдат и офицеров. Взвод бронебойщиков под командованием т. Бухтоярова уничтожил 7 танков и бронемашину противника. Два взвода немцев и пять танков «Тигр» атаковали подразделение, где командиром т. Губанов. Наши бойцы подпустили наседавших гитлеровцев на близкое расстояние и бутылками с горючей жидкостью сожгли все пять немецких танков. Красноармейцы-разведчики тт. Косив, Быстрицкий, Минин, Калинин, Семёнов, Подоляев и Иващенков под командованием капитана Закревского пробрались в деревню, занятую противником, захватили штабной немецкий танк и пригнали его в свою часть.</w:t>
      </w:r>
    </w:p>
    <w:p w14:paraId="20D522A9"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вели упорные бои с танками и пехотой противника. Немцы ввели в бой крупные резервы и пытаются развить наступление на участке, где вражеским танкам удалось вклиниться в нашу оборону. Решительными контратаками советские части сковывают противника и наносят ему огромный урон. Части Н-ского соединения в течение дня уничтожили 58 немецких танков. На артиллерийскую батарею, которой командует гвардии капитан т. Стромога, наступала группа танков противника. Советские артиллеристы отбили вражескую атаку и уничтожили 6 танков типа «Тигр». Кроме того, по одному «Тигру» сожгли бронебойщики гвардии красноармейцы тт. Гнездиков, Альгиев и Ганджа. Позавчера десять наших танков под командованием гвардии старшего лейтенанта т. Хрипача вступили в бой с 70 немецкими танками, вклинившимися в советские позиции. В ожесточённой схватке гвардейцы-танкисты уничтожили 23 танка противника. Зенитчики подразделения, где командиром майор т. Качмар, отражая атаки вражеской авиации на наземные войска, за день сбили 10 немецких самолётов.</w:t>
      </w:r>
    </w:p>
    <w:p w14:paraId="2B9F62A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Чёрном море потопила подводную лодку противника.</w:t>
      </w:r>
    </w:p>
    <w:p w14:paraId="1C991995"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наши войска вели огневой бой с противником. Советские артиллеристы разрушили 5 немецких дзотов и наблюдательный пункт, взорвали склад боеприпасов, уничтожили 2 автомашины и до 30 повозок с грузами. Разведчики Н-ской части произвели успешную вылазку в расположение противника и захватили пленных. Захвачены также 8 автоматов и другое вооружение.</w:t>
      </w:r>
    </w:p>
    <w:p w14:paraId="38772C57"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советские артиллеристы и миномётчики разрушили 16 немецких дзотов, 5 землянок и 7 наблюдательных пунктов. Наши снайперы истребили 86 гитлеровцев.</w:t>
      </w:r>
    </w:p>
    <w:p w14:paraId="4EECDCD2"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 подступах к Ленинграду советские лётчики сбили 6 немецких самолётов.</w:t>
      </w:r>
    </w:p>
    <w:p w14:paraId="6FE04E9C"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Разведчики партизанского отряда, действующего в Киевской области, донесли командиру о приближении большой колонны немецких войск. Советские патриоты устроили у дороги засаду и, когда гитлеровцы подошли на близкое расстояние, открыли ружейно-пулемётный огонь. Немцы, не оказав сопротивления, разбежались. На дороге осталось до 100 вражеских трупов. Группа партизан другого украинского отряда 24 июня пустила под откос немецкий бронепоезд. В Житомирской области партизаны отряда имени Богуна подорвали немецкий воинский эшелон. На этом участке железной дороги прекращено движение поездов.</w:t>
      </w:r>
    </w:p>
    <w:p w14:paraId="0B34AD36"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сторону Красной Армии перелетел на самолёте «Арадо-66» немецкий лётчик. Он приземлился на нашей территории. Самолёт был в полной исправности. Лётчик заявил: «Я добровольно перелетел на сторону русских, потому что утратил веру в победу Германии. Кадровые дивизии немецкой армии, её наиболее опытные офицеры и солдаты уже истреблены. Материально-техническая мощь немецких вооружённых сил и особенно авиации подорвана. Ощущается недостаток современных типов самолётов и квалифицированных пилотов. Для боевых вылетов используются сейчас негодные, устаревшие машины, не отвечающие требованиям современной боевой деятельности. Лётчиков соединения, в котором я служил, заставляют летать на старых учебных самолётах «Фокке-Вульф-58» и «Арадо-66». Только самоубийцы могут летать на подобных самолётах, которые лётчики называют «моторизованными гробами». Из девяти самолётов «Фокке-Вульф-58», имевшихся в нашей группе, четыре разбились вместе с экипажами из-за порчи моторов раньше, чем успели вступить в бой. Мне не хотелось погибнуть так нелепо и бессмысленно, и я решил сам распорядиться своей судьбой» (14948).</w:t>
      </w:r>
    </w:p>
    <w:p w14:paraId="7EE5B1E0"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4CE5E698" w14:textId="77777777" w:rsidR="00953CBB" w:rsidRPr="00271E51" w:rsidRDefault="00953C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в 1943 году по данным штаба Воронежского фронта, противник неоднократно атаковал мотопехотой и танками на участке Луханино - ур. Меловое в северо-западном направлении (то есть 3-й танковой дивизией, моторизированной дивизией "Гроссдойчланд" и 11-й танковой дивизией против 90-й гвардейской стрелковой дивизии, 6-го танкового корпуса, 204-й стрелковой дивизии, 10-го танкового корпуса, 67-й гвардейской стрелковой дивизии, 3-го механизированного корпуса, 309-й стрелковой дивизии, 31-го танкового корпуса, 51-й гвардейской стрелковой дивизии) и на участке Кочетовка - Ясная Поляна "в юго-восточном направлении" (моторизированных дивизий СС "Тотенкопф" и "Лейбштандарт" против 52-й гвардейской стрелковой дивизии и 2-го танкового корпуса - очевидно - в северо-восточном направлении). В 13.00 противник "силою до батальона пехоты с 50 танками при мощной авиационной поддержке до 200 самолетов" овладел совхозом Комсомолец и Ивановским Выселком (т.е моторизированная дивизия СС "Лейбштандарт" против 2-го танкового корпуса). В итоге на 10-км участке Обояньского направления моторизированная дивизия "Гроссдойчланд" потеснила 6-й танковый корпус до 4 км, моторизированная дивизия СС "Лейбштандарт" на Прохоровском направлении потеснила 2-й танковый корпус до 2 км. На Корочанском направлении по данным штаба ВФ противник в 18.20 "силою до двух батальонов пехоты с 50 танками (из них 13 - Т-6) при поддержке 50 бомбардировщиков" наступал из р-на Севрюкова в восточном направлении (видимо - в северо-восточном) (14948).</w:t>
      </w:r>
    </w:p>
    <w:p w14:paraId="2ACC37C0" w14:textId="77777777" w:rsidR="00953CBB" w:rsidRPr="00271E51" w:rsidRDefault="00953CBB" w:rsidP="00271E51">
      <w:pPr>
        <w:spacing w:after="0" w:line="240" w:lineRule="auto"/>
        <w:jc w:val="both"/>
        <w:rPr>
          <w:rFonts w:ascii="Times New Roman" w:hAnsi="Times New Roman"/>
          <w:color w:val="000000" w:themeColor="text1"/>
          <w:sz w:val="16"/>
          <w:szCs w:val="16"/>
        </w:rPr>
      </w:pPr>
    </w:p>
    <w:p w14:paraId="77839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10-11 июля 1943 массированные удары Ил-2 стали повсеместно наноситься сосредо</w:t>
      </w:r>
      <w:r w:rsidRPr="00271E51">
        <w:rPr>
          <w:rFonts w:ascii="Times New Roman" w:hAnsi="Times New Roman"/>
          <w:color w:val="000000" w:themeColor="text1"/>
          <w:sz w:val="16"/>
          <w:szCs w:val="16"/>
        </w:rPr>
        <w:softHyphen/>
        <w:t>точенные удары крупными силами, что положительно сказалось на положении наземных войск.</w:t>
      </w:r>
    </w:p>
    <w:p w14:paraId="0DFC8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10 июля 1943 оправившись от шока, связанного с ПТАБ-2.5-1.5, немецкие тан</w:t>
      </w:r>
      <w:r w:rsidRPr="00271E51">
        <w:rPr>
          <w:rFonts w:ascii="Times New Roman" w:hAnsi="Times New Roman"/>
          <w:color w:val="000000" w:themeColor="text1"/>
          <w:sz w:val="16"/>
          <w:szCs w:val="16"/>
        </w:rPr>
        <w:softHyphen/>
        <w:t>кисты уже через несколько дней после начала сражения перешли исключитель</w:t>
      </w:r>
      <w:r w:rsidRPr="00271E51">
        <w:rPr>
          <w:rFonts w:ascii="Times New Roman" w:hAnsi="Times New Roman"/>
          <w:color w:val="000000" w:themeColor="text1"/>
          <w:sz w:val="16"/>
          <w:szCs w:val="16"/>
        </w:rPr>
        <w:softHyphen/>
        <w:t>но к рассредоточенным походным и предбоевым порядкам. Естественно, это сильно затруднило управление танковы</w:t>
      </w:r>
      <w:r w:rsidRPr="00271E51">
        <w:rPr>
          <w:rFonts w:ascii="Times New Roman" w:hAnsi="Times New Roman"/>
          <w:color w:val="000000" w:themeColor="text1"/>
          <w:sz w:val="16"/>
          <w:szCs w:val="16"/>
        </w:rPr>
        <w:softHyphen/>
        <w:t>ми частями и подразделениями, увели</w:t>
      </w:r>
      <w:r w:rsidRPr="00271E51">
        <w:rPr>
          <w:rFonts w:ascii="Times New Roman" w:hAnsi="Times New Roman"/>
          <w:color w:val="000000" w:themeColor="text1"/>
          <w:sz w:val="16"/>
          <w:szCs w:val="16"/>
        </w:rPr>
        <w:softHyphen/>
        <w:t>чило сроки их развертывания, сосредо</w:t>
      </w:r>
      <w:r w:rsidRPr="00271E51">
        <w:rPr>
          <w:rFonts w:ascii="Times New Roman" w:hAnsi="Times New Roman"/>
          <w:color w:val="000000" w:themeColor="text1"/>
          <w:sz w:val="16"/>
          <w:szCs w:val="16"/>
        </w:rPr>
        <w:softHyphen/>
        <w:t>точения и передислокации, усложнило взаимодействие между ними. Эффек</w:t>
      </w:r>
      <w:r w:rsidRPr="00271E51">
        <w:rPr>
          <w:rFonts w:ascii="Times New Roman" w:hAnsi="Times New Roman"/>
          <w:color w:val="000000" w:themeColor="text1"/>
          <w:sz w:val="16"/>
          <w:szCs w:val="16"/>
        </w:rPr>
        <w:softHyphen/>
        <w:t>тивность ударов Ил-2 с применением ПТАБ снизилась примерно в 4-4,5 раза, оставаясь, тем не менее, в среднем в 2-3 раза выше, чем при использовании фугасных и осколочно-фугасных авиа</w:t>
      </w:r>
      <w:r w:rsidRPr="00271E51">
        <w:rPr>
          <w:rFonts w:ascii="Times New Roman" w:hAnsi="Times New Roman"/>
          <w:color w:val="000000" w:themeColor="text1"/>
          <w:sz w:val="16"/>
          <w:szCs w:val="16"/>
        </w:rPr>
        <w:softHyphen/>
        <w:t>бомб.</w:t>
      </w:r>
    </w:p>
    <w:p w14:paraId="2CDF36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в строевых частях ВВС КА укоренились следующие два вариан</w:t>
      </w:r>
      <w:r w:rsidRPr="00271E51">
        <w:rPr>
          <w:rFonts w:ascii="Times New Roman" w:hAnsi="Times New Roman"/>
          <w:color w:val="000000" w:themeColor="text1"/>
          <w:sz w:val="16"/>
          <w:szCs w:val="16"/>
        </w:rPr>
        <w:softHyphen/>
        <w:t xml:space="preserve">та бомбовой загрузки штурмовиков Ил-2 при действии последних по танкам противника. </w:t>
      </w:r>
      <w:r w:rsidRPr="00271E51">
        <w:rPr>
          <w:rFonts w:ascii="Times New Roman" w:hAnsi="Times New Roman"/>
          <w:color w:val="000000" w:themeColor="text1"/>
          <w:sz w:val="16"/>
          <w:szCs w:val="16"/>
        </w:rPr>
        <w:lastRenderedPageBreak/>
        <w:t>Когда удар наносился по крупным танковым группам, "Илы" пол</w:t>
      </w:r>
      <w:r w:rsidRPr="00271E51">
        <w:rPr>
          <w:rFonts w:ascii="Times New Roman" w:hAnsi="Times New Roman"/>
          <w:color w:val="000000" w:themeColor="text1"/>
          <w:sz w:val="16"/>
          <w:szCs w:val="16"/>
        </w:rPr>
        <w:softHyphen/>
        <w:t>ностью снаряжались ПТАБами, а при ата</w:t>
      </w:r>
      <w:r w:rsidRPr="00271E51">
        <w:rPr>
          <w:rFonts w:ascii="Times New Roman" w:hAnsi="Times New Roman"/>
          <w:color w:val="000000" w:themeColor="text1"/>
          <w:sz w:val="16"/>
          <w:szCs w:val="16"/>
        </w:rPr>
        <w:softHyphen/>
        <w:t>ках танков, непосредственно поддерживающих пехоту на поле боя (то есть в рассредоточенных боевых порядках), боекомплект Ил-2 по весу состоял из 50% ПТАБ и 50% ФАБ-50 или ФАБ-100.</w:t>
      </w:r>
    </w:p>
    <w:p w14:paraId="0A3A3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тех случаях, когда немецкие танки были сосредоточены сравнительно плотной массой на небольшой площа</w:t>
      </w:r>
      <w:r w:rsidRPr="00271E51">
        <w:rPr>
          <w:rFonts w:ascii="Times New Roman" w:hAnsi="Times New Roman"/>
          <w:color w:val="000000" w:themeColor="text1"/>
          <w:sz w:val="16"/>
          <w:szCs w:val="16"/>
        </w:rPr>
        <w:softHyphen/>
        <w:t>ди, каждый летчик прицеливался по среднему танку. Прицеливание произ</w:t>
      </w:r>
      <w:r w:rsidRPr="00271E51">
        <w:rPr>
          <w:rFonts w:ascii="Times New Roman" w:hAnsi="Times New Roman"/>
          <w:color w:val="000000" w:themeColor="text1"/>
          <w:sz w:val="16"/>
          <w:szCs w:val="16"/>
        </w:rPr>
        <w:softHyphen/>
        <w:t>водилось по боковой точке в момент ввода в пикирование, с разворотом на 25-30°. ПТАБы сбрасывались на выводе из пикирования с высоты 200-400 м по две кассеты, с расчетом перекрытия всей группы танков. При низкой облач</w:t>
      </w:r>
      <w:r w:rsidRPr="00271E51">
        <w:rPr>
          <w:rFonts w:ascii="Times New Roman" w:hAnsi="Times New Roman"/>
          <w:color w:val="000000" w:themeColor="text1"/>
          <w:sz w:val="16"/>
          <w:szCs w:val="16"/>
        </w:rPr>
        <w:softHyphen/>
        <w:t>ности бомбометание производилось с высоты 100-150 м с горизонтального полета на повышенной скорости.</w:t>
      </w:r>
    </w:p>
    <w:p w14:paraId="76C144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же танки были рассредоточе</w:t>
      </w:r>
      <w:r w:rsidRPr="00271E51">
        <w:rPr>
          <w:rFonts w:ascii="Times New Roman" w:hAnsi="Times New Roman"/>
          <w:color w:val="000000" w:themeColor="text1"/>
          <w:sz w:val="16"/>
          <w:szCs w:val="16"/>
        </w:rPr>
        <w:softHyphen/>
        <w:t>ны на большой площади, летчики-штур</w:t>
      </w:r>
      <w:r w:rsidRPr="00271E51">
        <w:rPr>
          <w:rFonts w:ascii="Times New Roman" w:hAnsi="Times New Roman"/>
          <w:color w:val="000000" w:themeColor="text1"/>
          <w:sz w:val="16"/>
          <w:szCs w:val="16"/>
        </w:rPr>
        <w:softHyphen/>
        <w:t>мовики прицеливались по отдельным танкам. При этом высота сброса ПТАБ-2,5-1 ,5 на выходе из пикирования была несколько меньше - 150-200 м, и за один заход расходовалась только одна кас</w:t>
      </w:r>
      <w:r w:rsidRPr="00271E51">
        <w:rPr>
          <w:rFonts w:ascii="Times New Roman" w:hAnsi="Times New Roman"/>
          <w:color w:val="000000" w:themeColor="text1"/>
          <w:sz w:val="16"/>
          <w:szCs w:val="16"/>
        </w:rPr>
        <w:softHyphen/>
        <w:t>сета.</w:t>
      </w:r>
    </w:p>
    <w:p w14:paraId="6F7E3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опыт показал, что потери тан</w:t>
      </w:r>
      <w:r w:rsidRPr="00271E51">
        <w:rPr>
          <w:rFonts w:ascii="Times New Roman" w:hAnsi="Times New Roman"/>
          <w:color w:val="000000" w:themeColor="text1"/>
          <w:sz w:val="16"/>
          <w:szCs w:val="16"/>
        </w:rPr>
        <w:softHyphen/>
        <w:t>ков в среднем 15% от их общего числа, подвергшихся удару штурмовиков, дос</w:t>
      </w:r>
      <w:r w:rsidRPr="00271E51">
        <w:rPr>
          <w:rFonts w:ascii="Times New Roman" w:hAnsi="Times New Roman"/>
          <w:color w:val="000000" w:themeColor="text1"/>
          <w:sz w:val="16"/>
          <w:szCs w:val="16"/>
        </w:rPr>
        <w:softHyphen/>
        <w:t>тигались в тех случаях, когда на каждые 10-20 танков выделялся наряд сил око</w:t>
      </w:r>
      <w:r w:rsidRPr="00271E51">
        <w:rPr>
          <w:rFonts w:ascii="Times New Roman" w:hAnsi="Times New Roman"/>
          <w:color w:val="000000" w:themeColor="text1"/>
          <w:sz w:val="16"/>
          <w:szCs w:val="16"/>
        </w:rPr>
        <w:softHyphen/>
        <w:t>ло 3-5 групп Ил-2 (по 6 машин в каждой группе), которые действовали последо</w:t>
      </w:r>
      <w:r w:rsidRPr="00271E51">
        <w:rPr>
          <w:rFonts w:ascii="Times New Roman" w:hAnsi="Times New Roman"/>
          <w:color w:val="000000" w:themeColor="text1"/>
          <w:sz w:val="16"/>
          <w:szCs w:val="16"/>
        </w:rPr>
        <w:softHyphen/>
        <w:t>вательно одна за другой или по две од</w:t>
      </w:r>
      <w:r w:rsidRPr="00271E51">
        <w:rPr>
          <w:rFonts w:ascii="Times New Roman" w:hAnsi="Times New Roman"/>
          <w:color w:val="000000" w:themeColor="text1"/>
          <w:sz w:val="16"/>
          <w:szCs w:val="16"/>
        </w:rPr>
        <w:softHyphen/>
        <w:t>новременно.</w:t>
      </w:r>
    </w:p>
    <w:p w14:paraId="5770D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противотанковых ПТАБ-2,5-1,5 и фугасных ФАБ-50 и ФАБ-100 авиабомб, штурмовики Ил-2 для борьбы с немец</w:t>
      </w:r>
      <w:r w:rsidRPr="00271E51">
        <w:rPr>
          <w:rFonts w:ascii="Times New Roman" w:hAnsi="Times New Roman"/>
          <w:color w:val="000000" w:themeColor="text1"/>
          <w:sz w:val="16"/>
          <w:szCs w:val="16"/>
        </w:rPr>
        <w:softHyphen/>
        <w:t>кими танками довольно широко в этот период применяли зажигательные ам</w:t>
      </w:r>
      <w:r w:rsidRPr="00271E51">
        <w:rPr>
          <w:rFonts w:ascii="Times New Roman" w:hAnsi="Times New Roman"/>
          <w:color w:val="000000" w:themeColor="text1"/>
          <w:sz w:val="16"/>
          <w:szCs w:val="16"/>
        </w:rPr>
        <w:softHyphen/>
        <w:t>пулы АЖ-2, которые давали хороший результат по танкам любого типа (6467).</w:t>
      </w:r>
    </w:p>
    <w:p w14:paraId="1FE428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арсенале Ил-2, наряду с реактив</w:t>
      </w:r>
      <w:r w:rsidRPr="00271E51">
        <w:rPr>
          <w:rFonts w:ascii="Times New Roman" w:hAnsi="Times New Roman"/>
          <w:color w:val="000000" w:themeColor="text1"/>
          <w:sz w:val="16"/>
          <w:szCs w:val="16"/>
        </w:rPr>
        <w:softHyphen/>
        <w:t>ными снарядами РБС-132, имевших бро</w:t>
      </w:r>
      <w:r w:rsidRPr="00271E51">
        <w:rPr>
          <w:rFonts w:ascii="Times New Roman" w:hAnsi="Times New Roman"/>
          <w:color w:val="000000" w:themeColor="text1"/>
          <w:sz w:val="16"/>
          <w:szCs w:val="16"/>
        </w:rPr>
        <w:softHyphen/>
        <w:t>небойную боевую часть, как средство борьбы с немецкой бронетехникой к этому времени прочно укрепился реак</w:t>
      </w:r>
      <w:r w:rsidRPr="00271E51">
        <w:rPr>
          <w:rFonts w:ascii="Times New Roman" w:hAnsi="Times New Roman"/>
          <w:color w:val="000000" w:themeColor="text1"/>
          <w:sz w:val="16"/>
          <w:szCs w:val="16"/>
        </w:rPr>
        <w:softHyphen/>
        <w:t>тивный снаряд РОФС-132 с улучшен</w:t>
      </w:r>
      <w:r w:rsidRPr="00271E51">
        <w:rPr>
          <w:rFonts w:ascii="Times New Roman" w:hAnsi="Times New Roman"/>
          <w:color w:val="000000" w:themeColor="text1"/>
          <w:sz w:val="16"/>
          <w:szCs w:val="16"/>
        </w:rPr>
        <w:softHyphen/>
        <w:t>ной, по сравнению с РБС-132 или PC-132, кучностью стрельбы.</w:t>
      </w:r>
    </w:p>
    <w:p w14:paraId="0EE45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часть снаряда РОФС-132 обеспечивала сквозное пробитие (при прямом попадании) брони средних и тяжелых немецких танков.</w:t>
      </w:r>
    </w:p>
    <w:p w14:paraId="6828E0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разрыве РОФС-132 вблизи тан</w:t>
      </w:r>
      <w:r w:rsidRPr="00271E51">
        <w:rPr>
          <w:rFonts w:ascii="Times New Roman" w:hAnsi="Times New Roman"/>
          <w:color w:val="000000" w:themeColor="text1"/>
          <w:sz w:val="16"/>
          <w:szCs w:val="16"/>
        </w:rPr>
        <w:softHyphen/>
        <w:t>ка на расстоянии 1 м от него при угле места в 30° кинетической энергии ос</w:t>
      </w:r>
      <w:r w:rsidRPr="00271E51">
        <w:rPr>
          <w:rFonts w:ascii="Times New Roman" w:hAnsi="Times New Roman"/>
          <w:color w:val="000000" w:themeColor="text1"/>
          <w:sz w:val="16"/>
          <w:szCs w:val="16"/>
        </w:rPr>
        <w:softHyphen/>
        <w:t>колков было достаточно для пробития немецкой танковой брони толщиной до 15 мм. При угле места в 60° разрыв РОФС-132 на расстоянии до 3-х метров от танка обеспечивал пробитие оскол</w:t>
      </w:r>
      <w:r w:rsidRPr="00271E51">
        <w:rPr>
          <w:rFonts w:ascii="Times New Roman" w:hAnsi="Times New Roman"/>
          <w:color w:val="000000" w:themeColor="text1"/>
          <w:sz w:val="16"/>
          <w:szCs w:val="16"/>
        </w:rPr>
        <w:softHyphen/>
        <w:t>ками танковой брони толщиной 30 мм, размеры пробоин при этом имели ве</w:t>
      </w:r>
      <w:r w:rsidRPr="00271E51">
        <w:rPr>
          <w:rFonts w:ascii="Times New Roman" w:hAnsi="Times New Roman"/>
          <w:color w:val="000000" w:themeColor="text1"/>
          <w:sz w:val="16"/>
          <w:szCs w:val="16"/>
        </w:rPr>
        <w:softHyphen/>
        <w:t>личины, равные в среднем (20-25)х(35-80)мм.</w:t>
      </w:r>
    </w:p>
    <w:p w14:paraId="03498B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прямом попадании РОФС-132 в борт, например, штурмового орудия StuG IV (или в борт истребителя танков Jgd Pz IV/70) 30-мм броня пробивалась, а орудие, оборудование и экипаж внутри танка, как правило, выводились из строя (6467).</w:t>
      </w:r>
    </w:p>
    <w:p w14:paraId="3768A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Попадание РОФС-132 в моторную часть Pz. IV приводило к потере танка.</w:t>
      </w:r>
    </w:p>
    <w:p w14:paraId="454202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несмотря на увеличе</w:t>
      </w:r>
      <w:r w:rsidRPr="00271E51">
        <w:rPr>
          <w:rFonts w:ascii="Times New Roman" w:hAnsi="Times New Roman"/>
          <w:color w:val="000000" w:themeColor="text1"/>
          <w:sz w:val="16"/>
          <w:szCs w:val="16"/>
        </w:rPr>
        <w:softHyphen/>
        <w:t>ние кучности стрельбы РОФС-132, их эф</w:t>
      </w:r>
      <w:r w:rsidRPr="00271E51">
        <w:rPr>
          <w:rFonts w:ascii="Times New Roman" w:hAnsi="Times New Roman"/>
          <w:color w:val="000000" w:themeColor="text1"/>
          <w:sz w:val="16"/>
          <w:szCs w:val="16"/>
        </w:rPr>
        <w:softHyphen/>
        <w:t>фективность при стрельбе по танкам и другой бронетехнике в рассредоточен</w:t>
      </w:r>
      <w:r w:rsidRPr="00271E51">
        <w:rPr>
          <w:rFonts w:ascii="Times New Roman" w:hAnsi="Times New Roman"/>
          <w:color w:val="000000" w:themeColor="text1"/>
          <w:sz w:val="16"/>
          <w:szCs w:val="16"/>
        </w:rPr>
        <w:softHyphen/>
        <w:t>ных боевых порядках, к которым немцы повсеместно перешли к этому времени, была все же неудовлетворительной. Наилучшие результаты РОФС-132 дава</w:t>
      </w:r>
      <w:r w:rsidRPr="00271E51">
        <w:rPr>
          <w:rFonts w:ascii="Times New Roman" w:hAnsi="Times New Roman"/>
          <w:color w:val="000000" w:themeColor="text1"/>
          <w:sz w:val="16"/>
          <w:szCs w:val="16"/>
        </w:rPr>
        <w:softHyphen/>
        <w:t>ли при стрельбе по крупным площад</w:t>
      </w:r>
      <w:r w:rsidRPr="00271E51">
        <w:rPr>
          <w:rFonts w:ascii="Times New Roman" w:hAnsi="Times New Roman"/>
          <w:color w:val="000000" w:themeColor="text1"/>
          <w:sz w:val="16"/>
          <w:szCs w:val="16"/>
        </w:rPr>
        <w:softHyphen/>
        <w:t>ным целям - мотомеханизированные ко</w:t>
      </w:r>
      <w:r w:rsidRPr="00271E51">
        <w:rPr>
          <w:rFonts w:ascii="Times New Roman" w:hAnsi="Times New Roman"/>
          <w:color w:val="000000" w:themeColor="text1"/>
          <w:sz w:val="16"/>
          <w:szCs w:val="16"/>
        </w:rPr>
        <w:softHyphen/>
        <w:t>лонны, ж.д. составы, склады, батареи по</w:t>
      </w:r>
      <w:r w:rsidRPr="00271E51">
        <w:rPr>
          <w:rFonts w:ascii="Times New Roman" w:hAnsi="Times New Roman"/>
          <w:color w:val="000000" w:themeColor="text1"/>
          <w:sz w:val="16"/>
          <w:szCs w:val="16"/>
        </w:rPr>
        <w:softHyphen/>
        <w:t>левой и зенитной артиллерии и т.д. (6467).</w:t>
      </w:r>
    </w:p>
    <w:p w14:paraId="1068C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CB2C63"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10 июля 1943 при массированных ударах в период 12.30—13.00 16-й воз</w:t>
      </w:r>
      <w:r w:rsidRPr="00271E51">
        <w:rPr>
          <w:color w:val="000000" w:themeColor="text1"/>
          <w:sz w:val="16"/>
          <w:szCs w:val="16"/>
        </w:rPr>
        <w:softHyphen/>
        <w:t>душной армии в районах севернее Поныри, 1-е Поныри и выс. 231.8, а также в районе Кашара, сев. Ку- тырки, выс. 257.0, на противни</w:t>
      </w:r>
      <w:r w:rsidRPr="00271E51">
        <w:rPr>
          <w:color w:val="000000" w:themeColor="text1"/>
          <w:sz w:val="16"/>
          <w:szCs w:val="16"/>
        </w:rPr>
        <w:softHyphen/>
        <w:t>ка было сброшено 531 ФАБ-100, 154 ФАБ-50, 42 АО-25, 1185 АО-10, 27 ЗАБ-2,5, 792 ПТАБ, 246 РС-82, 386 АЖ-2. Всего было выполнено 148 самолето-вылетов, из них 106 бомбардировщиками Пе-2 и Б-3, остальные 42 самолето-вылета штурмовиками Ил-2. Противотан</w:t>
      </w:r>
      <w:r w:rsidRPr="00271E51">
        <w:rPr>
          <w:color w:val="000000" w:themeColor="text1"/>
          <w:sz w:val="16"/>
          <w:szCs w:val="16"/>
        </w:rPr>
        <w:softHyphen/>
        <w:t>ковые авиабомбы ПТАБ входили в боевую загрузку только Ил-2. По докладам экипажей, было уничто</w:t>
      </w:r>
      <w:r w:rsidRPr="00271E51">
        <w:rPr>
          <w:color w:val="000000" w:themeColor="text1"/>
          <w:sz w:val="16"/>
          <w:szCs w:val="16"/>
        </w:rPr>
        <w:softHyphen/>
        <w:t>жено 15 танков, 3 бронемашины, 2 склада боеприпасов, 2 зенитных орудия, 12 автомашин, 4 зенитных пулеметных уста</w:t>
      </w:r>
      <w:r w:rsidRPr="00271E51">
        <w:rPr>
          <w:color w:val="000000" w:themeColor="text1"/>
          <w:sz w:val="16"/>
          <w:szCs w:val="16"/>
        </w:rPr>
        <w:softHyphen/>
        <w:t>новок, создано 18 очагов пожара в районе скопле</w:t>
      </w:r>
      <w:r w:rsidRPr="00271E51">
        <w:rPr>
          <w:color w:val="000000" w:themeColor="text1"/>
          <w:sz w:val="16"/>
          <w:szCs w:val="16"/>
        </w:rPr>
        <w:softHyphen/>
        <w:t>ния танков, 7 больших взрывов.</w:t>
      </w:r>
    </w:p>
    <w:p w14:paraId="5072932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Согласно выписке из оперативной сводки 2 ТА (генерал-лейтенант А. Г. Родин) от 10 июля 1943 г. (№ 380/оп): «12.30 район выс. 257.0 — Кашара — выс. 231.8 был накрыт крупными силами нашей бомбардировочной авиации. Пехотным и артилле</w:t>
      </w:r>
      <w:r w:rsidRPr="00271E51">
        <w:rPr>
          <w:color w:val="000000" w:themeColor="text1"/>
          <w:sz w:val="16"/>
          <w:szCs w:val="16"/>
        </w:rPr>
        <w:softHyphen/>
        <w:t>рийским наблюдением было установлено, что в ре</w:t>
      </w:r>
      <w:r w:rsidRPr="00271E51">
        <w:rPr>
          <w:color w:val="000000" w:themeColor="text1"/>
          <w:sz w:val="16"/>
          <w:szCs w:val="16"/>
        </w:rPr>
        <w:softHyphen/>
        <w:t>зультате бомбардировки сожжено 14 и подбито 30 танков, уничтожено большое количество пехоты. Указанные результаты не являются исчерпывающе полными, так как в этот момент наблюдение было затруднено в силу пониженной видимости и зафик</w:t>
      </w:r>
      <w:r w:rsidRPr="00271E51">
        <w:rPr>
          <w:color w:val="000000" w:themeColor="text1"/>
          <w:sz w:val="16"/>
          <w:szCs w:val="16"/>
        </w:rPr>
        <w:softHyphen/>
        <w:t>сировать удалось только то, что просматривалось непосредственно у переднего края».</w:t>
      </w:r>
    </w:p>
    <w:p w14:paraId="56841A0E"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10 июля 1943 г. Командующий 13 А генерал Пухов в боевом до</w:t>
      </w:r>
      <w:r w:rsidRPr="00271E51">
        <w:rPr>
          <w:color w:val="000000" w:themeColor="text1"/>
          <w:sz w:val="16"/>
          <w:szCs w:val="16"/>
        </w:rPr>
        <w:softHyphen/>
        <w:t>несении (№ 00190/ВС) доклады</w:t>
      </w:r>
      <w:r w:rsidRPr="00271E51">
        <w:rPr>
          <w:color w:val="000000" w:themeColor="text1"/>
          <w:sz w:val="16"/>
          <w:szCs w:val="16"/>
        </w:rPr>
        <w:softHyphen/>
        <w:t>вал: «После трех неудачных атак на участке выс. 257.0 — Кашара — выс. 231.8 противник понес большие потери в технике и живой силе, вынужден был прекратить дальнейшие атаки и отвести остат</w:t>
      </w:r>
      <w:r w:rsidRPr="00271E51">
        <w:rPr>
          <w:color w:val="000000" w:themeColor="text1"/>
          <w:sz w:val="16"/>
          <w:szCs w:val="16"/>
        </w:rPr>
        <w:softHyphen/>
        <w:t>ки своих сил к северу от Кашара, где они были ата</w:t>
      </w:r>
      <w:r w:rsidRPr="00271E51">
        <w:rPr>
          <w:color w:val="000000" w:themeColor="text1"/>
          <w:sz w:val="16"/>
          <w:szCs w:val="16"/>
        </w:rPr>
        <w:softHyphen/>
        <w:t>кованы мощным ударом нашей авиации, в резуль</w:t>
      </w:r>
      <w:r w:rsidRPr="00271E51">
        <w:rPr>
          <w:color w:val="000000" w:themeColor="text1"/>
          <w:sz w:val="16"/>
          <w:szCs w:val="16"/>
        </w:rPr>
        <w:softHyphen/>
        <w:t>тате которого было подбито и сожжено 34 танка и большое количество пехоты».</w:t>
      </w:r>
    </w:p>
    <w:p w14:paraId="24E8719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Позже эти донесения позволили штабу 16 ВА включить в отчетные документы факт уничтоже</w:t>
      </w:r>
      <w:r w:rsidRPr="00271E51">
        <w:rPr>
          <w:color w:val="000000" w:themeColor="text1"/>
          <w:sz w:val="16"/>
          <w:szCs w:val="16"/>
        </w:rPr>
        <w:softHyphen/>
        <w:t>ния 44 танков. Из этого числа 5 танков «закрепили» за бомбардировщиками (летали экипажи 3-го бак), а остальные — за штурмовиками Ил-2, применяв</w:t>
      </w:r>
      <w:r w:rsidRPr="00271E51">
        <w:rPr>
          <w:color w:val="000000" w:themeColor="text1"/>
          <w:sz w:val="16"/>
          <w:szCs w:val="16"/>
        </w:rPr>
        <w:softHyphen/>
        <w:t>шими противотанковые авиабомбы, «так как по скоплениям танков сбрасывались только ПТАБы».</w:t>
      </w:r>
    </w:p>
    <w:p w14:paraId="045A73EB"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Впоследствии специальная комиссия, обследо</w:t>
      </w:r>
      <w:r w:rsidRPr="00271E51">
        <w:rPr>
          <w:color w:val="000000" w:themeColor="text1"/>
          <w:sz w:val="16"/>
          <w:szCs w:val="16"/>
        </w:rPr>
        <w:softHyphen/>
        <w:t>вав район выс. 257.0, Кашара, выс. 231.8, обнару</w:t>
      </w:r>
      <w:r w:rsidRPr="00271E51">
        <w:rPr>
          <w:color w:val="000000" w:themeColor="text1"/>
          <w:sz w:val="16"/>
          <w:szCs w:val="16"/>
        </w:rPr>
        <w:softHyphen/>
        <w:t>жила 6 танков и 16 самоходных орудий, из которых 4 были уничтожены ПТАБами.</w:t>
      </w:r>
    </w:p>
    <w:p w14:paraId="1D1DAB7B"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Осмотр подбитой и сожженной бронетехники показал, что после попадания ПТАБ в танк в боль</w:t>
      </w:r>
      <w:r w:rsidRPr="00271E51">
        <w:rPr>
          <w:color w:val="000000" w:themeColor="text1"/>
          <w:sz w:val="16"/>
          <w:szCs w:val="16"/>
        </w:rPr>
        <w:softHyphen/>
        <w:t>шинстве случаев его нельзя восстановить: «В ре</w:t>
      </w:r>
      <w:r w:rsidRPr="00271E51">
        <w:rPr>
          <w:color w:val="000000" w:themeColor="text1"/>
          <w:sz w:val="16"/>
          <w:szCs w:val="16"/>
        </w:rPr>
        <w:softHyphen/>
        <w:t>зультате пожара уничтожается все оборудование, броня получает отжиг и теряет свои защитные свой</w:t>
      </w:r>
      <w:r w:rsidRPr="00271E51">
        <w:rPr>
          <w:color w:val="000000" w:themeColor="text1"/>
          <w:sz w:val="16"/>
          <w:szCs w:val="16"/>
        </w:rPr>
        <w:softHyphen/>
        <w:t>ства, а взрыв боеприпасов довершает уничтожение танка».</w:t>
      </w:r>
    </w:p>
    <w:p w14:paraId="16484E80"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5 км северо-восточнее ст. Поныри находи</w:t>
      </w:r>
      <w:r w:rsidRPr="00271E51">
        <w:rPr>
          <w:color w:val="000000" w:themeColor="text1"/>
          <w:sz w:val="16"/>
          <w:szCs w:val="16"/>
        </w:rPr>
        <w:softHyphen/>
        <w:t>лась немецкая САУ «Фердинанд» (зав. № 150025), уничтоженная ПТАБ. Сначала самоходка была под</w:t>
      </w:r>
      <w:r w:rsidRPr="00271E51">
        <w:rPr>
          <w:color w:val="000000" w:themeColor="text1"/>
          <w:sz w:val="16"/>
          <w:szCs w:val="16"/>
        </w:rPr>
        <w:softHyphen/>
        <w:t>бита 2 снарядами в правую ходовую часть, в ре</w:t>
      </w:r>
      <w:r w:rsidRPr="00271E51">
        <w:rPr>
          <w:color w:val="000000" w:themeColor="text1"/>
          <w:sz w:val="16"/>
          <w:szCs w:val="16"/>
        </w:rPr>
        <w:softHyphen/>
        <w:t>зультате чего одним снарядом разбита втулка оси ленивца, другим — совершенно разбит второй каток (по счету спереди) и гусеница. Вследствие разрушений ходовой части САУ потеряла способ</w:t>
      </w:r>
      <w:r w:rsidRPr="00271E51">
        <w:rPr>
          <w:color w:val="000000" w:themeColor="text1"/>
          <w:sz w:val="16"/>
          <w:szCs w:val="16"/>
        </w:rPr>
        <w:softHyphen/>
        <w:t>ность двигаться, однако продолжала вести огонь по нашим войскам, о чем свидетельствует боль</w:t>
      </w:r>
      <w:r w:rsidRPr="00271E51">
        <w:rPr>
          <w:color w:val="000000" w:themeColor="text1"/>
          <w:sz w:val="16"/>
          <w:szCs w:val="16"/>
        </w:rPr>
        <w:softHyphen/>
        <w:t>шое количество стреляных гильз вокруг пушки.</w:t>
      </w:r>
    </w:p>
    <w:p w14:paraId="6EF83C8B"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Самоходка была окончательно уничтожена прямым попада</w:t>
      </w:r>
      <w:r w:rsidRPr="00271E51">
        <w:rPr>
          <w:color w:val="000000" w:themeColor="text1"/>
          <w:sz w:val="16"/>
          <w:szCs w:val="16"/>
        </w:rPr>
        <w:softHyphen/>
        <w:t>нием противотанковой бомбы ПТАБ. Бомба попала в броне</w:t>
      </w:r>
      <w:r w:rsidRPr="00271E51">
        <w:rPr>
          <w:color w:val="000000" w:themeColor="text1"/>
          <w:sz w:val="16"/>
          <w:szCs w:val="16"/>
        </w:rPr>
        <w:softHyphen/>
        <w:t>вую крышку левого бензобака, между водителем и отсеками орудийного расчета. Угол паде</w:t>
      </w:r>
      <w:r w:rsidRPr="00271E51">
        <w:rPr>
          <w:color w:val="000000" w:themeColor="text1"/>
          <w:sz w:val="16"/>
          <w:szCs w:val="16"/>
        </w:rPr>
        <w:softHyphen/>
        <w:t>ния (угол встречи от нормали) был около 10—15°. В резуль</w:t>
      </w:r>
      <w:r w:rsidRPr="00271E51">
        <w:rPr>
          <w:color w:val="000000" w:themeColor="text1"/>
          <w:sz w:val="16"/>
          <w:szCs w:val="16"/>
        </w:rPr>
        <w:softHyphen/>
        <w:t>тате взрыва бомбы в броне- крышке люка бензобака (20 мм) образовалось сквозное отвер</w:t>
      </w:r>
      <w:r w:rsidRPr="00271E51">
        <w:rPr>
          <w:color w:val="000000" w:themeColor="text1"/>
          <w:sz w:val="16"/>
          <w:szCs w:val="16"/>
        </w:rPr>
        <w:softHyphen/>
        <w:t>стие эллипсоидальной формы. Размер входного отверстия 50x58 мм, выходного 60x62 мм. Отверстие имеет как с верхней стороны, так и с нижней вен</w:t>
      </w:r>
      <w:r w:rsidRPr="00271E51">
        <w:rPr>
          <w:color w:val="000000" w:themeColor="text1"/>
          <w:sz w:val="16"/>
          <w:szCs w:val="16"/>
        </w:rPr>
        <w:softHyphen/>
        <w:t>чик зубцов из развороченного металла размерами 4—12 мм. Броневая крышка заклинилась, выгнулась внутрь со стороны попада</w:t>
      </w:r>
      <w:r w:rsidRPr="00271E51">
        <w:rPr>
          <w:color w:val="000000" w:themeColor="text1"/>
          <w:sz w:val="16"/>
          <w:szCs w:val="16"/>
        </w:rPr>
        <w:softHyphen/>
        <w:t>ния бомбы («стрелка прогиба 5 мм»). Верхняя стен</w:t>
      </w:r>
      <w:r w:rsidRPr="00271E51">
        <w:rPr>
          <w:color w:val="000000" w:themeColor="text1"/>
          <w:sz w:val="16"/>
          <w:szCs w:val="16"/>
        </w:rPr>
        <w:softHyphen/>
        <w:t>ка бензобака находилась на расстоянии 130 мм от броневой крышки. От кумулятивной струи ПТАБ на верхней стенке бензобака образовалось отверстие размером 130x270 мм. Бензин в бензобаке воспла</w:t>
      </w:r>
      <w:r w:rsidRPr="00271E51">
        <w:rPr>
          <w:color w:val="000000" w:themeColor="text1"/>
          <w:sz w:val="16"/>
          <w:szCs w:val="16"/>
        </w:rPr>
        <w:softHyphen/>
        <w:t>менился. Самоходка сгорела.</w:t>
      </w:r>
    </w:p>
    <w:p w14:paraId="44379B9A"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Пожаром уничтожено все оборудование, взорваны боеприпасы, казенная часть орудия разрушена (снаряд остался в стволе), провалился пол. От высокой температуры броня покрылась розовой окалиной, что говорило о без</w:t>
      </w:r>
      <w:r w:rsidRPr="00271E51">
        <w:rPr>
          <w:color w:val="000000" w:themeColor="text1"/>
          <w:sz w:val="16"/>
          <w:szCs w:val="16"/>
        </w:rPr>
        <w:softHyphen/>
        <w:t>возвратных изменениях ее физико-химических свойств. «Самоходная пушка представляет собой безвозвратную потерю, так как восстановить ее не</w:t>
      </w:r>
      <w:r w:rsidRPr="00271E51">
        <w:rPr>
          <w:color w:val="000000" w:themeColor="text1"/>
          <w:sz w:val="16"/>
          <w:szCs w:val="16"/>
        </w:rPr>
        <w:softHyphen/>
        <w:t>возможно», — констатировали члены комиссии.</w:t>
      </w:r>
    </w:p>
    <w:p w14:paraId="24594D92"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Кроме попаданий, перечисленных выше, на втулке шаровой опоры пушки самоходки имелась выбоина с размерами осей 50 и 70 мм и глубиной до 15 мм. Выбоина явилась результатом попадания ПТАБ под большим углом к нормали. Вокруг САУ было много воронок от бомб калибра 50 кг и ПТАБ. Найдены части корпуса ПТАБ. Общая площадь, по</w:t>
      </w:r>
      <w:r w:rsidRPr="00271E51">
        <w:rPr>
          <w:color w:val="000000" w:themeColor="text1"/>
          <w:sz w:val="16"/>
          <w:szCs w:val="16"/>
        </w:rPr>
        <w:softHyphen/>
        <w:t>крытая воронками ПТАБ, имела размер 200x120 м, плотность воронок (удаление друг от друга) — от 2 до 30 м.</w:t>
      </w:r>
    </w:p>
    <w:p w14:paraId="11019FBA"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Еще 2 сгоревших «Фердинанда» были найдены в 1,5 км восточнее Бузулука и в 1,5 км севернее ст. Поныри, а в районе выс. 257.1 восточнее ст. Поны ри обнаружено разрушенное в результате взрыва боекомплекта штурмовое орудие на базе танка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IV</w:t>
      </w:r>
      <w:r w:rsidRPr="00271E51">
        <w:rPr>
          <w:color w:val="000000" w:themeColor="text1"/>
          <w:sz w:val="16"/>
          <w:szCs w:val="16"/>
        </w:rPr>
        <w:t>. Вокруг самоходок имелось много мелких во</w:t>
      </w:r>
      <w:r w:rsidRPr="00271E51">
        <w:rPr>
          <w:color w:val="000000" w:themeColor="text1"/>
          <w:sz w:val="16"/>
          <w:szCs w:val="16"/>
        </w:rPr>
        <w:softHyphen/>
        <w:t>ронок от разрывов ПТАБ.</w:t>
      </w:r>
    </w:p>
    <w:p w14:paraId="06595334"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В районе дер. Алисово (12 км северо-западнее ж.-д. ст. Хотынец) обнаружен танк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V</w:t>
      </w:r>
      <w:r w:rsidRPr="00271E51">
        <w:rPr>
          <w:color w:val="000000" w:themeColor="text1"/>
          <w:sz w:val="16"/>
          <w:szCs w:val="16"/>
        </w:rPr>
        <w:t xml:space="preserve"> («Пантера»), уничтоженный в результате попадания 3 ПТАБ. Бом</w:t>
      </w:r>
      <w:r w:rsidRPr="00271E51">
        <w:rPr>
          <w:color w:val="000000" w:themeColor="text1"/>
          <w:sz w:val="16"/>
          <w:szCs w:val="16"/>
        </w:rPr>
        <w:softHyphen/>
        <w:t>бы попали в наклонный 45-мм броневой пояс кор</w:t>
      </w:r>
      <w:r w:rsidRPr="00271E51">
        <w:rPr>
          <w:color w:val="000000" w:themeColor="text1"/>
          <w:sz w:val="16"/>
          <w:szCs w:val="16"/>
        </w:rPr>
        <w:softHyphen/>
        <w:t>пуса танка под основанием башни. Пробил броню. Танк сгорел.</w:t>
      </w:r>
    </w:p>
    <w:p w14:paraId="2BD9A0F2"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1 км севернее от дер. Драгунское (10 км се</w:t>
      </w:r>
      <w:r w:rsidRPr="00271E51">
        <w:rPr>
          <w:color w:val="000000" w:themeColor="text1"/>
          <w:sz w:val="16"/>
          <w:szCs w:val="16"/>
        </w:rPr>
        <w:softHyphen/>
        <w:t>вернее Томаровки) около дороги было обнаруже</w:t>
      </w:r>
      <w:r w:rsidRPr="00271E51">
        <w:rPr>
          <w:color w:val="000000" w:themeColor="text1"/>
          <w:sz w:val="16"/>
          <w:szCs w:val="16"/>
        </w:rPr>
        <w:softHyphen/>
        <w:t xml:space="preserve">но 6 танков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V</w:t>
      </w:r>
      <w:r w:rsidRPr="00271E51">
        <w:rPr>
          <w:color w:val="000000" w:themeColor="text1"/>
          <w:sz w:val="16"/>
          <w:szCs w:val="16"/>
        </w:rPr>
        <w:t>, уничтоженных бомбами ПТАБ. Вся земля вокруг танков «густо покрыта мелкими во</w:t>
      </w:r>
      <w:r w:rsidRPr="00271E51">
        <w:rPr>
          <w:color w:val="000000" w:themeColor="text1"/>
          <w:sz w:val="16"/>
          <w:szCs w:val="16"/>
        </w:rPr>
        <w:softHyphen/>
        <w:t>ронками диаметром 0,4—0,6 м и глубиной 0,2 м», и, кроме того, «метрах в 100 лежит сбитый Ил-2». Все 6 танков сгорели. В четырех из них произошел взрыв боекомплекта.</w:t>
      </w:r>
    </w:p>
    <w:p w14:paraId="57004073"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 одного из этих танков в крыше башни име</w:t>
      </w:r>
      <w:r w:rsidRPr="00271E51">
        <w:rPr>
          <w:color w:val="000000" w:themeColor="text1"/>
          <w:sz w:val="16"/>
          <w:szCs w:val="16"/>
        </w:rPr>
        <w:softHyphen/>
        <w:t>лись 2 сквозных пробоины диаметром 30—35 мм, сорван верхний люк и отброшен на 5 м от танка. У второго, также в крыше башни, был косой пролом длиной 750 мм и шириной 150 мм. Края пролома имели цвет побежалости длиной 50 мм, что указы</w:t>
      </w:r>
      <w:r w:rsidRPr="00271E51">
        <w:rPr>
          <w:color w:val="000000" w:themeColor="text1"/>
          <w:sz w:val="16"/>
          <w:szCs w:val="16"/>
        </w:rPr>
        <w:softHyphen/>
        <w:t>вает на прохождение кумулятивной струи ПТАБ. По сварке крыши с бортами проходят большие трещи</w:t>
      </w:r>
      <w:r w:rsidRPr="00271E51">
        <w:rPr>
          <w:color w:val="000000" w:themeColor="text1"/>
          <w:sz w:val="16"/>
          <w:szCs w:val="16"/>
        </w:rPr>
        <w:softHyphen/>
        <w:t>ны до 10 мм толщиной. Заметно прохождение куму</w:t>
      </w:r>
      <w:r w:rsidRPr="00271E51">
        <w:rPr>
          <w:color w:val="000000" w:themeColor="text1"/>
          <w:sz w:val="16"/>
          <w:szCs w:val="16"/>
        </w:rPr>
        <w:softHyphen/>
        <w:t>лятивной струи ПТАБ по задней стенке башни через загибы бронелистов. Две других танка имели более значительные повреждения. У них были сорваны крыша с башней и пушкой, которые валялись рядом на земле. Оба тан</w:t>
      </w:r>
      <w:r w:rsidRPr="00271E51">
        <w:rPr>
          <w:color w:val="000000" w:themeColor="text1"/>
          <w:sz w:val="16"/>
          <w:szCs w:val="16"/>
        </w:rPr>
        <w:softHyphen/>
        <w:t>ка сгорели с взрывом боеприпасов. Крыши двух последних танков были пробиты ПТАБ, после чего произо</w:t>
      </w:r>
      <w:r w:rsidRPr="00271E51">
        <w:rPr>
          <w:color w:val="000000" w:themeColor="text1"/>
          <w:sz w:val="16"/>
          <w:szCs w:val="16"/>
        </w:rPr>
        <w:softHyphen/>
        <w:t>шел взрыв боеприпасов. Танки сго</w:t>
      </w:r>
      <w:r w:rsidRPr="00271E51">
        <w:rPr>
          <w:color w:val="000000" w:themeColor="text1"/>
          <w:sz w:val="16"/>
          <w:szCs w:val="16"/>
        </w:rPr>
        <w:softHyphen/>
        <w:t>рели.</w:t>
      </w:r>
    </w:p>
    <w:p w14:paraId="3FB56221"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Высокая эффективность ПТАБ по бронетехнике получила и со</w:t>
      </w:r>
      <w:r w:rsidRPr="00271E51">
        <w:rPr>
          <w:color w:val="000000" w:themeColor="text1"/>
          <w:sz w:val="16"/>
          <w:szCs w:val="16"/>
        </w:rPr>
        <w:softHyphen/>
        <w:t>вершенно неожиданное подтверж</w:t>
      </w:r>
      <w:r w:rsidRPr="00271E51">
        <w:rPr>
          <w:color w:val="000000" w:themeColor="text1"/>
          <w:sz w:val="16"/>
          <w:szCs w:val="16"/>
        </w:rPr>
        <w:softHyphen/>
        <w:t>дение. В полосе наступления 380-й стрелковой дивизии Брянского фронта в районе д. Подмаслово наша танковая рота по ошибке по</w:t>
      </w:r>
      <w:r w:rsidRPr="00271E51">
        <w:rPr>
          <w:color w:val="000000" w:themeColor="text1"/>
          <w:sz w:val="16"/>
          <w:szCs w:val="16"/>
        </w:rPr>
        <w:softHyphen/>
        <w:t>пала под удар своих штурмовиков Ил-2. В результате один танк Т-34 от прямого попадания ПТАБ был полностью унич</w:t>
      </w:r>
      <w:r w:rsidRPr="00271E51">
        <w:rPr>
          <w:color w:val="000000" w:themeColor="text1"/>
          <w:sz w:val="16"/>
          <w:szCs w:val="16"/>
        </w:rPr>
        <w:softHyphen/>
        <w:t>тожен: оказался разбитым «на несколько частей». Работавшая на месте удара комиссия зафиксиро</w:t>
      </w:r>
      <w:r w:rsidRPr="00271E51">
        <w:rPr>
          <w:color w:val="000000" w:themeColor="text1"/>
          <w:sz w:val="16"/>
          <w:szCs w:val="16"/>
        </w:rPr>
        <w:softHyphen/>
        <w:t>вала «вокруг танка /.../ семь воронок, а также /.../ контрящие вилки от ПТАБ-2,5-1,5».</w:t>
      </w:r>
    </w:p>
    <w:p w14:paraId="2C826A79"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Из документов следует, что штурмовиками в этом же районе были подбиты и 2 тяжелых танка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VI</w:t>
      </w:r>
      <w:r w:rsidRPr="00271E51">
        <w:rPr>
          <w:color w:val="000000" w:themeColor="text1"/>
          <w:sz w:val="16"/>
          <w:szCs w:val="16"/>
        </w:rPr>
        <w:t xml:space="preserve"> «Тигр». По всей видимости, отличились летчи</w:t>
      </w:r>
      <w:r w:rsidRPr="00271E51">
        <w:rPr>
          <w:color w:val="000000" w:themeColor="text1"/>
          <w:sz w:val="16"/>
          <w:szCs w:val="16"/>
        </w:rPr>
        <w:softHyphen/>
        <w:t>ки из состава четверки Ил-2 от 614-го шап (ведущий капитан Чубук) 225-й шад, которые 15 июля штур</w:t>
      </w:r>
      <w:r w:rsidRPr="00271E51">
        <w:rPr>
          <w:color w:val="000000" w:themeColor="text1"/>
          <w:sz w:val="16"/>
          <w:szCs w:val="16"/>
        </w:rPr>
        <w:softHyphen/>
        <w:t>мовали контратакующие немецкие танки — до 25 машин, в том числе около 10 «Тигров». Бомбомета</w:t>
      </w:r>
      <w:r w:rsidRPr="00271E51">
        <w:rPr>
          <w:color w:val="000000" w:themeColor="text1"/>
          <w:sz w:val="16"/>
          <w:szCs w:val="16"/>
        </w:rPr>
        <w:softHyphen/>
        <w:t>ние производилось с горизонтального полета с вы</w:t>
      </w:r>
      <w:r w:rsidRPr="00271E51">
        <w:rPr>
          <w:color w:val="000000" w:themeColor="text1"/>
          <w:sz w:val="16"/>
          <w:szCs w:val="16"/>
        </w:rPr>
        <w:softHyphen/>
        <w:t>соты 130—150 м. Всего было сброшено 1190 ПТАБ. Экипажи доложили об уничтожении 7 танков, в том числе 4 тяжелых.</w:t>
      </w:r>
    </w:p>
    <w:p w14:paraId="223B7FAC"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Превосходные отзывы из действующей армии позволили инженер-майору И. В. Пименову до</w:t>
      </w:r>
      <w:r w:rsidRPr="00271E51">
        <w:rPr>
          <w:color w:val="000000" w:themeColor="text1"/>
          <w:sz w:val="16"/>
          <w:szCs w:val="16"/>
        </w:rPr>
        <w:softHyphen/>
        <w:t>ложить командованию, что «бомбометание ПТАБ устранило основную причину низкой эффективно</w:t>
      </w:r>
      <w:r w:rsidRPr="00271E51">
        <w:rPr>
          <w:color w:val="000000" w:themeColor="text1"/>
          <w:sz w:val="16"/>
          <w:szCs w:val="16"/>
        </w:rPr>
        <w:softHyphen/>
        <w:t>сти действия авиации по танкам фугасными и оско</w:t>
      </w:r>
      <w:r w:rsidRPr="00271E51">
        <w:rPr>
          <w:color w:val="000000" w:themeColor="text1"/>
          <w:sz w:val="16"/>
          <w:szCs w:val="16"/>
        </w:rPr>
        <w:softHyphen/>
        <w:t>лочными бомбами — малую вероятность попада</w:t>
      </w:r>
      <w:r w:rsidRPr="00271E51">
        <w:rPr>
          <w:color w:val="000000" w:themeColor="text1"/>
          <w:sz w:val="16"/>
          <w:szCs w:val="16"/>
        </w:rPr>
        <w:softHyphen/>
        <w:t>ния в приведенную площадь танка (площадь цели с учетом радиуса поражения бомбы). Полоса раз</w:t>
      </w:r>
      <w:r w:rsidRPr="00271E51">
        <w:rPr>
          <w:color w:val="000000" w:themeColor="text1"/>
          <w:sz w:val="16"/>
          <w:szCs w:val="16"/>
        </w:rPr>
        <w:softHyphen/>
        <w:t>рывов ПТАБ перекрывает 2—3 танка на удалении 60—75 м друг от друга, то есть создается высокая плотность разрывов. Поэтому в результате дей</w:t>
      </w:r>
      <w:r w:rsidRPr="00271E51">
        <w:rPr>
          <w:color w:val="000000" w:themeColor="text1"/>
          <w:sz w:val="16"/>
          <w:szCs w:val="16"/>
        </w:rPr>
        <w:softHyphen/>
        <w:t>ствия авиации по рассредоточенным боевым по рядкам и колоннам танков противника последние обычно несли большие потери».</w:t>
      </w:r>
    </w:p>
    <w:p w14:paraId="5F9DA98C"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«Нужно перейти к массовому их изготовлению и самому широкому применению при нападениях на мотомехвойска противника, на его ж.-д. транс</w:t>
      </w:r>
      <w:r w:rsidRPr="00271E51">
        <w:rPr>
          <w:color w:val="000000" w:themeColor="text1"/>
          <w:sz w:val="16"/>
          <w:szCs w:val="16"/>
        </w:rPr>
        <w:softHyphen/>
        <w:t>порт, при ударах по переправам, по огневым по</w:t>
      </w:r>
      <w:r w:rsidRPr="00271E51">
        <w:rPr>
          <w:color w:val="000000" w:themeColor="text1"/>
          <w:sz w:val="16"/>
          <w:szCs w:val="16"/>
        </w:rPr>
        <w:softHyphen/>
        <w:t>зициям артиллерии и т.п. целям; все эти цели с успехом поражаются ПТАБами», — делал вывод начальник Оперативного управления штаба ВВС КА генерал-майор Н. А. Журавлев.</w:t>
      </w:r>
    </w:p>
    <w:p w14:paraId="3E7E4550"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сожалению, без недостатков не обошлось. Взрыватель ПТАБ оказался очень чувствительным и срабатывал при ударе о вершины и сучья дере</w:t>
      </w:r>
      <w:r w:rsidRPr="00271E51">
        <w:rPr>
          <w:color w:val="000000" w:themeColor="text1"/>
          <w:sz w:val="16"/>
          <w:szCs w:val="16"/>
        </w:rPr>
        <w:softHyphen/>
        <w:t>вьев и другие легкие преграды. При этом стоявшая под ними бронетехника не поражалась. Чем, соб</w:t>
      </w:r>
      <w:r w:rsidRPr="00271E51">
        <w:rPr>
          <w:color w:val="000000" w:themeColor="text1"/>
          <w:sz w:val="16"/>
          <w:szCs w:val="16"/>
        </w:rPr>
        <w:softHyphen/>
        <w:t>ственно, и стали пользоваться немецкие танкисты в дальнейшем, располагая свои танки в густом лесу или под навесами. Уже с августа месяца в докумен</w:t>
      </w:r>
      <w:r w:rsidRPr="00271E51">
        <w:rPr>
          <w:color w:val="000000" w:themeColor="text1"/>
          <w:sz w:val="16"/>
          <w:szCs w:val="16"/>
        </w:rPr>
        <w:softHyphen/>
        <w:t>тах частей и соединений стали отмечаться случаи использования противником для защиты своих танков обычной металлической сетки, натянутой поверх танка. При попадании в сетку ПТАБ подры</w:t>
      </w:r>
      <w:r w:rsidRPr="00271E51">
        <w:rPr>
          <w:color w:val="000000" w:themeColor="text1"/>
          <w:sz w:val="16"/>
          <w:szCs w:val="16"/>
        </w:rPr>
        <w:softHyphen/>
        <w:t>валась, и кумулятивная струя формировалась на большом удалении от брони, не нанося ей никако</w:t>
      </w:r>
      <w:r w:rsidRPr="00271E51">
        <w:rPr>
          <w:color w:val="000000" w:themeColor="text1"/>
          <w:sz w:val="16"/>
          <w:szCs w:val="16"/>
        </w:rPr>
        <w:softHyphen/>
        <w:t>го поражения.</w:t>
      </w:r>
    </w:p>
    <w:p w14:paraId="0D35E5A8"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Крыльчатка предохранительного механизма взрывателя АД-А в полете сворачивалась слишком быстро, и взрыватель вставал на боевой взвод, ког</w:t>
      </w:r>
      <w:r w:rsidRPr="00271E51">
        <w:rPr>
          <w:color w:val="000000" w:themeColor="text1"/>
          <w:sz w:val="16"/>
          <w:szCs w:val="16"/>
        </w:rPr>
        <w:softHyphen/>
        <w:t>да бомба еще находилась в опасной близости от самолета. При столкновении бомб между собой, особенно при залповом сбросе, или при резком торможении бомб от набегающего потока воздуха имели место подрывы бомб недалеко от самолета.</w:t>
      </w:r>
    </w:p>
    <w:p w14:paraId="67B81E78"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Более того, ПТАБ в окончательно снаряженном виде срабатывали при их транспортировке на аэ</w:t>
      </w:r>
      <w:r w:rsidRPr="00271E51">
        <w:rPr>
          <w:color w:val="000000" w:themeColor="text1"/>
          <w:sz w:val="16"/>
          <w:szCs w:val="16"/>
        </w:rPr>
        <w:softHyphen/>
        <w:t>родром при случайном ударе или падении на зем</w:t>
      </w:r>
      <w:r w:rsidRPr="00271E51">
        <w:rPr>
          <w:color w:val="000000" w:themeColor="text1"/>
          <w:sz w:val="16"/>
          <w:szCs w:val="16"/>
        </w:rPr>
        <w:softHyphen/>
        <w:t>лю (с высоты 1,5 м). При этом отмечались случаи гибели и ранения технического состава. Серьезно страдала и материальная часть самолетов. Дело в том, что при отворачивании на несколько оборо</w:t>
      </w:r>
      <w:r w:rsidRPr="00271E51">
        <w:rPr>
          <w:color w:val="000000" w:themeColor="text1"/>
          <w:sz w:val="16"/>
          <w:szCs w:val="16"/>
        </w:rPr>
        <w:softHyphen/>
        <w:t>тов крыльчатки, например от тряски, ударник по</w:t>
      </w:r>
      <w:r w:rsidRPr="00271E51">
        <w:rPr>
          <w:color w:val="000000" w:themeColor="text1"/>
          <w:sz w:val="16"/>
          <w:szCs w:val="16"/>
        </w:rPr>
        <w:softHyphen/>
        <w:t>лучал люфт, достаточный для накалывания жалом капсюля-детонатора.</w:t>
      </w:r>
    </w:p>
    <w:p w14:paraId="1D75C38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Сказывались и нарушения в технологии произ</w:t>
      </w:r>
      <w:r w:rsidRPr="00271E51">
        <w:rPr>
          <w:color w:val="000000" w:themeColor="text1"/>
          <w:sz w:val="16"/>
          <w:szCs w:val="16"/>
        </w:rPr>
        <w:softHyphen/>
        <w:t>водства взрывателей. Вследствие грубой обработки деталей взрывателя и значительных люфтов крыль</w:t>
      </w:r>
      <w:r w:rsidRPr="00271E51">
        <w:rPr>
          <w:color w:val="000000" w:themeColor="text1"/>
          <w:sz w:val="16"/>
          <w:szCs w:val="16"/>
        </w:rPr>
        <w:softHyphen/>
        <w:t>чатку нередко заклинивало. Клинило крыльчатку и в случае касания ее лопастей коробки стабилиза</w:t>
      </w:r>
      <w:r w:rsidRPr="00271E51">
        <w:rPr>
          <w:color w:val="000000" w:themeColor="text1"/>
          <w:sz w:val="16"/>
          <w:szCs w:val="16"/>
        </w:rPr>
        <w:softHyphen/>
        <w:t>тора бомбы из-за нарушения соосности стабилиза</w:t>
      </w:r>
      <w:r w:rsidRPr="00271E51">
        <w:rPr>
          <w:color w:val="000000" w:themeColor="text1"/>
          <w:sz w:val="16"/>
          <w:szCs w:val="16"/>
        </w:rPr>
        <w:softHyphen/>
        <w:t>тора и корпуса бомбы при монтаже или по причине деформации стаби</w:t>
      </w:r>
      <w:r w:rsidRPr="00271E51">
        <w:rPr>
          <w:color w:val="000000" w:themeColor="text1"/>
          <w:sz w:val="16"/>
          <w:szCs w:val="16"/>
        </w:rPr>
        <w:softHyphen/>
        <w:t>лизатора в ходе эксплуатации.</w:t>
      </w:r>
    </w:p>
    <w:p w14:paraId="49DAD50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Выявились недостатки универ</w:t>
      </w:r>
      <w:r w:rsidRPr="00271E51">
        <w:rPr>
          <w:color w:val="000000" w:themeColor="text1"/>
          <w:sz w:val="16"/>
          <w:szCs w:val="16"/>
        </w:rPr>
        <w:softHyphen/>
        <w:t>сальных бомбоотсеков Ил-2 — ПТАБ иногда зависали при сбросе в отсеках с последующим выпаде</w:t>
      </w:r>
      <w:r w:rsidRPr="00271E51">
        <w:rPr>
          <w:color w:val="000000" w:themeColor="text1"/>
          <w:sz w:val="16"/>
          <w:szCs w:val="16"/>
        </w:rPr>
        <w:softHyphen/>
        <w:t>нием их при посадке и взрывом под фюзеляжем, приводившим к тяже</w:t>
      </w:r>
      <w:r w:rsidRPr="00271E51">
        <w:rPr>
          <w:color w:val="000000" w:themeColor="text1"/>
          <w:sz w:val="16"/>
          <w:szCs w:val="16"/>
        </w:rPr>
        <w:softHyphen/>
        <w:t>лым последствиям (разрушение са</w:t>
      </w:r>
      <w:r w:rsidRPr="00271E51">
        <w:rPr>
          <w:color w:val="000000" w:themeColor="text1"/>
          <w:sz w:val="16"/>
          <w:szCs w:val="16"/>
        </w:rPr>
        <w:softHyphen/>
        <w:t>молета, ранения и гибель экипажа).</w:t>
      </w:r>
    </w:p>
    <w:p w14:paraId="6B2B563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загрузке в каждую кассету 78 бомб, согласно инструкции по эксплуатации, «концы створок, смо трящие к хвосту самолета, провиса</w:t>
      </w:r>
      <w:r w:rsidRPr="00271E51">
        <w:rPr>
          <w:color w:val="000000" w:themeColor="text1"/>
          <w:sz w:val="16"/>
          <w:szCs w:val="16"/>
        </w:rPr>
        <w:softHyphen/>
        <w:t>ют от неравномерного расположе</w:t>
      </w:r>
      <w:r w:rsidRPr="00271E51">
        <w:rPr>
          <w:color w:val="000000" w:themeColor="text1"/>
          <w:sz w:val="16"/>
          <w:szCs w:val="16"/>
        </w:rPr>
        <w:softHyphen/>
        <w:t>ния на них груза, /.../ при плохом же аэродроме /.../ отдельные ави</w:t>
      </w:r>
      <w:r w:rsidRPr="00271E51">
        <w:rPr>
          <w:color w:val="000000" w:themeColor="text1"/>
          <w:sz w:val="16"/>
          <w:szCs w:val="16"/>
        </w:rPr>
        <w:softHyphen/>
        <w:t>абомбы могут выпасть».</w:t>
      </w:r>
    </w:p>
    <w:p w14:paraId="789772AA"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войсковые специали</w:t>
      </w:r>
      <w:r w:rsidRPr="00271E51">
        <w:rPr>
          <w:color w:val="000000" w:themeColor="text1"/>
          <w:sz w:val="16"/>
          <w:szCs w:val="16"/>
        </w:rPr>
        <w:softHyphen/>
        <w:t>сты отмечали значительное вре</w:t>
      </w:r>
      <w:r w:rsidRPr="00271E51">
        <w:rPr>
          <w:color w:val="000000" w:themeColor="text1"/>
          <w:sz w:val="16"/>
          <w:szCs w:val="16"/>
        </w:rPr>
        <w:softHyphen/>
        <w:t>мя, затрачиваемое на снаряжение бомб взрывателями. Действитель</w:t>
      </w:r>
      <w:r w:rsidRPr="00271E51">
        <w:rPr>
          <w:color w:val="000000" w:themeColor="text1"/>
          <w:sz w:val="16"/>
          <w:szCs w:val="16"/>
        </w:rPr>
        <w:softHyphen/>
        <w:t>но, конструкция стабилизатора не позволяла завинчивать взрыватель одной рукой. Эту операцию при</w:t>
      </w:r>
      <w:r w:rsidRPr="00271E51">
        <w:rPr>
          <w:color w:val="000000" w:themeColor="text1"/>
          <w:sz w:val="16"/>
          <w:szCs w:val="16"/>
        </w:rPr>
        <w:softHyphen/>
        <w:t>ходилось выполнять двумя руками, зажимая бомбу коленями.</w:t>
      </w:r>
    </w:p>
    <w:p w14:paraId="6516D92B"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Имелись и недочеты тактиче</w:t>
      </w:r>
      <w:r w:rsidRPr="00271E51">
        <w:rPr>
          <w:color w:val="000000" w:themeColor="text1"/>
          <w:sz w:val="16"/>
          <w:szCs w:val="16"/>
        </w:rPr>
        <w:softHyphen/>
        <w:t>ского характера, также «снижаю</w:t>
      </w:r>
      <w:r w:rsidRPr="00271E51">
        <w:rPr>
          <w:color w:val="000000" w:themeColor="text1"/>
          <w:sz w:val="16"/>
          <w:szCs w:val="16"/>
        </w:rPr>
        <w:softHyphen/>
        <w:t>щие эффективность авиации при действии по танкам».</w:t>
      </w:r>
    </w:p>
    <w:p w14:paraId="389638BD"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Выделяемый наряд сил само</w:t>
      </w:r>
      <w:r w:rsidRPr="00271E51">
        <w:rPr>
          <w:color w:val="000000" w:themeColor="text1"/>
          <w:sz w:val="16"/>
          <w:szCs w:val="16"/>
        </w:rPr>
        <w:softHyphen/>
        <w:t>летов с ПТАБ для удара по установ</w:t>
      </w:r>
      <w:r w:rsidRPr="00271E51">
        <w:rPr>
          <w:color w:val="000000" w:themeColor="text1"/>
          <w:sz w:val="16"/>
          <w:szCs w:val="16"/>
        </w:rPr>
        <w:softHyphen/>
        <w:t>ленному разведкой скоплению тан</w:t>
      </w:r>
      <w:r w:rsidRPr="00271E51">
        <w:rPr>
          <w:color w:val="000000" w:themeColor="text1"/>
          <w:sz w:val="16"/>
          <w:szCs w:val="16"/>
        </w:rPr>
        <w:softHyphen/>
        <w:t>ков не всегда был достаточным для надежного поражения цели. Это приводило к необходимости нане</w:t>
      </w:r>
      <w:r w:rsidRPr="00271E51">
        <w:rPr>
          <w:color w:val="000000" w:themeColor="text1"/>
          <w:sz w:val="16"/>
          <w:szCs w:val="16"/>
        </w:rPr>
        <w:softHyphen/>
        <w:t>сения повторных ударов. Но танки к этому времени успевали рассре</w:t>
      </w:r>
      <w:r w:rsidRPr="00271E51">
        <w:rPr>
          <w:color w:val="000000" w:themeColor="text1"/>
          <w:sz w:val="16"/>
          <w:szCs w:val="16"/>
        </w:rPr>
        <w:softHyphen/>
        <w:t>доточиться — «отсюда большой расход средств при минимальной эффективности».</w:t>
      </w:r>
    </w:p>
    <w:p w14:paraId="760B76A2"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Опыт показывал, что наилучшие результаты получались при сбрасывании ПТАБ с высоты 300— 400 м на выводе из пикирования (под углом 25— 30°) или с высоты 100—200 м при горизонтальном полете. Сбрасывание с высоты 500 м и выше давало слишком большой разброс бомб. Плотность раз</w:t>
      </w:r>
      <w:r w:rsidRPr="00271E51">
        <w:rPr>
          <w:color w:val="000000" w:themeColor="text1"/>
          <w:sz w:val="16"/>
          <w:szCs w:val="16"/>
        </w:rPr>
        <w:softHyphen/>
        <w:t>рывов оказывалась недостаточной, и вероятность прямого попадания бомбы в танк или другую то</w:t>
      </w:r>
      <w:r w:rsidRPr="00271E51">
        <w:rPr>
          <w:color w:val="000000" w:themeColor="text1"/>
          <w:sz w:val="16"/>
          <w:szCs w:val="16"/>
        </w:rPr>
        <w:softHyphen/>
        <w:t>чечную цель уменьшается, хотя цель и перекрыва</w:t>
      </w:r>
      <w:r w:rsidRPr="00271E51">
        <w:rPr>
          <w:color w:val="000000" w:themeColor="text1"/>
          <w:sz w:val="16"/>
          <w:szCs w:val="16"/>
        </w:rPr>
        <w:softHyphen/>
        <w:t>ется площадью рассеивания бомб («так как крайние бомбы полосы рассеивания падали на расстоянии 30—40 м одна от другой»).</w:t>
      </w:r>
    </w:p>
    <w:p w14:paraId="30D32C19"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Площадь рассеивания бомб ПТАБ при сбрасы</w:t>
      </w:r>
      <w:r w:rsidRPr="00271E51">
        <w:rPr>
          <w:color w:val="000000" w:themeColor="text1"/>
          <w:sz w:val="16"/>
          <w:szCs w:val="16"/>
        </w:rPr>
        <w:softHyphen/>
        <w:t>вании с самолета Ил-2 с планирования с высоты 300 м колеблется от 80x25 м до 100x35 м, при вы</w:t>
      </w:r>
      <w:r w:rsidRPr="00271E51">
        <w:rPr>
          <w:color w:val="000000" w:themeColor="text1"/>
          <w:sz w:val="16"/>
          <w:szCs w:val="16"/>
        </w:rPr>
        <w:softHyphen/>
        <w:t>соте 500—600 м — от 140x45 м до 170x50 м.</w:t>
      </w:r>
    </w:p>
    <w:p w14:paraId="304F8FAD"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том случае, когда ПТАБ применялись с высоты 500—600 м на выводе из планирования по скопле</w:t>
      </w:r>
      <w:r w:rsidRPr="00271E51">
        <w:rPr>
          <w:color w:val="000000" w:themeColor="text1"/>
          <w:sz w:val="16"/>
          <w:szCs w:val="16"/>
        </w:rPr>
        <w:softHyphen/>
        <w:t>нию танков, рассредоточенных один от другого на расстоянии 70—75 м, эллипс рассеивания, как по</w:t>
      </w:r>
      <w:r w:rsidRPr="00271E51">
        <w:rPr>
          <w:color w:val="000000" w:themeColor="text1"/>
          <w:sz w:val="16"/>
          <w:szCs w:val="16"/>
        </w:rPr>
        <w:softHyphen/>
        <w:t>казывает летный состав и контролирующие офице</w:t>
      </w:r>
      <w:r w:rsidRPr="00271E51">
        <w:rPr>
          <w:color w:val="000000" w:themeColor="text1"/>
          <w:sz w:val="16"/>
          <w:szCs w:val="16"/>
        </w:rPr>
        <w:softHyphen/>
        <w:t>ры, перекрывал 2—3 танка. Распределение точек разрыва по площади эллипса рассеивания нерав</w:t>
      </w:r>
      <w:r w:rsidRPr="00271E51">
        <w:rPr>
          <w:color w:val="000000" w:themeColor="text1"/>
          <w:sz w:val="16"/>
          <w:szCs w:val="16"/>
        </w:rPr>
        <w:softHyphen/>
        <w:t>номерное — расстояние между точками падения бомб колеблется от 2 до 30—40 м.</w:t>
      </w:r>
    </w:p>
    <w:p w14:paraId="7747BC75"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Считалось, что при действии Ил-2 с планирова</w:t>
      </w:r>
      <w:r w:rsidRPr="00271E51">
        <w:rPr>
          <w:color w:val="000000" w:themeColor="text1"/>
          <w:sz w:val="16"/>
          <w:szCs w:val="16"/>
        </w:rPr>
        <w:softHyphen/>
        <w:t>ния бомбами ПТАБ с высоты 300—400 м расчетная норма поражения танков одиночных или в груп</w:t>
      </w:r>
      <w:r w:rsidRPr="00271E51">
        <w:rPr>
          <w:color w:val="000000" w:themeColor="text1"/>
          <w:sz w:val="16"/>
          <w:szCs w:val="16"/>
        </w:rPr>
        <w:softHyphen/>
        <w:t>пе, но рассредоточенных на интервалах и дис</w:t>
      </w:r>
      <w:r w:rsidRPr="00271E51">
        <w:rPr>
          <w:color w:val="000000" w:themeColor="text1"/>
          <w:sz w:val="16"/>
          <w:szCs w:val="16"/>
        </w:rPr>
        <w:softHyphen/>
        <w:t>танциях больших, чем оси рассеивания ПТАБ, со</w:t>
      </w:r>
      <w:r w:rsidRPr="00271E51">
        <w:rPr>
          <w:color w:val="000000" w:themeColor="text1"/>
          <w:sz w:val="16"/>
          <w:szCs w:val="16"/>
        </w:rPr>
        <w:softHyphen/>
        <w:t>ставляет один штурмовик на один танк (200 бомб на Ил-2).</w:t>
      </w:r>
    </w:p>
    <w:p w14:paraId="1615C1D4"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действиях по плотному скоплению танков у мест заправок, у переправ, при выгрузке из эше</w:t>
      </w:r>
      <w:r w:rsidRPr="00271E51">
        <w:rPr>
          <w:color w:val="000000" w:themeColor="text1"/>
          <w:sz w:val="16"/>
          <w:szCs w:val="16"/>
        </w:rPr>
        <w:softHyphen/>
        <w:t>лонов, на исходных позициях для атаки и в других случаях, когда удаление танков друг от друга не превосходит ширины эллипса рассеивания одной кассеты (25—30 м), бомбометание производят по всей площади, занятой целью. При большем рас</w:t>
      </w:r>
      <w:r w:rsidRPr="00271E51">
        <w:rPr>
          <w:color w:val="000000" w:themeColor="text1"/>
          <w:sz w:val="16"/>
          <w:szCs w:val="16"/>
        </w:rPr>
        <w:softHyphen/>
        <w:t>средоточении танков бомбометание производят по отдельным танкам или отдельным скоплениям вну</w:t>
      </w:r>
      <w:r w:rsidRPr="00271E51">
        <w:rPr>
          <w:color w:val="000000" w:themeColor="text1"/>
          <w:sz w:val="16"/>
          <w:szCs w:val="16"/>
        </w:rPr>
        <w:softHyphen/>
        <w:t>три группы. В обоих случаях временной интервал открытия кассет составляет 0,5 с.</w:t>
      </w:r>
    </w:p>
    <w:p w14:paraId="5BB99617"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Оправившись от шока, немецкие танкисты вско</w:t>
      </w:r>
      <w:r w:rsidRPr="00271E51">
        <w:rPr>
          <w:color w:val="000000" w:themeColor="text1"/>
          <w:sz w:val="16"/>
          <w:szCs w:val="16"/>
        </w:rPr>
        <w:softHyphen/>
        <w:t>ре перешли к рассредоточенным походным и пред</w:t>
      </w:r>
      <w:r w:rsidRPr="00271E51">
        <w:rPr>
          <w:color w:val="000000" w:themeColor="text1"/>
          <w:sz w:val="16"/>
          <w:szCs w:val="16"/>
        </w:rPr>
        <w:softHyphen/>
        <w:t>боевым порядкам. Естественно, это затруднило управление танковыми частями, увеличило сроки их развертывания, сосредоточения, усложнило вза</w:t>
      </w:r>
      <w:r w:rsidRPr="00271E51">
        <w:rPr>
          <w:color w:val="000000" w:themeColor="text1"/>
          <w:sz w:val="16"/>
          <w:szCs w:val="16"/>
        </w:rPr>
        <w:softHyphen/>
        <w:t>имодействие между ними.</w:t>
      </w:r>
    </w:p>
    <w:p w14:paraId="79BFD368"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Эффективность ударов Ил-2 с применением ПТАБ понизилась примерно в 4—4,5 раза, остава</w:t>
      </w:r>
      <w:r w:rsidRPr="00271E51">
        <w:rPr>
          <w:color w:val="000000" w:themeColor="text1"/>
          <w:sz w:val="16"/>
          <w:szCs w:val="16"/>
        </w:rPr>
        <w:softHyphen/>
        <w:t>ясь тем не менее в среднем в 2—3 раза выше, чем при использовании фугасных и осколочно-фугас</w:t>
      </w:r>
      <w:r w:rsidRPr="00271E51">
        <w:rPr>
          <w:color w:val="000000" w:themeColor="text1"/>
          <w:sz w:val="16"/>
          <w:szCs w:val="16"/>
        </w:rPr>
        <w:softHyphen/>
        <w:t>ных авиабомб.</w:t>
      </w:r>
    </w:p>
    <w:p w14:paraId="4F1E41EE"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Боевой опыт показал, что потери танков в сред</w:t>
      </w:r>
      <w:r w:rsidRPr="00271E51">
        <w:rPr>
          <w:color w:val="000000" w:themeColor="text1"/>
          <w:sz w:val="16"/>
          <w:szCs w:val="16"/>
        </w:rPr>
        <w:softHyphen/>
        <w:t>нем до 15% от общего числа, подвергшихся удару, достигались в тех случаях, когда на каждые 10— 20 танков выделялся наряд сил около 3—5 групп Ил-2 (по 6 машин в каждой группе), которые дей</w:t>
      </w:r>
      <w:r w:rsidRPr="00271E51">
        <w:rPr>
          <w:color w:val="000000" w:themeColor="text1"/>
          <w:sz w:val="16"/>
          <w:szCs w:val="16"/>
        </w:rPr>
        <w:softHyphen/>
        <w:t>ствовали последовательно одна за другой или по две одновременно.</w:t>
      </w:r>
    </w:p>
    <w:p w14:paraId="56D418C2"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Высокую эффективность ПТАБ показывали и при действии по открытым складам боеприпасов и ско</w:t>
      </w:r>
      <w:r w:rsidRPr="00271E51">
        <w:rPr>
          <w:color w:val="000000" w:themeColor="text1"/>
          <w:sz w:val="16"/>
          <w:szCs w:val="16"/>
        </w:rPr>
        <w:softHyphen/>
        <w:t>плениям боевой техники вследствие большого чис</w:t>
      </w:r>
      <w:r w:rsidRPr="00271E51">
        <w:rPr>
          <w:color w:val="000000" w:themeColor="text1"/>
          <w:sz w:val="16"/>
          <w:szCs w:val="16"/>
        </w:rPr>
        <w:softHyphen/>
        <w:t>ла прямых попаданий. При этом автомашины, тяга</w:t>
      </w:r>
      <w:r w:rsidRPr="00271E51">
        <w:rPr>
          <w:color w:val="000000" w:themeColor="text1"/>
          <w:sz w:val="16"/>
          <w:szCs w:val="16"/>
        </w:rPr>
        <w:softHyphen/>
        <w:t>чи и бронетранспортеры, как правило, полностью сгорали, а боеприпасы в штабелях подрывались не только при прямом попадании ПТАБ в их корпуса, но и через укупорку.</w:t>
      </w:r>
    </w:p>
    <w:p w14:paraId="21C6A764"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Масштабы применения ПТАБ с каждым годом неуклонно возрастали. Так, если к концу 1943 г. было израсходовано 1 171 340 бомб этого типа, то в 1944 г. — уже 5 024 822 штуки, а за первых 4 ме</w:t>
      </w:r>
      <w:r w:rsidRPr="00271E51">
        <w:rPr>
          <w:color w:val="000000" w:themeColor="text1"/>
          <w:sz w:val="16"/>
          <w:szCs w:val="16"/>
        </w:rPr>
        <w:softHyphen/>
        <w:t>сяца 1945 г. — 3 242 701 бомба. То есть ежемесяч</w:t>
      </w:r>
      <w:r w:rsidRPr="00271E51">
        <w:rPr>
          <w:color w:val="000000" w:themeColor="text1"/>
          <w:sz w:val="16"/>
          <w:szCs w:val="16"/>
        </w:rPr>
        <w:softHyphen/>
        <w:t>ный расход ПТАБ практически каждый год удваи</w:t>
      </w:r>
      <w:r w:rsidRPr="00271E51">
        <w:rPr>
          <w:color w:val="000000" w:themeColor="text1"/>
          <w:sz w:val="16"/>
          <w:szCs w:val="16"/>
        </w:rPr>
        <w:softHyphen/>
        <w:t>вался.</w:t>
      </w:r>
    </w:p>
    <w:p w14:paraId="5D1063CB"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Отметим, что по горячим следам первого опыта боевого применения противотанковых авиабомб ПТАБ-2,5-1,5 начальник Управления заказов воору</w:t>
      </w:r>
      <w:r w:rsidRPr="00271E51">
        <w:rPr>
          <w:color w:val="000000" w:themeColor="text1"/>
          <w:sz w:val="16"/>
          <w:szCs w:val="16"/>
        </w:rPr>
        <w:softHyphen/>
        <w:t>жения и боеприпасов ГУЗ ВВС КА генерал-майор Солдатов 17 августа 1943 г. обратился к ВРИД на</w:t>
      </w:r>
      <w:r w:rsidRPr="00271E51">
        <w:rPr>
          <w:color w:val="000000" w:themeColor="text1"/>
          <w:sz w:val="16"/>
          <w:szCs w:val="16"/>
        </w:rPr>
        <w:softHyphen/>
        <w:t>чальнику ВВС КА генерал-лейтенанту Кроленко с предложением «дальнейшее производство ампул АЖ-2 с КС прекратить».</w:t>
      </w:r>
    </w:p>
    <w:p w14:paraId="58D152FD"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своем письме генерал Солдатов опирался на материалы совещания по вопросу боевого приме</w:t>
      </w:r>
      <w:r w:rsidRPr="00271E51">
        <w:rPr>
          <w:color w:val="000000" w:themeColor="text1"/>
          <w:sz w:val="16"/>
          <w:szCs w:val="16"/>
        </w:rPr>
        <w:softHyphen/>
        <w:t>нения бомбардировочного вооружения, проведен</w:t>
      </w:r>
      <w:r w:rsidRPr="00271E51">
        <w:rPr>
          <w:color w:val="000000" w:themeColor="text1"/>
          <w:sz w:val="16"/>
          <w:szCs w:val="16"/>
        </w:rPr>
        <w:softHyphen/>
        <w:t>ного 31 мая 1943 г. в НИИ ВВС совместно с ГУ ИАС, ГУЗ ВВС и заместителями главных инженеров воз</w:t>
      </w:r>
      <w:r w:rsidRPr="00271E51">
        <w:rPr>
          <w:color w:val="000000" w:themeColor="text1"/>
          <w:sz w:val="16"/>
          <w:szCs w:val="16"/>
        </w:rPr>
        <w:softHyphen/>
        <w:t>душных армий.</w:t>
      </w:r>
    </w:p>
    <w:p w14:paraId="7169917E"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Тогда в результате обмена мнениями была уста</w:t>
      </w:r>
      <w:r w:rsidRPr="00271E51">
        <w:rPr>
          <w:color w:val="000000" w:themeColor="text1"/>
          <w:sz w:val="16"/>
          <w:szCs w:val="16"/>
        </w:rPr>
        <w:softHyphen/>
        <w:t>новлена недостаточная эффективность зажигатель</w:t>
      </w:r>
      <w:r w:rsidRPr="00271E51">
        <w:rPr>
          <w:color w:val="000000" w:themeColor="text1"/>
          <w:sz w:val="16"/>
          <w:szCs w:val="16"/>
        </w:rPr>
        <w:softHyphen/>
        <w:t>ных ампул АЖ-2 с КС в боевых условиях. Комис</w:t>
      </w:r>
      <w:r w:rsidRPr="00271E51">
        <w:rPr>
          <w:color w:val="000000" w:themeColor="text1"/>
          <w:sz w:val="16"/>
          <w:szCs w:val="16"/>
        </w:rPr>
        <w:softHyphen/>
        <w:t>сия, назначенная начальником НИИ АВ ВВС гене</w:t>
      </w:r>
      <w:r w:rsidRPr="00271E51">
        <w:rPr>
          <w:color w:val="000000" w:themeColor="text1"/>
          <w:sz w:val="16"/>
          <w:szCs w:val="16"/>
        </w:rPr>
        <w:softHyphen/>
        <w:t>рал-майором Гуревичем для изучения материалов совещания, в своих выводах также рекомендовала снять с производства ампулы АЖ-2 с КС.</w:t>
      </w:r>
    </w:p>
    <w:p w14:paraId="79FF89F4"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Обращалось внимание, что к этому времени на складах ВВС в наличии имелось свыше 3 млн штук ампул АЖ-2, предназначенных для их снаряжения боевыми химическими веществами, и «на вооруже</w:t>
      </w:r>
      <w:r w:rsidRPr="00271E51">
        <w:rPr>
          <w:color w:val="000000" w:themeColor="text1"/>
          <w:sz w:val="16"/>
          <w:szCs w:val="16"/>
        </w:rPr>
        <w:softHyphen/>
        <w:t>нии ВВС КА состоят авиахимбомбы ХАБ-100, кото</w:t>
      </w:r>
      <w:r w:rsidRPr="00271E51">
        <w:rPr>
          <w:color w:val="000000" w:themeColor="text1"/>
          <w:sz w:val="16"/>
          <w:szCs w:val="16"/>
        </w:rPr>
        <w:softHyphen/>
        <w:t>рые идут в серийных заказах». При необходимости этот запас ампул АЖ-2 можно было обратить для снаряжения огневой смесью КС.</w:t>
      </w:r>
    </w:p>
    <w:p w14:paraId="5B5C4728" w14:textId="77777777" w:rsidR="00264B7D" w:rsidRPr="00271E51" w:rsidRDefault="00264B7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известно, ампулы АЖ-2 продолжали изго</w:t>
      </w:r>
      <w:r w:rsidRPr="00271E51">
        <w:rPr>
          <w:color w:val="000000" w:themeColor="text1"/>
          <w:sz w:val="16"/>
          <w:szCs w:val="16"/>
        </w:rPr>
        <w:softHyphen/>
        <w:t>тавливать до осени 1944 г.: в III квартале их выпуск был резко сокращен, а в IV — прекращен оконча</w:t>
      </w:r>
      <w:r w:rsidRPr="00271E51">
        <w:rPr>
          <w:color w:val="000000" w:themeColor="text1"/>
          <w:sz w:val="16"/>
          <w:szCs w:val="16"/>
        </w:rPr>
        <w:softHyphen/>
        <w:t>тельно (17500).</w:t>
      </w:r>
    </w:p>
    <w:p w14:paraId="7E22AA8F" w14:textId="77777777" w:rsidR="00264B7D" w:rsidRPr="00271E51" w:rsidRDefault="00264B7D" w:rsidP="00271E51">
      <w:pPr>
        <w:spacing w:after="0" w:line="240" w:lineRule="auto"/>
        <w:jc w:val="both"/>
        <w:rPr>
          <w:rFonts w:ascii="Times New Roman" w:hAnsi="Times New Roman"/>
          <w:color w:val="000000" w:themeColor="text1"/>
          <w:sz w:val="16"/>
          <w:szCs w:val="16"/>
        </w:rPr>
      </w:pPr>
    </w:p>
    <w:p w14:paraId="12F63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5 по 10 июля 1943 только в одной 16-й ВА было сброшено около 4000 ампул АЖ-2. Столько же было сброше</w:t>
      </w:r>
      <w:r w:rsidRPr="00271E51">
        <w:rPr>
          <w:rFonts w:ascii="Times New Roman" w:hAnsi="Times New Roman"/>
          <w:color w:val="000000" w:themeColor="text1"/>
          <w:sz w:val="16"/>
          <w:szCs w:val="16"/>
        </w:rPr>
        <w:softHyphen/>
        <w:t>но фугасных авиабомб различного ка</w:t>
      </w:r>
      <w:r w:rsidRPr="00271E51">
        <w:rPr>
          <w:rFonts w:ascii="Times New Roman" w:hAnsi="Times New Roman"/>
          <w:color w:val="000000" w:themeColor="text1"/>
          <w:sz w:val="16"/>
          <w:szCs w:val="16"/>
        </w:rPr>
        <w:softHyphen/>
        <w:t>либра.</w:t>
      </w:r>
    </w:p>
    <w:p w14:paraId="0AECA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Цифры немалые, однако они ни в какое сравнение не идут с масштаба</w:t>
      </w:r>
      <w:r w:rsidRPr="00271E51">
        <w:rPr>
          <w:rFonts w:ascii="Times New Roman" w:hAnsi="Times New Roman"/>
          <w:color w:val="000000" w:themeColor="text1"/>
          <w:sz w:val="16"/>
          <w:szCs w:val="16"/>
        </w:rPr>
        <w:softHyphen/>
        <w:t>ми применения ПТАБ. За этот же пери</w:t>
      </w:r>
      <w:r w:rsidRPr="00271E51">
        <w:rPr>
          <w:rFonts w:ascii="Times New Roman" w:hAnsi="Times New Roman"/>
          <w:color w:val="000000" w:themeColor="text1"/>
          <w:sz w:val="16"/>
          <w:szCs w:val="16"/>
        </w:rPr>
        <w:softHyphen/>
        <w:t>од летчики 16-й ВА сбросили на про</w:t>
      </w:r>
      <w:r w:rsidRPr="00271E51">
        <w:rPr>
          <w:rFonts w:ascii="Times New Roman" w:hAnsi="Times New Roman"/>
          <w:color w:val="000000" w:themeColor="text1"/>
          <w:sz w:val="16"/>
          <w:szCs w:val="16"/>
        </w:rPr>
        <w:softHyphen/>
        <w:t>тивника 23315 авиабомб этого типа (6467).</w:t>
      </w:r>
    </w:p>
    <w:p w14:paraId="346D7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947F76"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10 июля 1943, как следует из документов, при мас</w:t>
      </w:r>
      <w:r w:rsidRPr="00271E51">
        <w:rPr>
          <w:rFonts w:ascii="Times New Roman" w:cs="Times New Roman"/>
          <w:color w:val="000000" w:themeColor="text1"/>
          <w:spacing w:val="0"/>
        </w:rPr>
        <w:softHyphen/>
        <w:t>сированных ударах 16-й воздуш</w:t>
      </w:r>
      <w:r w:rsidRPr="00271E51">
        <w:rPr>
          <w:rFonts w:ascii="Times New Roman" w:cs="Times New Roman"/>
          <w:color w:val="000000" w:themeColor="text1"/>
          <w:spacing w:val="0"/>
        </w:rPr>
        <w:softHyphen/>
      </w:r>
      <w:bookmarkStart w:id="0" w:name="bookmark2"/>
      <w:r w:rsidRPr="00271E51">
        <w:rPr>
          <w:rFonts w:ascii="Times New Roman" w:cs="Times New Roman"/>
          <w:color w:val="000000" w:themeColor="text1"/>
          <w:spacing w:val="0"/>
        </w:rPr>
        <w:t>ном</w:t>
      </w:r>
      <w:r w:rsidRPr="00271E51">
        <w:rPr>
          <w:rStyle w:val="FranklinGothicMedium95pt-1pt"/>
          <w:rFonts w:ascii="Times New Roman" w:hAnsi="Times New Roman" w:cs="Times New Roman"/>
          <w:b w:val="0"/>
          <w:color w:val="000000" w:themeColor="text1"/>
          <w:spacing w:val="0"/>
          <w:sz w:val="16"/>
          <w:szCs w:val="16"/>
        </w:rPr>
        <w:t xml:space="preserve"> армии</w:t>
      </w:r>
      <w:r w:rsidRPr="00271E51">
        <w:rPr>
          <w:rFonts w:ascii="Times New Roman" w:cs="Times New Roman"/>
          <w:color w:val="000000" w:themeColor="text1"/>
          <w:spacing w:val="0"/>
        </w:rPr>
        <w:t xml:space="preserve"> в районах севернее Поныри,</w:t>
      </w:r>
      <w:bookmarkEnd w:id="0"/>
      <w:r w:rsidRPr="00271E51">
        <w:rPr>
          <w:rFonts w:ascii="Times New Roman" w:cs="Times New Roman"/>
          <w:color w:val="000000" w:themeColor="text1"/>
          <w:spacing w:val="0"/>
        </w:rPr>
        <w:t xml:space="preserve"> 1-е Поныри и выс. 238.1, а также в районе Кашара, сев. Кутырки, выс. 257.0, штабы 1-й танковой и 13-й армий в своих донесе</w:t>
      </w:r>
      <w:r w:rsidRPr="00271E51">
        <w:rPr>
          <w:rFonts w:ascii="Times New Roman" w:cs="Times New Roman"/>
          <w:color w:val="000000" w:themeColor="text1"/>
          <w:spacing w:val="0"/>
        </w:rPr>
        <w:softHyphen/>
        <w:t>ниях отметили до 48 сожженных и подбитых немецких танков. Противник был вынужден прекратить атаки, а -остатки своих сил от</w:t>
      </w:r>
      <w:r w:rsidRPr="00271E51">
        <w:rPr>
          <w:rFonts w:ascii="Times New Roman" w:cs="Times New Roman"/>
          <w:color w:val="000000" w:themeColor="text1"/>
          <w:spacing w:val="0"/>
        </w:rPr>
        <w:softHyphen/>
        <w:t>тянуть к северу от Кашары...»</w:t>
      </w:r>
    </w:p>
    <w:p w14:paraId="69EAAF60"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данным штаба 16-й ВА авиацией в указанных районах было уничтожено и по</w:t>
      </w:r>
      <w:r w:rsidRPr="00271E51">
        <w:rPr>
          <w:rFonts w:ascii="Times New Roman" w:cs="Times New Roman"/>
          <w:color w:val="000000" w:themeColor="text1"/>
          <w:spacing w:val="0"/>
        </w:rPr>
        <w:softHyphen/>
        <w:t>вреждено 44 танка. Из этого числа 5 танков уничтожены бомбардировщиками (летали экипажи 3-го бак), а остальные - штурмо</w:t>
      </w:r>
      <w:r w:rsidRPr="00271E51">
        <w:rPr>
          <w:rFonts w:ascii="Times New Roman" w:cs="Times New Roman"/>
          <w:color w:val="000000" w:themeColor="text1"/>
          <w:spacing w:val="0"/>
        </w:rPr>
        <w:softHyphen/>
        <w:t>виками Ил-2, применявшими противотан</w:t>
      </w:r>
      <w:r w:rsidRPr="00271E51">
        <w:rPr>
          <w:rFonts w:ascii="Times New Roman" w:cs="Times New Roman"/>
          <w:color w:val="000000" w:themeColor="text1"/>
          <w:spacing w:val="0"/>
        </w:rPr>
        <w:softHyphen/>
        <w:t>ковые авиабомбы, «так как по скоплениям танков сбрасывались только ПТАБы».</w:t>
      </w:r>
    </w:p>
    <w:p w14:paraId="6B56EA16"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Впоследствии специальная комиссия, обследовав район выс. 257.0, Кашара и выс. 231.8, обнаружила шесть танков и 16 само</w:t>
      </w:r>
      <w:r w:rsidRPr="00271E51">
        <w:rPr>
          <w:rFonts w:ascii="Times New Roman" w:cs="Times New Roman"/>
          <w:color w:val="000000" w:themeColor="text1"/>
          <w:spacing w:val="0"/>
        </w:rPr>
        <w:softHyphen/>
        <w:t>ходных орудий, из которых четыре были уничтожены ПТАБами.</w:t>
      </w:r>
    </w:p>
    <w:p w14:paraId="005F43A2" w14:textId="77777777" w:rsidR="00BA7A65" w:rsidRPr="00271E51" w:rsidRDefault="00BA7A65" w:rsidP="00271E51">
      <w:pPr>
        <w:pStyle w:val="27"/>
        <w:shd w:val="clear" w:color="auto" w:fill="auto"/>
        <w:tabs>
          <w:tab w:val="left" w:pos="147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Осмотр подбитой и сожженной броне</w:t>
      </w:r>
      <w:r w:rsidRPr="00271E51">
        <w:rPr>
          <w:rFonts w:ascii="Times New Roman" w:cs="Times New Roman"/>
          <w:color w:val="000000" w:themeColor="text1"/>
          <w:spacing w:val="0"/>
        </w:rPr>
        <w:softHyphen/>
        <w:t>техники показал, что после попадания ПТАБ в танк в большинстве случаев его нельзя восстановить: «В результате пожара унич</w:t>
      </w:r>
      <w:r w:rsidRPr="00271E51">
        <w:rPr>
          <w:rFonts w:ascii="Times New Roman" w:cs="Times New Roman"/>
          <w:color w:val="000000" w:themeColor="text1"/>
          <w:spacing w:val="0"/>
        </w:rPr>
        <w:softHyphen/>
        <w:t>тожается все оборудование, броня получает отжиг и теряет свои защитные свойства, а взрыв боеприпасов довершает уничтоже</w:t>
      </w:r>
      <w:r w:rsidRPr="00271E51">
        <w:rPr>
          <w:rFonts w:ascii="Times New Roman" w:cs="Times New Roman"/>
          <w:color w:val="000000" w:themeColor="text1"/>
          <w:spacing w:val="0"/>
        </w:rPr>
        <w:softHyphen/>
        <w:t>ние танка».</w:t>
      </w:r>
    </w:p>
    <w:p w14:paraId="61B2583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5 км северо-восточнее ст. Поныри находилась немецкая САУ «Фердинанд», уничтоженная ПТАБ. Бомба попала в бро</w:t>
      </w:r>
      <w:r w:rsidRPr="00271E51">
        <w:rPr>
          <w:rFonts w:ascii="Times New Roman" w:cs="Times New Roman"/>
          <w:color w:val="000000" w:themeColor="text1"/>
          <w:spacing w:val="0"/>
        </w:rPr>
        <w:softHyphen/>
        <w:t>невую крышку левого бензобака, пробила 20-мм броню, разрушила бензобак и вос</w:t>
      </w:r>
      <w:r w:rsidRPr="00271E51">
        <w:rPr>
          <w:rFonts w:ascii="Times New Roman" w:cs="Times New Roman"/>
          <w:color w:val="000000" w:themeColor="text1"/>
          <w:spacing w:val="0"/>
        </w:rPr>
        <w:softHyphen/>
        <w:t>пламенила бензин. Самоходка сгорела. Пожаром уничтожено все оборудование, взорваны боеприпасы, казенная часть ору</w:t>
      </w:r>
      <w:r w:rsidRPr="00271E51">
        <w:rPr>
          <w:rFonts w:ascii="Times New Roman" w:cs="Times New Roman"/>
          <w:color w:val="000000" w:themeColor="text1"/>
          <w:spacing w:val="0"/>
        </w:rPr>
        <w:softHyphen/>
        <w:t>дия разрушена (снаряд остался в стволе), провалился пол. От высокой температуры броня покрылась розовой окалиной, что говорило о безвозвратных изменениях ее физико-химических свойств. «Самоходная пушка представляет собой безвозвратную потерю, так как восстановить ее невозмож</w:t>
      </w:r>
      <w:r w:rsidRPr="00271E51">
        <w:rPr>
          <w:rFonts w:ascii="Times New Roman" w:cs="Times New Roman"/>
          <w:color w:val="000000" w:themeColor="text1"/>
          <w:spacing w:val="0"/>
        </w:rPr>
        <w:softHyphen/>
        <w:t>но», - констатировали члены комиссии.</w:t>
      </w:r>
    </w:p>
    <w:p w14:paraId="11EF494B"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Еще два сгоревших «Фердинанда» были найдены в 1,5 км восточнее Бузулука и в 1,5 км севернее ст. Поныри, а в районе выс. 257.1 восточнее ст. Поныри обнаруже</w:t>
      </w:r>
      <w:r w:rsidRPr="00271E51">
        <w:rPr>
          <w:rFonts w:ascii="Times New Roman" w:cs="Times New Roman"/>
          <w:color w:val="000000" w:themeColor="text1"/>
          <w:spacing w:val="0"/>
        </w:rPr>
        <w:softHyphen/>
        <w:t>но разрушенное в результате взрыва бое</w:t>
      </w:r>
      <w:r w:rsidRPr="00271E51">
        <w:rPr>
          <w:rFonts w:ascii="Times New Roman" w:cs="Times New Roman"/>
          <w:color w:val="000000" w:themeColor="text1"/>
          <w:spacing w:val="0"/>
        </w:rPr>
        <w:softHyphen/>
        <w:t>комплекта штурмовое орудие на базе тан</w:t>
      </w:r>
      <w:r w:rsidRPr="00271E51">
        <w:rPr>
          <w:rFonts w:ascii="Times New Roman" w:cs="Times New Roman"/>
          <w:color w:val="000000" w:themeColor="text1"/>
          <w:spacing w:val="0"/>
        </w:rPr>
        <w:softHyphen/>
        <w:t>ка Рг.IV. Вокруг самоходок имелось много мелких воронок от разрывов ПТАБ.</w:t>
      </w:r>
    </w:p>
    <w:p w14:paraId="23DB882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Высокая эффективность ПТАБ по бро</w:t>
      </w:r>
      <w:r w:rsidRPr="00271E51">
        <w:rPr>
          <w:rFonts w:ascii="Times New Roman" w:cs="Times New Roman"/>
          <w:color w:val="000000" w:themeColor="text1"/>
          <w:spacing w:val="0"/>
        </w:rPr>
        <w:softHyphen/>
        <w:t>нетехнике получила и совершенно неожи</w:t>
      </w:r>
      <w:r w:rsidRPr="00271E51">
        <w:rPr>
          <w:rFonts w:ascii="Times New Roman" w:cs="Times New Roman"/>
          <w:color w:val="000000" w:themeColor="text1"/>
          <w:spacing w:val="0"/>
        </w:rPr>
        <w:softHyphen/>
        <w:t>данное подтверждение. В полосе наступле</w:t>
      </w:r>
      <w:r w:rsidRPr="00271E51">
        <w:rPr>
          <w:rFonts w:ascii="Times New Roman" w:cs="Times New Roman"/>
          <w:color w:val="000000" w:themeColor="text1"/>
          <w:spacing w:val="0"/>
        </w:rPr>
        <w:softHyphen/>
        <w:t>ния 380-й сд Брянского фронта в районе д. Подмаслово наша танковая рота по ошибке попала под удар своих штурмовиков Ил-2. В результате один танкТ-34 от прямого по</w:t>
      </w:r>
      <w:r w:rsidRPr="00271E51">
        <w:rPr>
          <w:rFonts w:ascii="Times New Roman" w:cs="Times New Roman"/>
          <w:color w:val="000000" w:themeColor="text1"/>
          <w:spacing w:val="0"/>
        </w:rPr>
        <w:softHyphen/>
        <w:t>падания ПТАБ был полностью уничтожен: оказался разбитым «на несколько частей». Работавшая на месте удара комиссия за</w:t>
      </w:r>
      <w:r w:rsidRPr="00271E51">
        <w:rPr>
          <w:rFonts w:ascii="Times New Roman" w:cs="Times New Roman"/>
          <w:color w:val="000000" w:themeColor="text1"/>
          <w:spacing w:val="0"/>
        </w:rPr>
        <w:softHyphen/>
        <w:t>фиксировала «вокруг танка семь воронок, атакже контрящие вилки от ПТАБ-2,5-1,5».</w:t>
      </w:r>
    </w:p>
    <w:p w14:paraId="38032C11"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Как следует из документов, штурмо</w:t>
      </w:r>
      <w:r w:rsidRPr="00271E51">
        <w:rPr>
          <w:rFonts w:ascii="Times New Roman" w:cs="Times New Roman"/>
          <w:color w:val="000000" w:themeColor="text1"/>
          <w:spacing w:val="0"/>
        </w:rPr>
        <w:softHyphen/>
        <w:t>виками в этом же районе были подбиты и два тяжелых танка Рг.У! «Тигр». По всей видимости, отличились летчики из состава четверки Ил-2 от 614-го шап (ведущий ка</w:t>
      </w:r>
      <w:r w:rsidRPr="00271E51">
        <w:rPr>
          <w:rFonts w:ascii="Times New Roman" w:cs="Times New Roman"/>
          <w:color w:val="000000" w:themeColor="text1"/>
          <w:spacing w:val="0"/>
        </w:rPr>
        <w:softHyphen/>
        <w:t>питан Чубук) 225-й шад, которые 15 июля штурмовали контратакующие немецкие танки - до 25 машин, в том числе около 10 «Тигров». Бомбометание производилось с горизонтального полета, с высоты 130- 150 м. Всего было сброшено 1190 ПТАБ. Экипажи доложили об уничтожении 7 тан</w:t>
      </w:r>
      <w:r w:rsidRPr="00271E51">
        <w:rPr>
          <w:rFonts w:ascii="Times New Roman" w:cs="Times New Roman"/>
          <w:color w:val="000000" w:themeColor="text1"/>
          <w:spacing w:val="0"/>
        </w:rPr>
        <w:softHyphen/>
        <w:t>ков, в том числе 4 тяжелых.</w:t>
      </w:r>
    </w:p>
    <w:p w14:paraId="6CBE513A"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Превосходные отзывы из действую</w:t>
      </w:r>
      <w:r w:rsidRPr="00271E51">
        <w:rPr>
          <w:rFonts w:ascii="Times New Roman" w:cs="Times New Roman"/>
          <w:color w:val="000000" w:themeColor="text1"/>
          <w:spacing w:val="0"/>
        </w:rPr>
        <w:softHyphen/>
        <w:t>щей армии позволили инженер-майору И.В. Пименову доложить командованию, что: «Бомбометание ПТАБ устранило ос</w:t>
      </w:r>
      <w:r w:rsidRPr="00271E51">
        <w:rPr>
          <w:rFonts w:ascii="Times New Roman" w:cs="Times New Roman"/>
          <w:color w:val="000000" w:themeColor="text1"/>
          <w:spacing w:val="0"/>
        </w:rPr>
        <w:softHyphen/>
        <w:t>новную причину низкой эффективности действия авиации по танкам фугасными и осколочными бомбами - малую вероят</w:t>
      </w:r>
      <w:r w:rsidRPr="00271E51">
        <w:rPr>
          <w:rFonts w:ascii="Times New Roman" w:cs="Times New Roman"/>
          <w:color w:val="000000" w:themeColor="text1"/>
          <w:spacing w:val="0"/>
        </w:rPr>
        <w:softHyphen/>
        <w:t>ность попадания в приведенную площадь танка (площадь цели с учетом радиуса поражения бомбы). Полоса разрывов ПТАБ перекрывает 2-3 танка на удалении 60-75 м друг от друга, то есть создается высокая плотность разрывов. Поэтому в результате действия авиации по рассре</w:t>
      </w:r>
      <w:r w:rsidRPr="00271E51">
        <w:rPr>
          <w:rFonts w:ascii="Times New Roman" w:cs="Times New Roman"/>
          <w:color w:val="000000" w:themeColor="text1"/>
          <w:spacing w:val="0"/>
        </w:rPr>
        <w:softHyphen/>
        <w:t>доточенным боевым порядкам и колоннам танков противника последние обычно несли большие потери».</w:t>
      </w:r>
    </w:p>
    <w:p w14:paraId="5C3F221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«Нужно перейти к массовому их изго</w:t>
      </w:r>
      <w:r w:rsidRPr="00271E51">
        <w:rPr>
          <w:rFonts w:ascii="Times New Roman" w:cs="Times New Roman"/>
          <w:color w:val="000000" w:themeColor="text1"/>
          <w:spacing w:val="0"/>
        </w:rPr>
        <w:softHyphen/>
        <w:t>товлению и самому широкому применению при нападениях на мотомехвойска против</w:t>
      </w:r>
      <w:r w:rsidRPr="00271E51">
        <w:rPr>
          <w:rFonts w:ascii="Times New Roman" w:cs="Times New Roman"/>
          <w:color w:val="000000" w:themeColor="text1"/>
          <w:spacing w:val="0"/>
        </w:rPr>
        <w:softHyphen/>
        <w:t>ника, на его ж.д. транспорт, при ударах по переправам, по огневым позициям артил</w:t>
      </w:r>
      <w:r w:rsidRPr="00271E51">
        <w:rPr>
          <w:rFonts w:ascii="Times New Roman" w:cs="Times New Roman"/>
          <w:color w:val="000000" w:themeColor="text1"/>
          <w:spacing w:val="0"/>
        </w:rPr>
        <w:softHyphen/>
        <w:t>лерии и т.п. целям; все эти цели с успехом поражаются ПТАБами», - делал вывод на</w:t>
      </w:r>
      <w:r w:rsidRPr="00271E51">
        <w:rPr>
          <w:rFonts w:ascii="Times New Roman" w:cs="Times New Roman"/>
          <w:color w:val="000000" w:themeColor="text1"/>
          <w:spacing w:val="0"/>
        </w:rPr>
        <w:softHyphen/>
        <w:t>чальник Оперативного управления штаба ВВС КА генерал-майор Н.А. Журавлев.</w:t>
      </w:r>
    </w:p>
    <w:p w14:paraId="7D0BCEA7"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сожалению, без недостатков не обо</w:t>
      </w:r>
      <w:r w:rsidRPr="00271E51">
        <w:rPr>
          <w:rFonts w:ascii="Times New Roman" w:cs="Times New Roman"/>
          <w:color w:val="000000" w:themeColor="text1"/>
          <w:spacing w:val="0"/>
        </w:rPr>
        <w:softHyphen/>
        <w:t>шлось. Взрыватель ПТАБ оказался очень чувствительным и срабатывал при уда</w:t>
      </w:r>
      <w:r w:rsidRPr="00271E51">
        <w:rPr>
          <w:rFonts w:ascii="Times New Roman" w:cs="Times New Roman"/>
          <w:color w:val="000000" w:themeColor="text1"/>
          <w:spacing w:val="0"/>
        </w:rPr>
        <w:softHyphen/>
        <w:t>ре о вершины и сучья деревьев и другие легкие преграды. При этом стоявшая под ними бронетехника не поражалась, чем собственно и стали пользоваться немец</w:t>
      </w:r>
      <w:r w:rsidRPr="00271E51">
        <w:rPr>
          <w:rFonts w:ascii="Times New Roman" w:cs="Times New Roman"/>
          <w:color w:val="000000" w:themeColor="text1"/>
          <w:spacing w:val="0"/>
        </w:rPr>
        <w:softHyphen/>
        <w:t>кие танкисты в дальнейшем, располагая свои танки в густом лесу или под навесами. Уже с августа месяца в документах частей и соединений стали отмечаться случаи использования противником для защиты своих танков обычной металлической сет</w:t>
      </w:r>
      <w:r w:rsidRPr="00271E51">
        <w:rPr>
          <w:rFonts w:ascii="Times New Roman" w:cs="Times New Roman"/>
          <w:color w:val="000000" w:themeColor="text1"/>
          <w:spacing w:val="0"/>
        </w:rPr>
        <w:softHyphen/>
        <w:t>ки, натянутой поверх танка. При попадании в сетку ПТАБ подрывалась, и кумулятивная струя формировалась на большом удале</w:t>
      </w:r>
      <w:r w:rsidRPr="00271E51">
        <w:rPr>
          <w:rFonts w:ascii="Times New Roman" w:cs="Times New Roman"/>
          <w:color w:val="000000" w:themeColor="text1"/>
          <w:spacing w:val="0"/>
        </w:rPr>
        <w:softHyphen/>
        <w:t>нии от брони, не нанося ей никакого по</w:t>
      </w:r>
      <w:r w:rsidRPr="00271E51">
        <w:rPr>
          <w:rFonts w:ascii="Times New Roman" w:cs="Times New Roman"/>
          <w:color w:val="000000" w:themeColor="text1"/>
          <w:spacing w:val="0"/>
        </w:rPr>
        <w:softHyphen/>
        <w:t>ражения.</w:t>
      </w:r>
    </w:p>
    <w:p w14:paraId="4903D800"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Крыльчатка предохранительного меха</w:t>
      </w:r>
      <w:r w:rsidRPr="00271E51">
        <w:rPr>
          <w:rFonts w:ascii="Times New Roman" w:cs="Times New Roman"/>
          <w:color w:val="000000" w:themeColor="text1"/>
          <w:spacing w:val="0"/>
        </w:rPr>
        <w:softHyphen/>
        <w:t>низма взрывателя АД-А в полете сворачива</w:t>
      </w:r>
      <w:r w:rsidRPr="00271E51">
        <w:rPr>
          <w:rFonts w:ascii="Times New Roman" w:cs="Times New Roman"/>
          <w:color w:val="000000" w:themeColor="text1"/>
          <w:spacing w:val="0"/>
        </w:rPr>
        <w:softHyphen/>
        <w:t>лась слишком быстро, и взрыватель вставал на боевой взвод, когда бомба еще находи</w:t>
      </w:r>
      <w:r w:rsidRPr="00271E51">
        <w:rPr>
          <w:rFonts w:ascii="Times New Roman" w:cs="Times New Roman"/>
          <w:color w:val="000000" w:themeColor="text1"/>
          <w:spacing w:val="0"/>
        </w:rPr>
        <w:softHyphen/>
        <w:t>лась в опасной близости от самолета. При столкновении бомб между собой, особенно при залповом сбросе, имели место подры</w:t>
      </w:r>
      <w:r w:rsidRPr="00271E51">
        <w:rPr>
          <w:rFonts w:ascii="Times New Roman" w:cs="Times New Roman"/>
          <w:color w:val="000000" w:themeColor="text1"/>
          <w:spacing w:val="0"/>
        </w:rPr>
        <w:softHyphen/>
        <w:t>вы бомб недалеко от самолета.</w:t>
      </w:r>
    </w:p>
    <w:p w14:paraId="3382513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Более того, ПТАБ в окончательно сна</w:t>
      </w:r>
      <w:r w:rsidRPr="00271E51">
        <w:rPr>
          <w:rFonts w:ascii="Times New Roman" w:cs="Times New Roman"/>
          <w:color w:val="000000" w:themeColor="text1"/>
          <w:spacing w:val="0"/>
        </w:rPr>
        <w:softHyphen/>
        <w:t>ряженном виде срабатывали при их транс</w:t>
      </w:r>
      <w:r w:rsidRPr="00271E51">
        <w:rPr>
          <w:rFonts w:ascii="Times New Roman" w:cs="Times New Roman"/>
          <w:color w:val="000000" w:themeColor="text1"/>
          <w:spacing w:val="0"/>
        </w:rPr>
        <w:softHyphen/>
        <w:t>портировке на аэродром при случайном ударе или падении на землю (с высоты 1,5 м). При этом отмечались случаи гибели и ранения технического состава. Серьезно страдала и материальная часть самолетов. Дело в том, что при отворачивании на не</w:t>
      </w:r>
      <w:r w:rsidRPr="00271E51">
        <w:rPr>
          <w:rFonts w:ascii="Times New Roman" w:cs="Times New Roman"/>
          <w:color w:val="000000" w:themeColor="text1"/>
          <w:spacing w:val="0"/>
        </w:rPr>
        <w:softHyphen/>
        <w:t>сколько оборотов крыльчатки, например, от тряски, ударник получал люфт доста</w:t>
      </w:r>
      <w:r w:rsidRPr="00271E51">
        <w:rPr>
          <w:rFonts w:ascii="Times New Roman" w:cs="Times New Roman"/>
          <w:color w:val="000000" w:themeColor="text1"/>
          <w:spacing w:val="0"/>
        </w:rPr>
        <w:softHyphen/>
        <w:t>точный для накалывания жалом капсюля- детонатора.</w:t>
      </w:r>
    </w:p>
    <w:p w14:paraId="297377D0"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Сказывались и нарушения в технологии производства взрывателей. Вследствие грубой обработки деталей взрывателя и значительных люфтов крыльчатку нередко заклинивало. Клинило крыльчатку и в слу</w:t>
      </w:r>
      <w:r w:rsidRPr="00271E51">
        <w:rPr>
          <w:rFonts w:ascii="Times New Roman" w:cs="Times New Roman"/>
          <w:color w:val="000000" w:themeColor="text1"/>
          <w:spacing w:val="0"/>
        </w:rPr>
        <w:softHyphen/>
        <w:t>чае касания ее лопастей коробки стабили</w:t>
      </w:r>
      <w:r w:rsidRPr="00271E51">
        <w:rPr>
          <w:rFonts w:ascii="Times New Roman" w:cs="Times New Roman"/>
          <w:color w:val="000000" w:themeColor="text1"/>
          <w:spacing w:val="0"/>
        </w:rPr>
        <w:softHyphen/>
        <w:t>затора бомбы из-за нарушения соосности стабилизатора и корпуса бомбы при мон</w:t>
      </w:r>
      <w:r w:rsidRPr="00271E51">
        <w:rPr>
          <w:rFonts w:ascii="Times New Roman" w:cs="Times New Roman"/>
          <w:color w:val="000000" w:themeColor="text1"/>
          <w:spacing w:val="0"/>
        </w:rPr>
        <w:softHyphen/>
        <w:t>таже или по причине деформации стабили</w:t>
      </w:r>
      <w:r w:rsidRPr="00271E51">
        <w:rPr>
          <w:rFonts w:ascii="Times New Roman" w:cs="Times New Roman"/>
          <w:color w:val="000000" w:themeColor="text1"/>
          <w:spacing w:val="0"/>
        </w:rPr>
        <w:softHyphen/>
        <w:t>затора в ходе эксплуатации.</w:t>
      </w:r>
    </w:p>
    <w:p w14:paraId="4DC83A8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Выявились недостатки универсальных бомбоотсеков Ил-2 - ПТАБ иногда зависали при сбросе в отсеках с последующим вы</w:t>
      </w:r>
      <w:r w:rsidRPr="00271E51">
        <w:rPr>
          <w:rFonts w:ascii="Times New Roman" w:cs="Times New Roman"/>
          <w:color w:val="000000" w:themeColor="text1"/>
          <w:spacing w:val="0"/>
        </w:rPr>
        <w:softHyphen/>
        <w:t>падением их при посадке и взрывом под фюзеляжем, приводившим к тяжелым по</w:t>
      </w:r>
      <w:r w:rsidRPr="00271E51">
        <w:rPr>
          <w:rFonts w:ascii="Times New Roman" w:cs="Times New Roman"/>
          <w:color w:val="000000" w:themeColor="text1"/>
          <w:spacing w:val="0"/>
        </w:rPr>
        <w:softHyphen/>
        <w:t>следствиям (разрушение самолета, ране</w:t>
      </w:r>
      <w:r w:rsidRPr="00271E51">
        <w:rPr>
          <w:rFonts w:ascii="Times New Roman" w:cs="Times New Roman"/>
          <w:color w:val="000000" w:themeColor="text1"/>
          <w:spacing w:val="0"/>
        </w:rPr>
        <w:softHyphen/>
        <w:t>ния и гибель экипажа).</w:t>
      </w:r>
    </w:p>
    <w:p w14:paraId="157B4B2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загрузке в каждую кассету 78 бомб, согласно инструкции по эксплуатации, «кон</w:t>
      </w:r>
      <w:r w:rsidRPr="00271E51">
        <w:rPr>
          <w:rFonts w:ascii="Times New Roman" w:cs="Times New Roman"/>
          <w:color w:val="000000" w:themeColor="text1"/>
          <w:spacing w:val="0"/>
        </w:rPr>
        <w:softHyphen/>
        <w:t>цы створок, смотрящие к хвосту самолета, провисают от неравномерного расположе</w:t>
      </w:r>
      <w:r w:rsidRPr="00271E51">
        <w:rPr>
          <w:rFonts w:ascii="Times New Roman" w:cs="Times New Roman"/>
          <w:color w:val="000000" w:themeColor="text1"/>
          <w:spacing w:val="0"/>
        </w:rPr>
        <w:softHyphen/>
        <w:t>ния на них груза, при плохом же аэродроме отдельные авиабомбы могут выпасть».</w:t>
      </w:r>
    </w:p>
    <w:p w14:paraId="35FFE546"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тому же войсковые специалисты от</w:t>
      </w:r>
      <w:r w:rsidRPr="00271E51">
        <w:rPr>
          <w:rFonts w:ascii="Times New Roman" w:cs="Times New Roman"/>
          <w:color w:val="000000" w:themeColor="text1"/>
          <w:spacing w:val="0"/>
        </w:rPr>
        <w:softHyphen/>
        <w:t>мечали значительное время, затрачива</w:t>
      </w:r>
      <w:r w:rsidRPr="00271E51">
        <w:rPr>
          <w:rFonts w:ascii="Times New Roman" w:cs="Times New Roman"/>
          <w:color w:val="000000" w:themeColor="text1"/>
          <w:spacing w:val="0"/>
        </w:rPr>
        <w:softHyphen/>
        <w:t>емое на снаряжение бомб взрывателями. Действительно, конструкция стабилизато</w:t>
      </w:r>
      <w:r w:rsidRPr="00271E51">
        <w:rPr>
          <w:rFonts w:ascii="Times New Roman" w:cs="Times New Roman"/>
          <w:color w:val="000000" w:themeColor="text1"/>
          <w:spacing w:val="0"/>
        </w:rPr>
        <w:softHyphen/>
        <w:t>ра не позволяла завинчивать взрыватель одной рукой. Эту операцию приходилось выполнять двумя руками, зажимая бомбу коленями.</w:t>
      </w:r>
    </w:p>
    <w:p w14:paraId="350B85C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Имелись и недочеты тактического ха</w:t>
      </w:r>
      <w:r w:rsidRPr="00271E51">
        <w:rPr>
          <w:rFonts w:ascii="Times New Roman" w:cs="Times New Roman"/>
          <w:color w:val="000000" w:themeColor="text1"/>
          <w:spacing w:val="0"/>
        </w:rPr>
        <w:softHyphen/>
        <w:t>рактера, также «снижающие эффективность авиации при действии по танкам».</w:t>
      </w:r>
    </w:p>
    <w:p w14:paraId="1618B502"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Выделяемый наряд сил самолетов с ПТАБ для удара по установленному раз</w:t>
      </w:r>
      <w:r w:rsidRPr="00271E51">
        <w:rPr>
          <w:rFonts w:ascii="Times New Roman" w:cs="Times New Roman"/>
          <w:color w:val="000000" w:themeColor="text1"/>
          <w:spacing w:val="0"/>
        </w:rPr>
        <w:softHyphen/>
        <w:t>ведкой скоплению танков не всегда был до</w:t>
      </w:r>
      <w:r w:rsidRPr="00271E51">
        <w:rPr>
          <w:rFonts w:ascii="Times New Roman" w:cs="Times New Roman"/>
          <w:color w:val="000000" w:themeColor="text1"/>
          <w:spacing w:val="0"/>
        </w:rPr>
        <w:softHyphen/>
        <w:t>статочным для надежного поражения цели. Это приводило к необходимости нанесения повторных ударов. Но танки к этому време</w:t>
      </w:r>
      <w:r w:rsidRPr="00271E51">
        <w:rPr>
          <w:rFonts w:ascii="Times New Roman" w:cs="Times New Roman"/>
          <w:color w:val="000000" w:themeColor="text1"/>
          <w:spacing w:val="0"/>
        </w:rPr>
        <w:softHyphen/>
        <w:t>ни успевали рассредоточиться - «отсюда большой расход средств при минимальной эффективности».</w:t>
      </w:r>
    </w:p>
    <w:p w14:paraId="4CE4D5A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Высота сброса зачастую оказывалась 500-600 м и выше, тогда как инструкцией по боевому применению ПТАБ рекомен</w:t>
      </w:r>
      <w:r w:rsidRPr="00271E51">
        <w:rPr>
          <w:rFonts w:ascii="Times New Roman" w:cs="Times New Roman"/>
          <w:color w:val="000000" w:themeColor="text1"/>
          <w:spacing w:val="0"/>
        </w:rPr>
        <w:softHyphen/>
        <w:t>довались высоты 100-300 м. В результате получалась низкая плотность разрывов.</w:t>
      </w:r>
    </w:p>
    <w:p w14:paraId="01E57643"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Оправившись от шока, немецкие танки</w:t>
      </w:r>
      <w:r w:rsidRPr="00271E51">
        <w:rPr>
          <w:rFonts w:ascii="Times New Roman" w:cs="Times New Roman"/>
          <w:color w:val="000000" w:themeColor="text1"/>
          <w:spacing w:val="0"/>
        </w:rPr>
        <w:softHyphen/>
        <w:t>сты вскоре перешли к рассредоточенным походным и предбоевым порядкам. Есте</w:t>
      </w:r>
      <w:r w:rsidRPr="00271E51">
        <w:rPr>
          <w:rFonts w:ascii="Times New Roman" w:cs="Times New Roman"/>
          <w:color w:val="000000" w:themeColor="text1"/>
          <w:spacing w:val="0"/>
        </w:rPr>
        <w:softHyphen/>
        <w:t>ственно, это затруднило управление тан</w:t>
      </w:r>
      <w:r w:rsidRPr="00271E51">
        <w:rPr>
          <w:rFonts w:ascii="Times New Roman" w:cs="Times New Roman"/>
          <w:color w:val="000000" w:themeColor="text1"/>
          <w:spacing w:val="0"/>
        </w:rPr>
        <w:softHyphen/>
        <w:t>ковыми частями, увеличило сроки их раз</w:t>
      </w:r>
      <w:r w:rsidRPr="00271E51">
        <w:rPr>
          <w:rFonts w:ascii="Times New Roman" w:cs="Times New Roman"/>
          <w:color w:val="000000" w:themeColor="text1"/>
          <w:spacing w:val="0"/>
        </w:rPr>
        <w:softHyphen/>
        <w:t>вертывания, сосредоточения, усложнило взаимодействие между ними.</w:t>
      </w:r>
    </w:p>
    <w:p w14:paraId="5AF68EDA"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ударов Ил-2 с примене</w:t>
      </w:r>
      <w:r w:rsidRPr="00271E51">
        <w:rPr>
          <w:rFonts w:ascii="Times New Roman" w:cs="Times New Roman"/>
          <w:color w:val="000000" w:themeColor="text1"/>
          <w:spacing w:val="0"/>
        </w:rPr>
        <w:softHyphen/>
        <w:t>нием ПТАБ понизилась, примерно в 4-4,5 раза, оставаясь, тем не менее, в среднем в 2-3 раза выше, чем при использовании фугасных и осколочно-фугасных авиабомб.</w:t>
      </w:r>
    </w:p>
    <w:p w14:paraId="3FD328F9"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Боевой опыт показал, что потери танков в среднем до 15% от общего числа, под</w:t>
      </w:r>
      <w:r w:rsidRPr="00271E51">
        <w:rPr>
          <w:rFonts w:ascii="Times New Roman" w:cs="Times New Roman"/>
          <w:color w:val="000000" w:themeColor="text1"/>
          <w:spacing w:val="0"/>
        </w:rPr>
        <w:softHyphen/>
        <w:t>вергшихся удару, достигались в тех случа</w:t>
      </w:r>
      <w:r w:rsidRPr="00271E51">
        <w:rPr>
          <w:rFonts w:ascii="Times New Roman" w:cs="Times New Roman"/>
          <w:color w:val="000000" w:themeColor="text1"/>
          <w:spacing w:val="0"/>
        </w:rPr>
        <w:softHyphen/>
        <w:t>ях, когда на каждые 10-20 танков выделялся наряд сил около 3-5 групп Ил-2 (по 6 машин в каждой группе), которые действовали по</w:t>
      </w:r>
      <w:r w:rsidRPr="00271E51">
        <w:rPr>
          <w:rFonts w:ascii="Times New Roman" w:cs="Times New Roman"/>
          <w:color w:val="000000" w:themeColor="text1"/>
          <w:spacing w:val="0"/>
        </w:rPr>
        <w:softHyphen/>
        <w:t>следовательно одна за другой или по две одновременно.</w:t>
      </w:r>
    </w:p>
    <w:p w14:paraId="22D7B8E4"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Высокую эффективность ПТАБ показы</w:t>
      </w:r>
      <w:r w:rsidRPr="00271E51">
        <w:rPr>
          <w:rFonts w:ascii="Times New Roman" w:cs="Times New Roman"/>
          <w:color w:val="000000" w:themeColor="text1"/>
          <w:spacing w:val="0"/>
        </w:rPr>
        <w:softHyphen/>
        <w:t>вали и при действии по открытым складам боеприпасов и скоплениям боевой тех</w:t>
      </w:r>
      <w:r w:rsidRPr="00271E51">
        <w:rPr>
          <w:rFonts w:ascii="Times New Roman" w:cs="Times New Roman"/>
          <w:color w:val="000000" w:themeColor="text1"/>
          <w:spacing w:val="0"/>
        </w:rPr>
        <w:softHyphen/>
        <w:t>ники вследствие большого числа прямых попаданий. При этом автомашины, тя</w:t>
      </w:r>
      <w:r w:rsidRPr="00271E51">
        <w:rPr>
          <w:rFonts w:ascii="Times New Roman" w:cs="Times New Roman"/>
          <w:color w:val="000000" w:themeColor="text1"/>
          <w:spacing w:val="0"/>
        </w:rPr>
        <w:softHyphen/>
        <w:t>гачи и бронетранспортеры, как правило, полностью сгорали, а боеприпасы в шта</w:t>
      </w:r>
      <w:r w:rsidRPr="00271E51">
        <w:rPr>
          <w:rFonts w:ascii="Times New Roman" w:cs="Times New Roman"/>
          <w:color w:val="000000" w:themeColor="text1"/>
          <w:spacing w:val="0"/>
        </w:rPr>
        <w:softHyphen/>
        <w:t>белях подрывались не только при прямом попадании ПТАБ в их корпуса, но и через укупорку.</w:t>
      </w:r>
    </w:p>
    <w:p w14:paraId="48DCD3E6"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Государственный Комитет Обороны своим постановлением прекратил серийный вы</w:t>
      </w:r>
      <w:r w:rsidRPr="00271E51">
        <w:rPr>
          <w:rFonts w:ascii="Times New Roman" w:cs="Times New Roman"/>
          <w:color w:val="000000" w:themeColor="text1"/>
          <w:spacing w:val="0"/>
        </w:rPr>
        <w:softHyphen/>
        <w:t>пуск противотанкового ва</w:t>
      </w:r>
      <w:r w:rsidRPr="00271E51">
        <w:rPr>
          <w:rFonts w:ascii="Times New Roman" w:cs="Times New Roman"/>
          <w:color w:val="000000" w:themeColor="text1"/>
          <w:spacing w:val="0"/>
        </w:rPr>
        <w:softHyphen/>
        <w:t>рианта Ил-2, вооруженного 37-мм пушками НС-37 ОКБ- 16, сделав окончательный выбор в пользу установки на самолет пушек ВЯ-23. Ос</w:t>
      </w:r>
      <w:r w:rsidRPr="00271E51">
        <w:rPr>
          <w:rFonts w:ascii="Times New Roman" w:cs="Times New Roman"/>
          <w:color w:val="000000" w:themeColor="text1"/>
          <w:spacing w:val="0"/>
        </w:rPr>
        <w:softHyphen/>
        <w:t>нованием для такого реше</w:t>
      </w:r>
      <w:r w:rsidRPr="00271E51">
        <w:rPr>
          <w:rFonts w:ascii="Times New Roman" w:cs="Times New Roman"/>
          <w:color w:val="000000" w:themeColor="text1"/>
          <w:spacing w:val="0"/>
        </w:rPr>
        <w:softHyphen/>
        <w:t>ния послужили результаты войсковых испытаний Ил-2 с НС-37, которые сочли неу</w:t>
      </w:r>
      <w:r w:rsidRPr="00271E51">
        <w:rPr>
          <w:rFonts w:ascii="Times New Roman" w:cs="Times New Roman"/>
          <w:color w:val="000000" w:themeColor="text1"/>
          <w:spacing w:val="0"/>
        </w:rPr>
        <w:softHyphen/>
        <w:t>довлетворительными. Вместо Ил-2 с НС-37 против танков предполагали использовать истребители Як-9т с такой же пушкой.</w:t>
      </w:r>
    </w:p>
    <w:p w14:paraId="5ABA0CEC"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Действительно, на фоне впечатляю</w:t>
      </w:r>
      <w:r w:rsidRPr="00271E51">
        <w:rPr>
          <w:rFonts w:ascii="Times New Roman" w:cs="Times New Roman"/>
          <w:color w:val="000000" w:themeColor="text1"/>
          <w:spacing w:val="0"/>
        </w:rPr>
        <w:softHyphen/>
        <w:t>щего успеха ПТАБ-2,5-1,5 донесения из действующей армии о боевом применении Ил-2 с НС-37 выглядели не самым лучшим образом. Из документов следовало, что по</w:t>
      </w:r>
      <w:r w:rsidRPr="00271E51">
        <w:rPr>
          <w:rFonts w:ascii="Times New Roman" w:cs="Times New Roman"/>
          <w:color w:val="000000" w:themeColor="text1"/>
          <w:spacing w:val="0"/>
        </w:rPr>
        <w:softHyphen/>
        <w:t>давляющая масса строевых летчиков при стрельбе с самолета Ил-2 из пушек НС-37 просто не в состоянии уверенно попадать в танк противника. Из-за большой отдачи пушек при стрельбе (около 5 т), несинхрон</w:t>
      </w:r>
      <w:r w:rsidRPr="00271E51">
        <w:rPr>
          <w:rFonts w:ascii="Times New Roman" w:cs="Times New Roman"/>
          <w:color w:val="000000" w:themeColor="text1"/>
          <w:spacing w:val="0"/>
        </w:rPr>
        <w:softHyphen/>
        <w:t>ности в их работе, а также малого запаса продольной устойчивости и усложнения техники пилотирования, самолет Ил-2 при стрельбе в воздухе из пушек НС-37 испыты</w:t>
      </w:r>
      <w:r w:rsidRPr="00271E51">
        <w:rPr>
          <w:rFonts w:ascii="Times New Roman" w:cs="Times New Roman"/>
          <w:color w:val="000000" w:themeColor="text1"/>
          <w:spacing w:val="0"/>
        </w:rPr>
        <w:softHyphen/>
        <w:t>вал сильные «клевки», толчки и сбивался с линии визирования цели. Прицельным был только первый выстрел. Даже в условиях полигона попадания в танки были получены лишь в 43% вылетов, а число попаданий к израсходованному боекомплекту состави</w:t>
      </w:r>
      <w:r w:rsidRPr="00271E51">
        <w:rPr>
          <w:rFonts w:ascii="Times New Roman" w:cs="Times New Roman"/>
          <w:color w:val="000000" w:themeColor="text1"/>
          <w:spacing w:val="0"/>
        </w:rPr>
        <w:softHyphen/>
        <w:t>ло только 3%. Строевые же летчики с недо</w:t>
      </w:r>
      <w:r w:rsidRPr="00271E51">
        <w:rPr>
          <w:rFonts w:ascii="Times New Roman" w:cs="Times New Roman"/>
          <w:color w:val="000000" w:themeColor="text1"/>
          <w:spacing w:val="0"/>
        </w:rPr>
        <w:softHyphen/>
        <w:t>статочной летной и стрелковой подготовкой стреляли значительно хуже. Получалось, что летному составу, летавшему на этих самолетах, необходимо было дать специ</w:t>
      </w:r>
      <w:r w:rsidRPr="00271E51">
        <w:rPr>
          <w:rFonts w:ascii="Times New Roman" w:cs="Times New Roman"/>
          <w:color w:val="000000" w:themeColor="text1"/>
          <w:spacing w:val="0"/>
        </w:rPr>
        <w:softHyphen/>
        <w:t>альную подготовку в ведении снайперской стрельбы короткими очередями по отдель</w:t>
      </w:r>
      <w:r w:rsidRPr="00271E51">
        <w:rPr>
          <w:rFonts w:ascii="Times New Roman" w:cs="Times New Roman"/>
          <w:color w:val="000000" w:themeColor="text1"/>
          <w:spacing w:val="0"/>
        </w:rPr>
        <w:softHyphen/>
        <w:t>ным танкам, бронетранспортерам, и т.д. А вот применение ПТАБ особого обучения не требовало. Вполне было достаточно пройти стандартный курс боевой подготов</w:t>
      </w:r>
      <w:r w:rsidRPr="00271E51">
        <w:rPr>
          <w:rFonts w:ascii="Times New Roman" w:cs="Times New Roman"/>
          <w:color w:val="000000" w:themeColor="text1"/>
          <w:spacing w:val="0"/>
        </w:rPr>
        <w:softHyphen/>
        <w:t>ки штурмовой авиации.</w:t>
      </w:r>
    </w:p>
    <w:p w14:paraId="2E8EA8E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стрельбы в воздухе из НС-37 с самолета Ил-2 по немецкой броне</w:t>
      </w:r>
      <w:r w:rsidRPr="00271E51">
        <w:rPr>
          <w:rFonts w:ascii="Times New Roman" w:cs="Times New Roman"/>
          <w:color w:val="000000" w:themeColor="text1"/>
          <w:spacing w:val="0"/>
        </w:rPr>
        <w:softHyphen/>
        <w:t>технике характеризовалась тем, что только 52% попаданий снарядов по среднему танку и 73% попаданий по легкому танку выводи</w:t>
      </w:r>
      <w:r w:rsidRPr="00271E51">
        <w:rPr>
          <w:rFonts w:ascii="Times New Roman" w:cs="Times New Roman"/>
          <w:color w:val="000000" w:themeColor="text1"/>
          <w:spacing w:val="0"/>
        </w:rPr>
        <w:softHyphen/>
        <w:t>ли их из строя. В остальных случаях снаряды давали рикошет или не пробивало броню, а часть снарядов после пробития брони попадала в малоуязвимые места танка, не выводя его из строя.</w:t>
      </w:r>
    </w:p>
    <w:p w14:paraId="31F37B38"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Между тем ограниченные углы пики</w:t>
      </w:r>
      <w:r w:rsidRPr="00271E51">
        <w:rPr>
          <w:rFonts w:ascii="Times New Roman" w:cs="Times New Roman"/>
          <w:color w:val="000000" w:themeColor="text1"/>
          <w:spacing w:val="0"/>
        </w:rPr>
        <w:softHyphen/>
        <w:t>рования (до 30-35°) самолета Ил-2 не по</w:t>
      </w:r>
      <w:r w:rsidRPr="00271E51">
        <w:rPr>
          <w:rFonts w:ascii="Times New Roman" w:cs="Times New Roman"/>
          <w:color w:val="000000" w:themeColor="text1"/>
          <w:spacing w:val="0"/>
        </w:rPr>
        <w:softHyphen/>
        <w:t>зволяли «использовать возможности НС-37 более полно для поражения танков», то есть вести огонь по наиболее тонкой верхней броне танков, обеспечивая при этом углы встречи снаряда с броней не более 25-30°, что вполне исключало рикошет и гаранти</w:t>
      </w:r>
      <w:r w:rsidRPr="00271E51">
        <w:rPr>
          <w:rFonts w:ascii="Times New Roman" w:cs="Times New Roman"/>
          <w:color w:val="000000" w:themeColor="text1"/>
          <w:spacing w:val="0"/>
        </w:rPr>
        <w:softHyphen/>
        <w:t>ровало пробитие брони.</w:t>
      </w:r>
    </w:p>
    <w:p w14:paraId="64CAD521"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Изучив материалы боевого примене</w:t>
      </w:r>
      <w:r w:rsidRPr="00271E51">
        <w:rPr>
          <w:rFonts w:ascii="Times New Roman" w:cs="Times New Roman"/>
          <w:color w:val="000000" w:themeColor="text1"/>
          <w:spacing w:val="0"/>
        </w:rPr>
        <w:softHyphen/>
        <w:t>ния самолетов с 37-мм пушками, офицеры оперативного управления штаба ВВС КА констатировали: «самолет Ил-2 не в состо</w:t>
      </w:r>
      <w:r w:rsidRPr="00271E51">
        <w:rPr>
          <w:rFonts w:ascii="Times New Roman" w:cs="Times New Roman"/>
          <w:color w:val="000000" w:themeColor="text1"/>
          <w:spacing w:val="0"/>
        </w:rPr>
        <w:softHyphen/>
        <w:t>янии использовать высокие боевые каче</w:t>
      </w:r>
      <w:r w:rsidRPr="00271E51">
        <w:rPr>
          <w:rFonts w:ascii="Times New Roman" w:cs="Times New Roman"/>
          <w:color w:val="000000" w:themeColor="text1"/>
          <w:spacing w:val="0"/>
        </w:rPr>
        <w:softHyphen/>
        <w:t>ства пушки ОКБ-16, а потому с точки зре</w:t>
      </w:r>
      <w:r w:rsidRPr="00271E51">
        <w:rPr>
          <w:rFonts w:ascii="Times New Roman" w:cs="Times New Roman"/>
          <w:color w:val="000000" w:themeColor="text1"/>
          <w:spacing w:val="0"/>
        </w:rPr>
        <w:softHyphen/>
        <w:t xml:space="preserve">ния борьбы с немецкими тяжелыми танками уступает Ил-2 с ВЯ». Поражение из пушек </w:t>
      </w:r>
      <w:r w:rsidRPr="00271E51">
        <w:rPr>
          <w:rFonts w:ascii="Times New Roman" w:cs="Times New Roman"/>
          <w:color w:val="000000" w:themeColor="text1"/>
          <w:spacing w:val="0"/>
        </w:rPr>
        <w:lastRenderedPageBreak/>
        <w:t>ОКБ-16 средних и тяжелых немецких танков было «возможно лишь после многократных атак, то есть при действии по деморализо</w:t>
      </w:r>
      <w:r w:rsidRPr="00271E51">
        <w:rPr>
          <w:rFonts w:ascii="Times New Roman" w:cs="Times New Roman"/>
          <w:color w:val="000000" w:themeColor="text1"/>
          <w:spacing w:val="0"/>
        </w:rPr>
        <w:softHyphen/>
        <w:t>ванному противнику, сопротивление кото</w:t>
      </w:r>
      <w:r w:rsidRPr="00271E51">
        <w:rPr>
          <w:rFonts w:ascii="Times New Roman" w:cs="Times New Roman"/>
          <w:color w:val="000000" w:themeColor="text1"/>
          <w:spacing w:val="0"/>
        </w:rPr>
        <w:softHyphen/>
        <w:t>рого подавлено».</w:t>
      </w:r>
    </w:p>
    <w:p w14:paraId="545F3F42"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оценкам получалось, что для выве</w:t>
      </w:r>
      <w:r w:rsidRPr="00271E51">
        <w:rPr>
          <w:rFonts w:ascii="Times New Roman" w:cs="Times New Roman"/>
          <w:color w:val="000000" w:themeColor="text1"/>
          <w:spacing w:val="0"/>
        </w:rPr>
        <w:softHyphen/>
        <w:t xml:space="preserve">дения из строя, например, немецкого танка </w:t>
      </w:r>
      <w:r w:rsidRPr="00271E51">
        <w:rPr>
          <w:rStyle w:val="aff6"/>
          <w:rFonts w:ascii="Times New Roman" w:hAnsi="Times New Roman" w:cs="Times New Roman"/>
          <w:i w:val="0"/>
          <w:color w:val="000000" w:themeColor="text1"/>
          <w:spacing w:val="0"/>
        </w:rPr>
        <w:t>Рг.У</w:t>
      </w:r>
      <w:r w:rsidRPr="00271E51">
        <w:rPr>
          <w:rFonts w:ascii="Times New Roman" w:cs="Times New Roman"/>
          <w:color w:val="000000" w:themeColor="text1"/>
          <w:spacing w:val="0"/>
        </w:rPr>
        <w:t xml:space="preserve"> «Пантера» требовалось не менее 3-4 попаданий. Следовательно, для пораже</w:t>
      </w:r>
      <w:r w:rsidRPr="00271E51">
        <w:rPr>
          <w:rFonts w:ascii="Times New Roman" w:cs="Times New Roman"/>
          <w:color w:val="000000" w:themeColor="text1"/>
          <w:spacing w:val="0"/>
        </w:rPr>
        <w:softHyphen/>
        <w:t>ния одной «Пантеры» необходимо было израсходовать около 100-125 снарядов, то есть выделить два самолета Ил-2 с НС-37, которые выполнят по 6-8 заходов каждый. Принимая в расчет 100 кг противотанковых авиабомб ПТАБ-2,5-1,5, входящих в бое</w:t>
      </w:r>
      <w:r w:rsidRPr="00271E51">
        <w:rPr>
          <w:rFonts w:ascii="Times New Roman" w:cs="Times New Roman"/>
          <w:color w:val="000000" w:themeColor="text1"/>
          <w:spacing w:val="0"/>
        </w:rPr>
        <w:softHyphen/>
        <w:t>вую зарядку противотанкового Ил-2, один такой самолет мог «огнем пушек и ПТАБ в среднем поразить один танк».</w:t>
      </w:r>
    </w:p>
    <w:p w14:paraId="650AB2DF"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Между тем для уничтожения ПТАБами одиночного танка любого типа требова</w:t>
      </w:r>
      <w:r w:rsidRPr="00271E51">
        <w:rPr>
          <w:rFonts w:ascii="Times New Roman" w:cs="Times New Roman"/>
          <w:color w:val="000000" w:themeColor="text1"/>
          <w:spacing w:val="0"/>
        </w:rPr>
        <w:softHyphen/>
        <w:t>лось в среднем два самолета Ил-2 с ВЯ-23, а «при действиях по плотному скоплению танков у мест заправки, в теснинах, у пере</w:t>
      </w:r>
      <w:r w:rsidRPr="00271E51">
        <w:rPr>
          <w:rFonts w:ascii="Times New Roman" w:cs="Times New Roman"/>
          <w:color w:val="000000" w:themeColor="text1"/>
          <w:spacing w:val="0"/>
        </w:rPr>
        <w:softHyphen/>
        <w:t>прав, на погрузке и т.д. бомбовая зарядка одного самолета обеспечивает поражение ПТАБами 2-3 танков».</w:t>
      </w:r>
    </w:p>
    <w:p w14:paraId="667D046E"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этом Ил-2 с пушками ВЯ-23 имели одно очень важное тактическое преимуще</w:t>
      </w:r>
      <w:r w:rsidRPr="00271E51">
        <w:rPr>
          <w:rFonts w:ascii="Times New Roman" w:cs="Times New Roman"/>
          <w:color w:val="000000" w:themeColor="text1"/>
          <w:spacing w:val="0"/>
        </w:rPr>
        <w:softHyphen/>
        <w:t>ство перед Ил-2 с 37-мм пушками - во всех случаях «ПТАБы сбрасываются с одного- двух заходов».</w:t>
      </w:r>
    </w:p>
    <w:p w14:paraId="651FCD9F"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Важным обстоятельством в пользу ПТАБ являлось и то, что в производстве бомба была проста, и ее изготовление обходилось очень дешево. Это позволяло выпускать их в большом количестве и массово применять на поле боя (12738).</w:t>
      </w:r>
    </w:p>
    <w:p w14:paraId="1020288D"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p>
    <w:p w14:paraId="3CC07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 июля 1943 согласно данным противника штурмовики-гвардейцы 8-го </w:t>
      </w:r>
      <w:r w:rsidRPr="00271E51">
        <w:rPr>
          <w:rFonts w:ascii="Times New Roman" w:hAnsi="Times New Roman"/>
          <w:iCs/>
          <w:color w:val="000000" w:themeColor="text1"/>
          <w:sz w:val="16"/>
          <w:szCs w:val="16"/>
        </w:rPr>
        <w:t xml:space="preserve">гшап </w:t>
      </w:r>
      <w:r w:rsidRPr="00271E51">
        <w:rPr>
          <w:rFonts w:ascii="Times New Roman" w:hAnsi="Times New Roman"/>
          <w:color w:val="000000" w:themeColor="text1"/>
          <w:sz w:val="16"/>
          <w:szCs w:val="16"/>
        </w:rPr>
        <w:t xml:space="preserve">повредили - еще одну БДБ из состава конвоя, идущего на Анапу. Удар штурмовиков 8-го </w:t>
      </w:r>
      <w:r w:rsidRPr="00271E51">
        <w:rPr>
          <w:rFonts w:ascii="Times New Roman" w:hAnsi="Times New Roman"/>
          <w:iCs/>
          <w:color w:val="000000" w:themeColor="text1"/>
          <w:sz w:val="16"/>
          <w:szCs w:val="16"/>
        </w:rPr>
        <w:t>гшап</w:t>
      </w:r>
      <w:r w:rsidRPr="00271E51">
        <w:rPr>
          <w:rFonts w:ascii="Times New Roman" w:hAnsi="Times New Roman"/>
          <w:color w:val="000000" w:themeColor="text1"/>
          <w:sz w:val="16"/>
          <w:szCs w:val="16"/>
        </w:rPr>
        <w:t xml:space="preserve"> 10 июля примечателен тем, что противник при</w:t>
      </w:r>
      <w:r w:rsidRPr="00271E51">
        <w:rPr>
          <w:rFonts w:ascii="Times New Roman" w:hAnsi="Times New Roman"/>
          <w:color w:val="000000" w:themeColor="text1"/>
          <w:sz w:val="16"/>
          <w:szCs w:val="16"/>
        </w:rPr>
        <w:softHyphen/>
        <w:t>менил новый тактический прием. В рай</w:t>
      </w:r>
      <w:r w:rsidRPr="00271E51">
        <w:rPr>
          <w:rFonts w:ascii="Times New Roman" w:hAnsi="Times New Roman"/>
          <w:color w:val="000000" w:themeColor="text1"/>
          <w:sz w:val="16"/>
          <w:szCs w:val="16"/>
        </w:rPr>
        <w:softHyphen/>
        <w:t xml:space="preserve">оне м. Железный Рог 8 Ил-2 (ведущий - к-н Н.И.Николаев), под прикрытием 12 Як-1 9-го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обнаружили рассредото</w:t>
      </w:r>
      <w:r w:rsidRPr="00271E51">
        <w:rPr>
          <w:rFonts w:ascii="Times New Roman" w:hAnsi="Times New Roman"/>
          <w:color w:val="000000" w:themeColor="text1"/>
          <w:sz w:val="16"/>
          <w:szCs w:val="16"/>
        </w:rPr>
        <w:softHyphen/>
        <w:t>ченные в шахматном порядке 7 БДБ и 3 сторожевых катера. Такое тактичес</w:t>
      </w:r>
      <w:r w:rsidRPr="00271E51">
        <w:rPr>
          <w:rFonts w:ascii="Times New Roman" w:hAnsi="Times New Roman"/>
          <w:color w:val="000000" w:themeColor="text1"/>
          <w:sz w:val="16"/>
          <w:szCs w:val="16"/>
        </w:rPr>
        <w:softHyphen/>
        <w:t>кое построение конвоя было для летчи</w:t>
      </w:r>
      <w:r w:rsidRPr="00271E51">
        <w:rPr>
          <w:rFonts w:ascii="Times New Roman" w:hAnsi="Times New Roman"/>
          <w:color w:val="000000" w:themeColor="text1"/>
          <w:sz w:val="16"/>
          <w:szCs w:val="16"/>
        </w:rPr>
        <w:softHyphen/>
        <w:t>ков-черноморцев новинкой. Учитывая тактическое построение конвоя, штурмо</w:t>
      </w:r>
      <w:r w:rsidRPr="00271E51">
        <w:rPr>
          <w:rFonts w:ascii="Times New Roman" w:hAnsi="Times New Roman"/>
          <w:color w:val="000000" w:themeColor="text1"/>
          <w:sz w:val="16"/>
          <w:szCs w:val="16"/>
        </w:rPr>
        <w:softHyphen/>
        <w:t>вики разделились. Каждое звено выбирало себе цели самостоятельно. Удар наносился парами в составе звеньев. Каждая пара Ил-2 атаковала по одной БДБ. В первом заходе применялись бом</w:t>
      </w:r>
      <w:r w:rsidRPr="00271E51">
        <w:rPr>
          <w:rFonts w:ascii="Times New Roman" w:hAnsi="Times New Roman"/>
          <w:color w:val="000000" w:themeColor="text1"/>
          <w:sz w:val="16"/>
          <w:szCs w:val="16"/>
        </w:rPr>
        <w:softHyphen/>
        <w:t>бы и PC, во втором - пулеметно-пушечное вооружение. На отходе от цели эки</w:t>
      </w:r>
      <w:r w:rsidRPr="00271E51">
        <w:rPr>
          <w:rFonts w:ascii="Times New Roman" w:hAnsi="Times New Roman"/>
          <w:color w:val="000000" w:themeColor="text1"/>
          <w:sz w:val="16"/>
          <w:szCs w:val="16"/>
        </w:rPr>
        <w:softHyphen/>
        <w:t>пажи наблюдали 4 горящие БДБ. От зенитного огня 4 "Ила" получили серь</w:t>
      </w:r>
      <w:r w:rsidRPr="00271E51">
        <w:rPr>
          <w:rFonts w:ascii="Times New Roman" w:hAnsi="Times New Roman"/>
          <w:color w:val="000000" w:themeColor="text1"/>
          <w:sz w:val="16"/>
          <w:szCs w:val="16"/>
        </w:rPr>
        <w:softHyphen/>
        <w:t>езные повреждения. Уже на подлете к своему аэродрому на Ил-2 с-та Полуэктова отказал мотор. Пришлось садиться с убранными шасси на лес. По счастью, экипаж остался жив (6467).</w:t>
      </w:r>
    </w:p>
    <w:p w14:paraId="3D9F4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471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воздушная разведка 2ВА вскрыла перегруппировку танковых и моторизованных войск противника на прохоровское направление, их состав и районы сосредоточения, что позволило командованию ВФ своевременно подготовить и нанести контрудар, который закончился тяжелым поражением врага (518,234).</w:t>
      </w:r>
    </w:p>
    <w:p w14:paraId="76B1A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интересах контрударов вели как тактическую, так и оперативную воздушную разведку и при нанесении армейских контрударов разведывали на 30-40 км, а фронтовых - 60-70 км.</w:t>
      </w:r>
    </w:p>
    <w:p w14:paraId="18879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контрударов под Курском тактическая воздушная разведка велась не реже одного просмотра в час, а оперативная - каждые 4-5 часов, а в среднем в ходе оборонительных боев разведка велась в 2-3 раза реже. Главная тяжесть ложилась на истребителей (518,235).</w:t>
      </w:r>
    </w:p>
    <w:p w14:paraId="247171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46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Вечером 10 июля 1943 года командование Воронежского фронта получило приказ Ставки ВГК о проведении контрудара по группировке немецких войск, наступавшей на Прохоровском направлении (3862).</w:t>
      </w:r>
    </w:p>
    <w:p w14:paraId="3DCE52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этой цели из состава резервного Степного фронта в состав Воронежского фронта были переданы 5-я гв. армия генерал-лейтенанта А.С.Жадова и 5-я гв. танковая армия генерал-лейтенанта танковых войск П.А.Ротмистрова. 5 гв.ТА была первой танковой армией однородного состава. Ее формирование началось 10 февраля 1943 года, и к началу Курской битвы она дислоцировалась в районе Острогожска (Воронежская обл.) (3862).</w:t>
      </w:r>
    </w:p>
    <w:p w14:paraId="2F2D6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 армии входили 18-й танковый корпус, 29-й танковый корпус и 5-й Гвардейский механизированный корпус (3862).</w:t>
      </w:r>
    </w:p>
    <w:p w14:paraId="7B1E5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8F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 1-й гвардейской Сталинградской иад и 273-ю иад 6-го иак (16 ВА, Центральный фронт), где проходили войсковые испытания Як-9Т - недосчитались еще двух машин. Самолет № 0112 (54 гкиап) не вернулся с задания в третьем боевом вылете. В тот же день в бою с FW-190 и Ме-110, во время прикрытия наземных войск, был сбит истребитель № 0150 из 55 гхиап, на счету этой машины было 13 боевых вылета (12046).</w:t>
      </w:r>
    </w:p>
    <w:p w14:paraId="7CB97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10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 по 18 июля 1943 в 54-м гкиап, из-за отсутствия исправных истребителей на Як-9Т выполнили шесть боевых вылетов на прикрытие наземных войск в группах от двух до четырех самолетов, а с 20 по 24 июля - 12 боевых вылетов на разведку парами. Кроме этого, с 7 по 17 июля проведено пять групповых вылетов Як-9Т на прикрытие наземных войск, с 20 по 24 июля - восемь групповых вылетов (три Як-9Т и один Як-1) на разведку (12046).</w:t>
      </w:r>
    </w:p>
    <w:p w14:paraId="40B674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9660F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года Командир взвода Т-34 49-й танковой бригады лейтенант Григорий Бражников в бою в районе высоты 244 (Центральный фронт) из засады с дистанции 350-400 метров подбил 5 немецких танков, несмотря на то, что тридцатьчетверка Бражникова была сожжена ответным артогнем, экипаж остался жив. Всего к 10 июля 1943 года, с учетом ранее подбитых машин противника, на счету экипажа Бражникова числилось 14 немецких танков (12217).</w:t>
      </w:r>
    </w:p>
    <w:p w14:paraId="4E11BF0A"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9DAB3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10 1943 Due to heavy losses and slow progress by the Panzers, Hoth is obligated to commit his reserves to the battle. They are merely chewed up along with hundreds of other German and Russian tanks (1052).</w:t>
      </w:r>
    </w:p>
    <w:p w14:paraId="76130F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6B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из-за тяжелых потерь на Курской дуге г Гот был вынужден ввести в действие резервы (1052).</w:t>
      </w:r>
    </w:p>
    <w:p w14:paraId="1EDCF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5BB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10 июля 1943 наступательные возможности н войск на орловско-курском направлении иссякли и н перешли к обороне. На белгородско-курском - бои продолжались еще несколько дней. Когда н отказались от идеи прорыва к Курску кратчайшим путем с юга через Обоянь, стали искать уязвимые места в обороне и сосредоточились на Прохоровке. Именно тогда и возникла идея встречного контрудара (430,146).</w:t>
      </w:r>
    </w:p>
    <w:p w14:paraId="0E74C8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47CC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B74B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F8CE7"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в 1943 году части 8-й британской и 7-й американской армий высадились на южном побережье Сицилии. Начались военные действия вооруженных сил США и Великобритании против немецко-фашистских и итало-фашистских войск в Италии во время Второй мировой войны (Итальянская кампания 1943-1945 гг.) (14948).</w:t>
      </w:r>
    </w:p>
    <w:p w14:paraId="67AD5002" w14:textId="77777777" w:rsidR="00577522" w:rsidRPr="00271E51" w:rsidRDefault="00577522" w:rsidP="00271E51">
      <w:pPr>
        <w:spacing w:after="0" w:line="240" w:lineRule="auto"/>
        <w:jc w:val="both"/>
        <w:rPr>
          <w:rFonts w:ascii="Times New Roman" w:hAnsi="Times New Roman"/>
          <w:color w:val="000000" w:themeColor="text1"/>
          <w:sz w:val="16"/>
          <w:szCs w:val="16"/>
        </w:rPr>
      </w:pPr>
    </w:p>
    <w:p w14:paraId="7EE3519C"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 июля в 1943 году пара немецких транспортных самолетов </w:t>
      </w:r>
      <w:hyperlink r:id="rId18" w:tgtFrame="_blank" w:history="1">
        <w:r w:rsidRPr="00271E51">
          <w:rPr>
            <w:rFonts w:ascii="Times New Roman" w:hAnsi="Times New Roman"/>
            <w:color w:val="000000" w:themeColor="text1"/>
            <w:sz w:val="16"/>
            <w:szCs w:val="16"/>
          </w:rPr>
          <w:t xml:space="preserve">«Me 323» «Гигант» </w:t>
        </w:r>
      </w:hyperlink>
      <w:r w:rsidRPr="00271E51">
        <w:rPr>
          <w:rFonts w:ascii="Times New Roman" w:hAnsi="Times New Roman"/>
          <w:color w:val="000000" w:themeColor="text1"/>
          <w:sz w:val="16"/>
          <w:szCs w:val="16"/>
        </w:rPr>
        <w:t>доставила на аэродром Катанья артиллерию 1-й парашютно-десантной дивизии (14948).</w:t>
      </w:r>
    </w:p>
    <w:p w14:paraId="71BEDBA9" w14:textId="77777777" w:rsidR="00577522" w:rsidRPr="00271E51" w:rsidRDefault="00577522" w:rsidP="00271E51">
      <w:pPr>
        <w:spacing w:after="0" w:line="240" w:lineRule="auto"/>
        <w:jc w:val="both"/>
        <w:rPr>
          <w:rFonts w:ascii="Times New Roman" w:hAnsi="Times New Roman"/>
          <w:color w:val="000000" w:themeColor="text1"/>
          <w:sz w:val="16"/>
          <w:szCs w:val="16"/>
        </w:rPr>
      </w:pPr>
    </w:p>
    <w:p w14:paraId="41FDC45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войска союзников высадились на Сицилии (операция “Хаски”) (4962).</w:t>
      </w:r>
    </w:p>
    <w:p w14:paraId="3F618D9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8130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10th, 1943: Operation Husky, the Allied invasion of Sicily, is now fully underway with 12 divisions (160,000 men and 600 tanks) of the US Seventh (Patton) and the British Eighth (Montgomery) Armies being brought ashore by 3,000 landing craft (200 sunk by rough seas) on the southeast coast of Sicily.While the British approaching Syracuse meet with little German resistance, the US forces are held back by strong counter-attacks of the Hermann G=F6ring and the Italian Livorno Divisions (3819).</w:t>
      </w:r>
    </w:p>
    <w:p w14:paraId="231D08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DE4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развернулась в полном масштабе операция Хаски - 12 дивизий - 160 тыс. чел. и 600 танков в составе 7А США (Паттон) и8А (Монтгомери). При высадке использовалось 3000 десантных судов (200 пошли на дно из-за волнения) на юго-восточном побережье Сицилии. Англичане сопротивления почти не встретили, а американцы столкнулись с контратаками немцев и итальянцев (3819).</w:t>
      </w:r>
    </w:p>
    <w:p w14:paraId="0A0C5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E7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10 July 1943 Roosevelt orders US atom bomb research to be shared with British scientists (270).</w:t>
      </w:r>
    </w:p>
    <w:p w14:paraId="7088D6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8D6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Ф.Д.Р. издал приказ о передаче атомных секретов англичанам (270).</w:t>
      </w:r>
    </w:p>
    <w:p w14:paraId="67720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7C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1943 Постановление Генсовета НОФА о создании Генштаба партизанских отрядов - положено начало формированию регулярной Национально-освободительной армии (НОА). Тогда же был избран постоянный ЦК КПА (7594).</w:t>
      </w:r>
    </w:p>
    <w:p w14:paraId="20C063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E150F"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10 июля в 1943 году (10-13 июля) сражения китайских гоминьдановских войск с коммунистическими войсками Пограничного (Особого) района Шэньси - Ганьсу - Нинься (14948).</w:t>
      </w:r>
    </w:p>
    <w:p w14:paraId="246A87A4" w14:textId="77777777" w:rsidR="00577522" w:rsidRPr="00271E51" w:rsidRDefault="00577522" w:rsidP="00271E51">
      <w:pPr>
        <w:spacing w:after="0" w:line="240" w:lineRule="auto"/>
        <w:jc w:val="both"/>
        <w:rPr>
          <w:rFonts w:ascii="Times New Roman" w:hAnsi="Times New Roman"/>
          <w:color w:val="000000" w:themeColor="text1"/>
          <w:sz w:val="16"/>
          <w:szCs w:val="16"/>
        </w:rPr>
      </w:pPr>
    </w:p>
    <w:p w14:paraId="25E251FB"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66FD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46E5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первой декаде июля 1943 г. в цехах опытного завода № 100 парал</w:t>
      </w:r>
      <w:r w:rsidRPr="00271E51">
        <w:rPr>
          <w:rFonts w:ascii="Times New Roman" w:hAnsi="Times New Roman"/>
          <w:color w:val="000000" w:themeColor="text1"/>
          <w:sz w:val="16"/>
          <w:szCs w:val="16"/>
        </w:rPr>
        <w:softHyphen/>
        <w:t>лельно с изготовлением третьего образца танка "Объект 237", сборка ко</w:t>
      </w:r>
      <w:r w:rsidRPr="00271E51">
        <w:rPr>
          <w:rFonts w:ascii="Times New Roman" w:hAnsi="Times New Roman"/>
          <w:color w:val="000000" w:themeColor="text1"/>
          <w:sz w:val="16"/>
          <w:szCs w:val="16"/>
        </w:rPr>
        <w:softHyphen/>
        <w:t>торого задерживалась из-за неготовности корпуса на заводе № 200, шла сборка трех опытных танков (двух - "Объект 238" и одного -"Объект 239"). Опытная машина "Объект 238" представляла собой танк КВ-1С с установкой в штатной башне 85-мм пушки С-31. В некоторых докумен</w:t>
      </w:r>
      <w:r w:rsidRPr="00271E51">
        <w:rPr>
          <w:rFonts w:ascii="Times New Roman" w:hAnsi="Times New Roman"/>
          <w:color w:val="000000" w:themeColor="text1"/>
          <w:sz w:val="16"/>
          <w:szCs w:val="16"/>
        </w:rPr>
        <w:softHyphen/>
        <w:t>тах этот танк назывался КВ-85Г. Опытный образец машины "Объект 239", названный впоследствии танком КВ-85 представлял собой модернизированный вариант танка КВ-1С с установкой башни от танка "Объект 237". Этот танк был разум</w:t>
      </w:r>
      <w:r w:rsidRPr="00271E51">
        <w:rPr>
          <w:rFonts w:ascii="Times New Roman" w:hAnsi="Times New Roman"/>
          <w:color w:val="000000" w:themeColor="text1"/>
          <w:sz w:val="16"/>
          <w:szCs w:val="16"/>
        </w:rPr>
        <w:softHyphen/>
        <w:t>ной инициативой ЧКЗ и завода № 100, так как было очевидно, что танк ИС к производству не готов, а танк КВ-85Г испытаний не выдержит. Основным оружием танка КВ-85 являлась 85-мм пушка Д-5Т-85. Оба опытных танка ("Объект 238" и "Объект 239") были собраны 20 июля 1943 г. и сразу же поступили на заводские испытания (10703).</w:t>
      </w:r>
    </w:p>
    <w:p w14:paraId="29F175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3C16C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F41F1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C9A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1943 С.В.И. на У-2 столкнулся с Як-1 под управлением ГСС Катрич. Як-1 задел левой ногой шасси за плоскость У-2 (1779).</w:t>
      </w:r>
    </w:p>
    <w:p w14:paraId="46C38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22FB7"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июля 1943 года в полдень на Центральном аэродроме им. М.В. Фрунзе, как следует из рапорта командующего ВВС Московского военного округа генерал-лейтенанта Сбытова командующему ВВС Красной Армии Маршалу авиации Новикову, капи</w:t>
      </w:r>
      <w:r w:rsidRPr="00271E51">
        <w:rPr>
          <w:rFonts w:ascii="Times New Roman" w:hAnsi="Times New Roman"/>
          <w:color w:val="0070C0"/>
          <w:sz w:val="16"/>
          <w:szCs w:val="16"/>
        </w:rPr>
        <w:softHyphen/>
        <w:t>тан Катрич (видимо, А. Н. В июле 1941 года, будучи командиром эскадрильи 12-го гвардейского иап, он был удостоен звания Героя Советского Союза), за</w:t>
      </w:r>
      <w:r w:rsidRPr="00271E51">
        <w:rPr>
          <w:rFonts w:ascii="Times New Roman" w:hAnsi="Times New Roman"/>
          <w:color w:val="0070C0"/>
          <w:sz w:val="16"/>
          <w:szCs w:val="16"/>
        </w:rPr>
        <w:softHyphen/>
        <w:t>ходивший на посадку на истребителе Як-1, задел правой опорой шасси левую половину верхнего кры</w:t>
      </w:r>
      <w:r w:rsidRPr="00271E51">
        <w:rPr>
          <w:rFonts w:ascii="Times New Roman" w:hAnsi="Times New Roman"/>
          <w:color w:val="0070C0"/>
          <w:sz w:val="16"/>
          <w:szCs w:val="16"/>
        </w:rPr>
        <w:softHyphen/>
        <w:t>ла самолета У-2. В кабине учебного биплана, как вы</w:t>
      </w:r>
      <w:r w:rsidRPr="00271E51">
        <w:rPr>
          <w:rFonts w:ascii="Times New Roman" w:hAnsi="Times New Roman"/>
          <w:color w:val="0070C0"/>
          <w:sz w:val="16"/>
          <w:szCs w:val="16"/>
        </w:rPr>
        <w:softHyphen/>
        <w:t>яснилось, находились два генерала: С. В. Ильюшин и В. К. Коккинаки (23188).</w:t>
      </w:r>
    </w:p>
    <w:p w14:paraId="3C2D5B1E" w14:textId="77777777" w:rsidR="007B4EF1" w:rsidRPr="00271E51" w:rsidRDefault="007B4EF1" w:rsidP="00271E51">
      <w:pPr>
        <w:spacing w:after="0" w:line="240" w:lineRule="auto"/>
        <w:jc w:val="both"/>
        <w:rPr>
          <w:rFonts w:ascii="Times New Roman" w:hAnsi="Times New Roman"/>
          <w:color w:val="0070C0"/>
          <w:sz w:val="16"/>
          <w:szCs w:val="16"/>
        </w:rPr>
      </w:pPr>
    </w:p>
    <w:p w14:paraId="571D496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996E9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6E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1943 вышло Постановление ГКО № 3729 О плане распределения угля на III квартал 1943 года и мероприятиях по его выполнению.РГАНИР, Фонд ГКО, д. 132, лл. 176-180, 181-251 (11012).</w:t>
      </w:r>
    </w:p>
    <w:p w14:paraId="65054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A3022" w14:textId="77777777" w:rsidR="009A76B4"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A05432C" w14:textId="77777777" w:rsidR="009A76B4" w:rsidRPr="00271E51" w:rsidRDefault="009A76B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EB903" w14:textId="77777777" w:rsidR="009A76B4" w:rsidRPr="00271E51" w:rsidRDefault="009A76B4" w:rsidP="00271E51">
      <w:pPr>
        <w:pStyle w:val="ae"/>
        <w:spacing w:before="0" w:after="0"/>
        <w:jc w:val="both"/>
        <w:textAlignment w:val="baseline"/>
        <w:rPr>
          <w:color w:val="000000" w:themeColor="text1"/>
          <w:sz w:val="16"/>
          <w:szCs w:val="16"/>
        </w:rPr>
      </w:pPr>
      <w:r w:rsidRPr="00271E51">
        <w:rPr>
          <w:color w:val="000000" w:themeColor="text1"/>
          <w:sz w:val="16"/>
          <w:szCs w:val="16"/>
        </w:rPr>
        <w:t>К 11 июля 1943 завод №100 смонтировал на Объекте 239 ходовую часть, топливные баки, мотор и приводы управления. Башня всё ещё не была готова. Помимо затягивания работ Кировским заводом, проблема заключалась и в том, что система Д-5Т-85 на тот момент существовала в единственном экземпляре. Её предполагалось установить в башню первого образца Объекта 237, который полностью закончили 8 июля. Не поступила башня для нового танка на завод №100 и к 20-му июля. Не дожидаясь её изготовления, завод закончил сборку шасси, которое к этому дню уже прошло 40 километров. Интересно, что первый образец Д-5Т-85 всё равно оказался именно в башне Объекта 239, которая была установлена на танк в конце июля.</w:t>
      </w:r>
    </w:p>
    <w:p w14:paraId="1F3C939D" w14:textId="77777777" w:rsidR="009A76B4" w:rsidRPr="00271E51" w:rsidRDefault="009A76B4" w:rsidP="00271E51">
      <w:pPr>
        <w:pStyle w:val="ae"/>
        <w:spacing w:before="0" w:after="0"/>
        <w:jc w:val="both"/>
        <w:textAlignment w:val="baseline"/>
        <w:rPr>
          <w:color w:val="000000" w:themeColor="text1"/>
          <w:sz w:val="16"/>
          <w:szCs w:val="16"/>
        </w:rPr>
      </w:pPr>
      <w:r w:rsidRPr="00271E51">
        <w:rPr>
          <w:color w:val="000000" w:themeColor="text1"/>
          <w:sz w:val="16"/>
          <w:szCs w:val="16"/>
        </w:rPr>
        <w:t>Башни Объекта 237 и Объекта 239 оказались абсолютно идентичными. Интересно выглядит разница в боевой массе танков: первый опытный образец Объекта 237 весил чуть больше 43,2 тонны, а Объект 239 — почти 46 тонн. При этом по защищённости модернизированный КВ-1с заметно проигрывал своему преемнику. Тем не менее у Объекта 239 имелись и свои преимущества. Во-первых, у него был более внушительный боекомплект — 70 патронов к Д-5Т против 59 у Объекта 237 и 55 у Объекта 238 (КВ-1с со штатной башней и пушкой С-31). Во-вторых, как бы не был хорош будущий ИС-85, но для организации его производства требовалось время. А танк, способный бороться с «Тигром», Красной армии требовался уже сейчас. Необходимость подобной машины резко увеличилась после того, как отгремела Курская битва, в которой лишний раз подтвердилась очень низкая эффективность огня 76-мм танковых пушек против новых немецких танков.</w:t>
      </w:r>
    </w:p>
    <w:p w14:paraId="71F7BA9C" w14:textId="77777777" w:rsidR="009A76B4" w:rsidRPr="00271E51" w:rsidRDefault="009A76B4" w:rsidP="00271E51">
      <w:pPr>
        <w:pStyle w:val="ae"/>
        <w:spacing w:before="0" w:after="0"/>
        <w:jc w:val="both"/>
        <w:textAlignment w:val="baseline"/>
        <w:rPr>
          <w:color w:val="000000" w:themeColor="text1"/>
          <w:sz w:val="16"/>
          <w:szCs w:val="16"/>
        </w:rPr>
      </w:pPr>
      <w:r w:rsidRPr="00271E51">
        <w:rPr>
          <w:color w:val="000000" w:themeColor="text1"/>
          <w:sz w:val="16"/>
          <w:szCs w:val="16"/>
        </w:rPr>
        <w:t>Кратковременные испытания показали, что увеличение боевой массы повлияло на динамические характеристики Объекта 239. Средняя скорость по шоссе упала до 16,4 км/ч, а по просёлку — до 15,48 км/ч. Расход топлива увеличился до 409 литров на 100 километров. Но перегрузки шасси тем не менее не произошло. Температура охлаждающей жидкости двигателя в летних условиях не превышала 85 градусов, а масла — 78 градусов. Некоторое снижение боевых характеристик оказалось не критичным. Вердикт комиссии оказался следующим:</w:t>
      </w:r>
    </w:p>
    <w:p w14:paraId="47BEE4F0" w14:textId="77777777" w:rsidR="009A76B4" w:rsidRPr="00271E51" w:rsidRDefault="009A76B4" w:rsidP="00271E51">
      <w:pPr>
        <w:pStyle w:val="ae"/>
        <w:spacing w:before="0" w:after="0"/>
        <w:jc w:val="both"/>
        <w:textAlignment w:val="baseline"/>
        <w:rPr>
          <w:color w:val="000000" w:themeColor="text1"/>
          <w:sz w:val="16"/>
          <w:szCs w:val="16"/>
        </w:rPr>
      </w:pPr>
      <w:r w:rsidRPr="00271E51">
        <w:rPr>
          <w:iCs/>
          <w:color w:val="000000" w:themeColor="text1"/>
          <w:sz w:val="16"/>
          <w:szCs w:val="16"/>
          <w:bdr w:val="none" w:sz="0" w:space="0" w:color="auto" w:frame="1"/>
        </w:rPr>
        <w:t>«Танк КВ-85 (танк КВ-1с с частично изменённым корпусом и установленной на нём башней танка ИС) комиссия считает возможным рекомендовать к выпуску вместо танков КВ-1с впредь до серийного освоения танков ИС»</w:t>
      </w:r>
      <w:r w:rsidRPr="00271E51">
        <w:rPr>
          <w:color w:val="000000" w:themeColor="text1"/>
          <w:sz w:val="16"/>
          <w:szCs w:val="16"/>
        </w:rPr>
        <w:t xml:space="preserve"> (17710).</w:t>
      </w:r>
    </w:p>
    <w:p w14:paraId="0161A52E" w14:textId="77777777" w:rsidR="009A76B4" w:rsidRPr="00271E51" w:rsidRDefault="009A76B4" w:rsidP="00271E51">
      <w:pPr>
        <w:spacing w:after="0" w:line="240" w:lineRule="auto"/>
        <w:jc w:val="both"/>
        <w:rPr>
          <w:rFonts w:ascii="Times New Roman" w:hAnsi="Times New Roman"/>
          <w:color w:val="000000" w:themeColor="text1"/>
          <w:sz w:val="16"/>
          <w:szCs w:val="16"/>
        </w:rPr>
      </w:pPr>
    </w:p>
    <w:p w14:paraId="1A0A8EF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21B1E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6098A6"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 июля в 1943 году оперативная сводка Совинформбюро </w:t>
      </w:r>
    </w:p>
    <w:p w14:paraId="65CCC54C"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наши войска на Орловско-Курском и Белгородском направлениях продолжали отбивать атаки танков и пехоты противника.</w:t>
      </w:r>
    </w:p>
    <w:p w14:paraId="7BB9E483"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Орловско-Курском и Белгородском направлениях за день боёв подбито и уничтожено 162 немецких танка. В воздушных боях и зенитной артиллерией сбит 31 самолёт противника.</w:t>
      </w:r>
    </w:p>
    <w:p w14:paraId="25806D54"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противник, не достигнув успеха за все дни наступления, сегодня вновь пытался крупными силами прорвать советскую оборону. Немцы одновременно ввели в бой до 400 танков и большое количество пехоты. Бойцы Н-ского соединения отбили ожесточённую атаку противника. Все последующие атаки гитлеровцев также провалились. К исходу дня противник был отброшен на исходные позиции, оставив на поле боя много подбитых и сожжённых танков. За день боя только на этом участке уничтожено свыше 2.000 солдат и офицеров противника.</w:t>
      </w:r>
    </w:p>
    <w:p w14:paraId="4AEEED2E"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другом участке большая группа наших самолётов вчера рано утром нанесла удар по танковой дивизии противника, готовившейся атаковать наши позиции. В результате налёта штурмовиков уничтожено несколько десятков вражеских танков, рассеяно и частью уничтожено до двух полков немецкой пехоты. Атака немцев была сорвана. Воспользовавшись дезорганизацией среди немецких войск на этом участке фронта, наши части атаковали гитлеровцев и выбили их из двух населённых пунктов.</w:t>
      </w:r>
    </w:p>
    <w:p w14:paraId="4B0DEA5B"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продолжали вести упорные бои спротивником. Утром немцы начали сильный артиллерийский обстрел наших позиций. Затем крупные силы танков и пехоты противника перешли в атаку в нескольких направлениях. На позиции Н-ской части наступало более 100 вражеских танков. Наши бойцы уничтожили 34 танка, 3 бронемашины и 14 орудий противника. Орудийный расчёт гвардии сержанта т. Смородина огнём с открытой позиции сжёг 4 и подбил 3 немецких танка типа «Тигр».</w:t>
      </w:r>
    </w:p>
    <w:p w14:paraId="6FE48D6E"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прикрывает с воздуха наземные войска и наносит тяжёлые удары по технике и живой силе немцев.</w:t>
      </w:r>
    </w:p>
    <w:p w14:paraId="2E12B624"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Западном фронте разведчики под командованием т. Дутова проникли за передний край обороны противника и взорвали блиндаж вместе с находившимися в нём немцами. Возвращаясь обратно, наши бойцы встретились с отрядом гитлеровцев. В завязавшейся рукопашной схватке разведчики истребили 16 немцев и захватили пленных. Артиллеристы Н-ской части уничтожили 4 немецких орудия, разрушили 9 блиндажей и наблюдательный пункт противника.</w:t>
      </w:r>
    </w:p>
    <w:p w14:paraId="1EE23C40"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гвардейцы-миномётчики Н-ской части совершили огневой налёт на скопление немецкой пехоты. Рассеяно и частью уничтожено до ротыгитлеровцев. На другом участке группа наших разведчиков проникла в расположение немцев. Гранатами взорвано 3 дзота и истреблено 30 гитлеровцев. Захваченытрофеи.</w:t>
      </w:r>
    </w:p>
    <w:p w14:paraId="682E2D6D"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две роты пехоты противника пытались боем разведать советские позиции. Наши бойцы встретили немцев ружейно-пулемётным и миномётным огнём и вынудили их поспешно отступить. У проволочных заграждений осталось 75 трупов гитлеровцев. Артиллеристы Н-ской части разрушили 7 вражеских блиндажей и уничтожили 3 орудия, 10 пулемётов и миномётную батарею противника.</w:t>
      </w:r>
    </w:p>
    <w:p w14:paraId="4E91A80E"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артиллерии и миномётов разрушено 22 вражеских дзота, 5 наблюдательных пунктов и 13 пулемётных точек. Снайперы Н-ского подразделения за последние 25 дней истребили 158 немцев. Снайпер этого подразделения Алексей Фёдоров за время войны убил 244 гитлеровца.</w:t>
      </w:r>
    </w:p>
    <w:p w14:paraId="44E90BC9"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Брестской области, в течение июня месяца пустил под откос 24 немецких железнодорожных эшелона. Разбиты 16 паровозов и 340 вагонов. Партизаны этого отряда, действуя мелкими группами, совершили несколько налётов на вражеские гарнизоны и истребили свыше 100 солдат и офицеров противника. Партизаны другого брестского отряда на днях взорвали два немецких воинских поезда, следовавших к линии фронта.</w:t>
      </w:r>
    </w:p>
    <w:p w14:paraId="3B75EAAC"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Пленный унтер-офицер 2 роты 35 танкового полка 4 немецкой танковой дивизии Курт Блюме рассказал: «В ночь на 5 июля нам зачитали приказ Гитлера. В приказе говорилось, что завтра немецкая армия начнёт новое наступление, которому суждено решить исход войны. Перед 35-м полком была поставлена задача прорвать оборону русских. До 100 танков полка вышли на исходные позиции. В это время нас атаковала русская авиация и вывела из строя несколько машин. В 5 часов наш батальон развернулся клином вдоль дороги и пошёл в атаку. Достигнув гребня высоты, мы попали под перекрёстный огонь противотанковых орудий и противотанковых ружей русских. Строй сразу нарушился, движение замедлилось. Соседний танк задымил. Передовой танк командира роты остановился, а затем попятился назад. Всё, чему нас учили, потеряло смысл. Действия развёртывались не так, как нам рисовали в школе. Тактика танкового прорыва, которой нас обучали, оказалась непригодной. Вскоре мой танк был подбит и внутри машины возник пожар.Я поспешил выскочить из горящего танка. На поле боя стояло не менее 40 подбитых танков, многие из которых горели» (14949).</w:t>
      </w:r>
    </w:p>
    <w:p w14:paraId="35B89B5B" w14:textId="77777777" w:rsidR="00577522" w:rsidRPr="00271E51" w:rsidRDefault="00577522" w:rsidP="00271E51">
      <w:pPr>
        <w:spacing w:after="0" w:line="240" w:lineRule="auto"/>
        <w:jc w:val="both"/>
        <w:rPr>
          <w:rFonts w:ascii="Times New Roman" w:hAnsi="Times New Roman"/>
          <w:color w:val="000000" w:themeColor="text1"/>
          <w:sz w:val="16"/>
          <w:szCs w:val="16"/>
        </w:rPr>
      </w:pPr>
    </w:p>
    <w:p w14:paraId="062CC7DB" w14:textId="77777777" w:rsidR="00577522" w:rsidRPr="00271E51" w:rsidRDefault="0057752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в 1943 году по данным штаба Воронежского фронта, противник "продолжал активные действия с целью расширения флангов прорыва" на участках Завидовка - Верхопенье (т.е 3-я танковая дивизия и моторизованная дивизия "Гроссдойчланд" против 90-й гвардейской стрелковой дивизии, 6-го танкового корпуса, 184-й стрелковой дивизии, 10-го танкового корпуса, 204-й стрелковой дивизии) и Кочетовка - Беленихино (т.е. моторизованная дивизия СС "Тотенкопф" и "Лейбштандарт" против 51-й, 52-й, 97-й гвардейских стрелковых дивизий и 2-го танкового корпуса). Участие 3-го механизированного корпуса, 31-го танкового корпуса, 67-й гвардейской стрелковой дивизии и 309-й стрелковой дивизии против 11-й танковой дивизия пока непонятно. В итоге 3-я танковая дивизия и моторизированная дивизия "Гроссдойчланд" продвинулись на 15-км участке до 6 км, взяв Березовку, а моторизированные дивизии СС "Тотенкопф" и "Лейбштандарт" продвинулись на 9-км участке до 8 км, достигнув южной окраины Петровки. По данным штаба ВФ, "часть пехоты с танками прорвались на западную окраину Прохоровки". (Колтунов пишет, что в этих боях участвовала еще 9-я гвардейская воздушно-десантная дивизия, 42-я гвардейская стрелковая дивизия и истребительно-противотанковая и гаубичная бригады. Якобы артиллеристы смогли подбить и уничтожить 16 немецких танков из 40, но сами погибли.) В 19.45 Ватутин отдает распоряжение командующему 69-й армии и командующему 2-го танкового корпуса: "Вследствие вашей беспечности и плохого управления противник прорвался в Петровку и к Прохоровке. Приказываю Вам под Вашу личную ответственность совместно с частями Ротмистрова и Жадова уничтожить прорвавшегося противника и сегодня же выйти на фронт Васильевка, Беленихино. Исполнение донести." По данным штаба ВФ, во второй половине дня противник неоднократно атаковал танками и пехотой с рубежа Дальняя Игуменка - Мелихово и к 15.00 взял Хохлово и Киселево. Продвижение 19-й танковой дивизии против 89-й, 92-й гвардейских стрелковых дивизий и 96-й танковой бригады составило до 3 км на 12-км участке. С 11.00 7-я танковая дивизия атаковала от Мясоедово в восточном направлении (против 94-й и 15-й гвардейской стрелковой дивизии). 6-я танковая дивизия и 503-й бтт наступали на северо-восток от Мелихово, продвинувшись на 12 км (против 305-й и 107-й стрелковых дивизий) (14949).</w:t>
      </w:r>
    </w:p>
    <w:p w14:paraId="7EFBCF35" w14:textId="77777777" w:rsidR="00577522" w:rsidRPr="00271E51" w:rsidRDefault="00577522" w:rsidP="00271E51">
      <w:pPr>
        <w:spacing w:after="0" w:line="240" w:lineRule="auto"/>
        <w:jc w:val="both"/>
        <w:rPr>
          <w:rFonts w:ascii="Times New Roman" w:hAnsi="Times New Roman"/>
          <w:color w:val="000000" w:themeColor="text1"/>
          <w:sz w:val="16"/>
          <w:szCs w:val="16"/>
        </w:rPr>
      </w:pPr>
    </w:p>
    <w:p w14:paraId="1D491C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11 июля 1943 безвозвратные потери матчасти штурмовых авиадивизий 2-й ВА достигли 107 самолетов, а к 18 июля -138 Ил-2. Средний налет на одну бое</w:t>
      </w:r>
      <w:r w:rsidRPr="00271E51">
        <w:rPr>
          <w:rFonts w:ascii="Times New Roman" w:hAnsi="Times New Roman"/>
          <w:color w:val="000000" w:themeColor="text1"/>
          <w:sz w:val="16"/>
          <w:szCs w:val="16"/>
        </w:rPr>
        <w:softHyphen/>
        <w:t>вую потерю Ил-2 составил 16-17 бое</w:t>
      </w:r>
      <w:r w:rsidRPr="00271E51">
        <w:rPr>
          <w:rFonts w:ascii="Times New Roman" w:hAnsi="Times New Roman"/>
          <w:color w:val="000000" w:themeColor="text1"/>
          <w:sz w:val="16"/>
          <w:szCs w:val="16"/>
        </w:rPr>
        <w:softHyphen/>
        <w:t>вых вылетов.</w:t>
      </w:r>
    </w:p>
    <w:p w14:paraId="18D1FC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Убыль штурмовиков Ил-2 6-го </w:t>
      </w:r>
      <w:r w:rsidRPr="00271E51">
        <w:rPr>
          <w:rFonts w:ascii="Times New Roman" w:hAnsi="Times New Roman"/>
          <w:iCs/>
          <w:color w:val="000000" w:themeColor="text1"/>
          <w:sz w:val="16"/>
          <w:szCs w:val="16"/>
        </w:rPr>
        <w:t xml:space="preserve">сак, </w:t>
      </w:r>
      <w:r w:rsidRPr="00271E51">
        <w:rPr>
          <w:rFonts w:ascii="Times New Roman" w:hAnsi="Times New Roman"/>
          <w:color w:val="000000" w:themeColor="text1"/>
          <w:sz w:val="16"/>
          <w:szCs w:val="16"/>
        </w:rPr>
        <w:t>299-й и 2-й гвардейской штурмовых авиадивизий 16-й воздушной армии за первые 5 суток сражения составила 148 машин.</w:t>
      </w:r>
    </w:p>
    <w:p w14:paraId="4AC5C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Абсолютным "рекордсменом" по по</w:t>
      </w:r>
      <w:r w:rsidRPr="00271E51">
        <w:rPr>
          <w:rFonts w:ascii="Times New Roman" w:hAnsi="Times New Roman"/>
          <w:color w:val="000000" w:themeColor="text1"/>
          <w:sz w:val="16"/>
          <w:szCs w:val="16"/>
        </w:rPr>
        <w:softHyphen/>
        <w:t xml:space="preserve">терям на Курской дуге стала 305-я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п-ка Н.Г.Михевичева из 17-й воздушной армии. За первые трое суток сражения дивизия, выполнив 137 боевых вылетов, потеряла 61 Ил-2, 38 летчиков и 32 воз</w:t>
      </w:r>
      <w:r w:rsidRPr="00271E51">
        <w:rPr>
          <w:rFonts w:ascii="Times New Roman" w:hAnsi="Times New Roman"/>
          <w:color w:val="000000" w:themeColor="text1"/>
          <w:sz w:val="16"/>
          <w:szCs w:val="16"/>
        </w:rPr>
        <w:softHyphen/>
        <w:t>душных стрелка, что составило 66% пер</w:t>
      </w:r>
      <w:r w:rsidRPr="00271E51">
        <w:rPr>
          <w:rFonts w:ascii="Times New Roman" w:hAnsi="Times New Roman"/>
          <w:color w:val="000000" w:themeColor="text1"/>
          <w:sz w:val="16"/>
          <w:szCs w:val="16"/>
        </w:rPr>
        <w:softHyphen/>
        <w:t>воначального состава штурмовиков. То есть боевая живучесть составила всего 2,2 (!) боевых самолето-вылетов на одну потерю Ил-2 и 3,6 (!) боевых вылетов на одного погибшего летчика. В резуль</w:t>
      </w:r>
      <w:r w:rsidRPr="00271E51">
        <w:rPr>
          <w:rFonts w:ascii="Times New Roman" w:hAnsi="Times New Roman"/>
          <w:color w:val="000000" w:themeColor="text1"/>
          <w:sz w:val="16"/>
          <w:szCs w:val="16"/>
        </w:rPr>
        <w:softHyphen/>
        <w:t xml:space="preserve">тате 8 июля 305-я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была выведена в тыл для пополнения матчастью и лет</w:t>
      </w:r>
      <w:r w:rsidRPr="00271E51">
        <w:rPr>
          <w:rFonts w:ascii="Times New Roman" w:hAnsi="Times New Roman"/>
          <w:color w:val="000000" w:themeColor="text1"/>
          <w:sz w:val="16"/>
          <w:szCs w:val="16"/>
        </w:rPr>
        <w:softHyphen/>
        <w:t>ным составом...</w:t>
      </w:r>
    </w:p>
    <w:p w14:paraId="1F99E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при оценке потерь со</w:t>
      </w:r>
      <w:r w:rsidRPr="00271E51">
        <w:rPr>
          <w:rFonts w:ascii="Times New Roman" w:hAnsi="Times New Roman"/>
          <w:color w:val="000000" w:themeColor="text1"/>
          <w:sz w:val="16"/>
          <w:szCs w:val="16"/>
        </w:rPr>
        <w:softHyphen/>
        <w:t>ветских штурмовиков в июле 43-го не</w:t>
      </w:r>
      <w:r w:rsidRPr="00271E51">
        <w:rPr>
          <w:rFonts w:ascii="Times New Roman" w:hAnsi="Times New Roman"/>
          <w:color w:val="000000" w:themeColor="text1"/>
          <w:sz w:val="16"/>
          <w:szCs w:val="16"/>
        </w:rPr>
        <w:softHyphen/>
        <w:t>обходимо учитывать реальную боевую загрузку авиаполков в это время. Так, если в течение всего 1942 г. число бое</w:t>
      </w:r>
      <w:r w:rsidRPr="00271E51">
        <w:rPr>
          <w:rFonts w:ascii="Times New Roman" w:hAnsi="Times New Roman"/>
          <w:color w:val="000000" w:themeColor="text1"/>
          <w:sz w:val="16"/>
          <w:szCs w:val="16"/>
        </w:rPr>
        <w:softHyphen/>
        <w:t>вых дней штурмовых авиаполков Крас</w:t>
      </w:r>
      <w:r w:rsidRPr="00271E51">
        <w:rPr>
          <w:rFonts w:ascii="Times New Roman" w:hAnsi="Times New Roman"/>
          <w:color w:val="000000" w:themeColor="text1"/>
          <w:sz w:val="16"/>
          <w:szCs w:val="16"/>
        </w:rPr>
        <w:softHyphen/>
        <w:t>ной Армии (то есть, когда летчики пол</w:t>
      </w:r>
      <w:r w:rsidRPr="00271E51">
        <w:rPr>
          <w:rFonts w:ascii="Times New Roman" w:hAnsi="Times New Roman"/>
          <w:color w:val="000000" w:themeColor="text1"/>
          <w:sz w:val="16"/>
          <w:szCs w:val="16"/>
        </w:rPr>
        <w:softHyphen/>
        <w:t>ков совершали боевые вылеты) по от</w:t>
      </w:r>
      <w:r w:rsidRPr="00271E51">
        <w:rPr>
          <w:rFonts w:ascii="Times New Roman" w:hAnsi="Times New Roman"/>
          <w:color w:val="000000" w:themeColor="text1"/>
          <w:sz w:val="16"/>
          <w:szCs w:val="16"/>
        </w:rPr>
        <w:softHyphen/>
        <w:t>ношению к общему числу дней пребы</w:t>
      </w:r>
      <w:r w:rsidRPr="00271E51">
        <w:rPr>
          <w:rFonts w:ascii="Times New Roman" w:hAnsi="Times New Roman"/>
          <w:color w:val="000000" w:themeColor="text1"/>
          <w:sz w:val="16"/>
          <w:szCs w:val="16"/>
        </w:rPr>
        <w:softHyphen/>
        <w:t>вания полков на фронте составляло в среднем примерно 30-33%, то в период 05.07-31.08.43 г. этот коэффициент рав</w:t>
      </w:r>
      <w:r w:rsidRPr="00271E51">
        <w:rPr>
          <w:rFonts w:ascii="Times New Roman" w:hAnsi="Times New Roman"/>
          <w:color w:val="000000" w:themeColor="text1"/>
          <w:sz w:val="16"/>
          <w:szCs w:val="16"/>
        </w:rPr>
        <w:softHyphen/>
        <w:t>нялся 60-63%. Столь высокая боевая загрузка штурмовых полков отмечалась еще только в 1945 г. - в период бер</w:t>
      </w:r>
      <w:r w:rsidRPr="00271E51">
        <w:rPr>
          <w:rFonts w:ascii="Times New Roman" w:hAnsi="Times New Roman"/>
          <w:color w:val="000000" w:themeColor="text1"/>
          <w:sz w:val="16"/>
          <w:szCs w:val="16"/>
        </w:rPr>
        <w:softHyphen/>
        <w:t>линской операции.</w:t>
      </w:r>
    </w:p>
    <w:p w14:paraId="6F479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Критически оценивая сложившуюся ситуацию, командование ВВС КА, ко</w:t>
      </w:r>
      <w:r w:rsidRPr="00271E51">
        <w:rPr>
          <w:rFonts w:ascii="Times New Roman" w:hAnsi="Times New Roman"/>
          <w:color w:val="000000" w:themeColor="text1"/>
          <w:sz w:val="16"/>
          <w:szCs w:val="16"/>
        </w:rPr>
        <w:softHyphen/>
        <w:t>мандующие воздушными армиями из</w:t>
      </w:r>
      <w:r w:rsidRPr="00271E51">
        <w:rPr>
          <w:rFonts w:ascii="Times New Roman" w:hAnsi="Times New Roman"/>
          <w:color w:val="000000" w:themeColor="text1"/>
          <w:sz w:val="16"/>
          <w:szCs w:val="16"/>
        </w:rPr>
        <w:softHyphen/>
        <w:t>менили формы и способы действий авиации Красной Армии. Основной упор при этом был сделан на нанесение мас</w:t>
      </w:r>
      <w:r w:rsidRPr="00271E51">
        <w:rPr>
          <w:rFonts w:ascii="Times New Roman" w:hAnsi="Times New Roman"/>
          <w:color w:val="000000" w:themeColor="text1"/>
          <w:sz w:val="16"/>
          <w:szCs w:val="16"/>
        </w:rPr>
        <w:softHyphen/>
        <w:t>сированных ударов по наступающим войскам противника, а в промежутках между ними предполагалось непрерыв</w:t>
      </w:r>
      <w:r w:rsidRPr="00271E51">
        <w:rPr>
          <w:rFonts w:ascii="Times New Roman" w:hAnsi="Times New Roman"/>
          <w:color w:val="000000" w:themeColor="text1"/>
          <w:sz w:val="16"/>
          <w:szCs w:val="16"/>
        </w:rPr>
        <w:softHyphen/>
        <w:t>но действовать мелкими группами штур</w:t>
      </w:r>
      <w:r w:rsidRPr="00271E51">
        <w:rPr>
          <w:rFonts w:ascii="Times New Roman" w:hAnsi="Times New Roman"/>
          <w:color w:val="000000" w:themeColor="text1"/>
          <w:sz w:val="16"/>
          <w:szCs w:val="16"/>
        </w:rPr>
        <w:softHyphen/>
        <w:t>мовиков и бомбардировщиков.</w:t>
      </w:r>
    </w:p>
    <w:p w14:paraId="28DB3E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были внесены серьезные коррективы и в организацию боевых действий истребительных авиачастей и соединений ВВС КА. Была упорядочена система обнаружения немецких самоле</w:t>
      </w:r>
      <w:r w:rsidRPr="00271E51">
        <w:rPr>
          <w:rFonts w:ascii="Times New Roman" w:hAnsi="Times New Roman"/>
          <w:color w:val="000000" w:themeColor="text1"/>
          <w:sz w:val="16"/>
          <w:szCs w:val="16"/>
        </w:rPr>
        <w:softHyphen/>
        <w:t>тов и наведения на них своих истреби</w:t>
      </w:r>
      <w:r w:rsidRPr="00271E51">
        <w:rPr>
          <w:rFonts w:ascii="Times New Roman" w:hAnsi="Times New Roman"/>
          <w:color w:val="000000" w:themeColor="text1"/>
          <w:sz w:val="16"/>
          <w:szCs w:val="16"/>
        </w:rPr>
        <w:softHyphen/>
        <w:t>телей. Командиры истребительных авиа</w:t>
      </w:r>
      <w:r w:rsidRPr="00271E51">
        <w:rPr>
          <w:rFonts w:ascii="Times New Roman" w:hAnsi="Times New Roman"/>
          <w:color w:val="000000" w:themeColor="text1"/>
          <w:sz w:val="16"/>
          <w:szCs w:val="16"/>
        </w:rPr>
        <w:softHyphen/>
        <w:t>соединений стали выезжать на передо</w:t>
      </w:r>
      <w:r w:rsidRPr="00271E51">
        <w:rPr>
          <w:rFonts w:ascii="Times New Roman" w:hAnsi="Times New Roman"/>
          <w:color w:val="000000" w:themeColor="text1"/>
          <w:sz w:val="16"/>
          <w:szCs w:val="16"/>
        </w:rPr>
        <w:softHyphen/>
        <w:t>вые пункты управления, откуда непосред</w:t>
      </w:r>
      <w:r w:rsidRPr="00271E51">
        <w:rPr>
          <w:rFonts w:ascii="Times New Roman" w:hAnsi="Times New Roman"/>
          <w:color w:val="000000" w:themeColor="text1"/>
          <w:sz w:val="16"/>
          <w:szCs w:val="16"/>
        </w:rPr>
        <w:softHyphen/>
        <w:t>ственно управляли подчиненными час</w:t>
      </w:r>
      <w:r w:rsidRPr="00271E51">
        <w:rPr>
          <w:rFonts w:ascii="Times New Roman" w:hAnsi="Times New Roman"/>
          <w:color w:val="000000" w:themeColor="text1"/>
          <w:sz w:val="16"/>
          <w:szCs w:val="16"/>
        </w:rPr>
        <w:softHyphen/>
        <w:t>тями. Зоны патрулирования истребите</w:t>
      </w:r>
      <w:r w:rsidRPr="00271E51">
        <w:rPr>
          <w:rFonts w:ascii="Times New Roman" w:hAnsi="Times New Roman"/>
          <w:color w:val="000000" w:themeColor="text1"/>
          <w:sz w:val="16"/>
          <w:szCs w:val="16"/>
        </w:rPr>
        <w:softHyphen/>
        <w:t>лей были вынесены на территорию про</w:t>
      </w:r>
      <w:r w:rsidRPr="00271E51">
        <w:rPr>
          <w:rFonts w:ascii="Times New Roman" w:hAnsi="Times New Roman"/>
          <w:color w:val="000000" w:themeColor="text1"/>
          <w:sz w:val="16"/>
          <w:szCs w:val="16"/>
        </w:rPr>
        <w:softHyphen/>
        <w:t>тивника, а пункты управления прибли</w:t>
      </w:r>
      <w:r w:rsidRPr="00271E51">
        <w:rPr>
          <w:rFonts w:ascii="Times New Roman" w:hAnsi="Times New Roman"/>
          <w:color w:val="000000" w:themeColor="text1"/>
          <w:sz w:val="16"/>
          <w:szCs w:val="16"/>
        </w:rPr>
        <w:softHyphen/>
        <w:t>жены к линии фронта. Истребители ста</w:t>
      </w:r>
      <w:r w:rsidRPr="00271E51">
        <w:rPr>
          <w:rFonts w:ascii="Times New Roman" w:hAnsi="Times New Roman"/>
          <w:color w:val="000000" w:themeColor="text1"/>
          <w:sz w:val="16"/>
          <w:szCs w:val="16"/>
        </w:rPr>
        <w:softHyphen/>
        <w:t>ли наводиться по радио. Кроме этого, с целью наращивания сил групп истреби</w:t>
      </w:r>
      <w:r w:rsidRPr="00271E51">
        <w:rPr>
          <w:rFonts w:ascii="Times New Roman" w:hAnsi="Times New Roman"/>
          <w:color w:val="000000" w:themeColor="text1"/>
          <w:sz w:val="16"/>
          <w:szCs w:val="16"/>
        </w:rPr>
        <w:softHyphen/>
        <w:t>телей прикрытия были введены в прак</w:t>
      </w:r>
      <w:r w:rsidRPr="00271E51">
        <w:rPr>
          <w:rFonts w:ascii="Times New Roman" w:hAnsi="Times New Roman"/>
          <w:color w:val="000000" w:themeColor="text1"/>
          <w:sz w:val="16"/>
          <w:szCs w:val="16"/>
        </w:rPr>
        <w:softHyphen/>
        <w:t>тику вызовы с аэродромов основного базирования дежурных подразделений. От патрулирования на одной высоте в общем строю перешли к одновремен</w:t>
      </w:r>
      <w:r w:rsidRPr="00271E51">
        <w:rPr>
          <w:rFonts w:ascii="Times New Roman" w:hAnsi="Times New Roman"/>
          <w:color w:val="000000" w:themeColor="text1"/>
          <w:sz w:val="16"/>
          <w:szCs w:val="16"/>
        </w:rPr>
        <w:softHyphen/>
        <w:t>ному патрулированию взаимодействую</w:t>
      </w:r>
      <w:r w:rsidRPr="00271E51">
        <w:rPr>
          <w:rFonts w:ascii="Times New Roman" w:hAnsi="Times New Roman"/>
          <w:color w:val="000000" w:themeColor="text1"/>
          <w:sz w:val="16"/>
          <w:szCs w:val="16"/>
        </w:rPr>
        <w:softHyphen/>
        <w:t>щих между собой небольших групп (по 4-6 машин в группе) истребителей, эше</w:t>
      </w:r>
      <w:r w:rsidRPr="00271E51">
        <w:rPr>
          <w:rFonts w:ascii="Times New Roman" w:hAnsi="Times New Roman"/>
          <w:color w:val="000000" w:themeColor="text1"/>
          <w:sz w:val="16"/>
          <w:szCs w:val="16"/>
        </w:rPr>
        <w:softHyphen/>
        <w:t>лонированных по высоте. Ведущими групп стали назначаться преимуществен</w:t>
      </w:r>
      <w:r w:rsidRPr="00271E51">
        <w:rPr>
          <w:rFonts w:ascii="Times New Roman" w:hAnsi="Times New Roman"/>
          <w:color w:val="000000" w:themeColor="text1"/>
          <w:sz w:val="16"/>
          <w:szCs w:val="16"/>
        </w:rPr>
        <w:softHyphen/>
        <w:t>но командиры полков.</w:t>
      </w:r>
    </w:p>
    <w:p w14:paraId="7E04D9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Переход штурмовиков от действий небольшими группами к сосредоточен</w:t>
      </w:r>
      <w:r w:rsidRPr="00271E51">
        <w:rPr>
          <w:rFonts w:ascii="Times New Roman" w:hAnsi="Times New Roman"/>
          <w:color w:val="000000" w:themeColor="text1"/>
          <w:sz w:val="16"/>
          <w:szCs w:val="16"/>
        </w:rPr>
        <w:softHyphen/>
        <w:t>ным ударам большого числа самолетов обеспечивал не только надежное пора</w:t>
      </w:r>
      <w:r w:rsidRPr="00271E51">
        <w:rPr>
          <w:rFonts w:ascii="Times New Roman" w:hAnsi="Times New Roman"/>
          <w:color w:val="000000" w:themeColor="text1"/>
          <w:sz w:val="16"/>
          <w:szCs w:val="16"/>
        </w:rPr>
        <w:softHyphen/>
        <w:t>жение наземных целей, но и эффектив</w:t>
      </w:r>
      <w:r w:rsidRPr="00271E51">
        <w:rPr>
          <w:rFonts w:ascii="Times New Roman" w:hAnsi="Times New Roman"/>
          <w:color w:val="000000" w:themeColor="text1"/>
          <w:sz w:val="16"/>
          <w:szCs w:val="16"/>
        </w:rPr>
        <w:softHyphen/>
        <w:t>ное подавление системы ПВО против</w:t>
      </w:r>
      <w:r w:rsidRPr="00271E51">
        <w:rPr>
          <w:rFonts w:ascii="Times New Roman" w:hAnsi="Times New Roman"/>
          <w:color w:val="000000" w:themeColor="text1"/>
          <w:sz w:val="16"/>
          <w:szCs w:val="16"/>
        </w:rPr>
        <w:softHyphen/>
        <w:t>ника.</w:t>
      </w:r>
    </w:p>
    <w:p w14:paraId="1B2AF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Истребительная авиация Красной Армии стала очищать небо от немецких истребителей до появления Ил-2 над районом цели. Поскольку Ил-2 атаковывали танки волнами, истребители оста</w:t>
      </w:r>
      <w:r w:rsidRPr="00271E51">
        <w:rPr>
          <w:rFonts w:ascii="Times New Roman" w:hAnsi="Times New Roman"/>
          <w:color w:val="000000" w:themeColor="text1"/>
          <w:sz w:val="16"/>
          <w:szCs w:val="16"/>
        </w:rPr>
        <w:softHyphen/>
        <w:t>вались в районе цели на разных высо</w:t>
      </w:r>
      <w:r w:rsidRPr="00271E51">
        <w:rPr>
          <w:rFonts w:ascii="Times New Roman" w:hAnsi="Times New Roman"/>
          <w:color w:val="000000" w:themeColor="text1"/>
          <w:sz w:val="16"/>
          <w:szCs w:val="16"/>
        </w:rPr>
        <w:softHyphen/>
        <w:t>тах до тех пор, пока Ил-2 не завершали свою работу. Кроме того, вместе со штурмовиками шла небольшая группа истребителей непосредственного при</w:t>
      </w:r>
      <w:r w:rsidRPr="00271E51">
        <w:rPr>
          <w:rFonts w:ascii="Times New Roman" w:hAnsi="Times New Roman"/>
          <w:color w:val="000000" w:themeColor="text1"/>
          <w:sz w:val="16"/>
          <w:szCs w:val="16"/>
        </w:rPr>
        <w:softHyphen/>
        <w:t>крытия, а на случай преследования их истребителями Люфтваффе назначался специальный рубеж отсечения.</w:t>
      </w:r>
    </w:p>
    <w:p w14:paraId="599F8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предпринятые меры все же не дали ожидаемых результатов. Крас</w:t>
      </w:r>
      <w:r w:rsidRPr="00271E51">
        <w:rPr>
          <w:rFonts w:ascii="Times New Roman" w:hAnsi="Times New Roman"/>
          <w:color w:val="000000" w:themeColor="text1"/>
          <w:sz w:val="16"/>
          <w:szCs w:val="16"/>
        </w:rPr>
        <w:softHyphen/>
        <w:t>нозвездные ястребки, высылавшиеся вперед для расчистки воздушного про</w:t>
      </w:r>
      <w:r w:rsidRPr="00271E51">
        <w:rPr>
          <w:rFonts w:ascii="Times New Roman" w:hAnsi="Times New Roman"/>
          <w:color w:val="000000" w:themeColor="text1"/>
          <w:sz w:val="16"/>
          <w:szCs w:val="16"/>
        </w:rPr>
        <w:softHyphen/>
        <w:t>странства над целью, не чувствовали ответственности перед штурмовиками в той мере, в какой чувствуют летчики-ис</w:t>
      </w:r>
      <w:r w:rsidRPr="00271E51">
        <w:rPr>
          <w:rFonts w:ascii="Times New Roman" w:hAnsi="Times New Roman"/>
          <w:color w:val="000000" w:themeColor="text1"/>
          <w:sz w:val="16"/>
          <w:szCs w:val="16"/>
        </w:rPr>
        <w:softHyphen/>
        <w:t>требители непосредственного сопро</w:t>
      </w:r>
      <w:r w:rsidRPr="00271E51">
        <w:rPr>
          <w:rFonts w:ascii="Times New Roman" w:hAnsi="Times New Roman"/>
          <w:color w:val="000000" w:themeColor="text1"/>
          <w:sz w:val="16"/>
          <w:szCs w:val="16"/>
        </w:rPr>
        <w:softHyphen/>
        <w:t>вождения. Бывали случаи, когда истре</w:t>
      </w:r>
      <w:r w:rsidRPr="00271E51">
        <w:rPr>
          <w:rFonts w:ascii="Times New Roman" w:hAnsi="Times New Roman"/>
          <w:color w:val="000000" w:themeColor="text1"/>
          <w:sz w:val="16"/>
          <w:szCs w:val="16"/>
        </w:rPr>
        <w:softHyphen/>
        <w:t>бители выметали немецкие истребите</w:t>
      </w:r>
      <w:r w:rsidRPr="00271E51">
        <w:rPr>
          <w:rFonts w:ascii="Times New Roman" w:hAnsi="Times New Roman"/>
          <w:color w:val="000000" w:themeColor="text1"/>
          <w:sz w:val="16"/>
          <w:szCs w:val="16"/>
        </w:rPr>
        <w:softHyphen/>
        <w:t>ли вообще не там, где это было нужно. В результате штурмовики, появившись над целью, несмотря на предваритель</w:t>
      </w:r>
      <w:r w:rsidRPr="00271E51">
        <w:rPr>
          <w:rFonts w:ascii="Times New Roman" w:hAnsi="Times New Roman"/>
          <w:color w:val="000000" w:themeColor="text1"/>
          <w:sz w:val="16"/>
          <w:szCs w:val="16"/>
        </w:rPr>
        <w:softHyphen/>
        <w:t>ную расчистку неба, все же встречали большие группы истребителей Люфтваффе.</w:t>
      </w:r>
    </w:p>
    <w:p w14:paraId="59364C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Поэтому по предложению командира 291-й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п-ка А.Н.Витрука часть истре</w:t>
      </w:r>
      <w:r w:rsidRPr="00271E51">
        <w:rPr>
          <w:rFonts w:ascii="Times New Roman" w:hAnsi="Times New Roman"/>
          <w:color w:val="000000" w:themeColor="text1"/>
          <w:sz w:val="16"/>
          <w:szCs w:val="16"/>
        </w:rPr>
        <w:softHyphen/>
        <w:t>бителей сопровождения - группа непос</w:t>
      </w:r>
      <w:r w:rsidRPr="00271E51">
        <w:rPr>
          <w:rFonts w:ascii="Times New Roman" w:hAnsi="Times New Roman"/>
          <w:color w:val="000000" w:themeColor="text1"/>
          <w:sz w:val="16"/>
          <w:szCs w:val="16"/>
        </w:rPr>
        <w:softHyphen/>
        <w:t>редственного прикрытия - стала летать в одном строю со штурмовиками, рас</w:t>
      </w:r>
      <w:r w:rsidRPr="00271E51">
        <w:rPr>
          <w:rFonts w:ascii="Times New Roman" w:hAnsi="Times New Roman"/>
          <w:color w:val="000000" w:themeColor="text1"/>
          <w:sz w:val="16"/>
          <w:szCs w:val="16"/>
        </w:rPr>
        <w:softHyphen/>
        <w:t>полагаясь, как правило, сзади (на 200-400 м) сбоку на одной высоте с Ил-2. Эта группа истребителей предназначалась для отражения атак немецких ис</w:t>
      </w:r>
      <w:r w:rsidRPr="00271E51">
        <w:rPr>
          <w:rFonts w:ascii="Times New Roman" w:hAnsi="Times New Roman"/>
          <w:color w:val="000000" w:themeColor="text1"/>
          <w:sz w:val="16"/>
          <w:szCs w:val="16"/>
        </w:rPr>
        <w:softHyphen/>
        <w:t>требителей, направленных непосред</w:t>
      </w:r>
      <w:r w:rsidRPr="00271E51">
        <w:rPr>
          <w:rFonts w:ascii="Times New Roman" w:hAnsi="Times New Roman"/>
          <w:color w:val="000000" w:themeColor="text1"/>
          <w:sz w:val="16"/>
          <w:szCs w:val="16"/>
        </w:rPr>
        <w:softHyphen/>
        <w:t>ственно против сопровождаемых "Илов" в течение всего времени полета и ата</w:t>
      </w:r>
      <w:r w:rsidRPr="00271E51">
        <w:rPr>
          <w:rFonts w:ascii="Times New Roman" w:hAnsi="Times New Roman"/>
          <w:color w:val="000000" w:themeColor="text1"/>
          <w:sz w:val="16"/>
          <w:szCs w:val="16"/>
        </w:rPr>
        <w:softHyphen/>
        <w:t>ки целей последними. Для более надеж</w:t>
      </w:r>
      <w:r w:rsidRPr="00271E51">
        <w:rPr>
          <w:rFonts w:ascii="Times New Roman" w:hAnsi="Times New Roman"/>
          <w:color w:val="000000" w:themeColor="text1"/>
          <w:sz w:val="16"/>
          <w:szCs w:val="16"/>
        </w:rPr>
        <w:softHyphen/>
        <w:t>ного обеспечения прикрываемых штур</w:t>
      </w:r>
      <w:r w:rsidRPr="00271E51">
        <w:rPr>
          <w:rFonts w:ascii="Times New Roman" w:hAnsi="Times New Roman"/>
          <w:color w:val="000000" w:themeColor="text1"/>
          <w:sz w:val="16"/>
          <w:szCs w:val="16"/>
        </w:rPr>
        <w:softHyphen/>
        <w:t>мовиков группа непосредственного при</w:t>
      </w:r>
      <w:r w:rsidRPr="00271E51">
        <w:rPr>
          <w:rFonts w:ascii="Times New Roman" w:hAnsi="Times New Roman"/>
          <w:color w:val="000000" w:themeColor="text1"/>
          <w:sz w:val="16"/>
          <w:szCs w:val="16"/>
        </w:rPr>
        <w:softHyphen/>
        <w:t>крытия следовала отдельными парами и звеньями, расположенными вокруг прикрываемых самолетов. Именно эта группа истребителей прикрытия и всту</w:t>
      </w:r>
      <w:r w:rsidRPr="00271E51">
        <w:rPr>
          <w:rFonts w:ascii="Times New Roman" w:hAnsi="Times New Roman"/>
          <w:color w:val="000000" w:themeColor="text1"/>
          <w:sz w:val="16"/>
          <w:szCs w:val="16"/>
        </w:rPr>
        <w:softHyphen/>
        <w:t>пала в схватку с немецкими "фоккерами" в момент, когда "ильюшины" выхо</w:t>
      </w:r>
      <w:r w:rsidRPr="00271E51">
        <w:rPr>
          <w:rFonts w:ascii="Times New Roman" w:hAnsi="Times New Roman"/>
          <w:color w:val="000000" w:themeColor="text1"/>
          <w:sz w:val="16"/>
          <w:szCs w:val="16"/>
        </w:rPr>
        <w:softHyphen/>
        <w:t>дили из атаки. Некоторые из них, наи</w:t>
      </w:r>
      <w:r w:rsidRPr="00271E51">
        <w:rPr>
          <w:rFonts w:ascii="Times New Roman" w:hAnsi="Times New Roman"/>
          <w:color w:val="000000" w:themeColor="text1"/>
          <w:sz w:val="16"/>
          <w:szCs w:val="16"/>
        </w:rPr>
        <w:softHyphen/>
        <w:t>более опытные летчики-истребители, снижались даже ниже штурмовиков. На фоне неба им было лучше видны "фоккеры". Это был опасный маневр, учиты</w:t>
      </w:r>
      <w:r w:rsidRPr="00271E51">
        <w:rPr>
          <w:rFonts w:ascii="Times New Roman" w:hAnsi="Times New Roman"/>
          <w:color w:val="000000" w:themeColor="text1"/>
          <w:sz w:val="16"/>
          <w:szCs w:val="16"/>
        </w:rPr>
        <w:softHyphen/>
        <w:t>вая насыщенность боевых порядков не</w:t>
      </w:r>
      <w:r w:rsidRPr="00271E51">
        <w:rPr>
          <w:rFonts w:ascii="Times New Roman" w:hAnsi="Times New Roman"/>
          <w:color w:val="000000" w:themeColor="text1"/>
          <w:sz w:val="16"/>
          <w:szCs w:val="16"/>
        </w:rPr>
        <w:softHyphen/>
        <w:t>мецких войск огневыми средствами ПВО, но его пришлось применять ввиду вы</w:t>
      </w:r>
      <w:r w:rsidRPr="00271E51">
        <w:rPr>
          <w:rFonts w:ascii="Times New Roman" w:hAnsi="Times New Roman"/>
          <w:color w:val="000000" w:themeColor="text1"/>
          <w:sz w:val="16"/>
          <w:szCs w:val="16"/>
        </w:rPr>
        <w:softHyphen/>
        <w:t>сокой эффективности.</w:t>
      </w:r>
    </w:p>
    <w:p w14:paraId="13163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Другая часть истребителей прикры</w:t>
      </w:r>
      <w:r w:rsidRPr="00271E51">
        <w:rPr>
          <w:rFonts w:ascii="Times New Roman" w:hAnsi="Times New Roman"/>
          <w:color w:val="000000" w:themeColor="text1"/>
          <w:sz w:val="16"/>
          <w:szCs w:val="16"/>
        </w:rPr>
        <w:softHyphen/>
        <w:t>тия - ударная группа - следовала над штурмовиками с превышением, обычно на 800-1000 м, сзади сбоку с сохране</w:t>
      </w:r>
      <w:r w:rsidRPr="00271E51">
        <w:rPr>
          <w:rFonts w:ascii="Times New Roman" w:hAnsi="Times New Roman"/>
          <w:color w:val="000000" w:themeColor="text1"/>
          <w:sz w:val="16"/>
          <w:szCs w:val="16"/>
        </w:rPr>
        <w:softHyphen/>
        <w:t>нием зрительной связи с ними, имея задачей в любой момент вступить в бой с "мессершмиттами" и не допустить их к прикрываемой группе "Илов". При при</w:t>
      </w:r>
      <w:r w:rsidRPr="00271E51">
        <w:rPr>
          <w:rFonts w:ascii="Times New Roman" w:hAnsi="Times New Roman"/>
          <w:color w:val="000000" w:themeColor="text1"/>
          <w:sz w:val="16"/>
          <w:szCs w:val="16"/>
        </w:rPr>
        <w:softHyphen/>
        <w:t>ближении к району нанесения бомбоштурмового удара ударная группа истре</w:t>
      </w:r>
      <w:r w:rsidRPr="00271E51">
        <w:rPr>
          <w:rFonts w:ascii="Times New Roman" w:hAnsi="Times New Roman"/>
          <w:color w:val="000000" w:themeColor="text1"/>
          <w:sz w:val="16"/>
          <w:szCs w:val="16"/>
        </w:rPr>
        <w:softHyphen/>
        <w:t>бителей прикрытия должна была выхо</w:t>
      </w:r>
      <w:r w:rsidRPr="00271E51">
        <w:rPr>
          <w:rFonts w:ascii="Times New Roman" w:hAnsi="Times New Roman"/>
          <w:color w:val="000000" w:themeColor="text1"/>
          <w:sz w:val="16"/>
          <w:szCs w:val="16"/>
        </w:rPr>
        <w:softHyphen/>
        <w:t>дить вперед, окаймлять район действий или выдвигаться в сторону вероятного появления противника, не теряя при этом из виду Ил-2 и группу непосредствен</w:t>
      </w:r>
      <w:r w:rsidRPr="00271E51">
        <w:rPr>
          <w:rFonts w:ascii="Times New Roman" w:hAnsi="Times New Roman"/>
          <w:color w:val="000000" w:themeColor="text1"/>
          <w:sz w:val="16"/>
          <w:szCs w:val="16"/>
        </w:rPr>
        <w:softHyphen/>
        <w:t>ного прикрытия.</w:t>
      </w:r>
    </w:p>
    <w:p w14:paraId="568D6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позволяли наличные силы ис</w:t>
      </w:r>
      <w:r w:rsidRPr="00271E51">
        <w:rPr>
          <w:rFonts w:ascii="Times New Roman" w:hAnsi="Times New Roman"/>
          <w:color w:val="000000" w:themeColor="text1"/>
          <w:sz w:val="16"/>
          <w:szCs w:val="16"/>
        </w:rPr>
        <w:softHyphen/>
        <w:t>требителей прикрытия, то формирова</w:t>
      </w:r>
      <w:r w:rsidRPr="00271E51">
        <w:rPr>
          <w:rFonts w:ascii="Times New Roman" w:hAnsi="Times New Roman"/>
          <w:color w:val="000000" w:themeColor="text1"/>
          <w:sz w:val="16"/>
          <w:szCs w:val="16"/>
        </w:rPr>
        <w:softHyphen/>
        <w:t>лась группа резерва, которая, находясь по отношению к ударной группе и груп</w:t>
      </w:r>
      <w:r w:rsidRPr="00271E51">
        <w:rPr>
          <w:rFonts w:ascii="Times New Roman" w:hAnsi="Times New Roman"/>
          <w:color w:val="000000" w:themeColor="text1"/>
          <w:sz w:val="16"/>
          <w:szCs w:val="16"/>
        </w:rPr>
        <w:softHyphen/>
        <w:t>пе непосредственного прикрытия в сто</w:t>
      </w:r>
      <w:r w:rsidRPr="00271E51">
        <w:rPr>
          <w:rFonts w:ascii="Times New Roman" w:hAnsi="Times New Roman"/>
          <w:color w:val="000000" w:themeColor="text1"/>
          <w:sz w:val="16"/>
          <w:szCs w:val="16"/>
        </w:rPr>
        <w:softHyphen/>
        <w:t>роне или сзади с превышением над ударной группой в 600-800 м, должна была при завязке боя ударной группой или группой непосредственного прикры</w:t>
      </w:r>
      <w:r w:rsidRPr="00271E51">
        <w:rPr>
          <w:rFonts w:ascii="Times New Roman" w:hAnsi="Times New Roman"/>
          <w:color w:val="000000" w:themeColor="text1"/>
          <w:sz w:val="16"/>
          <w:szCs w:val="16"/>
        </w:rPr>
        <w:softHyphen/>
        <w:t>тия своими внезапными атаками влиять на его исход. В состав этой группы вклю</w:t>
      </w:r>
      <w:r w:rsidRPr="00271E51">
        <w:rPr>
          <w:rFonts w:ascii="Times New Roman" w:hAnsi="Times New Roman"/>
          <w:color w:val="000000" w:themeColor="text1"/>
          <w:sz w:val="16"/>
          <w:szCs w:val="16"/>
        </w:rPr>
        <w:softHyphen/>
        <w:t>чались только летчики с большим опы</w:t>
      </w:r>
      <w:r w:rsidRPr="00271E51">
        <w:rPr>
          <w:rFonts w:ascii="Times New Roman" w:hAnsi="Times New Roman"/>
          <w:color w:val="000000" w:themeColor="text1"/>
          <w:sz w:val="16"/>
          <w:szCs w:val="16"/>
        </w:rPr>
        <w:softHyphen/>
        <w:t>том - мастера воздушного боя.</w:t>
      </w:r>
    </w:p>
    <w:p w14:paraId="09749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из состава группы штур</w:t>
      </w:r>
      <w:r w:rsidRPr="00271E51">
        <w:rPr>
          <w:rFonts w:ascii="Times New Roman" w:hAnsi="Times New Roman"/>
          <w:color w:val="000000" w:themeColor="text1"/>
          <w:sz w:val="16"/>
          <w:szCs w:val="16"/>
        </w:rPr>
        <w:softHyphen/>
        <w:t>мовиков выделялась пара Ил-2, которая шла с превышением над основной груп</w:t>
      </w:r>
      <w:r w:rsidRPr="00271E51">
        <w:rPr>
          <w:rFonts w:ascii="Times New Roman" w:hAnsi="Times New Roman"/>
          <w:color w:val="000000" w:themeColor="text1"/>
          <w:sz w:val="16"/>
          <w:szCs w:val="16"/>
        </w:rPr>
        <w:softHyphen/>
        <w:t>пой и в случае сковывания наших ис</w:t>
      </w:r>
      <w:r w:rsidRPr="00271E51">
        <w:rPr>
          <w:rFonts w:ascii="Times New Roman" w:hAnsi="Times New Roman"/>
          <w:color w:val="000000" w:themeColor="text1"/>
          <w:sz w:val="16"/>
          <w:szCs w:val="16"/>
        </w:rPr>
        <w:softHyphen/>
        <w:t>требителей брала прикрытие всей груп</w:t>
      </w:r>
      <w:r w:rsidRPr="00271E51">
        <w:rPr>
          <w:rFonts w:ascii="Times New Roman" w:hAnsi="Times New Roman"/>
          <w:color w:val="000000" w:themeColor="text1"/>
          <w:sz w:val="16"/>
          <w:szCs w:val="16"/>
        </w:rPr>
        <w:softHyphen/>
        <w:t>пы на себя, ведя активный бой с истре</w:t>
      </w:r>
      <w:r w:rsidRPr="00271E51">
        <w:rPr>
          <w:rFonts w:ascii="Times New Roman" w:hAnsi="Times New Roman"/>
          <w:color w:val="000000" w:themeColor="text1"/>
          <w:sz w:val="16"/>
          <w:szCs w:val="16"/>
        </w:rPr>
        <w:softHyphen/>
        <w:t>бителями противника. Естественно, что такая задача поручалась лишь летчикам-штурмовикам с отличной летной и стрелковой подготовкой.</w:t>
      </w:r>
    </w:p>
    <w:p w14:paraId="58B66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обеспечения свободы дей</w:t>
      </w:r>
      <w:r w:rsidRPr="00271E51">
        <w:rPr>
          <w:rFonts w:ascii="Times New Roman" w:hAnsi="Times New Roman"/>
          <w:color w:val="000000" w:themeColor="text1"/>
          <w:sz w:val="16"/>
          <w:szCs w:val="16"/>
        </w:rPr>
        <w:softHyphen/>
        <w:t>ствий истребительных групп прикрытия считалось целесообразным в каждой группе назначать своего командира с самостоятельными правами.</w:t>
      </w:r>
    </w:p>
    <w:p w14:paraId="67D137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таком построении группы истре</w:t>
      </w:r>
      <w:r w:rsidRPr="00271E51">
        <w:rPr>
          <w:rFonts w:ascii="Times New Roman" w:hAnsi="Times New Roman"/>
          <w:color w:val="000000" w:themeColor="text1"/>
          <w:sz w:val="16"/>
          <w:szCs w:val="16"/>
        </w:rPr>
        <w:softHyphen/>
        <w:t>бителей сопровождения и штурмовиков немецким летчикам стало практически сложно добиться сколько-нибудь замет</w:t>
      </w:r>
      <w:r w:rsidRPr="00271E51">
        <w:rPr>
          <w:rFonts w:ascii="Times New Roman" w:hAnsi="Times New Roman"/>
          <w:color w:val="000000" w:themeColor="text1"/>
          <w:sz w:val="16"/>
          <w:szCs w:val="16"/>
        </w:rPr>
        <w:softHyphen/>
        <w:t xml:space="preserve">ного успеха. Потери в 291-й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пошли на убыль, а предложенная тактика взаи</w:t>
      </w:r>
      <w:r w:rsidRPr="00271E51">
        <w:rPr>
          <w:rFonts w:ascii="Times New Roman" w:hAnsi="Times New Roman"/>
          <w:color w:val="000000" w:themeColor="text1"/>
          <w:sz w:val="16"/>
          <w:szCs w:val="16"/>
        </w:rPr>
        <w:softHyphen/>
        <w:t>модействия Ил-2 и истребителей полу</w:t>
      </w:r>
      <w:r w:rsidRPr="00271E51">
        <w:rPr>
          <w:rFonts w:ascii="Times New Roman" w:hAnsi="Times New Roman"/>
          <w:color w:val="000000" w:themeColor="text1"/>
          <w:sz w:val="16"/>
          <w:szCs w:val="16"/>
        </w:rPr>
        <w:softHyphen/>
        <w:t>чила широкое распространение и в дру</w:t>
      </w:r>
      <w:r w:rsidRPr="00271E51">
        <w:rPr>
          <w:rFonts w:ascii="Times New Roman" w:hAnsi="Times New Roman"/>
          <w:color w:val="000000" w:themeColor="text1"/>
          <w:sz w:val="16"/>
          <w:szCs w:val="16"/>
        </w:rPr>
        <w:softHyphen/>
        <w:t>гих воздушных армиях (6467).</w:t>
      </w:r>
    </w:p>
    <w:p w14:paraId="604182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 тактическим приемом борь</w:t>
      </w:r>
      <w:r w:rsidRPr="00271E51">
        <w:rPr>
          <w:rFonts w:ascii="Times New Roman" w:hAnsi="Times New Roman"/>
          <w:color w:val="000000" w:themeColor="text1"/>
          <w:sz w:val="16"/>
          <w:szCs w:val="16"/>
        </w:rPr>
        <w:softHyphen/>
        <w:t>бы с советскими штурмовиками Ил-2, примененным немцами в период Курс</w:t>
      </w:r>
      <w:r w:rsidRPr="00271E51">
        <w:rPr>
          <w:rFonts w:ascii="Times New Roman" w:hAnsi="Times New Roman"/>
          <w:color w:val="000000" w:themeColor="text1"/>
          <w:sz w:val="16"/>
          <w:szCs w:val="16"/>
        </w:rPr>
        <w:softHyphen/>
        <w:t>кой дуги, явилось построение истреби</w:t>
      </w:r>
      <w:r w:rsidRPr="00271E51">
        <w:rPr>
          <w:rFonts w:ascii="Times New Roman" w:hAnsi="Times New Roman"/>
          <w:color w:val="000000" w:themeColor="text1"/>
          <w:sz w:val="16"/>
          <w:szCs w:val="16"/>
        </w:rPr>
        <w:softHyphen/>
        <w:t xml:space="preserve">телями Люфтваффе при атаке "ильюшиных", ставших в оборонительный "круг", обратного (по направлению) "круга", имеющего уже наступательный характер. То есть </w:t>
      </w:r>
      <w:r w:rsidRPr="00271E51">
        <w:rPr>
          <w:rFonts w:ascii="Times New Roman" w:hAnsi="Times New Roman"/>
          <w:color w:val="000000" w:themeColor="text1"/>
          <w:sz w:val="16"/>
          <w:szCs w:val="16"/>
        </w:rPr>
        <w:lastRenderedPageBreak/>
        <w:t>немецкие истребители, как пра</w:t>
      </w:r>
      <w:r w:rsidRPr="00271E51">
        <w:rPr>
          <w:rFonts w:ascii="Times New Roman" w:hAnsi="Times New Roman"/>
          <w:color w:val="000000" w:themeColor="text1"/>
          <w:sz w:val="16"/>
          <w:szCs w:val="16"/>
        </w:rPr>
        <w:softHyphen/>
        <w:t>вило, это были "фокке-вульфы", обладав</w:t>
      </w:r>
      <w:r w:rsidRPr="00271E51">
        <w:rPr>
          <w:rFonts w:ascii="Times New Roman" w:hAnsi="Times New Roman"/>
          <w:color w:val="000000" w:themeColor="text1"/>
          <w:sz w:val="16"/>
          <w:szCs w:val="16"/>
        </w:rPr>
        <w:softHyphen/>
        <w:t>шие хорошим бронированием и доста</w:t>
      </w:r>
      <w:r w:rsidRPr="00271E51">
        <w:rPr>
          <w:rFonts w:ascii="Times New Roman" w:hAnsi="Times New Roman"/>
          <w:color w:val="000000" w:themeColor="text1"/>
          <w:sz w:val="16"/>
          <w:szCs w:val="16"/>
        </w:rPr>
        <w:softHyphen/>
        <w:t>точно мощным пушечным вооружением, атаковывали Ил-2 на встречных курсах. И в этом был свой резон - попадание одного-двух 20-мм снарядов к пушкам MG-FF или МО-151/20 в винтомоторную группу "Ила" было достаточным для вы</w:t>
      </w:r>
      <w:r w:rsidRPr="00271E51">
        <w:rPr>
          <w:rFonts w:ascii="Times New Roman" w:hAnsi="Times New Roman"/>
          <w:color w:val="000000" w:themeColor="text1"/>
          <w:sz w:val="16"/>
          <w:szCs w:val="16"/>
        </w:rPr>
        <w:softHyphen/>
        <w:t>вода его из строя. Стрелок же Ил-2 в этом случае уже не мог оказать огнево</w:t>
      </w:r>
      <w:r w:rsidRPr="00271E51">
        <w:rPr>
          <w:rFonts w:ascii="Times New Roman" w:hAnsi="Times New Roman"/>
          <w:color w:val="000000" w:themeColor="text1"/>
          <w:sz w:val="16"/>
          <w:szCs w:val="16"/>
        </w:rPr>
        <w:softHyphen/>
        <w:t>го воздействия на истребитель против</w:t>
      </w:r>
      <w:r w:rsidRPr="00271E51">
        <w:rPr>
          <w:rFonts w:ascii="Times New Roman" w:hAnsi="Times New Roman"/>
          <w:color w:val="000000" w:themeColor="text1"/>
          <w:sz w:val="16"/>
          <w:szCs w:val="16"/>
        </w:rPr>
        <w:softHyphen/>
        <w:t>ника, а летчику "ильюшина" было все же сложно на такой тяжелой машине, как Ил-2, вести воздушный бой на встречных курсах с более маневренными "фоккерами".</w:t>
      </w:r>
    </w:p>
    <w:p w14:paraId="4C26BA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Оценки, основанные на теории воз</w:t>
      </w:r>
      <w:r w:rsidRPr="00271E51">
        <w:rPr>
          <w:rFonts w:ascii="Times New Roman" w:hAnsi="Times New Roman"/>
          <w:color w:val="000000" w:themeColor="text1"/>
          <w:sz w:val="16"/>
          <w:szCs w:val="16"/>
        </w:rPr>
        <w:softHyphen/>
        <w:t>душной стрельбы, анализе боевого опыта и полигонных испытаниях эффективно</w:t>
      </w:r>
      <w:r w:rsidRPr="00271E51">
        <w:rPr>
          <w:rFonts w:ascii="Times New Roman" w:hAnsi="Times New Roman"/>
          <w:color w:val="000000" w:themeColor="text1"/>
          <w:sz w:val="16"/>
          <w:szCs w:val="16"/>
        </w:rPr>
        <w:softHyphen/>
        <w:t>сти действия германского стрелково-пушечного вооружения по штурмовику Ил-2, показывают, что потенциальная вероятность сбития Ил-2 пушечным ог</w:t>
      </w:r>
      <w:r w:rsidRPr="00271E51">
        <w:rPr>
          <w:rFonts w:ascii="Times New Roman" w:hAnsi="Times New Roman"/>
          <w:color w:val="000000" w:themeColor="text1"/>
          <w:sz w:val="16"/>
          <w:szCs w:val="16"/>
        </w:rPr>
        <w:softHyphen/>
        <w:t>нем Fw190A-4 при атаке в передней полусфере могла составлять величину порядка 0,73, тогда как при атаке "фокке-вульфом" двухместного "Ила" со сто</w:t>
      </w:r>
      <w:r w:rsidRPr="00271E51">
        <w:rPr>
          <w:rFonts w:ascii="Times New Roman" w:hAnsi="Times New Roman"/>
          <w:color w:val="000000" w:themeColor="text1"/>
          <w:sz w:val="16"/>
          <w:szCs w:val="16"/>
        </w:rPr>
        <w:softHyphen/>
        <w:t>роны задней полусферы вероятность сбития последнего не превышала 0,63.</w:t>
      </w:r>
    </w:p>
    <w:p w14:paraId="04BF9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такую тактику борьбы с бро</w:t>
      </w:r>
      <w:r w:rsidRPr="00271E51">
        <w:rPr>
          <w:rFonts w:ascii="Times New Roman" w:hAnsi="Times New Roman"/>
          <w:color w:val="000000" w:themeColor="text1"/>
          <w:sz w:val="16"/>
          <w:szCs w:val="16"/>
        </w:rPr>
        <w:softHyphen/>
        <w:t>нированными "Илами" могли успешно применять лишь летчики, имевшие во всех отношениях отличные летную и стрелковую подготовки и обладавшие к тому же определенной выдержкой, по</w:t>
      </w:r>
      <w:r w:rsidRPr="00271E51">
        <w:rPr>
          <w:rFonts w:ascii="Times New Roman" w:hAnsi="Times New Roman"/>
          <w:color w:val="000000" w:themeColor="text1"/>
          <w:sz w:val="16"/>
          <w:szCs w:val="16"/>
        </w:rPr>
        <w:softHyphen/>
        <w:t>скольку "ильюшинские" 23-мм пушки в умелых руках представляли собой гроз</w:t>
      </w:r>
      <w:r w:rsidRPr="00271E51">
        <w:rPr>
          <w:rFonts w:ascii="Times New Roman" w:hAnsi="Times New Roman"/>
          <w:color w:val="000000" w:themeColor="text1"/>
          <w:sz w:val="16"/>
          <w:szCs w:val="16"/>
        </w:rPr>
        <w:softHyphen/>
        <w:t>ное оружие и могли разнести "Фоккер" или "мессер", как говорится, в "пух и прах". Мощь пушек ВЯ-23 заставляла на протяжении всей войны считаться с ними летчиков Люфтваффе, которые в своем большинстве по возможности избегали лобовых атак Ил-2.</w:t>
      </w:r>
    </w:p>
    <w:p w14:paraId="45331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по мере того как классных летчиков в Люфтваффе стано</w:t>
      </w:r>
      <w:r w:rsidRPr="00271E51">
        <w:rPr>
          <w:rFonts w:ascii="Times New Roman" w:hAnsi="Times New Roman"/>
          <w:color w:val="000000" w:themeColor="text1"/>
          <w:sz w:val="16"/>
          <w:szCs w:val="16"/>
        </w:rPr>
        <w:softHyphen/>
        <w:t>вилось все меньше и меньше, а боевое мастерство советских летчиков-штурмо</w:t>
      </w:r>
      <w:r w:rsidRPr="00271E51">
        <w:rPr>
          <w:rFonts w:ascii="Times New Roman" w:hAnsi="Times New Roman"/>
          <w:color w:val="000000" w:themeColor="text1"/>
          <w:sz w:val="16"/>
          <w:szCs w:val="16"/>
        </w:rPr>
        <w:softHyphen/>
        <w:t>виков неуклонно возрастало и, кроме этого, налаживалось их прикрытие истре</w:t>
      </w:r>
      <w:r w:rsidRPr="00271E51">
        <w:rPr>
          <w:rFonts w:ascii="Times New Roman" w:hAnsi="Times New Roman"/>
          <w:color w:val="000000" w:themeColor="text1"/>
          <w:sz w:val="16"/>
          <w:szCs w:val="16"/>
        </w:rPr>
        <w:softHyphen/>
        <w:t>бителями сопровождения, подобная так</w:t>
      </w:r>
      <w:r w:rsidRPr="00271E51">
        <w:rPr>
          <w:rFonts w:ascii="Times New Roman" w:hAnsi="Times New Roman"/>
          <w:color w:val="000000" w:themeColor="text1"/>
          <w:sz w:val="16"/>
          <w:szCs w:val="16"/>
        </w:rPr>
        <w:softHyphen/>
        <w:t>тика атак немецкими истребителями штурмовиков Ил-2 сошла на нет (6467).</w:t>
      </w:r>
    </w:p>
    <w:p w14:paraId="54B14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A7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1943 массированным упреждающим ударом 2ВА в районе Яковлево, Моячки была сорвана готовившаяся атака противника (518,229).</w:t>
      </w:r>
    </w:p>
    <w:p w14:paraId="14BC33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A0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11 июля 1943 серж. А.Н.Агданцев в одном бою сбил 2 Ю-87 и Ме-109 и тараном уничтожил еще один, а сам вернулся. СталГСС</w:t>
      </w:r>
      <w:r w:rsidRPr="00271E51">
        <w:rPr>
          <w:rFonts w:ascii="Times New Roman" w:hAnsi="Times New Roman"/>
          <w:color w:val="000000" w:themeColor="text1"/>
          <w:sz w:val="16"/>
          <w:szCs w:val="16"/>
          <w:lang w:val="en-US"/>
        </w:rPr>
        <w:t xml:space="preserve"> (3789).</w:t>
      </w:r>
    </w:p>
    <w:p w14:paraId="69B52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60BCB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11th, 1943: In the battle of Kursk, the attacking German forces depleted by heavy losses in men and armor have nearly spent their momentum. even though 4.Panzerarmee and Armee-Abteilung Kempf in the southern sector succeed in capturing the pivotal town of Prokhorovka. To prevent further attrition, especially of the vital armored forces, Field Marshals von Kluge and von Manstein urge Hitler to call off the operation which is turning into a disaster for the entire Eastern Front, but Hitler refuses (3819).</w:t>
      </w:r>
    </w:p>
    <w:p w14:paraId="6D7F5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C909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1943 фельдмаршалы фон Клюге и фон Манштейн , стремясь сохранить силы и в особенности танки, умоляли А.Г. прекратить операцию, которая грозила превратиться в катастрофу. А.Г. отказался (3819).</w:t>
      </w:r>
    </w:p>
    <w:p w14:paraId="638376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6AABB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284B8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724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1943 нарком Берия подписал совершенно секретный приказ № 00968 “Об организации отделений каторжных работ при ИТЛ НКВД” “в соответствии” с этим указом ПВС:</w:t>
      </w:r>
    </w:p>
    <w:p w14:paraId="3D22A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Организовать отделения каторжных работ при следующих лагерях:</w:t>
      </w:r>
    </w:p>
    <w:p w14:paraId="76442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Воркутинский лагерь - на 10.000 человек для использования на работах по строительству новых угольных шахт и на подземных работах в действующих шахтах;</w:t>
      </w:r>
    </w:p>
    <w:p w14:paraId="2F914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Норильский лагерь - на 10.000 человек для работы на рудниках, шахтах, карьерах и кирпичных заводах;</w:t>
      </w:r>
    </w:p>
    <w:p w14:paraId="73B63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Севвостлаг (Дальстрой) - на 10.000 человек на добыче золота и олова.</w:t>
      </w:r>
    </w:p>
    <w:p w14:paraId="30533F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Создать в составе Карлага НКВД каторжное отделение для нетрудоспособных и больных, осужденных на каторжные работы.</w:t>
      </w:r>
    </w:p>
    <w:p w14:paraId="04AE6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Начальнику ГУЛАГа т. Наседкину, начальнику Тюремного управления т. Никольскому и начальнику 1 спецотдела всех осужденных к каторжным работам (исключая больных в нетрудоспособных) направлять вагонзаками немедленно после осуждения, в первую очередь до конца навигации в Норильлаг.</w:t>
      </w:r>
    </w:p>
    <w:p w14:paraId="32E799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Всех больных и нетрудоспособных направлять в каторжное отделение Карлага.</w:t>
      </w:r>
    </w:p>
    <w:p w14:paraId="79F776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Начальнику Конвойных войск генерал-майору т. Кривенко обеспечить отправку осужденных на каторжные работы вагонзаками и соответственной охраной, установив при сопровождении в пути особострогий режим.</w:t>
      </w:r>
    </w:p>
    <w:p w14:paraId="258CA1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Начальнику ГУЛАГа т. Наседкину и начальникам лагерей: Воркутлага т. Мальцеву, Норильлага т. Панюкову, Дальстроя т. Никишову и Карлага т. Журавлеву сформировать в составе указанных лагерей каторжные лагерные отделения, выделив их от остальных лагерных отделений.</w:t>
      </w:r>
    </w:p>
    <w:p w14:paraId="1F0B1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Обеспечить охрану, внутренний порядок и организацию работ в соответствии с прилагаемой инструкцией” (7560).</w:t>
      </w:r>
    </w:p>
    <w:p w14:paraId="06F0C8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“Инструкция о порядке содержания осужденных к каторжным работам в лагерях НКВД” гласила:</w:t>
      </w:r>
    </w:p>
    <w:p w14:paraId="5E4D2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Осужденные к каторжным работам подлежат размещению отдельно от остальных лагерников в особых бараках с решетками на окнах.</w:t>
      </w:r>
    </w:p>
    <w:p w14:paraId="50BB58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Бараки заключенных находятся на запоре и охраняются стрелками. Бараки каторжников отделяются от остальной лагерной зоны высоким забором.</w:t>
      </w:r>
    </w:p>
    <w:p w14:paraId="3E4336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Установить для осужденных к каторжным работам одежду специального образца и цвета с нашивкой на верхнем платье личного номера заключенного.</w:t>
      </w:r>
    </w:p>
    <w:p w14:paraId="337F97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Осужденные к каторжным работам в течение первого года заключения лишаются переписки и получения премиальных денег. В последующие годы разрешение на переписку и выдача премиальных денег производятся с разрешения начальника лагеря в зависимости от поведения в лагере и отношения в труду на производстве.</w:t>
      </w:r>
    </w:p>
    <w:p w14:paraId="40D2C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Питание и снабжение вещевым довольствием осужденных производится на общих основаниях по существующим лагерным нормам.</w:t>
      </w:r>
    </w:p>
    <w:p w14:paraId="713B9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Для осужденных к каторжным работам устанавливается следующий порядок использования на работе:</w:t>
      </w:r>
    </w:p>
    <w:p w14:paraId="168BA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продолжительность рабочего дня устанавливается на 1 час выше общелагерной нормы;</w:t>
      </w:r>
    </w:p>
    <w:p w14:paraId="05E07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осужденные выводятся на работу всегда под усиленным конвоем;</w:t>
      </w:r>
    </w:p>
    <w:p w14:paraId="0F634E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осужденные в течение первых двух лет используются только в качестве чернорабочей силы на непосредственной работе. Старшие, бригадиры и мастера назначаются или из вольнонаемных, или из заключенных других категорий;</w:t>
      </w:r>
    </w:p>
    <w:p w14:paraId="6FC095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осужденные к каторжным работам привлекаются в первую очередь на все особотяжелые работы.</w:t>
      </w:r>
    </w:p>
    <w:p w14:paraId="4A2E7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За отказ от работы, за невыполнение нормы выработки, за нарушение режима и неисполнение распоряжений администрации устанавливаются следующие виды наказания:</w:t>
      </w:r>
    </w:p>
    <w:p w14:paraId="73A3F4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удлинение рабочего дня до 2-х дополнительных часов и перевод на более тяжелую работу;</w:t>
      </w:r>
    </w:p>
    <w:p w14:paraId="73F44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перевод на содержание в одиночном карцере на срок до 20 суток;</w:t>
      </w:r>
    </w:p>
    <w:p w14:paraId="7E7EA8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арест и привлечение к уголовной ответственности с рассмотрением дел на Особом совещании НКВД СССР.</w:t>
      </w:r>
    </w:p>
    <w:p w14:paraId="5C1F3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После отбытия годичного испытательного срока наказания разрешается для всех хорошо работающих и примерно ведущих себя в быту и по лагерному режиму распоряжением начальника лагеря устанавливать выдачу денежного премирования, переписку с родственниками, получение посылок, чтение книг и газет” (7560).</w:t>
      </w:r>
    </w:p>
    <w:p w14:paraId="35A42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CAE53" w14:textId="77777777" w:rsidR="005D097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9C8A4B5" w14:textId="77777777" w:rsidR="005D0971" w:rsidRPr="00271E51" w:rsidRDefault="005D097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1054A"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июля 1943 самолеты Оси совершают второй крупный бомбардировочный налет на корабли у берегов Сицилии, потопив два корабля с боеприпасами (20376).</w:t>
      </w:r>
    </w:p>
    <w:p w14:paraId="4E24AC24" w14:textId="77777777" w:rsidR="007B4EF1" w:rsidRPr="00271E51" w:rsidRDefault="007B4EF1" w:rsidP="00271E51">
      <w:pPr>
        <w:spacing w:after="0" w:line="240" w:lineRule="auto"/>
        <w:jc w:val="both"/>
        <w:rPr>
          <w:rFonts w:ascii="Times New Roman" w:hAnsi="Times New Roman"/>
          <w:color w:val="0070C0"/>
          <w:sz w:val="16"/>
          <w:szCs w:val="16"/>
        </w:rPr>
      </w:pPr>
    </w:p>
    <w:p w14:paraId="6FECCD1F"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11-12 июля (ночь) 1943 144 транспортных самолета пятьдесят второго Troop Carrier армии США с парашютистами из Северной Африки для парашютного десанта в Сицилии летят в темноте на малой высоте над кораблями союзников в открытом море и союзными войсками на линии фронта, прибывая во время бомбардировки Оси, и как корабли, так и войска, находящиеся на берегу, по ошибке открывают по ним огонь. Двадцать три самолета сбиты, погибло 100 человек (20376).</w:t>
      </w:r>
    </w:p>
    <w:p w14:paraId="6A861B9D" w14:textId="77777777" w:rsidR="007B4EF1" w:rsidRPr="00271E51" w:rsidRDefault="007B4EF1" w:rsidP="00271E51">
      <w:pPr>
        <w:spacing w:after="0" w:line="240" w:lineRule="auto"/>
        <w:jc w:val="both"/>
        <w:rPr>
          <w:rFonts w:ascii="Times New Roman" w:hAnsi="Times New Roman"/>
          <w:color w:val="0070C0"/>
          <w:sz w:val="16"/>
          <w:szCs w:val="16"/>
        </w:rPr>
      </w:pPr>
    </w:p>
    <w:p w14:paraId="416385A7"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июля в 1943 году немецкие танковые войска безуспешно атаковали англо-американские войска, высадившиеся на Сицилии (14949).</w:t>
      </w:r>
    </w:p>
    <w:p w14:paraId="220B1F9A"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1FC818C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A6C8A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F9E2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1943-го в связи с сильной загрузкой ОКБ и опытного производства завода работами по совершенствованию серийных “Илов” и обеспечению их производства, приказом по НКАП № 414 от 18-й авиазавод обязывался построить Ил-1 с АМ-42 к 15 сентября 1943 г. Затем, по этим же причинам, срок сдачи машины был отодвинут на октябрь (9649).</w:t>
      </w:r>
    </w:p>
    <w:p w14:paraId="5D79F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7CB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12 июля 1943 наркомат передвинул срок представления Ил-1 на 15 сентября. Для ускорения постройки опытных машин чертежи решили пере</w:t>
      </w:r>
      <w:r w:rsidRPr="00271E51">
        <w:rPr>
          <w:rFonts w:ascii="Times New Roman" w:hAnsi="Times New Roman"/>
          <w:color w:val="000000" w:themeColor="text1"/>
          <w:sz w:val="16"/>
          <w:szCs w:val="16"/>
        </w:rPr>
        <w:softHyphen/>
        <w:t>дать еще и на завод № 1. При этом за</w:t>
      </w:r>
      <w:r w:rsidRPr="00271E51">
        <w:rPr>
          <w:rFonts w:ascii="Times New Roman" w:hAnsi="Times New Roman"/>
          <w:color w:val="000000" w:themeColor="text1"/>
          <w:sz w:val="16"/>
          <w:szCs w:val="16"/>
        </w:rPr>
        <w:softHyphen/>
        <w:t>вод № 18 должен был построить два эк</w:t>
      </w:r>
      <w:r w:rsidRPr="00271E51">
        <w:rPr>
          <w:rFonts w:ascii="Times New Roman" w:hAnsi="Times New Roman"/>
          <w:color w:val="000000" w:themeColor="text1"/>
          <w:sz w:val="16"/>
          <w:szCs w:val="16"/>
        </w:rPr>
        <w:softHyphen/>
        <w:t>земпляра Ил-1 —двухместный и одно</w:t>
      </w:r>
      <w:r w:rsidRPr="00271E51">
        <w:rPr>
          <w:rFonts w:ascii="Times New Roman" w:hAnsi="Times New Roman"/>
          <w:color w:val="000000" w:themeColor="text1"/>
          <w:sz w:val="16"/>
          <w:szCs w:val="16"/>
        </w:rPr>
        <w:softHyphen/>
        <w:t>местный, а завод № 1 — только одноместный (чертежи на него были от</w:t>
      </w:r>
      <w:r w:rsidRPr="00271E51">
        <w:rPr>
          <w:rFonts w:ascii="Times New Roman" w:hAnsi="Times New Roman"/>
          <w:color w:val="000000" w:themeColor="text1"/>
          <w:sz w:val="16"/>
          <w:szCs w:val="16"/>
        </w:rPr>
        <w:softHyphen/>
        <w:t>правлены из ОКБ 13 июля) (10680).</w:t>
      </w:r>
    </w:p>
    <w:p w14:paraId="7F4F19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A7619"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июля 1943 г. вышел приказ НКАП № 414, которым 18-й авиазавод обязывали построить еще один Ил-1 АМ-42 к 15 сентября 1943 года. А менее двух недель спустя 24 июля 1943 С.В. Ильюшин и А.Т. Третьяков направили А.И. Шахурину письмо № 3055: «Согласно Вашего приказа № 305 от 21 мая 1943 заводу 1 было дано задание выпустить: а) 50 самолетов Ил-2 в одноместном варианте б) 2 самолета Ил-2 с АМ38Ф в) 2 самолета Ил-2 с мотором АМ-42 с улучшенной аэродинамикой. Принимая во внимание, что 2 самолета Ил-2 с улучшенной аэродинамикой с АМ-38Ф по свои летным данным являются очень близким с выпускаемым заводом 50 самолетам просим Вас с производства завода их снять, а также просим разрешения самолет Ил-2 с АМ-42 выпустить в одном экземпляре» (21005).</w:t>
      </w:r>
    </w:p>
    <w:p w14:paraId="36D16EE8" w14:textId="77777777" w:rsidR="007B4EF1" w:rsidRPr="00271E51" w:rsidRDefault="007B4EF1" w:rsidP="00271E51">
      <w:pPr>
        <w:spacing w:after="0" w:line="240" w:lineRule="auto"/>
        <w:jc w:val="both"/>
        <w:rPr>
          <w:rFonts w:ascii="Times New Roman" w:hAnsi="Times New Roman"/>
          <w:color w:val="0070C0"/>
          <w:sz w:val="16"/>
          <w:szCs w:val="16"/>
        </w:rPr>
      </w:pPr>
    </w:p>
    <w:p w14:paraId="187FE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1943-го вышел приказ по НКАП № 414, которым 18-й авиазавод обязывался построить Ил-1 АМ-42 к 15 сентября 1943 г. Затем, по этим же причинам, срок сдачи машины был отодвинут на октябрь (7442).</w:t>
      </w:r>
    </w:p>
    <w:p w14:paraId="7E520D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FAB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вышел приказ НКАП N 414 "Обязать дир. завода 18 тов. Белянкина представить один экз. Ил-2 с мотором АМ-42 к 15 сентября 1943" (888,154).</w:t>
      </w:r>
    </w:p>
    <w:p w14:paraId="1BBF50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"одноместный модернизированный Ил-2" с двигателем АМ-42 к 15 сентября, хотя потом срок передвинули на 15 ноября 1943 (1605,2).</w:t>
      </w:r>
    </w:p>
    <w:p w14:paraId="15832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третьим данным одноместный самолет Ил с АМ-42, изготавливаемый по приказу НКАП N 414 от 12 июля 1943 (1747,38).</w:t>
      </w:r>
    </w:p>
    <w:p w14:paraId="63696D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90D4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поскольку летные данные Ил-2М с винтом АВ-5л-158 снизились почти до уровня обычной "двойки", то о предъявлении новой машины на го</w:t>
      </w:r>
      <w:r w:rsidRPr="00271E51">
        <w:rPr>
          <w:rFonts w:ascii="Times New Roman" w:hAnsi="Times New Roman"/>
          <w:color w:val="000000" w:themeColor="text1"/>
          <w:sz w:val="16"/>
          <w:szCs w:val="16"/>
        </w:rPr>
        <w:softHyphen/>
        <w:t>сударственные испытания в установ</w:t>
      </w:r>
      <w:r w:rsidRPr="00271E51">
        <w:rPr>
          <w:rFonts w:ascii="Times New Roman" w:hAnsi="Times New Roman"/>
          <w:color w:val="000000" w:themeColor="text1"/>
          <w:sz w:val="16"/>
          <w:szCs w:val="16"/>
        </w:rPr>
        <w:softHyphen/>
        <w:t>ленные сроки не могло быть и речи, наркомат авиапро</w:t>
      </w:r>
      <w:r w:rsidRPr="00271E51">
        <w:rPr>
          <w:rFonts w:ascii="Times New Roman" w:hAnsi="Times New Roman"/>
          <w:color w:val="000000" w:themeColor="text1"/>
          <w:sz w:val="16"/>
          <w:szCs w:val="16"/>
        </w:rPr>
        <w:softHyphen/>
        <w:t>мышленности по согласованию с ГОКО своим приказом перенес на 15 сентября срок пере</w:t>
      </w:r>
      <w:r w:rsidRPr="00271E51">
        <w:rPr>
          <w:rFonts w:ascii="Times New Roman" w:hAnsi="Times New Roman"/>
          <w:color w:val="000000" w:themeColor="text1"/>
          <w:sz w:val="16"/>
          <w:szCs w:val="16"/>
        </w:rPr>
        <w:softHyphen/>
        <w:t>дачи Ил-2М на госиспытания. В этой связи 7 августа Ил-2М с винтом АВ-5л-158 перелетел в Москву на за</w:t>
      </w:r>
      <w:r w:rsidRPr="00271E51">
        <w:rPr>
          <w:rFonts w:ascii="Times New Roman" w:hAnsi="Times New Roman"/>
          <w:color w:val="000000" w:themeColor="text1"/>
          <w:sz w:val="16"/>
          <w:szCs w:val="16"/>
        </w:rPr>
        <w:softHyphen/>
        <w:t>вод № 240, где предполагалось про</w:t>
      </w:r>
      <w:r w:rsidRPr="00271E51">
        <w:rPr>
          <w:rFonts w:ascii="Times New Roman" w:hAnsi="Times New Roman"/>
          <w:color w:val="000000" w:themeColor="text1"/>
          <w:sz w:val="16"/>
          <w:szCs w:val="16"/>
        </w:rPr>
        <w:softHyphen/>
        <w:t>должить доводку машины и провести весь цикл официальных заводских ис</w:t>
      </w:r>
      <w:r w:rsidRPr="00271E51">
        <w:rPr>
          <w:rFonts w:ascii="Times New Roman" w:hAnsi="Times New Roman"/>
          <w:color w:val="000000" w:themeColor="text1"/>
          <w:sz w:val="16"/>
          <w:szCs w:val="16"/>
        </w:rPr>
        <w:softHyphen/>
        <w:t>пытаний.</w:t>
      </w:r>
    </w:p>
    <w:p w14:paraId="754121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этим же приказом по НКАП завод № 18 обязывался построить эталон нового штурмови</w:t>
      </w:r>
      <w:r w:rsidRPr="00271E51">
        <w:rPr>
          <w:rFonts w:ascii="Times New Roman" w:hAnsi="Times New Roman"/>
          <w:color w:val="000000" w:themeColor="text1"/>
          <w:sz w:val="16"/>
          <w:szCs w:val="16"/>
        </w:rPr>
        <w:softHyphen/>
        <w:t>ка для серийного производства. Са</w:t>
      </w:r>
      <w:r w:rsidRPr="00271E51">
        <w:rPr>
          <w:rFonts w:ascii="Times New Roman" w:hAnsi="Times New Roman"/>
          <w:color w:val="000000" w:themeColor="text1"/>
          <w:sz w:val="16"/>
          <w:szCs w:val="16"/>
        </w:rPr>
        <w:softHyphen/>
        <w:t>молет получил заводское обозначе</w:t>
      </w:r>
      <w:r w:rsidRPr="00271E51">
        <w:rPr>
          <w:rFonts w:ascii="Times New Roman" w:hAnsi="Times New Roman"/>
          <w:color w:val="000000" w:themeColor="text1"/>
          <w:sz w:val="16"/>
          <w:szCs w:val="16"/>
        </w:rPr>
        <w:softHyphen/>
        <w:t>ние С-42. В отличие от Ил-2М кон</w:t>
      </w:r>
      <w:r w:rsidRPr="00271E51">
        <w:rPr>
          <w:rFonts w:ascii="Times New Roman" w:hAnsi="Times New Roman"/>
          <w:color w:val="000000" w:themeColor="text1"/>
          <w:sz w:val="16"/>
          <w:szCs w:val="16"/>
        </w:rPr>
        <w:softHyphen/>
        <w:t>соли крыла эталона отводились на</w:t>
      </w:r>
      <w:r w:rsidRPr="00271E51">
        <w:rPr>
          <w:rFonts w:ascii="Times New Roman" w:hAnsi="Times New Roman"/>
          <w:color w:val="000000" w:themeColor="text1"/>
          <w:sz w:val="16"/>
          <w:szCs w:val="16"/>
        </w:rPr>
        <w:softHyphen/>
        <w:t>зад на 6°, а само крыло несколько смещалось назад. Усиливались сты</w:t>
      </w:r>
      <w:r w:rsidRPr="00271E51">
        <w:rPr>
          <w:rFonts w:ascii="Times New Roman" w:hAnsi="Times New Roman"/>
          <w:color w:val="000000" w:themeColor="text1"/>
          <w:sz w:val="16"/>
          <w:szCs w:val="16"/>
        </w:rPr>
        <w:softHyphen/>
        <w:t>ковочные узлы крыла с центропла</w:t>
      </w:r>
      <w:r w:rsidRPr="00271E51">
        <w:rPr>
          <w:rFonts w:ascii="Times New Roman" w:hAnsi="Times New Roman"/>
          <w:color w:val="000000" w:themeColor="text1"/>
          <w:sz w:val="16"/>
          <w:szCs w:val="16"/>
        </w:rPr>
        <w:softHyphen/>
        <w:t>ном накладками (от 6 до 7 нервю</w:t>
      </w:r>
      <w:r w:rsidRPr="00271E51">
        <w:rPr>
          <w:rFonts w:ascii="Times New Roman" w:hAnsi="Times New Roman"/>
          <w:color w:val="000000" w:themeColor="text1"/>
          <w:sz w:val="16"/>
          <w:szCs w:val="16"/>
        </w:rPr>
        <w:softHyphen/>
        <w:t>ры), а также крепление нервюр (на</w:t>
      </w:r>
      <w:r w:rsidRPr="00271E51">
        <w:rPr>
          <w:rFonts w:ascii="Times New Roman" w:hAnsi="Times New Roman"/>
          <w:color w:val="000000" w:themeColor="text1"/>
          <w:sz w:val="16"/>
          <w:szCs w:val="16"/>
        </w:rPr>
        <w:softHyphen/>
        <w:t>чиная с 5-й) к лонжеронам крыла. Само крыло несколько изменялось - хвостики нервюр в месте подвески элерона выполнялись укороченными. Зализ стыка центроплана с фюзеля</w:t>
      </w:r>
      <w:r w:rsidRPr="00271E51">
        <w:rPr>
          <w:rFonts w:ascii="Times New Roman" w:hAnsi="Times New Roman"/>
          <w:color w:val="000000" w:themeColor="text1"/>
          <w:sz w:val="16"/>
          <w:szCs w:val="16"/>
        </w:rPr>
        <w:softHyphen/>
        <w:t>жем ставился только на хвостике цен</w:t>
      </w:r>
      <w:r w:rsidRPr="00271E51">
        <w:rPr>
          <w:rFonts w:ascii="Times New Roman" w:hAnsi="Times New Roman"/>
          <w:color w:val="000000" w:themeColor="text1"/>
          <w:sz w:val="16"/>
          <w:szCs w:val="16"/>
        </w:rPr>
        <w:softHyphen/>
        <w:t>троплана и на носке крыла.</w:t>
      </w:r>
    </w:p>
    <w:p w14:paraId="5EC15B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Аэродинамика С-42 была не</w:t>
      </w:r>
      <w:r w:rsidRPr="00271E51">
        <w:rPr>
          <w:rFonts w:ascii="Times New Roman" w:hAnsi="Times New Roman"/>
          <w:color w:val="000000" w:themeColor="text1"/>
          <w:sz w:val="16"/>
          <w:szCs w:val="16"/>
        </w:rPr>
        <w:softHyphen/>
        <w:t>сколько облагорожена за счет уста</w:t>
      </w:r>
      <w:r w:rsidRPr="00271E51">
        <w:rPr>
          <w:rFonts w:ascii="Times New Roman" w:hAnsi="Times New Roman"/>
          <w:color w:val="000000" w:themeColor="text1"/>
          <w:sz w:val="16"/>
          <w:szCs w:val="16"/>
        </w:rPr>
        <w:softHyphen/>
        <w:t>новки встык листов обшивки консо</w:t>
      </w:r>
      <w:r w:rsidRPr="00271E51">
        <w:rPr>
          <w:rFonts w:ascii="Times New Roman" w:hAnsi="Times New Roman"/>
          <w:color w:val="000000" w:themeColor="text1"/>
          <w:sz w:val="16"/>
          <w:szCs w:val="16"/>
        </w:rPr>
        <w:softHyphen/>
        <w:t>лей и центроплана и применения клепки впотай, а также уборки хвос</w:t>
      </w:r>
      <w:r w:rsidRPr="00271E51">
        <w:rPr>
          <w:rFonts w:ascii="Times New Roman" w:hAnsi="Times New Roman"/>
          <w:color w:val="000000" w:themeColor="text1"/>
          <w:sz w:val="16"/>
          <w:szCs w:val="16"/>
        </w:rPr>
        <w:softHyphen/>
        <w:t>тового колеса в полете.</w:t>
      </w:r>
    </w:p>
    <w:p w14:paraId="3AE6A6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эксплуатационных возможностей самолета вместо съем</w:t>
      </w:r>
      <w:r w:rsidRPr="00271E51">
        <w:rPr>
          <w:rFonts w:ascii="Times New Roman" w:hAnsi="Times New Roman"/>
          <w:color w:val="000000" w:themeColor="text1"/>
          <w:sz w:val="16"/>
          <w:szCs w:val="16"/>
        </w:rPr>
        <w:softHyphen/>
        <w:t>ных патронных и снарядных ящиков в крыле монтировались специальные встроенные отсеки.</w:t>
      </w:r>
    </w:p>
    <w:p w14:paraId="3D7C64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пилотажных качеств и снижение нагрузок на ручку управ</w:t>
      </w:r>
      <w:r w:rsidRPr="00271E51">
        <w:rPr>
          <w:rFonts w:ascii="Times New Roman" w:hAnsi="Times New Roman"/>
          <w:color w:val="000000" w:themeColor="text1"/>
          <w:sz w:val="16"/>
          <w:szCs w:val="16"/>
        </w:rPr>
        <w:softHyphen/>
        <w:t>ления обеспечивалось путем увели</w:t>
      </w:r>
      <w:r w:rsidRPr="00271E51">
        <w:rPr>
          <w:rFonts w:ascii="Times New Roman" w:hAnsi="Times New Roman"/>
          <w:color w:val="000000" w:themeColor="text1"/>
          <w:sz w:val="16"/>
          <w:szCs w:val="16"/>
        </w:rPr>
        <w:softHyphen/>
        <w:t>чения до 30% осевой компенсации элеронов и руля высоты. Кроме это</w:t>
      </w:r>
      <w:r w:rsidRPr="00271E51">
        <w:rPr>
          <w:rFonts w:ascii="Times New Roman" w:hAnsi="Times New Roman"/>
          <w:color w:val="000000" w:themeColor="text1"/>
          <w:sz w:val="16"/>
          <w:szCs w:val="16"/>
        </w:rPr>
        <w:softHyphen/>
        <w:t>го, устанавливалась новая проводка управления триммерами.</w:t>
      </w:r>
    </w:p>
    <w:p w14:paraId="683631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Предусматривалась также уста</w:t>
      </w:r>
      <w:r w:rsidRPr="00271E51">
        <w:rPr>
          <w:rFonts w:ascii="Times New Roman" w:hAnsi="Times New Roman"/>
          <w:color w:val="000000" w:themeColor="text1"/>
          <w:sz w:val="16"/>
          <w:szCs w:val="16"/>
        </w:rPr>
        <w:softHyphen/>
        <w:t>новка щитков на вираж (отклонение 17°) с кнопочным управлением. Это</w:t>
      </w:r>
    </w:p>
    <w:p w14:paraId="0219A7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мероприятие уменьшало радиус ви</w:t>
      </w:r>
      <w:r w:rsidRPr="00271E51">
        <w:rPr>
          <w:rFonts w:ascii="Times New Roman" w:hAnsi="Times New Roman"/>
          <w:color w:val="000000" w:themeColor="text1"/>
          <w:sz w:val="16"/>
          <w:szCs w:val="16"/>
        </w:rPr>
        <w:softHyphen/>
        <w:t>ража.</w:t>
      </w:r>
    </w:p>
    <w:p w14:paraId="2D2B84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самолета повы</w:t>
      </w:r>
      <w:r w:rsidRPr="00271E51">
        <w:rPr>
          <w:rFonts w:ascii="Times New Roman" w:hAnsi="Times New Roman"/>
          <w:color w:val="000000" w:themeColor="text1"/>
          <w:sz w:val="16"/>
          <w:szCs w:val="16"/>
        </w:rPr>
        <w:softHyphen/>
        <w:t>шалась путем постановки дополни</w:t>
      </w:r>
      <w:r w:rsidRPr="00271E51">
        <w:rPr>
          <w:rFonts w:ascii="Times New Roman" w:hAnsi="Times New Roman"/>
          <w:color w:val="000000" w:themeColor="text1"/>
          <w:sz w:val="16"/>
          <w:szCs w:val="16"/>
        </w:rPr>
        <w:softHyphen/>
        <w:t>тельной тросовой проводки управ</w:t>
      </w:r>
      <w:r w:rsidRPr="00271E51">
        <w:rPr>
          <w:rFonts w:ascii="Times New Roman" w:hAnsi="Times New Roman"/>
          <w:color w:val="000000" w:themeColor="text1"/>
          <w:sz w:val="16"/>
          <w:szCs w:val="16"/>
        </w:rPr>
        <w:softHyphen/>
        <w:t>ления рулем высоты за пределами бронекорпуса (в хвостовой части фю</w:t>
      </w:r>
      <w:r w:rsidRPr="00271E51">
        <w:rPr>
          <w:rFonts w:ascii="Times New Roman" w:hAnsi="Times New Roman"/>
          <w:color w:val="000000" w:themeColor="text1"/>
          <w:sz w:val="16"/>
          <w:szCs w:val="16"/>
        </w:rPr>
        <w:softHyphen/>
        <w:t>зеляжа) (11427).</w:t>
      </w:r>
    </w:p>
    <w:p w14:paraId="798ED0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DF9B33"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вышел приказ по наркомату авиапромышленности № 414сс, согласно которому срок передачи Ил-2М на государственные испытания переносился на 15 сентября.</w:t>
      </w:r>
    </w:p>
    <w:p w14:paraId="7B51E20B"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же приказом завод № 18 также к 15 сентября 1943 года обязывался построить и предъявить на испытания еще один экземпляр модернизированного штурмовика Ил-2 АМ-42 с улучшенной аэродинамикой и центровкой, который рассматривался как эталон для серийного производства.</w:t>
      </w:r>
    </w:p>
    <w:p w14:paraId="0F59BD34"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опытный Ил-2М АМ-42 начали готовить для передачи на завод № 240, где предполагалось продолжить доводку машины и провести весь цикл официальных заводских испытаний. На самолет установили тщательно сбалансированный на заводе № 35 винт АВ-5л-158, совместно с представителями моторного ОКБ завода № 24 еще раз проверили работу винтомоторной группы и мотора, устранили ряд выявленных в ходе испытательных полетов небольших дефектов и недостатков, внесли некоторые улучшения. Перелет в Москву состоялся 7 августа.</w:t>
      </w:r>
    </w:p>
    <w:p w14:paraId="00BC3B74"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опытный самолет Ил-2 с АМ-42 – эталон для серийного производства завода № 18, получил заводское обозначение С-42.</w:t>
      </w:r>
    </w:p>
    <w:p w14:paraId="50417029"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уже построенного Ил-2М консоли крыла эталона «отводятся назад на 6° (крыло получает «стрельчатое начертание»), что изменит центровку на 3–4 % САХ». Одновременно крыло немного смещалось назад, усиливались стыковочные узлы крыла с центропланом накладками (от 6-й до 7-й нервюры), а также крепление нервюр (начиная с 5-й) к лонжеронам крыла. Само крыло несколько изменялось – хвостики нервюр в месте подвески элерона выполнялись укороченными. Зализ стыка центроплана с фюзеляжем ставился только на хвостике центроплана и на носке крыла.</w:t>
      </w:r>
    </w:p>
    <w:p w14:paraId="7978B660"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Аэродинамика С-42 несколько облагораживалась за счет установки встык листов обшивки консолей и центроплана и применения клепки впотай, а также уборки хвостового колеса в полете.</w:t>
      </w:r>
    </w:p>
    <w:p w14:paraId="26F9723E"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эксплуатационных возможностей самолета вместо съемных патронных и снарядных ящиков в крыле монтировались специальные встроенные отсеки.</w:t>
      </w:r>
    </w:p>
    <w:p w14:paraId="4AA0879E"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пилотажных качеств и снижение нагрузок на ручку управления обеспечивалось путем увеличения до 30 % осевой компенсации элеронов и руля высоты. Кроме этого, устанавливалась новая проводка управления триммерами.</w:t>
      </w:r>
    </w:p>
    <w:p w14:paraId="0B7FA31A"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Предусматривалась также установка щитков на вираж (отклонение 17°) с кнопочным управлением. Это мероприятие уменьшало радиус виража.</w:t>
      </w:r>
    </w:p>
    <w:p w14:paraId="3AA0C2BC" w14:textId="77777777" w:rsidR="001B4A98" w:rsidRPr="00271E51" w:rsidRDefault="001B4A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самолета повышалась путем постановки дополнительной тросовой проводки управления рулем высоты за пределами бронекорпуса (в хвостовой части фюзеляжа) (17490).</w:t>
      </w:r>
    </w:p>
    <w:p w14:paraId="445B792B" w14:textId="77777777" w:rsidR="001B4A98" w:rsidRPr="00271E51" w:rsidRDefault="001B4A98" w:rsidP="00271E51">
      <w:pPr>
        <w:spacing w:after="0" w:line="240" w:lineRule="auto"/>
        <w:jc w:val="both"/>
        <w:rPr>
          <w:rFonts w:ascii="Times New Roman" w:hAnsi="Times New Roman"/>
          <w:color w:val="000000" w:themeColor="text1"/>
          <w:sz w:val="16"/>
          <w:szCs w:val="16"/>
        </w:rPr>
      </w:pPr>
    </w:p>
    <w:p w14:paraId="04443C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Нач. ЛИИ А.В.Чесалов писал письмо N 413с НКАП А.И.Ш. с отчетом о работах, выполненных ЛИИ за июнь 1943:</w:t>
      </w:r>
    </w:p>
    <w:p w14:paraId="48CE87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года был подготовлен Отчет об основных работах, выполненных ЛИИ за июнь 1943 года</w:t>
      </w:r>
    </w:p>
    <w:p w14:paraId="3631F1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Раздел 1. Контрольные испытания серийных самолетов.</w:t>
      </w:r>
    </w:p>
    <w:p w14:paraId="3507C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в соответствии с приказом НКАП N 915с от 28.XII.42 года.</w:t>
      </w:r>
    </w:p>
    <w:p w14:paraId="05CEF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К-7 з-да 153.</w:t>
      </w:r>
    </w:p>
    <w:p w14:paraId="70842D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 самолет ЯК-7 N 4594 июньского выпуска.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2CB456C" w14:textId="77777777" w:rsidTr="00ED5B0A">
        <w:tc>
          <w:tcPr>
            <w:tcW w:w="5636" w:type="dxa"/>
          </w:tcPr>
          <w:p w14:paraId="19CAAB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0F1F67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 км/час</w:t>
            </w:r>
          </w:p>
        </w:tc>
      </w:tr>
      <w:tr w:rsidR="00A907A5" w:rsidRPr="00271E51" w14:paraId="3009B6A5" w14:textId="77777777" w:rsidTr="00ED5B0A">
        <w:tc>
          <w:tcPr>
            <w:tcW w:w="5636" w:type="dxa"/>
          </w:tcPr>
          <w:p w14:paraId="0B332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 гр.</w:t>
            </w:r>
          </w:p>
        </w:tc>
        <w:tc>
          <w:tcPr>
            <w:tcW w:w="5636" w:type="dxa"/>
          </w:tcPr>
          <w:p w14:paraId="44594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0A6F24" w14:textId="77777777" w:rsidTr="00ED5B0A">
        <w:tc>
          <w:tcPr>
            <w:tcW w:w="5636" w:type="dxa"/>
          </w:tcPr>
          <w:p w14:paraId="7FB09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5636" w:type="dxa"/>
          </w:tcPr>
          <w:p w14:paraId="34B5E4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587 км/час</w:t>
            </w:r>
          </w:p>
        </w:tc>
      </w:tr>
      <w:tr w:rsidR="00A907A5" w:rsidRPr="00271E51" w14:paraId="44528504" w14:textId="77777777" w:rsidTr="00ED5B0A">
        <w:tc>
          <w:tcPr>
            <w:tcW w:w="5636" w:type="dxa"/>
          </w:tcPr>
          <w:p w14:paraId="48567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 с-та июньского выпуска:</w:t>
            </w:r>
          </w:p>
        </w:tc>
        <w:tc>
          <w:tcPr>
            <w:tcW w:w="5636" w:type="dxa"/>
          </w:tcPr>
          <w:p w14:paraId="391DB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22CBEC" w14:textId="77777777" w:rsidTr="00ED5B0A">
        <w:tc>
          <w:tcPr>
            <w:tcW w:w="5636" w:type="dxa"/>
          </w:tcPr>
          <w:p w14:paraId="2CC5C6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Плохая подгонка щитков шасси и крыльевых зализов;</w:t>
            </w:r>
          </w:p>
        </w:tc>
        <w:tc>
          <w:tcPr>
            <w:tcW w:w="5636" w:type="dxa"/>
          </w:tcPr>
          <w:p w14:paraId="3A52FF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F68E01" w14:textId="77777777" w:rsidTr="00ED5B0A">
        <w:tc>
          <w:tcPr>
            <w:tcW w:w="5636" w:type="dxa"/>
          </w:tcPr>
          <w:p w14:paraId="5AF5C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Недостаточная герметизация туннелей;</w:t>
            </w:r>
          </w:p>
        </w:tc>
        <w:tc>
          <w:tcPr>
            <w:tcW w:w="5636" w:type="dxa"/>
          </w:tcPr>
          <w:p w14:paraId="22F99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8CD67C" w14:textId="77777777" w:rsidTr="00ED5B0A">
        <w:tc>
          <w:tcPr>
            <w:tcW w:w="5636" w:type="dxa"/>
          </w:tcPr>
          <w:p w14:paraId="79B2A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Ухудшение покрытия.</w:t>
            </w:r>
          </w:p>
        </w:tc>
        <w:tc>
          <w:tcPr>
            <w:tcW w:w="5636" w:type="dxa"/>
          </w:tcPr>
          <w:p w14:paraId="55D3F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9C75EC" w14:textId="77777777" w:rsidTr="00ED5B0A">
        <w:tc>
          <w:tcPr>
            <w:tcW w:w="5636" w:type="dxa"/>
          </w:tcPr>
          <w:p w14:paraId="760D3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К-9 з-да 153.</w:t>
            </w:r>
          </w:p>
        </w:tc>
        <w:tc>
          <w:tcPr>
            <w:tcW w:w="5636" w:type="dxa"/>
          </w:tcPr>
          <w:p w14:paraId="745FDC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1796A1" w14:textId="77777777" w:rsidTr="00ED5B0A">
        <w:tc>
          <w:tcPr>
            <w:tcW w:w="5636" w:type="dxa"/>
          </w:tcPr>
          <w:p w14:paraId="3964A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 с-т ЯК-9 N 0254 июньского выпуска. Получены данные.</w:t>
            </w:r>
          </w:p>
        </w:tc>
        <w:tc>
          <w:tcPr>
            <w:tcW w:w="5636" w:type="dxa"/>
          </w:tcPr>
          <w:p w14:paraId="653B11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337290" w14:textId="77777777" w:rsidTr="00ED5B0A">
        <w:tc>
          <w:tcPr>
            <w:tcW w:w="5636" w:type="dxa"/>
          </w:tcPr>
          <w:p w14:paraId="71FA5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2C9FD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 км/час</w:t>
            </w:r>
          </w:p>
        </w:tc>
      </w:tr>
      <w:tr w:rsidR="00A907A5" w:rsidRPr="00271E51" w14:paraId="32CDC7B2" w14:textId="77777777" w:rsidTr="00ED5B0A">
        <w:tc>
          <w:tcPr>
            <w:tcW w:w="5636" w:type="dxa"/>
          </w:tcPr>
          <w:p w14:paraId="72BEB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 гр.</w:t>
            </w:r>
          </w:p>
        </w:tc>
        <w:tc>
          <w:tcPr>
            <w:tcW w:w="5636" w:type="dxa"/>
          </w:tcPr>
          <w:p w14:paraId="19A03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6A60A3" w14:textId="77777777" w:rsidTr="00ED5B0A">
        <w:tc>
          <w:tcPr>
            <w:tcW w:w="5636" w:type="dxa"/>
          </w:tcPr>
          <w:p w14:paraId="1B72C4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5636" w:type="dxa"/>
          </w:tcPr>
          <w:p w14:paraId="1CF64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 км/час</w:t>
            </w:r>
          </w:p>
        </w:tc>
      </w:tr>
    </w:tbl>
    <w:p w14:paraId="1F0A2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 с-та июньского выпуска:</w:t>
      </w:r>
    </w:p>
    <w:p w14:paraId="63CE1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Плохая подгонка щитков шасси.</w:t>
      </w:r>
    </w:p>
    <w:p w14:paraId="73AE7A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Недостаточная герметизация туннелей радиаторов.</w:t>
      </w:r>
    </w:p>
    <w:p w14:paraId="079473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Большая щель у фонаря.</w:t>
      </w:r>
    </w:p>
    <w:p w14:paraId="65290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ЯК-9 з-да N 166.</w:t>
      </w:r>
    </w:p>
    <w:tbl>
      <w:tblPr>
        <w:tblW w:w="0" w:type="auto"/>
        <w:tblLayout w:type="fixed"/>
        <w:tblLook w:val="0000" w:firstRow="0" w:lastRow="0" w:firstColumn="0" w:lastColumn="0" w:noHBand="0" w:noVBand="0"/>
      </w:tblPr>
      <w:tblGrid>
        <w:gridCol w:w="5636"/>
        <w:gridCol w:w="5636"/>
      </w:tblGrid>
      <w:tr w:rsidR="00A907A5" w:rsidRPr="00271E51" w14:paraId="564AE9C8" w14:textId="77777777" w:rsidTr="00ED5B0A">
        <w:tc>
          <w:tcPr>
            <w:tcW w:w="5636" w:type="dxa"/>
            <w:tcBorders>
              <w:top w:val="nil"/>
              <w:left w:val="nil"/>
              <w:bottom w:val="nil"/>
              <w:right w:val="nil"/>
            </w:tcBorders>
          </w:tcPr>
          <w:p w14:paraId="718AAA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Испытан самолет ЯК-9 N 4023 майского выпуска. Получены данные:</w:t>
            </w:r>
          </w:p>
        </w:tc>
        <w:tc>
          <w:tcPr>
            <w:tcW w:w="5636" w:type="dxa"/>
            <w:tcBorders>
              <w:top w:val="nil"/>
              <w:left w:val="nil"/>
              <w:bottom w:val="nil"/>
              <w:right w:val="nil"/>
            </w:tcBorders>
          </w:tcPr>
          <w:p w14:paraId="6FC43C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92ABD3" w14:textId="77777777" w:rsidTr="00ED5B0A">
        <w:tc>
          <w:tcPr>
            <w:tcW w:w="5636" w:type="dxa"/>
            <w:tcBorders>
              <w:top w:val="single" w:sz="6" w:space="0" w:color="auto"/>
              <w:left w:val="single" w:sz="6" w:space="0" w:color="auto"/>
              <w:bottom w:val="single" w:sz="6" w:space="0" w:color="auto"/>
              <w:right w:val="single" w:sz="6" w:space="0" w:color="auto"/>
            </w:tcBorders>
          </w:tcPr>
          <w:p w14:paraId="12F78F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Borders>
              <w:top w:val="single" w:sz="6" w:space="0" w:color="auto"/>
              <w:left w:val="single" w:sz="6" w:space="0" w:color="auto"/>
              <w:bottom w:val="single" w:sz="6" w:space="0" w:color="auto"/>
              <w:right w:val="single" w:sz="6" w:space="0" w:color="auto"/>
            </w:tcBorders>
          </w:tcPr>
          <w:p w14:paraId="3E422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523 км/час</w:t>
            </w:r>
          </w:p>
        </w:tc>
      </w:tr>
      <w:tr w:rsidR="00A907A5" w:rsidRPr="00271E51" w14:paraId="0E8FF5D5" w14:textId="77777777" w:rsidTr="00ED5B0A">
        <w:tc>
          <w:tcPr>
            <w:tcW w:w="5636" w:type="dxa"/>
            <w:tcBorders>
              <w:top w:val="single" w:sz="6" w:space="0" w:color="auto"/>
              <w:left w:val="single" w:sz="6" w:space="0" w:color="auto"/>
              <w:bottom w:val="single" w:sz="6" w:space="0" w:color="auto"/>
              <w:right w:val="single" w:sz="6" w:space="0" w:color="auto"/>
            </w:tcBorders>
          </w:tcPr>
          <w:p w14:paraId="14D669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 гр.</w:t>
            </w:r>
          </w:p>
        </w:tc>
        <w:tc>
          <w:tcPr>
            <w:tcW w:w="5636" w:type="dxa"/>
            <w:tcBorders>
              <w:top w:val="single" w:sz="6" w:space="0" w:color="auto"/>
              <w:left w:val="single" w:sz="6" w:space="0" w:color="auto"/>
              <w:bottom w:val="single" w:sz="6" w:space="0" w:color="auto"/>
              <w:right w:val="single" w:sz="6" w:space="0" w:color="auto"/>
            </w:tcBorders>
          </w:tcPr>
          <w:p w14:paraId="009C7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C5C31D" w14:textId="77777777" w:rsidTr="00ED5B0A">
        <w:tc>
          <w:tcPr>
            <w:tcW w:w="5636" w:type="dxa"/>
            <w:tcBorders>
              <w:top w:val="single" w:sz="6" w:space="0" w:color="auto"/>
              <w:left w:val="single" w:sz="6" w:space="0" w:color="auto"/>
              <w:bottom w:val="single" w:sz="6" w:space="0" w:color="auto"/>
              <w:right w:val="single" w:sz="6" w:space="0" w:color="auto"/>
            </w:tcBorders>
          </w:tcPr>
          <w:p w14:paraId="43D694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5636" w:type="dxa"/>
            <w:tcBorders>
              <w:top w:val="single" w:sz="6" w:space="0" w:color="auto"/>
              <w:left w:val="single" w:sz="6" w:space="0" w:color="auto"/>
              <w:bottom w:val="single" w:sz="6" w:space="0" w:color="auto"/>
              <w:right w:val="single" w:sz="6" w:space="0" w:color="auto"/>
            </w:tcBorders>
          </w:tcPr>
          <w:p w14:paraId="1A1604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 км/час</w:t>
            </w:r>
          </w:p>
        </w:tc>
      </w:tr>
    </w:tbl>
    <w:p w14:paraId="12DB23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7BE04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Плохая герметизация туннелей. Недостаточно тщательная подгонка капотов мотора. Наличие вмятин на капотах и гондолах водо и маслорадиаторов. Неточное выдерживание профиля крыла, плохая подгонка зализов крыла и щитков на куполе шасси.</w:t>
      </w:r>
    </w:p>
    <w:p w14:paraId="66F913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з-да N 31.</w:t>
      </w:r>
    </w:p>
    <w:p w14:paraId="7C733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 самолет ЛАГГ-3 N 6381 июньского выпуска.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0E377F5" w14:textId="77777777" w:rsidTr="00ED5B0A">
        <w:tc>
          <w:tcPr>
            <w:tcW w:w="5636" w:type="dxa"/>
          </w:tcPr>
          <w:p w14:paraId="6A10D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23F67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 км/час</w:t>
            </w:r>
          </w:p>
        </w:tc>
      </w:tr>
      <w:tr w:rsidR="00A907A5" w:rsidRPr="00271E51" w14:paraId="6A326C3F" w14:textId="77777777" w:rsidTr="00ED5B0A">
        <w:tc>
          <w:tcPr>
            <w:tcW w:w="5636" w:type="dxa"/>
          </w:tcPr>
          <w:p w14:paraId="717DC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 гр.</w:t>
            </w:r>
          </w:p>
        </w:tc>
        <w:tc>
          <w:tcPr>
            <w:tcW w:w="5636" w:type="dxa"/>
          </w:tcPr>
          <w:p w14:paraId="014FB7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47E3FD" w14:textId="77777777" w:rsidTr="00ED5B0A">
        <w:tc>
          <w:tcPr>
            <w:tcW w:w="5636" w:type="dxa"/>
          </w:tcPr>
          <w:p w14:paraId="2B6F8A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5636" w:type="dxa"/>
          </w:tcPr>
          <w:p w14:paraId="711784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 км/час</w:t>
            </w:r>
          </w:p>
        </w:tc>
      </w:tr>
    </w:tbl>
    <w:p w14:paraId="170230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з-да N 21.</w:t>
      </w:r>
    </w:p>
    <w:p w14:paraId="49FC7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 самолет ЛА-5 N 37212615 майского выпуска.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9920F33" w14:textId="77777777" w:rsidTr="00ED5B0A">
        <w:tc>
          <w:tcPr>
            <w:tcW w:w="5636" w:type="dxa"/>
          </w:tcPr>
          <w:p w14:paraId="7625B1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1F09E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548 км/час</w:t>
            </w:r>
          </w:p>
        </w:tc>
      </w:tr>
      <w:tr w:rsidR="00A907A5" w:rsidRPr="00271E51" w14:paraId="7126F47A" w14:textId="77777777" w:rsidTr="00ED5B0A">
        <w:tc>
          <w:tcPr>
            <w:tcW w:w="5636" w:type="dxa"/>
          </w:tcPr>
          <w:p w14:paraId="535DFB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 гр.</w:t>
            </w:r>
          </w:p>
        </w:tc>
        <w:tc>
          <w:tcPr>
            <w:tcW w:w="5636" w:type="dxa"/>
          </w:tcPr>
          <w:p w14:paraId="579102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02A4F8" w14:textId="77777777" w:rsidTr="00ED5B0A">
        <w:tc>
          <w:tcPr>
            <w:tcW w:w="5636" w:type="dxa"/>
          </w:tcPr>
          <w:p w14:paraId="7E7DE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5636" w:type="dxa"/>
          </w:tcPr>
          <w:p w14:paraId="40381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 км/час</w:t>
            </w:r>
          </w:p>
        </w:tc>
      </w:tr>
    </w:tbl>
    <w:p w14:paraId="347F99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Некоторое снижение максимальной скорости у земли с-та майского выпуска, по сравнению со скоростью с-тов предыдущих серий, объясняется уменьшенной на 45 л.с. мощностью установленного на самолете мотора М-82 при работе его на оборотах Н=2400 об/мин. и давлении наддува Ра=1140 мм рт. ст.</w:t>
      </w:r>
    </w:p>
    <w:p w14:paraId="1E369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Ла-5 М-82 ФП N 39210375 июньского выпуска завода N 21.</w:t>
      </w:r>
    </w:p>
    <w:p w14:paraId="2FD2C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FB1241E" w14:textId="77777777" w:rsidTr="00ED5B0A">
        <w:tc>
          <w:tcPr>
            <w:tcW w:w="5636" w:type="dxa"/>
          </w:tcPr>
          <w:p w14:paraId="45361F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4873DB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EA9F16" w14:textId="77777777" w:rsidTr="00ED5B0A">
        <w:tc>
          <w:tcPr>
            <w:tcW w:w="5636" w:type="dxa"/>
          </w:tcPr>
          <w:p w14:paraId="69C35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Ра=1200 мм рт. ст. и</w:t>
            </w:r>
          </w:p>
        </w:tc>
        <w:tc>
          <w:tcPr>
            <w:tcW w:w="5636" w:type="dxa"/>
          </w:tcPr>
          <w:p w14:paraId="0532E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C9A431" w14:textId="77777777" w:rsidTr="00ED5B0A">
        <w:tc>
          <w:tcPr>
            <w:tcW w:w="5636" w:type="dxa"/>
          </w:tcPr>
          <w:p w14:paraId="7CE5CB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п=2500 об/мин.</w:t>
            </w:r>
          </w:p>
        </w:tc>
        <w:tc>
          <w:tcPr>
            <w:tcW w:w="5636" w:type="dxa"/>
          </w:tcPr>
          <w:p w14:paraId="16B57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 км/час</w:t>
            </w:r>
          </w:p>
        </w:tc>
      </w:tr>
      <w:tr w:rsidR="00A907A5" w:rsidRPr="00271E51" w14:paraId="3D93F50F" w14:textId="77777777" w:rsidTr="00ED5B0A">
        <w:tc>
          <w:tcPr>
            <w:tcW w:w="5636" w:type="dxa"/>
          </w:tcPr>
          <w:p w14:paraId="34ACBF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6249A0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293E30" w14:textId="77777777" w:rsidTr="00ED5B0A">
        <w:tc>
          <w:tcPr>
            <w:tcW w:w="5636" w:type="dxa"/>
          </w:tcPr>
          <w:p w14:paraId="702D18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 высотности (Н=6100 м) при</w:t>
            </w:r>
          </w:p>
        </w:tc>
        <w:tc>
          <w:tcPr>
            <w:tcW w:w="5636" w:type="dxa"/>
          </w:tcPr>
          <w:p w14:paraId="0D05DE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20F28A" w14:textId="77777777" w:rsidTr="00ED5B0A">
        <w:tc>
          <w:tcPr>
            <w:tcW w:w="5636" w:type="dxa"/>
          </w:tcPr>
          <w:p w14:paraId="0A438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Ра=1000 мм рт. ст. и п=2400 об/мин.</w:t>
            </w:r>
          </w:p>
        </w:tc>
        <w:tc>
          <w:tcPr>
            <w:tcW w:w="5636" w:type="dxa"/>
          </w:tcPr>
          <w:p w14:paraId="5BEFD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641 км/час</w:t>
            </w:r>
          </w:p>
        </w:tc>
      </w:tr>
    </w:tbl>
    <w:p w14:paraId="7D0563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испытания с-тов Ла-5 М-82 ФН июньского выпуска обнаружены следующие дефекты:</w:t>
      </w:r>
    </w:p>
    <w:p w14:paraId="52D5C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Недопустимо высокие температуры в кабине пилота, доходящие до 65 градусов Ц.</w:t>
      </w:r>
    </w:p>
    <w:p w14:paraId="6E511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Неудачная компоновка выхлопных патрубков на моторе, создающая опасность пожара.</w:t>
      </w:r>
    </w:p>
    <w:p w14:paraId="3888D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ЛИИ производит на одном экземпляре этого самолета устранение этих и ряда других дефектов; после дополнительных летных испытаний будут даны рекомендации заводам N 21 и N 381.</w:t>
      </w:r>
    </w:p>
    <w:p w14:paraId="74B034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Контрольные испытания разных самолетов.</w:t>
      </w:r>
    </w:p>
    <w:p w14:paraId="26DC9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ЯК-7 N 821023 с М-105ПФ и винтом ВИШ-61П апрельского выпуска завода N 82.</w:t>
      </w:r>
    </w:p>
    <w:p w14:paraId="76E3D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p w14:paraId="1EF64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з-да N 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0E2D63C" w14:textId="77777777" w:rsidTr="00ED5B0A">
        <w:tc>
          <w:tcPr>
            <w:tcW w:w="5636" w:type="dxa"/>
          </w:tcPr>
          <w:p w14:paraId="68F1C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1F05E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 км/час</w:t>
            </w:r>
          </w:p>
        </w:tc>
      </w:tr>
      <w:tr w:rsidR="00A907A5" w:rsidRPr="00271E51" w14:paraId="52B0565F" w14:textId="77777777" w:rsidTr="00ED5B0A">
        <w:tc>
          <w:tcPr>
            <w:tcW w:w="5636" w:type="dxa"/>
          </w:tcPr>
          <w:p w14:paraId="594198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 гр.</w:t>
            </w:r>
          </w:p>
        </w:tc>
        <w:tc>
          <w:tcPr>
            <w:tcW w:w="5636" w:type="dxa"/>
          </w:tcPr>
          <w:p w14:paraId="448C3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21E812" w14:textId="77777777" w:rsidTr="00ED5B0A">
        <w:tc>
          <w:tcPr>
            <w:tcW w:w="5636" w:type="dxa"/>
          </w:tcPr>
          <w:p w14:paraId="51EE58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(3800 м)</w:t>
            </w:r>
          </w:p>
        </w:tc>
        <w:tc>
          <w:tcPr>
            <w:tcW w:w="5636" w:type="dxa"/>
          </w:tcPr>
          <w:p w14:paraId="3FB68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 км/час</w:t>
            </w:r>
          </w:p>
        </w:tc>
      </w:tr>
    </w:tbl>
    <w:p w14:paraId="04D0DB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Система охлаждения масла и воды не обеспечивают нормальное охлаждение мотора.</w:t>
      </w:r>
    </w:p>
    <w:p w14:paraId="5B817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Потеря в скорости самолета Як-7 N 821023 по сравнению с самолетом N 4101 производства з-да N 153 (на 30 км/час) объясняется неудовлетворительной внешней отделкой самолетов и невыполнением рекомендации ЦАГИ и ЛИИ по улучшению туннелей водо и маслорадиаторов. Работа электро и аэронавигационного оборудования - удовлетворительная.</w:t>
      </w:r>
    </w:p>
    <w:p w14:paraId="101735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двухсторонней радиосвязи с-та с наземной радиостанцией не соответствует величинам, указанным в приказе НКАП за N 625 с. Причина этого - неудовлетворительная металлизация с-та и экранировки зажигания мотора, неправильный монтаж антенны.</w:t>
      </w:r>
    </w:p>
    <w:p w14:paraId="6571EC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Рекомендовано заводу N 82 устранить все недостатки и дефекты по матчасти и спецоборудованию, указанные в отчете об испытании.</w:t>
      </w:r>
    </w:p>
    <w:p w14:paraId="5E94A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з-да N 22.</w:t>
      </w:r>
    </w:p>
    <w:p w14:paraId="0788A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контрольные испытания самолета Пе-2 N 11/193 майского выпуска. В результате испытаний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47C47439" w14:textId="77777777" w:rsidTr="00ED5B0A">
        <w:tc>
          <w:tcPr>
            <w:tcW w:w="3757" w:type="dxa"/>
          </w:tcPr>
          <w:p w14:paraId="1FDEE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3757" w:type="dxa"/>
          </w:tcPr>
          <w:p w14:paraId="44ECB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442 км/час</w:t>
            </w:r>
          </w:p>
        </w:tc>
      </w:tr>
      <w:tr w:rsidR="00A907A5" w:rsidRPr="00271E51" w14:paraId="6BD19582" w14:textId="77777777" w:rsidTr="00ED5B0A">
        <w:tc>
          <w:tcPr>
            <w:tcW w:w="3757" w:type="dxa"/>
          </w:tcPr>
          <w:p w14:paraId="56AB81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 гр.</w:t>
            </w:r>
          </w:p>
        </w:tc>
        <w:tc>
          <w:tcPr>
            <w:tcW w:w="3757" w:type="dxa"/>
          </w:tcPr>
          <w:p w14:paraId="0C888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785186" w14:textId="77777777" w:rsidTr="00ED5B0A">
        <w:tc>
          <w:tcPr>
            <w:tcW w:w="3757" w:type="dxa"/>
          </w:tcPr>
          <w:p w14:paraId="626192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(Н=3250 м)</w:t>
            </w:r>
          </w:p>
        </w:tc>
        <w:tc>
          <w:tcPr>
            <w:tcW w:w="3757" w:type="dxa"/>
          </w:tcPr>
          <w:p w14:paraId="543CAA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487 км/час</w:t>
            </w:r>
          </w:p>
        </w:tc>
      </w:tr>
    </w:tbl>
    <w:p w14:paraId="40DC6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Низкие летные данные объясняются: недостаточно тщательным производственным выполнением, плохим КПД винта ВИШ-61Ф2. Пониженной границей высотности моторов выпуска завода N 16.</w:t>
      </w:r>
    </w:p>
    <w:p w14:paraId="61BE0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испытания серийного самолета ПЕ-2 N 18/206 июньского выпуска, на котором были частично осуществлены улучшения, рекомендованные ЦАГИ. Переделан туннель маслорадиатора, установлены обтекатели на тормозные решетки, осуществлена герметизация, но недоброкачественно.</w:t>
      </w:r>
    </w:p>
    <w:p w14:paraId="517F7B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были проведены с моторами выпуска 466з с двумя типами винтов.</w:t>
      </w:r>
    </w:p>
    <w:p w14:paraId="229F60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977"/>
        <w:gridCol w:w="3260"/>
      </w:tblGrid>
      <w:tr w:rsidR="00A907A5" w:rsidRPr="00271E51" w14:paraId="4B833916" w14:textId="77777777" w:rsidTr="00ED5B0A">
        <w:tc>
          <w:tcPr>
            <w:tcW w:w="4219" w:type="dxa"/>
          </w:tcPr>
          <w:p w14:paraId="573C9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4B84E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ВИШ-61Ф-2</w:t>
            </w:r>
          </w:p>
        </w:tc>
        <w:tc>
          <w:tcPr>
            <w:tcW w:w="3260" w:type="dxa"/>
          </w:tcPr>
          <w:p w14:paraId="456B96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ВИШ-61П</w:t>
            </w:r>
          </w:p>
        </w:tc>
      </w:tr>
      <w:tr w:rsidR="00A907A5" w:rsidRPr="00271E51" w14:paraId="2E3BF866" w14:textId="77777777" w:rsidTr="00ED5B0A">
        <w:tc>
          <w:tcPr>
            <w:tcW w:w="4219" w:type="dxa"/>
          </w:tcPr>
          <w:p w14:paraId="0431E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0A3A1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д=3,2 м</w:t>
            </w:r>
          </w:p>
        </w:tc>
        <w:tc>
          <w:tcPr>
            <w:tcW w:w="3260" w:type="dxa"/>
          </w:tcPr>
          <w:p w14:paraId="70B6C1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д=3,0 м</w:t>
            </w:r>
          </w:p>
        </w:tc>
      </w:tr>
      <w:tr w:rsidR="00A907A5" w:rsidRPr="00271E51" w14:paraId="12BCD89A" w14:textId="77777777" w:rsidTr="00ED5B0A">
        <w:tc>
          <w:tcPr>
            <w:tcW w:w="4219" w:type="dxa"/>
          </w:tcPr>
          <w:p w14:paraId="4DB528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2977" w:type="dxa"/>
          </w:tcPr>
          <w:p w14:paraId="39E3D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tc>
        <w:tc>
          <w:tcPr>
            <w:tcW w:w="3260" w:type="dxa"/>
          </w:tcPr>
          <w:p w14:paraId="7458EE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456</w:t>
            </w:r>
          </w:p>
        </w:tc>
      </w:tr>
      <w:tr w:rsidR="00A907A5" w:rsidRPr="00271E51" w14:paraId="3B8F9BB2" w14:textId="77777777" w:rsidTr="00ED5B0A">
        <w:tc>
          <w:tcPr>
            <w:tcW w:w="4219" w:type="dxa"/>
          </w:tcPr>
          <w:p w14:paraId="71CE4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1-й</w:t>
            </w:r>
          </w:p>
        </w:tc>
        <w:tc>
          <w:tcPr>
            <w:tcW w:w="2977" w:type="dxa"/>
          </w:tcPr>
          <w:p w14:paraId="1091E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791B3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3509DA" w14:textId="77777777" w:rsidTr="00ED5B0A">
        <w:tc>
          <w:tcPr>
            <w:tcW w:w="4219" w:type="dxa"/>
          </w:tcPr>
          <w:p w14:paraId="0F54D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w:t>
            </w:r>
          </w:p>
        </w:tc>
        <w:tc>
          <w:tcPr>
            <w:tcW w:w="2977" w:type="dxa"/>
          </w:tcPr>
          <w:p w14:paraId="4444CA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w:t>
            </w:r>
          </w:p>
        </w:tc>
        <w:tc>
          <w:tcPr>
            <w:tcW w:w="3260" w:type="dxa"/>
          </w:tcPr>
          <w:p w14:paraId="1E28AB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497</w:t>
            </w:r>
          </w:p>
        </w:tc>
      </w:tr>
      <w:tr w:rsidR="00A907A5" w:rsidRPr="00271E51" w14:paraId="13B0EFFD" w14:textId="77777777" w:rsidTr="00ED5B0A">
        <w:tc>
          <w:tcPr>
            <w:tcW w:w="4219" w:type="dxa"/>
          </w:tcPr>
          <w:p w14:paraId="22C7A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2977" w:type="dxa"/>
          </w:tcPr>
          <w:p w14:paraId="5FFB8D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07E2D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6F6FD3" w14:textId="77777777" w:rsidTr="00ED5B0A">
        <w:tc>
          <w:tcPr>
            <w:tcW w:w="4219" w:type="dxa"/>
          </w:tcPr>
          <w:p w14:paraId="05F38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w:t>
            </w:r>
          </w:p>
        </w:tc>
        <w:tc>
          <w:tcPr>
            <w:tcW w:w="2977" w:type="dxa"/>
          </w:tcPr>
          <w:p w14:paraId="6B4768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512</w:t>
            </w:r>
          </w:p>
        </w:tc>
        <w:tc>
          <w:tcPr>
            <w:tcW w:w="3260" w:type="dxa"/>
          </w:tcPr>
          <w:p w14:paraId="2D7945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w:t>
            </w:r>
          </w:p>
        </w:tc>
      </w:tr>
      <w:tr w:rsidR="00A907A5" w:rsidRPr="00271E51" w14:paraId="5A23E39F" w14:textId="77777777" w:rsidTr="00ED5B0A">
        <w:tc>
          <w:tcPr>
            <w:tcW w:w="4219" w:type="dxa"/>
          </w:tcPr>
          <w:p w14:paraId="6E21A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2-й границы высотности</w:t>
            </w:r>
          </w:p>
        </w:tc>
        <w:tc>
          <w:tcPr>
            <w:tcW w:w="2977" w:type="dxa"/>
          </w:tcPr>
          <w:p w14:paraId="1D07C6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tc>
        <w:tc>
          <w:tcPr>
            <w:tcW w:w="3260" w:type="dxa"/>
          </w:tcPr>
          <w:p w14:paraId="4E4F7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м</w:t>
            </w:r>
          </w:p>
        </w:tc>
      </w:tr>
      <w:tr w:rsidR="00A907A5" w:rsidRPr="00271E51" w14:paraId="725A257B" w14:textId="77777777" w:rsidTr="00ED5B0A">
        <w:tc>
          <w:tcPr>
            <w:tcW w:w="4219" w:type="dxa"/>
          </w:tcPr>
          <w:p w14:paraId="2DE03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2977" w:type="dxa"/>
          </w:tcPr>
          <w:p w14:paraId="0CD763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 м</w:t>
            </w:r>
          </w:p>
        </w:tc>
        <w:tc>
          <w:tcPr>
            <w:tcW w:w="3260" w:type="dxa"/>
          </w:tcPr>
          <w:p w14:paraId="3E0C2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 м</w:t>
            </w:r>
          </w:p>
        </w:tc>
      </w:tr>
      <w:tr w:rsidR="00A907A5" w:rsidRPr="00271E51" w14:paraId="1C6D4CB5" w14:textId="77777777" w:rsidTr="00ED5B0A">
        <w:tc>
          <w:tcPr>
            <w:tcW w:w="4219" w:type="dxa"/>
          </w:tcPr>
          <w:p w14:paraId="075CD9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в метрах</w:t>
            </w:r>
          </w:p>
        </w:tc>
        <w:tc>
          <w:tcPr>
            <w:tcW w:w="2977" w:type="dxa"/>
          </w:tcPr>
          <w:p w14:paraId="101FE3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w:t>
            </w:r>
          </w:p>
        </w:tc>
        <w:tc>
          <w:tcPr>
            <w:tcW w:w="3260" w:type="dxa"/>
          </w:tcPr>
          <w:p w14:paraId="3269B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w:t>
            </w:r>
          </w:p>
        </w:tc>
      </w:tr>
    </w:tbl>
    <w:p w14:paraId="28246E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этом же самолете были проведены испытания по определению максимальной скорости с индивидуальными выхлопными патрубками (вместо коллекторов).</w:t>
      </w:r>
    </w:p>
    <w:p w14:paraId="18B7DD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 прирост в максимальной скорости: у земли на 5 км/час на 1-й границе высотности на 6 км/час, на 2-й границе высотности на 7 км/час.</w:t>
      </w:r>
    </w:p>
    <w:p w14:paraId="60A68B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серийный самолет Пе-2 N 18/206 с винтами ВИШ-61П, с индивидуальными выхлопными патрубками и частичными улучшениями, на основе рекомендации ЦАГИ,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63146E47" w14:textId="77777777" w:rsidTr="00ED5B0A">
        <w:tc>
          <w:tcPr>
            <w:tcW w:w="5636" w:type="dxa"/>
          </w:tcPr>
          <w:p w14:paraId="70544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Максимальную скорость у земли</w:t>
            </w:r>
          </w:p>
        </w:tc>
        <w:tc>
          <w:tcPr>
            <w:tcW w:w="5636" w:type="dxa"/>
          </w:tcPr>
          <w:p w14:paraId="6D4DF7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 км/час</w:t>
            </w:r>
          </w:p>
        </w:tc>
      </w:tr>
      <w:tr w:rsidR="00A907A5" w:rsidRPr="00271E51" w14:paraId="7F0DA1D5" w14:textId="77777777" w:rsidTr="00ED5B0A">
        <w:tc>
          <w:tcPr>
            <w:tcW w:w="5636" w:type="dxa"/>
          </w:tcPr>
          <w:p w14:paraId="21D794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Максимальную скорость на 1-й</w:t>
            </w:r>
          </w:p>
        </w:tc>
        <w:tc>
          <w:tcPr>
            <w:tcW w:w="5636" w:type="dxa"/>
          </w:tcPr>
          <w:p w14:paraId="6655A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69E190" w14:textId="77777777" w:rsidTr="00ED5B0A">
        <w:tc>
          <w:tcPr>
            <w:tcW w:w="5636" w:type="dxa"/>
          </w:tcPr>
          <w:p w14:paraId="49066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w:t>
            </w:r>
          </w:p>
        </w:tc>
        <w:tc>
          <w:tcPr>
            <w:tcW w:w="5636" w:type="dxa"/>
          </w:tcPr>
          <w:p w14:paraId="156B53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 км/час</w:t>
            </w:r>
          </w:p>
        </w:tc>
      </w:tr>
      <w:tr w:rsidR="00A907A5" w:rsidRPr="00271E51" w14:paraId="6E30F5F7" w14:textId="77777777" w:rsidTr="00ED5B0A">
        <w:tc>
          <w:tcPr>
            <w:tcW w:w="5636" w:type="dxa"/>
          </w:tcPr>
          <w:p w14:paraId="65FF35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0ABF7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886892" w14:textId="77777777" w:rsidTr="00ED5B0A">
        <w:tc>
          <w:tcPr>
            <w:tcW w:w="5636" w:type="dxa"/>
          </w:tcPr>
          <w:p w14:paraId="67590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w:t>
            </w:r>
          </w:p>
        </w:tc>
        <w:tc>
          <w:tcPr>
            <w:tcW w:w="5636" w:type="dxa"/>
          </w:tcPr>
          <w:p w14:paraId="5D9AB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 км/час</w:t>
            </w:r>
          </w:p>
        </w:tc>
      </w:tr>
    </w:tbl>
    <w:p w14:paraId="16205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ТС-1 с 2 М11Д конструкции Щербакова.</w:t>
      </w:r>
    </w:p>
    <w:p w14:paraId="71FA4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за исключением полета на дальность. Получены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1D11C1E3" w14:textId="77777777" w:rsidTr="00ED5B0A">
        <w:tc>
          <w:tcPr>
            <w:tcW w:w="3757" w:type="dxa"/>
          </w:tcPr>
          <w:p w14:paraId="2A45F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Максимальная скорость у земли</w:t>
            </w:r>
          </w:p>
        </w:tc>
        <w:tc>
          <w:tcPr>
            <w:tcW w:w="3757" w:type="dxa"/>
          </w:tcPr>
          <w:p w14:paraId="58FA80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B59172" w14:textId="77777777" w:rsidTr="00ED5B0A">
        <w:tc>
          <w:tcPr>
            <w:tcW w:w="3757" w:type="dxa"/>
          </w:tcPr>
          <w:p w14:paraId="4D47E3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весе 3300 кг и оборотах</w:t>
            </w:r>
          </w:p>
        </w:tc>
        <w:tc>
          <w:tcPr>
            <w:tcW w:w="3757" w:type="dxa"/>
          </w:tcPr>
          <w:p w14:paraId="59FA19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22D399" w14:textId="77777777" w:rsidTr="00ED5B0A">
        <w:tc>
          <w:tcPr>
            <w:tcW w:w="3757" w:type="dxa"/>
          </w:tcPr>
          <w:p w14:paraId="5299B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П=1900 об/мин.</w:t>
            </w:r>
          </w:p>
        </w:tc>
        <w:tc>
          <w:tcPr>
            <w:tcW w:w="3757" w:type="dxa"/>
          </w:tcPr>
          <w:p w14:paraId="6DACB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 км/час</w:t>
            </w:r>
          </w:p>
        </w:tc>
      </w:tr>
      <w:tr w:rsidR="00A907A5" w:rsidRPr="00271E51" w14:paraId="3285C41D" w14:textId="77777777" w:rsidTr="00ED5B0A">
        <w:tc>
          <w:tcPr>
            <w:tcW w:w="3757" w:type="dxa"/>
          </w:tcPr>
          <w:p w14:paraId="741C42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до 1000 м</w:t>
            </w:r>
          </w:p>
        </w:tc>
        <w:tc>
          <w:tcPr>
            <w:tcW w:w="3757" w:type="dxa"/>
          </w:tcPr>
          <w:p w14:paraId="7B2AC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мин.</w:t>
            </w:r>
          </w:p>
        </w:tc>
      </w:tr>
      <w:tr w:rsidR="00A907A5" w:rsidRPr="00271E51" w14:paraId="602ADC4C" w14:textId="77777777" w:rsidTr="00ED5B0A">
        <w:tc>
          <w:tcPr>
            <w:tcW w:w="3757" w:type="dxa"/>
          </w:tcPr>
          <w:p w14:paraId="50C14C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 при весе 3300 кг</w:t>
            </w:r>
          </w:p>
        </w:tc>
        <w:tc>
          <w:tcPr>
            <w:tcW w:w="3757" w:type="dxa"/>
          </w:tcPr>
          <w:p w14:paraId="2298EF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м</w:t>
            </w:r>
          </w:p>
        </w:tc>
      </w:tr>
      <w:tr w:rsidR="00A907A5" w:rsidRPr="00271E51" w14:paraId="31D34870" w14:textId="77777777" w:rsidTr="00ED5B0A">
        <w:tc>
          <w:tcPr>
            <w:tcW w:w="3757" w:type="dxa"/>
          </w:tcPr>
          <w:p w14:paraId="67523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Посадочная скорость с </w:t>
            </w:r>
          </w:p>
        </w:tc>
        <w:tc>
          <w:tcPr>
            <w:tcW w:w="3757" w:type="dxa"/>
          </w:tcPr>
          <w:p w14:paraId="57C4BE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24C527" w14:textId="77777777" w:rsidTr="00ED5B0A">
        <w:tc>
          <w:tcPr>
            <w:tcW w:w="3757" w:type="dxa"/>
          </w:tcPr>
          <w:p w14:paraId="118ED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закрылками</w:t>
            </w:r>
          </w:p>
        </w:tc>
        <w:tc>
          <w:tcPr>
            <w:tcW w:w="3757" w:type="dxa"/>
          </w:tcPr>
          <w:p w14:paraId="2F1622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км/час</w:t>
            </w:r>
          </w:p>
        </w:tc>
      </w:tr>
      <w:tr w:rsidR="00A907A5" w:rsidRPr="00271E51" w14:paraId="2135F48F" w14:textId="77777777" w:rsidTr="00ED5B0A">
        <w:tc>
          <w:tcPr>
            <w:tcW w:w="3757" w:type="dxa"/>
          </w:tcPr>
          <w:p w14:paraId="40AC5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Наибольшая достигнутая</w:t>
            </w:r>
          </w:p>
        </w:tc>
        <w:tc>
          <w:tcPr>
            <w:tcW w:w="3757" w:type="dxa"/>
          </w:tcPr>
          <w:p w14:paraId="2F566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7AB241" w14:textId="77777777" w:rsidTr="00ED5B0A">
        <w:tc>
          <w:tcPr>
            <w:tcW w:w="3757" w:type="dxa"/>
          </w:tcPr>
          <w:p w14:paraId="2DF3E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при весе 3700 кг</w:t>
            </w:r>
          </w:p>
        </w:tc>
        <w:tc>
          <w:tcPr>
            <w:tcW w:w="3757" w:type="dxa"/>
          </w:tcPr>
          <w:p w14:paraId="003F46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1950 м</w:t>
            </w:r>
          </w:p>
        </w:tc>
      </w:tr>
      <w:tr w:rsidR="00A907A5" w:rsidRPr="00271E51" w14:paraId="7673D805" w14:textId="77777777" w:rsidTr="00ED5B0A">
        <w:tc>
          <w:tcPr>
            <w:tcW w:w="3757" w:type="dxa"/>
          </w:tcPr>
          <w:p w14:paraId="7C152C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Коммерческая нагрузка</w:t>
            </w:r>
          </w:p>
        </w:tc>
        <w:tc>
          <w:tcPr>
            <w:tcW w:w="3757" w:type="dxa"/>
          </w:tcPr>
          <w:p w14:paraId="536C22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B1C8FD" w14:textId="77777777" w:rsidTr="00ED5B0A">
        <w:tc>
          <w:tcPr>
            <w:tcW w:w="3757" w:type="dxa"/>
          </w:tcPr>
          <w:p w14:paraId="55332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весе 3300 кг</w:t>
            </w:r>
          </w:p>
        </w:tc>
        <w:tc>
          <w:tcPr>
            <w:tcW w:w="3757" w:type="dxa"/>
          </w:tcPr>
          <w:p w14:paraId="25F96C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 кг</w:t>
            </w:r>
          </w:p>
        </w:tc>
      </w:tr>
      <w:tr w:rsidR="00A907A5" w:rsidRPr="00271E51" w14:paraId="30AB9590" w14:textId="77777777" w:rsidTr="00ED5B0A">
        <w:tc>
          <w:tcPr>
            <w:tcW w:w="3757" w:type="dxa"/>
          </w:tcPr>
          <w:p w14:paraId="7B789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весе 3700 кг</w:t>
            </w:r>
          </w:p>
        </w:tc>
        <w:tc>
          <w:tcPr>
            <w:tcW w:w="3757" w:type="dxa"/>
          </w:tcPr>
          <w:p w14:paraId="5C0E6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930 кг</w:t>
            </w:r>
          </w:p>
        </w:tc>
      </w:tr>
    </w:tbl>
    <w:p w14:paraId="41957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Устойчивость самолета достаточная. Окончание испытаний (полет на дальность) задержал завод N 482, изготовляющий бензобаки, взамен потекших при испытаниях.</w:t>
      </w:r>
    </w:p>
    <w:p w14:paraId="1D26B0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Раздел II. Работы по улучшению эксплуатационных и боевых свойств серийных самолетах.</w:t>
      </w:r>
    </w:p>
    <w:p w14:paraId="704BB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системы водяного охлаждения при повышенных температурах воды на самолетах ЯК-1 и ЯК-7 с М-105 ПФ.</w:t>
      </w:r>
    </w:p>
    <w:p w14:paraId="23237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по проверке возможности работы системы водяного охлаждения М-105ПФ на повышенных температурах (110-115 градусов Ц) охлаждающей воды на самолетах ЯК-1 и ЯК-7 проверены следующие системы охлаждения.</w:t>
      </w:r>
    </w:p>
    <w:p w14:paraId="23B73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Система ЦИАМ с подводом внешнего давления в расширительный бачок.</w:t>
      </w:r>
    </w:p>
    <w:p w14:paraId="4614B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Система ЛИИ с сепаратором.</w:t>
      </w:r>
    </w:p>
    <w:p w14:paraId="23EF9F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Система ЛИИ и ЦИАМ с дросселем.</w:t>
      </w:r>
    </w:p>
    <w:p w14:paraId="3ABFC0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Нормальные серийные системы самолетов ЯК-1 и ЯК-7.</w:t>
      </w:r>
    </w:p>
    <w:p w14:paraId="694861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летных испытаний установлено:</w:t>
      </w:r>
    </w:p>
    <w:p w14:paraId="18E3F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Требуемое увеличение давления в блоках для надежной работы мотора М-105 ПФ на повышенных температурах воды, может быть получено путем установки в водосистеме самолетов Як-1 и Як-7 сепаратора или дросселя и отепления расширительного бачка.</w:t>
      </w:r>
    </w:p>
    <w:p w14:paraId="7C120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Переход на повышенные температуры воды вызывает повышение температуры масла.</w:t>
      </w:r>
    </w:p>
    <w:p w14:paraId="5B9E2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самолете ЯК-1</w:t>
      </w:r>
    </w:p>
    <w:p w14:paraId="5D7DA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т-ре воды - 110 градусов Ц - т-ра масла до 120 градусов Ц</w:t>
      </w:r>
    </w:p>
    <w:p w14:paraId="395C0F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т-ре воды - 115 градусов Ц - т-ра масла до 125 градусов Ц</w:t>
      </w:r>
    </w:p>
    <w:p w14:paraId="1BBBC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самолете ЯК-7</w:t>
      </w:r>
    </w:p>
    <w:p w14:paraId="0E2F6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т-ре воды - 110 градусов Ц - т-ра масла до 115 градусов Ц</w:t>
      </w:r>
    </w:p>
    <w:p w14:paraId="4AA8AA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т-ре воды - 115 градусов Ц - т-ра масла до 118 градусов Ц</w:t>
      </w:r>
    </w:p>
    <w:p w14:paraId="43904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перехода на повышенные температуры воды мотора М-105 ПФ необходимо:</w:t>
      </w:r>
    </w:p>
    <w:p w14:paraId="107C9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 вновь выпускаемых самолетах ЯК-1, ЯК-7 в водяную систему установить сепаратор по образцу, разработанному и испытанному ЛИИ.</w:t>
      </w:r>
    </w:p>
    <w:p w14:paraId="17B0B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самолетах ЯК-1 и ЯК-7, находящихся в эксплуатации, установить на выходе воды из блоков мотора дроссель по образцу, испытанному в ЛИИ.</w:t>
      </w:r>
    </w:p>
    <w:p w14:paraId="72AAE9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Увеличить охлаждающую поверхность маслорадиатора на самолете ЯК-1 (заменить маслорадиатор ОП-362 на ОП-293).</w:t>
      </w:r>
    </w:p>
    <w:p w14:paraId="21CA8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Сделать тепловую изоляцию расширительного бачка (по образцу зимней) как на самолете ЯК-7, иак и на самолете ЯК-1.</w:t>
      </w:r>
    </w:p>
    <w:p w14:paraId="70E61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ЦИАМ"у и заводу 26 необходимо проверить возможность увеличения допустимых температур масла на 5-10 градусов Ц для моторов М-105 ПФ.</w:t>
      </w:r>
    </w:p>
    <w:p w14:paraId="45785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для устранения выброса масла из мотора М-105.</w:t>
      </w:r>
    </w:p>
    <w:p w14:paraId="350BF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испытания мероприятий ЦИАМ против выброса масла.</w:t>
      </w:r>
    </w:p>
    <w:p w14:paraId="27ADC1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выявлено, что:</w:t>
      </w:r>
    </w:p>
    <w:p w14:paraId="4FE56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дополнительное суфлирование картера мотора М-105 ПФ по схеме, предложенной ЦИАМ"ом, может быть рекомендовано для применения на вновь выпускаемых моторах М-105 и на моторах ранее выпущенных, но не установленных на самолеты.</w:t>
      </w:r>
    </w:p>
    <w:p w14:paraId="2F5E92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Дополнительный слив масла из картера радиатора мотора М-105 ПФ по схеме, предложенной ЦИАМ"ом, не может быть рекомендован для установки на моторы, как не дающий нужного эффекта. Предложено ЦИАМ"у и заводу 26 продолжить работу по исследованию и устранению выброса масла через суфлер мотора М-105ПФ на режимах планирования и в полете на больших высотах.</w:t>
      </w:r>
    </w:p>
    <w:p w14:paraId="5A391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Испытание съемного варианта воздушного фильтра производства завода N 292 на самолете ЯК-1.</w:t>
      </w:r>
    </w:p>
    <w:p w14:paraId="5B25CC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что установка съемного варианта воздушного фильтра производства завода N 292 на самолете ЯК-1 вызывает уменьшение максимальной скорости самолета на 6-7 км/час, что превышает величину, указанную в приказе Наркома Авиапрома. Конструкция фильтра не обеспечивает возможности быстрого его монтажа и демонтажа в эксплуатации, вследствие чего, до устранения конструктивных недостатков фильтр не может быть рекомендован для установки на серийных самолетах.</w:t>
      </w:r>
    </w:p>
    <w:p w14:paraId="5422E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Сравнительные летные испытания самолета ЯК-6 с 3-мя вариантами винтов.</w:t>
      </w:r>
    </w:p>
    <w:p w14:paraId="5ABE90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3-х пар опытных винтов диаметром 2,4 м производства завода 167 и 383 на самолете ЯК-6 2М-НФ.</w:t>
      </w:r>
    </w:p>
    <w:p w14:paraId="5BC56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что недостаточные зазоры от земли до конца лопасти винта диаметром 2,4 м исключают возможность нормальной эксплуатации на самолете ЯК-6 с 2 М-</w:t>
      </w:r>
    </w:p>
    <w:p w14:paraId="4031B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продольной устойчивости самолета ИЛ-2.</w:t>
      </w:r>
    </w:p>
    <w:p w14:paraId="4D49A6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ИЛ-2 с целью проверки улучшения продольной устойчивости со свободным рулем высоты при помощи простейших мероприятий, пригодных для переоборудования самолетов, находящихся на эксплуатации в частях ВВС. Был сконструирован, изготовлен и испытан на 3-х самолетах ИЛ-2 механизм с амортизатором, включающийся в систему управления руля высоты. Испытания показали значительное улучшение пилотажных качеств самолета.</w:t>
      </w:r>
    </w:p>
    <w:p w14:paraId="1D856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Испытанное приспособление для повышения устойчивости рекомендуется к установке на всех серийных самолеты ИЛ-2.</w:t>
      </w:r>
    </w:p>
    <w:p w14:paraId="22DD5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ЯК-7 с герметической кабиной.</w:t>
      </w:r>
    </w:p>
    <w:p w14:paraId="1F5DB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 1-й этап заводских испытаний самолета ЯК-7 с герметической кабиной кислородного типа, конструкции инженера Щербакова.</w:t>
      </w:r>
    </w:p>
    <w:p w14:paraId="68703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установлены следующие дефекты герметической кабины:</w:t>
      </w:r>
    </w:p>
    <w:p w14:paraId="33777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Колпак фонаря в полете отсасывает потоком воздуха в результате чего, существующая кинематика фонаря не дает возможности открыть колпак.</w:t>
      </w:r>
    </w:p>
    <w:p w14:paraId="09F7A0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Стекла фонаря, выполненные из гнутого плексигласа, дают большое искажение вследствие чего, посадка с закрытым фонарем очень сложна и обзор в воздухе в условиях боевой работы недостаточный.</w:t>
      </w:r>
    </w:p>
    <w:p w14:paraId="7BE41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Влажность в кабине, благодаря слабой вентиляции кислородом 12 л/мин., чрезмерно высока.</w:t>
      </w:r>
    </w:p>
    <w:p w14:paraId="786E3C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Низкая высота от сиденья летчика до колпака кабины не обеспечивают нормальное положение летчика в кабине.</w:t>
      </w:r>
    </w:p>
    <w:p w14:paraId="38070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Заделка резины в пазах фонаря для уплотнения колпака, недостаточна прочна.</w:t>
      </w:r>
    </w:p>
    <w:p w14:paraId="00A937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Пропускная способность ручного клапана для спуска давления - недостаточна.</w:t>
      </w:r>
    </w:p>
    <w:p w14:paraId="76CEC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Применение в боевых условиях кислородной кабины, без добавки воздуха недопустимо, в виду пожарной опасности из-за высокой концентрации кислорода.</w:t>
      </w:r>
    </w:p>
    <w:p w14:paraId="7630FE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 N 482 рекомендованы мероприятия для обеспечения надежной работы герметической кабины и ее агрегатов. (Начальник ЛИИ А.В. Чесалов) (1783,38).</w:t>
      </w:r>
    </w:p>
    <w:p w14:paraId="50A3E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4BF0B"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авария опытного «ЛаГГ-3» «М-82» № 372100, заводской летчик-испытатель Г.А.Мищенко. Сразу обнаружился серьезный недостаток - очень сильно грелось масло (14950).</w:t>
      </w:r>
    </w:p>
    <w:p w14:paraId="5D41D0ED" w14:textId="77777777" w:rsidR="008D62A9" w:rsidRPr="00271E51" w:rsidRDefault="008D62A9" w:rsidP="00271E51">
      <w:pPr>
        <w:spacing w:after="0" w:line="240" w:lineRule="auto"/>
        <w:jc w:val="both"/>
        <w:rPr>
          <w:rFonts w:ascii="Times New Roman" w:hAnsi="Times New Roman"/>
          <w:color w:val="000000" w:themeColor="text1"/>
          <w:sz w:val="16"/>
          <w:szCs w:val="16"/>
        </w:rPr>
      </w:pPr>
    </w:p>
    <w:p w14:paraId="40F8F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состоялся первый полет и катастрофа Гу-1 (Гу-37) (4,241).</w:t>
      </w:r>
    </w:p>
    <w:p w14:paraId="2AF4C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 это было 12 июня.</w:t>
      </w:r>
    </w:p>
    <w:p w14:paraId="0BD0F9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98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по 26 июля 1943 года проводились испытания на прочность, безопасность и удобство обслуживания гоной установки и она была рекомендована для принятия на вооружение. Установка разбиралась на три основные части (11772).</w:t>
      </w:r>
    </w:p>
    <w:p w14:paraId="01EBA6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EAA4E"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по 26 июля 1943 г. прошли испытания образцу усовершенствованной горной пусковой установки Апферова-Суляева-Репса, изготовленной на Пензенском машиностроительном заводе.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 (15595).</w:t>
      </w:r>
    </w:p>
    <w:p w14:paraId="72B84236"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21D0F43A"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8360A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2C31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1943г. была подготовлена ДОКЛАДНАЯ ЗАПИСКА КОМАНДУЮЩЕГО БТ и МВ КА ЗАМЕСТИТЕЛЮ ПРЕДСЕДАТЕЛЯ СНКСССР Л.П. БЕРИИ ПО ПРОВЕДЕНИЮ ИСПЫТАНИЙ ТАНКОВ Т-43</w:t>
      </w:r>
    </w:p>
    <w:p w14:paraId="4684E4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Заводом №183 НКТП изготовлены два опытных образца танка Т-43. Основная характеристика этих танков следующая: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984"/>
        <w:gridCol w:w="1418"/>
      </w:tblGrid>
      <w:tr w:rsidR="00A907A5" w:rsidRPr="00271E51" w14:paraId="61B2F148" w14:textId="77777777" w:rsidTr="00ED5B0A">
        <w:tc>
          <w:tcPr>
            <w:tcW w:w="392" w:type="dxa"/>
            <w:tcBorders>
              <w:top w:val="single" w:sz="12" w:space="0" w:color="auto"/>
            </w:tcBorders>
            <w:shd w:val="clear" w:color="auto" w:fill="FFFFFF"/>
          </w:tcPr>
          <w:p w14:paraId="73430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984" w:type="dxa"/>
            <w:tcBorders>
              <w:top w:val="single" w:sz="12" w:space="0" w:color="auto"/>
            </w:tcBorders>
            <w:shd w:val="clear" w:color="auto" w:fill="FFFFFF"/>
          </w:tcPr>
          <w:p w14:paraId="6DF550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Полный боевой вес</w:t>
            </w:r>
          </w:p>
        </w:tc>
        <w:tc>
          <w:tcPr>
            <w:tcW w:w="1418" w:type="dxa"/>
            <w:tcBorders>
              <w:top w:val="single" w:sz="12" w:space="0" w:color="auto"/>
            </w:tcBorders>
            <w:shd w:val="clear" w:color="auto" w:fill="FFFFFF"/>
          </w:tcPr>
          <w:p w14:paraId="771452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 тонн</w:t>
            </w:r>
          </w:p>
        </w:tc>
      </w:tr>
      <w:tr w:rsidR="00A907A5" w:rsidRPr="00271E51" w14:paraId="710978E0" w14:textId="77777777" w:rsidTr="00ED5B0A">
        <w:tc>
          <w:tcPr>
            <w:tcW w:w="392" w:type="dxa"/>
            <w:shd w:val="clear" w:color="auto" w:fill="FFFFFF"/>
          </w:tcPr>
          <w:p w14:paraId="28DF4E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984" w:type="dxa"/>
            <w:shd w:val="clear" w:color="auto" w:fill="FFFFFF"/>
          </w:tcPr>
          <w:p w14:paraId="19D9C5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1418" w:type="dxa"/>
            <w:shd w:val="clear" w:color="auto" w:fill="FFFFFF"/>
          </w:tcPr>
          <w:p w14:paraId="526B14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7563CAC3" w14:textId="77777777" w:rsidTr="00ED5B0A">
        <w:tc>
          <w:tcPr>
            <w:tcW w:w="392" w:type="dxa"/>
            <w:shd w:val="clear" w:color="auto" w:fill="FFFFFF"/>
          </w:tcPr>
          <w:p w14:paraId="136F0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984" w:type="dxa"/>
            <w:shd w:val="clear" w:color="auto" w:fill="FFFFFF"/>
          </w:tcPr>
          <w:p w14:paraId="26791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Броневая защита:</w:t>
            </w:r>
          </w:p>
        </w:tc>
        <w:tc>
          <w:tcPr>
            <w:tcW w:w="1418" w:type="dxa"/>
            <w:shd w:val="clear" w:color="auto" w:fill="FFFFFF"/>
          </w:tcPr>
          <w:p w14:paraId="0E051E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6F6F00" w14:textId="77777777" w:rsidTr="00ED5B0A">
        <w:tc>
          <w:tcPr>
            <w:tcW w:w="392" w:type="dxa"/>
            <w:shd w:val="clear" w:color="auto" w:fill="FFFFFF"/>
          </w:tcPr>
          <w:p w14:paraId="10668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1984" w:type="dxa"/>
            <w:shd w:val="clear" w:color="auto" w:fill="FFFFFF"/>
          </w:tcPr>
          <w:p w14:paraId="4806C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Лоб</w:t>
            </w:r>
          </w:p>
        </w:tc>
        <w:tc>
          <w:tcPr>
            <w:tcW w:w="1418" w:type="dxa"/>
            <w:shd w:val="clear" w:color="auto" w:fill="FFFFFF"/>
          </w:tcPr>
          <w:p w14:paraId="47EC61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мм</w:t>
            </w:r>
          </w:p>
        </w:tc>
      </w:tr>
      <w:tr w:rsidR="00A907A5" w:rsidRPr="00271E51" w14:paraId="25A305FF" w14:textId="77777777" w:rsidTr="00ED5B0A">
        <w:tc>
          <w:tcPr>
            <w:tcW w:w="392" w:type="dxa"/>
            <w:shd w:val="clear" w:color="auto" w:fill="FFFFFF"/>
          </w:tcPr>
          <w:p w14:paraId="180221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984" w:type="dxa"/>
            <w:shd w:val="clear" w:color="auto" w:fill="FFFFFF"/>
          </w:tcPr>
          <w:p w14:paraId="24D87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Борта</w:t>
            </w:r>
          </w:p>
        </w:tc>
        <w:tc>
          <w:tcPr>
            <w:tcW w:w="1418" w:type="dxa"/>
            <w:shd w:val="clear" w:color="auto" w:fill="FFFFFF"/>
          </w:tcPr>
          <w:p w14:paraId="1F9EA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мм</w:t>
            </w:r>
          </w:p>
        </w:tc>
      </w:tr>
      <w:tr w:rsidR="00A907A5" w:rsidRPr="00271E51" w14:paraId="3E76C838" w14:textId="77777777" w:rsidTr="00ED5B0A">
        <w:tc>
          <w:tcPr>
            <w:tcW w:w="392" w:type="dxa"/>
            <w:shd w:val="clear" w:color="auto" w:fill="FFFFFF"/>
          </w:tcPr>
          <w:p w14:paraId="7A29BF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1984" w:type="dxa"/>
            <w:shd w:val="clear" w:color="auto" w:fill="FFFFFF"/>
          </w:tcPr>
          <w:p w14:paraId="2EB6F0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w:t>
            </w:r>
          </w:p>
        </w:tc>
        <w:tc>
          <w:tcPr>
            <w:tcW w:w="1418" w:type="dxa"/>
            <w:shd w:val="clear" w:color="auto" w:fill="FFFFFF"/>
          </w:tcPr>
          <w:p w14:paraId="3B40C2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мм</w:t>
            </w:r>
          </w:p>
        </w:tc>
      </w:tr>
      <w:tr w:rsidR="00A907A5" w:rsidRPr="00271E51" w14:paraId="4AFBA4B1" w14:textId="77777777" w:rsidTr="00ED5B0A">
        <w:tc>
          <w:tcPr>
            <w:tcW w:w="392" w:type="dxa"/>
            <w:shd w:val="clear" w:color="auto" w:fill="FFFFFF"/>
          </w:tcPr>
          <w:p w14:paraId="6DEBD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1984" w:type="dxa"/>
            <w:shd w:val="clear" w:color="auto" w:fill="FFFFFF"/>
          </w:tcPr>
          <w:p w14:paraId="0B60C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Башня (литая)</w:t>
            </w:r>
          </w:p>
        </w:tc>
        <w:tc>
          <w:tcPr>
            <w:tcW w:w="1418" w:type="dxa"/>
            <w:shd w:val="clear" w:color="auto" w:fill="FFFFFF"/>
          </w:tcPr>
          <w:p w14:paraId="1AE47F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 мм</w:t>
            </w:r>
          </w:p>
        </w:tc>
      </w:tr>
      <w:tr w:rsidR="00A907A5" w:rsidRPr="00271E51" w14:paraId="04FBE7A5" w14:textId="77777777" w:rsidTr="00ED5B0A">
        <w:tc>
          <w:tcPr>
            <w:tcW w:w="392" w:type="dxa"/>
            <w:shd w:val="clear" w:color="auto" w:fill="FFFFFF"/>
          </w:tcPr>
          <w:p w14:paraId="32EA0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1984" w:type="dxa"/>
            <w:shd w:val="clear" w:color="auto" w:fill="FFFFFF"/>
          </w:tcPr>
          <w:p w14:paraId="56758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Днище</w:t>
            </w:r>
          </w:p>
        </w:tc>
        <w:tc>
          <w:tcPr>
            <w:tcW w:w="1418" w:type="dxa"/>
            <w:shd w:val="clear" w:color="auto" w:fill="FFFFFF"/>
          </w:tcPr>
          <w:p w14:paraId="74FC0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мм</w:t>
            </w:r>
          </w:p>
        </w:tc>
      </w:tr>
      <w:tr w:rsidR="00A907A5" w:rsidRPr="00271E51" w14:paraId="77F1FBD8" w14:textId="77777777" w:rsidTr="00ED5B0A">
        <w:tc>
          <w:tcPr>
            <w:tcW w:w="392" w:type="dxa"/>
            <w:tcBorders>
              <w:bottom w:val="single" w:sz="12" w:space="0" w:color="auto"/>
            </w:tcBorders>
            <w:shd w:val="clear" w:color="auto" w:fill="FFFFFF"/>
          </w:tcPr>
          <w:p w14:paraId="4EF251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984" w:type="dxa"/>
            <w:tcBorders>
              <w:bottom w:val="single" w:sz="12" w:space="0" w:color="auto"/>
            </w:tcBorders>
            <w:shd w:val="clear" w:color="auto" w:fill="FFFFFF"/>
          </w:tcPr>
          <w:p w14:paraId="4139DD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Крыша</w:t>
            </w:r>
          </w:p>
        </w:tc>
        <w:tc>
          <w:tcPr>
            <w:tcW w:w="1418" w:type="dxa"/>
            <w:tcBorders>
              <w:bottom w:val="single" w:sz="12" w:space="0" w:color="auto"/>
            </w:tcBorders>
            <w:shd w:val="clear" w:color="auto" w:fill="FFFFFF"/>
          </w:tcPr>
          <w:p w14:paraId="64039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мм</w:t>
            </w:r>
          </w:p>
        </w:tc>
      </w:tr>
    </w:tbl>
    <w:p w14:paraId="195782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Вооружение: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701"/>
      </w:tblGrid>
      <w:tr w:rsidR="00A907A5" w:rsidRPr="00271E51" w14:paraId="167D6BD8" w14:textId="77777777" w:rsidTr="00ED5B0A">
        <w:tc>
          <w:tcPr>
            <w:tcW w:w="2093" w:type="dxa"/>
            <w:tcBorders>
              <w:top w:val="single" w:sz="12" w:space="0" w:color="auto"/>
            </w:tcBorders>
            <w:shd w:val="clear" w:color="auto" w:fill="FFFFFF"/>
          </w:tcPr>
          <w:p w14:paraId="4D396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76 мм Ф-34</w:t>
            </w:r>
          </w:p>
        </w:tc>
        <w:tc>
          <w:tcPr>
            <w:tcW w:w="1701" w:type="dxa"/>
            <w:tcBorders>
              <w:top w:val="single" w:sz="12" w:space="0" w:color="auto"/>
            </w:tcBorders>
            <w:shd w:val="clear" w:color="auto" w:fill="FFFFFF"/>
          </w:tcPr>
          <w:p w14:paraId="2DCC6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133ECA18" w14:textId="77777777" w:rsidTr="00ED5B0A">
        <w:tc>
          <w:tcPr>
            <w:tcW w:w="2093" w:type="dxa"/>
            <w:tcBorders>
              <w:bottom w:val="single" w:sz="12" w:space="0" w:color="auto"/>
            </w:tcBorders>
            <w:shd w:val="clear" w:color="auto" w:fill="FFFFFF"/>
          </w:tcPr>
          <w:p w14:paraId="649EF9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Пулеметов ДТ</w:t>
            </w:r>
          </w:p>
        </w:tc>
        <w:tc>
          <w:tcPr>
            <w:tcW w:w="1701" w:type="dxa"/>
            <w:tcBorders>
              <w:bottom w:val="single" w:sz="12" w:space="0" w:color="auto"/>
            </w:tcBorders>
            <w:shd w:val="clear" w:color="auto" w:fill="FFFFFF"/>
          </w:tcPr>
          <w:p w14:paraId="41DE9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шт.</w:t>
            </w:r>
          </w:p>
        </w:tc>
      </w:tr>
    </w:tbl>
    <w:p w14:paraId="6ADBA8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701"/>
      </w:tblGrid>
      <w:tr w:rsidR="00A907A5" w:rsidRPr="00271E51" w14:paraId="695301F3" w14:textId="77777777" w:rsidTr="00ED5B0A">
        <w:tc>
          <w:tcPr>
            <w:tcW w:w="2093" w:type="dxa"/>
            <w:tcBorders>
              <w:top w:val="single" w:sz="12" w:space="0" w:color="auto"/>
            </w:tcBorders>
            <w:shd w:val="clear" w:color="auto" w:fill="FFFFFF"/>
          </w:tcPr>
          <w:p w14:paraId="07CAD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Снарядов 76 мм</w:t>
            </w:r>
          </w:p>
        </w:tc>
        <w:tc>
          <w:tcPr>
            <w:tcW w:w="1701" w:type="dxa"/>
            <w:tcBorders>
              <w:top w:val="single" w:sz="12" w:space="0" w:color="auto"/>
            </w:tcBorders>
            <w:shd w:val="clear" w:color="auto" w:fill="FFFFFF"/>
          </w:tcPr>
          <w:p w14:paraId="0AAB51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 шт.</w:t>
            </w:r>
          </w:p>
        </w:tc>
      </w:tr>
      <w:tr w:rsidR="00A907A5" w:rsidRPr="00271E51" w14:paraId="04241E78" w14:textId="77777777" w:rsidTr="00ED5B0A">
        <w:tc>
          <w:tcPr>
            <w:tcW w:w="2093" w:type="dxa"/>
            <w:shd w:val="clear" w:color="auto" w:fill="FFFFFF"/>
          </w:tcPr>
          <w:p w14:paraId="307EA7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Винтпатронов</w:t>
            </w:r>
          </w:p>
        </w:tc>
        <w:tc>
          <w:tcPr>
            <w:tcW w:w="1701" w:type="dxa"/>
            <w:shd w:val="clear" w:color="auto" w:fill="FFFFFF"/>
          </w:tcPr>
          <w:p w14:paraId="05E38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2772 шт. (44 диска)</w:t>
            </w:r>
          </w:p>
        </w:tc>
      </w:tr>
      <w:tr w:rsidR="00A907A5" w:rsidRPr="00271E51" w14:paraId="120E942F" w14:textId="77777777" w:rsidTr="00ED5B0A">
        <w:tc>
          <w:tcPr>
            <w:tcW w:w="2093" w:type="dxa"/>
            <w:tcBorders>
              <w:bottom w:val="single" w:sz="12" w:space="0" w:color="auto"/>
            </w:tcBorders>
            <w:shd w:val="clear" w:color="auto" w:fill="FFFFFF"/>
          </w:tcPr>
          <w:p w14:paraId="78B181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Гранат Ф-1</w:t>
            </w:r>
          </w:p>
        </w:tc>
        <w:tc>
          <w:tcPr>
            <w:tcW w:w="1701" w:type="dxa"/>
            <w:tcBorders>
              <w:bottom w:val="single" w:sz="12" w:space="0" w:color="auto"/>
            </w:tcBorders>
            <w:shd w:val="clear" w:color="auto" w:fill="FFFFFF"/>
          </w:tcPr>
          <w:p w14:paraId="4CCDE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шт.</w:t>
            </w:r>
          </w:p>
        </w:tc>
      </w:tr>
    </w:tbl>
    <w:p w14:paraId="545790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A907A5" w:rsidRPr="00271E51" w14:paraId="7F6F26AC" w14:textId="77777777" w:rsidTr="00ED5B0A">
        <w:tc>
          <w:tcPr>
            <w:tcW w:w="2235" w:type="dxa"/>
            <w:tcBorders>
              <w:top w:val="single" w:sz="12" w:space="0" w:color="auto"/>
            </w:tcBorders>
            <w:shd w:val="clear" w:color="auto" w:fill="FFFFFF"/>
          </w:tcPr>
          <w:p w14:paraId="3E577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В-2-34 мощностью</w:t>
            </w:r>
          </w:p>
        </w:tc>
        <w:tc>
          <w:tcPr>
            <w:tcW w:w="1559" w:type="dxa"/>
            <w:tcBorders>
              <w:top w:val="single" w:sz="12" w:space="0" w:color="auto"/>
            </w:tcBorders>
            <w:shd w:val="clear" w:color="auto" w:fill="FFFFFF"/>
          </w:tcPr>
          <w:p w14:paraId="3C1B53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л.с.</w:t>
            </w:r>
          </w:p>
        </w:tc>
      </w:tr>
      <w:tr w:rsidR="00A907A5" w:rsidRPr="00271E51" w14:paraId="10043536" w14:textId="77777777" w:rsidTr="00ED5B0A">
        <w:tc>
          <w:tcPr>
            <w:tcW w:w="2235" w:type="dxa"/>
            <w:shd w:val="clear" w:color="auto" w:fill="FFFFFF"/>
          </w:tcPr>
          <w:p w14:paraId="662B9F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Емкость топливных баков</w:t>
            </w:r>
          </w:p>
        </w:tc>
        <w:tc>
          <w:tcPr>
            <w:tcW w:w="1559" w:type="dxa"/>
            <w:shd w:val="clear" w:color="auto" w:fill="FFFFFF"/>
          </w:tcPr>
          <w:p w14:paraId="3294C2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450л</w:t>
            </w:r>
          </w:p>
        </w:tc>
      </w:tr>
      <w:tr w:rsidR="00A907A5" w:rsidRPr="00271E51" w14:paraId="3671C160" w14:textId="77777777" w:rsidTr="00ED5B0A">
        <w:tc>
          <w:tcPr>
            <w:tcW w:w="2235" w:type="dxa"/>
            <w:shd w:val="clear" w:color="auto" w:fill="FFFFFF"/>
          </w:tcPr>
          <w:p w14:paraId="0C7A10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дополнительных баках) </w:t>
            </w:r>
          </w:p>
        </w:tc>
        <w:tc>
          <w:tcPr>
            <w:tcW w:w="1559" w:type="dxa"/>
            <w:shd w:val="clear" w:color="auto" w:fill="FFFFFF"/>
          </w:tcPr>
          <w:p w14:paraId="41D57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280л</w:t>
            </w:r>
          </w:p>
        </w:tc>
      </w:tr>
      <w:tr w:rsidR="00A907A5" w:rsidRPr="00271E51" w14:paraId="42B5EFCC" w14:textId="77777777" w:rsidTr="00ED5B0A">
        <w:tc>
          <w:tcPr>
            <w:tcW w:w="2235" w:type="dxa"/>
            <w:shd w:val="clear" w:color="auto" w:fill="FFFFFF"/>
          </w:tcPr>
          <w:p w14:paraId="45146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Емкость масляных баков</w:t>
            </w:r>
          </w:p>
        </w:tc>
        <w:tc>
          <w:tcPr>
            <w:tcW w:w="1559" w:type="dxa"/>
            <w:shd w:val="clear" w:color="auto" w:fill="FFFFFF"/>
          </w:tcPr>
          <w:p w14:paraId="3A46A1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 л.с./тонн</w:t>
            </w:r>
          </w:p>
        </w:tc>
      </w:tr>
      <w:tr w:rsidR="00A907A5" w:rsidRPr="00271E51" w14:paraId="6264AFCA" w14:textId="77777777" w:rsidTr="00ED5B0A">
        <w:tc>
          <w:tcPr>
            <w:tcW w:w="2235" w:type="dxa"/>
            <w:tcBorders>
              <w:bottom w:val="single" w:sz="12" w:space="0" w:color="auto"/>
            </w:tcBorders>
            <w:shd w:val="clear" w:color="auto" w:fill="FFFFFF"/>
          </w:tcPr>
          <w:p w14:paraId="58BD3F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Удельная мощность</w:t>
            </w:r>
          </w:p>
        </w:tc>
        <w:tc>
          <w:tcPr>
            <w:tcW w:w="1559" w:type="dxa"/>
            <w:tcBorders>
              <w:bottom w:val="single" w:sz="12" w:space="0" w:color="auto"/>
            </w:tcBorders>
            <w:shd w:val="clear" w:color="auto" w:fill="FFFFFF"/>
          </w:tcPr>
          <w:p w14:paraId="6F3BC0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75л</w:t>
            </w:r>
          </w:p>
        </w:tc>
      </w:tr>
    </w:tbl>
    <w:p w14:paraId="4BB8D0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Силовые агрегаты танка Т-43 взяты целиком от танка Т-34. Ходовая часть выполнена торсион</w:t>
      </w:r>
      <w:r w:rsidRPr="00271E51">
        <w:rPr>
          <w:rFonts w:ascii="Times New Roman" w:hAnsi="Times New Roman"/>
          <w:color w:val="000000" w:themeColor="text1"/>
          <w:sz w:val="16"/>
          <w:szCs w:val="16"/>
        </w:rPr>
        <w:softHyphen/>
        <w:t>ной. Кроме того, диаметр погона башни в свету по сравнению с танком Т-34 расширен и доведен до размера в 1600 мм.</w:t>
      </w:r>
    </w:p>
    <w:p w14:paraId="0C1212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мероприятие должно значительно увеличить объем боевого отделения танка, улучшить условия работы экипажа и увеличить скорострельность из танкового оружия.</w:t>
      </w:r>
    </w:p>
    <w:p w14:paraId="2C6C3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Указанные образцы танков подготовлены заводом к испытаниям пробегом на длительный километраж по маршруту Нижний Тагил, Казань, Горький, Москва и должны были уйти в пробег 20.06.1943г.</w:t>
      </w:r>
    </w:p>
    <w:p w14:paraId="4DA4EF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танковой промышленности своим распоряжением задержал начало испытаний.</w:t>
      </w:r>
    </w:p>
    <w:p w14:paraId="4B8193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выявления тактико-технических свойств танка Т-43 считаю необходимым эти испыта</w:t>
      </w:r>
      <w:r w:rsidRPr="00271E51">
        <w:rPr>
          <w:rFonts w:ascii="Times New Roman" w:hAnsi="Times New Roman"/>
          <w:color w:val="000000" w:themeColor="text1"/>
          <w:sz w:val="16"/>
          <w:szCs w:val="16"/>
        </w:rPr>
        <w:softHyphen/>
        <w:t>ния провести на научно-испытательном полигоне ГБТУ Красной Армии под Москвой.</w:t>
      </w:r>
    </w:p>
    <w:p w14:paraId="44F4D4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полигоне проходят испытания на гарантийный километраж танки всех танковых заводов выпуска июня месяца 1943 года.</w:t>
      </w:r>
    </w:p>
    <w:p w14:paraId="7F8A7D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танков Т-43 параллельно и в сравнении с серийными танками при одинаковых усло</w:t>
      </w:r>
      <w:r w:rsidRPr="00271E51">
        <w:rPr>
          <w:rFonts w:ascii="Times New Roman" w:hAnsi="Times New Roman"/>
          <w:color w:val="000000" w:themeColor="text1"/>
          <w:sz w:val="16"/>
          <w:szCs w:val="16"/>
        </w:rPr>
        <w:softHyphen/>
        <w:t>виях на НИ полигоне ГБТУ КА позволило бы дать наиболее полную оценку их.</w:t>
      </w:r>
    </w:p>
    <w:p w14:paraId="7EF53A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народному комиссару танковой промышленности т. Малышеву об отправке танков Т-43 на НИ полигон ГБТУ КА для проведения заводско-полигонных испытаний.</w:t>
      </w:r>
    </w:p>
    <w:p w14:paraId="20D135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БТ и МВ КА генерал-полковник танковых войск Федоренко</w:t>
      </w:r>
    </w:p>
    <w:p w14:paraId="150FD7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 военного совета генерал-лейтенант танковых войск Бирюков</w:t>
      </w:r>
    </w:p>
    <w:p w14:paraId="1BCC9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1408. Л. 10-11. Подлинник (11403).</w:t>
      </w:r>
    </w:p>
    <w:p w14:paraId="123C3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CE43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г. из ПОСТАНОВЛЕНИЯ БЮРО НОВОСИБИРСКОГО ОБКОМА ВКП(б) «О ПЕРЕВОДЕ ЗАВОДОВ № 635 И № 386 НА ВОЕННОЕ ПОЛОЖЕНИЕ И МЕРАХ ПО СОЗДАНИЮ УСЛОВИЙ ИХ БЕЗОПАСНОЙ РАБОТЫ»</w:t>
      </w:r>
    </w:p>
    <w:p w14:paraId="0E6C781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Особая папка</w:t>
      </w:r>
    </w:p>
    <w:p w14:paraId="7247B6D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Бюро обкома ВКП(б) отмечает, что заводы № 635 и № 386 находятся под угрозой могущего возникнуть взрыва. Такое состояние заводов является следствием беспечности и безответственного отношения к вопросам взрывобезопасности руководства заводов, систематического нарушения правил безопасной работы, скопления больших запасов мощных ВВ и ОВ и явно неудовлетворительной охраны взрывоопасных объектов и складов ВВ. Так, на территории завода № 635 сосредоточено до 3 000 тонн различных ВВ, свыше 600 вагонов снаряженных боеприпасов и 570 тонн отравляющих веществ. Рассредоточенные по всей территории завода отходы ВВ (свыше 400 тонн) и сложенные на открытых площадках готовые боеприпасы, в том числе такие, как М-8 и бронебойные снаряды с ввернутыми донными взрывателями, никем не охраняются. На заводе Хэ 386 сосредоточены большие запасы гремучей ртути, ударного состава и 125 000 снаряженных гранат. Учета расходования ВВ, детонаторов и взрывателей на заводах не ведется, технологическая дисциплина не соблюдается, руководящие работники и рабочие со взрывчатыми веществами обращаются небрежно, нормы хранения ВВ превышаются. Многие склады ВВ и производственные здания охраняются плохо, а некоторые не охраняются совершенно. Пожарная охрана и оснащение заводов средствами пожаротушения обеспечены совершенно недостаточно, имели место случаи загорания. Территория завода № 635 изрыта и захламлена строительными отходами, дороги отсутствуют. Строительство заводов не закончено. На заводе № 635 базисные склады для хранения ВВ не строятся, а ряд жизненно необходимых объектов строительством начаты, но законсервированы (мастерские [№] 111, 115-П и другие). СибОВСУ (т. Дворкин), ведущее строительство заводов № 635 и № 386, по ряду важных объектов неоднократно срывало устанавливаемые сроки окончания строительства и не обеспечило ввода их в эксплуатацию. В целях безусловного выполнения постановления ГКО от 19 июня 1943 года о переводе заводов № 635 и № 386 на военное положение и создания условий их безопасной работы бюро обкома ВКП(б) ПОСТАНОВЛЯЕТ:</w:t>
      </w:r>
    </w:p>
    <w:p w14:paraId="443F121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Признать создавшееся положение на заводах № 635 и № 386 в части перегрузки их (особенно завода № 635) огромными количествами взрывчатых веществ, порохов, отравляющих веществ и снаряженных боеприпасов в обстановке отсутствия приспособленных для их хранения складов, систематических нарушений правил техники безопасности и технологической дисциплины, явно ненадежной заводской и пожарной охраны, работы в недостроенных перегруженных против всяких норм зданиях, полного бездорожья и захламленности производственной территории, совершенно недостаточно развернутой массовой политической работы по поднятию подлинно большевистской бдительности всех работающих на заводах крайне опасным, угрожающим тяжелыми последствиями.</w:t>
      </w:r>
    </w:p>
    <w:p w14:paraId="42A5625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начальника завода № 635 т. Савосина и его заместителя т. Тиминджиева:</w:t>
      </w:r>
    </w:p>
    <w:p w14:paraId="5DBB15C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5-дневный срок вывезти с территории завода все отходы взрывчатых веществ, отгрузив их по нарядам Взрывпрома;</w:t>
      </w:r>
    </w:p>
    <w:p w14:paraId="6D3F292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 25 июля 1943 года вывезти запасы взрывчатых веществ и порохов в количестве до 2 000 тонн с центральных складов завода и организовать их полевое хранение, согласно действующим инструкциям; тт. Дворкину и Крытову для этой цели оборудовать к 20 июля склад полевого хранения ВВ (устройство настилов для складирования, ограждение площадки и освещение).</w:t>
      </w:r>
    </w:p>
    <w:p w14:paraId="2B1B211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 2-недельный срок вывезти с территории завода весь строительный мусор, бумагу, битую тару и разбитые железнодорожные вагоны;</w:t>
      </w:r>
    </w:p>
    <w:p w14:paraId="4AD1AB3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 немедленно разработать и осуществить в течение июля 1943 года специальный план мероприятий по введению железной технологической дисциплины и безусловному соблюдению правил техники безопасности по всем фазам производственного потока: по приемке и хранению ВВ, приготовлению суррогатов ВВ, снаряжению боеприпасов, хранению и отгрузке готовых боеприпасов.</w:t>
      </w:r>
    </w:p>
    <w:p w14:paraId="68A1ABA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в течение июля месяца провести сплошную проверку знаний инструкций и правил безопасной работы каждым рабочим, бригадиром, мастером, каждым инженерно-техническим работником;</w:t>
      </w:r>
    </w:p>
    <w:p w14:paraId="1D43F81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к 10 августа закончить достройку, монтаж и пустить в эксплуатацию здания №№ 111 и 115-П цеха приготовления ВВ;</w:t>
      </w:r>
    </w:p>
    <w:p w14:paraId="539282C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выдать УВС-3 проект на склады и железнодорожную ветку к 20 июля и на реконструкцию водопровода — к 18 июля 1943 года.</w:t>
      </w:r>
    </w:p>
    <w:p w14:paraId="36B0952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Отметить, что СибОВСУ, особенно за последнее время, ослабило ход строительства завода № 635, и обязать персонально т. Дворкина принять все меры к тому, чтобы в ближайшие дни резко усилить темпы и обеспечить выполнение основных работ в следующие сроки:</w:t>
      </w:r>
    </w:p>
    <w:p w14:paraId="2F5749E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закончить и сдать в эксплуатацию здания № 111, № 11 и расходные погребки к ним к 10 августа;</w:t>
      </w:r>
    </w:p>
    <w:p w14:paraId="42BB982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обвалование всех складов хранения ВВ и взрывоопасных зданий по обоим заводам - 1 сентября;</w:t>
      </w:r>
    </w:p>
    <w:p w14:paraId="31C923E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базисные склады ВВ — 1 ноября;</w:t>
      </w:r>
    </w:p>
    <w:p w14:paraId="0C741C6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строительство дорог и планировку территорий — 15 ноября.</w:t>
      </w:r>
    </w:p>
    <w:p w14:paraId="5D737FE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Строительство дорог и планировку территорий в первую очередь произвести в пределах действующих объектов.</w:t>
      </w:r>
    </w:p>
    <w:p w14:paraId="32FF8A6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реконструкцию водопровода — 1 октября 1943 г.;</w:t>
      </w:r>
    </w:p>
    <w:p w14:paraId="106C789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срочно оборудовать связь охраны, приняв при этом все меры к обеспечению ее необходимым количеством телефонных аппаратов и провода.</w:t>
      </w:r>
    </w:p>
    <w:p w14:paraId="2C5A178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Принять к сведению заявление т. Дворкина, что СибОВСУ и УВС-3 располагают достаточными средствами, чтобы не только выполнить строительные работы по указанным объектам в срок, но по первоочередным объектам закончить работы досрочно.</w:t>
      </w:r>
    </w:p>
    <w:p w14:paraId="1745B9D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командира бригады войск НКВД по охране промышленных предприятий полковника т. Водянова немедленно закончить приемку заводов № 635 и № 386 и приступить к их охране с 15 июля, полностью укомплектовав весь личный состав охраны, разместив его временно в палатках.</w:t>
      </w:r>
    </w:p>
    <w:p w14:paraId="68F7232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Разъяснить т. Водянову, что заводы № 635 и № 386 являются наиболее важными оборонными объектами из всех охраняемых войсками НКВД объектов Новосибирской области и что все лучшие средства и силы бригады должны быть в первую очередь сосредоточены на этих заводах.</w:t>
      </w:r>
    </w:p>
    <w:p w14:paraId="6C0B816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тт. Савосина и Барского к 15 августа 1943 года оборудовать все важнейшие посты телефонной связью и сигнализацией, установить к 1 сентября вокруг периметра запретную зону, предоставить охране к 25 июля 1943 г. помещение для штаба, комендатуры и караула и к 1 октября полностью обеспечить весь личный состав охраны благоустроенными служебными и бытовыми помещениями.</w:t>
      </w:r>
    </w:p>
    <w:p w14:paraId="1070332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Довести до сведения тов. Берия, что Наркоматом боеприпасов заслано на завод Хе 635 свыше 600 вагонов изделий в нестандартной укупорке, которые после снаряжения не могут быть отгружены на склады ГАУ.</w:t>
      </w:r>
    </w:p>
    <w:p w14:paraId="3B66ED7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Просить ГКО обязать ГАУ КА разрешить отгрузку с завода № 635 всего запаса снаряженных боеприпасов в нестандартной укупорке и обязать Наркомат боеприпасов не допускать в дальнейшем загрузку завода № 635 боеприпасами в нестандартной таре и засылку ВВ без учета потребности и возможности хранения.</w:t>
      </w:r>
    </w:p>
    <w:p w14:paraId="76B155C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Предложить начальнику Томской железной дороги: обеспечить завод № 635 необходимым количеством вагонов для вывозки с территории завода отходов и запасов ВВ, порохов и других материалов; выделить для заводов № К? 635 и 386 два маневровых паровоза, оборудовав их специальными устройствами для работы на взрывоопасных зонах, согласно существующей инструкции; выделить заводу № 635 пять железнодорожных вагонов, пригодных для перевозки ВВ, для организации внутризаводской вертушки; обеспечить бесперебойную вывозку с заводов № 635 и Х&gt; 386 снаряженных боеприпасов и равномерную подачу под разгрузку поступающих на завод грузов.</w:t>
      </w:r>
    </w:p>
    <w:p w14:paraId="0C33D7A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Просить обязать командующего войсками СибВО тов. Медведева сформировать из частей округа особый саперный батальон для ликвидации угрожающего положения на заводах №№ 635 и 386.</w:t>
      </w:r>
    </w:p>
    <w:p w14:paraId="3BE51C5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Поручить тт. Яковлеву и Хайновскому в 3-дневный срок мобилизовать на предприятиях НКБ десять автомашин, вполне годных и укомплектованных водителями, для вывозки с завода ВВ, сроком на 15 дней.</w:t>
      </w:r>
    </w:p>
    <w:p w14:paraId="5F7C834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Поручить секретарю Новосибирского сельского райкома ВКП(б) т. Елисееву и председателю райисполкома т. Костюкову мобилизовать в 5-дневный срок в районе 30 лошадей с подводами и возчиками для этих же целей, сроком на 15 дней.</w:t>
      </w:r>
    </w:p>
    <w:p w14:paraId="46C42C0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Поручить облисполкому (т. Гришину) мобилизовать и направить на постоянную работу на заводы №№ 635 и 386 из сельских районов области (главным образом из районных центров) 500 человек рабочих, годных к работе на военных заводах.</w:t>
      </w:r>
    </w:p>
    <w:p w14:paraId="6EDAEDF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Обязать парторгов ЦК ВКП(б) на заводах №№ 635 и 386 тт. Уман-ского и Баранова, а также секретаря райкома ВКП(б) Центрального района г. Новосибирска т. Сущикову: провести широкую разъяснительную работу по доведению до сознания каждого рабочего, ИТР и служащего постановления ГКО о переводе заводов на военное положение и инструкции «О специальном режиме и дисциплине»; повести решительную, беспощадную борьбу со всеми нарушителями технологической, производственной, государственной дисциплины, всемерно поднять большевистскую бдительность каждого работающего на заводе рабочего, инженерно-технического работника, обеспечить в этих вопросах авангардную роль коммунистов.</w:t>
      </w:r>
    </w:p>
    <w:p w14:paraId="5FE76D7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Поручить секретарю Новосибирского горкома ВКП(б) т. Яковлеву командировать на заводы №№ 635 и 386 сроком на 15 дней бригаду партийных работников из районов города в количестве 7 человек во главе с секретарем Центрального райкома ВКП(б).</w:t>
      </w:r>
    </w:p>
    <w:p w14:paraId="4C5EBD7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Предложить т. Яковлеву и Центральному райкому ВКП(б) города Новосибирска (т. Сущиковой) направить на постоянную работу на заводы №№ 635 и 386, для усиления цеховых парторганизаций и партийной прослойки в охране заводов, 40 коммунистов.</w:t>
      </w:r>
    </w:p>
    <w:p w14:paraId="6996DB7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Предложить начальнику завода т. Савосину в самом срочном порядке реализовать предложения междуведомственной комиссии по противопожарной охране завода, обратив особое внимание на приобретение достаточного количества огнетушителей, установку ящиков с песком и кадок с водой.</w:t>
      </w:r>
    </w:p>
    <w:p w14:paraId="5B6E334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Поручить т. Петровскому (начальнику управления НКВД) для усиления пожарной охраны завода № 635 к 1 августа отобрать из действующих команд города 25 человек бойцов, 500 огнетушителей и других средств пожаротушения. Установить за проведением настоящего постановления ежедневный контроль и принимать немедленные меры во всех случаях нарушения установленных сроков.</w:t>
      </w:r>
    </w:p>
    <w:p w14:paraId="2DB21CD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Предложить Новосибирскому горкому ВКП(б) (т. Яковлеву) проверить не позднее 1 августа 1943 года ход выполнения настоящего постановления и результаты проверки обсудить на бюро горкома ВКП(б).</w:t>
      </w:r>
    </w:p>
    <w:p w14:paraId="250902C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Поручить секретарю обкома ВКП(б) т. Петровичеву взять настоящее постановление под личный контроль и, в зависимости от положения дел, докладывать на заседании бюро обкома ВКП(б).</w:t>
      </w:r>
    </w:p>
    <w:p w14:paraId="65BB64C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Новосибирского обкома ВКП(б) М. Кулагин</w:t>
      </w:r>
    </w:p>
    <w:p w14:paraId="6115144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33. Д. 736.а.. Л. 97-105. Подлинник (12160).</w:t>
      </w:r>
    </w:p>
    <w:p w14:paraId="00B70125"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7B3A1C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1518D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BFC65D"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оперативная сводка Совинформбюро:</w:t>
      </w:r>
    </w:p>
    <w:p w14:paraId="58298B27"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наши войска продолжали вести бои с противникомна Орловско-Курском и Белгородском направлениях. Особенно упорные бои шли на Белгородском направлении.</w:t>
      </w:r>
    </w:p>
    <w:p w14:paraId="4CCC438D"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Орловско-Курском и Белгородском направлениях за день боёв подбито и уничтожено 122 немецких танка. В воздушных боях и зенитной артиллерией сбито 18 немецких самолётов.</w:t>
      </w:r>
    </w:p>
    <w:p w14:paraId="534866E4"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уточнённым данным, за 11 июля на Орловско-Курском и Белгородском направлениях в воздушных боях и огнём зенитной артиллерии сбит не 31 немецкийсамолёт, а 71 самолёт противника.</w:t>
      </w:r>
    </w:p>
    <w:p w14:paraId="1BA01D89"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части отражали атаки противника. Атаки противник вёл не столь крупными силами, как это было в предыдущие дни. За семь дней напряжённых боёв гитлеровцы понесли большие потери. Отчаявшись прорвать советскую оборону, сегодня немцы стремились улучшить свои позиции на отдельных участках фронта. На одном участке пехота и танки противника несколько раз переходили в атаки, но последовавшим затем контрударом советских бойцов немцы были отброшены на исходные рубежи. Уничтожено до 1.000 вражеских солдат и офицеров, 17 танков, 6 орудий, 25 пулемётов и миномётная батарея противника.</w:t>
      </w:r>
    </w:p>
    <w:p w14:paraId="6899C90A"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Белгородском направлении продолжались ожесточённые бои. Танки и пехота противника, поддержанные артиллерией и авиацией, в течение дня неоднократно атаковали наши позиции. Не добившись успеха на одном участке, немцы переносили удары на другой. Однако все вражеские атаки потерпели неудачу. Подразделение под командованием гвардии капитана т. Доценко отразило две ожесточённые атаки немцев и истребило свыше батальона гитлеровцев. Н-ская танковая часть нанесла внезапный фланговый удар по наступающему врагу и уничтожила 46 немецких танков. До полка немецкой пехоты и 30 танков атаковали позиции, которые оборонял </w:t>
      </w:r>
      <w:r w:rsidRPr="00271E51">
        <w:rPr>
          <w:rFonts w:ascii="Times New Roman" w:hAnsi="Times New Roman"/>
          <w:color w:val="000000" w:themeColor="text1"/>
          <w:sz w:val="16"/>
          <w:szCs w:val="16"/>
        </w:rPr>
        <w:lastRenderedPageBreak/>
        <w:t>батальон, где командиром гвардии капитан т. Бельгии. В течение двенадцати часов гвардейцы отражали атаки гитлеровцев. Потеряв 15 танков и свыше 500 солдат и офицеров, противник был вынужден отступить. Экипаж танка под командованием лейтенанта т.Бутенко поджёг один танк и тараном вывел из строя ещё два танка противника. На минах, установленных сапёрами подразделения, где командиром т. Ивчар, за два дня подорвались 8 немецких танков.</w:t>
      </w:r>
    </w:p>
    <w:p w14:paraId="6EC26E47"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разведывательная группа под командованием младшего лейтенанта т. Евграфова преодолела минные поля и ворвалась в немецкие траншеи. В рукопашной схватке разведчики истребили до 70 гитлеровцев. Захвачены трофеи и пленные.</w:t>
      </w:r>
    </w:p>
    <w:p w14:paraId="340D9E58"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наши подразделения обстреливали позиции и ближайшие тылы противника. Огнём артиллерии разрушено 12 немецких дзотов, потоплено 8 лодок с пехотой, уничтожено 4 орудия и подавлен огонь нескольких артиллерийских и миномётных батарей противника. Снайперы Н-ского соединения в течение дня истребили 59 немецких солдат и офицеров.</w:t>
      </w:r>
    </w:p>
    <w:p w14:paraId="098055E3"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«Железняк», действующий в одном из районов Могилёвской области, отбил у немецко-фашистских извергов большую группу советских детей. Этих детей немцы насильно отняли у родителей и переправляли их в военныйгоспиталь. Гитлеровцы собирались взять у детей кровь для переливания раненым немецким офицерам. Группа партизан другого отряда пустила под откос железнодорожный эшелон противника. В результате крушения уничтожены паровоз и 6 классных вагонов. Движение поездов на этом участке железной дороги было прерванов течение двух суток.</w:t>
      </w:r>
    </w:p>
    <w:p w14:paraId="1B6B969F"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лётчик 2 группы 5 отряда 3 немецкой бомбардировочной эскадры обер-фельдфебель Вилли Штромер рассказал: «Седьмого июля наш отряд в сопровождении истребителей вылетел на фронт для поддержки наступающих немецких наземных частей. Сбросить бомбы над целью мне не удалось. Сильный зенитный огоньу переднего края русских затруднил подход к цели. В это время совершенно неожиданно из-за облаков появился русский истребитель. Он атаковал мой самолёт и поджёг его. В следующее мгновение упал ещё один самолёт нашего отряда. Прикрывавшие нас истребители не оказали помощи, так как на них были молодые неопытные лётчики.</w:t>
      </w:r>
    </w:p>
    <w:p w14:paraId="097E0B3C"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Наступление, начатое немецкой армией 5 июля, задумано давно. Оно намечалось ещё в мае—июне, но по неизвестным мне причинам откладывалось. Нам говорили, что первоначальная цель этого наступления — взять Курск и овладеть дорогой Орёл—Курск—Харьков. По плану операцию предполагалось закончить в четыре дня. Однако на второй день командир группы заявил, что наступление развивается крайне неудовлетворительно, так как командование допустило большой просчёт. Оборона русских оказалась значительно сильнее, чем все думали. По его словам, наступление уже провалилось. Впрочем, так думает не только он один, но и многие другие офицеры» (14950).</w:t>
      </w:r>
    </w:p>
    <w:p w14:paraId="4381BC7C"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6328CA05" w14:textId="77777777" w:rsidR="00331CF1" w:rsidRPr="00271E51" w:rsidRDefault="00331CF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12 июля 1943 Оперативное управление штаба ВВС КА в сво</w:t>
      </w:r>
      <w:r w:rsidRPr="00271E51">
        <w:rPr>
          <w:color w:val="000000" w:themeColor="text1"/>
          <w:sz w:val="16"/>
          <w:szCs w:val="16"/>
        </w:rPr>
        <w:softHyphen/>
        <w:t>ей справке от указывало: «В шифровке от 11.07.43 генерал-полковника тов. Ворожейкина на имя тов. СТАЛИНА сообщается, что по наблюдени</w:t>
      </w:r>
      <w:r w:rsidRPr="00271E51">
        <w:rPr>
          <w:color w:val="000000" w:themeColor="text1"/>
          <w:sz w:val="16"/>
          <w:szCs w:val="16"/>
        </w:rPr>
        <w:softHyphen/>
        <w:t>ям наземных войск на высоте 255.1 (Центральный фронт) 6 Ил-2 атаковали 15 танков «Тигр», из кото</w:t>
      </w:r>
      <w:r w:rsidRPr="00271E51">
        <w:rPr>
          <w:color w:val="000000" w:themeColor="text1"/>
          <w:sz w:val="16"/>
          <w:szCs w:val="16"/>
        </w:rPr>
        <w:softHyphen/>
        <w:t>рых 6 загорелось. /.../ 10 июля на одной из высот восточнее Кашары (Центральный фронт) было за</w:t>
      </w:r>
      <w:r w:rsidRPr="00271E51">
        <w:rPr>
          <w:color w:val="000000" w:themeColor="text1"/>
          <w:sz w:val="16"/>
          <w:szCs w:val="16"/>
        </w:rPr>
        <w:softHyphen/>
        <w:t>мечено большое скопление танков. Был нанесен сосредоточенный удар штурмовиками. На месте осталось 30 подбитых и 14 танков горело, а осталь</w:t>
      </w:r>
      <w:r w:rsidRPr="00271E51">
        <w:rPr>
          <w:color w:val="000000" w:themeColor="text1"/>
          <w:sz w:val="16"/>
          <w:szCs w:val="16"/>
        </w:rPr>
        <w:softHyphen/>
        <w:t>ные рассыпались и в беспорядке стали уходить в северном направлении...» (17500).</w:t>
      </w:r>
    </w:p>
    <w:p w14:paraId="2EDB0E04" w14:textId="77777777" w:rsidR="00331CF1" w:rsidRPr="00271E51" w:rsidRDefault="00331CF1" w:rsidP="00271E51">
      <w:pPr>
        <w:spacing w:after="0" w:line="240" w:lineRule="auto"/>
        <w:jc w:val="both"/>
        <w:rPr>
          <w:rFonts w:ascii="Times New Roman" w:hAnsi="Times New Roman"/>
          <w:color w:val="000000" w:themeColor="text1"/>
          <w:sz w:val="16"/>
          <w:szCs w:val="16"/>
        </w:rPr>
      </w:pPr>
    </w:p>
    <w:p w14:paraId="24B56E05" w14:textId="77777777" w:rsidR="005D0971" w:rsidRPr="00271E51" w:rsidRDefault="005D0971" w:rsidP="00271E51">
      <w:pPr>
        <w:spacing w:after="0" w:line="240" w:lineRule="auto"/>
        <w:jc w:val="both"/>
        <w:rPr>
          <w:rFonts w:ascii="Times New Roman" w:hAnsi="Times New Roman"/>
          <w:bCs/>
          <w:color w:val="000000" w:themeColor="text1"/>
          <w:sz w:val="16"/>
          <w:szCs w:val="16"/>
          <w:vertAlign w:val="subscript"/>
        </w:rPr>
      </w:pPr>
      <w:r w:rsidRPr="00271E51">
        <w:rPr>
          <w:rFonts w:ascii="Times New Roman" w:hAnsi="Times New Roman"/>
          <w:color w:val="000000" w:themeColor="text1"/>
          <w:sz w:val="16"/>
          <w:szCs w:val="16"/>
        </w:rPr>
        <w:t>12 июля в 1943 году в районе железнодорожной станции Прохоровка (на линии Белгород - Курск, в 56 км к северу от Белгорода) происходит крупнейшее в истории человечества встречное танковое сражение, изменившее ход Второй мировой войны. С советской и германской стороны в нем одновременно принимают участие до 1 200 танков и самоходных артиллерийских установок, танковые части сторон поддерживает авиация.</w:t>
      </w:r>
    </w:p>
    <w:p w14:paraId="5F4A82FE"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день боя противник потеряет свыше 10 тысяч человек, до 400 танков и штурмовых орудий. Не достигнув намеченной цели захватить Курск с юго-востока, противник, продвинувшийся с южной стороны Курского выступа максимально до 35 км, переходит к обороне. 3 мая 1995 г. на Прохоровском поле открыт уникальный мемориальный комплекс Победы – 53-метровая звонница, купол которой венчает фигура Родины-матери – Богородицы, простирающей Божественный покров над Россией (14950).</w:t>
      </w:r>
    </w:p>
    <w:p w14:paraId="4890278F"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5D4A7842"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наступил перелом в Курской битве. На северном фасе Дуги началась Орловская наступательная операция (кодовое наименование — "Кутузов") войск Брянского (61, 3 и 63-я армии, 15-я воздушная армия, с 14 июля — 3-я гвардейская танковая армия), Центрального (48, 13 и 70-я армии, 2-я танковая армия, 19-й и 9-й танковый корпус, 16-я воздушная армия) и левого крыла Западного (11-я гвардейская, 50-я и 11-я армии, 4-я танковая армия, 1-я воздушная армия, с 18 июля — 2-й гвардейский кавалерийский корпус) фронтов, продолжавшаяся до 18 августа. В первый же день наступления немецкая оборона была прорвана на трех участках от 10 до 16 км по фронту и на глубину до 4-9 км. С этого же дня прекратилось продвижение немецкой 9-й армии против Центрального фронта Рокоссовского (14950).</w:t>
      </w:r>
    </w:p>
    <w:p w14:paraId="0CF4579E"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14D2017F" w14:textId="77777777" w:rsidR="005D0971" w:rsidRPr="00271E51" w:rsidRDefault="005D097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командующий Воронежским фронтом Ватутин решил ударить в восточном направлении силами 22-го гвардейского стрелкового корпуса и 1-й танковой армии на Яковлево (на глубину порядка 25 км), силами 5-й гвардейской танковой армии в юго-западном направлении через Яковлево на Быковку (на глубину порядка 35 км), силами 33-го гвардейского стрелкового корпуса, 32-го гвардейского стрелкового корпуса и 23-го гвардейского стрелкового корпуса в южном направлении, соответственно на Покровку (20 км), Красную Поляну (12 км) и Гремучий (10 км). Всего (согласно генштабу СА) силами пяти танковых корпусов и двенадцати стрелковых дивизий против шести танковых дивизий немцев. Теоретически план такого контрудара безупречен - танковые корпуса и стрелковые дивизии Ватутина бьют по сходящимся направлениям, кроме того, у него во втором эшелоне еще три танковых корпуса, два мехкорпуса и три стрелковых дивизии. А у немцев - лишь две пехотных дивизии на флангах, против которых стоят три стрелковых дивизии. И на направлении удара Ватутина у немцев в ближайшем тылу ничего нет. Удар 1-й танковой армии (генерал-лейтенант Катуков), 22-го (генерал-майор Ибянский) и 23-го (генерал-майор Вахрамеев) гвардейского стрелкового корпуса (6-й гвардейской армии, генерал-лейтенант Чистяков) имел некоторый успех - они продвинулись на участке фронта шириной порядка 20-25 км на глубину в 2-4 км, оттеснив 48-й танковый корпус немцев. Штаб Воронежского фронта отметил упорное сопротивление немцев на этом направлении - они неоднократно переходили в контратаки, а в районе высоты 247,0 два пехотных батальона, 11 танков и 7 самоходок немцев продолжали вести бой в окружении. По данным советского генштаба в этот день 2-й танковый корпус СС расширил прорыв тыловой полосы обороны в районе Беленихино-Сторожевого на участке шириной порядка 3 км на глубину 4 км и прорвал тыловую полосу обороны северо-восточнее Красного Октября на участке шириной 4 км на глубину 6 км, оттеснив части 5-й гвардейской танковой армии (генерал-лейтенант Ротмистров) и 5-й гвардейской армии (генерал-лейтенант Жадов). На южном участке Воронежского фронта немцы перешли в наступление силами 19-й танковой дивизии, 503-го бтт и 6-й танковой дивизии против пяти стрелковых дивизий, двух танковых бригад и двух мехбригад. Согласно данным советского генштаба, немцы продвинулись на 2-5 км, прорвав на участке шириной порядка 10 км тыловую полосу обороны. Этот прорыв немцев привел к появлению нескольких панических и нелепых распоряжений командующего Воронежским фронтом Ватутина. В них он приказывает создавать некие "команды смельчаков", которые "днем и ночью" должны были действовать в тылу немцев (14950).</w:t>
      </w:r>
    </w:p>
    <w:p w14:paraId="57902859" w14:textId="77777777" w:rsidR="005D0971" w:rsidRPr="00271E51" w:rsidRDefault="005D0971" w:rsidP="00271E51">
      <w:pPr>
        <w:spacing w:after="0" w:line="240" w:lineRule="auto"/>
        <w:jc w:val="both"/>
        <w:rPr>
          <w:rFonts w:ascii="Times New Roman" w:hAnsi="Times New Roman"/>
          <w:color w:val="000000" w:themeColor="text1"/>
          <w:sz w:val="16"/>
          <w:szCs w:val="16"/>
        </w:rPr>
      </w:pPr>
    </w:p>
    <w:p w14:paraId="5068B5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была подготовлена справка Оперативного управления штаба ВВС КА от об эффек</w:t>
      </w:r>
      <w:r w:rsidRPr="00271E51">
        <w:rPr>
          <w:rFonts w:ascii="Times New Roman" w:hAnsi="Times New Roman"/>
          <w:color w:val="000000" w:themeColor="text1"/>
          <w:sz w:val="16"/>
          <w:szCs w:val="16"/>
        </w:rPr>
        <w:softHyphen/>
        <w:t>тивности действия ПТАБ-2,5-1,5, в которой указы</w:t>
      </w:r>
      <w:r w:rsidRPr="00271E51">
        <w:rPr>
          <w:rFonts w:ascii="Times New Roman" w:hAnsi="Times New Roman"/>
          <w:color w:val="000000" w:themeColor="text1"/>
          <w:sz w:val="16"/>
          <w:szCs w:val="16"/>
        </w:rPr>
        <w:softHyphen/>
        <w:t xml:space="preserve">валось, что: </w:t>
      </w:r>
      <w:r w:rsidRPr="00271E51">
        <w:rPr>
          <w:rFonts w:ascii="Times New Roman" w:hAnsi="Times New Roman"/>
          <w:iCs/>
          <w:color w:val="000000" w:themeColor="text1"/>
          <w:sz w:val="16"/>
          <w:szCs w:val="16"/>
        </w:rPr>
        <w:t>"...на высоте 255.1-6 Ил-2 атаковали 15 танков Тигр-1, из которых 6 загорелось. 5 июля 8 Ил-2 сожгли ПТА</w:t>
      </w:r>
      <w:r w:rsidRPr="00271E51">
        <w:rPr>
          <w:rFonts w:ascii="Times New Roman" w:hAnsi="Times New Roman"/>
          <w:iCs/>
          <w:color w:val="000000" w:themeColor="text1"/>
          <w:sz w:val="16"/>
          <w:szCs w:val="16"/>
        </w:rPr>
        <w:softHyphen/>
        <w:t>Бами 16 танков противника. 10 июля на одной из высот восточнее Каширы было замечено большое скопление танков. По ним был нанесен сосредоточенный удар штурмовиков. На месте осталось 30 под</w:t>
      </w:r>
      <w:r w:rsidRPr="00271E51">
        <w:rPr>
          <w:rFonts w:ascii="Times New Roman" w:hAnsi="Times New Roman"/>
          <w:iCs/>
          <w:color w:val="000000" w:themeColor="text1"/>
          <w:sz w:val="16"/>
          <w:szCs w:val="16"/>
        </w:rPr>
        <w:softHyphen/>
        <w:t>битых и 14 горящих танков, а остальные рассыпались и в беспорядке стали от</w:t>
      </w:r>
      <w:r w:rsidRPr="00271E51">
        <w:rPr>
          <w:rFonts w:ascii="Times New Roman" w:hAnsi="Times New Roman"/>
          <w:iCs/>
          <w:color w:val="000000" w:themeColor="text1"/>
          <w:sz w:val="16"/>
          <w:szCs w:val="16"/>
        </w:rPr>
        <w:softHyphen/>
        <w:t>ходить в северном направлении. 9 июля в 6.00 был нанесен сосредоточенный удар по 9-й танковой дивизии против</w:t>
      </w:r>
      <w:r w:rsidRPr="00271E51">
        <w:rPr>
          <w:rFonts w:ascii="Times New Roman" w:hAnsi="Times New Roman"/>
          <w:iCs/>
          <w:color w:val="000000" w:themeColor="text1"/>
          <w:sz w:val="16"/>
          <w:szCs w:val="16"/>
        </w:rPr>
        <w:softHyphen/>
        <w:t>ника (в районе Соборовки), изготовив</w:t>
      </w:r>
      <w:r w:rsidRPr="00271E51">
        <w:rPr>
          <w:rFonts w:ascii="Times New Roman" w:hAnsi="Times New Roman"/>
          <w:iCs/>
          <w:color w:val="000000" w:themeColor="text1"/>
          <w:sz w:val="16"/>
          <w:szCs w:val="16"/>
        </w:rPr>
        <w:softHyphen/>
        <w:t>шейся к наступлению. В результате этого удара, нанесенного 110 бомбардировщи</w:t>
      </w:r>
      <w:r w:rsidRPr="00271E51">
        <w:rPr>
          <w:rFonts w:ascii="Times New Roman" w:hAnsi="Times New Roman"/>
          <w:iCs/>
          <w:color w:val="000000" w:themeColor="text1"/>
          <w:sz w:val="16"/>
          <w:szCs w:val="16"/>
        </w:rPr>
        <w:softHyphen/>
        <w:t>ками и 62 штурмовиками (все из 16-й ВА), было сорвано наступление дивизии... "</w:t>
      </w:r>
      <w:r w:rsidRPr="00271E51">
        <w:rPr>
          <w:rFonts w:ascii="Times New Roman" w:hAnsi="Times New Roman"/>
          <w:color w:val="000000" w:themeColor="text1"/>
          <w:sz w:val="16"/>
          <w:szCs w:val="16"/>
        </w:rPr>
        <w:t xml:space="preserve"> (6467).</w:t>
      </w:r>
    </w:p>
    <w:p w14:paraId="5C09A6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929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Оперативное управление штаба ВВС КА в своей справке по результатам контрольных вылетов «ответственных командиров» и по</w:t>
      </w:r>
      <w:r w:rsidRPr="00271E51">
        <w:rPr>
          <w:rFonts w:ascii="Times New Roman" w:hAnsi="Times New Roman"/>
          <w:color w:val="000000" w:themeColor="text1"/>
          <w:sz w:val="16"/>
          <w:szCs w:val="16"/>
        </w:rPr>
        <w:softHyphen/>
        <w:t>ездки офицеров штабов на передовую с целью установления действительной эффективности ПТАБ, заявлено, что «приведенные цифры по</w:t>
      </w:r>
      <w:r w:rsidRPr="00271E51">
        <w:rPr>
          <w:rFonts w:ascii="Times New Roman" w:hAnsi="Times New Roman"/>
          <w:color w:val="000000" w:themeColor="text1"/>
          <w:sz w:val="16"/>
          <w:szCs w:val="16"/>
        </w:rPr>
        <w:softHyphen/>
        <w:t>терь противника... являются правильными» и заслуживают до</w:t>
      </w:r>
      <w:r w:rsidRPr="00271E51">
        <w:rPr>
          <w:rFonts w:ascii="Times New Roman" w:hAnsi="Times New Roman"/>
          <w:color w:val="000000" w:themeColor="text1"/>
          <w:sz w:val="16"/>
          <w:szCs w:val="16"/>
        </w:rPr>
        <w:softHyphen/>
        <w:t>верия и указывало: «...В шифровке от 11.07.43 генерал-пол</w:t>
      </w:r>
      <w:r w:rsidRPr="00271E51">
        <w:rPr>
          <w:rFonts w:ascii="Times New Roman" w:hAnsi="Times New Roman"/>
          <w:color w:val="000000" w:themeColor="text1"/>
          <w:sz w:val="16"/>
          <w:szCs w:val="16"/>
        </w:rPr>
        <w:softHyphen/>
        <w:t>ковника тов. Ворожейкина на имя тов. СТАЛИНА сообщает</w:t>
      </w:r>
      <w:r w:rsidRPr="00271E51">
        <w:rPr>
          <w:rFonts w:ascii="Times New Roman" w:hAnsi="Times New Roman"/>
          <w:color w:val="000000" w:themeColor="text1"/>
          <w:sz w:val="16"/>
          <w:szCs w:val="16"/>
        </w:rPr>
        <w:softHyphen/>
        <w:t>ся, что, по наблюдениям наземных войск, на высоте 255.1 (Центральный фронт) 6 Ил-2 атаковали 15 танков «тигр», из которых 6 загорелось. &lt;...&gt; 10 июля на одной из высот восточ-нее Кашары (Центральный фронт) было замечено большое скопление танков. Был нанесен сосредоточенный удар штур мовиками. На месте осталось 30 подбитых и 14 танков горело, а остальные рассыпались и в беспорядке стали уходить в север</w:t>
      </w:r>
      <w:r w:rsidRPr="00271E51">
        <w:rPr>
          <w:rFonts w:ascii="Times New Roman" w:hAnsi="Times New Roman"/>
          <w:color w:val="000000" w:themeColor="text1"/>
          <w:sz w:val="16"/>
          <w:szCs w:val="16"/>
        </w:rPr>
        <w:softHyphen/>
        <w:t>ном направлении...»</w:t>
      </w:r>
    </w:p>
    <w:p w14:paraId="20F03D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при массированных ударах 10 июля 16-й ВА в районах севернее Поныри, 1-е Поныри и вые. 238.1, а также в районе Кашара, сев. Кутырки, вые. 257.0, штабы 2-й танковой и 13-й армий в своих донесениях отмети</w:t>
      </w:r>
      <w:r w:rsidRPr="00271E51">
        <w:rPr>
          <w:rFonts w:ascii="Times New Roman" w:hAnsi="Times New Roman"/>
          <w:color w:val="000000" w:themeColor="text1"/>
          <w:sz w:val="16"/>
          <w:szCs w:val="16"/>
        </w:rPr>
        <w:softHyphen/>
        <w:t>ли до 48 сожженных и подбитых немецких танков. Противник был вынужден прекратить атаки, а «остатки своих сил оттянуть к северу от Кашара...».</w:t>
      </w:r>
    </w:p>
    <w:p w14:paraId="3B6EEC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штаба 16-й ВА, в указанных районах пять тан</w:t>
      </w:r>
      <w:r w:rsidRPr="00271E51">
        <w:rPr>
          <w:rFonts w:ascii="Times New Roman" w:hAnsi="Times New Roman"/>
          <w:color w:val="000000" w:themeColor="text1"/>
          <w:sz w:val="16"/>
          <w:szCs w:val="16"/>
        </w:rPr>
        <w:softHyphen/>
        <w:t>ков было уничтожено и повреждено экипажами 3-го бак, и 39 танков — штурмовиками 2-й гшад и 299-й шад, «так как по скоплениям танков сбрасывались только ПТАБ».</w:t>
      </w:r>
    </w:p>
    <w:p w14:paraId="297E7F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Справедливости ради следует сказать, что в этих ударах штур</w:t>
      </w:r>
      <w:r w:rsidRPr="00271E51">
        <w:rPr>
          <w:rFonts w:ascii="Times New Roman" w:hAnsi="Times New Roman"/>
          <w:color w:val="000000" w:themeColor="text1"/>
          <w:sz w:val="16"/>
          <w:szCs w:val="16"/>
        </w:rPr>
        <w:softHyphen/>
        <w:t>мовики, помимо ПТАБ, широко применяли ампулы АЖ-2, кото</w:t>
      </w:r>
      <w:r w:rsidRPr="00271E51">
        <w:rPr>
          <w:rFonts w:ascii="Times New Roman" w:hAnsi="Times New Roman"/>
          <w:color w:val="000000" w:themeColor="text1"/>
          <w:sz w:val="16"/>
          <w:szCs w:val="16"/>
        </w:rPr>
        <w:softHyphen/>
        <w:t xml:space="preserve">рые показали прекрасные результаты не только при действии по танкам и автомашинам, но и по зенитным батареям противника. Впоследствии специальная комиссия, обследовав район вые. 257.0, Кашара, </w:t>
      </w:r>
      <w:r w:rsidRPr="00271E51">
        <w:rPr>
          <w:rFonts w:ascii="Times New Roman" w:hAnsi="Times New Roman"/>
          <w:color w:val="000000" w:themeColor="text1"/>
          <w:sz w:val="16"/>
          <w:szCs w:val="16"/>
        </w:rPr>
        <w:lastRenderedPageBreak/>
        <w:t>вые. 231.8, обнаружила шесть танков и 16 само</w:t>
      </w:r>
      <w:r w:rsidRPr="00271E51">
        <w:rPr>
          <w:rFonts w:ascii="Times New Roman" w:hAnsi="Times New Roman"/>
          <w:color w:val="000000" w:themeColor="text1"/>
          <w:sz w:val="16"/>
          <w:szCs w:val="16"/>
        </w:rPr>
        <w:softHyphen/>
        <w:t>ходных орудий, из которых четыре были уничтожены ПТАБ.</w:t>
      </w:r>
    </w:p>
    <w:p w14:paraId="74FCE9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Осмотр подбитой и сожженной бронетехники показал, что после попадания ПТАБ в танк в большинстве случаев его нельзя восстановить: «В результате пожара уничтожается все оборудование, броня получает отжиг и теряет свои защитные свойства, а взрыв боеприпасов довершает уничтожение танка». В 5 км северо-восточнее ст. Поныри находилась немецкая САУ «Фердинанд», уничтоженная ПТАБ. Бомба попала в бро</w:t>
      </w:r>
      <w:r w:rsidRPr="00271E51">
        <w:rPr>
          <w:rFonts w:ascii="Times New Roman" w:hAnsi="Times New Roman"/>
          <w:color w:val="000000" w:themeColor="text1"/>
          <w:sz w:val="16"/>
          <w:szCs w:val="16"/>
        </w:rPr>
        <w:softHyphen/>
        <w:t>невую крышку левого бензобака, пробила 20-мм броню, разру</w:t>
      </w:r>
      <w:r w:rsidRPr="00271E51">
        <w:rPr>
          <w:rFonts w:ascii="Times New Roman" w:hAnsi="Times New Roman"/>
          <w:color w:val="000000" w:themeColor="text1"/>
          <w:sz w:val="16"/>
          <w:szCs w:val="16"/>
        </w:rPr>
        <w:softHyphen/>
        <w:t>шила бензобак и воспламенила бензин. Самоходка сгорела.</w:t>
      </w:r>
    </w:p>
    <w:p w14:paraId="258488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два сгоревших «фердинанда» были найдены в 1,5 км восточнее Бузулука и в 1,5 км севернее ст. Поныри, а в районе вые. 257.1, восточнее ст. Поныри, обнаружено разрушенное в результате взрыва боекомплекта штурмовое орудие на базе танка Рх.ГУ. Вокруг самоходок имелось много мелких воронок от разрывов ПТАБ.</w:t>
      </w:r>
    </w:p>
    <w:p w14:paraId="688524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что авиация действовала в основном по танкам, находившимся главным образом в районах сосредоточения для атаки, в местах заправки горючим, на марше при перегруппи</w:t>
      </w:r>
      <w:r w:rsidRPr="00271E51">
        <w:rPr>
          <w:rFonts w:ascii="Times New Roman" w:hAnsi="Times New Roman"/>
          <w:color w:val="000000" w:themeColor="text1"/>
          <w:sz w:val="16"/>
          <w:szCs w:val="16"/>
        </w:rPr>
        <w:softHyphen/>
        <w:t>ровке и на подходе из глубины обороны, то эвакуация подби</w:t>
      </w:r>
      <w:r w:rsidRPr="00271E51">
        <w:rPr>
          <w:rFonts w:ascii="Times New Roman" w:hAnsi="Times New Roman"/>
          <w:color w:val="000000" w:themeColor="text1"/>
          <w:sz w:val="16"/>
          <w:szCs w:val="16"/>
        </w:rPr>
        <w:softHyphen/>
        <w:t>той бронетехники для противника не представляла большой трудности. Поэтому комиссия сделала вывод: «...фактический процент танков и самоходных орудий, уничтоженных ПТАБ, должен быть значительно больше».</w:t>
      </w:r>
    </w:p>
    <w:p w14:paraId="56DD70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Высокая эффективность ПТАБ по бронетехнике получила и совершенно неожиданное подтверждение. В полосе наступле</w:t>
      </w:r>
      <w:r w:rsidRPr="00271E51">
        <w:rPr>
          <w:rFonts w:ascii="Times New Roman" w:hAnsi="Times New Roman"/>
          <w:color w:val="000000" w:themeColor="text1"/>
          <w:sz w:val="16"/>
          <w:szCs w:val="16"/>
        </w:rPr>
        <w:softHyphen/>
        <w:t>ния 380-й сд Брянского фронта в районе д. Подмаслово наша танковая рота по ошибке попала под удар своих штурмовиков Ил-2. В результате один танк Т-34 от прямого попадания ПТАБ был полностью уничтожен: оказался разбитым «на несколько частей». Работавшая на месте удара комиссия зафиксировала «вокруг танка... семь воронок, а также... контрящие вилки от ПТАБ-2,5-1,5».</w:t>
      </w:r>
    </w:p>
    <w:p w14:paraId="082501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штурмовиками в этом же районе были подбиты и два «тигра». По всей видимости, отличились летчики из состава четверки Ил-2 от 614-го шап (ведущий капи</w:t>
      </w:r>
      <w:r w:rsidRPr="00271E51">
        <w:rPr>
          <w:rFonts w:ascii="Times New Roman" w:hAnsi="Times New Roman"/>
          <w:color w:val="000000" w:themeColor="text1"/>
          <w:sz w:val="16"/>
          <w:szCs w:val="16"/>
        </w:rPr>
        <w:softHyphen/>
        <w:t>тан Чубук), которые 15 июля штурмовали контратакующие не</w:t>
      </w:r>
      <w:r w:rsidRPr="00271E51">
        <w:rPr>
          <w:rFonts w:ascii="Times New Roman" w:hAnsi="Times New Roman"/>
          <w:color w:val="000000" w:themeColor="text1"/>
          <w:sz w:val="16"/>
          <w:szCs w:val="16"/>
        </w:rPr>
        <w:softHyphen/>
        <w:t>мецкие танки — до 25 машин, в том числе около 10 «тигров». Всего было сброшено 1190 ПТАБ. Экипажи доложили об унич</w:t>
      </w:r>
      <w:r w:rsidRPr="00271E51">
        <w:rPr>
          <w:rFonts w:ascii="Times New Roman" w:hAnsi="Times New Roman"/>
          <w:color w:val="000000" w:themeColor="text1"/>
          <w:sz w:val="16"/>
          <w:szCs w:val="16"/>
        </w:rPr>
        <w:softHyphen/>
        <w:t>тожении семи танков, из них четыре тяжелых.</w:t>
      </w:r>
    </w:p>
    <w:p w14:paraId="0EBB64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Победные реляции и превосходные отзывы из действующей армии позволили сделать вывод: «Бомбометание ПТАБ устра</w:t>
      </w:r>
      <w:r w:rsidRPr="00271E51">
        <w:rPr>
          <w:rFonts w:ascii="Times New Roman" w:hAnsi="Times New Roman"/>
          <w:color w:val="000000" w:themeColor="text1"/>
          <w:sz w:val="16"/>
          <w:szCs w:val="16"/>
        </w:rPr>
        <w:softHyphen/>
        <w:t>нило основную причину низкой эффективности действия авиа</w:t>
      </w:r>
      <w:r w:rsidRPr="00271E51">
        <w:rPr>
          <w:rFonts w:ascii="Times New Roman" w:hAnsi="Times New Roman"/>
          <w:color w:val="000000" w:themeColor="text1"/>
          <w:sz w:val="16"/>
          <w:szCs w:val="16"/>
        </w:rPr>
        <w:softHyphen/>
        <w:t>ции по танкам фугасными и осколочными бомбами — малую вероятность попадания в приведенную площадь танка...»</w:t>
      </w:r>
    </w:p>
    <w:p w14:paraId="461C05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перейти к массовому их изготовлению и самому широкому применению при нападениях на мотомехвойска противника, на его ж.д. транспорт, при ударах по переправам, по огневым позициям артиллерии и т.п. целям; все эти цели с успехом поражаются ПТАБ», — констатировал начальник Оперативного управления штаба ВВС генерал Журавлев.</w:t>
      </w:r>
    </w:p>
    <w:p w14:paraId="3C0E05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без недостатков не обошлось. Взрыватель ПТАБ оказался очень чувствительным и срабатывал при ударе о вершины и сучья деревьев и другие легкие преграды. При этом стоявшая под ними бронетехника не поражалась. Чем, собственно, и стали пользоваться немецкие танкисты в даль</w:t>
      </w:r>
      <w:r w:rsidRPr="00271E51">
        <w:rPr>
          <w:rFonts w:ascii="Times New Roman" w:hAnsi="Times New Roman"/>
          <w:color w:val="000000" w:themeColor="text1"/>
          <w:sz w:val="16"/>
          <w:szCs w:val="16"/>
        </w:rPr>
        <w:softHyphen/>
        <w:t>нейшем, располагая свои танки в густом лесу или под навеса</w:t>
      </w:r>
      <w:r w:rsidRPr="00271E51">
        <w:rPr>
          <w:rFonts w:ascii="Times New Roman" w:hAnsi="Times New Roman"/>
          <w:color w:val="000000" w:themeColor="text1"/>
          <w:sz w:val="16"/>
          <w:szCs w:val="16"/>
        </w:rPr>
        <w:softHyphen/>
        <w:t>ми. Уже с августа месяца в документах частей и соединений стали отмечаться случаи использования противником для за</w:t>
      </w:r>
      <w:r w:rsidRPr="00271E51">
        <w:rPr>
          <w:rFonts w:ascii="Times New Roman" w:hAnsi="Times New Roman"/>
          <w:color w:val="000000" w:themeColor="text1"/>
          <w:sz w:val="16"/>
          <w:szCs w:val="16"/>
        </w:rPr>
        <w:softHyphen/>
        <w:t>щиты своих танков обычной металлической сетки, натянутой поверх танка. При попадании в сетку ПТАБ подрывалась, и кумулятивная струя формировалась на большом удалении от брони, не нанося ей никакого поражения.</w:t>
      </w:r>
    </w:p>
    <w:p w14:paraId="00F710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Выявились недостатки кассет мелких бомб самолетов Ил-2 — имелись случаи зависания ПТАБ в отсеках с после</w:t>
      </w:r>
      <w:r w:rsidRPr="00271E51">
        <w:rPr>
          <w:rFonts w:ascii="Times New Roman" w:hAnsi="Times New Roman"/>
          <w:color w:val="000000" w:themeColor="text1"/>
          <w:sz w:val="16"/>
          <w:szCs w:val="16"/>
        </w:rPr>
        <w:softHyphen/>
        <w:t>дующим выпадением их при посадке и взрывом под фюзеля</w:t>
      </w:r>
      <w:r w:rsidRPr="00271E51">
        <w:rPr>
          <w:rFonts w:ascii="Times New Roman" w:hAnsi="Times New Roman"/>
          <w:color w:val="000000" w:themeColor="text1"/>
          <w:sz w:val="16"/>
          <w:szCs w:val="16"/>
        </w:rPr>
        <w:softHyphen/>
        <w:t>жем, приводившим к тяжелым последствиям. Кроме этого, при загрузке в каждую кассету 78 бомб, согласно инструкции по эксплуатации, «концы створок, смотрящие к хвосту само</w:t>
      </w:r>
      <w:r w:rsidRPr="00271E51">
        <w:rPr>
          <w:rFonts w:ascii="Times New Roman" w:hAnsi="Times New Roman"/>
          <w:color w:val="000000" w:themeColor="text1"/>
          <w:sz w:val="16"/>
          <w:szCs w:val="16"/>
        </w:rPr>
        <w:softHyphen/>
        <w:t>лета, провисают от неравномерного расположения на них гру за, &lt;...&gt; при плохом же аэродроме... отдельные авиабомбы мо</w:t>
      </w:r>
      <w:r w:rsidRPr="00271E51">
        <w:rPr>
          <w:rFonts w:ascii="Times New Roman" w:hAnsi="Times New Roman"/>
          <w:color w:val="000000" w:themeColor="text1"/>
          <w:sz w:val="16"/>
          <w:szCs w:val="16"/>
        </w:rPr>
        <w:softHyphen/>
        <w:t>гут выпасть». По этой причине в частях загружали меньшее ко</w:t>
      </w:r>
      <w:r w:rsidRPr="00271E51">
        <w:rPr>
          <w:rFonts w:ascii="Times New Roman" w:hAnsi="Times New Roman"/>
          <w:color w:val="000000" w:themeColor="text1"/>
          <w:sz w:val="16"/>
          <w:szCs w:val="16"/>
        </w:rPr>
        <w:softHyphen/>
        <w:t>личество бомб.</w:t>
      </w:r>
    </w:p>
    <w:p w14:paraId="2138D7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Принятая укладка бомб горизонтально, вперед стабилиза</w:t>
      </w:r>
      <w:r w:rsidRPr="00271E51">
        <w:rPr>
          <w:rFonts w:ascii="Times New Roman" w:hAnsi="Times New Roman"/>
          <w:color w:val="000000" w:themeColor="text1"/>
          <w:sz w:val="16"/>
          <w:szCs w:val="16"/>
        </w:rPr>
        <w:softHyphen/>
        <w:t>тором, приводила к тому, что до 20% бомб не взрывалось. От</w:t>
      </w:r>
      <w:r w:rsidRPr="00271E51">
        <w:rPr>
          <w:rFonts w:ascii="Times New Roman" w:hAnsi="Times New Roman"/>
          <w:color w:val="000000" w:themeColor="text1"/>
          <w:sz w:val="16"/>
          <w:szCs w:val="16"/>
        </w:rPr>
        <w:softHyphen/>
        <w:t>мечались случаи столкновений бомб в воздухе, преждевремен</w:t>
      </w:r>
      <w:r w:rsidRPr="00271E51">
        <w:rPr>
          <w:rFonts w:ascii="Times New Roman" w:hAnsi="Times New Roman"/>
          <w:color w:val="000000" w:themeColor="text1"/>
          <w:sz w:val="16"/>
          <w:szCs w:val="16"/>
        </w:rPr>
        <w:softHyphen/>
        <w:t>ных взрывов из-за деформаций стабилизаторов, несвертыва</w:t>
      </w:r>
      <w:r w:rsidRPr="00271E51">
        <w:rPr>
          <w:rFonts w:ascii="Times New Roman" w:hAnsi="Times New Roman"/>
          <w:color w:val="000000" w:themeColor="text1"/>
          <w:sz w:val="16"/>
          <w:szCs w:val="16"/>
        </w:rPr>
        <w:softHyphen/>
        <w:t>ния ветрянок и другие конструктивные дефекты.</w:t>
      </w:r>
    </w:p>
    <w:p w14:paraId="1CB303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все заводы стали изготовлять перегородки универсальных бомбоотсеков для укладки мелких бомб с двумя фиксирующими штырями. Однако подобное крепление перего</w:t>
      </w:r>
      <w:r w:rsidRPr="00271E51">
        <w:rPr>
          <w:rFonts w:ascii="Times New Roman" w:hAnsi="Times New Roman"/>
          <w:color w:val="000000" w:themeColor="text1"/>
          <w:sz w:val="16"/>
          <w:szCs w:val="16"/>
        </w:rPr>
        <w:softHyphen/>
        <w:t>родок оказалось неудачным. В полете при выполнении манев</w:t>
      </w:r>
      <w:r w:rsidRPr="00271E51">
        <w:rPr>
          <w:rFonts w:ascii="Times New Roman" w:hAnsi="Times New Roman"/>
          <w:color w:val="000000" w:themeColor="text1"/>
          <w:sz w:val="16"/>
          <w:szCs w:val="16"/>
        </w:rPr>
        <w:softHyphen/>
        <w:t>ров и от тряски они смещались, особенно при укладке ПТАБ. Кроме того, плохая подгонка отверстий в стенке бомболюка для крепежного штыря приводила к частой утере перегородок в воз</w:t>
      </w:r>
      <w:r w:rsidRPr="00271E51">
        <w:rPr>
          <w:rFonts w:ascii="Times New Roman" w:hAnsi="Times New Roman"/>
          <w:color w:val="000000" w:themeColor="text1"/>
          <w:sz w:val="16"/>
          <w:szCs w:val="16"/>
        </w:rPr>
        <w:softHyphen/>
        <w:t>духе.</w:t>
      </w:r>
    </w:p>
    <w:p w14:paraId="1A97A7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Имелись и недочеты тактического характера, также «сни</w:t>
      </w:r>
      <w:r w:rsidRPr="00271E51">
        <w:rPr>
          <w:rFonts w:ascii="Times New Roman" w:hAnsi="Times New Roman"/>
          <w:color w:val="000000" w:themeColor="text1"/>
          <w:sz w:val="16"/>
          <w:szCs w:val="16"/>
        </w:rPr>
        <w:softHyphen/>
        <w:t>жающие эффективность авиации при действии по танкам».</w:t>
      </w:r>
    </w:p>
    <w:p w14:paraId="46F951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Выделяемый наряд сил самолетов с ПТАБ для удара по ус</w:t>
      </w:r>
      <w:r w:rsidRPr="00271E51">
        <w:rPr>
          <w:rFonts w:ascii="Times New Roman" w:hAnsi="Times New Roman"/>
          <w:color w:val="000000" w:themeColor="text1"/>
          <w:sz w:val="16"/>
          <w:szCs w:val="16"/>
        </w:rPr>
        <w:softHyphen/>
        <w:t>тановленному разведкой скоплению танков не всегда был дос</w:t>
      </w:r>
      <w:r w:rsidRPr="00271E51">
        <w:rPr>
          <w:rFonts w:ascii="Times New Roman" w:hAnsi="Times New Roman"/>
          <w:color w:val="000000" w:themeColor="text1"/>
          <w:sz w:val="16"/>
          <w:szCs w:val="16"/>
        </w:rPr>
        <w:softHyphen/>
        <w:t>таточным для надежного поражения цели. Это приводило к необходимости нанесения повторных ударов. Но танки к это</w:t>
      </w:r>
      <w:r w:rsidRPr="00271E51">
        <w:rPr>
          <w:rFonts w:ascii="Times New Roman" w:hAnsi="Times New Roman"/>
          <w:color w:val="000000" w:themeColor="text1"/>
          <w:sz w:val="16"/>
          <w:szCs w:val="16"/>
        </w:rPr>
        <w:softHyphen/>
        <w:t>му времени успевали рассредоточиться — «отсюда большой расход средств при минимальной эффективности».</w:t>
      </w:r>
    </w:p>
    <w:p w14:paraId="65AD2A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сброса нередко оказывалась 500—600 м и выше, то</w:t>
      </w:r>
      <w:r w:rsidRPr="00271E51">
        <w:rPr>
          <w:rFonts w:ascii="Times New Roman" w:hAnsi="Times New Roman"/>
          <w:color w:val="000000" w:themeColor="text1"/>
          <w:sz w:val="16"/>
          <w:szCs w:val="16"/>
        </w:rPr>
        <w:softHyphen/>
        <w:t>гда как инструкцией по боевому применению ПТАБ рекомен</w:t>
      </w:r>
      <w:r w:rsidRPr="00271E51">
        <w:rPr>
          <w:rFonts w:ascii="Times New Roman" w:hAnsi="Times New Roman"/>
          <w:color w:val="000000" w:themeColor="text1"/>
          <w:sz w:val="16"/>
          <w:szCs w:val="16"/>
        </w:rPr>
        <w:softHyphen/>
        <w:t>довались высоты 100—300 м. В результате получалась низкая плотность разрывов.</w:t>
      </w:r>
    </w:p>
    <w:p w14:paraId="3F4409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в строевых частях укоренились следующие два варианта бомбовой загрузки штурмовиков. Когда удар нано</w:t>
      </w:r>
      <w:r w:rsidRPr="00271E51">
        <w:rPr>
          <w:rFonts w:ascii="Times New Roman" w:hAnsi="Times New Roman"/>
          <w:color w:val="000000" w:themeColor="text1"/>
          <w:sz w:val="16"/>
          <w:szCs w:val="16"/>
        </w:rPr>
        <w:softHyphen/>
        <w:t>сился по крупным танковым группам, «илы» полностью снаря</w:t>
      </w:r>
      <w:r w:rsidRPr="00271E51">
        <w:rPr>
          <w:rFonts w:ascii="Times New Roman" w:hAnsi="Times New Roman"/>
          <w:color w:val="000000" w:themeColor="text1"/>
          <w:sz w:val="16"/>
          <w:szCs w:val="16"/>
        </w:rPr>
        <w:softHyphen/>
        <w:t>жались ПТАБ, а при атаках танков, непосредственно поддер</w:t>
      </w:r>
      <w:r w:rsidRPr="00271E51">
        <w:rPr>
          <w:rFonts w:ascii="Times New Roman" w:hAnsi="Times New Roman"/>
          <w:color w:val="000000" w:themeColor="text1"/>
          <w:sz w:val="16"/>
          <w:szCs w:val="16"/>
        </w:rPr>
        <w:softHyphen/>
        <w:t>живающих пехоту на поле боя (то есть в рассредоточенных боевых порядках), боекомплект Ил-2 по весу состоял из 50% ПТАБ и 50% ФАБ-50, ОФАБ-50 или ФАБ-100.</w:t>
      </w:r>
    </w:p>
    <w:p w14:paraId="3039CC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Оправившись от шока, немецкие танкисты вскоре перешли к рассредоточенным походным и предбоевым порядкам. Есте</w:t>
      </w:r>
      <w:r w:rsidRPr="00271E51">
        <w:rPr>
          <w:rFonts w:ascii="Times New Roman" w:hAnsi="Times New Roman"/>
          <w:color w:val="000000" w:themeColor="text1"/>
          <w:sz w:val="16"/>
          <w:szCs w:val="16"/>
        </w:rPr>
        <w:softHyphen/>
        <w:t>ственно, это затруднило управление танковыми частями, уве</w:t>
      </w:r>
      <w:r w:rsidRPr="00271E51">
        <w:rPr>
          <w:rFonts w:ascii="Times New Roman" w:hAnsi="Times New Roman"/>
          <w:color w:val="000000" w:themeColor="text1"/>
          <w:sz w:val="16"/>
          <w:szCs w:val="16"/>
        </w:rPr>
        <w:softHyphen/>
        <w:t>личило сроки их развертывания, сосредоточения, усложнило взаимодействие между ними.</w:t>
      </w:r>
    </w:p>
    <w:p w14:paraId="346C02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Эффективность ударов Ил-2 с применением ПТАБ снизи</w:t>
      </w:r>
      <w:r w:rsidRPr="00271E51">
        <w:rPr>
          <w:rFonts w:ascii="Times New Roman" w:hAnsi="Times New Roman"/>
          <w:color w:val="000000" w:themeColor="text1"/>
          <w:sz w:val="16"/>
          <w:szCs w:val="16"/>
        </w:rPr>
        <w:softHyphen/>
        <w:t>лась примерно в 4—4,5 раза, оставаясь, тем не менее, в сред</w:t>
      </w:r>
      <w:r w:rsidRPr="00271E51">
        <w:rPr>
          <w:rFonts w:ascii="Times New Roman" w:hAnsi="Times New Roman"/>
          <w:color w:val="000000" w:themeColor="text1"/>
          <w:sz w:val="16"/>
          <w:szCs w:val="16"/>
        </w:rPr>
        <w:softHyphen/>
        <w:t>нем в 2—3 раза выше, чем при использовании фугасных и ос</w:t>
      </w:r>
      <w:r w:rsidRPr="00271E51">
        <w:rPr>
          <w:rFonts w:ascii="Times New Roman" w:hAnsi="Times New Roman"/>
          <w:color w:val="000000" w:themeColor="text1"/>
          <w:sz w:val="16"/>
          <w:szCs w:val="16"/>
        </w:rPr>
        <w:softHyphen/>
        <w:t>колочно-фугасных авиабомб (11474,242).</w:t>
      </w:r>
    </w:p>
    <w:p w14:paraId="2EA1E8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9A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ходе контрудара войск Воронежского фронта под Прохоровкой штурмовики в течение дня как минимум пять раз били по своим войскам. Под удар Ил-2 попали части 32 и 170-й танковых бригад, 92 и 95-й гвардейских стрелковых дивизий, 4-й гвардейской мотострелковой бригады. В этот же день ударами по своим "отметились" штурмовики 1-й ВА, обеспечивавшие наступление войск Западного фронта. Группа 13 Ил-2 от 233-й шад "произвела 2-й заход не по противнику, а по своим войскам в районе Ожигово". Штурмовики 15-й ВА, действовавшие в полосе наступления войск Брянского фронта, до конца месяца не менее восьми раз бомбили и штурмовали свои войска. Войска Центрального фронта в период с 9 июля по 9 августа подвергались ударам штурмовиков 16-й ВА в общей сложности 11 раз.</w:t>
      </w:r>
    </w:p>
    <w:p w14:paraId="345FA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многочисленные архивные документы показывают, что "в том случае, когда штурмовики действовали согласно обстановке" достигался большой эффект и войска быстро "выдвигались на новые рубежи" (12020).</w:t>
      </w:r>
    </w:p>
    <w:p w14:paraId="544DB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28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оперативное управление штаба ВВС КА в своей справке от указывало: "...В шифровке от 11.07.43 генерал-полковника тов. Ворожейкина на имя тов. СТАЛИНА сообщается, что по наблюдениям наземных войск на высоте 255.1 (Центральный фронт) 6 Ил-2 атаковали 15 танков "тигр", из которых 6 загорелось. ...10 июля на одной из высот восточнее Катары (Центральный фронт) было замечено большое скопление танков. Был нанесен сосредоточенный удар штурмовиками. На месте осталось 30 подбитых и 14 танков горело, а остальные рассыпались и в беспорядке стали уходить в северном направлении..."</w:t>
      </w:r>
    </w:p>
    <w:p w14:paraId="47850D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при массированных ударах 10 июля 16-й ВА в районах севернее Поныри, 1-е Поныри и выс. 238.1, а также в районе Кашара, сев. Кутырки, выс. 257.0, штабы 2-й танковой и 13-й армий в своих донесениях отметили до 48 сожженных и подбитых немецких танков. Противник был вынужден прекратить атаки, а "остатки своих сил оттянуть к северу от Кашара..."</w:t>
      </w:r>
    </w:p>
    <w:p w14:paraId="56589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штаба 16-й ВА в указанных районах пять танков было уничтожено и повреждено экипажами 3-го бак, и 39 танков - штурмовиками 2-й гшад и 299-й шад, "так как по скоплениям танков сбрасывались только ПТАБы".</w:t>
      </w:r>
    </w:p>
    <w:p w14:paraId="1F2C0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Справедливости ради следует сказать, что в этих ударах штурмовики, помимо ПТАБ, широко применяли ампулы АЖ-2, которые показали прекрасные результаты не только при действии по танкам и автомашинам, но и по зенитным батареям противника.</w:t>
      </w:r>
    </w:p>
    <w:p w14:paraId="7684D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Впоследствии специальная комиссия, обследовавшая район выс. 257.0, Кашара, выс. 231.8, обнаружила шесть танков и 16 самоходных орудий, из которых четыре были уничтожены ПТАБами.</w:t>
      </w:r>
    </w:p>
    <w:p w14:paraId="617C5A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Осмотр подбитой и сожженной бронетехники показал, что после попадания ПТАБ в танк в большинстве случаев его нельзя восстановить: "В результате пожара уничтожается все оборудование, броня получает отжиг и теряет свои защитные свойства, а взрыв боеприпасов довершает уничтожение танка".</w:t>
      </w:r>
    </w:p>
    <w:p w14:paraId="7AAE79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5 км северо-восточнее ст. Поныри находилась немецкая САУ "Фердинанд", уничтоженная ПТАБ. Бомба попала в броневую крышку левого бензобака, пробила 20-мм броню, разрушила бензобак и воспламенила бензин. Самоходка сгорела.</w:t>
      </w:r>
    </w:p>
    <w:p w14:paraId="12888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два сгоревших "Фердинанда" были найдены в 1,5 км восточнее Бузулук и в 1,5 км севернее ст. Поныри, а в районе выс. 257.1 восточнее ст. Поныри обнаружено разрушенное в результате взрыва боекомплекта штурмовое орудие на базе танка Pz.IV. Вокруг самоходок имелось много мелких воронок от разрывов ПТАБ.</w:t>
      </w:r>
    </w:p>
    <w:p w14:paraId="19D5E2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что авиация действовала в основном по танкам, находившимся главным образом в районах сосредоточения для атаки, в местах заправки горючим, на марше при перегруппировке и на подходе из глубины обороны, то эвакуация подбитой бронетехники для противника не представляла большой трудности. Поэтому комиссия сделала вывод: "...фактический процент танков и самоходных орудий, уничтоженных ПТАБами, должен быть значительно больше".</w:t>
      </w:r>
    </w:p>
    <w:p w14:paraId="3D70A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Высокая эффективность ПТАБ по бронетехнике получила и совершенно неожиданное подтверждение. В полосе наступления 380-й сд Брянского фронта в районе д. Под- маслово наша танковая рота по ошибке попала под удар своих штурмовиков Ил-2. В результате один танк Т-34 оказался разбитым ПТАБами "на несколько частей". Работавшая на месте удара комиссия зафиксировала "вокруг танка ...семь воронок, а также ...контрящие вилки от ПТАБ-2,5-1,5".</w:t>
      </w:r>
    </w:p>
    <w:p w14:paraId="25851B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штурмовиками в этом же районе были подбиты и два "Тигра". По всей видимости, отличились летчики из состава четверки Ил-2 от 614-го шап (ведущий капитан Чубук), которые 15 июля штурмовали контратакующие немецкие танки - до 25 машин, в том числе около 10 "Тигров". Всего было сброшено 1190 ПТАБ. Экипажи доложили об уничтожении семи танков, из них четыре тяжелых.</w:t>
      </w:r>
    </w:p>
    <w:p w14:paraId="7E7FF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Победные реляции и превосходные отзывы из действующей армии позволили сделать вывод: "Бомбометание ПТАБ устранило основную причину низкой эффективности действия авиации по танкам фугасными и осколочными бомбами - малую вероятность попадания в приведенную площадь танка..."</w:t>
      </w:r>
    </w:p>
    <w:p w14:paraId="0E1E7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перейти к массовому их изготовлению и самому широкому применению при нападениях на мотомехвойска противника, на его ж.д. транспорт, при ударах по переправам, по огневым позициям артиллерии и т.п. целям; все эти цели с успехом поражаются ПТАБами", - констатировал начальник Оперативного управления штаба ВВС генерал Журавлев.</w:t>
      </w:r>
    </w:p>
    <w:p w14:paraId="412F4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без недостатков не обошлось. Взрыватель ПТАБ оказался очень чувствительным и срабатывал при ударе о вершины и сучья деревьев и другие легкие преграды. При этом стоявшая под ними бронетехника не поражалась. Чем собственно и стали пользоваться немецкие танкисты в дальнейшем, располагая свои танки в густом лесу или под навесами. Уже с августа месяца в документах частей и соединений стали отмечаться случаи использования противником для защиты своих танков обычной металлической сетки, натянутой поверх танка. При попадании в сетку ПТАБ подрывалась, и кумулятивная струя формировалась на большом удалении от брони, не нанося ей никакого поражения.</w:t>
      </w:r>
    </w:p>
    <w:p w14:paraId="4DCA8A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Выявились недостатки кассет мелких бомб самолетов Ил-2 - имелись случаи зависания ПТАБ в отсеках с последующим выпадением их при посадке и взрывом под фюзеляжем, приводившим к тяжелым последствиям. Кроме этого, при загрузке в каждую кассету 78 бомб, согласно инструкции по эксплуатации, "концы створок, смотрящие к хвосту самолета, провисают от неравномерного расположения на них груза, ...при плохом же аэродроме ...отдельные авиабомбы могут выпасть".</w:t>
      </w:r>
    </w:p>
    <w:p w14:paraId="6E36D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Имелись и недочеты тактического характера, также "снижающие эффективность авиации при действии по танкам" (12020).</w:t>
      </w:r>
    </w:p>
    <w:p w14:paraId="48BAD9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7C665"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lang w:val="en-US"/>
        </w:rPr>
      </w:pPr>
      <w:r w:rsidRPr="00271E51">
        <w:rPr>
          <w:rFonts w:ascii="Times New Roman" w:cs="Times New Roman"/>
          <w:color w:val="000000" w:themeColor="text1"/>
          <w:spacing w:val="0"/>
        </w:rPr>
        <w:t>12 июля 1943 Оперативное управление штаба ВВС КА в своей справке указывало: «В шифровке от 11.07.43 генерал-полковника тов. Ворожейкина на имя тов. СТАЛИНА сообщается, что по наблюдениям назем</w:t>
      </w:r>
      <w:r w:rsidRPr="00271E51">
        <w:rPr>
          <w:rFonts w:ascii="Times New Roman" w:cs="Times New Roman"/>
          <w:color w:val="000000" w:themeColor="text1"/>
          <w:spacing w:val="0"/>
        </w:rPr>
        <w:softHyphen/>
        <w:t>ных войск на высоте 255.1 (Центральный фронт) 6 Ил-2 атаковали 15 танков «тигр», из которых 6 загорелись. 10 июля на одной из высот восточнее Кашары (Центральный фронт) было замечено большое скопление танков. Был нанесен сосредоточенный удар штурмовиками. На месте осталось 30 под</w:t>
      </w:r>
      <w:r w:rsidRPr="00271E51">
        <w:rPr>
          <w:rFonts w:ascii="Times New Roman" w:cs="Times New Roman"/>
          <w:color w:val="000000" w:themeColor="text1"/>
          <w:spacing w:val="0"/>
        </w:rPr>
        <w:softHyphen/>
        <w:t>битых и 14 танков горело, а остальные рас</w:t>
      </w:r>
      <w:r w:rsidRPr="00271E51">
        <w:rPr>
          <w:rFonts w:ascii="Times New Roman" w:cs="Times New Roman"/>
          <w:color w:val="000000" w:themeColor="text1"/>
          <w:spacing w:val="0"/>
        </w:rPr>
        <w:softHyphen/>
        <w:t xml:space="preserve">сыпались и в беспорядке стали уходить в северном направлении...» </w:t>
      </w:r>
      <w:r w:rsidRPr="00271E51">
        <w:rPr>
          <w:rFonts w:ascii="Times New Roman" w:cs="Times New Roman"/>
          <w:color w:val="000000" w:themeColor="text1"/>
          <w:spacing w:val="0"/>
          <w:lang w:val="en-US"/>
        </w:rPr>
        <w:t>(12739).</w:t>
      </w:r>
    </w:p>
    <w:p w14:paraId="3392F459"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lang w:val="en-US"/>
        </w:rPr>
      </w:pPr>
    </w:p>
    <w:p w14:paraId="27B4C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July 12th, 1943: In the East, while the battle of Kursk is still raging, the Soviet Central (Rokossovsky), Bryansk (Popov) and West Fronts (Sokolovsky) begin a massive counter- offensive in the area of Orel, Bryansk and Kursk. At Krasnograd near Moscow, a group of captured German officers, including Field Marshal Paulus and General von Seydlitz, and exiled German communists form the 'National Committee for a Free Germany' that calls for the overthrow of Hitler and the cessation of hostilities against the Soviet Union. </w:t>
      </w:r>
      <w:r w:rsidRPr="00271E51">
        <w:rPr>
          <w:rFonts w:ascii="Times New Roman" w:hAnsi="Times New Roman"/>
          <w:color w:val="000000" w:themeColor="text1"/>
          <w:sz w:val="16"/>
          <w:szCs w:val="16"/>
        </w:rPr>
        <w:t>In Sicily, the Allies capture Augusta and Ragusa (3819).</w:t>
      </w:r>
    </w:p>
    <w:p w14:paraId="5CD549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B1A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ЦФ (Рокосовский), БФ (Попов) и ЗФ (Соколовский) начали наступление в районе Орла и Курска. В Красногорске был образован Национальный комитет Свободная Германия. На Сицилии союзники заняли Аугусту и Рагусту (3819).</w:t>
      </w:r>
    </w:p>
    <w:p w14:paraId="10F0B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F3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за час до контрудара немцев на Прохоровку (в 7:30 - 8:30) началась авиаподготовка. Участвовал 1 бак (п И.С.Полбин), 1 шак (г В.Г.Рязанов), 291 шад - нанесли удар по скоплению т и артиллерии на исходных позициях. В 8:30 началось наступление 5ГА и 5ГТА. С обеих сторон было 1200 т. Поддерживали ш и б 2ВА. Противник потерял 350 т и 10000 солдат и офицеров (340,147).</w:t>
      </w:r>
    </w:p>
    <w:p w14:paraId="48068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FB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июля по 18 августа 1943 состоялась Орловская операция - часть Курской битвы (2438,475).</w:t>
      </w:r>
    </w:p>
    <w:p w14:paraId="52C2F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немцев к началу наступления было: 900 тыс. с, 10 тыс. орудий и п, 1800 т, 2100 самолетов против 2226 тыс. с, 33 тыс. орудий и пулеметов, 4800 т и САУ, 4300 с (340,148).</w:t>
      </w:r>
    </w:p>
    <w:p w14:paraId="1D3BB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Задачи, поставленные ВВС: удержание г в воздухе и прикрытие собственных группировок войск; содействие сухопутным войскам в прорыве обороны; противодействие н в занятии обороны на промежуточных рубежах; срыв маневра резервами; нарушение управления войсками. Предусматривалось авианаступление в полном объеме. АДД привлекалась для нанесения ударов по ж/д узлам и объектам в тылу. И ПВО - прикрытие войск и объектов в тылу фронтов (340,148).</w:t>
      </w:r>
    </w:p>
    <w:p w14:paraId="17F04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15 и 16 ВА проводили авиаподготовку накануне атаки продолжительностью 10-30 мин (518,135).</w:t>
      </w:r>
    </w:p>
    <w:p w14:paraId="77D2D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Ставили дымовую завесу с самолетов (518,143).</w:t>
      </w:r>
    </w:p>
    <w:p w14:paraId="6F666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469C71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поддержку и прикрытие 3ГТА при вводе в сражение и допрорыве обороны было выделено 120 ш, 112 б и 200 и 15ВА, 63% ее состава (518,156).</w:t>
      </w:r>
    </w:p>
    <w:p w14:paraId="7AB2D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 вводом в прорыв 3 и 4ГТА активно действовала авиация по аэродромам (518,158).</w:t>
      </w:r>
    </w:p>
    <w:p w14:paraId="3B3EA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 б Пе-2 и часть сил Ил-2 15ВА осуществляли авиаподготовку прорыва 3 ГТА (518,161).</w:t>
      </w:r>
    </w:p>
    <w:p w14:paraId="6DB0E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 самолета 16ВА в связи с вводом в прорыв 2ТА нанесли удар по важнейшим объектам противника и после массированного удара небольшие группы ш непрерывно сопровождали танки, уничтожая противотанковые средства и войска (518,161).</w:t>
      </w:r>
    </w:p>
    <w:p w14:paraId="36282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Военный совет 3ГТА писал командующему 15ВА: "Танкисты благодарят за отличные действия ш и б, которые помогли нам прорвать оборону противника. Особенно мы довольны и, надежно прикрывающими наши боевые порядки." (518,162).</w:t>
      </w:r>
    </w:p>
    <w:p w14:paraId="3D6732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Военный совет 2ТА писал в 16ВА: "В период тяжелых наступательных боев при вводе в сражение и овладении городом Севском мы получили большую помощь советских соколов. Ш подавляли противотанковые орудия, уничтожали контратакующие войска и способствовали нашему продвижению вперед." (518,162).</w:t>
      </w:r>
    </w:p>
    <w:p w14:paraId="3AF88A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6BF364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20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12-13 июля 1943 при нанесении контрудара Воронежского фронта под Прохоровкой боевые задачи выполняли 2ВА, часть сил 17ВА ЮЗФ и соединения АДД (518,230).</w:t>
      </w:r>
    </w:p>
    <w:p w14:paraId="2D458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Авиаподготовка проводилась силами 1 бак и 1 шак, 299 шад и 208 нбад 2 ВА и части сил АДД, которые вместе выполнили 516 вылетов (518,232).</w:t>
      </w:r>
    </w:p>
    <w:p w14:paraId="60597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д и н бомбардировщики 2ВА и нб 17ВА и часть сил АДД выполнили 397 вылетов (518,235).</w:t>
      </w:r>
    </w:p>
    <w:p w14:paraId="62671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EF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12-13 июля 1943 истребители провели 94 групповых воздушных боя и сбили 78 вражеских машин (518,233).</w:t>
      </w:r>
    </w:p>
    <w:p w14:paraId="52D7EE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битвы под Курском для наведения и и ш стали создавать отдельные радиосети, которые работали на разных волнах. В качестве радионаводчиков использовали опытных авиаторов, которые подавали команды в микрофон открытым текстом (518,283).</w:t>
      </w:r>
    </w:p>
    <w:p w14:paraId="40DB9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32C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первый день советского контрнаступ</w:t>
      </w:r>
      <w:r w:rsidRPr="00271E51">
        <w:rPr>
          <w:rFonts w:ascii="Times New Roman" w:hAnsi="Times New Roman"/>
          <w:color w:val="000000" w:themeColor="text1"/>
          <w:sz w:val="16"/>
          <w:szCs w:val="16"/>
        </w:rPr>
        <w:softHyphen/>
        <w:t>ления, 303-я иад и “Нормандия” присту</w:t>
      </w:r>
      <w:r w:rsidRPr="00271E51">
        <w:rPr>
          <w:rFonts w:ascii="Times New Roman" w:hAnsi="Times New Roman"/>
          <w:color w:val="000000" w:themeColor="text1"/>
          <w:sz w:val="16"/>
          <w:szCs w:val="16"/>
        </w:rPr>
        <w:softHyphen/>
        <w:t>пили к активным действиям. Запрет на перелет линии фрон</w:t>
      </w:r>
      <w:r w:rsidRPr="00271E51">
        <w:rPr>
          <w:rFonts w:ascii="Times New Roman" w:hAnsi="Times New Roman"/>
          <w:color w:val="000000" w:themeColor="text1"/>
          <w:sz w:val="16"/>
          <w:szCs w:val="16"/>
        </w:rPr>
        <w:softHyphen/>
        <w:t>та был снят. Ожесточенность воздуш</w:t>
      </w:r>
      <w:r w:rsidRPr="00271E51">
        <w:rPr>
          <w:rFonts w:ascii="Times New Roman" w:hAnsi="Times New Roman"/>
          <w:color w:val="000000" w:themeColor="text1"/>
          <w:sz w:val="16"/>
          <w:szCs w:val="16"/>
        </w:rPr>
        <w:softHyphen/>
        <w:t>ных боев нарастала, увеличились и по</w:t>
      </w:r>
      <w:r w:rsidRPr="00271E51">
        <w:rPr>
          <w:rFonts w:ascii="Times New Roman" w:hAnsi="Times New Roman"/>
          <w:color w:val="000000" w:themeColor="text1"/>
          <w:sz w:val="16"/>
          <w:szCs w:val="16"/>
        </w:rPr>
        <w:softHyphen/>
        <w:t>тери (3956).</w:t>
      </w:r>
    </w:p>
    <w:p w14:paraId="45E7EB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73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штурмовики действовали над Прохоровкой (340,147).</w:t>
      </w:r>
    </w:p>
    <w:p w14:paraId="79847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1C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Нач. штаба 3А г М.В.Ивашечкин писал "Действия ш над полем боя дали возможность войскам быстро продвинуться вперед им овладеть опорными пунктами и узлами обороны." (518,141).</w:t>
      </w:r>
    </w:p>
    <w:p w14:paraId="3D3B93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Рано утром 12 июля 1943 из-за нанесения немцами удара в полосе 69-й армии возникла угроза левому флангу разворачивавшихся юго-западнее Прохоровки главных сил 5 гв.ТА. Это 6-я и 19-я танковые дивизии (около 200 танков) из 3-го немецкого танкового корпуса перешли в наступление из района Мелехове на Ржавец (3862).</w:t>
      </w:r>
    </w:p>
    <w:p w14:paraId="318EF3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в полосу 69-й армии были выдвинуты две бригады 5-го гв.мк, одна танковая бригада 2-го гв.тк и резерв 5-й гв.ТА (танковый, мотоциклетный, истребительно-противотанковый и гаубичный полки). Эти силы, объединенные в группу под командованием генерал-майора К.Г.Труфанова (около 100 машин, в том числе 71 Т-34), не только приостановили продвижение врага на север, но и почти полностью отбросили его в исходное положение (3862).</w:t>
      </w:r>
    </w:p>
    <w:p w14:paraId="542E9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806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 июля в 8.30 главные силы немецких войск в составе моторизованных дивизий СС "Лейбштандарт Адольф Гитлер", "Рейх" и "Мертвая голова", насчитывавших до </w:t>
      </w:r>
      <w:r w:rsidRPr="00271E51">
        <w:rPr>
          <w:rFonts w:ascii="Times New Roman" w:hAnsi="Times New Roman"/>
          <w:color w:val="000000" w:themeColor="text1"/>
          <w:sz w:val="16"/>
          <w:szCs w:val="16"/>
        </w:rPr>
        <w:lastRenderedPageBreak/>
        <w:t>500 танков и штурмовых орудий, включая 42 "Тигра", перешли в наступление в направлении станции Прохоровка. В то же самое время, после 15-минутной артподготовки немецкая группировка была атакована основными силами 5-й гвардейской танковой армии, что привело к развертыванию встречного танкового сражения, в котором с обеих сторон приняло участие около 1200 танков, причем средних и тяжелых машин у противника было больше. Это сражение, вопреки сложившемуся стереотипу не проходило на каком-то отдельно взятом поле, типа Бородинского, а осуществлялось на фронте протяженностью до 35 км и представляло собой ряд отдельных танковых боев (3862).</w:t>
      </w:r>
    </w:p>
    <w:p w14:paraId="553560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внезапность, танки были встречены метким огнем противотанковой артиллерии и штурмовых орудий. 18-й тк на большой скорости прорвался в совхоз "Октябрьский" и, несмотря на большие потери, захватил его. При дальнейшем продвижении он встретил танковую группировку противника, в которой было 15 тяжелых танков "Тигр", в течение нескольких часов вел с ними встречный бой и к 18.00 перешел к обороне (3862).</w:t>
      </w:r>
    </w:p>
    <w:p w14:paraId="7BCE98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29-й тк в течение всего дня вел маневренный бой за высоту 252,5 с танками дивизии СС "Лейбштандарт Адольф Гитлер", но после 16.00 был потеснен подошедшими танками дивизии СС "Мертвая голова", а с наступлением темноты также перешел к обороне (3862).</w:t>
      </w:r>
    </w:p>
    <w:p w14:paraId="3FC5B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гв.тк, наступавший в направлении пос. Калинин, в 14.30 внезапно столкнулся с двигавшейся навстречу моторизованной дивизией СС "Рейх", которая отбросила его в исходное положение. 2тк, прикрывавший стык между 2 гв.тк и 29 тк, смог несколько потеснить немецкие части, но, попав под огонь подтянутых из второго эшелона штурмовых и противотанковых орудий, понес потери и остановился (3862).</w:t>
      </w:r>
    </w:p>
    <w:p w14:paraId="1E092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5 гв.ТА, действовавшая в полосе 17-19 км, смогла добиться плотности атакующих боевых порядков до 45 танков на 1 км, выполнить поставленную задачу она не смогла. Потери армии без учета группы генерала Труфанова составили 328 танков и САУ, а вместе с приданными соединениями достигли 60% первоначальной численности (3862).</w:t>
      </w:r>
    </w:p>
    <w:p w14:paraId="60D0E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же войска только 12 июля потеряли, согласно донесению командования Воронежским фронтом, около 320 танков. Германская статистика уменьшает это число до 218, и даже до 190, боевых машин. Но так или иначе, а к вечеру 12 июля немцы оставили поле боя под Прохоровкой, а 16 июля начали отступление. На сем операция "Цитадель" фактически провалилась (3862).</w:t>
      </w:r>
    </w:p>
    <w:p w14:paraId="49B08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Есть мнение, что под Прохоровкой было 211 немецких танков против 850 советских и потери были 70 (в т.ч. 11 Тигров) и 700 наших. И.В.С., узнав о потерях приказал Ротмистрову прекратить наступление и закопать танки в землю (4215).</w:t>
      </w:r>
    </w:p>
    <w:p w14:paraId="154D31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42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была битва под Прохоровкой - 1200 танков - 5 ТА Ротмистрова. В этот же день началось наше контрнаступление (2070,92).</w:t>
      </w:r>
    </w:p>
    <w:p w14:paraId="15362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FE4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наступление же в направлении Прохоровки началось на разных участках в период 14.00-14.10, когда II батальон тан</w:t>
      </w:r>
      <w:r w:rsidRPr="00271E51">
        <w:rPr>
          <w:rFonts w:ascii="Times New Roman" w:hAnsi="Times New Roman"/>
          <w:color w:val="000000" w:themeColor="text1"/>
          <w:sz w:val="16"/>
          <w:szCs w:val="16"/>
        </w:rPr>
        <w:softHyphen/>
        <w:t>кового полка СС «Лейбштандарт Адольф Гитлер» совместно с III батальоном под командованием И. Пайпера внезапным ударом овладели высотой 252,2, господствую</w:t>
      </w:r>
      <w:r w:rsidRPr="00271E51">
        <w:rPr>
          <w:rFonts w:ascii="Times New Roman" w:hAnsi="Times New Roman"/>
          <w:color w:val="000000" w:themeColor="text1"/>
          <w:sz w:val="16"/>
          <w:szCs w:val="16"/>
        </w:rPr>
        <w:softHyphen/>
        <w:t>щей над дорогой Тетеревино-Прохоровка. Через 10 минут рота «Тигров» дивизии «Мертвая голова» начали форсировать реку Псел, пытаясь расширить плацдарм меж</w:t>
      </w:r>
      <w:r w:rsidRPr="00271E51">
        <w:rPr>
          <w:rFonts w:ascii="Times New Roman" w:hAnsi="Times New Roman"/>
          <w:color w:val="000000" w:themeColor="text1"/>
          <w:sz w:val="16"/>
          <w:szCs w:val="16"/>
        </w:rPr>
        <w:softHyphen/>
        <w:t>ду поселками Красный Октябрь и Михайловка.</w:t>
      </w:r>
    </w:p>
    <w:p w14:paraId="14807A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Прохоровки в направлении пос. Ясная Поляна успешно повела наступление дивизия СС «Дас Райх». Из-за внезапного неорганизованного отхода не</w:t>
      </w:r>
      <w:r w:rsidRPr="00271E51">
        <w:rPr>
          <w:rFonts w:ascii="Times New Roman" w:hAnsi="Times New Roman"/>
          <w:color w:val="000000" w:themeColor="text1"/>
          <w:sz w:val="16"/>
          <w:szCs w:val="16"/>
        </w:rPr>
        <w:softHyphen/>
        <w:t>которых пехотных частей 5-й гвардейской армии и 2-го тан</w:t>
      </w:r>
      <w:r w:rsidRPr="00271E51">
        <w:rPr>
          <w:rFonts w:ascii="Times New Roman" w:hAnsi="Times New Roman"/>
          <w:color w:val="000000" w:themeColor="text1"/>
          <w:sz w:val="16"/>
          <w:szCs w:val="16"/>
        </w:rPr>
        <w:softHyphen/>
        <w:t>кового корпуса была сорвана артиллерийская подготовка со</w:t>
      </w:r>
      <w:r w:rsidRPr="00271E51">
        <w:rPr>
          <w:rFonts w:ascii="Times New Roman" w:hAnsi="Times New Roman"/>
          <w:color w:val="000000" w:themeColor="text1"/>
          <w:sz w:val="16"/>
          <w:szCs w:val="16"/>
        </w:rPr>
        <w:softHyphen/>
        <w:t>ветского контрнаступления, начавшаяся 10 июля. Многие батареи остались без пехотного прикрытия и понесли потери на позициях развертывания. Фронт оказался в тяжелом положении. Лишь быстрый ввод в сражение 42-й стрелковой дивизии и перевод всей артиллерии на прямую наводку по</w:t>
      </w:r>
      <w:r w:rsidRPr="00271E51">
        <w:rPr>
          <w:rFonts w:ascii="Times New Roman" w:hAnsi="Times New Roman"/>
          <w:color w:val="000000" w:themeColor="text1"/>
          <w:sz w:val="16"/>
          <w:szCs w:val="16"/>
        </w:rPr>
        <w:softHyphen/>
        <w:t>зволил остановить продвижение немецких танков.</w:t>
      </w:r>
    </w:p>
    <w:p w14:paraId="1FFB3F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командующий танкового корпуса СС Пауль Хауссер поставил своим трем дивизиям следую</w:t>
      </w:r>
      <w:r w:rsidRPr="00271E51">
        <w:rPr>
          <w:rFonts w:ascii="Times New Roman" w:hAnsi="Times New Roman"/>
          <w:color w:val="000000" w:themeColor="text1"/>
          <w:sz w:val="16"/>
          <w:szCs w:val="16"/>
        </w:rPr>
        <w:softHyphen/>
        <w:t>щие задачи:</w:t>
      </w:r>
    </w:p>
    <w:p w14:paraId="04BC70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ЛШАГ — обойти пос. Сторожевое с севера и выйти на рубеж Петровка — ст. Прохоровка, одновременно укрепив свои позиции на высоте 252,2.</w:t>
      </w:r>
    </w:p>
    <w:p w14:paraId="4C355B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Дас Райх — отбросить противостоящие советские вой</w:t>
      </w:r>
      <w:r w:rsidRPr="00271E51">
        <w:rPr>
          <w:rFonts w:ascii="Times New Roman" w:hAnsi="Times New Roman"/>
          <w:color w:val="000000" w:themeColor="text1"/>
          <w:sz w:val="16"/>
          <w:szCs w:val="16"/>
        </w:rPr>
        <w:softHyphen/>
        <w:t>ска на рубеж восточнее Ивановки.</w:t>
      </w:r>
    </w:p>
    <w:p w14:paraId="3610D9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Мертвая голова — вести наступление по дороге Прохоровка-Карташевка.</w:t>
      </w:r>
    </w:p>
    <w:p w14:paraId="3F6511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представляло собой наступление в направлении ст. Прохоровка с трех направлений, при этом Дас Райх должна была преодолеть последний рубеж советской обо</w:t>
      </w:r>
      <w:r w:rsidRPr="00271E51">
        <w:rPr>
          <w:rFonts w:ascii="Times New Roman" w:hAnsi="Times New Roman"/>
          <w:color w:val="000000" w:themeColor="text1"/>
          <w:sz w:val="16"/>
          <w:szCs w:val="16"/>
        </w:rPr>
        <w:softHyphen/>
        <w:t>роны и подготовить «ворота» для ввода в прорыв резервов группы армий «Юг».</w:t>
      </w:r>
    </w:p>
    <w:p w14:paraId="236167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 же время командование Воронежского фронта, считая немецкое наступление сорванным, а кризис преодо</w:t>
      </w:r>
      <w:r w:rsidRPr="00271E51">
        <w:rPr>
          <w:rFonts w:ascii="Times New Roman" w:hAnsi="Times New Roman"/>
          <w:color w:val="000000" w:themeColor="text1"/>
          <w:sz w:val="16"/>
          <w:szCs w:val="16"/>
        </w:rPr>
        <w:softHyphen/>
        <w:t>ленным, собиралось само начать запланированное контрна</w:t>
      </w:r>
      <w:r w:rsidRPr="00271E51">
        <w:rPr>
          <w:rFonts w:ascii="Times New Roman" w:hAnsi="Times New Roman"/>
          <w:color w:val="000000" w:themeColor="text1"/>
          <w:sz w:val="16"/>
          <w:szCs w:val="16"/>
        </w:rPr>
        <w:softHyphen/>
        <w:t>ступление на Лучки, Яковлеве. К этому моменту 5-я гв. тан</w:t>
      </w:r>
      <w:r w:rsidRPr="00271E51">
        <w:rPr>
          <w:rFonts w:ascii="Times New Roman" w:hAnsi="Times New Roman"/>
          <w:color w:val="000000" w:themeColor="text1"/>
          <w:sz w:val="16"/>
          <w:szCs w:val="16"/>
        </w:rPr>
        <w:softHyphen/>
        <w:t>ковая армия начала сосредоточение двух танковых корпу</w:t>
      </w:r>
      <w:r w:rsidRPr="00271E51">
        <w:rPr>
          <w:rFonts w:ascii="Times New Roman" w:hAnsi="Times New Roman"/>
          <w:color w:val="000000" w:themeColor="text1"/>
          <w:sz w:val="16"/>
          <w:szCs w:val="16"/>
        </w:rPr>
        <w:softHyphen/>
        <w:t>сов, имевших в своем составе около 580 танков. П. Ротмист</w:t>
      </w:r>
      <w:r w:rsidRPr="00271E51">
        <w:rPr>
          <w:rFonts w:ascii="Times New Roman" w:hAnsi="Times New Roman"/>
          <w:color w:val="000000" w:themeColor="text1"/>
          <w:sz w:val="16"/>
          <w:szCs w:val="16"/>
        </w:rPr>
        <w:softHyphen/>
        <w:t>ров выбрал рубеж развертывания первого эшелона армии за</w:t>
      </w:r>
      <w:r w:rsidRPr="00271E51">
        <w:rPr>
          <w:rFonts w:ascii="Times New Roman" w:hAnsi="Times New Roman"/>
          <w:color w:val="000000" w:themeColor="text1"/>
          <w:sz w:val="16"/>
          <w:szCs w:val="16"/>
        </w:rPr>
        <w:softHyphen/>
        <w:t>паднее и юго-западнее ст. Прохоровка на фронте 15 км. Под</w:t>
      </w:r>
      <w:r w:rsidRPr="00271E51">
        <w:rPr>
          <w:rFonts w:ascii="Times New Roman" w:hAnsi="Times New Roman"/>
          <w:color w:val="000000" w:themeColor="text1"/>
          <w:sz w:val="16"/>
          <w:szCs w:val="16"/>
        </w:rPr>
        <w:softHyphen/>
        <w:t>готовились для удара также части 2-го гв. тк и 2-го тк.</w:t>
      </w:r>
    </w:p>
    <w:p w14:paraId="6AD57D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Сразу после рассвета 12 июля начался легкий дождь, немного задержавший начало немецкого наступления, но не помешавший советскому 18-му танковому корпусу ге</w:t>
      </w:r>
      <w:r w:rsidRPr="00271E51">
        <w:rPr>
          <w:rFonts w:ascii="Times New Roman" w:hAnsi="Times New Roman"/>
          <w:color w:val="000000" w:themeColor="text1"/>
          <w:sz w:val="16"/>
          <w:szCs w:val="16"/>
        </w:rPr>
        <w:softHyphen/>
        <w:t>нерала Бахарова силами одной танковой бригады начать атаку II батальона ЛШАГ на окраинах совхоза «Октябрьс</w:t>
      </w:r>
      <w:r w:rsidRPr="00271E51">
        <w:rPr>
          <w:rFonts w:ascii="Times New Roman" w:hAnsi="Times New Roman"/>
          <w:color w:val="000000" w:themeColor="text1"/>
          <w:sz w:val="16"/>
          <w:szCs w:val="16"/>
        </w:rPr>
        <w:softHyphen/>
        <w:t>кий». В 7.45 до 40 советских танков начали атаку пос. Ми</w:t>
      </w:r>
      <w:r w:rsidRPr="00271E51">
        <w:rPr>
          <w:rFonts w:ascii="Times New Roman" w:hAnsi="Times New Roman"/>
          <w:color w:val="000000" w:themeColor="text1"/>
          <w:sz w:val="16"/>
          <w:szCs w:val="16"/>
        </w:rPr>
        <w:softHyphen/>
        <w:t>хайловка, но были отбиты дивизионом штурмовых орудий с большими потерями.</w:t>
      </w:r>
    </w:p>
    <w:p w14:paraId="1B4AC7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8.30 главные силы немецких войск в составе танковых дивизий «Лейбштандарт Адольф Гитлер», «Дас Райх» и «Мер</w:t>
      </w:r>
      <w:r w:rsidRPr="00271E51">
        <w:rPr>
          <w:rFonts w:ascii="Times New Roman" w:hAnsi="Times New Roman"/>
          <w:color w:val="000000" w:themeColor="text1"/>
          <w:sz w:val="16"/>
          <w:szCs w:val="16"/>
        </w:rPr>
        <w:softHyphen/>
        <w:t>твая голова», насчитывающие по полному штату в своем со</w:t>
      </w:r>
      <w:r w:rsidRPr="00271E51">
        <w:rPr>
          <w:rFonts w:ascii="Times New Roman" w:hAnsi="Times New Roman"/>
          <w:color w:val="000000" w:themeColor="text1"/>
          <w:sz w:val="16"/>
          <w:szCs w:val="16"/>
        </w:rPr>
        <w:softHyphen/>
        <w:t>ставе до 500 танков и САУ (в том числе 42 танка «Тигр»), пе*-решли в наступление в направлении ст. Прохоровка в полосе шоссейной и железной дорог. Эту группировку поддержива</w:t>
      </w:r>
      <w:r w:rsidRPr="00271E51">
        <w:rPr>
          <w:rFonts w:ascii="Times New Roman" w:hAnsi="Times New Roman"/>
          <w:color w:val="000000" w:themeColor="text1"/>
          <w:sz w:val="16"/>
          <w:szCs w:val="16"/>
        </w:rPr>
        <w:softHyphen/>
        <w:t>ли все имеющиеся в наличии воздушные силы.</w:t>
      </w:r>
    </w:p>
    <w:p w14:paraId="1ED089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в первом ударе этого наступления было задействова</w:t>
      </w:r>
      <w:r w:rsidRPr="00271E51">
        <w:rPr>
          <w:rFonts w:ascii="Times New Roman" w:hAnsi="Times New Roman"/>
          <w:color w:val="000000" w:themeColor="text1"/>
          <w:sz w:val="16"/>
          <w:szCs w:val="16"/>
        </w:rPr>
        <w:softHyphen/>
        <w:t>но лишь до половины имевшихся в распоряжении П. Хауссера сил — по одному батальону дивизий ЛШАГ и Дас Райх, две роты «Тигров» и одна рота Т-34, общим количеством до 230 танков, 70 штурмовых орудий и 39 САУ «Мардер».</w:t>
      </w:r>
    </w:p>
    <w:p w14:paraId="41420B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9.00 после 15-минутной артподготовки немецкая группировка была атакована основными силами 5-й гв. танковой армии.</w:t>
      </w:r>
    </w:p>
    <w:p w14:paraId="1DC9C6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18-й танковый корпус генерала Бахарова на большой скорости прорвался в совхоз «Октябрьский» и, несмотря на большие потери, захватил его. Однако у пос. «Андреевка» и «Васильевка» он встретил танковую группировку противни</w:t>
      </w:r>
      <w:r w:rsidRPr="00271E51">
        <w:rPr>
          <w:rFonts w:ascii="Times New Roman" w:hAnsi="Times New Roman"/>
          <w:color w:val="000000" w:themeColor="text1"/>
          <w:sz w:val="16"/>
          <w:szCs w:val="16"/>
        </w:rPr>
        <w:softHyphen/>
        <w:t>ка, до 15 танков «Тигр» и дивизион штурмовых орудий. Два взвода «Тигров» (X. Вендорфа и М. Виттмана) открыли огонь по советским танкам с места с дистанции 1000-1200 м. Штур</w:t>
      </w:r>
      <w:r w:rsidRPr="00271E51">
        <w:rPr>
          <w:rFonts w:ascii="Times New Roman" w:hAnsi="Times New Roman"/>
          <w:color w:val="000000" w:themeColor="text1"/>
          <w:sz w:val="16"/>
          <w:szCs w:val="16"/>
        </w:rPr>
        <w:softHyphen/>
        <w:t>мовые орудия, маневрируя, вели огонь с коротких остановок. Потеряв около 40 танков, части 18-го тк смогли овладеть «Васильевкой», но развить наступление дальше были не в состо</w:t>
      </w:r>
      <w:r w:rsidRPr="00271E51">
        <w:rPr>
          <w:rFonts w:ascii="Times New Roman" w:hAnsi="Times New Roman"/>
          <w:color w:val="000000" w:themeColor="text1"/>
          <w:sz w:val="16"/>
          <w:szCs w:val="16"/>
        </w:rPr>
        <w:softHyphen/>
        <w:t>янии и в 18 часов перешли к ббороне. От их огня немцы по</w:t>
      </w:r>
      <w:r w:rsidRPr="00271E51">
        <w:rPr>
          <w:rFonts w:ascii="Times New Roman" w:hAnsi="Times New Roman"/>
          <w:color w:val="000000" w:themeColor="text1"/>
          <w:sz w:val="16"/>
          <w:szCs w:val="16"/>
        </w:rPr>
        <w:softHyphen/>
        <w:t>теряли сгоревшими один «Тигр» и семь штурмовых орудий, а также подбитыми и поврежденными три «Тигра», шесть средних танков и около 10 самоходных орудий.</w:t>
      </w:r>
    </w:p>
    <w:p w14:paraId="60BDD4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в 11.30 29-й танковый корпус начал бой за высоту 252,5, где его встретили танки дивизии СС «Лейб-штандарт Адольф Гитлер». В течение всего дня корпус вел маневренный бой, но после 16 часов был потеснен подо</w:t>
      </w:r>
      <w:r w:rsidRPr="00271E51">
        <w:rPr>
          <w:rFonts w:ascii="Times New Roman" w:hAnsi="Times New Roman"/>
          <w:color w:val="000000" w:themeColor="text1"/>
          <w:sz w:val="16"/>
          <w:szCs w:val="16"/>
        </w:rPr>
        <w:softHyphen/>
        <w:t>шедшими танками дивизии СС «Мертвая голова», и с на</w:t>
      </w:r>
      <w:r w:rsidRPr="00271E51">
        <w:rPr>
          <w:rFonts w:ascii="Times New Roman" w:hAnsi="Times New Roman"/>
          <w:color w:val="000000" w:themeColor="text1"/>
          <w:sz w:val="16"/>
          <w:szCs w:val="16"/>
        </w:rPr>
        <w:softHyphen/>
        <w:t>ступлением темноты перешел к обороне.</w:t>
      </w:r>
    </w:p>
    <w:p w14:paraId="6D8E1E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гвардейский танковый корпус, наступавший в на</w:t>
      </w:r>
      <w:r w:rsidRPr="00271E51">
        <w:rPr>
          <w:rFonts w:ascii="Times New Roman" w:hAnsi="Times New Roman"/>
          <w:color w:val="000000" w:themeColor="text1"/>
          <w:sz w:val="16"/>
          <w:szCs w:val="16"/>
        </w:rPr>
        <w:softHyphen/>
        <w:t>правлении Калинина, в 14.30 внезапно для командования столкнулся с наступающей танковой дивизией СС «Дас Райх». В связи с тем что 29-й танковый корпус завяз в боях за высоту 252,5, немцы нанесли 2-му гв. танковому корпу</w:t>
      </w:r>
      <w:r w:rsidRPr="00271E51">
        <w:rPr>
          <w:rFonts w:ascii="Times New Roman" w:hAnsi="Times New Roman"/>
          <w:color w:val="000000" w:themeColor="text1"/>
          <w:sz w:val="16"/>
          <w:szCs w:val="16"/>
        </w:rPr>
        <w:softHyphen/>
        <w:t>су удар в обнаженный фланг и принудили его к отходу в ис</w:t>
      </w:r>
      <w:r w:rsidRPr="00271E51">
        <w:rPr>
          <w:rFonts w:ascii="Times New Roman" w:hAnsi="Times New Roman"/>
          <w:color w:val="000000" w:themeColor="text1"/>
          <w:sz w:val="16"/>
          <w:szCs w:val="16"/>
        </w:rPr>
        <w:softHyphen/>
        <w:t>ходное положение. В ходе этих боев 2-й гвардейский тк по</w:t>
      </w:r>
      <w:r w:rsidRPr="00271E51">
        <w:rPr>
          <w:rFonts w:ascii="Times New Roman" w:hAnsi="Times New Roman"/>
          <w:color w:val="000000" w:themeColor="text1"/>
          <w:sz w:val="16"/>
          <w:szCs w:val="16"/>
        </w:rPr>
        <w:softHyphen/>
        <w:t>терял 24 из 41 введенного в бой танка подбитыми и повреж</w:t>
      </w:r>
      <w:r w:rsidRPr="00271E51">
        <w:rPr>
          <w:rFonts w:ascii="Times New Roman" w:hAnsi="Times New Roman"/>
          <w:color w:val="000000" w:themeColor="text1"/>
          <w:sz w:val="16"/>
          <w:szCs w:val="16"/>
        </w:rPr>
        <w:softHyphen/>
        <w:t>денными. Из них сгорело 12 машин.</w:t>
      </w:r>
    </w:p>
    <w:p w14:paraId="004517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танковый корпус, обеспечивавший стык между 2-м гв. танковым корпусом и 29-м танковым корпусом, смог лишь потеснить немецкие части, находившиеся перед ним, но попал под огонь подтянутых из второй линии штурмовых и противотанковых орудий, понес потери и остановился.</w:t>
      </w:r>
    </w:p>
    <w:p w14:paraId="75980D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полудню 12 июля немецкому командованию стало ясно, что фронтальное наступление на Прохоровку не уда</w:t>
      </w:r>
      <w:r w:rsidRPr="00271E51">
        <w:rPr>
          <w:rFonts w:ascii="Times New Roman" w:hAnsi="Times New Roman"/>
          <w:color w:val="000000" w:themeColor="text1"/>
          <w:sz w:val="16"/>
          <w:szCs w:val="16"/>
        </w:rPr>
        <w:softHyphen/>
        <w:t>лось. Тогда они решили, форсировав Псел, выйти частью сил севернее Прохоровки в тылы 5-й гвардейской танковой армии, для чего были выделены 11-я танковая дивизия и оставшиеся подразделения танковой дивизии СС «Тотен-копф» (96 танков и САУ, полк мотопехоты, до 200 мотоцик</w:t>
      </w:r>
      <w:r w:rsidRPr="00271E51">
        <w:rPr>
          <w:rFonts w:ascii="Times New Roman" w:hAnsi="Times New Roman"/>
          <w:color w:val="000000" w:themeColor="text1"/>
          <w:sz w:val="16"/>
          <w:szCs w:val="16"/>
        </w:rPr>
        <w:softHyphen/>
        <w:t>листов). Группировка прорвала боевые порядки 52-й гв. стрелковой дивизии и к 13 часам овладела высотой 226,6.</w:t>
      </w:r>
    </w:p>
    <w:p w14:paraId="653FE3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на северных скатах высоты немцы наткнулись на упорное сопротивление 95-й гв. стрелковой дивизии полков</w:t>
      </w:r>
      <w:r w:rsidRPr="00271E51">
        <w:rPr>
          <w:rFonts w:ascii="Times New Roman" w:hAnsi="Times New Roman"/>
          <w:color w:val="000000" w:themeColor="text1"/>
          <w:sz w:val="16"/>
          <w:szCs w:val="16"/>
        </w:rPr>
        <w:softHyphen/>
        <w:t>ника Ляхова. Дивизия была спешно усилена артиллерийским противотанковым резервом в составе одного ИПТАП и двух отдельных дивизионов трофейных орудий (один дивизион был оснащен 88-мм зенитными пушками). До 18 часов диви</w:t>
      </w:r>
      <w:r w:rsidRPr="00271E51">
        <w:rPr>
          <w:rFonts w:ascii="Times New Roman" w:hAnsi="Times New Roman"/>
          <w:color w:val="000000" w:themeColor="text1"/>
          <w:sz w:val="16"/>
          <w:szCs w:val="16"/>
        </w:rPr>
        <w:softHyphen/>
        <w:t>зия успешно оборонялась от наступавших танков. Но в 20.00, после мощного авиационного налета, ввиду отсутствия бое</w:t>
      </w:r>
      <w:r w:rsidRPr="00271E51">
        <w:rPr>
          <w:rFonts w:ascii="Times New Roman" w:hAnsi="Times New Roman"/>
          <w:color w:val="000000" w:themeColor="text1"/>
          <w:sz w:val="16"/>
          <w:szCs w:val="16"/>
        </w:rPr>
        <w:softHyphen/>
        <w:t>припасов и больших потерь личного состава, дивизия под ударами подошедших немецких мотострелковых частей ото</w:t>
      </w:r>
      <w:r w:rsidRPr="00271E51">
        <w:rPr>
          <w:rFonts w:ascii="Times New Roman" w:hAnsi="Times New Roman"/>
          <w:color w:val="000000" w:themeColor="text1"/>
          <w:sz w:val="16"/>
          <w:szCs w:val="16"/>
        </w:rPr>
        <w:softHyphen/>
        <w:t>шла за селение Полежаев. Здесь уже были развернуты артил</w:t>
      </w:r>
      <w:r w:rsidRPr="00271E51">
        <w:rPr>
          <w:rFonts w:ascii="Times New Roman" w:hAnsi="Times New Roman"/>
          <w:color w:val="000000" w:themeColor="text1"/>
          <w:sz w:val="16"/>
          <w:szCs w:val="16"/>
        </w:rPr>
        <w:softHyphen/>
        <w:t>лерийские резервы и немецкое наступление остановилось.</w:t>
      </w:r>
    </w:p>
    <w:p w14:paraId="5F00E8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5-й гвардейской армии также не удалось выполнить по</w:t>
      </w:r>
      <w:r w:rsidRPr="00271E51">
        <w:rPr>
          <w:rFonts w:ascii="Times New Roman" w:hAnsi="Times New Roman"/>
          <w:color w:val="000000" w:themeColor="text1"/>
          <w:sz w:val="16"/>
          <w:szCs w:val="16"/>
        </w:rPr>
        <w:softHyphen/>
        <w:t>ставленные задачи. Столкнувшись с массированным огнем немецкой артиллерии и танков, пехотные подразделения продвинулись вперед на расстояние 1-3 км, после чего пе</w:t>
      </w:r>
      <w:r w:rsidRPr="00271E51">
        <w:rPr>
          <w:rFonts w:ascii="Times New Roman" w:hAnsi="Times New Roman"/>
          <w:color w:val="000000" w:themeColor="text1"/>
          <w:sz w:val="16"/>
          <w:szCs w:val="16"/>
        </w:rPr>
        <w:softHyphen/>
        <w:t>решли к обороне.</w:t>
      </w:r>
    </w:p>
    <w:p w14:paraId="40E09DE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т.н. «танковое сражение под Прохоров-кой» отнюдь не происходило на каком-то отдельном поле, как это было принято считать. Операция осуществлялась на фронте большой протяженности и представляла собой це</w:t>
      </w:r>
      <w:r w:rsidRPr="00271E51">
        <w:rPr>
          <w:rFonts w:ascii="Times New Roman" w:hAnsi="Times New Roman"/>
          <w:color w:val="000000" w:themeColor="text1"/>
          <w:sz w:val="16"/>
          <w:szCs w:val="16"/>
        </w:rPr>
        <w:softHyphen/>
        <w:t>лый ряд отдельных сражений с применением танков обеими сторонами. Всего здесь участвовало, по оценкам командова</w:t>
      </w:r>
      <w:r w:rsidRPr="00271E51">
        <w:rPr>
          <w:rFonts w:ascii="Times New Roman" w:hAnsi="Times New Roman"/>
          <w:color w:val="000000" w:themeColor="text1"/>
          <w:sz w:val="16"/>
          <w:szCs w:val="16"/>
        </w:rPr>
        <w:softHyphen/>
        <w:t>ния Воронежского фронта, 1500 танков и САУ с обеих сто</w:t>
      </w:r>
      <w:r w:rsidRPr="00271E51">
        <w:rPr>
          <w:rFonts w:ascii="Times New Roman" w:hAnsi="Times New Roman"/>
          <w:color w:val="000000" w:themeColor="text1"/>
          <w:sz w:val="16"/>
          <w:szCs w:val="16"/>
        </w:rPr>
        <w:softHyphen/>
        <w:t>рон. Причем 5-я гв. танковая армия, действовавшая в поло</w:t>
      </w:r>
      <w:r w:rsidRPr="00271E51">
        <w:rPr>
          <w:rFonts w:ascii="Times New Roman" w:hAnsi="Times New Roman"/>
          <w:color w:val="000000" w:themeColor="text1"/>
          <w:sz w:val="16"/>
          <w:szCs w:val="16"/>
        </w:rPr>
        <w:softHyphen/>
        <w:t>се протяженностью 17—19 км, вместе с приданными частями к началу боев насчитывала от 680 до 720 танков и САУ, а на</w:t>
      </w:r>
      <w:r w:rsidRPr="00271E51">
        <w:rPr>
          <w:rFonts w:ascii="Times New Roman" w:hAnsi="Times New Roman"/>
          <w:color w:val="000000" w:themeColor="text1"/>
          <w:sz w:val="16"/>
          <w:szCs w:val="16"/>
        </w:rPr>
        <w:softHyphen/>
        <w:t>ступавшая немецкая группировка — до 540 танков и САУ.</w:t>
      </w:r>
    </w:p>
    <w:p w14:paraId="04172C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Главные события здесь происходили 12 июля, на кото</w:t>
      </w:r>
      <w:r w:rsidRPr="00271E51">
        <w:rPr>
          <w:rFonts w:ascii="Times New Roman" w:hAnsi="Times New Roman"/>
          <w:color w:val="000000" w:themeColor="text1"/>
          <w:sz w:val="16"/>
          <w:szCs w:val="16"/>
        </w:rPr>
        <w:softHyphen/>
        <w:t xml:space="preserve">рое приходится и максимум потерь матчасти и личного состава обеими сторонами. В боях 12 июля немцы </w:t>
      </w:r>
      <w:r w:rsidRPr="00271E51">
        <w:rPr>
          <w:rFonts w:ascii="Times New Roman" w:hAnsi="Times New Roman"/>
          <w:color w:val="000000" w:themeColor="text1"/>
          <w:sz w:val="16"/>
          <w:szCs w:val="16"/>
        </w:rPr>
        <w:lastRenderedPageBreak/>
        <w:t>потеря</w:t>
      </w:r>
      <w:r w:rsidRPr="00271E51">
        <w:rPr>
          <w:rFonts w:ascii="Times New Roman" w:hAnsi="Times New Roman"/>
          <w:color w:val="000000" w:themeColor="text1"/>
          <w:sz w:val="16"/>
          <w:szCs w:val="16"/>
        </w:rPr>
        <w:softHyphen/>
        <w:t>ли западнее и юго-западнее Прохоровки, согласно доне</w:t>
      </w:r>
      <w:r w:rsidRPr="00271E51">
        <w:rPr>
          <w:rFonts w:ascii="Times New Roman" w:hAnsi="Times New Roman"/>
          <w:color w:val="000000" w:themeColor="text1"/>
          <w:sz w:val="16"/>
          <w:szCs w:val="16"/>
        </w:rPr>
        <w:softHyphen/>
        <w:t>сения командования Юго-Западного фронта, около 320 танков и штурмовых орудий (по другим данным - от 180 до 218) подбитыми, брошенными и уничтоженными, группа «Кемпф» — 80 танков, а 5-я гв. танковая армия (без учета потерь группы ген. Труфанова) — 328 танков и САУ. По непонятными причинам в отчете фронта отсутствует точная информация о потерях действующих здесь же 2-го гв. тк и 2-го тк, которые оцениваются в 55—70 машин под</w:t>
      </w:r>
      <w:r w:rsidRPr="00271E51">
        <w:rPr>
          <w:rFonts w:ascii="Times New Roman" w:hAnsi="Times New Roman"/>
          <w:color w:val="000000" w:themeColor="text1"/>
          <w:sz w:val="16"/>
          <w:szCs w:val="16"/>
        </w:rPr>
        <w:softHyphen/>
        <w:t>битыми и уничтоженными. Несмотря на большую кон</w:t>
      </w:r>
      <w:r w:rsidRPr="00271E51">
        <w:rPr>
          <w:rFonts w:ascii="Times New Roman" w:hAnsi="Times New Roman"/>
          <w:color w:val="000000" w:themeColor="text1"/>
          <w:sz w:val="16"/>
          <w:szCs w:val="16"/>
        </w:rPr>
        <w:softHyphen/>
        <w:t>центрацию танков с обеих сторон, основные потери были нанесены им отнюдь не вражескими танками, а противо</w:t>
      </w:r>
      <w:r w:rsidRPr="00271E51">
        <w:rPr>
          <w:rFonts w:ascii="Times New Roman" w:hAnsi="Times New Roman"/>
          <w:color w:val="000000" w:themeColor="text1"/>
          <w:sz w:val="16"/>
          <w:szCs w:val="16"/>
        </w:rPr>
        <w:softHyphen/>
        <w:t>танковой и штурмовой артиллерией противника.</w:t>
      </w:r>
    </w:p>
    <w:p w14:paraId="081E3B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наконец, описывая Прохоровское сражение, боль</w:t>
      </w:r>
      <w:r w:rsidRPr="00271E51">
        <w:rPr>
          <w:rFonts w:ascii="Times New Roman" w:hAnsi="Times New Roman"/>
          <w:color w:val="000000" w:themeColor="text1"/>
          <w:sz w:val="16"/>
          <w:szCs w:val="16"/>
        </w:rPr>
        <w:softHyphen/>
        <w:t>шинство авторов почему-то забывают, что 12-13 июля не</w:t>
      </w:r>
      <w:r w:rsidRPr="00271E51">
        <w:rPr>
          <w:rFonts w:ascii="Times New Roman" w:hAnsi="Times New Roman"/>
          <w:color w:val="000000" w:themeColor="text1"/>
          <w:sz w:val="16"/>
          <w:szCs w:val="16"/>
        </w:rPr>
        <w:softHyphen/>
        <w:t>мецкие войска продавили оборонительную полосу Юго-Западного фронта, а 14 июля части 5 гв. танковой армии, 2 гв. тк и 2 тк отошли под давлением немецких войск с тре</w:t>
      </w:r>
      <w:r w:rsidRPr="00271E51">
        <w:rPr>
          <w:rFonts w:ascii="Times New Roman" w:hAnsi="Times New Roman"/>
          <w:color w:val="000000" w:themeColor="text1"/>
          <w:sz w:val="16"/>
          <w:szCs w:val="16"/>
        </w:rPr>
        <w:softHyphen/>
        <w:t>угольника Ивановка-Ржавец-Дружный. В этом треуголь</w:t>
      </w:r>
      <w:r w:rsidRPr="00271E51">
        <w:rPr>
          <w:rFonts w:ascii="Times New Roman" w:hAnsi="Times New Roman"/>
          <w:color w:val="000000" w:themeColor="text1"/>
          <w:sz w:val="16"/>
          <w:szCs w:val="16"/>
        </w:rPr>
        <w:softHyphen/>
        <w:t>нике в ночь на 15 августа оказались в частичном окружении некоторые советские подразделения, но еще до рассвета им удалось прорвать непрочные кольца и выйти в расположе</w:t>
      </w:r>
      <w:r w:rsidRPr="00271E51">
        <w:rPr>
          <w:rFonts w:ascii="Times New Roman" w:hAnsi="Times New Roman"/>
          <w:color w:val="000000" w:themeColor="text1"/>
          <w:sz w:val="16"/>
          <w:szCs w:val="16"/>
        </w:rPr>
        <w:softHyphen/>
        <w:t>ние своих войск. А 16 июля немецкие войска самостоятель-* но оставили территории, занятые в ходе боев 5—15 июля и отошли к линии Белгород-Томаровка (11135).</w:t>
      </w:r>
    </w:p>
    <w:p w14:paraId="0AD294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8AA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на орловском направлении перешли в наступление войска Брянского фронта. 18 июля в бой была введена свежая танковая группировка - 3 гв.ТА (475 Т-34, 224 Т-70) (3862).</w:t>
      </w:r>
    </w:p>
    <w:p w14:paraId="204D1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3B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г. была создана так называемая группа "Меч". В ее составе не было выдающихся асов - просто лучшие летчики 18-го гиап. Необычным в ней было лишь то, что "Яки" группы, с окрашенными до кабины в красный цвет носами, применялись только по вызову для поддержки сил, ведущих воздушный бой. Появление в разгар боя красноносых машин деморализовало, вызывало неуверенность в своих силах, сковывало немецких пилотов, считавших, что на подмогу пришли мастера высокого класса. Расчет и делался на секундное замешательство противника, которое наши летчики умело использовали, выходя победителями в схватках (12048).</w:t>
      </w:r>
    </w:p>
    <w:p w14:paraId="39889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B8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у Невеля был пленен Fw 190F-4 - черная шестерка, N 142362 и в январе 1944 он испытывался в НИИ ВВС (2466,77).</w:t>
      </w:r>
    </w:p>
    <w:p w14:paraId="3F746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64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майоры Н.А.Ищенко и Каминский применяли ФАБ-5000 на Курской Дуге по деревне Прогресс и высоте 254.9 м (1103,118).</w:t>
      </w:r>
    </w:p>
    <w:p w14:paraId="1BCC8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это было в ночь перед началом нашего наступления и летали Каминский и Шатров. Бросали на поселок Прогресс и на высоту 254.9 м - первое тактическое применение (1564,10).</w:t>
      </w:r>
    </w:p>
    <w:p w14:paraId="10510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A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наступлении ЗФ и БФ на Орловском направлении помимо 3ВА фронтовой авиации действовали дб 1, 2 и 3 гак (г Д.П.Юханов, Е.Ф.Логинов, Н.А.Волков), 5 и 7 ак (г И.В.Георгиев и В.Е.Нестерцев) и 45 ад (п В.И.Лебедев) (340,148).</w:t>
      </w:r>
    </w:p>
    <w:p w14:paraId="71D63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E7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полосе наступление 11ГА ЗФ за 15 мин. до начала атаки 70 б Пе-2 и 48 ш Ил-2 1ВА нанесли на участке прорыва сосредоточенный удар по артиллерии и опорным пунктам противника. Здесь же в течение ночи действовала АДД т 213 нбад 1ВА. В результате в сочетании с артподготовкой ослабили оборону (340,149).</w:t>
      </w:r>
    </w:p>
    <w:p w14:paraId="09339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DF5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полосе наступление 61А БФ ночью провели подготовку силами АДД и 313 нбад 15ВА. В результате в сочетании с артподготовкой ослабили оборону (340,149). По другим данным 89 б 113 ад сбросили 3500 бомб и нб 15 ВА и АДД непрерывно подавляли огневые средства и совершили 600 вылетов, сбросив 500 т б. Когда войска пошли в атаку ш группами по 6-8 следуя волнами уничтожали минометы и огневые точки (438,877).</w:t>
      </w:r>
    </w:p>
    <w:p w14:paraId="5BB07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3F8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наша а совершила 2174 вылета и в 72 боях сбила 86, потеряв 59 (340,149).</w:t>
      </w:r>
    </w:p>
    <w:p w14:paraId="5688D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66CBD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лагере немецких военнопленных в Красногорске (СССР) создан “Национальный комитет освобождения Германии” (4962).</w:t>
      </w:r>
    </w:p>
    <w:p w14:paraId="34A7665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0E63B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в районе Прохоровки в ходе Курской битвы состоялось крупнейшее танковое сражение второй мировой войны (с обеих сторон в битве участвовало до 1200 танков) (4962).</w:t>
      </w:r>
    </w:p>
    <w:p w14:paraId="64140ED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8B14A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года в контрударе на Прохоровском направлении, которое многие историки считают кульминацией боев на южном фасе Курской дуги, в составе 5-й гвардейской танковой армии и приданных ей частей (18, 29, 2, 2-й гвардейский танковые, 5-й гвардейский механизированный корпуса, 53-й гвардейский танковый полк) участвовало 653 танка и САУ (из них около 60% Т-34), которым противостояло около 490 боевых машин противника. Потери за день боя составили с нашей стороны 365 танков и САУ, из которых 230 - тридцатьчетверки (141 сгорела, 103 подбито).</w:t>
      </w:r>
    </w:p>
    <w:p w14:paraId="22A3C80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Непосредственно на Прохоровс- ком поле, между железной дорогой и рекой Псел, наступали 18 и 29-й танковые корпуса 5-й гвардейской танковой армии. При этом в атаке участвовал 361 танк и САУ. Наибольшие потери в этом бою понес 29-й танковый корпус.</w:t>
      </w:r>
    </w:p>
    <w:p w14:paraId="003E409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в атаке 12 июля 1943 года участвовало 212 его боевых машин, из них: Т-34 - 122, Т-70 - 70, СУ-122 - 11, СУ-76 - 9. Потери за один день боя были весьма значительны и составили 149 единиц (Т-34 - 95, Т-70 - 35, СУ-122 - 10, СУ-76 - 9), при этом безвозвратно - 111 (почти 75%!). Львиная доля потерь пришлась именно на Т-34 (из 95 потерянных танков 75 безвозвратно), что вполне понятно - тридцатьчетверки составляли около 2/3 участвовавших в атаке машин (58%).</w:t>
      </w:r>
    </w:p>
    <w:p w14:paraId="6F3FA3B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период боев с 12 по 24 июля 1943 года 29-й танковый корпус потерял 253 танка (из них 153 Т-34), а безвозвратно 168 (Т-34 - 99). Таким образом видно, что потери только за один день боев — 12 июля — составили почти 60% 13-дневных боевых действий корпуса. Это было связано прежде всего с тем, что в ходе боя 12 июля корпус атаковал панцергре- надерскую дивизию СС «Лейбштан- дарт Адольф Гитлер», которая вечером 11 июля успела занять оборону на бывшем советском оборонительном рубеже. В результате, немцы имели возможность расстреливать идущие в атаку наши танки, а огонь их длинноствольных танковых и противотанковых 75-мм пушек был эффективен на дистанциях 1000-1100 м (не говоря уже о 88-мм орудиях «тигров»).</w:t>
      </w:r>
    </w:p>
    <w:p w14:paraId="777951D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Большие потери, понесенные 5-й гвардейской танковой армией на Прохоровском направлении, вызвали недовольство советского высшего командования. Это и понятно - армию предполагалось использовать в ходе контрнаступления, а тут такие потери. Естественно, что при этом больше всего досталось командующему 5-й гвардейской генералу П.Ротмистрову, хотя он то был виноват меньше других - ведь его объединение выполняло приказ командования фронтом, а тот, в свою очередь, согласовывал свои действия со Ставкой ВГК.</w:t>
      </w:r>
    </w:p>
    <w:p w14:paraId="0444A42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свое оправдание Ротмистров написал в сентябре 1943 года довольно резкий по тону доклад, в котором обвинил в больших потерях своей армии представителей промышленности и конструкторов танков. Доклад был направлен на имя И. Сталина, который, ознакомившись с ним, передал его в ГБТУ КА (12217).</w:t>
      </w:r>
    </w:p>
    <w:p w14:paraId="585A554B"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C86F20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FFF6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81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1943 г. государственный секретарь США Хэлл сообщил поверенному в делах СССР в США А. А. Громыко, что в районе Алеутских островов американская подводная лодка “Пермит” потопила советский траулер, по ошибке приняв его за вражеский. При этом два члена команды траулера были убиты, а остальные подобраны американцами. Хэлл от своего имени и от имени морского департамента США выразил глубокое сожаление по поводу случившегося (7430).</w:t>
      </w:r>
    </w:p>
    <w:p w14:paraId="4D9DE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318DC6"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Советское правительство заявило правительству Китая протест по поводу начала военных действий против Пограничного (Особого) района Шэньси – Ганьсу – Нинься (14950).</w:t>
      </w:r>
    </w:p>
    <w:p w14:paraId="3118B4F4"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1BE2CE2F"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в Красногорске (под Москвой) создан Национальный комитет «Свободная Германия», который стал политическим и организационным центром немецкого антифашистского Сопротивления (14950).</w:t>
      </w:r>
    </w:p>
    <w:p w14:paraId="670C96DF"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6904D2E2"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в лагере немецких военнопленных в Красногорске (под Москвой) по инициативе ЦК Компартии Германии создан руководящий орган движения немецких патриотов-антифашистов - Национальный комитет "Свободная Германия"; президент - поэт-коммунист Э.Вайнерт, члены - В.Пик, В.Ульбрихт, А.Аккерман, В.Флорин и др (14950).</w:t>
      </w:r>
    </w:p>
    <w:p w14:paraId="791B1B30"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1FEF00A4" w14:textId="77777777" w:rsidR="00770FF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EF86554" w14:textId="77777777" w:rsidR="00770FFF" w:rsidRPr="00271E51" w:rsidRDefault="00770FF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40184"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12 июля в 1943 году запущен в производство модифицированный «Эвенджер», получилший обозначение </w:t>
      </w:r>
      <w:hyperlink r:id="rId19" w:tgtFrame="_blank" w:history="1">
        <w:r w:rsidRPr="00271E51">
          <w:rPr>
            <w:rFonts w:ascii="Times New Roman" w:hAnsi="Times New Roman"/>
            <w:color w:val="000000" w:themeColor="text1"/>
            <w:sz w:val="16"/>
            <w:szCs w:val="16"/>
          </w:rPr>
          <w:t xml:space="preserve">«TBF-1С» </w:t>
        </w:r>
      </w:hyperlink>
      <w:r w:rsidRPr="00271E51">
        <w:rPr>
          <w:rFonts w:ascii="Times New Roman" w:hAnsi="Times New Roman"/>
          <w:color w:val="000000" w:themeColor="text1"/>
          <w:sz w:val="16"/>
          <w:szCs w:val="16"/>
        </w:rPr>
        <w:t>(обозначение «TBF-1B» было зарезервировано флотом США для Эвенджеров, проставляемых по «Ленд-Лизу» в Великобританию). Когда Восточный авиационный филиал «Дженерал Моторс» начал устанавливать модифицированное крыло с новым вооружением на своих ТВМ-1 собираемых на поточной линии в Трентоне, этот самолет получил обозначение «ТВМ-1С». «TBF/TBM-1С» поступили в боевые эскадрильи в 1943 году и обеспечили экипажи Эвенджеров огневой мощью, необходимой для подавления вражеской зенитной артиллерии (14950).</w:t>
      </w:r>
    </w:p>
    <w:p w14:paraId="53CAC8B1"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5F447C24"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июля 1943 Германия и Италия наращивают воздушное сопротивление союзным войскам на Сицилии с баз на Сардинии и материковой Италии (20376).</w:t>
      </w:r>
    </w:p>
    <w:p w14:paraId="615B6238" w14:textId="77777777" w:rsidR="007B4EF1" w:rsidRPr="00271E51" w:rsidRDefault="007B4EF1" w:rsidP="00271E51">
      <w:pPr>
        <w:spacing w:after="0" w:line="240" w:lineRule="auto"/>
        <w:jc w:val="both"/>
        <w:rPr>
          <w:rFonts w:ascii="Times New Roman" w:hAnsi="Times New Roman"/>
          <w:color w:val="0070C0"/>
          <w:sz w:val="16"/>
          <w:szCs w:val="16"/>
        </w:rPr>
      </w:pPr>
    </w:p>
    <w:p w14:paraId="09D3E2D4" w14:textId="77777777" w:rsidR="007B4EF1" w:rsidRPr="00271E51" w:rsidRDefault="007B4EF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12–13 июля (ночь) 1943 атака ВВС Северо-Западной Африки союзников разрушает штаб 6-й итальянской армии в Энне , Сицилия (20376).</w:t>
      </w:r>
    </w:p>
    <w:p w14:paraId="20B18262" w14:textId="77777777" w:rsidR="007B4EF1" w:rsidRPr="00271E51" w:rsidRDefault="007B4EF1" w:rsidP="00271E51">
      <w:pPr>
        <w:spacing w:after="0" w:line="240" w:lineRule="auto"/>
        <w:jc w:val="both"/>
        <w:rPr>
          <w:rFonts w:ascii="Times New Roman" w:hAnsi="Times New Roman"/>
          <w:color w:val="0070C0"/>
          <w:sz w:val="16"/>
          <w:szCs w:val="16"/>
        </w:rPr>
      </w:pPr>
    </w:p>
    <w:p w14:paraId="258220CB"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американский воздушный десант в районе Джелы на Сицилии (14950).</w:t>
      </w:r>
    </w:p>
    <w:p w14:paraId="0C30D435"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48499B2B" w14:textId="77777777" w:rsidR="00770FFF" w:rsidRPr="00271E51" w:rsidRDefault="00770F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июля в 1943 году (12–13 июля) ночной бой у острова Коломбангара (Соломоновы острова) между американскими и японскими крейсерами и эсминцами; потоплены 1 японский крейсер и 1 американский миноносец, торпедированы 3 американских крейсера (14950).</w:t>
      </w:r>
    </w:p>
    <w:p w14:paraId="4AD29703" w14:textId="77777777" w:rsidR="00770FFF" w:rsidRPr="00271E51" w:rsidRDefault="00770FFF" w:rsidP="00271E51">
      <w:pPr>
        <w:spacing w:after="0" w:line="240" w:lineRule="auto"/>
        <w:jc w:val="both"/>
        <w:rPr>
          <w:rFonts w:ascii="Times New Roman" w:hAnsi="Times New Roman"/>
          <w:color w:val="000000" w:themeColor="text1"/>
          <w:sz w:val="16"/>
          <w:szCs w:val="16"/>
        </w:rPr>
      </w:pPr>
    </w:p>
    <w:p w14:paraId="0BF8387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C9BE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820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модернизированный самолет Ил-2И с мотором АМ-38Ф в варианте "истребителя бомбардировщиков" (самолет N 7581 производства завода 1, сделанный июле 1943 прибыл на испытания в НИИ ВВС. С 31 июля по 9 августа испытания не проводились из-за отсутствия техдокументации по самолету. Испытания проходили с 9 по 17 августа 1944 (1862).</w:t>
      </w:r>
    </w:p>
    <w:p w14:paraId="5B4330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796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из ОКБ С.В.И чертежи на завод 1 были отправлены чертежи одноместного Ил-1 (10680).</w:t>
      </w:r>
    </w:p>
    <w:p w14:paraId="41777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1030A0" w14:textId="77777777" w:rsidR="00776ACF" w:rsidRPr="00271E51" w:rsidRDefault="00776ACF"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Лишь 13 июля 1943 в связи с сильной загрузкой ОКБ-240 работами по совершенствованию серийных самолетов и другим опытным машинам чертежи Ил-1 АМ-42 были отправлены на заводы № 1 и 18 (17490).</w:t>
      </w:r>
    </w:p>
    <w:p w14:paraId="4B262DEF" w14:textId="77777777" w:rsidR="00776ACF" w:rsidRPr="00271E51" w:rsidRDefault="00776ACF" w:rsidP="00271E51">
      <w:pPr>
        <w:spacing w:after="0" w:line="240" w:lineRule="auto"/>
        <w:jc w:val="both"/>
        <w:rPr>
          <w:rFonts w:ascii="Times New Roman" w:hAnsi="Times New Roman"/>
          <w:color w:val="000000" w:themeColor="text1"/>
          <w:sz w:val="16"/>
          <w:szCs w:val="16"/>
        </w:rPr>
      </w:pPr>
    </w:p>
    <w:p w14:paraId="5A54C46D"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июля 1943</w:t>
      </w:r>
    </w:p>
    <w:p w14:paraId="0100769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НАЧАЛЬНИКУ! 5 ОТДЕЛА НИИ ВВС КА</w:t>
      </w:r>
    </w:p>
    <w:p w14:paraId="09D37041"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Доношу о войсковых испытаниях моторов М-82ФН на самолетах Ла-5 в 32 ГИАП.</w:t>
      </w:r>
    </w:p>
    <w:p w14:paraId="0F8633D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Бой был 4 июля 1943 года. В результате боя летный состав дает высокую оценку самолету Ла-5 с М-82ФН.</w:t>
      </w:r>
    </w:p>
    <w:p w14:paraId="2A7EEC3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Герой Советского Союза майор Холодов после боя заявил: «Я все время находился в хвосте ФВ-190, и он от меня уйти не мог». Все летчики заявляют о превосходстве Ла-5 в М-82ФН над ФВ-190, а также и над Ла-5 с М-82Ф.</w:t>
      </w:r>
    </w:p>
    <w:p w14:paraId="623827B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Дефекты по самолету:</w:t>
      </w:r>
    </w:p>
    <w:p w14:paraId="1F59A9F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Основной дефект (массовый) - растрескивание покрытия и шпаклевки самолета. Для устранения дефекта с завода № 21 в полку находится бригада в количестве 6 человек.</w:t>
      </w:r>
    </w:p>
    <w:p w14:paraId="4DD9FCD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Растрескивание и прогорание выхлопных патрубков.</w:t>
      </w:r>
    </w:p>
    <w:p w14:paraId="3EC4851D"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Фонарь в полете не открывается. Полеты производят с открытым или снятым фонарем. Бригада завода № 21 производит отладку фонаря.</w:t>
      </w:r>
    </w:p>
    <w:p w14:paraId="1433834D"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13.7.43.</w:t>
      </w:r>
      <w:r w:rsidRPr="00271E51">
        <w:rPr>
          <w:rFonts w:ascii="Times New Roman" w:hAnsi="Times New Roman"/>
          <w:color w:val="0070C0"/>
          <w:sz w:val="16"/>
          <w:szCs w:val="16"/>
        </w:rPr>
        <w:tab/>
        <w:t>инженер-капитан БАБАНИН</w:t>
      </w:r>
    </w:p>
    <w:p w14:paraId="1740EBA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ЦАНО. Ф. 2066. Оп. 7. Д. 42. Л. 100.</w:t>
      </w:r>
    </w:p>
    <w:p w14:paraId="309E295C"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Подлинник. Машинопись (20946).</w:t>
      </w:r>
    </w:p>
    <w:p w14:paraId="3EA57C46" w14:textId="77777777" w:rsidR="009274CE" w:rsidRPr="00271E51" w:rsidRDefault="009274CE" w:rsidP="00271E51">
      <w:pPr>
        <w:spacing w:after="0" w:line="240" w:lineRule="auto"/>
        <w:jc w:val="both"/>
        <w:rPr>
          <w:rFonts w:ascii="Times New Roman" w:hAnsi="Times New Roman"/>
          <w:color w:val="0070C0"/>
          <w:sz w:val="16"/>
          <w:szCs w:val="16"/>
        </w:rPr>
      </w:pPr>
    </w:p>
    <w:p w14:paraId="12BD126D"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13 июля 1943 г. была подготовлена уточненная редакции плане опытных работ на 1943 г., в которой Шахурин согласился оставить И-185, но о запуске И-185 в серию он и слышать не хотел. И тому были свои вполне объективные причины.</w:t>
      </w:r>
    </w:p>
    <w:p w14:paraId="7A78A8F3"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Что же мешало принять на вооружение И-185 и начать его выпускать серийно?</w:t>
      </w:r>
    </w:p>
    <w:p w14:paraId="01F66BD1"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Во-первых, существующая на 1943 г. конструкция И-185 требовала высокого расхода дюраля, и при этом с ее культурой веса дела обстояли неважно. Хотя Поликарпов бодро докладывал о фантастически маленьких цифрах относительного веса планера И-185, на деле величина в 30% массы конструкции была близка к показателям МиГ-3 и хуже, чем у самолетов Яковлева, включая Як-9Д с четырьмя баками, или Лавочкина. И это при том, что И-185 имел цельнометаллическое крыло, тогда как Яковлев позволял себе дюраль лишь на лонжеронах крыла и на части нервюр, а Ла-5 как был, так и оставался вовсе цельнодеревянным. А между тем выигрыш в удельной прочности металла при грамотном проектировании превращался в солидную экономию массы. Перевод с дерева на металл двух лонжеронов и четырех пар силовых нервюр позволил Яковлеву снизить массу квадратного метра крыла с 32,7 на цельнодеревянных несущих поверхностях Як-7 до 28,0 кг у Як-9. Цельнометаллическое крыло И-185 М-82 имело удельный вес 26,4 кг/м2 - ненамного меньше Як-9, и больше, чем у МиГ-1 с металлическим центропланом и деревянными консолями - 23,3 кг/м2. Да, конечно надо помнить о том, что оно имело усиление под наиболее мощное из всех бомбардировочное вооружение. Однако, если бы тот же Яковлев мог позволить себе цельнометаллическое крыло, вряд ли у него получилось бы тяжелее. Но опять же, не это главное, проблема в том, что в СССР в 1943 г. столько дюраля просто не было.</w:t>
      </w:r>
    </w:p>
    <w:p w14:paraId="6592D603"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Конечно, для серийного И-185 можно было сделать более тяжелое деревянное крыло - так, например, поступил Ильюшин, чтобы в трудное военное время обеспечить выпуск своих самолетов Ил-2. Но в конструкции И-185 был еще один критический компонент - это мотор М-71, доводка которого тянулась долго и безрезультатно. Это не могло не повлиять на позицию Наркома авиапромышленности Шахурина и его зама по серийному производству Дементьева.</w:t>
      </w:r>
    </w:p>
    <w:p w14:paraId="4D292DEC"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Проявляя завидное упорство, Поликарпов продолжал заниматься самолетом, устраняя выявленные на испытаниях дефекты и пытаясь учесть пожелания строевых летчиков. Он переделал вооружение, оставив две пушки в фюзеляже, но добавив две в крыле, понизил гаргрот и сделал новую каплевидную кабину с "граненым" козырьком с бронестеклом, а также рассмотрел целый ряд альтернативных силовых установок.</w:t>
      </w:r>
    </w:p>
    <w:p w14:paraId="3FD398BE"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Одной из них был сверхмощный (2270 л.с. на взлете и 1900 - на высоте 1000 м) мотор М-250, который с 1939 г. проектировался в КБ-2 при Московском авиационном институте, а затем на заводе №16 под руководством Г.С. Скубачевского и В.А. Добрынина. Он состоял из шести соединенных звездообразно под углом 60° продольных блоков - каждый из четырех цилиндров, которые имели водяное охлаждение.</w:t>
      </w:r>
    </w:p>
    <w:p w14:paraId="33977AFB" w14:textId="77777777" w:rsidR="00046532" w:rsidRPr="00271E51" w:rsidRDefault="0004653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Понятно, что применение такого двигателя не оставляло от первоначального проекта И-185 вообще ничего, потому Поликарпов все же надеялся больше на М-90 образца 1942 г. или на М-71 в форсированном варианте с пониженной высотностью (М-71Ф) или наоборот- высотном М-71ТК с турбокомпрессором. Однако ни один из проектов обновленного И-185, И-187 или высотного перехватчика "ВП" на их основе так и не был реализован, не нашел себе применения и разработанный для И-187 оригинальный, но слишком сложный капот с неплоскими (параболическими) жалюзи, который должен был дать снижение аэродинамического сопротивления (17737).</w:t>
      </w:r>
    </w:p>
    <w:p w14:paraId="5555AD60" w14:textId="77777777" w:rsidR="00046532" w:rsidRPr="00271E51" w:rsidRDefault="00046532" w:rsidP="00271E51">
      <w:pPr>
        <w:spacing w:after="0" w:line="240" w:lineRule="auto"/>
        <w:jc w:val="both"/>
        <w:rPr>
          <w:rFonts w:ascii="Times New Roman" w:hAnsi="Times New Roman"/>
          <w:color w:val="000000" w:themeColor="text1"/>
          <w:sz w:val="16"/>
          <w:szCs w:val="16"/>
        </w:rPr>
      </w:pPr>
    </w:p>
    <w:p w14:paraId="52E90C92" w14:textId="77777777" w:rsidR="00046532" w:rsidRPr="00271E51" w:rsidRDefault="00046532"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13 июля 1943 заместитель наркома авиационной промышленности А. С. Яковлев своим приказом от потребовал провести статические испыта</w:t>
      </w:r>
      <w:r w:rsidRPr="00271E51">
        <w:rPr>
          <w:color w:val="000000" w:themeColor="text1"/>
          <w:sz w:val="16"/>
          <w:szCs w:val="16"/>
        </w:rPr>
        <w:softHyphen/>
        <w:t>ния ИТП (М-1): «Ввиду того что ранее проведенные статические испытания самолета ИТП с нагрузкой до 67% расчетного значения нагрузки недостаточ</w:t>
      </w:r>
      <w:r w:rsidRPr="00271E51">
        <w:rPr>
          <w:color w:val="000000" w:themeColor="text1"/>
          <w:sz w:val="16"/>
          <w:szCs w:val="16"/>
        </w:rPr>
        <w:softHyphen/>
        <w:t>но по заключению ЦАГИ для суждения об истинной прочности самолета, предлагаю провести полные статические испытания самолета ИТП с нагрузкой до 100% расчетного значения».</w:t>
      </w:r>
    </w:p>
    <w:p w14:paraId="51942EEE" w14:textId="77777777" w:rsidR="00046532" w:rsidRPr="00271E51" w:rsidRDefault="00046532"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Очевидно, что после таких испытаний летать на самолете будет нельзя. Между тем постановлени</w:t>
      </w:r>
      <w:r w:rsidRPr="00271E51">
        <w:rPr>
          <w:color w:val="000000" w:themeColor="text1"/>
          <w:sz w:val="16"/>
          <w:szCs w:val="16"/>
        </w:rPr>
        <w:softHyphen/>
        <w:t>ем СНК СССР и ЦК ВКП(б) от 16 апреля и приказом НКАП от 21 апреля 1941 г. требовалось предъявить на государственные испытания 2 летных экзем</w:t>
      </w:r>
      <w:r w:rsidRPr="00271E51">
        <w:rPr>
          <w:color w:val="000000" w:themeColor="text1"/>
          <w:sz w:val="16"/>
          <w:szCs w:val="16"/>
        </w:rPr>
        <w:softHyphen/>
        <w:t>пляра самолета ИТП. Кроме того, ОКБ-51 в 1942 г. уже получило разрешение НКАП на проведение заводских летных испытаний ИТП (М-1). Попыт</w:t>
      </w:r>
      <w:r w:rsidRPr="00271E51">
        <w:rPr>
          <w:color w:val="000000" w:themeColor="text1"/>
          <w:sz w:val="16"/>
          <w:szCs w:val="16"/>
        </w:rPr>
        <w:softHyphen/>
        <w:t>ка обратить внимание руководства НКАП на эти обстоятельства успеха не имела. Приказ остался в силе.</w:t>
      </w:r>
    </w:p>
    <w:p w14:paraId="3CD93DE6" w14:textId="77777777" w:rsidR="00046532" w:rsidRPr="00271E51" w:rsidRDefault="00046532"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25 августа ИТП (М-1) подготовили к прове</w:t>
      </w:r>
      <w:r w:rsidRPr="00271E51">
        <w:rPr>
          <w:color w:val="000000" w:themeColor="text1"/>
          <w:sz w:val="16"/>
          <w:szCs w:val="16"/>
        </w:rPr>
        <w:softHyphen/>
        <w:t>дению статических испытаний и затем передали в ЦАГИ. Эти испытания были успешно завершены лишь к 20 октября. Самолет выдержал 100% рас</w:t>
      </w:r>
      <w:r w:rsidRPr="00271E51">
        <w:rPr>
          <w:color w:val="000000" w:themeColor="text1"/>
          <w:sz w:val="16"/>
          <w:szCs w:val="16"/>
        </w:rPr>
        <w:softHyphen/>
        <w:t>четной нагрузки. При этой нагрузке разрушающих деформаций ни в одном из элементов конструкции самолета не выявлено (17500).</w:t>
      </w:r>
    </w:p>
    <w:p w14:paraId="7528676F" w14:textId="77777777" w:rsidR="00046532" w:rsidRPr="00271E51" w:rsidRDefault="00046532" w:rsidP="00271E51">
      <w:pPr>
        <w:spacing w:after="0" w:line="240" w:lineRule="auto"/>
        <w:jc w:val="both"/>
        <w:rPr>
          <w:rFonts w:ascii="Times New Roman" w:hAnsi="Times New Roman"/>
          <w:color w:val="000000" w:themeColor="text1"/>
          <w:sz w:val="16"/>
          <w:szCs w:val="16"/>
        </w:rPr>
      </w:pPr>
    </w:p>
    <w:p w14:paraId="2A150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НКАП А.И.Ш., Ком. ВВС А.Новиков, Зам. НКАП А.С.Я. и Чл. Военсовета ВВС Репин писали письмо N Н-33/2795 И.В.С.:</w:t>
      </w:r>
    </w:p>
    <w:p w14:paraId="03BD90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"Представляем на Ваше утверждение план строительства опытных самолетов и модификаций серийных самолетов на 1943.</w:t>
      </w:r>
    </w:p>
    <w:p w14:paraId="1A6D2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План опытного строительства составлен с учетом проведения работ, имеющих в данное время наиболее важное значение и сокращения работ, потерявших свою актуальность." (1784,158).</w:t>
      </w:r>
    </w:p>
    <w:p w14:paraId="68106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9A1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года был подготовлен План опытного самолетостроения на 1943 год</w:t>
      </w:r>
    </w:p>
    <w:p w14:paraId="75D0FC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Новые опытные истребители</w:t>
      </w:r>
    </w:p>
    <w:tbl>
      <w:tblPr>
        <w:tblW w:w="0" w:type="auto"/>
        <w:tblLayout w:type="fixed"/>
        <w:tblLook w:val="0000" w:firstRow="0" w:lastRow="0" w:firstColumn="0" w:lastColumn="0" w:noHBand="0" w:noVBand="0"/>
      </w:tblPr>
      <w:tblGrid>
        <w:gridCol w:w="1242"/>
        <w:gridCol w:w="431"/>
        <w:gridCol w:w="703"/>
        <w:gridCol w:w="567"/>
        <w:gridCol w:w="567"/>
        <w:gridCol w:w="709"/>
        <w:gridCol w:w="783"/>
        <w:gridCol w:w="783"/>
        <w:gridCol w:w="1123"/>
        <w:gridCol w:w="848"/>
        <w:gridCol w:w="410"/>
        <w:gridCol w:w="943"/>
        <w:gridCol w:w="922"/>
        <w:gridCol w:w="621"/>
        <w:gridCol w:w="621"/>
      </w:tblGrid>
      <w:tr w:rsidR="00A907A5" w:rsidRPr="00271E51" w14:paraId="226A778D" w14:textId="77777777" w:rsidTr="00ED5B0A">
        <w:tc>
          <w:tcPr>
            <w:tcW w:w="1242" w:type="dxa"/>
            <w:tcBorders>
              <w:top w:val="single" w:sz="6" w:space="0" w:color="auto"/>
              <w:left w:val="single" w:sz="6" w:space="0" w:color="auto"/>
              <w:bottom w:val="single" w:sz="6" w:space="0" w:color="auto"/>
              <w:right w:val="single" w:sz="6" w:space="0" w:color="auto"/>
            </w:tcBorders>
          </w:tcPr>
          <w:p w14:paraId="6D6FC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3279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17BA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042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2A2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E39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4B3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9EFA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0A8D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3D80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1C896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7517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AA3B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C619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D48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C81C3A" w14:textId="77777777" w:rsidTr="00ED5B0A">
        <w:tc>
          <w:tcPr>
            <w:tcW w:w="1242" w:type="dxa"/>
            <w:tcBorders>
              <w:top w:val="single" w:sz="6" w:space="0" w:color="auto"/>
              <w:left w:val="single" w:sz="6" w:space="0" w:color="auto"/>
              <w:bottom w:val="single" w:sz="6" w:space="0" w:color="auto"/>
              <w:right w:val="single" w:sz="6" w:space="0" w:color="auto"/>
            </w:tcBorders>
          </w:tcPr>
          <w:p w14:paraId="697918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Новые опытные истребители</w:t>
            </w:r>
          </w:p>
        </w:tc>
        <w:tc>
          <w:tcPr>
            <w:tcW w:w="431" w:type="dxa"/>
            <w:tcBorders>
              <w:top w:val="single" w:sz="6" w:space="0" w:color="auto"/>
              <w:left w:val="single" w:sz="6" w:space="0" w:color="auto"/>
              <w:bottom w:val="single" w:sz="6" w:space="0" w:color="auto"/>
              <w:right w:val="single" w:sz="6" w:space="0" w:color="auto"/>
            </w:tcBorders>
          </w:tcPr>
          <w:p w14:paraId="65BDA7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7DAE7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01EB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A29F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C31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5E5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BEC9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4A1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8198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2B27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0A0D7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65FF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F6C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882A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147151" w14:textId="77777777" w:rsidTr="00ED5B0A">
        <w:tc>
          <w:tcPr>
            <w:tcW w:w="1242" w:type="dxa"/>
            <w:tcBorders>
              <w:top w:val="single" w:sz="6" w:space="0" w:color="auto"/>
              <w:left w:val="single" w:sz="6" w:space="0" w:color="auto"/>
              <w:bottom w:val="single" w:sz="6" w:space="0" w:color="auto"/>
              <w:right w:val="single" w:sz="6" w:space="0" w:color="auto"/>
            </w:tcBorders>
          </w:tcPr>
          <w:p w14:paraId="62EFC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w:t>
            </w:r>
          </w:p>
        </w:tc>
        <w:tc>
          <w:tcPr>
            <w:tcW w:w="431" w:type="dxa"/>
            <w:tcBorders>
              <w:top w:val="single" w:sz="6" w:space="0" w:color="auto"/>
              <w:left w:val="single" w:sz="6" w:space="0" w:color="auto"/>
              <w:bottom w:val="single" w:sz="6" w:space="0" w:color="auto"/>
              <w:right w:val="single" w:sz="6" w:space="0" w:color="auto"/>
            </w:tcBorders>
          </w:tcPr>
          <w:p w14:paraId="24091A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703" w:type="dxa"/>
            <w:tcBorders>
              <w:top w:val="single" w:sz="6" w:space="0" w:color="auto"/>
              <w:left w:val="single" w:sz="6" w:space="0" w:color="auto"/>
              <w:bottom w:val="single" w:sz="6" w:space="0" w:color="auto"/>
              <w:right w:val="single" w:sz="6" w:space="0" w:color="auto"/>
            </w:tcBorders>
          </w:tcPr>
          <w:p w14:paraId="0C4F8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км/час</w:t>
            </w:r>
          </w:p>
        </w:tc>
        <w:tc>
          <w:tcPr>
            <w:tcW w:w="567" w:type="dxa"/>
            <w:tcBorders>
              <w:top w:val="single" w:sz="6" w:space="0" w:color="auto"/>
              <w:left w:val="single" w:sz="6" w:space="0" w:color="auto"/>
              <w:bottom w:val="single" w:sz="6" w:space="0" w:color="auto"/>
              <w:right w:val="single" w:sz="6" w:space="0" w:color="auto"/>
            </w:tcBorders>
          </w:tcPr>
          <w:p w14:paraId="61D597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2E7F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4D76E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w:t>
            </w:r>
          </w:p>
        </w:tc>
        <w:tc>
          <w:tcPr>
            <w:tcW w:w="783" w:type="dxa"/>
            <w:tcBorders>
              <w:top w:val="single" w:sz="6" w:space="0" w:color="auto"/>
              <w:left w:val="single" w:sz="6" w:space="0" w:color="auto"/>
              <w:bottom w:val="single" w:sz="6" w:space="0" w:color="auto"/>
              <w:right w:val="single" w:sz="6" w:space="0" w:color="auto"/>
            </w:tcBorders>
          </w:tcPr>
          <w:p w14:paraId="17C21A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w:t>
            </w:r>
          </w:p>
        </w:tc>
        <w:tc>
          <w:tcPr>
            <w:tcW w:w="783" w:type="dxa"/>
            <w:tcBorders>
              <w:top w:val="single" w:sz="6" w:space="0" w:color="auto"/>
              <w:left w:val="single" w:sz="6" w:space="0" w:color="auto"/>
              <w:bottom w:val="single" w:sz="6" w:space="0" w:color="auto"/>
              <w:right w:val="single" w:sz="6" w:space="0" w:color="auto"/>
            </w:tcBorders>
          </w:tcPr>
          <w:p w14:paraId="0C8C9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w:t>
            </w:r>
          </w:p>
        </w:tc>
        <w:tc>
          <w:tcPr>
            <w:tcW w:w="1123" w:type="dxa"/>
            <w:tcBorders>
              <w:top w:val="single" w:sz="6" w:space="0" w:color="auto"/>
              <w:left w:val="single" w:sz="6" w:space="0" w:color="auto"/>
              <w:bottom w:val="single" w:sz="6" w:space="0" w:color="auto"/>
              <w:right w:val="single" w:sz="6" w:space="0" w:color="auto"/>
            </w:tcBorders>
          </w:tcPr>
          <w:p w14:paraId="080A51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48" w:type="dxa"/>
            <w:tcBorders>
              <w:top w:val="single" w:sz="6" w:space="0" w:color="auto"/>
              <w:left w:val="single" w:sz="6" w:space="0" w:color="auto"/>
              <w:bottom w:val="single" w:sz="6" w:space="0" w:color="auto"/>
              <w:right w:val="single" w:sz="6" w:space="0" w:color="auto"/>
            </w:tcBorders>
          </w:tcPr>
          <w:p w14:paraId="0EE2A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910A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F5310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w:t>
            </w:r>
          </w:p>
        </w:tc>
        <w:tc>
          <w:tcPr>
            <w:tcW w:w="922" w:type="dxa"/>
            <w:tcBorders>
              <w:top w:val="single" w:sz="6" w:space="0" w:color="auto"/>
              <w:left w:val="single" w:sz="6" w:space="0" w:color="auto"/>
              <w:bottom w:val="single" w:sz="6" w:space="0" w:color="auto"/>
              <w:right w:val="single" w:sz="6" w:space="0" w:color="auto"/>
            </w:tcBorders>
          </w:tcPr>
          <w:p w14:paraId="30B6B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w:t>
            </w:r>
          </w:p>
        </w:tc>
        <w:tc>
          <w:tcPr>
            <w:tcW w:w="621" w:type="dxa"/>
            <w:tcBorders>
              <w:top w:val="single" w:sz="6" w:space="0" w:color="auto"/>
              <w:left w:val="single" w:sz="6" w:space="0" w:color="auto"/>
              <w:bottom w:val="single" w:sz="6" w:space="0" w:color="auto"/>
              <w:right w:val="single" w:sz="6" w:space="0" w:color="auto"/>
            </w:tcBorders>
          </w:tcPr>
          <w:p w14:paraId="6C802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w:t>
            </w:r>
          </w:p>
        </w:tc>
        <w:tc>
          <w:tcPr>
            <w:tcW w:w="621" w:type="dxa"/>
            <w:tcBorders>
              <w:top w:val="single" w:sz="6" w:space="0" w:color="auto"/>
              <w:left w:val="single" w:sz="6" w:space="0" w:color="auto"/>
              <w:bottom w:val="single" w:sz="6" w:space="0" w:color="auto"/>
              <w:right w:val="single" w:sz="6" w:space="0" w:color="auto"/>
            </w:tcBorders>
          </w:tcPr>
          <w:p w14:paraId="0C0A88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F236A4" w14:textId="77777777" w:rsidTr="00ED5B0A">
        <w:tc>
          <w:tcPr>
            <w:tcW w:w="1242" w:type="dxa"/>
            <w:tcBorders>
              <w:top w:val="single" w:sz="6" w:space="0" w:color="auto"/>
              <w:left w:val="single" w:sz="6" w:space="0" w:color="auto"/>
              <w:bottom w:val="single" w:sz="6" w:space="0" w:color="auto"/>
              <w:right w:val="single" w:sz="6" w:space="0" w:color="auto"/>
            </w:tcBorders>
          </w:tcPr>
          <w:p w14:paraId="2A4BE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DDFF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экз.</w:t>
            </w:r>
          </w:p>
        </w:tc>
        <w:tc>
          <w:tcPr>
            <w:tcW w:w="703" w:type="dxa"/>
            <w:tcBorders>
              <w:top w:val="single" w:sz="6" w:space="0" w:color="auto"/>
              <w:left w:val="single" w:sz="6" w:space="0" w:color="auto"/>
              <w:bottom w:val="single" w:sz="6" w:space="0" w:color="auto"/>
              <w:right w:val="single" w:sz="6" w:space="0" w:color="auto"/>
            </w:tcBorders>
          </w:tcPr>
          <w:p w14:paraId="53F390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567" w:type="dxa"/>
            <w:tcBorders>
              <w:top w:val="single" w:sz="6" w:space="0" w:color="auto"/>
              <w:left w:val="single" w:sz="6" w:space="0" w:color="auto"/>
              <w:bottom w:val="single" w:sz="6" w:space="0" w:color="auto"/>
              <w:right w:val="single" w:sz="6" w:space="0" w:color="auto"/>
            </w:tcBorders>
          </w:tcPr>
          <w:p w14:paraId="41F5F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567" w:type="dxa"/>
            <w:tcBorders>
              <w:top w:val="single" w:sz="6" w:space="0" w:color="auto"/>
              <w:left w:val="single" w:sz="6" w:space="0" w:color="auto"/>
              <w:bottom w:val="single" w:sz="6" w:space="0" w:color="auto"/>
              <w:right w:val="single" w:sz="6" w:space="0" w:color="auto"/>
            </w:tcBorders>
          </w:tcPr>
          <w:p w14:paraId="13262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w:t>
            </w:r>
          </w:p>
        </w:tc>
        <w:tc>
          <w:tcPr>
            <w:tcW w:w="709" w:type="dxa"/>
            <w:tcBorders>
              <w:top w:val="single" w:sz="6" w:space="0" w:color="auto"/>
              <w:left w:val="single" w:sz="6" w:space="0" w:color="auto"/>
              <w:bottom w:val="single" w:sz="6" w:space="0" w:color="auto"/>
              <w:right w:val="single" w:sz="6" w:space="0" w:color="auto"/>
            </w:tcBorders>
          </w:tcPr>
          <w:p w14:paraId="39B8C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0,9</w:t>
            </w:r>
          </w:p>
        </w:tc>
        <w:tc>
          <w:tcPr>
            <w:tcW w:w="783" w:type="dxa"/>
            <w:tcBorders>
              <w:top w:val="single" w:sz="6" w:space="0" w:color="auto"/>
              <w:left w:val="single" w:sz="6" w:space="0" w:color="auto"/>
              <w:bottom w:val="single" w:sz="6" w:space="0" w:color="auto"/>
              <w:right w:val="single" w:sz="6" w:space="0" w:color="auto"/>
            </w:tcBorders>
          </w:tcPr>
          <w:p w14:paraId="00B64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подъема</w:t>
            </w:r>
          </w:p>
        </w:tc>
        <w:tc>
          <w:tcPr>
            <w:tcW w:w="783" w:type="dxa"/>
            <w:tcBorders>
              <w:top w:val="single" w:sz="6" w:space="0" w:color="auto"/>
              <w:left w:val="single" w:sz="6" w:space="0" w:color="auto"/>
              <w:bottom w:val="single" w:sz="6" w:space="0" w:color="auto"/>
              <w:right w:val="single" w:sz="6" w:space="0" w:color="auto"/>
            </w:tcBorders>
          </w:tcPr>
          <w:p w14:paraId="6CC4F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w:t>
            </w:r>
          </w:p>
        </w:tc>
        <w:tc>
          <w:tcPr>
            <w:tcW w:w="1123" w:type="dxa"/>
            <w:tcBorders>
              <w:top w:val="single" w:sz="6" w:space="0" w:color="auto"/>
              <w:left w:val="single" w:sz="6" w:space="0" w:color="auto"/>
              <w:bottom w:val="single" w:sz="6" w:space="0" w:color="auto"/>
              <w:right w:val="single" w:sz="6" w:space="0" w:color="auto"/>
            </w:tcBorders>
          </w:tcPr>
          <w:p w14:paraId="5A750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w:t>
            </w:r>
          </w:p>
        </w:tc>
        <w:tc>
          <w:tcPr>
            <w:tcW w:w="848" w:type="dxa"/>
            <w:tcBorders>
              <w:top w:val="single" w:sz="6" w:space="0" w:color="auto"/>
              <w:left w:val="single" w:sz="6" w:space="0" w:color="auto"/>
              <w:bottom w:val="single" w:sz="6" w:space="0" w:color="auto"/>
              <w:right w:val="single" w:sz="6" w:space="0" w:color="auto"/>
            </w:tcBorders>
          </w:tcPr>
          <w:p w14:paraId="55B54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w:t>
            </w:r>
          </w:p>
        </w:tc>
        <w:tc>
          <w:tcPr>
            <w:tcW w:w="410" w:type="dxa"/>
            <w:tcBorders>
              <w:top w:val="single" w:sz="6" w:space="0" w:color="auto"/>
              <w:left w:val="single" w:sz="6" w:space="0" w:color="auto"/>
              <w:bottom w:val="single" w:sz="6" w:space="0" w:color="auto"/>
              <w:right w:val="single" w:sz="6" w:space="0" w:color="auto"/>
            </w:tcBorders>
          </w:tcPr>
          <w:p w14:paraId="2573D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w:t>
            </w:r>
          </w:p>
        </w:tc>
        <w:tc>
          <w:tcPr>
            <w:tcW w:w="943" w:type="dxa"/>
            <w:tcBorders>
              <w:top w:val="single" w:sz="6" w:space="0" w:color="auto"/>
              <w:left w:val="single" w:sz="6" w:space="0" w:color="auto"/>
              <w:bottom w:val="single" w:sz="6" w:space="0" w:color="auto"/>
              <w:right w:val="single" w:sz="6" w:space="0" w:color="auto"/>
            </w:tcBorders>
          </w:tcPr>
          <w:p w14:paraId="690343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3594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w:t>
            </w:r>
          </w:p>
        </w:tc>
        <w:tc>
          <w:tcPr>
            <w:tcW w:w="621" w:type="dxa"/>
            <w:tcBorders>
              <w:top w:val="single" w:sz="6" w:space="0" w:color="auto"/>
              <w:left w:val="single" w:sz="6" w:space="0" w:color="auto"/>
              <w:bottom w:val="single" w:sz="6" w:space="0" w:color="auto"/>
              <w:right w:val="single" w:sz="6" w:space="0" w:color="auto"/>
            </w:tcBorders>
          </w:tcPr>
          <w:p w14:paraId="4B8B18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48D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90A647" w14:textId="77777777" w:rsidTr="00ED5B0A">
        <w:tc>
          <w:tcPr>
            <w:tcW w:w="1242" w:type="dxa"/>
            <w:tcBorders>
              <w:top w:val="single" w:sz="6" w:space="0" w:color="auto"/>
              <w:left w:val="single" w:sz="6" w:space="0" w:color="auto"/>
              <w:bottom w:val="single" w:sz="6" w:space="0" w:color="auto"/>
              <w:right w:val="single" w:sz="6" w:space="0" w:color="auto"/>
            </w:tcBorders>
          </w:tcPr>
          <w:p w14:paraId="7A26E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272E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0078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w:t>
            </w:r>
          </w:p>
        </w:tc>
        <w:tc>
          <w:tcPr>
            <w:tcW w:w="567" w:type="dxa"/>
            <w:tcBorders>
              <w:top w:val="single" w:sz="6" w:space="0" w:color="auto"/>
              <w:left w:val="single" w:sz="6" w:space="0" w:color="auto"/>
              <w:bottom w:val="single" w:sz="6" w:space="0" w:color="auto"/>
              <w:right w:val="single" w:sz="6" w:space="0" w:color="auto"/>
            </w:tcBorders>
          </w:tcPr>
          <w:p w14:paraId="031EEB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567" w:type="dxa"/>
            <w:tcBorders>
              <w:top w:val="single" w:sz="6" w:space="0" w:color="auto"/>
              <w:left w:val="single" w:sz="6" w:space="0" w:color="auto"/>
              <w:bottom w:val="single" w:sz="6" w:space="0" w:color="auto"/>
              <w:right w:val="single" w:sz="6" w:space="0" w:color="auto"/>
            </w:tcBorders>
          </w:tcPr>
          <w:p w14:paraId="54436B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8823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783" w:type="dxa"/>
            <w:tcBorders>
              <w:top w:val="single" w:sz="6" w:space="0" w:color="auto"/>
              <w:left w:val="single" w:sz="6" w:space="0" w:color="auto"/>
              <w:bottom w:val="single" w:sz="6" w:space="0" w:color="auto"/>
              <w:right w:val="single" w:sz="6" w:space="0" w:color="auto"/>
            </w:tcBorders>
          </w:tcPr>
          <w:p w14:paraId="36CA8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w:t>
            </w:r>
          </w:p>
        </w:tc>
        <w:tc>
          <w:tcPr>
            <w:tcW w:w="783" w:type="dxa"/>
            <w:tcBorders>
              <w:top w:val="single" w:sz="6" w:space="0" w:color="auto"/>
              <w:left w:val="single" w:sz="6" w:space="0" w:color="auto"/>
              <w:bottom w:val="single" w:sz="6" w:space="0" w:color="auto"/>
              <w:right w:val="single" w:sz="6" w:space="0" w:color="auto"/>
            </w:tcBorders>
          </w:tcPr>
          <w:p w14:paraId="129459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123" w:type="dxa"/>
            <w:tcBorders>
              <w:top w:val="single" w:sz="6" w:space="0" w:color="auto"/>
              <w:left w:val="single" w:sz="6" w:space="0" w:color="auto"/>
              <w:bottom w:val="single" w:sz="6" w:space="0" w:color="auto"/>
              <w:right w:val="single" w:sz="6" w:space="0" w:color="auto"/>
            </w:tcBorders>
          </w:tcPr>
          <w:p w14:paraId="6029C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пушеч.</w:t>
            </w:r>
          </w:p>
        </w:tc>
        <w:tc>
          <w:tcPr>
            <w:tcW w:w="848" w:type="dxa"/>
            <w:tcBorders>
              <w:top w:val="single" w:sz="6" w:space="0" w:color="auto"/>
              <w:left w:val="single" w:sz="6" w:space="0" w:color="auto"/>
              <w:bottom w:val="single" w:sz="6" w:space="0" w:color="auto"/>
              <w:right w:val="single" w:sz="6" w:space="0" w:color="auto"/>
            </w:tcBorders>
          </w:tcPr>
          <w:p w14:paraId="3ECF9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w:t>
            </w:r>
          </w:p>
        </w:tc>
        <w:tc>
          <w:tcPr>
            <w:tcW w:w="410" w:type="dxa"/>
            <w:tcBorders>
              <w:top w:val="single" w:sz="6" w:space="0" w:color="auto"/>
              <w:left w:val="single" w:sz="6" w:space="0" w:color="auto"/>
              <w:bottom w:val="single" w:sz="6" w:space="0" w:color="auto"/>
              <w:right w:val="single" w:sz="6" w:space="0" w:color="auto"/>
            </w:tcBorders>
          </w:tcPr>
          <w:p w14:paraId="3D3CF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7D04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197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гос.</w:t>
            </w:r>
          </w:p>
        </w:tc>
        <w:tc>
          <w:tcPr>
            <w:tcW w:w="621" w:type="dxa"/>
            <w:tcBorders>
              <w:top w:val="single" w:sz="6" w:space="0" w:color="auto"/>
              <w:left w:val="single" w:sz="6" w:space="0" w:color="auto"/>
              <w:bottom w:val="single" w:sz="6" w:space="0" w:color="auto"/>
              <w:right w:val="single" w:sz="6" w:space="0" w:color="auto"/>
            </w:tcBorders>
          </w:tcPr>
          <w:p w14:paraId="371D27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6F7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F52657" w14:textId="77777777" w:rsidTr="00ED5B0A">
        <w:tc>
          <w:tcPr>
            <w:tcW w:w="1242" w:type="dxa"/>
            <w:tcBorders>
              <w:top w:val="single" w:sz="6" w:space="0" w:color="auto"/>
              <w:left w:val="single" w:sz="6" w:space="0" w:color="auto"/>
              <w:bottom w:val="single" w:sz="6" w:space="0" w:color="auto"/>
              <w:right w:val="single" w:sz="6" w:space="0" w:color="auto"/>
            </w:tcBorders>
          </w:tcPr>
          <w:p w14:paraId="3247DC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9F0F9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CAE0B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земли</w:t>
            </w:r>
          </w:p>
        </w:tc>
        <w:tc>
          <w:tcPr>
            <w:tcW w:w="567" w:type="dxa"/>
            <w:tcBorders>
              <w:top w:val="single" w:sz="6" w:space="0" w:color="auto"/>
              <w:left w:val="single" w:sz="6" w:space="0" w:color="auto"/>
              <w:bottom w:val="single" w:sz="6" w:space="0" w:color="auto"/>
              <w:right w:val="single" w:sz="6" w:space="0" w:color="auto"/>
            </w:tcBorders>
          </w:tcPr>
          <w:p w14:paraId="3C073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высоте</w:t>
            </w:r>
          </w:p>
        </w:tc>
        <w:tc>
          <w:tcPr>
            <w:tcW w:w="567" w:type="dxa"/>
            <w:tcBorders>
              <w:top w:val="single" w:sz="6" w:space="0" w:color="auto"/>
              <w:left w:val="single" w:sz="6" w:space="0" w:color="auto"/>
              <w:bottom w:val="single" w:sz="6" w:space="0" w:color="auto"/>
              <w:right w:val="single" w:sz="6" w:space="0" w:color="auto"/>
            </w:tcBorders>
          </w:tcPr>
          <w:p w14:paraId="7CED8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FE4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18C4D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53270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C0852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6607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w:t>
            </w:r>
          </w:p>
        </w:tc>
        <w:tc>
          <w:tcPr>
            <w:tcW w:w="410" w:type="dxa"/>
            <w:tcBorders>
              <w:top w:val="single" w:sz="6" w:space="0" w:color="auto"/>
              <w:left w:val="single" w:sz="6" w:space="0" w:color="auto"/>
              <w:bottom w:val="single" w:sz="6" w:space="0" w:color="auto"/>
              <w:right w:val="single" w:sz="6" w:space="0" w:color="auto"/>
            </w:tcBorders>
          </w:tcPr>
          <w:p w14:paraId="3CE4C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00242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BD30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w:t>
            </w:r>
          </w:p>
        </w:tc>
        <w:tc>
          <w:tcPr>
            <w:tcW w:w="621" w:type="dxa"/>
            <w:tcBorders>
              <w:top w:val="single" w:sz="6" w:space="0" w:color="auto"/>
              <w:left w:val="single" w:sz="6" w:space="0" w:color="auto"/>
              <w:bottom w:val="single" w:sz="6" w:space="0" w:color="auto"/>
              <w:right w:val="single" w:sz="6" w:space="0" w:color="auto"/>
            </w:tcBorders>
          </w:tcPr>
          <w:p w14:paraId="31EAC0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DAF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A81085" w14:textId="77777777" w:rsidTr="00ED5B0A">
        <w:tc>
          <w:tcPr>
            <w:tcW w:w="1242" w:type="dxa"/>
            <w:tcBorders>
              <w:top w:val="single" w:sz="6" w:space="0" w:color="auto"/>
              <w:left w:val="single" w:sz="6" w:space="0" w:color="auto"/>
              <w:bottom w:val="single" w:sz="6" w:space="0" w:color="auto"/>
              <w:right w:val="single" w:sz="6" w:space="0" w:color="auto"/>
            </w:tcBorders>
          </w:tcPr>
          <w:p w14:paraId="56CC93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13CA8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F08C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EDD1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83E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CC1F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км/</w:t>
            </w:r>
          </w:p>
        </w:tc>
        <w:tc>
          <w:tcPr>
            <w:tcW w:w="783" w:type="dxa"/>
            <w:tcBorders>
              <w:top w:val="single" w:sz="6" w:space="0" w:color="auto"/>
              <w:left w:val="single" w:sz="6" w:space="0" w:color="auto"/>
              <w:bottom w:val="single" w:sz="6" w:space="0" w:color="auto"/>
              <w:right w:val="single" w:sz="6" w:space="0" w:color="auto"/>
            </w:tcBorders>
          </w:tcPr>
          <w:p w14:paraId="56DB2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высоту</w:t>
            </w:r>
          </w:p>
        </w:tc>
        <w:tc>
          <w:tcPr>
            <w:tcW w:w="783" w:type="dxa"/>
            <w:tcBorders>
              <w:top w:val="single" w:sz="6" w:space="0" w:color="auto"/>
              <w:left w:val="single" w:sz="6" w:space="0" w:color="auto"/>
              <w:bottom w:val="single" w:sz="6" w:space="0" w:color="auto"/>
              <w:right w:val="single" w:sz="6" w:space="0" w:color="auto"/>
            </w:tcBorders>
          </w:tcPr>
          <w:p w14:paraId="3144A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56F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E4D1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w:t>
            </w:r>
          </w:p>
        </w:tc>
        <w:tc>
          <w:tcPr>
            <w:tcW w:w="410" w:type="dxa"/>
            <w:tcBorders>
              <w:top w:val="single" w:sz="6" w:space="0" w:color="auto"/>
              <w:left w:val="single" w:sz="6" w:space="0" w:color="auto"/>
              <w:bottom w:val="single" w:sz="6" w:space="0" w:color="auto"/>
              <w:right w:val="single" w:sz="6" w:space="0" w:color="auto"/>
            </w:tcBorders>
          </w:tcPr>
          <w:p w14:paraId="7F39DD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9EB2D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2C75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B34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84C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6CDA39" w14:textId="77777777" w:rsidTr="00ED5B0A">
        <w:tc>
          <w:tcPr>
            <w:tcW w:w="1242" w:type="dxa"/>
            <w:tcBorders>
              <w:top w:val="single" w:sz="6" w:space="0" w:color="auto"/>
              <w:left w:val="single" w:sz="6" w:space="0" w:color="auto"/>
              <w:bottom w:val="single" w:sz="6" w:space="0" w:color="auto"/>
              <w:right w:val="single" w:sz="6" w:space="0" w:color="auto"/>
            </w:tcBorders>
          </w:tcPr>
          <w:p w14:paraId="7D8E9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2814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49E07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9755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BBA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7B1C3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19A4E5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w:t>
            </w:r>
          </w:p>
        </w:tc>
        <w:tc>
          <w:tcPr>
            <w:tcW w:w="783" w:type="dxa"/>
            <w:tcBorders>
              <w:top w:val="single" w:sz="6" w:space="0" w:color="auto"/>
              <w:left w:val="single" w:sz="6" w:space="0" w:color="auto"/>
              <w:bottom w:val="single" w:sz="6" w:space="0" w:color="auto"/>
              <w:right w:val="single" w:sz="6" w:space="0" w:color="auto"/>
            </w:tcBorders>
          </w:tcPr>
          <w:p w14:paraId="65F525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8A21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C6627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410" w:type="dxa"/>
            <w:tcBorders>
              <w:top w:val="single" w:sz="6" w:space="0" w:color="auto"/>
              <w:left w:val="single" w:sz="6" w:space="0" w:color="auto"/>
              <w:bottom w:val="single" w:sz="6" w:space="0" w:color="auto"/>
              <w:right w:val="single" w:sz="6" w:space="0" w:color="auto"/>
            </w:tcBorders>
          </w:tcPr>
          <w:p w14:paraId="0605EF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CC2F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96C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55AC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D2DC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C06A4E" w14:textId="77777777" w:rsidTr="00ED5B0A">
        <w:tc>
          <w:tcPr>
            <w:tcW w:w="1242" w:type="dxa"/>
            <w:tcBorders>
              <w:top w:val="single" w:sz="6" w:space="0" w:color="auto"/>
              <w:left w:val="single" w:sz="6" w:space="0" w:color="auto"/>
              <w:bottom w:val="single" w:sz="6" w:space="0" w:color="auto"/>
              <w:right w:val="single" w:sz="6" w:space="0" w:color="auto"/>
            </w:tcBorders>
          </w:tcPr>
          <w:p w14:paraId="2FFC6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25FE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5191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983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0C5E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A404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высоте</w:t>
            </w:r>
          </w:p>
        </w:tc>
        <w:tc>
          <w:tcPr>
            <w:tcW w:w="783" w:type="dxa"/>
            <w:tcBorders>
              <w:top w:val="single" w:sz="6" w:space="0" w:color="auto"/>
              <w:left w:val="single" w:sz="6" w:space="0" w:color="auto"/>
              <w:bottom w:val="single" w:sz="6" w:space="0" w:color="auto"/>
              <w:right w:val="single" w:sz="6" w:space="0" w:color="auto"/>
            </w:tcBorders>
          </w:tcPr>
          <w:p w14:paraId="003DE8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190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978E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250E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0236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0FE6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B53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BAA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D0F3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086FB7" w14:textId="77777777" w:rsidTr="00ED5B0A">
        <w:tc>
          <w:tcPr>
            <w:tcW w:w="1242" w:type="dxa"/>
            <w:tcBorders>
              <w:top w:val="single" w:sz="6" w:space="0" w:color="auto"/>
              <w:left w:val="single" w:sz="6" w:space="0" w:color="auto"/>
              <w:bottom w:val="single" w:sz="6" w:space="0" w:color="auto"/>
              <w:right w:val="single" w:sz="6" w:space="0" w:color="auto"/>
            </w:tcBorders>
          </w:tcPr>
          <w:p w14:paraId="2FBB18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Фронтов.</w:t>
            </w:r>
          </w:p>
        </w:tc>
        <w:tc>
          <w:tcPr>
            <w:tcW w:w="431" w:type="dxa"/>
            <w:tcBorders>
              <w:top w:val="single" w:sz="6" w:space="0" w:color="auto"/>
              <w:left w:val="single" w:sz="6" w:space="0" w:color="auto"/>
              <w:bottom w:val="single" w:sz="6" w:space="0" w:color="auto"/>
              <w:right w:val="single" w:sz="6" w:space="0" w:color="auto"/>
            </w:tcBorders>
          </w:tcPr>
          <w:p w14:paraId="379AD7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4A438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567" w:type="dxa"/>
            <w:tcBorders>
              <w:top w:val="single" w:sz="6" w:space="0" w:color="auto"/>
              <w:left w:val="single" w:sz="6" w:space="0" w:color="auto"/>
              <w:bottom w:val="single" w:sz="6" w:space="0" w:color="auto"/>
              <w:right w:val="single" w:sz="6" w:space="0" w:color="auto"/>
            </w:tcBorders>
          </w:tcPr>
          <w:p w14:paraId="1B20C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700-725</w:t>
            </w:r>
          </w:p>
        </w:tc>
        <w:tc>
          <w:tcPr>
            <w:tcW w:w="567" w:type="dxa"/>
            <w:tcBorders>
              <w:top w:val="single" w:sz="6" w:space="0" w:color="auto"/>
              <w:left w:val="single" w:sz="6" w:space="0" w:color="auto"/>
              <w:bottom w:val="single" w:sz="6" w:space="0" w:color="auto"/>
              <w:right w:val="single" w:sz="6" w:space="0" w:color="auto"/>
            </w:tcBorders>
          </w:tcPr>
          <w:p w14:paraId="5295F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5DF717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6B54E1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4/5000</w:t>
            </w:r>
          </w:p>
        </w:tc>
        <w:tc>
          <w:tcPr>
            <w:tcW w:w="783" w:type="dxa"/>
            <w:tcBorders>
              <w:top w:val="single" w:sz="6" w:space="0" w:color="auto"/>
              <w:left w:val="single" w:sz="6" w:space="0" w:color="auto"/>
              <w:bottom w:val="single" w:sz="6" w:space="0" w:color="auto"/>
              <w:right w:val="single" w:sz="6" w:space="0" w:color="auto"/>
            </w:tcBorders>
          </w:tcPr>
          <w:p w14:paraId="325623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2DA80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21BCCA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62B9A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66CE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сиденье</w:t>
            </w:r>
          </w:p>
        </w:tc>
        <w:tc>
          <w:tcPr>
            <w:tcW w:w="922" w:type="dxa"/>
            <w:tcBorders>
              <w:top w:val="single" w:sz="6" w:space="0" w:color="auto"/>
              <w:left w:val="single" w:sz="6" w:space="0" w:color="auto"/>
              <w:bottom w:val="single" w:sz="6" w:space="0" w:color="auto"/>
              <w:right w:val="single" w:sz="6" w:space="0" w:color="auto"/>
            </w:tcBorders>
          </w:tcPr>
          <w:p w14:paraId="1C315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1.XII.43</w:t>
            </w:r>
          </w:p>
        </w:tc>
        <w:tc>
          <w:tcPr>
            <w:tcW w:w="621" w:type="dxa"/>
            <w:tcBorders>
              <w:top w:val="single" w:sz="6" w:space="0" w:color="auto"/>
              <w:left w:val="single" w:sz="6" w:space="0" w:color="auto"/>
              <w:bottom w:val="single" w:sz="6" w:space="0" w:color="auto"/>
              <w:right w:val="single" w:sz="6" w:space="0" w:color="auto"/>
            </w:tcBorders>
          </w:tcPr>
          <w:p w14:paraId="2CDE22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D0A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A3E1C9" w14:textId="77777777" w:rsidTr="00ED5B0A">
        <w:tc>
          <w:tcPr>
            <w:tcW w:w="1242" w:type="dxa"/>
            <w:tcBorders>
              <w:top w:val="single" w:sz="6" w:space="0" w:color="auto"/>
              <w:left w:val="single" w:sz="6" w:space="0" w:color="auto"/>
              <w:bottom w:val="single" w:sz="6" w:space="0" w:color="auto"/>
              <w:right w:val="single" w:sz="6" w:space="0" w:color="auto"/>
            </w:tcBorders>
          </w:tcPr>
          <w:p w14:paraId="41B28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w:t>
            </w:r>
          </w:p>
        </w:tc>
        <w:tc>
          <w:tcPr>
            <w:tcW w:w="431" w:type="dxa"/>
            <w:tcBorders>
              <w:top w:val="single" w:sz="6" w:space="0" w:color="auto"/>
              <w:left w:val="single" w:sz="6" w:space="0" w:color="auto"/>
              <w:bottom w:val="single" w:sz="6" w:space="0" w:color="auto"/>
              <w:right w:val="single" w:sz="6" w:space="0" w:color="auto"/>
            </w:tcBorders>
          </w:tcPr>
          <w:p w14:paraId="795AC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386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072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w:t>
            </w:r>
          </w:p>
        </w:tc>
        <w:tc>
          <w:tcPr>
            <w:tcW w:w="567" w:type="dxa"/>
            <w:tcBorders>
              <w:top w:val="single" w:sz="6" w:space="0" w:color="auto"/>
              <w:left w:val="single" w:sz="6" w:space="0" w:color="auto"/>
              <w:bottom w:val="single" w:sz="6" w:space="0" w:color="auto"/>
              <w:right w:val="single" w:sz="6" w:space="0" w:color="auto"/>
            </w:tcBorders>
          </w:tcPr>
          <w:p w14:paraId="3F675B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B382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 м</w:t>
            </w:r>
          </w:p>
        </w:tc>
        <w:tc>
          <w:tcPr>
            <w:tcW w:w="783" w:type="dxa"/>
            <w:tcBorders>
              <w:top w:val="single" w:sz="6" w:space="0" w:color="auto"/>
              <w:left w:val="single" w:sz="6" w:space="0" w:color="auto"/>
              <w:bottom w:val="single" w:sz="6" w:space="0" w:color="auto"/>
              <w:right w:val="single" w:sz="6" w:space="0" w:color="auto"/>
            </w:tcBorders>
          </w:tcPr>
          <w:p w14:paraId="34E0D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CB66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2DA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86D5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0CF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EB37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15929E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E009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CC17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3B6FD7" w14:textId="77777777" w:rsidTr="00ED5B0A">
        <w:tc>
          <w:tcPr>
            <w:tcW w:w="1242" w:type="dxa"/>
            <w:tcBorders>
              <w:top w:val="single" w:sz="6" w:space="0" w:color="auto"/>
              <w:left w:val="single" w:sz="6" w:space="0" w:color="auto"/>
              <w:bottom w:val="single" w:sz="6" w:space="0" w:color="auto"/>
              <w:right w:val="single" w:sz="6" w:space="0" w:color="auto"/>
            </w:tcBorders>
          </w:tcPr>
          <w:p w14:paraId="7319D4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40F755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BA48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BB3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w:t>
            </w:r>
          </w:p>
        </w:tc>
        <w:tc>
          <w:tcPr>
            <w:tcW w:w="567" w:type="dxa"/>
            <w:tcBorders>
              <w:top w:val="single" w:sz="6" w:space="0" w:color="auto"/>
              <w:left w:val="single" w:sz="6" w:space="0" w:color="auto"/>
              <w:bottom w:val="single" w:sz="6" w:space="0" w:color="auto"/>
              <w:right w:val="single" w:sz="6" w:space="0" w:color="auto"/>
            </w:tcBorders>
          </w:tcPr>
          <w:p w14:paraId="26E15D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D7E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454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8BB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79D3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24548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27D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9423C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922" w:type="dxa"/>
            <w:tcBorders>
              <w:top w:val="single" w:sz="6" w:space="0" w:color="auto"/>
              <w:left w:val="single" w:sz="6" w:space="0" w:color="auto"/>
              <w:bottom w:val="single" w:sz="6" w:space="0" w:color="auto"/>
              <w:right w:val="single" w:sz="6" w:space="0" w:color="auto"/>
            </w:tcBorders>
          </w:tcPr>
          <w:p w14:paraId="2D139C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7226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3FD7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5FAF6D" w14:textId="77777777" w:rsidTr="00ED5B0A">
        <w:tc>
          <w:tcPr>
            <w:tcW w:w="1242" w:type="dxa"/>
            <w:tcBorders>
              <w:top w:val="single" w:sz="6" w:space="0" w:color="auto"/>
              <w:left w:val="single" w:sz="6" w:space="0" w:color="auto"/>
              <w:bottom w:val="single" w:sz="6" w:space="0" w:color="auto"/>
              <w:right w:val="single" w:sz="6" w:space="0" w:color="auto"/>
            </w:tcBorders>
          </w:tcPr>
          <w:p w14:paraId="593E6E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 с М-90</w:t>
            </w:r>
          </w:p>
        </w:tc>
        <w:tc>
          <w:tcPr>
            <w:tcW w:w="431" w:type="dxa"/>
            <w:tcBorders>
              <w:top w:val="single" w:sz="6" w:space="0" w:color="auto"/>
              <w:left w:val="single" w:sz="6" w:space="0" w:color="auto"/>
              <w:bottom w:val="single" w:sz="6" w:space="0" w:color="auto"/>
              <w:right w:val="single" w:sz="6" w:space="0" w:color="auto"/>
            </w:tcBorders>
          </w:tcPr>
          <w:p w14:paraId="4B17D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01C3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AF1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567" w:type="dxa"/>
            <w:tcBorders>
              <w:top w:val="single" w:sz="6" w:space="0" w:color="auto"/>
              <w:left w:val="single" w:sz="6" w:space="0" w:color="auto"/>
              <w:bottom w:val="single" w:sz="6" w:space="0" w:color="auto"/>
              <w:right w:val="single" w:sz="6" w:space="0" w:color="auto"/>
            </w:tcBorders>
          </w:tcPr>
          <w:p w14:paraId="140A68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4589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B97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134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9E7C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7D12E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E3B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2DCC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надголовн.</w:t>
            </w:r>
          </w:p>
        </w:tc>
        <w:tc>
          <w:tcPr>
            <w:tcW w:w="922" w:type="dxa"/>
            <w:tcBorders>
              <w:top w:val="single" w:sz="6" w:space="0" w:color="auto"/>
              <w:left w:val="single" w:sz="6" w:space="0" w:color="auto"/>
              <w:bottom w:val="single" w:sz="6" w:space="0" w:color="auto"/>
              <w:right w:val="single" w:sz="6" w:space="0" w:color="auto"/>
            </w:tcBorders>
          </w:tcPr>
          <w:p w14:paraId="2216D0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45E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2AA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0FCA14" w14:textId="77777777" w:rsidTr="00ED5B0A">
        <w:tc>
          <w:tcPr>
            <w:tcW w:w="1242" w:type="dxa"/>
            <w:tcBorders>
              <w:top w:val="single" w:sz="6" w:space="0" w:color="auto"/>
              <w:left w:val="single" w:sz="6" w:space="0" w:color="auto"/>
              <w:bottom w:val="single" w:sz="6" w:space="0" w:color="auto"/>
              <w:right w:val="single" w:sz="6" w:space="0" w:color="auto"/>
            </w:tcBorders>
          </w:tcPr>
          <w:p w14:paraId="4ED99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C81D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630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779E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047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0CE6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A5C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B43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D8B9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F7E1D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48CA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78AE3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подлокотн.</w:t>
            </w:r>
          </w:p>
        </w:tc>
        <w:tc>
          <w:tcPr>
            <w:tcW w:w="922" w:type="dxa"/>
            <w:tcBorders>
              <w:top w:val="single" w:sz="6" w:space="0" w:color="auto"/>
              <w:left w:val="single" w:sz="6" w:space="0" w:color="auto"/>
              <w:bottom w:val="single" w:sz="6" w:space="0" w:color="auto"/>
              <w:right w:val="single" w:sz="6" w:space="0" w:color="auto"/>
            </w:tcBorders>
          </w:tcPr>
          <w:p w14:paraId="463D3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EC1E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57B0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CC9013" w14:textId="77777777" w:rsidTr="00ED5B0A">
        <w:tc>
          <w:tcPr>
            <w:tcW w:w="1242" w:type="dxa"/>
            <w:tcBorders>
              <w:top w:val="single" w:sz="6" w:space="0" w:color="auto"/>
              <w:left w:val="single" w:sz="6" w:space="0" w:color="auto"/>
              <w:bottom w:val="single" w:sz="6" w:space="0" w:color="auto"/>
              <w:right w:val="single" w:sz="6" w:space="0" w:color="auto"/>
            </w:tcBorders>
          </w:tcPr>
          <w:p w14:paraId="09C83F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6239E4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20D4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1AF7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860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0DE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360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EB736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A2A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7D0C5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DBBA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F60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козырек</w:t>
            </w:r>
          </w:p>
        </w:tc>
        <w:tc>
          <w:tcPr>
            <w:tcW w:w="922" w:type="dxa"/>
            <w:tcBorders>
              <w:top w:val="single" w:sz="6" w:space="0" w:color="auto"/>
              <w:left w:val="single" w:sz="6" w:space="0" w:color="auto"/>
              <w:bottom w:val="single" w:sz="6" w:space="0" w:color="auto"/>
              <w:right w:val="single" w:sz="6" w:space="0" w:color="auto"/>
            </w:tcBorders>
          </w:tcPr>
          <w:p w14:paraId="115A6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5BE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55173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4766F5" w14:textId="77777777" w:rsidTr="00ED5B0A">
        <w:tc>
          <w:tcPr>
            <w:tcW w:w="1242" w:type="dxa"/>
            <w:tcBorders>
              <w:top w:val="single" w:sz="6" w:space="0" w:color="auto"/>
              <w:left w:val="single" w:sz="6" w:space="0" w:color="auto"/>
              <w:bottom w:val="single" w:sz="6" w:space="0" w:color="auto"/>
              <w:right w:val="single" w:sz="6" w:space="0" w:color="auto"/>
            </w:tcBorders>
          </w:tcPr>
          <w:p w14:paraId="42BFD4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Фронтов.</w:t>
            </w:r>
          </w:p>
        </w:tc>
        <w:tc>
          <w:tcPr>
            <w:tcW w:w="431" w:type="dxa"/>
            <w:tcBorders>
              <w:top w:val="single" w:sz="6" w:space="0" w:color="auto"/>
              <w:left w:val="single" w:sz="6" w:space="0" w:color="auto"/>
              <w:bottom w:val="single" w:sz="6" w:space="0" w:color="auto"/>
              <w:right w:val="single" w:sz="6" w:space="0" w:color="auto"/>
            </w:tcBorders>
          </w:tcPr>
          <w:p w14:paraId="543735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65035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567" w:type="dxa"/>
            <w:tcBorders>
              <w:top w:val="single" w:sz="6" w:space="0" w:color="auto"/>
              <w:left w:val="single" w:sz="6" w:space="0" w:color="auto"/>
              <w:bottom w:val="single" w:sz="6" w:space="0" w:color="auto"/>
              <w:right w:val="single" w:sz="6" w:space="0" w:color="auto"/>
            </w:tcBorders>
          </w:tcPr>
          <w:p w14:paraId="4BAC5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700-725</w:t>
            </w:r>
          </w:p>
        </w:tc>
        <w:tc>
          <w:tcPr>
            <w:tcW w:w="567" w:type="dxa"/>
            <w:tcBorders>
              <w:top w:val="single" w:sz="6" w:space="0" w:color="auto"/>
              <w:left w:val="single" w:sz="6" w:space="0" w:color="auto"/>
              <w:bottom w:val="single" w:sz="6" w:space="0" w:color="auto"/>
              <w:right w:val="single" w:sz="6" w:space="0" w:color="auto"/>
            </w:tcBorders>
          </w:tcPr>
          <w:p w14:paraId="2D9A28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0E0523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7624C4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4/5000</w:t>
            </w:r>
          </w:p>
        </w:tc>
        <w:tc>
          <w:tcPr>
            <w:tcW w:w="783" w:type="dxa"/>
            <w:tcBorders>
              <w:top w:val="single" w:sz="6" w:space="0" w:color="auto"/>
              <w:left w:val="single" w:sz="6" w:space="0" w:color="auto"/>
              <w:bottom w:val="single" w:sz="6" w:space="0" w:color="auto"/>
              <w:right w:val="single" w:sz="6" w:space="0" w:color="auto"/>
            </w:tcBorders>
          </w:tcPr>
          <w:p w14:paraId="7B8132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267E6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5AA7F8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78EE3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5670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3D71C3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5066EA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48F0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67082D" w14:textId="77777777" w:rsidTr="00ED5B0A">
        <w:tc>
          <w:tcPr>
            <w:tcW w:w="1242" w:type="dxa"/>
            <w:tcBorders>
              <w:top w:val="single" w:sz="6" w:space="0" w:color="auto"/>
              <w:left w:val="single" w:sz="6" w:space="0" w:color="auto"/>
              <w:bottom w:val="single" w:sz="6" w:space="0" w:color="auto"/>
              <w:right w:val="single" w:sz="6" w:space="0" w:color="auto"/>
            </w:tcBorders>
          </w:tcPr>
          <w:p w14:paraId="2245B3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w:t>
            </w:r>
          </w:p>
        </w:tc>
        <w:tc>
          <w:tcPr>
            <w:tcW w:w="431" w:type="dxa"/>
            <w:tcBorders>
              <w:top w:val="single" w:sz="6" w:space="0" w:color="auto"/>
              <w:left w:val="single" w:sz="6" w:space="0" w:color="auto"/>
              <w:bottom w:val="single" w:sz="6" w:space="0" w:color="auto"/>
              <w:right w:val="single" w:sz="6" w:space="0" w:color="auto"/>
            </w:tcBorders>
          </w:tcPr>
          <w:p w14:paraId="67163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97C6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BA6F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w:t>
            </w:r>
          </w:p>
        </w:tc>
        <w:tc>
          <w:tcPr>
            <w:tcW w:w="567" w:type="dxa"/>
            <w:tcBorders>
              <w:top w:val="single" w:sz="6" w:space="0" w:color="auto"/>
              <w:left w:val="single" w:sz="6" w:space="0" w:color="auto"/>
              <w:bottom w:val="single" w:sz="6" w:space="0" w:color="auto"/>
              <w:right w:val="single" w:sz="6" w:space="0" w:color="auto"/>
            </w:tcBorders>
          </w:tcPr>
          <w:p w14:paraId="724123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7EC5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 м</w:t>
            </w:r>
          </w:p>
        </w:tc>
        <w:tc>
          <w:tcPr>
            <w:tcW w:w="783" w:type="dxa"/>
            <w:tcBorders>
              <w:top w:val="single" w:sz="6" w:space="0" w:color="auto"/>
              <w:left w:val="single" w:sz="6" w:space="0" w:color="auto"/>
              <w:bottom w:val="single" w:sz="6" w:space="0" w:color="auto"/>
              <w:right w:val="single" w:sz="6" w:space="0" w:color="auto"/>
            </w:tcBorders>
          </w:tcPr>
          <w:p w14:paraId="50C2B6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EF5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470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4DD46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C885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A96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6FAD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700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839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2BC9BC" w14:textId="77777777" w:rsidTr="00ED5B0A">
        <w:tc>
          <w:tcPr>
            <w:tcW w:w="1242" w:type="dxa"/>
            <w:tcBorders>
              <w:top w:val="single" w:sz="6" w:space="0" w:color="auto"/>
              <w:left w:val="single" w:sz="6" w:space="0" w:color="auto"/>
              <w:bottom w:val="single" w:sz="6" w:space="0" w:color="auto"/>
              <w:right w:val="single" w:sz="6" w:space="0" w:color="auto"/>
            </w:tcBorders>
          </w:tcPr>
          <w:p w14:paraId="0CB1A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16CDB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967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15ED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w:t>
            </w:r>
          </w:p>
        </w:tc>
        <w:tc>
          <w:tcPr>
            <w:tcW w:w="567" w:type="dxa"/>
            <w:tcBorders>
              <w:top w:val="single" w:sz="6" w:space="0" w:color="auto"/>
              <w:left w:val="single" w:sz="6" w:space="0" w:color="auto"/>
              <w:bottom w:val="single" w:sz="6" w:space="0" w:color="auto"/>
              <w:right w:val="single" w:sz="6" w:space="0" w:color="auto"/>
            </w:tcBorders>
          </w:tcPr>
          <w:p w14:paraId="6E715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2FE8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FD8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77B2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F87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5D19C4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086C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CEE89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0C9F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585A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965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360C9E" w14:textId="77777777" w:rsidTr="00ED5B0A">
        <w:tc>
          <w:tcPr>
            <w:tcW w:w="1242" w:type="dxa"/>
            <w:tcBorders>
              <w:top w:val="single" w:sz="6" w:space="0" w:color="auto"/>
              <w:left w:val="single" w:sz="6" w:space="0" w:color="auto"/>
              <w:bottom w:val="single" w:sz="6" w:space="0" w:color="auto"/>
              <w:right w:val="single" w:sz="6" w:space="0" w:color="auto"/>
            </w:tcBorders>
          </w:tcPr>
          <w:p w14:paraId="2DE71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 с</w:t>
            </w:r>
          </w:p>
        </w:tc>
        <w:tc>
          <w:tcPr>
            <w:tcW w:w="431" w:type="dxa"/>
            <w:tcBorders>
              <w:top w:val="single" w:sz="6" w:space="0" w:color="auto"/>
              <w:left w:val="single" w:sz="6" w:space="0" w:color="auto"/>
              <w:bottom w:val="single" w:sz="6" w:space="0" w:color="auto"/>
              <w:right w:val="single" w:sz="6" w:space="0" w:color="auto"/>
            </w:tcBorders>
          </w:tcPr>
          <w:p w14:paraId="1543DC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7741C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763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567" w:type="dxa"/>
            <w:tcBorders>
              <w:top w:val="single" w:sz="6" w:space="0" w:color="auto"/>
              <w:left w:val="single" w:sz="6" w:space="0" w:color="auto"/>
              <w:bottom w:val="single" w:sz="6" w:space="0" w:color="auto"/>
              <w:right w:val="single" w:sz="6" w:space="0" w:color="auto"/>
            </w:tcBorders>
          </w:tcPr>
          <w:p w14:paraId="0E697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F24D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5F65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B4D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8D35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12583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C6F1F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E17D6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7F6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4102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FDAF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638AA7" w14:textId="77777777" w:rsidTr="00ED5B0A">
        <w:tc>
          <w:tcPr>
            <w:tcW w:w="1242" w:type="dxa"/>
            <w:tcBorders>
              <w:top w:val="single" w:sz="6" w:space="0" w:color="auto"/>
              <w:left w:val="single" w:sz="6" w:space="0" w:color="auto"/>
              <w:bottom w:val="single" w:sz="6" w:space="0" w:color="auto"/>
              <w:right w:val="single" w:sz="6" w:space="0" w:color="auto"/>
            </w:tcBorders>
          </w:tcPr>
          <w:p w14:paraId="5C8ED6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c>
          <w:tcPr>
            <w:tcW w:w="431" w:type="dxa"/>
            <w:tcBorders>
              <w:top w:val="single" w:sz="6" w:space="0" w:color="auto"/>
              <w:left w:val="single" w:sz="6" w:space="0" w:color="auto"/>
              <w:bottom w:val="single" w:sz="6" w:space="0" w:color="auto"/>
              <w:right w:val="single" w:sz="6" w:space="0" w:color="auto"/>
            </w:tcBorders>
          </w:tcPr>
          <w:p w14:paraId="6ED62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E9C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96A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DE8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1200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B9E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2E3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2F80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083B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8110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66B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CD1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2450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25F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028ED5" w14:textId="77777777" w:rsidTr="00ED5B0A">
        <w:tc>
          <w:tcPr>
            <w:tcW w:w="1242" w:type="dxa"/>
            <w:tcBorders>
              <w:top w:val="single" w:sz="6" w:space="0" w:color="auto"/>
              <w:left w:val="single" w:sz="6" w:space="0" w:color="auto"/>
              <w:bottom w:val="single" w:sz="6" w:space="0" w:color="auto"/>
              <w:right w:val="single" w:sz="6" w:space="0" w:color="auto"/>
            </w:tcBorders>
          </w:tcPr>
          <w:p w14:paraId="0DCAE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3C0D2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ED8ED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3115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FF8F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34C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2564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856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328CA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58E105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9F63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CB5C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B62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0C9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36BD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22C416" w14:textId="77777777" w:rsidTr="00ED5B0A">
        <w:tc>
          <w:tcPr>
            <w:tcW w:w="1242" w:type="dxa"/>
            <w:tcBorders>
              <w:top w:val="single" w:sz="6" w:space="0" w:color="auto"/>
              <w:left w:val="single" w:sz="6" w:space="0" w:color="auto"/>
              <w:bottom w:val="single" w:sz="6" w:space="0" w:color="auto"/>
              <w:right w:val="single" w:sz="6" w:space="0" w:color="auto"/>
            </w:tcBorders>
          </w:tcPr>
          <w:p w14:paraId="082E2D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6EA05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ABDA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DAE8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255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879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BCE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697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B1FAC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918D7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8FFD8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0E9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030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599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C5FA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81E2926" w14:textId="77777777" w:rsidTr="00ED5B0A">
        <w:tc>
          <w:tcPr>
            <w:tcW w:w="1242" w:type="dxa"/>
            <w:tcBorders>
              <w:top w:val="single" w:sz="6" w:space="0" w:color="auto"/>
              <w:left w:val="single" w:sz="6" w:space="0" w:color="auto"/>
              <w:bottom w:val="single" w:sz="6" w:space="0" w:color="auto"/>
              <w:right w:val="single" w:sz="6" w:space="0" w:color="auto"/>
            </w:tcBorders>
          </w:tcPr>
          <w:p w14:paraId="6DC95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431" w:type="dxa"/>
            <w:tcBorders>
              <w:top w:val="single" w:sz="6" w:space="0" w:color="auto"/>
              <w:left w:val="single" w:sz="6" w:space="0" w:color="auto"/>
              <w:bottom w:val="single" w:sz="6" w:space="0" w:color="auto"/>
              <w:right w:val="single" w:sz="6" w:space="0" w:color="auto"/>
            </w:tcBorders>
          </w:tcPr>
          <w:p w14:paraId="5FCD3A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5F487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797BE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655/</w:t>
            </w:r>
          </w:p>
        </w:tc>
        <w:tc>
          <w:tcPr>
            <w:tcW w:w="567" w:type="dxa"/>
            <w:tcBorders>
              <w:top w:val="single" w:sz="6" w:space="0" w:color="auto"/>
              <w:left w:val="single" w:sz="6" w:space="0" w:color="auto"/>
              <w:bottom w:val="single" w:sz="6" w:space="0" w:color="auto"/>
              <w:right w:val="single" w:sz="6" w:space="0" w:color="auto"/>
            </w:tcBorders>
          </w:tcPr>
          <w:p w14:paraId="216B1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23D7DE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2B81C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783" w:type="dxa"/>
            <w:tcBorders>
              <w:top w:val="single" w:sz="6" w:space="0" w:color="auto"/>
              <w:left w:val="single" w:sz="6" w:space="0" w:color="auto"/>
              <w:bottom w:val="single" w:sz="6" w:space="0" w:color="auto"/>
              <w:right w:val="single" w:sz="6" w:space="0" w:color="auto"/>
            </w:tcBorders>
          </w:tcPr>
          <w:p w14:paraId="2D5F0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13000</w:t>
            </w:r>
          </w:p>
        </w:tc>
        <w:tc>
          <w:tcPr>
            <w:tcW w:w="1123" w:type="dxa"/>
            <w:tcBorders>
              <w:top w:val="single" w:sz="6" w:space="0" w:color="auto"/>
              <w:left w:val="single" w:sz="6" w:space="0" w:color="auto"/>
              <w:bottom w:val="single" w:sz="6" w:space="0" w:color="auto"/>
              <w:right w:val="single" w:sz="6" w:space="0" w:color="auto"/>
            </w:tcBorders>
          </w:tcPr>
          <w:p w14:paraId="324FB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368E43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0AAFE1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86AF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козырек</w:t>
            </w:r>
          </w:p>
        </w:tc>
        <w:tc>
          <w:tcPr>
            <w:tcW w:w="922" w:type="dxa"/>
            <w:tcBorders>
              <w:top w:val="single" w:sz="6" w:space="0" w:color="auto"/>
              <w:left w:val="single" w:sz="6" w:space="0" w:color="auto"/>
              <w:bottom w:val="single" w:sz="6" w:space="0" w:color="auto"/>
              <w:right w:val="single" w:sz="6" w:space="0" w:color="auto"/>
            </w:tcBorders>
          </w:tcPr>
          <w:p w14:paraId="5A4B5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15.III.44</w:t>
            </w:r>
          </w:p>
        </w:tc>
        <w:tc>
          <w:tcPr>
            <w:tcW w:w="621" w:type="dxa"/>
            <w:tcBorders>
              <w:top w:val="single" w:sz="6" w:space="0" w:color="auto"/>
              <w:left w:val="single" w:sz="6" w:space="0" w:color="auto"/>
              <w:bottom w:val="single" w:sz="6" w:space="0" w:color="auto"/>
              <w:right w:val="single" w:sz="6" w:space="0" w:color="auto"/>
            </w:tcBorders>
          </w:tcPr>
          <w:p w14:paraId="17BF9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53EF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5FA46B" w14:textId="77777777" w:rsidTr="00ED5B0A">
        <w:tc>
          <w:tcPr>
            <w:tcW w:w="1242" w:type="dxa"/>
            <w:tcBorders>
              <w:top w:val="single" w:sz="6" w:space="0" w:color="auto"/>
              <w:left w:val="single" w:sz="6" w:space="0" w:color="auto"/>
              <w:bottom w:val="single" w:sz="6" w:space="0" w:color="auto"/>
              <w:right w:val="single" w:sz="6" w:space="0" w:color="auto"/>
            </w:tcBorders>
          </w:tcPr>
          <w:p w14:paraId="081D4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w:t>
            </w:r>
          </w:p>
        </w:tc>
        <w:tc>
          <w:tcPr>
            <w:tcW w:w="431" w:type="dxa"/>
            <w:tcBorders>
              <w:top w:val="single" w:sz="6" w:space="0" w:color="auto"/>
              <w:left w:val="single" w:sz="6" w:space="0" w:color="auto"/>
              <w:bottom w:val="single" w:sz="6" w:space="0" w:color="auto"/>
              <w:right w:val="single" w:sz="6" w:space="0" w:color="auto"/>
            </w:tcBorders>
          </w:tcPr>
          <w:p w14:paraId="6680E0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9292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75FB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567" w:type="dxa"/>
            <w:tcBorders>
              <w:top w:val="single" w:sz="6" w:space="0" w:color="auto"/>
              <w:left w:val="single" w:sz="6" w:space="0" w:color="auto"/>
              <w:bottom w:val="single" w:sz="6" w:space="0" w:color="auto"/>
              <w:right w:val="single" w:sz="6" w:space="0" w:color="auto"/>
            </w:tcBorders>
          </w:tcPr>
          <w:p w14:paraId="3830EF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86282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 м</w:t>
            </w:r>
          </w:p>
        </w:tc>
        <w:tc>
          <w:tcPr>
            <w:tcW w:w="783" w:type="dxa"/>
            <w:tcBorders>
              <w:top w:val="single" w:sz="6" w:space="0" w:color="auto"/>
              <w:left w:val="single" w:sz="6" w:space="0" w:color="auto"/>
              <w:bottom w:val="single" w:sz="6" w:space="0" w:color="auto"/>
              <w:right w:val="single" w:sz="6" w:space="0" w:color="auto"/>
            </w:tcBorders>
          </w:tcPr>
          <w:p w14:paraId="062DF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783" w:type="dxa"/>
            <w:tcBorders>
              <w:top w:val="single" w:sz="6" w:space="0" w:color="auto"/>
              <w:left w:val="single" w:sz="6" w:space="0" w:color="auto"/>
              <w:bottom w:val="single" w:sz="6" w:space="0" w:color="auto"/>
              <w:right w:val="single" w:sz="6" w:space="0" w:color="auto"/>
            </w:tcBorders>
          </w:tcPr>
          <w:p w14:paraId="2B65F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E70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16B46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2E3F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0436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742C93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2D5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E21C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BEF29E" w14:textId="77777777" w:rsidTr="00ED5B0A">
        <w:tc>
          <w:tcPr>
            <w:tcW w:w="1242" w:type="dxa"/>
            <w:tcBorders>
              <w:top w:val="single" w:sz="6" w:space="0" w:color="auto"/>
              <w:left w:val="single" w:sz="6" w:space="0" w:color="auto"/>
              <w:bottom w:val="single" w:sz="6" w:space="0" w:color="auto"/>
              <w:right w:val="single" w:sz="6" w:space="0" w:color="auto"/>
            </w:tcBorders>
          </w:tcPr>
          <w:p w14:paraId="47336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1B108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C32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5A6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F9D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8C3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746E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B0B9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BFD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патр.</w:t>
            </w:r>
          </w:p>
        </w:tc>
        <w:tc>
          <w:tcPr>
            <w:tcW w:w="848" w:type="dxa"/>
            <w:tcBorders>
              <w:top w:val="single" w:sz="6" w:space="0" w:color="auto"/>
              <w:left w:val="single" w:sz="6" w:space="0" w:color="auto"/>
              <w:bottom w:val="single" w:sz="6" w:space="0" w:color="auto"/>
              <w:right w:val="single" w:sz="6" w:space="0" w:color="auto"/>
            </w:tcBorders>
          </w:tcPr>
          <w:p w14:paraId="6974B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D3968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E754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DF3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98D4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1F6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D07966" w14:textId="77777777" w:rsidTr="00ED5B0A">
        <w:tc>
          <w:tcPr>
            <w:tcW w:w="1242" w:type="dxa"/>
            <w:tcBorders>
              <w:top w:val="single" w:sz="6" w:space="0" w:color="auto"/>
              <w:left w:val="single" w:sz="6" w:space="0" w:color="auto"/>
              <w:bottom w:val="single" w:sz="6" w:space="0" w:color="auto"/>
              <w:right w:val="single" w:sz="6" w:space="0" w:color="auto"/>
            </w:tcBorders>
          </w:tcPr>
          <w:p w14:paraId="2E6E8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Перехватчик</w:t>
            </w:r>
          </w:p>
        </w:tc>
        <w:tc>
          <w:tcPr>
            <w:tcW w:w="431" w:type="dxa"/>
            <w:tcBorders>
              <w:top w:val="single" w:sz="6" w:space="0" w:color="auto"/>
              <w:left w:val="single" w:sz="6" w:space="0" w:color="auto"/>
              <w:bottom w:val="single" w:sz="6" w:space="0" w:color="auto"/>
              <w:right w:val="single" w:sz="6" w:space="0" w:color="auto"/>
            </w:tcBorders>
          </w:tcPr>
          <w:p w14:paraId="612B5E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C8D7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037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3E98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14CA7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BA1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E9E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45F0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DDA94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772E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2F77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FFFB9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804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5D7E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09FEBF" w14:textId="77777777" w:rsidTr="00ED5B0A">
        <w:tc>
          <w:tcPr>
            <w:tcW w:w="1242" w:type="dxa"/>
            <w:tcBorders>
              <w:top w:val="single" w:sz="6" w:space="0" w:color="auto"/>
              <w:left w:val="single" w:sz="6" w:space="0" w:color="auto"/>
              <w:bottom w:val="single" w:sz="6" w:space="0" w:color="auto"/>
              <w:right w:val="single" w:sz="6" w:space="0" w:color="auto"/>
            </w:tcBorders>
          </w:tcPr>
          <w:p w14:paraId="7ECE2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герметич.</w:t>
            </w:r>
          </w:p>
        </w:tc>
        <w:tc>
          <w:tcPr>
            <w:tcW w:w="431" w:type="dxa"/>
            <w:tcBorders>
              <w:top w:val="single" w:sz="6" w:space="0" w:color="auto"/>
              <w:left w:val="single" w:sz="6" w:space="0" w:color="auto"/>
              <w:bottom w:val="single" w:sz="6" w:space="0" w:color="auto"/>
              <w:right w:val="single" w:sz="6" w:space="0" w:color="auto"/>
            </w:tcBorders>
          </w:tcPr>
          <w:p w14:paraId="45FE4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60772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B2F8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F6A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875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342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E50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28B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5C55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F4F9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5E8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4D54C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D56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7D61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21A64C" w14:textId="77777777" w:rsidTr="00ED5B0A">
        <w:tc>
          <w:tcPr>
            <w:tcW w:w="1242" w:type="dxa"/>
            <w:tcBorders>
              <w:top w:val="single" w:sz="6" w:space="0" w:color="auto"/>
              <w:left w:val="single" w:sz="6" w:space="0" w:color="auto"/>
              <w:bottom w:val="single" w:sz="6" w:space="0" w:color="auto"/>
              <w:right w:val="single" w:sz="6" w:space="0" w:color="auto"/>
            </w:tcBorders>
          </w:tcPr>
          <w:p w14:paraId="317E9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кабиной с</w:t>
            </w:r>
          </w:p>
        </w:tc>
        <w:tc>
          <w:tcPr>
            <w:tcW w:w="431" w:type="dxa"/>
            <w:tcBorders>
              <w:top w:val="single" w:sz="6" w:space="0" w:color="auto"/>
              <w:left w:val="single" w:sz="6" w:space="0" w:color="auto"/>
              <w:bottom w:val="single" w:sz="6" w:space="0" w:color="auto"/>
              <w:right w:val="single" w:sz="6" w:space="0" w:color="auto"/>
            </w:tcBorders>
          </w:tcPr>
          <w:p w14:paraId="6025A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0AB5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2C0D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154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C65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DFC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720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7C2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 патр.</w:t>
            </w:r>
          </w:p>
        </w:tc>
        <w:tc>
          <w:tcPr>
            <w:tcW w:w="848" w:type="dxa"/>
            <w:tcBorders>
              <w:top w:val="single" w:sz="6" w:space="0" w:color="auto"/>
              <w:left w:val="single" w:sz="6" w:space="0" w:color="auto"/>
              <w:bottom w:val="single" w:sz="6" w:space="0" w:color="auto"/>
              <w:right w:val="single" w:sz="6" w:space="0" w:color="auto"/>
            </w:tcBorders>
          </w:tcPr>
          <w:p w14:paraId="2B180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3DB4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DD31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5A46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208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52A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603DA9" w14:textId="77777777" w:rsidTr="00ED5B0A">
        <w:tc>
          <w:tcPr>
            <w:tcW w:w="1242" w:type="dxa"/>
            <w:tcBorders>
              <w:top w:val="single" w:sz="6" w:space="0" w:color="auto"/>
              <w:left w:val="single" w:sz="6" w:space="0" w:color="auto"/>
              <w:bottom w:val="single" w:sz="6" w:space="0" w:color="auto"/>
              <w:right w:val="single" w:sz="6" w:space="0" w:color="auto"/>
            </w:tcBorders>
          </w:tcPr>
          <w:p w14:paraId="18F56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 с</w:t>
            </w:r>
          </w:p>
        </w:tc>
        <w:tc>
          <w:tcPr>
            <w:tcW w:w="431" w:type="dxa"/>
            <w:tcBorders>
              <w:top w:val="single" w:sz="6" w:space="0" w:color="auto"/>
              <w:left w:val="single" w:sz="6" w:space="0" w:color="auto"/>
              <w:bottom w:val="single" w:sz="6" w:space="0" w:color="auto"/>
              <w:right w:val="single" w:sz="6" w:space="0" w:color="auto"/>
            </w:tcBorders>
          </w:tcPr>
          <w:p w14:paraId="1A19C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98D40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EC7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C5AF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AF9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D8B3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6FB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CA40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BB889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78F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7F85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849B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3E3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59AA2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A51BAC" w14:textId="77777777" w:rsidTr="00ED5B0A">
        <w:tc>
          <w:tcPr>
            <w:tcW w:w="1242" w:type="dxa"/>
            <w:tcBorders>
              <w:top w:val="single" w:sz="6" w:space="0" w:color="auto"/>
              <w:left w:val="single" w:sz="6" w:space="0" w:color="auto"/>
              <w:bottom w:val="single" w:sz="6" w:space="0" w:color="auto"/>
              <w:right w:val="single" w:sz="6" w:space="0" w:color="auto"/>
            </w:tcBorders>
          </w:tcPr>
          <w:p w14:paraId="1F2A6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двухступенч.</w:t>
            </w:r>
          </w:p>
        </w:tc>
        <w:tc>
          <w:tcPr>
            <w:tcW w:w="431" w:type="dxa"/>
            <w:tcBorders>
              <w:top w:val="single" w:sz="6" w:space="0" w:color="auto"/>
              <w:left w:val="single" w:sz="6" w:space="0" w:color="auto"/>
              <w:bottom w:val="single" w:sz="6" w:space="0" w:color="auto"/>
              <w:right w:val="single" w:sz="6" w:space="0" w:color="auto"/>
            </w:tcBorders>
          </w:tcPr>
          <w:p w14:paraId="381838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42C1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9636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AED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9A1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12D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D459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755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0038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107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AC35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9D4C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994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50D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AE0D11" w14:textId="77777777" w:rsidTr="00ED5B0A">
        <w:tc>
          <w:tcPr>
            <w:tcW w:w="1242" w:type="dxa"/>
            <w:tcBorders>
              <w:top w:val="single" w:sz="6" w:space="0" w:color="auto"/>
              <w:left w:val="single" w:sz="6" w:space="0" w:color="auto"/>
              <w:bottom w:val="single" w:sz="6" w:space="0" w:color="auto"/>
              <w:right w:val="single" w:sz="6" w:space="0" w:color="auto"/>
            </w:tcBorders>
          </w:tcPr>
          <w:p w14:paraId="2C237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Нагнетателем</w:t>
            </w:r>
          </w:p>
        </w:tc>
        <w:tc>
          <w:tcPr>
            <w:tcW w:w="431" w:type="dxa"/>
            <w:tcBorders>
              <w:top w:val="single" w:sz="6" w:space="0" w:color="auto"/>
              <w:left w:val="single" w:sz="6" w:space="0" w:color="auto"/>
              <w:bottom w:val="single" w:sz="6" w:space="0" w:color="auto"/>
              <w:right w:val="single" w:sz="6" w:space="0" w:color="auto"/>
            </w:tcBorders>
          </w:tcPr>
          <w:p w14:paraId="68471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9F67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642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EE5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B34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DE36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DD78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0627A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D02F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58901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41AFB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4044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912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B8C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29B5BC" w14:textId="77777777" w:rsidTr="00ED5B0A">
        <w:tc>
          <w:tcPr>
            <w:tcW w:w="1242" w:type="dxa"/>
            <w:tcBorders>
              <w:top w:val="single" w:sz="6" w:space="0" w:color="auto"/>
              <w:left w:val="single" w:sz="6" w:space="0" w:color="auto"/>
              <w:bottom w:val="single" w:sz="6" w:space="0" w:color="auto"/>
              <w:right w:val="single" w:sz="6" w:space="0" w:color="auto"/>
            </w:tcBorders>
          </w:tcPr>
          <w:p w14:paraId="15381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турбомуфтой</w:t>
            </w:r>
          </w:p>
        </w:tc>
        <w:tc>
          <w:tcPr>
            <w:tcW w:w="431" w:type="dxa"/>
            <w:tcBorders>
              <w:top w:val="single" w:sz="6" w:space="0" w:color="auto"/>
              <w:left w:val="single" w:sz="6" w:space="0" w:color="auto"/>
              <w:bottom w:val="single" w:sz="6" w:space="0" w:color="auto"/>
              <w:right w:val="single" w:sz="6" w:space="0" w:color="auto"/>
            </w:tcBorders>
          </w:tcPr>
          <w:p w14:paraId="237E1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7443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1AB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BF052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D91D0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E07F6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8C2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9E2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C073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B610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4DFC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238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FAD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422F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B333C7" w14:textId="77777777" w:rsidTr="00ED5B0A">
        <w:tc>
          <w:tcPr>
            <w:tcW w:w="1242" w:type="dxa"/>
            <w:tcBorders>
              <w:top w:val="single" w:sz="6" w:space="0" w:color="auto"/>
              <w:left w:val="single" w:sz="6" w:space="0" w:color="auto"/>
              <w:bottom w:val="single" w:sz="6" w:space="0" w:color="auto"/>
              <w:right w:val="single" w:sz="6" w:space="0" w:color="auto"/>
            </w:tcBorders>
          </w:tcPr>
          <w:p w14:paraId="0C2DD8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5D83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B7B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9A72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7624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B71A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150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CDA0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35CA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1A7A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7C0D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C8FB6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469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D77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62F7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399010" w14:textId="77777777" w:rsidTr="00ED5B0A">
        <w:tc>
          <w:tcPr>
            <w:tcW w:w="1242" w:type="dxa"/>
            <w:tcBorders>
              <w:top w:val="single" w:sz="6" w:space="0" w:color="auto"/>
              <w:left w:val="single" w:sz="6" w:space="0" w:color="auto"/>
              <w:bottom w:val="single" w:sz="6" w:space="0" w:color="auto"/>
              <w:right w:val="single" w:sz="6" w:space="0" w:color="auto"/>
            </w:tcBorders>
          </w:tcPr>
          <w:p w14:paraId="10D62C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Мясищев</w:t>
            </w:r>
          </w:p>
        </w:tc>
        <w:tc>
          <w:tcPr>
            <w:tcW w:w="431" w:type="dxa"/>
            <w:tcBorders>
              <w:top w:val="single" w:sz="6" w:space="0" w:color="auto"/>
              <w:left w:val="single" w:sz="6" w:space="0" w:color="auto"/>
              <w:bottom w:val="single" w:sz="6" w:space="0" w:color="auto"/>
              <w:right w:val="single" w:sz="6" w:space="0" w:color="auto"/>
            </w:tcBorders>
          </w:tcPr>
          <w:p w14:paraId="037A5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832D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658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5D8A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918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E65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5F8F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B6BE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6A14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652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3C77D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291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2A59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AE6A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401EE8" w14:textId="77777777" w:rsidTr="00ED5B0A">
        <w:tc>
          <w:tcPr>
            <w:tcW w:w="1242" w:type="dxa"/>
            <w:tcBorders>
              <w:top w:val="single" w:sz="6" w:space="0" w:color="auto"/>
              <w:left w:val="single" w:sz="6" w:space="0" w:color="auto"/>
              <w:bottom w:val="single" w:sz="6" w:space="0" w:color="auto"/>
              <w:right w:val="single" w:sz="6" w:space="0" w:color="auto"/>
            </w:tcBorders>
          </w:tcPr>
          <w:p w14:paraId="62589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431" w:type="dxa"/>
            <w:tcBorders>
              <w:top w:val="single" w:sz="6" w:space="0" w:color="auto"/>
              <w:left w:val="single" w:sz="6" w:space="0" w:color="auto"/>
              <w:bottom w:val="single" w:sz="6" w:space="0" w:color="auto"/>
              <w:right w:val="single" w:sz="6" w:space="0" w:color="auto"/>
            </w:tcBorders>
          </w:tcPr>
          <w:p w14:paraId="7C073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3C533B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6020D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655/</w:t>
            </w:r>
          </w:p>
        </w:tc>
        <w:tc>
          <w:tcPr>
            <w:tcW w:w="567" w:type="dxa"/>
            <w:tcBorders>
              <w:top w:val="single" w:sz="6" w:space="0" w:color="auto"/>
              <w:left w:val="single" w:sz="6" w:space="0" w:color="auto"/>
              <w:bottom w:val="single" w:sz="6" w:space="0" w:color="auto"/>
              <w:right w:val="single" w:sz="6" w:space="0" w:color="auto"/>
            </w:tcBorders>
          </w:tcPr>
          <w:p w14:paraId="67BFB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405A80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6AF32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783" w:type="dxa"/>
            <w:tcBorders>
              <w:top w:val="single" w:sz="6" w:space="0" w:color="auto"/>
              <w:left w:val="single" w:sz="6" w:space="0" w:color="auto"/>
              <w:bottom w:val="single" w:sz="6" w:space="0" w:color="auto"/>
              <w:right w:val="single" w:sz="6" w:space="0" w:color="auto"/>
            </w:tcBorders>
          </w:tcPr>
          <w:p w14:paraId="0CBE8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13000</w:t>
            </w:r>
          </w:p>
        </w:tc>
        <w:tc>
          <w:tcPr>
            <w:tcW w:w="1123" w:type="dxa"/>
            <w:tcBorders>
              <w:top w:val="single" w:sz="6" w:space="0" w:color="auto"/>
              <w:left w:val="single" w:sz="6" w:space="0" w:color="auto"/>
              <w:bottom w:val="single" w:sz="6" w:space="0" w:color="auto"/>
              <w:right w:val="single" w:sz="6" w:space="0" w:color="auto"/>
            </w:tcBorders>
          </w:tcPr>
          <w:p w14:paraId="034DC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5981AF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5F49B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9FCC6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6152F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15.III.44</w:t>
            </w:r>
          </w:p>
        </w:tc>
        <w:tc>
          <w:tcPr>
            <w:tcW w:w="621" w:type="dxa"/>
            <w:tcBorders>
              <w:top w:val="single" w:sz="6" w:space="0" w:color="auto"/>
              <w:left w:val="single" w:sz="6" w:space="0" w:color="auto"/>
              <w:bottom w:val="single" w:sz="6" w:space="0" w:color="auto"/>
              <w:right w:val="single" w:sz="6" w:space="0" w:color="auto"/>
            </w:tcBorders>
          </w:tcPr>
          <w:p w14:paraId="47D52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57C5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361246" w14:textId="77777777" w:rsidTr="00ED5B0A">
        <w:tc>
          <w:tcPr>
            <w:tcW w:w="1242" w:type="dxa"/>
            <w:tcBorders>
              <w:top w:val="single" w:sz="6" w:space="0" w:color="auto"/>
              <w:left w:val="single" w:sz="6" w:space="0" w:color="auto"/>
              <w:bottom w:val="single" w:sz="6" w:space="0" w:color="auto"/>
              <w:right w:val="single" w:sz="6" w:space="0" w:color="auto"/>
            </w:tcBorders>
          </w:tcPr>
          <w:p w14:paraId="48EE8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w:t>
            </w:r>
          </w:p>
        </w:tc>
        <w:tc>
          <w:tcPr>
            <w:tcW w:w="431" w:type="dxa"/>
            <w:tcBorders>
              <w:top w:val="single" w:sz="6" w:space="0" w:color="auto"/>
              <w:left w:val="single" w:sz="6" w:space="0" w:color="auto"/>
              <w:bottom w:val="single" w:sz="6" w:space="0" w:color="auto"/>
              <w:right w:val="single" w:sz="6" w:space="0" w:color="auto"/>
            </w:tcBorders>
          </w:tcPr>
          <w:p w14:paraId="013B4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AD94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84D6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567" w:type="dxa"/>
            <w:tcBorders>
              <w:top w:val="single" w:sz="6" w:space="0" w:color="auto"/>
              <w:left w:val="single" w:sz="6" w:space="0" w:color="auto"/>
              <w:bottom w:val="single" w:sz="6" w:space="0" w:color="auto"/>
              <w:right w:val="single" w:sz="6" w:space="0" w:color="auto"/>
            </w:tcBorders>
          </w:tcPr>
          <w:p w14:paraId="6F30C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E310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 м</w:t>
            </w:r>
          </w:p>
        </w:tc>
        <w:tc>
          <w:tcPr>
            <w:tcW w:w="783" w:type="dxa"/>
            <w:tcBorders>
              <w:top w:val="single" w:sz="6" w:space="0" w:color="auto"/>
              <w:left w:val="single" w:sz="6" w:space="0" w:color="auto"/>
              <w:bottom w:val="single" w:sz="6" w:space="0" w:color="auto"/>
              <w:right w:val="single" w:sz="6" w:space="0" w:color="auto"/>
            </w:tcBorders>
          </w:tcPr>
          <w:p w14:paraId="79162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783" w:type="dxa"/>
            <w:tcBorders>
              <w:top w:val="single" w:sz="6" w:space="0" w:color="auto"/>
              <w:left w:val="single" w:sz="6" w:space="0" w:color="auto"/>
              <w:bottom w:val="single" w:sz="6" w:space="0" w:color="auto"/>
              <w:right w:val="single" w:sz="6" w:space="0" w:color="auto"/>
            </w:tcBorders>
          </w:tcPr>
          <w:p w14:paraId="61F4C9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E37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EBD6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2D524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F64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464F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2797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F2D7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01E24A" w14:textId="77777777" w:rsidTr="00ED5B0A">
        <w:tc>
          <w:tcPr>
            <w:tcW w:w="1242" w:type="dxa"/>
            <w:tcBorders>
              <w:top w:val="single" w:sz="6" w:space="0" w:color="auto"/>
              <w:left w:val="single" w:sz="6" w:space="0" w:color="auto"/>
              <w:bottom w:val="single" w:sz="6" w:space="0" w:color="auto"/>
              <w:right w:val="single" w:sz="6" w:space="0" w:color="auto"/>
            </w:tcBorders>
          </w:tcPr>
          <w:p w14:paraId="0E67C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3E2394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10C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8F8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33C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750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5AB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767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EA43A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 патр.</w:t>
            </w:r>
          </w:p>
        </w:tc>
        <w:tc>
          <w:tcPr>
            <w:tcW w:w="848" w:type="dxa"/>
            <w:tcBorders>
              <w:top w:val="single" w:sz="6" w:space="0" w:color="auto"/>
              <w:left w:val="single" w:sz="6" w:space="0" w:color="auto"/>
              <w:bottom w:val="single" w:sz="6" w:space="0" w:color="auto"/>
              <w:right w:val="single" w:sz="6" w:space="0" w:color="auto"/>
            </w:tcBorders>
          </w:tcPr>
          <w:p w14:paraId="6D6C4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B82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DB90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117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192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0B3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98C222" w14:textId="77777777" w:rsidTr="00ED5B0A">
        <w:tc>
          <w:tcPr>
            <w:tcW w:w="1242" w:type="dxa"/>
            <w:tcBorders>
              <w:top w:val="single" w:sz="6" w:space="0" w:color="auto"/>
              <w:left w:val="single" w:sz="6" w:space="0" w:color="auto"/>
              <w:bottom w:val="single" w:sz="6" w:space="0" w:color="auto"/>
              <w:right w:val="single" w:sz="6" w:space="0" w:color="auto"/>
            </w:tcBorders>
          </w:tcPr>
          <w:p w14:paraId="7D532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перхватчик</w:t>
            </w:r>
          </w:p>
        </w:tc>
        <w:tc>
          <w:tcPr>
            <w:tcW w:w="431" w:type="dxa"/>
            <w:tcBorders>
              <w:top w:val="single" w:sz="6" w:space="0" w:color="auto"/>
              <w:left w:val="single" w:sz="6" w:space="0" w:color="auto"/>
              <w:bottom w:val="single" w:sz="6" w:space="0" w:color="auto"/>
              <w:right w:val="single" w:sz="6" w:space="0" w:color="auto"/>
            </w:tcBorders>
          </w:tcPr>
          <w:p w14:paraId="793345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0A7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AE9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D17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8C41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896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ADFB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79EF4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81B60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D5AF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FEB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E1D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ED2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913B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72AB20" w14:textId="77777777" w:rsidTr="00ED5B0A">
        <w:tc>
          <w:tcPr>
            <w:tcW w:w="1242" w:type="dxa"/>
            <w:tcBorders>
              <w:top w:val="single" w:sz="6" w:space="0" w:color="auto"/>
              <w:left w:val="single" w:sz="6" w:space="0" w:color="auto"/>
              <w:bottom w:val="single" w:sz="6" w:space="0" w:color="auto"/>
              <w:right w:val="single" w:sz="6" w:space="0" w:color="auto"/>
            </w:tcBorders>
          </w:tcPr>
          <w:p w14:paraId="1B5C6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М-82 с</w:t>
            </w:r>
          </w:p>
        </w:tc>
        <w:tc>
          <w:tcPr>
            <w:tcW w:w="431" w:type="dxa"/>
            <w:tcBorders>
              <w:top w:val="single" w:sz="6" w:space="0" w:color="auto"/>
              <w:left w:val="single" w:sz="6" w:space="0" w:color="auto"/>
              <w:bottom w:val="single" w:sz="6" w:space="0" w:color="auto"/>
              <w:right w:val="single" w:sz="6" w:space="0" w:color="auto"/>
            </w:tcBorders>
          </w:tcPr>
          <w:p w14:paraId="4392A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C148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E97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A7F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B53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F69B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AA7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6A2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F2EA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AE47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9B97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FAB8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742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432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F504A5" w14:textId="77777777" w:rsidTr="00ED5B0A">
        <w:tc>
          <w:tcPr>
            <w:tcW w:w="1242" w:type="dxa"/>
            <w:tcBorders>
              <w:top w:val="single" w:sz="6" w:space="0" w:color="auto"/>
              <w:left w:val="single" w:sz="6" w:space="0" w:color="auto"/>
              <w:bottom w:val="single" w:sz="6" w:space="0" w:color="auto"/>
              <w:right w:val="single" w:sz="6" w:space="0" w:color="auto"/>
            </w:tcBorders>
          </w:tcPr>
          <w:p w14:paraId="391BC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ТК-М или</w:t>
            </w:r>
          </w:p>
        </w:tc>
        <w:tc>
          <w:tcPr>
            <w:tcW w:w="431" w:type="dxa"/>
            <w:tcBorders>
              <w:top w:val="single" w:sz="6" w:space="0" w:color="auto"/>
              <w:left w:val="single" w:sz="6" w:space="0" w:color="auto"/>
              <w:bottom w:val="single" w:sz="6" w:space="0" w:color="auto"/>
              <w:right w:val="single" w:sz="6" w:space="0" w:color="auto"/>
            </w:tcBorders>
          </w:tcPr>
          <w:p w14:paraId="797239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E0A09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2A1C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9C44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F87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A34A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657A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A28E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F06A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2D1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D01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946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7E7A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22A3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429A98" w14:textId="77777777" w:rsidTr="00ED5B0A">
        <w:tc>
          <w:tcPr>
            <w:tcW w:w="1242" w:type="dxa"/>
            <w:tcBorders>
              <w:top w:val="single" w:sz="6" w:space="0" w:color="auto"/>
              <w:left w:val="single" w:sz="6" w:space="0" w:color="auto"/>
              <w:bottom w:val="single" w:sz="6" w:space="0" w:color="auto"/>
              <w:right w:val="single" w:sz="6" w:space="0" w:color="auto"/>
            </w:tcBorders>
          </w:tcPr>
          <w:p w14:paraId="46BFD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 с ТК-М</w:t>
            </w:r>
          </w:p>
        </w:tc>
        <w:tc>
          <w:tcPr>
            <w:tcW w:w="431" w:type="dxa"/>
            <w:tcBorders>
              <w:top w:val="single" w:sz="6" w:space="0" w:color="auto"/>
              <w:left w:val="single" w:sz="6" w:space="0" w:color="auto"/>
              <w:bottom w:val="single" w:sz="6" w:space="0" w:color="auto"/>
              <w:right w:val="single" w:sz="6" w:space="0" w:color="auto"/>
            </w:tcBorders>
          </w:tcPr>
          <w:p w14:paraId="490CA4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52284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38A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35E5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EB90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DFE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5F70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5F75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934D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BFB2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D3D9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290E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13F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007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0194A1" w14:textId="77777777" w:rsidTr="00ED5B0A">
        <w:tc>
          <w:tcPr>
            <w:tcW w:w="1242" w:type="dxa"/>
            <w:tcBorders>
              <w:top w:val="single" w:sz="6" w:space="0" w:color="auto"/>
              <w:left w:val="single" w:sz="6" w:space="0" w:color="auto"/>
              <w:bottom w:val="single" w:sz="6" w:space="0" w:color="auto"/>
              <w:right w:val="single" w:sz="6" w:space="0" w:color="auto"/>
            </w:tcBorders>
          </w:tcPr>
          <w:p w14:paraId="14316F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w:t>
            </w:r>
          </w:p>
        </w:tc>
        <w:tc>
          <w:tcPr>
            <w:tcW w:w="431" w:type="dxa"/>
            <w:tcBorders>
              <w:top w:val="single" w:sz="6" w:space="0" w:color="auto"/>
              <w:left w:val="single" w:sz="6" w:space="0" w:color="auto"/>
              <w:bottom w:val="single" w:sz="6" w:space="0" w:color="auto"/>
              <w:right w:val="single" w:sz="6" w:space="0" w:color="auto"/>
            </w:tcBorders>
          </w:tcPr>
          <w:p w14:paraId="4796B5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BB0D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B1F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7CB5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DE6C2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AF4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7FC0A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B3C38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0480A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CBB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4E13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B4F4B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FF0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150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9A1E27" w14:textId="77777777" w:rsidTr="00ED5B0A">
        <w:tc>
          <w:tcPr>
            <w:tcW w:w="1242" w:type="dxa"/>
            <w:tcBorders>
              <w:top w:val="single" w:sz="6" w:space="0" w:color="auto"/>
              <w:left w:val="single" w:sz="6" w:space="0" w:color="auto"/>
              <w:bottom w:val="single" w:sz="6" w:space="0" w:color="auto"/>
              <w:right w:val="single" w:sz="6" w:space="0" w:color="auto"/>
            </w:tcBorders>
          </w:tcPr>
          <w:p w14:paraId="4CAFE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w:t>
            </w:r>
          </w:p>
        </w:tc>
        <w:tc>
          <w:tcPr>
            <w:tcW w:w="431" w:type="dxa"/>
            <w:tcBorders>
              <w:top w:val="single" w:sz="6" w:space="0" w:color="auto"/>
              <w:left w:val="single" w:sz="6" w:space="0" w:color="auto"/>
              <w:bottom w:val="single" w:sz="6" w:space="0" w:color="auto"/>
              <w:right w:val="single" w:sz="6" w:space="0" w:color="auto"/>
            </w:tcBorders>
          </w:tcPr>
          <w:p w14:paraId="148769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DE47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732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EE1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82F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A9C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7877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8C0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71D26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6CE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06211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370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5AA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A88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B2248F" w14:textId="77777777" w:rsidTr="00ED5B0A">
        <w:tc>
          <w:tcPr>
            <w:tcW w:w="1242" w:type="dxa"/>
            <w:tcBorders>
              <w:top w:val="single" w:sz="6" w:space="0" w:color="auto"/>
              <w:left w:val="single" w:sz="6" w:space="0" w:color="auto"/>
              <w:bottom w:val="single" w:sz="6" w:space="0" w:color="auto"/>
              <w:right w:val="single" w:sz="6" w:space="0" w:color="auto"/>
            </w:tcBorders>
          </w:tcPr>
          <w:p w14:paraId="448386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04D634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289B3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567" w:type="dxa"/>
            <w:tcBorders>
              <w:top w:val="single" w:sz="6" w:space="0" w:color="auto"/>
              <w:left w:val="single" w:sz="6" w:space="0" w:color="auto"/>
              <w:bottom w:val="single" w:sz="6" w:space="0" w:color="auto"/>
              <w:right w:val="single" w:sz="6" w:space="0" w:color="auto"/>
            </w:tcBorders>
          </w:tcPr>
          <w:p w14:paraId="6696B5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567" w:type="dxa"/>
            <w:tcBorders>
              <w:top w:val="single" w:sz="6" w:space="0" w:color="auto"/>
              <w:left w:val="single" w:sz="6" w:space="0" w:color="auto"/>
              <w:bottom w:val="single" w:sz="6" w:space="0" w:color="auto"/>
              <w:right w:val="single" w:sz="6" w:space="0" w:color="auto"/>
            </w:tcBorders>
          </w:tcPr>
          <w:p w14:paraId="3EAAB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364D0A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км</w:t>
            </w:r>
          </w:p>
        </w:tc>
        <w:tc>
          <w:tcPr>
            <w:tcW w:w="783" w:type="dxa"/>
            <w:tcBorders>
              <w:top w:val="single" w:sz="6" w:space="0" w:color="auto"/>
              <w:left w:val="single" w:sz="6" w:space="0" w:color="auto"/>
              <w:bottom w:val="single" w:sz="6" w:space="0" w:color="auto"/>
              <w:right w:val="single" w:sz="6" w:space="0" w:color="auto"/>
            </w:tcBorders>
          </w:tcPr>
          <w:p w14:paraId="4493D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6/5000</w:t>
            </w:r>
          </w:p>
        </w:tc>
        <w:tc>
          <w:tcPr>
            <w:tcW w:w="783" w:type="dxa"/>
            <w:tcBorders>
              <w:top w:val="single" w:sz="6" w:space="0" w:color="auto"/>
              <w:left w:val="single" w:sz="6" w:space="0" w:color="auto"/>
              <w:bottom w:val="single" w:sz="6" w:space="0" w:color="auto"/>
              <w:right w:val="single" w:sz="6" w:space="0" w:color="auto"/>
            </w:tcBorders>
          </w:tcPr>
          <w:p w14:paraId="778EE7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404A9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08BD0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0/600</w:t>
            </w:r>
          </w:p>
        </w:tc>
        <w:tc>
          <w:tcPr>
            <w:tcW w:w="410" w:type="dxa"/>
            <w:tcBorders>
              <w:top w:val="single" w:sz="6" w:space="0" w:color="auto"/>
              <w:left w:val="single" w:sz="6" w:space="0" w:color="auto"/>
              <w:bottom w:val="single" w:sz="6" w:space="0" w:color="auto"/>
              <w:right w:val="single" w:sz="6" w:space="0" w:color="auto"/>
            </w:tcBorders>
          </w:tcPr>
          <w:p w14:paraId="56F772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DE1A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Сиденье</w:t>
            </w:r>
          </w:p>
        </w:tc>
        <w:tc>
          <w:tcPr>
            <w:tcW w:w="922" w:type="dxa"/>
            <w:tcBorders>
              <w:top w:val="single" w:sz="6" w:space="0" w:color="auto"/>
              <w:left w:val="single" w:sz="6" w:space="0" w:color="auto"/>
              <w:bottom w:val="single" w:sz="6" w:space="0" w:color="auto"/>
              <w:right w:val="single" w:sz="6" w:space="0" w:color="auto"/>
            </w:tcBorders>
          </w:tcPr>
          <w:p w14:paraId="05A5C4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1.III.44</w:t>
            </w:r>
          </w:p>
        </w:tc>
        <w:tc>
          <w:tcPr>
            <w:tcW w:w="621" w:type="dxa"/>
            <w:tcBorders>
              <w:top w:val="single" w:sz="6" w:space="0" w:color="auto"/>
              <w:left w:val="single" w:sz="6" w:space="0" w:color="auto"/>
              <w:bottom w:val="single" w:sz="6" w:space="0" w:color="auto"/>
              <w:right w:val="single" w:sz="6" w:space="0" w:color="auto"/>
            </w:tcBorders>
          </w:tcPr>
          <w:p w14:paraId="43748C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49B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D2945F" w14:textId="77777777" w:rsidTr="00ED5B0A">
        <w:tc>
          <w:tcPr>
            <w:tcW w:w="1242" w:type="dxa"/>
            <w:tcBorders>
              <w:top w:val="single" w:sz="6" w:space="0" w:color="auto"/>
              <w:left w:val="single" w:sz="6" w:space="0" w:color="auto"/>
              <w:bottom w:val="single" w:sz="6" w:space="0" w:color="auto"/>
              <w:right w:val="single" w:sz="6" w:space="0" w:color="auto"/>
            </w:tcBorders>
          </w:tcPr>
          <w:p w14:paraId="0C314E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5A8D1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BA0E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CA8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01D49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AB53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 м</w:t>
            </w:r>
          </w:p>
        </w:tc>
        <w:tc>
          <w:tcPr>
            <w:tcW w:w="783" w:type="dxa"/>
            <w:tcBorders>
              <w:top w:val="single" w:sz="6" w:space="0" w:color="auto"/>
              <w:left w:val="single" w:sz="6" w:space="0" w:color="auto"/>
              <w:bottom w:val="single" w:sz="6" w:space="0" w:color="auto"/>
              <w:right w:val="single" w:sz="6" w:space="0" w:color="auto"/>
            </w:tcBorders>
          </w:tcPr>
          <w:p w14:paraId="119C2C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67D5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6CF9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неподвижн.</w:t>
            </w:r>
          </w:p>
        </w:tc>
        <w:tc>
          <w:tcPr>
            <w:tcW w:w="848" w:type="dxa"/>
            <w:tcBorders>
              <w:top w:val="single" w:sz="6" w:space="0" w:color="auto"/>
              <w:left w:val="single" w:sz="6" w:space="0" w:color="auto"/>
              <w:bottom w:val="single" w:sz="6" w:space="0" w:color="auto"/>
              <w:right w:val="single" w:sz="6" w:space="0" w:color="auto"/>
            </w:tcBorders>
          </w:tcPr>
          <w:p w14:paraId="189E2A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6D6F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B387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 с</w:t>
            </w:r>
          </w:p>
        </w:tc>
        <w:tc>
          <w:tcPr>
            <w:tcW w:w="922" w:type="dxa"/>
            <w:tcBorders>
              <w:top w:val="single" w:sz="6" w:space="0" w:color="auto"/>
              <w:left w:val="single" w:sz="6" w:space="0" w:color="auto"/>
              <w:bottom w:val="single" w:sz="6" w:space="0" w:color="auto"/>
              <w:right w:val="single" w:sz="6" w:space="0" w:color="auto"/>
            </w:tcBorders>
          </w:tcPr>
          <w:p w14:paraId="026963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2382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545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0B8CCF" w14:textId="77777777" w:rsidTr="00ED5B0A">
        <w:tc>
          <w:tcPr>
            <w:tcW w:w="1242" w:type="dxa"/>
            <w:tcBorders>
              <w:top w:val="single" w:sz="6" w:space="0" w:color="auto"/>
              <w:left w:val="single" w:sz="6" w:space="0" w:color="auto"/>
              <w:bottom w:val="single" w:sz="6" w:space="0" w:color="auto"/>
              <w:right w:val="single" w:sz="6" w:space="0" w:color="auto"/>
            </w:tcBorders>
          </w:tcPr>
          <w:p w14:paraId="6492F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дальнего</w:t>
            </w:r>
          </w:p>
        </w:tc>
        <w:tc>
          <w:tcPr>
            <w:tcW w:w="431" w:type="dxa"/>
            <w:tcBorders>
              <w:top w:val="single" w:sz="6" w:space="0" w:color="auto"/>
              <w:left w:val="single" w:sz="6" w:space="0" w:color="auto"/>
              <w:bottom w:val="single" w:sz="6" w:space="0" w:color="auto"/>
              <w:right w:val="single" w:sz="6" w:space="0" w:color="auto"/>
            </w:tcBorders>
          </w:tcPr>
          <w:p w14:paraId="765FD0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4CAB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6EAA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3961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B5F5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w:t>
            </w:r>
          </w:p>
        </w:tc>
        <w:tc>
          <w:tcPr>
            <w:tcW w:w="783" w:type="dxa"/>
            <w:tcBorders>
              <w:top w:val="single" w:sz="6" w:space="0" w:color="auto"/>
              <w:left w:val="single" w:sz="6" w:space="0" w:color="auto"/>
              <w:bottom w:val="single" w:sz="6" w:space="0" w:color="auto"/>
              <w:right w:val="single" w:sz="6" w:space="0" w:color="auto"/>
            </w:tcBorders>
          </w:tcPr>
          <w:p w14:paraId="1F9E8B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610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EAF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0491AF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40B4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FA8BA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надголов.</w:t>
            </w:r>
          </w:p>
        </w:tc>
        <w:tc>
          <w:tcPr>
            <w:tcW w:w="922" w:type="dxa"/>
            <w:tcBorders>
              <w:top w:val="single" w:sz="6" w:space="0" w:color="auto"/>
              <w:left w:val="single" w:sz="6" w:space="0" w:color="auto"/>
              <w:bottom w:val="single" w:sz="6" w:space="0" w:color="auto"/>
              <w:right w:val="single" w:sz="6" w:space="0" w:color="auto"/>
            </w:tcBorders>
          </w:tcPr>
          <w:p w14:paraId="27164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89CF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AE7D6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08358F" w14:textId="77777777" w:rsidTr="00ED5B0A">
        <w:tc>
          <w:tcPr>
            <w:tcW w:w="1242" w:type="dxa"/>
            <w:tcBorders>
              <w:top w:val="single" w:sz="6" w:space="0" w:color="auto"/>
              <w:left w:val="single" w:sz="6" w:space="0" w:color="auto"/>
              <w:bottom w:val="single" w:sz="6" w:space="0" w:color="auto"/>
              <w:right w:val="single" w:sz="6" w:space="0" w:color="auto"/>
            </w:tcBorders>
          </w:tcPr>
          <w:p w14:paraId="4525C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w:t>
            </w:r>
          </w:p>
        </w:tc>
        <w:tc>
          <w:tcPr>
            <w:tcW w:w="431" w:type="dxa"/>
            <w:tcBorders>
              <w:top w:val="single" w:sz="6" w:space="0" w:color="auto"/>
              <w:left w:val="single" w:sz="6" w:space="0" w:color="auto"/>
              <w:bottom w:val="single" w:sz="6" w:space="0" w:color="auto"/>
              <w:right w:val="single" w:sz="6" w:space="0" w:color="auto"/>
            </w:tcBorders>
          </w:tcPr>
          <w:p w14:paraId="54E11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948D6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599B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A8D3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C714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 км/час</w:t>
            </w:r>
          </w:p>
        </w:tc>
        <w:tc>
          <w:tcPr>
            <w:tcW w:w="783" w:type="dxa"/>
            <w:tcBorders>
              <w:top w:val="single" w:sz="6" w:space="0" w:color="auto"/>
              <w:left w:val="single" w:sz="6" w:space="0" w:color="auto"/>
              <w:bottom w:val="single" w:sz="6" w:space="0" w:color="auto"/>
              <w:right w:val="single" w:sz="6" w:space="0" w:color="auto"/>
            </w:tcBorders>
          </w:tcPr>
          <w:p w14:paraId="657B3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295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FE32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32F711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7532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A0F6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передний</w:t>
            </w:r>
          </w:p>
        </w:tc>
        <w:tc>
          <w:tcPr>
            <w:tcW w:w="922" w:type="dxa"/>
            <w:tcBorders>
              <w:top w:val="single" w:sz="6" w:space="0" w:color="auto"/>
              <w:left w:val="single" w:sz="6" w:space="0" w:color="auto"/>
              <w:bottom w:val="single" w:sz="6" w:space="0" w:color="auto"/>
              <w:right w:val="single" w:sz="6" w:space="0" w:color="auto"/>
            </w:tcBorders>
          </w:tcPr>
          <w:p w14:paraId="6B661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A416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FE5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5C2981" w14:textId="77777777" w:rsidTr="00ED5B0A">
        <w:tc>
          <w:tcPr>
            <w:tcW w:w="1242" w:type="dxa"/>
            <w:tcBorders>
              <w:top w:val="single" w:sz="6" w:space="0" w:color="auto"/>
              <w:left w:val="single" w:sz="6" w:space="0" w:color="auto"/>
              <w:bottom w:val="single" w:sz="6" w:space="0" w:color="auto"/>
              <w:right w:val="single" w:sz="6" w:space="0" w:color="auto"/>
            </w:tcBorders>
          </w:tcPr>
          <w:p w14:paraId="09FB7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он же </w:t>
            </w:r>
          </w:p>
        </w:tc>
        <w:tc>
          <w:tcPr>
            <w:tcW w:w="431" w:type="dxa"/>
            <w:tcBorders>
              <w:top w:val="single" w:sz="6" w:space="0" w:color="auto"/>
              <w:left w:val="single" w:sz="6" w:space="0" w:color="auto"/>
              <w:bottom w:val="single" w:sz="6" w:space="0" w:color="auto"/>
              <w:right w:val="single" w:sz="6" w:space="0" w:color="auto"/>
            </w:tcBorders>
          </w:tcPr>
          <w:p w14:paraId="0F099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F02C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E786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2E59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1B36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055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169E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C8C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3B465D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572B2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C2BB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щит и</w:t>
            </w:r>
          </w:p>
        </w:tc>
        <w:tc>
          <w:tcPr>
            <w:tcW w:w="922" w:type="dxa"/>
            <w:tcBorders>
              <w:top w:val="single" w:sz="6" w:space="0" w:color="auto"/>
              <w:left w:val="single" w:sz="6" w:space="0" w:color="auto"/>
              <w:bottom w:val="single" w:sz="6" w:space="0" w:color="auto"/>
              <w:right w:val="single" w:sz="6" w:space="0" w:color="auto"/>
            </w:tcBorders>
          </w:tcPr>
          <w:p w14:paraId="649AD3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BAD1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09F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8308EB" w14:textId="77777777" w:rsidTr="00ED5B0A">
        <w:tc>
          <w:tcPr>
            <w:tcW w:w="1242" w:type="dxa"/>
            <w:tcBorders>
              <w:top w:val="single" w:sz="6" w:space="0" w:color="auto"/>
              <w:left w:val="single" w:sz="6" w:space="0" w:color="auto"/>
              <w:bottom w:val="single" w:sz="6" w:space="0" w:color="auto"/>
              <w:right w:val="single" w:sz="6" w:space="0" w:color="auto"/>
            </w:tcBorders>
          </w:tcPr>
          <w:p w14:paraId="36B10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ночной</w:t>
            </w:r>
          </w:p>
        </w:tc>
        <w:tc>
          <w:tcPr>
            <w:tcW w:w="431" w:type="dxa"/>
            <w:tcBorders>
              <w:top w:val="single" w:sz="6" w:space="0" w:color="auto"/>
              <w:left w:val="single" w:sz="6" w:space="0" w:color="auto"/>
              <w:bottom w:val="single" w:sz="6" w:space="0" w:color="auto"/>
              <w:right w:val="single" w:sz="6" w:space="0" w:color="auto"/>
            </w:tcBorders>
          </w:tcPr>
          <w:p w14:paraId="414AFD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F3A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38F0B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C71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2D9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E57A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A12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E34ED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2F8A7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F471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5B00B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козырек</w:t>
            </w:r>
          </w:p>
        </w:tc>
        <w:tc>
          <w:tcPr>
            <w:tcW w:w="922" w:type="dxa"/>
            <w:tcBorders>
              <w:top w:val="single" w:sz="6" w:space="0" w:color="auto"/>
              <w:left w:val="single" w:sz="6" w:space="0" w:color="auto"/>
              <w:bottom w:val="single" w:sz="6" w:space="0" w:color="auto"/>
              <w:right w:val="single" w:sz="6" w:space="0" w:color="auto"/>
            </w:tcBorders>
          </w:tcPr>
          <w:p w14:paraId="5DBC1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5369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15F5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87B5D0" w14:textId="77777777" w:rsidTr="00ED5B0A">
        <w:tc>
          <w:tcPr>
            <w:tcW w:w="1242" w:type="dxa"/>
            <w:tcBorders>
              <w:top w:val="single" w:sz="6" w:space="0" w:color="auto"/>
              <w:left w:val="single" w:sz="6" w:space="0" w:color="auto"/>
              <w:bottom w:val="single" w:sz="6" w:space="0" w:color="auto"/>
              <w:right w:val="single" w:sz="6" w:space="0" w:color="auto"/>
            </w:tcBorders>
          </w:tcPr>
          <w:p w14:paraId="05FA0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 и</w:t>
            </w:r>
          </w:p>
        </w:tc>
        <w:tc>
          <w:tcPr>
            <w:tcW w:w="431" w:type="dxa"/>
            <w:tcBorders>
              <w:top w:val="single" w:sz="6" w:space="0" w:color="auto"/>
              <w:left w:val="single" w:sz="6" w:space="0" w:color="auto"/>
              <w:bottom w:val="single" w:sz="6" w:space="0" w:color="auto"/>
              <w:right w:val="single" w:sz="6" w:space="0" w:color="auto"/>
            </w:tcBorders>
          </w:tcPr>
          <w:p w14:paraId="638F4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2EF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92E8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ED5D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E370D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185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A7F5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748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3787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459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9A1C2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w:t>
            </w:r>
          </w:p>
        </w:tc>
        <w:tc>
          <w:tcPr>
            <w:tcW w:w="922" w:type="dxa"/>
            <w:tcBorders>
              <w:top w:val="single" w:sz="6" w:space="0" w:color="auto"/>
              <w:left w:val="single" w:sz="6" w:space="0" w:color="auto"/>
              <w:bottom w:val="single" w:sz="6" w:space="0" w:color="auto"/>
              <w:right w:val="single" w:sz="6" w:space="0" w:color="auto"/>
            </w:tcBorders>
          </w:tcPr>
          <w:p w14:paraId="0DADC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10CE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CE75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FD8259" w14:textId="77777777" w:rsidTr="00ED5B0A">
        <w:tc>
          <w:tcPr>
            <w:tcW w:w="1242" w:type="dxa"/>
            <w:tcBorders>
              <w:top w:val="single" w:sz="6" w:space="0" w:color="auto"/>
              <w:left w:val="single" w:sz="6" w:space="0" w:color="auto"/>
              <w:bottom w:val="single" w:sz="6" w:space="0" w:color="auto"/>
              <w:right w:val="single" w:sz="6" w:space="0" w:color="auto"/>
            </w:tcBorders>
          </w:tcPr>
          <w:p w14:paraId="2256E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фоторазвед.</w:t>
            </w:r>
          </w:p>
        </w:tc>
        <w:tc>
          <w:tcPr>
            <w:tcW w:w="431" w:type="dxa"/>
            <w:tcBorders>
              <w:top w:val="single" w:sz="6" w:space="0" w:color="auto"/>
              <w:left w:val="single" w:sz="6" w:space="0" w:color="auto"/>
              <w:bottom w:val="single" w:sz="6" w:space="0" w:color="auto"/>
              <w:right w:val="single" w:sz="6" w:space="0" w:color="auto"/>
            </w:tcBorders>
          </w:tcPr>
          <w:p w14:paraId="7B7B3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F665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A4D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BB7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D0B4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B43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2B5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95F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патр.</w:t>
            </w:r>
          </w:p>
        </w:tc>
        <w:tc>
          <w:tcPr>
            <w:tcW w:w="848" w:type="dxa"/>
            <w:tcBorders>
              <w:top w:val="single" w:sz="6" w:space="0" w:color="auto"/>
              <w:left w:val="single" w:sz="6" w:space="0" w:color="auto"/>
              <w:bottom w:val="single" w:sz="6" w:space="0" w:color="auto"/>
              <w:right w:val="single" w:sz="6" w:space="0" w:color="auto"/>
            </w:tcBorders>
          </w:tcPr>
          <w:p w14:paraId="49524C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4115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CF57B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летчика</w:t>
            </w:r>
          </w:p>
        </w:tc>
        <w:tc>
          <w:tcPr>
            <w:tcW w:w="922" w:type="dxa"/>
            <w:tcBorders>
              <w:top w:val="single" w:sz="6" w:space="0" w:color="auto"/>
              <w:left w:val="single" w:sz="6" w:space="0" w:color="auto"/>
              <w:bottom w:val="single" w:sz="6" w:space="0" w:color="auto"/>
              <w:right w:val="single" w:sz="6" w:space="0" w:color="auto"/>
            </w:tcBorders>
          </w:tcPr>
          <w:p w14:paraId="50854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A95E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3A29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616255" w14:textId="77777777" w:rsidTr="00ED5B0A">
        <w:tc>
          <w:tcPr>
            <w:tcW w:w="1242" w:type="dxa"/>
            <w:tcBorders>
              <w:top w:val="single" w:sz="6" w:space="0" w:color="auto"/>
              <w:left w:val="single" w:sz="6" w:space="0" w:color="auto"/>
              <w:bottom w:val="single" w:sz="6" w:space="0" w:color="auto"/>
              <w:right w:val="single" w:sz="6" w:space="0" w:color="auto"/>
            </w:tcBorders>
          </w:tcPr>
          <w:p w14:paraId="3B7E7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E1D50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59EF6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5483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451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21A3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7EEA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F0E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D58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Назад</w:t>
            </w:r>
          </w:p>
        </w:tc>
        <w:tc>
          <w:tcPr>
            <w:tcW w:w="848" w:type="dxa"/>
            <w:tcBorders>
              <w:top w:val="single" w:sz="6" w:space="0" w:color="auto"/>
              <w:left w:val="single" w:sz="6" w:space="0" w:color="auto"/>
              <w:bottom w:val="single" w:sz="6" w:space="0" w:color="auto"/>
              <w:right w:val="single" w:sz="6" w:space="0" w:color="auto"/>
            </w:tcBorders>
          </w:tcPr>
          <w:p w14:paraId="71208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8505C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F82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защита со</w:t>
            </w:r>
          </w:p>
        </w:tc>
        <w:tc>
          <w:tcPr>
            <w:tcW w:w="922" w:type="dxa"/>
            <w:tcBorders>
              <w:top w:val="single" w:sz="6" w:space="0" w:color="auto"/>
              <w:left w:val="single" w:sz="6" w:space="0" w:color="auto"/>
              <w:bottom w:val="single" w:sz="6" w:space="0" w:color="auto"/>
              <w:right w:val="single" w:sz="6" w:space="0" w:color="auto"/>
            </w:tcBorders>
          </w:tcPr>
          <w:p w14:paraId="051EB1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8FA3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8347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CF960C" w14:textId="77777777" w:rsidTr="00ED5B0A">
        <w:tc>
          <w:tcPr>
            <w:tcW w:w="1242" w:type="dxa"/>
            <w:tcBorders>
              <w:top w:val="single" w:sz="6" w:space="0" w:color="auto"/>
              <w:left w:val="single" w:sz="6" w:space="0" w:color="auto"/>
              <w:bottom w:val="single" w:sz="6" w:space="0" w:color="auto"/>
              <w:right w:val="single" w:sz="6" w:space="0" w:color="auto"/>
            </w:tcBorders>
          </w:tcPr>
          <w:p w14:paraId="000630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87C5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D6FD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D2BC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849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F54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CAC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6A7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AB3FC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турельная</w:t>
            </w:r>
          </w:p>
        </w:tc>
        <w:tc>
          <w:tcPr>
            <w:tcW w:w="848" w:type="dxa"/>
            <w:tcBorders>
              <w:top w:val="single" w:sz="6" w:space="0" w:color="auto"/>
              <w:left w:val="single" w:sz="6" w:space="0" w:color="auto"/>
              <w:bottom w:val="single" w:sz="6" w:space="0" w:color="auto"/>
              <w:right w:val="single" w:sz="6" w:space="0" w:color="auto"/>
            </w:tcBorders>
          </w:tcPr>
          <w:p w14:paraId="35F66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90235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4CA6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стороны</w:t>
            </w:r>
          </w:p>
        </w:tc>
        <w:tc>
          <w:tcPr>
            <w:tcW w:w="922" w:type="dxa"/>
            <w:tcBorders>
              <w:top w:val="single" w:sz="6" w:space="0" w:color="auto"/>
              <w:left w:val="single" w:sz="6" w:space="0" w:color="auto"/>
              <w:bottom w:val="single" w:sz="6" w:space="0" w:color="auto"/>
              <w:right w:val="single" w:sz="6" w:space="0" w:color="auto"/>
            </w:tcBorders>
          </w:tcPr>
          <w:p w14:paraId="14EE9A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B111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E9F1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96FCC3" w14:textId="77777777" w:rsidTr="00ED5B0A">
        <w:tc>
          <w:tcPr>
            <w:tcW w:w="1242" w:type="dxa"/>
            <w:tcBorders>
              <w:top w:val="single" w:sz="6" w:space="0" w:color="auto"/>
              <w:left w:val="single" w:sz="6" w:space="0" w:color="auto"/>
              <w:bottom w:val="single" w:sz="6" w:space="0" w:color="auto"/>
              <w:right w:val="single" w:sz="6" w:space="0" w:color="auto"/>
            </w:tcBorders>
          </w:tcPr>
          <w:p w14:paraId="36BC0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64A9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94A1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F19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C3F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0293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E71A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03A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3D2F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848" w:type="dxa"/>
            <w:tcBorders>
              <w:top w:val="single" w:sz="6" w:space="0" w:color="auto"/>
              <w:left w:val="single" w:sz="6" w:space="0" w:color="auto"/>
              <w:bottom w:val="single" w:sz="6" w:space="0" w:color="auto"/>
              <w:right w:val="single" w:sz="6" w:space="0" w:color="auto"/>
            </w:tcBorders>
          </w:tcPr>
          <w:p w14:paraId="2FA31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F74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F1161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28E6C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9AE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7939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23C674" w14:textId="77777777" w:rsidTr="00ED5B0A">
        <w:tc>
          <w:tcPr>
            <w:tcW w:w="1242" w:type="dxa"/>
            <w:tcBorders>
              <w:top w:val="single" w:sz="6" w:space="0" w:color="auto"/>
              <w:left w:val="single" w:sz="6" w:space="0" w:color="auto"/>
              <w:bottom w:val="single" w:sz="6" w:space="0" w:color="auto"/>
              <w:right w:val="single" w:sz="6" w:space="0" w:color="auto"/>
            </w:tcBorders>
          </w:tcPr>
          <w:p w14:paraId="466B7F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5078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E08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FA6F0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6AE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9CE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F0A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42E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B27D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1F64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F9237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757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31B7E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C6E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522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C4101F" w14:textId="77777777" w:rsidTr="00ED5B0A">
        <w:tc>
          <w:tcPr>
            <w:tcW w:w="1242" w:type="dxa"/>
            <w:tcBorders>
              <w:top w:val="single" w:sz="6" w:space="0" w:color="auto"/>
              <w:left w:val="single" w:sz="6" w:space="0" w:color="auto"/>
              <w:bottom w:val="single" w:sz="6" w:space="0" w:color="auto"/>
              <w:right w:val="single" w:sz="6" w:space="0" w:color="auto"/>
            </w:tcBorders>
          </w:tcPr>
          <w:p w14:paraId="3D815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5642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F157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2D99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53B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DB9D6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692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E3C4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06E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2F7A1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10438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0707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w:t>
            </w:r>
          </w:p>
        </w:tc>
        <w:tc>
          <w:tcPr>
            <w:tcW w:w="922" w:type="dxa"/>
            <w:tcBorders>
              <w:top w:val="single" w:sz="6" w:space="0" w:color="auto"/>
              <w:left w:val="single" w:sz="6" w:space="0" w:color="auto"/>
              <w:bottom w:val="single" w:sz="6" w:space="0" w:color="auto"/>
              <w:right w:val="single" w:sz="6" w:space="0" w:color="auto"/>
            </w:tcBorders>
          </w:tcPr>
          <w:p w14:paraId="3AB97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25A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04B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4E1E9E" w14:textId="77777777" w:rsidTr="00ED5B0A">
        <w:tc>
          <w:tcPr>
            <w:tcW w:w="1242" w:type="dxa"/>
            <w:tcBorders>
              <w:top w:val="single" w:sz="6" w:space="0" w:color="auto"/>
              <w:left w:val="single" w:sz="6" w:space="0" w:color="auto"/>
              <w:bottom w:val="single" w:sz="6" w:space="0" w:color="auto"/>
              <w:right w:val="single" w:sz="6" w:space="0" w:color="auto"/>
            </w:tcBorders>
          </w:tcPr>
          <w:p w14:paraId="1FAB6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E9B3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35D7D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A653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E6E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455A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13CD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C359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4E35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 патр.</w:t>
            </w:r>
          </w:p>
        </w:tc>
        <w:tc>
          <w:tcPr>
            <w:tcW w:w="848" w:type="dxa"/>
            <w:tcBorders>
              <w:top w:val="single" w:sz="6" w:space="0" w:color="auto"/>
              <w:left w:val="single" w:sz="6" w:space="0" w:color="auto"/>
              <w:bottom w:val="single" w:sz="6" w:space="0" w:color="auto"/>
              <w:right w:val="single" w:sz="6" w:space="0" w:color="auto"/>
            </w:tcBorders>
          </w:tcPr>
          <w:p w14:paraId="666A6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C32D1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4A12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стрелка</w:t>
            </w:r>
          </w:p>
        </w:tc>
        <w:tc>
          <w:tcPr>
            <w:tcW w:w="922" w:type="dxa"/>
            <w:tcBorders>
              <w:top w:val="single" w:sz="6" w:space="0" w:color="auto"/>
              <w:left w:val="single" w:sz="6" w:space="0" w:color="auto"/>
              <w:bottom w:val="single" w:sz="6" w:space="0" w:color="auto"/>
              <w:right w:val="single" w:sz="6" w:space="0" w:color="auto"/>
            </w:tcBorders>
          </w:tcPr>
          <w:p w14:paraId="16A776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7F8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591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B51829" w14:textId="77777777" w:rsidTr="00ED5B0A">
        <w:tc>
          <w:tcPr>
            <w:tcW w:w="1242" w:type="dxa"/>
            <w:tcBorders>
              <w:top w:val="single" w:sz="6" w:space="0" w:color="auto"/>
              <w:left w:val="single" w:sz="6" w:space="0" w:color="auto"/>
              <w:bottom w:val="single" w:sz="6" w:space="0" w:color="auto"/>
              <w:right w:val="single" w:sz="6" w:space="0" w:color="auto"/>
            </w:tcBorders>
          </w:tcPr>
          <w:p w14:paraId="17F97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Опытные истребители, переходящие с плана 1942 года на 1943 год.</w:t>
            </w:r>
          </w:p>
        </w:tc>
        <w:tc>
          <w:tcPr>
            <w:tcW w:w="431" w:type="dxa"/>
            <w:tcBorders>
              <w:top w:val="single" w:sz="6" w:space="0" w:color="auto"/>
              <w:left w:val="single" w:sz="6" w:space="0" w:color="auto"/>
              <w:bottom w:val="single" w:sz="6" w:space="0" w:color="auto"/>
              <w:right w:val="single" w:sz="6" w:space="0" w:color="auto"/>
            </w:tcBorders>
          </w:tcPr>
          <w:p w14:paraId="5930B4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7D9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138F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775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3EB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53E3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391C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09D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B026D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72B9F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8443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1F4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1F40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60B9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B42EFD" w14:textId="77777777" w:rsidTr="00ED5B0A">
        <w:tc>
          <w:tcPr>
            <w:tcW w:w="1242" w:type="dxa"/>
            <w:tcBorders>
              <w:top w:val="single" w:sz="6" w:space="0" w:color="auto"/>
              <w:left w:val="single" w:sz="6" w:space="0" w:color="auto"/>
              <w:bottom w:val="single" w:sz="6" w:space="0" w:color="auto"/>
              <w:right w:val="single" w:sz="6" w:space="0" w:color="auto"/>
            </w:tcBorders>
          </w:tcPr>
          <w:p w14:paraId="3C6C9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1-местн.</w:t>
            </w:r>
          </w:p>
        </w:tc>
        <w:tc>
          <w:tcPr>
            <w:tcW w:w="431" w:type="dxa"/>
            <w:tcBorders>
              <w:top w:val="single" w:sz="6" w:space="0" w:color="auto"/>
              <w:left w:val="single" w:sz="6" w:space="0" w:color="auto"/>
              <w:bottom w:val="single" w:sz="6" w:space="0" w:color="auto"/>
              <w:right w:val="single" w:sz="6" w:space="0" w:color="auto"/>
            </w:tcBorders>
          </w:tcPr>
          <w:p w14:paraId="2D2A6F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5010F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w:t>
            </w:r>
          </w:p>
        </w:tc>
        <w:tc>
          <w:tcPr>
            <w:tcW w:w="567" w:type="dxa"/>
            <w:tcBorders>
              <w:top w:val="single" w:sz="6" w:space="0" w:color="auto"/>
              <w:left w:val="single" w:sz="6" w:space="0" w:color="auto"/>
              <w:bottom w:val="single" w:sz="6" w:space="0" w:color="auto"/>
              <w:right w:val="single" w:sz="6" w:space="0" w:color="auto"/>
            </w:tcBorders>
          </w:tcPr>
          <w:p w14:paraId="357A0B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c>
          <w:tcPr>
            <w:tcW w:w="567" w:type="dxa"/>
            <w:tcBorders>
              <w:top w:val="single" w:sz="6" w:space="0" w:color="auto"/>
              <w:left w:val="single" w:sz="6" w:space="0" w:color="auto"/>
              <w:bottom w:val="single" w:sz="6" w:space="0" w:color="auto"/>
              <w:right w:val="single" w:sz="6" w:space="0" w:color="auto"/>
            </w:tcBorders>
          </w:tcPr>
          <w:p w14:paraId="2629C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2BCC6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при</w:t>
            </w:r>
          </w:p>
        </w:tc>
        <w:tc>
          <w:tcPr>
            <w:tcW w:w="783" w:type="dxa"/>
            <w:tcBorders>
              <w:top w:val="single" w:sz="6" w:space="0" w:color="auto"/>
              <w:left w:val="single" w:sz="6" w:space="0" w:color="auto"/>
              <w:bottom w:val="single" w:sz="6" w:space="0" w:color="auto"/>
              <w:right w:val="single" w:sz="6" w:space="0" w:color="auto"/>
            </w:tcBorders>
          </w:tcPr>
          <w:p w14:paraId="5B14A2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w:t>
            </w:r>
          </w:p>
        </w:tc>
        <w:tc>
          <w:tcPr>
            <w:tcW w:w="783" w:type="dxa"/>
            <w:tcBorders>
              <w:top w:val="single" w:sz="6" w:space="0" w:color="auto"/>
              <w:left w:val="single" w:sz="6" w:space="0" w:color="auto"/>
              <w:bottom w:val="single" w:sz="6" w:space="0" w:color="auto"/>
              <w:right w:val="single" w:sz="6" w:space="0" w:color="auto"/>
            </w:tcBorders>
          </w:tcPr>
          <w:p w14:paraId="41B15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4A705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пушки</w:t>
            </w:r>
          </w:p>
        </w:tc>
        <w:tc>
          <w:tcPr>
            <w:tcW w:w="848" w:type="dxa"/>
            <w:tcBorders>
              <w:top w:val="single" w:sz="6" w:space="0" w:color="auto"/>
              <w:left w:val="single" w:sz="6" w:space="0" w:color="auto"/>
              <w:bottom w:val="single" w:sz="6" w:space="0" w:color="auto"/>
              <w:right w:val="single" w:sz="6" w:space="0" w:color="auto"/>
            </w:tcBorders>
          </w:tcPr>
          <w:p w14:paraId="537BE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410" w:type="dxa"/>
            <w:tcBorders>
              <w:top w:val="single" w:sz="6" w:space="0" w:color="auto"/>
              <w:left w:val="single" w:sz="6" w:space="0" w:color="auto"/>
              <w:bottom w:val="single" w:sz="6" w:space="0" w:color="auto"/>
              <w:right w:val="single" w:sz="6" w:space="0" w:color="auto"/>
            </w:tcBorders>
          </w:tcPr>
          <w:p w14:paraId="52E04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0FCD0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Сиденье</w:t>
            </w:r>
          </w:p>
        </w:tc>
        <w:tc>
          <w:tcPr>
            <w:tcW w:w="922" w:type="dxa"/>
            <w:tcBorders>
              <w:top w:val="single" w:sz="6" w:space="0" w:color="auto"/>
              <w:left w:val="single" w:sz="6" w:space="0" w:color="auto"/>
              <w:bottom w:val="single" w:sz="6" w:space="0" w:color="auto"/>
              <w:right w:val="single" w:sz="6" w:space="0" w:color="auto"/>
            </w:tcBorders>
          </w:tcPr>
          <w:p w14:paraId="7DCFD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1.VI.43</w:t>
            </w:r>
          </w:p>
        </w:tc>
        <w:tc>
          <w:tcPr>
            <w:tcW w:w="621" w:type="dxa"/>
            <w:tcBorders>
              <w:top w:val="single" w:sz="6" w:space="0" w:color="auto"/>
              <w:left w:val="single" w:sz="6" w:space="0" w:color="auto"/>
              <w:bottom w:val="single" w:sz="6" w:space="0" w:color="auto"/>
              <w:right w:val="single" w:sz="6" w:space="0" w:color="auto"/>
            </w:tcBorders>
          </w:tcPr>
          <w:p w14:paraId="299914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B34D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A9BC70" w14:textId="77777777" w:rsidTr="00ED5B0A">
        <w:tc>
          <w:tcPr>
            <w:tcW w:w="1242" w:type="dxa"/>
            <w:tcBorders>
              <w:top w:val="single" w:sz="6" w:space="0" w:color="auto"/>
              <w:left w:val="single" w:sz="6" w:space="0" w:color="auto"/>
              <w:bottom w:val="single" w:sz="6" w:space="0" w:color="auto"/>
              <w:right w:val="single" w:sz="6" w:space="0" w:color="auto"/>
            </w:tcBorders>
          </w:tcPr>
          <w:p w14:paraId="007B5C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17883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0FE1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E897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tc>
        <w:tc>
          <w:tcPr>
            <w:tcW w:w="567" w:type="dxa"/>
            <w:tcBorders>
              <w:top w:val="single" w:sz="6" w:space="0" w:color="auto"/>
              <w:left w:val="single" w:sz="6" w:space="0" w:color="auto"/>
              <w:bottom w:val="single" w:sz="6" w:space="0" w:color="auto"/>
              <w:right w:val="single" w:sz="6" w:space="0" w:color="auto"/>
            </w:tcBorders>
          </w:tcPr>
          <w:p w14:paraId="0C0B0A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9C3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w:t>
            </w:r>
          </w:p>
        </w:tc>
        <w:tc>
          <w:tcPr>
            <w:tcW w:w="783" w:type="dxa"/>
            <w:tcBorders>
              <w:top w:val="single" w:sz="6" w:space="0" w:color="auto"/>
              <w:left w:val="single" w:sz="6" w:space="0" w:color="auto"/>
              <w:bottom w:val="single" w:sz="6" w:space="0" w:color="auto"/>
              <w:right w:val="single" w:sz="6" w:space="0" w:color="auto"/>
            </w:tcBorders>
          </w:tcPr>
          <w:p w14:paraId="6A939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2EE7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7990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 из</w:t>
            </w:r>
          </w:p>
        </w:tc>
        <w:tc>
          <w:tcPr>
            <w:tcW w:w="848" w:type="dxa"/>
            <w:tcBorders>
              <w:top w:val="single" w:sz="6" w:space="0" w:color="auto"/>
              <w:left w:val="single" w:sz="6" w:space="0" w:color="auto"/>
              <w:bottom w:val="single" w:sz="6" w:space="0" w:color="auto"/>
              <w:right w:val="single" w:sz="6" w:space="0" w:color="auto"/>
            </w:tcBorders>
          </w:tcPr>
          <w:p w14:paraId="36B09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C79B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AFD5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 с</w:t>
            </w:r>
          </w:p>
        </w:tc>
        <w:tc>
          <w:tcPr>
            <w:tcW w:w="922" w:type="dxa"/>
            <w:tcBorders>
              <w:top w:val="single" w:sz="6" w:space="0" w:color="auto"/>
              <w:left w:val="single" w:sz="6" w:space="0" w:color="auto"/>
              <w:bottom w:val="single" w:sz="6" w:space="0" w:color="auto"/>
              <w:right w:val="single" w:sz="6" w:space="0" w:color="auto"/>
            </w:tcBorders>
          </w:tcPr>
          <w:p w14:paraId="06B05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59A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FA4E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B50420" w14:textId="77777777" w:rsidTr="00ED5B0A">
        <w:tc>
          <w:tcPr>
            <w:tcW w:w="1242" w:type="dxa"/>
            <w:tcBorders>
              <w:top w:val="single" w:sz="6" w:space="0" w:color="auto"/>
              <w:left w:val="single" w:sz="6" w:space="0" w:color="auto"/>
              <w:bottom w:val="single" w:sz="6" w:space="0" w:color="auto"/>
              <w:right w:val="single" w:sz="6" w:space="0" w:color="auto"/>
            </w:tcBorders>
          </w:tcPr>
          <w:p w14:paraId="7BAEC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 с</w:t>
            </w:r>
          </w:p>
        </w:tc>
        <w:tc>
          <w:tcPr>
            <w:tcW w:w="431" w:type="dxa"/>
            <w:tcBorders>
              <w:top w:val="single" w:sz="6" w:space="0" w:color="auto"/>
              <w:left w:val="single" w:sz="6" w:space="0" w:color="auto"/>
              <w:bottom w:val="single" w:sz="6" w:space="0" w:color="auto"/>
              <w:right w:val="single" w:sz="6" w:space="0" w:color="auto"/>
            </w:tcBorders>
          </w:tcPr>
          <w:p w14:paraId="7B83E1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D803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740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8B4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278D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 км</w:t>
            </w:r>
          </w:p>
        </w:tc>
        <w:tc>
          <w:tcPr>
            <w:tcW w:w="783" w:type="dxa"/>
            <w:tcBorders>
              <w:top w:val="single" w:sz="6" w:space="0" w:color="auto"/>
              <w:left w:val="single" w:sz="6" w:space="0" w:color="auto"/>
              <w:bottom w:val="single" w:sz="6" w:space="0" w:color="auto"/>
              <w:right w:val="single" w:sz="6" w:space="0" w:color="auto"/>
            </w:tcBorders>
          </w:tcPr>
          <w:p w14:paraId="51231F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7E1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E8E2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них 2 пушки</w:t>
            </w:r>
          </w:p>
        </w:tc>
        <w:tc>
          <w:tcPr>
            <w:tcW w:w="848" w:type="dxa"/>
            <w:tcBorders>
              <w:top w:val="single" w:sz="6" w:space="0" w:color="auto"/>
              <w:left w:val="single" w:sz="6" w:space="0" w:color="auto"/>
              <w:bottom w:val="single" w:sz="6" w:space="0" w:color="auto"/>
              <w:right w:val="single" w:sz="6" w:space="0" w:color="auto"/>
            </w:tcBorders>
          </w:tcPr>
          <w:p w14:paraId="6ECD1D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DEDAB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D142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надголовн.</w:t>
            </w:r>
          </w:p>
        </w:tc>
        <w:tc>
          <w:tcPr>
            <w:tcW w:w="922" w:type="dxa"/>
            <w:tcBorders>
              <w:top w:val="single" w:sz="6" w:space="0" w:color="auto"/>
              <w:left w:val="single" w:sz="6" w:space="0" w:color="auto"/>
              <w:bottom w:val="single" w:sz="6" w:space="0" w:color="auto"/>
              <w:right w:val="single" w:sz="6" w:space="0" w:color="auto"/>
            </w:tcBorders>
          </w:tcPr>
          <w:p w14:paraId="440325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BF6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EC5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B5750B" w14:textId="77777777" w:rsidTr="00ED5B0A">
        <w:tc>
          <w:tcPr>
            <w:tcW w:w="1242" w:type="dxa"/>
            <w:tcBorders>
              <w:top w:val="single" w:sz="6" w:space="0" w:color="auto"/>
              <w:left w:val="single" w:sz="6" w:space="0" w:color="auto"/>
              <w:bottom w:val="single" w:sz="6" w:space="0" w:color="auto"/>
              <w:right w:val="single" w:sz="6" w:space="0" w:color="auto"/>
            </w:tcBorders>
          </w:tcPr>
          <w:p w14:paraId="1D6C2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431" w:type="dxa"/>
            <w:tcBorders>
              <w:top w:val="single" w:sz="6" w:space="0" w:color="auto"/>
              <w:left w:val="single" w:sz="6" w:space="0" w:color="auto"/>
              <w:bottom w:val="single" w:sz="6" w:space="0" w:color="auto"/>
              <w:right w:val="single" w:sz="6" w:space="0" w:color="auto"/>
            </w:tcBorders>
          </w:tcPr>
          <w:p w14:paraId="58924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F5295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50BD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822F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F5C0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C9F2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7BC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0C9F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счет</w:t>
            </w:r>
          </w:p>
        </w:tc>
        <w:tc>
          <w:tcPr>
            <w:tcW w:w="848" w:type="dxa"/>
            <w:tcBorders>
              <w:top w:val="single" w:sz="6" w:space="0" w:color="auto"/>
              <w:left w:val="single" w:sz="6" w:space="0" w:color="auto"/>
              <w:bottom w:val="single" w:sz="6" w:space="0" w:color="auto"/>
              <w:right w:val="single" w:sz="6" w:space="0" w:color="auto"/>
            </w:tcBorders>
          </w:tcPr>
          <w:p w14:paraId="0D425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428FD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395F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козырек</w:t>
            </w:r>
          </w:p>
        </w:tc>
        <w:tc>
          <w:tcPr>
            <w:tcW w:w="922" w:type="dxa"/>
            <w:tcBorders>
              <w:top w:val="single" w:sz="6" w:space="0" w:color="auto"/>
              <w:left w:val="single" w:sz="6" w:space="0" w:color="auto"/>
              <w:bottom w:val="single" w:sz="6" w:space="0" w:color="auto"/>
              <w:right w:val="single" w:sz="6" w:space="0" w:color="auto"/>
            </w:tcBorders>
          </w:tcPr>
          <w:p w14:paraId="5A2663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B4F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0AE9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07819D" w14:textId="77777777" w:rsidTr="00ED5B0A">
        <w:tc>
          <w:tcPr>
            <w:tcW w:w="1242" w:type="dxa"/>
            <w:tcBorders>
              <w:top w:val="single" w:sz="6" w:space="0" w:color="auto"/>
              <w:left w:val="single" w:sz="6" w:space="0" w:color="auto"/>
              <w:bottom w:val="single" w:sz="6" w:space="0" w:color="auto"/>
              <w:right w:val="single" w:sz="6" w:space="0" w:color="auto"/>
            </w:tcBorders>
          </w:tcPr>
          <w:p w14:paraId="4057C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359FD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E5222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0D03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E3B3D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AC8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0611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EB8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A6E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перегрузки</w:t>
            </w:r>
          </w:p>
        </w:tc>
        <w:tc>
          <w:tcPr>
            <w:tcW w:w="848" w:type="dxa"/>
            <w:tcBorders>
              <w:top w:val="single" w:sz="6" w:space="0" w:color="auto"/>
              <w:left w:val="single" w:sz="6" w:space="0" w:color="auto"/>
              <w:bottom w:val="single" w:sz="6" w:space="0" w:color="auto"/>
              <w:right w:val="single" w:sz="6" w:space="0" w:color="auto"/>
            </w:tcBorders>
          </w:tcPr>
          <w:p w14:paraId="736B7B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D665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A9FE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2D14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678A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438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92120F" w14:textId="77777777" w:rsidTr="00ED5B0A">
        <w:tc>
          <w:tcPr>
            <w:tcW w:w="1242" w:type="dxa"/>
            <w:tcBorders>
              <w:top w:val="single" w:sz="6" w:space="0" w:color="auto"/>
              <w:left w:val="single" w:sz="6" w:space="0" w:color="auto"/>
              <w:bottom w:val="single" w:sz="6" w:space="0" w:color="auto"/>
              <w:right w:val="single" w:sz="6" w:space="0" w:color="auto"/>
            </w:tcBorders>
          </w:tcPr>
          <w:p w14:paraId="170409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Микоян и</w:t>
            </w:r>
          </w:p>
        </w:tc>
        <w:tc>
          <w:tcPr>
            <w:tcW w:w="431" w:type="dxa"/>
            <w:tcBorders>
              <w:top w:val="single" w:sz="6" w:space="0" w:color="auto"/>
              <w:left w:val="single" w:sz="6" w:space="0" w:color="auto"/>
              <w:bottom w:val="single" w:sz="6" w:space="0" w:color="auto"/>
              <w:right w:val="single" w:sz="6" w:space="0" w:color="auto"/>
            </w:tcBorders>
          </w:tcPr>
          <w:p w14:paraId="10DEE7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544E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5CE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5FA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C1B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D2A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45D6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F52BC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патр.</w:t>
            </w:r>
          </w:p>
        </w:tc>
        <w:tc>
          <w:tcPr>
            <w:tcW w:w="848" w:type="dxa"/>
            <w:tcBorders>
              <w:top w:val="single" w:sz="6" w:space="0" w:color="auto"/>
              <w:left w:val="single" w:sz="6" w:space="0" w:color="auto"/>
              <w:bottom w:val="single" w:sz="6" w:space="0" w:color="auto"/>
              <w:right w:val="single" w:sz="6" w:space="0" w:color="auto"/>
            </w:tcBorders>
          </w:tcPr>
          <w:p w14:paraId="441B3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3EA6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882F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89E0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757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9F41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C64495" w14:textId="77777777" w:rsidTr="00ED5B0A">
        <w:tc>
          <w:tcPr>
            <w:tcW w:w="1242" w:type="dxa"/>
            <w:tcBorders>
              <w:top w:val="single" w:sz="6" w:space="0" w:color="auto"/>
              <w:left w:val="single" w:sz="6" w:space="0" w:color="auto"/>
              <w:bottom w:val="single" w:sz="6" w:space="0" w:color="auto"/>
              <w:right w:val="single" w:sz="6" w:space="0" w:color="auto"/>
            </w:tcBorders>
          </w:tcPr>
          <w:p w14:paraId="44CBB4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Гуревич</w:t>
            </w:r>
          </w:p>
        </w:tc>
        <w:tc>
          <w:tcPr>
            <w:tcW w:w="431" w:type="dxa"/>
            <w:tcBorders>
              <w:top w:val="single" w:sz="6" w:space="0" w:color="auto"/>
              <w:left w:val="single" w:sz="6" w:space="0" w:color="auto"/>
              <w:bottom w:val="single" w:sz="6" w:space="0" w:color="auto"/>
              <w:right w:val="single" w:sz="6" w:space="0" w:color="auto"/>
            </w:tcBorders>
          </w:tcPr>
          <w:p w14:paraId="55D66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C781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FAFA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680B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925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63FD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0E1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9B675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7CCE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0720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B7A4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43E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18E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292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518C42" w14:textId="77777777" w:rsidTr="00ED5B0A">
        <w:tc>
          <w:tcPr>
            <w:tcW w:w="1242" w:type="dxa"/>
            <w:tcBorders>
              <w:top w:val="single" w:sz="6" w:space="0" w:color="auto"/>
              <w:left w:val="single" w:sz="6" w:space="0" w:color="auto"/>
              <w:bottom w:val="single" w:sz="6" w:space="0" w:color="auto"/>
              <w:right w:val="single" w:sz="6" w:space="0" w:color="auto"/>
            </w:tcBorders>
          </w:tcPr>
          <w:p w14:paraId="0541D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1-местн.</w:t>
            </w:r>
          </w:p>
        </w:tc>
        <w:tc>
          <w:tcPr>
            <w:tcW w:w="431" w:type="dxa"/>
            <w:tcBorders>
              <w:top w:val="single" w:sz="6" w:space="0" w:color="auto"/>
              <w:left w:val="single" w:sz="6" w:space="0" w:color="auto"/>
              <w:bottom w:val="single" w:sz="6" w:space="0" w:color="auto"/>
              <w:right w:val="single" w:sz="6" w:space="0" w:color="auto"/>
            </w:tcBorders>
          </w:tcPr>
          <w:p w14:paraId="4AAF2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BCA0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567" w:type="dxa"/>
            <w:tcBorders>
              <w:top w:val="single" w:sz="6" w:space="0" w:color="auto"/>
              <w:left w:val="single" w:sz="6" w:space="0" w:color="auto"/>
              <w:bottom w:val="single" w:sz="6" w:space="0" w:color="auto"/>
              <w:right w:val="single" w:sz="6" w:space="0" w:color="auto"/>
            </w:tcBorders>
          </w:tcPr>
          <w:p w14:paraId="510CE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c>
          <w:tcPr>
            <w:tcW w:w="567" w:type="dxa"/>
            <w:tcBorders>
              <w:top w:val="single" w:sz="6" w:space="0" w:color="auto"/>
              <w:left w:val="single" w:sz="6" w:space="0" w:color="auto"/>
              <w:bottom w:val="single" w:sz="6" w:space="0" w:color="auto"/>
              <w:right w:val="single" w:sz="6" w:space="0" w:color="auto"/>
            </w:tcBorders>
          </w:tcPr>
          <w:p w14:paraId="76E97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75E6A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783" w:type="dxa"/>
            <w:tcBorders>
              <w:top w:val="single" w:sz="6" w:space="0" w:color="auto"/>
              <w:left w:val="single" w:sz="6" w:space="0" w:color="auto"/>
              <w:bottom w:val="single" w:sz="6" w:space="0" w:color="auto"/>
              <w:right w:val="single" w:sz="6" w:space="0" w:color="auto"/>
            </w:tcBorders>
          </w:tcPr>
          <w:p w14:paraId="2D9F4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783" w:type="dxa"/>
            <w:tcBorders>
              <w:top w:val="single" w:sz="6" w:space="0" w:color="auto"/>
              <w:left w:val="single" w:sz="6" w:space="0" w:color="auto"/>
              <w:bottom w:val="single" w:sz="6" w:space="0" w:color="auto"/>
              <w:right w:val="single" w:sz="6" w:space="0" w:color="auto"/>
            </w:tcBorders>
          </w:tcPr>
          <w:p w14:paraId="537E7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11200</w:t>
            </w:r>
          </w:p>
        </w:tc>
        <w:tc>
          <w:tcPr>
            <w:tcW w:w="1123" w:type="dxa"/>
            <w:tcBorders>
              <w:top w:val="single" w:sz="6" w:space="0" w:color="auto"/>
              <w:left w:val="single" w:sz="6" w:space="0" w:color="auto"/>
              <w:bottom w:val="single" w:sz="6" w:space="0" w:color="auto"/>
              <w:right w:val="single" w:sz="6" w:space="0" w:color="auto"/>
            </w:tcBorders>
          </w:tcPr>
          <w:p w14:paraId="356D18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пушки</w:t>
            </w:r>
          </w:p>
        </w:tc>
        <w:tc>
          <w:tcPr>
            <w:tcW w:w="848" w:type="dxa"/>
            <w:tcBorders>
              <w:top w:val="single" w:sz="6" w:space="0" w:color="auto"/>
              <w:left w:val="single" w:sz="6" w:space="0" w:color="auto"/>
              <w:bottom w:val="single" w:sz="6" w:space="0" w:color="auto"/>
              <w:right w:val="single" w:sz="6" w:space="0" w:color="auto"/>
            </w:tcBorders>
          </w:tcPr>
          <w:p w14:paraId="354ABD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0/2х250</w:t>
            </w:r>
          </w:p>
        </w:tc>
        <w:tc>
          <w:tcPr>
            <w:tcW w:w="410" w:type="dxa"/>
            <w:tcBorders>
              <w:top w:val="single" w:sz="6" w:space="0" w:color="auto"/>
              <w:left w:val="single" w:sz="6" w:space="0" w:color="auto"/>
              <w:bottom w:val="single" w:sz="6" w:space="0" w:color="auto"/>
              <w:right w:val="single" w:sz="6" w:space="0" w:color="auto"/>
            </w:tcBorders>
          </w:tcPr>
          <w:p w14:paraId="0F4975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8РО-82</w:t>
            </w:r>
          </w:p>
        </w:tc>
        <w:tc>
          <w:tcPr>
            <w:tcW w:w="943" w:type="dxa"/>
            <w:tcBorders>
              <w:top w:val="single" w:sz="6" w:space="0" w:color="auto"/>
              <w:left w:val="single" w:sz="6" w:space="0" w:color="auto"/>
              <w:bottom w:val="single" w:sz="6" w:space="0" w:color="auto"/>
              <w:right w:val="single" w:sz="6" w:space="0" w:color="auto"/>
            </w:tcBorders>
          </w:tcPr>
          <w:p w14:paraId="1033E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32E51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1.V.43</w:t>
            </w:r>
          </w:p>
        </w:tc>
        <w:tc>
          <w:tcPr>
            <w:tcW w:w="621" w:type="dxa"/>
            <w:tcBorders>
              <w:top w:val="single" w:sz="6" w:space="0" w:color="auto"/>
              <w:left w:val="single" w:sz="6" w:space="0" w:color="auto"/>
              <w:bottom w:val="single" w:sz="6" w:space="0" w:color="auto"/>
              <w:right w:val="single" w:sz="6" w:space="0" w:color="auto"/>
            </w:tcBorders>
          </w:tcPr>
          <w:p w14:paraId="1A59D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w:t>
            </w:r>
          </w:p>
        </w:tc>
        <w:tc>
          <w:tcPr>
            <w:tcW w:w="621" w:type="dxa"/>
            <w:tcBorders>
              <w:top w:val="single" w:sz="6" w:space="0" w:color="auto"/>
              <w:left w:val="single" w:sz="6" w:space="0" w:color="auto"/>
              <w:bottom w:val="single" w:sz="6" w:space="0" w:color="auto"/>
              <w:right w:val="single" w:sz="6" w:space="0" w:color="auto"/>
            </w:tcBorders>
          </w:tcPr>
          <w:p w14:paraId="03336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1D9AE3" w14:textId="77777777" w:rsidTr="00ED5B0A">
        <w:tc>
          <w:tcPr>
            <w:tcW w:w="1242" w:type="dxa"/>
            <w:tcBorders>
              <w:top w:val="single" w:sz="6" w:space="0" w:color="auto"/>
              <w:left w:val="single" w:sz="6" w:space="0" w:color="auto"/>
              <w:bottom w:val="single" w:sz="6" w:space="0" w:color="auto"/>
              <w:right w:val="single" w:sz="6" w:space="0" w:color="auto"/>
            </w:tcBorders>
          </w:tcPr>
          <w:p w14:paraId="617EA1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521361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9A5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586B0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6100</w:t>
            </w:r>
          </w:p>
        </w:tc>
        <w:tc>
          <w:tcPr>
            <w:tcW w:w="567" w:type="dxa"/>
            <w:tcBorders>
              <w:top w:val="single" w:sz="6" w:space="0" w:color="auto"/>
              <w:left w:val="single" w:sz="6" w:space="0" w:color="auto"/>
              <w:bottom w:val="single" w:sz="6" w:space="0" w:color="auto"/>
              <w:right w:val="single" w:sz="6" w:space="0" w:color="auto"/>
            </w:tcBorders>
          </w:tcPr>
          <w:p w14:paraId="1CF12C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341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6100</w:t>
            </w:r>
          </w:p>
        </w:tc>
        <w:tc>
          <w:tcPr>
            <w:tcW w:w="783" w:type="dxa"/>
            <w:tcBorders>
              <w:top w:val="single" w:sz="6" w:space="0" w:color="auto"/>
              <w:left w:val="single" w:sz="6" w:space="0" w:color="auto"/>
              <w:bottom w:val="single" w:sz="6" w:space="0" w:color="auto"/>
              <w:right w:val="single" w:sz="6" w:space="0" w:color="auto"/>
            </w:tcBorders>
          </w:tcPr>
          <w:p w14:paraId="480D6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45BA00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BE2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88AFC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7027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B6D2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1C04A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070F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и доводочн.</w:t>
            </w:r>
          </w:p>
        </w:tc>
        <w:tc>
          <w:tcPr>
            <w:tcW w:w="621" w:type="dxa"/>
            <w:tcBorders>
              <w:top w:val="single" w:sz="6" w:space="0" w:color="auto"/>
              <w:left w:val="single" w:sz="6" w:space="0" w:color="auto"/>
              <w:bottom w:val="single" w:sz="6" w:space="0" w:color="auto"/>
              <w:right w:val="single" w:sz="6" w:space="0" w:color="auto"/>
            </w:tcBorders>
          </w:tcPr>
          <w:p w14:paraId="1EEBB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972B2D" w14:textId="77777777" w:rsidTr="00ED5B0A">
        <w:tc>
          <w:tcPr>
            <w:tcW w:w="1242" w:type="dxa"/>
            <w:tcBorders>
              <w:top w:val="single" w:sz="6" w:space="0" w:color="auto"/>
              <w:left w:val="single" w:sz="6" w:space="0" w:color="auto"/>
              <w:bottom w:val="single" w:sz="6" w:space="0" w:color="auto"/>
              <w:right w:val="single" w:sz="6" w:space="0" w:color="auto"/>
            </w:tcBorders>
          </w:tcPr>
          <w:p w14:paraId="6BCBE2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И-185 с</w:t>
            </w:r>
          </w:p>
        </w:tc>
        <w:tc>
          <w:tcPr>
            <w:tcW w:w="431" w:type="dxa"/>
            <w:tcBorders>
              <w:top w:val="single" w:sz="6" w:space="0" w:color="auto"/>
              <w:left w:val="single" w:sz="6" w:space="0" w:color="auto"/>
              <w:bottom w:val="single" w:sz="6" w:space="0" w:color="auto"/>
              <w:right w:val="single" w:sz="6" w:space="0" w:color="auto"/>
            </w:tcBorders>
          </w:tcPr>
          <w:p w14:paraId="07AC53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906B8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11D85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768C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071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w:t>
            </w:r>
          </w:p>
        </w:tc>
        <w:tc>
          <w:tcPr>
            <w:tcW w:w="783" w:type="dxa"/>
            <w:tcBorders>
              <w:top w:val="single" w:sz="6" w:space="0" w:color="auto"/>
              <w:left w:val="single" w:sz="6" w:space="0" w:color="auto"/>
              <w:bottom w:val="single" w:sz="6" w:space="0" w:color="auto"/>
              <w:right w:val="single" w:sz="6" w:space="0" w:color="auto"/>
            </w:tcBorders>
          </w:tcPr>
          <w:p w14:paraId="01E34F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724F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46FC2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патр.</w:t>
            </w:r>
          </w:p>
        </w:tc>
        <w:tc>
          <w:tcPr>
            <w:tcW w:w="848" w:type="dxa"/>
            <w:tcBorders>
              <w:top w:val="single" w:sz="6" w:space="0" w:color="auto"/>
              <w:left w:val="single" w:sz="6" w:space="0" w:color="auto"/>
              <w:bottom w:val="single" w:sz="6" w:space="0" w:color="auto"/>
              <w:right w:val="single" w:sz="6" w:space="0" w:color="auto"/>
            </w:tcBorders>
          </w:tcPr>
          <w:p w14:paraId="6E83F1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6C7AD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56012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1AFF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4B89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В затр.</w:t>
            </w:r>
          </w:p>
        </w:tc>
        <w:tc>
          <w:tcPr>
            <w:tcW w:w="621" w:type="dxa"/>
            <w:tcBorders>
              <w:top w:val="single" w:sz="6" w:space="0" w:color="auto"/>
              <w:left w:val="single" w:sz="6" w:space="0" w:color="auto"/>
              <w:bottom w:val="single" w:sz="6" w:space="0" w:color="auto"/>
              <w:right w:val="single" w:sz="6" w:space="0" w:color="auto"/>
            </w:tcBorders>
          </w:tcPr>
          <w:p w14:paraId="3AD605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8FF827" w14:textId="77777777" w:rsidTr="00ED5B0A">
        <w:tc>
          <w:tcPr>
            <w:tcW w:w="1242" w:type="dxa"/>
            <w:tcBorders>
              <w:top w:val="single" w:sz="6" w:space="0" w:color="auto"/>
              <w:left w:val="single" w:sz="6" w:space="0" w:color="auto"/>
              <w:bottom w:val="single" w:sz="6" w:space="0" w:color="auto"/>
              <w:right w:val="single" w:sz="6" w:space="0" w:color="auto"/>
            </w:tcBorders>
          </w:tcPr>
          <w:p w14:paraId="25603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w:t>
            </w:r>
          </w:p>
        </w:tc>
        <w:tc>
          <w:tcPr>
            <w:tcW w:w="431" w:type="dxa"/>
            <w:tcBorders>
              <w:top w:val="single" w:sz="6" w:space="0" w:color="auto"/>
              <w:left w:val="single" w:sz="6" w:space="0" w:color="auto"/>
              <w:bottom w:val="single" w:sz="6" w:space="0" w:color="auto"/>
              <w:right w:val="single" w:sz="6" w:space="0" w:color="auto"/>
            </w:tcBorders>
          </w:tcPr>
          <w:p w14:paraId="77519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0F4D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567" w:type="dxa"/>
            <w:tcBorders>
              <w:top w:val="single" w:sz="6" w:space="0" w:color="auto"/>
              <w:left w:val="single" w:sz="6" w:space="0" w:color="auto"/>
              <w:bottom w:val="single" w:sz="6" w:space="0" w:color="auto"/>
              <w:right w:val="single" w:sz="6" w:space="0" w:color="auto"/>
            </w:tcBorders>
          </w:tcPr>
          <w:p w14:paraId="1D0341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FEED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FB2C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км</w:t>
            </w:r>
          </w:p>
        </w:tc>
        <w:tc>
          <w:tcPr>
            <w:tcW w:w="783" w:type="dxa"/>
            <w:tcBorders>
              <w:top w:val="single" w:sz="6" w:space="0" w:color="auto"/>
              <w:left w:val="single" w:sz="6" w:space="0" w:color="auto"/>
              <w:bottom w:val="single" w:sz="6" w:space="0" w:color="auto"/>
              <w:right w:val="single" w:sz="6" w:space="0" w:color="auto"/>
            </w:tcBorders>
          </w:tcPr>
          <w:p w14:paraId="34E3A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D88F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CBD9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5F90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93150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ED9B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7E02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402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включена стоимос.</w:t>
            </w:r>
          </w:p>
        </w:tc>
        <w:tc>
          <w:tcPr>
            <w:tcW w:w="621" w:type="dxa"/>
            <w:tcBorders>
              <w:top w:val="single" w:sz="6" w:space="0" w:color="auto"/>
              <w:left w:val="single" w:sz="6" w:space="0" w:color="auto"/>
              <w:bottom w:val="single" w:sz="6" w:space="0" w:color="auto"/>
              <w:right w:val="single" w:sz="6" w:space="0" w:color="auto"/>
            </w:tcBorders>
          </w:tcPr>
          <w:p w14:paraId="16D96F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10C3B2" w14:textId="77777777" w:rsidTr="00ED5B0A">
        <w:tc>
          <w:tcPr>
            <w:tcW w:w="1242" w:type="dxa"/>
            <w:tcBorders>
              <w:top w:val="single" w:sz="6" w:space="0" w:color="auto"/>
              <w:left w:val="single" w:sz="6" w:space="0" w:color="auto"/>
              <w:bottom w:val="single" w:sz="6" w:space="0" w:color="auto"/>
              <w:right w:val="single" w:sz="6" w:space="0" w:color="auto"/>
            </w:tcBorders>
          </w:tcPr>
          <w:p w14:paraId="642FA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13AB5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F2F7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13D8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5CD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2369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896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36AF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769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283E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8BBA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C51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2CB3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FEB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 с-тов, по</w:t>
            </w:r>
          </w:p>
        </w:tc>
        <w:tc>
          <w:tcPr>
            <w:tcW w:w="621" w:type="dxa"/>
            <w:tcBorders>
              <w:top w:val="single" w:sz="6" w:space="0" w:color="auto"/>
              <w:left w:val="single" w:sz="6" w:space="0" w:color="auto"/>
              <w:bottom w:val="single" w:sz="6" w:space="0" w:color="auto"/>
              <w:right w:val="single" w:sz="6" w:space="0" w:color="auto"/>
            </w:tcBorders>
          </w:tcPr>
          <w:p w14:paraId="15198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3AD3E2" w14:textId="77777777" w:rsidTr="00ED5B0A">
        <w:tc>
          <w:tcPr>
            <w:tcW w:w="1242" w:type="dxa"/>
            <w:tcBorders>
              <w:top w:val="single" w:sz="6" w:space="0" w:color="auto"/>
              <w:left w:val="single" w:sz="6" w:space="0" w:color="auto"/>
              <w:bottom w:val="single" w:sz="6" w:space="0" w:color="auto"/>
              <w:right w:val="single" w:sz="6" w:space="0" w:color="auto"/>
            </w:tcBorders>
          </w:tcPr>
          <w:p w14:paraId="11304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w:t>
            </w:r>
          </w:p>
        </w:tc>
        <w:tc>
          <w:tcPr>
            <w:tcW w:w="431" w:type="dxa"/>
            <w:tcBorders>
              <w:top w:val="single" w:sz="6" w:space="0" w:color="auto"/>
              <w:left w:val="single" w:sz="6" w:space="0" w:color="auto"/>
              <w:bottom w:val="single" w:sz="6" w:space="0" w:color="auto"/>
              <w:right w:val="single" w:sz="6" w:space="0" w:color="auto"/>
            </w:tcBorders>
          </w:tcPr>
          <w:p w14:paraId="03ABB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4A2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DD80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D0A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470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2C6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ADA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162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D2A8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33B8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670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411B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73E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которым велись</w:t>
            </w:r>
          </w:p>
        </w:tc>
        <w:tc>
          <w:tcPr>
            <w:tcW w:w="621" w:type="dxa"/>
            <w:tcBorders>
              <w:top w:val="single" w:sz="6" w:space="0" w:color="auto"/>
              <w:left w:val="single" w:sz="6" w:space="0" w:color="auto"/>
              <w:bottom w:val="single" w:sz="6" w:space="0" w:color="auto"/>
              <w:right w:val="single" w:sz="6" w:space="0" w:color="auto"/>
            </w:tcBorders>
          </w:tcPr>
          <w:p w14:paraId="53FF8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EDAC9B" w14:textId="77777777" w:rsidTr="00ED5B0A">
        <w:tc>
          <w:tcPr>
            <w:tcW w:w="1242" w:type="dxa"/>
            <w:tcBorders>
              <w:top w:val="single" w:sz="6" w:space="0" w:color="auto"/>
              <w:left w:val="single" w:sz="6" w:space="0" w:color="auto"/>
              <w:bottom w:val="single" w:sz="6" w:space="0" w:color="auto"/>
              <w:right w:val="single" w:sz="6" w:space="0" w:color="auto"/>
            </w:tcBorders>
          </w:tcPr>
          <w:p w14:paraId="47DF4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AE06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047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323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9928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B3F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678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50EF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FAB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B3BC4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FACA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2A7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ECCE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BB1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 в I кв. 43</w:t>
            </w:r>
          </w:p>
        </w:tc>
        <w:tc>
          <w:tcPr>
            <w:tcW w:w="621" w:type="dxa"/>
            <w:tcBorders>
              <w:top w:val="single" w:sz="6" w:space="0" w:color="auto"/>
              <w:left w:val="single" w:sz="6" w:space="0" w:color="auto"/>
              <w:bottom w:val="single" w:sz="6" w:space="0" w:color="auto"/>
              <w:right w:val="single" w:sz="6" w:space="0" w:color="auto"/>
            </w:tcBorders>
          </w:tcPr>
          <w:p w14:paraId="65EEF9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921536" w14:textId="77777777" w:rsidTr="00ED5B0A">
        <w:tc>
          <w:tcPr>
            <w:tcW w:w="1242" w:type="dxa"/>
            <w:tcBorders>
              <w:top w:val="single" w:sz="6" w:space="0" w:color="auto"/>
              <w:left w:val="single" w:sz="6" w:space="0" w:color="auto"/>
              <w:bottom w:val="single" w:sz="6" w:space="0" w:color="auto"/>
              <w:right w:val="single" w:sz="6" w:space="0" w:color="auto"/>
            </w:tcBorders>
          </w:tcPr>
          <w:p w14:paraId="08037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1-местн.</w:t>
            </w:r>
          </w:p>
        </w:tc>
        <w:tc>
          <w:tcPr>
            <w:tcW w:w="431" w:type="dxa"/>
            <w:tcBorders>
              <w:top w:val="single" w:sz="6" w:space="0" w:color="auto"/>
              <w:left w:val="single" w:sz="6" w:space="0" w:color="auto"/>
              <w:bottom w:val="single" w:sz="6" w:space="0" w:color="auto"/>
              <w:right w:val="single" w:sz="6" w:space="0" w:color="auto"/>
            </w:tcBorders>
          </w:tcPr>
          <w:p w14:paraId="08FAB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14BD0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567" w:type="dxa"/>
            <w:tcBorders>
              <w:top w:val="single" w:sz="6" w:space="0" w:color="auto"/>
              <w:left w:val="single" w:sz="6" w:space="0" w:color="auto"/>
              <w:bottom w:val="single" w:sz="6" w:space="0" w:color="auto"/>
              <w:right w:val="single" w:sz="6" w:space="0" w:color="auto"/>
            </w:tcBorders>
          </w:tcPr>
          <w:p w14:paraId="32D9A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67" w:type="dxa"/>
            <w:tcBorders>
              <w:top w:val="single" w:sz="6" w:space="0" w:color="auto"/>
              <w:left w:val="single" w:sz="6" w:space="0" w:color="auto"/>
              <w:bottom w:val="single" w:sz="6" w:space="0" w:color="auto"/>
              <w:right w:val="single" w:sz="6" w:space="0" w:color="auto"/>
            </w:tcBorders>
          </w:tcPr>
          <w:p w14:paraId="636D5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74140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725/</w:t>
            </w:r>
          </w:p>
        </w:tc>
        <w:tc>
          <w:tcPr>
            <w:tcW w:w="783" w:type="dxa"/>
            <w:tcBorders>
              <w:top w:val="single" w:sz="6" w:space="0" w:color="auto"/>
              <w:left w:val="single" w:sz="6" w:space="0" w:color="auto"/>
              <w:bottom w:val="single" w:sz="6" w:space="0" w:color="auto"/>
              <w:right w:val="single" w:sz="6" w:space="0" w:color="auto"/>
            </w:tcBorders>
          </w:tcPr>
          <w:p w14:paraId="3F185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w:t>
            </w:r>
          </w:p>
        </w:tc>
        <w:tc>
          <w:tcPr>
            <w:tcW w:w="783" w:type="dxa"/>
            <w:tcBorders>
              <w:top w:val="single" w:sz="6" w:space="0" w:color="auto"/>
              <w:left w:val="single" w:sz="6" w:space="0" w:color="auto"/>
              <w:bottom w:val="single" w:sz="6" w:space="0" w:color="auto"/>
              <w:right w:val="single" w:sz="6" w:space="0" w:color="auto"/>
            </w:tcBorders>
          </w:tcPr>
          <w:p w14:paraId="23A68F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47DC89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72A43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0/2х250</w:t>
            </w:r>
          </w:p>
        </w:tc>
        <w:tc>
          <w:tcPr>
            <w:tcW w:w="410" w:type="dxa"/>
            <w:tcBorders>
              <w:top w:val="single" w:sz="6" w:space="0" w:color="auto"/>
              <w:left w:val="single" w:sz="6" w:space="0" w:color="auto"/>
              <w:bottom w:val="single" w:sz="6" w:space="0" w:color="auto"/>
              <w:right w:val="single" w:sz="6" w:space="0" w:color="auto"/>
            </w:tcBorders>
          </w:tcPr>
          <w:p w14:paraId="20724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AD24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510D7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1.XI.43</w:t>
            </w:r>
          </w:p>
        </w:tc>
        <w:tc>
          <w:tcPr>
            <w:tcW w:w="621" w:type="dxa"/>
            <w:tcBorders>
              <w:top w:val="single" w:sz="6" w:space="0" w:color="auto"/>
              <w:left w:val="single" w:sz="6" w:space="0" w:color="auto"/>
              <w:bottom w:val="single" w:sz="6" w:space="0" w:color="auto"/>
              <w:right w:val="single" w:sz="6" w:space="0" w:color="auto"/>
            </w:tcBorders>
          </w:tcPr>
          <w:p w14:paraId="0CE4E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F8A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82351E" w14:textId="77777777" w:rsidTr="00ED5B0A">
        <w:tc>
          <w:tcPr>
            <w:tcW w:w="1242" w:type="dxa"/>
            <w:tcBorders>
              <w:top w:val="single" w:sz="6" w:space="0" w:color="auto"/>
              <w:left w:val="single" w:sz="6" w:space="0" w:color="auto"/>
              <w:bottom w:val="single" w:sz="6" w:space="0" w:color="auto"/>
              <w:right w:val="single" w:sz="6" w:space="0" w:color="auto"/>
            </w:tcBorders>
          </w:tcPr>
          <w:p w14:paraId="404477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1DA5B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8CB9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C166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6200</w:t>
            </w:r>
          </w:p>
        </w:tc>
        <w:tc>
          <w:tcPr>
            <w:tcW w:w="567" w:type="dxa"/>
            <w:tcBorders>
              <w:top w:val="single" w:sz="6" w:space="0" w:color="auto"/>
              <w:left w:val="single" w:sz="6" w:space="0" w:color="auto"/>
              <w:bottom w:val="single" w:sz="6" w:space="0" w:color="auto"/>
              <w:right w:val="single" w:sz="6" w:space="0" w:color="auto"/>
            </w:tcBorders>
          </w:tcPr>
          <w:p w14:paraId="578D3F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0B9F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6200 </w:t>
            </w:r>
          </w:p>
        </w:tc>
        <w:tc>
          <w:tcPr>
            <w:tcW w:w="783" w:type="dxa"/>
            <w:tcBorders>
              <w:top w:val="single" w:sz="6" w:space="0" w:color="auto"/>
              <w:left w:val="single" w:sz="6" w:space="0" w:color="auto"/>
              <w:bottom w:val="single" w:sz="6" w:space="0" w:color="auto"/>
              <w:right w:val="single" w:sz="6" w:space="0" w:color="auto"/>
            </w:tcBorders>
          </w:tcPr>
          <w:p w14:paraId="5A50D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73C2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0B6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848" w:type="dxa"/>
            <w:tcBorders>
              <w:top w:val="single" w:sz="6" w:space="0" w:color="auto"/>
              <w:left w:val="single" w:sz="6" w:space="0" w:color="auto"/>
              <w:bottom w:val="single" w:sz="6" w:space="0" w:color="auto"/>
              <w:right w:val="single" w:sz="6" w:space="0" w:color="auto"/>
            </w:tcBorders>
          </w:tcPr>
          <w:p w14:paraId="2DC93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BECA8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18D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2188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858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DCFA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CDF8F7" w14:textId="77777777" w:rsidTr="00ED5B0A">
        <w:tc>
          <w:tcPr>
            <w:tcW w:w="1242" w:type="dxa"/>
            <w:tcBorders>
              <w:top w:val="single" w:sz="6" w:space="0" w:color="auto"/>
              <w:left w:val="single" w:sz="6" w:space="0" w:color="auto"/>
              <w:bottom w:val="single" w:sz="6" w:space="0" w:color="auto"/>
              <w:right w:val="single" w:sz="6" w:space="0" w:color="auto"/>
            </w:tcBorders>
          </w:tcPr>
          <w:p w14:paraId="073CCA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ИТП с </w:t>
            </w:r>
          </w:p>
        </w:tc>
        <w:tc>
          <w:tcPr>
            <w:tcW w:w="431" w:type="dxa"/>
            <w:tcBorders>
              <w:top w:val="single" w:sz="6" w:space="0" w:color="auto"/>
              <w:left w:val="single" w:sz="6" w:space="0" w:color="auto"/>
              <w:bottom w:val="single" w:sz="6" w:space="0" w:color="auto"/>
              <w:right w:val="single" w:sz="6" w:space="0" w:color="auto"/>
            </w:tcBorders>
          </w:tcPr>
          <w:p w14:paraId="422F2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5B888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48F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780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719C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w:t>
            </w:r>
          </w:p>
        </w:tc>
        <w:tc>
          <w:tcPr>
            <w:tcW w:w="783" w:type="dxa"/>
            <w:tcBorders>
              <w:top w:val="single" w:sz="6" w:space="0" w:color="auto"/>
              <w:left w:val="single" w:sz="6" w:space="0" w:color="auto"/>
              <w:bottom w:val="single" w:sz="6" w:space="0" w:color="auto"/>
              <w:right w:val="single" w:sz="6" w:space="0" w:color="auto"/>
            </w:tcBorders>
          </w:tcPr>
          <w:p w14:paraId="63EEC3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BBED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831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 патр.</w:t>
            </w:r>
          </w:p>
        </w:tc>
        <w:tc>
          <w:tcPr>
            <w:tcW w:w="848" w:type="dxa"/>
            <w:tcBorders>
              <w:top w:val="single" w:sz="6" w:space="0" w:color="auto"/>
              <w:left w:val="single" w:sz="6" w:space="0" w:color="auto"/>
              <w:bottom w:val="single" w:sz="6" w:space="0" w:color="auto"/>
              <w:right w:val="single" w:sz="6" w:space="0" w:color="auto"/>
            </w:tcBorders>
          </w:tcPr>
          <w:p w14:paraId="544EB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9E08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3A9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48B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B47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9A31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0BD107" w14:textId="77777777" w:rsidTr="00ED5B0A">
        <w:tc>
          <w:tcPr>
            <w:tcW w:w="1242" w:type="dxa"/>
            <w:tcBorders>
              <w:top w:val="single" w:sz="6" w:space="0" w:color="auto"/>
              <w:left w:val="single" w:sz="6" w:space="0" w:color="auto"/>
              <w:bottom w:val="single" w:sz="6" w:space="0" w:color="auto"/>
              <w:right w:val="single" w:sz="6" w:space="0" w:color="auto"/>
            </w:tcBorders>
          </w:tcPr>
          <w:p w14:paraId="15D4ED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c>
          <w:tcPr>
            <w:tcW w:w="431" w:type="dxa"/>
            <w:tcBorders>
              <w:top w:val="single" w:sz="6" w:space="0" w:color="auto"/>
              <w:left w:val="single" w:sz="6" w:space="0" w:color="auto"/>
              <w:bottom w:val="single" w:sz="6" w:space="0" w:color="auto"/>
              <w:right w:val="single" w:sz="6" w:space="0" w:color="auto"/>
            </w:tcBorders>
          </w:tcPr>
          <w:p w14:paraId="24B2C1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8A92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8582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E70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8B5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км</w:t>
            </w:r>
          </w:p>
        </w:tc>
        <w:tc>
          <w:tcPr>
            <w:tcW w:w="783" w:type="dxa"/>
            <w:tcBorders>
              <w:top w:val="single" w:sz="6" w:space="0" w:color="auto"/>
              <w:left w:val="single" w:sz="6" w:space="0" w:color="auto"/>
              <w:bottom w:val="single" w:sz="6" w:space="0" w:color="auto"/>
              <w:right w:val="single" w:sz="6" w:space="0" w:color="auto"/>
            </w:tcBorders>
          </w:tcPr>
          <w:p w14:paraId="419193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D22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310A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7463D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E97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7A40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906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056A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D11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FFBCA0" w14:textId="77777777" w:rsidTr="00ED5B0A">
        <w:tc>
          <w:tcPr>
            <w:tcW w:w="1242" w:type="dxa"/>
            <w:tcBorders>
              <w:top w:val="single" w:sz="6" w:space="0" w:color="auto"/>
              <w:left w:val="single" w:sz="6" w:space="0" w:color="auto"/>
              <w:bottom w:val="single" w:sz="6" w:space="0" w:color="auto"/>
              <w:right w:val="single" w:sz="6" w:space="0" w:color="auto"/>
            </w:tcBorders>
          </w:tcPr>
          <w:p w14:paraId="1D5EF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E5B1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734E9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E2E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BAFB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75FE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51C8A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EE1A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7D2E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34791B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53243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4C8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80AD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7E7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A3E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F424B5" w14:textId="77777777" w:rsidTr="00ED5B0A">
        <w:tc>
          <w:tcPr>
            <w:tcW w:w="1242" w:type="dxa"/>
            <w:tcBorders>
              <w:top w:val="single" w:sz="6" w:space="0" w:color="auto"/>
              <w:left w:val="single" w:sz="6" w:space="0" w:color="auto"/>
              <w:bottom w:val="single" w:sz="6" w:space="0" w:color="auto"/>
              <w:right w:val="single" w:sz="6" w:space="0" w:color="auto"/>
            </w:tcBorders>
          </w:tcPr>
          <w:p w14:paraId="78F3E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w:t>
            </w:r>
          </w:p>
        </w:tc>
        <w:tc>
          <w:tcPr>
            <w:tcW w:w="431" w:type="dxa"/>
            <w:tcBorders>
              <w:top w:val="single" w:sz="6" w:space="0" w:color="auto"/>
              <w:left w:val="single" w:sz="6" w:space="0" w:color="auto"/>
              <w:bottom w:val="single" w:sz="6" w:space="0" w:color="auto"/>
              <w:right w:val="single" w:sz="6" w:space="0" w:color="auto"/>
            </w:tcBorders>
          </w:tcPr>
          <w:p w14:paraId="405156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6D4A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CAE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619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89D3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ABD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37C9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FAC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04A86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CB54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09A3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71773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C33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5C6D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D85D30" w14:textId="77777777" w:rsidTr="00ED5B0A">
        <w:tc>
          <w:tcPr>
            <w:tcW w:w="1242" w:type="dxa"/>
            <w:tcBorders>
              <w:top w:val="single" w:sz="6" w:space="0" w:color="auto"/>
              <w:left w:val="single" w:sz="6" w:space="0" w:color="auto"/>
              <w:bottom w:val="single" w:sz="6" w:space="0" w:color="auto"/>
              <w:right w:val="single" w:sz="6" w:space="0" w:color="auto"/>
            </w:tcBorders>
          </w:tcPr>
          <w:p w14:paraId="2530E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5FADB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26AEB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w:t>
            </w:r>
          </w:p>
        </w:tc>
        <w:tc>
          <w:tcPr>
            <w:tcW w:w="567" w:type="dxa"/>
            <w:tcBorders>
              <w:top w:val="single" w:sz="6" w:space="0" w:color="auto"/>
              <w:left w:val="single" w:sz="6" w:space="0" w:color="auto"/>
              <w:bottom w:val="single" w:sz="6" w:space="0" w:color="auto"/>
              <w:right w:val="single" w:sz="6" w:space="0" w:color="auto"/>
            </w:tcBorders>
          </w:tcPr>
          <w:p w14:paraId="172FFF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635/</w:t>
            </w:r>
          </w:p>
        </w:tc>
        <w:tc>
          <w:tcPr>
            <w:tcW w:w="567" w:type="dxa"/>
            <w:tcBorders>
              <w:top w:val="single" w:sz="6" w:space="0" w:color="auto"/>
              <w:left w:val="single" w:sz="6" w:space="0" w:color="auto"/>
              <w:bottom w:val="single" w:sz="6" w:space="0" w:color="auto"/>
              <w:right w:val="single" w:sz="6" w:space="0" w:color="auto"/>
            </w:tcBorders>
          </w:tcPr>
          <w:p w14:paraId="27675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137</w:t>
            </w:r>
          </w:p>
        </w:tc>
        <w:tc>
          <w:tcPr>
            <w:tcW w:w="709" w:type="dxa"/>
            <w:tcBorders>
              <w:top w:val="single" w:sz="6" w:space="0" w:color="auto"/>
              <w:left w:val="single" w:sz="6" w:space="0" w:color="auto"/>
              <w:bottom w:val="single" w:sz="6" w:space="0" w:color="auto"/>
              <w:right w:val="single" w:sz="6" w:space="0" w:color="auto"/>
            </w:tcBorders>
          </w:tcPr>
          <w:p w14:paraId="422AA3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783" w:type="dxa"/>
            <w:tcBorders>
              <w:top w:val="single" w:sz="6" w:space="0" w:color="auto"/>
              <w:left w:val="single" w:sz="6" w:space="0" w:color="auto"/>
              <w:bottom w:val="single" w:sz="6" w:space="0" w:color="auto"/>
              <w:right w:val="single" w:sz="6" w:space="0" w:color="auto"/>
            </w:tcBorders>
          </w:tcPr>
          <w:p w14:paraId="78CDC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tc>
        <w:tc>
          <w:tcPr>
            <w:tcW w:w="783" w:type="dxa"/>
            <w:tcBorders>
              <w:top w:val="single" w:sz="6" w:space="0" w:color="auto"/>
              <w:left w:val="single" w:sz="6" w:space="0" w:color="auto"/>
              <w:bottom w:val="single" w:sz="6" w:space="0" w:color="auto"/>
              <w:right w:val="single" w:sz="6" w:space="0" w:color="auto"/>
            </w:tcBorders>
          </w:tcPr>
          <w:p w14:paraId="094BA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36882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20E26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0/500</w:t>
            </w:r>
          </w:p>
        </w:tc>
        <w:tc>
          <w:tcPr>
            <w:tcW w:w="410" w:type="dxa"/>
            <w:tcBorders>
              <w:top w:val="single" w:sz="6" w:space="0" w:color="auto"/>
              <w:left w:val="single" w:sz="6" w:space="0" w:color="auto"/>
              <w:bottom w:val="single" w:sz="6" w:space="0" w:color="auto"/>
              <w:right w:val="single" w:sz="6" w:space="0" w:color="auto"/>
            </w:tcBorders>
          </w:tcPr>
          <w:p w14:paraId="28444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F17F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35E17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15.Х.43</w:t>
            </w:r>
          </w:p>
        </w:tc>
        <w:tc>
          <w:tcPr>
            <w:tcW w:w="621" w:type="dxa"/>
            <w:tcBorders>
              <w:top w:val="single" w:sz="6" w:space="0" w:color="auto"/>
              <w:left w:val="single" w:sz="6" w:space="0" w:color="auto"/>
              <w:bottom w:val="single" w:sz="6" w:space="0" w:color="auto"/>
              <w:right w:val="single" w:sz="6" w:space="0" w:color="auto"/>
            </w:tcBorders>
          </w:tcPr>
          <w:p w14:paraId="2591D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F24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9705D0" w14:textId="77777777" w:rsidTr="00ED5B0A">
        <w:tc>
          <w:tcPr>
            <w:tcW w:w="1242" w:type="dxa"/>
            <w:tcBorders>
              <w:top w:val="single" w:sz="6" w:space="0" w:color="auto"/>
              <w:left w:val="single" w:sz="6" w:space="0" w:color="auto"/>
              <w:bottom w:val="single" w:sz="6" w:space="0" w:color="auto"/>
              <w:right w:val="single" w:sz="6" w:space="0" w:color="auto"/>
            </w:tcBorders>
          </w:tcPr>
          <w:p w14:paraId="427BF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двухмест.</w:t>
            </w:r>
          </w:p>
        </w:tc>
        <w:tc>
          <w:tcPr>
            <w:tcW w:w="431" w:type="dxa"/>
            <w:tcBorders>
              <w:top w:val="single" w:sz="6" w:space="0" w:color="auto"/>
              <w:left w:val="single" w:sz="6" w:space="0" w:color="auto"/>
              <w:bottom w:val="single" w:sz="6" w:space="0" w:color="auto"/>
              <w:right w:val="single" w:sz="6" w:space="0" w:color="auto"/>
            </w:tcBorders>
          </w:tcPr>
          <w:p w14:paraId="28AA3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62F2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792A1F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7400</w:t>
            </w:r>
          </w:p>
        </w:tc>
        <w:tc>
          <w:tcPr>
            <w:tcW w:w="567" w:type="dxa"/>
            <w:tcBorders>
              <w:top w:val="single" w:sz="6" w:space="0" w:color="auto"/>
              <w:left w:val="single" w:sz="6" w:space="0" w:color="auto"/>
              <w:bottom w:val="single" w:sz="6" w:space="0" w:color="auto"/>
              <w:right w:val="single" w:sz="6" w:space="0" w:color="auto"/>
            </w:tcBorders>
          </w:tcPr>
          <w:p w14:paraId="60011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5EDA3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7400</w:t>
            </w:r>
          </w:p>
        </w:tc>
        <w:tc>
          <w:tcPr>
            <w:tcW w:w="783" w:type="dxa"/>
            <w:tcBorders>
              <w:top w:val="single" w:sz="6" w:space="0" w:color="auto"/>
              <w:left w:val="single" w:sz="6" w:space="0" w:color="auto"/>
              <w:bottom w:val="single" w:sz="6" w:space="0" w:color="auto"/>
              <w:right w:val="single" w:sz="6" w:space="0" w:color="auto"/>
            </w:tcBorders>
          </w:tcPr>
          <w:p w14:paraId="28A3FC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361B4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F3F2D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45CD4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E671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4198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пилота</w:t>
            </w:r>
          </w:p>
        </w:tc>
        <w:tc>
          <w:tcPr>
            <w:tcW w:w="922" w:type="dxa"/>
            <w:tcBorders>
              <w:top w:val="single" w:sz="6" w:space="0" w:color="auto"/>
              <w:left w:val="single" w:sz="6" w:space="0" w:color="auto"/>
              <w:bottom w:val="single" w:sz="6" w:space="0" w:color="auto"/>
              <w:right w:val="single" w:sz="6" w:space="0" w:color="auto"/>
            </w:tcBorders>
          </w:tcPr>
          <w:p w14:paraId="628E7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9D01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4D17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71C838" w14:textId="77777777" w:rsidTr="00ED5B0A">
        <w:tc>
          <w:tcPr>
            <w:tcW w:w="1242" w:type="dxa"/>
            <w:tcBorders>
              <w:top w:val="single" w:sz="6" w:space="0" w:color="auto"/>
              <w:left w:val="single" w:sz="6" w:space="0" w:color="auto"/>
              <w:bottom w:val="single" w:sz="6" w:space="0" w:color="auto"/>
              <w:right w:val="single" w:sz="6" w:space="0" w:color="auto"/>
            </w:tcBorders>
          </w:tcPr>
          <w:p w14:paraId="41C6D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052A3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F0D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377A5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5BD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E72A7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9336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AB0B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E9E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патр.</w:t>
            </w:r>
          </w:p>
        </w:tc>
        <w:tc>
          <w:tcPr>
            <w:tcW w:w="848" w:type="dxa"/>
            <w:tcBorders>
              <w:top w:val="single" w:sz="6" w:space="0" w:color="auto"/>
              <w:left w:val="single" w:sz="6" w:space="0" w:color="auto"/>
              <w:bottom w:val="single" w:sz="6" w:space="0" w:color="auto"/>
              <w:right w:val="single" w:sz="6" w:space="0" w:color="auto"/>
            </w:tcBorders>
          </w:tcPr>
          <w:p w14:paraId="78E44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B7A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CB46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FF4A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CA2E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1554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C75FD6" w14:textId="77777777" w:rsidTr="00ED5B0A">
        <w:tc>
          <w:tcPr>
            <w:tcW w:w="1242" w:type="dxa"/>
            <w:tcBorders>
              <w:top w:val="single" w:sz="6" w:space="0" w:color="auto"/>
              <w:left w:val="single" w:sz="6" w:space="0" w:color="auto"/>
              <w:bottom w:val="single" w:sz="6" w:space="0" w:color="auto"/>
              <w:right w:val="single" w:sz="6" w:space="0" w:color="auto"/>
            </w:tcBorders>
          </w:tcPr>
          <w:p w14:paraId="4B1AFC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Дальнего</w:t>
            </w:r>
          </w:p>
        </w:tc>
        <w:tc>
          <w:tcPr>
            <w:tcW w:w="431" w:type="dxa"/>
            <w:tcBorders>
              <w:top w:val="single" w:sz="6" w:space="0" w:color="auto"/>
              <w:left w:val="single" w:sz="6" w:space="0" w:color="auto"/>
              <w:bottom w:val="single" w:sz="6" w:space="0" w:color="auto"/>
              <w:right w:val="single" w:sz="6" w:space="0" w:color="auto"/>
            </w:tcBorders>
          </w:tcPr>
          <w:p w14:paraId="6544C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A48A2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486</w:t>
            </w:r>
          </w:p>
        </w:tc>
        <w:tc>
          <w:tcPr>
            <w:tcW w:w="567" w:type="dxa"/>
            <w:tcBorders>
              <w:top w:val="single" w:sz="6" w:space="0" w:color="auto"/>
              <w:left w:val="single" w:sz="6" w:space="0" w:color="auto"/>
              <w:bottom w:val="single" w:sz="6" w:space="0" w:color="auto"/>
              <w:right w:val="single" w:sz="6" w:space="0" w:color="auto"/>
            </w:tcBorders>
          </w:tcPr>
          <w:p w14:paraId="6F975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091C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84B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F622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A38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889F9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5043C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27FA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5ABBE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C34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03F9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1746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CD0901" w14:textId="77777777" w:rsidTr="00ED5B0A">
        <w:tc>
          <w:tcPr>
            <w:tcW w:w="1242" w:type="dxa"/>
            <w:tcBorders>
              <w:top w:val="single" w:sz="6" w:space="0" w:color="auto"/>
              <w:left w:val="single" w:sz="6" w:space="0" w:color="auto"/>
              <w:bottom w:val="single" w:sz="6" w:space="0" w:color="auto"/>
              <w:right w:val="single" w:sz="6" w:space="0" w:color="auto"/>
            </w:tcBorders>
          </w:tcPr>
          <w:p w14:paraId="03B459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w:t>
            </w:r>
          </w:p>
        </w:tc>
        <w:tc>
          <w:tcPr>
            <w:tcW w:w="431" w:type="dxa"/>
            <w:tcBorders>
              <w:top w:val="single" w:sz="6" w:space="0" w:color="auto"/>
              <w:left w:val="single" w:sz="6" w:space="0" w:color="auto"/>
              <w:bottom w:val="single" w:sz="6" w:space="0" w:color="auto"/>
              <w:right w:val="single" w:sz="6" w:space="0" w:color="auto"/>
            </w:tcBorders>
          </w:tcPr>
          <w:p w14:paraId="38E11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F90F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BB6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F5D1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6ED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1679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47C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F609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77BF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1E14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FE0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751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114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2C4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8AB695" w14:textId="77777777" w:rsidTr="00ED5B0A">
        <w:tc>
          <w:tcPr>
            <w:tcW w:w="1242" w:type="dxa"/>
            <w:tcBorders>
              <w:top w:val="single" w:sz="6" w:space="0" w:color="auto"/>
              <w:left w:val="single" w:sz="6" w:space="0" w:color="auto"/>
              <w:bottom w:val="single" w:sz="6" w:space="0" w:color="auto"/>
              <w:right w:val="single" w:sz="6" w:space="0" w:color="auto"/>
            </w:tcBorders>
          </w:tcPr>
          <w:p w14:paraId="65DF35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АМ-37 с</w:t>
            </w:r>
          </w:p>
        </w:tc>
        <w:tc>
          <w:tcPr>
            <w:tcW w:w="431" w:type="dxa"/>
            <w:tcBorders>
              <w:top w:val="single" w:sz="6" w:space="0" w:color="auto"/>
              <w:left w:val="single" w:sz="6" w:space="0" w:color="auto"/>
              <w:bottom w:val="single" w:sz="6" w:space="0" w:color="auto"/>
              <w:right w:val="single" w:sz="6" w:space="0" w:color="auto"/>
            </w:tcBorders>
          </w:tcPr>
          <w:p w14:paraId="3F15E8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688D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28B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7A3E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BC96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EE2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CFB9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9158E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патр.</w:t>
            </w:r>
          </w:p>
        </w:tc>
        <w:tc>
          <w:tcPr>
            <w:tcW w:w="848" w:type="dxa"/>
            <w:tcBorders>
              <w:top w:val="single" w:sz="6" w:space="0" w:color="auto"/>
              <w:left w:val="single" w:sz="6" w:space="0" w:color="auto"/>
              <w:bottom w:val="single" w:sz="6" w:space="0" w:color="auto"/>
              <w:right w:val="single" w:sz="6" w:space="0" w:color="auto"/>
            </w:tcBorders>
          </w:tcPr>
          <w:p w14:paraId="2B06E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421C8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201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DFC2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6E0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43E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572CCD" w14:textId="77777777" w:rsidTr="00ED5B0A">
        <w:tc>
          <w:tcPr>
            <w:tcW w:w="1242" w:type="dxa"/>
            <w:tcBorders>
              <w:top w:val="single" w:sz="6" w:space="0" w:color="auto"/>
              <w:left w:val="single" w:sz="6" w:space="0" w:color="auto"/>
              <w:bottom w:val="single" w:sz="6" w:space="0" w:color="auto"/>
              <w:right w:val="single" w:sz="6" w:space="0" w:color="auto"/>
            </w:tcBorders>
          </w:tcPr>
          <w:p w14:paraId="5A8B60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Последующ.</w:t>
            </w:r>
          </w:p>
        </w:tc>
        <w:tc>
          <w:tcPr>
            <w:tcW w:w="431" w:type="dxa"/>
            <w:tcBorders>
              <w:top w:val="single" w:sz="6" w:space="0" w:color="auto"/>
              <w:left w:val="single" w:sz="6" w:space="0" w:color="auto"/>
              <w:bottom w:val="single" w:sz="6" w:space="0" w:color="auto"/>
              <w:right w:val="single" w:sz="6" w:space="0" w:color="auto"/>
            </w:tcBorders>
          </w:tcPr>
          <w:p w14:paraId="2FF93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6E122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FD3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7AB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82DE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C2E3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907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6D6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пул.</w:t>
            </w:r>
          </w:p>
        </w:tc>
        <w:tc>
          <w:tcPr>
            <w:tcW w:w="848" w:type="dxa"/>
            <w:tcBorders>
              <w:top w:val="single" w:sz="6" w:space="0" w:color="auto"/>
              <w:left w:val="single" w:sz="6" w:space="0" w:color="auto"/>
              <w:bottom w:val="single" w:sz="6" w:space="0" w:color="auto"/>
              <w:right w:val="single" w:sz="6" w:space="0" w:color="auto"/>
            </w:tcBorders>
          </w:tcPr>
          <w:p w14:paraId="354CE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334A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E43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0C2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AECB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BF84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1EF0BC" w14:textId="77777777" w:rsidTr="00ED5B0A">
        <w:tc>
          <w:tcPr>
            <w:tcW w:w="1242" w:type="dxa"/>
            <w:tcBorders>
              <w:top w:val="single" w:sz="6" w:space="0" w:color="auto"/>
              <w:left w:val="single" w:sz="6" w:space="0" w:color="auto"/>
              <w:bottom w:val="single" w:sz="6" w:space="0" w:color="auto"/>
              <w:right w:val="single" w:sz="6" w:space="0" w:color="auto"/>
            </w:tcBorders>
          </w:tcPr>
          <w:p w14:paraId="0B5E9D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Установкой</w:t>
            </w:r>
          </w:p>
        </w:tc>
        <w:tc>
          <w:tcPr>
            <w:tcW w:w="431" w:type="dxa"/>
            <w:tcBorders>
              <w:top w:val="single" w:sz="6" w:space="0" w:color="auto"/>
              <w:left w:val="single" w:sz="6" w:space="0" w:color="auto"/>
              <w:bottom w:val="single" w:sz="6" w:space="0" w:color="auto"/>
              <w:right w:val="single" w:sz="6" w:space="0" w:color="auto"/>
            </w:tcBorders>
          </w:tcPr>
          <w:p w14:paraId="47C82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1C7D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0F7B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11C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12FD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8AC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EB4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75632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30CFB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C98E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B3B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8888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FACA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2A84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2387FE" w14:textId="77777777" w:rsidTr="00ED5B0A">
        <w:tc>
          <w:tcPr>
            <w:tcW w:w="1242" w:type="dxa"/>
            <w:tcBorders>
              <w:top w:val="single" w:sz="6" w:space="0" w:color="auto"/>
              <w:left w:val="single" w:sz="6" w:space="0" w:color="auto"/>
              <w:bottom w:val="single" w:sz="6" w:space="0" w:color="auto"/>
              <w:right w:val="single" w:sz="6" w:space="0" w:color="auto"/>
            </w:tcBorders>
          </w:tcPr>
          <w:p w14:paraId="3A062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431" w:type="dxa"/>
            <w:tcBorders>
              <w:top w:val="single" w:sz="6" w:space="0" w:color="auto"/>
              <w:left w:val="single" w:sz="6" w:space="0" w:color="auto"/>
              <w:bottom w:val="single" w:sz="6" w:space="0" w:color="auto"/>
              <w:right w:val="single" w:sz="6" w:space="0" w:color="auto"/>
            </w:tcBorders>
          </w:tcPr>
          <w:p w14:paraId="192CE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AB410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E82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CC3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E8F5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F4E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D60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C219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4250 патр.</w:t>
            </w:r>
          </w:p>
        </w:tc>
        <w:tc>
          <w:tcPr>
            <w:tcW w:w="848" w:type="dxa"/>
            <w:tcBorders>
              <w:top w:val="single" w:sz="6" w:space="0" w:color="auto"/>
              <w:left w:val="single" w:sz="6" w:space="0" w:color="auto"/>
              <w:bottom w:val="single" w:sz="6" w:space="0" w:color="auto"/>
              <w:right w:val="single" w:sz="6" w:space="0" w:color="auto"/>
            </w:tcBorders>
          </w:tcPr>
          <w:p w14:paraId="635764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AA49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84E81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BE7C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A81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BAA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887C5D" w14:textId="77777777" w:rsidTr="00ED5B0A">
        <w:tc>
          <w:tcPr>
            <w:tcW w:w="1242" w:type="dxa"/>
            <w:tcBorders>
              <w:top w:val="single" w:sz="6" w:space="0" w:color="auto"/>
              <w:left w:val="single" w:sz="6" w:space="0" w:color="auto"/>
              <w:bottom w:val="single" w:sz="6" w:space="0" w:color="auto"/>
              <w:right w:val="single" w:sz="6" w:space="0" w:color="auto"/>
            </w:tcBorders>
          </w:tcPr>
          <w:p w14:paraId="1C24D9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4CB77A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5F3C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4C12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68A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E3B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BE8F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83F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4728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0E360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DF179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CF31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A795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2E6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3F61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9B3E87" w14:textId="77777777" w:rsidTr="00ED5B0A">
        <w:tc>
          <w:tcPr>
            <w:tcW w:w="1242" w:type="dxa"/>
            <w:tcBorders>
              <w:top w:val="single" w:sz="6" w:space="0" w:color="auto"/>
              <w:left w:val="single" w:sz="6" w:space="0" w:color="auto"/>
              <w:bottom w:val="single" w:sz="6" w:space="0" w:color="auto"/>
              <w:right w:val="single" w:sz="6" w:space="0" w:color="auto"/>
            </w:tcBorders>
          </w:tcPr>
          <w:p w14:paraId="1E17F4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w:t>
            </w:r>
          </w:p>
        </w:tc>
        <w:tc>
          <w:tcPr>
            <w:tcW w:w="431" w:type="dxa"/>
            <w:tcBorders>
              <w:top w:val="single" w:sz="6" w:space="0" w:color="auto"/>
              <w:left w:val="single" w:sz="6" w:space="0" w:color="auto"/>
              <w:bottom w:val="single" w:sz="6" w:space="0" w:color="auto"/>
              <w:right w:val="single" w:sz="6" w:space="0" w:color="auto"/>
            </w:tcBorders>
          </w:tcPr>
          <w:p w14:paraId="18141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5C81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1F6B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7A38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D4B0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822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C73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1E0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79A7F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D19A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B93A5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3CD1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4F7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4B1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8CA707" w14:textId="77777777" w:rsidTr="00ED5B0A">
        <w:tc>
          <w:tcPr>
            <w:tcW w:w="1242" w:type="dxa"/>
            <w:tcBorders>
              <w:top w:val="single" w:sz="6" w:space="0" w:color="auto"/>
              <w:left w:val="single" w:sz="6" w:space="0" w:color="auto"/>
              <w:bottom w:val="single" w:sz="6" w:space="0" w:color="auto"/>
              <w:right w:val="single" w:sz="6" w:space="0" w:color="auto"/>
            </w:tcBorders>
          </w:tcPr>
          <w:p w14:paraId="10BAAB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Модификации серийных истребителей.</w:t>
            </w:r>
          </w:p>
        </w:tc>
        <w:tc>
          <w:tcPr>
            <w:tcW w:w="431" w:type="dxa"/>
            <w:tcBorders>
              <w:top w:val="single" w:sz="6" w:space="0" w:color="auto"/>
              <w:left w:val="single" w:sz="6" w:space="0" w:color="auto"/>
              <w:bottom w:val="single" w:sz="6" w:space="0" w:color="auto"/>
              <w:right w:val="single" w:sz="6" w:space="0" w:color="auto"/>
            </w:tcBorders>
          </w:tcPr>
          <w:p w14:paraId="64446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EFEC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C8C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943E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2606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E4A9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571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AC1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104C8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F88A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79E4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F3F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5CE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A705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CABE3D" w14:textId="77777777" w:rsidTr="00ED5B0A">
        <w:tc>
          <w:tcPr>
            <w:tcW w:w="1242" w:type="dxa"/>
            <w:tcBorders>
              <w:top w:val="single" w:sz="6" w:space="0" w:color="auto"/>
              <w:left w:val="single" w:sz="6" w:space="0" w:color="auto"/>
              <w:bottom w:val="single" w:sz="6" w:space="0" w:color="auto"/>
              <w:right w:val="single" w:sz="6" w:space="0" w:color="auto"/>
            </w:tcBorders>
          </w:tcPr>
          <w:p w14:paraId="78F09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1-местн.</w:t>
            </w:r>
          </w:p>
        </w:tc>
        <w:tc>
          <w:tcPr>
            <w:tcW w:w="431" w:type="dxa"/>
            <w:tcBorders>
              <w:top w:val="single" w:sz="6" w:space="0" w:color="auto"/>
              <w:left w:val="single" w:sz="6" w:space="0" w:color="auto"/>
              <w:bottom w:val="single" w:sz="6" w:space="0" w:color="auto"/>
              <w:right w:val="single" w:sz="6" w:space="0" w:color="auto"/>
            </w:tcBorders>
          </w:tcPr>
          <w:p w14:paraId="4039EB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091D7E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4B984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c>
          <w:tcPr>
            <w:tcW w:w="567" w:type="dxa"/>
            <w:tcBorders>
              <w:top w:val="single" w:sz="6" w:space="0" w:color="auto"/>
              <w:left w:val="single" w:sz="6" w:space="0" w:color="auto"/>
              <w:bottom w:val="single" w:sz="6" w:space="0" w:color="auto"/>
              <w:right w:val="single" w:sz="6" w:space="0" w:color="auto"/>
            </w:tcBorders>
          </w:tcPr>
          <w:p w14:paraId="2BC89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w:t>
            </w:r>
          </w:p>
        </w:tc>
        <w:tc>
          <w:tcPr>
            <w:tcW w:w="709" w:type="dxa"/>
            <w:tcBorders>
              <w:top w:val="single" w:sz="6" w:space="0" w:color="auto"/>
              <w:left w:val="single" w:sz="6" w:space="0" w:color="auto"/>
              <w:bottom w:val="single" w:sz="6" w:space="0" w:color="auto"/>
              <w:right w:val="single" w:sz="6" w:space="0" w:color="auto"/>
            </w:tcBorders>
          </w:tcPr>
          <w:p w14:paraId="48A33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38D05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w:t>
            </w:r>
          </w:p>
        </w:tc>
        <w:tc>
          <w:tcPr>
            <w:tcW w:w="783" w:type="dxa"/>
            <w:tcBorders>
              <w:top w:val="single" w:sz="6" w:space="0" w:color="auto"/>
              <w:left w:val="single" w:sz="6" w:space="0" w:color="auto"/>
              <w:bottom w:val="single" w:sz="6" w:space="0" w:color="auto"/>
              <w:right w:val="single" w:sz="6" w:space="0" w:color="auto"/>
            </w:tcBorders>
          </w:tcPr>
          <w:p w14:paraId="2CA381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10400</w:t>
            </w:r>
          </w:p>
        </w:tc>
        <w:tc>
          <w:tcPr>
            <w:tcW w:w="1123" w:type="dxa"/>
            <w:tcBorders>
              <w:top w:val="single" w:sz="6" w:space="0" w:color="auto"/>
              <w:left w:val="single" w:sz="6" w:space="0" w:color="auto"/>
              <w:bottom w:val="single" w:sz="6" w:space="0" w:color="auto"/>
              <w:right w:val="single" w:sz="6" w:space="0" w:color="auto"/>
            </w:tcBorders>
          </w:tcPr>
          <w:p w14:paraId="179B0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3211E2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410" w:type="dxa"/>
            <w:tcBorders>
              <w:top w:val="single" w:sz="6" w:space="0" w:color="auto"/>
              <w:left w:val="single" w:sz="6" w:space="0" w:color="auto"/>
              <w:bottom w:val="single" w:sz="6" w:space="0" w:color="auto"/>
              <w:right w:val="single" w:sz="6" w:space="0" w:color="auto"/>
            </w:tcBorders>
          </w:tcPr>
          <w:p w14:paraId="731B34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5AC3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6A5C65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1.VI.43</w:t>
            </w:r>
          </w:p>
        </w:tc>
        <w:tc>
          <w:tcPr>
            <w:tcW w:w="621" w:type="dxa"/>
            <w:tcBorders>
              <w:top w:val="single" w:sz="6" w:space="0" w:color="auto"/>
              <w:left w:val="single" w:sz="6" w:space="0" w:color="auto"/>
              <w:bottom w:val="single" w:sz="6" w:space="0" w:color="auto"/>
              <w:right w:val="single" w:sz="6" w:space="0" w:color="auto"/>
            </w:tcBorders>
          </w:tcPr>
          <w:p w14:paraId="75A7C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FEE9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D3B829" w14:textId="77777777" w:rsidTr="00ED5B0A">
        <w:tc>
          <w:tcPr>
            <w:tcW w:w="1242" w:type="dxa"/>
            <w:tcBorders>
              <w:top w:val="single" w:sz="6" w:space="0" w:color="auto"/>
              <w:left w:val="single" w:sz="6" w:space="0" w:color="auto"/>
              <w:bottom w:val="single" w:sz="6" w:space="0" w:color="auto"/>
              <w:right w:val="single" w:sz="6" w:space="0" w:color="auto"/>
            </w:tcBorders>
          </w:tcPr>
          <w:p w14:paraId="02F0F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71CBF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8A2F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5FBF3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6100</w:t>
            </w:r>
          </w:p>
        </w:tc>
        <w:tc>
          <w:tcPr>
            <w:tcW w:w="567" w:type="dxa"/>
            <w:tcBorders>
              <w:top w:val="single" w:sz="6" w:space="0" w:color="auto"/>
              <w:left w:val="single" w:sz="6" w:space="0" w:color="auto"/>
              <w:bottom w:val="single" w:sz="6" w:space="0" w:color="auto"/>
              <w:right w:val="single" w:sz="6" w:space="0" w:color="auto"/>
            </w:tcBorders>
          </w:tcPr>
          <w:p w14:paraId="46A0C1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3564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4B1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ACD2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AA9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76D1A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3138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F0EC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w:t>
            </w:r>
          </w:p>
        </w:tc>
        <w:tc>
          <w:tcPr>
            <w:tcW w:w="922" w:type="dxa"/>
            <w:tcBorders>
              <w:top w:val="single" w:sz="6" w:space="0" w:color="auto"/>
              <w:left w:val="single" w:sz="6" w:space="0" w:color="auto"/>
              <w:bottom w:val="single" w:sz="6" w:space="0" w:color="auto"/>
              <w:right w:val="single" w:sz="6" w:space="0" w:color="auto"/>
            </w:tcBorders>
          </w:tcPr>
          <w:p w14:paraId="7BAAD3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87C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3DB8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B15801" w14:textId="77777777" w:rsidTr="00ED5B0A">
        <w:tc>
          <w:tcPr>
            <w:tcW w:w="1242" w:type="dxa"/>
            <w:tcBorders>
              <w:top w:val="single" w:sz="6" w:space="0" w:color="auto"/>
              <w:left w:val="single" w:sz="6" w:space="0" w:color="auto"/>
              <w:bottom w:val="single" w:sz="6" w:space="0" w:color="auto"/>
              <w:right w:val="single" w:sz="6" w:space="0" w:color="auto"/>
            </w:tcBorders>
          </w:tcPr>
          <w:p w14:paraId="414CEF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Ла-5 с</w:t>
            </w:r>
          </w:p>
        </w:tc>
        <w:tc>
          <w:tcPr>
            <w:tcW w:w="431" w:type="dxa"/>
            <w:tcBorders>
              <w:top w:val="single" w:sz="6" w:space="0" w:color="auto"/>
              <w:left w:val="single" w:sz="6" w:space="0" w:color="auto"/>
              <w:bottom w:val="single" w:sz="6" w:space="0" w:color="auto"/>
              <w:right w:val="single" w:sz="6" w:space="0" w:color="auto"/>
            </w:tcBorders>
          </w:tcPr>
          <w:p w14:paraId="3F8B51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EBA72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w:t>
            </w:r>
          </w:p>
        </w:tc>
        <w:tc>
          <w:tcPr>
            <w:tcW w:w="567" w:type="dxa"/>
            <w:tcBorders>
              <w:top w:val="single" w:sz="6" w:space="0" w:color="auto"/>
              <w:left w:val="single" w:sz="6" w:space="0" w:color="auto"/>
              <w:bottom w:val="single" w:sz="6" w:space="0" w:color="auto"/>
              <w:right w:val="single" w:sz="6" w:space="0" w:color="auto"/>
            </w:tcBorders>
          </w:tcPr>
          <w:p w14:paraId="31C3B0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4AE1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CB1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387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B6B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7A8A9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0C8C7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43F06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E05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передняя</w:t>
            </w:r>
          </w:p>
        </w:tc>
        <w:tc>
          <w:tcPr>
            <w:tcW w:w="922" w:type="dxa"/>
            <w:tcBorders>
              <w:top w:val="single" w:sz="6" w:space="0" w:color="auto"/>
              <w:left w:val="single" w:sz="6" w:space="0" w:color="auto"/>
              <w:bottom w:val="single" w:sz="6" w:space="0" w:color="auto"/>
              <w:right w:val="single" w:sz="6" w:space="0" w:color="auto"/>
            </w:tcBorders>
          </w:tcPr>
          <w:p w14:paraId="3AC27A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E87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E78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DB8A4D" w14:textId="77777777" w:rsidTr="00ED5B0A">
        <w:tc>
          <w:tcPr>
            <w:tcW w:w="1242" w:type="dxa"/>
            <w:tcBorders>
              <w:top w:val="single" w:sz="6" w:space="0" w:color="auto"/>
              <w:left w:val="single" w:sz="6" w:space="0" w:color="auto"/>
              <w:bottom w:val="single" w:sz="6" w:space="0" w:color="auto"/>
              <w:right w:val="single" w:sz="6" w:space="0" w:color="auto"/>
            </w:tcBorders>
          </w:tcPr>
          <w:p w14:paraId="188A18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 с</w:t>
            </w:r>
          </w:p>
        </w:tc>
        <w:tc>
          <w:tcPr>
            <w:tcW w:w="431" w:type="dxa"/>
            <w:tcBorders>
              <w:top w:val="single" w:sz="6" w:space="0" w:color="auto"/>
              <w:left w:val="single" w:sz="6" w:space="0" w:color="auto"/>
              <w:bottom w:val="single" w:sz="6" w:space="0" w:color="auto"/>
              <w:right w:val="single" w:sz="6" w:space="0" w:color="auto"/>
            </w:tcBorders>
          </w:tcPr>
          <w:p w14:paraId="04CC3D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A61E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8E79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4790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811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E88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041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F5C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E368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015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637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прозрачн.</w:t>
            </w:r>
          </w:p>
        </w:tc>
        <w:tc>
          <w:tcPr>
            <w:tcW w:w="922" w:type="dxa"/>
            <w:tcBorders>
              <w:top w:val="single" w:sz="6" w:space="0" w:color="auto"/>
              <w:left w:val="single" w:sz="6" w:space="0" w:color="auto"/>
              <w:bottom w:val="single" w:sz="6" w:space="0" w:color="auto"/>
              <w:right w:val="single" w:sz="6" w:space="0" w:color="auto"/>
            </w:tcBorders>
          </w:tcPr>
          <w:p w14:paraId="7426E9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D498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DB8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489388" w14:textId="77777777" w:rsidTr="00ED5B0A">
        <w:tc>
          <w:tcPr>
            <w:tcW w:w="1242" w:type="dxa"/>
            <w:tcBorders>
              <w:top w:val="single" w:sz="6" w:space="0" w:color="auto"/>
              <w:left w:val="single" w:sz="6" w:space="0" w:color="auto"/>
              <w:bottom w:val="single" w:sz="6" w:space="0" w:color="auto"/>
              <w:right w:val="single" w:sz="6" w:space="0" w:color="auto"/>
            </w:tcBorders>
          </w:tcPr>
          <w:p w14:paraId="29559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уменьшен.</w:t>
            </w:r>
          </w:p>
        </w:tc>
        <w:tc>
          <w:tcPr>
            <w:tcW w:w="431" w:type="dxa"/>
            <w:tcBorders>
              <w:top w:val="single" w:sz="6" w:space="0" w:color="auto"/>
              <w:left w:val="single" w:sz="6" w:space="0" w:color="auto"/>
              <w:bottom w:val="single" w:sz="6" w:space="0" w:color="auto"/>
              <w:right w:val="single" w:sz="6" w:space="0" w:color="auto"/>
            </w:tcBorders>
          </w:tcPr>
          <w:p w14:paraId="530C3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69149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ACF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D980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ADA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E03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83A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DD097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63F2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F239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490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w:t>
            </w:r>
          </w:p>
        </w:tc>
        <w:tc>
          <w:tcPr>
            <w:tcW w:w="922" w:type="dxa"/>
            <w:tcBorders>
              <w:top w:val="single" w:sz="6" w:space="0" w:color="auto"/>
              <w:left w:val="single" w:sz="6" w:space="0" w:color="auto"/>
              <w:bottom w:val="single" w:sz="6" w:space="0" w:color="auto"/>
              <w:right w:val="single" w:sz="6" w:space="0" w:color="auto"/>
            </w:tcBorders>
          </w:tcPr>
          <w:p w14:paraId="447C89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C37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FA74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4F650F" w14:textId="77777777" w:rsidTr="00ED5B0A">
        <w:tc>
          <w:tcPr>
            <w:tcW w:w="1242" w:type="dxa"/>
            <w:tcBorders>
              <w:top w:val="single" w:sz="6" w:space="0" w:color="auto"/>
              <w:left w:val="single" w:sz="6" w:space="0" w:color="auto"/>
              <w:bottom w:val="single" w:sz="6" w:space="0" w:color="auto"/>
              <w:right w:val="single" w:sz="6" w:space="0" w:color="auto"/>
            </w:tcBorders>
          </w:tcPr>
          <w:p w14:paraId="0E509B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весом до</w:t>
            </w:r>
          </w:p>
        </w:tc>
        <w:tc>
          <w:tcPr>
            <w:tcW w:w="431" w:type="dxa"/>
            <w:tcBorders>
              <w:top w:val="single" w:sz="6" w:space="0" w:color="auto"/>
              <w:left w:val="single" w:sz="6" w:space="0" w:color="auto"/>
              <w:bottom w:val="single" w:sz="6" w:space="0" w:color="auto"/>
              <w:right w:val="single" w:sz="6" w:space="0" w:color="auto"/>
            </w:tcBorders>
          </w:tcPr>
          <w:p w14:paraId="456A68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2C3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9A6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446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06E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F58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9C2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FE42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F821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C125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6F1EC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козырька</w:t>
            </w:r>
          </w:p>
        </w:tc>
        <w:tc>
          <w:tcPr>
            <w:tcW w:w="922" w:type="dxa"/>
            <w:tcBorders>
              <w:top w:val="single" w:sz="6" w:space="0" w:color="auto"/>
              <w:left w:val="single" w:sz="6" w:space="0" w:color="auto"/>
              <w:bottom w:val="single" w:sz="6" w:space="0" w:color="auto"/>
              <w:right w:val="single" w:sz="6" w:space="0" w:color="auto"/>
            </w:tcBorders>
          </w:tcPr>
          <w:p w14:paraId="4A1A3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BC31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B46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85F372" w14:textId="77777777" w:rsidTr="00ED5B0A">
        <w:tc>
          <w:tcPr>
            <w:tcW w:w="1242" w:type="dxa"/>
            <w:tcBorders>
              <w:top w:val="single" w:sz="6" w:space="0" w:color="auto"/>
              <w:left w:val="single" w:sz="6" w:space="0" w:color="auto"/>
              <w:bottom w:val="single" w:sz="6" w:space="0" w:color="auto"/>
              <w:right w:val="single" w:sz="6" w:space="0" w:color="auto"/>
            </w:tcBorders>
          </w:tcPr>
          <w:p w14:paraId="02E4E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 кг</w:t>
            </w:r>
          </w:p>
        </w:tc>
        <w:tc>
          <w:tcPr>
            <w:tcW w:w="431" w:type="dxa"/>
            <w:tcBorders>
              <w:top w:val="single" w:sz="6" w:space="0" w:color="auto"/>
              <w:left w:val="single" w:sz="6" w:space="0" w:color="auto"/>
              <w:bottom w:val="single" w:sz="6" w:space="0" w:color="auto"/>
              <w:right w:val="single" w:sz="6" w:space="0" w:color="auto"/>
            </w:tcBorders>
          </w:tcPr>
          <w:p w14:paraId="23221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0C0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0D6EF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A5DD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63C6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76DD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F93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59C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F4B1D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FB15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0C5EF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475CF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AC94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D0D4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6F0F4C" w14:textId="77777777" w:rsidTr="00ED5B0A">
        <w:tc>
          <w:tcPr>
            <w:tcW w:w="1242" w:type="dxa"/>
            <w:tcBorders>
              <w:top w:val="single" w:sz="6" w:space="0" w:color="auto"/>
              <w:left w:val="single" w:sz="6" w:space="0" w:color="auto"/>
              <w:bottom w:val="single" w:sz="6" w:space="0" w:color="auto"/>
              <w:right w:val="single" w:sz="6" w:space="0" w:color="auto"/>
            </w:tcBorders>
          </w:tcPr>
          <w:p w14:paraId="18D94A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316C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C4A7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0EEA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444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F247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A5A2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5F6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0B55E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8FCCA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F10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CF95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92F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830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6C71B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44C2C9" w14:textId="77777777" w:rsidTr="00ED5B0A">
        <w:tc>
          <w:tcPr>
            <w:tcW w:w="1242" w:type="dxa"/>
            <w:tcBorders>
              <w:top w:val="single" w:sz="6" w:space="0" w:color="auto"/>
              <w:left w:val="single" w:sz="6" w:space="0" w:color="auto"/>
              <w:bottom w:val="single" w:sz="6" w:space="0" w:color="auto"/>
              <w:right w:val="single" w:sz="6" w:space="0" w:color="auto"/>
            </w:tcBorders>
          </w:tcPr>
          <w:p w14:paraId="52AAA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7776F2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2F3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BFB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AC9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290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4FF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696B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4599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B114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0A5E4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4A37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5318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7202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E145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8A4DD8" w14:textId="77777777" w:rsidTr="00ED5B0A">
        <w:tc>
          <w:tcPr>
            <w:tcW w:w="1242" w:type="dxa"/>
            <w:tcBorders>
              <w:top w:val="single" w:sz="6" w:space="0" w:color="auto"/>
              <w:left w:val="single" w:sz="6" w:space="0" w:color="auto"/>
              <w:bottom w:val="single" w:sz="6" w:space="0" w:color="auto"/>
              <w:right w:val="single" w:sz="6" w:space="0" w:color="auto"/>
            </w:tcBorders>
          </w:tcPr>
          <w:p w14:paraId="20F14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Высотная</w:t>
            </w:r>
          </w:p>
        </w:tc>
        <w:tc>
          <w:tcPr>
            <w:tcW w:w="431" w:type="dxa"/>
            <w:tcBorders>
              <w:top w:val="single" w:sz="6" w:space="0" w:color="auto"/>
              <w:left w:val="single" w:sz="6" w:space="0" w:color="auto"/>
              <w:bottom w:val="single" w:sz="6" w:space="0" w:color="auto"/>
              <w:right w:val="single" w:sz="6" w:space="0" w:color="auto"/>
            </w:tcBorders>
          </w:tcPr>
          <w:p w14:paraId="645572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03" w:type="dxa"/>
            <w:tcBorders>
              <w:top w:val="single" w:sz="6" w:space="0" w:color="auto"/>
              <w:left w:val="single" w:sz="6" w:space="0" w:color="auto"/>
              <w:bottom w:val="single" w:sz="6" w:space="0" w:color="auto"/>
              <w:right w:val="single" w:sz="6" w:space="0" w:color="auto"/>
            </w:tcBorders>
          </w:tcPr>
          <w:p w14:paraId="3D1E4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c>
          <w:tcPr>
            <w:tcW w:w="567" w:type="dxa"/>
            <w:tcBorders>
              <w:top w:val="single" w:sz="6" w:space="0" w:color="auto"/>
              <w:left w:val="single" w:sz="6" w:space="0" w:color="auto"/>
              <w:bottom w:val="single" w:sz="6" w:space="0" w:color="auto"/>
              <w:right w:val="single" w:sz="6" w:space="0" w:color="auto"/>
            </w:tcBorders>
          </w:tcPr>
          <w:p w14:paraId="4E7B7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c>
          <w:tcPr>
            <w:tcW w:w="567" w:type="dxa"/>
            <w:tcBorders>
              <w:top w:val="single" w:sz="6" w:space="0" w:color="auto"/>
              <w:left w:val="single" w:sz="6" w:space="0" w:color="auto"/>
              <w:bottom w:val="single" w:sz="6" w:space="0" w:color="auto"/>
              <w:right w:val="single" w:sz="6" w:space="0" w:color="auto"/>
            </w:tcBorders>
          </w:tcPr>
          <w:p w14:paraId="718F0C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144</w:t>
            </w:r>
          </w:p>
        </w:tc>
        <w:tc>
          <w:tcPr>
            <w:tcW w:w="709" w:type="dxa"/>
            <w:tcBorders>
              <w:top w:val="single" w:sz="6" w:space="0" w:color="auto"/>
              <w:left w:val="single" w:sz="6" w:space="0" w:color="auto"/>
              <w:bottom w:val="single" w:sz="6" w:space="0" w:color="auto"/>
              <w:right w:val="single" w:sz="6" w:space="0" w:color="auto"/>
            </w:tcBorders>
          </w:tcPr>
          <w:p w14:paraId="17D55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6D77B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783" w:type="dxa"/>
            <w:tcBorders>
              <w:top w:val="single" w:sz="6" w:space="0" w:color="auto"/>
              <w:left w:val="single" w:sz="6" w:space="0" w:color="auto"/>
              <w:bottom w:val="single" w:sz="6" w:space="0" w:color="auto"/>
              <w:right w:val="single" w:sz="6" w:space="0" w:color="auto"/>
            </w:tcBorders>
          </w:tcPr>
          <w:p w14:paraId="24549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12200</w:t>
            </w:r>
          </w:p>
        </w:tc>
        <w:tc>
          <w:tcPr>
            <w:tcW w:w="1123" w:type="dxa"/>
            <w:tcBorders>
              <w:top w:val="single" w:sz="6" w:space="0" w:color="auto"/>
              <w:left w:val="single" w:sz="6" w:space="0" w:color="auto"/>
              <w:bottom w:val="single" w:sz="6" w:space="0" w:color="auto"/>
              <w:right w:val="single" w:sz="6" w:space="0" w:color="auto"/>
            </w:tcBorders>
          </w:tcPr>
          <w:p w14:paraId="5CC067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5C4AA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363F1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CB924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55BB9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экз.</w:t>
            </w:r>
          </w:p>
        </w:tc>
        <w:tc>
          <w:tcPr>
            <w:tcW w:w="621" w:type="dxa"/>
            <w:tcBorders>
              <w:top w:val="single" w:sz="6" w:space="0" w:color="auto"/>
              <w:left w:val="single" w:sz="6" w:space="0" w:color="auto"/>
              <w:bottom w:val="single" w:sz="6" w:space="0" w:color="auto"/>
              <w:right w:val="single" w:sz="6" w:space="0" w:color="auto"/>
            </w:tcBorders>
          </w:tcPr>
          <w:p w14:paraId="19447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экз. с-та</w:t>
            </w:r>
          </w:p>
        </w:tc>
        <w:tc>
          <w:tcPr>
            <w:tcW w:w="621" w:type="dxa"/>
            <w:tcBorders>
              <w:top w:val="single" w:sz="6" w:space="0" w:color="auto"/>
              <w:left w:val="single" w:sz="6" w:space="0" w:color="auto"/>
              <w:bottom w:val="single" w:sz="6" w:space="0" w:color="auto"/>
              <w:right w:val="single" w:sz="6" w:space="0" w:color="auto"/>
            </w:tcBorders>
          </w:tcPr>
          <w:p w14:paraId="71DC8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93E614" w14:textId="77777777" w:rsidTr="00ED5B0A">
        <w:tc>
          <w:tcPr>
            <w:tcW w:w="1242" w:type="dxa"/>
            <w:tcBorders>
              <w:top w:val="single" w:sz="6" w:space="0" w:color="auto"/>
              <w:left w:val="single" w:sz="6" w:space="0" w:color="auto"/>
              <w:bottom w:val="single" w:sz="6" w:space="0" w:color="auto"/>
              <w:right w:val="single" w:sz="6" w:space="0" w:color="auto"/>
            </w:tcBorders>
          </w:tcPr>
          <w:p w14:paraId="38D91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w:t>
            </w:r>
          </w:p>
        </w:tc>
        <w:tc>
          <w:tcPr>
            <w:tcW w:w="431" w:type="dxa"/>
            <w:tcBorders>
              <w:top w:val="single" w:sz="6" w:space="0" w:color="auto"/>
              <w:left w:val="single" w:sz="6" w:space="0" w:color="auto"/>
              <w:bottom w:val="single" w:sz="6" w:space="0" w:color="auto"/>
              <w:right w:val="single" w:sz="6" w:space="0" w:color="auto"/>
            </w:tcBorders>
          </w:tcPr>
          <w:p w14:paraId="7BA21F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5969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786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424EA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305B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2D2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5F429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887D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2EFD5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7A96F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A2146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9A52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1.07.43</w:t>
            </w:r>
          </w:p>
        </w:tc>
        <w:tc>
          <w:tcPr>
            <w:tcW w:w="621" w:type="dxa"/>
            <w:tcBorders>
              <w:top w:val="single" w:sz="6" w:space="0" w:color="auto"/>
              <w:left w:val="single" w:sz="6" w:space="0" w:color="auto"/>
              <w:bottom w:val="single" w:sz="6" w:space="0" w:color="auto"/>
              <w:right w:val="single" w:sz="6" w:space="0" w:color="auto"/>
            </w:tcBorders>
          </w:tcPr>
          <w:p w14:paraId="501EA2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выпк. для</w:t>
            </w:r>
          </w:p>
        </w:tc>
        <w:tc>
          <w:tcPr>
            <w:tcW w:w="621" w:type="dxa"/>
            <w:tcBorders>
              <w:top w:val="single" w:sz="6" w:space="0" w:color="auto"/>
              <w:left w:val="single" w:sz="6" w:space="0" w:color="auto"/>
              <w:bottom w:val="single" w:sz="6" w:space="0" w:color="auto"/>
              <w:right w:val="single" w:sz="6" w:space="0" w:color="auto"/>
            </w:tcBorders>
          </w:tcPr>
          <w:p w14:paraId="424EA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EB9FBB" w14:textId="77777777" w:rsidTr="00ED5B0A">
        <w:tc>
          <w:tcPr>
            <w:tcW w:w="1242" w:type="dxa"/>
            <w:tcBorders>
              <w:top w:val="single" w:sz="6" w:space="0" w:color="auto"/>
              <w:left w:val="single" w:sz="6" w:space="0" w:color="auto"/>
              <w:bottom w:val="single" w:sz="6" w:space="0" w:color="auto"/>
              <w:right w:val="single" w:sz="6" w:space="0" w:color="auto"/>
            </w:tcBorders>
          </w:tcPr>
          <w:p w14:paraId="6AEE78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597FE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70E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0224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B507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96A4D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39A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5A6A0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5E4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5F3238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A6C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855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1907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41C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 отработки</w:t>
            </w:r>
          </w:p>
        </w:tc>
        <w:tc>
          <w:tcPr>
            <w:tcW w:w="621" w:type="dxa"/>
            <w:tcBorders>
              <w:top w:val="single" w:sz="6" w:space="0" w:color="auto"/>
              <w:left w:val="single" w:sz="6" w:space="0" w:color="auto"/>
              <w:bottom w:val="single" w:sz="6" w:space="0" w:color="auto"/>
              <w:right w:val="single" w:sz="6" w:space="0" w:color="auto"/>
            </w:tcBorders>
          </w:tcPr>
          <w:p w14:paraId="2D1BC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49ED3C" w14:textId="77777777" w:rsidTr="00ED5B0A">
        <w:tc>
          <w:tcPr>
            <w:tcW w:w="1242" w:type="dxa"/>
            <w:tcBorders>
              <w:top w:val="single" w:sz="6" w:space="0" w:color="auto"/>
              <w:left w:val="single" w:sz="6" w:space="0" w:color="auto"/>
              <w:bottom w:val="single" w:sz="6" w:space="0" w:color="auto"/>
              <w:right w:val="single" w:sz="6" w:space="0" w:color="auto"/>
            </w:tcBorders>
          </w:tcPr>
          <w:p w14:paraId="165B7B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с</w:t>
            </w:r>
          </w:p>
        </w:tc>
        <w:tc>
          <w:tcPr>
            <w:tcW w:w="431" w:type="dxa"/>
            <w:tcBorders>
              <w:top w:val="single" w:sz="6" w:space="0" w:color="auto"/>
              <w:left w:val="single" w:sz="6" w:space="0" w:color="auto"/>
              <w:bottom w:val="single" w:sz="6" w:space="0" w:color="auto"/>
              <w:right w:val="single" w:sz="6" w:space="0" w:color="auto"/>
            </w:tcBorders>
          </w:tcPr>
          <w:p w14:paraId="4E985B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5FFF5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567" w:type="dxa"/>
            <w:tcBorders>
              <w:top w:val="single" w:sz="6" w:space="0" w:color="auto"/>
              <w:left w:val="single" w:sz="6" w:space="0" w:color="auto"/>
              <w:bottom w:val="single" w:sz="6" w:space="0" w:color="auto"/>
              <w:right w:val="single" w:sz="6" w:space="0" w:color="auto"/>
            </w:tcBorders>
          </w:tcPr>
          <w:p w14:paraId="07874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tc>
        <w:tc>
          <w:tcPr>
            <w:tcW w:w="567" w:type="dxa"/>
            <w:tcBorders>
              <w:top w:val="single" w:sz="6" w:space="0" w:color="auto"/>
              <w:left w:val="single" w:sz="6" w:space="0" w:color="auto"/>
              <w:bottom w:val="single" w:sz="6" w:space="0" w:color="auto"/>
              <w:right w:val="single" w:sz="6" w:space="0" w:color="auto"/>
            </w:tcBorders>
          </w:tcPr>
          <w:p w14:paraId="6CE75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144</w:t>
            </w:r>
          </w:p>
        </w:tc>
        <w:tc>
          <w:tcPr>
            <w:tcW w:w="709" w:type="dxa"/>
            <w:tcBorders>
              <w:top w:val="single" w:sz="6" w:space="0" w:color="auto"/>
              <w:left w:val="single" w:sz="6" w:space="0" w:color="auto"/>
              <w:bottom w:val="single" w:sz="6" w:space="0" w:color="auto"/>
              <w:right w:val="single" w:sz="6" w:space="0" w:color="auto"/>
            </w:tcBorders>
          </w:tcPr>
          <w:p w14:paraId="02319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4341F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783" w:type="dxa"/>
            <w:tcBorders>
              <w:top w:val="single" w:sz="6" w:space="0" w:color="auto"/>
              <w:left w:val="single" w:sz="6" w:space="0" w:color="auto"/>
              <w:bottom w:val="single" w:sz="6" w:space="0" w:color="auto"/>
              <w:right w:val="single" w:sz="6" w:space="0" w:color="auto"/>
            </w:tcBorders>
          </w:tcPr>
          <w:p w14:paraId="557A54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12200</w:t>
            </w:r>
          </w:p>
        </w:tc>
        <w:tc>
          <w:tcPr>
            <w:tcW w:w="1123" w:type="dxa"/>
            <w:tcBorders>
              <w:top w:val="single" w:sz="6" w:space="0" w:color="auto"/>
              <w:left w:val="single" w:sz="6" w:space="0" w:color="auto"/>
              <w:bottom w:val="single" w:sz="6" w:space="0" w:color="auto"/>
              <w:right w:val="single" w:sz="6" w:space="0" w:color="auto"/>
            </w:tcBorders>
          </w:tcPr>
          <w:p w14:paraId="50F92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0058B5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663B1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49145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541DC9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экз.</w:t>
            </w:r>
          </w:p>
        </w:tc>
        <w:tc>
          <w:tcPr>
            <w:tcW w:w="621" w:type="dxa"/>
            <w:tcBorders>
              <w:top w:val="single" w:sz="6" w:space="0" w:color="auto"/>
              <w:left w:val="single" w:sz="6" w:space="0" w:color="auto"/>
              <w:bottom w:val="single" w:sz="6" w:space="0" w:color="auto"/>
              <w:right w:val="single" w:sz="6" w:space="0" w:color="auto"/>
            </w:tcBorders>
          </w:tcPr>
          <w:p w14:paraId="15C2B5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винтомоторной</w:t>
            </w:r>
          </w:p>
        </w:tc>
        <w:tc>
          <w:tcPr>
            <w:tcW w:w="621" w:type="dxa"/>
            <w:tcBorders>
              <w:top w:val="single" w:sz="6" w:space="0" w:color="auto"/>
              <w:left w:val="single" w:sz="6" w:space="0" w:color="auto"/>
              <w:bottom w:val="single" w:sz="6" w:space="0" w:color="auto"/>
              <w:right w:val="single" w:sz="6" w:space="0" w:color="auto"/>
            </w:tcBorders>
          </w:tcPr>
          <w:p w14:paraId="69B7C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F55F62" w14:textId="77777777" w:rsidTr="00ED5B0A">
        <w:tc>
          <w:tcPr>
            <w:tcW w:w="1242" w:type="dxa"/>
            <w:tcBorders>
              <w:top w:val="single" w:sz="6" w:space="0" w:color="auto"/>
              <w:left w:val="single" w:sz="6" w:space="0" w:color="auto"/>
              <w:bottom w:val="single" w:sz="6" w:space="0" w:color="auto"/>
              <w:right w:val="single" w:sz="6" w:space="0" w:color="auto"/>
            </w:tcBorders>
          </w:tcPr>
          <w:p w14:paraId="6E1F00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М-82 с </w:t>
            </w:r>
          </w:p>
        </w:tc>
        <w:tc>
          <w:tcPr>
            <w:tcW w:w="431" w:type="dxa"/>
            <w:tcBorders>
              <w:top w:val="single" w:sz="6" w:space="0" w:color="auto"/>
              <w:left w:val="single" w:sz="6" w:space="0" w:color="auto"/>
              <w:bottom w:val="single" w:sz="6" w:space="0" w:color="auto"/>
              <w:right w:val="single" w:sz="6" w:space="0" w:color="auto"/>
            </w:tcBorders>
          </w:tcPr>
          <w:p w14:paraId="3666B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CFAEE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A1E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1A61F4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E46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F0B0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17AD5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0949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0F4C6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19CA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5138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1032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6039E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 Герметич.</w:t>
            </w:r>
          </w:p>
        </w:tc>
        <w:tc>
          <w:tcPr>
            <w:tcW w:w="621" w:type="dxa"/>
            <w:tcBorders>
              <w:top w:val="single" w:sz="6" w:space="0" w:color="auto"/>
              <w:left w:val="single" w:sz="6" w:space="0" w:color="auto"/>
              <w:bottom w:val="single" w:sz="6" w:space="0" w:color="auto"/>
              <w:right w:val="single" w:sz="6" w:space="0" w:color="auto"/>
            </w:tcBorders>
          </w:tcPr>
          <w:p w14:paraId="27819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D78087" w14:textId="77777777" w:rsidTr="00ED5B0A">
        <w:tc>
          <w:tcPr>
            <w:tcW w:w="1242" w:type="dxa"/>
            <w:tcBorders>
              <w:top w:val="single" w:sz="6" w:space="0" w:color="auto"/>
              <w:left w:val="single" w:sz="6" w:space="0" w:color="auto"/>
              <w:bottom w:val="single" w:sz="6" w:space="0" w:color="auto"/>
              <w:right w:val="single" w:sz="6" w:space="0" w:color="auto"/>
            </w:tcBorders>
          </w:tcPr>
          <w:p w14:paraId="5058E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ТК-3 и с</w:t>
            </w:r>
          </w:p>
        </w:tc>
        <w:tc>
          <w:tcPr>
            <w:tcW w:w="431" w:type="dxa"/>
            <w:tcBorders>
              <w:top w:val="single" w:sz="6" w:space="0" w:color="auto"/>
              <w:left w:val="single" w:sz="6" w:space="0" w:color="auto"/>
              <w:bottom w:val="single" w:sz="6" w:space="0" w:color="auto"/>
              <w:right w:val="single" w:sz="6" w:space="0" w:color="auto"/>
            </w:tcBorders>
          </w:tcPr>
          <w:p w14:paraId="7EA1B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C31B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40F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74E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1CDE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9E30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AC21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E7B8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33DFB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C01C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D1270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8156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EB1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кабиной оборуд.</w:t>
            </w:r>
          </w:p>
        </w:tc>
        <w:tc>
          <w:tcPr>
            <w:tcW w:w="621" w:type="dxa"/>
            <w:tcBorders>
              <w:top w:val="single" w:sz="6" w:space="0" w:color="auto"/>
              <w:left w:val="single" w:sz="6" w:space="0" w:color="auto"/>
              <w:bottom w:val="single" w:sz="6" w:space="0" w:color="auto"/>
              <w:right w:val="single" w:sz="6" w:space="0" w:color="auto"/>
            </w:tcBorders>
          </w:tcPr>
          <w:p w14:paraId="51041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E2337B" w14:textId="77777777" w:rsidTr="00ED5B0A">
        <w:tc>
          <w:tcPr>
            <w:tcW w:w="1242" w:type="dxa"/>
            <w:tcBorders>
              <w:top w:val="single" w:sz="6" w:space="0" w:color="auto"/>
              <w:left w:val="single" w:sz="6" w:space="0" w:color="auto"/>
              <w:bottom w:val="single" w:sz="6" w:space="0" w:color="auto"/>
              <w:right w:val="single" w:sz="6" w:space="0" w:color="auto"/>
            </w:tcBorders>
          </w:tcPr>
          <w:p w14:paraId="576A84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 с</w:t>
            </w:r>
          </w:p>
        </w:tc>
        <w:tc>
          <w:tcPr>
            <w:tcW w:w="431" w:type="dxa"/>
            <w:tcBorders>
              <w:top w:val="single" w:sz="6" w:space="0" w:color="auto"/>
              <w:left w:val="single" w:sz="6" w:space="0" w:color="auto"/>
              <w:bottom w:val="single" w:sz="6" w:space="0" w:color="auto"/>
              <w:right w:val="single" w:sz="6" w:space="0" w:color="auto"/>
            </w:tcBorders>
          </w:tcPr>
          <w:p w14:paraId="2C605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5FC7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1AB27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040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B4BB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9E9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082D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B3CF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E29E5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5892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8E76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DFE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38FB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3-й экз.</w:t>
            </w:r>
          </w:p>
        </w:tc>
        <w:tc>
          <w:tcPr>
            <w:tcW w:w="621" w:type="dxa"/>
            <w:tcBorders>
              <w:top w:val="single" w:sz="6" w:space="0" w:color="auto"/>
              <w:left w:val="single" w:sz="6" w:space="0" w:color="auto"/>
              <w:bottom w:val="single" w:sz="6" w:space="0" w:color="auto"/>
              <w:right w:val="single" w:sz="6" w:space="0" w:color="auto"/>
            </w:tcBorders>
          </w:tcPr>
          <w:p w14:paraId="0123B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2F78F0" w14:textId="77777777" w:rsidTr="00ED5B0A">
        <w:tc>
          <w:tcPr>
            <w:tcW w:w="1242" w:type="dxa"/>
            <w:tcBorders>
              <w:top w:val="single" w:sz="6" w:space="0" w:color="auto"/>
              <w:left w:val="single" w:sz="6" w:space="0" w:color="auto"/>
              <w:bottom w:val="single" w:sz="6" w:space="0" w:color="auto"/>
              <w:right w:val="single" w:sz="6" w:space="0" w:color="auto"/>
            </w:tcBorders>
          </w:tcPr>
          <w:p w14:paraId="6DDDE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ТК-3 с</w:t>
            </w:r>
          </w:p>
        </w:tc>
        <w:tc>
          <w:tcPr>
            <w:tcW w:w="431" w:type="dxa"/>
            <w:tcBorders>
              <w:top w:val="single" w:sz="6" w:space="0" w:color="auto"/>
              <w:left w:val="single" w:sz="6" w:space="0" w:color="auto"/>
              <w:bottom w:val="single" w:sz="6" w:space="0" w:color="auto"/>
              <w:right w:val="single" w:sz="6" w:space="0" w:color="auto"/>
            </w:tcBorders>
          </w:tcPr>
          <w:p w14:paraId="751B1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D57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AA74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486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CEB4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E49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06A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D0F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A61D9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E6F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EDB3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FEB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F249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E960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5F11C1" w14:textId="77777777" w:rsidTr="00ED5B0A">
        <w:tc>
          <w:tcPr>
            <w:tcW w:w="1242" w:type="dxa"/>
            <w:tcBorders>
              <w:top w:val="single" w:sz="6" w:space="0" w:color="auto"/>
              <w:left w:val="single" w:sz="6" w:space="0" w:color="auto"/>
              <w:bottom w:val="single" w:sz="6" w:space="0" w:color="auto"/>
              <w:right w:val="single" w:sz="6" w:space="0" w:color="auto"/>
            </w:tcBorders>
          </w:tcPr>
          <w:p w14:paraId="4A3F5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w:t>
            </w:r>
          </w:p>
        </w:tc>
        <w:tc>
          <w:tcPr>
            <w:tcW w:w="431" w:type="dxa"/>
            <w:tcBorders>
              <w:top w:val="single" w:sz="6" w:space="0" w:color="auto"/>
              <w:left w:val="single" w:sz="6" w:space="0" w:color="auto"/>
              <w:bottom w:val="single" w:sz="6" w:space="0" w:color="auto"/>
              <w:right w:val="single" w:sz="6" w:space="0" w:color="auto"/>
            </w:tcBorders>
          </w:tcPr>
          <w:p w14:paraId="7AA206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4D71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73D9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7CA1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3F54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9E30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B69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6DF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D79D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432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BEB0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35DB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5083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C0D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15B856" w14:textId="77777777" w:rsidTr="00ED5B0A">
        <w:tc>
          <w:tcPr>
            <w:tcW w:w="1242" w:type="dxa"/>
            <w:tcBorders>
              <w:top w:val="single" w:sz="6" w:space="0" w:color="auto"/>
              <w:left w:val="single" w:sz="6" w:space="0" w:color="auto"/>
              <w:bottom w:val="single" w:sz="6" w:space="0" w:color="auto"/>
              <w:right w:val="single" w:sz="6" w:space="0" w:color="auto"/>
            </w:tcBorders>
          </w:tcPr>
          <w:p w14:paraId="203924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Кабиной</w:t>
            </w:r>
          </w:p>
        </w:tc>
        <w:tc>
          <w:tcPr>
            <w:tcW w:w="431" w:type="dxa"/>
            <w:tcBorders>
              <w:top w:val="single" w:sz="6" w:space="0" w:color="auto"/>
              <w:left w:val="single" w:sz="6" w:space="0" w:color="auto"/>
              <w:bottom w:val="single" w:sz="6" w:space="0" w:color="auto"/>
              <w:right w:val="single" w:sz="6" w:space="0" w:color="auto"/>
            </w:tcBorders>
          </w:tcPr>
          <w:p w14:paraId="4B4A9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77117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9665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BC9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0A1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6A2E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9673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1D78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41442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4376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336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FAA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63D7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67BE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D8F6AF" w14:textId="77777777" w:rsidTr="00ED5B0A">
        <w:tc>
          <w:tcPr>
            <w:tcW w:w="1242" w:type="dxa"/>
            <w:tcBorders>
              <w:top w:val="single" w:sz="6" w:space="0" w:color="auto"/>
              <w:left w:val="single" w:sz="6" w:space="0" w:color="auto"/>
              <w:bottom w:val="single" w:sz="6" w:space="0" w:color="auto"/>
              <w:right w:val="single" w:sz="6" w:space="0" w:color="auto"/>
            </w:tcBorders>
          </w:tcPr>
          <w:p w14:paraId="054D94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C4059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B9F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7D6A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7E0E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F1C8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A12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3322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54B4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3959B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D6EE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62F1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CC94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5DBA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CF2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E71689" w14:textId="77777777" w:rsidTr="00ED5B0A">
        <w:tc>
          <w:tcPr>
            <w:tcW w:w="1242" w:type="dxa"/>
            <w:tcBorders>
              <w:top w:val="single" w:sz="6" w:space="0" w:color="auto"/>
              <w:left w:val="single" w:sz="6" w:space="0" w:color="auto"/>
              <w:bottom w:val="single" w:sz="6" w:space="0" w:color="auto"/>
              <w:right w:val="single" w:sz="6" w:space="0" w:color="auto"/>
            </w:tcBorders>
          </w:tcPr>
          <w:p w14:paraId="097C9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0BE8BE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AD51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FE8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425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D7E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BBDF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75B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143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BD300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8C77F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63E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C936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36EB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E6BC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F64F7A" w14:textId="77777777" w:rsidTr="00ED5B0A">
        <w:tc>
          <w:tcPr>
            <w:tcW w:w="1242" w:type="dxa"/>
            <w:tcBorders>
              <w:top w:val="single" w:sz="6" w:space="0" w:color="auto"/>
              <w:left w:val="single" w:sz="6" w:space="0" w:color="auto"/>
              <w:bottom w:val="single" w:sz="6" w:space="0" w:color="auto"/>
              <w:right w:val="single" w:sz="6" w:space="0" w:color="auto"/>
            </w:tcBorders>
          </w:tcPr>
          <w:p w14:paraId="055879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1-местн.</w:t>
            </w:r>
          </w:p>
        </w:tc>
        <w:tc>
          <w:tcPr>
            <w:tcW w:w="431" w:type="dxa"/>
            <w:tcBorders>
              <w:top w:val="single" w:sz="6" w:space="0" w:color="auto"/>
              <w:left w:val="single" w:sz="6" w:space="0" w:color="auto"/>
              <w:bottom w:val="single" w:sz="6" w:space="0" w:color="auto"/>
              <w:right w:val="single" w:sz="6" w:space="0" w:color="auto"/>
            </w:tcBorders>
          </w:tcPr>
          <w:p w14:paraId="2E4C87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03" w:type="dxa"/>
            <w:tcBorders>
              <w:top w:val="single" w:sz="6" w:space="0" w:color="auto"/>
              <w:left w:val="single" w:sz="6" w:space="0" w:color="auto"/>
              <w:bottom w:val="single" w:sz="6" w:space="0" w:color="auto"/>
              <w:right w:val="single" w:sz="6" w:space="0" w:color="auto"/>
            </w:tcBorders>
          </w:tcPr>
          <w:p w14:paraId="49036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567" w:type="dxa"/>
            <w:tcBorders>
              <w:top w:val="single" w:sz="6" w:space="0" w:color="auto"/>
              <w:left w:val="single" w:sz="6" w:space="0" w:color="auto"/>
              <w:bottom w:val="single" w:sz="6" w:space="0" w:color="auto"/>
              <w:right w:val="single" w:sz="6" w:space="0" w:color="auto"/>
            </w:tcBorders>
          </w:tcPr>
          <w:p w14:paraId="221B41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567" w:type="dxa"/>
            <w:tcBorders>
              <w:top w:val="single" w:sz="6" w:space="0" w:color="auto"/>
              <w:left w:val="single" w:sz="6" w:space="0" w:color="auto"/>
              <w:bottom w:val="single" w:sz="6" w:space="0" w:color="auto"/>
              <w:right w:val="single" w:sz="6" w:space="0" w:color="auto"/>
            </w:tcBorders>
          </w:tcPr>
          <w:p w14:paraId="0A9A4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w:t>
            </w:r>
          </w:p>
        </w:tc>
        <w:tc>
          <w:tcPr>
            <w:tcW w:w="709" w:type="dxa"/>
            <w:tcBorders>
              <w:top w:val="single" w:sz="6" w:space="0" w:color="auto"/>
              <w:left w:val="single" w:sz="6" w:space="0" w:color="auto"/>
              <w:bottom w:val="single" w:sz="6" w:space="0" w:color="auto"/>
              <w:right w:val="single" w:sz="6" w:space="0" w:color="auto"/>
            </w:tcBorders>
          </w:tcPr>
          <w:p w14:paraId="5B0707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37B75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783" w:type="dxa"/>
            <w:tcBorders>
              <w:top w:val="single" w:sz="6" w:space="0" w:color="auto"/>
              <w:left w:val="single" w:sz="6" w:space="0" w:color="auto"/>
              <w:bottom w:val="single" w:sz="6" w:space="0" w:color="auto"/>
              <w:right w:val="single" w:sz="6" w:space="0" w:color="auto"/>
            </w:tcBorders>
          </w:tcPr>
          <w:p w14:paraId="0F3EE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1123" w:type="dxa"/>
            <w:tcBorders>
              <w:top w:val="single" w:sz="6" w:space="0" w:color="auto"/>
              <w:left w:val="single" w:sz="6" w:space="0" w:color="auto"/>
              <w:bottom w:val="single" w:sz="6" w:space="0" w:color="auto"/>
              <w:right w:val="single" w:sz="6" w:space="0" w:color="auto"/>
            </w:tcBorders>
          </w:tcPr>
          <w:p w14:paraId="7C427E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1DF6CB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410" w:type="dxa"/>
            <w:tcBorders>
              <w:top w:val="single" w:sz="6" w:space="0" w:color="auto"/>
              <w:left w:val="single" w:sz="6" w:space="0" w:color="auto"/>
              <w:bottom w:val="single" w:sz="6" w:space="0" w:color="auto"/>
              <w:right w:val="single" w:sz="6" w:space="0" w:color="auto"/>
            </w:tcBorders>
          </w:tcPr>
          <w:p w14:paraId="1FDDF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1850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079CE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1.III.43</w:t>
            </w:r>
          </w:p>
        </w:tc>
        <w:tc>
          <w:tcPr>
            <w:tcW w:w="621" w:type="dxa"/>
            <w:tcBorders>
              <w:top w:val="single" w:sz="6" w:space="0" w:color="auto"/>
              <w:left w:val="single" w:sz="6" w:space="0" w:color="auto"/>
              <w:bottom w:val="single" w:sz="6" w:space="0" w:color="auto"/>
              <w:right w:val="single" w:sz="6" w:space="0" w:color="auto"/>
            </w:tcBorders>
          </w:tcPr>
          <w:p w14:paraId="2A7E63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ABE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061251" w14:textId="77777777" w:rsidTr="00ED5B0A">
        <w:tc>
          <w:tcPr>
            <w:tcW w:w="1242" w:type="dxa"/>
            <w:tcBorders>
              <w:top w:val="single" w:sz="6" w:space="0" w:color="auto"/>
              <w:left w:val="single" w:sz="6" w:space="0" w:color="auto"/>
              <w:bottom w:val="single" w:sz="6" w:space="0" w:color="auto"/>
              <w:right w:val="single" w:sz="6" w:space="0" w:color="auto"/>
            </w:tcBorders>
          </w:tcPr>
          <w:p w14:paraId="6553D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5C871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4F73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461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6250</w:t>
            </w:r>
          </w:p>
        </w:tc>
        <w:tc>
          <w:tcPr>
            <w:tcW w:w="567" w:type="dxa"/>
            <w:tcBorders>
              <w:top w:val="single" w:sz="6" w:space="0" w:color="auto"/>
              <w:left w:val="single" w:sz="6" w:space="0" w:color="auto"/>
              <w:bottom w:val="single" w:sz="6" w:space="0" w:color="auto"/>
              <w:right w:val="single" w:sz="6" w:space="0" w:color="auto"/>
            </w:tcBorders>
          </w:tcPr>
          <w:p w14:paraId="07856E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F54A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42A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262D4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35F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A57A9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124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8A00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BE7B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82A8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922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5B51D2" w14:textId="77777777" w:rsidTr="00ED5B0A">
        <w:tc>
          <w:tcPr>
            <w:tcW w:w="1242" w:type="dxa"/>
            <w:tcBorders>
              <w:top w:val="single" w:sz="6" w:space="0" w:color="auto"/>
              <w:left w:val="single" w:sz="6" w:space="0" w:color="auto"/>
              <w:bottom w:val="single" w:sz="6" w:space="0" w:color="auto"/>
              <w:right w:val="single" w:sz="6" w:space="0" w:color="auto"/>
            </w:tcBorders>
          </w:tcPr>
          <w:p w14:paraId="63F98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с</w:t>
            </w:r>
          </w:p>
        </w:tc>
        <w:tc>
          <w:tcPr>
            <w:tcW w:w="431" w:type="dxa"/>
            <w:tcBorders>
              <w:top w:val="single" w:sz="6" w:space="0" w:color="auto"/>
              <w:left w:val="single" w:sz="6" w:space="0" w:color="auto"/>
              <w:bottom w:val="single" w:sz="6" w:space="0" w:color="auto"/>
              <w:right w:val="single" w:sz="6" w:space="0" w:color="auto"/>
            </w:tcBorders>
          </w:tcPr>
          <w:p w14:paraId="77E68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0DA5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9554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CF1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24AB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D3D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E6A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76E3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0B226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0DFC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352D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DD37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AAE7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77B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056007" w14:textId="77777777" w:rsidTr="00ED5B0A">
        <w:tc>
          <w:tcPr>
            <w:tcW w:w="1242" w:type="dxa"/>
            <w:tcBorders>
              <w:top w:val="single" w:sz="6" w:space="0" w:color="auto"/>
              <w:left w:val="single" w:sz="6" w:space="0" w:color="auto"/>
              <w:bottom w:val="single" w:sz="6" w:space="0" w:color="auto"/>
              <w:right w:val="single" w:sz="6" w:space="0" w:color="auto"/>
            </w:tcBorders>
          </w:tcPr>
          <w:p w14:paraId="055ED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М-82Н и</w:t>
            </w:r>
          </w:p>
        </w:tc>
        <w:tc>
          <w:tcPr>
            <w:tcW w:w="431" w:type="dxa"/>
            <w:tcBorders>
              <w:top w:val="single" w:sz="6" w:space="0" w:color="auto"/>
              <w:left w:val="single" w:sz="6" w:space="0" w:color="auto"/>
              <w:bottom w:val="single" w:sz="6" w:space="0" w:color="auto"/>
              <w:right w:val="single" w:sz="6" w:space="0" w:color="auto"/>
            </w:tcBorders>
          </w:tcPr>
          <w:p w14:paraId="222720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1CC0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08F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256D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F5E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3975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6AC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89F8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A0AA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6672C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14F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360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95D0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7C92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21E78E" w14:textId="77777777" w:rsidTr="00ED5B0A">
        <w:tc>
          <w:tcPr>
            <w:tcW w:w="1242" w:type="dxa"/>
            <w:tcBorders>
              <w:top w:val="single" w:sz="6" w:space="0" w:color="auto"/>
              <w:left w:val="single" w:sz="6" w:space="0" w:color="auto"/>
              <w:bottom w:val="single" w:sz="6" w:space="0" w:color="auto"/>
              <w:right w:val="single" w:sz="6" w:space="0" w:color="auto"/>
            </w:tcBorders>
          </w:tcPr>
          <w:p w14:paraId="6741A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М-82ФН</w:t>
            </w:r>
          </w:p>
        </w:tc>
        <w:tc>
          <w:tcPr>
            <w:tcW w:w="431" w:type="dxa"/>
            <w:tcBorders>
              <w:top w:val="single" w:sz="6" w:space="0" w:color="auto"/>
              <w:left w:val="single" w:sz="6" w:space="0" w:color="auto"/>
              <w:bottom w:val="single" w:sz="6" w:space="0" w:color="auto"/>
              <w:right w:val="single" w:sz="6" w:space="0" w:color="auto"/>
            </w:tcBorders>
          </w:tcPr>
          <w:p w14:paraId="5DBE39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A93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567" w:type="dxa"/>
            <w:tcBorders>
              <w:top w:val="single" w:sz="6" w:space="0" w:color="auto"/>
              <w:left w:val="single" w:sz="6" w:space="0" w:color="auto"/>
              <w:bottom w:val="single" w:sz="6" w:space="0" w:color="auto"/>
              <w:right w:val="single" w:sz="6" w:space="0" w:color="auto"/>
            </w:tcBorders>
          </w:tcPr>
          <w:p w14:paraId="2856D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w:t>
            </w:r>
          </w:p>
        </w:tc>
        <w:tc>
          <w:tcPr>
            <w:tcW w:w="567" w:type="dxa"/>
            <w:tcBorders>
              <w:top w:val="single" w:sz="6" w:space="0" w:color="auto"/>
              <w:left w:val="single" w:sz="6" w:space="0" w:color="auto"/>
              <w:bottom w:val="single" w:sz="6" w:space="0" w:color="auto"/>
              <w:right w:val="single" w:sz="6" w:space="0" w:color="auto"/>
            </w:tcBorders>
          </w:tcPr>
          <w:p w14:paraId="26E74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11B9A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1A0115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c>
          <w:tcPr>
            <w:tcW w:w="783" w:type="dxa"/>
            <w:tcBorders>
              <w:top w:val="single" w:sz="6" w:space="0" w:color="auto"/>
              <w:left w:val="single" w:sz="6" w:space="0" w:color="auto"/>
              <w:bottom w:val="single" w:sz="6" w:space="0" w:color="auto"/>
              <w:right w:val="single" w:sz="6" w:space="0" w:color="auto"/>
            </w:tcBorders>
          </w:tcPr>
          <w:p w14:paraId="36A72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1123" w:type="dxa"/>
            <w:tcBorders>
              <w:top w:val="single" w:sz="6" w:space="0" w:color="auto"/>
              <w:left w:val="single" w:sz="6" w:space="0" w:color="auto"/>
              <w:bottom w:val="single" w:sz="6" w:space="0" w:color="auto"/>
              <w:right w:val="single" w:sz="6" w:space="0" w:color="auto"/>
            </w:tcBorders>
          </w:tcPr>
          <w:p w14:paraId="45ED7B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42B1CC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410" w:type="dxa"/>
            <w:tcBorders>
              <w:top w:val="single" w:sz="6" w:space="0" w:color="auto"/>
              <w:left w:val="single" w:sz="6" w:space="0" w:color="auto"/>
              <w:bottom w:val="single" w:sz="6" w:space="0" w:color="auto"/>
              <w:right w:val="single" w:sz="6" w:space="0" w:color="auto"/>
            </w:tcBorders>
          </w:tcPr>
          <w:p w14:paraId="39ECB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482A2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832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15.IV.43</w:t>
            </w:r>
          </w:p>
        </w:tc>
        <w:tc>
          <w:tcPr>
            <w:tcW w:w="621" w:type="dxa"/>
            <w:tcBorders>
              <w:top w:val="single" w:sz="6" w:space="0" w:color="auto"/>
              <w:left w:val="single" w:sz="6" w:space="0" w:color="auto"/>
              <w:bottom w:val="single" w:sz="6" w:space="0" w:color="auto"/>
              <w:right w:val="single" w:sz="6" w:space="0" w:color="auto"/>
            </w:tcBorders>
          </w:tcPr>
          <w:p w14:paraId="07D488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8C1C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4629B9" w14:textId="77777777" w:rsidTr="00ED5B0A">
        <w:tc>
          <w:tcPr>
            <w:tcW w:w="1242" w:type="dxa"/>
            <w:tcBorders>
              <w:top w:val="single" w:sz="6" w:space="0" w:color="auto"/>
              <w:left w:val="single" w:sz="6" w:space="0" w:color="auto"/>
              <w:bottom w:val="single" w:sz="6" w:space="0" w:color="auto"/>
              <w:right w:val="single" w:sz="6" w:space="0" w:color="auto"/>
            </w:tcBorders>
          </w:tcPr>
          <w:p w14:paraId="58BCFA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4D522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FA5DA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AE3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5700</w:t>
            </w:r>
          </w:p>
        </w:tc>
        <w:tc>
          <w:tcPr>
            <w:tcW w:w="567" w:type="dxa"/>
            <w:tcBorders>
              <w:top w:val="single" w:sz="6" w:space="0" w:color="auto"/>
              <w:left w:val="single" w:sz="6" w:space="0" w:color="auto"/>
              <w:bottom w:val="single" w:sz="6" w:space="0" w:color="auto"/>
              <w:right w:val="single" w:sz="6" w:space="0" w:color="auto"/>
            </w:tcBorders>
          </w:tcPr>
          <w:p w14:paraId="4D7E0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1EB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3E89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071D6E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F179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6EEC4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1055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4312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36B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BA4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8CE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210FA8" w14:textId="77777777" w:rsidTr="00ED5B0A">
        <w:tc>
          <w:tcPr>
            <w:tcW w:w="1242" w:type="dxa"/>
            <w:tcBorders>
              <w:top w:val="single" w:sz="6" w:space="0" w:color="auto"/>
              <w:left w:val="single" w:sz="6" w:space="0" w:color="auto"/>
              <w:bottom w:val="single" w:sz="6" w:space="0" w:color="auto"/>
              <w:right w:val="single" w:sz="6" w:space="0" w:color="auto"/>
            </w:tcBorders>
          </w:tcPr>
          <w:p w14:paraId="12BB45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35620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DAB0C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6002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756F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323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1EF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416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AB4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59F84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50AF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BA9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A63B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4FB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474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7368E7" w14:textId="77777777" w:rsidTr="00ED5B0A">
        <w:tc>
          <w:tcPr>
            <w:tcW w:w="1242" w:type="dxa"/>
            <w:tcBorders>
              <w:top w:val="single" w:sz="6" w:space="0" w:color="auto"/>
              <w:left w:val="single" w:sz="6" w:space="0" w:color="auto"/>
              <w:bottom w:val="single" w:sz="6" w:space="0" w:color="auto"/>
              <w:right w:val="single" w:sz="6" w:space="0" w:color="auto"/>
            </w:tcBorders>
          </w:tcPr>
          <w:p w14:paraId="1B629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3028C0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267C1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567" w:type="dxa"/>
            <w:tcBorders>
              <w:top w:val="single" w:sz="6" w:space="0" w:color="auto"/>
              <w:left w:val="single" w:sz="6" w:space="0" w:color="auto"/>
              <w:bottom w:val="single" w:sz="6" w:space="0" w:color="auto"/>
              <w:right w:val="single" w:sz="6" w:space="0" w:color="auto"/>
            </w:tcBorders>
          </w:tcPr>
          <w:p w14:paraId="0211AB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tc>
        <w:tc>
          <w:tcPr>
            <w:tcW w:w="567" w:type="dxa"/>
            <w:tcBorders>
              <w:top w:val="single" w:sz="6" w:space="0" w:color="auto"/>
              <w:left w:val="single" w:sz="6" w:space="0" w:color="auto"/>
              <w:bottom w:val="single" w:sz="6" w:space="0" w:color="auto"/>
              <w:right w:val="single" w:sz="6" w:space="0" w:color="auto"/>
            </w:tcBorders>
          </w:tcPr>
          <w:p w14:paraId="7AECD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tc>
        <w:tc>
          <w:tcPr>
            <w:tcW w:w="709" w:type="dxa"/>
            <w:tcBorders>
              <w:top w:val="single" w:sz="6" w:space="0" w:color="auto"/>
              <w:left w:val="single" w:sz="6" w:space="0" w:color="auto"/>
              <w:bottom w:val="single" w:sz="6" w:space="0" w:color="auto"/>
              <w:right w:val="single" w:sz="6" w:space="0" w:color="auto"/>
            </w:tcBorders>
          </w:tcPr>
          <w:p w14:paraId="6B382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655B3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783" w:type="dxa"/>
            <w:tcBorders>
              <w:top w:val="single" w:sz="6" w:space="0" w:color="auto"/>
              <w:left w:val="single" w:sz="6" w:space="0" w:color="auto"/>
              <w:bottom w:val="single" w:sz="6" w:space="0" w:color="auto"/>
              <w:right w:val="single" w:sz="6" w:space="0" w:color="auto"/>
            </w:tcBorders>
          </w:tcPr>
          <w:p w14:paraId="76CC8B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10400</w:t>
            </w:r>
          </w:p>
        </w:tc>
        <w:tc>
          <w:tcPr>
            <w:tcW w:w="1123" w:type="dxa"/>
            <w:tcBorders>
              <w:top w:val="single" w:sz="6" w:space="0" w:color="auto"/>
              <w:left w:val="single" w:sz="6" w:space="0" w:color="auto"/>
              <w:bottom w:val="single" w:sz="6" w:space="0" w:color="auto"/>
              <w:right w:val="single" w:sz="6" w:space="0" w:color="auto"/>
            </w:tcBorders>
          </w:tcPr>
          <w:p w14:paraId="20036A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3E18A8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410" w:type="dxa"/>
            <w:tcBorders>
              <w:top w:val="single" w:sz="6" w:space="0" w:color="auto"/>
              <w:left w:val="single" w:sz="6" w:space="0" w:color="auto"/>
              <w:bottom w:val="single" w:sz="6" w:space="0" w:color="auto"/>
              <w:right w:val="single" w:sz="6" w:space="0" w:color="auto"/>
            </w:tcBorders>
          </w:tcPr>
          <w:p w14:paraId="52FF8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F5DDF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3F650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214DEF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F6AD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DE1904" w14:textId="77777777" w:rsidTr="00ED5B0A">
        <w:tc>
          <w:tcPr>
            <w:tcW w:w="1242" w:type="dxa"/>
            <w:tcBorders>
              <w:top w:val="single" w:sz="6" w:space="0" w:color="auto"/>
              <w:left w:val="single" w:sz="6" w:space="0" w:color="auto"/>
              <w:bottom w:val="single" w:sz="6" w:space="0" w:color="auto"/>
              <w:right w:val="single" w:sz="6" w:space="0" w:color="auto"/>
            </w:tcBorders>
          </w:tcPr>
          <w:p w14:paraId="1D8C1F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с М-71</w:t>
            </w:r>
          </w:p>
        </w:tc>
        <w:tc>
          <w:tcPr>
            <w:tcW w:w="431" w:type="dxa"/>
            <w:tcBorders>
              <w:top w:val="single" w:sz="6" w:space="0" w:color="auto"/>
              <w:left w:val="single" w:sz="6" w:space="0" w:color="auto"/>
              <w:bottom w:val="single" w:sz="6" w:space="0" w:color="auto"/>
              <w:right w:val="single" w:sz="6" w:space="0" w:color="auto"/>
            </w:tcBorders>
          </w:tcPr>
          <w:p w14:paraId="239FD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7368F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250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5300</w:t>
            </w:r>
          </w:p>
        </w:tc>
        <w:tc>
          <w:tcPr>
            <w:tcW w:w="567" w:type="dxa"/>
            <w:tcBorders>
              <w:top w:val="single" w:sz="6" w:space="0" w:color="auto"/>
              <w:left w:val="single" w:sz="6" w:space="0" w:color="auto"/>
              <w:bottom w:val="single" w:sz="6" w:space="0" w:color="auto"/>
              <w:right w:val="single" w:sz="6" w:space="0" w:color="auto"/>
            </w:tcBorders>
          </w:tcPr>
          <w:p w14:paraId="0DF0D2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B6CE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2D5F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21BA24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15A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433D7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DE36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FD264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w:t>
            </w:r>
          </w:p>
        </w:tc>
        <w:tc>
          <w:tcPr>
            <w:tcW w:w="922" w:type="dxa"/>
            <w:tcBorders>
              <w:top w:val="single" w:sz="6" w:space="0" w:color="auto"/>
              <w:left w:val="single" w:sz="6" w:space="0" w:color="auto"/>
              <w:bottom w:val="single" w:sz="6" w:space="0" w:color="auto"/>
              <w:right w:val="single" w:sz="6" w:space="0" w:color="auto"/>
            </w:tcBorders>
          </w:tcPr>
          <w:p w14:paraId="7572B6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DA35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310D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C93BD3" w14:textId="77777777" w:rsidTr="00ED5B0A">
        <w:tc>
          <w:tcPr>
            <w:tcW w:w="1242" w:type="dxa"/>
            <w:tcBorders>
              <w:top w:val="single" w:sz="6" w:space="0" w:color="auto"/>
              <w:left w:val="single" w:sz="6" w:space="0" w:color="auto"/>
              <w:bottom w:val="single" w:sz="6" w:space="0" w:color="auto"/>
              <w:right w:val="single" w:sz="6" w:space="0" w:color="auto"/>
            </w:tcBorders>
          </w:tcPr>
          <w:p w14:paraId="4172B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8892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2DAD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0755E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CA1B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93A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5F5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3EA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8E12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71BE8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A555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5DECC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задн.</w:t>
            </w:r>
          </w:p>
        </w:tc>
        <w:tc>
          <w:tcPr>
            <w:tcW w:w="922" w:type="dxa"/>
            <w:tcBorders>
              <w:top w:val="single" w:sz="6" w:space="0" w:color="auto"/>
              <w:left w:val="single" w:sz="6" w:space="0" w:color="auto"/>
              <w:bottom w:val="single" w:sz="6" w:space="0" w:color="auto"/>
              <w:right w:val="single" w:sz="6" w:space="0" w:color="auto"/>
            </w:tcBorders>
          </w:tcPr>
          <w:p w14:paraId="0F48DB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0E7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1E34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0D346F" w14:textId="77777777" w:rsidTr="00ED5B0A">
        <w:tc>
          <w:tcPr>
            <w:tcW w:w="1242" w:type="dxa"/>
            <w:tcBorders>
              <w:top w:val="single" w:sz="6" w:space="0" w:color="auto"/>
              <w:left w:val="single" w:sz="6" w:space="0" w:color="auto"/>
              <w:bottom w:val="single" w:sz="6" w:space="0" w:color="auto"/>
              <w:right w:val="single" w:sz="6" w:space="0" w:color="auto"/>
            </w:tcBorders>
          </w:tcPr>
          <w:p w14:paraId="4A08D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511050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9F402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060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E65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EED2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169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CAD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C7C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BC93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0721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828B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прозрачн.</w:t>
            </w:r>
          </w:p>
        </w:tc>
        <w:tc>
          <w:tcPr>
            <w:tcW w:w="922" w:type="dxa"/>
            <w:tcBorders>
              <w:top w:val="single" w:sz="6" w:space="0" w:color="auto"/>
              <w:left w:val="single" w:sz="6" w:space="0" w:color="auto"/>
              <w:bottom w:val="single" w:sz="6" w:space="0" w:color="auto"/>
              <w:right w:val="single" w:sz="6" w:space="0" w:color="auto"/>
            </w:tcBorders>
          </w:tcPr>
          <w:p w14:paraId="32407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3F6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AF3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7E1DE7" w14:textId="77777777" w:rsidTr="00ED5B0A">
        <w:tc>
          <w:tcPr>
            <w:tcW w:w="1242" w:type="dxa"/>
            <w:tcBorders>
              <w:top w:val="single" w:sz="6" w:space="0" w:color="auto"/>
              <w:left w:val="single" w:sz="6" w:space="0" w:color="auto"/>
              <w:bottom w:val="single" w:sz="6" w:space="0" w:color="auto"/>
              <w:right w:val="single" w:sz="6" w:space="0" w:color="auto"/>
            </w:tcBorders>
          </w:tcPr>
          <w:p w14:paraId="05A14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794A3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59F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2A4E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8854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166B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385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812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F537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B563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623DA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891B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w:t>
            </w:r>
          </w:p>
        </w:tc>
        <w:tc>
          <w:tcPr>
            <w:tcW w:w="922" w:type="dxa"/>
            <w:tcBorders>
              <w:top w:val="single" w:sz="6" w:space="0" w:color="auto"/>
              <w:left w:val="single" w:sz="6" w:space="0" w:color="auto"/>
              <w:bottom w:val="single" w:sz="6" w:space="0" w:color="auto"/>
              <w:right w:val="single" w:sz="6" w:space="0" w:color="auto"/>
            </w:tcBorders>
          </w:tcPr>
          <w:p w14:paraId="09DF0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8EB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657D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9599D0" w14:textId="77777777" w:rsidTr="00ED5B0A">
        <w:tc>
          <w:tcPr>
            <w:tcW w:w="1242" w:type="dxa"/>
            <w:tcBorders>
              <w:top w:val="single" w:sz="6" w:space="0" w:color="auto"/>
              <w:left w:val="single" w:sz="6" w:space="0" w:color="auto"/>
              <w:bottom w:val="single" w:sz="6" w:space="0" w:color="auto"/>
              <w:right w:val="single" w:sz="6" w:space="0" w:color="auto"/>
            </w:tcBorders>
          </w:tcPr>
          <w:p w14:paraId="444DE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AEDF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66E05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DD4D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E05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F595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D73D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E7D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A4A1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8354E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0069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1EF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толщ. 60 мм</w:t>
            </w:r>
          </w:p>
        </w:tc>
        <w:tc>
          <w:tcPr>
            <w:tcW w:w="922" w:type="dxa"/>
            <w:tcBorders>
              <w:top w:val="single" w:sz="6" w:space="0" w:color="auto"/>
              <w:left w:val="single" w:sz="6" w:space="0" w:color="auto"/>
              <w:bottom w:val="single" w:sz="6" w:space="0" w:color="auto"/>
              <w:right w:val="single" w:sz="6" w:space="0" w:color="auto"/>
            </w:tcBorders>
          </w:tcPr>
          <w:p w14:paraId="473DD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FEF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058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4AF479" w14:textId="77777777" w:rsidTr="00ED5B0A">
        <w:tc>
          <w:tcPr>
            <w:tcW w:w="1242" w:type="dxa"/>
            <w:tcBorders>
              <w:top w:val="single" w:sz="6" w:space="0" w:color="auto"/>
              <w:left w:val="single" w:sz="6" w:space="0" w:color="auto"/>
              <w:bottom w:val="single" w:sz="6" w:space="0" w:color="auto"/>
              <w:right w:val="single" w:sz="6" w:space="0" w:color="auto"/>
            </w:tcBorders>
          </w:tcPr>
          <w:p w14:paraId="193A7A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73710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52AF5F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567" w:type="dxa"/>
            <w:tcBorders>
              <w:top w:val="single" w:sz="6" w:space="0" w:color="auto"/>
              <w:left w:val="single" w:sz="6" w:space="0" w:color="auto"/>
              <w:bottom w:val="single" w:sz="6" w:space="0" w:color="auto"/>
              <w:right w:val="single" w:sz="6" w:space="0" w:color="auto"/>
            </w:tcBorders>
          </w:tcPr>
          <w:p w14:paraId="2CF55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675/</w:t>
            </w:r>
          </w:p>
        </w:tc>
        <w:tc>
          <w:tcPr>
            <w:tcW w:w="567" w:type="dxa"/>
            <w:tcBorders>
              <w:top w:val="single" w:sz="6" w:space="0" w:color="auto"/>
              <w:left w:val="single" w:sz="6" w:space="0" w:color="auto"/>
              <w:bottom w:val="single" w:sz="6" w:space="0" w:color="auto"/>
              <w:right w:val="single" w:sz="6" w:space="0" w:color="auto"/>
            </w:tcBorders>
          </w:tcPr>
          <w:p w14:paraId="5A22E4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07A46B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585/</w:t>
            </w:r>
          </w:p>
        </w:tc>
        <w:tc>
          <w:tcPr>
            <w:tcW w:w="783" w:type="dxa"/>
            <w:tcBorders>
              <w:top w:val="single" w:sz="6" w:space="0" w:color="auto"/>
              <w:left w:val="single" w:sz="6" w:space="0" w:color="auto"/>
              <w:bottom w:val="single" w:sz="6" w:space="0" w:color="auto"/>
              <w:right w:val="single" w:sz="6" w:space="0" w:color="auto"/>
            </w:tcBorders>
          </w:tcPr>
          <w:p w14:paraId="49BCCA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w:t>
            </w:r>
          </w:p>
        </w:tc>
        <w:tc>
          <w:tcPr>
            <w:tcW w:w="783" w:type="dxa"/>
            <w:tcBorders>
              <w:top w:val="single" w:sz="6" w:space="0" w:color="auto"/>
              <w:left w:val="single" w:sz="6" w:space="0" w:color="auto"/>
              <w:bottom w:val="single" w:sz="6" w:space="0" w:color="auto"/>
              <w:right w:val="single" w:sz="6" w:space="0" w:color="auto"/>
            </w:tcBorders>
          </w:tcPr>
          <w:p w14:paraId="6A9FD8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114EA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12C039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73583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B13D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62BDD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15.IX.43</w:t>
            </w:r>
          </w:p>
        </w:tc>
        <w:tc>
          <w:tcPr>
            <w:tcW w:w="621" w:type="dxa"/>
            <w:tcBorders>
              <w:top w:val="single" w:sz="6" w:space="0" w:color="auto"/>
              <w:left w:val="single" w:sz="6" w:space="0" w:color="auto"/>
              <w:bottom w:val="single" w:sz="6" w:space="0" w:color="auto"/>
              <w:right w:val="single" w:sz="6" w:space="0" w:color="auto"/>
            </w:tcBorders>
          </w:tcPr>
          <w:p w14:paraId="2764C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AC19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C2658D" w14:textId="77777777" w:rsidTr="00ED5B0A">
        <w:tc>
          <w:tcPr>
            <w:tcW w:w="1242" w:type="dxa"/>
            <w:tcBorders>
              <w:top w:val="single" w:sz="6" w:space="0" w:color="auto"/>
              <w:left w:val="single" w:sz="6" w:space="0" w:color="auto"/>
              <w:bottom w:val="single" w:sz="6" w:space="0" w:color="auto"/>
              <w:right w:val="single" w:sz="6" w:space="0" w:color="auto"/>
            </w:tcBorders>
          </w:tcPr>
          <w:p w14:paraId="1E91A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с</w:t>
            </w:r>
          </w:p>
        </w:tc>
        <w:tc>
          <w:tcPr>
            <w:tcW w:w="431" w:type="dxa"/>
            <w:tcBorders>
              <w:top w:val="single" w:sz="6" w:space="0" w:color="auto"/>
              <w:left w:val="single" w:sz="6" w:space="0" w:color="auto"/>
              <w:bottom w:val="single" w:sz="6" w:space="0" w:color="auto"/>
              <w:right w:val="single" w:sz="6" w:space="0" w:color="auto"/>
            </w:tcBorders>
          </w:tcPr>
          <w:p w14:paraId="54F99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6409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951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5750</w:t>
            </w:r>
          </w:p>
        </w:tc>
        <w:tc>
          <w:tcPr>
            <w:tcW w:w="567" w:type="dxa"/>
            <w:tcBorders>
              <w:top w:val="single" w:sz="6" w:space="0" w:color="auto"/>
              <w:left w:val="single" w:sz="6" w:space="0" w:color="auto"/>
              <w:bottom w:val="single" w:sz="6" w:space="0" w:color="auto"/>
              <w:right w:val="single" w:sz="6" w:space="0" w:color="auto"/>
            </w:tcBorders>
          </w:tcPr>
          <w:p w14:paraId="2CE46F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8506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5750</w:t>
            </w:r>
          </w:p>
        </w:tc>
        <w:tc>
          <w:tcPr>
            <w:tcW w:w="783" w:type="dxa"/>
            <w:tcBorders>
              <w:top w:val="single" w:sz="6" w:space="0" w:color="auto"/>
              <w:left w:val="single" w:sz="6" w:space="0" w:color="auto"/>
              <w:bottom w:val="single" w:sz="6" w:space="0" w:color="auto"/>
              <w:right w:val="single" w:sz="6" w:space="0" w:color="auto"/>
            </w:tcBorders>
          </w:tcPr>
          <w:p w14:paraId="544754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4F930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C4D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7B17F9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1D711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B8E8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w:t>
            </w:r>
          </w:p>
        </w:tc>
        <w:tc>
          <w:tcPr>
            <w:tcW w:w="922" w:type="dxa"/>
            <w:tcBorders>
              <w:top w:val="single" w:sz="6" w:space="0" w:color="auto"/>
              <w:left w:val="single" w:sz="6" w:space="0" w:color="auto"/>
              <w:bottom w:val="single" w:sz="6" w:space="0" w:color="auto"/>
              <w:right w:val="single" w:sz="6" w:space="0" w:color="auto"/>
            </w:tcBorders>
          </w:tcPr>
          <w:p w14:paraId="5ACD4A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A0BE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B94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72005F" w14:textId="77777777" w:rsidTr="00ED5B0A">
        <w:tc>
          <w:tcPr>
            <w:tcW w:w="1242" w:type="dxa"/>
            <w:tcBorders>
              <w:top w:val="single" w:sz="6" w:space="0" w:color="auto"/>
              <w:left w:val="single" w:sz="6" w:space="0" w:color="auto"/>
              <w:bottom w:val="single" w:sz="6" w:space="0" w:color="auto"/>
              <w:right w:val="single" w:sz="6" w:space="0" w:color="auto"/>
            </w:tcBorders>
          </w:tcPr>
          <w:p w14:paraId="08BE99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c>
          <w:tcPr>
            <w:tcW w:w="431" w:type="dxa"/>
            <w:tcBorders>
              <w:top w:val="single" w:sz="6" w:space="0" w:color="auto"/>
              <w:left w:val="single" w:sz="6" w:space="0" w:color="auto"/>
              <w:bottom w:val="single" w:sz="6" w:space="0" w:color="auto"/>
              <w:right w:val="single" w:sz="6" w:space="0" w:color="auto"/>
            </w:tcBorders>
          </w:tcPr>
          <w:p w14:paraId="13048B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05D4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88D1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C88D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4EF2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AF2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11C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AFBF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 патр.</w:t>
            </w:r>
          </w:p>
        </w:tc>
        <w:tc>
          <w:tcPr>
            <w:tcW w:w="848" w:type="dxa"/>
            <w:tcBorders>
              <w:top w:val="single" w:sz="6" w:space="0" w:color="auto"/>
              <w:left w:val="single" w:sz="6" w:space="0" w:color="auto"/>
              <w:bottom w:val="single" w:sz="6" w:space="0" w:color="auto"/>
              <w:right w:val="single" w:sz="6" w:space="0" w:color="auto"/>
            </w:tcBorders>
          </w:tcPr>
          <w:p w14:paraId="71405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C852C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C0F7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задн.</w:t>
            </w:r>
          </w:p>
        </w:tc>
        <w:tc>
          <w:tcPr>
            <w:tcW w:w="922" w:type="dxa"/>
            <w:tcBorders>
              <w:top w:val="single" w:sz="6" w:space="0" w:color="auto"/>
              <w:left w:val="single" w:sz="6" w:space="0" w:color="auto"/>
              <w:bottom w:val="single" w:sz="6" w:space="0" w:color="auto"/>
              <w:right w:val="single" w:sz="6" w:space="0" w:color="auto"/>
            </w:tcBorders>
          </w:tcPr>
          <w:p w14:paraId="6849EE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58E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5FD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FAE206" w14:textId="77777777" w:rsidTr="00ED5B0A">
        <w:tc>
          <w:tcPr>
            <w:tcW w:w="1242" w:type="dxa"/>
            <w:tcBorders>
              <w:top w:val="single" w:sz="6" w:space="0" w:color="auto"/>
              <w:left w:val="single" w:sz="6" w:space="0" w:color="auto"/>
              <w:bottom w:val="single" w:sz="6" w:space="0" w:color="auto"/>
              <w:right w:val="single" w:sz="6" w:space="0" w:color="auto"/>
            </w:tcBorders>
          </w:tcPr>
          <w:p w14:paraId="79852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557C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2D12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CB70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6FE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17A79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8F8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34A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7ACF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5E78F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282A2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8A8F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бронестекло</w:t>
            </w:r>
          </w:p>
        </w:tc>
        <w:tc>
          <w:tcPr>
            <w:tcW w:w="922" w:type="dxa"/>
            <w:tcBorders>
              <w:top w:val="single" w:sz="6" w:space="0" w:color="auto"/>
              <w:left w:val="single" w:sz="6" w:space="0" w:color="auto"/>
              <w:bottom w:val="single" w:sz="6" w:space="0" w:color="auto"/>
              <w:right w:val="single" w:sz="6" w:space="0" w:color="auto"/>
            </w:tcBorders>
          </w:tcPr>
          <w:p w14:paraId="14452C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C0F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011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8B2298" w14:textId="77777777" w:rsidTr="00ED5B0A">
        <w:tc>
          <w:tcPr>
            <w:tcW w:w="1242" w:type="dxa"/>
            <w:tcBorders>
              <w:top w:val="single" w:sz="6" w:space="0" w:color="auto"/>
              <w:left w:val="single" w:sz="6" w:space="0" w:color="auto"/>
              <w:bottom w:val="single" w:sz="6" w:space="0" w:color="auto"/>
              <w:right w:val="single" w:sz="6" w:space="0" w:color="auto"/>
            </w:tcBorders>
          </w:tcPr>
          <w:p w14:paraId="5DBDC0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Горбунов</w:t>
            </w:r>
          </w:p>
        </w:tc>
        <w:tc>
          <w:tcPr>
            <w:tcW w:w="431" w:type="dxa"/>
            <w:tcBorders>
              <w:top w:val="single" w:sz="6" w:space="0" w:color="auto"/>
              <w:left w:val="single" w:sz="6" w:space="0" w:color="auto"/>
              <w:bottom w:val="single" w:sz="6" w:space="0" w:color="auto"/>
              <w:right w:val="single" w:sz="6" w:space="0" w:color="auto"/>
            </w:tcBorders>
          </w:tcPr>
          <w:p w14:paraId="538AA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A83F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624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4B9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E031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61A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5997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071A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4989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CD38D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AF342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14D9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105C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AEF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D5881B" w14:textId="77777777" w:rsidTr="00ED5B0A">
        <w:tc>
          <w:tcPr>
            <w:tcW w:w="1242" w:type="dxa"/>
            <w:tcBorders>
              <w:top w:val="single" w:sz="6" w:space="0" w:color="auto"/>
              <w:left w:val="single" w:sz="6" w:space="0" w:color="auto"/>
              <w:bottom w:val="single" w:sz="6" w:space="0" w:color="auto"/>
              <w:right w:val="single" w:sz="6" w:space="0" w:color="auto"/>
            </w:tcBorders>
          </w:tcPr>
          <w:p w14:paraId="29BAF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4750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EDCA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76E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636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111A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331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406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1DD14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 патр.</w:t>
            </w:r>
          </w:p>
        </w:tc>
        <w:tc>
          <w:tcPr>
            <w:tcW w:w="848" w:type="dxa"/>
            <w:tcBorders>
              <w:top w:val="single" w:sz="6" w:space="0" w:color="auto"/>
              <w:left w:val="single" w:sz="6" w:space="0" w:color="auto"/>
              <w:bottom w:val="single" w:sz="6" w:space="0" w:color="auto"/>
              <w:right w:val="single" w:sz="6" w:space="0" w:color="auto"/>
            </w:tcBorders>
          </w:tcPr>
          <w:p w14:paraId="297A7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AD49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666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A6A5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39A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10D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176AD9" w14:textId="77777777" w:rsidTr="00ED5B0A">
        <w:tc>
          <w:tcPr>
            <w:tcW w:w="1242" w:type="dxa"/>
            <w:tcBorders>
              <w:top w:val="single" w:sz="6" w:space="0" w:color="auto"/>
              <w:left w:val="single" w:sz="6" w:space="0" w:color="auto"/>
              <w:bottom w:val="single" w:sz="6" w:space="0" w:color="auto"/>
              <w:right w:val="single" w:sz="6" w:space="0" w:color="auto"/>
            </w:tcBorders>
          </w:tcPr>
          <w:p w14:paraId="37D34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3F3CF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20F58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w:t>
            </w:r>
          </w:p>
        </w:tc>
        <w:tc>
          <w:tcPr>
            <w:tcW w:w="567" w:type="dxa"/>
            <w:tcBorders>
              <w:top w:val="single" w:sz="6" w:space="0" w:color="auto"/>
              <w:left w:val="single" w:sz="6" w:space="0" w:color="auto"/>
              <w:bottom w:val="single" w:sz="6" w:space="0" w:color="auto"/>
              <w:right w:val="single" w:sz="6" w:space="0" w:color="auto"/>
            </w:tcBorders>
          </w:tcPr>
          <w:p w14:paraId="0692B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567" w:type="dxa"/>
            <w:tcBorders>
              <w:top w:val="single" w:sz="6" w:space="0" w:color="auto"/>
              <w:left w:val="single" w:sz="6" w:space="0" w:color="auto"/>
              <w:bottom w:val="single" w:sz="6" w:space="0" w:color="auto"/>
              <w:right w:val="single" w:sz="6" w:space="0" w:color="auto"/>
            </w:tcBorders>
          </w:tcPr>
          <w:p w14:paraId="46420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6EAF22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783" w:type="dxa"/>
            <w:tcBorders>
              <w:top w:val="single" w:sz="6" w:space="0" w:color="auto"/>
              <w:left w:val="single" w:sz="6" w:space="0" w:color="auto"/>
              <w:bottom w:val="single" w:sz="6" w:space="0" w:color="auto"/>
              <w:right w:val="single" w:sz="6" w:space="0" w:color="auto"/>
            </w:tcBorders>
          </w:tcPr>
          <w:p w14:paraId="4FD8E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783" w:type="dxa"/>
            <w:tcBorders>
              <w:top w:val="single" w:sz="6" w:space="0" w:color="auto"/>
              <w:left w:val="single" w:sz="6" w:space="0" w:color="auto"/>
              <w:bottom w:val="single" w:sz="6" w:space="0" w:color="auto"/>
              <w:right w:val="single" w:sz="6" w:space="0" w:color="auto"/>
            </w:tcBorders>
          </w:tcPr>
          <w:p w14:paraId="503B9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189B91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2329F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1B36F3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62934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15D482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14A0C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D66C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5EBE44" w14:textId="77777777" w:rsidTr="00ED5B0A">
        <w:tc>
          <w:tcPr>
            <w:tcW w:w="1242" w:type="dxa"/>
            <w:tcBorders>
              <w:top w:val="single" w:sz="6" w:space="0" w:color="auto"/>
              <w:left w:val="single" w:sz="6" w:space="0" w:color="auto"/>
              <w:bottom w:val="single" w:sz="6" w:space="0" w:color="auto"/>
              <w:right w:val="single" w:sz="6" w:space="0" w:color="auto"/>
            </w:tcBorders>
          </w:tcPr>
          <w:p w14:paraId="356B0A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с</w:t>
            </w:r>
          </w:p>
        </w:tc>
        <w:tc>
          <w:tcPr>
            <w:tcW w:w="431" w:type="dxa"/>
            <w:tcBorders>
              <w:top w:val="single" w:sz="6" w:space="0" w:color="auto"/>
              <w:left w:val="single" w:sz="6" w:space="0" w:color="auto"/>
              <w:bottom w:val="single" w:sz="6" w:space="0" w:color="auto"/>
              <w:right w:val="single" w:sz="6" w:space="0" w:color="auto"/>
            </w:tcBorders>
          </w:tcPr>
          <w:p w14:paraId="66783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E2CB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929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5600</w:t>
            </w:r>
          </w:p>
        </w:tc>
        <w:tc>
          <w:tcPr>
            <w:tcW w:w="567" w:type="dxa"/>
            <w:tcBorders>
              <w:top w:val="single" w:sz="6" w:space="0" w:color="auto"/>
              <w:left w:val="single" w:sz="6" w:space="0" w:color="auto"/>
              <w:bottom w:val="single" w:sz="6" w:space="0" w:color="auto"/>
              <w:right w:val="single" w:sz="6" w:space="0" w:color="auto"/>
            </w:tcBorders>
          </w:tcPr>
          <w:p w14:paraId="311B0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EE6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A251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1A2A0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877B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0361FA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0D671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DD3F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522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AB0A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BA7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EE6032" w14:textId="77777777" w:rsidTr="00ED5B0A">
        <w:tc>
          <w:tcPr>
            <w:tcW w:w="1242" w:type="dxa"/>
            <w:tcBorders>
              <w:top w:val="single" w:sz="6" w:space="0" w:color="auto"/>
              <w:left w:val="single" w:sz="6" w:space="0" w:color="auto"/>
              <w:bottom w:val="single" w:sz="6" w:space="0" w:color="auto"/>
              <w:right w:val="single" w:sz="6" w:space="0" w:color="auto"/>
            </w:tcBorders>
          </w:tcPr>
          <w:p w14:paraId="69B622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w:t>
            </w:r>
          </w:p>
        </w:tc>
        <w:tc>
          <w:tcPr>
            <w:tcW w:w="431" w:type="dxa"/>
            <w:tcBorders>
              <w:top w:val="single" w:sz="6" w:space="0" w:color="auto"/>
              <w:left w:val="single" w:sz="6" w:space="0" w:color="auto"/>
              <w:bottom w:val="single" w:sz="6" w:space="0" w:color="auto"/>
              <w:right w:val="single" w:sz="6" w:space="0" w:color="auto"/>
            </w:tcBorders>
          </w:tcPr>
          <w:p w14:paraId="0B48F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9565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46C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2570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68C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4EF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DE2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A1A6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61D4A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AEB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0A1D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E28BB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BC1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7AD9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29A170" w14:textId="77777777" w:rsidTr="00ED5B0A">
        <w:tc>
          <w:tcPr>
            <w:tcW w:w="1242" w:type="dxa"/>
            <w:tcBorders>
              <w:top w:val="single" w:sz="6" w:space="0" w:color="auto"/>
              <w:left w:val="single" w:sz="6" w:space="0" w:color="auto"/>
              <w:bottom w:val="single" w:sz="6" w:space="0" w:color="auto"/>
              <w:right w:val="single" w:sz="6" w:space="0" w:color="auto"/>
            </w:tcBorders>
          </w:tcPr>
          <w:p w14:paraId="0BED2B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49BE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DE1D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1D38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16B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129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123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ABA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F74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6AE983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B7217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0CD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D9F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BC4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AB072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49966E" w14:textId="77777777" w:rsidTr="00ED5B0A">
        <w:tc>
          <w:tcPr>
            <w:tcW w:w="1242" w:type="dxa"/>
            <w:tcBorders>
              <w:top w:val="single" w:sz="6" w:space="0" w:color="auto"/>
              <w:left w:val="single" w:sz="6" w:space="0" w:color="auto"/>
              <w:bottom w:val="single" w:sz="6" w:space="0" w:color="auto"/>
              <w:right w:val="single" w:sz="6" w:space="0" w:color="auto"/>
            </w:tcBorders>
          </w:tcPr>
          <w:p w14:paraId="4E232C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Горбунов</w:t>
            </w:r>
          </w:p>
        </w:tc>
        <w:tc>
          <w:tcPr>
            <w:tcW w:w="431" w:type="dxa"/>
            <w:tcBorders>
              <w:top w:val="single" w:sz="6" w:space="0" w:color="auto"/>
              <w:left w:val="single" w:sz="6" w:space="0" w:color="auto"/>
              <w:bottom w:val="single" w:sz="6" w:space="0" w:color="auto"/>
              <w:right w:val="single" w:sz="6" w:space="0" w:color="auto"/>
            </w:tcBorders>
          </w:tcPr>
          <w:p w14:paraId="367179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A46D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E83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AF0F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EB9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82A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CB9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27A7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285E7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CFD1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9E2F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8B4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1B0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52CC9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97C168" w14:textId="77777777" w:rsidTr="00ED5B0A">
        <w:tc>
          <w:tcPr>
            <w:tcW w:w="1242" w:type="dxa"/>
            <w:tcBorders>
              <w:top w:val="single" w:sz="6" w:space="0" w:color="auto"/>
              <w:left w:val="single" w:sz="6" w:space="0" w:color="auto"/>
              <w:bottom w:val="single" w:sz="6" w:space="0" w:color="auto"/>
              <w:right w:val="single" w:sz="6" w:space="0" w:color="auto"/>
            </w:tcBorders>
          </w:tcPr>
          <w:p w14:paraId="4C1CB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5A637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4A42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93C1A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DC86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157C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751D9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198B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1921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3C39D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0E30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5586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7B0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1CF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EBC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4CDDA6" w14:textId="77777777" w:rsidTr="00ED5B0A">
        <w:tc>
          <w:tcPr>
            <w:tcW w:w="1242" w:type="dxa"/>
            <w:tcBorders>
              <w:top w:val="single" w:sz="6" w:space="0" w:color="auto"/>
              <w:left w:val="single" w:sz="6" w:space="0" w:color="auto"/>
              <w:bottom w:val="single" w:sz="6" w:space="0" w:color="auto"/>
              <w:right w:val="single" w:sz="6" w:space="0" w:color="auto"/>
            </w:tcBorders>
          </w:tcPr>
          <w:p w14:paraId="24E39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4976B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6A649C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улучшенными взлетно-посадочными свойствами, горизонтальной и </w:t>
            </w:r>
          </w:p>
        </w:tc>
        <w:tc>
          <w:tcPr>
            <w:tcW w:w="567" w:type="dxa"/>
            <w:tcBorders>
              <w:top w:val="single" w:sz="6" w:space="0" w:color="auto"/>
              <w:left w:val="single" w:sz="6" w:space="0" w:color="auto"/>
              <w:bottom w:val="single" w:sz="6" w:space="0" w:color="auto"/>
              <w:right w:val="single" w:sz="6" w:space="0" w:color="auto"/>
            </w:tcBorders>
          </w:tcPr>
          <w:p w14:paraId="30C8A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0FB4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844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3A7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467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06160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2CB73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20CD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1ACEA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11AC6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15.VII.43</w:t>
            </w:r>
          </w:p>
        </w:tc>
        <w:tc>
          <w:tcPr>
            <w:tcW w:w="621" w:type="dxa"/>
            <w:tcBorders>
              <w:top w:val="single" w:sz="6" w:space="0" w:color="auto"/>
              <w:left w:val="single" w:sz="6" w:space="0" w:color="auto"/>
              <w:bottom w:val="single" w:sz="6" w:space="0" w:color="auto"/>
              <w:right w:val="single" w:sz="6" w:space="0" w:color="auto"/>
            </w:tcBorders>
          </w:tcPr>
          <w:p w14:paraId="1E5413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A6F48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BABCD7" w14:textId="77777777" w:rsidTr="00ED5B0A">
        <w:tc>
          <w:tcPr>
            <w:tcW w:w="1242" w:type="dxa"/>
            <w:tcBorders>
              <w:top w:val="single" w:sz="6" w:space="0" w:color="auto"/>
              <w:left w:val="single" w:sz="6" w:space="0" w:color="auto"/>
              <w:bottom w:val="single" w:sz="6" w:space="0" w:color="auto"/>
              <w:right w:val="single" w:sz="6" w:space="0" w:color="auto"/>
            </w:tcBorders>
          </w:tcPr>
          <w:p w14:paraId="31DFFC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с</w:t>
            </w:r>
          </w:p>
        </w:tc>
        <w:tc>
          <w:tcPr>
            <w:tcW w:w="431" w:type="dxa"/>
            <w:tcBorders>
              <w:top w:val="single" w:sz="6" w:space="0" w:color="auto"/>
              <w:left w:val="single" w:sz="6" w:space="0" w:color="auto"/>
              <w:bottom w:val="single" w:sz="6" w:space="0" w:color="auto"/>
              <w:right w:val="single" w:sz="6" w:space="0" w:color="auto"/>
            </w:tcBorders>
          </w:tcPr>
          <w:p w14:paraId="78DFD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9CB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вертикальной маневренностью.</w:t>
            </w:r>
          </w:p>
        </w:tc>
        <w:tc>
          <w:tcPr>
            <w:tcW w:w="567" w:type="dxa"/>
            <w:tcBorders>
              <w:top w:val="single" w:sz="6" w:space="0" w:color="auto"/>
              <w:left w:val="single" w:sz="6" w:space="0" w:color="auto"/>
              <w:bottom w:val="single" w:sz="6" w:space="0" w:color="auto"/>
              <w:right w:val="single" w:sz="6" w:space="0" w:color="auto"/>
            </w:tcBorders>
          </w:tcPr>
          <w:p w14:paraId="7960B1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73F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4671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B87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04E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FD06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A0135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B6A5A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A0BAA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переднее</w:t>
            </w:r>
          </w:p>
        </w:tc>
        <w:tc>
          <w:tcPr>
            <w:tcW w:w="922" w:type="dxa"/>
            <w:tcBorders>
              <w:top w:val="single" w:sz="6" w:space="0" w:color="auto"/>
              <w:left w:val="single" w:sz="6" w:space="0" w:color="auto"/>
              <w:bottom w:val="single" w:sz="6" w:space="0" w:color="auto"/>
              <w:right w:val="single" w:sz="6" w:space="0" w:color="auto"/>
            </w:tcBorders>
          </w:tcPr>
          <w:p w14:paraId="5CA97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B77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1EC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F0A92A" w14:textId="77777777" w:rsidTr="00ED5B0A">
        <w:tc>
          <w:tcPr>
            <w:tcW w:w="1242" w:type="dxa"/>
            <w:tcBorders>
              <w:top w:val="single" w:sz="6" w:space="0" w:color="auto"/>
              <w:left w:val="single" w:sz="6" w:space="0" w:color="auto"/>
              <w:bottom w:val="single" w:sz="6" w:space="0" w:color="auto"/>
              <w:right w:val="single" w:sz="6" w:space="0" w:color="auto"/>
            </w:tcBorders>
          </w:tcPr>
          <w:p w14:paraId="12EB5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М-105ПФ с</w:t>
            </w:r>
          </w:p>
        </w:tc>
        <w:tc>
          <w:tcPr>
            <w:tcW w:w="431" w:type="dxa"/>
            <w:tcBorders>
              <w:top w:val="single" w:sz="6" w:space="0" w:color="auto"/>
              <w:left w:val="single" w:sz="6" w:space="0" w:color="auto"/>
              <w:bottom w:val="single" w:sz="6" w:space="0" w:color="auto"/>
              <w:right w:val="single" w:sz="6" w:space="0" w:color="auto"/>
            </w:tcBorders>
          </w:tcPr>
          <w:p w14:paraId="68FEAF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DAF8C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AF26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57A3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34A0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0140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080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D6C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6B19B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B8A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C23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стекло</w:t>
            </w:r>
          </w:p>
        </w:tc>
        <w:tc>
          <w:tcPr>
            <w:tcW w:w="922" w:type="dxa"/>
            <w:tcBorders>
              <w:top w:val="single" w:sz="6" w:space="0" w:color="auto"/>
              <w:left w:val="single" w:sz="6" w:space="0" w:color="auto"/>
              <w:bottom w:val="single" w:sz="6" w:space="0" w:color="auto"/>
              <w:right w:val="single" w:sz="6" w:space="0" w:color="auto"/>
            </w:tcBorders>
          </w:tcPr>
          <w:p w14:paraId="79C90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442E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A8A5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4946E5" w14:textId="77777777" w:rsidTr="00ED5B0A">
        <w:tc>
          <w:tcPr>
            <w:tcW w:w="1242" w:type="dxa"/>
            <w:tcBorders>
              <w:top w:val="single" w:sz="6" w:space="0" w:color="auto"/>
              <w:left w:val="single" w:sz="6" w:space="0" w:color="auto"/>
              <w:bottom w:val="single" w:sz="6" w:space="0" w:color="auto"/>
              <w:right w:val="single" w:sz="6" w:space="0" w:color="auto"/>
            </w:tcBorders>
          </w:tcPr>
          <w:p w14:paraId="5D969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облегчен.</w:t>
            </w:r>
          </w:p>
        </w:tc>
        <w:tc>
          <w:tcPr>
            <w:tcW w:w="431" w:type="dxa"/>
            <w:tcBorders>
              <w:top w:val="single" w:sz="6" w:space="0" w:color="auto"/>
              <w:left w:val="single" w:sz="6" w:space="0" w:color="auto"/>
              <w:bottom w:val="single" w:sz="6" w:space="0" w:color="auto"/>
              <w:right w:val="single" w:sz="6" w:space="0" w:color="auto"/>
            </w:tcBorders>
          </w:tcPr>
          <w:p w14:paraId="75255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564C0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49B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3D00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7510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D17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FDB8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49D33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DBDD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44F7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E5FA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B4E9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801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FB1B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329CE8" w14:textId="77777777" w:rsidTr="00ED5B0A">
        <w:tc>
          <w:tcPr>
            <w:tcW w:w="1242" w:type="dxa"/>
            <w:tcBorders>
              <w:top w:val="single" w:sz="6" w:space="0" w:color="auto"/>
              <w:left w:val="single" w:sz="6" w:space="0" w:color="auto"/>
              <w:bottom w:val="single" w:sz="6" w:space="0" w:color="auto"/>
              <w:right w:val="single" w:sz="6" w:space="0" w:color="auto"/>
            </w:tcBorders>
          </w:tcPr>
          <w:p w14:paraId="713187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весом до</w:t>
            </w:r>
          </w:p>
        </w:tc>
        <w:tc>
          <w:tcPr>
            <w:tcW w:w="431" w:type="dxa"/>
            <w:tcBorders>
              <w:top w:val="single" w:sz="6" w:space="0" w:color="auto"/>
              <w:left w:val="single" w:sz="6" w:space="0" w:color="auto"/>
              <w:bottom w:val="single" w:sz="6" w:space="0" w:color="auto"/>
              <w:right w:val="single" w:sz="6" w:space="0" w:color="auto"/>
            </w:tcBorders>
          </w:tcPr>
          <w:p w14:paraId="14199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4FBC0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90F78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81C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EC5A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56AE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FF0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F7CF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8669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26D54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7489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8ABD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8D5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9A01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CA5843" w14:textId="77777777" w:rsidTr="00ED5B0A">
        <w:tc>
          <w:tcPr>
            <w:tcW w:w="1242" w:type="dxa"/>
            <w:tcBorders>
              <w:top w:val="single" w:sz="6" w:space="0" w:color="auto"/>
              <w:left w:val="single" w:sz="6" w:space="0" w:color="auto"/>
              <w:bottom w:val="single" w:sz="6" w:space="0" w:color="auto"/>
              <w:right w:val="single" w:sz="6" w:space="0" w:color="auto"/>
            </w:tcBorders>
          </w:tcPr>
          <w:p w14:paraId="0ABA4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2750 кг</w:t>
            </w:r>
          </w:p>
        </w:tc>
        <w:tc>
          <w:tcPr>
            <w:tcW w:w="431" w:type="dxa"/>
            <w:tcBorders>
              <w:top w:val="single" w:sz="6" w:space="0" w:color="auto"/>
              <w:left w:val="single" w:sz="6" w:space="0" w:color="auto"/>
              <w:bottom w:val="single" w:sz="6" w:space="0" w:color="auto"/>
              <w:right w:val="single" w:sz="6" w:space="0" w:color="auto"/>
            </w:tcBorders>
          </w:tcPr>
          <w:p w14:paraId="2755B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F522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DD6E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9FD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583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822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732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D6D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A2EAC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BABDD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B5D7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ADA5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558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6F8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379A11" w14:textId="77777777" w:rsidTr="00ED5B0A">
        <w:tc>
          <w:tcPr>
            <w:tcW w:w="1242" w:type="dxa"/>
            <w:tcBorders>
              <w:top w:val="single" w:sz="6" w:space="0" w:color="auto"/>
              <w:left w:val="single" w:sz="6" w:space="0" w:color="auto"/>
              <w:bottom w:val="single" w:sz="6" w:space="0" w:color="auto"/>
              <w:right w:val="single" w:sz="6" w:space="0" w:color="auto"/>
            </w:tcBorders>
          </w:tcPr>
          <w:p w14:paraId="34A8F2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0667C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6B6B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EA9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CBE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83C7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805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F12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A7B6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4879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37011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490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5A69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00B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A4E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A46FDC" w14:textId="77777777" w:rsidTr="00ED5B0A">
        <w:tc>
          <w:tcPr>
            <w:tcW w:w="1242" w:type="dxa"/>
            <w:tcBorders>
              <w:top w:val="single" w:sz="6" w:space="0" w:color="auto"/>
              <w:left w:val="single" w:sz="6" w:space="0" w:color="auto"/>
              <w:bottom w:val="single" w:sz="6" w:space="0" w:color="auto"/>
              <w:right w:val="single" w:sz="6" w:space="0" w:color="auto"/>
            </w:tcBorders>
          </w:tcPr>
          <w:p w14:paraId="721E7C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Горбунов</w:t>
            </w:r>
          </w:p>
        </w:tc>
        <w:tc>
          <w:tcPr>
            <w:tcW w:w="431" w:type="dxa"/>
            <w:tcBorders>
              <w:top w:val="single" w:sz="6" w:space="0" w:color="auto"/>
              <w:left w:val="single" w:sz="6" w:space="0" w:color="auto"/>
              <w:bottom w:val="single" w:sz="6" w:space="0" w:color="auto"/>
              <w:right w:val="single" w:sz="6" w:space="0" w:color="auto"/>
            </w:tcBorders>
          </w:tcPr>
          <w:p w14:paraId="169E2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BD87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52B6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22B25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C568B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30DA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44C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A070C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B7AD0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19CA7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1C23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2467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196C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514A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FE5313" w14:textId="77777777" w:rsidTr="00ED5B0A">
        <w:tc>
          <w:tcPr>
            <w:tcW w:w="1242" w:type="dxa"/>
            <w:tcBorders>
              <w:top w:val="single" w:sz="6" w:space="0" w:color="auto"/>
              <w:left w:val="single" w:sz="6" w:space="0" w:color="auto"/>
              <w:bottom w:val="single" w:sz="6" w:space="0" w:color="auto"/>
              <w:right w:val="single" w:sz="6" w:space="0" w:color="auto"/>
            </w:tcBorders>
          </w:tcPr>
          <w:p w14:paraId="376436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1A97D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4F6010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567" w:type="dxa"/>
            <w:tcBorders>
              <w:top w:val="single" w:sz="6" w:space="0" w:color="auto"/>
              <w:left w:val="single" w:sz="6" w:space="0" w:color="auto"/>
              <w:bottom w:val="single" w:sz="6" w:space="0" w:color="auto"/>
              <w:right w:val="single" w:sz="6" w:space="0" w:color="auto"/>
            </w:tcBorders>
          </w:tcPr>
          <w:p w14:paraId="336AC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tc>
        <w:tc>
          <w:tcPr>
            <w:tcW w:w="567" w:type="dxa"/>
            <w:tcBorders>
              <w:top w:val="single" w:sz="6" w:space="0" w:color="auto"/>
              <w:left w:val="single" w:sz="6" w:space="0" w:color="auto"/>
              <w:bottom w:val="single" w:sz="6" w:space="0" w:color="auto"/>
              <w:right w:val="single" w:sz="6" w:space="0" w:color="auto"/>
            </w:tcBorders>
          </w:tcPr>
          <w:p w14:paraId="232B86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57E02D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tc>
        <w:tc>
          <w:tcPr>
            <w:tcW w:w="783" w:type="dxa"/>
            <w:tcBorders>
              <w:top w:val="single" w:sz="6" w:space="0" w:color="auto"/>
              <w:left w:val="single" w:sz="6" w:space="0" w:color="auto"/>
              <w:bottom w:val="single" w:sz="6" w:space="0" w:color="auto"/>
              <w:right w:val="single" w:sz="6" w:space="0" w:color="auto"/>
            </w:tcBorders>
          </w:tcPr>
          <w:p w14:paraId="4E50F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tc>
        <w:tc>
          <w:tcPr>
            <w:tcW w:w="783" w:type="dxa"/>
            <w:tcBorders>
              <w:top w:val="single" w:sz="6" w:space="0" w:color="auto"/>
              <w:left w:val="single" w:sz="6" w:space="0" w:color="auto"/>
              <w:bottom w:val="single" w:sz="6" w:space="0" w:color="auto"/>
              <w:right w:val="single" w:sz="6" w:space="0" w:color="auto"/>
            </w:tcBorders>
          </w:tcPr>
          <w:p w14:paraId="12C12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1749C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03648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410" w:type="dxa"/>
            <w:tcBorders>
              <w:top w:val="single" w:sz="6" w:space="0" w:color="auto"/>
              <w:left w:val="single" w:sz="6" w:space="0" w:color="auto"/>
              <w:bottom w:val="single" w:sz="6" w:space="0" w:color="auto"/>
              <w:right w:val="single" w:sz="6" w:space="0" w:color="auto"/>
            </w:tcBorders>
          </w:tcPr>
          <w:p w14:paraId="43BA4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B8E3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Задняя</w:t>
            </w:r>
          </w:p>
        </w:tc>
        <w:tc>
          <w:tcPr>
            <w:tcW w:w="922" w:type="dxa"/>
            <w:tcBorders>
              <w:top w:val="single" w:sz="6" w:space="0" w:color="auto"/>
              <w:left w:val="single" w:sz="6" w:space="0" w:color="auto"/>
              <w:bottom w:val="single" w:sz="6" w:space="0" w:color="auto"/>
              <w:right w:val="single" w:sz="6" w:space="0" w:color="auto"/>
            </w:tcBorders>
          </w:tcPr>
          <w:p w14:paraId="7A53C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1.V.43</w:t>
            </w:r>
          </w:p>
        </w:tc>
        <w:tc>
          <w:tcPr>
            <w:tcW w:w="621" w:type="dxa"/>
            <w:tcBorders>
              <w:top w:val="single" w:sz="6" w:space="0" w:color="auto"/>
              <w:left w:val="single" w:sz="6" w:space="0" w:color="auto"/>
              <w:bottom w:val="single" w:sz="6" w:space="0" w:color="auto"/>
              <w:right w:val="single" w:sz="6" w:space="0" w:color="auto"/>
            </w:tcBorders>
          </w:tcPr>
          <w:p w14:paraId="7A950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31C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E913A9" w14:textId="77777777" w:rsidTr="00ED5B0A">
        <w:tc>
          <w:tcPr>
            <w:tcW w:w="1242" w:type="dxa"/>
            <w:tcBorders>
              <w:top w:val="single" w:sz="6" w:space="0" w:color="auto"/>
              <w:left w:val="single" w:sz="6" w:space="0" w:color="auto"/>
              <w:bottom w:val="single" w:sz="6" w:space="0" w:color="auto"/>
              <w:right w:val="single" w:sz="6" w:space="0" w:color="auto"/>
            </w:tcBorders>
          </w:tcPr>
          <w:p w14:paraId="7FC5EB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w:t>
            </w:r>
          </w:p>
        </w:tc>
        <w:tc>
          <w:tcPr>
            <w:tcW w:w="431" w:type="dxa"/>
            <w:tcBorders>
              <w:top w:val="single" w:sz="6" w:space="0" w:color="auto"/>
              <w:left w:val="single" w:sz="6" w:space="0" w:color="auto"/>
              <w:bottom w:val="single" w:sz="6" w:space="0" w:color="auto"/>
              <w:right w:val="single" w:sz="6" w:space="0" w:color="auto"/>
            </w:tcBorders>
          </w:tcPr>
          <w:p w14:paraId="66D721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3955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A02B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5B9F4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24C1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783" w:type="dxa"/>
            <w:tcBorders>
              <w:top w:val="single" w:sz="6" w:space="0" w:color="auto"/>
              <w:left w:val="single" w:sz="6" w:space="0" w:color="auto"/>
              <w:bottom w:val="single" w:sz="6" w:space="0" w:color="auto"/>
              <w:right w:val="single" w:sz="6" w:space="0" w:color="auto"/>
            </w:tcBorders>
          </w:tcPr>
          <w:p w14:paraId="051FE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33E7F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52720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2911A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FB2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2867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w:t>
            </w:r>
          </w:p>
        </w:tc>
        <w:tc>
          <w:tcPr>
            <w:tcW w:w="922" w:type="dxa"/>
            <w:tcBorders>
              <w:top w:val="single" w:sz="6" w:space="0" w:color="auto"/>
              <w:left w:val="single" w:sz="6" w:space="0" w:color="auto"/>
              <w:bottom w:val="single" w:sz="6" w:space="0" w:color="auto"/>
              <w:right w:val="single" w:sz="6" w:space="0" w:color="auto"/>
            </w:tcBorders>
          </w:tcPr>
          <w:p w14:paraId="0AE65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87B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5E04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F81005" w14:textId="77777777" w:rsidTr="00ED5B0A">
        <w:tc>
          <w:tcPr>
            <w:tcW w:w="1242" w:type="dxa"/>
            <w:tcBorders>
              <w:top w:val="single" w:sz="6" w:space="0" w:color="auto"/>
              <w:left w:val="single" w:sz="6" w:space="0" w:color="auto"/>
              <w:bottom w:val="single" w:sz="6" w:space="0" w:color="auto"/>
              <w:right w:val="single" w:sz="6" w:space="0" w:color="auto"/>
            </w:tcBorders>
          </w:tcPr>
          <w:p w14:paraId="21A439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w:t>
            </w:r>
          </w:p>
        </w:tc>
        <w:tc>
          <w:tcPr>
            <w:tcW w:w="431" w:type="dxa"/>
            <w:tcBorders>
              <w:top w:val="single" w:sz="6" w:space="0" w:color="auto"/>
              <w:left w:val="single" w:sz="6" w:space="0" w:color="auto"/>
              <w:bottom w:val="single" w:sz="6" w:space="0" w:color="auto"/>
              <w:right w:val="single" w:sz="6" w:space="0" w:color="auto"/>
            </w:tcBorders>
          </w:tcPr>
          <w:p w14:paraId="343AD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CCC5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C64F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DA8E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A939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1051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182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33706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010CE7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1CC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A35A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передняя</w:t>
            </w:r>
          </w:p>
        </w:tc>
        <w:tc>
          <w:tcPr>
            <w:tcW w:w="922" w:type="dxa"/>
            <w:tcBorders>
              <w:top w:val="single" w:sz="6" w:space="0" w:color="auto"/>
              <w:left w:val="single" w:sz="6" w:space="0" w:color="auto"/>
              <w:bottom w:val="single" w:sz="6" w:space="0" w:color="auto"/>
              <w:right w:val="single" w:sz="6" w:space="0" w:color="auto"/>
            </w:tcBorders>
          </w:tcPr>
          <w:p w14:paraId="53CFB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0E2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2AF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9455C5" w14:textId="77777777" w:rsidTr="00ED5B0A">
        <w:tc>
          <w:tcPr>
            <w:tcW w:w="1242" w:type="dxa"/>
            <w:tcBorders>
              <w:top w:val="single" w:sz="6" w:space="0" w:color="auto"/>
              <w:left w:val="single" w:sz="6" w:space="0" w:color="auto"/>
              <w:bottom w:val="single" w:sz="6" w:space="0" w:color="auto"/>
              <w:right w:val="single" w:sz="6" w:space="0" w:color="auto"/>
            </w:tcBorders>
          </w:tcPr>
          <w:p w14:paraId="718B4F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8679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8451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62A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3E5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CBA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DF22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4D91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D03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033E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2DB04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74B1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прозрачн.</w:t>
            </w:r>
          </w:p>
        </w:tc>
        <w:tc>
          <w:tcPr>
            <w:tcW w:w="922" w:type="dxa"/>
            <w:tcBorders>
              <w:top w:val="single" w:sz="6" w:space="0" w:color="auto"/>
              <w:left w:val="single" w:sz="6" w:space="0" w:color="auto"/>
              <w:bottom w:val="single" w:sz="6" w:space="0" w:color="auto"/>
              <w:right w:val="single" w:sz="6" w:space="0" w:color="auto"/>
            </w:tcBorders>
          </w:tcPr>
          <w:p w14:paraId="67D70A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FB5F5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A61C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7563E4" w14:textId="77777777" w:rsidTr="00ED5B0A">
        <w:tc>
          <w:tcPr>
            <w:tcW w:w="1242" w:type="dxa"/>
            <w:tcBorders>
              <w:top w:val="single" w:sz="6" w:space="0" w:color="auto"/>
              <w:left w:val="single" w:sz="6" w:space="0" w:color="auto"/>
              <w:bottom w:val="single" w:sz="6" w:space="0" w:color="auto"/>
              <w:right w:val="single" w:sz="6" w:space="0" w:color="auto"/>
            </w:tcBorders>
          </w:tcPr>
          <w:p w14:paraId="4AAB5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Микоян и</w:t>
            </w:r>
          </w:p>
        </w:tc>
        <w:tc>
          <w:tcPr>
            <w:tcW w:w="431" w:type="dxa"/>
            <w:tcBorders>
              <w:top w:val="single" w:sz="6" w:space="0" w:color="auto"/>
              <w:left w:val="single" w:sz="6" w:space="0" w:color="auto"/>
              <w:bottom w:val="single" w:sz="6" w:space="0" w:color="auto"/>
              <w:right w:val="single" w:sz="6" w:space="0" w:color="auto"/>
            </w:tcBorders>
          </w:tcPr>
          <w:p w14:paraId="2AEEB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1D2A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EFD1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4DF4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8B774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F9C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5D67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678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AA07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F5A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4F6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w:t>
            </w:r>
          </w:p>
        </w:tc>
        <w:tc>
          <w:tcPr>
            <w:tcW w:w="922" w:type="dxa"/>
            <w:tcBorders>
              <w:top w:val="single" w:sz="6" w:space="0" w:color="auto"/>
              <w:left w:val="single" w:sz="6" w:space="0" w:color="auto"/>
              <w:bottom w:val="single" w:sz="6" w:space="0" w:color="auto"/>
              <w:right w:val="single" w:sz="6" w:space="0" w:color="auto"/>
            </w:tcBorders>
          </w:tcPr>
          <w:p w14:paraId="657B4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7BF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D8A6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70A8AB" w14:textId="77777777" w:rsidTr="00ED5B0A">
        <w:tc>
          <w:tcPr>
            <w:tcW w:w="1242" w:type="dxa"/>
            <w:tcBorders>
              <w:top w:val="single" w:sz="6" w:space="0" w:color="auto"/>
              <w:left w:val="single" w:sz="6" w:space="0" w:color="auto"/>
              <w:bottom w:val="single" w:sz="6" w:space="0" w:color="auto"/>
              <w:right w:val="single" w:sz="6" w:space="0" w:color="auto"/>
            </w:tcBorders>
          </w:tcPr>
          <w:p w14:paraId="6A85C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Гуревич</w:t>
            </w:r>
          </w:p>
        </w:tc>
        <w:tc>
          <w:tcPr>
            <w:tcW w:w="431" w:type="dxa"/>
            <w:tcBorders>
              <w:top w:val="single" w:sz="6" w:space="0" w:color="auto"/>
              <w:left w:val="single" w:sz="6" w:space="0" w:color="auto"/>
              <w:bottom w:val="single" w:sz="6" w:space="0" w:color="auto"/>
              <w:right w:val="single" w:sz="6" w:space="0" w:color="auto"/>
            </w:tcBorders>
          </w:tcPr>
          <w:p w14:paraId="2A74AD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92159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78E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C283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DC35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6A9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83D78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94C0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4A05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611F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A210B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0B10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AF09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0AE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2CA5DE" w14:textId="77777777" w:rsidTr="00ED5B0A">
        <w:tc>
          <w:tcPr>
            <w:tcW w:w="1242" w:type="dxa"/>
            <w:tcBorders>
              <w:top w:val="single" w:sz="6" w:space="0" w:color="auto"/>
              <w:left w:val="single" w:sz="6" w:space="0" w:color="auto"/>
              <w:bottom w:val="single" w:sz="6" w:space="0" w:color="auto"/>
              <w:right w:val="single" w:sz="6" w:space="0" w:color="auto"/>
            </w:tcBorders>
          </w:tcPr>
          <w:p w14:paraId="2E03A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5D156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1A05A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w:t>
            </w:r>
          </w:p>
        </w:tc>
        <w:tc>
          <w:tcPr>
            <w:tcW w:w="567" w:type="dxa"/>
            <w:tcBorders>
              <w:top w:val="single" w:sz="6" w:space="0" w:color="auto"/>
              <w:left w:val="single" w:sz="6" w:space="0" w:color="auto"/>
              <w:bottom w:val="single" w:sz="6" w:space="0" w:color="auto"/>
              <w:right w:val="single" w:sz="6" w:space="0" w:color="auto"/>
            </w:tcBorders>
          </w:tcPr>
          <w:p w14:paraId="65B58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tc>
        <w:tc>
          <w:tcPr>
            <w:tcW w:w="567" w:type="dxa"/>
            <w:tcBorders>
              <w:top w:val="single" w:sz="6" w:space="0" w:color="auto"/>
              <w:left w:val="single" w:sz="6" w:space="0" w:color="auto"/>
              <w:bottom w:val="single" w:sz="6" w:space="0" w:color="auto"/>
              <w:right w:val="single" w:sz="6" w:space="0" w:color="auto"/>
            </w:tcBorders>
          </w:tcPr>
          <w:p w14:paraId="00351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w:t>
            </w:r>
          </w:p>
        </w:tc>
        <w:tc>
          <w:tcPr>
            <w:tcW w:w="709" w:type="dxa"/>
            <w:tcBorders>
              <w:top w:val="single" w:sz="6" w:space="0" w:color="auto"/>
              <w:left w:val="single" w:sz="6" w:space="0" w:color="auto"/>
              <w:bottom w:val="single" w:sz="6" w:space="0" w:color="auto"/>
              <w:right w:val="single" w:sz="6" w:space="0" w:color="auto"/>
            </w:tcBorders>
          </w:tcPr>
          <w:p w14:paraId="0FC935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tc>
        <w:tc>
          <w:tcPr>
            <w:tcW w:w="783" w:type="dxa"/>
            <w:tcBorders>
              <w:top w:val="single" w:sz="6" w:space="0" w:color="auto"/>
              <w:left w:val="single" w:sz="6" w:space="0" w:color="auto"/>
              <w:bottom w:val="single" w:sz="6" w:space="0" w:color="auto"/>
              <w:right w:val="single" w:sz="6" w:space="0" w:color="auto"/>
            </w:tcBorders>
          </w:tcPr>
          <w:p w14:paraId="350A24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783" w:type="dxa"/>
            <w:tcBorders>
              <w:top w:val="single" w:sz="6" w:space="0" w:color="auto"/>
              <w:left w:val="single" w:sz="6" w:space="0" w:color="auto"/>
              <w:bottom w:val="single" w:sz="6" w:space="0" w:color="auto"/>
              <w:right w:val="single" w:sz="6" w:space="0" w:color="auto"/>
            </w:tcBorders>
          </w:tcPr>
          <w:p w14:paraId="6126C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12500</w:t>
            </w:r>
          </w:p>
        </w:tc>
        <w:tc>
          <w:tcPr>
            <w:tcW w:w="1123" w:type="dxa"/>
            <w:tcBorders>
              <w:top w:val="single" w:sz="6" w:space="0" w:color="auto"/>
              <w:left w:val="single" w:sz="6" w:space="0" w:color="auto"/>
              <w:bottom w:val="single" w:sz="6" w:space="0" w:color="auto"/>
              <w:right w:val="single" w:sz="6" w:space="0" w:color="auto"/>
            </w:tcBorders>
          </w:tcPr>
          <w:p w14:paraId="274D6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5F715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1B291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2DA5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5CE76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20.V.43</w:t>
            </w:r>
          </w:p>
        </w:tc>
        <w:tc>
          <w:tcPr>
            <w:tcW w:w="621" w:type="dxa"/>
            <w:tcBorders>
              <w:top w:val="single" w:sz="6" w:space="0" w:color="auto"/>
              <w:left w:val="single" w:sz="6" w:space="0" w:color="auto"/>
              <w:bottom w:val="single" w:sz="6" w:space="0" w:color="auto"/>
              <w:right w:val="single" w:sz="6" w:space="0" w:color="auto"/>
            </w:tcBorders>
          </w:tcPr>
          <w:p w14:paraId="353328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A1F4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4242AF" w14:textId="77777777" w:rsidTr="00ED5B0A">
        <w:tc>
          <w:tcPr>
            <w:tcW w:w="1242" w:type="dxa"/>
            <w:tcBorders>
              <w:top w:val="single" w:sz="6" w:space="0" w:color="auto"/>
              <w:left w:val="single" w:sz="6" w:space="0" w:color="auto"/>
              <w:bottom w:val="single" w:sz="6" w:space="0" w:color="auto"/>
              <w:right w:val="single" w:sz="6" w:space="0" w:color="auto"/>
            </w:tcBorders>
          </w:tcPr>
          <w:p w14:paraId="61E3F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w:t>
            </w:r>
          </w:p>
        </w:tc>
        <w:tc>
          <w:tcPr>
            <w:tcW w:w="431" w:type="dxa"/>
            <w:tcBorders>
              <w:top w:val="single" w:sz="6" w:space="0" w:color="auto"/>
              <w:left w:val="single" w:sz="6" w:space="0" w:color="auto"/>
              <w:bottom w:val="single" w:sz="6" w:space="0" w:color="auto"/>
              <w:right w:val="single" w:sz="6" w:space="0" w:color="auto"/>
            </w:tcBorders>
          </w:tcPr>
          <w:p w14:paraId="02532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A2D1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F71F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7600</w:t>
            </w:r>
          </w:p>
        </w:tc>
        <w:tc>
          <w:tcPr>
            <w:tcW w:w="567" w:type="dxa"/>
            <w:tcBorders>
              <w:top w:val="single" w:sz="6" w:space="0" w:color="auto"/>
              <w:left w:val="single" w:sz="6" w:space="0" w:color="auto"/>
              <w:bottom w:val="single" w:sz="6" w:space="0" w:color="auto"/>
              <w:right w:val="single" w:sz="6" w:space="0" w:color="auto"/>
            </w:tcBorders>
          </w:tcPr>
          <w:p w14:paraId="1308F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03A7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7600</w:t>
            </w:r>
          </w:p>
        </w:tc>
        <w:tc>
          <w:tcPr>
            <w:tcW w:w="783" w:type="dxa"/>
            <w:tcBorders>
              <w:top w:val="single" w:sz="6" w:space="0" w:color="auto"/>
              <w:left w:val="single" w:sz="6" w:space="0" w:color="auto"/>
              <w:bottom w:val="single" w:sz="6" w:space="0" w:color="auto"/>
              <w:right w:val="single" w:sz="6" w:space="0" w:color="auto"/>
            </w:tcBorders>
          </w:tcPr>
          <w:p w14:paraId="594FF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6AC44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FB7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77A0D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A2B9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AC49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AB9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6CD9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EA80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969F81" w14:textId="77777777" w:rsidTr="00ED5B0A">
        <w:tc>
          <w:tcPr>
            <w:tcW w:w="1242" w:type="dxa"/>
            <w:tcBorders>
              <w:top w:val="single" w:sz="6" w:space="0" w:color="auto"/>
              <w:left w:val="single" w:sz="6" w:space="0" w:color="auto"/>
              <w:bottom w:val="single" w:sz="6" w:space="0" w:color="auto"/>
              <w:right w:val="single" w:sz="6" w:space="0" w:color="auto"/>
            </w:tcBorders>
          </w:tcPr>
          <w:p w14:paraId="0D0525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АМ-35А</w:t>
            </w:r>
          </w:p>
        </w:tc>
        <w:tc>
          <w:tcPr>
            <w:tcW w:w="431" w:type="dxa"/>
            <w:tcBorders>
              <w:top w:val="single" w:sz="6" w:space="0" w:color="auto"/>
              <w:left w:val="single" w:sz="6" w:space="0" w:color="auto"/>
              <w:bottom w:val="single" w:sz="6" w:space="0" w:color="auto"/>
              <w:right w:val="single" w:sz="6" w:space="0" w:color="auto"/>
            </w:tcBorders>
          </w:tcPr>
          <w:p w14:paraId="197B23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141E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CFD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C7F5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1291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4E69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28B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2912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2EC8F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B12B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0EC5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530E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3378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A5E0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B02505" w14:textId="77777777" w:rsidTr="00ED5B0A">
        <w:tc>
          <w:tcPr>
            <w:tcW w:w="1242" w:type="dxa"/>
            <w:tcBorders>
              <w:top w:val="single" w:sz="6" w:space="0" w:color="auto"/>
              <w:left w:val="single" w:sz="6" w:space="0" w:color="auto"/>
              <w:bottom w:val="single" w:sz="6" w:space="0" w:color="auto"/>
              <w:right w:val="single" w:sz="6" w:space="0" w:color="auto"/>
            </w:tcBorders>
          </w:tcPr>
          <w:p w14:paraId="2971E5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w:t>
            </w:r>
          </w:p>
        </w:tc>
        <w:tc>
          <w:tcPr>
            <w:tcW w:w="431" w:type="dxa"/>
            <w:tcBorders>
              <w:top w:val="single" w:sz="6" w:space="0" w:color="auto"/>
              <w:left w:val="single" w:sz="6" w:space="0" w:color="auto"/>
              <w:bottom w:val="single" w:sz="6" w:space="0" w:color="auto"/>
              <w:right w:val="single" w:sz="6" w:space="0" w:color="auto"/>
            </w:tcBorders>
          </w:tcPr>
          <w:p w14:paraId="118ABC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270A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6D7E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484B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607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80EA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AAF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B35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C6A2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E641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1E49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08EB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4F0C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98E5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77C98C" w14:textId="77777777" w:rsidTr="00ED5B0A">
        <w:tc>
          <w:tcPr>
            <w:tcW w:w="1242" w:type="dxa"/>
            <w:tcBorders>
              <w:top w:val="single" w:sz="6" w:space="0" w:color="auto"/>
              <w:left w:val="single" w:sz="6" w:space="0" w:color="auto"/>
              <w:bottom w:val="single" w:sz="6" w:space="0" w:color="auto"/>
              <w:right w:val="single" w:sz="6" w:space="0" w:color="auto"/>
            </w:tcBorders>
          </w:tcPr>
          <w:p w14:paraId="1E88F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типа</w:t>
            </w:r>
          </w:p>
        </w:tc>
        <w:tc>
          <w:tcPr>
            <w:tcW w:w="431" w:type="dxa"/>
            <w:tcBorders>
              <w:top w:val="single" w:sz="6" w:space="0" w:color="auto"/>
              <w:left w:val="single" w:sz="6" w:space="0" w:color="auto"/>
              <w:bottom w:val="single" w:sz="6" w:space="0" w:color="auto"/>
              <w:right w:val="single" w:sz="6" w:space="0" w:color="auto"/>
            </w:tcBorders>
          </w:tcPr>
          <w:p w14:paraId="08933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2881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C24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75A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BB5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DA79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6D1D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1D01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7C54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6D11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483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1700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BA0A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367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74BCA7" w14:textId="77777777" w:rsidTr="00ED5B0A">
        <w:tc>
          <w:tcPr>
            <w:tcW w:w="1242" w:type="dxa"/>
            <w:tcBorders>
              <w:top w:val="single" w:sz="6" w:space="0" w:color="auto"/>
              <w:left w:val="single" w:sz="6" w:space="0" w:color="auto"/>
              <w:bottom w:val="single" w:sz="6" w:space="0" w:color="auto"/>
              <w:right w:val="single" w:sz="6" w:space="0" w:color="auto"/>
            </w:tcBorders>
          </w:tcPr>
          <w:p w14:paraId="307BC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17113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C16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DD8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D18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1836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0BCD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D65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585B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39E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979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CD1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1C1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69FC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FFB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EC5053" w14:textId="77777777" w:rsidTr="00ED5B0A">
        <w:tc>
          <w:tcPr>
            <w:tcW w:w="1242" w:type="dxa"/>
            <w:tcBorders>
              <w:top w:val="single" w:sz="6" w:space="0" w:color="auto"/>
              <w:left w:val="single" w:sz="6" w:space="0" w:color="auto"/>
              <w:bottom w:val="single" w:sz="6" w:space="0" w:color="auto"/>
              <w:right w:val="single" w:sz="6" w:space="0" w:color="auto"/>
            </w:tcBorders>
          </w:tcPr>
          <w:p w14:paraId="70762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Микоян и </w:t>
            </w:r>
          </w:p>
        </w:tc>
        <w:tc>
          <w:tcPr>
            <w:tcW w:w="431" w:type="dxa"/>
            <w:tcBorders>
              <w:top w:val="single" w:sz="6" w:space="0" w:color="auto"/>
              <w:left w:val="single" w:sz="6" w:space="0" w:color="auto"/>
              <w:bottom w:val="single" w:sz="6" w:space="0" w:color="auto"/>
              <w:right w:val="single" w:sz="6" w:space="0" w:color="auto"/>
            </w:tcBorders>
          </w:tcPr>
          <w:p w14:paraId="7FE9D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7F6A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8A9D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D42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2B5F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C1F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E1EC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E670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C77E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EBC8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236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10C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A5F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89B53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C18AC8" w14:textId="77777777" w:rsidTr="00ED5B0A">
        <w:tc>
          <w:tcPr>
            <w:tcW w:w="1242" w:type="dxa"/>
            <w:tcBorders>
              <w:top w:val="single" w:sz="6" w:space="0" w:color="auto"/>
              <w:left w:val="single" w:sz="6" w:space="0" w:color="auto"/>
              <w:bottom w:val="single" w:sz="6" w:space="0" w:color="auto"/>
              <w:right w:val="single" w:sz="6" w:space="0" w:color="auto"/>
            </w:tcBorders>
          </w:tcPr>
          <w:p w14:paraId="69D24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Гуревич</w:t>
            </w:r>
          </w:p>
        </w:tc>
        <w:tc>
          <w:tcPr>
            <w:tcW w:w="431" w:type="dxa"/>
            <w:tcBorders>
              <w:top w:val="single" w:sz="6" w:space="0" w:color="auto"/>
              <w:left w:val="single" w:sz="6" w:space="0" w:color="auto"/>
              <w:bottom w:val="single" w:sz="6" w:space="0" w:color="auto"/>
              <w:right w:val="single" w:sz="6" w:space="0" w:color="auto"/>
            </w:tcBorders>
          </w:tcPr>
          <w:p w14:paraId="42B6FA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0BF2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5EA5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FBEF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2D7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B613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161E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EA8F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2F98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AB4F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C3469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CC1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252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C4C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CF6280" w14:textId="77777777" w:rsidTr="00ED5B0A">
        <w:tc>
          <w:tcPr>
            <w:tcW w:w="1242" w:type="dxa"/>
            <w:tcBorders>
              <w:top w:val="single" w:sz="6" w:space="0" w:color="auto"/>
              <w:left w:val="single" w:sz="6" w:space="0" w:color="auto"/>
              <w:bottom w:val="single" w:sz="6" w:space="0" w:color="auto"/>
              <w:right w:val="single" w:sz="6" w:space="0" w:color="auto"/>
            </w:tcBorders>
          </w:tcPr>
          <w:p w14:paraId="40F5F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37AE7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A68A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E6CB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2A0B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11592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9C26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73D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01D8E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8EBD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9F408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1FD71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30B10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w:t>
            </w:r>
          </w:p>
        </w:tc>
        <w:tc>
          <w:tcPr>
            <w:tcW w:w="621" w:type="dxa"/>
            <w:tcBorders>
              <w:top w:val="single" w:sz="6" w:space="0" w:color="auto"/>
              <w:left w:val="single" w:sz="6" w:space="0" w:color="auto"/>
              <w:bottom w:val="single" w:sz="6" w:space="0" w:color="auto"/>
              <w:right w:val="single" w:sz="6" w:space="0" w:color="auto"/>
            </w:tcBorders>
          </w:tcPr>
          <w:p w14:paraId="5A7F9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3560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D82489" w14:textId="77777777" w:rsidTr="00ED5B0A">
        <w:tc>
          <w:tcPr>
            <w:tcW w:w="1242" w:type="dxa"/>
            <w:tcBorders>
              <w:top w:val="single" w:sz="6" w:space="0" w:color="auto"/>
              <w:left w:val="single" w:sz="6" w:space="0" w:color="auto"/>
              <w:bottom w:val="single" w:sz="6" w:space="0" w:color="auto"/>
              <w:right w:val="single" w:sz="6" w:space="0" w:color="auto"/>
            </w:tcBorders>
          </w:tcPr>
          <w:p w14:paraId="6D02B4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w:t>
            </w:r>
          </w:p>
        </w:tc>
        <w:tc>
          <w:tcPr>
            <w:tcW w:w="431" w:type="dxa"/>
            <w:tcBorders>
              <w:top w:val="single" w:sz="6" w:space="0" w:color="auto"/>
              <w:left w:val="single" w:sz="6" w:space="0" w:color="auto"/>
              <w:bottom w:val="single" w:sz="6" w:space="0" w:color="auto"/>
              <w:right w:val="single" w:sz="6" w:space="0" w:color="auto"/>
            </w:tcBorders>
          </w:tcPr>
          <w:p w14:paraId="1BC116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992D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230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FF3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0471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9445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46B1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E04E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E28F2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3EE9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4F9E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38FFC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эскизного</w:t>
            </w:r>
          </w:p>
        </w:tc>
        <w:tc>
          <w:tcPr>
            <w:tcW w:w="621" w:type="dxa"/>
            <w:tcBorders>
              <w:top w:val="single" w:sz="6" w:space="0" w:color="auto"/>
              <w:left w:val="single" w:sz="6" w:space="0" w:color="auto"/>
              <w:bottom w:val="single" w:sz="6" w:space="0" w:color="auto"/>
              <w:right w:val="single" w:sz="6" w:space="0" w:color="auto"/>
            </w:tcBorders>
          </w:tcPr>
          <w:p w14:paraId="35E41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658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263D53" w14:textId="77777777" w:rsidTr="00ED5B0A">
        <w:tc>
          <w:tcPr>
            <w:tcW w:w="1242" w:type="dxa"/>
            <w:tcBorders>
              <w:top w:val="single" w:sz="6" w:space="0" w:color="auto"/>
              <w:left w:val="single" w:sz="6" w:space="0" w:color="auto"/>
              <w:bottom w:val="single" w:sz="6" w:space="0" w:color="auto"/>
              <w:right w:val="single" w:sz="6" w:space="0" w:color="auto"/>
            </w:tcBorders>
          </w:tcPr>
          <w:p w14:paraId="22FE8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 с</w:t>
            </w:r>
          </w:p>
        </w:tc>
        <w:tc>
          <w:tcPr>
            <w:tcW w:w="431" w:type="dxa"/>
            <w:tcBorders>
              <w:top w:val="single" w:sz="6" w:space="0" w:color="auto"/>
              <w:left w:val="single" w:sz="6" w:space="0" w:color="auto"/>
              <w:bottom w:val="single" w:sz="6" w:space="0" w:color="auto"/>
              <w:right w:val="single" w:sz="6" w:space="0" w:color="auto"/>
            </w:tcBorders>
          </w:tcPr>
          <w:p w14:paraId="1A092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809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226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4412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73D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A77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ADF3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661C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F817A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41F1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DDD6F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11AF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проекта</w:t>
            </w:r>
          </w:p>
        </w:tc>
        <w:tc>
          <w:tcPr>
            <w:tcW w:w="621" w:type="dxa"/>
            <w:tcBorders>
              <w:top w:val="single" w:sz="6" w:space="0" w:color="auto"/>
              <w:left w:val="single" w:sz="6" w:space="0" w:color="auto"/>
              <w:bottom w:val="single" w:sz="6" w:space="0" w:color="auto"/>
              <w:right w:val="single" w:sz="6" w:space="0" w:color="auto"/>
            </w:tcBorders>
          </w:tcPr>
          <w:p w14:paraId="188FB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64C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ECBC90" w14:textId="77777777" w:rsidTr="00ED5B0A">
        <w:tc>
          <w:tcPr>
            <w:tcW w:w="1242" w:type="dxa"/>
            <w:tcBorders>
              <w:top w:val="single" w:sz="6" w:space="0" w:color="auto"/>
              <w:left w:val="single" w:sz="6" w:space="0" w:color="auto"/>
              <w:bottom w:val="single" w:sz="6" w:space="0" w:color="auto"/>
              <w:right w:val="single" w:sz="6" w:space="0" w:color="auto"/>
            </w:tcBorders>
          </w:tcPr>
          <w:p w14:paraId="1C0B83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ТК-М в</w:t>
            </w:r>
          </w:p>
        </w:tc>
        <w:tc>
          <w:tcPr>
            <w:tcW w:w="431" w:type="dxa"/>
            <w:tcBorders>
              <w:top w:val="single" w:sz="6" w:space="0" w:color="auto"/>
              <w:left w:val="single" w:sz="6" w:space="0" w:color="auto"/>
              <w:bottom w:val="single" w:sz="6" w:space="0" w:color="auto"/>
              <w:right w:val="single" w:sz="6" w:space="0" w:color="auto"/>
            </w:tcBorders>
          </w:tcPr>
          <w:p w14:paraId="00C56F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4C0F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E0AE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7881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4140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F196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289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FC55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064F4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FD5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A9A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EF1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15.VII.43</w:t>
            </w:r>
          </w:p>
        </w:tc>
        <w:tc>
          <w:tcPr>
            <w:tcW w:w="621" w:type="dxa"/>
            <w:tcBorders>
              <w:top w:val="single" w:sz="6" w:space="0" w:color="auto"/>
              <w:left w:val="single" w:sz="6" w:space="0" w:color="auto"/>
              <w:bottom w:val="single" w:sz="6" w:space="0" w:color="auto"/>
              <w:right w:val="single" w:sz="6" w:space="0" w:color="auto"/>
            </w:tcBorders>
          </w:tcPr>
          <w:p w14:paraId="1DF68A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1BD5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94202C" w14:textId="77777777" w:rsidTr="00ED5B0A">
        <w:tc>
          <w:tcPr>
            <w:tcW w:w="1242" w:type="dxa"/>
            <w:tcBorders>
              <w:top w:val="single" w:sz="6" w:space="0" w:color="auto"/>
              <w:left w:val="single" w:sz="6" w:space="0" w:color="auto"/>
              <w:bottom w:val="single" w:sz="6" w:space="0" w:color="auto"/>
              <w:right w:val="single" w:sz="6" w:space="0" w:color="auto"/>
            </w:tcBorders>
          </w:tcPr>
          <w:p w14:paraId="490AA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высотном</w:t>
            </w:r>
          </w:p>
        </w:tc>
        <w:tc>
          <w:tcPr>
            <w:tcW w:w="431" w:type="dxa"/>
            <w:tcBorders>
              <w:top w:val="single" w:sz="6" w:space="0" w:color="auto"/>
              <w:left w:val="single" w:sz="6" w:space="0" w:color="auto"/>
              <w:bottom w:val="single" w:sz="6" w:space="0" w:color="auto"/>
              <w:right w:val="single" w:sz="6" w:space="0" w:color="auto"/>
            </w:tcBorders>
          </w:tcPr>
          <w:p w14:paraId="39F1F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3C1E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F38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4B6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117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E38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D053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154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3437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F47A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CC6B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513F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FE77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47E7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37F25E" w14:textId="77777777" w:rsidTr="00ED5B0A">
        <w:tc>
          <w:tcPr>
            <w:tcW w:w="1242" w:type="dxa"/>
            <w:tcBorders>
              <w:top w:val="single" w:sz="6" w:space="0" w:color="auto"/>
              <w:left w:val="single" w:sz="6" w:space="0" w:color="auto"/>
              <w:bottom w:val="single" w:sz="6" w:space="0" w:color="auto"/>
              <w:right w:val="single" w:sz="6" w:space="0" w:color="auto"/>
            </w:tcBorders>
          </w:tcPr>
          <w:p w14:paraId="4EA338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66BAD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63A1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4A7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002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0941C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D13C8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FE0D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F4CDE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3095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9141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C420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9221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D8F0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924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3AB704" w14:textId="77777777" w:rsidTr="00ED5B0A">
        <w:tc>
          <w:tcPr>
            <w:tcW w:w="1242" w:type="dxa"/>
            <w:tcBorders>
              <w:top w:val="single" w:sz="6" w:space="0" w:color="auto"/>
              <w:left w:val="single" w:sz="6" w:space="0" w:color="auto"/>
              <w:bottom w:val="single" w:sz="6" w:space="0" w:color="auto"/>
              <w:right w:val="single" w:sz="6" w:space="0" w:color="auto"/>
            </w:tcBorders>
          </w:tcPr>
          <w:p w14:paraId="5759B2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732F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C5F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73E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2DC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67865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ECD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2D3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45FA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4B7D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C267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A8F6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9987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49B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FE27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72AAEE" w14:textId="77777777" w:rsidTr="00ED5B0A">
        <w:tc>
          <w:tcPr>
            <w:tcW w:w="1242" w:type="dxa"/>
            <w:tcBorders>
              <w:top w:val="single" w:sz="6" w:space="0" w:color="auto"/>
              <w:left w:val="single" w:sz="6" w:space="0" w:color="auto"/>
              <w:bottom w:val="single" w:sz="6" w:space="0" w:color="auto"/>
              <w:right w:val="single" w:sz="6" w:space="0" w:color="auto"/>
            </w:tcBorders>
          </w:tcPr>
          <w:p w14:paraId="738C0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Микоян и </w:t>
            </w:r>
          </w:p>
        </w:tc>
        <w:tc>
          <w:tcPr>
            <w:tcW w:w="431" w:type="dxa"/>
            <w:tcBorders>
              <w:top w:val="single" w:sz="6" w:space="0" w:color="auto"/>
              <w:left w:val="single" w:sz="6" w:space="0" w:color="auto"/>
              <w:bottom w:val="single" w:sz="6" w:space="0" w:color="auto"/>
              <w:right w:val="single" w:sz="6" w:space="0" w:color="auto"/>
            </w:tcBorders>
          </w:tcPr>
          <w:p w14:paraId="5DDF1B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3291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2AA6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33A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56DF3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320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A66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3E32D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D604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12BCD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885C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AE50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4F3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4642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C7FCDA" w14:textId="77777777" w:rsidTr="00ED5B0A">
        <w:tc>
          <w:tcPr>
            <w:tcW w:w="1242" w:type="dxa"/>
            <w:tcBorders>
              <w:top w:val="single" w:sz="6" w:space="0" w:color="auto"/>
              <w:left w:val="single" w:sz="6" w:space="0" w:color="auto"/>
              <w:bottom w:val="single" w:sz="6" w:space="0" w:color="auto"/>
              <w:right w:val="single" w:sz="6" w:space="0" w:color="auto"/>
            </w:tcBorders>
          </w:tcPr>
          <w:p w14:paraId="7F1432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Гуревич</w:t>
            </w:r>
          </w:p>
        </w:tc>
        <w:tc>
          <w:tcPr>
            <w:tcW w:w="431" w:type="dxa"/>
            <w:tcBorders>
              <w:top w:val="single" w:sz="6" w:space="0" w:color="auto"/>
              <w:left w:val="single" w:sz="6" w:space="0" w:color="auto"/>
              <w:bottom w:val="single" w:sz="6" w:space="0" w:color="auto"/>
              <w:right w:val="single" w:sz="6" w:space="0" w:color="auto"/>
            </w:tcBorders>
          </w:tcPr>
          <w:p w14:paraId="44DA6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91B9F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D4D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9B1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EAB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2CF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214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F326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01FC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B63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F934A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8B2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2FC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38D1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73AB52" w14:textId="77777777" w:rsidTr="00ED5B0A">
        <w:tc>
          <w:tcPr>
            <w:tcW w:w="1242" w:type="dxa"/>
            <w:tcBorders>
              <w:top w:val="single" w:sz="6" w:space="0" w:color="auto"/>
              <w:left w:val="single" w:sz="6" w:space="0" w:color="auto"/>
              <w:bottom w:val="single" w:sz="6" w:space="0" w:color="auto"/>
              <w:right w:val="single" w:sz="6" w:space="0" w:color="auto"/>
            </w:tcBorders>
          </w:tcPr>
          <w:p w14:paraId="4D3BE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0D816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866B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улучшенными взлетно-посадочными свойствами,</w:t>
            </w:r>
          </w:p>
        </w:tc>
        <w:tc>
          <w:tcPr>
            <w:tcW w:w="567" w:type="dxa"/>
            <w:tcBorders>
              <w:top w:val="single" w:sz="6" w:space="0" w:color="auto"/>
              <w:left w:val="single" w:sz="6" w:space="0" w:color="auto"/>
              <w:bottom w:val="single" w:sz="6" w:space="0" w:color="auto"/>
              <w:right w:val="single" w:sz="6" w:space="0" w:color="auto"/>
            </w:tcBorders>
          </w:tcPr>
          <w:p w14:paraId="567DB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854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D80C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526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A8D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655A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1452F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4D09E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0CA1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3319B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322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A4A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362D16" w14:textId="77777777" w:rsidTr="00ED5B0A">
        <w:tc>
          <w:tcPr>
            <w:tcW w:w="1242" w:type="dxa"/>
            <w:tcBorders>
              <w:top w:val="single" w:sz="6" w:space="0" w:color="auto"/>
              <w:left w:val="single" w:sz="6" w:space="0" w:color="auto"/>
              <w:bottom w:val="single" w:sz="6" w:space="0" w:color="auto"/>
              <w:right w:val="single" w:sz="6" w:space="0" w:color="auto"/>
            </w:tcBorders>
          </w:tcPr>
          <w:p w14:paraId="128020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с</w:t>
            </w:r>
          </w:p>
        </w:tc>
        <w:tc>
          <w:tcPr>
            <w:tcW w:w="431" w:type="dxa"/>
            <w:tcBorders>
              <w:top w:val="single" w:sz="6" w:space="0" w:color="auto"/>
              <w:left w:val="single" w:sz="6" w:space="0" w:color="auto"/>
              <w:bottom w:val="single" w:sz="6" w:space="0" w:color="auto"/>
              <w:right w:val="single" w:sz="6" w:space="0" w:color="auto"/>
            </w:tcBorders>
          </w:tcPr>
          <w:p w14:paraId="587E46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F590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горизонтальной и вертикальной маневренностью.</w:t>
            </w:r>
          </w:p>
        </w:tc>
        <w:tc>
          <w:tcPr>
            <w:tcW w:w="567" w:type="dxa"/>
            <w:tcBorders>
              <w:top w:val="single" w:sz="6" w:space="0" w:color="auto"/>
              <w:left w:val="single" w:sz="6" w:space="0" w:color="auto"/>
              <w:bottom w:val="single" w:sz="6" w:space="0" w:color="auto"/>
              <w:right w:val="single" w:sz="6" w:space="0" w:color="auto"/>
            </w:tcBorders>
          </w:tcPr>
          <w:p w14:paraId="1496A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5FB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1D6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02BE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591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A242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7776B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5CC5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1FEAA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переднее</w:t>
            </w:r>
          </w:p>
        </w:tc>
        <w:tc>
          <w:tcPr>
            <w:tcW w:w="922" w:type="dxa"/>
            <w:tcBorders>
              <w:top w:val="single" w:sz="6" w:space="0" w:color="auto"/>
              <w:left w:val="single" w:sz="6" w:space="0" w:color="auto"/>
              <w:bottom w:val="single" w:sz="6" w:space="0" w:color="auto"/>
              <w:right w:val="single" w:sz="6" w:space="0" w:color="auto"/>
            </w:tcBorders>
          </w:tcPr>
          <w:p w14:paraId="41F21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0523D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FE77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AD7082" w14:textId="77777777" w:rsidTr="00ED5B0A">
        <w:tc>
          <w:tcPr>
            <w:tcW w:w="1242" w:type="dxa"/>
            <w:tcBorders>
              <w:top w:val="single" w:sz="6" w:space="0" w:color="auto"/>
              <w:left w:val="single" w:sz="6" w:space="0" w:color="auto"/>
              <w:bottom w:val="single" w:sz="6" w:space="0" w:color="auto"/>
              <w:right w:val="single" w:sz="6" w:space="0" w:color="auto"/>
            </w:tcBorders>
          </w:tcPr>
          <w:p w14:paraId="776C88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М-106П с</w:t>
            </w:r>
          </w:p>
        </w:tc>
        <w:tc>
          <w:tcPr>
            <w:tcW w:w="431" w:type="dxa"/>
            <w:tcBorders>
              <w:top w:val="single" w:sz="6" w:space="0" w:color="auto"/>
              <w:left w:val="single" w:sz="6" w:space="0" w:color="auto"/>
              <w:bottom w:val="single" w:sz="6" w:space="0" w:color="auto"/>
              <w:right w:val="single" w:sz="6" w:space="0" w:color="auto"/>
            </w:tcBorders>
          </w:tcPr>
          <w:p w14:paraId="19BA7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0C755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1EF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0810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D71E0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C33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1D4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F3A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 патр.</w:t>
            </w:r>
          </w:p>
        </w:tc>
        <w:tc>
          <w:tcPr>
            <w:tcW w:w="848" w:type="dxa"/>
            <w:tcBorders>
              <w:top w:val="single" w:sz="6" w:space="0" w:color="auto"/>
              <w:left w:val="single" w:sz="6" w:space="0" w:color="auto"/>
              <w:bottom w:val="single" w:sz="6" w:space="0" w:color="auto"/>
              <w:right w:val="single" w:sz="6" w:space="0" w:color="auto"/>
            </w:tcBorders>
          </w:tcPr>
          <w:p w14:paraId="6D535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065CB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C3FE8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заднее</w:t>
            </w:r>
          </w:p>
        </w:tc>
        <w:tc>
          <w:tcPr>
            <w:tcW w:w="922" w:type="dxa"/>
            <w:tcBorders>
              <w:top w:val="single" w:sz="6" w:space="0" w:color="auto"/>
              <w:left w:val="single" w:sz="6" w:space="0" w:color="auto"/>
              <w:bottom w:val="single" w:sz="6" w:space="0" w:color="auto"/>
              <w:right w:val="single" w:sz="6" w:space="0" w:color="auto"/>
            </w:tcBorders>
          </w:tcPr>
          <w:p w14:paraId="4AD1B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9989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451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49B668" w14:textId="77777777" w:rsidTr="00ED5B0A">
        <w:tc>
          <w:tcPr>
            <w:tcW w:w="1242" w:type="dxa"/>
            <w:tcBorders>
              <w:top w:val="single" w:sz="6" w:space="0" w:color="auto"/>
              <w:left w:val="single" w:sz="6" w:space="0" w:color="auto"/>
              <w:bottom w:val="single" w:sz="6" w:space="0" w:color="auto"/>
              <w:right w:val="single" w:sz="6" w:space="0" w:color="auto"/>
            </w:tcBorders>
          </w:tcPr>
          <w:p w14:paraId="18C1D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односкорост.</w:t>
            </w:r>
          </w:p>
        </w:tc>
        <w:tc>
          <w:tcPr>
            <w:tcW w:w="431" w:type="dxa"/>
            <w:tcBorders>
              <w:top w:val="single" w:sz="6" w:space="0" w:color="auto"/>
              <w:left w:val="single" w:sz="6" w:space="0" w:color="auto"/>
              <w:bottom w:val="single" w:sz="6" w:space="0" w:color="auto"/>
              <w:right w:val="single" w:sz="6" w:space="0" w:color="auto"/>
            </w:tcBorders>
          </w:tcPr>
          <w:p w14:paraId="5EEB8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C27C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1B5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7654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9AF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A61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5A7AD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A8D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44BA2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C4F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2725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стекло</w:t>
            </w:r>
          </w:p>
        </w:tc>
        <w:tc>
          <w:tcPr>
            <w:tcW w:w="922" w:type="dxa"/>
            <w:tcBorders>
              <w:top w:val="single" w:sz="6" w:space="0" w:color="auto"/>
              <w:left w:val="single" w:sz="6" w:space="0" w:color="auto"/>
              <w:bottom w:val="single" w:sz="6" w:space="0" w:color="auto"/>
              <w:right w:val="single" w:sz="6" w:space="0" w:color="auto"/>
            </w:tcBorders>
          </w:tcPr>
          <w:p w14:paraId="789E21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56B3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DF1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341190" w14:textId="77777777" w:rsidTr="00ED5B0A">
        <w:tc>
          <w:tcPr>
            <w:tcW w:w="1242" w:type="dxa"/>
            <w:tcBorders>
              <w:top w:val="single" w:sz="6" w:space="0" w:color="auto"/>
              <w:left w:val="single" w:sz="6" w:space="0" w:color="auto"/>
              <w:bottom w:val="single" w:sz="6" w:space="0" w:color="auto"/>
              <w:right w:val="single" w:sz="6" w:space="0" w:color="auto"/>
            </w:tcBorders>
          </w:tcPr>
          <w:p w14:paraId="70E78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нагнетателем</w:t>
            </w:r>
          </w:p>
        </w:tc>
        <w:tc>
          <w:tcPr>
            <w:tcW w:w="431" w:type="dxa"/>
            <w:tcBorders>
              <w:top w:val="single" w:sz="6" w:space="0" w:color="auto"/>
              <w:left w:val="single" w:sz="6" w:space="0" w:color="auto"/>
              <w:bottom w:val="single" w:sz="6" w:space="0" w:color="auto"/>
              <w:right w:val="single" w:sz="6" w:space="0" w:color="auto"/>
            </w:tcBorders>
          </w:tcPr>
          <w:p w14:paraId="7E871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0128A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559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960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B0F16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D6F8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0C6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E2D0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10FB3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FB4F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C029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FCFF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E6C3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AEA29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D99611" w14:textId="77777777" w:rsidTr="00ED5B0A">
        <w:tc>
          <w:tcPr>
            <w:tcW w:w="1242" w:type="dxa"/>
            <w:tcBorders>
              <w:top w:val="single" w:sz="6" w:space="0" w:color="auto"/>
              <w:left w:val="single" w:sz="6" w:space="0" w:color="auto"/>
              <w:bottom w:val="single" w:sz="6" w:space="0" w:color="auto"/>
              <w:right w:val="single" w:sz="6" w:space="0" w:color="auto"/>
            </w:tcBorders>
          </w:tcPr>
          <w:p w14:paraId="7C9281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облегчен.</w:t>
            </w:r>
          </w:p>
        </w:tc>
        <w:tc>
          <w:tcPr>
            <w:tcW w:w="431" w:type="dxa"/>
            <w:tcBorders>
              <w:top w:val="single" w:sz="6" w:space="0" w:color="auto"/>
              <w:left w:val="single" w:sz="6" w:space="0" w:color="auto"/>
              <w:bottom w:val="single" w:sz="6" w:space="0" w:color="auto"/>
              <w:right w:val="single" w:sz="6" w:space="0" w:color="auto"/>
            </w:tcBorders>
          </w:tcPr>
          <w:p w14:paraId="1B6BC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096CD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5F4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D278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66B55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CDC0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5F7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725B8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2D2A29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58F8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676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B6C8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376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6C2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0C568D" w14:textId="77777777" w:rsidTr="00ED5B0A">
        <w:tc>
          <w:tcPr>
            <w:tcW w:w="1242" w:type="dxa"/>
            <w:tcBorders>
              <w:top w:val="single" w:sz="6" w:space="0" w:color="auto"/>
              <w:left w:val="single" w:sz="6" w:space="0" w:color="auto"/>
              <w:bottom w:val="single" w:sz="6" w:space="0" w:color="auto"/>
              <w:right w:val="single" w:sz="6" w:space="0" w:color="auto"/>
            </w:tcBorders>
          </w:tcPr>
          <w:p w14:paraId="675EE8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весом до</w:t>
            </w:r>
          </w:p>
        </w:tc>
        <w:tc>
          <w:tcPr>
            <w:tcW w:w="431" w:type="dxa"/>
            <w:tcBorders>
              <w:top w:val="single" w:sz="6" w:space="0" w:color="auto"/>
              <w:left w:val="single" w:sz="6" w:space="0" w:color="auto"/>
              <w:bottom w:val="single" w:sz="6" w:space="0" w:color="auto"/>
              <w:right w:val="single" w:sz="6" w:space="0" w:color="auto"/>
            </w:tcBorders>
          </w:tcPr>
          <w:p w14:paraId="3F107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5B62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F23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FE3A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729F0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01E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77A9F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640E1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20A15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7FA8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B4C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A28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E81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F055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8C18C1" w14:textId="77777777" w:rsidTr="00ED5B0A">
        <w:tc>
          <w:tcPr>
            <w:tcW w:w="1242" w:type="dxa"/>
            <w:tcBorders>
              <w:top w:val="single" w:sz="6" w:space="0" w:color="auto"/>
              <w:left w:val="single" w:sz="6" w:space="0" w:color="auto"/>
              <w:bottom w:val="single" w:sz="6" w:space="0" w:color="auto"/>
              <w:right w:val="single" w:sz="6" w:space="0" w:color="auto"/>
            </w:tcBorders>
          </w:tcPr>
          <w:p w14:paraId="6A615D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2730 кг</w:t>
            </w:r>
          </w:p>
        </w:tc>
        <w:tc>
          <w:tcPr>
            <w:tcW w:w="431" w:type="dxa"/>
            <w:tcBorders>
              <w:top w:val="single" w:sz="6" w:space="0" w:color="auto"/>
              <w:left w:val="single" w:sz="6" w:space="0" w:color="auto"/>
              <w:bottom w:val="single" w:sz="6" w:space="0" w:color="auto"/>
              <w:right w:val="single" w:sz="6" w:space="0" w:color="auto"/>
            </w:tcBorders>
          </w:tcPr>
          <w:p w14:paraId="3451A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77E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9725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903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B5EA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F32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7C2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0AE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C835F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EB59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DE39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4449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D4D0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416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BEA2BB" w14:textId="77777777" w:rsidTr="00ED5B0A">
        <w:tc>
          <w:tcPr>
            <w:tcW w:w="1242" w:type="dxa"/>
            <w:tcBorders>
              <w:top w:val="single" w:sz="6" w:space="0" w:color="auto"/>
              <w:left w:val="single" w:sz="6" w:space="0" w:color="auto"/>
              <w:bottom w:val="single" w:sz="6" w:space="0" w:color="auto"/>
              <w:right w:val="single" w:sz="6" w:space="0" w:color="auto"/>
            </w:tcBorders>
          </w:tcPr>
          <w:p w14:paraId="499E87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1BCF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F99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9E34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5C9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26385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046B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9AAA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9AA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E523E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352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C5C2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C747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08B3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E25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72D001" w14:textId="77777777" w:rsidTr="00ED5B0A">
        <w:tc>
          <w:tcPr>
            <w:tcW w:w="1242" w:type="dxa"/>
            <w:tcBorders>
              <w:top w:val="single" w:sz="6" w:space="0" w:color="auto"/>
              <w:left w:val="single" w:sz="6" w:space="0" w:color="auto"/>
              <w:bottom w:val="single" w:sz="6" w:space="0" w:color="auto"/>
              <w:right w:val="single" w:sz="6" w:space="0" w:color="auto"/>
            </w:tcBorders>
          </w:tcPr>
          <w:p w14:paraId="7875A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53D57B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F378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521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0B5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E05D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12D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301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8022C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66DF9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1249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C87B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5A59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286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831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CBBCAE" w14:textId="77777777" w:rsidTr="00ED5B0A">
        <w:tc>
          <w:tcPr>
            <w:tcW w:w="1242" w:type="dxa"/>
            <w:tcBorders>
              <w:top w:val="single" w:sz="6" w:space="0" w:color="auto"/>
              <w:left w:val="single" w:sz="6" w:space="0" w:color="auto"/>
              <w:bottom w:val="single" w:sz="6" w:space="0" w:color="auto"/>
              <w:right w:val="single" w:sz="6" w:space="0" w:color="auto"/>
            </w:tcBorders>
          </w:tcPr>
          <w:p w14:paraId="7DA25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58000E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03" w:type="dxa"/>
            <w:tcBorders>
              <w:top w:val="single" w:sz="6" w:space="0" w:color="auto"/>
              <w:left w:val="single" w:sz="6" w:space="0" w:color="auto"/>
              <w:bottom w:val="single" w:sz="6" w:space="0" w:color="auto"/>
              <w:right w:val="single" w:sz="6" w:space="0" w:color="auto"/>
            </w:tcBorders>
          </w:tcPr>
          <w:p w14:paraId="153CA0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567" w:type="dxa"/>
            <w:tcBorders>
              <w:top w:val="single" w:sz="6" w:space="0" w:color="auto"/>
              <w:left w:val="single" w:sz="6" w:space="0" w:color="auto"/>
              <w:bottom w:val="single" w:sz="6" w:space="0" w:color="auto"/>
              <w:right w:val="single" w:sz="6" w:space="0" w:color="auto"/>
            </w:tcBorders>
          </w:tcPr>
          <w:p w14:paraId="51E93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567" w:type="dxa"/>
            <w:tcBorders>
              <w:top w:val="single" w:sz="6" w:space="0" w:color="auto"/>
              <w:left w:val="single" w:sz="6" w:space="0" w:color="auto"/>
              <w:bottom w:val="single" w:sz="6" w:space="0" w:color="auto"/>
              <w:right w:val="single" w:sz="6" w:space="0" w:color="auto"/>
            </w:tcBorders>
          </w:tcPr>
          <w:p w14:paraId="7A534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674F8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717068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tc>
        <w:tc>
          <w:tcPr>
            <w:tcW w:w="783" w:type="dxa"/>
            <w:tcBorders>
              <w:top w:val="single" w:sz="6" w:space="0" w:color="auto"/>
              <w:left w:val="single" w:sz="6" w:space="0" w:color="auto"/>
              <w:bottom w:val="single" w:sz="6" w:space="0" w:color="auto"/>
              <w:right w:val="single" w:sz="6" w:space="0" w:color="auto"/>
            </w:tcBorders>
          </w:tcPr>
          <w:p w14:paraId="005C09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c>
          <w:tcPr>
            <w:tcW w:w="1123" w:type="dxa"/>
            <w:tcBorders>
              <w:top w:val="single" w:sz="6" w:space="0" w:color="auto"/>
              <w:left w:val="single" w:sz="6" w:space="0" w:color="auto"/>
              <w:bottom w:val="single" w:sz="6" w:space="0" w:color="auto"/>
              <w:right w:val="single" w:sz="6" w:space="0" w:color="auto"/>
            </w:tcBorders>
          </w:tcPr>
          <w:p w14:paraId="65F6E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4C8FE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48952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C868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701A6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w:t>
            </w:r>
          </w:p>
        </w:tc>
        <w:tc>
          <w:tcPr>
            <w:tcW w:w="621" w:type="dxa"/>
            <w:tcBorders>
              <w:top w:val="single" w:sz="6" w:space="0" w:color="auto"/>
              <w:left w:val="single" w:sz="6" w:space="0" w:color="auto"/>
              <w:bottom w:val="single" w:sz="6" w:space="0" w:color="auto"/>
              <w:right w:val="single" w:sz="6" w:space="0" w:color="auto"/>
            </w:tcBorders>
          </w:tcPr>
          <w:p w14:paraId="4036D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2E61B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B84F2E" w14:textId="77777777" w:rsidTr="00ED5B0A">
        <w:tc>
          <w:tcPr>
            <w:tcW w:w="1242" w:type="dxa"/>
            <w:tcBorders>
              <w:top w:val="single" w:sz="6" w:space="0" w:color="auto"/>
              <w:left w:val="single" w:sz="6" w:space="0" w:color="auto"/>
              <w:bottom w:val="single" w:sz="6" w:space="0" w:color="auto"/>
              <w:right w:val="single" w:sz="6" w:space="0" w:color="auto"/>
            </w:tcBorders>
          </w:tcPr>
          <w:p w14:paraId="431232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w:t>
            </w:r>
          </w:p>
        </w:tc>
        <w:tc>
          <w:tcPr>
            <w:tcW w:w="431" w:type="dxa"/>
            <w:tcBorders>
              <w:top w:val="single" w:sz="6" w:space="0" w:color="auto"/>
              <w:left w:val="single" w:sz="6" w:space="0" w:color="auto"/>
              <w:bottom w:val="single" w:sz="6" w:space="0" w:color="auto"/>
              <w:right w:val="single" w:sz="6" w:space="0" w:color="auto"/>
            </w:tcBorders>
          </w:tcPr>
          <w:p w14:paraId="2C37C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670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5FD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567" w:type="dxa"/>
            <w:tcBorders>
              <w:top w:val="single" w:sz="6" w:space="0" w:color="auto"/>
              <w:left w:val="single" w:sz="6" w:space="0" w:color="auto"/>
              <w:bottom w:val="single" w:sz="6" w:space="0" w:color="auto"/>
              <w:right w:val="single" w:sz="6" w:space="0" w:color="auto"/>
            </w:tcBorders>
          </w:tcPr>
          <w:p w14:paraId="77C421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3AA3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A05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783" w:type="dxa"/>
            <w:tcBorders>
              <w:top w:val="single" w:sz="6" w:space="0" w:color="auto"/>
              <w:left w:val="single" w:sz="6" w:space="0" w:color="auto"/>
              <w:bottom w:val="single" w:sz="6" w:space="0" w:color="auto"/>
              <w:right w:val="single" w:sz="6" w:space="0" w:color="auto"/>
            </w:tcBorders>
          </w:tcPr>
          <w:p w14:paraId="7F666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3B6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008AD6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949D3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0531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E432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войск.</w:t>
            </w:r>
          </w:p>
        </w:tc>
        <w:tc>
          <w:tcPr>
            <w:tcW w:w="621" w:type="dxa"/>
            <w:tcBorders>
              <w:top w:val="single" w:sz="6" w:space="0" w:color="auto"/>
              <w:left w:val="single" w:sz="6" w:space="0" w:color="auto"/>
              <w:bottom w:val="single" w:sz="6" w:space="0" w:color="auto"/>
              <w:right w:val="single" w:sz="6" w:space="0" w:color="auto"/>
            </w:tcBorders>
          </w:tcPr>
          <w:p w14:paraId="114DA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AC7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A0F3FA" w14:textId="77777777" w:rsidTr="00ED5B0A">
        <w:tc>
          <w:tcPr>
            <w:tcW w:w="1242" w:type="dxa"/>
            <w:tcBorders>
              <w:top w:val="single" w:sz="6" w:space="0" w:color="auto"/>
              <w:left w:val="single" w:sz="6" w:space="0" w:color="auto"/>
              <w:bottom w:val="single" w:sz="6" w:space="0" w:color="auto"/>
              <w:right w:val="single" w:sz="6" w:space="0" w:color="auto"/>
            </w:tcBorders>
          </w:tcPr>
          <w:p w14:paraId="5DC28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М-105ПД в</w:t>
            </w:r>
          </w:p>
        </w:tc>
        <w:tc>
          <w:tcPr>
            <w:tcW w:w="431" w:type="dxa"/>
            <w:tcBorders>
              <w:top w:val="single" w:sz="6" w:space="0" w:color="auto"/>
              <w:left w:val="single" w:sz="6" w:space="0" w:color="auto"/>
              <w:bottom w:val="single" w:sz="6" w:space="0" w:color="auto"/>
              <w:right w:val="single" w:sz="6" w:space="0" w:color="auto"/>
            </w:tcBorders>
          </w:tcPr>
          <w:p w14:paraId="0BA71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361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47A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22F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6D1F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6A6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78C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8A6BD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1FB43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08EE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582D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E5D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w:t>
            </w:r>
          </w:p>
        </w:tc>
        <w:tc>
          <w:tcPr>
            <w:tcW w:w="621" w:type="dxa"/>
            <w:tcBorders>
              <w:top w:val="single" w:sz="6" w:space="0" w:color="auto"/>
              <w:left w:val="single" w:sz="6" w:space="0" w:color="auto"/>
              <w:bottom w:val="single" w:sz="6" w:space="0" w:color="auto"/>
              <w:right w:val="single" w:sz="6" w:space="0" w:color="auto"/>
            </w:tcBorders>
          </w:tcPr>
          <w:p w14:paraId="46470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9065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757AC0" w14:textId="77777777" w:rsidTr="00ED5B0A">
        <w:tc>
          <w:tcPr>
            <w:tcW w:w="1242" w:type="dxa"/>
            <w:tcBorders>
              <w:top w:val="single" w:sz="6" w:space="0" w:color="auto"/>
              <w:left w:val="single" w:sz="6" w:space="0" w:color="auto"/>
              <w:bottom w:val="single" w:sz="6" w:space="0" w:color="auto"/>
              <w:right w:val="single" w:sz="6" w:space="0" w:color="auto"/>
            </w:tcBorders>
          </w:tcPr>
          <w:p w14:paraId="5DBCA1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высотном</w:t>
            </w:r>
          </w:p>
        </w:tc>
        <w:tc>
          <w:tcPr>
            <w:tcW w:w="431" w:type="dxa"/>
            <w:tcBorders>
              <w:top w:val="single" w:sz="6" w:space="0" w:color="auto"/>
              <w:left w:val="single" w:sz="6" w:space="0" w:color="auto"/>
              <w:bottom w:val="single" w:sz="6" w:space="0" w:color="auto"/>
              <w:right w:val="single" w:sz="6" w:space="0" w:color="auto"/>
            </w:tcBorders>
          </w:tcPr>
          <w:p w14:paraId="287D2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A16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791D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0676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B283E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E6B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115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0058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05D42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DCC2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1FA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25F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ПВО</w:t>
            </w:r>
          </w:p>
        </w:tc>
        <w:tc>
          <w:tcPr>
            <w:tcW w:w="621" w:type="dxa"/>
            <w:tcBorders>
              <w:top w:val="single" w:sz="6" w:space="0" w:color="auto"/>
              <w:left w:val="single" w:sz="6" w:space="0" w:color="auto"/>
              <w:bottom w:val="single" w:sz="6" w:space="0" w:color="auto"/>
              <w:right w:val="single" w:sz="6" w:space="0" w:color="auto"/>
            </w:tcBorders>
          </w:tcPr>
          <w:p w14:paraId="559AB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C9D23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AFDE2B" w14:textId="77777777" w:rsidTr="00ED5B0A">
        <w:tc>
          <w:tcPr>
            <w:tcW w:w="1242" w:type="dxa"/>
            <w:tcBorders>
              <w:top w:val="single" w:sz="6" w:space="0" w:color="auto"/>
              <w:left w:val="single" w:sz="6" w:space="0" w:color="auto"/>
              <w:bottom w:val="single" w:sz="6" w:space="0" w:color="auto"/>
              <w:right w:val="single" w:sz="6" w:space="0" w:color="auto"/>
            </w:tcBorders>
          </w:tcPr>
          <w:p w14:paraId="6CF2E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3E228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4BA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B7D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FEB9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2B1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16F0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415F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9F207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50ED1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8885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481E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EBE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1.V.43</w:t>
            </w:r>
          </w:p>
        </w:tc>
        <w:tc>
          <w:tcPr>
            <w:tcW w:w="621" w:type="dxa"/>
            <w:tcBorders>
              <w:top w:val="single" w:sz="6" w:space="0" w:color="auto"/>
              <w:left w:val="single" w:sz="6" w:space="0" w:color="auto"/>
              <w:bottom w:val="single" w:sz="6" w:space="0" w:color="auto"/>
              <w:right w:val="single" w:sz="6" w:space="0" w:color="auto"/>
            </w:tcBorders>
          </w:tcPr>
          <w:p w14:paraId="65F20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BF9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952890" w14:textId="77777777" w:rsidTr="00ED5B0A">
        <w:tc>
          <w:tcPr>
            <w:tcW w:w="1242" w:type="dxa"/>
            <w:tcBorders>
              <w:top w:val="single" w:sz="6" w:space="0" w:color="auto"/>
              <w:left w:val="single" w:sz="6" w:space="0" w:color="auto"/>
              <w:bottom w:val="single" w:sz="6" w:space="0" w:color="auto"/>
              <w:right w:val="single" w:sz="6" w:space="0" w:color="auto"/>
            </w:tcBorders>
          </w:tcPr>
          <w:p w14:paraId="72EAD7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герм.</w:t>
            </w:r>
          </w:p>
        </w:tc>
        <w:tc>
          <w:tcPr>
            <w:tcW w:w="431" w:type="dxa"/>
            <w:tcBorders>
              <w:top w:val="single" w:sz="6" w:space="0" w:color="auto"/>
              <w:left w:val="single" w:sz="6" w:space="0" w:color="auto"/>
              <w:bottom w:val="single" w:sz="6" w:space="0" w:color="auto"/>
              <w:right w:val="single" w:sz="6" w:space="0" w:color="auto"/>
            </w:tcBorders>
          </w:tcPr>
          <w:p w14:paraId="365B7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6F2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85B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A6D4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337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C39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280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7CE1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91915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24B19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0BF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4FCAD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8C34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BB39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CBBCD2" w14:textId="77777777" w:rsidTr="00ED5B0A">
        <w:tc>
          <w:tcPr>
            <w:tcW w:w="1242" w:type="dxa"/>
            <w:tcBorders>
              <w:top w:val="single" w:sz="6" w:space="0" w:color="auto"/>
              <w:left w:val="single" w:sz="6" w:space="0" w:color="auto"/>
              <w:bottom w:val="single" w:sz="6" w:space="0" w:color="auto"/>
              <w:right w:val="single" w:sz="6" w:space="0" w:color="auto"/>
            </w:tcBorders>
          </w:tcPr>
          <w:p w14:paraId="5B41E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кабины с</w:t>
            </w:r>
          </w:p>
        </w:tc>
        <w:tc>
          <w:tcPr>
            <w:tcW w:w="431" w:type="dxa"/>
            <w:tcBorders>
              <w:top w:val="single" w:sz="6" w:space="0" w:color="auto"/>
              <w:left w:val="single" w:sz="6" w:space="0" w:color="auto"/>
              <w:bottom w:val="single" w:sz="6" w:space="0" w:color="auto"/>
              <w:right w:val="single" w:sz="6" w:space="0" w:color="auto"/>
            </w:tcBorders>
          </w:tcPr>
          <w:p w14:paraId="0B1D1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3DAA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C26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2C4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C920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26A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F8F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85394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9817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D6A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819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7B27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BA4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B07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788BB2" w14:textId="77777777" w:rsidTr="00ED5B0A">
        <w:tc>
          <w:tcPr>
            <w:tcW w:w="1242" w:type="dxa"/>
            <w:tcBorders>
              <w:top w:val="single" w:sz="6" w:space="0" w:color="auto"/>
              <w:left w:val="single" w:sz="6" w:space="0" w:color="auto"/>
              <w:bottom w:val="single" w:sz="6" w:space="0" w:color="auto"/>
              <w:right w:val="single" w:sz="6" w:space="0" w:color="auto"/>
            </w:tcBorders>
          </w:tcPr>
          <w:p w14:paraId="3F179B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кислородн.</w:t>
            </w:r>
          </w:p>
        </w:tc>
        <w:tc>
          <w:tcPr>
            <w:tcW w:w="431" w:type="dxa"/>
            <w:tcBorders>
              <w:top w:val="single" w:sz="6" w:space="0" w:color="auto"/>
              <w:left w:val="single" w:sz="6" w:space="0" w:color="auto"/>
              <w:bottom w:val="single" w:sz="6" w:space="0" w:color="auto"/>
              <w:right w:val="single" w:sz="6" w:space="0" w:color="auto"/>
            </w:tcBorders>
          </w:tcPr>
          <w:p w14:paraId="07BB4D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7A96B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989C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1FEB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98F5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1A44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B3D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4691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DA175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328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B4AD5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FF0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DAF7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4C19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2D11F9" w14:textId="77777777" w:rsidTr="00ED5B0A">
        <w:tc>
          <w:tcPr>
            <w:tcW w:w="1242" w:type="dxa"/>
            <w:tcBorders>
              <w:top w:val="single" w:sz="6" w:space="0" w:color="auto"/>
              <w:left w:val="single" w:sz="6" w:space="0" w:color="auto"/>
              <w:bottom w:val="single" w:sz="6" w:space="0" w:color="auto"/>
              <w:right w:val="single" w:sz="6" w:space="0" w:color="auto"/>
            </w:tcBorders>
          </w:tcPr>
          <w:p w14:paraId="0293F3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w:t>
            </w:r>
          </w:p>
        </w:tc>
        <w:tc>
          <w:tcPr>
            <w:tcW w:w="431" w:type="dxa"/>
            <w:tcBorders>
              <w:top w:val="single" w:sz="6" w:space="0" w:color="auto"/>
              <w:left w:val="single" w:sz="6" w:space="0" w:color="auto"/>
              <w:bottom w:val="single" w:sz="6" w:space="0" w:color="auto"/>
              <w:right w:val="single" w:sz="6" w:space="0" w:color="auto"/>
            </w:tcBorders>
          </w:tcPr>
          <w:p w14:paraId="00EC56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5CC0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8D6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6A5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461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23C6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7279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8B6A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33ED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DC4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ECD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1933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950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2F7F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8FC0BD" w14:textId="77777777" w:rsidTr="00ED5B0A">
        <w:tc>
          <w:tcPr>
            <w:tcW w:w="1242" w:type="dxa"/>
            <w:tcBorders>
              <w:top w:val="single" w:sz="6" w:space="0" w:color="auto"/>
              <w:left w:val="single" w:sz="6" w:space="0" w:color="auto"/>
              <w:bottom w:val="single" w:sz="6" w:space="0" w:color="auto"/>
              <w:right w:val="single" w:sz="6" w:space="0" w:color="auto"/>
            </w:tcBorders>
          </w:tcPr>
          <w:p w14:paraId="42173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E9A9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B2E74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452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C95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6AA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0AFD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B4D6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FA66D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EB68B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C190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32E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3EA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CB6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4C6A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4D7C3E" w14:textId="77777777" w:rsidTr="00ED5B0A">
        <w:tc>
          <w:tcPr>
            <w:tcW w:w="1242" w:type="dxa"/>
            <w:tcBorders>
              <w:top w:val="single" w:sz="6" w:space="0" w:color="auto"/>
              <w:left w:val="single" w:sz="6" w:space="0" w:color="auto"/>
              <w:bottom w:val="single" w:sz="6" w:space="0" w:color="auto"/>
              <w:right w:val="single" w:sz="6" w:space="0" w:color="auto"/>
            </w:tcBorders>
          </w:tcPr>
          <w:p w14:paraId="2CE1E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70D64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367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E40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0871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EFE8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CA5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7D28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B993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F8558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993F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D369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1AF06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A5DB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E14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2E2B1A" w14:textId="77777777" w:rsidTr="00ED5B0A">
        <w:tc>
          <w:tcPr>
            <w:tcW w:w="1242" w:type="dxa"/>
            <w:tcBorders>
              <w:top w:val="single" w:sz="6" w:space="0" w:color="auto"/>
              <w:left w:val="single" w:sz="6" w:space="0" w:color="auto"/>
              <w:bottom w:val="single" w:sz="6" w:space="0" w:color="auto"/>
              <w:right w:val="single" w:sz="6" w:space="0" w:color="auto"/>
            </w:tcBorders>
          </w:tcPr>
          <w:p w14:paraId="47A43F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03195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7E4C15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w:t>
            </w:r>
          </w:p>
        </w:tc>
        <w:tc>
          <w:tcPr>
            <w:tcW w:w="567" w:type="dxa"/>
            <w:tcBorders>
              <w:top w:val="single" w:sz="6" w:space="0" w:color="auto"/>
              <w:left w:val="single" w:sz="6" w:space="0" w:color="auto"/>
              <w:bottom w:val="single" w:sz="6" w:space="0" w:color="auto"/>
              <w:right w:val="single" w:sz="6" w:space="0" w:color="auto"/>
            </w:tcBorders>
          </w:tcPr>
          <w:p w14:paraId="47D7D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w:t>
            </w:r>
          </w:p>
        </w:tc>
        <w:tc>
          <w:tcPr>
            <w:tcW w:w="567" w:type="dxa"/>
            <w:tcBorders>
              <w:top w:val="single" w:sz="6" w:space="0" w:color="auto"/>
              <w:left w:val="single" w:sz="6" w:space="0" w:color="auto"/>
              <w:bottom w:val="single" w:sz="6" w:space="0" w:color="auto"/>
              <w:right w:val="single" w:sz="6" w:space="0" w:color="auto"/>
            </w:tcBorders>
          </w:tcPr>
          <w:p w14:paraId="3F5BD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w:t>
            </w:r>
          </w:p>
        </w:tc>
        <w:tc>
          <w:tcPr>
            <w:tcW w:w="709" w:type="dxa"/>
            <w:tcBorders>
              <w:top w:val="single" w:sz="6" w:space="0" w:color="auto"/>
              <w:left w:val="single" w:sz="6" w:space="0" w:color="auto"/>
              <w:bottom w:val="single" w:sz="6" w:space="0" w:color="auto"/>
              <w:right w:val="single" w:sz="6" w:space="0" w:color="auto"/>
            </w:tcBorders>
          </w:tcPr>
          <w:p w14:paraId="42A41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783" w:type="dxa"/>
            <w:tcBorders>
              <w:top w:val="single" w:sz="6" w:space="0" w:color="auto"/>
              <w:left w:val="single" w:sz="6" w:space="0" w:color="auto"/>
              <w:bottom w:val="single" w:sz="6" w:space="0" w:color="auto"/>
              <w:right w:val="single" w:sz="6" w:space="0" w:color="auto"/>
            </w:tcBorders>
          </w:tcPr>
          <w:p w14:paraId="2D3C5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783" w:type="dxa"/>
            <w:tcBorders>
              <w:top w:val="single" w:sz="6" w:space="0" w:color="auto"/>
              <w:left w:val="single" w:sz="6" w:space="0" w:color="auto"/>
              <w:bottom w:val="single" w:sz="6" w:space="0" w:color="auto"/>
              <w:right w:val="single" w:sz="6" w:space="0" w:color="auto"/>
            </w:tcBorders>
          </w:tcPr>
          <w:p w14:paraId="7EC515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w:t>
            </w:r>
          </w:p>
        </w:tc>
        <w:tc>
          <w:tcPr>
            <w:tcW w:w="1123" w:type="dxa"/>
            <w:tcBorders>
              <w:top w:val="single" w:sz="6" w:space="0" w:color="auto"/>
              <w:left w:val="single" w:sz="6" w:space="0" w:color="auto"/>
              <w:bottom w:val="single" w:sz="6" w:space="0" w:color="auto"/>
              <w:right w:val="single" w:sz="6" w:space="0" w:color="auto"/>
            </w:tcBorders>
          </w:tcPr>
          <w:p w14:paraId="69CD80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0BC8C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31CC4E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5F1C2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26CBB2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5.I.43</w:t>
            </w:r>
          </w:p>
        </w:tc>
        <w:tc>
          <w:tcPr>
            <w:tcW w:w="621" w:type="dxa"/>
            <w:tcBorders>
              <w:top w:val="single" w:sz="6" w:space="0" w:color="auto"/>
              <w:left w:val="single" w:sz="6" w:space="0" w:color="auto"/>
              <w:bottom w:val="single" w:sz="6" w:space="0" w:color="auto"/>
              <w:right w:val="single" w:sz="6" w:space="0" w:color="auto"/>
            </w:tcBorders>
          </w:tcPr>
          <w:p w14:paraId="6F8EAB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и</w:t>
            </w:r>
          </w:p>
        </w:tc>
        <w:tc>
          <w:tcPr>
            <w:tcW w:w="621" w:type="dxa"/>
            <w:tcBorders>
              <w:top w:val="single" w:sz="6" w:space="0" w:color="auto"/>
              <w:left w:val="single" w:sz="6" w:space="0" w:color="auto"/>
              <w:bottom w:val="single" w:sz="6" w:space="0" w:color="auto"/>
              <w:right w:val="single" w:sz="6" w:space="0" w:color="auto"/>
            </w:tcBorders>
          </w:tcPr>
          <w:p w14:paraId="4F602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8947D0" w14:textId="77777777" w:rsidTr="00ED5B0A">
        <w:tc>
          <w:tcPr>
            <w:tcW w:w="1242" w:type="dxa"/>
            <w:tcBorders>
              <w:top w:val="single" w:sz="6" w:space="0" w:color="auto"/>
              <w:left w:val="single" w:sz="6" w:space="0" w:color="auto"/>
              <w:bottom w:val="single" w:sz="6" w:space="0" w:color="auto"/>
              <w:right w:val="single" w:sz="6" w:space="0" w:color="auto"/>
            </w:tcBorders>
          </w:tcPr>
          <w:p w14:paraId="24385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w:t>
            </w:r>
          </w:p>
        </w:tc>
        <w:tc>
          <w:tcPr>
            <w:tcW w:w="431" w:type="dxa"/>
            <w:tcBorders>
              <w:top w:val="single" w:sz="6" w:space="0" w:color="auto"/>
              <w:left w:val="single" w:sz="6" w:space="0" w:color="auto"/>
              <w:bottom w:val="single" w:sz="6" w:space="0" w:color="auto"/>
              <w:right w:val="single" w:sz="6" w:space="0" w:color="auto"/>
            </w:tcBorders>
          </w:tcPr>
          <w:p w14:paraId="21270C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15D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44C4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w:t>
            </w:r>
          </w:p>
        </w:tc>
        <w:tc>
          <w:tcPr>
            <w:tcW w:w="567" w:type="dxa"/>
            <w:tcBorders>
              <w:top w:val="single" w:sz="6" w:space="0" w:color="auto"/>
              <w:left w:val="single" w:sz="6" w:space="0" w:color="auto"/>
              <w:bottom w:val="single" w:sz="6" w:space="0" w:color="auto"/>
              <w:right w:val="single" w:sz="6" w:space="0" w:color="auto"/>
            </w:tcBorders>
          </w:tcPr>
          <w:p w14:paraId="4B2CE4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3B1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3A763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636F76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13E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848" w:type="dxa"/>
            <w:tcBorders>
              <w:top w:val="single" w:sz="6" w:space="0" w:color="auto"/>
              <w:left w:val="single" w:sz="6" w:space="0" w:color="auto"/>
              <w:bottom w:val="single" w:sz="6" w:space="0" w:color="auto"/>
              <w:right w:val="single" w:sz="6" w:space="0" w:color="auto"/>
            </w:tcBorders>
          </w:tcPr>
          <w:p w14:paraId="03939D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0F8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FD4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заднее</w:t>
            </w:r>
          </w:p>
        </w:tc>
        <w:tc>
          <w:tcPr>
            <w:tcW w:w="922" w:type="dxa"/>
            <w:tcBorders>
              <w:top w:val="single" w:sz="6" w:space="0" w:color="auto"/>
              <w:left w:val="single" w:sz="6" w:space="0" w:color="auto"/>
              <w:bottom w:val="single" w:sz="6" w:space="0" w:color="auto"/>
              <w:right w:val="single" w:sz="6" w:space="0" w:color="auto"/>
            </w:tcBorders>
          </w:tcPr>
          <w:p w14:paraId="1D9AB5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2E22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доводки</w:t>
            </w:r>
          </w:p>
        </w:tc>
        <w:tc>
          <w:tcPr>
            <w:tcW w:w="621" w:type="dxa"/>
            <w:tcBorders>
              <w:top w:val="single" w:sz="6" w:space="0" w:color="auto"/>
              <w:left w:val="single" w:sz="6" w:space="0" w:color="auto"/>
              <w:bottom w:val="single" w:sz="6" w:space="0" w:color="auto"/>
              <w:right w:val="single" w:sz="6" w:space="0" w:color="auto"/>
            </w:tcBorders>
          </w:tcPr>
          <w:p w14:paraId="2BE14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BD7259" w14:textId="77777777" w:rsidTr="00ED5B0A">
        <w:tc>
          <w:tcPr>
            <w:tcW w:w="1242" w:type="dxa"/>
            <w:tcBorders>
              <w:top w:val="single" w:sz="6" w:space="0" w:color="auto"/>
              <w:left w:val="single" w:sz="6" w:space="0" w:color="auto"/>
              <w:bottom w:val="single" w:sz="6" w:space="0" w:color="auto"/>
              <w:right w:val="single" w:sz="6" w:space="0" w:color="auto"/>
            </w:tcBorders>
          </w:tcPr>
          <w:p w14:paraId="1694EF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w:t>
            </w:r>
          </w:p>
        </w:tc>
        <w:tc>
          <w:tcPr>
            <w:tcW w:w="431" w:type="dxa"/>
            <w:tcBorders>
              <w:top w:val="single" w:sz="6" w:space="0" w:color="auto"/>
              <w:left w:val="single" w:sz="6" w:space="0" w:color="auto"/>
              <w:bottom w:val="single" w:sz="6" w:space="0" w:color="auto"/>
              <w:right w:val="single" w:sz="6" w:space="0" w:color="auto"/>
            </w:tcBorders>
          </w:tcPr>
          <w:p w14:paraId="6AB79B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0D02B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138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B62D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FC18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6D509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82C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4CD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патр.</w:t>
            </w:r>
          </w:p>
        </w:tc>
        <w:tc>
          <w:tcPr>
            <w:tcW w:w="848" w:type="dxa"/>
            <w:tcBorders>
              <w:top w:val="single" w:sz="6" w:space="0" w:color="auto"/>
              <w:left w:val="single" w:sz="6" w:space="0" w:color="auto"/>
              <w:bottom w:val="single" w:sz="6" w:space="0" w:color="auto"/>
              <w:right w:val="single" w:sz="6" w:space="0" w:color="auto"/>
            </w:tcBorders>
          </w:tcPr>
          <w:p w14:paraId="1EBE4A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396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59802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стекло</w:t>
            </w:r>
          </w:p>
        </w:tc>
        <w:tc>
          <w:tcPr>
            <w:tcW w:w="922" w:type="dxa"/>
            <w:tcBorders>
              <w:top w:val="single" w:sz="6" w:space="0" w:color="auto"/>
              <w:left w:val="single" w:sz="6" w:space="0" w:color="auto"/>
              <w:bottom w:val="single" w:sz="6" w:space="0" w:color="auto"/>
              <w:right w:val="single" w:sz="6" w:space="0" w:color="auto"/>
            </w:tcBorders>
          </w:tcPr>
          <w:p w14:paraId="33B0E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152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563F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7A701B" w14:textId="77777777" w:rsidTr="00ED5B0A">
        <w:tc>
          <w:tcPr>
            <w:tcW w:w="1242" w:type="dxa"/>
            <w:tcBorders>
              <w:top w:val="single" w:sz="6" w:space="0" w:color="auto"/>
              <w:left w:val="single" w:sz="6" w:space="0" w:color="auto"/>
              <w:bottom w:val="single" w:sz="6" w:space="0" w:color="auto"/>
              <w:right w:val="single" w:sz="6" w:space="0" w:color="auto"/>
            </w:tcBorders>
          </w:tcPr>
          <w:p w14:paraId="33D882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пушкой</w:t>
            </w:r>
          </w:p>
        </w:tc>
        <w:tc>
          <w:tcPr>
            <w:tcW w:w="431" w:type="dxa"/>
            <w:tcBorders>
              <w:top w:val="single" w:sz="6" w:space="0" w:color="auto"/>
              <w:left w:val="single" w:sz="6" w:space="0" w:color="auto"/>
              <w:bottom w:val="single" w:sz="6" w:space="0" w:color="auto"/>
              <w:right w:val="single" w:sz="6" w:space="0" w:color="auto"/>
            </w:tcBorders>
          </w:tcPr>
          <w:p w14:paraId="1418C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52E33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843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69B6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694EF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 км/час</w:t>
            </w:r>
          </w:p>
        </w:tc>
        <w:tc>
          <w:tcPr>
            <w:tcW w:w="783" w:type="dxa"/>
            <w:tcBorders>
              <w:top w:val="single" w:sz="6" w:space="0" w:color="auto"/>
              <w:left w:val="single" w:sz="6" w:space="0" w:color="auto"/>
              <w:bottom w:val="single" w:sz="6" w:space="0" w:color="auto"/>
              <w:right w:val="single" w:sz="6" w:space="0" w:color="auto"/>
            </w:tcBorders>
          </w:tcPr>
          <w:p w14:paraId="6AA626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0E4D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B2F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BB6EE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F73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DDDD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0FCE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6DEF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76C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3D77F7" w14:textId="77777777" w:rsidTr="00ED5B0A">
        <w:tc>
          <w:tcPr>
            <w:tcW w:w="1242" w:type="dxa"/>
            <w:tcBorders>
              <w:top w:val="single" w:sz="6" w:space="0" w:color="auto"/>
              <w:left w:val="single" w:sz="6" w:space="0" w:color="auto"/>
              <w:bottom w:val="single" w:sz="6" w:space="0" w:color="auto"/>
              <w:right w:val="single" w:sz="6" w:space="0" w:color="auto"/>
            </w:tcBorders>
          </w:tcPr>
          <w:p w14:paraId="602BA5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37 мм</w:t>
            </w:r>
          </w:p>
        </w:tc>
        <w:tc>
          <w:tcPr>
            <w:tcW w:w="431" w:type="dxa"/>
            <w:tcBorders>
              <w:top w:val="single" w:sz="6" w:space="0" w:color="auto"/>
              <w:left w:val="single" w:sz="6" w:space="0" w:color="auto"/>
              <w:bottom w:val="single" w:sz="6" w:space="0" w:color="auto"/>
              <w:right w:val="single" w:sz="6" w:space="0" w:color="auto"/>
            </w:tcBorders>
          </w:tcPr>
          <w:p w14:paraId="05719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DF0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1052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E2F1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FEEE7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20CF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4CA2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E66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3C0E8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AD7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C805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95B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7C76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E5B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8FE038" w14:textId="77777777" w:rsidTr="00ED5B0A">
        <w:tc>
          <w:tcPr>
            <w:tcW w:w="1242" w:type="dxa"/>
            <w:tcBorders>
              <w:top w:val="single" w:sz="6" w:space="0" w:color="auto"/>
              <w:left w:val="single" w:sz="6" w:space="0" w:color="auto"/>
              <w:bottom w:val="single" w:sz="6" w:space="0" w:color="auto"/>
              <w:right w:val="single" w:sz="6" w:space="0" w:color="auto"/>
            </w:tcBorders>
          </w:tcPr>
          <w:p w14:paraId="362FF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95D22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4F09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0FAF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DD309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3210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A4CC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422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7736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3C7D2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872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3CD2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B79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97C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8B35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E95371" w14:textId="77777777" w:rsidTr="00ED5B0A">
        <w:tc>
          <w:tcPr>
            <w:tcW w:w="1242" w:type="dxa"/>
            <w:tcBorders>
              <w:top w:val="single" w:sz="6" w:space="0" w:color="auto"/>
              <w:left w:val="single" w:sz="6" w:space="0" w:color="auto"/>
              <w:bottom w:val="single" w:sz="6" w:space="0" w:color="auto"/>
              <w:right w:val="single" w:sz="6" w:space="0" w:color="auto"/>
            </w:tcBorders>
          </w:tcPr>
          <w:p w14:paraId="56997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584608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1C415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85D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7D10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FAC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FF5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CFA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0E0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64C8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328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B3DD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3212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FDEE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C5E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52B922" w14:textId="77777777" w:rsidTr="00ED5B0A">
        <w:tc>
          <w:tcPr>
            <w:tcW w:w="1242" w:type="dxa"/>
            <w:tcBorders>
              <w:top w:val="single" w:sz="6" w:space="0" w:color="auto"/>
              <w:left w:val="single" w:sz="6" w:space="0" w:color="auto"/>
              <w:bottom w:val="single" w:sz="6" w:space="0" w:color="auto"/>
              <w:right w:val="single" w:sz="6" w:space="0" w:color="auto"/>
            </w:tcBorders>
          </w:tcPr>
          <w:p w14:paraId="5732C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53390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4E043A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w:t>
            </w:r>
          </w:p>
        </w:tc>
        <w:tc>
          <w:tcPr>
            <w:tcW w:w="567" w:type="dxa"/>
            <w:tcBorders>
              <w:top w:val="single" w:sz="6" w:space="0" w:color="auto"/>
              <w:left w:val="single" w:sz="6" w:space="0" w:color="auto"/>
              <w:bottom w:val="single" w:sz="6" w:space="0" w:color="auto"/>
              <w:right w:val="single" w:sz="6" w:space="0" w:color="auto"/>
            </w:tcBorders>
          </w:tcPr>
          <w:p w14:paraId="13583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567" w:type="dxa"/>
            <w:tcBorders>
              <w:top w:val="single" w:sz="6" w:space="0" w:color="auto"/>
              <w:left w:val="single" w:sz="6" w:space="0" w:color="auto"/>
              <w:bottom w:val="single" w:sz="6" w:space="0" w:color="auto"/>
              <w:right w:val="single" w:sz="6" w:space="0" w:color="auto"/>
            </w:tcBorders>
          </w:tcPr>
          <w:p w14:paraId="397CB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00E47C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587F7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2C340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621517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5E293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6D7169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32F956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22810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25.I.43</w:t>
            </w:r>
          </w:p>
        </w:tc>
        <w:tc>
          <w:tcPr>
            <w:tcW w:w="621" w:type="dxa"/>
            <w:tcBorders>
              <w:top w:val="single" w:sz="6" w:space="0" w:color="auto"/>
              <w:left w:val="single" w:sz="6" w:space="0" w:color="auto"/>
              <w:bottom w:val="single" w:sz="6" w:space="0" w:color="auto"/>
              <w:right w:val="single" w:sz="6" w:space="0" w:color="auto"/>
            </w:tcBorders>
          </w:tcPr>
          <w:p w14:paraId="4C325F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проходил</w:t>
            </w:r>
          </w:p>
        </w:tc>
        <w:tc>
          <w:tcPr>
            <w:tcW w:w="621" w:type="dxa"/>
            <w:tcBorders>
              <w:top w:val="single" w:sz="6" w:space="0" w:color="auto"/>
              <w:left w:val="single" w:sz="6" w:space="0" w:color="auto"/>
              <w:bottom w:val="single" w:sz="6" w:space="0" w:color="auto"/>
              <w:right w:val="single" w:sz="6" w:space="0" w:color="auto"/>
            </w:tcBorders>
          </w:tcPr>
          <w:p w14:paraId="438DD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E1C659" w14:textId="77777777" w:rsidTr="00ED5B0A">
        <w:tc>
          <w:tcPr>
            <w:tcW w:w="1242" w:type="dxa"/>
            <w:tcBorders>
              <w:top w:val="single" w:sz="6" w:space="0" w:color="auto"/>
              <w:left w:val="single" w:sz="6" w:space="0" w:color="auto"/>
              <w:bottom w:val="single" w:sz="6" w:space="0" w:color="auto"/>
              <w:right w:val="single" w:sz="6" w:space="0" w:color="auto"/>
            </w:tcBorders>
          </w:tcPr>
          <w:p w14:paraId="64951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w:t>
            </w:r>
          </w:p>
        </w:tc>
        <w:tc>
          <w:tcPr>
            <w:tcW w:w="431" w:type="dxa"/>
            <w:tcBorders>
              <w:top w:val="single" w:sz="6" w:space="0" w:color="auto"/>
              <w:left w:val="single" w:sz="6" w:space="0" w:color="auto"/>
              <w:bottom w:val="single" w:sz="6" w:space="0" w:color="auto"/>
              <w:right w:val="single" w:sz="6" w:space="0" w:color="auto"/>
            </w:tcBorders>
          </w:tcPr>
          <w:p w14:paraId="45D739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CC432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D6A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w:t>
            </w:r>
          </w:p>
        </w:tc>
        <w:tc>
          <w:tcPr>
            <w:tcW w:w="567" w:type="dxa"/>
            <w:tcBorders>
              <w:top w:val="single" w:sz="6" w:space="0" w:color="auto"/>
              <w:left w:val="single" w:sz="6" w:space="0" w:color="auto"/>
              <w:bottom w:val="single" w:sz="6" w:space="0" w:color="auto"/>
              <w:right w:val="single" w:sz="6" w:space="0" w:color="auto"/>
            </w:tcBorders>
          </w:tcPr>
          <w:p w14:paraId="6FCD6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64E39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0ED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DFB3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F88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EEF0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B674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C8D37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A0E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F65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 испытания</w:t>
            </w:r>
          </w:p>
        </w:tc>
        <w:tc>
          <w:tcPr>
            <w:tcW w:w="621" w:type="dxa"/>
            <w:tcBorders>
              <w:top w:val="single" w:sz="6" w:space="0" w:color="auto"/>
              <w:left w:val="single" w:sz="6" w:space="0" w:color="auto"/>
              <w:bottom w:val="single" w:sz="6" w:space="0" w:color="auto"/>
              <w:right w:val="single" w:sz="6" w:space="0" w:color="auto"/>
            </w:tcBorders>
          </w:tcPr>
          <w:p w14:paraId="2CE43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29DCC3" w14:textId="77777777" w:rsidTr="00ED5B0A">
        <w:tc>
          <w:tcPr>
            <w:tcW w:w="1242" w:type="dxa"/>
            <w:tcBorders>
              <w:top w:val="single" w:sz="6" w:space="0" w:color="auto"/>
              <w:left w:val="single" w:sz="6" w:space="0" w:color="auto"/>
              <w:bottom w:val="single" w:sz="6" w:space="0" w:color="auto"/>
              <w:right w:val="single" w:sz="6" w:space="0" w:color="auto"/>
            </w:tcBorders>
          </w:tcPr>
          <w:p w14:paraId="75832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М-106П с</w:t>
            </w:r>
          </w:p>
        </w:tc>
        <w:tc>
          <w:tcPr>
            <w:tcW w:w="431" w:type="dxa"/>
            <w:tcBorders>
              <w:top w:val="single" w:sz="6" w:space="0" w:color="auto"/>
              <w:left w:val="single" w:sz="6" w:space="0" w:color="auto"/>
              <w:bottom w:val="single" w:sz="6" w:space="0" w:color="auto"/>
              <w:right w:val="single" w:sz="6" w:space="0" w:color="auto"/>
            </w:tcBorders>
          </w:tcPr>
          <w:p w14:paraId="44D29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D11C1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3C5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317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9C77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D77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EA9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1575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1F7E29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614BB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45C08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9BA4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A2DE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31C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C4D44E" w14:textId="77777777" w:rsidTr="00ED5B0A">
        <w:tc>
          <w:tcPr>
            <w:tcW w:w="1242" w:type="dxa"/>
            <w:tcBorders>
              <w:top w:val="single" w:sz="6" w:space="0" w:color="auto"/>
              <w:left w:val="single" w:sz="6" w:space="0" w:color="auto"/>
              <w:bottom w:val="single" w:sz="6" w:space="0" w:color="auto"/>
              <w:right w:val="single" w:sz="6" w:space="0" w:color="auto"/>
            </w:tcBorders>
          </w:tcPr>
          <w:p w14:paraId="6906FB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односкор.</w:t>
            </w:r>
          </w:p>
        </w:tc>
        <w:tc>
          <w:tcPr>
            <w:tcW w:w="431" w:type="dxa"/>
            <w:tcBorders>
              <w:top w:val="single" w:sz="6" w:space="0" w:color="auto"/>
              <w:left w:val="single" w:sz="6" w:space="0" w:color="auto"/>
              <w:bottom w:val="single" w:sz="6" w:space="0" w:color="auto"/>
              <w:right w:val="single" w:sz="6" w:space="0" w:color="auto"/>
            </w:tcBorders>
          </w:tcPr>
          <w:p w14:paraId="4BE6B0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C10C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945C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89D3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8E04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444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690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DA4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25F2DA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C07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A71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FA84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BFA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BF87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E318B2" w14:textId="77777777" w:rsidTr="00ED5B0A">
        <w:tc>
          <w:tcPr>
            <w:tcW w:w="1242" w:type="dxa"/>
            <w:tcBorders>
              <w:top w:val="single" w:sz="6" w:space="0" w:color="auto"/>
              <w:left w:val="single" w:sz="6" w:space="0" w:color="auto"/>
              <w:bottom w:val="single" w:sz="6" w:space="0" w:color="auto"/>
              <w:right w:val="single" w:sz="6" w:space="0" w:color="auto"/>
            </w:tcBorders>
          </w:tcPr>
          <w:p w14:paraId="2711BA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w:t>
            </w:r>
          </w:p>
        </w:tc>
        <w:tc>
          <w:tcPr>
            <w:tcW w:w="431" w:type="dxa"/>
            <w:tcBorders>
              <w:top w:val="single" w:sz="6" w:space="0" w:color="auto"/>
              <w:left w:val="single" w:sz="6" w:space="0" w:color="auto"/>
              <w:bottom w:val="single" w:sz="6" w:space="0" w:color="auto"/>
              <w:right w:val="single" w:sz="6" w:space="0" w:color="auto"/>
            </w:tcBorders>
          </w:tcPr>
          <w:p w14:paraId="6E225A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6E57E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3DC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BE39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AAF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17B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5185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EC2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5C2D6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B55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1C39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CBD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1873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128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55AB9A" w14:textId="77777777" w:rsidTr="00ED5B0A">
        <w:tc>
          <w:tcPr>
            <w:tcW w:w="1242" w:type="dxa"/>
            <w:tcBorders>
              <w:top w:val="single" w:sz="6" w:space="0" w:color="auto"/>
              <w:left w:val="single" w:sz="6" w:space="0" w:color="auto"/>
              <w:bottom w:val="single" w:sz="6" w:space="0" w:color="auto"/>
              <w:right w:val="single" w:sz="6" w:space="0" w:color="auto"/>
            </w:tcBorders>
          </w:tcPr>
          <w:p w14:paraId="01375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424E2B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BDBBE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2B3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E3E8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E23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6CC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6847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98C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65B91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908D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EEB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D11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938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E49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357497" w14:textId="77777777" w:rsidTr="00ED5B0A">
        <w:tc>
          <w:tcPr>
            <w:tcW w:w="1242" w:type="dxa"/>
            <w:tcBorders>
              <w:top w:val="single" w:sz="6" w:space="0" w:color="auto"/>
              <w:left w:val="single" w:sz="6" w:space="0" w:color="auto"/>
              <w:bottom w:val="single" w:sz="6" w:space="0" w:color="auto"/>
              <w:right w:val="single" w:sz="6" w:space="0" w:color="auto"/>
            </w:tcBorders>
          </w:tcPr>
          <w:p w14:paraId="0FA51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4B105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2796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FC2C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E8F4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4F52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1AE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3AD3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E2DC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31F2F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E792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8637F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0F0F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D5C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60F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47793C" w14:textId="77777777" w:rsidTr="00ED5B0A">
        <w:tc>
          <w:tcPr>
            <w:tcW w:w="1242" w:type="dxa"/>
            <w:tcBorders>
              <w:top w:val="single" w:sz="6" w:space="0" w:color="auto"/>
              <w:left w:val="single" w:sz="6" w:space="0" w:color="auto"/>
              <w:bottom w:val="single" w:sz="6" w:space="0" w:color="auto"/>
              <w:right w:val="single" w:sz="6" w:space="0" w:color="auto"/>
            </w:tcBorders>
          </w:tcPr>
          <w:p w14:paraId="10C68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2C2DC2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727B6D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w:t>
            </w:r>
          </w:p>
        </w:tc>
        <w:tc>
          <w:tcPr>
            <w:tcW w:w="567" w:type="dxa"/>
            <w:tcBorders>
              <w:top w:val="single" w:sz="6" w:space="0" w:color="auto"/>
              <w:left w:val="single" w:sz="6" w:space="0" w:color="auto"/>
              <w:bottom w:val="single" w:sz="6" w:space="0" w:color="auto"/>
              <w:right w:val="single" w:sz="6" w:space="0" w:color="auto"/>
            </w:tcBorders>
          </w:tcPr>
          <w:p w14:paraId="042F5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567" w:type="dxa"/>
            <w:tcBorders>
              <w:top w:val="single" w:sz="6" w:space="0" w:color="auto"/>
              <w:left w:val="single" w:sz="6" w:space="0" w:color="auto"/>
              <w:bottom w:val="single" w:sz="6" w:space="0" w:color="auto"/>
              <w:right w:val="single" w:sz="6" w:space="0" w:color="auto"/>
            </w:tcBorders>
          </w:tcPr>
          <w:p w14:paraId="2713F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44E93B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428B57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tc>
        <w:tc>
          <w:tcPr>
            <w:tcW w:w="783" w:type="dxa"/>
            <w:tcBorders>
              <w:top w:val="single" w:sz="6" w:space="0" w:color="auto"/>
              <w:left w:val="single" w:sz="6" w:space="0" w:color="auto"/>
              <w:bottom w:val="single" w:sz="6" w:space="0" w:color="auto"/>
              <w:right w:val="single" w:sz="6" w:space="0" w:color="auto"/>
            </w:tcBorders>
          </w:tcPr>
          <w:p w14:paraId="76B764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7487FB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1FCC5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7C77C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927E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2BD74D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7DD5BC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BABF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BE98B6" w14:textId="77777777" w:rsidTr="00ED5B0A">
        <w:tc>
          <w:tcPr>
            <w:tcW w:w="1242" w:type="dxa"/>
            <w:tcBorders>
              <w:top w:val="single" w:sz="6" w:space="0" w:color="auto"/>
              <w:left w:val="single" w:sz="6" w:space="0" w:color="auto"/>
              <w:bottom w:val="single" w:sz="6" w:space="0" w:color="auto"/>
              <w:right w:val="single" w:sz="6" w:space="0" w:color="auto"/>
            </w:tcBorders>
          </w:tcPr>
          <w:p w14:paraId="5402D0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w:t>
            </w:r>
          </w:p>
        </w:tc>
        <w:tc>
          <w:tcPr>
            <w:tcW w:w="431" w:type="dxa"/>
            <w:tcBorders>
              <w:top w:val="single" w:sz="6" w:space="0" w:color="auto"/>
              <w:left w:val="single" w:sz="6" w:space="0" w:color="auto"/>
              <w:bottom w:val="single" w:sz="6" w:space="0" w:color="auto"/>
              <w:right w:val="single" w:sz="6" w:space="0" w:color="auto"/>
            </w:tcBorders>
          </w:tcPr>
          <w:p w14:paraId="0B153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7662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716E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7EA2E8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CA0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AB3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3E51A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179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6C7ADF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0DF9B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D59E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0B59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7D05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4D2C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75A50A" w14:textId="77777777" w:rsidTr="00ED5B0A">
        <w:tc>
          <w:tcPr>
            <w:tcW w:w="1242" w:type="dxa"/>
            <w:tcBorders>
              <w:top w:val="single" w:sz="6" w:space="0" w:color="auto"/>
              <w:left w:val="single" w:sz="6" w:space="0" w:color="auto"/>
              <w:bottom w:val="single" w:sz="6" w:space="0" w:color="auto"/>
              <w:right w:val="single" w:sz="6" w:space="0" w:color="auto"/>
            </w:tcBorders>
          </w:tcPr>
          <w:p w14:paraId="5CF55F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М-106П с</w:t>
            </w:r>
          </w:p>
        </w:tc>
        <w:tc>
          <w:tcPr>
            <w:tcW w:w="431" w:type="dxa"/>
            <w:tcBorders>
              <w:top w:val="single" w:sz="6" w:space="0" w:color="auto"/>
              <w:left w:val="single" w:sz="6" w:space="0" w:color="auto"/>
              <w:bottom w:val="single" w:sz="6" w:space="0" w:color="auto"/>
              <w:right w:val="single" w:sz="6" w:space="0" w:color="auto"/>
            </w:tcBorders>
          </w:tcPr>
          <w:p w14:paraId="4C5017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7993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3C6E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757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F565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D50B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D95D8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890FA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7CD76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F7B4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868E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7E0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F78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130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83797E" w14:textId="77777777" w:rsidTr="00ED5B0A">
        <w:tc>
          <w:tcPr>
            <w:tcW w:w="1242" w:type="dxa"/>
            <w:tcBorders>
              <w:top w:val="single" w:sz="6" w:space="0" w:color="auto"/>
              <w:left w:val="single" w:sz="6" w:space="0" w:color="auto"/>
              <w:bottom w:val="single" w:sz="6" w:space="0" w:color="auto"/>
              <w:right w:val="single" w:sz="6" w:space="0" w:color="auto"/>
            </w:tcBorders>
          </w:tcPr>
          <w:p w14:paraId="0D491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Двухскор.</w:t>
            </w:r>
          </w:p>
        </w:tc>
        <w:tc>
          <w:tcPr>
            <w:tcW w:w="431" w:type="dxa"/>
            <w:tcBorders>
              <w:top w:val="single" w:sz="6" w:space="0" w:color="auto"/>
              <w:left w:val="single" w:sz="6" w:space="0" w:color="auto"/>
              <w:bottom w:val="single" w:sz="6" w:space="0" w:color="auto"/>
              <w:right w:val="single" w:sz="6" w:space="0" w:color="auto"/>
            </w:tcBorders>
          </w:tcPr>
          <w:p w14:paraId="490F62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40A7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1731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8D1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6E34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C196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ADC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D4B0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1773D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825A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1E4B3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DB56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92F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69B6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CA4C60" w14:textId="77777777" w:rsidTr="00ED5B0A">
        <w:tc>
          <w:tcPr>
            <w:tcW w:w="1242" w:type="dxa"/>
            <w:tcBorders>
              <w:top w:val="single" w:sz="6" w:space="0" w:color="auto"/>
              <w:left w:val="single" w:sz="6" w:space="0" w:color="auto"/>
              <w:bottom w:val="single" w:sz="6" w:space="0" w:color="auto"/>
              <w:right w:val="single" w:sz="6" w:space="0" w:color="auto"/>
            </w:tcBorders>
          </w:tcPr>
          <w:p w14:paraId="15D8C8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w:t>
            </w:r>
          </w:p>
        </w:tc>
        <w:tc>
          <w:tcPr>
            <w:tcW w:w="431" w:type="dxa"/>
            <w:tcBorders>
              <w:top w:val="single" w:sz="6" w:space="0" w:color="auto"/>
              <w:left w:val="single" w:sz="6" w:space="0" w:color="auto"/>
              <w:bottom w:val="single" w:sz="6" w:space="0" w:color="auto"/>
              <w:right w:val="single" w:sz="6" w:space="0" w:color="auto"/>
            </w:tcBorders>
          </w:tcPr>
          <w:p w14:paraId="38941F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5855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8750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C530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D53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634B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6404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1A3B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E6547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E6BD0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9312F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00B2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DA75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EA8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633F9F" w14:textId="77777777" w:rsidTr="00ED5B0A">
        <w:tc>
          <w:tcPr>
            <w:tcW w:w="1242" w:type="dxa"/>
            <w:tcBorders>
              <w:top w:val="single" w:sz="6" w:space="0" w:color="auto"/>
              <w:left w:val="single" w:sz="6" w:space="0" w:color="auto"/>
              <w:bottom w:val="single" w:sz="6" w:space="0" w:color="auto"/>
              <w:right w:val="single" w:sz="6" w:space="0" w:color="auto"/>
            </w:tcBorders>
          </w:tcPr>
          <w:p w14:paraId="55E0F8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высотн.</w:t>
            </w:r>
          </w:p>
        </w:tc>
        <w:tc>
          <w:tcPr>
            <w:tcW w:w="431" w:type="dxa"/>
            <w:tcBorders>
              <w:top w:val="single" w:sz="6" w:space="0" w:color="auto"/>
              <w:left w:val="single" w:sz="6" w:space="0" w:color="auto"/>
              <w:bottom w:val="single" w:sz="6" w:space="0" w:color="auto"/>
              <w:right w:val="single" w:sz="6" w:space="0" w:color="auto"/>
            </w:tcBorders>
          </w:tcPr>
          <w:p w14:paraId="32A97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8911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60A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27E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0CA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B46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CD9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D8B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2195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2119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EE52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D93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306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A36B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6C20B6" w14:textId="77777777" w:rsidTr="00ED5B0A">
        <w:tc>
          <w:tcPr>
            <w:tcW w:w="1242" w:type="dxa"/>
            <w:tcBorders>
              <w:top w:val="single" w:sz="6" w:space="0" w:color="auto"/>
              <w:left w:val="single" w:sz="6" w:space="0" w:color="auto"/>
              <w:bottom w:val="single" w:sz="6" w:space="0" w:color="auto"/>
              <w:right w:val="single" w:sz="6" w:space="0" w:color="auto"/>
            </w:tcBorders>
          </w:tcPr>
          <w:p w14:paraId="698C8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4E275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5706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6EB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CE9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B127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8A2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4DDA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9BC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045D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2A9A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9EE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AD3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E3A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B6E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9CC788" w14:textId="77777777" w:rsidTr="00ED5B0A">
        <w:tc>
          <w:tcPr>
            <w:tcW w:w="1242" w:type="dxa"/>
            <w:tcBorders>
              <w:top w:val="single" w:sz="6" w:space="0" w:color="auto"/>
              <w:left w:val="single" w:sz="6" w:space="0" w:color="auto"/>
              <w:bottom w:val="single" w:sz="6" w:space="0" w:color="auto"/>
              <w:right w:val="single" w:sz="6" w:space="0" w:color="auto"/>
            </w:tcBorders>
          </w:tcPr>
          <w:p w14:paraId="392FC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w:t>
            </w:r>
          </w:p>
        </w:tc>
        <w:tc>
          <w:tcPr>
            <w:tcW w:w="431" w:type="dxa"/>
            <w:tcBorders>
              <w:top w:val="single" w:sz="6" w:space="0" w:color="auto"/>
              <w:left w:val="single" w:sz="6" w:space="0" w:color="auto"/>
              <w:bottom w:val="single" w:sz="6" w:space="0" w:color="auto"/>
              <w:right w:val="single" w:sz="6" w:space="0" w:color="auto"/>
            </w:tcBorders>
          </w:tcPr>
          <w:p w14:paraId="7939F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961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087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0E1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663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C74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4C1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050E7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ABEDF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79BE7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31A7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9F247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B960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C1D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7EB970" w14:textId="77777777" w:rsidTr="00ED5B0A">
        <w:tc>
          <w:tcPr>
            <w:tcW w:w="1242" w:type="dxa"/>
            <w:tcBorders>
              <w:top w:val="single" w:sz="6" w:space="0" w:color="auto"/>
              <w:left w:val="single" w:sz="6" w:space="0" w:color="auto"/>
              <w:bottom w:val="single" w:sz="6" w:space="0" w:color="auto"/>
              <w:right w:val="single" w:sz="6" w:space="0" w:color="auto"/>
            </w:tcBorders>
          </w:tcPr>
          <w:p w14:paraId="2F9F6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кабины</w:t>
            </w:r>
          </w:p>
        </w:tc>
        <w:tc>
          <w:tcPr>
            <w:tcW w:w="431" w:type="dxa"/>
            <w:tcBorders>
              <w:top w:val="single" w:sz="6" w:space="0" w:color="auto"/>
              <w:left w:val="single" w:sz="6" w:space="0" w:color="auto"/>
              <w:bottom w:val="single" w:sz="6" w:space="0" w:color="auto"/>
              <w:right w:val="single" w:sz="6" w:space="0" w:color="auto"/>
            </w:tcBorders>
          </w:tcPr>
          <w:p w14:paraId="1067B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DEF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6EE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D657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EAE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540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0D34B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00B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7404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93AF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5FF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E4F7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F995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DC6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BB1A41" w14:textId="77777777" w:rsidTr="00ED5B0A">
        <w:tc>
          <w:tcPr>
            <w:tcW w:w="1242" w:type="dxa"/>
            <w:tcBorders>
              <w:top w:val="single" w:sz="6" w:space="0" w:color="auto"/>
              <w:left w:val="single" w:sz="6" w:space="0" w:color="auto"/>
              <w:bottom w:val="single" w:sz="6" w:space="0" w:color="auto"/>
              <w:right w:val="single" w:sz="6" w:space="0" w:color="auto"/>
            </w:tcBorders>
          </w:tcPr>
          <w:p w14:paraId="149CC0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CA10E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C08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DD4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9B98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CF5B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EA1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528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E301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6B6C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DB49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3164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EFA1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265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29B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93EE76" w14:textId="77777777" w:rsidTr="00ED5B0A">
        <w:tc>
          <w:tcPr>
            <w:tcW w:w="1242" w:type="dxa"/>
            <w:tcBorders>
              <w:top w:val="single" w:sz="6" w:space="0" w:color="auto"/>
              <w:left w:val="single" w:sz="6" w:space="0" w:color="auto"/>
              <w:bottom w:val="single" w:sz="6" w:space="0" w:color="auto"/>
              <w:right w:val="single" w:sz="6" w:space="0" w:color="auto"/>
            </w:tcBorders>
          </w:tcPr>
          <w:p w14:paraId="60EB2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395F99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7F89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B97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437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FABB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AF4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52C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215E0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C534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2A4B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47C2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AC6A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6F27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3A4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FA2BDC" w14:textId="77777777" w:rsidTr="00ED5B0A">
        <w:tc>
          <w:tcPr>
            <w:tcW w:w="1242" w:type="dxa"/>
            <w:tcBorders>
              <w:top w:val="single" w:sz="6" w:space="0" w:color="auto"/>
              <w:left w:val="single" w:sz="6" w:space="0" w:color="auto"/>
              <w:bottom w:val="single" w:sz="6" w:space="0" w:color="auto"/>
              <w:right w:val="single" w:sz="6" w:space="0" w:color="auto"/>
            </w:tcBorders>
          </w:tcPr>
          <w:p w14:paraId="5A2FE3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w:t>
            </w:r>
          </w:p>
        </w:tc>
        <w:tc>
          <w:tcPr>
            <w:tcW w:w="431" w:type="dxa"/>
            <w:tcBorders>
              <w:top w:val="single" w:sz="6" w:space="0" w:color="auto"/>
              <w:left w:val="single" w:sz="6" w:space="0" w:color="auto"/>
              <w:bottom w:val="single" w:sz="6" w:space="0" w:color="auto"/>
              <w:right w:val="single" w:sz="6" w:space="0" w:color="auto"/>
            </w:tcBorders>
          </w:tcPr>
          <w:p w14:paraId="7A268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31B8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567" w:type="dxa"/>
            <w:tcBorders>
              <w:top w:val="single" w:sz="6" w:space="0" w:color="auto"/>
              <w:left w:val="single" w:sz="6" w:space="0" w:color="auto"/>
              <w:bottom w:val="single" w:sz="6" w:space="0" w:color="auto"/>
              <w:right w:val="single" w:sz="6" w:space="0" w:color="auto"/>
            </w:tcBorders>
          </w:tcPr>
          <w:p w14:paraId="424A02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c>
          <w:tcPr>
            <w:tcW w:w="567" w:type="dxa"/>
            <w:tcBorders>
              <w:top w:val="single" w:sz="6" w:space="0" w:color="auto"/>
              <w:left w:val="single" w:sz="6" w:space="0" w:color="auto"/>
              <w:bottom w:val="single" w:sz="6" w:space="0" w:color="auto"/>
              <w:right w:val="single" w:sz="6" w:space="0" w:color="auto"/>
            </w:tcBorders>
          </w:tcPr>
          <w:p w14:paraId="2C47A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tc>
        <w:tc>
          <w:tcPr>
            <w:tcW w:w="709" w:type="dxa"/>
            <w:tcBorders>
              <w:top w:val="single" w:sz="6" w:space="0" w:color="auto"/>
              <w:left w:val="single" w:sz="6" w:space="0" w:color="auto"/>
              <w:bottom w:val="single" w:sz="6" w:space="0" w:color="auto"/>
              <w:right w:val="single" w:sz="6" w:space="0" w:color="auto"/>
            </w:tcBorders>
          </w:tcPr>
          <w:p w14:paraId="53773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2095FE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w:t>
            </w:r>
          </w:p>
        </w:tc>
        <w:tc>
          <w:tcPr>
            <w:tcW w:w="783" w:type="dxa"/>
            <w:tcBorders>
              <w:top w:val="single" w:sz="6" w:space="0" w:color="auto"/>
              <w:left w:val="single" w:sz="6" w:space="0" w:color="auto"/>
              <w:bottom w:val="single" w:sz="6" w:space="0" w:color="auto"/>
              <w:right w:val="single" w:sz="6" w:space="0" w:color="auto"/>
            </w:tcBorders>
          </w:tcPr>
          <w:p w14:paraId="3561AC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7F2870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4D7E6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068D4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4E52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16E1B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15.VI.43</w:t>
            </w:r>
          </w:p>
        </w:tc>
        <w:tc>
          <w:tcPr>
            <w:tcW w:w="621" w:type="dxa"/>
            <w:tcBorders>
              <w:top w:val="single" w:sz="6" w:space="0" w:color="auto"/>
              <w:left w:val="single" w:sz="6" w:space="0" w:color="auto"/>
              <w:bottom w:val="single" w:sz="6" w:space="0" w:color="auto"/>
              <w:right w:val="single" w:sz="6" w:space="0" w:color="auto"/>
            </w:tcBorders>
          </w:tcPr>
          <w:p w14:paraId="6BF26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47C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EBB499" w14:textId="77777777" w:rsidTr="00ED5B0A">
        <w:tc>
          <w:tcPr>
            <w:tcW w:w="1242" w:type="dxa"/>
            <w:tcBorders>
              <w:top w:val="single" w:sz="6" w:space="0" w:color="auto"/>
              <w:left w:val="single" w:sz="6" w:space="0" w:color="auto"/>
              <w:bottom w:val="single" w:sz="6" w:space="0" w:color="auto"/>
              <w:right w:val="single" w:sz="6" w:space="0" w:color="auto"/>
            </w:tcBorders>
          </w:tcPr>
          <w:p w14:paraId="65715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w:t>
            </w:r>
          </w:p>
        </w:tc>
        <w:tc>
          <w:tcPr>
            <w:tcW w:w="431" w:type="dxa"/>
            <w:tcBorders>
              <w:top w:val="single" w:sz="6" w:space="0" w:color="auto"/>
              <w:left w:val="single" w:sz="6" w:space="0" w:color="auto"/>
              <w:bottom w:val="single" w:sz="6" w:space="0" w:color="auto"/>
              <w:right w:val="single" w:sz="6" w:space="0" w:color="auto"/>
            </w:tcBorders>
          </w:tcPr>
          <w:p w14:paraId="484E05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24F6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22B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5900</w:t>
            </w:r>
          </w:p>
        </w:tc>
        <w:tc>
          <w:tcPr>
            <w:tcW w:w="567" w:type="dxa"/>
            <w:tcBorders>
              <w:top w:val="single" w:sz="6" w:space="0" w:color="auto"/>
              <w:left w:val="single" w:sz="6" w:space="0" w:color="auto"/>
              <w:bottom w:val="single" w:sz="6" w:space="0" w:color="auto"/>
              <w:right w:val="single" w:sz="6" w:space="0" w:color="auto"/>
            </w:tcBorders>
          </w:tcPr>
          <w:p w14:paraId="537B0A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5171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6FF2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B1A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8FBA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A03A6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1301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91E13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EB1C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BCE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586A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1C7030" w14:textId="77777777" w:rsidTr="00ED5B0A">
        <w:tc>
          <w:tcPr>
            <w:tcW w:w="1242" w:type="dxa"/>
            <w:tcBorders>
              <w:top w:val="single" w:sz="6" w:space="0" w:color="auto"/>
              <w:left w:val="single" w:sz="6" w:space="0" w:color="auto"/>
              <w:bottom w:val="single" w:sz="6" w:space="0" w:color="auto"/>
              <w:right w:val="single" w:sz="6" w:space="0" w:color="auto"/>
            </w:tcBorders>
          </w:tcPr>
          <w:p w14:paraId="387C38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c>
          <w:tcPr>
            <w:tcW w:w="431" w:type="dxa"/>
            <w:tcBorders>
              <w:top w:val="single" w:sz="6" w:space="0" w:color="auto"/>
              <w:left w:val="single" w:sz="6" w:space="0" w:color="auto"/>
              <w:bottom w:val="single" w:sz="6" w:space="0" w:color="auto"/>
              <w:right w:val="single" w:sz="6" w:space="0" w:color="auto"/>
            </w:tcBorders>
          </w:tcPr>
          <w:p w14:paraId="108349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B7B2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37B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7B3A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B83E6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217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355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4E1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4DC528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FAE6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8AE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E30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0C7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463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5EF87A" w14:textId="77777777" w:rsidTr="00ED5B0A">
        <w:tc>
          <w:tcPr>
            <w:tcW w:w="1242" w:type="dxa"/>
            <w:tcBorders>
              <w:top w:val="single" w:sz="6" w:space="0" w:color="auto"/>
              <w:left w:val="single" w:sz="6" w:space="0" w:color="auto"/>
              <w:bottom w:val="single" w:sz="6" w:space="0" w:color="auto"/>
              <w:right w:val="single" w:sz="6" w:space="0" w:color="auto"/>
            </w:tcBorders>
          </w:tcPr>
          <w:p w14:paraId="14089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97658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4013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262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193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0D5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D14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CF70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20F0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08AFF1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0CCA2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8AC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D8E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DF6F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C0FA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2B3F11" w14:textId="77777777" w:rsidTr="00ED5B0A">
        <w:tc>
          <w:tcPr>
            <w:tcW w:w="1242" w:type="dxa"/>
            <w:tcBorders>
              <w:top w:val="single" w:sz="6" w:space="0" w:color="auto"/>
              <w:left w:val="single" w:sz="6" w:space="0" w:color="auto"/>
              <w:bottom w:val="single" w:sz="6" w:space="0" w:color="auto"/>
              <w:right w:val="single" w:sz="6" w:space="0" w:color="auto"/>
            </w:tcBorders>
          </w:tcPr>
          <w:p w14:paraId="2E6F2A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w:t>
            </w:r>
          </w:p>
        </w:tc>
        <w:tc>
          <w:tcPr>
            <w:tcW w:w="431" w:type="dxa"/>
            <w:tcBorders>
              <w:top w:val="single" w:sz="6" w:space="0" w:color="auto"/>
              <w:left w:val="single" w:sz="6" w:space="0" w:color="auto"/>
              <w:bottom w:val="single" w:sz="6" w:space="0" w:color="auto"/>
              <w:right w:val="single" w:sz="6" w:space="0" w:color="auto"/>
            </w:tcBorders>
          </w:tcPr>
          <w:p w14:paraId="79BB6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ED9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FA9B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3B7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4C7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84B6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479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83B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5401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BFB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45D4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985DD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9C8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AC1E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8B71A4" w14:textId="77777777" w:rsidTr="00ED5B0A">
        <w:tc>
          <w:tcPr>
            <w:tcW w:w="1242" w:type="dxa"/>
            <w:tcBorders>
              <w:top w:val="single" w:sz="6" w:space="0" w:color="auto"/>
              <w:left w:val="single" w:sz="6" w:space="0" w:color="auto"/>
              <w:bottom w:val="single" w:sz="6" w:space="0" w:color="auto"/>
              <w:right w:val="single" w:sz="6" w:space="0" w:color="auto"/>
            </w:tcBorders>
          </w:tcPr>
          <w:p w14:paraId="061F48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9243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C88B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25A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679FD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F42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0BA2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5F8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AA0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6C6EC2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187F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CD78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9EFF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CDD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429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56548C" w14:textId="77777777" w:rsidTr="00ED5B0A">
        <w:tc>
          <w:tcPr>
            <w:tcW w:w="1242" w:type="dxa"/>
            <w:tcBorders>
              <w:top w:val="single" w:sz="6" w:space="0" w:color="auto"/>
              <w:left w:val="single" w:sz="6" w:space="0" w:color="auto"/>
              <w:bottom w:val="single" w:sz="6" w:space="0" w:color="auto"/>
              <w:right w:val="single" w:sz="6" w:space="0" w:color="auto"/>
            </w:tcBorders>
          </w:tcPr>
          <w:p w14:paraId="22935A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0A120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03" w:type="dxa"/>
            <w:tcBorders>
              <w:top w:val="single" w:sz="6" w:space="0" w:color="auto"/>
              <w:left w:val="single" w:sz="6" w:space="0" w:color="auto"/>
              <w:bottom w:val="single" w:sz="6" w:space="0" w:color="auto"/>
              <w:right w:val="single" w:sz="6" w:space="0" w:color="auto"/>
            </w:tcBorders>
          </w:tcPr>
          <w:p w14:paraId="700985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w:t>
            </w:r>
          </w:p>
        </w:tc>
        <w:tc>
          <w:tcPr>
            <w:tcW w:w="567" w:type="dxa"/>
            <w:tcBorders>
              <w:top w:val="single" w:sz="6" w:space="0" w:color="auto"/>
              <w:left w:val="single" w:sz="6" w:space="0" w:color="auto"/>
              <w:bottom w:val="single" w:sz="6" w:space="0" w:color="auto"/>
              <w:right w:val="single" w:sz="6" w:space="0" w:color="auto"/>
            </w:tcBorders>
          </w:tcPr>
          <w:p w14:paraId="386352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w:t>
            </w:r>
          </w:p>
        </w:tc>
        <w:tc>
          <w:tcPr>
            <w:tcW w:w="567" w:type="dxa"/>
            <w:tcBorders>
              <w:top w:val="single" w:sz="6" w:space="0" w:color="auto"/>
              <w:left w:val="single" w:sz="6" w:space="0" w:color="auto"/>
              <w:bottom w:val="single" w:sz="6" w:space="0" w:color="auto"/>
              <w:right w:val="single" w:sz="6" w:space="0" w:color="auto"/>
            </w:tcBorders>
          </w:tcPr>
          <w:p w14:paraId="555A1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7D5BB6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Одинак.</w:t>
            </w:r>
          </w:p>
        </w:tc>
        <w:tc>
          <w:tcPr>
            <w:tcW w:w="783" w:type="dxa"/>
            <w:tcBorders>
              <w:top w:val="single" w:sz="6" w:space="0" w:color="auto"/>
              <w:left w:val="single" w:sz="6" w:space="0" w:color="auto"/>
              <w:bottom w:val="single" w:sz="6" w:space="0" w:color="auto"/>
              <w:right w:val="single" w:sz="6" w:space="0" w:color="auto"/>
            </w:tcBorders>
          </w:tcPr>
          <w:p w14:paraId="426E55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21/1000</w:t>
            </w:r>
          </w:p>
        </w:tc>
        <w:tc>
          <w:tcPr>
            <w:tcW w:w="783" w:type="dxa"/>
            <w:tcBorders>
              <w:top w:val="single" w:sz="6" w:space="0" w:color="auto"/>
              <w:left w:val="single" w:sz="6" w:space="0" w:color="auto"/>
              <w:bottom w:val="single" w:sz="6" w:space="0" w:color="auto"/>
              <w:right w:val="single" w:sz="6" w:space="0" w:color="auto"/>
            </w:tcBorders>
          </w:tcPr>
          <w:p w14:paraId="1DD52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1123" w:type="dxa"/>
            <w:tcBorders>
              <w:top w:val="single" w:sz="6" w:space="0" w:color="auto"/>
              <w:left w:val="single" w:sz="6" w:space="0" w:color="auto"/>
              <w:bottom w:val="single" w:sz="6" w:space="0" w:color="auto"/>
              <w:right w:val="single" w:sz="6" w:space="0" w:color="auto"/>
            </w:tcBorders>
          </w:tcPr>
          <w:p w14:paraId="1625D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44DF0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3BCBC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2F14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4E852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летн.</w:t>
            </w:r>
          </w:p>
        </w:tc>
        <w:tc>
          <w:tcPr>
            <w:tcW w:w="621" w:type="dxa"/>
            <w:tcBorders>
              <w:top w:val="single" w:sz="6" w:space="0" w:color="auto"/>
              <w:left w:val="single" w:sz="6" w:space="0" w:color="auto"/>
              <w:bottom w:val="single" w:sz="6" w:space="0" w:color="auto"/>
              <w:right w:val="single" w:sz="6" w:space="0" w:color="auto"/>
            </w:tcBorders>
          </w:tcPr>
          <w:p w14:paraId="661AA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экз. </w:t>
            </w:r>
          </w:p>
        </w:tc>
        <w:tc>
          <w:tcPr>
            <w:tcW w:w="621" w:type="dxa"/>
            <w:tcBorders>
              <w:top w:val="single" w:sz="6" w:space="0" w:color="auto"/>
              <w:left w:val="single" w:sz="6" w:space="0" w:color="auto"/>
              <w:bottom w:val="single" w:sz="6" w:space="0" w:color="auto"/>
              <w:right w:val="single" w:sz="6" w:space="0" w:color="auto"/>
            </w:tcBorders>
          </w:tcPr>
          <w:p w14:paraId="28515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008D89" w14:textId="77777777" w:rsidTr="00ED5B0A">
        <w:tc>
          <w:tcPr>
            <w:tcW w:w="1242" w:type="dxa"/>
            <w:tcBorders>
              <w:top w:val="single" w:sz="6" w:space="0" w:color="auto"/>
              <w:left w:val="single" w:sz="6" w:space="0" w:color="auto"/>
              <w:bottom w:val="single" w:sz="6" w:space="0" w:color="auto"/>
              <w:right w:val="single" w:sz="6" w:space="0" w:color="auto"/>
            </w:tcBorders>
          </w:tcPr>
          <w:p w14:paraId="31F65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w:t>
            </w:r>
          </w:p>
        </w:tc>
        <w:tc>
          <w:tcPr>
            <w:tcW w:w="431" w:type="dxa"/>
            <w:tcBorders>
              <w:top w:val="single" w:sz="6" w:space="0" w:color="auto"/>
              <w:left w:val="single" w:sz="6" w:space="0" w:color="auto"/>
              <w:bottom w:val="single" w:sz="6" w:space="0" w:color="auto"/>
              <w:right w:val="single" w:sz="6" w:space="0" w:color="auto"/>
            </w:tcBorders>
          </w:tcPr>
          <w:p w14:paraId="518D8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DF4B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567" w:type="dxa"/>
            <w:tcBorders>
              <w:top w:val="single" w:sz="6" w:space="0" w:color="auto"/>
              <w:left w:val="single" w:sz="6" w:space="0" w:color="auto"/>
              <w:bottom w:val="single" w:sz="6" w:space="0" w:color="auto"/>
              <w:right w:val="single" w:sz="6" w:space="0" w:color="auto"/>
            </w:tcBorders>
          </w:tcPr>
          <w:p w14:paraId="711D8A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4C1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709" w:type="dxa"/>
            <w:tcBorders>
              <w:top w:val="single" w:sz="6" w:space="0" w:color="auto"/>
              <w:left w:val="single" w:sz="6" w:space="0" w:color="auto"/>
              <w:bottom w:val="single" w:sz="6" w:space="0" w:color="auto"/>
              <w:right w:val="single" w:sz="6" w:space="0" w:color="auto"/>
            </w:tcBorders>
          </w:tcPr>
          <w:p w14:paraId="23149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98D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B61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AA1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B93A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7EC5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C704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4F1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испыт. </w:t>
            </w:r>
          </w:p>
        </w:tc>
        <w:tc>
          <w:tcPr>
            <w:tcW w:w="621" w:type="dxa"/>
            <w:tcBorders>
              <w:top w:val="single" w:sz="6" w:space="0" w:color="auto"/>
              <w:left w:val="single" w:sz="6" w:space="0" w:color="auto"/>
              <w:bottom w:val="single" w:sz="6" w:space="0" w:color="auto"/>
              <w:right w:val="single" w:sz="6" w:space="0" w:color="auto"/>
            </w:tcBorders>
          </w:tcPr>
          <w:p w14:paraId="083B3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 без</w:t>
            </w:r>
          </w:p>
        </w:tc>
        <w:tc>
          <w:tcPr>
            <w:tcW w:w="621" w:type="dxa"/>
            <w:tcBorders>
              <w:top w:val="single" w:sz="6" w:space="0" w:color="auto"/>
              <w:left w:val="single" w:sz="6" w:space="0" w:color="auto"/>
              <w:bottom w:val="single" w:sz="6" w:space="0" w:color="auto"/>
              <w:right w:val="single" w:sz="6" w:space="0" w:color="auto"/>
            </w:tcBorders>
          </w:tcPr>
          <w:p w14:paraId="63CDFA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7EE9D4" w14:textId="77777777" w:rsidTr="00ED5B0A">
        <w:tc>
          <w:tcPr>
            <w:tcW w:w="1242" w:type="dxa"/>
            <w:tcBorders>
              <w:top w:val="single" w:sz="6" w:space="0" w:color="auto"/>
              <w:left w:val="single" w:sz="6" w:space="0" w:color="auto"/>
              <w:bottom w:val="single" w:sz="6" w:space="0" w:color="auto"/>
              <w:right w:val="single" w:sz="6" w:space="0" w:color="auto"/>
            </w:tcBorders>
          </w:tcPr>
          <w:p w14:paraId="6042B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высотный</w:t>
            </w:r>
          </w:p>
        </w:tc>
        <w:tc>
          <w:tcPr>
            <w:tcW w:w="431" w:type="dxa"/>
            <w:tcBorders>
              <w:top w:val="single" w:sz="6" w:space="0" w:color="auto"/>
              <w:left w:val="single" w:sz="6" w:space="0" w:color="auto"/>
              <w:bottom w:val="single" w:sz="6" w:space="0" w:color="auto"/>
              <w:right w:val="single" w:sz="6" w:space="0" w:color="auto"/>
            </w:tcBorders>
          </w:tcPr>
          <w:p w14:paraId="7A3FD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DF46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753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3EC0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5BB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w:t>
            </w:r>
          </w:p>
        </w:tc>
        <w:tc>
          <w:tcPr>
            <w:tcW w:w="783" w:type="dxa"/>
            <w:tcBorders>
              <w:top w:val="single" w:sz="6" w:space="0" w:color="auto"/>
              <w:left w:val="single" w:sz="6" w:space="0" w:color="auto"/>
              <w:bottom w:val="single" w:sz="6" w:space="0" w:color="auto"/>
              <w:right w:val="single" w:sz="6" w:space="0" w:color="auto"/>
            </w:tcBorders>
          </w:tcPr>
          <w:p w14:paraId="5820E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C5D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10B0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 патр.</w:t>
            </w:r>
          </w:p>
        </w:tc>
        <w:tc>
          <w:tcPr>
            <w:tcW w:w="848" w:type="dxa"/>
            <w:tcBorders>
              <w:top w:val="single" w:sz="6" w:space="0" w:color="auto"/>
              <w:left w:val="single" w:sz="6" w:space="0" w:color="auto"/>
              <w:bottom w:val="single" w:sz="6" w:space="0" w:color="auto"/>
              <w:right w:val="single" w:sz="6" w:space="0" w:color="auto"/>
            </w:tcBorders>
          </w:tcPr>
          <w:p w14:paraId="5FA78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9F37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563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828D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1.V.43</w:t>
            </w:r>
          </w:p>
        </w:tc>
        <w:tc>
          <w:tcPr>
            <w:tcW w:w="621" w:type="dxa"/>
            <w:tcBorders>
              <w:top w:val="single" w:sz="6" w:space="0" w:color="auto"/>
              <w:left w:val="single" w:sz="6" w:space="0" w:color="auto"/>
              <w:bottom w:val="single" w:sz="6" w:space="0" w:color="auto"/>
              <w:right w:val="single" w:sz="6" w:space="0" w:color="auto"/>
            </w:tcBorders>
          </w:tcPr>
          <w:p w14:paraId="5F8D9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w:t>
            </w:r>
          </w:p>
        </w:tc>
        <w:tc>
          <w:tcPr>
            <w:tcW w:w="621" w:type="dxa"/>
            <w:tcBorders>
              <w:top w:val="single" w:sz="6" w:space="0" w:color="auto"/>
              <w:left w:val="single" w:sz="6" w:space="0" w:color="auto"/>
              <w:bottom w:val="single" w:sz="6" w:space="0" w:color="auto"/>
              <w:right w:val="single" w:sz="6" w:space="0" w:color="auto"/>
            </w:tcBorders>
          </w:tcPr>
          <w:p w14:paraId="56F4C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05BC56" w14:textId="77777777" w:rsidTr="00ED5B0A">
        <w:tc>
          <w:tcPr>
            <w:tcW w:w="1242" w:type="dxa"/>
            <w:tcBorders>
              <w:top w:val="single" w:sz="6" w:space="0" w:color="auto"/>
              <w:left w:val="single" w:sz="6" w:space="0" w:color="auto"/>
              <w:bottom w:val="single" w:sz="6" w:space="0" w:color="auto"/>
              <w:right w:val="single" w:sz="6" w:space="0" w:color="auto"/>
            </w:tcBorders>
          </w:tcPr>
          <w:p w14:paraId="2ADD2B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01C98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0199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57F3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2F71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B1C91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с-том</w:t>
            </w:r>
          </w:p>
        </w:tc>
        <w:tc>
          <w:tcPr>
            <w:tcW w:w="783" w:type="dxa"/>
            <w:tcBorders>
              <w:top w:val="single" w:sz="6" w:space="0" w:color="auto"/>
              <w:left w:val="single" w:sz="6" w:space="0" w:color="auto"/>
              <w:bottom w:val="single" w:sz="6" w:space="0" w:color="auto"/>
              <w:right w:val="single" w:sz="6" w:space="0" w:color="auto"/>
            </w:tcBorders>
          </w:tcPr>
          <w:p w14:paraId="01F70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0D5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A7B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0A2D4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62EF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2A4D4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86C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A6D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кабины</w:t>
            </w:r>
          </w:p>
        </w:tc>
        <w:tc>
          <w:tcPr>
            <w:tcW w:w="621" w:type="dxa"/>
            <w:tcBorders>
              <w:top w:val="single" w:sz="6" w:space="0" w:color="auto"/>
              <w:left w:val="single" w:sz="6" w:space="0" w:color="auto"/>
              <w:bottom w:val="single" w:sz="6" w:space="0" w:color="auto"/>
              <w:right w:val="single" w:sz="6" w:space="0" w:color="auto"/>
            </w:tcBorders>
          </w:tcPr>
          <w:p w14:paraId="49C566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9D2281" w14:textId="77777777" w:rsidTr="00ED5B0A">
        <w:tc>
          <w:tcPr>
            <w:tcW w:w="1242" w:type="dxa"/>
            <w:tcBorders>
              <w:top w:val="single" w:sz="6" w:space="0" w:color="auto"/>
              <w:left w:val="single" w:sz="6" w:space="0" w:color="auto"/>
              <w:bottom w:val="single" w:sz="6" w:space="0" w:color="auto"/>
              <w:right w:val="single" w:sz="6" w:space="0" w:color="auto"/>
            </w:tcBorders>
          </w:tcPr>
          <w:p w14:paraId="3816FE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герметич.</w:t>
            </w:r>
          </w:p>
        </w:tc>
        <w:tc>
          <w:tcPr>
            <w:tcW w:w="431" w:type="dxa"/>
            <w:tcBorders>
              <w:top w:val="single" w:sz="6" w:space="0" w:color="auto"/>
              <w:left w:val="single" w:sz="6" w:space="0" w:color="auto"/>
              <w:bottom w:val="single" w:sz="6" w:space="0" w:color="auto"/>
              <w:right w:val="single" w:sz="6" w:space="0" w:color="auto"/>
            </w:tcBorders>
          </w:tcPr>
          <w:p w14:paraId="65292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7F508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6704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11DE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844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0C0F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AC1F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3AA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00E0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51FC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688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83A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B6E0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C07D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6E52DD" w14:textId="77777777" w:rsidTr="00ED5B0A">
        <w:tc>
          <w:tcPr>
            <w:tcW w:w="1242" w:type="dxa"/>
            <w:tcBorders>
              <w:top w:val="single" w:sz="6" w:space="0" w:color="auto"/>
              <w:left w:val="single" w:sz="6" w:space="0" w:color="auto"/>
              <w:bottom w:val="single" w:sz="6" w:space="0" w:color="auto"/>
              <w:right w:val="single" w:sz="6" w:space="0" w:color="auto"/>
            </w:tcBorders>
          </w:tcPr>
          <w:p w14:paraId="32415C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кабиной</w:t>
            </w:r>
          </w:p>
        </w:tc>
        <w:tc>
          <w:tcPr>
            <w:tcW w:w="431" w:type="dxa"/>
            <w:tcBorders>
              <w:top w:val="single" w:sz="6" w:space="0" w:color="auto"/>
              <w:left w:val="single" w:sz="6" w:space="0" w:color="auto"/>
              <w:bottom w:val="single" w:sz="6" w:space="0" w:color="auto"/>
              <w:right w:val="single" w:sz="6" w:space="0" w:color="auto"/>
            </w:tcBorders>
          </w:tcPr>
          <w:p w14:paraId="108BF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C68E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554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E6A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E20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2647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7EC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CDC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 патр.</w:t>
            </w:r>
          </w:p>
        </w:tc>
        <w:tc>
          <w:tcPr>
            <w:tcW w:w="848" w:type="dxa"/>
            <w:tcBorders>
              <w:top w:val="single" w:sz="6" w:space="0" w:color="auto"/>
              <w:left w:val="single" w:sz="6" w:space="0" w:color="auto"/>
              <w:bottom w:val="single" w:sz="6" w:space="0" w:color="auto"/>
              <w:right w:val="single" w:sz="6" w:space="0" w:color="auto"/>
            </w:tcBorders>
          </w:tcPr>
          <w:p w14:paraId="3F2B4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B39A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E125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485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2588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B5F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C71A3A" w14:textId="77777777" w:rsidTr="00ED5B0A">
        <w:tc>
          <w:tcPr>
            <w:tcW w:w="1242" w:type="dxa"/>
            <w:tcBorders>
              <w:top w:val="single" w:sz="6" w:space="0" w:color="auto"/>
              <w:left w:val="single" w:sz="6" w:space="0" w:color="auto"/>
              <w:bottom w:val="single" w:sz="6" w:space="0" w:color="auto"/>
              <w:right w:val="single" w:sz="6" w:space="0" w:color="auto"/>
            </w:tcBorders>
          </w:tcPr>
          <w:p w14:paraId="7E6DB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М-105ПД</w:t>
            </w:r>
          </w:p>
        </w:tc>
        <w:tc>
          <w:tcPr>
            <w:tcW w:w="431" w:type="dxa"/>
            <w:tcBorders>
              <w:top w:val="single" w:sz="6" w:space="0" w:color="auto"/>
              <w:left w:val="single" w:sz="6" w:space="0" w:color="auto"/>
              <w:bottom w:val="single" w:sz="6" w:space="0" w:color="auto"/>
              <w:right w:val="single" w:sz="6" w:space="0" w:color="auto"/>
            </w:tcBorders>
          </w:tcPr>
          <w:p w14:paraId="51F6E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8BE3D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418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C5B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2AE1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166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2C4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A706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2B0E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3E3A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64F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1A6F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262D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A443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DA79F7" w14:textId="77777777" w:rsidTr="00ED5B0A">
        <w:tc>
          <w:tcPr>
            <w:tcW w:w="1242" w:type="dxa"/>
            <w:tcBorders>
              <w:top w:val="single" w:sz="6" w:space="0" w:color="auto"/>
              <w:left w:val="single" w:sz="6" w:space="0" w:color="auto"/>
              <w:bottom w:val="single" w:sz="6" w:space="0" w:color="auto"/>
              <w:right w:val="single" w:sz="6" w:space="0" w:color="auto"/>
            </w:tcBorders>
          </w:tcPr>
          <w:p w14:paraId="0445E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w:t>
            </w:r>
          </w:p>
        </w:tc>
        <w:tc>
          <w:tcPr>
            <w:tcW w:w="431" w:type="dxa"/>
            <w:tcBorders>
              <w:top w:val="single" w:sz="6" w:space="0" w:color="auto"/>
              <w:left w:val="single" w:sz="6" w:space="0" w:color="auto"/>
              <w:bottom w:val="single" w:sz="6" w:space="0" w:color="auto"/>
              <w:right w:val="single" w:sz="6" w:space="0" w:color="auto"/>
            </w:tcBorders>
          </w:tcPr>
          <w:p w14:paraId="099D23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C7AA0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612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657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1CA06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673D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B7E6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F0E0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747C2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FE4A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7EB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F45A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349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7176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B13FFE" w14:textId="77777777" w:rsidTr="00ED5B0A">
        <w:tc>
          <w:tcPr>
            <w:tcW w:w="1242" w:type="dxa"/>
            <w:tcBorders>
              <w:top w:val="single" w:sz="6" w:space="0" w:color="auto"/>
              <w:left w:val="single" w:sz="6" w:space="0" w:color="auto"/>
              <w:bottom w:val="single" w:sz="6" w:space="0" w:color="auto"/>
              <w:right w:val="single" w:sz="6" w:space="0" w:color="auto"/>
            </w:tcBorders>
          </w:tcPr>
          <w:p w14:paraId="0585BE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Пе-2</w:t>
            </w:r>
          </w:p>
        </w:tc>
        <w:tc>
          <w:tcPr>
            <w:tcW w:w="431" w:type="dxa"/>
            <w:tcBorders>
              <w:top w:val="single" w:sz="6" w:space="0" w:color="auto"/>
              <w:left w:val="single" w:sz="6" w:space="0" w:color="auto"/>
              <w:bottom w:val="single" w:sz="6" w:space="0" w:color="auto"/>
              <w:right w:val="single" w:sz="6" w:space="0" w:color="auto"/>
            </w:tcBorders>
          </w:tcPr>
          <w:p w14:paraId="76DE1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7A2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8D3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AC0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BE7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155E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ADE9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593B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F5E0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5776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04E76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340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42D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075E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DBCB9D" w14:textId="77777777" w:rsidTr="00ED5B0A">
        <w:tc>
          <w:tcPr>
            <w:tcW w:w="1242" w:type="dxa"/>
            <w:tcBorders>
              <w:top w:val="single" w:sz="6" w:space="0" w:color="auto"/>
              <w:left w:val="single" w:sz="6" w:space="0" w:color="auto"/>
              <w:bottom w:val="single" w:sz="6" w:space="0" w:color="auto"/>
              <w:right w:val="single" w:sz="6" w:space="0" w:color="auto"/>
            </w:tcBorders>
          </w:tcPr>
          <w:p w14:paraId="5DF0D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7A7AF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B579E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70FE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DE0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27B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44E0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8008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C226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54725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77F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862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7C9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F3B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A93E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52EAC2" w14:textId="77777777" w:rsidTr="00ED5B0A">
        <w:tc>
          <w:tcPr>
            <w:tcW w:w="1242" w:type="dxa"/>
            <w:tcBorders>
              <w:top w:val="single" w:sz="6" w:space="0" w:color="auto"/>
              <w:left w:val="single" w:sz="6" w:space="0" w:color="auto"/>
              <w:bottom w:val="single" w:sz="6" w:space="0" w:color="auto"/>
              <w:right w:val="single" w:sz="6" w:space="0" w:color="auto"/>
            </w:tcBorders>
          </w:tcPr>
          <w:p w14:paraId="3E1F3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w:t>
            </w:r>
          </w:p>
        </w:tc>
        <w:tc>
          <w:tcPr>
            <w:tcW w:w="431" w:type="dxa"/>
            <w:tcBorders>
              <w:top w:val="single" w:sz="6" w:space="0" w:color="auto"/>
              <w:left w:val="single" w:sz="6" w:space="0" w:color="auto"/>
              <w:bottom w:val="single" w:sz="6" w:space="0" w:color="auto"/>
              <w:right w:val="single" w:sz="6" w:space="0" w:color="auto"/>
            </w:tcBorders>
          </w:tcPr>
          <w:p w14:paraId="4DB18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EBCE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788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53A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2819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F148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88A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931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40F3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31A7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9E5C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1055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B92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A98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A7EB24" w14:textId="77777777" w:rsidTr="00ED5B0A">
        <w:tc>
          <w:tcPr>
            <w:tcW w:w="1242" w:type="dxa"/>
            <w:tcBorders>
              <w:top w:val="single" w:sz="6" w:space="0" w:color="auto"/>
              <w:left w:val="single" w:sz="6" w:space="0" w:color="auto"/>
              <w:bottom w:val="single" w:sz="6" w:space="0" w:color="auto"/>
              <w:right w:val="single" w:sz="6" w:space="0" w:color="auto"/>
            </w:tcBorders>
          </w:tcPr>
          <w:p w14:paraId="72050A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Новые опытные бомбардировщики.</w:t>
            </w:r>
          </w:p>
        </w:tc>
        <w:tc>
          <w:tcPr>
            <w:tcW w:w="431" w:type="dxa"/>
            <w:tcBorders>
              <w:top w:val="single" w:sz="6" w:space="0" w:color="auto"/>
              <w:left w:val="single" w:sz="6" w:space="0" w:color="auto"/>
              <w:bottom w:val="single" w:sz="6" w:space="0" w:color="auto"/>
              <w:right w:val="single" w:sz="6" w:space="0" w:color="auto"/>
            </w:tcBorders>
          </w:tcPr>
          <w:p w14:paraId="46703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A82DE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99741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AC8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1D7E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8672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E3B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3FAC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7C91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8E7A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6BA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872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B570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B6D8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7FEDB0" w14:textId="77777777" w:rsidTr="00ED5B0A">
        <w:tc>
          <w:tcPr>
            <w:tcW w:w="1242" w:type="dxa"/>
            <w:tcBorders>
              <w:top w:val="single" w:sz="6" w:space="0" w:color="auto"/>
              <w:left w:val="single" w:sz="6" w:space="0" w:color="auto"/>
              <w:bottom w:val="single" w:sz="6" w:space="0" w:color="auto"/>
              <w:right w:val="single" w:sz="6" w:space="0" w:color="auto"/>
            </w:tcBorders>
          </w:tcPr>
          <w:p w14:paraId="79F4A6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431" w:type="dxa"/>
            <w:tcBorders>
              <w:top w:val="single" w:sz="6" w:space="0" w:color="auto"/>
              <w:left w:val="single" w:sz="6" w:space="0" w:color="auto"/>
              <w:bottom w:val="single" w:sz="6" w:space="0" w:color="auto"/>
              <w:right w:val="single" w:sz="6" w:space="0" w:color="auto"/>
            </w:tcBorders>
          </w:tcPr>
          <w:p w14:paraId="39A5A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2719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7B4FD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567" w:type="dxa"/>
            <w:tcBorders>
              <w:top w:val="single" w:sz="6" w:space="0" w:color="auto"/>
              <w:left w:val="single" w:sz="6" w:space="0" w:color="auto"/>
              <w:bottom w:val="single" w:sz="6" w:space="0" w:color="auto"/>
              <w:right w:val="single" w:sz="6" w:space="0" w:color="auto"/>
            </w:tcBorders>
          </w:tcPr>
          <w:p w14:paraId="3FF9F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72C11A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75126D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5EF401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51F56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48" w:type="dxa"/>
            <w:tcBorders>
              <w:top w:val="single" w:sz="6" w:space="0" w:color="auto"/>
              <w:left w:val="single" w:sz="6" w:space="0" w:color="auto"/>
              <w:bottom w:val="single" w:sz="6" w:space="0" w:color="auto"/>
              <w:right w:val="single" w:sz="6" w:space="0" w:color="auto"/>
            </w:tcBorders>
          </w:tcPr>
          <w:p w14:paraId="4EA90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410" w:type="dxa"/>
            <w:tcBorders>
              <w:top w:val="single" w:sz="6" w:space="0" w:color="auto"/>
              <w:left w:val="single" w:sz="6" w:space="0" w:color="auto"/>
              <w:bottom w:val="single" w:sz="6" w:space="0" w:color="auto"/>
              <w:right w:val="single" w:sz="6" w:space="0" w:color="auto"/>
            </w:tcBorders>
          </w:tcPr>
          <w:p w14:paraId="46194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41C3A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59F83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w:t>
            </w:r>
          </w:p>
        </w:tc>
        <w:tc>
          <w:tcPr>
            <w:tcW w:w="621" w:type="dxa"/>
            <w:tcBorders>
              <w:top w:val="single" w:sz="6" w:space="0" w:color="auto"/>
              <w:left w:val="single" w:sz="6" w:space="0" w:color="auto"/>
              <w:bottom w:val="single" w:sz="6" w:space="0" w:color="auto"/>
              <w:right w:val="single" w:sz="6" w:space="0" w:color="auto"/>
            </w:tcBorders>
          </w:tcPr>
          <w:p w14:paraId="2189C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9E50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3E659F" w14:textId="77777777" w:rsidTr="00ED5B0A">
        <w:tc>
          <w:tcPr>
            <w:tcW w:w="1242" w:type="dxa"/>
            <w:tcBorders>
              <w:top w:val="single" w:sz="6" w:space="0" w:color="auto"/>
              <w:left w:val="single" w:sz="6" w:space="0" w:color="auto"/>
              <w:bottom w:val="single" w:sz="6" w:space="0" w:color="auto"/>
              <w:right w:val="single" w:sz="6" w:space="0" w:color="auto"/>
            </w:tcBorders>
          </w:tcPr>
          <w:p w14:paraId="2FCE6A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431" w:type="dxa"/>
            <w:tcBorders>
              <w:top w:val="single" w:sz="6" w:space="0" w:color="auto"/>
              <w:left w:val="single" w:sz="6" w:space="0" w:color="auto"/>
              <w:bottom w:val="single" w:sz="6" w:space="0" w:color="auto"/>
              <w:right w:val="single" w:sz="6" w:space="0" w:color="auto"/>
            </w:tcBorders>
          </w:tcPr>
          <w:p w14:paraId="1CD6C5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570B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5EBB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567" w:type="dxa"/>
            <w:tcBorders>
              <w:top w:val="single" w:sz="6" w:space="0" w:color="auto"/>
              <w:left w:val="single" w:sz="6" w:space="0" w:color="auto"/>
              <w:bottom w:val="single" w:sz="6" w:space="0" w:color="auto"/>
              <w:right w:val="single" w:sz="6" w:space="0" w:color="auto"/>
            </w:tcBorders>
          </w:tcPr>
          <w:p w14:paraId="414A1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34908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w:t>
            </w:r>
          </w:p>
        </w:tc>
        <w:tc>
          <w:tcPr>
            <w:tcW w:w="783" w:type="dxa"/>
            <w:tcBorders>
              <w:top w:val="single" w:sz="6" w:space="0" w:color="auto"/>
              <w:left w:val="single" w:sz="6" w:space="0" w:color="auto"/>
              <w:bottom w:val="single" w:sz="6" w:space="0" w:color="auto"/>
              <w:right w:val="single" w:sz="6" w:space="0" w:color="auto"/>
            </w:tcBorders>
          </w:tcPr>
          <w:p w14:paraId="33E7AB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A2E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92FE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DE376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внутри</w:t>
            </w:r>
          </w:p>
        </w:tc>
        <w:tc>
          <w:tcPr>
            <w:tcW w:w="410" w:type="dxa"/>
            <w:tcBorders>
              <w:top w:val="single" w:sz="6" w:space="0" w:color="auto"/>
              <w:left w:val="single" w:sz="6" w:space="0" w:color="auto"/>
              <w:bottom w:val="single" w:sz="6" w:space="0" w:color="auto"/>
              <w:right w:val="single" w:sz="6" w:space="0" w:color="auto"/>
            </w:tcBorders>
          </w:tcPr>
          <w:p w14:paraId="3A508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658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4B79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эскизного</w:t>
            </w:r>
          </w:p>
        </w:tc>
        <w:tc>
          <w:tcPr>
            <w:tcW w:w="621" w:type="dxa"/>
            <w:tcBorders>
              <w:top w:val="single" w:sz="6" w:space="0" w:color="auto"/>
              <w:left w:val="single" w:sz="6" w:space="0" w:color="auto"/>
              <w:bottom w:val="single" w:sz="6" w:space="0" w:color="auto"/>
              <w:right w:val="single" w:sz="6" w:space="0" w:color="auto"/>
            </w:tcBorders>
          </w:tcPr>
          <w:p w14:paraId="0330C8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948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E97B28" w14:textId="77777777" w:rsidTr="00ED5B0A">
        <w:tc>
          <w:tcPr>
            <w:tcW w:w="1242" w:type="dxa"/>
            <w:tcBorders>
              <w:top w:val="single" w:sz="6" w:space="0" w:color="auto"/>
              <w:left w:val="single" w:sz="6" w:space="0" w:color="auto"/>
              <w:bottom w:val="single" w:sz="6" w:space="0" w:color="auto"/>
              <w:right w:val="single" w:sz="6" w:space="0" w:color="auto"/>
            </w:tcBorders>
          </w:tcPr>
          <w:p w14:paraId="29CD4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четырехмот.</w:t>
            </w:r>
          </w:p>
        </w:tc>
        <w:tc>
          <w:tcPr>
            <w:tcW w:w="431" w:type="dxa"/>
            <w:tcBorders>
              <w:top w:val="single" w:sz="6" w:space="0" w:color="auto"/>
              <w:left w:val="single" w:sz="6" w:space="0" w:color="auto"/>
              <w:bottom w:val="single" w:sz="6" w:space="0" w:color="auto"/>
              <w:right w:val="single" w:sz="6" w:space="0" w:color="auto"/>
            </w:tcBorders>
          </w:tcPr>
          <w:p w14:paraId="42CD5F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BC340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9E6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4A64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1FAD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полной</w:t>
            </w:r>
          </w:p>
        </w:tc>
        <w:tc>
          <w:tcPr>
            <w:tcW w:w="783" w:type="dxa"/>
            <w:tcBorders>
              <w:top w:val="single" w:sz="6" w:space="0" w:color="auto"/>
              <w:left w:val="single" w:sz="6" w:space="0" w:color="auto"/>
              <w:bottom w:val="single" w:sz="6" w:space="0" w:color="auto"/>
              <w:right w:val="single" w:sz="6" w:space="0" w:color="auto"/>
            </w:tcBorders>
          </w:tcPr>
          <w:p w14:paraId="3C405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D5C5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2F8E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30D25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ф-жа 2</w:t>
            </w:r>
          </w:p>
        </w:tc>
        <w:tc>
          <w:tcPr>
            <w:tcW w:w="410" w:type="dxa"/>
            <w:tcBorders>
              <w:top w:val="single" w:sz="6" w:space="0" w:color="auto"/>
              <w:left w:val="single" w:sz="6" w:space="0" w:color="auto"/>
              <w:bottom w:val="single" w:sz="6" w:space="0" w:color="auto"/>
              <w:right w:val="single" w:sz="6" w:space="0" w:color="auto"/>
            </w:tcBorders>
          </w:tcPr>
          <w:p w14:paraId="6A5E43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D4268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C17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проекта</w:t>
            </w:r>
          </w:p>
        </w:tc>
        <w:tc>
          <w:tcPr>
            <w:tcW w:w="621" w:type="dxa"/>
            <w:tcBorders>
              <w:top w:val="single" w:sz="6" w:space="0" w:color="auto"/>
              <w:left w:val="single" w:sz="6" w:space="0" w:color="auto"/>
              <w:bottom w:val="single" w:sz="6" w:space="0" w:color="auto"/>
              <w:right w:val="single" w:sz="6" w:space="0" w:color="auto"/>
            </w:tcBorders>
          </w:tcPr>
          <w:p w14:paraId="14179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6EC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BE2DC4" w14:textId="77777777" w:rsidTr="00ED5B0A">
        <w:tc>
          <w:tcPr>
            <w:tcW w:w="1242" w:type="dxa"/>
            <w:tcBorders>
              <w:top w:val="single" w:sz="6" w:space="0" w:color="auto"/>
              <w:left w:val="single" w:sz="6" w:space="0" w:color="auto"/>
              <w:bottom w:val="single" w:sz="6" w:space="0" w:color="auto"/>
              <w:right w:val="single" w:sz="6" w:space="0" w:color="auto"/>
            </w:tcBorders>
          </w:tcPr>
          <w:p w14:paraId="5B2683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431" w:type="dxa"/>
            <w:tcBorders>
              <w:top w:val="single" w:sz="6" w:space="0" w:color="auto"/>
              <w:left w:val="single" w:sz="6" w:space="0" w:color="auto"/>
              <w:bottom w:val="single" w:sz="6" w:space="0" w:color="auto"/>
              <w:right w:val="single" w:sz="6" w:space="0" w:color="auto"/>
            </w:tcBorders>
          </w:tcPr>
          <w:p w14:paraId="6F973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6CB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61B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D6D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703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w:t>
            </w:r>
          </w:p>
        </w:tc>
        <w:tc>
          <w:tcPr>
            <w:tcW w:w="783" w:type="dxa"/>
            <w:tcBorders>
              <w:top w:val="single" w:sz="6" w:space="0" w:color="auto"/>
              <w:left w:val="single" w:sz="6" w:space="0" w:color="auto"/>
              <w:bottom w:val="single" w:sz="6" w:space="0" w:color="auto"/>
              <w:right w:val="single" w:sz="6" w:space="0" w:color="auto"/>
            </w:tcBorders>
          </w:tcPr>
          <w:p w14:paraId="59F5A8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05F7F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BD1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291B2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бомбы по</w:t>
            </w:r>
          </w:p>
        </w:tc>
        <w:tc>
          <w:tcPr>
            <w:tcW w:w="410" w:type="dxa"/>
            <w:tcBorders>
              <w:top w:val="single" w:sz="6" w:space="0" w:color="auto"/>
              <w:left w:val="single" w:sz="6" w:space="0" w:color="auto"/>
              <w:bottom w:val="single" w:sz="6" w:space="0" w:color="auto"/>
              <w:right w:val="single" w:sz="6" w:space="0" w:color="auto"/>
            </w:tcBorders>
          </w:tcPr>
          <w:p w14:paraId="1A83F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347B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4C5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w:t>
            </w:r>
          </w:p>
        </w:tc>
        <w:tc>
          <w:tcPr>
            <w:tcW w:w="621" w:type="dxa"/>
            <w:tcBorders>
              <w:top w:val="single" w:sz="6" w:space="0" w:color="auto"/>
              <w:left w:val="single" w:sz="6" w:space="0" w:color="auto"/>
              <w:bottom w:val="single" w:sz="6" w:space="0" w:color="auto"/>
              <w:right w:val="single" w:sz="6" w:space="0" w:color="auto"/>
            </w:tcBorders>
          </w:tcPr>
          <w:p w14:paraId="0AA742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9E1C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1A8C47" w14:textId="77777777" w:rsidTr="00ED5B0A">
        <w:tc>
          <w:tcPr>
            <w:tcW w:w="1242" w:type="dxa"/>
            <w:tcBorders>
              <w:top w:val="single" w:sz="6" w:space="0" w:color="auto"/>
              <w:left w:val="single" w:sz="6" w:space="0" w:color="auto"/>
              <w:bottom w:val="single" w:sz="6" w:space="0" w:color="auto"/>
              <w:right w:val="single" w:sz="6" w:space="0" w:color="auto"/>
            </w:tcBorders>
          </w:tcPr>
          <w:p w14:paraId="2BEE9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М-71 с</w:t>
            </w:r>
          </w:p>
        </w:tc>
        <w:tc>
          <w:tcPr>
            <w:tcW w:w="431" w:type="dxa"/>
            <w:tcBorders>
              <w:top w:val="single" w:sz="6" w:space="0" w:color="auto"/>
              <w:left w:val="single" w:sz="6" w:space="0" w:color="auto"/>
              <w:bottom w:val="single" w:sz="6" w:space="0" w:color="auto"/>
              <w:right w:val="single" w:sz="6" w:space="0" w:color="auto"/>
            </w:tcBorders>
          </w:tcPr>
          <w:p w14:paraId="7A9C1F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6632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A9A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ABF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8A3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нагрузке</w:t>
            </w:r>
          </w:p>
        </w:tc>
        <w:tc>
          <w:tcPr>
            <w:tcW w:w="783" w:type="dxa"/>
            <w:tcBorders>
              <w:top w:val="single" w:sz="6" w:space="0" w:color="auto"/>
              <w:left w:val="single" w:sz="6" w:space="0" w:color="auto"/>
              <w:bottom w:val="single" w:sz="6" w:space="0" w:color="auto"/>
              <w:right w:val="single" w:sz="6" w:space="0" w:color="auto"/>
            </w:tcBorders>
          </w:tcPr>
          <w:p w14:paraId="13097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3D62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05F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35B59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кг</w:t>
            </w:r>
          </w:p>
        </w:tc>
        <w:tc>
          <w:tcPr>
            <w:tcW w:w="410" w:type="dxa"/>
            <w:tcBorders>
              <w:top w:val="single" w:sz="6" w:space="0" w:color="auto"/>
              <w:left w:val="single" w:sz="6" w:space="0" w:color="auto"/>
              <w:bottom w:val="single" w:sz="6" w:space="0" w:color="auto"/>
              <w:right w:val="single" w:sz="6" w:space="0" w:color="auto"/>
            </w:tcBorders>
          </w:tcPr>
          <w:p w14:paraId="527AFD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350A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001B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15.IX.43</w:t>
            </w:r>
          </w:p>
        </w:tc>
        <w:tc>
          <w:tcPr>
            <w:tcW w:w="621" w:type="dxa"/>
            <w:tcBorders>
              <w:top w:val="single" w:sz="6" w:space="0" w:color="auto"/>
              <w:left w:val="single" w:sz="6" w:space="0" w:color="auto"/>
              <w:bottom w:val="single" w:sz="6" w:space="0" w:color="auto"/>
              <w:right w:val="single" w:sz="6" w:space="0" w:color="auto"/>
            </w:tcBorders>
          </w:tcPr>
          <w:p w14:paraId="741B2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04CC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358ADE" w14:textId="77777777" w:rsidTr="00ED5B0A">
        <w:tc>
          <w:tcPr>
            <w:tcW w:w="1242" w:type="dxa"/>
            <w:tcBorders>
              <w:top w:val="single" w:sz="6" w:space="0" w:color="auto"/>
              <w:left w:val="single" w:sz="6" w:space="0" w:color="auto"/>
              <w:bottom w:val="single" w:sz="6" w:space="0" w:color="auto"/>
              <w:right w:val="single" w:sz="6" w:space="0" w:color="auto"/>
            </w:tcBorders>
          </w:tcPr>
          <w:p w14:paraId="0C847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ТК-М с</w:t>
            </w:r>
          </w:p>
        </w:tc>
        <w:tc>
          <w:tcPr>
            <w:tcW w:w="431" w:type="dxa"/>
            <w:tcBorders>
              <w:top w:val="single" w:sz="6" w:space="0" w:color="auto"/>
              <w:left w:val="single" w:sz="6" w:space="0" w:color="auto"/>
              <w:bottom w:val="single" w:sz="6" w:space="0" w:color="auto"/>
              <w:right w:val="single" w:sz="6" w:space="0" w:color="auto"/>
            </w:tcBorders>
          </w:tcPr>
          <w:p w14:paraId="501B6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5BAC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C9FE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24C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715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600 км</w:t>
            </w:r>
          </w:p>
        </w:tc>
        <w:tc>
          <w:tcPr>
            <w:tcW w:w="783" w:type="dxa"/>
            <w:tcBorders>
              <w:top w:val="single" w:sz="6" w:space="0" w:color="auto"/>
              <w:left w:val="single" w:sz="6" w:space="0" w:color="auto"/>
              <w:bottom w:val="single" w:sz="6" w:space="0" w:color="auto"/>
              <w:right w:val="single" w:sz="6" w:space="0" w:color="auto"/>
            </w:tcBorders>
          </w:tcPr>
          <w:p w14:paraId="4E3EDB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C7A67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EE35B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32E7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8C78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9514C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EF115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C94C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842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DBFEF1" w14:textId="77777777" w:rsidTr="00ED5B0A">
        <w:tc>
          <w:tcPr>
            <w:tcW w:w="1242" w:type="dxa"/>
            <w:tcBorders>
              <w:top w:val="single" w:sz="6" w:space="0" w:color="auto"/>
              <w:left w:val="single" w:sz="6" w:space="0" w:color="auto"/>
              <w:bottom w:val="single" w:sz="6" w:space="0" w:color="auto"/>
              <w:right w:val="single" w:sz="6" w:space="0" w:color="auto"/>
            </w:tcBorders>
          </w:tcPr>
          <w:p w14:paraId="181D4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w:t>
            </w:r>
          </w:p>
        </w:tc>
        <w:tc>
          <w:tcPr>
            <w:tcW w:w="431" w:type="dxa"/>
            <w:tcBorders>
              <w:top w:val="single" w:sz="6" w:space="0" w:color="auto"/>
              <w:left w:val="single" w:sz="6" w:space="0" w:color="auto"/>
              <w:bottom w:val="single" w:sz="6" w:space="0" w:color="auto"/>
              <w:right w:val="single" w:sz="6" w:space="0" w:color="auto"/>
            </w:tcBorders>
          </w:tcPr>
          <w:p w14:paraId="36F1D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733ED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2B74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274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16C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w:t>
            </w:r>
          </w:p>
        </w:tc>
        <w:tc>
          <w:tcPr>
            <w:tcW w:w="783" w:type="dxa"/>
            <w:tcBorders>
              <w:top w:val="single" w:sz="6" w:space="0" w:color="auto"/>
              <w:left w:val="single" w:sz="6" w:space="0" w:color="auto"/>
              <w:bottom w:val="single" w:sz="6" w:space="0" w:color="auto"/>
              <w:right w:val="single" w:sz="6" w:space="0" w:color="auto"/>
            </w:tcBorders>
          </w:tcPr>
          <w:p w14:paraId="6F88A5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485A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BE0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8253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6025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0E27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1A7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02FA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5FA8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927152" w14:textId="77777777" w:rsidTr="00ED5B0A">
        <w:tc>
          <w:tcPr>
            <w:tcW w:w="1242" w:type="dxa"/>
            <w:tcBorders>
              <w:top w:val="single" w:sz="6" w:space="0" w:color="auto"/>
              <w:left w:val="single" w:sz="6" w:space="0" w:color="auto"/>
              <w:bottom w:val="single" w:sz="6" w:space="0" w:color="auto"/>
              <w:right w:val="single" w:sz="6" w:space="0" w:color="auto"/>
            </w:tcBorders>
          </w:tcPr>
          <w:p w14:paraId="2FD03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кабинами</w:t>
            </w:r>
          </w:p>
        </w:tc>
        <w:tc>
          <w:tcPr>
            <w:tcW w:w="431" w:type="dxa"/>
            <w:tcBorders>
              <w:top w:val="single" w:sz="6" w:space="0" w:color="auto"/>
              <w:left w:val="single" w:sz="6" w:space="0" w:color="auto"/>
              <w:bottom w:val="single" w:sz="6" w:space="0" w:color="auto"/>
              <w:right w:val="single" w:sz="6" w:space="0" w:color="auto"/>
            </w:tcBorders>
          </w:tcPr>
          <w:p w14:paraId="614348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4E7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7D52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D590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517E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w:t>
            </w:r>
          </w:p>
        </w:tc>
        <w:tc>
          <w:tcPr>
            <w:tcW w:w="783" w:type="dxa"/>
            <w:tcBorders>
              <w:top w:val="single" w:sz="6" w:space="0" w:color="auto"/>
              <w:left w:val="single" w:sz="6" w:space="0" w:color="auto"/>
              <w:bottom w:val="single" w:sz="6" w:space="0" w:color="auto"/>
              <w:right w:val="single" w:sz="6" w:space="0" w:color="auto"/>
            </w:tcBorders>
          </w:tcPr>
          <w:p w14:paraId="215E6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62E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0BD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07CD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942D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97A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55E3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FE4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166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2511A6" w14:textId="77777777" w:rsidTr="00ED5B0A">
        <w:tc>
          <w:tcPr>
            <w:tcW w:w="1242" w:type="dxa"/>
            <w:tcBorders>
              <w:top w:val="single" w:sz="6" w:space="0" w:color="auto"/>
              <w:left w:val="single" w:sz="6" w:space="0" w:color="auto"/>
              <w:bottom w:val="single" w:sz="6" w:space="0" w:color="auto"/>
              <w:right w:val="single" w:sz="6" w:space="0" w:color="auto"/>
            </w:tcBorders>
          </w:tcPr>
          <w:p w14:paraId="451204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с </w:t>
            </w:r>
          </w:p>
        </w:tc>
        <w:tc>
          <w:tcPr>
            <w:tcW w:w="431" w:type="dxa"/>
            <w:tcBorders>
              <w:top w:val="single" w:sz="6" w:space="0" w:color="auto"/>
              <w:left w:val="single" w:sz="6" w:space="0" w:color="auto"/>
              <w:bottom w:val="single" w:sz="6" w:space="0" w:color="auto"/>
              <w:right w:val="single" w:sz="6" w:space="0" w:color="auto"/>
            </w:tcBorders>
          </w:tcPr>
          <w:p w14:paraId="5F434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420F6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A46F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4F44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60F4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нагрузке</w:t>
            </w:r>
          </w:p>
        </w:tc>
        <w:tc>
          <w:tcPr>
            <w:tcW w:w="783" w:type="dxa"/>
            <w:tcBorders>
              <w:top w:val="single" w:sz="6" w:space="0" w:color="auto"/>
              <w:left w:val="single" w:sz="6" w:space="0" w:color="auto"/>
              <w:bottom w:val="single" w:sz="6" w:space="0" w:color="auto"/>
              <w:right w:val="single" w:sz="6" w:space="0" w:color="auto"/>
            </w:tcBorders>
          </w:tcPr>
          <w:p w14:paraId="13093C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46BD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7581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A16E6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82C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401E6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E3A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C97C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C32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B1CE7C" w14:textId="77777777" w:rsidTr="00ED5B0A">
        <w:tc>
          <w:tcPr>
            <w:tcW w:w="1242" w:type="dxa"/>
            <w:tcBorders>
              <w:top w:val="single" w:sz="6" w:space="0" w:color="auto"/>
              <w:left w:val="single" w:sz="6" w:space="0" w:color="auto"/>
              <w:bottom w:val="single" w:sz="6" w:space="0" w:color="auto"/>
              <w:right w:val="single" w:sz="6" w:space="0" w:color="auto"/>
            </w:tcBorders>
          </w:tcPr>
          <w:p w14:paraId="5122E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пушечной</w:t>
            </w:r>
          </w:p>
        </w:tc>
        <w:tc>
          <w:tcPr>
            <w:tcW w:w="431" w:type="dxa"/>
            <w:tcBorders>
              <w:top w:val="single" w:sz="6" w:space="0" w:color="auto"/>
              <w:left w:val="single" w:sz="6" w:space="0" w:color="auto"/>
              <w:bottom w:val="single" w:sz="6" w:space="0" w:color="auto"/>
              <w:right w:val="single" w:sz="6" w:space="0" w:color="auto"/>
            </w:tcBorders>
          </w:tcPr>
          <w:p w14:paraId="43E79E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AB3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E3C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53A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533E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700-800 кг</w:t>
            </w:r>
          </w:p>
        </w:tc>
        <w:tc>
          <w:tcPr>
            <w:tcW w:w="783" w:type="dxa"/>
            <w:tcBorders>
              <w:top w:val="single" w:sz="6" w:space="0" w:color="auto"/>
              <w:left w:val="single" w:sz="6" w:space="0" w:color="auto"/>
              <w:bottom w:val="single" w:sz="6" w:space="0" w:color="auto"/>
              <w:right w:val="single" w:sz="6" w:space="0" w:color="auto"/>
            </w:tcBorders>
          </w:tcPr>
          <w:p w14:paraId="0B8076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5891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D379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DAAA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0C5F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69A6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66A2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84A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BDC1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6D706A" w14:textId="77777777" w:rsidTr="00ED5B0A">
        <w:tc>
          <w:tcPr>
            <w:tcW w:w="1242" w:type="dxa"/>
            <w:tcBorders>
              <w:top w:val="single" w:sz="6" w:space="0" w:color="auto"/>
              <w:left w:val="single" w:sz="6" w:space="0" w:color="auto"/>
              <w:bottom w:val="single" w:sz="6" w:space="0" w:color="auto"/>
              <w:right w:val="single" w:sz="6" w:space="0" w:color="auto"/>
            </w:tcBorders>
          </w:tcPr>
          <w:p w14:paraId="3C4B2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защитой</w:t>
            </w:r>
          </w:p>
        </w:tc>
        <w:tc>
          <w:tcPr>
            <w:tcW w:w="431" w:type="dxa"/>
            <w:tcBorders>
              <w:top w:val="single" w:sz="6" w:space="0" w:color="auto"/>
              <w:left w:val="single" w:sz="6" w:space="0" w:color="auto"/>
              <w:bottom w:val="single" w:sz="6" w:space="0" w:color="auto"/>
              <w:right w:val="single" w:sz="6" w:space="0" w:color="auto"/>
            </w:tcBorders>
          </w:tcPr>
          <w:p w14:paraId="2B73EE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9959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7F92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B31A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45BB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3886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9A6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167C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AA78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71DF9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EE5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8FF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0A6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9BB4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5EC4BA" w14:textId="77777777" w:rsidTr="00ED5B0A">
        <w:tc>
          <w:tcPr>
            <w:tcW w:w="1242" w:type="dxa"/>
            <w:tcBorders>
              <w:top w:val="single" w:sz="6" w:space="0" w:color="auto"/>
              <w:left w:val="single" w:sz="6" w:space="0" w:color="auto"/>
              <w:bottom w:val="single" w:sz="6" w:space="0" w:color="auto"/>
              <w:right w:val="single" w:sz="6" w:space="0" w:color="auto"/>
            </w:tcBorders>
          </w:tcPr>
          <w:p w14:paraId="3E7E6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w:t>
            </w:r>
          </w:p>
        </w:tc>
        <w:tc>
          <w:tcPr>
            <w:tcW w:w="431" w:type="dxa"/>
            <w:tcBorders>
              <w:top w:val="single" w:sz="6" w:space="0" w:color="auto"/>
              <w:left w:val="single" w:sz="6" w:space="0" w:color="auto"/>
              <w:bottom w:val="single" w:sz="6" w:space="0" w:color="auto"/>
              <w:right w:val="single" w:sz="6" w:space="0" w:color="auto"/>
            </w:tcBorders>
          </w:tcPr>
          <w:p w14:paraId="12BC0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8254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00CB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8A2C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E00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1CE8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04C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CFB98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B1C9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29A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F79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794A1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111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CB39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A84AAD" w14:textId="77777777" w:rsidTr="00ED5B0A">
        <w:tc>
          <w:tcPr>
            <w:tcW w:w="1242" w:type="dxa"/>
            <w:tcBorders>
              <w:top w:val="single" w:sz="6" w:space="0" w:color="auto"/>
              <w:left w:val="single" w:sz="6" w:space="0" w:color="auto"/>
              <w:bottom w:val="single" w:sz="6" w:space="0" w:color="auto"/>
              <w:right w:val="single" w:sz="6" w:space="0" w:color="auto"/>
            </w:tcBorders>
          </w:tcPr>
          <w:p w14:paraId="67ADF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проекта </w:t>
            </w:r>
          </w:p>
        </w:tc>
        <w:tc>
          <w:tcPr>
            <w:tcW w:w="431" w:type="dxa"/>
            <w:tcBorders>
              <w:top w:val="single" w:sz="6" w:space="0" w:color="auto"/>
              <w:left w:val="single" w:sz="6" w:space="0" w:color="auto"/>
              <w:bottom w:val="single" w:sz="6" w:space="0" w:color="auto"/>
              <w:right w:val="single" w:sz="6" w:space="0" w:color="auto"/>
            </w:tcBorders>
          </w:tcPr>
          <w:p w14:paraId="17769B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38B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19E2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0EB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3DFB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7C9D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5703F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3D5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22FC8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2EB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C5AB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74F52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0C1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D828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EF95F9" w14:textId="77777777" w:rsidTr="00ED5B0A">
        <w:tc>
          <w:tcPr>
            <w:tcW w:w="1242" w:type="dxa"/>
            <w:tcBorders>
              <w:top w:val="single" w:sz="6" w:space="0" w:color="auto"/>
              <w:left w:val="single" w:sz="6" w:space="0" w:color="auto"/>
              <w:bottom w:val="single" w:sz="6" w:space="0" w:color="auto"/>
              <w:right w:val="single" w:sz="6" w:space="0" w:color="auto"/>
            </w:tcBorders>
          </w:tcPr>
          <w:p w14:paraId="24457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и</w:t>
            </w:r>
          </w:p>
        </w:tc>
        <w:tc>
          <w:tcPr>
            <w:tcW w:w="431" w:type="dxa"/>
            <w:tcBorders>
              <w:top w:val="single" w:sz="6" w:space="0" w:color="auto"/>
              <w:left w:val="single" w:sz="6" w:space="0" w:color="auto"/>
              <w:bottom w:val="single" w:sz="6" w:space="0" w:color="auto"/>
              <w:right w:val="single" w:sz="6" w:space="0" w:color="auto"/>
            </w:tcBorders>
          </w:tcPr>
          <w:p w14:paraId="17389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22C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F5EF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AD6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E8C1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1D10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2193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30D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ACCB8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ACF6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D10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D90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FB36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2593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C69203" w14:textId="77777777" w:rsidTr="00ED5B0A">
        <w:tc>
          <w:tcPr>
            <w:tcW w:w="1242" w:type="dxa"/>
            <w:tcBorders>
              <w:top w:val="single" w:sz="6" w:space="0" w:color="auto"/>
              <w:left w:val="single" w:sz="6" w:space="0" w:color="auto"/>
              <w:bottom w:val="single" w:sz="6" w:space="0" w:color="auto"/>
              <w:right w:val="single" w:sz="6" w:space="0" w:color="auto"/>
            </w:tcBorders>
          </w:tcPr>
          <w:p w14:paraId="09594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постройка</w:t>
            </w:r>
          </w:p>
        </w:tc>
        <w:tc>
          <w:tcPr>
            <w:tcW w:w="431" w:type="dxa"/>
            <w:tcBorders>
              <w:top w:val="single" w:sz="6" w:space="0" w:color="auto"/>
              <w:left w:val="single" w:sz="6" w:space="0" w:color="auto"/>
              <w:bottom w:val="single" w:sz="6" w:space="0" w:color="auto"/>
              <w:right w:val="single" w:sz="6" w:space="0" w:color="auto"/>
            </w:tcBorders>
          </w:tcPr>
          <w:p w14:paraId="40DB9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E077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5D8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64DF7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819E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015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FC7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196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9939A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EA53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0C24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D49D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BC57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7C9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580D5C" w14:textId="77777777" w:rsidTr="00ED5B0A">
        <w:tc>
          <w:tcPr>
            <w:tcW w:w="1242" w:type="dxa"/>
            <w:tcBorders>
              <w:top w:val="single" w:sz="6" w:space="0" w:color="auto"/>
              <w:left w:val="single" w:sz="6" w:space="0" w:color="auto"/>
              <w:bottom w:val="single" w:sz="6" w:space="0" w:color="auto"/>
              <w:right w:val="single" w:sz="6" w:space="0" w:color="auto"/>
            </w:tcBorders>
          </w:tcPr>
          <w:p w14:paraId="24DC59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макетов</w:t>
            </w:r>
          </w:p>
        </w:tc>
        <w:tc>
          <w:tcPr>
            <w:tcW w:w="431" w:type="dxa"/>
            <w:tcBorders>
              <w:top w:val="single" w:sz="6" w:space="0" w:color="auto"/>
              <w:left w:val="single" w:sz="6" w:space="0" w:color="auto"/>
              <w:bottom w:val="single" w:sz="6" w:space="0" w:color="auto"/>
              <w:right w:val="single" w:sz="6" w:space="0" w:color="auto"/>
            </w:tcBorders>
          </w:tcPr>
          <w:p w14:paraId="346CF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3083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E2C5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D101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02125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B64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73B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111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A9998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17D2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32C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6A8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F8E1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E06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D05AFC" w14:textId="77777777" w:rsidTr="00ED5B0A">
        <w:tc>
          <w:tcPr>
            <w:tcW w:w="1242" w:type="dxa"/>
            <w:tcBorders>
              <w:top w:val="single" w:sz="6" w:space="0" w:color="auto"/>
              <w:left w:val="single" w:sz="6" w:space="0" w:color="auto"/>
              <w:bottom w:val="single" w:sz="6" w:space="0" w:color="auto"/>
              <w:right w:val="single" w:sz="6" w:space="0" w:color="auto"/>
            </w:tcBorders>
          </w:tcPr>
          <w:p w14:paraId="51055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w:t>
            </w:r>
          </w:p>
        </w:tc>
        <w:tc>
          <w:tcPr>
            <w:tcW w:w="431" w:type="dxa"/>
            <w:tcBorders>
              <w:top w:val="single" w:sz="6" w:space="0" w:color="auto"/>
              <w:left w:val="single" w:sz="6" w:space="0" w:color="auto"/>
              <w:bottom w:val="single" w:sz="6" w:space="0" w:color="auto"/>
              <w:right w:val="single" w:sz="6" w:space="0" w:color="auto"/>
            </w:tcBorders>
          </w:tcPr>
          <w:p w14:paraId="54FF10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816C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19F4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BF6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D95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1AD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D3F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59FB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80D5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6ED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A3D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8B11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25F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FD4F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17B44E" w14:textId="77777777" w:rsidTr="00ED5B0A">
        <w:tc>
          <w:tcPr>
            <w:tcW w:w="1242" w:type="dxa"/>
            <w:tcBorders>
              <w:top w:val="single" w:sz="6" w:space="0" w:color="auto"/>
              <w:left w:val="single" w:sz="6" w:space="0" w:color="auto"/>
              <w:bottom w:val="single" w:sz="6" w:space="0" w:color="auto"/>
              <w:right w:val="single" w:sz="6" w:space="0" w:color="auto"/>
            </w:tcBorders>
          </w:tcPr>
          <w:p w14:paraId="153F3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Проектное</w:t>
            </w:r>
          </w:p>
        </w:tc>
        <w:tc>
          <w:tcPr>
            <w:tcW w:w="431" w:type="dxa"/>
            <w:tcBorders>
              <w:top w:val="single" w:sz="6" w:space="0" w:color="auto"/>
              <w:left w:val="single" w:sz="6" w:space="0" w:color="auto"/>
              <w:bottom w:val="single" w:sz="6" w:space="0" w:color="auto"/>
              <w:right w:val="single" w:sz="6" w:space="0" w:color="auto"/>
            </w:tcBorders>
          </w:tcPr>
          <w:p w14:paraId="34CA89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8FE0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B75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A616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C11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C30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1611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99F12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6945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388A9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CD11B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16A4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A54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ECF8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82DD2F" w14:textId="77777777" w:rsidTr="00ED5B0A">
        <w:tc>
          <w:tcPr>
            <w:tcW w:w="1242" w:type="dxa"/>
            <w:tcBorders>
              <w:top w:val="single" w:sz="6" w:space="0" w:color="auto"/>
              <w:left w:val="single" w:sz="6" w:space="0" w:color="auto"/>
              <w:bottom w:val="single" w:sz="6" w:space="0" w:color="auto"/>
              <w:right w:val="single" w:sz="6" w:space="0" w:color="auto"/>
            </w:tcBorders>
          </w:tcPr>
          <w:p w14:paraId="446D04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w:t>
            </w:r>
          </w:p>
        </w:tc>
        <w:tc>
          <w:tcPr>
            <w:tcW w:w="431" w:type="dxa"/>
            <w:tcBorders>
              <w:top w:val="single" w:sz="6" w:space="0" w:color="auto"/>
              <w:left w:val="single" w:sz="6" w:space="0" w:color="auto"/>
              <w:bottom w:val="single" w:sz="6" w:space="0" w:color="auto"/>
              <w:right w:val="single" w:sz="6" w:space="0" w:color="auto"/>
            </w:tcBorders>
          </w:tcPr>
          <w:p w14:paraId="254CD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1303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B4C6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2FE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F0D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5A1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D720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A023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210F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5EE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200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07C8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9E3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D787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8432D5" w14:textId="77777777" w:rsidTr="00ED5B0A">
        <w:tc>
          <w:tcPr>
            <w:tcW w:w="1242" w:type="dxa"/>
            <w:tcBorders>
              <w:top w:val="single" w:sz="6" w:space="0" w:color="auto"/>
              <w:left w:val="single" w:sz="6" w:space="0" w:color="auto"/>
              <w:bottom w:val="single" w:sz="6" w:space="0" w:color="auto"/>
              <w:right w:val="single" w:sz="6" w:space="0" w:color="auto"/>
            </w:tcBorders>
          </w:tcPr>
          <w:p w14:paraId="586C0F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выдается</w:t>
            </w:r>
          </w:p>
        </w:tc>
        <w:tc>
          <w:tcPr>
            <w:tcW w:w="431" w:type="dxa"/>
            <w:tcBorders>
              <w:top w:val="single" w:sz="6" w:space="0" w:color="auto"/>
              <w:left w:val="single" w:sz="6" w:space="0" w:color="auto"/>
              <w:bottom w:val="single" w:sz="6" w:space="0" w:color="auto"/>
              <w:right w:val="single" w:sz="6" w:space="0" w:color="auto"/>
            </w:tcBorders>
          </w:tcPr>
          <w:p w14:paraId="44A0E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213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985F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8B0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E4B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8465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73E42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906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1E2FF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C81A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F84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376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2B6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A26E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06DE0C" w14:textId="77777777" w:rsidTr="00ED5B0A">
        <w:tc>
          <w:tcPr>
            <w:tcW w:w="1242" w:type="dxa"/>
            <w:tcBorders>
              <w:top w:val="single" w:sz="6" w:space="0" w:color="auto"/>
              <w:left w:val="single" w:sz="6" w:space="0" w:color="auto"/>
              <w:bottom w:val="single" w:sz="6" w:space="0" w:color="auto"/>
              <w:right w:val="single" w:sz="6" w:space="0" w:color="auto"/>
            </w:tcBorders>
          </w:tcPr>
          <w:p w14:paraId="319EFC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двум</w:t>
            </w:r>
          </w:p>
        </w:tc>
        <w:tc>
          <w:tcPr>
            <w:tcW w:w="431" w:type="dxa"/>
            <w:tcBorders>
              <w:top w:val="single" w:sz="6" w:space="0" w:color="auto"/>
              <w:left w:val="single" w:sz="6" w:space="0" w:color="auto"/>
              <w:bottom w:val="single" w:sz="6" w:space="0" w:color="auto"/>
              <w:right w:val="single" w:sz="6" w:space="0" w:color="auto"/>
            </w:tcBorders>
          </w:tcPr>
          <w:p w14:paraId="3B517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880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4276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B8E2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C46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CB4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E66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AFB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F130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1BF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02E94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060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697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52B3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FF4E90" w14:textId="77777777" w:rsidTr="00ED5B0A">
        <w:tc>
          <w:tcPr>
            <w:tcW w:w="1242" w:type="dxa"/>
            <w:tcBorders>
              <w:top w:val="single" w:sz="6" w:space="0" w:color="auto"/>
              <w:left w:val="single" w:sz="6" w:space="0" w:color="auto"/>
              <w:bottom w:val="single" w:sz="6" w:space="0" w:color="auto"/>
              <w:right w:val="single" w:sz="6" w:space="0" w:color="auto"/>
            </w:tcBorders>
          </w:tcPr>
          <w:p w14:paraId="6D8155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15B0E2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DF01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E5959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B83E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B50E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4B9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5E29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E5F1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0E32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E9EC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1AEB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CF9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5D3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854D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EB834B" w14:textId="77777777" w:rsidTr="00ED5B0A">
        <w:tc>
          <w:tcPr>
            <w:tcW w:w="1242" w:type="dxa"/>
            <w:tcBorders>
              <w:top w:val="single" w:sz="6" w:space="0" w:color="auto"/>
              <w:left w:val="single" w:sz="6" w:space="0" w:color="auto"/>
              <w:bottom w:val="single" w:sz="6" w:space="0" w:color="auto"/>
              <w:right w:val="single" w:sz="6" w:space="0" w:color="auto"/>
            </w:tcBorders>
          </w:tcPr>
          <w:p w14:paraId="1275AB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Туполеву</w:t>
            </w:r>
          </w:p>
        </w:tc>
        <w:tc>
          <w:tcPr>
            <w:tcW w:w="431" w:type="dxa"/>
            <w:tcBorders>
              <w:top w:val="single" w:sz="6" w:space="0" w:color="auto"/>
              <w:left w:val="single" w:sz="6" w:space="0" w:color="auto"/>
              <w:bottom w:val="single" w:sz="6" w:space="0" w:color="auto"/>
              <w:right w:val="single" w:sz="6" w:space="0" w:color="auto"/>
            </w:tcBorders>
          </w:tcPr>
          <w:p w14:paraId="47440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FDAE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16C5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B132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EB7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628D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D228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E70EB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D08F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D2C6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B698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9BAB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1B86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029A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D376F0" w14:textId="77777777" w:rsidTr="00ED5B0A">
        <w:tc>
          <w:tcPr>
            <w:tcW w:w="1242" w:type="dxa"/>
            <w:tcBorders>
              <w:top w:val="single" w:sz="6" w:space="0" w:color="auto"/>
              <w:left w:val="single" w:sz="6" w:space="0" w:color="auto"/>
              <w:bottom w:val="single" w:sz="6" w:space="0" w:color="auto"/>
              <w:right w:val="single" w:sz="6" w:space="0" w:color="auto"/>
            </w:tcBorders>
          </w:tcPr>
          <w:p w14:paraId="5618A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Мясищеву</w:t>
            </w:r>
          </w:p>
        </w:tc>
        <w:tc>
          <w:tcPr>
            <w:tcW w:w="431" w:type="dxa"/>
            <w:tcBorders>
              <w:top w:val="single" w:sz="6" w:space="0" w:color="auto"/>
              <w:left w:val="single" w:sz="6" w:space="0" w:color="auto"/>
              <w:bottom w:val="single" w:sz="6" w:space="0" w:color="auto"/>
              <w:right w:val="single" w:sz="6" w:space="0" w:color="auto"/>
            </w:tcBorders>
          </w:tcPr>
          <w:p w14:paraId="0BE9B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F858B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4963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7697D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009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83A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FD9F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FE94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4457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884C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9271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D923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2AC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3E58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10C1BE" w14:textId="77777777" w:rsidTr="00ED5B0A">
        <w:tc>
          <w:tcPr>
            <w:tcW w:w="1242" w:type="dxa"/>
            <w:tcBorders>
              <w:top w:val="single" w:sz="6" w:space="0" w:color="auto"/>
              <w:left w:val="single" w:sz="6" w:space="0" w:color="auto"/>
              <w:bottom w:val="single" w:sz="6" w:space="0" w:color="auto"/>
              <w:right w:val="single" w:sz="6" w:space="0" w:color="auto"/>
            </w:tcBorders>
          </w:tcPr>
          <w:p w14:paraId="3C869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Опытные бомбардировочные самолеты, переходящие с плана 1942 г. на 1943 год</w:t>
            </w:r>
          </w:p>
        </w:tc>
        <w:tc>
          <w:tcPr>
            <w:tcW w:w="431" w:type="dxa"/>
            <w:tcBorders>
              <w:top w:val="single" w:sz="6" w:space="0" w:color="auto"/>
              <w:left w:val="single" w:sz="6" w:space="0" w:color="auto"/>
              <w:bottom w:val="single" w:sz="6" w:space="0" w:color="auto"/>
              <w:right w:val="single" w:sz="6" w:space="0" w:color="auto"/>
            </w:tcBorders>
          </w:tcPr>
          <w:p w14:paraId="132111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B4E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322B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C103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7AD4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65A9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1179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9698A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0FDA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A11C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C22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49523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921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7113A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2629BE" w14:textId="77777777" w:rsidTr="00ED5B0A">
        <w:tc>
          <w:tcPr>
            <w:tcW w:w="1242" w:type="dxa"/>
            <w:tcBorders>
              <w:top w:val="single" w:sz="6" w:space="0" w:color="auto"/>
              <w:left w:val="single" w:sz="6" w:space="0" w:color="auto"/>
              <w:bottom w:val="single" w:sz="6" w:space="0" w:color="auto"/>
              <w:right w:val="single" w:sz="6" w:space="0" w:color="auto"/>
            </w:tcBorders>
          </w:tcPr>
          <w:p w14:paraId="2CE57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Ночной</w:t>
            </w:r>
          </w:p>
        </w:tc>
        <w:tc>
          <w:tcPr>
            <w:tcW w:w="431" w:type="dxa"/>
            <w:tcBorders>
              <w:top w:val="single" w:sz="6" w:space="0" w:color="auto"/>
              <w:left w:val="single" w:sz="6" w:space="0" w:color="auto"/>
              <w:bottom w:val="single" w:sz="6" w:space="0" w:color="auto"/>
              <w:right w:val="single" w:sz="6" w:space="0" w:color="auto"/>
            </w:tcBorders>
          </w:tcPr>
          <w:p w14:paraId="7AAAAF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0127C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567" w:type="dxa"/>
            <w:tcBorders>
              <w:top w:val="single" w:sz="6" w:space="0" w:color="auto"/>
              <w:left w:val="single" w:sz="6" w:space="0" w:color="auto"/>
              <w:bottom w:val="single" w:sz="6" w:space="0" w:color="auto"/>
              <w:right w:val="single" w:sz="6" w:space="0" w:color="auto"/>
            </w:tcBorders>
          </w:tcPr>
          <w:p w14:paraId="6D5271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567" w:type="dxa"/>
            <w:tcBorders>
              <w:top w:val="single" w:sz="6" w:space="0" w:color="auto"/>
              <w:left w:val="single" w:sz="6" w:space="0" w:color="auto"/>
              <w:bottom w:val="single" w:sz="6" w:space="0" w:color="auto"/>
              <w:right w:val="single" w:sz="6" w:space="0" w:color="auto"/>
            </w:tcBorders>
          </w:tcPr>
          <w:p w14:paraId="0EC5E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709" w:type="dxa"/>
            <w:tcBorders>
              <w:top w:val="single" w:sz="6" w:space="0" w:color="auto"/>
              <w:left w:val="single" w:sz="6" w:space="0" w:color="auto"/>
              <w:bottom w:val="single" w:sz="6" w:space="0" w:color="auto"/>
              <w:right w:val="single" w:sz="6" w:space="0" w:color="auto"/>
            </w:tcBorders>
          </w:tcPr>
          <w:p w14:paraId="5A85F4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5FF597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783" w:type="dxa"/>
            <w:tcBorders>
              <w:top w:val="single" w:sz="6" w:space="0" w:color="auto"/>
              <w:left w:val="single" w:sz="6" w:space="0" w:color="auto"/>
              <w:bottom w:val="single" w:sz="6" w:space="0" w:color="auto"/>
              <w:right w:val="single" w:sz="6" w:space="0" w:color="auto"/>
            </w:tcBorders>
          </w:tcPr>
          <w:p w14:paraId="6BD41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4190F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пул.</w:t>
            </w:r>
          </w:p>
        </w:tc>
        <w:tc>
          <w:tcPr>
            <w:tcW w:w="848" w:type="dxa"/>
            <w:tcBorders>
              <w:top w:val="single" w:sz="6" w:space="0" w:color="auto"/>
              <w:left w:val="single" w:sz="6" w:space="0" w:color="auto"/>
              <w:bottom w:val="single" w:sz="6" w:space="0" w:color="auto"/>
              <w:right w:val="single" w:sz="6" w:space="0" w:color="auto"/>
            </w:tcBorders>
          </w:tcPr>
          <w:p w14:paraId="70B8B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410" w:type="dxa"/>
            <w:tcBorders>
              <w:top w:val="single" w:sz="6" w:space="0" w:color="auto"/>
              <w:left w:val="single" w:sz="6" w:space="0" w:color="auto"/>
              <w:bottom w:val="single" w:sz="6" w:space="0" w:color="auto"/>
              <w:right w:val="single" w:sz="6" w:space="0" w:color="auto"/>
            </w:tcBorders>
          </w:tcPr>
          <w:p w14:paraId="786E14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ВАП</w:t>
            </w:r>
          </w:p>
        </w:tc>
        <w:tc>
          <w:tcPr>
            <w:tcW w:w="943" w:type="dxa"/>
            <w:tcBorders>
              <w:top w:val="single" w:sz="6" w:space="0" w:color="auto"/>
              <w:left w:val="single" w:sz="6" w:space="0" w:color="auto"/>
              <w:bottom w:val="single" w:sz="6" w:space="0" w:color="auto"/>
              <w:right w:val="single" w:sz="6" w:space="0" w:color="auto"/>
            </w:tcBorders>
          </w:tcPr>
          <w:p w14:paraId="321AE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4D86C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15.Х.43</w:t>
            </w:r>
          </w:p>
        </w:tc>
        <w:tc>
          <w:tcPr>
            <w:tcW w:w="621" w:type="dxa"/>
            <w:tcBorders>
              <w:top w:val="single" w:sz="6" w:space="0" w:color="auto"/>
              <w:left w:val="single" w:sz="6" w:space="0" w:color="auto"/>
              <w:bottom w:val="single" w:sz="6" w:space="0" w:color="auto"/>
              <w:right w:val="single" w:sz="6" w:space="0" w:color="auto"/>
            </w:tcBorders>
          </w:tcPr>
          <w:p w14:paraId="4674C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Винтомоторная</w:t>
            </w:r>
          </w:p>
        </w:tc>
        <w:tc>
          <w:tcPr>
            <w:tcW w:w="621" w:type="dxa"/>
            <w:tcBorders>
              <w:top w:val="single" w:sz="6" w:space="0" w:color="auto"/>
              <w:left w:val="single" w:sz="6" w:space="0" w:color="auto"/>
              <w:bottom w:val="single" w:sz="6" w:space="0" w:color="auto"/>
              <w:right w:val="single" w:sz="6" w:space="0" w:color="auto"/>
            </w:tcBorders>
          </w:tcPr>
          <w:p w14:paraId="08F14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585432" w14:textId="77777777" w:rsidTr="00ED5B0A">
        <w:tc>
          <w:tcPr>
            <w:tcW w:w="1242" w:type="dxa"/>
            <w:tcBorders>
              <w:top w:val="single" w:sz="6" w:space="0" w:color="auto"/>
              <w:left w:val="single" w:sz="6" w:space="0" w:color="auto"/>
              <w:bottom w:val="single" w:sz="6" w:space="0" w:color="auto"/>
              <w:right w:val="single" w:sz="6" w:space="0" w:color="auto"/>
            </w:tcBorders>
          </w:tcPr>
          <w:p w14:paraId="4F1C2A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068702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4817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AC5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6F5D09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F37E1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783" w:type="dxa"/>
            <w:tcBorders>
              <w:top w:val="single" w:sz="6" w:space="0" w:color="auto"/>
              <w:left w:val="single" w:sz="6" w:space="0" w:color="auto"/>
              <w:bottom w:val="single" w:sz="6" w:space="0" w:color="auto"/>
              <w:right w:val="single" w:sz="6" w:space="0" w:color="auto"/>
            </w:tcBorders>
          </w:tcPr>
          <w:p w14:paraId="7DE1D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5B02F5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8EED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5547C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3D20F0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943" w:type="dxa"/>
            <w:tcBorders>
              <w:top w:val="single" w:sz="6" w:space="0" w:color="auto"/>
              <w:left w:val="single" w:sz="6" w:space="0" w:color="auto"/>
              <w:bottom w:val="single" w:sz="6" w:space="0" w:color="auto"/>
              <w:right w:val="single" w:sz="6" w:space="0" w:color="auto"/>
            </w:tcBorders>
          </w:tcPr>
          <w:p w14:paraId="33B3AE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от</w:t>
            </w:r>
          </w:p>
        </w:tc>
        <w:tc>
          <w:tcPr>
            <w:tcW w:w="922" w:type="dxa"/>
            <w:tcBorders>
              <w:top w:val="single" w:sz="6" w:space="0" w:color="auto"/>
              <w:left w:val="single" w:sz="6" w:space="0" w:color="auto"/>
              <w:bottom w:val="single" w:sz="6" w:space="0" w:color="auto"/>
              <w:right w:val="single" w:sz="6" w:space="0" w:color="auto"/>
            </w:tcBorders>
          </w:tcPr>
          <w:p w14:paraId="0F35A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85C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 отрабатыв.</w:t>
            </w:r>
          </w:p>
        </w:tc>
        <w:tc>
          <w:tcPr>
            <w:tcW w:w="621" w:type="dxa"/>
            <w:tcBorders>
              <w:top w:val="single" w:sz="6" w:space="0" w:color="auto"/>
              <w:left w:val="single" w:sz="6" w:space="0" w:color="auto"/>
              <w:bottom w:val="single" w:sz="6" w:space="0" w:color="auto"/>
              <w:right w:val="single" w:sz="6" w:space="0" w:color="auto"/>
            </w:tcBorders>
          </w:tcPr>
          <w:p w14:paraId="3B2A4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E63EB8" w14:textId="77777777" w:rsidTr="00ED5B0A">
        <w:tc>
          <w:tcPr>
            <w:tcW w:w="1242" w:type="dxa"/>
            <w:tcBorders>
              <w:top w:val="single" w:sz="6" w:space="0" w:color="auto"/>
              <w:left w:val="single" w:sz="6" w:space="0" w:color="auto"/>
              <w:bottom w:val="single" w:sz="6" w:space="0" w:color="auto"/>
              <w:right w:val="single" w:sz="6" w:space="0" w:color="auto"/>
            </w:tcBorders>
          </w:tcPr>
          <w:p w14:paraId="37A2FB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Двухмоторн.</w:t>
            </w:r>
          </w:p>
        </w:tc>
        <w:tc>
          <w:tcPr>
            <w:tcW w:w="431" w:type="dxa"/>
            <w:tcBorders>
              <w:top w:val="single" w:sz="6" w:space="0" w:color="auto"/>
              <w:left w:val="single" w:sz="6" w:space="0" w:color="auto"/>
              <w:bottom w:val="single" w:sz="6" w:space="0" w:color="auto"/>
              <w:right w:val="single" w:sz="6" w:space="0" w:color="auto"/>
            </w:tcBorders>
          </w:tcPr>
          <w:p w14:paraId="02A1A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F7E6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7425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D31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F31A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ED552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B7F1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C87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патр.</w:t>
            </w:r>
          </w:p>
        </w:tc>
        <w:tc>
          <w:tcPr>
            <w:tcW w:w="848" w:type="dxa"/>
            <w:tcBorders>
              <w:top w:val="single" w:sz="6" w:space="0" w:color="auto"/>
              <w:left w:val="single" w:sz="6" w:space="0" w:color="auto"/>
              <w:bottom w:val="single" w:sz="6" w:space="0" w:color="auto"/>
              <w:right w:val="single" w:sz="6" w:space="0" w:color="auto"/>
            </w:tcBorders>
          </w:tcPr>
          <w:p w14:paraId="7CFDE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96D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393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w:t>
            </w:r>
          </w:p>
        </w:tc>
        <w:tc>
          <w:tcPr>
            <w:tcW w:w="922" w:type="dxa"/>
            <w:tcBorders>
              <w:top w:val="single" w:sz="6" w:space="0" w:color="auto"/>
              <w:left w:val="single" w:sz="6" w:space="0" w:color="auto"/>
              <w:bottom w:val="single" w:sz="6" w:space="0" w:color="auto"/>
              <w:right w:val="single" w:sz="6" w:space="0" w:color="auto"/>
            </w:tcBorders>
          </w:tcPr>
          <w:p w14:paraId="1F149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96A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серийном с-те</w:t>
            </w:r>
          </w:p>
        </w:tc>
        <w:tc>
          <w:tcPr>
            <w:tcW w:w="621" w:type="dxa"/>
            <w:tcBorders>
              <w:top w:val="single" w:sz="6" w:space="0" w:color="auto"/>
              <w:left w:val="single" w:sz="6" w:space="0" w:color="auto"/>
              <w:bottom w:val="single" w:sz="6" w:space="0" w:color="auto"/>
              <w:right w:val="single" w:sz="6" w:space="0" w:color="auto"/>
            </w:tcBorders>
          </w:tcPr>
          <w:p w14:paraId="53767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2A967B" w14:textId="77777777" w:rsidTr="00ED5B0A">
        <w:tc>
          <w:tcPr>
            <w:tcW w:w="1242" w:type="dxa"/>
            <w:tcBorders>
              <w:top w:val="single" w:sz="6" w:space="0" w:color="auto"/>
              <w:left w:val="single" w:sz="6" w:space="0" w:color="auto"/>
              <w:bottom w:val="single" w:sz="6" w:space="0" w:color="auto"/>
              <w:right w:val="single" w:sz="6" w:space="0" w:color="auto"/>
            </w:tcBorders>
          </w:tcPr>
          <w:p w14:paraId="7900C9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2E4C5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67F3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036A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2554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36E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B91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AB4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CDBC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6C0C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CE63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6EA11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922" w:type="dxa"/>
            <w:tcBorders>
              <w:top w:val="single" w:sz="6" w:space="0" w:color="auto"/>
              <w:left w:val="single" w:sz="6" w:space="0" w:color="auto"/>
              <w:bottom w:val="single" w:sz="6" w:space="0" w:color="auto"/>
              <w:right w:val="single" w:sz="6" w:space="0" w:color="auto"/>
            </w:tcBorders>
          </w:tcPr>
          <w:p w14:paraId="4CC00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B5B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621" w:type="dxa"/>
            <w:tcBorders>
              <w:top w:val="single" w:sz="6" w:space="0" w:color="auto"/>
              <w:left w:val="single" w:sz="6" w:space="0" w:color="auto"/>
              <w:bottom w:val="single" w:sz="6" w:space="0" w:color="auto"/>
              <w:right w:val="single" w:sz="6" w:space="0" w:color="auto"/>
            </w:tcBorders>
          </w:tcPr>
          <w:p w14:paraId="1B52A2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2A4B2F" w14:textId="77777777" w:rsidTr="00ED5B0A">
        <w:tc>
          <w:tcPr>
            <w:tcW w:w="1242" w:type="dxa"/>
            <w:tcBorders>
              <w:top w:val="single" w:sz="6" w:space="0" w:color="auto"/>
              <w:left w:val="single" w:sz="6" w:space="0" w:color="auto"/>
              <w:bottom w:val="single" w:sz="6" w:space="0" w:color="auto"/>
              <w:right w:val="single" w:sz="6" w:space="0" w:color="auto"/>
            </w:tcBorders>
          </w:tcPr>
          <w:p w14:paraId="18DBD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М-90</w:t>
            </w:r>
          </w:p>
        </w:tc>
        <w:tc>
          <w:tcPr>
            <w:tcW w:w="431" w:type="dxa"/>
            <w:tcBorders>
              <w:top w:val="single" w:sz="6" w:space="0" w:color="auto"/>
              <w:left w:val="single" w:sz="6" w:space="0" w:color="auto"/>
              <w:bottom w:val="single" w:sz="6" w:space="0" w:color="auto"/>
              <w:right w:val="single" w:sz="6" w:space="0" w:color="auto"/>
            </w:tcBorders>
          </w:tcPr>
          <w:p w14:paraId="44475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0F71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FC5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9D12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7FFE3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C9E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1ED4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CC7A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078B4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B6E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E56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w:t>
            </w:r>
          </w:p>
        </w:tc>
        <w:tc>
          <w:tcPr>
            <w:tcW w:w="922" w:type="dxa"/>
            <w:tcBorders>
              <w:top w:val="single" w:sz="6" w:space="0" w:color="auto"/>
              <w:left w:val="single" w:sz="6" w:space="0" w:color="auto"/>
              <w:bottom w:val="single" w:sz="6" w:space="0" w:color="auto"/>
              <w:right w:val="single" w:sz="6" w:space="0" w:color="auto"/>
            </w:tcBorders>
          </w:tcPr>
          <w:p w14:paraId="4AC73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614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F20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29484D" w14:textId="77777777" w:rsidTr="00ED5B0A">
        <w:tc>
          <w:tcPr>
            <w:tcW w:w="1242" w:type="dxa"/>
            <w:tcBorders>
              <w:top w:val="single" w:sz="6" w:space="0" w:color="auto"/>
              <w:left w:val="single" w:sz="6" w:space="0" w:color="auto"/>
              <w:bottom w:val="single" w:sz="6" w:space="0" w:color="auto"/>
              <w:right w:val="single" w:sz="6" w:space="0" w:color="auto"/>
            </w:tcBorders>
          </w:tcPr>
          <w:p w14:paraId="279319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14EA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0D4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6F2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B55C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AC81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EB95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C93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716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AF23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4AD9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796E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23F06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904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54FA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91A03C" w14:textId="77777777" w:rsidTr="00ED5B0A">
        <w:tc>
          <w:tcPr>
            <w:tcW w:w="1242" w:type="dxa"/>
            <w:tcBorders>
              <w:top w:val="single" w:sz="6" w:space="0" w:color="auto"/>
              <w:left w:val="single" w:sz="6" w:space="0" w:color="auto"/>
              <w:bottom w:val="single" w:sz="6" w:space="0" w:color="auto"/>
              <w:right w:val="single" w:sz="6" w:space="0" w:color="auto"/>
            </w:tcBorders>
          </w:tcPr>
          <w:p w14:paraId="63C7A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w:t>
            </w:r>
          </w:p>
        </w:tc>
        <w:tc>
          <w:tcPr>
            <w:tcW w:w="431" w:type="dxa"/>
            <w:tcBorders>
              <w:top w:val="single" w:sz="6" w:space="0" w:color="auto"/>
              <w:left w:val="single" w:sz="6" w:space="0" w:color="auto"/>
              <w:bottom w:val="single" w:sz="6" w:space="0" w:color="auto"/>
              <w:right w:val="single" w:sz="6" w:space="0" w:color="auto"/>
            </w:tcBorders>
          </w:tcPr>
          <w:p w14:paraId="7D2570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04783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89C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9D1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F74C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F310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6C8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CD97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F27EA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96836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E097A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0CA7D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48D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B07B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525E44" w14:textId="77777777" w:rsidTr="00ED5B0A">
        <w:tc>
          <w:tcPr>
            <w:tcW w:w="1242" w:type="dxa"/>
            <w:tcBorders>
              <w:top w:val="single" w:sz="6" w:space="0" w:color="auto"/>
              <w:left w:val="single" w:sz="6" w:space="0" w:color="auto"/>
              <w:bottom w:val="single" w:sz="6" w:space="0" w:color="auto"/>
              <w:right w:val="single" w:sz="6" w:space="0" w:color="auto"/>
            </w:tcBorders>
          </w:tcPr>
          <w:p w14:paraId="24BCD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7AF479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0FDCA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567" w:type="dxa"/>
            <w:tcBorders>
              <w:top w:val="single" w:sz="6" w:space="0" w:color="auto"/>
              <w:left w:val="single" w:sz="6" w:space="0" w:color="auto"/>
              <w:bottom w:val="single" w:sz="6" w:space="0" w:color="auto"/>
              <w:right w:val="single" w:sz="6" w:space="0" w:color="auto"/>
            </w:tcBorders>
          </w:tcPr>
          <w:p w14:paraId="1E9CE6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567" w:type="dxa"/>
            <w:tcBorders>
              <w:top w:val="single" w:sz="6" w:space="0" w:color="auto"/>
              <w:left w:val="single" w:sz="6" w:space="0" w:color="auto"/>
              <w:bottom w:val="single" w:sz="6" w:space="0" w:color="auto"/>
              <w:right w:val="single" w:sz="6" w:space="0" w:color="auto"/>
            </w:tcBorders>
          </w:tcPr>
          <w:p w14:paraId="0443B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347D44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44BF2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tc>
        <w:tc>
          <w:tcPr>
            <w:tcW w:w="783" w:type="dxa"/>
            <w:tcBorders>
              <w:top w:val="single" w:sz="6" w:space="0" w:color="auto"/>
              <w:left w:val="single" w:sz="6" w:space="0" w:color="auto"/>
              <w:bottom w:val="single" w:sz="6" w:space="0" w:color="auto"/>
              <w:right w:val="single" w:sz="6" w:space="0" w:color="auto"/>
            </w:tcBorders>
          </w:tcPr>
          <w:p w14:paraId="74FBA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w:t>
            </w:r>
          </w:p>
        </w:tc>
        <w:tc>
          <w:tcPr>
            <w:tcW w:w="1123" w:type="dxa"/>
            <w:tcBorders>
              <w:top w:val="single" w:sz="6" w:space="0" w:color="auto"/>
              <w:left w:val="single" w:sz="6" w:space="0" w:color="auto"/>
              <w:bottom w:val="single" w:sz="6" w:space="0" w:color="auto"/>
              <w:right w:val="single" w:sz="6" w:space="0" w:color="auto"/>
            </w:tcBorders>
          </w:tcPr>
          <w:p w14:paraId="75157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530C6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1DC9A5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ВАП</w:t>
            </w:r>
          </w:p>
        </w:tc>
        <w:tc>
          <w:tcPr>
            <w:tcW w:w="943" w:type="dxa"/>
            <w:tcBorders>
              <w:top w:val="single" w:sz="6" w:space="0" w:color="auto"/>
              <w:left w:val="single" w:sz="6" w:space="0" w:color="auto"/>
              <w:bottom w:val="single" w:sz="6" w:space="0" w:color="auto"/>
              <w:right w:val="single" w:sz="6" w:space="0" w:color="auto"/>
            </w:tcBorders>
          </w:tcPr>
          <w:p w14:paraId="5BDBF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21351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1.08.43</w:t>
            </w:r>
          </w:p>
        </w:tc>
        <w:tc>
          <w:tcPr>
            <w:tcW w:w="621" w:type="dxa"/>
            <w:tcBorders>
              <w:top w:val="single" w:sz="6" w:space="0" w:color="auto"/>
              <w:left w:val="single" w:sz="6" w:space="0" w:color="auto"/>
              <w:bottom w:val="single" w:sz="6" w:space="0" w:color="auto"/>
              <w:right w:val="single" w:sz="6" w:space="0" w:color="auto"/>
            </w:tcBorders>
          </w:tcPr>
          <w:p w14:paraId="0D5F7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отработки</w:t>
            </w:r>
          </w:p>
        </w:tc>
        <w:tc>
          <w:tcPr>
            <w:tcW w:w="621" w:type="dxa"/>
            <w:tcBorders>
              <w:top w:val="single" w:sz="6" w:space="0" w:color="auto"/>
              <w:left w:val="single" w:sz="6" w:space="0" w:color="auto"/>
              <w:bottom w:val="single" w:sz="6" w:space="0" w:color="auto"/>
              <w:right w:val="single" w:sz="6" w:space="0" w:color="auto"/>
            </w:tcBorders>
          </w:tcPr>
          <w:p w14:paraId="22C868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424D30" w14:textId="77777777" w:rsidTr="00ED5B0A">
        <w:tc>
          <w:tcPr>
            <w:tcW w:w="1242" w:type="dxa"/>
            <w:tcBorders>
              <w:top w:val="single" w:sz="6" w:space="0" w:color="auto"/>
              <w:left w:val="single" w:sz="6" w:space="0" w:color="auto"/>
              <w:bottom w:val="single" w:sz="6" w:space="0" w:color="auto"/>
              <w:right w:val="single" w:sz="6" w:space="0" w:color="auto"/>
            </w:tcBorders>
          </w:tcPr>
          <w:p w14:paraId="5BF74C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высотный</w:t>
            </w:r>
          </w:p>
        </w:tc>
        <w:tc>
          <w:tcPr>
            <w:tcW w:w="431" w:type="dxa"/>
            <w:tcBorders>
              <w:top w:val="single" w:sz="6" w:space="0" w:color="auto"/>
              <w:left w:val="single" w:sz="6" w:space="0" w:color="auto"/>
              <w:bottom w:val="single" w:sz="6" w:space="0" w:color="auto"/>
              <w:right w:val="single" w:sz="6" w:space="0" w:color="auto"/>
            </w:tcBorders>
          </w:tcPr>
          <w:p w14:paraId="39412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356DB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6425C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567" w:type="dxa"/>
            <w:tcBorders>
              <w:top w:val="single" w:sz="6" w:space="0" w:color="auto"/>
              <w:left w:val="single" w:sz="6" w:space="0" w:color="auto"/>
              <w:bottom w:val="single" w:sz="6" w:space="0" w:color="auto"/>
              <w:right w:val="single" w:sz="6" w:space="0" w:color="auto"/>
            </w:tcBorders>
          </w:tcPr>
          <w:p w14:paraId="3AD1D1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5A90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783" w:type="dxa"/>
            <w:tcBorders>
              <w:top w:val="single" w:sz="6" w:space="0" w:color="auto"/>
              <w:left w:val="single" w:sz="6" w:space="0" w:color="auto"/>
              <w:bottom w:val="single" w:sz="6" w:space="0" w:color="auto"/>
              <w:right w:val="single" w:sz="6" w:space="0" w:color="auto"/>
            </w:tcBorders>
          </w:tcPr>
          <w:p w14:paraId="1355B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59AD6F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8FF9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47563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5081F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или</w:t>
            </w:r>
          </w:p>
        </w:tc>
        <w:tc>
          <w:tcPr>
            <w:tcW w:w="943" w:type="dxa"/>
            <w:tcBorders>
              <w:top w:val="single" w:sz="6" w:space="0" w:color="auto"/>
              <w:left w:val="single" w:sz="6" w:space="0" w:color="auto"/>
              <w:bottom w:val="single" w:sz="6" w:space="0" w:color="auto"/>
              <w:right w:val="single" w:sz="6" w:space="0" w:color="auto"/>
            </w:tcBorders>
          </w:tcPr>
          <w:p w14:paraId="2554FD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A031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8EE8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винто-моторной</w:t>
            </w:r>
          </w:p>
        </w:tc>
        <w:tc>
          <w:tcPr>
            <w:tcW w:w="621" w:type="dxa"/>
            <w:tcBorders>
              <w:top w:val="single" w:sz="6" w:space="0" w:color="auto"/>
              <w:left w:val="single" w:sz="6" w:space="0" w:color="auto"/>
              <w:bottom w:val="single" w:sz="6" w:space="0" w:color="auto"/>
              <w:right w:val="single" w:sz="6" w:space="0" w:color="auto"/>
            </w:tcBorders>
          </w:tcPr>
          <w:p w14:paraId="397C4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00409D" w14:textId="77777777" w:rsidTr="00ED5B0A">
        <w:tc>
          <w:tcPr>
            <w:tcW w:w="1242" w:type="dxa"/>
            <w:tcBorders>
              <w:top w:val="single" w:sz="6" w:space="0" w:color="auto"/>
              <w:left w:val="single" w:sz="6" w:space="0" w:color="auto"/>
              <w:bottom w:val="single" w:sz="6" w:space="0" w:color="auto"/>
              <w:right w:val="single" w:sz="6" w:space="0" w:color="auto"/>
            </w:tcBorders>
          </w:tcPr>
          <w:p w14:paraId="5D982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312A2D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A0DC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CAD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DE66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113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5DA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F750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8D9E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59EB1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B8794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ВАП</w:t>
            </w:r>
          </w:p>
        </w:tc>
        <w:tc>
          <w:tcPr>
            <w:tcW w:w="943" w:type="dxa"/>
            <w:tcBorders>
              <w:top w:val="single" w:sz="6" w:space="0" w:color="auto"/>
              <w:left w:val="single" w:sz="6" w:space="0" w:color="auto"/>
              <w:bottom w:val="single" w:sz="6" w:space="0" w:color="auto"/>
              <w:right w:val="single" w:sz="6" w:space="0" w:color="auto"/>
            </w:tcBorders>
          </w:tcPr>
          <w:p w14:paraId="0B63D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30C8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9AF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группы провод.</w:t>
            </w:r>
          </w:p>
        </w:tc>
        <w:tc>
          <w:tcPr>
            <w:tcW w:w="621" w:type="dxa"/>
            <w:tcBorders>
              <w:top w:val="single" w:sz="6" w:space="0" w:color="auto"/>
              <w:left w:val="single" w:sz="6" w:space="0" w:color="auto"/>
              <w:bottom w:val="single" w:sz="6" w:space="0" w:color="auto"/>
              <w:right w:val="single" w:sz="6" w:space="0" w:color="auto"/>
            </w:tcBorders>
          </w:tcPr>
          <w:p w14:paraId="65D7E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E2A412" w14:textId="77777777" w:rsidTr="00ED5B0A">
        <w:tc>
          <w:tcPr>
            <w:tcW w:w="1242" w:type="dxa"/>
            <w:tcBorders>
              <w:top w:val="single" w:sz="6" w:space="0" w:color="auto"/>
              <w:left w:val="single" w:sz="6" w:space="0" w:color="auto"/>
              <w:bottom w:val="single" w:sz="6" w:space="0" w:color="auto"/>
              <w:right w:val="single" w:sz="6" w:space="0" w:color="auto"/>
            </w:tcBorders>
          </w:tcPr>
          <w:p w14:paraId="72BB87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 с</w:t>
            </w:r>
          </w:p>
        </w:tc>
        <w:tc>
          <w:tcPr>
            <w:tcW w:w="431" w:type="dxa"/>
            <w:tcBorders>
              <w:top w:val="single" w:sz="6" w:space="0" w:color="auto"/>
              <w:left w:val="single" w:sz="6" w:space="0" w:color="auto"/>
              <w:bottom w:val="single" w:sz="6" w:space="0" w:color="auto"/>
              <w:right w:val="single" w:sz="6" w:space="0" w:color="auto"/>
            </w:tcBorders>
          </w:tcPr>
          <w:p w14:paraId="1F462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2869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0D19A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2B8F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63C28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EE38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F45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E731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715DF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6736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943" w:type="dxa"/>
            <w:tcBorders>
              <w:top w:val="single" w:sz="6" w:space="0" w:color="auto"/>
              <w:left w:val="single" w:sz="6" w:space="0" w:color="auto"/>
              <w:bottom w:val="single" w:sz="6" w:space="0" w:color="auto"/>
              <w:right w:val="single" w:sz="6" w:space="0" w:color="auto"/>
            </w:tcBorders>
          </w:tcPr>
          <w:p w14:paraId="5E9B7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CF5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E46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предвар. летные</w:t>
            </w:r>
          </w:p>
        </w:tc>
        <w:tc>
          <w:tcPr>
            <w:tcW w:w="621" w:type="dxa"/>
            <w:tcBorders>
              <w:top w:val="single" w:sz="6" w:space="0" w:color="auto"/>
              <w:left w:val="single" w:sz="6" w:space="0" w:color="auto"/>
              <w:bottom w:val="single" w:sz="6" w:space="0" w:color="auto"/>
              <w:right w:val="single" w:sz="6" w:space="0" w:color="auto"/>
            </w:tcBorders>
          </w:tcPr>
          <w:p w14:paraId="3D261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24BF9E" w14:textId="77777777" w:rsidTr="00ED5B0A">
        <w:tc>
          <w:tcPr>
            <w:tcW w:w="1242" w:type="dxa"/>
            <w:tcBorders>
              <w:top w:val="single" w:sz="6" w:space="0" w:color="auto"/>
              <w:left w:val="single" w:sz="6" w:space="0" w:color="auto"/>
              <w:bottom w:val="single" w:sz="6" w:space="0" w:color="auto"/>
              <w:right w:val="single" w:sz="6" w:space="0" w:color="auto"/>
            </w:tcBorders>
          </w:tcPr>
          <w:p w14:paraId="06BD41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w:t>
            </w:r>
          </w:p>
        </w:tc>
        <w:tc>
          <w:tcPr>
            <w:tcW w:w="431" w:type="dxa"/>
            <w:tcBorders>
              <w:top w:val="single" w:sz="6" w:space="0" w:color="auto"/>
              <w:left w:val="single" w:sz="6" w:space="0" w:color="auto"/>
              <w:bottom w:val="single" w:sz="6" w:space="0" w:color="auto"/>
              <w:right w:val="single" w:sz="6" w:space="0" w:color="auto"/>
            </w:tcBorders>
          </w:tcPr>
          <w:p w14:paraId="2583A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5E5F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93C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75C6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9516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BE0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F58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5554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528B49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49ED0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B93C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4703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5D8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без ТК</w:t>
            </w:r>
          </w:p>
        </w:tc>
        <w:tc>
          <w:tcPr>
            <w:tcW w:w="621" w:type="dxa"/>
            <w:tcBorders>
              <w:top w:val="single" w:sz="6" w:space="0" w:color="auto"/>
              <w:left w:val="single" w:sz="6" w:space="0" w:color="auto"/>
              <w:bottom w:val="single" w:sz="6" w:space="0" w:color="auto"/>
              <w:right w:val="single" w:sz="6" w:space="0" w:color="auto"/>
            </w:tcBorders>
          </w:tcPr>
          <w:p w14:paraId="0DA40A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810AA4" w14:textId="77777777" w:rsidTr="00ED5B0A">
        <w:tc>
          <w:tcPr>
            <w:tcW w:w="1242" w:type="dxa"/>
            <w:tcBorders>
              <w:top w:val="single" w:sz="6" w:space="0" w:color="auto"/>
              <w:left w:val="single" w:sz="6" w:space="0" w:color="auto"/>
              <w:bottom w:val="single" w:sz="6" w:space="0" w:color="auto"/>
              <w:right w:val="single" w:sz="6" w:space="0" w:color="auto"/>
            </w:tcBorders>
          </w:tcPr>
          <w:p w14:paraId="41D7FC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кабинами</w:t>
            </w:r>
          </w:p>
        </w:tc>
        <w:tc>
          <w:tcPr>
            <w:tcW w:w="431" w:type="dxa"/>
            <w:tcBorders>
              <w:top w:val="single" w:sz="6" w:space="0" w:color="auto"/>
              <w:left w:val="single" w:sz="6" w:space="0" w:color="auto"/>
              <w:bottom w:val="single" w:sz="6" w:space="0" w:color="auto"/>
              <w:right w:val="single" w:sz="6" w:space="0" w:color="auto"/>
            </w:tcBorders>
          </w:tcPr>
          <w:p w14:paraId="15F99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5D9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CF4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04A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65D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891D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40A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E7EC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 патр.</w:t>
            </w:r>
          </w:p>
        </w:tc>
        <w:tc>
          <w:tcPr>
            <w:tcW w:w="848" w:type="dxa"/>
            <w:tcBorders>
              <w:top w:val="single" w:sz="6" w:space="0" w:color="auto"/>
              <w:left w:val="single" w:sz="6" w:space="0" w:color="auto"/>
              <w:bottom w:val="single" w:sz="6" w:space="0" w:color="auto"/>
              <w:right w:val="single" w:sz="6" w:space="0" w:color="auto"/>
            </w:tcBorders>
          </w:tcPr>
          <w:p w14:paraId="40C637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F4C6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4BC3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A8F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D09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092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FCE8F3" w14:textId="77777777" w:rsidTr="00ED5B0A">
        <w:tc>
          <w:tcPr>
            <w:tcW w:w="1242" w:type="dxa"/>
            <w:tcBorders>
              <w:top w:val="single" w:sz="6" w:space="0" w:color="auto"/>
              <w:left w:val="single" w:sz="6" w:space="0" w:color="auto"/>
              <w:bottom w:val="single" w:sz="6" w:space="0" w:color="auto"/>
              <w:right w:val="single" w:sz="6" w:space="0" w:color="auto"/>
            </w:tcBorders>
          </w:tcPr>
          <w:p w14:paraId="7E822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М-71Ф</w:t>
            </w:r>
          </w:p>
        </w:tc>
        <w:tc>
          <w:tcPr>
            <w:tcW w:w="431" w:type="dxa"/>
            <w:tcBorders>
              <w:top w:val="single" w:sz="6" w:space="0" w:color="auto"/>
              <w:left w:val="single" w:sz="6" w:space="0" w:color="auto"/>
              <w:bottom w:val="single" w:sz="6" w:space="0" w:color="auto"/>
              <w:right w:val="single" w:sz="6" w:space="0" w:color="auto"/>
            </w:tcBorders>
          </w:tcPr>
          <w:p w14:paraId="61DAC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139C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42F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4ACC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19CDB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A843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3ECA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D91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9FDF6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F48D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E23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21E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E189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76EA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4B0575" w14:textId="77777777" w:rsidTr="00ED5B0A">
        <w:tc>
          <w:tcPr>
            <w:tcW w:w="1242" w:type="dxa"/>
            <w:tcBorders>
              <w:top w:val="single" w:sz="6" w:space="0" w:color="auto"/>
              <w:left w:val="single" w:sz="6" w:space="0" w:color="auto"/>
              <w:bottom w:val="single" w:sz="6" w:space="0" w:color="auto"/>
              <w:right w:val="single" w:sz="6" w:space="0" w:color="auto"/>
            </w:tcBorders>
          </w:tcPr>
          <w:p w14:paraId="1081A6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ТК-3</w:t>
            </w:r>
          </w:p>
        </w:tc>
        <w:tc>
          <w:tcPr>
            <w:tcW w:w="431" w:type="dxa"/>
            <w:tcBorders>
              <w:top w:val="single" w:sz="6" w:space="0" w:color="auto"/>
              <w:left w:val="single" w:sz="6" w:space="0" w:color="auto"/>
              <w:bottom w:val="single" w:sz="6" w:space="0" w:color="auto"/>
              <w:right w:val="single" w:sz="6" w:space="0" w:color="auto"/>
            </w:tcBorders>
          </w:tcPr>
          <w:p w14:paraId="58D45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5E1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1EFB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7D60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5FDE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320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2CAC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D07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015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9694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C38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7B79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F5F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5E36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5E0AA0" w14:textId="77777777" w:rsidTr="00ED5B0A">
        <w:tc>
          <w:tcPr>
            <w:tcW w:w="1242" w:type="dxa"/>
            <w:tcBorders>
              <w:top w:val="single" w:sz="6" w:space="0" w:color="auto"/>
              <w:left w:val="single" w:sz="6" w:space="0" w:color="auto"/>
              <w:bottom w:val="single" w:sz="6" w:space="0" w:color="auto"/>
              <w:right w:val="single" w:sz="6" w:space="0" w:color="auto"/>
            </w:tcBorders>
          </w:tcPr>
          <w:p w14:paraId="701D10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60925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7DEC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A02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DBBC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E13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2449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3754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BD8A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B7B0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95617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E36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C762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21FB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C82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025517" w14:textId="77777777" w:rsidTr="00ED5B0A">
        <w:tc>
          <w:tcPr>
            <w:tcW w:w="1242" w:type="dxa"/>
            <w:tcBorders>
              <w:top w:val="single" w:sz="6" w:space="0" w:color="auto"/>
              <w:left w:val="single" w:sz="6" w:space="0" w:color="auto"/>
              <w:bottom w:val="single" w:sz="6" w:space="0" w:color="auto"/>
              <w:right w:val="single" w:sz="6" w:space="0" w:color="auto"/>
            </w:tcBorders>
          </w:tcPr>
          <w:p w14:paraId="71CA72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Мясищев</w:t>
            </w:r>
          </w:p>
        </w:tc>
        <w:tc>
          <w:tcPr>
            <w:tcW w:w="431" w:type="dxa"/>
            <w:tcBorders>
              <w:top w:val="single" w:sz="6" w:space="0" w:color="auto"/>
              <w:left w:val="single" w:sz="6" w:space="0" w:color="auto"/>
              <w:bottom w:val="single" w:sz="6" w:space="0" w:color="auto"/>
              <w:right w:val="single" w:sz="6" w:space="0" w:color="auto"/>
            </w:tcBorders>
          </w:tcPr>
          <w:p w14:paraId="7EA95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2AFB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F8B9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E30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332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143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6D6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D238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4BDBD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12B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538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A5E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E7A2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4931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6A9836" w14:textId="77777777" w:rsidTr="00ED5B0A">
        <w:tc>
          <w:tcPr>
            <w:tcW w:w="1242" w:type="dxa"/>
            <w:tcBorders>
              <w:top w:val="single" w:sz="6" w:space="0" w:color="auto"/>
              <w:left w:val="single" w:sz="6" w:space="0" w:color="auto"/>
              <w:bottom w:val="single" w:sz="6" w:space="0" w:color="auto"/>
              <w:right w:val="single" w:sz="6" w:space="0" w:color="auto"/>
            </w:tcBorders>
          </w:tcPr>
          <w:p w14:paraId="32873E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же</w:t>
            </w:r>
          </w:p>
        </w:tc>
        <w:tc>
          <w:tcPr>
            <w:tcW w:w="431" w:type="dxa"/>
            <w:tcBorders>
              <w:top w:val="single" w:sz="6" w:space="0" w:color="auto"/>
              <w:left w:val="single" w:sz="6" w:space="0" w:color="auto"/>
              <w:bottom w:val="single" w:sz="6" w:space="0" w:color="auto"/>
              <w:right w:val="single" w:sz="6" w:space="0" w:color="auto"/>
            </w:tcBorders>
          </w:tcPr>
          <w:p w14:paraId="0975A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022C7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w:t>
            </w:r>
          </w:p>
        </w:tc>
        <w:tc>
          <w:tcPr>
            <w:tcW w:w="567" w:type="dxa"/>
            <w:tcBorders>
              <w:top w:val="single" w:sz="6" w:space="0" w:color="auto"/>
              <w:left w:val="single" w:sz="6" w:space="0" w:color="auto"/>
              <w:bottom w:val="single" w:sz="6" w:space="0" w:color="auto"/>
              <w:right w:val="single" w:sz="6" w:space="0" w:color="auto"/>
            </w:tcBorders>
          </w:tcPr>
          <w:p w14:paraId="00328C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567" w:type="dxa"/>
            <w:tcBorders>
              <w:top w:val="single" w:sz="6" w:space="0" w:color="auto"/>
              <w:left w:val="single" w:sz="6" w:space="0" w:color="auto"/>
              <w:bottom w:val="single" w:sz="6" w:space="0" w:color="auto"/>
              <w:right w:val="single" w:sz="6" w:space="0" w:color="auto"/>
            </w:tcBorders>
          </w:tcPr>
          <w:p w14:paraId="2E41A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27F3FA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55E4B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10/5000</w:t>
            </w:r>
          </w:p>
        </w:tc>
        <w:tc>
          <w:tcPr>
            <w:tcW w:w="783" w:type="dxa"/>
            <w:tcBorders>
              <w:top w:val="single" w:sz="6" w:space="0" w:color="auto"/>
              <w:left w:val="single" w:sz="6" w:space="0" w:color="auto"/>
              <w:bottom w:val="single" w:sz="6" w:space="0" w:color="auto"/>
              <w:right w:val="single" w:sz="6" w:space="0" w:color="auto"/>
            </w:tcBorders>
          </w:tcPr>
          <w:p w14:paraId="425FD4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123" w:type="dxa"/>
            <w:tcBorders>
              <w:top w:val="single" w:sz="6" w:space="0" w:color="auto"/>
              <w:left w:val="single" w:sz="6" w:space="0" w:color="auto"/>
              <w:bottom w:val="single" w:sz="6" w:space="0" w:color="auto"/>
              <w:right w:val="single" w:sz="6" w:space="0" w:color="auto"/>
            </w:tcBorders>
          </w:tcPr>
          <w:p w14:paraId="71666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48" w:type="dxa"/>
            <w:tcBorders>
              <w:top w:val="single" w:sz="6" w:space="0" w:color="auto"/>
              <w:left w:val="single" w:sz="6" w:space="0" w:color="auto"/>
              <w:bottom w:val="single" w:sz="6" w:space="0" w:color="auto"/>
              <w:right w:val="single" w:sz="6" w:space="0" w:color="auto"/>
            </w:tcBorders>
          </w:tcPr>
          <w:p w14:paraId="7F827A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4B9D8B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5EEDA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673EBA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1.II.44</w:t>
            </w:r>
          </w:p>
        </w:tc>
        <w:tc>
          <w:tcPr>
            <w:tcW w:w="621" w:type="dxa"/>
            <w:tcBorders>
              <w:top w:val="single" w:sz="6" w:space="0" w:color="auto"/>
              <w:left w:val="single" w:sz="6" w:space="0" w:color="auto"/>
              <w:bottom w:val="single" w:sz="6" w:space="0" w:color="auto"/>
              <w:right w:val="single" w:sz="6" w:space="0" w:color="auto"/>
            </w:tcBorders>
          </w:tcPr>
          <w:p w14:paraId="6C8C5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EB2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778531" w14:textId="77777777" w:rsidTr="00ED5B0A">
        <w:tc>
          <w:tcPr>
            <w:tcW w:w="1242" w:type="dxa"/>
            <w:tcBorders>
              <w:top w:val="single" w:sz="6" w:space="0" w:color="auto"/>
              <w:left w:val="single" w:sz="6" w:space="0" w:color="auto"/>
              <w:bottom w:val="single" w:sz="6" w:space="0" w:color="auto"/>
              <w:right w:val="single" w:sz="6" w:space="0" w:color="auto"/>
            </w:tcBorders>
          </w:tcPr>
          <w:p w14:paraId="465E4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с</w:t>
            </w:r>
          </w:p>
        </w:tc>
        <w:tc>
          <w:tcPr>
            <w:tcW w:w="431" w:type="dxa"/>
            <w:tcBorders>
              <w:top w:val="single" w:sz="6" w:space="0" w:color="auto"/>
              <w:left w:val="single" w:sz="6" w:space="0" w:color="auto"/>
              <w:bottom w:val="single" w:sz="6" w:space="0" w:color="auto"/>
              <w:right w:val="single" w:sz="6" w:space="0" w:color="auto"/>
            </w:tcBorders>
          </w:tcPr>
          <w:p w14:paraId="295A31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434A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786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6D8984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B5F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3400</w:t>
            </w:r>
          </w:p>
        </w:tc>
        <w:tc>
          <w:tcPr>
            <w:tcW w:w="783" w:type="dxa"/>
            <w:tcBorders>
              <w:top w:val="single" w:sz="6" w:space="0" w:color="auto"/>
              <w:left w:val="single" w:sz="6" w:space="0" w:color="auto"/>
              <w:bottom w:val="single" w:sz="6" w:space="0" w:color="auto"/>
              <w:right w:val="single" w:sz="6" w:space="0" w:color="auto"/>
            </w:tcBorders>
          </w:tcPr>
          <w:p w14:paraId="13F65A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027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28A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A6864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1EBA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8D9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9C1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52BF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865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299E56" w14:textId="77777777" w:rsidTr="00ED5B0A">
        <w:tc>
          <w:tcPr>
            <w:tcW w:w="1242" w:type="dxa"/>
            <w:tcBorders>
              <w:top w:val="single" w:sz="6" w:space="0" w:color="auto"/>
              <w:left w:val="single" w:sz="6" w:space="0" w:color="auto"/>
              <w:bottom w:val="single" w:sz="6" w:space="0" w:color="auto"/>
              <w:right w:val="single" w:sz="6" w:space="0" w:color="auto"/>
            </w:tcBorders>
          </w:tcPr>
          <w:p w14:paraId="3B3D78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МБ-102</w:t>
            </w:r>
          </w:p>
        </w:tc>
        <w:tc>
          <w:tcPr>
            <w:tcW w:w="431" w:type="dxa"/>
            <w:tcBorders>
              <w:top w:val="single" w:sz="6" w:space="0" w:color="auto"/>
              <w:left w:val="single" w:sz="6" w:space="0" w:color="auto"/>
              <w:bottom w:val="single" w:sz="6" w:space="0" w:color="auto"/>
              <w:right w:val="single" w:sz="6" w:space="0" w:color="auto"/>
            </w:tcBorders>
          </w:tcPr>
          <w:p w14:paraId="403FD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B4088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C5F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88B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FF68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599E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354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9E22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48A5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D9AA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E6B89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873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E51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C1E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322507" w14:textId="77777777" w:rsidTr="00ED5B0A">
        <w:tc>
          <w:tcPr>
            <w:tcW w:w="1242" w:type="dxa"/>
            <w:tcBorders>
              <w:top w:val="single" w:sz="6" w:space="0" w:color="auto"/>
              <w:left w:val="single" w:sz="6" w:space="0" w:color="auto"/>
              <w:bottom w:val="single" w:sz="6" w:space="0" w:color="auto"/>
              <w:right w:val="single" w:sz="6" w:space="0" w:color="auto"/>
            </w:tcBorders>
          </w:tcPr>
          <w:p w14:paraId="44AC3A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Ночной</w:t>
            </w:r>
          </w:p>
        </w:tc>
        <w:tc>
          <w:tcPr>
            <w:tcW w:w="431" w:type="dxa"/>
            <w:tcBorders>
              <w:top w:val="single" w:sz="6" w:space="0" w:color="auto"/>
              <w:left w:val="single" w:sz="6" w:space="0" w:color="auto"/>
              <w:bottom w:val="single" w:sz="6" w:space="0" w:color="auto"/>
              <w:right w:val="single" w:sz="6" w:space="0" w:color="auto"/>
            </w:tcBorders>
          </w:tcPr>
          <w:p w14:paraId="1E4B8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525EA7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436</w:t>
            </w:r>
          </w:p>
        </w:tc>
        <w:tc>
          <w:tcPr>
            <w:tcW w:w="567" w:type="dxa"/>
            <w:tcBorders>
              <w:top w:val="single" w:sz="6" w:space="0" w:color="auto"/>
              <w:left w:val="single" w:sz="6" w:space="0" w:color="auto"/>
              <w:bottom w:val="single" w:sz="6" w:space="0" w:color="auto"/>
              <w:right w:val="single" w:sz="6" w:space="0" w:color="auto"/>
            </w:tcBorders>
          </w:tcPr>
          <w:p w14:paraId="144312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505/</w:t>
            </w:r>
          </w:p>
        </w:tc>
        <w:tc>
          <w:tcPr>
            <w:tcW w:w="567" w:type="dxa"/>
            <w:tcBorders>
              <w:top w:val="single" w:sz="6" w:space="0" w:color="auto"/>
              <w:left w:val="single" w:sz="6" w:space="0" w:color="auto"/>
              <w:bottom w:val="single" w:sz="6" w:space="0" w:color="auto"/>
              <w:right w:val="single" w:sz="6" w:space="0" w:color="auto"/>
            </w:tcBorders>
          </w:tcPr>
          <w:p w14:paraId="6C20E0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w:t>
            </w:r>
          </w:p>
        </w:tc>
        <w:tc>
          <w:tcPr>
            <w:tcW w:w="709" w:type="dxa"/>
            <w:tcBorders>
              <w:top w:val="single" w:sz="6" w:space="0" w:color="auto"/>
              <w:left w:val="single" w:sz="6" w:space="0" w:color="auto"/>
              <w:bottom w:val="single" w:sz="6" w:space="0" w:color="auto"/>
              <w:right w:val="single" w:sz="6" w:space="0" w:color="auto"/>
            </w:tcBorders>
          </w:tcPr>
          <w:p w14:paraId="44636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783" w:type="dxa"/>
            <w:tcBorders>
              <w:top w:val="single" w:sz="6" w:space="0" w:color="auto"/>
              <w:left w:val="single" w:sz="6" w:space="0" w:color="auto"/>
              <w:bottom w:val="single" w:sz="6" w:space="0" w:color="auto"/>
              <w:right w:val="single" w:sz="6" w:space="0" w:color="auto"/>
            </w:tcBorders>
          </w:tcPr>
          <w:p w14:paraId="3456B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w:t>
            </w:r>
          </w:p>
        </w:tc>
        <w:tc>
          <w:tcPr>
            <w:tcW w:w="783" w:type="dxa"/>
            <w:tcBorders>
              <w:top w:val="single" w:sz="6" w:space="0" w:color="auto"/>
              <w:left w:val="single" w:sz="6" w:space="0" w:color="auto"/>
              <w:bottom w:val="single" w:sz="6" w:space="0" w:color="auto"/>
              <w:right w:val="single" w:sz="6" w:space="0" w:color="auto"/>
            </w:tcBorders>
          </w:tcPr>
          <w:p w14:paraId="7D830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1123" w:type="dxa"/>
            <w:tcBorders>
              <w:top w:val="single" w:sz="6" w:space="0" w:color="auto"/>
              <w:left w:val="single" w:sz="6" w:space="0" w:color="auto"/>
              <w:bottom w:val="single" w:sz="6" w:space="0" w:color="auto"/>
              <w:right w:val="single" w:sz="6" w:space="0" w:color="auto"/>
            </w:tcBorders>
          </w:tcPr>
          <w:p w14:paraId="26F87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2420C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410" w:type="dxa"/>
            <w:tcBorders>
              <w:top w:val="single" w:sz="6" w:space="0" w:color="auto"/>
              <w:left w:val="single" w:sz="6" w:space="0" w:color="auto"/>
              <w:bottom w:val="single" w:sz="6" w:space="0" w:color="auto"/>
              <w:right w:val="single" w:sz="6" w:space="0" w:color="auto"/>
            </w:tcBorders>
          </w:tcPr>
          <w:p w14:paraId="17DBA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бака</w:t>
            </w:r>
          </w:p>
        </w:tc>
        <w:tc>
          <w:tcPr>
            <w:tcW w:w="943" w:type="dxa"/>
            <w:tcBorders>
              <w:top w:val="single" w:sz="6" w:space="0" w:color="auto"/>
              <w:left w:val="single" w:sz="6" w:space="0" w:color="auto"/>
              <w:bottom w:val="single" w:sz="6" w:space="0" w:color="auto"/>
              <w:right w:val="single" w:sz="6" w:space="0" w:color="auto"/>
            </w:tcBorders>
          </w:tcPr>
          <w:p w14:paraId="607B2F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70C9E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15.XII.43</w:t>
            </w:r>
          </w:p>
        </w:tc>
        <w:tc>
          <w:tcPr>
            <w:tcW w:w="621" w:type="dxa"/>
            <w:tcBorders>
              <w:top w:val="single" w:sz="6" w:space="0" w:color="auto"/>
              <w:left w:val="single" w:sz="6" w:space="0" w:color="auto"/>
              <w:bottom w:val="single" w:sz="6" w:space="0" w:color="auto"/>
              <w:right w:val="single" w:sz="6" w:space="0" w:color="auto"/>
            </w:tcBorders>
          </w:tcPr>
          <w:p w14:paraId="0BF54A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3ED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26A93F" w14:textId="77777777" w:rsidTr="00ED5B0A">
        <w:tc>
          <w:tcPr>
            <w:tcW w:w="1242" w:type="dxa"/>
            <w:tcBorders>
              <w:top w:val="single" w:sz="6" w:space="0" w:color="auto"/>
              <w:left w:val="single" w:sz="6" w:space="0" w:color="auto"/>
              <w:bottom w:val="single" w:sz="6" w:space="0" w:color="auto"/>
              <w:right w:val="single" w:sz="6" w:space="0" w:color="auto"/>
            </w:tcBorders>
          </w:tcPr>
          <w:p w14:paraId="08C37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w:t>
            </w:r>
          </w:p>
        </w:tc>
        <w:tc>
          <w:tcPr>
            <w:tcW w:w="431" w:type="dxa"/>
            <w:tcBorders>
              <w:top w:val="single" w:sz="6" w:space="0" w:color="auto"/>
              <w:left w:val="single" w:sz="6" w:space="0" w:color="auto"/>
              <w:bottom w:val="single" w:sz="6" w:space="0" w:color="auto"/>
              <w:right w:val="single" w:sz="6" w:space="0" w:color="auto"/>
            </w:tcBorders>
          </w:tcPr>
          <w:p w14:paraId="4D34E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43E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0264B6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6250</w:t>
            </w:r>
          </w:p>
        </w:tc>
        <w:tc>
          <w:tcPr>
            <w:tcW w:w="567" w:type="dxa"/>
            <w:tcBorders>
              <w:top w:val="single" w:sz="6" w:space="0" w:color="auto"/>
              <w:left w:val="single" w:sz="6" w:space="0" w:color="auto"/>
              <w:bottom w:val="single" w:sz="6" w:space="0" w:color="auto"/>
              <w:right w:val="single" w:sz="6" w:space="0" w:color="auto"/>
            </w:tcBorders>
          </w:tcPr>
          <w:p w14:paraId="6CBFB6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CF0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783" w:type="dxa"/>
            <w:tcBorders>
              <w:top w:val="single" w:sz="6" w:space="0" w:color="auto"/>
              <w:left w:val="single" w:sz="6" w:space="0" w:color="auto"/>
              <w:bottom w:val="single" w:sz="6" w:space="0" w:color="auto"/>
              <w:right w:val="single" w:sz="6" w:space="0" w:color="auto"/>
            </w:tcBorders>
          </w:tcPr>
          <w:p w14:paraId="4E22F8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9A1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961A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1BBF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024A0D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w:t>
            </w:r>
          </w:p>
        </w:tc>
        <w:tc>
          <w:tcPr>
            <w:tcW w:w="943" w:type="dxa"/>
            <w:tcBorders>
              <w:top w:val="single" w:sz="6" w:space="0" w:color="auto"/>
              <w:left w:val="single" w:sz="6" w:space="0" w:color="auto"/>
              <w:bottom w:val="single" w:sz="6" w:space="0" w:color="auto"/>
              <w:right w:val="single" w:sz="6" w:space="0" w:color="auto"/>
            </w:tcBorders>
          </w:tcPr>
          <w:p w14:paraId="6DEBDF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E9AC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9C1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C0F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DA3A2F" w14:textId="77777777" w:rsidTr="00ED5B0A">
        <w:tc>
          <w:tcPr>
            <w:tcW w:w="1242" w:type="dxa"/>
            <w:tcBorders>
              <w:top w:val="single" w:sz="6" w:space="0" w:color="auto"/>
              <w:left w:val="single" w:sz="6" w:space="0" w:color="auto"/>
              <w:bottom w:val="single" w:sz="6" w:space="0" w:color="auto"/>
              <w:right w:val="single" w:sz="6" w:space="0" w:color="auto"/>
            </w:tcBorders>
          </w:tcPr>
          <w:p w14:paraId="6937B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431" w:type="dxa"/>
            <w:tcBorders>
              <w:top w:val="single" w:sz="6" w:space="0" w:color="auto"/>
              <w:left w:val="single" w:sz="6" w:space="0" w:color="auto"/>
              <w:bottom w:val="single" w:sz="6" w:space="0" w:color="auto"/>
              <w:right w:val="single" w:sz="6" w:space="0" w:color="auto"/>
            </w:tcBorders>
          </w:tcPr>
          <w:p w14:paraId="1A0F50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8984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65DE4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9DA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B3B3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E9A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7FAF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CAC3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патр.</w:t>
            </w:r>
          </w:p>
        </w:tc>
        <w:tc>
          <w:tcPr>
            <w:tcW w:w="848" w:type="dxa"/>
            <w:tcBorders>
              <w:top w:val="single" w:sz="6" w:space="0" w:color="auto"/>
              <w:left w:val="single" w:sz="6" w:space="0" w:color="auto"/>
              <w:bottom w:val="single" w:sz="6" w:space="0" w:color="auto"/>
              <w:right w:val="single" w:sz="6" w:space="0" w:color="auto"/>
            </w:tcBorders>
          </w:tcPr>
          <w:p w14:paraId="07C92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кг</w:t>
            </w:r>
          </w:p>
        </w:tc>
        <w:tc>
          <w:tcPr>
            <w:tcW w:w="410" w:type="dxa"/>
            <w:tcBorders>
              <w:top w:val="single" w:sz="6" w:space="0" w:color="auto"/>
              <w:left w:val="single" w:sz="6" w:space="0" w:color="auto"/>
              <w:bottom w:val="single" w:sz="6" w:space="0" w:color="auto"/>
              <w:right w:val="single" w:sz="6" w:space="0" w:color="auto"/>
            </w:tcBorders>
          </w:tcPr>
          <w:p w14:paraId="4C016C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D9B1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E02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87B6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74E0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534B52" w14:textId="77777777" w:rsidTr="00ED5B0A">
        <w:tc>
          <w:tcPr>
            <w:tcW w:w="1242" w:type="dxa"/>
            <w:tcBorders>
              <w:top w:val="single" w:sz="6" w:space="0" w:color="auto"/>
              <w:left w:val="single" w:sz="6" w:space="0" w:color="auto"/>
              <w:bottom w:val="single" w:sz="6" w:space="0" w:color="auto"/>
              <w:right w:val="single" w:sz="6" w:space="0" w:color="auto"/>
            </w:tcBorders>
          </w:tcPr>
          <w:p w14:paraId="79F6F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смешанной</w:t>
            </w:r>
          </w:p>
        </w:tc>
        <w:tc>
          <w:tcPr>
            <w:tcW w:w="431" w:type="dxa"/>
            <w:tcBorders>
              <w:top w:val="single" w:sz="6" w:space="0" w:color="auto"/>
              <w:left w:val="single" w:sz="6" w:space="0" w:color="auto"/>
              <w:bottom w:val="single" w:sz="6" w:space="0" w:color="auto"/>
              <w:right w:val="single" w:sz="6" w:space="0" w:color="auto"/>
            </w:tcBorders>
          </w:tcPr>
          <w:p w14:paraId="11A20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05C3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472</w:t>
            </w:r>
          </w:p>
        </w:tc>
        <w:tc>
          <w:tcPr>
            <w:tcW w:w="567" w:type="dxa"/>
            <w:tcBorders>
              <w:top w:val="single" w:sz="6" w:space="0" w:color="auto"/>
              <w:left w:val="single" w:sz="6" w:space="0" w:color="auto"/>
              <w:bottom w:val="single" w:sz="6" w:space="0" w:color="auto"/>
              <w:right w:val="single" w:sz="6" w:space="0" w:color="auto"/>
            </w:tcBorders>
          </w:tcPr>
          <w:p w14:paraId="3CE6E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912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681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574B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1B7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A172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434E8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CB88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11C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AEF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D35B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766D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DA2DE8" w14:textId="77777777" w:rsidTr="00ED5B0A">
        <w:tc>
          <w:tcPr>
            <w:tcW w:w="1242" w:type="dxa"/>
            <w:tcBorders>
              <w:top w:val="single" w:sz="6" w:space="0" w:color="auto"/>
              <w:left w:val="single" w:sz="6" w:space="0" w:color="auto"/>
              <w:bottom w:val="single" w:sz="6" w:space="0" w:color="auto"/>
              <w:right w:val="single" w:sz="6" w:space="0" w:color="auto"/>
            </w:tcBorders>
          </w:tcPr>
          <w:p w14:paraId="1C7D6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w:t>
            </w:r>
          </w:p>
        </w:tc>
        <w:tc>
          <w:tcPr>
            <w:tcW w:w="431" w:type="dxa"/>
            <w:tcBorders>
              <w:top w:val="single" w:sz="6" w:space="0" w:color="auto"/>
              <w:left w:val="single" w:sz="6" w:space="0" w:color="auto"/>
              <w:bottom w:val="single" w:sz="6" w:space="0" w:color="auto"/>
              <w:right w:val="single" w:sz="6" w:space="0" w:color="auto"/>
            </w:tcBorders>
          </w:tcPr>
          <w:p w14:paraId="12C19A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858B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9F3C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D22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39C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D08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F9F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AC7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EBC98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42807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EB519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AA1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C16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9589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8861C0" w14:textId="77777777" w:rsidTr="00ED5B0A">
        <w:tc>
          <w:tcPr>
            <w:tcW w:w="1242" w:type="dxa"/>
            <w:tcBorders>
              <w:top w:val="single" w:sz="6" w:space="0" w:color="auto"/>
              <w:left w:val="single" w:sz="6" w:space="0" w:color="auto"/>
              <w:bottom w:val="single" w:sz="6" w:space="0" w:color="auto"/>
              <w:right w:val="single" w:sz="6" w:space="0" w:color="auto"/>
            </w:tcBorders>
          </w:tcPr>
          <w:p w14:paraId="261FF6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М-82</w:t>
            </w:r>
          </w:p>
        </w:tc>
        <w:tc>
          <w:tcPr>
            <w:tcW w:w="431" w:type="dxa"/>
            <w:tcBorders>
              <w:top w:val="single" w:sz="6" w:space="0" w:color="auto"/>
              <w:left w:val="single" w:sz="6" w:space="0" w:color="auto"/>
              <w:bottom w:val="single" w:sz="6" w:space="0" w:color="auto"/>
              <w:right w:val="single" w:sz="6" w:space="0" w:color="auto"/>
            </w:tcBorders>
          </w:tcPr>
          <w:p w14:paraId="332FF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1A6A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3DE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6EC0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2E8D8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9B3EF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E907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CAD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4FAD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73E7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29B1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41A54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28EF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71E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A25472" w14:textId="77777777" w:rsidTr="00ED5B0A">
        <w:tc>
          <w:tcPr>
            <w:tcW w:w="1242" w:type="dxa"/>
            <w:tcBorders>
              <w:top w:val="single" w:sz="6" w:space="0" w:color="auto"/>
              <w:left w:val="single" w:sz="6" w:space="0" w:color="auto"/>
              <w:bottom w:val="single" w:sz="6" w:space="0" w:color="auto"/>
              <w:right w:val="single" w:sz="6" w:space="0" w:color="auto"/>
            </w:tcBorders>
          </w:tcPr>
          <w:p w14:paraId="1E1ACD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53D3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C70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15F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F5D8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913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6DA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19B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5CFDC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25A92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7ADCA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4662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319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4E1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9F62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055286" w14:textId="77777777" w:rsidTr="00ED5B0A">
        <w:tc>
          <w:tcPr>
            <w:tcW w:w="1242" w:type="dxa"/>
            <w:tcBorders>
              <w:top w:val="single" w:sz="6" w:space="0" w:color="auto"/>
              <w:left w:val="single" w:sz="6" w:space="0" w:color="auto"/>
              <w:bottom w:val="single" w:sz="6" w:space="0" w:color="auto"/>
              <w:right w:val="single" w:sz="6" w:space="0" w:color="auto"/>
            </w:tcBorders>
          </w:tcPr>
          <w:p w14:paraId="0B8E5E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w:t>
            </w:r>
          </w:p>
        </w:tc>
        <w:tc>
          <w:tcPr>
            <w:tcW w:w="431" w:type="dxa"/>
            <w:tcBorders>
              <w:top w:val="single" w:sz="6" w:space="0" w:color="auto"/>
              <w:left w:val="single" w:sz="6" w:space="0" w:color="auto"/>
              <w:bottom w:val="single" w:sz="6" w:space="0" w:color="auto"/>
              <w:right w:val="single" w:sz="6" w:space="0" w:color="auto"/>
            </w:tcBorders>
          </w:tcPr>
          <w:p w14:paraId="6FBADA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6BF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F369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D73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922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14B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EA8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346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F3AE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27FF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7CD2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99984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804A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C85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EA3363" w14:textId="77777777" w:rsidTr="00ED5B0A">
        <w:tc>
          <w:tcPr>
            <w:tcW w:w="1242" w:type="dxa"/>
            <w:tcBorders>
              <w:top w:val="single" w:sz="6" w:space="0" w:color="auto"/>
              <w:left w:val="single" w:sz="6" w:space="0" w:color="auto"/>
              <w:bottom w:val="single" w:sz="6" w:space="0" w:color="auto"/>
              <w:right w:val="single" w:sz="6" w:space="0" w:color="auto"/>
            </w:tcBorders>
          </w:tcPr>
          <w:p w14:paraId="503BD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22DFB8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7BB2A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tc>
        <w:tc>
          <w:tcPr>
            <w:tcW w:w="567" w:type="dxa"/>
            <w:tcBorders>
              <w:top w:val="single" w:sz="6" w:space="0" w:color="auto"/>
              <w:left w:val="single" w:sz="6" w:space="0" w:color="auto"/>
              <w:bottom w:val="single" w:sz="6" w:space="0" w:color="auto"/>
              <w:right w:val="single" w:sz="6" w:space="0" w:color="auto"/>
            </w:tcBorders>
          </w:tcPr>
          <w:p w14:paraId="0F5BF0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567" w:type="dxa"/>
            <w:tcBorders>
              <w:top w:val="single" w:sz="6" w:space="0" w:color="auto"/>
              <w:left w:val="single" w:sz="6" w:space="0" w:color="auto"/>
              <w:bottom w:val="single" w:sz="6" w:space="0" w:color="auto"/>
              <w:right w:val="single" w:sz="6" w:space="0" w:color="auto"/>
            </w:tcBorders>
          </w:tcPr>
          <w:p w14:paraId="551AA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709" w:type="dxa"/>
            <w:tcBorders>
              <w:top w:val="single" w:sz="6" w:space="0" w:color="auto"/>
              <w:left w:val="single" w:sz="6" w:space="0" w:color="auto"/>
              <w:bottom w:val="single" w:sz="6" w:space="0" w:color="auto"/>
              <w:right w:val="single" w:sz="6" w:space="0" w:color="auto"/>
            </w:tcBorders>
          </w:tcPr>
          <w:p w14:paraId="7B04E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05CA84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12/5000</w:t>
            </w:r>
          </w:p>
        </w:tc>
        <w:tc>
          <w:tcPr>
            <w:tcW w:w="783" w:type="dxa"/>
            <w:tcBorders>
              <w:top w:val="single" w:sz="6" w:space="0" w:color="auto"/>
              <w:left w:val="single" w:sz="6" w:space="0" w:color="auto"/>
              <w:bottom w:val="single" w:sz="6" w:space="0" w:color="auto"/>
              <w:right w:val="single" w:sz="6" w:space="0" w:color="auto"/>
            </w:tcBorders>
          </w:tcPr>
          <w:p w14:paraId="454D28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9900</w:t>
            </w:r>
          </w:p>
        </w:tc>
        <w:tc>
          <w:tcPr>
            <w:tcW w:w="1123" w:type="dxa"/>
            <w:tcBorders>
              <w:top w:val="single" w:sz="6" w:space="0" w:color="auto"/>
              <w:left w:val="single" w:sz="6" w:space="0" w:color="auto"/>
              <w:bottom w:val="single" w:sz="6" w:space="0" w:color="auto"/>
              <w:right w:val="single" w:sz="6" w:space="0" w:color="auto"/>
            </w:tcBorders>
          </w:tcPr>
          <w:p w14:paraId="3C19ED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49B4B6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410" w:type="dxa"/>
            <w:tcBorders>
              <w:top w:val="single" w:sz="6" w:space="0" w:color="auto"/>
              <w:left w:val="single" w:sz="6" w:space="0" w:color="auto"/>
              <w:bottom w:val="single" w:sz="6" w:space="0" w:color="auto"/>
              <w:right w:val="single" w:sz="6" w:space="0" w:color="auto"/>
            </w:tcBorders>
          </w:tcPr>
          <w:p w14:paraId="34DC3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ВАП</w:t>
            </w:r>
          </w:p>
        </w:tc>
        <w:tc>
          <w:tcPr>
            <w:tcW w:w="943" w:type="dxa"/>
            <w:tcBorders>
              <w:top w:val="single" w:sz="6" w:space="0" w:color="auto"/>
              <w:left w:val="single" w:sz="6" w:space="0" w:color="auto"/>
              <w:bottom w:val="single" w:sz="6" w:space="0" w:color="auto"/>
              <w:right w:val="single" w:sz="6" w:space="0" w:color="auto"/>
            </w:tcBorders>
          </w:tcPr>
          <w:p w14:paraId="7F41DA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1C6D87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1.II.44</w:t>
            </w:r>
          </w:p>
        </w:tc>
        <w:tc>
          <w:tcPr>
            <w:tcW w:w="621" w:type="dxa"/>
            <w:tcBorders>
              <w:top w:val="single" w:sz="6" w:space="0" w:color="auto"/>
              <w:left w:val="single" w:sz="6" w:space="0" w:color="auto"/>
              <w:bottom w:val="single" w:sz="6" w:space="0" w:color="auto"/>
              <w:right w:val="single" w:sz="6" w:space="0" w:color="auto"/>
            </w:tcBorders>
          </w:tcPr>
          <w:p w14:paraId="30EEE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28AF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4747AB" w14:textId="77777777" w:rsidTr="00ED5B0A">
        <w:tc>
          <w:tcPr>
            <w:tcW w:w="1242" w:type="dxa"/>
            <w:tcBorders>
              <w:top w:val="single" w:sz="6" w:space="0" w:color="auto"/>
              <w:left w:val="single" w:sz="6" w:space="0" w:color="auto"/>
              <w:bottom w:val="single" w:sz="6" w:space="0" w:color="auto"/>
              <w:right w:val="single" w:sz="6" w:space="0" w:color="auto"/>
            </w:tcBorders>
          </w:tcPr>
          <w:p w14:paraId="52C21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двухмоторн.</w:t>
            </w:r>
          </w:p>
        </w:tc>
        <w:tc>
          <w:tcPr>
            <w:tcW w:w="431" w:type="dxa"/>
            <w:tcBorders>
              <w:top w:val="single" w:sz="6" w:space="0" w:color="auto"/>
              <w:left w:val="single" w:sz="6" w:space="0" w:color="auto"/>
              <w:bottom w:val="single" w:sz="6" w:space="0" w:color="auto"/>
              <w:right w:val="single" w:sz="6" w:space="0" w:color="auto"/>
            </w:tcBorders>
          </w:tcPr>
          <w:p w14:paraId="7AACE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6D1D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21F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6700</w:t>
            </w:r>
          </w:p>
        </w:tc>
        <w:tc>
          <w:tcPr>
            <w:tcW w:w="567" w:type="dxa"/>
            <w:tcBorders>
              <w:top w:val="single" w:sz="6" w:space="0" w:color="auto"/>
              <w:left w:val="single" w:sz="6" w:space="0" w:color="auto"/>
              <w:bottom w:val="single" w:sz="6" w:space="0" w:color="auto"/>
              <w:right w:val="single" w:sz="6" w:space="0" w:color="auto"/>
            </w:tcBorders>
          </w:tcPr>
          <w:p w14:paraId="385A43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D0E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783" w:type="dxa"/>
            <w:tcBorders>
              <w:top w:val="single" w:sz="6" w:space="0" w:color="auto"/>
              <w:left w:val="single" w:sz="6" w:space="0" w:color="auto"/>
              <w:bottom w:val="single" w:sz="6" w:space="0" w:color="auto"/>
              <w:right w:val="single" w:sz="6" w:space="0" w:color="auto"/>
            </w:tcBorders>
          </w:tcPr>
          <w:p w14:paraId="5F61DD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6C48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2EB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04C7AD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7B4ADB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943" w:type="dxa"/>
            <w:tcBorders>
              <w:top w:val="single" w:sz="6" w:space="0" w:color="auto"/>
              <w:left w:val="single" w:sz="6" w:space="0" w:color="auto"/>
              <w:bottom w:val="single" w:sz="6" w:space="0" w:color="auto"/>
              <w:right w:val="single" w:sz="6" w:space="0" w:color="auto"/>
            </w:tcBorders>
          </w:tcPr>
          <w:p w14:paraId="01D2D2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FE26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09FC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253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39642A" w14:textId="77777777" w:rsidTr="00ED5B0A">
        <w:tc>
          <w:tcPr>
            <w:tcW w:w="1242" w:type="dxa"/>
            <w:tcBorders>
              <w:top w:val="single" w:sz="6" w:space="0" w:color="auto"/>
              <w:left w:val="single" w:sz="6" w:space="0" w:color="auto"/>
              <w:bottom w:val="single" w:sz="6" w:space="0" w:color="auto"/>
              <w:right w:val="single" w:sz="6" w:space="0" w:color="auto"/>
            </w:tcBorders>
          </w:tcPr>
          <w:p w14:paraId="32955D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273AD8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8BF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F24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3FAD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EDFA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DD9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E4D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9DD2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 патр.</w:t>
            </w:r>
          </w:p>
        </w:tc>
        <w:tc>
          <w:tcPr>
            <w:tcW w:w="848" w:type="dxa"/>
            <w:tcBorders>
              <w:top w:val="single" w:sz="6" w:space="0" w:color="auto"/>
              <w:left w:val="single" w:sz="6" w:space="0" w:color="auto"/>
              <w:bottom w:val="single" w:sz="6" w:space="0" w:color="auto"/>
              <w:right w:val="single" w:sz="6" w:space="0" w:color="auto"/>
            </w:tcBorders>
          </w:tcPr>
          <w:p w14:paraId="04F31D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DC70D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85CF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63CB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76BB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049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6595CD" w14:textId="77777777" w:rsidTr="00ED5B0A">
        <w:tc>
          <w:tcPr>
            <w:tcW w:w="1242" w:type="dxa"/>
            <w:tcBorders>
              <w:top w:val="single" w:sz="6" w:space="0" w:color="auto"/>
              <w:left w:val="single" w:sz="6" w:space="0" w:color="auto"/>
              <w:bottom w:val="single" w:sz="6" w:space="0" w:color="auto"/>
              <w:right w:val="single" w:sz="6" w:space="0" w:color="auto"/>
            </w:tcBorders>
          </w:tcPr>
          <w:p w14:paraId="19C467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АМ-39</w:t>
            </w:r>
          </w:p>
        </w:tc>
        <w:tc>
          <w:tcPr>
            <w:tcW w:w="431" w:type="dxa"/>
            <w:tcBorders>
              <w:top w:val="single" w:sz="6" w:space="0" w:color="auto"/>
              <w:left w:val="single" w:sz="6" w:space="0" w:color="auto"/>
              <w:bottom w:val="single" w:sz="6" w:space="0" w:color="auto"/>
              <w:right w:val="single" w:sz="6" w:space="0" w:color="auto"/>
            </w:tcBorders>
          </w:tcPr>
          <w:p w14:paraId="1EC024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3C7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E03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CDB0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E6BF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14307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7969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D80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626D3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F9F3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0C7F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828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1FA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971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A6CD91" w14:textId="77777777" w:rsidTr="00ED5B0A">
        <w:tc>
          <w:tcPr>
            <w:tcW w:w="1242" w:type="dxa"/>
            <w:tcBorders>
              <w:top w:val="single" w:sz="6" w:space="0" w:color="auto"/>
              <w:left w:val="single" w:sz="6" w:space="0" w:color="auto"/>
              <w:bottom w:val="single" w:sz="6" w:space="0" w:color="auto"/>
              <w:right w:val="single" w:sz="6" w:space="0" w:color="auto"/>
            </w:tcBorders>
          </w:tcPr>
          <w:p w14:paraId="3E30C4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Констркт.</w:t>
            </w:r>
          </w:p>
        </w:tc>
        <w:tc>
          <w:tcPr>
            <w:tcW w:w="431" w:type="dxa"/>
            <w:tcBorders>
              <w:top w:val="single" w:sz="6" w:space="0" w:color="auto"/>
              <w:left w:val="single" w:sz="6" w:space="0" w:color="auto"/>
              <w:bottom w:val="single" w:sz="6" w:space="0" w:color="auto"/>
              <w:right w:val="single" w:sz="6" w:space="0" w:color="auto"/>
            </w:tcBorders>
          </w:tcPr>
          <w:p w14:paraId="6FFC77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38310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2EF5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8D0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89AB5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3372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AAD63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8C0C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561346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8F0A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9FF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1BCC9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9964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C0B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7C8BD2" w14:textId="77777777" w:rsidTr="00ED5B0A">
        <w:tc>
          <w:tcPr>
            <w:tcW w:w="1242" w:type="dxa"/>
            <w:tcBorders>
              <w:top w:val="single" w:sz="6" w:space="0" w:color="auto"/>
              <w:left w:val="single" w:sz="6" w:space="0" w:color="auto"/>
              <w:bottom w:val="single" w:sz="6" w:space="0" w:color="auto"/>
              <w:right w:val="single" w:sz="6" w:space="0" w:color="auto"/>
            </w:tcBorders>
          </w:tcPr>
          <w:p w14:paraId="722916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Ермолаев</w:t>
            </w:r>
          </w:p>
        </w:tc>
        <w:tc>
          <w:tcPr>
            <w:tcW w:w="431" w:type="dxa"/>
            <w:tcBorders>
              <w:top w:val="single" w:sz="6" w:space="0" w:color="auto"/>
              <w:left w:val="single" w:sz="6" w:space="0" w:color="auto"/>
              <w:bottom w:val="single" w:sz="6" w:space="0" w:color="auto"/>
              <w:right w:val="single" w:sz="6" w:space="0" w:color="auto"/>
            </w:tcBorders>
          </w:tcPr>
          <w:p w14:paraId="2D4003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E1C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515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685B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8C3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1A50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BB70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8D24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 патр.</w:t>
            </w:r>
          </w:p>
        </w:tc>
        <w:tc>
          <w:tcPr>
            <w:tcW w:w="848" w:type="dxa"/>
            <w:tcBorders>
              <w:top w:val="single" w:sz="6" w:space="0" w:color="auto"/>
              <w:left w:val="single" w:sz="6" w:space="0" w:color="auto"/>
              <w:bottom w:val="single" w:sz="6" w:space="0" w:color="auto"/>
              <w:right w:val="single" w:sz="6" w:space="0" w:color="auto"/>
            </w:tcBorders>
          </w:tcPr>
          <w:p w14:paraId="665E3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6F20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E19C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E5DB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3A87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5DC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3F3CAE" w14:textId="77777777" w:rsidTr="00ED5B0A">
        <w:tc>
          <w:tcPr>
            <w:tcW w:w="1242" w:type="dxa"/>
            <w:tcBorders>
              <w:top w:val="single" w:sz="6" w:space="0" w:color="auto"/>
              <w:left w:val="single" w:sz="6" w:space="0" w:color="auto"/>
              <w:bottom w:val="single" w:sz="6" w:space="0" w:color="auto"/>
              <w:right w:val="single" w:sz="6" w:space="0" w:color="auto"/>
            </w:tcBorders>
          </w:tcPr>
          <w:p w14:paraId="190CD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VI. Модификации серийных бомбардировщиков</w:t>
            </w:r>
          </w:p>
        </w:tc>
        <w:tc>
          <w:tcPr>
            <w:tcW w:w="431" w:type="dxa"/>
            <w:tcBorders>
              <w:top w:val="single" w:sz="6" w:space="0" w:color="auto"/>
              <w:left w:val="single" w:sz="6" w:space="0" w:color="auto"/>
              <w:bottom w:val="single" w:sz="6" w:space="0" w:color="auto"/>
              <w:right w:val="single" w:sz="6" w:space="0" w:color="auto"/>
            </w:tcBorders>
          </w:tcPr>
          <w:p w14:paraId="1DA29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1E9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16B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21CA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57C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33D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C0F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4822C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0FF67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2374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84063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406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143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9098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71D1AB" w14:textId="77777777" w:rsidTr="00ED5B0A">
        <w:tc>
          <w:tcPr>
            <w:tcW w:w="1242" w:type="dxa"/>
            <w:tcBorders>
              <w:top w:val="single" w:sz="6" w:space="0" w:color="auto"/>
              <w:left w:val="single" w:sz="6" w:space="0" w:color="auto"/>
              <w:bottom w:val="single" w:sz="6" w:space="0" w:color="auto"/>
              <w:right w:val="single" w:sz="6" w:space="0" w:color="auto"/>
            </w:tcBorders>
          </w:tcPr>
          <w:p w14:paraId="3A07D2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w:t>
            </w:r>
          </w:p>
        </w:tc>
        <w:tc>
          <w:tcPr>
            <w:tcW w:w="431" w:type="dxa"/>
            <w:tcBorders>
              <w:top w:val="single" w:sz="6" w:space="0" w:color="auto"/>
              <w:left w:val="single" w:sz="6" w:space="0" w:color="auto"/>
              <w:bottom w:val="single" w:sz="6" w:space="0" w:color="auto"/>
              <w:right w:val="single" w:sz="6" w:space="0" w:color="auto"/>
            </w:tcBorders>
          </w:tcPr>
          <w:p w14:paraId="592FCC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19D4B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362</w:t>
            </w:r>
          </w:p>
        </w:tc>
        <w:tc>
          <w:tcPr>
            <w:tcW w:w="567" w:type="dxa"/>
            <w:tcBorders>
              <w:top w:val="single" w:sz="6" w:space="0" w:color="auto"/>
              <w:left w:val="single" w:sz="6" w:space="0" w:color="auto"/>
              <w:bottom w:val="single" w:sz="6" w:space="0" w:color="auto"/>
              <w:right w:val="single" w:sz="6" w:space="0" w:color="auto"/>
            </w:tcBorders>
          </w:tcPr>
          <w:p w14:paraId="1128C6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w:t>
            </w:r>
          </w:p>
        </w:tc>
        <w:tc>
          <w:tcPr>
            <w:tcW w:w="567" w:type="dxa"/>
            <w:tcBorders>
              <w:top w:val="single" w:sz="6" w:space="0" w:color="auto"/>
              <w:left w:val="single" w:sz="6" w:space="0" w:color="auto"/>
              <w:bottom w:val="single" w:sz="6" w:space="0" w:color="auto"/>
              <w:right w:val="single" w:sz="6" w:space="0" w:color="auto"/>
            </w:tcBorders>
          </w:tcPr>
          <w:p w14:paraId="64580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w:t>
            </w:r>
          </w:p>
        </w:tc>
        <w:tc>
          <w:tcPr>
            <w:tcW w:w="709" w:type="dxa"/>
            <w:tcBorders>
              <w:top w:val="single" w:sz="6" w:space="0" w:color="auto"/>
              <w:left w:val="single" w:sz="6" w:space="0" w:color="auto"/>
              <w:bottom w:val="single" w:sz="6" w:space="0" w:color="auto"/>
              <w:right w:val="single" w:sz="6" w:space="0" w:color="auto"/>
            </w:tcBorders>
          </w:tcPr>
          <w:p w14:paraId="1FA7B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0091D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31/9000</w:t>
            </w:r>
          </w:p>
        </w:tc>
        <w:tc>
          <w:tcPr>
            <w:tcW w:w="783" w:type="dxa"/>
            <w:tcBorders>
              <w:top w:val="single" w:sz="6" w:space="0" w:color="auto"/>
              <w:left w:val="single" w:sz="6" w:space="0" w:color="auto"/>
              <w:bottom w:val="single" w:sz="6" w:space="0" w:color="auto"/>
              <w:right w:val="single" w:sz="6" w:space="0" w:color="auto"/>
            </w:tcBorders>
          </w:tcPr>
          <w:p w14:paraId="773DB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w:t>
            </w:r>
          </w:p>
        </w:tc>
        <w:tc>
          <w:tcPr>
            <w:tcW w:w="1123" w:type="dxa"/>
            <w:tcBorders>
              <w:top w:val="single" w:sz="6" w:space="0" w:color="auto"/>
              <w:left w:val="single" w:sz="6" w:space="0" w:color="auto"/>
              <w:bottom w:val="single" w:sz="6" w:space="0" w:color="auto"/>
              <w:right w:val="single" w:sz="6" w:space="0" w:color="auto"/>
            </w:tcBorders>
          </w:tcPr>
          <w:p w14:paraId="1662E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B6D3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7EAAE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2B1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Конструктору разрешается снять</w:t>
            </w:r>
          </w:p>
        </w:tc>
        <w:tc>
          <w:tcPr>
            <w:tcW w:w="922" w:type="dxa"/>
            <w:tcBorders>
              <w:top w:val="single" w:sz="6" w:space="0" w:color="auto"/>
              <w:left w:val="single" w:sz="6" w:space="0" w:color="auto"/>
              <w:bottom w:val="single" w:sz="6" w:space="0" w:color="auto"/>
              <w:right w:val="single" w:sz="6" w:space="0" w:color="auto"/>
            </w:tcBorders>
          </w:tcPr>
          <w:p w14:paraId="4DC7E0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20.XII.42</w:t>
            </w:r>
          </w:p>
        </w:tc>
        <w:tc>
          <w:tcPr>
            <w:tcW w:w="621" w:type="dxa"/>
            <w:tcBorders>
              <w:top w:val="single" w:sz="6" w:space="0" w:color="auto"/>
              <w:left w:val="single" w:sz="6" w:space="0" w:color="auto"/>
              <w:bottom w:val="single" w:sz="6" w:space="0" w:color="auto"/>
              <w:right w:val="single" w:sz="6" w:space="0" w:color="auto"/>
            </w:tcBorders>
          </w:tcPr>
          <w:p w14:paraId="07ECB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без</w:t>
            </w:r>
          </w:p>
        </w:tc>
        <w:tc>
          <w:tcPr>
            <w:tcW w:w="621" w:type="dxa"/>
            <w:tcBorders>
              <w:top w:val="single" w:sz="6" w:space="0" w:color="auto"/>
              <w:left w:val="single" w:sz="6" w:space="0" w:color="auto"/>
              <w:bottom w:val="single" w:sz="6" w:space="0" w:color="auto"/>
              <w:right w:val="single" w:sz="6" w:space="0" w:color="auto"/>
            </w:tcBorders>
          </w:tcPr>
          <w:p w14:paraId="1EDE7D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E6BAC9" w14:textId="77777777" w:rsidTr="00ED5B0A">
        <w:tc>
          <w:tcPr>
            <w:tcW w:w="1242" w:type="dxa"/>
            <w:tcBorders>
              <w:top w:val="single" w:sz="6" w:space="0" w:color="auto"/>
              <w:left w:val="single" w:sz="6" w:space="0" w:color="auto"/>
              <w:bottom w:val="single" w:sz="6" w:space="0" w:color="auto"/>
              <w:right w:val="single" w:sz="6" w:space="0" w:color="auto"/>
            </w:tcBorders>
          </w:tcPr>
          <w:p w14:paraId="21855F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14B4E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B71E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100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567" w:type="dxa"/>
            <w:tcBorders>
              <w:top w:val="single" w:sz="6" w:space="0" w:color="auto"/>
              <w:left w:val="single" w:sz="6" w:space="0" w:color="auto"/>
              <w:bottom w:val="single" w:sz="6" w:space="0" w:color="auto"/>
              <w:right w:val="single" w:sz="6" w:space="0" w:color="auto"/>
            </w:tcBorders>
          </w:tcPr>
          <w:p w14:paraId="1178B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FF074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B991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035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целью</w:t>
            </w:r>
          </w:p>
        </w:tc>
        <w:tc>
          <w:tcPr>
            <w:tcW w:w="1123" w:type="dxa"/>
            <w:tcBorders>
              <w:top w:val="single" w:sz="6" w:space="0" w:color="auto"/>
              <w:left w:val="single" w:sz="6" w:space="0" w:color="auto"/>
              <w:bottom w:val="single" w:sz="6" w:space="0" w:color="auto"/>
              <w:right w:val="single" w:sz="6" w:space="0" w:color="auto"/>
            </w:tcBorders>
          </w:tcPr>
          <w:p w14:paraId="72C3DA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E9373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C60E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24F3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с-та: заднего стрелка,</w:t>
            </w:r>
          </w:p>
        </w:tc>
        <w:tc>
          <w:tcPr>
            <w:tcW w:w="922" w:type="dxa"/>
            <w:tcBorders>
              <w:top w:val="single" w:sz="6" w:space="0" w:color="auto"/>
              <w:left w:val="single" w:sz="6" w:space="0" w:color="auto"/>
              <w:bottom w:val="single" w:sz="6" w:space="0" w:color="auto"/>
              <w:right w:val="single" w:sz="6" w:space="0" w:color="auto"/>
            </w:tcBorders>
          </w:tcPr>
          <w:p w14:paraId="0AA99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15.III.43</w:t>
            </w:r>
          </w:p>
        </w:tc>
        <w:tc>
          <w:tcPr>
            <w:tcW w:w="621" w:type="dxa"/>
            <w:tcBorders>
              <w:top w:val="single" w:sz="6" w:space="0" w:color="auto"/>
              <w:left w:val="single" w:sz="6" w:space="0" w:color="auto"/>
              <w:bottom w:val="single" w:sz="6" w:space="0" w:color="auto"/>
              <w:right w:val="single" w:sz="6" w:space="0" w:color="auto"/>
            </w:tcBorders>
          </w:tcPr>
          <w:p w14:paraId="282F49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w:t>
            </w:r>
          </w:p>
        </w:tc>
        <w:tc>
          <w:tcPr>
            <w:tcW w:w="621" w:type="dxa"/>
            <w:tcBorders>
              <w:top w:val="single" w:sz="6" w:space="0" w:color="auto"/>
              <w:left w:val="single" w:sz="6" w:space="0" w:color="auto"/>
              <w:bottom w:val="single" w:sz="6" w:space="0" w:color="auto"/>
              <w:right w:val="single" w:sz="6" w:space="0" w:color="auto"/>
            </w:tcBorders>
          </w:tcPr>
          <w:p w14:paraId="391F1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EF9F9C" w14:textId="77777777" w:rsidTr="00ED5B0A">
        <w:tc>
          <w:tcPr>
            <w:tcW w:w="1242" w:type="dxa"/>
            <w:tcBorders>
              <w:top w:val="single" w:sz="6" w:space="0" w:color="auto"/>
              <w:left w:val="single" w:sz="6" w:space="0" w:color="auto"/>
              <w:bottom w:val="single" w:sz="6" w:space="0" w:color="auto"/>
              <w:right w:val="single" w:sz="6" w:space="0" w:color="auto"/>
            </w:tcBorders>
          </w:tcPr>
          <w:p w14:paraId="2398A8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32977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7D727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4142D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1AB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C4EDA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19C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783" w:type="dxa"/>
            <w:tcBorders>
              <w:top w:val="single" w:sz="6" w:space="0" w:color="auto"/>
              <w:left w:val="single" w:sz="6" w:space="0" w:color="auto"/>
              <w:bottom w:val="single" w:sz="6" w:space="0" w:color="auto"/>
              <w:right w:val="single" w:sz="6" w:space="0" w:color="auto"/>
            </w:tcBorders>
          </w:tcPr>
          <w:p w14:paraId="5F4C10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4311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A6B0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3564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950B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стрелковое вооружение с</w:t>
            </w:r>
          </w:p>
        </w:tc>
        <w:tc>
          <w:tcPr>
            <w:tcW w:w="922" w:type="dxa"/>
            <w:tcBorders>
              <w:top w:val="single" w:sz="6" w:space="0" w:color="auto"/>
              <w:left w:val="single" w:sz="6" w:space="0" w:color="auto"/>
              <w:bottom w:val="single" w:sz="6" w:space="0" w:color="auto"/>
              <w:right w:val="single" w:sz="6" w:space="0" w:color="auto"/>
            </w:tcBorders>
          </w:tcPr>
          <w:p w14:paraId="57948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E29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с ГК</w:t>
            </w:r>
          </w:p>
        </w:tc>
        <w:tc>
          <w:tcPr>
            <w:tcW w:w="621" w:type="dxa"/>
            <w:tcBorders>
              <w:top w:val="single" w:sz="6" w:space="0" w:color="auto"/>
              <w:left w:val="single" w:sz="6" w:space="0" w:color="auto"/>
              <w:bottom w:val="single" w:sz="6" w:space="0" w:color="auto"/>
              <w:right w:val="single" w:sz="6" w:space="0" w:color="auto"/>
            </w:tcBorders>
          </w:tcPr>
          <w:p w14:paraId="4ADA4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233052" w14:textId="77777777" w:rsidTr="00ED5B0A">
        <w:tc>
          <w:tcPr>
            <w:tcW w:w="1242" w:type="dxa"/>
            <w:tcBorders>
              <w:top w:val="single" w:sz="6" w:space="0" w:color="auto"/>
              <w:left w:val="single" w:sz="6" w:space="0" w:color="auto"/>
              <w:bottom w:val="single" w:sz="6" w:space="0" w:color="auto"/>
              <w:right w:val="single" w:sz="6" w:space="0" w:color="auto"/>
            </w:tcBorders>
          </w:tcPr>
          <w:p w14:paraId="2DCAF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с</w:t>
            </w:r>
          </w:p>
        </w:tc>
        <w:tc>
          <w:tcPr>
            <w:tcW w:w="431" w:type="dxa"/>
            <w:tcBorders>
              <w:top w:val="single" w:sz="6" w:space="0" w:color="auto"/>
              <w:left w:val="single" w:sz="6" w:space="0" w:color="auto"/>
              <w:bottom w:val="single" w:sz="6" w:space="0" w:color="auto"/>
              <w:right w:val="single" w:sz="6" w:space="0" w:color="auto"/>
            </w:tcBorders>
          </w:tcPr>
          <w:p w14:paraId="5E66C8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814A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0B0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C06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251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4EE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BFEE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7200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3841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D566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69A8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установками и бронирование</w:t>
            </w:r>
          </w:p>
        </w:tc>
        <w:tc>
          <w:tcPr>
            <w:tcW w:w="922" w:type="dxa"/>
            <w:tcBorders>
              <w:top w:val="single" w:sz="6" w:space="0" w:color="auto"/>
              <w:left w:val="single" w:sz="6" w:space="0" w:color="auto"/>
              <w:bottom w:val="single" w:sz="6" w:space="0" w:color="auto"/>
              <w:right w:val="single" w:sz="6" w:space="0" w:color="auto"/>
            </w:tcBorders>
          </w:tcPr>
          <w:p w14:paraId="4E767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31783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Ср.указ.</w:t>
            </w:r>
          </w:p>
        </w:tc>
        <w:tc>
          <w:tcPr>
            <w:tcW w:w="621" w:type="dxa"/>
            <w:tcBorders>
              <w:top w:val="single" w:sz="6" w:space="0" w:color="auto"/>
              <w:left w:val="single" w:sz="6" w:space="0" w:color="auto"/>
              <w:bottom w:val="single" w:sz="6" w:space="0" w:color="auto"/>
              <w:right w:val="single" w:sz="6" w:space="0" w:color="auto"/>
            </w:tcBorders>
          </w:tcPr>
          <w:p w14:paraId="28148A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7533AD" w14:textId="77777777" w:rsidTr="00ED5B0A">
        <w:tc>
          <w:tcPr>
            <w:tcW w:w="1242" w:type="dxa"/>
            <w:tcBorders>
              <w:top w:val="single" w:sz="6" w:space="0" w:color="auto"/>
              <w:left w:val="single" w:sz="6" w:space="0" w:color="auto"/>
              <w:bottom w:val="single" w:sz="6" w:space="0" w:color="auto"/>
              <w:right w:val="single" w:sz="6" w:space="0" w:color="auto"/>
            </w:tcBorders>
          </w:tcPr>
          <w:p w14:paraId="5C017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двумя М-88</w:t>
            </w:r>
          </w:p>
        </w:tc>
        <w:tc>
          <w:tcPr>
            <w:tcW w:w="431" w:type="dxa"/>
            <w:tcBorders>
              <w:top w:val="single" w:sz="6" w:space="0" w:color="auto"/>
              <w:left w:val="single" w:sz="6" w:space="0" w:color="auto"/>
              <w:bottom w:val="single" w:sz="6" w:space="0" w:color="auto"/>
              <w:right w:val="single" w:sz="6" w:space="0" w:color="auto"/>
            </w:tcBorders>
          </w:tcPr>
          <w:p w14:paraId="3FE8E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456B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F4B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FB3D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A372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63D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58C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5B8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5E30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1395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0D3B3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8C58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2ED9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лет.</w:t>
            </w:r>
          </w:p>
        </w:tc>
        <w:tc>
          <w:tcPr>
            <w:tcW w:w="621" w:type="dxa"/>
            <w:tcBorders>
              <w:top w:val="single" w:sz="6" w:space="0" w:color="auto"/>
              <w:left w:val="single" w:sz="6" w:space="0" w:color="auto"/>
              <w:bottom w:val="single" w:sz="6" w:space="0" w:color="auto"/>
              <w:right w:val="single" w:sz="6" w:space="0" w:color="auto"/>
            </w:tcBorders>
          </w:tcPr>
          <w:p w14:paraId="7B67F0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B36D8F" w14:textId="77777777" w:rsidTr="00ED5B0A">
        <w:tc>
          <w:tcPr>
            <w:tcW w:w="1242" w:type="dxa"/>
            <w:tcBorders>
              <w:top w:val="single" w:sz="6" w:space="0" w:color="auto"/>
              <w:left w:val="single" w:sz="6" w:space="0" w:color="auto"/>
              <w:bottom w:val="single" w:sz="6" w:space="0" w:color="auto"/>
              <w:right w:val="single" w:sz="6" w:space="0" w:color="auto"/>
            </w:tcBorders>
          </w:tcPr>
          <w:p w14:paraId="744C6B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ТК-3 с</w:t>
            </w:r>
          </w:p>
        </w:tc>
        <w:tc>
          <w:tcPr>
            <w:tcW w:w="431" w:type="dxa"/>
            <w:tcBorders>
              <w:top w:val="single" w:sz="6" w:space="0" w:color="auto"/>
              <w:left w:val="single" w:sz="6" w:space="0" w:color="auto"/>
              <w:bottom w:val="single" w:sz="6" w:space="0" w:color="auto"/>
              <w:right w:val="single" w:sz="6" w:space="0" w:color="auto"/>
            </w:tcBorders>
          </w:tcPr>
          <w:p w14:paraId="32C53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E11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10F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F06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DA92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185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8AB4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3163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FCE68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8E6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EDBAA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278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A1F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w:t>
            </w:r>
          </w:p>
        </w:tc>
        <w:tc>
          <w:tcPr>
            <w:tcW w:w="621" w:type="dxa"/>
            <w:tcBorders>
              <w:top w:val="single" w:sz="6" w:space="0" w:color="auto"/>
              <w:left w:val="single" w:sz="6" w:space="0" w:color="auto"/>
              <w:bottom w:val="single" w:sz="6" w:space="0" w:color="auto"/>
              <w:right w:val="single" w:sz="6" w:space="0" w:color="auto"/>
            </w:tcBorders>
          </w:tcPr>
          <w:p w14:paraId="7A379D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85A1D9" w14:textId="77777777" w:rsidTr="00ED5B0A">
        <w:tc>
          <w:tcPr>
            <w:tcW w:w="1242" w:type="dxa"/>
            <w:tcBorders>
              <w:top w:val="single" w:sz="6" w:space="0" w:color="auto"/>
              <w:left w:val="single" w:sz="6" w:space="0" w:color="auto"/>
              <w:bottom w:val="single" w:sz="6" w:space="0" w:color="auto"/>
              <w:right w:val="single" w:sz="6" w:space="0" w:color="auto"/>
            </w:tcBorders>
          </w:tcPr>
          <w:p w14:paraId="787EF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Гереметич.</w:t>
            </w:r>
          </w:p>
        </w:tc>
        <w:tc>
          <w:tcPr>
            <w:tcW w:w="431" w:type="dxa"/>
            <w:tcBorders>
              <w:top w:val="single" w:sz="6" w:space="0" w:color="auto"/>
              <w:left w:val="single" w:sz="6" w:space="0" w:color="auto"/>
              <w:bottom w:val="single" w:sz="6" w:space="0" w:color="auto"/>
              <w:right w:val="single" w:sz="6" w:space="0" w:color="auto"/>
            </w:tcBorders>
          </w:tcPr>
          <w:p w14:paraId="39065A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3BAD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8F5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E46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459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39C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813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7976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0CB2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C0B2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932E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07428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51F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0450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128570" w14:textId="77777777" w:rsidTr="00ED5B0A">
        <w:tc>
          <w:tcPr>
            <w:tcW w:w="1242" w:type="dxa"/>
            <w:tcBorders>
              <w:top w:val="single" w:sz="6" w:space="0" w:color="auto"/>
              <w:left w:val="single" w:sz="6" w:space="0" w:color="auto"/>
              <w:bottom w:val="single" w:sz="6" w:space="0" w:color="auto"/>
              <w:right w:val="single" w:sz="6" w:space="0" w:color="auto"/>
            </w:tcBorders>
          </w:tcPr>
          <w:p w14:paraId="249EDC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Кабинами</w:t>
            </w:r>
          </w:p>
        </w:tc>
        <w:tc>
          <w:tcPr>
            <w:tcW w:w="431" w:type="dxa"/>
            <w:tcBorders>
              <w:top w:val="single" w:sz="6" w:space="0" w:color="auto"/>
              <w:left w:val="single" w:sz="6" w:space="0" w:color="auto"/>
              <w:bottom w:val="single" w:sz="6" w:space="0" w:color="auto"/>
              <w:right w:val="single" w:sz="6" w:space="0" w:color="auto"/>
            </w:tcBorders>
          </w:tcPr>
          <w:p w14:paraId="7D7246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FDE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C01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4DBD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737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BF7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3000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A254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A844E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D71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AA90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73B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8106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D83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09590D" w14:textId="77777777" w:rsidTr="00ED5B0A">
        <w:tc>
          <w:tcPr>
            <w:tcW w:w="1242" w:type="dxa"/>
            <w:tcBorders>
              <w:top w:val="single" w:sz="6" w:space="0" w:color="auto"/>
              <w:left w:val="single" w:sz="6" w:space="0" w:color="auto"/>
              <w:bottom w:val="single" w:sz="6" w:space="0" w:color="auto"/>
              <w:right w:val="single" w:sz="6" w:space="0" w:color="auto"/>
            </w:tcBorders>
          </w:tcPr>
          <w:p w14:paraId="2595E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2E348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458A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3BA5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35C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B67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062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AB9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F16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919A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7765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580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677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DB3A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D2E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33426B" w14:textId="77777777" w:rsidTr="00ED5B0A">
        <w:tc>
          <w:tcPr>
            <w:tcW w:w="1242" w:type="dxa"/>
            <w:tcBorders>
              <w:top w:val="single" w:sz="6" w:space="0" w:color="auto"/>
              <w:left w:val="single" w:sz="6" w:space="0" w:color="auto"/>
              <w:bottom w:val="nil"/>
              <w:right w:val="single" w:sz="6" w:space="0" w:color="auto"/>
            </w:tcBorders>
          </w:tcPr>
          <w:p w14:paraId="46A9F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w:t>
            </w:r>
          </w:p>
        </w:tc>
        <w:tc>
          <w:tcPr>
            <w:tcW w:w="431" w:type="dxa"/>
            <w:tcBorders>
              <w:top w:val="single" w:sz="6" w:space="0" w:color="auto"/>
              <w:left w:val="single" w:sz="6" w:space="0" w:color="auto"/>
              <w:bottom w:val="nil"/>
              <w:right w:val="single" w:sz="6" w:space="0" w:color="auto"/>
            </w:tcBorders>
          </w:tcPr>
          <w:p w14:paraId="01C06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nil"/>
              <w:right w:val="single" w:sz="6" w:space="0" w:color="auto"/>
            </w:tcBorders>
          </w:tcPr>
          <w:p w14:paraId="4D8C0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0FD695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3632C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nil"/>
              <w:right w:val="single" w:sz="6" w:space="0" w:color="auto"/>
            </w:tcBorders>
          </w:tcPr>
          <w:p w14:paraId="545398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nil"/>
              <w:right w:val="single" w:sz="6" w:space="0" w:color="auto"/>
            </w:tcBorders>
          </w:tcPr>
          <w:p w14:paraId="260778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nil"/>
              <w:right w:val="single" w:sz="6" w:space="0" w:color="auto"/>
            </w:tcBorders>
          </w:tcPr>
          <w:p w14:paraId="07947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nil"/>
              <w:right w:val="single" w:sz="6" w:space="0" w:color="auto"/>
            </w:tcBorders>
          </w:tcPr>
          <w:p w14:paraId="649F1F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nil"/>
              <w:right w:val="single" w:sz="6" w:space="0" w:color="auto"/>
            </w:tcBorders>
          </w:tcPr>
          <w:p w14:paraId="47958A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nil"/>
              <w:right w:val="single" w:sz="6" w:space="0" w:color="auto"/>
            </w:tcBorders>
          </w:tcPr>
          <w:p w14:paraId="4EF2BC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nil"/>
              <w:right w:val="single" w:sz="6" w:space="0" w:color="auto"/>
            </w:tcBorders>
          </w:tcPr>
          <w:p w14:paraId="51491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nil"/>
              <w:right w:val="single" w:sz="6" w:space="0" w:color="auto"/>
            </w:tcBorders>
          </w:tcPr>
          <w:p w14:paraId="7B5B45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nil"/>
              <w:right w:val="single" w:sz="6" w:space="0" w:color="auto"/>
            </w:tcBorders>
          </w:tcPr>
          <w:p w14:paraId="77866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nil"/>
              <w:right w:val="single" w:sz="6" w:space="0" w:color="auto"/>
            </w:tcBorders>
          </w:tcPr>
          <w:p w14:paraId="797C72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7ED665" w14:textId="77777777" w:rsidTr="00ED5B0A">
        <w:tc>
          <w:tcPr>
            <w:tcW w:w="1242" w:type="dxa"/>
            <w:tcBorders>
              <w:top w:val="single" w:sz="6" w:space="0" w:color="auto"/>
              <w:left w:val="single" w:sz="6" w:space="0" w:color="auto"/>
              <w:bottom w:val="single" w:sz="6" w:space="0" w:color="auto"/>
              <w:right w:val="single" w:sz="6" w:space="0" w:color="auto"/>
            </w:tcBorders>
          </w:tcPr>
          <w:p w14:paraId="6787C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5E2BB1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4D51F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tc>
        <w:tc>
          <w:tcPr>
            <w:tcW w:w="567" w:type="dxa"/>
            <w:tcBorders>
              <w:top w:val="single" w:sz="6" w:space="0" w:color="auto"/>
              <w:left w:val="single" w:sz="6" w:space="0" w:color="auto"/>
              <w:bottom w:val="single" w:sz="6" w:space="0" w:color="auto"/>
              <w:right w:val="single" w:sz="6" w:space="0" w:color="auto"/>
            </w:tcBorders>
          </w:tcPr>
          <w:p w14:paraId="5C253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567" w:type="dxa"/>
            <w:tcBorders>
              <w:top w:val="single" w:sz="6" w:space="0" w:color="auto"/>
              <w:left w:val="single" w:sz="6" w:space="0" w:color="auto"/>
              <w:bottom w:val="single" w:sz="6" w:space="0" w:color="auto"/>
              <w:right w:val="single" w:sz="6" w:space="0" w:color="auto"/>
            </w:tcBorders>
          </w:tcPr>
          <w:p w14:paraId="1A2139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07B7E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км</w:t>
            </w:r>
          </w:p>
        </w:tc>
        <w:tc>
          <w:tcPr>
            <w:tcW w:w="783" w:type="dxa"/>
            <w:tcBorders>
              <w:top w:val="single" w:sz="6" w:space="0" w:color="auto"/>
              <w:left w:val="single" w:sz="6" w:space="0" w:color="auto"/>
              <w:bottom w:val="single" w:sz="6" w:space="0" w:color="auto"/>
              <w:right w:val="single" w:sz="6" w:space="0" w:color="auto"/>
            </w:tcBorders>
          </w:tcPr>
          <w:p w14:paraId="351E3F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w:t>
            </w:r>
          </w:p>
        </w:tc>
        <w:tc>
          <w:tcPr>
            <w:tcW w:w="783" w:type="dxa"/>
            <w:tcBorders>
              <w:top w:val="single" w:sz="6" w:space="0" w:color="auto"/>
              <w:left w:val="single" w:sz="6" w:space="0" w:color="auto"/>
              <w:bottom w:val="single" w:sz="6" w:space="0" w:color="auto"/>
              <w:right w:val="single" w:sz="6" w:space="0" w:color="auto"/>
            </w:tcBorders>
          </w:tcPr>
          <w:p w14:paraId="6464F9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w:t>
            </w:r>
          </w:p>
        </w:tc>
        <w:tc>
          <w:tcPr>
            <w:tcW w:w="1123" w:type="dxa"/>
            <w:tcBorders>
              <w:top w:val="single" w:sz="6" w:space="0" w:color="auto"/>
              <w:left w:val="single" w:sz="6" w:space="0" w:color="auto"/>
              <w:bottom w:val="single" w:sz="6" w:space="0" w:color="auto"/>
              <w:right w:val="single" w:sz="6" w:space="0" w:color="auto"/>
            </w:tcBorders>
          </w:tcPr>
          <w:p w14:paraId="10CC9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пул.</w:t>
            </w:r>
          </w:p>
        </w:tc>
        <w:tc>
          <w:tcPr>
            <w:tcW w:w="848" w:type="dxa"/>
            <w:tcBorders>
              <w:top w:val="single" w:sz="6" w:space="0" w:color="auto"/>
              <w:left w:val="single" w:sz="6" w:space="0" w:color="auto"/>
              <w:bottom w:val="single" w:sz="6" w:space="0" w:color="auto"/>
              <w:right w:val="single" w:sz="6" w:space="0" w:color="auto"/>
            </w:tcBorders>
          </w:tcPr>
          <w:p w14:paraId="132AD0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6C85CD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421C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 что у</w:t>
            </w:r>
          </w:p>
        </w:tc>
        <w:tc>
          <w:tcPr>
            <w:tcW w:w="922" w:type="dxa"/>
            <w:tcBorders>
              <w:top w:val="single" w:sz="6" w:space="0" w:color="auto"/>
              <w:left w:val="single" w:sz="6" w:space="0" w:color="auto"/>
              <w:bottom w:val="single" w:sz="6" w:space="0" w:color="auto"/>
              <w:right w:val="single" w:sz="6" w:space="0" w:color="auto"/>
            </w:tcBorders>
          </w:tcPr>
          <w:p w14:paraId="7ED0E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1.VI.43</w:t>
            </w:r>
          </w:p>
        </w:tc>
        <w:tc>
          <w:tcPr>
            <w:tcW w:w="621" w:type="dxa"/>
            <w:tcBorders>
              <w:top w:val="single" w:sz="6" w:space="0" w:color="auto"/>
              <w:left w:val="single" w:sz="6" w:space="0" w:color="auto"/>
              <w:bottom w:val="single" w:sz="6" w:space="0" w:color="auto"/>
              <w:right w:val="single" w:sz="6" w:space="0" w:color="auto"/>
            </w:tcBorders>
          </w:tcPr>
          <w:p w14:paraId="307C76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D89F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DD3A2B" w14:textId="77777777" w:rsidTr="00ED5B0A">
        <w:tc>
          <w:tcPr>
            <w:tcW w:w="1242" w:type="dxa"/>
            <w:tcBorders>
              <w:top w:val="single" w:sz="6" w:space="0" w:color="auto"/>
              <w:left w:val="single" w:sz="6" w:space="0" w:color="auto"/>
              <w:bottom w:val="single" w:sz="6" w:space="0" w:color="auto"/>
              <w:right w:val="single" w:sz="6" w:space="0" w:color="auto"/>
            </w:tcBorders>
          </w:tcPr>
          <w:p w14:paraId="42F3DB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2049CB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A0CE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B5DA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5400</w:t>
            </w:r>
          </w:p>
        </w:tc>
        <w:tc>
          <w:tcPr>
            <w:tcW w:w="567" w:type="dxa"/>
            <w:tcBorders>
              <w:top w:val="single" w:sz="6" w:space="0" w:color="auto"/>
              <w:left w:val="single" w:sz="6" w:space="0" w:color="auto"/>
              <w:bottom w:val="single" w:sz="6" w:space="0" w:color="auto"/>
              <w:right w:val="single" w:sz="6" w:space="0" w:color="auto"/>
            </w:tcBorders>
          </w:tcPr>
          <w:p w14:paraId="3A938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89415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w:t>
            </w:r>
          </w:p>
        </w:tc>
        <w:tc>
          <w:tcPr>
            <w:tcW w:w="783" w:type="dxa"/>
            <w:tcBorders>
              <w:top w:val="single" w:sz="6" w:space="0" w:color="auto"/>
              <w:left w:val="single" w:sz="6" w:space="0" w:color="auto"/>
              <w:bottom w:val="single" w:sz="6" w:space="0" w:color="auto"/>
              <w:right w:val="single" w:sz="6" w:space="0" w:color="auto"/>
            </w:tcBorders>
          </w:tcPr>
          <w:p w14:paraId="740064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783" w:type="dxa"/>
            <w:tcBorders>
              <w:top w:val="single" w:sz="6" w:space="0" w:color="auto"/>
              <w:left w:val="single" w:sz="6" w:space="0" w:color="auto"/>
              <w:bottom w:val="single" w:sz="6" w:space="0" w:color="auto"/>
              <w:right w:val="single" w:sz="6" w:space="0" w:color="auto"/>
            </w:tcBorders>
          </w:tcPr>
          <w:p w14:paraId="4E1420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227E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74B1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410" w:type="dxa"/>
            <w:tcBorders>
              <w:top w:val="single" w:sz="6" w:space="0" w:color="auto"/>
              <w:left w:val="single" w:sz="6" w:space="0" w:color="auto"/>
              <w:bottom w:val="single" w:sz="6" w:space="0" w:color="auto"/>
              <w:right w:val="single" w:sz="6" w:space="0" w:color="auto"/>
            </w:tcBorders>
          </w:tcPr>
          <w:p w14:paraId="278BA2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DE5C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серийного с-та</w:t>
            </w:r>
          </w:p>
        </w:tc>
        <w:tc>
          <w:tcPr>
            <w:tcW w:w="922" w:type="dxa"/>
            <w:tcBorders>
              <w:top w:val="single" w:sz="6" w:space="0" w:color="auto"/>
              <w:left w:val="single" w:sz="6" w:space="0" w:color="auto"/>
              <w:bottom w:val="single" w:sz="6" w:space="0" w:color="auto"/>
              <w:right w:val="single" w:sz="6" w:space="0" w:color="auto"/>
            </w:tcBorders>
          </w:tcPr>
          <w:p w14:paraId="17939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31A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C3B3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34CFF7" w14:textId="77777777" w:rsidTr="00ED5B0A">
        <w:tc>
          <w:tcPr>
            <w:tcW w:w="1242" w:type="dxa"/>
            <w:tcBorders>
              <w:top w:val="single" w:sz="6" w:space="0" w:color="auto"/>
              <w:left w:val="single" w:sz="6" w:space="0" w:color="auto"/>
              <w:bottom w:val="single" w:sz="6" w:space="0" w:color="auto"/>
              <w:right w:val="single" w:sz="6" w:space="0" w:color="auto"/>
            </w:tcBorders>
          </w:tcPr>
          <w:p w14:paraId="3A0D5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с</w:t>
            </w:r>
          </w:p>
        </w:tc>
        <w:tc>
          <w:tcPr>
            <w:tcW w:w="431" w:type="dxa"/>
            <w:tcBorders>
              <w:top w:val="single" w:sz="6" w:space="0" w:color="auto"/>
              <w:left w:val="single" w:sz="6" w:space="0" w:color="auto"/>
              <w:bottom w:val="single" w:sz="6" w:space="0" w:color="auto"/>
              <w:right w:val="single" w:sz="6" w:space="0" w:color="auto"/>
            </w:tcBorders>
          </w:tcPr>
          <w:p w14:paraId="2D265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F5E2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104B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68F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338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км/час</w:t>
            </w:r>
          </w:p>
        </w:tc>
        <w:tc>
          <w:tcPr>
            <w:tcW w:w="783" w:type="dxa"/>
            <w:tcBorders>
              <w:top w:val="single" w:sz="6" w:space="0" w:color="auto"/>
              <w:left w:val="single" w:sz="6" w:space="0" w:color="auto"/>
              <w:bottom w:val="single" w:sz="6" w:space="0" w:color="auto"/>
              <w:right w:val="single" w:sz="6" w:space="0" w:color="auto"/>
            </w:tcBorders>
          </w:tcPr>
          <w:p w14:paraId="5CD500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782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8EA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 патр.</w:t>
            </w:r>
          </w:p>
        </w:tc>
        <w:tc>
          <w:tcPr>
            <w:tcW w:w="848" w:type="dxa"/>
            <w:tcBorders>
              <w:top w:val="single" w:sz="6" w:space="0" w:color="auto"/>
              <w:left w:val="single" w:sz="6" w:space="0" w:color="auto"/>
              <w:bottom w:val="single" w:sz="6" w:space="0" w:color="auto"/>
              <w:right w:val="single" w:sz="6" w:space="0" w:color="auto"/>
            </w:tcBorders>
          </w:tcPr>
          <w:p w14:paraId="0738ED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DEEB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28DD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CC040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756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060D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D3D426" w14:textId="77777777" w:rsidTr="00ED5B0A">
        <w:tc>
          <w:tcPr>
            <w:tcW w:w="1242" w:type="dxa"/>
            <w:tcBorders>
              <w:top w:val="single" w:sz="6" w:space="0" w:color="auto"/>
              <w:left w:val="single" w:sz="6" w:space="0" w:color="auto"/>
              <w:bottom w:val="single" w:sz="6" w:space="0" w:color="auto"/>
              <w:right w:val="single" w:sz="6" w:space="0" w:color="auto"/>
            </w:tcBorders>
          </w:tcPr>
          <w:p w14:paraId="7C1B1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двумя М-82</w:t>
            </w:r>
          </w:p>
        </w:tc>
        <w:tc>
          <w:tcPr>
            <w:tcW w:w="431" w:type="dxa"/>
            <w:tcBorders>
              <w:top w:val="single" w:sz="6" w:space="0" w:color="auto"/>
              <w:left w:val="single" w:sz="6" w:space="0" w:color="auto"/>
              <w:bottom w:val="single" w:sz="6" w:space="0" w:color="auto"/>
              <w:right w:val="single" w:sz="6" w:space="0" w:color="auto"/>
            </w:tcBorders>
          </w:tcPr>
          <w:p w14:paraId="360C9A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C9268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C73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32F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C484B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высоте</w:t>
            </w:r>
          </w:p>
        </w:tc>
        <w:tc>
          <w:tcPr>
            <w:tcW w:w="783" w:type="dxa"/>
            <w:tcBorders>
              <w:top w:val="single" w:sz="6" w:space="0" w:color="auto"/>
              <w:left w:val="single" w:sz="6" w:space="0" w:color="auto"/>
              <w:bottom w:val="single" w:sz="6" w:space="0" w:color="auto"/>
              <w:right w:val="single" w:sz="6" w:space="0" w:color="auto"/>
            </w:tcBorders>
          </w:tcPr>
          <w:p w14:paraId="0C846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8D2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84B8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3B1B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46928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4903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920E2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B0FD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A0354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8464D2" w14:textId="77777777" w:rsidTr="00ED5B0A">
        <w:tc>
          <w:tcPr>
            <w:tcW w:w="1242" w:type="dxa"/>
            <w:tcBorders>
              <w:top w:val="single" w:sz="6" w:space="0" w:color="auto"/>
              <w:left w:val="single" w:sz="6" w:space="0" w:color="auto"/>
              <w:bottom w:val="single" w:sz="6" w:space="0" w:color="auto"/>
              <w:right w:val="single" w:sz="6" w:space="0" w:color="auto"/>
            </w:tcBorders>
          </w:tcPr>
          <w:p w14:paraId="157EA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варианте</w:t>
            </w:r>
          </w:p>
        </w:tc>
        <w:tc>
          <w:tcPr>
            <w:tcW w:w="431" w:type="dxa"/>
            <w:tcBorders>
              <w:top w:val="single" w:sz="6" w:space="0" w:color="auto"/>
              <w:left w:val="single" w:sz="6" w:space="0" w:color="auto"/>
              <w:bottom w:val="single" w:sz="6" w:space="0" w:color="auto"/>
              <w:right w:val="single" w:sz="6" w:space="0" w:color="auto"/>
            </w:tcBorders>
          </w:tcPr>
          <w:p w14:paraId="35D7A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C6DDA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51E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5A0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78F9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5400 м</w:t>
            </w:r>
          </w:p>
        </w:tc>
        <w:tc>
          <w:tcPr>
            <w:tcW w:w="783" w:type="dxa"/>
            <w:tcBorders>
              <w:top w:val="single" w:sz="6" w:space="0" w:color="auto"/>
              <w:left w:val="single" w:sz="6" w:space="0" w:color="auto"/>
              <w:bottom w:val="single" w:sz="6" w:space="0" w:color="auto"/>
              <w:right w:val="single" w:sz="6" w:space="0" w:color="auto"/>
            </w:tcBorders>
          </w:tcPr>
          <w:p w14:paraId="3B0304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D296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D24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2803A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469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112B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5ED0E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54DF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1CFF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4D0AEF" w14:textId="77777777" w:rsidTr="00ED5B0A">
        <w:tc>
          <w:tcPr>
            <w:tcW w:w="1242" w:type="dxa"/>
            <w:tcBorders>
              <w:top w:val="single" w:sz="6" w:space="0" w:color="auto"/>
              <w:left w:val="single" w:sz="6" w:space="0" w:color="auto"/>
              <w:bottom w:val="single" w:sz="6" w:space="0" w:color="auto"/>
              <w:right w:val="single" w:sz="6" w:space="0" w:color="auto"/>
            </w:tcBorders>
          </w:tcPr>
          <w:p w14:paraId="1E1C8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дневного</w:t>
            </w:r>
          </w:p>
        </w:tc>
        <w:tc>
          <w:tcPr>
            <w:tcW w:w="431" w:type="dxa"/>
            <w:tcBorders>
              <w:top w:val="single" w:sz="6" w:space="0" w:color="auto"/>
              <w:left w:val="single" w:sz="6" w:space="0" w:color="auto"/>
              <w:bottom w:val="single" w:sz="6" w:space="0" w:color="auto"/>
              <w:right w:val="single" w:sz="6" w:space="0" w:color="auto"/>
            </w:tcBorders>
          </w:tcPr>
          <w:p w14:paraId="46727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FB177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2F0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E65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1960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D00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21D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B72C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патр.</w:t>
            </w:r>
          </w:p>
        </w:tc>
        <w:tc>
          <w:tcPr>
            <w:tcW w:w="848" w:type="dxa"/>
            <w:tcBorders>
              <w:top w:val="single" w:sz="6" w:space="0" w:color="auto"/>
              <w:left w:val="single" w:sz="6" w:space="0" w:color="auto"/>
              <w:bottom w:val="single" w:sz="6" w:space="0" w:color="auto"/>
              <w:right w:val="single" w:sz="6" w:space="0" w:color="auto"/>
            </w:tcBorders>
          </w:tcPr>
          <w:p w14:paraId="3D53AE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67ED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FC6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88F1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92E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F5C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F06534" w14:textId="77777777" w:rsidTr="00ED5B0A">
        <w:tc>
          <w:tcPr>
            <w:tcW w:w="1242" w:type="dxa"/>
            <w:tcBorders>
              <w:top w:val="single" w:sz="6" w:space="0" w:color="auto"/>
              <w:left w:val="single" w:sz="6" w:space="0" w:color="auto"/>
              <w:bottom w:val="single" w:sz="6" w:space="0" w:color="auto"/>
              <w:right w:val="single" w:sz="6" w:space="0" w:color="auto"/>
            </w:tcBorders>
          </w:tcPr>
          <w:p w14:paraId="22A943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5281D7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A42B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A2C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D973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3595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AC51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B524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376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B1143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04FF2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21CE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0686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593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885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8E33E9" w14:textId="77777777" w:rsidTr="00ED5B0A">
        <w:tc>
          <w:tcPr>
            <w:tcW w:w="1242" w:type="dxa"/>
            <w:tcBorders>
              <w:top w:val="single" w:sz="6" w:space="0" w:color="auto"/>
              <w:left w:val="single" w:sz="6" w:space="0" w:color="auto"/>
              <w:bottom w:val="single" w:sz="6" w:space="0" w:color="auto"/>
              <w:right w:val="single" w:sz="6" w:space="0" w:color="auto"/>
            </w:tcBorders>
          </w:tcPr>
          <w:p w14:paraId="666720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усиленным</w:t>
            </w:r>
          </w:p>
        </w:tc>
        <w:tc>
          <w:tcPr>
            <w:tcW w:w="431" w:type="dxa"/>
            <w:tcBorders>
              <w:top w:val="single" w:sz="6" w:space="0" w:color="auto"/>
              <w:left w:val="single" w:sz="6" w:space="0" w:color="auto"/>
              <w:bottom w:val="single" w:sz="6" w:space="0" w:color="auto"/>
              <w:right w:val="single" w:sz="6" w:space="0" w:color="auto"/>
            </w:tcBorders>
          </w:tcPr>
          <w:p w14:paraId="1D4C54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46395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754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76D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0DF0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D96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A69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478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4BAED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237B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7A1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8B3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7DA4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1BEE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E19E3E" w14:textId="77777777" w:rsidTr="00ED5B0A">
        <w:tc>
          <w:tcPr>
            <w:tcW w:w="1242" w:type="dxa"/>
            <w:tcBorders>
              <w:top w:val="single" w:sz="6" w:space="0" w:color="auto"/>
              <w:left w:val="single" w:sz="6" w:space="0" w:color="auto"/>
              <w:bottom w:val="single" w:sz="6" w:space="0" w:color="auto"/>
              <w:right w:val="single" w:sz="6" w:space="0" w:color="auto"/>
            </w:tcBorders>
          </w:tcPr>
          <w:p w14:paraId="236A1E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вооружением</w:t>
            </w:r>
          </w:p>
        </w:tc>
        <w:tc>
          <w:tcPr>
            <w:tcW w:w="431" w:type="dxa"/>
            <w:tcBorders>
              <w:top w:val="single" w:sz="6" w:space="0" w:color="auto"/>
              <w:left w:val="single" w:sz="6" w:space="0" w:color="auto"/>
              <w:bottom w:val="single" w:sz="6" w:space="0" w:color="auto"/>
              <w:right w:val="single" w:sz="6" w:space="0" w:color="auto"/>
            </w:tcBorders>
          </w:tcPr>
          <w:p w14:paraId="39139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201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E140A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DDD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CEC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EB0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EAD7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6C3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204E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CA7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1B81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8BB6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F387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AA5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F086B2" w14:textId="77777777" w:rsidTr="00ED5B0A">
        <w:tc>
          <w:tcPr>
            <w:tcW w:w="1242" w:type="dxa"/>
            <w:tcBorders>
              <w:top w:val="single" w:sz="6" w:space="0" w:color="auto"/>
              <w:left w:val="single" w:sz="6" w:space="0" w:color="auto"/>
              <w:bottom w:val="single" w:sz="6" w:space="0" w:color="auto"/>
              <w:right w:val="single" w:sz="6" w:space="0" w:color="auto"/>
            </w:tcBorders>
          </w:tcPr>
          <w:p w14:paraId="27809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C2BA2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0FB2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E0C1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88E5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BD78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A9C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8801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5D3E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C911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94A9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32DA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F7F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06E7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DBC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D8FD56" w14:textId="77777777" w:rsidTr="00ED5B0A">
        <w:tc>
          <w:tcPr>
            <w:tcW w:w="1242" w:type="dxa"/>
            <w:tcBorders>
              <w:top w:val="single" w:sz="6" w:space="0" w:color="auto"/>
              <w:left w:val="single" w:sz="6" w:space="0" w:color="auto"/>
              <w:bottom w:val="single" w:sz="6" w:space="0" w:color="auto"/>
              <w:right w:val="single" w:sz="6" w:space="0" w:color="auto"/>
            </w:tcBorders>
          </w:tcPr>
          <w:p w14:paraId="5F6C1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w:t>
            </w:r>
          </w:p>
        </w:tc>
        <w:tc>
          <w:tcPr>
            <w:tcW w:w="431" w:type="dxa"/>
            <w:tcBorders>
              <w:top w:val="single" w:sz="6" w:space="0" w:color="auto"/>
              <w:left w:val="single" w:sz="6" w:space="0" w:color="auto"/>
              <w:bottom w:val="single" w:sz="6" w:space="0" w:color="auto"/>
              <w:right w:val="single" w:sz="6" w:space="0" w:color="auto"/>
            </w:tcBorders>
          </w:tcPr>
          <w:p w14:paraId="503EE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994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5D21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DB6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3516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ABB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4EEF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D41F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7793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F98D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5E5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3BDF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FB3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1FD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707057" w14:textId="77777777" w:rsidTr="00ED5B0A">
        <w:tc>
          <w:tcPr>
            <w:tcW w:w="1242" w:type="dxa"/>
            <w:tcBorders>
              <w:top w:val="single" w:sz="6" w:space="0" w:color="auto"/>
              <w:left w:val="single" w:sz="6" w:space="0" w:color="auto"/>
              <w:bottom w:val="single" w:sz="6" w:space="0" w:color="auto"/>
              <w:right w:val="single" w:sz="6" w:space="0" w:color="auto"/>
            </w:tcBorders>
          </w:tcPr>
          <w:p w14:paraId="7B7B90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4E71C9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7E5B6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tc>
        <w:tc>
          <w:tcPr>
            <w:tcW w:w="567" w:type="dxa"/>
            <w:tcBorders>
              <w:top w:val="single" w:sz="6" w:space="0" w:color="auto"/>
              <w:left w:val="single" w:sz="6" w:space="0" w:color="auto"/>
              <w:bottom w:val="single" w:sz="6" w:space="0" w:color="auto"/>
              <w:right w:val="single" w:sz="6" w:space="0" w:color="auto"/>
            </w:tcBorders>
          </w:tcPr>
          <w:p w14:paraId="134D1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w:t>
            </w:r>
          </w:p>
        </w:tc>
        <w:tc>
          <w:tcPr>
            <w:tcW w:w="567" w:type="dxa"/>
            <w:tcBorders>
              <w:top w:val="single" w:sz="6" w:space="0" w:color="auto"/>
              <w:left w:val="single" w:sz="6" w:space="0" w:color="auto"/>
              <w:bottom w:val="single" w:sz="6" w:space="0" w:color="auto"/>
              <w:right w:val="single" w:sz="6" w:space="0" w:color="auto"/>
            </w:tcBorders>
          </w:tcPr>
          <w:p w14:paraId="0FB1A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2E583B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w:t>
            </w:r>
          </w:p>
        </w:tc>
        <w:tc>
          <w:tcPr>
            <w:tcW w:w="783" w:type="dxa"/>
            <w:tcBorders>
              <w:top w:val="single" w:sz="6" w:space="0" w:color="auto"/>
              <w:left w:val="single" w:sz="6" w:space="0" w:color="auto"/>
              <w:bottom w:val="single" w:sz="6" w:space="0" w:color="auto"/>
              <w:right w:val="single" w:sz="6" w:space="0" w:color="auto"/>
            </w:tcBorders>
          </w:tcPr>
          <w:p w14:paraId="09FD8F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783" w:type="dxa"/>
            <w:tcBorders>
              <w:top w:val="single" w:sz="6" w:space="0" w:color="auto"/>
              <w:left w:val="single" w:sz="6" w:space="0" w:color="auto"/>
              <w:bottom w:val="single" w:sz="6" w:space="0" w:color="auto"/>
              <w:right w:val="single" w:sz="6" w:space="0" w:color="auto"/>
            </w:tcBorders>
          </w:tcPr>
          <w:p w14:paraId="5F800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6800</w:t>
            </w:r>
          </w:p>
        </w:tc>
        <w:tc>
          <w:tcPr>
            <w:tcW w:w="1123" w:type="dxa"/>
            <w:tcBorders>
              <w:top w:val="single" w:sz="6" w:space="0" w:color="auto"/>
              <w:left w:val="single" w:sz="6" w:space="0" w:color="auto"/>
              <w:bottom w:val="single" w:sz="6" w:space="0" w:color="auto"/>
              <w:right w:val="single" w:sz="6" w:space="0" w:color="auto"/>
            </w:tcBorders>
          </w:tcPr>
          <w:p w14:paraId="4CE15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пул.</w:t>
            </w:r>
          </w:p>
        </w:tc>
        <w:tc>
          <w:tcPr>
            <w:tcW w:w="848" w:type="dxa"/>
            <w:tcBorders>
              <w:top w:val="single" w:sz="6" w:space="0" w:color="auto"/>
              <w:left w:val="single" w:sz="6" w:space="0" w:color="auto"/>
              <w:bottom w:val="single" w:sz="6" w:space="0" w:color="auto"/>
              <w:right w:val="single" w:sz="6" w:space="0" w:color="auto"/>
            </w:tcBorders>
          </w:tcPr>
          <w:p w14:paraId="7BA30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410" w:type="dxa"/>
            <w:tcBorders>
              <w:top w:val="single" w:sz="6" w:space="0" w:color="auto"/>
              <w:left w:val="single" w:sz="6" w:space="0" w:color="auto"/>
              <w:bottom w:val="single" w:sz="6" w:space="0" w:color="auto"/>
              <w:right w:val="single" w:sz="6" w:space="0" w:color="auto"/>
            </w:tcBorders>
          </w:tcPr>
          <w:p w14:paraId="393B5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34F19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32EDC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15.IX.43</w:t>
            </w:r>
          </w:p>
        </w:tc>
        <w:tc>
          <w:tcPr>
            <w:tcW w:w="621" w:type="dxa"/>
            <w:tcBorders>
              <w:top w:val="single" w:sz="6" w:space="0" w:color="auto"/>
              <w:left w:val="single" w:sz="6" w:space="0" w:color="auto"/>
              <w:bottom w:val="single" w:sz="6" w:space="0" w:color="auto"/>
              <w:right w:val="single" w:sz="6" w:space="0" w:color="auto"/>
            </w:tcBorders>
          </w:tcPr>
          <w:p w14:paraId="680309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8676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3FB6EE" w14:textId="77777777" w:rsidTr="00ED5B0A">
        <w:tc>
          <w:tcPr>
            <w:tcW w:w="1242" w:type="dxa"/>
            <w:tcBorders>
              <w:top w:val="single" w:sz="6" w:space="0" w:color="auto"/>
              <w:left w:val="single" w:sz="6" w:space="0" w:color="auto"/>
              <w:bottom w:val="single" w:sz="6" w:space="0" w:color="auto"/>
              <w:right w:val="single" w:sz="6" w:space="0" w:color="auto"/>
            </w:tcBorders>
          </w:tcPr>
          <w:p w14:paraId="6092AB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431" w:type="dxa"/>
            <w:tcBorders>
              <w:top w:val="single" w:sz="6" w:space="0" w:color="auto"/>
              <w:left w:val="single" w:sz="6" w:space="0" w:color="auto"/>
              <w:bottom w:val="single" w:sz="6" w:space="0" w:color="auto"/>
              <w:right w:val="single" w:sz="6" w:space="0" w:color="auto"/>
            </w:tcBorders>
          </w:tcPr>
          <w:p w14:paraId="75BE8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049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B07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7DC1FC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FFDA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13749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783" w:type="dxa"/>
            <w:tcBorders>
              <w:top w:val="single" w:sz="6" w:space="0" w:color="auto"/>
              <w:left w:val="single" w:sz="6" w:space="0" w:color="auto"/>
              <w:bottom w:val="single" w:sz="6" w:space="0" w:color="auto"/>
              <w:right w:val="single" w:sz="6" w:space="0" w:color="auto"/>
            </w:tcBorders>
          </w:tcPr>
          <w:p w14:paraId="7C2422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15F2C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0B4406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4BBF4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36BE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у</w:t>
            </w:r>
          </w:p>
        </w:tc>
        <w:tc>
          <w:tcPr>
            <w:tcW w:w="922" w:type="dxa"/>
            <w:tcBorders>
              <w:top w:val="single" w:sz="6" w:space="0" w:color="auto"/>
              <w:left w:val="single" w:sz="6" w:space="0" w:color="auto"/>
              <w:bottom w:val="single" w:sz="6" w:space="0" w:color="auto"/>
              <w:right w:val="single" w:sz="6" w:space="0" w:color="auto"/>
            </w:tcBorders>
          </w:tcPr>
          <w:p w14:paraId="5CE86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489C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BA55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2B7B04" w14:textId="77777777" w:rsidTr="00ED5B0A">
        <w:tc>
          <w:tcPr>
            <w:tcW w:w="1242" w:type="dxa"/>
            <w:tcBorders>
              <w:top w:val="single" w:sz="6" w:space="0" w:color="auto"/>
              <w:left w:val="single" w:sz="6" w:space="0" w:color="auto"/>
              <w:bottom w:val="single" w:sz="6" w:space="0" w:color="auto"/>
              <w:right w:val="single" w:sz="6" w:space="0" w:color="auto"/>
            </w:tcBorders>
          </w:tcPr>
          <w:p w14:paraId="0759AE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с</w:t>
            </w:r>
          </w:p>
        </w:tc>
        <w:tc>
          <w:tcPr>
            <w:tcW w:w="431" w:type="dxa"/>
            <w:tcBorders>
              <w:top w:val="single" w:sz="6" w:space="0" w:color="auto"/>
              <w:left w:val="single" w:sz="6" w:space="0" w:color="auto"/>
              <w:bottom w:val="single" w:sz="6" w:space="0" w:color="auto"/>
              <w:right w:val="single" w:sz="6" w:space="0" w:color="auto"/>
            </w:tcBorders>
          </w:tcPr>
          <w:p w14:paraId="168E8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3DD14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6040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999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C9C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кг</w:t>
            </w:r>
          </w:p>
        </w:tc>
        <w:tc>
          <w:tcPr>
            <w:tcW w:w="783" w:type="dxa"/>
            <w:tcBorders>
              <w:top w:val="single" w:sz="6" w:space="0" w:color="auto"/>
              <w:left w:val="single" w:sz="6" w:space="0" w:color="auto"/>
              <w:bottom w:val="single" w:sz="6" w:space="0" w:color="auto"/>
              <w:right w:val="single" w:sz="6" w:space="0" w:color="auto"/>
            </w:tcBorders>
          </w:tcPr>
          <w:p w14:paraId="2819B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470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8A0C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патр.</w:t>
            </w:r>
          </w:p>
        </w:tc>
        <w:tc>
          <w:tcPr>
            <w:tcW w:w="848" w:type="dxa"/>
            <w:tcBorders>
              <w:top w:val="single" w:sz="6" w:space="0" w:color="auto"/>
              <w:left w:val="single" w:sz="6" w:space="0" w:color="auto"/>
              <w:bottom w:val="single" w:sz="6" w:space="0" w:color="auto"/>
              <w:right w:val="single" w:sz="6" w:space="0" w:color="auto"/>
            </w:tcBorders>
          </w:tcPr>
          <w:p w14:paraId="3A6059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D5DF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04E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w:t>
            </w:r>
          </w:p>
        </w:tc>
        <w:tc>
          <w:tcPr>
            <w:tcW w:w="922" w:type="dxa"/>
            <w:tcBorders>
              <w:top w:val="single" w:sz="6" w:space="0" w:color="auto"/>
              <w:left w:val="single" w:sz="6" w:space="0" w:color="auto"/>
              <w:bottom w:val="single" w:sz="6" w:space="0" w:color="auto"/>
              <w:right w:val="single" w:sz="6" w:space="0" w:color="auto"/>
            </w:tcBorders>
          </w:tcPr>
          <w:p w14:paraId="306A54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A2A18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FBE9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6580A9" w14:textId="77777777" w:rsidTr="00ED5B0A">
        <w:tc>
          <w:tcPr>
            <w:tcW w:w="1242" w:type="dxa"/>
            <w:tcBorders>
              <w:top w:val="single" w:sz="6" w:space="0" w:color="auto"/>
              <w:left w:val="single" w:sz="6" w:space="0" w:color="auto"/>
              <w:bottom w:val="single" w:sz="6" w:space="0" w:color="auto"/>
              <w:right w:val="single" w:sz="6" w:space="0" w:color="auto"/>
            </w:tcBorders>
          </w:tcPr>
          <w:p w14:paraId="011B3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двумя М-30Б</w:t>
            </w:r>
          </w:p>
        </w:tc>
        <w:tc>
          <w:tcPr>
            <w:tcW w:w="431" w:type="dxa"/>
            <w:tcBorders>
              <w:top w:val="single" w:sz="6" w:space="0" w:color="auto"/>
              <w:left w:val="single" w:sz="6" w:space="0" w:color="auto"/>
              <w:bottom w:val="single" w:sz="6" w:space="0" w:color="auto"/>
              <w:right w:val="single" w:sz="6" w:space="0" w:color="auto"/>
            </w:tcBorders>
          </w:tcPr>
          <w:p w14:paraId="0BD0E8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72AB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232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93E0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62150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 и</w:t>
            </w:r>
          </w:p>
        </w:tc>
        <w:tc>
          <w:tcPr>
            <w:tcW w:w="783" w:type="dxa"/>
            <w:tcBorders>
              <w:top w:val="single" w:sz="6" w:space="0" w:color="auto"/>
              <w:left w:val="single" w:sz="6" w:space="0" w:color="auto"/>
              <w:bottom w:val="single" w:sz="6" w:space="0" w:color="auto"/>
              <w:right w:val="single" w:sz="6" w:space="0" w:color="auto"/>
            </w:tcBorders>
          </w:tcPr>
          <w:p w14:paraId="070B0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B4F9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D47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52D96F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AA260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26CC4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w:t>
            </w:r>
          </w:p>
        </w:tc>
        <w:tc>
          <w:tcPr>
            <w:tcW w:w="922" w:type="dxa"/>
            <w:tcBorders>
              <w:top w:val="single" w:sz="6" w:space="0" w:color="auto"/>
              <w:left w:val="single" w:sz="6" w:space="0" w:color="auto"/>
              <w:bottom w:val="single" w:sz="6" w:space="0" w:color="auto"/>
              <w:right w:val="single" w:sz="6" w:space="0" w:color="auto"/>
            </w:tcBorders>
          </w:tcPr>
          <w:p w14:paraId="61B1C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B77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AC91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3C1A2F" w14:textId="77777777" w:rsidTr="00ED5B0A">
        <w:tc>
          <w:tcPr>
            <w:tcW w:w="1242" w:type="dxa"/>
            <w:tcBorders>
              <w:top w:val="single" w:sz="6" w:space="0" w:color="auto"/>
              <w:left w:val="single" w:sz="6" w:space="0" w:color="auto"/>
              <w:bottom w:val="single" w:sz="6" w:space="0" w:color="auto"/>
              <w:right w:val="single" w:sz="6" w:space="0" w:color="auto"/>
            </w:tcBorders>
          </w:tcPr>
          <w:p w14:paraId="5D05D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констркт.</w:t>
            </w:r>
          </w:p>
        </w:tc>
        <w:tc>
          <w:tcPr>
            <w:tcW w:w="431" w:type="dxa"/>
            <w:tcBorders>
              <w:top w:val="single" w:sz="6" w:space="0" w:color="auto"/>
              <w:left w:val="single" w:sz="6" w:space="0" w:color="auto"/>
              <w:bottom w:val="single" w:sz="6" w:space="0" w:color="auto"/>
              <w:right w:val="single" w:sz="6" w:space="0" w:color="auto"/>
            </w:tcBorders>
          </w:tcPr>
          <w:p w14:paraId="438AC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DF367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CFF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F61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F06C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 км с</w:t>
            </w:r>
          </w:p>
        </w:tc>
        <w:tc>
          <w:tcPr>
            <w:tcW w:w="783" w:type="dxa"/>
            <w:tcBorders>
              <w:top w:val="single" w:sz="6" w:space="0" w:color="auto"/>
              <w:left w:val="single" w:sz="6" w:space="0" w:color="auto"/>
              <w:bottom w:val="single" w:sz="6" w:space="0" w:color="auto"/>
              <w:right w:val="single" w:sz="6" w:space="0" w:color="auto"/>
            </w:tcBorders>
          </w:tcPr>
          <w:p w14:paraId="668FC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0A9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59EA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02A569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C01B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AFCC2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BB79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3EB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2B9D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32E5E2" w14:textId="77777777" w:rsidTr="00ED5B0A">
        <w:tc>
          <w:tcPr>
            <w:tcW w:w="1242" w:type="dxa"/>
            <w:tcBorders>
              <w:top w:val="single" w:sz="6" w:space="0" w:color="auto"/>
              <w:left w:val="single" w:sz="6" w:space="0" w:color="auto"/>
              <w:bottom w:val="single" w:sz="6" w:space="0" w:color="auto"/>
              <w:right w:val="single" w:sz="6" w:space="0" w:color="auto"/>
            </w:tcBorders>
          </w:tcPr>
          <w:p w14:paraId="1CC53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w:t>
            </w:r>
          </w:p>
        </w:tc>
        <w:tc>
          <w:tcPr>
            <w:tcW w:w="431" w:type="dxa"/>
            <w:tcBorders>
              <w:top w:val="single" w:sz="6" w:space="0" w:color="auto"/>
              <w:left w:val="single" w:sz="6" w:space="0" w:color="auto"/>
              <w:bottom w:val="single" w:sz="6" w:space="0" w:color="auto"/>
              <w:right w:val="single" w:sz="6" w:space="0" w:color="auto"/>
            </w:tcBorders>
          </w:tcPr>
          <w:p w14:paraId="558AE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21A0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264B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24C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85C05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кг</w:t>
            </w:r>
          </w:p>
        </w:tc>
        <w:tc>
          <w:tcPr>
            <w:tcW w:w="783" w:type="dxa"/>
            <w:tcBorders>
              <w:top w:val="single" w:sz="6" w:space="0" w:color="auto"/>
              <w:left w:val="single" w:sz="6" w:space="0" w:color="auto"/>
              <w:bottom w:val="single" w:sz="6" w:space="0" w:color="auto"/>
              <w:right w:val="single" w:sz="6" w:space="0" w:color="auto"/>
            </w:tcBorders>
          </w:tcPr>
          <w:p w14:paraId="6D59F3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D7F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E8AF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патр.</w:t>
            </w:r>
          </w:p>
        </w:tc>
        <w:tc>
          <w:tcPr>
            <w:tcW w:w="848" w:type="dxa"/>
            <w:tcBorders>
              <w:top w:val="single" w:sz="6" w:space="0" w:color="auto"/>
              <w:left w:val="single" w:sz="6" w:space="0" w:color="auto"/>
              <w:bottom w:val="single" w:sz="6" w:space="0" w:color="auto"/>
              <w:right w:val="single" w:sz="6" w:space="0" w:color="auto"/>
            </w:tcBorders>
          </w:tcPr>
          <w:p w14:paraId="24466B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8D70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9201C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E51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3E1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B76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F344AD" w14:textId="77777777" w:rsidTr="00ED5B0A">
        <w:tc>
          <w:tcPr>
            <w:tcW w:w="1242" w:type="dxa"/>
            <w:tcBorders>
              <w:top w:val="single" w:sz="6" w:space="0" w:color="auto"/>
              <w:left w:val="single" w:sz="6" w:space="0" w:color="auto"/>
              <w:bottom w:val="single" w:sz="6" w:space="0" w:color="auto"/>
              <w:right w:val="single" w:sz="6" w:space="0" w:color="auto"/>
            </w:tcBorders>
          </w:tcPr>
          <w:p w14:paraId="09A9CD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232A7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C405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D22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ED2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C0A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 на</w:t>
            </w:r>
          </w:p>
        </w:tc>
        <w:tc>
          <w:tcPr>
            <w:tcW w:w="783" w:type="dxa"/>
            <w:tcBorders>
              <w:top w:val="single" w:sz="6" w:space="0" w:color="auto"/>
              <w:left w:val="single" w:sz="6" w:space="0" w:color="auto"/>
              <w:bottom w:val="single" w:sz="6" w:space="0" w:color="auto"/>
              <w:right w:val="single" w:sz="6" w:space="0" w:color="auto"/>
            </w:tcBorders>
          </w:tcPr>
          <w:p w14:paraId="3472B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391A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C7D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A7D32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0097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5A70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D75D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341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C78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071FD6" w14:textId="77777777" w:rsidTr="00ED5B0A">
        <w:tc>
          <w:tcPr>
            <w:tcW w:w="1242" w:type="dxa"/>
            <w:tcBorders>
              <w:top w:val="single" w:sz="6" w:space="0" w:color="auto"/>
              <w:left w:val="single" w:sz="6" w:space="0" w:color="auto"/>
              <w:bottom w:val="single" w:sz="6" w:space="0" w:color="auto"/>
              <w:right w:val="single" w:sz="6" w:space="0" w:color="auto"/>
            </w:tcBorders>
          </w:tcPr>
          <w:p w14:paraId="079E8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6CCB8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CE6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D21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41BA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2743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скорости</w:t>
            </w:r>
          </w:p>
        </w:tc>
        <w:tc>
          <w:tcPr>
            <w:tcW w:w="783" w:type="dxa"/>
            <w:tcBorders>
              <w:top w:val="single" w:sz="6" w:space="0" w:color="auto"/>
              <w:left w:val="single" w:sz="6" w:space="0" w:color="auto"/>
              <w:bottom w:val="single" w:sz="6" w:space="0" w:color="auto"/>
              <w:right w:val="single" w:sz="6" w:space="0" w:color="auto"/>
            </w:tcBorders>
          </w:tcPr>
          <w:p w14:paraId="04649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110A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9F9F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4BF6D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ED89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A17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D5559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4FB4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DF3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CD2D2B" w14:textId="77777777" w:rsidTr="00ED5B0A">
        <w:tc>
          <w:tcPr>
            <w:tcW w:w="1242" w:type="dxa"/>
            <w:tcBorders>
              <w:top w:val="single" w:sz="6" w:space="0" w:color="auto"/>
              <w:left w:val="single" w:sz="6" w:space="0" w:color="auto"/>
              <w:bottom w:val="single" w:sz="6" w:space="0" w:color="auto"/>
              <w:right w:val="single" w:sz="6" w:space="0" w:color="auto"/>
            </w:tcBorders>
          </w:tcPr>
          <w:p w14:paraId="015D3D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10162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D2FC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53A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8402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5C2A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 км/час</w:t>
            </w:r>
          </w:p>
        </w:tc>
        <w:tc>
          <w:tcPr>
            <w:tcW w:w="783" w:type="dxa"/>
            <w:tcBorders>
              <w:top w:val="single" w:sz="6" w:space="0" w:color="auto"/>
              <w:left w:val="single" w:sz="6" w:space="0" w:color="auto"/>
              <w:bottom w:val="single" w:sz="6" w:space="0" w:color="auto"/>
              <w:right w:val="single" w:sz="6" w:space="0" w:color="auto"/>
            </w:tcBorders>
          </w:tcPr>
          <w:p w14:paraId="2FE542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274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0712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455E3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E15A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FC03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BC05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3B1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335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75C561" w14:textId="77777777" w:rsidTr="00ED5B0A">
        <w:tc>
          <w:tcPr>
            <w:tcW w:w="1242" w:type="dxa"/>
            <w:tcBorders>
              <w:top w:val="single" w:sz="6" w:space="0" w:color="auto"/>
              <w:left w:val="single" w:sz="6" w:space="0" w:color="auto"/>
              <w:bottom w:val="single" w:sz="6" w:space="0" w:color="auto"/>
              <w:right w:val="single" w:sz="6" w:space="0" w:color="auto"/>
            </w:tcBorders>
          </w:tcPr>
          <w:p w14:paraId="5D4AB5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62656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E18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A46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10B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EAB7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высоте</w:t>
            </w:r>
          </w:p>
        </w:tc>
        <w:tc>
          <w:tcPr>
            <w:tcW w:w="783" w:type="dxa"/>
            <w:tcBorders>
              <w:top w:val="single" w:sz="6" w:space="0" w:color="auto"/>
              <w:left w:val="single" w:sz="6" w:space="0" w:color="auto"/>
              <w:bottom w:val="single" w:sz="6" w:space="0" w:color="auto"/>
              <w:right w:val="single" w:sz="6" w:space="0" w:color="auto"/>
            </w:tcBorders>
          </w:tcPr>
          <w:p w14:paraId="009AE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8F0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17D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AA8B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685B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3FA9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1C8C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3AD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D362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4D1017" w14:textId="77777777" w:rsidTr="00ED5B0A">
        <w:tc>
          <w:tcPr>
            <w:tcW w:w="1242" w:type="dxa"/>
            <w:tcBorders>
              <w:top w:val="single" w:sz="6" w:space="0" w:color="auto"/>
              <w:left w:val="single" w:sz="6" w:space="0" w:color="auto"/>
              <w:bottom w:val="single" w:sz="6" w:space="0" w:color="auto"/>
              <w:right w:val="single" w:sz="6" w:space="0" w:color="auto"/>
            </w:tcBorders>
          </w:tcPr>
          <w:p w14:paraId="5521D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D9B6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EF79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0EE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896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790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 м</w:t>
            </w:r>
          </w:p>
        </w:tc>
        <w:tc>
          <w:tcPr>
            <w:tcW w:w="783" w:type="dxa"/>
            <w:tcBorders>
              <w:top w:val="single" w:sz="6" w:space="0" w:color="auto"/>
              <w:left w:val="single" w:sz="6" w:space="0" w:color="auto"/>
              <w:bottom w:val="single" w:sz="6" w:space="0" w:color="auto"/>
              <w:right w:val="single" w:sz="6" w:space="0" w:color="auto"/>
            </w:tcBorders>
          </w:tcPr>
          <w:p w14:paraId="62B15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BC1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374A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DD29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F6A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DC7E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3528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A5930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944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E4DC9D" w14:textId="77777777" w:rsidTr="00ED5B0A">
        <w:tc>
          <w:tcPr>
            <w:tcW w:w="1242" w:type="dxa"/>
            <w:tcBorders>
              <w:top w:val="single" w:sz="6" w:space="0" w:color="auto"/>
              <w:left w:val="single" w:sz="6" w:space="0" w:color="auto"/>
              <w:bottom w:val="single" w:sz="6" w:space="0" w:color="auto"/>
              <w:right w:val="single" w:sz="6" w:space="0" w:color="auto"/>
            </w:tcBorders>
          </w:tcPr>
          <w:p w14:paraId="556EF4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1C94C1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11C2E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w:t>
            </w:r>
          </w:p>
        </w:tc>
        <w:tc>
          <w:tcPr>
            <w:tcW w:w="567" w:type="dxa"/>
            <w:tcBorders>
              <w:top w:val="single" w:sz="6" w:space="0" w:color="auto"/>
              <w:left w:val="single" w:sz="6" w:space="0" w:color="auto"/>
              <w:bottom w:val="single" w:sz="6" w:space="0" w:color="auto"/>
              <w:right w:val="single" w:sz="6" w:space="0" w:color="auto"/>
            </w:tcBorders>
          </w:tcPr>
          <w:p w14:paraId="7CCDE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567" w:type="dxa"/>
            <w:tcBorders>
              <w:top w:val="single" w:sz="6" w:space="0" w:color="auto"/>
              <w:left w:val="single" w:sz="6" w:space="0" w:color="auto"/>
              <w:bottom w:val="single" w:sz="6" w:space="0" w:color="auto"/>
              <w:right w:val="single" w:sz="6" w:space="0" w:color="auto"/>
            </w:tcBorders>
          </w:tcPr>
          <w:p w14:paraId="02DF83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53CDB1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151FF6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06355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8555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0CA07E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04116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2AB14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6D15D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1.Х.43</w:t>
            </w:r>
          </w:p>
        </w:tc>
        <w:tc>
          <w:tcPr>
            <w:tcW w:w="621" w:type="dxa"/>
            <w:tcBorders>
              <w:top w:val="single" w:sz="6" w:space="0" w:color="auto"/>
              <w:left w:val="single" w:sz="6" w:space="0" w:color="auto"/>
              <w:bottom w:val="single" w:sz="6" w:space="0" w:color="auto"/>
              <w:right w:val="single" w:sz="6" w:space="0" w:color="auto"/>
            </w:tcBorders>
          </w:tcPr>
          <w:p w14:paraId="79B1B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E777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9E8838" w14:textId="77777777" w:rsidTr="00ED5B0A">
        <w:tc>
          <w:tcPr>
            <w:tcW w:w="1242" w:type="dxa"/>
            <w:tcBorders>
              <w:top w:val="single" w:sz="6" w:space="0" w:color="auto"/>
              <w:left w:val="single" w:sz="6" w:space="0" w:color="auto"/>
              <w:bottom w:val="single" w:sz="6" w:space="0" w:color="auto"/>
              <w:right w:val="single" w:sz="6" w:space="0" w:color="auto"/>
            </w:tcBorders>
          </w:tcPr>
          <w:p w14:paraId="41F042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392CB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99F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858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567" w:type="dxa"/>
            <w:tcBorders>
              <w:top w:val="single" w:sz="6" w:space="0" w:color="auto"/>
              <w:left w:val="single" w:sz="6" w:space="0" w:color="auto"/>
              <w:bottom w:val="single" w:sz="6" w:space="0" w:color="auto"/>
              <w:right w:val="single" w:sz="6" w:space="0" w:color="auto"/>
            </w:tcBorders>
          </w:tcPr>
          <w:p w14:paraId="09DA92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34D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4252C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12E5A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A41BA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68B8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0185A9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FB5F5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948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FB6F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F6EA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51F8ED" w14:textId="77777777" w:rsidTr="00ED5B0A">
        <w:tc>
          <w:tcPr>
            <w:tcW w:w="1242" w:type="dxa"/>
            <w:tcBorders>
              <w:top w:val="single" w:sz="6" w:space="0" w:color="auto"/>
              <w:left w:val="single" w:sz="6" w:space="0" w:color="auto"/>
              <w:bottom w:val="single" w:sz="6" w:space="0" w:color="auto"/>
              <w:right w:val="single" w:sz="6" w:space="0" w:color="auto"/>
            </w:tcBorders>
          </w:tcPr>
          <w:p w14:paraId="26DCA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Ту-2 с М-82</w:t>
            </w:r>
          </w:p>
        </w:tc>
        <w:tc>
          <w:tcPr>
            <w:tcW w:w="431" w:type="dxa"/>
            <w:tcBorders>
              <w:top w:val="single" w:sz="6" w:space="0" w:color="auto"/>
              <w:left w:val="single" w:sz="6" w:space="0" w:color="auto"/>
              <w:bottom w:val="single" w:sz="6" w:space="0" w:color="auto"/>
              <w:right w:val="single" w:sz="6" w:space="0" w:color="auto"/>
            </w:tcBorders>
          </w:tcPr>
          <w:p w14:paraId="78FA3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D3A3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F352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747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EFD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A0B6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8D1D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BC6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2F313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ECDED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1EE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4C01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79853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B9F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6CB738" w14:textId="77777777" w:rsidTr="00ED5B0A">
        <w:tc>
          <w:tcPr>
            <w:tcW w:w="1242" w:type="dxa"/>
            <w:tcBorders>
              <w:top w:val="single" w:sz="6" w:space="0" w:color="auto"/>
              <w:left w:val="single" w:sz="6" w:space="0" w:color="auto"/>
              <w:bottom w:val="single" w:sz="6" w:space="0" w:color="auto"/>
              <w:right w:val="single" w:sz="6" w:space="0" w:color="auto"/>
            </w:tcBorders>
          </w:tcPr>
          <w:p w14:paraId="59C78A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ТК-3</w:t>
            </w:r>
          </w:p>
        </w:tc>
        <w:tc>
          <w:tcPr>
            <w:tcW w:w="431" w:type="dxa"/>
            <w:tcBorders>
              <w:top w:val="single" w:sz="6" w:space="0" w:color="auto"/>
              <w:left w:val="single" w:sz="6" w:space="0" w:color="auto"/>
              <w:bottom w:val="single" w:sz="6" w:space="0" w:color="auto"/>
              <w:right w:val="single" w:sz="6" w:space="0" w:color="auto"/>
            </w:tcBorders>
          </w:tcPr>
          <w:p w14:paraId="57292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09907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9C42B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D70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3A6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E8FA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0EBC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1974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38A0D5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D310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674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6B8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107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BAE8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7FB077" w14:textId="77777777" w:rsidTr="00ED5B0A">
        <w:tc>
          <w:tcPr>
            <w:tcW w:w="1242" w:type="dxa"/>
            <w:tcBorders>
              <w:top w:val="single" w:sz="6" w:space="0" w:color="auto"/>
              <w:left w:val="single" w:sz="6" w:space="0" w:color="auto"/>
              <w:bottom w:val="single" w:sz="6" w:space="0" w:color="auto"/>
              <w:right w:val="single" w:sz="6" w:space="0" w:color="auto"/>
            </w:tcBorders>
          </w:tcPr>
          <w:p w14:paraId="3FBD9C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8208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67F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3AA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95A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6C007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F192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832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E06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19059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9B7A7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AB0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D526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6D3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0CE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607985" w14:textId="77777777" w:rsidTr="00ED5B0A">
        <w:tc>
          <w:tcPr>
            <w:tcW w:w="1242" w:type="dxa"/>
            <w:tcBorders>
              <w:top w:val="single" w:sz="6" w:space="0" w:color="auto"/>
              <w:left w:val="single" w:sz="6" w:space="0" w:color="auto"/>
              <w:bottom w:val="single" w:sz="6" w:space="0" w:color="auto"/>
              <w:right w:val="single" w:sz="6" w:space="0" w:color="auto"/>
            </w:tcBorders>
          </w:tcPr>
          <w:p w14:paraId="44A18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Туполев</w:t>
            </w:r>
          </w:p>
        </w:tc>
        <w:tc>
          <w:tcPr>
            <w:tcW w:w="431" w:type="dxa"/>
            <w:tcBorders>
              <w:top w:val="single" w:sz="6" w:space="0" w:color="auto"/>
              <w:left w:val="single" w:sz="6" w:space="0" w:color="auto"/>
              <w:bottom w:val="single" w:sz="6" w:space="0" w:color="auto"/>
              <w:right w:val="single" w:sz="6" w:space="0" w:color="auto"/>
            </w:tcBorders>
          </w:tcPr>
          <w:p w14:paraId="0338B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D3B0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257B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103A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AF35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A77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2508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C72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 патр.</w:t>
            </w:r>
          </w:p>
        </w:tc>
        <w:tc>
          <w:tcPr>
            <w:tcW w:w="848" w:type="dxa"/>
            <w:tcBorders>
              <w:top w:val="single" w:sz="6" w:space="0" w:color="auto"/>
              <w:left w:val="single" w:sz="6" w:space="0" w:color="auto"/>
              <w:bottom w:val="single" w:sz="6" w:space="0" w:color="auto"/>
              <w:right w:val="single" w:sz="6" w:space="0" w:color="auto"/>
            </w:tcBorders>
          </w:tcPr>
          <w:p w14:paraId="4BB66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476A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C85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EFA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43C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F48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69E8DD" w14:textId="77777777" w:rsidTr="00ED5B0A">
        <w:tc>
          <w:tcPr>
            <w:tcW w:w="1242" w:type="dxa"/>
            <w:tcBorders>
              <w:top w:val="single" w:sz="6" w:space="0" w:color="auto"/>
              <w:left w:val="single" w:sz="6" w:space="0" w:color="auto"/>
              <w:bottom w:val="single" w:sz="6" w:space="0" w:color="auto"/>
              <w:right w:val="single" w:sz="6" w:space="0" w:color="auto"/>
            </w:tcBorders>
          </w:tcPr>
          <w:p w14:paraId="7922E5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же</w:t>
            </w:r>
          </w:p>
        </w:tc>
        <w:tc>
          <w:tcPr>
            <w:tcW w:w="431" w:type="dxa"/>
            <w:tcBorders>
              <w:top w:val="single" w:sz="6" w:space="0" w:color="auto"/>
              <w:left w:val="single" w:sz="6" w:space="0" w:color="auto"/>
              <w:bottom w:val="single" w:sz="6" w:space="0" w:color="auto"/>
              <w:right w:val="single" w:sz="6" w:space="0" w:color="auto"/>
            </w:tcBorders>
          </w:tcPr>
          <w:p w14:paraId="4ADE1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448107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w:t>
            </w:r>
          </w:p>
        </w:tc>
        <w:tc>
          <w:tcPr>
            <w:tcW w:w="567" w:type="dxa"/>
            <w:tcBorders>
              <w:top w:val="single" w:sz="6" w:space="0" w:color="auto"/>
              <w:left w:val="single" w:sz="6" w:space="0" w:color="auto"/>
              <w:bottom w:val="single" w:sz="6" w:space="0" w:color="auto"/>
              <w:right w:val="single" w:sz="6" w:space="0" w:color="auto"/>
            </w:tcBorders>
          </w:tcPr>
          <w:p w14:paraId="2513CB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567" w:type="dxa"/>
            <w:tcBorders>
              <w:top w:val="single" w:sz="6" w:space="0" w:color="auto"/>
              <w:left w:val="single" w:sz="6" w:space="0" w:color="auto"/>
              <w:bottom w:val="single" w:sz="6" w:space="0" w:color="auto"/>
              <w:right w:val="single" w:sz="6" w:space="0" w:color="auto"/>
            </w:tcBorders>
          </w:tcPr>
          <w:p w14:paraId="037CBE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w:t>
            </w:r>
          </w:p>
        </w:tc>
        <w:tc>
          <w:tcPr>
            <w:tcW w:w="709" w:type="dxa"/>
            <w:tcBorders>
              <w:top w:val="single" w:sz="6" w:space="0" w:color="auto"/>
              <w:left w:val="single" w:sz="6" w:space="0" w:color="auto"/>
              <w:bottom w:val="single" w:sz="6" w:space="0" w:color="auto"/>
              <w:right w:val="single" w:sz="6" w:space="0" w:color="auto"/>
            </w:tcBorders>
          </w:tcPr>
          <w:p w14:paraId="639F3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6D7DE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10/5000</w:t>
            </w:r>
          </w:p>
        </w:tc>
        <w:tc>
          <w:tcPr>
            <w:tcW w:w="783" w:type="dxa"/>
            <w:tcBorders>
              <w:top w:val="single" w:sz="6" w:space="0" w:color="auto"/>
              <w:left w:val="single" w:sz="6" w:space="0" w:color="auto"/>
              <w:bottom w:val="single" w:sz="6" w:space="0" w:color="auto"/>
              <w:right w:val="single" w:sz="6" w:space="0" w:color="auto"/>
            </w:tcBorders>
          </w:tcPr>
          <w:p w14:paraId="12EE6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123" w:type="dxa"/>
            <w:tcBorders>
              <w:top w:val="single" w:sz="6" w:space="0" w:color="auto"/>
              <w:left w:val="single" w:sz="6" w:space="0" w:color="auto"/>
              <w:bottom w:val="single" w:sz="6" w:space="0" w:color="auto"/>
              <w:right w:val="single" w:sz="6" w:space="0" w:color="auto"/>
            </w:tcBorders>
          </w:tcPr>
          <w:p w14:paraId="603F72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7D202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566A0E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3DAE6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67986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15.VII.43</w:t>
            </w:r>
          </w:p>
        </w:tc>
        <w:tc>
          <w:tcPr>
            <w:tcW w:w="621" w:type="dxa"/>
            <w:tcBorders>
              <w:top w:val="single" w:sz="6" w:space="0" w:color="auto"/>
              <w:left w:val="single" w:sz="6" w:space="0" w:color="auto"/>
              <w:bottom w:val="single" w:sz="6" w:space="0" w:color="auto"/>
              <w:right w:val="single" w:sz="6" w:space="0" w:color="auto"/>
            </w:tcBorders>
          </w:tcPr>
          <w:p w14:paraId="5D18E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EE39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A117EC" w14:textId="77777777" w:rsidTr="00ED5B0A">
        <w:tc>
          <w:tcPr>
            <w:tcW w:w="1242" w:type="dxa"/>
            <w:tcBorders>
              <w:top w:val="single" w:sz="6" w:space="0" w:color="auto"/>
              <w:left w:val="single" w:sz="6" w:space="0" w:color="auto"/>
              <w:bottom w:val="single" w:sz="6" w:space="0" w:color="auto"/>
              <w:right w:val="single" w:sz="6" w:space="0" w:color="auto"/>
            </w:tcBorders>
          </w:tcPr>
          <w:p w14:paraId="491716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 max</w:t>
            </w:r>
          </w:p>
        </w:tc>
        <w:tc>
          <w:tcPr>
            <w:tcW w:w="431" w:type="dxa"/>
            <w:tcBorders>
              <w:top w:val="single" w:sz="6" w:space="0" w:color="auto"/>
              <w:left w:val="single" w:sz="6" w:space="0" w:color="auto"/>
              <w:bottom w:val="single" w:sz="6" w:space="0" w:color="auto"/>
              <w:right w:val="single" w:sz="6" w:space="0" w:color="auto"/>
            </w:tcBorders>
          </w:tcPr>
          <w:p w14:paraId="15D40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1BF9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ED9D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6200</w:t>
            </w:r>
          </w:p>
        </w:tc>
        <w:tc>
          <w:tcPr>
            <w:tcW w:w="567" w:type="dxa"/>
            <w:tcBorders>
              <w:top w:val="single" w:sz="6" w:space="0" w:color="auto"/>
              <w:left w:val="single" w:sz="6" w:space="0" w:color="auto"/>
              <w:bottom w:val="single" w:sz="6" w:space="0" w:color="auto"/>
              <w:right w:val="single" w:sz="6" w:space="0" w:color="auto"/>
            </w:tcBorders>
          </w:tcPr>
          <w:p w14:paraId="76ECF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C9FE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D9B2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5BD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0065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F97DA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5FB6A0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C437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62D1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E140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AC6B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AB234A" w14:textId="77777777" w:rsidTr="00ED5B0A">
        <w:tc>
          <w:tcPr>
            <w:tcW w:w="1242" w:type="dxa"/>
            <w:tcBorders>
              <w:top w:val="single" w:sz="6" w:space="0" w:color="auto"/>
              <w:left w:val="single" w:sz="6" w:space="0" w:color="auto"/>
              <w:bottom w:val="single" w:sz="6" w:space="0" w:color="auto"/>
              <w:right w:val="single" w:sz="6" w:space="0" w:color="auto"/>
            </w:tcBorders>
          </w:tcPr>
          <w:p w14:paraId="151F9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упрощенном</w:t>
            </w:r>
          </w:p>
        </w:tc>
        <w:tc>
          <w:tcPr>
            <w:tcW w:w="431" w:type="dxa"/>
            <w:tcBorders>
              <w:top w:val="single" w:sz="6" w:space="0" w:color="auto"/>
              <w:left w:val="single" w:sz="6" w:space="0" w:color="auto"/>
              <w:bottom w:val="single" w:sz="6" w:space="0" w:color="auto"/>
              <w:right w:val="single" w:sz="6" w:space="0" w:color="auto"/>
            </w:tcBorders>
          </w:tcPr>
          <w:p w14:paraId="785DC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1A2C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D25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6CC6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0CA5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2A24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9B93C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591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F324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7BB65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B43B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EB8D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958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5CF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15C9DC" w14:textId="77777777" w:rsidTr="00ED5B0A">
        <w:tc>
          <w:tcPr>
            <w:tcW w:w="1242" w:type="dxa"/>
            <w:tcBorders>
              <w:top w:val="single" w:sz="6" w:space="0" w:color="auto"/>
              <w:left w:val="single" w:sz="6" w:space="0" w:color="auto"/>
              <w:bottom w:val="single" w:sz="6" w:space="0" w:color="auto"/>
              <w:right w:val="single" w:sz="6" w:space="0" w:color="auto"/>
            </w:tcBorders>
          </w:tcPr>
          <w:p w14:paraId="1D756D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виде с</w:t>
            </w:r>
          </w:p>
        </w:tc>
        <w:tc>
          <w:tcPr>
            <w:tcW w:w="431" w:type="dxa"/>
            <w:tcBorders>
              <w:top w:val="single" w:sz="6" w:space="0" w:color="auto"/>
              <w:left w:val="single" w:sz="6" w:space="0" w:color="auto"/>
              <w:bottom w:val="single" w:sz="6" w:space="0" w:color="auto"/>
              <w:right w:val="single" w:sz="6" w:space="0" w:color="auto"/>
            </w:tcBorders>
          </w:tcPr>
          <w:p w14:paraId="3CF3DA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121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83C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202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F1D0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CC7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240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121F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5D57B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8ADD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005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DCC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EE4E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4452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F3FEF4" w14:textId="77777777" w:rsidTr="00ED5B0A">
        <w:tc>
          <w:tcPr>
            <w:tcW w:w="1242" w:type="dxa"/>
            <w:tcBorders>
              <w:top w:val="single" w:sz="6" w:space="0" w:color="auto"/>
              <w:left w:val="single" w:sz="6" w:space="0" w:color="auto"/>
              <w:bottom w:val="single" w:sz="6" w:space="0" w:color="auto"/>
              <w:right w:val="single" w:sz="6" w:space="0" w:color="auto"/>
            </w:tcBorders>
          </w:tcPr>
          <w:p w14:paraId="0BEDC2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М-82ФН</w:t>
            </w:r>
          </w:p>
        </w:tc>
        <w:tc>
          <w:tcPr>
            <w:tcW w:w="431" w:type="dxa"/>
            <w:tcBorders>
              <w:top w:val="single" w:sz="6" w:space="0" w:color="auto"/>
              <w:left w:val="single" w:sz="6" w:space="0" w:color="auto"/>
              <w:bottom w:val="single" w:sz="6" w:space="0" w:color="auto"/>
              <w:right w:val="single" w:sz="6" w:space="0" w:color="auto"/>
            </w:tcBorders>
          </w:tcPr>
          <w:p w14:paraId="3B554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22CB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BC1F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70879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253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D360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DF9D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BAB1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0A26B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45A5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CE17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935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024B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2545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075F9A" w14:textId="77777777" w:rsidTr="00ED5B0A">
        <w:tc>
          <w:tcPr>
            <w:tcW w:w="1242" w:type="dxa"/>
            <w:tcBorders>
              <w:top w:val="single" w:sz="6" w:space="0" w:color="auto"/>
              <w:left w:val="single" w:sz="6" w:space="0" w:color="auto"/>
              <w:bottom w:val="single" w:sz="6" w:space="0" w:color="auto"/>
              <w:right w:val="single" w:sz="6" w:space="0" w:color="auto"/>
            </w:tcBorders>
          </w:tcPr>
          <w:p w14:paraId="36888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EC5B6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091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56B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C28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06B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C233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466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5CC2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 патр.</w:t>
            </w:r>
          </w:p>
        </w:tc>
        <w:tc>
          <w:tcPr>
            <w:tcW w:w="848" w:type="dxa"/>
            <w:tcBorders>
              <w:top w:val="single" w:sz="6" w:space="0" w:color="auto"/>
              <w:left w:val="single" w:sz="6" w:space="0" w:color="auto"/>
              <w:bottom w:val="single" w:sz="6" w:space="0" w:color="auto"/>
              <w:right w:val="single" w:sz="6" w:space="0" w:color="auto"/>
            </w:tcBorders>
          </w:tcPr>
          <w:p w14:paraId="643C1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F56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A43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AB02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90F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A9A6A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8DE606" w14:textId="77777777" w:rsidTr="00ED5B0A">
        <w:tc>
          <w:tcPr>
            <w:tcW w:w="1242" w:type="dxa"/>
            <w:tcBorders>
              <w:top w:val="single" w:sz="6" w:space="0" w:color="auto"/>
              <w:left w:val="single" w:sz="6" w:space="0" w:color="auto"/>
              <w:bottom w:val="single" w:sz="6" w:space="0" w:color="auto"/>
              <w:right w:val="single" w:sz="6" w:space="0" w:color="auto"/>
            </w:tcBorders>
          </w:tcPr>
          <w:p w14:paraId="62EB5B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же</w:t>
            </w:r>
          </w:p>
        </w:tc>
        <w:tc>
          <w:tcPr>
            <w:tcW w:w="431" w:type="dxa"/>
            <w:tcBorders>
              <w:top w:val="single" w:sz="6" w:space="0" w:color="auto"/>
              <w:left w:val="single" w:sz="6" w:space="0" w:color="auto"/>
              <w:bottom w:val="single" w:sz="6" w:space="0" w:color="auto"/>
              <w:right w:val="single" w:sz="6" w:space="0" w:color="auto"/>
            </w:tcBorders>
          </w:tcPr>
          <w:p w14:paraId="7A2DC4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48E7AE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567" w:type="dxa"/>
            <w:tcBorders>
              <w:top w:val="single" w:sz="6" w:space="0" w:color="auto"/>
              <w:left w:val="single" w:sz="6" w:space="0" w:color="auto"/>
              <w:bottom w:val="single" w:sz="6" w:space="0" w:color="auto"/>
              <w:right w:val="single" w:sz="6" w:space="0" w:color="auto"/>
            </w:tcBorders>
          </w:tcPr>
          <w:p w14:paraId="7B16B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w:t>
            </w:r>
          </w:p>
        </w:tc>
        <w:tc>
          <w:tcPr>
            <w:tcW w:w="567" w:type="dxa"/>
            <w:tcBorders>
              <w:top w:val="single" w:sz="6" w:space="0" w:color="auto"/>
              <w:left w:val="single" w:sz="6" w:space="0" w:color="auto"/>
              <w:bottom w:val="single" w:sz="6" w:space="0" w:color="auto"/>
              <w:right w:val="single" w:sz="6" w:space="0" w:color="auto"/>
            </w:tcBorders>
          </w:tcPr>
          <w:p w14:paraId="32A39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09" w:type="dxa"/>
            <w:tcBorders>
              <w:top w:val="single" w:sz="6" w:space="0" w:color="auto"/>
              <w:left w:val="single" w:sz="6" w:space="0" w:color="auto"/>
              <w:bottom w:val="single" w:sz="6" w:space="0" w:color="auto"/>
              <w:right w:val="single" w:sz="6" w:space="0" w:color="auto"/>
            </w:tcBorders>
          </w:tcPr>
          <w:p w14:paraId="483237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497B80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10/5000</w:t>
            </w:r>
          </w:p>
        </w:tc>
        <w:tc>
          <w:tcPr>
            <w:tcW w:w="783" w:type="dxa"/>
            <w:tcBorders>
              <w:top w:val="single" w:sz="6" w:space="0" w:color="auto"/>
              <w:left w:val="single" w:sz="6" w:space="0" w:color="auto"/>
              <w:bottom w:val="single" w:sz="6" w:space="0" w:color="auto"/>
              <w:right w:val="single" w:sz="6" w:space="0" w:color="auto"/>
            </w:tcBorders>
          </w:tcPr>
          <w:p w14:paraId="220A29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w:t>
            </w:r>
          </w:p>
        </w:tc>
        <w:tc>
          <w:tcPr>
            <w:tcW w:w="1123" w:type="dxa"/>
            <w:tcBorders>
              <w:top w:val="single" w:sz="6" w:space="0" w:color="auto"/>
              <w:left w:val="single" w:sz="6" w:space="0" w:color="auto"/>
              <w:bottom w:val="single" w:sz="6" w:space="0" w:color="auto"/>
              <w:right w:val="single" w:sz="6" w:space="0" w:color="auto"/>
            </w:tcBorders>
          </w:tcPr>
          <w:p w14:paraId="7AF236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391BD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7C81A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59F5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1BD5EC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1.XI.43</w:t>
            </w:r>
          </w:p>
        </w:tc>
        <w:tc>
          <w:tcPr>
            <w:tcW w:w="621" w:type="dxa"/>
            <w:tcBorders>
              <w:top w:val="single" w:sz="6" w:space="0" w:color="auto"/>
              <w:left w:val="single" w:sz="6" w:space="0" w:color="auto"/>
              <w:bottom w:val="single" w:sz="6" w:space="0" w:color="auto"/>
              <w:right w:val="single" w:sz="6" w:space="0" w:color="auto"/>
            </w:tcBorders>
          </w:tcPr>
          <w:p w14:paraId="78D0A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с-те</w:t>
            </w:r>
          </w:p>
        </w:tc>
        <w:tc>
          <w:tcPr>
            <w:tcW w:w="621" w:type="dxa"/>
            <w:tcBorders>
              <w:top w:val="single" w:sz="6" w:space="0" w:color="auto"/>
              <w:left w:val="single" w:sz="6" w:space="0" w:color="auto"/>
              <w:bottom w:val="single" w:sz="6" w:space="0" w:color="auto"/>
              <w:right w:val="single" w:sz="6" w:space="0" w:color="auto"/>
            </w:tcBorders>
          </w:tcPr>
          <w:p w14:paraId="76E894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85883F" w14:textId="77777777" w:rsidTr="00ED5B0A">
        <w:tc>
          <w:tcPr>
            <w:tcW w:w="1242" w:type="dxa"/>
            <w:tcBorders>
              <w:top w:val="single" w:sz="6" w:space="0" w:color="auto"/>
              <w:left w:val="single" w:sz="6" w:space="0" w:color="auto"/>
              <w:bottom w:val="single" w:sz="6" w:space="0" w:color="auto"/>
              <w:right w:val="single" w:sz="6" w:space="0" w:color="auto"/>
            </w:tcBorders>
          </w:tcPr>
          <w:p w14:paraId="05BE5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с АМ-43</w:t>
            </w:r>
          </w:p>
        </w:tc>
        <w:tc>
          <w:tcPr>
            <w:tcW w:w="431" w:type="dxa"/>
            <w:tcBorders>
              <w:top w:val="single" w:sz="6" w:space="0" w:color="auto"/>
              <w:left w:val="single" w:sz="6" w:space="0" w:color="auto"/>
              <w:bottom w:val="single" w:sz="6" w:space="0" w:color="auto"/>
              <w:right w:val="single" w:sz="6" w:space="0" w:color="auto"/>
            </w:tcBorders>
          </w:tcPr>
          <w:p w14:paraId="728A1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609D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1129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7800</w:t>
            </w:r>
          </w:p>
        </w:tc>
        <w:tc>
          <w:tcPr>
            <w:tcW w:w="567" w:type="dxa"/>
            <w:tcBorders>
              <w:top w:val="single" w:sz="6" w:space="0" w:color="auto"/>
              <w:left w:val="single" w:sz="6" w:space="0" w:color="auto"/>
              <w:bottom w:val="single" w:sz="6" w:space="0" w:color="auto"/>
              <w:right w:val="single" w:sz="6" w:space="0" w:color="auto"/>
            </w:tcBorders>
          </w:tcPr>
          <w:p w14:paraId="347DC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99F9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809F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6DB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072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2115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3E78A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57CB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B83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5EF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первоначал</w:t>
            </w:r>
            <w:r w:rsidRPr="00271E51">
              <w:rPr>
                <w:rFonts w:ascii="Times New Roman" w:hAnsi="Times New Roman"/>
                <w:color w:val="000000" w:themeColor="text1"/>
                <w:sz w:val="16"/>
                <w:szCs w:val="16"/>
              </w:rPr>
              <w:lastRenderedPageBreak/>
              <w:t>ьно</w:t>
            </w:r>
          </w:p>
        </w:tc>
        <w:tc>
          <w:tcPr>
            <w:tcW w:w="621" w:type="dxa"/>
            <w:tcBorders>
              <w:top w:val="single" w:sz="6" w:space="0" w:color="auto"/>
              <w:left w:val="single" w:sz="6" w:space="0" w:color="auto"/>
              <w:bottom w:val="single" w:sz="6" w:space="0" w:color="auto"/>
              <w:right w:val="single" w:sz="6" w:space="0" w:color="auto"/>
            </w:tcBorders>
          </w:tcPr>
          <w:p w14:paraId="2A2278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3E0A14" w14:textId="77777777" w:rsidTr="00ED5B0A">
        <w:tc>
          <w:tcPr>
            <w:tcW w:w="1242" w:type="dxa"/>
            <w:tcBorders>
              <w:top w:val="single" w:sz="6" w:space="0" w:color="auto"/>
              <w:left w:val="single" w:sz="6" w:space="0" w:color="auto"/>
              <w:bottom w:val="single" w:sz="6" w:space="0" w:color="auto"/>
              <w:right w:val="single" w:sz="6" w:space="0" w:color="auto"/>
            </w:tcBorders>
          </w:tcPr>
          <w:p w14:paraId="28C88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FF74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53E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D60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4E45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6C02A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334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A879C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F7D33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11278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951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83D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387F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80B3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устанавливаются</w:t>
            </w:r>
          </w:p>
        </w:tc>
        <w:tc>
          <w:tcPr>
            <w:tcW w:w="621" w:type="dxa"/>
            <w:tcBorders>
              <w:top w:val="single" w:sz="6" w:space="0" w:color="auto"/>
              <w:left w:val="single" w:sz="6" w:space="0" w:color="auto"/>
              <w:bottom w:val="single" w:sz="6" w:space="0" w:color="auto"/>
              <w:right w:val="single" w:sz="6" w:space="0" w:color="auto"/>
            </w:tcBorders>
          </w:tcPr>
          <w:p w14:paraId="217DE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F61844" w14:textId="77777777" w:rsidTr="00ED5B0A">
        <w:tc>
          <w:tcPr>
            <w:tcW w:w="1242" w:type="dxa"/>
            <w:tcBorders>
              <w:top w:val="single" w:sz="6" w:space="0" w:color="auto"/>
              <w:left w:val="single" w:sz="6" w:space="0" w:color="auto"/>
              <w:bottom w:val="single" w:sz="6" w:space="0" w:color="auto"/>
              <w:right w:val="single" w:sz="6" w:space="0" w:color="auto"/>
            </w:tcBorders>
          </w:tcPr>
          <w:p w14:paraId="22158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FE3A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66C5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A23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20F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E5E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4FE6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5866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69E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45FC2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62995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4502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3301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81BA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621" w:type="dxa"/>
            <w:tcBorders>
              <w:top w:val="single" w:sz="6" w:space="0" w:color="auto"/>
              <w:left w:val="single" w:sz="6" w:space="0" w:color="auto"/>
              <w:bottom w:val="single" w:sz="6" w:space="0" w:color="auto"/>
              <w:right w:val="single" w:sz="6" w:space="0" w:color="auto"/>
            </w:tcBorders>
          </w:tcPr>
          <w:p w14:paraId="06EF0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039E45" w14:textId="77777777" w:rsidTr="00ED5B0A">
        <w:tc>
          <w:tcPr>
            <w:tcW w:w="1242" w:type="dxa"/>
            <w:tcBorders>
              <w:top w:val="single" w:sz="6" w:space="0" w:color="auto"/>
              <w:left w:val="single" w:sz="6" w:space="0" w:color="auto"/>
              <w:bottom w:val="single" w:sz="6" w:space="0" w:color="auto"/>
              <w:right w:val="single" w:sz="6" w:space="0" w:color="auto"/>
            </w:tcBorders>
          </w:tcPr>
          <w:p w14:paraId="6E0D9F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BA8F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F7E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339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51E9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64E0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0FC6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4E3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9AF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D924C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963F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049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DB9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6B9C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A609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B60DC9" w14:textId="77777777" w:rsidTr="00ED5B0A">
        <w:tc>
          <w:tcPr>
            <w:tcW w:w="1242" w:type="dxa"/>
            <w:tcBorders>
              <w:top w:val="single" w:sz="6" w:space="0" w:color="auto"/>
              <w:left w:val="single" w:sz="6" w:space="0" w:color="auto"/>
              <w:bottom w:val="single" w:sz="6" w:space="0" w:color="auto"/>
              <w:right w:val="single" w:sz="6" w:space="0" w:color="auto"/>
            </w:tcBorders>
          </w:tcPr>
          <w:p w14:paraId="03DBC4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1156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D3CB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44A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CC8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7C6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BC6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185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F83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 патр.</w:t>
            </w:r>
          </w:p>
        </w:tc>
        <w:tc>
          <w:tcPr>
            <w:tcW w:w="848" w:type="dxa"/>
            <w:tcBorders>
              <w:top w:val="single" w:sz="6" w:space="0" w:color="auto"/>
              <w:left w:val="single" w:sz="6" w:space="0" w:color="auto"/>
              <w:bottom w:val="single" w:sz="6" w:space="0" w:color="auto"/>
              <w:right w:val="single" w:sz="6" w:space="0" w:color="auto"/>
            </w:tcBorders>
          </w:tcPr>
          <w:p w14:paraId="0A3B9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AF76F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187C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1B9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8460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A737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2D5EB9" w14:textId="77777777" w:rsidTr="00ED5B0A">
        <w:tc>
          <w:tcPr>
            <w:tcW w:w="1242" w:type="dxa"/>
            <w:tcBorders>
              <w:top w:val="single" w:sz="6" w:space="0" w:color="auto"/>
              <w:left w:val="single" w:sz="6" w:space="0" w:color="auto"/>
              <w:bottom w:val="single" w:sz="6" w:space="0" w:color="auto"/>
              <w:right w:val="single" w:sz="6" w:space="0" w:color="auto"/>
            </w:tcBorders>
          </w:tcPr>
          <w:p w14:paraId="383BC4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же</w:t>
            </w:r>
          </w:p>
        </w:tc>
        <w:tc>
          <w:tcPr>
            <w:tcW w:w="431" w:type="dxa"/>
            <w:tcBorders>
              <w:top w:val="single" w:sz="6" w:space="0" w:color="auto"/>
              <w:left w:val="single" w:sz="6" w:space="0" w:color="auto"/>
              <w:bottom w:val="single" w:sz="6" w:space="0" w:color="auto"/>
              <w:right w:val="single" w:sz="6" w:space="0" w:color="auto"/>
            </w:tcBorders>
          </w:tcPr>
          <w:p w14:paraId="67F49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2D307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567" w:type="dxa"/>
            <w:tcBorders>
              <w:top w:val="single" w:sz="6" w:space="0" w:color="auto"/>
              <w:left w:val="single" w:sz="6" w:space="0" w:color="auto"/>
              <w:bottom w:val="single" w:sz="6" w:space="0" w:color="auto"/>
              <w:right w:val="single" w:sz="6" w:space="0" w:color="auto"/>
            </w:tcBorders>
          </w:tcPr>
          <w:p w14:paraId="367237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w:t>
            </w:r>
          </w:p>
        </w:tc>
        <w:tc>
          <w:tcPr>
            <w:tcW w:w="567" w:type="dxa"/>
            <w:tcBorders>
              <w:top w:val="single" w:sz="6" w:space="0" w:color="auto"/>
              <w:left w:val="single" w:sz="6" w:space="0" w:color="auto"/>
              <w:bottom w:val="single" w:sz="6" w:space="0" w:color="auto"/>
              <w:right w:val="single" w:sz="6" w:space="0" w:color="auto"/>
            </w:tcBorders>
          </w:tcPr>
          <w:p w14:paraId="56D33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09" w:type="dxa"/>
            <w:tcBorders>
              <w:top w:val="single" w:sz="6" w:space="0" w:color="auto"/>
              <w:left w:val="single" w:sz="6" w:space="0" w:color="auto"/>
              <w:bottom w:val="single" w:sz="6" w:space="0" w:color="auto"/>
              <w:right w:val="single" w:sz="6" w:space="0" w:color="auto"/>
            </w:tcBorders>
          </w:tcPr>
          <w:p w14:paraId="7F08C7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783" w:type="dxa"/>
            <w:tcBorders>
              <w:top w:val="single" w:sz="6" w:space="0" w:color="auto"/>
              <w:left w:val="single" w:sz="6" w:space="0" w:color="auto"/>
              <w:bottom w:val="single" w:sz="6" w:space="0" w:color="auto"/>
              <w:right w:val="single" w:sz="6" w:space="0" w:color="auto"/>
            </w:tcBorders>
          </w:tcPr>
          <w:p w14:paraId="0ECE8D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25173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123" w:type="dxa"/>
            <w:tcBorders>
              <w:top w:val="single" w:sz="6" w:space="0" w:color="auto"/>
              <w:left w:val="single" w:sz="6" w:space="0" w:color="auto"/>
              <w:bottom w:val="single" w:sz="6" w:space="0" w:color="auto"/>
              <w:right w:val="single" w:sz="6" w:space="0" w:color="auto"/>
            </w:tcBorders>
          </w:tcPr>
          <w:p w14:paraId="06388F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42D448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64EB56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336696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01B35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1.XII.43</w:t>
            </w:r>
          </w:p>
        </w:tc>
        <w:tc>
          <w:tcPr>
            <w:tcW w:w="621" w:type="dxa"/>
            <w:tcBorders>
              <w:top w:val="single" w:sz="6" w:space="0" w:color="auto"/>
              <w:left w:val="single" w:sz="6" w:space="0" w:color="auto"/>
              <w:bottom w:val="single" w:sz="6" w:space="0" w:color="auto"/>
              <w:right w:val="single" w:sz="6" w:space="0" w:color="auto"/>
            </w:tcBorders>
          </w:tcPr>
          <w:p w14:paraId="581DF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BB80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B892DA" w14:textId="77777777" w:rsidTr="00ED5B0A">
        <w:tc>
          <w:tcPr>
            <w:tcW w:w="1242" w:type="dxa"/>
            <w:tcBorders>
              <w:top w:val="single" w:sz="6" w:space="0" w:color="auto"/>
              <w:left w:val="single" w:sz="6" w:space="0" w:color="auto"/>
              <w:bottom w:val="single" w:sz="6" w:space="0" w:color="auto"/>
              <w:right w:val="single" w:sz="6" w:space="0" w:color="auto"/>
            </w:tcBorders>
          </w:tcPr>
          <w:p w14:paraId="2497C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с</w:t>
            </w:r>
          </w:p>
        </w:tc>
        <w:tc>
          <w:tcPr>
            <w:tcW w:w="431" w:type="dxa"/>
            <w:tcBorders>
              <w:top w:val="single" w:sz="6" w:space="0" w:color="auto"/>
              <w:left w:val="single" w:sz="6" w:space="0" w:color="auto"/>
              <w:bottom w:val="single" w:sz="6" w:space="0" w:color="auto"/>
              <w:right w:val="single" w:sz="6" w:space="0" w:color="auto"/>
            </w:tcBorders>
          </w:tcPr>
          <w:p w14:paraId="6DFE7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499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F3303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6200</w:t>
            </w:r>
          </w:p>
        </w:tc>
        <w:tc>
          <w:tcPr>
            <w:tcW w:w="567" w:type="dxa"/>
            <w:tcBorders>
              <w:top w:val="single" w:sz="6" w:space="0" w:color="auto"/>
              <w:left w:val="single" w:sz="6" w:space="0" w:color="auto"/>
              <w:bottom w:val="single" w:sz="6" w:space="0" w:color="auto"/>
              <w:right w:val="single" w:sz="6" w:space="0" w:color="auto"/>
            </w:tcBorders>
          </w:tcPr>
          <w:p w14:paraId="4319C0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E086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8BC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7F9C0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35F0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6FF94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49D344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909D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90F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BCA1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D44D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E2EE90" w14:textId="77777777" w:rsidTr="00ED5B0A">
        <w:tc>
          <w:tcPr>
            <w:tcW w:w="1242" w:type="dxa"/>
            <w:tcBorders>
              <w:top w:val="single" w:sz="6" w:space="0" w:color="auto"/>
              <w:left w:val="single" w:sz="6" w:space="0" w:color="auto"/>
              <w:bottom w:val="single" w:sz="6" w:space="0" w:color="auto"/>
              <w:right w:val="single" w:sz="6" w:space="0" w:color="auto"/>
            </w:tcBorders>
          </w:tcPr>
          <w:p w14:paraId="14E67A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 в</w:t>
            </w:r>
          </w:p>
        </w:tc>
        <w:tc>
          <w:tcPr>
            <w:tcW w:w="431" w:type="dxa"/>
            <w:tcBorders>
              <w:top w:val="single" w:sz="6" w:space="0" w:color="auto"/>
              <w:left w:val="single" w:sz="6" w:space="0" w:color="auto"/>
              <w:bottom w:val="single" w:sz="6" w:space="0" w:color="auto"/>
              <w:right w:val="single" w:sz="6" w:space="0" w:color="auto"/>
            </w:tcBorders>
          </w:tcPr>
          <w:p w14:paraId="68F96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2149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7687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360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3E9A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51A65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C64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CA42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75D7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78F9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778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E8C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E48BD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972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BD2CF0" w14:textId="77777777" w:rsidTr="00ED5B0A">
        <w:tc>
          <w:tcPr>
            <w:tcW w:w="1242" w:type="dxa"/>
            <w:tcBorders>
              <w:top w:val="single" w:sz="6" w:space="0" w:color="auto"/>
              <w:left w:val="single" w:sz="6" w:space="0" w:color="auto"/>
              <w:bottom w:val="single" w:sz="6" w:space="0" w:color="auto"/>
              <w:right w:val="single" w:sz="6" w:space="0" w:color="auto"/>
            </w:tcBorders>
          </w:tcPr>
          <w:p w14:paraId="3BE6D6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21B1F6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3382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5492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82F1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878F1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D9A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559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7A0C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4A3E5A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2697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47F42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2E6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DA0B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E509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E74DF8" w14:textId="77777777" w:rsidTr="00ED5B0A">
        <w:tc>
          <w:tcPr>
            <w:tcW w:w="1242" w:type="dxa"/>
            <w:tcBorders>
              <w:top w:val="single" w:sz="6" w:space="0" w:color="auto"/>
              <w:left w:val="single" w:sz="6" w:space="0" w:color="auto"/>
              <w:bottom w:val="single" w:sz="6" w:space="0" w:color="auto"/>
              <w:right w:val="single" w:sz="6" w:space="0" w:color="auto"/>
            </w:tcBorders>
          </w:tcPr>
          <w:p w14:paraId="4871E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Дальнего</w:t>
            </w:r>
          </w:p>
        </w:tc>
        <w:tc>
          <w:tcPr>
            <w:tcW w:w="431" w:type="dxa"/>
            <w:tcBorders>
              <w:top w:val="single" w:sz="6" w:space="0" w:color="auto"/>
              <w:left w:val="single" w:sz="6" w:space="0" w:color="auto"/>
              <w:bottom w:val="single" w:sz="6" w:space="0" w:color="auto"/>
              <w:right w:val="single" w:sz="6" w:space="0" w:color="auto"/>
            </w:tcBorders>
          </w:tcPr>
          <w:p w14:paraId="53CFF4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BEFB9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A40A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E3A4A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D512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453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ED75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D212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162795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79A0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8AEE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DD48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24F2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7FB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1472AA" w14:textId="77777777" w:rsidTr="00ED5B0A">
        <w:tc>
          <w:tcPr>
            <w:tcW w:w="1242" w:type="dxa"/>
            <w:tcBorders>
              <w:top w:val="single" w:sz="6" w:space="0" w:color="auto"/>
              <w:left w:val="single" w:sz="6" w:space="0" w:color="auto"/>
              <w:bottom w:val="single" w:sz="6" w:space="0" w:color="auto"/>
              <w:right w:val="single" w:sz="6" w:space="0" w:color="auto"/>
            </w:tcBorders>
          </w:tcPr>
          <w:p w14:paraId="1DA6E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разведчика</w:t>
            </w:r>
          </w:p>
        </w:tc>
        <w:tc>
          <w:tcPr>
            <w:tcW w:w="431" w:type="dxa"/>
            <w:tcBorders>
              <w:top w:val="single" w:sz="6" w:space="0" w:color="auto"/>
              <w:left w:val="single" w:sz="6" w:space="0" w:color="auto"/>
              <w:bottom w:val="single" w:sz="6" w:space="0" w:color="auto"/>
              <w:right w:val="single" w:sz="6" w:space="0" w:color="auto"/>
            </w:tcBorders>
          </w:tcPr>
          <w:p w14:paraId="27AD0C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4BB74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77D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4B7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4585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2A48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1B51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1A17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 патр.</w:t>
            </w:r>
          </w:p>
        </w:tc>
        <w:tc>
          <w:tcPr>
            <w:tcW w:w="848" w:type="dxa"/>
            <w:tcBorders>
              <w:top w:val="single" w:sz="6" w:space="0" w:color="auto"/>
              <w:left w:val="single" w:sz="6" w:space="0" w:color="auto"/>
              <w:bottom w:val="single" w:sz="6" w:space="0" w:color="auto"/>
              <w:right w:val="single" w:sz="6" w:space="0" w:color="auto"/>
            </w:tcBorders>
          </w:tcPr>
          <w:p w14:paraId="62086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71FF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06F61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E933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6256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A26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FDBFE1" w14:textId="77777777" w:rsidTr="00ED5B0A">
        <w:tc>
          <w:tcPr>
            <w:tcW w:w="1242" w:type="dxa"/>
            <w:tcBorders>
              <w:top w:val="single" w:sz="6" w:space="0" w:color="auto"/>
              <w:left w:val="single" w:sz="6" w:space="0" w:color="auto"/>
              <w:bottom w:val="single" w:sz="6" w:space="0" w:color="auto"/>
              <w:right w:val="single" w:sz="6" w:space="0" w:color="auto"/>
            </w:tcBorders>
          </w:tcPr>
          <w:p w14:paraId="237FD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7AB85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D332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4D7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1B68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72C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9B14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72A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512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ABF9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2416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25BB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D82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EC0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718A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293938" w14:textId="77777777" w:rsidTr="00ED5B0A">
        <w:tc>
          <w:tcPr>
            <w:tcW w:w="1242" w:type="dxa"/>
            <w:tcBorders>
              <w:top w:val="single" w:sz="6" w:space="0" w:color="auto"/>
              <w:left w:val="single" w:sz="6" w:space="0" w:color="auto"/>
              <w:bottom w:val="single" w:sz="6" w:space="0" w:color="auto"/>
              <w:right w:val="single" w:sz="6" w:space="0" w:color="auto"/>
            </w:tcBorders>
          </w:tcPr>
          <w:p w14:paraId="3CB70B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Пикир.</w:t>
            </w:r>
          </w:p>
        </w:tc>
        <w:tc>
          <w:tcPr>
            <w:tcW w:w="431" w:type="dxa"/>
            <w:tcBorders>
              <w:top w:val="single" w:sz="6" w:space="0" w:color="auto"/>
              <w:left w:val="single" w:sz="6" w:space="0" w:color="auto"/>
              <w:bottom w:val="single" w:sz="6" w:space="0" w:color="auto"/>
              <w:right w:val="single" w:sz="6" w:space="0" w:color="auto"/>
            </w:tcBorders>
          </w:tcPr>
          <w:p w14:paraId="5532DC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1B425A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w:t>
            </w:r>
          </w:p>
        </w:tc>
        <w:tc>
          <w:tcPr>
            <w:tcW w:w="567" w:type="dxa"/>
            <w:tcBorders>
              <w:top w:val="single" w:sz="6" w:space="0" w:color="auto"/>
              <w:left w:val="single" w:sz="6" w:space="0" w:color="auto"/>
              <w:bottom w:val="single" w:sz="6" w:space="0" w:color="auto"/>
              <w:right w:val="single" w:sz="6" w:space="0" w:color="auto"/>
            </w:tcBorders>
          </w:tcPr>
          <w:p w14:paraId="5B89E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tc>
        <w:tc>
          <w:tcPr>
            <w:tcW w:w="567" w:type="dxa"/>
            <w:tcBorders>
              <w:top w:val="single" w:sz="6" w:space="0" w:color="auto"/>
              <w:left w:val="single" w:sz="6" w:space="0" w:color="auto"/>
              <w:bottom w:val="single" w:sz="6" w:space="0" w:color="auto"/>
              <w:right w:val="single" w:sz="6" w:space="0" w:color="auto"/>
            </w:tcBorders>
          </w:tcPr>
          <w:p w14:paraId="55B6C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9" w:type="dxa"/>
            <w:tcBorders>
              <w:top w:val="single" w:sz="6" w:space="0" w:color="auto"/>
              <w:left w:val="single" w:sz="6" w:space="0" w:color="auto"/>
              <w:bottom w:val="single" w:sz="6" w:space="0" w:color="auto"/>
              <w:right w:val="single" w:sz="6" w:space="0" w:color="auto"/>
            </w:tcBorders>
          </w:tcPr>
          <w:p w14:paraId="5F2DB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78B319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tc>
        <w:tc>
          <w:tcPr>
            <w:tcW w:w="783" w:type="dxa"/>
            <w:tcBorders>
              <w:top w:val="single" w:sz="6" w:space="0" w:color="auto"/>
              <w:left w:val="single" w:sz="6" w:space="0" w:color="auto"/>
              <w:bottom w:val="single" w:sz="6" w:space="0" w:color="auto"/>
              <w:right w:val="single" w:sz="6" w:space="0" w:color="auto"/>
            </w:tcBorders>
          </w:tcPr>
          <w:p w14:paraId="09DA3B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9800</w:t>
            </w:r>
          </w:p>
        </w:tc>
        <w:tc>
          <w:tcPr>
            <w:tcW w:w="1123" w:type="dxa"/>
            <w:tcBorders>
              <w:top w:val="single" w:sz="6" w:space="0" w:color="auto"/>
              <w:left w:val="single" w:sz="6" w:space="0" w:color="auto"/>
              <w:bottom w:val="single" w:sz="6" w:space="0" w:color="auto"/>
              <w:right w:val="single" w:sz="6" w:space="0" w:color="auto"/>
            </w:tcBorders>
          </w:tcPr>
          <w:p w14:paraId="1425A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379EB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75C28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8215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 что на серийном с-те</w:t>
            </w:r>
          </w:p>
        </w:tc>
        <w:tc>
          <w:tcPr>
            <w:tcW w:w="922" w:type="dxa"/>
            <w:tcBorders>
              <w:top w:val="single" w:sz="6" w:space="0" w:color="auto"/>
              <w:left w:val="single" w:sz="6" w:space="0" w:color="auto"/>
              <w:bottom w:val="single" w:sz="6" w:space="0" w:color="auto"/>
              <w:right w:val="single" w:sz="6" w:space="0" w:color="auto"/>
            </w:tcBorders>
          </w:tcPr>
          <w:p w14:paraId="0A7D6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1.XI.43</w:t>
            </w:r>
          </w:p>
        </w:tc>
        <w:tc>
          <w:tcPr>
            <w:tcW w:w="621" w:type="dxa"/>
            <w:tcBorders>
              <w:top w:val="single" w:sz="6" w:space="0" w:color="auto"/>
              <w:left w:val="single" w:sz="6" w:space="0" w:color="auto"/>
              <w:bottom w:val="single" w:sz="6" w:space="0" w:color="auto"/>
              <w:right w:val="single" w:sz="6" w:space="0" w:color="auto"/>
            </w:tcBorders>
          </w:tcPr>
          <w:p w14:paraId="090099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 экз. с-та</w:t>
            </w:r>
          </w:p>
        </w:tc>
        <w:tc>
          <w:tcPr>
            <w:tcW w:w="621" w:type="dxa"/>
            <w:tcBorders>
              <w:top w:val="single" w:sz="6" w:space="0" w:color="auto"/>
              <w:left w:val="single" w:sz="6" w:space="0" w:color="auto"/>
              <w:bottom w:val="single" w:sz="6" w:space="0" w:color="auto"/>
              <w:right w:val="single" w:sz="6" w:space="0" w:color="auto"/>
            </w:tcBorders>
          </w:tcPr>
          <w:p w14:paraId="7716D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A086A4" w14:textId="77777777" w:rsidTr="00ED5B0A">
        <w:tc>
          <w:tcPr>
            <w:tcW w:w="1242" w:type="dxa"/>
            <w:tcBorders>
              <w:top w:val="single" w:sz="6" w:space="0" w:color="auto"/>
              <w:left w:val="single" w:sz="6" w:space="0" w:color="auto"/>
              <w:bottom w:val="single" w:sz="6" w:space="0" w:color="auto"/>
              <w:right w:val="single" w:sz="6" w:space="0" w:color="auto"/>
            </w:tcBorders>
          </w:tcPr>
          <w:p w14:paraId="4284F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431" w:type="dxa"/>
            <w:tcBorders>
              <w:top w:val="single" w:sz="6" w:space="0" w:color="auto"/>
              <w:left w:val="single" w:sz="6" w:space="0" w:color="auto"/>
              <w:bottom w:val="single" w:sz="6" w:space="0" w:color="auto"/>
              <w:right w:val="single" w:sz="6" w:space="0" w:color="auto"/>
            </w:tcBorders>
          </w:tcPr>
          <w:p w14:paraId="022A1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6CA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93C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w:t>
            </w:r>
          </w:p>
        </w:tc>
        <w:tc>
          <w:tcPr>
            <w:tcW w:w="567" w:type="dxa"/>
            <w:tcBorders>
              <w:top w:val="single" w:sz="6" w:space="0" w:color="auto"/>
              <w:left w:val="single" w:sz="6" w:space="0" w:color="auto"/>
              <w:bottom w:val="single" w:sz="6" w:space="0" w:color="auto"/>
              <w:right w:val="single" w:sz="6" w:space="0" w:color="auto"/>
            </w:tcBorders>
          </w:tcPr>
          <w:p w14:paraId="7A4CAF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FCC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76B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0962B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2C00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F1E9E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4A16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FE724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922" w:type="dxa"/>
            <w:tcBorders>
              <w:top w:val="single" w:sz="6" w:space="0" w:color="auto"/>
              <w:left w:val="single" w:sz="6" w:space="0" w:color="auto"/>
              <w:bottom w:val="single" w:sz="6" w:space="0" w:color="auto"/>
              <w:right w:val="single" w:sz="6" w:space="0" w:color="auto"/>
            </w:tcBorders>
          </w:tcPr>
          <w:p w14:paraId="61750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5782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выпускается с</w:t>
            </w:r>
          </w:p>
        </w:tc>
        <w:tc>
          <w:tcPr>
            <w:tcW w:w="621" w:type="dxa"/>
            <w:tcBorders>
              <w:top w:val="single" w:sz="6" w:space="0" w:color="auto"/>
              <w:left w:val="single" w:sz="6" w:space="0" w:color="auto"/>
              <w:bottom w:val="single" w:sz="6" w:space="0" w:color="auto"/>
              <w:right w:val="single" w:sz="6" w:space="0" w:color="auto"/>
            </w:tcBorders>
          </w:tcPr>
          <w:p w14:paraId="523274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E3D8E0" w14:textId="77777777" w:rsidTr="00ED5B0A">
        <w:tc>
          <w:tcPr>
            <w:tcW w:w="1242" w:type="dxa"/>
            <w:tcBorders>
              <w:top w:val="single" w:sz="6" w:space="0" w:color="auto"/>
              <w:left w:val="single" w:sz="6" w:space="0" w:color="auto"/>
              <w:bottom w:val="single" w:sz="6" w:space="0" w:color="auto"/>
              <w:right w:val="single" w:sz="6" w:space="0" w:color="auto"/>
            </w:tcBorders>
          </w:tcPr>
          <w:p w14:paraId="4D5A3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с 2-мя</w:t>
            </w:r>
          </w:p>
        </w:tc>
        <w:tc>
          <w:tcPr>
            <w:tcW w:w="431" w:type="dxa"/>
            <w:tcBorders>
              <w:top w:val="single" w:sz="6" w:space="0" w:color="auto"/>
              <w:left w:val="single" w:sz="6" w:space="0" w:color="auto"/>
              <w:bottom w:val="single" w:sz="6" w:space="0" w:color="auto"/>
              <w:right w:val="single" w:sz="6" w:space="0" w:color="auto"/>
            </w:tcBorders>
          </w:tcPr>
          <w:p w14:paraId="183063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357EC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1568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669A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478A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909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7A10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BD7A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ACB4D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457BD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152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2E4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2C8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опущенным ф-м</w:t>
            </w:r>
          </w:p>
        </w:tc>
        <w:tc>
          <w:tcPr>
            <w:tcW w:w="621" w:type="dxa"/>
            <w:tcBorders>
              <w:top w:val="single" w:sz="6" w:space="0" w:color="auto"/>
              <w:left w:val="single" w:sz="6" w:space="0" w:color="auto"/>
              <w:bottom w:val="single" w:sz="6" w:space="0" w:color="auto"/>
              <w:right w:val="single" w:sz="6" w:space="0" w:color="auto"/>
            </w:tcBorders>
          </w:tcPr>
          <w:p w14:paraId="2519D3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C0FA7A" w14:textId="77777777" w:rsidTr="00ED5B0A">
        <w:tc>
          <w:tcPr>
            <w:tcW w:w="1242" w:type="dxa"/>
            <w:tcBorders>
              <w:top w:val="single" w:sz="6" w:space="0" w:color="auto"/>
              <w:left w:val="single" w:sz="6" w:space="0" w:color="auto"/>
              <w:bottom w:val="single" w:sz="6" w:space="0" w:color="auto"/>
              <w:right w:val="single" w:sz="6" w:space="0" w:color="auto"/>
            </w:tcBorders>
          </w:tcPr>
          <w:p w14:paraId="420408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c>
          <w:tcPr>
            <w:tcW w:w="431" w:type="dxa"/>
            <w:tcBorders>
              <w:top w:val="single" w:sz="6" w:space="0" w:color="auto"/>
              <w:left w:val="single" w:sz="6" w:space="0" w:color="auto"/>
              <w:bottom w:val="single" w:sz="6" w:space="0" w:color="auto"/>
              <w:right w:val="single" w:sz="6" w:space="0" w:color="auto"/>
            </w:tcBorders>
          </w:tcPr>
          <w:p w14:paraId="2FD66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0A5C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970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EBBA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A62D7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F5F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D60E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F8F0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A227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2C2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1B187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B75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FBC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имеющим увелич.</w:t>
            </w:r>
          </w:p>
        </w:tc>
        <w:tc>
          <w:tcPr>
            <w:tcW w:w="621" w:type="dxa"/>
            <w:tcBorders>
              <w:top w:val="single" w:sz="6" w:space="0" w:color="auto"/>
              <w:left w:val="single" w:sz="6" w:space="0" w:color="auto"/>
              <w:bottom w:val="single" w:sz="6" w:space="0" w:color="auto"/>
              <w:right w:val="single" w:sz="6" w:space="0" w:color="auto"/>
            </w:tcBorders>
          </w:tcPr>
          <w:p w14:paraId="7BBD2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A41694" w14:textId="77777777" w:rsidTr="00ED5B0A">
        <w:tc>
          <w:tcPr>
            <w:tcW w:w="1242" w:type="dxa"/>
            <w:tcBorders>
              <w:top w:val="single" w:sz="6" w:space="0" w:color="auto"/>
              <w:left w:val="single" w:sz="6" w:space="0" w:color="auto"/>
              <w:bottom w:val="single" w:sz="6" w:space="0" w:color="auto"/>
              <w:right w:val="single" w:sz="6" w:space="0" w:color="auto"/>
            </w:tcBorders>
          </w:tcPr>
          <w:p w14:paraId="3D55E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4A46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1B64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2598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5B84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F2B8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493A4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0F2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0EE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A999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5A3C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C35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1E7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D1F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бомбовый отсек</w:t>
            </w:r>
          </w:p>
        </w:tc>
        <w:tc>
          <w:tcPr>
            <w:tcW w:w="621" w:type="dxa"/>
            <w:tcBorders>
              <w:top w:val="single" w:sz="6" w:space="0" w:color="auto"/>
              <w:left w:val="single" w:sz="6" w:space="0" w:color="auto"/>
              <w:bottom w:val="single" w:sz="6" w:space="0" w:color="auto"/>
              <w:right w:val="single" w:sz="6" w:space="0" w:color="auto"/>
            </w:tcBorders>
          </w:tcPr>
          <w:p w14:paraId="712C6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0FBF88" w14:textId="77777777" w:rsidTr="00ED5B0A">
        <w:tc>
          <w:tcPr>
            <w:tcW w:w="1242" w:type="dxa"/>
            <w:tcBorders>
              <w:top w:val="single" w:sz="6" w:space="0" w:color="auto"/>
              <w:left w:val="single" w:sz="6" w:space="0" w:color="auto"/>
              <w:bottom w:val="single" w:sz="6" w:space="0" w:color="auto"/>
              <w:right w:val="single" w:sz="6" w:space="0" w:color="auto"/>
            </w:tcBorders>
          </w:tcPr>
          <w:p w14:paraId="6502FC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w:t>
            </w:r>
          </w:p>
        </w:tc>
        <w:tc>
          <w:tcPr>
            <w:tcW w:w="431" w:type="dxa"/>
            <w:tcBorders>
              <w:top w:val="single" w:sz="6" w:space="0" w:color="auto"/>
              <w:left w:val="single" w:sz="6" w:space="0" w:color="auto"/>
              <w:bottom w:val="single" w:sz="6" w:space="0" w:color="auto"/>
              <w:right w:val="single" w:sz="6" w:space="0" w:color="auto"/>
            </w:tcBorders>
          </w:tcPr>
          <w:p w14:paraId="3E8AE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C770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3655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819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07E8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D37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9401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1C2C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2EEDC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08E3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AF8CB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5961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93D4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01B4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A650D7" w14:textId="77777777" w:rsidTr="00ED5B0A">
        <w:tc>
          <w:tcPr>
            <w:tcW w:w="1242" w:type="dxa"/>
            <w:tcBorders>
              <w:top w:val="single" w:sz="6" w:space="0" w:color="auto"/>
              <w:left w:val="single" w:sz="6" w:space="0" w:color="auto"/>
              <w:bottom w:val="single" w:sz="6" w:space="0" w:color="auto"/>
              <w:right w:val="single" w:sz="6" w:space="0" w:color="auto"/>
            </w:tcBorders>
          </w:tcPr>
          <w:p w14:paraId="44339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с</w:t>
            </w:r>
          </w:p>
        </w:tc>
        <w:tc>
          <w:tcPr>
            <w:tcW w:w="431" w:type="dxa"/>
            <w:tcBorders>
              <w:top w:val="single" w:sz="6" w:space="0" w:color="auto"/>
              <w:left w:val="single" w:sz="6" w:space="0" w:color="auto"/>
              <w:bottom w:val="single" w:sz="6" w:space="0" w:color="auto"/>
              <w:right w:val="single" w:sz="6" w:space="0" w:color="auto"/>
            </w:tcBorders>
          </w:tcPr>
          <w:p w14:paraId="0B78B4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0BFD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51F9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CD7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6336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29DC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70C8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805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5EC8C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C83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2961D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E67A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15.XI.43</w:t>
            </w:r>
          </w:p>
        </w:tc>
        <w:tc>
          <w:tcPr>
            <w:tcW w:w="621" w:type="dxa"/>
            <w:tcBorders>
              <w:top w:val="single" w:sz="6" w:space="0" w:color="auto"/>
              <w:left w:val="single" w:sz="6" w:space="0" w:color="auto"/>
              <w:bottom w:val="single" w:sz="6" w:space="0" w:color="auto"/>
              <w:right w:val="single" w:sz="6" w:space="0" w:color="auto"/>
            </w:tcBorders>
          </w:tcPr>
          <w:p w14:paraId="1C002C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C899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942FC2" w14:textId="77777777" w:rsidTr="00ED5B0A">
        <w:tc>
          <w:tcPr>
            <w:tcW w:w="1242" w:type="dxa"/>
            <w:tcBorders>
              <w:top w:val="single" w:sz="6" w:space="0" w:color="auto"/>
              <w:left w:val="single" w:sz="6" w:space="0" w:color="auto"/>
              <w:bottom w:val="single" w:sz="6" w:space="0" w:color="auto"/>
              <w:right w:val="single" w:sz="6" w:space="0" w:color="auto"/>
            </w:tcBorders>
          </w:tcPr>
          <w:p w14:paraId="3E780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2-мя М-106</w:t>
            </w:r>
          </w:p>
        </w:tc>
        <w:tc>
          <w:tcPr>
            <w:tcW w:w="431" w:type="dxa"/>
            <w:tcBorders>
              <w:top w:val="single" w:sz="6" w:space="0" w:color="auto"/>
              <w:left w:val="single" w:sz="6" w:space="0" w:color="auto"/>
              <w:bottom w:val="single" w:sz="6" w:space="0" w:color="auto"/>
              <w:right w:val="single" w:sz="6" w:space="0" w:color="auto"/>
            </w:tcBorders>
          </w:tcPr>
          <w:p w14:paraId="1E769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6BA7F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C1CA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7B92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BF0C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468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731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C516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FE09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8BD0A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73AFB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E11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BCF6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5951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48AE88" w14:textId="77777777" w:rsidTr="00ED5B0A">
        <w:tc>
          <w:tcPr>
            <w:tcW w:w="1242" w:type="dxa"/>
            <w:tcBorders>
              <w:top w:val="single" w:sz="6" w:space="0" w:color="auto"/>
              <w:left w:val="single" w:sz="6" w:space="0" w:color="auto"/>
              <w:bottom w:val="single" w:sz="6" w:space="0" w:color="auto"/>
              <w:right w:val="single" w:sz="6" w:space="0" w:color="auto"/>
            </w:tcBorders>
          </w:tcPr>
          <w:p w14:paraId="7EF91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двухскор.</w:t>
            </w:r>
          </w:p>
        </w:tc>
        <w:tc>
          <w:tcPr>
            <w:tcW w:w="431" w:type="dxa"/>
            <w:tcBorders>
              <w:top w:val="single" w:sz="6" w:space="0" w:color="auto"/>
              <w:left w:val="single" w:sz="6" w:space="0" w:color="auto"/>
              <w:bottom w:val="single" w:sz="6" w:space="0" w:color="auto"/>
              <w:right w:val="single" w:sz="6" w:space="0" w:color="auto"/>
            </w:tcBorders>
          </w:tcPr>
          <w:p w14:paraId="35ABE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CADE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D4D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48C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1264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7F1C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66C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2423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1362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6A99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300F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2A17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CE4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A02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D5A59E" w14:textId="77777777" w:rsidTr="00ED5B0A">
        <w:tc>
          <w:tcPr>
            <w:tcW w:w="1242" w:type="dxa"/>
            <w:tcBorders>
              <w:top w:val="single" w:sz="6" w:space="0" w:color="auto"/>
              <w:left w:val="single" w:sz="6" w:space="0" w:color="auto"/>
              <w:bottom w:val="single" w:sz="6" w:space="0" w:color="auto"/>
              <w:right w:val="single" w:sz="6" w:space="0" w:color="auto"/>
            </w:tcBorders>
          </w:tcPr>
          <w:p w14:paraId="0C5C94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w:t>
            </w:r>
          </w:p>
        </w:tc>
        <w:tc>
          <w:tcPr>
            <w:tcW w:w="431" w:type="dxa"/>
            <w:tcBorders>
              <w:top w:val="single" w:sz="6" w:space="0" w:color="auto"/>
              <w:left w:val="single" w:sz="6" w:space="0" w:color="auto"/>
              <w:bottom w:val="single" w:sz="6" w:space="0" w:color="auto"/>
              <w:right w:val="single" w:sz="6" w:space="0" w:color="auto"/>
            </w:tcBorders>
          </w:tcPr>
          <w:p w14:paraId="56BE1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4DC16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5BF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968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194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40D3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F37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9F982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411E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FC72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B03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F646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9F441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912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F9D8E6" w14:textId="77777777" w:rsidTr="00ED5B0A">
        <w:tc>
          <w:tcPr>
            <w:tcW w:w="1242" w:type="dxa"/>
            <w:tcBorders>
              <w:top w:val="single" w:sz="6" w:space="0" w:color="auto"/>
              <w:left w:val="single" w:sz="6" w:space="0" w:color="auto"/>
              <w:bottom w:val="single" w:sz="6" w:space="0" w:color="auto"/>
              <w:right w:val="single" w:sz="6" w:space="0" w:color="auto"/>
            </w:tcBorders>
          </w:tcPr>
          <w:p w14:paraId="683F8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высотном</w:t>
            </w:r>
          </w:p>
        </w:tc>
        <w:tc>
          <w:tcPr>
            <w:tcW w:w="431" w:type="dxa"/>
            <w:tcBorders>
              <w:top w:val="single" w:sz="6" w:space="0" w:color="auto"/>
              <w:left w:val="single" w:sz="6" w:space="0" w:color="auto"/>
              <w:bottom w:val="single" w:sz="6" w:space="0" w:color="auto"/>
              <w:right w:val="single" w:sz="6" w:space="0" w:color="auto"/>
            </w:tcBorders>
          </w:tcPr>
          <w:p w14:paraId="67B7D9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320EE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6E6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4A18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9819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222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5CEA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96C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FAE88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C98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EA85A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987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0B4C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925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8DB50A" w14:textId="77777777" w:rsidTr="00ED5B0A">
        <w:tc>
          <w:tcPr>
            <w:tcW w:w="1242" w:type="dxa"/>
            <w:tcBorders>
              <w:top w:val="single" w:sz="6" w:space="0" w:color="auto"/>
              <w:left w:val="single" w:sz="6" w:space="0" w:color="auto"/>
              <w:bottom w:val="single" w:sz="6" w:space="0" w:color="auto"/>
              <w:right w:val="single" w:sz="6" w:space="0" w:color="auto"/>
            </w:tcBorders>
          </w:tcPr>
          <w:p w14:paraId="6402D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5B2B6B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C3EA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02E8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89D39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A0C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F4D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6DD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0697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BDFE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79730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E37D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2354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783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BB8F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CFEDE2" w14:textId="77777777" w:rsidTr="00ED5B0A">
        <w:tc>
          <w:tcPr>
            <w:tcW w:w="1242" w:type="dxa"/>
            <w:tcBorders>
              <w:top w:val="single" w:sz="6" w:space="0" w:color="auto"/>
              <w:left w:val="single" w:sz="6" w:space="0" w:color="auto"/>
              <w:bottom w:val="single" w:sz="6" w:space="0" w:color="auto"/>
              <w:right w:val="single" w:sz="6" w:space="0" w:color="auto"/>
            </w:tcBorders>
          </w:tcPr>
          <w:p w14:paraId="50672C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герм.</w:t>
            </w:r>
          </w:p>
        </w:tc>
        <w:tc>
          <w:tcPr>
            <w:tcW w:w="431" w:type="dxa"/>
            <w:tcBorders>
              <w:top w:val="single" w:sz="6" w:space="0" w:color="auto"/>
              <w:left w:val="single" w:sz="6" w:space="0" w:color="auto"/>
              <w:bottom w:val="single" w:sz="6" w:space="0" w:color="auto"/>
              <w:right w:val="single" w:sz="6" w:space="0" w:color="auto"/>
            </w:tcBorders>
          </w:tcPr>
          <w:p w14:paraId="2112E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3DD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9A7E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96D4E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1609D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999C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0727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7D9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0ECE7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B83B8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5BE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58E2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FFD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C3F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83EC1E" w14:textId="77777777" w:rsidTr="00ED5B0A">
        <w:tc>
          <w:tcPr>
            <w:tcW w:w="1242" w:type="dxa"/>
            <w:tcBorders>
              <w:top w:val="single" w:sz="6" w:space="0" w:color="auto"/>
              <w:left w:val="single" w:sz="6" w:space="0" w:color="auto"/>
              <w:bottom w:val="single" w:sz="6" w:space="0" w:color="auto"/>
              <w:right w:val="single" w:sz="6" w:space="0" w:color="auto"/>
            </w:tcBorders>
          </w:tcPr>
          <w:p w14:paraId="3BE5E0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w:t>
            </w:r>
          </w:p>
        </w:tc>
        <w:tc>
          <w:tcPr>
            <w:tcW w:w="431" w:type="dxa"/>
            <w:tcBorders>
              <w:top w:val="single" w:sz="6" w:space="0" w:color="auto"/>
              <w:left w:val="single" w:sz="6" w:space="0" w:color="auto"/>
              <w:bottom w:val="single" w:sz="6" w:space="0" w:color="auto"/>
              <w:right w:val="single" w:sz="6" w:space="0" w:color="auto"/>
            </w:tcBorders>
          </w:tcPr>
          <w:p w14:paraId="7CE644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8D2F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D71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FA6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66D3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C6C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D28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4BA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61AE2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05DC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5448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5E5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18C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2521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BBC212" w14:textId="77777777" w:rsidTr="00ED5B0A">
        <w:tc>
          <w:tcPr>
            <w:tcW w:w="1242" w:type="dxa"/>
            <w:tcBorders>
              <w:top w:val="single" w:sz="6" w:space="0" w:color="auto"/>
              <w:left w:val="single" w:sz="6" w:space="0" w:color="auto"/>
              <w:bottom w:val="single" w:sz="6" w:space="0" w:color="auto"/>
              <w:right w:val="single" w:sz="6" w:space="0" w:color="auto"/>
            </w:tcBorders>
          </w:tcPr>
          <w:p w14:paraId="20061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5B7F8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DC23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FF0D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0AC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8D019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6DF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DE49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B4B0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EE0EB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B4F7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A78E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4A2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F5A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050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81C95F" w14:textId="77777777" w:rsidTr="00ED5B0A">
        <w:tc>
          <w:tcPr>
            <w:tcW w:w="1242" w:type="dxa"/>
            <w:tcBorders>
              <w:top w:val="single" w:sz="6" w:space="0" w:color="auto"/>
              <w:left w:val="single" w:sz="6" w:space="0" w:color="auto"/>
              <w:bottom w:val="single" w:sz="6" w:space="0" w:color="auto"/>
              <w:right w:val="single" w:sz="6" w:space="0" w:color="auto"/>
            </w:tcBorders>
          </w:tcPr>
          <w:p w14:paraId="7710D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w:t>
            </w:r>
          </w:p>
        </w:tc>
        <w:tc>
          <w:tcPr>
            <w:tcW w:w="431" w:type="dxa"/>
            <w:tcBorders>
              <w:top w:val="single" w:sz="6" w:space="0" w:color="auto"/>
              <w:left w:val="single" w:sz="6" w:space="0" w:color="auto"/>
              <w:bottom w:val="single" w:sz="6" w:space="0" w:color="auto"/>
              <w:right w:val="single" w:sz="6" w:space="0" w:color="auto"/>
            </w:tcBorders>
          </w:tcPr>
          <w:p w14:paraId="5CD67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DF7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0700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B6A1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956B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E81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E1A9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348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2B94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B4B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764B6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C37D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A7E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E09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C8232A" w14:textId="77777777" w:rsidTr="00ED5B0A">
        <w:tc>
          <w:tcPr>
            <w:tcW w:w="1242" w:type="dxa"/>
            <w:tcBorders>
              <w:top w:val="single" w:sz="6" w:space="0" w:color="auto"/>
              <w:left w:val="single" w:sz="6" w:space="0" w:color="auto"/>
              <w:bottom w:val="single" w:sz="6" w:space="0" w:color="auto"/>
              <w:right w:val="single" w:sz="6" w:space="0" w:color="auto"/>
            </w:tcBorders>
          </w:tcPr>
          <w:p w14:paraId="57172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w:t>
            </w:r>
          </w:p>
        </w:tc>
        <w:tc>
          <w:tcPr>
            <w:tcW w:w="431" w:type="dxa"/>
            <w:tcBorders>
              <w:top w:val="single" w:sz="6" w:space="0" w:color="auto"/>
              <w:left w:val="single" w:sz="6" w:space="0" w:color="auto"/>
              <w:bottom w:val="single" w:sz="6" w:space="0" w:color="auto"/>
              <w:right w:val="single" w:sz="6" w:space="0" w:color="auto"/>
            </w:tcBorders>
          </w:tcPr>
          <w:p w14:paraId="2F4CD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32CD77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567" w:type="dxa"/>
            <w:tcBorders>
              <w:top w:val="single" w:sz="6" w:space="0" w:color="auto"/>
              <w:left w:val="single" w:sz="6" w:space="0" w:color="auto"/>
              <w:bottom w:val="single" w:sz="6" w:space="0" w:color="auto"/>
              <w:right w:val="single" w:sz="6" w:space="0" w:color="auto"/>
            </w:tcBorders>
          </w:tcPr>
          <w:p w14:paraId="0F671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567" w:type="dxa"/>
            <w:tcBorders>
              <w:top w:val="single" w:sz="6" w:space="0" w:color="auto"/>
              <w:left w:val="single" w:sz="6" w:space="0" w:color="auto"/>
              <w:bottom w:val="single" w:sz="6" w:space="0" w:color="auto"/>
              <w:right w:val="single" w:sz="6" w:space="0" w:color="auto"/>
            </w:tcBorders>
          </w:tcPr>
          <w:p w14:paraId="00E45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52797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вар.</w:t>
            </w:r>
          </w:p>
        </w:tc>
        <w:tc>
          <w:tcPr>
            <w:tcW w:w="783" w:type="dxa"/>
            <w:tcBorders>
              <w:top w:val="single" w:sz="6" w:space="0" w:color="auto"/>
              <w:left w:val="single" w:sz="6" w:space="0" w:color="auto"/>
              <w:bottom w:val="single" w:sz="6" w:space="0" w:color="auto"/>
              <w:right w:val="single" w:sz="6" w:space="0" w:color="auto"/>
            </w:tcBorders>
          </w:tcPr>
          <w:p w14:paraId="183EBA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w:t>
            </w:r>
          </w:p>
        </w:tc>
        <w:tc>
          <w:tcPr>
            <w:tcW w:w="783" w:type="dxa"/>
            <w:tcBorders>
              <w:top w:val="single" w:sz="6" w:space="0" w:color="auto"/>
              <w:left w:val="single" w:sz="6" w:space="0" w:color="auto"/>
              <w:bottom w:val="single" w:sz="6" w:space="0" w:color="auto"/>
              <w:right w:val="single" w:sz="6" w:space="0" w:color="auto"/>
            </w:tcBorders>
          </w:tcPr>
          <w:p w14:paraId="39856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w:t>
            </w:r>
          </w:p>
        </w:tc>
        <w:tc>
          <w:tcPr>
            <w:tcW w:w="1123" w:type="dxa"/>
            <w:tcBorders>
              <w:top w:val="single" w:sz="6" w:space="0" w:color="auto"/>
              <w:left w:val="single" w:sz="6" w:space="0" w:color="auto"/>
              <w:bottom w:val="single" w:sz="6" w:space="0" w:color="auto"/>
              <w:right w:val="single" w:sz="6" w:space="0" w:color="auto"/>
            </w:tcBorders>
          </w:tcPr>
          <w:p w14:paraId="4F0437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6FE14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500/1000</w:t>
            </w:r>
          </w:p>
        </w:tc>
        <w:tc>
          <w:tcPr>
            <w:tcW w:w="410" w:type="dxa"/>
            <w:tcBorders>
              <w:top w:val="single" w:sz="6" w:space="0" w:color="auto"/>
              <w:left w:val="single" w:sz="6" w:space="0" w:color="auto"/>
              <w:bottom w:val="single" w:sz="6" w:space="0" w:color="auto"/>
              <w:right w:val="single" w:sz="6" w:space="0" w:color="auto"/>
            </w:tcBorders>
          </w:tcPr>
          <w:p w14:paraId="311172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55AE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Спинки</w:t>
            </w:r>
          </w:p>
        </w:tc>
        <w:tc>
          <w:tcPr>
            <w:tcW w:w="922" w:type="dxa"/>
            <w:tcBorders>
              <w:top w:val="single" w:sz="6" w:space="0" w:color="auto"/>
              <w:left w:val="single" w:sz="6" w:space="0" w:color="auto"/>
              <w:bottom w:val="single" w:sz="6" w:space="0" w:color="auto"/>
              <w:right w:val="single" w:sz="6" w:space="0" w:color="auto"/>
            </w:tcBorders>
          </w:tcPr>
          <w:p w14:paraId="0B0BCE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15.XII.43</w:t>
            </w:r>
          </w:p>
        </w:tc>
        <w:tc>
          <w:tcPr>
            <w:tcW w:w="621" w:type="dxa"/>
            <w:tcBorders>
              <w:top w:val="single" w:sz="6" w:space="0" w:color="auto"/>
              <w:left w:val="single" w:sz="6" w:space="0" w:color="auto"/>
              <w:bottom w:val="single" w:sz="6" w:space="0" w:color="auto"/>
              <w:right w:val="single" w:sz="6" w:space="0" w:color="auto"/>
            </w:tcBorders>
          </w:tcPr>
          <w:p w14:paraId="5EFA1B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FE3F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EC004D" w14:textId="77777777" w:rsidTr="00ED5B0A">
        <w:tc>
          <w:tcPr>
            <w:tcW w:w="1242" w:type="dxa"/>
            <w:tcBorders>
              <w:top w:val="single" w:sz="6" w:space="0" w:color="auto"/>
              <w:left w:val="single" w:sz="6" w:space="0" w:color="auto"/>
              <w:bottom w:val="single" w:sz="6" w:space="0" w:color="auto"/>
              <w:right w:val="single" w:sz="6" w:space="0" w:color="auto"/>
            </w:tcBorders>
          </w:tcPr>
          <w:p w14:paraId="4FF9B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Пе-2</w:t>
            </w:r>
          </w:p>
        </w:tc>
        <w:tc>
          <w:tcPr>
            <w:tcW w:w="431" w:type="dxa"/>
            <w:tcBorders>
              <w:top w:val="single" w:sz="6" w:space="0" w:color="auto"/>
              <w:left w:val="single" w:sz="6" w:space="0" w:color="auto"/>
              <w:bottom w:val="single" w:sz="6" w:space="0" w:color="auto"/>
              <w:right w:val="single" w:sz="6" w:space="0" w:color="auto"/>
            </w:tcBorders>
          </w:tcPr>
          <w:p w14:paraId="3AF15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C24B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6E22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w:t>
            </w:r>
          </w:p>
        </w:tc>
        <w:tc>
          <w:tcPr>
            <w:tcW w:w="567" w:type="dxa"/>
            <w:tcBorders>
              <w:top w:val="single" w:sz="6" w:space="0" w:color="auto"/>
              <w:left w:val="single" w:sz="6" w:space="0" w:color="auto"/>
              <w:bottom w:val="single" w:sz="6" w:space="0" w:color="auto"/>
              <w:right w:val="single" w:sz="6" w:space="0" w:color="auto"/>
            </w:tcBorders>
          </w:tcPr>
          <w:p w14:paraId="5E0A55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D853B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w:t>
            </w:r>
          </w:p>
        </w:tc>
        <w:tc>
          <w:tcPr>
            <w:tcW w:w="783" w:type="dxa"/>
            <w:tcBorders>
              <w:top w:val="single" w:sz="6" w:space="0" w:color="auto"/>
              <w:left w:val="single" w:sz="6" w:space="0" w:color="auto"/>
              <w:bottom w:val="single" w:sz="6" w:space="0" w:color="auto"/>
              <w:right w:val="single" w:sz="6" w:space="0" w:color="auto"/>
            </w:tcBorders>
          </w:tcPr>
          <w:p w14:paraId="0B3C9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783" w:type="dxa"/>
            <w:tcBorders>
              <w:top w:val="single" w:sz="6" w:space="0" w:color="auto"/>
              <w:left w:val="single" w:sz="6" w:space="0" w:color="auto"/>
              <w:bottom w:val="single" w:sz="6" w:space="0" w:color="auto"/>
              <w:right w:val="single" w:sz="6" w:space="0" w:color="auto"/>
            </w:tcBorders>
          </w:tcPr>
          <w:p w14:paraId="2E9B34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w:t>
            </w:r>
          </w:p>
        </w:tc>
        <w:tc>
          <w:tcPr>
            <w:tcW w:w="1123" w:type="dxa"/>
            <w:tcBorders>
              <w:top w:val="single" w:sz="6" w:space="0" w:color="auto"/>
              <w:left w:val="single" w:sz="6" w:space="0" w:color="auto"/>
              <w:bottom w:val="single" w:sz="6" w:space="0" w:color="auto"/>
              <w:right w:val="single" w:sz="6" w:space="0" w:color="auto"/>
            </w:tcBorders>
          </w:tcPr>
          <w:p w14:paraId="13355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0127D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730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73088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летчика</w:t>
            </w:r>
          </w:p>
        </w:tc>
        <w:tc>
          <w:tcPr>
            <w:tcW w:w="922" w:type="dxa"/>
            <w:tcBorders>
              <w:top w:val="single" w:sz="6" w:space="0" w:color="auto"/>
              <w:left w:val="single" w:sz="6" w:space="0" w:color="auto"/>
              <w:bottom w:val="single" w:sz="6" w:space="0" w:color="auto"/>
              <w:right w:val="single" w:sz="6" w:space="0" w:color="auto"/>
            </w:tcBorders>
          </w:tcPr>
          <w:p w14:paraId="6BFC3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0F7A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DE74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ECCC7F" w14:textId="77777777" w:rsidTr="00ED5B0A">
        <w:tc>
          <w:tcPr>
            <w:tcW w:w="1242" w:type="dxa"/>
            <w:tcBorders>
              <w:top w:val="single" w:sz="6" w:space="0" w:color="auto"/>
              <w:left w:val="single" w:sz="6" w:space="0" w:color="auto"/>
              <w:bottom w:val="single" w:sz="6" w:space="0" w:color="auto"/>
              <w:right w:val="single" w:sz="6" w:space="0" w:color="auto"/>
            </w:tcBorders>
          </w:tcPr>
          <w:p w14:paraId="17D46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М-82 с</w:t>
            </w:r>
          </w:p>
        </w:tc>
        <w:tc>
          <w:tcPr>
            <w:tcW w:w="431" w:type="dxa"/>
            <w:tcBorders>
              <w:top w:val="single" w:sz="6" w:space="0" w:color="auto"/>
              <w:left w:val="single" w:sz="6" w:space="0" w:color="auto"/>
              <w:bottom w:val="single" w:sz="6" w:space="0" w:color="auto"/>
              <w:right w:val="single" w:sz="6" w:space="0" w:color="auto"/>
            </w:tcBorders>
          </w:tcPr>
          <w:p w14:paraId="4A6D6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5E5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78F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80C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0A8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 км</w:t>
            </w:r>
          </w:p>
        </w:tc>
        <w:tc>
          <w:tcPr>
            <w:tcW w:w="783" w:type="dxa"/>
            <w:tcBorders>
              <w:top w:val="single" w:sz="6" w:space="0" w:color="auto"/>
              <w:left w:val="single" w:sz="6" w:space="0" w:color="auto"/>
              <w:bottom w:val="single" w:sz="6" w:space="0" w:color="auto"/>
              <w:right w:val="single" w:sz="6" w:space="0" w:color="auto"/>
            </w:tcBorders>
          </w:tcPr>
          <w:p w14:paraId="7AA4CD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5DD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w:t>
            </w:r>
          </w:p>
        </w:tc>
        <w:tc>
          <w:tcPr>
            <w:tcW w:w="1123" w:type="dxa"/>
            <w:tcBorders>
              <w:top w:val="single" w:sz="6" w:space="0" w:color="auto"/>
              <w:left w:val="single" w:sz="6" w:space="0" w:color="auto"/>
              <w:bottom w:val="single" w:sz="6" w:space="0" w:color="auto"/>
              <w:right w:val="single" w:sz="6" w:space="0" w:color="auto"/>
            </w:tcBorders>
          </w:tcPr>
          <w:p w14:paraId="6F355A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CEF5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4372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426D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5ED7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7BF8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018F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EB800C" w14:textId="77777777" w:rsidTr="00ED5B0A">
        <w:tc>
          <w:tcPr>
            <w:tcW w:w="1242" w:type="dxa"/>
            <w:tcBorders>
              <w:top w:val="single" w:sz="6" w:space="0" w:color="auto"/>
              <w:left w:val="single" w:sz="6" w:space="0" w:color="auto"/>
              <w:bottom w:val="single" w:sz="6" w:space="0" w:color="auto"/>
              <w:right w:val="single" w:sz="6" w:space="0" w:color="auto"/>
            </w:tcBorders>
          </w:tcPr>
          <w:p w14:paraId="136DE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ТК-3 в</w:t>
            </w:r>
          </w:p>
        </w:tc>
        <w:tc>
          <w:tcPr>
            <w:tcW w:w="431" w:type="dxa"/>
            <w:tcBorders>
              <w:top w:val="single" w:sz="6" w:space="0" w:color="auto"/>
              <w:left w:val="single" w:sz="6" w:space="0" w:color="auto"/>
              <w:bottom w:val="single" w:sz="6" w:space="0" w:color="auto"/>
              <w:right w:val="single" w:sz="6" w:space="0" w:color="auto"/>
            </w:tcBorders>
          </w:tcPr>
          <w:p w14:paraId="7A53F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6E07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123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F730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A631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вар.</w:t>
            </w:r>
          </w:p>
        </w:tc>
        <w:tc>
          <w:tcPr>
            <w:tcW w:w="783" w:type="dxa"/>
            <w:tcBorders>
              <w:top w:val="single" w:sz="6" w:space="0" w:color="auto"/>
              <w:left w:val="single" w:sz="6" w:space="0" w:color="auto"/>
              <w:bottom w:val="single" w:sz="6" w:space="0" w:color="auto"/>
              <w:right w:val="single" w:sz="6" w:space="0" w:color="auto"/>
            </w:tcBorders>
          </w:tcPr>
          <w:p w14:paraId="66DA7F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58D3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целью</w:t>
            </w:r>
          </w:p>
        </w:tc>
        <w:tc>
          <w:tcPr>
            <w:tcW w:w="1123" w:type="dxa"/>
            <w:tcBorders>
              <w:top w:val="single" w:sz="6" w:space="0" w:color="auto"/>
              <w:left w:val="single" w:sz="6" w:space="0" w:color="auto"/>
              <w:bottom w:val="single" w:sz="6" w:space="0" w:color="auto"/>
              <w:right w:val="single" w:sz="6" w:space="0" w:color="auto"/>
            </w:tcBorders>
          </w:tcPr>
          <w:p w14:paraId="55B66B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5250A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A8759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58D0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AE9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182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C3A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086C7F" w14:textId="77777777" w:rsidTr="00ED5B0A">
        <w:tc>
          <w:tcPr>
            <w:tcW w:w="1242" w:type="dxa"/>
            <w:tcBorders>
              <w:top w:val="single" w:sz="6" w:space="0" w:color="auto"/>
              <w:left w:val="single" w:sz="6" w:space="0" w:color="auto"/>
              <w:bottom w:val="single" w:sz="6" w:space="0" w:color="auto"/>
              <w:right w:val="single" w:sz="6" w:space="0" w:color="auto"/>
            </w:tcBorders>
          </w:tcPr>
          <w:p w14:paraId="0A9C4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285D4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285E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AC0B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3E7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993F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783" w:type="dxa"/>
            <w:tcBorders>
              <w:top w:val="single" w:sz="6" w:space="0" w:color="auto"/>
              <w:left w:val="single" w:sz="6" w:space="0" w:color="auto"/>
              <w:bottom w:val="single" w:sz="6" w:space="0" w:color="auto"/>
              <w:right w:val="single" w:sz="6" w:space="0" w:color="auto"/>
            </w:tcBorders>
          </w:tcPr>
          <w:p w14:paraId="261BF6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c>
          <w:tcPr>
            <w:tcW w:w="783" w:type="dxa"/>
            <w:tcBorders>
              <w:top w:val="single" w:sz="6" w:space="0" w:color="auto"/>
              <w:left w:val="single" w:sz="6" w:space="0" w:color="auto"/>
              <w:bottom w:val="single" w:sz="6" w:space="0" w:color="auto"/>
              <w:right w:val="single" w:sz="6" w:space="0" w:color="auto"/>
            </w:tcBorders>
          </w:tcPr>
          <w:p w14:paraId="19DAE8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E25FD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28C1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13A7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10B9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4072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89D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616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3DE257" w14:textId="77777777" w:rsidTr="00ED5B0A">
        <w:tc>
          <w:tcPr>
            <w:tcW w:w="1242" w:type="dxa"/>
            <w:tcBorders>
              <w:top w:val="single" w:sz="6" w:space="0" w:color="auto"/>
              <w:left w:val="single" w:sz="6" w:space="0" w:color="auto"/>
              <w:bottom w:val="single" w:sz="6" w:space="0" w:color="auto"/>
              <w:right w:val="single" w:sz="6" w:space="0" w:color="auto"/>
            </w:tcBorders>
          </w:tcPr>
          <w:p w14:paraId="43371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высотного</w:t>
            </w:r>
          </w:p>
        </w:tc>
        <w:tc>
          <w:tcPr>
            <w:tcW w:w="431" w:type="dxa"/>
            <w:tcBorders>
              <w:top w:val="single" w:sz="6" w:space="0" w:color="auto"/>
              <w:left w:val="single" w:sz="6" w:space="0" w:color="auto"/>
              <w:bottom w:val="single" w:sz="6" w:space="0" w:color="auto"/>
              <w:right w:val="single" w:sz="6" w:space="0" w:color="auto"/>
            </w:tcBorders>
          </w:tcPr>
          <w:p w14:paraId="33E4D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5B7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089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744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 км</w:t>
            </w:r>
          </w:p>
        </w:tc>
        <w:tc>
          <w:tcPr>
            <w:tcW w:w="709" w:type="dxa"/>
            <w:tcBorders>
              <w:top w:val="single" w:sz="6" w:space="0" w:color="auto"/>
              <w:left w:val="single" w:sz="6" w:space="0" w:color="auto"/>
              <w:bottom w:val="single" w:sz="6" w:space="0" w:color="auto"/>
              <w:right w:val="single" w:sz="6" w:space="0" w:color="auto"/>
            </w:tcBorders>
          </w:tcPr>
          <w:p w14:paraId="14F3A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E80D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47F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9749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0FDA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EA4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D6EB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604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E07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6BBC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B08ADE" w14:textId="77777777" w:rsidTr="00ED5B0A">
        <w:tc>
          <w:tcPr>
            <w:tcW w:w="1242" w:type="dxa"/>
            <w:tcBorders>
              <w:top w:val="single" w:sz="6" w:space="0" w:color="auto"/>
              <w:left w:val="single" w:sz="6" w:space="0" w:color="auto"/>
              <w:bottom w:val="single" w:sz="6" w:space="0" w:color="auto"/>
              <w:right w:val="single" w:sz="6" w:space="0" w:color="auto"/>
            </w:tcBorders>
          </w:tcPr>
          <w:p w14:paraId="64211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разведчика</w:t>
            </w:r>
          </w:p>
        </w:tc>
        <w:tc>
          <w:tcPr>
            <w:tcW w:w="431" w:type="dxa"/>
            <w:tcBorders>
              <w:top w:val="single" w:sz="6" w:space="0" w:color="auto"/>
              <w:left w:val="single" w:sz="6" w:space="0" w:color="auto"/>
              <w:bottom w:val="single" w:sz="6" w:space="0" w:color="auto"/>
              <w:right w:val="single" w:sz="6" w:space="0" w:color="auto"/>
            </w:tcBorders>
          </w:tcPr>
          <w:p w14:paraId="64C100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B4BAF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9798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CF2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4FB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C86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0EDE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EF0B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79D31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6F56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E64C5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E9C4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25E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910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80651B" w14:textId="77777777" w:rsidTr="00ED5B0A">
        <w:tc>
          <w:tcPr>
            <w:tcW w:w="1242" w:type="dxa"/>
            <w:tcBorders>
              <w:top w:val="single" w:sz="6" w:space="0" w:color="auto"/>
              <w:left w:val="single" w:sz="6" w:space="0" w:color="auto"/>
              <w:bottom w:val="single" w:sz="6" w:space="0" w:color="auto"/>
              <w:right w:val="single" w:sz="6" w:space="0" w:color="auto"/>
            </w:tcBorders>
          </w:tcPr>
          <w:p w14:paraId="0BCC3A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высотн.</w:t>
            </w:r>
          </w:p>
        </w:tc>
        <w:tc>
          <w:tcPr>
            <w:tcW w:w="431" w:type="dxa"/>
            <w:tcBorders>
              <w:top w:val="single" w:sz="6" w:space="0" w:color="auto"/>
              <w:left w:val="single" w:sz="6" w:space="0" w:color="auto"/>
              <w:bottom w:val="single" w:sz="6" w:space="0" w:color="auto"/>
              <w:right w:val="single" w:sz="6" w:space="0" w:color="auto"/>
            </w:tcBorders>
          </w:tcPr>
          <w:p w14:paraId="34DE7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5B14F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3C84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BFB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0D13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3817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E3A0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7857E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7482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CBD7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81A5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598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E27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9BD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DAE867" w14:textId="77777777" w:rsidTr="00ED5B0A">
        <w:tc>
          <w:tcPr>
            <w:tcW w:w="1242" w:type="dxa"/>
            <w:tcBorders>
              <w:top w:val="single" w:sz="6" w:space="0" w:color="auto"/>
              <w:left w:val="single" w:sz="6" w:space="0" w:color="auto"/>
              <w:bottom w:val="single" w:sz="6" w:space="0" w:color="auto"/>
              <w:right w:val="single" w:sz="6" w:space="0" w:color="auto"/>
            </w:tcBorders>
          </w:tcPr>
          <w:p w14:paraId="23B396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3B98D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0885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B54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2AE1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17E6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E047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826B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FA1C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D4522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03BFA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7FF1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06BD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071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285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47002D" w14:textId="77777777" w:rsidTr="00ED5B0A">
        <w:tc>
          <w:tcPr>
            <w:tcW w:w="1242" w:type="dxa"/>
            <w:tcBorders>
              <w:top w:val="single" w:sz="6" w:space="0" w:color="auto"/>
              <w:left w:val="single" w:sz="6" w:space="0" w:color="auto"/>
              <w:bottom w:val="single" w:sz="6" w:space="0" w:color="auto"/>
              <w:right w:val="single" w:sz="6" w:space="0" w:color="auto"/>
            </w:tcBorders>
          </w:tcPr>
          <w:p w14:paraId="2B127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7F33A6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B9A1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A798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A20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4D85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725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F66B6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6F3C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07FE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54F2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7AFB2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5A7A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182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9E1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BB7BE1" w14:textId="77777777" w:rsidTr="00ED5B0A">
        <w:tc>
          <w:tcPr>
            <w:tcW w:w="1242" w:type="dxa"/>
            <w:tcBorders>
              <w:top w:val="single" w:sz="6" w:space="0" w:color="auto"/>
              <w:left w:val="single" w:sz="6" w:space="0" w:color="auto"/>
              <w:bottom w:val="single" w:sz="6" w:space="0" w:color="auto"/>
              <w:right w:val="single" w:sz="6" w:space="0" w:color="auto"/>
            </w:tcBorders>
          </w:tcPr>
          <w:p w14:paraId="57DEA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w:t>
            </w:r>
          </w:p>
        </w:tc>
        <w:tc>
          <w:tcPr>
            <w:tcW w:w="431" w:type="dxa"/>
            <w:tcBorders>
              <w:top w:val="single" w:sz="6" w:space="0" w:color="auto"/>
              <w:left w:val="single" w:sz="6" w:space="0" w:color="auto"/>
              <w:bottom w:val="single" w:sz="6" w:space="0" w:color="auto"/>
              <w:right w:val="single" w:sz="6" w:space="0" w:color="auto"/>
            </w:tcBorders>
          </w:tcPr>
          <w:p w14:paraId="131C4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206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295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BAC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D332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8AC0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149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24B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6BC2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B4B9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DFD2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D636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EA7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893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14D0BA" w14:textId="77777777" w:rsidTr="00ED5B0A">
        <w:tc>
          <w:tcPr>
            <w:tcW w:w="1242" w:type="dxa"/>
            <w:tcBorders>
              <w:top w:val="single" w:sz="6" w:space="0" w:color="auto"/>
              <w:left w:val="single" w:sz="6" w:space="0" w:color="auto"/>
              <w:bottom w:val="single" w:sz="6" w:space="0" w:color="auto"/>
              <w:right w:val="single" w:sz="6" w:space="0" w:color="auto"/>
            </w:tcBorders>
          </w:tcPr>
          <w:p w14:paraId="7D8C48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09BE5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65611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567" w:type="dxa"/>
            <w:tcBorders>
              <w:top w:val="single" w:sz="6" w:space="0" w:color="auto"/>
              <w:left w:val="single" w:sz="6" w:space="0" w:color="auto"/>
              <w:bottom w:val="single" w:sz="6" w:space="0" w:color="auto"/>
              <w:right w:val="single" w:sz="6" w:space="0" w:color="auto"/>
            </w:tcBorders>
          </w:tcPr>
          <w:p w14:paraId="5A114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tc>
        <w:tc>
          <w:tcPr>
            <w:tcW w:w="567" w:type="dxa"/>
            <w:tcBorders>
              <w:top w:val="single" w:sz="6" w:space="0" w:color="auto"/>
              <w:left w:val="single" w:sz="6" w:space="0" w:color="auto"/>
              <w:bottom w:val="single" w:sz="6" w:space="0" w:color="auto"/>
              <w:right w:val="single" w:sz="6" w:space="0" w:color="auto"/>
            </w:tcBorders>
          </w:tcPr>
          <w:p w14:paraId="634DA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34A9A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783" w:type="dxa"/>
            <w:tcBorders>
              <w:top w:val="single" w:sz="6" w:space="0" w:color="auto"/>
              <w:left w:val="single" w:sz="6" w:space="0" w:color="auto"/>
              <w:bottom w:val="single" w:sz="6" w:space="0" w:color="auto"/>
              <w:right w:val="single" w:sz="6" w:space="0" w:color="auto"/>
            </w:tcBorders>
          </w:tcPr>
          <w:p w14:paraId="6BDBB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11/5000</w:t>
            </w:r>
          </w:p>
        </w:tc>
        <w:tc>
          <w:tcPr>
            <w:tcW w:w="783" w:type="dxa"/>
            <w:tcBorders>
              <w:top w:val="single" w:sz="6" w:space="0" w:color="auto"/>
              <w:left w:val="single" w:sz="6" w:space="0" w:color="auto"/>
              <w:bottom w:val="single" w:sz="6" w:space="0" w:color="auto"/>
              <w:right w:val="single" w:sz="6" w:space="0" w:color="auto"/>
            </w:tcBorders>
          </w:tcPr>
          <w:p w14:paraId="6813FB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w:t>
            </w:r>
          </w:p>
        </w:tc>
        <w:tc>
          <w:tcPr>
            <w:tcW w:w="1123" w:type="dxa"/>
            <w:tcBorders>
              <w:top w:val="single" w:sz="6" w:space="0" w:color="auto"/>
              <w:left w:val="single" w:sz="6" w:space="0" w:color="auto"/>
              <w:bottom w:val="single" w:sz="6" w:space="0" w:color="auto"/>
              <w:right w:val="single" w:sz="6" w:space="0" w:color="auto"/>
            </w:tcBorders>
          </w:tcPr>
          <w:p w14:paraId="61A57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23CCAE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7E5BF8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ВАП</w:t>
            </w:r>
          </w:p>
        </w:tc>
        <w:tc>
          <w:tcPr>
            <w:tcW w:w="943" w:type="dxa"/>
            <w:tcBorders>
              <w:top w:val="single" w:sz="6" w:space="0" w:color="auto"/>
              <w:left w:val="single" w:sz="6" w:space="0" w:color="auto"/>
              <w:bottom w:val="single" w:sz="6" w:space="0" w:color="auto"/>
              <w:right w:val="single" w:sz="6" w:space="0" w:color="auto"/>
            </w:tcBorders>
          </w:tcPr>
          <w:p w14:paraId="296B28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0F0CB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76737D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вып.</w:t>
            </w:r>
          </w:p>
        </w:tc>
        <w:tc>
          <w:tcPr>
            <w:tcW w:w="621" w:type="dxa"/>
            <w:tcBorders>
              <w:top w:val="single" w:sz="6" w:space="0" w:color="auto"/>
              <w:left w:val="single" w:sz="6" w:space="0" w:color="auto"/>
              <w:bottom w:val="single" w:sz="6" w:space="0" w:color="auto"/>
              <w:right w:val="single" w:sz="6" w:space="0" w:color="auto"/>
            </w:tcBorders>
          </w:tcPr>
          <w:p w14:paraId="47A6B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E1D270" w14:textId="77777777" w:rsidTr="00ED5B0A">
        <w:tc>
          <w:tcPr>
            <w:tcW w:w="1242" w:type="dxa"/>
            <w:tcBorders>
              <w:top w:val="single" w:sz="6" w:space="0" w:color="auto"/>
              <w:left w:val="single" w:sz="6" w:space="0" w:color="auto"/>
              <w:bottom w:val="single" w:sz="6" w:space="0" w:color="auto"/>
              <w:right w:val="single" w:sz="6" w:space="0" w:color="auto"/>
            </w:tcBorders>
          </w:tcPr>
          <w:p w14:paraId="76986B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50723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8BC6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7AFF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w:t>
            </w:r>
          </w:p>
        </w:tc>
        <w:tc>
          <w:tcPr>
            <w:tcW w:w="567" w:type="dxa"/>
            <w:tcBorders>
              <w:top w:val="single" w:sz="6" w:space="0" w:color="auto"/>
              <w:left w:val="single" w:sz="6" w:space="0" w:color="auto"/>
              <w:bottom w:val="single" w:sz="6" w:space="0" w:color="auto"/>
              <w:right w:val="single" w:sz="6" w:space="0" w:color="auto"/>
            </w:tcBorders>
          </w:tcPr>
          <w:p w14:paraId="4FBBB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011D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76E64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7CA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ED6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DD62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1AA3C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943" w:type="dxa"/>
            <w:tcBorders>
              <w:top w:val="single" w:sz="6" w:space="0" w:color="auto"/>
              <w:left w:val="single" w:sz="6" w:space="0" w:color="auto"/>
              <w:bottom w:val="single" w:sz="6" w:space="0" w:color="auto"/>
              <w:right w:val="single" w:sz="6" w:space="0" w:color="auto"/>
            </w:tcBorders>
          </w:tcPr>
          <w:p w14:paraId="18DDA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от</w:t>
            </w:r>
          </w:p>
        </w:tc>
        <w:tc>
          <w:tcPr>
            <w:tcW w:w="922" w:type="dxa"/>
            <w:tcBorders>
              <w:top w:val="single" w:sz="6" w:space="0" w:color="auto"/>
              <w:left w:val="single" w:sz="6" w:space="0" w:color="auto"/>
              <w:bottom w:val="single" w:sz="6" w:space="0" w:color="auto"/>
              <w:right w:val="single" w:sz="6" w:space="0" w:color="auto"/>
            </w:tcBorders>
          </w:tcPr>
          <w:p w14:paraId="09694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06E5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лет.</w:t>
            </w:r>
          </w:p>
        </w:tc>
        <w:tc>
          <w:tcPr>
            <w:tcW w:w="621" w:type="dxa"/>
            <w:tcBorders>
              <w:top w:val="single" w:sz="6" w:space="0" w:color="auto"/>
              <w:left w:val="single" w:sz="6" w:space="0" w:color="auto"/>
              <w:bottom w:val="single" w:sz="6" w:space="0" w:color="auto"/>
              <w:right w:val="single" w:sz="6" w:space="0" w:color="auto"/>
            </w:tcBorders>
          </w:tcPr>
          <w:p w14:paraId="2B9F0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CE0968" w14:textId="77777777" w:rsidTr="00ED5B0A">
        <w:tc>
          <w:tcPr>
            <w:tcW w:w="1242" w:type="dxa"/>
            <w:tcBorders>
              <w:top w:val="single" w:sz="6" w:space="0" w:color="auto"/>
              <w:left w:val="single" w:sz="6" w:space="0" w:color="auto"/>
              <w:bottom w:val="single" w:sz="6" w:space="0" w:color="auto"/>
              <w:right w:val="single" w:sz="6" w:space="0" w:color="auto"/>
            </w:tcBorders>
          </w:tcPr>
          <w:p w14:paraId="2B52DA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24888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E596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D19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0A39C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B80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60E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3ACA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983BD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820 патр.</w:t>
            </w:r>
          </w:p>
        </w:tc>
        <w:tc>
          <w:tcPr>
            <w:tcW w:w="848" w:type="dxa"/>
            <w:tcBorders>
              <w:top w:val="single" w:sz="6" w:space="0" w:color="auto"/>
              <w:left w:val="single" w:sz="6" w:space="0" w:color="auto"/>
              <w:bottom w:val="single" w:sz="6" w:space="0" w:color="auto"/>
              <w:right w:val="single" w:sz="6" w:space="0" w:color="auto"/>
            </w:tcBorders>
          </w:tcPr>
          <w:p w14:paraId="7DFB1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D9F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97220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w:t>
            </w:r>
          </w:p>
        </w:tc>
        <w:tc>
          <w:tcPr>
            <w:tcW w:w="922" w:type="dxa"/>
            <w:tcBorders>
              <w:top w:val="single" w:sz="6" w:space="0" w:color="auto"/>
              <w:left w:val="single" w:sz="6" w:space="0" w:color="auto"/>
              <w:bottom w:val="single" w:sz="6" w:space="0" w:color="auto"/>
              <w:right w:val="single" w:sz="6" w:space="0" w:color="auto"/>
            </w:tcBorders>
          </w:tcPr>
          <w:p w14:paraId="0A5B7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35B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отабот. </w:t>
            </w:r>
          </w:p>
        </w:tc>
        <w:tc>
          <w:tcPr>
            <w:tcW w:w="621" w:type="dxa"/>
            <w:tcBorders>
              <w:top w:val="single" w:sz="6" w:space="0" w:color="auto"/>
              <w:left w:val="single" w:sz="6" w:space="0" w:color="auto"/>
              <w:bottom w:val="single" w:sz="6" w:space="0" w:color="auto"/>
              <w:right w:val="single" w:sz="6" w:space="0" w:color="auto"/>
            </w:tcBorders>
          </w:tcPr>
          <w:p w14:paraId="1235D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A37E55" w14:textId="77777777" w:rsidTr="00ED5B0A">
        <w:tc>
          <w:tcPr>
            <w:tcW w:w="1242" w:type="dxa"/>
            <w:tcBorders>
              <w:top w:val="single" w:sz="6" w:space="0" w:color="auto"/>
              <w:left w:val="single" w:sz="6" w:space="0" w:color="auto"/>
              <w:bottom w:val="single" w:sz="6" w:space="0" w:color="auto"/>
              <w:right w:val="single" w:sz="6" w:space="0" w:color="auto"/>
            </w:tcBorders>
          </w:tcPr>
          <w:p w14:paraId="3C4B9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с</w:t>
            </w:r>
          </w:p>
        </w:tc>
        <w:tc>
          <w:tcPr>
            <w:tcW w:w="431" w:type="dxa"/>
            <w:tcBorders>
              <w:top w:val="single" w:sz="6" w:space="0" w:color="auto"/>
              <w:left w:val="single" w:sz="6" w:space="0" w:color="auto"/>
              <w:bottom w:val="single" w:sz="6" w:space="0" w:color="auto"/>
              <w:right w:val="single" w:sz="6" w:space="0" w:color="auto"/>
            </w:tcBorders>
          </w:tcPr>
          <w:p w14:paraId="3C354D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F585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0CF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A25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E97F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CCF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2E40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85C4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72593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7A0B6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8B7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922" w:type="dxa"/>
            <w:tcBorders>
              <w:top w:val="single" w:sz="6" w:space="0" w:color="auto"/>
              <w:left w:val="single" w:sz="6" w:space="0" w:color="auto"/>
              <w:bottom w:val="single" w:sz="6" w:space="0" w:color="auto"/>
              <w:right w:val="single" w:sz="6" w:space="0" w:color="auto"/>
            </w:tcBorders>
          </w:tcPr>
          <w:p w14:paraId="40963A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4AF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МБ-100</w:t>
            </w:r>
          </w:p>
        </w:tc>
        <w:tc>
          <w:tcPr>
            <w:tcW w:w="621" w:type="dxa"/>
            <w:tcBorders>
              <w:top w:val="single" w:sz="6" w:space="0" w:color="auto"/>
              <w:left w:val="single" w:sz="6" w:space="0" w:color="auto"/>
              <w:bottom w:val="single" w:sz="6" w:space="0" w:color="auto"/>
              <w:right w:val="single" w:sz="6" w:space="0" w:color="auto"/>
            </w:tcBorders>
          </w:tcPr>
          <w:p w14:paraId="7C4BF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E1A3EE" w14:textId="77777777" w:rsidTr="00ED5B0A">
        <w:tc>
          <w:tcPr>
            <w:tcW w:w="1242" w:type="dxa"/>
            <w:tcBorders>
              <w:top w:val="single" w:sz="6" w:space="0" w:color="auto"/>
              <w:left w:val="single" w:sz="6" w:space="0" w:color="auto"/>
              <w:bottom w:val="single" w:sz="6" w:space="0" w:color="auto"/>
              <w:right w:val="single" w:sz="6" w:space="0" w:color="auto"/>
            </w:tcBorders>
          </w:tcPr>
          <w:p w14:paraId="603238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МБ-100</w:t>
            </w:r>
          </w:p>
        </w:tc>
        <w:tc>
          <w:tcPr>
            <w:tcW w:w="431" w:type="dxa"/>
            <w:tcBorders>
              <w:top w:val="single" w:sz="6" w:space="0" w:color="auto"/>
              <w:left w:val="single" w:sz="6" w:space="0" w:color="auto"/>
              <w:bottom w:val="single" w:sz="6" w:space="0" w:color="auto"/>
              <w:right w:val="single" w:sz="6" w:space="0" w:color="auto"/>
            </w:tcBorders>
          </w:tcPr>
          <w:p w14:paraId="01BDC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9A179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C30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F6DF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A47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55DC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EDDD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55D46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6721F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28D9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1211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w:t>
            </w:r>
          </w:p>
        </w:tc>
        <w:tc>
          <w:tcPr>
            <w:tcW w:w="922" w:type="dxa"/>
            <w:tcBorders>
              <w:top w:val="single" w:sz="6" w:space="0" w:color="auto"/>
              <w:left w:val="single" w:sz="6" w:space="0" w:color="auto"/>
              <w:bottom w:val="single" w:sz="6" w:space="0" w:color="auto"/>
              <w:right w:val="single" w:sz="6" w:space="0" w:color="auto"/>
            </w:tcBorders>
          </w:tcPr>
          <w:p w14:paraId="1DFF71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A30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8E6F2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574252" w14:textId="77777777" w:rsidTr="00ED5B0A">
        <w:tc>
          <w:tcPr>
            <w:tcW w:w="1242" w:type="dxa"/>
            <w:tcBorders>
              <w:top w:val="single" w:sz="6" w:space="0" w:color="auto"/>
              <w:left w:val="single" w:sz="6" w:space="0" w:color="auto"/>
              <w:bottom w:val="single" w:sz="6" w:space="0" w:color="auto"/>
              <w:right w:val="single" w:sz="6" w:space="0" w:color="auto"/>
            </w:tcBorders>
          </w:tcPr>
          <w:p w14:paraId="315AEA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7DA99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478E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334F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6B5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F57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7E0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3F34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D7F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752D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FC3F3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B6C8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7CDEB9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77513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69CF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BC9139" w14:textId="77777777" w:rsidTr="00ED5B0A">
        <w:tc>
          <w:tcPr>
            <w:tcW w:w="1242" w:type="dxa"/>
            <w:tcBorders>
              <w:top w:val="single" w:sz="6" w:space="0" w:color="auto"/>
              <w:left w:val="single" w:sz="6" w:space="0" w:color="auto"/>
              <w:bottom w:val="single" w:sz="6" w:space="0" w:color="auto"/>
              <w:right w:val="single" w:sz="6" w:space="0" w:color="auto"/>
            </w:tcBorders>
          </w:tcPr>
          <w:p w14:paraId="05982E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Ермолаев</w:t>
            </w:r>
          </w:p>
        </w:tc>
        <w:tc>
          <w:tcPr>
            <w:tcW w:w="431" w:type="dxa"/>
            <w:tcBorders>
              <w:top w:val="single" w:sz="6" w:space="0" w:color="auto"/>
              <w:left w:val="single" w:sz="6" w:space="0" w:color="auto"/>
              <w:bottom w:val="single" w:sz="6" w:space="0" w:color="auto"/>
              <w:right w:val="single" w:sz="6" w:space="0" w:color="auto"/>
            </w:tcBorders>
          </w:tcPr>
          <w:p w14:paraId="3A2DD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CC5A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9384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495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D411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3ADE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87E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869A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1D18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E2C12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BCBB7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415692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369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0EE0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FC4F9B" w14:textId="77777777" w:rsidTr="00ED5B0A">
        <w:tc>
          <w:tcPr>
            <w:tcW w:w="1242" w:type="dxa"/>
            <w:tcBorders>
              <w:top w:val="single" w:sz="6" w:space="0" w:color="auto"/>
              <w:left w:val="single" w:sz="6" w:space="0" w:color="auto"/>
              <w:bottom w:val="single" w:sz="6" w:space="0" w:color="auto"/>
              <w:right w:val="single" w:sz="6" w:space="0" w:color="auto"/>
            </w:tcBorders>
          </w:tcPr>
          <w:p w14:paraId="4D1BF9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4530E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7F9BD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tc>
        <w:tc>
          <w:tcPr>
            <w:tcW w:w="567" w:type="dxa"/>
            <w:tcBorders>
              <w:top w:val="single" w:sz="6" w:space="0" w:color="auto"/>
              <w:left w:val="single" w:sz="6" w:space="0" w:color="auto"/>
              <w:bottom w:val="single" w:sz="6" w:space="0" w:color="auto"/>
              <w:right w:val="single" w:sz="6" w:space="0" w:color="auto"/>
            </w:tcBorders>
          </w:tcPr>
          <w:p w14:paraId="18A4D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tc>
        <w:tc>
          <w:tcPr>
            <w:tcW w:w="567" w:type="dxa"/>
            <w:tcBorders>
              <w:top w:val="single" w:sz="6" w:space="0" w:color="auto"/>
              <w:left w:val="single" w:sz="6" w:space="0" w:color="auto"/>
              <w:bottom w:val="single" w:sz="6" w:space="0" w:color="auto"/>
              <w:right w:val="single" w:sz="6" w:space="0" w:color="auto"/>
            </w:tcBorders>
          </w:tcPr>
          <w:p w14:paraId="05FBB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242F8F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4FAEA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19/5000</w:t>
            </w:r>
          </w:p>
        </w:tc>
        <w:tc>
          <w:tcPr>
            <w:tcW w:w="783" w:type="dxa"/>
            <w:tcBorders>
              <w:top w:val="single" w:sz="6" w:space="0" w:color="auto"/>
              <w:left w:val="single" w:sz="6" w:space="0" w:color="auto"/>
              <w:bottom w:val="single" w:sz="6" w:space="0" w:color="auto"/>
              <w:right w:val="single" w:sz="6" w:space="0" w:color="auto"/>
            </w:tcBorders>
          </w:tcPr>
          <w:p w14:paraId="794A3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w:t>
            </w:r>
          </w:p>
        </w:tc>
        <w:tc>
          <w:tcPr>
            <w:tcW w:w="1123" w:type="dxa"/>
            <w:tcBorders>
              <w:top w:val="single" w:sz="6" w:space="0" w:color="auto"/>
              <w:left w:val="single" w:sz="6" w:space="0" w:color="auto"/>
              <w:bottom w:val="single" w:sz="6" w:space="0" w:color="auto"/>
              <w:right w:val="single" w:sz="6" w:space="0" w:color="auto"/>
            </w:tcBorders>
          </w:tcPr>
          <w:p w14:paraId="3020F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пул.</w:t>
            </w:r>
          </w:p>
        </w:tc>
        <w:tc>
          <w:tcPr>
            <w:tcW w:w="848" w:type="dxa"/>
            <w:tcBorders>
              <w:top w:val="single" w:sz="6" w:space="0" w:color="auto"/>
              <w:left w:val="single" w:sz="6" w:space="0" w:color="auto"/>
              <w:bottom w:val="single" w:sz="6" w:space="0" w:color="auto"/>
              <w:right w:val="single" w:sz="6" w:space="0" w:color="auto"/>
            </w:tcBorders>
          </w:tcPr>
          <w:p w14:paraId="7C282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2BB76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ВАП</w:t>
            </w:r>
          </w:p>
        </w:tc>
        <w:tc>
          <w:tcPr>
            <w:tcW w:w="943" w:type="dxa"/>
            <w:tcBorders>
              <w:top w:val="single" w:sz="6" w:space="0" w:color="auto"/>
              <w:left w:val="single" w:sz="6" w:space="0" w:color="auto"/>
              <w:bottom w:val="single" w:sz="6" w:space="0" w:color="auto"/>
              <w:right w:val="single" w:sz="6" w:space="0" w:color="auto"/>
            </w:tcBorders>
          </w:tcPr>
          <w:p w14:paraId="3654B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6AFEF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51E9E0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Проведение летн.</w:t>
            </w:r>
          </w:p>
        </w:tc>
        <w:tc>
          <w:tcPr>
            <w:tcW w:w="621" w:type="dxa"/>
            <w:tcBorders>
              <w:top w:val="single" w:sz="6" w:space="0" w:color="auto"/>
              <w:left w:val="single" w:sz="6" w:space="0" w:color="auto"/>
              <w:bottom w:val="single" w:sz="6" w:space="0" w:color="auto"/>
              <w:right w:val="single" w:sz="6" w:space="0" w:color="auto"/>
            </w:tcBorders>
          </w:tcPr>
          <w:p w14:paraId="1466AC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60D974" w14:textId="77777777" w:rsidTr="00ED5B0A">
        <w:tc>
          <w:tcPr>
            <w:tcW w:w="1242" w:type="dxa"/>
            <w:tcBorders>
              <w:top w:val="single" w:sz="6" w:space="0" w:color="auto"/>
              <w:left w:val="single" w:sz="6" w:space="0" w:color="auto"/>
              <w:bottom w:val="single" w:sz="6" w:space="0" w:color="auto"/>
              <w:right w:val="single" w:sz="6" w:space="0" w:color="auto"/>
            </w:tcBorders>
          </w:tcPr>
          <w:p w14:paraId="0786B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Дальний</w:t>
            </w:r>
          </w:p>
        </w:tc>
        <w:tc>
          <w:tcPr>
            <w:tcW w:w="431" w:type="dxa"/>
            <w:tcBorders>
              <w:top w:val="single" w:sz="6" w:space="0" w:color="auto"/>
              <w:left w:val="single" w:sz="6" w:space="0" w:color="auto"/>
              <w:bottom w:val="single" w:sz="6" w:space="0" w:color="auto"/>
              <w:right w:val="single" w:sz="6" w:space="0" w:color="auto"/>
            </w:tcBorders>
          </w:tcPr>
          <w:p w14:paraId="56D26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01F7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35E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567" w:type="dxa"/>
            <w:tcBorders>
              <w:top w:val="single" w:sz="6" w:space="0" w:color="auto"/>
              <w:left w:val="single" w:sz="6" w:space="0" w:color="auto"/>
              <w:bottom w:val="single" w:sz="6" w:space="0" w:color="auto"/>
              <w:right w:val="single" w:sz="6" w:space="0" w:color="auto"/>
            </w:tcBorders>
          </w:tcPr>
          <w:p w14:paraId="7D39F1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2E57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27E443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EB9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BFCDE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EF628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10" w:type="dxa"/>
            <w:tcBorders>
              <w:top w:val="single" w:sz="6" w:space="0" w:color="auto"/>
              <w:left w:val="single" w:sz="6" w:space="0" w:color="auto"/>
              <w:bottom w:val="single" w:sz="6" w:space="0" w:color="auto"/>
              <w:right w:val="single" w:sz="6" w:space="0" w:color="auto"/>
            </w:tcBorders>
          </w:tcPr>
          <w:p w14:paraId="747E5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943" w:type="dxa"/>
            <w:tcBorders>
              <w:top w:val="single" w:sz="6" w:space="0" w:color="auto"/>
              <w:left w:val="single" w:sz="6" w:space="0" w:color="auto"/>
              <w:bottom w:val="single" w:sz="6" w:space="0" w:color="auto"/>
              <w:right w:val="single" w:sz="6" w:space="0" w:color="auto"/>
            </w:tcBorders>
          </w:tcPr>
          <w:p w14:paraId="2EC570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688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1A5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испытаний</w:t>
            </w:r>
          </w:p>
        </w:tc>
        <w:tc>
          <w:tcPr>
            <w:tcW w:w="621" w:type="dxa"/>
            <w:tcBorders>
              <w:top w:val="single" w:sz="6" w:space="0" w:color="auto"/>
              <w:left w:val="single" w:sz="6" w:space="0" w:color="auto"/>
              <w:bottom w:val="single" w:sz="6" w:space="0" w:color="auto"/>
              <w:right w:val="single" w:sz="6" w:space="0" w:color="auto"/>
            </w:tcBorders>
          </w:tcPr>
          <w:p w14:paraId="5A14A0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C5EE53" w14:textId="77777777" w:rsidTr="00ED5B0A">
        <w:tc>
          <w:tcPr>
            <w:tcW w:w="1242" w:type="dxa"/>
            <w:tcBorders>
              <w:top w:val="single" w:sz="6" w:space="0" w:color="auto"/>
              <w:left w:val="single" w:sz="6" w:space="0" w:color="auto"/>
              <w:bottom w:val="single" w:sz="6" w:space="0" w:color="auto"/>
              <w:right w:val="single" w:sz="6" w:space="0" w:color="auto"/>
            </w:tcBorders>
          </w:tcPr>
          <w:p w14:paraId="72831D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2B1DA8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DA5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2D4B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EA7A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21295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084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092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EF7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820 патр.</w:t>
            </w:r>
          </w:p>
        </w:tc>
        <w:tc>
          <w:tcPr>
            <w:tcW w:w="848" w:type="dxa"/>
            <w:tcBorders>
              <w:top w:val="single" w:sz="6" w:space="0" w:color="auto"/>
              <w:left w:val="single" w:sz="6" w:space="0" w:color="auto"/>
              <w:bottom w:val="single" w:sz="6" w:space="0" w:color="auto"/>
              <w:right w:val="single" w:sz="6" w:space="0" w:color="auto"/>
            </w:tcBorders>
          </w:tcPr>
          <w:p w14:paraId="78AC1A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D71C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11B84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BA1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6E47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BA2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F14B5F" w14:textId="77777777" w:rsidTr="00ED5B0A">
        <w:tc>
          <w:tcPr>
            <w:tcW w:w="1242" w:type="dxa"/>
            <w:tcBorders>
              <w:top w:val="single" w:sz="6" w:space="0" w:color="auto"/>
              <w:left w:val="single" w:sz="6" w:space="0" w:color="auto"/>
              <w:bottom w:val="single" w:sz="6" w:space="0" w:color="auto"/>
              <w:right w:val="single" w:sz="6" w:space="0" w:color="auto"/>
            </w:tcBorders>
          </w:tcPr>
          <w:p w14:paraId="3A54EA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с</w:t>
            </w:r>
          </w:p>
        </w:tc>
        <w:tc>
          <w:tcPr>
            <w:tcW w:w="431" w:type="dxa"/>
            <w:tcBorders>
              <w:top w:val="single" w:sz="6" w:space="0" w:color="auto"/>
              <w:left w:val="single" w:sz="6" w:space="0" w:color="auto"/>
              <w:bottom w:val="single" w:sz="6" w:space="0" w:color="auto"/>
              <w:right w:val="single" w:sz="6" w:space="0" w:color="auto"/>
            </w:tcBorders>
          </w:tcPr>
          <w:p w14:paraId="66A5B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F372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FBE7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E95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E96D3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48C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6076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B5CE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B71D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005C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1E4D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957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CC9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3121D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4E602D" w14:textId="77777777" w:rsidTr="00ED5B0A">
        <w:tc>
          <w:tcPr>
            <w:tcW w:w="1242" w:type="dxa"/>
            <w:tcBorders>
              <w:top w:val="single" w:sz="6" w:space="0" w:color="auto"/>
              <w:left w:val="single" w:sz="6" w:space="0" w:color="auto"/>
              <w:bottom w:val="single" w:sz="6" w:space="0" w:color="auto"/>
              <w:right w:val="single" w:sz="6" w:space="0" w:color="auto"/>
            </w:tcBorders>
          </w:tcPr>
          <w:p w14:paraId="3BE55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М-30Б</w:t>
            </w:r>
          </w:p>
        </w:tc>
        <w:tc>
          <w:tcPr>
            <w:tcW w:w="431" w:type="dxa"/>
            <w:tcBorders>
              <w:top w:val="single" w:sz="6" w:space="0" w:color="auto"/>
              <w:left w:val="single" w:sz="6" w:space="0" w:color="auto"/>
              <w:bottom w:val="single" w:sz="6" w:space="0" w:color="auto"/>
              <w:right w:val="single" w:sz="6" w:space="0" w:color="auto"/>
            </w:tcBorders>
          </w:tcPr>
          <w:p w14:paraId="6883C9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2E1CB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55AF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2A6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1B34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CFC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B8F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2DFB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60FC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6C7A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6BA0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E60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328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1644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D6235E" w14:textId="77777777" w:rsidTr="00ED5B0A">
        <w:tc>
          <w:tcPr>
            <w:tcW w:w="1242" w:type="dxa"/>
            <w:tcBorders>
              <w:top w:val="single" w:sz="6" w:space="0" w:color="auto"/>
              <w:left w:val="single" w:sz="6" w:space="0" w:color="auto"/>
              <w:bottom w:val="single" w:sz="6" w:space="0" w:color="auto"/>
              <w:right w:val="single" w:sz="6" w:space="0" w:color="auto"/>
            </w:tcBorders>
          </w:tcPr>
          <w:p w14:paraId="1CCC5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6CD6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EB73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0AB3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367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C29A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2312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90B0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C53C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8B739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82EA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FF40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7371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E3C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8259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48E451" w14:textId="77777777" w:rsidTr="00ED5B0A">
        <w:tc>
          <w:tcPr>
            <w:tcW w:w="1242" w:type="dxa"/>
            <w:tcBorders>
              <w:top w:val="single" w:sz="6" w:space="0" w:color="auto"/>
              <w:left w:val="single" w:sz="6" w:space="0" w:color="auto"/>
              <w:bottom w:val="single" w:sz="6" w:space="0" w:color="auto"/>
              <w:right w:val="single" w:sz="6" w:space="0" w:color="auto"/>
            </w:tcBorders>
          </w:tcPr>
          <w:p w14:paraId="3317B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Ермолаев</w:t>
            </w:r>
          </w:p>
        </w:tc>
        <w:tc>
          <w:tcPr>
            <w:tcW w:w="431" w:type="dxa"/>
            <w:tcBorders>
              <w:top w:val="single" w:sz="6" w:space="0" w:color="auto"/>
              <w:left w:val="single" w:sz="6" w:space="0" w:color="auto"/>
              <w:bottom w:val="single" w:sz="6" w:space="0" w:color="auto"/>
              <w:right w:val="single" w:sz="6" w:space="0" w:color="auto"/>
            </w:tcBorders>
          </w:tcPr>
          <w:p w14:paraId="2F50F3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AAD0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FB3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CD14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9618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4543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8472E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CBBC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0B2B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9F25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B628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D4C15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E92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D6A3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6A5994" w14:textId="77777777" w:rsidTr="00ED5B0A">
        <w:tc>
          <w:tcPr>
            <w:tcW w:w="1242" w:type="dxa"/>
            <w:tcBorders>
              <w:top w:val="single" w:sz="6" w:space="0" w:color="auto"/>
              <w:left w:val="single" w:sz="6" w:space="0" w:color="auto"/>
              <w:bottom w:val="single" w:sz="6" w:space="0" w:color="auto"/>
              <w:right w:val="single" w:sz="6" w:space="0" w:color="auto"/>
            </w:tcBorders>
          </w:tcPr>
          <w:p w14:paraId="166BCF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431" w:type="dxa"/>
            <w:tcBorders>
              <w:top w:val="single" w:sz="6" w:space="0" w:color="auto"/>
              <w:left w:val="single" w:sz="6" w:space="0" w:color="auto"/>
              <w:bottom w:val="single" w:sz="6" w:space="0" w:color="auto"/>
              <w:right w:val="single" w:sz="6" w:space="0" w:color="auto"/>
            </w:tcBorders>
          </w:tcPr>
          <w:p w14:paraId="40F49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01BD1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567" w:type="dxa"/>
            <w:tcBorders>
              <w:top w:val="single" w:sz="6" w:space="0" w:color="auto"/>
              <w:left w:val="single" w:sz="6" w:space="0" w:color="auto"/>
              <w:bottom w:val="single" w:sz="6" w:space="0" w:color="auto"/>
              <w:right w:val="single" w:sz="6" w:space="0" w:color="auto"/>
            </w:tcBorders>
          </w:tcPr>
          <w:p w14:paraId="4D2C5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405/</w:t>
            </w:r>
          </w:p>
        </w:tc>
        <w:tc>
          <w:tcPr>
            <w:tcW w:w="567" w:type="dxa"/>
            <w:tcBorders>
              <w:top w:val="single" w:sz="6" w:space="0" w:color="auto"/>
              <w:left w:val="single" w:sz="6" w:space="0" w:color="auto"/>
              <w:bottom w:val="single" w:sz="6" w:space="0" w:color="auto"/>
              <w:right w:val="single" w:sz="6" w:space="0" w:color="auto"/>
            </w:tcBorders>
          </w:tcPr>
          <w:p w14:paraId="39D41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709" w:type="dxa"/>
            <w:tcBorders>
              <w:top w:val="single" w:sz="6" w:space="0" w:color="auto"/>
              <w:left w:val="single" w:sz="6" w:space="0" w:color="auto"/>
              <w:bottom w:val="single" w:sz="6" w:space="0" w:color="auto"/>
              <w:right w:val="single" w:sz="6" w:space="0" w:color="auto"/>
            </w:tcBorders>
          </w:tcPr>
          <w:p w14:paraId="197D2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70CE6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14/5000</w:t>
            </w:r>
          </w:p>
        </w:tc>
        <w:tc>
          <w:tcPr>
            <w:tcW w:w="783" w:type="dxa"/>
            <w:tcBorders>
              <w:top w:val="single" w:sz="6" w:space="0" w:color="auto"/>
              <w:left w:val="single" w:sz="6" w:space="0" w:color="auto"/>
              <w:bottom w:val="single" w:sz="6" w:space="0" w:color="auto"/>
              <w:right w:val="single" w:sz="6" w:space="0" w:color="auto"/>
            </w:tcBorders>
          </w:tcPr>
          <w:p w14:paraId="3A06B9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123" w:type="dxa"/>
            <w:tcBorders>
              <w:top w:val="single" w:sz="6" w:space="0" w:color="auto"/>
              <w:left w:val="single" w:sz="6" w:space="0" w:color="auto"/>
              <w:bottom w:val="single" w:sz="6" w:space="0" w:color="auto"/>
              <w:right w:val="single" w:sz="6" w:space="0" w:color="auto"/>
            </w:tcBorders>
          </w:tcPr>
          <w:p w14:paraId="2F0CE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848" w:type="dxa"/>
            <w:tcBorders>
              <w:top w:val="single" w:sz="6" w:space="0" w:color="auto"/>
              <w:left w:val="single" w:sz="6" w:space="0" w:color="auto"/>
              <w:bottom w:val="single" w:sz="6" w:space="0" w:color="auto"/>
              <w:right w:val="single" w:sz="6" w:space="0" w:color="auto"/>
            </w:tcBorders>
          </w:tcPr>
          <w:p w14:paraId="1CF1BF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410" w:type="dxa"/>
            <w:tcBorders>
              <w:top w:val="single" w:sz="6" w:space="0" w:color="auto"/>
              <w:left w:val="single" w:sz="6" w:space="0" w:color="auto"/>
              <w:bottom w:val="single" w:sz="6" w:space="0" w:color="auto"/>
              <w:right w:val="single" w:sz="6" w:space="0" w:color="auto"/>
            </w:tcBorders>
          </w:tcPr>
          <w:p w14:paraId="013DA6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ВАП</w:t>
            </w:r>
          </w:p>
        </w:tc>
        <w:tc>
          <w:tcPr>
            <w:tcW w:w="943" w:type="dxa"/>
            <w:tcBorders>
              <w:top w:val="single" w:sz="6" w:space="0" w:color="auto"/>
              <w:left w:val="single" w:sz="6" w:space="0" w:color="auto"/>
              <w:bottom w:val="single" w:sz="6" w:space="0" w:color="auto"/>
              <w:right w:val="single" w:sz="6" w:space="0" w:color="auto"/>
            </w:tcBorders>
          </w:tcPr>
          <w:p w14:paraId="352D77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же</w:t>
            </w:r>
          </w:p>
        </w:tc>
        <w:tc>
          <w:tcPr>
            <w:tcW w:w="922" w:type="dxa"/>
            <w:tcBorders>
              <w:top w:val="single" w:sz="6" w:space="0" w:color="auto"/>
              <w:left w:val="single" w:sz="6" w:space="0" w:color="auto"/>
              <w:bottom w:val="single" w:sz="6" w:space="0" w:color="auto"/>
              <w:right w:val="single" w:sz="6" w:space="0" w:color="auto"/>
            </w:tcBorders>
          </w:tcPr>
          <w:p w14:paraId="2C59D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15.IX.43</w:t>
            </w:r>
          </w:p>
        </w:tc>
        <w:tc>
          <w:tcPr>
            <w:tcW w:w="621" w:type="dxa"/>
            <w:tcBorders>
              <w:top w:val="single" w:sz="6" w:space="0" w:color="auto"/>
              <w:left w:val="single" w:sz="6" w:space="0" w:color="auto"/>
              <w:bottom w:val="single" w:sz="6" w:space="0" w:color="auto"/>
              <w:right w:val="single" w:sz="6" w:space="0" w:color="auto"/>
            </w:tcBorders>
          </w:tcPr>
          <w:p w14:paraId="0DC44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EF9D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AE57EA" w14:textId="77777777" w:rsidTr="00ED5B0A">
        <w:tc>
          <w:tcPr>
            <w:tcW w:w="1242" w:type="dxa"/>
            <w:tcBorders>
              <w:top w:val="single" w:sz="6" w:space="0" w:color="auto"/>
              <w:left w:val="single" w:sz="6" w:space="0" w:color="auto"/>
              <w:bottom w:val="single" w:sz="6" w:space="0" w:color="auto"/>
              <w:right w:val="single" w:sz="6" w:space="0" w:color="auto"/>
            </w:tcBorders>
          </w:tcPr>
          <w:p w14:paraId="3DFB59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6E9B1D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D314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C609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5700</w:t>
            </w:r>
          </w:p>
        </w:tc>
        <w:tc>
          <w:tcPr>
            <w:tcW w:w="567" w:type="dxa"/>
            <w:tcBorders>
              <w:top w:val="single" w:sz="6" w:space="0" w:color="auto"/>
              <w:left w:val="single" w:sz="6" w:space="0" w:color="auto"/>
              <w:bottom w:val="single" w:sz="6" w:space="0" w:color="auto"/>
              <w:right w:val="single" w:sz="6" w:space="0" w:color="auto"/>
            </w:tcBorders>
          </w:tcPr>
          <w:p w14:paraId="1B676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72C1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c>
          <w:tcPr>
            <w:tcW w:w="783" w:type="dxa"/>
            <w:tcBorders>
              <w:top w:val="single" w:sz="6" w:space="0" w:color="auto"/>
              <w:left w:val="single" w:sz="6" w:space="0" w:color="auto"/>
              <w:bottom w:val="single" w:sz="6" w:space="0" w:color="auto"/>
              <w:right w:val="single" w:sz="6" w:space="0" w:color="auto"/>
            </w:tcBorders>
          </w:tcPr>
          <w:p w14:paraId="7283FC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6E0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6A0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на</w:t>
            </w:r>
          </w:p>
        </w:tc>
        <w:tc>
          <w:tcPr>
            <w:tcW w:w="848" w:type="dxa"/>
            <w:tcBorders>
              <w:top w:val="single" w:sz="6" w:space="0" w:color="auto"/>
              <w:left w:val="single" w:sz="6" w:space="0" w:color="auto"/>
              <w:bottom w:val="single" w:sz="6" w:space="0" w:color="auto"/>
              <w:right w:val="single" w:sz="6" w:space="0" w:color="auto"/>
            </w:tcBorders>
          </w:tcPr>
          <w:p w14:paraId="62613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410" w:type="dxa"/>
            <w:tcBorders>
              <w:top w:val="single" w:sz="6" w:space="0" w:color="auto"/>
              <w:left w:val="single" w:sz="6" w:space="0" w:color="auto"/>
              <w:bottom w:val="single" w:sz="6" w:space="0" w:color="auto"/>
              <w:right w:val="single" w:sz="6" w:space="0" w:color="auto"/>
            </w:tcBorders>
          </w:tcPr>
          <w:p w14:paraId="45B7B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943" w:type="dxa"/>
            <w:tcBorders>
              <w:top w:val="single" w:sz="6" w:space="0" w:color="auto"/>
              <w:left w:val="single" w:sz="6" w:space="0" w:color="auto"/>
              <w:bottom w:val="single" w:sz="6" w:space="0" w:color="auto"/>
              <w:right w:val="single" w:sz="6" w:space="0" w:color="auto"/>
            </w:tcBorders>
          </w:tcPr>
          <w:p w14:paraId="332E4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на</w:t>
            </w:r>
          </w:p>
        </w:tc>
        <w:tc>
          <w:tcPr>
            <w:tcW w:w="922" w:type="dxa"/>
            <w:tcBorders>
              <w:top w:val="single" w:sz="6" w:space="0" w:color="auto"/>
              <w:left w:val="single" w:sz="6" w:space="0" w:color="auto"/>
              <w:bottom w:val="single" w:sz="6" w:space="0" w:color="auto"/>
              <w:right w:val="single" w:sz="6" w:space="0" w:color="auto"/>
            </w:tcBorders>
          </w:tcPr>
          <w:p w14:paraId="1225FC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64D1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4CE3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443FC2" w14:textId="77777777" w:rsidTr="00ED5B0A">
        <w:tc>
          <w:tcPr>
            <w:tcW w:w="1242" w:type="dxa"/>
            <w:tcBorders>
              <w:top w:val="single" w:sz="6" w:space="0" w:color="auto"/>
              <w:left w:val="single" w:sz="6" w:space="0" w:color="auto"/>
              <w:bottom w:val="single" w:sz="6" w:space="0" w:color="auto"/>
              <w:right w:val="single" w:sz="6" w:space="0" w:color="auto"/>
            </w:tcBorders>
          </w:tcPr>
          <w:p w14:paraId="3A6F73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60B706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8CB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A38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CF4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B8FB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2200</w:t>
            </w:r>
          </w:p>
        </w:tc>
        <w:tc>
          <w:tcPr>
            <w:tcW w:w="783" w:type="dxa"/>
            <w:tcBorders>
              <w:top w:val="single" w:sz="6" w:space="0" w:color="auto"/>
              <w:left w:val="single" w:sz="6" w:space="0" w:color="auto"/>
              <w:bottom w:val="single" w:sz="6" w:space="0" w:color="auto"/>
              <w:right w:val="single" w:sz="6" w:space="0" w:color="auto"/>
            </w:tcBorders>
          </w:tcPr>
          <w:p w14:paraId="1999A5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5BF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526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w:t>
            </w:r>
          </w:p>
        </w:tc>
        <w:tc>
          <w:tcPr>
            <w:tcW w:w="848" w:type="dxa"/>
            <w:tcBorders>
              <w:top w:val="single" w:sz="6" w:space="0" w:color="auto"/>
              <w:left w:val="single" w:sz="6" w:space="0" w:color="auto"/>
              <w:bottom w:val="single" w:sz="6" w:space="0" w:color="auto"/>
              <w:right w:val="single" w:sz="6" w:space="0" w:color="auto"/>
            </w:tcBorders>
          </w:tcPr>
          <w:p w14:paraId="748ACE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410" w:type="dxa"/>
            <w:tcBorders>
              <w:top w:val="single" w:sz="6" w:space="0" w:color="auto"/>
              <w:left w:val="single" w:sz="6" w:space="0" w:color="auto"/>
              <w:bottom w:val="single" w:sz="6" w:space="0" w:color="auto"/>
              <w:right w:val="single" w:sz="6" w:space="0" w:color="auto"/>
            </w:tcBorders>
          </w:tcPr>
          <w:p w14:paraId="0C0F7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7B54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w:t>
            </w:r>
          </w:p>
        </w:tc>
        <w:tc>
          <w:tcPr>
            <w:tcW w:w="922" w:type="dxa"/>
            <w:tcBorders>
              <w:top w:val="single" w:sz="6" w:space="0" w:color="auto"/>
              <w:left w:val="single" w:sz="6" w:space="0" w:color="auto"/>
              <w:bottom w:val="single" w:sz="6" w:space="0" w:color="auto"/>
              <w:right w:val="single" w:sz="6" w:space="0" w:color="auto"/>
            </w:tcBorders>
          </w:tcPr>
          <w:p w14:paraId="0F81EA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17C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843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B27D3D" w14:textId="77777777" w:rsidTr="00ED5B0A">
        <w:tc>
          <w:tcPr>
            <w:tcW w:w="1242" w:type="dxa"/>
            <w:tcBorders>
              <w:top w:val="single" w:sz="6" w:space="0" w:color="auto"/>
              <w:left w:val="single" w:sz="6" w:space="0" w:color="auto"/>
              <w:bottom w:val="single" w:sz="6" w:space="0" w:color="auto"/>
              <w:right w:val="single" w:sz="6" w:space="0" w:color="auto"/>
            </w:tcBorders>
          </w:tcPr>
          <w:p w14:paraId="4C4EF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 с</w:t>
            </w:r>
          </w:p>
        </w:tc>
        <w:tc>
          <w:tcPr>
            <w:tcW w:w="431" w:type="dxa"/>
            <w:tcBorders>
              <w:top w:val="single" w:sz="6" w:space="0" w:color="auto"/>
              <w:left w:val="single" w:sz="6" w:space="0" w:color="auto"/>
              <w:bottom w:val="single" w:sz="6" w:space="0" w:color="auto"/>
              <w:right w:val="single" w:sz="6" w:space="0" w:color="auto"/>
            </w:tcBorders>
          </w:tcPr>
          <w:p w14:paraId="0BF1C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5B36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36C3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F08A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F52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AF2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0D55D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69DB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w:t>
            </w:r>
          </w:p>
        </w:tc>
        <w:tc>
          <w:tcPr>
            <w:tcW w:w="848" w:type="dxa"/>
            <w:tcBorders>
              <w:top w:val="single" w:sz="6" w:space="0" w:color="auto"/>
              <w:left w:val="single" w:sz="6" w:space="0" w:color="auto"/>
              <w:bottom w:val="single" w:sz="6" w:space="0" w:color="auto"/>
              <w:right w:val="single" w:sz="6" w:space="0" w:color="auto"/>
            </w:tcBorders>
          </w:tcPr>
          <w:p w14:paraId="2C128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90F1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85F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w:t>
            </w:r>
          </w:p>
        </w:tc>
        <w:tc>
          <w:tcPr>
            <w:tcW w:w="922" w:type="dxa"/>
            <w:tcBorders>
              <w:top w:val="single" w:sz="6" w:space="0" w:color="auto"/>
              <w:left w:val="single" w:sz="6" w:space="0" w:color="auto"/>
              <w:bottom w:val="single" w:sz="6" w:space="0" w:color="auto"/>
              <w:right w:val="single" w:sz="6" w:space="0" w:color="auto"/>
            </w:tcBorders>
          </w:tcPr>
          <w:p w14:paraId="246E16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60FD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DA53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635168" w14:textId="77777777" w:rsidTr="00ED5B0A">
        <w:tc>
          <w:tcPr>
            <w:tcW w:w="1242" w:type="dxa"/>
            <w:tcBorders>
              <w:top w:val="single" w:sz="6" w:space="0" w:color="auto"/>
              <w:left w:val="single" w:sz="6" w:space="0" w:color="auto"/>
              <w:bottom w:val="single" w:sz="6" w:space="0" w:color="auto"/>
              <w:right w:val="single" w:sz="6" w:space="0" w:color="auto"/>
            </w:tcBorders>
          </w:tcPr>
          <w:p w14:paraId="057B4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w:t>
            </w:r>
          </w:p>
        </w:tc>
        <w:tc>
          <w:tcPr>
            <w:tcW w:w="431" w:type="dxa"/>
            <w:tcBorders>
              <w:top w:val="single" w:sz="6" w:space="0" w:color="auto"/>
              <w:left w:val="single" w:sz="6" w:space="0" w:color="auto"/>
              <w:bottom w:val="single" w:sz="6" w:space="0" w:color="auto"/>
              <w:right w:val="single" w:sz="6" w:space="0" w:color="auto"/>
            </w:tcBorders>
          </w:tcPr>
          <w:p w14:paraId="65265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AD086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CCE3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AC5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AF7C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549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79A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594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0BD9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45D20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A4F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05B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F96A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7916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7FC1C8" w14:textId="77777777" w:rsidTr="00ED5B0A">
        <w:tc>
          <w:tcPr>
            <w:tcW w:w="1242" w:type="dxa"/>
            <w:tcBorders>
              <w:top w:val="single" w:sz="6" w:space="0" w:color="auto"/>
              <w:left w:val="single" w:sz="6" w:space="0" w:color="auto"/>
              <w:bottom w:val="single" w:sz="6" w:space="0" w:color="auto"/>
              <w:right w:val="single" w:sz="6" w:space="0" w:color="auto"/>
            </w:tcBorders>
          </w:tcPr>
          <w:p w14:paraId="6436B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w:t>
            </w:r>
          </w:p>
        </w:tc>
        <w:tc>
          <w:tcPr>
            <w:tcW w:w="431" w:type="dxa"/>
            <w:tcBorders>
              <w:top w:val="single" w:sz="6" w:space="0" w:color="auto"/>
              <w:left w:val="single" w:sz="6" w:space="0" w:color="auto"/>
              <w:bottom w:val="single" w:sz="6" w:space="0" w:color="auto"/>
              <w:right w:val="single" w:sz="6" w:space="0" w:color="auto"/>
            </w:tcBorders>
          </w:tcPr>
          <w:p w14:paraId="21AA5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E2CB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AF9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3FC1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987D6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485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3AFE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504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BF8FC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A0D38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842CC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A4D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249A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5A4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4FEF4F" w14:textId="77777777" w:rsidTr="00ED5B0A">
        <w:tc>
          <w:tcPr>
            <w:tcW w:w="1242" w:type="dxa"/>
            <w:tcBorders>
              <w:top w:val="single" w:sz="6" w:space="0" w:color="auto"/>
              <w:left w:val="single" w:sz="6" w:space="0" w:color="auto"/>
              <w:bottom w:val="single" w:sz="6" w:space="0" w:color="auto"/>
              <w:right w:val="single" w:sz="6" w:space="0" w:color="auto"/>
            </w:tcBorders>
          </w:tcPr>
          <w:p w14:paraId="2139F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нагрузкой</w:t>
            </w:r>
          </w:p>
        </w:tc>
        <w:tc>
          <w:tcPr>
            <w:tcW w:w="431" w:type="dxa"/>
            <w:tcBorders>
              <w:top w:val="single" w:sz="6" w:space="0" w:color="auto"/>
              <w:left w:val="single" w:sz="6" w:space="0" w:color="auto"/>
              <w:bottom w:val="single" w:sz="6" w:space="0" w:color="auto"/>
              <w:right w:val="single" w:sz="6" w:space="0" w:color="auto"/>
            </w:tcBorders>
          </w:tcPr>
          <w:p w14:paraId="480CFC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5450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5A4A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E617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209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72F6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1C073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10C0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0A38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C3688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326E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C6FC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E447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86D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5D5B11" w14:textId="77777777" w:rsidTr="00ED5B0A">
        <w:tc>
          <w:tcPr>
            <w:tcW w:w="1242" w:type="dxa"/>
            <w:tcBorders>
              <w:top w:val="single" w:sz="6" w:space="0" w:color="auto"/>
              <w:left w:val="single" w:sz="6" w:space="0" w:color="auto"/>
              <w:bottom w:val="single" w:sz="6" w:space="0" w:color="auto"/>
              <w:right w:val="single" w:sz="6" w:space="0" w:color="auto"/>
            </w:tcBorders>
          </w:tcPr>
          <w:p w14:paraId="569C7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4М-30Б</w:t>
            </w:r>
          </w:p>
        </w:tc>
        <w:tc>
          <w:tcPr>
            <w:tcW w:w="431" w:type="dxa"/>
            <w:tcBorders>
              <w:top w:val="single" w:sz="6" w:space="0" w:color="auto"/>
              <w:left w:val="single" w:sz="6" w:space="0" w:color="auto"/>
              <w:bottom w:val="single" w:sz="6" w:space="0" w:color="auto"/>
              <w:right w:val="single" w:sz="6" w:space="0" w:color="auto"/>
            </w:tcBorders>
          </w:tcPr>
          <w:p w14:paraId="4AEE13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A7478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43C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2C9D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D92CB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9A9E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B6EB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D83C1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29B61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DE6B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96DE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E469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B77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EC2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263352" w14:textId="77777777" w:rsidTr="00ED5B0A">
        <w:tc>
          <w:tcPr>
            <w:tcW w:w="1242" w:type="dxa"/>
            <w:tcBorders>
              <w:top w:val="single" w:sz="6" w:space="0" w:color="auto"/>
              <w:left w:val="single" w:sz="6" w:space="0" w:color="auto"/>
              <w:bottom w:val="single" w:sz="6" w:space="0" w:color="auto"/>
              <w:right w:val="single" w:sz="6" w:space="0" w:color="auto"/>
            </w:tcBorders>
          </w:tcPr>
          <w:p w14:paraId="637B8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14F9A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96D1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2525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1E32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59336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919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EEC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4311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EF856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80FD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40F9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0F12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44F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BF26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EDEA6F" w14:textId="77777777" w:rsidTr="00ED5B0A">
        <w:tc>
          <w:tcPr>
            <w:tcW w:w="1242" w:type="dxa"/>
            <w:tcBorders>
              <w:top w:val="single" w:sz="6" w:space="0" w:color="auto"/>
              <w:left w:val="single" w:sz="6" w:space="0" w:color="auto"/>
              <w:bottom w:val="single" w:sz="6" w:space="0" w:color="auto"/>
              <w:right w:val="single" w:sz="6" w:space="0" w:color="auto"/>
            </w:tcBorders>
          </w:tcPr>
          <w:p w14:paraId="038BD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незваль</w:t>
            </w:r>
          </w:p>
        </w:tc>
        <w:tc>
          <w:tcPr>
            <w:tcW w:w="431" w:type="dxa"/>
            <w:tcBorders>
              <w:top w:val="single" w:sz="6" w:space="0" w:color="auto"/>
              <w:left w:val="single" w:sz="6" w:space="0" w:color="auto"/>
              <w:bottom w:val="single" w:sz="6" w:space="0" w:color="auto"/>
              <w:right w:val="single" w:sz="6" w:space="0" w:color="auto"/>
            </w:tcBorders>
          </w:tcPr>
          <w:p w14:paraId="279DD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549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500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9FA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2DF7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9095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D524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EA2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30A6B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D8E3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8AC3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899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CFF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AE9D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86DE61" w14:textId="77777777" w:rsidTr="00ED5B0A">
        <w:tc>
          <w:tcPr>
            <w:tcW w:w="1242" w:type="dxa"/>
            <w:tcBorders>
              <w:top w:val="single" w:sz="6" w:space="0" w:color="auto"/>
              <w:left w:val="single" w:sz="6" w:space="0" w:color="auto"/>
              <w:bottom w:val="single" w:sz="6" w:space="0" w:color="auto"/>
              <w:right w:val="single" w:sz="6" w:space="0" w:color="auto"/>
            </w:tcBorders>
          </w:tcPr>
          <w:p w14:paraId="22479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 Опытные штурмовики, переходящие с плана 1942 года на 1943 год</w:t>
            </w:r>
          </w:p>
        </w:tc>
        <w:tc>
          <w:tcPr>
            <w:tcW w:w="431" w:type="dxa"/>
            <w:tcBorders>
              <w:top w:val="single" w:sz="6" w:space="0" w:color="auto"/>
              <w:left w:val="single" w:sz="6" w:space="0" w:color="auto"/>
              <w:bottom w:val="single" w:sz="6" w:space="0" w:color="auto"/>
              <w:right w:val="single" w:sz="6" w:space="0" w:color="auto"/>
            </w:tcBorders>
          </w:tcPr>
          <w:p w14:paraId="2F017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7359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345D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E92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966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A42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7E6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B4ADE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23B81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FD2B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7D2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F7E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2F7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D9D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88BB91" w14:textId="77777777" w:rsidTr="00ED5B0A">
        <w:tc>
          <w:tcPr>
            <w:tcW w:w="1242" w:type="dxa"/>
            <w:tcBorders>
              <w:top w:val="single" w:sz="6" w:space="0" w:color="auto"/>
              <w:left w:val="single" w:sz="6" w:space="0" w:color="auto"/>
              <w:bottom w:val="single" w:sz="6" w:space="0" w:color="auto"/>
              <w:right w:val="single" w:sz="6" w:space="0" w:color="auto"/>
            </w:tcBorders>
          </w:tcPr>
          <w:p w14:paraId="1C0E0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621D2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149A31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w:t>
            </w:r>
          </w:p>
        </w:tc>
        <w:tc>
          <w:tcPr>
            <w:tcW w:w="567" w:type="dxa"/>
            <w:tcBorders>
              <w:top w:val="single" w:sz="6" w:space="0" w:color="auto"/>
              <w:left w:val="single" w:sz="6" w:space="0" w:color="auto"/>
              <w:bottom w:val="single" w:sz="6" w:space="0" w:color="auto"/>
              <w:right w:val="single" w:sz="6" w:space="0" w:color="auto"/>
            </w:tcBorders>
          </w:tcPr>
          <w:p w14:paraId="7A6C44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567" w:type="dxa"/>
            <w:tcBorders>
              <w:top w:val="single" w:sz="6" w:space="0" w:color="auto"/>
              <w:left w:val="single" w:sz="6" w:space="0" w:color="auto"/>
              <w:bottom w:val="single" w:sz="6" w:space="0" w:color="auto"/>
              <w:right w:val="single" w:sz="6" w:space="0" w:color="auto"/>
            </w:tcBorders>
          </w:tcPr>
          <w:p w14:paraId="267F09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72956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783" w:type="dxa"/>
            <w:tcBorders>
              <w:top w:val="single" w:sz="6" w:space="0" w:color="auto"/>
              <w:left w:val="single" w:sz="6" w:space="0" w:color="auto"/>
              <w:bottom w:val="single" w:sz="6" w:space="0" w:color="auto"/>
              <w:right w:val="single" w:sz="6" w:space="0" w:color="auto"/>
            </w:tcBorders>
          </w:tcPr>
          <w:p w14:paraId="697133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8/5000</w:t>
            </w:r>
          </w:p>
        </w:tc>
        <w:tc>
          <w:tcPr>
            <w:tcW w:w="783" w:type="dxa"/>
            <w:tcBorders>
              <w:top w:val="single" w:sz="6" w:space="0" w:color="auto"/>
              <w:left w:val="single" w:sz="6" w:space="0" w:color="auto"/>
              <w:bottom w:val="single" w:sz="6" w:space="0" w:color="auto"/>
              <w:right w:val="single" w:sz="6" w:space="0" w:color="auto"/>
            </w:tcBorders>
          </w:tcPr>
          <w:p w14:paraId="36CF1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w:t>
            </w:r>
          </w:p>
        </w:tc>
        <w:tc>
          <w:tcPr>
            <w:tcW w:w="1123" w:type="dxa"/>
            <w:tcBorders>
              <w:top w:val="single" w:sz="6" w:space="0" w:color="auto"/>
              <w:left w:val="single" w:sz="6" w:space="0" w:color="auto"/>
              <w:bottom w:val="single" w:sz="6" w:space="0" w:color="auto"/>
              <w:right w:val="single" w:sz="6" w:space="0" w:color="auto"/>
            </w:tcBorders>
          </w:tcPr>
          <w:p w14:paraId="410F1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7B401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400/1600</w:t>
            </w:r>
          </w:p>
        </w:tc>
        <w:tc>
          <w:tcPr>
            <w:tcW w:w="410" w:type="dxa"/>
            <w:tcBorders>
              <w:top w:val="single" w:sz="6" w:space="0" w:color="auto"/>
              <w:left w:val="single" w:sz="6" w:space="0" w:color="auto"/>
              <w:bottom w:val="single" w:sz="6" w:space="0" w:color="auto"/>
              <w:right w:val="single" w:sz="6" w:space="0" w:color="auto"/>
            </w:tcBorders>
          </w:tcPr>
          <w:p w14:paraId="64504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68AC6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44F71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564A97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A7A5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7EFEBE" w14:textId="77777777" w:rsidTr="00ED5B0A">
        <w:tc>
          <w:tcPr>
            <w:tcW w:w="1242" w:type="dxa"/>
            <w:tcBorders>
              <w:top w:val="single" w:sz="6" w:space="0" w:color="auto"/>
              <w:left w:val="single" w:sz="6" w:space="0" w:color="auto"/>
              <w:bottom w:val="single" w:sz="6" w:space="0" w:color="auto"/>
              <w:right w:val="single" w:sz="6" w:space="0" w:color="auto"/>
            </w:tcBorders>
          </w:tcPr>
          <w:p w14:paraId="609093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двухместн.</w:t>
            </w:r>
          </w:p>
        </w:tc>
        <w:tc>
          <w:tcPr>
            <w:tcW w:w="431" w:type="dxa"/>
            <w:tcBorders>
              <w:top w:val="single" w:sz="6" w:space="0" w:color="auto"/>
              <w:left w:val="single" w:sz="6" w:space="0" w:color="auto"/>
              <w:bottom w:val="single" w:sz="6" w:space="0" w:color="auto"/>
              <w:right w:val="single" w:sz="6" w:space="0" w:color="auto"/>
            </w:tcBorders>
          </w:tcPr>
          <w:p w14:paraId="257675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765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7409A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567" w:type="dxa"/>
            <w:tcBorders>
              <w:top w:val="single" w:sz="6" w:space="0" w:color="auto"/>
              <w:left w:val="single" w:sz="6" w:space="0" w:color="auto"/>
              <w:bottom w:val="single" w:sz="6" w:space="0" w:color="auto"/>
              <w:right w:val="single" w:sz="6" w:space="0" w:color="auto"/>
            </w:tcBorders>
          </w:tcPr>
          <w:p w14:paraId="318CFB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8851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783" w:type="dxa"/>
            <w:tcBorders>
              <w:top w:val="single" w:sz="6" w:space="0" w:color="auto"/>
              <w:left w:val="single" w:sz="6" w:space="0" w:color="auto"/>
              <w:bottom w:val="single" w:sz="6" w:space="0" w:color="auto"/>
              <w:right w:val="single" w:sz="6" w:space="0" w:color="auto"/>
            </w:tcBorders>
          </w:tcPr>
          <w:p w14:paraId="70A30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6B9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2140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неподв.</w:t>
            </w:r>
          </w:p>
        </w:tc>
        <w:tc>
          <w:tcPr>
            <w:tcW w:w="848" w:type="dxa"/>
            <w:tcBorders>
              <w:top w:val="single" w:sz="6" w:space="0" w:color="auto"/>
              <w:left w:val="single" w:sz="6" w:space="0" w:color="auto"/>
              <w:bottom w:val="single" w:sz="6" w:space="0" w:color="auto"/>
              <w:right w:val="single" w:sz="6" w:space="0" w:color="auto"/>
            </w:tcBorders>
          </w:tcPr>
          <w:p w14:paraId="2654E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1F00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569A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66D7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w:t>
            </w:r>
          </w:p>
        </w:tc>
        <w:tc>
          <w:tcPr>
            <w:tcW w:w="621" w:type="dxa"/>
            <w:tcBorders>
              <w:top w:val="single" w:sz="6" w:space="0" w:color="auto"/>
              <w:left w:val="single" w:sz="6" w:space="0" w:color="auto"/>
              <w:bottom w:val="single" w:sz="6" w:space="0" w:color="auto"/>
              <w:right w:val="single" w:sz="6" w:space="0" w:color="auto"/>
            </w:tcBorders>
          </w:tcPr>
          <w:p w14:paraId="146AA5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630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082F79" w14:textId="77777777" w:rsidTr="00ED5B0A">
        <w:tc>
          <w:tcPr>
            <w:tcW w:w="1242" w:type="dxa"/>
            <w:tcBorders>
              <w:top w:val="single" w:sz="6" w:space="0" w:color="auto"/>
              <w:left w:val="single" w:sz="6" w:space="0" w:color="auto"/>
              <w:bottom w:val="single" w:sz="6" w:space="0" w:color="auto"/>
              <w:right w:val="single" w:sz="6" w:space="0" w:color="auto"/>
            </w:tcBorders>
          </w:tcPr>
          <w:p w14:paraId="36FF78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w:t>
            </w:r>
          </w:p>
        </w:tc>
        <w:tc>
          <w:tcPr>
            <w:tcW w:w="431" w:type="dxa"/>
            <w:tcBorders>
              <w:top w:val="single" w:sz="6" w:space="0" w:color="auto"/>
              <w:left w:val="single" w:sz="6" w:space="0" w:color="auto"/>
              <w:bottom w:val="single" w:sz="6" w:space="0" w:color="auto"/>
              <w:right w:val="single" w:sz="6" w:space="0" w:color="auto"/>
            </w:tcBorders>
          </w:tcPr>
          <w:p w14:paraId="01B000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80EF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5179F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117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C570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0,9</w:t>
            </w:r>
          </w:p>
        </w:tc>
        <w:tc>
          <w:tcPr>
            <w:tcW w:w="783" w:type="dxa"/>
            <w:tcBorders>
              <w:top w:val="single" w:sz="6" w:space="0" w:color="auto"/>
              <w:left w:val="single" w:sz="6" w:space="0" w:color="auto"/>
              <w:bottom w:val="single" w:sz="6" w:space="0" w:color="auto"/>
              <w:right w:val="single" w:sz="6" w:space="0" w:color="auto"/>
            </w:tcBorders>
          </w:tcPr>
          <w:p w14:paraId="61D27E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55E9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EA3F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пушки</w:t>
            </w:r>
          </w:p>
        </w:tc>
        <w:tc>
          <w:tcPr>
            <w:tcW w:w="848" w:type="dxa"/>
            <w:tcBorders>
              <w:top w:val="single" w:sz="6" w:space="0" w:color="auto"/>
              <w:left w:val="single" w:sz="6" w:space="0" w:color="auto"/>
              <w:bottom w:val="single" w:sz="6" w:space="0" w:color="auto"/>
              <w:right w:val="single" w:sz="6" w:space="0" w:color="auto"/>
            </w:tcBorders>
          </w:tcPr>
          <w:p w14:paraId="42A2CB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A5294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D178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FA4B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баки</w:t>
            </w:r>
          </w:p>
        </w:tc>
        <w:tc>
          <w:tcPr>
            <w:tcW w:w="621" w:type="dxa"/>
            <w:tcBorders>
              <w:top w:val="single" w:sz="6" w:space="0" w:color="auto"/>
              <w:left w:val="single" w:sz="6" w:space="0" w:color="auto"/>
              <w:bottom w:val="single" w:sz="6" w:space="0" w:color="auto"/>
              <w:right w:val="single" w:sz="6" w:space="0" w:color="auto"/>
            </w:tcBorders>
          </w:tcPr>
          <w:p w14:paraId="0F1D0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30CB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C27DF6" w14:textId="77777777" w:rsidTr="00ED5B0A">
        <w:tc>
          <w:tcPr>
            <w:tcW w:w="1242" w:type="dxa"/>
            <w:tcBorders>
              <w:top w:val="single" w:sz="6" w:space="0" w:color="auto"/>
              <w:left w:val="single" w:sz="6" w:space="0" w:color="auto"/>
              <w:bottom w:val="single" w:sz="6" w:space="0" w:color="auto"/>
              <w:right w:val="single" w:sz="6" w:space="0" w:color="auto"/>
            </w:tcBorders>
          </w:tcPr>
          <w:p w14:paraId="13121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w:t>
            </w:r>
          </w:p>
        </w:tc>
        <w:tc>
          <w:tcPr>
            <w:tcW w:w="431" w:type="dxa"/>
            <w:tcBorders>
              <w:top w:val="single" w:sz="6" w:space="0" w:color="auto"/>
              <w:left w:val="single" w:sz="6" w:space="0" w:color="auto"/>
              <w:bottom w:val="single" w:sz="6" w:space="0" w:color="auto"/>
              <w:right w:val="single" w:sz="6" w:space="0" w:color="auto"/>
            </w:tcBorders>
          </w:tcPr>
          <w:p w14:paraId="38D3E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3A53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567" w:type="dxa"/>
            <w:tcBorders>
              <w:top w:val="single" w:sz="6" w:space="0" w:color="auto"/>
              <w:left w:val="single" w:sz="6" w:space="0" w:color="auto"/>
              <w:bottom w:val="single" w:sz="6" w:space="0" w:color="auto"/>
              <w:right w:val="single" w:sz="6" w:space="0" w:color="auto"/>
            </w:tcBorders>
          </w:tcPr>
          <w:p w14:paraId="64E34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9DE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A808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783" w:type="dxa"/>
            <w:tcBorders>
              <w:top w:val="single" w:sz="6" w:space="0" w:color="auto"/>
              <w:left w:val="single" w:sz="6" w:space="0" w:color="auto"/>
              <w:bottom w:val="single" w:sz="6" w:space="0" w:color="auto"/>
              <w:right w:val="single" w:sz="6" w:space="0" w:color="auto"/>
            </w:tcBorders>
          </w:tcPr>
          <w:p w14:paraId="7F2F56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07A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FAC9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848" w:type="dxa"/>
            <w:tcBorders>
              <w:top w:val="single" w:sz="6" w:space="0" w:color="auto"/>
              <w:left w:val="single" w:sz="6" w:space="0" w:color="auto"/>
              <w:bottom w:val="single" w:sz="6" w:space="0" w:color="auto"/>
              <w:right w:val="single" w:sz="6" w:space="0" w:color="auto"/>
            </w:tcBorders>
          </w:tcPr>
          <w:p w14:paraId="1BA6D4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A2018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C506D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4951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радиаторы</w:t>
            </w:r>
          </w:p>
        </w:tc>
        <w:tc>
          <w:tcPr>
            <w:tcW w:w="621" w:type="dxa"/>
            <w:tcBorders>
              <w:top w:val="single" w:sz="6" w:space="0" w:color="auto"/>
              <w:left w:val="single" w:sz="6" w:space="0" w:color="auto"/>
              <w:bottom w:val="single" w:sz="6" w:space="0" w:color="auto"/>
              <w:right w:val="single" w:sz="6" w:space="0" w:color="auto"/>
            </w:tcBorders>
          </w:tcPr>
          <w:p w14:paraId="46D5E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0CFF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B25864" w14:textId="77777777" w:rsidTr="00ED5B0A">
        <w:tc>
          <w:tcPr>
            <w:tcW w:w="1242" w:type="dxa"/>
            <w:tcBorders>
              <w:top w:val="single" w:sz="6" w:space="0" w:color="auto"/>
              <w:left w:val="single" w:sz="6" w:space="0" w:color="auto"/>
              <w:bottom w:val="single" w:sz="6" w:space="0" w:color="auto"/>
              <w:right w:val="single" w:sz="6" w:space="0" w:color="auto"/>
            </w:tcBorders>
          </w:tcPr>
          <w:p w14:paraId="08672A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М-71</w:t>
            </w:r>
          </w:p>
        </w:tc>
        <w:tc>
          <w:tcPr>
            <w:tcW w:w="431" w:type="dxa"/>
            <w:tcBorders>
              <w:top w:val="single" w:sz="6" w:space="0" w:color="auto"/>
              <w:left w:val="single" w:sz="6" w:space="0" w:color="auto"/>
              <w:bottom w:val="single" w:sz="6" w:space="0" w:color="auto"/>
              <w:right w:val="single" w:sz="6" w:space="0" w:color="auto"/>
            </w:tcBorders>
          </w:tcPr>
          <w:p w14:paraId="78E670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B741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0AA1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733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A11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00365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249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FCB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 патр.</w:t>
            </w:r>
          </w:p>
        </w:tc>
        <w:tc>
          <w:tcPr>
            <w:tcW w:w="848" w:type="dxa"/>
            <w:tcBorders>
              <w:top w:val="single" w:sz="6" w:space="0" w:color="auto"/>
              <w:left w:val="single" w:sz="6" w:space="0" w:color="auto"/>
              <w:bottom w:val="single" w:sz="6" w:space="0" w:color="auto"/>
              <w:right w:val="single" w:sz="6" w:space="0" w:color="auto"/>
            </w:tcBorders>
          </w:tcPr>
          <w:p w14:paraId="6FA87B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D9CF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5D11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7AA8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9C54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62E3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28EDAD" w14:textId="77777777" w:rsidTr="00ED5B0A">
        <w:tc>
          <w:tcPr>
            <w:tcW w:w="1242" w:type="dxa"/>
            <w:tcBorders>
              <w:top w:val="single" w:sz="6" w:space="0" w:color="auto"/>
              <w:left w:val="single" w:sz="6" w:space="0" w:color="auto"/>
              <w:bottom w:val="single" w:sz="6" w:space="0" w:color="auto"/>
              <w:right w:val="single" w:sz="6" w:space="0" w:color="auto"/>
            </w:tcBorders>
          </w:tcPr>
          <w:p w14:paraId="66F5D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06308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531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9A4F4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40A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D6C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E07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926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EF32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пул.</w:t>
            </w:r>
          </w:p>
        </w:tc>
        <w:tc>
          <w:tcPr>
            <w:tcW w:w="848" w:type="dxa"/>
            <w:tcBorders>
              <w:top w:val="single" w:sz="6" w:space="0" w:color="auto"/>
              <w:left w:val="single" w:sz="6" w:space="0" w:color="auto"/>
              <w:bottom w:val="single" w:sz="6" w:space="0" w:color="auto"/>
              <w:right w:val="single" w:sz="6" w:space="0" w:color="auto"/>
            </w:tcBorders>
          </w:tcPr>
          <w:p w14:paraId="136C9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8EB2D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32E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92D2A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B14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BB51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E4E906" w14:textId="77777777" w:rsidTr="00ED5B0A">
        <w:tc>
          <w:tcPr>
            <w:tcW w:w="1242" w:type="dxa"/>
            <w:tcBorders>
              <w:top w:val="single" w:sz="6" w:space="0" w:color="auto"/>
              <w:left w:val="single" w:sz="6" w:space="0" w:color="auto"/>
              <w:bottom w:val="single" w:sz="6" w:space="0" w:color="auto"/>
              <w:right w:val="single" w:sz="6" w:space="0" w:color="auto"/>
            </w:tcBorders>
          </w:tcPr>
          <w:p w14:paraId="6632C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w:t>
            </w:r>
          </w:p>
        </w:tc>
        <w:tc>
          <w:tcPr>
            <w:tcW w:w="431" w:type="dxa"/>
            <w:tcBorders>
              <w:top w:val="single" w:sz="6" w:space="0" w:color="auto"/>
              <w:left w:val="single" w:sz="6" w:space="0" w:color="auto"/>
              <w:bottom w:val="single" w:sz="6" w:space="0" w:color="auto"/>
              <w:right w:val="single" w:sz="6" w:space="0" w:color="auto"/>
            </w:tcBorders>
          </w:tcPr>
          <w:p w14:paraId="4640F1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471B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1BDD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02D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01288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0FF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9B8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CC390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65968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B014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A8DC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BED4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E16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111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43D58F" w14:textId="77777777" w:rsidTr="00ED5B0A">
        <w:tc>
          <w:tcPr>
            <w:tcW w:w="1242" w:type="dxa"/>
            <w:tcBorders>
              <w:top w:val="single" w:sz="6" w:space="0" w:color="auto"/>
              <w:left w:val="single" w:sz="6" w:space="0" w:color="auto"/>
              <w:bottom w:val="single" w:sz="6" w:space="0" w:color="auto"/>
              <w:right w:val="single" w:sz="6" w:space="0" w:color="auto"/>
            </w:tcBorders>
          </w:tcPr>
          <w:p w14:paraId="73CC3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BF73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037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906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FBB8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E536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74F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6C05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F145D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 патр.</w:t>
            </w:r>
          </w:p>
        </w:tc>
        <w:tc>
          <w:tcPr>
            <w:tcW w:w="848" w:type="dxa"/>
            <w:tcBorders>
              <w:top w:val="single" w:sz="6" w:space="0" w:color="auto"/>
              <w:left w:val="single" w:sz="6" w:space="0" w:color="auto"/>
              <w:bottom w:val="single" w:sz="6" w:space="0" w:color="auto"/>
              <w:right w:val="single" w:sz="6" w:space="0" w:color="auto"/>
            </w:tcBorders>
          </w:tcPr>
          <w:p w14:paraId="1B597A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2C70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BB8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7D9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0EE0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F24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5AF8D4" w14:textId="77777777" w:rsidTr="00ED5B0A">
        <w:tc>
          <w:tcPr>
            <w:tcW w:w="1242" w:type="dxa"/>
            <w:tcBorders>
              <w:top w:val="single" w:sz="6" w:space="0" w:color="auto"/>
              <w:left w:val="single" w:sz="6" w:space="0" w:color="auto"/>
              <w:bottom w:val="single" w:sz="6" w:space="0" w:color="auto"/>
              <w:right w:val="single" w:sz="6" w:space="0" w:color="auto"/>
            </w:tcBorders>
          </w:tcPr>
          <w:p w14:paraId="6064BE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3EDB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1F42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EF33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DF5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A45A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3F50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0A3F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39AC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РС 132</w:t>
            </w:r>
          </w:p>
        </w:tc>
        <w:tc>
          <w:tcPr>
            <w:tcW w:w="848" w:type="dxa"/>
            <w:tcBorders>
              <w:top w:val="single" w:sz="6" w:space="0" w:color="auto"/>
              <w:left w:val="single" w:sz="6" w:space="0" w:color="auto"/>
              <w:bottom w:val="single" w:sz="6" w:space="0" w:color="auto"/>
              <w:right w:val="single" w:sz="6" w:space="0" w:color="auto"/>
            </w:tcBorders>
          </w:tcPr>
          <w:p w14:paraId="74AE10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CBE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E0CD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558B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D53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A0F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C4D3D0" w14:textId="77777777" w:rsidTr="00ED5B0A">
        <w:tc>
          <w:tcPr>
            <w:tcW w:w="1242" w:type="dxa"/>
            <w:tcBorders>
              <w:top w:val="single" w:sz="6" w:space="0" w:color="auto"/>
              <w:left w:val="single" w:sz="6" w:space="0" w:color="auto"/>
              <w:bottom w:val="single" w:sz="6" w:space="0" w:color="auto"/>
              <w:right w:val="single" w:sz="6" w:space="0" w:color="auto"/>
            </w:tcBorders>
          </w:tcPr>
          <w:p w14:paraId="5908BE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F7294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BEED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9F4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D54F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34F6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8E2A2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8547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24B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w:t>
            </w:r>
          </w:p>
        </w:tc>
        <w:tc>
          <w:tcPr>
            <w:tcW w:w="848" w:type="dxa"/>
            <w:tcBorders>
              <w:top w:val="single" w:sz="6" w:space="0" w:color="auto"/>
              <w:left w:val="single" w:sz="6" w:space="0" w:color="auto"/>
              <w:bottom w:val="single" w:sz="6" w:space="0" w:color="auto"/>
              <w:right w:val="single" w:sz="6" w:space="0" w:color="auto"/>
            </w:tcBorders>
          </w:tcPr>
          <w:p w14:paraId="30559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B5E1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2A01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193B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C89F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933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BC8293" w14:textId="77777777" w:rsidTr="00ED5B0A">
        <w:tc>
          <w:tcPr>
            <w:tcW w:w="1242" w:type="dxa"/>
            <w:tcBorders>
              <w:top w:val="single" w:sz="6" w:space="0" w:color="auto"/>
              <w:left w:val="single" w:sz="6" w:space="0" w:color="auto"/>
              <w:bottom w:val="single" w:sz="6" w:space="0" w:color="auto"/>
              <w:right w:val="single" w:sz="6" w:space="0" w:color="auto"/>
            </w:tcBorders>
          </w:tcPr>
          <w:p w14:paraId="13FE9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A2ED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1822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44ED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686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713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047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CC13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9FFC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13AC81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BE4E5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39E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BD6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6964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480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6EE33E" w14:textId="77777777" w:rsidTr="00ED5B0A">
        <w:tc>
          <w:tcPr>
            <w:tcW w:w="1242" w:type="dxa"/>
            <w:tcBorders>
              <w:top w:val="single" w:sz="6" w:space="0" w:color="auto"/>
              <w:left w:val="single" w:sz="6" w:space="0" w:color="auto"/>
              <w:bottom w:val="single" w:sz="6" w:space="0" w:color="auto"/>
              <w:right w:val="single" w:sz="6" w:space="0" w:color="auto"/>
            </w:tcBorders>
          </w:tcPr>
          <w:p w14:paraId="2FEA1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2D36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44F2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C96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C92E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C0D64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8C30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D5A1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7A9F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E007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402E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E236F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08A8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815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2DE9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D1C6DE" w14:textId="77777777" w:rsidTr="00ED5B0A">
        <w:tc>
          <w:tcPr>
            <w:tcW w:w="1242" w:type="dxa"/>
            <w:tcBorders>
              <w:top w:val="single" w:sz="6" w:space="0" w:color="auto"/>
              <w:left w:val="single" w:sz="6" w:space="0" w:color="auto"/>
              <w:bottom w:val="single" w:sz="6" w:space="0" w:color="auto"/>
              <w:right w:val="single" w:sz="6" w:space="0" w:color="auto"/>
            </w:tcBorders>
          </w:tcPr>
          <w:p w14:paraId="0D109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110F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2084C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71BA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1FA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3E4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6D8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250E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5DA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5835D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BCD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F4E65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9B7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D6B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8EC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52EAC2" w14:textId="77777777" w:rsidTr="00ED5B0A">
        <w:tc>
          <w:tcPr>
            <w:tcW w:w="1242" w:type="dxa"/>
            <w:tcBorders>
              <w:top w:val="single" w:sz="6" w:space="0" w:color="auto"/>
              <w:left w:val="single" w:sz="6" w:space="0" w:color="auto"/>
              <w:bottom w:val="single" w:sz="6" w:space="0" w:color="auto"/>
              <w:right w:val="single" w:sz="6" w:space="0" w:color="auto"/>
            </w:tcBorders>
          </w:tcPr>
          <w:p w14:paraId="60C71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0AF7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A0D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E62C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4A01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91B6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C3E8E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F09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6628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люковый</w:t>
            </w:r>
          </w:p>
        </w:tc>
        <w:tc>
          <w:tcPr>
            <w:tcW w:w="848" w:type="dxa"/>
            <w:tcBorders>
              <w:top w:val="single" w:sz="6" w:space="0" w:color="auto"/>
              <w:left w:val="single" w:sz="6" w:space="0" w:color="auto"/>
              <w:bottom w:val="single" w:sz="6" w:space="0" w:color="auto"/>
              <w:right w:val="single" w:sz="6" w:space="0" w:color="auto"/>
            </w:tcBorders>
          </w:tcPr>
          <w:p w14:paraId="7CB88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B55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C02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E454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8F72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16C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B0BDB6" w14:textId="77777777" w:rsidTr="00ED5B0A">
        <w:tc>
          <w:tcPr>
            <w:tcW w:w="1242" w:type="dxa"/>
            <w:tcBorders>
              <w:top w:val="single" w:sz="6" w:space="0" w:color="auto"/>
              <w:left w:val="single" w:sz="6" w:space="0" w:color="auto"/>
              <w:bottom w:val="single" w:sz="6" w:space="0" w:color="auto"/>
              <w:right w:val="single" w:sz="6" w:space="0" w:color="auto"/>
            </w:tcBorders>
          </w:tcPr>
          <w:p w14:paraId="3B04F1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7C44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8EB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D38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A6A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90E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FDE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62D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829F9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4D53E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7CBF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B70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6D1E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648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2C4D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AD9B91" w14:textId="77777777" w:rsidTr="00ED5B0A">
        <w:tc>
          <w:tcPr>
            <w:tcW w:w="1242" w:type="dxa"/>
            <w:tcBorders>
              <w:top w:val="single" w:sz="6" w:space="0" w:color="auto"/>
              <w:left w:val="single" w:sz="6" w:space="0" w:color="auto"/>
              <w:bottom w:val="single" w:sz="6" w:space="0" w:color="auto"/>
              <w:right w:val="single" w:sz="6" w:space="0" w:color="auto"/>
            </w:tcBorders>
          </w:tcPr>
          <w:p w14:paraId="1F6AB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B08DA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DB63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9C0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EC5E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E53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8D8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6529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8E8DB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7844C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0ED4F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AFF5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009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EB9B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B401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7D7763" w14:textId="77777777" w:rsidTr="00ED5B0A">
        <w:tc>
          <w:tcPr>
            <w:tcW w:w="1242" w:type="dxa"/>
            <w:tcBorders>
              <w:top w:val="single" w:sz="6" w:space="0" w:color="auto"/>
              <w:left w:val="single" w:sz="6" w:space="0" w:color="auto"/>
              <w:bottom w:val="single" w:sz="6" w:space="0" w:color="auto"/>
              <w:right w:val="single" w:sz="6" w:space="0" w:color="auto"/>
            </w:tcBorders>
          </w:tcPr>
          <w:p w14:paraId="3535D1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CA5D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0354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BD0B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6F0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2E7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A99A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93F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F28B7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патр.</w:t>
            </w:r>
          </w:p>
        </w:tc>
        <w:tc>
          <w:tcPr>
            <w:tcW w:w="848" w:type="dxa"/>
            <w:tcBorders>
              <w:top w:val="single" w:sz="6" w:space="0" w:color="auto"/>
              <w:left w:val="single" w:sz="6" w:space="0" w:color="auto"/>
              <w:bottom w:val="single" w:sz="6" w:space="0" w:color="auto"/>
              <w:right w:val="single" w:sz="6" w:space="0" w:color="auto"/>
            </w:tcBorders>
          </w:tcPr>
          <w:p w14:paraId="28226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909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4117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4017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D49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2CCA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84208B" w14:textId="77777777" w:rsidTr="00ED5B0A">
        <w:tc>
          <w:tcPr>
            <w:tcW w:w="1242" w:type="dxa"/>
            <w:tcBorders>
              <w:top w:val="single" w:sz="6" w:space="0" w:color="auto"/>
              <w:left w:val="single" w:sz="6" w:space="0" w:color="auto"/>
              <w:bottom w:val="single" w:sz="6" w:space="0" w:color="auto"/>
              <w:right w:val="single" w:sz="6" w:space="0" w:color="auto"/>
            </w:tcBorders>
          </w:tcPr>
          <w:p w14:paraId="0559F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же</w:t>
            </w:r>
          </w:p>
        </w:tc>
        <w:tc>
          <w:tcPr>
            <w:tcW w:w="431" w:type="dxa"/>
            <w:tcBorders>
              <w:top w:val="single" w:sz="6" w:space="0" w:color="auto"/>
              <w:left w:val="single" w:sz="6" w:space="0" w:color="auto"/>
              <w:bottom w:val="single" w:sz="6" w:space="0" w:color="auto"/>
              <w:right w:val="single" w:sz="6" w:space="0" w:color="auto"/>
            </w:tcBorders>
          </w:tcPr>
          <w:p w14:paraId="67C519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0F6311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w:t>
            </w:r>
          </w:p>
        </w:tc>
        <w:tc>
          <w:tcPr>
            <w:tcW w:w="567" w:type="dxa"/>
            <w:tcBorders>
              <w:top w:val="single" w:sz="6" w:space="0" w:color="auto"/>
              <w:left w:val="single" w:sz="6" w:space="0" w:color="auto"/>
              <w:bottom w:val="single" w:sz="6" w:space="0" w:color="auto"/>
              <w:right w:val="single" w:sz="6" w:space="0" w:color="auto"/>
            </w:tcBorders>
          </w:tcPr>
          <w:p w14:paraId="66972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w:t>
            </w:r>
          </w:p>
        </w:tc>
        <w:tc>
          <w:tcPr>
            <w:tcW w:w="567" w:type="dxa"/>
            <w:tcBorders>
              <w:top w:val="single" w:sz="6" w:space="0" w:color="auto"/>
              <w:left w:val="single" w:sz="6" w:space="0" w:color="auto"/>
              <w:bottom w:val="single" w:sz="6" w:space="0" w:color="auto"/>
              <w:right w:val="single" w:sz="6" w:space="0" w:color="auto"/>
            </w:tcBorders>
          </w:tcPr>
          <w:p w14:paraId="501AC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709" w:type="dxa"/>
            <w:tcBorders>
              <w:top w:val="single" w:sz="6" w:space="0" w:color="auto"/>
              <w:left w:val="single" w:sz="6" w:space="0" w:color="auto"/>
              <w:bottom w:val="single" w:sz="6" w:space="0" w:color="auto"/>
              <w:right w:val="single" w:sz="6" w:space="0" w:color="auto"/>
            </w:tcBorders>
          </w:tcPr>
          <w:p w14:paraId="2E58D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783" w:type="dxa"/>
            <w:tcBorders>
              <w:top w:val="single" w:sz="6" w:space="0" w:color="auto"/>
              <w:left w:val="single" w:sz="6" w:space="0" w:color="auto"/>
              <w:bottom w:val="single" w:sz="6" w:space="0" w:color="auto"/>
              <w:right w:val="single" w:sz="6" w:space="0" w:color="auto"/>
            </w:tcBorders>
          </w:tcPr>
          <w:p w14:paraId="214B7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10/8000</w:t>
            </w:r>
          </w:p>
        </w:tc>
        <w:tc>
          <w:tcPr>
            <w:tcW w:w="783" w:type="dxa"/>
            <w:tcBorders>
              <w:top w:val="single" w:sz="6" w:space="0" w:color="auto"/>
              <w:left w:val="single" w:sz="6" w:space="0" w:color="auto"/>
              <w:bottom w:val="single" w:sz="6" w:space="0" w:color="auto"/>
              <w:right w:val="single" w:sz="6" w:space="0" w:color="auto"/>
            </w:tcBorders>
          </w:tcPr>
          <w:p w14:paraId="66C667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1123" w:type="dxa"/>
            <w:tcBorders>
              <w:top w:val="single" w:sz="6" w:space="0" w:color="auto"/>
              <w:left w:val="single" w:sz="6" w:space="0" w:color="auto"/>
              <w:bottom w:val="single" w:sz="6" w:space="0" w:color="auto"/>
              <w:right w:val="single" w:sz="6" w:space="0" w:color="auto"/>
            </w:tcBorders>
          </w:tcPr>
          <w:p w14:paraId="64733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Неподв..</w:t>
            </w:r>
          </w:p>
        </w:tc>
        <w:tc>
          <w:tcPr>
            <w:tcW w:w="848" w:type="dxa"/>
            <w:tcBorders>
              <w:top w:val="single" w:sz="6" w:space="0" w:color="auto"/>
              <w:left w:val="single" w:sz="6" w:space="0" w:color="auto"/>
              <w:bottom w:val="single" w:sz="6" w:space="0" w:color="auto"/>
              <w:right w:val="single" w:sz="6" w:space="0" w:color="auto"/>
            </w:tcBorders>
          </w:tcPr>
          <w:p w14:paraId="3212D8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c>
          <w:tcPr>
            <w:tcW w:w="410" w:type="dxa"/>
            <w:tcBorders>
              <w:top w:val="single" w:sz="6" w:space="0" w:color="auto"/>
              <w:left w:val="single" w:sz="6" w:space="0" w:color="auto"/>
              <w:bottom w:val="single" w:sz="6" w:space="0" w:color="auto"/>
              <w:right w:val="single" w:sz="6" w:space="0" w:color="auto"/>
            </w:tcBorders>
          </w:tcPr>
          <w:p w14:paraId="180648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44196F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1ED00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15.XII43</w:t>
            </w:r>
          </w:p>
        </w:tc>
        <w:tc>
          <w:tcPr>
            <w:tcW w:w="621" w:type="dxa"/>
            <w:tcBorders>
              <w:top w:val="single" w:sz="6" w:space="0" w:color="auto"/>
              <w:left w:val="single" w:sz="6" w:space="0" w:color="auto"/>
              <w:bottom w:val="single" w:sz="6" w:space="0" w:color="auto"/>
              <w:right w:val="single" w:sz="6" w:space="0" w:color="auto"/>
            </w:tcBorders>
          </w:tcPr>
          <w:p w14:paraId="2D529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20D4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DBEB6E" w14:textId="77777777" w:rsidTr="00ED5B0A">
        <w:tc>
          <w:tcPr>
            <w:tcW w:w="1242" w:type="dxa"/>
            <w:tcBorders>
              <w:top w:val="single" w:sz="6" w:space="0" w:color="auto"/>
              <w:left w:val="single" w:sz="6" w:space="0" w:color="auto"/>
              <w:bottom w:val="single" w:sz="6" w:space="0" w:color="auto"/>
              <w:right w:val="single" w:sz="6" w:space="0" w:color="auto"/>
            </w:tcBorders>
          </w:tcPr>
          <w:p w14:paraId="09E12E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w:t>
            </w:r>
          </w:p>
        </w:tc>
        <w:tc>
          <w:tcPr>
            <w:tcW w:w="431" w:type="dxa"/>
            <w:tcBorders>
              <w:top w:val="single" w:sz="6" w:space="0" w:color="auto"/>
              <w:left w:val="single" w:sz="6" w:space="0" w:color="auto"/>
              <w:bottom w:val="single" w:sz="6" w:space="0" w:color="auto"/>
              <w:right w:val="single" w:sz="6" w:space="0" w:color="auto"/>
            </w:tcBorders>
          </w:tcPr>
          <w:p w14:paraId="1EB8C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0183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12D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48A1CA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1F4C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783" w:type="dxa"/>
            <w:tcBorders>
              <w:top w:val="single" w:sz="6" w:space="0" w:color="auto"/>
              <w:left w:val="single" w:sz="6" w:space="0" w:color="auto"/>
              <w:bottom w:val="single" w:sz="6" w:space="0" w:color="auto"/>
              <w:right w:val="single" w:sz="6" w:space="0" w:color="auto"/>
            </w:tcBorders>
          </w:tcPr>
          <w:p w14:paraId="26764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3630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6B7E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1BCF4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410" w:type="dxa"/>
            <w:tcBorders>
              <w:top w:val="single" w:sz="6" w:space="0" w:color="auto"/>
              <w:left w:val="single" w:sz="6" w:space="0" w:color="auto"/>
              <w:bottom w:val="single" w:sz="6" w:space="0" w:color="auto"/>
              <w:right w:val="single" w:sz="6" w:space="0" w:color="auto"/>
            </w:tcBorders>
          </w:tcPr>
          <w:p w14:paraId="79103B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D76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922" w:type="dxa"/>
            <w:tcBorders>
              <w:top w:val="single" w:sz="6" w:space="0" w:color="auto"/>
              <w:left w:val="single" w:sz="6" w:space="0" w:color="auto"/>
              <w:bottom w:val="single" w:sz="6" w:space="0" w:color="auto"/>
              <w:right w:val="single" w:sz="6" w:space="0" w:color="auto"/>
            </w:tcBorders>
          </w:tcPr>
          <w:p w14:paraId="27E09D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F780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1AE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054B8D" w14:textId="77777777" w:rsidTr="00ED5B0A">
        <w:tc>
          <w:tcPr>
            <w:tcW w:w="1242" w:type="dxa"/>
            <w:tcBorders>
              <w:top w:val="single" w:sz="6" w:space="0" w:color="auto"/>
              <w:left w:val="single" w:sz="6" w:space="0" w:color="auto"/>
              <w:bottom w:val="single" w:sz="6" w:space="0" w:color="auto"/>
              <w:right w:val="single" w:sz="6" w:space="0" w:color="auto"/>
            </w:tcBorders>
          </w:tcPr>
          <w:p w14:paraId="51E3A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26401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4C3CE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C50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1399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DF143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A86D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7808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28D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E52A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519F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052A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w:t>
            </w:r>
          </w:p>
        </w:tc>
        <w:tc>
          <w:tcPr>
            <w:tcW w:w="922" w:type="dxa"/>
            <w:tcBorders>
              <w:top w:val="single" w:sz="6" w:space="0" w:color="auto"/>
              <w:left w:val="single" w:sz="6" w:space="0" w:color="auto"/>
              <w:bottom w:val="single" w:sz="6" w:space="0" w:color="auto"/>
              <w:right w:val="single" w:sz="6" w:space="0" w:color="auto"/>
            </w:tcBorders>
          </w:tcPr>
          <w:p w14:paraId="7EB3F9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735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F79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22387B" w14:textId="77777777" w:rsidTr="00ED5B0A">
        <w:tc>
          <w:tcPr>
            <w:tcW w:w="1242" w:type="dxa"/>
            <w:tcBorders>
              <w:top w:val="single" w:sz="6" w:space="0" w:color="auto"/>
              <w:left w:val="single" w:sz="6" w:space="0" w:color="auto"/>
              <w:bottom w:val="single" w:sz="6" w:space="0" w:color="auto"/>
              <w:right w:val="single" w:sz="6" w:space="0" w:color="auto"/>
            </w:tcBorders>
          </w:tcPr>
          <w:p w14:paraId="7C300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w:t>
            </w:r>
          </w:p>
        </w:tc>
        <w:tc>
          <w:tcPr>
            <w:tcW w:w="431" w:type="dxa"/>
            <w:tcBorders>
              <w:top w:val="single" w:sz="6" w:space="0" w:color="auto"/>
              <w:left w:val="single" w:sz="6" w:space="0" w:color="auto"/>
              <w:bottom w:val="single" w:sz="6" w:space="0" w:color="auto"/>
              <w:right w:val="single" w:sz="6" w:space="0" w:color="auto"/>
            </w:tcBorders>
          </w:tcPr>
          <w:p w14:paraId="59BB9F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DDD4C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C09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06E5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E08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577D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3A4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6E8F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297A04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8F97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5CD6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варианта</w:t>
            </w:r>
          </w:p>
        </w:tc>
        <w:tc>
          <w:tcPr>
            <w:tcW w:w="922" w:type="dxa"/>
            <w:tcBorders>
              <w:top w:val="single" w:sz="6" w:space="0" w:color="auto"/>
              <w:left w:val="single" w:sz="6" w:space="0" w:color="auto"/>
              <w:bottom w:val="single" w:sz="6" w:space="0" w:color="auto"/>
              <w:right w:val="single" w:sz="6" w:space="0" w:color="auto"/>
            </w:tcBorders>
          </w:tcPr>
          <w:p w14:paraId="528E8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6EBF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B274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75543A" w14:textId="77777777" w:rsidTr="00ED5B0A">
        <w:tc>
          <w:tcPr>
            <w:tcW w:w="1242" w:type="dxa"/>
            <w:tcBorders>
              <w:top w:val="single" w:sz="6" w:space="0" w:color="auto"/>
              <w:left w:val="single" w:sz="6" w:space="0" w:color="auto"/>
              <w:bottom w:val="single" w:sz="6" w:space="0" w:color="auto"/>
              <w:right w:val="single" w:sz="6" w:space="0" w:color="auto"/>
            </w:tcBorders>
          </w:tcPr>
          <w:p w14:paraId="5BDD8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высотн.</w:t>
            </w:r>
          </w:p>
        </w:tc>
        <w:tc>
          <w:tcPr>
            <w:tcW w:w="431" w:type="dxa"/>
            <w:tcBorders>
              <w:top w:val="single" w:sz="6" w:space="0" w:color="auto"/>
              <w:left w:val="single" w:sz="6" w:space="0" w:color="auto"/>
              <w:bottom w:val="single" w:sz="6" w:space="0" w:color="auto"/>
              <w:right w:val="single" w:sz="6" w:space="0" w:color="auto"/>
            </w:tcBorders>
          </w:tcPr>
          <w:p w14:paraId="5C4235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31C4C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FA8C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64AE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7FCB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AE5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1F1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6E97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турельный</w:t>
            </w:r>
          </w:p>
        </w:tc>
        <w:tc>
          <w:tcPr>
            <w:tcW w:w="848" w:type="dxa"/>
            <w:tcBorders>
              <w:top w:val="single" w:sz="6" w:space="0" w:color="auto"/>
              <w:left w:val="single" w:sz="6" w:space="0" w:color="auto"/>
              <w:bottom w:val="single" w:sz="6" w:space="0" w:color="auto"/>
              <w:right w:val="single" w:sz="6" w:space="0" w:color="auto"/>
            </w:tcBorders>
          </w:tcPr>
          <w:p w14:paraId="34F15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9A96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w:t>
            </w:r>
          </w:p>
        </w:tc>
        <w:tc>
          <w:tcPr>
            <w:tcW w:w="943" w:type="dxa"/>
            <w:tcBorders>
              <w:top w:val="single" w:sz="6" w:space="0" w:color="auto"/>
              <w:left w:val="single" w:sz="6" w:space="0" w:color="auto"/>
              <w:bottom w:val="single" w:sz="6" w:space="0" w:color="auto"/>
              <w:right w:val="single" w:sz="6" w:space="0" w:color="auto"/>
            </w:tcBorders>
          </w:tcPr>
          <w:p w14:paraId="620FB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F77D3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2F92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EE7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4DF178" w14:textId="77777777" w:rsidTr="00ED5B0A">
        <w:tc>
          <w:tcPr>
            <w:tcW w:w="1242" w:type="dxa"/>
            <w:tcBorders>
              <w:top w:val="single" w:sz="6" w:space="0" w:color="auto"/>
              <w:left w:val="single" w:sz="6" w:space="0" w:color="auto"/>
              <w:bottom w:val="single" w:sz="6" w:space="0" w:color="auto"/>
              <w:right w:val="single" w:sz="6" w:space="0" w:color="auto"/>
            </w:tcBorders>
          </w:tcPr>
          <w:p w14:paraId="222CE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Разведчика</w:t>
            </w:r>
          </w:p>
        </w:tc>
        <w:tc>
          <w:tcPr>
            <w:tcW w:w="431" w:type="dxa"/>
            <w:tcBorders>
              <w:top w:val="single" w:sz="6" w:space="0" w:color="auto"/>
              <w:left w:val="single" w:sz="6" w:space="0" w:color="auto"/>
              <w:bottom w:val="single" w:sz="6" w:space="0" w:color="auto"/>
              <w:right w:val="single" w:sz="6" w:space="0" w:color="auto"/>
            </w:tcBorders>
          </w:tcPr>
          <w:p w14:paraId="30D0A9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00ED3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DD27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3450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005B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9DC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778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349A5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B664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916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E04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33FD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7ED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E37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E7F630" w14:textId="77777777" w:rsidTr="00ED5B0A">
        <w:tc>
          <w:tcPr>
            <w:tcW w:w="1242" w:type="dxa"/>
            <w:tcBorders>
              <w:top w:val="single" w:sz="6" w:space="0" w:color="auto"/>
              <w:left w:val="single" w:sz="6" w:space="0" w:color="auto"/>
              <w:bottom w:val="single" w:sz="6" w:space="0" w:color="auto"/>
              <w:right w:val="single" w:sz="6" w:space="0" w:color="auto"/>
            </w:tcBorders>
          </w:tcPr>
          <w:p w14:paraId="47354C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2C0F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F5E2D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F7C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2CF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12C3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DD07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7754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3DEBB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2DA50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C4E1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A2A1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C6A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E30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D6BB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E2C3ED" w14:textId="77777777" w:rsidTr="00ED5B0A">
        <w:tc>
          <w:tcPr>
            <w:tcW w:w="1242" w:type="dxa"/>
            <w:tcBorders>
              <w:top w:val="single" w:sz="6" w:space="0" w:color="auto"/>
              <w:left w:val="single" w:sz="6" w:space="0" w:color="auto"/>
              <w:bottom w:val="single" w:sz="6" w:space="0" w:color="auto"/>
              <w:right w:val="single" w:sz="6" w:space="0" w:color="auto"/>
            </w:tcBorders>
          </w:tcPr>
          <w:p w14:paraId="5BDC50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E1684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0EAC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119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2F9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8C25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594D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40B84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8DF3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07A68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BD85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6C8D2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1342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F5E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44EA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0853E5" w14:textId="77777777" w:rsidTr="00ED5B0A">
        <w:tc>
          <w:tcPr>
            <w:tcW w:w="1242" w:type="dxa"/>
            <w:tcBorders>
              <w:top w:val="single" w:sz="6" w:space="0" w:color="auto"/>
              <w:left w:val="single" w:sz="6" w:space="0" w:color="auto"/>
              <w:bottom w:val="single" w:sz="6" w:space="0" w:color="auto"/>
              <w:right w:val="single" w:sz="6" w:space="0" w:color="auto"/>
            </w:tcBorders>
          </w:tcPr>
          <w:p w14:paraId="38830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637B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2502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2F71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C22E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2C209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9023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FFA2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1400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люковый</w:t>
            </w:r>
          </w:p>
        </w:tc>
        <w:tc>
          <w:tcPr>
            <w:tcW w:w="848" w:type="dxa"/>
            <w:tcBorders>
              <w:top w:val="single" w:sz="6" w:space="0" w:color="auto"/>
              <w:left w:val="single" w:sz="6" w:space="0" w:color="auto"/>
              <w:bottom w:val="single" w:sz="6" w:space="0" w:color="auto"/>
              <w:right w:val="single" w:sz="6" w:space="0" w:color="auto"/>
            </w:tcBorders>
          </w:tcPr>
          <w:p w14:paraId="675CB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C1B1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434A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E7B4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A2E0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361DA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E37A92" w14:textId="77777777" w:rsidTr="00ED5B0A">
        <w:tc>
          <w:tcPr>
            <w:tcW w:w="1242" w:type="dxa"/>
            <w:tcBorders>
              <w:top w:val="single" w:sz="6" w:space="0" w:color="auto"/>
              <w:left w:val="single" w:sz="6" w:space="0" w:color="auto"/>
              <w:bottom w:val="single" w:sz="6" w:space="0" w:color="auto"/>
              <w:right w:val="single" w:sz="6" w:space="0" w:color="auto"/>
            </w:tcBorders>
          </w:tcPr>
          <w:p w14:paraId="368721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910A2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E462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23D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2DDA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C24C9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4B7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0EC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EF11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288F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C50EE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7EAE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DF7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189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4108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8C7693" w14:textId="77777777" w:rsidTr="00ED5B0A">
        <w:tc>
          <w:tcPr>
            <w:tcW w:w="1242" w:type="dxa"/>
            <w:tcBorders>
              <w:top w:val="single" w:sz="6" w:space="0" w:color="auto"/>
              <w:left w:val="single" w:sz="6" w:space="0" w:color="auto"/>
              <w:bottom w:val="single" w:sz="6" w:space="0" w:color="auto"/>
              <w:right w:val="single" w:sz="6" w:space="0" w:color="auto"/>
            </w:tcBorders>
          </w:tcPr>
          <w:p w14:paraId="30E1E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6469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DF8B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842D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C74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0D4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90D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BF8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4FE6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0E5BC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9FA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F13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C2AB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29D4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D61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9BF3A8" w14:textId="77777777" w:rsidTr="00ED5B0A">
        <w:tc>
          <w:tcPr>
            <w:tcW w:w="1242" w:type="dxa"/>
            <w:tcBorders>
              <w:top w:val="single" w:sz="6" w:space="0" w:color="auto"/>
              <w:left w:val="single" w:sz="6" w:space="0" w:color="auto"/>
              <w:bottom w:val="single" w:sz="6" w:space="0" w:color="auto"/>
              <w:right w:val="single" w:sz="6" w:space="0" w:color="auto"/>
            </w:tcBorders>
          </w:tcPr>
          <w:p w14:paraId="78AD9C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75E7A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9F6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5BA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9AB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3EC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F04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EAED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393A3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02008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896D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D5E3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F6F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C39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213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380F6D" w14:textId="77777777" w:rsidTr="00ED5B0A">
        <w:tc>
          <w:tcPr>
            <w:tcW w:w="1242" w:type="dxa"/>
            <w:tcBorders>
              <w:top w:val="single" w:sz="6" w:space="0" w:color="auto"/>
              <w:left w:val="single" w:sz="6" w:space="0" w:color="auto"/>
              <w:bottom w:val="single" w:sz="6" w:space="0" w:color="auto"/>
              <w:right w:val="single" w:sz="6" w:space="0" w:color="auto"/>
            </w:tcBorders>
          </w:tcPr>
          <w:p w14:paraId="18DF37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w:t>
            </w:r>
          </w:p>
        </w:tc>
        <w:tc>
          <w:tcPr>
            <w:tcW w:w="431" w:type="dxa"/>
            <w:tcBorders>
              <w:top w:val="single" w:sz="6" w:space="0" w:color="auto"/>
              <w:left w:val="single" w:sz="6" w:space="0" w:color="auto"/>
              <w:bottom w:val="single" w:sz="6" w:space="0" w:color="auto"/>
              <w:right w:val="single" w:sz="6" w:space="0" w:color="auto"/>
            </w:tcBorders>
          </w:tcPr>
          <w:p w14:paraId="46659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41C8F2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495</w:t>
            </w:r>
          </w:p>
        </w:tc>
        <w:tc>
          <w:tcPr>
            <w:tcW w:w="567" w:type="dxa"/>
            <w:tcBorders>
              <w:top w:val="single" w:sz="6" w:space="0" w:color="auto"/>
              <w:left w:val="single" w:sz="6" w:space="0" w:color="auto"/>
              <w:bottom w:val="single" w:sz="6" w:space="0" w:color="auto"/>
              <w:right w:val="single" w:sz="6" w:space="0" w:color="auto"/>
            </w:tcBorders>
          </w:tcPr>
          <w:p w14:paraId="5514E9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567" w:type="dxa"/>
            <w:tcBorders>
              <w:top w:val="single" w:sz="6" w:space="0" w:color="auto"/>
              <w:left w:val="single" w:sz="6" w:space="0" w:color="auto"/>
              <w:bottom w:val="single" w:sz="6" w:space="0" w:color="auto"/>
              <w:right w:val="single" w:sz="6" w:space="0" w:color="auto"/>
            </w:tcBorders>
          </w:tcPr>
          <w:p w14:paraId="1E41EC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top w:val="single" w:sz="6" w:space="0" w:color="auto"/>
              <w:left w:val="single" w:sz="6" w:space="0" w:color="auto"/>
              <w:bottom w:val="single" w:sz="6" w:space="0" w:color="auto"/>
              <w:right w:val="single" w:sz="6" w:space="0" w:color="auto"/>
            </w:tcBorders>
          </w:tcPr>
          <w:p w14:paraId="62177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783" w:type="dxa"/>
            <w:tcBorders>
              <w:top w:val="single" w:sz="6" w:space="0" w:color="auto"/>
              <w:left w:val="single" w:sz="6" w:space="0" w:color="auto"/>
              <w:bottom w:val="single" w:sz="6" w:space="0" w:color="auto"/>
              <w:right w:val="single" w:sz="6" w:space="0" w:color="auto"/>
            </w:tcBorders>
          </w:tcPr>
          <w:p w14:paraId="395121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783" w:type="dxa"/>
            <w:tcBorders>
              <w:top w:val="single" w:sz="6" w:space="0" w:color="auto"/>
              <w:left w:val="single" w:sz="6" w:space="0" w:color="auto"/>
              <w:bottom w:val="single" w:sz="6" w:space="0" w:color="auto"/>
              <w:right w:val="single" w:sz="6" w:space="0" w:color="auto"/>
            </w:tcBorders>
          </w:tcPr>
          <w:p w14:paraId="787C32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w:t>
            </w:r>
          </w:p>
        </w:tc>
        <w:tc>
          <w:tcPr>
            <w:tcW w:w="1123" w:type="dxa"/>
            <w:tcBorders>
              <w:top w:val="single" w:sz="6" w:space="0" w:color="auto"/>
              <w:left w:val="single" w:sz="6" w:space="0" w:color="auto"/>
              <w:bottom w:val="single" w:sz="6" w:space="0" w:color="auto"/>
              <w:right w:val="single" w:sz="6" w:space="0" w:color="auto"/>
            </w:tcBorders>
          </w:tcPr>
          <w:p w14:paraId="4FBBAB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6DA01D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200/400</w:t>
            </w:r>
          </w:p>
        </w:tc>
        <w:tc>
          <w:tcPr>
            <w:tcW w:w="410" w:type="dxa"/>
            <w:tcBorders>
              <w:top w:val="single" w:sz="6" w:space="0" w:color="auto"/>
              <w:left w:val="single" w:sz="6" w:space="0" w:color="auto"/>
              <w:bottom w:val="single" w:sz="6" w:space="0" w:color="auto"/>
              <w:right w:val="single" w:sz="6" w:space="0" w:color="auto"/>
            </w:tcBorders>
          </w:tcPr>
          <w:p w14:paraId="3293B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88541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5B206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04EC83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w:t>
            </w:r>
          </w:p>
        </w:tc>
        <w:tc>
          <w:tcPr>
            <w:tcW w:w="621" w:type="dxa"/>
            <w:tcBorders>
              <w:top w:val="single" w:sz="6" w:space="0" w:color="auto"/>
              <w:left w:val="single" w:sz="6" w:space="0" w:color="auto"/>
              <w:bottom w:val="single" w:sz="6" w:space="0" w:color="auto"/>
              <w:right w:val="single" w:sz="6" w:space="0" w:color="auto"/>
            </w:tcBorders>
          </w:tcPr>
          <w:p w14:paraId="009069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39B771" w14:textId="77777777" w:rsidTr="00ED5B0A">
        <w:tc>
          <w:tcPr>
            <w:tcW w:w="1242" w:type="dxa"/>
            <w:tcBorders>
              <w:top w:val="single" w:sz="6" w:space="0" w:color="auto"/>
              <w:left w:val="single" w:sz="6" w:space="0" w:color="auto"/>
              <w:bottom w:val="single" w:sz="6" w:space="0" w:color="auto"/>
              <w:right w:val="single" w:sz="6" w:space="0" w:color="auto"/>
            </w:tcBorders>
          </w:tcPr>
          <w:p w14:paraId="64B4B1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w:t>
            </w:r>
          </w:p>
        </w:tc>
        <w:tc>
          <w:tcPr>
            <w:tcW w:w="431" w:type="dxa"/>
            <w:tcBorders>
              <w:top w:val="single" w:sz="6" w:space="0" w:color="auto"/>
              <w:left w:val="single" w:sz="6" w:space="0" w:color="auto"/>
              <w:bottom w:val="single" w:sz="6" w:space="0" w:color="auto"/>
              <w:right w:val="single" w:sz="6" w:space="0" w:color="auto"/>
            </w:tcBorders>
          </w:tcPr>
          <w:p w14:paraId="031005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B28A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1484C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4600</w:t>
            </w:r>
          </w:p>
        </w:tc>
        <w:tc>
          <w:tcPr>
            <w:tcW w:w="567" w:type="dxa"/>
            <w:tcBorders>
              <w:top w:val="single" w:sz="6" w:space="0" w:color="auto"/>
              <w:left w:val="single" w:sz="6" w:space="0" w:color="auto"/>
              <w:bottom w:val="single" w:sz="6" w:space="0" w:color="auto"/>
              <w:right w:val="single" w:sz="6" w:space="0" w:color="auto"/>
            </w:tcBorders>
          </w:tcPr>
          <w:p w14:paraId="454EC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AAD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A53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0C3B35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8E45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неподвижно</w:t>
            </w:r>
          </w:p>
        </w:tc>
        <w:tc>
          <w:tcPr>
            <w:tcW w:w="848" w:type="dxa"/>
            <w:tcBorders>
              <w:top w:val="single" w:sz="6" w:space="0" w:color="auto"/>
              <w:left w:val="single" w:sz="6" w:space="0" w:color="auto"/>
              <w:bottom w:val="single" w:sz="6" w:space="0" w:color="auto"/>
              <w:right w:val="single" w:sz="6" w:space="0" w:color="auto"/>
            </w:tcBorders>
          </w:tcPr>
          <w:p w14:paraId="2B06DD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1617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28C6A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w:t>
            </w:r>
          </w:p>
        </w:tc>
        <w:tc>
          <w:tcPr>
            <w:tcW w:w="922" w:type="dxa"/>
            <w:tcBorders>
              <w:top w:val="single" w:sz="6" w:space="0" w:color="auto"/>
              <w:left w:val="single" w:sz="6" w:space="0" w:color="auto"/>
              <w:bottom w:val="single" w:sz="6" w:space="0" w:color="auto"/>
              <w:right w:val="single" w:sz="6" w:space="0" w:color="auto"/>
            </w:tcBorders>
          </w:tcPr>
          <w:p w14:paraId="6FD5F2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DD6F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доводки</w:t>
            </w:r>
          </w:p>
        </w:tc>
        <w:tc>
          <w:tcPr>
            <w:tcW w:w="621" w:type="dxa"/>
            <w:tcBorders>
              <w:top w:val="single" w:sz="6" w:space="0" w:color="auto"/>
              <w:left w:val="single" w:sz="6" w:space="0" w:color="auto"/>
              <w:bottom w:val="single" w:sz="6" w:space="0" w:color="auto"/>
              <w:right w:val="single" w:sz="6" w:space="0" w:color="auto"/>
            </w:tcBorders>
          </w:tcPr>
          <w:p w14:paraId="39F6F5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477668" w14:textId="77777777" w:rsidTr="00ED5B0A">
        <w:tc>
          <w:tcPr>
            <w:tcW w:w="1242" w:type="dxa"/>
            <w:tcBorders>
              <w:top w:val="single" w:sz="6" w:space="0" w:color="auto"/>
              <w:left w:val="single" w:sz="6" w:space="0" w:color="auto"/>
              <w:bottom w:val="single" w:sz="6" w:space="0" w:color="auto"/>
              <w:right w:val="single" w:sz="6" w:space="0" w:color="auto"/>
            </w:tcBorders>
          </w:tcPr>
          <w:p w14:paraId="0B3F4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штурмовика</w:t>
            </w:r>
          </w:p>
        </w:tc>
        <w:tc>
          <w:tcPr>
            <w:tcW w:w="431" w:type="dxa"/>
            <w:tcBorders>
              <w:top w:val="single" w:sz="6" w:space="0" w:color="auto"/>
              <w:left w:val="single" w:sz="6" w:space="0" w:color="auto"/>
              <w:bottom w:val="single" w:sz="6" w:space="0" w:color="auto"/>
              <w:right w:val="single" w:sz="6" w:space="0" w:color="auto"/>
            </w:tcBorders>
          </w:tcPr>
          <w:p w14:paraId="16612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D0EC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150F15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CA88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E4C7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C6BB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4024F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A8B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2D752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33F84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6BF57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баки</w:t>
            </w:r>
          </w:p>
        </w:tc>
        <w:tc>
          <w:tcPr>
            <w:tcW w:w="922" w:type="dxa"/>
            <w:tcBorders>
              <w:top w:val="single" w:sz="6" w:space="0" w:color="auto"/>
              <w:left w:val="single" w:sz="6" w:space="0" w:color="auto"/>
              <w:bottom w:val="single" w:sz="6" w:space="0" w:color="auto"/>
              <w:right w:val="single" w:sz="6" w:space="0" w:color="auto"/>
            </w:tcBorders>
          </w:tcPr>
          <w:p w14:paraId="658B6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F85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2BE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A31307" w14:textId="77777777" w:rsidTr="00ED5B0A">
        <w:tc>
          <w:tcPr>
            <w:tcW w:w="1242" w:type="dxa"/>
            <w:tcBorders>
              <w:top w:val="single" w:sz="6" w:space="0" w:color="auto"/>
              <w:left w:val="single" w:sz="6" w:space="0" w:color="auto"/>
              <w:bottom w:val="single" w:sz="6" w:space="0" w:color="auto"/>
              <w:right w:val="single" w:sz="6" w:space="0" w:color="auto"/>
            </w:tcBorders>
          </w:tcPr>
          <w:p w14:paraId="2B9638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Су-6 с</w:t>
            </w:r>
          </w:p>
        </w:tc>
        <w:tc>
          <w:tcPr>
            <w:tcW w:w="431" w:type="dxa"/>
            <w:tcBorders>
              <w:top w:val="single" w:sz="6" w:space="0" w:color="auto"/>
              <w:left w:val="single" w:sz="6" w:space="0" w:color="auto"/>
              <w:bottom w:val="single" w:sz="6" w:space="0" w:color="auto"/>
              <w:right w:val="single" w:sz="6" w:space="0" w:color="auto"/>
            </w:tcBorders>
          </w:tcPr>
          <w:p w14:paraId="3D106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8964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567" w:type="dxa"/>
            <w:tcBorders>
              <w:top w:val="single" w:sz="6" w:space="0" w:color="auto"/>
              <w:left w:val="single" w:sz="6" w:space="0" w:color="auto"/>
              <w:bottom w:val="single" w:sz="6" w:space="0" w:color="auto"/>
              <w:right w:val="single" w:sz="6" w:space="0" w:color="auto"/>
            </w:tcBorders>
          </w:tcPr>
          <w:p w14:paraId="793B2F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9B9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2EE30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BEA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5234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EB12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848" w:type="dxa"/>
            <w:tcBorders>
              <w:top w:val="single" w:sz="6" w:space="0" w:color="auto"/>
              <w:left w:val="single" w:sz="6" w:space="0" w:color="auto"/>
              <w:bottom w:val="single" w:sz="6" w:space="0" w:color="auto"/>
              <w:right w:val="single" w:sz="6" w:space="0" w:color="auto"/>
            </w:tcBorders>
          </w:tcPr>
          <w:p w14:paraId="6C676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3D1C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47C6E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радиаторы</w:t>
            </w:r>
          </w:p>
        </w:tc>
        <w:tc>
          <w:tcPr>
            <w:tcW w:w="922" w:type="dxa"/>
            <w:tcBorders>
              <w:top w:val="single" w:sz="6" w:space="0" w:color="auto"/>
              <w:left w:val="single" w:sz="6" w:space="0" w:color="auto"/>
              <w:bottom w:val="single" w:sz="6" w:space="0" w:color="auto"/>
              <w:right w:val="single" w:sz="6" w:space="0" w:color="auto"/>
            </w:tcBorders>
          </w:tcPr>
          <w:p w14:paraId="54B12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3D7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00C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A02534" w14:textId="77777777" w:rsidTr="00ED5B0A">
        <w:tc>
          <w:tcPr>
            <w:tcW w:w="1242" w:type="dxa"/>
            <w:tcBorders>
              <w:top w:val="single" w:sz="6" w:space="0" w:color="auto"/>
              <w:left w:val="single" w:sz="6" w:space="0" w:color="auto"/>
              <w:bottom w:val="single" w:sz="6" w:space="0" w:color="auto"/>
              <w:right w:val="single" w:sz="6" w:space="0" w:color="auto"/>
            </w:tcBorders>
          </w:tcPr>
          <w:p w14:paraId="741DF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М-71Ф в</w:t>
            </w:r>
          </w:p>
        </w:tc>
        <w:tc>
          <w:tcPr>
            <w:tcW w:w="431" w:type="dxa"/>
            <w:tcBorders>
              <w:top w:val="single" w:sz="6" w:space="0" w:color="auto"/>
              <w:left w:val="single" w:sz="6" w:space="0" w:color="auto"/>
              <w:bottom w:val="single" w:sz="6" w:space="0" w:color="auto"/>
              <w:right w:val="single" w:sz="6" w:space="0" w:color="auto"/>
            </w:tcBorders>
          </w:tcPr>
          <w:p w14:paraId="3BB25C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4A662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E2552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DA1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AF34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739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68E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4B81B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 патр.</w:t>
            </w:r>
          </w:p>
        </w:tc>
        <w:tc>
          <w:tcPr>
            <w:tcW w:w="848" w:type="dxa"/>
            <w:tcBorders>
              <w:top w:val="single" w:sz="6" w:space="0" w:color="auto"/>
              <w:left w:val="single" w:sz="6" w:space="0" w:color="auto"/>
              <w:bottom w:val="single" w:sz="6" w:space="0" w:color="auto"/>
              <w:right w:val="single" w:sz="6" w:space="0" w:color="auto"/>
            </w:tcBorders>
          </w:tcPr>
          <w:p w14:paraId="45F76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FEAE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93D3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F128B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58657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DC56A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5C9E76" w14:textId="77777777" w:rsidTr="00ED5B0A">
        <w:tc>
          <w:tcPr>
            <w:tcW w:w="1242" w:type="dxa"/>
            <w:tcBorders>
              <w:top w:val="single" w:sz="6" w:space="0" w:color="auto"/>
              <w:left w:val="single" w:sz="6" w:space="0" w:color="auto"/>
              <w:bottom w:val="single" w:sz="6" w:space="0" w:color="auto"/>
              <w:right w:val="single" w:sz="6" w:space="0" w:color="auto"/>
            </w:tcBorders>
          </w:tcPr>
          <w:p w14:paraId="4FBFF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Двухместн.</w:t>
            </w:r>
          </w:p>
        </w:tc>
        <w:tc>
          <w:tcPr>
            <w:tcW w:w="431" w:type="dxa"/>
            <w:tcBorders>
              <w:top w:val="single" w:sz="6" w:space="0" w:color="auto"/>
              <w:left w:val="single" w:sz="6" w:space="0" w:color="auto"/>
              <w:bottom w:val="single" w:sz="6" w:space="0" w:color="auto"/>
              <w:right w:val="single" w:sz="6" w:space="0" w:color="auto"/>
            </w:tcBorders>
          </w:tcPr>
          <w:p w14:paraId="13290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C42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9809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5C05C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FA2B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43A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A746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45B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пул.</w:t>
            </w:r>
          </w:p>
        </w:tc>
        <w:tc>
          <w:tcPr>
            <w:tcW w:w="848" w:type="dxa"/>
            <w:tcBorders>
              <w:top w:val="single" w:sz="6" w:space="0" w:color="auto"/>
              <w:left w:val="single" w:sz="6" w:space="0" w:color="auto"/>
              <w:bottom w:val="single" w:sz="6" w:space="0" w:color="auto"/>
              <w:right w:val="single" w:sz="6" w:space="0" w:color="auto"/>
            </w:tcBorders>
          </w:tcPr>
          <w:p w14:paraId="6F2AD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AA2F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9009A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31CB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5112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333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68F720" w14:textId="77777777" w:rsidTr="00ED5B0A">
        <w:tc>
          <w:tcPr>
            <w:tcW w:w="1242" w:type="dxa"/>
            <w:tcBorders>
              <w:top w:val="single" w:sz="6" w:space="0" w:color="auto"/>
              <w:left w:val="single" w:sz="6" w:space="0" w:color="auto"/>
              <w:bottom w:val="single" w:sz="6" w:space="0" w:color="auto"/>
              <w:right w:val="single" w:sz="6" w:space="0" w:color="auto"/>
            </w:tcBorders>
          </w:tcPr>
          <w:p w14:paraId="3C37D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4618A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ABBE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19CC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BE4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31E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BC8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EED2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7194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1FC4D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E4B37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6A384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2F17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BA51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FF6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12E197" w14:textId="77777777" w:rsidTr="00ED5B0A">
        <w:tc>
          <w:tcPr>
            <w:tcW w:w="1242" w:type="dxa"/>
            <w:tcBorders>
              <w:top w:val="single" w:sz="6" w:space="0" w:color="auto"/>
              <w:left w:val="single" w:sz="6" w:space="0" w:color="auto"/>
              <w:bottom w:val="single" w:sz="6" w:space="0" w:color="auto"/>
              <w:right w:val="single" w:sz="6" w:space="0" w:color="auto"/>
            </w:tcBorders>
          </w:tcPr>
          <w:p w14:paraId="3EDD8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4E335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7E7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9E7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79FF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1DA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45C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257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6ED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 патр.</w:t>
            </w:r>
          </w:p>
        </w:tc>
        <w:tc>
          <w:tcPr>
            <w:tcW w:w="848" w:type="dxa"/>
            <w:tcBorders>
              <w:top w:val="single" w:sz="6" w:space="0" w:color="auto"/>
              <w:left w:val="single" w:sz="6" w:space="0" w:color="auto"/>
              <w:bottom w:val="single" w:sz="6" w:space="0" w:color="auto"/>
              <w:right w:val="single" w:sz="6" w:space="0" w:color="auto"/>
            </w:tcBorders>
          </w:tcPr>
          <w:p w14:paraId="6DD7C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4859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8B4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D9E9C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EA9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C754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0BADA4" w14:textId="77777777" w:rsidTr="00ED5B0A">
        <w:tc>
          <w:tcPr>
            <w:tcW w:w="1242" w:type="dxa"/>
            <w:tcBorders>
              <w:top w:val="single" w:sz="6" w:space="0" w:color="auto"/>
              <w:left w:val="single" w:sz="6" w:space="0" w:color="auto"/>
              <w:bottom w:val="single" w:sz="6" w:space="0" w:color="auto"/>
              <w:right w:val="single" w:sz="6" w:space="0" w:color="auto"/>
            </w:tcBorders>
          </w:tcPr>
          <w:p w14:paraId="72654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w:t>
            </w:r>
          </w:p>
        </w:tc>
        <w:tc>
          <w:tcPr>
            <w:tcW w:w="431" w:type="dxa"/>
            <w:tcBorders>
              <w:top w:val="single" w:sz="6" w:space="0" w:color="auto"/>
              <w:left w:val="single" w:sz="6" w:space="0" w:color="auto"/>
              <w:bottom w:val="single" w:sz="6" w:space="0" w:color="auto"/>
              <w:right w:val="single" w:sz="6" w:space="0" w:color="auto"/>
            </w:tcBorders>
          </w:tcPr>
          <w:p w14:paraId="333875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F71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8EAA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3086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B277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B13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2FC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327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РС 82</w:t>
            </w:r>
          </w:p>
        </w:tc>
        <w:tc>
          <w:tcPr>
            <w:tcW w:w="848" w:type="dxa"/>
            <w:tcBorders>
              <w:top w:val="single" w:sz="6" w:space="0" w:color="auto"/>
              <w:left w:val="single" w:sz="6" w:space="0" w:color="auto"/>
              <w:bottom w:val="single" w:sz="6" w:space="0" w:color="auto"/>
              <w:right w:val="single" w:sz="6" w:space="0" w:color="auto"/>
            </w:tcBorders>
          </w:tcPr>
          <w:p w14:paraId="54FE9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56E4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F0E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12395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274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786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51F8F6" w14:textId="77777777" w:rsidTr="00ED5B0A">
        <w:tc>
          <w:tcPr>
            <w:tcW w:w="1242" w:type="dxa"/>
            <w:tcBorders>
              <w:top w:val="single" w:sz="6" w:space="0" w:color="auto"/>
              <w:left w:val="single" w:sz="6" w:space="0" w:color="auto"/>
              <w:bottom w:val="single" w:sz="6" w:space="0" w:color="auto"/>
              <w:right w:val="single" w:sz="6" w:space="0" w:color="auto"/>
            </w:tcBorders>
          </w:tcPr>
          <w:p w14:paraId="75115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53FA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B9D5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52E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69C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444D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67C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74D9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F54D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Блистерная</w:t>
            </w:r>
          </w:p>
        </w:tc>
        <w:tc>
          <w:tcPr>
            <w:tcW w:w="848" w:type="dxa"/>
            <w:tcBorders>
              <w:top w:val="single" w:sz="6" w:space="0" w:color="auto"/>
              <w:left w:val="single" w:sz="6" w:space="0" w:color="auto"/>
              <w:bottom w:val="single" w:sz="6" w:space="0" w:color="auto"/>
              <w:right w:val="single" w:sz="6" w:space="0" w:color="auto"/>
            </w:tcBorders>
          </w:tcPr>
          <w:p w14:paraId="1EBD7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D54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FF5F8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5845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7E2A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2B6F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D2AC14" w14:textId="77777777" w:rsidTr="00ED5B0A">
        <w:tc>
          <w:tcPr>
            <w:tcW w:w="1242" w:type="dxa"/>
            <w:tcBorders>
              <w:top w:val="single" w:sz="6" w:space="0" w:color="auto"/>
              <w:left w:val="single" w:sz="6" w:space="0" w:color="auto"/>
              <w:bottom w:val="single" w:sz="6" w:space="0" w:color="auto"/>
              <w:right w:val="single" w:sz="6" w:space="0" w:color="auto"/>
            </w:tcBorders>
          </w:tcPr>
          <w:p w14:paraId="4AC8B7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146D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C02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409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FEF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09FB0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3584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5286B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AAB4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848" w:type="dxa"/>
            <w:tcBorders>
              <w:top w:val="single" w:sz="6" w:space="0" w:color="auto"/>
              <w:left w:val="single" w:sz="6" w:space="0" w:color="auto"/>
              <w:bottom w:val="single" w:sz="6" w:space="0" w:color="auto"/>
              <w:right w:val="single" w:sz="6" w:space="0" w:color="auto"/>
            </w:tcBorders>
          </w:tcPr>
          <w:p w14:paraId="26FD85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00E8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F56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CBBD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34F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B2FA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C227A8" w14:textId="77777777" w:rsidTr="00ED5B0A">
        <w:tc>
          <w:tcPr>
            <w:tcW w:w="1242" w:type="dxa"/>
            <w:tcBorders>
              <w:top w:val="single" w:sz="6" w:space="0" w:color="auto"/>
              <w:left w:val="single" w:sz="6" w:space="0" w:color="auto"/>
              <w:bottom w:val="single" w:sz="6" w:space="0" w:color="auto"/>
              <w:right w:val="single" w:sz="6" w:space="0" w:color="auto"/>
            </w:tcBorders>
          </w:tcPr>
          <w:p w14:paraId="23207B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021F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2EE4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B428E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4F5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B22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BBD9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48A62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BF9C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475F92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8773F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1CC2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01192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304B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CD0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E55F7C" w14:textId="77777777" w:rsidTr="00ED5B0A">
        <w:tc>
          <w:tcPr>
            <w:tcW w:w="1242" w:type="dxa"/>
            <w:tcBorders>
              <w:top w:val="single" w:sz="6" w:space="0" w:color="auto"/>
              <w:left w:val="single" w:sz="6" w:space="0" w:color="auto"/>
              <w:bottom w:val="single" w:sz="6" w:space="0" w:color="auto"/>
              <w:right w:val="single" w:sz="6" w:space="0" w:color="auto"/>
            </w:tcBorders>
          </w:tcPr>
          <w:p w14:paraId="34785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728A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E61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221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FF7B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52F3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0551C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C2E6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2C5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1C49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03F1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865D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B256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ABA3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A8F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35DB27" w14:textId="77777777" w:rsidTr="00ED5B0A">
        <w:tc>
          <w:tcPr>
            <w:tcW w:w="1242" w:type="dxa"/>
            <w:tcBorders>
              <w:top w:val="single" w:sz="6" w:space="0" w:color="auto"/>
              <w:left w:val="single" w:sz="6" w:space="0" w:color="auto"/>
              <w:bottom w:val="single" w:sz="6" w:space="0" w:color="auto"/>
              <w:right w:val="single" w:sz="6" w:space="0" w:color="auto"/>
            </w:tcBorders>
          </w:tcPr>
          <w:p w14:paraId="178CF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5B81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330B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E7F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022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BBDA9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1B9F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B4D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D64E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патр.</w:t>
            </w:r>
          </w:p>
        </w:tc>
        <w:tc>
          <w:tcPr>
            <w:tcW w:w="848" w:type="dxa"/>
            <w:tcBorders>
              <w:top w:val="single" w:sz="6" w:space="0" w:color="auto"/>
              <w:left w:val="single" w:sz="6" w:space="0" w:color="auto"/>
              <w:bottom w:val="single" w:sz="6" w:space="0" w:color="auto"/>
              <w:right w:val="single" w:sz="6" w:space="0" w:color="auto"/>
            </w:tcBorders>
          </w:tcPr>
          <w:p w14:paraId="387E28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ADC5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2CBD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498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155B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618B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6D77A4A" w14:textId="77777777" w:rsidTr="00ED5B0A">
        <w:tc>
          <w:tcPr>
            <w:tcW w:w="1242" w:type="dxa"/>
            <w:tcBorders>
              <w:top w:val="single" w:sz="6" w:space="0" w:color="auto"/>
              <w:left w:val="single" w:sz="6" w:space="0" w:color="auto"/>
              <w:bottom w:val="single" w:sz="6" w:space="0" w:color="auto"/>
              <w:right w:val="single" w:sz="6" w:space="0" w:color="auto"/>
            </w:tcBorders>
          </w:tcPr>
          <w:p w14:paraId="52254E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Одномест.1</w:t>
            </w:r>
          </w:p>
        </w:tc>
        <w:tc>
          <w:tcPr>
            <w:tcW w:w="431" w:type="dxa"/>
            <w:tcBorders>
              <w:top w:val="single" w:sz="6" w:space="0" w:color="auto"/>
              <w:left w:val="single" w:sz="6" w:space="0" w:color="auto"/>
              <w:bottom w:val="single" w:sz="6" w:space="0" w:color="auto"/>
              <w:right w:val="single" w:sz="6" w:space="0" w:color="auto"/>
            </w:tcBorders>
          </w:tcPr>
          <w:p w14:paraId="7C35A4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459</w:t>
            </w:r>
          </w:p>
        </w:tc>
        <w:tc>
          <w:tcPr>
            <w:tcW w:w="703" w:type="dxa"/>
            <w:tcBorders>
              <w:top w:val="single" w:sz="6" w:space="0" w:color="auto"/>
              <w:left w:val="single" w:sz="6" w:space="0" w:color="auto"/>
              <w:bottom w:val="single" w:sz="6" w:space="0" w:color="auto"/>
              <w:right w:val="single" w:sz="6" w:space="0" w:color="auto"/>
            </w:tcBorders>
          </w:tcPr>
          <w:p w14:paraId="30F9D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537/</w:t>
            </w:r>
          </w:p>
        </w:tc>
        <w:tc>
          <w:tcPr>
            <w:tcW w:w="567" w:type="dxa"/>
            <w:tcBorders>
              <w:top w:val="single" w:sz="6" w:space="0" w:color="auto"/>
              <w:left w:val="single" w:sz="6" w:space="0" w:color="auto"/>
              <w:bottom w:val="single" w:sz="6" w:space="0" w:color="auto"/>
              <w:right w:val="single" w:sz="6" w:space="0" w:color="auto"/>
            </w:tcBorders>
          </w:tcPr>
          <w:p w14:paraId="7CCE3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129</w:t>
            </w:r>
          </w:p>
        </w:tc>
        <w:tc>
          <w:tcPr>
            <w:tcW w:w="567" w:type="dxa"/>
            <w:tcBorders>
              <w:top w:val="single" w:sz="6" w:space="0" w:color="auto"/>
              <w:left w:val="single" w:sz="6" w:space="0" w:color="auto"/>
              <w:bottom w:val="single" w:sz="6" w:space="0" w:color="auto"/>
              <w:right w:val="single" w:sz="6" w:space="0" w:color="auto"/>
            </w:tcBorders>
          </w:tcPr>
          <w:p w14:paraId="0DBD2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tc>
        <w:tc>
          <w:tcPr>
            <w:tcW w:w="709" w:type="dxa"/>
            <w:tcBorders>
              <w:top w:val="single" w:sz="6" w:space="0" w:color="auto"/>
              <w:left w:val="single" w:sz="6" w:space="0" w:color="auto"/>
              <w:bottom w:val="single" w:sz="6" w:space="0" w:color="auto"/>
              <w:right w:val="single" w:sz="6" w:space="0" w:color="auto"/>
            </w:tcBorders>
          </w:tcPr>
          <w:p w14:paraId="2B8705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w:t>
            </w:r>
          </w:p>
        </w:tc>
        <w:tc>
          <w:tcPr>
            <w:tcW w:w="783" w:type="dxa"/>
            <w:tcBorders>
              <w:top w:val="single" w:sz="6" w:space="0" w:color="auto"/>
              <w:left w:val="single" w:sz="6" w:space="0" w:color="auto"/>
              <w:bottom w:val="single" w:sz="6" w:space="0" w:color="auto"/>
              <w:right w:val="single" w:sz="6" w:space="0" w:color="auto"/>
            </w:tcBorders>
          </w:tcPr>
          <w:p w14:paraId="75E26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10150</w:t>
            </w:r>
          </w:p>
        </w:tc>
        <w:tc>
          <w:tcPr>
            <w:tcW w:w="783" w:type="dxa"/>
            <w:tcBorders>
              <w:top w:val="single" w:sz="6" w:space="0" w:color="auto"/>
              <w:left w:val="single" w:sz="6" w:space="0" w:color="auto"/>
              <w:bottom w:val="single" w:sz="6" w:space="0" w:color="auto"/>
              <w:right w:val="single" w:sz="6" w:space="0" w:color="auto"/>
            </w:tcBorders>
          </w:tcPr>
          <w:p w14:paraId="0A75DA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489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09B27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200/400</w:t>
            </w:r>
          </w:p>
        </w:tc>
        <w:tc>
          <w:tcPr>
            <w:tcW w:w="410" w:type="dxa"/>
            <w:tcBorders>
              <w:top w:val="single" w:sz="6" w:space="0" w:color="auto"/>
              <w:left w:val="single" w:sz="6" w:space="0" w:color="auto"/>
              <w:bottom w:val="single" w:sz="6" w:space="0" w:color="auto"/>
              <w:right w:val="single" w:sz="6" w:space="0" w:color="auto"/>
            </w:tcBorders>
          </w:tcPr>
          <w:p w14:paraId="1E7322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ВАП</w:t>
            </w:r>
          </w:p>
        </w:tc>
        <w:tc>
          <w:tcPr>
            <w:tcW w:w="943" w:type="dxa"/>
            <w:tcBorders>
              <w:top w:val="single" w:sz="6" w:space="0" w:color="auto"/>
              <w:left w:val="single" w:sz="6" w:space="0" w:color="auto"/>
              <w:bottom w:val="single" w:sz="6" w:space="0" w:color="auto"/>
              <w:right w:val="single" w:sz="6" w:space="0" w:color="auto"/>
            </w:tcBorders>
          </w:tcPr>
          <w:p w14:paraId="42015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4945A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D819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5B6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80022C" w14:textId="77777777" w:rsidTr="00ED5B0A">
        <w:tc>
          <w:tcPr>
            <w:tcW w:w="1242" w:type="dxa"/>
            <w:tcBorders>
              <w:top w:val="single" w:sz="6" w:space="0" w:color="auto"/>
              <w:left w:val="single" w:sz="6" w:space="0" w:color="auto"/>
              <w:bottom w:val="single" w:sz="6" w:space="0" w:color="auto"/>
              <w:right w:val="single" w:sz="6" w:space="0" w:color="auto"/>
            </w:tcBorders>
          </w:tcPr>
          <w:p w14:paraId="537B54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w:t>
            </w:r>
          </w:p>
        </w:tc>
        <w:tc>
          <w:tcPr>
            <w:tcW w:w="431" w:type="dxa"/>
            <w:tcBorders>
              <w:top w:val="single" w:sz="6" w:space="0" w:color="auto"/>
              <w:left w:val="single" w:sz="6" w:space="0" w:color="auto"/>
              <w:bottom w:val="single" w:sz="6" w:space="0" w:color="auto"/>
              <w:right w:val="single" w:sz="6" w:space="0" w:color="auto"/>
            </w:tcBorders>
          </w:tcPr>
          <w:p w14:paraId="3D67A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C5BF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7F23A1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5700</w:t>
            </w:r>
          </w:p>
        </w:tc>
        <w:tc>
          <w:tcPr>
            <w:tcW w:w="567" w:type="dxa"/>
            <w:tcBorders>
              <w:top w:val="single" w:sz="6" w:space="0" w:color="auto"/>
              <w:left w:val="single" w:sz="6" w:space="0" w:color="auto"/>
              <w:bottom w:val="single" w:sz="6" w:space="0" w:color="auto"/>
              <w:right w:val="single" w:sz="6" w:space="0" w:color="auto"/>
            </w:tcBorders>
          </w:tcPr>
          <w:p w14:paraId="14F67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D48C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7C7D6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783" w:type="dxa"/>
            <w:tcBorders>
              <w:top w:val="single" w:sz="6" w:space="0" w:color="auto"/>
              <w:left w:val="single" w:sz="6" w:space="0" w:color="auto"/>
              <w:bottom w:val="single" w:sz="6" w:space="0" w:color="auto"/>
              <w:right w:val="single" w:sz="6" w:space="0" w:color="auto"/>
            </w:tcBorders>
          </w:tcPr>
          <w:p w14:paraId="70FCEB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1D6C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179A9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FCB8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943" w:type="dxa"/>
            <w:tcBorders>
              <w:top w:val="single" w:sz="6" w:space="0" w:color="auto"/>
              <w:left w:val="single" w:sz="6" w:space="0" w:color="auto"/>
              <w:bottom w:val="single" w:sz="6" w:space="0" w:color="auto"/>
              <w:right w:val="single" w:sz="6" w:space="0" w:color="auto"/>
            </w:tcBorders>
          </w:tcPr>
          <w:p w14:paraId="5F5A3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F6F3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E69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CB0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1D097E" w14:textId="77777777" w:rsidTr="00ED5B0A">
        <w:tc>
          <w:tcPr>
            <w:tcW w:w="1242" w:type="dxa"/>
            <w:tcBorders>
              <w:top w:val="single" w:sz="6" w:space="0" w:color="auto"/>
              <w:left w:val="single" w:sz="6" w:space="0" w:color="auto"/>
              <w:bottom w:val="single" w:sz="6" w:space="0" w:color="auto"/>
              <w:right w:val="single" w:sz="6" w:space="0" w:color="auto"/>
            </w:tcBorders>
          </w:tcPr>
          <w:p w14:paraId="67E010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w:t>
            </w:r>
          </w:p>
        </w:tc>
        <w:tc>
          <w:tcPr>
            <w:tcW w:w="431" w:type="dxa"/>
            <w:tcBorders>
              <w:top w:val="single" w:sz="6" w:space="0" w:color="auto"/>
              <w:left w:val="single" w:sz="6" w:space="0" w:color="auto"/>
              <w:bottom w:val="single" w:sz="6" w:space="0" w:color="auto"/>
              <w:right w:val="single" w:sz="6" w:space="0" w:color="auto"/>
            </w:tcBorders>
          </w:tcPr>
          <w:p w14:paraId="19E4D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C39C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4EE594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86E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B2F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0,9</w:t>
            </w:r>
          </w:p>
        </w:tc>
        <w:tc>
          <w:tcPr>
            <w:tcW w:w="783" w:type="dxa"/>
            <w:tcBorders>
              <w:top w:val="single" w:sz="6" w:space="0" w:color="auto"/>
              <w:left w:val="single" w:sz="6" w:space="0" w:color="auto"/>
              <w:bottom w:val="single" w:sz="6" w:space="0" w:color="auto"/>
              <w:right w:val="single" w:sz="6" w:space="0" w:color="auto"/>
            </w:tcBorders>
          </w:tcPr>
          <w:p w14:paraId="4EA23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4CA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A888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 патр.</w:t>
            </w:r>
          </w:p>
        </w:tc>
        <w:tc>
          <w:tcPr>
            <w:tcW w:w="848" w:type="dxa"/>
            <w:tcBorders>
              <w:top w:val="single" w:sz="6" w:space="0" w:color="auto"/>
              <w:left w:val="single" w:sz="6" w:space="0" w:color="auto"/>
              <w:bottom w:val="single" w:sz="6" w:space="0" w:color="auto"/>
              <w:right w:val="single" w:sz="6" w:space="0" w:color="auto"/>
            </w:tcBorders>
          </w:tcPr>
          <w:p w14:paraId="63EDBC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25566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147DD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114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063D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831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E47245" w14:textId="77777777" w:rsidTr="00ED5B0A">
        <w:tc>
          <w:tcPr>
            <w:tcW w:w="1242" w:type="dxa"/>
            <w:tcBorders>
              <w:top w:val="single" w:sz="6" w:space="0" w:color="auto"/>
              <w:left w:val="single" w:sz="6" w:space="0" w:color="auto"/>
              <w:bottom w:val="single" w:sz="6" w:space="0" w:color="auto"/>
              <w:right w:val="single" w:sz="6" w:space="0" w:color="auto"/>
            </w:tcBorders>
          </w:tcPr>
          <w:p w14:paraId="4E01F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Су-6 с</w:t>
            </w:r>
          </w:p>
        </w:tc>
        <w:tc>
          <w:tcPr>
            <w:tcW w:w="431" w:type="dxa"/>
            <w:tcBorders>
              <w:top w:val="single" w:sz="6" w:space="0" w:color="auto"/>
              <w:left w:val="single" w:sz="6" w:space="0" w:color="auto"/>
              <w:bottom w:val="single" w:sz="6" w:space="0" w:color="auto"/>
              <w:right w:val="single" w:sz="6" w:space="0" w:color="auto"/>
            </w:tcBorders>
          </w:tcPr>
          <w:p w14:paraId="3D8AF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03F2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496</w:t>
            </w:r>
          </w:p>
        </w:tc>
        <w:tc>
          <w:tcPr>
            <w:tcW w:w="567" w:type="dxa"/>
            <w:tcBorders>
              <w:top w:val="single" w:sz="6" w:space="0" w:color="auto"/>
              <w:left w:val="single" w:sz="6" w:space="0" w:color="auto"/>
              <w:bottom w:val="single" w:sz="6" w:space="0" w:color="auto"/>
              <w:right w:val="single" w:sz="6" w:space="0" w:color="auto"/>
            </w:tcBorders>
          </w:tcPr>
          <w:p w14:paraId="6A73D0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1D9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CA3E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783" w:type="dxa"/>
            <w:tcBorders>
              <w:top w:val="single" w:sz="6" w:space="0" w:color="auto"/>
              <w:left w:val="single" w:sz="6" w:space="0" w:color="auto"/>
              <w:bottom w:val="single" w:sz="6" w:space="0" w:color="auto"/>
              <w:right w:val="single" w:sz="6" w:space="0" w:color="auto"/>
            </w:tcBorders>
          </w:tcPr>
          <w:p w14:paraId="66BBE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06F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32700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пул.</w:t>
            </w:r>
          </w:p>
        </w:tc>
        <w:tc>
          <w:tcPr>
            <w:tcW w:w="848" w:type="dxa"/>
            <w:tcBorders>
              <w:top w:val="single" w:sz="6" w:space="0" w:color="auto"/>
              <w:left w:val="single" w:sz="6" w:space="0" w:color="auto"/>
              <w:bottom w:val="single" w:sz="6" w:space="0" w:color="auto"/>
              <w:right w:val="single" w:sz="6" w:space="0" w:color="auto"/>
            </w:tcBorders>
          </w:tcPr>
          <w:p w14:paraId="5A5AF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0125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A3D8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73C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F610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EFA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FF8D8E" w14:textId="77777777" w:rsidTr="00ED5B0A">
        <w:tc>
          <w:tcPr>
            <w:tcW w:w="1242" w:type="dxa"/>
            <w:tcBorders>
              <w:top w:val="single" w:sz="6" w:space="0" w:color="auto"/>
              <w:left w:val="single" w:sz="6" w:space="0" w:color="auto"/>
              <w:bottom w:val="single" w:sz="6" w:space="0" w:color="auto"/>
              <w:right w:val="single" w:sz="6" w:space="0" w:color="auto"/>
            </w:tcBorders>
          </w:tcPr>
          <w:p w14:paraId="2A00B1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w:t>
            </w:r>
          </w:p>
        </w:tc>
        <w:tc>
          <w:tcPr>
            <w:tcW w:w="431" w:type="dxa"/>
            <w:tcBorders>
              <w:top w:val="single" w:sz="6" w:space="0" w:color="auto"/>
              <w:left w:val="single" w:sz="6" w:space="0" w:color="auto"/>
              <w:bottom w:val="single" w:sz="6" w:space="0" w:color="auto"/>
              <w:right w:val="single" w:sz="6" w:space="0" w:color="auto"/>
            </w:tcBorders>
          </w:tcPr>
          <w:p w14:paraId="77A7A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D73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0BA89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307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A462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076E0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62C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C4979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29CF6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447E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4FDAC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C3A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E68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44B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BDE3BE" w14:textId="77777777" w:rsidTr="00ED5B0A">
        <w:tc>
          <w:tcPr>
            <w:tcW w:w="1242" w:type="dxa"/>
            <w:tcBorders>
              <w:top w:val="single" w:sz="6" w:space="0" w:color="auto"/>
              <w:left w:val="single" w:sz="6" w:space="0" w:color="auto"/>
              <w:bottom w:val="single" w:sz="6" w:space="0" w:color="auto"/>
              <w:right w:val="single" w:sz="6" w:space="0" w:color="auto"/>
            </w:tcBorders>
          </w:tcPr>
          <w:p w14:paraId="5EE656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эталон</w:t>
            </w:r>
          </w:p>
        </w:tc>
        <w:tc>
          <w:tcPr>
            <w:tcW w:w="431" w:type="dxa"/>
            <w:tcBorders>
              <w:top w:val="single" w:sz="6" w:space="0" w:color="auto"/>
              <w:left w:val="single" w:sz="6" w:space="0" w:color="auto"/>
              <w:bottom w:val="single" w:sz="6" w:space="0" w:color="auto"/>
              <w:right w:val="single" w:sz="6" w:space="0" w:color="auto"/>
            </w:tcBorders>
          </w:tcPr>
          <w:p w14:paraId="458CA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ECA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9103C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F88E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899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0AE4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EEC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88222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патр.</w:t>
            </w:r>
          </w:p>
        </w:tc>
        <w:tc>
          <w:tcPr>
            <w:tcW w:w="848" w:type="dxa"/>
            <w:tcBorders>
              <w:top w:val="single" w:sz="6" w:space="0" w:color="auto"/>
              <w:left w:val="single" w:sz="6" w:space="0" w:color="auto"/>
              <w:bottom w:val="single" w:sz="6" w:space="0" w:color="auto"/>
              <w:right w:val="single" w:sz="6" w:space="0" w:color="auto"/>
            </w:tcBorders>
          </w:tcPr>
          <w:p w14:paraId="3360D1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63E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780E5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6E29B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6B8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C305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0B84F2" w14:textId="77777777" w:rsidTr="00ED5B0A">
        <w:tc>
          <w:tcPr>
            <w:tcW w:w="1242" w:type="dxa"/>
            <w:tcBorders>
              <w:top w:val="single" w:sz="6" w:space="0" w:color="auto"/>
              <w:left w:val="single" w:sz="6" w:space="0" w:color="auto"/>
              <w:bottom w:val="single" w:sz="6" w:space="0" w:color="auto"/>
              <w:right w:val="single" w:sz="6" w:space="0" w:color="auto"/>
            </w:tcBorders>
          </w:tcPr>
          <w:p w14:paraId="51D6A9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Войсковой</w:t>
            </w:r>
          </w:p>
        </w:tc>
        <w:tc>
          <w:tcPr>
            <w:tcW w:w="431" w:type="dxa"/>
            <w:tcBorders>
              <w:top w:val="single" w:sz="6" w:space="0" w:color="auto"/>
              <w:left w:val="single" w:sz="6" w:space="0" w:color="auto"/>
              <w:bottom w:val="single" w:sz="6" w:space="0" w:color="auto"/>
              <w:right w:val="single" w:sz="6" w:space="0" w:color="auto"/>
            </w:tcBorders>
          </w:tcPr>
          <w:p w14:paraId="332B6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04A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2DAD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59E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14BB5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738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C6D2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5872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D1A9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1733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РС 82 или</w:t>
            </w:r>
          </w:p>
        </w:tc>
        <w:tc>
          <w:tcPr>
            <w:tcW w:w="943" w:type="dxa"/>
            <w:tcBorders>
              <w:top w:val="single" w:sz="6" w:space="0" w:color="auto"/>
              <w:left w:val="single" w:sz="6" w:space="0" w:color="auto"/>
              <w:bottom w:val="single" w:sz="6" w:space="0" w:color="auto"/>
              <w:right w:val="single" w:sz="6" w:space="0" w:color="auto"/>
            </w:tcBorders>
          </w:tcPr>
          <w:p w14:paraId="2BAB5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E6F7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B946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D07A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9A7A22" w14:textId="77777777" w:rsidTr="00ED5B0A">
        <w:tc>
          <w:tcPr>
            <w:tcW w:w="1242" w:type="dxa"/>
            <w:tcBorders>
              <w:top w:val="single" w:sz="6" w:space="0" w:color="auto"/>
              <w:left w:val="single" w:sz="6" w:space="0" w:color="auto"/>
              <w:bottom w:val="single" w:sz="6" w:space="0" w:color="auto"/>
              <w:right w:val="single" w:sz="6" w:space="0" w:color="auto"/>
            </w:tcBorders>
          </w:tcPr>
          <w:p w14:paraId="50F7F8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серии</w:t>
            </w:r>
          </w:p>
        </w:tc>
        <w:tc>
          <w:tcPr>
            <w:tcW w:w="431" w:type="dxa"/>
            <w:tcBorders>
              <w:top w:val="single" w:sz="6" w:space="0" w:color="auto"/>
              <w:left w:val="single" w:sz="6" w:space="0" w:color="auto"/>
              <w:bottom w:val="single" w:sz="6" w:space="0" w:color="auto"/>
              <w:right w:val="single" w:sz="6" w:space="0" w:color="auto"/>
            </w:tcBorders>
          </w:tcPr>
          <w:p w14:paraId="540816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549FF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CE18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84C8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C045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826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B13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342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E583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6FF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РС 132</w:t>
            </w:r>
          </w:p>
        </w:tc>
        <w:tc>
          <w:tcPr>
            <w:tcW w:w="943" w:type="dxa"/>
            <w:tcBorders>
              <w:top w:val="single" w:sz="6" w:space="0" w:color="auto"/>
              <w:left w:val="single" w:sz="6" w:space="0" w:color="auto"/>
              <w:bottom w:val="single" w:sz="6" w:space="0" w:color="auto"/>
              <w:right w:val="single" w:sz="6" w:space="0" w:color="auto"/>
            </w:tcBorders>
          </w:tcPr>
          <w:p w14:paraId="76EDE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09F2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C080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111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EDC3B7" w14:textId="77777777" w:rsidTr="00ED5B0A">
        <w:tc>
          <w:tcPr>
            <w:tcW w:w="1242" w:type="dxa"/>
            <w:tcBorders>
              <w:top w:val="single" w:sz="6" w:space="0" w:color="auto"/>
              <w:left w:val="single" w:sz="6" w:space="0" w:color="auto"/>
              <w:bottom w:val="single" w:sz="6" w:space="0" w:color="auto"/>
              <w:right w:val="single" w:sz="6" w:space="0" w:color="auto"/>
            </w:tcBorders>
          </w:tcPr>
          <w:p w14:paraId="764C47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7623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DFDE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C0D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33F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9F2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691F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E48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50004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CACC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A6DB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E40E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31C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F86B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2DB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581A7C" w14:textId="77777777" w:rsidTr="00ED5B0A">
        <w:tc>
          <w:tcPr>
            <w:tcW w:w="1242" w:type="dxa"/>
            <w:tcBorders>
              <w:top w:val="single" w:sz="6" w:space="0" w:color="auto"/>
              <w:left w:val="single" w:sz="6" w:space="0" w:color="auto"/>
              <w:bottom w:val="single" w:sz="6" w:space="0" w:color="auto"/>
              <w:right w:val="single" w:sz="6" w:space="0" w:color="auto"/>
            </w:tcBorders>
          </w:tcPr>
          <w:p w14:paraId="287A34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w:t>
            </w:r>
          </w:p>
        </w:tc>
        <w:tc>
          <w:tcPr>
            <w:tcW w:w="431" w:type="dxa"/>
            <w:tcBorders>
              <w:top w:val="single" w:sz="6" w:space="0" w:color="auto"/>
              <w:left w:val="single" w:sz="6" w:space="0" w:color="auto"/>
              <w:bottom w:val="single" w:sz="6" w:space="0" w:color="auto"/>
              <w:right w:val="single" w:sz="6" w:space="0" w:color="auto"/>
            </w:tcBorders>
          </w:tcPr>
          <w:p w14:paraId="73361C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DFA1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920C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3F48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6526E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3583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5FFC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C6B20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4CD85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B935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DA30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724E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2E1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0AF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7F54D4" w14:textId="77777777" w:rsidTr="00ED5B0A">
        <w:tc>
          <w:tcPr>
            <w:tcW w:w="1242" w:type="dxa"/>
            <w:tcBorders>
              <w:top w:val="single" w:sz="6" w:space="0" w:color="auto"/>
              <w:left w:val="single" w:sz="6" w:space="0" w:color="auto"/>
              <w:bottom w:val="single" w:sz="6" w:space="0" w:color="auto"/>
              <w:right w:val="single" w:sz="6" w:space="0" w:color="auto"/>
            </w:tcBorders>
          </w:tcPr>
          <w:p w14:paraId="4AFCD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 Модификации серийных штурмовиков и легких бомбардировщиков</w:t>
            </w:r>
          </w:p>
        </w:tc>
        <w:tc>
          <w:tcPr>
            <w:tcW w:w="431" w:type="dxa"/>
            <w:tcBorders>
              <w:top w:val="single" w:sz="6" w:space="0" w:color="auto"/>
              <w:left w:val="single" w:sz="6" w:space="0" w:color="auto"/>
              <w:bottom w:val="single" w:sz="6" w:space="0" w:color="auto"/>
              <w:right w:val="single" w:sz="6" w:space="0" w:color="auto"/>
            </w:tcBorders>
          </w:tcPr>
          <w:p w14:paraId="60F34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FC41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225F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BE48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F97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725B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3B9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330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11812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8948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A3DF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DB23F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37EE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B49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20032A" w14:textId="77777777" w:rsidTr="00ED5B0A">
        <w:tc>
          <w:tcPr>
            <w:tcW w:w="1242" w:type="dxa"/>
            <w:tcBorders>
              <w:top w:val="single" w:sz="6" w:space="0" w:color="auto"/>
              <w:left w:val="single" w:sz="6" w:space="0" w:color="auto"/>
              <w:bottom w:val="single" w:sz="6" w:space="0" w:color="auto"/>
              <w:right w:val="single" w:sz="6" w:space="0" w:color="auto"/>
            </w:tcBorders>
          </w:tcPr>
          <w:p w14:paraId="5FE632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Одномот.</w:t>
            </w:r>
          </w:p>
        </w:tc>
        <w:tc>
          <w:tcPr>
            <w:tcW w:w="431" w:type="dxa"/>
            <w:tcBorders>
              <w:top w:val="single" w:sz="6" w:space="0" w:color="auto"/>
              <w:left w:val="single" w:sz="6" w:space="0" w:color="auto"/>
              <w:bottom w:val="single" w:sz="6" w:space="0" w:color="auto"/>
              <w:right w:val="single" w:sz="6" w:space="0" w:color="auto"/>
            </w:tcBorders>
          </w:tcPr>
          <w:p w14:paraId="1D29E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6ADF82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tc>
        <w:tc>
          <w:tcPr>
            <w:tcW w:w="567" w:type="dxa"/>
            <w:tcBorders>
              <w:top w:val="single" w:sz="6" w:space="0" w:color="auto"/>
              <w:left w:val="single" w:sz="6" w:space="0" w:color="auto"/>
              <w:bottom w:val="single" w:sz="6" w:space="0" w:color="auto"/>
              <w:right w:val="single" w:sz="6" w:space="0" w:color="auto"/>
            </w:tcBorders>
          </w:tcPr>
          <w:p w14:paraId="1BAF9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408/</w:t>
            </w:r>
          </w:p>
        </w:tc>
        <w:tc>
          <w:tcPr>
            <w:tcW w:w="567" w:type="dxa"/>
            <w:tcBorders>
              <w:top w:val="single" w:sz="6" w:space="0" w:color="auto"/>
              <w:left w:val="single" w:sz="6" w:space="0" w:color="auto"/>
              <w:bottom w:val="single" w:sz="6" w:space="0" w:color="auto"/>
              <w:right w:val="single" w:sz="6" w:space="0" w:color="auto"/>
            </w:tcBorders>
          </w:tcPr>
          <w:p w14:paraId="3A182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4C9721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5CEE2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5/2000</w:t>
            </w:r>
          </w:p>
        </w:tc>
        <w:tc>
          <w:tcPr>
            <w:tcW w:w="783" w:type="dxa"/>
            <w:tcBorders>
              <w:top w:val="single" w:sz="6" w:space="0" w:color="auto"/>
              <w:left w:val="single" w:sz="6" w:space="0" w:color="auto"/>
              <w:bottom w:val="single" w:sz="6" w:space="0" w:color="auto"/>
              <w:right w:val="single" w:sz="6" w:space="0" w:color="auto"/>
            </w:tcBorders>
          </w:tcPr>
          <w:p w14:paraId="38302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123" w:type="dxa"/>
            <w:tcBorders>
              <w:top w:val="single" w:sz="6" w:space="0" w:color="auto"/>
              <w:left w:val="single" w:sz="6" w:space="0" w:color="auto"/>
              <w:bottom w:val="single" w:sz="6" w:space="0" w:color="auto"/>
              <w:right w:val="single" w:sz="6" w:space="0" w:color="auto"/>
            </w:tcBorders>
          </w:tcPr>
          <w:p w14:paraId="2B7DB2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1031A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400/600</w:t>
            </w:r>
          </w:p>
        </w:tc>
        <w:tc>
          <w:tcPr>
            <w:tcW w:w="410" w:type="dxa"/>
            <w:tcBorders>
              <w:top w:val="single" w:sz="6" w:space="0" w:color="auto"/>
              <w:left w:val="single" w:sz="6" w:space="0" w:color="auto"/>
              <w:bottom w:val="single" w:sz="6" w:space="0" w:color="auto"/>
              <w:right w:val="single" w:sz="6" w:space="0" w:color="auto"/>
            </w:tcBorders>
          </w:tcPr>
          <w:p w14:paraId="5CCE55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ВАП</w:t>
            </w:r>
          </w:p>
        </w:tc>
        <w:tc>
          <w:tcPr>
            <w:tcW w:w="943" w:type="dxa"/>
            <w:tcBorders>
              <w:top w:val="single" w:sz="6" w:space="0" w:color="auto"/>
              <w:left w:val="single" w:sz="6" w:space="0" w:color="auto"/>
              <w:bottom w:val="single" w:sz="6" w:space="0" w:color="auto"/>
              <w:right w:val="single" w:sz="6" w:space="0" w:color="auto"/>
            </w:tcBorders>
          </w:tcPr>
          <w:p w14:paraId="72B58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38DF9E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15.VI.43</w:t>
            </w:r>
          </w:p>
        </w:tc>
        <w:tc>
          <w:tcPr>
            <w:tcW w:w="621" w:type="dxa"/>
            <w:tcBorders>
              <w:top w:val="single" w:sz="6" w:space="0" w:color="auto"/>
              <w:left w:val="single" w:sz="6" w:space="0" w:color="auto"/>
              <w:bottom w:val="single" w:sz="6" w:space="0" w:color="auto"/>
              <w:right w:val="single" w:sz="6" w:space="0" w:color="auto"/>
            </w:tcBorders>
          </w:tcPr>
          <w:p w14:paraId="75C8D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9F23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7C229C" w14:textId="77777777" w:rsidTr="00ED5B0A">
        <w:tc>
          <w:tcPr>
            <w:tcW w:w="1242" w:type="dxa"/>
            <w:tcBorders>
              <w:top w:val="single" w:sz="6" w:space="0" w:color="auto"/>
              <w:left w:val="single" w:sz="6" w:space="0" w:color="auto"/>
              <w:bottom w:val="single" w:sz="6" w:space="0" w:color="auto"/>
              <w:right w:val="single" w:sz="6" w:space="0" w:color="auto"/>
            </w:tcBorders>
          </w:tcPr>
          <w:p w14:paraId="28263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двухмест.</w:t>
            </w:r>
          </w:p>
        </w:tc>
        <w:tc>
          <w:tcPr>
            <w:tcW w:w="431" w:type="dxa"/>
            <w:tcBorders>
              <w:top w:val="single" w:sz="6" w:space="0" w:color="auto"/>
              <w:left w:val="single" w:sz="6" w:space="0" w:color="auto"/>
              <w:bottom w:val="single" w:sz="6" w:space="0" w:color="auto"/>
              <w:right w:val="single" w:sz="6" w:space="0" w:color="auto"/>
            </w:tcBorders>
          </w:tcPr>
          <w:p w14:paraId="5DFBFB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6E5B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C262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567" w:type="dxa"/>
            <w:tcBorders>
              <w:top w:val="single" w:sz="6" w:space="0" w:color="auto"/>
              <w:left w:val="single" w:sz="6" w:space="0" w:color="auto"/>
              <w:bottom w:val="single" w:sz="6" w:space="0" w:color="auto"/>
              <w:right w:val="single" w:sz="6" w:space="0" w:color="auto"/>
            </w:tcBorders>
          </w:tcPr>
          <w:p w14:paraId="7A42AF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46D4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17447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CE2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C3D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неподвижн.</w:t>
            </w:r>
          </w:p>
        </w:tc>
        <w:tc>
          <w:tcPr>
            <w:tcW w:w="848" w:type="dxa"/>
            <w:tcBorders>
              <w:top w:val="single" w:sz="6" w:space="0" w:color="auto"/>
              <w:left w:val="single" w:sz="6" w:space="0" w:color="auto"/>
              <w:bottom w:val="single" w:sz="6" w:space="0" w:color="auto"/>
              <w:right w:val="single" w:sz="6" w:space="0" w:color="auto"/>
            </w:tcBorders>
          </w:tcPr>
          <w:p w14:paraId="315008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410" w:type="dxa"/>
            <w:tcBorders>
              <w:top w:val="single" w:sz="6" w:space="0" w:color="auto"/>
              <w:left w:val="single" w:sz="6" w:space="0" w:color="auto"/>
              <w:bottom w:val="single" w:sz="6" w:space="0" w:color="auto"/>
              <w:right w:val="single" w:sz="6" w:space="0" w:color="auto"/>
            </w:tcBorders>
          </w:tcPr>
          <w:p w14:paraId="6657A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A426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w:t>
            </w:r>
          </w:p>
        </w:tc>
        <w:tc>
          <w:tcPr>
            <w:tcW w:w="922" w:type="dxa"/>
            <w:tcBorders>
              <w:top w:val="single" w:sz="6" w:space="0" w:color="auto"/>
              <w:left w:val="single" w:sz="6" w:space="0" w:color="auto"/>
              <w:bottom w:val="single" w:sz="6" w:space="0" w:color="auto"/>
              <w:right w:val="single" w:sz="6" w:space="0" w:color="auto"/>
            </w:tcBorders>
          </w:tcPr>
          <w:p w14:paraId="736EA2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66C9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515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ACB0E6" w14:textId="77777777" w:rsidTr="00ED5B0A">
        <w:tc>
          <w:tcPr>
            <w:tcW w:w="1242" w:type="dxa"/>
            <w:tcBorders>
              <w:top w:val="single" w:sz="6" w:space="0" w:color="auto"/>
              <w:left w:val="single" w:sz="6" w:space="0" w:color="auto"/>
              <w:bottom w:val="single" w:sz="6" w:space="0" w:color="auto"/>
              <w:right w:val="single" w:sz="6" w:space="0" w:color="auto"/>
            </w:tcBorders>
          </w:tcPr>
          <w:p w14:paraId="314875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w:t>
            </w:r>
          </w:p>
        </w:tc>
        <w:tc>
          <w:tcPr>
            <w:tcW w:w="431" w:type="dxa"/>
            <w:tcBorders>
              <w:top w:val="single" w:sz="6" w:space="0" w:color="auto"/>
              <w:left w:val="single" w:sz="6" w:space="0" w:color="auto"/>
              <w:bottom w:val="single" w:sz="6" w:space="0" w:color="auto"/>
              <w:right w:val="single" w:sz="6" w:space="0" w:color="auto"/>
            </w:tcBorders>
          </w:tcPr>
          <w:p w14:paraId="43DE8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BB3B1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AB57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3E2C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346C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5C7BF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2D8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1E8F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7B73F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A1F5A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FCEA8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баки</w:t>
            </w:r>
          </w:p>
        </w:tc>
        <w:tc>
          <w:tcPr>
            <w:tcW w:w="922" w:type="dxa"/>
            <w:tcBorders>
              <w:top w:val="single" w:sz="6" w:space="0" w:color="auto"/>
              <w:left w:val="single" w:sz="6" w:space="0" w:color="auto"/>
              <w:bottom w:val="single" w:sz="6" w:space="0" w:color="auto"/>
              <w:right w:val="single" w:sz="6" w:space="0" w:color="auto"/>
            </w:tcBorders>
          </w:tcPr>
          <w:p w14:paraId="0623E3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DDD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FB5A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DDC1F1" w14:textId="77777777" w:rsidTr="00ED5B0A">
        <w:tc>
          <w:tcPr>
            <w:tcW w:w="1242" w:type="dxa"/>
            <w:tcBorders>
              <w:top w:val="single" w:sz="6" w:space="0" w:color="auto"/>
              <w:left w:val="single" w:sz="6" w:space="0" w:color="auto"/>
              <w:bottom w:val="single" w:sz="6" w:space="0" w:color="auto"/>
              <w:right w:val="single" w:sz="6" w:space="0" w:color="auto"/>
            </w:tcBorders>
          </w:tcPr>
          <w:p w14:paraId="1A0B3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с</w:t>
            </w:r>
          </w:p>
        </w:tc>
        <w:tc>
          <w:tcPr>
            <w:tcW w:w="431" w:type="dxa"/>
            <w:tcBorders>
              <w:top w:val="single" w:sz="6" w:space="0" w:color="auto"/>
              <w:left w:val="single" w:sz="6" w:space="0" w:color="auto"/>
              <w:bottom w:val="single" w:sz="6" w:space="0" w:color="auto"/>
              <w:right w:val="single" w:sz="6" w:space="0" w:color="auto"/>
            </w:tcBorders>
          </w:tcPr>
          <w:p w14:paraId="3C06BA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9394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F88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16EB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04A9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км/час</w:t>
            </w:r>
          </w:p>
        </w:tc>
        <w:tc>
          <w:tcPr>
            <w:tcW w:w="783" w:type="dxa"/>
            <w:tcBorders>
              <w:top w:val="single" w:sz="6" w:space="0" w:color="auto"/>
              <w:left w:val="single" w:sz="6" w:space="0" w:color="auto"/>
              <w:bottom w:val="single" w:sz="6" w:space="0" w:color="auto"/>
              <w:right w:val="single" w:sz="6" w:space="0" w:color="auto"/>
            </w:tcBorders>
          </w:tcPr>
          <w:p w14:paraId="389CAF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126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EB9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848" w:type="dxa"/>
            <w:tcBorders>
              <w:top w:val="single" w:sz="6" w:space="0" w:color="auto"/>
              <w:left w:val="single" w:sz="6" w:space="0" w:color="auto"/>
              <w:bottom w:val="single" w:sz="6" w:space="0" w:color="auto"/>
              <w:right w:val="single" w:sz="6" w:space="0" w:color="auto"/>
            </w:tcBorders>
          </w:tcPr>
          <w:p w14:paraId="32DAE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AD5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C77D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радиаторы</w:t>
            </w:r>
          </w:p>
        </w:tc>
        <w:tc>
          <w:tcPr>
            <w:tcW w:w="922" w:type="dxa"/>
            <w:tcBorders>
              <w:top w:val="single" w:sz="6" w:space="0" w:color="auto"/>
              <w:left w:val="single" w:sz="6" w:space="0" w:color="auto"/>
              <w:bottom w:val="single" w:sz="6" w:space="0" w:color="auto"/>
              <w:right w:val="single" w:sz="6" w:space="0" w:color="auto"/>
            </w:tcBorders>
          </w:tcPr>
          <w:p w14:paraId="1CE283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8E1F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FA35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6BEDA0D" w14:textId="77777777" w:rsidTr="00ED5B0A">
        <w:tc>
          <w:tcPr>
            <w:tcW w:w="1242" w:type="dxa"/>
            <w:tcBorders>
              <w:top w:val="single" w:sz="6" w:space="0" w:color="auto"/>
              <w:left w:val="single" w:sz="6" w:space="0" w:color="auto"/>
              <w:bottom w:val="single" w:sz="6" w:space="0" w:color="auto"/>
              <w:right w:val="single" w:sz="6" w:space="0" w:color="auto"/>
            </w:tcBorders>
          </w:tcPr>
          <w:p w14:paraId="29662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w:t>
            </w:r>
          </w:p>
        </w:tc>
        <w:tc>
          <w:tcPr>
            <w:tcW w:w="431" w:type="dxa"/>
            <w:tcBorders>
              <w:top w:val="single" w:sz="6" w:space="0" w:color="auto"/>
              <w:left w:val="single" w:sz="6" w:space="0" w:color="auto"/>
              <w:bottom w:val="single" w:sz="6" w:space="0" w:color="auto"/>
              <w:right w:val="single" w:sz="6" w:space="0" w:color="auto"/>
            </w:tcBorders>
          </w:tcPr>
          <w:p w14:paraId="4F95CA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888C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714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FFC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9A3FC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0935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47D2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5637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 патр.</w:t>
            </w:r>
          </w:p>
        </w:tc>
        <w:tc>
          <w:tcPr>
            <w:tcW w:w="848" w:type="dxa"/>
            <w:tcBorders>
              <w:top w:val="single" w:sz="6" w:space="0" w:color="auto"/>
              <w:left w:val="single" w:sz="6" w:space="0" w:color="auto"/>
              <w:bottom w:val="single" w:sz="6" w:space="0" w:color="auto"/>
              <w:right w:val="single" w:sz="6" w:space="0" w:color="auto"/>
            </w:tcBorders>
          </w:tcPr>
          <w:p w14:paraId="67AD4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CEDC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9DD5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CCE1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F4D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DCC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08C546" w14:textId="77777777" w:rsidTr="00ED5B0A">
        <w:tc>
          <w:tcPr>
            <w:tcW w:w="1242" w:type="dxa"/>
            <w:tcBorders>
              <w:top w:val="single" w:sz="6" w:space="0" w:color="auto"/>
              <w:left w:val="single" w:sz="6" w:space="0" w:color="auto"/>
              <w:bottom w:val="single" w:sz="6" w:space="0" w:color="auto"/>
              <w:right w:val="single" w:sz="6" w:space="0" w:color="auto"/>
            </w:tcBorders>
          </w:tcPr>
          <w:p w14:paraId="22C00F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w:t>
            </w:r>
          </w:p>
        </w:tc>
        <w:tc>
          <w:tcPr>
            <w:tcW w:w="431" w:type="dxa"/>
            <w:tcBorders>
              <w:top w:val="single" w:sz="6" w:space="0" w:color="auto"/>
              <w:left w:val="single" w:sz="6" w:space="0" w:color="auto"/>
              <w:bottom w:val="single" w:sz="6" w:space="0" w:color="auto"/>
              <w:right w:val="single" w:sz="6" w:space="0" w:color="auto"/>
            </w:tcBorders>
          </w:tcPr>
          <w:p w14:paraId="3D308D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AC3B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A663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423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9902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060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7335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BD39E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10646F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80E0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E21F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95E0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6CA3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B64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E11419" w14:textId="77777777" w:rsidTr="00ED5B0A">
        <w:tc>
          <w:tcPr>
            <w:tcW w:w="1242" w:type="dxa"/>
            <w:tcBorders>
              <w:top w:val="single" w:sz="6" w:space="0" w:color="auto"/>
              <w:left w:val="single" w:sz="6" w:space="0" w:color="auto"/>
              <w:bottom w:val="single" w:sz="6" w:space="0" w:color="auto"/>
              <w:right w:val="single" w:sz="6" w:space="0" w:color="auto"/>
            </w:tcBorders>
          </w:tcPr>
          <w:p w14:paraId="0A84E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экз. в</w:t>
            </w:r>
          </w:p>
        </w:tc>
        <w:tc>
          <w:tcPr>
            <w:tcW w:w="431" w:type="dxa"/>
            <w:tcBorders>
              <w:top w:val="single" w:sz="6" w:space="0" w:color="auto"/>
              <w:left w:val="single" w:sz="6" w:space="0" w:color="auto"/>
              <w:bottom w:val="single" w:sz="6" w:space="0" w:color="auto"/>
              <w:right w:val="single" w:sz="6" w:space="0" w:color="auto"/>
            </w:tcBorders>
          </w:tcPr>
          <w:p w14:paraId="2753D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511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493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6585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B26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E28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627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3033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1D4531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290B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56D7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FE3C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6CA4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00A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BFD7A5" w14:textId="77777777" w:rsidTr="00ED5B0A">
        <w:tc>
          <w:tcPr>
            <w:tcW w:w="1242" w:type="dxa"/>
            <w:tcBorders>
              <w:top w:val="single" w:sz="6" w:space="0" w:color="auto"/>
              <w:left w:val="single" w:sz="6" w:space="0" w:color="auto"/>
              <w:bottom w:val="single" w:sz="6" w:space="0" w:color="auto"/>
              <w:right w:val="single" w:sz="6" w:space="0" w:color="auto"/>
            </w:tcBorders>
          </w:tcPr>
          <w:p w14:paraId="3BCCD2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3BB1AD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A5A5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8E0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01D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8BD3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974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5E4F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13FD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патр.</w:t>
            </w:r>
          </w:p>
        </w:tc>
        <w:tc>
          <w:tcPr>
            <w:tcW w:w="848" w:type="dxa"/>
            <w:tcBorders>
              <w:top w:val="single" w:sz="6" w:space="0" w:color="auto"/>
              <w:left w:val="single" w:sz="6" w:space="0" w:color="auto"/>
              <w:bottom w:val="single" w:sz="6" w:space="0" w:color="auto"/>
              <w:right w:val="single" w:sz="6" w:space="0" w:color="auto"/>
            </w:tcBorders>
          </w:tcPr>
          <w:p w14:paraId="29E0E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337C1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CFF33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5E6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0C2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B7DD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A6DA75" w14:textId="77777777" w:rsidTr="00ED5B0A">
        <w:tc>
          <w:tcPr>
            <w:tcW w:w="1242" w:type="dxa"/>
            <w:tcBorders>
              <w:top w:val="single" w:sz="6" w:space="0" w:color="auto"/>
              <w:left w:val="single" w:sz="6" w:space="0" w:color="auto"/>
              <w:bottom w:val="single" w:sz="6" w:space="0" w:color="auto"/>
              <w:right w:val="single" w:sz="6" w:space="0" w:color="auto"/>
            </w:tcBorders>
          </w:tcPr>
          <w:p w14:paraId="63C085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Артиллер.</w:t>
            </w:r>
          </w:p>
        </w:tc>
        <w:tc>
          <w:tcPr>
            <w:tcW w:w="431" w:type="dxa"/>
            <w:tcBorders>
              <w:top w:val="single" w:sz="6" w:space="0" w:color="auto"/>
              <w:left w:val="single" w:sz="6" w:space="0" w:color="auto"/>
              <w:bottom w:val="single" w:sz="6" w:space="0" w:color="auto"/>
              <w:right w:val="single" w:sz="6" w:space="0" w:color="auto"/>
            </w:tcBorders>
          </w:tcPr>
          <w:p w14:paraId="6BCB47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08B1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C7F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27F4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CD1A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62FE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CE85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FF10A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реактивное</w:t>
            </w:r>
          </w:p>
        </w:tc>
        <w:tc>
          <w:tcPr>
            <w:tcW w:w="848" w:type="dxa"/>
            <w:tcBorders>
              <w:top w:val="single" w:sz="6" w:space="0" w:color="auto"/>
              <w:left w:val="single" w:sz="6" w:space="0" w:color="auto"/>
              <w:bottom w:val="single" w:sz="6" w:space="0" w:color="auto"/>
              <w:right w:val="single" w:sz="6" w:space="0" w:color="auto"/>
            </w:tcBorders>
          </w:tcPr>
          <w:p w14:paraId="5D1C88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ABF5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91BA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54FB0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3850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621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F274BE" w14:textId="77777777" w:rsidTr="00ED5B0A">
        <w:tc>
          <w:tcPr>
            <w:tcW w:w="1242" w:type="dxa"/>
            <w:tcBorders>
              <w:top w:val="single" w:sz="6" w:space="0" w:color="auto"/>
              <w:left w:val="single" w:sz="6" w:space="0" w:color="auto"/>
              <w:bottom w:val="single" w:sz="6" w:space="0" w:color="auto"/>
              <w:right w:val="single" w:sz="6" w:space="0" w:color="auto"/>
            </w:tcBorders>
          </w:tcPr>
          <w:p w14:paraId="66179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корректир.</w:t>
            </w:r>
          </w:p>
        </w:tc>
        <w:tc>
          <w:tcPr>
            <w:tcW w:w="431" w:type="dxa"/>
            <w:tcBorders>
              <w:top w:val="single" w:sz="6" w:space="0" w:color="auto"/>
              <w:left w:val="single" w:sz="6" w:space="0" w:color="auto"/>
              <w:bottom w:val="single" w:sz="6" w:space="0" w:color="auto"/>
              <w:right w:val="single" w:sz="6" w:space="0" w:color="auto"/>
            </w:tcBorders>
          </w:tcPr>
          <w:p w14:paraId="315809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95E3C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4FB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EDF2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38E1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448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0EF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31F9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8РС 82</w:t>
            </w:r>
          </w:p>
        </w:tc>
        <w:tc>
          <w:tcPr>
            <w:tcW w:w="848" w:type="dxa"/>
            <w:tcBorders>
              <w:top w:val="single" w:sz="6" w:space="0" w:color="auto"/>
              <w:left w:val="single" w:sz="6" w:space="0" w:color="auto"/>
              <w:bottom w:val="single" w:sz="6" w:space="0" w:color="auto"/>
              <w:right w:val="single" w:sz="6" w:space="0" w:color="auto"/>
            </w:tcBorders>
          </w:tcPr>
          <w:p w14:paraId="1D30F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BB474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4E82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9A8C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EF62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950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BB46E5" w14:textId="77777777" w:rsidTr="00ED5B0A">
        <w:tc>
          <w:tcPr>
            <w:tcW w:w="1242" w:type="dxa"/>
            <w:tcBorders>
              <w:top w:val="single" w:sz="6" w:space="0" w:color="auto"/>
              <w:left w:val="single" w:sz="6" w:space="0" w:color="auto"/>
              <w:bottom w:val="single" w:sz="6" w:space="0" w:color="auto"/>
              <w:right w:val="single" w:sz="6" w:space="0" w:color="auto"/>
            </w:tcBorders>
          </w:tcPr>
          <w:p w14:paraId="3F756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161EE7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AB04F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DD8D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6850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B70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7A1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D8207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7675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турельное</w:t>
            </w:r>
          </w:p>
        </w:tc>
        <w:tc>
          <w:tcPr>
            <w:tcW w:w="848" w:type="dxa"/>
            <w:tcBorders>
              <w:top w:val="single" w:sz="6" w:space="0" w:color="auto"/>
              <w:left w:val="single" w:sz="6" w:space="0" w:color="auto"/>
              <w:bottom w:val="single" w:sz="6" w:space="0" w:color="auto"/>
              <w:right w:val="single" w:sz="6" w:space="0" w:color="auto"/>
            </w:tcBorders>
          </w:tcPr>
          <w:p w14:paraId="5B93D7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C22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0B08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18F0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C68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DE40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27B159" w14:textId="77777777" w:rsidTr="00ED5B0A">
        <w:tc>
          <w:tcPr>
            <w:tcW w:w="1242" w:type="dxa"/>
            <w:tcBorders>
              <w:top w:val="single" w:sz="6" w:space="0" w:color="auto"/>
              <w:left w:val="single" w:sz="6" w:space="0" w:color="auto"/>
              <w:bottom w:val="single" w:sz="6" w:space="0" w:color="auto"/>
              <w:right w:val="single" w:sz="6" w:space="0" w:color="auto"/>
            </w:tcBorders>
          </w:tcPr>
          <w:p w14:paraId="7B9B8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w:t>
            </w:r>
          </w:p>
        </w:tc>
        <w:tc>
          <w:tcPr>
            <w:tcW w:w="431" w:type="dxa"/>
            <w:tcBorders>
              <w:top w:val="single" w:sz="6" w:space="0" w:color="auto"/>
              <w:left w:val="single" w:sz="6" w:space="0" w:color="auto"/>
              <w:bottom w:val="single" w:sz="6" w:space="0" w:color="auto"/>
              <w:right w:val="single" w:sz="6" w:space="0" w:color="auto"/>
            </w:tcBorders>
          </w:tcPr>
          <w:p w14:paraId="180BD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A7511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39CE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CA1B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4154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B76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A6F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68EEA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63D34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1EC0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DA4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199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D137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521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3FBB97" w14:textId="77777777" w:rsidTr="00ED5B0A">
        <w:tc>
          <w:tcPr>
            <w:tcW w:w="1242" w:type="dxa"/>
            <w:tcBorders>
              <w:top w:val="single" w:sz="6" w:space="0" w:color="auto"/>
              <w:left w:val="single" w:sz="6" w:space="0" w:color="auto"/>
              <w:bottom w:val="single" w:sz="6" w:space="0" w:color="auto"/>
              <w:right w:val="single" w:sz="6" w:space="0" w:color="auto"/>
            </w:tcBorders>
          </w:tcPr>
          <w:p w14:paraId="6DCB8B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4A47A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5004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A75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2EA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CDFC3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559E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A5A9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86C93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8632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5911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9EF0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16EA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7BAB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75B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4F5DF0" w14:textId="77777777" w:rsidTr="00ED5B0A">
        <w:tc>
          <w:tcPr>
            <w:tcW w:w="1242" w:type="dxa"/>
            <w:tcBorders>
              <w:top w:val="single" w:sz="6" w:space="0" w:color="auto"/>
              <w:left w:val="single" w:sz="6" w:space="0" w:color="auto"/>
              <w:bottom w:val="single" w:sz="6" w:space="0" w:color="auto"/>
              <w:right w:val="single" w:sz="6" w:space="0" w:color="auto"/>
            </w:tcBorders>
          </w:tcPr>
          <w:p w14:paraId="550C3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1EA6C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48A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393A9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E2BA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291F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ACA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09CE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43F2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05D72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99E8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12309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2268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20CE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A2B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461CBD" w14:textId="77777777" w:rsidTr="00ED5B0A">
        <w:tc>
          <w:tcPr>
            <w:tcW w:w="1242" w:type="dxa"/>
            <w:tcBorders>
              <w:top w:val="single" w:sz="6" w:space="0" w:color="auto"/>
              <w:left w:val="single" w:sz="6" w:space="0" w:color="auto"/>
              <w:bottom w:val="single" w:sz="6" w:space="0" w:color="auto"/>
              <w:right w:val="single" w:sz="6" w:space="0" w:color="auto"/>
            </w:tcBorders>
          </w:tcPr>
          <w:p w14:paraId="1CD38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IX. Разведчики</w:t>
            </w:r>
          </w:p>
        </w:tc>
        <w:tc>
          <w:tcPr>
            <w:tcW w:w="431" w:type="dxa"/>
            <w:tcBorders>
              <w:top w:val="single" w:sz="6" w:space="0" w:color="auto"/>
              <w:left w:val="single" w:sz="6" w:space="0" w:color="auto"/>
              <w:bottom w:val="single" w:sz="6" w:space="0" w:color="auto"/>
              <w:right w:val="single" w:sz="6" w:space="0" w:color="auto"/>
            </w:tcBorders>
          </w:tcPr>
          <w:p w14:paraId="79B533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78B51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6BBDE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4A3C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F37F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A6228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BA8F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A147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E8746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B10B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11D0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1DD6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F86D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9A4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48E5BB" w14:textId="77777777" w:rsidTr="00ED5B0A">
        <w:tc>
          <w:tcPr>
            <w:tcW w:w="1242" w:type="dxa"/>
            <w:tcBorders>
              <w:top w:val="single" w:sz="6" w:space="0" w:color="auto"/>
              <w:left w:val="single" w:sz="6" w:space="0" w:color="auto"/>
              <w:bottom w:val="single" w:sz="6" w:space="0" w:color="auto"/>
              <w:right w:val="single" w:sz="6" w:space="0" w:color="auto"/>
            </w:tcBorders>
          </w:tcPr>
          <w:p w14:paraId="5FC938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w:t>
            </w:r>
          </w:p>
        </w:tc>
        <w:tc>
          <w:tcPr>
            <w:tcW w:w="431" w:type="dxa"/>
            <w:tcBorders>
              <w:top w:val="single" w:sz="6" w:space="0" w:color="auto"/>
              <w:left w:val="single" w:sz="6" w:space="0" w:color="auto"/>
              <w:bottom w:val="single" w:sz="6" w:space="0" w:color="auto"/>
              <w:right w:val="single" w:sz="6" w:space="0" w:color="auto"/>
            </w:tcBorders>
          </w:tcPr>
          <w:p w14:paraId="45898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494EEA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73762F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567" w:type="dxa"/>
            <w:tcBorders>
              <w:top w:val="single" w:sz="6" w:space="0" w:color="auto"/>
              <w:left w:val="single" w:sz="6" w:space="0" w:color="auto"/>
              <w:bottom w:val="single" w:sz="6" w:space="0" w:color="auto"/>
              <w:right w:val="single" w:sz="6" w:space="0" w:color="auto"/>
            </w:tcBorders>
          </w:tcPr>
          <w:p w14:paraId="1809D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709" w:type="dxa"/>
            <w:tcBorders>
              <w:top w:val="single" w:sz="6" w:space="0" w:color="auto"/>
              <w:left w:val="single" w:sz="6" w:space="0" w:color="auto"/>
              <w:bottom w:val="single" w:sz="6" w:space="0" w:color="auto"/>
              <w:right w:val="single" w:sz="6" w:space="0" w:color="auto"/>
            </w:tcBorders>
          </w:tcPr>
          <w:p w14:paraId="4C2F4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км</w:t>
            </w:r>
          </w:p>
        </w:tc>
        <w:tc>
          <w:tcPr>
            <w:tcW w:w="783" w:type="dxa"/>
            <w:tcBorders>
              <w:top w:val="single" w:sz="6" w:space="0" w:color="auto"/>
              <w:left w:val="single" w:sz="6" w:space="0" w:color="auto"/>
              <w:bottom w:val="single" w:sz="6" w:space="0" w:color="auto"/>
              <w:right w:val="single" w:sz="6" w:space="0" w:color="auto"/>
            </w:tcBorders>
          </w:tcPr>
          <w:p w14:paraId="4D482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6/3000</w:t>
            </w:r>
          </w:p>
        </w:tc>
        <w:tc>
          <w:tcPr>
            <w:tcW w:w="783" w:type="dxa"/>
            <w:tcBorders>
              <w:top w:val="single" w:sz="6" w:space="0" w:color="auto"/>
              <w:left w:val="single" w:sz="6" w:space="0" w:color="auto"/>
              <w:bottom w:val="single" w:sz="6" w:space="0" w:color="auto"/>
              <w:right w:val="single" w:sz="6" w:space="0" w:color="auto"/>
            </w:tcBorders>
          </w:tcPr>
          <w:p w14:paraId="649E8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tc>
        <w:tc>
          <w:tcPr>
            <w:tcW w:w="1123" w:type="dxa"/>
            <w:tcBorders>
              <w:top w:val="single" w:sz="6" w:space="0" w:color="auto"/>
              <w:left w:val="single" w:sz="6" w:space="0" w:color="auto"/>
              <w:bottom w:val="single" w:sz="6" w:space="0" w:color="auto"/>
              <w:right w:val="single" w:sz="6" w:space="0" w:color="auto"/>
            </w:tcBorders>
          </w:tcPr>
          <w:p w14:paraId="2FE42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5DDC7C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410" w:type="dxa"/>
            <w:tcBorders>
              <w:top w:val="single" w:sz="6" w:space="0" w:color="auto"/>
              <w:left w:val="single" w:sz="6" w:space="0" w:color="auto"/>
              <w:bottom w:val="single" w:sz="6" w:space="0" w:color="auto"/>
              <w:right w:val="single" w:sz="6" w:space="0" w:color="auto"/>
            </w:tcBorders>
          </w:tcPr>
          <w:p w14:paraId="6E94A1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70CBB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922" w:type="dxa"/>
            <w:tcBorders>
              <w:top w:val="single" w:sz="6" w:space="0" w:color="auto"/>
              <w:left w:val="single" w:sz="6" w:space="0" w:color="auto"/>
              <w:bottom w:val="single" w:sz="6" w:space="0" w:color="auto"/>
              <w:right w:val="single" w:sz="6" w:space="0" w:color="auto"/>
            </w:tcBorders>
          </w:tcPr>
          <w:p w14:paraId="1E7D4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1.III.44</w:t>
            </w:r>
          </w:p>
        </w:tc>
        <w:tc>
          <w:tcPr>
            <w:tcW w:w="621" w:type="dxa"/>
            <w:tcBorders>
              <w:top w:val="single" w:sz="6" w:space="0" w:color="auto"/>
              <w:left w:val="single" w:sz="6" w:space="0" w:color="auto"/>
              <w:bottom w:val="single" w:sz="6" w:space="0" w:color="auto"/>
              <w:right w:val="single" w:sz="6" w:space="0" w:color="auto"/>
            </w:tcBorders>
          </w:tcPr>
          <w:p w14:paraId="46167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4850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11663E" w14:textId="77777777" w:rsidTr="00ED5B0A">
        <w:tc>
          <w:tcPr>
            <w:tcW w:w="1242" w:type="dxa"/>
            <w:tcBorders>
              <w:top w:val="single" w:sz="6" w:space="0" w:color="auto"/>
              <w:left w:val="single" w:sz="6" w:space="0" w:color="auto"/>
              <w:bottom w:val="single" w:sz="6" w:space="0" w:color="auto"/>
              <w:right w:val="single" w:sz="6" w:space="0" w:color="auto"/>
            </w:tcBorders>
          </w:tcPr>
          <w:p w14:paraId="73A223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w:t>
            </w:r>
          </w:p>
        </w:tc>
        <w:tc>
          <w:tcPr>
            <w:tcW w:w="431" w:type="dxa"/>
            <w:tcBorders>
              <w:top w:val="single" w:sz="6" w:space="0" w:color="auto"/>
              <w:left w:val="single" w:sz="6" w:space="0" w:color="auto"/>
              <w:bottom w:val="single" w:sz="6" w:space="0" w:color="auto"/>
              <w:right w:val="single" w:sz="6" w:space="0" w:color="auto"/>
            </w:tcBorders>
          </w:tcPr>
          <w:p w14:paraId="2E2D6D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FD9A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F951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2000-3000</w:t>
            </w:r>
          </w:p>
        </w:tc>
        <w:tc>
          <w:tcPr>
            <w:tcW w:w="567" w:type="dxa"/>
            <w:tcBorders>
              <w:top w:val="single" w:sz="6" w:space="0" w:color="auto"/>
              <w:left w:val="single" w:sz="6" w:space="0" w:color="auto"/>
              <w:bottom w:val="single" w:sz="6" w:space="0" w:color="auto"/>
              <w:right w:val="single" w:sz="6" w:space="0" w:color="auto"/>
            </w:tcBorders>
          </w:tcPr>
          <w:p w14:paraId="26B29F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D8F2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783" w:type="dxa"/>
            <w:tcBorders>
              <w:top w:val="single" w:sz="6" w:space="0" w:color="auto"/>
              <w:left w:val="single" w:sz="6" w:space="0" w:color="auto"/>
              <w:bottom w:val="single" w:sz="6" w:space="0" w:color="auto"/>
              <w:right w:val="single" w:sz="6" w:space="0" w:color="auto"/>
            </w:tcBorders>
          </w:tcPr>
          <w:p w14:paraId="69191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BF3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8583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D0F69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355FF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5366E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атак</w:t>
            </w:r>
          </w:p>
        </w:tc>
        <w:tc>
          <w:tcPr>
            <w:tcW w:w="922" w:type="dxa"/>
            <w:tcBorders>
              <w:top w:val="single" w:sz="6" w:space="0" w:color="auto"/>
              <w:left w:val="single" w:sz="6" w:space="0" w:color="auto"/>
              <w:bottom w:val="single" w:sz="6" w:space="0" w:color="auto"/>
              <w:right w:val="single" w:sz="6" w:space="0" w:color="auto"/>
            </w:tcBorders>
          </w:tcPr>
          <w:p w14:paraId="7438BD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FBF0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2BA2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FE77A7" w14:textId="77777777" w:rsidTr="00ED5B0A">
        <w:tc>
          <w:tcPr>
            <w:tcW w:w="1242" w:type="dxa"/>
            <w:tcBorders>
              <w:top w:val="single" w:sz="6" w:space="0" w:color="auto"/>
              <w:left w:val="single" w:sz="6" w:space="0" w:color="auto"/>
              <w:bottom w:val="single" w:sz="6" w:space="0" w:color="auto"/>
              <w:right w:val="single" w:sz="6" w:space="0" w:color="auto"/>
            </w:tcBorders>
          </w:tcPr>
          <w:p w14:paraId="7E8C3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артиллер.</w:t>
            </w:r>
          </w:p>
        </w:tc>
        <w:tc>
          <w:tcPr>
            <w:tcW w:w="431" w:type="dxa"/>
            <w:tcBorders>
              <w:top w:val="single" w:sz="6" w:space="0" w:color="auto"/>
              <w:left w:val="single" w:sz="6" w:space="0" w:color="auto"/>
              <w:bottom w:val="single" w:sz="6" w:space="0" w:color="auto"/>
              <w:right w:val="single" w:sz="6" w:space="0" w:color="auto"/>
            </w:tcBorders>
          </w:tcPr>
          <w:p w14:paraId="63E22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5ED7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3DC7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0CCF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8C8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5861D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674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15B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3EA603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1F2F0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0021D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противника</w:t>
            </w:r>
          </w:p>
        </w:tc>
        <w:tc>
          <w:tcPr>
            <w:tcW w:w="922" w:type="dxa"/>
            <w:tcBorders>
              <w:top w:val="single" w:sz="6" w:space="0" w:color="auto"/>
              <w:left w:val="single" w:sz="6" w:space="0" w:color="auto"/>
              <w:bottom w:val="single" w:sz="6" w:space="0" w:color="auto"/>
              <w:right w:val="single" w:sz="6" w:space="0" w:color="auto"/>
            </w:tcBorders>
          </w:tcPr>
          <w:p w14:paraId="4C3A07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93B3E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D9C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24FC41" w14:textId="77777777" w:rsidTr="00ED5B0A">
        <w:tc>
          <w:tcPr>
            <w:tcW w:w="1242" w:type="dxa"/>
            <w:tcBorders>
              <w:top w:val="single" w:sz="6" w:space="0" w:color="auto"/>
              <w:left w:val="single" w:sz="6" w:space="0" w:color="auto"/>
              <w:bottom w:val="single" w:sz="6" w:space="0" w:color="auto"/>
              <w:right w:val="single" w:sz="6" w:space="0" w:color="auto"/>
            </w:tcBorders>
          </w:tcPr>
          <w:p w14:paraId="29413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корректир.</w:t>
            </w:r>
          </w:p>
        </w:tc>
        <w:tc>
          <w:tcPr>
            <w:tcW w:w="431" w:type="dxa"/>
            <w:tcBorders>
              <w:top w:val="single" w:sz="6" w:space="0" w:color="auto"/>
              <w:left w:val="single" w:sz="6" w:space="0" w:color="auto"/>
              <w:bottom w:val="single" w:sz="6" w:space="0" w:color="auto"/>
              <w:right w:val="single" w:sz="6" w:space="0" w:color="auto"/>
            </w:tcBorders>
          </w:tcPr>
          <w:p w14:paraId="44EB17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9FD8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41BD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17C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A4C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 км/час</w:t>
            </w:r>
          </w:p>
        </w:tc>
        <w:tc>
          <w:tcPr>
            <w:tcW w:w="783" w:type="dxa"/>
            <w:tcBorders>
              <w:top w:val="single" w:sz="6" w:space="0" w:color="auto"/>
              <w:left w:val="single" w:sz="6" w:space="0" w:color="auto"/>
              <w:bottom w:val="single" w:sz="6" w:space="0" w:color="auto"/>
              <w:right w:val="single" w:sz="6" w:space="0" w:color="auto"/>
            </w:tcBorders>
          </w:tcPr>
          <w:p w14:paraId="1FAFC3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DA02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A332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51DFC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199F9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13B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w:t>
            </w:r>
          </w:p>
        </w:tc>
        <w:tc>
          <w:tcPr>
            <w:tcW w:w="922" w:type="dxa"/>
            <w:tcBorders>
              <w:top w:val="single" w:sz="6" w:space="0" w:color="auto"/>
              <w:left w:val="single" w:sz="6" w:space="0" w:color="auto"/>
              <w:bottom w:val="single" w:sz="6" w:space="0" w:color="auto"/>
              <w:right w:val="single" w:sz="6" w:space="0" w:color="auto"/>
            </w:tcBorders>
          </w:tcPr>
          <w:p w14:paraId="1DB9B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C5B5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D21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F07CCA" w14:textId="77777777" w:rsidTr="00ED5B0A">
        <w:tc>
          <w:tcPr>
            <w:tcW w:w="1242" w:type="dxa"/>
            <w:tcBorders>
              <w:top w:val="single" w:sz="6" w:space="0" w:color="auto"/>
              <w:left w:val="single" w:sz="6" w:space="0" w:color="auto"/>
              <w:bottom w:val="single" w:sz="6" w:space="0" w:color="auto"/>
              <w:right w:val="single" w:sz="6" w:space="0" w:color="auto"/>
            </w:tcBorders>
          </w:tcPr>
          <w:p w14:paraId="30EE04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63B3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A07D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3669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8AD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D531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FFB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5E9C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A1C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тупельная</w:t>
            </w:r>
          </w:p>
        </w:tc>
        <w:tc>
          <w:tcPr>
            <w:tcW w:w="848" w:type="dxa"/>
            <w:tcBorders>
              <w:top w:val="single" w:sz="6" w:space="0" w:color="auto"/>
              <w:left w:val="single" w:sz="6" w:space="0" w:color="auto"/>
              <w:bottom w:val="single" w:sz="6" w:space="0" w:color="auto"/>
              <w:right w:val="single" w:sz="6" w:space="0" w:color="auto"/>
            </w:tcBorders>
          </w:tcPr>
          <w:p w14:paraId="1E44D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CDBD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CFB24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29AE7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62259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E17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70AC7E" w14:textId="77777777" w:rsidTr="00ED5B0A">
        <w:tc>
          <w:tcPr>
            <w:tcW w:w="1242" w:type="dxa"/>
            <w:tcBorders>
              <w:top w:val="single" w:sz="6" w:space="0" w:color="auto"/>
              <w:left w:val="single" w:sz="6" w:space="0" w:color="auto"/>
              <w:bottom w:val="single" w:sz="6" w:space="0" w:color="auto"/>
              <w:right w:val="single" w:sz="6" w:space="0" w:color="auto"/>
            </w:tcBorders>
          </w:tcPr>
          <w:p w14:paraId="76F04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BA4E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F9BE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0AD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1EC4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963D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982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6D8C4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E850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848" w:type="dxa"/>
            <w:tcBorders>
              <w:top w:val="single" w:sz="6" w:space="0" w:color="auto"/>
              <w:left w:val="single" w:sz="6" w:space="0" w:color="auto"/>
              <w:bottom w:val="single" w:sz="6" w:space="0" w:color="auto"/>
              <w:right w:val="single" w:sz="6" w:space="0" w:color="auto"/>
            </w:tcBorders>
          </w:tcPr>
          <w:p w14:paraId="0F706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4D8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8414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0BE0F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D31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41F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A5DCE3" w14:textId="77777777" w:rsidTr="00ED5B0A">
        <w:tc>
          <w:tcPr>
            <w:tcW w:w="1242" w:type="dxa"/>
            <w:tcBorders>
              <w:top w:val="single" w:sz="6" w:space="0" w:color="auto"/>
              <w:left w:val="single" w:sz="6" w:space="0" w:color="auto"/>
              <w:bottom w:val="single" w:sz="6" w:space="0" w:color="auto"/>
              <w:right w:val="single" w:sz="6" w:space="0" w:color="auto"/>
            </w:tcBorders>
          </w:tcPr>
          <w:p w14:paraId="1F960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AAD9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123C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5690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A77D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7A78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80B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1F52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B89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765137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4D68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4E134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частично</w:t>
            </w:r>
          </w:p>
        </w:tc>
        <w:tc>
          <w:tcPr>
            <w:tcW w:w="922" w:type="dxa"/>
            <w:tcBorders>
              <w:top w:val="single" w:sz="6" w:space="0" w:color="auto"/>
              <w:left w:val="single" w:sz="6" w:space="0" w:color="auto"/>
              <w:bottom w:val="single" w:sz="6" w:space="0" w:color="auto"/>
              <w:right w:val="single" w:sz="6" w:space="0" w:color="auto"/>
            </w:tcBorders>
          </w:tcPr>
          <w:p w14:paraId="5EA53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256EE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FFE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061587" w14:textId="77777777" w:rsidTr="00ED5B0A">
        <w:tc>
          <w:tcPr>
            <w:tcW w:w="1242" w:type="dxa"/>
            <w:tcBorders>
              <w:top w:val="single" w:sz="6" w:space="0" w:color="auto"/>
              <w:left w:val="single" w:sz="6" w:space="0" w:color="auto"/>
              <w:bottom w:val="single" w:sz="6" w:space="0" w:color="auto"/>
              <w:right w:val="single" w:sz="6" w:space="0" w:color="auto"/>
            </w:tcBorders>
          </w:tcPr>
          <w:p w14:paraId="3017A2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5D0E8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A627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A0CC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DC5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D5E3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4A9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BEC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1D31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9E2C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167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84C98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передней</w:t>
            </w:r>
          </w:p>
        </w:tc>
        <w:tc>
          <w:tcPr>
            <w:tcW w:w="922" w:type="dxa"/>
            <w:tcBorders>
              <w:top w:val="single" w:sz="6" w:space="0" w:color="auto"/>
              <w:left w:val="single" w:sz="6" w:space="0" w:color="auto"/>
              <w:bottom w:val="single" w:sz="6" w:space="0" w:color="auto"/>
              <w:right w:val="single" w:sz="6" w:space="0" w:color="auto"/>
            </w:tcBorders>
          </w:tcPr>
          <w:p w14:paraId="5D74E2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82FE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AE12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B46729" w14:textId="77777777" w:rsidTr="00ED5B0A">
        <w:tc>
          <w:tcPr>
            <w:tcW w:w="1242" w:type="dxa"/>
            <w:tcBorders>
              <w:top w:val="single" w:sz="6" w:space="0" w:color="auto"/>
              <w:left w:val="single" w:sz="6" w:space="0" w:color="auto"/>
              <w:bottom w:val="single" w:sz="6" w:space="0" w:color="auto"/>
              <w:right w:val="single" w:sz="6" w:space="0" w:color="auto"/>
            </w:tcBorders>
          </w:tcPr>
          <w:p w14:paraId="617490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FD53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D66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7E7F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FB5E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E779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C03D5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26F5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3B64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2AE9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033C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CA268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0D807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1E0C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CCF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4CFC37" w14:textId="77777777" w:rsidTr="00ED5B0A">
        <w:tc>
          <w:tcPr>
            <w:tcW w:w="1242" w:type="dxa"/>
            <w:tcBorders>
              <w:top w:val="single" w:sz="6" w:space="0" w:color="auto"/>
              <w:left w:val="single" w:sz="6" w:space="0" w:color="auto"/>
              <w:bottom w:val="single" w:sz="6" w:space="0" w:color="auto"/>
              <w:right w:val="single" w:sz="6" w:space="0" w:color="auto"/>
            </w:tcBorders>
          </w:tcPr>
          <w:p w14:paraId="04E66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50BD3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1AFA9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F902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F21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C2B5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538C0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D416A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ADD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w:t>
            </w:r>
          </w:p>
        </w:tc>
        <w:tc>
          <w:tcPr>
            <w:tcW w:w="848" w:type="dxa"/>
            <w:tcBorders>
              <w:top w:val="single" w:sz="6" w:space="0" w:color="auto"/>
              <w:left w:val="single" w:sz="6" w:space="0" w:color="auto"/>
              <w:bottom w:val="single" w:sz="6" w:space="0" w:color="auto"/>
              <w:right w:val="single" w:sz="6" w:space="0" w:color="auto"/>
            </w:tcBorders>
          </w:tcPr>
          <w:p w14:paraId="060B0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FB4C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4B64B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защита</w:t>
            </w:r>
          </w:p>
        </w:tc>
        <w:tc>
          <w:tcPr>
            <w:tcW w:w="922" w:type="dxa"/>
            <w:tcBorders>
              <w:top w:val="single" w:sz="6" w:space="0" w:color="auto"/>
              <w:left w:val="single" w:sz="6" w:space="0" w:color="auto"/>
              <w:bottom w:val="single" w:sz="6" w:space="0" w:color="auto"/>
              <w:right w:val="single" w:sz="6" w:space="0" w:color="auto"/>
            </w:tcBorders>
          </w:tcPr>
          <w:p w14:paraId="606E7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C8B9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799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B97A3B" w14:textId="77777777" w:rsidTr="00ED5B0A">
        <w:tc>
          <w:tcPr>
            <w:tcW w:w="1242" w:type="dxa"/>
            <w:tcBorders>
              <w:top w:val="single" w:sz="6" w:space="0" w:color="auto"/>
              <w:left w:val="single" w:sz="6" w:space="0" w:color="auto"/>
              <w:bottom w:val="single" w:sz="6" w:space="0" w:color="auto"/>
              <w:right w:val="single" w:sz="6" w:space="0" w:color="auto"/>
            </w:tcBorders>
          </w:tcPr>
          <w:p w14:paraId="5F74C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D46CC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2B32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3B7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8D7B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6443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912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E11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04B4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848" w:type="dxa"/>
            <w:tcBorders>
              <w:top w:val="single" w:sz="6" w:space="0" w:color="auto"/>
              <w:left w:val="single" w:sz="6" w:space="0" w:color="auto"/>
              <w:bottom w:val="single" w:sz="6" w:space="0" w:color="auto"/>
              <w:right w:val="single" w:sz="6" w:space="0" w:color="auto"/>
            </w:tcBorders>
          </w:tcPr>
          <w:p w14:paraId="641898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8F14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22B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жизненных</w:t>
            </w:r>
          </w:p>
        </w:tc>
        <w:tc>
          <w:tcPr>
            <w:tcW w:w="922" w:type="dxa"/>
            <w:tcBorders>
              <w:top w:val="single" w:sz="6" w:space="0" w:color="auto"/>
              <w:left w:val="single" w:sz="6" w:space="0" w:color="auto"/>
              <w:bottom w:val="single" w:sz="6" w:space="0" w:color="auto"/>
              <w:right w:val="single" w:sz="6" w:space="0" w:color="auto"/>
            </w:tcBorders>
          </w:tcPr>
          <w:p w14:paraId="381DE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9A0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72A3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7E2586" w14:textId="77777777" w:rsidTr="00ED5B0A">
        <w:tc>
          <w:tcPr>
            <w:tcW w:w="1242" w:type="dxa"/>
            <w:tcBorders>
              <w:top w:val="single" w:sz="6" w:space="0" w:color="auto"/>
              <w:left w:val="single" w:sz="6" w:space="0" w:color="auto"/>
              <w:bottom w:val="single" w:sz="6" w:space="0" w:color="auto"/>
              <w:right w:val="single" w:sz="6" w:space="0" w:color="auto"/>
            </w:tcBorders>
          </w:tcPr>
          <w:p w14:paraId="1E92D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2B04E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B26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427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76A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644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802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66AF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15B2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61C0D5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DC4D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4275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частей</w:t>
            </w:r>
          </w:p>
        </w:tc>
        <w:tc>
          <w:tcPr>
            <w:tcW w:w="922" w:type="dxa"/>
            <w:tcBorders>
              <w:top w:val="single" w:sz="6" w:space="0" w:color="auto"/>
              <w:left w:val="single" w:sz="6" w:space="0" w:color="auto"/>
              <w:bottom w:val="single" w:sz="6" w:space="0" w:color="auto"/>
              <w:right w:val="single" w:sz="6" w:space="0" w:color="auto"/>
            </w:tcBorders>
          </w:tcPr>
          <w:p w14:paraId="333A5D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200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49141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74BBA5" w14:textId="77777777" w:rsidTr="00ED5B0A">
        <w:tc>
          <w:tcPr>
            <w:tcW w:w="1242" w:type="dxa"/>
            <w:tcBorders>
              <w:top w:val="single" w:sz="6" w:space="0" w:color="auto"/>
              <w:left w:val="single" w:sz="6" w:space="0" w:color="auto"/>
              <w:bottom w:val="single" w:sz="6" w:space="0" w:color="auto"/>
              <w:right w:val="single" w:sz="6" w:space="0" w:color="auto"/>
            </w:tcBorders>
          </w:tcPr>
          <w:p w14:paraId="49727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8844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6772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BAA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B22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FD3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5430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C4AF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9EE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DA36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1156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C7744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и мот.</w:t>
            </w:r>
          </w:p>
        </w:tc>
        <w:tc>
          <w:tcPr>
            <w:tcW w:w="922" w:type="dxa"/>
            <w:tcBorders>
              <w:top w:val="single" w:sz="6" w:space="0" w:color="auto"/>
              <w:left w:val="single" w:sz="6" w:space="0" w:color="auto"/>
              <w:bottom w:val="single" w:sz="6" w:space="0" w:color="auto"/>
              <w:right w:val="single" w:sz="6" w:space="0" w:color="auto"/>
            </w:tcBorders>
          </w:tcPr>
          <w:p w14:paraId="268C42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D5E0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105D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828A40" w14:textId="77777777" w:rsidTr="00ED5B0A">
        <w:tc>
          <w:tcPr>
            <w:tcW w:w="1242" w:type="dxa"/>
            <w:tcBorders>
              <w:top w:val="single" w:sz="6" w:space="0" w:color="auto"/>
              <w:left w:val="single" w:sz="6" w:space="0" w:color="auto"/>
              <w:bottom w:val="single" w:sz="6" w:space="0" w:color="auto"/>
              <w:right w:val="single" w:sz="6" w:space="0" w:color="auto"/>
            </w:tcBorders>
          </w:tcPr>
          <w:p w14:paraId="744F7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7003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8B70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3746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4D32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2C29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7144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6BB5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129F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734306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4C6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75F7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CC5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3014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94E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61B107" w14:textId="77777777" w:rsidTr="00ED5B0A">
        <w:tc>
          <w:tcPr>
            <w:tcW w:w="1242" w:type="dxa"/>
            <w:tcBorders>
              <w:top w:val="single" w:sz="6" w:space="0" w:color="auto"/>
              <w:left w:val="single" w:sz="6" w:space="0" w:color="auto"/>
              <w:bottom w:val="single" w:sz="6" w:space="0" w:color="auto"/>
              <w:right w:val="single" w:sz="6" w:space="0" w:color="auto"/>
            </w:tcBorders>
          </w:tcPr>
          <w:p w14:paraId="06FE5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 Учебно-</w:t>
            </w:r>
            <w:r w:rsidRPr="00271E51">
              <w:rPr>
                <w:rFonts w:ascii="Times New Roman" w:hAnsi="Times New Roman"/>
                <w:color w:val="000000" w:themeColor="text1"/>
                <w:sz w:val="16"/>
                <w:szCs w:val="16"/>
              </w:rPr>
              <w:lastRenderedPageBreak/>
              <w:t>тренировочные и транспортные самолеты</w:t>
            </w:r>
          </w:p>
        </w:tc>
        <w:tc>
          <w:tcPr>
            <w:tcW w:w="431" w:type="dxa"/>
            <w:tcBorders>
              <w:top w:val="single" w:sz="6" w:space="0" w:color="auto"/>
              <w:left w:val="single" w:sz="6" w:space="0" w:color="auto"/>
              <w:bottom w:val="single" w:sz="6" w:space="0" w:color="auto"/>
              <w:right w:val="single" w:sz="6" w:space="0" w:color="auto"/>
            </w:tcBorders>
          </w:tcPr>
          <w:p w14:paraId="6761E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E6E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3125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1027E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AD32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837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9F8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AE70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F0E17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A9A87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540F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96B7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B9C82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E4732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C3A2BD" w14:textId="77777777" w:rsidTr="00ED5B0A">
        <w:tc>
          <w:tcPr>
            <w:tcW w:w="1242" w:type="dxa"/>
            <w:tcBorders>
              <w:top w:val="single" w:sz="6" w:space="0" w:color="auto"/>
              <w:left w:val="single" w:sz="6" w:space="0" w:color="auto"/>
              <w:bottom w:val="single" w:sz="6" w:space="0" w:color="auto"/>
              <w:right w:val="single" w:sz="6" w:space="0" w:color="auto"/>
            </w:tcBorders>
          </w:tcPr>
          <w:p w14:paraId="0AD13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w:t>
            </w:r>
          </w:p>
        </w:tc>
        <w:tc>
          <w:tcPr>
            <w:tcW w:w="431" w:type="dxa"/>
            <w:tcBorders>
              <w:top w:val="single" w:sz="6" w:space="0" w:color="auto"/>
              <w:left w:val="single" w:sz="6" w:space="0" w:color="auto"/>
              <w:bottom w:val="single" w:sz="6" w:space="0" w:color="auto"/>
              <w:right w:val="single" w:sz="6" w:space="0" w:color="auto"/>
            </w:tcBorders>
          </w:tcPr>
          <w:p w14:paraId="1798B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59B12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c>
          <w:tcPr>
            <w:tcW w:w="567" w:type="dxa"/>
            <w:tcBorders>
              <w:top w:val="single" w:sz="6" w:space="0" w:color="auto"/>
              <w:left w:val="single" w:sz="6" w:space="0" w:color="auto"/>
              <w:bottom w:val="single" w:sz="6" w:space="0" w:color="auto"/>
              <w:right w:val="single" w:sz="6" w:space="0" w:color="auto"/>
            </w:tcBorders>
          </w:tcPr>
          <w:p w14:paraId="7C9F7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567" w:type="dxa"/>
            <w:tcBorders>
              <w:top w:val="single" w:sz="6" w:space="0" w:color="auto"/>
              <w:left w:val="single" w:sz="6" w:space="0" w:color="auto"/>
              <w:bottom w:val="single" w:sz="6" w:space="0" w:color="auto"/>
              <w:right w:val="single" w:sz="6" w:space="0" w:color="auto"/>
            </w:tcBorders>
          </w:tcPr>
          <w:p w14:paraId="0D90AB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0221E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6A931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28407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B16C7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43F76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05B12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806E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3AF013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27291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7A1D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7E9C16" w14:textId="77777777" w:rsidTr="00ED5B0A">
        <w:tc>
          <w:tcPr>
            <w:tcW w:w="1242" w:type="dxa"/>
            <w:tcBorders>
              <w:top w:val="single" w:sz="6" w:space="0" w:color="auto"/>
              <w:left w:val="single" w:sz="6" w:space="0" w:color="auto"/>
              <w:bottom w:val="single" w:sz="6" w:space="0" w:color="auto"/>
              <w:right w:val="single" w:sz="6" w:space="0" w:color="auto"/>
            </w:tcBorders>
          </w:tcPr>
          <w:p w14:paraId="7E46FF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w:t>
            </w:r>
          </w:p>
        </w:tc>
        <w:tc>
          <w:tcPr>
            <w:tcW w:w="431" w:type="dxa"/>
            <w:tcBorders>
              <w:top w:val="single" w:sz="6" w:space="0" w:color="auto"/>
              <w:left w:val="single" w:sz="6" w:space="0" w:color="auto"/>
              <w:bottom w:val="single" w:sz="6" w:space="0" w:color="auto"/>
              <w:right w:val="single" w:sz="6" w:space="0" w:color="auto"/>
            </w:tcBorders>
          </w:tcPr>
          <w:p w14:paraId="04BD3A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A7D72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98C08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6100</w:t>
            </w:r>
          </w:p>
        </w:tc>
        <w:tc>
          <w:tcPr>
            <w:tcW w:w="567" w:type="dxa"/>
            <w:tcBorders>
              <w:top w:val="single" w:sz="6" w:space="0" w:color="auto"/>
              <w:left w:val="single" w:sz="6" w:space="0" w:color="auto"/>
              <w:bottom w:val="single" w:sz="6" w:space="0" w:color="auto"/>
              <w:right w:val="single" w:sz="6" w:space="0" w:color="auto"/>
            </w:tcBorders>
          </w:tcPr>
          <w:p w14:paraId="3C2A2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2282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044A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B0E3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052E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DE0ED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8F5B4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50BF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38DE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B8AF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4295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1905F5" w14:textId="77777777" w:rsidTr="00ED5B0A">
        <w:tc>
          <w:tcPr>
            <w:tcW w:w="1242" w:type="dxa"/>
            <w:tcBorders>
              <w:top w:val="single" w:sz="6" w:space="0" w:color="auto"/>
              <w:left w:val="single" w:sz="6" w:space="0" w:color="auto"/>
              <w:bottom w:val="single" w:sz="6" w:space="0" w:color="auto"/>
              <w:right w:val="single" w:sz="6" w:space="0" w:color="auto"/>
            </w:tcBorders>
          </w:tcPr>
          <w:p w14:paraId="6536BC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в</w:t>
            </w:r>
          </w:p>
        </w:tc>
        <w:tc>
          <w:tcPr>
            <w:tcW w:w="431" w:type="dxa"/>
            <w:tcBorders>
              <w:top w:val="single" w:sz="6" w:space="0" w:color="auto"/>
              <w:left w:val="single" w:sz="6" w:space="0" w:color="auto"/>
              <w:bottom w:val="single" w:sz="6" w:space="0" w:color="auto"/>
              <w:right w:val="single" w:sz="6" w:space="0" w:color="auto"/>
            </w:tcBorders>
          </w:tcPr>
          <w:p w14:paraId="7FEC4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9715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13C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364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3CED3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9AB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ED2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F4C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патр.</w:t>
            </w:r>
          </w:p>
        </w:tc>
        <w:tc>
          <w:tcPr>
            <w:tcW w:w="848" w:type="dxa"/>
            <w:tcBorders>
              <w:top w:val="single" w:sz="6" w:space="0" w:color="auto"/>
              <w:left w:val="single" w:sz="6" w:space="0" w:color="auto"/>
              <w:bottom w:val="single" w:sz="6" w:space="0" w:color="auto"/>
              <w:right w:val="single" w:sz="6" w:space="0" w:color="auto"/>
            </w:tcBorders>
          </w:tcPr>
          <w:p w14:paraId="2A9E2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0DD7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8655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978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020F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A272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DD74CF" w14:textId="77777777" w:rsidTr="00ED5B0A">
        <w:tc>
          <w:tcPr>
            <w:tcW w:w="1242" w:type="dxa"/>
            <w:tcBorders>
              <w:top w:val="single" w:sz="6" w:space="0" w:color="auto"/>
              <w:left w:val="single" w:sz="6" w:space="0" w:color="auto"/>
              <w:bottom w:val="single" w:sz="6" w:space="0" w:color="auto"/>
              <w:right w:val="single" w:sz="6" w:space="0" w:color="auto"/>
            </w:tcBorders>
          </w:tcPr>
          <w:p w14:paraId="77065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вывозном</w:t>
            </w:r>
          </w:p>
        </w:tc>
        <w:tc>
          <w:tcPr>
            <w:tcW w:w="431" w:type="dxa"/>
            <w:tcBorders>
              <w:top w:val="single" w:sz="6" w:space="0" w:color="auto"/>
              <w:left w:val="single" w:sz="6" w:space="0" w:color="auto"/>
              <w:bottom w:val="single" w:sz="6" w:space="0" w:color="auto"/>
              <w:right w:val="single" w:sz="6" w:space="0" w:color="auto"/>
            </w:tcBorders>
          </w:tcPr>
          <w:p w14:paraId="497A3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93B9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B366B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BE17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9FFB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805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8977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AF99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фотокинопул.</w:t>
            </w:r>
          </w:p>
        </w:tc>
        <w:tc>
          <w:tcPr>
            <w:tcW w:w="848" w:type="dxa"/>
            <w:tcBorders>
              <w:top w:val="single" w:sz="6" w:space="0" w:color="auto"/>
              <w:left w:val="single" w:sz="6" w:space="0" w:color="auto"/>
              <w:bottom w:val="single" w:sz="6" w:space="0" w:color="auto"/>
              <w:right w:val="single" w:sz="6" w:space="0" w:color="auto"/>
            </w:tcBorders>
          </w:tcPr>
          <w:p w14:paraId="6DAB3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CC954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B09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061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8359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1991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FC0CAC" w14:textId="77777777" w:rsidTr="00ED5B0A">
        <w:tc>
          <w:tcPr>
            <w:tcW w:w="1242" w:type="dxa"/>
            <w:tcBorders>
              <w:top w:val="single" w:sz="6" w:space="0" w:color="auto"/>
              <w:left w:val="single" w:sz="6" w:space="0" w:color="auto"/>
              <w:bottom w:val="single" w:sz="6" w:space="0" w:color="auto"/>
              <w:right w:val="single" w:sz="6" w:space="0" w:color="auto"/>
            </w:tcBorders>
          </w:tcPr>
          <w:p w14:paraId="4CD71D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варианте</w:t>
            </w:r>
          </w:p>
        </w:tc>
        <w:tc>
          <w:tcPr>
            <w:tcW w:w="431" w:type="dxa"/>
            <w:tcBorders>
              <w:top w:val="single" w:sz="6" w:space="0" w:color="auto"/>
              <w:left w:val="single" w:sz="6" w:space="0" w:color="auto"/>
              <w:bottom w:val="single" w:sz="6" w:space="0" w:color="auto"/>
              <w:right w:val="single" w:sz="6" w:space="0" w:color="auto"/>
            </w:tcBorders>
          </w:tcPr>
          <w:p w14:paraId="7381DB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D199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FBA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F91D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DC5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021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2E1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257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1A83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169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7FFD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2159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7A1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DE1C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15B8F1" w14:textId="77777777" w:rsidTr="00ED5B0A">
        <w:tc>
          <w:tcPr>
            <w:tcW w:w="1242" w:type="dxa"/>
            <w:tcBorders>
              <w:top w:val="single" w:sz="6" w:space="0" w:color="auto"/>
              <w:left w:val="single" w:sz="6" w:space="0" w:color="auto"/>
              <w:bottom w:val="single" w:sz="6" w:space="0" w:color="auto"/>
              <w:right w:val="single" w:sz="6" w:space="0" w:color="auto"/>
            </w:tcBorders>
          </w:tcPr>
          <w:p w14:paraId="157EFC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двойным</w:t>
            </w:r>
          </w:p>
        </w:tc>
        <w:tc>
          <w:tcPr>
            <w:tcW w:w="431" w:type="dxa"/>
            <w:tcBorders>
              <w:top w:val="single" w:sz="6" w:space="0" w:color="auto"/>
              <w:left w:val="single" w:sz="6" w:space="0" w:color="auto"/>
              <w:bottom w:val="single" w:sz="6" w:space="0" w:color="auto"/>
              <w:right w:val="single" w:sz="6" w:space="0" w:color="auto"/>
            </w:tcBorders>
          </w:tcPr>
          <w:p w14:paraId="43A2C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BEF1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3320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65B3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8A28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D5C1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B87D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A87C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3C1D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D839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8044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CAD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52CC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2823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71F957" w14:textId="77777777" w:rsidTr="00ED5B0A">
        <w:tc>
          <w:tcPr>
            <w:tcW w:w="1242" w:type="dxa"/>
            <w:tcBorders>
              <w:top w:val="single" w:sz="6" w:space="0" w:color="auto"/>
              <w:left w:val="single" w:sz="6" w:space="0" w:color="auto"/>
              <w:bottom w:val="single" w:sz="6" w:space="0" w:color="auto"/>
              <w:right w:val="single" w:sz="6" w:space="0" w:color="auto"/>
            </w:tcBorders>
          </w:tcPr>
          <w:p w14:paraId="6464B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w:t>
            </w:r>
          </w:p>
        </w:tc>
        <w:tc>
          <w:tcPr>
            <w:tcW w:w="431" w:type="dxa"/>
            <w:tcBorders>
              <w:top w:val="single" w:sz="6" w:space="0" w:color="auto"/>
              <w:left w:val="single" w:sz="6" w:space="0" w:color="auto"/>
              <w:bottom w:val="single" w:sz="6" w:space="0" w:color="auto"/>
              <w:right w:val="single" w:sz="6" w:space="0" w:color="auto"/>
            </w:tcBorders>
          </w:tcPr>
          <w:p w14:paraId="065330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7BF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E41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5D4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DF537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4F3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FF2E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3F38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171E0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8CE9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96D4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57AC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7DB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395B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279A89" w14:textId="77777777" w:rsidTr="00ED5B0A">
        <w:tc>
          <w:tcPr>
            <w:tcW w:w="1242" w:type="dxa"/>
            <w:tcBorders>
              <w:top w:val="single" w:sz="6" w:space="0" w:color="auto"/>
              <w:left w:val="single" w:sz="6" w:space="0" w:color="auto"/>
              <w:bottom w:val="single" w:sz="6" w:space="0" w:color="auto"/>
              <w:right w:val="single" w:sz="6" w:space="0" w:color="auto"/>
            </w:tcBorders>
          </w:tcPr>
          <w:p w14:paraId="0B7745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79A62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532D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F48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212C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A243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02CD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955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B9C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2C6DD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21EE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590FB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60DB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AE94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F7DDA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0CC57C" w14:textId="77777777" w:rsidTr="00ED5B0A">
        <w:tc>
          <w:tcPr>
            <w:tcW w:w="1242" w:type="dxa"/>
            <w:tcBorders>
              <w:top w:val="single" w:sz="6" w:space="0" w:color="auto"/>
              <w:left w:val="single" w:sz="6" w:space="0" w:color="auto"/>
              <w:bottom w:val="single" w:sz="6" w:space="0" w:color="auto"/>
              <w:right w:val="single" w:sz="6" w:space="0" w:color="auto"/>
            </w:tcBorders>
          </w:tcPr>
          <w:p w14:paraId="7C603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w:t>
            </w:r>
          </w:p>
        </w:tc>
        <w:tc>
          <w:tcPr>
            <w:tcW w:w="431" w:type="dxa"/>
            <w:tcBorders>
              <w:top w:val="single" w:sz="6" w:space="0" w:color="auto"/>
              <w:left w:val="single" w:sz="6" w:space="0" w:color="auto"/>
              <w:bottom w:val="single" w:sz="6" w:space="0" w:color="auto"/>
              <w:right w:val="single" w:sz="6" w:space="0" w:color="auto"/>
            </w:tcBorders>
          </w:tcPr>
          <w:p w14:paraId="123B8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128D7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E4B1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6CD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05E4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BFD6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6AB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01EF5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ECAC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571B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723E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50B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8BE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12F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150657" w14:textId="77777777" w:rsidTr="00ED5B0A">
        <w:tc>
          <w:tcPr>
            <w:tcW w:w="1242" w:type="dxa"/>
            <w:tcBorders>
              <w:top w:val="single" w:sz="6" w:space="0" w:color="auto"/>
              <w:left w:val="single" w:sz="6" w:space="0" w:color="auto"/>
              <w:bottom w:val="single" w:sz="6" w:space="0" w:color="auto"/>
              <w:right w:val="single" w:sz="6" w:space="0" w:color="auto"/>
            </w:tcBorders>
          </w:tcPr>
          <w:p w14:paraId="50011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Десант.</w:t>
            </w:r>
          </w:p>
        </w:tc>
        <w:tc>
          <w:tcPr>
            <w:tcW w:w="431" w:type="dxa"/>
            <w:tcBorders>
              <w:top w:val="single" w:sz="6" w:space="0" w:color="auto"/>
              <w:left w:val="single" w:sz="6" w:space="0" w:color="auto"/>
              <w:bottom w:val="single" w:sz="6" w:space="0" w:color="auto"/>
              <w:right w:val="single" w:sz="6" w:space="0" w:color="auto"/>
            </w:tcBorders>
          </w:tcPr>
          <w:p w14:paraId="53FD7B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3E6E9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w:t>
            </w:r>
          </w:p>
        </w:tc>
        <w:tc>
          <w:tcPr>
            <w:tcW w:w="567" w:type="dxa"/>
            <w:tcBorders>
              <w:top w:val="single" w:sz="6" w:space="0" w:color="auto"/>
              <w:left w:val="single" w:sz="6" w:space="0" w:color="auto"/>
              <w:bottom w:val="single" w:sz="6" w:space="0" w:color="auto"/>
              <w:right w:val="single" w:sz="6" w:space="0" w:color="auto"/>
            </w:tcBorders>
          </w:tcPr>
          <w:p w14:paraId="3410F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091BE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w:t>
            </w:r>
          </w:p>
        </w:tc>
        <w:tc>
          <w:tcPr>
            <w:tcW w:w="709" w:type="dxa"/>
            <w:tcBorders>
              <w:top w:val="single" w:sz="6" w:space="0" w:color="auto"/>
              <w:left w:val="single" w:sz="6" w:space="0" w:color="auto"/>
              <w:bottom w:val="single" w:sz="6" w:space="0" w:color="auto"/>
              <w:right w:val="single" w:sz="6" w:space="0" w:color="auto"/>
            </w:tcBorders>
          </w:tcPr>
          <w:p w14:paraId="0DC3ED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w:t>
            </w:r>
          </w:p>
        </w:tc>
        <w:tc>
          <w:tcPr>
            <w:tcW w:w="783" w:type="dxa"/>
            <w:tcBorders>
              <w:top w:val="single" w:sz="6" w:space="0" w:color="auto"/>
              <w:left w:val="single" w:sz="6" w:space="0" w:color="auto"/>
              <w:bottom w:val="single" w:sz="6" w:space="0" w:color="auto"/>
              <w:right w:val="single" w:sz="6" w:space="0" w:color="auto"/>
            </w:tcBorders>
          </w:tcPr>
          <w:p w14:paraId="307CD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10/1000</w:t>
            </w:r>
          </w:p>
        </w:tc>
        <w:tc>
          <w:tcPr>
            <w:tcW w:w="783" w:type="dxa"/>
            <w:tcBorders>
              <w:top w:val="single" w:sz="6" w:space="0" w:color="auto"/>
              <w:left w:val="single" w:sz="6" w:space="0" w:color="auto"/>
              <w:bottom w:val="single" w:sz="6" w:space="0" w:color="auto"/>
              <w:right w:val="single" w:sz="6" w:space="0" w:color="auto"/>
            </w:tcBorders>
          </w:tcPr>
          <w:p w14:paraId="40A141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2300</w:t>
            </w:r>
          </w:p>
        </w:tc>
        <w:tc>
          <w:tcPr>
            <w:tcW w:w="1123" w:type="dxa"/>
            <w:tcBorders>
              <w:top w:val="single" w:sz="6" w:space="0" w:color="auto"/>
              <w:left w:val="single" w:sz="6" w:space="0" w:color="auto"/>
              <w:bottom w:val="single" w:sz="6" w:space="0" w:color="auto"/>
              <w:right w:val="single" w:sz="6" w:space="0" w:color="auto"/>
            </w:tcBorders>
          </w:tcPr>
          <w:p w14:paraId="055195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48" w:type="dxa"/>
            <w:tcBorders>
              <w:top w:val="single" w:sz="6" w:space="0" w:color="auto"/>
              <w:left w:val="single" w:sz="6" w:space="0" w:color="auto"/>
              <w:bottom w:val="single" w:sz="6" w:space="0" w:color="auto"/>
              <w:right w:val="single" w:sz="6" w:space="0" w:color="auto"/>
            </w:tcBorders>
          </w:tcPr>
          <w:p w14:paraId="25E09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330E0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3C639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53DC4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15.VI.43</w:t>
            </w:r>
          </w:p>
        </w:tc>
        <w:tc>
          <w:tcPr>
            <w:tcW w:w="621" w:type="dxa"/>
            <w:tcBorders>
              <w:top w:val="single" w:sz="6" w:space="0" w:color="auto"/>
              <w:left w:val="single" w:sz="6" w:space="0" w:color="auto"/>
              <w:bottom w:val="single" w:sz="6" w:space="0" w:color="auto"/>
              <w:right w:val="single" w:sz="6" w:space="0" w:color="auto"/>
            </w:tcBorders>
          </w:tcPr>
          <w:p w14:paraId="44332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9B6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AE44A2" w14:textId="77777777" w:rsidTr="00ED5B0A">
        <w:tc>
          <w:tcPr>
            <w:tcW w:w="1242" w:type="dxa"/>
            <w:tcBorders>
              <w:top w:val="single" w:sz="6" w:space="0" w:color="auto"/>
              <w:left w:val="single" w:sz="6" w:space="0" w:color="auto"/>
              <w:bottom w:val="single" w:sz="6" w:space="0" w:color="auto"/>
              <w:right w:val="single" w:sz="6" w:space="0" w:color="auto"/>
            </w:tcBorders>
          </w:tcPr>
          <w:p w14:paraId="50A115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транспорт.</w:t>
            </w:r>
          </w:p>
        </w:tc>
        <w:tc>
          <w:tcPr>
            <w:tcW w:w="431" w:type="dxa"/>
            <w:tcBorders>
              <w:top w:val="single" w:sz="6" w:space="0" w:color="auto"/>
              <w:left w:val="single" w:sz="6" w:space="0" w:color="auto"/>
              <w:bottom w:val="single" w:sz="6" w:space="0" w:color="auto"/>
              <w:right w:val="single" w:sz="6" w:space="0" w:color="auto"/>
            </w:tcBorders>
          </w:tcPr>
          <w:p w14:paraId="4EC80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BA193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9B2E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478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F237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7E65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F69D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061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CE0AD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27A7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E534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2F81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76F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E73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6C719B" w14:textId="77777777" w:rsidTr="00ED5B0A">
        <w:tc>
          <w:tcPr>
            <w:tcW w:w="1242" w:type="dxa"/>
            <w:tcBorders>
              <w:top w:val="single" w:sz="6" w:space="0" w:color="auto"/>
              <w:left w:val="single" w:sz="6" w:space="0" w:color="auto"/>
              <w:bottom w:val="single" w:sz="6" w:space="0" w:color="auto"/>
              <w:right w:val="single" w:sz="6" w:space="0" w:color="auto"/>
            </w:tcBorders>
          </w:tcPr>
          <w:p w14:paraId="368BA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ТС-1</w:t>
            </w:r>
          </w:p>
        </w:tc>
        <w:tc>
          <w:tcPr>
            <w:tcW w:w="431" w:type="dxa"/>
            <w:tcBorders>
              <w:top w:val="single" w:sz="6" w:space="0" w:color="auto"/>
              <w:left w:val="single" w:sz="6" w:space="0" w:color="auto"/>
              <w:bottom w:val="single" w:sz="6" w:space="0" w:color="auto"/>
              <w:right w:val="single" w:sz="6" w:space="0" w:color="auto"/>
            </w:tcBorders>
          </w:tcPr>
          <w:p w14:paraId="27A8B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F9A0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08F3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609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963C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AA8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21B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5D161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948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9142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64070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11C3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77E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27F1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C1A281" w14:textId="77777777" w:rsidTr="00ED5B0A">
        <w:tc>
          <w:tcPr>
            <w:tcW w:w="1242" w:type="dxa"/>
            <w:tcBorders>
              <w:top w:val="single" w:sz="6" w:space="0" w:color="auto"/>
              <w:left w:val="single" w:sz="6" w:space="0" w:color="auto"/>
              <w:bottom w:val="single" w:sz="6" w:space="0" w:color="auto"/>
              <w:right w:val="single" w:sz="6" w:space="0" w:color="auto"/>
            </w:tcBorders>
          </w:tcPr>
          <w:p w14:paraId="1B4F2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двумя</w:t>
            </w:r>
          </w:p>
        </w:tc>
        <w:tc>
          <w:tcPr>
            <w:tcW w:w="431" w:type="dxa"/>
            <w:tcBorders>
              <w:top w:val="single" w:sz="6" w:space="0" w:color="auto"/>
              <w:left w:val="single" w:sz="6" w:space="0" w:color="auto"/>
              <w:bottom w:val="single" w:sz="6" w:space="0" w:color="auto"/>
              <w:right w:val="single" w:sz="6" w:space="0" w:color="auto"/>
            </w:tcBorders>
          </w:tcPr>
          <w:p w14:paraId="45EE1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B027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99A8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F4A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608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C467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D275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DE1B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7E24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EE9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42BD8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12BBB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CAC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FDB07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2CE3FC" w14:textId="77777777" w:rsidTr="00ED5B0A">
        <w:tc>
          <w:tcPr>
            <w:tcW w:w="1242" w:type="dxa"/>
            <w:tcBorders>
              <w:top w:val="single" w:sz="6" w:space="0" w:color="auto"/>
              <w:left w:val="single" w:sz="6" w:space="0" w:color="auto"/>
              <w:bottom w:val="single" w:sz="6" w:space="0" w:color="auto"/>
              <w:right w:val="single" w:sz="6" w:space="0" w:color="auto"/>
            </w:tcBorders>
          </w:tcPr>
          <w:p w14:paraId="0F840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М-11Ф</w:t>
            </w:r>
          </w:p>
        </w:tc>
        <w:tc>
          <w:tcPr>
            <w:tcW w:w="431" w:type="dxa"/>
            <w:tcBorders>
              <w:top w:val="single" w:sz="6" w:space="0" w:color="auto"/>
              <w:left w:val="single" w:sz="6" w:space="0" w:color="auto"/>
              <w:bottom w:val="single" w:sz="6" w:space="0" w:color="auto"/>
              <w:right w:val="single" w:sz="6" w:space="0" w:color="auto"/>
            </w:tcBorders>
          </w:tcPr>
          <w:p w14:paraId="57F28B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EE5D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E7E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EFC9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E191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ECEA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F1F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B50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9FACF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5F52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9693B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1084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5CAD4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591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9A9D56" w14:textId="77777777" w:rsidTr="00ED5B0A">
        <w:tc>
          <w:tcPr>
            <w:tcW w:w="1242" w:type="dxa"/>
            <w:tcBorders>
              <w:top w:val="single" w:sz="6" w:space="0" w:color="auto"/>
              <w:left w:val="single" w:sz="6" w:space="0" w:color="auto"/>
              <w:bottom w:val="single" w:sz="6" w:space="0" w:color="auto"/>
              <w:right w:val="single" w:sz="6" w:space="0" w:color="auto"/>
            </w:tcBorders>
          </w:tcPr>
          <w:p w14:paraId="0C330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констукт.</w:t>
            </w:r>
          </w:p>
        </w:tc>
        <w:tc>
          <w:tcPr>
            <w:tcW w:w="431" w:type="dxa"/>
            <w:tcBorders>
              <w:top w:val="single" w:sz="6" w:space="0" w:color="auto"/>
              <w:left w:val="single" w:sz="6" w:space="0" w:color="auto"/>
              <w:bottom w:val="single" w:sz="6" w:space="0" w:color="auto"/>
              <w:right w:val="single" w:sz="6" w:space="0" w:color="auto"/>
            </w:tcBorders>
          </w:tcPr>
          <w:p w14:paraId="1BCAA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942FF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A47B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26F0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CD86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54D8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B6D80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FA03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C71F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BFF6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8425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92E1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5D54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2FE51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407EE5" w14:textId="77777777" w:rsidTr="00ED5B0A">
        <w:tc>
          <w:tcPr>
            <w:tcW w:w="1242" w:type="dxa"/>
            <w:tcBorders>
              <w:top w:val="single" w:sz="6" w:space="0" w:color="auto"/>
              <w:left w:val="single" w:sz="6" w:space="0" w:color="auto"/>
              <w:bottom w:val="single" w:sz="6" w:space="0" w:color="auto"/>
              <w:right w:val="single" w:sz="6" w:space="0" w:color="auto"/>
            </w:tcBorders>
          </w:tcPr>
          <w:p w14:paraId="6392B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Щербаков</w:t>
            </w:r>
          </w:p>
        </w:tc>
        <w:tc>
          <w:tcPr>
            <w:tcW w:w="431" w:type="dxa"/>
            <w:tcBorders>
              <w:top w:val="single" w:sz="6" w:space="0" w:color="auto"/>
              <w:left w:val="single" w:sz="6" w:space="0" w:color="auto"/>
              <w:bottom w:val="single" w:sz="6" w:space="0" w:color="auto"/>
              <w:right w:val="single" w:sz="6" w:space="0" w:color="auto"/>
            </w:tcBorders>
          </w:tcPr>
          <w:p w14:paraId="0FD19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5996B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9C3E0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A92F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096B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650D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EB2C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909A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277E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C5CA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A1C2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1190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0CF6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E369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D6D258" w14:textId="77777777" w:rsidTr="00ED5B0A">
        <w:tc>
          <w:tcPr>
            <w:tcW w:w="1242" w:type="dxa"/>
            <w:tcBorders>
              <w:top w:val="single" w:sz="6" w:space="0" w:color="auto"/>
              <w:left w:val="single" w:sz="6" w:space="0" w:color="auto"/>
              <w:bottom w:val="single" w:sz="6" w:space="0" w:color="auto"/>
              <w:right w:val="single" w:sz="6" w:space="0" w:color="auto"/>
            </w:tcBorders>
          </w:tcPr>
          <w:p w14:paraId="3F50D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 Экспериментальные самолеты</w:t>
            </w:r>
          </w:p>
        </w:tc>
        <w:tc>
          <w:tcPr>
            <w:tcW w:w="431" w:type="dxa"/>
            <w:tcBorders>
              <w:top w:val="single" w:sz="6" w:space="0" w:color="auto"/>
              <w:left w:val="single" w:sz="6" w:space="0" w:color="auto"/>
              <w:bottom w:val="single" w:sz="6" w:space="0" w:color="auto"/>
              <w:right w:val="single" w:sz="6" w:space="0" w:color="auto"/>
            </w:tcBorders>
          </w:tcPr>
          <w:p w14:paraId="1C6B8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6786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9EE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CA6B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FCE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1E2C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CA91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BCF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4FCED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22C7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48E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5090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CBB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58177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11EF59" w14:textId="77777777" w:rsidTr="00ED5B0A">
        <w:tc>
          <w:tcPr>
            <w:tcW w:w="1242" w:type="dxa"/>
            <w:tcBorders>
              <w:top w:val="single" w:sz="6" w:space="0" w:color="auto"/>
              <w:left w:val="single" w:sz="6" w:space="0" w:color="auto"/>
              <w:bottom w:val="single" w:sz="6" w:space="0" w:color="auto"/>
              <w:right w:val="single" w:sz="6" w:space="0" w:color="auto"/>
            </w:tcBorders>
          </w:tcPr>
          <w:p w14:paraId="66507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w:t>
            </w:r>
          </w:p>
        </w:tc>
        <w:tc>
          <w:tcPr>
            <w:tcW w:w="431" w:type="dxa"/>
            <w:tcBorders>
              <w:top w:val="single" w:sz="6" w:space="0" w:color="auto"/>
              <w:left w:val="single" w:sz="6" w:space="0" w:color="auto"/>
              <w:bottom w:val="single" w:sz="6" w:space="0" w:color="auto"/>
              <w:right w:val="single" w:sz="6" w:space="0" w:color="auto"/>
            </w:tcBorders>
          </w:tcPr>
          <w:p w14:paraId="37800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03" w:type="dxa"/>
            <w:tcBorders>
              <w:top w:val="single" w:sz="6" w:space="0" w:color="auto"/>
              <w:left w:val="single" w:sz="6" w:space="0" w:color="auto"/>
              <w:bottom w:val="single" w:sz="6" w:space="0" w:color="auto"/>
              <w:right w:val="single" w:sz="6" w:space="0" w:color="auto"/>
            </w:tcBorders>
          </w:tcPr>
          <w:p w14:paraId="457D0A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69044D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850-900</w:t>
            </w:r>
          </w:p>
        </w:tc>
        <w:tc>
          <w:tcPr>
            <w:tcW w:w="567" w:type="dxa"/>
            <w:tcBorders>
              <w:top w:val="single" w:sz="6" w:space="0" w:color="auto"/>
              <w:left w:val="single" w:sz="6" w:space="0" w:color="auto"/>
              <w:bottom w:val="single" w:sz="6" w:space="0" w:color="auto"/>
              <w:right w:val="single" w:sz="6" w:space="0" w:color="auto"/>
            </w:tcBorders>
          </w:tcPr>
          <w:p w14:paraId="652AC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709" w:type="dxa"/>
            <w:tcBorders>
              <w:top w:val="single" w:sz="6" w:space="0" w:color="auto"/>
              <w:left w:val="single" w:sz="6" w:space="0" w:color="auto"/>
              <w:bottom w:val="single" w:sz="6" w:space="0" w:color="auto"/>
              <w:right w:val="single" w:sz="6" w:space="0" w:color="auto"/>
            </w:tcBorders>
          </w:tcPr>
          <w:p w14:paraId="34BBF1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w:t>
            </w:r>
          </w:p>
        </w:tc>
        <w:tc>
          <w:tcPr>
            <w:tcW w:w="783" w:type="dxa"/>
            <w:tcBorders>
              <w:top w:val="single" w:sz="6" w:space="0" w:color="auto"/>
              <w:left w:val="single" w:sz="6" w:space="0" w:color="auto"/>
              <w:bottom w:val="single" w:sz="6" w:space="0" w:color="auto"/>
              <w:right w:val="single" w:sz="6" w:space="0" w:color="auto"/>
            </w:tcBorders>
          </w:tcPr>
          <w:p w14:paraId="292929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30/5000</w:t>
            </w:r>
          </w:p>
        </w:tc>
        <w:tc>
          <w:tcPr>
            <w:tcW w:w="783" w:type="dxa"/>
            <w:tcBorders>
              <w:top w:val="single" w:sz="6" w:space="0" w:color="auto"/>
              <w:left w:val="single" w:sz="6" w:space="0" w:color="auto"/>
              <w:bottom w:val="single" w:sz="6" w:space="0" w:color="auto"/>
              <w:right w:val="single" w:sz="6" w:space="0" w:color="auto"/>
            </w:tcBorders>
          </w:tcPr>
          <w:p w14:paraId="2B386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tc>
        <w:tc>
          <w:tcPr>
            <w:tcW w:w="1123" w:type="dxa"/>
            <w:tcBorders>
              <w:top w:val="single" w:sz="6" w:space="0" w:color="auto"/>
              <w:left w:val="single" w:sz="6" w:space="0" w:color="auto"/>
              <w:bottom w:val="single" w:sz="6" w:space="0" w:color="auto"/>
              <w:right w:val="single" w:sz="6" w:space="0" w:color="auto"/>
            </w:tcBorders>
          </w:tcPr>
          <w:p w14:paraId="2D471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1C709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274AA8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762A7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55A541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3FBDF5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w:t>
            </w:r>
          </w:p>
        </w:tc>
        <w:tc>
          <w:tcPr>
            <w:tcW w:w="621" w:type="dxa"/>
            <w:tcBorders>
              <w:top w:val="single" w:sz="6" w:space="0" w:color="auto"/>
              <w:left w:val="single" w:sz="6" w:space="0" w:color="auto"/>
              <w:bottom w:val="single" w:sz="6" w:space="0" w:color="auto"/>
              <w:right w:val="single" w:sz="6" w:space="0" w:color="auto"/>
            </w:tcBorders>
          </w:tcPr>
          <w:p w14:paraId="756FD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77B46E" w14:textId="77777777" w:rsidTr="00ED5B0A">
        <w:tc>
          <w:tcPr>
            <w:tcW w:w="1242" w:type="dxa"/>
            <w:tcBorders>
              <w:top w:val="single" w:sz="6" w:space="0" w:color="auto"/>
              <w:left w:val="single" w:sz="6" w:space="0" w:color="auto"/>
              <w:bottom w:val="single" w:sz="6" w:space="0" w:color="auto"/>
              <w:right w:val="single" w:sz="6" w:space="0" w:color="auto"/>
            </w:tcBorders>
          </w:tcPr>
          <w:p w14:paraId="4E1825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0F51C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2D7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F214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B1DC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6156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полета</w:t>
            </w:r>
          </w:p>
        </w:tc>
        <w:tc>
          <w:tcPr>
            <w:tcW w:w="783" w:type="dxa"/>
            <w:tcBorders>
              <w:top w:val="single" w:sz="6" w:space="0" w:color="auto"/>
              <w:left w:val="single" w:sz="6" w:space="0" w:color="auto"/>
              <w:bottom w:val="single" w:sz="6" w:space="0" w:color="auto"/>
              <w:right w:val="single" w:sz="6" w:space="0" w:color="auto"/>
            </w:tcBorders>
          </w:tcPr>
          <w:p w14:paraId="553E5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4905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267F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1FF97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F94D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6A3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DF69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E55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доводочные</w:t>
            </w:r>
          </w:p>
        </w:tc>
        <w:tc>
          <w:tcPr>
            <w:tcW w:w="621" w:type="dxa"/>
            <w:tcBorders>
              <w:top w:val="single" w:sz="6" w:space="0" w:color="auto"/>
              <w:left w:val="single" w:sz="6" w:space="0" w:color="auto"/>
              <w:bottom w:val="single" w:sz="6" w:space="0" w:color="auto"/>
              <w:right w:val="single" w:sz="6" w:space="0" w:color="auto"/>
            </w:tcBorders>
          </w:tcPr>
          <w:p w14:paraId="7EF50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670EEE" w14:textId="77777777" w:rsidTr="00ED5B0A">
        <w:tc>
          <w:tcPr>
            <w:tcW w:w="1242" w:type="dxa"/>
            <w:tcBorders>
              <w:top w:val="single" w:sz="6" w:space="0" w:color="auto"/>
              <w:left w:val="single" w:sz="6" w:space="0" w:color="auto"/>
              <w:bottom w:val="single" w:sz="6" w:space="0" w:color="auto"/>
              <w:right w:val="single" w:sz="6" w:space="0" w:color="auto"/>
            </w:tcBorders>
          </w:tcPr>
          <w:p w14:paraId="20518F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перехват.</w:t>
            </w:r>
          </w:p>
        </w:tc>
        <w:tc>
          <w:tcPr>
            <w:tcW w:w="431" w:type="dxa"/>
            <w:tcBorders>
              <w:top w:val="single" w:sz="6" w:space="0" w:color="auto"/>
              <w:left w:val="single" w:sz="6" w:space="0" w:color="auto"/>
              <w:bottom w:val="single" w:sz="6" w:space="0" w:color="auto"/>
              <w:right w:val="single" w:sz="6" w:space="0" w:color="auto"/>
            </w:tcBorders>
          </w:tcPr>
          <w:p w14:paraId="740DC7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A3F8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08E3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5BE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2E1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мин.</w:t>
            </w:r>
          </w:p>
        </w:tc>
        <w:tc>
          <w:tcPr>
            <w:tcW w:w="783" w:type="dxa"/>
            <w:tcBorders>
              <w:top w:val="single" w:sz="6" w:space="0" w:color="auto"/>
              <w:left w:val="single" w:sz="6" w:space="0" w:color="auto"/>
              <w:bottom w:val="single" w:sz="6" w:space="0" w:color="auto"/>
              <w:right w:val="single" w:sz="6" w:space="0" w:color="auto"/>
            </w:tcBorders>
          </w:tcPr>
          <w:p w14:paraId="5A5737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F09A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F63F6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 патр.</w:t>
            </w:r>
          </w:p>
        </w:tc>
        <w:tc>
          <w:tcPr>
            <w:tcW w:w="848" w:type="dxa"/>
            <w:tcBorders>
              <w:top w:val="single" w:sz="6" w:space="0" w:color="auto"/>
              <w:left w:val="single" w:sz="6" w:space="0" w:color="auto"/>
              <w:bottom w:val="single" w:sz="6" w:space="0" w:color="auto"/>
              <w:right w:val="single" w:sz="6" w:space="0" w:color="auto"/>
            </w:tcBorders>
          </w:tcPr>
          <w:p w14:paraId="48E3D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61C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C6C3B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3CB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81FB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w:t>
            </w:r>
          </w:p>
        </w:tc>
        <w:tc>
          <w:tcPr>
            <w:tcW w:w="621" w:type="dxa"/>
            <w:tcBorders>
              <w:top w:val="single" w:sz="6" w:space="0" w:color="auto"/>
              <w:left w:val="single" w:sz="6" w:space="0" w:color="auto"/>
              <w:bottom w:val="single" w:sz="6" w:space="0" w:color="auto"/>
              <w:right w:val="single" w:sz="6" w:space="0" w:color="auto"/>
            </w:tcBorders>
          </w:tcPr>
          <w:p w14:paraId="23916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D05735" w14:textId="77777777" w:rsidTr="00ED5B0A">
        <w:tc>
          <w:tcPr>
            <w:tcW w:w="1242" w:type="dxa"/>
            <w:tcBorders>
              <w:top w:val="single" w:sz="6" w:space="0" w:color="auto"/>
              <w:left w:val="single" w:sz="6" w:space="0" w:color="auto"/>
              <w:bottom w:val="single" w:sz="6" w:space="0" w:color="auto"/>
              <w:right w:val="single" w:sz="6" w:space="0" w:color="auto"/>
            </w:tcBorders>
          </w:tcPr>
          <w:p w14:paraId="5BB47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349FB2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7EBC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05AB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9E38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6E7F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w:t>
            </w:r>
          </w:p>
        </w:tc>
        <w:tc>
          <w:tcPr>
            <w:tcW w:w="783" w:type="dxa"/>
            <w:tcBorders>
              <w:top w:val="single" w:sz="6" w:space="0" w:color="auto"/>
              <w:left w:val="single" w:sz="6" w:space="0" w:color="auto"/>
              <w:bottom w:val="single" w:sz="6" w:space="0" w:color="auto"/>
              <w:right w:val="single" w:sz="6" w:space="0" w:color="auto"/>
            </w:tcBorders>
          </w:tcPr>
          <w:p w14:paraId="7C3B01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C69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33FC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602F1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E25F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96AD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8BD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CEA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201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08A35C" w14:textId="77777777" w:rsidTr="00ED5B0A">
        <w:tc>
          <w:tcPr>
            <w:tcW w:w="1242" w:type="dxa"/>
            <w:tcBorders>
              <w:top w:val="single" w:sz="6" w:space="0" w:color="auto"/>
              <w:left w:val="single" w:sz="6" w:space="0" w:color="auto"/>
              <w:bottom w:val="single" w:sz="6" w:space="0" w:color="auto"/>
              <w:right w:val="single" w:sz="6" w:space="0" w:color="auto"/>
            </w:tcBorders>
          </w:tcPr>
          <w:p w14:paraId="5FAE92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Болховитинов</w:t>
            </w:r>
          </w:p>
        </w:tc>
        <w:tc>
          <w:tcPr>
            <w:tcW w:w="431" w:type="dxa"/>
            <w:tcBorders>
              <w:top w:val="single" w:sz="6" w:space="0" w:color="auto"/>
              <w:left w:val="single" w:sz="6" w:space="0" w:color="auto"/>
              <w:bottom w:val="single" w:sz="6" w:space="0" w:color="auto"/>
              <w:right w:val="single" w:sz="6" w:space="0" w:color="auto"/>
            </w:tcBorders>
          </w:tcPr>
          <w:p w14:paraId="4729AC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C88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BAE9B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844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9C9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max</w:t>
            </w:r>
          </w:p>
        </w:tc>
        <w:tc>
          <w:tcPr>
            <w:tcW w:w="783" w:type="dxa"/>
            <w:tcBorders>
              <w:top w:val="single" w:sz="6" w:space="0" w:color="auto"/>
              <w:left w:val="single" w:sz="6" w:space="0" w:color="auto"/>
              <w:bottom w:val="single" w:sz="6" w:space="0" w:color="auto"/>
              <w:right w:val="single" w:sz="6" w:space="0" w:color="auto"/>
            </w:tcBorders>
          </w:tcPr>
          <w:p w14:paraId="5D561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D5E4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7A4B7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3522F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A202E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AEF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14F3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D3F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7942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591D55" w14:textId="77777777" w:rsidTr="00ED5B0A">
        <w:tc>
          <w:tcPr>
            <w:tcW w:w="1242" w:type="dxa"/>
            <w:tcBorders>
              <w:top w:val="single" w:sz="6" w:space="0" w:color="auto"/>
              <w:left w:val="single" w:sz="6" w:space="0" w:color="auto"/>
              <w:bottom w:val="single" w:sz="6" w:space="0" w:color="auto"/>
              <w:right w:val="single" w:sz="6" w:space="0" w:color="auto"/>
            </w:tcBorders>
          </w:tcPr>
          <w:p w14:paraId="056FD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2F45E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8746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2B2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04C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586AA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0A458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023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601D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1F0D43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AE252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80C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7C1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AEEA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C5C6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FD5091" w14:textId="77777777" w:rsidTr="00ED5B0A">
        <w:tc>
          <w:tcPr>
            <w:tcW w:w="1242" w:type="dxa"/>
            <w:tcBorders>
              <w:top w:val="single" w:sz="6" w:space="0" w:color="auto"/>
              <w:left w:val="single" w:sz="6" w:space="0" w:color="auto"/>
              <w:bottom w:val="single" w:sz="6" w:space="0" w:color="auto"/>
              <w:right w:val="single" w:sz="6" w:space="0" w:color="auto"/>
            </w:tcBorders>
          </w:tcPr>
          <w:p w14:paraId="1BC71D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0BF8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F587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042E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12E2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2AD58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120-170 км</w:t>
            </w:r>
          </w:p>
        </w:tc>
        <w:tc>
          <w:tcPr>
            <w:tcW w:w="783" w:type="dxa"/>
            <w:tcBorders>
              <w:top w:val="single" w:sz="6" w:space="0" w:color="auto"/>
              <w:left w:val="single" w:sz="6" w:space="0" w:color="auto"/>
              <w:bottom w:val="single" w:sz="6" w:space="0" w:color="auto"/>
              <w:right w:val="single" w:sz="6" w:space="0" w:color="auto"/>
            </w:tcBorders>
          </w:tcPr>
          <w:p w14:paraId="5F1F5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299E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C12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0784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2732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BCF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8721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18B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229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8534B3" w14:textId="77777777" w:rsidTr="00ED5B0A">
        <w:tc>
          <w:tcPr>
            <w:tcW w:w="1242" w:type="dxa"/>
            <w:tcBorders>
              <w:top w:val="single" w:sz="6" w:space="0" w:color="auto"/>
              <w:left w:val="single" w:sz="6" w:space="0" w:color="auto"/>
              <w:bottom w:val="single" w:sz="6" w:space="0" w:color="auto"/>
              <w:right w:val="single" w:sz="6" w:space="0" w:color="auto"/>
            </w:tcBorders>
          </w:tcPr>
          <w:p w14:paraId="270878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Модерниз.2</w:t>
            </w:r>
          </w:p>
        </w:tc>
        <w:tc>
          <w:tcPr>
            <w:tcW w:w="431" w:type="dxa"/>
            <w:tcBorders>
              <w:top w:val="single" w:sz="6" w:space="0" w:color="auto"/>
              <w:left w:val="single" w:sz="6" w:space="0" w:color="auto"/>
              <w:bottom w:val="single" w:sz="6" w:space="0" w:color="auto"/>
              <w:right w:val="single" w:sz="6" w:space="0" w:color="auto"/>
            </w:tcBorders>
          </w:tcPr>
          <w:p w14:paraId="0AFC3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960</w:t>
            </w:r>
          </w:p>
        </w:tc>
        <w:tc>
          <w:tcPr>
            <w:tcW w:w="703" w:type="dxa"/>
            <w:tcBorders>
              <w:top w:val="single" w:sz="6" w:space="0" w:color="auto"/>
              <w:left w:val="single" w:sz="6" w:space="0" w:color="auto"/>
              <w:bottom w:val="single" w:sz="6" w:space="0" w:color="auto"/>
              <w:right w:val="single" w:sz="6" w:space="0" w:color="auto"/>
            </w:tcBorders>
          </w:tcPr>
          <w:p w14:paraId="09472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567" w:type="dxa"/>
            <w:tcBorders>
              <w:top w:val="single" w:sz="6" w:space="0" w:color="auto"/>
              <w:left w:val="single" w:sz="6" w:space="0" w:color="auto"/>
              <w:bottom w:val="single" w:sz="6" w:space="0" w:color="auto"/>
              <w:right w:val="single" w:sz="6" w:space="0" w:color="auto"/>
            </w:tcBorders>
          </w:tcPr>
          <w:p w14:paraId="08CABA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567" w:type="dxa"/>
            <w:tcBorders>
              <w:top w:val="single" w:sz="6" w:space="0" w:color="auto"/>
              <w:left w:val="single" w:sz="6" w:space="0" w:color="auto"/>
              <w:bottom w:val="single" w:sz="6" w:space="0" w:color="auto"/>
              <w:right w:val="single" w:sz="6" w:space="0" w:color="auto"/>
            </w:tcBorders>
          </w:tcPr>
          <w:p w14:paraId="64635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w:t>
            </w:r>
          </w:p>
        </w:tc>
        <w:tc>
          <w:tcPr>
            <w:tcW w:w="709" w:type="dxa"/>
            <w:tcBorders>
              <w:top w:val="single" w:sz="6" w:space="0" w:color="auto"/>
              <w:left w:val="single" w:sz="6" w:space="0" w:color="auto"/>
              <w:bottom w:val="single" w:sz="6" w:space="0" w:color="auto"/>
              <w:right w:val="single" w:sz="6" w:space="0" w:color="auto"/>
            </w:tcBorders>
          </w:tcPr>
          <w:p w14:paraId="533700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w:t>
            </w:r>
          </w:p>
        </w:tc>
        <w:tc>
          <w:tcPr>
            <w:tcW w:w="783" w:type="dxa"/>
            <w:tcBorders>
              <w:top w:val="single" w:sz="6" w:space="0" w:color="auto"/>
              <w:left w:val="single" w:sz="6" w:space="0" w:color="auto"/>
              <w:bottom w:val="single" w:sz="6" w:space="0" w:color="auto"/>
              <w:right w:val="single" w:sz="6" w:space="0" w:color="auto"/>
            </w:tcBorders>
          </w:tcPr>
          <w:p w14:paraId="00177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783" w:type="dxa"/>
            <w:tcBorders>
              <w:top w:val="single" w:sz="6" w:space="0" w:color="auto"/>
              <w:left w:val="single" w:sz="6" w:space="0" w:color="auto"/>
              <w:bottom w:val="single" w:sz="6" w:space="0" w:color="auto"/>
              <w:right w:val="single" w:sz="6" w:space="0" w:color="auto"/>
            </w:tcBorders>
          </w:tcPr>
          <w:p w14:paraId="2049DF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D13FE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131FD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476C17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18DA8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123A4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15.VII.43</w:t>
            </w:r>
          </w:p>
        </w:tc>
        <w:tc>
          <w:tcPr>
            <w:tcW w:w="621" w:type="dxa"/>
            <w:tcBorders>
              <w:top w:val="single" w:sz="6" w:space="0" w:color="auto"/>
              <w:left w:val="single" w:sz="6" w:space="0" w:color="auto"/>
              <w:bottom w:val="single" w:sz="6" w:space="0" w:color="auto"/>
              <w:right w:val="single" w:sz="6" w:space="0" w:color="auto"/>
            </w:tcBorders>
          </w:tcPr>
          <w:p w14:paraId="5FE93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9D09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7DE06E" w14:textId="77777777" w:rsidTr="00ED5B0A">
        <w:tc>
          <w:tcPr>
            <w:tcW w:w="1242" w:type="dxa"/>
            <w:tcBorders>
              <w:top w:val="single" w:sz="6" w:space="0" w:color="auto"/>
              <w:left w:val="single" w:sz="6" w:space="0" w:color="auto"/>
              <w:bottom w:val="single" w:sz="6" w:space="0" w:color="auto"/>
              <w:right w:val="single" w:sz="6" w:space="0" w:color="auto"/>
            </w:tcBorders>
          </w:tcPr>
          <w:p w14:paraId="5843B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этого же</w:t>
            </w:r>
          </w:p>
        </w:tc>
        <w:tc>
          <w:tcPr>
            <w:tcW w:w="431" w:type="dxa"/>
            <w:tcBorders>
              <w:top w:val="single" w:sz="6" w:space="0" w:color="auto"/>
              <w:left w:val="single" w:sz="6" w:space="0" w:color="auto"/>
              <w:bottom w:val="single" w:sz="6" w:space="0" w:color="auto"/>
              <w:right w:val="single" w:sz="6" w:space="0" w:color="auto"/>
            </w:tcBorders>
          </w:tcPr>
          <w:p w14:paraId="37F32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74CC1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567" w:type="dxa"/>
            <w:tcBorders>
              <w:top w:val="single" w:sz="6" w:space="0" w:color="auto"/>
              <w:left w:val="single" w:sz="6" w:space="0" w:color="auto"/>
              <w:bottom w:val="single" w:sz="6" w:space="0" w:color="auto"/>
              <w:right w:val="single" w:sz="6" w:space="0" w:color="auto"/>
            </w:tcBorders>
          </w:tcPr>
          <w:p w14:paraId="26B44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3EA5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полета</w:t>
            </w:r>
          </w:p>
        </w:tc>
        <w:tc>
          <w:tcPr>
            <w:tcW w:w="709" w:type="dxa"/>
            <w:tcBorders>
              <w:top w:val="single" w:sz="6" w:space="0" w:color="auto"/>
              <w:left w:val="single" w:sz="6" w:space="0" w:color="auto"/>
              <w:bottom w:val="single" w:sz="6" w:space="0" w:color="auto"/>
              <w:right w:val="single" w:sz="6" w:space="0" w:color="auto"/>
            </w:tcBorders>
          </w:tcPr>
          <w:p w14:paraId="3A61D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783" w:type="dxa"/>
            <w:tcBorders>
              <w:top w:val="single" w:sz="6" w:space="0" w:color="auto"/>
              <w:left w:val="single" w:sz="6" w:space="0" w:color="auto"/>
              <w:bottom w:val="single" w:sz="6" w:space="0" w:color="auto"/>
              <w:right w:val="single" w:sz="6" w:space="0" w:color="auto"/>
            </w:tcBorders>
          </w:tcPr>
          <w:p w14:paraId="56E113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BB00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80C0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1BC2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9CF46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CC3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B6B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76EC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36E8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2D1D3B" w14:textId="77777777" w:rsidTr="00ED5B0A">
        <w:tc>
          <w:tcPr>
            <w:tcW w:w="1242" w:type="dxa"/>
            <w:tcBorders>
              <w:top w:val="single" w:sz="6" w:space="0" w:color="auto"/>
              <w:left w:val="single" w:sz="6" w:space="0" w:color="auto"/>
              <w:bottom w:val="single" w:sz="6" w:space="0" w:color="auto"/>
              <w:right w:val="single" w:sz="6" w:space="0" w:color="auto"/>
            </w:tcBorders>
          </w:tcPr>
          <w:p w14:paraId="491793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со</w:t>
            </w:r>
          </w:p>
        </w:tc>
        <w:tc>
          <w:tcPr>
            <w:tcW w:w="431" w:type="dxa"/>
            <w:tcBorders>
              <w:top w:val="single" w:sz="6" w:space="0" w:color="auto"/>
              <w:left w:val="single" w:sz="6" w:space="0" w:color="auto"/>
              <w:bottom w:val="single" w:sz="6" w:space="0" w:color="auto"/>
              <w:right w:val="single" w:sz="6" w:space="0" w:color="auto"/>
            </w:tcBorders>
          </w:tcPr>
          <w:p w14:paraId="289305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4AA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E554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F8F3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B99AE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 мин.</w:t>
            </w:r>
          </w:p>
        </w:tc>
        <w:tc>
          <w:tcPr>
            <w:tcW w:w="783" w:type="dxa"/>
            <w:tcBorders>
              <w:top w:val="single" w:sz="6" w:space="0" w:color="auto"/>
              <w:left w:val="single" w:sz="6" w:space="0" w:color="auto"/>
              <w:bottom w:val="single" w:sz="6" w:space="0" w:color="auto"/>
              <w:right w:val="single" w:sz="6" w:space="0" w:color="auto"/>
            </w:tcBorders>
          </w:tcPr>
          <w:p w14:paraId="11BAF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C185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2B0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7B0AF2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E046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9D9F0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F44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75C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C589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B6AA34" w14:textId="77777777" w:rsidTr="00ED5B0A">
        <w:tc>
          <w:tcPr>
            <w:tcW w:w="1242" w:type="dxa"/>
            <w:tcBorders>
              <w:top w:val="single" w:sz="6" w:space="0" w:color="auto"/>
              <w:left w:val="single" w:sz="6" w:space="0" w:color="auto"/>
              <w:bottom w:val="single" w:sz="6" w:space="0" w:color="auto"/>
              <w:right w:val="single" w:sz="6" w:space="0" w:color="auto"/>
            </w:tcBorders>
          </w:tcPr>
          <w:p w14:paraId="2DC720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сферич.</w:t>
            </w:r>
          </w:p>
        </w:tc>
        <w:tc>
          <w:tcPr>
            <w:tcW w:w="431" w:type="dxa"/>
            <w:tcBorders>
              <w:top w:val="single" w:sz="6" w:space="0" w:color="auto"/>
              <w:left w:val="single" w:sz="6" w:space="0" w:color="auto"/>
              <w:bottom w:val="single" w:sz="6" w:space="0" w:color="auto"/>
              <w:right w:val="single" w:sz="6" w:space="0" w:color="auto"/>
            </w:tcBorders>
          </w:tcPr>
          <w:p w14:paraId="4B3C4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6F85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56E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4D53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68EED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w:t>
            </w:r>
          </w:p>
        </w:tc>
        <w:tc>
          <w:tcPr>
            <w:tcW w:w="783" w:type="dxa"/>
            <w:tcBorders>
              <w:top w:val="single" w:sz="6" w:space="0" w:color="auto"/>
              <w:left w:val="single" w:sz="6" w:space="0" w:color="auto"/>
              <w:bottom w:val="single" w:sz="6" w:space="0" w:color="auto"/>
              <w:right w:val="single" w:sz="6" w:space="0" w:color="auto"/>
            </w:tcBorders>
          </w:tcPr>
          <w:p w14:paraId="2445E4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8528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BC7B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36DE2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4A1BB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A10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6EB0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7F4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856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750D90" w14:textId="77777777" w:rsidTr="00ED5B0A">
        <w:tc>
          <w:tcPr>
            <w:tcW w:w="1242" w:type="dxa"/>
            <w:tcBorders>
              <w:top w:val="single" w:sz="6" w:space="0" w:color="auto"/>
              <w:left w:val="single" w:sz="6" w:space="0" w:color="auto"/>
              <w:bottom w:val="single" w:sz="6" w:space="0" w:color="auto"/>
              <w:right w:val="single" w:sz="6" w:space="0" w:color="auto"/>
            </w:tcBorders>
          </w:tcPr>
          <w:p w14:paraId="67AC6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баками</w:t>
            </w:r>
          </w:p>
        </w:tc>
        <w:tc>
          <w:tcPr>
            <w:tcW w:w="431" w:type="dxa"/>
            <w:tcBorders>
              <w:top w:val="single" w:sz="6" w:space="0" w:color="auto"/>
              <w:left w:val="single" w:sz="6" w:space="0" w:color="auto"/>
              <w:bottom w:val="single" w:sz="6" w:space="0" w:color="auto"/>
              <w:right w:val="single" w:sz="6" w:space="0" w:color="auto"/>
            </w:tcBorders>
          </w:tcPr>
          <w:p w14:paraId="5B24A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4D5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6106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4E8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8C18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км/час</w:t>
            </w:r>
          </w:p>
        </w:tc>
        <w:tc>
          <w:tcPr>
            <w:tcW w:w="783" w:type="dxa"/>
            <w:tcBorders>
              <w:top w:val="single" w:sz="6" w:space="0" w:color="auto"/>
              <w:left w:val="single" w:sz="6" w:space="0" w:color="auto"/>
              <w:bottom w:val="single" w:sz="6" w:space="0" w:color="auto"/>
              <w:right w:val="single" w:sz="6" w:space="0" w:color="auto"/>
            </w:tcBorders>
          </w:tcPr>
          <w:p w14:paraId="1A9B75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FF0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AC432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3C10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F26E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2AAF8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0D9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88873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B45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DA37FF" w14:textId="77777777" w:rsidTr="00ED5B0A">
        <w:tc>
          <w:tcPr>
            <w:tcW w:w="1242" w:type="dxa"/>
            <w:tcBorders>
              <w:top w:val="single" w:sz="6" w:space="0" w:color="auto"/>
              <w:left w:val="single" w:sz="6" w:space="0" w:color="auto"/>
              <w:bottom w:val="single" w:sz="6" w:space="0" w:color="auto"/>
              <w:right w:val="single" w:sz="6" w:space="0" w:color="auto"/>
            </w:tcBorders>
          </w:tcPr>
          <w:p w14:paraId="32963C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Модерниз.2</w:t>
            </w:r>
          </w:p>
        </w:tc>
        <w:tc>
          <w:tcPr>
            <w:tcW w:w="431" w:type="dxa"/>
            <w:tcBorders>
              <w:top w:val="single" w:sz="6" w:space="0" w:color="auto"/>
              <w:left w:val="single" w:sz="6" w:space="0" w:color="auto"/>
              <w:bottom w:val="single" w:sz="6" w:space="0" w:color="auto"/>
              <w:right w:val="single" w:sz="6" w:space="0" w:color="auto"/>
            </w:tcBorders>
          </w:tcPr>
          <w:p w14:paraId="488DB0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703" w:type="dxa"/>
            <w:tcBorders>
              <w:top w:val="single" w:sz="6" w:space="0" w:color="auto"/>
              <w:left w:val="single" w:sz="6" w:space="0" w:color="auto"/>
              <w:bottom w:val="single" w:sz="6" w:space="0" w:color="auto"/>
              <w:right w:val="single" w:sz="6" w:space="0" w:color="auto"/>
            </w:tcBorders>
          </w:tcPr>
          <w:p w14:paraId="7EC0C6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567" w:type="dxa"/>
            <w:tcBorders>
              <w:top w:val="single" w:sz="6" w:space="0" w:color="auto"/>
              <w:left w:val="single" w:sz="6" w:space="0" w:color="auto"/>
              <w:bottom w:val="single" w:sz="6" w:space="0" w:color="auto"/>
              <w:right w:val="single" w:sz="6" w:space="0" w:color="auto"/>
            </w:tcBorders>
          </w:tcPr>
          <w:p w14:paraId="44959A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567" w:type="dxa"/>
            <w:tcBorders>
              <w:top w:val="single" w:sz="6" w:space="0" w:color="auto"/>
              <w:left w:val="single" w:sz="6" w:space="0" w:color="auto"/>
              <w:bottom w:val="single" w:sz="6" w:space="0" w:color="auto"/>
              <w:right w:val="single" w:sz="6" w:space="0" w:color="auto"/>
            </w:tcBorders>
          </w:tcPr>
          <w:p w14:paraId="3A42D6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w:t>
            </w:r>
          </w:p>
        </w:tc>
        <w:tc>
          <w:tcPr>
            <w:tcW w:w="709" w:type="dxa"/>
            <w:tcBorders>
              <w:top w:val="single" w:sz="6" w:space="0" w:color="auto"/>
              <w:left w:val="single" w:sz="6" w:space="0" w:color="auto"/>
              <w:bottom w:val="single" w:sz="6" w:space="0" w:color="auto"/>
              <w:right w:val="single" w:sz="6" w:space="0" w:color="auto"/>
            </w:tcBorders>
          </w:tcPr>
          <w:p w14:paraId="311DBD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5/1000</w:t>
            </w:r>
          </w:p>
        </w:tc>
        <w:tc>
          <w:tcPr>
            <w:tcW w:w="783" w:type="dxa"/>
            <w:tcBorders>
              <w:top w:val="single" w:sz="6" w:space="0" w:color="auto"/>
              <w:left w:val="single" w:sz="6" w:space="0" w:color="auto"/>
              <w:bottom w:val="single" w:sz="6" w:space="0" w:color="auto"/>
              <w:right w:val="single" w:sz="6" w:space="0" w:color="auto"/>
            </w:tcBorders>
          </w:tcPr>
          <w:p w14:paraId="5CEE6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783" w:type="dxa"/>
            <w:tcBorders>
              <w:top w:val="single" w:sz="6" w:space="0" w:color="auto"/>
              <w:left w:val="single" w:sz="6" w:space="0" w:color="auto"/>
              <w:bottom w:val="single" w:sz="6" w:space="0" w:color="auto"/>
              <w:right w:val="single" w:sz="6" w:space="0" w:color="auto"/>
            </w:tcBorders>
          </w:tcPr>
          <w:p w14:paraId="405C9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5D2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5CC668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42A545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95BE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35D69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1.XII.43</w:t>
            </w:r>
          </w:p>
        </w:tc>
        <w:tc>
          <w:tcPr>
            <w:tcW w:w="621" w:type="dxa"/>
            <w:tcBorders>
              <w:top w:val="single" w:sz="6" w:space="0" w:color="auto"/>
              <w:left w:val="single" w:sz="6" w:space="0" w:color="auto"/>
              <w:bottom w:val="single" w:sz="6" w:space="0" w:color="auto"/>
              <w:right w:val="single" w:sz="6" w:space="0" w:color="auto"/>
            </w:tcBorders>
          </w:tcPr>
          <w:p w14:paraId="053036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9EA2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582D59" w14:textId="77777777" w:rsidTr="00ED5B0A">
        <w:tc>
          <w:tcPr>
            <w:tcW w:w="1242" w:type="dxa"/>
            <w:tcBorders>
              <w:top w:val="single" w:sz="6" w:space="0" w:color="auto"/>
              <w:left w:val="single" w:sz="6" w:space="0" w:color="auto"/>
              <w:bottom w:val="single" w:sz="6" w:space="0" w:color="auto"/>
              <w:right w:val="single" w:sz="6" w:space="0" w:color="auto"/>
            </w:tcBorders>
          </w:tcPr>
          <w:p w14:paraId="3BA311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этого же</w:t>
            </w:r>
          </w:p>
        </w:tc>
        <w:tc>
          <w:tcPr>
            <w:tcW w:w="431" w:type="dxa"/>
            <w:tcBorders>
              <w:top w:val="single" w:sz="6" w:space="0" w:color="auto"/>
              <w:left w:val="single" w:sz="6" w:space="0" w:color="auto"/>
              <w:bottom w:val="single" w:sz="6" w:space="0" w:color="auto"/>
              <w:right w:val="single" w:sz="6" w:space="0" w:color="auto"/>
            </w:tcBorders>
          </w:tcPr>
          <w:p w14:paraId="79DC4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3CBE5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567" w:type="dxa"/>
            <w:tcBorders>
              <w:top w:val="single" w:sz="6" w:space="0" w:color="auto"/>
              <w:left w:val="single" w:sz="6" w:space="0" w:color="auto"/>
              <w:bottom w:val="single" w:sz="6" w:space="0" w:color="auto"/>
              <w:right w:val="single" w:sz="6" w:space="0" w:color="auto"/>
            </w:tcBorders>
          </w:tcPr>
          <w:p w14:paraId="102234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534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полета</w:t>
            </w:r>
          </w:p>
        </w:tc>
        <w:tc>
          <w:tcPr>
            <w:tcW w:w="709" w:type="dxa"/>
            <w:tcBorders>
              <w:top w:val="single" w:sz="6" w:space="0" w:color="auto"/>
              <w:left w:val="single" w:sz="6" w:space="0" w:color="auto"/>
              <w:bottom w:val="single" w:sz="6" w:space="0" w:color="auto"/>
              <w:right w:val="single" w:sz="6" w:space="0" w:color="auto"/>
            </w:tcBorders>
          </w:tcPr>
          <w:p w14:paraId="1415F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132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424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623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47566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8C9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E3F6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17085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4C59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C861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74000C" w14:textId="77777777" w:rsidTr="00ED5B0A">
        <w:tc>
          <w:tcPr>
            <w:tcW w:w="1242" w:type="dxa"/>
            <w:tcBorders>
              <w:top w:val="single" w:sz="6" w:space="0" w:color="auto"/>
              <w:left w:val="single" w:sz="6" w:space="0" w:color="auto"/>
              <w:bottom w:val="single" w:sz="6" w:space="0" w:color="auto"/>
              <w:right w:val="single" w:sz="6" w:space="0" w:color="auto"/>
            </w:tcBorders>
          </w:tcPr>
          <w:p w14:paraId="1ED08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со</w:t>
            </w:r>
          </w:p>
        </w:tc>
        <w:tc>
          <w:tcPr>
            <w:tcW w:w="431" w:type="dxa"/>
            <w:tcBorders>
              <w:top w:val="single" w:sz="6" w:space="0" w:color="auto"/>
              <w:left w:val="single" w:sz="6" w:space="0" w:color="auto"/>
              <w:bottom w:val="single" w:sz="6" w:space="0" w:color="auto"/>
              <w:right w:val="single" w:sz="6" w:space="0" w:color="auto"/>
            </w:tcBorders>
          </w:tcPr>
          <w:p w14:paraId="3FE65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394F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FEE2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45EE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мин.</w:t>
            </w:r>
          </w:p>
        </w:tc>
        <w:tc>
          <w:tcPr>
            <w:tcW w:w="709" w:type="dxa"/>
            <w:tcBorders>
              <w:top w:val="single" w:sz="6" w:space="0" w:color="auto"/>
              <w:left w:val="single" w:sz="6" w:space="0" w:color="auto"/>
              <w:bottom w:val="single" w:sz="6" w:space="0" w:color="auto"/>
              <w:right w:val="single" w:sz="6" w:space="0" w:color="auto"/>
            </w:tcBorders>
          </w:tcPr>
          <w:p w14:paraId="7BEBBA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D575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B74AD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38B9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патр.</w:t>
            </w:r>
          </w:p>
        </w:tc>
        <w:tc>
          <w:tcPr>
            <w:tcW w:w="848" w:type="dxa"/>
            <w:tcBorders>
              <w:top w:val="single" w:sz="6" w:space="0" w:color="auto"/>
              <w:left w:val="single" w:sz="6" w:space="0" w:color="auto"/>
              <w:bottom w:val="single" w:sz="6" w:space="0" w:color="auto"/>
              <w:right w:val="single" w:sz="6" w:space="0" w:color="auto"/>
            </w:tcBorders>
          </w:tcPr>
          <w:p w14:paraId="49422D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AD60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0050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BE9C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A828F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C826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929A05" w14:textId="77777777" w:rsidTr="00ED5B0A">
        <w:tc>
          <w:tcPr>
            <w:tcW w:w="1242" w:type="dxa"/>
            <w:tcBorders>
              <w:top w:val="single" w:sz="6" w:space="0" w:color="auto"/>
              <w:left w:val="single" w:sz="6" w:space="0" w:color="auto"/>
              <w:bottom w:val="single" w:sz="6" w:space="0" w:color="auto"/>
              <w:right w:val="single" w:sz="6" w:space="0" w:color="auto"/>
            </w:tcBorders>
          </w:tcPr>
          <w:p w14:paraId="07328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сферич.</w:t>
            </w:r>
          </w:p>
        </w:tc>
        <w:tc>
          <w:tcPr>
            <w:tcW w:w="431" w:type="dxa"/>
            <w:tcBorders>
              <w:top w:val="single" w:sz="6" w:space="0" w:color="auto"/>
              <w:left w:val="single" w:sz="6" w:space="0" w:color="auto"/>
              <w:bottom w:val="single" w:sz="6" w:space="0" w:color="auto"/>
              <w:right w:val="single" w:sz="6" w:space="0" w:color="auto"/>
            </w:tcBorders>
          </w:tcPr>
          <w:p w14:paraId="3941F0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1BB67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7F8C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4B1C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w:t>
            </w:r>
          </w:p>
        </w:tc>
        <w:tc>
          <w:tcPr>
            <w:tcW w:w="709" w:type="dxa"/>
            <w:tcBorders>
              <w:top w:val="single" w:sz="6" w:space="0" w:color="auto"/>
              <w:left w:val="single" w:sz="6" w:space="0" w:color="auto"/>
              <w:bottom w:val="single" w:sz="6" w:space="0" w:color="auto"/>
              <w:right w:val="single" w:sz="6" w:space="0" w:color="auto"/>
            </w:tcBorders>
          </w:tcPr>
          <w:p w14:paraId="598D5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F6E5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1798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52D8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13ED7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2DA8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491CC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633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DEA0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C3C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FFC2F2" w14:textId="77777777" w:rsidTr="00ED5B0A">
        <w:tc>
          <w:tcPr>
            <w:tcW w:w="1242" w:type="dxa"/>
            <w:tcBorders>
              <w:top w:val="single" w:sz="6" w:space="0" w:color="auto"/>
              <w:left w:val="single" w:sz="6" w:space="0" w:color="auto"/>
              <w:bottom w:val="single" w:sz="6" w:space="0" w:color="auto"/>
              <w:right w:val="single" w:sz="6" w:space="0" w:color="auto"/>
            </w:tcBorders>
          </w:tcPr>
          <w:p w14:paraId="212B9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баками и</w:t>
            </w:r>
          </w:p>
        </w:tc>
        <w:tc>
          <w:tcPr>
            <w:tcW w:w="431" w:type="dxa"/>
            <w:tcBorders>
              <w:top w:val="single" w:sz="6" w:space="0" w:color="auto"/>
              <w:left w:val="single" w:sz="6" w:space="0" w:color="auto"/>
              <w:bottom w:val="single" w:sz="6" w:space="0" w:color="auto"/>
              <w:right w:val="single" w:sz="6" w:space="0" w:color="auto"/>
            </w:tcBorders>
          </w:tcPr>
          <w:p w14:paraId="20F80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8182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805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9A36D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км/час</w:t>
            </w:r>
          </w:p>
        </w:tc>
        <w:tc>
          <w:tcPr>
            <w:tcW w:w="709" w:type="dxa"/>
            <w:tcBorders>
              <w:top w:val="single" w:sz="6" w:space="0" w:color="auto"/>
              <w:left w:val="single" w:sz="6" w:space="0" w:color="auto"/>
              <w:bottom w:val="single" w:sz="6" w:space="0" w:color="auto"/>
              <w:right w:val="single" w:sz="6" w:space="0" w:color="auto"/>
            </w:tcBorders>
          </w:tcPr>
          <w:p w14:paraId="4DB4C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EE8C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8700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23CC0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FAEC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226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D7D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7906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FC08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EDCD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E6BB8E" w14:textId="77777777" w:rsidTr="00ED5B0A">
        <w:tc>
          <w:tcPr>
            <w:tcW w:w="1242" w:type="dxa"/>
            <w:tcBorders>
              <w:top w:val="single" w:sz="6" w:space="0" w:color="auto"/>
              <w:left w:val="single" w:sz="6" w:space="0" w:color="auto"/>
              <w:bottom w:val="single" w:sz="6" w:space="0" w:color="auto"/>
              <w:right w:val="single" w:sz="6" w:space="0" w:color="auto"/>
            </w:tcBorders>
          </w:tcPr>
          <w:p w14:paraId="7CE69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ВРД</w:t>
            </w:r>
          </w:p>
        </w:tc>
        <w:tc>
          <w:tcPr>
            <w:tcW w:w="431" w:type="dxa"/>
            <w:tcBorders>
              <w:top w:val="single" w:sz="6" w:space="0" w:color="auto"/>
              <w:left w:val="single" w:sz="6" w:space="0" w:color="auto"/>
              <w:bottom w:val="single" w:sz="6" w:space="0" w:color="auto"/>
              <w:right w:val="single" w:sz="6" w:space="0" w:color="auto"/>
            </w:tcBorders>
          </w:tcPr>
          <w:p w14:paraId="3624AF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8718E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7D18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26FF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1F0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4EA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34D1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58D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7823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ADC94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2EBF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6CAA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CB9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5639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AE2F95" w14:textId="77777777" w:rsidTr="00ED5B0A">
        <w:tc>
          <w:tcPr>
            <w:tcW w:w="1242" w:type="dxa"/>
            <w:tcBorders>
              <w:top w:val="single" w:sz="6" w:space="0" w:color="auto"/>
              <w:left w:val="single" w:sz="6" w:space="0" w:color="auto"/>
              <w:bottom w:val="single" w:sz="6" w:space="0" w:color="auto"/>
              <w:right w:val="single" w:sz="6" w:space="0" w:color="auto"/>
            </w:tcBorders>
          </w:tcPr>
          <w:p w14:paraId="1BB61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w:t>
            </w:r>
          </w:p>
        </w:tc>
        <w:tc>
          <w:tcPr>
            <w:tcW w:w="431" w:type="dxa"/>
            <w:tcBorders>
              <w:top w:val="single" w:sz="6" w:space="0" w:color="auto"/>
              <w:left w:val="single" w:sz="6" w:space="0" w:color="auto"/>
              <w:bottom w:val="single" w:sz="6" w:space="0" w:color="auto"/>
              <w:right w:val="single" w:sz="6" w:space="0" w:color="auto"/>
            </w:tcBorders>
          </w:tcPr>
          <w:p w14:paraId="34392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03" w:type="dxa"/>
            <w:tcBorders>
              <w:top w:val="single" w:sz="6" w:space="0" w:color="auto"/>
              <w:left w:val="single" w:sz="6" w:space="0" w:color="auto"/>
              <w:bottom w:val="single" w:sz="6" w:space="0" w:color="auto"/>
              <w:right w:val="single" w:sz="6" w:space="0" w:color="auto"/>
            </w:tcBorders>
          </w:tcPr>
          <w:p w14:paraId="0F49A7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w:t>
            </w:r>
          </w:p>
        </w:tc>
        <w:tc>
          <w:tcPr>
            <w:tcW w:w="567" w:type="dxa"/>
            <w:tcBorders>
              <w:top w:val="single" w:sz="6" w:space="0" w:color="auto"/>
              <w:left w:val="single" w:sz="6" w:space="0" w:color="auto"/>
              <w:bottom w:val="single" w:sz="6" w:space="0" w:color="auto"/>
              <w:right w:val="single" w:sz="6" w:space="0" w:color="auto"/>
            </w:tcBorders>
          </w:tcPr>
          <w:p w14:paraId="17BC3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w:t>
            </w:r>
          </w:p>
        </w:tc>
        <w:tc>
          <w:tcPr>
            <w:tcW w:w="567" w:type="dxa"/>
            <w:tcBorders>
              <w:top w:val="single" w:sz="6" w:space="0" w:color="auto"/>
              <w:left w:val="single" w:sz="6" w:space="0" w:color="auto"/>
              <w:bottom w:val="single" w:sz="6" w:space="0" w:color="auto"/>
              <w:right w:val="single" w:sz="6" w:space="0" w:color="auto"/>
            </w:tcBorders>
          </w:tcPr>
          <w:p w14:paraId="29EB0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38C852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w:t>
            </w:r>
          </w:p>
        </w:tc>
        <w:tc>
          <w:tcPr>
            <w:tcW w:w="783" w:type="dxa"/>
            <w:tcBorders>
              <w:top w:val="single" w:sz="6" w:space="0" w:color="auto"/>
              <w:left w:val="single" w:sz="6" w:space="0" w:color="auto"/>
              <w:bottom w:val="single" w:sz="6" w:space="0" w:color="auto"/>
              <w:right w:val="single" w:sz="6" w:space="0" w:color="auto"/>
            </w:tcBorders>
          </w:tcPr>
          <w:p w14:paraId="7816C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783" w:type="dxa"/>
            <w:tcBorders>
              <w:top w:val="single" w:sz="6" w:space="0" w:color="auto"/>
              <w:left w:val="single" w:sz="6" w:space="0" w:color="auto"/>
              <w:bottom w:val="single" w:sz="6" w:space="0" w:color="auto"/>
              <w:right w:val="single" w:sz="6" w:space="0" w:color="auto"/>
            </w:tcBorders>
          </w:tcPr>
          <w:p w14:paraId="1D2314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1123" w:type="dxa"/>
            <w:tcBorders>
              <w:top w:val="single" w:sz="6" w:space="0" w:color="auto"/>
              <w:left w:val="single" w:sz="6" w:space="0" w:color="auto"/>
              <w:bottom w:val="single" w:sz="6" w:space="0" w:color="auto"/>
              <w:right w:val="single" w:sz="6" w:space="0" w:color="auto"/>
            </w:tcBorders>
          </w:tcPr>
          <w:p w14:paraId="65D38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7F253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52A7B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645B5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3B560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экз.</w:t>
            </w:r>
          </w:p>
        </w:tc>
        <w:tc>
          <w:tcPr>
            <w:tcW w:w="621" w:type="dxa"/>
            <w:tcBorders>
              <w:top w:val="single" w:sz="6" w:space="0" w:color="auto"/>
              <w:left w:val="single" w:sz="6" w:space="0" w:color="auto"/>
              <w:bottom w:val="single" w:sz="6" w:space="0" w:color="auto"/>
              <w:right w:val="single" w:sz="6" w:space="0" w:color="auto"/>
            </w:tcBorders>
          </w:tcPr>
          <w:p w14:paraId="6F23A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672C9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A597C7" w14:textId="77777777" w:rsidTr="00ED5B0A">
        <w:tc>
          <w:tcPr>
            <w:tcW w:w="1242" w:type="dxa"/>
            <w:tcBorders>
              <w:top w:val="single" w:sz="6" w:space="0" w:color="auto"/>
              <w:left w:val="single" w:sz="6" w:space="0" w:color="auto"/>
              <w:bottom w:val="single" w:sz="6" w:space="0" w:color="auto"/>
              <w:right w:val="single" w:sz="6" w:space="0" w:color="auto"/>
            </w:tcBorders>
          </w:tcPr>
          <w:p w14:paraId="01643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7CC16B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3429A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4D3A6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540601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w:t>
            </w:r>
          </w:p>
        </w:tc>
        <w:tc>
          <w:tcPr>
            <w:tcW w:w="709" w:type="dxa"/>
            <w:tcBorders>
              <w:top w:val="single" w:sz="6" w:space="0" w:color="auto"/>
              <w:left w:val="single" w:sz="6" w:space="0" w:color="auto"/>
              <w:bottom w:val="single" w:sz="6" w:space="0" w:color="auto"/>
              <w:right w:val="single" w:sz="6" w:space="0" w:color="auto"/>
            </w:tcBorders>
          </w:tcPr>
          <w:p w14:paraId="05784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полета</w:t>
            </w:r>
          </w:p>
        </w:tc>
        <w:tc>
          <w:tcPr>
            <w:tcW w:w="783" w:type="dxa"/>
            <w:tcBorders>
              <w:top w:val="single" w:sz="6" w:space="0" w:color="auto"/>
              <w:left w:val="single" w:sz="6" w:space="0" w:color="auto"/>
              <w:bottom w:val="single" w:sz="6" w:space="0" w:color="auto"/>
              <w:right w:val="single" w:sz="6" w:space="0" w:color="auto"/>
            </w:tcBorders>
          </w:tcPr>
          <w:p w14:paraId="73584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1D8EDC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BC82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36E81F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21CB6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29FF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B4E6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2D0A3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F38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27134B" w14:textId="77777777" w:rsidTr="00ED5B0A">
        <w:tc>
          <w:tcPr>
            <w:tcW w:w="1242" w:type="dxa"/>
            <w:tcBorders>
              <w:top w:val="single" w:sz="6" w:space="0" w:color="auto"/>
              <w:left w:val="single" w:sz="6" w:space="0" w:color="auto"/>
              <w:bottom w:val="single" w:sz="6" w:space="0" w:color="auto"/>
              <w:right w:val="single" w:sz="6" w:space="0" w:color="auto"/>
            </w:tcBorders>
          </w:tcPr>
          <w:p w14:paraId="39BC75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перехват.</w:t>
            </w:r>
          </w:p>
        </w:tc>
        <w:tc>
          <w:tcPr>
            <w:tcW w:w="431" w:type="dxa"/>
            <w:tcBorders>
              <w:top w:val="single" w:sz="6" w:space="0" w:color="auto"/>
              <w:left w:val="single" w:sz="6" w:space="0" w:color="auto"/>
              <w:bottom w:val="single" w:sz="6" w:space="0" w:color="auto"/>
              <w:right w:val="single" w:sz="6" w:space="0" w:color="auto"/>
            </w:tcBorders>
          </w:tcPr>
          <w:p w14:paraId="0DF29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E132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2F1A7F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p>
        </w:tc>
        <w:tc>
          <w:tcPr>
            <w:tcW w:w="567" w:type="dxa"/>
            <w:tcBorders>
              <w:top w:val="single" w:sz="6" w:space="0" w:color="auto"/>
              <w:left w:val="single" w:sz="6" w:space="0" w:color="auto"/>
              <w:bottom w:val="single" w:sz="6" w:space="0" w:color="auto"/>
              <w:right w:val="single" w:sz="6" w:space="0" w:color="auto"/>
            </w:tcBorders>
          </w:tcPr>
          <w:p w14:paraId="2696C4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w:t>
            </w:r>
          </w:p>
        </w:tc>
        <w:tc>
          <w:tcPr>
            <w:tcW w:w="709" w:type="dxa"/>
            <w:tcBorders>
              <w:top w:val="single" w:sz="6" w:space="0" w:color="auto"/>
              <w:left w:val="single" w:sz="6" w:space="0" w:color="auto"/>
              <w:bottom w:val="single" w:sz="6" w:space="0" w:color="auto"/>
              <w:right w:val="single" w:sz="6" w:space="0" w:color="auto"/>
            </w:tcBorders>
          </w:tcPr>
          <w:p w14:paraId="00F85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мин.</w:t>
            </w:r>
          </w:p>
        </w:tc>
        <w:tc>
          <w:tcPr>
            <w:tcW w:w="783" w:type="dxa"/>
            <w:tcBorders>
              <w:top w:val="single" w:sz="6" w:space="0" w:color="auto"/>
              <w:left w:val="single" w:sz="6" w:space="0" w:color="auto"/>
              <w:bottom w:val="single" w:sz="6" w:space="0" w:color="auto"/>
              <w:right w:val="single" w:sz="6" w:space="0" w:color="auto"/>
            </w:tcBorders>
          </w:tcPr>
          <w:p w14:paraId="5290B6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A75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2CEA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патр.</w:t>
            </w:r>
          </w:p>
        </w:tc>
        <w:tc>
          <w:tcPr>
            <w:tcW w:w="848" w:type="dxa"/>
            <w:tcBorders>
              <w:top w:val="single" w:sz="6" w:space="0" w:color="auto"/>
              <w:left w:val="single" w:sz="6" w:space="0" w:color="auto"/>
              <w:bottom w:val="single" w:sz="6" w:space="0" w:color="auto"/>
              <w:right w:val="single" w:sz="6" w:space="0" w:color="auto"/>
            </w:tcBorders>
          </w:tcPr>
          <w:p w14:paraId="7C75C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2B39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B5099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182D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экз.</w:t>
            </w:r>
          </w:p>
        </w:tc>
        <w:tc>
          <w:tcPr>
            <w:tcW w:w="621" w:type="dxa"/>
            <w:tcBorders>
              <w:top w:val="single" w:sz="6" w:space="0" w:color="auto"/>
              <w:left w:val="single" w:sz="6" w:space="0" w:color="auto"/>
              <w:bottom w:val="single" w:sz="6" w:space="0" w:color="auto"/>
              <w:right w:val="single" w:sz="6" w:space="0" w:color="auto"/>
            </w:tcBorders>
          </w:tcPr>
          <w:p w14:paraId="509266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82F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BF1B0E" w14:textId="77777777" w:rsidTr="00ED5B0A">
        <w:tc>
          <w:tcPr>
            <w:tcW w:w="1242" w:type="dxa"/>
            <w:tcBorders>
              <w:top w:val="single" w:sz="6" w:space="0" w:color="auto"/>
              <w:left w:val="single" w:sz="6" w:space="0" w:color="auto"/>
              <w:bottom w:val="single" w:sz="6" w:space="0" w:color="auto"/>
              <w:right w:val="single" w:sz="6" w:space="0" w:color="auto"/>
            </w:tcBorders>
          </w:tcPr>
          <w:p w14:paraId="181BD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7EF90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2C1A6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820</w:t>
            </w:r>
          </w:p>
        </w:tc>
        <w:tc>
          <w:tcPr>
            <w:tcW w:w="567" w:type="dxa"/>
            <w:tcBorders>
              <w:top w:val="single" w:sz="6" w:space="0" w:color="auto"/>
              <w:left w:val="single" w:sz="6" w:space="0" w:color="auto"/>
              <w:bottom w:val="single" w:sz="6" w:space="0" w:color="auto"/>
              <w:right w:val="single" w:sz="6" w:space="0" w:color="auto"/>
            </w:tcBorders>
          </w:tcPr>
          <w:p w14:paraId="4A120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форсаж.</w:t>
            </w:r>
          </w:p>
        </w:tc>
        <w:tc>
          <w:tcPr>
            <w:tcW w:w="567" w:type="dxa"/>
            <w:tcBorders>
              <w:top w:val="single" w:sz="6" w:space="0" w:color="auto"/>
              <w:left w:val="single" w:sz="6" w:space="0" w:color="auto"/>
              <w:bottom w:val="single" w:sz="6" w:space="0" w:color="auto"/>
              <w:right w:val="single" w:sz="6" w:space="0" w:color="auto"/>
            </w:tcBorders>
          </w:tcPr>
          <w:p w14:paraId="30909F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426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w:t>
            </w:r>
          </w:p>
        </w:tc>
        <w:tc>
          <w:tcPr>
            <w:tcW w:w="783" w:type="dxa"/>
            <w:tcBorders>
              <w:top w:val="single" w:sz="6" w:space="0" w:color="auto"/>
              <w:left w:val="single" w:sz="6" w:space="0" w:color="auto"/>
              <w:bottom w:val="single" w:sz="6" w:space="0" w:color="auto"/>
              <w:right w:val="single" w:sz="6" w:space="0" w:color="auto"/>
            </w:tcBorders>
          </w:tcPr>
          <w:p w14:paraId="08FCC6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462C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C9FF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958D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FB1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FF22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F4BF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00632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6EF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4435F4" w14:textId="77777777" w:rsidTr="00ED5B0A">
        <w:tc>
          <w:tcPr>
            <w:tcW w:w="1242" w:type="dxa"/>
            <w:tcBorders>
              <w:top w:val="single" w:sz="6" w:space="0" w:color="auto"/>
              <w:left w:val="single" w:sz="6" w:space="0" w:color="auto"/>
              <w:bottom w:val="single" w:sz="6" w:space="0" w:color="auto"/>
              <w:right w:val="single" w:sz="6" w:space="0" w:color="auto"/>
            </w:tcBorders>
          </w:tcPr>
          <w:p w14:paraId="537DBA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Костиков</w:t>
            </w:r>
          </w:p>
        </w:tc>
        <w:tc>
          <w:tcPr>
            <w:tcW w:w="431" w:type="dxa"/>
            <w:tcBorders>
              <w:top w:val="single" w:sz="6" w:space="0" w:color="auto"/>
              <w:left w:val="single" w:sz="6" w:space="0" w:color="auto"/>
              <w:bottom w:val="single" w:sz="6" w:space="0" w:color="auto"/>
              <w:right w:val="single" w:sz="6" w:space="0" w:color="auto"/>
            </w:tcBorders>
          </w:tcPr>
          <w:p w14:paraId="195A8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FF5C4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799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820/</w:t>
            </w:r>
          </w:p>
        </w:tc>
        <w:tc>
          <w:tcPr>
            <w:tcW w:w="567" w:type="dxa"/>
            <w:tcBorders>
              <w:top w:val="single" w:sz="6" w:space="0" w:color="auto"/>
              <w:left w:val="single" w:sz="6" w:space="0" w:color="auto"/>
              <w:bottom w:val="single" w:sz="6" w:space="0" w:color="auto"/>
              <w:right w:val="single" w:sz="6" w:space="0" w:color="auto"/>
            </w:tcBorders>
          </w:tcPr>
          <w:p w14:paraId="1DCE7D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BD5B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км/час</w:t>
            </w:r>
          </w:p>
        </w:tc>
        <w:tc>
          <w:tcPr>
            <w:tcW w:w="783" w:type="dxa"/>
            <w:tcBorders>
              <w:top w:val="single" w:sz="6" w:space="0" w:color="auto"/>
              <w:left w:val="single" w:sz="6" w:space="0" w:color="auto"/>
              <w:bottom w:val="single" w:sz="6" w:space="0" w:color="auto"/>
              <w:right w:val="single" w:sz="6" w:space="0" w:color="auto"/>
            </w:tcBorders>
          </w:tcPr>
          <w:p w14:paraId="1C5E78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F3AF8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4695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84EAC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D2A83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2FB0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9BB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8140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89578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B03DE5" w14:textId="77777777" w:rsidTr="00ED5B0A">
        <w:tc>
          <w:tcPr>
            <w:tcW w:w="1242" w:type="dxa"/>
            <w:tcBorders>
              <w:top w:val="single" w:sz="6" w:space="0" w:color="auto"/>
              <w:left w:val="single" w:sz="6" w:space="0" w:color="auto"/>
              <w:bottom w:val="single" w:sz="6" w:space="0" w:color="auto"/>
              <w:right w:val="single" w:sz="6" w:space="0" w:color="auto"/>
            </w:tcBorders>
          </w:tcPr>
          <w:p w14:paraId="78D6C4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22C34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4F7A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842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36158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3F63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w:t>
            </w:r>
          </w:p>
        </w:tc>
        <w:tc>
          <w:tcPr>
            <w:tcW w:w="783" w:type="dxa"/>
            <w:tcBorders>
              <w:top w:val="single" w:sz="6" w:space="0" w:color="auto"/>
              <w:left w:val="single" w:sz="6" w:space="0" w:color="auto"/>
              <w:bottom w:val="single" w:sz="6" w:space="0" w:color="auto"/>
              <w:right w:val="single" w:sz="6" w:space="0" w:color="auto"/>
            </w:tcBorders>
          </w:tcPr>
          <w:p w14:paraId="3EDC98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FD948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B23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84DD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D4D87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244A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FC15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7076F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4100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4B95F6" w14:textId="77777777" w:rsidTr="00ED5B0A">
        <w:tc>
          <w:tcPr>
            <w:tcW w:w="1242" w:type="dxa"/>
            <w:tcBorders>
              <w:top w:val="single" w:sz="6" w:space="0" w:color="auto"/>
              <w:left w:val="single" w:sz="6" w:space="0" w:color="auto"/>
              <w:bottom w:val="single" w:sz="6" w:space="0" w:color="auto"/>
              <w:right w:val="single" w:sz="6" w:space="0" w:color="auto"/>
            </w:tcBorders>
          </w:tcPr>
          <w:p w14:paraId="274376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2370C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E310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5EC8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E2F7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EA02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 м</w:t>
            </w:r>
          </w:p>
        </w:tc>
        <w:tc>
          <w:tcPr>
            <w:tcW w:w="783" w:type="dxa"/>
            <w:tcBorders>
              <w:top w:val="single" w:sz="6" w:space="0" w:color="auto"/>
              <w:left w:val="single" w:sz="6" w:space="0" w:color="auto"/>
              <w:bottom w:val="single" w:sz="6" w:space="0" w:color="auto"/>
              <w:right w:val="single" w:sz="6" w:space="0" w:color="auto"/>
            </w:tcBorders>
          </w:tcPr>
          <w:p w14:paraId="00473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4E60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7DC2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51889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954D2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6270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24F8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7DA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845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33D4E5" w14:textId="77777777" w:rsidTr="00ED5B0A">
        <w:tc>
          <w:tcPr>
            <w:tcW w:w="1242" w:type="dxa"/>
            <w:tcBorders>
              <w:top w:val="single" w:sz="6" w:space="0" w:color="auto"/>
              <w:left w:val="single" w:sz="6" w:space="0" w:color="auto"/>
              <w:bottom w:val="single" w:sz="6" w:space="0" w:color="auto"/>
              <w:right w:val="single" w:sz="6" w:space="0" w:color="auto"/>
            </w:tcBorders>
          </w:tcPr>
          <w:p w14:paraId="1CC4A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Одномест.1</w:t>
            </w:r>
          </w:p>
        </w:tc>
        <w:tc>
          <w:tcPr>
            <w:tcW w:w="431" w:type="dxa"/>
            <w:tcBorders>
              <w:top w:val="single" w:sz="6" w:space="0" w:color="auto"/>
              <w:left w:val="single" w:sz="6" w:space="0" w:color="auto"/>
              <w:bottom w:val="single" w:sz="6" w:space="0" w:color="auto"/>
              <w:right w:val="single" w:sz="6" w:space="0" w:color="auto"/>
            </w:tcBorders>
          </w:tcPr>
          <w:p w14:paraId="3ED694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03" w:type="dxa"/>
            <w:tcBorders>
              <w:top w:val="single" w:sz="6" w:space="0" w:color="auto"/>
              <w:left w:val="single" w:sz="6" w:space="0" w:color="auto"/>
              <w:bottom w:val="single" w:sz="6" w:space="0" w:color="auto"/>
              <w:right w:val="single" w:sz="6" w:space="0" w:color="auto"/>
            </w:tcBorders>
          </w:tcPr>
          <w:p w14:paraId="491C8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67" w:type="dxa"/>
            <w:tcBorders>
              <w:top w:val="single" w:sz="6" w:space="0" w:color="auto"/>
              <w:left w:val="single" w:sz="6" w:space="0" w:color="auto"/>
              <w:bottom w:val="single" w:sz="6" w:space="0" w:color="auto"/>
              <w:right w:val="single" w:sz="6" w:space="0" w:color="auto"/>
            </w:tcBorders>
          </w:tcPr>
          <w:p w14:paraId="6723CF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567" w:type="dxa"/>
            <w:tcBorders>
              <w:top w:val="single" w:sz="6" w:space="0" w:color="auto"/>
              <w:left w:val="single" w:sz="6" w:space="0" w:color="auto"/>
              <w:bottom w:val="single" w:sz="6" w:space="0" w:color="auto"/>
              <w:right w:val="single" w:sz="6" w:space="0" w:color="auto"/>
            </w:tcBorders>
          </w:tcPr>
          <w:p w14:paraId="63DC9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на</w:t>
            </w:r>
          </w:p>
        </w:tc>
        <w:tc>
          <w:tcPr>
            <w:tcW w:w="709" w:type="dxa"/>
            <w:tcBorders>
              <w:top w:val="single" w:sz="6" w:space="0" w:color="auto"/>
              <w:left w:val="single" w:sz="6" w:space="0" w:color="auto"/>
              <w:bottom w:val="single" w:sz="6" w:space="0" w:color="auto"/>
              <w:right w:val="single" w:sz="6" w:space="0" w:color="auto"/>
            </w:tcBorders>
          </w:tcPr>
          <w:p w14:paraId="215F23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783" w:type="dxa"/>
            <w:tcBorders>
              <w:top w:val="single" w:sz="6" w:space="0" w:color="auto"/>
              <w:left w:val="single" w:sz="6" w:space="0" w:color="auto"/>
              <w:bottom w:val="single" w:sz="6" w:space="0" w:color="auto"/>
              <w:right w:val="single" w:sz="6" w:space="0" w:color="auto"/>
            </w:tcBorders>
          </w:tcPr>
          <w:p w14:paraId="59D5C9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783" w:type="dxa"/>
            <w:tcBorders>
              <w:top w:val="single" w:sz="6" w:space="0" w:color="auto"/>
              <w:left w:val="single" w:sz="6" w:space="0" w:color="auto"/>
              <w:bottom w:val="single" w:sz="6" w:space="0" w:color="auto"/>
              <w:right w:val="single" w:sz="6" w:space="0" w:color="auto"/>
            </w:tcBorders>
          </w:tcPr>
          <w:p w14:paraId="79B02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1FB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5C0E73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410" w:type="dxa"/>
            <w:tcBorders>
              <w:top w:val="single" w:sz="6" w:space="0" w:color="auto"/>
              <w:left w:val="single" w:sz="6" w:space="0" w:color="auto"/>
              <w:bottom w:val="single" w:sz="6" w:space="0" w:color="auto"/>
              <w:right w:val="single" w:sz="6" w:space="0" w:color="auto"/>
            </w:tcBorders>
          </w:tcPr>
          <w:p w14:paraId="317B2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5D36E6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Сиденье</w:t>
            </w:r>
          </w:p>
        </w:tc>
        <w:tc>
          <w:tcPr>
            <w:tcW w:w="922" w:type="dxa"/>
            <w:tcBorders>
              <w:top w:val="single" w:sz="6" w:space="0" w:color="auto"/>
              <w:left w:val="single" w:sz="6" w:space="0" w:color="auto"/>
              <w:bottom w:val="single" w:sz="6" w:space="0" w:color="auto"/>
              <w:right w:val="single" w:sz="6" w:space="0" w:color="auto"/>
            </w:tcBorders>
          </w:tcPr>
          <w:p w14:paraId="1E46F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1.VII.43</w:t>
            </w:r>
          </w:p>
        </w:tc>
        <w:tc>
          <w:tcPr>
            <w:tcW w:w="621" w:type="dxa"/>
            <w:tcBorders>
              <w:top w:val="single" w:sz="6" w:space="0" w:color="auto"/>
              <w:left w:val="single" w:sz="6" w:space="0" w:color="auto"/>
              <w:bottom w:val="single" w:sz="6" w:space="0" w:color="auto"/>
              <w:right w:val="single" w:sz="6" w:space="0" w:color="auto"/>
            </w:tcBorders>
          </w:tcPr>
          <w:p w14:paraId="24191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1F84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0BE852" w14:textId="77777777" w:rsidTr="00ED5B0A">
        <w:tc>
          <w:tcPr>
            <w:tcW w:w="1242" w:type="dxa"/>
            <w:tcBorders>
              <w:top w:val="single" w:sz="6" w:space="0" w:color="auto"/>
              <w:left w:val="single" w:sz="6" w:space="0" w:color="auto"/>
              <w:bottom w:val="single" w:sz="6" w:space="0" w:color="auto"/>
              <w:right w:val="single" w:sz="6" w:space="0" w:color="auto"/>
            </w:tcBorders>
          </w:tcPr>
          <w:p w14:paraId="1C7B4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3FBEF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DA9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tc>
        <w:tc>
          <w:tcPr>
            <w:tcW w:w="567" w:type="dxa"/>
            <w:tcBorders>
              <w:top w:val="single" w:sz="6" w:space="0" w:color="auto"/>
              <w:left w:val="single" w:sz="6" w:space="0" w:color="auto"/>
              <w:bottom w:val="single" w:sz="6" w:space="0" w:color="auto"/>
              <w:right w:val="single" w:sz="6" w:space="0" w:color="auto"/>
            </w:tcBorders>
          </w:tcPr>
          <w:p w14:paraId="2B9E1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B005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0,9 </w:t>
            </w:r>
            <w:r w:rsidRPr="00271E51">
              <w:rPr>
                <w:rFonts w:ascii="Times New Roman" w:hAnsi="Times New Roman"/>
                <w:color w:val="000000" w:themeColor="text1"/>
                <w:sz w:val="16"/>
                <w:szCs w:val="16"/>
              </w:rPr>
              <w:lastRenderedPageBreak/>
              <w:t>max</w:t>
            </w:r>
          </w:p>
        </w:tc>
        <w:tc>
          <w:tcPr>
            <w:tcW w:w="709" w:type="dxa"/>
            <w:tcBorders>
              <w:top w:val="single" w:sz="6" w:space="0" w:color="auto"/>
              <w:left w:val="single" w:sz="6" w:space="0" w:color="auto"/>
              <w:bottom w:val="single" w:sz="6" w:space="0" w:color="auto"/>
              <w:right w:val="single" w:sz="6" w:space="0" w:color="auto"/>
            </w:tcBorders>
          </w:tcPr>
          <w:p w14:paraId="5AD55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8000</w:t>
            </w:r>
          </w:p>
        </w:tc>
        <w:tc>
          <w:tcPr>
            <w:tcW w:w="783" w:type="dxa"/>
            <w:tcBorders>
              <w:top w:val="single" w:sz="6" w:space="0" w:color="auto"/>
              <w:left w:val="single" w:sz="6" w:space="0" w:color="auto"/>
              <w:bottom w:val="single" w:sz="6" w:space="0" w:color="auto"/>
              <w:right w:val="single" w:sz="6" w:space="0" w:color="auto"/>
            </w:tcBorders>
          </w:tcPr>
          <w:p w14:paraId="469F48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7BE9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553E6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4ECC8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7C3A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7B019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 с</w:t>
            </w:r>
          </w:p>
        </w:tc>
        <w:tc>
          <w:tcPr>
            <w:tcW w:w="922" w:type="dxa"/>
            <w:tcBorders>
              <w:top w:val="single" w:sz="6" w:space="0" w:color="auto"/>
              <w:left w:val="single" w:sz="6" w:space="0" w:color="auto"/>
              <w:bottom w:val="single" w:sz="6" w:space="0" w:color="auto"/>
              <w:right w:val="single" w:sz="6" w:space="0" w:color="auto"/>
            </w:tcBorders>
          </w:tcPr>
          <w:p w14:paraId="49BEF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8A8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ED6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93CA7D" w14:textId="77777777" w:rsidTr="00ED5B0A">
        <w:tc>
          <w:tcPr>
            <w:tcW w:w="1242" w:type="dxa"/>
            <w:tcBorders>
              <w:top w:val="single" w:sz="6" w:space="0" w:color="auto"/>
              <w:left w:val="single" w:sz="6" w:space="0" w:color="auto"/>
              <w:bottom w:val="single" w:sz="6" w:space="0" w:color="auto"/>
              <w:right w:val="single" w:sz="6" w:space="0" w:color="auto"/>
            </w:tcBorders>
          </w:tcPr>
          <w:p w14:paraId="4FDC7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АМ-37</w:t>
            </w:r>
          </w:p>
        </w:tc>
        <w:tc>
          <w:tcPr>
            <w:tcW w:w="431" w:type="dxa"/>
            <w:tcBorders>
              <w:top w:val="single" w:sz="6" w:space="0" w:color="auto"/>
              <w:left w:val="single" w:sz="6" w:space="0" w:color="auto"/>
              <w:bottom w:val="single" w:sz="6" w:space="0" w:color="auto"/>
              <w:right w:val="single" w:sz="6" w:space="0" w:color="auto"/>
            </w:tcBorders>
          </w:tcPr>
          <w:p w14:paraId="574A8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0A1C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DD5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CF2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09" w:type="dxa"/>
            <w:tcBorders>
              <w:top w:val="single" w:sz="6" w:space="0" w:color="auto"/>
              <w:left w:val="single" w:sz="6" w:space="0" w:color="auto"/>
              <w:bottom w:val="single" w:sz="6" w:space="0" w:color="auto"/>
              <w:right w:val="single" w:sz="6" w:space="0" w:color="auto"/>
            </w:tcBorders>
          </w:tcPr>
          <w:p w14:paraId="2E3B8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08EB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394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2EA7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 патр.</w:t>
            </w:r>
          </w:p>
        </w:tc>
        <w:tc>
          <w:tcPr>
            <w:tcW w:w="848" w:type="dxa"/>
            <w:tcBorders>
              <w:top w:val="single" w:sz="6" w:space="0" w:color="auto"/>
              <w:left w:val="single" w:sz="6" w:space="0" w:color="auto"/>
              <w:bottom w:val="single" w:sz="6" w:space="0" w:color="auto"/>
              <w:right w:val="single" w:sz="6" w:space="0" w:color="auto"/>
            </w:tcBorders>
          </w:tcPr>
          <w:p w14:paraId="175424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101D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F497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надголов.</w:t>
            </w:r>
          </w:p>
        </w:tc>
        <w:tc>
          <w:tcPr>
            <w:tcW w:w="922" w:type="dxa"/>
            <w:tcBorders>
              <w:top w:val="single" w:sz="6" w:space="0" w:color="auto"/>
              <w:left w:val="single" w:sz="6" w:space="0" w:color="auto"/>
              <w:bottom w:val="single" w:sz="6" w:space="0" w:color="auto"/>
              <w:right w:val="single" w:sz="6" w:space="0" w:color="auto"/>
            </w:tcBorders>
          </w:tcPr>
          <w:p w14:paraId="0F642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04D7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6B115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03CA5F" w14:textId="77777777" w:rsidTr="00ED5B0A">
        <w:tc>
          <w:tcPr>
            <w:tcW w:w="1242" w:type="dxa"/>
            <w:tcBorders>
              <w:top w:val="single" w:sz="6" w:space="0" w:color="auto"/>
              <w:left w:val="single" w:sz="6" w:space="0" w:color="auto"/>
              <w:bottom w:val="single" w:sz="6" w:space="0" w:color="auto"/>
              <w:right w:val="single" w:sz="6" w:space="0" w:color="auto"/>
            </w:tcBorders>
          </w:tcPr>
          <w:p w14:paraId="0ACBED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типа</w:t>
            </w:r>
          </w:p>
        </w:tc>
        <w:tc>
          <w:tcPr>
            <w:tcW w:w="431" w:type="dxa"/>
            <w:tcBorders>
              <w:top w:val="single" w:sz="6" w:space="0" w:color="auto"/>
              <w:left w:val="single" w:sz="6" w:space="0" w:color="auto"/>
              <w:bottom w:val="single" w:sz="6" w:space="0" w:color="auto"/>
              <w:right w:val="single" w:sz="6" w:space="0" w:color="auto"/>
            </w:tcBorders>
          </w:tcPr>
          <w:p w14:paraId="4C57F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688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2114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232E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DBBD5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0878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20A1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8DB4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1FDAB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5C98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FC24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козырек</w:t>
            </w:r>
          </w:p>
        </w:tc>
        <w:tc>
          <w:tcPr>
            <w:tcW w:w="922" w:type="dxa"/>
            <w:tcBorders>
              <w:top w:val="single" w:sz="6" w:space="0" w:color="auto"/>
              <w:left w:val="single" w:sz="6" w:space="0" w:color="auto"/>
              <w:bottom w:val="single" w:sz="6" w:space="0" w:color="auto"/>
              <w:right w:val="single" w:sz="6" w:space="0" w:color="auto"/>
            </w:tcBorders>
          </w:tcPr>
          <w:p w14:paraId="1C6E9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4E0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0787A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B5BD14" w14:textId="77777777" w:rsidTr="00ED5B0A">
        <w:tc>
          <w:tcPr>
            <w:tcW w:w="1242" w:type="dxa"/>
            <w:tcBorders>
              <w:top w:val="single" w:sz="6" w:space="0" w:color="auto"/>
              <w:left w:val="single" w:sz="6" w:space="0" w:color="auto"/>
              <w:bottom w:val="single" w:sz="6" w:space="0" w:color="auto"/>
              <w:right w:val="single" w:sz="6" w:space="0" w:color="auto"/>
            </w:tcBorders>
          </w:tcPr>
          <w:p w14:paraId="31777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"Эрокобра"</w:t>
            </w:r>
          </w:p>
        </w:tc>
        <w:tc>
          <w:tcPr>
            <w:tcW w:w="431" w:type="dxa"/>
            <w:tcBorders>
              <w:top w:val="single" w:sz="6" w:space="0" w:color="auto"/>
              <w:left w:val="single" w:sz="6" w:space="0" w:color="auto"/>
              <w:bottom w:val="single" w:sz="6" w:space="0" w:color="auto"/>
              <w:right w:val="single" w:sz="6" w:space="0" w:color="auto"/>
            </w:tcBorders>
          </w:tcPr>
          <w:p w14:paraId="5036DC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A394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58FF5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ECD13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C796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84F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C6DC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20B3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2F76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95CE6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F9A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4DAA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993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EAB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61C2B4" w14:textId="77777777" w:rsidTr="00ED5B0A">
        <w:tc>
          <w:tcPr>
            <w:tcW w:w="1242" w:type="dxa"/>
            <w:tcBorders>
              <w:top w:val="single" w:sz="6" w:space="0" w:color="auto"/>
              <w:left w:val="single" w:sz="6" w:space="0" w:color="auto"/>
              <w:bottom w:val="single" w:sz="6" w:space="0" w:color="auto"/>
              <w:right w:val="single" w:sz="6" w:space="0" w:color="auto"/>
            </w:tcBorders>
          </w:tcPr>
          <w:p w14:paraId="5D237E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35B07E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E18A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90E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7F7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C1E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E565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639B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B4E0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 патр.</w:t>
            </w:r>
          </w:p>
        </w:tc>
        <w:tc>
          <w:tcPr>
            <w:tcW w:w="848" w:type="dxa"/>
            <w:tcBorders>
              <w:top w:val="single" w:sz="6" w:space="0" w:color="auto"/>
              <w:left w:val="single" w:sz="6" w:space="0" w:color="auto"/>
              <w:bottom w:val="single" w:sz="6" w:space="0" w:color="auto"/>
              <w:right w:val="single" w:sz="6" w:space="0" w:color="auto"/>
            </w:tcBorders>
          </w:tcPr>
          <w:p w14:paraId="4AA077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9216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2B4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8F03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81D8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05DD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4F90BA" w14:textId="77777777" w:rsidTr="00ED5B0A">
        <w:tc>
          <w:tcPr>
            <w:tcW w:w="1242" w:type="dxa"/>
            <w:tcBorders>
              <w:top w:val="single" w:sz="6" w:space="0" w:color="auto"/>
              <w:left w:val="single" w:sz="6" w:space="0" w:color="auto"/>
              <w:bottom w:val="single" w:sz="6" w:space="0" w:color="auto"/>
              <w:right w:val="single" w:sz="6" w:space="0" w:color="auto"/>
            </w:tcBorders>
          </w:tcPr>
          <w:p w14:paraId="3D774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Гудков</w:t>
            </w:r>
          </w:p>
        </w:tc>
        <w:tc>
          <w:tcPr>
            <w:tcW w:w="431" w:type="dxa"/>
            <w:tcBorders>
              <w:top w:val="single" w:sz="6" w:space="0" w:color="auto"/>
              <w:left w:val="single" w:sz="6" w:space="0" w:color="auto"/>
              <w:bottom w:val="single" w:sz="6" w:space="0" w:color="auto"/>
              <w:right w:val="single" w:sz="6" w:space="0" w:color="auto"/>
            </w:tcBorders>
          </w:tcPr>
          <w:p w14:paraId="24EBE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A582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2122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AE4C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A6E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121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434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EFA8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0B79ED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FA317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EBBE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A5F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392E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B77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AB1E8D" w14:textId="77777777" w:rsidTr="00ED5B0A">
        <w:tc>
          <w:tcPr>
            <w:tcW w:w="1242" w:type="dxa"/>
            <w:tcBorders>
              <w:top w:val="single" w:sz="6" w:space="0" w:color="auto"/>
              <w:left w:val="single" w:sz="6" w:space="0" w:color="auto"/>
              <w:bottom w:val="single" w:sz="6" w:space="0" w:color="auto"/>
              <w:right w:val="single" w:sz="6" w:space="0" w:color="auto"/>
            </w:tcBorders>
          </w:tcPr>
          <w:p w14:paraId="33700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B065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9418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731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63FB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B2E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6DEE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55F5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6B27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5891D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3FC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34B10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1D3CA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5000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3BD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830054" w14:textId="77777777" w:rsidTr="00ED5B0A">
        <w:tc>
          <w:tcPr>
            <w:tcW w:w="1242" w:type="dxa"/>
            <w:tcBorders>
              <w:top w:val="single" w:sz="6" w:space="0" w:color="auto"/>
              <w:left w:val="single" w:sz="6" w:space="0" w:color="auto"/>
              <w:bottom w:val="single" w:sz="6" w:space="0" w:color="auto"/>
              <w:right w:val="single" w:sz="6" w:space="0" w:color="auto"/>
            </w:tcBorders>
          </w:tcPr>
          <w:p w14:paraId="5BBFF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DF2D4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7CBA7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DED3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5C0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17E4B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5237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F1F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891B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 патр.</w:t>
            </w:r>
          </w:p>
        </w:tc>
        <w:tc>
          <w:tcPr>
            <w:tcW w:w="848" w:type="dxa"/>
            <w:tcBorders>
              <w:top w:val="single" w:sz="6" w:space="0" w:color="auto"/>
              <w:left w:val="single" w:sz="6" w:space="0" w:color="auto"/>
              <w:bottom w:val="single" w:sz="6" w:space="0" w:color="auto"/>
              <w:right w:val="single" w:sz="6" w:space="0" w:color="auto"/>
            </w:tcBorders>
          </w:tcPr>
          <w:p w14:paraId="28266F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58FFA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8DF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6C7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378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130C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9D88F6" w14:textId="77777777" w:rsidTr="00ED5B0A">
        <w:tc>
          <w:tcPr>
            <w:tcW w:w="1242" w:type="dxa"/>
            <w:tcBorders>
              <w:top w:val="single" w:sz="6" w:space="0" w:color="auto"/>
              <w:left w:val="single" w:sz="6" w:space="0" w:color="auto"/>
              <w:bottom w:val="single" w:sz="6" w:space="0" w:color="auto"/>
              <w:right w:val="single" w:sz="6" w:space="0" w:color="auto"/>
            </w:tcBorders>
          </w:tcPr>
          <w:p w14:paraId="77B09C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Геликопт.</w:t>
            </w:r>
          </w:p>
        </w:tc>
        <w:tc>
          <w:tcPr>
            <w:tcW w:w="431" w:type="dxa"/>
            <w:tcBorders>
              <w:top w:val="single" w:sz="6" w:space="0" w:color="auto"/>
              <w:left w:val="single" w:sz="6" w:space="0" w:color="auto"/>
              <w:bottom w:val="single" w:sz="6" w:space="0" w:color="auto"/>
              <w:right w:val="single" w:sz="6" w:space="0" w:color="auto"/>
            </w:tcBorders>
          </w:tcPr>
          <w:p w14:paraId="4D6D5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76F30A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w:t>
            </w:r>
          </w:p>
        </w:tc>
        <w:tc>
          <w:tcPr>
            <w:tcW w:w="567" w:type="dxa"/>
            <w:tcBorders>
              <w:top w:val="single" w:sz="6" w:space="0" w:color="auto"/>
              <w:left w:val="single" w:sz="6" w:space="0" w:color="auto"/>
              <w:bottom w:val="single" w:sz="6" w:space="0" w:color="auto"/>
              <w:right w:val="single" w:sz="6" w:space="0" w:color="auto"/>
            </w:tcBorders>
          </w:tcPr>
          <w:p w14:paraId="64F90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40760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w:t>
            </w:r>
          </w:p>
        </w:tc>
        <w:tc>
          <w:tcPr>
            <w:tcW w:w="709" w:type="dxa"/>
            <w:tcBorders>
              <w:top w:val="single" w:sz="6" w:space="0" w:color="auto"/>
              <w:left w:val="single" w:sz="6" w:space="0" w:color="auto"/>
              <w:bottom w:val="single" w:sz="6" w:space="0" w:color="auto"/>
              <w:right w:val="single" w:sz="6" w:space="0" w:color="auto"/>
            </w:tcBorders>
          </w:tcPr>
          <w:p w14:paraId="0BE56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783" w:type="dxa"/>
            <w:tcBorders>
              <w:top w:val="single" w:sz="6" w:space="0" w:color="auto"/>
              <w:left w:val="single" w:sz="6" w:space="0" w:color="auto"/>
              <w:bottom w:val="single" w:sz="6" w:space="0" w:color="auto"/>
              <w:right w:val="single" w:sz="6" w:space="0" w:color="auto"/>
            </w:tcBorders>
          </w:tcPr>
          <w:p w14:paraId="79DC3A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10AA4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1123" w:type="dxa"/>
            <w:tcBorders>
              <w:top w:val="single" w:sz="6" w:space="0" w:color="auto"/>
              <w:left w:val="single" w:sz="6" w:space="0" w:color="auto"/>
              <w:bottom w:val="single" w:sz="6" w:space="0" w:color="auto"/>
              <w:right w:val="single" w:sz="6" w:space="0" w:color="auto"/>
            </w:tcBorders>
          </w:tcPr>
          <w:p w14:paraId="70372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48" w:type="dxa"/>
            <w:tcBorders>
              <w:top w:val="single" w:sz="6" w:space="0" w:color="auto"/>
              <w:left w:val="single" w:sz="6" w:space="0" w:color="auto"/>
              <w:bottom w:val="single" w:sz="6" w:space="0" w:color="auto"/>
              <w:right w:val="single" w:sz="6" w:space="0" w:color="auto"/>
            </w:tcBorders>
          </w:tcPr>
          <w:p w14:paraId="0E36F9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6E026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CB02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3CD9D9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1.IX.43</w:t>
            </w:r>
          </w:p>
        </w:tc>
        <w:tc>
          <w:tcPr>
            <w:tcW w:w="621" w:type="dxa"/>
            <w:tcBorders>
              <w:top w:val="single" w:sz="6" w:space="0" w:color="auto"/>
              <w:left w:val="single" w:sz="6" w:space="0" w:color="auto"/>
              <w:bottom w:val="single" w:sz="6" w:space="0" w:color="auto"/>
              <w:right w:val="single" w:sz="6" w:space="0" w:color="auto"/>
            </w:tcBorders>
          </w:tcPr>
          <w:p w14:paraId="0C83A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1A83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F8A144" w14:textId="77777777" w:rsidTr="00ED5B0A">
        <w:tc>
          <w:tcPr>
            <w:tcW w:w="1242" w:type="dxa"/>
            <w:tcBorders>
              <w:top w:val="single" w:sz="6" w:space="0" w:color="auto"/>
              <w:left w:val="single" w:sz="6" w:space="0" w:color="auto"/>
              <w:bottom w:val="single" w:sz="6" w:space="0" w:color="auto"/>
              <w:right w:val="single" w:sz="6" w:space="0" w:color="auto"/>
            </w:tcBorders>
          </w:tcPr>
          <w:p w14:paraId="1C9C0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двумя</w:t>
            </w:r>
          </w:p>
        </w:tc>
        <w:tc>
          <w:tcPr>
            <w:tcW w:w="431" w:type="dxa"/>
            <w:tcBorders>
              <w:top w:val="single" w:sz="6" w:space="0" w:color="auto"/>
              <w:left w:val="single" w:sz="6" w:space="0" w:color="auto"/>
              <w:bottom w:val="single" w:sz="6" w:space="0" w:color="auto"/>
              <w:right w:val="single" w:sz="6" w:space="0" w:color="auto"/>
            </w:tcBorders>
          </w:tcPr>
          <w:p w14:paraId="28249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BF6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4F8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5943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C70B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B3DA9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7ADF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статич.</w:t>
            </w:r>
          </w:p>
        </w:tc>
        <w:tc>
          <w:tcPr>
            <w:tcW w:w="1123" w:type="dxa"/>
            <w:tcBorders>
              <w:top w:val="single" w:sz="6" w:space="0" w:color="auto"/>
              <w:left w:val="single" w:sz="6" w:space="0" w:color="auto"/>
              <w:bottom w:val="single" w:sz="6" w:space="0" w:color="auto"/>
              <w:right w:val="single" w:sz="6" w:space="0" w:color="auto"/>
            </w:tcBorders>
          </w:tcPr>
          <w:p w14:paraId="47BD3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0130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ABC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43EC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C32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на</w:t>
            </w:r>
          </w:p>
        </w:tc>
        <w:tc>
          <w:tcPr>
            <w:tcW w:w="621" w:type="dxa"/>
            <w:tcBorders>
              <w:top w:val="single" w:sz="6" w:space="0" w:color="auto"/>
              <w:left w:val="single" w:sz="6" w:space="0" w:color="auto"/>
              <w:bottom w:val="single" w:sz="6" w:space="0" w:color="auto"/>
              <w:right w:val="single" w:sz="6" w:space="0" w:color="auto"/>
            </w:tcBorders>
          </w:tcPr>
          <w:p w14:paraId="6CC78A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1300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F04A4D" w14:textId="77777777" w:rsidTr="00ED5B0A">
        <w:tc>
          <w:tcPr>
            <w:tcW w:w="1242" w:type="dxa"/>
            <w:tcBorders>
              <w:top w:val="single" w:sz="6" w:space="0" w:color="auto"/>
              <w:left w:val="single" w:sz="6" w:space="0" w:color="auto"/>
              <w:bottom w:val="single" w:sz="6" w:space="0" w:color="auto"/>
              <w:right w:val="single" w:sz="6" w:space="0" w:color="auto"/>
            </w:tcBorders>
          </w:tcPr>
          <w:p w14:paraId="524F9F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МВ-6 и</w:t>
            </w:r>
          </w:p>
        </w:tc>
        <w:tc>
          <w:tcPr>
            <w:tcW w:w="431" w:type="dxa"/>
            <w:tcBorders>
              <w:top w:val="single" w:sz="6" w:space="0" w:color="auto"/>
              <w:left w:val="single" w:sz="6" w:space="0" w:color="auto"/>
              <w:bottom w:val="single" w:sz="6" w:space="0" w:color="auto"/>
              <w:right w:val="single" w:sz="6" w:space="0" w:color="auto"/>
            </w:tcBorders>
          </w:tcPr>
          <w:p w14:paraId="539928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5B6A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A3F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02C8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7168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442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3D77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123" w:type="dxa"/>
            <w:tcBorders>
              <w:top w:val="single" w:sz="6" w:space="0" w:color="auto"/>
              <w:left w:val="single" w:sz="6" w:space="0" w:color="auto"/>
              <w:bottom w:val="single" w:sz="6" w:space="0" w:color="auto"/>
              <w:right w:val="single" w:sz="6" w:space="0" w:color="auto"/>
            </w:tcBorders>
          </w:tcPr>
          <w:p w14:paraId="512D67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5D57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85900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96673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6C2E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w:t>
            </w:r>
          </w:p>
        </w:tc>
        <w:tc>
          <w:tcPr>
            <w:tcW w:w="621" w:type="dxa"/>
            <w:tcBorders>
              <w:top w:val="single" w:sz="6" w:space="0" w:color="auto"/>
              <w:left w:val="single" w:sz="6" w:space="0" w:color="auto"/>
              <w:bottom w:val="single" w:sz="6" w:space="0" w:color="auto"/>
              <w:right w:val="single" w:sz="6" w:space="0" w:color="auto"/>
            </w:tcBorders>
          </w:tcPr>
          <w:p w14:paraId="6331B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54631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596868" w14:textId="77777777" w:rsidTr="00ED5B0A">
        <w:tc>
          <w:tcPr>
            <w:tcW w:w="1242" w:type="dxa"/>
            <w:tcBorders>
              <w:top w:val="single" w:sz="6" w:space="0" w:color="auto"/>
              <w:left w:val="single" w:sz="6" w:space="0" w:color="auto"/>
              <w:bottom w:val="single" w:sz="6" w:space="0" w:color="auto"/>
              <w:right w:val="single" w:sz="6" w:space="0" w:color="auto"/>
            </w:tcBorders>
          </w:tcPr>
          <w:p w14:paraId="4D5F4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 его</w:t>
            </w:r>
          </w:p>
        </w:tc>
        <w:tc>
          <w:tcPr>
            <w:tcW w:w="431" w:type="dxa"/>
            <w:tcBorders>
              <w:top w:val="single" w:sz="6" w:space="0" w:color="auto"/>
              <w:left w:val="single" w:sz="6" w:space="0" w:color="auto"/>
              <w:bottom w:val="single" w:sz="6" w:space="0" w:color="auto"/>
              <w:right w:val="single" w:sz="6" w:space="0" w:color="auto"/>
            </w:tcBorders>
          </w:tcPr>
          <w:p w14:paraId="5C873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B3B3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3C7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DB009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55C3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2CB1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955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динамич.</w:t>
            </w:r>
          </w:p>
        </w:tc>
        <w:tc>
          <w:tcPr>
            <w:tcW w:w="1123" w:type="dxa"/>
            <w:tcBorders>
              <w:top w:val="single" w:sz="6" w:space="0" w:color="auto"/>
              <w:left w:val="single" w:sz="6" w:space="0" w:color="auto"/>
              <w:bottom w:val="single" w:sz="6" w:space="0" w:color="auto"/>
              <w:right w:val="single" w:sz="6" w:space="0" w:color="auto"/>
            </w:tcBorders>
          </w:tcPr>
          <w:p w14:paraId="7ADD22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070D8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437C0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E1A3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055E8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w:t>
            </w:r>
          </w:p>
        </w:tc>
        <w:tc>
          <w:tcPr>
            <w:tcW w:w="621" w:type="dxa"/>
            <w:tcBorders>
              <w:top w:val="single" w:sz="6" w:space="0" w:color="auto"/>
              <w:left w:val="single" w:sz="6" w:space="0" w:color="auto"/>
              <w:bottom w:val="single" w:sz="6" w:space="0" w:color="auto"/>
              <w:right w:val="single" w:sz="6" w:space="0" w:color="auto"/>
            </w:tcBorders>
          </w:tcPr>
          <w:p w14:paraId="5AC49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3EE9F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0B9F5D" w14:textId="77777777" w:rsidTr="00ED5B0A">
        <w:tc>
          <w:tcPr>
            <w:tcW w:w="1242" w:type="dxa"/>
            <w:tcBorders>
              <w:top w:val="single" w:sz="6" w:space="0" w:color="auto"/>
              <w:left w:val="single" w:sz="6" w:space="0" w:color="auto"/>
              <w:bottom w:val="single" w:sz="6" w:space="0" w:color="auto"/>
              <w:right w:val="single" w:sz="6" w:space="0" w:color="auto"/>
            </w:tcBorders>
          </w:tcPr>
          <w:p w14:paraId="650722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моторы</w:t>
            </w:r>
          </w:p>
        </w:tc>
        <w:tc>
          <w:tcPr>
            <w:tcW w:w="431" w:type="dxa"/>
            <w:tcBorders>
              <w:top w:val="single" w:sz="6" w:space="0" w:color="auto"/>
              <w:left w:val="single" w:sz="6" w:space="0" w:color="auto"/>
              <w:bottom w:val="single" w:sz="6" w:space="0" w:color="auto"/>
              <w:right w:val="single" w:sz="6" w:space="0" w:color="auto"/>
            </w:tcBorders>
          </w:tcPr>
          <w:p w14:paraId="5DCBA4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87334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A72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AEF8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7824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CB63B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1F3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D4B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AC6C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C42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F487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C0C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E07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05F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7BFA7E" w14:textId="77777777" w:rsidTr="00ED5B0A">
        <w:tc>
          <w:tcPr>
            <w:tcW w:w="1242" w:type="dxa"/>
            <w:tcBorders>
              <w:top w:val="single" w:sz="6" w:space="0" w:color="auto"/>
              <w:left w:val="single" w:sz="6" w:space="0" w:color="auto"/>
              <w:bottom w:val="single" w:sz="6" w:space="0" w:color="auto"/>
              <w:right w:val="single" w:sz="6" w:space="0" w:color="auto"/>
            </w:tcBorders>
          </w:tcPr>
          <w:p w14:paraId="5CED98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МГ-31Ф</w:t>
            </w:r>
          </w:p>
        </w:tc>
        <w:tc>
          <w:tcPr>
            <w:tcW w:w="431" w:type="dxa"/>
            <w:tcBorders>
              <w:top w:val="single" w:sz="6" w:space="0" w:color="auto"/>
              <w:left w:val="single" w:sz="6" w:space="0" w:color="auto"/>
              <w:bottom w:val="single" w:sz="6" w:space="0" w:color="auto"/>
              <w:right w:val="single" w:sz="6" w:space="0" w:color="auto"/>
            </w:tcBorders>
          </w:tcPr>
          <w:p w14:paraId="2201B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645D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F3C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BE40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D033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4B1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8E7D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369EE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1FEF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E7220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B534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4FB14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F4AB4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FF66B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08CA6A" w14:textId="77777777" w:rsidTr="00ED5B0A">
        <w:tc>
          <w:tcPr>
            <w:tcW w:w="1242" w:type="dxa"/>
            <w:tcBorders>
              <w:top w:val="single" w:sz="6" w:space="0" w:color="auto"/>
              <w:left w:val="single" w:sz="6" w:space="0" w:color="auto"/>
              <w:bottom w:val="single" w:sz="6" w:space="0" w:color="auto"/>
              <w:right w:val="single" w:sz="6" w:space="0" w:color="auto"/>
            </w:tcBorders>
          </w:tcPr>
          <w:p w14:paraId="1E4581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B8AA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11E7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E087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B35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3D1F4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92A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CAD0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30EF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45DA6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C67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3401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707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1D29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665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116E7B" w14:textId="77777777" w:rsidTr="00ED5B0A">
        <w:tc>
          <w:tcPr>
            <w:tcW w:w="1242" w:type="dxa"/>
            <w:tcBorders>
              <w:top w:val="single" w:sz="6" w:space="0" w:color="auto"/>
              <w:left w:val="single" w:sz="6" w:space="0" w:color="auto"/>
              <w:bottom w:val="single" w:sz="6" w:space="0" w:color="auto"/>
              <w:right w:val="single" w:sz="6" w:space="0" w:color="auto"/>
            </w:tcBorders>
          </w:tcPr>
          <w:p w14:paraId="1C4A3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Братухин</w:t>
            </w:r>
          </w:p>
        </w:tc>
        <w:tc>
          <w:tcPr>
            <w:tcW w:w="431" w:type="dxa"/>
            <w:tcBorders>
              <w:top w:val="single" w:sz="6" w:space="0" w:color="auto"/>
              <w:left w:val="single" w:sz="6" w:space="0" w:color="auto"/>
              <w:bottom w:val="single" w:sz="6" w:space="0" w:color="auto"/>
              <w:right w:val="single" w:sz="6" w:space="0" w:color="auto"/>
            </w:tcBorders>
          </w:tcPr>
          <w:p w14:paraId="659A2A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4EF3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D5D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A31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B6EE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E9F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897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BDC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8359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1B3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A66E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00DF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17F6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0346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BE7E8B" w14:textId="77777777" w:rsidTr="00ED5B0A">
        <w:tc>
          <w:tcPr>
            <w:tcW w:w="1242" w:type="dxa"/>
            <w:tcBorders>
              <w:top w:val="single" w:sz="6" w:space="0" w:color="auto"/>
              <w:left w:val="single" w:sz="6" w:space="0" w:color="auto"/>
              <w:bottom w:val="single" w:sz="6" w:space="0" w:color="auto"/>
              <w:right w:val="single" w:sz="6" w:space="0" w:color="auto"/>
            </w:tcBorders>
          </w:tcPr>
          <w:p w14:paraId="75C835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1CBD5B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27755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BEABB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7399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67F75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2C788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C589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3715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02FCC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4BC5B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90FB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2ED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1.VI.43</w:t>
            </w:r>
          </w:p>
        </w:tc>
        <w:tc>
          <w:tcPr>
            <w:tcW w:w="621" w:type="dxa"/>
            <w:tcBorders>
              <w:top w:val="single" w:sz="6" w:space="0" w:color="auto"/>
              <w:left w:val="single" w:sz="6" w:space="0" w:color="auto"/>
              <w:bottom w:val="single" w:sz="6" w:space="0" w:color="auto"/>
              <w:right w:val="single" w:sz="6" w:space="0" w:color="auto"/>
            </w:tcBorders>
          </w:tcPr>
          <w:p w14:paraId="30491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с-та</w:t>
            </w:r>
          </w:p>
        </w:tc>
        <w:tc>
          <w:tcPr>
            <w:tcW w:w="621" w:type="dxa"/>
            <w:tcBorders>
              <w:top w:val="single" w:sz="6" w:space="0" w:color="auto"/>
              <w:left w:val="single" w:sz="6" w:space="0" w:color="auto"/>
              <w:bottom w:val="single" w:sz="6" w:space="0" w:color="auto"/>
              <w:right w:val="single" w:sz="6" w:space="0" w:color="auto"/>
            </w:tcBorders>
          </w:tcPr>
          <w:p w14:paraId="7E847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0063BD" w14:textId="77777777" w:rsidTr="00ED5B0A">
        <w:tc>
          <w:tcPr>
            <w:tcW w:w="1242" w:type="dxa"/>
            <w:tcBorders>
              <w:top w:val="single" w:sz="6" w:space="0" w:color="auto"/>
              <w:left w:val="single" w:sz="6" w:space="0" w:color="auto"/>
              <w:bottom w:val="single" w:sz="6" w:space="0" w:color="auto"/>
              <w:right w:val="single" w:sz="6" w:space="0" w:color="auto"/>
            </w:tcBorders>
          </w:tcPr>
          <w:p w14:paraId="16096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w:t>
            </w:r>
          </w:p>
        </w:tc>
        <w:tc>
          <w:tcPr>
            <w:tcW w:w="431" w:type="dxa"/>
            <w:tcBorders>
              <w:top w:val="single" w:sz="6" w:space="0" w:color="auto"/>
              <w:left w:val="single" w:sz="6" w:space="0" w:color="auto"/>
              <w:bottom w:val="single" w:sz="6" w:space="0" w:color="auto"/>
              <w:right w:val="single" w:sz="6" w:space="0" w:color="auto"/>
            </w:tcBorders>
          </w:tcPr>
          <w:p w14:paraId="0211AC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B0C56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6AB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5CC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589F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88213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3E6E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31FF6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3FE2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9E2B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9C258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FD26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w:t>
            </w:r>
          </w:p>
        </w:tc>
        <w:tc>
          <w:tcPr>
            <w:tcW w:w="621" w:type="dxa"/>
            <w:tcBorders>
              <w:top w:val="single" w:sz="6" w:space="0" w:color="auto"/>
              <w:left w:val="single" w:sz="6" w:space="0" w:color="auto"/>
              <w:bottom w:val="single" w:sz="6" w:space="0" w:color="auto"/>
              <w:right w:val="single" w:sz="6" w:space="0" w:color="auto"/>
            </w:tcBorders>
          </w:tcPr>
          <w:p w14:paraId="15E8F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определяются по</w:t>
            </w:r>
          </w:p>
        </w:tc>
        <w:tc>
          <w:tcPr>
            <w:tcW w:w="621" w:type="dxa"/>
            <w:tcBorders>
              <w:top w:val="single" w:sz="6" w:space="0" w:color="auto"/>
              <w:left w:val="single" w:sz="6" w:space="0" w:color="auto"/>
              <w:bottom w:val="single" w:sz="6" w:space="0" w:color="auto"/>
              <w:right w:val="single" w:sz="6" w:space="0" w:color="auto"/>
            </w:tcBorders>
          </w:tcPr>
          <w:p w14:paraId="25BF96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F3C55B" w14:textId="77777777" w:rsidTr="00ED5B0A">
        <w:tc>
          <w:tcPr>
            <w:tcW w:w="1242" w:type="dxa"/>
            <w:tcBorders>
              <w:top w:val="single" w:sz="6" w:space="0" w:color="auto"/>
              <w:left w:val="single" w:sz="6" w:space="0" w:color="auto"/>
              <w:bottom w:val="single" w:sz="6" w:space="0" w:color="auto"/>
              <w:right w:val="single" w:sz="6" w:space="0" w:color="auto"/>
            </w:tcBorders>
          </w:tcPr>
          <w:p w14:paraId="23FF1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w:t>
            </w:r>
          </w:p>
        </w:tc>
        <w:tc>
          <w:tcPr>
            <w:tcW w:w="431" w:type="dxa"/>
            <w:tcBorders>
              <w:top w:val="single" w:sz="6" w:space="0" w:color="auto"/>
              <w:left w:val="single" w:sz="6" w:space="0" w:color="auto"/>
              <w:bottom w:val="single" w:sz="6" w:space="0" w:color="auto"/>
              <w:right w:val="single" w:sz="6" w:space="0" w:color="auto"/>
            </w:tcBorders>
          </w:tcPr>
          <w:p w14:paraId="0C32EB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8945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667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C157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51B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08A6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F6D6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C8792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80B1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B060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86D1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B2938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эскиз.</w:t>
            </w:r>
          </w:p>
        </w:tc>
        <w:tc>
          <w:tcPr>
            <w:tcW w:w="621" w:type="dxa"/>
            <w:tcBorders>
              <w:top w:val="single" w:sz="6" w:space="0" w:color="auto"/>
              <w:left w:val="single" w:sz="6" w:space="0" w:color="auto"/>
              <w:bottom w:val="single" w:sz="6" w:space="0" w:color="auto"/>
              <w:right w:val="single" w:sz="6" w:space="0" w:color="auto"/>
            </w:tcBorders>
          </w:tcPr>
          <w:p w14:paraId="476E0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выполнении</w:t>
            </w:r>
          </w:p>
        </w:tc>
        <w:tc>
          <w:tcPr>
            <w:tcW w:w="621" w:type="dxa"/>
            <w:tcBorders>
              <w:top w:val="single" w:sz="6" w:space="0" w:color="auto"/>
              <w:left w:val="single" w:sz="6" w:space="0" w:color="auto"/>
              <w:bottom w:val="single" w:sz="6" w:space="0" w:color="auto"/>
              <w:right w:val="single" w:sz="6" w:space="0" w:color="auto"/>
            </w:tcBorders>
          </w:tcPr>
          <w:p w14:paraId="639D2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3E9546" w14:textId="77777777" w:rsidTr="00ED5B0A">
        <w:tc>
          <w:tcPr>
            <w:tcW w:w="1242" w:type="dxa"/>
            <w:tcBorders>
              <w:top w:val="single" w:sz="6" w:space="0" w:color="auto"/>
              <w:left w:val="single" w:sz="6" w:space="0" w:color="auto"/>
              <w:bottom w:val="single" w:sz="6" w:space="0" w:color="auto"/>
              <w:right w:val="single" w:sz="6" w:space="0" w:color="auto"/>
            </w:tcBorders>
          </w:tcPr>
          <w:p w14:paraId="65E6F5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 РД-1</w:t>
            </w:r>
          </w:p>
        </w:tc>
        <w:tc>
          <w:tcPr>
            <w:tcW w:w="431" w:type="dxa"/>
            <w:tcBorders>
              <w:top w:val="single" w:sz="6" w:space="0" w:color="auto"/>
              <w:left w:val="single" w:sz="6" w:space="0" w:color="auto"/>
              <w:bottom w:val="single" w:sz="6" w:space="0" w:color="auto"/>
              <w:right w:val="single" w:sz="6" w:space="0" w:color="auto"/>
            </w:tcBorders>
          </w:tcPr>
          <w:p w14:paraId="68610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2A0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A3B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DB1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0302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F13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E74B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F01E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636C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DAA3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746F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CAC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проекта</w:t>
            </w:r>
          </w:p>
        </w:tc>
        <w:tc>
          <w:tcPr>
            <w:tcW w:w="621" w:type="dxa"/>
            <w:tcBorders>
              <w:top w:val="single" w:sz="6" w:space="0" w:color="auto"/>
              <w:left w:val="single" w:sz="6" w:space="0" w:color="auto"/>
              <w:bottom w:val="single" w:sz="6" w:space="0" w:color="auto"/>
              <w:right w:val="single" w:sz="6" w:space="0" w:color="auto"/>
            </w:tcBorders>
          </w:tcPr>
          <w:p w14:paraId="543904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проекта</w:t>
            </w:r>
          </w:p>
        </w:tc>
        <w:tc>
          <w:tcPr>
            <w:tcW w:w="621" w:type="dxa"/>
            <w:tcBorders>
              <w:top w:val="single" w:sz="6" w:space="0" w:color="auto"/>
              <w:left w:val="single" w:sz="6" w:space="0" w:color="auto"/>
              <w:bottom w:val="single" w:sz="6" w:space="0" w:color="auto"/>
              <w:right w:val="single" w:sz="6" w:space="0" w:color="auto"/>
            </w:tcBorders>
          </w:tcPr>
          <w:p w14:paraId="2A650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E9984E" w14:textId="77777777" w:rsidTr="00ED5B0A">
        <w:tc>
          <w:tcPr>
            <w:tcW w:w="1242" w:type="dxa"/>
            <w:tcBorders>
              <w:top w:val="single" w:sz="6" w:space="0" w:color="auto"/>
              <w:left w:val="single" w:sz="6" w:space="0" w:color="auto"/>
              <w:bottom w:val="single" w:sz="6" w:space="0" w:color="auto"/>
              <w:right w:val="single" w:sz="6" w:space="0" w:color="auto"/>
            </w:tcBorders>
          </w:tcPr>
          <w:p w14:paraId="58F15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w:t>
            </w:r>
          </w:p>
        </w:tc>
        <w:tc>
          <w:tcPr>
            <w:tcW w:w="431" w:type="dxa"/>
            <w:tcBorders>
              <w:top w:val="single" w:sz="6" w:space="0" w:color="auto"/>
              <w:left w:val="single" w:sz="6" w:space="0" w:color="auto"/>
              <w:bottom w:val="single" w:sz="6" w:space="0" w:color="auto"/>
              <w:right w:val="single" w:sz="6" w:space="0" w:color="auto"/>
            </w:tcBorders>
          </w:tcPr>
          <w:p w14:paraId="3D0B21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FE6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0499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CE6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73503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D081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50B9B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96B55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5CC6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DA4A9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0FA1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5D5B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521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65A7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263F18" w14:textId="77777777" w:rsidTr="00ED5B0A">
        <w:tc>
          <w:tcPr>
            <w:tcW w:w="1242" w:type="dxa"/>
            <w:tcBorders>
              <w:top w:val="single" w:sz="6" w:space="0" w:color="auto"/>
              <w:left w:val="single" w:sz="6" w:space="0" w:color="auto"/>
              <w:bottom w:val="single" w:sz="6" w:space="0" w:color="auto"/>
              <w:right w:val="single" w:sz="6" w:space="0" w:color="auto"/>
            </w:tcBorders>
          </w:tcPr>
          <w:p w14:paraId="4584BF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ОКБ-16</w:t>
            </w:r>
          </w:p>
        </w:tc>
        <w:tc>
          <w:tcPr>
            <w:tcW w:w="431" w:type="dxa"/>
            <w:tcBorders>
              <w:top w:val="single" w:sz="6" w:space="0" w:color="auto"/>
              <w:left w:val="single" w:sz="6" w:space="0" w:color="auto"/>
              <w:bottom w:val="single" w:sz="6" w:space="0" w:color="auto"/>
              <w:right w:val="single" w:sz="6" w:space="0" w:color="auto"/>
            </w:tcBorders>
          </w:tcPr>
          <w:p w14:paraId="10B56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5EC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2037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F97E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9779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D194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1E39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896D9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E2A3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4BB5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156C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693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6DAB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4E4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64E4B0" w14:textId="77777777" w:rsidTr="00ED5B0A">
        <w:tc>
          <w:tcPr>
            <w:tcW w:w="1242" w:type="dxa"/>
            <w:tcBorders>
              <w:top w:val="single" w:sz="6" w:space="0" w:color="auto"/>
              <w:left w:val="single" w:sz="6" w:space="0" w:color="auto"/>
              <w:bottom w:val="single" w:sz="6" w:space="0" w:color="auto"/>
              <w:right w:val="single" w:sz="6" w:space="0" w:color="auto"/>
            </w:tcBorders>
          </w:tcPr>
          <w:p w14:paraId="654F5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2FD15D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E0766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FD8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B833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9EE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2A16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6B22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CD2F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4F0A1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6D9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C80A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E2AC9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85E1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D3A3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642E65" w14:textId="77777777" w:rsidTr="00ED5B0A">
        <w:tc>
          <w:tcPr>
            <w:tcW w:w="1242" w:type="dxa"/>
            <w:tcBorders>
              <w:top w:val="single" w:sz="6" w:space="0" w:color="auto"/>
              <w:left w:val="single" w:sz="6" w:space="0" w:color="auto"/>
              <w:bottom w:val="single" w:sz="6" w:space="0" w:color="auto"/>
              <w:right w:val="single" w:sz="6" w:space="0" w:color="auto"/>
            </w:tcBorders>
          </w:tcPr>
          <w:p w14:paraId="6FA60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w:t>
            </w:r>
          </w:p>
        </w:tc>
        <w:tc>
          <w:tcPr>
            <w:tcW w:w="431" w:type="dxa"/>
            <w:tcBorders>
              <w:top w:val="single" w:sz="6" w:space="0" w:color="auto"/>
              <w:left w:val="single" w:sz="6" w:space="0" w:color="auto"/>
              <w:bottom w:val="single" w:sz="6" w:space="0" w:color="auto"/>
              <w:right w:val="single" w:sz="6" w:space="0" w:color="auto"/>
            </w:tcBorders>
          </w:tcPr>
          <w:p w14:paraId="4FAAC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56C92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13DDA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CFEAB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FFA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AD19D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9BB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0CF2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EB75F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BE770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8E0E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8D6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791DA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854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A5E77C" w14:textId="77777777" w:rsidTr="00ED5B0A">
        <w:tc>
          <w:tcPr>
            <w:tcW w:w="1242" w:type="dxa"/>
            <w:tcBorders>
              <w:top w:val="single" w:sz="6" w:space="0" w:color="auto"/>
              <w:left w:val="single" w:sz="6" w:space="0" w:color="auto"/>
              <w:bottom w:val="single" w:sz="6" w:space="0" w:color="auto"/>
              <w:right w:val="single" w:sz="6" w:space="0" w:color="auto"/>
            </w:tcBorders>
          </w:tcPr>
          <w:p w14:paraId="4E54C5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Мясищев</w:t>
            </w:r>
          </w:p>
        </w:tc>
        <w:tc>
          <w:tcPr>
            <w:tcW w:w="431" w:type="dxa"/>
            <w:tcBorders>
              <w:top w:val="single" w:sz="6" w:space="0" w:color="auto"/>
              <w:left w:val="single" w:sz="6" w:space="0" w:color="auto"/>
              <w:bottom w:val="single" w:sz="6" w:space="0" w:color="auto"/>
              <w:right w:val="single" w:sz="6" w:space="0" w:color="auto"/>
            </w:tcBorders>
          </w:tcPr>
          <w:p w14:paraId="25264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8A8E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280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D75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D5D5F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226A0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F97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29C2C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C5FA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CBC3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B746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DA8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448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BBDF6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497E8C" w14:textId="77777777" w:rsidTr="00ED5B0A">
        <w:tc>
          <w:tcPr>
            <w:tcW w:w="1242" w:type="dxa"/>
            <w:tcBorders>
              <w:top w:val="single" w:sz="6" w:space="0" w:color="auto"/>
              <w:left w:val="single" w:sz="6" w:space="0" w:color="auto"/>
              <w:bottom w:val="single" w:sz="6" w:space="0" w:color="auto"/>
              <w:right w:val="single" w:sz="6" w:space="0" w:color="auto"/>
            </w:tcBorders>
          </w:tcPr>
          <w:p w14:paraId="64AE6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Противо/</w:t>
            </w:r>
          </w:p>
        </w:tc>
        <w:tc>
          <w:tcPr>
            <w:tcW w:w="431" w:type="dxa"/>
            <w:tcBorders>
              <w:top w:val="single" w:sz="6" w:space="0" w:color="auto"/>
              <w:left w:val="single" w:sz="6" w:space="0" w:color="auto"/>
              <w:bottom w:val="single" w:sz="6" w:space="0" w:color="auto"/>
              <w:right w:val="single" w:sz="6" w:space="0" w:color="auto"/>
            </w:tcBorders>
          </w:tcPr>
          <w:p w14:paraId="1147D9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03" w:type="dxa"/>
            <w:tcBorders>
              <w:top w:val="single" w:sz="6" w:space="0" w:color="auto"/>
              <w:left w:val="single" w:sz="6" w:space="0" w:color="auto"/>
              <w:bottom w:val="single" w:sz="6" w:space="0" w:color="auto"/>
              <w:right w:val="single" w:sz="6" w:space="0" w:color="auto"/>
            </w:tcBorders>
          </w:tcPr>
          <w:p w14:paraId="0C67CC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w:t>
            </w:r>
          </w:p>
        </w:tc>
        <w:tc>
          <w:tcPr>
            <w:tcW w:w="567" w:type="dxa"/>
            <w:tcBorders>
              <w:top w:val="single" w:sz="6" w:space="0" w:color="auto"/>
              <w:left w:val="single" w:sz="6" w:space="0" w:color="auto"/>
              <w:bottom w:val="single" w:sz="6" w:space="0" w:color="auto"/>
              <w:right w:val="single" w:sz="6" w:space="0" w:color="auto"/>
            </w:tcBorders>
          </w:tcPr>
          <w:p w14:paraId="050A91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w:t>
            </w:r>
          </w:p>
        </w:tc>
        <w:tc>
          <w:tcPr>
            <w:tcW w:w="567" w:type="dxa"/>
            <w:tcBorders>
              <w:top w:val="single" w:sz="6" w:space="0" w:color="auto"/>
              <w:left w:val="single" w:sz="6" w:space="0" w:color="auto"/>
              <w:bottom w:val="single" w:sz="6" w:space="0" w:color="auto"/>
              <w:right w:val="single" w:sz="6" w:space="0" w:color="auto"/>
            </w:tcBorders>
          </w:tcPr>
          <w:p w14:paraId="016A1E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tc>
        <w:tc>
          <w:tcPr>
            <w:tcW w:w="709" w:type="dxa"/>
            <w:tcBorders>
              <w:top w:val="single" w:sz="6" w:space="0" w:color="auto"/>
              <w:left w:val="single" w:sz="6" w:space="0" w:color="auto"/>
              <w:bottom w:val="single" w:sz="6" w:space="0" w:color="auto"/>
              <w:right w:val="single" w:sz="6" w:space="0" w:color="auto"/>
            </w:tcBorders>
          </w:tcPr>
          <w:p w14:paraId="5F31F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783" w:type="dxa"/>
            <w:tcBorders>
              <w:top w:val="single" w:sz="6" w:space="0" w:color="auto"/>
              <w:left w:val="single" w:sz="6" w:space="0" w:color="auto"/>
              <w:bottom w:val="single" w:sz="6" w:space="0" w:color="auto"/>
              <w:right w:val="single" w:sz="6" w:space="0" w:color="auto"/>
            </w:tcBorders>
          </w:tcPr>
          <w:p w14:paraId="1A00D4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8/1000</w:t>
            </w:r>
          </w:p>
        </w:tc>
        <w:tc>
          <w:tcPr>
            <w:tcW w:w="783" w:type="dxa"/>
            <w:tcBorders>
              <w:top w:val="single" w:sz="6" w:space="0" w:color="auto"/>
              <w:left w:val="single" w:sz="6" w:space="0" w:color="auto"/>
              <w:bottom w:val="single" w:sz="6" w:space="0" w:color="auto"/>
              <w:right w:val="single" w:sz="6" w:space="0" w:color="auto"/>
            </w:tcBorders>
          </w:tcPr>
          <w:p w14:paraId="2CEDD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2850</w:t>
            </w:r>
          </w:p>
        </w:tc>
        <w:tc>
          <w:tcPr>
            <w:tcW w:w="1123" w:type="dxa"/>
            <w:tcBorders>
              <w:top w:val="single" w:sz="6" w:space="0" w:color="auto"/>
              <w:left w:val="single" w:sz="6" w:space="0" w:color="auto"/>
              <w:bottom w:val="single" w:sz="6" w:space="0" w:color="auto"/>
              <w:right w:val="single" w:sz="6" w:space="0" w:color="auto"/>
            </w:tcBorders>
          </w:tcPr>
          <w:p w14:paraId="3C3F80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пушки</w:t>
            </w:r>
          </w:p>
        </w:tc>
        <w:tc>
          <w:tcPr>
            <w:tcW w:w="848" w:type="dxa"/>
            <w:tcBorders>
              <w:top w:val="single" w:sz="6" w:space="0" w:color="auto"/>
              <w:left w:val="single" w:sz="6" w:space="0" w:color="auto"/>
              <w:bottom w:val="single" w:sz="6" w:space="0" w:color="auto"/>
              <w:right w:val="single" w:sz="6" w:space="0" w:color="auto"/>
            </w:tcBorders>
          </w:tcPr>
          <w:p w14:paraId="6B318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410" w:type="dxa"/>
            <w:tcBorders>
              <w:top w:val="single" w:sz="6" w:space="0" w:color="auto"/>
              <w:left w:val="single" w:sz="6" w:space="0" w:color="auto"/>
              <w:bottom w:val="single" w:sz="6" w:space="0" w:color="auto"/>
              <w:right w:val="single" w:sz="6" w:space="0" w:color="auto"/>
            </w:tcBorders>
          </w:tcPr>
          <w:p w14:paraId="658A8B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0F228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w:t>
            </w:r>
          </w:p>
        </w:tc>
        <w:tc>
          <w:tcPr>
            <w:tcW w:w="922" w:type="dxa"/>
            <w:tcBorders>
              <w:top w:val="single" w:sz="6" w:space="0" w:color="auto"/>
              <w:left w:val="single" w:sz="6" w:space="0" w:color="auto"/>
              <w:bottom w:val="single" w:sz="6" w:space="0" w:color="auto"/>
              <w:right w:val="single" w:sz="6" w:space="0" w:color="auto"/>
            </w:tcBorders>
          </w:tcPr>
          <w:p w14:paraId="3AB12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1.II.43</w:t>
            </w:r>
          </w:p>
        </w:tc>
        <w:tc>
          <w:tcPr>
            <w:tcW w:w="621" w:type="dxa"/>
            <w:tcBorders>
              <w:top w:val="single" w:sz="6" w:space="0" w:color="auto"/>
              <w:left w:val="single" w:sz="6" w:space="0" w:color="auto"/>
              <w:bottom w:val="single" w:sz="6" w:space="0" w:color="auto"/>
              <w:right w:val="single" w:sz="6" w:space="0" w:color="auto"/>
            </w:tcBorders>
          </w:tcPr>
          <w:p w14:paraId="3A881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21BD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693798" w14:textId="77777777" w:rsidTr="00ED5B0A">
        <w:tc>
          <w:tcPr>
            <w:tcW w:w="1242" w:type="dxa"/>
            <w:tcBorders>
              <w:top w:val="single" w:sz="6" w:space="0" w:color="auto"/>
              <w:left w:val="single" w:sz="6" w:space="0" w:color="auto"/>
              <w:bottom w:val="single" w:sz="6" w:space="0" w:color="auto"/>
              <w:right w:val="single" w:sz="6" w:space="0" w:color="auto"/>
            </w:tcBorders>
          </w:tcPr>
          <w:p w14:paraId="2E88A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танковый</w:t>
            </w:r>
          </w:p>
        </w:tc>
        <w:tc>
          <w:tcPr>
            <w:tcW w:w="431" w:type="dxa"/>
            <w:tcBorders>
              <w:top w:val="single" w:sz="6" w:space="0" w:color="auto"/>
              <w:left w:val="single" w:sz="6" w:space="0" w:color="auto"/>
              <w:bottom w:val="single" w:sz="6" w:space="0" w:color="auto"/>
              <w:right w:val="single" w:sz="6" w:space="0" w:color="auto"/>
            </w:tcBorders>
          </w:tcPr>
          <w:p w14:paraId="4A86A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B93D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C9D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567" w:type="dxa"/>
            <w:tcBorders>
              <w:top w:val="single" w:sz="6" w:space="0" w:color="auto"/>
              <w:left w:val="single" w:sz="6" w:space="0" w:color="auto"/>
              <w:bottom w:val="single" w:sz="6" w:space="0" w:color="auto"/>
              <w:right w:val="single" w:sz="6" w:space="0" w:color="auto"/>
            </w:tcBorders>
          </w:tcPr>
          <w:p w14:paraId="179B15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A74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0,7</w:t>
            </w:r>
          </w:p>
        </w:tc>
        <w:tc>
          <w:tcPr>
            <w:tcW w:w="783" w:type="dxa"/>
            <w:tcBorders>
              <w:top w:val="single" w:sz="6" w:space="0" w:color="auto"/>
              <w:left w:val="single" w:sz="6" w:space="0" w:color="auto"/>
              <w:bottom w:val="single" w:sz="6" w:space="0" w:color="auto"/>
              <w:right w:val="single" w:sz="6" w:space="0" w:color="auto"/>
            </w:tcBorders>
          </w:tcPr>
          <w:p w14:paraId="3341D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3878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6101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мм</w:t>
            </w:r>
          </w:p>
        </w:tc>
        <w:tc>
          <w:tcPr>
            <w:tcW w:w="848" w:type="dxa"/>
            <w:tcBorders>
              <w:top w:val="single" w:sz="6" w:space="0" w:color="auto"/>
              <w:left w:val="single" w:sz="6" w:space="0" w:color="auto"/>
              <w:bottom w:val="single" w:sz="6" w:space="0" w:color="auto"/>
              <w:right w:val="single" w:sz="6" w:space="0" w:color="auto"/>
            </w:tcBorders>
          </w:tcPr>
          <w:p w14:paraId="1A713F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A32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9CA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8888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F33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B8A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96B555" w14:textId="77777777" w:rsidTr="00ED5B0A">
        <w:tc>
          <w:tcPr>
            <w:tcW w:w="1242" w:type="dxa"/>
            <w:tcBorders>
              <w:top w:val="single" w:sz="6" w:space="0" w:color="auto"/>
              <w:left w:val="single" w:sz="6" w:space="0" w:color="auto"/>
              <w:bottom w:val="single" w:sz="6" w:space="0" w:color="auto"/>
              <w:right w:val="single" w:sz="6" w:space="0" w:color="auto"/>
            </w:tcBorders>
          </w:tcPr>
          <w:p w14:paraId="38868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"Пегас"</w:t>
            </w:r>
          </w:p>
        </w:tc>
        <w:tc>
          <w:tcPr>
            <w:tcW w:w="431" w:type="dxa"/>
            <w:tcBorders>
              <w:top w:val="single" w:sz="6" w:space="0" w:color="auto"/>
              <w:left w:val="single" w:sz="6" w:space="0" w:color="auto"/>
              <w:bottom w:val="single" w:sz="6" w:space="0" w:color="auto"/>
              <w:right w:val="single" w:sz="6" w:space="0" w:color="auto"/>
            </w:tcBorders>
          </w:tcPr>
          <w:p w14:paraId="1B8BA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7759E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4B5F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4983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C05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max</w:t>
            </w:r>
          </w:p>
        </w:tc>
        <w:tc>
          <w:tcPr>
            <w:tcW w:w="783" w:type="dxa"/>
            <w:tcBorders>
              <w:top w:val="single" w:sz="6" w:space="0" w:color="auto"/>
              <w:left w:val="single" w:sz="6" w:space="0" w:color="auto"/>
              <w:bottom w:val="single" w:sz="6" w:space="0" w:color="auto"/>
              <w:right w:val="single" w:sz="6" w:space="0" w:color="auto"/>
            </w:tcBorders>
          </w:tcPr>
          <w:p w14:paraId="33C8C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2AC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33F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EA4DA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5674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697E2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BEC2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73F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112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D8BB5B" w14:textId="77777777" w:rsidTr="00ED5B0A">
        <w:tc>
          <w:tcPr>
            <w:tcW w:w="1242" w:type="dxa"/>
            <w:tcBorders>
              <w:top w:val="single" w:sz="6" w:space="0" w:color="auto"/>
              <w:left w:val="single" w:sz="6" w:space="0" w:color="auto"/>
              <w:bottom w:val="single" w:sz="6" w:space="0" w:color="auto"/>
              <w:right w:val="single" w:sz="6" w:space="0" w:color="auto"/>
            </w:tcBorders>
          </w:tcPr>
          <w:p w14:paraId="5EB733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двумя</w:t>
            </w:r>
          </w:p>
        </w:tc>
        <w:tc>
          <w:tcPr>
            <w:tcW w:w="431" w:type="dxa"/>
            <w:tcBorders>
              <w:top w:val="single" w:sz="6" w:space="0" w:color="auto"/>
              <w:left w:val="single" w:sz="6" w:space="0" w:color="auto"/>
              <w:bottom w:val="single" w:sz="6" w:space="0" w:color="auto"/>
              <w:right w:val="single" w:sz="6" w:space="0" w:color="auto"/>
            </w:tcBorders>
          </w:tcPr>
          <w:p w14:paraId="35323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3996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78C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B36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5A3C0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w:t>
            </w:r>
          </w:p>
        </w:tc>
        <w:tc>
          <w:tcPr>
            <w:tcW w:w="783" w:type="dxa"/>
            <w:tcBorders>
              <w:top w:val="single" w:sz="6" w:space="0" w:color="auto"/>
              <w:left w:val="single" w:sz="6" w:space="0" w:color="auto"/>
              <w:bottom w:val="single" w:sz="6" w:space="0" w:color="auto"/>
              <w:right w:val="single" w:sz="6" w:space="0" w:color="auto"/>
            </w:tcBorders>
          </w:tcPr>
          <w:p w14:paraId="7609C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12A85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73E2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75A3A1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17B2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DB10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07B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95F9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76C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27F43F" w14:textId="77777777" w:rsidTr="00ED5B0A">
        <w:tc>
          <w:tcPr>
            <w:tcW w:w="1242" w:type="dxa"/>
            <w:tcBorders>
              <w:top w:val="single" w:sz="6" w:space="0" w:color="auto"/>
              <w:left w:val="single" w:sz="6" w:space="0" w:color="auto"/>
              <w:bottom w:val="single" w:sz="6" w:space="0" w:color="auto"/>
              <w:right w:val="single" w:sz="6" w:space="0" w:color="auto"/>
            </w:tcBorders>
          </w:tcPr>
          <w:p w14:paraId="7B985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М-11Ф</w:t>
            </w:r>
          </w:p>
        </w:tc>
        <w:tc>
          <w:tcPr>
            <w:tcW w:w="431" w:type="dxa"/>
            <w:tcBorders>
              <w:top w:val="single" w:sz="6" w:space="0" w:color="auto"/>
              <w:left w:val="single" w:sz="6" w:space="0" w:color="auto"/>
              <w:bottom w:val="single" w:sz="6" w:space="0" w:color="auto"/>
              <w:right w:val="single" w:sz="6" w:space="0" w:color="auto"/>
            </w:tcBorders>
          </w:tcPr>
          <w:p w14:paraId="1FA43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AC1E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B58A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F42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BBD50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B7B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B9C7D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8E8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12A7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54CC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E25D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B52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A476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55B0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44AAE0" w14:textId="77777777" w:rsidTr="00ED5B0A">
        <w:tc>
          <w:tcPr>
            <w:tcW w:w="1242" w:type="dxa"/>
            <w:tcBorders>
              <w:top w:val="single" w:sz="6" w:space="0" w:color="auto"/>
              <w:left w:val="single" w:sz="6" w:space="0" w:color="auto"/>
              <w:bottom w:val="single" w:sz="6" w:space="0" w:color="auto"/>
              <w:right w:val="single" w:sz="6" w:space="0" w:color="auto"/>
            </w:tcBorders>
          </w:tcPr>
          <w:p w14:paraId="14D1E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5355F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0630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86BB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DB0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91DA0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0B5E4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D1D0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E6FB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FB37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20FC8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7D9C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7EFF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BEB7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50D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78CBD9" w14:textId="77777777" w:rsidTr="00ED5B0A">
        <w:tc>
          <w:tcPr>
            <w:tcW w:w="1242" w:type="dxa"/>
            <w:tcBorders>
              <w:top w:val="single" w:sz="6" w:space="0" w:color="auto"/>
              <w:left w:val="single" w:sz="6" w:space="0" w:color="auto"/>
              <w:bottom w:val="single" w:sz="6" w:space="0" w:color="auto"/>
              <w:right w:val="single" w:sz="6" w:space="0" w:color="auto"/>
            </w:tcBorders>
          </w:tcPr>
          <w:p w14:paraId="5C5C5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Томашевич</w:t>
            </w:r>
          </w:p>
        </w:tc>
        <w:tc>
          <w:tcPr>
            <w:tcW w:w="431" w:type="dxa"/>
            <w:tcBorders>
              <w:top w:val="single" w:sz="6" w:space="0" w:color="auto"/>
              <w:left w:val="single" w:sz="6" w:space="0" w:color="auto"/>
              <w:bottom w:val="single" w:sz="6" w:space="0" w:color="auto"/>
              <w:right w:val="single" w:sz="6" w:space="0" w:color="auto"/>
            </w:tcBorders>
          </w:tcPr>
          <w:p w14:paraId="5C80A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F583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24B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63012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D3A8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126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9BFB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51CB5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967D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0E3D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1322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90F3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7A3F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776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EEB8F4" w14:textId="77777777" w:rsidTr="00ED5B0A">
        <w:tc>
          <w:tcPr>
            <w:tcW w:w="1242" w:type="dxa"/>
            <w:tcBorders>
              <w:top w:val="single" w:sz="6" w:space="0" w:color="auto"/>
              <w:left w:val="single" w:sz="6" w:space="0" w:color="auto"/>
              <w:bottom w:val="single" w:sz="6" w:space="0" w:color="auto"/>
              <w:right w:val="single" w:sz="6" w:space="0" w:color="auto"/>
            </w:tcBorders>
          </w:tcPr>
          <w:p w14:paraId="79311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Пе-2</w:t>
            </w:r>
          </w:p>
        </w:tc>
        <w:tc>
          <w:tcPr>
            <w:tcW w:w="431" w:type="dxa"/>
            <w:tcBorders>
              <w:top w:val="single" w:sz="6" w:space="0" w:color="auto"/>
              <w:left w:val="single" w:sz="6" w:space="0" w:color="auto"/>
              <w:bottom w:val="single" w:sz="6" w:space="0" w:color="auto"/>
              <w:right w:val="single" w:sz="6" w:space="0" w:color="auto"/>
            </w:tcBorders>
          </w:tcPr>
          <w:p w14:paraId="6A7D5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65583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5199F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FCB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82F9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2AAA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AA3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46EA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4368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AE36E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21A5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7E48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летн.</w:t>
            </w:r>
          </w:p>
        </w:tc>
        <w:tc>
          <w:tcPr>
            <w:tcW w:w="621" w:type="dxa"/>
            <w:tcBorders>
              <w:top w:val="single" w:sz="6" w:space="0" w:color="auto"/>
              <w:left w:val="single" w:sz="6" w:space="0" w:color="auto"/>
              <w:bottom w:val="single" w:sz="6" w:space="0" w:color="auto"/>
              <w:right w:val="single" w:sz="6" w:space="0" w:color="auto"/>
            </w:tcBorders>
          </w:tcPr>
          <w:p w14:paraId="6FA4E2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936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577F8B" w14:textId="77777777" w:rsidTr="00ED5B0A">
        <w:tc>
          <w:tcPr>
            <w:tcW w:w="1242" w:type="dxa"/>
            <w:tcBorders>
              <w:top w:val="single" w:sz="6" w:space="0" w:color="auto"/>
              <w:left w:val="single" w:sz="6" w:space="0" w:color="auto"/>
              <w:bottom w:val="single" w:sz="6" w:space="0" w:color="auto"/>
              <w:right w:val="single" w:sz="6" w:space="0" w:color="auto"/>
            </w:tcBorders>
          </w:tcPr>
          <w:p w14:paraId="063A5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однокамерн.</w:t>
            </w:r>
          </w:p>
        </w:tc>
        <w:tc>
          <w:tcPr>
            <w:tcW w:w="431" w:type="dxa"/>
            <w:tcBorders>
              <w:top w:val="single" w:sz="6" w:space="0" w:color="auto"/>
              <w:left w:val="single" w:sz="6" w:space="0" w:color="auto"/>
              <w:bottom w:val="single" w:sz="6" w:space="0" w:color="auto"/>
              <w:right w:val="single" w:sz="6" w:space="0" w:color="auto"/>
            </w:tcBorders>
          </w:tcPr>
          <w:p w14:paraId="0839E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0EB30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A13A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5A8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01E45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576F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953D7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709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A648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AE9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B925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01C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w:t>
            </w:r>
          </w:p>
        </w:tc>
        <w:tc>
          <w:tcPr>
            <w:tcW w:w="621" w:type="dxa"/>
            <w:tcBorders>
              <w:top w:val="single" w:sz="6" w:space="0" w:color="auto"/>
              <w:left w:val="single" w:sz="6" w:space="0" w:color="auto"/>
              <w:bottom w:val="single" w:sz="6" w:space="0" w:color="auto"/>
              <w:right w:val="single" w:sz="6" w:space="0" w:color="auto"/>
            </w:tcBorders>
          </w:tcPr>
          <w:p w14:paraId="66DD8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B5FE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A7F286" w14:textId="77777777" w:rsidTr="00ED5B0A">
        <w:tc>
          <w:tcPr>
            <w:tcW w:w="1242" w:type="dxa"/>
            <w:tcBorders>
              <w:top w:val="single" w:sz="6" w:space="0" w:color="auto"/>
              <w:left w:val="single" w:sz="6" w:space="0" w:color="auto"/>
              <w:bottom w:val="single" w:sz="6" w:space="0" w:color="auto"/>
              <w:right w:val="single" w:sz="6" w:space="0" w:color="auto"/>
            </w:tcBorders>
          </w:tcPr>
          <w:p w14:paraId="59C49C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Установкой</w:t>
            </w:r>
          </w:p>
        </w:tc>
        <w:tc>
          <w:tcPr>
            <w:tcW w:w="431" w:type="dxa"/>
            <w:tcBorders>
              <w:top w:val="single" w:sz="6" w:space="0" w:color="auto"/>
              <w:left w:val="single" w:sz="6" w:space="0" w:color="auto"/>
              <w:bottom w:val="single" w:sz="6" w:space="0" w:color="auto"/>
              <w:right w:val="single" w:sz="6" w:space="0" w:color="auto"/>
            </w:tcBorders>
          </w:tcPr>
          <w:p w14:paraId="66BADC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9B69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E243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4D63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EF2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5D3A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4A30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3DE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0C1F1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0205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4BB08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4B2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15.VI.43</w:t>
            </w:r>
          </w:p>
        </w:tc>
        <w:tc>
          <w:tcPr>
            <w:tcW w:w="621" w:type="dxa"/>
            <w:tcBorders>
              <w:top w:val="single" w:sz="6" w:space="0" w:color="auto"/>
              <w:left w:val="single" w:sz="6" w:space="0" w:color="auto"/>
              <w:bottom w:val="single" w:sz="6" w:space="0" w:color="auto"/>
              <w:right w:val="single" w:sz="6" w:space="0" w:color="auto"/>
            </w:tcBorders>
          </w:tcPr>
          <w:p w14:paraId="6CED7B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D9B44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4A4C5C" w14:textId="77777777" w:rsidTr="00ED5B0A">
        <w:tc>
          <w:tcPr>
            <w:tcW w:w="1242" w:type="dxa"/>
            <w:tcBorders>
              <w:top w:val="single" w:sz="6" w:space="0" w:color="auto"/>
              <w:left w:val="single" w:sz="6" w:space="0" w:color="auto"/>
              <w:bottom w:val="single" w:sz="6" w:space="0" w:color="auto"/>
              <w:right w:val="single" w:sz="6" w:space="0" w:color="auto"/>
            </w:tcBorders>
          </w:tcPr>
          <w:p w14:paraId="5E0FFA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реактивного</w:t>
            </w:r>
          </w:p>
        </w:tc>
        <w:tc>
          <w:tcPr>
            <w:tcW w:w="431" w:type="dxa"/>
            <w:tcBorders>
              <w:top w:val="single" w:sz="6" w:space="0" w:color="auto"/>
              <w:left w:val="single" w:sz="6" w:space="0" w:color="auto"/>
              <w:bottom w:val="single" w:sz="6" w:space="0" w:color="auto"/>
              <w:right w:val="single" w:sz="6" w:space="0" w:color="auto"/>
            </w:tcBorders>
          </w:tcPr>
          <w:p w14:paraId="261C7C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DE3E3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AA9E5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2D0E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2D024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613C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CD8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B5E38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8A25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6454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A052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3E0D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9AF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9550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F65DB1" w14:textId="77777777" w:rsidTr="00ED5B0A">
        <w:tc>
          <w:tcPr>
            <w:tcW w:w="1242" w:type="dxa"/>
            <w:tcBorders>
              <w:top w:val="single" w:sz="6" w:space="0" w:color="auto"/>
              <w:left w:val="single" w:sz="6" w:space="0" w:color="auto"/>
              <w:bottom w:val="single" w:sz="6" w:space="0" w:color="auto"/>
              <w:right w:val="single" w:sz="6" w:space="0" w:color="auto"/>
            </w:tcBorders>
          </w:tcPr>
          <w:p w14:paraId="506038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 РД-1</w:t>
            </w:r>
          </w:p>
        </w:tc>
        <w:tc>
          <w:tcPr>
            <w:tcW w:w="431" w:type="dxa"/>
            <w:tcBorders>
              <w:top w:val="single" w:sz="6" w:space="0" w:color="auto"/>
              <w:left w:val="single" w:sz="6" w:space="0" w:color="auto"/>
              <w:bottom w:val="single" w:sz="6" w:space="0" w:color="auto"/>
              <w:right w:val="single" w:sz="6" w:space="0" w:color="auto"/>
            </w:tcBorders>
          </w:tcPr>
          <w:p w14:paraId="16708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701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10D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338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520F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E02E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2F93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4A91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CC3D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FDB7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0684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DC36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A19C3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61DA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751165" w14:textId="77777777" w:rsidTr="00ED5B0A">
        <w:tc>
          <w:tcPr>
            <w:tcW w:w="1242" w:type="dxa"/>
            <w:tcBorders>
              <w:top w:val="single" w:sz="6" w:space="0" w:color="auto"/>
              <w:left w:val="single" w:sz="6" w:space="0" w:color="auto"/>
              <w:bottom w:val="single" w:sz="6" w:space="0" w:color="auto"/>
              <w:right w:val="single" w:sz="6" w:space="0" w:color="auto"/>
            </w:tcBorders>
          </w:tcPr>
          <w:p w14:paraId="6B7521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0798A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68C11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7D9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C11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27F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48BEC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EBA2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8D3C0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E904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C95D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180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CBB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A523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313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062722" w14:textId="77777777" w:rsidTr="00ED5B0A">
        <w:tc>
          <w:tcPr>
            <w:tcW w:w="1242" w:type="dxa"/>
            <w:tcBorders>
              <w:top w:val="single" w:sz="6" w:space="0" w:color="auto"/>
              <w:left w:val="single" w:sz="6" w:space="0" w:color="auto"/>
              <w:bottom w:val="single" w:sz="6" w:space="0" w:color="auto"/>
              <w:right w:val="single" w:sz="6" w:space="0" w:color="auto"/>
            </w:tcBorders>
          </w:tcPr>
          <w:p w14:paraId="15292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w:t>
            </w:r>
          </w:p>
        </w:tc>
        <w:tc>
          <w:tcPr>
            <w:tcW w:w="431" w:type="dxa"/>
            <w:tcBorders>
              <w:top w:val="single" w:sz="6" w:space="0" w:color="auto"/>
              <w:left w:val="single" w:sz="6" w:space="0" w:color="auto"/>
              <w:bottom w:val="single" w:sz="6" w:space="0" w:color="auto"/>
              <w:right w:val="single" w:sz="6" w:space="0" w:color="auto"/>
            </w:tcBorders>
          </w:tcPr>
          <w:p w14:paraId="65DAC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5192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1A4A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4228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AAB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1C2CF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B0C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D02A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4A62C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04B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F37B4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0E4F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13E3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194F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86E732" w14:textId="77777777" w:rsidTr="00ED5B0A">
        <w:tc>
          <w:tcPr>
            <w:tcW w:w="1242" w:type="dxa"/>
            <w:tcBorders>
              <w:top w:val="single" w:sz="6" w:space="0" w:color="auto"/>
              <w:left w:val="single" w:sz="6" w:space="0" w:color="auto"/>
              <w:bottom w:val="single" w:sz="6" w:space="0" w:color="auto"/>
              <w:right w:val="single" w:sz="6" w:space="0" w:color="auto"/>
            </w:tcBorders>
          </w:tcPr>
          <w:p w14:paraId="32180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Одномест.2</w:t>
            </w:r>
          </w:p>
        </w:tc>
        <w:tc>
          <w:tcPr>
            <w:tcW w:w="431" w:type="dxa"/>
            <w:tcBorders>
              <w:top w:val="single" w:sz="6" w:space="0" w:color="auto"/>
              <w:left w:val="single" w:sz="6" w:space="0" w:color="auto"/>
              <w:bottom w:val="single" w:sz="6" w:space="0" w:color="auto"/>
              <w:right w:val="single" w:sz="6" w:space="0" w:color="auto"/>
            </w:tcBorders>
          </w:tcPr>
          <w:p w14:paraId="5F7891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F693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567" w:type="dxa"/>
            <w:tcBorders>
              <w:top w:val="single" w:sz="6" w:space="0" w:color="auto"/>
              <w:left w:val="single" w:sz="6" w:space="0" w:color="auto"/>
              <w:bottom w:val="single" w:sz="6" w:space="0" w:color="auto"/>
              <w:right w:val="single" w:sz="6" w:space="0" w:color="auto"/>
            </w:tcBorders>
          </w:tcPr>
          <w:p w14:paraId="71E48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567" w:type="dxa"/>
            <w:tcBorders>
              <w:top w:val="single" w:sz="6" w:space="0" w:color="auto"/>
              <w:left w:val="single" w:sz="6" w:space="0" w:color="auto"/>
              <w:bottom w:val="single" w:sz="6" w:space="0" w:color="auto"/>
              <w:right w:val="single" w:sz="6" w:space="0" w:color="auto"/>
            </w:tcBorders>
          </w:tcPr>
          <w:p w14:paraId="66DAA0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709" w:type="dxa"/>
            <w:tcBorders>
              <w:top w:val="single" w:sz="6" w:space="0" w:color="auto"/>
              <w:left w:val="single" w:sz="6" w:space="0" w:color="auto"/>
              <w:bottom w:val="single" w:sz="6" w:space="0" w:color="auto"/>
              <w:right w:val="single" w:sz="6" w:space="0" w:color="auto"/>
            </w:tcBorders>
          </w:tcPr>
          <w:p w14:paraId="6C5AC3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7112E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7E205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39CE2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48" w:type="dxa"/>
            <w:tcBorders>
              <w:top w:val="single" w:sz="6" w:space="0" w:color="auto"/>
              <w:left w:val="single" w:sz="6" w:space="0" w:color="auto"/>
              <w:bottom w:val="single" w:sz="6" w:space="0" w:color="auto"/>
              <w:right w:val="single" w:sz="6" w:space="0" w:color="auto"/>
            </w:tcBorders>
          </w:tcPr>
          <w:p w14:paraId="34604B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0" w:type="dxa"/>
            <w:tcBorders>
              <w:top w:val="single" w:sz="6" w:space="0" w:color="auto"/>
              <w:left w:val="single" w:sz="6" w:space="0" w:color="auto"/>
              <w:bottom w:val="single" w:sz="6" w:space="0" w:color="auto"/>
              <w:right w:val="single" w:sz="6" w:space="0" w:color="auto"/>
            </w:tcBorders>
          </w:tcPr>
          <w:p w14:paraId="6D479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E0AFF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22" w:type="dxa"/>
            <w:tcBorders>
              <w:top w:val="single" w:sz="6" w:space="0" w:color="auto"/>
              <w:left w:val="single" w:sz="6" w:space="0" w:color="auto"/>
              <w:bottom w:val="single" w:sz="6" w:space="0" w:color="auto"/>
              <w:right w:val="single" w:sz="6" w:space="0" w:color="auto"/>
            </w:tcBorders>
          </w:tcPr>
          <w:p w14:paraId="36EC0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1.III.44</w:t>
            </w:r>
          </w:p>
        </w:tc>
        <w:tc>
          <w:tcPr>
            <w:tcW w:w="621" w:type="dxa"/>
            <w:tcBorders>
              <w:top w:val="single" w:sz="6" w:space="0" w:color="auto"/>
              <w:left w:val="single" w:sz="6" w:space="0" w:color="auto"/>
              <w:bottom w:val="single" w:sz="6" w:space="0" w:color="auto"/>
              <w:right w:val="single" w:sz="6" w:space="0" w:color="auto"/>
            </w:tcBorders>
          </w:tcPr>
          <w:p w14:paraId="18388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BBE8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C2D5F6" w14:textId="77777777" w:rsidTr="00ED5B0A">
        <w:tc>
          <w:tcPr>
            <w:tcW w:w="1242" w:type="dxa"/>
            <w:tcBorders>
              <w:top w:val="single" w:sz="6" w:space="0" w:color="auto"/>
              <w:left w:val="single" w:sz="6" w:space="0" w:color="auto"/>
              <w:bottom w:val="single" w:sz="6" w:space="0" w:color="auto"/>
              <w:right w:val="single" w:sz="6" w:space="0" w:color="auto"/>
            </w:tcBorders>
          </w:tcPr>
          <w:p w14:paraId="60605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высотный</w:t>
            </w:r>
          </w:p>
        </w:tc>
        <w:tc>
          <w:tcPr>
            <w:tcW w:w="431" w:type="dxa"/>
            <w:tcBorders>
              <w:top w:val="single" w:sz="6" w:space="0" w:color="auto"/>
              <w:left w:val="single" w:sz="6" w:space="0" w:color="auto"/>
              <w:bottom w:val="single" w:sz="6" w:space="0" w:color="auto"/>
              <w:right w:val="single" w:sz="6" w:space="0" w:color="auto"/>
            </w:tcBorders>
          </w:tcPr>
          <w:p w14:paraId="6A55D3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9A92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A206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567" w:type="dxa"/>
            <w:tcBorders>
              <w:top w:val="single" w:sz="6" w:space="0" w:color="auto"/>
              <w:left w:val="single" w:sz="6" w:space="0" w:color="auto"/>
              <w:bottom w:val="single" w:sz="6" w:space="0" w:color="auto"/>
              <w:right w:val="single" w:sz="6" w:space="0" w:color="auto"/>
            </w:tcBorders>
          </w:tcPr>
          <w:p w14:paraId="7911E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A8BE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7902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1409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535D2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CDB0F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AF98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313B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DFD2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3AD1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1644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F26A7C" w14:textId="77777777" w:rsidTr="00ED5B0A">
        <w:tc>
          <w:tcPr>
            <w:tcW w:w="1242" w:type="dxa"/>
            <w:tcBorders>
              <w:top w:val="single" w:sz="6" w:space="0" w:color="auto"/>
              <w:left w:val="single" w:sz="6" w:space="0" w:color="auto"/>
              <w:bottom w:val="single" w:sz="6" w:space="0" w:color="auto"/>
              <w:right w:val="single" w:sz="6" w:space="0" w:color="auto"/>
            </w:tcBorders>
          </w:tcPr>
          <w:p w14:paraId="13973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скоростн.</w:t>
            </w:r>
          </w:p>
        </w:tc>
        <w:tc>
          <w:tcPr>
            <w:tcW w:w="431" w:type="dxa"/>
            <w:tcBorders>
              <w:top w:val="single" w:sz="6" w:space="0" w:color="auto"/>
              <w:left w:val="single" w:sz="6" w:space="0" w:color="auto"/>
              <w:bottom w:val="single" w:sz="6" w:space="0" w:color="auto"/>
              <w:right w:val="single" w:sz="6" w:space="0" w:color="auto"/>
            </w:tcBorders>
          </w:tcPr>
          <w:p w14:paraId="2A9BF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7381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4A8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8607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4CCB7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B92D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7034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5129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74D8CB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C16B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F848B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ADFE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A5C6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E26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97E21A" w14:textId="77777777" w:rsidTr="00ED5B0A">
        <w:tc>
          <w:tcPr>
            <w:tcW w:w="1242" w:type="dxa"/>
            <w:tcBorders>
              <w:top w:val="single" w:sz="6" w:space="0" w:color="auto"/>
              <w:left w:val="single" w:sz="6" w:space="0" w:color="auto"/>
              <w:bottom w:val="single" w:sz="6" w:space="0" w:color="auto"/>
              <w:right w:val="single" w:sz="6" w:space="0" w:color="auto"/>
            </w:tcBorders>
          </w:tcPr>
          <w:p w14:paraId="1FEC0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431" w:type="dxa"/>
            <w:tcBorders>
              <w:top w:val="single" w:sz="6" w:space="0" w:color="auto"/>
              <w:left w:val="single" w:sz="6" w:space="0" w:color="auto"/>
              <w:bottom w:val="single" w:sz="6" w:space="0" w:color="auto"/>
              <w:right w:val="single" w:sz="6" w:space="0" w:color="auto"/>
            </w:tcBorders>
          </w:tcPr>
          <w:p w14:paraId="3DBDD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6B4CC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1291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FB9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32CE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DFF3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26F8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094F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152F0E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9434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5AABC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0C7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650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3395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BC1EA4" w14:textId="77777777" w:rsidTr="00ED5B0A">
        <w:tc>
          <w:tcPr>
            <w:tcW w:w="1242" w:type="dxa"/>
            <w:tcBorders>
              <w:top w:val="single" w:sz="6" w:space="0" w:color="auto"/>
              <w:left w:val="single" w:sz="6" w:space="0" w:color="auto"/>
              <w:bottom w:val="single" w:sz="6" w:space="0" w:color="auto"/>
              <w:right w:val="single" w:sz="6" w:space="0" w:color="auto"/>
            </w:tcBorders>
          </w:tcPr>
          <w:p w14:paraId="72C9D1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новой</w:t>
            </w:r>
          </w:p>
        </w:tc>
        <w:tc>
          <w:tcPr>
            <w:tcW w:w="431" w:type="dxa"/>
            <w:tcBorders>
              <w:top w:val="single" w:sz="6" w:space="0" w:color="auto"/>
              <w:left w:val="single" w:sz="6" w:space="0" w:color="auto"/>
              <w:bottom w:val="single" w:sz="6" w:space="0" w:color="auto"/>
              <w:right w:val="single" w:sz="6" w:space="0" w:color="auto"/>
            </w:tcBorders>
          </w:tcPr>
          <w:p w14:paraId="437C64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623DB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A28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F154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DAB1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6BFE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140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DFBC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EA124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6F681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9C1EF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0155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F52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234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0E2E10" w14:textId="77777777" w:rsidTr="00ED5B0A">
        <w:tc>
          <w:tcPr>
            <w:tcW w:w="1242" w:type="dxa"/>
            <w:tcBorders>
              <w:top w:val="single" w:sz="6" w:space="0" w:color="auto"/>
              <w:left w:val="single" w:sz="6" w:space="0" w:color="auto"/>
              <w:bottom w:val="single" w:sz="6" w:space="0" w:color="auto"/>
              <w:right w:val="single" w:sz="6" w:space="0" w:color="auto"/>
            </w:tcBorders>
          </w:tcPr>
          <w:p w14:paraId="73F04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компановоч.</w:t>
            </w:r>
          </w:p>
        </w:tc>
        <w:tc>
          <w:tcPr>
            <w:tcW w:w="431" w:type="dxa"/>
            <w:tcBorders>
              <w:top w:val="single" w:sz="6" w:space="0" w:color="auto"/>
              <w:left w:val="single" w:sz="6" w:space="0" w:color="auto"/>
              <w:bottom w:val="single" w:sz="6" w:space="0" w:color="auto"/>
              <w:right w:val="single" w:sz="6" w:space="0" w:color="auto"/>
            </w:tcBorders>
          </w:tcPr>
          <w:p w14:paraId="65302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376C6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A2FA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75A6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58F44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4540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7919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85D9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6975F8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DDB3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1ED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459FF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A561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2A034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33E167" w14:textId="77777777" w:rsidTr="00ED5B0A">
        <w:tc>
          <w:tcPr>
            <w:tcW w:w="1242" w:type="dxa"/>
            <w:tcBorders>
              <w:top w:val="single" w:sz="6" w:space="0" w:color="auto"/>
              <w:left w:val="single" w:sz="6" w:space="0" w:color="auto"/>
              <w:bottom w:val="single" w:sz="6" w:space="0" w:color="auto"/>
              <w:right w:val="single" w:sz="6" w:space="0" w:color="auto"/>
            </w:tcBorders>
          </w:tcPr>
          <w:p w14:paraId="260A18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схеме</w:t>
            </w:r>
          </w:p>
        </w:tc>
        <w:tc>
          <w:tcPr>
            <w:tcW w:w="431" w:type="dxa"/>
            <w:tcBorders>
              <w:top w:val="single" w:sz="6" w:space="0" w:color="auto"/>
              <w:left w:val="single" w:sz="6" w:space="0" w:color="auto"/>
              <w:bottom w:val="single" w:sz="6" w:space="0" w:color="auto"/>
              <w:right w:val="single" w:sz="6" w:space="0" w:color="auto"/>
            </w:tcBorders>
          </w:tcPr>
          <w:p w14:paraId="6C51D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AED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A73D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F39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502D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E5CD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AFAC6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AF2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570333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0C8DF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5236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874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3FF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EB6F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CADC41" w14:textId="77777777" w:rsidTr="00ED5B0A">
        <w:tc>
          <w:tcPr>
            <w:tcW w:w="1242" w:type="dxa"/>
            <w:tcBorders>
              <w:top w:val="single" w:sz="6" w:space="0" w:color="auto"/>
              <w:left w:val="single" w:sz="6" w:space="0" w:color="auto"/>
              <w:bottom w:val="single" w:sz="6" w:space="0" w:color="auto"/>
              <w:right w:val="single" w:sz="6" w:space="0" w:color="auto"/>
            </w:tcBorders>
          </w:tcPr>
          <w:p w14:paraId="015AF1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XII. Морские самолеты</w:t>
            </w:r>
          </w:p>
        </w:tc>
        <w:tc>
          <w:tcPr>
            <w:tcW w:w="431" w:type="dxa"/>
            <w:tcBorders>
              <w:top w:val="single" w:sz="6" w:space="0" w:color="auto"/>
              <w:left w:val="single" w:sz="6" w:space="0" w:color="auto"/>
              <w:bottom w:val="single" w:sz="6" w:space="0" w:color="auto"/>
              <w:right w:val="single" w:sz="6" w:space="0" w:color="auto"/>
            </w:tcBorders>
          </w:tcPr>
          <w:p w14:paraId="18EFA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F89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AB2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A192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A8C1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F07A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773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A04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Borders>
              <w:top w:val="single" w:sz="6" w:space="0" w:color="auto"/>
              <w:left w:val="single" w:sz="6" w:space="0" w:color="auto"/>
              <w:bottom w:val="single" w:sz="6" w:space="0" w:color="auto"/>
              <w:right w:val="single" w:sz="6" w:space="0" w:color="auto"/>
            </w:tcBorders>
          </w:tcPr>
          <w:p w14:paraId="2FEDA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BFAC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E16E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465A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90DBB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CFB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B59B6C" w14:textId="77777777" w:rsidTr="00ED5B0A">
        <w:tc>
          <w:tcPr>
            <w:tcW w:w="1242" w:type="dxa"/>
            <w:tcBorders>
              <w:top w:val="single" w:sz="6" w:space="0" w:color="auto"/>
              <w:left w:val="single" w:sz="6" w:space="0" w:color="auto"/>
              <w:bottom w:val="single" w:sz="6" w:space="0" w:color="auto"/>
              <w:right w:val="single" w:sz="6" w:space="0" w:color="auto"/>
            </w:tcBorders>
          </w:tcPr>
          <w:p w14:paraId="6B70A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Морской</w:t>
            </w:r>
          </w:p>
        </w:tc>
        <w:tc>
          <w:tcPr>
            <w:tcW w:w="431" w:type="dxa"/>
            <w:tcBorders>
              <w:top w:val="single" w:sz="6" w:space="0" w:color="auto"/>
              <w:left w:val="single" w:sz="6" w:space="0" w:color="auto"/>
              <w:bottom w:val="single" w:sz="6" w:space="0" w:color="auto"/>
              <w:right w:val="single" w:sz="6" w:space="0" w:color="auto"/>
            </w:tcBorders>
          </w:tcPr>
          <w:p w14:paraId="5AF35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3" w:type="dxa"/>
            <w:tcBorders>
              <w:top w:val="single" w:sz="6" w:space="0" w:color="auto"/>
              <w:left w:val="single" w:sz="6" w:space="0" w:color="auto"/>
              <w:bottom w:val="single" w:sz="6" w:space="0" w:color="auto"/>
              <w:right w:val="single" w:sz="6" w:space="0" w:color="auto"/>
            </w:tcBorders>
          </w:tcPr>
          <w:p w14:paraId="44598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3ACDA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567" w:type="dxa"/>
            <w:tcBorders>
              <w:top w:val="single" w:sz="6" w:space="0" w:color="auto"/>
              <w:left w:val="single" w:sz="6" w:space="0" w:color="auto"/>
              <w:bottom w:val="single" w:sz="6" w:space="0" w:color="auto"/>
              <w:right w:val="single" w:sz="6" w:space="0" w:color="auto"/>
            </w:tcBorders>
          </w:tcPr>
          <w:p w14:paraId="7EB83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7C690F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657EF7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52DA0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1123" w:type="dxa"/>
            <w:tcBorders>
              <w:top w:val="single" w:sz="6" w:space="0" w:color="auto"/>
              <w:left w:val="single" w:sz="6" w:space="0" w:color="auto"/>
              <w:bottom w:val="single" w:sz="6" w:space="0" w:color="auto"/>
              <w:right w:val="single" w:sz="6" w:space="0" w:color="auto"/>
            </w:tcBorders>
          </w:tcPr>
          <w:p w14:paraId="12A04B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2A8A1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410" w:type="dxa"/>
            <w:tcBorders>
              <w:top w:val="single" w:sz="6" w:space="0" w:color="auto"/>
              <w:left w:val="single" w:sz="6" w:space="0" w:color="auto"/>
              <w:bottom w:val="single" w:sz="6" w:space="0" w:color="auto"/>
              <w:right w:val="single" w:sz="6" w:space="0" w:color="auto"/>
            </w:tcBorders>
          </w:tcPr>
          <w:p w14:paraId="0ED8C7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мины</w:t>
            </w:r>
          </w:p>
        </w:tc>
        <w:tc>
          <w:tcPr>
            <w:tcW w:w="943" w:type="dxa"/>
            <w:tcBorders>
              <w:top w:val="single" w:sz="6" w:space="0" w:color="auto"/>
              <w:left w:val="single" w:sz="6" w:space="0" w:color="auto"/>
              <w:bottom w:val="single" w:sz="6" w:space="0" w:color="auto"/>
              <w:right w:val="single" w:sz="6" w:space="0" w:color="auto"/>
            </w:tcBorders>
          </w:tcPr>
          <w:p w14:paraId="2D5AE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w:t>
            </w:r>
          </w:p>
        </w:tc>
        <w:tc>
          <w:tcPr>
            <w:tcW w:w="922" w:type="dxa"/>
            <w:tcBorders>
              <w:top w:val="single" w:sz="6" w:space="0" w:color="auto"/>
              <w:left w:val="single" w:sz="6" w:space="0" w:color="auto"/>
              <w:bottom w:val="single" w:sz="6" w:space="0" w:color="auto"/>
              <w:right w:val="single" w:sz="6" w:space="0" w:color="auto"/>
            </w:tcBorders>
          </w:tcPr>
          <w:p w14:paraId="12CFA7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1.XI.44</w:t>
            </w:r>
          </w:p>
        </w:tc>
        <w:tc>
          <w:tcPr>
            <w:tcW w:w="621" w:type="dxa"/>
            <w:tcBorders>
              <w:top w:val="single" w:sz="6" w:space="0" w:color="auto"/>
              <w:left w:val="single" w:sz="6" w:space="0" w:color="auto"/>
              <w:bottom w:val="single" w:sz="6" w:space="0" w:color="auto"/>
              <w:right w:val="single" w:sz="6" w:space="0" w:color="auto"/>
            </w:tcBorders>
          </w:tcPr>
          <w:p w14:paraId="43576E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258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03AC89" w14:textId="77777777" w:rsidTr="00ED5B0A">
        <w:tc>
          <w:tcPr>
            <w:tcW w:w="1242" w:type="dxa"/>
            <w:tcBorders>
              <w:top w:val="single" w:sz="6" w:space="0" w:color="auto"/>
              <w:left w:val="single" w:sz="6" w:space="0" w:color="auto"/>
              <w:bottom w:val="single" w:sz="6" w:space="0" w:color="auto"/>
              <w:right w:val="single" w:sz="6" w:space="0" w:color="auto"/>
            </w:tcBorders>
          </w:tcPr>
          <w:p w14:paraId="2D182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13D90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83D4C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A80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567" w:type="dxa"/>
            <w:tcBorders>
              <w:top w:val="single" w:sz="6" w:space="0" w:color="auto"/>
              <w:left w:val="single" w:sz="6" w:space="0" w:color="auto"/>
              <w:bottom w:val="single" w:sz="6" w:space="0" w:color="auto"/>
              <w:right w:val="single" w:sz="6" w:space="0" w:color="auto"/>
            </w:tcBorders>
          </w:tcPr>
          <w:p w14:paraId="74195B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C902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3974F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410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C66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подвиж.</w:t>
            </w:r>
          </w:p>
        </w:tc>
        <w:tc>
          <w:tcPr>
            <w:tcW w:w="848" w:type="dxa"/>
            <w:tcBorders>
              <w:top w:val="single" w:sz="6" w:space="0" w:color="auto"/>
              <w:left w:val="single" w:sz="6" w:space="0" w:color="auto"/>
              <w:bottom w:val="single" w:sz="6" w:space="0" w:color="auto"/>
              <w:right w:val="single" w:sz="6" w:space="0" w:color="auto"/>
            </w:tcBorders>
          </w:tcPr>
          <w:p w14:paraId="65BB9F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410" w:type="dxa"/>
            <w:tcBorders>
              <w:top w:val="single" w:sz="6" w:space="0" w:color="auto"/>
              <w:left w:val="single" w:sz="6" w:space="0" w:color="auto"/>
              <w:bottom w:val="single" w:sz="6" w:space="0" w:color="auto"/>
              <w:right w:val="single" w:sz="6" w:space="0" w:color="auto"/>
            </w:tcBorders>
          </w:tcPr>
          <w:p w14:paraId="69D1CE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АГМ или</w:t>
            </w:r>
          </w:p>
        </w:tc>
        <w:tc>
          <w:tcPr>
            <w:tcW w:w="943" w:type="dxa"/>
            <w:tcBorders>
              <w:top w:val="single" w:sz="6" w:space="0" w:color="auto"/>
              <w:left w:val="single" w:sz="6" w:space="0" w:color="auto"/>
              <w:bottom w:val="single" w:sz="6" w:space="0" w:color="auto"/>
              <w:right w:val="single" w:sz="6" w:space="0" w:color="auto"/>
            </w:tcBorders>
          </w:tcPr>
          <w:p w14:paraId="30F1A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экипажа</w:t>
            </w:r>
          </w:p>
        </w:tc>
        <w:tc>
          <w:tcPr>
            <w:tcW w:w="922" w:type="dxa"/>
            <w:tcBorders>
              <w:top w:val="single" w:sz="6" w:space="0" w:color="auto"/>
              <w:left w:val="single" w:sz="6" w:space="0" w:color="auto"/>
              <w:bottom w:val="single" w:sz="6" w:space="0" w:color="auto"/>
              <w:right w:val="single" w:sz="6" w:space="0" w:color="auto"/>
            </w:tcBorders>
          </w:tcPr>
          <w:p w14:paraId="4263D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C1D5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31C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743DA4" w14:textId="77777777" w:rsidTr="00ED5B0A">
        <w:tc>
          <w:tcPr>
            <w:tcW w:w="1242" w:type="dxa"/>
            <w:tcBorders>
              <w:top w:val="single" w:sz="6" w:space="0" w:color="auto"/>
              <w:left w:val="single" w:sz="6" w:space="0" w:color="auto"/>
              <w:bottom w:val="single" w:sz="6" w:space="0" w:color="auto"/>
              <w:right w:val="single" w:sz="6" w:space="0" w:color="auto"/>
            </w:tcBorders>
          </w:tcPr>
          <w:p w14:paraId="6DFF0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w:t>
            </w:r>
          </w:p>
        </w:tc>
        <w:tc>
          <w:tcPr>
            <w:tcW w:w="431" w:type="dxa"/>
            <w:tcBorders>
              <w:top w:val="single" w:sz="6" w:space="0" w:color="auto"/>
              <w:left w:val="single" w:sz="6" w:space="0" w:color="auto"/>
              <w:bottom w:val="single" w:sz="6" w:space="0" w:color="auto"/>
              <w:right w:val="single" w:sz="6" w:space="0" w:color="auto"/>
            </w:tcBorders>
          </w:tcPr>
          <w:p w14:paraId="6CFD25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6963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16C0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D536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86C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F73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AFFDE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50A7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w:t>
            </w:r>
          </w:p>
        </w:tc>
        <w:tc>
          <w:tcPr>
            <w:tcW w:w="848" w:type="dxa"/>
            <w:tcBorders>
              <w:top w:val="single" w:sz="6" w:space="0" w:color="auto"/>
              <w:left w:val="single" w:sz="6" w:space="0" w:color="auto"/>
              <w:bottom w:val="single" w:sz="6" w:space="0" w:color="auto"/>
              <w:right w:val="single" w:sz="6" w:space="0" w:color="auto"/>
            </w:tcBorders>
          </w:tcPr>
          <w:p w14:paraId="0E77B8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1E4E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мины</w:t>
            </w:r>
          </w:p>
        </w:tc>
        <w:tc>
          <w:tcPr>
            <w:tcW w:w="943" w:type="dxa"/>
            <w:tcBorders>
              <w:top w:val="single" w:sz="6" w:space="0" w:color="auto"/>
              <w:left w:val="single" w:sz="6" w:space="0" w:color="auto"/>
              <w:bottom w:val="single" w:sz="6" w:space="0" w:color="auto"/>
              <w:right w:val="single" w:sz="6" w:space="0" w:color="auto"/>
            </w:tcBorders>
          </w:tcPr>
          <w:p w14:paraId="65CAF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атаки</w:t>
            </w:r>
          </w:p>
        </w:tc>
        <w:tc>
          <w:tcPr>
            <w:tcW w:w="922" w:type="dxa"/>
            <w:tcBorders>
              <w:top w:val="single" w:sz="6" w:space="0" w:color="auto"/>
              <w:left w:val="single" w:sz="6" w:space="0" w:color="auto"/>
              <w:bottom w:val="single" w:sz="6" w:space="0" w:color="auto"/>
              <w:right w:val="single" w:sz="6" w:space="0" w:color="auto"/>
            </w:tcBorders>
          </w:tcPr>
          <w:p w14:paraId="36279D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D63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C3F88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E4A846" w14:textId="77777777" w:rsidTr="00ED5B0A">
        <w:tc>
          <w:tcPr>
            <w:tcW w:w="1242" w:type="dxa"/>
            <w:tcBorders>
              <w:top w:val="single" w:sz="6" w:space="0" w:color="auto"/>
              <w:left w:val="single" w:sz="6" w:space="0" w:color="auto"/>
              <w:bottom w:val="single" w:sz="6" w:space="0" w:color="auto"/>
              <w:right w:val="single" w:sz="6" w:space="0" w:color="auto"/>
            </w:tcBorders>
          </w:tcPr>
          <w:p w14:paraId="426DA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w:t>
            </w:r>
          </w:p>
        </w:tc>
        <w:tc>
          <w:tcPr>
            <w:tcW w:w="431" w:type="dxa"/>
            <w:tcBorders>
              <w:top w:val="single" w:sz="6" w:space="0" w:color="auto"/>
              <w:left w:val="single" w:sz="6" w:space="0" w:color="auto"/>
              <w:bottom w:val="single" w:sz="6" w:space="0" w:color="auto"/>
              <w:right w:val="single" w:sz="6" w:space="0" w:color="auto"/>
            </w:tcBorders>
          </w:tcPr>
          <w:p w14:paraId="0363BF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AD98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B995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4A25D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ECD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09E09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EDA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E4343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мм</w:t>
            </w:r>
          </w:p>
        </w:tc>
        <w:tc>
          <w:tcPr>
            <w:tcW w:w="848" w:type="dxa"/>
            <w:tcBorders>
              <w:top w:val="single" w:sz="6" w:space="0" w:color="auto"/>
              <w:left w:val="single" w:sz="6" w:space="0" w:color="auto"/>
              <w:bottom w:val="single" w:sz="6" w:space="0" w:color="auto"/>
              <w:right w:val="single" w:sz="6" w:space="0" w:color="auto"/>
            </w:tcBorders>
          </w:tcPr>
          <w:p w14:paraId="556EC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5117F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АДМили</w:t>
            </w:r>
          </w:p>
        </w:tc>
        <w:tc>
          <w:tcPr>
            <w:tcW w:w="943" w:type="dxa"/>
            <w:tcBorders>
              <w:top w:val="single" w:sz="6" w:space="0" w:color="auto"/>
              <w:left w:val="single" w:sz="6" w:space="0" w:color="auto"/>
              <w:bottom w:val="single" w:sz="6" w:space="0" w:color="auto"/>
              <w:right w:val="single" w:sz="6" w:space="0" w:color="auto"/>
            </w:tcBorders>
          </w:tcPr>
          <w:p w14:paraId="5B516D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922" w:type="dxa"/>
            <w:tcBorders>
              <w:top w:val="single" w:sz="6" w:space="0" w:color="auto"/>
              <w:left w:val="single" w:sz="6" w:space="0" w:color="auto"/>
              <w:bottom w:val="single" w:sz="6" w:space="0" w:color="auto"/>
              <w:right w:val="single" w:sz="6" w:space="0" w:color="auto"/>
            </w:tcBorders>
          </w:tcPr>
          <w:p w14:paraId="5DCFB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AD69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B90A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B210C0" w14:textId="77777777" w:rsidTr="00ED5B0A">
        <w:tc>
          <w:tcPr>
            <w:tcW w:w="1242" w:type="dxa"/>
            <w:tcBorders>
              <w:top w:val="single" w:sz="6" w:space="0" w:color="auto"/>
              <w:left w:val="single" w:sz="6" w:space="0" w:color="auto"/>
              <w:bottom w:val="single" w:sz="6" w:space="0" w:color="auto"/>
              <w:right w:val="single" w:sz="6" w:space="0" w:color="auto"/>
            </w:tcBorders>
          </w:tcPr>
          <w:p w14:paraId="5E184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открытого</w:t>
            </w:r>
          </w:p>
        </w:tc>
        <w:tc>
          <w:tcPr>
            <w:tcW w:w="431" w:type="dxa"/>
            <w:tcBorders>
              <w:top w:val="single" w:sz="6" w:space="0" w:color="auto"/>
              <w:left w:val="single" w:sz="6" w:space="0" w:color="auto"/>
              <w:bottom w:val="single" w:sz="6" w:space="0" w:color="auto"/>
              <w:right w:val="single" w:sz="6" w:space="0" w:color="auto"/>
            </w:tcBorders>
          </w:tcPr>
          <w:p w14:paraId="63D5BC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9A32E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42A8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135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7FCD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90FEC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2DFF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5A94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A544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ED17B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торп.</w:t>
            </w:r>
          </w:p>
        </w:tc>
        <w:tc>
          <w:tcPr>
            <w:tcW w:w="943" w:type="dxa"/>
            <w:tcBorders>
              <w:top w:val="single" w:sz="6" w:space="0" w:color="auto"/>
              <w:left w:val="single" w:sz="6" w:space="0" w:color="auto"/>
              <w:bottom w:val="single" w:sz="6" w:space="0" w:color="auto"/>
              <w:right w:val="single" w:sz="6" w:space="0" w:color="auto"/>
            </w:tcBorders>
          </w:tcPr>
          <w:p w14:paraId="158B69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w:t>
            </w:r>
          </w:p>
        </w:tc>
        <w:tc>
          <w:tcPr>
            <w:tcW w:w="922" w:type="dxa"/>
            <w:tcBorders>
              <w:top w:val="single" w:sz="6" w:space="0" w:color="auto"/>
              <w:left w:val="single" w:sz="6" w:space="0" w:color="auto"/>
              <w:bottom w:val="single" w:sz="6" w:space="0" w:color="auto"/>
              <w:right w:val="single" w:sz="6" w:space="0" w:color="auto"/>
            </w:tcBorders>
          </w:tcPr>
          <w:p w14:paraId="20533F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B08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2C8C1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2BD899" w14:textId="77777777" w:rsidTr="00ED5B0A">
        <w:tc>
          <w:tcPr>
            <w:tcW w:w="1242" w:type="dxa"/>
            <w:tcBorders>
              <w:top w:val="single" w:sz="6" w:space="0" w:color="auto"/>
              <w:left w:val="single" w:sz="6" w:space="0" w:color="auto"/>
              <w:bottom w:val="single" w:sz="6" w:space="0" w:color="auto"/>
              <w:right w:val="single" w:sz="6" w:space="0" w:color="auto"/>
            </w:tcBorders>
          </w:tcPr>
          <w:p w14:paraId="3C396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моря с</w:t>
            </w:r>
          </w:p>
        </w:tc>
        <w:tc>
          <w:tcPr>
            <w:tcW w:w="431" w:type="dxa"/>
            <w:tcBorders>
              <w:top w:val="single" w:sz="6" w:space="0" w:color="auto"/>
              <w:left w:val="single" w:sz="6" w:space="0" w:color="auto"/>
              <w:bottom w:val="single" w:sz="6" w:space="0" w:color="auto"/>
              <w:right w:val="single" w:sz="6" w:space="0" w:color="auto"/>
            </w:tcBorders>
          </w:tcPr>
          <w:p w14:paraId="00AED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F676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03D41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8F79A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DEB2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0A9C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D65C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E17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7E6B5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CED7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45-36</w:t>
            </w:r>
          </w:p>
        </w:tc>
        <w:tc>
          <w:tcPr>
            <w:tcW w:w="943" w:type="dxa"/>
            <w:tcBorders>
              <w:top w:val="single" w:sz="6" w:space="0" w:color="auto"/>
              <w:left w:val="single" w:sz="6" w:space="0" w:color="auto"/>
              <w:bottom w:val="single" w:sz="6" w:space="0" w:color="auto"/>
              <w:right w:val="single" w:sz="6" w:space="0" w:color="auto"/>
            </w:tcBorders>
          </w:tcPr>
          <w:p w14:paraId="1230B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72F0A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CC7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2C4FD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D2B393" w14:textId="77777777" w:rsidTr="00ED5B0A">
        <w:tc>
          <w:tcPr>
            <w:tcW w:w="1242" w:type="dxa"/>
            <w:tcBorders>
              <w:top w:val="single" w:sz="6" w:space="0" w:color="auto"/>
              <w:left w:val="single" w:sz="6" w:space="0" w:color="auto"/>
              <w:bottom w:val="single" w:sz="6" w:space="0" w:color="auto"/>
              <w:right w:val="single" w:sz="6" w:space="0" w:color="auto"/>
            </w:tcBorders>
          </w:tcPr>
          <w:p w14:paraId="5F2144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М-71Ф</w:t>
            </w:r>
          </w:p>
        </w:tc>
        <w:tc>
          <w:tcPr>
            <w:tcW w:w="431" w:type="dxa"/>
            <w:tcBorders>
              <w:top w:val="single" w:sz="6" w:space="0" w:color="auto"/>
              <w:left w:val="single" w:sz="6" w:space="0" w:color="auto"/>
              <w:bottom w:val="single" w:sz="6" w:space="0" w:color="auto"/>
              <w:right w:val="single" w:sz="6" w:space="0" w:color="auto"/>
            </w:tcBorders>
          </w:tcPr>
          <w:p w14:paraId="1A48B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EFD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98182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793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6161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F82A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3760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661C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2684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5147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АВА</w:t>
            </w:r>
          </w:p>
        </w:tc>
        <w:tc>
          <w:tcPr>
            <w:tcW w:w="943" w:type="dxa"/>
            <w:tcBorders>
              <w:top w:val="single" w:sz="6" w:space="0" w:color="auto"/>
              <w:left w:val="single" w:sz="6" w:space="0" w:color="auto"/>
              <w:bottom w:val="single" w:sz="6" w:space="0" w:color="auto"/>
              <w:right w:val="single" w:sz="6" w:space="0" w:color="auto"/>
            </w:tcBorders>
          </w:tcPr>
          <w:p w14:paraId="0CCF4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07617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1B4EC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4DFC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297076" w14:textId="77777777" w:rsidTr="00ED5B0A">
        <w:tc>
          <w:tcPr>
            <w:tcW w:w="1242" w:type="dxa"/>
            <w:tcBorders>
              <w:top w:val="single" w:sz="6" w:space="0" w:color="auto"/>
              <w:left w:val="single" w:sz="6" w:space="0" w:color="auto"/>
              <w:bottom w:val="single" w:sz="6" w:space="0" w:color="auto"/>
              <w:right w:val="single" w:sz="6" w:space="0" w:color="auto"/>
            </w:tcBorders>
          </w:tcPr>
          <w:p w14:paraId="363FC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483F9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AB43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B9E3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615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D6EF3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48FB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8A19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E92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01FB7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BE03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AF7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8D0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28DC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41E7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3BABB9" w14:textId="77777777" w:rsidTr="00ED5B0A">
        <w:tc>
          <w:tcPr>
            <w:tcW w:w="1242" w:type="dxa"/>
            <w:tcBorders>
              <w:top w:val="single" w:sz="6" w:space="0" w:color="auto"/>
              <w:left w:val="single" w:sz="6" w:space="0" w:color="auto"/>
              <w:bottom w:val="single" w:sz="6" w:space="0" w:color="auto"/>
              <w:right w:val="single" w:sz="6" w:space="0" w:color="auto"/>
            </w:tcBorders>
          </w:tcPr>
          <w:p w14:paraId="70CC2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2836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711E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34C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A0B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AD6D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E702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F581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0CE4F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палубная</w:t>
            </w:r>
          </w:p>
        </w:tc>
        <w:tc>
          <w:tcPr>
            <w:tcW w:w="848" w:type="dxa"/>
            <w:tcBorders>
              <w:top w:val="single" w:sz="6" w:space="0" w:color="auto"/>
              <w:left w:val="single" w:sz="6" w:space="0" w:color="auto"/>
              <w:bottom w:val="single" w:sz="6" w:space="0" w:color="auto"/>
              <w:right w:val="single" w:sz="6" w:space="0" w:color="auto"/>
            </w:tcBorders>
          </w:tcPr>
          <w:p w14:paraId="25C03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45A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2A3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B7A4F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E35A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347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E5F062" w14:textId="77777777" w:rsidTr="00ED5B0A">
        <w:tc>
          <w:tcPr>
            <w:tcW w:w="1242" w:type="dxa"/>
            <w:tcBorders>
              <w:top w:val="single" w:sz="6" w:space="0" w:color="auto"/>
              <w:left w:val="single" w:sz="6" w:space="0" w:color="auto"/>
              <w:bottom w:val="single" w:sz="6" w:space="0" w:color="auto"/>
              <w:right w:val="single" w:sz="6" w:space="0" w:color="auto"/>
            </w:tcBorders>
          </w:tcPr>
          <w:p w14:paraId="7737D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4732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0839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980D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43C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A4077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6359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29AA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882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w:t>
            </w:r>
          </w:p>
        </w:tc>
        <w:tc>
          <w:tcPr>
            <w:tcW w:w="848" w:type="dxa"/>
            <w:tcBorders>
              <w:top w:val="single" w:sz="6" w:space="0" w:color="auto"/>
              <w:left w:val="single" w:sz="6" w:space="0" w:color="auto"/>
              <w:bottom w:val="single" w:sz="6" w:space="0" w:color="auto"/>
              <w:right w:val="single" w:sz="6" w:space="0" w:color="auto"/>
            </w:tcBorders>
          </w:tcPr>
          <w:p w14:paraId="36F0D8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0B9F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8E316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E2ED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C27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E74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E44EA0" w14:textId="77777777" w:rsidTr="00ED5B0A">
        <w:tc>
          <w:tcPr>
            <w:tcW w:w="1242" w:type="dxa"/>
            <w:tcBorders>
              <w:top w:val="single" w:sz="6" w:space="0" w:color="auto"/>
              <w:left w:val="single" w:sz="6" w:space="0" w:color="auto"/>
              <w:bottom w:val="single" w:sz="6" w:space="0" w:color="auto"/>
              <w:right w:val="single" w:sz="6" w:space="0" w:color="auto"/>
            </w:tcBorders>
          </w:tcPr>
          <w:p w14:paraId="6E43D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C8078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79B83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418E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3CA9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150A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E43D7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B97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488B1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B0461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20E0A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BC3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57F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2F357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822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DCAA5A" w14:textId="77777777" w:rsidTr="00ED5B0A">
        <w:tc>
          <w:tcPr>
            <w:tcW w:w="1242" w:type="dxa"/>
            <w:tcBorders>
              <w:top w:val="single" w:sz="6" w:space="0" w:color="auto"/>
              <w:left w:val="single" w:sz="6" w:space="0" w:color="auto"/>
              <w:bottom w:val="single" w:sz="6" w:space="0" w:color="auto"/>
              <w:right w:val="single" w:sz="6" w:space="0" w:color="auto"/>
            </w:tcBorders>
          </w:tcPr>
          <w:p w14:paraId="79A919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73217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7C15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7A37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B3D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C6421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722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F6D2F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AB2B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247AB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BB3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281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56FD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555D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A1D80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02D6EF" w14:textId="77777777" w:rsidTr="00ED5B0A">
        <w:tc>
          <w:tcPr>
            <w:tcW w:w="1242" w:type="dxa"/>
            <w:tcBorders>
              <w:top w:val="single" w:sz="6" w:space="0" w:color="auto"/>
              <w:left w:val="single" w:sz="6" w:space="0" w:color="auto"/>
              <w:bottom w:val="single" w:sz="6" w:space="0" w:color="auto"/>
              <w:right w:val="single" w:sz="6" w:space="0" w:color="auto"/>
            </w:tcBorders>
          </w:tcPr>
          <w:p w14:paraId="44804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83BC0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760F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0DA6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C0BC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FFC1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4B2CA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1B08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A0F7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патр.</w:t>
            </w:r>
          </w:p>
        </w:tc>
        <w:tc>
          <w:tcPr>
            <w:tcW w:w="848" w:type="dxa"/>
            <w:tcBorders>
              <w:top w:val="single" w:sz="6" w:space="0" w:color="auto"/>
              <w:left w:val="single" w:sz="6" w:space="0" w:color="auto"/>
              <w:bottom w:val="single" w:sz="6" w:space="0" w:color="auto"/>
              <w:right w:val="single" w:sz="6" w:space="0" w:color="auto"/>
            </w:tcBorders>
          </w:tcPr>
          <w:p w14:paraId="6D6438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8E8E6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9DF3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32C7F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D1DB6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7F1DE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33DFFD" w14:textId="77777777" w:rsidTr="00ED5B0A">
        <w:tc>
          <w:tcPr>
            <w:tcW w:w="1242" w:type="dxa"/>
            <w:tcBorders>
              <w:top w:val="single" w:sz="6" w:space="0" w:color="auto"/>
              <w:left w:val="single" w:sz="6" w:space="0" w:color="auto"/>
              <w:bottom w:val="single" w:sz="6" w:space="0" w:color="auto"/>
              <w:right w:val="single" w:sz="6" w:space="0" w:color="auto"/>
            </w:tcBorders>
          </w:tcPr>
          <w:p w14:paraId="68FC7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w:t>
            </w:r>
          </w:p>
        </w:tc>
        <w:tc>
          <w:tcPr>
            <w:tcW w:w="431" w:type="dxa"/>
            <w:tcBorders>
              <w:top w:val="single" w:sz="6" w:space="0" w:color="auto"/>
              <w:left w:val="single" w:sz="6" w:space="0" w:color="auto"/>
              <w:bottom w:val="single" w:sz="6" w:space="0" w:color="auto"/>
              <w:right w:val="single" w:sz="6" w:space="0" w:color="auto"/>
            </w:tcBorders>
          </w:tcPr>
          <w:p w14:paraId="37EEA0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88D0A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5D024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1DD2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C2A1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6BFB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F18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389F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Кормовая</w:t>
            </w:r>
          </w:p>
        </w:tc>
        <w:tc>
          <w:tcPr>
            <w:tcW w:w="848" w:type="dxa"/>
            <w:tcBorders>
              <w:top w:val="single" w:sz="6" w:space="0" w:color="auto"/>
              <w:left w:val="single" w:sz="6" w:space="0" w:color="auto"/>
              <w:bottom w:val="single" w:sz="6" w:space="0" w:color="auto"/>
              <w:right w:val="single" w:sz="6" w:space="0" w:color="auto"/>
            </w:tcBorders>
          </w:tcPr>
          <w:p w14:paraId="3F86C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0EFB2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9E6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5E4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DAAE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72A5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ED7A66" w14:textId="77777777" w:rsidTr="00ED5B0A">
        <w:tc>
          <w:tcPr>
            <w:tcW w:w="1242" w:type="dxa"/>
            <w:tcBorders>
              <w:top w:val="single" w:sz="6" w:space="0" w:color="auto"/>
              <w:left w:val="single" w:sz="6" w:space="0" w:color="auto"/>
              <w:bottom w:val="single" w:sz="6" w:space="0" w:color="auto"/>
              <w:right w:val="single" w:sz="6" w:space="0" w:color="auto"/>
            </w:tcBorders>
          </w:tcPr>
          <w:p w14:paraId="322499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экз.</w:t>
            </w:r>
          </w:p>
        </w:tc>
        <w:tc>
          <w:tcPr>
            <w:tcW w:w="431" w:type="dxa"/>
            <w:tcBorders>
              <w:top w:val="single" w:sz="6" w:space="0" w:color="auto"/>
              <w:left w:val="single" w:sz="6" w:space="0" w:color="auto"/>
              <w:bottom w:val="single" w:sz="6" w:space="0" w:color="auto"/>
              <w:right w:val="single" w:sz="6" w:space="0" w:color="auto"/>
            </w:tcBorders>
          </w:tcPr>
          <w:p w14:paraId="412CD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FA82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8F2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590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302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C041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38C7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DE60C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D748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54C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DF40E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CE1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BEA8B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E52C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03023C" w14:textId="77777777" w:rsidTr="00ED5B0A">
        <w:tc>
          <w:tcPr>
            <w:tcW w:w="1242" w:type="dxa"/>
            <w:tcBorders>
              <w:top w:val="single" w:sz="6" w:space="0" w:color="auto"/>
              <w:left w:val="single" w:sz="6" w:space="0" w:color="auto"/>
              <w:bottom w:val="single" w:sz="6" w:space="0" w:color="auto"/>
              <w:right w:val="single" w:sz="6" w:space="0" w:color="auto"/>
            </w:tcBorders>
          </w:tcPr>
          <w:p w14:paraId="027D5C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с</w:t>
            </w:r>
          </w:p>
        </w:tc>
        <w:tc>
          <w:tcPr>
            <w:tcW w:w="431" w:type="dxa"/>
            <w:tcBorders>
              <w:top w:val="single" w:sz="6" w:space="0" w:color="auto"/>
              <w:left w:val="single" w:sz="6" w:space="0" w:color="auto"/>
              <w:bottom w:val="single" w:sz="6" w:space="0" w:color="auto"/>
              <w:right w:val="single" w:sz="6" w:space="0" w:color="auto"/>
            </w:tcBorders>
          </w:tcPr>
          <w:p w14:paraId="1E42D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4727B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06C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64E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37D3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0B63D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A6B1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AB49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E106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76DE6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2217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E73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E51B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F5B9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13FA29" w14:textId="77777777" w:rsidTr="00ED5B0A">
        <w:tc>
          <w:tcPr>
            <w:tcW w:w="1242" w:type="dxa"/>
            <w:tcBorders>
              <w:top w:val="single" w:sz="6" w:space="0" w:color="auto"/>
              <w:left w:val="single" w:sz="6" w:space="0" w:color="auto"/>
              <w:bottom w:val="single" w:sz="6" w:space="0" w:color="auto"/>
              <w:right w:val="single" w:sz="6" w:space="0" w:color="auto"/>
            </w:tcBorders>
          </w:tcPr>
          <w:p w14:paraId="5679B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М-30Б</w:t>
            </w:r>
          </w:p>
        </w:tc>
        <w:tc>
          <w:tcPr>
            <w:tcW w:w="431" w:type="dxa"/>
            <w:tcBorders>
              <w:top w:val="single" w:sz="6" w:space="0" w:color="auto"/>
              <w:left w:val="single" w:sz="6" w:space="0" w:color="auto"/>
              <w:bottom w:val="single" w:sz="6" w:space="0" w:color="auto"/>
              <w:right w:val="single" w:sz="6" w:space="0" w:color="auto"/>
            </w:tcBorders>
          </w:tcPr>
          <w:p w14:paraId="16556C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30E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BEE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0E904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618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705C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CA1D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7280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патр.</w:t>
            </w:r>
          </w:p>
        </w:tc>
        <w:tc>
          <w:tcPr>
            <w:tcW w:w="848" w:type="dxa"/>
            <w:tcBorders>
              <w:top w:val="single" w:sz="6" w:space="0" w:color="auto"/>
              <w:left w:val="single" w:sz="6" w:space="0" w:color="auto"/>
              <w:bottom w:val="single" w:sz="6" w:space="0" w:color="auto"/>
              <w:right w:val="single" w:sz="6" w:space="0" w:color="auto"/>
            </w:tcBorders>
          </w:tcPr>
          <w:p w14:paraId="068A7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83A1F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D182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80D6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B304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BA2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0B3358" w14:textId="77777777" w:rsidTr="00ED5B0A">
        <w:tc>
          <w:tcPr>
            <w:tcW w:w="1242" w:type="dxa"/>
            <w:tcBorders>
              <w:top w:val="single" w:sz="6" w:space="0" w:color="auto"/>
              <w:left w:val="single" w:sz="6" w:space="0" w:color="auto"/>
              <w:bottom w:val="single" w:sz="6" w:space="0" w:color="auto"/>
              <w:right w:val="single" w:sz="6" w:space="0" w:color="auto"/>
            </w:tcBorders>
          </w:tcPr>
          <w:p w14:paraId="5C70AF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6A16A6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07A6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A8AA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41909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829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0FBF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E712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6FB1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w:t>
            </w:r>
          </w:p>
        </w:tc>
        <w:tc>
          <w:tcPr>
            <w:tcW w:w="848" w:type="dxa"/>
            <w:tcBorders>
              <w:top w:val="single" w:sz="6" w:space="0" w:color="auto"/>
              <w:left w:val="single" w:sz="6" w:space="0" w:color="auto"/>
              <w:bottom w:val="single" w:sz="6" w:space="0" w:color="auto"/>
              <w:right w:val="single" w:sz="6" w:space="0" w:color="auto"/>
            </w:tcBorders>
          </w:tcPr>
          <w:p w14:paraId="29CF5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A639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DF62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952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DCFB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4A55D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DEF368" w14:textId="77777777" w:rsidTr="00ED5B0A">
        <w:tc>
          <w:tcPr>
            <w:tcW w:w="1242" w:type="dxa"/>
            <w:tcBorders>
              <w:top w:val="single" w:sz="6" w:space="0" w:color="auto"/>
              <w:left w:val="single" w:sz="6" w:space="0" w:color="auto"/>
              <w:bottom w:val="single" w:sz="6" w:space="0" w:color="auto"/>
              <w:right w:val="single" w:sz="6" w:space="0" w:color="auto"/>
            </w:tcBorders>
          </w:tcPr>
          <w:p w14:paraId="13BD9C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Бериев</w:t>
            </w:r>
          </w:p>
        </w:tc>
        <w:tc>
          <w:tcPr>
            <w:tcW w:w="431" w:type="dxa"/>
            <w:tcBorders>
              <w:top w:val="single" w:sz="6" w:space="0" w:color="auto"/>
              <w:left w:val="single" w:sz="6" w:space="0" w:color="auto"/>
              <w:bottom w:val="single" w:sz="6" w:space="0" w:color="auto"/>
              <w:right w:val="single" w:sz="6" w:space="0" w:color="auto"/>
            </w:tcBorders>
          </w:tcPr>
          <w:p w14:paraId="6C2C72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0340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66CF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64A5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28F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03B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5DF5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CB083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3AB1A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DB021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1379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1EE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6BA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87079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658BC4" w14:textId="77777777" w:rsidTr="00ED5B0A">
        <w:tc>
          <w:tcPr>
            <w:tcW w:w="1242" w:type="dxa"/>
            <w:tcBorders>
              <w:top w:val="single" w:sz="6" w:space="0" w:color="auto"/>
              <w:left w:val="single" w:sz="6" w:space="0" w:color="auto"/>
              <w:bottom w:val="single" w:sz="6" w:space="0" w:color="auto"/>
              <w:right w:val="single" w:sz="6" w:space="0" w:color="auto"/>
            </w:tcBorders>
          </w:tcPr>
          <w:p w14:paraId="3D2CA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41F69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138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BA8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3C9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E94C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C149A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D8223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497C3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2D3CB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C4E06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855E7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9B7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2095C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36E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A4630C" w14:textId="77777777" w:rsidTr="00ED5B0A">
        <w:tc>
          <w:tcPr>
            <w:tcW w:w="1242" w:type="dxa"/>
            <w:tcBorders>
              <w:top w:val="single" w:sz="6" w:space="0" w:color="auto"/>
              <w:left w:val="single" w:sz="6" w:space="0" w:color="auto"/>
              <w:bottom w:val="single" w:sz="6" w:space="0" w:color="auto"/>
              <w:right w:val="single" w:sz="6" w:space="0" w:color="auto"/>
            </w:tcBorders>
          </w:tcPr>
          <w:p w14:paraId="12AFA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89942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A8C06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8D49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FE36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318DF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C3D3B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428A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5D87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патр.</w:t>
            </w:r>
          </w:p>
        </w:tc>
        <w:tc>
          <w:tcPr>
            <w:tcW w:w="848" w:type="dxa"/>
            <w:tcBorders>
              <w:top w:val="single" w:sz="6" w:space="0" w:color="auto"/>
              <w:left w:val="single" w:sz="6" w:space="0" w:color="auto"/>
              <w:bottom w:val="single" w:sz="6" w:space="0" w:color="auto"/>
              <w:right w:val="single" w:sz="6" w:space="0" w:color="auto"/>
            </w:tcBorders>
          </w:tcPr>
          <w:p w14:paraId="7C0EA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9B91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CDAE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005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609D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3A2E7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F0DE8F" w14:textId="77777777" w:rsidTr="00ED5B0A">
        <w:tc>
          <w:tcPr>
            <w:tcW w:w="1242" w:type="dxa"/>
            <w:tcBorders>
              <w:top w:val="single" w:sz="6" w:space="0" w:color="auto"/>
              <w:left w:val="single" w:sz="6" w:space="0" w:color="auto"/>
              <w:bottom w:val="single" w:sz="6" w:space="0" w:color="auto"/>
              <w:right w:val="single" w:sz="6" w:space="0" w:color="auto"/>
            </w:tcBorders>
          </w:tcPr>
          <w:p w14:paraId="3C786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72B63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32DB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C8C2E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8E0C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3D72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5ACB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841F2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5057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бортовая</w:t>
            </w:r>
          </w:p>
        </w:tc>
        <w:tc>
          <w:tcPr>
            <w:tcW w:w="848" w:type="dxa"/>
            <w:tcBorders>
              <w:top w:val="single" w:sz="6" w:space="0" w:color="auto"/>
              <w:left w:val="single" w:sz="6" w:space="0" w:color="auto"/>
              <w:bottom w:val="single" w:sz="6" w:space="0" w:color="auto"/>
              <w:right w:val="single" w:sz="6" w:space="0" w:color="auto"/>
            </w:tcBorders>
          </w:tcPr>
          <w:p w14:paraId="5D461D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5F1A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1A751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AF61B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E98C7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36F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FA31EC" w14:textId="77777777" w:rsidTr="00ED5B0A">
        <w:tc>
          <w:tcPr>
            <w:tcW w:w="1242" w:type="dxa"/>
            <w:tcBorders>
              <w:top w:val="single" w:sz="6" w:space="0" w:color="auto"/>
              <w:left w:val="single" w:sz="6" w:space="0" w:color="auto"/>
              <w:bottom w:val="single" w:sz="6" w:space="0" w:color="auto"/>
              <w:right w:val="single" w:sz="6" w:space="0" w:color="auto"/>
            </w:tcBorders>
          </w:tcPr>
          <w:p w14:paraId="6496F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E2185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6FA8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BA5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E038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6F6A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9A2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8E76F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1AB0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w:t>
            </w:r>
          </w:p>
        </w:tc>
        <w:tc>
          <w:tcPr>
            <w:tcW w:w="848" w:type="dxa"/>
            <w:tcBorders>
              <w:top w:val="single" w:sz="6" w:space="0" w:color="auto"/>
              <w:left w:val="single" w:sz="6" w:space="0" w:color="auto"/>
              <w:bottom w:val="single" w:sz="6" w:space="0" w:color="auto"/>
              <w:right w:val="single" w:sz="6" w:space="0" w:color="auto"/>
            </w:tcBorders>
          </w:tcPr>
          <w:p w14:paraId="5A2C2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A8488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661F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DB9A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CB983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3EF4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2A9016" w14:textId="77777777" w:rsidTr="00ED5B0A">
        <w:tc>
          <w:tcPr>
            <w:tcW w:w="1242" w:type="dxa"/>
            <w:tcBorders>
              <w:top w:val="single" w:sz="6" w:space="0" w:color="auto"/>
              <w:left w:val="single" w:sz="6" w:space="0" w:color="auto"/>
              <w:bottom w:val="single" w:sz="6" w:space="0" w:color="auto"/>
              <w:right w:val="single" w:sz="6" w:space="0" w:color="auto"/>
            </w:tcBorders>
          </w:tcPr>
          <w:p w14:paraId="7559DA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3163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27F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6410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D446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592C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B88AA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50987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9AC4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70503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1382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9B49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A6E88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D6D99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09D0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97E8ED" w14:textId="77777777" w:rsidTr="00ED5B0A">
        <w:tc>
          <w:tcPr>
            <w:tcW w:w="1242" w:type="dxa"/>
            <w:tcBorders>
              <w:top w:val="single" w:sz="6" w:space="0" w:color="auto"/>
              <w:left w:val="single" w:sz="6" w:space="0" w:color="auto"/>
              <w:bottom w:val="single" w:sz="6" w:space="0" w:color="auto"/>
              <w:right w:val="single" w:sz="6" w:space="0" w:color="auto"/>
            </w:tcBorders>
          </w:tcPr>
          <w:p w14:paraId="72E684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06E05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7C62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D647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8BF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A3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9004F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BEC3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F919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патр.</w:t>
            </w:r>
          </w:p>
        </w:tc>
        <w:tc>
          <w:tcPr>
            <w:tcW w:w="848" w:type="dxa"/>
            <w:tcBorders>
              <w:top w:val="single" w:sz="6" w:space="0" w:color="auto"/>
              <w:left w:val="single" w:sz="6" w:space="0" w:color="auto"/>
              <w:bottom w:val="single" w:sz="6" w:space="0" w:color="auto"/>
              <w:right w:val="single" w:sz="6" w:space="0" w:color="auto"/>
            </w:tcBorders>
          </w:tcPr>
          <w:p w14:paraId="4F482A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E8DCE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12BB4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4C59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778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1C75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0FB3A3" w14:textId="77777777" w:rsidTr="00ED5B0A">
        <w:tc>
          <w:tcPr>
            <w:tcW w:w="1242" w:type="dxa"/>
            <w:tcBorders>
              <w:top w:val="single" w:sz="6" w:space="0" w:color="auto"/>
              <w:left w:val="single" w:sz="6" w:space="0" w:color="auto"/>
              <w:bottom w:val="single" w:sz="6" w:space="0" w:color="auto"/>
              <w:right w:val="single" w:sz="6" w:space="0" w:color="auto"/>
            </w:tcBorders>
          </w:tcPr>
          <w:p w14:paraId="5CCF8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Морск.</w:t>
            </w:r>
          </w:p>
        </w:tc>
        <w:tc>
          <w:tcPr>
            <w:tcW w:w="431" w:type="dxa"/>
            <w:tcBorders>
              <w:top w:val="single" w:sz="6" w:space="0" w:color="auto"/>
              <w:left w:val="single" w:sz="6" w:space="0" w:color="auto"/>
              <w:bottom w:val="single" w:sz="6" w:space="0" w:color="auto"/>
              <w:right w:val="single" w:sz="6" w:space="0" w:color="auto"/>
            </w:tcBorders>
          </w:tcPr>
          <w:p w14:paraId="213E0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638B5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tc>
        <w:tc>
          <w:tcPr>
            <w:tcW w:w="567" w:type="dxa"/>
            <w:tcBorders>
              <w:top w:val="single" w:sz="6" w:space="0" w:color="auto"/>
              <w:left w:val="single" w:sz="6" w:space="0" w:color="auto"/>
              <w:bottom w:val="single" w:sz="6" w:space="0" w:color="auto"/>
              <w:right w:val="single" w:sz="6" w:space="0" w:color="auto"/>
            </w:tcBorders>
          </w:tcPr>
          <w:p w14:paraId="72D6E3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tc>
        <w:tc>
          <w:tcPr>
            <w:tcW w:w="567" w:type="dxa"/>
            <w:tcBorders>
              <w:top w:val="single" w:sz="6" w:space="0" w:color="auto"/>
              <w:left w:val="single" w:sz="6" w:space="0" w:color="auto"/>
              <w:bottom w:val="single" w:sz="6" w:space="0" w:color="auto"/>
              <w:right w:val="single" w:sz="6" w:space="0" w:color="auto"/>
            </w:tcBorders>
          </w:tcPr>
          <w:p w14:paraId="38DC19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709" w:type="dxa"/>
            <w:tcBorders>
              <w:top w:val="single" w:sz="6" w:space="0" w:color="auto"/>
              <w:left w:val="single" w:sz="6" w:space="0" w:color="auto"/>
              <w:bottom w:val="single" w:sz="6" w:space="0" w:color="auto"/>
              <w:right w:val="single" w:sz="6" w:space="0" w:color="auto"/>
            </w:tcBorders>
          </w:tcPr>
          <w:p w14:paraId="6EC4A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w:t>
            </w:r>
          </w:p>
        </w:tc>
        <w:tc>
          <w:tcPr>
            <w:tcW w:w="783" w:type="dxa"/>
            <w:tcBorders>
              <w:top w:val="single" w:sz="6" w:space="0" w:color="auto"/>
              <w:left w:val="single" w:sz="6" w:space="0" w:color="auto"/>
              <w:bottom w:val="single" w:sz="6" w:space="0" w:color="auto"/>
              <w:right w:val="single" w:sz="6" w:space="0" w:color="auto"/>
            </w:tcBorders>
          </w:tcPr>
          <w:p w14:paraId="09AC07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tc>
        <w:tc>
          <w:tcPr>
            <w:tcW w:w="783" w:type="dxa"/>
            <w:tcBorders>
              <w:top w:val="single" w:sz="6" w:space="0" w:color="auto"/>
              <w:left w:val="single" w:sz="6" w:space="0" w:color="auto"/>
              <w:bottom w:val="single" w:sz="6" w:space="0" w:color="auto"/>
              <w:right w:val="single" w:sz="6" w:space="0" w:color="auto"/>
            </w:tcBorders>
          </w:tcPr>
          <w:p w14:paraId="279AA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8800</w:t>
            </w:r>
          </w:p>
        </w:tc>
        <w:tc>
          <w:tcPr>
            <w:tcW w:w="1123" w:type="dxa"/>
            <w:tcBorders>
              <w:top w:val="single" w:sz="6" w:space="0" w:color="auto"/>
              <w:left w:val="single" w:sz="6" w:space="0" w:color="auto"/>
              <w:bottom w:val="single" w:sz="6" w:space="0" w:color="auto"/>
              <w:right w:val="single" w:sz="6" w:space="0" w:color="auto"/>
            </w:tcBorders>
          </w:tcPr>
          <w:p w14:paraId="72815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65F0C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410" w:type="dxa"/>
            <w:tcBorders>
              <w:top w:val="single" w:sz="6" w:space="0" w:color="auto"/>
              <w:left w:val="single" w:sz="6" w:space="0" w:color="auto"/>
              <w:bottom w:val="single" w:sz="6" w:space="0" w:color="auto"/>
              <w:right w:val="single" w:sz="6" w:space="0" w:color="auto"/>
            </w:tcBorders>
          </w:tcPr>
          <w:p w14:paraId="62035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624D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Спинка</w:t>
            </w:r>
          </w:p>
        </w:tc>
        <w:tc>
          <w:tcPr>
            <w:tcW w:w="922" w:type="dxa"/>
            <w:tcBorders>
              <w:top w:val="single" w:sz="6" w:space="0" w:color="auto"/>
              <w:left w:val="single" w:sz="6" w:space="0" w:color="auto"/>
              <w:bottom w:val="single" w:sz="6" w:space="0" w:color="auto"/>
              <w:right w:val="single" w:sz="6" w:space="0" w:color="auto"/>
            </w:tcBorders>
          </w:tcPr>
          <w:p w14:paraId="3E6C1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52E2B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w:t>
            </w:r>
          </w:p>
        </w:tc>
        <w:tc>
          <w:tcPr>
            <w:tcW w:w="621" w:type="dxa"/>
            <w:tcBorders>
              <w:top w:val="single" w:sz="6" w:space="0" w:color="auto"/>
              <w:left w:val="single" w:sz="6" w:space="0" w:color="auto"/>
              <w:bottom w:val="single" w:sz="6" w:space="0" w:color="auto"/>
              <w:right w:val="single" w:sz="6" w:space="0" w:color="auto"/>
            </w:tcBorders>
          </w:tcPr>
          <w:p w14:paraId="5DB94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E6CD89" w14:textId="77777777" w:rsidTr="00ED5B0A">
        <w:tc>
          <w:tcPr>
            <w:tcW w:w="1242" w:type="dxa"/>
            <w:tcBorders>
              <w:top w:val="single" w:sz="6" w:space="0" w:color="auto"/>
              <w:left w:val="single" w:sz="6" w:space="0" w:color="auto"/>
              <w:bottom w:val="single" w:sz="6" w:space="0" w:color="auto"/>
              <w:right w:val="single" w:sz="6" w:space="0" w:color="auto"/>
            </w:tcBorders>
          </w:tcPr>
          <w:p w14:paraId="206B4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w:t>
            </w:r>
          </w:p>
        </w:tc>
        <w:tc>
          <w:tcPr>
            <w:tcW w:w="431" w:type="dxa"/>
            <w:tcBorders>
              <w:top w:val="single" w:sz="6" w:space="0" w:color="auto"/>
              <w:left w:val="single" w:sz="6" w:space="0" w:color="auto"/>
              <w:bottom w:val="single" w:sz="6" w:space="0" w:color="auto"/>
              <w:right w:val="single" w:sz="6" w:space="0" w:color="auto"/>
            </w:tcBorders>
          </w:tcPr>
          <w:p w14:paraId="4DAFD7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DD80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384C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w:t>
            </w:r>
          </w:p>
        </w:tc>
        <w:tc>
          <w:tcPr>
            <w:tcW w:w="567" w:type="dxa"/>
            <w:tcBorders>
              <w:top w:val="single" w:sz="6" w:space="0" w:color="auto"/>
              <w:left w:val="single" w:sz="6" w:space="0" w:color="auto"/>
              <w:bottom w:val="single" w:sz="6" w:space="0" w:color="auto"/>
              <w:right w:val="single" w:sz="6" w:space="0" w:color="auto"/>
            </w:tcBorders>
          </w:tcPr>
          <w:p w14:paraId="6905F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D48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w:t>
            </w:r>
          </w:p>
        </w:tc>
        <w:tc>
          <w:tcPr>
            <w:tcW w:w="783" w:type="dxa"/>
            <w:tcBorders>
              <w:top w:val="single" w:sz="6" w:space="0" w:color="auto"/>
              <w:left w:val="single" w:sz="6" w:space="0" w:color="auto"/>
              <w:bottom w:val="single" w:sz="6" w:space="0" w:color="auto"/>
              <w:right w:val="single" w:sz="6" w:space="0" w:color="auto"/>
            </w:tcBorders>
          </w:tcPr>
          <w:p w14:paraId="090DED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783" w:type="dxa"/>
            <w:tcBorders>
              <w:top w:val="single" w:sz="6" w:space="0" w:color="auto"/>
              <w:left w:val="single" w:sz="6" w:space="0" w:color="auto"/>
              <w:bottom w:val="single" w:sz="6" w:space="0" w:color="auto"/>
              <w:right w:val="single" w:sz="6" w:space="0" w:color="auto"/>
            </w:tcBorders>
          </w:tcPr>
          <w:p w14:paraId="764BB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1D64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24485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0790AB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40C0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летчика</w:t>
            </w:r>
          </w:p>
        </w:tc>
        <w:tc>
          <w:tcPr>
            <w:tcW w:w="922" w:type="dxa"/>
            <w:tcBorders>
              <w:top w:val="single" w:sz="6" w:space="0" w:color="auto"/>
              <w:left w:val="single" w:sz="6" w:space="0" w:color="auto"/>
              <w:bottom w:val="single" w:sz="6" w:space="0" w:color="auto"/>
              <w:right w:val="single" w:sz="6" w:space="0" w:color="auto"/>
            </w:tcBorders>
          </w:tcPr>
          <w:p w14:paraId="6D4FD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ABA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доводочные</w:t>
            </w:r>
          </w:p>
        </w:tc>
        <w:tc>
          <w:tcPr>
            <w:tcW w:w="621" w:type="dxa"/>
            <w:tcBorders>
              <w:top w:val="single" w:sz="6" w:space="0" w:color="auto"/>
              <w:left w:val="single" w:sz="6" w:space="0" w:color="auto"/>
              <w:bottom w:val="single" w:sz="6" w:space="0" w:color="auto"/>
              <w:right w:val="single" w:sz="6" w:space="0" w:color="auto"/>
            </w:tcBorders>
          </w:tcPr>
          <w:p w14:paraId="73FDF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47FBD4" w14:textId="77777777" w:rsidTr="00ED5B0A">
        <w:tc>
          <w:tcPr>
            <w:tcW w:w="1242" w:type="dxa"/>
            <w:tcBorders>
              <w:top w:val="single" w:sz="6" w:space="0" w:color="auto"/>
              <w:left w:val="single" w:sz="6" w:space="0" w:color="auto"/>
              <w:bottom w:val="single" w:sz="6" w:space="0" w:color="auto"/>
              <w:right w:val="single" w:sz="6" w:space="0" w:color="auto"/>
            </w:tcBorders>
          </w:tcPr>
          <w:p w14:paraId="3E67FC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w:t>
            </w:r>
          </w:p>
        </w:tc>
        <w:tc>
          <w:tcPr>
            <w:tcW w:w="431" w:type="dxa"/>
            <w:tcBorders>
              <w:top w:val="single" w:sz="6" w:space="0" w:color="auto"/>
              <w:left w:val="single" w:sz="6" w:space="0" w:color="auto"/>
              <w:bottom w:val="single" w:sz="6" w:space="0" w:color="auto"/>
              <w:right w:val="single" w:sz="6" w:space="0" w:color="auto"/>
            </w:tcBorders>
          </w:tcPr>
          <w:p w14:paraId="364DA9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C7E33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09666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4DB1F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42E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w:t>
            </w:r>
          </w:p>
        </w:tc>
        <w:tc>
          <w:tcPr>
            <w:tcW w:w="783" w:type="dxa"/>
            <w:tcBorders>
              <w:top w:val="single" w:sz="6" w:space="0" w:color="auto"/>
              <w:left w:val="single" w:sz="6" w:space="0" w:color="auto"/>
              <w:bottom w:val="single" w:sz="6" w:space="0" w:color="auto"/>
              <w:right w:val="single" w:sz="6" w:space="0" w:color="auto"/>
            </w:tcBorders>
          </w:tcPr>
          <w:p w14:paraId="21ABA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1AD5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1260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2B537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B7B9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2EE6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4F7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E8C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построен.</w:t>
            </w:r>
          </w:p>
        </w:tc>
        <w:tc>
          <w:tcPr>
            <w:tcW w:w="621" w:type="dxa"/>
            <w:tcBorders>
              <w:top w:val="single" w:sz="6" w:space="0" w:color="auto"/>
              <w:left w:val="single" w:sz="6" w:space="0" w:color="auto"/>
              <w:bottom w:val="single" w:sz="6" w:space="0" w:color="auto"/>
              <w:right w:val="single" w:sz="6" w:space="0" w:color="auto"/>
            </w:tcBorders>
          </w:tcPr>
          <w:p w14:paraId="389D79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9DC63B" w14:textId="77777777" w:rsidTr="00ED5B0A">
        <w:tc>
          <w:tcPr>
            <w:tcW w:w="1242" w:type="dxa"/>
            <w:tcBorders>
              <w:top w:val="single" w:sz="6" w:space="0" w:color="auto"/>
              <w:left w:val="single" w:sz="6" w:space="0" w:color="auto"/>
              <w:bottom w:val="single" w:sz="6" w:space="0" w:color="auto"/>
              <w:right w:val="single" w:sz="6" w:space="0" w:color="auto"/>
            </w:tcBorders>
          </w:tcPr>
          <w:p w14:paraId="4094B4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МДР6Б с</w:t>
            </w:r>
          </w:p>
        </w:tc>
        <w:tc>
          <w:tcPr>
            <w:tcW w:w="431" w:type="dxa"/>
            <w:tcBorders>
              <w:top w:val="single" w:sz="6" w:space="0" w:color="auto"/>
              <w:left w:val="single" w:sz="6" w:space="0" w:color="auto"/>
              <w:bottom w:val="single" w:sz="6" w:space="0" w:color="auto"/>
              <w:right w:val="single" w:sz="6" w:space="0" w:color="auto"/>
            </w:tcBorders>
          </w:tcPr>
          <w:p w14:paraId="23DBA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CCBA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B5B2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864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BAC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BE99E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C69A8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C6FB5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 патр.</w:t>
            </w:r>
          </w:p>
        </w:tc>
        <w:tc>
          <w:tcPr>
            <w:tcW w:w="848" w:type="dxa"/>
            <w:tcBorders>
              <w:top w:val="single" w:sz="6" w:space="0" w:color="auto"/>
              <w:left w:val="single" w:sz="6" w:space="0" w:color="auto"/>
              <w:bottom w:val="single" w:sz="6" w:space="0" w:color="auto"/>
              <w:right w:val="single" w:sz="6" w:space="0" w:color="auto"/>
            </w:tcBorders>
          </w:tcPr>
          <w:p w14:paraId="149A1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71BBD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E479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5E9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90F9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w:t>
            </w:r>
          </w:p>
        </w:tc>
        <w:tc>
          <w:tcPr>
            <w:tcW w:w="621" w:type="dxa"/>
            <w:tcBorders>
              <w:top w:val="single" w:sz="6" w:space="0" w:color="auto"/>
              <w:left w:val="single" w:sz="6" w:space="0" w:color="auto"/>
              <w:bottom w:val="single" w:sz="6" w:space="0" w:color="auto"/>
              <w:right w:val="single" w:sz="6" w:space="0" w:color="auto"/>
            </w:tcBorders>
          </w:tcPr>
          <w:p w14:paraId="2FAFC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312F9C" w14:textId="77777777" w:rsidTr="00ED5B0A">
        <w:tc>
          <w:tcPr>
            <w:tcW w:w="1242" w:type="dxa"/>
            <w:tcBorders>
              <w:top w:val="single" w:sz="6" w:space="0" w:color="auto"/>
              <w:left w:val="single" w:sz="6" w:space="0" w:color="auto"/>
              <w:bottom w:val="single" w:sz="6" w:space="0" w:color="auto"/>
              <w:right w:val="single" w:sz="6" w:space="0" w:color="auto"/>
            </w:tcBorders>
          </w:tcPr>
          <w:p w14:paraId="33CA6A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двумя </w:t>
            </w:r>
          </w:p>
        </w:tc>
        <w:tc>
          <w:tcPr>
            <w:tcW w:w="431" w:type="dxa"/>
            <w:tcBorders>
              <w:top w:val="single" w:sz="6" w:space="0" w:color="auto"/>
              <w:left w:val="single" w:sz="6" w:space="0" w:color="auto"/>
              <w:bottom w:val="single" w:sz="6" w:space="0" w:color="auto"/>
              <w:right w:val="single" w:sz="6" w:space="0" w:color="auto"/>
            </w:tcBorders>
          </w:tcPr>
          <w:p w14:paraId="775CC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3E45D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8188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C687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E9EDD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FAD69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AACF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86FE2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палубная</w:t>
            </w:r>
          </w:p>
        </w:tc>
        <w:tc>
          <w:tcPr>
            <w:tcW w:w="848" w:type="dxa"/>
            <w:tcBorders>
              <w:top w:val="single" w:sz="6" w:space="0" w:color="auto"/>
              <w:left w:val="single" w:sz="6" w:space="0" w:color="auto"/>
              <w:bottom w:val="single" w:sz="6" w:space="0" w:color="auto"/>
              <w:right w:val="single" w:sz="6" w:space="0" w:color="auto"/>
            </w:tcBorders>
          </w:tcPr>
          <w:p w14:paraId="17485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D150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6B7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25F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7D879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6B41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2473E8" w14:textId="77777777" w:rsidTr="00ED5B0A">
        <w:tc>
          <w:tcPr>
            <w:tcW w:w="1242" w:type="dxa"/>
            <w:tcBorders>
              <w:top w:val="single" w:sz="6" w:space="0" w:color="auto"/>
              <w:left w:val="single" w:sz="6" w:space="0" w:color="auto"/>
              <w:bottom w:val="single" w:sz="6" w:space="0" w:color="auto"/>
              <w:right w:val="single" w:sz="6" w:space="0" w:color="auto"/>
            </w:tcBorders>
          </w:tcPr>
          <w:p w14:paraId="47FC36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431" w:type="dxa"/>
            <w:tcBorders>
              <w:top w:val="single" w:sz="6" w:space="0" w:color="auto"/>
              <w:left w:val="single" w:sz="6" w:space="0" w:color="auto"/>
              <w:bottom w:val="single" w:sz="6" w:space="0" w:color="auto"/>
              <w:right w:val="single" w:sz="6" w:space="0" w:color="auto"/>
            </w:tcBorders>
          </w:tcPr>
          <w:p w14:paraId="31B594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E131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CA05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58D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04460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35D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EF33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3710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127DA8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9B55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E239C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2D41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E49C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F6AE6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0D6384" w14:textId="77777777" w:rsidTr="00ED5B0A">
        <w:tc>
          <w:tcPr>
            <w:tcW w:w="1242" w:type="dxa"/>
            <w:tcBorders>
              <w:top w:val="single" w:sz="6" w:space="0" w:color="auto"/>
              <w:left w:val="single" w:sz="6" w:space="0" w:color="auto"/>
              <w:bottom w:val="single" w:sz="6" w:space="0" w:color="auto"/>
              <w:right w:val="single" w:sz="6" w:space="0" w:color="auto"/>
            </w:tcBorders>
          </w:tcPr>
          <w:p w14:paraId="787F38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w:t>
            </w:r>
          </w:p>
        </w:tc>
        <w:tc>
          <w:tcPr>
            <w:tcW w:w="431" w:type="dxa"/>
            <w:tcBorders>
              <w:top w:val="single" w:sz="6" w:space="0" w:color="auto"/>
              <w:left w:val="single" w:sz="6" w:space="0" w:color="auto"/>
              <w:bottom w:val="single" w:sz="6" w:space="0" w:color="auto"/>
              <w:right w:val="single" w:sz="6" w:space="0" w:color="auto"/>
            </w:tcBorders>
          </w:tcPr>
          <w:p w14:paraId="43A035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4287A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FF413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1AE3F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4C6CC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99C0F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312BA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8648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7A9568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0CC1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0D08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835D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9B80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40753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798FC5" w14:textId="77777777" w:rsidTr="00ED5B0A">
        <w:tc>
          <w:tcPr>
            <w:tcW w:w="1242" w:type="dxa"/>
            <w:tcBorders>
              <w:top w:val="single" w:sz="6" w:space="0" w:color="auto"/>
              <w:left w:val="single" w:sz="6" w:space="0" w:color="auto"/>
              <w:bottom w:val="single" w:sz="6" w:space="0" w:color="auto"/>
              <w:right w:val="single" w:sz="6" w:space="0" w:color="auto"/>
            </w:tcBorders>
          </w:tcPr>
          <w:p w14:paraId="64AFBE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И.В.Четвериков</w:t>
            </w:r>
          </w:p>
        </w:tc>
        <w:tc>
          <w:tcPr>
            <w:tcW w:w="431" w:type="dxa"/>
            <w:tcBorders>
              <w:top w:val="single" w:sz="6" w:space="0" w:color="auto"/>
              <w:left w:val="single" w:sz="6" w:space="0" w:color="auto"/>
              <w:bottom w:val="single" w:sz="6" w:space="0" w:color="auto"/>
              <w:right w:val="single" w:sz="6" w:space="0" w:color="auto"/>
            </w:tcBorders>
          </w:tcPr>
          <w:p w14:paraId="451FD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36C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E0B2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8D8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C72C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A4DDB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DE7B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39B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 патр.</w:t>
            </w:r>
          </w:p>
        </w:tc>
        <w:tc>
          <w:tcPr>
            <w:tcW w:w="848" w:type="dxa"/>
            <w:tcBorders>
              <w:top w:val="single" w:sz="6" w:space="0" w:color="auto"/>
              <w:left w:val="single" w:sz="6" w:space="0" w:color="auto"/>
              <w:bottom w:val="single" w:sz="6" w:space="0" w:color="auto"/>
              <w:right w:val="single" w:sz="6" w:space="0" w:color="auto"/>
            </w:tcBorders>
          </w:tcPr>
          <w:p w14:paraId="2AFBE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DA69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8ABD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9E0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4A5CA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7437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177DB8" w14:textId="77777777" w:rsidTr="00ED5B0A">
        <w:tc>
          <w:tcPr>
            <w:tcW w:w="1242" w:type="dxa"/>
            <w:tcBorders>
              <w:top w:val="single" w:sz="6" w:space="0" w:color="auto"/>
              <w:left w:val="single" w:sz="6" w:space="0" w:color="auto"/>
              <w:bottom w:val="single" w:sz="6" w:space="0" w:color="auto"/>
              <w:right w:val="single" w:sz="6" w:space="0" w:color="auto"/>
            </w:tcBorders>
          </w:tcPr>
          <w:p w14:paraId="0C8D22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D80C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FD6E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17C9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32F98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408C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D39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337D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F674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w:t>
            </w:r>
          </w:p>
        </w:tc>
        <w:tc>
          <w:tcPr>
            <w:tcW w:w="848" w:type="dxa"/>
            <w:tcBorders>
              <w:top w:val="single" w:sz="6" w:space="0" w:color="auto"/>
              <w:left w:val="single" w:sz="6" w:space="0" w:color="auto"/>
              <w:bottom w:val="single" w:sz="6" w:space="0" w:color="auto"/>
              <w:right w:val="single" w:sz="6" w:space="0" w:color="auto"/>
            </w:tcBorders>
          </w:tcPr>
          <w:p w14:paraId="682D0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3B0A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C2900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0710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61C0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B5E7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918CE2" w14:textId="77777777" w:rsidTr="00ED5B0A">
        <w:tc>
          <w:tcPr>
            <w:tcW w:w="1242" w:type="dxa"/>
            <w:tcBorders>
              <w:top w:val="single" w:sz="6" w:space="0" w:color="auto"/>
              <w:left w:val="single" w:sz="6" w:space="0" w:color="auto"/>
              <w:bottom w:val="single" w:sz="6" w:space="0" w:color="auto"/>
              <w:right w:val="single" w:sz="6" w:space="0" w:color="auto"/>
            </w:tcBorders>
          </w:tcPr>
          <w:p w14:paraId="7D3EA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68E9ED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15045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7945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6C2E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32E4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23CD7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3112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48F4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57DFE9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3FB5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C8AB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B12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68A0B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8EDA9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14A175" w14:textId="77777777" w:rsidTr="00ED5B0A">
        <w:tc>
          <w:tcPr>
            <w:tcW w:w="1242" w:type="dxa"/>
            <w:tcBorders>
              <w:top w:val="single" w:sz="6" w:space="0" w:color="auto"/>
              <w:left w:val="single" w:sz="6" w:space="0" w:color="auto"/>
              <w:bottom w:val="single" w:sz="6" w:space="0" w:color="auto"/>
              <w:right w:val="single" w:sz="6" w:space="0" w:color="auto"/>
            </w:tcBorders>
          </w:tcPr>
          <w:p w14:paraId="2AD69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640E7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2F833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6DD6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7E9CC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F660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F4B8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F6938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A27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 мм</w:t>
            </w:r>
          </w:p>
        </w:tc>
        <w:tc>
          <w:tcPr>
            <w:tcW w:w="848" w:type="dxa"/>
            <w:tcBorders>
              <w:top w:val="single" w:sz="6" w:space="0" w:color="auto"/>
              <w:left w:val="single" w:sz="6" w:space="0" w:color="auto"/>
              <w:bottom w:val="single" w:sz="6" w:space="0" w:color="auto"/>
              <w:right w:val="single" w:sz="6" w:space="0" w:color="auto"/>
            </w:tcBorders>
          </w:tcPr>
          <w:p w14:paraId="3CFDB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6B978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F7A53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2ED5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5DF3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E68D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9C32A2" w14:textId="77777777" w:rsidTr="00ED5B0A">
        <w:tc>
          <w:tcPr>
            <w:tcW w:w="1242" w:type="dxa"/>
            <w:tcBorders>
              <w:top w:val="single" w:sz="6" w:space="0" w:color="auto"/>
              <w:left w:val="single" w:sz="6" w:space="0" w:color="auto"/>
              <w:bottom w:val="single" w:sz="6" w:space="0" w:color="auto"/>
              <w:right w:val="single" w:sz="6" w:space="0" w:color="auto"/>
            </w:tcBorders>
          </w:tcPr>
          <w:p w14:paraId="4D82EE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31209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56118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753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3173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C097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41977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AD24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1FA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 патр.</w:t>
            </w:r>
          </w:p>
        </w:tc>
        <w:tc>
          <w:tcPr>
            <w:tcW w:w="848" w:type="dxa"/>
            <w:tcBorders>
              <w:top w:val="single" w:sz="6" w:space="0" w:color="auto"/>
              <w:left w:val="single" w:sz="6" w:space="0" w:color="auto"/>
              <w:bottom w:val="single" w:sz="6" w:space="0" w:color="auto"/>
              <w:right w:val="single" w:sz="6" w:space="0" w:color="auto"/>
            </w:tcBorders>
          </w:tcPr>
          <w:p w14:paraId="56F27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2F814C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E53A6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A2A1B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C6F31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BFA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776716" w14:textId="77777777" w:rsidTr="00ED5B0A">
        <w:tc>
          <w:tcPr>
            <w:tcW w:w="1242" w:type="dxa"/>
            <w:tcBorders>
              <w:top w:val="single" w:sz="6" w:space="0" w:color="auto"/>
              <w:left w:val="single" w:sz="6" w:space="0" w:color="auto"/>
              <w:bottom w:val="single" w:sz="6" w:space="0" w:color="auto"/>
              <w:right w:val="single" w:sz="6" w:space="0" w:color="auto"/>
            </w:tcBorders>
          </w:tcPr>
          <w:p w14:paraId="1D4F5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w:t>
            </w:r>
          </w:p>
        </w:tc>
        <w:tc>
          <w:tcPr>
            <w:tcW w:w="431" w:type="dxa"/>
            <w:tcBorders>
              <w:top w:val="single" w:sz="6" w:space="0" w:color="auto"/>
              <w:left w:val="single" w:sz="6" w:space="0" w:color="auto"/>
              <w:bottom w:val="single" w:sz="6" w:space="0" w:color="auto"/>
              <w:right w:val="single" w:sz="6" w:space="0" w:color="auto"/>
            </w:tcBorders>
          </w:tcPr>
          <w:p w14:paraId="06BD50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3" w:type="dxa"/>
            <w:tcBorders>
              <w:top w:val="single" w:sz="6" w:space="0" w:color="auto"/>
              <w:left w:val="single" w:sz="6" w:space="0" w:color="auto"/>
              <w:bottom w:val="single" w:sz="6" w:space="0" w:color="auto"/>
              <w:right w:val="single" w:sz="6" w:space="0" w:color="auto"/>
            </w:tcBorders>
          </w:tcPr>
          <w:p w14:paraId="27D13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7" w:type="dxa"/>
            <w:tcBorders>
              <w:top w:val="single" w:sz="6" w:space="0" w:color="auto"/>
              <w:left w:val="single" w:sz="6" w:space="0" w:color="auto"/>
              <w:bottom w:val="single" w:sz="6" w:space="0" w:color="auto"/>
              <w:right w:val="single" w:sz="6" w:space="0" w:color="auto"/>
            </w:tcBorders>
          </w:tcPr>
          <w:p w14:paraId="21213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567" w:type="dxa"/>
            <w:tcBorders>
              <w:top w:val="single" w:sz="6" w:space="0" w:color="auto"/>
              <w:left w:val="single" w:sz="6" w:space="0" w:color="auto"/>
              <w:bottom w:val="single" w:sz="6" w:space="0" w:color="auto"/>
              <w:right w:val="single" w:sz="6" w:space="0" w:color="auto"/>
            </w:tcBorders>
          </w:tcPr>
          <w:p w14:paraId="12593B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09" w:type="dxa"/>
            <w:tcBorders>
              <w:top w:val="single" w:sz="6" w:space="0" w:color="auto"/>
              <w:left w:val="single" w:sz="6" w:space="0" w:color="auto"/>
              <w:bottom w:val="single" w:sz="6" w:space="0" w:color="auto"/>
              <w:right w:val="single" w:sz="6" w:space="0" w:color="auto"/>
            </w:tcBorders>
          </w:tcPr>
          <w:p w14:paraId="0448A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783" w:type="dxa"/>
            <w:tcBorders>
              <w:top w:val="single" w:sz="6" w:space="0" w:color="auto"/>
              <w:left w:val="single" w:sz="6" w:space="0" w:color="auto"/>
              <w:bottom w:val="single" w:sz="6" w:space="0" w:color="auto"/>
              <w:right w:val="single" w:sz="6" w:space="0" w:color="auto"/>
            </w:tcBorders>
          </w:tcPr>
          <w:p w14:paraId="71F76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83" w:type="dxa"/>
            <w:tcBorders>
              <w:top w:val="single" w:sz="6" w:space="0" w:color="auto"/>
              <w:left w:val="single" w:sz="6" w:space="0" w:color="auto"/>
              <w:bottom w:val="single" w:sz="6" w:space="0" w:color="auto"/>
              <w:right w:val="single" w:sz="6" w:space="0" w:color="auto"/>
            </w:tcBorders>
          </w:tcPr>
          <w:p w14:paraId="3C56E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tc>
        <w:tc>
          <w:tcPr>
            <w:tcW w:w="1123" w:type="dxa"/>
            <w:tcBorders>
              <w:top w:val="single" w:sz="6" w:space="0" w:color="auto"/>
              <w:left w:val="single" w:sz="6" w:space="0" w:color="auto"/>
              <w:bottom w:val="single" w:sz="6" w:space="0" w:color="auto"/>
              <w:right w:val="single" w:sz="6" w:space="0" w:color="auto"/>
            </w:tcBorders>
          </w:tcPr>
          <w:p w14:paraId="6C3AD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848" w:type="dxa"/>
            <w:tcBorders>
              <w:top w:val="single" w:sz="6" w:space="0" w:color="auto"/>
              <w:left w:val="single" w:sz="6" w:space="0" w:color="auto"/>
              <w:bottom w:val="single" w:sz="6" w:space="0" w:color="auto"/>
              <w:right w:val="single" w:sz="6" w:space="0" w:color="auto"/>
            </w:tcBorders>
          </w:tcPr>
          <w:p w14:paraId="27827A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410" w:type="dxa"/>
            <w:tcBorders>
              <w:top w:val="single" w:sz="6" w:space="0" w:color="auto"/>
              <w:left w:val="single" w:sz="6" w:space="0" w:color="auto"/>
              <w:bottom w:val="single" w:sz="6" w:space="0" w:color="auto"/>
              <w:right w:val="single" w:sz="6" w:space="0" w:color="auto"/>
            </w:tcBorders>
          </w:tcPr>
          <w:p w14:paraId="53AB0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43" w:type="dxa"/>
            <w:tcBorders>
              <w:top w:val="single" w:sz="6" w:space="0" w:color="auto"/>
              <w:left w:val="single" w:sz="6" w:space="0" w:color="auto"/>
              <w:bottom w:val="single" w:sz="6" w:space="0" w:color="auto"/>
              <w:right w:val="single" w:sz="6" w:space="0" w:color="auto"/>
            </w:tcBorders>
          </w:tcPr>
          <w:p w14:paraId="63A80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w:t>
            </w:r>
          </w:p>
        </w:tc>
        <w:tc>
          <w:tcPr>
            <w:tcW w:w="922" w:type="dxa"/>
            <w:tcBorders>
              <w:top w:val="single" w:sz="6" w:space="0" w:color="auto"/>
              <w:left w:val="single" w:sz="6" w:space="0" w:color="auto"/>
              <w:bottom w:val="single" w:sz="6" w:space="0" w:color="auto"/>
              <w:right w:val="single" w:sz="6" w:space="0" w:color="auto"/>
            </w:tcBorders>
          </w:tcPr>
          <w:p w14:paraId="4163C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15.XI.43</w:t>
            </w:r>
          </w:p>
        </w:tc>
        <w:tc>
          <w:tcPr>
            <w:tcW w:w="621" w:type="dxa"/>
            <w:tcBorders>
              <w:top w:val="single" w:sz="6" w:space="0" w:color="auto"/>
              <w:left w:val="single" w:sz="6" w:space="0" w:color="auto"/>
              <w:bottom w:val="single" w:sz="6" w:space="0" w:color="auto"/>
              <w:right w:val="single" w:sz="6" w:space="0" w:color="auto"/>
            </w:tcBorders>
          </w:tcPr>
          <w:p w14:paraId="2B033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59F0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FBF594" w14:textId="77777777" w:rsidTr="00ED5B0A">
        <w:tc>
          <w:tcPr>
            <w:tcW w:w="1242" w:type="dxa"/>
            <w:tcBorders>
              <w:top w:val="single" w:sz="6" w:space="0" w:color="auto"/>
              <w:left w:val="single" w:sz="6" w:space="0" w:color="auto"/>
              <w:bottom w:val="single" w:sz="6" w:space="0" w:color="auto"/>
              <w:right w:val="single" w:sz="6" w:space="0" w:color="auto"/>
            </w:tcBorders>
          </w:tcPr>
          <w:p w14:paraId="4CBA7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этого же</w:t>
            </w:r>
          </w:p>
        </w:tc>
        <w:tc>
          <w:tcPr>
            <w:tcW w:w="431" w:type="dxa"/>
            <w:tcBorders>
              <w:top w:val="single" w:sz="6" w:space="0" w:color="auto"/>
              <w:left w:val="single" w:sz="6" w:space="0" w:color="auto"/>
              <w:bottom w:val="single" w:sz="6" w:space="0" w:color="auto"/>
              <w:right w:val="single" w:sz="6" w:space="0" w:color="auto"/>
            </w:tcBorders>
          </w:tcPr>
          <w:p w14:paraId="27C40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57C95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7804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4000-5000</w:t>
            </w:r>
          </w:p>
        </w:tc>
        <w:tc>
          <w:tcPr>
            <w:tcW w:w="567" w:type="dxa"/>
            <w:tcBorders>
              <w:top w:val="single" w:sz="6" w:space="0" w:color="auto"/>
              <w:left w:val="single" w:sz="6" w:space="0" w:color="auto"/>
              <w:bottom w:val="single" w:sz="6" w:space="0" w:color="auto"/>
              <w:right w:val="single" w:sz="6" w:space="0" w:color="auto"/>
            </w:tcBorders>
          </w:tcPr>
          <w:p w14:paraId="4EF4AF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w:t>
            </w:r>
          </w:p>
        </w:tc>
        <w:tc>
          <w:tcPr>
            <w:tcW w:w="709" w:type="dxa"/>
            <w:tcBorders>
              <w:top w:val="single" w:sz="6" w:space="0" w:color="auto"/>
              <w:left w:val="single" w:sz="6" w:space="0" w:color="auto"/>
              <w:bottom w:val="single" w:sz="6" w:space="0" w:color="auto"/>
              <w:right w:val="single" w:sz="6" w:space="0" w:color="auto"/>
            </w:tcBorders>
          </w:tcPr>
          <w:p w14:paraId="1C085A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07787E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4938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4C20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52863B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2ABB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0D9C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экипажа</w:t>
            </w:r>
          </w:p>
        </w:tc>
        <w:tc>
          <w:tcPr>
            <w:tcW w:w="922" w:type="dxa"/>
            <w:tcBorders>
              <w:top w:val="single" w:sz="6" w:space="0" w:color="auto"/>
              <w:left w:val="single" w:sz="6" w:space="0" w:color="auto"/>
              <w:bottom w:val="single" w:sz="6" w:space="0" w:color="auto"/>
              <w:right w:val="single" w:sz="6" w:space="0" w:color="auto"/>
            </w:tcBorders>
          </w:tcPr>
          <w:p w14:paraId="0E33B2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0514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FD2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0D5A0F" w14:textId="77777777" w:rsidTr="00ED5B0A">
        <w:tc>
          <w:tcPr>
            <w:tcW w:w="1242" w:type="dxa"/>
            <w:tcBorders>
              <w:top w:val="single" w:sz="6" w:space="0" w:color="auto"/>
              <w:left w:val="single" w:sz="6" w:space="0" w:color="auto"/>
              <w:bottom w:val="single" w:sz="6" w:space="0" w:color="auto"/>
              <w:right w:val="single" w:sz="6" w:space="0" w:color="auto"/>
            </w:tcBorders>
          </w:tcPr>
          <w:p w14:paraId="00093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 с</w:t>
            </w:r>
          </w:p>
        </w:tc>
        <w:tc>
          <w:tcPr>
            <w:tcW w:w="431" w:type="dxa"/>
            <w:tcBorders>
              <w:top w:val="single" w:sz="6" w:space="0" w:color="auto"/>
              <w:left w:val="single" w:sz="6" w:space="0" w:color="auto"/>
              <w:bottom w:val="single" w:sz="6" w:space="0" w:color="auto"/>
              <w:right w:val="single" w:sz="6" w:space="0" w:color="auto"/>
            </w:tcBorders>
          </w:tcPr>
          <w:p w14:paraId="7BF12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E0FE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33BA8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2C266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6EFFA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 и</w:t>
            </w:r>
          </w:p>
        </w:tc>
        <w:tc>
          <w:tcPr>
            <w:tcW w:w="783" w:type="dxa"/>
            <w:tcBorders>
              <w:top w:val="single" w:sz="6" w:space="0" w:color="auto"/>
              <w:left w:val="single" w:sz="6" w:space="0" w:color="auto"/>
              <w:bottom w:val="single" w:sz="6" w:space="0" w:color="auto"/>
              <w:right w:val="single" w:sz="6" w:space="0" w:color="auto"/>
            </w:tcBorders>
          </w:tcPr>
          <w:p w14:paraId="3F7A58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3A0F5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1062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44192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4462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E9FA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атаки</w:t>
            </w:r>
          </w:p>
        </w:tc>
        <w:tc>
          <w:tcPr>
            <w:tcW w:w="922" w:type="dxa"/>
            <w:tcBorders>
              <w:top w:val="single" w:sz="6" w:space="0" w:color="auto"/>
              <w:left w:val="single" w:sz="6" w:space="0" w:color="auto"/>
              <w:bottom w:val="single" w:sz="6" w:space="0" w:color="auto"/>
              <w:right w:val="single" w:sz="6" w:space="0" w:color="auto"/>
            </w:tcBorders>
          </w:tcPr>
          <w:p w14:paraId="683EC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BE19B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9170A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AFF2DD" w14:textId="77777777" w:rsidTr="00ED5B0A">
        <w:tc>
          <w:tcPr>
            <w:tcW w:w="1242" w:type="dxa"/>
            <w:tcBorders>
              <w:top w:val="single" w:sz="6" w:space="0" w:color="auto"/>
              <w:left w:val="single" w:sz="6" w:space="0" w:color="auto"/>
              <w:bottom w:val="single" w:sz="6" w:space="0" w:color="auto"/>
              <w:right w:val="single" w:sz="6" w:space="0" w:color="auto"/>
            </w:tcBorders>
          </w:tcPr>
          <w:p w14:paraId="3F44D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двумя</w:t>
            </w:r>
          </w:p>
        </w:tc>
        <w:tc>
          <w:tcPr>
            <w:tcW w:w="431" w:type="dxa"/>
            <w:tcBorders>
              <w:top w:val="single" w:sz="6" w:space="0" w:color="auto"/>
              <w:left w:val="single" w:sz="6" w:space="0" w:color="auto"/>
              <w:bottom w:val="single" w:sz="6" w:space="0" w:color="auto"/>
              <w:right w:val="single" w:sz="6" w:space="0" w:color="auto"/>
            </w:tcBorders>
          </w:tcPr>
          <w:p w14:paraId="4FCFA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CB31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DBE3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5440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D2D6E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 с</w:t>
            </w:r>
          </w:p>
        </w:tc>
        <w:tc>
          <w:tcPr>
            <w:tcW w:w="783" w:type="dxa"/>
            <w:tcBorders>
              <w:top w:val="single" w:sz="6" w:space="0" w:color="auto"/>
              <w:left w:val="single" w:sz="6" w:space="0" w:color="auto"/>
              <w:bottom w:val="single" w:sz="6" w:space="0" w:color="auto"/>
              <w:right w:val="single" w:sz="6" w:space="0" w:color="auto"/>
            </w:tcBorders>
          </w:tcPr>
          <w:p w14:paraId="62F555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8EB8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F229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6D8D18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58E67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EFD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w:t>
            </w:r>
          </w:p>
        </w:tc>
        <w:tc>
          <w:tcPr>
            <w:tcW w:w="922" w:type="dxa"/>
            <w:tcBorders>
              <w:top w:val="single" w:sz="6" w:space="0" w:color="auto"/>
              <w:left w:val="single" w:sz="6" w:space="0" w:color="auto"/>
              <w:bottom w:val="single" w:sz="6" w:space="0" w:color="auto"/>
              <w:right w:val="single" w:sz="6" w:space="0" w:color="auto"/>
            </w:tcBorders>
          </w:tcPr>
          <w:p w14:paraId="5BDBDD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CBE6B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022F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CA14D1" w14:textId="77777777" w:rsidTr="00ED5B0A">
        <w:tc>
          <w:tcPr>
            <w:tcW w:w="1242" w:type="dxa"/>
            <w:tcBorders>
              <w:top w:val="single" w:sz="6" w:space="0" w:color="auto"/>
              <w:left w:val="single" w:sz="6" w:space="0" w:color="auto"/>
              <w:bottom w:val="single" w:sz="6" w:space="0" w:color="auto"/>
              <w:right w:val="single" w:sz="6" w:space="0" w:color="auto"/>
            </w:tcBorders>
          </w:tcPr>
          <w:p w14:paraId="1E04F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 с</w:t>
            </w:r>
          </w:p>
        </w:tc>
        <w:tc>
          <w:tcPr>
            <w:tcW w:w="431" w:type="dxa"/>
            <w:tcBorders>
              <w:top w:val="single" w:sz="6" w:space="0" w:color="auto"/>
              <w:left w:val="single" w:sz="6" w:space="0" w:color="auto"/>
              <w:bottom w:val="single" w:sz="6" w:space="0" w:color="auto"/>
              <w:right w:val="single" w:sz="6" w:space="0" w:color="auto"/>
            </w:tcBorders>
          </w:tcPr>
          <w:p w14:paraId="3FC4F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1463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E08F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690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FED8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кг</w:t>
            </w:r>
          </w:p>
        </w:tc>
        <w:tc>
          <w:tcPr>
            <w:tcW w:w="783" w:type="dxa"/>
            <w:tcBorders>
              <w:top w:val="single" w:sz="6" w:space="0" w:color="auto"/>
              <w:left w:val="single" w:sz="6" w:space="0" w:color="auto"/>
              <w:bottom w:val="single" w:sz="6" w:space="0" w:color="auto"/>
              <w:right w:val="single" w:sz="6" w:space="0" w:color="auto"/>
            </w:tcBorders>
          </w:tcPr>
          <w:p w14:paraId="45C7B7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9E89F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C2A6A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палубная</w:t>
            </w:r>
          </w:p>
        </w:tc>
        <w:tc>
          <w:tcPr>
            <w:tcW w:w="848" w:type="dxa"/>
            <w:tcBorders>
              <w:top w:val="single" w:sz="6" w:space="0" w:color="auto"/>
              <w:left w:val="single" w:sz="6" w:space="0" w:color="auto"/>
              <w:bottom w:val="single" w:sz="6" w:space="0" w:color="auto"/>
              <w:right w:val="single" w:sz="6" w:space="0" w:color="auto"/>
            </w:tcBorders>
          </w:tcPr>
          <w:p w14:paraId="5254B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72C50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A155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w:t>
            </w:r>
          </w:p>
        </w:tc>
        <w:tc>
          <w:tcPr>
            <w:tcW w:w="922" w:type="dxa"/>
            <w:tcBorders>
              <w:top w:val="single" w:sz="6" w:space="0" w:color="auto"/>
              <w:left w:val="single" w:sz="6" w:space="0" w:color="auto"/>
              <w:bottom w:val="single" w:sz="6" w:space="0" w:color="auto"/>
              <w:right w:val="single" w:sz="6" w:space="0" w:color="auto"/>
            </w:tcBorders>
          </w:tcPr>
          <w:p w14:paraId="3F9B0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ABAD0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BCD0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2C5918" w14:textId="77777777" w:rsidTr="00ED5B0A">
        <w:tc>
          <w:tcPr>
            <w:tcW w:w="1242" w:type="dxa"/>
            <w:tcBorders>
              <w:top w:val="single" w:sz="6" w:space="0" w:color="auto"/>
              <w:left w:val="single" w:sz="6" w:space="0" w:color="auto"/>
              <w:bottom w:val="single" w:sz="6" w:space="0" w:color="auto"/>
              <w:right w:val="single" w:sz="6" w:space="0" w:color="auto"/>
            </w:tcBorders>
          </w:tcPr>
          <w:p w14:paraId="4D8D9A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двухскор.</w:t>
            </w:r>
          </w:p>
        </w:tc>
        <w:tc>
          <w:tcPr>
            <w:tcW w:w="431" w:type="dxa"/>
            <w:tcBorders>
              <w:top w:val="single" w:sz="6" w:space="0" w:color="auto"/>
              <w:left w:val="single" w:sz="6" w:space="0" w:color="auto"/>
              <w:bottom w:val="single" w:sz="6" w:space="0" w:color="auto"/>
              <w:right w:val="single" w:sz="6" w:space="0" w:color="auto"/>
            </w:tcBorders>
          </w:tcPr>
          <w:p w14:paraId="4C7A59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CCE98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CC28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D20C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D8A5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w:t>
            </w:r>
          </w:p>
        </w:tc>
        <w:tc>
          <w:tcPr>
            <w:tcW w:w="783" w:type="dxa"/>
            <w:tcBorders>
              <w:top w:val="single" w:sz="6" w:space="0" w:color="auto"/>
              <w:left w:val="single" w:sz="6" w:space="0" w:color="auto"/>
              <w:bottom w:val="single" w:sz="6" w:space="0" w:color="auto"/>
              <w:right w:val="single" w:sz="6" w:space="0" w:color="auto"/>
            </w:tcBorders>
          </w:tcPr>
          <w:p w14:paraId="6EAE5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0699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E8038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77F5F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15D4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1E6C8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задней</w:t>
            </w:r>
          </w:p>
        </w:tc>
        <w:tc>
          <w:tcPr>
            <w:tcW w:w="922" w:type="dxa"/>
            <w:tcBorders>
              <w:top w:val="single" w:sz="6" w:space="0" w:color="auto"/>
              <w:left w:val="single" w:sz="6" w:space="0" w:color="auto"/>
              <w:bottom w:val="single" w:sz="6" w:space="0" w:color="auto"/>
              <w:right w:val="single" w:sz="6" w:space="0" w:color="auto"/>
            </w:tcBorders>
          </w:tcPr>
          <w:p w14:paraId="6DAD58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E2C2D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E45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9C510E" w14:textId="77777777" w:rsidTr="00ED5B0A">
        <w:tc>
          <w:tcPr>
            <w:tcW w:w="1242" w:type="dxa"/>
            <w:tcBorders>
              <w:top w:val="single" w:sz="6" w:space="0" w:color="auto"/>
              <w:left w:val="single" w:sz="6" w:space="0" w:color="auto"/>
              <w:bottom w:val="single" w:sz="6" w:space="0" w:color="auto"/>
              <w:right w:val="single" w:sz="6" w:space="0" w:color="auto"/>
            </w:tcBorders>
          </w:tcPr>
          <w:p w14:paraId="6B62B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w:t>
            </w:r>
          </w:p>
        </w:tc>
        <w:tc>
          <w:tcPr>
            <w:tcW w:w="431" w:type="dxa"/>
            <w:tcBorders>
              <w:top w:val="single" w:sz="6" w:space="0" w:color="auto"/>
              <w:left w:val="single" w:sz="6" w:space="0" w:color="auto"/>
              <w:bottom w:val="single" w:sz="6" w:space="0" w:color="auto"/>
              <w:right w:val="single" w:sz="6" w:space="0" w:color="auto"/>
            </w:tcBorders>
          </w:tcPr>
          <w:p w14:paraId="454FA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1B661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646F0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A8855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B4213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0F34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3FAD1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ED7E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6BA908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4EA4F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9C2C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полусферы</w:t>
            </w:r>
          </w:p>
        </w:tc>
        <w:tc>
          <w:tcPr>
            <w:tcW w:w="922" w:type="dxa"/>
            <w:tcBorders>
              <w:top w:val="single" w:sz="6" w:space="0" w:color="auto"/>
              <w:left w:val="single" w:sz="6" w:space="0" w:color="auto"/>
              <w:bottom w:val="single" w:sz="6" w:space="0" w:color="auto"/>
              <w:right w:val="single" w:sz="6" w:space="0" w:color="auto"/>
            </w:tcBorders>
          </w:tcPr>
          <w:p w14:paraId="30C22A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23F1F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14DE1A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AE3C00" w14:textId="77777777" w:rsidTr="00ED5B0A">
        <w:tc>
          <w:tcPr>
            <w:tcW w:w="1242" w:type="dxa"/>
            <w:tcBorders>
              <w:top w:val="single" w:sz="6" w:space="0" w:color="auto"/>
              <w:left w:val="single" w:sz="6" w:space="0" w:color="auto"/>
              <w:bottom w:val="single" w:sz="6" w:space="0" w:color="auto"/>
              <w:right w:val="single" w:sz="6" w:space="0" w:color="auto"/>
            </w:tcBorders>
          </w:tcPr>
          <w:p w14:paraId="32DE5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16F08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244B10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EB19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F240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36A6A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471E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0A5C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32C0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патр.</w:t>
            </w:r>
          </w:p>
        </w:tc>
        <w:tc>
          <w:tcPr>
            <w:tcW w:w="848" w:type="dxa"/>
            <w:tcBorders>
              <w:top w:val="single" w:sz="6" w:space="0" w:color="auto"/>
              <w:left w:val="single" w:sz="6" w:space="0" w:color="auto"/>
              <w:bottom w:val="single" w:sz="6" w:space="0" w:color="auto"/>
              <w:right w:val="single" w:sz="6" w:space="0" w:color="auto"/>
            </w:tcBorders>
          </w:tcPr>
          <w:p w14:paraId="4B23C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66F6C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B940A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535D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E429F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CDC68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334A9C" w14:textId="77777777" w:rsidTr="00ED5B0A">
        <w:tc>
          <w:tcPr>
            <w:tcW w:w="1242" w:type="dxa"/>
            <w:tcBorders>
              <w:top w:val="single" w:sz="6" w:space="0" w:color="auto"/>
              <w:left w:val="single" w:sz="6" w:space="0" w:color="auto"/>
              <w:bottom w:val="single" w:sz="6" w:space="0" w:color="auto"/>
              <w:right w:val="single" w:sz="6" w:space="0" w:color="auto"/>
            </w:tcBorders>
          </w:tcPr>
          <w:p w14:paraId="4D407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DC36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0BEE2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9972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7B68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D6A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975D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2813C7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9E4B5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w:t>
            </w:r>
          </w:p>
        </w:tc>
        <w:tc>
          <w:tcPr>
            <w:tcW w:w="848" w:type="dxa"/>
            <w:tcBorders>
              <w:top w:val="single" w:sz="6" w:space="0" w:color="auto"/>
              <w:left w:val="single" w:sz="6" w:space="0" w:color="auto"/>
              <w:bottom w:val="single" w:sz="6" w:space="0" w:color="auto"/>
              <w:right w:val="single" w:sz="6" w:space="0" w:color="auto"/>
            </w:tcBorders>
          </w:tcPr>
          <w:p w14:paraId="761A7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71199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CCA52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DB22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09D636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79F5D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11C876" w14:textId="77777777" w:rsidTr="00ED5B0A">
        <w:tc>
          <w:tcPr>
            <w:tcW w:w="1242" w:type="dxa"/>
            <w:tcBorders>
              <w:top w:val="single" w:sz="6" w:space="0" w:color="auto"/>
              <w:left w:val="single" w:sz="6" w:space="0" w:color="auto"/>
              <w:bottom w:val="single" w:sz="6" w:space="0" w:color="auto"/>
              <w:right w:val="single" w:sz="6" w:space="0" w:color="auto"/>
            </w:tcBorders>
          </w:tcPr>
          <w:p w14:paraId="12C22A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3DDD87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76A2C2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D10C7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C11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58AA5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2EB5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7A6D3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B804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w:t>
            </w:r>
          </w:p>
        </w:tc>
        <w:tc>
          <w:tcPr>
            <w:tcW w:w="848" w:type="dxa"/>
            <w:tcBorders>
              <w:top w:val="single" w:sz="6" w:space="0" w:color="auto"/>
              <w:left w:val="single" w:sz="6" w:space="0" w:color="auto"/>
              <w:bottom w:val="single" w:sz="6" w:space="0" w:color="auto"/>
              <w:right w:val="single" w:sz="6" w:space="0" w:color="auto"/>
            </w:tcBorders>
          </w:tcPr>
          <w:p w14:paraId="12F66A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124D9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6D5C5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1F497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F716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C20BD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C36457" w14:textId="77777777" w:rsidTr="00ED5B0A">
        <w:tc>
          <w:tcPr>
            <w:tcW w:w="1242" w:type="dxa"/>
            <w:tcBorders>
              <w:top w:val="single" w:sz="6" w:space="0" w:color="auto"/>
              <w:left w:val="single" w:sz="6" w:space="0" w:color="auto"/>
              <w:bottom w:val="single" w:sz="6" w:space="0" w:color="auto"/>
              <w:right w:val="single" w:sz="6" w:space="0" w:color="auto"/>
            </w:tcBorders>
          </w:tcPr>
          <w:p w14:paraId="28443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5C7D5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4E945D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E6B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9249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B696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677E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11E67D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68E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w:t>
            </w:r>
          </w:p>
        </w:tc>
        <w:tc>
          <w:tcPr>
            <w:tcW w:w="848" w:type="dxa"/>
            <w:tcBorders>
              <w:top w:val="single" w:sz="6" w:space="0" w:color="auto"/>
              <w:left w:val="single" w:sz="6" w:space="0" w:color="auto"/>
              <w:bottom w:val="single" w:sz="6" w:space="0" w:color="auto"/>
              <w:right w:val="single" w:sz="6" w:space="0" w:color="auto"/>
            </w:tcBorders>
          </w:tcPr>
          <w:p w14:paraId="1D093B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0647E5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F2B7C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253B3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3029A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48C766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476192" w14:textId="77777777" w:rsidTr="00ED5B0A">
        <w:tc>
          <w:tcPr>
            <w:tcW w:w="1242" w:type="dxa"/>
            <w:tcBorders>
              <w:top w:val="single" w:sz="6" w:space="0" w:color="auto"/>
              <w:left w:val="single" w:sz="6" w:space="0" w:color="auto"/>
              <w:bottom w:val="single" w:sz="6" w:space="0" w:color="auto"/>
              <w:right w:val="single" w:sz="6" w:space="0" w:color="auto"/>
            </w:tcBorders>
          </w:tcPr>
          <w:p w14:paraId="76ED2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1" w:type="dxa"/>
            <w:tcBorders>
              <w:top w:val="single" w:sz="6" w:space="0" w:color="auto"/>
              <w:left w:val="single" w:sz="6" w:space="0" w:color="auto"/>
              <w:bottom w:val="single" w:sz="6" w:space="0" w:color="auto"/>
              <w:right w:val="single" w:sz="6" w:space="0" w:color="auto"/>
            </w:tcBorders>
          </w:tcPr>
          <w:p w14:paraId="042A5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3" w:type="dxa"/>
            <w:tcBorders>
              <w:top w:val="single" w:sz="6" w:space="0" w:color="auto"/>
              <w:left w:val="single" w:sz="6" w:space="0" w:color="auto"/>
              <w:bottom w:val="single" w:sz="6" w:space="0" w:color="auto"/>
              <w:right w:val="single" w:sz="6" w:space="0" w:color="auto"/>
            </w:tcBorders>
          </w:tcPr>
          <w:p w14:paraId="6670A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D13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4931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A8843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689297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top w:val="single" w:sz="6" w:space="0" w:color="auto"/>
              <w:left w:val="single" w:sz="6" w:space="0" w:color="auto"/>
              <w:bottom w:val="single" w:sz="6" w:space="0" w:color="auto"/>
              <w:right w:val="single" w:sz="6" w:space="0" w:color="auto"/>
            </w:tcBorders>
          </w:tcPr>
          <w:p w14:paraId="5ADD7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DFE5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 патр.</w:t>
            </w:r>
          </w:p>
        </w:tc>
        <w:tc>
          <w:tcPr>
            <w:tcW w:w="848" w:type="dxa"/>
            <w:tcBorders>
              <w:top w:val="single" w:sz="6" w:space="0" w:color="auto"/>
              <w:left w:val="single" w:sz="6" w:space="0" w:color="auto"/>
              <w:bottom w:val="single" w:sz="6" w:space="0" w:color="auto"/>
              <w:right w:val="single" w:sz="6" w:space="0" w:color="auto"/>
            </w:tcBorders>
          </w:tcPr>
          <w:p w14:paraId="2196E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0" w:type="dxa"/>
            <w:tcBorders>
              <w:top w:val="single" w:sz="6" w:space="0" w:color="auto"/>
              <w:left w:val="single" w:sz="6" w:space="0" w:color="auto"/>
              <w:bottom w:val="single" w:sz="6" w:space="0" w:color="auto"/>
              <w:right w:val="single" w:sz="6" w:space="0" w:color="auto"/>
            </w:tcBorders>
          </w:tcPr>
          <w:p w14:paraId="358C2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D01B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0F7C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E288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531FC1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176D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Перечень опытных самолетов и модификаций, прекращаемых строительством в 1943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6452"/>
        <w:gridCol w:w="2268"/>
      </w:tblGrid>
      <w:tr w:rsidR="00A907A5" w:rsidRPr="00271E51" w14:paraId="44F3F995" w14:textId="77777777" w:rsidTr="00ED5B0A">
        <w:tc>
          <w:tcPr>
            <w:tcW w:w="1878" w:type="dxa"/>
          </w:tcPr>
          <w:p w14:paraId="068FC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w:t>
            </w:r>
          </w:p>
        </w:tc>
        <w:tc>
          <w:tcPr>
            <w:tcW w:w="6452" w:type="dxa"/>
          </w:tcPr>
          <w:p w14:paraId="54569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самолета</w:t>
            </w:r>
          </w:p>
        </w:tc>
        <w:tc>
          <w:tcPr>
            <w:tcW w:w="2268" w:type="dxa"/>
          </w:tcPr>
          <w:p w14:paraId="19895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w:t>
            </w:r>
          </w:p>
        </w:tc>
      </w:tr>
      <w:tr w:rsidR="00A907A5" w:rsidRPr="00271E51" w14:paraId="456BA7FE" w14:textId="77777777" w:rsidTr="00ED5B0A">
        <w:tc>
          <w:tcPr>
            <w:tcW w:w="1878" w:type="dxa"/>
          </w:tcPr>
          <w:p w14:paraId="5EBA9C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Поликарпов Н.Н.</w:t>
            </w:r>
          </w:p>
        </w:tc>
        <w:tc>
          <w:tcPr>
            <w:tcW w:w="6452" w:type="dxa"/>
          </w:tcPr>
          <w:p w14:paraId="380541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 двухместный истребитель</w:t>
            </w:r>
          </w:p>
        </w:tc>
        <w:tc>
          <w:tcPr>
            <w:tcW w:w="2268" w:type="dxa"/>
          </w:tcPr>
          <w:p w14:paraId="3CAFF5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25.XI-41 г.</w:t>
            </w:r>
          </w:p>
        </w:tc>
      </w:tr>
      <w:tr w:rsidR="00A907A5" w:rsidRPr="00271E51" w14:paraId="3CF79BBF" w14:textId="77777777" w:rsidTr="00ED5B0A">
        <w:tc>
          <w:tcPr>
            <w:tcW w:w="1878" w:type="dxa"/>
          </w:tcPr>
          <w:p w14:paraId="4E1894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0092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сопровождения "ТИС" с 2-мя</w:t>
            </w:r>
          </w:p>
        </w:tc>
        <w:tc>
          <w:tcPr>
            <w:tcW w:w="2268" w:type="dxa"/>
          </w:tcPr>
          <w:p w14:paraId="1AEE24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431</w:t>
            </w:r>
          </w:p>
        </w:tc>
      </w:tr>
      <w:tr w:rsidR="00A907A5" w:rsidRPr="00271E51" w14:paraId="7E0AB866" w14:textId="77777777" w:rsidTr="00ED5B0A">
        <w:tc>
          <w:tcPr>
            <w:tcW w:w="1878" w:type="dxa"/>
          </w:tcPr>
          <w:p w14:paraId="021ED2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38978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моторами АМ-37; 2-й и 3-й экз.</w:t>
            </w:r>
          </w:p>
        </w:tc>
        <w:tc>
          <w:tcPr>
            <w:tcW w:w="2268" w:type="dxa"/>
          </w:tcPr>
          <w:p w14:paraId="7BE0E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FB75F0" w14:textId="77777777" w:rsidTr="00ED5B0A">
        <w:tc>
          <w:tcPr>
            <w:tcW w:w="1878" w:type="dxa"/>
          </w:tcPr>
          <w:p w14:paraId="7C511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 П.О.</w:t>
            </w:r>
          </w:p>
        </w:tc>
        <w:tc>
          <w:tcPr>
            <w:tcW w:w="6452" w:type="dxa"/>
          </w:tcPr>
          <w:p w14:paraId="4D5F0A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одномоторного</w:t>
            </w:r>
          </w:p>
        </w:tc>
        <w:tc>
          <w:tcPr>
            <w:tcW w:w="2268" w:type="dxa"/>
          </w:tcPr>
          <w:p w14:paraId="522D53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20.I-41 г. и</w:t>
            </w:r>
          </w:p>
        </w:tc>
      </w:tr>
      <w:tr w:rsidR="00A907A5" w:rsidRPr="00271E51" w14:paraId="02F2A530" w14:textId="77777777" w:rsidTr="00ED5B0A">
        <w:tc>
          <w:tcPr>
            <w:tcW w:w="1878" w:type="dxa"/>
          </w:tcPr>
          <w:p w14:paraId="5CE843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560C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бомбардировщика Су-2 под мотор</w:t>
            </w:r>
          </w:p>
        </w:tc>
        <w:tc>
          <w:tcPr>
            <w:tcW w:w="2268" w:type="dxa"/>
          </w:tcPr>
          <w:p w14:paraId="7C0265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15.V.41 г.</w:t>
            </w:r>
          </w:p>
        </w:tc>
      </w:tr>
      <w:tr w:rsidR="00A907A5" w:rsidRPr="00271E51" w14:paraId="2C0270A8" w14:textId="77777777" w:rsidTr="00ED5B0A">
        <w:tc>
          <w:tcPr>
            <w:tcW w:w="1878" w:type="dxa"/>
          </w:tcPr>
          <w:p w14:paraId="31B7D5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48AC4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М-89 с непосредственным</w:t>
            </w:r>
          </w:p>
        </w:tc>
        <w:tc>
          <w:tcPr>
            <w:tcW w:w="2268" w:type="dxa"/>
          </w:tcPr>
          <w:p w14:paraId="0A95B3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1334-547</w:t>
            </w:r>
          </w:p>
        </w:tc>
      </w:tr>
      <w:tr w:rsidR="00A907A5" w:rsidRPr="00271E51" w14:paraId="3E6E580F" w14:textId="77777777" w:rsidTr="00ED5B0A">
        <w:tc>
          <w:tcPr>
            <w:tcW w:w="1878" w:type="dxa"/>
          </w:tcPr>
          <w:p w14:paraId="74A8B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079BF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впрыском 1 экз.</w:t>
            </w:r>
          </w:p>
        </w:tc>
        <w:tc>
          <w:tcPr>
            <w:tcW w:w="2268" w:type="dxa"/>
          </w:tcPr>
          <w:p w14:paraId="05B65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C8AFC3" w14:textId="77777777" w:rsidTr="00ED5B0A">
        <w:tc>
          <w:tcPr>
            <w:tcW w:w="1878" w:type="dxa"/>
          </w:tcPr>
          <w:p w14:paraId="2A34FE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E1C35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одномоторного</w:t>
            </w:r>
          </w:p>
        </w:tc>
        <w:tc>
          <w:tcPr>
            <w:tcW w:w="2268" w:type="dxa"/>
          </w:tcPr>
          <w:p w14:paraId="2B422D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9-10.V-41 г.</w:t>
            </w:r>
          </w:p>
        </w:tc>
      </w:tr>
      <w:tr w:rsidR="00A907A5" w:rsidRPr="00271E51" w14:paraId="7870E98B" w14:textId="77777777" w:rsidTr="00ED5B0A">
        <w:tc>
          <w:tcPr>
            <w:tcW w:w="1878" w:type="dxa"/>
          </w:tcPr>
          <w:p w14:paraId="420B8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06A7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бомбардировщика Су-2 под мотор</w:t>
            </w:r>
          </w:p>
        </w:tc>
        <w:tc>
          <w:tcPr>
            <w:tcW w:w="2268" w:type="dxa"/>
          </w:tcPr>
          <w:p w14:paraId="2065B2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6FD441" w14:textId="77777777" w:rsidTr="00ED5B0A">
        <w:tc>
          <w:tcPr>
            <w:tcW w:w="1878" w:type="dxa"/>
          </w:tcPr>
          <w:p w14:paraId="1EBC76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F0B9F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 1 экз.</w:t>
            </w:r>
          </w:p>
        </w:tc>
        <w:tc>
          <w:tcPr>
            <w:tcW w:w="2268" w:type="dxa"/>
          </w:tcPr>
          <w:p w14:paraId="3C054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98B9EF" w14:textId="77777777" w:rsidTr="00ED5B0A">
        <w:tc>
          <w:tcPr>
            <w:tcW w:w="1878" w:type="dxa"/>
          </w:tcPr>
          <w:p w14:paraId="2A2E9D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9565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того же самолета</w:t>
            </w:r>
          </w:p>
        </w:tc>
        <w:tc>
          <w:tcPr>
            <w:tcW w:w="2268" w:type="dxa"/>
          </w:tcPr>
          <w:p w14:paraId="619D96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25.I-41 г.</w:t>
            </w:r>
          </w:p>
        </w:tc>
      </w:tr>
      <w:tr w:rsidR="00A907A5" w:rsidRPr="00271E51" w14:paraId="54467CDE" w14:textId="77777777" w:rsidTr="00ED5B0A">
        <w:tc>
          <w:tcPr>
            <w:tcW w:w="1878" w:type="dxa"/>
          </w:tcPr>
          <w:p w14:paraId="7F21EC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37F9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 АМ-37 1 экз.</w:t>
            </w:r>
          </w:p>
        </w:tc>
        <w:tc>
          <w:tcPr>
            <w:tcW w:w="2268" w:type="dxa"/>
          </w:tcPr>
          <w:p w14:paraId="60F93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BB1AF4" w14:textId="77777777" w:rsidTr="00ED5B0A">
        <w:tc>
          <w:tcPr>
            <w:tcW w:w="1878" w:type="dxa"/>
          </w:tcPr>
          <w:p w14:paraId="2F3143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Микоян А.И.</w:t>
            </w:r>
          </w:p>
        </w:tc>
        <w:tc>
          <w:tcPr>
            <w:tcW w:w="6452" w:type="dxa"/>
          </w:tcPr>
          <w:p w14:paraId="0FEC6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истребитель</w:t>
            </w:r>
          </w:p>
        </w:tc>
        <w:tc>
          <w:tcPr>
            <w:tcW w:w="2268" w:type="dxa"/>
          </w:tcPr>
          <w:p w14:paraId="7AD4B1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25.XI-40 г.</w:t>
            </w:r>
          </w:p>
        </w:tc>
      </w:tr>
      <w:tr w:rsidR="00A907A5" w:rsidRPr="00271E51" w14:paraId="7162C5B0" w14:textId="77777777" w:rsidTr="00ED5B0A">
        <w:tc>
          <w:tcPr>
            <w:tcW w:w="1878" w:type="dxa"/>
          </w:tcPr>
          <w:p w14:paraId="4105E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AE215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сопровождения ДИС-200 с 2-мя</w:t>
            </w:r>
          </w:p>
        </w:tc>
        <w:tc>
          <w:tcPr>
            <w:tcW w:w="2268" w:type="dxa"/>
          </w:tcPr>
          <w:p w14:paraId="6E6345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430сс</w:t>
            </w:r>
          </w:p>
        </w:tc>
      </w:tr>
      <w:tr w:rsidR="00A907A5" w:rsidRPr="00271E51" w14:paraId="780564B8" w14:textId="77777777" w:rsidTr="00ED5B0A">
        <w:tc>
          <w:tcPr>
            <w:tcW w:w="1878" w:type="dxa"/>
          </w:tcPr>
          <w:p w14:paraId="7546D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A9B66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моторами АМ-37 2 экз.</w:t>
            </w:r>
          </w:p>
        </w:tc>
        <w:tc>
          <w:tcPr>
            <w:tcW w:w="2268" w:type="dxa"/>
          </w:tcPr>
          <w:p w14:paraId="76B77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1D2E54" w14:textId="77777777" w:rsidTr="00ED5B0A">
        <w:tc>
          <w:tcPr>
            <w:tcW w:w="1878" w:type="dxa"/>
          </w:tcPr>
          <w:p w14:paraId="01F5E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27C7F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истребитель</w:t>
            </w:r>
          </w:p>
        </w:tc>
        <w:tc>
          <w:tcPr>
            <w:tcW w:w="2268" w:type="dxa"/>
          </w:tcPr>
          <w:p w14:paraId="0D3F7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C87E5D" w14:textId="77777777" w:rsidTr="00ED5B0A">
        <w:tc>
          <w:tcPr>
            <w:tcW w:w="1878" w:type="dxa"/>
          </w:tcPr>
          <w:p w14:paraId="15871E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BAC5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сопровождения ДИС-200 с 2-мя</w:t>
            </w:r>
          </w:p>
        </w:tc>
        <w:tc>
          <w:tcPr>
            <w:tcW w:w="2268" w:type="dxa"/>
          </w:tcPr>
          <w:p w14:paraId="1C8CD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9EFF3D" w14:textId="77777777" w:rsidTr="00ED5B0A">
        <w:tc>
          <w:tcPr>
            <w:tcW w:w="1878" w:type="dxa"/>
          </w:tcPr>
          <w:p w14:paraId="63A49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D3A86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моторами М-82 1 экз.</w:t>
            </w:r>
          </w:p>
        </w:tc>
        <w:tc>
          <w:tcPr>
            <w:tcW w:w="2268" w:type="dxa"/>
          </w:tcPr>
          <w:p w14:paraId="0954F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164C4D" w14:textId="77777777" w:rsidTr="00ED5B0A">
        <w:tc>
          <w:tcPr>
            <w:tcW w:w="1878" w:type="dxa"/>
          </w:tcPr>
          <w:p w14:paraId="3DB29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Гудков М.И.</w:t>
            </w:r>
          </w:p>
        </w:tc>
        <w:tc>
          <w:tcPr>
            <w:tcW w:w="6452" w:type="dxa"/>
          </w:tcPr>
          <w:p w14:paraId="06D4C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истребителя Лагг-3</w:t>
            </w:r>
          </w:p>
        </w:tc>
        <w:tc>
          <w:tcPr>
            <w:tcW w:w="2268" w:type="dxa"/>
          </w:tcPr>
          <w:p w14:paraId="2BB5E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 марта 41 г.</w:t>
            </w:r>
          </w:p>
        </w:tc>
      </w:tr>
      <w:tr w:rsidR="00A907A5" w:rsidRPr="00271E51" w14:paraId="0D507953" w14:textId="77777777" w:rsidTr="00ED5B0A">
        <w:tc>
          <w:tcPr>
            <w:tcW w:w="1878" w:type="dxa"/>
          </w:tcPr>
          <w:p w14:paraId="5B7A28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8763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пушку ОКБ-16 калибра 37 мм</w:t>
            </w:r>
          </w:p>
        </w:tc>
        <w:tc>
          <w:tcPr>
            <w:tcW w:w="2268" w:type="dxa"/>
          </w:tcPr>
          <w:p w14:paraId="6A926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842B4D" w14:textId="77777777" w:rsidTr="00ED5B0A">
        <w:tc>
          <w:tcPr>
            <w:tcW w:w="1878" w:type="dxa"/>
          </w:tcPr>
          <w:p w14:paraId="634B1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2CBC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экз.</w:t>
            </w:r>
          </w:p>
        </w:tc>
        <w:tc>
          <w:tcPr>
            <w:tcW w:w="2268" w:type="dxa"/>
          </w:tcPr>
          <w:p w14:paraId="6F6BB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7A75DD" w14:textId="77777777" w:rsidTr="00ED5B0A">
        <w:tc>
          <w:tcPr>
            <w:tcW w:w="1878" w:type="dxa"/>
          </w:tcPr>
          <w:p w14:paraId="737DE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F9E6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истребитель</w:t>
            </w:r>
          </w:p>
        </w:tc>
        <w:tc>
          <w:tcPr>
            <w:tcW w:w="2268" w:type="dxa"/>
          </w:tcPr>
          <w:p w14:paraId="3BB5E7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31.Х-40 г.</w:t>
            </w:r>
          </w:p>
        </w:tc>
      </w:tr>
      <w:tr w:rsidR="00A907A5" w:rsidRPr="00271E51" w14:paraId="31B6D1F7" w14:textId="77777777" w:rsidTr="00ED5B0A">
        <w:tc>
          <w:tcPr>
            <w:tcW w:w="1878" w:type="dxa"/>
          </w:tcPr>
          <w:p w14:paraId="110882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0E7A4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"Аэрокобра" с мотором АМ-37</w:t>
            </w:r>
          </w:p>
        </w:tc>
        <w:tc>
          <w:tcPr>
            <w:tcW w:w="2268" w:type="dxa"/>
          </w:tcPr>
          <w:p w14:paraId="0356BD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418сс</w:t>
            </w:r>
          </w:p>
        </w:tc>
      </w:tr>
      <w:tr w:rsidR="00A907A5" w:rsidRPr="00271E51" w14:paraId="527B65A6" w14:textId="77777777" w:rsidTr="00ED5B0A">
        <w:tc>
          <w:tcPr>
            <w:tcW w:w="1878" w:type="dxa"/>
          </w:tcPr>
          <w:p w14:paraId="4DA1B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FA37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экз.</w:t>
            </w:r>
          </w:p>
        </w:tc>
        <w:tc>
          <w:tcPr>
            <w:tcW w:w="2268" w:type="dxa"/>
          </w:tcPr>
          <w:p w14:paraId="4D946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F6F5AF" w14:textId="77777777" w:rsidTr="00ED5B0A">
        <w:tc>
          <w:tcPr>
            <w:tcW w:w="1878" w:type="dxa"/>
          </w:tcPr>
          <w:p w14:paraId="62F77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Грушин П.Д.</w:t>
            </w:r>
          </w:p>
        </w:tc>
        <w:tc>
          <w:tcPr>
            <w:tcW w:w="6452" w:type="dxa"/>
          </w:tcPr>
          <w:p w14:paraId="4A4BE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Двухмоторный одноместный</w:t>
            </w:r>
          </w:p>
        </w:tc>
        <w:tc>
          <w:tcPr>
            <w:tcW w:w="2268" w:type="dxa"/>
          </w:tcPr>
          <w:p w14:paraId="5D8EC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16.IV-41 г.</w:t>
            </w:r>
          </w:p>
        </w:tc>
      </w:tr>
      <w:tr w:rsidR="00A907A5" w:rsidRPr="00271E51" w14:paraId="6FC23271" w14:textId="77777777" w:rsidTr="00ED5B0A">
        <w:tc>
          <w:tcPr>
            <w:tcW w:w="1878" w:type="dxa"/>
          </w:tcPr>
          <w:p w14:paraId="453C0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B2D4C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истребитель сопровождения с</w:t>
            </w:r>
          </w:p>
        </w:tc>
        <w:tc>
          <w:tcPr>
            <w:tcW w:w="2268" w:type="dxa"/>
          </w:tcPr>
          <w:p w14:paraId="03CD2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1021-416сс</w:t>
            </w:r>
          </w:p>
        </w:tc>
      </w:tr>
      <w:tr w:rsidR="00A907A5" w:rsidRPr="00271E51" w14:paraId="0802F3D6" w14:textId="77777777" w:rsidTr="00ED5B0A">
        <w:tc>
          <w:tcPr>
            <w:tcW w:w="1878" w:type="dxa"/>
          </w:tcPr>
          <w:p w14:paraId="08161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1807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моторами АМ-37 2 экз.</w:t>
            </w:r>
          </w:p>
        </w:tc>
        <w:tc>
          <w:tcPr>
            <w:tcW w:w="2268" w:type="dxa"/>
          </w:tcPr>
          <w:p w14:paraId="47E06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E939D6" w14:textId="77777777" w:rsidTr="00ED5B0A">
        <w:tc>
          <w:tcPr>
            <w:tcW w:w="1878" w:type="dxa"/>
          </w:tcPr>
          <w:p w14:paraId="74511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Лавочкин С.А.</w:t>
            </w:r>
          </w:p>
        </w:tc>
        <w:tc>
          <w:tcPr>
            <w:tcW w:w="6452" w:type="dxa"/>
          </w:tcPr>
          <w:p w14:paraId="670912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истребителя Лагг-3</w:t>
            </w:r>
          </w:p>
        </w:tc>
        <w:tc>
          <w:tcPr>
            <w:tcW w:w="2268" w:type="dxa"/>
          </w:tcPr>
          <w:p w14:paraId="621B00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16.IV-41 г.</w:t>
            </w:r>
          </w:p>
        </w:tc>
      </w:tr>
      <w:tr w:rsidR="00A907A5" w:rsidRPr="00271E51" w14:paraId="03A2DD39" w14:textId="77777777" w:rsidTr="00ED5B0A">
        <w:tc>
          <w:tcPr>
            <w:tcW w:w="1878" w:type="dxa"/>
          </w:tcPr>
          <w:p w14:paraId="4E5CA8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3CB37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 М-105П с нагнетателем</w:t>
            </w:r>
          </w:p>
        </w:tc>
        <w:tc>
          <w:tcPr>
            <w:tcW w:w="2268" w:type="dxa"/>
          </w:tcPr>
          <w:p w14:paraId="3615F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1017-412сс</w:t>
            </w:r>
          </w:p>
        </w:tc>
      </w:tr>
      <w:tr w:rsidR="00A907A5" w:rsidRPr="00271E51" w14:paraId="5B72FC04" w14:textId="77777777" w:rsidTr="00ED5B0A">
        <w:tc>
          <w:tcPr>
            <w:tcW w:w="1878" w:type="dxa"/>
          </w:tcPr>
          <w:p w14:paraId="1A0D9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60D5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Трескина и с герметической</w:t>
            </w:r>
          </w:p>
        </w:tc>
        <w:tc>
          <w:tcPr>
            <w:tcW w:w="2268" w:type="dxa"/>
          </w:tcPr>
          <w:p w14:paraId="17D4D8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495B6C" w14:textId="77777777" w:rsidTr="00ED5B0A">
        <w:tc>
          <w:tcPr>
            <w:tcW w:w="1878" w:type="dxa"/>
          </w:tcPr>
          <w:p w14:paraId="653B03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401AA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кабиной 1 экз.</w:t>
            </w:r>
          </w:p>
        </w:tc>
        <w:tc>
          <w:tcPr>
            <w:tcW w:w="2268" w:type="dxa"/>
          </w:tcPr>
          <w:p w14:paraId="6EFD8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7D1740" w14:textId="77777777" w:rsidTr="00ED5B0A">
        <w:tc>
          <w:tcPr>
            <w:tcW w:w="1878" w:type="dxa"/>
          </w:tcPr>
          <w:p w14:paraId="0C450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ECE04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истребителя Лагг-3</w:t>
            </w:r>
          </w:p>
        </w:tc>
        <w:tc>
          <w:tcPr>
            <w:tcW w:w="2268" w:type="dxa"/>
          </w:tcPr>
          <w:p w14:paraId="5083E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16.IV-41 г.</w:t>
            </w:r>
          </w:p>
        </w:tc>
      </w:tr>
      <w:tr w:rsidR="00A907A5" w:rsidRPr="00271E51" w14:paraId="74E3CDD8" w14:textId="77777777" w:rsidTr="00ED5B0A">
        <w:tc>
          <w:tcPr>
            <w:tcW w:w="1878" w:type="dxa"/>
          </w:tcPr>
          <w:p w14:paraId="09F1DF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F0F3E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 М-107 2 экз.</w:t>
            </w:r>
          </w:p>
        </w:tc>
        <w:tc>
          <w:tcPr>
            <w:tcW w:w="2268" w:type="dxa"/>
          </w:tcPr>
          <w:p w14:paraId="26F089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1018-415сс</w:t>
            </w:r>
          </w:p>
        </w:tc>
      </w:tr>
      <w:tr w:rsidR="00A907A5" w:rsidRPr="00271E51" w14:paraId="0E02B0C4" w14:textId="77777777" w:rsidTr="00ED5B0A">
        <w:tc>
          <w:tcPr>
            <w:tcW w:w="1878" w:type="dxa"/>
          </w:tcPr>
          <w:p w14:paraId="625CD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 С.В.</w:t>
            </w:r>
          </w:p>
        </w:tc>
        <w:tc>
          <w:tcPr>
            <w:tcW w:w="6452" w:type="dxa"/>
          </w:tcPr>
          <w:p w14:paraId="1F9C8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 бомбардировщик ДБ-4 с</w:t>
            </w:r>
          </w:p>
        </w:tc>
        <w:tc>
          <w:tcPr>
            <w:tcW w:w="2268" w:type="dxa"/>
          </w:tcPr>
          <w:p w14:paraId="535C1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7.VIII-40 г.</w:t>
            </w:r>
          </w:p>
        </w:tc>
      </w:tr>
      <w:tr w:rsidR="00A907A5" w:rsidRPr="00271E51" w14:paraId="5B9441E7" w14:textId="77777777" w:rsidTr="00ED5B0A">
        <w:tc>
          <w:tcPr>
            <w:tcW w:w="1878" w:type="dxa"/>
          </w:tcPr>
          <w:p w14:paraId="184400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03C303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моторами Ам-37 2 экз.</w:t>
            </w:r>
          </w:p>
        </w:tc>
        <w:tc>
          <w:tcPr>
            <w:tcW w:w="2268" w:type="dxa"/>
          </w:tcPr>
          <w:p w14:paraId="6B66A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266сс</w:t>
            </w:r>
          </w:p>
        </w:tc>
      </w:tr>
      <w:tr w:rsidR="00A907A5" w:rsidRPr="00271E51" w14:paraId="497FC393" w14:textId="77777777" w:rsidTr="00ED5B0A">
        <w:tc>
          <w:tcPr>
            <w:tcW w:w="1878" w:type="dxa"/>
          </w:tcPr>
          <w:p w14:paraId="61B10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6095F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самолета Ил-4 с</w:t>
            </w:r>
          </w:p>
        </w:tc>
        <w:tc>
          <w:tcPr>
            <w:tcW w:w="2268" w:type="dxa"/>
          </w:tcPr>
          <w:p w14:paraId="737AC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12.XI-42 г.</w:t>
            </w:r>
          </w:p>
        </w:tc>
      </w:tr>
      <w:tr w:rsidR="00A907A5" w:rsidRPr="00271E51" w14:paraId="1DB0AFBA" w14:textId="77777777" w:rsidTr="00ED5B0A">
        <w:tc>
          <w:tcPr>
            <w:tcW w:w="1878" w:type="dxa"/>
          </w:tcPr>
          <w:p w14:paraId="457EB0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8440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2М-88 в варианте высотного</w:t>
            </w:r>
          </w:p>
        </w:tc>
        <w:tc>
          <w:tcPr>
            <w:tcW w:w="2268" w:type="dxa"/>
          </w:tcPr>
          <w:p w14:paraId="53FFF6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2504сс</w:t>
            </w:r>
          </w:p>
        </w:tc>
      </w:tr>
      <w:tr w:rsidR="00A907A5" w:rsidRPr="00271E51" w14:paraId="36D22C7D" w14:textId="77777777" w:rsidTr="00ED5B0A">
        <w:tc>
          <w:tcPr>
            <w:tcW w:w="1878" w:type="dxa"/>
          </w:tcPr>
          <w:p w14:paraId="1E522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192E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бомбардировщика 3-й экз.</w:t>
            </w:r>
          </w:p>
        </w:tc>
        <w:tc>
          <w:tcPr>
            <w:tcW w:w="2268" w:type="dxa"/>
          </w:tcPr>
          <w:p w14:paraId="0AAD56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0D2551" w14:textId="77777777" w:rsidTr="00ED5B0A">
        <w:tc>
          <w:tcPr>
            <w:tcW w:w="1878" w:type="dxa"/>
          </w:tcPr>
          <w:p w14:paraId="380198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Путилов А.И.</w:t>
            </w:r>
          </w:p>
        </w:tc>
        <w:tc>
          <w:tcPr>
            <w:tcW w:w="6452" w:type="dxa"/>
          </w:tcPr>
          <w:p w14:paraId="304209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Высотный бомбардировщик ВБ-100</w:t>
            </w:r>
          </w:p>
        </w:tc>
        <w:tc>
          <w:tcPr>
            <w:tcW w:w="2268" w:type="dxa"/>
          </w:tcPr>
          <w:p w14:paraId="70738D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5.IV-41 г.</w:t>
            </w:r>
          </w:p>
        </w:tc>
      </w:tr>
      <w:tr w:rsidR="00A907A5" w:rsidRPr="00271E51" w14:paraId="73C4B059" w14:textId="77777777" w:rsidTr="00ED5B0A">
        <w:tc>
          <w:tcPr>
            <w:tcW w:w="1878" w:type="dxa"/>
          </w:tcPr>
          <w:p w14:paraId="3F5D67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D538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2-мя моторами М-105ПФ, с</w:t>
            </w:r>
          </w:p>
        </w:tc>
        <w:tc>
          <w:tcPr>
            <w:tcW w:w="2268" w:type="dxa"/>
          </w:tcPr>
          <w:p w14:paraId="08064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9FE76D" w14:textId="77777777" w:rsidTr="00ED5B0A">
        <w:tc>
          <w:tcPr>
            <w:tcW w:w="1878" w:type="dxa"/>
          </w:tcPr>
          <w:p w14:paraId="5BAE2A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3935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герметической кабиной, модификац.</w:t>
            </w:r>
          </w:p>
        </w:tc>
        <w:tc>
          <w:tcPr>
            <w:tcW w:w="2268" w:type="dxa"/>
          </w:tcPr>
          <w:p w14:paraId="06B54E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4B3BCA" w14:textId="77777777" w:rsidTr="00ED5B0A">
        <w:tc>
          <w:tcPr>
            <w:tcW w:w="1878" w:type="dxa"/>
          </w:tcPr>
          <w:p w14:paraId="357E2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438D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 Пе-2 5 экз.</w:t>
            </w:r>
          </w:p>
        </w:tc>
        <w:tc>
          <w:tcPr>
            <w:tcW w:w="2268" w:type="dxa"/>
          </w:tcPr>
          <w:p w14:paraId="529BC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BA7CE7" w14:textId="77777777" w:rsidTr="00ED5B0A">
        <w:tc>
          <w:tcPr>
            <w:tcW w:w="1878" w:type="dxa"/>
          </w:tcPr>
          <w:p w14:paraId="2D4183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5536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Высотный истребитель ВИ-100 с</w:t>
            </w:r>
          </w:p>
        </w:tc>
        <w:tc>
          <w:tcPr>
            <w:tcW w:w="2268" w:type="dxa"/>
          </w:tcPr>
          <w:p w14:paraId="2B657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5.IV-41 г.</w:t>
            </w:r>
          </w:p>
        </w:tc>
      </w:tr>
      <w:tr w:rsidR="00A907A5" w:rsidRPr="00271E51" w14:paraId="6EB42388" w14:textId="77777777" w:rsidTr="00ED5B0A">
        <w:tc>
          <w:tcPr>
            <w:tcW w:w="1878" w:type="dxa"/>
          </w:tcPr>
          <w:p w14:paraId="6056AE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8841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2-мя моторами М-105Ф с герметич.</w:t>
            </w:r>
          </w:p>
        </w:tc>
        <w:tc>
          <w:tcPr>
            <w:tcW w:w="2268" w:type="dxa"/>
          </w:tcPr>
          <w:p w14:paraId="7D7AE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DB03EF" w14:textId="77777777" w:rsidTr="00ED5B0A">
        <w:tc>
          <w:tcPr>
            <w:tcW w:w="1878" w:type="dxa"/>
          </w:tcPr>
          <w:p w14:paraId="0FC419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11EE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кабинами, модификация самолета</w:t>
            </w:r>
          </w:p>
        </w:tc>
        <w:tc>
          <w:tcPr>
            <w:tcW w:w="2268" w:type="dxa"/>
          </w:tcPr>
          <w:p w14:paraId="49C48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EF93DE" w14:textId="77777777" w:rsidTr="00ED5B0A">
        <w:tc>
          <w:tcPr>
            <w:tcW w:w="1878" w:type="dxa"/>
          </w:tcPr>
          <w:p w14:paraId="5432A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7932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5 экз.</w:t>
            </w:r>
          </w:p>
        </w:tc>
        <w:tc>
          <w:tcPr>
            <w:tcW w:w="2268" w:type="dxa"/>
          </w:tcPr>
          <w:p w14:paraId="234F15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5A6F92" w14:textId="77777777" w:rsidTr="00ED5B0A">
        <w:tc>
          <w:tcPr>
            <w:tcW w:w="1878" w:type="dxa"/>
          </w:tcPr>
          <w:p w14:paraId="21086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B7226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самолета Пе-2 под</w:t>
            </w:r>
          </w:p>
        </w:tc>
        <w:tc>
          <w:tcPr>
            <w:tcW w:w="2268" w:type="dxa"/>
          </w:tcPr>
          <w:p w14:paraId="453E2D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25.IX-42 г.</w:t>
            </w:r>
          </w:p>
        </w:tc>
      </w:tr>
      <w:tr w:rsidR="00A907A5" w:rsidRPr="00271E51" w14:paraId="0AB71A83" w14:textId="77777777" w:rsidTr="00ED5B0A">
        <w:tc>
          <w:tcPr>
            <w:tcW w:w="1878" w:type="dxa"/>
          </w:tcPr>
          <w:p w14:paraId="11774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73588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М-107А 2-й и 3-й экз.</w:t>
            </w:r>
          </w:p>
        </w:tc>
        <w:tc>
          <w:tcPr>
            <w:tcW w:w="2268" w:type="dxa"/>
          </w:tcPr>
          <w:p w14:paraId="4BB570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ГОКО-2346сс</w:t>
            </w:r>
          </w:p>
        </w:tc>
      </w:tr>
      <w:tr w:rsidR="00A907A5" w:rsidRPr="00271E51" w14:paraId="6973696B" w14:textId="77777777" w:rsidTr="00ED5B0A">
        <w:tc>
          <w:tcPr>
            <w:tcW w:w="1878" w:type="dxa"/>
          </w:tcPr>
          <w:p w14:paraId="2D80D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Кочеригин С.А.</w:t>
            </w:r>
          </w:p>
        </w:tc>
        <w:tc>
          <w:tcPr>
            <w:tcW w:w="6452" w:type="dxa"/>
          </w:tcPr>
          <w:p w14:paraId="432D68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пикирующий</w:t>
            </w:r>
          </w:p>
        </w:tc>
        <w:tc>
          <w:tcPr>
            <w:tcW w:w="2268" w:type="dxa"/>
          </w:tcPr>
          <w:p w14:paraId="40146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7.VIII-40 г.</w:t>
            </w:r>
          </w:p>
        </w:tc>
      </w:tr>
      <w:tr w:rsidR="00A907A5" w:rsidRPr="00271E51" w14:paraId="16ADF2A8" w14:textId="77777777" w:rsidTr="00ED5B0A">
        <w:tc>
          <w:tcPr>
            <w:tcW w:w="1878" w:type="dxa"/>
          </w:tcPr>
          <w:p w14:paraId="0BA02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9C9C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 с мотором М-90</w:t>
            </w:r>
          </w:p>
        </w:tc>
        <w:tc>
          <w:tcPr>
            <w:tcW w:w="2268" w:type="dxa"/>
          </w:tcPr>
          <w:p w14:paraId="6E282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342сс</w:t>
            </w:r>
          </w:p>
        </w:tc>
      </w:tr>
      <w:tr w:rsidR="00A907A5" w:rsidRPr="00271E51" w14:paraId="1C0D7403" w14:textId="77777777" w:rsidTr="00ED5B0A">
        <w:tc>
          <w:tcPr>
            <w:tcW w:w="1878" w:type="dxa"/>
          </w:tcPr>
          <w:p w14:paraId="2A42D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607962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экз.</w:t>
            </w:r>
          </w:p>
        </w:tc>
        <w:tc>
          <w:tcPr>
            <w:tcW w:w="2268" w:type="dxa"/>
          </w:tcPr>
          <w:p w14:paraId="2BBA10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E91A89" w14:textId="77777777" w:rsidTr="00ED5B0A">
        <w:tc>
          <w:tcPr>
            <w:tcW w:w="1878" w:type="dxa"/>
          </w:tcPr>
          <w:p w14:paraId="4B286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Архангельский А.А.</w:t>
            </w:r>
          </w:p>
        </w:tc>
        <w:tc>
          <w:tcPr>
            <w:tcW w:w="6452" w:type="dxa"/>
          </w:tcPr>
          <w:p w14:paraId="676A84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Двухмоторный бомбардировщик СБ</w:t>
            </w:r>
          </w:p>
        </w:tc>
        <w:tc>
          <w:tcPr>
            <w:tcW w:w="2268" w:type="dxa"/>
          </w:tcPr>
          <w:p w14:paraId="7C5DFE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4.III-40 г.</w:t>
            </w:r>
          </w:p>
        </w:tc>
      </w:tr>
      <w:tr w:rsidR="00A907A5" w:rsidRPr="00271E51" w14:paraId="114FDFA4" w14:textId="77777777" w:rsidTr="00ED5B0A">
        <w:tc>
          <w:tcPr>
            <w:tcW w:w="1878" w:type="dxa"/>
          </w:tcPr>
          <w:p w14:paraId="55ABC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A386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 моторами М-105ТК 1 экз.</w:t>
            </w:r>
          </w:p>
        </w:tc>
        <w:tc>
          <w:tcPr>
            <w:tcW w:w="2268" w:type="dxa"/>
          </w:tcPr>
          <w:p w14:paraId="21A6A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108сс</w:t>
            </w:r>
          </w:p>
        </w:tc>
      </w:tr>
      <w:tr w:rsidR="00A907A5" w:rsidRPr="00271E51" w14:paraId="4C45B4A8" w14:textId="77777777" w:rsidTr="00ED5B0A">
        <w:tc>
          <w:tcPr>
            <w:tcW w:w="1878" w:type="dxa"/>
          </w:tcPr>
          <w:p w14:paraId="40435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И.П.</w:t>
            </w:r>
          </w:p>
        </w:tc>
        <w:tc>
          <w:tcPr>
            <w:tcW w:w="6452" w:type="dxa"/>
          </w:tcPr>
          <w:p w14:paraId="71BEBE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самолета ПС-84 с</w:t>
            </w:r>
          </w:p>
        </w:tc>
        <w:tc>
          <w:tcPr>
            <w:tcW w:w="2268" w:type="dxa"/>
          </w:tcPr>
          <w:p w14:paraId="3D965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18.III-41 г.</w:t>
            </w:r>
          </w:p>
        </w:tc>
      </w:tr>
      <w:tr w:rsidR="00A907A5" w:rsidRPr="00271E51" w14:paraId="05CC1151" w14:textId="77777777" w:rsidTr="00ED5B0A">
        <w:tc>
          <w:tcPr>
            <w:tcW w:w="1878" w:type="dxa"/>
          </w:tcPr>
          <w:p w14:paraId="29307F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4917B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дизель-моторами М-30 в варианте</w:t>
            </w:r>
          </w:p>
        </w:tc>
        <w:tc>
          <w:tcPr>
            <w:tcW w:w="2268" w:type="dxa"/>
          </w:tcPr>
          <w:p w14:paraId="1C370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1B3634" w14:textId="77777777" w:rsidTr="00ED5B0A">
        <w:tc>
          <w:tcPr>
            <w:tcW w:w="1878" w:type="dxa"/>
          </w:tcPr>
          <w:p w14:paraId="00C0F3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054A0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бомбардировщика 2 экз.</w:t>
            </w:r>
          </w:p>
        </w:tc>
        <w:tc>
          <w:tcPr>
            <w:tcW w:w="2268" w:type="dxa"/>
          </w:tcPr>
          <w:p w14:paraId="035E9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FC567F" w14:textId="77777777" w:rsidTr="00ED5B0A">
        <w:tc>
          <w:tcPr>
            <w:tcW w:w="1878" w:type="dxa"/>
          </w:tcPr>
          <w:p w14:paraId="54FB3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 А.С.</w:t>
            </w:r>
          </w:p>
        </w:tc>
        <w:tc>
          <w:tcPr>
            <w:tcW w:w="6452" w:type="dxa"/>
          </w:tcPr>
          <w:p w14:paraId="45C510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тяжелый истребитель</w:t>
            </w:r>
          </w:p>
        </w:tc>
        <w:tc>
          <w:tcPr>
            <w:tcW w:w="2268" w:type="dxa"/>
          </w:tcPr>
          <w:p w14:paraId="34283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16.IV-41 г.</w:t>
            </w:r>
          </w:p>
        </w:tc>
      </w:tr>
      <w:tr w:rsidR="00A907A5" w:rsidRPr="00271E51" w14:paraId="1F5E0FDF" w14:textId="77777777" w:rsidTr="00ED5B0A">
        <w:tc>
          <w:tcPr>
            <w:tcW w:w="1878" w:type="dxa"/>
          </w:tcPr>
          <w:p w14:paraId="3C8F09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567D7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мотором МБ-100 2 экз.</w:t>
            </w:r>
          </w:p>
        </w:tc>
        <w:tc>
          <w:tcPr>
            <w:tcW w:w="2268" w:type="dxa"/>
          </w:tcPr>
          <w:p w14:paraId="25789E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1022-417сс</w:t>
            </w:r>
          </w:p>
        </w:tc>
      </w:tr>
      <w:tr w:rsidR="00A907A5" w:rsidRPr="00271E51" w14:paraId="4F8B5B85" w14:textId="77777777" w:rsidTr="00ED5B0A">
        <w:tc>
          <w:tcPr>
            <w:tcW w:w="1878" w:type="dxa"/>
          </w:tcPr>
          <w:p w14:paraId="7693A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9D35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истребителя Як-7</w:t>
            </w:r>
          </w:p>
        </w:tc>
        <w:tc>
          <w:tcPr>
            <w:tcW w:w="2268" w:type="dxa"/>
          </w:tcPr>
          <w:p w14:paraId="5AD59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9.V и 10.V-41 г.</w:t>
            </w:r>
          </w:p>
        </w:tc>
      </w:tr>
      <w:tr w:rsidR="00A907A5" w:rsidRPr="00271E51" w14:paraId="1EE97D35" w14:textId="77777777" w:rsidTr="00ED5B0A">
        <w:tc>
          <w:tcPr>
            <w:tcW w:w="1878" w:type="dxa"/>
          </w:tcPr>
          <w:p w14:paraId="3042E8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11CE8D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мотором М-82 2 экз.</w:t>
            </w:r>
          </w:p>
        </w:tc>
        <w:tc>
          <w:tcPr>
            <w:tcW w:w="2268" w:type="dxa"/>
          </w:tcPr>
          <w:p w14:paraId="3C297E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A7D462" w14:textId="77777777" w:rsidTr="00ED5B0A">
        <w:tc>
          <w:tcPr>
            <w:tcW w:w="1878" w:type="dxa"/>
          </w:tcPr>
          <w:p w14:paraId="7E752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0B59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истребителя Як-1</w:t>
            </w:r>
          </w:p>
        </w:tc>
        <w:tc>
          <w:tcPr>
            <w:tcW w:w="2268" w:type="dxa"/>
          </w:tcPr>
          <w:p w14:paraId="01442E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9.XII-42 г.</w:t>
            </w:r>
          </w:p>
        </w:tc>
      </w:tr>
      <w:tr w:rsidR="00A907A5" w:rsidRPr="00271E51" w14:paraId="6CEE735A" w14:textId="77777777" w:rsidTr="00ED5B0A">
        <w:tc>
          <w:tcPr>
            <w:tcW w:w="1878" w:type="dxa"/>
          </w:tcPr>
          <w:p w14:paraId="548B92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098A1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мотор М-106П с двухскорост.</w:t>
            </w:r>
          </w:p>
        </w:tc>
        <w:tc>
          <w:tcPr>
            <w:tcW w:w="2268" w:type="dxa"/>
          </w:tcPr>
          <w:p w14:paraId="1262A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ГОКО-2603</w:t>
            </w:r>
          </w:p>
        </w:tc>
      </w:tr>
      <w:tr w:rsidR="00A907A5" w:rsidRPr="00271E51" w14:paraId="4A92C929" w14:textId="77777777" w:rsidTr="00ED5B0A">
        <w:tc>
          <w:tcPr>
            <w:tcW w:w="1878" w:type="dxa"/>
          </w:tcPr>
          <w:p w14:paraId="12CC4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41AEBC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нагнетателем с уменьшенным крылом</w:t>
            </w:r>
          </w:p>
        </w:tc>
        <w:tc>
          <w:tcPr>
            <w:tcW w:w="2268" w:type="dxa"/>
          </w:tcPr>
          <w:p w14:paraId="677D3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B80A12" w14:textId="77777777" w:rsidTr="00ED5B0A">
        <w:tc>
          <w:tcPr>
            <w:tcW w:w="1878" w:type="dxa"/>
          </w:tcPr>
          <w:p w14:paraId="7C3BF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244B8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облегченным полетным весом до</w:t>
            </w:r>
          </w:p>
        </w:tc>
        <w:tc>
          <w:tcPr>
            <w:tcW w:w="2268" w:type="dxa"/>
          </w:tcPr>
          <w:p w14:paraId="7FBE5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F283C0" w14:textId="77777777" w:rsidTr="00ED5B0A">
        <w:tc>
          <w:tcPr>
            <w:tcW w:w="1878" w:type="dxa"/>
          </w:tcPr>
          <w:p w14:paraId="06671F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D37A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2690 кг 2 экз.</w:t>
            </w:r>
          </w:p>
        </w:tc>
        <w:tc>
          <w:tcPr>
            <w:tcW w:w="2268" w:type="dxa"/>
          </w:tcPr>
          <w:p w14:paraId="1B8B8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36856E" w14:textId="77777777" w:rsidTr="00ED5B0A">
        <w:tc>
          <w:tcPr>
            <w:tcW w:w="1878" w:type="dxa"/>
          </w:tcPr>
          <w:p w14:paraId="5FB54E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Д.П.</w:t>
            </w:r>
          </w:p>
        </w:tc>
        <w:tc>
          <w:tcPr>
            <w:tcW w:w="6452" w:type="dxa"/>
          </w:tcPr>
          <w:p w14:paraId="4993E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истребитель "110" с</w:t>
            </w:r>
          </w:p>
        </w:tc>
        <w:tc>
          <w:tcPr>
            <w:tcW w:w="2268" w:type="dxa"/>
          </w:tcPr>
          <w:p w14:paraId="4A174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XII-40 г.</w:t>
            </w:r>
          </w:p>
        </w:tc>
      </w:tr>
      <w:tr w:rsidR="00A907A5" w:rsidRPr="00271E51" w14:paraId="5C04D23A" w14:textId="77777777" w:rsidTr="00ED5B0A">
        <w:tc>
          <w:tcPr>
            <w:tcW w:w="1878" w:type="dxa"/>
          </w:tcPr>
          <w:p w14:paraId="3BA9D7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7DAC04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мотором М-107 1 экз.</w:t>
            </w:r>
          </w:p>
        </w:tc>
        <w:tc>
          <w:tcPr>
            <w:tcW w:w="2268" w:type="dxa"/>
          </w:tcPr>
          <w:p w14:paraId="4B461E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999098" w14:textId="77777777" w:rsidTr="00ED5B0A">
        <w:tc>
          <w:tcPr>
            <w:tcW w:w="1878" w:type="dxa"/>
          </w:tcPr>
          <w:p w14:paraId="4001D0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-Ефремов</w:t>
            </w:r>
          </w:p>
        </w:tc>
        <w:tc>
          <w:tcPr>
            <w:tcW w:w="6452" w:type="dxa"/>
          </w:tcPr>
          <w:p w14:paraId="20ADE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Пе-2 со специальными</w:t>
            </w:r>
          </w:p>
        </w:tc>
        <w:tc>
          <w:tcPr>
            <w:tcW w:w="2268" w:type="dxa"/>
          </w:tcPr>
          <w:p w14:paraId="4A9E2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14.VIII-41 г.</w:t>
            </w:r>
          </w:p>
        </w:tc>
      </w:tr>
      <w:tr w:rsidR="00A907A5" w:rsidRPr="00271E51" w14:paraId="39CD0AE7" w14:textId="77777777" w:rsidTr="00ED5B0A">
        <w:tc>
          <w:tcPr>
            <w:tcW w:w="1878" w:type="dxa"/>
          </w:tcPr>
          <w:p w14:paraId="0E4CE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80247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взлетно-посадочными</w:t>
            </w:r>
          </w:p>
        </w:tc>
        <w:tc>
          <w:tcPr>
            <w:tcW w:w="2268" w:type="dxa"/>
          </w:tcPr>
          <w:p w14:paraId="4A6C5A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ГОКО-480сс</w:t>
            </w:r>
          </w:p>
        </w:tc>
      </w:tr>
      <w:tr w:rsidR="00A907A5" w:rsidRPr="00271E51" w14:paraId="77E9F8F0" w14:textId="77777777" w:rsidTr="00ED5B0A">
        <w:tc>
          <w:tcPr>
            <w:tcW w:w="1878" w:type="dxa"/>
          </w:tcPr>
          <w:p w14:paraId="0A281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F401B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приспособлениями 1 экз.</w:t>
            </w:r>
          </w:p>
        </w:tc>
        <w:tc>
          <w:tcPr>
            <w:tcW w:w="2268" w:type="dxa"/>
          </w:tcPr>
          <w:p w14:paraId="1965F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AF8068" w14:textId="77777777" w:rsidTr="00ED5B0A">
        <w:tc>
          <w:tcPr>
            <w:tcW w:w="1878" w:type="dxa"/>
          </w:tcPr>
          <w:p w14:paraId="660016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w:t>
            </w:r>
          </w:p>
        </w:tc>
        <w:tc>
          <w:tcPr>
            <w:tcW w:w="6452" w:type="dxa"/>
          </w:tcPr>
          <w:p w14:paraId="2C77D4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Автожир АК, взлетающий без</w:t>
            </w:r>
          </w:p>
        </w:tc>
        <w:tc>
          <w:tcPr>
            <w:tcW w:w="2268" w:type="dxa"/>
          </w:tcPr>
          <w:p w14:paraId="0C1A2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 г.</w:t>
            </w:r>
          </w:p>
        </w:tc>
      </w:tr>
      <w:tr w:rsidR="00A907A5" w:rsidRPr="00271E51" w14:paraId="6FEAC34E" w14:textId="77777777" w:rsidTr="00ED5B0A">
        <w:tc>
          <w:tcPr>
            <w:tcW w:w="1878" w:type="dxa"/>
          </w:tcPr>
          <w:p w14:paraId="01DE05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52" w:type="dxa"/>
          </w:tcPr>
          <w:p w14:paraId="3D7D33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разбега с мотором МВ-6 2 экз.</w:t>
            </w:r>
          </w:p>
        </w:tc>
        <w:tc>
          <w:tcPr>
            <w:tcW w:w="2268" w:type="dxa"/>
          </w:tcPr>
          <w:p w14:paraId="071C9E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КО 120сс (1778,161)</w:t>
            </w:r>
          </w:p>
        </w:tc>
      </w:tr>
    </w:tbl>
    <w:p w14:paraId="1C538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013AC"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5BF9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1CD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июля 1943 на бюро обкома ВКП(б) обсуждался вопрос о выполнении постановления ГКО от 19 июня по восстановлению цехов ГАЗа. Участники совещания констатировали, что  «работы идут неудовлетворительно». К 9 июля из 24 объектов 1-й очереди строительные работы были организованы только на пяти. График выполнялся с большим отставанием, имели место массовые простои и невыполнение норм. Обкомовские работники отмечали:  «Партийное и хозяйственное руководство ОСМЧ „Стройгаз № 2“ не приняло мер к развороту строительных работ, не умеет координировать управление и руководство с субподрядными организациями, допустило путаницу в распределении объектов… По решению ГОКО кровля кузнечного корпуса должна быть восстановлена к 15 июля, но на 10 июля ведутся лишь подготовительные работы (демонтаж: поврежденных металлоконструкций). По колесному цеху срок окончания работ установлен 25 июля, на 10.07проведены работы по восстановлению несущих ж/б элементов здания. Объем металлоконструкций составляет 597тонн, восстановлено на 8.07– 5тонн». </w:t>
      </w:r>
    </w:p>
    <w:p w14:paraId="42E19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горкомитета обороны и местных организаций за период 20 июня – 7 июля в ОСМЧ «Стройгаз» № 2 для восстановительных работ на ГАЗе прибыли в общей сложности 8159 рабочих.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 3. Гинзбург.</w:t>
      </w:r>
    </w:p>
    <w:p w14:paraId="637CD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оформление и размещение рабочей силы велось неудовлетворительно. Группа, прибывшая 25 июня из Арзамасского района, к работе не приступила до начала июля, другая группа, из Павловского района, прибыв 22 июня, приступила к работе лишь 1 июля.</w:t>
      </w:r>
    </w:p>
    <w:p w14:paraId="47B09D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этом бараки для проживания рабочих построены не были. Большое количество людей было размещено в недостроенных бараках Ново-Западного поселка, где спали прямо на кучах строительного мусора или на досках. Общежития и бараки находились в антисанитарном состоянии. Не хватало еды, постельных принадлежностей, спящих рабочих атаковали вши и клопы. В столовых не хватало ложек и тарелок. Рабочие, приехавшие на ГАЗ из разных уголков страны, были поражены созданными здесь «условиями». В итоге туркмены, работавшие на строительном участке № 2, написали в Верховный Совет Туркменской ССР письмо о плохом культурно-бытовом и медицинском обслуживании:  «…питание было организовано одноразовое, т.е. горячий обед один раз в сутки, общежитие не подготовлено к жилью, грязь, темно и т.п.». Письмо вскоре возымело действие, и туркмены были помещены в благоустроенное общежитие (двухэтажный деревянный дом), обеспечены постельными принадлежностями, одеждой и др. инвентарем. Предметом особой гордости автозаводцев за своих коллег из Азии являлось наличие в общежитиях портретов вождей, лозунгов и плакатов.</w:t>
      </w:r>
    </w:p>
    <w:p w14:paraId="5D88B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Оптимистические графики работ были безнадежно сорваны, и 26 июля приказом по Наркомату среднего машиностроения ранее установленные сроки восстановления цехов (15 июля – 15 августа) были отодвинуты на более поздние.</w:t>
      </w:r>
    </w:p>
    <w:p w14:paraId="604C1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авральные работы на Горьковском автозаводе пришлись на конец июля – сентябрь 1943 г.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 предприятий треста. Трест «Стройгаз» № 2 производил работы, руководствуясь принципом одновременного ведения строительных, монтажных и специальных работ, что давало возможность ускорить сдачу объектов в эксплуатацию.</w:t>
      </w:r>
    </w:p>
    <w:p w14:paraId="61CA08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Разбор разрушенных зданий производился экскаваторами, передвижными кранами, инструментом, бензорезами, тракторами и вручную. На расчищенных площадях немедленно начинались восстановительные работы. Нередко они были связаны с большими трудностями и сложными техническими решениями. Например, в колесном цехе монтаж металлоконструкций выполнялся при помощи огромной мачты и нескольких качающихся мачт. 24-метровый пролет был восстановлен с помощью специально смонтированного двухпролетного кабель-крана со средней качающейся мачтой, изготовленного силами объединения «Стальконструкция» прямо на месте за 12 дней и смонтированного в течение 10 дней. Фермы собирали вне цеха, с двух торцов, перевозили кабель-краном к месту установки и опускали на железобетонные колонны. Срок монтажа составил всего 25 рабочих дней.</w:t>
      </w:r>
    </w:p>
    <w:p w14:paraId="1EB60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восстановлении механосборочного корпуса из-за нехватки металла пришлось многие фермы и прогоны выправлять с помощью гидравлических и механических прессов. Просевшие фермы поднимали до прежнего положения соединительными стойками, домкратами, а при большой высоте – специальными металлическими башнями и закрепляли. Деформированные части вырезали и вместо них вставляли новые элементы. Исправление колонн, деформировавшихся в нижней части, производилось путем замены поврежденной части новым отрезком колонны. Во время замены примыкающая часть стены поддерживалась стойками и подкосами, а с колонн снималась нагрузка.</w:t>
      </w:r>
    </w:p>
    <w:p w14:paraId="4870C7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Большие трудности представлял ремонт литейного цеха № 1. На шихтовом дворе разрывом бомбы две соседних колонны были втянуты в воронку, все конструктивные элементы получили осадку до 0,5 м по вертикали, а колонна искривилась до 0,4 м. Невозможность правки колонны на месте и подъема всей конструкции в целом заставила применить следующий способ: подкрановые балки были подняты на консолях, а влияние кривизны колонн было устранено путем устройства мощной решетки между соседними колоннами и превращением всей системы в стержневую, с угловыми вирнарами в местах перегиба колонн.</w:t>
      </w:r>
    </w:p>
    <w:p w14:paraId="29AB1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восстановлении склада песка в этом же цехе на мостовом кране были выложены шпальные клетки, на которых установлены песочные домкраты. Металлические фермы пролетом 24 м поднимались при помощи 30-метровой мачты, установленной в торце склада, и путем оттяжки тросов устанавливались на песочные домкраты. Устойчивость ферм на домкратах обеспечивалась установкой жестких боковых связей из уголков, по три с каждой стороны фермы. В таком положении мостовой кран с установленной на нем фермой передвигался при помощи ручных лебедок на место установки фермы. Опускание фермы на опоры производилось песочными домкратами, что обеспечивало точную и плавную посадку фермы. После опускания фермы мостовой кран передвигался теми же лебедками в торец здания к подъемной мачте, и цикл работ повторялся. Подготовительные работы провели за шесть дней, а все фермы установили за пять дней. Полный монтаж связей прогонов и рифленого настила был выполнен за четыре дня.</w:t>
      </w:r>
    </w:p>
    <w:p w14:paraId="22C64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силу исключительно большого разнообразия повреждений железобетонных конструкций различного рода невозможно было найти общий метод по их восстановлению. В каждом случае приходилось принимать индивидуальное решение, в зависимости от степени и характера повреждений. Перед восстановлением поврежденные участки железобетонных элементов расчищались, а бетон, потерявший прочность в результате пожара или откола, удалялся до глубины, где его прочность не вызывала сомнений.</w:t>
      </w:r>
    </w:p>
    <w:p w14:paraId="2C491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нехватки железа и железобетона для кровли применялся металлический настил из гофрированного железа, в некоторых цехах использовались железобетонные кровельные плиты.</w:t>
      </w:r>
    </w:p>
    <w:p w14:paraId="0B138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Сантехнические работы велись управлением № 4 ОСМЧ-102, а электромонтажные – участком № 3 особого проектно-монтажного управления № 5 «Центрэлектромонтаж». Они шли по двум основным направлениям:</w:t>
      </w:r>
    </w:p>
    <w:p w14:paraId="080AB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восстановление основных питающих кабелей и линейных фидеров от ТЭЦ к цеховым подстанциям и восстановление силовых магистральных линий внутри цехов;</w:t>
      </w:r>
    </w:p>
    <w:p w14:paraId="1D655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пуск в ход всех непострадавших станков во вновь созданных технических группировках.</w:t>
      </w:r>
    </w:p>
    <w:p w14:paraId="54AEA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работами на линии в цехах была организована мастерская, в которой производилось изготовление шинных сборок, силовых и осветительных щитков, предохранителей, высоковольтных сборок, пультов, а также реставрация демонтируемых в цехах силовых пультов, ящиков с предохранителями и др.</w:t>
      </w:r>
    </w:p>
    <w:p w14:paraId="4A6BC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Работы по восстановлению систем вентиляции производились монтажным управлением № 2 ОСМЧ-48. Монтажный участок был разделен на прорабства, выполнявшие отдельные объекты, подлежащие восстановлению. За восстановительный период были смонтированы и сданы в эксплуатацию 124 вентиляционные системы на сумму 608 тыс. рублей.</w:t>
      </w:r>
    </w:p>
    <w:p w14:paraId="24996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Громадный объем материалов и полуфабрикатов (кирпич, раствор, бетон, железобетонные плиты, утеплитель, металлический настил и т.д.), которые нужно было поднять в крайне сжатые сроки, потребовал большого количества подъемников. Отсутствие времени на изготовление сложных подъемников заставило строителей встать на путь использования простейших подъемников. Одним из них был подъемный блок, представляющий собой две стойки, установленные с небольшим наклоном к стене цеха и соединенные поперечными связями. На верхнюю площадку укладывался брус, на консольном конце которого укреплялся блок. Через блок продевался трос, к одному концу которого прикреплялась подъемная платформа, а другой закреплялся на электролебедке. Кроме этого, применялись скиповые подъемники, ленточные транспортеры и т.п.</w:t>
      </w:r>
    </w:p>
    <w:p w14:paraId="2D0A02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бомбардировки было повреждено значительное число жилых домов и культурно-бытовых зданий. Характерным примером являлись жилые четырехэтажные дома, выполненные из силикатного кирпича. Для них типичным было продольное расслоение кирпичной кладки от сотрясения взрывной волной. Кроме этого, продольные стены домов получили отклонения по вертикали до 10 см с разрывом кладки в местах примыкания продольных стен к средним поперечным стенам и стенам лестничных клеток. Приходилось практически заново устанавливать кровлю, делать металлические стяжки, во множестве мест заменить кладку, а швы заливать бетоном.</w:t>
      </w:r>
    </w:p>
    <w:p w14:paraId="7402E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Проектирование всех работ велось непосредственно на стройплощадке бригадой «Промстройпроекта»,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выбирались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2EFCE5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ускорения работ все несущие конструкции разрушенных цехов были восстановлены в металле, и лишь цеха с железобетонными колоннами, имевшие незначительные разрушения, оставили в прежнем виде. Число световых фонарей пришлось сократить на 30%, закрыв их железом и асбестофанерой. Деревянная обрешетка заменялась гофрированным железом, чье производство организовали в прессовом цехе автозавода. Для утепления использовали самые примитивные материалы: алебастро-опилочные, цементно-зольные и торфяные и даже глиноземные плиты. При этом все они перед использованием проходили испытания зажигательными бомбами и противотанковой горючей жидкостью.</w:t>
      </w:r>
    </w:p>
    <w:p w14:paraId="36F9E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Восстановление громадных площадей кровель корпусов потребовало свыше 1500 ливневых воронок. Нехватка чугуна заставила применять «подсобные материалы» – части коробки заднего моста «полуторки» и головки авиабомб, производившихся на ГАЗе.</w:t>
      </w:r>
    </w:p>
    <w:p w14:paraId="2CD40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прошло партсобрание треста «Стройгаз» № 2. Выступавшие на нем констатировали:  «По второму участку: трудовая дисциплина неудовлетворительна. Программа за 20 дней августа выполнена на 62%. Срок сдачи объектов 25 августа сорван. Низкая трудовая дисциплина. 23 августа прогуляло 721 чел., рабочий день начинается с опозданием на 30—40 минут. Накануне рабочего дня задание дается только нескольким бригадам, остальные получают его в начале рабочего дня». По итогам собрания начальнику второго участка Романову даже пригрозили исключением из ВКП(б).</w:t>
      </w:r>
    </w:p>
    <w:p w14:paraId="5CA483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Впрочем, всевозможные накладки и игнорирование приказов и распоряжений были постоянно. В частности, не было выполнено постановление бюро обкома ВКП(б) и распоряжение горкомитета обороны от 11 августа в части мобилизации сроком на два месяца для восстановления ГАЗа с предприятий области электросварщиков – 45 человек, газорезчиков – 25 человек. К 15 сентября в трест «Стройгаз» № 2 поступили всего шесть человек. Директора заводов Глян, Рубинчик и Агаджаев, а также заводы Вторчермет, Главчермет в категорической форме отказались выделить полагающееся количество сварщиков и попросту игнорировали распоряжение.</w:t>
      </w:r>
    </w:p>
    <w:p w14:paraId="2E488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Общая потребность рабочей силы к началу строительства составляла примерно 9500 человек, к началу же июля в распоряжении треста «Стройгаз» № 2 имелись лишь 2242 человека (23,4%). Согласно распоряжениям различных ведомств, к работам должны были быть привлечены 12 800 человек, однако этот план так и не был выполнен. К1 октября на восстановлении автозавода трудились (по спискам) 8621 человек, в т.ч. 2023 – из сельских районов области, 1447 – из САВО, 816 – из разных воинских частей, 1675 – с самого ГАЗа и еще 2331 человека предоставил Московский военный округ. Кроме того, на строительстве были задействованы 1211 рабочих из субподрядных организаций. Таким образом, в восстановительных работах с 15 июля по 15 ноября участвовали почти 10 тыс. человек!</w:t>
      </w:r>
    </w:p>
    <w:p w14:paraId="2EAB6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размещения этой огромной массы требовалась значительная жилплощадь, между тем многие дома Соцгорода и прилегающих поселков были разрушены, и места не хватало самим автозаводцам. Под жилье пришлось использовать школы, недостроенные жилые дома, клубы и простые палатки. Кроме того, были в спешном порядке сооружены каркасно-засыпные бараки и полуземлянки. Всего под временное жилье было приспособлено 10 тыс. кв. м. К августу, чтобы кормить всю эту толпу, были открыты 20 столовых и раздаточных пунктов. Но и этого оказалось недостаточно. Да и комфорт в сооруженных наспех «летних кафе» оставлял желать лучшего. При проверке, проведенной 17 июля в столовой № 7, выяснилось отсутствие какого-либо порядка:  «Нет света, почти нет посуды, нет помещения для хлеборезки, продукты тухнут. Рабочие часами ожидают получения ужина, не всем отпускается из-за темноты хлеб». </w:t>
      </w:r>
    </w:p>
    <w:p w14:paraId="7FBE4C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ход работ серьезно затруднили продолжительные дожди и ливни. В начале августа начались побеги рабочих и массовые прогулы. В результате среднесуточное число людей, занятых на восстановительных работах, сократилось на 1500 человек. Часто происходили несчастные случаи, особенно на подъемниках.</w:t>
      </w:r>
    </w:p>
    <w:p w14:paraId="42880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велись при постоянной нехватке транспорта. Первоначально в распоряжении треста «Стройгаз» № 2 имелись всего 64 грузовых автомашины разных типов, из них в исправном состоянии всего 27! Можно было использовать также 36 лошадей. Решением Горьковского комитета обороны во второй половине июля для ремонтных работ были выделены 75 автомобилей ЗиС-5 грузоподъемностью пять тонн. Однако ко всему прочего для машин не хватало горючего. Газогенераторные грузовики простаивали из-за отсутствия чурок, т.к. цех по их изготовлению сгорел во время налетов. Не хватало шоферов и ремонтников. Руководству треста пришлось прямо на месте организовать краткосрочные курсы, в сжатые сроки подготовив 28 новых водителей. Ремонтники проявили настоящий героизм, восстанавливая поломанные в ходе безжалостной эксплуатации грузовики буквально из ничего. В результате шоферы делали в среднем по 33 рейса в день, перевозя грузы на самые разные участки. Всего в течение III квартала 1943 г. автомашины сделали по 530 тонно-километров.</w:t>
      </w:r>
    </w:p>
    <w:p w14:paraId="76D64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этот же период водный транспорт, имевшийся в распоряжении треста, перевез 23,5 тыс. т грузов. Остальное доставлялось по железной дороге, алее вообще сплавлялся по течению. В октябре Горьковская железная дорога из 157 вагонов подала на стройплощадку автозавода лишь 20, создав значительные трудности.</w:t>
      </w:r>
    </w:p>
    <w:p w14:paraId="147441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восстановительных работ требовалось большое количество дерева и бетона. Вместе с тем при бомбежках полностью сгорели бетонный завод, деревообделочный завод, кузница, машиностроительная мастерская и лесозавод треста «Стройгаз» № 2. Ремонтники, невзирая на погоду и усталость, трудились день и ночь, причем одновременно с восстановлением этих предприятий начался выпуск продукции. Уже на второй день после начала работ бетонный завод дал первый бетон! И это без воды и электричества. Вода подвозилась на автомашинах, а электроэнергия подавалась по временному кабелю. В разгар восстановительных работ предприятие давало в сутки 230 куб. м бетона, хотя этого, конечно, было недостаточно.</w:t>
      </w:r>
    </w:p>
    <w:p w14:paraId="4B09E8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Новый деревообделочный завод было решено строить на берегу Оки, на территории уцелевшего лесозавода № 1. В первую очередь был сооружен плотничный цех, который немедленно начал выпускать балки, щиты, фермы, строительные леса и т.п. Строительные участки получали из цеха железобетонных изделий кровельные плиты, из цеха плит «АС» – алебастро-опилочные плиты утеплителя, с бетонного завода – раствор. Всего с июля по ноябрь производственным комбинатом «Стройгаза» были выпущены 3374 куб. м бетона, 7350 куб. м цементного раствора, 9920 кв. м железобетонных кровельных плит, 500 кв. м пенобетона, 60 661 кв. м алебастро-опилочных плит, 200 т арматуры, 5693 кв. м переплетов и т.п.</w:t>
      </w:r>
    </w:p>
    <w:p w14:paraId="563189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Объем работ, выполненных трестом «Стройгаз» № 2 и его субподрядчиками, характеризуют следующие цифры. С 1 июля по 1 октября были уложены 2,7 млн кирпичей, 128 170 кв. м рубероида, смонтированы металлоконструкции весом 3400 т, трубопроводы протяженностью почти 43 км, проложено 32,6 км высоко– и низковольтного кабеля и еще 50 км различных проводов, подключены к станкам 3500 электромоторов, смонтированы 2640 электроточек и 348 калориферов. Большинство работ выполнялось «временно», т.е. с низким качеством. Так, «остекление» окон и световых фонарей, кроме собственно стекла, производилось фанерой и кровельным железом. Всего таким способом были «остеклены» 79 800 кв. м.</w:t>
      </w:r>
    </w:p>
    <w:p w14:paraId="45675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треста «Стройгаз» № 2, на восстановлении ГАЗа работали 11 субподрядных организаций, каждая из которых выполняла определенный тип работ. Решением ГКО строительные работы на заводах «Серп и молот», «Красная Этна» и № 466 были приостановлены и все силы бросили на автозавод. Нужно было любой ценой возродить из пепла это крупнейшее предприятие Поволжья. Приказами по тресту была утверждена система премирования и вручения переходящих Красных знамен за лучшие показатели в работе.</w:t>
      </w:r>
    </w:p>
    <w:p w14:paraId="29034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Отличившихся рабочих награждали премиями, а также ордерами на промтовары. Вошли в моду так называемые фронтовые декады.</w:t>
      </w:r>
    </w:p>
    <w:p w14:paraId="7E597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октября было «в целом» обеспечено восстановление производственных мощностей ГАЗа. Первые пять автомобилей «по обходной технологии» были выпущены заводом еще 25 июля. В августе с «конвейеров» сошли первые 100 бронемашин БА-64, в октябре – первые вездеходы ГАЗ-67. Сборка американских грузовиков шла прямо под открытым небом.</w:t>
      </w:r>
    </w:p>
    <w:p w14:paraId="48F271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не менее сроки окончания работ 15—30 сентября снова оказались невыполненными, и 6 октября нарком среднего машиностроения С. Акопов, ссылаясь на постановление ГКО, вновь перенес их, уже на 15 октября – 15 ноября. Да и они касались лишь основных производственных объектов. Вспомогательные сооружения предполагалось восстановить лишь к 20 декабря 1943 г. Согласно актам о приемке, большинство цехов были сданы между 21 и 30 октября (11774).</w:t>
      </w:r>
    </w:p>
    <w:p w14:paraId="17ECE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4835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3730 Об оставлении сортировочных госпиталей № 1165 и 395 в зданиях Вологодского и Рязанского ж.-д. техникумов. (7121, 1).</w:t>
      </w:r>
    </w:p>
    <w:p w14:paraId="233F603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B266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Распоряжение ГКО № 3735 [О сохранении железнодорожного пути на участке Вербилки-Соревнование и его передаче в эксплуатацию заводу № 593 НКЭП.] (7121, 68).</w:t>
      </w:r>
    </w:p>
    <w:p w14:paraId="30DDF48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FA7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3731 О снятии с вещевого снабжения НКО рабочих, ИТР Наркомтанкопрома и Наркомсредмаша, занятых на эвакуации и ремонте танков.РГАНИР, Фонд ГКО, д. 133, лл. 2 (11012).</w:t>
      </w:r>
    </w:p>
    <w:p w14:paraId="1C110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96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3732 О плане снабжения горюче-смазочными материалами Красной Армии и Военно-Морского Флота на июль 1943 г.РГАНИР, Фонд ГКО, д. 133, лл. 3-4, 5-44 (11012).</w:t>
      </w:r>
    </w:p>
    <w:p w14:paraId="27C42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4B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3733 О плане снабжения торфом на III квартал 1943 г.РГАНИР, Фонд ГКО, д. 133, лл. 45, 46-63 (11012).</w:t>
      </w:r>
    </w:p>
    <w:p w14:paraId="03F675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22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Распоряжение ГКО № 3734. О мерах по восстановлению завода № 718 НКМВ (Горький).РГАНИР, Фонд ГКО, д. 133, лл. 64, 65-67 (11012).</w:t>
      </w:r>
    </w:p>
    <w:p w14:paraId="503ED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187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Распоряжение ГКО № 3736. О мерах по восстановлению крекингов в Грозном.РГАНИР, Фонд ГКО, д. 133, лл. 69-70, 71-72 (11012).</w:t>
      </w:r>
    </w:p>
    <w:p w14:paraId="70E32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A3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3737 О сроках восстановления Ярославского шинного завода, завода синтетического каучука и других ярославских предприятий Наркомрезинпрома.РГАНИР, Фонд ГКО, д. 133, лл. 73-77, 78-81 (11012).</w:t>
      </w:r>
    </w:p>
    <w:p w14:paraId="43EAE1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B7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3739 О поставке Наркомвоенморфлоту трального вооружения, судового оборудования и запасных частей и механизмов в III квартале 1943 г.РГАНИР, Фонд ГКО, д. 133, лл. 86-89, 90-125 (11012).</w:t>
      </w:r>
    </w:p>
    <w:p w14:paraId="2BB807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58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Распоряжение ГКО № 3740. Об изготовлении броневых щитов для морских пушек на Ижорском заводе (Ленинград).РГАНИР, Фонд ГКО, д. 133, лл. 126-127 (11012).</w:t>
      </w:r>
    </w:p>
    <w:p w14:paraId="2BB097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FF1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Распоряжение ГКО № 3741 [О мерах по обеспечению производства кабельных изделий НКЭП.] (7121, 128-133,134-138).</w:t>
      </w:r>
    </w:p>
    <w:p w14:paraId="02EFF21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833A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3742 О плане поставок военно-полевых средств и имущества связи на III кв. 1943 г. (7121, 139-141,142-179).</w:t>
      </w:r>
    </w:p>
    <w:p w14:paraId="0353585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06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На Адмиралтейском заводе поднят флаг ВМФ СССР на двух ТК типа Г-5 (10671).</w:t>
      </w:r>
    </w:p>
    <w:p w14:paraId="0768B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4D04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EC6A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34805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вышло Постановление ГКО № 3738 О неотложных мерах по борьбе с лесными пожарами в лесах Главлесоохраны при Совнаркоме СССР. (7121, 82-85).</w:t>
      </w:r>
    </w:p>
    <w:p w14:paraId="572D9EE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57DB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B241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F79C5D"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в 1943 году оперативная сводка Совинформбюро:</w:t>
      </w:r>
    </w:p>
    <w:p w14:paraId="03367C86"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наши войска продолжали вести бои с пехотой и танками противника на Белгородском направлении. На Орловско-Курском направлении за истекший день противник крупных атак не предпринимал.</w:t>
      </w:r>
    </w:p>
    <w:p w14:paraId="5C53C0E6"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Белгородском направлении за день боёв подбито и уничтожено 96 немецких танков. По неполным данным, в воздушных боях и зенитной артиллерией сбито 13 немецких самолётов.</w:t>
      </w:r>
    </w:p>
    <w:p w14:paraId="141C1572"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уточнённым данным, за 12 июля на Орловско-Курском и Белгородском направлениях в воздушных боях и огнём зенитной артиллерии сбито не 18 самолётов, а 79 самолётов противника.</w:t>
      </w:r>
    </w:p>
    <w:p w14:paraId="146F7163"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противник после провала всех его попыток прорвать нашу оборону крупных атак не предпринимал. В течение дня происходила артиллерийско-миномётная перестрелка и разведка боем. В районе одного населённого пункта пехота немцев при поддержке танков пыталась атаковать наши позиции. Атака гитлеровцев была отбита. Противник отброшен, оставив на поле боя подбитые танки и до 400 трупов своих солдат и офицеров. На другом участке артиллеристы Н-ской части подбили 5 самоходных орудий, рассеяли и частью уничтожили до батальона немецкой пехоты. На других участках происходили стычки небольших отрядов и действия разведывательных групп.</w:t>
      </w:r>
    </w:p>
    <w:p w14:paraId="125D9492"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продолжались ожесточённые бои. Немцы стремятся любой ценой добиться успеха, но повсюду встречают упорное сопротивление советских войск. На отдельных участках наши части нанесли контрудары и потеснили гитлеровцев, вклинившихся в нашу оборону. Противник несёт тяжёлые потери втехнике и живой силе. Только в течение вчерашнего дня на разных участках нашими бойцами подбито и уничтожено более ста немецких танков, в том числе 20 танков типа «Тигр», уничтожено 250 автомашин и много живой силы противника.</w:t>
      </w:r>
    </w:p>
    <w:p w14:paraId="2B1961F5"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всех участков Белгородского направления поступают сообщения о том, что наши бойцы и командиры ведут самоотверженную борьбу с противником. Двенадцать раз атаковали немцы хутор, который обороняло гвардейское подразделение капитана Дзюбина. Отважные гвардейцы уничтожили 11 танков, истребили 300 гитлеровцев и не отступили ни на шаг. На одном участке немцам, ценою тяжёлых потерь, удалось захватить населённый пункт. Решительной контратакой подразделения капитана Томина и старших лейтенантов Федулова и Михина восстановили положение. В уличном бою красноармейцы истребили до 400 вражеских солдат и офицеров, захватили 6 орудий, 4 самоходных пушки, 7 радиостанций, 150 тысяч патронов и другие трофеи. Командир орудия старший сержант Кинжаев уничтожил 7 вражеских танков типа «Тигр». Бойцы Н-ской противотанковой роты Совкий, Южанов, Сушкин, Кириченко и Пояров подбили из противотанковых ружей по два танка каждый. Лётчики Н-ской гвардейской части за три дня боёв сбили 156 немецких самолётов. Герой СоветскогоСоюза гвардии лейтенант Новиков сбил 5 самолётов противника. Герой Советского Союза гвардии старший лейтенант Китаев уничтожил 4 и повредил 5 вражеских самолётов. Лётчик гвардии лейтенант Горобец встретился в воздухе с группой немецких самолётов. Вступив с ними в бой, т. Горобец сбил 9 немецких бомбардировщиков.</w:t>
      </w:r>
    </w:p>
    <w:p w14:paraId="07CFC155"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наши разведывательные группы уничтожили до роты немецкой пехоты и взорвали 3 землянки вместе с находившимися в них гитлеровцами. Разведчики захватили пленных.</w:t>
      </w:r>
    </w:p>
    <w:p w14:paraId="48389EBD"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истребили 194 гитлеровца. Огнём артиллерии и миномётов разрушено 43 немецких дзота, 18 блиндажей и 7 наблюдательных пунктов, взорван склад боеприпасов, уничтожено орудие и 6 пулемётов противника. На одном участке миномётчики подразделения, где командиром капитан Найчук, обстреляли скопление немецкой пехоты и уничтожили до взвода гитлеровцев.</w:t>
      </w:r>
    </w:p>
    <w:p w14:paraId="3F2E8FBA"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наша артиллерия обстреливала вражеские позиции. Разрушено 5 немецких дзотов, потоплены 6 лодок с гитлеровцами, уничтожены 2 орудия и шестиствольный миномёт противника.</w:t>
      </w:r>
    </w:p>
    <w:p w14:paraId="784CAEF4"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партизанского отряда, действующего в Гомельской области, получил сведения о том, что на одной станции ожидается в ближайшее время прибытие немецкого поезда с танками. Партизаны заминировали железнодорожное полотно управляемыми фугасами и засели в укрытия. Сначала прошёл состав с порожняком, затем поезд с лесоматериалами. Haконец, показался ожидаемый эшелон. Когда он проходил по заминированному участку, подрывники включили ток. Взрывом разбиты паровоз и 11 платформ. Находившиеся на них танки приведены в полную негодность. Группа партизан отряда «За Родину» сожгла немецкий самолёт, сделавший вынужденную посадку.</w:t>
      </w:r>
    </w:p>
    <w:p w14:paraId="30E0C56C"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сообщало Совинформбюро, гитлеровцы 6 и 7 июля заявляли, что на Орловско-Курском и Белгородском направлениях не немцы перешли в наступление, а Красная Армия. Захваченные в плен немецкие солдаты рассказывают:</w:t>
      </w:r>
    </w:p>
    <w:p w14:paraId="3A028099"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1 роты 6 сапёрного батальона 6 немецкой пехотной дивизии Бруно Формелла показал: «В воскресенье 4 июля командир вызвал группу сапёров, в том числе и меня, и приказал отправиться вместе с пехотинцами сделать проходы в минных полях. Командир заявил: «Сегодня ночью немецкая армия перейдёт внаступление. Гитлер поставил перед нами задачу — запереть русских в котле и занять Курск». Нам не удалось пробраться незамеченными к минному полю. Как только мы спустились в лощину, русские открыли стрельбу. Многие солдаты были убиты, а меня взяли в плен».</w:t>
      </w:r>
    </w:p>
    <w:p w14:paraId="0D0C488C"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11 роты 87 мотострелкового полка 36 немецкой моторизованной дивизии Бауман рассказал: «Вечером 4 июля командир роты зачитал нам приказ Гитлера, в котором было сказано:</w:t>
      </w:r>
    </w:p>
    <w:p w14:paraId="2B47E9F8"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5 июля немецкая армия начнёт решающее наступление».</w:t>
      </w:r>
    </w:p>
    <w:p w14:paraId="00E79109"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8 роты 533 полка 383 немецкой пехотной дивизии Франц Бротц рассказал: «Вечером 4 июля командир роты обер-лейтенант Стоппе перед строем зачитал приказ Гитлера, в котором говорилось: «Завтра начинается большое наступление немецких войск. Это наступление имеет решающее значение. Немецкие войска должны окончательно разгромить Красную Армию».</w:t>
      </w:r>
    </w:p>
    <w:p w14:paraId="4EB3B3C0"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Приведённые выше заявления, как и показания многих других пленных немецких солдат, разоблачают жульнический трюк ставки Гитлера, пытавшейся отрицать наступление немецких войск на Орловско-Курском и Белгородском направлениях.» (14951).</w:t>
      </w:r>
    </w:p>
    <w:p w14:paraId="5F03B067" w14:textId="77777777" w:rsidR="008D62A9" w:rsidRPr="00271E51" w:rsidRDefault="008D62A9" w:rsidP="00271E51">
      <w:pPr>
        <w:spacing w:after="0" w:line="240" w:lineRule="auto"/>
        <w:jc w:val="both"/>
        <w:rPr>
          <w:rFonts w:ascii="Times New Roman" w:hAnsi="Times New Roman"/>
          <w:color w:val="000000" w:themeColor="text1"/>
          <w:sz w:val="16"/>
          <w:szCs w:val="16"/>
        </w:rPr>
      </w:pPr>
    </w:p>
    <w:p w14:paraId="2B935B0D" w14:textId="77777777" w:rsidR="008D62A9" w:rsidRPr="00271E51" w:rsidRDefault="008D62A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в 1943 году на Обояньском направлении немцы вели бои за улучшение своих позиций. Севернее Кочетовки на участке шириной 5-6 км пехотные подразделения моторизированная дивизия СС "Тотенкопф" потеснили 66-ю и 97-ю гвардейскую стрелковую дивизию на 1-1,5 км. Несколько танков "Тотенкопфа" прорвались в совхоз имени Ворошилова (6 км северо-западнее Прохоровки). На Белгородском направлении 168-я пехотная дивизия вытеснила 89-ю гвардейскую стрелковую дивизию из выступа Липовый Донец - Северный Донец до Вислого - Сабынино, продвинувшись на 8 км. (по данным полковника Гланца это произошло 12 июля.) 19-я танковая дивизия выбила 81-ю стрелковую дивизию из Щелоково (14951).</w:t>
      </w:r>
    </w:p>
    <w:p w14:paraId="4F18D052" w14:textId="77777777" w:rsidR="008D62A9" w:rsidRPr="00271E51" w:rsidRDefault="008D62A9" w:rsidP="00271E51">
      <w:pPr>
        <w:spacing w:after="0" w:line="240" w:lineRule="auto"/>
        <w:jc w:val="both"/>
        <w:rPr>
          <w:rFonts w:ascii="Times New Roman" w:hAnsi="Times New Roman"/>
          <w:color w:val="000000" w:themeColor="text1"/>
          <w:sz w:val="16"/>
          <w:szCs w:val="16"/>
        </w:rPr>
      </w:pPr>
    </w:p>
    <w:p w14:paraId="05FCC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г. млад</w:t>
      </w:r>
      <w:r w:rsidRPr="00271E51">
        <w:rPr>
          <w:rFonts w:ascii="Times New Roman" w:hAnsi="Times New Roman"/>
          <w:color w:val="000000" w:themeColor="text1"/>
          <w:sz w:val="16"/>
          <w:szCs w:val="16"/>
        </w:rPr>
        <w:softHyphen/>
        <w:t>ший лейтенант эскадрильи Нормандия Кастелен с группой из 10 - 12 Bf110 доложил, что в бою ему сопутствовал успех: “Я вы</w:t>
      </w:r>
      <w:r w:rsidRPr="00271E51">
        <w:rPr>
          <w:rFonts w:ascii="Times New Roman" w:hAnsi="Times New Roman"/>
          <w:color w:val="000000" w:themeColor="text1"/>
          <w:sz w:val="16"/>
          <w:szCs w:val="16"/>
        </w:rPr>
        <w:softHyphen/>
        <w:t>пустил по противнику примерно 20 снарядов и 20 крупнокалиберных пуль и могу предположить позитивный ре</w:t>
      </w:r>
      <w:r w:rsidRPr="00271E51">
        <w:rPr>
          <w:rFonts w:ascii="Times New Roman" w:hAnsi="Times New Roman"/>
          <w:color w:val="000000" w:themeColor="text1"/>
          <w:sz w:val="16"/>
          <w:szCs w:val="16"/>
        </w:rPr>
        <w:softHyphen/>
        <w:t>зультат. Неприятельский самолет с дымом ушел в пикирование. Меня са</w:t>
      </w:r>
      <w:r w:rsidRPr="00271E51">
        <w:rPr>
          <w:rFonts w:ascii="Times New Roman" w:hAnsi="Times New Roman"/>
          <w:color w:val="000000" w:themeColor="text1"/>
          <w:sz w:val="16"/>
          <w:szCs w:val="16"/>
        </w:rPr>
        <w:softHyphen/>
        <w:t>мого атаковал другой Bf110, и, отражая атаку, я не мог наблюдать падение противника” (3956). Вместе с тем, аналогичное описание боя с группой Bf110 составил, напри</w:t>
      </w:r>
      <w:r w:rsidRPr="00271E51">
        <w:rPr>
          <w:rFonts w:ascii="Times New Roman" w:hAnsi="Times New Roman"/>
          <w:color w:val="000000" w:themeColor="text1"/>
          <w:sz w:val="16"/>
          <w:szCs w:val="16"/>
        </w:rPr>
        <w:softHyphen/>
        <w:t>мер, штаб 2-го гвардейского истреби</w:t>
      </w:r>
      <w:r w:rsidRPr="00271E51">
        <w:rPr>
          <w:rFonts w:ascii="Times New Roman" w:hAnsi="Times New Roman"/>
          <w:color w:val="000000" w:themeColor="text1"/>
          <w:sz w:val="16"/>
          <w:szCs w:val="16"/>
        </w:rPr>
        <w:softHyphen/>
        <w:t>тельного авиаполка 322-й иад 15-й воздушной армии - этот полк также сражался в тот день южнее Орла (3956).</w:t>
      </w:r>
    </w:p>
    <w:p w14:paraId="4DA035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B070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13 июля 1943 "13 июля фельдмаршалы фон Манштейн и Клюге были вызваны в Восточную Пруссию, и Гитлер сообщил, что опрерацию "Цитадель" нужно немедленно прекратить, так как союзники высадились в Сицилии..." </w:t>
      </w:r>
      <w:r w:rsidRPr="00271E51">
        <w:rPr>
          <w:rFonts w:ascii="Times New Roman" w:hAnsi="Times New Roman"/>
          <w:color w:val="000000" w:themeColor="text1"/>
          <w:sz w:val="16"/>
          <w:szCs w:val="16"/>
          <w:lang w:val="en-US"/>
        </w:rPr>
        <w:t>(</w:t>
      </w:r>
      <w:r w:rsidRPr="00271E51">
        <w:rPr>
          <w:rFonts w:ascii="Times New Roman" w:hAnsi="Times New Roman"/>
          <w:color w:val="000000" w:themeColor="text1"/>
          <w:sz w:val="16"/>
          <w:szCs w:val="16"/>
        </w:rPr>
        <w:t>Ф</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В</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фонМеллентин</w:t>
      </w:r>
      <w:r w:rsidRPr="00271E51">
        <w:rPr>
          <w:rFonts w:ascii="Times New Roman" w:hAnsi="Times New Roman"/>
          <w:color w:val="000000" w:themeColor="text1"/>
          <w:sz w:val="16"/>
          <w:szCs w:val="16"/>
          <w:lang w:val="en-US"/>
        </w:rPr>
        <w:t>) (4963 ).</w:t>
      </w:r>
    </w:p>
    <w:p w14:paraId="0BB84DE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891C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13 1943 Hitler calls and end to CITADEL. Both sides suffered extremely heavy losses of tanks. But the Russians could make up their losses in a few months production. The Wehrmarcht would never again assemble a force capable of taking the initiative back from the Red Army (1052).</w:t>
      </w:r>
    </w:p>
    <w:p w14:paraId="4B4CE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8C4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13 июля 1943 А.Гитлер приказал остановить операцию Цитадель из-за огромных потерь танков (1052), а по другим данным вызвал Манштейна и Клюге в ставку, где им было заявлено, что сложилась сложная обстановка в Италии - после высадки союзников 10 июля на Сицилию Следующим шагом могла стать высадка союзников на Балканах или на материковой Италии. Поэтому ВФ д. Отдать часть своих сил, а операция Цитадель будет прекращена. Манштейн убедил А.Г. в возможности успешного наступления. Тем не менее 17 июля командование германских сухопутных сил приказало снять с фронта 1 ТК СС, а 18 июля - передать еще 2 Тд. Манштейнупришлосьотказатьсяотпланировавшихсяударов</w:t>
      </w:r>
      <w:r w:rsidRPr="00271E51">
        <w:rPr>
          <w:rFonts w:ascii="Times New Roman" w:hAnsi="Times New Roman"/>
          <w:color w:val="000000" w:themeColor="text1"/>
          <w:sz w:val="16"/>
          <w:szCs w:val="16"/>
          <w:lang w:val="en-US"/>
        </w:rPr>
        <w:t xml:space="preserve"> (4215).</w:t>
      </w:r>
    </w:p>
    <w:p w14:paraId="248FB4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8053A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13th, 1943: Finally admitting that despite the maximum efforts by the German forces to break through the Soviet defenses no further gains can be made, Hitler orders the suspension of Operation Citadel. Though the Wehrmacht is able to extricate most of its depleted forces from a potential disaster - a second Stalingrad - this outcome of the battle represents a tremendous victory for the Red Army and portends the end of German offensive operations in the East (3819).</w:t>
      </w:r>
    </w:p>
    <w:p w14:paraId="3BA8E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F21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А.Г. приказал остановить Операцию Цитадель (3819).</w:t>
      </w:r>
    </w:p>
    <w:p w14:paraId="5ACBE9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9D02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Гитлер приказал перебросить часть немецких подразделений из-под Курска в Италию (4962).</w:t>
      </w:r>
    </w:p>
    <w:p w14:paraId="6844582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6385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0DC4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0064F"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июля в 1943 году летчик-испытатель Харви Грей поднял необычный истребитель </w:t>
      </w:r>
      <w:hyperlink r:id="rId20" w:tgtFrame="_blank" w:history="1">
        <w:r w:rsidRPr="00271E51">
          <w:rPr>
            <w:rFonts w:ascii="Times New Roman" w:hAnsi="Times New Roman"/>
            <w:color w:val="000000" w:themeColor="text1"/>
            <w:sz w:val="16"/>
            <w:szCs w:val="16"/>
          </w:rPr>
          <w:t xml:space="preserve">«ХР-55» </w:t>
        </w:r>
      </w:hyperlink>
      <w:r w:rsidRPr="00271E51">
        <w:rPr>
          <w:rFonts w:ascii="Times New Roman" w:hAnsi="Times New Roman"/>
          <w:color w:val="000000" w:themeColor="text1"/>
          <w:sz w:val="16"/>
          <w:szCs w:val="16"/>
        </w:rPr>
        <w:t>в воздух (14951).</w:t>
      </w:r>
    </w:p>
    <w:p w14:paraId="5C3EDA0B"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723FAD9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1943 по стечению обстоятельств, в Сицилии в одно время и в одном месте высадились немецкие и английские парашютисты, начав перестрелку в воздухе (4962).</w:t>
      </w:r>
    </w:p>
    <w:p w14:paraId="0FF257C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E983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в 1943 году немецкие войска отразили наступление союзников на Аугусту на Сицилии (14951).</w:t>
      </w:r>
    </w:p>
    <w:p w14:paraId="33C1E918"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7E64A3E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июля 1943 воздушная атака Оси уничтожает корабль Либерти у Сицилии (20376).</w:t>
      </w:r>
    </w:p>
    <w:p w14:paraId="75EFB52B" w14:textId="77777777" w:rsidR="009274CE" w:rsidRPr="00271E51" w:rsidRDefault="009274CE" w:rsidP="00271E51">
      <w:pPr>
        <w:spacing w:after="0" w:line="240" w:lineRule="auto"/>
        <w:jc w:val="both"/>
        <w:rPr>
          <w:rFonts w:ascii="Times New Roman" w:hAnsi="Times New Roman"/>
          <w:color w:val="0070C0"/>
          <w:sz w:val="16"/>
          <w:szCs w:val="16"/>
        </w:rPr>
      </w:pPr>
    </w:p>
    <w:p w14:paraId="080628F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13–14 июля (ночь) 1943 транспортные самолеты союзников, перевозящие десантников из Северной Африки в Сицилию, снова летят низко в темноте над союзными кораблями и наземными войсками и снова попадают под дружественный огонь. Несколько сбиты (20376).</w:t>
      </w:r>
    </w:p>
    <w:p w14:paraId="6F5D2B78" w14:textId="77777777" w:rsidR="009274CE" w:rsidRPr="00271E51" w:rsidRDefault="009274CE" w:rsidP="00271E51">
      <w:pPr>
        <w:spacing w:after="0" w:line="240" w:lineRule="auto"/>
        <w:jc w:val="both"/>
        <w:rPr>
          <w:rFonts w:ascii="Times New Roman" w:hAnsi="Times New Roman"/>
          <w:color w:val="0070C0"/>
          <w:sz w:val="16"/>
          <w:szCs w:val="16"/>
        </w:rPr>
      </w:pPr>
    </w:p>
    <w:p w14:paraId="645981D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13–14 июля (ночь) 1943 в ходе операции фланели 1 - я парашютная бригада на планерах пытается захватить мост Primosole, но немецкий парашютный батальон, который ранее высадился поблизости от моста, отбивает атаку к вечеру следующего дня (20376).</w:t>
      </w:r>
    </w:p>
    <w:p w14:paraId="58D720FF" w14:textId="77777777" w:rsidR="009274CE" w:rsidRPr="00271E51" w:rsidRDefault="009274CE" w:rsidP="00271E51">
      <w:pPr>
        <w:spacing w:after="0" w:line="240" w:lineRule="auto"/>
        <w:jc w:val="both"/>
        <w:rPr>
          <w:rFonts w:ascii="Times New Roman" w:hAnsi="Times New Roman"/>
          <w:color w:val="0070C0"/>
          <w:sz w:val="16"/>
          <w:szCs w:val="16"/>
        </w:rPr>
      </w:pPr>
    </w:p>
    <w:p w14:paraId="5019B53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13–14 июля (ночь) 1943 Командование бомбардировщиков Королевских ВВС совершает последний налет кампании «Битва за Рур» против Рурской области Германии. С момента начала кампании в марте бомбардировочное командование осуществило 29 крупных атак на Рур и Рейнланд , в том числе пять на Эссен, в котором только 1037 человек убиты, 3500 серьезно ранены и 4830 домов разрушены - по четыре против Дуйсбурга и Кельна , три против Эссена, и на Бохум и один или два друг против друга города. Бомбардировочное командование потеряло 672 самолета во время налетов на Рур и Рейнланд, коэффициент потерь 4,8 процента, и 4400 летчиков. Кроме того, за тот же период бомбардировочное командование также совершило 18 крупных атак по другим целям во Франции, Италии и Германии за пределами Рура и Рейнланда, включая два налета на Берлин и удары по Мюнхену, Штеттину, Турину, Специи и Заводу Škoda в Пльзене (20376).</w:t>
      </w:r>
    </w:p>
    <w:p w14:paraId="054921D9" w14:textId="77777777" w:rsidR="009274CE" w:rsidRPr="00271E51" w:rsidRDefault="009274CE" w:rsidP="00271E51">
      <w:pPr>
        <w:spacing w:after="0" w:line="240" w:lineRule="auto"/>
        <w:jc w:val="both"/>
        <w:rPr>
          <w:rFonts w:ascii="Times New Roman" w:hAnsi="Times New Roman"/>
          <w:color w:val="0070C0"/>
          <w:sz w:val="16"/>
          <w:szCs w:val="16"/>
        </w:rPr>
      </w:pPr>
    </w:p>
    <w:p w14:paraId="61A43DC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июля 1943 - Лётчик-испытатель Харви Грей поднял необычный истребитель-перехватчик ХР-55 в воздух (22431).</w:t>
      </w:r>
    </w:p>
    <w:p w14:paraId="74E2BAC1" w14:textId="77777777" w:rsidR="009274CE" w:rsidRPr="00271E51" w:rsidRDefault="009274CE" w:rsidP="00271E51">
      <w:pPr>
        <w:spacing w:after="0" w:line="240" w:lineRule="auto"/>
        <w:jc w:val="both"/>
        <w:rPr>
          <w:rFonts w:ascii="Times New Roman" w:hAnsi="Times New Roman"/>
          <w:color w:val="0070C0"/>
          <w:sz w:val="16"/>
          <w:szCs w:val="16"/>
        </w:rPr>
      </w:pPr>
    </w:p>
    <w:p w14:paraId="31180E4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июля в 1943 году фельдмаршалы фон Манштейн и Клюге были вызваны в Восточную Пруссию, и Гитлер сообщил, что опрерацию "Цитадель" нужно немедленно прекратить, так как союзники высадились в Сицилии ..." (Ф.В. фон Меллентин) </w:t>
      </w:r>
    </w:p>
    <w:p w14:paraId="02E82AA9"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1FB954B6"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в 1943 году Адольф Гитлер приказывает перебросить часть немецких подразделений из-под Курска в Италию (14951).</w:t>
      </w:r>
    </w:p>
    <w:p w14:paraId="23F39041"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51F1D8B1"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июля в 1943 году в меморандуме министерства иностранных дел Великобритании отмечается, что правительство США хотело бы расколоть Французский Комитет Национального Освобождения, удалить из него сторонников Ш. Де Голля и создать марионеточных Французский комитет, послушный американскому правительству, а также то, что правительство США испытывает симпатии к коллаборационистам, и есть все основания полагать, что оно все еще поддерживает контакт с маршалом Петеном (14951).</w:t>
      </w:r>
    </w:p>
    <w:p w14:paraId="4612D84A"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5C006E7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79BA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AC3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года Дементьев писал письмо H-34/2982 в Артком ГАУ генерал-лейтенанту артиллерии Хохлову.</w:t>
      </w:r>
    </w:p>
    <w:p w14:paraId="6E6EE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выделить заводу N 207 НКАП для полигонных испытаний брони: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2126"/>
        <w:gridCol w:w="1640"/>
        <w:gridCol w:w="912"/>
        <w:gridCol w:w="3118"/>
      </w:tblGrid>
      <w:tr w:rsidR="00A907A5" w:rsidRPr="00271E51" w14:paraId="5D4ECF9D" w14:textId="77777777" w:rsidTr="00ED5B0A">
        <w:tc>
          <w:tcPr>
            <w:tcW w:w="2660" w:type="dxa"/>
          </w:tcPr>
          <w:p w14:paraId="30CD04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Пушки </w:t>
            </w:r>
          </w:p>
        </w:tc>
        <w:tc>
          <w:tcPr>
            <w:tcW w:w="2126" w:type="dxa"/>
          </w:tcPr>
          <w:p w14:paraId="4424E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немецкие, </w:t>
            </w:r>
          </w:p>
        </w:tc>
        <w:tc>
          <w:tcPr>
            <w:tcW w:w="1640" w:type="dxa"/>
          </w:tcPr>
          <w:p w14:paraId="564E5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авиационные</w:t>
            </w:r>
          </w:p>
        </w:tc>
        <w:tc>
          <w:tcPr>
            <w:tcW w:w="912" w:type="dxa"/>
          </w:tcPr>
          <w:p w14:paraId="1780DE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мм</w:t>
            </w:r>
          </w:p>
        </w:tc>
        <w:tc>
          <w:tcPr>
            <w:tcW w:w="3118" w:type="dxa"/>
          </w:tcPr>
          <w:p w14:paraId="45EAD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51A1D240" w14:textId="77777777" w:rsidTr="00ED5B0A">
        <w:tc>
          <w:tcPr>
            <w:tcW w:w="2660" w:type="dxa"/>
          </w:tcPr>
          <w:p w14:paraId="337F9F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w:t>
            </w:r>
          </w:p>
        </w:tc>
        <w:tc>
          <w:tcPr>
            <w:tcW w:w="2126" w:type="dxa"/>
          </w:tcPr>
          <w:p w14:paraId="420AD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40" w:type="dxa"/>
          </w:tcPr>
          <w:p w14:paraId="34D47D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12" w:type="dxa"/>
          </w:tcPr>
          <w:p w14:paraId="56D56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мм</w:t>
            </w:r>
          </w:p>
        </w:tc>
        <w:tc>
          <w:tcPr>
            <w:tcW w:w="3118" w:type="dxa"/>
          </w:tcPr>
          <w:p w14:paraId="54DA31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481789A2" w14:textId="77777777" w:rsidTr="00ED5B0A">
        <w:tc>
          <w:tcPr>
            <w:tcW w:w="2660" w:type="dxa"/>
          </w:tcPr>
          <w:p w14:paraId="480BD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w:t>
            </w:r>
          </w:p>
        </w:tc>
        <w:tc>
          <w:tcPr>
            <w:tcW w:w="2126" w:type="dxa"/>
          </w:tcPr>
          <w:p w14:paraId="08486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40" w:type="dxa"/>
          </w:tcPr>
          <w:p w14:paraId="5DB74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зенитные</w:t>
            </w:r>
          </w:p>
        </w:tc>
        <w:tc>
          <w:tcPr>
            <w:tcW w:w="912" w:type="dxa"/>
          </w:tcPr>
          <w:p w14:paraId="5C7C24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 мм</w:t>
            </w:r>
          </w:p>
        </w:tc>
        <w:tc>
          <w:tcPr>
            <w:tcW w:w="3118" w:type="dxa"/>
          </w:tcPr>
          <w:p w14:paraId="219E11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2F06EA19" w14:textId="77777777" w:rsidTr="00ED5B0A">
        <w:tc>
          <w:tcPr>
            <w:tcW w:w="2660" w:type="dxa"/>
          </w:tcPr>
          <w:p w14:paraId="4A07E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w:t>
            </w:r>
          </w:p>
        </w:tc>
        <w:tc>
          <w:tcPr>
            <w:tcW w:w="2126" w:type="dxa"/>
          </w:tcPr>
          <w:p w14:paraId="2C9622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40" w:type="dxa"/>
          </w:tcPr>
          <w:p w14:paraId="16B1AA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противотанковые</w:t>
            </w:r>
          </w:p>
        </w:tc>
        <w:tc>
          <w:tcPr>
            <w:tcW w:w="912" w:type="dxa"/>
          </w:tcPr>
          <w:p w14:paraId="38DDF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мм</w:t>
            </w:r>
          </w:p>
        </w:tc>
        <w:tc>
          <w:tcPr>
            <w:tcW w:w="3118" w:type="dxa"/>
          </w:tcPr>
          <w:p w14:paraId="36DBF3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08F8846A" w14:textId="77777777" w:rsidTr="00ED5B0A">
        <w:tc>
          <w:tcPr>
            <w:tcW w:w="2660" w:type="dxa"/>
          </w:tcPr>
          <w:p w14:paraId="374F8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w:t>
            </w:r>
          </w:p>
        </w:tc>
        <w:tc>
          <w:tcPr>
            <w:tcW w:w="2126" w:type="dxa"/>
          </w:tcPr>
          <w:p w14:paraId="021717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w:t>
            </w:r>
          </w:p>
        </w:tc>
        <w:tc>
          <w:tcPr>
            <w:tcW w:w="1640" w:type="dxa"/>
          </w:tcPr>
          <w:p w14:paraId="4ADA58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12" w:type="dxa"/>
          </w:tcPr>
          <w:p w14:paraId="357F5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мм</w:t>
            </w:r>
          </w:p>
        </w:tc>
        <w:tc>
          <w:tcPr>
            <w:tcW w:w="3118" w:type="dxa"/>
          </w:tcPr>
          <w:p w14:paraId="703A5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2CF414AF" w14:textId="77777777" w:rsidTr="00ED5B0A">
        <w:tc>
          <w:tcPr>
            <w:tcW w:w="2660" w:type="dxa"/>
          </w:tcPr>
          <w:p w14:paraId="40FC8C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w:t>
            </w:r>
          </w:p>
        </w:tc>
        <w:tc>
          <w:tcPr>
            <w:tcW w:w="2126" w:type="dxa"/>
          </w:tcPr>
          <w:p w14:paraId="3396D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40" w:type="dxa"/>
          </w:tcPr>
          <w:p w14:paraId="3CB38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12" w:type="dxa"/>
          </w:tcPr>
          <w:p w14:paraId="4DF59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 мм</w:t>
            </w:r>
          </w:p>
        </w:tc>
        <w:tc>
          <w:tcPr>
            <w:tcW w:w="3118" w:type="dxa"/>
          </w:tcPr>
          <w:p w14:paraId="611CE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5B0C9DA8" w14:textId="77777777" w:rsidTr="00ED5B0A">
        <w:tc>
          <w:tcPr>
            <w:tcW w:w="2660" w:type="dxa"/>
          </w:tcPr>
          <w:p w14:paraId="2ACA46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w:t>
            </w:r>
          </w:p>
        </w:tc>
        <w:tc>
          <w:tcPr>
            <w:tcW w:w="2126" w:type="dxa"/>
          </w:tcPr>
          <w:p w14:paraId="2CF32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англ.</w:t>
            </w:r>
          </w:p>
        </w:tc>
        <w:tc>
          <w:tcPr>
            <w:tcW w:w="1640" w:type="dxa"/>
          </w:tcPr>
          <w:p w14:paraId="080F4E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12" w:type="dxa"/>
          </w:tcPr>
          <w:p w14:paraId="4E39B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мм</w:t>
            </w:r>
          </w:p>
        </w:tc>
        <w:tc>
          <w:tcPr>
            <w:tcW w:w="3118" w:type="dxa"/>
          </w:tcPr>
          <w:p w14:paraId="166FD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226324B4" w14:textId="77777777" w:rsidTr="00ED5B0A">
        <w:tc>
          <w:tcPr>
            <w:tcW w:w="2660" w:type="dxa"/>
          </w:tcPr>
          <w:p w14:paraId="0E090E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w:t>
            </w:r>
          </w:p>
        </w:tc>
        <w:tc>
          <w:tcPr>
            <w:tcW w:w="2126" w:type="dxa"/>
          </w:tcPr>
          <w:p w14:paraId="0C6DB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амер.</w:t>
            </w:r>
          </w:p>
        </w:tc>
        <w:tc>
          <w:tcPr>
            <w:tcW w:w="1640" w:type="dxa"/>
          </w:tcPr>
          <w:p w14:paraId="6770B8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12" w:type="dxa"/>
          </w:tcPr>
          <w:p w14:paraId="6A663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мм</w:t>
            </w:r>
          </w:p>
        </w:tc>
        <w:tc>
          <w:tcPr>
            <w:tcW w:w="3118" w:type="dxa"/>
          </w:tcPr>
          <w:p w14:paraId="6F68C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610EAD3E" w14:textId="77777777" w:rsidTr="00ED5B0A">
        <w:tc>
          <w:tcPr>
            <w:tcW w:w="2660" w:type="dxa"/>
          </w:tcPr>
          <w:p w14:paraId="5083C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w:t>
            </w:r>
          </w:p>
        </w:tc>
        <w:tc>
          <w:tcPr>
            <w:tcW w:w="2126" w:type="dxa"/>
          </w:tcPr>
          <w:p w14:paraId="69A1D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w:t>
            </w:r>
          </w:p>
        </w:tc>
        <w:tc>
          <w:tcPr>
            <w:tcW w:w="1640" w:type="dxa"/>
          </w:tcPr>
          <w:p w14:paraId="00803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ПТО или ТП</w:t>
            </w:r>
          </w:p>
        </w:tc>
        <w:tc>
          <w:tcPr>
            <w:tcW w:w="912" w:type="dxa"/>
          </w:tcPr>
          <w:p w14:paraId="50C9F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 мм</w:t>
            </w:r>
          </w:p>
        </w:tc>
        <w:tc>
          <w:tcPr>
            <w:tcW w:w="3118" w:type="dxa"/>
          </w:tcPr>
          <w:p w14:paraId="6E44D0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7ADDF283" w14:textId="77777777" w:rsidTr="00ED5B0A">
        <w:tc>
          <w:tcPr>
            <w:tcW w:w="2660" w:type="dxa"/>
          </w:tcPr>
          <w:p w14:paraId="0B190B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2126" w:type="dxa"/>
          </w:tcPr>
          <w:p w14:paraId="5AD91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40" w:type="dxa"/>
          </w:tcPr>
          <w:p w14:paraId="5499E7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зенитные</w:t>
            </w:r>
          </w:p>
        </w:tc>
        <w:tc>
          <w:tcPr>
            <w:tcW w:w="912" w:type="dxa"/>
          </w:tcPr>
          <w:p w14:paraId="2F4CB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 мм</w:t>
            </w:r>
          </w:p>
        </w:tc>
        <w:tc>
          <w:tcPr>
            <w:tcW w:w="3118" w:type="dxa"/>
          </w:tcPr>
          <w:p w14:paraId="2DE9BB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шт.</w:t>
            </w:r>
          </w:p>
        </w:tc>
      </w:tr>
      <w:tr w:rsidR="00A907A5" w:rsidRPr="00271E51" w14:paraId="571117CE" w14:textId="77777777" w:rsidTr="00ED5B0A">
        <w:tc>
          <w:tcPr>
            <w:tcW w:w="2660" w:type="dxa"/>
          </w:tcPr>
          <w:p w14:paraId="2FAD73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Противотанковые ружья (ПТР)</w:t>
            </w:r>
          </w:p>
        </w:tc>
        <w:tc>
          <w:tcPr>
            <w:tcW w:w="2126" w:type="dxa"/>
          </w:tcPr>
          <w:p w14:paraId="2C2FA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w:t>
            </w:r>
          </w:p>
        </w:tc>
        <w:tc>
          <w:tcPr>
            <w:tcW w:w="1640" w:type="dxa"/>
          </w:tcPr>
          <w:p w14:paraId="3B193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5130D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28/20</w:t>
            </w:r>
          </w:p>
        </w:tc>
        <w:tc>
          <w:tcPr>
            <w:tcW w:w="3118" w:type="dxa"/>
          </w:tcPr>
          <w:p w14:paraId="599C2A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кмп</w:t>
            </w:r>
          </w:p>
        </w:tc>
      </w:tr>
      <w:tr w:rsidR="00A907A5" w:rsidRPr="00271E51" w14:paraId="6665B444" w14:textId="77777777" w:rsidTr="00ED5B0A">
        <w:tc>
          <w:tcPr>
            <w:tcW w:w="2660" w:type="dxa"/>
          </w:tcPr>
          <w:p w14:paraId="45CB2F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2126" w:type="dxa"/>
          </w:tcPr>
          <w:p w14:paraId="1EEED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w:t>
            </w:r>
          </w:p>
        </w:tc>
        <w:tc>
          <w:tcPr>
            <w:tcW w:w="1640" w:type="dxa"/>
          </w:tcPr>
          <w:p w14:paraId="4B7901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7C4BA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 мм</w:t>
            </w:r>
          </w:p>
        </w:tc>
        <w:tc>
          <w:tcPr>
            <w:tcW w:w="3118" w:type="dxa"/>
          </w:tcPr>
          <w:p w14:paraId="7C83C6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кмп</w:t>
            </w:r>
          </w:p>
        </w:tc>
      </w:tr>
      <w:tr w:rsidR="00A907A5" w:rsidRPr="00271E51" w14:paraId="2A94B09B" w14:textId="77777777" w:rsidTr="00ED5B0A">
        <w:tc>
          <w:tcPr>
            <w:tcW w:w="2660" w:type="dxa"/>
          </w:tcPr>
          <w:p w14:paraId="66C17D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0501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Блюм</w:t>
            </w:r>
          </w:p>
        </w:tc>
        <w:tc>
          <w:tcPr>
            <w:tcW w:w="1640" w:type="dxa"/>
          </w:tcPr>
          <w:p w14:paraId="632258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37B1E5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3EC51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F6FAE7" w14:textId="77777777" w:rsidTr="00ED5B0A">
        <w:tc>
          <w:tcPr>
            <w:tcW w:w="2660" w:type="dxa"/>
          </w:tcPr>
          <w:p w14:paraId="2547E3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2126" w:type="dxa"/>
          </w:tcPr>
          <w:p w14:paraId="51E8F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w:t>
            </w:r>
          </w:p>
        </w:tc>
        <w:tc>
          <w:tcPr>
            <w:tcW w:w="1640" w:type="dxa"/>
          </w:tcPr>
          <w:p w14:paraId="7050B0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6293C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 мм</w:t>
            </w:r>
          </w:p>
        </w:tc>
        <w:tc>
          <w:tcPr>
            <w:tcW w:w="3118" w:type="dxa"/>
          </w:tcPr>
          <w:p w14:paraId="5A5A8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кмп</w:t>
            </w:r>
          </w:p>
        </w:tc>
      </w:tr>
      <w:tr w:rsidR="00A907A5" w:rsidRPr="00271E51" w14:paraId="746497B9" w14:textId="77777777" w:rsidTr="00ED5B0A">
        <w:tc>
          <w:tcPr>
            <w:tcW w:w="2660" w:type="dxa"/>
          </w:tcPr>
          <w:p w14:paraId="0A0460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E70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Симонова (1778,213)</w:t>
            </w:r>
          </w:p>
        </w:tc>
        <w:tc>
          <w:tcPr>
            <w:tcW w:w="1640" w:type="dxa"/>
          </w:tcPr>
          <w:p w14:paraId="0D5BF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Pr>
          <w:p w14:paraId="1B9D98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07FC4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21D8A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C6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ОКБ С.В.И. снабдило завод 23 эскизами для переделки фланцев выхлопных коллекторов для 2 М-82ФН для Ил-4 в варианте дневного бомбардировщика, полученных с 19 завода (1785,41).</w:t>
      </w:r>
    </w:p>
    <w:p w14:paraId="579137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9F7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С.В.И. писал А.И.Ш. письмо N 1/787с:</w:t>
      </w:r>
    </w:p>
    <w:p w14:paraId="28AA9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Вашего приказа N 172 от 27 марта 1943 директор завода 23 Иосилович был обязан выпустить до 1 мая 1943 самолет Ил-4 с 2хМ-88, у которого должны были быть сделаны след. изменения:</w:t>
      </w:r>
    </w:p>
    <w:p w14:paraId="3466C2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улучшения центровки самолета концы консолей сдвинуты назад.</w:t>
      </w:r>
    </w:p>
    <w:p w14:paraId="65390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элероны с увеличенной аэродинамической компенсацией</w:t>
      </w:r>
    </w:p>
    <w:p w14:paraId="576AA3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Указанные небольшие изменения в самолете резко улучшили бы и облегчили пилотирование самолета, особенно в ночных условиях.</w:t>
      </w:r>
    </w:p>
    <w:p w14:paraId="31144A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23 без какой-либо причины сорвал срок выпуска самолета 1 мая 1943 и затянул его выпуск до 3 июля 1943.</w:t>
      </w:r>
    </w:p>
    <w:p w14:paraId="72896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Такое отношение директора завода к улучшению качества выпускаемого им самолета Ил-4 является ненормальным, поэтому прошу Вас привлечь его к ответственности.</w:t>
      </w:r>
    </w:p>
    <w:p w14:paraId="1C915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дополнение к вышеизложенному считаю необходимым доложить Вам имевший место факт по вопросу об улучшенном самолете.</w:t>
      </w:r>
    </w:p>
    <w:p w14:paraId="0EFEA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 В.К.К., произведший два полета и обнаруживший значительное улучшение пилотажных свойств самолете, договорился с г-л Марковым и мною, что инстпектора-летчики АДД полетали бы на этом самолете и дали бы свое заключение, на предмет быстрейшего запуска указанных изменений в серию.</w:t>
      </w:r>
    </w:p>
    <w:p w14:paraId="5A6E00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Облет был назначен на воскресенье 11 июля 1943 на аэродроме 1-й дивизии АДД в Монино. На этом облете должна была присутствовать летная инспекция АДД и гвард. дивизий, г-л Марков, л В.К.К. и я, как ГК. Облет был назначен на 12 час. дня 11 июля 1943.</w:t>
      </w:r>
    </w:p>
    <w:p w14:paraId="49234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Накануне в субботу 10 июля 1943 В.К.К. договорился с Иосиловичем, что самолет Ил-4 будет готов в 11 час. утра в воскресенье для ВК.К. для полета в Монино.</w:t>
      </w:r>
    </w:p>
    <w:p w14:paraId="68C0A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В.К.К. прибыл в 10:45 на аэродром завода к Иосиловичу, то последний отказался предоставить самолет В.К.К. для облета, мотивируя тем, что с не оформлен военпредом, т.к. ему не выдали удостоверение о сдаче.</w:t>
      </w:r>
    </w:p>
    <w:p w14:paraId="42F42A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полуторачасового ожидания В.К.К. полетел на Монинский аэродром на У-2, где мы вынуждены были извиниться перед собравшимися, мотивируя отмену облета неготовностью самолета (1775,220).</w:t>
      </w:r>
    </w:p>
    <w:p w14:paraId="2C1B4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129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года командующий ВВС МВО генерал-лейтенант авиации Светов писал письмо N 133913 командующему ВВС маршалу авиации Новикову.</w:t>
      </w:r>
    </w:p>
    <w:p w14:paraId="4C232B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- 11.7.43 г. в 12 ч. 58 м. на Центральном аэродроме им. Фрунзе произошло столкновение самолетов: Як-1 пилотируемый летчиком 12-й ГИАП Героем Советского Союза капитаном Катвич и самолетом У-2, пилотируемым генерал-майором авиации Ильюшиным.</w:t>
      </w:r>
    </w:p>
    <w:p w14:paraId="7C3E4D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Генерал-майор авиации Ильюшин произвел посадку в паре с генерал-майором авиации Коккинаки при знаке "Крест" и двух красных ракетах.</w:t>
      </w:r>
    </w:p>
    <w:p w14:paraId="7D2764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Капитан Катрич производил посадку также при "Кресте" и одной красной ракете.</w:t>
      </w:r>
    </w:p>
    <w:p w14:paraId="6B3EB6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выравнивании капитан Катрич задел "правой ногой" шасси за левую верхнюю плоскость У-2, дал газ и ушел на второй круг, после чего благополучно произвел посадку.</w:t>
      </w:r>
    </w:p>
    <w:p w14:paraId="5FE6B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столкновения экипажи невредимы, на самолете У-2 разбита левая полукоробка, на самолете Як-1 погнут щиток "правой ноги" (1779).</w:t>
      </w:r>
    </w:p>
    <w:p w14:paraId="30AE0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B23B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вышел приказ НКАП № 416с:</w:t>
      </w:r>
    </w:p>
    <w:p w14:paraId="2F1621B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увеличения мощности з-да № 464 и обеспечения ремонта с-тов Ли-2 в ВВС:</w:t>
      </w:r>
    </w:p>
    <w:p w14:paraId="7F19059B" w14:textId="77777777" w:rsidR="00BA7A65" w:rsidRPr="00271E51" w:rsidRDefault="00BA7A65"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 ГУ 6 Пачину передать з-д № 462 со всем оборудованием, рабочими радрами и всем остальным имуществом в 11 ГУ по состоянию на 1 июля 1943.</w:t>
      </w:r>
    </w:p>
    <w:p w14:paraId="7DF9031E" w14:textId="77777777" w:rsidR="00BA7A65" w:rsidRPr="00271E51" w:rsidRDefault="00BA7A65"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11 ГУ Куликову и д-ру з-да № 464 Петровскому:</w:t>
      </w:r>
    </w:p>
    <w:p w14:paraId="54F980D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Перевести з-д № 464 со всем оборуждованием, транспортом и личным составом на площадку з-да № 462. Присвоить объединенному з-ду № 464,</w:t>
      </w:r>
    </w:p>
    <w:p w14:paraId="02CFD9E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 11 ГУ передать 7 ГУ территорию з-да № 464 в Тушино… для размещения з-в № 289 и 380.</w:t>
      </w:r>
    </w:p>
    <w:p w14:paraId="7AE80035" w14:textId="77777777" w:rsidR="00BA7A65" w:rsidRPr="00271E51" w:rsidRDefault="00BA7A65"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Присвоить объединенным з-дам ТТ 289 и 380 номер № 289.</w:t>
      </w:r>
    </w:p>
    <w:p w14:paraId="315CEA6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Шахурин (1731, 173).</w:t>
      </w:r>
    </w:p>
    <w:p w14:paraId="5499CA5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AF41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в НИИ ВВС закончились контрольные испытания Як-6 № Э014347 з-да № 47, сделанного в мае 1943, которые проходили с С июля 1943.</w:t>
      </w:r>
    </w:p>
    <w:p w14:paraId="717BE4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м М.Д.Яськов, вл м А.В.Синельников.</w:t>
      </w:r>
    </w:p>
    <w:p w14:paraId="38F09B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серийных отличался:</w:t>
      </w:r>
    </w:p>
    <w:p w14:paraId="01951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сделано разъемным,</w:t>
      </w:r>
    </w:p>
    <w:p w14:paraId="50E25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Увеличена стреловидность консолей с 9 гр до 15 гр, а поперечное V с 8.50 до 10.50,</w:t>
      </w:r>
    </w:p>
    <w:p w14:paraId="16B40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Увеличена площадь элеронов с 1.93 м до 2.13 м,</w:t>
      </w:r>
    </w:p>
    <w:p w14:paraId="13966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Изменен угол установки стабилизатора с -3 до 0,</w:t>
      </w:r>
    </w:p>
    <w:p w14:paraId="0B0EF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правой стороны фюзеляжа сделан двустворчатый люк размером 850х1100 мм, открывающийся внутрь,</w:t>
      </w:r>
    </w:p>
    <w:p w14:paraId="593D3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консолях поставили баки по 90 л и увеличили запас с 380 до 560 л,</w:t>
      </w:r>
    </w:p>
    <w:p w14:paraId="1BEC6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Поставили выхлопные коллекторы,</w:t>
      </w:r>
    </w:p>
    <w:p w14:paraId="576BE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поставили одну большую Вентури вместо трех малых для АГ,</w:t>
      </w:r>
    </w:p>
    <w:p w14:paraId="6233D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Подняли сидение на 45 мм и отклонили спинку на 40 мм.</w:t>
      </w:r>
    </w:p>
    <w:p w14:paraId="79E49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Улучшились поперечная и продольная устойчивость и пилотажные свойства, но мал диапазон скоростей и раскрутка винта (4657, 19).</w:t>
      </w:r>
    </w:p>
    <w:p w14:paraId="50C231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49A0A" w14:textId="77777777" w:rsidR="004C3A11" w:rsidRPr="00271E51" w:rsidRDefault="004C3A11"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14 июля 1943 г. Из приказа № 417с/0138 Народного комиссара авиационной промышленности СССР АИ. Шахурина и командующего ВВС А.К. Репина о расширении ресурсов авиатоплив посредством применения впрыска воды в авиадвигатели для подавления детонации</w:t>
      </w:r>
    </w:p>
    <w:p w14:paraId="5C965762"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w:t>
      </w:r>
    </w:p>
    <w:p w14:paraId="0EA33E12"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Научно-исследовательским институтом ГВФ при участии ИХФ АН СССР и Наркоматом авиационной промышленности согласно рас</w:t>
      </w:r>
      <w:r w:rsidRPr="00271E51">
        <w:rPr>
          <w:rFonts w:ascii="Times New Roman" w:hAnsi="Times New Roman"/>
          <w:color w:val="000000" w:themeColor="text1"/>
          <w:sz w:val="16"/>
          <w:szCs w:val="16"/>
        </w:rPr>
        <w:softHyphen/>
        <w:t>поряжению Совнаркома СССР от 4 ноября 1942 г. за № 2100РС бы</w:t>
      </w:r>
      <w:r w:rsidRPr="00271E51">
        <w:rPr>
          <w:rFonts w:ascii="Times New Roman" w:hAnsi="Times New Roman"/>
          <w:color w:val="000000" w:themeColor="text1"/>
          <w:sz w:val="16"/>
          <w:szCs w:val="16"/>
        </w:rPr>
        <w:softHyphen/>
        <w:t>ли проведены с положительными результатами испытания моторов М-62ИР и М-105 с впрыском воды в цилиндры и испытание двух мото</w:t>
      </w:r>
      <w:r w:rsidRPr="00271E51">
        <w:rPr>
          <w:rFonts w:ascii="Times New Roman" w:hAnsi="Times New Roman"/>
          <w:color w:val="000000" w:themeColor="text1"/>
          <w:sz w:val="16"/>
          <w:szCs w:val="16"/>
        </w:rPr>
        <w:softHyphen/>
        <w:t>ров М-62ИР с впрыском воды в летных эксплуатационных условиях на самолете ЛИ-2.</w:t>
      </w:r>
    </w:p>
    <w:p w14:paraId="2790E87F" w14:textId="77777777" w:rsidR="004C3A11" w:rsidRPr="00271E51" w:rsidRDefault="004C3A11" w:rsidP="00271E51">
      <w:pPr>
        <w:pStyle w:val="6a"/>
        <w:shd w:val="clear" w:color="auto" w:fill="auto"/>
        <w:spacing w:before="0" w:line="240" w:lineRule="auto"/>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D340D33"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проведенной работы установлено, что впрыск во</w:t>
      </w:r>
      <w:r w:rsidRPr="00271E51">
        <w:rPr>
          <w:rFonts w:ascii="Times New Roman" w:hAnsi="Times New Roman"/>
          <w:color w:val="000000" w:themeColor="text1"/>
          <w:sz w:val="16"/>
          <w:szCs w:val="16"/>
        </w:rPr>
        <w:softHyphen/>
        <w:t>ды в авиадвигатели снижает требования к октановому числу авиатоплив, учитывая важность увеличения ресурсов авиатоплив, ПРИКАЗЫВАЕМ:</w:t>
      </w:r>
    </w:p>
    <w:p w14:paraId="50EB5F27" w14:textId="77777777" w:rsidR="004C3A11" w:rsidRPr="00271E51" w:rsidRDefault="004C3A11" w:rsidP="00271E51">
      <w:pPr>
        <w:tabs>
          <w:tab w:val="left" w:pos="75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 16 тов. Лукину:</w:t>
      </w:r>
    </w:p>
    <w:p w14:paraId="70AE3E4C" w14:textId="77777777" w:rsidR="004C3A11" w:rsidRPr="00271E51" w:rsidRDefault="004C3A11" w:rsidP="00271E51">
      <w:pPr>
        <w:tabs>
          <w:tab w:val="left" w:pos="81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форсировать начатые работы по отработке применения впры</w:t>
      </w:r>
      <w:r w:rsidRPr="00271E51">
        <w:rPr>
          <w:rFonts w:ascii="Times New Roman" w:hAnsi="Times New Roman"/>
          <w:color w:val="000000" w:themeColor="text1"/>
          <w:sz w:val="16"/>
          <w:szCs w:val="16"/>
        </w:rPr>
        <w:softHyphen/>
        <w:t>ска воды на моторе М-105ПФ и провести длительные 100 часовые стан</w:t>
      </w:r>
      <w:r w:rsidRPr="00271E51">
        <w:rPr>
          <w:rFonts w:ascii="Times New Roman" w:hAnsi="Times New Roman"/>
          <w:color w:val="000000" w:themeColor="text1"/>
          <w:sz w:val="16"/>
          <w:szCs w:val="16"/>
        </w:rPr>
        <w:softHyphen/>
        <w:t>ковые испытания мотора М-105ПФ с впрыском воды с участием стар</w:t>
      </w:r>
      <w:r w:rsidRPr="00271E51">
        <w:rPr>
          <w:rFonts w:ascii="Times New Roman" w:hAnsi="Times New Roman"/>
          <w:color w:val="000000" w:themeColor="text1"/>
          <w:sz w:val="16"/>
          <w:szCs w:val="16"/>
        </w:rPr>
        <w:softHyphen/>
        <w:t>шего военпреда ВВС КА на заводе № 16, инженер-полковника тов. Смирнова к 15 июля 1943 г.;</w:t>
      </w:r>
    </w:p>
    <w:p w14:paraId="6798CF5C" w14:textId="77777777" w:rsidR="004C3A11" w:rsidRPr="00271E51" w:rsidRDefault="004C3A11" w:rsidP="00271E51">
      <w:pPr>
        <w:tabs>
          <w:tab w:val="left" w:pos="807"/>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подать к 20 июля с.г. на завод № 22 три мотора М-105ПФ, обо</w:t>
      </w:r>
      <w:r w:rsidRPr="00271E51">
        <w:rPr>
          <w:rFonts w:ascii="Times New Roman" w:hAnsi="Times New Roman"/>
          <w:color w:val="000000" w:themeColor="text1"/>
          <w:sz w:val="16"/>
          <w:szCs w:val="16"/>
        </w:rPr>
        <w:softHyphen/>
        <w:t>рудованные аппаратурой для впрыска воды в цилиндры, для летных ис</w:t>
      </w:r>
      <w:r w:rsidRPr="00271E51">
        <w:rPr>
          <w:rFonts w:ascii="Times New Roman" w:hAnsi="Times New Roman"/>
          <w:color w:val="000000" w:themeColor="text1"/>
          <w:sz w:val="16"/>
          <w:szCs w:val="16"/>
        </w:rPr>
        <w:softHyphen/>
        <w:t>пытаний на самолете ПЕ-2.</w:t>
      </w:r>
    </w:p>
    <w:p w14:paraId="6C57F009" w14:textId="77777777" w:rsidR="004C3A11" w:rsidRPr="00271E51" w:rsidRDefault="004C3A11" w:rsidP="00271E51">
      <w:pPr>
        <w:tabs>
          <w:tab w:val="left" w:pos="79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 22 тов. Окулову и главному конструкто</w:t>
      </w:r>
      <w:r w:rsidRPr="00271E51">
        <w:rPr>
          <w:rFonts w:ascii="Times New Roman" w:hAnsi="Times New Roman"/>
          <w:color w:val="000000" w:themeColor="text1"/>
          <w:sz w:val="16"/>
          <w:szCs w:val="16"/>
        </w:rPr>
        <w:softHyphen/>
        <w:t>ру тов. Мясищеву оборудовать к 27 июля с.г. 1 самолет ПЕ-2 мотора</w:t>
      </w:r>
      <w:r w:rsidRPr="00271E51">
        <w:rPr>
          <w:rFonts w:ascii="Times New Roman" w:hAnsi="Times New Roman"/>
          <w:color w:val="000000" w:themeColor="text1"/>
          <w:sz w:val="16"/>
          <w:szCs w:val="16"/>
        </w:rPr>
        <w:softHyphen/>
        <w:t>ми М-105ПФ с впрыском воды в цилиндры и провести к 5 августа с.г. заводские летные испытания по специальной программе совместно с представителями НИИ ВВС.</w:t>
      </w:r>
    </w:p>
    <w:p w14:paraId="04A06D87" w14:textId="77777777" w:rsidR="004C3A11" w:rsidRPr="00271E51" w:rsidRDefault="004C3A11" w:rsidP="00271E51">
      <w:pPr>
        <w:tabs>
          <w:tab w:val="left" w:pos="80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Начальнику НИИ ГВФ, генерал-лейтенанту авиации тов. Пе</w:t>
      </w:r>
      <w:r w:rsidRPr="00271E51">
        <w:rPr>
          <w:rFonts w:ascii="Times New Roman" w:hAnsi="Times New Roman"/>
          <w:color w:val="000000" w:themeColor="text1"/>
          <w:sz w:val="16"/>
          <w:szCs w:val="16"/>
        </w:rPr>
        <w:softHyphen/>
        <w:t>трову И.Ф. выделить представителей НИИ ГВФ для участия в оборудо</w:t>
      </w:r>
      <w:r w:rsidRPr="00271E51">
        <w:rPr>
          <w:rFonts w:ascii="Times New Roman" w:hAnsi="Times New Roman"/>
          <w:color w:val="000000" w:themeColor="text1"/>
          <w:sz w:val="16"/>
          <w:szCs w:val="16"/>
        </w:rPr>
        <w:softHyphen/>
        <w:t>вании самолета ПЕ-2 и проведения летных испытаний.</w:t>
      </w:r>
    </w:p>
    <w:p w14:paraId="19968905" w14:textId="77777777" w:rsidR="004C3A11" w:rsidRPr="00271E51" w:rsidRDefault="004C3A11" w:rsidP="00271E51">
      <w:pPr>
        <w:tabs>
          <w:tab w:val="left" w:pos="807"/>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Начальнику НИИ ГВФ, генерал-лейтенанту авиации тов. Пе</w:t>
      </w:r>
      <w:r w:rsidRPr="00271E51">
        <w:rPr>
          <w:rFonts w:ascii="Times New Roman" w:hAnsi="Times New Roman"/>
          <w:color w:val="000000" w:themeColor="text1"/>
          <w:sz w:val="16"/>
          <w:szCs w:val="16"/>
        </w:rPr>
        <w:softHyphen/>
        <w:t>трову И.Ф. оборудовать 5 самолетов ЛИ-2 с моторами М-62ИР аппара</w:t>
      </w:r>
      <w:r w:rsidRPr="00271E51">
        <w:rPr>
          <w:rFonts w:ascii="Times New Roman" w:hAnsi="Times New Roman"/>
          <w:color w:val="000000" w:themeColor="text1"/>
          <w:sz w:val="16"/>
          <w:szCs w:val="16"/>
        </w:rPr>
        <w:softHyphen/>
        <w:t>турой впрыска воды к 15 июля 1943 г. Опытную эксплуатацию моторов М-62ИР с впрыском воды на 5-ти самолетах ЛИ-2 на полный ресурс ра</w:t>
      </w:r>
      <w:r w:rsidRPr="00271E51">
        <w:rPr>
          <w:rFonts w:ascii="Times New Roman" w:hAnsi="Times New Roman"/>
          <w:color w:val="000000" w:themeColor="text1"/>
          <w:sz w:val="16"/>
          <w:szCs w:val="16"/>
        </w:rPr>
        <w:softHyphen/>
        <w:t>боты моторов (500 часов) закончить к 1 сентября 1943 г.</w:t>
      </w:r>
    </w:p>
    <w:p w14:paraId="3F134867" w14:textId="77777777" w:rsidR="004C3A11" w:rsidRPr="00271E51" w:rsidRDefault="004C3A11" w:rsidP="00271E51">
      <w:pPr>
        <w:tabs>
          <w:tab w:val="left" w:pos="80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Отчеты по испытаниям представить нам на утверждение в пя</w:t>
      </w:r>
      <w:r w:rsidRPr="00271E51">
        <w:rPr>
          <w:rFonts w:ascii="Times New Roman" w:hAnsi="Times New Roman"/>
          <w:color w:val="000000" w:themeColor="text1"/>
          <w:sz w:val="16"/>
          <w:szCs w:val="16"/>
        </w:rPr>
        <w:softHyphen/>
        <w:t>тидневный срок после окончания испытаний.</w:t>
      </w:r>
    </w:p>
    <w:p w14:paraId="61CD6B1C" w14:textId="77777777" w:rsidR="004C3A11" w:rsidRPr="00271E51" w:rsidRDefault="004C3A11" w:rsidP="00271E51">
      <w:pPr>
        <w:tabs>
          <w:tab w:val="left" w:pos="3759"/>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авиационной промышленности А.И. Шахурин</w:t>
      </w:r>
    </w:p>
    <w:p w14:paraId="20930D41" w14:textId="77777777" w:rsidR="004C3A11" w:rsidRPr="00271E51" w:rsidRDefault="004C3A11" w:rsidP="00271E51">
      <w:pPr>
        <w:tabs>
          <w:tab w:val="left" w:pos="3759"/>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командующего ВВС КА, генерал-полковник ИАС</w:t>
      </w:r>
      <w:r w:rsidRPr="00271E51">
        <w:rPr>
          <w:rFonts w:ascii="Times New Roman" w:hAnsi="Times New Roman"/>
          <w:color w:val="000000" w:themeColor="text1"/>
          <w:sz w:val="16"/>
          <w:szCs w:val="16"/>
        </w:rPr>
        <w:tab/>
        <w:t>А.К. Репин</w:t>
      </w:r>
    </w:p>
    <w:p w14:paraId="447048A9"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РГАНТД. Ф. Р-4. Оп. 2-1. Д. 358. Л. 7, 8. Копия (15633).</w:t>
      </w:r>
    </w:p>
    <w:p w14:paraId="22A05144"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7B5A575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приказом НКАП № 416с от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3D4D8C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278D2B0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DB8721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57FF138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6F9C52F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5B28C24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45B1D5C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Адрес: ст. Долгопрудная Московской области, п/я 1078</w:t>
      </w:r>
    </w:p>
    <w:p w14:paraId="52628DF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29ED9E7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BE606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 по приказу НКАП № 416с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11ГУ.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628565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381 НКАП в качестве филиала № 2.</w:t>
      </w:r>
    </w:p>
    <w:p w14:paraId="32870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приказу № 404с от 20.10.1945г завод с 1.10.1945 г. передан из 11ГУ 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11ГУ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w:t>
      </w:r>
    </w:p>
    <w:p w14:paraId="01EE9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8472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1952-53 г. началось производство ЗУР. Разработана ЗУР 9М317, гл. конструктор- В.П. Эктов.</w:t>
      </w:r>
    </w:p>
    <w:p w14:paraId="1D3474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006D7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03A9F3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(07.1941 г.-)- О.К. Антонов, (07.1946 г.-)- А.С. Яковлев. Ген. конструктор (-1999-2002 г.-)- В.П. Эктов.69 </w:t>
      </w:r>
    </w:p>
    <w:p w14:paraId="29FAE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планер А-7 (1941-42); Як-6 (1942-43)- 50, У-2 (1943-45)- 1364, Як-14, Як-10 (1946)- 2, Як-12 (1948-51), Ан-2М (1966-71)- 506.</w:t>
      </w:r>
    </w:p>
    <w:p w14:paraId="1A5B0D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Заводской №: Ан-2М № 600810: 6- год выпуска, 008- серия, 10- № самолета в серии.</w:t>
      </w:r>
    </w:p>
    <w:p w14:paraId="3225D6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709EF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Ремонт: Як-6 (1943-).</w:t>
      </w:r>
    </w:p>
    <w:p w14:paraId="1E49C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0ED29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 Тушино Московской обл.; г. Тюмень; г. Долгопрудный Московской обл. </w:t>
      </w:r>
    </w:p>
    <w:p w14:paraId="41174A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141700 г. Долгопрудный Московской обл. пл. Собина, 1 тел. 408-34-22</w:t>
      </w:r>
    </w:p>
    <w:p w14:paraId="3595AE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464 гл. конструктора О.К. Антонова</w:t>
      </w:r>
    </w:p>
    <w:p w14:paraId="4A661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4A59E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68919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«ПМ» при заводе № 464 НКАП</w:t>
      </w:r>
    </w:p>
    <w:p w14:paraId="04AC55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24C7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A36BF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ФГУП «Воскресенский государственный казенный агрегатный завод»</w:t>
      </w:r>
    </w:p>
    <w:p w14:paraId="114DCD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Фаустово Московской обл. тел. 556-07-47</w:t>
      </w:r>
    </w:p>
    <w:p w14:paraId="70D02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Входит в ОАО «ДНПП» (2002 г.). По Указу Президента РФ № 1009 от 4.08.2004 г. вошло в перечень стратегических оборонных предприятий.</w:t>
      </w:r>
    </w:p>
    <w:p w14:paraId="7D982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Кимовский завод металлоизделий</w:t>
      </w:r>
    </w:p>
    <w:p w14:paraId="50354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Кимовск Тульской обл.</w:t>
      </w:r>
    </w:p>
    <w:p w14:paraId="275435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Входит в ОАО «ДНПП» (2002 г.) (10776).</w:t>
      </w:r>
    </w:p>
    <w:p w14:paraId="6496B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DB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завод № 464 для улучшения условий ремонта самолета Ли-2 был переведен из г.Тушино на ст. Долгопрудная со всем оборудованием и личным составом на площади завода №462 НКАП и объединен с ним под названием завод №464 11ГУ НКАП (приказ НКАП №416). Освободившиеся площади завода №464 в Тушино переданы для размещения завода №289 НКАП (из г.Молотова) и завода №380 НКАП (из г.Калининграда) (10777).</w:t>
      </w:r>
    </w:p>
    <w:p w14:paraId="580A0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BE3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 по приказу № 416с на площадку завода № 462 (на площадке эвакуированного завода № 207 НКАП) переведен из Тушино Завод № 464 НКАП, оба завода объединены под названием Завод № 464 НКАП.</w:t>
      </w:r>
    </w:p>
    <w:p w14:paraId="2A1243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(04.1943 г.)- М.П. Озимков.</w:t>
      </w:r>
    </w:p>
    <w:p w14:paraId="19A97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(05.1943 г.)- Кузнецов (11982).</w:t>
      </w:r>
    </w:p>
    <w:p w14:paraId="169CA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1E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 по приказу № 416с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для улучшения условий для ремонта самолета Ли-2 перебазирован из Химок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541DE3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19BE1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 выпущена экспериментальная партия высокоточных планирующих бомб.</w:t>
      </w:r>
      <w:r w:rsidRPr="00271E51">
        <w:rPr>
          <w:rFonts w:ascii="Times New Roman" w:hAnsi="Times New Roman"/>
          <w:color w:val="000000" w:themeColor="text1"/>
          <w:sz w:val="16"/>
          <w:szCs w:val="16"/>
          <w:vertAlign w:val="superscript"/>
        </w:rPr>
        <w:t>104</w:t>
      </w:r>
    </w:p>
    <w:p w14:paraId="2C695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60FE9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2FF1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2ED95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03.1958 г. при заводе создано ОКБ.</w:t>
      </w:r>
    </w:p>
    <w:p w14:paraId="61EE3D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01.1964 г. началось освоение производства Ан-2М.</w:t>
      </w:r>
    </w:p>
    <w:p w14:paraId="0BBE5A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209DBA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271E51">
        <w:rPr>
          <w:rFonts w:ascii="Times New Roman" w:hAnsi="Times New Roman"/>
          <w:color w:val="000000" w:themeColor="text1"/>
          <w:sz w:val="16"/>
          <w:szCs w:val="16"/>
          <w:vertAlign w:val="superscript"/>
        </w:rPr>
        <w:t>58</w:t>
      </w:r>
      <w:r w:rsidRPr="00271E51">
        <w:rPr>
          <w:rFonts w:ascii="Times New Roman" w:hAnsi="Times New Roman"/>
          <w:color w:val="000000" w:themeColor="text1"/>
          <w:sz w:val="16"/>
          <w:szCs w:val="16"/>
        </w:rPr>
        <w:t xml:space="preserve"> (1999-2006 г.-)-  Г.П. Ежов.</w:t>
      </w:r>
    </w:p>
    <w:p w14:paraId="5DF6E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653E4C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(07.1941 г.-)-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 (07.1946-47 г.)- А.С. Яковлев. Ген. конструктор (-1999-2004 г.-)- В.П. Эктов.</w:t>
      </w:r>
      <w:r w:rsidRPr="00271E51">
        <w:rPr>
          <w:rFonts w:ascii="Times New Roman" w:hAnsi="Times New Roman"/>
          <w:color w:val="000000" w:themeColor="text1"/>
          <w:sz w:val="16"/>
          <w:szCs w:val="16"/>
          <w:vertAlign w:val="superscript"/>
        </w:rPr>
        <w:t>69</w:t>
      </w:r>
    </w:p>
    <w:p w14:paraId="22069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Гл. инженер (2004 г.)- А.П. Коробов.</w:t>
      </w:r>
    </w:p>
    <w:p w14:paraId="73006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(2004 г.)- В.В. Кононов.</w:t>
      </w:r>
    </w:p>
    <w:p w14:paraId="71709D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(2004 г.)- А.П. Булашевич, (2004 г.)- В.В. Соков.</w:t>
      </w:r>
    </w:p>
    <w:p w14:paraId="084B5B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планер А-7 (1941-42);</w:t>
      </w:r>
      <w:r w:rsidRPr="00271E51">
        <w:rPr>
          <w:rFonts w:ascii="Times New Roman" w:hAnsi="Times New Roman"/>
          <w:iCs/>
          <w:color w:val="000000" w:themeColor="text1"/>
          <w:sz w:val="16"/>
          <w:szCs w:val="16"/>
        </w:rPr>
        <w:t xml:space="preserve"> самолеты:</w:t>
      </w:r>
      <w:r w:rsidRPr="00271E51">
        <w:rPr>
          <w:rFonts w:ascii="Times New Roman" w:hAnsi="Times New Roman"/>
          <w:color w:val="000000" w:themeColor="text1"/>
          <w:sz w:val="16"/>
          <w:szCs w:val="16"/>
        </w:rPr>
        <w:t xml:space="preserve"> Як-6 (1942-43)- 50, У-2 (1943-45)- 1364, Як-14, Як-10 (1946)- 2, Як-12 (1948-51), Як-15УТ, Як-16, Ан-2М (1966-71)- 506;</w:t>
      </w:r>
      <w:r w:rsidRPr="00271E51">
        <w:rPr>
          <w:rFonts w:ascii="Times New Roman" w:hAnsi="Times New Roman"/>
          <w:iCs/>
          <w:color w:val="000000" w:themeColor="text1"/>
          <w:sz w:val="16"/>
          <w:szCs w:val="16"/>
        </w:rPr>
        <w:t xml:space="preserve"> ЗУР:</w:t>
      </w:r>
      <w:r w:rsidRPr="00271E51">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271E51">
        <w:rPr>
          <w:rFonts w:ascii="Times New Roman" w:hAnsi="Times New Roman"/>
          <w:iCs/>
          <w:color w:val="000000" w:themeColor="text1"/>
          <w:sz w:val="16"/>
          <w:szCs w:val="16"/>
        </w:rPr>
        <w:t xml:space="preserve"> УР:</w:t>
      </w:r>
      <w:r w:rsidRPr="00271E51">
        <w:rPr>
          <w:rFonts w:ascii="Times New Roman" w:hAnsi="Times New Roman"/>
          <w:color w:val="000000" w:themeColor="text1"/>
          <w:sz w:val="16"/>
          <w:szCs w:val="16"/>
        </w:rPr>
        <w:t xml:space="preserve"> Р-33 (1981-);</w:t>
      </w:r>
      <w:r w:rsidRPr="00271E51">
        <w:rPr>
          <w:rFonts w:ascii="Times New Roman" w:hAnsi="Times New Roman"/>
          <w:iCs/>
          <w:color w:val="000000" w:themeColor="text1"/>
          <w:sz w:val="16"/>
          <w:szCs w:val="16"/>
        </w:rPr>
        <w:t xml:space="preserve"> противоракеты:</w:t>
      </w:r>
      <w:r w:rsidRPr="00271E51">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271E51">
        <w:rPr>
          <w:rFonts w:ascii="Times New Roman" w:hAnsi="Times New Roman"/>
          <w:color w:val="000000" w:themeColor="text1"/>
          <w:sz w:val="16"/>
          <w:szCs w:val="16"/>
          <w:lang w:val="en-US"/>
        </w:rPr>
        <w:t>II</w:t>
      </w:r>
      <w:r w:rsidRPr="00271E51">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пассажирские кресла для ж/д вагонов (2009).</w:t>
      </w:r>
    </w:p>
    <w:p w14:paraId="4E063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Ремонт:</w:t>
      </w:r>
      <w:r w:rsidRPr="00271E51">
        <w:rPr>
          <w:rFonts w:ascii="Times New Roman" w:hAnsi="Times New Roman"/>
          <w:color w:val="000000" w:themeColor="text1"/>
          <w:sz w:val="16"/>
          <w:szCs w:val="16"/>
        </w:rPr>
        <w:t xml:space="preserve"> Як-6 (1943-).</w:t>
      </w:r>
    </w:p>
    <w:p w14:paraId="60958B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Заводской №:</w:t>
      </w:r>
      <w:r w:rsidRPr="00271E51">
        <w:rPr>
          <w:rFonts w:ascii="Times New Roman" w:hAnsi="Times New Roman"/>
          <w:color w:val="000000" w:themeColor="text1"/>
          <w:sz w:val="16"/>
          <w:szCs w:val="16"/>
        </w:rPr>
        <w:t xml:space="preserve"> Ан-2М</w:t>
      </w:r>
      <w:r w:rsidRPr="00271E51">
        <w:rPr>
          <w:rFonts w:ascii="Times New Roman" w:hAnsi="Times New Roman"/>
          <w:iCs/>
          <w:color w:val="000000" w:themeColor="text1"/>
          <w:sz w:val="16"/>
          <w:szCs w:val="16"/>
        </w:rPr>
        <w:t xml:space="preserve"> № 600810:</w:t>
      </w:r>
      <w:r w:rsidRPr="00271E51">
        <w:rPr>
          <w:rFonts w:ascii="Times New Roman" w:hAnsi="Times New Roman"/>
          <w:color w:val="000000" w:themeColor="text1"/>
          <w:sz w:val="16"/>
          <w:szCs w:val="16"/>
        </w:rPr>
        <w:t xml:space="preserve"> 6- год выпуска, 008- серия, 10- № самолета в серии.</w:t>
      </w:r>
    </w:p>
    <w:p w14:paraId="6411C3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ОКБ завода № 464 гл. конструктора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Антонова</w:t>
      </w:r>
    </w:p>
    <w:p w14:paraId="1895A5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3FED8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161589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«ПМ» при заводе № 464 НКАП</w:t>
      </w:r>
    </w:p>
    <w:p w14:paraId="533A8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0893A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3DBAD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464</w:t>
      </w:r>
    </w:p>
    <w:p w14:paraId="3DA4C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10.03.1958 г. для разработки и внедрения в серию ЗУР для систем ПВО и ПРО.</w:t>
      </w:r>
    </w:p>
    <w:p w14:paraId="76175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783DF9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7C92E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2B169E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(2005 г.): разработка ракет 9МЗ17М, 9МЗ17А, 9МЗ17МА.</w:t>
      </w:r>
    </w:p>
    <w:p w14:paraId="1DCDDA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(1958-61 г.)- Л. Г. Головин (снят).</w:t>
      </w:r>
    </w:p>
    <w:p w14:paraId="7D36A3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(-1961 г.)- Л. Г. Головин, (1961 г.-)- М.А. Любомудров.</w:t>
      </w:r>
    </w:p>
    <w:p w14:paraId="342B0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В.П. Эктов (9М317).</w:t>
      </w:r>
    </w:p>
    <w:p w14:paraId="70EEE8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ЗУР:</w:t>
      </w:r>
      <w:r w:rsidRPr="00271E51">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18606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44735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1757CC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Кнмовский завод металлоизделий /г. Кимовск Тульской обл./</w:t>
      </w:r>
    </w:p>
    <w:p w14:paraId="1E517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Входил в ОАО «ДНПП» (2002 г.) (11982).</w:t>
      </w:r>
    </w:p>
    <w:p w14:paraId="377B2BAF" w14:textId="77777777" w:rsidR="004C3A11" w:rsidRPr="00271E51" w:rsidRDefault="004C3A1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7B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июля 1943 г. по приказу № 416с завод № 380, созданный 26 июня 1942 г. приказом № 472сс в соответствии с пост. СНК № 913-472сс от 11.06.1942 г. в Подлипках на площадке эвакуированного завода № 289 НКАП на базе Ремонтного завода Главремуправления НКАП, с 1.07.1943 г. со всем оборудованием и личным составом влит в состав завода № 289 НКАП (Тушино), а его территория со зданиями и сооружениями передана в ведение ГУ ИАС ВВС. Позже в соответствии с пост. СМ № 1145-471сс от 31.05.1946 г. планировалось площади вернуть в МАП, однако, вскоре они были переданы НИИ-88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w:t>
      </w:r>
    </w:p>
    <w:p w14:paraId="59B3D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(06.1942 г.-)- В.И. Ленкин (11982).</w:t>
      </w:r>
    </w:p>
    <w:p w14:paraId="626F41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3DBF2" w14:textId="77777777" w:rsidR="00A005EA" w:rsidRPr="00271E51" w:rsidRDefault="00A005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года приказом НКАП территория завода №380 со всеми производственными зданиями и сооружениями отошла к ГУ ИАС ВВС КА для организации Центральной авиаремонтной базы ВВС (164 ЦАРБ). В связи с этим местом дислокации реэвакуированного завода №289 была определена территория бывшего завода №464 в г. Тушино (19769).</w:t>
      </w:r>
    </w:p>
    <w:p w14:paraId="37B9BE23" w14:textId="77777777" w:rsidR="00A005EA" w:rsidRPr="00271E51" w:rsidRDefault="00A005EA" w:rsidP="00271E51">
      <w:pPr>
        <w:spacing w:after="0" w:line="240" w:lineRule="auto"/>
        <w:jc w:val="both"/>
        <w:rPr>
          <w:rFonts w:ascii="Times New Roman" w:hAnsi="Times New Roman"/>
          <w:color w:val="000000" w:themeColor="text1"/>
          <w:sz w:val="16"/>
          <w:szCs w:val="16"/>
        </w:rPr>
      </w:pPr>
    </w:p>
    <w:p w14:paraId="6BC01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 по приказу № 416с завод № 289 переведен под прежним номером из Молотова в Тушино на переданную ему со всеми зданиями и сооружениями площадку завода № 464 НКАП (площадка эвакуированного завода № 445 НКАП). Одновременно тем же приказом завод № 464 пребазирован на площадку завода № 462 НКАП на ст. Долгопрудная. Тем же приказом с 1.07.1943  г. в состав завода № 289 влит завод № 380 НКАП, личный состав и оборудование которого переведены в Тушино.</w:t>
      </w:r>
    </w:p>
    <w:p w14:paraId="43F6A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часть работников завода переведена на вновь образованный завод № 135 в Харьков.</w:t>
      </w:r>
    </w:p>
    <w:p w14:paraId="680012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08.1944 г. планировалось образовать на базе завода НИИ-2 НКАП для работ по самолетам-снарядам, зам. руководителя должен быть назначен П.О. Сухой, по ДУ- Стечкин, но это не было реализовано. По приказу № 656сс от 2.11.1944 г. завод передан из 7ГУ в 18ГУ НКАП.</w:t>
      </w:r>
    </w:p>
    <w:p w14:paraId="65D20C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7309 от 13.01.1945 г. и приказом № 39с от 3.02.1945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w:t>
      </w:r>
    </w:p>
    <w:p w14:paraId="463FAB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(04-11.1940 г.)- П.Н. Голубков, (11.1940 г.)- Ф.П. Коробейников, (11.1940-02.1945 г.)- П.О. Сухой.</w:t>
      </w:r>
    </w:p>
    <w:p w14:paraId="13B12B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(-11.1940-02.1945 г.)- П.О. Сухой.</w:t>
      </w:r>
    </w:p>
    <w:p w14:paraId="0ED07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(12.1940-45 г.)- Д.А. Ромейко-Гурко.</w:t>
      </w:r>
    </w:p>
    <w:p w14:paraId="6E42C5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(07.1942 г.)- Н.Н. Каштанов (11982).</w:t>
      </w:r>
    </w:p>
    <w:p w14:paraId="12AB555E" w14:textId="77777777" w:rsidR="004C3A11" w:rsidRPr="00271E51" w:rsidRDefault="004C3A1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F6AF6B"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FB48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731D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г. было СООБЩЕНИЕ ЗАМЕСТИТЕЛЯ КОМАНДУЮЩЕГО БТ и МВ КА НАРОДНОМУ КОМИССАРУ ВНЕШНЕЙ ТОРГОВЛИ СССР МИКОЯНУ ПО РЕЗУЛЬТАТАМ ИСПЫТАНИЙ СОВЕТСКИХ ТАНКОВ В США № 1152544</w:t>
      </w:r>
    </w:p>
    <w:p w14:paraId="1A3F9D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существу отчета инженера танкового отдела советской закупочной комиссии в США т. Прищепенко о беседе его с Робертом Поллак докладываю:</w:t>
      </w:r>
    </w:p>
    <w:p w14:paraId="1594B2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одному образцу танков КВ-1 и Т-34 было отправлено в США через Архангельск в конце августа 1942 г.</w:t>
      </w:r>
    </w:p>
    <w:p w14:paraId="049C8F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 КВ-1 был изготовлен на Кировском заводе в г. Челябинске, а танк Т-34 был изготовлен на заводе №183 в г. Нижнем Тагиле.</w:t>
      </w:r>
    </w:p>
    <w:p w14:paraId="05280B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Танки прошли сборку под особым наблюдением и были более продолжительно и тщательно испытаны, чем это обычно делается для серийных танков.</w:t>
      </w:r>
    </w:p>
    <w:p w14:paraId="6C5F9E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 своей конструкции танки ничем не отличались от серийных танков выпуска 1942 года.</w:t>
      </w:r>
    </w:p>
    <w:p w14:paraId="2B62C9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июле месяце 1942 года перед отправкой танков в США бронетанковым управлением ГБТУ КА были отправлены т. Крутикову для передачи генералу Фэймонвилл чертежи танков, инструкции и руководства по танкам и двигателям, а также перечни основных конструктивных изменений, вне</w:t>
      </w:r>
      <w:r w:rsidRPr="00271E51">
        <w:rPr>
          <w:rFonts w:ascii="Times New Roman" w:hAnsi="Times New Roman"/>
          <w:color w:val="000000" w:themeColor="text1"/>
          <w:sz w:val="16"/>
          <w:szCs w:val="16"/>
        </w:rPr>
        <w:softHyphen/>
        <w:t>сенных в конструкции танков выпуска 1942 г., по сравнению с типами, описанными в инструкциях и руководствах.</w:t>
      </w:r>
    </w:p>
    <w:p w14:paraId="07C683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Так как генерал Фэймонвилл предлагал все эти материалы направить в Америку самолетом, то, следовательно, их должны были получить там раньше прибытия танков.</w:t>
      </w:r>
    </w:p>
    <w:p w14:paraId="65AB13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тех пор ни разу мы не получали каких-либо запросов о высылке дополнительных инструкций и разъяснений.</w:t>
      </w:r>
    </w:p>
    <w:p w14:paraId="6F2296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Наши наставления составлены значительно полнее американских и английских наставлений. При этом в наших наставлениях даны все сведения по регулировке </w:t>
      </w:r>
      <w:r w:rsidRPr="00271E51">
        <w:rPr>
          <w:rFonts w:ascii="Times New Roman" w:hAnsi="Times New Roman"/>
          <w:color w:val="000000" w:themeColor="text1"/>
          <w:sz w:val="16"/>
          <w:szCs w:val="16"/>
        </w:rPr>
        <w:lastRenderedPageBreak/>
        <w:t>отдельных механизмов и по обслуживанию танков.</w:t>
      </w:r>
    </w:p>
    <w:p w14:paraId="1CF78B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Поэтому претензии американцев, которые высказал Роберт Поллак в беседе с т. Прищепенко о том, что некоторые детали в танке КБ отличаются от тех, которые описаны в наставлениях, не явля</w:t>
      </w:r>
      <w:r w:rsidRPr="00271E51">
        <w:rPr>
          <w:rFonts w:ascii="Times New Roman" w:hAnsi="Times New Roman"/>
          <w:color w:val="000000" w:themeColor="text1"/>
          <w:sz w:val="16"/>
          <w:szCs w:val="16"/>
        </w:rPr>
        <w:softHyphen/>
        <w:t>ются основательными, так как об этом было поставлено в известность и путем сообщения перечня изменений.</w:t>
      </w:r>
    </w:p>
    <w:p w14:paraId="5F9F33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 том, что на танках КБ и Т-34 поставлены радиостанции Р-9, а не 71ТК-3 (устаревшие радио</w:t>
      </w:r>
      <w:r w:rsidRPr="00271E51">
        <w:rPr>
          <w:rFonts w:ascii="Times New Roman" w:hAnsi="Times New Roman"/>
          <w:color w:val="000000" w:themeColor="text1"/>
          <w:sz w:val="16"/>
          <w:szCs w:val="16"/>
        </w:rPr>
        <w:softHyphen/>
        <w:t>станции, снятые с производства) было также сообщено американцам в перечнях изменений.</w:t>
      </w:r>
    </w:p>
    <w:p w14:paraId="798914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Не в пример американцам и англичанам, мы дали с танками значительное количество запас</w:t>
      </w:r>
      <w:r w:rsidRPr="00271E51">
        <w:rPr>
          <w:rFonts w:ascii="Times New Roman" w:hAnsi="Times New Roman"/>
          <w:color w:val="000000" w:themeColor="text1"/>
          <w:sz w:val="16"/>
          <w:szCs w:val="16"/>
        </w:rPr>
        <w:softHyphen/>
        <w:t>ных частей и агрегатов.</w:t>
      </w:r>
    </w:p>
    <w:p w14:paraId="1AE7CE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их запросу отправили им дополнительно главный фрикцион танка КВ.</w:t>
      </w:r>
    </w:p>
    <w:p w14:paraId="49E729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Каким образом они ухитрились испортить бортовые фрикционы танка КВ — для нас непо</w:t>
      </w:r>
      <w:r w:rsidRPr="00271E51">
        <w:rPr>
          <w:rFonts w:ascii="Times New Roman" w:hAnsi="Times New Roman"/>
          <w:color w:val="000000" w:themeColor="text1"/>
          <w:sz w:val="16"/>
          <w:szCs w:val="16"/>
        </w:rPr>
        <w:softHyphen/>
        <w:t>нятно. Это очень сильные узлы машины и очень редко выходят из строя. Вероятно, они самым гру</w:t>
      </w:r>
      <w:r w:rsidRPr="00271E51">
        <w:rPr>
          <w:rFonts w:ascii="Times New Roman" w:hAnsi="Times New Roman"/>
          <w:color w:val="000000" w:themeColor="text1"/>
          <w:sz w:val="16"/>
          <w:szCs w:val="16"/>
        </w:rPr>
        <w:softHyphen/>
        <w:t>бым образом нарушили их регулировку.</w:t>
      </w:r>
    </w:p>
    <w:p w14:paraId="44266D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неосновательные претензии происходят потому, что американское командование отка</w:t>
      </w:r>
      <w:r w:rsidRPr="00271E51">
        <w:rPr>
          <w:rFonts w:ascii="Times New Roman" w:hAnsi="Times New Roman"/>
          <w:color w:val="000000" w:themeColor="text1"/>
          <w:sz w:val="16"/>
          <w:szCs w:val="16"/>
        </w:rPr>
        <w:softHyphen/>
        <w:t>залось от технической помощи наших инженеров-танкистов, которые находятся в Америке и, кроме того, до сих пор не запрашивало нас о технике обслуживания наших танков.</w:t>
      </w:r>
    </w:p>
    <w:p w14:paraId="114539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на пяти листах</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w:t>
      </w:r>
    </w:p>
    <w:p w14:paraId="27BD97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командующего БТ и МВ КА генерал-лейтенант танковых войск Коробков</w:t>
      </w:r>
    </w:p>
    <w:p w14:paraId="2F71F1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ГБТУ КА генерал-лейтенант инженерно-танковой службы Лебедев</w:t>
      </w:r>
    </w:p>
    <w:p w14:paraId="414B2A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1377. Л. 200. Копия (11403).</w:t>
      </w:r>
    </w:p>
    <w:p w14:paraId="7BBC5A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610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1943г. была подготовлена ДОКЛАДНАЯ ЗАПИСКА КОМАНДИРА 23-го ТАНКОВОГО КОРПУСА НАЧАЛЬНИКУ ГАВТУ КА ОБ УСТАНОВКЕ ПУЛЕМЕТОВ НА МАШИНАХ ВИЛЛИС №567</w:t>
      </w:r>
    </w:p>
    <w:p w14:paraId="4650C3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зимнюю кампанию вв/мне корпус был введен в прорыв и в течение одного дня ушел в тыл про</w:t>
      </w:r>
      <w:r w:rsidRPr="00271E51">
        <w:rPr>
          <w:rFonts w:ascii="Times New Roman" w:hAnsi="Times New Roman"/>
          <w:color w:val="000000" w:themeColor="text1"/>
          <w:sz w:val="16"/>
          <w:szCs w:val="16"/>
        </w:rPr>
        <w:softHyphen/>
        <w:t>тивника на 100 км. В боях в тылу противника при ограниченном количестве, при том плохих дорогах станковые пулеметы мотострелковых батальонов отставали от продвижения десантной пехоты и опаздывали участвовать в боях.</w:t>
      </w:r>
    </w:p>
    <w:p w14:paraId="236407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Весенний и летний период практических учений с применением станковых пулеметов, уста</w:t>
      </w:r>
      <w:r w:rsidRPr="00271E51">
        <w:rPr>
          <w:rFonts w:ascii="Times New Roman" w:hAnsi="Times New Roman"/>
          <w:color w:val="000000" w:themeColor="text1"/>
          <w:sz w:val="16"/>
          <w:szCs w:val="16"/>
        </w:rPr>
        <w:softHyphen/>
        <w:t>новленных на машине Виллис по принципу установки пулеметов на тачанки в период гражданской войны, с успехом себя оправдал.</w:t>
      </w:r>
    </w:p>
    <w:p w14:paraId="4F7AD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что подобное применение станковых пулеметов в боевой действительной обстановке даст большой эффект при наличии высокой маневренности автомашин Виллис.</w:t>
      </w:r>
    </w:p>
    <w:p w14:paraId="371CE2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указания об отпуске вв/мне корпусу 12 автомашин Виллис для установки стан</w:t>
      </w:r>
      <w:r w:rsidRPr="00271E51">
        <w:rPr>
          <w:rFonts w:ascii="Times New Roman" w:hAnsi="Times New Roman"/>
          <w:color w:val="000000" w:themeColor="text1"/>
          <w:sz w:val="16"/>
          <w:szCs w:val="16"/>
        </w:rPr>
        <w:softHyphen/>
        <w:t>ковых пулеметов в мотострелковых батальонах трех танковых бригад. Отчет о результатах применения мною будет представлен Вам лично.</w:t>
      </w:r>
    </w:p>
    <w:p w14:paraId="6A2DE4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23-го танкового корпуса генерал-лейтенант танковых войск Пушкин</w:t>
      </w:r>
    </w:p>
    <w:p w14:paraId="7DAC38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23 ТК полковник Зимин</w:t>
      </w:r>
    </w:p>
    <w:p w14:paraId="52F57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11584. Д. 17. Л. 111. Подлинник (11403).</w:t>
      </w:r>
    </w:p>
    <w:p w14:paraId="2E50CB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3AF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вышло Распоряжение ГКО № 3743. О мерах по сбору и отгрузке в III кв. 1943 г. из Сталинграда 150 тыс. т лома черных металлов.РГАНИР, Фонд ГКО, д. 133, лл. 180-181 (11012).</w:t>
      </w:r>
    </w:p>
    <w:p w14:paraId="5EA2D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F2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вышло Распоряжение ГКО № 3744. О целесообразности возврата с ТЭЦ Богословского алюминиевого завода турбины на Сталиногорскую ГРЭС.РГАНИР, Фонд ГКО, д. 133, лл. 182 (11012).</w:t>
      </w:r>
    </w:p>
    <w:p w14:paraId="27996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8D53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929BB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1214B3"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в 1943 году оперативная сводка Совинформбюро:</w:t>
      </w:r>
    </w:p>
    <w:p w14:paraId="7DB0CE9F"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июля на Белгородском направлении наши войска продолжали вести бои с наступавшими танками и пехотой противника.</w:t>
      </w:r>
    </w:p>
    <w:p w14:paraId="02F3A16D"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за истекший день противник атак не предпринимал.</w:t>
      </w:r>
    </w:p>
    <w:p w14:paraId="57848938"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на Белгородском направлении за день боёв подбито и уничтожено более 100 немецких танков. По неполным данным, в воздушных боях сбито 47 немецких самолётов.</w:t>
      </w:r>
    </w:p>
    <w:p w14:paraId="12911326"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уточнённым данным, за 13 июля на Орловско-Курском и Белгородском направлениях в воздушных боях и огнём зенитной артиллерии сбито не 13 самолётов, а 158 самолётов противника.</w:t>
      </w:r>
    </w:p>
    <w:p w14:paraId="62984F33"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противник предпринял несколько атак крупными силами пехоты и танков, но всюду встретил упорное сопротивление наших войск и не добился успеха. На отдельных участках советские войска нанесли врагу контрудары и выбили противника из нескольких населённых пунктов. В бою за эти населённые пункты немцы потеряли только убитыми до 2.000 солдат и офицеров. В районе одной высоты Н-ская танковая часть уничтожила 35 немецких танков, из них 7 танков типа «Тигр», 5 самоходных орудий и истребила свыше 600 гитлеровцев.</w:t>
      </w:r>
    </w:p>
    <w:p w14:paraId="082352CA"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и командиры Красной Армии, сражающиеся на Белгородском направлении, наносят тяжёлые удары немецко-фашистским оккупантам. Подразделение бронебойщиков под командованием гвардии лейтенанта Бугаева ночью пробралось в тыл противника. Когда танки и пехота немцев пошли в атаку, наши бойцы внезапно с тыла открыли огонь. Бронебойщики сожгли 12 вражеских танков, 10 автомашин и истребили до 200 гитлеровцев. Атака немцев была сорвана. Командир и наводчик орудия — братья Ерохины подбили 6 танков и уничтожили 2 автомашины противника. Снайпер Григорий Максимов за два дня истребил 52 гитлеровца.</w:t>
      </w:r>
    </w:p>
    <w:p w14:paraId="4E2BBB2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Финском заливе потоплен немецкий транспорт, в Баренцевом море потоплены транспорт и танкер противника.</w:t>
      </w:r>
    </w:p>
    <w:p w14:paraId="7EB730E9"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Чугуева советские артиллеристы уничтожили две самоходные пушки противника, обстреливавшие наши позиции. На другом участке наша разведывательная группа проникла в расположение противника, истребила 30 гитлеровцев и, захватив пленных, благополучно вернулась в свою часть.</w:t>
      </w:r>
    </w:p>
    <w:p w14:paraId="54DC5CDE"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артиллерийским и миномётным огнём разрушили 12 вражеских дзотов и 17 блиндажей, уничтожили миномётную батарею и взорвали 2 склада боеприпасов. Группа разведчиков под командованием младшего лейтенанта Попова в схватке с противником истребила 10 белофиннов.</w:t>
      </w:r>
    </w:p>
    <w:p w14:paraId="24E3A52A"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противник пытался овладеть переправой, которую охраняли бойцы подразделения под командованием капитана Богатырёва. Три раза гитлеровцы бросались в атаку, но не добились никакого успеха. В этом бою снайпер Казановский уничтожил 23 немца, снайпер Земсков — 17, снайперы Попов и Юшков уничтожили по 6 гитлеровцев.</w:t>
      </w:r>
    </w:p>
    <w:p w14:paraId="4C44010B"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разведчиков партизанского отряда, действующего в Черниговской области, проникла на хутор и завязала бой с ротой гитлеровцев. Стрельба привлекла внимание мадьяр, находившихся в соседнем селе. Решив, что на хутор наступают крупные силы партизан, начальник гарнизона снарядил против них отряд численностью до 300 человек. Мадьяры открыли по хутору сильный ружейно-пулемётный и миномётный огонь. Тем временем партизаны-разведчикине заметно отошли. Ничего не подозревавшие мадьяры наседали на хутор, занятый немцами. После трёхчасового боя с ротой немцев мадьяры ворвались в хутор и только здесь, при виде 70 раненых и 35 убитых немцев, поняли, что партизаны их ловко провели.</w:t>
      </w:r>
    </w:p>
    <w:p w14:paraId="67E8D318"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9 июля в плен немецкий лётчик 52 немецкой истребительной эскадры обер-лейтенант Гергарт Люти рассказал: «52 эскадра состоит в резерве главного командования германской армии. Четвёртого июля эскадра перебазировалась в район Белгорода. Из 68 самолётов нашей группы, действовавших на Белгородском направлении, русские лётчики и зенитчики пятого июля сбили 16 самолётов, шестого июля — 11 и седьмого июля — 3. Кроме того, 15 машин получили повреждения и выбыли из строя на более или менее продолжительный срок. За последнее время немецкая авиационная промышленность испытывает большие затруднения. Не хватает квалифицированных рабочих, сырья и особенно цветных металлов. Промышленность уже не в состоянии восполнить громадные потери самолетов. Не хватает и обученных лётных кадров. Пора расцвета немецкой авиации уже давно позади, её силы и ресурсы убавляются с каждым днем».</w:t>
      </w:r>
    </w:p>
    <w:p w14:paraId="69F72039"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Италии участились нападения на немецких офицеров и чиновников, наводнивших многие итальянские города. В Вероне железнодорожники задержали поезд с грузами, заготовленными для отправки в Германию, и избили двух немецких чиновников. В Риме перёд зданием немецкого посольства произошла антигерманская демонстрация. В районе Чивитавеккья итальянские солдаты убили трёх немецких офицеров.» (14952).</w:t>
      </w:r>
    </w:p>
    <w:p w14:paraId="489C291C"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29E2016C"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июля в 1943 году Южный фас Курской Дуги - на участке шириной 12 км (от Раково - Березовка - Новенькое) 332-я пехотная дивизия и 3-я танковая дивизия оттеснили 184-ю и 219-ю стрелковую дивизию, 5-й гвардейский танковый корпус и 10-й танковый корпус на 3 км. На участке шириной 10 км 31-й танковый корпус, 309-я стрелковая дивизия и 13-я гвардейская стрелковая дивизия потеснили 11-ю танковую дивизию на 0,5-1 км. Моторизированная дивизию СС "Райх" и 7-я танковая дивизия нанесли удары во встречных направлениях против 183-й стрелковой дивизии, 81-й гвардейской стрелковой дивизии и 2-го гвардейского танкового корпуас с целью отрезать мешок в районе Шахово и окружить четыре стрелковые дивизии и моторизированную дивизию СС "Райх" продвинулась на участке шириной 6-7 км </w:t>
      </w:r>
      <w:r w:rsidRPr="00271E51">
        <w:rPr>
          <w:rFonts w:ascii="Times New Roman" w:hAnsi="Times New Roman"/>
          <w:color w:val="000000" w:themeColor="text1"/>
          <w:sz w:val="16"/>
          <w:szCs w:val="16"/>
        </w:rPr>
        <w:lastRenderedPageBreak/>
        <w:t>на глубину 6-7 км, взяв Беленихино и Лески, 7-я танковая дивизия продвинулась на участке шириной 4 км на глубину 2-3 км. Мешок не был отрезан - до встречи в Шахово немцам оставалось пройти еще около 5 км. 19-я и 6-я танковая дивизия на участке шириной около 10 км продвинулись на 3-4 км, оттеснив 375-ю стрелковую дивизию, 92-ю гвардейскую стрелковую дивизию, 96-ю танковую бригаду, 11-ю и 12-ю механизированные бригады (14952).</w:t>
      </w:r>
    </w:p>
    <w:p w14:paraId="5E5D5570"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3DA39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6 Як-7 под командой м В.Н.Буянова, прикрывая войска ЗФ, вступила в бой с 40 б Ю-88 и сбила 6 без потерь (3790).</w:t>
      </w:r>
    </w:p>
    <w:p w14:paraId="47A2E5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A8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период с 14 по 17 июля 1943 “Нор</w:t>
      </w:r>
      <w:r w:rsidRPr="00271E51">
        <w:rPr>
          <w:rFonts w:ascii="Times New Roman" w:hAnsi="Times New Roman"/>
          <w:color w:val="000000" w:themeColor="text1"/>
          <w:sz w:val="16"/>
          <w:szCs w:val="16"/>
        </w:rPr>
        <w:softHyphen/>
        <w:t>мандия” потеряла семерых, в том чис</w:t>
      </w:r>
      <w:r w:rsidRPr="00271E51">
        <w:rPr>
          <w:rFonts w:ascii="Times New Roman" w:hAnsi="Times New Roman"/>
          <w:color w:val="000000" w:themeColor="text1"/>
          <w:sz w:val="16"/>
          <w:szCs w:val="16"/>
        </w:rPr>
        <w:softHyphen/>
        <w:t>ле Тюляна и Литольфа. Такой ценой она заплатила за уничтожение восемнад</w:t>
      </w:r>
      <w:r w:rsidRPr="00271E51">
        <w:rPr>
          <w:rFonts w:ascii="Times New Roman" w:hAnsi="Times New Roman"/>
          <w:color w:val="000000" w:themeColor="text1"/>
          <w:sz w:val="16"/>
          <w:szCs w:val="16"/>
        </w:rPr>
        <w:softHyphen/>
        <w:t>цати самолетов врага. Новым команди</w:t>
      </w:r>
      <w:r w:rsidRPr="00271E51">
        <w:rPr>
          <w:rFonts w:ascii="Times New Roman" w:hAnsi="Times New Roman"/>
          <w:color w:val="000000" w:themeColor="text1"/>
          <w:sz w:val="16"/>
          <w:szCs w:val="16"/>
        </w:rPr>
        <w:softHyphen/>
        <w:t>ром эскадрильи стал майор Пуйяд. Обстоятельства гибели первого ко</w:t>
      </w:r>
      <w:r w:rsidRPr="00271E51">
        <w:rPr>
          <w:rFonts w:ascii="Times New Roman" w:hAnsi="Times New Roman"/>
          <w:color w:val="000000" w:themeColor="text1"/>
          <w:sz w:val="16"/>
          <w:szCs w:val="16"/>
        </w:rPr>
        <w:softHyphen/>
        <w:t>мандира “Нормандии” в советской и французской литературе не освеща</w:t>
      </w:r>
      <w:r w:rsidRPr="00271E51">
        <w:rPr>
          <w:rFonts w:ascii="Times New Roman" w:hAnsi="Times New Roman"/>
          <w:color w:val="000000" w:themeColor="text1"/>
          <w:sz w:val="16"/>
          <w:szCs w:val="16"/>
        </w:rPr>
        <w:softHyphen/>
        <w:t>лись, поэтому стоит остановиться на них подробнее. Вот выписка из до</w:t>
      </w:r>
      <w:r w:rsidRPr="00271E51">
        <w:rPr>
          <w:rFonts w:ascii="Times New Roman" w:hAnsi="Times New Roman"/>
          <w:color w:val="000000" w:themeColor="text1"/>
          <w:sz w:val="16"/>
          <w:szCs w:val="16"/>
        </w:rPr>
        <w:softHyphen/>
        <w:t>кумента, направленного начальником штаба 303-й иад полковником П.Я. Аристовым в штаб 1 ВА: “17.7.43 г. при сопровождении шес</w:t>
      </w:r>
      <w:r w:rsidRPr="00271E51">
        <w:rPr>
          <w:rFonts w:ascii="Times New Roman" w:hAnsi="Times New Roman"/>
          <w:color w:val="000000" w:themeColor="text1"/>
          <w:sz w:val="16"/>
          <w:szCs w:val="16"/>
        </w:rPr>
        <w:softHyphen/>
        <w:t>терки Ил-2 224 шад, действовавших по живой силе и технике противника в районе Хотынец, Знаменское, с боево</w:t>
      </w:r>
      <w:r w:rsidRPr="00271E51">
        <w:rPr>
          <w:rFonts w:ascii="Times New Roman" w:hAnsi="Times New Roman"/>
          <w:color w:val="000000" w:themeColor="text1"/>
          <w:sz w:val="16"/>
          <w:szCs w:val="16"/>
        </w:rPr>
        <w:softHyphen/>
        <w:t>го задания не вернулись командир эс</w:t>
      </w:r>
      <w:r w:rsidRPr="00271E51">
        <w:rPr>
          <w:rFonts w:ascii="Times New Roman" w:hAnsi="Times New Roman"/>
          <w:color w:val="000000" w:themeColor="text1"/>
          <w:sz w:val="16"/>
          <w:szCs w:val="16"/>
        </w:rPr>
        <w:softHyphen/>
        <w:t>кадрильи “Нормандия” майор Тюлян и летчики лейтенант Беген, старший лейтенант Вермей. По докладу экипажей штурмовиков и вернувшегося 18.7.43 г. ст. лейтенанта Беген установлено:</w:t>
      </w:r>
    </w:p>
    <w:p w14:paraId="130B8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“Сопровождение штурмовиков до района Знаменское осуществлялось девяткой истребителей под командо</w:t>
      </w:r>
      <w:r w:rsidRPr="00271E51">
        <w:rPr>
          <w:rFonts w:ascii="Times New Roman" w:hAnsi="Times New Roman"/>
          <w:color w:val="000000" w:themeColor="text1"/>
          <w:sz w:val="16"/>
          <w:szCs w:val="16"/>
        </w:rPr>
        <w:softHyphen/>
        <w:t>ванием майора Тюлян. На рубеже Локна-Знаменское штурмовиков атакова</w:t>
      </w:r>
      <w:r w:rsidRPr="00271E51">
        <w:rPr>
          <w:rFonts w:ascii="Times New Roman" w:hAnsi="Times New Roman"/>
          <w:color w:val="000000" w:themeColor="text1"/>
          <w:sz w:val="16"/>
          <w:szCs w:val="16"/>
        </w:rPr>
        <w:softHyphen/>
        <w:t>ли 2 ФВ-190, с которыми вступили в бой 3 Як-9 - майор Тюлян, капитан Дефорж (правильно - де Форж.) и младший лейтенант Бон. Вскоре к месту боя подошли еще 6 ФВ-190 и 8 Me-109, которые начали атаку штурмо</w:t>
      </w:r>
      <w:r w:rsidRPr="00271E51">
        <w:rPr>
          <w:rFonts w:ascii="Times New Roman" w:hAnsi="Times New Roman"/>
          <w:color w:val="000000" w:themeColor="text1"/>
          <w:sz w:val="16"/>
          <w:szCs w:val="16"/>
        </w:rPr>
        <w:softHyphen/>
        <w:t>виков справа сзади. Наши истребите</w:t>
      </w:r>
      <w:r w:rsidRPr="00271E51">
        <w:rPr>
          <w:rFonts w:ascii="Times New Roman" w:hAnsi="Times New Roman"/>
          <w:color w:val="000000" w:themeColor="text1"/>
          <w:sz w:val="16"/>
          <w:szCs w:val="16"/>
        </w:rPr>
        <w:softHyphen/>
        <w:t>ли вынуждены были оставить штурмо</w:t>
      </w:r>
      <w:r w:rsidRPr="00271E51">
        <w:rPr>
          <w:rFonts w:ascii="Times New Roman" w:hAnsi="Times New Roman"/>
          <w:color w:val="000000" w:themeColor="text1"/>
          <w:sz w:val="16"/>
          <w:szCs w:val="16"/>
        </w:rPr>
        <w:softHyphen/>
        <w:t>виков и всей девяткой отражали атаки противника. Старший лейтенант Беген, находясь в паре со старшим лей</w:t>
      </w:r>
      <w:r w:rsidRPr="00271E51">
        <w:rPr>
          <w:rFonts w:ascii="Times New Roman" w:hAnsi="Times New Roman"/>
          <w:color w:val="000000" w:themeColor="text1"/>
          <w:sz w:val="16"/>
          <w:szCs w:val="16"/>
        </w:rPr>
        <w:softHyphen/>
        <w:t>тенантом Вермей, вел бой с четырьмя ФВ-190 и был подбит. Произвел посад</w:t>
      </w:r>
      <w:r w:rsidRPr="00271E51">
        <w:rPr>
          <w:rFonts w:ascii="Times New Roman" w:hAnsi="Times New Roman"/>
          <w:color w:val="000000" w:themeColor="text1"/>
          <w:sz w:val="16"/>
          <w:szCs w:val="16"/>
        </w:rPr>
        <w:softHyphen/>
        <w:t>ку на фюзеляж в районе южнее Будоговищи и 18.7.43 г. на самолете У-2 был доставлен в свою часть.</w:t>
      </w:r>
    </w:p>
    <w:p w14:paraId="3C0563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Майор Тюлян, капитан Дефорж и младший лейтенант Бон, ведя бой с ис</w:t>
      </w:r>
      <w:r w:rsidRPr="00271E51">
        <w:rPr>
          <w:rFonts w:ascii="Times New Roman" w:hAnsi="Times New Roman"/>
          <w:color w:val="000000" w:themeColor="text1"/>
          <w:sz w:val="16"/>
          <w:szCs w:val="16"/>
        </w:rPr>
        <w:softHyphen/>
        <w:t>требителями противника, вошли в об</w:t>
      </w:r>
      <w:r w:rsidRPr="00271E51">
        <w:rPr>
          <w:rFonts w:ascii="Times New Roman" w:hAnsi="Times New Roman"/>
          <w:color w:val="000000" w:themeColor="text1"/>
          <w:sz w:val="16"/>
          <w:szCs w:val="16"/>
        </w:rPr>
        <w:softHyphen/>
        <w:t>лачность. После выхода из облачности никто из летчиков (в том числе капитан Дефорж и мл. лейтенант Бон) майора Тюлян не видели” (3956).</w:t>
      </w:r>
    </w:p>
    <w:p w14:paraId="35C1CD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Неудачи, постигшие эскадрилью, обеспокоили руководство дивизии. Кроме того, заволновалась и француз</w:t>
      </w:r>
      <w:r w:rsidRPr="00271E51">
        <w:rPr>
          <w:rFonts w:ascii="Times New Roman" w:hAnsi="Times New Roman"/>
          <w:color w:val="000000" w:themeColor="text1"/>
          <w:sz w:val="16"/>
          <w:szCs w:val="16"/>
        </w:rPr>
        <w:softHyphen/>
        <w:t>ская военная миссия. В Москву к ее главе генералу Пети для доклада был вызван Пуйяд. Вместе они посетили начальника Импортного управления ВВС генерал-майора Левандовича, ко</w:t>
      </w:r>
      <w:r w:rsidRPr="00271E51">
        <w:rPr>
          <w:rFonts w:ascii="Times New Roman" w:hAnsi="Times New Roman"/>
          <w:color w:val="000000" w:themeColor="text1"/>
          <w:sz w:val="16"/>
          <w:szCs w:val="16"/>
        </w:rPr>
        <w:softHyphen/>
        <w:t>торый выразил сожаление по поводу гибели французских летчиков. На воп</w:t>
      </w:r>
      <w:r w:rsidRPr="00271E51">
        <w:rPr>
          <w:rFonts w:ascii="Times New Roman" w:hAnsi="Times New Roman"/>
          <w:color w:val="000000" w:themeColor="text1"/>
          <w:sz w:val="16"/>
          <w:szCs w:val="16"/>
        </w:rPr>
        <w:softHyphen/>
        <w:t>рос, чем объяснить гибель Тюляна, Пуйяд ответил: “Последнее время нам чертовски не везло. К тому же некото</w:t>
      </w:r>
      <w:r w:rsidRPr="00271E51">
        <w:rPr>
          <w:rFonts w:ascii="Times New Roman" w:hAnsi="Times New Roman"/>
          <w:color w:val="000000" w:themeColor="text1"/>
          <w:sz w:val="16"/>
          <w:szCs w:val="16"/>
        </w:rPr>
        <w:softHyphen/>
        <w:t>рые из наших летчиков были несколько самоуверенны и слишком пылки”. По-видимому, главной причиной про</w:t>
      </w:r>
      <w:r w:rsidRPr="00271E51">
        <w:rPr>
          <w:rFonts w:ascii="Times New Roman" w:hAnsi="Times New Roman"/>
          <w:color w:val="000000" w:themeColor="text1"/>
          <w:sz w:val="16"/>
          <w:szCs w:val="16"/>
        </w:rPr>
        <w:softHyphen/>
        <w:t>изошедшего оказались издержки так</w:t>
      </w:r>
      <w:r w:rsidRPr="00271E51">
        <w:rPr>
          <w:rFonts w:ascii="Times New Roman" w:hAnsi="Times New Roman"/>
          <w:color w:val="000000" w:themeColor="text1"/>
          <w:sz w:val="16"/>
          <w:szCs w:val="16"/>
        </w:rPr>
        <w:softHyphen/>
        <w:t>тики французских летчиков-истребите</w:t>
      </w:r>
      <w:r w:rsidRPr="00271E51">
        <w:rPr>
          <w:rFonts w:ascii="Times New Roman" w:hAnsi="Times New Roman"/>
          <w:color w:val="000000" w:themeColor="text1"/>
          <w:sz w:val="16"/>
          <w:szCs w:val="16"/>
        </w:rPr>
        <w:softHyphen/>
        <w:t>лей, делавшей основной упор на инди</w:t>
      </w:r>
      <w:r w:rsidRPr="00271E51">
        <w:rPr>
          <w:rFonts w:ascii="Times New Roman" w:hAnsi="Times New Roman"/>
          <w:color w:val="000000" w:themeColor="text1"/>
          <w:sz w:val="16"/>
          <w:szCs w:val="16"/>
        </w:rPr>
        <w:softHyphen/>
        <w:t>видуальное мастерство и отводившей второстепенную роль взаимодействию в группе. Именно на этом выводе на</w:t>
      </w:r>
      <w:r w:rsidRPr="00271E51">
        <w:rPr>
          <w:rFonts w:ascii="Times New Roman" w:hAnsi="Times New Roman"/>
          <w:color w:val="000000" w:themeColor="text1"/>
          <w:sz w:val="16"/>
          <w:szCs w:val="16"/>
        </w:rPr>
        <w:softHyphen/>
        <w:t>стаивал в еще одной “оправдательной” докладной полковник Аристов: “На всем протяжении боевой работы эскадрильи “Нормандия” установлено, что французские летчики групповой воздушный бой вести не умеют. Колле</w:t>
      </w:r>
      <w:r w:rsidRPr="00271E51">
        <w:rPr>
          <w:rFonts w:ascii="Times New Roman" w:hAnsi="Times New Roman"/>
          <w:color w:val="000000" w:themeColor="text1"/>
          <w:sz w:val="16"/>
          <w:szCs w:val="16"/>
        </w:rPr>
        <w:softHyphen/>
        <w:t>ктивная спаянность, взаимная выручка и поддержка в бою отсутствуют (3956).</w:t>
      </w:r>
    </w:p>
    <w:p w14:paraId="67017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Обладая отличной техникой пилоти</w:t>
      </w:r>
      <w:r w:rsidRPr="00271E51">
        <w:rPr>
          <w:rFonts w:ascii="Times New Roman" w:hAnsi="Times New Roman"/>
          <w:color w:val="000000" w:themeColor="text1"/>
          <w:sz w:val="16"/>
          <w:szCs w:val="16"/>
        </w:rPr>
        <w:softHyphen/>
        <w:t>рования, в погоне за личной славой летчики стремились вести бой поодиночке, в результате при атаке и пресле</w:t>
      </w:r>
      <w:r w:rsidRPr="00271E51">
        <w:rPr>
          <w:rFonts w:ascii="Times New Roman" w:hAnsi="Times New Roman"/>
          <w:color w:val="000000" w:themeColor="text1"/>
          <w:sz w:val="16"/>
          <w:szCs w:val="16"/>
        </w:rPr>
        <w:softHyphen/>
        <w:t>довании противника, увлекаясь мнимым успехом, забывают об осмотри</w:t>
      </w:r>
      <w:r w:rsidRPr="00271E51">
        <w:rPr>
          <w:rFonts w:ascii="Times New Roman" w:hAnsi="Times New Roman"/>
          <w:color w:val="000000" w:themeColor="text1"/>
          <w:sz w:val="16"/>
          <w:szCs w:val="16"/>
        </w:rPr>
        <w:softHyphen/>
        <w:t>тельности и допускают внезапные ата</w:t>
      </w:r>
      <w:r w:rsidRPr="00271E51">
        <w:rPr>
          <w:rFonts w:ascii="Times New Roman" w:hAnsi="Times New Roman"/>
          <w:color w:val="000000" w:themeColor="text1"/>
          <w:sz w:val="16"/>
          <w:szCs w:val="16"/>
        </w:rPr>
        <w:softHyphen/>
        <w:t>ки противника, чем и объясняются большинство потерь, понесенных эс</w:t>
      </w:r>
      <w:r w:rsidRPr="00271E51">
        <w:rPr>
          <w:rFonts w:ascii="Times New Roman" w:hAnsi="Times New Roman"/>
          <w:color w:val="000000" w:themeColor="text1"/>
          <w:sz w:val="16"/>
          <w:szCs w:val="16"/>
        </w:rPr>
        <w:softHyphen/>
        <w:t>кадрильей “Нормандия” на советско-германском фронте (3956).</w:t>
      </w:r>
    </w:p>
    <w:p w14:paraId="3DF3B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этих недостатках командир диви</w:t>
      </w:r>
      <w:r w:rsidRPr="00271E51">
        <w:rPr>
          <w:rFonts w:ascii="Times New Roman" w:hAnsi="Times New Roman"/>
          <w:color w:val="000000" w:themeColor="text1"/>
          <w:sz w:val="16"/>
          <w:szCs w:val="16"/>
        </w:rPr>
        <w:softHyphen/>
        <w:t>зии генерал-майор авиации Захаров указывал французским летчикам, что также известно и французской миссии, но тактика группового ведения воздуш</w:t>
      </w:r>
      <w:r w:rsidRPr="00271E51">
        <w:rPr>
          <w:rFonts w:ascii="Times New Roman" w:hAnsi="Times New Roman"/>
          <w:color w:val="000000" w:themeColor="text1"/>
          <w:sz w:val="16"/>
          <w:szCs w:val="16"/>
        </w:rPr>
        <w:softHyphen/>
        <w:t>ного боя, коллективная сплоченность в бою эскадрильи прививаются мед</w:t>
      </w:r>
      <w:r w:rsidRPr="00271E51">
        <w:rPr>
          <w:rFonts w:ascii="Times New Roman" w:hAnsi="Times New Roman"/>
          <w:color w:val="000000" w:themeColor="text1"/>
          <w:sz w:val="16"/>
          <w:szCs w:val="16"/>
        </w:rPr>
        <w:softHyphen/>
        <w:t>ленно” (3956).</w:t>
      </w:r>
    </w:p>
    <w:p w14:paraId="49CA2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имелось и еще одно обстоя</w:t>
      </w:r>
      <w:r w:rsidRPr="00271E51">
        <w:rPr>
          <w:rFonts w:ascii="Times New Roman" w:hAnsi="Times New Roman"/>
          <w:color w:val="000000" w:themeColor="text1"/>
          <w:sz w:val="16"/>
          <w:szCs w:val="16"/>
        </w:rPr>
        <w:softHyphen/>
        <w:t>тельство, о котором полковник Ари</w:t>
      </w:r>
      <w:r w:rsidRPr="00271E51">
        <w:rPr>
          <w:rFonts w:ascii="Times New Roman" w:hAnsi="Times New Roman"/>
          <w:color w:val="000000" w:themeColor="text1"/>
          <w:sz w:val="16"/>
          <w:szCs w:val="16"/>
        </w:rPr>
        <w:softHyphen/>
        <w:t>стов предпочел не упоминать. Дело в том, что роковой для Тюляна и Вермея вылет “Нормандии” был в этот день четвертым по счету, и в каждом не обошлось без воздушных боев. Пер</w:t>
      </w:r>
      <w:r w:rsidRPr="00271E51">
        <w:rPr>
          <w:rFonts w:ascii="Times New Roman" w:hAnsi="Times New Roman"/>
          <w:color w:val="000000" w:themeColor="text1"/>
          <w:sz w:val="16"/>
          <w:szCs w:val="16"/>
        </w:rPr>
        <w:softHyphen/>
        <w:t>вый раз десятка французов в тот день поднялась в воздух ранним утром, в начале шестого, а в четвертый раз -уже в составе девятки - они взлетели спустя двенадцать часов. Если учесть, что днем раньше “Нормандия” потеря</w:t>
      </w:r>
      <w:r w:rsidRPr="00271E51">
        <w:rPr>
          <w:rFonts w:ascii="Times New Roman" w:hAnsi="Times New Roman"/>
          <w:color w:val="000000" w:themeColor="text1"/>
          <w:sz w:val="16"/>
          <w:szCs w:val="16"/>
        </w:rPr>
        <w:softHyphen/>
        <w:t>ла троих: Литольфа, Кастелена и Бернавона, то степень моральной и физи</w:t>
      </w:r>
      <w:r w:rsidRPr="00271E51">
        <w:rPr>
          <w:rFonts w:ascii="Times New Roman" w:hAnsi="Times New Roman"/>
          <w:color w:val="000000" w:themeColor="text1"/>
          <w:sz w:val="16"/>
          <w:szCs w:val="16"/>
        </w:rPr>
        <w:softHyphen/>
        <w:t>ческой усталости командира эскадри</w:t>
      </w:r>
      <w:r w:rsidRPr="00271E51">
        <w:rPr>
          <w:rFonts w:ascii="Times New Roman" w:hAnsi="Times New Roman"/>
          <w:color w:val="000000" w:themeColor="text1"/>
          <w:sz w:val="16"/>
          <w:szCs w:val="16"/>
        </w:rPr>
        <w:softHyphen/>
        <w:t>льи становится очевидной (3956).</w:t>
      </w:r>
    </w:p>
    <w:p w14:paraId="6A970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немецким данным, атакуя вече</w:t>
      </w:r>
      <w:r w:rsidRPr="00271E51">
        <w:rPr>
          <w:rFonts w:ascii="Times New Roman" w:hAnsi="Times New Roman"/>
          <w:color w:val="000000" w:themeColor="text1"/>
          <w:sz w:val="16"/>
          <w:szCs w:val="16"/>
        </w:rPr>
        <w:softHyphen/>
        <w:t>ром 16 июля советские штурмовики и истребители северо-западнее Орла, по две победы одержали капитаны Штендель (Stendel) и Лозигкайт (Losigkeit) из III/JG51. Видимо, один из них и сбил Тюляна. Люфтваффе лиши</w:t>
      </w:r>
      <w:r w:rsidRPr="00271E51">
        <w:rPr>
          <w:rFonts w:ascii="Times New Roman" w:hAnsi="Times New Roman"/>
          <w:color w:val="000000" w:themeColor="text1"/>
          <w:sz w:val="16"/>
          <w:szCs w:val="16"/>
        </w:rPr>
        <w:softHyphen/>
        <w:t>лись одного FW190A-5 (№152658), пи</w:t>
      </w:r>
      <w:r w:rsidRPr="00271E51">
        <w:rPr>
          <w:rFonts w:ascii="Times New Roman" w:hAnsi="Times New Roman"/>
          <w:color w:val="000000" w:themeColor="text1"/>
          <w:sz w:val="16"/>
          <w:szCs w:val="16"/>
        </w:rPr>
        <w:softHyphen/>
        <w:t>лот которого сумел спастись с пара</w:t>
      </w:r>
      <w:r w:rsidRPr="00271E51">
        <w:rPr>
          <w:rFonts w:ascii="Times New Roman" w:hAnsi="Times New Roman"/>
          <w:color w:val="000000" w:themeColor="text1"/>
          <w:sz w:val="16"/>
          <w:szCs w:val="16"/>
        </w:rPr>
        <w:softHyphen/>
        <w:t>шютом (3956).</w:t>
      </w:r>
    </w:p>
    <w:p w14:paraId="3E3EC8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определенными недостат</w:t>
      </w:r>
      <w:r w:rsidRPr="00271E51">
        <w:rPr>
          <w:rFonts w:ascii="Times New Roman" w:hAnsi="Times New Roman"/>
          <w:color w:val="000000" w:themeColor="text1"/>
          <w:sz w:val="16"/>
          <w:szCs w:val="16"/>
        </w:rPr>
        <w:softHyphen/>
        <w:t>ками в манере ведения воздушного боя французы обладали и немалыми достоинствами. Имея больший налет, в мастерстве пилотирования они за</w:t>
      </w:r>
      <w:r w:rsidRPr="00271E51">
        <w:rPr>
          <w:rFonts w:ascii="Times New Roman" w:hAnsi="Times New Roman"/>
          <w:color w:val="000000" w:themeColor="text1"/>
          <w:sz w:val="16"/>
          <w:szCs w:val="16"/>
        </w:rPr>
        <w:softHyphen/>
        <w:t>метно превосходили “среднего” со</w:t>
      </w:r>
      <w:r w:rsidRPr="00271E51">
        <w:rPr>
          <w:rFonts w:ascii="Times New Roman" w:hAnsi="Times New Roman"/>
          <w:color w:val="000000" w:themeColor="text1"/>
          <w:sz w:val="16"/>
          <w:szCs w:val="16"/>
        </w:rPr>
        <w:softHyphen/>
        <w:t>ветского летчика-истребителя. Фран</w:t>
      </w:r>
      <w:r w:rsidRPr="00271E51">
        <w:rPr>
          <w:rFonts w:ascii="Times New Roman" w:hAnsi="Times New Roman"/>
          <w:color w:val="000000" w:themeColor="text1"/>
          <w:sz w:val="16"/>
          <w:szCs w:val="16"/>
        </w:rPr>
        <w:softHyphen/>
        <w:t>цузы открывали огонь с малой дистан</w:t>
      </w:r>
      <w:r w:rsidRPr="00271E51">
        <w:rPr>
          <w:rFonts w:ascii="Times New Roman" w:hAnsi="Times New Roman"/>
          <w:color w:val="000000" w:themeColor="text1"/>
          <w:sz w:val="16"/>
          <w:szCs w:val="16"/>
        </w:rPr>
        <w:softHyphen/>
        <w:t>ции и били наверняка, в то время как для русских пилотов (и это постоянно отмечали наши противники) одной из характерных ошибок была преждевре</w:t>
      </w:r>
      <w:r w:rsidRPr="00271E51">
        <w:rPr>
          <w:rFonts w:ascii="Times New Roman" w:hAnsi="Times New Roman"/>
          <w:color w:val="000000" w:themeColor="text1"/>
          <w:sz w:val="16"/>
          <w:szCs w:val="16"/>
        </w:rPr>
        <w:softHyphen/>
        <w:t>менная стрельба (3956).</w:t>
      </w:r>
    </w:p>
    <w:p w14:paraId="09A4F3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Несомненно, что французские лет</w:t>
      </w:r>
      <w:r w:rsidRPr="00271E51">
        <w:rPr>
          <w:rFonts w:ascii="Times New Roman" w:hAnsi="Times New Roman"/>
          <w:color w:val="000000" w:themeColor="text1"/>
          <w:sz w:val="16"/>
          <w:szCs w:val="16"/>
        </w:rPr>
        <w:softHyphen/>
        <w:t>чики-истребители внесли свою лепту в обескровливание эскадр Люфтваффе на северном фасе Курской дуги, но их победы непросто подтвердить немец</w:t>
      </w:r>
      <w:r w:rsidRPr="00271E51">
        <w:rPr>
          <w:rFonts w:ascii="Times New Roman" w:hAnsi="Times New Roman"/>
          <w:color w:val="000000" w:themeColor="text1"/>
          <w:sz w:val="16"/>
          <w:szCs w:val="16"/>
        </w:rPr>
        <w:softHyphen/>
        <w:t>кими документами. Дело в том, что грандиозная воздушная битва бушева</w:t>
      </w:r>
      <w:r w:rsidRPr="00271E51">
        <w:rPr>
          <w:rFonts w:ascii="Times New Roman" w:hAnsi="Times New Roman"/>
          <w:color w:val="000000" w:themeColor="text1"/>
          <w:sz w:val="16"/>
          <w:szCs w:val="16"/>
        </w:rPr>
        <w:softHyphen/>
        <w:t>ла с утра до позднего вечера в течение многих дней, и в ней участвовали тыся</w:t>
      </w:r>
      <w:r w:rsidRPr="00271E51">
        <w:rPr>
          <w:rFonts w:ascii="Times New Roman" w:hAnsi="Times New Roman"/>
          <w:color w:val="000000" w:themeColor="text1"/>
          <w:sz w:val="16"/>
          <w:szCs w:val="16"/>
        </w:rPr>
        <w:softHyphen/>
        <w:t>чи самолетов с обеих сторон (3956).</w:t>
      </w:r>
    </w:p>
    <w:p w14:paraId="180D3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9E5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с определенной вероятностью мож</w:t>
      </w:r>
      <w:r w:rsidRPr="00271E51">
        <w:rPr>
          <w:rFonts w:ascii="Times New Roman" w:hAnsi="Times New Roman"/>
          <w:color w:val="000000" w:themeColor="text1"/>
          <w:sz w:val="16"/>
          <w:szCs w:val="16"/>
        </w:rPr>
        <w:softHyphen/>
        <w:t>но считать, что именно французскими летчиками был сбит Bf110G-2 командира группы I/ZG1 капитана В.Германа (W.Herrmann) и днем рань</w:t>
      </w:r>
      <w:r w:rsidRPr="00271E51">
        <w:rPr>
          <w:rFonts w:ascii="Times New Roman" w:hAnsi="Times New Roman"/>
          <w:color w:val="000000" w:themeColor="text1"/>
          <w:sz w:val="16"/>
          <w:szCs w:val="16"/>
        </w:rPr>
        <w:softHyphen/>
        <w:t>ше - Bf110G-2 командира эскадры ZG1, кавалера “Рыцарского Креста” майора И.Блекшмита (J.BIechschmitt), хотя последний на допросе в совет</w:t>
      </w:r>
      <w:r w:rsidRPr="00271E51">
        <w:rPr>
          <w:rFonts w:ascii="Times New Roman" w:hAnsi="Times New Roman"/>
          <w:color w:val="000000" w:themeColor="text1"/>
          <w:sz w:val="16"/>
          <w:szCs w:val="16"/>
        </w:rPr>
        <w:softHyphen/>
        <w:t>ском плену и утверждал, будто его под</w:t>
      </w:r>
      <w:r w:rsidRPr="00271E51">
        <w:rPr>
          <w:rFonts w:ascii="Times New Roman" w:hAnsi="Times New Roman"/>
          <w:color w:val="000000" w:themeColor="text1"/>
          <w:sz w:val="16"/>
          <w:szCs w:val="16"/>
        </w:rPr>
        <w:softHyphen/>
        <w:t>били из противотанкового ружья (3956).</w:t>
      </w:r>
    </w:p>
    <w:p w14:paraId="7E14F6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05D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14th. 1943: Joining in the counter-offensive by the Central, Bryansk and Western Fronts, the Soviet Western Front (Vatutin) launches attacks against 4.Panzerarmee and Armee-Abteilung Kempf in the southern sector of the Kursk salient (3819).</w:t>
      </w:r>
    </w:p>
    <w:p w14:paraId="11517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9E38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1943 ЦФ, Брянский Ф и ЗФ столкнулись с контратаками и ЗФ (Ватутин) перенацелил атаки на 4ТА в южном секторе Курской дуги (3819).</w:t>
      </w:r>
    </w:p>
    <w:p w14:paraId="5CE870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512F9" w14:textId="77777777" w:rsidR="00633AC2" w:rsidRPr="00271E51" w:rsidRDefault="00633AC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B25AF6C" w14:textId="77777777" w:rsidR="00633AC2" w:rsidRPr="00271E51" w:rsidRDefault="00633AC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7C1AF" w14:textId="77777777" w:rsidR="00633AC2" w:rsidRPr="00271E51" w:rsidRDefault="00633AC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14 - 17 июля 1943 г. в Краснодаре проходил первый процесс над пособниками. Перед военным трибуналом Северо-Кавказского фронта предстали: </w:t>
      </w:r>
    </w:p>
    <w:p w14:paraId="5D5E55BA" w14:textId="77777777" w:rsidR="00633AC2" w:rsidRPr="00271E51" w:rsidRDefault="00633AC2" w:rsidP="00271E51">
      <w:pPr>
        <w:spacing w:after="0" w:line="240" w:lineRule="auto"/>
        <w:jc w:val="both"/>
        <w:rPr>
          <w:rFonts w:ascii="Times New Roman" w:hAnsi="Times New Roman"/>
          <w:color w:val="000000" w:themeColor="text1"/>
          <w:sz w:val="16"/>
          <w:szCs w:val="16"/>
        </w:rPr>
      </w:pPr>
      <w:r w:rsidRPr="00271E51">
        <w:rPr>
          <w:rStyle w:val="a7"/>
          <w:rFonts w:ascii="Times New Roman" w:hAnsi="Times New Roman"/>
          <w:b w:val="0"/>
          <w:color w:val="000000" w:themeColor="text1"/>
          <w:sz w:val="16"/>
          <w:szCs w:val="16"/>
          <w:bdr w:val="none" w:sz="0" w:space="0" w:color="auto" w:frame="1"/>
          <w:shd w:val="clear" w:color="auto" w:fill="FBFCFC"/>
        </w:rPr>
        <w:t>Приговор. </w:t>
      </w:r>
    </w:p>
    <w:p w14:paraId="070BA3DB" w14:textId="77777777" w:rsidR="00633AC2" w:rsidRPr="00271E51" w:rsidRDefault="00633AC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На основании ст. ст. 319 - 320 Угол.-Процес. Кодекса РСФСР и руководствуясь Указом Президиума Верховного Совета СССР от 19 апреля 1943 г. об изменниках Родины, Военный Трибунал приговорил 8 человек к смертной казни через повешение.</w:t>
      </w:r>
    </w:p>
    <w:p w14:paraId="6499AF85" w14:textId="77777777" w:rsidR="00633AC2" w:rsidRPr="00271E51" w:rsidRDefault="00633AC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Троих - к ссылке в каторжные работы сроком на 20 лет каждого (19838).</w:t>
      </w:r>
    </w:p>
    <w:p w14:paraId="76EF6C89" w14:textId="77777777" w:rsidR="00633AC2" w:rsidRPr="00271E51" w:rsidRDefault="00633AC2" w:rsidP="00271E51">
      <w:pPr>
        <w:spacing w:after="0" w:line="240" w:lineRule="auto"/>
        <w:jc w:val="both"/>
        <w:rPr>
          <w:rFonts w:ascii="Times New Roman" w:hAnsi="Times New Roman"/>
          <w:color w:val="000000" w:themeColor="text1"/>
          <w:sz w:val="16"/>
          <w:szCs w:val="16"/>
        </w:rPr>
      </w:pPr>
    </w:p>
    <w:p w14:paraId="5A23C13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8B79E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59F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14 июля 1943 г. лейтенант Бантинг, пилот 85-й эскадрильи Королевских ВВС Великобритании, выполнял на своём “Москито” обычное патрулирование над Дувром. Внезапно он заметил в небе на высоте 3000 м силуэт двухмоторного самолёта. Обнаруженный незнакомец резко поднялся вверх и попытался уйти, не вступая в бой. Через 15 минут погони с работающими на полном “газу" двигателями Бантинг настиг его и с расстояния 180 м сделал два залпа из пушек. Выстрел оказался удачным: машина с характерными опознавательными знаками, пеое-вернувшись, упала в море недалеко от Филикстоу. Так впервые был сбит немецкий двухмоторный истребитель Me 410 из V группы 2-й бомбардировочной эскадры (V/KG 2), которая только что приступила к реальным боевым вылетам на новых самолетах (6407).</w:t>
      </w:r>
    </w:p>
    <w:p w14:paraId="171B4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8DED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июля 1943 торпедоносцы Оси впервые участвуют в боевых действиях против кораблей союзников в кампании на Сицилии; шесть итальянских бомбардировщиков-торпедоносцев атаковали два британских легких крейсера и два британских эсминца у мыса Спартивенто , но без единого попадания (20376).</w:t>
      </w:r>
    </w:p>
    <w:p w14:paraId="0688F0F0" w14:textId="77777777" w:rsidR="009274CE" w:rsidRPr="00271E51" w:rsidRDefault="009274CE" w:rsidP="00271E51">
      <w:pPr>
        <w:spacing w:after="0" w:line="240" w:lineRule="auto"/>
        <w:jc w:val="both"/>
        <w:rPr>
          <w:rFonts w:ascii="Times New Roman" w:hAnsi="Times New Roman"/>
          <w:color w:val="0070C0"/>
          <w:sz w:val="16"/>
          <w:szCs w:val="16"/>
        </w:rPr>
      </w:pPr>
    </w:p>
    <w:p w14:paraId="0BB53BAA"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в 1943 году две итальянские дивизии береговой обороны на Сицилии капитулировали перед союзниками (14952).</w:t>
      </w:r>
    </w:p>
    <w:p w14:paraId="42BEA85A"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274D6E8D"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июля в 1943 году английский воздушный десант юго-западнее Катании на Сицилии (14952).</w:t>
      </w:r>
    </w:p>
    <w:p w14:paraId="6096EBD1"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6176E78A" w14:textId="77777777" w:rsidR="009274CE" w:rsidRPr="00271E51" w:rsidRDefault="009274C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июля 1943 по 24 ноября 1944 - глава польского правительства в Лондоне - Станислав Миколайчик. Президент Польши в эмиграции - В. Рачкевич (7451).</w:t>
      </w:r>
    </w:p>
    <w:p w14:paraId="299D7CF0" w14:textId="77777777" w:rsidR="009274CE" w:rsidRPr="00271E51" w:rsidRDefault="009274C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18D8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FFFA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C68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15 июля 1943 был подписан акт по результатам испытаний в НИИ ВВС самолета Ил-2 N 2067 и там отмечалась недостаточная дальность радиосвязи (1862).</w:t>
      </w:r>
    </w:p>
    <w:p w14:paraId="1091A8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A95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года начальник штаба НИИ ВВС, полковник Иващенко писал письмо N 1/0096 Шахурину.</w:t>
      </w:r>
    </w:p>
    <w:p w14:paraId="14110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летно-тактических данных самолетов, прошедших испытаний в НИИ ВВС, для включения их в альбом самолетов ВВС 1943 г.:</w:t>
      </w:r>
    </w:p>
    <w:p w14:paraId="6C6C9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Ла-5 с М-82, серийный, N 37212383.</w:t>
      </w:r>
    </w:p>
    <w:p w14:paraId="1D870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Ла-5 с М-82ФН, опытный, облегченный.</w:t>
      </w:r>
    </w:p>
    <w:p w14:paraId="6089A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Як-7Б с М-105ПФ, серийные NN 3930, 3979, 4097, 4114, 4123, 41103.</w:t>
      </w:r>
    </w:p>
    <w:p w14:paraId="1AD6E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Ил-2 с АМ-38Ф, серийный, N 3851.</w:t>
      </w:r>
    </w:p>
    <w:p w14:paraId="40EF8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Ил-2 с АМ-38Ф, серийный, N 2067.</w:t>
      </w:r>
    </w:p>
    <w:p w14:paraId="404E7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Ил-2 с АМ-38Ф с подвесн. бензобаками, серийный, N 1871935.</w:t>
      </w:r>
    </w:p>
    <w:p w14:paraId="1E5C6D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УИЛ-2 с АМ-38Ф, серийный, N 1876152.</w:t>
      </w:r>
    </w:p>
    <w:p w14:paraId="5AEB7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Ил-4 с 2М-88Б, серийный, N 2311.</w:t>
      </w:r>
    </w:p>
    <w:p w14:paraId="1635BF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Пе-2 с 2М-105ПФ, серийный, N 17/175.</w:t>
      </w:r>
    </w:p>
    <w:p w14:paraId="26F95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Ер-2 с 2М-30Б, модифицированный.</w:t>
      </w:r>
    </w:p>
    <w:p w14:paraId="47900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Як-6 с 2М-11Ф, серийный, N 013.</w:t>
      </w:r>
    </w:p>
    <w:p w14:paraId="7B5BAF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12...-2ВС с М-11Д, серийный, N 3490.</w:t>
      </w:r>
    </w:p>
    <w:p w14:paraId="0776E6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Пегас с 2М-11Ф, опытный.</w:t>
      </w:r>
    </w:p>
    <w:p w14:paraId="776B7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Харрикейн II с мот. Роллс-Ройс "Мерлин" ХХ.</w:t>
      </w:r>
    </w:p>
    <w:p w14:paraId="71F84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FW-189 с 2-мя мот. Аргус As-410 (1783,196).</w:t>
      </w:r>
    </w:p>
    <w:p w14:paraId="5C525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66D4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С.П.К. написал личное письмо Л.П. Берии о разработке реактивной установки (Там же) (10676).</w:t>
      </w:r>
    </w:p>
    <w:p w14:paraId="4CF49A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6A76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1B098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BD7CF" w14:textId="77777777" w:rsidR="00BA7A65" w:rsidRPr="00271E51" w:rsidRDefault="00BA7A65" w:rsidP="00271E51">
      <w:pPr>
        <w:pStyle w:val="a3"/>
        <w:rPr>
          <w:color w:val="000000" w:themeColor="text1"/>
          <w:lang w:val="ru-RU"/>
        </w:rPr>
      </w:pPr>
      <w:r w:rsidRPr="00271E51">
        <w:rPr>
          <w:color w:val="000000" w:themeColor="text1"/>
          <w:lang w:val="ru-RU"/>
        </w:rPr>
        <w:t>15 июля 1943 В. А. Малышевым вскоре после занятия должности наркома письмо Л. П. Берии с просьбой посодействовать откомандированию на работу шефом-испытателем танков полковника Е. А. Кульчицкого. Е. А. Кульчицкий был в довоенное время хорошо известен как опытный и квалифицированный испытатель танков. Но после начала войны он, как и многие другие квалифицированные испытатели танков, ушел на фронт и служил помощником командира танкового корпуса по технической части. В результате, как писал В. А. Малышев, испытание танков было доверено проводить «рядовым водителям, и по их отзывам главный конструктор той или другой машины принимал решение, иногда и неправильное». Разумеется, Е. А. Кульчиций немедленно был откомандирован в распоряжение наркомата, где для него уже имелось много работы (12290).</w:t>
      </w:r>
    </w:p>
    <w:p w14:paraId="52F32E6A" w14:textId="77777777" w:rsidR="00BA7A65" w:rsidRPr="00271E51" w:rsidRDefault="00BA7A65" w:rsidP="00271E51">
      <w:pPr>
        <w:pStyle w:val="a3"/>
        <w:rPr>
          <w:color w:val="000000" w:themeColor="text1"/>
          <w:lang w:val="ru-RU"/>
        </w:rPr>
      </w:pPr>
    </w:p>
    <w:p w14:paraId="564869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г., распоряжением ГКО вместо Т-34 для принятия на вооружение Красной Армии был рекомендован средний танк Т-43-П (11135). Выпуск танков Т-43 предполагалось организовать парал</w:t>
      </w:r>
      <w:r w:rsidRPr="00271E51">
        <w:rPr>
          <w:rFonts w:ascii="Times New Roman" w:hAnsi="Times New Roman"/>
          <w:color w:val="000000" w:themeColor="text1"/>
          <w:sz w:val="16"/>
          <w:szCs w:val="16"/>
        </w:rPr>
        <w:softHyphen/>
        <w:t>лельно с выпуском Т-34, для чего был составлен специальный график. Согласно планам первые 10 машин должны были быть выпущены к исходу августа 1943 г., но изготовление этой серии вскоре было остановлено распоряжением И. Сталина (11135).</w:t>
      </w:r>
    </w:p>
    <w:p w14:paraId="32F322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DBF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в самый разгар боев на Курской дуге, в ходе затянувшихся испытаний распоряже</w:t>
      </w:r>
      <w:r w:rsidRPr="00271E51">
        <w:rPr>
          <w:rFonts w:ascii="Times New Roman" w:hAnsi="Times New Roman"/>
          <w:color w:val="000000" w:themeColor="text1"/>
          <w:sz w:val="16"/>
          <w:szCs w:val="16"/>
        </w:rPr>
        <w:softHyphen/>
        <w:t>нием ГКО танк был рекомендован для принятия на воору</w:t>
      </w:r>
      <w:r w:rsidRPr="00271E51">
        <w:rPr>
          <w:rFonts w:ascii="Times New Roman" w:hAnsi="Times New Roman"/>
          <w:color w:val="000000" w:themeColor="text1"/>
          <w:sz w:val="16"/>
          <w:szCs w:val="16"/>
        </w:rPr>
        <w:softHyphen/>
        <w:t>жение советской армии (причем до освоения 85-мм танко</w:t>
      </w:r>
      <w:r w:rsidRPr="00271E51">
        <w:rPr>
          <w:rFonts w:ascii="Times New Roman" w:hAnsi="Times New Roman"/>
          <w:color w:val="000000" w:themeColor="text1"/>
          <w:sz w:val="16"/>
          <w:szCs w:val="16"/>
        </w:rPr>
        <w:softHyphen/>
        <w:t>вого орудия с вооружением из 76-мм пушки Ф-34М) Проведенные заводские и государственные испытания показали преимущества танка перед всеми известными ти</w:t>
      </w:r>
      <w:r w:rsidRPr="00271E51">
        <w:rPr>
          <w:rFonts w:ascii="Times New Roman" w:hAnsi="Times New Roman"/>
          <w:color w:val="000000" w:themeColor="text1"/>
          <w:sz w:val="16"/>
          <w:szCs w:val="16"/>
        </w:rPr>
        <w:softHyphen/>
        <w:t>пами боевых машин. Несмотря на то что масса танка воз</w:t>
      </w:r>
      <w:r w:rsidRPr="00271E51">
        <w:rPr>
          <w:rFonts w:ascii="Times New Roman" w:hAnsi="Times New Roman"/>
          <w:color w:val="000000" w:themeColor="text1"/>
          <w:sz w:val="16"/>
          <w:szCs w:val="16"/>
        </w:rPr>
        <w:softHyphen/>
        <w:t>росла до 33,5 т, он сохранил все свои маневренные. характе</w:t>
      </w:r>
      <w:r w:rsidRPr="00271E51">
        <w:rPr>
          <w:rFonts w:ascii="Times New Roman" w:hAnsi="Times New Roman"/>
          <w:color w:val="000000" w:themeColor="text1"/>
          <w:sz w:val="16"/>
          <w:szCs w:val="16"/>
        </w:rPr>
        <w:softHyphen/>
        <w:t>ристики. Правда, не выдерживали резиновые бандажи опорных катков, заимствованных от Т-34.</w:t>
      </w:r>
    </w:p>
    <w:p w14:paraId="715126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движения по шоссе сохрани</w:t>
      </w:r>
      <w:r w:rsidRPr="00271E51">
        <w:rPr>
          <w:rFonts w:ascii="Times New Roman" w:hAnsi="Times New Roman"/>
          <w:color w:val="000000" w:themeColor="text1"/>
          <w:sz w:val="16"/>
          <w:szCs w:val="16"/>
        </w:rPr>
        <w:softHyphen/>
        <w:t>лась на уровне 51 км/ч, правда, запас хода на внутреннем баке составил лишь около 180 км, так как конструкция не позволяла разместить внутри бронекорпуса топливный бак большей вместимости, а на размещение еще одного бака А. Морозов не пошел.</w:t>
      </w:r>
    </w:p>
    <w:p w14:paraId="513326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было признано полезным то, что бортовые скосы корпуса конструкторы приспособили под контейнеры для ЗИП. По отзыву члена комиссии Миронова, «...крышки этих контейнеров, если их изготавливать из броневой стали толщиной 5-8 мм, могут играть роль взводящей брони, повы</w:t>
      </w:r>
      <w:r w:rsidRPr="00271E51">
        <w:rPr>
          <w:rFonts w:ascii="Times New Roman" w:hAnsi="Times New Roman"/>
          <w:color w:val="000000" w:themeColor="text1"/>
          <w:sz w:val="16"/>
          <w:szCs w:val="16"/>
        </w:rPr>
        <w:softHyphen/>
        <w:t>шая прочность бортов при их обстреле бронебойными и тер</w:t>
      </w:r>
      <w:r w:rsidRPr="00271E51">
        <w:rPr>
          <w:rFonts w:ascii="Times New Roman" w:hAnsi="Times New Roman"/>
          <w:color w:val="000000" w:themeColor="text1"/>
          <w:sz w:val="16"/>
          <w:szCs w:val="16"/>
        </w:rPr>
        <w:softHyphen/>
        <w:t>митными боеприпасами...» Одним из наиболее часто повто</w:t>
      </w:r>
      <w:r w:rsidRPr="00271E51">
        <w:rPr>
          <w:rFonts w:ascii="Times New Roman" w:hAnsi="Times New Roman"/>
          <w:color w:val="000000" w:themeColor="text1"/>
          <w:sz w:val="16"/>
          <w:szCs w:val="16"/>
        </w:rPr>
        <w:softHyphen/>
        <w:t>ряемых пожеланий комиссии было увеличить экипаж тан</w:t>
      </w:r>
      <w:r w:rsidRPr="00271E51">
        <w:rPr>
          <w:rFonts w:ascii="Times New Roman" w:hAnsi="Times New Roman"/>
          <w:color w:val="000000" w:themeColor="text1"/>
          <w:sz w:val="16"/>
          <w:szCs w:val="16"/>
        </w:rPr>
        <w:softHyphen/>
        <w:t>ка, вооруженного 85-мм пушкой, путем более рациональ</w:t>
      </w:r>
      <w:r w:rsidRPr="00271E51">
        <w:rPr>
          <w:rFonts w:ascii="Times New Roman" w:hAnsi="Times New Roman"/>
          <w:color w:val="000000" w:themeColor="text1"/>
          <w:sz w:val="16"/>
          <w:szCs w:val="16"/>
        </w:rPr>
        <w:softHyphen/>
        <w:t>ного расположения трех рабочих мест в башне (11135).</w:t>
      </w:r>
    </w:p>
    <w:p w14:paraId="325CC5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14FA8"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15 июля 1943, то есть ещё в ходе Курской битвы, началось изучение немецких новинок. На Центральный фронт прибыла группа офицеров НИБТ Полигона в составе инженер-полковника Калидова, старшего техника-лейтенанта Кжака и техника-лейтенанта Серова. К тому времени бои в районе станции Поныри и совхоза 1-го мая отгремели. Помимо непосредственного осмотра немецких машин, специалистами были допрошены немецкие военнопленные. Также информацией поделились советские солдаты и офицеры, принимавшие участие в боях против немецких боевых машин. Наконец, в руки советских военных попали немецкие инструкции по «Фердинанду».</w:t>
      </w:r>
    </w:p>
    <w:p w14:paraId="4959AD22"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Опрос пленных позволил получить большой объём информации, в том числе и по организации противотанковых дивизионов, на вооружении которых находились самоходные установки Ferdinand. Дополнительно специалисты НИБТ Полигона получили информацию и по другим частям, которые участвовали в боях совместно с 653-м и 654-м дивизионами, имевшими на вооружении тяжёлые истребители танков.</w:t>
      </w:r>
    </w:p>
    <w:p w14:paraId="1053C7AC"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Полученная информация позволила восстановить картину боевого применения дивизионов с «Фердинандами» и их соседей, которые использовали самоходные установки StuH 42 и Sturmpanzer IV. «Фердинанды», обладавшие толстой бронёй, выступали в роли тарана, двигаясь во главе боевых порядков ударной группы. Согласно собранной информации, машины шли, выстроившись линией. Благодаря мощному вооружению, способному поражать советские танки на дальних дистанциях, экипажи «Фердинандов» могли открывать огонь на дальности до 3 километров. При необходимости отходили немецкие машины пятясь назад, оставляя под огнём противника толстую лобовую броню. Так они могли, отступая, продолжать вести огонь по советским танкам. Стрельба велась с коротких остановок.</w:t>
      </w:r>
    </w:p>
    <w:p w14:paraId="791FCE8C"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Против хорошо защищённых немецких самоходных установок советские танковые орудия оказались почти бесполезными. Из осмотренных специалистами ГБТУ КА 21 машины всего одна, с бортовым 602, имела пробоину в левом борту. Попадание пришлось на район бензобака, возник пожар, и самоходная установка сгорела. Тактика немецких самоходчиков вполне могла сработать, если бы не одно «но»: наступать им пришлось на эшелонированную линию обороны, в которой находились далеко не одни танки. Самым страшным врагом «Фердинанда» стали советские сапёры. 10 машин подорвались на заложенных минах и фугасах, в том числе и САУ с бортовым номером 501. Эта самоходная установка с серийным номером 150072 оказалась машиной майора Карла-Ганса Ноака, командира 654-го дивизиона тяжёлых истребителей танков.</w:t>
      </w:r>
    </w:p>
    <w:p w14:paraId="5443D27C"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5 «Фердинандов» получили попадания снарядов в ходовую часть и оказались выведены из строя. Ещё 2 машины получили попадания и в ходовую часть, и в орудия. Машина с бортовым номером 701 стала жертвой советской артиллерии. Снаряд, угодивший по навесной траектории в крышу рубки, пробил люк и взорвался внутри боевого отделения. Ещё в одну машину угодила авиабомба, которая полностью разрушила рубку. Наконец, машина с бортовым номером II-01 из состава штаба 654-го дивизиона уничтожена советской пехотой. Меткое попадание бутылки с зажигательной смесью вызвало пожар, экипаж сгорел внутри.</w:t>
      </w:r>
    </w:p>
    <w:p w14:paraId="48EEC22D" w14:textId="77777777" w:rsidR="00524CAE" w:rsidRPr="00271E51" w:rsidRDefault="00524CAE" w:rsidP="00271E51">
      <w:pPr>
        <w:pStyle w:val="ae"/>
        <w:shd w:val="clear" w:color="auto" w:fill="FFFFFF"/>
        <w:spacing w:before="0" w:after="0"/>
        <w:jc w:val="both"/>
        <w:rPr>
          <w:color w:val="000000" w:themeColor="text1"/>
          <w:sz w:val="16"/>
          <w:szCs w:val="16"/>
        </w:rPr>
      </w:pPr>
      <w:r w:rsidRPr="00271E51">
        <w:rPr>
          <w:color w:val="000000" w:themeColor="text1"/>
          <w:sz w:val="16"/>
          <w:szCs w:val="16"/>
        </w:rPr>
        <w:t>Фактически потери дивизионов, которые были вооружены «Фердинандами», оказались ещё выше. Всего за время проведения операции «Цитадель» было безвозвратно потеряно 39 самоходных установок данного типа. Итоги сражения под Понырями наглядно показали, что Красная армия научилась воевать со значительно превосходящими силами противника, ведь на стороне немецких танковых сил в этом бою было неоспоримое преимущество. Полноценный ответ новому поколению немецких танков и самоходных установок советская танковая промышленность смогла дать только весной 1944 года, когда в войска пошли Т-34-85 и ИС-2. Тем не менее, Курскую битву немцы проиграли. Как показали бои под Понырями, далеко не всегда преимущество в танках оказывалось наиболее важным фактором. «Фердинанды» прорвать северный фас Курской дуги не смогли (17707).</w:t>
      </w:r>
    </w:p>
    <w:p w14:paraId="0A9C1E1B" w14:textId="77777777" w:rsidR="00524CAE" w:rsidRPr="00271E51" w:rsidRDefault="00524CAE" w:rsidP="00271E51">
      <w:pPr>
        <w:spacing w:after="0" w:line="240" w:lineRule="auto"/>
        <w:jc w:val="both"/>
        <w:rPr>
          <w:rFonts w:ascii="Times New Roman" w:hAnsi="Times New Roman"/>
          <w:color w:val="000000" w:themeColor="text1"/>
          <w:sz w:val="16"/>
          <w:szCs w:val="16"/>
        </w:rPr>
      </w:pPr>
    </w:p>
    <w:p w14:paraId="223B988C" w14:textId="77777777" w:rsidR="00524CAE" w:rsidRPr="00271E51" w:rsidRDefault="00524CA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г. было принято Постановление ГКО за № 3745 «О сроке начала выпуска автомобилей ЗИС-32 на Ульяновском автозаводе». И опять в силу объективных причин производство полноприводных «трехтонок» и на УльЗИСе налажено так и не было…  И все же, по крайней мере, одна модификация ЗИС-32 определенно была создана уже в Ульяновске. Речь идет о дизельном образце с измененной внешностью (17499).</w:t>
      </w:r>
    </w:p>
    <w:p w14:paraId="6358092D" w14:textId="77777777" w:rsidR="00524CAE" w:rsidRPr="00271E51" w:rsidRDefault="00524CAE" w:rsidP="00271E51">
      <w:pPr>
        <w:spacing w:after="0" w:line="240" w:lineRule="auto"/>
        <w:jc w:val="both"/>
        <w:rPr>
          <w:rFonts w:ascii="Times New Roman" w:hAnsi="Times New Roman"/>
          <w:color w:val="000000" w:themeColor="text1"/>
          <w:sz w:val="16"/>
          <w:szCs w:val="16"/>
        </w:rPr>
      </w:pPr>
    </w:p>
    <w:p w14:paraId="18513F10" w14:textId="77777777" w:rsidR="009274CE" w:rsidRPr="00271E51" w:rsidRDefault="009274CE" w:rsidP="00271E51">
      <w:pPr>
        <w:shd w:val="clear" w:color="auto" w:fill="FFFFFF"/>
        <w:spacing w:after="0" w:line="240" w:lineRule="auto"/>
        <w:jc w:val="both"/>
        <w:rPr>
          <w:rFonts w:ascii="Times New Roman" w:eastAsia="Times New Roman" w:hAnsi="Times New Roman"/>
          <w:color w:val="0070C0"/>
          <w:sz w:val="16"/>
          <w:szCs w:val="16"/>
          <w:lang w:eastAsia="ru-RU"/>
        </w:rPr>
      </w:pPr>
      <w:bookmarkStart w:id="1" w:name="_Hlk73471027"/>
      <w:r w:rsidRPr="00271E51">
        <w:rPr>
          <w:rFonts w:ascii="Times New Roman" w:eastAsia="Times New Roman" w:hAnsi="Times New Roman"/>
          <w:color w:val="0070C0"/>
          <w:sz w:val="16"/>
          <w:szCs w:val="16"/>
          <w:lang w:eastAsia="ru-RU"/>
        </w:rPr>
        <w:lastRenderedPageBreak/>
        <w:t>С 15 по 25 июля 1943 года проходили испытания СЗУ. То есть "простое" решение ГАБТУ КА (к тому моменту уже ГБТУ КА) о переделке башни Т-90 на базу Т-60 обошлось очень дорого и привело к потере семи месяцев. Для войны это огромный срок. Кроме того, в ходе испытаний выявился ряд дефектов. Помимо уже упомянутого снижения угла вертикальной наводки, выявилась неуравновешенность башни, прицеливаться из ТМФП оказалось неудобным, а крышки люков на крыше закрывались с неправильной последовательностью. Имелись проблемы с электроспуском. В общем и целом СЗУ испытания, в общем-то, выдержала, но при этом список необходимых доработок получился больше, чем у ЗСУ, которая испытывалась 7 месяцев назад. Причем отмечалась довольно большое число задержек при стрельбе.</w:t>
      </w:r>
    </w:p>
    <w:p w14:paraId="7FED0414"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r w:rsidRPr="00271E51">
        <w:rPr>
          <w:rFonts w:ascii="Times New Roman" w:eastAsia="Times New Roman" w:hAnsi="Times New Roman"/>
          <w:color w:val="0070C0"/>
          <w:sz w:val="16"/>
          <w:szCs w:val="16"/>
          <w:lang w:eastAsia="ru-RU"/>
        </w:rPr>
        <w:t xml:space="preserve">После устранения недостатков НИБТ Полигон предлагал запускать СЗУ в серию. Но, во-первых, ГАЗ им. Молотова в июне 1943 года разбомбили, заводу стало совсем не до СЗУ. Во-вторых, завод №37 уже несколько месяцев как выпускал СУ-76И, ему тоже было совсем не зенитной самоходной артиллерийской установки. В-третьих, шасси для машины попросту не имелось, поскольку возвращать Т-60 с фронта как-то особо желанием не горели. Да и что такое ремонтное шасси, это отдельный разговор. Дорабатывать, а уж тем более выпускать СЗУ оказалось некому и негде. В результате вся эпопея с зенитными танками, которая длилась год, закончилась ничем </w:t>
      </w:r>
      <w:r w:rsidRPr="00271E51">
        <w:rPr>
          <w:rFonts w:ascii="Times New Roman" w:hAnsi="Times New Roman"/>
          <w:color w:val="0070C0"/>
          <w:sz w:val="16"/>
          <w:szCs w:val="16"/>
        </w:rPr>
        <w:t>(21261).</w:t>
      </w:r>
    </w:p>
    <w:bookmarkEnd w:id="1"/>
    <w:p w14:paraId="42C2671B" w14:textId="77777777" w:rsidR="009274CE" w:rsidRPr="00271E51" w:rsidRDefault="009274CE" w:rsidP="00271E51">
      <w:pPr>
        <w:spacing w:after="0" w:line="240" w:lineRule="auto"/>
        <w:jc w:val="both"/>
        <w:rPr>
          <w:rFonts w:ascii="Times New Roman" w:hAnsi="Times New Roman"/>
          <w:color w:val="0070C0"/>
          <w:sz w:val="16"/>
          <w:szCs w:val="16"/>
        </w:rPr>
      </w:pPr>
    </w:p>
    <w:p w14:paraId="4364E6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вышло Постановление ГКО № 3745 О сроке начала выпуска автомобилей ЗИС-32 на Ульяновском автозаводе.РГАНИР, Фонд ГКО, д. 133, лл. 183 (11012).</w:t>
      </w:r>
    </w:p>
    <w:p w14:paraId="10F63B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79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вышло Распоряжение ГКО № 3746. Об отгрузке и доставке на ГАЗ стройматериалов.РГАНИР, Фонд ГКО, д. 133, лл. 184 (11012).</w:t>
      </w:r>
    </w:p>
    <w:p w14:paraId="28AB27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6E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вышло Постановление ГКО № 3747 О мероприятиях по обеспечению работы завода № 402 Наркомсудпрома.РГАНИР, Фонд ГКО, д. 133, лл. 185-191, 192 (11012).</w:t>
      </w:r>
    </w:p>
    <w:p w14:paraId="0DED6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3B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Катерный завод передал флоту очередной МО-4 (10671).</w:t>
      </w:r>
    </w:p>
    <w:p w14:paraId="514E9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D45BC"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15 июля 1943 г. планировалось начать выпуск истре</w:t>
      </w:r>
      <w:r w:rsidRPr="00271E51">
        <w:rPr>
          <w:rFonts w:ascii="Times New Roman" w:cs="Times New Roman"/>
          <w:color w:val="000000" w:themeColor="text1"/>
          <w:spacing w:val="0"/>
        </w:rPr>
        <w:softHyphen/>
        <w:t>бителей с новой маскировочной окраской. До получения стандартных серо-голубой и тёмно-серой красок разрешалось применять краски, изготовленные путем смешивания нитроэмалей АМТ-7 (голубой) и АМТ-6 (чёр</w:t>
      </w:r>
      <w:r w:rsidRPr="00271E51">
        <w:rPr>
          <w:rFonts w:ascii="Times New Roman" w:cs="Times New Roman"/>
          <w:color w:val="000000" w:themeColor="text1"/>
          <w:spacing w:val="0"/>
        </w:rPr>
        <w:softHyphen/>
        <w:t>ной) по специальной инструкции и эталонам ВИАМ. Такие меры, никогда ранее не раз</w:t>
      </w:r>
      <w:r w:rsidRPr="00271E51">
        <w:rPr>
          <w:rFonts w:ascii="Times New Roman" w:cs="Times New Roman"/>
          <w:color w:val="000000" w:themeColor="text1"/>
          <w:spacing w:val="0"/>
        </w:rPr>
        <w:softHyphen/>
        <w:t>решавшиеся, говорят об особой срочности введения нового камуфляжа.</w:t>
      </w:r>
    </w:p>
    <w:p w14:paraId="7CA911F6"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Перекраска существующего парка само</w:t>
      </w:r>
      <w:r w:rsidRPr="00271E51">
        <w:rPr>
          <w:rFonts w:ascii="Times New Roman" w:cs="Times New Roman"/>
          <w:color w:val="000000" w:themeColor="text1"/>
          <w:spacing w:val="0"/>
        </w:rPr>
        <w:softHyphen/>
        <w:t>лётов в авиачастях не предусматривалась, окрашиваться по новым схемам должны были лишь ремонтируемые машины. Зимой 1943/44 г. по указанию маршала авиации А.А. Новикова на все истребители, имею</w:t>
      </w:r>
      <w:r w:rsidRPr="00271E51">
        <w:rPr>
          <w:rFonts w:ascii="Times New Roman" w:cs="Times New Roman"/>
          <w:color w:val="000000" w:themeColor="text1"/>
          <w:spacing w:val="0"/>
        </w:rPr>
        <w:softHyphen/>
        <w:t>щие новый камуфляж, временная белая окраска уже не наносилась.</w:t>
      </w:r>
    </w:p>
    <w:p w14:paraId="7D23144F"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Технологический процесс окраски на за</w:t>
      </w:r>
      <w:r w:rsidRPr="00271E51">
        <w:rPr>
          <w:rFonts w:ascii="Times New Roman" w:cs="Times New Roman"/>
          <w:color w:val="000000" w:themeColor="text1"/>
          <w:spacing w:val="0"/>
        </w:rPr>
        <w:softHyphen/>
        <w:t>водах выглядел следующим образом. Ме</w:t>
      </w:r>
      <w:r w:rsidRPr="00271E51">
        <w:rPr>
          <w:rFonts w:ascii="Times New Roman" w:cs="Times New Roman"/>
          <w:color w:val="000000" w:themeColor="text1"/>
          <w:spacing w:val="0"/>
        </w:rPr>
        <w:softHyphen/>
        <w:t>таллические детали перед окраской грунто</w:t>
      </w:r>
      <w:r w:rsidRPr="00271E51">
        <w:rPr>
          <w:rFonts w:ascii="Times New Roman" w:cs="Times New Roman"/>
          <w:color w:val="000000" w:themeColor="text1"/>
          <w:spacing w:val="0"/>
        </w:rPr>
        <w:softHyphen/>
        <w:t>вались лако-масляным грунтом АЛГ-5 горя</w:t>
      </w:r>
      <w:r w:rsidRPr="00271E51">
        <w:rPr>
          <w:rFonts w:ascii="Times New Roman" w:cs="Times New Roman"/>
          <w:color w:val="000000" w:themeColor="text1"/>
          <w:spacing w:val="0"/>
        </w:rPr>
        <w:softHyphen/>
        <w:t>чей сушки (серо-зелёным) или глифталевым 138А (красным). Внешние поверхности де</w:t>
      </w:r>
      <w:r w:rsidRPr="00271E51">
        <w:rPr>
          <w:rFonts w:ascii="Times New Roman" w:cs="Times New Roman"/>
          <w:color w:val="000000" w:themeColor="text1"/>
          <w:spacing w:val="0"/>
        </w:rPr>
        <w:softHyphen/>
        <w:t xml:space="preserve">ревянных обшивок, оклеенных полотном, покрывались шпатлёвкой </w:t>
      </w:r>
      <w:r w:rsidRPr="00271E51">
        <w:rPr>
          <w:rFonts w:ascii="Times New Roman" w:cs="Times New Roman"/>
          <w:color w:val="000000" w:themeColor="text1"/>
          <w:spacing w:val="0"/>
          <w:lang w:val="en-US"/>
        </w:rPr>
        <w:t>A</w:t>
      </w:r>
      <w:r w:rsidRPr="00271E51">
        <w:rPr>
          <w:rFonts w:ascii="Times New Roman" w:cs="Times New Roman"/>
          <w:color w:val="000000" w:themeColor="text1"/>
          <w:spacing w:val="0"/>
        </w:rPr>
        <w:t>Ш-22 (жёлтого цвета) или, позднее, АШ-30 (серой). При этом места, загрязнённые смоляным клеем, перед оклейкой полотном покрывались грун</w:t>
      </w:r>
      <w:r w:rsidRPr="00271E51">
        <w:rPr>
          <w:rFonts w:ascii="Times New Roman" w:cs="Times New Roman"/>
          <w:color w:val="000000" w:themeColor="text1"/>
          <w:spacing w:val="0"/>
        </w:rPr>
        <w:softHyphen/>
        <w:t>том 138А или глифталевой эмалью А-18ф светло-голубого цвета. Затем эти поверх</w:t>
      </w:r>
      <w:r w:rsidRPr="00271E51">
        <w:rPr>
          <w:rFonts w:ascii="Times New Roman" w:cs="Times New Roman"/>
          <w:color w:val="000000" w:themeColor="text1"/>
          <w:spacing w:val="0"/>
        </w:rPr>
        <w:softHyphen/>
        <w:t xml:space="preserve">ности, а также полотняные обшивки рулей и элеронов грунтовались аэролаком </w:t>
      </w:r>
      <w:r w:rsidRPr="00271E51">
        <w:rPr>
          <w:rFonts w:ascii="Times New Roman" w:cs="Times New Roman"/>
          <w:color w:val="000000" w:themeColor="text1"/>
          <w:spacing w:val="0"/>
          <w:lang w:val="en-US"/>
        </w:rPr>
        <w:t>All</w:t>
      </w:r>
      <w:r w:rsidRPr="00271E51">
        <w:rPr>
          <w:rFonts w:ascii="Times New Roman" w:cs="Times New Roman"/>
          <w:color w:val="000000" w:themeColor="text1"/>
          <w:spacing w:val="0"/>
        </w:rPr>
        <w:t xml:space="preserve"> Ал серебристого цвета, который предохранял ткань от разрушающего воздействия уль</w:t>
      </w:r>
      <w:r w:rsidRPr="00271E51">
        <w:rPr>
          <w:rFonts w:ascii="Times New Roman" w:cs="Times New Roman"/>
          <w:color w:val="000000" w:themeColor="text1"/>
          <w:spacing w:val="0"/>
        </w:rPr>
        <w:softHyphen/>
        <w:t>трафиолетовых лучей, проникающих через пигментированные аэролаки. Лишь после этого самолёт сверху и с боков красили зелёной нитроэмалью АМТ-4, а снизу - го</w:t>
      </w:r>
      <w:r w:rsidRPr="00271E51">
        <w:rPr>
          <w:rFonts w:ascii="Times New Roman" w:cs="Times New Roman"/>
          <w:color w:val="000000" w:themeColor="text1"/>
          <w:spacing w:val="0"/>
        </w:rPr>
        <w:softHyphen/>
        <w:t>лубой АМТ-7. После высыхания последнего слоя на самолёт наносили пятна чёрной эмали АМТ-6.</w:t>
      </w:r>
    </w:p>
    <w:p w14:paraId="45CF03F9"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Внутренние поверхности могли окраши</w:t>
      </w:r>
      <w:r w:rsidRPr="00271E51">
        <w:rPr>
          <w:rFonts w:ascii="Times New Roman" w:cs="Times New Roman"/>
          <w:color w:val="000000" w:themeColor="text1"/>
          <w:spacing w:val="0"/>
        </w:rPr>
        <w:softHyphen/>
        <w:t>ваться по нескольким вариантам: двумя слоями аэролака АН Ал по серому нитро- грунту ДД-113, двумя слоями серой масля</w:t>
      </w:r>
      <w:r w:rsidRPr="00271E51">
        <w:rPr>
          <w:rFonts w:ascii="Times New Roman" w:cs="Times New Roman"/>
          <w:color w:val="000000" w:themeColor="text1"/>
          <w:spacing w:val="0"/>
        </w:rPr>
        <w:softHyphen/>
        <w:t>ной А-14 (или глифталевой А-14ф того же цвета) или одним слоем смоляного лака № 1. При ремонте самолётов внутренние поверхности могли покрываться слоем клея ВИАМ Б-3 или двумя слоями аэролаков А</w:t>
      </w:r>
      <w:r w:rsidRPr="00271E51">
        <w:rPr>
          <w:rStyle w:val="aff9"/>
          <w:rFonts w:ascii="Times New Roman" w:cs="Times New Roman"/>
          <w:b w:val="0"/>
          <w:color w:val="000000" w:themeColor="text1"/>
          <w:spacing w:val="0"/>
          <w:sz w:val="16"/>
          <w:szCs w:val="16"/>
        </w:rPr>
        <w:t xml:space="preserve"> II </w:t>
      </w:r>
      <w:r w:rsidRPr="00271E51">
        <w:rPr>
          <w:rFonts w:ascii="Times New Roman" w:cs="Times New Roman"/>
          <w:color w:val="000000" w:themeColor="text1"/>
          <w:spacing w:val="0"/>
        </w:rPr>
        <w:t>Ал., АМТ-7 или А II светло-голубого цвета.</w:t>
      </w:r>
    </w:p>
    <w:p w14:paraId="31D8493D"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Детали моторов перед окраской покрыва</w:t>
      </w:r>
      <w:r w:rsidRPr="00271E51">
        <w:rPr>
          <w:rFonts w:ascii="Times New Roman" w:cs="Times New Roman"/>
          <w:color w:val="000000" w:themeColor="text1"/>
          <w:spacing w:val="0"/>
        </w:rPr>
        <w:softHyphen/>
        <w:t>лись грунтом АЛГ-1 (жёлтым) или АЛГ-5 го</w:t>
      </w:r>
      <w:r w:rsidRPr="00271E51">
        <w:rPr>
          <w:rFonts w:ascii="Times New Roman" w:cs="Times New Roman"/>
          <w:color w:val="000000" w:themeColor="text1"/>
          <w:spacing w:val="0"/>
        </w:rPr>
        <w:softHyphen/>
        <w:t>рячей сушки. Затем производилась окраска в чёрный цвет глифталевой эмалью 2086ф или двумя слоями нитроэмали МВ-109, а сверху - ещё одним слоем нитролака МВ-6. Пленка лака МВ-6 была полуглянцевой, чёр</w:t>
      </w:r>
      <w:r w:rsidRPr="00271E51">
        <w:rPr>
          <w:rFonts w:ascii="Times New Roman" w:cs="Times New Roman"/>
          <w:color w:val="000000" w:themeColor="text1"/>
          <w:spacing w:val="0"/>
        </w:rPr>
        <w:softHyphen/>
        <w:t>ного цвета с фиолетовым оттенком.</w:t>
      </w:r>
    </w:p>
    <w:p w14:paraId="517E8492"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Ещё два варианта предусматривали ок</w:t>
      </w:r>
      <w:r w:rsidRPr="00271E51">
        <w:rPr>
          <w:rFonts w:ascii="Times New Roman" w:cs="Times New Roman"/>
          <w:color w:val="000000" w:themeColor="text1"/>
          <w:spacing w:val="0"/>
        </w:rPr>
        <w:softHyphen/>
        <w:t>раску моторов в серо-голубой цвет двумя слоями глифталевой эмали АМ-4 или пос</w:t>
      </w:r>
      <w:r w:rsidRPr="00271E51">
        <w:rPr>
          <w:rFonts w:ascii="Times New Roman" w:cs="Times New Roman"/>
          <w:color w:val="000000" w:themeColor="text1"/>
          <w:spacing w:val="0"/>
        </w:rPr>
        <w:softHyphen/>
        <w:t>ледовательными слоями нитроэмалей МВ-1 и МВ-2. Нитроэмали давали полуглянцевое покрытие серо-голубого цвета средней ин</w:t>
      </w:r>
      <w:r w:rsidRPr="00271E51">
        <w:rPr>
          <w:rFonts w:ascii="Times New Roman" w:cs="Times New Roman"/>
          <w:color w:val="000000" w:themeColor="text1"/>
          <w:spacing w:val="0"/>
        </w:rPr>
        <w:softHyphen/>
        <w:t>тенсивности.</w:t>
      </w:r>
    </w:p>
    <w:p w14:paraId="7DB0C5F4"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Детали моторов из магниевых сплавов предварительно оксидировали, грунтова</w:t>
      </w:r>
      <w:r w:rsidRPr="00271E51">
        <w:rPr>
          <w:rFonts w:ascii="Times New Roman" w:cs="Times New Roman"/>
          <w:color w:val="000000" w:themeColor="text1"/>
          <w:spacing w:val="0"/>
        </w:rPr>
        <w:softHyphen/>
        <w:t>ли только цинкхроматным грунтом АЛГ-1 и покрывались теми же эмалями, что и остальные поверхности, но обязательно в два слоя.</w:t>
      </w:r>
    </w:p>
    <w:p w14:paraId="01A71795"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Кроме того, двигатели могли окрашивать</w:t>
      </w:r>
      <w:r w:rsidRPr="00271E51">
        <w:rPr>
          <w:rFonts w:ascii="Times New Roman" w:cs="Times New Roman"/>
          <w:color w:val="000000" w:themeColor="text1"/>
          <w:spacing w:val="0"/>
        </w:rPr>
        <w:softHyphen/>
        <w:t>ся эмалями МВ-8 и МВ-108, которые дава</w:t>
      </w:r>
      <w:r w:rsidRPr="00271E51">
        <w:rPr>
          <w:rFonts w:ascii="Times New Roman" w:cs="Times New Roman"/>
          <w:color w:val="000000" w:themeColor="text1"/>
          <w:spacing w:val="0"/>
        </w:rPr>
        <w:softHyphen/>
        <w:t>ли полуглянцевые покрытия светло-серого цвета. На всасывающих патрубках моторов, окрашенных по любому из этих вариантов нитроэмалями оранжевого цвета МВ-3 или МВ-4, наносилось октановое число потреб</w:t>
      </w:r>
      <w:r w:rsidRPr="00271E51">
        <w:rPr>
          <w:rFonts w:ascii="Times New Roman" w:cs="Times New Roman"/>
          <w:color w:val="000000" w:themeColor="text1"/>
          <w:spacing w:val="0"/>
        </w:rPr>
        <w:softHyphen/>
        <w:t>ляемого бензина.</w:t>
      </w:r>
    </w:p>
    <w:p w14:paraId="02405F03"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Тыльная сторона лопастей винтов окра</w:t>
      </w:r>
      <w:r w:rsidRPr="00271E51">
        <w:rPr>
          <w:rFonts w:ascii="Times New Roman" w:cs="Times New Roman"/>
          <w:color w:val="000000" w:themeColor="text1"/>
          <w:spacing w:val="0"/>
        </w:rPr>
        <w:softHyphen/>
        <w:t>шивалась в чёрный цвет масляной эмалью А-26м или аэролаком АМТ-6 чёрного цвета. В обоих случаях перед окраской применялся грунт АЛГ-1 или АЛГ-5, а для АМТ-6 - также грунт 138А красно-коричневого цвета.</w:t>
      </w:r>
    </w:p>
    <w:p w14:paraId="7A89AC30"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Окраска агрегатов и трубопроводов про</w:t>
      </w:r>
      <w:r w:rsidRPr="00271E51">
        <w:rPr>
          <w:rFonts w:ascii="Times New Roman" w:cs="Times New Roman"/>
          <w:color w:val="000000" w:themeColor="text1"/>
          <w:spacing w:val="0"/>
        </w:rPr>
        <w:softHyphen/>
        <w:t>изводилась по стандартной схеме: бензо</w:t>
      </w:r>
      <w:r w:rsidRPr="00271E51">
        <w:rPr>
          <w:rFonts w:ascii="Times New Roman" w:cs="Times New Roman"/>
          <w:color w:val="000000" w:themeColor="text1"/>
          <w:spacing w:val="0"/>
        </w:rPr>
        <w:softHyphen/>
        <w:t>баки и бензопроводы - жёлтые (масляная эмаль А-6), баки и трубопроводы водяной системы - зелёные (А-7, ядовито-зелёного оттенка), маслобаки и трубопроводы - ко</w:t>
      </w:r>
      <w:r w:rsidRPr="00271E51">
        <w:rPr>
          <w:rFonts w:ascii="Times New Roman" w:cs="Times New Roman"/>
          <w:color w:val="000000" w:themeColor="text1"/>
          <w:spacing w:val="0"/>
        </w:rPr>
        <w:softHyphen/>
        <w:t>ричневые (А-8, довольно тёмного оттен</w:t>
      </w:r>
      <w:r w:rsidRPr="00271E51">
        <w:rPr>
          <w:rFonts w:ascii="Times New Roman" w:cs="Times New Roman"/>
          <w:color w:val="000000" w:themeColor="text1"/>
          <w:spacing w:val="0"/>
        </w:rPr>
        <w:softHyphen/>
        <w:t>ка). Элементы и агрегаты гидравлической системы покрывались синей эмалью А-9, кислородной системы - голубой А-10, воз</w:t>
      </w:r>
      <w:r w:rsidRPr="00271E51">
        <w:rPr>
          <w:rFonts w:ascii="Times New Roman" w:cs="Times New Roman"/>
          <w:color w:val="000000" w:themeColor="text1"/>
          <w:spacing w:val="0"/>
        </w:rPr>
        <w:softHyphen/>
        <w:t>душной - чёрной А-12, противопожарное оборудование - красной А-13 (она же слу</w:t>
      </w:r>
      <w:r w:rsidRPr="00271E51">
        <w:rPr>
          <w:rFonts w:ascii="Times New Roman" w:cs="Times New Roman"/>
          <w:color w:val="000000" w:themeColor="text1"/>
          <w:spacing w:val="0"/>
        </w:rPr>
        <w:softHyphen/>
        <w:t>жила для опознавательных знаков). Альтер</w:t>
      </w:r>
      <w:r w:rsidRPr="00271E51">
        <w:rPr>
          <w:rFonts w:ascii="Times New Roman" w:cs="Times New Roman"/>
          <w:color w:val="000000" w:themeColor="text1"/>
          <w:spacing w:val="0"/>
        </w:rPr>
        <w:softHyphen/>
        <w:t>нативно могли использоваться также нитро</w:t>
      </w:r>
      <w:r w:rsidRPr="00271E51">
        <w:rPr>
          <w:rFonts w:ascii="Times New Roman" w:cs="Times New Roman"/>
          <w:color w:val="000000" w:themeColor="text1"/>
          <w:spacing w:val="0"/>
        </w:rPr>
        <w:softHyphen/>
        <w:t>эмали ДМ тех же цветов. Все эмали были глянцевыми (19103).</w:t>
      </w:r>
    </w:p>
    <w:p w14:paraId="0E9F9853" w14:textId="77777777" w:rsidR="00A005EA" w:rsidRPr="00271E51" w:rsidRDefault="00A005EA" w:rsidP="00271E51">
      <w:pPr>
        <w:pStyle w:val="27"/>
        <w:shd w:val="clear" w:color="auto" w:fill="auto"/>
        <w:spacing w:after="0" w:line="240" w:lineRule="auto"/>
        <w:ind w:firstLine="0"/>
        <w:rPr>
          <w:rFonts w:ascii="Times New Roman" w:cs="Times New Roman"/>
          <w:color w:val="000000" w:themeColor="text1"/>
          <w:spacing w:val="0"/>
        </w:rPr>
      </w:pPr>
    </w:p>
    <w:p w14:paraId="1BA35C1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5104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2D6A1"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в 1943 году оперативная сводка Совинформбюро:</w:t>
      </w:r>
    </w:p>
    <w:p w14:paraId="2570AEF7"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наши войска, расположенные севернее и восточнее города Орла, после ряда контратак перешли в наступление противнемецко-фашистских войск. Наступление началось с двух направлений: из района севернее города Орла на юг и из района восточнее города Орла на запад.</w:t>
      </w:r>
    </w:p>
    <w:p w14:paraId="6EF4F05A"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наши войска прорвали сильно укреплённую оборонительную полосупротивника по фронту протяжением 40 километров и за три дня напряжённых боёв продвинулись вперёд на 45 километров. Разгромлены многочисленные узлы сопротивления и опорные пункты противника. Нашими войсками на этом направлении занято более пятидесяти населённых пунктов, в том числе районный центр Ульяново и крупные населённые пункты Старица, Сорокино, Мойлово, Дудоровский, Веснины, Крапивна, Шванова, Ягодная, Еленск, Тросна, Клён.</w:t>
      </w:r>
    </w:p>
    <w:p w14:paraId="45B5967E"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прорвали сильно укреплённую оборонительную полосу противника по фронту протяжением 30 километров и, преодолевая его упорное сопротивление, продвинулись вперёд на 20—25 километров. На этом направлении нашими войсками занято более шестидесяти населённых пунктов, в том числе крупные населённые пункты Вяжи, Орловка, Казарь, Мелынь, Высокое, Победное, Сетуха, Березовец.</w:t>
      </w:r>
    </w:p>
    <w:p w14:paraId="625B4BE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наступления наших войск разбиты немецкие 56, 262, 293 пехотные дивизии, 5 и 18 танковые дивизии. Нанесено сильное поражение немецким 112, 208 и 211 пехотным, 25 и 36 немецким мотодивизиям.</w:t>
      </w:r>
    </w:p>
    <w:p w14:paraId="637B6E26"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три дня боёв взято в плен более 2.000 солдат и офицеров.</w:t>
      </w:r>
    </w:p>
    <w:p w14:paraId="113D9F78"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по неполным данным, нашими войсками взяты следующие трофеи: танков—40, орудий разного калибра—210, миномётов—187, пулемётов— 99, складов разных—26.</w:t>
      </w:r>
    </w:p>
    <w:p w14:paraId="041B752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Уничтожено: танков—109, самолётов—294, орудий разного калибра—47. За три дня боёв противник потерял только убитыми более 12.000 солдат и офицеров.</w:t>
      </w:r>
    </w:p>
    <w:p w14:paraId="2C69C8E9"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Наступление наших войск продолжается.</w:t>
      </w:r>
    </w:p>
    <w:p w14:paraId="714D5C8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июля на Белгородском направлении наши войска отбивали атаки танков и пехоты противника.</w:t>
      </w:r>
    </w:p>
    <w:p w14:paraId="3FE35E4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войска вели атаки против перешедшего к обороне противника.</w:t>
      </w:r>
    </w:p>
    <w:p w14:paraId="10A42B9A"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Белгородском направлении наши войска отбивали ожесточённые атаки противника. Подтянув новые силы танков и мотопехоты, немцы пытались сломить сопротивление наших войск. В ходе этих атак гитлеровцы понесли тяжёлые потери в живой силе и технике. Танкисты Н-ского соединения уничтожили 51 вражеский танк, более 100 автомашин с боеприпасами и горючим и истребили до 2.000 немецких солдат и офицеров. Рота, которой командует лейтенант Калиниченко, отбила атаку двух батальонов немецкой пехоты, наступавших при поддержке танков. Ни один боец не покинул своего места, когда вражеские танки ворвались в расположение подразделения. Ружейно-пулемётным огнём красноармейцы отсекли немецкую пехоту от танков и истребили свыше 300 гитлеровцев. Прорвавшиеся танки противника нарвались на минное поле и там же были накрыты огнём нашей артиллерии. Из 17 вражеских танков, участвовавших в этом бою, было подбито и сожжено </w:t>
      </w:r>
      <w:r w:rsidRPr="00271E51">
        <w:rPr>
          <w:rFonts w:ascii="Times New Roman" w:hAnsi="Times New Roman"/>
          <w:color w:val="000000" w:themeColor="text1"/>
          <w:sz w:val="16"/>
          <w:szCs w:val="16"/>
        </w:rPr>
        <w:lastRenderedPageBreak/>
        <w:t>14 немецких танков. На другом участке танковый экипаж лейтенанта Замуло сжёг 5 танков противника. Танковый экипаж лейтенанта Петрушкова уничтожил 2 тяжёлых немецких танка типа «Тигр», бронетранспортёр и 30 гитлеровцев.</w:t>
      </w:r>
    </w:p>
    <w:p w14:paraId="05295EB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противник, перейдя 5 июля в наступление, в течение ряда дней пытался прорвать советскую оборону. Немцы понесли огромные потери в живой силе, танках, самолётах, но успеха не добились. Обескровленный враг был вынужден перейти к обороне. Сегодня наши войска после артиллерийской подготовки успешно атаковали противника. Танкисты Н-ской части в бою за один населённый пункт разгромили батальон вражеской пехоты, сожгли и подбили 9 немецких танков. На другом участке наши бойцы выбили гитлеровцев из сильно укреплённых позиций и истребили до 400 немецких солдат и офицеров. Захвачены трофеи и пленные.</w:t>
      </w:r>
    </w:p>
    <w:p w14:paraId="1F22FC3B"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подвергла бомбардировке войска противника. Уничтожено много автомашин, полевых орудий и разбито два железнодорожных эшелона.</w:t>
      </w:r>
    </w:p>
    <w:p w14:paraId="1C3318EF"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Ростова-на-Дону активно действовали наши разведывательные группы. Бойцы под командованием лейтенанта Кузнецова ворвались в расположение противника, разрушили два блиндажа вместе с находившимися в них гитлеровцами.</w:t>
      </w:r>
    </w:p>
    <w:p w14:paraId="6F5056D2"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воздушном бою сбили 3 самолёта противника.</w:t>
      </w:r>
    </w:p>
    <w:p w14:paraId="781FB9DC"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артиллерийские подразделения подавили огонь 10 немецких артиллерийских батарей, разрушили 12 дзотов, 8 блиндажей и 4 наблюдательных пункта, взорвали склад с боеприпасами.</w:t>
      </w:r>
    </w:p>
    <w:p w14:paraId="742A2B9F"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повреждены два тральщика и сторожевой катер противника.</w:t>
      </w:r>
    </w:p>
    <w:p w14:paraId="10D878F6"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Каменец-Подольской области, за месяц боевых действий пустил под откос 8 воинских эшелонов противника. Уничтожено 6 паровозов, 74 вагона с войсками и техникой и 24 цистерны с горючим. Партизаны отряда имени Ленина 26 июня заминировали шоссейную дорогу. На расставленных партизанами минах взорвались 3 автомашины с немецкими солдатами и офицерами. Убито 40 гитлеровцев. В другом районе советские патриоты взорвали легковую игрузовую автомашины с солдатами и штабными немецкими офицерами.» (14953).</w:t>
      </w:r>
    </w:p>
    <w:p w14:paraId="5BA53521"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6BF422EE" w14:textId="77777777" w:rsidR="00A005EA" w:rsidRPr="00271E51" w:rsidRDefault="00A005EA" w:rsidP="00271E51">
      <w:pPr>
        <w:pStyle w:val="book"/>
        <w:ind w:firstLine="0"/>
        <w:jc w:val="both"/>
        <w:rPr>
          <w:color w:val="000000" w:themeColor="text1"/>
          <w:sz w:val="16"/>
          <w:szCs w:val="16"/>
        </w:rPr>
      </w:pPr>
      <w:r w:rsidRPr="00271E51">
        <w:rPr>
          <w:color w:val="000000" w:themeColor="text1"/>
          <w:sz w:val="16"/>
          <w:szCs w:val="16"/>
        </w:rPr>
        <w:t>15 июля 1943 г четыре Ил-2 614 шап атаковали в районе Подмаслово (Брянский фронт) группу наступающих танков противника в составе 25 машин, среди которых было до 10 «Тигров». Атака производилась с горизонтального полета с высот 130-150 м; при этом экипажами было сброшено 1190 ПТАБ-2.5-1.5. В результате было сожжено 7 танков, в том числе 4 тяжёлых.</w:t>
      </w:r>
    </w:p>
    <w:p w14:paraId="0FECEC8A" w14:textId="77777777" w:rsidR="00A005EA" w:rsidRPr="00271E51" w:rsidRDefault="00A005EA" w:rsidP="00271E51">
      <w:pPr>
        <w:pStyle w:val="book"/>
        <w:ind w:firstLine="0"/>
        <w:jc w:val="both"/>
        <w:rPr>
          <w:color w:val="000000" w:themeColor="text1"/>
          <w:sz w:val="16"/>
          <w:szCs w:val="16"/>
        </w:rPr>
      </w:pPr>
      <w:r w:rsidRPr="00271E51">
        <w:rPr>
          <w:color w:val="000000" w:themeColor="text1"/>
          <w:sz w:val="16"/>
          <w:szCs w:val="16"/>
        </w:rPr>
        <w:t>Бомбометание ПТАБ повысило эффективность действий авиации по танкам противника.</w:t>
      </w:r>
    </w:p>
    <w:p w14:paraId="0F3B2927" w14:textId="77777777" w:rsidR="00A005EA" w:rsidRPr="00271E51" w:rsidRDefault="00A005EA" w:rsidP="00271E51">
      <w:pPr>
        <w:pStyle w:val="book"/>
        <w:ind w:firstLine="0"/>
        <w:jc w:val="both"/>
        <w:rPr>
          <w:color w:val="000000" w:themeColor="text1"/>
          <w:sz w:val="16"/>
          <w:szCs w:val="16"/>
        </w:rPr>
      </w:pPr>
      <w:r w:rsidRPr="00271E51">
        <w:rPr>
          <w:color w:val="000000" w:themeColor="text1"/>
          <w:sz w:val="16"/>
          <w:szCs w:val="16"/>
        </w:rPr>
        <w:t>Применение ПТАБ-2.5-1.5 во много раз увеличило вероятность прямого попадания в танк, так как большое количество бомб, сброшенных с одного самолёта, покрывает большую площадь, создавая на ней достаточную плотность разрывов. Полоса разлёта бомб нередко перекрывает 2-3 танка, удаленных один от другого на 60—75 м; поэтому в результате действий авиации по рассредоточенным боевым порядкам и колоннам танков противника последние обычно несут большие потери (18737).</w:t>
      </w:r>
    </w:p>
    <w:p w14:paraId="6BA6676D" w14:textId="77777777" w:rsidR="00A005EA" w:rsidRPr="00271E51" w:rsidRDefault="00A005EA" w:rsidP="00271E51">
      <w:pPr>
        <w:pStyle w:val="book"/>
        <w:ind w:firstLine="0"/>
        <w:jc w:val="both"/>
        <w:rPr>
          <w:color w:val="000000" w:themeColor="text1"/>
          <w:sz w:val="16"/>
          <w:szCs w:val="16"/>
        </w:rPr>
      </w:pPr>
    </w:p>
    <w:p w14:paraId="69DAA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июля 1943 г. в донесениях штаба 225-й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15-й ВА в отношении эффективности приме</w:t>
      </w:r>
      <w:r w:rsidRPr="00271E51">
        <w:rPr>
          <w:rFonts w:ascii="Times New Roman" w:hAnsi="Times New Roman"/>
          <w:color w:val="000000" w:themeColor="text1"/>
          <w:sz w:val="16"/>
          <w:szCs w:val="16"/>
        </w:rPr>
        <w:softHyphen/>
        <w:t xml:space="preserve">нения ПТАБов указывалось следующее: “4 </w:t>
      </w:r>
      <w:r w:rsidRPr="00271E51">
        <w:rPr>
          <w:rFonts w:ascii="Times New Roman" w:hAnsi="Times New Roman"/>
          <w:iCs/>
          <w:color w:val="000000" w:themeColor="text1"/>
          <w:sz w:val="16"/>
          <w:szCs w:val="16"/>
        </w:rPr>
        <w:t>экипажа 614-го Курско</w:t>
      </w:r>
      <w:r w:rsidRPr="00271E51">
        <w:rPr>
          <w:rFonts w:ascii="Times New Roman" w:hAnsi="Times New Roman"/>
          <w:iCs/>
          <w:color w:val="000000" w:themeColor="text1"/>
          <w:sz w:val="16"/>
          <w:szCs w:val="16"/>
        </w:rPr>
        <w:softHyphen/>
        <w:t>го авиационного полка штурмовали тан</w:t>
      </w:r>
      <w:r w:rsidRPr="00271E51">
        <w:rPr>
          <w:rFonts w:ascii="Times New Roman" w:hAnsi="Times New Roman"/>
          <w:iCs/>
          <w:color w:val="000000" w:themeColor="text1"/>
          <w:sz w:val="16"/>
          <w:szCs w:val="16"/>
        </w:rPr>
        <w:softHyphen/>
        <w:t>ки противника (среди них 8 "тигров"), которые контратаковали наши войска на юго-западной окраине Подмаслов. Эки</w:t>
      </w:r>
      <w:r w:rsidRPr="00271E51">
        <w:rPr>
          <w:rFonts w:ascii="Times New Roman" w:hAnsi="Times New Roman"/>
          <w:iCs/>
          <w:color w:val="000000" w:themeColor="text1"/>
          <w:sz w:val="16"/>
          <w:szCs w:val="16"/>
        </w:rPr>
        <w:softHyphen/>
        <w:t>пажи сбросили ПТАБ. На земле горело 7 танков, в том числе 4 тяжелых... 16 июля 43 г. 13.03. 19 экипажей - веду</w:t>
      </w:r>
      <w:r w:rsidRPr="00271E51">
        <w:rPr>
          <w:rFonts w:ascii="Times New Roman" w:hAnsi="Times New Roman"/>
          <w:iCs/>
          <w:color w:val="000000" w:themeColor="text1"/>
          <w:sz w:val="16"/>
          <w:szCs w:val="16"/>
        </w:rPr>
        <w:softHyphen/>
        <w:t>щий первой группы старший лейтенант Рогачев, второй группы - капитан Чер</w:t>
      </w:r>
      <w:r w:rsidRPr="00271E51">
        <w:rPr>
          <w:rFonts w:ascii="Times New Roman" w:hAnsi="Times New Roman"/>
          <w:iCs/>
          <w:color w:val="000000" w:themeColor="text1"/>
          <w:sz w:val="16"/>
          <w:szCs w:val="16"/>
        </w:rPr>
        <w:softHyphen/>
        <w:t>нявский - штурмовали танки в районе Подмаслово, Прилеп, Филатовка, Мохо</w:t>
      </w:r>
      <w:r w:rsidRPr="00271E51">
        <w:rPr>
          <w:rFonts w:ascii="Times New Roman" w:hAnsi="Times New Roman"/>
          <w:iCs/>
          <w:color w:val="000000" w:themeColor="text1"/>
          <w:sz w:val="16"/>
          <w:szCs w:val="16"/>
        </w:rPr>
        <w:softHyphen/>
        <w:t>вое. Уничтожено 10 танков, сбито 3 са</w:t>
      </w:r>
      <w:r w:rsidRPr="00271E51">
        <w:rPr>
          <w:rFonts w:ascii="Times New Roman" w:hAnsi="Times New Roman"/>
          <w:iCs/>
          <w:color w:val="000000" w:themeColor="text1"/>
          <w:sz w:val="16"/>
          <w:szCs w:val="16"/>
        </w:rPr>
        <w:softHyphen/>
        <w:t>молета типа ФВ-190 сержантом Марчковым, младшим лейтенантом Соляниковым, старшим лейтенантом Козловс</w:t>
      </w:r>
      <w:r w:rsidRPr="00271E51">
        <w:rPr>
          <w:rFonts w:ascii="Times New Roman" w:hAnsi="Times New Roman"/>
          <w:iCs/>
          <w:color w:val="000000" w:themeColor="text1"/>
          <w:sz w:val="16"/>
          <w:szCs w:val="16"/>
        </w:rPr>
        <w:softHyphen/>
        <w:t>ким... 16 июля 43 г. 23 экипажа 810-го полка в районе Подмаслово, Федоровка, Филатове помимо других типов бомб сбро</w:t>
      </w:r>
      <w:r w:rsidRPr="00271E51">
        <w:rPr>
          <w:rFonts w:ascii="Times New Roman" w:hAnsi="Times New Roman"/>
          <w:iCs/>
          <w:color w:val="000000" w:themeColor="text1"/>
          <w:sz w:val="16"/>
          <w:szCs w:val="16"/>
        </w:rPr>
        <w:softHyphen/>
        <w:t xml:space="preserve">сили 2700 ПТАБ, уничтожено 17 танков" </w:t>
      </w:r>
      <w:r w:rsidRPr="00271E51">
        <w:rPr>
          <w:rFonts w:ascii="Times New Roman" w:hAnsi="Times New Roman"/>
          <w:color w:val="000000" w:themeColor="text1"/>
          <w:sz w:val="16"/>
          <w:szCs w:val="16"/>
        </w:rPr>
        <w:t>(6467).</w:t>
      </w:r>
    </w:p>
    <w:p w14:paraId="04F2E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C5A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была сформирована 1-я перегоночная АД под командованием И.П.Мазурука (356,432).</w:t>
      </w:r>
    </w:p>
    <w:p w14:paraId="18A797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B9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КА начала наступление в районе Орла (2262).</w:t>
      </w:r>
    </w:p>
    <w:p w14:paraId="4FFE7C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EED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началось контрнаступление войск ЦФ (340,148).</w:t>
      </w:r>
    </w:p>
    <w:p w14:paraId="7EDE7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немцев к началу наступления было: 900 тыс. с, 10 тыс. орудий и п, 1800 т, 2100 самолетов против 2226 тыс. с, 33 тыс. орудий и пулеметов, 4800 т и САУ, 4300 с (340,148).</w:t>
      </w:r>
    </w:p>
    <w:p w14:paraId="38319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Задачи, поставленные ВВС: удержание г в воздухе и прикрытие собственных группировок войск; содействие сухопутным войскам в прорыве обороны; противодействие н в занятии обороны на промежуточных рубежах; срыв маневра резервами; нарушение управления войсками. Предусматривалось авианаступление в полном объеме. АДД привлекалась для нанесения ударов по ж/д узлам и объектам в тылу. И ПВО - прикрытие войск и объектов в тылу фронтов (340,148).</w:t>
      </w:r>
    </w:p>
    <w:p w14:paraId="60E942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07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было первое упоминание об участии ТСАП в боевых действиях в операциях 19ТК. После неудачного наступления 70А немцы начали контратаку и их в 10:00 встретил 1540 ТСАП. Подбиты два Т-4 и один Т-6 с 2000 м. Немцы, встретив новое оружие, немедленно отступили. 1541 использовался и 14, но сопровождая Шерманы артогнем. Всего с февраля по декабрь 1943 выпустили 671 и приняли 666 (4411,14).</w:t>
      </w:r>
    </w:p>
    <w:p w14:paraId="7A39F2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9A1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вечером на подходе к заливу Петсамонвоуно авиаразведка обнаружила немецкий конвой в составе двух транспортов, одного танкера и четырех сторожевых кораблей. Над судами постоянно сменяя друг друга, патрулировали "Мессершмитты" и "Фокке-Вульфы", а противолодочную разведку вели поплавковые Не115. При проходе конвоя в зоне артиллерийского огня наших береговых батарей в районе полуострова Средний, три Не115 и два сторожевика поставили дымовую завесу, за которой почти ничего не просматривалось. Несмотря на это береговые батареи открыли огонь по немецким судам. В ответ девять Ju87 и семь Bf 110 нанесли бомбардировочный удар по огневым позициям на полуострове Рыбачий. С аэродромов Ваенга и Пумманки по тревоге были подняты 16 Як-1, восемь "Аэрокобр", 10 "Харрикейнов", а в качестве -штурмовиков - шесть "Харрикейнов", два И-16 и пара Ил-2, которые несли в сумме лишь восемь ФАБ-100, 12 РОФС-132 и столько же PC-82!. Откровенная недогрузка выделяемых для удара машин в немалой степени определяла низкая результативность налетов штурмовой авиации (гордо заявляемые во многих справочниках данные абсолютно не соответствовали реальной практике боевой деятельности. Самолеты до целей и обратно "возили" почти исключительно самих пилотов и "воздух". Например, боевая нагрузка Ил-2, без учета боеприпасов для бортового стрелково-пушечного вооружения, составляющая шесть ФАБ-100 или две ФАБ-250, а также до восьми реактивных снарядов калибра 82-132 мм в ходе боевых действий ВВС СФ не применялась ни разу!! Многочисленные описания отечественных историков проводимого в частях тотального усиления вооружения "Харрикейнов" не выдерживают никакой критики, поскольку анализ боевой деятельности авиаполков на основе архивных материалов, а не мемуаров, говорит об обратном. На фоне этого единичные фотографии "навороченных" машин можно рассматривать, как приятное исключение и не более того).</w:t>
      </w:r>
    </w:p>
    <w:p w14:paraId="389673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Показательной в этом смысле можно считать операцию ВВС СФ проведенную в ночь на 16 июля. С часу ночи до четырех утра, когда летом в северных широтах солнце не заходит за горизонт, над конвоем вспыхивали спорадические схватки, в которых приняли участие истребители из состава II и 11/JG5 (3480).</w:t>
      </w:r>
    </w:p>
    <w:p w14:paraId="7EEAB2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94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по 23 июля 1943 года истребители противника сбили четыре Пе-8 4М-82. Одна машина была сбита зенитным огнем. Это говорило о возросшей активности ПВО немцев, с другой стороны, выявило серьезный недостаток новых Пе-8 с М-82. Выхлопные коллекторы отработанных газов, сгрупированные для нескольких цилиндров двигателя, давали большой и заметный в ночном небе язык пламени. На них, как на огненные маяки, устремлялись ночные истребители немцев (7685).</w:t>
      </w:r>
    </w:p>
    <w:p w14:paraId="06ADC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B63F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15 июля 1943 года, к моменту прекращения немецкого наступления на участке Центрального фронта, за десять дней боев 2-я танковая армия потеряла 272 боевых машины, из них 178 Т-34 (сгорело 85, подбито 92, подорвалось на минах 1).</w:t>
      </w:r>
    </w:p>
    <w:p w14:paraId="79F7FE0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1-й танковой армии потери за 5-15 июля 1943 года были еще больше. Так, из 645 участвовавших в боях танков армии (из них 525 Т-34) было выведено из строя 530 машин, из которых 443 были тридцатьчетверки. Согласно данным штаба, причины выхода из строя были следующими: из 443 Т-34 65 - от артогня, 1 на минах, 7 от авиации, 316 сгорело, 1 утонул, 4 попало в яму, 48 по техническим причинам и 1 пропала без вести. Из этого количества безвозвратные потери составляли 368 машин, большая часть из которых сгорела (12217).</w:t>
      </w:r>
    </w:p>
    <w:p w14:paraId="39D9754A"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66755F70"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июля в 1943 году Южный фас Курской Дуги - 1-я танковая армия получила приказ перейти к обороне и подготовиться к передаче своего сектора 6-й и 5-й гвардейским армиям. Активные боевые действия велись только на участке 69-й армии и 5-й гвардейской танковой армии, в районе выступа Сторожевое - Гостищево - Шипы. Там моторизированная дивизия СС "Райх", 7-я и 19-я танковые, 167-я и 168-я пехотные дивизии продолжали попытку окружить четыре стрелковые дивизии. В 8.55 Ватутин издал приказ №00105 командующему 5-й гвардейской танковой армии и 69-й армии: "Противник, в силу допущенной беспечности командующих 5-й </w:t>
      </w:r>
      <w:r w:rsidRPr="00271E51">
        <w:rPr>
          <w:rFonts w:ascii="Times New Roman" w:hAnsi="Times New Roman"/>
          <w:color w:val="000000" w:themeColor="text1"/>
          <w:sz w:val="16"/>
          <w:szCs w:val="16"/>
        </w:rPr>
        <w:lastRenderedPageBreak/>
        <w:t>гвардейской танковой армии и 69-й армии, к утру 15.7 овладел Лесками, Шахово, поставил под угрозу окружения 375, 93 и 89 стрелковые дивизии 69-й армии." (Тут есть непонятные моменты - если немцы взяли Шахово, то четыре стрелковые дивизии были не под угрозой, а в окружении. И непонятно, почему Ватутин не перечислил среди дивизий в мешке 81-ю стрелковые дивизии). В этом же приказе Ватутин распорядился овладеть и удерживать Шахово "всеми силами" 5-й гвардейской танковой армии и тремя стрелковыми дивизиями 69-й армии из глубины мешка (опять же забыв про существование там 81-й стрелковую дивизию). Однако в 24.00 Ватутин в боевом донесении №00228 Верховному Главнокомандующему сообщает, что 5-я гвардейская танковая армия оборонялась на прежних рубежах, а войска 69-й армии выходили на новый оборонительный рубеж. В итоге мешок был ликвидирован немцами, по советским источникам четыре стрелковые дивизии вышли из окружения (нет информации насколько успешно в численности состава). Немцы вышли на тыловую полосу обороны от Сторожевого до Шипов на протяжении порядка 18-20 км, продвинувшись до 24 км. Это было последнее продвижение немцев во время Курской битвы (14953).</w:t>
      </w:r>
    </w:p>
    <w:p w14:paraId="3FDB376F"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57EA7ECE"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в 1943 году в распоряжение 1-й польской пехотной дивизии имени Т.Костюшко советское командование откомандировало 325 офицеров (14953).</w:t>
      </w:r>
    </w:p>
    <w:p w14:paraId="5A0F8ABD"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214A4FB3" w14:textId="77777777" w:rsidR="004C3A1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AE0541A" w14:textId="77777777" w:rsidR="004C3A11" w:rsidRPr="00271E51" w:rsidRDefault="004C3A1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074DA0"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в 1943 году Совнарком принимает постановление "Об обучении подростков, работающих на предприятиях", в соответствии с которым будут созданы "школы рабочей молодежи" (ШРМ) - семилетние (в составе 5-7-х классов) и средние (в составе 5-10-х классов) общеобразовательные школы для обучения рабочей молодежи без отрыва от производства (14953).</w:t>
      </w:r>
    </w:p>
    <w:p w14:paraId="7239C757"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2DA15B1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230D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AB9516"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в 1943 году 500 американских и английских самолетов совершают налет на Неаполь (14953).</w:t>
      </w:r>
    </w:p>
    <w:p w14:paraId="62835690"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639CC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июля 1943 японцы потеряли 45 самолетов по сравнению с 3 американскими (2262).</w:t>
      </w:r>
    </w:p>
    <w:p w14:paraId="11E04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CD057" w14:textId="77777777" w:rsidR="00405A7E"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118116" w14:textId="77777777" w:rsidR="00405A7E" w:rsidRPr="00271E51" w:rsidRDefault="00405A7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91D68D" w14:textId="77777777" w:rsidR="00405A7E" w:rsidRPr="00271E51" w:rsidRDefault="00405A7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середине июля 1943 года окончательно была утверждена версия проекта, представлявшая собой установку С-31 в штатной башне КВ-1с. Согласно расчетам, боевая масса танка при этом вырастала до 44 тонн, при этом его динамические характеристики оставались на уровне обычного КВ-1с. Сама пушка легко вставала на место ЗИС-5, поскольку была с этим орудием максимально унифицировано. Помимо более длинного ствола, внешне башня Объекта 238 должна была отличаться несколько измененной конструкции подвижной бронировки орудийной маски. Впрочем, на практике была сохранена серийная бронировка. Еще одним изменением стала переделанная орудийная укладка в башне на 8 патронов. В отличие от подвижной бронировки, её реализовали в металле. Весь боекомплект состоял из 55 патронов (18698).</w:t>
      </w:r>
    </w:p>
    <w:p w14:paraId="73E0A37B" w14:textId="77777777" w:rsidR="00405A7E" w:rsidRPr="00271E51" w:rsidRDefault="00405A7E" w:rsidP="00271E51">
      <w:pPr>
        <w:spacing w:after="0" w:line="240" w:lineRule="auto"/>
        <w:jc w:val="both"/>
        <w:rPr>
          <w:rFonts w:ascii="Times New Roman" w:hAnsi="Times New Roman"/>
          <w:color w:val="000000" w:themeColor="text1"/>
          <w:sz w:val="16"/>
          <w:szCs w:val="16"/>
        </w:rPr>
      </w:pPr>
    </w:p>
    <w:p w14:paraId="0BEC91BC"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К середине июля 1943 года эскизный проект «установки 122 мм танковой пушки в башне танка «ИС» был подготовлен КБ завода №9 совместно с КБ завода №100. Работы велись в инициативном порядке. Со стороны челябинского завода работу курировал Ж.Я. Котин, ведущим инженером выступал Н.Ф. Шашмурин.</w:t>
      </w:r>
    </w:p>
    <w:p w14:paraId="0D9F8A14"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Система на тот момент не имела обозначения. При её создании максимально использовался опыт, полученный при проектировании Д-2. В том числе и поэтому танковая система отличалась от А-19 длиной ствола. Кроме того, как и Д-2, танковое орудие имело ствол-моноблок, а для снижения усилия при откате получило массивный дульный тормоз Т-образной формы. Благодаря ему сопротивление откату почти совпало с аналогичным показателем у Д-5Т, и это при том, что масса качающейся части 122-мм пушки была на 900 килограмм тяжелее, чем у 85-мм системы! Гораздо большая по размерам и массе система имела длину отката 550 мм, что позволяло свободно разместить её внутри башни ИС.</w:t>
      </w:r>
    </w:p>
    <w:p w14:paraId="3C80DE42"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Обо всей этой работе не знали даже в Главном бронетанковом управлении Красной армии (ГБТУ КА). В докладе, который 20 июля 1943 года подготовил инженер-полковник С.А. Афонин, нет ни слова о совместной работе завода №9 и завода №100. В документе лишь предлагалось ставить в ИС пушку калибра 100-122 мм, чтобы надёжно поражать лобовую броню немецкой САУ </w:t>
      </w:r>
      <w:hyperlink r:id="rId21" w:history="1">
        <w:r w:rsidRPr="00271E51">
          <w:rPr>
            <w:rStyle w:val="a5"/>
            <w:bCs/>
            <w:iCs/>
            <w:color w:val="000000" w:themeColor="text1"/>
            <w:sz w:val="16"/>
            <w:szCs w:val="16"/>
            <w:bdr w:val="none" w:sz="0" w:space="0" w:color="auto" w:frame="1"/>
          </w:rPr>
          <w:t>Ferdinand</w:t>
        </w:r>
      </w:hyperlink>
      <w:r w:rsidRPr="00271E51">
        <w:rPr>
          <w:color w:val="000000" w:themeColor="text1"/>
          <w:sz w:val="16"/>
          <w:szCs w:val="16"/>
        </w:rPr>
        <w:t>, а упоминались в этой связи разработки Центрального артиллерийского конструкторского бюро (ЦАКБ). Судя по всему, уже тогда начались работы по системе С-34. Но даже в середине сентября работы ЦАКБ находились в зачаточном состоянии.</w:t>
      </w:r>
    </w:p>
    <w:p w14:paraId="36DB5E46"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Совсем иначе продвигалась совместная разработка завода №9 и завода №100. К сентябрю 1943 года инициативный проект был официально одобрен, система получила обозначение Д-25. Указанные в постановлении ГКО №4043 жёсткие сроки изготовления опытного образца ИС с Д-25 отражали реально сложившееся к тому времени положение дел. К 4 сентября эскизная проработка танковой системы уже подходила к завершению, оставалось изготовить её в металле и испытать.</w:t>
      </w:r>
    </w:p>
    <w:p w14:paraId="18BC642C"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Танк, получивший обозначение Объект 240, с нуля не строился. За основу был взят второй опытный образец Объекта 237. Правда, с началом переделок случилась небольшая заминка: 8 сентября танк осматривал Сталин. Опытный образец орудия Д-25 на заводе №100 ожидали получить к 13 числу.</w:t>
      </w:r>
    </w:p>
    <w:p w14:paraId="0E5B9D11"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К этому времени уже поднимался вопрос модернизации новой системы. Слабым местом А-19 была низкая скорострельность (не более 3-4 выстрелов в минуту), обусловленная в том числе раздельным заряжанием. А в башне и этот невысокий показатель уменьшился бы. Ещё в начале сентября 1943 года был поднят вопрос об установке на Д-25 клинового затвора. С этим требованием КБ завода №9 согласилось, но на перепроектирование требовалось время. Артком ГАУ требовал разработать два варианта затвора — с вертикальным и горизонтальным расположением. В письме от 15 сентября 1943 года генерал-лейтенант Хохлов предлагал использовать клиновой затвор от 152-мм гаубицы НГ, советской вариации на тему </w:t>
      </w:r>
      <w:hyperlink r:id="rId22" w:history="1">
        <w:r w:rsidRPr="00271E51">
          <w:rPr>
            <w:rStyle w:val="a5"/>
            <w:bCs/>
            <w:iCs/>
            <w:color w:val="000000" w:themeColor="text1"/>
            <w:sz w:val="16"/>
            <w:szCs w:val="16"/>
            <w:bdr w:val="none" w:sz="0" w:space="0" w:color="auto" w:frame="1"/>
          </w:rPr>
          <w:t>15 cm sFH 18</w:t>
        </w:r>
      </w:hyperlink>
      <w:r w:rsidRPr="00271E51">
        <w:rPr>
          <w:color w:val="000000" w:themeColor="text1"/>
          <w:sz w:val="16"/>
          <w:szCs w:val="16"/>
        </w:rPr>
        <w:t>. В любом случае завершение работ по этому направлению ожидалось никак не раньше 15 октября.</w:t>
      </w:r>
    </w:p>
    <w:p w14:paraId="6BA547AD" w14:textId="77777777" w:rsidR="00405A7E" w:rsidRPr="00271E51" w:rsidRDefault="00405A7E" w:rsidP="00271E51">
      <w:pPr>
        <w:pStyle w:val="ae"/>
        <w:spacing w:before="0" w:after="0"/>
        <w:jc w:val="both"/>
        <w:textAlignment w:val="baseline"/>
        <w:rPr>
          <w:color w:val="000000" w:themeColor="text1"/>
          <w:sz w:val="16"/>
          <w:szCs w:val="16"/>
        </w:rPr>
      </w:pPr>
      <w:r w:rsidRPr="00271E51">
        <w:rPr>
          <w:color w:val="000000" w:themeColor="text1"/>
          <w:sz w:val="16"/>
          <w:szCs w:val="16"/>
        </w:rPr>
        <w:t>Ещё одним способом решения вопроса увеличения скорострельности могла стать механизация подачи боеприпасов. К этой работе было привлечено ЦКБ-19, которое занималось железнодорожными артиллерийскими системами. Правда, дальше слов работа в этом направлении тогда не продвинулась (17717).</w:t>
      </w:r>
    </w:p>
    <w:p w14:paraId="3EBBA205" w14:textId="77777777" w:rsidR="00405A7E" w:rsidRPr="00271E51" w:rsidRDefault="00405A7E" w:rsidP="00271E51">
      <w:pPr>
        <w:spacing w:after="0" w:line="240" w:lineRule="auto"/>
        <w:jc w:val="both"/>
        <w:rPr>
          <w:rFonts w:ascii="Times New Roman" w:hAnsi="Times New Roman"/>
          <w:color w:val="000000" w:themeColor="text1"/>
          <w:sz w:val="16"/>
          <w:szCs w:val="16"/>
        </w:rPr>
      </w:pPr>
    </w:p>
    <w:p w14:paraId="3F43827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BF1EC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B4A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середине июля 1943 на СФ осталось только 5 торпедоносцев (4 Ил-4 и 1 Хэмпден) (1085,151).</w:t>
      </w:r>
    </w:p>
    <w:p w14:paraId="0557C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4E5E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B0527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67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на высоте 7000 м у Ил-4 М-82НВ отказал правый мотор. Из-за отсутствия запасного двигателя полеты прекратили и заводские испытания так и не были окончены (7666).</w:t>
      </w:r>
    </w:p>
    <w:p w14:paraId="254940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87D5C"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июля 1943 г.</w:t>
      </w:r>
    </w:p>
    <w:p w14:paraId="6F0E143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 по заводу № 18 об установке на самолете Ил-2 с улучшенной центровкой турельной установки</w:t>
      </w:r>
    </w:p>
    <w:p w14:paraId="0A29EA4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июля 1943 г.</w:t>
      </w:r>
    </w:p>
    <w:p w14:paraId="050E7CE5"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p>
    <w:p w14:paraId="17DA066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исполнение приказа Народного Комиссара от 10/VI 1943 г. за № 346с ПРИКАЗЫВАЮ:</w:t>
      </w:r>
    </w:p>
    <w:p w14:paraId="2234738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Установить на одном самолете Ил-2 с улучшенной центровкой турельную установку, взамен установки ВУБ-3, и передать его на госиспытания НИИ 12/VII 1943 г.</w:t>
      </w:r>
    </w:p>
    <w:p w14:paraId="5140371D"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Начальнику СКО получить от Главного Конструктора тов.Ильюшина и спустить в цеха чертежи на установку турели.</w:t>
      </w:r>
    </w:p>
    <w:p w14:paraId="278F3B2A"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Срок - 17/VI 1943 г.</w:t>
      </w:r>
    </w:p>
    <w:p w14:paraId="3CDD75C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Директор завода</w:t>
      </w:r>
      <w:r w:rsidRPr="00271E51">
        <w:rPr>
          <w:rFonts w:ascii="Times New Roman" w:hAnsi="Times New Roman"/>
          <w:color w:val="0070C0"/>
          <w:sz w:val="16"/>
          <w:szCs w:val="16"/>
        </w:rPr>
        <w:tab/>
        <w:t>Белянский</w:t>
      </w:r>
    </w:p>
    <w:p w14:paraId="16FB292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ГАСО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w:t>
      </w:r>
      <w:r w:rsidRPr="00271E51">
        <w:rPr>
          <w:rFonts w:ascii="Times New Roman" w:hAnsi="Times New Roman"/>
          <w:color w:val="0070C0"/>
          <w:sz w:val="16"/>
          <w:szCs w:val="16"/>
          <w:lang w:val="en-US"/>
        </w:rPr>
        <w:t xml:space="preserve">. P-3454. On. 1. </w:t>
      </w:r>
      <w:r w:rsidRPr="00271E51">
        <w:rPr>
          <w:rFonts w:ascii="Times New Roman" w:hAnsi="Times New Roman"/>
          <w:color w:val="0070C0"/>
          <w:sz w:val="16"/>
          <w:szCs w:val="16"/>
        </w:rPr>
        <w:t>Д</w:t>
      </w:r>
      <w:r w:rsidRPr="00271E51">
        <w:rPr>
          <w:rFonts w:ascii="Times New Roman" w:hAnsi="Times New Roman"/>
          <w:color w:val="0070C0"/>
          <w:sz w:val="16"/>
          <w:szCs w:val="16"/>
          <w:lang w:val="en-US"/>
        </w:rPr>
        <w:t xml:space="preserve">. 25. </w:t>
      </w:r>
      <w:r w:rsidRPr="00271E51">
        <w:rPr>
          <w:rFonts w:ascii="Times New Roman" w:hAnsi="Times New Roman"/>
          <w:color w:val="0070C0"/>
          <w:sz w:val="16"/>
          <w:szCs w:val="16"/>
        </w:rPr>
        <w:t>Л</w:t>
      </w:r>
      <w:r w:rsidRPr="00271E51">
        <w:rPr>
          <w:rFonts w:ascii="Times New Roman" w:hAnsi="Times New Roman"/>
          <w:color w:val="0070C0"/>
          <w:sz w:val="16"/>
          <w:szCs w:val="16"/>
          <w:lang w:val="en-US"/>
        </w:rPr>
        <w:t xml:space="preserve">. 50. </w:t>
      </w:r>
      <w:r w:rsidRPr="00271E51">
        <w:rPr>
          <w:rFonts w:ascii="Times New Roman" w:hAnsi="Times New Roman"/>
          <w:color w:val="0070C0"/>
          <w:sz w:val="16"/>
          <w:szCs w:val="16"/>
        </w:rPr>
        <w:t>Подлинник (20519).</w:t>
      </w:r>
    </w:p>
    <w:p w14:paraId="3C65C3C9" w14:textId="77777777" w:rsidR="009274CE" w:rsidRPr="00271E51" w:rsidRDefault="009274CE" w:rsidP="00271E51">
      <w:pPr>
        <w:spacing w:after="0" w:line="240" w:lineRule="auto"/>
        <w:jc w:val="both"/>
        <w:rPr>
          <w:rFonts w:ascii="Times New Roman" w:hAnsi="Times New Roman"/>
          <w:color w:val="0070C0"/>
          <w:sz w:val="16"/>
          <w:szCs w:val="16"/>
        </w:rPr>
      </w:pPr>
    </w:p>
    <w:p w14:paraId="064DFD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на высоте 7000 м отказал правый мотор Ил-4 М-82НВ, посроенного на заводе № 23 весной 1943. Из-за от</w:t>
      </w:r>
      <w:r w:rsidRPr="00271E51">
        <w:rPr>
          <w:rFonts w:ascii="Times New Roman" w:hAnsi="Times New Roman"/>
          <w:color w:val="000000" w:themeColor="text1"/>
          <w:sz w:val="16"/>
          <w:szCs w:val="16"/>
        </w:rPr>
        <w:softHyphen/>
        <w:t>сутствия запасного двигателя полеты прекратили (10734,78).</w:t>
      </w:r>
    </w:p>
    <w:p w14:paraId="78F1B3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D09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июля 1943 Зам. НКАП П.Дементьев писал в ГУЗ Н.П.Селезневу и Я.Л.Бибикову письмо N Н-34/2851 о том, что военная приемка на заводе 22 прекратила прием </w:t>
      </w:r>
      <w:r w:rsidRPr="00271E51">
        <w:rPr>
          <w:rFonts w:ascii="Times New Roman" w:hAnsi="Times New Roman"/>
          <w:color w:val="000000" w:themeColor="text1"/>
          <w:sz w:val="16"/>
          <w:szCs w:val="16"/>
        </w:rPr>
        <w:lastRenderedPageBreak/>
        <w:t>Пе-2 с ВИШ-61П и требует с ВИШ-105СВП, хотя первые лучше и просил продолжить приемку (1778,258).</w:t>
      </w:r>
    </w:p>
    <w:p w14:paraId="1CC3E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5F2B2"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D8C6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B98290"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в 1943 году в соответствии с постановлением Государственного Комитета Обороны создан Опытный завод №1 НИИ-20 Министерства промышленности средств связи, ныне - Федеральное государственное унитарное предприятие «Завод точных приборов», город Москва. Завод специализируется на производстве радиоэлектронного оборудования и пьезо-кварцевых устройств в интересах Росавиакосмоса и Минобороны России (14954).</w:t>
      </w:r>
    </w:p>
    <w:p w14:paraId="6DD2A766" w14:textId="77777777" w:rsidR="00974AE3" w:rsidRPr="00271E51" w:rsidRDefault="00974AE3" w:rsidP="00271E51">
      <w:pPr>
        <w:spacing w:after="0" w:line="240" w:lineRule="auto"/>
        <w:jc w:val="both"/>
        <w:rPr>
          <w:rFonts w:ascii="Times New Roman" w:hAnsi="Times New Roman"/>
          <w:color w:val="000000" w:themeColor="text1"/>
          <w:sz w:val="16"/>
          <w:szCs w:val="16"/>
        </w:rPr>
      </w:pPr>
    </w:p>
    <w:p w14:paraId="456CF3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вышло Распоряжение ГКО № 3748. О производстве запасных частей к автомобилям и тракторам, находящимся в распоряжении НКВМФ.РГАНИР, Фонд ГКО, д. 133, лл. 193 (11012).</w:t>
      </w:r>
    </w:p>
    <w:p w14:paraId="7FB83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2DA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вышло Распоряжение ГКО № 3749. О передаче с цементных заводов НКПСМ оборудования для Уральского и Богословского алюминиевых заводов НКЦМ.РГАНИР, Фонд ГКО, д. 133, лл. 194 (11012).</w:t>
      </w:r>
    </w:p>
    <w:p w14:paraId="090ED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767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вышло Постановление ГКО№ 3750 О плане распределения тракторов СТЗ-НАТИ на III квартал 1943 года.РГАНИР, Фонд ГКО, д. 133, лл. 195, 196-197 (11012).</w:t>
      </w:r>
    </w:p>
    <w:p w14:paraId="0C0576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7E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вышло Постановление ГКО № 3751 О распределении автомобилей и автомобильных прицепов на III квартал 1943 годаРГАНИР, Фонд ГКО, д. 133, лл. 198, 199-202 (11012).</w:t>
      </w:r>
    </w:p>
    <w:p w14:paraId="05972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52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вышло Распоряжение ГКО № 3752. О выделении горючего для уборки урожая из госрезерва и о его восполнении.РГАНИР, Фонд ГКО, д. 133, лл. 203-204, 205-210 (11012).</w:t>
      </w:r>
    </w:p>
    <w:p w14:paraId="03F74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B42A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года вышел приказ № 366сс НКВ</w:t>
      </w:r>
    </w:p>
    <w:p w14:paraId="30B92EB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постановления ГОКО НКВ организует завод зенитных пушек № 88 (6437, 216).</w:t>
      </w:r>
    </w:p>
    <w:p w14:paraId="4B426D8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71040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0B534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A9B95"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в 1943 году оперативная сводка Совинформбюро:</w:t>
      </w:r>
    </w:p>
    <w:p w14:paraId="204F7A33"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июля наши войска на Орловском участке фронта продолжали наступление, продвинувшись на 10—15 километров. За день отбито11 контратак немецких войск с большими для них потерями.</w:t>
      </w:r>
    </w:p>
    <w:p w14:paraId="240FAC8D"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войска продолжали успешные атаки противобороняющегося противника и несколько продвинулись вперёд.</w:t>
      </w:r>
    </w:p>
    <w:p w14:paraId="085B75A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усиленные поиски разведчиков.</w:t>
      </w:r>
    </w:p>
    <w:p w14:paraId="37BCD4F1"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июля наши войска на Орловском участке фронта, Орловско-Курском и Белгородском направлениях подбили и уничтожили 129 немецких танков. В воздушных боях и огнём зенитной артиллерии сбито 76 немецких самолётов.</w:t>
      </w:r>
    </w:p>
    <w:p w14:paraId="6241FC83"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наши войска продолжали наступление, преодолевая сопротивление и контратаки подошедших резервов противника. Встречая контратакующих немцев всей мощью своего огня, наши части отбрасывают противникаи наносят ему большой урон.</w:t>
      </w:r>
    </w:p>
    <w:p w14:paraId="18811B10"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80 немецких танков контратаковали часть, где командиром т. Аскалепов. Наши бойцы отбили контрудар противника и уничтожили 36 немецких танков, из них 3 тяжёлых танка типа «Тигр». Н-ская гвардейская часть полностью уничтожила два полка немецкой пехоты. Бойцы Н-ской части, овладев сильно укреплённым немцами населённым пунктом, взяли более 100 пленных и захватили 11орудий, 6 шестиствольных миномётов и 6 крупных складов с боеприпасами и продовольствием. На другом участке наши танкисты и пехотинцы зажали в клещи группу войск противника и ведут бои, уничтожая гитлеровцев.</w:t>
      </w:r>
    </w:p>
    <w:p w14:paraId="2BF7F6C0"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 наших самолёта вступили в бой с пятью немецкими истребителями. Лётчик лейтенант т. Гончаров сбил 2 вражеских самолёта, а лётчики тт. Григорьев и Попов сбили по одному самолёту противника.</w:t>
      </w:r>
    </w:p>
    <w:p w14:paraId="62C1F798"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части Н-ского соединения после артиллерийского налёта атаковали позиции противника. В ожесточённом бою наши бойцы сломили сопротивление немцев и овладели укреплённым узлом вражеской обороны. Противник потерял убитыми более 2.000 солдат и офицеров. Подбито и сожжено 25 немецких танков, уничтожено 5 артиллерийских и 8 миномётных батарей. Захвачены пленные и трофеи.</w:t>
      </w:r>
    </w:p>
    <w:p w14:paraId="464465E0"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Лисичанска происходила редкая перестрелка. Наши артиллеристы уничтожили немецкое самоходное орудие и 5 пулемётов. Снайперы тт. Жуков, Пятов, Курбатов и Удовкин за два дня истребили 13 немцев. Ефрейтор т. Божко огнём из противотанкового ружья сбил немецкий самолёт «Фокке-Вульф-190».</w:t>
      </w:r>
    </w:p>
    <w:p w14:paraId="49050C2E"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артиллерии разрушено 10 немецких дзотов и 6 блиндажей, уничтожено орудие, 3 миномёта и 3 автомашины с грузом. Миномётчики Н-ской части обстреляли большую группу немецких солдат, шедших к линии фронта. Огневым налётом гитлеровцы были рассеяны. На дороге осталось несколько десятков вражеских трупов.</w:t>
      </w:r>
    </w:p>
    <w:p w14:paraId="61B1175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отряда «Большевик», действующего в Гомельской области, в ночь на 2 июля проникли в расположение артиллерийского склада немцев. Партизаны заминировали складские помещения и быстро скрылись. Через несколько минут раздался взрыв огромной силы. Немецкий склад боеприпасов взлетел на воздух. На следующий день группа подрывников этого же отряда пустила под откос 2 воинских эшелона противника, следовавших к линии фронта. В результате крушений разбиты 2 паровоза и 53 цистерны с горючим.</w:t>
      </w:r>
    </w:p>
    <w:p w14:paraId="61D8CA7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наступающие части Красной Армии захватили в плен много немецких солдат. Пленный обер-ефрейтор 211 немецкой пехотной дивизии Иоганн Фрейлих заявил: «Система обороны на нашем участке представлялась офицерами солдатам необычайно мощной и неприступной. Вдоль фронта проходили три линии сплошных траншей с вынесенными вперёд проволочными заграждениями. На всех открытых подступах к нашим позициям было установлено огромное количество противопехотных и противотанковых мин. Инженерные заграждения дополнялись дзотами, построенными ещё в 1942 году. У нас было вполне достаточно огневых средств для того, чтобы отразить самые сильные атаки. Однако наступление русских опрокинуло все наши расчёты. В первый же день русские прорвали оборону и причинили дивизии тяжёлые потери". Пленный унтер-офицер 6 роты 31 танкового полка 5 танковой дивизии Курт Писколь рассказал: «Когда русские прорвали немецкую оборону севернее Орла, 5 танковая дивизия была спешно переброшена в этот район с целью остановить наступление Красной Армии. На рассвете 13 июля при подходе к исходному рубежу для атаки русская артиллерия обрушила на нас уничтожающий огонь и за полчаса подожгла 16 танков. Оставался только единственный путь к спасению — сложить оружие. Наш экипаж выбрался из подбитой машины и сдался подоспевшей русской пехоте» (14954).</w:t>
      </w:r>
    </w:p>
    <w:p w14:paraId="54DBB548"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0BC66FA3" w14:textId="77777777" w:rsidR="00506386" w:rsidRPr="00271E51" w:rsidRDefault="00506386" w:rsidP="00271E51">
      <w:pPr>
        <w:pStyle w:val="book"/>
        <w:ind w:firstLine="0"/>
        <w:jc w:val="both"/>
        <w:rPr>
          <w:color w:val="000000" w:themeColor="text1"/>
          <w:sz w:val="16"/>
          <w:szCs w:val="16"/>
        </w:rPr>
      </w:pPr>
      <w:r w:rsidRPr="00271E51">
        <w:rPr>
          <w:color w:val="000000" w:themeColor="text1"/>
          <w:sz w:val="16"/>
          <w:szCs w:val="16"/>
        </w:rPr>
        <w:t>16 июля 1943 г. 23 самолёта Ил-2 810 шап атаковали скопление танков и автомашин в районе Подмаслово, Федоровка, Филатово. На танки противника было сброшено 2700 ПТАБ. В результате атаки было уничтожено, по наблюдению экипажей, 17 танков и до 40 автомашин.</w:t>
      </w:r>
    </w:p>
    <w:p w14:paraId="56B589F1" w14:textId="77777777" w:rsidR="00506386" w:rsidRPr="00271E51" w:rsidRDefault="00506386" w:rsidP="00271E51">
      <w:pPr>
        <w:pStyle w:val="book"/>
        <w:ind w:firstLine="0"/>
        <w:jc w:val="both"/>
        <w:rPr>
          <w:color w:val="000000" w:themeColor="text1"/>
          <w:sz w:val="16"/>
          <w:szCs w:val="16"/>
        </w:rPr>
      </w:pPr>
      <w:r w:rsidRPr="00271E51">
        <w:rPr>
          <w:color w:val="000000" w:themeColor="text1"/>
          <w:sz w:val="16"/>
          <w:szCs w:val="16"/>
        </w:rPr>
        <w:t>Бомбометание ПТАБ повысило эффективность действий авиации по танкам противника.</w:t>
      </w:r>
    </w:p>
    <w:p w14:paraId="0D79D891" w14:textId="77777777" w:rsidR="00506386" w:rsidRPr="00271E51" w:rsidRDefault="00506386" w:rsidP="00271E51">
      <w:pPr>
        <w:pStyle w:val="book"/>
        <w:ind w:firstLine="0"/>
        <w:jc w:val="both"/>
        <w:rPr>
          <w:color w:val="000000" w:themeColor="text1"/>
          <w:sz w:val="16"/>
          <w:szCs w:val="16"/>
        </w:rPr>
      </w:pPr>
      <w:r w:rsidRPr="00271E51">
        <w:rPr>
          <w:color w:val="000000" w:themeColor="text1"/>
          <w:sz w:val="16"/>
          <w:szCs w:val="16"/>
        </w:rPr>
        <w:t>Применение ПТАБ-2.5-1.5 во много раз увеличило вероятность прямого попадания в танк, так как большое количество бомб, сброшенных с одного самолёта, покрывает большую площадь, создавая на ней достаточную плотность разрывов. Полоса разлёта бомб нередко перекрывает 2-3 танка, удаленных один от другого на 60—75 м; поэтому в результате действий авиации по рассредоточенным боевым порядкам и колоннам танков противника последние обычно несут большие потери (18737).</w:t>
      </w:r>
    </w:p>
    <w:p w14:paraId="1675E960" w14:textId="77777777" w:rsidR="00506386" w:rsidRPr="00271E51" w:rsidRDefault="00506386" w:rsidP="00271E51">
      <w:pPr>
        <w:pStyle w:val="book"/>
        <w:ind w:firstLine="0"/>
        <w:jc w:val="both"/>
        <w:rPr>
          <w:color w:val="000000" w:themeColor="text1"/>
          <w:sz w:val="16"/>
          <w:szCs w:val="16"/>
        </w:rPr>
      </w:pPr>
    </w:p>
    <w:p w14:paraId="4486D247"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в 1943 году за пять дней наступления войска Брянского фронта прорвали оборону противника на глубину от 17 до 22 км и, расширив фронт прорыва до 36 км, вышли к реке Олешня. Германское, командование начало отводить свои главные силы. Противник начал отвод войск с южного фаса Курского выступа на исходные позиции (14954).</w:t>
      </w:r>
    </w:p>
    <w:p w14:paraId="033DD5CC"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763FAB14" w14:textId="77777777" w:rsidR="004C3A11" w:rsidRPr="00271E51" w:rsidRDefault="004C3A1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в 1943 году на южном фасе Курской Дуги немцы прекратили атаки и начали отвод своих войск. Разведка советских войск этого не обнаружила. В 10.00 Ватутин отдает приказ командующим 38-й, 40-й, 69-й армий и 5-й, 6-й, 7-й гвардейских армий на ведение оборонительной операции. В этом приказе говорится, что "противник еще не отказался от наступательных действий", "армиям Воронежского фронта перейти к упорной обороне". 1-я танковая армия перешла во второй эшелон Воронежского фронта (14954).</w:t>
      </w:r>
    </w:p>
    <w:p w14:paraId="03931269" w14:textId="77777777" w:rsidR="004C3A11" w:rsidRPr="00271E51" w:rsidRDefault="004C3A11" w:rsidP="00271E51">
      <w:pPr>
        <w:spacing w:after="0" w:line="240" w:lineRule="auto"/>
        <w:jc w:val="both"/>
        <w:rPr>
          <w:rFonts w:ascii="Times New Roman" w:hAnsi="Times New Roman"/>
          <w:color w:val="000000" w:themeColor="text1"/>
          <w:sz w:val="16"/>
          <w:szCs w:val="16"/>
        </w:rPr>
      </w:pPr>
    </w:p>
    <w:p w14:paraId="3C35FF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июля 1943-го семерка Ил-2 8-го </w:t>
      </w:r>
      <w:r w:rsidRPr="00271E51">
        <w:rPr>
          <w:rFonts w:ascii="Times New Roman" w:hAnsi="Times New Roman"/>
          <w:iCs/>
          <w:color w:val="000000" w:themeColor="text1"/>
          <w:sz w:val="16"/>
          <w:szCs w:val="16"/>
        </w:rPr>
        <w:t xml:space="preserve">гшап </w:t>
      </w:r>
      <w:r w:rsidRPr="00271E51">
        <w:rPr>
          <w:rFonts w:ascii="Times New Roman" w:hAnsi="Times New Roman"/>
          <w:color w:val="000000" w:themeColor="text1"/>
          <w:sz w:val="16"/>
          <w:szCs w:val="16"/>
        </w:rPr>
        <w:t xml:space="preserve">и 10 Як-1 из 9-го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в районе Благове</w:t>
      </w:r>
      <w:r w:rsidRPr="00271E51">
        <w:rPr>
          <w:rFonts w:ascii="Times New Roman" w:hAnsi="Times New Roman"/>
          <w:color w:val="000000" w:themeColor="text1"/>
          <w:sz w:val="16"/>
          <w:szCs w:val="16"/>
        </w:rPr>
        <w:softHyphen/>
        <w:t>щенской перехватили конвой "Geleit-142" в составе 8 БДБ, которые шли из Анапы в сторону Керчи под охранением 4 сторожевых катеров. Несмотря на сильное истребительное противодей</w:t>
      </w:r>
      <w:r w:rsidRPr="00271E51">
        <w:rPr>
          <w:rFonts w:ascii="Times New Roman" w:hAnsi="Times New Roman"/>
          <w:color w:val="000000" w:themeColor="text1"/>
          <w:sz w:val="16"/>
          <w:szCs w:val="16"/>
        </w:rPr>
        <w:softHyphen/>
        <w:t>ствие в районе цели (на подходе к кон</w:t>
      </w:r>
      <w:r w:rsidRPr="00271E51">
        <w:rPr>
          <w:rFonts w:ascii="Times New Roman" w:hAnsi="Times New Roman"/>
          <w:color w:val="000000" w:themeColor="text1"/>
          <w:sz w:val="16"/>
          <w:szCs w:val="16"/>
        </w:rPr>
        <w:softHyphen/>
        <w:t>вою группа был атакована 8 Fw190 и 6 Bf109), "ильюшины" сумели выполнить по БДБ два захода. В результате в 14.15 был потоплен штурмбот PiLB типа "40" и одна БДБ загорелась. "Якам" из груп</w:t>
      </w:r>
      <w:r w:rsidRPr="00271E51">
        <w:rPr>
          <w:rFonts w:ascii="Times New Roman" w:hAnsi="Times New Roman"/>
          <w:color w:val="000000" w:themeColor="text1"/>
          <w:sz w:val="16"/>
          <w:szCs w:val="16"/>
        </w:rPr>
        <w:softHyphen/>
        <w:t>пы прикрытия не удалось надежно за</w:t>
      </w:r>
      <w:r w:rsidRPr="00271E51">
        <w:rPr>
          <w:rFonts w:ascii="Times New Roman" w:hAnsi="Times New Roman"/>
          <w:color w:val="000000" w:themeColor="text1"/>
          <w:sz w:val="16"/>
          <w:szCs w:val="16"/>
        </w:rPr>
        <w:softHyphen/>
        <w:t>щитить своих подопечных - их связали боем "фоккеры". "Мессершмитты" уда</w:t>
      </w:r>
      <w:r w:rsidRPr="00271E51">
        <w:rPr>
          <w:rFonts w:ascii="Times New Roman" w:hAnsi="Times New Roman"/>
          <w:color w:val="000000" w:themeColor="text1"/>
          <w:sz w:val="16"/>
          <w:szCs w:val="16"/>
        </w:rPr>
        <w:softHyphen/>
        <w:t>рили по "горбатым".</w:t>
      </w:r>
    </w:p>
    <w:p w14:paraId="7E8AD0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командира звена ст.л-та Н.Кладиноги (за воздушного стрелка с ним летел штурман полка к-н О.Смирнов) во время атаки был сбит сосредоточенным огнем двух "мессершмиттов". Экипаж погиб. В отместку воздушные стрелки двух "Илов" на пару завалили один Bf109. На отходе от цели "мессы" сби</w:t>
      </w:r>
      <w:r w:rsidRPr="00271E51">
        <w:rPr>
          <w:rFonts w:ascii="Times New Roman" w:hAnsi="Times New Roman"/>
          <w:color w:val="000000" w:themeColor="text1"/>
          <w:sz w:val="16"/>
          <w:szCs w:val="16"/>
        </w:rPr>
        <w:softHyphen/>
        <w:t>ли "Ил" мл. л-та С.Чернеги (воздушный стрелок ст.с-т В.Ермаков). Машина упа</w:t>
      </w:r>
      <w:r w:rsidRPr="00271E51">
        <w:rPr>
          <w:rFonts w:ascii="Times New Roman" w:hAnsi="Times New Roman"/>
          <w:color w:val="000000" w:themeColor="text1"/>
          <w:sz w:val="16"/>
          <w:szCs w:val="16"/>
        </w:rPr>
        <w:softHyphen/>
        <w:t>ла в море. Экипаж погиб. Активно за</w:t>
      </w:r>
      <w:r w:rsidRPr="00271E51">
        <w:rPr>
          <w:rFonts w:ascii="Times New Roman" w:hAnsi="Times New Roman"/>
          <w:color w:val="000000" w:themeColor="text1"/>
          <w:sz w:val="16"/>
          <w:szCs w:val="16"/>
        </w:rPr>
        <w:softHyphen/>
        <w:t>щищаясь, группа "ильюшиных" встала в "круг", однако противнику все же удалось сбить еще один Ил-2. Погибли ст. л-т В.Петрашин и воздушный стрелок С.И</w:t>
      </w:r>
      <w:r w:rsidRPr="00271E51">
        <w:rPr>
          <w:rFonts w:ascii="Times New Roman" w:hAnsi="Times New Roman"/>
          <w:color w:val="000000" w:themeColor="text1"/>
          <w:sz w:val="16"/>
          <w:szCs w:val="16"/>
        </w:rPr>
        <w:softHyphen/>
        <w:t>ванов. Оставшиеся 4 "Ила", два из кото</w:t>
      </w:r>
      <w:r w:rsidRPr="00271E51">
        <w:rPr>
          <w:rFonts w:ascii="Times New Roman" w:hAnsi="Times New Roman"/>
          <w:color w:val="000000" w:themeColor="text1"/>
          <w:sz w:val="16"/>
          <w:szCs w:val="16"/>
        </w:rPr>
        <w:softHyphen/>
        <w:t>рых имели серьезные повреждения, сбив ответным огнем "Мессершмитт", резко снизились до бреющей высоты и про</w:t>
      </w:r>
      <w:r w:rsidRPr="00271E51">
        <w:rPr>
          <w:rFonts w:ascii="Times New Roman" w:hAnsi="Times New Roman"/>
          <w:color w:val="000000" w:themeColor="text1"/>
          <w:sz w:val="16"/>
          <w:szCs w:val="16"/>
        </w:rPr>
        <w:softHyphen/>
        <w:t>рвались к своему аэродрому...</w:t>
      </w:r>
    </w:p>
    <w:p w14:paraId="2E7B8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 все получилось у экипажей 8-го </w:t>
      </w:r>
      <w:r w:rsidRPr="00271E51">
        <w:rPr>
          <w:rFonts w:ascii="Times New Roman" w:hAnsi="Times New Roman"/>
          <w:iCs/>
          <w:color w:val="000000" w:themeColor="text1"/>
          <w:sz w:val="16"/>
          <w:szCs w:val="16"/>
        </w:rPr>
        <w:t>гшап</w:t>
      </w:r>
      <w:r w:rsidRPr="00271E51">
        <w:rPr>
          <w:rFonts w:ascii="Times New Roman" w:hAnsi="Times New Roman"/>
          <w:color w:val="000000" w:themeColor="text1"/>
          <w:sz w:val="16"/>
          <w:szCs w:val="16"/>
        </w:rPr>
        <w:t xml:space="preserve"> и 6 августа. В этот день 10 Ил-2 в сопровождении 11 Як-1 на подходе к Керченскому проливу в двух заходах нанесли бомбоштурмовой удар по кон</w:t>
      </w:r>
      <w:r w:rsidRPr="00271E51">
        <w:rPr>
          <w:rFonts w:ascii="Times New Roman" w:hAnsi="Times New Roman"/>
          <w:color w:val="000000" w:themeColor="text1"/>
          <w:sz w:val="16"/>
          <w:szCs w:val="16"/>
        </w:rPr>
        <w:softHyphen/>
        <w:t>вою в составе 4 БДБ и 4 СКА. Атака производилась с крутого планирования 25-30° с высоты 800 м, первый заход -под углом 10-25° к направлению движе</w:t>
      </w:r>
      <w:r w:rsidRPr="00271E51">
        <w:rPr>
          <w:rFonts w:ascii="Times New Roman" w:hAnsi="Times New Roman"/>
          <w:color w:val="000000" w:themeColor="text1"/>
          <w:sz w:val="16"/>
          <w:szCs w:val="16"/>
        </w:rPr>
        <w:softHyphen/>
        <w:t>ния конвоя, второй заход - под 90°. Истребители непосредственного прикры</w:t>
      </w:r>
      <w:r w:rsidRPr="00271E51">
        <w:rPr>
          <w:rFonts w:ascii="Times New Roman" w:hAnsi="Times New Roman"/>
          <w:color w:val="000000" w:themeColor="text1"/>
          <w:sz w:val="16"/>
          <w:szCs w:val="16"/>
        </w:rPr>
        <w:softHyphen/>
        <w:t>тия (4 Як-1) держались над штурмови</w:t>
      </w:r>
      <w:r w:rsidRPr="00271E51">
        <w:rPr>
          <w:rFonts w:ascii="Times New Roman" w:hAnsi="Times New Roman"/>
          <w:color w:val="000000" w:themeColor="text1"/>
          <w:sz w:val="16"/>
          <w:szCs w:val="16"/>
        </w:rPr>
        <w:softHyphen/>
        <w:t>ками, остальные - прикрывали Ил-2 при входе их в атаку и при выходе из нее. К сожалению, во время атаки экипажи Ил-2 действовали скученно, в результате чего несколько самолетов были вытес</w:t>
      </w:r>
      <w:r w:rsidRPr="00271E51">
        <w:rPr>
          <w:rFonts w:ascii="Times New Roman" w:hAnsi="Times New Roman"/>
          <w:color w:val="000000" w:themeColor="text1"/>
          <w:sz w:val="16"/>
          <w:szCs w:val="16"/>
        </w:rPr>
        <w:softHyphen/>
        <w:t>нены и не смогли выполнить повторно</w:t>
      </w:r>
      <w:r w:rsidRPr="00271E51">
        <w:rPr>
          <w:rFonts w:ascii="Times New Roman" w:hAnsi="Times New Roman"/>
          <w:color w:val="000000" w:themeColor="text1"/>
          <w:sz w:val="16"/>
          <w:szCs w:val="16"/>
        </w:rPr>
        <w:softHyphen/>
        <w:t>го захода на цель. Тем не менее, по док</w:t>
      </w:r>
      <w:r w:rsidRPr="00271E51">
        <w:rPr>
          <w:rFonts w:ascii="Times New Roman" w:hAnsi="Times New Roman"/>
          <w:color w:val="000000" w:themeColor="text1"/>
          <w:sz w:val="16"/>
          <w:szCs w:val="16"/>
        </w:rPr>
        <w:softHyphen/>
        <w:t>ладам экипажей штурмовиков и истре</w:t>
      </w:r>
      <w:r w:rsidRPr="00271E51">
        <w:rPr>
          <w:rFonts w:ascii="Times New Roman" w:hAnsi="Times New Roman"/>
          <w:color w:val="000000" w:themeColor="text1"/>
          <w:sz w:val="16"/>
          <w:szCs w:val="16"/>
        </w:rPr>
        <w:softHyphen/>
        <w:t>бителей прикрытия в результате удара была потоплена одна баржа, на двух дру</w:t>
      </w:r>
      <w:r w:rsidRPr="00271E51">
        <w:rPr>
          <w:rFonts w:ascii="Times New Roman" w:hAnsi="Times New Roman"/>
          <w:color w:val="000000" w:themeColor="text1"/>
          <w:sz w:val="16"/>
          <w:szCs w:val="16"/>
        </w:rPr>
        <w:softHyphen/>
        <w:t>гих были вызваны пожары. Над целью и в момент отхода от цели самолеты были обстреляны сильным огнем малокали</w:t>
      </w:r>
      <w:r w:rsidRPr="00271E51">
        <w:rPr>
          <w:rFonts w:ascii="Times New Roman" w:hAnsi="Times New Roman"/>
          <w:color w:val="000000" w:themeColor="text1"/>
          <w:sz w:val="16"/>
          <w:szCs w:val="16"/>
        </w:rPr>
        <w:softHyphen/>
        <w:t>берной зенитной артиллерии и автома</w:t>
      </w:r>
      <w:r w:rsidRPr="00271E51">
        <w:rPr>
          <w:rFonts w:ascii="Times New Roman" w:hAnsi="Times New Roman"/>
          <w:color w:val="000000" w:themeColor="text1"/>
          <w:sz w:val="16"/>
          <w:szCs w:val="16"/>
        </w:rPr>
        <w:softHyphen/>
        <w:t>тов. Почти все Ил-2 получили повреж</w:t>
      </w:r>
      <w:r w:rsidRPr="00271E51">
        <w:rPr>
          <w:rFonts w:ascii="Times New Roman" w:hAnsi="Times New Roman"/>
          <w:color w:val="000000" w:themeColor="text1"/>
          <w:sz w:val="16"/>
          <w:szCs w:val="16"/>
        </w:rPr>
        <w:softHyphen/>
        <w:t>дения, а два Як-1 из группы непосред</w:t>
      </w:r>
      <w:r w:rsidRPr="00271E51">
        <w:rPr>
          <w:rFonts w:ascii="Times New Roman" w:hAnsi="Times New Roman"/>
          <w:color w:val="000000" w:themeColor="text1"/>
          <w:sz w:val="16"/>
          <w:szCs w:val="16"/>
        </w:rPr>
        <w:softHyphen/>
        <w:t>ственного прикрытия были потеряны.</w:t>
      </w:r>
    </w:p>
    <w:p w14:paraId="545B82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неудачу, уже через че</w:t>
      </w:r>
      <w:r w:rsidRPr="00271E51">
        <w:rPr>
          <w:rFonts w:ascii="Times New Roman" w:hAnsi="Times New Roman"/>
          <w:color w:val="000000" w:themeColor="text1"/>
          <w:sz w:val="16"/>
          <w:szCs w:val="16"/>
        </w:rPr>
        <w:softHyphen/>
        <w:t>тыре дня черноморские штурмовики смогли доказать противнику, что они уже набрали необходимый опыт и могут на</w:t>
      </w:r>
      <w:r w:rsidRPr="00271E51">
        <w:rPr>
          <w:rFonts w:ascii="Times New Roman" w:hAnsi="Times New Roman"/>
          <w:color w:val="000000" w:themeColor="text1"/>
          <w:sz w:val="16"/>
          <w:szCs w:val="16"/>
        </w:rPr>
        <w:softHyphen/>
        <w:t>носить удары по кораблям и транспор</w:t>
      </w:r>
      <w:r w:rsidRPr="00271E51">
        <w:rPr>
          <w:rFonts w:ascii="Times New Roman" w:hAnsi="Times New Roman"/>
          <w:color w:val="000000" w:themeColor="text1"/>
          <w:sz w:val="16"/>
          <w:szCs w:val="16"/>
        </w:rPr>
        <w:softHyphen/>
        <w:t>там четко, грамотно и эффективно (6467).</w:t>
      </w:r>
    </w:p>
    <w:p w14:paraId="55B53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C9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летчики 3-го бак (действовало 115 самолетов) на Центральном фронте смогли уничтожить 55 танков, 229 автомашин, 11 зенитных и 3 полевых орудия, 12 пулеметных и минометных точек, 7 складов горючего и боеприпасов (3542).</w:t>
      </w:r>
    </w:p>
    <w:p w14:paraId="62D074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E8C2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3229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27A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года было получено:</w:t>
      </w:r>
    </w:p>
    <w:p w14:paraId="4A0DC1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СЕКРЕТНОЕ И ЛИЧНОЕ ПОСЛАНИЕ ОТ ПРЕЗИДЕНТА РУЗВЕЛЬТА МАРШАЛУ СТАЛИНУ</w:t>
      </w:r>
    </w:p>
    <w:p w14:paraId="0CB87F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прискорбным случаем потопления одного из Ваших судов в северной части Тихого океана, о чем я глубоко сожалею, я дал указание, чтобы на будущее были приняты все возможные меры предосторожности</w:t>
      </w:r>
      <w:r w:rsidRPr="00271E51">
        <w:rPr>
          <w:rFonts w:ascii="Times New Roman" w:hAnsi="Times New Roman"/>
          <w:color w:val="000000" w:themeColor="text1"/>
          <w:sz w:val="16"/>
          <w:szCs w:val="16"/>
          <w:vertAlign w:val="superscript"/>
        </w:rPr>
        <w:t>30</w:t>
      </w:r>
      <w:r w:rsidRPr="00271E51">
        <w:rPr>
          <w:rFonts w:ascii="Times New Roman" w:hAnsi="Times New Roman"/>
          <w:color w:val="000000" w:themeColor="text1"/>
          <w:sz w:val="16"/>
          <w:szCs w:val="16"/>
        </w:rPr>
        <w:t>.</w:t>
      </w:r>
    </w:p>
    <w:p w14:paraId="1CFBE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Хотя я не имею подробных известий, я полагаю, что могу уверенно поздравить Вас с тем, что Ваши армии великолепно проявляют себя, в борьбе против германского наступления под Курском.</w:t>
      </w:r>
    </w:p>
    <w:p w14:paraId="05F242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надеюсь вскоре услышать от Вас относительно другого дела, которое, как я по-прежнему считаю, чрезвычайно важно для Вас и для меня (7430).</w:t>
      </w:r>
    </w:p>
    <w:p w14:paraId="39DD53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A7FF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13B4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18A07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июля 1943 состоялся облет доработанного ХВ-38. В полете загорелось табло «пожар двигателя №3», экипаж перекрыл ему подачу бензина и включил соответствующий огнетушитель, но сбить пламя не удалось, и командир отдал приказ покинуть машину. Все понимали, что устранить такой дефект несложно и этот эпизод ничего не значит, но теперь «Локхид» сам не был заинтересован в ХВ-38, т.к. увеличение выпуска истребителей Р-38, Р-39 и Р-63, а также необходимость поддержки эксплуатации парка Р-40 и Р-51А породило дефицит моторов V-1710. Так американские ВВС не получили тяжелый бомбардировщик с моторами жидкостного охлаждения (22899).</w:t>
      </w:r>
    </w:p>
    <w:p w14:paraId="70D1046A" w14:textId="77777777" w:rsidR="009274CE" w:rsidRPr="00271E51" w:rsidRDefault="009274CE" w:rsidP="00271E51">
      <w:pPr>
        <w:spacing w:after="0" w:line="240" w:lineRule="auto"/>
        <w:jc w:val="both"/>
        <w:rPr>
          <w:rFonts w:ascii="Times New Roman" w:hAnsi="Times New Roman"/>
          <w:color w:val="0070C0"/>
          <w:sz w:val="16"/>
          <w:szCs w:val="16"/>
        </w:rPr>
      </w:pPr>
    </w:p>
    <w:p w14:paraId="59FB9675"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июля 1943 итальянский бомбардировщик-торпедоносец повреждает британский авианосец HMS Indomitable у мыса Пассеро, вынуждая его проследовать в Гибралтар для ремонта (20376).</w:t>
      </w:r>
    </w:p>
    <w:p w14:paraId="23C7FDB8" w14:textId="77777777" w:rsidR="009274CE" w:rsidRPr="00271E51" w:rsidRDefault="009274CE" w:rsidP="00271E51">
      <w:pPr>
        <w:spacing w:after="0" w:line="240" w:lineRule="auto"/>
        <w:jc w:val="both"/>
        <w:rPr>
          <w:rFonts w:ascii="Times New Roman" w:hAnsi="Times New Roman"/>
          <w:color w:val="0070C0"/>
          <w:sz w:val="16"/>
          <w:szCs w:val="16"/>
        </w:rPr>
      </w:pPr>
    </w:p>
    <w:p w14:paraId="2AD0CB0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1943 епископ Вюртемберга (Германия) Т. Ворм обратился к Гитлеру с протестом против массовых убийств в концлагерях (4962).</w:t>
      </w:r>
    </w:p>
    <w:p w14:paraId="2709DB8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38B4C5"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июля в 1943 году обращение Рузвельта и Черчилля к итальянскому народу с призывом прекратить войну (14954).</w:t>
      </w:r>
    </w:p>
    <w:p w14:paraId="5A7BCFC4" w14:textId="77777777" w:rsidR="00974AE3" w:rsidRPr="00271E51" w:rsidRDefault="00974AE3" w:rsidP="00271E51">
      <w:pPr>
        <w:spacing w:after="0" w:line="240" w:lineRule="auto"/>
        <w:jc w:val="both"/>
        <w:rPr>
          <w:rFonts w:ascii="Times New Roman" w:hAnsi="Times New Roman"/>
          <w:color w:val="000000" w:themeColor="text1"/>
          <w:sz w:val="16"/>
          <w:szCs w:val="16"/>
        </w:rPr>
      </w:pPr>
    </w:p>
    <w:p w14:paraId="5ADE891D"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июля в 1943 году авианосец </w:t>
      </w:r>
      <w:hyperlink r:id="rId23" w:anchor="100837" w:tgtFrame="_blank" w:history="1">
        <w:r w:rsidRPr="00271E51">
          <w:rPr>
            <w:rFonts w:ascii="Times New Roman" w:hAnsi="Times New Roman"/>
            <w:color w:val="000000" w:themeColor="text1"/>
            <w:sz w:val="16"/>
            <w:szCs w:val="16"/>
          </w:rPr>
          <w:t xml:space="preserve">«Indomitable» </w:t>
        </w:r>
      </w:hyperlink>
      <w:r w:rsidRPr="00271E51">
        <w:rPr>
          <w:rFonts w:ascii="Times New Roman" w:hAnsi="Times New Roman"/>
          <w:color w:val="000000" w:themeColor="text1"/>
          <w:sz w:val="16"/>
          <w:szCs w:val="16"/>
        </w:rPr>
        <w:t>торпедирован в левый борт одиночным «Ju-88» в 90 милях на северо-восток от острова Мальта (14954).</w:t>
      </w:r>
    </w:p>
    <w:p w14:paraId="263F017E" w14:textId="77777777" w:rsidR="00974AE3" w:rsidRPr="00271E51" w:rsidRDefault="00974AE3" w:rsidP="00271E51">
      <w:pPr>
        <w:spacing w:after="0" w:line="240" w:lineRule="auto"/>
        <w:jc w:val="both"/>
        <w:rPr>
          <w:rFonts w:ascii="Times New Roman" w:hAnsi="Times New Roman"/>
          <w:color w:val="000000" w:themeColor="text1"/>
          <w:sz w:val="16"/>
          <w:szCs w:val="16"/>
        </w:rPr>
      </w:pPr>
    </w:p>
    <w:p w14:paraId="5A28FE1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1A87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052EA3"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Начиная с 17 июля 1943 г., в строевые ча</w:t>
      </w:r>
      <w:r w:rsidRPr="00271E51">
        <w:rPr>
          <w:rFonts w:ascii="Times New Roman" w:hAnsi="Times New Roman"/>
          <w:color w:val="0070C0"/>
          <w:sz w:val="16"/>
          <w:szCs w:val="16"/>
        </w:rPr>
        <w:softHyphen/>
        <w:t>сти ВВС КА стали поступать Ил-2 с увеличен</w:t>
      </w:r>
      <w:r w:rsidRPr="00271E51">
        <w:rPr>
          <w:rFonts w:ascii="Times New Roman" w:hAnsi="Times New Roman"/>
          <w:color w:val="0070C0"/>
          <w:sz w:val="16"/>
          <w:szCs w:val="16"/>
        </w:rPr>
        <w:softHyphen/>
        <w:t>ным вырезом в фонаре кабины воздушного стрелка для расширения области обстрела из пулемета УБТ и улучшенным замком фо</w:t>
      </w:r>
      <w:r w:rsidRPr="00271E51">
        <w:rPr>
          <w:rFonts w:ascii="Times New Roman" w:hAnsi="Times New Roman"/>
          <w:color w:val="0070C0"/>
          <w:sz w:val="16"/>
          <w:szCs w:val="16"/>
        </w:rPr>
        <w:softHyphen/>
        <w:t>наря. Эти доработки были внедрены с самолета зав. №1870165. С 15 апреля в армию стали передавать самолеты Ил-2 (начиная зав. №1870153), оборудованные привязными рем</w:t>
      </w:r>
      <w:r w:rsidRPr="00271E51">
        <w:rPr>
          <w:rFonts w:ascii="Times New Roman" w:hAnsi="Times New Roman"/>
          <w:color w:val="0070C0"/>
          <w:sz w:val="16"/>
          <w:szCs w:val="16"/>
        </w:rPr>
        <w:softHyphen/>
        <w:t>нями воздушного стрелка (19879).</w:t>
      </w:r>
    </w:p>
    <w:p w14:paraId="5ADAF256"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p>
    <w:p w14:paraId="68095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 самолет "103В" совершил первый полет с М-82ФН. Испытания велись до 29 июля экипажем И.И. Шелеста. Результаты оказались более чем удовлетворительными. У земли скорость поднялась до 528 км/ч, а на высоте 5050 м она достигла 568 км/ч. Последняя цифра на 14 км/ч превышала замеренную у нас максимальную скорость немецкого истребителя Мессершмитт Bf 109F. Правда, у немцев модификация F уже вытеснялась новой G с более высокими данными, но все равно Ту-2, безусловно, являлся самым быстроходным бомбардировщиком советских ВВС. Он летал быстрее и Пе-2, и Ил-4, и американского Дуглас А-20В. 10 августа Туполев доложил о достигнутых результатах Сталину. Успех был неоспорим. Но еще до первого полета Ту-2 с М-82ФН руководство страны уверилось в том, что "младенческие болезни" бомбардировщика практически преодолены (11988).</w:t>
      </w:r>
    </w:p>
    <w:p w14:paraId="4A157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1A1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вышел приказ НКАП о производстве Ту-2 на 23 заводе в Филях, так как в Сибири не получалось (568,27).</w:t>
      </w:r>
    </w:p>
    <w:p w14:paraId="6C0EE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это был не приказ НКАП, а постановления правительства N 3754 от 17 июля 1943 (885,180), а приказ был 20 июля 1943 (1835,27).</w:t>
      </w:r>
    </w:p>
    <w:p w14:paraId="140199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95EE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17 июля 1943 г. самолет «103В» совершил первый полет с М-82ФН. Ис</w:t>
      </w:r>
      <w:r w:rsidRPr="00271E51">
        <w:rPr>
          <w:rFonts w:ascii="Times New Roman" w:hAnsi="Times New Roman"/>
          <w:color w:val="0070C0"/>
          <w:sz w:val="16"/>
          <w:szCs w:val="16"/>
          <w:lang w:eastAsia="ru-RU" w:bidi="ru-RU"/>
        </w:rPr>
        <w:softHyphen/>
        <w:t>пытания велись до 29 июля экипажем И.И. Шелеста. Результаты оказались бо</w:t>
      </w:r>
      <w:r w:rsidRPr="00271E51">
        <w:rPr>
          <w:rFonts w:ascii="Times New Roman" w:hAnsi="Times New Roman"/>
          <w:color w:val="0070C0"/>
          <w:sz w:val="16"/>
          <w:szCs w:val="16"/>
          <w:lang w:eastAsia="ru-RU" w:bidi="ru-RU"/>
        </w:rPr>
        <w:softHyphen/>
        <w:t>лее чем удовлетворительными. У земли скорость поднялась до 528 км/ч, а на вы</w:t>
      </w:r>
      <w:r w:rsidRPr="00271E51">
        <w:rPr>
          <w:rFonts w:ascii="Times New Roman" w:hAnsi="Times New Roman"/>
          <w:color w:val="0070C0"/>
          <w:sz w:val="16"/>
          <w:szCs w:val="16"/>
          <w:lang w:eastAsia="ru-RU" w:bidi="ru-RU"/>
        </w:rPr>
        <w:softHyphen/>
        <w:t>соте 5050 м она достигла 568 км/ч. По</w:t>
      </w:r>
      <w:r w:rsidRPr="00271E51">
        <w:rPr>
          <w:rFonts w:ascii="Times New Roman" w:hAnsi="Times New Roman"/>
          <w:color w:val="0070C0"/>
          <w:sz w:val="16"/>
          <w:szCs w:val="16"/>
          <w:lang w:eastAsia="ru-RU" w:bidi="ru-RU"/>
        </w:rPr>
        <w:softHyphen/>
        <w:t>следняя цифра на 14 км/ч превышала замеренную у нас максимальную ско</w:t>
      </w:r>
      <w:r w:rsidRPr="00271E51">
        <w:rPr>
          <w:rFonts w:ascii="Times New Roman" w:hAnsi="Times New Roman"/>
          <w:color w:val="0070C0"/>
          <w:sz w:val="16"/>
          <w:szCs w:val="16"/>
          <w:lang w:eastAsia="ru-RU" w:bidi="ru-RU"/>
        </w:rPr>
        <w:softHyphen/>
        <w:t>рость немецкого истребителя Мессер</w:t>
      </w:r>
      <w:r w:rsidRPr="00271E51">
        <w:rPr>
          <w:rFonts w:ascii="Times New Roman" w:hAnsi="Times New Roman"/>
          <w:color w:val="0070C0"/>
          <w:sz w:val="16"/>
          <w:szCs w:val="16"/>
          <w:lang w:eastAsia="ru-RU" w:bidi="ru-RU"/>
        </w:rPr>
        <w:softHyphen/>
        <w:t xml:space="preserve">шмитт </w:t>
      </w:r>
      <w:r w:rsidRPr="00271E51">
        <w:rPr>
          <w:rFonts w:ascii="Times New Roman" w:hAnsi="Times New Roman"/>
          <w:color w:val="0070C0"/>
          <w:sz w:val="16"/>
          <w:szCs w:val="16"/>
          <w:lang w:val="en-US" w:bidi="en-US"/>
        </w:rPr>
        <w:t>Bf</w:t>
      </w:r>
      <w:r w:rsidRPr="00271E51">
        <w:rPr>
          <w:rFonts w:ascii="Times New Roman" w:hAnsi="Times New Roman"/>
          <w:color w:val="0070C0"/>
          <w:sz w:val="16"/>
          <w:szCs w:val="16"/>
          <w:lang w:bidi="en-US"/>
        </w:rPr>
        <w:t xml:space="preserve"> 109</w:t>
      </w:r>
      <w:r w:rsidRPr="00271E51">
        <w:rPr>
          <w:rFonts w:ascii="Times New Roman" w:hAnsi="Times New Roman"/>
          <w:color w:val="0070C0"/>
          <w:sz w:val="16"/>
          <w:szCs w:val="16"/>
          <w:lang w:val="en-US" w:bidi="en-US"/>
        </w:rPr>
        <w:t>F</w:t>
      </w:r>
      <w:r w:rsidRPr="00271E51">
        <w:rPr>
          <w:rFonts w:ascii="Times New Roman" w:hAnsi="Times New Roman"/>
          <w:color w:val="0070C0"/>
          <w:sz w:val="16"/>
          <w:szCs w:val="16"/>
          <w:lang w:bidi="en-US"/>
        </w:rPr>
        <w:t xml:space="preserve">. </w:t>
      </w:r>
      <w:r w:rsidRPr="00271E51">
        <w:rPr>
          <w:rFonts w:ascii="Times New Roman" w:hAnsi="Times New Roman"/>
          <w:color w:val="0070C0"/>
          <w:sz w:val="16"/>
          <w:szCs w:val="16"/>
          <w:lang w:eastAsia="ru-RU" w:bidi="ru-RU"/>
        </w:rPr>
        <w:t>Правда, у немцев мо</w:t>
      </w:r>
      <w:r w:rsidRPr="00271E51">
        <w:rPr>
          <w:rFonts w:ascii="Times New Roman" w:hAnsi="Times New Roman"/>
          <w:color w:val="0070C0"/>
          <w:sz w:val="16"/>
          <w:szCs w:val="16"/>
          <w:lang w:eastAsia="ru-RU" w:bidi="ru-RU"/>
        </w:rPr>
        <w:softHyphen/>
        <w:t xml:space="preserve">дификация </w:t>
      </w:r>
      <w:r w:rsidRPr="00271E51">
        <w:rPr>
          <w:rFonts w:ascii="Times New Roman" w:hAnsi="Times New Roman"/>
          <w:color w:val="0070C0"/>
          <w:sz w:val="16"/>
          <w:szCs w:val="16"/>
          <w:lang w:val="en-US" w:bidi="en-US"/>
        </w:rPr>
        <w:t>F</w:t>
      </w:r>
      <w:r w:rsidRPr="00271E51">
        <w:rPr>
          <w:rFonts w:ascii="Times New Roman" w:hAnsi="Times New Roman"/>
          <w:color w:val="0070C0"/>
          <w:sz w:val="16"/>
          <w:szCs w:val="16"/>
          <w:lang w:bidi="en-US"/>
        </w:rPr>
        <w:t xml:space="preserve"> </w:t>
      </w:r>
      <w:r w:rsidRPr="00271E51">
        <w:rPr>
          <w:rFonts w:ascii="Times New Roman" w:hAnsi="Times New Roman"/>
          <w:color w:val="0070C0"/>
          <w:sz w:val="16"/>
          <w:szCs w:val="16"/>
          <w:lang w:eastAsia="ru-RU" w:bidi="ru-RU"/>
        </w:rPr>
        <w:t xml:space="preserve">уже вытеснялась новой </w:t>
      </w:r>
      <w:r w:rsidRPr="00271E51">
        <w:rPr>
          <w:rFonts w:ascii="Times New Roman" w:hAnsi="Times New Roman"/>
          <w:color w:val="0070C0"/>
          <w:sz w:val="16"/>
          <w:szCs w:val="16"/>
          <w:lang w:val="en-US" w:bidi="en-US"/>
        </w:rPr>
        <w:t>G</w:t>
      </w:r>
      <w:r w:rsidRPr="00271E51">
        <w:rPr>
          <w:rFonts w:ascii="Times New Roman" w:hAnsi="Times New Roman"/>
          <w:color w:val="0070C0"/>
          <w:sz w:val="16"/>
          <w:szCs w:val="16"/>
          <w:lang w:bidi="en-US"/>
        </w:rPr>
        <w:t xml:space="preserve"> </w:t>
      </w:r>
      <w:r w:rsidRPr="00271E51">
        <w:rPr>
          <w:rFonts w:ascii="Times New Roman" w:hAnsi="Times New Roman"/>
          <w:color w:val="0070C0"/>
          <w:sz w:val="16"/>
          <w:szCs w:val="16"/>
          <w:lang w:eastAsia="ru-RU" w:bidi="ru-RU"/>
        </w:rPr>
        <w:t>с более высокими данными, но все равно Ту-2, безусловно, являлся самым быстро</w:t>
      </w:r>
      <w:r w:rsidRPr="00271E51">
        <w:rPr>
          <w:rFonts w:ascii="Times New Roman" w:hAnsi="Times New Roman"/>
          <w:color w:val="0070C0"/>
          <w:sz w:val="16"/>
          <w:szCs w:val="16"/>
          <w:lang w:eastAsia="ru-RU" w:bidi="ru-RU"/>
        </w:rPr>
        <w:softHyphen/>
        <w:t>ходным бомбардировщиком советских ВВС. Он летал быстрее и Пе-2, и Ил-4, и американского Дуглас А-20В. 10 августа Туполев доложил о достигнутых резуль</w:t>
      </w:r>
      <w:r w:rsidRPr="00271E51">
        <w:rPr>
          <w:rFonts w:ascii="Times New Roman" w:hAnsi="Times New Roman"/>
          <w:color w:val="0070C0"/>
          <w:sz w:val="16"/>
          <w:szCs w:val="16"/>
          <w:lang w:eastAsia="ru-RU" w:bidi="ru-RU"/>
        </w:rPr>
        <w:softHyphen/>
        <w:t>татах Сталину.</w:t>
      </w:r>
    </w:p>
    <w:p w14:paraId="2CEBE5DF" w14:textId="77777777" w:rsidR="009274CE" w:rsidRPr="00271E51" w:rsidRDefault="009274CE"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Успех был неоспорим. Но еще до пер</w:t>
      </w:r>
      <w:r w:rsidRPr="00271E51">
        <w:rPr>
          <w:rFonts w:ascii="Times New Roman" w:hAnsi="Times New Roman"/>
          <w:color w:val="0070C0"/>
          <w:sz w:val="16"/>
          <w:szCs w:val="16"/>
          <w:lang w:eastAsia="ru-RU" w:bidi="ru-RU"/>
        </w:rPr>
        <w:softHyphen/>
        <w:t>вого полета Ту-2 с М-82ФН руководство страны уверилось в том, что «младенче</w:t>
      </w:r>
      <w:r w:rsidRPr="00271E51">
        <w:rPr>
          <w:rFonts w:ascii="Times New Roman" w:hAnsi="Times New Roman"/>
          <w:color w:val="0070C0"/>
          <w:sz w:val="16"/>
          <w:szCs w:val="16"/>
          <w:lang w:eastAsia="ru-RU" w:bidi="ru-RU"/>
        </w:rPr>
        <w:softHyphen/>
        <w:t>ские болезни» бомбардировщика пра</w:t>
      </w:r>
      <w:r w:rsidRPr="00271E51">
        <w:rPr>
          <w:rFonts w:ascii="Times New Roman" w:hAnsi="Times New Roman"/>
          <w:color w:val="0070C0"/>
          <w:sz w:val="16"/>
          <w:szCs w:val="16"/>
          <w:lang w:eastAsia="ru-RU" w:bidi="ru-RU"/>
        </w:rPr>
        <w:softHyphen/>
        <w:t>ктически преодолены. 17 июля 1943 г. по</w:t>
      </w:r>
      <w:r w:rsidRPr="00271E51">
        <w:rPr>
          <w:rFonts w:ascii="Times New Roman" w:hAnsi="Times New Roman"/>
          <w:color w:val="0070C0"/>
          <w:sz w:val="16"/>
          <w:szCs w:val="16"/>
          <w:lang w:eastAsia="ru-RU" w:bidi="ru-RU"/>
        </w:rPr>
        <w:softHyphen/>
        <w:t>явилось постановление ГКО о запуске Ту-2 с этими двигателями в производство на заводе №23 (21060).</w:t>
      </w:r>
    </w:p>
    <w:p w14:paraId="70DE56FA" w14:textId="77777777" w:rsidR="009274CE" w:rsidRPr="00271E51" w:rsidRDefault="009274CE" w:rsidP="00271E51">
      <w:pPr>
        <w:spacing w:after="0" w:line="240" w:lineRule="auto"/>
        <w:jc w:val="both"/>
        <w:rPr>
          <w:rFonts w:ascii="Times New Roman" w:hAnsi="Times New Roman"/>
          <w:color w:val="0070C0"/>
          <w:sz w:val="16"/>
          <w:szCs w:val="16"/>
        </w:rPr>
      </w:pPr>
    </w:p>
    <w:p w14:paraId="1CBBB327" w14:textId="77777777" w:rsidR="009274CE" w:rsidRPr="00271E51" w:rsidRDefault="009274CE"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17 июля 1943 г. по</w:t>
      </w:r>
      <w:r w:rsidRPr="00271E51">
        <w:rPr>
          <w:rFonts w:ascii="Times New Roman" w:hAnsi="Times New Roman"/>
          <w:color w:val="0070C0"/>
          <w:sz w:val="16"/>
          <w:szCs w:val="16"/>
          <w:lang w:eastAsia="ru-RU" w:bidi="ru-RU"/>
        </w:rPr>
        <w:softHyphen/>
        <w:t xml:space="preserve">явилось постановление ГКО о запуске Ту-2 двигателями АШ-82ФН в производство на заводе №23. </w:t>
      </w:r>
    </w:p>
    <w:p w14:paraId="67D49C3C"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Постановление от 17 июля 1945 г. не</w:t>
      </w:r>
      <w:r w:rsidRPr="00271E51">
        <w:rPr>
          <w:rFonts w:ascii="Times New Roman" w:hAnsi="Times New Roman"/>
          <w:color w:val="0070C0"/>
          <w:sz w:val="16"/>
          <w:szCs w:val="16"/>
          <w:lang w:eastAsia="ru-RU" w:bidi="ru-RU"/>
        </w:rPr>
        <w:softHyphen/>
        <w:t>сколько изменило требования к летным данным по сравнению с постановлением от 5 января 1942 г. Максимальную ско</w:t>
      </w:r>
      <w:r w:rsidRPr="00271E51">
        <w:rPr>
          <w:rFonts w:ascii="Times New Roman" w:hAnsi="Times New Roman"/>
          <w:color w:val="0070C0"/>
          <w:sz w:val="16"/>
          <w:szCs w:val="16"/>
          <w:lang w:eastAsia="ru-RU" w:bidi="ru-RU"/>
        </w:rPr>
        <w:softHyphen/>
        <w:t>рость ограничили 550 км/ч, дальность - 2000 км, зато практический потолок под</w:t>
      </w:r>
      <w:r w:rsidRPr="00271E51">
        <w:rPr>
          <w:rFonts w:ascii="Times New Roman" w:hAnsi="Times New Roman"/>
          <w:color w:val="0070C0"/>
          <w:sz w:val="16"/>
          <w:szCs w:val="16"/>
          <w:lang w:eastAsia="ru-RU" w:bidi="ru-RU"/>
        </w:rPr>
        <w:softHyphen/>
        <w:t>няли до 10 000 м. Вот в эти рамки пред</w:t>
      </w:r>
      <w:r w:rsidRPr="00271E51">
        <w:rPr>
          <w:rFonts w:ascii="Times New Roman" w:hAnsi="Times New Roman"/>
          <w:color w:val="0070C0"/>
          <w:sz w:val="16"/>
          <w:szCs w:val="16"/>
          <w:lang w:eastAsia="ru-RU" w:bidi="ru-RU"/>
        </w:rPr>
        <w:softHyphen/>
        <w:t>стояло обязательно уложиться.</w:t>
      </w:r>
    </w:p>
    <w:p w14:paraId="627A850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Речь теперь шла о машине, которую А.Н.Т. называл «стандартным типом». Многое, чем оснащался омский Ту-2, для «стандартного типа» сочли лиш</w:t>
      </w:r>
      <w:r w:rsidRPr="00271E51">
        <w:rPr>
          <w:rFonts w:ascii="Times New Roman" w:hAnsi="Times New Roman"/>
          <w:color w:val="0070C0"/>
          <w:sz w:val="16"/>
          <w:szCs w:val="16"/>
          <w:lang w:eastAsia="ru-RU" w:bidi="ru-RU"/>
        </w:rPr>
        <w:softHyphen/>
        <w:t>ним. Убрали тормозные решетки и ме</w:t>
      </w:r>
      <w:r w:rsidRPr="00271E51">
        <w:rPr>
          <w:rFonts w:ascii="Times New Roman" w:hAnsi="Times New Roman"/>
          <w:color w:val="0070C0"/>
          <w:sz w:val="16"/>
          <w:szCs w:val="16"/>
          <w:lang w:eastAsia="ru-RU" w:bidi="ru-RU"/>
        </w:rPr>
        <w:softHyphen/>
        <w:t>ханизм их выпуска, но автомат пикиро</w:t>
      </w:r>
      <w:r w:rsidRPr="00271E51">
        <w:rPr>
          <w:rFonts w:ascii="Times New Roman" w:hAnsi="Times New Roman"/>
          <w:color w:val="0070C0"/>
          <w:sz w:val="16"/>
          <w:szCs w:val="16"/>
          <w:lang w:eastAsia="ru-RU" w:bidi="ru-RU"/>
        </w:rPr>
        <w:softHyphen/>
        <w:t>вания оставили. Стабилизатор зафикси</w:t>
      </w:r>
      <w:r w:rsidRPr="00271E51">
        <w:rPr>
          <w:rFonts w:ascii="Times New Roman" w:hAnsi="Times New Roman"/>
          <w:color w:val="0070C0"/>
          <w:sz w:val="16"/>
          <w:szCs w:val="16"/>
          <w:lang w:eastAsia="ru-RU" w:bidi="ru-RU"/>
        </w:rPr>
        <w:softHyphen/>
        <w:t>ровали неподвижно, механизм его по</w:t>
      </w:r>
      <w:r w:rsidRPr="00271E51">
        <w:rPr>
          <w:rFonts w:ascii="Times New Roman" w:hAnsi="Times New Roman"/>
          <w:color w:val="0070C0"/>
          <w:sz w:val="16"/>
          <w:szCs w:val="16"/>
          <w:lang w:eastAsia="ru-RU" w:bidi="ru-RU"/>
        </w:rPr>
        <w:softHyphen/>
        <w:t>ворота сняли. Триммер теперь имелся только на правом руле направления. Мо</w:t>
      </w:r>
      <w:r w:rsidRPr="00271E51">
        <w:rPr>
          <w:rFonts w:ascii="Times New Roman" w:hAnsi="Times New Roman"/>
          <w:color w:val="0070C0"/>
          <w:sz w:val="16"/>
          <w:szCs w:val="16"/>
          <w:lang w:eastAsia="ru-RU" w:bidi="ru-RU"/>
        </w:rPr>
        <w:softHyphen/>
        <w:t>торы стали запускать не электроинерци- онными стартерами, а сжатым воздухом.</w:t>
      </w:r>
    </w:p>
    <w:p w14:paraId="114F736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Отказались от обогрева втулок пропел</w:t>
      </w:r>
      <w:r w:rsidRPr="00271E51">
        <w:rPr>
          <w:rFonts w:ascii="Times New Roman" w:hAnsi="Times New Roman"/>
          <w:color w:val="0070C0"/>
          <w:sz w:val="16"/>
          <w:szCs w:val="16"/>
          <w:lang w:eastAsia="ru-RU" w:bidi="ru-RU"/>
        </w:rPr>
        <w:softHyphen/>
        <w:t>леров теплым воздухом.</w:t>
      </w:r>
    </w:p>
    <w:p w14:paraId="300C1AC7"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lastRenderedPageBreak/>
        <w:t>Уменьшили до 14 количество бен</w:t>
      </w:r>
      <w:r w:rsidRPr="00271E51">
        <w:rPr>
          <w:rFonts w:ascii="Times New Roman" w:hAnsi="Times New Roman"/>
          <w:color w:val="0070C0"/>
          <w:sz w:val="16"/>
          <w:szCs w:val="16"/>
          <w:lang w:eastAsia="ru-RU" w:bidi="ru-RU"/>
        </w:rPr>
        <w:softHyphen/>
        <w:t>зобаков, частично компенсировав по</w:t>
      </w:r>
      <w:r w:rsidRPr="00271E51">
        <w:rPr>
          <w:rFonts w:ascii="Times New Roman" w:hAnsi="Times New Roman"/>
          <w:color w:val="0070C0"/>
          <w:sz w:val="16"/>
          <w:szCs w:val="16"/>
          <w:lang w:eastAsia="ru-RU" w:bidi="ru-RU"/>
        </w:rPr>
        <w:softHyphen/>
        <w:t>тери увеличением объема оставшихся. Общий запас горючего теперь равнялся 2600 л вместо прежних 5000 л. Заливка топлива осуществлялась через пять, а не через семь горловин. Все это позво</w:t>
      </w:r>
      <w:r w:rsidRPr="00271E51">
        <w:rPr>
          <w:rFonts w:ascii="Times New Roman" w:hAnsi="Times New Roman"/>
          <w:color w:val="0070C0"/>
          <w:sz w:val="16"/>
          <w:szCs w:val="16"/>
          <w:lang w:eastAsia="ru-RU" w:bidi="ru-RU"/>
        </w:rPr>
        <w:softHyphen/>
        <w:t>лило укоротить трубопроводы и убрать часть арматуры.</w:t>
      </w:r>
    </w:p>
    <w:p w14:paraId="5B6C19A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Значительно упростили гидравличе</w:t>
      </w:r>
      <w:r w:rsidRPr="00271E51">
        <w:rPr>
          <w:rFonts w:ascii="Times New Roman" w:hAnsi="Times New Roman"/>
          <w:color w:val="0070C0"/>
          <w:sz w:val="16"/>
          <w:szCs w:val="16"/>
          <w:lang w:eastAsia="ru-RU" w:bidi="ru-RU"/>
        </w:rPr>
        <w:softHyphen/>
        <w:t>скую систему: ранее существовали две от</w:t>
      </w:r>
      <w:r w:rsidRPr="00271E51">
        <w:rPr>
          <w:rFonts w:ascii="Times New Roman" w:hAnsi="Times New Roman"/>
          <w:color w:val="0070C0"/>
          <w:sz w:val="16"/>
          <w:szCs w:val="16"/>
          <w:lang w:eastAsia="ru-RU" w:bidi="ru-RU"/>
        </w:rPr>
        <w:softHyphen/>
        <w:t>дельные системы - высокого и низкого давления, теперь осталась одна - высо</w:t>
      </w:r>
      <w:r w:rsidRPr="00271E51">
        <w:rPr>
          <w:rFonts w:ascii="Times New Roman" w:hAnsi="Times New Roman"/>
          <w:color w:val="0070C0"/>
          <w:sz w:val="16"/>
          <w:szCs w:val="16"/>
          <w:lang w:eastAsia="ru-RU" w:bidi="ru-RU"/>
        </w:rPr>
        <w:softHyphen/>
        <w:t>кого. Гидравлический механизм переклю</w:t>
      </w:r>
      <w:r w:rsidRPr="00271E51">
        <w:rPr>
          <w:rFonts w:ascii="Times New Roman" w:hAnsi="Times New Roman"/>
          <w:color w:val="0070C0"/>
          <w:sz w:val="16"/>
          <w:szCs w:val="16"/>
          <w:lang w:eastAsia="ru-RU" w:bidi="ru-RU"/>
        </w:rPr>
        <w:softHyphen/>
        <w:t>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w:t>
      </w:r>
      <w:r w:rsidRPr="00271E51">
        <w:rPr>
          <w:rFonts w:ascii="Times New Roman" w:hAnsi="Times New Roman"/>
          <w:color w:val="0070C0"/>
          <w:sz w:val="16"/>
          <w:szCs w:val="16"/>
          <w:lang w:eastAsia="ru-RU" w:bidi="ru-RU"/>
        </w:rPr>
        <w:softHyphen/>
        <w:t>лей уменьшилась вчетверо, а боевая жи</w:t>
      </w:r>
      <w:r w:rsidRPr="00271E51">
        <w:rPr>
          <w:rFonts w:ascii="Times New Roman" w:hAnsi="Times New Roman"/>
          <w:color w:val="0070C0"/>
          <w:sz w:val="16"/>
          <w:szCs w:val="16"/>
          <w:lang w:eastAsia="ru-RU" w:bidi="ru-RU"/>
        </w:rPr>
        <w:softHyphen/>
        <w:t>вучесть возросла. Отказались от дублиро</w:t>
      </w:r>
      <w:r w:rsidRPr="00271E51">
        <w:rPr>
          <w:rFonts w:ascii="Times New Roman" w:hAnsi="Times New Roman"/>
          <w:color w:val="0070C0"/>
          <w:sz w:val="16"/>
          <w:szCs w:val="16"/>
          <w:lang w:eastAsia="ru-RU" w:bidi="ru-RU"/>
        </w:rPr>
        <w:softHyphen/>
        <w:t>вания некоторых приборов; приборные доски, стоявшие ранее на внутренних сто</w:t>
      </w:r>
      <w:r w:rsidRPr="00271E51">
        <w:rPr>
          <w:rFonts w:ascii="Times New Roman" w:hAnsi="Times New Roman"/>
          <w:color w:val="0070C0"/>
          <w:sz w:val="16"/>
          <w:szCs w:val="16"/>
          <w:lang w:eastAsia="ru-RU" w:bidi="ru-RU"/>
        </w:rPr>
        <w:softHyphen/>
        <w:t>ронах мотогондол, ликвидировали. При</w:t>
      </w:r>
      <w:r w:rsidRPr="00271E51">
        <w:rPr>
          <w:rFonts w:ascii="Times New Roman" w:hAnsi="Times New Roman"/>
          <w:color w:val="0070C0"/>
          <w:sz w:val="16"/>
          <w:szCs w:val="16"/>
          <w:lang w:eastAsia="ru-RU" w:bidi="ru-RU"/>
        </w:rPr>
        <w:softHyphen/>
        <w:t>боры, контролирующие работу двигателей, теперь располагались на доске пилота. Уменьшили количество осветительных ламп, сняли выдвижную фару ФСВ-200 и один из двух электрогенераторов (левый). Часть электросистемы перевели на од</w:t>
      </w:r>
      <w:r w:rsidRPr="00271E51">
        <w:rPr>
          <w:rFonts w:ascii="Times New Roman" w:hAnsi="Times New Roman"/>
          <w:color w:val="0070C0"/>
          <w:sz w:val="16"/>
          <w:szCs w:val="16"/>
          <w:lang w:eastAsia="ru-RU" w:bidi="ru-RU"/>
        </w:rPr>
        <w:softHyphen/>
        <w:t>нопроводную схему, причем использо</w:t>
      </w:r>
      <w:r w:rsidRPr="00271E51">
        <w:rPr>
          <w:rFonts w:ascii="Times New Roman" w:hAnsi="Times New Roman"/>
          <w:color w:val="0070C0"/>
          <w:sz w:val="16"/>
          <w:szCs w:val="16"/>
          <w:lang w:eastAsia="ru-RU" w:bidi="ru-RU"/>
        </w:rPr>
        <w:softHyphen/>
        <w:t>вали как экранировку гофр под обшивкой крыла. Одних проводов при этом стало на километр меньше.</w:t>
      </w:r>
    </w:p>
    <w:p w14:paraId="5D2057C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Носовые пулеметы ШКАС сочли лиш</w:t>
      </w:r>
      <w:r w:rsidRPr="00271E51">
        <w:rPr>
          <w:rFonts w:ascii="Times New Roman" w:hAnsi="Times New Roman"/>
          <w:color w:val="0070C0"/>
          <w:sz w:val="16"/>
          <w:szCs w:val="16"/>
          <w:lang w:eastAsia="ru-RU" w:bidi="ru-RU"/>
        </w:rPr>
        <w:softHyphen/>
        <w:t>ними - 20-мм пушки и так обеспечивали достаточную огневую мощь. Упростили механизм питания пушек, убрав электро</w:t>
      </w:r>
      <w:r w:rsidRPr="00271E51">
        <w:rPr>
          <w:rFonts w:ascii="Times New Roman" w:hAnsi="Times New Roman"/>
          <w:color w:val="0070C0"/>
          <w:sz w:val="16"/>
          <w:szCs w:val="16"/>
          <w:lang w:eastAsia="ru-RU" w:bidi="ru-RU"/>
        </w:rPr>
        <w:softHyphen/>
        <w:t>подтяг ленты. Сняли трубу прицела ПС-1 (окно для нее зашили дюралюминиевым листом), упростили механизм аварийного сброса бомб. Нормальная бомбовая на</w:t>
      </w:r>
      <w:r w:rsidRPr="00271E51">
        <w:rPr>
          <w:rFonts w:ascii="Times New Roman" w:hAnsi="Times New Roman"/>
          <w:color w:val="0070C0"/>
          <w:sz w:val="16"/>
          <w:szCs w:val="16"/>
          <w:lang w:eastAsia="ru-RU" w:bidi="ru-RU"/>
        </w:rPr>
        <w:softHyphen/>
        <w:t>грузка по-прежнему составляла 1000 кг, но максимальную ограничили до 2000 кг. Правда, при этом набор бомбодержате</w:t>
      </w:r>
      <w:r w:rsidRPr="00271E51">
        <w:rPr>
          <w:rFonts w:ascii="Times New Roman" w:hAnsi="Times New Roman"/>
          <w:color w:val="0070C0"/>
          <w:sz w:val="16"/>
          <w:szCs w:val="16"/>
          <w:lang w:eastAsia="ru-RU" w:bidi="ru-RU"/>
        </w:rPr>
        <w:softHyphen/>
        <w:t>лей, как и ранее, позволял при необходи</w:t>
      </w:r>
      <w:r w:rsidRPr="00271E51">
        <w:rPr>
          <w:rFonts w:ascii="Times New Roman" w:hAnsi="Times New Roman"/>
          <w:color w:val="0070C0"/>
          <w:sz w:val="16"/>
          <w:szCs w:val="16"/>
          <w:lang w:eastAsia="ru-RU" w:bidi="ru-RU"/>
        </w:rPr>
        <w:softHyphen/>
        <w:t>мости подвесить до 5000 кг (так требо</w:t>
      </w:r>
      <w:r w:rsidRPr="00271E51">
        <w:rPr>
          <w:rFonts w:ascii="Times New Roman" w:hAnsi="Times New Roman"/>
          <w:color w:val="0070C0"/>
          <w:sz w:val="16"/>
          <w:szCs w:val="16"/>
          <w:lang w:eastAsia="ru-RU" w:bidi="ru-RU"/>
        </w:rPr>
        <w:softHyphen/>
        <w:t>вало постановление).</w:t>
      </w:r>
    </w:p>
    <w:p w14:paraId="3CD47E21"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Провели большую работу по стандар</w:t>
      </w:r>
      <w:r w:rsidRPr="00271E51">
        <w:rPr>
          <w:rFonts w:ascii="Times New Roman" w:hAnsi="Times New Roman"/>
          <w:color w:val="0070C0"/>
          <w:sz w:val="16"/>
          <w:szCs w:val="16"/>
          <w:lang w:eastAsia="ru-RU" w:bidi="ru-RU"/>
        </w:rPr>
        <w:softHyphen/>
        <w:t>тизации крепежа и других нормализован</w:t>
      </w:r>
      <w:r w:rsidRPr="00271E51">
        <w:rPr>
          <w:rFonts w:ascii="Times New Roman" w:hAnsi="Times New Roman"/>
          <w:color w:val="0070C0"/>
          <w:sz w:val="16"/>
          <w:szCs w:val="16"/>
          <w:lang w:eastAsia="ru-RU" w:bidi="ru-RU"/>
        </w:rPr>
        <w:softHyphen/>
        <w:t>ных деталей. В результате конструкторам удалось выгадать около 400 кг «лишней» массы и снизить плановую трудоемкость самолета на 5000 человеко-часов. Эскиз</w:t>
      </w:r>
      <w:r w:rsidRPr="00271E51">
        <w:rPr>
          <w:rFonts w:ascii="Times New Roman" w:hAnsi="Times New Roman"/>
          <w:color w:val="0070C0"/>
          <w:sz w:val="16"/>
          <w:szCs w:val="16"/>
          <w:lang w:eastAsia="ru-RU" w:bidi="ru-RU"/>
        </w:rPr>
        <w:softHyphen/>
        <w:t>ный проект новой модификации разраба</w:t>
      </w:r>
      <w:r w:rsidRPr="00271E51">
        <w:rPr>
          <w:rFonts w:ascii="Times New Roman" w:hAnsi="Times New Roman"/>
          <w:color w:val="0070C0"/>
          <w:sz w:val="16"/>
          <w:szCs w:val="16"/>
          <w:lang w:eastAsia="ru-RU" w:bidi="ru-RU"/>
        </w:rPr>
        <w:softHyphen/>
        <w:t>тывался бригадой С.М. Егера и был завер</w:t>
      </w:r>
      <w:r w:rsidRPr="00271E51">
        <w:rPr>
          <w:rFonts w:ascii="Times New Roman" w:hAnsi="Times New Roman"/>
          <w:color w:val="0070C0"/>
          <w:sz w:val="16"/>
          <w:szCs w:val="16"/>
          <w:lang w:eastAsia="ru-RU" w:bidi="ru-RU"/>
        </w:rPr>
        <w:softHyphen/>
        <w:t>шен к лету 1943 г.</w:t>
      </w:r>
    </w:p>
    <w:p w14:paraId="3EF7961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Для доводки «стандартного типа», обозначенного Ту-2С, использовали три бомбардировщика 7-й серии, перегнан</w:t>
      </w:r>
      <w:r w:rsidRPr="00271E51">
        <w:rPr>
          <w:rFonts w:ascii="Times New Roman" w:hAnsi="Times New Roman"/>
          <w:color w:val="0070C0"/>
          <w:sz w:val="16"/>
          <w:szCs w:val="16"/>
          <w:lang w:eastAsia="ru-RU" w:bidi="ru-RU"/>
        </w:rPr>
        <w:softHyphen/>
        <w:t>ные в Москву из Омска. Их доработку осуществляли на заводе №156. В наи</w:t>
      </w:r>
      <w:r w:rsidRPr="00271E51">
        <w:rPr>
          <w:rFonts w:ascii="Times New Roman" w:hAnsi="Times New Roman"/>
          <w:color w:val="0070C0"/>
          <w:sz w:val="16"/>
          <w:szCs w:val="16"/>
          <w:lang w:eastAsia="ru-RU" w:bidi="ru-RU"/>
        </w:rPr>
        <w:softHyphen/>
        <w:t>большей степени до идеала «стандарт</w:t>
      </w:r>
      <w:r w:rsidRPr="00271E51">
        <w:rPr>
          <w:rFonts w:ascii="Times New Roman" w:hAnsi="Times New Roman"/>
          <w:color w:val="0070C0"/>
          <w:sz w:val="16"/>
          <w:szCs w:val="16"/>
          <w:lang w:eastAsia="ru-RU" w:bidi="ru-RU"/>
        </w:rPr>
        <w:softHyphen/>
        <w:t>ного типа» довели бомбардировщик №100716, переделку которого закон</w:t>
      </w:r>
      <w:r w:rsidRPr="00271E51">
        <w:rPr>
          <w:rFonts w:ascii="Times New Roman" w:hAnsi="Times New Roman"/>
          <w:color w:val="0070C0"/>
          <w:sz w:val="16"/>
          <w:szCs w:val="16"/>
          <w:lang w:eastAsia="ru-RU" w:bidi="ru-RU"/>
        </w:rPr>
        <w:softHyphen/>
        <w:t>чили в июле 1943 г.</w:t>
      </w:r>
    </w:p>
    <w:p w14:paraId="3B461C51"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На этой машине не только внесли упрощения, предусмотренные концеп</w:t>
      </w:r>
      <w:r w:rsidRPr="00271E51">
        <w:rPr>
          <w:rFonts w:ascii="Times New Roman" w:hAnsi="Times New Roman"/>
          <w:color w:val="0070C0"/>
          <w:sz w:val="16"/>
          <w:szCs w:val="16"/>
          <w:lang w:eastAsia="ru-RU" w:bidi="ru-RU"/>
        </w:rPr>
        <w:softHyphen/>
        <w:t>цией «стандартного типа», но и ввели усо</w:t>
      </w:r>
      <w:r w:rsidRPr="00271E51">
        <w:rPr>
          <w:rFonts w:ascii="Times New Roman" w:hAnsi="Times New Roman"/>
          <w:color w:val="0070C0"/>
          <w:sz w:val="16"/>
          <w:szCs w:val="16"/>
          <w:lang w:eastAsia="ru-RU" w:bidi="ru-RU"/>
        </w:rPr>
        <w:softHyphen/>
        <w:t>вершенствования, продиктованные тре</w:t>
      </w:r>
      <w:r w:rsidRPr="00271E51">
        <w:rPr>
          <w:rFonts w:ascii="Times New Roman" w:hAnsi="Times New Roman"/>
          <w:color w:val="0070C0"/>
          <w:sz w:val="16"/>
          <w:szCs w:val="16"/>
          <w:lang w:eastAsia="ru-RU" w:bidi="ru-RU"/>
        </w:rPr>
        <w:softHyphen/>
        <w:t>бованиями ВВС и опытом боевого приме</w:t>
      </w:r>
      <w:r w:rsidRPr="00271E51">
        <w:rPr>
          <w:rFonts w:ascii="Times New Roman" w:hAnsi="Times New Roman"/>
          <w:color w:val="0070C0"/>
          <w:sz w:val="16"/>
          <w:szCs w:val="16"/>
          <w:lang w:eastAsia="ru-RU" w:bidi="ru-RU"/>
        </w:rPr>
        <w:softHyphen/>
        <w:t>нения Ту-2 на фронте. Загерметизировали внутри стыки крыла с фюзеляжем и мо</w:t>
      </w:r>
      <w:r w:rsidRPr="00271E51">
        <w:rPr>
          <w:rFonts w:ascii="Times New Roman" w:hAnsi="Times New Roman"/>
          <w:color w:val="0070C0"/>
          <w:sz w:val="16"/>
          <w:szCs w:val="16"/>
          <w:lang w:eastAsia="ru-RU" w:bidi="ru-RU"/>
        </w:rPr>
        <w:softHyphen/>
        <w:t>тогондолами. Это уменьшило аэродина</w:t>
      </w:r>
      <w:r w:rsidRPr="00271E51">
        <w:rPr>
          <w:rFonts w:ascii="Times New Roman" w:hAnsi="Times New Roman"/>
          <w:color w:val="0070C0"/>
          <w:sz w:val="16"/>
          <w:szCs w:val="16"/>
          <w:lang w:eastAsia="ru-RU" w:bidi="ru-RU"/>
        </w:rPr>
        <w:softHyphen/>
        <w:t>мическое сопротивление и положительно сказалось на пожарной безопасности. Но</w:t>
      </w:r>
      <w:r w:rsidRPr="00271E51">
        <w:rPr>
          <w:rFonts w:ascii="Times New Roman" w:hAnsi="Times New Roman"/>
          <w:color w:val="0070C0"/>
          <w:sz w:val="16"/>
          <w:szCs w:val="16"/>
          <w:lang w:eastAsia="ru-RU" w:bidi="ru-RU"/>
        </w:rPr>
        <w:softHyphen/>
        <w:t>сок крыла сделали легкосъемным, упро</w:t>
      </w:r>
      <w:r w:rsidRPr="00271E51">
        <w:rPr>
          <w:rFonts w:ascii="Times New Roman" w:hAnsi="Times New Roman"/>
          <w:color w:val="0070C0"/>
          <w:sz w:val="16"/>
          <w:szCs w:val="16"/>
          <w:lang w:eastAsia="ru-RU" w:bidi="ru-RU"/>
        </w:rPr>
        <w:softHyphen/>
        <w:t>стив доступ к проводке и гидравлическим магистралям у первого лонжерона. У ме</w:t>
      </w:r>
      <w:r w:rsidRPr="00271E51">
        <w:rPr>
          <w:rFonts w:ascii="Times New Roman" w:hAnsi="Times New Roman"/>
          <w:color w:val="0070C0"/>
          <w:sz w:val="16"/>
          <w:szCs w:val="16"/>
          <w:lang w:eastAsia="ru-RU" w:bidi="ru-RU"/>
        </w:rPr>
        <w:softHyphen/>
        <w:t>ста стрелка с каждой стороны прорезали по два дополнительных круглых окна (их стало по три). Крыло и фюзеляж за</w:t>
      </w:r>
      <w:r w:rsidRPr="00271E51">
        <w:rPr>
          <w:rFonts w:ascii="Times New Roman" w:hAnsi="Times New Roman"/>
          <w:color w:val="0070C0"/>
          <w:sz w:val="16"/>
          <w:szCs w:val="16"/>
          <w:lang w:eastAsia="ru-RU" w:bidi="ru-RU"/>
        </w:rPr>
        <w:softHyphen/>
        <w:t>шпаклевали и отполировали.</w:t>
      </w:r>
    </w:p>
    <w:p w14:paraId="0BB9241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Температурный режим каждого мо</w:t>
      </w:r>
      <w:r w:rsidRPr="00271E51">
        <w:rPr>
          <w:rFonts w:ascii="Times New Roman" w:hAnsi="Times New Roman"/>
          <w:color w:val="0070C0"/>
          <w:sz w:val="16"/>
          <w:szCs w:val="16"/>
          <w:lang w:eastAsia="ru-RU" w:bidi="ru-RU"/>
        </w:rPr>
        <w:softHyphen/>
        <w:t>тора теперь регулировался всего одним рычагом, который приводил в действие створки капотов, лобовые жалюзи и за</w:t>
      </w:r>
      <w:r w:rsidRPr="00271E51">
        <w:rPr>
          <w:rFonts w:ascii="Times New Roman" w:hAnsi="Times New Roman"/>
          <w:color w:val="0070C0"/>
          <w:sz w:val="16"/>
          <w:szCs w:val="16"/>
          <w:lang w:eastAsia="ru-RU" w:bidi="ru-RU"/>
        </w:rPr>
        <w:softHyphen/>
        <w:t>слонки маслорадиаторов. За счет умень</w:t>
      </w:r>
      <w:r w:rsidRPr="00271E51">
        <w:rPr>
          <w:rFonts w:ascii="Times New Roman" w:hAnsi="Times New Roman"/>
          <w:color w:val="0070C0"/>
          <w:sz w:val="16"/>
          <w:szCs w:val="16"/>
          <w:lang w:eastAsia="ru-RU" w:bidi="ru-RU"/>
        </w:rPr>
        <w:softHyphen/>
        <w:t>шения давления в амортизаторах шасси уменьшили «скачки» самолета при гру</w:t>
      </w:r>
      <w:r w:rsidRPr="00271E51">
        <w:rPr>
          <w:rFonts w:ascii="Times New Roman" w:hAnsi="Times New Roman"/>
          <w:color w:val="0070C0"/>
          <w:sz w:val="16"/>
          <w:szCs w:val="16"/>
          <w:lang w:eastAsia="ru-RU" w:bidi="ru-RU"/>
        </w:rPr>
        <w:softHyphen/>
        <w:t>бой посадке. Сочли лишним и демонтиро</w:t>
      </w:r>
      <w:r w:rsidRPr="00271E51">
        <w:rPr>
          <w:rFonts w:ascii="Times New Roman" w:hAnsi="Times New Roman"/>
          <w:color w:val="0070C0"/>
          <w:sz w:val="16"/>
          <w:szCs w:val="16"/>
          <w:lang w:eastAsia="ru-RU" w:bidi="ru-RU"/>
        </w:rPr>
        <w:softHyphen/>
        <w:t>вали стояночный механический тормоз - вполне можно было обойтись традицион</w:t>
      </w:r>
      <w:r w:rsidRPr="00271E51">
        <w:rPr>
          <w:rFonts w:ascii="Times New Roman" w:hAnsi="Times New Roman"/>
          <w:color w:val="0070C0"/>
          <w:sz w:val="16"/>
          <w:szCs w:val="16"/>
          <w:lang w:eastAsia="ru-RU" w:bidi="ru-RU"/>
        </w:rPr>
        <w:softHyphen/>
        <w:t>ными колодками. Увеличили запас кисло</w:t>
      </w:r>
      <w:r w:rsidRPr="00271E51">
        <w:rPr>
          <w:rFonts w:ascii="Times New Roman" w:hAnsi="Times New Roman"/>
          <w:color w:val="0070C0"/>
          <w:sz w:val="16"/>
          <w:szCs w:val="16"/>
          <w:lang w:eastAsia="ru-RU" w:bidi="ru-RU"/>
        </w:rPr>
        <w:softHyphen/>
        <w:t>рода; на машине теперь имелось восемь баллонов по 4 л вместо четырех.</w:t>
      </w:r>
    </w:p>
    <w:p w14:paraId="58AA904C"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Вооружение самолета складывалось из двух пушек ШВАК (по 150 патронов на каждую) и трех пулеметов УБ - в уста</w:t>
      </w:r>
      <w:r w:rsidRPr="00271E51">
        <w:rPr>
          <w:rFonts w:ascii="Times New Roman" w:hAnsi="Times New Roman"/>
          <w:color w:val="0070C0"/>
          <w:sz w:val="16"/>
          <w:szCs w:val="16"/>
          <w:lang w:eastAsia="ru-RU" w:bidi="ru-RU"/>
        </w:rPr>
        <w:softHyphen/>
        <w:t>новках БУШ у штурмана (200 патронов), ВУБ-2 у стрелка-радиста (250 патронов) и ЛУ-УБТ у стрелка. В последней боезапас увеличили до 350 патронов. Постановле</w:t>
      </w:r>
      <w:r w:rsidRPr="00271E51">
        <w:rPr>
          <w:rFonts w:ascii="Times New Roman" w:hAnsi="Times New Roman"/>
          <w:color w:val="0070C0"/>
          <w:sz w:val="16"/>
          <w:szCs w:val="16"/>
          <w:lang w:eastAsia="ru-RU" w:bidi="ru-RU"/>
        </w:rPr>
        <w:softHyphen/>
        <w:t>ние от 17 июля требовало внедрить верх</w:t>
      </w:r>
      <w:r w:rsidRPr="00271E51">
        <w:rPr>
          <w:rFonts w:ascii="Times New Roman" w:hAnsi="Times New Roman"/>
          <w:color w:val="0070C0"/>
          <w:sz w:val="16"/>
          <w:szCs w:val="16"/>
          <w:lang w:eastAsia="ru-RU" w:bidi="ru-RU"/>
        </w:rPr>
        <w:softHyphen/>
        <w:t>нюю заднюю установку с пушкой ШВАК, подготовив опытный образец к 1 сентя</w:t>
      </w:r>
      <w:r w:rsidRPr="00271E51">
        <w:rPr>
          <w:rFonts w:ascii="Times New Roman" w:hAnsi="Times New Roman"/>
          <w:color w:val="0070C0"/>
          <w:sz w:val="16"/>
          <w:szCs w:val="16"/>
          <w:lang w:eastAsia="ru-RU" w:bidi="ru-RU"/>
        </w:rPr>
        <w:softHyphen/>
        <w:t>бря. Реально это сделали намного позже.</w:t>
      </w:r>
    </w:p>
    <w:p w14:paraId="226E9CD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Пусковые балки для РС-82 и управле</w:t>
      </w:r>
      <w:r w:rsidRPr="00271E51">
        <w:rPr>
          <w:rFonts w:ascii="Times New Roman" w:hAnsi="Times New Roman"/>
          <w:color w:val="0070C0"/>
          <w:sz w:val="16"/>
          <w:szCs w:val="16"/>
          <w:lang w:eastAsia="ru-RU" w:bidi="ru-RU"/>
        </w:rPr>
        <w:softHyphen/>
        <w:t>ние ракетным оружием сняли. Зато пред</w:t>
      </w:r>
      <w:r w:rsidRPr="00271E51">
        <w:rPr>
          <w:rFonts w:ascii="Times New Roman" w:hAnsi="Times New Roman"/>
          <w:color w:val="0070C0"/>
          <w:sz w:val="16"/>
          <w:szCs w:val="16"/>
          <w:lang w:eastAsia="ru-RU" w:bidi="ru-RU"/>
        </w:rPr>
        <w:softHyphen/>
        <w:t>усмотрели химическое вооружение, ранее отсутствовавшее. Теперь бомбардировщик мог нести универсальные (но использо</w:t>
      </w:r>
      <w:r w:rsidRPr="00271E51">
        <w:rPr>
          <w:rFonts w:ascii="Times New Roman" w:hAnsi="Times New Roman"/>
          <w:color w:val="0070C0"/>
          <w:sz w:val="16"/>
          <w:szCs w:val="16"/>
          <w:lang w:eastAsia="ru-RU" w:bidi="ru-RU"/>
        </w:rPr>
        <w:softHyphen/>
        <w:t>вавшиеся только как дымовые) приборы УХАП-500 или кассеты АБК-П-500</w:t>
      </w:r>
      <w:r w:rsidRPr="00271E51">
        <w:rPr>
          <w:rFonts w:ascii="Times New Roman" w:hAnsi="Times New Roman"/>
          <w:smallCaps/>
          <w:color w:val="0070C0"/>
          <w:sz w:val="16"/>
          <w:szCs w:val="16"/>
          <w:lang w:eastAsia="ru-RU" w:bidi="ru-RU"/>
        </w:rPr>
        <w:t>,</w:t>
      </w:r>
      <w:r w:rsidRPr="00271E51">
        <w:rPr>
          <w:rFonts w:ascii="Times New Roman" w:hAnsi="Times New Roman"/>
          <w:color w:val="0070C0"/>
          <w:sz w:val="16"/>
          <w:szCs w:val="16"/>
          <w:lang w:eastAsia="ru-RU" w:bidi="ru-RU"/>
        </w:rPr>
        <w:t xml:space="preserve"> кото</w:t>
      </w:r>
      <w:r w:rsidRPr="00271E51">
        <w:rPr>
          <w:rFonts w:ascii="Times New Roman" w:hAnsi="Times New Roman"/>
          <w:color w:val="0070C0"/>
          <w:sz w:val="16"/>
          <w:szCs w:val="16"/>
          <w:lang w:eastAsia="ru-RU" w:bidi="ru-RU"/>
        </w:rPr>
        <w:softHyphen/>
        <w:t>рые могли наполняться мелкими бомбами или ампулами АЖ-2 (с отравляющими ве</w:t>
      </w:r>
      <w:r w:rsidRPr="00271E51">
        <w:rPr>
          <w:rFonts w:ascii="Times New Roman" w:hAnsi="Times New Roman"/>
          <w:color w:val="0070C0"/>
          <w:sz w:val="16"/>
          <w:szCs w:val="16"/>
          <w:lang w:eastAsia="ru-RU" w:bidi="ru-RU"/>
        </w:rPr>
        <w:softHyphen/>
        <w:t>ществами или самовоспламеняющейся жидкостью КС, 136 штук в кассете).</w:t>
      </w:r>
    </w:p>
    <w:p w14:paraId="08828BF1" w14:textId="77777777" w:rsidR="009274CE" w:rsidRPr="00271E51" w:rsidRDefault="009274CE"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Часть оборудования заменили но</w:t>
      </w:r>
      <w:r w:rsidRPr="00271E51">
        <w:rPr>
          <w:rFonts w:ascii="Times New Roman" w:hAnsi="Times New Roman"/>
          <w:color w:val="0070C0"/>
          <w:sz w:val="16"/>
          <w:szCs w:val="16"/>
          <w:lang w:eastAsia="ru-RU" w:bidi="ru-RU"/>
        </w:rPr>
        <w:softHyphen/>
        <w:t>вым, более совершенных образцов. Так, вместо радиостанции РСБ-3 смонтиро</w:t>
      </w:r>
      <w:r w:rsidRPr="00271E51">
        <w:rPr>
          <w:rFonts w:ascii="Times New Roman" w:hAnsi="Times New Roman"/>
          <w:color w:val="0070C0"/>
          <w:sz w:val="16"/>
          <w:szCs w:val="16"/>
          <w:lang w:eastAsia="ru-RU" w:bidi="ru-RU"/>
        </w:rPr>
        <w:softHyphen/>
        <w:t>вали РСБ-Збис, вместо радиополуком</w:t>
      </w:r>
      <w:r w:rsidRPr="00271E51">
        <w:rPr>
          <w:rFonts w:ascii="Times New Roman" w:hAnsi="Times New Roman"/>
          <w:color w:val="0070C0"/>
          <w:sz w:val="16"/>
          <w:szCs w:val="16"/>
          <w:lang w:eastAsia="ru-RU" w:bidi="ru-RU"/>
        </w:rPr>
        <w:softHyphen/>
        <w:t>паса РПК-7 - РПК-10, вместо переговор</w:t>
      </w:r>
      <w:r w:rsidRPr="00271E51">
        <w:rPr>
          <w:rFonts w:ascii="Times New Roman" w:hAnsi="Times New Roman"/>
          <w:color w:val="0070C0"/>
          <w:sz w:val="16"/>
          <w:szCs w:val="16"/>
          <w:lang w:eastAsia="ru-RU" w:bidi="ru-RU"/>
        </w:rPr>
        <w:softHyphen/>
        <w:t>ного устройства СПУ-4бис - СПУФ-4, вме</w:t>
      </w:r>
      <w:r w:rsidRPr="00271E51">
        <w:rPr>
          <w:rFonts w:ascii="Times New Roman" w:hAnsi="Times New Roman"/>
          <w:color w:val="0070C0"/>
          <w:sz w:val="16"/>
          <w:szCs w:val="16"/>
          <w:lang w:eastAsia="ru-RU" w:bidi="ru-RU"/>
        </w:rPr>
        <w:softHyphen/>
        <w:t>сто фотоаппарата АФА-Б - АФА-БИ (21060).</w:t>
      </w:r>
    </w:p>
    <w:p w14:paraId="133F4EC1" w14:textId="77777777" w:rsidR="009274CE" w:rsidRPr="00271E51" w:rsidRDefault="009274CE" w:rsidP="00271E51">
      <w:pPr>
        <w:spacing w:after="0" w:line="240" w:lineRule="auto"/>
        <w:jc w:val="both"/>
        <w:rPr>
          <w:rFonts w:ascii="Times New Roman" w:hAnsi="Times New Roman"/>
          <w:color w:val="0070C0"/>
          <w:sz w:val="16"/>
          <w:szCs w:val="16"/>
        </w:rPr>
      </w:pPr>
    </w:p>
    <w:p w14:paraId="1C5B5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по 29 июля 1943 экипаж И.И.Шиянова провел летные испытания доработанного 103В с М-182ФНВ. Скорость поднялась с 545 км/час до 568 км/час на 5050 и А.Н.Т. обратился в ГКО, что позволило возобновить серию Ту-2 (1835,25).</w:t>
      </w:r>
    </w:p>
    <w:p w14:paraId="782D3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F9131"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 вышло постановление ГКО № 3754 «О постановке серийного производ</w:t>
      </w:r>
      <w:r w:rsidRPr="00271E51">
        <w:rPr>
          <w:rFonts w:ascii="Times New Roman" w:hAnsi="Times New Roman"/>
          <w:color w:val="000000" w:themeColor="text1"/>
          <w:sz w:val="16"/>
          <w:szCs w:val="16"/>
        </w:rPr>
        <w:softHyphen/>
        <w:t>ства... Ту-2 на заводе № 23 в Москве», которым предписывалось возобновить выпуск более перспективного фронтового бомбардировщика Ту-2 с М-82, а выпуск Пе-2 про</w:t>
      </w:r>
      <w:r w:rsidRPr="00271E51">
        <w:rPr>
          <w:rFonts w:ascii="Times New Roman" w:hAnsi="Times New Roman"/>
          <w:color w:val="000000" w:themeColor="text1"/>
          <w:sz w:val="16"/>
          <w:szCs w:val="16"/>
        </w:rPr>
        <w:softHyphen/>
        <w:t>должать с прежней силовой установкой. В том же 1943 г. началась установка М-82 в се</w:t>
      </w:r>
      <w:r w:rsidRPr="00271E51">
        <w:rPr>
          <w:rFonts w:ascii="Times New Roman" w:hAnsi="Times New Roman"/>
          <w:color w:val="000000" w:themeColor="text1"/>
          <w:sz w:val="16"/>
          <w:szCs w:val="16"/>
        </w:rPr>
        <w:softHyphen/>
        <w:t>рии и на тяжёлые бомбардировщики Пе-8, но их выпускали очень ограниченно.</w:t>
      </w:r>
    </w:p>
    <w:p w14:paraId="4822030E"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истребитель Ла-5 по-прежнему оставался самым крупным потребителем моторов М-82 (15829).</w:t>
      </w:r>
    </w:p>
    <w:p w14:paraId="5BDC0C79" w14:textId="77777777" w:rsidR="00974AE3" w:rsidRPr="00271E51" w:rsidRDefault="00974AE3" w:rsidP="00271E51">
      <w:pPr>
        <w:spacing w:after="0" w:line="240" w:lineRule="auto"/>
        <w:jc w:val="both"/>
        <w:rPr>
          <w:rFonts w:ascii="Times New Roman" w:hAnsi="Times New Roman"/>
          <w:color w:val="000000" w:themeColor="text1"/>
          <w:sz w:val="16"/>
          <w:szCs w:val="16"/>
        </w:rPr>
      </w:pPr>
    </w:p>
    <w:p w14:paraId="23D756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года Решением ГКО за № 3754сс и 20 июля 1943 года приказом НКАП за № 430сс заводу № 23 было установлено производственное задание по выпуску самолета ТУ-2, которое завод выполнял по вторую половину 1948 года.</w:t>
      </w:r>
    </w:p>
    <w:p w14:paraId="17196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43B43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74735E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090614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494315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2DA21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E887F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A907A5" w:rsidRPr="00271E51" w14:paraId="220306B0" w14:textId="77777777" w:rsidTr="00ED5B0A">
        <w:tc>
          <w:tcPr>
            <w:tcW w:w="817" w:type="dxa"/>
          </w:tcPr>
          <w:p w14:paraId="15940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изделий</w:t>
            </w:r>
          </w:p>
        </w:tc>
        <w:tc>
          <w:tcPr>
            <w:tcW w:w="1348" w:type="dxa"/>
          </w:tcPr>
          <w:p w14:paraId="6BD926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и количество двигателей установлен. на самолете</w:t>
            </w:r>
          </w:p>
        </w:tc>
        <w:tc>
          <w:tcPr>
            <w:tcW w:w="920" w:type="dxa"/>
          </w:tcPr>
          <w:p w14:paraId="049D5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1952 год</w:t>
            </w:r>
          </w:p>
        </w:tc>
        <w:tc>
          <w:tcPr>
            <w:tcW w:w="851" w:type="dxa"/>
          </w:tcPr>
          <w:p w14:paraId="23081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1953 год</w:t>
            </w:r>
          </w:p>
        </w:tc>
        <w:tc>
          <w:tcPr>
            <w:tcW w:w="850" w:type="dxa"/>
          </w:tcPr>
          <w:p w14:paraId="09987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1954 год</w:t>
            </w:r>
          </w:p>
        </w:tc>
        <w:tc>
          <w:tcPr>
            <w:tcW w:w="851" w:type="dxa"/>
          </w:tcPr>
          <w:p w14:paraId="38C0B1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1955 год</w:t>
            </w:r>
          </w:p>
        </w:tc>
        <w:tc>
          <w:tcPr>
            <w:tcW w:w="850" w:type="dxa"/>
          </w:tcPr>
          <w:p w14:paraId="53755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1956 год</w:t>
            </w:r>
          </w:p>
        </w:tc>
        <w:tc>
          <w:tcPr>
            <w:tcW w:w="851" w:type="dxa"/>
          </w:tcPr>
          <w:p w14:paraId="576337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1957 год</w:t>
            </w:r>
          </w:p>
        </w:tc>
        <w:tc>
          <w:tcPr>
            <w:tcW w:w="850" w:type="dxa"/>
          </w:tcPr>
          <w:p w14:paraId="1465D7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1958 год</w:t>
            </w:r>
          </w:p>
        </w:tc>
      </w:tr>
      <w:tr w:rsidR="00A907A5" w:rsidRPr="00271E51" w14:paraId="11241C46" w14:textId="77777777" w:rsidTr="00ED5B0A">
        <w:tc>
          <w:tcPr>
            <w:tcW w:w="817" w:type="dxa"/>
          </w:tcPr>
          <w:p w14:paraId="69245E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Ту-4</w:t>
            </w:r>
          </w:p>
        </w:tc>
        <w:tc>
          <w:tcPr>
            <w:tcW w:w="1348" w:type="dxa"/>
          </w:tcPr>
          <w:p w14:paraId="3357F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4АШ73МК</w:t>
            </w:r>
          </w:p>
        </w:tc>
        <w:tc>
          <w:tcPr>
            <w:tcW w:w="920" w:type="dxa"/>
          </w:tcPr>
          <w:p w14:paraId="51C5BA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851" w:type="dxa"/>
          </w:tcPr>
          <w:p w14:paraId="298272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C69FC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F12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708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29B7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801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A04535" w14:textId="77777777" w:rsidTr="00ED5B0A">
        <w:tc>
          <w:tcPr>
            <w:tcW w:w="817" w:type="dxa"/>
          </w:tcPr>
          <w:p w14:paraId="315D6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ИЛ-28</w:t>
            </w:r>
          </w:p>
        </w:tc>
        <w:tc>
          <w:tcPr>
            <w:tcW w:w="1348" w:type="dxa"/>
          </w:tcPr>
          <w:p w14:paraId="66549B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2АШ73МК</w:t>
            </w:r>
          </w:p>
        </w:tc>
        <w:tc>
          <w:tcPr>
            <w:tcW w:w="920" w:type="dxa"/>
          </w:tcPr>
          <w:p w14:paraId="56D8D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0146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50" w:type="dxa"/>
          </w:tcPr>
          <w:p w14:paraId="20F96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4A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17E2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63D7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4FB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8D761D" w14:textId="77777777" w:rsidTr="00ED5B0A">
        <w:tc>
          <w:tcPr>
            <w:tcW w:w="817" w:type="dxa"/>
          </w:tcPr>
          <w:p w14:paraId="0F8BD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348" w:type="dxa"/>
          </w:tcPr>
          <w:p w14:paraId="01F4E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4АМ3</w:t>
            </w:r>
          </w:p>
        </w:tc>
        <w:tc>
          <w:tcPr>
            <w:tcW w:w="920" w:type="dxa"/>
          </w:tcPr>
          <w:p w14:paraId="2B882B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21E76B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461AF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4E38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DEED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4640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210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EF573A" w14:textId="77777777" w:rsidTr="00ED5B0A">
        <w:tc>
          <w:tcPr>
            <w:tcW w:w="817" w:type="dxa"/>
          </w:tcPr>
          <w:p w14:paraId="7EF91B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М-4</w:t>
            </w:r>
          </w:p>
        </w:tc>
        <w:tc>
          <w:tcPr>
            <w:tcW w:w="1348" w:type="dxa"/>
          </w:tcPr>
          <w:p w14:paraId="3596D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4А25</w:t>
            </w:r>
          </w:p>
        </w:tc>
        <w:tc>
          <w:tcPr>
            <w:tcW w:w="920" w:type="dxa"/>
          </w:tcPr>
          <w:p w14:paraId="75FB42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1D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A1B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51" w:type="dxa"/>
          </w:tcPr>
          <w:p w14:paraId="587493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850" w:type="dxa"/>
          </w:tcPr>
          <w:p w14:paraId="0B4223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034BFA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D3A8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200F21" w14:textId="77777777" w:rsidTr="00ED5B0A">
        <w:tc>
          <w:tcPr>
            <w:tcW w:w="817" w:type="dxa"/>
          </w:tcPr>
          <w:p w14:paraId="76F209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3М</w:t>
            </w:r>
          </w:p>
        </w:tc>
        <w:tc>
          <w:tcPr>
            <w:tcW w:w="1348" w:type="dxa"/>
          </w:tcPr>
          <w:p w14:paraId="3E583E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4А25</w:t>
            </w:r>
          </w:p>
          <w:p w14:paraId="5A6FE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4АВД-7</w:t>
            </w:r>
          </w:p>
        </w:tc>
        <w:tc>
          <w:tcPr>
            <w:tcW w:w="920" w:type="dxa"/>
          </w:tcPr>
          <w:p w14:paraId="1267E3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8A34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0C60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E868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F2BD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851" w:type="dxa"/>
          </w:tcPr>
          <w:p w14:paraId="796E07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850" w:type="dxa"/>
          </w:tcPr>
          <w:p w14:paraId="0D1F5C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r>
    </w:tbl>
    <w:p w14:paraId="73F12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Г-87, п/я 222</w:t>
      </w:r>
    </w:p>
    <w:p w14:paraId="0507AA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Осипов (1959)</w:t>
      </w:r>
    </w:p>
    <w:p w14:paraId="12288E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металлическое самолетостроение (9754)</w:t>
      </w:r>
    </w:p>
    <w:p w14:paraId="38E4BD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BA7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3753 О плане производства самолетов и моторов на III квартал 1943 года.РГАНИР, Фонд ГКО, д. 134, лл. 1-6 (11012).</w:t>
      </w:r>
    </w:p>
    <w:p w14:paraId="036C5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CC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3754 О постановке серийного производства самолетов Ту-2 на заводе N23.РГАНИР, Фонд ГКО, д. 134, лл. 7-9 (11012).</w:t>
      </w:r>
    </w:p>
    <w:p w14:paraId="5EC73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C3DD5"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3754 О постановке серийного производства самолетов Ту-2 на заводе N23</w:t>
      </w:r>
    </w:p>
    <w:p w14:paraId="1F9CC216"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Наркомавиапром - т.Шахурина, ди</w:t>
      </w:r>
      <w:r w:rsidRPr="00271E51">
        <w:rPr>
          <w:rFonts w:ascii="Times New Roman" w:hAnsi="Times New Roman"/>
          <w:color w:val="000000" w:themeColor="text1"/>
          <w:sz w:val="16"/>
          <w:szCs w:val="16"/>
        </w:rPr>
        <w:softHyphen/>
        <w:t>ректора эавода № 23 - т.Иоснловича н главного кон</w:t>
      </w:r>
      <w:r w:rsidRPr="00271E51">
        <w:rPr>
          <w:rFonts w:ascii="Times New Roman" w:hAnsi="Times New Roman"/>
          <w:color w:val="000000" w:themeColor="text1"/>
          <w:sz w:val="16"/>
          <w:szCs w:val="16"/>
        </w:rPr>
        <w:softHyphen/>
        <w:t>структора - т.Туполева организовать на заводе № 23 производство самолетов Ту-2 с 2М-82Ф</w:t>
      </w:r>
      <w:r w:rsidRPr="00271E51">
        <w:rPr>
          <w:rFonts w:ascii="Times New Roman" w:hAnsi="Times New Roman"/>
          <w:color w:val="000000" w:themeColor="text1"/>
          <w:sz w:val="16"/>
          <w:szCs w:val="16"/>
          <w:lang w:val="en-US"/>
        </w:rPr>
        <w:t>H</w:t>
      </w:r>
      <w:r w:rsidRPr="00271E51">
        <w:rPr>
          <w:rFonts w:ascii="Times New Roman" w:hAnsi="Times New Roman"/>
          <w:color w:val="000000" w:themeColor="text1"/>
          <w:sz w:val="16"/>
          <w:szCs w:val="16"/>
        </w:rPr>
        <w:t xml:space="preserve"> со следующими данными:</w:t>
      </w:r>
    </w:p>
    <w:p w14:paraId="5BCE9830"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- 500 км/час</w:t>
      </w:r>
    </w:p>
    <w:p w14:paraId="1FB14D3F"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максимальная скорость на высоте 1750 мт. - 540</w:t>
      </w:r>
    </w:p>
    <w:p w14:paraId="6FED1B43"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высоте 5500 мт. - 550</w:t>
      </w:r>
    </w:p>
    <w:p w14:paraId="763BCE13"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под"ема на высоту 5000мт. - 10 мин.</w:t>
      </w:r>
    </w:p>
    <w:p w14:paraId="6F5DAF1A"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- 9000 мт.</w:t>
      </w:r>
    </w:p>
    <w:p w14:paraId="7813708D"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дальность на 0,8 максимальной скорости и высоте 3000 мт. 2000 км</w:t>
      </w:r>
    </w:p>
    <w:p w14:paraId="1CD1D805"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395908F7"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 - 2 пушки калибра 20мм в крыльях, с боезапасом по 150 снарядов ;</w:t>
      </w:r>
    </w:p>
    <w:p w14:paraId="27B9BAB5"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назад - 1 подвижной пулемет калибра 12,7 мм у штурмана, с боезапасом 190патронов;</w:t>
      </w:r>
    </w:p>
    <w:p w14:paraId="1B3C7677"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подвижной пулемет калибра 12,7 мм у стрелка-радиста, с боезапасом 250 патронов;</w:t>
      </w:r>
    </w:p>
    <w:p w14:paraId="79997C5B"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люковый пулемет калибра 12,7 мм у стрелка, с боезапасом 200 патронов.</w:t>
      </w:r>
    </w:p>
    <w:p w14:paraId="1044BA0E"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1'омбовая нагрузка:</w:t>
      </w:r>
    </w:p>
    <w:p w14:paraId="37A25C77"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нормальная - 1000 кг. максимальная</w:t>
      </w:r>
    </w:p>
    <w:p w14:paraId="6AC20F9A"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с перегрузкой - 3000 кг.</w:t>
      </w:r>
    </w:p>
    <w:p w14:paraId="31DD8700"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Утвердить программу выпуска самолетов Ту-2 на заводе № 23 на 1943 год в количестве 32 единиц, из них:</w:t>
      </w:r>
    </w:p>
    <w:p w14:paraId="1A90CEBD" w14:textId="77777777" w:rsidR="00390DD4" w:rsidRPr="00271E51" w:rsidRDefault="00390DD4" w:rsidP="00271E51">
      <w:pPr>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в сентябре</w:t>
      </w:r>
      <w:r w:rsidRPr="00271E51">
        <w:rPr>
          <w:rFonts w:ascii="Times New Roman" w:eastAsia="Times New Roman" w:hAnsi="Times New Roman"/>
          <w:i/>
          <w:iCs/>
          <w:color w:val="000000" w:themeColor="text1"/>
          <w:sz w:val="16"/>
          <w:szCs w:val="16"/>
        </w:rPr>
        <w:t xml:space="preserve"> -2</w:t>
      </w:r>
      <w:r w:rsidRPr="00271E51">
        <w:rPr>
          <w:rFonts w:ascii="Times New Roman" w:eastAsia="Batang" w:hAnsi="Times New Roman"/>
          <w:color w:val="000000" w:themeColor="text1"/>
          <w:sz w:val="16"/>
          <w:szCs w:val="16"/>
        </w:rPr>
        <w:t xml:space="preserve"> самолета</w:t>
      </w:r>
    </w:p>
    <w:p w14:paraId="4057E3EE" w14:textId="77777777" w:rsidR="00390DD4" w:rsidRPr="00271E51" w:rsidRDefault="00390DD4" w:rsidP="00271E51">
      <w:pPr>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в октябре -5 самолетов</w:t>
      </w:r>
    </w:p>
    <w:p w14:paraId="06CFEEF1"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в ноябре - 10 самолетов</w:t>
      </w:r>
    </w:p>
    <w:p w14:paraId="720E3FFB"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в декабре- 15 самолетов</w:t>
      </w:r>
    </w:p>
    <w:p w14:paraId="27B97560"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Самолеты Ту-2 на заводе 36 23 выпускать в упрощенном виде, с сокращением количества механизмов гидравличе</w:t>
      </w:r>
      <w:r w:rsidRPr="00271E51">
        <w:rPr>
          <w:rFonts w:ascii="Times New Roman" w:eastAsia="Batang" w:hAnsi="Times New Roman"/>
          <w:color w:val="000000" w:themeColor="text1"/>
          <w:sz w:val="16"/>
          <w:szCs w:val="16"/>
        </w:rPr>
        <w:softHyphen/>
        <w:t>ского управления. электроагрегатов, без тормозных реше</w:t>
      </w:r>
      <w:r w:rsidRPr="00271E51">
        <w:rPr>
          <w:rFonts w:ascii="Times New Roman" w:eastAsia="Batang" w:hAnsi="Times New Roman"/>
          <w:color w:val="000000" w:themeColor="text1"/>
          <w:sz w:val="16"/>
          <w:szCs w:val="16"/>
        </w:rPr>
        <w:softHyphen/>
        <w:t>ток, с сокращенной длиной электропроводки и трубопроводов гидравлики.</w:t>
      </w:r>
    </w:p>
    <w:p w14:paraId="10D89AA7"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Главному конструктору - т.Туполеву пред"явить на испытание к 25 июля с.г. самолет Ту-2 с 2М-82ФН, с внесе</w:t>
      </w:r>
      <w:r w:rsidRPr="00271E51">
        <w:rPr>
          <w:rFonts w:ascii="Times New Roman" w:eastAsia="Batang" w:hAnsi="Times New Roman"/>
          <w:color w:val="000000" w:themeColor="text1"/>
          <w:sz w:val="16"/>
          <w:szCs w:val="16"/>
        </w:rPr>
        <w:softHyphen/>
        <w:t>нием в него указанное упрощений.</w:t>
      </w:r>
    </w:p>
    <w:p w14:paraId="60B1A3AD"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Начальнику НИИ ВВС КА - тЛосюкову и главному кон</w:t>
      </w:r>
      <w:r w:rsidRPr="00271E51">
        <w:rPr>
          <w:rFonts w:ascii="Times New Roman" w:eastAsia="Batang" w:hAnsi="Times New Roman"/>
          <w:color w:val="000000" w:themeColor="text1"/>
          <w:sz w:val="16"/>
          <w:szCs w:val="16"/>
        </w:rPr>
        <w:softHyphen/>
        <w:t>структору - т.Туполеву провести совместные испытания уп</w:t>
      </w:r>
      <w:r w:rsidRPr="00271E51">
        <w:rPr>
          <w:rFonts w:ascii="Times New Roman" w:eastAsia="Batang" w:hAnsi="Times New Roman"/>
          <w:color w:val="000000" w:themeColor="text1"/>
          <w:sz w:val="16"/>
          <w:szCs w:val="16"/>
        </w:rPr>
        <w:softHyphen/>
        <w:t>рощенного самолета Ту-2 в двухнедельный срок.</w:t>
      </w:r>
    </w:p>
    <w:p w14:paraId="19E107BB" w14:textId="77777777" w:rsidR="00390DD4" w:rsidRPr="00271E51" w:rsidRDefault="00390DD4" w:rsidP="00271E51">
      <w:pPr>
        <w:tabs>
          <w:tab w:val="left" w:pos="980"/>
        </w:tabs>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2. Обязать директора завода № 32 - т.Ребенко и главного конструктора завода - т.Торопова изготовить, а ответственного руководителя опытного завода № 156 - т.Ту</w:t>
      </w:r>
      <w:r w:rsidRPr="00271E51">
        <w:rPr>
          <w:rFonts w:ascii="Times New Roman" w:eastAsia="Batang" w:hAnsi="Times New Roman"/>
          <w:color w:val="000000" w:themeColor="text1"/>
          <w:sz w:val="16"/>
          <w:szCs w:val="16"/>
        </w:rPr>
        <w:softHyphen/>
        <w:t>полева установить на самолет Ту-2 верхнюю задняя стрел</w:t>
      </w:r>
      <w:r w:rsidRPr="00271E51">
        <w:rPr>
          <w:rFonts w:ascii="Times New Roman" w:eastAsia="Batang" w:hAnsi="Times New Roman"/>
          <w:color w:val="000000" w:themeColor="text1"/>
          <w:sz w:val="16"/>
          <w:szCs w:val="16"/>
        </w:rPr>
        <w:softHyphen/>
        <w:t>ковую установку с пушкой Швак 20 мм л пред"явить ВВС КА на совместные испытания к 1 сентября 1</w:t>
      </w:r>
      <w:r w:rsidRPr="00271E51">
        <w:rPr>
          <w:rFonts w:ascii="Times New Roman" w:eastAsia="Batang" w:hAnsi="Times New Roman"/>
          <w:color w:val="000000" w:themeColor="text1"/>
          <w:sz w:val="16"/>
          <w:szCs w:val="16"/>
          <w:lang w:val="en-US"/>
        </w:rPr>
        <w:t>S</w:t>
      </w:r>
      <w:r w:rsidRPr="00271E51">
        <w:rPr>
          <w:rFonts w:ascii="Times New Roman" w:eastAsia="Batang" w:hAnsi="Times New Roman"/>
          <w:color w:val="000000" w:themeColor="text1"/>
          <w:sz w:val="16"/>
          <w:szCs w:val="16"/>
        </w:rPr>
        <w:t>43 года.</w:t>
      </w:r>
    </w:p>
    <w:p w14:paraId="68F24947" w14:textId="77777777" w:rsidR="00390DD4" w:rsidRPr="00271E51" w:rsidRDefault="00390DD4" w:rsidP="00271E51">
      <w:pPr>
        <w:tabs>
          <w:tab w:val="left" w:pos="945"/>
        </w:tabs>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3. Самолет Ил-4 с производства на заводе</w:t>
      </w:r>
      <w:r w:rsidRPr="00271E51">
        <w:rPr>
          <w:rFonts w:ascii="Times New Roman" w:eastAsia="Batang" w:hAnsi="Times New Roman"/>
          <w:i/>
          <w:iCs/>
          <w:color w:val="000000" w:themeColor="text1"/>
          <w:sz w:val="16"/>
          <w:szCs w:val="16"/>
        </w:rPr>
        <w:t xml:space="preserve"> Уз</w:t>
      </w:r>
      <w:r w:rsidRPr="00271E51">
        <w:rPr>
          <w:rFonts w:ascii="Times New Roman" w:eastAsia="Batang" w:hAnsi="Times New Roman"/>
          <w:color w:val="000000" w:themeColor="text1"/>
          <w:sz w:val="16"/>
          <w:szCs w:val="16"/>
        </w:rPr>
        <w:t xml:space="preserve"> 23 снять.</w:t>
      </w:r>
    </w:p>
    <w:p w14:paraId="31F21969" w14:textId="77777777" w:rsidR="00390DD4" w:rsidRPr="00271E51" w:rsidRDefault="00390DD4"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Разрешить заводу № 23 сдать АДД из имеющихся заде</w:t>
      </w:r>
      <w:r w:rsidRPr="00271E51">
        <w:rPr>
          <w:rFonts w:ascii="Times New Roman" w:eastAsia="Batang" w:hAnsi="Times New Roman"/>
          <w:color w:val="000000" w:themeColor="text1"/>
          <w:sz w:val="16"/>
          <w:szCs w:val="16"/>
        </w:rPr>
        <w:softHyphen/>
        <w:t>лов в июле-августе месяцах с.г. 40 самолетов Ил-4.</w:t>
      </w:r>
    </w:p>
    <w:p w14:paraId="2FC5AB36" w14:textId="77777777" w:rsidR="00390DD4" w:rsidRPr="00271E51" w:rsidRDefault="00390DD4" w:rsidP="00271E51">
      <w:pPr>
        <w:tabs>
          <w:tab w:val="left" w:pos="965"/>
        </w:tabs>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4. Обязать главного конструктора - т.Туполева подго</w:t>
      </w:r>
      <w:r w:rsidRPr="00271E51">
        <w:rPr>
          <w:rFonts w:ascii="Times New Roman" w:eastAsia="Batang" w:hAnsi="Times New Roman"/>
          <w:color w:val="000000" w:themeColor="text1"/>
          <w:sz w:val="16"/>
          <w:szCs w:val="16"/>
        </w:rPr>
        <w:softHyphen/>
        <w:t>товить к 18 июля с.г. чертежи в кальках упрощенного само</w:t>
      </w:r>
      <w:r w:rsidRPr="00271E51">
        <w:rPr>
          <w:rFonts w:ascii="Times New Roman" w:eastAsia="Batang" w:hAnsi="Times New Roman"/>
          <w:color w:val="000000" w:themeColor="text1"/>
          <w:sz w:val="16"/>
          <w:szCs w:val="16"/>
        </w:rPr>
        <w:softHyphen/>
        <w:t>лета Ту-2 для размножения серийных чертежей.</w:t>
      </w:r>
    </w:p>
    <w:p w14:paraId="4D45F6D5" w14:textId="77777777" w:rsidR="00390DD4" w:rsidRPr="00271E51" w:rsidRDefault="00390DD4" w:rsidP="00271E51">
      <w:pPr>
        <w:tabs>
          <w:tab w:val="left" w:pos="973"/>
        </w:tabs>
        <w:spacing w:after="0" w:line="240" w:lineRule="auto"/>
        <w:jc w:val="both"/>
        <w:rPr>
          <w:rFonts w:ascii="Times New Roman" w:hAnsi="Times New Roman"/>
          <w:color w:val="000000" w:themeColor="text1"/>
          <w:sz w:val="16"/>
          <w:szCs w:val="16"/>
        </w:rPr>
      </w:pPr>
      <w:r w:rsidRPr="00271E51">
        <w:rPr>
          <w:rFonts w:ascii="Times New Roman" w:eastAsia="Batang" w:hAnsi="Times New Roman"/>
          <w:color w:val="000000" w:themeColor="text1"/>
          <w:sz w:val="16"/>
          <w:szCs w:val="16"/>
        </w:rPr>
        <w:t>5. Обязать директора завода № 166 - т.Соколова отпе</w:t>
      </w:r>
      <w:r w:rsidRPr="00271E51">
        <w:rPr>
          <w:rFonts w:ascii="Times New Roman" w:eastAsia="Batang" w:hAnsi="Times New Roman"/>
          <w:color w:val="000000" w:themeColor="text1"/>
          <w:sz w:val="16"/>
          <w:szCs w:val="16"/>
        </w:rPr>
        <w:softHyphen/>
        <w:t>чатать до 25.УП,с.г. для завода № 23 8 комплектов синек - чертежей по калькам главного конструктора и передать за</w:t>
      </w:r>
      <w:r w:rsidRPr="00271E51">
        <w:rPr>
          <w:rFonts w:ascii="Times New Roman" w:hAnsi="Times New Roman"/>
          <w:color w:val="000000" w:themeColor="text1"/>
          <w:sz w:val="16"/>
          <w:szCs w:val="16"/>
        </w:rPr>
        <w:t>воду № 23: имеющиеся чертежи, оснастку, плазы, шаблоны, техническую документацию, заделы, инструмент, приспособ</w:t>
      </w:r>
      <w:r w:rsidRPr="00271E51">
        <w:rPr>
          <w:rFonts w:ascii="Times New Roman" w:hAnsi="Times New Roman"/>
          <w:color w:val="000000" w:themeColor="text1"/>
          <w:sz w:val="16"/>
          <w:szCs w:val="16"/>
        </w:rPr>
        <w:softHyphen/>
        <w:t>ления, материалы, полуфабрикаты и готовые изделия по са</w:t>
      </w:r>
      <w:r w:rsidRPr="00271E51">
        <w:rPr>
          <w:rFonts w:ascii="Times New Roman" w:hAnsi="Times New Roman"/>
          <w:color w:val="000000" w:themeColor="text1"/>
          <w:sz w:val="16"/>
          <w:szCs w:val="16"/>
        </w:rPr>
        <w:softHyphen/>
        <w:t>молету Ту-2.</w:t>
      </w:r>
    </w:p>
    <w:p w14:paraId="101B1669" w14:textId="77777777" w:rsidR="00390DD4" w:rsidRPr="00271E51" w:rsidRDefault="00390DD4" w:rsidP="00271E51">
      <w:pPr>
        <w:tabs>
          <w:tab w:val="left" w:pos="97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наркомов: среднего машиностроения, танко- лрома, электропрома, химпфома, Наркомчермет и другие нар</w:t>
      </w:r>
      <w:r w:rsidRPr="00271E51">
        <w:rPr>
          <w:rFonts w:ascii="Times New Roman" w:hAnsi="Times New Roman"/>
          <w:color w:val="000000" w:themeColor="text1"/>
          <w:sz w:val="16"/>
          <w:szCs w:val="16"/>
        </w:rPr>
        <w:softHyphen/>
        <w:t>коматы - восстановить производство агрегатов, полуфабрика</w:t>
      </w:r>
      <w:r w:rsidRPr="00271E51">
        <w:rPr>
          <w:rFonts w:ascii="Times New Roman" w:hAnsi="Times New Roman"/>
          <w:color w:val="000000" w:themeColor="text1"/>
          <w:sz w:val="16"/>
          <w:szCs w:val="16"/>
        </w:rPr>
        <w:softHyphen/>
        <w:t>тов, штамповок, деталей и материалов по самолету Ту-2 на всех заводах, производивших</w:t>
      </w:r>
      <w:r w:rsidRPr="00271E51">
        <w:rPr>
          <w:rStyle w:val="Consolas10pt"/>
          <w:rFonts w:ascii="Times New Roman" w:hAnsi="Times New Roman" w:cs="Times New Roman"/>
          <w:color w:val="000000" w:themeColor="text1"/>
          <w:sz w:val="16"/>
          <w:szCs w:val="16"/>
        </w:rPr>
        <w:t xml:space="preserve"> ех</w:t>
      </w:r>
      <w:r w:rsidRPr="00271E51">
        <w:rPr>
          <w:rFonts w:ascii="Times New Roman" w:hAnsi="Times New Roman"/>
          <w:color w:val="000000" w:themeColor="text1"/>
          <w:sz w:val="16"/>
          <w:szCs w:val="16"/>
        </w:rPr>
        <w:t xml:space="preserve"> ранее до консервации са</w:t>
      </w:r>
      <w:r w:rsidRPr="00271E51">
        <w:rPr>
          <w:rFonts w:ascii="Times New Roman" w:hAnsi="Times New Roman"/>
          <w:color w:val="000000" w:themeColor="text1"/>
          <w:sz w:val="16"/>
          <w:szCs w:val="16"/>
        </w:rPr>
        <w:softHyphen/>
        <w:t>молета Ту-2, в об"вме и сроки по согласованию с НКАП.</w:t>
      </w:r>
    </w:p>
    <w:p w14:paraId="7A376321" w14:textId="77777777" w:rsidR="00390DD4" w:rsidRPr="00271E51" w:rsidRDefault="00390DD4" w:rsidP="00271E51">
      <w:pPr>
        <w:tabs>
          <w:tab w:val="left" w:pos="98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НКПС - т.Кагановича обеспечить в течение июля перевозку из г.Омска в Москву , по заявкам НКАП, заде</w:t>
      </w:r>
      <w:r w:rsidRPr="00271E51">
        <w:rPr>
          <w:rFonts w:ascii="Times New Roman" w:hAnsi="Times New Roman"/>
          <w:color w:val="000000" w:themeColor="text1"/>
          <w:sz w:val="16"/>
          <w:szCs w:val="16"/>
        </w:rPr>
        <w:softHyphen/>
        <w:t>лов и оборудования по самолету Ту-2, рабочих и сотрудников ОКБ т.Туполева с их семьями.</w:t>
      </w:r>
    </w:p>
    <w:p w14:paraId="39E2D08A" w14:textId="77777777" w:rsidR="00390DD4" w:rsidRPr="00271E51" w:rsidRDefault="00390DD4" w:rsidP="00271E51">
      <w:pPr>
        <w:tabs>
          <w:tab w:val="left" w:pos="95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Разрешить в"езд в г.Москву и прописку конструк</w:t>
      </w:r>
      <w:r w:rsidRPr="00271E51">
        <w:rPr>
          <w:rFonts w:ascii="Times New Roman" w:hAnsi="Times New Roman"/>
          <w:color w:val="000000" w:themeColor="text1"/>
          <w:sz w:val="16"/>
          <w:szCs w:val="16"/>
        </w:rPr>
        <w:softHyphen/>
        <w:t>торам и рабочим ОКБ т.Туполева с членами их семей на ра</w:t>
      </w:r>
      <w:r w:rsidRPr="00271E51">
        <w:rPr>
          <w:rFonts w:ascii="Times New Roman" w:hAnsi="Times New Roman"/>
          <w:color w:val="000000" w:themeColor="text1"/>
          <w:sz w:val="16"/>
          <w:szCs w:val="16"/>
        </w:rPr>
        <w:softHyphen/>
        <w:t>нее занимаемой и на вновь предоставляемой жилплощади.</w:t>
      </w:r>
    </w:p>
    <w:p w14:paraId="4D67192C" w14:textId="77777777" w:rsidR="00390DD4" w:rsidRPr="00271E51" w:rsidRDefault="00390D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Наркомфин СССР - т.Зверева выделить Нар- комавиапрому из резервного фонда СНК СССР 10 миллионов рублей заводу № 23 на постановку серийного производства самолета Ту-2 (19414).</w:t>
      </w:r>
    </w:p>
    <w:p w14:paraId="073D7B10" w14:textId="77777777" w:rsidR="00EB45F6" w:rsidRPr="00271E51" w:rsidRDefault="00EB45F6"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6D2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года вышло по</w:t>
      </w:r>
      <w:r w:rsidRPr="00271E51">
        <w:rPr>
          <w:rFonts w:ascii="Times New Roman" w:hAnsi="Times New Roman"/>
          <w:color w:val="000000" w:themeColor="text1"/>
          <w:sz w:val="16"/>
          <w:szCs w:val="16"/>
        </w:rPr>
        <w:softHyphen/>
        <w:t>становление ГКО №3754 «О поста</w:t>
      </w:r>
      <w:r w:rsidRPr="00271E51">
        <w:rPr>
          <w:rFonts w:ascii="Times New Roman" w:hAnsi="Times New Roman"/>
          <w:color w:val="000000" w:themeColor="text1"/>
          <w:sz w:val="16"/>
          <w:szCs w:val="16"/>
        </w:rPr>
        <w:softHyphen/>
        <w:t>новке серийного производства само</w:t>
      </w:r>
      <w:r w:rsidRPr="00271E51">
        <w:rPr>
          <w:rFonts w:ascii="Times New Roman" w:hAnsi="Times New Roman"/>
          <w:color w:val="000000" w:themeColor="text1"/>
          <w:sz w:val="16"/>
          <w:szCs w:val="16"/>
        </w:rPr>
        <w:softHyphen/>
        <w:t>летов Ту-2 на заводе №23 в Моск</w:t>
      </w:r>
      <w:r w:rsidRPr="00271E51">
        <w:rPr>
          <w:rFonts w:ascii="Times New Roman" w:hAnsi="Times New Roman"/>
          <w:color w:val="000000" w:themeColor="text1"/>
          <w:sz w:val="16"/>
          <w:szCs w:val="16"/>
        </w:rPr>
        <w:softHyphen/>
        <w:t>ве», по которому было решено возоб</w:t>
      </w:r>
      <w:r w:rsidRPr="00271E51">
        <w:rPr>
          <w:rFonts w:ascii="Times New Roman" w:hAnsi="Times New Roman"/>
          <w:color w:val="000000" w:themeColor="text1"/>
          <w:sz w:val="16"/>
          <w:szCs w:val="16"/>
        </w:rPr>
        <w:softHyphen/>
        <w:t>новить выпуск более перспективного фронтового бомбардировщика Ту-2 с М-82, а выпуск Пе-2 продолжать с прежней силовой установкой. В том же 1943 году началась ус</w:t>
      </w:r>
      <w:r w:rsidRPr="00271E51">
        <w:rPr>
          <w:rFonts w:ascii="Times New Roman" w:hAnsi="Times New Roman"/>
          <w:color w:val="000000" w:themeColor="text1"/>
          <w:sz w:val="16"/>
          <w:szCs w:val="16"/>
        </w:rPr>
        <w:softHyphen/>
        <w:t>тановка моторов М-82 в серии и на тяжелые бомбардировщики Пе-8, но выпуск этих самолетов был очень ог</w:t>
      </w:r>
      <w:r w:rsidRPr="00271E51">
        <w:rPr>
          <w:rFonts w:ascii="Times New Roman" w:hAnsi="Times New Roman"/>
          <w:color w:val="000000" w:themeColor="text1"/>
          <w:sz w:val="16"/>
          <w:szCs w:val="16"/>
        </w:rPr>
        <w:softHyphen/>
        <w:t>раниченный (10723).</w:t>
      </w:r>
    </w:p>
    <w:p w14:paraId="06EB3E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18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 появилось постановление ГКО о запуске Ту-2 с этими двигателями в производство на заводе № 23.</w:t>
      </w:r>
    </w:p>
    <w:p w14:paraId="460A3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Москве собирались строить не совсем такие же самолеты, что в Омске. И дело было не только в моторах. Еще в конце осени 1942 г. Туполевым была выработана концепция "стандартного типа". В докладной записке в Кремль, датированной 17 декабря 1942 г., он писал: "Опыт Отечественной войны показывает, что до 90% задач, ставящихся перед бомбардировочной авиацией, не требуют универсального самолета и могут быть решены более упрощенным бомбардировщиком - "стандартного типа". Под ним Туполев понимал наиболее простой и дешевый в производстве и эксплуатации вариант машины с минимальным набором оборудования. В то же время его конструкция должна была предусматривать возможность доработки в специализированные модификации. К примеру, добавили тормозные решетки и автомат пикирования - получили пикирующий бомбардировщик. Убрали место штурмана с пулеметной установкой, заменив креслом для второго пилота с органами управления, - вот вам учебно-тре- нировочный самолет. У разведчика в бомбоотсек устанавливались дополнительный бензобак и фотоаппаратура. Наибольшие изменения требовались для доработки "стандартного типа" в дальний бомбардировщик. При этом предусматривалось смонтировать новые, более длинные, консоли крыла, увеличить площадь оперения и дополнить набор приборов и оборудования. В частности, на дальние бомбардировщики планировали ставить автомат курса АК-1 - что-то вроде примитивного автопилота.</w:t>
      </w:r>
    </w:p>
    <w:p w14:paraId="1007B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Многое, чем оснащался омский Ту-2, для "стандартного типа" сочли лишним. Убрали тормозные решетки и механизм их выпуска, но автомат пикирования оставили. Стабилизатор зафиксировали неподвижно, механизм его поворота сняли. Триммер теперь имелся только на правом руле направления. Моторы стали запускать не электроинерционными стартерами, а сжатым воздухом. Отказались от обогрева втулок пропеллеров теплым воздухом.</w:t>
      </w:r>
    </w:p>
    <w:p w14:paraId="1245CA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Уменьшили до 14 количество бензобаков, частично компенсировав потери увеличением объема оставшихся. Общий запас горючего теперь равнялся 2600 л вместо прежних 3000 л. Заливка топлива осуществлялась через пять, а не через семь горловин. Все это позволило укоротить трубопроводы и убрать часть арматуры.</w:t>
      </w:r>
    </w:p>
    <w:p w14:paraId="1A7A4C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Значительно упростили гидравлическую систему: ранее существовали две отдельные системы - высокого и низкого давления, теперь осталась одна - высокого. Гидравлический механизм переключения скоростей нагнетателей моторов заменили более простым механическим. Агрегаты гидросистемы перекомпоновали. В результате суммарная длина магистралей уменьшилась вчетверо, а боевая живучесть возросла. Отказались от дублирования некоторых приборов, приборные доски, стоявшие ранее на внутренних сторонах мотогондол, ликвидировали. Приборы, контролирующие работу двигателей, теперь располагались на доске пилота. Уменьшили количество осветительных ламп, сняли выдвижную фару ФСВ-200 и один из двух электрогенераторов (левый). Часть электросистемы перевели на однопровод- ную схему, причем использовали как экранировку гофр под обшивкой крыла. Одних проводов при этом стало на километр меньше.</w:t>
      </w:r>
    </w:p>
    <w:p w14:paraId="60E0A8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Носовые пулеметы ШКАС сочли лишними - 20-мм пушки и так обеспечивали достаточную огневую мощь. Упростили механизм питания пушек, убрав электроподтяг ленты. Сняли трубу прицела ПС-1 (окно для нее зашили дюралюминиевым листом), упростили механизм аварийного сброса бомб. Нормальная бомбовая нагрузка по-прежнему составляла 1000 кг, но максимальную ограничили до 2000 кг. При этом набор бомбодержателей, как и ранее, позволял при необходимости подвесить до 3000 кг.</w:t>
      </w:r>
    </w:p>
    <w:p w14:paraId="25BB0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Провели большую работу по стандартизации крепежа и других нормализованных деталей. В результате конструкторам удалось выгадать около 400 кг "лишней" массы и снизить плановую трудоемкость самолета на 3000 человеко-часов.</w:t>
      </w:r>
    </w:p>
    <w:p w14:paraId="13A44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Эскизный проект новой модификации разрабатывался бригадой С.М. Егера и был завершен к лету 1943 г. (11988).</w:t>
      </w:r>
    </w:p>
    <w:p w14:paraId="20C7A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2F9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решение ГКО, по которому ОКБ-156 модифицировало Ту-2, улучшив его летные и боевые качества. Согласно правительственному документу максимальную скорость бомбардировщика требовалось довести до 500 км/ч у земли и до 550 км/ч на высоте 5500 метров. Время набора высоты 5000 метров не должно было превышать 10 минут, а потолок - не ниже 9000 метров при дальности 2000 км с 1000 кг бомб.</w:t>
      </w:r>
    </w:p>
    <w:p w14:paraId="06C71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реализации требований Государственного Комитета Обороны серийный Ту-2 № 716 на московском заводе № 156 в июле 1943 года оснастили, прежде всего, новыми двигателями АШ-82ФН с непосредственным впрыском топлива и воздушными винтами АВ-5-167А (на серийных самолетах - АВ-5В-167). Затем герметизировали стыки консолей крыла с центропланом и мотогондолами, улучшили отделку поверхности крыла, стабилизатора и фюзеляжа зашпатле- вав все </w:t>
      </w:r>
      <w:r w:rsidRPr="00271E51">
        <w:rPr>
          <w:rFonts w:ascii="Times New Roman" w:hAnsi="Times New Roman"/>
          <w:color w:val="000000" w:themeColor="text1"/>
          <w:sz w:val="16"/>
          <w:szCs w:val="16"/>
        </w:rPr>
        <w:lastRenderedPageBreak/>
        <w:t>вмятины и отлакировав их. Сняли тормозные решетки, а носок центроплана сделали легкосъемным, облегчив доступ к тягам управления двигателями.</w:t>
      </w:r>
    </w:p>
    <w:p w14:paraId="1FA4BA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для улучшения обзора у стрелка люковой установки сделали два бортовых круглых окна. Ранее подвижный стабилизатор зафиксировали под углом 1 градус 10 минут. Сняли стояночный тормоз, упростили гидросистему и выполнили ряд других доработок. У стрел ка-радиста заменили пулемет ШКАС на установке ВУБ-2 "Берези- ным" калибра 12,7 мм. Такие же пулеметы имелись в люковой установке и у штурмана, а для стрельбы вперед - два орудия ШВАК. Снизили трудоемкость изготовления планера 15-20%.</w:t>
      </w:r>
    </w:p>
    <w:p w14:paraId="0DA5A1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машину передали в НИИ ВВС. На этапе государственных испытаний ведущими были инженер А.А. Соколов, летчики М.А. Нюхтиков и В.В. Лисицын. Испытания показали, что максимальная скорость увеличилась с 444 до 509 км/ч у земли, а на высоте - с 521 км/ч (3200 метров) до 547 км/ч (5400 метров). Практический потолок возрос с 9000 до 9500 метров, а дальность - на 120 км. Так появился Ту-2С (стандартный), а самолет № 716 стал его эталоном.</w:t>
      </w:r>
    </w:p>
    <w:p w14:paraId="2641A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этой странице и справа: опытный экземпляр Ту-2С, переделанный из самолета Ня 100716 Омского авиазавода в июле 1943 г.</w:t>
      </w:r>
    </w:p>
    <w:p w14:paraId="40DBE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Бомбардировщик облетали летчики-испытатели НИИ ВВС П.М. Стефановский, В.И. Жданов и Г.А. Ашитков, штурманы-испытатели Литвинчук и А.И. Старых. По их общему мнению обновленный Ту-2 хотя и обладал рядом дефектов, в том числе и унаследованных от предшественника, он все же заметно превосходил не только своего предшественника, но и Пе-2 с моторами М-82. Хотя, путевая устойчивость Ту-2 оставляла желать лучшего, а кабина пилота не отличалась комфортом и удобством (в разумных пределах конечно). Недостаточным был и обзор у штурмана, а из-за недоработанного фонаря его рабочее место постоянно задувало в полете. </w:t>
      </w:r>
    </w:p>
    <w:p w14:paraId="4F3B01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бомбовая нагрузка ос- опытного самолета талась прежняя - 2000 кг, но в случае при- Ту-2С N° 100716 менения самолета по переднему краю обороны противника Ту-2С мог поднимать ФАБ-3000.</w:t>
      </w:r>
    </w:p>
    <w:p w14:paraId="25BD7A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государственных испытаний провели несколько воздушных боев с одним из лучших истребителей люфтваффе FW 190А-4. На наборе высоты под углом 45 градусов "немец" только в конце горки в 1000 метров догонял Ту-2С.</w:t>
      </w:r>
    </w:p>
    <w:p w14:paraId="711F18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на высоте 1000 метров FW 190А-4 догонял Ту-2 и мог его атаковать, но сближение самолетов происходило очень медленно из-за небольшой разницы скоростей. Атака при догоне без преимуществ в высоте была возможна только строго в хвост, а спереди, повторить ее было очень трудно. Ту-2С за время разворота FW 190А-4 на 180 градусов уходил на 2,5-3 км, не оставляя немецкому пилоту шансов зайти в хвост.</w:t>
      </w:r>
    </w:p>
    <w:p w14:paraId="50F3F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преимущество FW 190А-4 в скорости возрастало. На 4500 метрах истребителю вести воздушный бой с бомбардировщиком становилось легче. Но, несмотря на меньший радиус виража, вражеский самолет все время находился в секторе обстрела верхних пулеметов Ту-2С. Но что интересно, от Ла-5 бомбардировщик не мог оторваться на всех высотах, поскольку атаки советского истребителя были более стремительны, чем FW 190А-4.</w:t>
      </w:r>
    </w:p>
    <w:p w14:paraId="3A164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Появление более мощного двигателя АШ-83 не прошло незамеченным в ОКБ Туполева и их установили на Ту-2С № 716 (12035).</w:t>
      </w:r>
    </w:p>
    <w:p w14:paraId="04D937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29A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N 3755сс о том, что 21 завод в 3 кв. должен был резко увеличить выпуск Ла-5 М-82 ФН с металлическим винтом. Суточный выпуск должен был быть доведен до 15 машин (вместо 10-12 в конце 1942).</w:t>
      </w:r>
    </w:p>
    <w:p w14:paraId="052B9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4F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3755 Об организации на заводе N340 Наркомсудпрома ремонта и переделки моторов АМ-34 для установки их на боевые катера.РГАНИР, Фонд ГКО, д. 134, лл. 10-11, 12-17 (11012).</w:t>
      </w:r>
    </w:p>
    <w:p w14:paraId="460F33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733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июля 1943 г. в соответствии с пост. ГКО № 3755 на заводе (Завод № 340 ИМ.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xml:space="preserve">.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Горького, ГУП «Зеленодольский завод им. А.М, Горького», ОАО «Зеленодольский судостроительный завод им. А.М. Горького» /г. Паратск,  г. Зеленодольск/ /Татарстан  г. Зеленодольск ул. Заводская, 5/ /Московское представительство:  г. Москва ул. Б. Татарская, 13/) был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(военнообязаных и выпускников ФЗО) (11982).</w:t>
      </w:r>
    </w:p>
    <w:p w14:paraId="0AE20B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FC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3756 О материально-техническом обеспечении Наркомавиапрома в III квартале 1943 года.РГАНИР, Фонд ГКО, д. 134, лл. 18-34, 35-135 (11012).</w:t>
      </w:r>
    </w:p>
    <w:p w14:paraId="696C3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BD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3757 О материально-техническом обеспечении предприятий и строительств Наркомата электростанций в III квартале 1943 года.РГАНИР, Фонд ГКО, д. 134, лл. 136-138, 139-174 (11012).</w:t>
      </w:r>
    </w:p>
    <w:p w14:paraId="7A10F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5FE5B"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9BD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D1A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 Морозо в письме В. Ма</w:t>
      </w:r>
      <w:r w:rsidRPr="00271E51">
        <w:rPr>
          <w:rFonts w:ascii="Times New Roman" w:hAnsi="Times New Roman"/>
          <w:color w:val="000000" w:themeColor="text1"/>
          <w:sz w:val="16"/>
          <w:szCs w:val="16"/>
        </w:rPr>
        <w:softHyphen/>
        <w:t>лышеву писал: «Уже закончены исследо</w:t>
      </w:r>
      <w:r w:rsidRPr="00271E51">
        <w:rPr>
          <w:rFonts w:ascii="Times New Roman" w:hAnsi="Times New Roman"/>
          <w:color w:val="000000" w:themeColor="text1"/>
          <w:sz w:val="16"/>
          <w:szCs w:val="16"/>
        </w:rPr>
        <w:softHyphen/>
        <w:t>вания недостатков компоновочного решения танка Т-34, кото</w:t>
      </w:r>
      <w:r w:rsidRPr="00271E51">
        <w:rPr>
          <w:rFonts w:ascii="Times New Roman" w:hAnsi="Times New Roman"/>
          <w:color w:val="000000" w:themeColor="text1"/>
          <w:sz w:val="16"/>
          <w:szCs w:val="16"/>
        </w:rPr>
        <w:softHyphen/>
        <w:t>рые указывают, что значительно улучшить пространство бое</w:t>
      </w:r>
      <w:r w:rsidRPr="00271E51">
        <w:rPr>
          <w:rFonts w:ascii="Times New Roman" w:hAnsi="Times New Roman"/>
          <w:color w:val="000000" w:themeColor="text1"/>
          <w:sz w:val="16"/>
          <w:szCs w:val="16"/>
        </w:rPr>
        <w:softHyphen/>
        <w:t>вого отделения можно за счет отказа от размещения двигате</w:t>
      </w:r>
      <w:r w:rsidRPr="00271E51">
        <w:rPr>
          <w:rFonts w:ascii="Times New Roman" w:hAnsi="Times New Roman"/>
          <w:color w:val="000000" w:themeColor="text1"/>
          <w:sz w:val="16"/>
          <w:szCs w:val="16"/>
        </w:rPr>
        <w:softHyphen/>
        <w:t>ля и трансмиссии в корме нового танка или более плотной ком</w:t>
      </w:r>
      <w:r w:rsidRPr="00271E51">
        <w:rPr>
          <w:rFonts w:ascii="Times New Roman" w:hAnsi="Times New Roman"/>
          <w:color w:val="000000" w:themeColor="text1"/>
          <w:sz w:val="16"/>
          <w:szCs w:val="16"/>
        </w:rPr>
        <w:softHyphen/>
        <w:t>поновкой моторного аггрегата и отделения в целом...</w:t>
      </w:r>
    </w:p>
    <w:p w14:paraId="548BF6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видим, что это возможно осуществить сегодня за счет размещения двигательного аггрегата поперек хода машины по схеме,изображенной на черт. 2. Прошу Вашего указания об из</w:t>
      </w:r>
      <w:r w:rsidRPr="00271E51">
        <w:rPr>
          <w:rFonts w:ascii="Times New Roman" w:hAnsi="Times New Roman"/>
          <w:color w:val="000000" w:themeColor="text1"/>
          <w:sz w:val="16"/>
          <w:szCs w:val="16"/>
        </w:rPr>
        <w:softHyphen/>
        <w:t>готовлении ходового макета танка по данной схеме и включе</w:t>
      </w:r>
      <w:r w:rsidRPr="00271E51">
        <w:rPr>
          <w:rFonts w:ascii="Times New Roman" w:hAnsi="Times New Roman"/>
          <w:color w:val="000000" w:themeColor="text1"/>
          <w:sz w:val="16"/>
          <w:szCs w:val="16"/>
        </w:rPr>
        <w:softHyphen/>
        <w:t>нии программы его испытаний в план следующего полугодия...»</w:t>
      </w:r>
    </w:p>
    <w:p w14:paraId="188724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 ходе обсуждения эскиза в ОГК НКТП, види</w:t>
      </w:r>
      <w:r w:rsidRPr="00271E51">
        <w:rPr>
          <w:rFonts w:ascii="Times New Roman" w:hAnsi="Times New Roman"/>
          <w:color w:val="000000" w:themeColor="text1"/>
          <w:sz w:val="16"/>
          <w:szCs w:val="16"/>
        </w:rPr>
        <w:softHyphen/>
        <w:t>мо, было принято решение, что предложенную схему про</w:t>
      </w:r>
      <w:r w:rsidRPr="00271E51">
        <w:rPr>
          <w:rFonts w:ascii="Times New Roman" w:hAnsi="Times New Roman"/>
          <w:color w:val="000000" w:themeColor="text1"/>
          <w:sz w:val="16"/>
          <w:szCs w:val="16"/>
        </w:rPr>
        <w:softHyphen/>
        <w:t>ще реализовать не в существующем корпусе Т-34, а в тан</w:t>
      </w:r>
      <w:r w:rsidRPr="00271E51">
        <w:rPr>
          <w:rFonts w:ascii="Times New Roman" w:hAnsi="Times New Roman"/>
          <w:color w:val="000000" w:themeColor="text1"/>
          <w:sz w:val="16"/>
          <w:szCs w:val="16"/>
        </w:rPr>
        <w:softHyphen/>
        <w:t>ке нового типа с учетом переработки не только силового отделения, но также отделения управления и боевого. Очевидно, что тут же возникло предложение реализовать на данном танке все новшества, разработанные в ходе войны в системах питания, охлаждения, трансмиссии и подвески Т-34.</w:t>
      </w:r>
    </w:p>
    <w:p w14:paraId="137F2A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завершение работ с Т-43, Вячеслав Малы</w:t>
      </w:r>
      <w:r w:rsidRPr="00271E51">
        <w:rPr>
          <w:rFonts w:ascii="Times New Roman" w:hAnsi="Times New Roman"/>
          <w:color w:val="000000" w:themeColor="text1"/>
          <w:sz w:val="16"/>
          <w:szCs w:val="16"/>
        </w:rPr>
        <w:softHyphen/>
        <w:t>шев все-таки активно поддерживал создание нового танка и даже смог «пробить» приоритетные работы над ним не</w:t>
      </w:r>
      <w:r w:rsidRPr="00271E51">
        <w:rPr>
          <w:rFonts w:ascii="Times New Roman" w:hAnsi="Times New Roman"/>
          <w:color w:val="000000" w:themeColor="text1"/>
          <w:sz w:val="16"/>
          <w:szCs w:val="16"/>
        </w:rPr>
        <w:softHyphen/>
        <w:t>посредственно в ГКО.</w:t>
      </w:r>
    </w:p>
    <w:p w14:paraId="109785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инициатива отделов 520 и 540 УВЗ бы</w:t>
      </w:r>
      <w:r w:rsidRPr="00271E51">
        <w:rPr>
          <w:rFonts w:ascii="Times New Roman" w:hAnsi="Times New Roman"/>
          <w:color w:val="000000" w:themeColor="text1"/>
          <w:sz w:val="16"/>
          <w:szCs w:val="16"/>
        </w:rPr>
        <w:softHyphen/>
        <w:t>ла «наказана» не только открытием заказа на создание нового танка (чему все были, несомненно, рады), но также и установлением ГКО довольно жестких сроков по его готовности к заводским полигонным испытаниям (их должны были провести не позднее 10 января 1944 г.).</w:t>
      </w:r>
    </w:p>
    <w:p w14:paraId="1FFAAD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изготовлении опытного образца сотрудники УВЗ столкнулись с рядом серьезных проблем, к которым относи</w:t>
      </w:r>
      <w:r w:rsidRPr="00271E51">
        <w:rPr>
          <w:rFonts w:ascii="Times New Roman" w:hAnsi="Times New Roman"/>
          <w:color w:val="000000" w:themeColor="text1"/>
          <w:sz w:val="16"/>
          <w:szCs w:val="16"/>
        </w:rPr>
        <w:softHyphen/>
        <w:t>лась, например, нарезка зубчатого венца башни диаметром более 1600 мм, так как карусельные станки для такой ответ</w:t>
      </w:r>
      <w:r w:rsidRPr="00271E51">
        <w:rPr>
          <w:rFonts w:ascii="Times New Roman" w:hAnsi="Times New Roman"/>
          <w:color w:val="000000" w:themeColor="text1"/>
          <w:sz w:val="16"/>
          <w:szCs w:val="16"/>
        </w:rPr>
        <w:softHyphen/>
        <w:t>ственной операции ожидались на заводе лишь к февралю. ЧКЗ, проделавший такую операцию для Т-43-П и опытных Т-34-85, лихорадило от большого объема работ по освоению ИС-122, а завод № 112 мужественно переключался на про</w:t>
      </w:r>
      <w:r w:rsidRPr="00271E51">
        <w:rPr>
          <w:rFonts w:ascii="Times New Roman" w:hAnsi="Times New Roman"/>
          <w:color w:val="000000" w:themeColor="text1"/>
          <w:sz w:val="16"/>
          <w:szCs w:val="16"/>
        </w:rPr>
        <w:softHyphen/>
        <w:t>грамму Т-34-85. Поэтому для проведения предварительных испытаний первый образец Т-44 по разрешению наркома танковой промышленности был оснащен опытной башней танка Т-43 с уширенным до 1600 мм погоном. На танк был установлен также опытный двигатель В-2-УМ, мощностью 520 л.с. (также созданный для Т-43 из В-2-ИС). Электро- и радиооборудование первого Т-44 были переставлены с ко</w:t>
      </w:r>
      <w:r w:rsidRPr="00271E51">
        <w:rPr>
          <w:rFonts w:ascii="Times New Roman" w:hAnsi="Times New Roman"/>
          <w:color w:val="000000" w:themeColor="text1"/>
          <w:sz w:val="16"/>
          <w:szCs w:val="16"/>
        </w:rPr>
        <w:softHyphen/>
        <w:t>мандирского Т-34-85 (второго опытного образца). Таким об</w:t>
      </w:r>
      <w:r w:rsidRPr="00271E51">
        <w:rPr>
          <w:rFonts w:ascii="Times New Roman" w:hAnsi="Times New Roman"/>
          <w:color w:val="000000" w:themeColor="text1"/>
          <w:sz w:val="16"/>
          <w:szCs w:val="16"/>
        </w:rPr>
        <w:softHyphen/>
        <w:t>разом, первый образец Т-44 был уникален во многих отно</w:t>
      </w:r>
      <w:r w:rsidRPr="00271E51">
        <w:rPr>
          <w:rFonts w:ascii="Times New Roman" w:hAnsi="Times New Roman"/>
          <w:color w:val="000000" w:themeColor="text1"/>
          <w:sz w:val="16"/>
          <w:szCs w:val="16"/>
        </w:rPr>
        <w:softHyphen/>
        <w:t>шениях, представляя собой конгломерат узлов разных опыт</w:t>
      </w:r>
      <w:r w:rsidRPr="00271E51">
        <w:rPr>
          <w:rFonts w:ascii="Times New Roman" w:hAnsi="Times New Roman"/>
          <w:color w:val="000000" w:themeColor="text1"/>
          <w:sz w:val="16"/>
          <w:szCs w:val="16"/>
        </w:rPr>
        <w:softHyphen/>
        <w:t>ных уральских танков, вставленных в корпус нового типа (11135).</w:t>
      </w:r>
    </w:p>
    <w:p w14:paraId="6EE647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47392" w14:textId="77777777" w:rsidR="009011C5" w:rsidRPr="00271E51" w:rsidRDefault="009011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17 июля 1943 года переделки и снижение максимальной скорости СУ-15 до 30 км/ч были утверждены постановлением ГКО №3760сс.</w:t>
      </w:r>
    </w:p>
    <w:p w14:paraId="441257C5" w14:textId="77777777" w:rsidR="009011C5" w:rsidRPr="00271E51" w:rsidRDefault="009011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Переделанная подобным образом самоходная установка получила обозначение СУ-15М. Параллельно похожим образом была переделана СУ-38, получившая после этого новое обозначение СУ-16. Ещё большим метаморфозам подверглась СУ-74. Но уже в начале июня было понятно, что СУ-15М выглядит предпочтительнее. Её боевое отделение было скомпоновано лучше, чем у конкурентов, и даже первый экземпляр с кучей недочётов оказался более надёжным, чем СУ-12 и не уступал по надёжности СУ-38. В соответствии с постановлением ГКО №3703 сс 8 июля 1943 года завод №38 получил план на выпуск установочной партии из 25 СУ-15М. 24 июля в сборке находилось пять СУ-15М, к 1 августа была собрана вся партия из 25 машин. Об изготовлении некоего второго опытного образца СУ-15, о котором говорится в ряде публикаций, не шло и речи. Приказом Народного комиссариата танковой промышленности (НКТП) №360 от 9 июля 1943 года на 3-й квартал 1943 года был запланирован выпуск 225 СУ-15М (17728).</w:t>
      </w:r>
    </w:p>
    <w:p w14:paraId="0EBDEF18" w14:textId="77777777" w:rsidR="009011C5" w:rsidRPr="00271E51" w:rsidRDefault="009011C5" w:rsidP="00271E51">
      <w:pPr>
        <w:pStyle w:val="12a"/>
        <w:shd w:val="clear" w:color="auto" w:fill="auto"/>
        <w:spacing w:after="0" w:line="240" w:lineRule="auto"/>
        <w:jc w:val="both"/>
        <w:rPr>
          <w:color w:val="000000" w:themeColor="text1"/>
          <w:sz w:val="16"/>
          <w:szCs w:val="16"/>
        </w:rPr>
      </w:pPr>
    </w:p>
    <w:p w14:paraId="278A2C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 было СООБЩЕНИЕ ЗАМЕСТИТЕЛЯ ПРЕДСЕДАТЕЛЯ В/О «ТЕХНОЭКСПОРТ» НАЧАЛЬНИКУ УПРАВЛЕНИЯ СНАБЖЕНИЯ ГАВТУ КА ОБ АВТОМОБИЛЕ-АМФИБИИ ФИРМЫ ФОРД №1111/40</w:t>
      </w:r>
    </w:p>
    <w:p w14:paraId="7AEC7B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Нами получено сообщение из Америки с информацией по новой модели автомобиля амфибии, построенной фирмой «Форд». Этот автомобиль-амфибия принят на вооружение армии в США.</w:t>
      </w:r>
    </w:p>
    <w:p w14:paraId="5D3911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высылаю Вам краткое описание особенностей оборудования данной машины, несколь</w:t>
      </w:r>
      <w:r w:rsidRPr="00271E51">
        <w:rPr>
          <w:rFonts w:ascii="Times New Roman" w:hAnsi="Times New Roman"/>
          <w:color w:val="000000" w:themeColor="text1"/>
          <w:sz w:val="16"/>
          <w:szCs w:val="16"/>
        </w:rPr>
        <w:softHyphen/>
        <w:t>ко образцов которой находятся в пути к нашим портам на Дальнем Востоке.</w:t>
      </w:r>
    </w:p>
    <w:p w14:paraId="714E8C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Приложение — упомянутое на 2 листах.</w:t>
      </w:r>
    </w:p>
    <w:p w14:paraId="6D8290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председателя в/о «Техноэкспорт»</w:t>
      </w:r>
    </w:p>
    <w:p w14:paraId="44E60E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Леденев</w:t>
      </w:r>
    </w:p>
    <w:p w14:paraId="48D92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11593. Д. 108. Л. 55. Подлинник (11403).</w:t>
      </w:r>
    </w:p>
    <w:p w14:paraId="4CCD2B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E6A77" w14:textId="77777777" w:rsidR="00974AE3" w:rsidRPr="00271E51" w:rsidRDefault="00974AE3"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17 по 20 июля 1943 года в соответствии с постановлением Го</w:t>
      </w:r>
      <w:r w:rsidRPr="00271E51">
        <w:rPr>
          <w:rFonts w:ascii="Times New Roman" w:cs="Times New Roman"/>
          <w:color w:val="000000" w:themeColor="text1"/>
          <w:spacing w:val="0"/>
        </w:rPr>
        <w:softHyphen/>
        <w:t>сударственного Комитета Обороны № 3092сс «Об улучшении каче</w:t>
      </w:r>
      <w:r w:rsidRPr="00271E51">
        <w:rPr>
          <w:rFonts w:ascii="Times New Roman" w:cs="Times New Roman"/>
          <w:color w:val="000000" w:themeColor="text1"/>
          <w:spacing w:val="0"/>
        </w:rPr>
        <w:softHyphen/>
        <w:t>ства танков, выпускаемых Наркомтанкопро- мом и Наркомсредмашем»проходил испытания КВ-1С № 30711.</w:t>
      </w:r>
    </w:p>
    <w:p w14:paraId="221747ED" w14:textId="77777777" w:rsidR="00974AE3" w:rsidRPr="00271E51" w:rsidRDefault="00974AE3"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 пери</w:t>
      </w:r>
      <w:r w:rsidRPr="00271E51">
        <w:rPr>
          <w:rFonts w:ascii="Times New Roman" w:cs="Times New Roman"/>
          <w:color w:val="000000" w:themeColor="text1"/>
          <w:spacing w:val="0"/>
        </w:rPr>
        <w:softHyphen/>
        <w:t>од с 1 января по 1 августа 1943 года основны</w:t>
      </w:r>
      <w:r w:rsidRPr="00271E51">
        <w:rPr>
          <w:rFonts w:ascii="Times New Roman" w:cs="Times New Roman"/>
          <w:color w:val="000000" w:themeColor="text1"/>
          <w:spacing w:val="0"/>
        </w:rPr>
        <w:softHyphen/>
        <w:t>ми дефектами танков КВ-1С, выявлявшимися в ходе заводских и военпредовских сдаточ</w:t>
      </w:r>
      <w:r w:rsidRPr="00271E51">
        <w:rPr>
          <w:rFonts w:ascii="Times New Roman" w:cs="Times New Roman"/>
          <w:color w:val="000000" w:themeColor="text1"/>
          <w:spacing w:val="0"/>
        </w:rPr>
        <w:softHyphen/>
        <w:t>ных пробегов, являлись: вибрации двигате</w:t>
      </w:r>
      <w:r w:rsidRPr="00271E51">
        <w:rPr>
          <w:rFonts w:ascii="Times New Roman" w:cs="Times New Roman"/>
          <w:color w:val="000000" w:themeColor="text1"/>
          <w:spacing w:val="0"/>
        </w:rPr>
        <w:softHyphen/>
        <w:t>лей, заедание кареток на валах коробки пе</w:t>
      </w:r>
      <w:r w:rsidRPr="00271E51">
        <w:rPr>
          <w:rFonts w:ascii="Times New Roman" w:cs="Times New Roman"/>
          <w:color w:val="000000" w:themeColor="text1"/>
          <w:spacing w:val="0"/>
        </w:rPr>
        <w:softHyphen/>
        <w:t>ремены передач, самовыключение демульти</w:t>
      </w:r>
      <w:r w:rsidRPr="00271E51">
        <w:rPr>
          <w:rFonts w:ascii="Times New Roman" w:cs="Times New Roman"/>
          <w:color w:val="000000" w:themeColor="text1"/>
          <w:spacing w:val="0"/>
        </w:rPr>
        <w:softHyphen/>
        <w:t>пликатора, увод танка при движении влево, разрушение бортовых фрикционов и приво</w:t>
      </w:r>
      <w:r w:rsidRPr="00271E51">
        <w:rPr>
          <w:rFonts w:ascii="Times New Roman" w:cs="Times New Roman"/>
          <w:color w:val="000000" w:themeColor="text1"/>
          <w:spacing w:val="0"/>
        </w:rPr>
        <w:softHyphen/>
        <w:t>дов управления.</w:t>
      </w:r>
    </w:p>
    <w:p w14:paraId="722F09C4"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иллюстрации надежности и не</w:t>
      </w:r>
      <w:r w:rsidRPr="00271E51">
        <w:rPr>
          <w:rFonts w:ascii="Times New Roman" w:hAnsi="Times New Roman"/>
          <w:color w:val="000000" w:themeColor="text1"/>
          <w:sz w:val="16"/>
          <w:szCs w:val="16"/>
        </w:rPr>
        <w:softHyphen/>
        <w:t xml:space="preserve">достатков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-1С небезынтересно привести</w:t>
      </w:r>
    </w:p>
    <w:p w14:paraId="119686A9" w14:textId="77777777" w:rsidR="00974AE3" w:rsidRPr="00271E51" w:rsidRDefault="00974AE3"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выдержки из отчетов гарантийных испыта</w:t>
      </w:r>
      <w:r w:rsidRPr="00271E51">
        <w:rPr>
          <w:rFonts w:ascii="Times New Roman" w:cs="Times New Roman"/>
          <w:color w:val="000000" w:themeColor="text1"/>
          <w:spacing w:val="0"/>
        </w:rPr>
        <w:softHyphen/>
        <w:t>ний этих машин различных периодов выпу</w:t>
      </w:r>
      <w:r w:rsidRPr="00271E51">
        <w:rPr>
          <w:rFonts w:ascii="Times New Roman" w:cs="Times New Roman"/>
          <w:color w:val="000000" w:themeColor="text1"/>
          <w:spacing w:val="0"/>
        </w:rPr>
        <w:softHyphen/>
        <w:t>ска. В архиве удалось найти отчеты по ма</w:t>
      </w:r>
      <w:r w:rsidRPr="00271E51">
        <w:rPr>
          <w:rFonts w:ascii="Times New Roman" w:cs="Times New Roman"/>
          <w:color w:val="000000" w:themeColor="text1"/>
          <w:spacing w:val="0"/>
        </w:rPr>
        <w:softHyphen/>
        <w:t>шинам выпуска апреля, июня и августа 1943 года.</w:t>
      </w:r>
    </w:p>
    <w:p w14:paraId="56B8CEF2" w14:textId="77777777" w:rsidR="00974AE3" w:rsidRPr="00271E51" w:rsidRDefault="00974A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сказать, что гарантийный кило</w:t>
      </w:r>
      <w:r w:rsidRPr="00271E51">
        <w:rPr>
          <w:rFonts w:ascii="Times New Roman" w:hAnsi="Times New Roman"/>
          <w:color w:val="000000" w:themeColor="text1"/>
          <w:sz w:val="16"/>
          <w:szCs w:val="16"/>
        </w:rPr>
        <w:softHyphen/>
        <w:t>метраж для тяжелых машин определялся в 2000 километров: 300 км - булыжное шос</w:t>
      </w:r>
      <w:r w:rsidRPr="00271E51">
        <w:rPr>
          <w:rFonts w:ascii="Times New Roman" w:hAnsi="Times New Roman"/>
          <w:color w:val="000000" w:themeColor="text1"/>
          <w:sz w:val="16"/>
          <w:szCs w:val="16"/>
        </w:rPr>
        <w:softHyphen/>
        <w:t>се, 1000 км - грунтовые и проселочные до</w:t>
      </w:r>
      <w:r w:rsidRPr="00271E51">
        <w:rPr>
          <w:rFonts w:ascii="Times New Roman" w:hAnsi="Times New Roman"/>
          <w:color w:val="000000" w:themeColor="text1"/>
          <w:sz w:val="16"/>
          <w:szCs w:val="16"/>
        </w:rPr>
        <w:softHyphen/>
        <w:t>роги и 500 км - целина. При этом танк дол</w:t>
      </w:r>
      <w:r w:rsidRPr="00271E51">
        <w:rPr>
          <w:rFonts w:ascii="Times New Roman" w:hAnsi="Times New Roman"/>
          <w:color w:val="000000" w:themeColor="text1"/>
          <w:sz w:val="16"/>
          <w:szCs w:val="16"/>
        </w:rPr>
        <w:softHyphen/>
        <w:t>жен был совершать марши протяженностью 300-500 км, пройти два безостановочных марша (100 км по грунтовой и 75 км по про</w:t>
      </w:r>
      <w:r w:rsidRPr="00271E51">
        <w:rPr>
          <w:rFonts w:ascii="Times New Roman" w:hAnsi="Times New Roman"/>
          <w:color w:val="000000" w:themeColor="text1"/>
          <w:sz w:val="16"/>
          <w:szCs w:val="16"/>
        </w:rPr>
        <w:softHyphen/>
        <w:t>селочной дороге), пробег на полную заправ</w:t>
      </w:r>
      <w:r w:rsidRPr="00271E51">
        <w:rPr>
          <w:rFonts w:ascii="Times New Roman" w:hAnsi="Times New Roman"/>
          <w:color w:val="000000" w:themeColor="text1"/>
          <w:sz w:val="16"/>
          <w:szCs w:val="16"/>
        </w:rPr>
        <w:softHyphen/>
        <w:t>ку топливом, пройти 100 км с незастопоренной башней и 50 км — с полностью закры</w:t>
      </w:r>
      <w:r w:rsidRPr="00271E51">
        <w:rPr>
          <w:rFonts w:ascii="Times New Roman" w:hAnsi="Times New Roman"/>
          <w:color w:val="000000" w:themeColor="text1"/>
          <w:sz w:val="16"/>
          <w:szCs w:val="16"/>
        </w:rPr>
        <w:softHyphen/>
        <w:t>тыми люками. Также машина должна была преодолеть подъемы, крены, рвы и брод, провести стрельбу по мишеням и прове</w:t>
      </w:r>
      <w:r w:rsidRPr="00271E51">
        <w:rPr>
          <w:rFonts w:ascii="Times New Roman" w:hAnsi="Times New Roman"/>
          <w:color w:val="000000" w:themeColor="text1"/>
          <w:sz w:val="16"/>
          <w:szCs w:val="16"/>
        </w:rPr>
        <w:softHyphen/>
        <w:t>рить работу радиостанции. Танк считался выдержавшим испытания, если он прошел 2000 км без серьезной поломки агрегатов и деталей. Следует учитывать то, что маши</w:t>
      </w:r>
      <w:r w:rsidRPr="00271E51">
        <w:rPr>
          <w:rFonts w:ascii="Times New Roman" w:hAnsi="Times New Roman"/>
          <w:color w:val="000000" w:themeColor="text1"/>
          <w:sz w:val="16"/>
          <w:szCs w:val="16"/>
        </w:rPr>
        <w:softHyphen/>
        <w:t>на испытывалась с полным боекомплектом и укладкой ЗИП (15226).</w:t>
      </w:r>
    </w:p>
    <w:p w14:paraId="0AE7F3AF" w14:textId="77777777" w:rsidR="00974AE3" w:rsidRPr="00271E51" w:rsidRDefault="00974AE3" w:rsidP="00271E51">
      <w:pPr>
        <w:spacing w:after="0" w:line="240" w:lineRule="auto"/>
        <w:jc w:val="both"/>
        <w:rPr>
          <w:rFonts w:ascii="Times New Roman" w:hAnsi="Times New Roman"/>
          <w:color w:val="000000" w:themeColor="text1"/>
          <w:sz w:val="16"/>
          <w:szCs w:val="16"/>
        </w:rPr>
      </w:pPr>
    </w:p>
    <w:p w14:paraId="15A9CA4E"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июля 1943 года был готов эскизный проект установки 122-мм орудия в башню ИС. Ведущим инженером машины, как и в случае с объектом 237, был Н.Ф. Шашмурин. Расчет Петрова вполне оправдался: расчеты показывали, что орудие вполне может вписаться в существующую башню Объекта 237. К сентябрю 1943 года проект завода №9 и завода №100 был официально одобрен, система получила обозначение Д-25 (Д-5 + Д-2). При этом танк, получивший обозначение Объект 240, фигурировал в постановлении ГКО №4043 от 4 сентября 1943 года «О производстве танков </w:t>
      </w:r>
      <w:hyperlink r:id="rId24" w:tgtFrame="_self" w:history="1">
        <w:r w:rsidRPr="00271E51">
          <w:rPr>
            <w:rStyle w:val="a5"/>
            <w:rFonts w:ascii="Times New Roman" w:hAnsi="Times New Roman"/>
            <w:color w:val="0070C0"/>
            <w:sz w:val="16"/>
            <w:szCs w:val="16"/>
          </w:rPr>
          <w:t>ИС</w:t>
        </w:r>
      </w:hyperlink>
      <w:r w:rsidRPr="00271E51">
        <w:rPr>
          <w:rFonts w:ascii="Times New Roman" w:hAnsi="Times New Roman"/>
          <w:color w:val="0070C0"/>
          <w:sz w:val="16"/>
          <w:szCs w:val="16"/>
        </w:rPr>
        <w:t>». По сути к началу сентября орудие уже спроектировали. Но с самого начала появилась идея установить на Д-25 клиновой затвор. На орудии использовался поршневой затвор от А-19, который и на буксируемой системе позволял вести огонь со скоростью не более 3-4 выстрелов в минуту. Но на новый затвор требовалось время. Так что опытный образец был с затвором от А-19. Также он получил Т-образный дульный тормоз, с которым связан известный конфуз. Инженер-полковник Абрамов, исполнявший обязанности военпреда на заводе №9, в докладной записке сообщал, что в ходе испытаний произошла деформация дульного тормоза. 25 сентября систему отправили в Челябинск, а на заводе №9 закипела работа по проектированию нового дульного тормоза. Но в Челябинске про это не знали, там поставили орудие в танк, и при испытаниях стрельбой дульный тормоз раскололся. Осколками чуть не убило П.К. Ворошилова. Испытания временно прекратили, а на ходовые испытания Объект 240 пошел с чехлом на орудии.</w:t>
      </w:r>
    </w:p>
    <w:p w14:paraId="2DC2C60A"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заводе №9 спроектировали второй вариант дульного тормоза. Базировался он на конструкции дульного тормоза 8.8 cm Pak 43 L/71, а в переписке его так и называли - "типа Фердинанд". Именно этот дульный тормоз испытали на опытной Д-25Т. Несмотря на то, что по итогам испытаний обнаружилась трещина, в целом конструкция тормоза оказалась удачной. При испытаниях на скорострельность были получены результаты от 1 до 2 выстрелов в минуту (в зависимости от угла наклона орудия). Высокой оказалась кучность: она не уступала кучности А-19. Результаты по длине отката совпали с расчётными показателями. Вентиляция работала эффективно, что показали отдельные испытания. Несмотря на габариты орудия, по итогам башню почти не пришлось переделывать. На серийном танке немного изменилось положение вентилятора, а место командира сместили чуть влево, поэтому на левом борту башни появился небольшой выступ под командирскую башенку. 31 октября 1943 года Сталин подписал постановление ГКО №4479сс «О тяжёлом танке ИС-2 со 122-мм пушкой». Таким образом идея с Д-25Т оказалась верной.</w:t>
      </w:r>
    </w:p>
    <w:p w14:paraId="24342DD9"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Выпуск Д-25Т с поршневым затвором оказался недолгим. Было очевидно, что клиновой затвор крайне необходим. Помимо всего прочего, поршневой затвор открывался вправо, что делало заряжание еще более неудобным. Поэтому работы по Д-25Т с клиновым затвором не стали откладывать в долгий ящик (19840).</w:t>
      </w:r>
    </w:p>
    <w:p w14:paraId="00CFAADD" w14:textId="77777777" w:rsidR="009274CE" w:rsidRPr="00271E51" w:rsidRDefault="009274CE" w:rsidP="00271E51">
      <w:pPr>
        <w:shd w:val="clear" w:color="auto" w:fill="FFFFFF"/>
        <w:spacing w:after="0" w:line="240" w:lineRule="auto"/>
        <w:jc w:val="both"/>
        <w:rPr>
          <w:rFonts w:ascii="Times New Roman" w:hAnsi="Times New Roman"/>
          <w:color w:val="0070C0"/>
          <w:sz w:val="16"/>
          <w:szCs w:val="16"/>
        </w:rPr>
      </w:pPr>
    </w:p>
    <w:p w14:paraId="0AB5BE14"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июля 1943г с восстановленного конвейера СТЗ сошёл первый трактор, а 1 сентября 1943 г. на поля освобождённых районов страны отправлен первый эшелон с тракторами (21519).</w:t>
      </w:r>
    </w:p>
    <w:p w14:paraId="7949C64D" w14:textId="77777777" w:rsidR="009274CE" w:rsidRPr="00271E51" w:rsidRDefault="009274CE" w:rsidP="00271E51">
      <w:pPr>
        <w:spacing w:after="0" w:line="240" w:lineRule="auto"/>
        <w:jc w:val="both"/>
        <w:rPr>
          <w:rFonts w:ascii="Times New Roman" w:hAnsi="Times New Roman"/>
          <w:color w:val="0070C0"/>
          <w:sz w:val="16"/>
          <w:szCs w:val="16"/>
        </w:rPr>
      </w:pPr>
    </w:p>
    <w:p w14:paraId="7F7C24E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3758 О помещениях Всесоюзного научно-исследовательского института радиолокации, конструкторского бюро, Главного управления радиолокационной промышленности и для Совета по радиолокации при ГОКО. (7122, 175).</w:t>
      </w:r>
    </w:p>
    <w:p w14:paraId="58A1028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A762B"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выходит Постановление ГКО № 3758 «О помещениях Всесоюзного научно-исследовательского института радиолокации, конструкторского бюро, Главного управления радиолокационной промышленности и для Совета по радиолокации при ГОКО». Им передавалось здание бывшей Промакадемии им. И.В. Сталина (корпус № 1) и здание бывшего Экономического института (корпус № 2) на Новой Басманной улице (15736).</w:t>
      </w:r>
    </w:p>
    <w:p w14:paraId="44C41EE5" w14:textId="77777777" w:rsidR="00177DC7" w:rsidRPr="00271E51" w:rsidRDefault="00177DC7" w:rsidP="00271E51">
      <w:pPr>
        <w:spacing w:after="0" w:line="240" w:lineRule="auto"/>
        <w:jc w:val="both"/>
        <w:rPr>
          <w:rFonts w:ascii="Times New Roman" w:hAnsi="Times New Roman"/>
          <w:color w:val="000000" w:themeColor="text1"/>
          <w:sz w:val="16"/>
          <w:szCs w:val="16"/>
        </w:rPr>
      </w:pPr>
    </w:p>
    <w:p w14:paraId="32E217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Распоряжение ГКО № 3759. О возвращении в Москву треста "Теплоэлектропроект".РГАНИР, Фонд ГКО, д. 134, лл. 176 (11012).</w:t>
      </w:r>
    </w:p>
    <w:p w14:paraId="26B6E5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00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3760 Об артиллерийской самоходной установке с пушкой 76 мм.РГАНИР, Фонд ГКО, д. 134, лл. 177 (11012).</w:t>
      </w:r>
    </w:p>
    <w:p w14:paraId="04520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A25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вышло Постановление ГКО № 3761 О привлечении местного населения на строительство дорог Северо-Западного фронта.РГАНИР, Фонд ГКО, д. 134, лл. 178 (11012).</w:t>
      </w:r>
    </w:p>
    <w:p w14:paraId="0C8B1E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0BFE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93FD6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70443"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в 1943 году оперативная сводка Совинформбюро:</w:t>
      </w:r>
    </w:p>
    <w:p w14:paraId="253B4872"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июля наши войска на Орловском участке фронта, преодолевая сопротивление и контратаки противника, продолжали наступление и продвинулись на 10—12 километров.</w:t>
      </w:r>
    </w:p>
    <w:p w14:paraId="6E57098A"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Орловско-Курском направлении наши войска в результате успешных атак продвигаются вперёд. За два дня боёв на этом направлении наши войска полностью восстановили положение, занимаемое ими до наступления немецко-фашистских войск, т. е. до 5 июля сего года.</w:t>
      </w:r>
    </w:p>
    <w:p w14:paraId="1C15E1F4"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поиски разведчиков.</w:t>
      </w:r>
    </w:p>
    <w:p w14:paraId="0E8A19FF"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июля наши войска на Орловском участке фронта и Орловско-Курском направлении подбили и уничтожили 168 немецких танков. В воздушных боях и огнём зенитной артиллерии сбито 106 самолётов противника.</w:t>
      </w:r>
    </w:p>
    <w:p w14:paraId="631402A2"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наши войска, преодолевая сопротивление и контратаки противника, продолжали наступление. Немцы спешно подбрасывают резервы, пытаясь задержать продвижение советских войск. Под ударами частей Красной Армии противник понёс тяжёлые потери и оставил ряд населённых пунктов.</w:t>
      </w:r>
    </w:p>
    <w:p w14:paraId="11B5E722"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Н-ского соединения, развивая наступление, уничтожили до 3.000 гитлеровцев, 25 немецких танков, 49 орудий, 30 миномётов и захватили трофеи и пленных. Подразделения Н-ской части выбили немцев из трёх населённых пунктов, в боях за которые уничтожено 600 солдат противника и подбито 8 вражеских танков. На другом участке наши части отбили несколько контратак танков и пехоты противника. На плечах отступающих гитлеровцев бойцы Н-ской части ворвались в крупный населённый пункт, превращенный немцами в сильный узел сопротивления, и в результате ожесточённой схватки овладели этим пунктом.</w:t>
      </w:r>
    </w:p>
    <w:p w14:paraId="0A70B482"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поддерживает наступление наземных войск. В районе высоты, имеющей важное значение, немцы оказывали упорное сопротивление наступающим подразделениям Н-ской части. 20 наших штурмовиков под командованием Героя Советского Союза майора Корякина сбросили бомбы на боевые порядки противника и подвергли немцев ожесточённому обстрелу из пушек и пулемётов. Наши пехотинцы немедленно перешли в атаку и завладели высотой. Штурмовик старший лейтенант т. Денежкин обнаружил посадочную площадку, на которой находилосьнесколько немецких самолётов. Лётчик атаковал вражеские самолёты, сжёг два немецких истребителя и нанёс повреждения ещё трём самолётам противника, находившимся на этой посадочной площадке.</w:t>
      </w:r>
    </w:p>
    <w:p w14:paraId="20C998B3"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Орловско-Курском направлении наши войска продолжали активные боевые действия. Противник оказывает отчаянное сопротивление, используя зарытые в землю танки. Атаки, предпринятые советскими войсками, завершились взятием ряда населённых пунктов. За два дня боёв наши войска полностью восстановили положение, </w:t>
      </w:r>
      <w:r w:rsidRPr="00271E51">
        <w:rPr>
          <w:rFonts w:ascii="Times New Roman" w:hAnsi="Times New Roman"/>
          <w:color w:val="000000" w:themeColor="text1"/>
          <w:sz w:val="16"/>
          <w:szCs w:val="16"/>
        </w:rPr>
        <w:lastRenderedPageBreak/>
        <w:t>занимаемое ими до начала немецкого наступления, т. е. до 5 июля сего года. Таким образом, под ударами наших войск немцы оставили всё, что им удалось захватить ценой неслыханных потерь живой силы и техники за восемь дней наступления.</w:t>
      </w:r>
    </w:p>
    <w:p w14:paraId="70F3CAB7"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сегодняшнего дня части Н-ского соединения, продвигаясь вперёд, истребили до 1.000 немецких солдат и офицеров, подбили и уничтожили 20 танков, 7 артиллерийских и 8 миномётных батарей противника.</w:t>
      </w:r>
    </w:p>
    <w:p w14:paraId="53B4B774"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Действиями нашей авиации уничтожено и повреждено несколько десятков немецких танков, свыше 200 автомашин, взорвано 2 склада боеприпасов и нанесены серьёзные потери пехоте противника.</w:t>
      </w:r>
    </w:p>
    <w:p w14:paraId="56EEC969"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наши части после артиллерийской подготовки атаковали противника, закрепившегося на одной высоте, имеющей очень важное значение. Советские бойцы преодолели многочисленные препятствия, разрушили 25 дзотов и в ожесточённой схватке овладели этой высотой. В этом бою уничтожено более 600 немецких солдат и офицеров, 10 миномётов и 25 пулемётов. Взяты пленные. Противник, пытаясь вернуть потерянные позиции, предпринял одну за другой девять ожесточённых контратак. Наши части отбили все контратаки немцев с большими для противника потерями.</w:t>
      </w:r>
    </w:p>
    <w:p w14:paraId="21B1AD0B"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Калининском фронте рота немцев атаковала наши передовые подразделения. Советские бойцы метким огнём рассеяли гитлеровцев. У проволочных заграждений осталось несколько десятков вражеских трупов. Огнём снайперов и разведывательными группами уничтожено до 200 немецких солдат и офицеров.</w:t>
      </w:r>
    </w:p>
    <w:p w14:paraId="3848480D"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группа снайперов во главе со старшим лейтенантом Михаилом Важниным 25 дней находилась в засаде на переднем крае нашей обороны. За это время снайперы уничтожили 215 солдат и офицеров противника. Ефрейтор АлексейБелов истребил 21 немца, ефрейтор Махмут Сабаев — 19, старший лейтенант Важнин убил 14 гитлеровцев.</w:t>
      </w:r>
    </w:p>
    <w:p w14:paraId="4800F862"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Калининской области, напал на гитлеровцев, которые угоняли советских граждан на каторгу в Германию. Партизаны убили 14 конвоиров и освободили 150 мирных жителей. Захвачены 2 станковых пулемёта, 2 автомашины, винтовки и другие трофеи. Партизаны отряда, действующего в Смоленской области, взорвали пять немецких воинских эшелонов. Разбито 5 паровозов, 15 платформ с танками, 2 платформы с мотоциклами, 10 вагонов с различными грузами и 5 цистерн с горючим.</w:t>
      </w:r>
    </w:p>
    <w:p w14:paraId="6845A363"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немецкий ефрейтор Гейнц Т. рассказал: «Солдаты нашей дивизии возлагали большие надежды на весну и лето 1943 года. Втечение нескольких месяцев нам внушали, что скоро германская армия перейдёт в наступление и отомстит русским за Сталинград. Накануне наступления на Курск командир роты зачитал нам приказ Гитлера и сказал, что мы должны захватить Курск. Приказ Гитлера обнадёжил некоторых солдат. Они поверили, что для германской армии снова наступили времена победоносных маршей. Однако первые же дни принесли нам горькое разочарование. Командир батальона, например, говорил, что за первый день наступления немецкие войска израсходовали больше боеприпасов, чем за всю польскую кампанию, а за три дня немецкие орудия выпустили больше снарядов, чем за всё время французского похода. Командиру батальона и в голову не пришло, что эти сравнения окончательно убедили солдат в провале наступления на Курск. Мы поняли его слова так: израсходовав за три дня наступления больше боеприпасов, чем потребовалось для завоевания Франции, немецкая армия понесла колоссальные потери и не добилась никаких результатов. Поняв это, я решил добровольно перейти к русским» (14955).</w:t>
      </w:r>
    </w:p>
    <w:p w14:paraId="5299FA5C" w14:textId="77777777" w:rsidR="00177DC7" w:rsidRPr="00271E51" w:rsidRDefault="00177DC7" w:rsidP="00271E51">
      <w:pPr>
        <w:spacing w:after="0" w:line="240" w:lineRule="auto"/>
        <w:jc w:val="both"/>
        <w:rPr>
          <w:rFonts w:ascii="Times New Roman" w:hAnsi="Times New Roman"/>
          <w:color w:val="000000" w:themeColor="text1"/>
          <w:sz w:val="16"/>
          <w:szCs w:val="16"/>
        </w:rPr>
      </w:pPr>
    </w:p>
    <w:p w14:paraId="78267CC0"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17 июля 1943 штурмовики 1-й воздушной армии снова начали налеты на хорошо знакомую им немецкую аэродромную сеть в районе Брянска. Сначала аэродром Карачев атаковали Илы из 312-го шап, затем «горбатые» из 873-го шап трижды бомбили Озерскую, всякий раз «уничтожая» там скопления транспортных Ju-52 (19522).</w:t>
      </w:r>
    </w:p>
    <w:p w14:paraId="778CD013" w14:textId="77777777" w:rsidR="00506386" w:rsidRPr="00271E51" w:rsidRDefault="00506386" w:rsidP="00271E51">
      <w:pPr>
        <w:pStyle w:val="ae"/>
        <w:spacing w:before="0" w:after="0"/>
        <w:jc w:val="both"/>
        <w:textAlignment w:val="baseline"/>
        <w:rPr>
          <w:color w:val="000000" w:themeColor="text1"/>
          <w:sz w:val="16"/>
          <w:szCs w:val="16"/>
        </w:rPr>
      </w:pPr>
    </w:p>
    <w:p w14:paraId="098ED1A9"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июля 1943 штурмовики 1</w:t>
      </w:r>
      <w:r w:rsidRPr="00271E51">
        <w:rPr>
          <w:rFonts w:ascii="Times New Roman" w:hAnsi="Times New Roman"/>
          <w:color w:val="0070C0"/>
          <w:sz w:val="16"/>
          <w:szCs w:val="16"/>
        </w:rPr>
        <w:noBreakHyphen/>
        <w:t>й воздушной армии снова начали налеты на хорошо знакомую им немецкую аэродромную сеть в районе Брянска. Сначала аэродром Карачев атаковали Илы из 312</w:t>
      </w:r>
      <w:r w:rsidRPr="00271E51">
        <w:rPr>
          <w:rFonts w:ascii="Times New Roman" w:hAnsi="Times New Roman"/>
          <w:color w:val="0070C0"/>
          <w:sz w:val="16"/>
          <w:szCs w:val="16"/>
        </w:rPr>
        <w:noBreakHyphen/>
        <w:t>го шап, затем «горбатые» из 873</w:t>
      </w:r>
      <w:r w:rsidRPr="00271E51">
        <w:rPr>
          <w:rFonts w:ascii="Times New Roman" w:hAnsi="Times New Roman"/>
          <w:color w:val="0070C0"/>
          <w:sz w:val="16"/>
          <w:szCs w:val="16"/>
        </w:rPr>
        <w:noBreakHyphen/>
        <w:t>го шап трижды бомбили Озерскую, всякий раз «уничтожая» там скопления транспортных Ju</w:t>
      </w:r>
      <w:r w:rsidRPr="00271E51">
        <w:rPr>
          <w:rFonts w:ascii="Times New Roman" w:hAnsi="Times New Roman"/>
          <w:color w:val="0070C0"/>
          <w:sz w:val="16"/>
          <w:szCs w:val="16"/>
        </w:rPr>
        <w:noBreakHyphen/>
        <w:t>52. В ночь на 20 июля шесть Ил</w:t>
      </w:r>
      <w:r w:rsidRPr="00271E51">
        <w:rPr>
          <w:rFonts w:ascii="Times New Roman" w:hAnsi="Times New Roman"/>
          <w:color w:val="0070C0"/>
          <w:sz w:val="16"/>
          <w:szCs w:val="16"/>
        </w:rPr>
        <w:noBreakHyphen/>
        <w:t>2 из 135</w:t>
      </w:r>
      <w:r w:rsidRPr="00271E51">
        <w:rPr>
          <w:rFonts w:ascii="Times New Roman" w:hAnsi="Times New Roman"/>
          <w:color w:val="0070C0"/>
          <w:sz w:val="16"/>
          <w:szCs w:val="16"/>
        </w:rPr>
        <w:noBreakHyphen/>
        <w:t>го шап с высоты 2000 метров сбросили бомбы на аэродром Домнино, и затем было заявлено о поражении пяти находившихся там FW</w:t>
      </w:r>
      <w:r w:rsidRPr="00271E51">
        <w:rPr>
          <w:rFonts w:ascii="Times New Roman" w:hAnsi="Times New Roman"/>
          <w:color w:val="0070C0"/>
          <w:sz w:val="16"/>
          <w:szCs w:val="16"/>
        </w:rPr>
        <w:noBreakHyphen/>
        <w:t>190. Применение штурмовиков ночью, да еще в ходе воздушного удара по аэродрому, было делом неслыханным (23199).</w:t>
      </w:r>
    </w:p>
    <w:p w14:paraId="470DF6F1" w14:textId="77777777" w:rsidR="00524306" w:rsidRPr="00271E51" w:rsidRDefault="00524306" w:rsidP="00271E51">
      <w:pPr>
        <w:spacing w:after="0" w:line="240" w:lineRule="auto"/>
        <w:jc w:val="both"/>
        <w:rPr>
          <w:rFonts w:ascii="Times New Roman" w:hAnsi="Times New Roman"/>
          <w:color w:val="0070C0"/>
          <w:sz w:val="16"/>
          <w:szCs w:val="16"/>
        </w:rPr>
      </w:pPr>
    </w:p>
    <w:p w14:paraId="701772B1"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в 1943 году началась Изюм-Барвенковская наступательная операция войск Юго-Западного фронта (1, 8 и 3-я гвардейские армии, 12-я армия, 17-я воздушная армия, 23-й танковый и 1-й гвардейский механизированные корпуса), продолжавшаяся до 27 июля. Началась Миусская наступательная операция войск Южного фронта (51-я, 5-я Ударная, 28, 44 и 2-я гвардейская армии, 8-я воздушная армия), продолжавшаяся до 2 августа (14955).</w:t>
      </w:r>
    </w:p>
    <w:p w14:paraId="4E97F200" w14:textId="77777777" w:rsidR="00177DC7" w:rsidRPr="00271E51" w:rsidRDefault="00177DC7" w:rsidP="00271E51">
      <w:pPr>
        <w:spacing w:after="0" w:line="240" w:lineRule="auto"/>
        <w:jc w:val="both"/>
        <w:rPr>
          <w:rFonts w:ascii="Times New Roman" w:hAnsi="Times New Roman"/>
          <w:color w:val="000000" w:themeColor="text1"/>
          <w:sz w:val="16"/>
          <w:szCs w:val="16"/>
        </w:rPr>
      </w:pPr>
    </w:p>
    <w:p w14:paraId="362BD406" w14:textId="77777777" w:rsidR="00177DC7" w:rsidRPr="00271E51" w:rsidRDefault="00177DC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в 1943 году южный фас Курской Дуги - в 3.30 Ватутин отдал приказ командующему 5-й гвардейской танковой армии, 5-й гвардейской армии и 69-й армии "на совершенствование обороны". Приказывалось "танковые части и подразделения, занимающие оборону впереди стрелковых частей, немедленно сменить усиленным боевым охранением и отвести за пехоту". В 13.00 2-й танковый корпус СС получил приказ отвести свои дивизии на сборные пункты в районе Белгорода для последующей отправки в Италию (впоследствии в Италию отправили только моторизорованные дивизии СС "Лейбштандарт", а "Райх" и "Тотенкопф" отправили на Миус-фронт). Таким образом завершилась немецкая операция "Цитадель". До 23 июля немцы отводили свои части к рубежу, занимавшемуся 4 июля, кроме сохраненного ими района севернее и восточнее Белгорода шириной порядка 40 км и глубиной до 10 км. Там фронт стабилизировался до 3 августа - начала советского контрнаступления (14955).</w:t>
      </w:r>
    </w:p>
    <w:p w14:paraId="4A71C4D8" w14:textId="77777777" w:rsidR="00177DC7" w:rsidRPr="00271E51" w:rsidRDefault="00177DC7" w:rsidP="00271E51">
      <w:pPr>
        <w:spacing w:after="0" w:line="240" w:lineRule="auto"/>
        <w:jc w:val="both"/>
        <w:rPr>
          <w:rFonts w:ascii="Times New Roman" w:hAnsi="Times New Roman"/>
          <w:color w:val="000000" w:themeColor="text1"/>
          <w:sz w:val="16"/>
          <w:szCs w:val="16"/>
        </w:rPr>
      </w:pPr>
    </w:p>
    <w:p w14:paraId="09996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17 июля 1943 г. штурман Аккуратов вошел в состав экипажа Пе-8 №4215, а на "дублере" начал летать В.Т.Лавровский со штурманом Л.М.Рубинштейном. "Борода" оказалась на удивление долговечной и удачливой машиной - к окончанию боевой службы на ней выполнили наибольшее количество боевых заданий - известно, что в 1945 г. на борту фюзеляжа было нарисовано более ста двадцати маленьких бомбочек, соответствующих количеству боевых вылетов. С этого самолета сбросили около 500 тонн авиабомб и почти миллион листовок, доставили в немецкий тыл несколько групп разведчиков. День победы 9 мая 1945 г. самолет ТБ-7 по прозвищу "Борода" встретил в боевом строю (12025).</w:t>
      </w:r>
    </w:p>
    <w:p w14:paraId="5CA0B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06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 результате налета У-2 погиб В.Краус - один из наиболее опытных командиров немецких пикировщиков (2785,34).</w:t>
      </w:r>
    </w:p>
    <w:p w14:paraId="711C9A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CF99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года формируется первый инженерно-танковый полк (штат № 010/472) в составе 22 Т-34 и 18 минных тралов ПТ-3. В его задачу входило проделывание проходов в минных полях. До конца войны было создано еще семь таких полков (12217).</w:t>
      </w:r>
    </w:p>
    <w:p w14:paraId="7CB07E81"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9F21A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17 июля по 2 августа 1943 состоялась Миусская операция ЮФ (С.С.Бирюзов). Удалось лишь вклинится в немецкую оборону, но после контрудара все вернулось на место. Сковали группировку в Донбассе, не позволив переброску сил на Курское направление (2438,409).</w:t>
      </w:r>
    </w:p>
    <w:p w14:paraId="77FF6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C66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июля по 27 июля 1943 была Изюм-Барвенковская наступательная операция ЮЗФ (Р.Я.Малиновский) - форсировали Северный Донец, расширили плацдарм на правом берегу, сковали силы, которые не стали перебрасывать под Курск (3398,248).</w:t>
      </w:r>
    </w:p>
    <w:p w14:paraId="7FBDD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AE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началась наступательная операция с целью не допустить немцев в район Курской битвы (2990).</w:t>
      </w:r>
    </w:p>
    <w:p w14:paraId="5AC1D1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CFF3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428D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BA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приказом № 001241 была утверждена “Инструкция по учету и этапированию заключенных, осужденных к каторжным работам”, согласно которой:</w:t>
      </w:r>
    </w:p>
    <w:p w14:paraId="36C99F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“Личным делам каторжников присваиваются номера по книге регистрации осужденных к каторжным работам, ведущейся отдельно от общей книги регистрации заключенных. Номера личных дел исчисляются сериями с № 1 по № 999 включительно. Каждой серии, в свою очередь, присваивается буква алфавита, проставляемая перед номером дела. Нумерация начинается с № 1 и первой буквы алфавита. По использованию 999 номеров, начинается снова с № 1 и второй буквы алфавита (А, Б, В, Г и т. д.). После номера проставляются буквы “КТР”, например: № А-978/КТР, Б-11/КТР и т. д. Указанный номер переносится на все учетные документы, заведенные на каторжника. Номер личного дела (без добавления “КТР”) нашивается на одежду каторжников.. (7560).</w:t>
      </w:r>
    </w:p>
    <w:p w14:paraId="6FFB2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Отправка каторжников из тюрем в Норильлаг и Севвостлаг должна производиться с расчетом поступления этапов до закрытия навигации: в Норильлаг прибытие вагонзаков на ст. Красноярск до 1 сентября, в Севвостлаг прибытие вагонзаков на ст. Находка Приморской ж. д. до 15 ноября. Направление каторжников для отбытия наказания в Воркутлаг и Карлаг производится круглый год” (7560).</w:t>
      </w:r>
    </w:p>
    <w:p w14:paraId="113DA6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8E2C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C91A0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CEB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года генерал Беляев попросил американцев предоставить для ознакомления несколько экземпляров новой модификации истребителя фирмы "Рипаблик", расположенной в городе Фармингдейле, Р-47D, имевшей модифицированный двигатель R-2800-21 со впрыском воды на форсаже и усовершенствованным нагнетателем. Самолет был интересен двумя особенностями: большой дальностью полета и хорошими высотными характеристиками. И в том, и в другом отношении ему не имелось аналога среди наших машин (3457,84).</w:t>
      </w:r>
    </w:p>
    <w:p w14:paraId="1B79CA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F89B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E33C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38B892"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июля в 1943 году в ночном бою итальянский крейсер </w:t>
      </w:r>
      <w:hyperlink r:id="rId25" w:anchor="102545" w:tgtFrame="_blank" w:history="1">
        <w:r w:rsidRPr="00271E51">
          <w:rPr>
            <w:rFonts w:ascii="Times New Roman" w:hAnsi="Times New Roman"/>
            <w:color w:val="000000" w:themeColor="text1"/>
            <w:sz w:val="16"/>
            <w:szCs w:val="16"/>
          </w:rPr>
          <w:t xml:space="preserve">«Scipione Africano» </w:t>
        </w:r>
      </w:hyperlink>
      <w:r w:rsidRPr="00271E51">
        <w:rPr>
          <w:rFonts w:ascii="Times New Roman" w:hAnsi="Times New Roman"/>
          <w:color w:val="000000" w:themeColor="text1"/>
          <w:sz w:val="16"/>
          <w:szCs w:val="16"/>
        </w:rPr>
        <w:t>уничтожил три британских торпедных катера. Это была одна из немногих побед итальянского флота (14955).</w:t>
      </w:r>
    </w:p>
    <w:p w14:paraId="020D841F"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5B924CE3"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в 1943 году в Сицилии союзники создали «военное правительство оккупированных территорий» (14955).</w:t>
      </w:r>
    </w:p>
    <w:p w14:paraId="169C8014"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0CEA410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в Сицилии союзники создали "военное правительство оккупированных территорий" (4962).</w:t>
      </w:r>
    </w:p>
    <w:p w14:paraId="11CE7BF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77AB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июля 1943 началось американское наступление на Бугенвиль на Южно-Тихоокеанском театре (2246,4).</w:t>
      </w:r>
    </w:p>
    <w:p w14:paraId="3EEE8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9E78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июля 1943 223 самолет US Air Соломонов (AirSols) удара по Бугенвиль Island, бомбардировку Kahili аэродрома и Tonolei гавани. Они топят один японский эсминец (20376).</w:t>
      </w:r>
    </w:p>
    <w:p w14:paraId="43734CA7" w14:textId="77777777" w:rsidR="009274CE" w:rsidRPr="00271E51" w:rsidRDefault="009274CE" w:rsidP="00271E51">
      <w:pPr>
        <w:spacing w:after="0" w:line="240" w:lineRule="auto"/>
        <w:jc w:val="both"/>
        <w:rPr>
          <w:rFonts w:ascii="Times New Roman" w:hAnsi="Times New Roman"/>
          <w:color w:val="0070C0"/>
          <w:sz w:val="16"/>
          <w:szCs w:val="16"/>
        </w:rPr>
      </w:pPr>
    </w:p>
    <w:p w14:paraId="5EB2DD4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EE06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DBA4D" w14:textId="77777777" w:rsidR="00506386" w:rsidRPr="00271E51" w:rsidRDefault="00506386" w:rsidP="00271E51">
      <w:pPr>
        <w:pStyle w:val="ae"/>
        <w:shd w:val="clear" w:color="auto" w:fill="FFFFFF"/>
        <w:spacing w:before="0" w:after="0"/>
        <w:jc w:val="both"/>
        <w:rPr>
          <w:color w:val="000000" w:themeColor="text1"/>
          <w:sz w:val="16"/>
          <w:szCs w:val="16"/>
        </w:rPr>
      </w:pPr>
      <w:r w:rsidRPr="00271E51">
        <w:rPr>
          <w:color w:val="000000" w:themeColor="text1"/>
          <w:sz w:val="16"/>
          <w:szCs w:val="16"/>
        </w:rPr>
        <w:t>18 июля 1943 вышел приказ № 26 по заводу № 18</w:t>
      </w:r>
    </w:p>
    <w:p w14:paraId="7C80FD4D" w14:textId="77777777" w:rsidR="00506386" w:rsidRPr="00271E51" w:rsidRDefault="0050638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 выпуске с 25.7.43 Ил-2 с улучшенной центровкой без турели с серийной установкой ВУБ-3 и мотором АМ-38Ф (заводской шифр С-38) и выпуске к 15.8.43 Ил-2 с мотором АМ-42 (маслорадиатор убирается внутрь тунеля водорадиатора, вместо ВУБ-3 турель, хвост доработанный под турель, убирающийся костыль и др. изменения) код С-42 (крыло стрелка и 42-й мотор) (19706).</w:t>
      </w:r>
    </w:p>
    <w:p w14:paraId="7B82714C" w14:textId="77777777" w:rsidR="00506386" w:rsidRPr="00271E51" w:rsidRDefault="00506386" w:rsidP="00271E51">
      <w:pPr>
        <w:pStyle w:val="ae"/>
        <w:shd w:val="clear" w:color="auto" w:fill="FFFFFF"/>
        <w:spacing w:before="0" w:after="0"/>
        <w:jc w:val="both"/>
        <w:rPr>
          <w:color w:val="000000" w:themeColor="text1"/>
          <w:sz w:val="16"/>
          <w:szCs w:val="16"/>
        </w:rPr>
      </w:pPr>
    </w:p>
    <w:p w14:paraId="56417A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ГОКО N 3948 Об изготовлении 45 мм пушек конструкции ОКБ-15 НКВ для самолетов истребителей и штурмовиков (2659,178).</w:t>
      </w:r>
    </w:p>
    <w:p w14:paraId="29019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782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были утверждены "Схемы маскирующей окраски самолетов", разработанными в соответствии с приказом НКАП СССР и ВВС Красной Армии № 389/0133 от 3 июля 1943 г. (3285,12). Переход от одного цвета к другому мог быть резким (при окраске кистью) или расплывчатым (при окраске пульверизатором). Для окраски самолетов разрешалось пользоваться только стандартными красками следующих марок: зеленый цвет - АМТ-4 (для металлических поверхностей - А-24м), светло-коричневый -АМТ-1 (А-21м), серо-голубой - АМТ-11, темно-серый - АМТ-12 (А-32м), голубой - АМТ-7 (А-28м). Зеленая АМТ-4 и голубая АМТ-7 (и их масляные аналоги) - использовались ранее. Неуказанная в перечне черная краска (для самолетов Ил-4 и Пе-8) - АМТ-6, также применялась в авиации с 1941 г. Светло-коричневый аэролак второго покрытия АМТ-1 разработан еще в 1941 году, одновременно с АМТ-4 и АМТ-6, но не был востребован ВВС до июля 1943 г., когда и были утверждены и введены ТУ на него и другие аэролаки серии АМТ: АМТ-11 и АМТ-12. Все они выпускались в двух вариантах: для нанесения кистью и для пульверизатора. Цвет АМТ-1 можно назвать светло-серо-коричневый или цветом "кофе с молоком", причем такого, в котором преобладает молоко. ТУ допускали "незначительные изменения расцветки при хранении". Скорее всего именно он применялся в 1941 г. для многоцветного камуфляжа ЛаГГов и именно его В.В.Чеботаревский назвал "песчаным". Также как и другие аэролаки АМТ, АМТ-1 давал полуматовое покрытие (3283,13). Совместный приказ НКАП и ВВС КА № 389с/0133 определял также порядок введения новых схем камуфляжа в жизнь. Поставка всех необходимых для новых схем окраски эмалей, а также нитроэмалей алюминиевого цвета (для использования в качестве подслоя под маскировочные краски) должна была быть обеспечена к 25 июля. Начало выпуска истребителей с новой маскировочной окраской планировалось с 15 июля, бомбардировщиков, штурмовиков и других боевых самолетов - с 1 августа, а до этого срока, начиная с 15 июля, предписывалось в существующей двухцветной маскирующей окраске вновь выпускаемых самолетов заменить черный цвет на темно-серый. До получения стандартных серо-голубой и темно-серой красок разрешалось применять краски, изготовленные путем смешивания нитроэмалей АМТ-7 (голубой) 1 АМТ-б (черной), а для покрытия металла - масляных эмалей А-26м и А-28м (тех же цветов) по специальной инструкции и эталонам ВИАМ. Такие меры по смешиванию красок, никогда ранее не разрешавшиеся, говорят об особой срочности введения нового камуфляжа. Кроме того, Начальнику Главного Управления Заказов и Начальнику Управления Формирования и боевой подготовки ВВС КА приказывалось комплектовать отправку в одну и ту же авиачасть самолетов всех типов, для которых предлагалось два варианта камуфляжа), окрашенных по обоим вариантам. Перекраска существующего парка самолетов в авиачастях не планировалась. Окрашиваться по новым схемам должны были только ремонтируемые самолеты. Зимой 1943-44 г. по указанию маршала авиации Новикова, все истребители, имеющие новый камуфляж, в белый цвет уже не окрашивались (3285,14).</w:t>
      </w:r>
    </w:p>
    <w:p w14:paraId="757573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D17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были утверждены разработанные в соответствии с приказом НКАП и ВВС Красной Армии № 389/0133 от 3 июля 1943 г. "Схемы маскирующей окраски самолетов". "Схемы..." определяли цвета и марки красок, форму и расположение камуфляжных пятен. Все истребители теперь окрашивались сверху и с боков в два цвета: серо-голубой и темно-серый; самолеты Пе-2, Ил-2, У-2, УТ-2 и Як-6 - в три цвета (зеленый, светло-коричневый и темно-серый), причем Ил-2, УТ-2 и Пе-2 имели по два варианта окраски. Для бомбардировщиков Ил-4 и Пе-8 этот документ предписывал вместо темно-серого цвета черный. Нижние поверхности всех самолетов должны были иметь тот же голубой цвет, что и раньше.</w:t>
      </w:r>
    </w:p>
    <w:p w14:paraId="7DEC7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Интересно, что сначала, согласно тактико-техническим требованиям НИИ ВВС на разработку лакокрасочного покрытия самолетов на 1943 г., утвержденным генерал-майором Лосюковым 24 февраля 1943 г., "окраска верхних и боковых поверхностей самолета должна быть камуфляжной с применением как минимум трех цветов: зеленого (цвет №4), черного (цвет №6) и песочного (цвет №1)". Номера цветов, как видим, совпадают с номерами красок серии АМТ. По разработанному в апреле 1943 г. проекту приказа о переходе на новые схемы окраски, для всех классов самолетов, включая истребители, также планировался трехцветный камуфляж, причем соотношение зеленого, черного (а не темно-серого, как впоследствии) и светло-коричне- вого цветов предполагалось, как 5:2:3.</w:t>
      </w:r>
    </w:p>
    <w:p w14:paraId="72B66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того, в апреле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w:t>
      </w:r>
    </w:p>
    <w:p w14:paraId="5A09D4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окраски самолетов разрешалось пользоваться только стандартными красками следующих марок: зеленый цвет - АМТ-4 (для металлических поверхностей - А-24м), светло-коричневый - АМТ-1 (А-21м), серо-голубой - АМТ-11, темно-серый - АМТ-12 (А-32м), голубой - АМТ-7 (А-28м).</w:t>
      </w:r>
    </w:p>
    <w:p w14:paraId="463A8A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двух красках, АМТ-4 и АМТ-7 (и их масляных аналогах) уже говорилось. Не указанная в перечне черная краска (для Ил-4 и Пе-8), без сомнения, АМТ-6, также применявшаяся с 1941 г. А что можно сказать об остальных?</w:t>
      </w:r>
    </w:p>
    <w:p w14:paraId="4ED0C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Светло-коричневый аэролак АМТ-1, разработанный еще в 1941 г., не был востребован ВВС до июля 1943 г., когда на него, а также на АМТ-11 и АМТ-12, ввели ТУ. Цвет АМТ-1 можно назвать светло-серо-коричневым. ТУ допускали "незначительные изменения расцветки при хранении". АМТ-1, так же, как и другие лаки серии АМТ, давал полуматовое покрытие.</w:t>
      </w:r>
    </w:p>
    <w:p w14:paraId="39775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 на масляную эмаль А-21м (цветовой аналог АМТ-1) ввели в сентябре 1943 г. Цвет этой эмали несколько отличался от АМТ-1, вероятно, из-за различий в пленкообразующих. Масляный лак по сравнению с нитроцеллюлозой имел желтоватый оттенок, поэтому и цвет А-21м был более желтым, теплым. Другой характерной для масляных эмалей особенностью А-21м являлась матовая поверхность высохшей пленки.</w:t>
      </w:r>
    </w:p>
    <w:p w14:paraId="326C9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АМТ-11 имел средне-темный с небольшим голубым оттенком серый цвет. В 1943 г. ТУ на масляную эмаль такого цвета еще отсутствовали. Это объясняется тем, что он использовался тогда только для истребителей, среди которых в тот период не было цельнометаллических самолетов, требовавших окраски масляными эмалями. А для металлических капотов машин смешанной конструкции служили аэролаки, наносимые по грунту АЛГ-5 с горячей сушкой, которая могла быть без особых затруднений произведена на заводах НКАП.</w:t>
      </w:r>
    </w:p>
    <w:p w14:paraId="0A28C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Темно-серые аэролак АМТ-12 и масляная эмаль А-32м шли на смену черным АМТ-6 и А-26м, которые теперь стали применяться только для окраски лопастей винтов. Обе новые эмали были достаточно темными, близкими к черному цвету, причем аэролак АМТ-12 был немного темнее, чем А-32м. Причиной такой, казалось бы, незначительной замены являлся сделанный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w:t>
      </w:r>
    </w:p>
    <w:p w14:paraId="5890F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НКАП и ВВС определял также порядок введения новых схем камуфляжа в практику. Поставку всех необходимых эмалей должны были обеспечить к 25 июля. Начало выпуска истребителей с новым камуфляжем планировалось с 15 июля, остальных самолетов - с 1 августа, а до этого срока, начиная с 15 июля, предписывалось в существующей двухцветной окраске выпускаемых машин заменить черный цвет на темно- серый. До получения стандартных серо- голубой и темно-серой красок разрешалось применять смеси нитроэмалей АМТ-7 (голубой) и АМТ-6 (черной) или масляных А-26м и А-28м, сделанные по специальной инструкции и эталонам ВИАМ. Такие меры по смешиванию красок, никогда ранее не разрешавшиеся, говорят об особой срочности введения нового камуфляжа. Документального подтверждения применения смесей красок не обнаружено, равно как и сами "специальные" инструкции и эталоны. Однако исключить их использования на начальном этапе внедрения нового камуфляжа нельзя. В этом случае цвета таких эмалей могли значительно отличаться от АМТ-11 и АМТ-12 (А-32м).</w:t>
      </w:r>
    </w:p>
    <w:p w14:paraId="4C3BE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одну и ту же часть предписывалось отправлять самолеты, окрашенные по разным вариантам (для тех типов, у которых имелись два варианта камуфляжа). Перекраска существующего парка самолетов в авиачастях не планировалась. Окрашиваться по новым схемам должны были только ремонтируемые самолеты. Зимой 1943/44 г. по указанию маршала авиации А.А. Новикова все истребители, имеющие новый камуфляж, в белый цвет уже не окрашивались.</w:t>
      </w:r>
    </w:p>
    <w:p w14:paraId="31C554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Насколько же пунктуально выполнялись требования "Схем ..." 1943 г.?</w:t>
      </w:r>
    </w:p>
    <w:p w14:paraId="7A55FF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часто стандартная схема встречается на фотографиях истребителей того периода (ЛаГГ-3, Ла-5, Як-3, Як-9). Правда, форма пятен бывает несколько искажена. Наиболее часто это выражается в отсутствии четких углов, которые при окраске пульверизатором без трафарета становятся скругленными. Больше всего отличий от "Схем..." наблюдается в окраске капотов. Возможно, это объясняется тем, что их лакокрасочное покрытие, как наиболее повреждаемое при эксплуатации, чаще подлежало ремонту.</w:t>
      </w:r>
    </w:p>
    <w:p w14:paraId="504AC5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Иначе обстояло дело с трехцветным камуфляжем. На самолетах Пе-2, Ил-4, Пе-8 и им подобных наносить его было нелегко из-за больших размеров. На многих заводах введение окраски самолетов по новым схемам задерживалось в связи с неполучением новых аэролаков, да и красить в три цвета (не считая голубого для нижних поверхностей) было сложнее, чем в два. В последний день июля НКАП обратился к начальнику Главного управления заказов ВВС генерал-лейтенанту Н.П. Селезневу с просьбой дать указания военпредам 11-го Главного управления (серийное производство легкомоторных самолетов) о приемке до 1 сентября самолетов с двухцветным камуфляжем. Из черновика письма, как нереальную мечту, замнаркома авиапромышленности П.В. Дементьев вычеркнул предложение о сохранении двухцветного камуфляжа для этих самолетов и "на дальнейший период".</w:t>
      </w:r>
    </w:p>
    <w:p w14:paraId="5F8EA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даже если машина была окрашена по трехцветной схеме, на фотографиях не всегда это можно увидеть, т.к. покрытия, выполненные зеленой краской АМТ-4 (или А-24м) и темно-серой АМТ-12 (А-32м), имели близкие коэффициенты отражения: до 9% и 12% соответственно. Учитывая, что зеленый цвет на черно-белых фотографиях выглядит темно-серым, различить эти цвета можно только на качественных снимках. где камуфлированные поверхности хорошо освещены. На таком общем фоне хорошо заметна лишь светло-коричневая эмаль АМТ-1 (коэффициент отражения до 22%).</w:t>
      </w:r>
    </w:p>
    <w:p w14:paraId="7DDECC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светлые пятна, полностью совпадающие по форме и месту расположения со "Схемами...", видны на некоторых фотографиях Ил-2, У-2 и, реже, Пе-2. Поэтому с достаточно большой уверенностью можно говорить об их стандартном трехцветном камуфляже. Известны фотографии и других самолетов, например. Ил-4. на которых ясно виден трехцветный камуфляж (правда, его рисунок не совпадает со "Схемами...").</w:t>
      </w:r>
    </w:p>
    <w:p w14:paraId="676502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"Схемах..." отсутствует камуфляж для Ту-2. На момент их разработки серийное производство его на заводе № 166 в Омске было остановлено. 17 июля 1943 г. (за день до утверждения "Схем..."!) вышло постановление ГКО о запуске Ту-2 в серию на московском заводе № 23. Первая же серийная машина покинула сборочный цех только в ноябре. Хотя для нее вполне можно было использовать схему камуфляжа близкого по размерам и конфигурации Пе-2, на заводе предпочли разработать собственный вариант с теми же тремя красками (А-21м, А-24м и А-32м).</w:t>
      </w:r>
    </w:p>
    <w:p w14:paraId="290BF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наконец, о причинах смены камуфляжа. Зелено-черный камуфляж лучше всего защищал от наблюдения сверху машину, стоящую на земле или летящую на небольшой высоте, когда расстояние от нее до фона значительно меньше, чем до наблюдателя и. следовательно, можно пренебречь влиянием атмосферной дымки между замаскированным самолетом и землей.</w:t>
      </w:r>
    </w:p>
    <w:p w14:paraId="4B93C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наблюдения различие участков земной поверхности по цвету постепенно уменьшается, все более сменяясь различием ахроматическим, т. е. только по светлоте. Дымка придавала расцветкам земного фона холодные, голубоватые оттенки. Тем самым зелено-черный истребитель, набирая высоту и приближаясь к противнику, летящему на большой высоте (расстояние от самолета до фона становилось больше, чем до наблюдателя), все заметнее выделялся зелеными пятнами на голубовато-сероватом фоне земли.</w:t>
      </w:r>
    </w:p>
    <w:p w14:paraId="7F190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давнее недовольство военных черно-зеленой окраской, казалось, причина ясна: советская авиация, переходя к активным действиям, набирала, в прямом и переносном смысле, высоту, для чего и понадобился новый камуфляж. Но все не так просто.</w:t>
      </w:r>
    </w:p>
    <w:p w14:paraId="7DCA8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Посмотрим, как тогда выглядела конструкция деревянных обшивок самолетов. Фанера приклеивалась к каркасу и покрывалась двумя слоями нитроклея, затем наносился тонкий слой шпатлевки, потом опять слой нитроклея и, наконец, наклеивалась ткань, которая покрывалась двумя слоями шпатлевки, грунтовочным слоем аэролака АН Ал (в военное временя этот слой мог не наноситься) и двумя слоями аэролака АМТ (11989).</w:t>
      </w:r>
    </w:p>
    <w:p w14:paraId="5CCCE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F4D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3762 Об увеличении производства противотанковых кумулятивных авиабомб ПТАБ-1,5.РГАНИР, Фонд ГКО, д. 134, лл. 179-189, 190-228 (11012).</w:t>
      </w:r>
    </w:p>
    <w:p w14:paraId="4F2D3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B8B5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27C49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6AF8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постановлением Правительства раз</w:t>
      </w:r>
      <w:r w:rsidRPr="00271E51">
        <w:rPr>
          <w:rFonts w:ascii="Times New Roman" w:hAnsi="Times New Roman"/>
          <w:color w:val="0070C0"/>
          <w:sz w:val="16"/>
          <w:szCs w:val="16"/>
        </w:rPr>
        <w:softHyphen/>
        <w:t>работанные в НАТИ камеры газификации УТВ внедрены в производство. Они использовались в упрощенных газогенераторных установках: Г-69, Г-70 (ЗИС-5); Г-58 (СХТЗ, ХТЗ-Т2Г); Г-59 и Г-71 (ГАЗ-АА). В условиях военного времени работы газо</w:t>
      </w:r>
      <w:r w:rsidRPr="00271E51">
        <w:rPr>
          <w:rFonts w:ascii="Times New Roman" w:hAnsi="Times New Roman"/>
          <w:color w:val="0070C0"/>
          <w:sz w:val="16"/>
          <w:szCs w:val="16"/>
        </w:rPr>
        <w:softHyphen/>
        <w:t>генераторного отдела приняли стратегический харак тер. Конструкцию газогенераторов упростили, отка</w:t>
      </w:r>
      <w:r w:rsidRPr="00271E51">
        <w:rPr>
          <w:rFonts w:ascii="Times New Roman" w:hAnsi="Times New Roman"/>
          <w:color w:val="0070C0"/>
          <w:sz w:val="16"/>
          <w:szCs w:val="16"/>
        </w:rPr>
        <w:softHyphen/>
        <w:t>завшись от литых деталей, с целью возможности про</w:t>
      </w:r>
      <w:r w:rsidRPr="00271E51">
        <w:rPr>
          <w:rFonts w:ascii="Times New Roman" w:hAnsi="Times New Roman"/>
          <w:color w:val="0070C0"/>
          <w:sz w:val="16"/>
          <w:szCs w:val="16"/>
        </w:rPr>
        <w:softHyphen/>
        <w:t>изводства в обычных мастерских, где есть сварка.</w:t>
      </w:r>
    </w:p>
    <w:p w14:paraId="15C8F044"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этот период значительная часть автотран</w:t>
      </w:r>
      <w:r w:rsidRPr="00271E51">
        <w:rPr>
          <w:rFonts w:ascii="Times New Roman" w:hAnsi="Times New Roman"/>
          <w:color w:val="0070C0"/>
          <w:sz w:val="16"/>
          <w:szCs w:val="16"/>
        </w:rPr>
        <w:softHyphen/>
        <w:t>спорта была переведена на твердое топливо. Доля газогенераторных автомобилей в автохозяйствах превышала 50 % и продолжала увеличиваться. Газо</w:t>
      </w:r>
      <w:r w:rsidRPr="00271E51">
        <w:rPr>
          <w:rFonts w:ascii="Times New Roman" w:hAnsi="Times New Roman"/>
          <w:color w:val="0070C0"/>
          <w:sz w:val="16"/>
          <w:szCs w:val="16"/>
        </w:rPr>
        <w:softHyphen/>
        <w:t>генераторные автомобили широко использовались в автотранспортных батальонах Красной Армии, По всей стране к производству газогенераторов присту</w:t>
      </w:r>
      <w:r w:rsidRPr="00271E51">
        <w:rPr>
          <w:rFonts w:ascii="Times New Roman" w:hAnsi="Times New Roman"/>
          <w:color w:val="0070C0"/>
          <w:sz w:val="16"/>
          <w:szCs w:val="16"/>
        </w:rPr>
        <w:softHyphen/>
        <w:t>пили предприятия местной промышленности, пред</w:t>
      </w:r>
      <w:r w:rsidRPr="00271E51">
        <w:rPr>
          <w:rFonts w:ascii="Times New Roman" w:hAnsi="Times New Roman"/>
          <w:color w:val="0070C0"/>
          <w:sz w:val="16"/>
          <w:szCs w:val="16"/>
        </w:rPr>
        <w:softHyphen/>
        <w:t>ставляющие собой кустарные мастерские. В Москве к переоборудованию автомобилей подключился ав</w:t>
      </w:r>
      <w:r w:rsidRPr="00271E51">
        <w:rPr>
          <w:rFonts w:ascii="Times New Roman" w:hAnsi="Times New Roman"/>
          <w:color w:val="0070C0"/>
          <w:sz w:val="16"/>
          <w:szCs w:val="16"/>
        </w:rPr>
        <w:softHyphen/>
        <w:t>торемонтный завод. Часть автобусов столицы также переводились на твердое топливо. Газогенератор</w:t>
      </w:r>
      <w:r w:rsidRPr="00271E51">
        <w:rPr>
          <w:rFonts w:ascii="Times New Roman" w:hAnsi="Times New Roman"/>
          <w:color w:val="0070C0"/>
          <w:sz w:val="16"/>
          <w:szCs w:val="16"/>
        </w:rPr>
        <w:softHyphen/>
        <w:t>ная установка размещалась в прицепе.</w:t>
      </w:r>
    </w:p>
    <w:p w14:paraId="58B61DD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связи с труднос</w:t>
      </w:r>
      <w:r w:rsidRPr="00271E51">
        <w:rPr>
          <w:rFonts w:ascii="Times New Roman" w:hAnsi="Times New Roman"/>
          <w:color w:val="0070C0"/>
          <w:sz w:val="16"/>
          <w:szCs w:val="16"/>
        </w:rPr>
        <w:softHyphen/>
        <w:t>тями, возникающими при переоборудова</w:t>
      </w:r>
      <w:r w:rsidRPr="00271E51">
        <w:rPr>
          <w:rFonts w:ascii="Times New Roman" w:hAnsi="Times New Roman"/>
          <w:color w:val="0070C0"/>
          <w:sz w:val="16"/>
          <w:szCs w:val="16"/>
        </w:rPr>
        <w:softHyphen/>
        <w:t>нии двигателя ГАЗ для работы на генератор</w:t>
      </w:r>
      <w:r w:rsidRPr="00271E51">
        <w:rPr>
          <w:rFonts w:ascii="Times New Roman" w:hAnsi="Times New Roman"/>
          <w:color w:val="0070C0"/>
          <w:sz w:val="16"/>
          <w:szCs w:val="16"/>
        </w:rPr>
        <w:softHyphen/>
        <w:t>ном газе, предусмат</w:t>
      </w:r>
      <w:r w:rsidRPr="00271E51">
        <w:rPr>
          <w:rFonts w:ascii="Times New Roman" w:hAnsi="Times New Roman"/>
          <w:color w:val="0070C0"/>
          <w:sz w:val="16"/>
          <w:szCs w:val="16"/>
        </w:rPr>
        <w:softHyphen/>
        <w:t>ривающем замену, помимо прочих дета</w:t>
      </w:r>
      <w:r w:rsidRPr="00271E51">
        <w:rPr>
          <w:rFonts w:ascii="Times New Roman" w:hAnsi="Times New Roman"/>
          <w:color w:val="0070C0"/>
          <w:sz w:val="16"/>
          <w:szCs w:val="16"/>
        </w:rPr>
        <w:softHyphen/>
        <w:t>лей, также карбюрато</w:t>
      </w:r>
      <w:r w:rsidRPr="00271E51">
        <w:rPr>
          <w:rFonts w:ascii="Times New Roman" w:hAnsi="Times New Roman"/>
          <w:color w:val="0070C0"/>
          <w:sz w:val="16"/>
          <w:szCs w:val="16"/>
        </w:rPr>
        <w:softHyphen/>
        <w:t>ра и всасывающего коллектора, разрабо</w:t>
      </w:r>
      <w:r w:rsidRPr="00271E51">
        <w:rPr>
          <w:rFonts w:ascii="Times New Roman" w:hAnsi="Times New Roman"/>
          <w:color w:val="0070C0"/>
          <w:sz w:val="16"/>
          <w:szCs w:val="16"/>
        </w:rPr>
        <w:softHyphen/>
        <w:t>тан специальный дви</w:t>
      </w:r>
      <w:r w:rsidRPr="00271E51">
        <w:rPr>
          <w:rFonts w:ascii="Times New Roman" w:hAnsi="Times New Roman"/>
          <w:color w:val="0070C0"/>
          <w:sz w:val="16"/>
          <w:szCs w:val="16"/>
        </w:rPr>
        <w:softHyphen/>
        <w:t>гатель под газогенера</w:t>
      </w:r>
      <w:r w:rsidRPr="00271E51">
        <w:rPr>
          <w:rFonts w:ascii="Times New Roman" w:hAnsi="Times New Roman"/>
          <w:color w:val="0070C0"/>
          <w:sz w:val="16"/>
          <w:szCs w:val="16"/>
        </w:rPr>
        <w:softHyphen/>
        <w:t>торную установку НАТИ-Г71. В нем ис</w:t>
      </w:r>
      <w:r w:rsidRPr="00271E51">
        <w:rPr>
          <w:rFonts w:ascii="Times New Roman" w:hAnsi="Times New Roman"/>
          <w:color w:val="0070C0"/>
          <w:sz w:val="16"/>
          <w:szCs w:val="16"/>
        </w:rPr>
        <w:softHyphen/>
        <w:t>пользовались имею</w:t>
      </w:r>
      <w:r w:rsidRPr="00271E51">
        <w:rPr>
          <w:rFonts w:ascii="Times New Roman" w:hAnsi="Times New Roman"/>
          <w:color w:val="0070C0"/>
          <w:sz w:val="16"/>
          <w:szCs w:val="16"/>
        </w:rPr>
        <w:softHyphen/>
        <w:t>щиеся коллектор и кар</w:t>
      </w:r>
      <w:r w:rsidRPr="00271E51">
        <w:rPr>
          <w:rFonts w:ascii="Times New Roman" w:hAnsi="Times New Roman"/>
          <w:color w:val="0070C0"/>
          <w:sz w:val="16"/>
          <w:szCs w:val="16"/>
        </w:rPr>
        <w:softHyphen/>
        <w:t>бюратор, а сложные в изготовлении тросы приводов заменялись жестки</w:t>
      </w:r>
      <w:r w:rsidRPr="00271E51">
        <w:rPr>
          <w:rFonts w:ascii="Times New Roman" w:hAnsi="Times New Roman"/>
          <w:color w:val="0070C0"/>
          <w:sz w:val="16"/>
          <w:szCs w:val="16"/>
        </w:rPr>
        <w:softHyphen/>
        <w:t>ми тягами. Корпус смесителя, в зависимости от про</w:t>
      </w:r>
      <w:r w:rsidRPr="00271E51">
        <w:rPr>
          <w:rFonts w:ascii="Times New Roman" w:hAnsi="Times New Roman"/>
          <w:color w:val="0070C0"/>
          <w:sz w:val="16"/>
          <w:szCs w:val="16"/>
        </w:rPr>
        <w:softHyphen/>
        <w:t>изводственных возможностей, мог быть выполнен сварным или литым.</w:t>
      </w:r>
    </w:p>
    <w:p w14:paraId="5DA3C9B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Поскольку в условиях военного времени возника</w:t>
      </w:r>
      <w:r w:rsidRPr="00271E51">
        <w:rPr>
          <w:rFonts w:ascii="Times New Roman" w:hAnsi="Times New Roman"/>
          <w:color w:val="0070C0"/>
          <w:sz w:val="16"/>
          <w:szCs w:val="16"/>
        </w:rPr>
        <w:softHyphen/>
        <w:t>ла необходимость сократить потребность, главным образом, в прокатной стали, установка НАТИ-Г71 представляла собой видоизменение конструкции Г-59У, произведенное с целью сокращения расхода металла. Экономия металла в основном достига</w:t>
      </w:r>
      <w:r w:rsidRPr="00271E51">
        <w:rPr>
          <w:rFonts w:ascii="Times New Roman" w:hAnsi="Times New Roman"/>
          <w:color w:val="0070C0"/>
          <w:sz w:val="16"/>
          <w:szCs w:val="16"/>
        </w:rPr>
        <w:softHyphen/>
        <w:t>лась за счет замены металлических пластин балок крепления и пластин грубых очистителей деревян</w:t>
      </w:r>
      <w:r w:rsidRPr="00271E51">
        <w:rPr>
          <w:rFonts w:ascii="Times New Roman" w:hAnsi="Times New Roman"/>
          <w:color w:val="0070C0"/>
          <w:sz w:val="16"/>
          <w:szCs w:val="16"/>
        </w:rPr>
        <w:softHyphen/>
        <w:t>ными, уменьшения объема газогенератора и тонкого очистителя, а также за счет конструктивных измене</w:t>
      </w:r>
      <w:r w:rsidRPr="00271E51">
        <w:rPr>
          <w:rFonts w:ascii="Times New Roman" w:hAnsi="Times New Roman"/>
          <w:color w:val="0070C0"/>
          <w:sz w:val="16"/>
          <w:szCs w:val="16"/>
        </w:rPr>
        <w:softHyphen/>
        <w:t>ний и уменьшения толщины стенок. В результате, экономия металла, потребляемого для изготовления установки Г-71, по сравнению с Г-59У, составляла 44 % (без колец Рошига).</w:t>
      </w:r>
    </w:p>
    <w:p w14:paraId="6F7DB6E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связи с изменением конструкции менялось и расположение агрегатов установки на автомобиле: тонкий очиститель сдвинули вперед; платформа не имеет для него выреза и сдвинута назад на 140 мм; клиренс газогенератора и тонкого очистителя увели</w:t>
      </w:r>
      <w:r w:rsidRPr="00271E51">
        <w:rPr>
          <w:rFonts w:ascii="Times New Roman" w:hAnsi="Times New Roman"/>
          <w:color w:val="0070C0"/>
          <w:sz w:val="16"/>
          <w:szCs w:val="16"/>
        </w:rPr>
        <w:softHyphen/>
        <w:t>чили с 342 до 405 мм. Запасное колесо размести</w:t>
      </w:r>
      <w:r w:rsidRPr="00271E51">
        <w:rPr>
          <w:rFonts w:ascii="Times New Roman" w:hAnsi="Times New Roman"/>
          <w:color w:val="0070C0"/>
          <w:sz w:val="16"/>
          <w:szCs w:val="16"/>
        </w:rPr>
        <w:softHyphen/>
        <w:t>лось между кабиной и платформой.</w:t>
      </w:r>
    </w:p>
    <w:p w14:paraId="44DDFAA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целью сокращения потребления металла, при условии сохранения схемы газогенераторной установки Г-69, спроектирована установка НАТИ- Г70 для автомобиля ЗИС-5. Достигнутая экономия металла, расходуемого при ее изготовлении, соста</w:t>
      </w:r>
      <w:r w:rsidRPr="00271E51">
        <w:rPr>
          <w:rFonts w:ascii="Times New Roman" w:hAnsi="Times New Roman"/>
          <w:color w:val="0070C0"/>
          <w:sz w:val="16"/>
          <w:szCs w:val="16"/>
        </w:rPr>
        <w:softHyphen/>
        <w:t>вила 38 %. Облегченная газогенераторная установ</w:t>
      </w:r>
      <w:r w:rsidRPr="00271E51">
        <w:rPr>
          <w:rFonts w:ascii="Times New Roman" w:hAnsi="Times New Roman"/>
          <w:color w:val="0070C0"/>
          <w:sz w:val="16"/>
          <w:szCs w:val="16"/>
        </w:rPr>
        <w:softHyphen/>
        <w:t>ка Г-70 отличалась от Г-69 и размещением на шасси автомобиля.</w:t>
      </w:r>
    </w:p>
    <w:p w14:paraId="12E5D0E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Газогенератор располагался с левой стороны, а тонкий очиститель и вентилятор для розжига - с пра</w:t>
      </w:r>
      <w:r w:rsidRPr="00271E51">
        <w:rPr>
          <w:rFonts w:ascii="Times New Roman" w:hAnsi="Times New Roman"/>
          <w:color w:val="0070C0"/>
          <w:sz w:val="16"/>
          <w:szCs w:val="16"/>
        </w:rPr>
        <w:softHyphen/>
        <w:t>вой. В силу этого в платформе, которая была сдви</w:t>
      </w:r>
      <w:r w:rsidRPr="00271E51">
        <w:rPr>
          <w:rFonts w:ascii="Times New Roman" w:hAnsi="Times New Roman"/>
          <w:color w:val="0070C0"/>
          <w:sz w:val="16"/>
          <w:szCs w:val="16"/>
        </w:rPr>
        <w:softHyphen/>
        <w:t>нута назад на 33 мм, делался вырез только для газо</w:t>
      </w:r>
      <w:r w:rsidRPr="00271E51">
        <w:rPr>
          <w:rFonts w:ascii="Times New Roman" w:hAnsi="Times New Roman"/>
          <w:color w:val="0070C0"/>
          <w:sz w:val="16"/>
          <w:szCs w:val="16"/>
        </w:rPr>
        <w:softHyphen/>
        <w:t>генератора. Для улучшения проходимости клиренс газогенератора и тонкого очистителя увеличен с 415 до 480 мм. Экономия металла достигнута за счет уменьшения габаритных размеров газогенера</w:t>
      </w:r>
      <w:r w:rsidRPr="00271E51">
        <w:rPr>
          <w:rFonts w:ascii="Times New Roman" w:hAnsi="Times New Roman"/>
          <w:color w:val="0070C0"/>
          <w:sz w:val="16"/>
          <w:szCs w:val="16"/>
        </w:rPr>
        <w:softHyphen/>
        <w:t>тора и тонкого очистителя, уменьшения толщины стенок их корпуса с 2 до 1,5 мм, уменьшения емкос</w:t>
      </w:r>
      <w:r w:rsidRPr="00271E51">
        <w:rPr>
          <w:rFonts w:ascii="Times New Roman" w:hAnsi="Times New Roman"/>
          <w:color w:val="0070C0"/>
          <w:sz w:val="16"/>
          <w:szCs w:val="16"/>
        </w:rPr>
        <w:softHyphen/>
        <w:t>ти бункера газогенератора Г-70 на 20 %. В силу это</w:t>
      </w:r>
      <w:r w:rsidRPr="00271E51">
        <w:rPr>
          <w:rFonts w:ascii="Times New Roman" w:hAnsi="Times New Roman"/>
          <w:color w:val="0070C0"/>
          <w:sz w:val="16"/>
          <w:szCs w:val="16"/>
        </w:rPr>
        <w:softHyphen/>
        <w:t>го пробег автомобиля на одной загрузке снизился с 75 до 55 км (22518).</w:t>
      </w:r>
    </w:p>
    <w:p w14:paraId="158D0265" w14:textId="77777777" w:rsidR="009274CE" w:rsidRPr="00271E51" w:rsidRDefault="009274CE" w:rsidP="00271E51">
      <w:pPr>
        <w:spacing w:after="0" w:line="240" w:lineRule="auto"/>
        <w:jc w:val="both"/>
        <w:rPr>
          <w:rFonts w:ascii="Times New Roman" w:hAnsi="Times New Roman"/>
          <w:color w:val="0070C0"/>
          <w:sz w:val="16"/>
          <w:szCs w:val="16"/>
        </w:rPr>
      </w:pPr>
    </w:p>
    <w:p w14:paraId="152F4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3763 Об увеличении производства и поставок 122 мм гаубичных и 152 мм пушечно-гаубичных снарядов.РГАНИР, Фонд ГКО, д. 134, лл. 229-235, 236-238 (11012).</w:t>
      </w:r>
    </w:p>
    <w:p w14:paraId="517CC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69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3765 Об обеспечении жилплощадью работников НИИ-20 НКэлектропрома, переведенных из г. Барнаула в г. Москву.РГАНИР, Фонд ГКО, д. 134, лл. 240-241 (11012).</w:t>
      </w:r>
    </w:p>
    <w:p w14:paraId="08E09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B9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Распоряжение ГКО № 3766. О временной передаче в распоряжение ВС СКФ здания Краснодарского завода измерительных приборов.РГАНИР, Фонд ГКО, д. 134, лл. 242 (11012).</w:t>
      </w:r>
    </w:p>
    <w:p w14:paraId="52E2C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691B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3767 О мероприятиях по материально-техническому обеспечению в III квартале 1943 г. производства автомобильных, авиационных, артиллерийских шин и других резинотехнических изделий.РГАНИР, Фонд ГКО, д. 134, лл. 243-250, 251-256 (11012).</w:t>
      </w:r>
    </w:p>
    <w:p w14:paraId="3B53F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E6EE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3768 Об увеличении добычи угля на шахтах в Киргизской и Таджикской ССР во втором полугодии 1943 года. (7123, 1-5,6-7).</w:t>
      </w:r>
    </w:p>
    <w:p w14:paraId="5070839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5B14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вышло Постановление ГКО № 3769 О производстве и поставке Наркомобороны, Наркомвоенморфлоту и войскам НКВД СССР средств инженерного вооружения в III квартале 1943 г. (7123, 8-12,13-44).</w:t>
      </w:r>
    </w:p>
    <w:p w14:paraId="491F57D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7AE6B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FF2F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64EFB"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в 1943 году оперативная сводка Совинформбюро:</w:t>
      </w:r>
    </w:p>
    <w:p w14:paraId="5990BD83"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июля наши войска на Орловском участке фронта продолжали наступление и, преодолевая контратаки противника, продвинулись вперёд на 4 — 6 километров.</w:t>
      </w:r>
    </w:p>
    <w:p w14:paraId="20C32BA0"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усиленные поиски разведчиков.</w:t>
      </w:r>
    </w:p>
    <w:p w14:paraId="7A6D5537"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июля наши войска на Орловском участке фронта подбили и уничтожили 78 немецких танков и 20 бронемашин. В воздушных боях и огнём зенитной артиллерии уничтожено 137 самолётов противника.</w:t>
      </w:r>
    </w:p>
    <w:p w14:paraId="4F6B12BE"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наши войска, преодолевая сопротивление противникаи отражая его контратаки, продолжали продвигаться вперёд. Части Н-ского соединения заняли ряд населённых пунктов. Уничтожено 900 немецких солдат и офицеров. Части другого соединения, развивая наступление, уничтожили до 3.000 гитлеровцев, 61 орудие, 138 пулемётов и 25 миномётов. Подразделения Н-ской гвардейской части штурмом взяли сильно укреплённый противником населённый пункт, уничтожив при этом до батальона немецкой пехоты. Захвачено несколько складов с оружием и продовольствием. На одном участке крупные силы вражеской пехоты при поддержке 40 танков перешли в контратаку. Бойцы Н-ской гвардейской части встретили немцев огнём из всех видов оружия. Контратака противника захлебнулась. На поле боя остались сотни трупов немецких солдат и офицеров и 17 подбитых и сгоревших танков.</w:t>
      </w:r>
    </w:p>
    <w:p w14:paraId="59BAF54A"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происходили поиски разведывательных отрядов. Группа бойцов во главе с капитаном Волковым на танке проникла в расположение врага и обнаружила 20 немецких танков. Разведчики вернулись в своё подразделениеи в сопровождении ещё двух танков снова направились к месту скопления вражеских машин. Скрытно подойдя к расположению противника, три советских танка на полном ходу ринулись в атаку. Не ожидавшие удара немецкие танки, беспорядочно отстреливаясь, стали отходить. На поле боя остались 9 подбитых и горящих танков противника. Разведчики младший сержант Романенко и красноармеец Грушецкий проникли в расположение противника, взорвали вражескую огневую точку, истребили10 гитлеровцев и захватили в плен немецкого офицера. Старшина Егоров очередью из ручного пулемёта сбил вражеский истребитель «Мессершмитт-109». Красноармеец Каврига двумя выстрелами из противотанкового ружья поджёг бомбардировщик «Юнкерс-88». Самолёт упал на нашей территории и сгорел вместе с экипажем.</w:t>
      </w:r>
    </w:p>
    <w:p w14:paraId="7460F1CB"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немцы, пытаясь вернуть потерянную накануне высоту, предприняли несколько контратак. Наши подразделения отбили все контратаки гитлеровцев и прочно удерживают занятые позиции. На поле боя осталосьдо 200 вражеских трупов, 8 сгоревших и подбитых немецких танков.</w:t>
      </w:r>
    </w:p>
    <w:p w14:paraId="4628F7C0"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Чёрном море потоплена подводная лодка противника.</w:t>
      </w:r>
    </w:p>
    <w:p w14:paraId="2CB55618"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 немецкий транспорт, повреждены два транспорта и сторожевой корабль противника.</w:t>
      </w:r>
    </w:p>
    <w:p w14:paraId="43B4AC49"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 сторону Красной Армии перешли семь солдат 262 немецкой пехотной дивизии. Перебежчики приехали сдаваться в плен на пяти автомашинах, нагруженных боеприпасами.</w:t>
      </w:r>
    </w:p>
    <w:p w14:paraId="054256FF"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 партизанского отряда, действующего в одном из районов Ленинградской области, немцы снарядили крупную карательную экспедицию. Свыше тысячи вражеских солдат и офицеров с танками и артиллерией осаждали партизан. Заняв круговую оборону, советские патриоты в течение дня отбивали атаки противника. Измотав немцев стойкой обороной, партизаны перешли в контратаку и прорвали кольцо окружения. В этом бою немцы потеряли только убитыми 130 солдат и офицеров. Уничтожены 2 ненецких танка и несколько автомашин с боеприпасами.</w:t>
      </w:r>
    </w:p>
    <w:p w14:paraId="5D102C62"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солдаты, захваченные в плен на Орловском участке фронта, сообщают о тяжёлых потерях немецкой армии. Перешедшие на сторону Красной Армии ефрейторы 192 полка 56 немецкой пехотной дивизии Людвиг В. и Август К. рассказали: «Русская артиллерия и авиация произвели большие опустошения в рядах нашегополка. Некоторые подразделения в первый же день потеряли до 60 процентов личногосостава. Когда русские перешли в наступление и прорвали нашу оборону, командование, опасаясь окружения, отдало приказ об отходе. Началось беспорядочное бегство. Многие солдаты бросали оружие, шинели, одеяла и другие личные вещи. Воспользовавшись паникой, мы незаметно отделились от своего взвода и повернули по направлению к русским сдаваться в плен».</w:t>
      </w:r>
    </w:p>
    <w:p w14:paraId="50838AD6"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унтер-офицер 6 роты 482 немецкого пехотного полка Иоганн Шнебергер рассказал: «Из 80 солдат 6 роты в первый день наступления русских уцелело только 8 человек, да и те попали в плен».</w:t>
      </w:r>
    </w:p>
    <w:p w14:paraId="61720869"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фельдфебель 208 немецкой пехотной дивизии Герберт Гендоляр рассказал: «Командование прилагало все усилия, чтобы остановить наступление русских, но безрезультатно. За три дня многие подразделения дивизии уничтожены. Бешеныйогонь русских батарей выбил нас из колеи. Мы не знали, куда деваться и чтоделать. Солдаты с ужасом говорили: «Русские нам готовят летний Сталинград» (14956).</w:t>
      </w:r>
    </w:p>
    <w:p w14:paraId="6EB987B9"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5E98A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ФАБ-5000 сбрасывали с Пе-8 (ТБ-7) N 42059 и N 422110 по вокзалу в Орле (Шатров и Додонов). Эффект был не очень-то существенным, хуже чем у ФАБ-2000 (1103,118).</w:t>
      </w:r>
    </w:p>
    <w:p w14:paraId="224149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E4B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 возрасте 26 лет погибла Е.В.Буданова, которая сбила свой первый Ме-109 6 октября 1942 и которая летала в паре с Л.Литвяк и у которой было 10 побед (3431).</w:t>
      </w:r>
    </w:p>
    <w:p w14:paraId="62A1EB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E0966"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шесть Илов из 946</w:t>
      </w:r>
      <w:r w:rsidRPr="00271E51">
        <w:rPr>
          <w:rFonts w:ascii="Times New Roman" w:hAnsi="Times New Roman"/>
          <w:color w:val="0070C0"/>
          <w:sz w:val="16"/>
          <w:szCs w:val="16"/>
        </w:rPr>
        <w:noBreakHyphen/>
        <w:t>го шап, которых прикрывали восемь Ла</w:t>
      </w:r>
      <w:r w:rsidRPr="00271E51">
        <w:rPr>
          <w:rFonts w:ascii="Times New Roman" w:hAnsi="Times New Roman"/>
          <w:color w:val="0070C0"/>
          <w:sz w:val="16"/>
          <w:szCs w:val="16"/>
        </w:rPr>
        <w:noBreakHyphen/>
        <w:t>5, произвели аэрофотосъемку нескольких авиабаз люфтваффе и обнаружили там десятки немецких самолетов. Попутно в том же районе воздушную разведку вели разведчики Р</w:t>
      </w:r>
      <w:r w:rsidRPr="00271E51">
        <w:rPr>
          <w:rFonts w:ascii="Times New Roman" w:hAnsi="Times New Roman"/>
          <w:color w:val="0070C0"/>
          <w:sz w:val="16"/>
          <w:szCs w:val="16"/>
        </w:rPr>
        <w:noBreakHyphen/>
        <w:t>39, Пе</w:t>
      </w:r>
      <w:r w:rsidRPr="00271E51">
        <w:rPr>
          <w:rFonts w:ascii="Times New Roman" w:hAnsi="Times New Roman"/>
          <w:color w:val="0070C0"/>
          <w:sz w:val="16"/>
          <w:szCs w:val="16"/>
        </w:rPr>
        <w:noBreakHyphen/>
        <w:t>2 и Пе</w:t>
      </w:r>
      <w:r w:rsidRPr="00271E51">
        <w:rPr>
          <w:rFonts w:ascii="Times New Roman" w:hAnsi="Times New Roman"/>
          <w:color w:val="0070C0"/>
          <w:sz w:val="16"/>
          <w:szCs w:val="16"/>
        </w:rPr>
        <w:noBreakHyphen/>
        <w:t>3 из 98</w:t>
      </w:r>
      <w:r w:rsidRPr="00271E51">
        <w:rPr>
          <w:rFonts w:ascii="Times New Roman" w:hAnsi="Times New Roman"/>
          <w:color w:val="0070C0"/>
          <w:sz w:val="16"/>
          <w:szCs w:val="16"/>
        </w:rPr>
        <w:noBreakHyphen/>
        <w:t>го гвардейского отдельного дальнего разведывательного полка. Основываясь на полученных данных, 21 июля штурмовики 224</w:t>
      </w:r>
      <w:r w:rsidRPr="00271E51">
        <w:rPr>
          <w:rFonts w:ascii="Times New Roman" w:hAnsi="Times New Roman"/>
          <w:color w:val="0070C0"/>
          <w:sz w:val="16"/>
          <w:szCs w:val="16"/>
        </w:rPr>
        <w:noBreakHyphen/>
        <w:t>й шад снова полетели бомбить Карачев. Правда, при этом они заблудились и вместо него проштурмовали Брянск. Как водится, затем было доложено о множестве сожженных на земле «стервятников». Фактически же на аэродроме Озерская был уничтожен один Fi</w:t>
      </w:r>
      <w:r w:rsidRPr="00271E51">
        <w:rPr>
          <w:rFonts w:ascii="Times New Roman" w:hAnsi="Times New Roman"/>
          <w:color w:val="0070C0"/>
          <w:sz w:val="16"/>
          <w:szCs w:val="16"/>
        </w:rPr>
        <w:noBreakHyphen/>
        <w:t>156 «Шторьх» из 3</w:t>
      </w:r>
      <w:r w:rsidRPr="00271E51">
        <w:rPr>
          <w:rFonts w:ascii="Times New Roman" w:hAnsi="Times New Roman"/>
          <w:color w:val="0070C0"/>
          <w:sz w:val="16"/>
          <w:szCs w:val="16"/>
        </w:rPr>
        <w:noBreakHyphen/>
        <w:t>й связной эскадрильи (23199).</w:t>
      </w:r>
    </w:p>
    <w:p w14:paraId="161B6FC4" w14:textId="77777777" w:rsidR="00524306" w:rsidRPr="00271E51" w:rsidRDefault="00524306" w:rsidP="00271E51">
      <w:pPr>
        <w:spacing w:after="0" w:line="240" w:lineRule="auto"/>
        <w:jc w:val="both"/>
        <w:rPr>
          <w:rFonts w:ascii="Times New Roman" w:hAnsi="Times New Roman"/>
          <w:color w:val="0070C0"/>
          <w:sz w:val="16"/>
          <w:szCs w:val="16"/>
        </w:rPr>
      </w:pPr>
    </w:p>
    <w:p w14:paraId="78D0A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"Во второй половине дня (611-й иап), - вспоминал летчик Н.Ф. Исаенко, - возвратился с боевого задания командир 3-й эскадрильи капитан Чурилин. Летал он во главе группы, сопровождавшей штурмовики. Доложил, что наблюдал выдвижение танковой колонны противника на восток от Львова.</w:t>
      </w:r>
    </w:p>
    <w:p w14:paraId="76C2A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Сообщение капитана Чурилина передали в штаб 8 штурмового авиакорпуса, откуда оно немедленно пошло к командующему 2-й ВА генералу С.А. Красовскому.</w:t>
      </w:r>
    </w:p>
    <w:p w14:paraId="24FE1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Проследить, куда идут вражеские танки и сфотографировать колонну! - приказал Красовский...</w:t>
      </w:r>
    </w:p>
    <w:p w14:paraId="42CB3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Капитан Батаров решил, что полетят младший лейтенант Мордовский и его ведомый младший лейтенант Бабков. Два Як-9 поднялись в воздух и исчезли, а через пять- десять минут с ними прервалась связь... </w:t>
      </w:r>
    </w:p>
    <w:p w14:paraId="083998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Помарачнел даже не неунывающий Бата- ров. Все до боли в глазах всматривались в горизонт.</w:t>
      </w:r>
    </w:p>
    <w:p w14:paraId="249418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Глядите, глядите! - крикнул кто-то.</w:t>
      </w:r>
    </w:p>
    <w:p w14:paraId="606CEF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Плохо различимые в солнечной пыли заката показались на горизонте две точки. Наши или не наши?</w:t>
      </w:r>
    </w:p>
    <w:p w14:paraId="4E304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Постепенно верхняя точка преобразовалась в нормальный силуэт истребителя Як-9, а нижняя - в силуэт самолета типа "летающее крыло"...</w:t>
      </w:r>
    </w:p>
    <w:p w14:paraId="2D300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и странный аппарат с ходу пошли на посадку. Только тогда мы признали в "летающем крыле" машину младшего лейтенанта Мордовского: лонжероны и подкосы ее фюзеляжа не имели обшивки, в стабилизаторе зияли отверстия, лонжерон и каркас левого руля глубины были оголены.</w:t>
      </w:r>
    </w:p>
    <w:p w14:paraId="25D138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Мордовский сумел посадить ограниченно управляемую машину на довольно короткую ВПП нашего аэродрома только после третьего захода, буквально прижав "як" к земле на колеса с поднятым хвостом в самом начале полосы и закончив пробег все-таки за ее пределами, в неубранных подсолнухах: воздушная проводка к посадочным щиткам и тормозам "яка" была перебита осколками снарядов" (12046).</w:t>
      </w:r>
    </w:p>
    <w:p w14:paraId="667D7F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FB0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по 25 июля 1943 в ходе Орловской наступательной авиации последовательно в сражение ввели 25ТК, 11А, 4ТА, 2ГКавК и ввод поддерживался силами 1ВА и 15ВА (340,149).</w:t>
      </w:r>
    </w:p>
    <w:p w14:paraId="7890A6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631C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5C17D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01E0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Американская авиация нанесла первый бомбовый удар по Риму. Бомбардировке подверглись аэропорт и железнодорожный вокзал (4963 ).</w:t>
      </w:r>
    </w:p>
    <w:p w14:paraId="78BBE6F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97E945"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в 1943 году американская авиация нанесла первый бомбовый удар по Риму. Бомбардировке подверглись аэропорт и железнодорожный вокзал (14956).</w:t>
      </w:r>
    </w:p>
    <w:p w14:paraId="6DDCD29B"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4B887CA5"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в 1943 году дирижабль «К-74» (командир лейтенант Гриллс), эскортировал танкер и грузовое судно у берегов Флориды. В это время экипаж обнаружил неподалеку от конвоя немецкую подводную лодку «U-134», которая находилась в надводном положении. Другой охраны у конвоя не было, и в этой критической ситуации Гриллс решил немедленно атаковать противника. Необходимо заметить, что командир нарушил приказ, который запрещал нападать дирижаблям на надводные корабли и подводные лодки в надводном положении. Воздушный корабль развернулся в сторону подлодки и стал быстро снижаться, чтобы поточнее сбросить бомбы. Экипаж лодки заметил опасность и открыл из зенитного пулемета огонь по дирижаблю. Промахнуться было невозможно: цель была очень велика. Оболочка дирижабля получила серьезные повреждения, и он стал быстро терять высоту. Гриллс изо всех сил пытался дотянуть до подлодки и, когда это чудом ему удалось, выяснилось, что поврежден механизм сброса бомб. Дирижабль рухнул в море, накрыв собой подлодку, но ей удалось погрузиться и уйти. Девять из десяти членов экипажа дирижабля подобрал грузовой корабль.</w:t>
      </w:r>
    </w:p>
    <w:p w14:paraId="4E2294FD"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нарушение приказа, за героические действия Гриллс был награжден «Летным крестом» (14956).</w:t>
      </w:r>
    </w:p>
    <w:p w14:paraId="1FBA9FF4"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559718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года дирижабль К-74 (командир лейтенант Гриллс), эскортировал танкер и грузовое судно у берегов Флориды. В это время экипаж обнаружил неподалеку от конвоя немецкую подводную лодку U-134, которая находилась в надводном положении. Другой охраны у конвоя не было, и в этой критической ситуации Гриллс решил немедленно атаковать противника. Необходимо заметить, что командир нарушил приказ, который запрещал нападать дирижаблям на надводные корабли и подводные лодки в надводном положении. Воздушный корабль развернулся в сторону подлодки и стал быстро снижаться, чтобы поточнее сбросить бомбы. Экипаж лодки заметил опасность и открыл из зенитного пулемета огонь по дирижаблю. Промахнуться было невозможно: цель была очень велика. Оболочка дирижабля получила серьезные повреждения, и он стал быстро терять высоту. Гриллс изо всех сил пытался дотянуть до подлодки и, когда это чудом ему удалось, выяснилось, что поврежден механизм сброса бомб. Дирижабль рухнул в море, накрыв собой подлодку, но ей удалось погрузиться и уйти. Девять из десяти членов экипажа дирижабля подобрал грузовой корабль. Несмотря на нарушение приказа, за героические действия Гриллс был награжден «Летным крестом». Этот инцидент вызвал оживленные дебаты среди военных специалистов по тактике использования дирижаблей. Однако все споры и различные точки зрения по поводу целесообразности применения дирижаблей не смогли побороть аргументы простых моряков, для которых присутствие над караваном торговых судов вдали от безопасных гаваней величественных воздушных гигантов было огромным моральным стимулом (11324).</w:t>
      </w:r>
    </w:p>
    <w:p w14:paraId="20997D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91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18 1943 The airship K-74, while on night patrol off the Florida coast, attacked a surfaced U-boat and in the gun duel which followed was hit and brought down 1943 the only airship lost to enemy action in World War II. The submarine, U-134, was damaged enough to force her return to base, and after surviving two other attacks on the way, was finally sunk by British bombers in the Bay of Biscay (1090).</w:t>
      </w:r>
    </w:p>
    <w:p w14:paraId="492B1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430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1943 дирижабль К-74 ночью обнаружил всплывшую подводную лодку у побережья Флориды и был сбит артиллерийским огнем. Это был единственный дирижабль, потерянный в ходе ВМВ. Подложка была повреждена и вынуждена повернуть назад, однако по пути на базу несколько раз была атакована и разбомблена в Бискайском заливе (1090).</w:t>
      </w:r>
    </w:p>
    <w:p w14:paraId="2544BB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47EA5"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дирижабль ВМС США К-74 сбит немецкой подводной лодкой U-134, став единственным дирижаблем, потерянным в результате вражеского огня во время Второй мировой войны (20376).</w:t>
      </w:r>
    </w:p>
    <w:p w14:paraId="6BBB6685" w14:textId="77777777" w:rsidR="009274CE" w:rsidRPr="00271E51" w:rsidRDefault="009274CE" w:rsidP="00271E51">
      <w:pPr>
        <w:spacing w:after="0" w:line="240" w:lineRule="auto"/>
        <w:jc w:val="both"/>
        <w:rPr>
          <w:rFonts w:ascii="Times New Roman" w:hAnsi="Times New Roman"/>
          <w:color w:val="0070C0"/>
          <w:sz w:val="16"/>
          <w:szCs w:val="16"/>
        </w:rPr>
      </w:pPr>
    </w:p>
    <w:p w14:paraId="0F58E05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 Единственный за Вторую мировую войну бой дирижабля с подводной лодкой.</w:t>
      </w:r>
    </w:p>
    <w:p w14:paraId="5FA37CB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 берегов Флориды американский дирижабль K-74 атаковал немецкую подводную лодку U-134. Результат боя: дирижабль был сбит и упал в море (затонул через несколько часов), 1 член экипажа из 10 погиб - в пасти акулы.</w:t>
      </w:r>
    </w:p>
    <w:p w14:paraId="1DF35B4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подлодка U-134 получила повреждения двух цистерн. Уже после двух других атак на её борт пришёл приказ вернуться в док, во Францию для ремонта. Но это ещё не конец сей истории. 21 августа лодка была атакована самолётами типов «Уайлдкет» и «Эвенджер» из авиагруппы эскортного авианосца USS Croatan, защищавшего конвой UGS-14. Подводником в тот раз повезло, лодка смогла уйти от преследования. Но не далеко и не надолго. Она была потоплена уже 24 августа в Северной Атлантике близ Виго, Испания, шестью глубинными бомбами с британского самолёта типа Vickers Wellington. На дно ушёл весь её экипаж - 48 подводников.</w:t>
      </w:r>
    </w:p>
    <w:p w14:paraId="1C01AFDA"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заключение скажу, что данные случай сражения подлодки и дирижабля всё же не был единственным. Ещё в Первую мировую экипаж английской лодки Е-31, обнаружил над собой немецкий цепппелин. Обстреляв и сбив его, англичанам удалось пленить команду дирижабля (22426).</w:t>
      </w:r>
    </w:p>
    <w:p w14:paraId="07C3F7BE" w14:textId="77777777" w:rsidR="009274CE" w:rsidRPr="00271E51" w:rsidRDefault="009274CE" w:rsidP="00271E51">
      <w:pPr>
        <w:spacing w:after="0" w:line="240" w:lineRule="auto"/>
        <w:jc w:val="both"/>
        <w:rPr>
          <w:rFonts w:ascii="Times New Roman" w:hAnsi="Times New Roman"/>
          <w:color w:val="0070C0"/>
          <w:sz w:val="16"/>
          <w:szCs w:val="16"/>
        </w:rPr>
      </w:pPr>
    </w:p>
    <w:p w14:paraId="0403FAA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шесть B-24 ВВС одиннадцатой армии ВВС нанесли первый подтвержденный удар союзников по Курильским островам, повредив японскую базу в Парамуширо и заявив, что корабль затонул без каких-либо потерь со своей стороны. Впервые после рейда Дулиттла в апреле 1942 года авиация союзников нанесла удар по внутренним частям Японской империи (20376).</w:t>
      </w:r>
    </w:p>
    <w:p w14:paraId="27B4CA11" w14:textId="77777777" w:rsidR="009274CE" w:rsidRPr="00271E51" w:rsidRDefault="009274CE" w:rsidP="00271E51">
      <w:pPr>
        <w:spacing w:after="0" w:line="240" w:lineRule="auto"/>
        <w:jc w:val="both"/>
        <w:rPr>
          <w:rFonts w:ascii="Times New Roman" w:hAnsi="Times New Roman"/>
          <w:color w:val="0070C0"/>
          <w:sz w:val="16"/>
          <w:szCs w:val="16"/>
        </w:rPr>
      </w:pPr>
    </w:p>
    <w:p w14:paraId="5DB8B46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июля 1943 года в Англии началось проектирование увеличенного варианта бомбы «Толлбой». Поначалу проект назывался безлико — «бомба среднего веса», но вскоре скрывать масштаб работ стало бесполезно, и боеприпас получил звучное имя «Гранд Слэм», или большая дубина: вес ее достиг 9980 кг.</w:t>
      </w:r>
    </w:p>
    <w:p w14:paraId="11ECF50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Точное количество бомб «Гранд Слэм» — самых тяжелых боеприпасов, применявшихся во II мировой войне, — неизвестно, а сброшено на противника их было 42 штуки. Это относительно немного, но бомба типа «Толлбой» была выпущена солидной серией — 854 единицы. Ее боевое применение очень высоко оценил не только маршал ВВС Великобритании сэр Артур Харрис, но и советские военные, которые очень интересовались объектами, подвергавшимися ударам бомб особо большой мощности. (22887).</w:t>
      </w:r>
    </w:p>
    <w:p w14:paraId="4A802CA9" w14:textId="77777777" w:rsidR="009274CE" w:rsidRPr="00271E51" w:rsidRDefault="009274CE" w:rsidP="00271E51">
      <w:pPr>
        <w:spacing w:after="0" w:line="240" w:lineRule="auto"/>
        <w:jc w:val="both"/>
        <w:rPr>
          <w:rFonts w:ascii="Times New Roman" w:hAnsi="Times New Roman"/>
          <w:color w:val="0070C0"/>
          <w:sz w:val="16"/>
          <w:szCs w:val="16"/>
        </w:rPr>
      </w:pPr>
    </w:p>
    <w:p w14:paraId="58E8BE51" w14:textId="77777777" w:rsidR="00FA491C" w:rsidRPr="00271E51" w:rsidRDefault="00FA49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июля в 1943 году гоминьдановское правительство Китая прекратило наступление на позиции коммунистических войск Пограничного (Особого) района Шэньси – Ганьсу – Нинься (14956).</w:t>
      </w:r>
    </w:p>
    <w:p w14:paraId="73DA14DF" w14:textId="77777777" w:rsidR="00FA491C" w:rsidRPr="00271E51" w:rsidRDefault="00FA491C" w:rsidP="00271E51">
      <w:pPr>
        <w:spacing w:after="0" w:line="240" w:lineRule="auto"/>
        <w:jc w:val="both"/>
        <w:rPr>
          <w:rFonts w:ascii="Times New Roman" w:hAnsi="Times New Roman"/>
          <w:color w:val="000000" w:themeColor="text1"/>
          <w:sz w:val="16"/>
          <w:szCs w:val="16"/>
        </w:rPr>
      </w:pPr>
    </w:p>
    <w:p w14:paraId="105F9AF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EC985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18E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Зам. нач. 7 ГУ П.Залесский писал А.И.Ш. справку по вопросу об установке 45 мм пушек на самолеты Ил-2 и Як-9:</w:t>
      </w:r>
    </w:p>
    <w:p w14:paraId="5B0D72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 самолет Ил-2 могут быть установлены 2 пушки калибра 45 мм ОКБ-16 (Нудельман) с боезапасом 40 патронов на пушку или две пушки калибра 45 мм ОКБ-15 (Шпитального) с боезапасом 20 патронов на пушку.</w:t>
      </w:r>
    </w:p>
    <w:p w14:paraId="2DFAA6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помощью завода 30 2 самолета с этими пушками могут быть выпущены в месячный срок со дня получения пушек, пригодных для установки на самолеты.</w:t>
      </w:r>
    </w:p>
    <w:p w14:paraId="03C5D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самолет Як-9т с мотором М-107А могут быть установлены:</w:t>
      </w:r>
    </w:p>
    <w:p w14:paraId="579E6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 пушка ОКБ-15 с боезапасом 20 патронов</w:t>
      </w:r>
    </w:p>
    <w:p w14:paraId="73E7E4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пушка ОКБ-16 с боезапасом 30 патронов</w:t>
      </w:r>
    </w:p>
    <w:p w14:paraId="2242AD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пушка ЦАКБ (Грабина) с боезапасом 20 патронов.</w:t>
      </w:r>
    </w:p>
    <w:p w14:paraId="7307C8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последняя пушка потребует более значительные переделки; кроме того, представитель Грабина заявил силу отдачи в 3000 кг и вес - 300 кг, что для самолета Як-9 не приемлема.</w:t>
      </w:r>
    </w:p>
    <w:p w14:paraId="0C9509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Нудельман также заявил, что сила отдачи пушки его системы будет 2300 кг.</w:t>
      </w:r>
    </w:p>
    <w:p w14:paraId="4CABB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тактико-технических требованиях для всех пушек записаны одинаковые величины по отдаче - 2000 кг и по весу - 200 кг.</w:t>
      </w:r>
    </w:p>
    <w:p w14:paraId="723B4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 считает, что завод N 115 может установить пушку ОКБ-15 и пушку ОКБ-16. Самолеты Як-9т с М-107А с этими пушками могут быть выпущены в3-х месячный срок со дня получения пушек, пригодных к установке на самолеты, иак как смена моторов М-105пф на М-107А требует замены всей винтомоторной группы, в том числе водо- и маслорадиаторов (1458,228).</w:t>
      </w:r>
    </w:p>
    <w:p w14:paraId="67A84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60E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Дементьев писал директору завода 1 Третьякову, нач. УЗСМ Алексееву, ст. военпреду завода 1 Францеву письмо N Н-35/2881:</w:t>
      </w:r>
    </w:p>
    <w:p w14:paraId="43B52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"Вами не выполняются требования военпреда по усилению контроля за весом и ЛД самолета Ил-2.</w:t>
      </w:r>
    </w:p>
    <w:p w14:paraId="1735E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Предлагаю:</w:t>
      </w:r>
    </w:p>
    <w:p w14:paraId="0AE17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обеспечить в соответствии с ТУ взвешивание агрегатов и самолета в целом</w:t>
      </w:r>
    </w:p>
    <w:p w14:paraId="06774D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систематически производить анализ взвешивания агрегатов и принимать меры к немедленному устранению отклонений по увеличению веса</w:t>
      </w:r>
    </w:p>
    <w:p w14:paraId="29EA35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упорядочить вопрос с своевременным представлением отчетов по летным испытаниям с соответствующим анализом и мероприятиями предупреждающими снижение скорости самолета</w:t>
      </w:r>
    </w:p>
    <w:p w14:paraId="19241C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своевременно производить статические испытания самолетов в соответствии с приказом наркома (1768,194).</w:t>
      </w:r>
    </w:p>
    <w:p w14:paraId="195B5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72080" w14:textId="77777777" w:rsidR="007F3D7F" w:rsidRPr="00271E51" w:rsidRDefault="007F3D7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19 июля 1943 г. Заместитель начальника 7-го ГУ НКАП П. Я. Залесский докладывал наркому авиапромышлен</w:t>
      </w:r>
      <w:r w:rsidRPr="00271E51">
        <w:rPr>
          <w:color w:val="000000" w:themeColor="text1"/>
          <w:sz w:val="16"/>
          <w:szCs w:val="16"/>
        </w:rPr>
        <w:softHyphen/>
        <w:t>ности А. И. Шахурину, что «...с по</w:t>
      </w:r>
      <w:r w:rsidRPr="00271E51">
        <w:rPr>
          <w:color w:val="000000" w:themeColor="text1"/>
          <w:sz w:val="16"/>
          <w:szCs w:val="16"/>
        </w:rPr>
        <w:softHyphen/>
        <w:t>мощью завода № 30 2 самолета с этими пушками (Ил-2 с 45 мм пушками ОКБ-15 и ОКБ-16</w:t>
      </w:r>
      <w:r w:rsidRPr="00271E51">
        <w:rPr>
          <w:rStyle w:val="BodytextItalic"/>
          <w:i w:val="0"/>
          <w:color w:val="000000" w:themeColor="text1"/>
          <w:sz w:val="16"/>
          <w:szCs w:val="16"/>
        </w:rPr>
        <w:t>)</w:t>
      </w:r>
      <w:r w:rsidRPr="00271E51">
        <w:rPr>
          <w:color w:val="000000" w:themeColor="text1"/>
          <w:sz w:val="16"/>
          <w:szCs w:val="16"/>
        </w:rPr>
        <w:t xml:space="preserve"> могут быть выпущены в месячный срок со дня получе</w:t>
      </w:r>
      <w:r w:rsidRPr="00271E51">
        <w:rPr>
          <w:color w:val="000000" w:themeColor="text1"/>
          <w:sz w:val="16"/>
          <w:szCs w:val="16"/>
        </w:rPr>
        <w:softHyphen/>
        <w:t>ния пушек, пригодных к установке на самолеты. /.../ Тов. Яковлев считает, что завод № 115 может установить пушку ОКБ-15 и пушку ОКБ-16. Само</w:t>
      </w:r>
      <w:r w:rsidRPr="00271E51">
        <w:rPr>
          <w:color w:val="000000" w:themeColor="text1"/>
          <w:sz w:val="16"/>
          <w:szCs w:val="16"/>
        </w:rPr>
        <w:softHyphen/>
        <w:t>леты Як-9т с М-107А с этими пушками могут быть выпущены в 3-месячный срок со дня подачи пушек, пригодных к установке на самолеты, так как смена моторов М-105ПФ на М-107А требует замены всей винтомоторной группы, в том числе водо- и масло- радиаторов» (17500).</w:t>
      </w:r>
    </w:p>
    <w:p w14:paraId="7246A94F" w14:textId="77777777" w:rsidR="007F3D7F" w:rsidRPr="00271E51" w:rsidRDefault="007F3D7F" w:rsidP="00271E51">
      <w:pPr>
        <w:spacing w:after="0" w:line="240" w:lineRule="auto"/>
        <w:jc w:val="both"/>
        <w:rPr>
          <w:rFonts w:ascii="Times New Roman" w:hAnsi="Times New Roman"/>
          <w:color w:val="000000" w:themeColor="text1"/>
          <w:sz w:val="16"/>
          <w:szCs w:val="16"/>
        </w:rPr>
      </w:pPr>
    </w:p>
    <w:p w14:paraId="1BDA4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вышел приказ НКАП N 427с:</w:t>
      </w:r>
    </w:p>
    <w:p w14:paraId="1F135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экономии самолетных электропроводов и экранирующих материалов, а также уменьшения веса самолетов:</w:t>
      </w:r>
    </w:p>
    <w:p w14:paraId="43AA6F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23 Иосилович и ГК С.В.И.:</w:t>
      </w:r>
    </w:p>
    <w:p w14:paraId="7C9018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оборудовать один серийный самолет Ил-4 по однопроводной электросхеме и провести летные испытания его совместно с НИСО и НИИ ВВС до 25 августа 1943</w:t>
      </w:r>
    </w:p>
    <w:p w14:paraId="3F056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проверки возможности нормальной эксплуатации самолетов Ил-2 с однопроводной системой электрооборудования, оборудовать 5 серийных самолетов Ил-4 по отработанной однопроводной схеме и до 15 сентября 1943 сдать их в АДД для войсковых испытаний.</w:t>
      </w:r>
    </w:p>
    <w:p w14:paraId="4D61C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22 Окулову и ГК В.М.М. проверить целесообразность перевода Пе-2 на однопроводную схему, для чего оборудовать один серийный самолет по однопроводной схеме и провести испытание его совместно с НИСО и НИИ ВВС не позднее 1 сентября 1943.</w:t>
      </w:r>
    </w:p>
    <w:p w14:paraId="3A60E0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испытаниях особое внимание обратить на качество и дальность радиосвязи на самолете.</w:t>
      </w:r>
    </w:p>
    <w:p w14:paraId="318F76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84 Ярунину выпустить 5 самолетов Ли-2 с однопроводной системой электрооборудования и сдать их АДД для войсковых испытаний к 15 августа 1943 (1732,133).</w:t>
      </w:r>
    </w:p>
    <w:p w14:paraId="67C83E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956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июля по 5 августа 1943 в НИИ ВВС прошли испытания различных комбинаций мотор-винт на Як-6 № 640211 и 640432 выпуска з-да № 464.</w:t>
      </w:r>
    </w:p>
    <w:p w14:paraId="69445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М.Д.Яськов, л А.В.Синельников (4657, 19).</w:t>
      </w:r>
    </w:p>
    <w:p w14:paraId="7E51A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788F8"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в НИИ ВВС на машинах №№640211 и 640432, выпушенных заводом № 464 начались (по 5 августа) испытания возможностей Як-6 при различных комбинациях мотор-винт (инженер - М.Д.Яськов, летчик - А.В.Синельников). Результат по различным причинам был отрицательным во всех случаях. На этом, в основном, заканчивается история испытаний Як-6, серийный выпуск которого был прекращен в сентябре 1943 года. Вероятно, подвергалась проверке в небе модификация с закапотированными двигателями, но информацию об этом пока найти не удалось (14957).</w:t>
      </w:r>
    </w:p>
    <w:p w14:paraId="509E66D6" w14:textId="77777777" w:rsidR="00B200C4" w:rsidRPr="00271E51" w:rsidRDefault="00B200C4" w:rsidP="00271E51">
      <w:pPr>
        <w:spacing w:after="0" w:line="240" w:lineRule="auto"/>
        <w:jc w:val="both"/>
        <w:rPr>
          <w:rFonts w:ascii="Times New Roman" w:hAnsi="Times New Roman"/>
          <w:color w:val="000000" w:themeColor="text1"/>
          <w:sz w:val="16"/>
          <w:szCs w:val="16"/>
        </w:rPr>
      </w:pPr>
    </w:p>
    <w:p w14:paraId="67DC0A4A"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F839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4FC1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было подготовлено письмо № 1060/35с - Ответ ОКБ завода № 9 Ж. Котину</w:t>
      </w:r>
    </w:p>
    <w:p w14:paraId="49BE60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Комиссариат Вооружений Гос. Союзный завод № 9</w:t>
      </w:r>
    </w:p>
    <w:p w14:paraId="27919F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ЗАМЕСТИТЕЛЮ НАРКОМА ТАНКОВОЙ ПРОМЫШЛЕННОСТИ СССР. КОТИНУ</w:t>
      </w:r>
    </w:p>
    <w:p w14:paraId="18A897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Ваше предложение о возможности установки 122-мм танко</w:t>
      </w:r>
      <w:r w:rsidRPr="00271E51">
        <w:rPr>
          <w:rFonts w:ascii="Times New Roman" w:hAnsi="Times New Roman"/>
          <w:color w:val="000000" w:themeColor="text1"/>
          <w:sz w:val="16"/>
          <w:szCs w:val="16"/>
        </w:rPr>
        <w:softHyphen/>
        <w:t>вой пушки в башне танков «ИС» и «КВ-1С» с погоном Ф1800 мм, на установочных частях изготовленной нами пушки Д-5 поддер</w:t>
      </w:r>
      <w:r w:rsidRPr="00271E51">
        <w:rPr>
          <w:rFonts w:ascii="Times New Roman" w:hAnsi="Times New Roman"/>
          <w:color w:val="000000" w:themeColor="text1"/>
          <w:sz w:val="16"/>
          <w:szCs w:val="16"/>
        </w:rPr>
        <w:softHyphen/>
        <w:t>живаем и осуществление этой задачи считаем возможным.</w:t>
      </w:r>
    </w:p>
    <w:p w14:paraId="16DA44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Предварительные расчеты, произведенные в нашем КБ, со</w:t>
      </w:r>
      <w:r w:rsidRPr="00271E51">
        <w:rPr>
          <w:rFonts w:ascii="Times New Roman" w:hAnsi="Times New Roman"/>
          <w:color w:val="000000" w:themeColor="text1"/>
          <w:sz w:val="16"/>
          <w:szCs w:val="16"/>
        </w:rPr>
        <w:softHyphen/>
        <w:t>вместно с присланными Вами инженерами ОКБ завода 100, показы</w:t>
      </w:r>
      <w:r w:rsidRPr="00271E51">
        <w:rPr>
          <w:rFonts w:ascii="Times New Roman" w:hAnsi="Times New Roman"/>
          <w:color w:val="000000" w:themeColor="text1"/>
          <w:sz w:val="16"/>
          <w:szCs w:val="16"/>
        </w:rPr>
        <w:softHyphen/>
        <w:t>вают, что 122мм пушка с дульным тормозом может быть установле</w:t>
      </w:r>
      <w:r w:rsidRPr="00271E51">
        <w:rPr>
          <w:rFonts w:ascii="Times New Roman" w:hAnsi="Times New Roman"/>
          <w:color w:val="000000" w:themeColor="text1"/>
          <w:sz w:val="16"/>
          <w:szCs w:val="16"/>
        </w:rPr>
        <w:softHyphen/>
        <w:t>на в заданных Вами габаритах, уравновешена в цапфах и имеет до</w:t>
      </w:r>
      <w:r w:rsidRPr="00271E51">
        <w:rPr>
          <w:rFonts w:ascii="Times New Roman" w:hAnsi="Times New Roman"/>
          <w:color w:val="000000" w:themeColor="text1"/>
          <w:sz w:val="16"/>
          <w:szCs w:val="16"/>
        </w:rPr>
        <w:softHyphen/>
        <w:t>пустимые запасы прочности при весе снаряда = 25 кгр. и нач. ско</w:t>
      </w:r>
      <w:r w:rsidRPr="00271E51">
        <w:rPr>
          <w:rFonts w:ascii="Times New Roman" w:hAnsi="Times New Roman"/>
          <w:color w:val="000000" w:themeColor="text1"/>
          <w:sz w:val="16"/>
          <w:szCs w:val="16"/>
        </w:rPr>
        <w:softHyphen/>
        <w:t>рости = 750 м/сек. Общий вес качающейся части с броней будет при</w:t>
      </w:r>
      <w:r w:rsidRPr="00271E51">
        <w:rPr>
          <w:rFonts w:ascii="Times New Roman" w:hAnsi="Times New Roman"/>
          <w:color w:val="000000" w:themeColor="text1"/>
          <w:sz w:val="16"/>
          <w:szCs w:val="16"/>
        </w:rPr>
        <w:softHyphen/>
        <w:t>мерно 2,5 т., т.е. больше на 1 тн. по сравнению с 85 мм пушкой Д-5.</w:t>
      </w:r>
    </w:p>
    <w:p w14:paraId="4E7493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Ваше предложение совпадает с работами, проведенными в КБ нашего завода.</w:t>
      </w:r>
    </w:p>
    <w:p w14:paraId="695277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Создавая унифицированную артустановку «Д-5» и осуществ</w:t>
      </w:r>
      <w:r w:rsidRPr="00271E51">
        <w:rPr>
          <w:rFonts w:ascii="Times New Roman" w:hAnsi="Times New Roman"/>
          <w:color w:val="000000" w:themeColor="text1"/>
          <w:sz w:val="16"/>
          <w:szCs w:val="16"/>
        </w:rPr>
        <w:softHyphen/>
        <w:t>ляя наложение на лафет (и люльку) 122 мм гаубицы «МЗО» ство</w:t>
      </w:r>
      <w:r w:rsidRPr="00271E51">
        <w:rPr>
          <w:rFonts w:ascii="Times New Roman" w:hAnsi="Times New Roman"/>
          <w:color w:val="000000" w:themeColor="text1"/>
          <w:sz w:val="16"/>
          <w:szCs w:val="16"/>
        </w:rPr>
        <w:softHyphen/>
        <w:t>ла 122 мм пушки (баллистика А-19), мы предусматривали воз</w:t>
      </w:r>
      <w:r w:rsidRPr="00271E51">
        <w:rPr>
          <w:rFonts w:ascii="Times New Roman" w:hAnsi="Times New Roman"/>
          <w:color w:val="000000" w:themeColor="text1"/>
          <w:sz w:val="16"/>
          <w:szCs w:val="16"/>
        </w:rPr>
        <w:softHyphen/>
        <w:t>можность постановки ствола с поршневым затвором этой пушки в качающуюся часть с установочными частями Д-5.</w:t>
      </w:r>
    </w:p>
    <w:p w14:paraId="1BBC0B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предусматривалась и постановка в Д-5152-мм гаубицы с баллистикой гаубицы обр. 1938 г. «М-10» образец нало</w:t>
      </w:r>
      <w:r w:rsidRPr="00271E51">
        <w:rPr>
          <w:rFonts w:ascii="Times New Roman" w:hAnsi="Times New Roman"/>
          <w:color w:val="000000" w:themeColor="text1"/>
          <w:sz w:val="16"/>
          <w:szCs w:val="16"/>
        </w:rPr>
        <w:softHyphen/>
        <w:t>жения которой на лафет «М-30» запущен заводом в серийное про</w:t>
      </w:r>
      <w:r w:rsidRPr="00271E51">
        <w:rPr>
          <w:rFonts w:ascii="Times New Roman" w:hAnsi="Times New Roman"/>
          <w:color w:val="000000" w:themeColor="text1"/>
          <w:sz w:val="16"/>
          <w:szCs w:val="16"/>
        </w:rPr>
        <w:softHyphen/>
        <w:t>изводство. (Пушкой с подобной баллистикой был вооружен КВ-2),</w:t>
      </w:r>
    </w:p>
    <w:p w14:paraId="180C60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танковой артустановкой Д-5 и наложениями полевых 122-мм пушки и 152 мм гаубицы на лафет «М-30» существует из</w:t>
      </w:r>
      <w:r w:rsidRPr="00271E51">
        <w:rPr>
          <w:rFonts w:ascii="Times New Roman" w:hAnsi="Times New Roman"/>
          <w:color w:val="000000" w:themeColor="text1"/>
          <w:sz w:val="16"/>
          <w:szCs w:val="16"/>
        </w:rPr>
        <w:softHyphen/>
        <w:t>вестная взаимосвязь, допускающая при почти полном использова</w:t>
      </w:r>
      <w:r w:rsidRPr="00271E51">
        <w:rPr>
          <w:rFonts w:ascii="Times New Roman" w:hAnsi="Times New Roman"/>
          <w:color w:val="000000" w:themeColor="text1"/>
          <w:sz w:val="16"/>
          <w:szCs w:val="16"/>
        </w:rPr>
        <w:softHyphen/>
        <w:t>нии без изменений агрегатов и установочных часте^ Д-5 произвес</w:t>
      </w:r>
      <w:r w:rsidRPr="00271E51">
        <w:rPr>
          <w:rFonts w:ascii="Times New Roman" w:hAnsi="Times New Roman"/>
          <w:color w:val="000000" w:themeColor="text1"/>
          <w:sz w:val="16"/>
          <w:szCs w:val="16"/>
        </w:rPr>
        <w:softHyphen/>
        <w:t>ти установку или 122мм пушки или 152мм гаубицы (баллистика М10), как в новом танке «ИС», так и в «КВ-1 С» с погоном Ф1800 мм.</w:t>
      </w:r>
    </w:p>
    <w:p w14:paraId="2DDDE7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 Директор завода № 9 ....................Гонор</w:t>
      </w:r>
    </w:p>
    <w:p w14:paraId="35093E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..................Петров (11135).</w:t>
      </w:r>
    </w:p>
    <w:p w14:paraId="3EAEAC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2B16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1943г. была подготовлена ДОКЛАДНАЯ ЗАПИСКА НКТП и НКСМ ЧЛЕНУ ГКО Л.П. БЕРИИ О ПРИНЯТЫХ МЕРАХ ПО ПИСЬМУ тт. КОРОБКОВА И БИРЮКОВА</w:t>
      </w:r>
    </w:p>
    <w:p w14:paraId="6607E9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Сообщаем Вам о мерах, принятых Наркомтанкопромом и Наркомсредмашем по письму тт. Коробкова и Бирюкова от 17 июля с.г.:</w:t>
      </w:r>
    </w:p>
    <w:p w14:paraId="588949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 установке командирских башенок на танках Т-34.</w:t>
      </w:r>
    </w:p>
    <w:p w14:paraId="25C917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все заводы Наркомтанкопрома (№183, 112, 174, Уралмаш и Кировский) отста</w:t>
      </w:r>
      <w:r w:rsidRPr="00271E51">
        <w:rPr>
          <w:rFonts w:ascii="Times New Roman" w:hAnsi="Times New Roman"/>
          <w:color w:val="000000" w:themeColor="text1"/>
          <w:sz w:val="16"/>
          <w:szCs w:val="16"/>
        </w:rPr>
        <w:softHyphen/>
        <w:t>ют с выполнением задания Государственно комитета обороны по установке командирских башенок на танках Т-34.</w:t>
      </w:r>
    </w:p>
    <w:p w14:paraId="2E9436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Наркомтанкопром принимает меры к тому, чтобы отставание было ликвидировано, и заводы обеспечили выполнение установленного им плана.</w:t>
      </w:r>
    </w:p>
    <w:p w14:paraId="06EB0D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безусловного выполнения задания просим подписать прилагаемые при сем письма директо</w:t>
      </w:r>
      <w:r w:rsidRPr="00271E51">
        <w:rPr>
          <w:rFonts w:ascii="Times New Roman" w:hAnsi="Times New Roman"/>
          <w:color w:val="000000" w:themeColor="text1"/>
          <w:sz w:val="16"/>
          <w:szCs w:val="16"/>
        </w:rPr>
        <w:softHyphen/>
        <w:t>ров танковых заводов.</w:t>
      </w:r>
    </w:p>
    <w:p w14:paraId="02842D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 выпуске некачественных коробок перемены передачи на заводе №174.</w:t>
      </w:r>
    </w:p>
    <w:p w14:paraId="23E2AB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 прибыли 18 июля тт. Зерно и Лебедев (ГБТУ КА), которые в настоящее время проверя</w:t>
      </w:r>
      <w:r w:rsidRPr="00271E51">
        <w:rPr>
          <w:rFonts w:ascii="Times New Roman" w:hAnsi="Times New Roman"/>
          <w:color w:val="000000" w:themeColor="text1"/>
          <w:sz w:val="16"/>
          <w:szCs w:val="16"/>
        </w:rPr>
        <w:softHyphen/>
        <w:t>ют работу завода.</w:t>
      </w:r>
    </w:p>
    <w:p w14:paraId="49D91A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сообщению т. Зернова, приемка танков военпредом 19 июля возобновлена.</w:t>
      </w:r>
    </w:p>
    <w:p w14:paraId="28E02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результатах проверки работы завода и принятых мерах тт. Зерновым и Лебедевым Вам будет сообщено дополнительно.</w:t>
      </w:r>
    </w:p>
    <w:p w14:paraId="3B2CD7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 выпуске танков Т-80 на заводе №40.</w:t>
      </w:r>
    </w:p>
    <w:p w14:paraId="42567D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Сдача танков Т-80 на заводе №40 будет начата с сегодняшнего дня.</w:t>
      </w:r>
    </w:p>
    <w:p w14:paraId="0B1DC2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Наркомсредмаш и ГБТУ КА чертежи и технические условия на танк утверждены 18 июля. Наркомсредмашем организована заводу №40 помощь деталями и агрегатами для танков Т-80 с завода ГАЗ,</w:t>
      </w:r>
    </w:p>
    <w:p w14:paraId="0FC554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 выпуске танков на заводе ГАЗ.</w:t>
      </w:r>
    </w:p>
    <w:p w14:paraId="204122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Задержка в выпуске танков в последние дни была по вине поставки некачественных изоляторов для свечей мотора.</w:t>
      </w:r>
    </w:p>
    <w:p w14:paraId="7DC769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завод ГАЗ сдачу танков возобновил и вошел в график.</w:t>
      </w:r>
    </w:p>
    <w:p w14:paraId="662F52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Качественными свечами (за счет отбора) завод на текущую программу обеспечен, но, учитывая, что Ирбитский завод Наркомата стройматериалов дает некачественные изоляторы, просим Вас под</w:t>
      </w:r>
      <w:r w:rsidRPr="00271E51">
        <w:rPr>
          <w:rFonts w:ascii="Times New Roman" w:hAnsi="Times New Roman"/>
          <w:color w:val="000000" w:themeColor="text1"/>
          <w:sz w:val="16"/>
          <w:szCs w:val="16"/>
        </w:rPr>
        <w:softHyphen/>
        <w:t>писать прилагаемые при сем письмо на имя народного комиссара стройматериалов т. Соснина и телеграмму на имя директора Ирбитского завода №25, выпускающего изоляторы для свечей.</w:t>
      </w:r>
    </w:p>
    <w:p w14:paraId="407D85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Малышев</w:t>
      </w:r>
    </w:p>
    <w:p w14:paraId="2A6E70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Акопов</w:t>
      </w:r>
    </w:p>
    <w:p w14:paraId="69DCB1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Борисов</w:t>
      </w:r>
    </w:p>
    <w:p w14:paraId="528273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Петросьянц</w:t>
      </w:r>
    </w:p>
    <w:p w14:paraId="719605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1659. Л. 110-111. Копия (11403).</w:t>
      </w:r>
    </w:p>
    <w:p w14:paraId="236CB0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DB3BD" w14:textId="77777777" w:rsidR="00BA7A65" w:rsidRPr="00271E51" w:rsidRDefault="00BA7A65" w:rsidP="00271E51">
      <w:pPr>
        <w:pStyle w:val="a3"/>
        <w:rPr>
          <w:color w:val="000000" w:themeColor="text1"/>
          <w:lang w:val="ru-RU"/>
        </w:rPr>
      </w:pPr>
      <w:r w:rsidRPr="00271E51">
        <w:rPr>
          <w:color w:val="000000" w:themeColor="text1"/>
          <w:lang w:val="ru-RU"/>
        </w:rPr>
        <w:t>19 июля 1943 было готово два танка КВ, один с пушкой С-31, другой - с пушкой Д-5Т. 8 августа постановление ГКО № 3891сс предписало начать производство этого танка под обозначением КВ-85. КВ-85 был компромиссным решением, которое не позволяло учесть все требования к тяжелому танку, выявившиеся в ходе боёв. Он с самого начала рассматривался как временная мера, принятая только до освоения танка ИС. КВ-85 производился в относительно небольших количествах в сентябре - ноябре 1943 года и большой роли в войне не сыграл (12290).</w:t>
      </w:r>
    </w:p>
    <w:p w14:paraId="71D513A7" w14:textId="77777777" w:rsidR="00BA7A65" w:rsidRPr="00271E51" w:rsidRDefault="00BA7A65" w:rsidP="00271E51">
      <w:pPr>
        <w:pStyle w:val="a3"/>
        <w:rPr>
          <w:color w:val="000000" w:themeColor="text1"/>
          <w:lang w:val="ru-RU"/>
        </w:rPr>
      </w:pPr>
    </w:p>
    <w:p w14:paraId="165FD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вышло Постановление ГКО № 3770 О накоплении на 1943/44 г.г. запасов хлебофуража для фронтов за счет заготовок на месте и об организации вывоза зерна урожая 1943 года транспортом Красной Армии.РГАНИР, Фонд ГКО, д. 135, лл. 45-48 (11012).</w:t>
      </w:r>
    </w:p>
    <w:p w14:paraId="76D9B0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4F6C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вышло Распоряжение ГКО № 3772 [О дополнительной отгрузке 65 грузовых автомобилей НКПС в III кв. 1943 г.] (7123, 51).</w:t>
      </w:r>
    </w:p>
    <w:p w14:paraId="745CB84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15DF79" w14:textId="77777777" w:rsidR="007F3D7F" w:rsidRPr="00271E51" w:rsidRDefault="007F3D7F"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19 июля 1943 г. появилось предложение уполномоченного АУ ВМФ капитана 2 ранга Афиногенова (письмо №0790) по разработке морской панцирной защиты.</w:t>
      </w:r>
    </w:p>
    <w:p w14:paraId="762AE59E" w14:textId="77777777" w:rsidR="007F3D7F" w:rsidRPr="00271E51" w:rsidRDefault="007F3D7F"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начавшейся навигации и активи</w:t>
      </w:r>
      <w:r w:rsidRPr="00271E51">
        <w:rPr>
          <w:rFonts w:ascii="Times New Roman" w:hAnsi="Times New Roman" w:cs="Times New Roman"/>
          <w:color w:val="000000" w:themeColor="text1"/>
          <w:sz w:val="16"/>
          <w:szCs w:val="16"/>
        </w:rPr>
        <w:softHyphen/>
        <w:t>зации боевых действий в Финском заливе и Ладожском озере значительные потери не</w:t>
      </w:r>
      <w:r w:rsidRPr="00271E51">
        <w:rPr>
          <w:rFonts w:ascii="Times New Roman" w:hAnsi="Times New Roman" w:cs="Times New Roman"/>
          <w:color w:val="000000" w:themeColor="text1"/>
          <w:sz w:val="16"/>
          <w:szCs w:val="16"/>
        </w:rPr>
        <w:softHyphen/>
        <w:t>сли экипажи:=малых морских охотников МО-4 КБФ. При выполнении боевых задач личным составом на открытой палубе, в условиях противодействия артиллерийского огня и бомбовых ударов авиации противника, ос</w:t>
      </w:r>
      <w:r w:rsidRPr="00271E51">
        <w:rPr>
          <w:rFonts w:ascii="Times New Roman" w:hAnsi="Times New Roman" w:cs="Times New Roman"/>
          <w:color w:val="000000" w:themeColor="text1"/>
          <w:sz w:val="16"/>
          <w:szCs w:val="16"/>
        </w:rPr>
        <w:softHyphen/>
        <w:t>новной процент ранений от пуль, осколков снарядов и авиабомб приходился на верх</w:t>
      </w:r>
      <w:r w:rsidRPr="00271E51">
        <w:rPr>
          <w:rFonts w:ascii="Times New Roman" w:hAnsi="Times New Roman" w:cs="Times New Roman"/>
          <w:color w:val="000000" w:themeColor="text1"/>
          <w:sz w:val="16"/>
          <w:szCs w:val="16"/>
        </w:rPr>
        <w:softHyphen/>
        <w:t>нюю часть тела (грудь, спина и область жи</w:t>
      </w:r>
      <w:r w:rsidRPr="00271E51">
        <w:rPr>
          <w:rFonts w:ascii="Times New Roman" w:hAnsi="Times New Roman" w:cs="Times New Roman"/>
          <w:color w:val="000000" w:themeColor="text1"/>
          <w:sz w:val="16"/>
          <w:szCs w:val="16"/>
        </w:rPr>
        <w:softHyphen/>
        <w:t>вота). Применение панциря позволило бы существенно снизить потери, однако при падении в воду моряки не смогли бы освобо</w:t>
      </w:r>
      <w:r w:rsidRPr="00271E51">
        <w:rPr>
          <w:rFonts w:ascii="Times New Roman" w:hAnsi="Times New Roman" w:cs="Times New Roman"/>
          <w:color w:val="000000" w:themeColor="text1"/>
          <w:sz w:val="16"/>
          <w:szCs w:val="16"/>
        </w:rPr>
        <w:softHyphen/>
        <w:t>диться от него и погибли бы.</w:t>
      </w:r>
    </w:p>
    <w:p w14:paraId="66B7D53C" w14:textId="77777777" w:rsidR="007F3D7F" w:rsidRPr="00271E51" w:rsidRDefault="007F3D7F"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Завод № 7 разработал и изготовил опытный образец морской пан</w:t>
      </w:r>
      <w:r w:rsidRPr="00271E51">
        <w:rPr>
          <w:rFonts w:ascii="Times New Roman" w:hAnsi="Times New Roman" w:cs="Times New Roman"/>
          <w:color w:val="000000" w:themeColor="text1"/>
          <w:sz w:val="16"/>
          <w:szCs w:val="16"/>
        </w:rPr>
        <w:softHyphen/>
        <w:t>цирной защиты МПЗ-ЗИФ-22.</w:t>
      </w:r>
    </w:p>
    <w:p w14:paraId="357C3BEF" w14:textId="77777777" w:rsidR="007F3D7F" w:rsidRPr="00271E51" w:rsidRDefault="007F3D7F"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Испытания МПЗ-ЗИФ-22, проведенные 8 августа 1943 г., включали боевую работу номеров расчета 45-мм орудия 21К на палубе катера МО и имитацию аварийной ситуации в воде. По заключению комиссии, они</w:t>
      </w:r>
      <w:r w:rsidRPr="00271E51">
        <w:rPr>
          <w:rStyle w:val="BodytextItalic2"/>
          <w:rFonts w:ascii="Times New Roman" w:eastAsiaTheme="minorHAnsi" w:hAnsi="Times New Roman" w:cs="Times New Roman"/>
          <w:i w:val="0"/>
          <w:color w:val="000000" w:themeColor="text1"/>
          <w:sz w:val="16"/>
          <w:szCs w:val="16"/>
        </w:rPr>
        <w:t xml:space="preserve"> «выя</w:t>
      </w:r>
      <w:r w:rsidRPr="00271E51">
        <w:rPr>
          <w:rStyle w:val="BodytextItalic2"/>
          <w:rFonts w:ascii="Times New Roman" w:eastAsiaTheme="minorHAnsi" w:hAnsi="Times New Roman" w:cs="Times New Roman"/>
          <w:i w:val="0"/>
          <w:color w:val="000000" w:themeColor="text1"/>
          <w:sz w:val="16"/>
          <w:szCs w:val="16"/>
        </w:rPr>
        <w:softHyphen/>
        <w:t>вили полную пригодность панциря для боевого</w:t>
      </w:r>
      <w:r w:rsidRPr="00271E51">
        <w:rPr>
          <w:rFonts w:ascii="Times New Roman" w:hAnsi="Times New Roman" w:cs="Times New Roman"/>
          <w:color w:val="000000" w:themeColor="text1"/>
          <w:sz w:val="16"/>
          <w:szCs w:val="16"/>
        </w:rPr>
        <w:t xml:space="preserve"> </w:t>
      </w:r>
      <w:r w:rsidRPr="00271E51">
        <w:rPr>
          <w:rStyle w:val="BodytextItalic2"/>
          <w:rFonts w:ascii="Times New Roman" w:eastAsiaTheme="minorHAnsi" w:hAnsi="Times New Roman" w:cs="Times New Roman"/>
          <w:i w:val="0"/>
          <w:color w:val="000000" w:themeColor="text1"/>
          <w:sz w:val="16"/>
          <w:szCs w:val="16"/>
        </w:rPr>
        <w:t>применения во флоте».</w:t>
      </w:r>
      <w:r w:rsidRPr="00271E51">
        <w:rPr>
          <w:rFonts w:ascii="Times New Roman" w:hAnsi="Times New Roman" w:cs="Times New Roman"/>
          <w:color w:val="000000" w:themeColor="text1"/>
          <w:sz w:val="16"/>
          <w:szCs w:val="16"/>
        </w:rPr>
        <w:t xml:space="preserve"> Это позволило заводу №7 приступить к изготовлению установочной партии панцирей, предназначенных для ин</w:t>
      </w:r>
      <w:r w:rsidRPr="00271E51">
        <w:rPr>
          <w:rFonts w:ascii="Times New Roman" w:hAnsi="Times New Roman" w:cs="Times New Roman"/>
          <w:color w:val="000000" w:themeColor="text1"/>
          <w:sz w:val="16"/>
          <w:szCs w:val="16"/>
        </w:rPr>
        <w:softHyphen/>
        <w:t>дивидуальной защиты расчетов артиллерий</w:t>
      </w:r>
      <w:r w:rsidRPr="00271E51">
        <w:rPr>
          <w:rFonts w:ascii="Times New Roman" w:hAnsi="Times New Roman" w:cs="Times New Roman"/>
          <w:color w:val="000000" w:themeColor="text1"/>
          <w:sz w:val="16"/>
          <w:szCs w:val="16"/>
        </w:rPr>
        <w:softHyphen/>
        <w:t>ских судовых и береговых орудий от осколков снарядов и пулевых ранений при атаках с воздуха. В сентябре 1943 г. завод изготовил и передал АУ ВМФ опытную серию МПЗ-ЗИФ-22 (200 шт.) для проверки на кораблях КБФ.</w:t>
      </w:r>
    </w:p>
    <w:p w14:paraId="7A141131" w14:textId="77777777" w:rsidR="007F3D7F" w:rsidRPr="00271E51" w:rsidRDefault="007F3D7F"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Характерная особенность «морского» панциря состояла в дополнительной защите спины при обеспечении необходимой для ар</w:t>
      </w:r>
      <w:r w:rsidRPr="00271E51">
        <w:rPr>
          <w:rFonts w:ascii="Times New Roman" w:hAnsi="Times New Roman" w:cs="Times New Roman"/>
          <w:color w:val="000000" w:themeColor="text1"/>
          <w:sz w:val="16"/>
          <w:szCs w:val="16"/>
        </w:rPr>
        <w:softHyphen/>
        <w:t>тиллеристов свободы движений. Общая масса комплекта составляла около 9 кг. Три броне</w:t>
      </w:r>
      <w:r w:rsidRPr="00271E51">
        <w:rPr>
          <w:rFonts w:ascii="Times New Roman" w:hAnsi="Times New Roman" w:cs="Times New Roman"/>
          <w:color w:val="000000" w:themeColor="text1"/>
          <w:sz w:val="16"/>
          <w:szCs w:val="16"/>
        </w:rPr>
        <w:softHyphen/>
        <w:t>вых щитка - нагрудник, подвесной и спины - соединялись между собой ремнями, накиды</w:t>
      </w:r>
      <w:r w:rsidRPr="00271E51">
        <w:rPr>
          <w:rFonts w:ascii="Times New Roman" w:hAnsi="Times New Roman" w:cs="Times New Roman"/>
          <w:color w:val="000000" w:themeColor="text1"/>
          <w:sz w:val="16"/>
          <w:szCs w:val="16"/>
        </w:rPr>
        <w:softHyphen/>
        <w:t>ваемыми на кабурные кнопки. Такое решение обеспечивало требуемую свободу действий при обслуживании орудия и позволяло са</w:t>
      </w:r>
      <w:r w:rsidRPr="00271E51">
        <w:rPr>
          <w:rFonts w:ascii="Times New Roman" w:hAnsi="Times New Roman" w:cs="Times New Roman"/>
          <w:color w:val="000000" w:themeColor="text1"/>
          <w:sz w:val="16"/>
          <w:szCs w:val="16"/>
        </w:rPr>
        <w:softHyphen/>
        <w:t>мостоятельно мгновенно сбросить защиту. По мнению завода, данный вид индивидуальной защиты мог бы также с успехом использован в частях зенитной и дальнобойной артилле</w:t>
      </w:r>
      <w:r w:rsidRPr="00271E51">
        <w:rPr>
          <w:rFonts w:ascii="Times New Roman" w:hAnsi="Times New Roman" w:cs="Times New Roman"/>
          <w:color w:val="000000" w:themeColor="text1"/>
          <w:sz w:val="16"/>
          <w:szCs w:val="16"/>
        </w:rPr>
        <w:softHyphen/>
        <w:t>рии РККА (17746).</w:t>
      </w:r>
    </w:p>
    <w:p w14:paraId="6EE48F0A" w14:textId="77777777" w:rsidR="007F3D7F" w:rsidRPr="00271E51" w:rsidRDefault="007F3D7F" w:rsidP="00271E51">
      <w:pPr>
        <w:pStyle w:val="Bodytext1"/>
        <w:shd w:val="clear" w:color="auto" w:fill="auto"/>
        <w:spacing w:line="240" w:lineRule="auto"/>
        <w:ind w:firstLine="0"/>
        <w:rPr>
          <w:rStyle w:val="BodytextItalic2"/>
          <w:rFonts w:ascii="Times New Roman" w:eastAsiaTheme="minorHAnsi" w:hAnsi="Times New Roman" w:cs="Times New Roman"/>
          <w:i w:val="0"/>
          <w:color w:val="000000" w:themeColor="text1"/>
          <w:sz w:val="16"/>
          <w:szCs w:val="16"/>
        </w:rPr>
      </w:pPr>
    </w:p>
    <w:p w14:paraId="515077C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7100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9AE18D"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оперативная сводка Совинформбюро:</w:t>
      </w:r>
    </w:p>
    <w:p w14:paraId="3CCBC10E"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июля наши войска на Орловском участкефронта продолжали развивать наступление на прежних направлениях и продвинулись вперёд от 6 до 10 километров. За день отбито 12 контратак немецких войск с большими для них потерями.</w:t>
      </w:r>
    </w:p>
    <w:p w14:paraId="6FB9FFF6"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севернее Орла, заняли (кроме ранее опубликованных) ещё 70 населённых пунктов, в том числе населённые пункты Буда, Усадьба,Хатьково, Сусея, Брусны, Уколицы, Кирейково, Ногая, Долина, Вытебеть. Середичи,Алешня, Щербово, Кудрявец, Пешкова, Медведки, Пепелевка, Милятино, Льгово, Ильинское, Верхняя Рыдань, Коптево, Долбилово, Руднево, Aзарово, Городище.</w:t>
      </w:r>
    </w:p>
    <w:p w14:paraId="4D9D8451"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заняли (кроме ранее опубликованных) 40 населённых пунктов, в том числе населённые пункты Соймоново, Богданово, Одинок, Сычи, Заброды, Дальновидово.</w:t>
      </w:r>
    </w:p>
    <w:p w14:paraId="2EE9EC52"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заняли 20 населённых пунктов, в том числе населённые пункты Озерки, Турейка, Тросна, Лаврово и станцию Малоархангельск.</w:t>
      </w:r>
    </w:p>
    <w:p w14:paraId="5F1BD7E9"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продолжались усиленные поиски разведчиков.</w:t>
      </w:r>
    </w:p>
    <w:p w14:paraId="4A36E27B"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июля наши войска на Орловском участке фронта подбили и уничтожили 72 немецких танка. В воздушных боях и огнём зенитной артиллерии сбито97 самолётов противника.</w:t>
      </w:r>
    </w:p>
    <w:p w14:paraId="369B648C"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наши войска продолжали наступление. Немцы спешноподбрасывают новые подкрепления и бросают их в контратаки. Преодолевая сопротивление противника и отражая его многочисленные контратаки, наши части продолжали продвигаться вперёд и заняли ряд населённых пунктов. Части Н-ского соединения за последние четыре дня боёв, нанося удары немцам и отражая их контратаки, подбили и сожгли более 150 немецких танков, уничтожили 54 самоходных пушки и много других орудий. Захвачены большие трофеи, в числе которых 31 самоходное орудие и 17 вагонов с боеприпасами. На другом участке часть подкомандованием т. Логозина истребила несколько сот гитлеровцев, взяла 215 пленныхи захватила 12 полевых и 2 противотанковых орудия, 43 пулемёта, склад сбоеприпасами и склад с медикаментами. Танковая рота под командованием лейтенанта Маценко во встречном бою полностью уничтожила батальон немецкой мотопехоты.</w:t>
      </w:r>
    </w:p>
    <w:p w14:paraId="026D1CDD"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в боях против немецко-фашистских захватчиковхорошо действовали и отличились наши сапёрные войска. С начала наступления немцев, т. е. с 5 июля, на минных полях, а также подвижными группами минёров-охотников уничтожены сотни немецких танков, бронемашин и до 200 автомашин с боеприпасами и войсками. Сапёры под командованием т. Столярова подорвали 28 немецких танков, прорвавшихся в расположение наших частей. Минёры-охотники подразделения, где командиром гвардии майор Арустамов, подорвали 11 танков противника.</w:t>
      </w:r>
    </w:p>
    <w:p w14:paraId="2EF90122"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противник предпринял несколько ожесточённых контратак, вновь пытаясь вернуть высоту, занятую нашими частями. Все контратаки немцев отбиты с большими для них потерями. Одну контратаку предпринял 560 немецкий штрафной батальон, состоящий из трёх рот унтер-офицеров и одной роты офицеров. Бойцы под командованием т. Батлука пулемётным огнём и в рукопашной схватке истребили до 300 гитлеровцев из состава этого батальона.</w:t>
      </w:r>
    </w:p>
    <w:p w14:paraId="21AD4DB2"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три наших разведывательных отряда после артиллерийского обстрела вражеских позиций атаковали противника. Разведчики выбили немцев из занимаемых позиций и овладели опорным пунктом противника. В этом бою разведывательными отрядами уничтожено до 200 немецких солдат и офицеров, захвачены трофеи и пленные.</w:t>
      </w:r>
    </w:p>
    <w:p w14:paraId="108A7611"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артиллерии и миномётов уничтожено 4 орудия и разрушено более 20 дзотов противника. Снайперы Н-ской части истребили 73 гитлеровца. В воздушных боях и огнём зенитной артиллерии на подступах к Ленинграду сбито 3 немецких самолёта.</w:t>
      </w:r>
    </w:p>
    <w:p w14:paraId="2AE019D5"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«За Родину», действующий в одном из районов Орловскойобласти, совершил внезапный налёт на немецкий гарнизон, расположенный в крупном селе. Партизаны штурмом заняли село, истребили до роты гитлеровцев и захватили несколько пулемётов, автоматы, винтовки, боеприпасы и другие трофеи. Партизанский отряд, действующий в Смоленской области, 9 июля организовал крушение немецкого эшелона с горючим. В результате взрыва состав загорелся. Уничтожено 700 тонн бензина. Партизаны другого смоленского отряда на шоссейной дороге подорвали 18 автомашин с немецкими солдатами и военными грузами противника.</w:t>
      </w:r>
    </w:p>
    <w:p w14:paraId="724BC7EF"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Взятый в плен на Орловском участке фронта ефрейтор 9 роты 351 полка 183 немецкой пехотной дивизии Герберт Зейстер рассказал: «351 полк до самогопоследнего времени находился на отдыхе в районе Спас-Деменска. Офицеры нам сообщили, что дивизия скоро отправится во Францию, а оттуда в Сицилию. Совершенно неожиданно 15 июля полк был поднят по тревоге и переброшен в район, где русские войска прорвали нашу оборону. Нас гнали безостановочно, не давая отдыха. </w:t>
      </w:r>
      <w:r w:rsidRPr="00271E51">
        <w:rPr>
          <w:rFonts w:ascii="Times New Roman" w:hAnsi="Times New Roman"/>
          <w:color w:val="000000" w:themeColor="text1"/>
          <w:sz w:val="16"/>
          <w:szCs w:val="16"/>
        </w:rPr>
        <w:lastRenderedPageBreak/>
        <w:t>Прибыв в район боёв, подразделения полка с хода были брошены в контратаку против наступавших русских подразделений. За один час 9 рота потеряла 56 солдат убитыми и 15 ранеными, а остальные бежали, с поля боя».</w:t>
      </w:r>
    </w:p>
    <w:p w14:paraId="60420792" w14:textId="77777777" w:rsidR="00B200C4" w:rsidRPr="00271E51" w:rsidRDefault="00B200C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Заявление Герберта Зейстера дополняет обер-ефрейтор 12 пулемётной роты того же 351 полка Вилли Питнер. Он сообщил: "Мы были твёрдо уверены, что в ближайшие дни дивизия будет отправлена во Францию, а оттуда в Сицилию. Однако в связи с напряжённой обстановкой, создавшейся в районе Орла, полк был с невиданной поспешностью переброшен туда. На рассвете солдат 3-го батальона погнали в контратаку. Командование поставило перед нами задачу — остановить наступление русских, но ничего из этого не получилось. Батальон попал под сильный огонь русской пехоты и танков, понёс большие потери и отступил» (14957).</w:t>
      </w:r>
    </w:p>
    <w:p w14:paraId="60294DAB" w14:textId="77777777" w:rsidR="00B200C4" w:rsidRPr="00271E51" w:rsidRDefault="00B200C4" w:rsidP="00271E51">
      <w:pPr>
        <w:spacing w:after="0" w:line="240" w:lineRule="auto"/>
        <w:jc w:val="both"/>
        <w:rPr>
          <w:rFonts w:ascii="Times New Roman" w:hAnsi="Times New Roman"/>
          <w:color w:val="000000" w:themeColor="text1"/>
          <w:sz w:val="16"/>
          <w:szCs w:val="16"/>
        </w:rPr>
      </w:pPr>
    </w:p>
    <w:p w14:paraId="2B958CF6"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19 июня 1943 береговые посты наблюдения в 00.50 заметили конвой из трех транспортов, двух тральщиков и шести сторожевых катеров, который шел вдоль берега по маршруту Кобхольм-фьорд — залив Петсамовуоно. В небе над конвоем барражировали истребители. Ночь была белой, и в 2.20 по московскому времени для нанесения удара по кораблям вылетели четыре Ил-2 из 46-го шап в сопровождении восьми «Харрикейнов» Mk. II.</w:t>
      </w:r>
    </w:p>
    <w:p w14:paraId="234D8C2A"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В 2.56, незадолго до подхода штурмовиков, к конвою вышли восемь Р-39, завязавших бой с патрульными Bf-109G. Пилоты «Аэрокобр» бились геройски, расчищая дорогу Илам, и потеряли пять машин. Четыре из них были на счету командира 9-й эскадрильи JG5 обер-лейтенанта Вульфа Дитриха Видовитца. Кроме того, по немецким данным, затем были сбиты еще и четыре «Харрикейна» из прикрытия штурмовиков.</w:t>
      </w:r>
    </w:p>
    <w:p w14:paraId="7106F614"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Тем временем появившиеся «горбатые», развернувшись, начали заход на конвой со стороны открытого моря. Атака в направлении берега давала больше шансов на спасение в случае повреждения самолета зенитным огнем. Однако, вероятно не выдержав напряжения, пилоты штурмовиков с большой дистанции выпустили все «эрэсы» одним залпом, потом побросали в воду бомбы и поспешили удалиться, пока никого из них не сбили (19522).</w:t>
      </w:r>
    </w:p>
    <w:p w14:paraId="331B60C4" w14:textId="77777777" w:rsidR="00506386" w:rsidRPr="00271E51" w:rsidRDefault="00506386" w:rsidP="00271E51">
      <w:pPr>
        <w:pStyle w:val="ae"/>
        <w:spacing w:before="0" w:after="0"/>
        <w:jc w:val="both"/>
        <w:textAlignment w:val="baseline"/>
        <w:rPr>
          <w:color w:val="000000" w:themeColor="text1"/>
          <w:sz w:val="16"/>
          <w:szCs w:val="16"/>
        </w:rPr>
      </w:pPr>
    </w:p>
    <w:p w14:paraId="3C5C1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19 1943 The Red Army begins a counter offensive at Kursk. From here on, the Russians slowly grind the Wehrmarcht under their feet, and relentlessly advance toward the German border, and victory (1052).</w:t>
      </w:r>
    </w:p>
    <w:p w14:paraId="32F79B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0801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КА начала контрнаступление под Курском (1052).</w:t>
      </w:r>
    </w:p>
    <w:p w14:paraId="2E383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9F4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1ВА затратила 60.7%, а 15ВА - 49.3% самолетовылетов на отражение немецких контрударов (518,145).</w:t>
      </w:r>
    </w:p>
    <w:p w14:paraId="04BFF2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D59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экипажи 746 п Додонова и Шатрова бросали две ФАБ-5000 на ж/д узел Орла (1564,10).</w:t>
      </w:r>
    </w:p>
    <w:p w14:paraId="2ADCF8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64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19 июля 1943, согласно штурману самолета Пе-8 С.Ф.Ушаковым, нанесли удары по авиационному городку и аэродрому.</w:t>
      </w:r>
    </w:p>
    <w:p w14:paraId="7484A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этого задания проснулись мы поздно. Только к 17 часам летный состав собрался для подготовки к очередному боевому вылету, и командир полка предоставил слово начальнику разведки. Информация его заканчивалась радостными для нас словами: "Прорвав оборону противника на глубину более 70 километров на севере и 20-25 километров восточнее Орла, войска Брянского и Западного фронтов продолжают наступление..."</w:t>
      </w:r>
    </w:p>
    <w:p w14:paraId="1F401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Каждый понял: значит, сегодня опять на Орел...</w:t>
      </w:r>
    </w:p>
    <w:p w14:paraId="77D1B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другом сообщении начальника разведки говорилось о том, что, по имеющимся данным, в район Орла переброшена группа ночных истребителей, снятая с обороны Берлина. Самолеты оборудованы аппаратурой, позволяющей осуществлять наведение на цель с земли с помощью радиолокаторов. Никаких указаний и рекомендаций по противодействию не давалось, а сами мы мало что понимали в этом новом средстве. Ясно было только одно: если раньше гитлеровские истребители, барражируя в определенном районе, сами искали цель, чаше всего по выхлопным газам моторов, то теперь их будут наводить с земли до какого-то определенного момента, пока они не увидят цель. О том, что истребители самостоятельно могут осуществлять слепой поиск, в сообщении не говорилось.</w:t>
      </w:r>
    </w:p>
    <w:p w14:paraId="44A1C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 а вывод был сделан простой: усилить наблюдение за воздухом! И поскольку цель находилась недалеко от линии фронта, это сообщение мы восприняли спокойно. Оттого-то оно и не сыграло своей мобилизующей роли, в результате чего в эту ночь мы понесли потери.</w:t>
      </w:r>
    </w:p>
    <w:p w14:paraId="0D90B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Итак, железнодорожный узел Орел. Удар наносят оба полка дивизии. Первым действует наш полк. Высота бомбометания - 6100 метров. Сегодня в голове боевого порядка полка идет Владимир Пономаренко со штурманом Михаилом Легкоступом, поэтому они и взлетели первыми. Линию фронта прошли, когда на землю опустилась темнота, но горизонт еше был покрыт розовой пеленой угасающего заката. На высоте полета было светло.</w:t>
      </w:r>
    </w:p>
    <w:p w14:paraId="03ACE2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Вышли в район цели, развернулись на боевой курс. Ни прожекторов, ни огня зенитной артиллерии. Что бы это могло значить?.. Штурман подал одну команду на доворот, вторую. И тут же последовал его доклад:</w:t>
      </w:r>
    </w:p>
    <w:p w14:paraId="1A73C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Сбросил!</w:t>
      </w:r>
    </w:p>
    <w:p w14:paraId="66B36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вздрагиванию самолета Пономаренко почувствовал, как отделились бомбы: одна ФАБ-2000 и две ФАБ-1000. В момент отрыва третьей бомбы по правой плоскости что-то ударило. Владимир невольно повернул голову: неужели с первого выстрела - прямое попадание?</w:t>
      </w:r>
    </w:p>
    <w:p w14:paraId="0C7B1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Тут же вспыхнули прожекторы, началась отчаянная стрельба артиллерии. Уже в силу выработанной привычки с левым креном и со скольжением Пономаренко повел машину от цели. Стал вызывать по связи правого подшассийного стрелка, чтобы выяснить - что же произошло? Ответа не последовало. Значит, стрелок убит или ранен.</w:t>
      </w:r>
    </w:p>
    <w:p w14:paraId="682E0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Товарищ командир, огонь из третьего мотора! - доложил башенный стрелок. И тут же по сети прозвучало донесение бортового техника:</w:t>
      </w:r>
    </w:p>
    <w:p w14:paraId="499FAE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Третий выключил, противопожарные включил...</w:t>
      </w:r>
    </w:p>
    <w:p w14:paraId="0DF09D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Владимир резко скользнул на левое крыло, пытаясь сбить огонь воздушным потоком. Противопожарные средства и маневр не дали результатов. Наполнилась дымом кабина, и вот уже в ней показалось пламя - вот-вот взорвутся баки. Тогда Пономаренко принимает решение спасать экипаж.</w:t>
      </w:r>
    </w:p>
    <w:p w14:paraId="62C77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Прыгать! Прыгать немедленно всем! - прозвучала его команда, и он включил автопилот.</w:t>
      </w:r>
    </w:p>
    <w:p w14:paraId="19747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...Часам к восьми утра семеро из экипажа бомбардировщика оказались у самолета. Пятеро боевых друзей погибли. Их тут же и похоронили. Что им помешало покинуть самолет - можно было только предполагать...</w:t>
      </w:r>
    </w:p>
    <w:p w14:paraId="23773F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того как все самолеты произвели посадку, стало известно, что в эту ночь не возвратились с боевого задания еще два Пе-8: капитана Угрюмова из нашего полка и капитана Вихорева - из соседнего. Оба самолета были сбиты в районе цели, на линии боевого пути.</w:t>
      </w:r>
    </w:p>
    <w:p w14:paraId="30BC1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Разбор боевых вылетов проводился с летным составом в масштабе дивизии. Выслушав обстоятельства, при которых мы потеряли сразу три самолета и многих товарищей, комдив обратил внимание на то, что все три экипажа по различным причинам к району цели подходили в значительном отрыве от боевого порядка по высоте и дальности. Это, видимо, облегчило условия наведения немецких истребителей. Пришли к одному выводу - впредь строго выдерживать заданную высоту бомбометания и максимально уплотнить боевые порядки. В то время ничего другого мы не могли придумать для противодействия наведению истребителей противника".</w:t>
      </w:r>
    </w:p>
    <w:p w14:paraId="3AA86E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Рассказ штурмана Ушакова описывает боевой вылет в ночь на 20 августа 1943 года. На самом деле потери Пе-8 от ночных истребителей в 45-й авиадивизии происходили не в течение одной ночи, и летом 1943 г. составили 7 бомбардировщиков. 15 июля был сбит Пе-8 №42069 (экипаж Модестова), 20 июля сбит Пе-8 №42058 (экипаж Понома- ренко), 20 июля сбит Пе-8 №42049 (экипаж Зеленского и Угрюмова), 21 июля сбит Пе-8 №420109 (экипаж Вихорева), 23 июля сбит Пе-8 №42019 (экипаж Канарского), 28 июля сбит Пе-8 №42088 (экипаж Перегудова), 27 августа сбит Пе-8 №42510 (экипаж Вихорева).</w:t>
      </w:r>
    </w:p>
    <w:p w14:paraId="6A96F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Одной из причин успешных действий немецких истребителей могло стать хорошее знание уязвимых точек и мертвых зон обстрела из оборонительных установок Пе-8. Эти особенности советского бомбардировщика противник обстоятельно изучил на самолете №42018, который был подбит во время налета на Берлин 30 августа 1942 г. и совершил вынужденную посадку на территории Восточной Пруссии.</w:t>
      </w:r>
    </w:p>
    <w:p w14:paraId="3C124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все потерянные Пе-8 были оснащены двигателями М-82, у которых выхлопные коллекторы отработанных газов, сгруппированные для нескольких цилиндров двигателя, давали большой и весьма заметный в ночном небе язык пламени. Считалось, что ночные истребители противника, прежде всего, ориентировались по этому яркому выхлопу и легко обнаруживали советские бомбардировщики. Поэтому было решено срочно разработать и установить на самолетах пламегасители, а полеты Пе-8 временно, до особого распоряжения прекратить.</w:t>
      </w:r>
    </w:p>
    <w:p w14:paraId="23BA1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Проблема пламегасителей к этому моменту коснулась не только Пе-8, но в большей степени самолетов Ил-4 и Ли-2. Такие пламягасители срочно были разработаны в НИИ ГВФ и НИИ ВВС, прошли испытания и под обозначением ГАМ-9 и ГАМ-10 запущены в производство (12025).</w:t>
      </w:r>
    </w:p>
    <w:p w14:paraId="3666D0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41D7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июля 1943 г.</w:t>
      </w:r>
    </w:p>
    <w:p w14:paraId="57BA57A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 ОБ УСТАНОВЛЕНИИ ДЛЯ ЛЕТНОГО СОСТАВА НАДБАВКИ</w:t>
      </w:r>
    </w:p>
    <w:p w14:paraId="22C1BF8B"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ПОЛУЧАЕМОМУ СОДЕРЖАНИЮ ЗА КАЖДЫЙ БОЕВОЙ</w:t>
      </w:r>
    </w:p>
    <w:p w14:paraId="7DDE0678"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ВЫЛЕТ НА РАЗВЕДКУ</w:t>
      </w:r>
    </w:p>
    <w:p w14:paraId="49AB14AB"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 252</w:t>
      </w:r>
      <w:r w:rsidRPr="00271E51">
        <w:rPr>
          <w:rFonts w:ascii="Times New Roman" w:hAnsi="Times New Roman"/>
          <w:color w:val="0070C0"/>
          <w:sz w:val="16"/>
          <w:szCs w:val="16"/>
        </w:rPr>
        <w:tab/>
        <w:t>19 июля 1943 г.</w:t>
      </w:r>
    </w:p>
    <w:p w14:paraId="4344AD53"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Установить для летного состава истребительной, штурмовой и других видов боевой авиации, успешно выполняющего, наряду с основными задачами, задания по разведке противника, надбавку к получаемому содержанию в размере 50 рублей за каждый боевой вылет на разведку с тем, чтобы месячный основной оклад летчика по занимаемой должности вместе с надбавками не превышал оклада, устано</w:t>
      </w:r>
    </w:p>
    <w:p w14:paraId="3CBA34C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пункта 2-го приказа НКВМФ № 0907—1942 года исключить слова: «а в частях, вооруженных самолетами МБР-2, имеющему в течение месяца не менее двенадцати разведывательных полетов».</w:t>
      </w:r>
    </w:p>
    <w:p w14:paraId="4E867D4B"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Пункт 6-й приказа НКВМФ № 0907 — 1942 года отменить.</w:t>
      </w:r>
    </w:p>
    <w:p w14:paraId="18819465"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Начальнику ВВС ВМФ и начальнику финансового управления при НКВМФ</w:t>
      </w:r>
    </w:p>
    <w:p w14:paraId="3E269A9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дать указания по применению настоящего приказа.</w:t>
      </w:r>
    </w:p>
    <w:p w14:paraId="6A067484"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КУЗНЕЦОВ</w:t>
      </w:r>
    </w:p>
    <w:p w14:paraId="14B0D2FC"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ЦВМА, ф. 14, оп. 47, д. 236, л. 215. Подлинник (20809).</w:t>
      </w:r>
    </w:p>
    <w:p w14:paraId="5E9AB7A8" w14:textId="77777777" w:rsidR="009274CE" w:rsidRPr="00271E51" w:rsidRDefault="009274CE" w:rsidP="00271E51">
      <w:pPr>
        <w:spacing w:after="0" w:line="240" w:lineRule="auto"/>
        <w:jc w:val="both"/>
        <w:rPr>
          <w:rFonts w:ascii="Times New Roman" w:hAnsi="Times New Roman"/>
          <w:color w:val="0070C0"/>
          <w:sz w:val="16"/>
          <w:szCs w:val="16"/>
        </w:rPr>
      </w:pPr>
    </w:p>
    <w:p w14:paraId="215ED0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вышел приказ наркома ВМФ Н.К.Кузнецова N 252 об установлении для летного состава фактах безрезультативных вылетов авиации (2120).</w:t>
      </w:r>
    </w:p>
    <w:p w14:paraId="4D6D31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7E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Ла-5 из 3-го ГИАП ВВС КБФ повредили ФВ190А командира IV группы эс</w:t>
      </w:r>
      <w:r w:rsidRPr="00271E51">
        <w:rPr>
          <w:rFonts w:ascii="Times New Roman" w:hAnsi="Times New Roman"/>
          <w:color w:val="000000" w:themeColor="text1"/>
          <w:sz w:val="16"/>
          <w:szCs w:val="16"/>
        </w:rPr>
        <w:softHyphen/>
        <w:t>кадры иС 54 «Зеленое Сердце» гауптмана Рудорффера, который вынужден был поки</w:t>
      </w:r>
      <w:r w:rsidRPr="00271E51">
        <w:rPr>
          <w:rFonts w:ascii="Times New Roman" w:hAnsi="Times New Roman"/>
          <w:color w:val="000000" w:themeColor="text1"/>
          <w:sz w:val="16"/>
          <w:szCs w:val="16"/>
        </w:rPr>
        <w:softHyphen/>
        <w:t>нуть машину, едва дотянув до территории Финляндии. Через 3 дня пара Ла-5 из этого полка перехватила 3 звена из той же группы. Ведущим снова оказался группенкомандер, в паре с ним шел опытный пилот Тереке, но остальные были «желторотиками». В корот</w:t>
      </w:r>
      <w:r w:rsidRPr="00271E51">
        <w:rPr>
          <w:rFonts w:ascii="Times New Roman" w:hAnsi="Times New Roman"/>
          <w:color w:val="000000" w:themeColor="text1"/>
          <w:sz w:val="16"/>
          <w:szCs w:val="16"/>
        </w:rPr>
        <w:softHyphen/>
        <w:t>ком бою Тереке погиб, а Рудорфферу опять пришлось воспользоваться парашютом. Лето 1943-го оказалось для ОС 54 очень тяжелым, и основные потери эскадра понесла именно в схватках с Ла-5. В т.ч. при столкновении с эти</w:t>
      </w:r>
      <w:r w:rsidRPr="00271E51">
        <w:rPr>
          <w:rFonts w:ascii="Times New Roman" w:hAnsi="Times New Roman"/>
          <w:color w:val="000000" w:themeColor="text1"/>
          <w:sz w:val="16"/>
          <w:szCs w:val="16"/>
        </w:rPr>
        <w:softHyphen/>
        <w:t>ми истребителями были сбиты и попали в плен командир 1ДЮ 54 м-р Адамайт (166 по</w:t>
      </w:r>
      <w:r w:rsidRPr="00271E51">
        <w:rPr>
          <w:rFonts w:ascii="Times New Roman" w:hAnsi="Times New Roman"/>
          <w:color w:val="000000" w:themeColor="text1"/>
          <w:sz w:val="16"/>
          <w:szCs w:val="16"/>
        </w:rPr>
        <w:softHyphen/>
        <w:t>бед) и опытный ас Броэндле (58 побед) (11123).</w:t>
      </w:r>
    </w:p>
    <w:p w14:paraId="580C7C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DA3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группа торпедоносцев СФ под командой А.П.Адинскова совершила налет па норвежский порт Варде (Баренцево море) и произвела большие разрушения. При возвращении была атакована 7 и. Л П.П.Гусев был подбит и сел в море вблизи вражеского берега. Гусев надул лодку, подобрал раненых товарищей и 36 час. греб, пока не был спасен береговой охраной (438,879).</w:t>
      </w:r>
    </w:p>
    <w:p w14:paraId="7610F2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70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 бою за деревню Изотово на р. Олешне командир Т-70 (97 ТБр) мл ст Трубкин разбил два противотанковых орудия и подавил гусеницами минометную батарею. В том же бою атаковал и Тигр и уничтожил его. По другим источникам - это было 2 Т-70, встретившиеся с 3 Тиграми. Тигр подбил один из Т-70. Один из Тигров - подставил борт, остальные - отступили (3393).</w:t>
      </w:r>
    </w:p>
    <w:p w14:paraId="0AF415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67B3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512F4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36B3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по 23 июля 1943 танк ИС подвер</w:t>
      </w:r>
      <w:r w:rsidRPr="00271E51">
        <w:rPr>
          <w:rFonts w:ascii="Times New Roman" w:hAnsi="Times New Roman"/>
          <w:color w:val="000000" w:themeColor="text1"/>
          <w:sz w:val="16"/>
          <w:szCs w:val="16"/>
        </w:rPr>
        <w:softHyphen/>
        <w:t>гся дополнительным испытаниям, в ходе которых состоял</w:t>
      </w:r>
      <w:r w:rsidRPr="00271E51">
        <w:rPr>
          <w:rFonts w:ascii="Times New Roman" w:hAnsi="Times New Roman"/>
          <w:color w:val="000000" w:themeColor="text1"/>
          <w:sz w:val="16"/>
          <w:szCs w:val="16"/>
        </w:rPr>
        <w:softHyphen/>
        <w:t>ся отстрел 85-мм пушки С-31 в тире ЧКЗ (11135).</w:t>
      </w:r>
    </w:p>
    <w:p w14:paraId="548DB2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053C1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вышло Распоряжение ГКО № 3771 [О мерах по ликвидации пожаров в лесах Бурят-Монгольской АССР.] (7123, 49-50).</w:t>
      </w:r>
    </w:p>
    <w:p w14:paraId="72DF915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D816B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DEC4F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AF3C51" w14:textId="77777777" w:rsidR="00503196" w:rsidRPr="00271E51" w:rsidRDefault="0050319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созданный в СССР из немецких военнопленных "Национальный комитет освобождения Германии" впервые обращается к немецким солдатам по радио (14957).</w:t>
      </w:r>
    </w:p>
    <w:p w14:paraId="46A9F313" w14:textId="77777777" w:rsidR="00503196" w:rsidRPr="00271E51" w:rsidRDefault="00503196" w:rsidP="00271E51">
      <w:pPr>
        <w:spacing w:after="0" w:line="240" w:lineRule="auto"/>
        <w:jc w:val="both"/>
        <w:rPr>
          <w:rFonts w:ascii="Times New Roman" w:hAnsi="Times New Roman"/>
          <w:color w:val="000000" w:themeColor="text1"/>
          <w:sz w:val="16"/>
          <w:szCs w:val="16"/>
        </w:rPr>
      </w:pPr>
    </w:p>
    <w:p w14:paraId="00DEFF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руководитель советской военной миссии в США г Беляев запросил американцев о возможности поставок по ленд-лизу Р-38, Р-47, В-24 и В-29. Потом дали только 3 Р-47 (2645,24).</w:t>
      </w:r>
    </w:p>
    <w:p w14:paraId="05F47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48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года генерал Беляев запросил несколько экземпляров Р-38 "Лайтнинг" для изучения. Вопрос решался довольно долго, но осенью поступил отказ. Более Советский Союз не делал даже попыток получить "Лайтнинги" по ленд-лизу. Ни одного Р-38 в СССР официально поставлено не было. Все машины этого тина, оказавшиеся в нашей стране, подобрали после вынужденных посадок в Восточной Европе. Надо сказать, что и там эти истребители являлись редкостью. Из 162 самолетов союзников, обнаруженных на занятой советской армией территориях к середине мая 1945 года, числился всего один "Лайтнинг". На самом-то деле их, конечно, было больше, но ненамного, да и состояние машин заставляло желать много лучшею (3457,89).</w:t>
      </w:r>
    </w:p>
    <w:p w14:paraId="414DC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0F4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года генерал Беляев вновь обратился к правительству США с просьбой предоставить несколько экземпляров В-24, но опять ничего не добился. А "Либерейторы" у нас все-таки появились! (3457,115).</w:t>
      </w:r>
    </w:p>
    <w:p w14:paraId="6E384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BC7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года руководитель советской военной миссии в США генерал Беляев запросил американцев о возможности поставок но ленд-лизу образцов самолетов Р-38, Р 47, В-24 и В-29. Из этого списка Советском Союзу передали только три Р-47 (3457,119).</w:t>
      </w:r>
    </w:p>
    <w:p w14:paraId="07A1B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42D2A" w14:textId="77777777" w:rsidR="00503196" w:rsidRPr="00271E51" w:rsidRDefault="00503196"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19 июля в 1943 году посол СССР в США А.А.Громыко сообщил в Москву о предложениях советника Рузвельта Г.Гопкинса, согласно которым советская зона оккупации после окончания войны с Японией должна включать весь остров Хоккайдо и северо-восточную часть Хонсю </w:t>
      </w:r>
      <w:r w:rsidRPr="00271E51">
        <w:rPr>
          <w:rFonts w:ascii="Times New Roman" w:hAnsi="Times New Roman"/>
          <w:color w:val="000000" w:themeColor="text1"/>
          <w:sz w:val="16"/>
          <w:szCs w:val="16"/>
          <w:lang w:val="en-US"/>
        </w:rPr>
        <w:t>(14957).</w:t>
      </w:r>
    </w:p>
    <w:p w14:paraId="4C7596A3" w14:textId="77777777" w:rsidR="00503196" w:rsidRPr="00271E51" w:rsidRDefault="00503196" w:rsidP="00271E51">
      <w:pPr>
        <w:spacing w:after="0" w:line="240" w:lineRule="auto"/>
        <w:jc w:val="both"/>
        <w:rPr>
          <w:rFonts w:ascii="Times New Roman" w:hAnsi="Times New Roman"/>
          <w:color w:val="000000" w:themeColor="text1"/>
          <w:sz w:val="16"/>
          <w:szCs w:val="16"/>
          <w:lang w:val="en-US"/>
        </w:rPr>
      </w:pPr>
    </w:p>
    <w:p w14:paraId="5620BC7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40E9E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8DB0970" w14:textId="77777777" w:rsidR="00503196" w:rsidRPr="00271E51" w:rsidRDefault="00503196"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19 1943 The Naval Aircraft Factory was authorized to develop the Gorgon, an aerial ram or air-to-air missile powered by a turbojet engine and equipped with radio controls and a homing device. The Gorgon was later expanded into a broad program embracing turbojet, ramjet, pulsejet, and rocket power; straight wing, swept wing, and canard (tail first) air frames; and visual, television, heat-homing, and three types of radar guidance for use as air-to-air, air-to-surface and surface-to-surface guided missiles and as target drones (1090).</w:t>
      </w:r>
    </w:p>
    <w:p w14:paraId="3605FD8E" w14:textId="77777777" w:rsidR="00503196" w:rsidRPr="00271E51" w:rsidRDefault="00503196"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DD11B2" w14:textId="77777777" w:rsidR="00503196" w:rsidRPr="00271E51" w:rsidRDefault="00503196"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Naval Aircraft Factory получила заказ на разработку радиоуправляемой ракеты Гордон с ТРД класса воздух-воздух. Потом исследовались и другие типы двигателей и систем наведения (1090).</w:t>
      </w:r>
    </w:p>
    <w:p w14:paraId="21FC9CBA" w14:textId="77777777" w:rsidR="00503196" w:rsidRPr="00271E51" w:rsidRDefault="00503196"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94D2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19 июля 1943 первый полет </w:t>
      </w:r>
      <w:r w:rsidRPr="00271E51">
        <w:rPr>
          <w:rFonts w:ascii="Times New Roman" w:hAnsi="Times New Roman"/>
          <w:color w:val="0070C0"/>
          <w:sz w:val="16"/>
          <w:szCs w:val="16"/>
          <w:lang w:val="en-US"/>
        </w:rPr>
        <w:t>Curtiss</w:t>
      </w:r>
      <w:r w:rsidRPr="00271E51">
        <w:rPr>
          <w:rFonts w:ascii="Times New Roman" w:hAnsi="Times New Roman"/>
          <w:color w:val="0070C0"/>
          <w:sz w:val="16"/>
          <w:szCs w:val="16"/>
        </w:rPr>
        <w:t>-</w:t>
      </w:r>
      <w:r w:rsidRPr="00271E51">
        <w:rPr>
          <w:rFonts w:ascii="Times New Roman" w:hAnsi="Times New Roman"/>
          <w:color w:val="0070C0"/>
          <w:sz w:val="16"/>
          <w:szCs w:val="16"/>
          <w:lang w:val="en-US"/>
        </w:rPr>
        <w:t>Wright</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Curtiss</w:t>
      </w:r>
      <w:r w:rsidRPr="00271E51">
        <w:rPr>
          <w:rFonts w:ascii="Times New Roman" w:hAnsi="Times New Roman"/>
          <w:color w:val="0070C0"/>
          <w:sz w:val="16"/>
          <w:szCs w:val="16"/>
        </w:rPr>
        <w:t>-</w:t>
      </w:r>
      <w:r w:rsidRPr="00271E51">
        <w:rPr>
          <w:rFonts w:ascii="Times New Roman" w:hAnsi="Times New Roman"/>
          <w:color w:val="0070C0"/>
          <w:sz w:val="16"/>
          <w:szCs w:val="16"/>
          <w:lang w:val="en-US"/>
        </w:rPr>
        <w:t>Wright</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XP</w:t>
      </w:r>
      <w:r w:rsidRPr="00271E51">
        <w:rPr>
          <w:rFonts w:ascii="Times New Roman" w:hAnsi="Times New Roman"/>
          <w:color w:val="0070C0"/>
          <w:sz w:val="16"/>
          <w:szCs w:val="16"/>
        </w:rPr>
        <w:t xml:space="preserve">-55 </w:t>
      </w:r>
      <w:r w:rsidRPr="00271E51">
        <w:rPr>
          <w:rFonts w:ascii="Times New Roman" w:hAnsi="Times New Roman"/>
          <w:color w:val="0070C0"/>
          <w:sz w:val="16"/>
          <w:szCs w:val="16"/>
          <w:lang w:val="en-US"/>
        </w:rPr>
        <w:t>Ascender</w:t>
      </w:r>
      <w:r w:rsidRPr="00271E51">
        <w:rPr>
          <w:rFonts w:ascii="Times New Roman" w:hAnsi="Times New Roman"/>
          <w:color w:val="0070C0"/>
          <w:sz w:val="16"/>
          <w:szCs w:val="16"/>
        </w:rPr>
        <w:t xml:space="preserve"> (20376).</w:t>
      </w:r>
    </w:p>
    <w:p w14:paraId="50D2B29B" w14:textId="77777777" w:rsidR="009274CE" w:rsidRPr="00271E51" w:rsidRDefault="009274CE" w:rsidP="00271E51">
      <w:pPr>
        <w:spacing w:after="0" w:line="240" w:lineRule="auto"/>
        <w:jc w:val="both"/>
        <w:rPr>
          <w:rFonts w:ascii="Times New Roman" w:hAnsi="Times New Roman"/>
          <w:color w:val="0070C0"/>
          <w:sz w:val="16"/>
          <w:szCs w:val="16"/>
        </w:rPr>
      </w:pPr>
    </w:p>
    <w:p w14:paraId="3E1AB66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июля 1943 - Первый полет истребителя-перехватчика Curtiss-Wright XP-55 Ascender. Имел необычную для своего времени компоновку "утка", двигатель, установленный сзади, стреловидные крылья и два вертикальных киля на концах консолей и ПГО.</w:t>
      </w:r>
    </w:p>
    <w:p w14:paraId="21D576CD"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результате испытаний отметили слишком большую взлетную дистанцию, высокую скорость сваливания и недостаточную устойчивость (дело в том, что ПГО не демпфирует возмущения по тангажу, как это делает хвостовое оперение самолета нормальной схемы, а наоборот усиливает его. Эту проблему смогли решить лишь в 70-х годах, когда появились надежные электронные системы дистанционного управления). Кроме того, отмечалось плохое охлаждение мотора Аллисон и его недостаточная мощность.</w:t>
      </w:r>
    </w:p>
    <w:p w14:paraId="153B4BF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моменту окончания испытаний уже появились первые реактивные самолеты, и ВВС вскоре забыли о ХР-55, хотя конструктор самолета Е. М. Флеш и предлагал установить на нем реактивный двигатель (22425).</w:t>
      </w:r>
    </w:p>
    <w:p w14:paraId="1EDE5D76" w14:textId="77777777" w:rsidR="009274CE" w:rsidRPr="00271E51" w:rsidRDefault="009274CE" w:rsidP="00271E51">
      <w:pPr>
        <w:spacing w:after="0" w:line="240" w:lineRule="auto"/>
        <w:jc w:val="both"/>
        <w:rPr>
          <w:rFonts w:ascii="Times New Roman" w:hAnsi="Times New Roman"/>
          <w:color w:val="0070C0"/>
          <w:sz w:val="16"/>
          <w:szCs w:val="16"/>
        </w:rPr>
      </w:pPr>
    </w:p>
    <w:p w14:paraId="731554D9" w14:textId="77777777" w:rsidR="00503196" w:rsidRPr="00271E51" w:rsidRDefault="0050319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Уинстон Черчилль представляет план использования айсбергов в качестве плавучих авиабаз (14957).</w:t>
      </w:r>
    </w:p>
    <w:p w14:paraId="1464FB66" w14:textId="77777777" w:rsidR="00503196" w:rsidRPr="00271E51" w:rsidRDefault="00503196" w:rsidP="00271E51">
      <w:pPr>
        <w:spacing w:after="0" w:line="240" w:lineRule="auto"/>
        <w:jc w:val="both"/>
        <w:rPr>
          <w:rFonts w:ascii="Times New Roman" w:hAnsi="Times New Roman"/>
          <w:color w:val="000000" w:themeColor="text1"/>
          <w:sz w:val="16"/>
          <w:szCs w:val="16"/>
        </w:rPr>
      </w:pPr>
    </w:p>
    <w:p w14:paraId="010D478F" w14:textId="77777777" w:rsidR="00503196" w:rsidRPr="00271E51" w:rsidRDefault="0050319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президент США Ф.Рузвельт приказывает поделиться результатами атомных исследований с Англией (14957).</w:t>
      </w:r>
    </w:p>
    <w:p w14:paraId="757EE1B5" w14:textId="77777777" w:rsidR="00503196" w:rsidRPr="00271E51" w:rsidRDefault="00503196" w:rsidP="00271E51">
      <w:pPr>
        <w:spacing w:after="0" w:line="240" w:lineRule="auto"/>
        <w:jc w:val="both"/>
        <w:rPr>
          <w:rFonts w:ascii="Times New Roman" w:hAnsi="Times New Roman"/>
          <w:color w:val="000000" w:themeColor="text1"/>
          <w:sz w:val="16"/>
          <w:szCs w:val="16"/>
        </w:rPr>
      </w:pPr>
    </w:p>
    <w:p w14:paraId="1FA5D5C4" w14:textId="77777777" w:rsidR="00503196" w:rsidRPr="00271E51" w:rsidRDefault="0050319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в 1943 году совещание Гитлера и Муссолини в Фельтре. Гитлер резко критиковал итальянскую сторону, требовал мобилизации всех сил и ресурсов на продолжение борьбы (14957).</w:t>
      </w:r>
    </w:p>
    <w:p w14:paraId="38068CB5" w14:textId="77777777" w:rsidR="00503196" w:rsidRPr="00271E51" w:rsidRDefault="00503196" w:rsidP="00271E51">
      <w:pPr>
        <w:spacing w:after="0" w:line="240" w:lineRule="auto"/>
        <w:jc w:val="both"/>
        <w:rPr>
          <w:rFonts w:ascii="Times New Roman" w:hAnsi="Times New Roman"/>
          <w:color w:val="000000" w:themeColor="text1"/>
          <w:sz w:val="16"/>
          <w:szCs w:val="16"/>
        </w:rPr>
      </w:pPr>
    </w:p>
    <w:p w14:paraId="6E50C0AF" w14:textId="77777777" w:rsidR="00503196" w:rsidRPr="00271E51" w:rsidRDefault="00503196"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19 июля в 1943 году первый массированный налет союзной авиации на Рим. Погибаютоколо</w:t>
      </w:r>
      <w:r w:rsidRPr="00271E51">
        <w:rPr>
          <w:rFonts w:ascii="Times New Roman" w:hAnsi="Times New Roman"/>
          <w:color w:val="000000" w:themeColor="text1"/>
          <w:sz w:val="16"/>
          <w:szCs w:val="16"/>
          <w:lang w:val="en-US"/>
        </w:rPr>
        <w:t xml:space="preserve"> 1400 </w:t>
      </w:r>
      <w:r w:rsidRPr="00271E51">
        <w:rPr>
          <w:rFonts w:ascii="Times New Roman" w:hAnsi="Times New Roman"/>
          <w:color w:val="000000" w:themeColor="text1"/>
          <w:sz w:val="16"/>
          <w:szCs w:val="16"/>
        </w:rPr>
        <w:t>мирныхграждан</w:t>
      </w:r>
      <w:r w:rsidRPr="00271E51">
        <w:rPr>
          <w:rFonts w:ascii="Times New Roman" w:hAnsi="Times New Roman"/>
          <w:color w:val="000000" w:themeColor="text1"/>
          <w:sz w:val="16"/>
          <w:szCs w:val="16"/>
          <w:lang w:val="en-US"/>
        </w:rPr>
        <w:t xml:space="preserve"> (14957).</w:t>
      </w:r>
    </w:p>
    <w:p w14:paraId="2AFCFDF9" w14:textId="77777777" w:rsidR="00503196" w:rsidRPr="00271E51" w:rsidRDefault="00503196" w:rsidP="00271E51">
      <w:pPr>
        <w:spacing w:after="0" w:line="240" w:lineRule="auto"/>
        <w:jc w:val="both"/>
        <w:rPr>
          <w:rFonts w:ascii="Times New Roman" w:hAnsi="Times New Roman"/>
          <w:color w:val="000000" w:themeColor="text1"/>
          <w:sz w:val="16"/>
          <w:szCs w:val="16"/>
          <w:lang w:val="en-US"/>
        </w:rPr>
      </w:pPr>
    </w:p>
    <w:p w14:paraId="46A81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19 1943 Allies bomb Rome (1050).</w:t>
      </w:r>
    </w:p>
    <w:p w14:paraId="38BF9E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3E8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19, 1943. Rome is bombed for the first time. Flying from Benghazi, Libya, 158 B-17 crews and 112 B 24 crews carry out a morning raid. A second attack is staged in the afternoon (1089).</w:t>
      </w:r>
    </w:p>
    <w:p w14:paraId="3C36B8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3ED0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19 </w:t>
      </w:r>
      <w:r w:rsidRPr="00271E51">
        <w:rPr>
          <w:rFonts w:ascii="Times New Roman" w:hAnsi="Times New Roman"/>
          <w:color w:val="000000" w:themeColor="text1"/>
          <w:sz w:val="16"/>
          <w:szCs w:val="16"/>
        </w:rPr>
        <w:t>июля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союзникибомбилиРим</w:t>
      </w:r>
      <w:r w:rsidRPr="00271E51">
        <w:rPr>
          <w:rFonts w:ascii="Times New Roman" w:hAnsi="Times New Roman"/>
          <w:color w:val="000000" w:themeColor="text1"/>
          <w:sz w:val="16"/>
          <w:szCs w:val="16"/>
          <w:lang w:val="en-US"/>
        </w:rPr>
        <w:t xml:space="preserve"> (1050) </w:t>
      </w:r>
      <w:r w:rsidRPr="00271E51">
        <w:rPr>
          <w:rFonts w:ascii="Times New Roman" w:hAnsi="Times New Roman"/>
          <w:color w:val="000000" w:themeColor="text1"/>
          <w:sz w:val="16"/>
          <w:szCs w:val="16"/>
        </w:rPr>
        <w:t>первыйраз</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Летали из Бенгази, Ливия в составе 158 В-17 и 112 В-24 в две волны: утром и днем (1089).</w:t>
      </w:r>
    </w:p>
    <w:p w14:paraId="76CC6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7A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июля 1943 американцы бомбили японские базы на Парамашире, Курилы (2246,4).</w:t>
      </w:r>
    </w:p>
    <w:p w14:paraId="7874B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3F32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4035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4DB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 начались продолжав</w:t>
      </w:r>
      <w:r w:rsidRPr="00271E51">
        <w:rPr>
          <w:rFonts w:ascii="Times New Roman" w:hAnsi="Times New Roman"/>
          <w:color w:val="000000" w:themeColor="text1"/>
          <w:sz w:val="16"/>
          <w:szCs w:val="16"/>
        </w:rPr>
        <w:softHyphen/>
        <w:t>шиеся до 16 декабря войсковые испы</w:t>
      </w:r>
      <w:r w:rsidRPr="00271E51">
        <w:rPr>
          <w:rFonts w:ascii="Times New Roman" w:hAnsi="Times New Roman"/>
          <w:color w:val="000000" w:themeColor="text1"/>
          <w:sz w:val="16"/>
          <w:szCs w:val="16"/>
        </w:rPr>
        <w:softHyphen/>
        <w:t>тания Ил-2 с двумя 37-мм авиапушка</w:t>
      </w:r>
      <w:r w:rsidRPr="00271E51">
        <w:rPr>
          <w:rFonts w:ascii="Times New Roman" w:hAnsi="Times New Roman"/>
          <w:color w:val="000000" w:themeColor="text1"/>
          <w:sz w:val="16"/>
          <w:szCs w:val="16"/>
        </w:rPr>
        <w:softHyphen/>
        <w:t>ми НС-37. В общей сложности к войс</w:t>
      </w:r>
      <w:r w:rsidRPr="00271E51">
        <w:rPr>
          <w:rFonts w:ascii="Times New Roman" w:hAnsi="Times New Roman"/>
          <w:color w:val="000000" w:themeColor="text1"/>
          <w:sz w:val="16"/>
          <w:szCs w:val="16"/>
        </w:rPr>
        <w:softHyphen/>
        <w:t xml:space="preserve">ковым испытаниям привлекались 96 штурмовиков Ил-2 с НС-37 (24-й, 25-й и 26-й серий), которые в разное время поступили в части 2-го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1 -и ВА, 227-й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2-й ВА, 219-й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17-й ВА.</w:t>
      </w:r>
    </w:p>
    <w:p w14:paraId="2628FE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 инженером войсковых ис</w:t>
      </w:r>
      <w:r w:rsidRPr="00271E51">
        <w:rPr>
          <w:rFonts w:ascii="Times New Roman" w:hAnsi="Times New Roman"/>
          <w:color w:val="000000" w:themeColor="text1"/>
          <w:sz w:val="16"/>
          <w:szCs w:val="16"/>
        </w:rPr>
        <w:softHyphen/>
        <w:t>пытаний от НИИ ВВС КА был назначен инженер-майор П.Т.Аброщенко.</w:t>
      </w:r>
    </w:p>
    <w:p w14:paraId="0DB2E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Строевые летчики отмечали, что са</w:t>
      </w:r>
      <w:r w:rsidRPr="00271E51">
        <w:rPr>
          <w:rFonts w:ascii="Times New Roman" w:hAnsi="Times New Roman"/>
          <w:color w:val="000000" w:themeColor="text1"/>
          <w:sz w:val="16"/>
          <w:szCs w:val="16"/>
        </w:rPr>
        <w:softHyphen/>
        <w:t>молет Ил-2 АМ-38ф с двумя пушками НС-37, по сравнению с Ил-2, вооружен</w:t>
      </w:r>
      <w:r w:rsidRPr="00271E51">
        <w:rPr>
          <w:rFonts w:ascii="Times New Roman" w:hAnsi="Times New Roman"/>
          <w:color w:val="000000" w:themeColor="text1"/>
          <w:sz w:val="16"/>
          <w:szCs w:val="16"/>
        </w:rPr>
        <w:softHyphen/>
        <w:t>ным пушками ШВАК или ВЯ, обладает большей инертностью, ухудшенной ма</w:t>
      </w:r>
      <w:r w:rsidRPr="00271E51">
        <w:rPr>
          <w:rFonts w:ascii="Times New Roman" w:hAnsi="Times New Roman"/>
          <w:color w:val="000000" w:themeColor="text1"/>
          <w:sz w:val="16"/>
          <w:szCs w:val="16"/>
        </w:rPr>
        <w:softHyphen/>
        <w:t>невренностью и управляемостью, осо</w:t>
      </w:r>
      <w:r w:rsidRPr="00271E51">
        <w:rPr>
          <w:rFonts w:ascii="Times New Roman" w:hAnsi="Times New Roman"/>
          <w:color w:val="000000" w:themeColor="text1"/>
          <w:sz w:val="16"/>
          <w:szCs w:val="16"/>
        </w:rPr>
        <w:softHyphen/>
        <w:t>бенно на больших скоростях, заметно увеличился радиус виража, а на выводе из пикирования при скорости 340-360 км/ч наблюдалась чрезмерно большая нагрузка на рули. На планировании лет</w:t>
      </w:r>
      <w:r w:rsidRPr="00271E51">
        <w:rPr>
          <w:rFonts w:ascii="Times New Roman" w:hAnsi="Times New Roman"/>
          <w:color w:val="000000" w:themeColor="text1"/>
          <w:sz w:val="16"/>
          <w:szCs w:val="16"/>
        </w:rPr>
        <w:softHyphen/>
        <w:t>чикам приходилось держать большую скорость (200-210 км/ч при отклоненных щитках).</w:t>
      </w:r>
    </w:p>
    <w:p w14:paraId="22A5EC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Ухудшение летно-пилотажных качеств штурмовика существенно затруднило выполнение летчиками противозенитно</w:t>
      </w:r>
      <w:r w:rsidRPr="00271E51">
        <w:rPr>
          <w:rFonts w:ascii="Times New Roman" w:hAnsi="Times New Roman"/>
          <w:color w:val="000000" w:themeColor="text1"/>
          <w:sz w:val="16"/>
          <w:szCs w:val="16"/>
        </w:rPr>
        <w:softHyphen/>
        <w:t>го маневра, особенно в составе группы, усложнило условия прицеливания и уточнения наводки самолета на цель при стрельбе из пушек.</w:t>
      </w:r>
    </w:p>
    <w:p w14:paraId="52798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Возможности Ил-2 с НС-37 в воздуш</w:t>
      </w:r>
      <w:r w:rsidRPr="00271E51">
        <w:rPr>
          <w:rFonts w:ascii="Times New Roman" w:hAnsi="Times New Roman"/>
          <w:color w:val="000000" w:themeColor="text1"/>
          <w:sz w:val="16"/>
          <w:szCs w:val="16"/>
        </w:rPr>
        <w:softHyphen/>
        <w:t>ном бою с немецкими самолетами, по сравнению с обычными серийными "Илами", снизились. Строевые летчики указывали, что прикрывающая группа ис</w:t>
      </w:r>
      <w:r w:rsidRPr="00271E51">
        <w:rPr>
          <w:rFonts w:ascii="Times New Roman" w:hAnsi="Times New Roman"/>
          <w:color w:val="000000" w:themeColor="text1"/>
          <w:sz w:val="16"/>
          <w:szCs w:val="16"/>
        </w:rPr>
        <w:softHyphen/>
        <w:t>требителей должна быть увеличена в сравнении с общепринятыми нормами. Приемы же воздушного боя Ил-2 с НС-37 практически не отличались от приемов, применяемых Ил-2 с пушками ШВАК или ВЯ. Однако ввиду того, что при стрельбе из НС-37 на кабрировании резко падала скорость штурмовика, оборонительный "круг" получался более растянутым, что требовало от летчиков большей собранности и внимательности.</w:t>
      </w:r>
    </w:p>
    <w:p w14:paraId="1B009F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Сами же пушки НС-37 зарекомендо</w:t>
      </w:r>
      <w:r w:rsidRPr="00271E51">
        <w:rPr>
          <w:rFonts w:ascii="Times New Roman" w:hAnsi="Times New Roman"/>
          <w:color w:val="000000" w:themeColor="text1"/>
          <w:sz w:val="16"/>
          <w:szCs w:val="16"/>
        </w:rPr>
        <w:softHyphen/>
        <w:t>вали себя как мощное и эффективное оружие.</w:t>
      </w:r>
    </w:p>
    <w:p w14:paraId="01F22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Летчики 568-го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2-го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1 -и ВА, где проходили войсковые испытания Ил-2 с НС-37, с 15 по 26 сентября уничто</w:t>
      </w:r>
      <w:r w:rsidRPr="00271E51">
        <w:rPr>
          <w:rFonts w:ascii="Times New Roman" w:hAnsi="Times New Roman"/>
          <w:color w:val="000000" w:themeColor="text1"/>
          <w:sz w:val="16"/>
          <w:szCs w:val="16"/>
        </w:rPr>
        <w:softHyphen/>
        <w:t>жили 6 танков и САУ, 99 автомашин, 10 повозок и подавили огонь 6 батарей. Свои потери составили 3 самолета.</w:t>
      </w:r>
    </w:p>
    <w:p w14:paraId="417B5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по войсковым испыта</w:t>
      </w:r>
      <w:r w:rsidRPr="00271E51">
        <w:rPr>
          <w:rFonts w:ascii="Times New Roman" w:hAnsi="Times New Roman"/>
          <w:color w:val="000000" w:themeColor="text1"/>
          <w:sz w:val="16"/>
          <w:szCs w:val="16"/>
        </w:rPr>
        <w:softHyphen/>
        <w:t>ниям Ил-2 с НС-37 в 17-й ВА отмеча</w:t>
      </w:r>
      <w:r w:rsidRPr="00271E51">
        <w:rPr>
          <w:rFonts w:ascii="Times New Roman" w:hAnsi="Times New Roman"/>
          <w:color w:val="000000" w:themeColor="text1"/>
          <w:sz w:val="16"/>
          <w:szCs w:val="16"/>
        </w:rPr>
        <w:softHyphen/>
        <w:t>лись случаи уничтожения танков Pz. V "Panther", а для поражения штурмового орудия StuG IV или истребителя танков Jgd Pz IV/70 было достаточно 3-х попа</w:t>
      </w:r>
      <w:r w:rsidRPr="00271E51">
        <w:rPr>
          <w:rFonts w:ascii="Times New Roman" w:hAnsi="Times New Roman"/>
          <w:color w:val="000000" w:themeColor="text1"/>
          <w:sz w:val="16"/>
          <w:szCs w:val="16"/>
        </w:rPr>
        <w:softHyphen/>
        <w:t>даний снарядов в моторную часть, где толщина брони была 17 и 20 мм соот</w:t>
      </w:r>
      <w:r w:rsidRPr="00271E51">
        <w:rPr>
          <w:rFonts w:ascii="Times New Roman" w:hAnsi="Times New Roman"/>
          <w:color w:val="000000" w:themeColor="text1"/>
          <w:sz w:val="16"/>
          <w:szCs w:val="16"/>
        </w:rPr>
        <w:softHyphen/>
        <w:t>ветственно, и т.д.</w:t>
      </w:r>
    </w:p>
    <w:p w14:paraId="3340F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Ил-2 с НС-37 при удачном стечении обстоятельств был способен успешно поражать как все средние немецкие танки этого периода, так и штурмовые орудия и истребители танков на их основе.</w:t>
      </w:r>
    </w:p>
    <w:p w14:paraId="5D869B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большая сила отдачи при стрельбе из этих пушек создавала зна</w:t>
      </w:r>
      <w:r w:rsidRPr="00271E51">
        <w:rPr>
          <w:rFonts w:ascii="Times New Roman" w:hAnsi="Times New Roman"/>
          <w:color w:val="000000" w:themeColor="text1"/>
          <w:sz w:val="16"/>
          <w:szCs w:val="16"/>
        </w:rPr>
        <w:softHyphen/>
        <w:t>чительные трудности при ведении огня по точечным целям, каковыми являлись танки, САУ и т.д. как для летного соста</w:t>
      </w:r>
      <w:r w:rsidRPr="00271E51">
        <w:rPr>
          <w:rFonts w:ascii="Times New Roman" w:hAnsi="Times New Roman"/>
          <w:color w:val="000000" w:themeColor="text1"/>
          <w:sz w:val="16"/>
          <w:szCs w:val="16"/>
        </w:rPr>
        <w:softHyphen/>
        <w:t>ва, имеющего боевой опыт, так и для мо</w:t>
      </w:r>
      <w:r w:rsidRPr="00271E51">
        <w:rPr>
          <w:rFonts w:ascii="Times New Roman" w:hAnsi="Times New Roman"/>
          <w:color w:val="000000" w:themeColor="text1"/>
          <w:sz w:val="16"/>
          <w:szCs w:val="16"/>
        </w:rPr>
        <w:softHyphen/>
        <w:t>лодых летчиков, только что вставших в строй.</w:t>
      </w:r>
    </w:p>
    <w:p w14:paraId="1017C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Расчеты, основанные на результатах полигонных испытаний и анализе бое</w:t>
      </w:r>
      <w:r w:rsidRPr="00271E51">
        <w:rPr>
          <w:rFonts w:ascii="Times New Roman" w:hAnsi="Times New Roman"/>
          <w:color w:val="000000" w:themeColor="text1"/>
          <w:sz w:val="16"/>
          <w:szCs w:val="16"/>
        </w:rPr>
        <w:softHyphen/>
        <w:t>вого опыта, показывают, что хорошо под</w:t>
      </w:r>
      <w:r w:rsidRPr="00271E51">
        <w:rPr>
          <w:rFonts w:ascii="Times New Roman" w:hAnsi="Times New Roman"/>
          <w:color w:val="000000" w:themeColor="text1"/>
          <w:sz w:val="16"/>
          <w:szCs w:val="16"/>
        </w:rPr>
        <w:softHyphen/>
        <w:t>готовленный летчик-штурмовик в типо</w:t>
      </w:r>
      <w:r w:rsidRPr="00271E51">
        <w:rPr>
          <w:rFonts w:ascii="Times New Roman" w:hAnsi="Times New Roman"/>
          <w:color w:val="000000" w:themeColor="text1"/>
          <w:sz w:val="16"/>
          <w:szCs w:val="16"/>
        </w:rPr>
        <w:softHyphen/>
        <w:t>вых условиях атаки с планирования под углом 30° при стрельбе из пушек НС-37 с дистанции порядка 300-400 м мог обеспечить в одном заходе вероятность поражения среднего немецкого танка типа Pz. IV Ausf G не более 0,04-0,07, а бронетранспортера типа SdKfz 251 - не выше 0,08-0,17.</w:t>
      </w:r>
    </w:p>
    <w:p w14:paraId="7B6A4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для уничтожения одной еди</w:t>
      </w:r>
      <w:r w:rsidRPr="00271E51">
        <w:rPr>
          <w:rFonts w:ascii="Times New Roman" w:hAnsi="Times New Roman"/>
          <w:color w:val="000000" w:themeColor="text1"/>
          <w:sz w:val="16"/>
          <w:szCs w:val="16"/>
        </w:rPr>
        <w:softHyphen/>
        <w:t>ницы бронетехники вермахта стрельбой из пушек НС-37 необходимо было вы</w:t>
      </w:r>
      <w:r w:rsidRPr="00271E51">
        <w:rPr>
          <w:rFonts w:ascii="Times New Roman" w:hAnsi="Times New Roman"/>
          <w:color w:val="000000" w:themeColor="text1"/>
          <w:sz w:val="16"/>
          <w:szCs w:val="16"/>
        </w:rPr>
        <w:softHyphen/>
        <w:t>делять как минимум полтора десятка бронированных "Илов" (6467).</w:t>
      </w:r>
    </w:p>
    <w:p w14:paraId="387B1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уменьшение нор</w:t>
      </w:r>
      <w:r w:rsidRPr="00271E51">
        <w:rPr>
          <w:rFonts w:ascii="Times New Roman" w:hAnsi="Times New Roman"/>
          <w:color w:val="000000" w:themeColor="text1"/>
          <w:sz w:val="16"/>
          <w:szCs w:val="16"/>
        </w:rPr>
        <w:softHyphen/>
        <w:t>мальной бомбовой нагрузки Ил-2 с НС-37 с 400 кг до 100 кг не компенсирова</w:t>
      </w:r>
      <w:r w:rsidRPr="00271E51">
        <w:rPr>
          <w:rFonts w:ascii="Times New Roman" w:hAnsi="Times New Roman"/>
          <w:color w:val="000000" w:themeColor="text1"/>
          <w:sz w:val="16"/>
          <w:szCs w:val="16"/>
        </w:rPr>
        <w:softHyphen/>
        <w:t>лось, при существующих условиях веде</w:t>
      </w:r>
      <w:r w:rsidRPr="00271E51">
        <w:rPr>
          <w:rFonts w:ascii="Times New Roman" w:hAnsi="Times New Roman"/>
          <w:color w:val="000000" w:themeColor="text1"/>
          <w:sz w:val="16"/>
          <w:szCs w:val="16"/>
        </w:rPr>
        <w:softHyphen/>
        <w:t>ния прицельной стрельбы в бою, увели</w:t>
      </w:r>
      <w:r w:rsidRPr="00271E51">
        <w:rPr>
          <w:rFonts w:ascii="Times New Roman" w:hAnsi="Times New Roman"/>
          <w:color w:val="000000" w:themeColor="text1"/>
          <w:sz w:val="16"/>
          <w:szCs w:val="16"/>
        </w:rPr>
        <w:softHyphen/>
        <w:t>чением мощности пушечного огня, осо</w:t>
      </w:r>
      <w:r w:rsidRPr="00271E51">
        <w:rPr>
          <w:rFonts w:ascii="Times New Roman" w:hAnsi="Times New Roman"/>
          <w:color w:val="000000" w:themeColor="text1"/>
          <w:sz w:val="16"/>
          <w:szCs w:val="16"/>
        </w:rPr>
        <w:softHyphen/>
        <w:t>бенно, в сравнении с эффектом, полу</w:t>
      </w:r>
      <w:r w:rsidRPr="00271E51">
        <w:rPr>
          <w:rFonts w:ascii="Times New Roman" w:hAnsi="Times New Roman"/>
          <w:color w:val="000000" w:themeColor="text1"/>
          <w:sz w:val="16"/>
          <w:szCs w:val="16"/>
        </w:rPr>
        <w:softHyphen/>
        <w:t>чаемым от применения противотанковых кумулятивных авиабомб ПТАБ-2,5-1,5.</w:t>
      </w:r>
    </w:p>
    <w:p w14:paraId="65C7F1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общему мнению летного состава, летавшего на Ил-2 с НС-37, штурмовик при атаках малоразмерных целей не имел преимуществ перед Ил-2 с пуш</w:t>
      </w:r>
      <w:r w:rsidRPr="00271E51">
        <w:rPr>
          <w:rFonts w:ascii="Times New Roman" w:hAnsi="Times New Roman"/>
          <w:color w:val="000000" w:themeColor="text1"/>
          <w:sz w:val="16"/>
          <w:szCs w:val="16"/>
        </w:rPr>
        <w:softHyphen/>
        <w:t>ками меньшего калибра (ШВАК или ВЯ) с нормальной бомбовой нагрузкой в 300-350 кг ПТАБ. В то же время, приме</w:t>
      </w:r>
      <w:r w:rsidRPr="00271E51">
        <w:rPr>
          <w:rFonts w:ascii="Times New Roman" w:hAnsi="Times New Roman"/>
          <w:color w:val="000000" w:themeColor="text1"/>
          <w:sz w:val="16"/>
          <w:szCs w:val="16"/>
        </w:rPr>
        <w:softHyphen/>
        <w:t>нение Ил-2 с НС-37 по большим пло</w:t>
      </w:r>
      <w:r w:rsidRPr="00271E51">
        <w:rPr>
          <w:rFonts w:ascii="Times New Roman" w:hAnsi="Times New Roman"/>
          <w:color w:val="000000" w:themeColor="text1"/>
          <w:sz w:val="16"/>
          <w:szCs w:val="16"/>
        </w:rPr>
        <w:softHyphen/>
        <w:t>щадным и объемным целям: складам бо</w:t>
      </w:r>
      <w:r w:rsidRPr="00271E51">
        <w:rPr>
          <w:rFonts w:ascii="Times New Roman" w:hAnsi="Times New Roman"/>
          <w:color w:val="000000" w:themeColor="text1"/>
          <w:sz w:val="16"/>
          <w:szCs w:val="16"/>
        </w:rPr>
        <w:softHyphen/>
        <w:t>еприпасов, скоплениям танков, артилле</w:t>
      </w:r>
      <w:r w:rsidRPr="00271E51">
        <w:rPr>
          <w:rFonts w:ascii="Times New Roman" w:hAnsi="Times New Roman"/>
          <w:color w:val="000000" w:themeColor="text1"/>
          <w:sz w:val="16"/>
          <w:szCs w:val="16"/>
        </w:rPr>
        <w:softHyphen/>
        <w:t>рийским и зенитным батареям, желез</w:t>
      </w:r>
      <w:r w:rsidRPr="00271E51">
        <w:rPr>
          <w:rFonts w:ascii="Times New Roman" w:hAnsi="Times New Roman"/>
          <w:color w:val="000000" w:themeColor="text1"/>
          <w:sz w:val="16"/>
          <w:szCs w:val="16"/>
        </w:rPr>
        <w:softHyphen/>
        <w:t>нодорожным эшелонам, малотоннажным судам и т.д., могло быть вполне успешным.</w:t>
      </w:r>
    </w:p>
    <w:p w14:paraId="428954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акта по войсковым ис</w:t>
      </w:r>
      <w:r w:rsidRPr="00271E51">
        <w:rPr>
          <w:rFonts w:ascii="Times New Roman" w:hAnsi="Times New Roman"/>
          <w:color w:val="000000" w:themeColor="text1"/>
          <w:sz w:val="16"/>
          <w:szCs w:val="16"/>
        </w:rPr>
        <w:softHyphen/>
        <w:t>пытаниям Ил-2 с АМ-38ф с пушками НС-37 указывалось, что новый штурмо</w:t>
      </w:r>
      <w:r w:rsidRPr="00271E51">
        <w:rPr>
          <w:rFonts w:ascii="Times New Roman" w:hAnsi="Times New Roman"/>
          <w:color w:val="000000" w:themeColor="text1"/>
          <w:sz w:val="16"/>
          <w:szCs w:val="16"/>
        </w:rPr>
        <w:softHyphen/>
        <w:t>вик по совокупности боевых качеств вой</w:t>
      </w:r>
      <w:r w:rsidRPr="00271E51">
        <w:rPr>
          <w:rFonts w:ascii="Times New Roman" w:hAnsi="Times New Roman"/>
          <w:color w:val="000000" w:themeColor="text1"/>
          <w:sz w:val="16"/>
          <w:szCs w:val="16"/>
        </w:rPr>
        <w:softHyphen/>
        <w:t>сковые испытания прошел неудовлетво</w:t>
      </w:r>
      <w:r w:rsidRPr="00271E51">
        <w:rPr>
          <w:rFonts w:ascii="Times New Roman" w:hAnsi="Times New Roman"/>
          <w:color w:val="000000" w:themeColor="text1"/>
          <w:sz w:val="16"/>
          <w:szCs w:val="16"/>
        </w:rPr>
        <w:softHyphen/>
        <w:t xml:space="preserve">рительно. В отчете рекомендовалось потребовать от С.В.Ильюшина, А.Э.Нудельмана и А.С.Суранова </w:t>
      </w:r>
      <w:r w:rsidRPr="00271E51">
        <w:rPr>
          <w:rFonts w:ascii="Times New Roman" w:hAnsi="Times New Roman"/>
          <w:iCs/>
          <w:color w:val="000000" w:themeColor="text1"/>
          <w:sz w:val="16"/>
          <w:szCs w:val="16"/>
        </w:rPr>
        <w:t>"установить на Ил-2 37-мм авиапушки, оснащенные дульным тормозом и в этом виде предъявить самолет на повторные вой</w:t>
      </w:r>
      <w:r w:rsidRPr="00271E51">
        <w:rPr>
          <w:rFonts w:ascii="Times New Roman" w:hAnsi="Times New Roman"/>
          <w:iCs/>
          <w:color w:val="000000" w:themeColor="text1"/>
          <w:sz w:val="16"/>
          <w:szCs w:val="16"/>
        </w:rPr>
        <w:softHyphen/>
        <w:t xml:space="preserve">сковые испытания" </w:t>
      </w:r>
      <w:r w:rsidRPr="00271E51">
        <w:rPr>
          <w:rFonts w:ascii="Times New Roman" w:hAnsi="Times New Roman"/>
          <w:color w:val="000000" w:themeColor="text1"/>
          <w:sz w:val="16"/>
          <w:szCs w:val="16"/>
        </w:rPr>
        <w:t>(6467).</w:t>
      </w:r>
    </w:p>
    <w:p w14:paraId="297512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8647C" w14:textId="77777777" w:rsidR="00506386" w:rsidRPr="00271E51" w:rsidRDefault="00506386"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20 июля 1943 года начались продолжавшиеся до 16 декабря войсковые испытания Ил-2 с двумя 37-мм авиапушками НС-37. В общей сложности к войсковым испытаниям привлекались 96 штурмовиков Ил-2 с НС-37 (24-й, 25-й и 26-й серий), которые в разное время поступили в части 2-го шак 1-й ВА, 227-й шад 2-й ВА, 219-й шад 17-й ВА. Ведущим инженером войсковых испытаний от НИИ ВВС КА был назначен инженер-майор П.Т. Аброщенко.</w:t>
      </w:r>
    </w:p>
    <w:p w14:paraId="5913B326" w14:textId="77777777" w:rsidR="00506386" w:rsidRPr="00271E51" w:rsidRDefault="00506386"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Летчики 568-го шап 2-го шак 1-й ВА, летавшие на Ил-2 с НС-37, с 15 по 26 сентября уничтожили 6 танков и САУ, 99 автомашин, 10 повозок и подавили огонь 6 батарей. Свои потери составили 3 самолета. В материалах по войсковым испытаниям Ил-2 с НС-37 в 17-й ВА отмечались случаи уничтожения танков Pz. V "Пантера", что, правда, скорее всего из области военных баек (19170).</w:t>
      </w:r>
    </w:p>
    <w:p w14:paraId="63CCAB4B" w14:textId="77777777" w:rsidR="00506386" w:rsidRPr="00271E51" w:rsidRDefault="00506386" w:rsidP="00271E51">
      <w:pPr>
        <w:pStyle w:val="rtejustify"/>
        <w:shd w:val="clear" w:color="auto" w:fill="FFFFFF"/>
        <w:spacing w:before="0" w:after="0"/>
        <w:textAlignment w:val="baseline"/>
        <w:rPr>
          <w:color w:val="000000" w:themeColor="text1"/>
          <w:sz w:val="16"/>
          <w:szCs w:val="16"/>
        </w:rPr>
      </w:pPr>
    </w:p>
    <w:p w14:paraId="3DD44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июля 1943 по 16 декабря 1943 проходили широкие войсковые Ил-2 с НС-37 - на 1-м Украинском. "Пробивали броню крыши и частично бортовую всех танков и САУ, а также бронетранспортеров и бронемашин" (177,304).</w:t>
      </w:r>
    </w:p>
    <w:p w14:paraId="14509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Видно испытывали или стрелку или 37 мм или вместе.</w:t>
      </w:r>
    </w:p>
    <w:p w14:paraId="72CF13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D32CF" w14:textId="77777777" w:rsidR="007F3D7F" w:rsidRPr="00271E51" w:rsidRDefault="007F3D7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 июля 1943, согласно докладу Старшего военпреда ГУ ИАС на заводе № 240 инженер-майор В. П. Григорьев начальнику 1-го отдела ГУ ИАС генерал-майору А. И. Гребеневу, на самолете Ил-2 АМ-42 "следопыт" еще продолжаются работы по стыковке нового крыла (также смешанной конструкции), закончены столярные работы по крылу, остались шпаклевка, обтяжка и покраска. Смонтирована система заполнения бензобаков нейтральными газами от выхлопа мотора. Завершается установка вооружения, а также рамы второй фотоустановки в задней части фюзеляжа за стрелком. Увеличена осевая компенсация руля высоты. Установлен легкосъемный кок винта, выполненный «по типу конструкции Мессершмитт». Для проведения наземных испытаний на выработку топлива из подвесных бензобаков завершен монтаж системы бензопроводки для одного подвесного топливного бака на 150 л горючего (ПЛБГ-150). Кроме этого, предполагалось установить новый всасывающий патрубок с управляемой внутренней заслонкой, связанной с кинематикой шасси: на земле (шасси выпущено) забор воздуха производится из подкапотного пространства, а при полете в воздухе (шасси убрано) – снаружи.</w:t>
      </w:r>
    </w:p>
    <w:p w14:paraId="1A02DFFB" w14:textId="77777777" w:rsidR="007F3D7F" w:rsidRPr="00271E51" w:rsidRDefault="007F3D7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24 июля «следопыт» привели в летное состояние и передали на ЛИС завода. Однако уже действовал запрет главного конструктора мотора АМ-42 А. А. Микулина на полеты с винтом диаметром 4,0 м («из-за имевших место поломок демпферных пружин муфты сцепления нагнетателя с валом мотора») (17490).</w:t>
      </w:r>
    </w:p>
    <w:p w14:paraId="7B575D2C" w14:textId="77777777" w:rsidR="007F3D7F" w:rsidRPr="00271E51" w:rsidRDefault="007F3D7F" w:rsidP="00271E51">
      <w:pPr>
        <w:spacing w:after="0" w:line="240" w:lineRule="auto"/>
        <w:jc w:val="both"/>
        <w:rPr>
          <w:rFonts w:ascii="Times New Roman" w:hAnsi="Times New Roman"/>
          <w:color w:val="000000" w:themeColor="text1"/>
          <w:sz w:val="16"/>
          <w:szCs w:val="16"/>
        </w:rPr>
      </w:pPr>
    </w:p>
    <w:p w14:paraId="619E5B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20 июля 1943 Старший военпред ГУ ИАС ВВС на заводе № 240 инженер-майор Григорьев докладывал своему руко</w:t>
      </w:r>
      <w:r w:rsidRPr="00271E51">
        <w:rPr>
          <w:rFonts w:ascii="Times New Roman" w:hAnsi="Times New Roman"/>
          <w:color w:val="000000" w:themeColor="text1"/>
          <w:sz w:val="16"/>
          <w:szCs w:val="16"/>
        </w:rPr>
        <w:softHyphen/>
        <w:t>водству, что на самолете С.В.И. разведчике и корректировщике артиллерийского огня еще продолжаются ра</w:t>
      </w:r>
      <w:r w:rsidRPr="00271E51">
        <w:rPr>
          <w:rFonts w:ascii="Times New Roman" w:hAnsi="Times New Roman"/>
          <w:color w:val="000000" w:themeColor="text1"/>
          <w:sz w:val="16"/>
          <w:szCs w:val="16"/>
        </w:rPr>
        <w:softHyphen/>
        <w:t>боты по стыковке нового крыла (так</w:t>
      </w:r>
      <w:r w:rsidRPr="00271E51">
        <w:rPr>
          <w:rFonts w:ascii="Times New Roman" w:hAnsi="Times New Roman"/>
          <w:color w:val="000000" w:themeColor="text1"/>
          <w:sz w:val="16"/>
          <w:szCs w:val="16"/>
        </w:rPr>
        <w:softHyphen/>
        <w:t>же деревянного), завершается уста</w:t>
      </w:r>
      <w:r w:rsidRPr="00271E51">
        <w:rPr>
          <w:rFonts w:ascii="Times New Roman" w:hAnsi="Times New Roman"/>
          <w:color w:val="000000" w:themeColor="text1"/>
          <w:sz w:val="16"/>
          <w:szCs w:val="16"/>
        </w:rPr>
        <w:softHyphen/>
        <w:t>новка вооружения, а также рамы второй фотоустановки в задней час</w:t>
      </w:r>
      <w:r w:rsidRPr="00271E51">
        <w:rPr>
          <w:rFonts w:ascii="Times New Roman" w:hAnsi="Times New Roman"/>
          <w:color w:val="000000" w:themeColor="text1"/>
          <w:sz w:val="16"/>
          <w:szCs w:val="16"/>
        </w:rPr>
        <w:softHyphen/>
        <w:t>ти фюзеляжа за стрелком. Для про</w:t>
      </w:r>
      <w:r w:rsidRPr="00271E51">
        <w:rPr>
          <w:rFonts w:ascii="Times New Roman" w:hAnsi="Times New Roman"/>
          <w:color w:val="000000" w:themeColor="text1"/>
          <w:sz w:val="16"/>
          <w:szCs w:val="16"/>
        </w:rPr>
        <w:softHyphen/>
        <w:t>ведения наземных испытаний на вы</w:t>
      </w:r>
      <w:r w:rsidRPr="00271E51">
        <w:rPr>
          <w:rFonts w:ascii="Times New Roman" w:hAnsi="Times New Roman"/>
          <w:color w:val="000000" w:themeColor="text1"/>
          <w:sz w:val="16"/>
          <w:szCs w:val="16"/>
        </w:rPr>
        <w:softHyphen/>
        <w:t>работку горючего из подвесных бен</w:t>
      </w:r>
      <w:r w:rsidRPr="00271E51">
        <w:rPr>
          <w:rFonts w:ascii="Times New Roman" w:hAnsi="Times New Roman"/>
          <w:color w:val="000000" w:themeColor="text1"/>
          <w:sz w:val="16"/>
          <w:szCs w:val="16"/>
        </w:rPr>
        <w:softHyphen/>
        <w:t xml:space="preserve">зобаков </w:t>
      </w:r>
      <w:r w:rsidRPr="00271E51">
        <w:rPr>
          <w:rFonts w:ascii="Times New Roman" w:hAnsi="Times New Roman"/>
          <w:color w:val="000000" w:themeColor="text1"/>
          <w:sz w:val="16"/>
          <w:szCs w:val="16"/>
        </w:rPr>
        <w:lastRenderedPageBreak/>
        <w:t>завершен монтаж системы бензопроводки для одного ПТБ на 150 кг горючего. Кроме этого, на самолете предполагалось установить новый всасывающий патрубок с уп</w:t>
      </w:r>
      <w:r w:rsidRPr="00271E51">
        <w:rPr>
          <w:rFonts w:ascii="Times New Roman" w:hAnsi="Times New Roman"/>
          <w:color w:val="000000" w:themeColor="text1"/>
          <w:sz w:val="16"/>
          <w:szCs w:val="16"/>
        </w:rPr>
        <w:softHyphen/>
        <w:t>равляемой внутренней заслонкой, связанной с кинематикой шасси: на земле (шасси выпущено) забор воз</w:t>
      </w:r>
      <w:r w:rsidRPr="00271E51">
        <w:rPr>
          <w:rFonts w:ascii="Times New Roman" w:hAnsi="Times New Roman"/>
          <w:color w:val="000000" w:themeColor="text1"/>
          <w:sz w:val="16"/>
          <w:szCs w:val="16"/>
        </w:rPr>
        <w:softHyphen/>
        <w:t>духа производится из подкапотного пространства, а при полете в возду</w:t>
      </w:r>
      <w:r w:rsidRPr="00271E51">
        <w:rPr>
          <w:rFonts w:ascii="Times New Roman" w:hAnsi="Times New Roman"/>
          <w:color w:val="000000" w:themeColor="text1"/>
          <w:sz w:val="16"/>
          <w:szCs w:val="16"/>
        </w:rPr>
        <w:softHyphen/>
        <w:t>хе (шасси убрано) - снаружи (11427).</w:t>
      </w:r>
    </w:p>
    <w:p w14:paraId="132E89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78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ГИ завода 39 Петров писал личное письмо N 8/3242 А.И.Ш.:</w:t>
      </w:r>
    </w:p>
    <w:p w14:paraId="4EF9DC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имеющимся у меня достоверным сведениям ГК завода 240 С.В.И. дал отрицательную оценку моей работе по постройке машин типа Ил (Ил-4 и Ил-6).</w:t>
      </w:r>
    </w:p>
    <w:p w14:paraId="628A0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Моя работа а этой части признается им преступной, почти граничащей с вредительством.</w:t>
      </w:r>
    </w:p>
    <w:p w14:paraId="640F8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3DEA7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силу изложенного докладываю, что продолжать нормально работать в таких условиях я не могу и настоятельно прошу Вашего приказа о переводе меня на один из самолетостроительных заводов НКАП не занятых постройкой машин типа Ил (1768,205).</w:t>
      </w:r>
    </w:p>
    <w:p w14:paraId="4FC50A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C7ADD"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в 1943 году приказ НКАП №430:</w:t>
      </w:r>
    </w:p>
    <w:p w14:paraId="267256A4"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постановления ГКО приказываю:</w:t>
      </w:r>
    </w:p>
    <w:p w14:paraId="0B7289B4"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Начальнику 10 Главного Управления т. Тарасовичу и директору завода №23 т. Иосиловичу и главному конструктору т. Туполеву организовать на заводе №23 серийное производство самолетов «Ту-2» с «2М-82ФН» со следующими данными... Главному конструктору т. Туполеву передать в НИИ ВВС на испытания к 25 июля с.г. самолет «Ту-2» с «2М-82ФН»..."Самолеты «Ил-4» с производства на заводе №23 снять... (далее даются задания заводам №166 и №23 по организации производства «Ту-2») /Шахурин/"</w:t>
      </w:r>
    </w:p>
    <w:p w14:paraId="441973BD"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«Ту-2» «2М-82ФН» №716 успешно прошел государственные испытания и был принят в качестве эталона для серийного производства на 1943-44 годы (14958).</w:t>
      </w:r>
    </w:p>
    <w:p w14:paraId="1F7A0017" w14:textId="77777777" w:rsidR="00AD612B" w:rsidRPr="00271E51" w:rsidRDefault="00AD612B" w:rsidP="00271E51">
      <w:pPr>
        <w:spacing w:after="0" w:line="240" w:lineRule="auto"/>
        <w:jc w:val="both"/>
        <w:rPr>
          <w:rFonts w:ascii="Times New Roman" w:hAnsi="Times New Roman"/>
          <w:color w:val="000000" w:themeColor="text1"/>
          <w:sz w:val="16"/>
          <w:szCs w:val="16"/>
        </w:rPr>
      </w:pPr>
    </w:p>
    <w:p w14:paraId="26623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вышел приказ НКАП N 430 по самолету Ту-2 с 2М-82 в исполнение постановления правительства N 3754 от 17 июля 1943 по организации производства Ту-2 с 2хм-82ФН на 23 заводе (885,180).</w:t>
      </w:r>
    </w:p>
    <w:p w14:paraId="200FBA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10 ГУ НКАП т. Тарасевичу, директору завода 23 т. Иосиловичу и ГК А.Н.Т. организовать на заводе 23 серийное производство самолетов Ту-2 с М-82ФН.</w:t>
      </w:r>
    </w:p>
    <w:p w14:paraId="165F9F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Утвердить программу выпуска самолетов Ту-2 на заводе 23 на 1943 в количестве 32 единиц, из них: в сентябре - 2, в октябре - 5, в ноябре - 10, в декабре - 15.</w:t>
      </w:r>
    </w:p>
    <w:p w14:paraId="6D69F0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на заводе 23 выпускать в упрощенном виде с сокращенным количеством механизмов гидравлического управления и электроагрегатов, без тормозных решеток с сокращенной длинной электропроводки и трубопроводов гидравлики.</w:t>
      </w:r>
    </w:p>
    <w:p w14:paraId="14304A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 А.Н.Т. передать в НИИ ВВС на испытания к 25 июля с.г. самолет Ту-2 с 2М-82ФН с внесенными в него указанными упрощениями.</w:t>
      </w:r>
    </w:p>
    <w:p w14:paraId="1BB1E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Самолеты Ил-4 с производства на заводе 23 снять...</w:t>
      </w:r>
    </w:p>
    <w:p w14:paraId="1364E1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Директору завода 166 т. Соколову:</w:t>
      </w:r>
    </w:p>
    <w:p w14:paraId="203489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отпечатать до 25 июля для завода 23 12 комплектов синек по калькам ГК</w:t>
      </w:r>
    </w:p>
    <w:p w14:paraId="1A950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Передать заводу 23 имеющиеся чертежи оснастки, заделы, инструмент, приспособления, материалы, полуфабрикаты и готовые изделия по самолету Ту-2...</w:t>
      </w:r>
    </w:p>
    <w:p w14:paraId="62BEC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Передать заводу 23 специальное оборудование, необходимое для производства самолетов Ту-2</w:t>
      </w:r>
    </w:p>
    <w:p w14:paraId="4B2967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Перевести с завода 166 на завод 23 и в ОКБ т. Туполева ведущих ИТР и рабочих для передачи опыта производства Ту-2</w:t>
      </w:r>
    </w:p>
    <w:p w14:paraId="0E864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Директору завода 23 т. Иосиловичу не позднее 22 июля с.г. командировать на завод 166 группу ответственных работников завода для приемки техдокументации, оснастки и задела...</w:t>
      </w:r>
    </w:p>
    <w:p w14:paraId="50501E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Разрешить въезд в Москву сотрудников с семьями (1835,28).</w:t>
      </w:r>
    </w:p>
    <w:p w14:paraId="2C9E9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была произведена модификация Ту-2 2М-82ФН в стандартный тип. Впервые переоборудовали в Ту-2С три машины завода 166 с NN 713, 716 и 717, но наиболее полно модификации были выполнены на 716 машине (1835,28).</w:t>
      </w:r>
    </w:p>
    <w:p w14:paraId="5A1491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26C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года приказом НКАП за № 430сс во исполнение решения ГКО за № 3754сс от 17 июля 1943 года заводу № 23 было установлено производственное задание по выпуску самолета ТУ-2, которое завод выполнял по вторую половину 1948 года.</w:t>
      </w:r>
    </w:p>
    <w:p w14:paraId="77D190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3DA53A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6C19F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4D0F2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58801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455EE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65611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A907A5" w:rsidRPr="00271E51" w14:paraId="57D9ECC5" w14:textId="77777777" w:rsidTr="00ED5B0A">
        <w:tc>
          <w:tcPr>
            <w:tcW w:w="817" w:type="dxa"/>
          </w:tcPr>
          <w:p w14:paraId="596B9C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изделий</w:t>
            </w:r>
          </w:p>
        </w:tc>
        <w:tc>
          <w:tcPr>
            <w:tcW w:w="1348" w:type="dxa"/>
          </w:tcPr>
          <w:p w14:paraId="10724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и количество двигателей установлен. на самолете</w:t>
            </w:r>
          </w:p>
        </w:tc>
        <w:tc>
          <w:tcPr>
            <w:tcW w:w="920" w:type="dxa"/>
          </w:tcPr>
          <w:p w14:paraId="0C116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1952 год</w:t>
            </w:r>
          </w:p>
        </w:tc>
        <w:tc>
          <w:tcPr>
            <w:tcW w:w="851" w:type="dxa"/>
          </w:tcPr>
          <w:p w14:paraId="127598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1953 год</w:t>
            </w:r>
          </w:p>
        </w:tc>
        <w:tc>
          <w:tcPr>
            <w:tcW w:w="850" w:type="dxa"/>
          </w:tcPr>
          <w:p w14:paraId="446FE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1954 год</w:t>
            </w:r>
          </w:p>
        </w:tc>
        <w:tc>
          <w:tcPr>
            <w:tcW w:w="851" w:type="dxa"/>
          </w:tcPr>
          <w:p w14:paraId="14F67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1955 год</w:t>
            </w:r>
          </w:p>
        </w:tc>
        <w:tc>
          <w:tcPr>
            <w:tcW w:w="850" w:type="dxa"/>
          </w:tcPr>
          <w:p w14:paraId="4EEAB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1956 год</w:t>
            </w:r>
          </w:p>
        </w:tc>
        <w:tc>
          <w:tcPr>
            <w:tcW w:w="851" w:type="dxa"/>
          </w:tcPr>
          <w:p w14:paraId="1D6C2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1957 год</w:t>
            </w:r>
          </w:p>
        </w:tc>
        <w:tc>
          <w:tcPr>
            <w:tcW w:w="850" w:type="dxa"/>
          </w:tcPr>
          <w:p w14:paraId="59C43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1958 год</w:t>
            </w:r>
          </w:p>
        </w:tc>
      </w:tr>
      <w:tr w:rsidR="00A907A5" w:rsidRPr="00271E51" w14:paraId="019C6DAE" w14:textId="77777777" w:rsidTr="00ED5B0A">
        <w:tc>
          <w:tcPr>
            <w:tcW w:w="817" w:type="dxa"/>
          </w:tcPr>
          <w:p w14:paraId="5E5D13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Ту-4</w:t>
            </w:r>
          </w:p>
        </w:tc>
        <w:tc>
          <w:tcPr>
            <w:tcW w:w="1348" w:type="dxa"/>
          </w:tcPr>
          <w:p w14:paraId="33C923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4АШ73МК</w:t>
            </w:r>
          </w:p>
        </w:tc>
        <w:tc>
          <w:tcPr>
            <w:tcW w:w="920" w:type="dxa"/>
          </w:tcPr>
          <w:p w14:paraId="466E3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851" w:type="dxa"/>
          </w:tcPr>
          <w:p w14:paraId="0E6BB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56A7DF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9C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DDE5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B9F1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805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7A8DF1" w14:textId="77777777" w:rsidTr="00ED5B0A">
        <w:tc>
          <w:tcPr>
            <w:tcW w:w="817" w:type="dxa"/>
          </w:tcPr>
          <w:p w14:paraId="69285F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ИЛ-28</w:t>
            </w:r>
          </w:p>
        </w:tc>
        <w:tc>
          <w:tcPr>
            <w:tcW w:w="1348" w:type="dxa"/>
          </w:tcPr>
          <w:p w14:paraId="4CD1D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2АШ73МК</w:t>
            </w:r>
          </w:p>
        </w:tc>
        <w:tc>
          <w:tcPr>
            <w:tcW w:w="920" w:type="dxa"/>
          </w:tcPr>
          <w:p w14:paraId="2902F0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D19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50" w:type="dxa"/>
          </w:tcPr>
          <w:p w14:paraId="3337F4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A55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5C36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9EA9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CA85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D4FB4B" w14:textId="77777777" w:rsidTr="00ED5B0A">
        <w:tc>
          <w:tcPr>
            <w:tcW w:w="817" w:type="dxa"/>
          </w:tcPr>
          <w:p w14:paraId="68A413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348" w:type="dxa"/>
          </w:tcPr>
          <w:p w14:paraId="797A70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4АМ3</w:t>
            </w:r>
          </w:p>
        </w:tc>
        <w:tc>
          <w:tcPr>
            <w:tcW w:w="920" w:type="dxa"/>
          </w:tcPr>
          <w:p w14:paraId="69423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2CC17E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161123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8E2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A715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F70F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0BF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36A508" w14:textId="77777777" w:rsidTr="00ED5B0A">
        <w:tc>
          <w:tcPr>
            <w:tcW w:w="817" w:type="dxa"/>
          </w:tcPr>
          <w:p w14:paraId="1DB972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М-4</w:t>
            </w:r>
          </w:p>
        </w:tc>
        <w:tc>
          <w:tcPr>
            <w:tcW w:w="1348" w:type="dxa"/>
          </w:tcPr>
          <w:p w14:paraId="6E655F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4А25</w:t>
            </w:r>
          </w:p>
        </w:tc>
        <w:tc>
          <w:tcPr>
            <w:tcW w:w="920" w:type="dxa"/>
          </w:tcPr>
          <w:p w14:paraId="420907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68C5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178F3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51" w:type="dxa"/>
          </w:tcPr>
          <w:p w14:paraId="3830F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850" w:type="dxa"/>
          </w:tcPr>
          <w:p w14:paraId="499D4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30EBE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6536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65A5B3" w14:textId="77777777" w:rsidTr="00ED5B0A">
        <w:tc>
          <w:tcPr>
            <w:tcW w:w="817" w:type="dxa"/>
          </w:tcPr>
          <w:p w14:paraId="3065DF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3М</w:t>
            </w:r>
          </w:p>
        </w:tc>
        <w:tc>
          <w:tcPr>
            <w:tcW w:w="1348" w:type="dxa"/>
          </w:tcPr>
          <w:p w14:paraId="4F2CA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4А25</w:t>
            </w:r>
          </w:p>
          <w:p w14:paraId="00409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4АВД-7</w:t>
            </w:r>
          </w:p>
        </w:tc>
        <w:tc>
          <w:tcPr>
            <w:tcW w:w="920" w:type="dxa"/>
          </w:tcPr>
          <w:p w14:paraId="49E945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183A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914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2FE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AE01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851" w:type="dxa"/>
          </w:tcPr>
          <w:p w14:paraId="518085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850" w:type="dxa"/>
          </w:tcPr>
          <w:p w14:paraId="4A817B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r>
    </w:tbl>
    <w:p w14:paraId="2A92AF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Г-87, п/я 222</w:t>
      </w:r>
    </w:p>
    <w:p w14:paraId="58710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Осипов (1959)</w:t>
      </w:r>
    </w:p>
    <w:p w14:paraId="0224A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металлическое самолетостроение (9754)</w:t>
      </w:r>
    </w:p>
    <w:p w14:paraId="53E4F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 на Первом Украинском фронте начались войсковые испытания самолета с НС-37 и закончились в декабре. По отзывам летчиков, техника пилотирования Ил-2 с крупнокалиберными пушками при нормальном полетном весе мало отличалась от техники пилотирования Ил-2 с ШВАК и ВЯ с нормальной бомбовой нагрузкой 400 кг. Однако наличие обтекателей и большой разнос масс (вес одной пушки с 50 снарядами - 237 кг) по размаху крыла делали самолет с 37-мм пушками более инертным при маневрировании по сравнению с обычными двухместными Ил-2. Пушка НС-37 зарекомендовала себя как надежное и мощное оружие при стрельбе по объемным целям и площадям. В то же время сильная отдача создавала определенные трудности при прицельной стрельбе по точечным целям, особенно при ведении огня из одной пушки.</w:t>
      </w:r>
    </w:p>
    <w:p w14:paraId="11156B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C9F4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июля 1943 г. пр. № 430 в соответствии с пост. ГКО № 3754 от 17.07.1943 г. на заводе № 23 (Завод № 23 НКАП, МАП, ГКАТ, Машиностроительный завод им. М.В. Хруничева (ЗИХ) СНХ,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МПО им. Хруничева, ФГУП «Государственный космический научно- производственный центр (ГК НПЦ) им. М.В. Хруничева» ФКА /121087  г. Москва ул. Новозаводская, 18 тел. 145-99-34/) начато освоение выпуска Ту-2; 17.11.1943 г. вышло постановление ГКО № 4594 об увеличении выпуска Ту-2 на заводе. По пр. № 782 от 14.12.11946 г. строились торпедоносцы Ту-2Т под торпеду </w:t>
      </w:r>
      <w:r w:rsidRPr="00271E51">
        <w:rPr>
          <w:rFonts w:ascii="Times New Roman" w:hAnsi="Times New Roman"/>
          <w:color w:val="000000" w:themeColor="text1"/>
          <w:sz w:val="16"/>
          <w:szCs w:val="16"/>
          <w:lang w:val="en-US"/>
        </w:rPr>
        <w:t>PAT</w:t>
      </w:r>
      <w:r w:rsidRPr="00271E51">
        <w:rPr>
          <w:rFonts w:ascii="Times New Roman" w:hAnsi="Times New Roman"/>
          <w:color w:val="000000" w:themeColor="text1"/>
          <w:sz w:val="16"/>
          <w:szCs w:val="16"/>
        </w:rPr>
        <w:t xml:space="preserve"> (11982).</w:t>
      </w:r>
    </w:p>
    <w:p w14:paraId="47A57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1B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А.С.Я. писал письмо НКАП А.И.Ш.:</w:t>
      </w:r>
    </w:p>
    <w:p w14:paraId="793CFA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115 за время войны провел множество работ по улучшению и модернизации находящихся на вооружении самолетов ЯК.</w:t>
      </w:r>
    </w:p>
    <w:p w14:paraId="336D32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 это время, только на вооружение, были приняты следующие самолеты:</w:t>
      </w:r>
    </w:p>
    <w:p w14:paraId="7F3572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с 1хШВАК+1хБС</w:t>
      </w:r>
    </w:p>
    <w:p w14:paraId="407EC9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с 1хШВАК+1хБС</w:t>
      </w:r>
    </w:p>
    <w:p w14:paraId="5B133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1хШВАК+1хБС</w:t>
      </w:r>
    </w:p>
    <w:p w14:paraId="0C7293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с 1хШВАК+2хБС</w:t>
      </w:r>
    </w:p>
    <w:p w14:paraId="22A392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с 3хШВАК</w:t>
      </w:r>
    </w:p>
    <w:p w14:paraId="78322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3хШВАК</w:t>
      </w:r>
    </w:p>
    <w:p w14:paraId="36148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2хШВАК</w:t>
      </w:r>
    </w:p>
    <w:p w14:paraId="4CB2D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с 1хШ-37+2хБС</w:t>
      </w:r>
    </w:p>
    <w:p w14:paraId="03A228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с 1хШ-37+1хБС</w:t>
      </w:r>
    </w:p>
    <w:p w14:paraId="7F035A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1хШ-37+1хБС</w:t>
      </w:r>
    </w:p>
    <w:p w14:paraId="3EC4CB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1хНС-37+1хБС</w:t>
      </w:r>
    </w:p>
    <w:p w14:paraId="1EADD8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с 1хВЯ+1хБС</w:t>
      </w:r>
    </w:p>
    <w:p w14:paraId="0E681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работы по установке моторов и отработке их в полете на самолетах:</w:t>
      </w:r>
    </w:p>
    <w:p w14:paraId="4A9F5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Як-7, Як-9 с М-105ПФ</w:t>
      </w:r>
    </w:p>
    <w:p w14:paraId="5DA392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Як-9 с М-106</w:t>
      </w:r>
    </w:p>
    <w:p w14:paraId="67258F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Як-7, Як-9 с М-105ПД</w:t>
      </w:r>
    </w:p>
    <w:p w14:paraId="2701D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Як-9 с М-107</w:t>
      </w:r>
    </w:p>
    <w:p w14:paraId="0CD63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также большое количество других важных работ по улучшению боевых качеств истребителей Як, в частности войсковая серия Як-9 с М-107 в количестве 10 шт и войсковая серия высотных Як-9.</w:t>
      </w:r>
    </w:p>
    <w:p w14:paraId="1158B7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очень важные работы, лишают меня возможности дальнейшей перспективной работы, т.к. завод 115 превратился в завод малых серий и доводок серийных машин и я, как конструктор, лишен возможности заниматься перспективными опытными работами.</w:t>
      </w:r>
    </w:p>
    <w:p w14:paraId="13860B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 выделить в мое распоряжение для всех доводочных и мелкосерийных работ завод 301, где проводить их параллельно со сборкой Як-9 и Як-7, а на заводе 115 заниматься только новыми опытными машинами." (1775,182).</w:t>
      </w:r>
    </w:p>
    <w:p w14:paraId="1885C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75A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июля по 21 августа 1943 г.за время вой</w:t>
      </w:r>
      <w:r w:rsidRPr="00271E51">
        <w:rPr>
          <w:rFonts w:ascii="Times New Roman" w:hAnsi="Times New Roman"/>
          <w:color w:val="000000" w:themeColor="text1"/>
          <w:sz w:val="16"/>
          <w:szCs w:val="16"/>
        </w:rPr>
        <w:softHyphen/>
        <w:t>сковых испытаний на Центральном фронте советские летчики на 34 Як-9Т провели 78 воздушных боев и сбили 49 самолетов противника (20 ФВ 190А, 1 Ме 109C, 3 Bf110, 14 Ю 87, 9 Ю 88 и 2 Не 111) (10712).</w:t>
      </w:r>
    </w:p>
    <w:p w14:paraId="151E6A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3DF43" w14:textId="77777777" w:rsidR="001D7FDC" w:rsidRPr="00271E51" w:rsidRDefault="001D7FD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20 июля 1943 в очередном докладе инженер 5 отдела НИИ ВВС инженер-капитан Ф.Ф. Бабанин дал общую оценку мотору М-82ФН лётного состава 32 гиап:</w:t>
      </w:r>
    </w:p>
    <w:p w14:paraId="08C8EE4D" w14:textId="77777777" w:rsidR="001D7FDC" w:rsidRPr="00271E51" w:rsidRDefault="001D7FD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«...Моторы работают хорошо, значительно лучше «Ф». Это мнение всего личного со</w:t>
      </w:r>
      <w:r w:rsidRPr="00271E51">
        <w:rPr>
          <w:rFonts w:ascii="Times New Roman" w:cs="Times New Roman"/>
          <w:color w:val="000000" w:themeColor="text1"/>
          <w:spacing w:val="0"/>
        </w:rPr>
        <w:softHyphen/>
        <w:t>става полка. Полк имеет отличную оценку маршала авиации и сбил 50 самолётов, по</w:t>
      </w:r>
      <w:r w:rsidRPr="00271E51">
        <w:rPr>
          <w:rFonts w:ascii="Times New Roman" w:cs="Times New Roman"/>
          <w:color w:val="000000" w:themeColor="text1"/>
          <w:spacing w:val="0"/>
        </w:rPr>
        <w:softHyphen/>
        <w:t>теряв 5 своих...» (15813).</w:t>
      </w:r>
    </w:p>
    <w:p w14:paraId="1F6AB519" w14:textId="77777777" w:rsidR="001D7FDC" w:rsidRPr="00271E51" w:rsidRDefault="001D7FDC" w:rsidP="00271E51">
      <w:pPr>
        <w:pStyle w:val="27"/>
        <w:shd w:val="clear" w:color="auto" w:fill="auto"/>
        <w:spacing w:after="0" w:line="240" w:lineRule="auto"/>
        <w:ind w:firstLine="0"/>
        <w:rPr>
          <w:rFonts w:ascii="Times New Roman" w:cs="Times New Roman"/>
          <w:color w:val="000000" w:themeColor="text1"/>
          <w:spacing w:val="0"/>
        </w:rPr>
      </w:pPr>
    </w:p>
    <w:p w14:paraId="5BB251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инженер-ка</w:t>
      </w:r>
      <w:r w:rsidRPr="00271E51">
        <w:rPr>
          <w:rFonts w:ascii="Times New Roman" w:hAnsi="Times New Roman"/>
          <w:color w:val="000000" w:themeColor="text1"/>
          <w:sz w:val="16"/>
          <w:szCs w:val="16"/>
        </w:rPr>
        <w:softHyphen/>
        <w:t>питан НИИ ВВС Бабанин в очередном докладе дал общую оценку мотору летного со</w:t>
      </w:r>
      <w:r w:rsidRPr="00271E51">
        <w:rPr>
          <w:rFonts w:ascii="Times New Roman" w:hAnsi="Times New Roman"/>
          <w:color w:val="000000" w:themeColor="text1"/>
          <w:sz w:val="16"/>
          <w:szCs w:val="16"/>
        </w:rPr>
        <w:softHyphen/>
        <w:t>става 32 ГИАП:</w:t>
      </w:r>
    </w:p>
    <w:p w14:paraId="62F172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работают хорошо, зна</w:t>
      </w:r>
      <w:r w:rsidRPr="00271E51">
        <w:rPr>
          <w:rFonts w:ascii="Times New Roman" w:hAnsi="Times New Roman"/>
          <w:color w:val="000000" w:themeColor="text1"/>
          <w:sz w:val="16"/>
          <w:szCs w:val="16"/>
        </w:rPr>
        <w:softHyphen/>
        <w:t>чительно лучше «Ф». Это мнение всего личного состава полка. Полк имеет отличную оценку маршала авиации и сбил 50 самолетов, по</w:t>
      </w:r>
      <w:r w:rsidRPr="00271E51">
        <w:rPr>
          <w:rFonts w:ascii="Times New Roman" w:hAnsi="Times New Roman"/>
          <w:color w:val="000000" w:themeColor="text1"/>
          <w:sz w:val="16"/>
          <w:szCs w:val="16"/>
        </w:rPr>
        <w:softHyphen/>
        <w:t>теряв 5 своих...». Таким образом, успех был полный. Ла-5ФН стал первым советским ис</w:t>
      </w:r>
      <w:r w:rsidRPr="00271E51">
        <w:rPr>
          <w:rFonts w:ascii="Times New Roman" w:hAnsi="Times New Roman"/>
          <w:color w:val="000000" w:themeColor="text1"/>
          <w:sz w:val="16"/>
          <w:szCs w:val="16"/>
        </w:rPr>
        <w:softHyphen/>
        <w:t>требителем, превзошедшим почти по всему комплексу летно-тактических данных своих противников и вселив</w:t>
      </w:r>
      <w:r w:rsidRPr="00271E51">
        <w:rPr>
          <w:rFonts w:ascii="Times New Roman" w:hAnsi="Times New Roman"/>
          <w:color w:val="000000" w:themeColor="text1"/>
          <w:sz w:val="16"/>
          <w:szCs w:val="16"/>
        </w:rPr>
        <w:softHyphen/>
        <w:t>ших уверенность в наших летчиков. Это обстоятельство, вкупе с другими мероприятиями в организации бое</w:t>
      </w:r>
      <w:r w:rsidRPr="00271E51">
        <w:rPr>
          <w:rFonts w:ascii="Times New Roman" w:hAnsi="Times New Roman"/>
          <w:color w:val="000000" w:themeColor="text1"/>
          <w:sz w:val="16"/>
          <w:szCs w:val="16"/>
        </w:rPr>
        <w:softHyphen/>
        <w:t>вой работы позволило ВВС КА в 1943 году переломить ситуацию в свою пользу и завоевать господство в воз</w:t>
      </w:r>
      <w:r w:rsidRPr="00271E51">
        <w:rPr>
          <w:rFonts w:ascii="Times New Roman" w:hAnsi="Times New Roman"/>
          <w:color w:val="000000" w:themeColor="text1"/>
          <w:sz w:val="16"/>
          <w:szCs w:val="16"/>
        </w:rPr>
        <w:softHyphen/>
        <w:t>духе. Командование ВВС КА ратовало за скорейший перевод всех моторов М-82 на непосредственный впрыск (10723).</w:t>
      </w:r>
    </w:p>
    <w:p w14:paraId="63CC79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69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года была подготовлена справка:</w:t>
      </w:r>
    </w:p>
    <w:p w14:paraId="32E04A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 НКВ (Барнаул) эксплуатируется около двух лет (9271).</w:t>
      </w:r>
    </w:p>
    <w:p w14:paraId="61938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A3F2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F8567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D8CE5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июля 1943 года проводились заводские испытания пробегом на 80 км и стрельбой трех вариантов САУ-85 Уралмаша: СУ-85-1 с пушкой С-18-1 ЦАКБ и измененной люлькой "Уралмашзавода", СУ-85-Н с пушкой Д-5С-85 завода № 9, Cy-85-IV с пушкой С-18 ЦАКБ. При этом пушка Д-5С отстрелялась в полном объеме-129 выстрелов, что же касается пушек С-18-1 и С-18, то они из-за поломок спусковых механизмов сделали соответственно 39 и 62 выстрела. С 25 июля по 6 августа 1943 года на Гороховецком полигоне (АНИОП) проходили государственные испытания, в ходе которых выяснилось, что: "Наибольшие удобства в работе команды при стрельбе дает самоход с пушкой Д-5С-85 вследствие короткой длины отката орудия, удобной высоты линии заряжания, наибольшего рабочего объема для заряжающего. У этого самохода получилось наибольшее время при стрельбе на прочность, наибольший средний темп огня, в 4 раза выше, чем у самохода с орудием С-18.</w:t>
      </w:r>
    </w:p>
    <w:p w14:paraId="2771940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Доступ к противооткатным устройствам в орудиях системы ЦАКБ невозможен без снятия передней бронировки весом 300 кг, что крайне неудобно и на что требуется затратить 3-4 часа времени.</w:t>
      </w:r>
    </w:p>
    <w:p w14:paraId="4B4802D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Д-5С-85 самоуравновешено в цапфах. Для уравновешивания орудий системы ЦАКБ применены большие грузы весом около 210 кг, что ограничивает свободное пространство, нерационально по конструкции и некультурно на вид. Маховики механизмов наведения у орудий системы ЦАКБ расположены неудобно.</w:t>
      </w:r>
    </w:p>
    <w:p w14:paraId="24A1E47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самохода с пушкой С-18 на 850 кг больше, чем самохода с пушкой Д-5С-85".</w:t>
      </w:r>
    </w:p>
    <w:p w14:paraId="71C5CA4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испытания машин пробегом на 500 км государственная комиссия сделала заключение, что по ходовым качествам, надежности в работе механизмов, маневренности и проходимости САУ не отличаются от танка Т-34.</w:t>
      </w:r>
    </w:p>
    <w:p w14:paraId="4BEE9A2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испытаний комиссия рекомендовала для принятия на вооружение Красной Армии самоходную установку СУ-85-И с пушкой Д-5С, что и было оформлено постановлением ГКО № 3892 от 7 августа 1943 года. Этим же постановлением предусматривалось прекращение серийного производства на "Уралмашзаводе" самоходов СУ-122 и танков Т-34. "Уралмаш" стал производить только самоходно-артиллерийские установки (9637).</w:t>
      </w:r>
    </w:p>
    <w:p w14:paraId="1B9BB9A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402D46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 были изготовлены новые САУ и на испытания они вышли, имея следующие индексы:</w:t>
      </w:r>
    </w:p>
    <w:p w14:paraId="2406F2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СУ-85-1 - САУ с 85-мм пушкой С-18 с измененной ус</w:t>
      </w:r>
      <w:r w:rsidRPr="00271E51">
        <w:rPr>
          <w:rFonts w:ascii="Times New Roman" w:hAnsi="Times New Roman"/>
          <w:color w:val="000000" w:themeColor="text1"/>
          <w:sz w:val="16"/>
          <w:szCs w:val="16"/>
        </w:rPr>
        <w:softHyphen/>
        <w:t>тановкой Уралмашзавода;</w:t>
      </w:r>
    </w:p>
    <w:p w14:paraId="399005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СУ-85-11 - САУ с 85-мм пушкой Д-5С-85 завода №9;</w:t>
      </w:r>
    </w:p>
    <w:p w14:paraId="652B78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СУ-122-111 - САУ со 122-мм гаубицей Д-6;</w:t>
      </w:r>
    </w:p>
    <w:p w14:paraId="4FABBF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СУ-85-1У - САУ с 85-мм пушкой С-18 в установке ЦАКБ (11417).</w:t>
      </w:r>
    </w:p>
    <w:p w14:paraId="0ADEC9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D58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20—25 июля 1943 во время заводских испытаний самоходы прошли по 80 км каждый, однако со стрельбой дело обсто</w:t>
      </w:r>
      <w:r w:rsidRPr="00271E51">
        <w:rPr>
          <w:rFonts w:ascii="Times New Roman" w:hAnsi="Times New Roman"/>
          <w:color w:val="000000" w:themeColor="text1"/>
          <w:sz w:val="16"/>
          <w:szCs w:val="16"/>
        </w:rPr>
        <w:softHyphen/>
        <w:t>яло не так гладко. Проблемы испытывали оба претендента. Всего СУ-85-1 сделала 39 выстрелов, СУ-85-11 произвела 129 выстрелов, СУ-122-111 - 165 выстрелов, СУ-85-1У- 62. Орудия конструкции ЦАКБ испытали несколько большее число поломок спусковых, выбрасывающих механизмов и тормозов отката, чем изделия завода № 9.</w:t>
      </w:r>
    </w:p>
    <w:p w14:paraId="0989C2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 испытаний стал фатальным для всех самоходок. 122-мм орудие Д-6 машины СУ-122-3 капризничало в ходе тестирования и после многочисленных поломок бьшо снято с испытаний. А вскоре распоряжением по НКВ завершились все работы по 122-мм и 152-мм штурмовым орудиям низкой баллистики в пользу перехода к пушечному вооружению (11417).</w:t>
      </w:r>
    </w:p>
    <w:p w14:paraId="04E72A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8EA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 были собраны оба опытных танка ("Объект 238" и "Объект 239") и сразу же поступили на заводские испытания (10703).</w:t>
      </w:r>
    </w:p>
    <w:p w14:paraId="7526F5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A756E" w14:textId="77777777" w:rsidR="00506386" w:rsidRPr="00271E51" w:rsidRDefault="005063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года первый секретарь ГК ВКП(б) Нижнего Тагила Е.Ф. Колышев написал письмо Сталину, в котором также обосновал необходимость запуска Т-43 в серию. 27 июля на письмо пришла резолюция от Берии, в которой он потребовал от Малышева и командующего бронетанковыми и механизированными войсками Красной армии. Я.Н. Федоренко срочно переговорить с ним. К тому моменту Т-43 практически не испытывались (максимум, что делалось, — это пробные выезды и огневые испытания пулемётного вооружения).</w:t>
      </w:r>
    </w:p>
    <w:p w14:paraId="2A97E231" w14:textId="77777777" w:rsidR="00506386" w:rsidRPr="00271E51" w:rsidRDefault="005063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Вмешательство Берии сдвинуло дело с мёртвой точки. 1 августа 1943 года Малышев подписал приказ по НКТП №460с/085 о проведении полигонных испытаний Т-43. Правда, вместо НИБТ Полигона в Кубинке местом проведения испытаний выбрали Свердловск. В тот же день утвердили и программу испытаний. Машины проходили 2000 км, из них 500 — по каменистому грунту, 900 — по грунтовым и просёлочным дорогам, 600 — по целине, и 100 —на специспытаниях. Также требовалось безостановочно пройти 100 км по грунтовой дороге и 75 км по булыжному шоссе. Входили в программу и испытания вооружения (как артиллерийского, так и пулемётного) (18587).</w:t>
      </w:r>
    </w:p>
    <w:p w14:paraId="1FCD3490" w14:textId="77777777" w:rsidR="00506386" w:rsidRPr="00271E51" w:rsidRDefault="00506386" w:rsidP="00271E51">
      <w:pPr>
        <w:spacing w:after="0" w:line="240" w:lineRule="auto"/>
        <w:jc w:val="both"/>
        <w:rPr>
          <w:rFonts w:ascii="Times New Roman" w:hAnsi="Times New Roman"/>
          <w:color w:val="000000" w:themeColor="text1"/>
          <w:sz w:val="16"/>
          <w:szCs w:val="16"/>
        </w:rPr>
      </w:pPr>
    </w:p>
    <w:p w14:paraId="1E664C1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июля по 18 августа 1943 года на Гороховецком полигоне прошли испытания Т-34 с ЗИС-3. В заключении говорилось, что 57-мм пушка ЗИС-4 «может быть рекомендована для принятия на вооружение танков типа Т-34. Необходимо в срочно порядке устранить недостатки и мелкие дефекты».</w:t>
      </w:r>
    </w:p>
    <w:p w14:paraId="55819E5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до окончания испытаний - 15 августа - три тридцатьчетверки с орудиями ЗИС-4 отправили на фронт в составе «особой танковой роты 100». Танки роты проходили фронтовые испытания с 15 августа по 5 сентября 1943 года, но тридцатьчетверками не повезло: в течение трех недель нахождения в Действующей Армии, немецкие танки были встречены всего один раз, причем Т-34 с ЗИС-4 в этот момент находились в резерве и не смогли продемонстрировать свою эффективность против немецкой брони. Тем не менее, командир танковой роты, капитан Волосатое и представитель ГАБТУ инженер-полковник Зайцев, дали танкам высокую оценку по результатам стрельб по подбитым и брошенным вражеским машинам, а также амбразурам ДЗОТ. Единственным недостаткам 57-мм танковой пушки ЗИС-4, который отмечали все, принимавшие участие в испытаниях, было низкое качество осколочных снарядов.</w:t>
      </w:r>
    </w:p>
    <w:p w14:paraId="68A3575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Доработка 57-мм пушки ЗИС-4 заводом № 92 продолжалась до октября 1943 года. К этому моменту здесь изготовили и отправили в Нижний Тагил 170 орудий ЗИС-4, из которых четыре смонтировали на танках. Но к этому времени уже шла испытания более мощных 85-мм танковых пушек, и работы по ЗИС-4 свернули. Всего, как уже говорилось, в 1943 году изготовили 4 образца Т-34 с ЗИС-4, причем в документах эти машины, как и их предшественницы в 1941 году, никогда не назывались «танк-истребитель» (12217).</w:t>
      </w:r>
    </w:p>
    <w:p w14:paraId="5D5AEDF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466ECA7" w14:textId="77777777" w:rsidR="00BA7A65" w:rsidRPr="00271E51" w:rsidRDefault="00BA7A65" w:rsidP="00271E51">
      <w:pPr>
        <w:pStyle w:val="a3"/>
        <w:rPr>
          <w:color w:val="000000" w:themeColor="text1"/>
          <w:lang w:val="ru-RU"/>
        </w:rPr>
      </w:pPr>
      <w:r w:rsidRPr="00271E51">
        <w:rPr>
          <w:color w:val="000000" w:themeColor="text1"/>
          <w:lang w:val="ru-RU"/>
        </w:rPr>
        <w:t>20 июля 1943 было завершено изготовление опытных образцов самоходок с 85-мм пушкой, осуществлённое под руководством главного конструктора УЗТМ Л. И. Горлицкого. Горлицкий взял за основу самоходку СУ-122, которую уже производили на УЗТМ, и разместил в ней разные типы орудий: на одной машине пушку Д-5С Ф. Ф. Петрова, на двух других - пушку С-18 В. Г. Грабина в разных вариантах размещения: предусмотренном ЦАКБ и разработанном на УЗТМ. Ещё одна машина была вооружена 122-мм гаубицей. После заводских и государственных испытаний в августе самоходка была принята на вооружение как СУ-85. Серийное производство СУ-85 на УЗТМ началось с 1 августа. И. Л. Горлицкий даже утверждал, что первые самоходки начали изготавливать уже в июле, но ещё без установки на них вооружения (Свирин М. Самоходки Сталина. История советской САУ1919-1945. С. 269). Возможно, он немного ошибся во времени, так как испытания самоходки с балластом вместо пушки Д-5 до поступления этого орудия (а значит и производство самих самоходок) были предусмотрены в приказе НКТП № 477сс от 9 августа (РГАЭ. Ф. 8752. Оп. 4. Д. 309. С. 162-160) (12290).</w:t>
      </w:r>
    </w:p>
    <w:p w14:paraId="7B917BAF" w14:textId="77777777" w:rsidR="00BA7A65" w:rsidRPr="00271E51" w:rsidRDefault="00BA7A65" w:rsidP="00271E51">
      <w:pPr>
        <w:pStyle w:val="a3"/>
        <w:rPr>
          <w:color w:val="000000" w:themeColor="text1"/>
          <w:lang w:val="ru-RU"/>
        </w:rPr>
      </w:pPr>
    </w:p>
    <w:p w14:paraId="1742F1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июля по 18 августа 1943 г. на Гороховецком артполигоне ГАУ РККА были проведены полигонные испытания четырех 57-мм танковых пушек ЗИС-4, установленных в тайках Т-34. В заключении по полигонным испытаниям было отмечено, что 57-мм пушки ЗИС-4 после устранения недостатков может «ндована для принятия на вооружение танков типа Т-34 (10703).</w:t>
      </w:r>
    </w:p>
    <w:p w14:paraId="7E393C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FA1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на Гороховецком полиго</w:t>
      </w:r>
      <w:r w:rsidRPr="00271E51">
        <w:rPr>
          <w:rFonts w:ascii="Times New Roman" w:hAnsi="Times New Roman"/>
          <w:color w:val="000000" w:themeColor="text1"/>
          <w:sz w:val="16"/>
          <w:szCs w:val="16"/>
        </w:rPr>
        <w:softHyphen/>
        <w:t>не ГАУ начались испытания Т-34-57 и продлились без малого месяц. В них участвовали орудия ЗИС-4 со стволами выпуска еще 1941 г. (№ 22, 24, 38 и 47), установленные в серийные танки завода № 183. Ору</w:t>
      </w:r>
      <w:r w:rsidRPr="00271E51">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271E51">
        <w:rPr>
          <w:rFonts w:ascii="Times New Roman" w:hAnsi="Times New Roman"/>
          <w:color w:val="000000" w:themeColor="text1"/>
          <w:sz w:val="16"/>
          <w:szCs w:val="16"/>
        </w:rPr>
        <w:softHyphen/>
        <w:t>руктивного характера. В заключение комиссия рекомендо</w:t>
      </w:r>
      <w:r w:rsidRPr="00271E51">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423CE7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271E51">
        <w:rPr>
          <w:rFonts w:ascii="Times New Roman" w:hAnsi="Times New Roman"/>
          <w:color w:val="000000" w:themeColor="text1"/>
          <w:sz w:val="16"/>
          <w:szCs w:val="16"/>
        </w:rPr>
        <w:softHyphen/>
        <w:t>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роты № 100 НКТП» под командованием капитана Г.П. Волосатова бы</w:t>
      </w:r>
      <w:r w:rsidRPr="00271E51">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271E51">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358498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перед окончанием испытаний согласно распоря</w:t>
      </w:r>
      <w:r w:rsidRPr="00271E51">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271E51">
        <w:rPr>
          <w:rFonts w:ascii="Times New Roman" w:hAnsi="Times New Roman"/>
          <w:color w:val="000000" w:themeColor="text1"/>
          <w:sz w:val="16"/>
          <w:szCs w:val="16"/>
        </w:rPr>
        <w:softHyphen/>
        <w:t>шенным и подбитым немецким танкам и САУ, а также ам</w:t>
      </w:r>
      <w:r w:rsidRPr="00271E51">
        <w:rPr>
          <w:rFonts w:ascii="Times New Roman" w:hAnsi="Times New Roman"/>
          <w:color w:val="000000" w:themeColor="text1"/>
          <w:sz w:val="16"/>
          <w:szCs w:val="16"/>
        </w:rPr>
        <w:softHyphen/>
        <w:t>бразурам ДЗОТ и пулеметным бронеколпакам. Бронепро-биваемость орудия была сочтена удовлетворительной (ло</w:t>
      </w:r>
      <w:r w:rsidRPr="00271E51">
        <w:rPr>
          <w:rFonts w:ascii="Times New Roman" w:hAnsi="Times New Roman"/>
          <w:color w:val="000000" w:themeColor="text1"/>
          <w:sz w:val="16"/>
          <w:szCs w:val="16"/>
        </w:rPr>
        <w:softHyphen/>
        <w:t xml:space="preserve">бовая 82-мм броня танка </w:t>
      </w:r>
      <w:r w:rsidRPr="00271E51">
        <w:rPr>
          <w:rFonts w:ascii="Times New Roman" w:hAnsi="Times New Roman"/>
          <w:color w:val="000000" w:themeColor="text1"/>
          <w:sz w:val="16"/>
          <w:szCs w:val="16"/>
          <w:lang w:val="en-US"/>
        </w:rPr>
        <w:t>PzKpfwIV</w:t>
      </w:r>
      <w:r w:rsidRPr="00271E51">
        <w:rPr>
          <w:rFonts w:ascii="Times New Roman" w:hAnsi="Times New Roman"/>
          <w:color w:val="000000" w:themeColor="text1"/>
          <w:sz w:val="16"/>
          <w:szCs w:val="16"/>
        </w:rPr>
        <w:t xml:space="preserve"> пробивалась с дистан</w:t>
      </w:r>
      <w:r w:rsidRPr="00271E51">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3ACDE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Покуда велась доводка орудия ЗИС-4М и танка-истреби</w:t>
      </w:r>
      <w:r w:rsidRPr="00271E51">
        <w:rPr>
          <w:rFonts w:ascii="Times New Roman" w:hAnsi="Times New Roman"/>
          <w:color w:val="000000" w:themeColor="text1"/>
          <w:sz w:val="16"/>
          <w:szCs w:val="16"/>
        </w:rPr>
        <w:softHyphen/>
        <w:t>теля Т-34-57 в целом, завод № 92 выпустил установочную се</w:t>
      </w:r>
      <w:r w:rsidRPr="00271E51">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073B5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AB5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25 июля 1943 все четыре самоходных установки: СУ-85-1 (САУ с 85-мм пушкой С-18-1 конструкции ЦАКБ и с изменен</w:t>
      </w:r>
      <w:r w:rsidRPr="00271E51">
        <w:rPr>
          <w:rFonts w:ascii="Times New Roman" w:hAnsi="Times New Roman"/>
          <w:color w:val="000000" w:themeColor="text1"/>
          <w:sz w:val="16"/>
          <w:szCs w:val="16"/>
        </w:rPr>
        <w:softHyphen/>
        <w:t>ной люлькой конструкции УЗТМ); СУ-85-11 (САУ с 85-мм пушкой Д-5С-85 завода № 9 НКВ); СУ-122-111 (модернизированная САУ со 122-мм гаубицей Д-6 завода № 9 НКВ) и СУ-85-1У (САУ с 85-мм пушкой С-18 конструкции ЦАКБ) прошли заводские испытания, во время которых на установках СУ-85-1 и СУ-85-1У произошли поломки спусковых механизмов артиллерийских орудий. В соответствии с решением комиссии, проводившей испытания, после устранения этих поломок и проведения контрольного отстрела машины были допущены к государственным испытаниям. В конце июля - начале августа 1943 г. все САУ прошли государственные испытания. Из-за большого количества недостатков в конструкции орудия Д-6 самоходная установка СУ-122-111 с испытаний была снята. Значительное число недостатков было обнаружено и в конструкции орудия С-18. По результатам испытаний лучшим было признано орудие Д-5С-85. Учитывая крайнюю необходимость в 85-мм орудиях для вооружения ими отечественных тан</w:t>
      </w:r>
      <w:r w:rsidRPr="00271E51">
        <w:rPr>
          <w:rFonts w:ascii="Times New Roman" w:hAnsi="Times New Roman"/>
          <w:color w:val="000000" w:themeColor="text1"/>
          <w:sz w:val="16"/>
          <w:szCs w:val="16"/>
        </w:rPr>
        <w:softHyphen/>
        <w:t>ков и САУ, комиссия пришла к выводу о прекращении дальнейшей отработки 85-мм пушек С-18 и С-18-1 и рекомендовала для серийного производства пушку Д-5С-85. Кроме того, члены комиссии составили перечень предложений по доработке САУ и рекомендовали ее для принятия на вооружение с обязательным устранением выявленных недостатков. Постановлением ГКО от 7 августа 1943 г. самоходная артиллерийская уставовка СУ-85-11 под маркой СУ-85 была принята на вооружение РККА и поставлена на серийное производство. С августа 1943 г. УЗТМ начал выпуск самоходных установок СУ-85 вместо СУ-122.73% деталей установки были заимствованы у танка Т-34-76, 7% - у самоходной установки СУ-122 и 20% - изготовлены заново (10703).</w:t>
      </w:r>
    </w:p>
    <w:p w14:paraId="439875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15C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27 июля 1943 образец СУ-85-1 прошел заводские испытания, которые не выдержал по причине поломки спус</w:t>
      </w:r>
      <w:r w:rsidRPr="00271E51">
        <w:rPr>
          <w:rFonts w:ascii="Times New Roman" w:hAnsi="Times New Roman"/>
          <w:color w:val="000000" w:themeColor="text1"/>
          <w:sz w:val="16"/>
          <w:szCs w:val="16"/>
        </w:rPr>
        <w:softHyphen/>
        <w:t>кового механизма. После устранения недостатков опытный образец ус</w:t>
      </w:r>
      <w:r w:rsidRPr="00271E51">
        <w:rPr>
          <w:rFonts w:ascii="Times New Roman" w:hAnsi="Times New Roman"/>
          <w:color w:val="000000" w:themeColor="text1"/>
          <w:sz w:val="16"/>
          <w:szCs w:val="16"/>
        </w:rPr>
        <w:softHyphen/>
        <w:t>тановки был допущен к государственным испытаниям на Гороховецком АНИОПе, которые состоялись в период с 25 июля по 6 августа 1943 г. На вооружении и в серийном производстве не состояла. Машина была разработана на базе самоходной установки СУ-122М путем монтажа в ее корпус 85-мм пушки С-18-1 конструкции ЦАКБ с баллистикой зенитной пушки обр. 1938 г. и люлькой, переработанной в конструкторском бюро УЗТМ. Она представляла собой усовершенст</w:t>
      </w:r>
      <w:r w:rsidRPr="00271E51">
        <w:rPr>
          <w:rFonts w:ascii="Times New Roman" w:hAnsi="Times New Roman"/>
          <w:color w:val="000000" w:themeColor="text1"/>
          <w:sz w:val="16"/>
          <w:szCs w:val="16"/>
        </w:rPr>
        <w:softHyphen/>
        <w:t>вованный вариант 85-мм пушки С-31, ранее разработанной в ЦАКБ (10703).</w:t>
      </w:r>
    </w:p>
    <w:p w14:paraId="5CDD71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4BAF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27 июля 1943 образец СУ-85-1У прошел заводские испытания, которые не выдержал по причине полом</w:t>
      </w:r>
      <w:r w:rsidRPr="00271E51">
        <w:rPr>
          <w:rFonts w:ascii="Times New Roman" w:hAnsi="Times New Roman"/>
          <w:color w:val="000000" w:themeColor="text1"/>
          <w:sz w:val="16"/>
          <w:szCs w:val="16"/>
        </w:rPr>
        <w:softHyphen/>
        <w:t>ки спускового механизма пушки. После устранения недостатков опыт</w:t>
      </w:r>
      <w:r w:rsidRPr="00271E51">
        <w:rPr>
          <w:rFonts w:ascii="Times New Roman" w:hAnsi="Times New Roman"/>
          <w:color w:val="000000" w:themeColor="text1"/>
          <w:sz w:val="16"/>
          <w:szCs w:val="16"/>
        </w:rPr>
        <w:softHyphen/>
        <w:t>ный образец установки был допущен к государственным испытаниям на Гороховецком АНИОПе, которые состоялись в период с 25 июля по 6 августа 1943 г. После завершения испытаний дальнейшие работы по машине были прекращены. Машина была разработана на базе установки СУ-122М путем мон</w:t>
      </w:r>
      <w:r w:rsidRPr="00271E51">
        <w:rPr>
          <w:rFonts w:ascii="Times New Roman" w:hAnsi="Times New Roman"/>
          <w:color w:val="000000" w:themeColor="text1"/>
          <w:sz w:val="16"/>
          <w:szCs w:val="16"/>
        </w:rPr>
        <w:softHyphen/>
        <w:t>тажа в ее корпус 85-мм пушки С-18 конструкции ЦАКБ с баллистикой зенитной пушки обр. 1938 г. и люлькой, заимствованной у 85-мм пушки ЗИС-5. Она представляла собой усовершенствованный вариант ранее разработанной в ЦАКБ под руководством В.Г.Грабина 85-мм пушки С-31, по своим размерам не удовлетворявшей требованиям УЗТМ на монтаж в корпус самоходной установки СУ-122М (10703).</w:t>
      </w:r>
    </w:p>
    <w:p w14:paraId="10A241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CCE65" w14:textId="77777777" w:rsidR="009274CE" w:rsidRPr="00271E51" w:rsidRDefault="009274CE" w:rsidP="00271E51">
      <w:pPr>
        <w:spacing w:after="0" w:line="240" w:lineRule="auto"/>
        <w:jc w:val="both"/>
        <w:rPr>
          <w:rStyle w:val="641"/>
          <w:rFonts w:ascii="Times New Roman" w:hAnsi="Times New Roman" w:cs="Times New Roman"/>
          <w:color w:val="0070C0"/>
          <w:sz w:val="16"/>
          <w:szCs w:val="16"/>
        </w:rPr>
      </w:pPr>
      <w:r w:rsidRPr="00271E51">
        <w:rPr>
          <w:rStyle w:val="641"/>
          <w:rFonts w:ascii="Times New Roman" w:hAnsi="Times New Roman" w:cs="Times New Roman"/>
          <w:color w:val="0070C0"/>
          <w:sz w:val="16"/>
          <w:szCs w:val="16"/>
        </w:rPr>
        <w:t>20 июля 1943 года по ито</w:t>
      </w:r>
      <w:r w:rsidRPr="00271E51">
        <w:rPr>
          <w:rStyle w:val="641"/>
          <w:rFonts w:ascii="Times New Roman" w:hAnsi="Times New Roman" w:cs="Times New Roman"/>
          <w:color w:val="0070C0"/>
          <w:sz w:val="16"/>
          <w:szCs w:val="16"/>
        </w:rPr>
        <w:softHyphen/>
        <w:t>гам рассмотрения В.А. Малышевым доклада Котина, НКТП принял решение об утвержде</w:t>
      </w:r>
      <w:r w:rsidRPr="00271E51">
        <w:rPr>
          <w:rStyle w:val="641"/>
          <w:rFonts w:ascii="Times New Roman" w:hAnsi="Times New Roman" w:cs="Times New Roman"/>
          <w:color w:val="0070C0"/>
          <w:sz w:val="16"/>
          <w:szCs w:val="16"/>
        </w:rPr>
        <w:softHyphen/>
        <w:t>нии работ по 122-мм танковой системе заво</w:t>
      </w:r>
      <w:r w:rsidRPr="00271E51">
        <w:rPr>
          <w:rStyle w:val="641"/>
          <w:rFonts w:ascii="Times New Roman" w:hAnsi="Times New Roman" w:cs="Times New Roman"/>
          <w:color w:val="0070C0"/>
          <w:sz w:val="16"/>
          <w:szCs w:val="16"/>
        </w:rPr>
        <w:softHyphen/>
        <w:t>да № 9. Первоначально речь шла об установ</w:t>
      </w:r>
      <w:r w:rsidRPr="00271E51">
        <w:rPr>
          <w:rStyle w:val="641"/>
          <w:rFonts w:ascii="Times New Roman" w:hAnsi="Times New Roman" w:cs="Times New Roman"/>
          <w:color w:val="0070C0"/>
          <w:sz w:val="16"/>
          <w:szCs w:val="16"/>
        </w:rPr>
        <w:softHyphen/>
        <w:t>ке такой системы в танках ИС и КВ-85, но более старая платформа довольно быстро ис</w:t>
      </w:r>
      <w:r w:rsidRPr="00271E51">
        <w:rPr>
          <w:rStyle w:val="641"/>
          <w:rFonts w:ascii="Times New Roman" w:hAnsi="Times New Roman" w:cs="Times New Roman"/>
          <w:color w:val="0070C0"/>
          <w:sz w:val="16"/>
          <w:szCs w:val="16"/>
        </w:rPr>
        <w:softHyphen/>
        <w:t>чезла с повестки дня. Техническая докумен</w:t>
      </w:r>
      <w:r w:rsidRPr="00271E51">
        <w:rPr>
          <w:rStyle w:val="641"/>
          <w:rFonts w:ascii="Times New Roman" w:hAnsi="Times New Roman" w:cs="Times New Roman"/>
          <w:color w:val="0070C0"/>
          <w:sz w:val="16"/>
          <w:szCs w:val="16"/>
        </w:rPr>
        <w:softHyphen/>
        <w:t>тация по 122-мм танковому орудию была го</w:t>
      </w:r>
      <w:r w:rsidRPr="00271E51">
        <w:rPr>
          <w:rStyle w:val="641"/>
          <w:rFonts w:ascii="Times New Roman" w:hAnsi="Times New Roman" w:cs="Times New Roman"/>
          <w:color w:val="0070C0"/>
          <w:sz w:val="16"/>
          <w:szCs w:val="16"/>
        </w:rPr>
        <w:softHyphen/>
        <w:t>това к началу сентября 1943 года. Тогда же впервые прозвучал индекс системы - Д-25. Расшифровать его можно как «ствол Д-2 на люльке Д-5». Столь оперативная работа стала причиной того, что в текст постановления ГКО №4043, которым ИС-85 принимался на вооружение, вписали пункт о постройке опытного образца танка со 122-мм пушкой. Сроком изготовления было 1 октября.</w:t>
      </w:r>
    </w:p>
    <w:p w14:paraId="2C16DEAC" w14:textId="77777777" w:rsidR="009274CE" w:rsidRPr="00271E51" w:rsidRDefault="009274CE" w:rsidP="00271E51">
      <w:pPr>
        <w:spacing w:after="0" w:line="240" w:lineRule="auto"/>
        <w:jc w:val="both"/>
        <w:rPr>
          <w:rStyle w:val="641"/>
          <w:rFonts w:ascii="Times New Roman" w:hAnsi="Times New Roman" w:cs="Times New Roman"/>
          <w:color w:val="0070C0"/>
          <w:sz w:val="16"/>
          <w:szCs w:val="16"/>
        </w:rPr>
      </w:pPr>
      <w:r w:rsidRPr="00271E51">
        <w:rPr>
          <w:rStyle w:val="641"/>
          <w:rFonts w:ascii="Times New Roman" w:hAnsi="Times New Roman" w:cs="Times New Roman"/>
          <w:color w:val="0070C0"/>
          <w:sz w:val="16"/>
          <w:szCs w:val="16"/>
        </w:rPr>
        <w:lastRenderedPageBreak/>
        <w:t>Д-2, на базе которого делали Д-25, является иным оруди</w:t>
      </w:r>
      <w:r w:rsidRPr="00271E51">
        <w:rPr>
          <w:rStyle w:val="641"/>
          <w:rFonts w:ascii="Times New Roman" w:hAnsi="Times New Roman" w:cs="Times New Roman"/>
          <w:color w:val="0070C0"/>
          <w:sz w:val="16"/>
          <w:szCs w:val="16"/>
        </w:rPr>
        <w:softHyphen/>
        <w:t>ем, в котором от А-19 была взята казенная часть и бал</w:t>
      </w:r>
      <w:r w:rsidRPr="00271E51">
        <w:rPr>
          <w:rStyle w:val="641"/>
          <w:rFonts w:ascii="Times New Roman" w:hAnsi="Times New Roman" w:cs="Times New Roman"/>
          <w:color w:val="0070C0"/>
          <w:sz w:val="16"/>
          <w:szCs w:val="16"/>
        </w:rPr>
        <w:softHyphen/>
        <w:t>листика. При этом труба иная, более того, на заводе № 9 полная документация по А-19 от</w:t>
      </w:r>
      <w:r w:rsidRPr="00271E51">
        <w:rPr>
          <w:rStyle w:val="641"/>
          <w:rFonts w:ascii="Times New Roman" w:hAnsi="Times New Roman" w:cs="Times New Roman"/>
          <w:color w:val="0070C0"/>
          <w:sz w:val="16"/>
          <w:szCs w:val="16"/>
        </w:rPr>
        <w:softHyphen/>
        <w:t>сутствовала. В руководствах на ИС приводят</w:t>
      </w:r>
      <w:r w:rsidRPr="00271E51">
        <w:rPr>
          <w:rStyle w:val="641"/>
          <w:rFonts w:ascii="Times New Roman" w:hAnsi="Times New Roman" w:cs="Times New Roman"/>
          <w:color w:val="0070C0"/>
          <w:sz w:val="16"/>
          <w:szCs w:val="16"/>
        </w:rPr>
        <w:softHyphen/>
      </w:r>
      <w:r w:rsidRPr="00271E51">
        <w:rPr>
          <w:rFonts w:ascii="Times New Roman" w:hAnsi="Times New Roman"/>
          <w:color w:val="0070C0"/>
          <w:sz w:val="16"/>
          <w:szCs w:val="16"/>
        </w:rPr>
        <w:t xml:space="preserve"> </w:t>
      </w:r>
      <w:r w:rsidRPr="00271E51">
        <w:rPr>
          <w:rStyle w:val="641"/>
          <w:rFonts w:ascii="Times New Roman" w:hAnsi="Times New Roman" w:cs="Times New Roman"/>
          <w:color w:val="0070C0"/>
          <w:sz w:val="16"/>
          <w:szCs w:val="16"/>
        </w:rPr>
        <w:t>ся неверные данные по длине ствола - рас</w:t>
      </w:r>
      <w:r w:rsidRPr="00271E51">
        <w:rPr>
          <w:rStyle w:val="641"/>
          <w:rFonts w:ascii="Times New Roman" w:hAnsi="Times New Roman" w:cs="Times New Roman"/>
          <w:color w:val="0070C0"/>
          <w:sz w:val="16"/>
          <w:szCs w:val="16"/>
        </w:rPr>
        <w:softHyphen/>
        <w:t>хождение составило 166 мм. Кроме того, практически с самого начала КБ завода № 9 получило задание разработать для Д-25 кли</w:t>
      </w:r>
      <w:r w:rsidRPr="00271E51">
        <w:rPr>
          <w:rStyle w:val="641"/>
          <w:rFonts w:ascii="Times New Roman" w:hAnsi="Times New Roman" w:cs="Times New Roman"/>
          <w:color w:val="0070C0"/>
          <w:sz w:val="16"/>
          <w:szCs w:val="16"/>
        </w:rPr>
        <w:softHyphen/>
        <w:t>новой затвор. Дело в том, что у А-19 скоро</w:t>
      </w:r>
      <w:r w:rsidRPr="00271E51">
        <w:rPr>
          <w:rStyle w:val="641"/>
          <w:rFonts w:ascii="Times New Roman" w:hAnsi="Times New Roman" w:cs="Times New Roman"/>
          <w:color w:val="0070C0"/>
          <w:sz w:val="16"/>
          <w:szCs w:val="16"/>
        </w:rPr>
        <w:softHyphen/>
        <w:t>стрельность составляла 3-4 выстрела в мину</w:t>
      </w:r>
      <w:r w:rsidRPr="00271E51">
        <w:rPr>
          <w:rStyle w:val="641"/>
          <w:rFonts w:ascii="Times New Roman" w:hAnsi="Times New Roman" w:cs="Times New Roman"/>
          <w:color w:val="0070C0"/>
          <w:sz w:val="16"/>
          <w:szCs w:val="16"/>
        </w:rPr>
        <w:softHyphen/>
        <w:t>ту, а у танкового орудия из-за довольно стес</w:t>
      </w:r>
      <w:r w:rsidRPr="00271E51">
        <w:rPr>
          <w:rStyle w:val="641"/>
          <w:rFonts w:ascii="Times New Roman" w:hAnsi="Times New Roman" w:cs="Times New Roman"/>
          <w:color w:val="0070C0"/>
          <w:sz w:val="16"/>
          <w:szCs w:val="16"/>
        </w:rPr>
        <w:softHyphen/>
        <w:t>ненных объемов боевого отделения, данный показатель ожидался еще более низким. Для упрощения задачи предлагалось использо</w:t>
      </w:r>
      <w:r w:rsidRPr="00271E51">
        <w:rPr>
          <w:rStyle w:val="641"/>
          <w:rFonts w:ascii="Times New Roman" w:hAnsi="Times New Roman" w:cs="Times New Roman"/>
          <w:color w:val="0070C0"/>
          <w:sz w:val="16"/>
          <w:szCs w:val="16"/>
        </w:rPr>
        <w:softHyphen/>
        <w:t>вать клиновой затвор от 152-мм гаубицы НГ, которая, в свою очередь, была советской вер</w:t>
      </w:r>
      <w:r w:rsidRPr="00271E51">
        <w:rPr>
          <w:rStyle w:val="641"/>
          <w:rFonts w:ascii="Times New Roman" w:hAnsi="Times New Roman" w:cs="Times New Roman"/>
          <w:color w:val="0070C0"/>
          <w:sz w:val="16"/>
          <w:szCs w:val="16"/>
        </w:rPr>
        <w:softHyphen/>
        <w:t xml:space="preserve">сией немецкой 149-мм гаубицы </w:t>
      </w:r>
      <w:r w:rsidRPr="00271E51">
        <w:rPr>
          <w:rStyle w:val="651"/>
          <w:rFonts w:ascii="Times New Roman" w:hAnsi="Times New Roman" w:cs="Times New Roman"/>
          <w:color w:val="0070C0"/>
          <w:sz w:val="16"/>
          <w:szCs w:val="16"/>
          <w:lang w:val="en-US"/>
        </w:rPr>
        <w:t>sFH</w:t>
      </w:r>
      <w:r w:rsidRPr="00271E51">
        <w:rPr>
          <w:rStyle w:val="651"/>
          <w:rFonts w:ascii="Times New Roman" w:hAnsi="Times New Roman" w:cs="Times New Roman"/>
          <w:color w:val="0070C0"/>
          <w:sz w:val="16"/>
          <w:szCs w:val="16"/>
        </w:rPr>
        <w:t xml:space="preserve"> 18. Также предлагалось сделать механизм досылания снарядов - для этой цели привлекалось ЦКБ- 19. Впрочем, до практической реализации данная идея так и не дошла</w:t>
      </w:r>
      <w:r w:rsidRPr="00271E51">
        <w:rPr>
          <w:rStyle w:val="641"/>
          <w:rFonts w:ascii="Times New Roman" w:hAnsi="Times New Roman" w:cs="Times New Roman"/>
          <w:color w:val="0070C0"/>
          <w:sz w:val="16"/>
          <w:szCs w:val="16"/>
        </w:rPr>
        <w:t xml:space="preserve"> (19874).</w:t>
      </w:r>
    </w:p>
    <w:p w14:paraId="04692822" w14:textId="77777777" w:rsidR="009274CE" w:rsidRPr="00271E51" w:rsidRDefault="009274CE" w:rsidP="00271E51">
      <w:pPr>
        <w:spacing w:after="0" w:line="240" w:lineRule="auto"/>
        <w:jc w:val="both"/>
        <w:rPr>
          <w:rFonts w:ascii="Times New Roman" w:hAnsi="Times New Roman"/>
          <w:color w:val="0070C0"/>
          <w:sz w:val="16"/>
          <w:szCs w:val="16"/>
        </w:rPr>
      </w:pPr>
    </w:p>
    <w:p w14:paraId="513543F1"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20 июля 1943 года инженер-полковник С.А. Афонин подготовил большой доклад, посвященный перспективам развития советской бронетанковой техники. Базой для доклада стали первые выводы, сделанные по итогам оборонительного этапа боев на Курской дуге. Стратегически немцы битву проиграли, к моменту написания доклада фронт стал двигаться на запад. Вместе с тем, в ГБТУ КА прекрасно понимали, что немцы может и проиграли битву, но война совсем не закончена. Самое неприятное, что на Курской дуге дебютировали новые образцы немецкой бронетехники, часть из которых существенно превосходило советские аналоги. Причем применены они оказались в массовом порядке.</w:t>
      </w:r>
    </w:p>
    <w:p w14:paraId="037C591C"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К тому моменту на испытания вышли советские опытные танки </w:t>
      </w:r>
      <w:hyperlink r:id="rId26" w:history="1">
        <w:r w:rsidRPr="00271E51">
          <w:rPr>
            <w:rStyle w:val="a5"/>
            <w:rFonts w:ascii="Times New Roman" w:hAnsi="Times New Roman"/>
            <w:color w:val="0070C0"/>
            <w:sz w:val="16"/>
            <w:szCs w:val="16"/>
            <w:shd w:val="clear" w:color="auto" w:fill="FFFFFF"/>
          </w:rPr>
          <w:t>Объект 237</w:t>
        </w:r>
      </w:hyperlink>
      <w:r w:rsidRPr="00271E51">
        <w:rPr>
          <w:rFonts w:ascii="Times New Roman" w:hAnsi="Times New Roman"/>
          <w:color w:val="0070C0"/>
          <w:sz w:val="16"/>
          <w:szCs w:val="16"/>
          <w:shd w:val="clear" w:color="auto" w:fill="FFFFFF"/>
        </w:rPr>
        <w:t>. Они стали ответом на появление у немцев тяжелого танка </w:t>
      </w:r>
      <w:hyperlink r:id="rId27" w:history="1">
        <w:r w:rsidRPr="00271E51">
          <w:rPr>
            <w:rStyle w:val="a5"/>
            <w:rFonts w:ascii="Times New Roman" w:hAnsi="Times New Roman"/>
            <w:color w:val="0070C0"/>
            <w:sz w:val="16"/>
            <w:szCs w:val="16"/>
            <w:shd w:val="clear" w:color="auto" w:fill="FFFFFF"/>
          </w:rPr>
          <w:t>Pz.Kpfw.Tiger Ausf.E</w:t>
        </w:r>
      </w:hyperlink>
      <w:r w:rsidRPr="00271E51">
        <w:rPr>
          <w:rFonts w:ascii="Times New Roman" w:hAnsi="Times New Roman"/>
          <w:color w:val="0070C0"/>
          <w:sz w:val="16"/>
          <w:szCs w:val="16"/>
          <w:shd w:val="clear" w:color="auto" w:fill="FFFFFF"/>
        </w:rPr>
        <w:t>. Машина получилась весьма удачной, поэтому вопрос постановки ее на вооружение уже витал в воздухе. Разумеется, требовалось провести полный цикл испытаний, чтобы выявить надежность (а у предшественников с этим были большие проблемы), а также выявить наиболее удачное орудие. Оба орудия были сделаны на базе баллистики 85-мм зенитки 52-К. Так вот, уже в июле 1943 года стало ясно, что этого орудия маловато для поражения новейших образцов немецкой бронетехники. Прежде всего это касалось </w:t>
      </w:r>
      <w:hyperlink r:id="rId28" w:history="1">
        <w:r w:rsidRPr="00271E51">
          <w:rPr>
            <w:rStyle w:val="a5"/>
            <w:rFonts w:ascii="Times New Roman" w:hAnsi="Times New Roman"/>
            <w:color w:val="0070C0"/>
            <w:sz w:val="16"/>
            <w:szCs w:val="16"/>
            <w:shd w:val="clear" w:color="auto" w:fill="FFFFFF"/>
          </w:rPr>
          <w:t>САУ Ferdinand</w:t>
        </w:r>
      </w:hyperlink>
      <w:r w:rsidRPr="00271E51">
        <w:rPr>
          <w:rFonts w:ascii="Times New Roman" w:hAnsi="Times New Roman"/>
          <w:color w:val="0070C0"/>
          <w:sz w:val="16"/>
          <w:szCs w:val="16"/>
          <w:shd w:val="clear" w:color="auto" w:fill="FFFFFF"/>
        </w:rPr>
        <w:t> и нового среднего танка </w:t>
      </w:r>
      <w:hyperlink r:id="rId29" w:history="1">
        <w:r w:rsidRPr="00271E51">
          <w:rPr>
            <w:rStyle w:val="a5"/>
            <w:rFonts w:ascii="Times New Roman" w:hAnsi="Times New Roman"/>
            <w:color w:val="0070C0"/>
            <w:sz w:val="16"/>
            <w:szCs w:val="16"/>
            <w:shd w:val="clear" w:color="auto" w:fill="FFFFFF"/>
          </w:rPr>
          <w:t>Pz.Kpfw.Panhter</w:t>
        </w:r>
      </w:hyperlink>
      <w:r w:rsidRPr="00271E51">
        <w:rPr>
          <w:rFonts w:ascii="Times New Roman" w:hAnsi="Times New Roman"/>
          <w:color w:val="0070C0"/>
          <w:sz w:val="16"/>
          <w:szCs w:val="16"/>
          <w:shd w:val="clear" w:color="auto" w:fill="FFFFFF"/>
        </w:rPr>
        <w:t>. Поэтому Афонин в своём докладе предлагал установить на ИС орудие калибра 100-120 мм, при этом разработку орудия предлагалось передать ЦАКБ под руководством В.Г. Грабина.</w:t>
      </w:r>
    </w:p>
    <w:p w14:paraId="54733181"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Иногда этот доклад считается отравной точкой к созданию 122-мм орудия, известного как Д-25Т. Вот только товарищ Афонин в данном случае выступал в роли капитана Очевидности. Судя по всему, в ГБТУ КА были не в курсе, что КБ завода №9 под руководством Ф.Ф. Петрова уже работало над таким орудием. Зато про это точно знали в НКТП. Орудие, которое в конце сентября 1943 года установили в танк, известный как </w:t>
      </w:r>
      <w:hyperlink r:id="rId30" w:history="1">
        <w:r w:rsidRPr="00271E51">
          <w:rPr>
            <w:rStyle w:val="a5"/>
            <w:rFonts w:ascii="Times New Roman" w:hAnsi="Times New Roman"/>
            <w:color w:val="0070C0"/>
            <w:sz w:val="16"/>
            <w:szCs w:val="16"/>
            <w:shd w:val="clear" w:color="auto" w:fill="FFFFFF"/>
          </w:rPr>
          <w:t>Объект 240</w:t>
        </w:r>
      </w:hyperlink>
      <w:r w:rsidRPr="00271E51">
        <w:rPr>
          <w:rFonts w:ascii="Times New Roman" w:hAnsi="Times New Roman"/>
          <w:color w:val="0070C0"/>
          <w:sz w:val="16"/>
          <w:szCs w:val="16"/>
          <w:shd w:val="clear" w:color="auto" w:fill="FFFFFF"/>
        </w:rPr>
        <w:t>, к 20 июля 1943 года уже существовало в виде эскизного проекта (19840).</w:t>
      </w:r>
    </w:p>
    <w:p w14:paraId="623F13C1"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p>
    <w:p w14:paraId="28E5B08D"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 xml:space="preserve">К 20 июля 1943 года. орудие, которое в конце сентября 1943 года установили в танк, известный как </w:t>
      </w:r>
      <w:hyperlink r:id="rId31" w:history="1">
        <w:r w:rsidRPr="00271E51">
          <w:rPr>
            <w:rStyle w:val="a5"/>
            <w:rFonts w:ascii="Times New Roman" w:hAnsi="Times New Roman"/>
            <w:color w:val="0070C0"/>
            <w:sz w:val="16"/>
            <w:szCs w:val="16"/>
            <w:shd w:val="clear" w:color="auto" w:fill="FFFFFF"/>
          </w:rPr>
          <w:t>Объект 240</w:t>
        </w:r>
      </w:hyperlink>
      <w:r w:rsidRPr="00271E51">
        <w:rPr>
          <w:rStyle w:val="a5"/>
          <w:rFonts w:ascii="Times New Roman" w:hAnsi="Times New Roman"/>
          <w:color w:val="0070C0"/>
          <w:sz w:val="16"/>
          <w:szCs w:val="16"/>
          <w:shd w:val="clear" w:color="auto" w:fill="FFFFFF"/>
        </w:rPr>
        <w:t>,</w:t>
      </w:r>
      <w:r w:rsidRPr="00271E51">
        <w:rPr>
          <w:rFonts w:ascii="Times New Roman" w:hAnsi="Times New Roman"/>
          <w:color w:val="0070C0"/>
          <w:sz w:val="16"/>
          <w:szCs w:val="16"/>
          <w:shd w:val="clear" w:color="auto" w:fill="FFFFFF"/>
        </w:rPr>
        <w:t xml:space="preserve"> уже существовало в виде эскизного проекта (19840).</w:t>
      </w:r>
    </w:p>
    <w:p w14:paraId="0EB2D81C" w14:textId="77777777" w:rsidR="009274CE" w:rsidRPr="00271E51" w:rsidRDefault="009274CE" w:rsidP="00271E51">
      <w:pPr>
        <w:spacing w:after="0" w:line="240" w:lineRule="auto"/>
        <w:jc w:val="both"/>
        <w:rPr>
          <w:rFonts w:ascii="Times New Roman" w:hAnsi="Times New Roman"/>
          <w:color w:val="0070C0"/>
          <w:sz w:val="16"/>
          <w:szCs w:val="16"/>
          <w:shd w:val="clear" w:color="auto" w:fill="FFFFFF"/>
        </w:rPr>
      </w:pPr>
    </w:p>
    <w:p w14:paraId="3BC60225"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20-21 июля 1943 года на Центральном фронте специаолистами НИБТ Полигона были проведены первые испытания обстрелом подбитого «Фердинанда». Выяснилось, что борт немецкой машины пробивается подкалиберным снарядом 45-мм противотанковой пушки на дистанции 200 метров. Пробила подкалиберным снарядом немецкую броню на дистанции в 400 метров и 76-мм пушка ЗИС-3. Для 85-мм пушки 52-К и 122-мм корпусной пушки А-19 бортовая броня немецкой САУ тоже не являлась серьёзной проблемой. Стоит отметить, что броня «Фердинандов», особенно у машин с серийными номерами до 150060, была хуже чем у </w:t>
      </w:r>
      <w:hyperlink r:id="rId32" w:history="1">
        <w:r w:rsidRPr="00271E51">
          <w:rPr>
            <w:rStyle w:val="a5"/>
            <w:color w:val="000000" w:themeColor="text1"/>
            <w:sz w:val="16"/>
            <w:szCs w:val="16"/>
            <w:u w:val="none"/>
          </w:rPr>
          <w:t>Pz.Kpfw.Tiger Ausf.E</w:t>
        </w:r>
      </w:hyperlink>
      <w:r w:rsidRPr="00271E51">
        <w:rPr>
          <w:color w:val="000000" w:themeColor="text1"/>
          <w:sz w:val="16"/>
          <w:szCs w:val="16"/>
        </w:rPr>
        <w:t>. По этой причине в дальнейшем испытания обстрелом машины с серийным номером 150090 несколько отличались по результатам (17707).</w:t>
      </w:r>
    </w:p>
    <w:p w14:paraId="364D2221" w14:textId="77777777" w:rsidR="00E62D47" w:rsidRPr="00271E51" w:rsidRDefault="00E62D47" w:rsidP="00271E51">
      <w:pPr>
        <w:spacing w:after="0" w:line="240" w:lineRule="auto"/>
        <w:jc w:val="both"/>
        <w:rPr>
          <w:rFonts w:ascii="Times New Roman" w:hAnsi="Times New Roman"/>
          <w:color w:val="000000" w:themeColor="text1"/>
          <w:sz w:val="16"/>
          <w:szCs w:val="16"/>
        </w:rPr>
      </w:pPr>
    </w:p>
    <w:p w14:paraId="482319EA"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20 июля 1943, то есть спустя всего неделю после начала контрнаступления Красной армии началось изучение немецких танков, использовавшихся немцами в операции «Цитадель». Из 31 осмотренной «Пантеры» 22 были подбиты. Все они были поражены либо в бортовую, либо в кормовую часть. Пробитий лобовой брони обнаружено не было. Этот факт стал не самой приятной новостью. Прямо на месте боёв был обстрелян захваченный танк с башенным номером 441. Результат оказался тем же — пробить лоб «Пантеры» 76-мм танковой пушкой Ф-34 не удалось.</w:t>
      </w:r>
    </w:p>
    <w:p w14:paraId="05A5FC41"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самого начала в советских документах «Пантера» благодаря значительной боевой массе называется тяжёлым танком. К тяжёлым танкам Pz.Kpfw.Panther относили и англичане, которым, к слову, советская сторона передала один из трофейных Panther Ausf.D (с башенным номером 433).</w:t>
      </w:r>
    </w:p>
    <w:p w14:paraId="4BCAFFB6"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целом виде на испытания отправились как минимум 2 машины — с башенными номерами 824 и 732. Ещё 3 танка — с башенными номерами R01 (один из командирских танков), 445 и 535 испытатели получили подбитыми. Их использовали для испытаний обстрелом. Ещё не менее двух танков (с башенными номерами 521 и 745) отправили на трофейную выставку в Парке культуры и отдыха в Москве. Получили трофейные «Пантеры» и танковые заводы.</w:t>
      </w:r>
    </w:p>
    <w:p w14:paraId="45C0C880"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Для ходовых испытаний был отобран танк с башенным номером 824. Эту же машину исследовали на НИБТ Полигоне с августа 1943 года. Танк был захвачен 17 июля 1943 года в районе деревни Новоселовка Курской области танкистами 3-го механизированного корпуса, которым командовал генерал-майор С.М. Кривошеин. К моменту, когда машина вышла на испытания, её спидометр показывал 452 километра. Для не самого надёжного танка это достаточно много.</w:t>
      </w:r>
    </w:p>
    <w:p w14:paraId="0FD8B91C" w14:textId="77777777" w:rsidR="00E62D47" w:rsidRPr="00271E51" w:rsidRDefault="00E62D4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Оказалось, что трофейная машина может ездить на советском бензине Б-70. Ходовые испытания начались 8 августа и закончились 5 октября 1943 года. За это время машина прошла 58 километров по шоссе и 162 километра по просёлку, её двигатель отработал всего 13,9 часов. Столь небольшое расстояние, пройденное за 2 месяца испытаний, объясняется всё той же малой надёжностью. Танк три раза ломался, и его приходилось буксировать обратно на полигон. Так он «накатал» дополнительные 36 километров. И это при том, что машина ездила в сухую погоду и без боекомплекта (17729).</w:t>
      </w:r>
    </w:p>
    <w:p w14:paraId="08421C26" w14:textId="77777777" w:rsidR="00E62D47" w:rsidRPr="00271E51" w:rsidRDefault="00E62D47" w:rsidP="00271E51">
      <w:pPr>
        <w:spacing w:after="0" w:line="240" w:lineRule="auto"/>
        <w:jc w:val="both"/>
        <w:rPr>
          <w:rFonts w:ascii="Times New Roman" w:hAnsi="Times New Roman"/>
          <w:color w:val="000000" w:themeColor="text1"/>
          <w:sz w:val="16"/>
          <w:szCs w:val="16"/>
        </w:rPr>
      </w:pPr>
    </w:p>
    <w:p w14:paraId="6B3EA1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Постановление ГКО № 3773 О материально-техническом обеспечении танковой промышленности на III квартал 1943 года.РГАНИР, Фонд ГКО, д. 135, лл. 52-76, 77-239 (11012).</w:t>
      </w:r>
    </w:p>
    <w:p w14:paraId="5CC24D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1B4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Распоряжение ГКО № 3774. Об изготовлении на заводе № 627 НКЭП электротрансмиссии на танк КВ и о поставке этому заводу станков и инструмента.РГАНИР, Фонд ГКО, д. 135, лл. 240 (11012).</w:t>
      </w:r>
    </w:p>
    <w:p w14:paraId="33588D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82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Постановление ГКО № 3775 Об установке на танках Т-70 и Т-80 с радиостанциями 9р и 12рт демпфирующих сопротивлений экранирования.РГАНИР, Фонд ГКО, д. 135, лл. 241-242 (11012).</w:t>
      </w:r>
    </w:p>
    <w:p w14:paraId="7117D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FF0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Постановление ГКО № 3776 Об увеличении количества работников ГШ и ЦУ HКО, пользующихся бесплатным питанием из расчета по 10-12 руб. на человека.РГАНИР, Фонд ГКО, д. 135, лл. 243 (11012).</w:t>
      </w:r>
    </w:p>
    <w:p w14:paraId="7377CD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D814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Распоряжение ГКО № 3777 [О назначении уполномоченных ГКО по лесосплаву в навигацию 1943 г.] (7123, 244-245).</w:t>
      </w:r>
    </w:p>
    <w:p w14:paraId="44F4D5D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BD2F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Постановление ГКО № 3779 О строительстве Сталинского вагоностроительного завода Наркомсредмаша.РГАНИР, Фонд ГКО, д. 135, лл. 250-252 (11012).</w:t>
      </w:r>
    </w:p>
    <w:p w14:paraId="17DB59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16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Распоряжение ГКО № 3780. О включении в план III кв. 1943 г. НКстроя строительных и сантехнических работ на Ярославском автомобильном заводе.РГАНИР, Фонд ГКО, д. 135, лл. 253 (11012).</w:t>
      </w:r>
    </w:p>
    <w:p w14:paraId="180A98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B2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Распоряжение ГКО № 3781. О передаче Суздальского совхоза HКБ и сохранении в нем площади под посев овощей.РГАНИР, Фонд ГКО, д. 135, лл. 254 (11012).</w:t>
      </w:r>
    </w:p>
    <w:p w14:paraId="7F40C0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87E5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68315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DE0B73"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в 1943 году оперативная сводка Совинформбюро:</w:t>
      </w:r>
    </w:p>
    <w:p w14:paraId="0A6A1D16"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июля наши войска на Орловском участке фронта, преодолевая упорное сопротивление противника, продолжали развивать наступление на прежних направлениях и продвинулись вперёд от 6 до 10 километров. За день отбито 10 контратак противника с большими для него потерями.</w:t>
      </w:r>
    </w:p>
    <w:p w14:paraId="23EA9475"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севернее Орла, заняли тридцать населённых пунктов, в том числе город Мценск и крупные населённые пункты Теребень, Буки, Радовищи, Жудре, Егино, Гнездилово (северо-западнее Болхова), Бекетово, Дубовая, Студеньково.</w:t>
      </w:r>
    </w:p>
    <w:p w14:paraId="794E2092"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заняли двадцать населённых пунктов, в том числе населённые пункты Будовка, Верхний Гаврилец, Доброводы, Протасово, Сомово,Ермолаево, Шаково, Фёдоровка, Архангельское, Дерновка и железнодорожную станцию Ворошилово.</w:t>
      </w:r>
    </w:p>
    <w:p w14:paraId="45447999"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отбивая контратаки пехоты и танков противника, продолжали продвигаться вперёд.</w:t>
      </w:r>
    </w:p>
    <w:p w14:paraId="6EF9C675"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Белгородском направлении наши войска контратаковали противника и, сломив его сопротивление, продвинулись вперёд от 10 до 12 километров.</w:t>
      </w:r>
    </w:p>
    <w:p w14:paraId="7F3F7B93"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завязались бои местного характера, имеющие тенденцию перерасти в серьёзные бои. Здесь наши войска форсировали реку Северный Донец и реку Миус, серьёзно улучшив свои позиции.</w:t>
      </w:r>
    </w:p>
    <w:p w14:paraId="4174A705"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июля наши войска на Орловском участке фронта подбили и уничтожили 143 немецких танка. В воздушных боях и огнём зенитной артиллерии сбиты 117 самолётов противника.</w:t>
      </w:r>
    </w:p>
    <w:p w14:paraId="333844F5"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участке фронта наши войска продолжали развивать наступление.</w:t>
      </w:r>
    </w:p>
    <w:p w14:paraId="10BA3230"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наши войска отражали ожесточённые контратаки противника. Н-ское соединение отбило несколько следовавших одна за другой вражеских контратак и нанесло противнику большой урон. Уничтожено до 2.000 немецких солдат и офицеров и подбито 39 вражеских танков. Сломив сопротивление немцев, советские части продвинулись вперёд и заняли ряд населённых пунктов.</w:t>
      </w:r>
    </w:p>
    <w:p w14:paraId="52242458"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части Н-ского соединения переправились через водный рубеж и выбили немцев из нескольких сильно укреплённых населённых пунктов. Уничтожено до полка пехоты противника, подбито и уничтожено 37 немецких танков, захвачено у немцев много различных военных материалов. Бойцы другого нашего соединения, продвигаясь вперёд, уничтожили не менее 1.500 гитлеровцев, 13 немецких танков, 32 орудия и захватили много пленных.</w:t>
      </w:r>
    </w:p>
    <w:p w14:paraId="4F9313B1"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преодолевая упорное сопротивление противника, продолжали продвигаться вперёд. На одном участке немецкая пехота и танки предприняли несколько контратак. Танки противника были встречены сокрушительным огнём советской артиллерии. Все атаки гитлеровцев отбиты с большими для них потерями. В этих боях противник потерял убитыми и ранеными свыше 1.000 солдат и офицеров. Подбито и сожжено 34 вражеских танка, уничтожено 10 артиллерийских и 8 миномётных батарей. Захвачены пленные и трофеи.</w:t>
      </w:r>
    </w:p>
    <w:p w14:paraId="58675154"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части контратаковали противника и продвинулись вперёд. Бойцы Н-ского соединения штурмом выбили немцев из укреплённых позиций. В ожесточённом бою уничтожено 400 вражеских солдат и офицеров, подбито 17 танков и 3 самоходных орудия. На других участках Белгородского направления наши войска, ломая сопротивление противника, успешно продвигались вперёд. Активно действовали наши разведчики. Гвардии сержант Норов скрытно проник в немецкий штабной блиндаж, захватил цепные документы, пулемёт с боеприпасами и благополучно вернулся в своё подразделение. Старший лейтенант Мартынов и красноармейцы Зажельский и Джуразманов захватили штабную машину с важными документами, принадлежавшую штабу одной из частей немецкой танковой дивизии.</w:t>
      </w:r>
    </w:p>
    <w:p w14:paraId="0EA7F02A"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снайперов и разведывательными группами истреблено более 200 солдат и офицеров противника. Наши артиллеристы и минометчики, обстреливая оборонительные сооружения и ближние тылы врага, разрушили 27 дзотов и блиндажей, уничтожили 9 орудий и взорвали склад с боеприпасами.</w:t>
      </w:r>
    </w:p>
    <w:p w14:paraId="5BB53D45"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подразделение, где командиром т. Чукарин, атаковало позиции белофиннов. Советские бойцы ворвались во вражеские траншеи, взорвали 9 землянок и истребили 130 солдат противника. Захвачены пленные и трофеи.</w:t>
      </w:r>
    </w:p>
    <w:p w14:paraId="52FC5AE1"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Витебской области, внезапно напал на немецкий гарнизон, расположенный в крупном населённом пункте. Партизаны подожгли вражеские казармы, взорвали склад боеприпасов и гараж с автомашинами. Застигнутые врасплох гитлеровцы не оказали организованного сопротивления. Уничтожив 102 немецких солдата и офицера и захватив трофеи, партизаны без потерь вернулись на свою базу. Группы партизан другого отряда подорвали 3 немецких воинских эшелона. Уничтожены 3 паровоза, 52 платформы с боевой техникой и 18 вагонов с войсками противника.</w:t>
      </w:r>
    </w:p>
    <w:p w14:paraId="36374946" w14:textId="77777777" w:rsidR="00AD612B" w:rsidRPr="00271E51" w:rsidRDefault="00AD61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на Орловском участке фронта обер-ефрейтор 5 роты 2 гренадерского полка 2 немецкой танковой дивизии Леопольд Юнгвирт рассказал: «Вечером 4 июля командир роты зачитал перед строем приказ Гитлера о том, что завтра начинается большое наступление. На следующий день части второй танковой дивизии атаковали позиции русских, но натолкнулись на невиданное сопротивление и понесли тяжёлые потери. Во втором полку 5 рота потеряла 98 солдат, 7 рота,—87. Из 50 танков, введённых в бой, 36 танков были уничтожены. Немецкие радиостанции передавали сводки ставки Гитлера, в которых говорилось, что 5 июля начали наступление не немецкие войска, а русские. Солдаты говорили, что это надувательство, и очень возмущались. Мы ведь не только слышали приказ Гитлера о наступлении, но на себе испытали все последствия провала этого наступления. Каждый из нас видел, как погибли десятки его товарищей. Получив пополнение, наша дивизия 13 июля была спешно отправлена в район севернее Орла, где русские прорвали линию обороны. Офицеры уверяли, что у русских здесь незначительные силы и мы легко с ними справимся. Однако на деле оказалось иначе. Утром 15 июля остатки нашего полка, не выдержав натиска русских, панически побежали. Провал немецкого наступления на Курск и последующие неудачи немецких войск на Орловском участке фронта произвели гнетущее впечатление на солдат. У многих из них окончательно подорвана вера в победу Германии. Они убедились, что русские могут наступать и летом» (14958).</w:t>
      </w:r>
    </w:p>
    <w:p w14:paraId="0202CC9D" w14:textId="77777777" w:rsidR="00AD612B" w:rsidRPr="00271E51" w:rsidRDefault="00AD612B" w:rsidP="00271E51">
      <w:pPr>
        <w:spacing w:after="0" w:line="240" w:lineRule="auto"/>
        <w:jc w:val="both"/>
        <w:rPr>
          <w:rFonts w:ascii="Times New Roman" w:hAnsi="Times New Roman"/>
          <w:color w:val="000000" w:themeColor="text1"/>
          <w:sz w:val="16"/>
          <w:szCs w:val="16"/>
        </w:rPr>
      </w:pPr>
    </w:p>
    <w:p w14:paraId="40704FC5" w14:textId="77777777" w:rsidR="00381253" w:rsidRPr="00271E51" w:rsidRDefault="003812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в 1943 году Адолф Гитлер отдает приказ о прекращении наступления в районе Курской дуги. Советские войска вынуждают немцев начать отступление. С этого момента Германии больше не удастся организовать ни одного наступления на Восточном фронте (14958).</w:t>
      </w:r>
    </w:p>
    <w:p w14:paraId="2FB0FCE8" w14:textId="77777777" w:rsidR="00381253" w:rsidRPr="00271E51" w:rsidRDefault="00381253" w:rsidP="00271E51">
      <w:pPr>
        <w:spacing w:after="0" w:line="240" w:lineRule="auto"/>
        <w:jc w:val="both"/>
        <w:rPr>
          <w:rFonts w:ascii="Times New Roman" w:hAnsi="Times New Roman"/>
          <w:color w:val="000000" w:themeColor="text1"/>
          <w:sz w:val="16"/>
          <w:szCs w:val="16"/>
        </w:rPr>
      </w:pPr>
    </w:p>
    <w:p w14:paraId="33E30D93"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В ночь на 20 июля 1943 шесть Ил-2 из 135-го шап с высоты 2000 метров сбросили бомбы на аэродром Домнино, и затем было заявлено о поражении пяти находившихся там FW-190. Применение штурмовиков ночью, да еще в ходе воздушного удара по аэродрому, было делом неслыханным (19522).</w:t>
      </w:r>
    </w:p>
    <w:p w14:paraId="288C8A35"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21 июля 1943 шесть Илов из 946-го шап, которых прикрывали восемь Ла-5, произвели аэрофотосъемку нескольких авиабаз люфтваффе и обнаружили там десятки немецких самолетов. Попутно в том же районе воздушную разведку вели разведчики Р-39, Пе-2 и Пе-3 из 98-го гвардейского отдельного дальнего разведывательного полка. Основываясь на полученных данных, 21 июля штурмовики 224-й шад снова полетели бомбить Карачев. Правда, при этом они заблудились и вместо него проштурмовали Брянск. Как водится, затем было доложено о множестве сожженных на земле «стервятников». Фактически же на аэродроме Озерская был уничтожен один Fi-156 «Шторьх» из 3-й связной эскадрильи (19522).</w:t>
      </w:r>
    </w:p>
    <w:p w14:paraId="329EE9DF" w14:textId="77777777" w:rsidR="00506386" w:rsidRPr="00271E51" w:rsidRDefault="00506386" w:rsidP="00271E51">
      <w:pPr>
        <w:pStyle w:val="ae"/>
        <w:spacing w:before="0" w:after="0"/>
        <w:jc w:val="both"/>
        <w:textAlignment w:val="baseline"/>
        <w:rPr>
          <w:color w:val="000000" w:themeColor="text1"/>
          <w:sz w:val="16"/>
          <w:szCs w:val="16"/>
        </w:rPr>
      </w:pPr>
    </w:p>
    <w:p w14:paraId="157EE8F4"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20 июля 1943 был атакован аэродром Краматорск. На сей раз советским авиаторам удалось уничтожить там один Ju-87D из 7-й эскадрильи StG77, и еще девять «Штук» получили осколочные повреждения. На аэродроме Сталино в ходе налетов 18–20 июля были сильно повреждены пять Не-111Н из KG55 «Грайф». Но все эти достаточно скромные успехи были скорее исключением, чем правилом (19522).</w:t>
      </w:r>
    </w:p>
    <w:p w14:paraId="40BBA36B" w14:textId="77777777" w:rsidR="00506386" w:rsidRPr="00271E51" w:rsidRDefault="00506386" w:rsidP="00271E51">
      <w:pPr>
        <w:pStyle w:val="ae"/>
        <w:spacing w:before="0" w:after="0"/>
        <w:jc w:val="both"/>
        <w:textAlignment w:val="baseline"/>
        <w:rPr>
          <w:color w:val="000000" w:themeColor="text1"/>
          <w:sz w:val="16"/>
          <w:szCs w:val="16"/>
        </w:rPr>
      </w:pPr>
    </w:p>
    <w:p w14:paraId="057F3D8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июля 1943 г</w:t>
      </w:r>
    </w:p>
    <w:p w14:paraId="7D69390A"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ДИРЕКТИВА ВОЕННЫМ СОВЕТАМ СФ, КБФ, ЧФ, ТОФ, КВФ ОБ ОРГАНИЗАЦИИ СЛУЖБЫ СПАСЕНИЯ ЭКИПАЖЕЙ САМОЛЕТОВ ПРИ ВЫНУЖДЕННОЙ ПОСАДКЕ В МОРЕ</w:t>
      </w:r>
    </w:p>
    <w:p w14:paraId="48BE274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оу—4/585</w:t>
      </w:r>
      <w:r w:rsidRPr="00271E51">
        <w:rPr>
          <w:rFonts w:ascii="Times New Roman" w:hAnsi="Times New Roman"/>
          <w:color w:val="0070C0"/>
          <w:sz w:val="16"/>
          <w:szCs w:val="16"/>
        </w:rPr>
        <w:tab/>
        <w:t>20 июля 1943 г. 22.25.</w:t>
      </w:r>
    </w:p>
    <w:p w14:paraId="41F57EF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Наши бомбардировщики, штурмовики, истребители, выполняя боевые задания  преимущественно в море, на большом удалении от своих берегов, часто в результате боевых повреждений, ранений экипажа делают вынужденные посадки в море, не дотягивая до своих аэродромов.</w:t>
      </w:r>
    </w:p>
    <w:p w14:paraId="0214E86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Служба спасения этих экипажей на флотах до сих пор должным образом не организована, поэтому мы теряем значительные1"* кадры наших летчиков.</w:t>
      </w:r>
    </w:p>
    <w:p w14:paraId="772592DB"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Отсутствие этой службы, кроме того, в известной степени имеет отрицательное моральное влияние на экипажи сухопутных самолетов.</w:t>
      </w:r>
    </w:p>
    <w:p w14:paraId="777FE60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Приказываю:</w:t>
      </w:r>
    </w:p>
    <w:p w14:paraId="00A87EE0"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В кратчайший срок организовать службу спасения экипажей самолетов, вынужденно садящихся в море, специально для этой цели выделить часть средств ОВР, ОХР ВМБ ВМБ и морские самолеты, держа их в готовности.</w:t>
      </w:r>
    </w:p>
    <w:p w14:paraId="5B18133E"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Привлечь к спасательной службе также ПЛ ПЛ, находящиеся на позиции, если это по условиям обстановки возможно.</w:t>
      </w:r>
    </w:p>
    <w:p w14:paraId="45A7106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Определить районы нахождения спасательных средств (районы посадки) у своего побережья (средства ВМБ) и побережья противника и в море (подлодки ), сделать их общеизвестными для нашей авиации с тем, чтобы поврежденные самолеты могли, при невозможности долететь до аэродрома, сделать посадки в районе, где развернуты спасательные средства.</w:t>
      </w:r>
    </w:p>
    <w:p w14:paraId="352C6342"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Каждой отдельной операции, проводимой флотом и ВВС, предусматривать вопрос организации спасения экипажей наших самолетов, выделять для этой цели, помимо действующих постоянно, специальные средства.</w:t>
      </w:r>
    </w:p>
    <w:p w14:paraId="02E8A4C9"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Установленную организацию донести к 28.07.</w:t>
      </w:r>
    </w:p>
    <w:p w14:paraId="3206634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КУЗНЕЦОВ</w:t>
      </w:r>
    </w:p>
    <w:p w14:paraId="3A1B4D5F"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ЦВМА, ф. 216, д. 12774, л. 324. Подлинник (20809).</w:t>
      </w:r>
    </w:p>
    <w:p w14:paraId="4474174B" w14:textId="77777777" w:rsidR="009274CE" w:rsidRPr="00271E51" w:rsidRDefault="009274CE" w:rsidP="00271E51">
      <w:pPr>
        <w:spacing w:after="0" w:line="240" w:lineRule="auto"/>
        <w:jc w:val="both"/>
        <w:rPr>
          <w:rFonts w:ascii="Times New Roman" w:hAnsi="Times New Roman"/>
          <w:color w:val="0070C0"/>
          <w:sz w:val="16"/>
          <w:szCs w:val="16"/>
        </w:rPr>
      </w:pPr>
    </w:p>
    <w:p w14:paraId="797924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 июля 1943 за 8 дней боев наступления ЗФ и БФ ЗФ продвинулся на 70 км, а БФ - на 20 км (340,149).</w:t>
      </w:r>
    </w:p>
    <w:p w14:paraId="37745A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DD7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была предпринята первая попытка на СФ использования Бостонов А-20 в качестве торпедоносцев, но не очень то получилось (1085,151).</w:t>
      </w:r>
    </w:p>
    <w:p w14:paraId="5EF768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1FC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20 июля 1943 в районе Варде на СФ был первый крупный налет с участием A-20G торпедоносцев на СФ (3457,107).</w:t>
      </w:r>
    </w:p>
    <w:p w14:paraId="19C78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B00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вышла директива наркома ВМФ Н.К.Кузнецова N ОУ-4/585 об организации службы спасения экипажей при вынужденной посадке в море (2120).</w:t>
      </w:r>
    </w:p>
    <w:p w14:paraId="53805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2F72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2C15E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1F75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вышло Постановление ГКО № 3778 О неотложных мерах по борьбе с лесными пожарами в лесах Наркомлеса СССР, приписных и местного значения. (7123, 246-249).</w:t>
      </w:r>
    </w:p>
    <w:p w14:paraId="60BB47B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AC8F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7BB8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91DE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созданный в СССР из немецких военнопленных “Национальный комитет освобождения Германии” впервые обратился к немецким солдатам по радио (4962).</w:t>
      </w:r>
    </w:p>
    <w:p w14:paraId="62FBFE5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8C23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01EB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77440C" w14:textId="77777777" w:rsidR="00381253" w:rsidRPr="00271E51" w:rsidRDefault="003812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июля в 1943 году взлетел опытный прототип «DG 205/G» английского истребителя </w:t>
      </w:r>
      <w:hyperlink r:id="rId33" w:tgtFrame="_blank" w:history="1">
        <w:r w:rsidRPr="00271E51">
          <w:rPr>
            <w:rFonts w:ascii="Times New Roman" w:hAnsi="Times New Roman"/>
            <w:color w:val="000000" w:themeColor="text1"/>
            <w:sz w:val="16"/>
            <w:szCs w:val="16"/>
          </w:rPr>
          <w:t xml:space="preserve">«Gloster» «Meteor» «F.I» </w:t>
        </w:r>
      </w:hyperlink>
      <w:r w:rsidRPr="00271E51">
        <w:rPr>
          <w:rFonts w:ascii="Times New Roman" w:hAnsi="Times New Roman"/>
          <w:color w:val="000000" w:themeColor="text1"/>
          <w:sz w:val="16"/>
          <w:szCs w:val="16"/>
        </w:rPr>
        <w:t>с двигателями «W.2B/23», 24 июля - аналогичный «DG 202/G». В последующие два месяца оба они интенсивно испытывались вместе с «DG 204/G», оснащенным моторами «F.2». В 1944 году в серию пошли самолеты с двигателями «W.2B» - «Метеор» «F.I» («G.41A») (14958).</w:t>
      </w:r>
    </w:p>
    <w:p w14:paraId="187A636B" w14:textId="77777777" w:rsidR="00381253" w:rsidRPr="00271E51" w:rsidRDefault="00381253" w:rsidP="00271E51">
      <w:pPr>
        <w:spacing w:after="0" w:line="240" w:lineRule="auto"/>
        <w:jc w:val="both"/>
        <w:rPr>
          <w:rFonts w:ascii="Times New Roman" w:hAnsi="Times New Roman"/>
          <w:color w:val="000000" w:themeColor="text1"/>
          <w:sz w:val="16"/>
          <w:szCs w:val="16"/>
        </w:rPr>
      </w:pPr>
    </w:p>
    <w:p w14:paraId="6E1788D6" w14:textId="77777777" w:rsidR="009274CE" w:rsidRPr="00271E51" w:rsidRDefault="009274C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июля 1943 американские самолеты нанесли удар по эскорту японского конвоя в проливе Нью-Джорджия , потопив два эсминца и повредив тяжелый крейсер « Кумано» (20376).</w:t>
      </w:r>
    </w:p>
    <w:p w14:paraId="17E95D40" w14:textId="77777777" w:rsidR="009274CE" w:rsidRPr="00271E51" w:rsidRDefault="009274CE" w:rsidP="00271E51">
      <w:pPr>
        <w:spacing w:after="0" w:line="240" w:lineRule="auto"/>
        <w:jc w:val="both"/>
        <w:rPr>
          <w:rFonts w:ascii="Times New Roman" w:hAnsi="Times New Roman"/>
          <w:color w:val="0070C0"/>
          <w:sz w:val="16"/>
          <w:szCs w:val="16"/>
        </w:rPr>
      </w:pPr>
    </w:p>
    <w:p w14:paraId="2A44C6A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июля 1943 президент США Ф. Рузвельт приказал поделиться результатами атомных исследований с Англией (4962).</w:t>
      </w:r>
    </w:p>
    <w:p w14:paraId="2B86CDA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BCA8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6E61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4C9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21 по 22 июля 1943 состоялись дополнительные гос. испытания Як-1М-1 с М-105ПФ2 (65,165).</w:t>
      </w:r>
    </w:p>
    <w:p w14:paraId="693E8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45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21-22 июля 1943 состоялись дополнительные гос. испытания Як-1М с М-105ПФ с повышенным наддувом (198,54).</w:t>
      </w:r>
    </w:p>
    <w:p w14:paraId="1ED04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4ED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21-22 июля 1943 г. Як-1М с усеченным форсированием мощности мотора М-105ПФ (только для первой скорости нагнетателя) прошел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590A57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7CCF89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w:t>
      </w:r>
      <w:r w:rsidR="00CA7A1C"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rPr>
        <w:t xml:space="preserve">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40D097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0D309" w14:textId="77777777" w:rsidR="00CA7A1C" w:rsidRPr="00271E51" w:rsidRDefault="00CA7A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21 июля 1943 г. общая готовность ТИС (МА) оце</w:t>
      </w:r>
      <w:r w:rsidRPr="00271E51">
        <w:rPr>
          <w:rFonts w:ascii="Times New Roman" w:cs="Times New Roman"/>
          <w:color w:val="000000" w:themeColor="text1"/>
          <w:spacing w:val="0"/>
        </w:rPr>
        <w:softHyphen/>
        <w:t>нивалась в 25% (15758).</w:t>
      </w:r>
    </w:p>
    <w:p w14:paraId="268CD0BF" w14:textId="77777777" w:rsidR="00CA7A1C" w:rsidRPr="00271E51" w:rsidRDefault="00CA7A1C" w:rsidP="00271E51">
      <w:pPr>
        <w:pStyle w:val="27"/>
        <w:shd w:val="clear" w:color="auto" w:fill="auto"/>
        <w:spacing w:after="0" w:line="240" w:lineRule="auto"/>
        <w:ind w:firstLine="0"/>
        <w:rPr>
          <w:rFonts w:ascii="Times New Roman" w:cs="Times New Roman"/>
          <w:color w:val="000000" w:themeColor="text1"/>
          <w:spacing w:val="0"/>
        </w:rPr>
      </w:pPr>
    </w:p>
    <w:p w14:paraId="0330E60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5F4C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434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начались заводские испытания танков КВ-1С, вооруженных 85-мм пушками, на следую</w:t>
      </w:r>
      <w:r w:rsidRPr="00271E51">
        <w:rPr>
          <w:rFonts w:ascii="Times New Roman" w:hAnsi="Times New Roman"/>
          <w:color w:val="000000" w:themeColor="text1"/>
          <w:sz w:val="16"/>
          <w:szCs w:val="16"/>
        </w:rPr>
        <w:softHyphen/>
        <w:t>щий день после получения (20 июля) и после нескольких пробных пробегов, 2 августа, все танки были переданы на государственные испытания ... Интересно отметить, что вскоре после их начала «Объект 238» был снят с испыта</w:t>
      </w:r>
      <w:r w:rsidRPr="00271E51">
        <w:rPr>
          <w:rFonts w:ascii="Times New Roman" w:hAnsi="Times New Roman"/>
          <w:color w:val="000000" w:themeColor="text1"/>
          <w:sz w:val="16"/>
          <w:szCs w:val="16"/>
        </w:rPr>
        <w:softHyphen/>
        <w:t>ний, но его собрат с башней танка ИС, несмотря на боль</w:t>
      </w:r>
      <w:r w:rsidRPr="00271E51">
        <w:rPr>
          <w:rFonts w:ascii="Times New Roman" w:hAnsi="Times New Roman"/>
          <w:color w:val="000000" w:themeColor="text1"/>
          <w:sz w:val="16"/>
          <w:szCs w:val="16"/>
        </w:rPr>
        <w:softHyphen/>
        <w:t>ший вес, стойко прошел их до конца. Всего КВ-85 (под та</w:t>
      </w:r>
      <w:r w:rsidRPr="00271E51">
        <w:rPr>
          <w:rFonts w:ascii="Times New Roman" w:hAnsi="Times New Roman"/>
          <w:color w:val="000000" w:themeColor="text1"/>
          <w:sz w:val="16"/>
          <w:szCs w:val="16"/>
        </w:rPr>
        <w:softHyphen/>
        <w:t>ким индексом опробовались «Объект 238» и «Объект 239») прошел 285 км со средней скоростью около 16 км/ч (11135).</w:t>
      </w:r>
    </w:p>
    <w:p w14:paraId="7A0A91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79E1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1943г. была подготовлена ДОКЛАДНАЯ ЗАПИСКА НАЧАЛЬНИКА УСА ГБТУ КА НАЧАЛЬНИКУ ИНЖЕНЕРНОГО УПРАВЛЕНИЯ НКВТ ГЕНЕРАЛ-МАЙОРУ ИНЖЕНЕРНО-ТЕХНИЧЕСКОЙ СЛУЖБЫ СЕМИЧАСТНОМУ О ПОТРЕБНОМ КОЛИЧЕСТВЕ БОЕПРИПАСОВ К ВООРУЖЕНИЮ ИМПОРТНЫХ ТАНКОВ №148390</w:t>
      </w:r>
    </w:p>
    <w:p w14:paraId="18DDCC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в СССР прибыло и продолжает прибывать большое количество некоторых видов боеприпасов к вооружению импортных танков.</w:t>
      </w:r>
    </w:p>
    <w:p w14:paraId="100D07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возможным временно до конца 1943 г. прекратить завоз в СССР боеприпасов следую</w:t>
      </w:r>
      <w:r w:rsidRPr="00271E51">
        <w:rPr>
          <w:rFonts w:ascii="Times New Roman" w:hAnsi="Times New Roman"/>
          <w:color w:val="000000" w:themeColor="text1"/>
          <w:sz w:val="16"/>
          <w:szCs w:val="16"/>
        </w:rPr>
        <w:softHyphen/>
        <w:t>щих номенклатур: выстрелов к 37-мм танковой пушке; мин к 2" миномету; патронов к 7,62-мм пуле</w:t>
      </w:r>
      <w:r w:rsidRPr="00271E51">
        <w:rPr>
          <w:rFonts w:ascii="Times New Roman" w:hAnsi="Times New Roman"/>
          <w:color w:val="000000" w:themeColor="text1"/>
          <w:sz w:val="16"/>
          <w:szCs w:val="16"/>
        </w:rPr>
        <w:softHyphen/>
        <w:t>мету «Браунинг»; к 7,7-мм пулемету «Брен»; к 11,43-мм пистолету-пулемету «Томпсон», имеющихся на фронте и складах ГБТУ КА в достаточных количествах.</w:t>
      </w:r>
    </w:p>
    <w:p w14:paraId="5EE8C6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боеприпасы необходимо довести в количествах согласно прилагаемой справке.</w:t>
      </w:r>
    </w:p>
    <w:p w14:paraId="23151C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1 листе.</w:t>
      </w:r>
    </w:p>
    <w:p w14:paraId="7BEDBD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УСА ГБТУ КА инженер-полковник Алымов</w:t>
      </w:r>
    </w:p>
    <w:p w14:paraId="6A974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2 отдела УСА ГБТУ КА инженер-майор Езерницкий</w:t>
      </w:r>
    </w:p>
    <w:p w14:paraId="49775F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w:t>
      </w:r>
    </w:p>
    <w:p w14:paraId="038580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потребном количестве боеприпасов к вооружению импортных танков на III и IV кварталы 1943 г.</w:t>
      </w:r>
    </w:p>
    <w:tbl>
      <w:tblPr>
        <w:tblW w:w="0" w:type="auto"/>
        <w:tblInd w:w="40" w:type="dxa"/>
        <w:tblLayout w:type="fixed"/>
        <w:tblCellMar>
          <w:left w:w="40" w:type="dxa"/>
          <w:right w:w="40" w:type="dxa"/>
        </w:tblCellMar>
        <w:tblLook w:val="0000" w:firstRow="0" w:lastRow="0" w:firstColumn="0" w:lastColumn="0" w:noHBand="0" w:noVBand="0"/>
      </w:tblPr>
      <w:tblGrid>
        <w:gridCol w:w="480"/>
        <w:gridCol w:w="2170"/>
        <w:gridCol w:w="1286"/>
        <w:gridCol w:w="1286"/>
        <w:gridCol w:w="1286"/>
        <w:gridCol w:w="1286"/>
        <w:gridCol w:w="883"/>
        <w:gridCol w:w="883"/>
      </w:tblGrid>
      <w:tr w:rsidR="00A907A5" w:rsidRPr="00271E51" w14:paraId="5786FB7E" w14:textId="77777777" w:rsidTr="00ED5B0A">
        <w:trPr>
          <w:trHeight w:val="586"/>
        </w:trPr>
        <w:tc>
          <w:tcPr>
            <w:tcW w:w="480" w:type="dxa"/>
            <w:tcBorders>
              <w:top w:val="single" w:sz="6" w:space="0" w:color="auto"/>
              <w:left w:val="single" w:sz="6" w:space="0" w:color="auto"/>
              <w:bottom w:val="single" w:sz="6" w:space="0" w:color="auto"/>
              <w:right w:val="single" w:sz="6" w:space="0" w:color="auto"/>
            </w:tcBorders>
          </w:tcPr>
          <w:p w14:paraId="33A0DE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D7D75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w:t>
            </w:r>
          </w:p>
          <w:p w14:paraId="10FFA9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B09BA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Номенклатура</w:t>
            </w:r>
          </w:p>
          <w:p w14:paraId="7F4D3E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16FE2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 учетом вновь прибывшего</w:t>
            </w:r>
          </w:p>
          <w:p w14:paraId="4C52C9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F15DA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боекомплект на все воору</w:t>
            </w:r>
            <w:r w:rsidRPr="00271E51">
              <w:rPr>
                <w:rFonts w:ascii="Times New Roman" w:hAnsi="Times New Roman"/>
                <w:color w:val="000000" w:themeColor="text1"/>
                <w:sz w:val="16"/>
                <w:szCs w:val="16"/>
              </w:rPr>
              <w:softHyphen/>
              <w:t>жение</w:t>
            </w:r>
          </w:p>
          <w:p w14:paraId="24659C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92699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боеком</w:t>
            </w:r>
            <w:r w:rsidRPr="00271E51">
              <w:rPr>
                <w:rFonts w:ascii="Times New Roman" w:hAnsi="Times New Roman"/>
                <w:color w:val="000000" w:themeColor="text1"/>
                <w:sz w:val="16"/>
                <w:szCs w:val="16"/>
              </w:rPr>
              <w:softHyphen/>
              <w:t>плектов на все вооружение</w:t>
            </w:r>
          </w:p>
          <w:p w14:paraId="08D54A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98FCE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имеется боеприпасов на 20 июля 1943 г.</w:t>
            </w:r>
          </w:p>
          <w:p w14:paraId="1CFB7B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6C6A8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Излишние</w:t>
            </w:r>
          </w:p>
          <w:p w14:paraId="3E4E26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7219A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Недостает</w:t>
            </w:r>
          </w:p>
          <w:p w14:paraId="3F205C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86B36F"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706B03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54748F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16B768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76-мм выстрелы</w:t>
            </w:r>
          </w:p>
          <w:p w14:paraId="153CAC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3A193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p w14:paraId="78A9CC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5134C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p w14:paraId="706611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6C053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p w14:paraId="6B5E2C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6E249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88,3</w:t>
            </w:r>
          </w:p>
          <w:p w14:paraId="021811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062FB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77,3</w:t>
            </w:r>
          </w:p>
          <w:p w14:paraId="2055DA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89A08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83955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461E68" w14:textId="77777777" w:rsidTr="00ED5B0A">
        <w:trPr>
          <w:trHeight w:val="269"/>
        </w:trPr>
        <w:tc>
          <w:tcPr>
            <w:tcW w:w="480" w:type="dxa"/>
            <w:tcBorders>
              <w:top w:val="single" w:sz="6" w:space="0" w:color="auto"/>
              <w:left w:val="single" w:sz="6" w:space="0" w:color="auto"/>
              <w:bottom w:val="single" w:sz="6" w:space="0" w:color="auto"/>
              <w:right w:val="single" w:sz="6" w:space="0" w:color="auto"/>
            </w:tcBorders>
          </w:tcPr>
          <w:p w14:paraId="1C9E99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0B7BED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C400B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75-мм выстрелы</w:t>
            </w:r>
          </w:p>
          <w:p w14:paraId="3016E8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9E084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2075</w:t>
            </w:r>
          </w:p>
          <w:p w14:paraId="3536E5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617E5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145,2</w:t>
            </w:r>
          </w:p>
          <w:p w14:paraId="2DDC17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F814C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1452,5</w:t>
            </w:r>
          </w:p>
          <w:p w14:paraId="4E6F0B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51873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1017,0</w:t>
            </w:r>
          </w:p>
          <w:p w14:paraId="660B65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E4E33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91047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98E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435,5</w:t>
            </w:r>
          </w:p>
          <w:p w14:paraId="05B935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AA1323"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760955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5F3067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F11AB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57-мм выстрелы</w:t>
            </w:r>
          </w:p>
          <w:p w14:paraId="43F7AF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013F8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p w14:paraId="693A82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4BD28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35,2</w:t>
            </w:r>
          </w:p>
          <w:p w14:paraId="67C564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AA58B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352,0</w:t>
            </w:r>
          </w:p>
          <w:p w14:paraId="5BD285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65B14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158,0</w:t>
            </w:r>
          </w:p>
          <w:p w14:paraId="5F30F9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DCF8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C4396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7F21F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w:t>
            </w:r>
          </w:p>
          <w:p w14:paraId="0EA381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F53297"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64ACF0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p w14:paraId="59A435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BA460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40-мм выстрелы</w:t>
            </w:r>
          </w:p>
          <w:p w14:paraId="3C1E11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89F06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p w14:paraId="37CFDC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C52FE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w:t>
            </w:r>
          </w:p>
          <w:p w14:paraId="570D3E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21242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1120,0</w:t>
            </w:r>
          </w:p>
          <w:p w14:paraId="0180AC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05F19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767,0</w:t>
            </w:r>
          </w:p>
          <w:p w14:paraId="1B70BC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E973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D10B4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4D6FF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353,0</w:t>
            </w:r>
          </w:p>
          <w:p w14:paraId="371E64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629701" w14:textId="77777777" w:rsidTr="00ED5B0A">
        <w:trPr>
          <w:trHeight w:val="269"/>
        </w:trPr>
        <w:tc>
          <w:tcPr>
            <w:tcW w:w="480" w:type="dxa"/>
            <w:tcBorders>
              <w:top w:val="single" w:sz="6" w:space="0" w:color="auto"/>
              <w:left w:val="single" w:sz="6" w:space="0" w:color="auto"/>
              <w:bottom w:val="single" w:sz="6" w:space="0" w:color="auto"/>
              <w:right w:val="single" w:sz="6" w:space="0" w:color="auto"/>
            </w:tcBorders>
          </w:tcPr>
          <w:p w14:paraId="10A29F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5</w:t>
            </w:r>
          </w:p>
          <w:p w14:paraId="49CBDB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CAC52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37-мм выстрелы</w:t>
            </w:r>
          </w:p>
          <w:p w14:paraId="69DD94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4A57E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w:t>
            </w:r>
          </w:p>
          <w:p w14:paraId="0BE6DA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25332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109,9</w:t>
            </w:r>
          </w:p>
          <w:p w14:paraId="3CD155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5C5B2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1099,2</w:t>
            </w:r>
          </w:p>
          <w:p w14:paraId="4C5E86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15377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2405,0</w:t>
            </w:r>
          </w:p>
          <w:p w14:paraId="5A18FA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B5CFC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1306,0</w:t>
            </w:r>
          </w:p>
          <w:p w14:paraId="095FE7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4551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16297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77631A"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4747C7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p w14:paraId="27B1AE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6709B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105-мм дымовые шашки</w:t>
            </w:r>
          </w:p>
          <w:p w14:paraId="09197D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1EF90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1111</w:t>
            </w:r>
          </w:p>
          <w:p w14:paraId="4E8C4C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75147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w:t>
            </w:r>
          </w:p>
          <w:p w14:paraId="0420DA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B5FD4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111,1</w:t>
            </w:r>
          </w:p>
          <w:p w14:paraId="265BDA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CC724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103,9</w:t>
            </w:r>
          </w:p>
          <w:p w14:paraId="6ECCDE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7B3F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74C31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10F4B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p w14:paraId="52C1F2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918BF8" w14:textId="77777777" w:rsidTr="00ED5B0A">
        <w:trPr>
          <w:trHeight w:val="269"/>
        </w:trPr>
        <w:tc>
          <w:tcPr>
            <w:tcW w:w="480" w:type="dxa"/>
            <w:tcBorders>
              <w:top w:val="single" w:sz="6" w:space="0" w:color="auto"/>
              <w:left w:val="single" w:sz="6" w:space="0" w:color="auto"/>
              <w:bottom w:val="single" w:sz="6" w:space="0" w:color="auto"/>
              <w:right w:val="single" w:sz="6" w:space="0" w:color="auto"/>
            </w:tcBorders>
          </w:tcPr>
          <w:p w14:paraId="0021E5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2F624F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98960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мины</w:t>
            </w:r>
          </w:p>
          <w:p w14:paraId="564C6A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C945B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1563</w:t>
            </w:r>
          </w:p>
          <w:p w14:paraId="728D30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D866F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w:t>
            </w:r>
          </w:p>
          <w:p w14:paraId="197FC9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658C8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390,7</w:t>
            </w:r>
          </w:p>
          <w:p w14:paraId="2719B3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0037D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554,4</w:t>
            </w:r>
          </w:p>
          <w:p w14:paraId="40EC11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B6FE8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163,7</w:t>
            </w:r>
          </w:p>
          <w:p w14:paraId="4F3672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6C42A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EAD04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A9500A"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20B386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p w14:paraId="222E76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B9596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сигнальные ракеты</w:t>
            </w:r>
          </w:p>
          <w:p w14:paraId="64C7FA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6F489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4258</w:t>
            </w:r>
          </w:p>
          <w:p w14:paraId="4E55CD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CAAB2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w:t>
            </w:r>
          </w:p>
          <w:p w14:paraId="4B8007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9BC35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1277,4</w:t>
            </w:r>
          </w:p>
          <w:p w14:paraId="1459C6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3298F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220,0</w:t>
            </w:r>
          </w:p>
          <w:p w14:paraId="7C6AA2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E752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255A7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0535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1057,0</w:t>
            </w:r>
          </w:p>
          <w:p w14:paraId="41E14F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296AB4"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297086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p w14:paraId="5CD247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A084A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13,97-мм патроны</w:t>
            </w:r>
          </w:p>
          <w:p w14:paraId="7B1430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8AA1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1981</w:t>
            </w:r>
          </w:p>
          <w:p w14:paraId="715209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33E9F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158,5</w:t>
            </w:r>
          </w:p>
          <w:p w14:paraId="448987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13F2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1585,0</w:t>
            </w:r>
          </w:p>
          <w:p w14:paraId="7743B1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AFEEA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367,5</w:t>
            </w:r>
          </w:p>
          <w:p w14:paraId="206D81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40CF2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FB72F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1B203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1217,5</w:t>
            </w:r>
          </w:p>
          <w:p w14:paraId="354B5C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C2EB51" w14:textId="77777777" w:rsidTr="00ED5B0A">
        <w:trPr>
          <w:trHeight w:val="269"/>
        </w:trPr>
        <w:tc>
          <w:tcPr>
            <w:tcW w:w="480" w:type="dxa"/>
            <w:tcBorders>
              <w:top w:val="single" w:sz="6" w:space="0" w:color="auto"/>
              <w:left w:val="single" w:sz="6" w:space="0" w:color="auto"/>
              <w:bottom w:val="single" w:sz="6" w:space="0" w:color="auto"/>
              <w:right w:val="single" w:sz="6" w:space="0" w:color="auto"/>
            </w:tcBorders>
          </w:tcPr>
          <w:p w14:paraId="7AEF56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p w14:paraId="4AC528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8B694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12,7-мм патроны</w:t>
            </w:r>
          </w:p>
          <w:p w14:paraId="5F5B4F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D134B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2781</w:t>
            </w:r>
          </w:p>
          <w:p w14:paraId="785060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E9E64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1390,5</w:t>
            </w:r>
          </w:p>
          <w:p w14:paraId="5D7211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11A6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13905,0</w:t>
            </w:r>
          </w:p>
          <w:p w14:paraId="4C26DA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99A4A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23870,0</w:t>
            </w:r>
          </w:p>
          <w:p w14:paraId="7F1C98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0341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9965,0</w:t>
            </w:r>
          </w:p>
          <w:p w14:paraId="22F4F7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B4FF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CB376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3E5D44"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4FCA4C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p w14:paraId="1ED58A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127D9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11,43-мм патроны</w:t>
            </w:r>
          </w:p>
          <w:p w14:paraId="70DE7D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27346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7927</w:t>
            </w:r>
          </w:p>
          <w:p w14:paraId="3B64E7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91CB5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2378,1</w:t>
            </w:r>
          </w:p>
          <w:p w14:paraId="4D6AF0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A9ED6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23781,0</w:t>
            </w:r>
          </w:p>
          <w:p w14:paraId="5A8FA1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32F17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79687,0</w:t>
            </w:r>
          </w:p>
          <w:p w14:paraId="50B4B0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EE769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55906,0</w:t>
            </w:r>
          </w:p>
          <w:p w14:paraId="4EB8A3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C540C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F80CC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0C432B" w14:textId="77777777" w:rsidTr="00ED5B0A">
        <w:trPr>
          <w:trHeight w:val="278"/>
        </w:trPr>
        <w:tc>
          <w:tcPr>
            <w:tcW w:w="480" w:type="dxa"/>
            <w:tcBorders>
              <w:top w:val="single" w:sz="6" w:space="0" w:color="auto"/>
              <w:left w:val="single" w:sz="6" w:space="0" w:color="auto"/>
              <w:bottom w:val="single" w:sz="6" w:space="0" w:color="auto"/>
              <w:right w:val="single" w:sz="6" w:space="0" w:color="auto"/>
            </w:tcBorders>
          </w:tcPr>
          <w:p w14:paraId="528CF6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p w14:paraId="04E350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1F928C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7,92-мм патроны</w:t>
            </w:r>
          </w:p>
          <w:p w14:paraId="54249E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BE1A7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1346</w:t>
            </w:r>
          </w:p>
          <w:p w14:paraId="3AEF8E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32AAC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2692,0</w:t>
            </w:r>
          </w:p>
          <w:p w14:paraId="6721A6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109A8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26920,0</w:t>
            </w:r>
          </w:p>
          <w:p w14:paraId="3A9B74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8DC35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17760,0</w:t>
            </w:r>
          </w:p>
          <w:p w14:paraId="32F22B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7E10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23E5D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9C37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9560,0</w:t>
            </w:r>
          </w:p>
          <w:p w14:paraId="4CFB7D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73DDF6" w14:textId="77777777" w:rsidTr="00ED5B0A">
        <w:trPr>
          <w:trHeight w:val="269"/>
        </w:trPr>
        <w:tc>
          <w:tcPr>
            <w:tcW w:w="480" w:type="dxa"/>
            <w:tcBorders>
              <w:top w:val="single" w:sz="6" w:space="0" w:color="auto"/>
              <w:left w:val="single" w:sz="6" w:space="0" w:color="auto"/>
              <w:bottom w:val="single" w:sz="6" w:space="0" w:color="auto"/>
              <w:right w:val="single" w:sz="6" w:space="0" w:color="auto"/>
            </w:tcBorders>
          </w:tcPr>
          <w:p w14:paraId="5C79A4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419F57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18EA26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7,7-мм патроны</w:t>
            </w:r>
          </w:p>
          <w:p w14:paraId="69E31C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8D39B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3250</w:t>
            </w:r>
          </w:p>
          <w:p w14:paraId="79104A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0F3C9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3250,0</w:t>
            </w:r>
          </w:p>
          <w:p w14:paraId="238521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55BEB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32500,0</w:t>
            </w:r>
          </w:p>
          <w:p w14:paraId="726C59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1A2D3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66105,7</w:t>
            </w:r>
          </w:p>
          <w:p w14:paraId="1EA315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183FB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33605,7</w:t>
            </w:r>
          </w:p>
          <w:p w14:paraId="6F43BE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4E585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42EE0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37DD42" w14:textId="77777777" w:rsidTr="00ED5B0A">
        <w:trPr>
          <w:trHeight w:val="298"/>
        </w:trPr>
        <w:tc>
          <w:tcPr>
            <w:tcW w:w="480" w:type="dxa"/>
            <w:tcBorders>
              <w:top w:val="single" w:sz="6" w:space="0" w:color="auto"/>
              <w:left w:val="single" w:sz="6" w:space="0" w:color="auto"/>
              <w:bottom w:val="single" w:sz="6" w:space="0" w:color="auto"/>
              <w:right w:val="single" w:sz="6" w:space="0" w:color="auto"/>
            </w:tcBorders>
          </w:tcPr>
          <w:p w14:paraId="591702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p w14:paraId="62B4BF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4B2FC4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патроны</w:t>
            </w:r>
          </w:p>
          <w:p w14:paraId="02A029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564FD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8285</w:t>
            </w:r>
          </w:p>
          <w:p w14:paraId="1E6A57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0B838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8285,0</w:t>
            </w:r>
          </w:p>
          <w:p w14:paraId="664E3B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24225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82850,0</w:t>
            </w:r>
          </w:p>
          <w:p w14:paraId="1EA220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CB5B7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185438,0</w:t>
            </w:r>
          </w:p>
          <w:p w14:paraId="725CA6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75D32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102588,0</w:t>
            </w:r>
          </w:p>
          <w:p w14:paraId="7D653B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F99E9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EAC54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302A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пом. начальника 2 отдела УСА ГБТУ КА инженер-майор Карелин</w:t>
      </w:r>
    </w:p>
    <w:p w14:paraId="38D4D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1661. Л. 7-8. Подлинник (11403).</w:t>
      </w:r>
    </w:p>
    <w:p w14:paraId="57E42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68FAF"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21 июля 1943 в распоряжении Красной армии имелись точные данные о ТТХ немецкой самоходной установки Фердинанд. Больше того, было точно известно сколько «Фердинандов» построили. Данные были почерпнуты из сводной инструкции по вооружению немецкой армии, захваченной среди прочих документов:</w:t>
      </w:r>
    </w:p>
    <w:p w14:paraId="3C030B6F"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«По своей броне и вооружению исключительно сильное орудие по борьбе с танками и для поддержки наступления в условиях сильного сопротивления противника. Большой вес, небольшая скорость на поле боя, низкая проходимость ограничивают возможности боевого использования и требуют особо тщательной разведки перед введением в бой.</w:t>
      </w:r>
    </w:p>
    <w:p w14:paraId="5BDA7983"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Выпущено 90 штук, сведенных в тяжёлый противотанковый полк в составе двух дивизионов по 45 орудий» (17707).</w:t>
      </w:r>
    </w:p>
    <w:p w14:paraId="67748EC6" w14:textId="77777777" w:rsidR="00EE60C5" w:rsidRPr="00271E51" w:rsidRDefault="00EE60C5" w:rsidP="00271E51">
      <w:pPr>
        <w:spacing w:after="0" w:line="240" w:lineRule="auto"/>
        <w:jc w:val="both"/>
        <w:rPr>
          <w:rFonts w:ascii="Times New Roman" w:hAnsi="Times New Roman"/>
          <w:color w:val="000000" w:themeColor="text1"/>
          <w:sz w:val="16"/>
          <w:szCs w:val="16"/>
        </w:rPr>
      </w:pPr>
    </w:p>
    <w:p w14:paraId="7D9629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г. была подготовлена ДОКЛАДНАЯ ЗАПИСКА НАЧАЛЬНИКА УПРАВЛЕНИЯ БРОНЕПОЕЗДОВ И БРОНЕМАШИН ГБТУ КА В СЕКРЕТАРИАТ СНК СССР СЕДОВУ О ПРОИЗВОДСТВЕ БРОНЕПОЕЗДОВ В ПЕРВОМ ПОЛУГОДИИ 1943 г. №1166266</w:t>
      </w:r>
    </w:p>
    <w:p w14:paraId="04B98E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Сообщаю данные о производстве бронепоездов в первом полугодии с.г. и обеспеченности про</w:t>
      </w:r>
      <w:r w:rsidRPr="00271E51">
        <w:rPr>
          <w:rFonts w:ascii="Times New Roman" w:hAnsi="Times New Roman"/>
          <w:color w:val="000000" w:themeColor="text1"/>
          <w:sz w:val="16"/>
          <w:szCs w:val="16"/>
        </w:rPr>
        <w:softHyphen/>
        <w:t>изводства в III квартале.</w:t>
      </w:r>
    </w:p>
    <w:p w14:paraId="5DAE40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Постановлению ГОКО №2801 ее от 30.01.1943 г. в первом полугодии 1943 года должно быть изготовлено 18 бронепоездов из них:</w:t>
      </w:r>
    </w:p>
    <w:p w14:paraId="00DAD2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Коломенском заводе НКТМ — 5 бронепоездов.</w:t>
      </w:r>
    </w:p>
    <w:p w14:paraId="65D17F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паровозовагоноремонтных заводах НКПС — 13 бронепоездов. В том числе на:</w:t>
      </w:r>
    </w:p>
    <w:p w14:paraId="311E01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Чкаловском заводе - 1 бронепоезд и 2 бронепаровоза;</w:t>
      </w:r>
    </w:p>
    <w:p w14:paraId="673DA4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Ташкентском заводе - 2 бронепоезда;</w:t>
      </w:r>
    </w:p>
    <w:p w14:paraId="42DC27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Уфимском заводе - 2 бронепоезда;</w:t>
      </w:r>
    </w:p>
    <w:p w14:paraId="12EDD0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Красноярском заводе - 2 бронепоезда;</w:t>
      </w:r>
    </w:p>
    <w:p w14:paraId="4864EA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Канашском заводе - 3 бронепоезда (без бронепаровоза);</w:t>
      </w:r>
    </w:p>
    <w:p w14:paraId="627DC5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Тамбовском заводе - 3 бронепоезда (без бронепаровоза);</w:t>
      </w:r>
    </w:p>
    <w:p w14:paraId="0E19E8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Ярославском заводе - 2 бронепоезда;</w:t>
      </w:r>
    </w:p>
    <w:p w14:paraId="12FBEB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Вологодском заводе - 2 бронепоезда.</w:t>
      </w:r>
    </w:p>
    <w:p w14:paraId="65780C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1 июля 1943 года изготовлено:</w:t>
      </w:r>
    </w:p>
    <w:p w14:paraId="4980CD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Коломенским заводом НКТМ — 3 бронепоезда.</w:t>
      </w:r>
    </w:p>
    <w:p w14:paraId="6D4CC1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Паровозовагоноремонтными заводами НКПС — 10 бронепоездов.</w:t>
      </w:r>
    </w:p>
    <w:p w14:paraId="34B07F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1 июля 1943 г. вследствие поздней поставки основной партии броневых деталей заводами Наркомтанкопрома бронепоезда не были поставлены следующим заводам:</w:t>
      </w:r>
    </w:p>
    <w:p w14:paraId="721502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Коломенским заводом - 2 бронепоезда,</w:t>
      </w:r>
    </w:p>
    <w:p w14:paraId="2AFEE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Красноярским заводом — 1 бронепоезд,</w:t>
      </w:r>
    </w:p>
    <w:p w14:paraId="11238C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Канашским заводом — 1 бронепоезд (без бронепаровоза),</w:t>
      </w:r>
    </w:p>
    <w:p w14:paraId="1BC53E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Тамбовским заводом — 1 бронепоезд (без бронепаровоза),</w:t>
      </w:r>
    </w:p>
    <w:p w14:paraId="78EEA4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Чкаловским заводом — 2 бронепаровоза.</w:t>
      </w:r>
    </w:p>
    <w:p w14:paraId="7623FB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Броневые детали на несданные бронепоезда поступили на указанные заводы во второй полови</w:t>
      </w:r>
      <w:r w:rsidRPr="00271E51">
        <w:rPr>
          <w:rFonts w:ascii="Times New Roman" w:hAnsi="Times New Roman"/>
          <w:color w:val="000000" w:themeColor="text1"/>
          <w:sz w:val="16"/>
          <w:szCs w:val="16"/>
        </w:rPr>
        <w:softHyphen/>
        <w:t>не июня месяца или в начале июля месяца.</w:t>
      </w:r>
    </w:p>
    <w:p w14:paraId="5D701E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все бронепоезда находятся в производстве, полностью всем обеспечены и к 1 августа будет сдано 4 бронепоезда и только один бронепоезд Коломенский завод сдаст в конце августа или в начале сентября месяца с.г.</w:t>
      </w:r>
    </w:p>
    <w:p w14:paraId="3148E8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Период изготовления одного бронепоезда составляет в среднем 25 дней. Уфимский завод НКПС первый бронепоезд построил в 20 дней, а второй в 18 дней. На Канашском заводе изготовле</w:t>
      </w:r>
      <w:r w:rsidRPr="00271E51">
        <w:rPr>
          <w:rFonts w:ascii="Times New Roman" w:hAnsi="Times New Roman"/>
          <w:color w:val="000000" w:themeColor="text1"/>
          <w:sz w:val="16"/>
          <w:szCs w:val="16"/>
        </w:rPr>
        <w:softHyphen/>
        <w:t>ние бронепоезда составляет 20 дней, а по другим заводам от 25 до 30 дней.</w:t>
      </w:r>
    </w:p>
    <w:p w14:paraId="551C35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Коломенском заводе период изготовления бронепоездов при оказании заводу помощи в под</w:t>
      </w:r>
      <w:r w:rsidRPr="00271E51">
        <w:rPr>
          <w:rFonts w:ascii="Times New Roman" w:hAnsi="Times New Roman"/>
          <w:color w:val="000000" w:themeColor="text1"/>
          <w:sz w:val="16"/>
          <w:szCs w:val="16"/>
        </w:rPr>
        <w:softHyphen/>
        <w:t>собной рабочей силе составляет 30 дней. В настоящее время (начиная с 1 апреля) Коломенскому заводу выделено распоряжение ГБТУ КА для строительства бронепоездов 50 человек красноармей</w:t>
      </w:r>
      <w:r w:rsidRPr="00271E51">
        <w:rPr>
          <w:rFonts w:ascii="Times New Roman" w:hAnsi="Times New Roman"/>
          <w:color w:val="000000" w:themeColor="text1"/>
          <w:sz w:val="16"/>
          <w:szCs w:val="16"/>
        </w:rPr>
        <w:softHyphen/>
        <w:t>цев, завод же выделяет 15 человек руководящих работников.</w:t>
      </w:r>
    </w:p>
    <w:p w14:paraId="36479B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Не считая указанные 5 бронепоездов, дальнейшее производство обеспечено броневыми дета</w:t>
      </w:r>
      <w:r w:rsidRPr="00271E51">
        <w:rPr>
          <w:rFonts w:ascii="Times New Roman" w:hAnsi="Times New Roman"/>
          <w:color w:val="000000" w:themeColor="text1"/>
          <w:sz w:val="16"/>
          <w:szCs w:val="16"/>
        </w:rPr>
        <w:softHyphen/>
        <w:t>лями на 8 бронепоездов следующим образом: Имеется броневых деталей на заводах:</w:t>
      </w:r>
    </w:p>
    <w:p w14:paraId="7423CF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НКПС - 4 комплекта;</w:t>
      </w:r>
    </w:p>
    <w:p w14:paraId="1CEEF9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числе на Чкаловском заводе - 2 комплекта;</w:t>
      </w:r>
    </w:p>
    <w:p w14:paraId="16EFF0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Канашском - 1 комплект;</w:t>
      </w:r>
    </w:p>
    <w:p w14:paraId="0DE375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Тамбовском - 1 комплект.</w:t>
      </w:r>
    </w:p>
    <w:p w14:paraId="6A10FF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заводов НКПС находятся в стадии окончания 4 комплекта броневых деталей бронепоездов, из которых 3 комплекта будут сданы к 1 августа и 1 комплект не позднее 10 августа. Комплекты изго</w:t>
      </w:r>
      <w:r w:rsidRPr="00271E51">
        <w:rPr>
          <w:rFonts w:ascii="Times New Roman" w:hAnsi="Times New Roman"/>
          <w:color w:val="000000" w:themeColor="text1"/>
          <w:sz w:val="16"/>
          <w:szCs w:val="16"/>
        </w:rPr>
        <w:softHyphen/>
        <w:t>товляются на следующих заводах НКТП:</w:t>
      </w:r>
    </w:p>
    <w:p w14:paraId="2920F8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 176 — 2 (часть одного комплекта поступила на Канашский завод).</w:t>
      </w:r>
    </w:p>
    <w:p w14:paraId="70E6B0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№177 — 1 и на заводе №180 — 1 комплект.</w:t>
      </w:r>
    </w:p>
    <w:p w14:paraId="5D096A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Стоимость одного комплекта броневых деталей (в зависимости от завода изготовителя) от 250 до 300 тыс. руб. Таким образом, общие затраты на броневые детали на 1 августа будут составлять более двух миллионов рублей. Данные затраты нельзя оставить без использования.</w:t>
      </w:r>
    </w:p>
    <w:p w14:paraId="4D3770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возможным в целях разгрузки заводов НКПС изготовление 8 бронепоездов произвести в период август-ноябрь месяцы с.г., по 2 бронепоезда в месяц.</w:t>
      </w:r>
    </w:p>
    <w:p w14:paraId="62DF47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 начальника управления УБП и БМ ГБТУ КА инженер-подполковник Коноплев</w:t>
      </w:r>
    </w:p>
    <w:p w14:paraId="2AD07D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 отдела УБП и БМ ГБТУ КА инженер-майор Смирнов</w:t>
      </w:r>
    </w:p>
    <w:p w14:paraId="1B591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11358. Д. 126. Л. 42 с об. Копия (11403).</w:t>
      </w:r>
    </w:p>
    <w:p w14:paraId="437C79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F5A6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Постановление ГКО № 3782 Об обеспечении производства медикаментов в III квартале 1943 г. химическим сырьем. (7124, 1-2,3-5).</w:t>
      </w:r>
    </w:p>
    <w:p w14:paraId="144D09C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BD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Постановление ГКО № 3783 О материально-техническом обеспечении восстановительных работ на Горьковском автозаводе им. Молотова Наркомсредмаша.РГАНИР, Фонд ГКО, д. 136, лл. 6-11, 12-25 (11012).</w:t>
      </w:r>
    </w:p>
    <w:p w14:paraId="2B2BC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DAF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Распоряжение ГКО № 3784. О поставке HКСС 1 тыс. т окиси алюминия для производства абразивов.РГАНИР, Фонд ГКО, д. 136, лл. 26 (11012).</w:t>
      </w:r>
    </w:p>
    <w:p w14:paraId="75D10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F85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Постановление ГКО № 3785 О материально-техническом обеспечении подшипниковых заводов Наркомсредмаша в III квартале 1943 года.РГАНИР, Фонд ГКО, д. 136, лл. 27-37, 38-69 (11012).</w:t>
      </w:r>
    </w:p>
    <w:p w14:paraId="274BD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1A44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Распоряжение ГКО № 3786 Об обеспечении выполнения плана поставки коксующихся углей марок К и ПЖ в июле месяце 1943 года. (7124, 70-71).</w:t>
      </w:r>
    </w:p>
    <w:p w14:paraId="33C8DAF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850A0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Распоряжение ГКО № 3787 [О мерах по отгрузке в течение III кв. и октября 1943 г. из Чиатура и Поти 270 тыс. т марганцевой руды.] (7124, 72).</w:t>
      </w:r>
    </w:p>
    <w:p w14:paraId="79DE6F4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5FF49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Постановление ГКО № 3788 О передаче Тавризской (Азербайджанской) железной дороги [МПС Ирана.] (7124, 73-74).</w:t>
      </w:r>
    </w:p>
    <w:p w14:paraId="2D376A8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E617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вышло Постановление ГКО № 3789 О выделении материальных ресурсов для закладки в государственный резерв на III квартал 1943 г. (7124, 75-81,82-136).</w:t>
      </w:r>
    </w:p>
    <w:p w14:paraId="56EDA9F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9EF24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AC15D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2A952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в 1943 году оперативная сводка Совинформбюро:</w:t>
      </w:r>
    </w:p>
    <w:p w14:paraId="37AA23C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июля наши войска на Орловском направлении, преодолевая сопротивление противника, продолжали наступление и продвинулисьвперёд от 6 до 15 километров. Противник неоднократными контратаками пехоты и танков пытался задержать продвижение наших наступающих частей.</w:t>
      </w:r>
    </w:p>
    <w:p w14:paraId="152CA03B"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севернее Орла, заняли 40 населённых пунктов, в томчисле районный центр Тельчье, железнодорожные станции Думчино, Отрада, Оптуха (15 километров северо-восточнее города Орла) и крупные населённые пункты Лунево, Плащанское, Шумово, Лутовиново, Шашкино, Большое Дешкино, Вороново, Карандаково.</w:t>
      </w:r>
    </w:p>
    <w:p w14:paraId="6C0BBDB7"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заняли свыше 50 населённых пунктов, в том числе районный центр и железнодорожную станцию Моховое, железнодорожную станцию Золотарёво (18 километров восточнее города Орла) и крупные населённые пункты Спасское, Карпово, Аржанов, Воскресенка, Красновидово.</w:t>
      </w:r>
    </w:p>
    <w:p w14:paraId="1979FDDC"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встречая сильное огневое сопротивление и контратаки противника, продвигались вперёд.</w:t>
      </w:r>
    </w:p>
    <w:p w14:paraId="780C9572"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преодолевая контратаки противника, продолжали продвигаться вперёд.</w:t>
      </w:r>
    </w:p>
    <w:p w14:paraId="15CE1CEB"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продолжались бои местного значения, в результате которых наши войска снова улучшили свои позиции.</w:t>
      </w:r>
    </w:p>
    <w:p w14:paraId="1F38296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июля наши войска на Орловском направлении подбили и уничтожили 77 немецких танков. В воздушных боях и огнём зенитной артиллерии сбит 131 самолёт противника.</w:t>
      </w:r>
    </w:p>
    <w:p w14:paraId="489A346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развивать наступление.</w:t>
      </w:r>
    </w:p>
    <w:p w14:paraId="5EDA4723"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наши войска, отражая многочисленные контратаки противника, заняли 40 населённых пунктов. Немцы спешно подвозят пехоту и танки и с хода бросают их в контратаки. Происходят непрерывные ожесточённые бои, в ходе которых противник несёт огромные потери.</w:t>
      </w:r>
    </w:p>
    <w:p w14:paraId="76E7E81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Части Н-ского соединения в течение для уничтожили до 1.500 немецких солдат и офицеров, подбили и сожгли до 60 вражеских танков. На других участках фронта противник также несёт тяжёлые потери в живой силе и технике.</w:t>
      </w:r>
    </w:p>
    <w:p w14:paraId="39C0E85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сломив сопротивление немцев, успешно продвигались вперёд и заняли свыше 50 населённых пунктов. Захвачены пленные и трофеи. Наши бойцы вчера в бою за один населённый пункт истребили свыше 1.000 гитлеровцев, разгромили немецкий артиллерийский полк и захватили 30 танков, из них 20 исправных, 15 орудий и 13 миномётов. Бойцы Н-ской танковой части подбили 6 немецких танков типа «Тигр».</w:t>
      </w:r>
    </w:p>
    <w:p w14:paraId="389F48C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отбивали ожесточённые контратаки противника. Части Н-ского соединения в результате упорных боёв овладели выгодным рубежом. Уничтожено свыше 800 немецких солдат и офицеров, 12 орудий и сожжено 3 танка противника. Нашими подразделениями захвачено у немцев 28 вкопанных в землю танков и другие трофеи. На другом участке гитлеровцы оказывали особенно упорное сопротивление. Советские бойцы прорыли ход к траншеям противника, забросали их гранатами и атаковали немцев. Здесь наши части уничтожили 400 немецких солдат и офицеров и заняли укреплённый узел вражеской обороны.</w:t>
      </w:r>
    </w:p>
    <w:p w14:paraId="51B7999D"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преодолевая контратаки противника, продолжали продвигаться вперёд. Н-ское соединение, сломив сопротивление немцев, заняло несколько населённых пунктов. На поле боя осталось свыше 800 вражеских трупов и 11 подбитых немецких танков. На другом участке бойцы Н-ской части окружили и разгромили батальон мотопехоты противника. В этом бою танковые экипажи лейтенантов Газанцева, Науменко и Тищенко уничтожили 12 немецких танков, 4 орудия и 6 миномётов.</w:t>
      </w:r>
    </w:p>
    <w:p w14:paraId="0B8CF308"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лётчиков - штурмовиков под командованием т. Витрука нанесла сильный удар по скоплению войск противника. Наши лётчики уничтожили до 200 немецких автомашин с войсками и грузами.</w:t>
      </w:r>
    </w:p>
    <w:p w14:paraId="395428F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продолжались бои местного значения. Наши части штурмом выбили немцев из нескольких населённых пунктов и значительно улучшили свои позиции. Противник, опираясь на широко развитую сеть полевых и долговременных укреплений, оказывает упорное сопротивление. Одна высота, имеющая важное значение, в течение дня три раза переходила из рук в руки. К исходу дня наши бойцы решительной атакой выбили немцев с этой высоты и закрепились на ней. Противник понёс тяжёлые потери. Все окопы и траншеи на захваченной высоте завалены трупами вражеских солдат. Бойцы Н-ской части отбили ожесточённую контратаку немецкой пехоты. В результате боя разгромлены два батальона гитлеровцев. На другом участке рота гвардии младшего лейтенанта Петрова зашла в тыл противнику, уничтожила свыше 200 гитлеровцев и захватила немецкие позиции.</w:t>
      </w:r>
    </w:p>
    <w:p w14:paraId="6CB441E7"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Ворошиловграда наши войска вклинились в оборону противника и снова улучшили свои позиции. Занято несколько населённых пунктов и укреплённых высот. Части Н-ского соединения истребили до 1.000 немецких солдат и офицеров, подбили и уничтожили 26 вражеских танков. Захвачено 15 орудий и 57 пулемётов. Группа автоматчиков под командованием младшего лейтенанта Рубанова ворвалась в штаб немецкого батальона и взяла в плен капитана—командира батальона, четырёх офицеров и 50 солдат. Пленные сообщили, что все остальные офицеры и солдаты батальона уничтожены огнём советской артиллерии.</w:t>
      </w:r>
    </w:p>
    <w:p w14:paraId="5A512145"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Северо-Западного фронта наши разведывательные отряды внезапно атаковали противника и овладели одним населённым пунктом. В течение дня немцы несколько раз бросались в контратаки, пытаясь вернуть населённый пункт. Все контратаки гитлеровцев отбиты. Пулемётным и ружейным огнём наши разведчики уничтожили не менее роты немцев.</w:t>
      </w:r>
    </w:p>
    <w:p w14:paraId="757632B3"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Тарнопольской области, 9 июля напали на вражеский гарнизон, расположенный в районном центре. Советские патриоты разгромили узел связи, немецкую комендатуру и истребили 80 гитлеровцев. Уничтожены 16 автомашин и склад с горючим. Партизаны отряда имени 25-летия Советской Украины разгромили немцев, охранявших железнодорожную станцию и склады с зерном, заготовленным для отправки в Германию. Убито несколько десятков гитлеровцев. В связи с тем, что к станции были высланы крупные силы противника, партизаны подожгли склады.</w:t>
      </w:r>
    </w:p>
    <w:p w14:paraId="5283E6AD"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сведения о том, что в Брянской городской тюрьме содержится большое количество немецких солдат, отказавшихся воевать. Заключённые закованы в кандалы.» (14959).</w:t>
      </w:r>
    </w:p>
    <w:p w14:paraId="2935592F"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7EAB2DD9"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Вечером 21 июля 1943 авиаразведка донесла, что на аэродроме Кутейниково якобы село около сотни вражеских самолетов. 806-й шап получил приказ на рассвете следующего дня нанести удар по аэродрому всеми боеспособными машинами.</w:t>
      </w:r>
    </w:p>
    <w:p w14:paraId="080ACC81"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Согласно первоначальному плану, штурмовики должны были сопровождать двадцать истребителей. Василий Пальмов затем в своих мемуарах писал:</w:t>
      </w:r>
    </w:p>
    <w:p w14:paraId="21542F48"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«Это сообщение обрадовало, летчики одобрительно зашумели:</w:t>
      </w:r>
    </w:p>
    <w:p w14:paraId="35A69C66"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 С таким прикрытием летать можно!</w:t>
      </w:r>
    </w:p>
    <w:p w14:paraId="53CAB438"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 Такой армадой еще не ходили!</w:t>
      </w:r>
    </w:p>
    <w:p w14:paraId="2270A6E8"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На аэродроме серел рассвет. Технический состав уже расчехлил машины, подсоединил баллоны со сжатым воздухом для запуска мотора. Воздушные стрелки приготовили парашюты и стояли на плоскостях, ожидая командиров. С КП взметнулась зеленая ракета. И сразу же зарокотало два десятка моторов…</w:t>
      </w:r>
    </w:p>
    <w:p w14:paraId="56BFCE99"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lastRenderedPageBreak/>
        <w:t>Первый самолет уже выруливает на старт…</w:t>
      </w:r>
    </w:p>
    <w:p w14:paraId="1765A5E4"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Уже в воздухе, заняв место в строю, уточняю показания приборов. Мотор работает хорошо, и это успокаивает. Когда легли на курс, обратил внимание — в эфире тишина. Все молчат или я никого не слышу? Оказалось, на самолете неисправна радиостанция».</w:t>
      </w:r>
    </w:p>
    <w:p w14:paraId="3199DB4B"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Но это была не самая большая неприятность. Главная же заключалась в том, что для прикрытия вылетели не двадцать, а всего шесть Як-1. При этом один из них почему-то вскоре вернулся на свой аэродром. Остальные же пять над линией фронта были перехвачены «Мессершмиттами», и в итоге штурмовики остались вообще без защиты.</w:t>
      </w:r>
    </w:p>
    <w:p w14:paraId="767EA050"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Пройдя через полосу дождя, пилоты Илов увидели впереди белый посадочный знак немецкого аэродрома. Первым в пологое пикирование перешел Ил-2 командира полка майора Г. М. Смыкова. Вслед за ведущим устремились на цель и все остальные. В этот момент зенитные батареи открыли плотный заградительный огонь.</w:t>
      </w:r>
    </w:p>
    <w:p w14:paraId="72D9159F"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Пальмов продолжал вспоминать:</w:t>
      </w:r>
    </w:p>
    <w:p w14:paraId="0D1F58A5" w14:textId="77777777" w:rsidR="00506386" w:rsidRPr="00271E51" w:rsidRDefault="00506386"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«Прямо на меня летит красный шар «эрликона». Невольно пригибаюсь в кабине. Пронесло. Когда выхожу из пикирования, успеваю заметить чуть выше, в стороне от аэродрома, истребители. Может, наши подоспели и блокируют аэродром?»</w:t>
      </w:r>
    </w:p>
    <w:p w14:paraId="06986A5E" w14:textId="77777777" w:rsidR="00506386" w:rsidRPr="00271E51" w:rsidRDefault="00506386" w:rsidP="00271E51">
      <w:pPr>
        <w:pStyle w:val="ae"/>
        <w:spacing w:before="0" w:after="0"/>
        <w:jc w:val="both"/>
        <w:textAlignment w:val="baseline"/>
        <w:rPr>
          <w:color w:val="000000" w:themeColor="text1"/>
          <w:sz w:val="16"/>
          <w:szCs w:val="16"/>
        </w:rPr>
      </w:pPr>
      <w:r w:rsidRPr="00271E51">
        <w:rPr>
          <w:color w:val="000000" w:themeColor="text1"/>
          <w:sz w:val="16"/>
          <w:szCs w:val="16"/>
        </w:rPr>
        <w:t>Но Пальмов ошибся. Это были не Яки, a Bf-109G из I./JG52. В итоге немецкие зенитки и истребители сбили пять Илов, а все остальные, за исключением машины командира полка, получили значительные повреждения. После возвращения оставшихся штурмовиков на свой аэродром стало ясно, что полк временно утратил боеспособность. В тот день он больше боевых вылетов не выполнял. Хотя пилоты 806-го шап заявили о том, что на земле ими были уничтожены пятьдесят самолетов разных типов, налет в действительности закончился безрезультатно (19522).</w:t>
      </w:r>
    </w:p>
    <w:p w14:paraId="20354302" w14:textId="77777777" w:rsidR="00506386" w:rsidRPr="00271E51" w:rsidRDefault="00506386" w:rsidP="00271E51">
      <w:pPr>
        <w:pStyle w:val="ae"/>
        <w:spacing w:before="0" w:after="0"/>
        <w:jc w:val="both"/>
        <w:textAlignment w:val="baseline"/>
        <w:rPr>
          <w:color w:val="000000" w:themeColor="text1"/>
          <w:sz w:val="16"/>
          <w:szCs w:val="16"/>
        </w:rPr>
      </w:pPr>
    </w:p>
    <w:p w14:paraId="365879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г. 201-я иад полковника В.А. Скрывкина открыла боевой счет на Ла-5ФН. В тот день шестерка Ла-5ФН капитана В.Ф. Мистюка, сопровождая штурмовики Ил-2, сбила три Bf 109 и один Ju 88 (12032).</w:t>
      </w:r>
    </w:p>
    <w:p w14:paraId="7B407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51365"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Вечером 21 июля 1943 авиаразведка донесла, что на аэродроме Кутейниково якобы село около сотни вражеских самолетов. 806</w:t>
      </w:r>
      <w:r w:rsidRPr="00271E51">
        <w:rPr>
          <w:rFonts w:ascii="Times New Roman" w:hAnsi="Times New Roman"/>
          <w:color w:val="0070C0"/>
          <w:sz w:val="16"/>
          <w:szCs w:val="16"/>
        </w:rPr>
        <w:noBreakHyphen/>
        <w:t>й шап получил приказ на рассвете следующего дня нанести удар по аэродрому всеми боеспособными машинами (23199).</w:t>
      </w:r>
    </w:p>
    <w:p w14:paraId="2465E3AF" w14:textId="77777777" w:rsidR="00524306" w:rsidRPr="00271E51" w:rsidRDefault="00524306" w:rsidP="00271E51">
      <w:pPr>
        <w:spacing w:after="0" w:line="240" w:lineRule="auto"/>
        <w:jc w:val="both"/>
        <w:rPr>
          <w:rFonts w:ascii="Times New Roman" w:hAnsi="Times New Roman"/>
          <w:color w:val="0070C0"/>
          <w:sz w:val="16"/>
          <w:szCs w:val="16"/>
        </w:rPr>
      </w:pPr>
    </w:p>
    <w:p w14:paraId="73E4A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 21:33 из бухты Геленджик вышли три ТКА - сам брандер (Г-5 № 61) и сопровождавшие его катера №12 и №81. В 00:15 следующих суток в воздух поднялся гидросамолет МБР-2 с установленной аппаратурой дистанционного управления, а спустя несколько минут взлетели еще шесть “эмбээров” из состава 119-го авиаполка. В их задачу, кроме бомбардировки Анапы, входило отвлечение внимания врага. В час ночи самолет управления прибыл в условленную точку встречи с катерами и спустя восемь минут повел ТКА №61 к Анапе. За эти минуты на катере завели часовой механизм самоликвидатора и установили время взрыва через 1 час 15 минут. Это было сделано на случай потери управления, чтобы избежать попадания секретного оружия в руки немцев. Затем 81-й снял со “снаряда” экипаж, после чего совместно с 12-м лег на циркуляцию вправо, показав пилотам, что они могут принимать управление. Вел катер ВУ оператор капитан-лейтенант Саблин. Под его управлением 61-й переменным ходом от 28 до 37 узлов приближался к объекту атаки. В 01:49 неприятельская артиллерия открыла по брандеру огонь, и тогда на нем с самолета включили бортовые огни и прожектор, с помощью которого начали сигналить нечто неопределенное. Обстрел катера прекратился и развив полный ход он ринулся к цели. Казалось, все шло хорошо, но в 01:53, всего в 300-400 метрах от головы анапского мола ТКА №61 столкнулся с каким-то препятствием и взорвался без команды на это от оператора с гидросамолета. Набег закончился неудачей (6002).</w:t>
      </w:r>
    </w:p>
    <w:p w14:paraId="2703A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AAAED" w14:textId="77777777" w:rsidR="00CA6A5B" w:rsidRPr="00271E51" w:rsidRDefault="00CA6A5B"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21 июля 1943 в 21 час. 33 мин из Геленджика вышли катер ВУ, который было решено использовать в качестве брандера для удара по порту Анапа, и торпедные катера № 12 и № 81. В полночь в воздух поднялся самолет управления МБР-2, а, кроме того, 6 МБР-2 из состава 119-го авиаотряда. Они должны были бомбить Анапу, а также отвлекать внимание немцев.</w:t>
      </w:r>
    </w:p>
    <w:p w14:paraId="068C2CFA"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shd w:val="clear" w:color="auto" w:fill="FFFFFF"/>
        </w:rPr>
        <w:t>В 1 час ночи самолет управления прибыл в условленную точку встречи с катерами. На случай потери управления, чтобы секретное оружие не попало в руки немцам, на катере был заведен часовой механизм самоликвидатора и установлено время взрыва — через 1 час. 15 мин. Затем ТКА-81 снял с ВУ-61 команду и вместе с ТКА-12 лег на циркуляцию вправо, тем самым дав знак летчикам, что они могут принимать управление, и МБР-2 повел ВУ-61 к Анапе. Вел катер оператор капитан-лейтенант Саблин. ВУ-61 переменным ходом от 28 до 37 узлов шел к Анапе. В 1 час 49 мин германская артиллерия открыла огонь по катеру. Тогда на нем с самолета включили бортовые огни и прожектор, с помощью которого начали сигналить что-то неопределенное. Немцы прекратили обстрел катера, и он на полном ходу рванулся к цели. Но в 1 час 53 мин всего в 300–400 м от головы анапского мола ВУ-61 с чем-то столкнулся и взорвался без команды с самолета (22290).</w:t>
      </w:r>
    </w:p>
    <w:p w14:paraId="4AA6356E" w14:textId="77777777" w:rsidR="00CA6A5B" w:rsidRPr="00271E51" w:rsidRDefault="00CA6A5B" w:rsidP="00271E51">
      <w:pPr>
        <w:spacing w:after="0" w:line="240" w:lineRule="auto"/>
        <w:jc w:val="both"/>
        <w:rPr>
          <w:rFonts w:ascii="Times New Roman" w:hAnsi="Times New Roman"/>
          <w:color w:val="0070C0"/>
          <w:sz w:val="16"/>
          <w:szCs w:val="16"/>
        </w:rPr>
      </w:pPr>
    </w:p>
    <w:p w14:paraId="530F49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1943 в 21 час. 33 мин из Гелен</w:t>
      </w:r>
      <w:r w:rsidRPr="00271E51">
        <w:rPr>
          <w:rFonts w:ascii="Times New Roman" w:hAnsi="Times New Roman"/>
          <w:color w:val="000000" w:themeColor="text1"/>
          <w:sz w:val="16"/>
          <w:szCs w:val="16"/>
        </w:rPr>
        <w:softHyphen/>
        <w:t>джика вышли катер ВУ-61 и торпедные катера № 12 и № 81. В полночь в воздух поднялся самолет управления МБР-2, а, кроме того, 6 МБР-2 из состава 119-го авиаотряда. Они дол</w:t>
      </w:r>
      <w:r w:rsidRPr="00271E51">
        <w:rPr>
          <w:rFonts w:ascii="Times New Roman" w:hAnsi="Times New Roman"/>
          <w:color w:val="000000" w:themeColor="text1"/>
          <w:sz w:val="16"/>
          <w:szCs w:val="16"/>
        </w:rPr>
        <w:softHyphen/>
        <w:t>жны были бомбить Анапу, а также отвлекать внимание немцев. В 1 час ночи самолет управления прибыл в условленную точку встречи с катерами. На случай потери управления, чтобы секретное оружие не попало в руки немцам, на катере был заведен часовой механизм самоликвидатора и установлено время взрыва — через 1 час. 15 мин. Затем ТКА-81 снял с ВУ-61 команду и вместе с ТКА-12 лег на циркуляцию впра</w:t>
      </w:r>
      <w:r w:rsidRPr="00271E51">
        <w:rPr>
          <w:rFonts w:ascii="Times New Roman" w:hAnsi="Times New Roman"/>
          <w:color w:val="000000" w:themeColor="text1"/>
          <w:sz w:val="16"/>
          <w:szCs w:val="16"/>
        </w:rPr>
        <w:softHyphen/>
        <w:t>во, тем самым дав знак летчикам, что они могут принимать управление, и МБР-2 повел ВУ-61 к Анапе. Вел катер опера</w:t>
      </w:r>
      <w:r w:rsidRPr="00271E51">
        <w:rPr>
          <w:rFonts w:ascii="Times New Roman" w:hAnsi="Times New Roman"/>
          <w:color w:val="000000" w:themeColor="text1"/>
          <w:sz w:val="16"/>
          <w:szCs w:val="16"/>
        </w:rPr>
        <w:softHyphen/>
        <w:t>тор капитан-лейтенант Саблин. ВУ-61 переменным ходом от 28 до 37 узлов шел к Анапе. В 1 час 49 мин германская артил</w:t>
      </w:r>
      <w:r w:rsidRPr="00271E51">
        <w:rPr>
          <w:rFonts w:ascii="Times New Roman" w:hAnsi="Times New Roman"/>
          <w:color w:val="000000" w:themeColor="text1"/>
          <w:sz w:val="16"/>
          <w:szCs w:val="16"/>
        </w:rPr>
        <w:softHyphen/>
        <w:t>лерия открыла огонь по катеру. Тогда на нем с самолета вклю</w:t>
      </w:r>
      <w:r w:rsidRPr="00271E51">
        <w:rPr>
          <w:rFonts w:ascii="Times New Roman" w:hAnsi="Times New Roman"/>
          <w:color w:val="000000" w:themeColor="text1"/>
          <w:sz w:val="16"/>
          <w:szCs w:val="16"/>
        </w:rPr>
        <w:softHyphen/>
        <w:t>чили бортовые огни и прожектор, с помощью которого нача</w:t>
      </w:r>
      <w:r w:rsidRPr="00271E51">
        <w:rPr>
          <w:rFonts w:ascii="Times New Roman" w:hAnsi="Times New Roman"/>
          <w:color w:val="000000" w:themeColor="text1"/>
          <w:sz w:val="16"/>
          <w:szCs w:val="16"/>
        </w:rPr>
        <w:softHyphen/>
        <w:t>ли сигналить что-то неопределенное. Немцы прекратили об</w:t>
      </w:r>
      <w:r w:rsidRPr="00271E51">
        <w:rPr>
          <w:rFonts w:ascii="Times New Roman" w:hAnsi="Times New Roman"/>
          <w:color w:val="000000" w:themeColor="text1"/>
          <w:sz w:val="16"/>
          <w:szCs w:val="16"/>
        </w:rPr>
        <w:softHyphen/>
        <w:t>стрел катера, и он на полном ходу рванулся к цели. Но в 1 час 53 мин всего в 300-400 м от головы анапского мола ВУ-61 с чем-то столкнулся и взорвался без команды с самолета (10675).</w:t>
      </w:r>
    </w:p>
    <w:p w14:paraId="0C9062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2DCD78" w14:textId="77777777" w:rsidR="00CA7A1C"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6A3040DE" w14:textId="77777777" w:rsidR="00CA7A1C" w:rsidRPr="00271E51" w:rsidRDefault="00CA7A1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358167"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в 1943 году создано добровольное спортивное общество «Трудовые резервы» (с 1990 г. — ФСО «Юность России»), объединяющее учащихся общеобразовательных школ, лицеев, колледжей и учебных заведений профессионально-технического образования, а также работников этой системы (14959).</w:t>
      </w:r>
    </w:p>
    <w:p w14:paraId="17B236D2"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2AEDC712" w14:textId="77777777" w:rsidR="00CA7A1C"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EFABA87" w14:textId="77777777" w:rsidR="00CA7A1C" w:rsidRPr="00271E51" w:rsidRDefault="00CA7A1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D2C7B3"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21 июля в 1943 году первый полет </w:t>
      </w:r>
      <w:hyperlink r:id="rId34" w:tgtFrame="_blank" w:history="1">
        <w:r w:rsidRPr="00271E51">
          <w:rPr>
            <w:rFonts w:ascii="Times New Roman" w:hAnsi="Times New Roman"/>
            <w:color w:val="000000" w:themeColor="text1"/>
            <w:sz w:val="16"/>
            <w:szCs w:val="16"/>
          </w:rPr>
          <w:t xml:space="preserve">«ХР-62», </w:t>
        </w:r>
      </w:hyperlink>
      <w:r w:rsidRPr="00271E51">
        <w:rPr>
          <w:rFonts w:ascii="Times New Roman" w:hAnsi="Times New Roman"/>
          <w:color w:val="000000" w:themeColor="text1"/>
          <w:sz w:val="16"/>
          <w:szCs w:val="16"/>
        </w:rPr>
        <w:t>когда серийно уже выпускались многоцелевые истребители «P-47D» и тяжелые истребители «P-38». На испытаниях «ХР-62» (41-35817) показал чуть большую скорость, но по остальным параметрам он был практически равноценен им. Полеты на нем продолжались до середины 1944 года, когда ВВС распорядились прекратить все работы по этому перехватчику. В итоге «ХР-62» остался в единственном экземпляре, который был в скором времени разобран на металл (14959).</w:t>
      </w:r>
    </w:p>
    <w:p w14:paraId="78440533"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723EC1CA"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21 июля 1943 первый полет </w:t>
      </w:r>
      <w:r w:rsidRPr="00271E51">
        <w:rPr>
          <w:rFonts w:ascii="Times New Roman" w:hAnsi="Times New Roman"/>
          <w:color w:val="0070C0"/>
          <w:sz w:val="16"/>
          <w:szCs w:val="16"/>
          <w:lang w:val="en-US"/>
        </w:rPr>
        <w:t>Curtiss</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XP</w:t>
      </w:r>
      <w:r w:rsidRPr="00271E51">
        <w:rPr>
          <w:rFonts w:ascii="Times New Roman" w:hAnsi="Times New Roman"/>
          <w:color w:val="0070C0"/>
          <w:sz w:val="16"/>
          <w:szCs w:val="16"/>
        </w:rPr>
        <w:t>-62 (20376).</w:t>
      </w:r>
    </w:p>
    <w:p w14:paraId="6C9D5B9D" w14:textId="77777777" w:rsidR="00CA6A5B" w:rsidRPr="00271E51" w:rsidRDefault="00CA6A5B" w:rsidP="00271E51">
      <w:pPr>
        <w:spacing w:after="0" w:line="240" w:lineRule="auto"/>
        <w:jc w:val="both"/>
        <w:rPr>
          <w:rFonts w:ascii="Times New Roman" w:hAnsi="Times New Roman"/>
          <w:color w:val="0070C0"/>
          <w:sz w:val="16"/>
          <w:szCs w:val="16"/>
        </w:rPr>
      </w:pPr>
    </w:p>
    <w:p w14:paraId="64887A60"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в 1943 году англо-американские войска остановили наступление на Сицилии (14959).</w:t>
      </w:r>
    </w:p>
    <w:p w14:paraId="62CB90A9"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28D24EAF"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июля 1943 служащий в ВМС США во время Второй мировой войны американский спортсмен и двукратный олимпийский чемпион Чарли Пэддок погиб в авиакатастрофе самолета ВМС США недалеко от Ситки на территории Аляски. Все пятеро других мужчин в самолете также погибли (20376).</w:t>
      </w:r>
    </w:p>
    <w:p w14:paraId="27214C0B" w14:textId="77777777" w:rsidR="00CA6A5B" w:rsidRPr="00271E51" w:rsidRDefault="00CA6A5B" w:rsidP="00271E51">
      <w:pPr>
        <w:spacing w:after="0" w:line="240" w:lineRule="auto"/>
        <w:jc w:val="both"/>
        <w:rPr>
          <w:rFonts w:ascii="Times New Roman" w:hAnsi="Times New Roman"/>
          <w:color w:val="0070C0"/>
          <w:sz w:val="16"/>
          <w:szCs w:val="16"/>
        </w:rPr>
      </w:pPr>
    </w:p>
    <w:p w14:paraId="367990C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0B47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3B2272" w14:textId="77777777" w:rsidR="00506386" w:rsidRPr="00271E51" w:rsidRDefault="00506386"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22 июля 1943 г. специальным распоряжением УТЭ ВВС нормальная бомбовая нагрузка двухместных самолетов самолетов Ил-2 с АМ-38Ф ограничивалась 300 кг (вме</w:t>
      </w:r>
      <w:r w:rsidRPr="00271E51">
        <w:rPr>
          <w:rFonts w:ascii="Times New Roman" w:hAnsi="Times New Roman" w:cs="Times New Roman"/>
          <w:color w:val="000000" w:themeColor="text1"/>
          <w:sz w:val="16"/>
          <w:szCs w:val="16"/>
        </w:rPr>
        <w:softHyphen/>
        <w:t>сто 400 кг). В перегрузку, как и прежде, допускалось загружать 600 кг бомб, но только для опытных летчиков с большим налетом на самолете Ил-2 и без воздуш</w:t>
      </w:r>
      <w:r w:rsidRPr="00271E51">
        <w:rPr>
          <w:rFonts w:ascii="Times New Roman" w:hAnsi="Times New Roman" w:cs="Times New Roman"/>
          <w:color w:val="000000" w:themeColor="text1"/>
          <w:sz w:val="16"/>
          <w:szCs w:val="16"/>
        </w:rPr>
        <w:softHyphen/>
        <w:t>ного стрелка (19558).</w:t>
      </w:r>
    </w:p>
    <w:p w14:paraId="35A552D8" w14:textId="77777777" w:rsidR="00506386" w:rsidRPr="00271E51" w:rsidRDefault="00506386" w:rsidP="00271E51">
      <w:pPr>
        <w:pStyle w:val="184"/>
        <w:shd w:val="clear" w:color="auto" w:fill="auto"/>
        <w:spacing w:before="0" w:after="0" w:line="240" w:lineRule="auto"/>
        <w:rPr>
          <w:rFonts w:ascii="Times New Roman" w:hAnsi="Times New Roman" w:cs="Times New Roman"/>
          <w:color w:val="000000" w:themeColor="text1"/>
          <w:sz w:val="16"/>
          <w:szCs w:val="16"/>
        </w:rPr>
      </w:pPr>
    </w:p>
    <w:p w14:paraId="226803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1943-го начальник ЛИИ А.В. Чесалов направил наркому Шахурину справку, где, в частности, отмечал, что "основным отличием Ла-5, обеспечившим лучшие летные данные по сравнению с Гу-82. является удачная и оригинальная форма и компоновка мотора, который весьма отличается от капота самолета Гу-82, сделанного по типу самолета Су-2" (7682,3).</w:t>
      </w:r>
    </w:p>
    <w:p w14:paraId="0B63FF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D8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22 июля 1943 завершились госиспытания Як-1М, которые шли с 7 июня 1943. Ведущими по машине были летчик-испытатель А.Г. Прошаков и инженер А.Т. Степанец. Была получена скорость у земли 545 км/ч, а на высоте 4450 м - 632 км/ч, дальность на наивыгоднейшем режиме - 845 км, время выполнения виража на высоте 1000 метров - 15 - 17 секунд. Для сравнения: с серийным Як-1 №2985 саратовского авиазавода пустой опытный Як-1М полегчал на 282 кг. Вес горючего сократили на 35 кг, а взлетный уменьшился на 245 кг. При этом при одинаковой мощности двигателя максимальная скорость у земли возросла на 37 км/ч, а на высоте - на 62 км/ч.</w:t>
      </w:r>
    </w:p>
    <w:p w14:paraId="1DC9F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скоростей нагнетателя закрепили в положении "Первая скорость". Испытания, завершившиеся в августе того же года, подтвердили возможность форсирования двигателя и установки его на самолеты (12047).</w:t>
      </w:r>
    </w:p>
    <w:p w14:paraId="677BF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1135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июля в 1943 году завершились. дополнительные испытания </w:t>
      </w:r>
      <w:hyperlink r:id="rId35" w:tgtFrame="_blank" w:history="1">
        <w:r w:rsidRPr="00271E51">
          <w:rPr>
            <w:rFonts w:ascii="Times New Roman" w:hAnsi="Times New Roman"/>
            <w:color w:val="000000" w:themeColor="text1"/>
            <w:sz w:val="16"/>
            <w:szCs w:val="16"/>
          </w:rPr>
          <w:t xml:space="preserve">«Як-1М» </w:t>
        </w:r>
      </w:hyperlink>
      <w:r w:rsidRPr="00271E51">
        <w:rPr>
          <w:rFonts w:ascii="Times New Roman" w:hAnsi="Times New Roman"/>
          <w:color w:val="000000" w:themeColor="text1"/>
          <w:sz w:val="16"/>
          <w:szCs w:val="16"/>
        </w:rPr>
        <w:t>в НИИ ВВС с целью проверки возможности увеличения мощности мотора «М-105ПФ» с существующими устройствами охлаждения и снятия летных характеристик. К сожалению конструкторов, установленные на «Як-1М» водо- и маслорадиаторы оказались недостаточно эффективны. Для поиска дополнительных мер по улучшению работы устройств охлаждения самолет был отправлен в ЦАГИ, где в августе 1943 г. продувался в аэродинамической трубе (14960).</w:t>
      </w:r>
    </w:p>
    <w:p w14:paraId="5370B4E5"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25D894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июля по 21 августа 1943 на Центральном фронте прошли войсковые испытания Як-9Т с НС-37 и машины участвовали с Курской битве (263,61).</w:t>
      </w:r>
    </w:p>
    <w:p w14:paraId="00C2EE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B8A48" w14:textId="77777777" w:rsidR="00EE60C5" w:rsidRPr="00271E51" w:rsidRDefault="00EE60C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1943-го начальник ЛИИ А.В. Чесалов направил наркому Шахурину справку, где, в частности, отмечал, что "основным отличием Ла-5, обеспечившим лучшие летные данные по сравнению с Гу-82, является удачная и оригинальная форма и компоновка мотора, который весьма отличается от капота самолета Гу-82, сделанного по типу самолета Су-2" (15558).</w:t>
      </w:r>
    </w:p>
    <w:p w14:paraId="7434D55B" w14:textId="77777777" w:rsidR="00EE60C5" w:rsidRPr="00271E51" w:rsidRDefault="00EE60C5" w:rsidP="00271E51">
      <w:pPr>
        <w:spacing w:after="0" w:line="240" w:lineRule="auto"/>
        <w:jc w:val="both"/>
        <w:rPr>
          <w:rFonts w:ascii="Times New Roman" w:hAnsi="Times New Roman"/>
          <w:color w:val="000000" w:themeColor="text1"/>
          <w:sz w:val="16"/>
          <w:szCs w:val="16"/>
        </w:rPr>
      </w:pPr>
    </w:p>
    <w:p w14:paraId="29E9EA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года Чесалов А.В. писал письмо N 447с Шахурину.</w:t>
      </w:r>
    </w:p>
    <w:p w14:paraId="0DCCDC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сопровождение Справки по летным данным и конструктивным особенностям самолетов ГУ-82 конструкции Гудкова и Ла-5 конструкции Лавочкина:</w:t>
      </w:r>
    </w:p>
    <w:p w14:paraId="0742D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Летные данные и веса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A907A5" w:rsidRPr="00271E51" w14:paraId="2CD26D45" w14:textId="77777777" w:rsidTr="00ED5B0A">
        <w:tc>
          <w:tcPr>
            <w:tcW w:w="2254" w:type="dxa"/>
          </w:tcPr>
          <w:p w14:paraId="29DBF2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5F4D1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ГУ-82</w:t>
            </w:r>
          </w:p>
        </w:tc>
        <w:tc>
          <w:tcPr>
            <w:tcW w:w="2254" w:type="dxa"/>
          </w:tcPr>
          <w:p w14:paraId="4C106A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w:t>
            </w:r>
          </w:p>
        </w:tc>
      </w:tr>
      <w:tr w:rsidR="00A907A5" w:rsidRPr="00271E51" w14:paraId="0079D58F" w14:textId="77777777" w:rsidTr="00ED5B0A">
        <w:tc>
          <w:tcPr>
            <w:tcW w:w="2254" w:type="dxa"/>
          </w:tcPr>
          <w:p w14:paraId="1FB6A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E75E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w:t>
            </w:r>
          </w:p>
        </w:tc>
        <w:tc>
          <w:tcPr>
            <w:tcW w:w="2254" w:type="dxa"/>
          </w:tcPr>
          <w:p w14:paraId="4C6958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w:t>
            </w:r>
          </w:p>
        </w:tc>
      </w:tr>
      <w:tr w:rsidR="00A907A5" w:rsidRPr="00271E51" w14:paraId="7957AFCB" w14:textId="77777777" w:rsidTr="00ED5B0A">
        <w:tc>
          <w:tcPr>
            <w:tcW w:w="2254" w:type="dxa"/>
          </w:tcPr>
          <w:p w14:paraId="5D0283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488FE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ЛИИ</w:t>
            </w:r>
          </w:p>
        </w:tc>
        <w:tc>
          <w:tcPr>
            <w:tcW w:w="2254" w:type="dxa"/>
          </w:tcPr>
          <w:p w14:paraId="56A45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 ВВС и ЛИИ</w:t>
            </w:r>
          </w:p>
        </w:tc>
      </w:tr>
      <w:tr w:rsidR="00A907A5" w:rsidRPr="00271E51" w14:paraId="3272BF9D" w14:textId="77777777" w:rsidTr="00ED5B0A">
        <w:tc>
          <w:tcPr>
            <w:tcW w:w="2254" w:type="dxa"/>
          </w:tcPr>
          <w:p w14:paraId="33FFE9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и место испытаний</w:t>
            </w:r>
          </w:p>
        </w:tc>
        <w:tc>
          <w:tcPr>
            <w:tcW w:w="2254" w:type="dxa"/>
          </w:tcPr>
          <w:p w14:paraId="7BBFA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IX-X-1941 г.</w:t>
            </w:r>
          </w:p>
        </w:tc>
        <w:tc>
          <w:tcPr>
            <w:tcW w:w="2254" w:type="dxa"/>
          </w:tcPr>
          <w:p w14:paraId="02592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III-V-1942 г.</w:t>
            </w:r>
          </w:p>
        </w:tc>
      </w:tr>
      <w:tr w:rsidR="00A907A5" w:rsidRPr="00271E51" w14:paraId="2FBF5D33" w14:textId="77777777" w:rsidTr="00ED5B0A">
        <w:tc>
          <w:tcPr>
            <w:tcW w:w="2254" w:type="dxa"/>
          </w:tcPr>
          <w:p w14:paraId="772DB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в кг</w:t>
            </w:r>
          </w:p>
        </w:tc>
        <w:tc>
          <w:tcPr>
            <w:tcW w:w="2254" w:type="dxa"/>
          </w:tcPr>
          <w:p w14:paraId="30140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3430</w:t>
            </w:r>
          </w:p>
        </w:tc>
        <w:tc>
          <w:tcPr>
            <w:tcW w:w="2254" w:type="dxa"/>
          </w:tcPr>
          <w:p w14:paraId="0AF68E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3380</w:t>
            </w:r>
          </w:p>
        </w:tc>
      </w:tr>
      <w:tr w:rsidR="00A907A5" w:rsidRPr="00271E51" w14:paraId="79E628A7" w14:textId="77777777" w:rsidTr="00ED5B0A">
        <w:tc>
          <w:tcPr>
            <w:tcW w:w="2254" w:type="dxa"/>
          </w:tcPr>
          <w:p w14:paraId="5B672C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203020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15F8E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A0F5A3" w14:textId="77777777" w:rsidTr="00ED5B0A">
        <w:tc>
          <w:tcPr>
            <w:tcW w:w="2254" w:type="dxa"/>
          </w:tcPr>
          <w:p w14:paraId="0DB29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 в км/час</w:t>
            </w:r>
          </w:p>
        </w:tc>
        <w:tc>
          <w:tcPr>
            <w:tcW w:w="2254" w:type="dxa"/>
          </w:tcPr>
          <w:p w14:paraId="16E349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478</w:t>
            </w:r>
          </w:p>
        </w:tc>
        <w:tc>
          <w:tcPr>
            <w:tcW w:w="2254" w:type="dxa"/>
          </w:tcPr>
          <w:p w14:paraId="28995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tc>
      </w:tr>
      <w:tr w:rsidR="00A907A5" w:rsidRPr="00271E51" w14:paraId="256B65A0" w14:textId="77777777" w:rsidTr="00ED5B0A">
        <w:tc>
          <w:tcPr>
            <w:tcW w:w="2254" w:type="dxa"/>
          </w:tcPr>
          <w:p w14:paraId="1FFC31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28F29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E1C7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5E5971" w14:textId="77777777" w:rsidTr="00ED5B0A">
        <w:tc>
          <w:tcPr>
            <w:tcW w:w="2254" w:type="dxa"/>
          </w:tcPr>
          <w:p w14:paraId="24267D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1-й границе высотн.</w:t>
            </w:r>
          </w:p>
        </w:tc>
        <w:tc>
          <w:tcPr>
            <w:tcW w:w="2254" w:type="dxa"/>
          </w:tcPr>
          <w:p w14:paraId="73B99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1AB6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838723" w14:textId="77777777" w:rsidTr="00ED5B0A">
        <w:tc>
          <w:tcPr>
            <w:tcW w:w="2254" w:type="dxa"/>
          </w:tcPr>
          <w:p w14:paraId="769A08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 в км/час</w:t>
            </w:r>
          </w:p>
        </w:tc>
        <w:tc>
          <w:tcPr>
            <w:tcW w:w="2254" w:type="dxa"/>
          </w:tcPr>
          <w:p w14:paraId="0E464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558/3220</w:t>
            </w:r>
          </w:p>
        </w:tc>
        <w:tc>
          <w:tcPr>
            <w:tcW w:w="2254" w:type="dxa"/>
          </w:tcPr>
          <w:p w14:paraId="399F7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576/3200</w:t>
            </w:r>
          </w:p>
        </w:tc>
      </w:tr>
      <w:tr w:rsidR="00A907A5" w:rsidRPr="00271E51" w14:paraId="51C0BD01" w14:textId="77777777" w:rsidTr="00ED5B0A">
        <w:tc>
          <w:tcPr>
            <w:tcW w:w="2254" w:type="dxa"/>
          </w:tcPr>
          <w:p w14:paraId="11E41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7668E4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1241E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74ADBA" w14:textId="77777777" w:rsidTr="00ED5B0A">
        <w:tc>
          <w:tcPr>
            <w:tcW w:w="2254" w:type="dxa"/>
          </w:tcPr>
          <w:p w14:paraId="6A1FB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II границе высотн.</w:t>
            </w:r>
          </w:p>
        </w:tc>
        <w:tc>
          <w:tcPr>
            <w:tcW w:w="2254" w:type="dxa"/>
          </w:tcPr>
          <w:p w14:paraId="5E8DC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F181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C9041D" w14:textId="77777777" w:rsidTr="00ED5B0A">
        <w:tc>
          <w:tcPr>
            <w:tcW w:w="2254" w:type="dxa"/>
          </w:tcPr>
          <w:p w14:paraId="493994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 в км/час</w:t>
            </w:r>
          </w:p>
        </w:tc>
        <w:tc>
          <w:tcPr>
            <w:tcW w:w="2254" w:type="dxa"/>
          </w:tcPr>
          <w:p w14:paraId="40F1D4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573/6520</w:t>
            </w:r>
          </w:p>
        </w:tc>
        <w:tc>
          <w:tcPr>
            <w:tcW w:w="2254" w:type="dxa"/>
          </w:tcPr>
          <w:p w14:paraId="18841F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600/6450</w:t>
            </w:r>
          </w:p>
        </w:tc>
      </w:tr>
      <w:tr w:rsidR="00A907A5" w:rsidRPr="00271E51" w14:paraId="18B07355" w14:textId="77777777" w:rsidTr="00ED5B0A">
        <w:tc>
          <w:tcPr>
            <w:tcW w:w="2254" w:type="dxa"/>
          </w:tcPr>
          <w:p w14:paraId="7DAF9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2254" w:type="dxa"/>
          </w:tcPr>
          <w:p w14:paraId="54555C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9BD2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90B481" w14:textId="77777777" w:rsidTr="00ED5B0A">
        <w:tc>
          <w:tcPr>
            <w:tcW w:w="2254" w:type="dxa"/>
          </w:tcPr>
          <w:p w14:paraId="44453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мин.</w:t>
            </w:r>
          </w:p>
        </w:tc>
        <w:tc>
          <w:tcPr>
            <w:tcW w:w="2254" w:type="dxa"/>
          </w:tcPr>
          <w:p w14:paraId="2D4FBC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tc>
        <w:tc>
          <w:tcPr>
            <w:tcW w:w="2254" w:type="dxa"/>
          </w:tcPr>
          <w:p w14:paraId="66FBA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bl>
    <w:p w14:paraId="4D69AA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w:t>
      </w:r>
    </w:p>
    <w:p w14:paraId="69CB6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Максимальные скорости определялись у обоих самолетов при Рк=950 мм рт. ст.</w:t>
      </w:r>
    </w:p>
    <w:p w14:paraId="3BE4D0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п=2400 об/мин. и положении юбок и заслонок капотов по потоку.</w:t>
      </w:r>
    </w:p>
    <w:p w14:paraId="54329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Конструктивные особенности.</w:t>
      </w:r>
    </w:p>
    <w:p w14:paraId="345A64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нижеследующей сводке приведены основные особенности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686"/>
        <w:gridCol w:w="4394"/>
      </w:tblGrid>
      <w:tr w:rsidR="00A907A5" w:rsidRPr="00271E51" w14:paraId="22A4F2AE" w14:textId="77777777" w:rsidTr="00ED5B0A">
        <w:tc>
          <w:tcPr>
            <w:tcW w:w="2376" w:type="dxa"/>
          </w:tcPr>
          <w:p w14:paraId="0ACD1D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9F24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ГУ-82</w:t>
            </w:r>
          </w:p>
        </w:tc>
        <w:tc>
          <w:tcPr>
            <w:tcW w:w="4394" w:type="dxa"/>
          </w:tcPr>
          <w:p w14:paraId="5F964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Ла-5</w:t>
            </w:r>
          </w:p>
        </w:tc>
      </w:tr>
      <w:tr w:rsidR="00A907A5" w:rsidRPr="00271E51" w14:paraId="79931C79" w14:textId="77777777" w:rsidTr="00ED5B0A">
        <w:tc>
          <w:tcPr>
            <w:tcW w:w="2376" w:type="dxa"/>
          </w:tcPr>
          <w:p w14:paraId="2CFEC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Капот мотора</w:t>
            </w:r>
          </w:p>
        </w:tc>
        <w:tc>
          <w:tcPr>
            <w:tcW w:w="3686" w:type="dxa"/>
          </w:tcPr>
          <w:p w14:paraId="45341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передние</w:t>
            </w:r>
          </w:p>
        </w:tc>
        <w:tc>
          <w:tcPr>
            <w:tcW w:w="4394" w:type="dxa"/>
          </w:tcPr>
          <w:p w14:paraId="7AE68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Передние жалюзи отсутствовали.</w:t>
            </w:r>
          </w:p>
        </w:tc>
      </w:tr>
      <w:tr w:rsidR="00A907A5" w:rsidRPr="00271E51" w14:paraId="747B61A2" w14:textId="77777777" w:rsidTr="00ED5B0A">
        <w:tc>
          <w:tcPr>
            <w:tcW w:w="2376" w:type="dxa"/>
          </w:tcPr>
          <w:p w14:paraId="1BB847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792D8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Жалюзи (складывающиеся).</w:t>
            </w:r>
          </w:p>
        </w:tc>
        <w:tc>
          <w:tcPr>
            <w:tcW w:w="4394" w:type="dxa"/>
          </w:tcPr>
          <w:p w14:paraId="278A01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стали устанавливаться</w:t>
            </w:r>
          </w:p>
        </w:tc>
      </w:tr>
      <w:tr w:rsidR="00A907A5" w:rsidRPr="00271E51" w14:paraId="271FD926" w14:textId="77777777" w:rsidTr="00ED5B0A">
        <w:tc>
          <w:tcPr>
            <w:tcW w:w="2376" w:type="dxa"/>
          </w:tcPr>
          <w:p w14:paraId="3C5D8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B213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4922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жалюзи по типу ирисовой диафрагмы.</w:t>
            </w:r>
          </w:p>
        </w:tc>
      </w:tr>
      <w:tr w:rsidR="00A907A5" w:rsidRPr="00271E51" w14:paraId="30ABB909" w14:textId="77777777" w:rsidTr="00ED5B0A">
        <w:tc>
          <w:tcPr>
            <w:tcW w:w="2376" w:type="dxa"/>
          </w:tcPr>
          <w:p w14:paraId="0BDA5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F6F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часть капота</w:t>
            </w:r>
          </w:p>
        </w:tc>
        <w:tc>
          <w:tcPr>
            <w:tcW w:w="4394" w:type="dxa"/>
          </w:tcPr>
          <w:p w14:paraId="670B1E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часть капота состоит из</w:t>
            </w:r>
          </w:p>
        </w:tc>
      </w:tr>
      <w:tr w:rsidR="00A907A5" w:rsidRPr="00271E51" w14:paraId="0603172C" w14:textId="77777777" w:rsidTr="00ED5B0A">
        <w:tc>
          <w:tcPr>
            <w:tcW w:w="2376" w:type="dxa"/>
          </w:tcPr>
          <w:p w14:paraId="46E66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F7CD4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состоит из 4-х крышек,</w:t>
            </w:r>
          </w:p>
        </w:tc>
        <w:tc>
          <w:tcPr>
            <w:tcW w:w="4394" w:type="dxa"/>
          </w:tcPr>
          <w:p w14:paraId="42E27D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5-ти крышек: отдельно 2-х верхних,</w:t>
            </w:r>
          </w:p>
        </w:tc>
      </w:tr>
      <w:tr w:rsidR="00A907A5" w:rsidRPr="00271E51" w14:paraId="0B0C20B4" w14:textId="77777777" w:rsidTr="00ED5B0A">
        <w:tc>
          <w:tcPr>
            <w:tcW w:w="2376" w:type="dxa"/>
          </w:tcPr>
          <w:p w14:paraId="3F9CB9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A962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соединенных шомполами.</w:t>
            </w:r>
          </w:p>
        </w:tc>
        <w:tc>
          <w:tcPr>
            <w:tcW w:w="4394" w:type="dxa"/>
          </w:tcPr>
          <w:p w14:paraId="6E45E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соединенных на шомполах и 3-х</w:t>
            </w:r>
          </w:p>
        </w:tc>
      </w:tr>
      <w:tr w:rsidR="00A907A5" w:rsidRPr="00271E51" w14:paraId="500106AA" w14:textId="77777777" w:rsidTr="00ED5B0A">
        <w:tc>
          <w:tcPr>
            <w:tcW w:w="2376" w:type="dxa"/>
          </w:tcPr>
          <w:p w14:paraId="6B4F4A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BF9F5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Разъем производится в</w:t>
            </w:r>
          </w:p>
        </w:tc>
        <w:tc>
          <w:tcPr>
            <w:tcW w:w="4394" w:type="dxa"/>
          </w:tcPr>
          <w:p w14:paraId="1F530C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нижних, также соединенных на шомполах.</w:t>
            </w:r>
          </w:p>
        </w:tc>
      </w:tr>
      <w:tr w:rsidR="00A907A5" w:rsidRPr="00271E51" w14:paraId="7D926D9D" w14:textId="77777777" w:rsidTr="00ED5B0A">
        <w:tc>
          <w:tcPr>
            <w:tcW w:w="2376" w:type="dxa"/>
          </w:tcPr>
          <w:p w14:paraId="526982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4BA5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 месте при помощи</w:t>
            </w:r>
          </w:p>
        </w:tc>
        <w:tc>
          <w:tcPr>
            <w:tcW w:w="4394" w:type="dxa"/>
          </w:tcPr>
          <w:p w14:paraId="6C406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Соединение верхних и нижних крышек</w:t>
            </w:r>
          </w:p>
        </w:tc>
      </w:tr>
      <w:tr w:rsidR="00A907A5" w:rsidRPr="00271E51" w14:paraId="5C94B15A" w14:textId="77777777" w:rsidTr="00ED5B0A">
        <w:tc>
          <w:tcPr>
            <w:tcW w:w="2376" w:type="dxa"/>
          </w:tcPr>
          <w:p w14:paraId="758415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37A8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замков типа Фейри.</w:t>
            </w:r>
          </w:p>
        </w:tc>
        <w:tc>
          <w:tcPr>
            <w:tcW w:w="4394" w:type="dxa"/>
          </w:tcPr>
          <w:p w14:paraId="5D493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производится в 2-х местах замками</w:t>
            </w:r>
          </w:p>
        </w:tc>
      </w:tr>
      <w:tr w:rsidR="00A907A5" w:rsidRPr="00271E51" w14:paraId="31E3638C" w14:textId="77777777" w:rsidTr="00ED5B0A">
        <w:tc>
          <w:tcPr>
            <w:tcW w:w="2376" w:type="dxa"/>
          </w:tcPr>
          <w:p w14:paraId="4F64C0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381E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6EF7C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типа Фейри.</w:t>
            </w:r>
          </w:p>
        </w:tc>
      </w:tr>
      <w:tr w:rsidR="00A907A5" w:rsidRPr="00271E51" w14:paraId="5569FB1C" w14:textId="77777777" w:rsidTr="00ED5B0A">
        <w:tc>
          <w:tcPr>
            <w:tcW w:w="2376" w:type="dxa"/>
          </w:tcPr>
          <w:p w14:paraId="7B6EAD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FF498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589E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нижняя крышка составляет одно</w:t>
            </w:r>
          </w:p>
        </w:tc>
      </w:tr>
      <w:tr w:rsidR="00A907A5" w:rsidRPr="00271E51" w14:paraId="1F340D47" w14:textId="77777777" w:rsidTr="00ED5B0A">
        <w:tc>
          <w:tcPr>
            <w:tcW w:w="2376" w:type="dxa"/>
          </w:tcPr>
          <w:p w14:paraId="5DD33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ACDF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B54CC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целое с туннелем маслорадиатора.</w:t>
            </w:r>
          </w:p>
        </w:tc>
      </w:tr>
      <w:tr w:rsidR="00A907A5" w:rsidRPr="00271E51" w14:paraId="5DEF5CBA" w14:textId="77777777" w:rsidTr="00ED5B0A">
        <w:tc>
          <w:tcPr>
            <w:tcW w:w="2376" w:type="dxa"/>
          </w:tcPr>
          <w:p w14:paraId="2AEE2A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DEC8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регулировки площади</w:t>
            </w:r>
          </w:p>
        </w:tc>
        <w:tc>
          <w:tcPr>
            <w:tcW w:w="4394" w:type="dxa"/>
          </w:tcPr>
          <w:p w14:paraId="469BB1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регулировки площади выхода, с боков</w:t>
            </w:r>
          </w:p>
        </w:tc>
      </w:tr>
      <w:tr w:rsidR="00A907A5" w:rsidRPr="00271E51" w14:paraId="51A9ECD8" w14:textId="77777777" w:rsidTr="00ED5B0A">
        <w:tc>
          <w:tcPr>
            <w:tcW w:w="2376" w:type="dxa"/>
          </w:tcPr>
          <w:p w14:paraId="42C52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10235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выхода по периметру капота</w:t>
            </w:r>
          </w:p>
        </w:tc>
        <w:tc>
          <w:tcPr>
            <w:tcW w:w="4394" w:type="dxa"/>
          </w:tcPr>
          <w:p w14:paraId="6CD565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по одной створке, которые</w:t>
            </w:r>
          </w:p>
        </w:tc>
      </w:tr>
      <w:tr w:rsidR="00A907A5" w:rsidRPr="00271E51" w14:paraId="3D0F4EC9" w14:textId="77777777" w:rsidTr="00ED5B0A">
        <w:tc>
          <w:tcPr>
            <w:tcW w:w="2376" w:type="dxa"/>
          </w:tcPr>
          <w:p w14:paraId="7EEFFC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7B2B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юбки с вырезом</w:t>
            </w:r>
          </w:p>
        </w:tc>
        <w:tc>
          <w:tcPr>
            <w:tcW w:w="4394" w:type="dxa"/>
          </w:tcPr>
          <w:p w14:paraId="7F3F5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полностью закрывают выхлопные коллектора.</w:t>
            </w:r>
          </w:p>
        </w:tc>
      </w:tr>
      <w:tr w:rsidR="00A907A5" w:rsidRPr="00271E51" w14:paraId="6085B2CC" w14:textId="77777777" w:rsidTr="00ED5B0A">
        <w:tc>
          <w:tcPr>
            <w:tcW w:w="2376" w:type="dxa"/>
          </w:tcPr>
          <w:p w14:paraId="0F4E3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75FC0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выхлопного коллектора.</w:t>
            </w:r>
          </w:p>
        </w:tc>
        <w:tc>
          <w:tcPr>
            <w:tcW w:w="4394" w:type="dxa"/>
          </w:tcPr>
          <w:p w14:paraId="3F5CA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4450D6" w14:textId="77777777" w:rsidTr="00ED5B0A">
        <w:tc>
          <w:tcPr>
            <w:tcW w:w="2376" w:type="dxa"/>
          </w:tcPr>
          <w:p w14:paraId="042933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BA2A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Выхлопные коллектора</w:t>
            </w:r>
          </w:p>
        </w:tc>
        <w:tc>
          <w:tcPr>
            <w:tcW w:w="4394" w:type="dxa"/>
          </w:tcPr>
          <w:p w14:paraId="6A6A54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95C132" w14:textId="77777777" w:rsidTr="00ED5B0A">
        <w:tc>
          <w:tcPr>
            <w:tcW w:w="2376" w:type="dxa"/>
          </w:tcPr>
          <w:p w14:paraId="33DDC7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E442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выступают за пределы капота.</w:t>
            </w:r>
          </w:p>
        </w:tc>
        <w:tc>
          <w:tcPr>
            <w:tcW w:w="4394" w:type="dxa"/>
          </w:tcPr>
          <w:p w14:paraId="78B0D9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E95CD7" w14:textId="77777777" w:rsidTr="00ED5B0A">
        <w:tc>
          <w:tcPr>
            <w:tcW w:w="2376" w:type="dxa"/>
          </w:tcPr>
          <w:p w14:paraId="13217B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Всасывающий патрубок.</w:t>
            </w:r>
          </w:p>
        </w:tc>
        <w:tc>
          <w:tcPr>
            <w:tcW w:w="3686" w:type="dxa"/>
          </w:tcPr>
          <w:p w14:paraId="06786E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Прямоугольного сечения.</w:t>
            </w:r>
          </w:p>
        </w:tc>
        <w:tc>
          <w:tcPr>
            <w:tcW w:w="4394" w:type="dxa"/>
          </w:tcPr>
          <w:p w14:paraId="553B3E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первом варианте патрубок состоял из</w:t>
            </w:r>
          </w:p>
        </w:tc>
      </w:tr>
      <w:tr w:rsidR="00A907A5" w:rsidRPr="00271E51" w14:paraId="5D35DF13" w14:textId="77777777" w:rsidTr="00ED5B0A">
        <w:tc>
          <w:tcPr>
            <w:tcW w:w="2376" w:type="dxa"/>
          </w:tcPr>
          <w:p w14:paraId="7F9B8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CE4EB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сверху капота.</w:t>
            </w:r>
          </w:p>
        </w:tc>
        <w:tc>
          <w:tcPr>
            <w:tcW w:w="4394" w:type="dxa"/>
          </w:tcPr>
          <w:p w14:paraId="45295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трех каналов, расположенных под капотом.</w:t>
            </w:r>
          </w:p>
        </w:tc>
      </w:tr>
      <w:tr w:rsidR="00A907A5" w:rsidRPr="00271E51" w14:paraId="7E6BAEB0" w14:textId="77777777" w:rsidTr="00ED5B0A">
        <w:tc>
          <w:tcPr>
            <w:tcW w:w="2376" w:type="dxa"/>
          </w:tcPr>
          <w:p w14:paraId="76BBD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F0094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451B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Затем перед гос. испытаниями был переделан</w:t>
            </w:r>
          </w:p>
        </w:tc>
      </w:tr>
      <w:tr w:rsidR="00A907A5" w:rsidRPr="00271E51" w14:paraId="2E608388" w14:textId="77777777" w:rsidTr="00ED5B0A">
        <w:tc>
          <w:tcPr>
            <w:tcW w:w="2376" w:type="dxa"/>
          </w:tcPr>
          <w:p w14:paraId="04198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EFD3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489F9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следующим образом: боковые каналы сняты и </w:t>
            </w:r>
          </w:p>
        </w:tc>
      </w:tr>
      <w:tr w:rsidR="00A907A5" w:rsidRPr="00271E51" w14:paraId="07C13CF9" w14:textId="77777777" w:rsidTr="00ED5B0A">
        <w:tc>
          <w:tcPr>
            <w:tcW w:w="2376" w:type="dxa"/>
          </w:tcPr>
          <w:p w14:paraId="47A2C5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A8882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71F60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верхней части капота проложен</w:t>
            </w:r>
          </w:p>
        </w:tc>
      </w:tr>
      <w:tr w:rsidR="00A907A5" w:rsidRPr="00271E51" w14:paraId="3BBF5FB2" w14:textId="77777777" w:rsidTr="00ED5B0A">
        <w:tc>
          <w:tcPr>
            <w:tcW w:w="2376" w:type="dxa"/>
          </w:tcPr>
          <w:p w14:paraId="1B4CC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C9E17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0804D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дополнительный канал всасывающего патрубка</w:t>
            </w:r>
          </w:p>
        </w:tc>
      </w:tr>
      <w:tr w:rsidR="00A907A5" w:rsidRPr="00271E51" w14:paraId="496EABC4" w14:textId="77777777" w:rsidTr="00ED5B0A">
        <w:tc>
          <w:tcPr>
            <w:tcW w:w="2376" w:type="dxa"/>
          </w:tcPr>
          <w:p w14:paraId="37C6F5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B3A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94" w:type="dxa"/>
          </w:tcPr>
          <w:p w14:paraId="16475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плавно прилегающий к капоту.</w:t>
            </w:r>
          </w:p>
        </w:tc>
      </w:tr>
      <w:tr w:rsidR="00A907A5" w:rsidRPr="00271E51" w14:paraId="36FB5BFB" w14:textId="77777777" w:rsidTr="00ED5B0A">
        <w:tc>
          <w:tcPr>
            <w:tcW w:w="2376" w:type="dxa"/>
          </w:tcPr>
          <w:p w14:paraId="35C04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Маслорадиатор.</w:t>
            </w:r>
          </w:p>
        </w:tc>
        <w:tc>
          <w:tcPr>
            <w:tcW w:w="3686" w:type="dxa"/>
          </w:tcPr>
          <w:p w14:paraId="2D3B23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на место водяного</w:t>
            </w:r>
          </w:p>
        </w:tc>
        <w:tc>
          <w:tcPr>
            <w:tcW w:w="4394" w:type="dxa"/>
          </w:tcPr>
          <w:p w14:paraId="50DFD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в нижней части капота мотора.</w:t>
            </w:r>
          </w:p>
        </w:tc>
      </w:tr>
      <w:tr w:rsidR="00A907A5" w:rsidRPr="00271E51" w14:paraId="5DC5BE61" w14:textId="77777777" w:rsidTr="00ED5B0A">
        <w:tc>
          <w:tcPr>
            <w:tcW w:w="2376" w:type="dxa"/>
          </w:tcPr>
          <w:p w14:paraId="64048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CD88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радиатора между 4 и 5</w:t>
            </w:r>
          </w:p>
        </w:tc>
        <w:tc>
          <w:tcPr>
            <w:tcW w:w="4394" w:type="dxa"/>
          </w:tcPr>
          <w:p w14:paraId="3921B9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выхода регулируется совком.</w:t>
            </w:r>
          </w:p>
        </w:tc>
      </w:tr>
      <w:tr w:rsidR="00A907A5" w:rsidRPr="00271E51" w14:paraId="2B138F22" w14:textId="77777777" w:rsidTr="00ED5B0A">
        <w:tc>
          <w:tcPr>
            <w:tcW w:w="2376" w:type="dxa"/>
          </w:tcPr>
          <w:p w14:paraId="06257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3C73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шпангоутом фюзеляжа: площадь</w:t>
            </w:r>
          </w:p>
        </w:tc>
        <w:tc>
          <w:tcPr>
            <w:tcW w:w="4394" w:type="dxa"/>
          </w:tcPr>
          <w:p w14:paraId="15244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C85283" w14:textId="77777777" w:rsidTr="00ED5B0A">
        <w:tc>
          <w:tcPr>
            <w:tcW w:w="2376" w:type="dxa"/>
          </w:tcPr>
          <w:p w14:paraId="2866C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968B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выхода регулируется дроссельной</w:t>
            </w:r>
          </w:p>
        </w:tc>
        <w:tc>
          <w:tcPr>
            <w:tcW w:w="4394" w:type="dxa"/>
          </w:tcPr>
          <w:p w14:paraId="10E2F4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A9A2BD" w14:textId="77777777" w:rsidTr="00ED5B0A">
        <w:tc>
          <w:tcPr>
            <w:tcW w:w="2376" w:type="dxa"/>
          </w:tcPr>
          <w:p w14:paraId="39126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1E0C6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заслонкой.</w:t>
            </w:r>
          </w:p>
        </w:tc>
        <w:tc>
          <w:tcPr>
            <w:tcW w:w="4394" w:type="dxa"/>
          </w:tcPr>
          <w:p w14:paraId="772CF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F5777F" w14:textId="77777777" w:rsidTr="00ED5B0A">
        <w:tc>
          <w:tcPr>
            <w:tcW w:w="2376" w:type="dxa"/>
          </w:tcPr>
          <w:p w14:paraId="10D4D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Маслобак.</w:t>
            </w:r>
          </w:p>
        </w:tc>
        <w:tc>
          <w:tcPr>
            <w:tcW w:w="3686" w:type="dxa"/>
          </w:tcPr>
          <w:p w14:paraId="500F4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два маслобака ка</w:t>
            </w:r>
          </w:p>
        </w:tc>
        <w:tc>
          <w:tcPr>
            <w:tcW w:w="4394" w:type="dxa"/>
          </w:tcPr>
          <w:p w14:paraId="7480A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один маслобак увеличенной</w:t>
            </w:r>
          </w:p>
        </w:tc>
      </w:tr>
      <w:tr w:rsidR="00A907A5" w:rsidRPr="00271E51" w14:paraId="7CF81299" w14:textId="77777777" w:rsidTr="00ED5B0A">
        <w:tc>
          <w:tcPr>
            <w:tcW w:w="2376" w:type="dxa"/>
          </w:tcPr>
          <w:p w14:paraId="34F5EA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91FC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ЛАГГ-3.</w:t>
            </w:r>
          </w:p>
        </w:tc>
        <w:tc>
          <w:tcPr>
            <w:tcW w:w="4394" w:type="dxa"/>
          </w:tcPr>
          <w:p w14:paraId="33F29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емкости.</w:t>
            </w:r>
          </w:p>
        </w:tc>
      </w:tr>
      <w:tr w:rsidR="00A907A5" w:rsidRPr="00271E51" w14:paraId="38B4CA3F" w14:textId="77777777" w:rsidTr="00ED5B0A">
        <w:tc>
          <w:tcPr>
            <w:tcW w:w="2376" w:type="dxa"/>
          </w:tcPr>
          <w:p w14:paraId="53EE7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мотором.</w:t>
            </w:r>
          </w:p>
        </w:tc>
        <w:tc>
          <w:tcPr>
            <w:tcW w:w="3686" w:type="dxa"/>
          </w:tcPr>
          <w:p w14:paraId="7EC6A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управлении высотным</w:t>
            </w:r>
          </w:p>
        </w:tc>
        <w:tc>
          <w:tcPr>
            <w:tcW w:w="4394" w:type="dxa"/>
          </w:tcPr>
          <w:p w14:paraId="262D7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Дополнительная промежуточная качалка</w:t>
            </w:r>
          </w:p>
        </w:tc>
      </w:tr>
      <w:tr w:rsidR="00A907A5" w:rsidRPr="00271E51" w14:paraId="270460A3" w14:textId="77777777" w:rsidTr="00ED5B0A">
        <w:tc>
          <w:tcPr>
            <w:tcW w:w="2376" w:type="dxa"/>
          </w:tcPr>
          <w:p w14:paraId="0ABF97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31372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корректором тяга от переходной</w:t>
            </w:r>
          </w:p>
        </w:tc>
        <w:tc>
          <w:tcPr>
            <w:tcW w:w="4394" w:type="dxa"/>
          </w:tcPr>
          <w:p w14:paraId="4C20F2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отсутствует от переходной качалки к</w:t>
            </w:r>
          </w:p>
        </w:tc>
      </w:tr>
      <w:tr w:rsidR="00A907A5" w:rsidRPr="00271E51" w14:paraId="4C4767D5" w14:textId="77777777" w:rsidTr="00ED5B0A">
        <w:tc>
          <w:tcPr>
            <w:tcW w:w="2376" w:type="dxa"/>
          </w:tcPr>
          <w:p w14:paraId="6DFC06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8A1E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качалки к рычагу корректора</w:t>
            </w:r>
          </w:p>
        </w:tc>
        <w:tc>
          <w:tcPr>
            <w:tcW w:w="4394" w:type="dxa"/>
          </w:tcPr>
          <w:p w14:paraId="771719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рычагу корректора идет одна тяга.</w:t>
            </w:r>
          </w:p>
        </w:tc>
      </w:tr>
      <w:tr w:rsidR="00A907A5" w:rsidRPr="00271E51" w14:paraId="7DBB5605" w14:textId="77777777" w:rsidTr="00ED5B0A">
        <w:tc>
          <w:tcPr>
            <w:tcW w:w="2376" w:type="dxa"/>
          </w:tcPr>
          <w:p w14:paraId="6A673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435E0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состоит из 2-х частей, соединен.</w:t>
            </w:r>
          </w:p>
        </w:tc>
        <w:tc>
          <w:tcPr>
            <w:tcW w:w="4394" w:type="dxa"/>
          </w:tcPr>
          <w:p w14:paraId="71E1C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F886C1" w14:textId="77777777" w:rsidTr="00ED5B0A">
        <w:tc>
          <w:tcPr>
            <w:tcW w:w="2376" w:type="dxa"/>
          </w:tcPr>
          <w:p w14:paraId="16DFE7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6C27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дополнительной промежуточной</w:t>
            </w:r>
          </w:p>
        </w:tc>
        <w:tc>
          <w:tcPr>
            <w:tcW w:w="4394" w:type="dxa"/>
          </w:tcPr>
          <w:p w14:paraId="0E7678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E9AA0A" w14:textId="77777777" w:rsidTr="00ED5B0A">
        <w:tc>
          <w:tcPr>
            <w:tcW w:w="2376" w:type="dxa"/>
          </w:tcPr>
          <w:p w14:paraId="6656A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4763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качалкой.</w:t>
            </w:r>
          </w:p>
        </w:tc>
        <w:tc>
          <w:tcPr>
            <w:tcW w:w="4394" w:type="dxa"/>
          </w:tcPr>
          <w:p w14:paraId="66C4F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DE86D8" w14:textId="77777777" w:rsidTr="00ED5B0A">
        <w:tc>
          <w:tcPr>
            <w:tcW w:w="2376" w:type="dxa"/>
          </w:tcPr>
          <w:p w14:paraId="782D1F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6109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Расположение промежуточной качалки между переходной качалкой и рычагом</w:t>
            </w:r>
          </w:p>
        </w:tc>
        <w:tc>
          <w:tcPr>
            <w:tcW w:w="4394" w:type="dxa"/>
          </w:tcPr>
          <w:p w14:paraId="7648B8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F1491D" w14:textId="77777777" w:rsidTr="00ED5B0A">
        <w:tc>
          <w:tcPr>
            <w:tcW w:w="2376" w:type="dxa"/>
          </w:tcPr>
          <w:p w14:paraId="19E7E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1B1A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нормального газа на карбюраторе различно у обоих самолетов.</w:t>
            </w:r>
          </w:p>
        </w:tc>
        <w:tc>
          <w:tcPr>
            <w:tcW w:w="4394" w:type="dxa"/>
          </w:tcPr>
          <w:p w14:paraId="47966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C63DF4" w14:textId="77777777" w:rsidTr="00ED5B0A">
        <w:tc>
          <w:tcPr>
            <w:tcW w:w="2376" w:type="dxa"/>
          </w:tcPr>
          <w:p w14:paraId="398ED9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84AD3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переключения скоростей</w:t>
            </w:r>
          </w:p>
        </w:tc>
        <w:tc>
          <w:tcPr>
            <w:tcW w:w="4394" w:type="dxa"/>
          </w:tcPr>
          <w:p w14:paraId="29B11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переключения скоростей ПЦН установлен</w:t>
            </w:r>
          </w:p>
        </w:tc>
      </w:tr>
      <w:tr w:rsidR="00A907A5" w:rsidRPr="00271E51" w14:paraId="58763DD5" w14:textId="77777777" w:rsidTr="00ED5B0A">
        <w:tc>
          <w:tcPr>
            <w:tcW w:w="2376" w:type="dxa"/>
          </w:tcPr>
          <w:p w14:paraId="15437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88CB4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ПЦН установлена ручка, от кот.</w:t>
            </w:r>
          </w:p>
        </w:tc>
        <w:tc>
          <w:tcPr>
            <w:tcW w:w="4394" w:type="dxa"/>
          </w:tcPr>
          <w:p w14:paraId="28FEF7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сектор, от которого проложен боуденовский</w:t>
            </w:r>
          </w:p>
        </w:tc>
      </w:tr>
      <w:tr w:rsidR="00A907A5" w:rsidRPr="00271E51" w14:paraId="7900237C" w14:textId="77777777" w:rsidTr="00ED5B0A">
        <w:tc>
          <w:tcPr>
            <w:tcW w:w="2376" w:type="dxa"/>
          </w:tcPr>
          <w:p w14:paraId="4B2EE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9E15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проложен боуденовский трос к</w:t>
            </w:r>
          </w:p>
        </w:tc>
        <w:tc>
          <w:tcPr>
            <w:tcW w:w="4394" w:type="dxa"/>
          </w:tcPr>
          <w:p w14:paraId="08B3E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трос к ролику. Ролик при помощи поводка</w:t>
            </w:r>
          </w:p>
        </w:tc>
      </w:tr>
      <w:tr w:rsidR="00A907A5" w:rsidRPr="00271E51" w14:paraId="16B556C5" w14:textId="77777777" w:rsidTr="00ED5B0A">
        <w:tc>
          <w:tcPr>
            <w:tcW w:w="2376" w:type="dxa"/>
          </w:tcPr>
          <w:p w14:paraId="155E39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ADA0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рычагу нагнетателя.</w:t>
            </w:r>
          </w:p>
        </w:tc>
        <w:tc>
          <w:tcPr>
            <w:tcW w:w="4394" w:type="dxa"/>
          </w:tcPr>
          <w:p w14:paraId="78F980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соединен с рычагом нагнетателя.</w:t>
            </w:r>
          </w:p>
        </w:tc>
      </w:tr>
      <w:tr w:rsidR="00A907A5" w:rsidRPr="00271E51" w14:paraId="2B60A6DB" w14:textId="77777777" w:rsidTr="00ED5B0A">
        <w:tc>
          <w:tcPr>
            <w:tcW w:w="2376" w:type="dxa"/>
          </w:tcPr>
          <w:p w14:paraId="45CE8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3686" w:type="dxa"/>
          </w:tcPr>
          <w:p w14:paraId="1E7FD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пулемета БС и два</w:t>
            </w:r>
          </w:p>
        </w:tc>
        <w:tc>
          <w:tcPr>
            <w:tcW w:w="4394" w:type="dxa"/>
          </w:tcPr>
          <w:p w14:paraId="2A7D7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Две синхронных пушки "ШВАК".</w:t>
            </w:r>
          </w:p>
        </w:tc>
      </w:tr>
      <w:tr w:rsidR="00A907A5" w:rsidRPr="00271E51" w14:paraId="66C91028" w14:textId="77777777" w:rsidTr="00ED5B0A">
        <w:tc>
          <w:tcPr>
            <w:tcW w:w="2376" w:type="dxa"/>
          </w:tcPr>
          <w:p w14:paraId="35EDD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0838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пулемета "ШКАС". (Вооружение</w:t>
            </w:r>
          </w:p>
        </w:tc>
        <w:tc>
          <w:tcPr>
            <w:tcW w:w="4394" w:type="dxa"/>
          </w:tcPr>
          <w:p w14:paraId="513B3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B8C817" w14:textId="77777777" w:rsidTr="00ED5B0A">
        <w:tc>
          <w:tcPr>
            <w:tcW w:w="2376" w:type="dxa"/>
          </w:tcPr>
          <w:p w14:paraId="4A7DC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6B5FC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испытывалось, так как на</w:t>
            </w:r>
          </w:p>
        </w:tc>
        <w:tc>
          <w:tcPr>
            <w:tcW w:w="4394" w:type="dxa"/>
          </w:tcPr>
          <w:p w14:paraId="1E9FC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A0129C" w14:textId="77777777" w:rsidTr="00ED5B0A">
        <w:tc>
          <w:tcPr>
            <w:tcW w:w="2376" w:type="dxa"/>
          </w:tcPr>
          <w:p w14:paraId="35E10B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5776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 был</w:t>
            </w:r>
          </w:p>
        </w:tc>
        <w:tc>
          <w:tcPr>
            <w:tcW w:w="4394" w:type="dxa"/>
          </w:tcPr>
          <w:p w14:paraId="2181EE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B5835C" w14:textId="77777777" w:rsidTr="00ED5B0A">
        <w:tc>
          <w:tcPr>
            <w:tcW w:w="2376" w:type="dxa"/>
          </w:tcPr>
          <w:p w14:paraId="67F6B0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DD2AA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предъявлен без пулеметов ШКАС</w:t>
            </w:r>
          </w:p>
        </w:tc>
        <w:tc>
          <w:tcPr>
            <w:tcW w:w="4394" w:type="dxa"/>
          </w:tcPr>
          <w:p w14:paraId="15DC7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FC59BA" w14:textId="77777777" w:rsidTr="00ED5B0A">
        <w:tc>
          <w:tcPr>
            <w:tcW w:w="2376" w:type="dxa"/>
          </w:tcPr>
          <w:p w14:paraId="5F7D3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761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с пулеметами БС без стволов).</w:t>
            </w:r>
          </w:p>
        </w:tc>
        <w:tc>
          <w:tcPr>
            <w:tcW w:w="4394" w:type="dxa"/>
          </w:tcPr>
          <w:p w14:paraId="0A46D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B0B2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 отличием самолета Ла-5, обеспечившим его лучшие летные данные по сравнению с самолетом ГУ-82, является удачная и оригинальная форма и компоновка капота мотора, который весьма отличается от капота самолета ГУ-82, сделанного по типу капота самолета Су-2 (1783,88).</w:t>
      </w:r>
    </w:p>
    <w:p w14:paraId="75A71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E5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года было письмо начальника ЛИИ А.В. Чесалова, направленного А.И. Шахурину: "основным отличием Ла-5, обеспечившим лучшие летные данные по сравнению с Гу-82, является удачная оригинальная форма (капота) и компоновка мотора" (12032).</w:t>
      </w:r>
    </w:p>
    <w:p w14:paraId="21B89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F2E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НКАП направил в ЦК ВКП(б) проект постановления ГОКО по авиационным реактивным силовым установкам для создания реактивного самолета. В июне-июле 1943 руководство НКАП предприняло очередную попытку наметить собственный план работ по реактивной тематике (2168,5).</w:t>
      </w:r>
    </w:p>
    <w:p w14:paraId="1DC05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9577D" w14:textId="77777777" w:rsidR="00CA7A1C" w:rsidRPr="00271E51" w:rsidRDefault="00CA7A1C" w:rsidP="00271E51">
      <w:pPr>
        <w:pStyle w:val="rtejustify"/>
        <w:shd w:val="clear" w:color="auto" w:fill="FFFFFF"/>
        <w:spacing w:before="0" w:after="0"/>
        <w:rPr>
          <w:color w:val="000000" w:themeColor="text1"/>
          <w:sz w:val="16"/>
          <w:szCs w:val="16"/>
        </w:rPr>
      </w:pPr>
      <w:r w:rsidRPr="00271E51">
        <w:rPr>
          <w:color w:val="000000" w:themeColor="text1"/>
          <w:sz w:val="16"/>
          <w:szCs w:val="16"/>
        </w:rPr>
        <w:t>22 июля 1943 г. все предприятия были ознакомлены с ценным изобретением Кунгурской ИТК №3. Стабилизаторы мин крепились к корпусам точечной сваркой, а электросварочной проволоки диаметром 3-5 мм остро не хватало. Тогда из оставшихся после штамповки крыльев стабилизатора отходов стали вырубать полоски шириной около 4 мм, которые и пошли на электроды. Как показали испытания, ущерба для прочности мин не было, а экономия ценного стратегического материала была существенной (ГАРФ. Ф. 9414. Оп. 1. Д. 1994. Л. 137.).</w:t>
      </w:r>
    </w:p>
    <w:p w14:paraId="339E3CB0" w14:textId="77777777" w:rsidR="00CA7A1C" w:rsidRPr="00271E51" w:rsidRDefault="00CA7A1C" w:rsidP="00271E51">
      <w:pPr>
        <w:pStyle w:val="rtejustify"/>
        <w:shd w:val="clear" w:color="auto" w:fill="FFFFFF"/>
        <w:spacing w:before="0" w:after="0"/>
        <w:rPr>
          <w:color w:val="000000" w:themeColor="text1"/>
          <w:sz w:val="16"/>
          <w:szCs w:val="16"/>
        </w:rPr>
      </w:pPr>
    </w:p>
    <w:p w14:paraId="588B03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года была подготовлена справка:</w:t>
      </w:r>
    </w:p>
    <w:p w14:paraId="681338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589 НКВ – Москва (после эвакуации) (9274).</w:t>
      </w:r>
    </w:p>
    <w:p w14:paraId="44789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B6A67"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6ADDA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949B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по 30 июля 1943 г. были проведены заводские испытания второго опытного образца Объект-237 (10703).</w:t>
      </w:r>
    </w:p>
    <w:p w14:paraId="6E0CC4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C9CC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по 30 июля 1943 заводские испытания проходил второй танк ИС и в целом подтвердил итоги, сделанные по ре</w:t>
      </w:r>
      <w:r w:rsidRPr="00271E51">
        <w:rPr>
          <w:rFonts w:ascii="Times New Roman" w:hAnsi="Times New Roman"/>
          <w:color w:val="000000" w:themeColor="text1"/>
          <w:sz w:val="16"/>
          <w:szCs w:val="16"/>
        </w:rPr>
        <w:softHyphen/>
        <w:t>зультатам испытаний первого (11135).</w:t>
      </w:r>
    </w:p>
    <w:p w14:paraId="2AA560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F186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вышло Постановление ГКО № 3790 О мерах неотложной помощи нефтяной промышленности. (7124, 137-148,149-164).</w:t>
      </w:r>
    </w:p>
    <w:p w14:paraId="17D7D3E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A00E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5310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D4737"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в 1943 году оперативная сводка Совинформбюро:</w:t>
      </w:r>
    </w:p>
    <w:p w14:paraId="4F51E95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июля наши войска на Орловском направлении, встречая упорное сопротивление и контратаки противника, продолжали наступлениеи, продвинувшись вперёд от 6 до 8 километров, заняли ряд населённых пунктов, в том числе город Волхов. С занятием города Волхова наши войска закончили ликвидацию сильно укреплённого района противника севернее Орла.</w:t>
      </w:r>
    </w:p>
    <w:p w14:paraId="147178B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десять дней наступления на Орловском направлении нашими войсками взяты следующие трофеи: танков—372, орудий разного калибра—720, миномётов—800, пулемётов—1.400, складов разных —128.</w:t>
      </w:r>
    </w:p>
    <w:p w14:paraId="6030AA3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Взято в плен более 6.000 немецких солдат и офицеров.</w:t>
      </w:r>
    </w:p>
    <w:p w14:paraId="45FFFB58"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подбито и уничтожено танков—776, уничтожено самолётов— более 900, орудий разного калибра—882.</w:t>
      </w:r>
    </w:p>
    <w:p w14:paraId="085A2B40"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десять дней боёв противник потерял убитыми свыше 50.000 солдат и офицеров.</w:t>
      </w:r>
    </w:p>
    <w:p w14:paraId="0639E648"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преодолевая сопротивление и контратаки противника, продвинулись вперёд от 5 до 7 километров.</w:t>
      </w:r>
    </w:p>
    <w:p w14:paraId="76441C30"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наши войска продолжали вести бои местного значения.</w:t>
      </w:r>
    </w:p>
    <w:p w14:paraId="2DFA5AF2"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преодолевая упорное сопротивление противника, продолжали наступление.</w:t>
      </w:r>
    </w:p>
    <w:p w14:paraId="787FB2FA"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немцы, сосредоточив крупные силы танков и пехоты, предпринимают контратаки, пытаясь приостановить наступление наших войск. Наши войска отбили все контратаки противника и, продвигаясь вперёд, заняли город Волхов и ряд населённых пунктов. В бою за один населённый пункт уничтожено до 400 гитлеровцев, 14 танков и 5 самоходных орудий. На другом участке Н-ское соединение в ожесточённом бою разгромило полк немецкой пехоты. Зенитная батарея старшего лейтенанта Урядникова, прикрывающая переправу через реку, в течениечаса отразила два налёта вражеской авиации и сбила 5 немецких самолётов.</w:t>
      </w:r>
    </w:p>
    <w:p w14:paraId="56022272"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успешно продвигались вперёд и заняли несколько населённых пунктов. Части Н-ского соединения, преследуя отступающего противника, истребили 1.300 немецких солдат и офицеров, подбили и сожгли 11 вражеских танкови 6 самоходных орудий. Захвачены пленные и трофеи. На другом участке наши танкисты уничтожили не менее двух рот гитлеровцев и захватили 5 танков, 4 самоходных орудия и 7 полевых орудий.</w:t>
      </w:r>
    </w:p>
    <w:p w14:paraId="2AF0528C"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с боями продвигались вперёд. Бойцы Н-ского соединения отбили вражескую контратаку. На плечах отступающих немцев наши подразделения ворвались в населённый пункт и заняли его. В результате боя подбито 9 немецких танков, уничтожено 6 миномётных батарей, 5 шестиствольных миномётов и до 500 солдат противника.</w:t>
      </w:r>
    </w:p>
    <w:p w14:paraId="609B843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за два дня наступательных боёв части Н-ского соединения выбили немцев из нескольких населённых пунктов. На поле боя подсчитано свыше 1.000 трупов вражеских солдат и офицеров. Подбито несколько танков, разбито и сожжено 70 автомашин противника. Немцы, пытаясь остановить продвижение советских войск, переходят в контратаки. Двадцать вражеских танков атаковали танковое подразделение гвардии старшего лейтенанта Логинова. Наши танкисты в ожесточённом бою уничтожили 7 немецких танков, из них два тяжёлых типа «Тигр». Остальные танки противника быстро отступили.</w:t>
      </w:r>
    </w:p>
    <w:p w14:paraId="492D585A"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продолжались бои местного значения. Многие командные высоты немцы укрепили зарытыми в землю танками и специальными стальными колпаками. Наши части, действуя штурмовыми группами, обходят вражеские опорные пункты, а затем короткими ударами разрушают огневые точки немцев. Штурмовая группа под командованием лейтенанта Ёлкина, уничтожив до роты гитлеровцев, овладела одним таким сильно укреплённым пунктом. Противник предпринял контратаку, но, потеряв 2 танка и 2 самоходных орудия, был вынужден отступить. На другом участке немцы бросили в контратаку полк пехоты и несколько десятков танков. Гвардейцы Н-ской части подпустили врага на близкое расстояние и открыли огонь из всех видов оружия. Потеряв убитыми и ранеными свыше 1.000 солдат и офицеров, противник поспешно отступил. На поле боя осталось несколько подбитых немецких танков.</w:t>
      </w:r>
    </w:p>
    <w:p w14:paraId="6BA34B03"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литовских партизан разгромил вражеский гарнизон, расположенный в крупном населённом пункте. Убито 60 гитлеровцев. Сожжены гараж с автомашинами и склады с обмундированием. В ночь на 2 июля партизаны отряда «Вильнюс» пустили под откос три немецких поезда. Разбиты 19 вагонов с солдатами и 17 вагонов с вооружением.</w:t>
      </w:r>
    </w:p>
    <w:p w14:paraId="72819584"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Пленный офицер 5 гренадерского полка 12 немецкой танковой дивизии лейтенант фон Ведель рассказал: «Я был офицером для поручений в 5 полку. Мне известно, что 2, 4 и другие танковые дивизии, наступавшие на Курск, в первых же боях потеряли свыше 40 процентов личного состава и более половины танков. Значительная часть офицеров считает, что июльское наступление, начатое Гитлером, было авантюрой, которая может лишь ускорить поражение Германии. Офицеры, прибывшие на днях из Франции, сообщили, что большой контингент немецких войск, предназначенных для отправки в Италию, срочно перебрасывается на Восточный фронт, чтобы восполнить понесённые здесь потери».</w:t>
      </w:r>
    </w:p>
    <w:p w14:paraId="7051EAA7"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разрушили и опустошили город Мценск. Когда наши войска заняли город, в нём не оказалось ни одного советского человека. Только в окрестных деревнях ютилось несколько десятков жителей города, скрывавшихся от гитлеровцев. Это всё, что осталось от 25-тысячного населения Мценска. Владимир Яковлевич Щербаков и Анна Сергеевна Вишнякова рассказывают: «Захватив город, немецкие людоеды устроили кровавую расправу над мирным населением. Они ежедневно хватали сотни людей, арестовывали целые семьи, подвергали пыткам, а потом расстреливали. Немцы заявляли, что они отправили арестованных в тыл, но это была гнусная ложь. Весной 1942 года, когда вскрылась река Зуша, всплыло много трупов. Среди них родственники опознали жителей Мценска, арестованных немцами. В декабре немецкие военные власти приказали всем оставшимся жителям в 24 часа покинуть город. Гитлеровцы не разрешили взять с собой даже самые необходимые вещи. Многие полураздетые люди погибли в пути от холода и голода» (14960).</w:t>
      </w:r>
    </w:p>
    <w:p w14:paraId="11A3F2B2"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59A24B0A"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в 1943 году началась Мгинская наступательная операция войск Ленинградского (67-я армия, 13-я воздушная армия) и Волховского (8-я армия и 14-я воздушная армия) фронтов, с 29 июля - соединений авиации дальнего действия, продолжавшаяся до 22 августа. Партизаны южных районов Орловской области взорвали на железно-дорожных коммуникациях противника 5845 рельсов, парализовали его железно-дорожные перевозки. Опубликовано сообщение: за время Отечественной войны в системе трудовых резервов подготовлено для промышленности и транспорта около 1 млн 400 тысяч молодых рабочих (14960).</w:t>
      </w:r>
    </w:p>
    <w:p w14:paraId="42259733"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37264DD4" w14:textId="77777777" w:rsidR="00506386" w:rsidRPr="00271E51" w:rsidRDefault="00506386" w:rsidP="00271E51">
      <w:pPr>
        <w:pStyle w:val="book"/>
        <w:ind w:firstLine="0"/>
        <w:jc w:val="both"/>
        <w:rPr>
          <w:color w:val="000000" w:themeColor="text1"/>
          <w:sz w:val="16"/>
          <w:szCs w:val="16"/>
        </w:rPr>
      </w:pPr>
      <w:r w:rsidRPr="00271E51">
        <w:rPr>
          <w:color w:val="000000" w:themeColor="text1"/>
          <w:sz w:val="16"/>
          <w:szCs w:val="16"/>
        </w:rPr>
        <w:t>22 июля 1943 г. в районе Золотарево (Брянский фронт) одна из зенитных батарей была атакована с пикирования с высоты 1500 м тремя Ю-87, сбросившими толстостенные фугасные 50-кг бомбы SD с взрывателем, установленным на малое замедление. Во время атаки батарея вела огонь по пикирующим самолётам и сбила два Ю-87. Всего по батарее было сброшено семь бомб SD-50, из них три разорвались на огневой позиции и четыре - на удалении около 100 м. Батарея имела укрытия нормального профиля, отрытые на глубину 1,10—1.20 м. Из упавших на позиции батареи трёх бомб одна взорвалась в 4, вторая - в 5 и третья - в 7 м от 85-мм орудий. В результате взрыва бомб были выведены из строя три пушки, дальномер, ПУАЗО-3 и орудийные расчёты. Материальная часть, за исключением одного орудия, получившего пробоину в стволе, имела легко исправимые повреждения (18737).</w:t>
      </w:r>
    </w:p>
    <w:p w14:paraId="538490BC" w14:textId="77777777" w:rsidR="00506386" w:rsidRPr="00271E51" w:rsidRDefault="00506386" w:rsidP="00271E51">
      <w:pPr>
        <w:pStyle w:val="book"/>
        <w:ind w:firstLine="0"/>
        <w:jc w:val="both"/>
        <w:rPr>
          <w:color w:val="000000" w:themeColor="text1"/>
          <w:sz w:val="16"/>
          <w:szCs w:val="16"/>
        </w:rPr>
      </w:pPr>
    </w:p>
    <w:p w14:paraId="1FB16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в 1-й гвардейской Сталинградской иад и 273-ю иад 6-го иак (16 ВА, Центральный фронт), где проходили войсковые испытания Як-9Т летчик самолета № 0109 (третий боевой вылет, 53-й гсиап), возвращаясь с разведки противника, атаковал автоколонну.</w:t>
      </w:r>
    </w:p>
    <w:p w14:paraId="74502B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выходе из атаки пуля пробила водора- диатор, и при вынужденной посадке Як-9Т был разбит (12046).</w:t>
      </w:r>
    </w:p>
    <w:p w14:paraId="42968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D7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4 Як-7 под командой ст.л. Витковского, прикрывая войска БрФ, заметила группу Ю-87, атаковала и сбила два. Их перенацелили на другую группу и сбили три там без потерь (3791).</w:t>
      </w:r>
    </w:p>
    <w:p w14:paraId="028B6A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1E7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года в районе Берлеваг советские самолеты атаковали конвой из 14 кораблей и судов. Три торпедоносца капитана А.3. Величкина в сопровождении девяти истребителей потопили один средний транспорт. На обратном пути 12 Вf-109 перехватили советскую группу и сбили три самолета (2691).</w:t>
      </w:r>
    </w:p>
    <w:p w14:paraId="47A85B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9B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июля 1943 Ил-4 1-го ГМТАП начали вылетать для бомбардировки противолодочных сетей, поскольку народный комиссар ВМФ приказал подводным силам флота предпринять новую попытку вырваться из залива. В первый день налетов торпедоносцы сбросили по сетям три высотных торпеды, а в дальнейшем бомбардировщики добавили к этому еще 240 ФАБ-100. Прибывшая в район сетей 7 августа подводная лодка «С-9» несколько раз пыталась найти образовавшиеся проходы, но безуспешно. Она сама выпускала по сетям торпеды, но, даже несмотря на это, никаких результатов достигнуть не удалось. При возвращении субмарина погибла, а ещё раньше, при попытке «поднырнуть» под сети в глубоководном проходе, затонула «С-12» - немцы перекрыли проход донными минами. Фактически 30 самолето-вылетов 1 -го МТАП оказались затрачены на задачу, решения которой не было. В то же время крейсерские полеты, имевшие полную возможность заменить результаты прорыва двух субмарин, оказались чуть ли не на последнем месте. В течение месяца их было всего восемь, причем лишь четыре завершились атаками (9965).</w:t>
      </w:r>
    </w:p>
    <w:p w14:paraId="5AF75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A29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Разгонин 1-го ГМТАП доложил об уничтожении «8-тысячетонного транспорта» в Рижском заливе. На следующий день успехов добились экипажи капитанов А.З.Пяткова и ко-мэска З-й эскадрильи Г.Д.Васильева. Первый достиг успеха, атаковав транспорт в 4 - 5 тысяч тонн почти у самой Риги, второй - потопив в Ирбенском проливе судно чуть большего размера (9965).</w:t>
      </w:r>
    </w:p>
    <w:p w14:paraId="410D4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E41C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войск Ленинградского и Волховского фронтов начали Мгинскую наступательную операцию (4963 ).</w:t>
      </w:r>
    </w:p>
    <w:p w14:paraId="64CE9BD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DE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июля по 22 августа 1943 состоялась Мгинская операция по предотвращению нового наступления на Ленинград. Ничего не достигли, но 18 немецкую армию измотали (2438,398).</w:t>
      </w:r>
    </w:p>
    <w:p w14:paraId="11D0B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71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началась Мгинская наступательная операция (2990).</w:t>
      </w:r>
    </w:p>
    <w:p w14:paraId="670B78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72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ТКА-61 вышел на атаку порта Анапа в сопровождении ТКА-41 и ТКА-81ю Отряд встретился с МБР-2ВУ и с ТКА-61 сняли экипаж, а управление передали на самолет. Катер удалось вывести на цель, но он взовался в 300-400 м от мола без команды на взрыв с самолета (10507, 20).</w:t>
      </w:r>
    </w:p>
    <w:p w14:paraId="7F8A7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7664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CEC7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1C0735"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июля в 1943 году модель французского бомбардировщика </w:t>
      </w:r>
      <w:hyperlink r:id="rId36" w:tgtFrame="_blank" w:history="1">
        <w:r w:rsidRPr="00271E51">
          <w:rPr>
            <w:rFonts w:ascii="Times New Roman" w:hAnsi="Times New Roman"/>
            <w:color w:val="000000" w:themeColor="text1"/>
            <w:sz w:val="16"/>
            <w:szCs w:val="16"/>
          </w:rPr>
          <w:t xml:space="preserve">«М.39В» </w:t>
        </w:r>
      </w:hyperlink>
      <w:r w:rsidRPr="00271E51">
        <w:rPr>
          <w:rFonts w:ascii="Times New Roman" w:hAnsi="Times New Roman"/>
          <w:color w:val="000000" w:themeColor="text1"/>
          <w:sz w:val="16"/>
          <w:szCs w:val="16"/>
        </w:rPr>
        <w:t>в 5/8 его натуральной величины поднялася в воздух и продемонстрировала аэродинамическую устойчивость. «M.39» «Libellula» - экспериментальный бомбардировщик, разработанный английской фирмой «Miles». Среди множества проектов, появившихся от Майлса во время Второй мировой войны, двумя наиболее странными были самолеты с тандемным расположением крыльев «Майлс» «М.35» и «М.39». Хотя большинство проектов так и остались на бумаге, эти два необычных самолета были построены и летали. Самолет «М.35» был изготовлен и поднят в воздух в течение шести недель, но оказался неустойчивым в полете. Испытания в аэродинамической трубе показали, что эта проблема разрешима, и Джордж Майлс задумал тяжелый бомбардировщик «М.39», который должен был оснащаться тремя турбореактивными двигателями или, для начала, двумя высотными моторами «Rolls-Royce» «Merlin 60» или «Bristol» «Hercules VIII».</w:t>
      </w:r>
    </w:p>
    <w:p w14:paraId="4C4D4682"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 проводились первоначально частным образом, но в 1944 году самолет М.39В был передан в Королевский авиационный научно-исследовательский институт в Фарнборо, где после двух аварий испытания были завершены (14960).</w:t>
      </w:r>
    </w:p>
    <w:p w14:paraId="4B96C34A"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36FC66BF"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22 июля 1943 первый полет </w:t>
      </w:r>
      <w:r w:rsidRPr="00271E51">
        <w:rPr>
          <w:rFonts w:ascii="Times New Roman" w:hAnsi="Times New Roman"/>
          <w:color w:val="0070C0"/>
          <w:sz w:val="16"/>
          <w:szCs w:val="16"/>
          <w:lang w:val="en-US"/>
        </w:rPr>
        <w:t>Miles</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M</w:t>
      </w:r>
      <w:r w:rsidRPr="00271E51">
        <w:rPr>
          <w:rFonts w:ascii="Times New Roman" w:hAnsi="Times New Roman"/>
          <w:color w:val="0070C0"/>
          <w:sz w:val="16"/>
          <w:szCs w:val="16"/>
        </w:rPr>
        <w:t>.39</w:t>
      </w:r>
      <w:r w:rsidRPr="00271E51">
        <w:rPr>
          <w:rFonts w:ascii="Times New Roman" w:hAnsi="Times New Roman"/>
          <w:color w:val="0070C0"/>
          <w:sz w:val="16"/>
          <w:szCs w:val="16"/>
          <w:lang w:val="en-US"/>
        </w:rPr>
        <w:t>B</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Libellula</w:t>
      </w:r>
      <w:r w:rsidRPr="00271E51">
        <w:rPr>
          <w:rFonts w:ascii="Times New Roman" w:hAnsi="Times New Roman"/>
          <w:color w:val="0070C0"/>
          <w:sz w:val="16"/>
          <w:szCs w:val="16"/>
        </w:rPr>
        <w:t xml:space="preserve"> (20376).</w:t>
      </w:r>
    </w:p>
    <w:p w14:paraId="0BFE8954" w14:textId="77777777" w:rsidR="00CA6A5B" w:rsidRPr="00271E51" w:rsidRDefault="00CA6A5B" w:rsidP="00271E51">
      <w:pPr>
        <w:spacing w:after="0" w:line="240" w:lineRule="auto"/>
        <w:jc w:val="both"/>
        <w:rPr>
          <w:rFonts w:ascii="Times New Roman" w:hAnsi="Times New Roman"/>
          <w:color w:val="0070C0"/>
          <w:sz w:val="16"/>
          <w:szCs w:val="16"/>
        </w:rPr>
      </w:pPr>
    </w:p>
    <w:p w14:paraId="3EE70A1F"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июля 1943 года — первый полёт экспериментального самолёта Miles M.39B Libellula. /Великобритания/</w:t>
      </w:r>
    </w:p>
    <w:p w14:paraId="407C205A"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1941 году компания Miles Aircraft представила проект палубного истребителя с тандемным крылом M.35. Успеха он не имел, но Джордж Майлз не сдавался и предложил проект бомбардировщика M.39 аналогичной схемы. Для отработки концепции построили летающий прототип в масштабе 5/8 — Miles M.39B.</w:t>
      </w:r>
    </w:p>
    <w:p w14:paraId="74F1F568"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Представлял из себя двухмоторный самолёт с тандемным крылом. Благодаря такой аэродинамической схеме, пилоту обеспечивался хороший обзор вперёд — важное качество для палубной авиации. Максимальная скорость M.39B — 164 км/ч.</w:t>
      </w:r>
    </w:p>
    <w:p w14:paraId="01609963"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Первые испытания нового самолёта проводились специалистами Miles Aircraft. M.39B показал удовлетворительные лётные характеристики и в 1944 году был передан в Королевский авиационный научно-исследовательский институт в Фарнборо. Но во время испытаний в Фарнборо самолёт дважды попадал в аварии, и в итоге от проекта бомбардировщика отказались. Единственный построенный M.39B был разобран (22300).</w:t>
      </w:r>
    </w:p>
    <w:p w14:paraId="71E90F27" w14:textId="77777777" w:rsidR="00CA6A5B" w:rsidRPr="00271E51" w:rsidRDefault="00CA6A5B" w:rsidP="00271E51">
      <w:pPr>
        <w:spacing w:after="0" w:line="240" w:lineRule="auto"/>
        <w:jc w:val="both"/>
        <w:rPr>
          <w:rFonts w:ascii="Times New Roman" w:hAnsi="Times New Roman"/>
          <w:color w:val="0070C0"/>
          <w:sz w:val="16"/>
          <w:szCs w:val="16"/>
        </w:rPr>
      </w:pPr>
    </w:p>
    <w:p w14:paraId="14F7411C"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22 июля 1943 - Модель английского бомбардировщика М.39В в 5/8 его натуральной величины поднялась в воздух и продемонстрировала аэродинамическую устойчивость. M.39 Libellula - экспериментальный бомбардировщик, разработанный английской фирмой Miles. Среди множества проектов, появившихся от Майлса во время Второй мировой войны, двумя наиболее странными были самолеты с тандемным расположением крыльев Майлс М.35 и М.39. Хотя большинство проектов так и остались на бумаге, эти два необычных самолета были построены и летали. Самолет М.35 был изготовлен и поднят в воздух в течение шести недель, но оказался неустойчивым в полете. Испытания в аэродинамической трубе показали, что эта проблема разрешима, и Джордж Майлс задумал тяжелый бомбардировщик М.39, который должен был оснащаться тремя турбореактивными двигателями или, для начала, двумя высотными моторами Rolls-Royce Merlin 60 или Bristol Hercules VIII.</w:t>
      </w:r>
    </w:p>
    <w:p w14:paraId="6C898A70"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Летные испытания проводились первоначально частным образом, но в 1944 году самолет М.39В был передан в Королевский авиационный научно-исследовательский институт в Фарнборо, где после двух аварий испытания были завершены (22422).</w:t>
      </w:r>
    </w:p>
    <w:p w14:paraId="7390DE86" w14:textId="77777777" w:rsidR="00CA6A5B" w:rsidRPr="00271E51" w:rsidRDefault="00CA6A5B" w:rsidP="00271E51">
      <w:pPr>
        <w:spacing w:after="0" w:line="240" w:lineRule="auto"/>
        <w:jc w:val="both"/>
        <w:rPr>
          <w:rFonts w:ascii="Times New Roman" w:hAnsi="Times New Roman"/>
          <w:color w:val="0070C0"/>
          <w:sz w:val="16"/>
          <w:szCs w:val="16"/>
        </w:rPr>
      </w:pPr>
    </w:p>
    <w:p w14:paraId="17B5B3FE"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июля 1943 46 американских бомбардировщиков атаковали японский конвой в Бугенвильском проливе, потопив авианосец « Нисшин» (20376).</w:t>
      </w:r>
    </w:p>
    <w:p w14:paraId="30C6CDBF" w14:textId="77777777" w:rsidR="00CA6A5B" w:rsidRPr="00271E51" w:rsidRDefault="00CA6A5B" w:rsidP="00271E51">
      <w:pPr>
        <w:spacing w:after="0" w:line="240" w:lineRule="auto"/>
        <w:jc w:val="both"/>
        <w:rPr>
          <w:rFonts w:ascii="Times New Roman" w:hAnsi="Times New Roman"/>
          <w:color w:val="0070C0"/>
          <w:sz w:val="16"/>
          <w:szCs w:val="16"/>
        </w:rPr>
      </w:pPr>
    </w:p>
    <w:p w14:paraId="55CFF43F" w14:textId="77777777" w:rsidR="00CA6A5B" w:rsidRPr="00271E51" w:rsidRDefault="00CA6A5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июля 1943 бомбардировщик Авро Ланкастер, переоборудованный для использования в качестве транспортного самолета, во время церемонии открытия Trans Service Air, эксплуатируемой Trans-Canada Air Lines правительства Canada, устанавливает рекорд скорости безпосадочного полета из аэропорта Дорваль, Монреаль, Квебек, Канада, в Прествик, Шотландия , продолжительностью 12 часов 26 минут (20376).</w:t>
      </w:r>
    </w:p>
    <w:p w14:paraId="25DA0941" w14:textId="77777777" w:rsidR="00CA6A5B" w:rsidRPr="00271E51" w:rsidRDefault="00CA6A5B" w:rsidP="00271E51">
      <w:pPr>
        <w:spacing w:after="0" w:line="240" w:lineRule="auto"/>
        <w:jc w:val="both"/>
        <w:rPr>
          <w:rFonts w:ascii="Times New Roman" w:hAnsi="Times New Roman"/>
          <w:color w:val="0070C0"/>
          <w:sz w:val="16"/>
          <w:szCs w:val="16"/>
        </w:rPr>
      </w:pPr>
    </w:p>
    <w:p w14:paraId="71CED475"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июля в 1943 году </w:t>
      </w:r>
      <w:hyperlink r:id="rId37" w:tgtFrame="_blank" w:history="1">
        <w:r w:rsidRPr="00271E51">
          <w:rPr>
            <w:rFonts w:ascii="Times New Roman" w:hAnsi="Times New Roman"/>
            <w:color w:val="000000" w:themeColor="text1"/>
            <w:sz w:val="16"/>
            <w:szCs w:val="16"/>
          </w:rPr>
          <w:t xml:space="preserve">«Avro 691» «Lancastrian» </w:t>
        </w:r>
      </w:hyperlink>
      <w:r w:rsidRPr="00271E51">
        <w:rPr>
          <w:rFonts w:ascii="Times New Roman" w:hAnsi="Times New Roman"/>
          <w:color w:val="000000" w:themeColor="text1"/>
          <w:sz w:val="16"/>
          <w:szCs w:val="16"/>
        </w:rPr>
        <w:t>открыл канадскую правительственную трансатлантическую линию, обслуживаемую авиакомпанией «ТСА» ("Trans-Canada Airlines"), перевезя 4 тонны почты. «Avro 691» «Lancastrian» был создан в Канаде в 1942 году, когда на заводе компании "Victory Aircraft" с самолета «Lancaster» «B.Mk III» были удалены турельные установки, фюзеляж стал более обтекаемым, а на его бортах установили иллюминаторы. Компания "Trans Canada Airlines" оценила его летные характеристики и грузоподъемность как вполне удовлетворительные для транспортной машины. Из-за высокого спроса на скоростные транспортные самолеты прототип передали фирме "Avro" для внедрения более серьезных изменений, включивших установку 10 пассажирских кресел и дополнительных топливных баков, что позволило увеличить дальность полета до 6437 км (14960).</w:t>
      </w:r>
    </w:p>
    <w:p w14:paraId="26B97FE5"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356C438B"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июля в 1943 году завершилась макетная комиссия по американскому реактивному истребителю-бомбардировщику </w:t>
      </w:r>
      <w:hyperlink r:id="rId38" w:tgtFrame="_blank" w:history="1">
        <w:r w:rsidRPr="00271E51">
          <w:rPr>
            <w:rFonts w:ascii="Times New Roman" w:hAnsi="Times New Roman"/>
            <w:color w:val="000000" w:themeColor="text1"/>
            <w:sz w:val="16"/>
            <w:szCs w:val="16"/>
          </w:rPr>
          <w:t xml:space="preserve">«ХР-80». </w:t>
        </w:r>
      </w:hyperlink>
      <w:r w:rsidRPr="00271E51">
        <w:rPr>
          <w:rFonts w:ascii="Times New Roman" w:hAnsi="Times New Roman"/>
          <w:color w:val="000000" w:themeColor="text1"/>
          <w:sz w:val="16"/>
          <w:szCs w:val="16"/>
        </w:rPr>
        <w:t>Комиссия рекомендовала 18 более-менее крупных доработок, и уже началась сборка первого «ХР-80» (№ 44-83020). Учитывая высокий приоритет работ, изготовление опытного «ХР-80» продвигалось очень быстро. Для экономии времени гермокабину на него решили не ставить. Однако возникли трудности с турбореактивным двигателем, так как англичане не могли поставить вовремя даже нелетный образец. В результате «Локхид» для сборки самолета и первых испытаний была вынуждена использовать его деревянный макет (14960).</w:t>
      </w:r>
    </w:p>
    <w:p w14:paraId="1567ECB0"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4EEFD07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в 1943 году в Италии американские войска оккупируют Палермо, административный центр Сицилии (14960).</w:t>
      </w:r>
    </w:p>
    <w:p w14:paraId="611D255E"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362F739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войска союзников заняли Палермо (4962).</w:t>
      </w:r>
    </w:p>
    <w:p w14:paraId="55717B8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C1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22 1943 Americans capture Palermo, Sicily (1050).</w:t>
      </w:r>
    </w:p>
    <w:p w14:paraId="67547A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F8EB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1943 американцы захватили Палермо в Сицилии (1050).</w:t>
      </w:r>
    </w:p>
    <w:p w14:paraId="1E795C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C374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570BA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9FD9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А.И.Ш. докладывали (справка N 441):</w:t>
      </w:r>
    </w:p>
    <w:p w14:paraId="3F63F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"Докладывали, что самолет Ил-6 из Иркутска отправлен 5 июля вагоны N 156016, 1021007, 1240788, 564382 с воинским транспортом 91/5921. 25 июля 1943 будут в пункте назначения." (1786,266).</w:t>
      </w:r>
    </w:p>
    <w:p w14:paraId="7A1873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B5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МиГ-3У (Д-01) перегнали в НИИ ВВС для гос. испытаний, которые проходили с 28 июля по 6 августа 1943. Программа заводских испытаний включала 28 полетов с налетом 13:26ю основные проблемы были связаны с доводкой ВМГ (5046,32).</w:t>
      </w:r>
    </w:p>
    <w:p w14:paraId="28D5CF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30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г. был готов самолет Як-9 М-107А, аналогичный тому, что испытывали в ЛИИ, но на основе планера Як-9Т с задним расположением кабины. Достаточно быстро Яковлев внес необходимые улучшения в конструкцию, по аналогии с самолетом Як-1М "Дублер”. Отсек вооружения переделали, установив пушку ШВАК-20 и два синхронных пулемета УБС (4842).</w:t>
      </w:r>
    </w:p>
    <w:p w14:paraId="7C90D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8C0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ведущий инженер Князев закончил состав</w:t>
      </w:r>
      <w:r w:rsidRPr="00271E51">
        <w:rPr>
          <w:rFonts w:ascii="Times New Roman" w:hAnsi="Times New Roman"/>
          <w:color w:val="000000" w:themeColor="text1"/>
          <w:sz w:val="16"/>
          <w:szCs w:val="16"/>
        </w:rPr>
        <w:softHyphen/>
        <w:t>ление отчета, который подписал Микоян. Дальней</w:t>
      </w:r>
      <w:r w:rsidRPr="00271E51">
        <w:rPr>
          <w:rFonts w:ascii="Times New Roman" w:hAnsi="Times New Roman"/>
          <w:color w:val="000000" w:themeColor="text1"/>
          <w:sz w:val="16"/>
          <w:szCs w:val="16"/>
        </w:rPr>
        <w:softHyphen/>
        <w:t>шую судьбу машины должен был решить НИИ ВВС, который принял ту же машину МиГ—ЗД1. Начальник института назначил ответственными за проведение ис</w:t>
      </w:r>
      <w:r w:rsidRPr="00271E51">
        <w:rPr>
          <w:rFonts w:ascii="Times New Roman" w:hAnsi="Times New Roman"/>
          <w:color w:val="000000" w:themeColor="text1"/>
          <w:sz w:val="16"/>
          <w:szCs w:val="16"/>
        </w:rPr>
        <w:softHyphen/>
        <w:t>пытаний инженера А.С.Розанова и летчика В.И.Хомя</w:t>
      </w:r>
      <w:r w:rsidRPr="00271E51">
        <w:rPr>
          <w:rFonts w:ascii="Times New Roman" w:hAnsi="Times New Roman"/>
          <w:color w:val="000000" w:themeColor="text1"/>
          <w:sz w:val="16"/>
          <w:szCs w:val="16"/>
        </w:rPr>
        <w:softHyphen/>
        <w:t>кова (9984).</w:t>
      </w:r>
    </w:p>
    <w:p w14:paraId="5FA36D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A4453" w14:textId="77777777" w:rsidR="00CA7A1C" w:rsidRPr="00271E51" w:rsidRDefault="00CA7A1C" w:rsidP="00271E51">
      <w:pPr>
        <w:pStyle w:val="a3"/>
        <w:rPr>
          <w:color w:val="000000" w:themeColor="text1"/>
          <w:lang w:val="ru-RU"/>
        </w:rPr>
      </w:pPr>
      <w:r w:rsidRPr="00271E51">
        <w:rPr>
          <w:color w:val="000000" w:themeColor="text1"/>
          <w:lang w:val="ru-RU"/>
        </w:rPr>
        <w:t>23 июля 1943 машину МиГ-3У (Д-01) перегнали в НИИ ВВС КА на государственные испытания, которые прошли с 28 июля по 6 августа 1943 г. Ответственными за их проведение были назначены ведущий инженер капитан А.С. Розанов и лётчик-испытатель подполковник В.И. Хомяков.</w:t>
      </w:r>
    </w:p>
    <w:p w14:paraId="53DBEEDB" w14:textId="77777777" w:rsidR="00CA7A1C" w:rsidRPr="00271E51" w:rsidRDefault="00CA7A1C" w:rsidP="00271E51">
      <w:pPr>
        <w:pStyle w:val="a3"/>
        <w:rPr>
          <w:color w:val="000000" w:themeColor="text1"/>
          <w:lang w:val="ru-RU"/>
        </w:rPr>
      </w:pPr>
      <w:r w:rsidRPr="00271E51">
        <w:rPr>
          <w:color w:val="000000" w:themeColor="text1"/>
          <w:lang w:val="ru-RU"/>
        </w:rPr>
        <w:t>За время госиспытаний на самолёте Д-01 выполнили 23 полёта, в том числе 10 высотных, с общим налётом 15 ч 26 мин. При нормальной полётной массе 3260 кг истребитель по</w:t>
      </w:r>
      <w:r w:rsidRPr="00271E51">
        <w:rPr>
          <w:color w:val="000000" w:themeColor="text1"/>
          <w:lang w:val="ru-RU"/>
        </w:rPr>
        <w:softHyphen/>
        <w:t>казал максимальную скорость 526 км/ч у земли и 656 км/ч на высоте 7000 м. Практиче</w:t>
      </w:r>
      <w:r w:rsidRPr="00271E51">
        <w:rPr>
          <w:color w:val="000000" w:themeColor="text1"/>
          <w:lang w:val="ru-RU"/>
        </w:rPr>
        <w:softHyphen/>
        <w:t>ский потолок составил 1 1900 м. Полёты на потолок выполнялись на номинальном режиме с площадками для охлаждения мотора. Самолёт набирал высоту 5000 м за 6,2 мин, а 8000 м за 10,6 мин. Манёвренность оценивалась на высоте 8000 м: левый вираж составлял 37 с, правый - 35 с; боевой разворот, как левый, так и правый - 22 с, при этом самолёт набирал 400 - 450 м высоты (15976).</w:t>
      </w:r>
    </w:p>
    <w:p w14:paraId="37672512" w14:textId="77777777" w:rsidR="00CA7A1C" w:rsidRPr="00271E51" w:rsidRDefault="00CA7A1C" w:rsidP="00271E51">
      <w:pPr>
        <w:pStyle w:val="a3"/>
        <w:rPr>
          <w:color w:val="000000" w:themeColor="text1"/>
          <w:lang w:val="ru-RU"/>
        </w:rPr>
      </w:pPr>
    </w:p>
    <w:p w14:paraId="0B05F1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года Майор Г.А. Мищенко сумел выя</w:t>
      </w:r>
      <w:r w:rsidRPr="00271E51">
        <w:rPr>
          <w:rFonts w:ascii="Times New Roman" w:hAnsi="Times New Roman"/>
          <w:color w:val="000000" w:themeColor="text1"/>
          <w:sz w:val="16"/>
          <w:szCs w:val="16"/>
        </w:rPr>
        <w:softHyphen/>
        <w:t>вить и еще один дефект моторостро</w:t>
      </w:r>
      <w:r w:rsidRPr="00271E51">
        <w:rPr>
          <w:rFonts w:ascii="Times New Roman" w:hAnsi="Times New Roman"/>
          <w:color w:val="000000" w:themeColor="text1"/>
          <w:sz w:val="16"/>
          <w:szCs w:val="16"/>
        </w:rPr>
        <w:softHyphen/>
        <w:t>ителей Ла-5ФН. Он выполнял задание, по тарировке ука</w:t>
      </w:r>
      <w:r w:rsidRPr="00271E51">
        <w:rPr>
          <w:rFonts w:ascii="Times New Roman" w:hAnsi="Times New Roman"/>
          <w:color w:val="000000" w:themeColor="text1"/>
          <w:sz w:val="16"/>
          <w:szCs w:val="16"/>
        </w:rPr>
        <w:softHyphen/>
        <w:t>зателя скорости на Ла-5ФН №3921ФН0351 с мотором № 8211104 на мерной базе в 20 км от завода. На третьем заходе на мерную базу с земли увидели появление клубоч</w:t>
      </w:r>
      <w:r w:rsidRPr="00271E51">
        <w:rPr>
          <w:rFonts w:ascii="Times New Roman" w:hAnsi="Times New Roman"/>
          <w:color w:val="000000" w:themeColor="text1"/>
          <w:sz w:val="16"/>
          <w:szCs w:val="16"/>
        </w:rPr>
        <w:softHyphen/>
        <w:t>ков белого дыма с левой стороны мотора. При проходе мерной базы дым пропал, но при четвертом прохо</w:t>
      </w:r>
      <w:r w:rsidRPr="00271E51">
        <w:rPr>
          <w:rFonts w:ascii="Times New Roman" w:hAnsi="Times New Roman"/>
          <w:color w:val="000000" w:themeColor="text1"/>
          <w:sz w:val="16"/>
          <w:szCs w:val="16"/>
        </w:rPr>
        <w:softHyphen/>
        <w:t>де вновь появился и усилился. Лет</w:t>
      </w:r>
      <w:r w:rsidRPr="00271E51">
        <w:rPr>
          <w:rFonts w:ascii="Times New Roman" w:hAnsi="Times New Roman"/>
          <w:color w:val="000000" w:themeColor="text1"/>
          <w:sz w:val="16"/>
          <w:szCs w:val="16"/>
        </w:rPr>
        <w:softHyphen/>
        <w:t>чик быстро набрал 800-1000 м высо</w:t>
      </w:r>
      <w:r w:rsidRPr="00271E51">
        <w:rPr>
          <w:rFonts w:ascii="Times New Roman" w:hAnsi="Times New Roman"/>
          <w:color w:val="000000" w:themeColor="text1"/>
          <w:sz w:val="16"/>
          <w:szCs w:val="16"/>
        </w:rPr>
        <w:softHyphen/>
        <w:t>ты и стал планировать на посадку в направлении аэродрома. Белый дым пошел уже сильной струей и, не до</w:t>
      </w:r>
      <w:r w:rsidRPr="00271E51">
        <w:rPr>
          <w:rFonts w:ascii="Times New Roman" w:hAnsi="Times New Roman"/>
          <w:color w:val="000000" w:themeColor="text1"/>
          <w:sz w:val="16"/>
          <w:szCs w:val="16"/>
        </w:rPr>
        <w:softHyphen/>
        <w:t>летая до аэродрома, самолет упал в торфоразработки, разрушился и час</w:t>
      </w:r>
      <w:r w:rsidRPr="00271E51">
        <w:rPr>
          <w:rFonts w:ascii="Times New Roman" w:hAnsi="Times New Roman"/>
          <w:color w:val="000000" w:themeColor="text1"/>
          <w:sz w:val="16"/>
          <w:szCs w:val="16"/>
        </w:rPr>
        <w:softHyphen/>
        <w:t>тично сгорел. При осмотре остатков самолета и мотора было обнаружено, что сорван цилиндр №12, картер в месте крепления цилиндра №12 и прилегающие цилиндры №№10 и 14 имеют долевой разрыв главным ша</w:t>
      </w:r>
      <w:r w:rsidRPr="00271E51">
        <w:rPr>
          <w:rFonts w:ascii="Times New Roman" w:hAnsi="Times New Roman"/>
          <w:color w:val="000000" w:themeColor="text1"/>
          <w:sz w:val="16"/>
          <w:szCs w:val="16"/>
        </w:rPr>
        <w:softHyphen/>
        <w:t>туном. Цилиндром №12 была разор</w:t>
      </w:r>
      <w:r w:rsidRPr="00271E51">
        <w:rPr>
          <w:rFonts w:ascii="Times New Roman" w:hAnsi="Times New Roman"/>
          <w:color w:val="000000" w:themeColor="text1"/>
          <w:sz w:val="16"/>
          <w:szCs w:val="16"/>
        </w:rPr>
        <w:softHyphen/>
        <w:t>вана трубка высокого давления и кол</w:t>
      </w:r>
      <w:r w:rsidRPr="00271E51">
        <w:rPr>
          <w:rFonts w:ascii="Times New Roman" w:hAnsi="Times New Roman"/>
          <w:color w:val="000000" w:themeColor="text1"/>
          <w:sz w:val="16"/>
          <w:szCs w:val="16"/>
        </w:rPr>
        <w:softHyphen/>
        <w:t>лектор проводов высокого напряже</w:t>
      </w:r>
      <w:r w:rsidRPr="00271E51">
        <w:rPr>
          <w:rFonts w:ascii="Times New Roman" w:hAnsi="Times New Roman"/>
          <w:color w:val="000000" w:themeColor="text1"/>
          <w:sz w:val="16"/>
          <w:szCs w:val="16"/>
        </w:rPr>
        <w:softHyphen/>
        <w:t>ния, с цилиндра №8 сорвана головка, шатуны и поршни передней звезды полностью разрушены на мелкие бес</w:t>
      </w:r>
      <w:r w:rsidRPr="00271E51">
        <w:rPr>
          <w:rFonts w:ascii="Times New Roman" w:hAnsi="Times New Roman"/>
          <w:color w:val="000000" w:themeColor="text1"/>
          <w:sz w:val="16"/>
          <w:szCs w:val="16"/>
        </w:rPr>
        <w:softHyphen/>
        <w:t>форменные куски. Характер повреж</w:t>
      </w:r>
      <w:r w:rsidRPr="00271E51">
        <w:rPr>
          <w:rFonts w:ascii="Times New Roman" w:hAnsi="Times New Roman"/>
          <w:color w:val="000000" w:themeColor="text1"/>
          <w:sz w:val="16"/>
          <w:szCs w:val="16"/>
        </w:rPr>
        <w:softHyphen/>
        <w:t>дений свидетельствовал, что цилиндр №12 был сорван со шпилек его креп</w:t>
      </w:r>
      <w:r w:rsidRPr="00271E51">
        <w:rPr>
          <w:rFonts w:ascii="Times New Roman" w:hAnsi="Times New Roman"/>
          <w:color w:val="000000" w:themeColor="text1"/>
          <w:sz w:val="16"/>
          <w:szCs w:val="16"/>
        </w:rPr>
        <w:softHyphen/>
        <w:t>ления еще в воздухе. Причина - недотяжка гаек при сборке мотора на заводе №19. В результате срочно был усилен контроль за сборкой мо</w:t>
      </w:r>
      <w:r w:rsidRPr="00271E51">
        <w:rPr>
          <w:rFonts w:ascii="Times New Roman" w:hAnsi="Times New Roman"/>
          <w:color w:val="000000" w:themeColor="text1"/>
          <w:sz w:val="16"/>
          <w:szCs w:val="16"/>
        </w:rPr>
        <w:softHyphen/>
        <w:t>торов (10723).</w:t>
      </w:r>
    </w:p>
    <w:p w14:paraId="7E0A58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F5E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23/24 июля 1943 начальник Главвоенсанупра генерал-лейтенант медслужбы Е. Смирнов писал письмо N 1372695 Шахурину.</w:t>
      </w:r>
    </w:p>
    <w:p w14:paraId="0E7FD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ТС-1 конструктора Щербакова при изготовлении его в санитарном варианте, явится единственным и крайне необходимым санитарным самолетом среднего типа.</w:t>
      </w:r>
    </w:p>
    <w:p w14:paraId="594676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своим конструктивным данным он отвечает всем требованиям воздушной санитарной эвакуации.</w:t>
      </w:r>
    </w:p>
    <w:p w14:paraId="7F483C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хорошую грузоподъемность, скорость и пассажиро-вместимость самолет может эффективно использоваться для подвоза фронтам крови, срочного медимущества и обратными рейсами эвакуации тяжело раненых.</w:t>
      </w:r>
    </w:p>
    <w:p w14:paraId="114738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заводу 482 о представлении на испытание самолета ТС-1 в НИИ ВВС в санитарном варианте.</w:t>
      </w:r>
    </w:p>
    <w:p w14:paraId="743FF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по устройству подвесок для использования самолета в санитарном варианте не представляет никаких сложностей и потребует минимальных материальных затрат (1779).</w:t>
      </w:r>
    </w:p>
    <w:p w14:paraId="554C50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946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года А. Шахурин писал письмо зам. председателя СНК Молотову В.М.</w:t>
      </w:r>
    </w:p>
    <w:p w14:paraId="23922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Распоряжением СНК № 9423р от 11 мая 1943 года НКАП было предложено к 1 июля 1943 года проверить и представить в Совнарком заключение о возможности окраски самолетов методом нанесения лакокрасочных материалов в подогретом виде.</w:t>
      </w:r>
    </w:p>
    <w:p w14:paraId="38E200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окончание всех лабораторных работ, проверка в заводских условиях задержалась из-за перегрузки заводов в этот период малярными работами.</w:t>
      </w:r>
    </w:p>
    <w:p w14:paraId="513EF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разрешению перенести срок окончания этой работы на 15 августа 1943 года (8913).</w:t>
      </w:r>
    </w:p>
    <w:p w14:paraId="774FE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8925F"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FA42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C6CD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года наркому танковой промышленности В. Малышеву были направлены материалы к заседанию коллегии НКТП:</w:t>
      </w:r>
    </w:p>
    <w:p w14:paraId="4A075C6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 183, Кировский и Уралмаш не выполнили в июне и июле месяцах выпуск танков с командирскими башенками, чем сорвали постановление ГКО № 3531 ее от 7 июня с.г, и приказ Наркомата за № 356с от 6 июля.</w:t>
      </w:r>
    </w:p>
    <w:p w14:paraId="176FAF8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УЗТМ тов. Музурков, обязанный поставлять Кировскому заводу начиная с 12 июля ежесуточно по 5 башен с приваренной командирской башенкой 43-30- 107сб и россыпью броневых обработанных деталей 34-30-717 и 34-30-718 - этого не выполнил: по 26 июля включительно Кировскому заводу отгружено всего 38 башенок, из которых Кировский завод получил только 20.</w:t>
      </w:r>
    </w:p>
    <w:p w14:paraId="32ADDA6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Кировского завода тов. Зальцман был обязан закончить подготовку производства для изготовления и монтажа на Кировском заводе всех деталей командирской башенки к 12 июля с.г. — свое обязательство в срок также не выполнил.</w:t>
      </w:r>
    </w:p>
    <w:p w14:paraId="529FC39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174 тов. Задорожный, обязанный закончить всю подготовку к производству не позднее 12 июля, должен был выпустить по25 июля 30 машин с командирской башенкой - не выполнил своих обязательств и фактически тоже сорвал выполнение приказа.</w:t>
      </w:r>
    </w:p>
    <w:p w14:paraId="562001A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отдельным заводам состояние выпуска машин с командирской башенкой следующее:</w:t>
      </w:r>
    </w:p>
    <w:p w14:paraId="24EB3BA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112.</w:t>
      </w:r>
    </w:p>
    <w:p w14:paraId="6F5D52E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тов. Рубинчик обязан выпустить в июле 70 башен с командирской башенкой. Для обеспечения выпуска машин с командирской башенкой завод вынужден был параллельно изменить также основную башню. По состоянию на 26 июля отлито:</w:t>
      </w:r>
    </w:p>
    <w:p w14:paraId="6A42802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rPr>
        <w:tab/>
        <w:t>основной измененной башни - 120;</w:t>
      </w:r>
    </w:p>
    <w:p w14:paraId="143BF56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w:t>
      </w:r>
      <w:r w:rsidRPr="00271E51">
        <w:rPr>
          <w:rFonts w:ascii="Times New Roman" w:hAnsi="Times New Roman"/>
          <w:color w:val="000000" w:themeColor="text1"/>
          <w:sz w:val="16"/>
          <w:szCs w:val="16"/>
        </w:rPr>
        <w:tab/>
        <w:t>находится в разных стадиях обработки — 18 башен;</w:t>
      </w:r>
    </w:p>
    <w:p w14:paraId="5B42F71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color w:val="000000" w:themeColor="text1"/>
          <w:sz w:val="16"/>
          <w:szCs w:val="16"/>
        </w:rPr>
        <w:tab/>
        <w:t>полностью обработано и подано под монтаж - 4;</w:t>
      </w:r>
    </w:p>
    <w:p w14:paraId="330F0D4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w:t>
      </w:r>
      <w:r w:rsidRPr="00271E51">
        <w:rPr>
          <w:rFonts w:ascii="Times New Roman" w:hAnsi="Times New Roman"/>
          <w:color w:val="000000" w:themeColor="text1"/>
          <w:sz w:val="16"/>
          <w:szCs w:val="16"/>
        </w:rPr>
        <w:tab/>
        <w:t>отлито командирских баше- нок-80;</w:t>
      </w:r>
    </w:p>
    <w:p w14:paraId="637DD67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w:t>
      </w:r>
      <w:r w:rsidRPr="00271E51">
        <w:rPr>
          <w:rFonts w:ascii="Times New Roman" w:hAnsi="Times New Roman"/>
          <w:color w:val="000000" w:themeColor="text1"/>
          <w:sz w:val="16"/>
          <w:szCs w:val="16"/>
        </w:rPr>
        <w:tab/>
        <w:t>находится в разных стадиях обработки командирских башенок - 15;</w:t>
      </w:r>
    </w:p>
    <w:p w14:paraId="6D9902A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w:t>
      </w:r>
      <w:r w:rsidRPr="00271E51">
        <w:rPr>
          <w:rFonts w:ascii="Times New Roman" w:hAnsi="Times New Roman"/>
          <w:color w:val="000000" w:themeColor="text1"/>
          <w:sz w:val="16"/>
          <w:szCs w:val="16"/>
        </w:rPr>
        <w:tab/>
        <w:t>полностью обработано и передано на монтаж - 5;</w:t>
      </w:r>
    </w:p>
    <w:p w14:paraId="220854D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w:t>
      </w:r>
      <w:r w:rsidRPr="00271E51">
        <w:rPr>
          <w:rFonts w:ascii="Times New Roman" w:hAnsi="Times New Roman"/>
          <w:color w:val="000000" w:themeColor="text1"/>
          <w:sz w:val="16"/>
          <w:szCs w:val="16"/>
        </w:rPr>
        <w:tab/>
        <w:t>смонтированной на машины - 1.</w:t>
      </w:r>
    </w:p>
    <w:p w14:paraId="34AC1D6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находится на испытаниях, до конца месяца завод сможет выпустить 20-25 комплектов основных и командирских башенок. Таким образом, завод № 112 приказ № 356с в июле не выполнит.</w:t>
      </w:r>
    </w:p>
    <w:p w14:paraId="49F14CC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Основной причиной задержки выпуска машин с командирскими башенками в июле является необходимость изменения основной башни, что повлекло за собой целый ряд изменений в отливке и обработке башен, а, следовательно, и изготовление значительного количества дополнительной оснастки. В июле завод № 112 обязан выпустить 130 машин с командирской башенкой. Это количество завод не сумеет выпустить.</w:t>
      </w:r>
    </w:p>
    <w:p w14:paraId="491ACC3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183.</w:t>
      </w:r>
    </w:p>
    <w:p w14:paraId="2418A7E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183 должен был в июне выпустить 60 машин с командирской башенкой и в июле — 350.</w:t>
      </w:r>
    </w:p>
    <w:p w14:paraId="60EF226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26 июля всего:</w:t>
      </w:r>
    </w:p>
    <w:p w14:paraId="510804E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Отлито - 673 башенки;</w:t>
      </w:r>
    </w:p>
    <w:p w14:paraId="3BB0642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Подано в цех № 700 - 420 башенок;</w:t>
      </w:r>
    </w:p>
    <w:p w14:paraId="78FE6D3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Смонтировано цехом № 700 - 163</w:t>
      </w:r>
    </w:p>
    <w:p w14:paraId="53B1341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Подано в цех 130 - 153;</w:t>
      </w:r>
    </w:p>
    <w:p w14:paraId="5028577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Наличие в монтаже в цехе 130 - 33;</w:t>
      </w:r>
    </w:p>
    <w:p w14:paraId="36AFFC1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Сдано собранных машин с командирскими башенками в цехе 150 - 120;</w:t>
      </w:r>
    </w:p>
    <w:p w14:paraId="18660CD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Отгружено машин с командирскими башенками - 78.</w:t>
      </w:r>
    </w:p>
    <w:p w14:paraId="1E0766D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июле месяце будет смонтировано в отделе 700 башен с командирской башенкой - 275:</w:t>
      </w:r>
    </w:p>
    <w:p w14:paraId="1D009AE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Всего будет выпущено машин с командирской башенкой - 150;</w:t>
      </w:r>
    </w:p>
    <w:p w14:paraId="3B423E4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повышения выпуска машин с командирской башенкой завод провел следующие мероприятия:</w:t>
      </w:r>
    </w:p>
    <w:p w14:paraId="775BAE1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rPr>
        <w:tab/>
        <w:t>изготовил два автомата для приварки крыши к корпусу башенки;</w:t>
      </w:r>
    </w:p>
    <w:p w14:paraId="1331833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w:t>
      </w:r>
      <w:r w:rsidRPr="00271E51">
        <w:rPr>
          <w:rFonts w:ascii="Times New Roman" w:hAnsi="Times New Roman"/>
          <w:color w:val="000000" w:themeColor="text1"/>
          <w:sz w:val="16"/>
          <w:szCs w:val="16"/>
        </w:rPr>
        <w:tab/>
        <w:t>изготовили два автомата для приварки нижнего погона командирской башенки;</w:t>
      </w:r>
    </w:p>
    <w:p w14:paraId="6D83A1E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color w:val="000000" w:themeColor="text1"/>
          <w:sz w:val="16"/>
          <w:szCs w:val="16"/>
        </w:rPr>
        <w:tab/>
        <w:t>организован и оснащен участок сборки крыши командирской башенки;</w:t>
      </w:r>
    </w:p>
    <w:p w14:paraId="6DE8163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w:t>
      </w:r>
      <w:r w:rsidRPr="00271E51">
        <w:rPr>
          <w:rFonts w:ascii="Times New Roman" w:hAnsi="Times New Roman"/>
          <w:color w:val="000000" w:themeColor="text1"/>
          <w:sz w:val="16"/>
          <w:szCs w:val="16"/>
        </w:rPr>
        <w:tab/>
        <w:t>изготовлена вся оснастка механической обработки деталей башенки;</w:t>
      </w:r>
    </w:p>
    <w:p w14:paraId="7BA8B4B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Перейти на 100% выпуск танков с командирской башенкой с 1 августа по сообщению тов. Максарева завод еще не сможет по следующим причинам:</w:t>
      </w:r>
    </w:p>
    <w:p w14:paraId="122992A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из-за неполучения с Кировского завода 3 станков для обработки нижних погонов командирской башенки. Карусельные станки, которые смогли выделить для этой работы, дают максимум 10 комплектов в день;</w:t>
      </w:r>
    </w:p>
    <w:p w14:paraId="5FEB866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из-за неукомплектованности квалифицированными эл. сварщиками и слесарями сборщиками. Необходимо отметить, что при запуске в массовое производство командирских башенок ряд запроектированных технологических процессов пришлось в корне менять — варка в каленую башню обечаек из двух половин для приварки погончика командирской башенки с последующей проваркой на карусельном станке и ряд других операций.</w:t>
      </w:r>
    </w:p>
    <w:p w14:paraId="698FFBA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Изготовление деталей для установки смотровых приборов МК-4 потребует выделения участка в 25-30 станков - одна броневая зашита потребует 4-5 токарных станков.</w:t>
      </w:r>
    </w:p>
    <w:p w14:paraId="53B7090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Необходима помощь от Наркомата немедленной отгрузки 3 карусельных станков с Кировского завода, а также укомплектовка квалифицированными эл. сварщиками и слесарями.</w:t>
      </w:r>
    </w:p>
    <w:p w14:paraId="2FE1D13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Уралмашзаводу.</w:t>
      </w:r>
    </w:p>
    <w:p w14:paraId="05251BD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мес.с.г. Уралмаш должен выпустить 20 машин с командирской башней.</w:t>
      </w:r>
    </w:p>
    <w:p w14:paraId="7BAA5C5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26 июля завод отлил башенок 197 шт., смонтировал 45 шт., собрал 6 шт., сдал военпреду 3 шт.</w:t>
      </w:r>
    </w:p>
    <w:p w14:paraId="51A5C09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рассчитывает в июле выпустить танков с командирскими башенками в количестве 8 шт. остальные машины будут заводом не доданы вследствие того, что сдаточный цех № 102 не успеет оформить сдачу более 80 машин Т-34. из которых будут 8 машин с командирской башенкой.</w:t>
      </w:r>
    </w:p>
    <w:p w14:paraId="5EDA16E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Затруднение с выпуском машин с командирской башенкой завод испытывал ввиду неотлаженности технологии литья башенок, вследствие чего имело место большое количество брака по башенкам. В настоящее время технология литья башенок отлажена, раковины в башенках ликвидированы, и завод рассчитывает в июле месяце отлить 250 шт. башенок. По заявлению нач. производства завода тов. Васильева, в август с.г. заводом может быть выпущено танков с командирскими башенками 75%.</w:t>
      </w:r>
    </w:p>
    <w:p w14:paraId="6FAC8E2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введением командирских башенок завод имеет дефицит по карусельным станкам.</w:t>
      </w:r>
    </w:p>
    <w:p w14:paraId="49D654E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26 дней июля Уралмашзавод отгрузил Кировскому заводу 38 шт. Всего в июле будет отгружено 60 шт.</w:t>
      </w:r>
    </w:p>
    <w:p w14:paraId="3E83B03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Кировскому заводу.</w:t>
      </w:r>
    </w:p>
    <w:p w14:paraId="5D0C958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месяце Кировский завод должен был выпустить 60 машин с командирской башенкой. На 26 июля получено с Уралмашзавода только 20 башенок, по числу которые и будет произведена сдача за июль (согласно сообщения тов. Зальцман).</w:t>
      </w:r>
    </w:p>
    <w:p w14:paraId="46D0806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смонтировано башенок на машины - 12. с 1 августа завод сможет выпускать машины с командирской башенкой столько, сколько будет поставлять башенок Уралмашзавод. Каких-либо внутризаводских причин, препятствующих выпуску машин, не предвидится. Задержку может вызвать получение смотровых приборов МК-4, которые должны быть поданы в ближайшее время.</w:t>
      </w:r>
    </w:p>
    <w:p w14:paraId="47DAEA0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174.</w:t>
      </w:r>
    </w:p>
    <w:p w14:paraId="344FE22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174 подготовку производства по командирским башенками закончил только 20 июля.</w:t>
      </w:r>
    </w:p>
    <w:p w14:paraId="77A30DE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26 июля:</w:t>
      </w:r>
    </w:p>
    <w:p w14:paraId="4559A28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Отлито башенок - 66;</w:t>
      </w:r>
    </w:p>
    <w:p w14:paraId="1ABBCFE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Механически обработано - 29;</w:t>
      </w:r>
    </w:p>
    <w:p w14:paraId="3223D51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Термически обработано - 25;</w:t>
      </w:r>
    </w:p>
    <w:p w14:paraId="23B2BD1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Обработано погонов - 18;</w:t>
      </w:r>
    </w:p>
    <w:p w14:paraId="1B0C8D6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Смонтировано машин с командирской башенкой - 14;</w:t>
      </w:r>
    </w:p>
    <w:p w14:paraId="4B9A23F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Собрано машин - 3;</w:t>
      </w:r>
    </w:p>
    <w:p w14:paraId="7362188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Сдано машин - 1.</w:t>
      </w:r>
    </w:p>
    <w:p w14:paraId="15552CC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оставшиеся дни июля заводу нужно сдать 29 машин с командирскими башенками, условия для выполнения данного задания по механической обработке у завода есть, так как по заявлению руководства завода 27 июля механическая и термическая обработка всех 30 башенок будет закончена, и они будут сданы на укомплектовку в монтаж машин с командирскими башенками. С комплектацией и монтажом есть опасения, что завод № 174 не справится, и все 30 машин с командирскими башенками не сдаст в июле.</w:t>
      </w:r>
    </w:p>
    <w:p w14:paraId="7FA26C8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Перспектива по производству башенок на заводе № 174 в августе имеется, и установленный план по танкам с командирскими башенками является реальным.</w:t>
      </w:r>
    </w:p>
    <w:p w14:paraId="152A92B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 об установке смотровых приборов МК-4.</w:t>
      </w:r>
    </w:p>
    <w:p w14:paraId="1D4C6E4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183 дважды высылал чертежи установки смотровых приборов для утверждения в ГАБТУ КА и Наркомтанкпромом в первый раз ГАБТУ потребовало, ввиду того, что прибор стоял слишком низко и угол обзора был недостаточным, поднять прибор на 20 мм.</w:t>
      </w:r>
    </w:p>
    <w:p w14:paraId="182E3DF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выслал новые чертежи с поднятием прибора на 32 мм (установочный фланец перемешен из-под крыши башенки га крышу).</w:t>
      </w:r>
    </w:p>
    <w:p w14:paraId="410B960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ГАБТУ на эти чертежи отказалось утвердить, ссылаясь на то, что голова командира упирается при обзоре в крышу башенки и потребовало снизить установку на 10 мм.</w:t>
      </w:r>
    </w:p>
    <w:p w14:paraId="748762F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утверждения чертежей на месте выехал на завод № 183 тов. Афонин.</w:t>
      </w:r>
    </w:p>
    <w:p w14:paraId="08EC37B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полученным зам. нач. отдела главного конструктора тов. Бер сведениям 26 июля чертежи по 2 варианту завода ГАБТУ КА тов. Афониным утверждены и высылаются остальным танковым заводам для производства.</w:t>
      </w:r>
    </w:p>
    <w:p w14:paraId="6922DBF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5 смотровых приборов, высланные с завода № 393 заводу № 183, последний не получил. В настоящее время выслано еще 30 приборов, которые должны прибыть на завод № 183 27 или 28 июля».</w:t>
      </w:r>
    </w:p>
    <w:p w14:paraId="795DAD8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танки Т-34 с командирскими башенками начали поступать в войска в августе 1943 года. На выполнение постановления ГКО о введении командирских башенок (от 5 июня 1942 года) потребовалось почти 14 месяцев (12217).</w:t>
      </w:r>
    </w:p>
    <w:p w14:paraId="19D71E97"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6CBD3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вся документация по испытывающимся самоходкам была отправлена на АНИОН, где 25 июля начались госу</w:t>
      </w:r>
      <w:r w:rsidRPr="00271E51">
        <w:rPr>
          <w:rFonts w:ascii="Times New Roman" w:hAnsi="Times New Roman"/>
          <w:color w:val="000000" w:themeColor="text1"/>
          <w:sz w:val="16"/>
          <w:szCs w:val="16"/>
        </w:rPr>
        <w:softHyphen/>
        <w:t>дарственные испытания. По результатам испытаний отмечалось, что наибольшие удобства на походе и в стрельбе имеет СУ-85-11 с пушкой Д-5С85. Она же продемонстриро</w:t>
      </w:r>
      <w:r w:rsidRPr="00271E51">
        <w:rPr>
          <w:rFonts w:ascii="Times New Roman" w:hAnsi="Times New Roman"/>
          <w:color w:val="000000" w:themeColor="text1"/>
          <w:sz w:val="16"/>
          <w:szCs w:val="16"/>
        </w:rPr>
        <w:softHyphen/>
        <w:t>вана наивысший темп стрельбы (ввиду короткого отката и малой массы откатных частей) и наибольшее удобство в за</w:t>
      </w:r>
      <w:r w:rsidRPr="00271E51">
        <w:rPr>
          <w:rFonts w:ascii="Times New Roman" w:hAnsi="Times New Roman"/>
          <w:color w:val="000000" w:themeColor="text1"/>
          <w:sz w:val="16"/>
          <w:szCs w:val="16"/>
        </w:rPr>
        <w:softHyphen/>
        <w:t>ряжании ввиду низкой линии огня.</w:t>
      </w:r>
    </w:p>
    <w:p w14:paraId="319EEA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СУ-85-ГУ из-за больших размеров качающейся бро</w:t>
      </w:r>
      <w:r w:rsidRPr="00271E51">
        <w:rPr>
          <w:rFonts w:ascii="Times New Roman" w:hAnsi="Times New Roman"/>
          <w:color w:val="000000" w:themeColor="text1"/>
          <w:sz w:val="16"/>
          <w:szCs w:val="16"/>
        </w:rPr>
        <w:softHyphen/>
        <w:t>нировки орудия отмечен плохой обзор с места механика-водителя. СУ-122-111 снята с испытаний из-за поломки ору</w:t>
      </w:r>
      <w:r w:rsidRPr="00271E51">
        <w:rPr>
          <w:rFonts w:ascii="Times New Roman" w:hAnsi="Times New Roman"/>
          <w:color w:val="000000" w:themeColor="text1"/>
          <w:sz w:val="16"/>
          <w:szCs w:val="16"/>
        </w:rPr>
        <w:softHyphen/>
        <w:t>дия. Более или менее удовлетворительные результаты пока</w:t>
      </w:r>
      <w:r w:rsidRPr="00271E51">
        <w:rPr>
          <w:rFonts w:ascii="Times New Roman" w:hAnsi="Times New Roman"/>
          <w:color w:val="000000" w:themeColor="text1"/>
          <w:sz w:val="16"/>
          <w:szCs w:val="16"/>
        </w:rPr>
        <w:softHyphen/>
        <w:t>зала кроме СУ-85-11 также СУ-85-1 с карданной рамкой и качающимся бронированием, разработанными на Урал-машзаводе, но в нем был затруднен доступ к противооткат</w:t>
      </w:r>
      <w:r w:rsidRPr="00271E51">
        <w:rPr>
          <w:rFonts w:ascii="Times New Roman" w:hAnsi="Times New Roman"/>
          <w:color w:val="000000" w:themeColor="text1"/>
          <w:sz w:val="16"/>
          <w:szCs w:val="16"/>
        </w:rPr>
        <w:softHyphen/>
        <w:t>ным приспособлениям. Кроме того, все конструкции ЦАКБ отличались чрезмерным весом и габаритами, а также большими усилиями на маховиках подъемного и поворот</w:t>
      </w:r>
      <w:r w:rsidRPr="00271E51">
        <w:rPr>
          <w:rFonts w:ascii="Times New Roman" w:hAnsi="Times New Roman"/>
          <w:color w:val="000000" w:themeColor="text1"/>
          <w:sz w:val="16"/>
          <w:szCs w:val="16"/>
        </w:rPr>
        <w:softHyphen/>
        <w:t>ного механизмов.</w:t>
      </w:r>
    </w:p>
    <w:p w14:paraId="38887E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итоговом отчете говорилось, что все орудия недорабо</w:t>
      </w:r>
      <w:r w:rsidRPr="00271E51">
        <w:rPr>
          <w:rFonts w:ascii="Times New Roman" w:hAnsi="Times New Roman"/>
          <w:color w:val="000000" w:themeColor="text1"/>
          <w:sz w:val="16"/>
          <w:szCs w:val="16"/>
        </w:rPr>
        <w:softHyphen/>
        <w:t>таны, однако, учитывая острую необходимость СУ-85 в ар</w:t>
      </w:r>
      <w:r w:rsidRPr="00271E51">
        <w:rPr>
          <w:rFonts w:ascii="Times New Roman" w:hAnsi="Times New Roman"/>
          <w:color w:val="000000" w:themeColor="text1"/>
          <w:sz w:val="16"/>
          <w:szCs w:val="16"/>
        </w:rPr>
        <w:softHyphen/>
        <w:t>мии, комиссия предписала работы по Д-6, С-18 и С-18-1 прекратить, а все силы сосредоточить на спешной доработке СУ-85-2, вооруженной 85-мм пушкой Д-5С85, как обладаю</w:t>
      </w:r>
      <w:r w:rsidRPr="00271E51">
        <w:rPr>
          <w:rFonts w:ascii="Times New Roman" w:hAnsi="Times New Roman"/>
          <w:color w:val="000000" w:themeColor="text1"/>
          <w:sz w:val="16"/>
          <w:szCs w:val="16"/>
        </w:rPr>
        <w:softHyphen/>
        <w:t>щей наилучшей скорострельностью, кучностью и эксплуа</w:t>
      </w:r>
      <w:r w:rsidRPr="00271E51">
        <w:rPr>
          <w:rFonts w:ascii="Times New Roman" w:hAnsi="Times New Roman"/>
          <w:color w:val="000000" w:themeColor="text1"/>
          <w:sz w:val="16"/>
          <w:szCs w:val="16"/>
        </w:rPr>
        <w:softHyphen/>
        <w:t>тационными удобствами с целью дальнейшего принятия на вооружение. Начальник ЦАКБ В.Г. Грабин пытался продавить продолжение работ по С-18, декларируя грядущее быс</w:t>
      </w:r>
      <w:r w:rsidRPr="00271E51">
        <w:rPr>
          <w:rFonts w:ascii="Times New Roman" w:hAnsi="Times New Roman"/>
          <w:color w:val="000000" w:themeColor="text1"/>
          <w:sz w:val="16"/>
          <w:szCs w:val="16"/>
        </w:rPr>
        <w:softHyphen/>
        <w:t>трое увеличение у нее начальной скорости путем удлинения ствола до 60 калибров, но оценка массы получающейся пуш</w:t>
      </w:r>
      <w:r w:rsidRPr="00271E51">
        <w:rPr>
          <w:rFonts w:ascii="Times New Roman" w:hAnsi="Times New Roman"/>
          <w:color w:val="000000" w:themeColor="text1"/>
          <w:sz w:val="16"/>
          <w:szCs w:val="16"/>
        </w:rPr>
        <w:softHyphen/>
        <w:t>ки, видимо, испугала Техуправление НКВ, которое не санк</w:t>
      </w:r>
      <w:r w:rsidRPr="00271E51">
        <w:rPr>
          <w:rFonts w:ascii="Times New Roman" w:hAnsi="Times New Roman"/>
          <w:color w:val="000000" w:themeColor="text1"/>
          <w:sz w:val="16"/>
          <w:szCs w:val="16"/>
        </w:rPr>
        <w:softHyphen/>
        <w:t>ционировало продолжение работ в данном направлении.</w:t>
      </w:r>
    </w:p>
    <w:p w14:paraId="67719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Серийное производство СУ-85 началось с 1 августа 1943 г. (по словам Л.И. Горлицкого, 1 августа началась фак</w:t>
      </w:r>
      <w:r w:rsidRPr="00271E51">
        <w:rPr>
          <w:rFonts w:ascii="Times New Roman" w:hAnsi="Times New Roman"/>
          <w:color w:val="000000" w:themeColor="text1"/>
          <w:sz w:val="16"/>
          <w:szCs w:val="16"/>
        </w:rPr>
        <w:softHyphen/>
        <w:t>тическая приемка СУ-85, а выпуск машин без вооружения велся на УЗТМ уже в июле). Первые факты боевого приме</w:t>
      </w:r>
      <w:r w:rsidRPr="00271E51">
        <w:rPr>
          <w:rFonts w:ascii="Times New Roman" w:hAnsi="Times New Roman"/>
          <w:color w:val="000000" w:themeColor="text1"/>
          <w:sz w:val="16"/>
          <w:szCs w:val="16"/>
        </w:rPr>
        <w:softHyphen/>
        <w:t>нения полка СУ-85 имели место в составе 2-го Украинского фронта в конце августа 1943 г., где они впервые вступили в бои с немцами в ходе борьбы за плацдармы на Днепре (11417).</w:t>
      </w:r>
    </w:p>
    <w:p w14:paraId="0BEADF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0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Распоряжение ГКО № 3791. О выделении дополнительного мазута НКЧМ в целях увеличения производства стали в мартеновских печах в III кв. 1943 г.РГАНИР, Фонд ГКО, д. 136, лл. 165-166 (11012).</w:t>
      </w:r>
    </w:p>
    <w:p w14:paraId="7FDC3F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E3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Постановление ГКО № 3793 О мероприятиях по обеспечению выполнения плана черной металлургией в III квартале 1943 г. и по созданию запасов сырья и топлива на предприятиях Hаркомчермета для бесперебойной работы в зиму 1943-44 гг.РГАНИР, Фонд ГКО, д. 137, лл. 88-136, 137-178 (11012).</w:t>
      </w:r>
    </w:p>
    <w:p w14:paraId="01F6BE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9ECB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Постановление ГКО № 3794 О мерах помощи Чебоксарской электростанции. (7125, 179-180).</w:t>
      </w:r>
    </w:p>
    <w:p w14:paraId="01CC000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9F6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Распоряжение ГКО № 3795. О мерах по увеличению производства осветительных и осколочных авиабомб.РГАНИР, Фонд ГКО, д. 137, лл. 181-183 (11012).</w:t>
      </w:r>
    </w:p>
    <w:p w14:paraId="06E4F3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8393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Постановление ГКО № 3796 Об улучшении работы хлопкоочистительной промышленности и обеспечении сохранности хлопка-сырца, хлопка-волокна и технических семян на хлопкозаводах и заготпунктах Hаркомтекстиля СССР. (7125, 184-187,188-194).</w:t>
      </w:r>
    </w:p>
    <w:p w14:paraId="0B9713A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8B99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вышло Постановление ГКО № 3797 О производстве и поставке перевязочных средств. (7125, 195-196,197-203).</w:t>
      </w:r>
    </w:p>
    <w:p w14:paraId="3E55A9B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5D4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Петрозавод сдал флоту сухогрузную баржу (10671).</w:t>
      </w:r>
    </w:p>
    <w:p w14:paraId="4FB136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F2ED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C057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04B5D"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в 1943 году оперативная сводка Совинформбюро:</w:t>
      </w:r>
    </w:p>
    <w:p w14:paraId="18683489"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июля наши войска на Орловском направлении, преодолевая сопротивление противника, продолжали наступление, продвинувшись вперёд от 4 до 6 километров.</w:t>
      </w:r>
    </w:p>
    <w:p w14:paraId="70B42816"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преодолевая сопротивление и контратаки противника, продвинулись вперёд от 6 до 8 километров.</w:t>
      </w:r>
    </w:p>
    <w:p w14:paraId="4A72B64C"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наши войска продолжали вести бои местного значения и улучшили свои позиции.</w:t>
      </w:r>
    </w:p>
    <w:p w14:paraId="2DC86770"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Краснодара наши войска в результате атак местного значения улучшили свои позиции.</w:t>
      </w:r>
    </w:p>
    <w:p w14:paraId="7C3507C1"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июля на Орловском направлении наши войска подбили и уничтожили 92 немецких танка. В воздушных боях и огнём зенитной артиллерии сбито 112 самолётов противника.</w:t>
      </w:r>
    </w:p>
    <w:p w14:paraId="19776FAD"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преодолевая сопротивление противника, продолжали наступление.</w:t>
      </w:r>
    </w:p>
    <w:p w14:paraId="1603FD5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в районе города Волхова, занятого вчера нашими войсками, немцы предприняли несколько ожесточённых контратак. Советские части отбили все вражеские контратаки, истребили до полка немецкой пехоты и уничтожили 43 танка. Захвачены трофеи, в числе которых 9 танков и 16 орудий. На другом участке наши части в результате упорных боёв заняли сильно укреплённый опорный пункт противника. В боях за этот пункт уничтожено 1.800 немецких солдат и офицеров, подбито 28 вражеских танков и 8 самоходных орудий.</w:t>
      </w:r>
    </w:p>
    <w:p w14:paraId="321BB77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продолжали продвигаться вперёд. Укрепившись на берегу водного рубежа, немцы пытались остановить наступление советских частей. Наши бойцы стремительным броском переправились через реку и в результате ожесточённых боёв заняли несколько населённых пунктов. В течение дня на этом участке уничтожено более 2.000 гитлеровцев.</w:t>
      </w:r>
    </w:p>
    <w:p w14:paraId="6C5B4D63"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только на одном участке, уничтожено два батальона гитлеровцев, подбито и сожжено 14 немецких танков. Нашими частями захвачено несколько складов с продовольствием, боеприпасами и военным имуществом.</w:t>
      </w:r>
    </w:p>
    <w:p w14:paraId="05B4CF65"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Белгородском направлении наши войска, отбивая контратаки противника, продолжали продвигаться вперёд. Части Н-ского соединения овладели рядом населённых пунктов, уничтожив до тысячи солдат противника, 10 немецких танков, 5 бронетранспортёров и 8 самоходных орудий. Части другого нашего соединения </w:t>
      </w:r>
      <w:r w:rsidRPr="00271E51">
        <w:rPr>
          <w:rFonts w:ascii="Times New Roman" w:hAnsi="Times New Roman"/>
          <w:color w:val="000000" w:themeColor="text1"/>
          <w:sz w:val="16"/>
          <w:szCs w:val="16"/>
        </w:rPr>
        <w:lastRenderedPageBreak/>
        <w:t>продвинулись вперёд на 8 километров. Гвардии старший лейтенант Сёмин с 25 автоматчиками внезапным налётом захватил один населённый пункт и удержал его до подхода основных сил. Артиллерийский взвод гвардии лейтенанта Кушлянского, отражая контратаку противника, подбил 8 немецких танков.</w:t>
      </w:r>
    </w:p>
    <w:p w14:paraId="0485160F"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продолжались бои местного значения. Противник пытался вернуть потерянные накануне позиции, но успеха не добился. Полк немецкой пехоты и 80 танков контратаковали Н-скую часть. Встреченные артиллерийским огнём, гитлеровцы отступили, оставив на поле боя 18 изуродованных танков и до 600 трупов своих солдат и офицеров. Бойцы Н-ской части, продвигаясь вперёд, встретили сильное огневое сопротивление противника. Старший сержант Мамунц и красноармеец Даушвили скрытно подползли к вражескому дзоту, из которого немцы вели ураганный огонь. Наши бойцы забросали дзот гранатами и уничтожили находившихся в нём гитлеровцев. Красноармейцы подразделения, где командиром капитан Собакарь, залповым огнём сбили 2 немецких пикирующих бомбардировщика. На одном участке на сторону Красной Армии перешло несколько групп немецких солдат.</w:t>
      </w:r>
    </w:p>
    <w:p w14:paraId="00ABF20E"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Ворошиловграда наши войска продолжали вести активные боевые действия и заняли несколько выгодных позиций. Части Н-ского соединения за четыре дня боёв истребили несколько тысяч немецких солдат и офицеров и уничтожили много техники противника. Немцы предпринимали неоднократные контратаки. Батальон под командованием гвардии капитана Калинина отбил несколько ожесточённых контратак гитлеровцев и нанёс противнику большой урон в живой силе. Бронебойщики роты старшего лейтенанта Ежкова за день подбили 5 вражеских танков.</w:t>
      </w:r>
    </w:p>
    <w:p w14:paraId="5F71A3D4"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Калининского фронта наш разведывательный отряд совершил налёт на опорный пункт противника. Преодолев проволочные заграждения, красноармейцы-разведчики ворвались во вражеские траншеи и в рукопашном бою истребили 40 немцев. Захвачены трофеи и пленные.</w:t>
      </w:r>
    </w:p>
    <w:p w14:paraId="25A6E452"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Балтийского флота атаковали транспорты противника. Наблюдением отмечено прямое попадание торпеды в немецкий транспорт водоизмещением в 8.000 тонн. Транспорт переломился и затонул.</w:t>
      </w:r>
    </w:p>
    <w:p w14:paraId="0E91D6BD"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Житомирской области, подорвал немецкий эшелон с танками. Разбиты паровоз и 22 платформы. Все танки приведены в негодность. Через несколько дней партизаны этого отряда на другом участке железной дороги пустили под откос ещё два воинских поезда противника.» (14961).</w:t>
      </w:r>
    </w:p>
    <w:p w14:paraId="0BE7C5F0"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55A14148" w14:textId="77777777" w:rsidR="00CA7A1C" w:rsidRPr="00271E51" w:rsidRDefault="00CA7A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в 1943 году войска Брянcкого фронта нанесли поражение группировке противника в районе Мценска, вышли к рекам Ока и Оптуха. Войска Воронежского и Степного фронтов нанесли контрудар и отбросили противника к Белгороду в исходное положение, с которого он начал свое наступление 5 июля. Закончилась оборонительная операция советских войск в Курской битве: противник был измотан и обескровлен, созданы условия для перехода советских войск в контрнаступление (14961).</w:t>
      </w:r>
    </w:p>
    <w:p w14:paraId="265250BB" w14:textId="77777777" w:rsidR="00CA7A1C" w:rsidRPr="00271E51" w:rsidRDefault="00CA7A1C" w:rsidP="00271E51">
      <w:pPr>
        <w:spacing w:after="0" w:line="240" w:lineRule="auto"/>
        <w:jc w:val="both"/>
        <w:rPr>
          <w:rFonts w:ascii="Times New Roman" w:hAnsi="Times New Roman"/>
          <w:color w:val="000000" w:themeColor="text1"/>
          <w:sz w:val="16"/>
          <w:szCs w:val="16"/>
        </w:rPr>
      </w:pPr>
    </w:p>
    <w:p w14:paraId="3EEFED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23 июля 1943 войска ВФ восстановили положение, которое они занимали до 5 июля. Закончился оборонительный период КБ. Выполнили 28 тыс. вылетов и 1000 воздушных боев. Сбили 1400 самолетов - 517 на орловско-курском и 899 на белгород-курском (340,147). Действовало 3 ВА и АДД. В среднем выполняли 2300 вылетов в день, т.е. втрое больше по сравнению с битвой под Москвой. На поддержку войск на поле боя - 50% вылетов, господство в воздухе - 43.5%. На фронт протяженностью 100 км с обоих сторон действовало около 5 тыс. самолетов (340,148).</w:t>
      </w:r>
    </w:p>
    <w:p w14:paraId="1569B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68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23 июля 1943 на белгородско-харьковском направлении наши войска вышли на позиции, которые занимали до начала немецкого наступления. 3 августа началось контрнаступление Воронежского и Степного фронтов. К этому времени танковые соединения были пополнены боевой техникой. Так, 1-я танковая армия имела в своем составе 549 танков (из них 412 Т-34) (3862).</w:t>
      </w:r>
    </w:p>
    <w:p w14:paraId="78F2A3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же в Курской битве и последовавших за ней в 1943 году операциях на Украине танки Т-34, вооруженные 76-мм пушкой, использовались в наиболее массовых количествах. Следует, однако, отметить, что основным их противником были вовсе не танки, по причине малочисленности последних, а немецкая противотанковая артиллерия. Именно на огонь противотанковых и танковых пушек приходилось в 1943- 1945 годах около 90% потерь наших танков. К сожалению, многие современные "любители" танков это начисто игнорируют и продолжают тупо сравнивать Т-34 с Пантерами и Тиграми (3862).</w:t>
      </w:r>
    </w:p>
    <w:p w14:paraId="0F724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B3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немецкие ТК выпустили 4 торпеды по нашей противокатерной батарее № 627 на берегу. Потом эта тактика использовалась и нами в новороссийской операции (6002).</w:t>
      </w:r>
    </w:p>
    <w:p w14:paraId="4A1A0D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84E5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6623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27D2F3"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июля 1943 Фирма Consolidated Vultee получает « письмо о намерениях » от USAAF с просьбой построить первые 100 серийных бомбардировщиков Convair B-36 (20376).</w:t>
      </w:r>
    </w:p>
    <w:p w14:paraId="5FD4935C" w14:textId="77777777" w:rsidR="00006180" w:rsidRPr="00271E51" w:rsidRDefault="00006180" w:rsidP="00271E51">
      <w:pPr>
        <w:spacing w:after="0" w:line="240" w:lineRule="auto"/>
        <w:jc w:val="both"/>
        <w:rPr>
          <w:rFonts w:ascii="Times New Roman" w:hAnsi="Times New Roman"/>
          <w:color w:val="0070C0"/>
          <w:sz w:val="16"/>
          <w:szCs w:val="16"/>
        </w:rPr>
      </w:pPr>
    </w:p>
    <w:p w14:paraId="79261D84"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июля 1943 в Германии RLM приказал фирме Heinkel создад дизайн крыла для своей концепции планера бомбардировщика 8–277, участвующей с февраля 1943 года в конкурсе дизайна самолетов Amerikabomber, чтобы принять четыре Junkers Jumo 222 или шесть двигателей BMW 801 (20376).</w:t>
      </w:r>
    </w:p>
    <w:p w14:paraId="46473CC6" w14:textId="77777777" w:rsidR="00006180" w:rsidRPr="00271E51" w:rsidRDefault="00006180" w:rsidP="00271E51">
      <w:pPr>
        <w:spacing w:after="0" w:line="240" w:lineRule="auto"/>
        <w:jc w:val="both"/>
        <w:rPr>
          <w:rFonts w:ascii="Times New Roman" w:hAnsi="Times New Roman"/>
          <w:color w:val="0070C0"/>
          <w:sz w:val="16"/>
          <w:szCs w:val="16"/>
        </w:rPr>
      </w:pPr>
    </w:p>
    <w:p w14:paraId="309903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г. были подготовлена СВЕДЕНИЯ ГЛАВРАЗВЕДУПРАВЛЕНИЯ НАЧАЛЬНИКУ ШТАБА БТ и МВ КА О ПРОИЗВОДСТВЕ ТАНКОВ И ГРУЗОВЫХ АВТОМАШИН В ГЕРМАНИИ В 1939- 1942гг. № 237548</w:t>
      </w:r>
    </w:p>
    <w:p w14:paraId="793069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танков в «Великой Германии» </w:t>
      </w:r>
      <w:r w:rsidRPr="00271E51">
        <w:rPr>
          <w:rFonts w:ascii="Times New Roman" w:hAnsi="Times New Roman"/>
          <w:color w:val="000000" w:themeColor="text1"/>
          <w:sz w:val="16"/>
          <w:szCs w:val="16"/>
          <w:vertAlign w:val="superscript"/>
        </w:rPr>
        <w:t>а</w:t>
      </w:r>
      <w:r w:rsidRPr="00271E51">
        <w:rPr>
          <w:rFonts w:ascii="Times New Roman" w:hAnsi="Times New Roman"/>
          <w:color w:val="000000" w:themeColor="text1"/>
          <w:sz w:val="16"/>
          <w:szCs w:val="16"/>
        </w:rPr>
        <w:t>' 1939-1942 гг.</w:t>
      </w:r>
    </w:p>
    <w:tbl>
      <w:tblPr>
        <w:tblW w:w="0" w:type="auto"/>
        <w:tblInd w:w="40" w:type="dxa"/>
        <w:tblLayout w:type="fixed"/>
        <w:tblCellMar>
          <w:left w:w="40" w:type="dxa"/>
          <w:right w:w="40" w:type="dxa"/>
        </w:tblCellMar>
        <w:tblLook w:val="0000" w:firstRow="0" w:lastRow="0" w:firstColumn="0" w:lastColumn="0" w:noHBand="0" w:noVBand="0"/>
      </w:tblPr>
      <w:tblGrid>
        <w:gridCol w:w="1133"/>
        <w:gridCol w:w="518"/>
        <w:gridCol w:w="518"/>
        <w:gridCol w:w="518"/>
        <w:gridCol w:w="518"/>
        <w:gridCol w:w="518"/>
        <w:gridCol w:w="528"/>
        <w:gridCol w:w="509"/>
        <w:gridCol w:w="518"/>
        <w:gridCol w:w="528"/>
        <w:gridCol w:w="518"/>
        <w:gridCol w:w="518"/>
        <w:gridCol w:w="518"/>
        <w:gridCol w:w="528"/>
        <w:gridCol w:w="528"/>
        <w:gridCol w:w="528"/>
        <w:gridCol w:w="547"/>
      </w:tblGrid>
      <w:tr w:rsidR="00A907A5" w:rsidRPr="00271E51" w14:paraId="634BDCEF" w14:textId="77777777" w:rsidTr="00ED5B0A">
        <w:trPr>
          <w:trHeight w:val="269"/>
        </w:trPr>
        <w:tc>
          <w:tcPr>
            <w:tcW w:w="1133" w:type="dxa"/>
            <w:tcBorders>
              <w:top w:val="single" w:sz="6" w:space="0" w:color="auto"/>
              <w:left w:val="single" w:sz="6" w:space="0" w:color="auto"/>
              <w:bottom w:val="nil"/>
              <w:right w:val="single" w:sz="6" w:space="0" w:color="auto"/>
            </w:tcBorders>
          </w:tcPr>
          <w:p w14:paraId="515BCE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 и квартал</w:t>
            </w:r>
          </w:p>
          <w:p w14:paraId="4A16DA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2" w:type="dxa"/>
            <w:gridSpan w:val="4"/>
            <w:tcBorders>
              <w:top w:val="single" w:sz="6" w:space="0" w:color="auto"/>
              <w:left w:val="single" w:sz="6" w:space="0" w:color="auto"/>
              <w:bottom w:val="single" w:sz="6" w:space="0" w:color="auto"/>
              <w:right w:val="single" w:sz="6" w:space="0" w:color="auto"/>
            </w:tcBorders>
          </w:tcPr>
          <w:p w14:paraId="69B780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1939г.</w:t>
            </w:r>
          </w:p>
          <w:p w14:paraId="3FB6A6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3" w:type="dxa"/>
            <w:gridSpan w:val="4"/>
            <w:tcBorders>
              <w:top w:val="single" w:sz="6" w:space="0" w:color="auto"/>
              <w:left w:val="single" w:sz="6" w:space="0" w:color="auto"/>
              <w:bottom w:val="single" w:sz="6" w:space="0" w:color="auto"/>
              <w:right w:val="single" w:sz="6" w:space="0" w:color="auto"/>
            </w:tcBorders>
          </w:tcPr>
          <w:p w14:paraId="5D1B1A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 г.</w:t>
            </w:r>
          </w:p>
          <w:p w14:paraId="73D88D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82" w:type="dxa"/>
            <w:gridSpan w:val="4"/>
            <w:tcBorders>
              <w:top w:val="single" w:sz="6" w:space="0" w:color="auto"/>
              <w:left w:val="single" w:sz="6" w:space="0" w:color="auto"/>
              <w:bottom w:val="single" w:sz="6" w:space="0" w:color="auto"/>
              <w:right w:val="single" w:sz="6" w:space="0" w:color="auto"/>
            </w:tcBorders>
          </w:tcPr>
          <w:p w14:paraId="55CA24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 г.</w:t>
            </w:r>
          </w:p>
          <w:p w14:paraId="46D4F3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gridSpan w:val="4"/>
            <w:tcBorders>
              <w:top w:val="single" w:sz="6" w:space="0" w:color="auto"/>
              <w:left w:val="single" w:sz="6" w:space="0" w:color="auto"/>
              <w:bottom w:val="single" w:sz="6" w:space="0" w:color="auto"/>
              <w:right w:val="single" w:sz="6" w:space="0" w:color="auto"/>
            </w:tcBorders>
          </w:tcPr>
          <w:p w14:paraId="728DDF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w:t>
            </w:r>
          </w:p>
          <w:p w14:paraId="47B76F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85A3CE" w14:textId="77777777" w:rsidTr="00ED5B0A">
        <w:trPr>
          <w:trHeight w:val="269"/>
        </w:trPr>
        <w:tc>
          <w:tcPr>
            <w:tcW w:w="1133" w:type="dxa"/>
            <w:tcBorders>
              <w:top w:val="nil"/>
              <w:left w:val="single" w:sz="6" w:space="0" w:color="auto"/>
              <w:bottom w:val="single" w:sz="6" w:space="0" w:color="auto"/>
              <w:right w:val="single" w:sz="6" w:space="0" w:color="auto"/>
            </w:tcBorders>
          </w:tcPr>
          <w:p w14:paraId="7067A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A18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6D05D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52AE87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C9B03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31E05B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7158A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607919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0C218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5136BD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C1D98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5663E3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11F11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2FF394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E8AF1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234E7A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4BCA2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23A7C4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63B04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5125B0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DE75B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1FAA0A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96F53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1ED949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EAE3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1E23DE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11827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76B9E7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4E503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70BAB0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51F65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608C66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5490A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5E1526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8E96E4" w14:textId="77777777" w:rsidTr="00ED5B0A">
        <w:trPr>
          <w:trHeight w:val="470"/>
        </w:trPr>
        <w:tc>
          <w:tcPr>
            <w:tcW w:w="1133" w:type="dxa"/>
            <w:tcBorders>
              <w:top w:val="single" w:sz="6" w:space="0" w:color="auto"/>
              <w:left w:val="single" w:sz="6" w:space="0" w:color="auto"/>
              <w:bottom w:val="single" w:sz="6" w:space="0" w:color="auto"/>
              <w:right w:val="single" w:sz="6" w:space="0" w:color="auto"/>
            </w:tcBorders>
          </w:tcPr>
          <w:p w14:paraId="5DEA05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про</w:t>
            </w:r>
            <w:r w:rsidRPr="00271E51">
              <w:rPr>
                <w:rFonts w:ascii="Times New Roman" w:hAnsi="Times New Roman"/>
                <w:color w:val="000000" w:themeColor="text1"/>
                <w:sz w:val="16"/>
                <w:szCs w:val="16"/>
              </w:rPr>
              <w:softHyphen/>
              <w:t>дукции</w:t>
            </w:r>
          </w:p>
          <w:p w14:paraId="75D86C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AC175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746</w:t>
            </w:r>
          </w:p>
          <w:p w14:paraId="3AB5B6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23F0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905</w:t>
            </w:r>
          </w:p>
          <w:p w14:paraId="45C0D4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A00F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1143</w:t>
            </w:r>
          </w:p>
          <w:p w14:paraId="449032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AE830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1493</w:t>
            </w:r>
          </w:p>
          <w:p w14:paraId="68A283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D8F17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1955</w:t>
            </w:r>
          </w:p>
          <w:p w14:paraId="3596FE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CA2CF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2463</w:t>
            </w:r>
          </w:p>
          <w:p w14:paraId="0CFD88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57158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3601</w:t>
            </w:r>
          </w:p>
          <w:p w14:paraId="18629F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A81C7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4570</w:t>
            </w:r>
          </w:p>
          <w:p w14:paraId="7FE1D6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5E82E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4635</w:t>
            </w:r>
          </w:p>
          <w:p w14:paraId="07586A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5E87C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4480</w:t>
            </w:r>
          </w:p>
          <w:p w14:paraId="22FE86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7A20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4367</w:t>
            </w:r>
          </w:p>
          <w:p w14:paraId="7D3A1C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5342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4420</w:t>
            </w:r>
          </w:p>
          <w:p w14:paraId="4A3CDD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C0CC3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4291</w:t>
            </w:r>
          </w:p>
          <w:p w14:paraId="30AFAF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EF691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3965</w:t>
            </w:r>
          </w:p>
          <w:p w14:paraId="343F58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D2FA7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3675</w:t>
            </w:r>
          </w:p>
          <w:p w14:paraId="2840C1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759F4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4275</w:t>
            </w:r>
          </w:p>
          <w:p w14:paraId="30FE36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06ECB7" w14:textId="77777777" w:rsidTr="00ED5B0A">
        <w:trPr>
          <w:trHeight w:val="490"/>
        </w:trPr>
        <w:tc>
          <w:tcPr>
            <w:tcW w:w="7360" w:type="dxa"/>
            <w:gridSpan w:val="13"/>
            <w:tcBorders>
              <w:top w:val="single" w:sz="6" w:space="0" w:color="auto"/>
              <w:left w:val="single" w:sz="6" w:space="0" w:color="auto"/>
              <w:bottom w:val="single" w:sz="6" w:space="0" w:color="auto"/>
              <w:right w:val="single" w:sz="6" w:space="0" w:color="auto"/>
            </w:tcBorders>
          </w:tcPr>
          <w:p w14:paraId="303F6C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EF2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gridSpan w:val="4"/>
            <w:tcBorders>
              <w:top w:val="single" w:sz="6" w:space="0" w:color="auto"/>
              <w:left w:val="single" w:sz="6" w:space="0" w:color="auto"/>
              <w:bottom w:val="single" w:sz="6" w:space="0" w:color="auto"/>
              <w:right w:val="single" w:sz="6" w:space="0" w:color="auto"/>
            </w:tcBorders>
          </w:tcPr>
          <w:p w14:paraId="000E8A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16206 в год или 1350 в месяц</w:t>
            </w:r>
          </w:p>
          <w:p w14:paraId="48E854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B3EF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а</w:t>
      </w:r>
      <w:r w:rsidRPr="00271E51">
        <w:rPr>
          <w:rFonts w:ascii="Times New Roman" w:hAnsi="Times New Roman"/>
          <w:color w:val="000000" w:themeColor="text1"/>
          <w:sz w:val="16"/>
          <w:szCs w:val="16"/>
        </w:rPr>
        <w:t>' Территория прежней Германии, Австрия, Чехословакия. Включен также выпуск продукции Польшей.</w:t>
      </w:r>
    </w:p>
    <w:p w14:paraId="5A00F5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танков за IV квартал 1942 г.</w:t>
      </w:r>
    </w:p>
    <w:tbl>
      <w:tblPr>
        <w:tblW w:w="0" w:type="auto"/>
        <w:tblInd w:w="40" w:type="dxa"/>
        <w:tblLayout w:type="fixed"/>
        <w:tblCellMar>
          <w:left w:w="40" w:type="dxa"/>
          <w:right w:w="40" w:type="dxa"/>
        </w:tblCellMar>
        <w:tblLook w:val="0000" w:firstRow="0" w:lastRow="0" w:firstColumn="0" w:lastColumn="0" w:noHBand="0" w:noVBand="0"/>
      </w:tblPr>
      <w:tblGrid>
        <w:gridCol w:w="2083"/>
        <w:gridCol w:w="2102"/>
        <w:gridCol w:w="2102"/>
        <w:gridCol w:w="2131"/>
      </w:tblGrid>
      <w:tr w:rsidR="00A907A5" w:rsidRPr="00271E51" w14:paraId="319DDAF3" w14:textId="77777777" w:rsidTr="00ED5B0A">
        <w:trPr>
          <w:trHeight w:val="432"/>
        </w:trPr>
        <w:tc>
          <w:tcPr>
            <w:tcW w:w="2083" w:type="dxa"/>
            <w:tcBorders>
              <w:top w:val="single" w:sz="6" w:space="0" w:color="auto"/>
              <w:left w:val="single" w:sz="6" w:space="0" w:color="auto"/>
              <w:bottom w:val="single" w:sz="6" w:space="0" w:color="auto"/>
              <w:right w:val="single" w:sz="6" w:space="0" w:color="auto"/>
            </w:tcBorders>
          </w:tcPr>
          <w:p w14:paraId="71D854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Общее количество</w:t>
            </w:r>
          </w:p>
          <w:p w14:paraId="1329A4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6" w:space="0" w:color="auto"/>
              <w:left w:val="single" w:sz="6" w:space="0" w:color="auto"/>
              <w:bottom w:val="single" w:sz="6" w:space="0" w:color="auto"/>
              <w:right w:val="single" w:sz="6" w:space="0" w:color="auto"/>
            </w:tcBorders>
          </w:tcPr>
          <w:p w14:paraId="3FA88E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Германия, Австрия, Чехословакия, Польша</w:t>
            </w:r>
          </w:p>
          <w:p w14:paraId="406182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6" w:space="0" w:color="auto"/>
              <w:left w:val="single" w:sz="6" w:space="0" w:color="auto"/>
              <w:bottom w:val="single" w:sz="6" w:space="0" w:color="auto"/>
              <w:right w:val="single" w:sz="6" w:space="0" w:color="auto"/>
            </w:tcBorders>
          </w:tcPr>
          <w:p w14:paraId="77C9BB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Италия</w:t>
            </w:r>
          </w:p>
          <w:p w14:paraId="113C27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4BB8CC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Франция</w:t>
            </w:r>
          </w:p>
          <w:p w14:paraId="0B7C10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E750F7" w14:textId="77777777" w:rsidTr="00ED5B0A">
        <w:trPr>
          <w:trHeight w:val="298"/>
        </w:trPr>
        <w:tc>
          <w:tcPr>
            <w:tcW w:w="2083" w:type="dxa"/>
            <w:tcBorders>
              <w:top w:val="single" w:sz="6" w:space="0" w:color="auto"/>
              <w:left w:val="single" w:sz="6" w:space="0" w:color="auto"/>
              <w:bottom w:val="single" w:sz="6" w:space="0" w:color="auto"/>
              <w:right w:val="single" w:sz="6" w:space="0" w:color="auto"/>
            </w:tcBorders>
          </w:tcPr>
          <w:p w14:paraId="0FE558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4275</w:t>
            </w:r>
          </w:p>
          <w:p w14:paraId="6C81C1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6" w:space="0" w:color="auto"/>
              <w:left w:val="single" w:sz="6" w:space="0" w:color="auto"/>
              <w:bottom w:val="single" w:sz="6" w:space="0" w:color="auto"/>
              <w:right w:val="single" w:sz="6" w:space="0" w:color="auto"/>
            </w:tcBorders>
          </w:tcPr>
          <w:p w14:paraId="48EF0D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3675</w:t>
            </w:r>
          </w:p>
          <w:p w14:paraId="15EA3A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6" w:space="0" w:color="auto"/>
              <w:left w:val="single" w:sz="6" w:space="0" w:color="auto"/>
              <w:bottom w:val="single" w:sz="6" w:space="0" w:color="auto"/>
              <w:right w:val="single" w:sz="6" w:space="0" w:color="auto"/>
            </w:tcBorders>
          </w:tcPr>
          <w:p w14:paraId="55C940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24AFEE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5E14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p w14:paraId="1047FD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19D1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грузовых машин в «Великой Германии» </w:t>
      </w:r>
      <w:r w:rsidRPr="00271E51">
        <w:rPr>
          <w:rFonts w:ascii="Times New Roman" w:hAnsi="Times New Roman"/>
          <w:color w:val="000000" w:themeColor="text1"/>
          <w:sz w:val="16"/>
          <w:szCs w:val="16"/>
          <w:vertAlign w:val="superscript"/>
        </w:rPr>
        <w:t>а</w:t>
      </w:r>
      <w:r w:rsidRPr="00271E51">
        <w:rPr>
          <w:rFonts w:ascii="Times New Roman" w:hAnsi="Times New Roman"/>
          <w:color w:val="000000" w:themeColor="text1"/>
          <w:sz w:val="16"/>
          <w:szCs w:val="16"/>
        </w:rPr>
        <w:t>*, Франции и Италии</w:t>
      </w:r>
    </w:p>
    <w:p w14:paraId="5E943B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1940-1942 гг.</w:t>
      </w:r>
    </w:p>
    <w:tbl>
      <w:tblPr>
        <w:tblW w:w="0" w:type="auto"/>
        <w:tblInd w:w="40" w:type="dxa"/>
        <w:tblLayout w:type="fixed"/>
        <w:tblCellMar>
          <w:left w:w="40" w:type="dxa"/>
          <w:right w:w="40" w:type="dxa"/>
        </w:tblCellMar>
        <w:tblLook w:val="0000" w:firstRow="0" w:lastRow="0" w:firstColumn="0" w:lastColumn="0" w:noHBand="0" w:noVBand="0"/>
      </w:tblPr>
      <w:tblGrid>
        <w:gridCol w:w="864"/>
        <w:gridCol w:w="422"/>
        <w:gridCol w:w="1786"/>
        <w:gridCol w:w="1776"/>
        <w:gridCol w:w="1786"/>
        <w:gridCol w:w="1814"/>
      </w:tblGrid>
      <w:tr w:rsidR="00A907A5" w:rsidRPr="00271E51" w14:paraId="4355D7CC" w14:textId="77777777" w:rsidTr="00ED5B0A">
        <w:trPr>
          <w:trHeight w:val="432"/>
        </w:trPr>
        <w:tc>
          <w:tcPr>
            <w:tcW w:w="1286" w:type="dxa"/>
            <w:gridSpan w:val="2"/>
            <w:tcBorders>
              <w:top w:val="single" w:sz="6" w:space="0" w:color="auto"/>
              <w:left w:val="single" w:sz="6" w:space="0" w:color="auto"/>
              <w:bottom w:val="single" w:sz="6" w:space="0" w:color="auto"/>
              <w:right w:val="single" w:sz="6" w:space="0" w:color="auto"/>
            </w:tcBorders>
          </w:tcPr>
          <w:p w14:paraId="77BDD2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 и квартал</w:t>
            </w:r>
          </w:p>
          <w:p w14:paraId="485304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3DDBA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выпущено</w:t>
            </w:r>
          </w:p>
          <w:p w14:paraId="5C4929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DCAF6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«Великая Германия», включая Польшу</w:t>
            </w:r>
          </w:p>
          <w:p w14:paraId="6E516B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48BEA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Италия</w:t>
            </w:r>
          </w:p>
          <w:p w14:paraId="46BB02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F6D0D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Франция</w:t>
            </w:r>
          </w:p>
          <w:p w14:paraId="65B09B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0C4B8F" w14:textId="77777777" w:rsidTr="00ED5B0A">
        <w:trPr>
          <w:trHeight w:val="269"/>
        </w:trPr>
        <w:tc>
          <w:tcPr>
            <w:tcW w:w="864" w:type="dxa"/>
            <w:tcBorders>
              <w:top w:val="single" w:sz="6" w:space="0" w:color="auto"/>
              <w:left w:val="single" w:sz="6" w:space="0" w:color="auto"/>
              <w:bottom w:val="nil"/>
              <w:right w:val="single" w:sz="6" w:space="0" w:color="auto"/>
            </w:tcBorders>
          </w:tcPr>
          <w:p w14:paraId="4F447C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 г.</w:t>
            </w:r>
          </w:p>
          <w:p w14:paraId="115BFC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0F558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2F4D99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EF91A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39200</w:t>
            </w:r>
          </w:p>
          <w:p w14:paraId="458BB5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1BBC8F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15000</w:t>
            </w:r>
          </w:p>
          <w:p w14:paraId="2BE2F7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D3A68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w:t>
            </w:r>
          </w:p>
          <w:p w14:paraId="04C27C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43D3C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21000</w:t>
            </w:r>
          </w:p>
          <w:p w14:paraId="2C4B6F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8FB385" w14:textId="77777777" w:rsidTr="00ED5B0A">
        <w:trPr>
          <w:trHeight w:val="278"/>
        </w:trPr>
        <w:tc>
          <w:tcPr>
            <w:tcW w:w="864" w:type="dxa"/>
            <w:tcBorders>
              <w:top w:val="nil"/>
              <w:left w:val="single" w:sz="6" w:space="0" w:color="auto"/>
              <w:bottom w:val="nil"/>
              <w:right w:val="single" w:sz="6" w:space="0" w:color="auto"/>
            </w:tcBorders>
          </w:tcPr>
          <w:p w14:paraId="23BB8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7E1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3D156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00E063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B62B4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24100</w:t>
            </w:r>
          </w:p>
          <w:p w14:paraId="54A230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D1CA2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7E884E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E4416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251EC7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28CAB0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p w14:paraId="02D6AB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EF0FEA" w14:textId="77777777" w:rsidTr="00ED5B0A">
        <w:trPr>
          <w:trHeight w:val="278"/>
        </w:trPr>
        <w:tc>
          <w:tcPr>
            <w:tcW w:w="864" w:type="dxa"/>
            <w:tcBorders>
              <w:top w:val="nil"/>
              <w:left w:val="single" w:sz="6" w:space="0" w:color="auto"/>
              <w:bottom w:val="nil"/>
              <w:right w:val="single" w:sz="6" w:space="0" w:color="auto"/>
            </w:tcBorders>
          </w:tcPr>
          <w:p w14:paraId="23E69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1A71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E7203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06FECE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85255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18600</w:t>
            </w:r>
          </w:p>
          <w:p w14:paraId="09A683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41010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0743DB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152FE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780381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982B0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65C16F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C8F67D" w14:textId="77777777" w:rsidTr="00ED5B0A">
        <w:trPr>
          <w:trHeight w:val="269"/>
        </w:trPr>
        <w:tc>
          <w:tcPr>
            <w:tcW w:w="864" w:type="dxa"/>
            <w:tcBorders>
              <w:top w:val="nil"/>
              <w:left w:val="single" w:sz="6" w:space="0" w:color="auto"/>
              <w:bottom w:val="single" w:sz="6" w:space="0" w:color="auto"/>
              <w:right w:val="single" w:sz="6" w:space="0" w:color="auto"/>
            </w:tcBorders>
          </w:tcPr>
          <w:p w14:paraId="16426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0C2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B49EC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0E0466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9E35D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22600</w:t>
            </w:r>
          </w:p>
          <w:p w14:paraId="028303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729F9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204720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3AC86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6C9E61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2FE3D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w:t>
            </w:r>
          </w:p>
          <w:p w14:paraId="3E9810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BC7BA5" w14:textId="77777777" w:rsidTr="00ED5B0A">
        <w:trPr>
          <w:trHeight w:val="278"/>
        </w:trPr>
        <w:tc>
          <w:tcPr>
            <w:tcW w:w="864" w:type="dxa"/>
            <w:tcBorders>
              <w:top w:val="single" w:sz="6" w:space="0" w:color="auto"/>
              <w:left w:val="single" w:sz="6" w:space="0" w:color="auto"/>
              <w:bottom w:val="nil"/>
              <w:right w:val="single" w:sz="6" w:space="0" w:color="auto"/>
            </w:tcBorders>
          </w:tcPr>
          <w:p w14:paraId="3AA502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 г.</w:t>
            </w:r>
          </w:p>
          <w:p w14:paraId="676A95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EE6B3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73778F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CD8F2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25100</w:t>
            </w:r>
          </w:p>
          <w:p w14:paraId="39EE3B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35E76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59ECDB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EBD4A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6ED13D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C3FF0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p w14:paraId="6C0C73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85B0A4" w14:textId="77777777" w:rsidTr="00ED5B0A">
        <w:trPr>
          <w:trHeight w:val="278"/>
        </w:trPr>
        <w:tc>
          <w:tcPr>
            <w:tcW w:w="864" w:type="dxa"/>
            <w:tcBorders>
              <w:top w:val="nil"/>
              <w:left w:val="single" w:sz="6" w:space="0" w:color="auto"/>
              <w:bottom w:val="nil"/>
              <w:right w:val="single" w:sz="6" w:space="0" w:color="auto"/>
            </w:tcBorders>
          </w:tcPr>
          <w:p w14:paraId="3DE03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58D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02DAF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43B4DB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C4E68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27100</w:t>
            </w:r>
          </w:p>
          <w:p w14:paraId="36FE5C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73782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07A817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68EAE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3AC3C7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3B830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p w14:paraId="4C2716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024EC2" w14:textId="77777777" w:rsidTr="00ED5B0A">
        <w:trPr>
          <w:trHeight w:val="278"/>
        </w:trPr>
        <w:tc>
          <w:tcPr>
            <w:tcW w:w="864" w:type="dxa"/>
            <w:tcBorders>
              <w:top w:val="nil"/>
              <w:left w:val="single" w:sz="6" w:space="0" w:color="auto"/>
              <w:bottom w:val="nil"/>
              <w:right w:val="single" w:sz="6" w:space="0" w:color="auto"/>
            </w:tcBorders>
          </w:tcPr>
          <w:p w14:paraId="2DD63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1C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8964A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38AB88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27A3CE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28100</w:t>
            </w:r>
          </w:p>
          <w:p w14:paraId="523FFA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B82ED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68E663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97638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774FC6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A7BF6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p w14:paraId="10A5A6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EA296C" w14:textId="77777777" w:rsidTr="00ED5B0A">
        <w:trPr>
          <w:trHeight w:val="269"/>
        </w:trPr>
        <w:tc>
          <w:tcPr>
            <w:tcW w:w="864" w:type="dxa"/>
            <w:tcBorders>
              <w:top w:val="nil"/>
              <w:left w:val="single" w:sz="6" w:space="0" w:color="auto"/>
              <w:bottom w:val="single" w:sz="6" w:space="0" w:color="auto"/>
              <w:right w:val="single" w:sz="6" w:space="0" w:color="auto"/>
            </w:tcBorders>
          </w:tcPr>
          <w:p w14:paraId="79942E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59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01DE0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25291A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4DF21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29100</w:t>
            </w:r>
          </w:p>
          <w:p w14:paraId="6F1B82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D72D8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13500</w:t>
            </w:r>
          </w:p>
          <w:p w14:paraId="09F182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138CE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4B47E6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205D17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p w14:paraId="2E5235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4E0518" w14:textId="77777777" w:rsidTr="00ED5B0A">
        <w:trPr>
          <w:trHeight w:val="269"/>
        </w:trPr>
        <w:tc>
          <w:tcPr>
            <w:tcW w:w="864" w:type="dxa"/>
            <w:tcBorders>
              <w:top w:val="single" w:sz="6" w:space="0" w:color="auto"/>
              <w:left w:val="single" w:sz="6" w:space="0" w:color="auto"/>
              <w:bottom w:val="nil"/>
              <w:right w:val="single" w:sz="6" w:space="0" w:color="auto"/>
            </w:tcBorders>
          </w:tcPr>
          <w:p w14:paraId="0C43D3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w:t>
            </w:r>
          </w:p>
          <w:p w14:paraId="21178E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FBD13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w:t>
            </w:r>
          </w:p>
          <w:p w14:paraId="33A1D2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20980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25600</w:t>
            </w:r>
          </w:p>
          <w:p w14:paraId="2196CB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11201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12500</w:t>
            </w:r>
          </w:p>
          <w:p w14:paraId="1ACD73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6C8C1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6EC51B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AC2E5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w:t>
            </w:r>
          </w:p>
          <w:p w14:paraId="41E982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ADC7A7" w14:textId="77777777" w:rsidTr="00ED5B0A">
        <w:trPr>
          <w:trHeight w:val="278"/>
        </w:trPr>
        <w:tc>
          <w:tcPr>
            <w:tcW w:w="864" w:type="dxa"/>
            <w:tcBorders>
              <w:top w:val="nil"/>
              <w:left w:val="single" w:sz="6" w:space="0" w:color="auto"/>
              <w:bottom w:val="nil"/>
              <w:right w:val="single" w:sz="6" w:space="0" w:color="auto"/>
            </w:tcBorders>
          </w:tcPr>
          <w:p w14:paraId="6A263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CE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F14EC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p w14:paraId="30BC7E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A3CC9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20000</w:t>
            </w:r>
          </w:p>
          <w:p w14:paraId="1918D0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80533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p w14:paraId="2A8BCE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06CC4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77BE45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9744A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p w14:paraId="5D5324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FAF04F" w14:textId="77777777" w:rsidTr="00ED5B0A">
        <w:trPr>
          <w:trHeight w:val="278"/>
        </w:trPr>
        <w:tc>
          <w:tcPr>
            <w:tcW w:w="864" w:type="dxa"/>
            <w:tcBorders>
              <w:top w:val="nil"/>
              <w:left w:val="single" w:sz="6" w:space="0" w:color="auto"/>
              <w:bottom w:val="nil"/>
              <w:right w:val="single" w:sz="6" w:space="0" w:color="auto"/>
            </w:tcBorders>
          </w:tcPr>
          <w:p w14:paraId="7AD145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CF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57175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w:t>
            </w:r>
          </w:p>
          <w:p w14:paraId="1CBC4C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EC095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26100</w:t>
            </w:r>
          </w:p>
          <w:p w14:paraId="3D25ED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30F71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p w14:paraId="3292A8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F4F81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681837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4163C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p w14:paraId="640DD0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60B118" w14:textId="77777777" w:rsidTr="00ED5B0A">
        <w:trPr>
          <w:trHeight w:val="288"/>
        </w:trPr>
        <w:tc>
          <w:tcPr>
            <w:tcW w:w="864" w:type="dxa"/>
            <w:tcBorders>
              <w:top w:val="nil"/>
              <w:left w:val="single" w:sz="6" w:space="0" w:color="auto"/>
              <w:bottom w:val="single" w:sz="6" w:space="0" w:color="auto"/>
              <w:right w:val="single" w:sz="6" w:space="0" w:color="auto"/>
            </w:tcBorders>
          </w:tcPr>
          <w:p w14:paraId="35E1B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2BB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B1D17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w:t>
            </w:r>
          </w:p>
          <w:p w14:paraId="760BCD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DC599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21900</w:t>
            </w:r>
          </w:p>
          <w:p w14:paraId="609F9F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6C9A5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p w14:paraId="60EC2F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FF0C2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p w14:paraId="3258E1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6CFB3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p w14:paraId="39292A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76CE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Территория прежней Германии, Австрия, Чехословакия.</w:t>
      </w:r>
    </w:p>
    <w:p w14:paraId="33D309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7 отдела 2 управления Главразведуправления КА полковник Смирнов</w:t>
      </w:r>
    </w:p>
    <w:p w14:paraId="421A7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425. Л. 59-62. Подлинник (11403).</w:t>
      </w:r>
    </w:p>
    <w:p w14:paraId="0CB783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A6FF7" w14:textId="77777777" w:rsidR="00DE4A8E" w:rsidRPr="00271E51" w:rsidRDefault="00DE4A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в 1943 году взлетел первый построенный в Сиднее (Австралия) «Москито», ночной истребитель с высотными моторами «Мерлин 69», пилотируемый летчиком-испытателем Г.Ли. В Австралии строились: «Mosquito PR.Mk 40» - австралийский авиаразведчик, переделанный из варианта «FB.Mk 40»; «Mosquito FВ.Mk 41» - австралийский истребитель-бомбардировщик, сходный с самолетом «FB.Mk 40», но с двухступенчатыми нагнетателями; «Mosquito PR.Mk 41» - австралийский разведывательный самолет; развитие модели «PR.Mk 40», но с двухступенчатыми нагнетателями.; «Mosquito FВ.Mk 42» - единственная австралийская модификация самолета «FB.Mk 40» с двигателями «Мерлин 69»; «Mosquito Т.Mk 43» - построенный в Австралии тренировочный вариант «T.Mk III» (14961).</w:t>
      </w:r>
    </w:p>
    <w:p w14:paraId="3216616D" w14:textId="77777777" w:rsidR="00DE4A8E" w:rsidRPr="00271E51" w:rsidRDefault="00DE4A8E" w:rsidP="00271E51">
      <w:pPr>
        <w:spacing w:after="0" w:line="240" w:lineRule="auto"/>
        <w:jc w:val="both"/>
        <w:rPr>
          <w:rFonts w:ascii="Times New Roman" w:hAnsi="Times New Roman"/>
          <w:color w:val="000000" w:themeColor="text1"/>
          <w:sz w:val="16"/>
          <w:szCs w:val="16"/>
        </w:rPr>
      </w:pPr>
    </w:p>
    <w:p w14:paraId="1FA44E7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1943 войска союзников взяли Палермо (4962).</w:t>
      </w:r>
    </w:p>
    <w:p w14:paraId="7D630A1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86E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23, 1943: American forces continue to occupy the Island of Sicily in the Mediterranian Sea. In the East, Soviets forces advance in the region of Orel and finish mopping up German troops from the southern sector of the Kursk salient (3819).</w:t>
      </w:r>
    </w:p>
    <w:p w14:paraId="622D8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E442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силы США продолжили оккупацию Сицилии. КА продвинулась в район Орла и завершила вытеснение немцев с юга Курской дуги (3819).</w:t>
      </w:r>
    </w:p>
    <w:p w14:paraId="5AD478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CB19B" w14:textId="77777777" w:rsidR="00DE4A8E" w:rsidRPr="00271E51" w:rsidRDefault="00DE4A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июля в 1943 году британские эсминцы «Laforey» («G99») и «Eclipse» («H08») топят итальянскую подводную лодку «Ascianghi». Из 50-членов экипажа погибают 23. Британские корабли спасают 27 (14961).</w:t>
      </w:r>
    </w:p>
    <w:p w14:paraId="160648B9" w14:textId="77777777" w:rsidR="00DE4A8E" w:rsidRPr="00271E51" w:rsidRDefault="00DE4A8E" w:rsidP="00271E51">
      <w:pPr>
        <w:spacing w:after="0" w:line="240" w:lineRule="auto"/>
        <w:jc w:val="both"/>
        <w:rPr>
          <w:rFonts w:ascii="Times New Roman" w:hAnsi="Times New Roman"/>
          <w:color w:val="000000" w:themeColor="text1"/>
          <w:sz w:val="16"/>
          <w:szCs w:val="16"/>
        </w:rPr>
      </w:pPr>
    </w:p>
    <w:p w14:paraId="0A20AAA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23F09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56AF3D" w14:textId="77777777" w:rsidR="00EE60C5" w:rsidRPr="00271E51" w:rsidRDefault="00EE60C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24 июля 1943 Ил-2 АМ-42 «следопыт» привели в летное состояние и передали на ЛИС завода. Однако уже действовал запрет главного конструктора мотора АМ-42 А. А. Микулина на полеты с винтом диаметром 4,0 м («из-за имевших место поломок демпферных пружин муфты сцепления нагнетателя с валом мотора») (17490).</w:t>
      </w:r>
    </w:p>
    <w:p w14:paraId="038DA66F" w14:textId="77777777" w:rsidR="00EE60C5" w:rsidRPr="00271E51" w:rsidRDefault="00EE60C5" w:rsidP="00271E51">
      <w:pPr>
        <w:spacing w:after="0" w:line="240" w:lineRule="auto"/>
        <w:jc w:val="both"/>
        <w:rPr>
          <w:rFonts w:ascii="Times New Roman" w:hAnsi="Times New Roman"/>
          <w:color w:val="000000" w:themeColor="text1"/>
          <w:sz w:val="16"/>
          <w:szCs w:val="16"/>
        </w:rPr>
      </w:pPr>
    </w:p>
    <w:p w14:paraId="382537DB"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июля 1943 С.В. Ильюшин и А.Т. Третьяков направили А.И. Шахурину письмо № 3055: «Согласно Вашего приказа № 305 от 21 мая 1943 заводу 1 было дано задание выпустить: а) 50 самолетов Ил-2 в одноместном варианте б) 2 самолета Ил-2 с АМ38Ф в) 2 самолета Ил-2 с мотором АМ-42 с улучшенной аэродинамикой. Принимая во внимание, что 2 самолета Ил-2 с улучшенной аэродинамикой с АМ-38Ф по свои летным данным являются очень близким с выпускаемым заводом 50 самолетам просим Вас с производства завода их снять, а также просим разрешения самолет Ил-2 с АМ-42 выпустить в одном экземпляре» (21005).</w:t>
      </w:r>
    </w:p>
    <w:p w14:paraId="06DC8E0D" w14:textId="77777777" w:rsidR="00006180" w:rsidRPr="00271E51" w:rsidRDefault="00006180" w:rsidP="00271E51">
      <w:pPr>
        <w:spacing w:after="0" w:line="240" w:lineRule="auto"/>
        <w:jc w:val="both"/>
        <w:rPr>
          <w:rFonts w:ascii="Times New Roman" w:hAnsi="Times New Roman"/>
          <w:color w:val="0070C0"/>
          <w:sz w:val="16"/>
          <w:szCs w:val="16"/>
        </w:rPr>
      </w:pPr>
    </w:p>
    <w:p w14:paraId="6C3699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ГК С.В.И. и директор завода 1 Третьяков писали А.И.Ш. письмо N 3055:</w:t>
      </w:r>
    </w:p>
    <w:p w14:paraId="05B2B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Вашего приказа N 305 от 21 мая 1943 завод 1 было дано задание выпустить:</w:t>
      </w:r>
    </w:p>
    <w:p w14:paraId="337AAA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50 самолетов Ил-2 в одноместном варианте</w:t>
      </w:r>
    </w:p>
    <w:p w14:paraId="03F22B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2 самолета Ил-2 с АМ-38Ф</w:t>
      </w:r>
    </w:p>
    <w:p w14:paraId="7C6C5B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 самолета Ил-2 с мотором АМ-42 с улучшенной аэродинамикой</w:t>
      </w:r>
    </w:p>
    <w:p w14:paraId="63F12D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Принимая во внимание, что 2 самолета Ил-2 с улучшенной аэродинамикой с АМ-38Ф по свои ЛД является очень близким с выпускаемым заводом 50 самолетам просим Вас с производства завода их снять, а также просим разрешения самолет Ил-2 с АМ-42 выпустить в одном экз. (1768,204).</w:t>
      </w:r>
    </w:p>
    <w:p w14:paraId="367019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9F2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вышел приказ НКАП N 444с, в соответствии с которым ввиду неудовлетворительной работы ВМГ с ТК самолет Ил-4 2М-88Б с ТК-М без герметических кабин был передан 10 августа 1943 в ЛИИ без отработки ВМГ и ТК при участии ЦИАМа (1825,208).</w:t>
      </w:r>
    </w:p>
    <w:p w14:paraId="7DF95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3E0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была получена телефонограмма N 3805 вс/ко Директора завода 39 Абрамова А.И.Ш.:</w:t>
      </w:r>
    </w:p>
    <w:p w14:paraId="55890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Ил-6 производил рулежку по аэродрому. Моторы работали удовлетворительно" (1767,199).</w:t>
      </w:r>
    </w:p>
    <w:p w14:paraId="04DA1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2F4D3" w14:textId="77777777" w:rsidR="00613815" w:rsidRPr="00271E51" w:rsidRDefault="00613815" w:rsidP="00271E51">
      <w:pPr>
        <w:pStyle w:val="3a"/>
        <w:shd w:val="clear" w:color="auto" w:fill="auto"/>
        <w:spacing w:before="0" w:after="0" w:line="240" w:lineRule="auto"/>
        <w:jc w:val="both"/>
        <w:rPr>
          <w:color w:val="000000" w:themeColor="text1"/>
          <w:spacing w:val="0"/>
          <w:sz w:val="16"/>
          <w:szCs w:val="16"/>
        </w:rPr>
      </w:pPr>
      <w:r w:rsidRPr="00271E51">
        <w:rPr>
          <w:color w:val="000000" w:themeColor="text1"/>
          <w:spacing w:val="0"/>
          <w:sz w:val="16"/>
          <w:szCs w:val="16"/>
        </w:rPr>
        <w:t>24 июля 1943 г.Выводы начальника лаборатории № 3 А.А. Дубровина и начальника отдела № 3 ЦАГИ Ф.М. Кондакова по статистическим испытаниям серийного самолета Як-7Б № 39-153-20 на случай «А»</w:t>
      </w:r>
    </w:p>
    <w:p w14:paraId="69D72A5A"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Статическим испытаниям подвергался самолет ЯК-7 серии № 39, изготовленный на заводе № 153 в феврале 1943г.</w:t>
      </w:r>
    </w:p>
    <w:p w14:paraId="7E80A784"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испытаниях нагрузки на крыло прикладывались по данным заводского расчета при весе самолета 3000 кг по нормам 1941г. (па=13). Разрушение произошло при 80% расчетной нагрузки и началось с отры</w:t>
      </w:r>
      <w:r w:rsidRPr="00271E51">
        <w:rPr>
          <w:rFonts w:ascii="Times New Roman" w:hAnsi="Times New Roman"/>
          <w:color w:val="000000" w:themeColor="text1"/>
          <w:sz w:val="16"/>
          <w:szCs w:val="16"/>
        </w:rPr>
        <w:softHyphen/>
        <w:t>ва обшивки носка центроплана от корневой нервюры вследствие значи</w:t>
      </w:r>
      <w:r w:rsidRPr="00271E51">
        <w:rPr>
          <w:rFonts w:ascii="Times New Roman" w:hAnsi="Times New Roman"/>
          <w:color w:val="000000" w:themeColor="text1"/>
          <w:sz w:val="16"/>
          <w:szCs w:val="16"/>
        </w:rPr>
        <w:softHyphen/>
        <w:t>тельного непроклея.</w:t>
      </w:r>
    </w:p>
    <w:p w14:paraId="28A77794"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большом числе испытаний крыла, проведенных на заводах №№ 153 и 115, обычно разрушение начиналось у нервюры № 7, и ни одного случая разрушения у нервюры № 1 не наблюдалось. Таким обра</w:t>
      </w:r>
      <w:r w:rsidRPr="00271E51">
        <w:rPr>
          <w:rFonts w:ascii="Times New Roman" w:hAnsi="Times New Roman"/>
          <w:color w:val="000000" w:themeColor="text1"/>
          <w:sz w:val="16"/>
          <w:szCs w:val="16"/>
        </w:rPr>
        <w:softHyphen/>
        <w:t>зом, характер разрушения в процессе данного испытания является ре</w:t>
      </w:r>
      <w:r w:rsidRPr="00271E51">
        <w:rPr>
          <w:rFonts w:ascii="Times New Roman" w:hAnsi="Times New Roman"/>
          <w:color w:val="000000" w:themeColor="text1"/>
          <w:sz w:val="16"/>
          <w:szCs w:val="16"/>
        </w:rPr>
        <w:softHyphen/>
        <w:t>зультатом случайного технологического дефекта нетипичного для всей серии.</w:t>
      </w:r>
    </w:p>
    <w:p w14:paraId="3BA32FB9"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наличии усиливающей дюралевой накладки в процессе за</w:t>
      </w:r>
      <w:r w:rsidRPr="00271E51">
        <w:rPr>
          <w:rFonts w:ascii="Times New Roman" w:hAnsi="Times New Roman"/>
          <w:color w:val="000000" w:themeColor="text1"/>
          <w:sz w:val="16"/>
          <w:szCs w:val="16"/>
        </w:rPr>
        <w:softHyphen/>
        <w:t>водских испытаний разрушение обычно происходило при 90-100% рас</w:t>
      </w:r>
      <w:r w:rsidRPr="00271E51">
        <w:rPr>
          <w:rFonts w:ascii="Times New Roman" w:hAnsi="Times New Roman"/>
          <w:color w:val="000000" w:themeColor="text1"/>
          <w:sz w:val="16"/>
          <w:szCs w:val="16"/>
        </w:rPr>
        <w:softHyphen/>
        <w:t>четной нагрузки.</w:t>
      </w:r>
    </w:p>
    <w:p w14:paraId="7E6AA691"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оценке фактической прочности крыла самолета ЯК-7Б № 39-153-20 следует учесть, что нагрузка на носок была вся приложе</w:t>
      </w:r>
      <w:r w:rsidRPr="00271E51">
        <w:rPr>
          <w:rFonts w:ascii="Times New Roman" w:hAnsi="Times New Roman"/>
          <w:color w:val="000000" w:themeColor="text1"/>
          <w:sz w:val="16"/>
          <w:szCs w:val="16"/>
        </w:rPr>
        <w:softHyphen/>
        <w:t>на к верхней обшивке. В действительности же 19% воздушной нагрузки приходится на нижнюю поверхность.</w:t>
      </w:r>
    </w:p>
    <w:p w14:paraId="5C850B20"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это обстоятельство, по нормам прочности 1943 года (па=12,8) можно считать, что прочность крыла соответствует ориенти</w:t>
      </w:r>
      <w:r w:rsidRPr="00271E51">
        <w:rPr>
          <w:rFonts w:ascii="Times New Roman" w:hAnsi="Times New Roman"/>
          <w:color w:val="000000" w:themeColor="text1"/>
          <w:sz w:val="16"/>
          <w:szCs w:val="16"/>
        </w:rPr>
        <w:softHyphen/>
        <w:t>ровочно 85% расчетной нагрузки (па=11).</w:t>
      </w:r>
    </w:p>
    <w:p w14:paraId="7708AD9A" w14:textId="77777777" w:rsidR="00613815" w:rsidRPr="00271E51" w:rsidRDefault="00613815" w:rsidP="00271E51">
      <w:pPr>
        <w:tabs>
          <w:tab w:val="left" w:pos="504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лаборатории № 3 ЦАГИ А.А. Дубровин</w:t>
      </w:r>
    </w:p>
    <w:p w14:paraId="22F8EB20" w14:textId="77777777" w:rsidR="00613815" w:rsidRPr="00271E51" w:rsidRDefault="00613815" w:rsidP="00271E51">
      <w:pPr>
        <w:tabs>
          <w:tab w:val="left" w:pos="503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отдела № 3 Ф.М. Кондаков</w:t>
      </w:r>
    </w:p>
    <w:p w14:paraId="4260FFF8" w14:textId="77777777" w:rsidR="00613815" w:rsidRPr="00271E51" w:rsidRDefault="006138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РГАНТД. Ф. Р-217. Оп. 3-1. Д. 226. Л. 5. Копия (15633).</w:t>
      </w:r>
    </w:p>
    <w:p w14:paraId="1E48A2AA" w14:textId="77777777" w:rsidR="00613815" w:rsidRPr="00271E51" w:rsidRDefault="00613815" w:rsidP="00271E51">
      <w:pPr>
        <w:spacing w:after="0" w:line="240" w:lineRule="auto"/>
        <w:jc w:val="both"/>
        <w:rPr>
          <w:rFonts w:ascii="Times New Roman" w:hAnsi="Times New Roman"/>
          <w:color w:val="000000" w:themeColor="text1"/>
          <w:sz w:val="16"/>
          <w:szCs w:val="16"/>
        </w:rPr>
      </w:pPr>
    </w:p>
    <w:p w14:paraId="639517DE" w14:textId="77777777" w:rsidR="00506386" w:rsidRPr="00271E51" w:rsidRDefault="005063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24 июля 1943 г. ЦАГИ провел статистические испытания серийного самолета Як-7Б (№ 3915320) на случай «А». Разрушение произошло при 80% расчетной нагрузки и началось с отрыва обшивки носка центроплана от корневой нервюры вследствие значительного непроклея. При большом числе испытаний крыла, проведенных на заводах №№ 153 и 115, обычно разрушение начиналось у нервюры № 7 и ни одного случая разрушения у нервюры № 1 не наблюдалось. Таким образом, был сделан вывод, что «характер разрушения в процессе данного испытания является результатом случайного технологического дефекта, нетипичного для всей серии» (19727).</w:t>
      </w:r>
    </w:p>
    <w:p w14:paraId="69C17DC2" w14:textId="77777777" w:rsidR="00506386" w:rsidRPr="00271E51" w:rsidRDefault="00506386" w:rsidP="00271E51">
      <w:pPr>
        <w:spacing w:after="0" w:line="240" w:lineRule="auto"/>
        <w:jc w:val="both"/>
        <w:rPr>
          <w:rFonts w:ascii="Times New Roman" w:hAnsi="Times New Roman"/>
          <w:color w:val="000000" w:themeColor="text1"/>
          <w:sz w:val="16"/>
          <w:szCs w:val="16"/>
        </w:rPr>
      </w:pPr>
    </w:p>
    <w:p w14:paraId="3F025AB6" w14:textId="77777777" w:rsidR="00613815" w:rsidRPr="00271E51" w:rsidRDefault="0061381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24 июля по 1 сентября 1943 г. на завод № 21 отправили 272 мотора модификации «ФН». Выпуск Ла-5ФН снова стал набирать обороты.</w:t>
      </w:r>
    </w:p>
    <w:p w14:paraId="585ECCC9" w14:textId="77777777" w:rsidR="00613815" w:rsidRPr="00271E51" w:rsidRDefault="0061381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Пока происходили все эти «тыловые» коллизии, первые серийные Ла-5ФН поступили в строевые части. По иронии судьбы войсковые испытания Ла-5 с М-82ФН поручили провести 32-му гвардейскому иап (бывшему 434-му иап), ранее отказавшемуся от пер</w:t>
      </w:r>
      <w:r w:rsidRPr="00271E51">
        <w:rPr>
          <w:rFonts w:ascii="Times New Roman" w:cs="Times New Roman"/>
          <w:color w:val="000000" w:themeColor="text1"/>
          <w:spacing w:val="0"/>
        </w:rPr>
        <w:softHyphen/>
        <w:t>вых серийных Ла-5. Полком теперь командовал Герой Советского Союза подполковник В.И. Давидков, сменивший полковника В.И. Сталина после того, как последний в апре</w:t>
      </w:r>
      <w:r w:rsidRPr="00271E51">
        <w:rPr>
          <w:rFonts w:ascii="Times New Roman" w:cs="Times New Roman"/>
          <w:color w:val="000000" w:themeColor="text1"/>
          <w:spacing w:val="0"/>
        </w:rPr>
        <w:softHyphen/>
        <w:t>ле 1943 г. получил «боевое» ранение своим же РС-82 во время неудачной рыбалки (15813).</w:t>
      </w:r>
    </w:p>
    <w:p w14:paraId="47E31E99" w14:textId="77777777" w:rsidR="00613815" w:rsidRPr="00271E51" w:rsidRDefault="00613815" w:rsidP="00271E51">
      <w:pPr>
        <w:pStyle w:val="27"/>
        <w:shd w:val="clear" w:color="auto" w:fill="auto"/>
        <w:spacing w:after="0" w:line="240" w:lineRule="auto"/>
        <w:ind w:firstLine="0"/>
        <w:rPr>
          <w:rFonts w:ascii="Times New Roman" w:cs="Times New Roman"/>
          <w:color w:val="000000" w:themeColor="text1"/>
          <w:spacing w:val="0"/>
        </w:rPr>
      </w:pPr>
    </w:p>
    <w:p w14:paraId="6F19BC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24 июля по 1 сентября 1943 года заводом № 19 на завод № 21 было отправлено 272 мотора ФН. Выпуск Ла-5ФН снова стал набирать обороты (10723).</w:t>
      </w:r>
    </w:p>
    <w:p w14:paraId="496C1F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FD3E5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54D1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A43867"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24 июля 1943 в сборке на заводе № 38 находилось пять СУ-15М, к 1 августа была собрана вся партия из 25 машин. Об изготовлении некоего второго опытного образца СУ-15, о котором говорится в ряде публикаций, не шло и речи. Приказом Народного комиссариата танковой промышленности (НКТП) №360 от 9 июля 1943 года на 3-й квартал 1943 года был запланирован выпуск 225 СУ-15М (17728).</w:t>
      </w:r>
    </w:p>
    <w:p w14:paraId="5C14B603" w14:textId="77777777" w:rsidR="00EE60C5" w:rsidRPr="00271E51" w:rsidRDefault="00EE60C5" w:rsidP="00271E51">
      <w:pPr>
        <w:pStyle w:val="12a"/>
        <w:shd w:val="clear" w:color="auto" w:fill="auto"/>
        <w:spacing w:after="0" w:line="240" w:lineRule="auto"/>
        <w:jc w:val="both"/>
        <w:rPr>
          <w:color w:val="000000" w:themeColor="text1"/>
          <w:sz w:val="16"/>
          <w:szCs w:val="16"/>
        </w:rPr>
      </w:pPr>
    </w:p>
    <w:p w14:paraId="21976ED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Постановление ГКО № 3798 О мероприятиях по обеспечению выпуска котельно-вспомогательного оборудования на заводах Наркомтяжмаша. (7125, 204-205,206-208).</w:t>
      </w:r>
    </w:p>
    <w:p w14:paraId="4983776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88B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3799. О перевозке части металлообрабатывающего оборудования, инструмента и материалов из Ленинграда для организации ремонтно-механических баз на Уральском и Богословском алюминиевых заводах.РГАНИР, Фонд ГКО, д. 137, лл. 209 (11012).</w:t>
      </w:r>
    </w:p>
    <w:p w14:paraId="3F568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41C3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3800 [О переводе ВНИИторфопрома из Свердловской в Калининскую обл.] (7125, 210).</w:t>
      </w:r>
    </w:p>
    <w:p w14:paraId="799A52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5AE1A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Постановление ГКО № 3801 О мероприятиях по обеспечению организации междугородних телефонных связей НКЭС. (7125, 211-213,214-217).</w:t>
      </w:r>
    </w:p>
    <w:p w14:paraId="299044C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A35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3802. Об изменении заданий по вводу в эксплуатацию нефтеперерабатывающего оборудования на Востоке страны, установленных постановлением ГКО № 2402 от 11 октября 1942 г.РГАНИР, Фонд ГКО, д. 137, лл. 218-219 (11012).</w:t>
      </w:r>
    </w:p>
    <w:p w14:paraId="02C96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A23B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3803 [О передаче строительству Кременковского завода технического мела 2 локомобилей.] (7125, 220).</w:t>
      </w:r>
    </w:p>
    <w:p w14:paraId="4288F36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EFAC8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3804 [О мерах по обеспечению выполнения радиозаводом № 1 HКМП Азербайджанской ССР программы III кв. 1943 г. по производству войсковых радиостанций.] (7125, 221-222,223-225).</w:t>
      </w:r>
    </w:p>
    <w:p w14:paraId="77BA7EF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A5F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Распоряжение ГКО № 3805. О разрешении НКСП сдать в июле НКВМФ 75 комплектов тумбовых установок ДШК-1, при квартальном задании 250 комплектов.РГАНИР, Фонд ГКО, д. 137, лл. 226 (11012).</w:t>
      </w:r>
    </w:p>
    <w:p w14:paraId="23284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C9F6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Постановление ГКО № 3806 О накоплении запасов нефтепродуктов на железных дорогах к зиме 1943-44 гг. (7125, 227-228,229-230).</w:t>
      </w:r>
    </w:p>
    <w:p w14:paraId="6B4CDDE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9E7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года была подготовлена справка:</w:t>
      </w:r>
    </w:p>
    <w:p w14:paraId="6E6E4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 – Свердловск (9274).</w:t>
      </w:r>
    </w:p>
    <w:p w14:paraId="16B7A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DA8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526 – п/я № 21 (9274).</w:t>
      </w:r>
    </w:p>
    <w:p w14:paraId="5E985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EC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Балтийцы заложили еще два ТЩ типа МТ-1. Состоялся спуск со стапеля на воду дизельного тральщика пр. 53-У (10671).</w:t>
      </w:r>
    </w:p>
    <w:p w14:paraId="4136B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6E28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3AD5E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02342B"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в 1943 году оперативная сводка Совинформбюро:</w:t>
      </w:r>
    </w:p>
    <w:p w14:paraId="18983755"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июля наши войска на Орловском направлении продолжали наступление и, преодолевая сопротивление противника, продвинулись вперёд от 5 до 8 километров, заняли ряд населённых пунктов, в том числе районный центр и железнодорожную станцию Змиёвка.</w:t>
      </w:r>
    </w:p>
    <w:p w14:paraId="228F65F6"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за пять дней наступления полностью восстановили положение, занимавшееся ими до наступления немецко-фашистскихвойск, т. е. до 5 июля сего года.</w:t>
      </w:r>
    </w:p>
    <w:p w14:paraId="72475D0A"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наши войска продолжали вести бои местного значения.</w:t>
      </w:r>
    </w:p>
    <w:p w14:paraId="36C93E32"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Краснодара наши войска вели атаки местного значения по улучшению своих позиций.</w:t>
      </w:r>
    </w:p>
    <w:p w14:paraId="6163DDDA"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июля на всех фронтах наши войска подбили и уничтожили 43 немецких танка. В воздушных боях и огнём зенитной артиллерии, сбито 94 самолёта противника.</w:t>
      </w:r>
    </w:p>
    <w:p w14:paraId="4F42DE4B"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преодолевая сопротивление и отражая контратаки противника, продолжали наступление.</w:t>
      </w:r>
    </w:p>
    <w:p w14:paraId="5356C4E0"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противник, стремясь задержать наступление наших войск, неоднократно переходил в контратаки. Наши части отбили все контратаки гитлеровцев и, продвинувшись вперёд, заняли ряд опорных пунктов противника. Части Н-ского соединения, овладев одним населённым пунктом, захватили 9 танков, 6 радиостанций и много стрелкового оружия. Взятые в плен немецкие солдаты сообщили, что их подразделения были срочно переброшены к месту боя на транспортных самолётах. На другом участке наши бойцы, преследуя отступающих немцев, подбили и уничтожили 6 тяжёлых танков и уничтожили более 400 вражеских солдат и офицеров.</w:t>
      </w:r>
    </w:p>
    <w:p w14:paraId="42CBB937"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войска продолжали вести наступательные бои и заняли несколько населённых пунктов. Немцы силами авиации пытаются приостановить продвижение советских войск. Крупные соединения нашей авиации наносят контрудары противнику. В течение дня произошло много воздушных боёв. Только лётчиками Н-ской части сбито 36 немецких самолётов. Наши войска за день боёв уничтожили до 2.000 немецких солдат и офицеров, захватили 27 орудий, из них 3 самоходных, много пулемётов, автоматов и склад боеприпасов.</w:t>
      </w:r>
    </w:p>
    <w:p w14:paraId="1C8D45C7"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части Н-ского соединения продвинулись вперёд и заняли 18 населённых пунктов. В боях за эти населённые пункты уничтожено до 1.000 немецких солдат и офицеров. Подразделение автоматчиков под командованием лейтенанта Педоренко проникло в тыл противника. Наши бойцы ворвались в штаб немецкого пехотного полка и истребили до 60 гитлеровцев, в числе которых было много офицеров.</w:t>
      </w:r>
    </w:p>
    <w:p w14:paraId="72BAB21D"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части, действуя штурмовыми группами, выбили немцев из сильно укреплённых позиций. Н-ская гвардейская часть овладела населённым пунктом и уничтожила 200 гитлеровцев и 12 танков противника. Штурмовая группа младшего лейтенанта Иванова ночью подобралась к немецким позициям. На рассвете красноармейцы внезапно ворвались во вражеские траншеи иобратили противника в бегство.</w:t>
      </w:r>
    </w:p>
    <w:p w14:paraId="7F500608"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части вели бои местного значения. Советские артиллеристы разрушили 20 немецких дзотов и подавили огонь 15 артиллерийских и миномётных батарей противника. На одном участке перешедшая в контратаку немецкая пехота была сметена огнем нашей артиллерии. Два батальона гитлеровцев почти целиком уничтожены. На другом участке советские подразделения отразили четыре контратаки противника и улучшили свои позиции. В результате боя уничтожено до 400 гитлеровцев. На сторону Красной Армии перешли 37 немецких солдат 457 гренадерского полка 257 немецкой пехотной дивизии.</w:t>
      </w:r>
    </w:p>
    <w:p w14:paraId="3C0458B8"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одном из участков Калининского фронта наше гвардейское подразделение ворвалось в траншеи противника, уничтожило оказавших сопротивление немцев и закрепилось на достигнутом рубеже. Захвачено 12 пулемётов. На другом участке наши разведчики успешно провели ночной поиск. Советские бойцы уничтожили группу гитлеровцев и, захватив пленных, благополучно вернулись в свою часть.</w:t>
      </w:r>
    </w:p>
    <w:p w14:paraId="0DCC4F68"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Гомельской области, пустил под откос два немецких эшелона с танками и орудиями. Более суток гитлеровцы очищали путь от обломков разбитых вагонов, повреждённых танков и орудий. На другой линии железной дороги партизаны отряда «Большевик» подорвали немецкий воинский поезд.</w:t>
      </w:r>
    </w:p>
    <w:p w14:paraId="720F03F9"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в районе Орла на сторону Красной Армии фельдфебель одного изполков 102 немецкой пехотной дивизии Людвиг Н. рассказал: «В первые дни наступления немецких войск офицеры уверяли солдат, что окружение русских войск в районе Курска близится к концу. Однако вскоре мы убедились, что наступление на Курск провалилось. Затем началось русское наступление. Частям 102 дивизии былоприказано любой ценой удержать занимаемые рубежи. Однако наш полк не мог устоять против натиска русских и с тяжёлыми потерями отступил. Вечером 19 июля я слышал, как командир полка сказал офицерам: «Все наши расчёты не оправдались. Надо солдатам в соответствующей форме внушить, что теперешнее отступление на нашем участке вызвано необходимостью выровнять фронт». Видя безнадежность положения, я решил спасти себе жизнь и сдался в плен русским».</w:t>
      </w:r>
    </w:p>
    <w:p w14:paraId="45185454"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граждане, бежавшие из оккупированного немцами города Смоленска, рассказали: «Два года жители Смоленска изнывают под ярмом немецких захватчиков. За это время гитлеровцы замучили и расстреляли тысячи ни в чём не повинных советских граждан. Тюрьмы и застенки гестапо переполнены арестованными. С каждым месяцем гитлеровские палачи всё больше свирепствуют. В июне немецкие военные власти объявили мобилизацию всех жителей от 14 до 65 лет, не занятых на принудительных работах. Мобилизованных отправляют на каторгу в Германию. Фашистские людоеды разлучают детей с родителями и малолетних ребят превращают в сирот. Жители Смоленска всеми способами уклоняются от мобилизации. Чтобы предотвратить бегство населения, немецкие военные власти под угрозой расстрела запретили выезд и выход за черту города» (14962).</w:t>
      </w:r>
    </w:p>
    <w:p w14:paraId="5167F182"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1BA8DDA6"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в 1943 году Президиум ВС СССР принял Указ "О порядке присвоения воинских званий военнослужащим Красной Армии". Военнослужащие делились на рядовой, сержантский, офицерский состав и генералов; устанавливался новый порядок присвоения воинских званий, начиная с ефрейтора до подполковника включительно. Указ распространялся на все рода войск и службы Красной Армии (14962).</w:t>
      </w:r>
    </w:p>
    <w:p w14:paraId="384BDF7B"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3388158D"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июля 1943 г.</w:t>
      </w:r>
    </w:p>
    <w:p w14:paraId="06AF7E8B"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 О ПРОВЕДЕНИИ РАБОТ ПО ДЕЗОРИЕНТИРОВАНИЮ САМОЛЕТОВ И ПОДЛОДОК ПРОТИВНИКА, ПОЛЬЗУЮЩИХСЯ ПРИВОДНЫМИ РАДИОСТАНЦИЯМИ</w:t>
      </w:r>
    </w:p>
    <w:p w14:paraId="15965671"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00202</w:t>
      </w:r>
      <w:r w:rsidRPr="00271E51">
        <w:rPr>
          <w:rFonts w:ascii="Times New Roman" w:hAnsi="Times New Roman"/>
          <w:color w:val="0070C0"/>
          <w:sz w:val="16"/>
          <w:szCs w:val="16"/>
        </w:rPr>
        <w:tab/>
        <w:t>24 июля 1943 г.</w:t>
      </w:r>
    </w:p>
    <w:p w14:paraId="437EEC84"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В целях дезориентирования самолетов и подлодок противника и затруднения их действий против наших и союзных конвоев при радионаведении на цель бомбардировочной авиации противника самолетами-разведчиками, приказываю организовать на СФ проведение работ по дефазированию радиосигналов самолетных радиостанций противника согласно предложения ст. инженера НИГШИ ВМФ тов. Смирновского.</w:t>
      </w:r>
    </w:p>
    <w:p w14:paraId="77445805"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Для обеспечения организационно-тактических мероприятий по дезориентированию назначаю комиссию в составе:</w:t>
      </w:r>
    </w:p>
    <w:p w14:paraId="13F1B061"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Председатель: Командующий ВВС СФ генерал-майор авиации тов. Андреев.</w:t>
      </w:r>
    </w:p>
    <w:p w14:paraId="3A0836C1"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 главного управления ВВС ВМФ ст. инженер по радионавигации — инженер-майор тов. Шлейфер.</w:t>
      </w:r>
    </w:p>
    <w:p w14:paraId="682968D2"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 НИГШИ ВМФ — ст. инженер НИГШИ тов. Смирновский.</w:t>
      </w:r>
    </w:p>
    <w:p w14:paraId="17A730E9"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 РУ ВМФ — нач. БРО СФ капитан 3 ранга тов. Куприяненко.</w:t>
      </w:r>
    </w:p>
    <w:p w14:paraId="040C0E59"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 штаба СФ — по назначению командующего СФ.</w:t>
      </w:r>
    </w:p>
    <w:p w14:paraId="5D8F2C8B"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Комиссии на месте составить и не позднее 20 августа 1943 г. представить на мое утверждение конкретный план по «дефазированию», согласованный с командующим СФ и содержащий перечень мероприятий, необходимых для его организационно-тактического осуществления.</w:t>
      </w:r>
    </w:p>
    <w:p w14:paraId="58ACC3E2"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Разработку и изготовление специальной аппаратуры, необходимой для дефазирования, а также техническое руководство работами возложить на НИГШИ ВМФ.</w:t>
      </w:r>
    </w:p>
    <w:p w14:paraId="76E3AAD0"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5. Начальнику УПК выделить в распоряжение начальника НИГШИ для выполнения работ по изготовлению отдельных узлов аппаратуры 5 чел. квалифицированных механиков-монтажников, имеющих опыт работы с радиоаппаратурой. </w:t>
      </w:r>
    </w:p>
    <w:p w14:paraId="171CD51E"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обеспечения работ комиссии на СФ необходимых специалистов выделить непосредственно из личного состава ВВС СФ.</w:t>
      </w:r>
    </w:p>
    <w:p w14:paraId="48289493"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КУЗНЕЦОВ</w:t>
      </w:r>
    </w:p>
    <w:p w14:paraId="57D8997A"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ЦВМА, ф. 79, д. 39827, л. 8. Подлинник (20595).</w:t>
      </w:r>
    </w:p>
    <w:p w14:paraId="2B84C180" w14:textId="77777777" w:rsidR="00006180" w:rsidRPr="00271E51" w:rsidRDefault="00006180" w:rsidP="00271E51">
      <w:pPr>
        <w:spacing w:after="0" w:line="240" w:lineRule="auto"/>
        <w:jc w:val="both"/>
        <w:rPr>
          <w:rFonts w:ascii="Times New Roman" w:hAnsi="Times New Roman"/>
          <w:color w:val="0070C0"/>
          <w:sz w:val="16"/>
          <w:szCs w:val="16"/>
        </w:rPr>
      </w:pPr>
    </w:p>
    <w:p w14:paraId="51C931A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вышло Постановление ГКО № 3807 О резерве начальствующего состава. (7125, 231).</w:t>
      </w:r>
    </w:p>
    <w:p w14:paraId="2E8371F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81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впервые после 1917 было узаконено звание офицер (2990).</w:t>
      </w:r>
    </w:p>
    <w:p w14:paraId="47B64F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BA2C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1711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F530B"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24 июля в 1943 году впервые взлетел второй прототип «DG 202/G» с двигателями «W.2B/23», английского истребителя перехватчика </w:t>
      </w:r>
      <w:hyperlink r:id="rId39" w:tgtFrame="_blank" w:history="1">
        <w:r w:rsidRPr="00271E51">
          <w:rPr>
            <w:rFonts w:ascii="Times New Roman" w:hAnsi="Times New Roman"/>
            <w:color w:val="000000" w:themeColor="text1"/>
            <w:sz w:val="16"/>
            <w:szCs w:val="16"/>
          </w:rPr>
          <w:t xml:space="preserve">«Gloster» «Meteo»r «F.I». </w:t>
        </w:r>
      </w:hyperlink>
      <w:r w:rsidRPr="00271E51">
        <w:rPr>
          <w:rFonts w:ascii="Times New Roman" w:hAnsi="Times New Roman"/>
          <w:color w:val="000000" w:themeColor="text1"/>
          <w:sz w:val="16"/>
          <w:szCs w:val="16"/>
        </w:rPr>
        <w:t>В последующие два месяца оба прототипа испытывались вместе с «DG 204/G», оснащенным моторами «F.2». Однако оснастка и инструмент с самого начала готовились для серийного производства варианта с "Уэллендами". Первой серийной модификацией стал "Метеор" «F.I», он же «G.41A». Опытный образец ее, самолет «ЕЕ 210/G», взлетел в январе 1944 года (14962).</w:t>
      </w:r>
    </w:p>
    <w:p w14:paraId="3EA1AEEE"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5BC0A372"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24 июля в 1943 году во время посадки на южном мысе Шпицбергена была погнута правая стойка основного шасси </w:t>
      </w:r>
      <w:hyperlink r:id="rId40" w:tgtFrame="_blank" w:history="1">
        <w:r w:rsidRPr="00271E51">
          <w:rPr>
            <w:rFonts w:ascii="Times New Roman" w:hAnsi="Times New Roman"/>
            <w:color w:val="000000" w:themeColor="text1"/>
            <w:sz w:val="16"/>
            <w:szCs w:val="16"/>
          </w:rPr>
          <w:t xml:space="preserve">«Ar-232А-010». </w:t>
        </w:r>
      </w:hyperlink>
      <w:r w:rsidRPr="00271E51">
        <w:rPr>
          <w:rFonts w:ascii="Times New Roman" w:hAnsi="Times New Roman"/>
          <w:color w:val="000000" w:themeColor="text1"/>
          <w:sz w:val="16"/>
          <w:szCs w:val="16"/>
        </w:rPr>
        <w:t>Самолет прокатился на своем многоколесном шасси и после остановки накренился на правую сторону, коснувшись законцовкой крыла снега. Экипаж смог сам без посторонней помощи выровнять самолет, использовав большой ход гидроамортизаторов шасси, как домкрат. Экипаж Рудольфа Шютца летал на архипелаг Шпицберген для доставки автоматической метеоаппаратуры (14962).</w:t>
      </w:r>
    </w:p>
    <w:p w14:paraId="084B3518"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7C4C1227"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24–25 июля (ночь) 1943 791 британский бомбардировщик атакует Гамбург, Германия, начинается операция «Гоморра» или « Битва за Гамбург», систематические усилия начальника бомбардировочного командования маршала авиации Артура Харриса по разрушению города. Впервые Royal Air Force использует пкзаные ленты под кодовым названием " Window ", чтобы помешать немецким радарам. Погибло около 1500 человек, что больше, чем во всех 137 предыдущих воздушных атаках на город вместе взятых. Двенадцать британских бомбардировщиков потеряны (20376). </w:t>
      </w:r>
    </w:p>
    <w:p w14:paraId="0D616D77" w14:textId="77777777" w:rsidR="00006180" w:rsidRPr="00271E51" w:rsidRDefault="00006180" w:rsidP="00271E51">
      <w:pPr>
        <w:spacing w:after="0" w:line="240" w:lineRule="auto"/>
        <w:jc w:val="both"/>
        <w:rPr>
          <w:rFonts w:ascii="Times New Roman" w:hAnsi="Times New Roman"/>
          <w:color w:val="0070C0"/>
          <w:sz w:val="16"/>
          <w:szCs w:val="16"/>
        </w:rPr>
      </w:pPr>
    </w:p>
    <w:p w14:paraId="6DB1151E"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июля 1943 - Королевские ВВС (RAF) впервые использовали "Window" - металлическую фольгу чтобы ослепить немецкий радар (22420).</w:t>
      </w:r>
    </w:p>
    <w:p w14:paraId="3D840427" w14:textId="77777777" w:rsidR="00006180" w:rsidRPr="00271E51" w:rsidRDefault="00006180" w:rsidP="00271E51">
      <w:pPr>
        <w:spacing w:after="0" w:line="240" w:lineRule="auto"/>
        <w:jc w:val="both"/>
        <w:rPr>
          <w:rFonts w:ascii="Times New Roman" w:hAnsi="Times New Roman"/>
          <w:color w:val="0070C0"/>
          <w:sz w:val="16"/>
          <w:szCs w:val="16"/>
        </w:rPr>
      </w:pPr>
    </w:p>
    <w:p w14:paraId="484083AE"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в 1943 году (24–25 июля) на заседании Большого Фашистского Совета, не собиравшегося с 1939 года, Муссолини сделал доклад о положении на фронтах и в стране. Большинством голосов (19 против 7) Муссолини был отстранен от власти, а главное командование вооруженными силами передавалось королю Италии. Падение фашистского режима в Италии. Арест Муссолини. Формирование правительства во главе с маршалом П.Бадольо (14962).</w:t>
      </w:r>
    </w:p>
    <w:p w14:paraId="6E087942"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5620CB0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папа римский Пий XII призвал союзников не бомбить Рим (4962).</w:t>
      </w:r>
    </w:p>
    <w:p w14:paraId="431943F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519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союзники пригласили короля Италии (2262).</w:t>
      </w:r>
    </w:p>
    <w:p w14:paraId="449D0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0B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24/25 июля 1943 Б.Муссолини был смещен и фашистское правительство пало. Начались переговоры с союзниками. Б.Муссолини был арестован и отправлен в заключение в высокогорный отель (270;1050;2246,4).</w:t>
      </w:r>
    </w:p>
    <w:p w14:paraId="1E4916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46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July 24, 1943: In Germany the RAF starts a series of devastating bombing raids (6 over 10 days) against the city of Hamburg. These raids kill over 40,000 people and ruin a quarter of the city's dwellings. The dropping of tons of anti-radar foil, code-named Window, effectively paralyz the German early-warning system and blind the flak defenses. </w:t>
      </w:r>
      <w:r w:rsidRPr="00271E51">
        <w:rPr>
          <w:rFonts w:ascii="Times New Roman" w:hAnsi="Times New Roman"/>
          <w:color w:val="000000" w:themeColor="text1"/>
          <w:sz w:val="16"/>
          <w:szCs w:val="16"/>
          <w:lang w:val="en-US"/>
        </w:rPr>
        <w:lastRenderedPageBreak/>
        <w:t>Bombing attacked are also launched against industrial targets in Norway. In the Mediterranian, American forces continue to secure Siciliy (3819).</w:t>
      </w:r>
    </w:p>
    <w:p w14:paraId="0E3E0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79D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24 </w:t>
      </w:r>
      <w:r w:rsidRPr="00271E51">
        <w:rPr>
          <w:rFonts w:ascii="Times New Roman" w:hAnsi="Times New Roman"/>
          <w:color w:val="000000" w:themeColor="text1"/>
          <w:sz w:val="16"/>
          <w:szCs w:val="16"/>
        </w:rPr>
        <w:t>июля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началась</w:t>
      </w:r>
      <w:r w:rsidRPr="00271E51">
        <w:rPr>
          <w:rFonts w:ascii="Times New Roman" w:hAnsi="Times New Roman"/>
          <w:color w:val="000000" w:themeColor="text1"/>
          <w:sz w:val="16"/>
          <w:szCs w:val="16"/>
          <w:lang w:val="en-US"/>
        </w:rPr>
        <w:t xml:space="preserve"> 10 </w:t>
      </w:r>
      <w:r w:rsidRPr="00271E51">
        <w:rPr>
          <w:rFonts w:ascii="Times New Roman" w:hAnsi="Times New Roman"/>
          <w:color w:val="000000" w:themeColor="text1"/>
          <w:sz w:val="16"/>
          <w:szCs w:val="16"/>
        </w:rPr>
        <w:t>дневнаяоперацияГоморра</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совместныебомбежкиГамбургаанглийскимииамериканскимисамолетамии</w:t>
      </w:r>
      <w:r w:rsidRPr="00271E51">
        <w:rPr>
          <w:rFonts w:ascii="Times New Roman" w:hAnsi="Times New Roman"/>
          <w:color w:val="000000" w:themeColor="text1"/>
          <w:sz w:val="16"/>
          <w:szCs w:val="16"/>
          <w:lang w:val="en-US"/>
        </w:rPr>
        <w:t xml:space="preserve"> 740 </w:t>
      </w:r>
      <w:r w:rsidRPr="00271E51">
        <w:rPr>
          <w:rFonts w:ascii="Times New Roman" w:hAnsi="Times New Roman"/>
          <w:color w:val="000000" w:themeColor="text1"/>
          <w:sz w:val="16"/>
          <w:szCs w:val="16"/>
        </w:rPr>
        <w:t>машинсбросили</w:t>
      </w:r>
      <w:r w:rsidRPr="00271E51">
        <w:rPr>
          <w:rFonts w:ascii="Times New Roman" w:hAnsi="Times New Roman"/>
          <w:color w:val="000000" w:themeColor="text1"/>
          <w:sz w:val="16"/>
          <w:szCs w:val="16"/>
          <w:lang w:val="en-US"/>
        </w:rPr>
        <w:t xml:space="preserve"> 3000 </w:t>
      </w:r>
      <w:r w:rsidRPr="00271E51">
        <w:rPr>
          <w:rFonts w:ascii="Times New Roman" w:hAnsi="Times New Roman"/>
          <w:color w:val="000000" w:themeColor="text1"/>
          <w:sz w:val="16"/>
          <w:szCs w:val="16"/>
        </w:rPr>
        <w:t>тбомб</w:t>
      </w:r>
      <w:r w:rsidRPr="00271E51">
        <w:rPr>
          <w:rFonts w:ascii="Times New Roman" w:hAnsi="Times New Roman"/>
          <w:color w:val="000000" w:themeColor="text1"/>
          <w:sz w:val="16"/>
          <w:szCs w:val="16"/>
          <w:lang w:val="en-US"/>
        </w:rPr>
        <w:t xml:space="preserve"> (2605).</w:t>
      </w:r>
    </w:p>
    <w:p w14:paraId="6A0C65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A8556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союзники сбросили 2300 тонн взрывчатки на Гамбург (4962). 790 британских бомбардирощиков высыпали на Гамбург около 2300 тон зажигательных бомб. В этом рейде англичане потеряли только 12 самолётов , благодаря специальной ант-радарной установке "Window" (Окно). Данный прибор выбрасывал в воздух полоски алюминевой фольги , которые создавали помехи радарам и мешали обнаружению самолётов (4963 ).</w:t>
      </w:r>
    </w:p>
    <w:p w14:paraId="6CE07A4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BEC795"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в 1943 году 790 британских бомбардировщиков высыпали на Гамбург около 2300 тон зажигательных бомб. В этом рейде англичане потеряли только 12 самолётов, благодаря специальной анти-радарной установке "Window" (Окно). Данный прибор выбрасывал в воздух полоски алюминевой фольги, которые создавали помехи радарам и мешали обнаружению самолётов (14962).</w:t>
      </w:r>
    </w:p>
    <w:p w14:paraId="03FB9359"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655066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24 July 1943 (24-July-3-August) Major Allied bombing attacks on Hamburg - destroys 70% of city (270).</w:t>
      </w:r>
    </w:p>
    <w:p w14:paraId="587218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3509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24 июля по 3 августа 1943 состоялись основные налеты союзников на Гамбург и 70% города было уничтожено (270;1797). Приняло участие до 740 бомбардировщиков и впервые массово использовали фольгу в качестве помех для немецких радаров (2246,4).</w:t>
      </w:r>
    </w:p>
    <w:p w14:paraId="09C24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DE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24 1943 United States Eighth Air Force makes its first raid on Norway (1037).</w:t>
      </w:r>
    </w:p>
    <w:p w14:paraId="5F71D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882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1943 ВВС США совершили первый налет на Норвегию (1037).</w:t>
      </w:r>
    </w:p>
    <w:p w14:paraId="7E4C7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686B1" w14:textId="77777777" w:rsidR="00071149" w:rsidRPr="00271E51" w:rsidRDefault="0007114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июля в 1943 году американская подводная лодка "Тиноса", которой командовал капитан Дэспит, встретила в районе Каролинских островов японский танкер "Тонан-мару" (водоизмещение 19000 тонн). В 9.30 "Тиноса" выпустила по танкеру четыре торпеды, две из которых попали в цель, но не взорвались. Тогда Дэспит приказал развернуть лодку и произвести залп из носовых аппаратов. Еще две торпеды попали в цель, и одна из них взорвалась. Раздался оглушительный взрыв, и "Тонан-мару", осев на корму, остановился. "Тиноса" не могла всплыть, так как танкер имел на борту артиллерийские орудия, но под водой могла занять идеальную позицию для атаки замершего на месте, беспомощного судна-гиганта. К началу атаки на борту "Тиносы" имелись 16 торпед. В течение пяти часов подлодка выпустила по "Тонан-мару" все торпеды, кроме одной. Все 15 торпед, кроме первых двух, попали в цель, но взорвалась из них только одна - та, что заставила танкер остановиться. Проклиная все на свете, Дэспит ушел с места боя, сохранив последнюю торпеду для специалистов на базе в Перл-Харборе. Этот случай помог понять серьезные недоработки в конструкции взрывателей американских торпед и исправить их, значительно повысив эффективность действий подводных лодок на всем Тихом океане (14962).</w:t>
      </w:r>
    </w:p>
    <w:p w14:paraId="5EEA1FAC" w14:textId="77777777" w:rsidR="00071149" w:rsidRPr="00271E51" w:rsidRDefault="00071149" w:rsidP="00271E51">
      <w:pPr>
        <w:spacing w:after="0" w:line="240" w:lineRule="auto"/>
        <w:jc w:val="both"/>
        <w:rPr>
          <w:rFonts w:ascii="Times New Roman" w:hAnsi="Times New Roman"/>
          <w:color w:val="000000" w:themeColor="text1"/>
          <w:sz w:val="16"/>
          <w:szCs w:val="16"/>
        </w:rPr>
      </w:pPr>
    </w:p>
    <w:p w14:paraId="56CDEE7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5430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38F1C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25 июля по 6 августа 1943 года на Гороховецком полигоне (АНИОП) проходили государственные испытания СУ-85 в трех вариантах, в ходе которых выяснилось, что: "Наибольшие удобства в работе команды при стрельбе дает самоход с пушкой Д-5С-85 вследствие короткой длины отката орудия, удобной высоты линии заряжания, наибольшего рабочего объема для заряжающего. У этого самохода получилось наибольшее время при стрельбе на прочность, наибольший средний темп огня, в 4 раза выше, чем у самохода с орудием С-18.</w:t>
      </w:r>
    </w:p>
    <w:p w14:paraId="0E9F327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Доступ к противооткатным устройствам в орудиях системы ЦАКБ невозможен без снятия передней бронировки весом 300 кг, что крайне неудобно и на что требуется затратить 3-4 часа времени.</w:t>
      </w:r>
    </w:p>
    <w:p w14:paraId="0C5EA47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Д-5С-85 самоуравновешено в цапфах. Для уравновешивания орудий системы ЦАКБ применены большие грузы весом около 210 кг, что ограничивает свободное пространство, нерационально по конструкции и некультурно на вид. Маховики механизмов наведения у орудий системы ЦАКБ расположены неудобно.</w:t>
      </w:r>
    </w:p>
    <w:p w14:paraId="25D74DE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самохода с пушкой С-18 на 850 кг больше, чем самохода с пушкой Д-5С-85".</w:t>
      </w:r>
    </w:p>
    <w:p w14:paraId="4FD4825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испытания машин пробегом на 500 км государственная комиссия сделала заключение, что по ходовым качествам, надежности в работе механизмов, маневренности и проходимости САУ не отличаются от танка Т-34.</w:t>
      </w:r>
    </w:p>
    <w:p w14:paraId="269A15C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испытаний комиссия рекомендовала для принятия на вооружение Красной Армии самоходную установку СУ-85-И с пушкой Д-5С, что и было оформлено постановлением ГКО № 3892 от 7 августа 1943 года. Этим же постановлением предусматривалось прекращение серийного производства на "Уралмашзаводе" самоходов СУ-122 и танков Т-34. "Уралмаш" стал производить только самоходно-артиллерийские установки (9637).</w:t>
      </w:r>
    </w:p>
    <w:p w14:paraId="0041838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C5E9F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на АНИОН начались госу</w:t>
      </w:r>
      <w:r w:rsidRPr="00271E51">
        <w:rPr>
          <w:rFonts w:ascii="Times New Roman" w:hAnsi="Times New Roman"/>
          <w:color w:val="000000" w:themeColor="text1"/>
          <w:sz w:val="16"/>
          <w:szCs w:val="16"/>
        </w:rPr>
        <w:softHyphen/>
        <w:t>дарственные испытания. По результатам испытаний отмечалось, что наибольшие удобства на походе и в стрельбе имеет СУ-85-11 с пушкой Д-5С85. Она же продемонстриро</w:t>
      </w:r>
      <w:r w:rsidRPr="00271E51">
        <w:rPr>
          <w:rFonts w:ascii="Times New Roman" w:hAnsi="Times New Roman"/>
          <w:color w:val="000000" w:themeColor="text1"/>
          <w:sz w:val="16"/>
          <w:szCs w:val="16"/>
        </w:rPr>
        <w:softHyphen/>
        <w:t>вана наивысший темп стрельбы (ввиду короткого отката и малой массы откатных частей) и наибольшее удобство в за</w:t>
      </w:r>
      <w:r w:rsidRPr="00271E51">
        <w:rPr>
          <w:rFonts w:ascii="Times New Roman" w:hAnsi="Times New Roman"/>
          <w:color w:val="000000" w:themeColor="text1"/>
          <w:sz w:val="16"/>
          <w:szCs w:val="16"/>
        </w:rPr>
        <w:softHyphen/>
        <w:t>ряжании ввиду низкой линии огня.</w:t>
      </w:r>
    </w:p>
    <w:p w14:paraId="05081E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СУ-85-ГУ из-за больших размеров качающейся бро</w:t>
      </w:r>
      <w:r w:rsidRPr="00271E51">
        <w:rPr>
          <w:rFonts w:ascii="Times New Roman" w:hAnsi="Times New Roman"/>
          <w:color w:val="000000" w:themeColor="text1"/>
          <w:sz w:val="16"/>
          <w:szCs w:val="16"/>
        </w:rPr>
        <w:softHyphen/>
        <w:t>нировки орудия отмечен плохой обзор с места механика-водителя. СУ-122-111 снята с испытаний из-за поломки ору</w:t>
      </w:r>
      <w:r w:rsidRPr="00271E51">
        <w:rPr>
          <w:rFonts w:ascii="Times New Roman" w:hAnsi="Times New Roman"/>
          <w:color w:val="000000" w:themeColor="text1"/>
          <w:sz w:val="16"/>
          <w:szCs w:val="16"/>
        </w:rPr>
        <w:softHyphen/>
        <w:t>дия. Более или менее удовлетворительные результаты пока</w:t>
      </w:r>
      <w:r w:rsidRPr="00271E51">
        <w:rPr>
          <w:rFonts w:ascii="Times New Roman" w:hAnsi="Times New Roman"/>
          <w:color w:val="000000" w:themeColor="text1"/>
          <w:sz w:val="16"/>
          <w:szCs w:val="16"/>
        </w:rPr>
        <w:softHyphen/>
        <w:t>зала кроме СУ-85-11 также СУ-85-1 с карданной рамкой и качающимся бронированием, разработанными на Урал-машзаводе, но в нем был затруднен доступ к противооткат</w:t>
      </w:r>
      <w:r w:rsidRPr="00271E51">
        <w:rPr>
          <w:rFonts w:ascii="Times New Roman" w:hAnsi="Times New Roman"/>
          <w:color w:val="000000" w:themeColor="text1"/>
          <w:sz w:val="16"/>
          <w:szCs w:val="16"/>
        </w:rPr>
        <w:softHyphen/>
        <w:t>ным приспособлениям. Кроме того, все конструкции ЦАКБ отличались чрезмерным весом и габаритами, а также большими усилиями на маховиках подъемного и поворот</w:t>
      </w:r>
      <w:r w:rsidRPr="00271E51">
        <w:rPr>
          <w:rFonts w:ascii="Times New Roman" w:hAnsi="Times New Roman"/>
          <w:color w:val="000000" w:themeColor="text1"/>
          <w:sz w:val="16"/>
          <w:szCs w:val="16"/>
        </w:rPr>
        <w:softHyphen/>
        <w:t>ного механизмов.</w:t>
      </w:r>
    </w:p>
    <w:p w14:paraId="23924A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итоговом отчете говорилось, что все орудия недорабо</w:t>
      </w:r>
      <w:r w:rsidRPr="00271E51">
        <w:rPr>
          <w:rFonts w:ascii="Times New Roman" w:hAnsi="Times New Roman"/>
          <w:color w:val="000000" w:themeColor="text1"/>
          <w:sz w:val="16"/>
          <w:szCs w:val="16"/>
        </w:rPr>
        <w:softHyphen/>
        <w:t>таны, однако, учитывая острую необходимость СУ-85 в ар</w:t>
      </w:r>
      <w:r w:rsidRPr="00271E51">
        <w:rPr>
          <w:rFonts w:ascii="Times New Roman" w:hAnsi="Times New Roman"/>
          <w:color w:val="000000" w:themeColor="text1"/>
          <w:sz w:val="16"/>
          <w:szCs w:val="16"/>
        </w:rPr>
        <w:softHyphen/>
        <w:t>мии, комиссия предписала работы по Д-6, С-18 и С-18-1 прекратить, а все силы сосредоточить на спешной доработке СУ-85-2, вооруженной 85-мм пушкой Д-5С85, как обладаю</w:t>
      </w:r>
      <w:r w:rsidRPr="00271E51">
        <w:rPr>
          <w:rFonts w:ascii="Times New Roman" w:hAnsi="Times New Roman"/>
          <w:color w:val="000000" w:themeColor="text1"/>
          <w:sz w:val="16"/>
          <w:szCs w:val="16"/>
        </w:rPr>
        <w:softHyphen/>
        <w:t>щей наилучшей скорострельностью, кучностью и эксплуа</w:t>
      </w:r>
      <w:r w:rsidRPr="00271E51">
        <w:rPr>
          <w:rFonts w:ascii="Times New Roman" w:hAnsi="Times New Roman"/>
          <w:color w:val="000000" w:themeColor="text1"/>
          <w:sz w:val="16"/>
          <w:szCs w:val="16"/>
        </w:rPr>
        <w:softHyphen/>
        <w:t>тационными удобствами с целью дальнейшего принятия на вооружение. Начальник ЦАКБ В.Г. Грабин пытался продавить продолжение работ по С-18, декларируя грядущее быс</w:t>
      </w:r>
      <w:r w:rsidRPr="00271E51">
        <w:rPr>
          <w:rFonts w:ascii="Times New Roman" w:hAnsi="Times New Roman"/>
          <w:color w:val="000000" w:themeColor="text1"/>
          <w:sz w:val="16"/>
          <w:szCs w:val="16"/>
        </w:rPr>
        <w:softHyphen/>
        <w:t>трое увеличение у нее начальной скорости путем удлинения ствола до 60 калибров, но оценка массы получающейся пуш</w:t>
      </w:r>
      <w:r w:rsidRPr="00271E51">
        <w:rPr>
          <w:rFonts w:ascii="Times New Roman" w:hAnsi="Times New Roman"/>
          <w:color w:val="000000" w:themeColor="text1"/>
          <w:sz w:val="16"/>
          <w:szCs w:val="16"/>
        </w:rPr>
        <w:softHyphen/>
        <w:t>ки, видимо, испугала Техуправление НКВ, которое не санк</w:t>
      </w:r>
      <w:r w:rsidRPr="00271E51">
        <w:rPr>
          <w:rFonts w:ascii="Times New Roman" w:hAnsi="Times New Roman"/>
          <w:color w:val="000000" w:themeColor="text1"/>
          <w:sz w:val="16"/>
          <w:szCs w:val="16"/>
        </w:rPr>
        <w:softHyphen/>
        <w:t>ционировало продолжение работ в данном направлении.</w:t>
      </w:r>
    </w:p>
    <w:p w14:paraId="3E2DF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Серийное производство СУ-85 началось с 1 августа 1943 г. (по словам Л.И. Горлицкого, 1 августа началась фак</w:t>
      </w:r>
      <w:r w:rsidRPr="00271E51">
        <w:rPr>
          <w:rFonts w:ascii="Times New Roman" w:hAnsi="Times New Roman"/>
          <w:color w:val="000000" w:themeColor="text1"/>
          <w:sz w:val="16"/>
          <w:szCs w:val="16"/>
        </w:rPr>
        <w:softHyphen/>
        <w:t>тическая приемка СУ-85, а выпуск машин без вооружения велся на УЗТМ уже в июле). Первые факты боевого приме</w:t>
      </w:r>
      <w:r w:rsidRPr="00271E51">
        <w:rPr>
          <w:rFonts w:ascii="Times New Roman" w:hAnsi="Times New Roman"/>
          <w:color w:val="000000" w:themeColor="text1"/>
          <w:sz w:val="16"/>
          <w:szCs w:val="16"/>
        </w:rPr>
        <w:softHyphen/>
        <w:t>нения полка СУ-85 имели место в составе 2-го Украинского фронта в конце августа 1943 г., где они впервые вступили в бои с немцами в ходе борьбы за плацдармы на Днепре (11417).</w:t>
      </w:r>
    </w:p>
    <w:p w14:paraId="045C73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E77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июля по 6 августа 1943 г. после устранения недостатков опытный образец СУ-85-1 был допущен к государственным испытаниям на Гороховецком АНИОПе, которые состоялись На вооружении и в серийном производстве не состояла. Машина была разработана на базе самоходной установки СУ-122М путем монтажа в ее корпус 85-мм пушки С-18-1 конструкции ЦАКБ с баллистикой зенитной пушки обр. 1938 г. и люлькой, переработанной в конструкторском бюро УЗТМ. Она представляла собой усовершенст</w:t>
      </w:r>
      <w:r w:rsidRPr="00271E51">
        <w:rPr>
          <w:rFonts w:ascii="Times New Roman" w:hAnsi="Times New Roman"/>
          <w:color w:val="000000" w:themeColor="text1"/>
          <w:sz w:val="16"/>
          <w:szCs w:val="16"/>
        </w:rPr>
        <w:softHyphen/>
        <w:t>вованный вариант 85-мм пушки С-31, ранее разработанной в ЦАКБ (10703).</w:t>
      </w:r>
    </w:p>
    <w:p w14:paraId="4B08CD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D292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июля по 6 августа 1943 г. после устранения недостатков опыт</w:t>
      </w:r>
      <w:r w:rsidRPr="00271E51">
        <w:rPr>
          <w:rFonts w:ascii="Times New Roman" w:hAnsi="Times New Roman"/>
          <w:color w:val="000000" w:themeColor="text1"/>
          <w:sz w:val="16"/>
          <w:szCs w:val="16"/>
        </w:rPr>
        <w:softHyphen/>
        <w:t>ный образец установки был допущен к государственным испытаниям на Гороховецком АНИОПе. После завершения испытаний дальнейшие работы по машине были прекращены. Машина была разработана на базе установки СУ-122М путем мон</w:t>
      </w:r>
      <w:r w:rsidRPr="00271E51">
        <w:rPr>
          <w:rFonts w:ascii="Times New Roman" w:hAnsi="Times New Roman"/>
          <w:color w:val="000000" w:themeColor="text1"/>
          <w:sz w:val="16"/>
          <w:szCs w:val="16"/>
        </w:rPr>
        <w:softHyphen/>
        <w:t>тажа в ее корпус 85-мм пушки С-18 конструкции ЦАКБ с баллистикой зенитной пушки обр. 1938 г. и люлькой, заимствованной у 85-мм пушки ЗИС-5. Она представляла собой усовершенствованный вариант ранее разработанной в ЦАКБ под руководством В.Г.Грабина 85-мм пушки С-31, по своим размерам не удовлетворявшей требованиям УЗТМ на монтаж в корпус самоходной установки СУ-122М (10703).</w:t>
      </w:r>
    </w:p>
    <w:p w14:paraId="4859E8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D497E" w14:textId="77777777" w:rsidR="00EE60C5" w:rsidRPr="00271E51" w:rsidRDefault="00EE60C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 июля 1943 вместе с тремя образцами СУ-85 на испытания вышла СУ-122-III. Шасси и боевые отделения всех вышедших на испытания машин оказались практически одинаковыми. Тем самым упрощался запуск серийного производства победившей самоходной установки. Надо сказать, что СУ-122-III испытывалась едва ли не вне конкурса, поскольку наибольший приоритет, по понятным причинам, имела СУ-85.</w:t>
      </w:r>
    </w:p>
    <w:p w14:paraId="16392FAE" w14:textId="77777777" w:rsidR="00EE60C5" w:rsidRPr="00271E51" w:rsidRDefault="00EE60C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Методика испытаний всех машин оказалась одинаковой. Было пройдено 373 километра по булыжно-щебеночному шоссе и 112 – по проселочным дорогам. При этом расход топлива составил 187 и 220 литров на 100 километров соответственно. Основными дефектами при этом оказались повреждения бандажей опорных катков. Стоит отметить, что СУ-122-III оказалась самой тяжелой из машин, ее боевая масса составила 30 тонн.</w:t>
      </w:r>
    </w:p>
    <w:p w14:paraId="2AE6F5F0" w14:textId="77777777" w:rsidR="00EE60C5" w:rsidRPr="00271E51" w:rsidRDefault="00EE60C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Настоящей проблемой стали испытания стрельбой. Недоработка противооткатных устройств привела к тому, что произошел целый ряд недокатов и предельных откатов. Проблемы с откатными механизмами привели к деформации деталей орудийной установки. В результате комиссия приняла решение СУ-122-III с испытаний снять. Комиссия обратила внимание на неудобное место командира, не самую лучшую конструкцию боеукладок и ряд других недоработок. Вместе с тем, отмечалась удачная конструкция гильзоулавливателя.</w:t>
      </w:r>
    </w:p>
    <w:p w14:paraId="7975B5DA" w14:textId="77777777" w:rsidR="00EE60C5" w:rsidRPr="00271E51" w:rsidRDefault="00EE60C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 итогам испытаний комиссия предложила заводу №9 самоходную установку доработать. Помимо устранения проблем с противооткатными механизмами, имелся целый перечень и других доработок. В их числе значилась, например, замена поршневого затвора на клиновой.</w:t>
      </w:r>
    </w:p>
    <w:p w14:paraId="33CE58D8" w14:textId="77777777" w:rsidR="00EE60C5" w:rsidRPr="00271E51" w:rsidRDefault="00EE60C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Лучше всего на испытаниях себя показала СУ-85-II с системой Д-5-С-85. Именно она и пошла в серийное производство как СУ-85. Что же касается СУ-122-III, то в августе работы по штурмовым средним САУ закончились. Приоритеты окончательно сместились в пользу противотанковых самоходных установок, предназначенных для борьбы с немецким «зверинцем» (17689).</w:t>
      </w:r>
    </w:p>
    <w:p w14:paraId="0E3318A2" w14:textId="77777777" w:rsidR="00EE60C5" w:rsidRPr="00271E51" w:rsidRDefault="00EE60C5" w:rsidP="00271E51">
      <w:pPr>
        <w:pStyle w:val="12a"/>
        <w:shd w:val="clear" w:color="auto" w:fill="auto"/>
        <w:spacing w:after="0" w:line="240" w:lineRule="auto"/>
        <w:jc w:val="both"/>
        <w:rPr>
          <w:color w:val="000000" w:themeColor="text1"/>
          <w:sz w:val="16"/>
          <w:szCs w:val="16"/>
        </w:rPr>
      </w:pPr>
    </w:p>
    <w:p w14:paraId="5944C13D" w14:textId="77777777" w:rsidR="00EE60C5" w:rsidRPr="00271E51" w:rsidRDefault="00EE60C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25 июля 1943 три образца СУ-85 прибыли на Гороховецкий АНИОП, тогда же начались и их испытания. Выполнить в срок требования постановления ГКО №3289 не удалось. Окончательная доработка проектов СУ-85 велась вплоть до 10-х чисел июля. Опытные образцы самоходных установок удалось построить к 20 июля. Сначала САУ прошли технический осмотр и были доукомплектованы для получения полной боевой массы (17704).</w:t>
      </w:r>
    </w:p>
    <w:p w14:paraId="3DB61874"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29 июля по 1 августа каждая из машин прошла по 485 километров, из которых 373 по шоссе и 112 по просёлку. Самоходные установки преодолели маршрут из Свердловска в Челябинск и обратно.</w:t>
      </w:r>
    </w:p>
    <w:p w14:paraId="0DD4E513"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Средние скорости движения по шоссе составили 22-24 км/ч, а по просёлку 16-18 км/ч. Это почти не отличалось от данных Т-34. При продолжительном движении на скорости выше 25 км/ч наблюдался выход из строя бандажей опорных катков. Это была проблема не только СУ-85, но и Т-34. Ходовые характеристики САУ практически не отличались от характеристик базового танка Т-34. Переделанный люк механика-водителя, который почти ничем не отличался от люка на Т-34, обеспечивал хорошую обзорность. Исключение составила СУ-85-IV, у которой массивная бронировка системы С-18 конструкции ЦАКБ сильно ограничивала обзор вправо. Общим недостатком всех СУ-85 и СУ-122-III было смещение сиденья механика-водителя вправо по отношению к центру люка, что несколько ухудшало обзор.</w:t>
      </w:r>
    </w:p>
    <w:p w14:paraId="3B64AF98"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После ходовых испытаний были осмотрены орудия. Выяснилось, что вертикальная качка у всех систем калибра 85 мм увеличилась, особенно это касалось С-18-1.</w:t>
      </w:r>
    </w:p>
    <w:p w14:paraId="20B11BB5"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3-4 августа проводились испытания стрельбой. Д-5С-85 практически сразу вырвалась вперёд, прежде всего благодаря удобству работы расчёта. Благодаря меньшей длине отката, наибольшей площади для работы заряжающего и наиболее удобной высоте линии заряжания система оказалась самой скорострельной. Скорострельность С-18 и С-18-1 составила 6-7 выстрелов в минуту, а Д-5С-85 — 8. Впрочем, все представленные системы испытаний стрельбой не выдержали. У лидировавшей Д-5С-85 имели место отказы механизма спуска, 30% выстрелов происходили с проблемами при экстракции гильзы. Наблюдалась течь жидкости из тормоза отката, причём началась она уже после 10 выстрелов. За 266 выстрелов вытек примерно литр стеола. На 267-м выстреле произошёл недокат системы, тормоз отката вышел из строя. Имелись у системы и конструктивные недостатки: расположение спускового механизма оказалось неудобным, а сам он оказался тугим.</w:t>
      </w:r>
    </w:p>
    <w:p w14:paraId="4580BF27"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проблемы с работой Д-5С-85 оказались сущей мелочью по сравнению с теми, которые проявились у пушек разработки ЦАКБ. Неприятности с С-18 начались уже после 5-го выстрела и продолжались в ходе последующих испытаний. За 80 выстрелов случаи отказа полуавтоматики произошли 15 раз. Неоднократно наблюдались случаи самозакрывания клина. За 40 выстрелов давление в накатнике снизилось с 28 до 23 атмосфер, кроме того, наблюдался быстрый разогрев жидкости. Отмечалось большое количество недокатов, после 70-го выстрела начались резкие накаты со стуком. После 200 выстрелов спусковой механизм полностью вышел из строя. Имелись у этого орудия и очень серьёзные конструктивные недостатки. Например, для долива жидкости в откатный механизм требовалось снять подвижную бронировку системы.</w:t>
      </w:r>
    </w:p>
    <w:p w14:paraId="7732112F"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Немного лучше дела обстояли с С-18-1, но и там многие проблемы С-18 повторились. Постепенно увеличивалась длина отката, наблюдалась течь жидкости после 173-х выстрелов. С 31-го выстрела начались резкие накаты со стуком. Из 110 последних выстрелов 47 происходило с самозакрыванием клина.</w:t>
      </w:r>
    </w:p>
    <w:p w14:paraId="56CA25FE"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 итогам сравнительных испытаний дальнейшая работа по системам С-18 и С-18-1 была прекращена, победителем в них вышла Д-5С-85. При этом заключительный вердикт предписывал доработать орудие, устранив выявленные дефекты. Не до конца соответствующим требованиям было признано и шасси СУ-85. Машину предлагалось пускать в серию с расширенным боевым отделением, по типу СУ-122М. Но на практике переделка боевого отделения оказалась совсем незначительной. СУ-85-II была принята на вооружение Красной армии в почти неизменном виде. Случилось это 8 августа 1943 года, когда Сталин подписал постановление ГКО №3892сс «Об организации производства 85 мм самоходных артустановок на базе танка Т-34 на Уралмашзаводе». Уже в августе в Свердловске выпустили первые серийные СУ-85.</w:t>
      </w:r>
    </w:p>
    <w:p w14:paraId="24206D19" w14:textId="77777777" w:rsidR="00EE60C5" w:rsidRPr="00271E51" w:rsidRDefault="00EE60C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СУ-85 стала первой из серийных советских САУ, шасси и вооружение которой полностью было спроектировано в Свердловске. За разработку этой машины коллектив УЗТМ был представлен к правительственным наградам, самой высокой из которых стала Сталинская премия. Высокие награды получил и коллектив завода №9 (17704).</w:t>
      </w:r>
    </w:p>
    <w:p w14:paraId="0B061A2C" w14:textId="77777777" w:rsidR="00EE60C5" w:rsidRPr="00271E51" w:rsidRDefault="00EE60C5" w:rsidP="00271E51">
      <w:pPr>
        <w:pStyle w:val="12a"/>
        <w:shd w:val="clear" w:color="auto" w:fill="auto"/>
        <w:spacing w:after="0" w:line="240" w:lineRule="auto"/>
        <w:jc w:val="both"/>
        <w:rPr>
          <w:color w:val="000000" w:themeColor="text1"/>
          <w:sz w:val="16"/>
          <w:szCs w:val="16"/>
        </w:rPr>
      </w:pPr>
    </w:p>
    <w:p w14:paraId="0426C5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ГАЗ были выпущены первые пять автомобилей «по обходной технологии». В августе с «конвейеров» сошли первые 100 бронемашин БА-64, в октябре – первые вездеходы ГАЗ-67. Сборка американских грузовиков шла прямо под открытым небом. Тем не менее сроки окончания работ 15—30 сентября снова оказались невыполненными, и 6 октября нарком среднего машиностроения С. Акопов, ссылаясь на постановление ГКО, вновь перенес их, уже на 15 октября – 15 ноября. Да и они касались лишь основных производственных объектов. Вспомогательные сооружения предполагалось восстановить лишь к 20 декабря 1943 г. Согласно актам о приемке, большинство цехов были сданы между 21 и 30 октября (11774).</w:t>
      </w:r>
    </w:p>
    <w:p w14:paraId="5E6FD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144F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г. на шугуровской скважине № 1 в Татарской АССР был получен промышленный приток нефти. Это событие дало новый мощный импульс дальнейшим поискам нефти (11523).</w:t>
      </w:r>
    </w:p>
    <w:p w14:paraId="3CCE546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5288A32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EE7B7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70F923" w14:textId="77777777" w:rsidR="000A24D5" w:rsidRPr="00271E51" w:rsidRDefault="000A24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в 1943 году оперативная сводка Совинформбюро:</w:t>
      </w:r>
    </w:p>
    <w:p w14:paraId="5B12BBEF"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xml:space="preserve">В течение 25 июля </w:t>
      </w:r>
      <w:r w:rsidR="000A24D5" w:rsidRPr="00271E51">
        <w:rPr>
          <w:rFonts w:ascii="Times New Roman" w:eastAsia="Times New Roman" w:hAnsi="Times New Roman"/>
          <w:color w:val="000000" w:themeColor="text1"/>
          <w:sz w:val="16"/>
          <w:szCs w:val="16"/>
          <w:lang w:eastAsia="ru-RU"/>
        </w:rPr>
        <w:t xml:space="preserve">1943 </w:t>
      </w:r>
      <w:r w:rsidRPr="00271E51">
        <w:rPr>
          <w:rFonts w:ascii="Times New Roman" w:eastAsia="Times New Roman" w:hAnsi="Times New Roman"/>
          <w:color w:val="000000" w:themeColor="text1"/>
          <w:sz w:val="16"/>
          <w:szCs w:val="16"/>
          <w:lang w:eastAsia="ru-RU"/>
        </w:rPr>
        <w:t>наши войска на Орловском направлении, преодолевая сопротивление и контратаки противника, продолжали наступление, продвинулись вперёд от 4 до 9 километров, заняли 30 населённых пунктов и среди них Рыбница, Гремячево, Захаровка, Лебедиха, Воронец, Верхнее Тагино, Нижнее Тагино, станция Глазуновка и северо-восточнее Орла, на западном берегу Оки, населённые пункты Пахомово, Чижовка, Нарыково.</w:t>
      </w:r>
    </w:p>
    <w:p w14:paraId="78C0A25A"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Белгородском направлении - поиски разведчиков и на отдельных участках шли бои местного значения.</w:t>
      </w:r>
    </w:p>
    <w:p w14:paraId="1121516E"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юге, в Донбассе, в районе Южнее Изюма и Юго-Западнее Ворошиловграда, велись усиленные поиски разведчиков.</w:t>
      </w:r>
    </w:p>
    <w:p w14:paraId="463DB0D1"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течение 24 июля на всех фронтах наши войска подбили и уничтожили 64 немецких танка. В воздушных боях и огнём зенитной артиллерии сбито 56 самолётов противника.</w:t>
      </w:r>
    </w:p>
    <w:p w14:paraId="47B5232F"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Орловском направлении наши войска продолжали наступление.</w:t>
      </w:r>
    </w:p>
    <w:p w14:paraId="0B139313"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Севернее Орла Н-ское соединение, преодолевая упорное сопротивление и отбивая контратаки противника, продвинулось вперёд. На одном участке противник предпринял сильную контратаку. Немцы настойчиво лезли вперёд, но, потеряв 6 тяжёлых танков и до 700 солдат и офицеров убитыми, были вынуждены отступить. На других участках гитлеровцы также несколько раз переходили в контратаки, но были рассеяны огнём советских подразделений.</w:t>
      </w:r>
    </w:p>
    <w:p w14:paraId="08FE00F2"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Восточнее Орла наши части продолжали наступление и заняли несколько населённых пунктов. Преодолевая сопротивление противника, бойцы Н-ского соединения подбили 7 немецких танков и уничтожили более 1.500 гитлеровцев. Захвачено большое число пленных. Стрелок-радист танка старший сержант Масленников, отражая вражескую контратаку, огнём из пушки подбил 3 немецких тяжёлых танка «Тигр» и истребил 40 солдат и офицеров противника.</w:t>
      </w:r>
    </w:p>
    <w:p w14:paraId="1376EA81"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Южнее Орла наши войска, ломая сопротивление противника, продвигались вперёд и выбили немцев из ряда населённых пунктов. Бойцы Н-ской части подбили и сожгли 10 немецких танков и уничтожили до 600 солдат противника. Подразделение Н-ской части штурмом заняло одну важную высоту. Немцы пошли в контратаку. Младший сержант Кокорезов выкатил орудие на открытую позицию и метким огнем уничтожил 2 танка и 2 самоходных орудия противника. Немецкая пехота, оказавшись без поддержки танков и самоходных орудий, начала отступать. Пулемётным огнём большая часть гитлеровцев была уничтожена.</w:t>
      </w:r>
    </w:p>
    <w:p w14:paraId="540F1F3E"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Наша авиация активно поддерживала действия пехотных частей и наносила удары по скоплениям немецко-фашистских войск. В результате бомбардировки уничтожено большое количество пехоты и техники противника. Лётчик лейтенант Владимир Харитонов совместно со штурманом старшим лейтенантом Петром Бурмистровым, пролетая над прифронтовой полосой, обнаружили находившийся на земле немецкий истребитель «Фокке-Вульф-190» и пулемётной очередью подожгли его. Продолжая полёт, летчики заметили 7 немецких бомбардировщиков «Юнкерс-88», шедших на бомбёжку наших войск. Харитонов и Бурмистров напали на врага, сбили 2 немецких самолёта и благополучно вернулись на свой аэродром.</w:t>
      </w:r>
    </w:p>
    <w:p w14:paraId="632E7932"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На Белгородском направлении велись бои местного значения и поиски разведчиков. Бойцы Н-ской части, прикрывая фланг своего соединения, отразили несколько атак пехоты и танков противника. В результате боя уничтожено 9 немецких танков, 2 миномётных батареи и до двух рот гитлеровцев. На другом участке отряд красноармейцев под командованием гвардии лейтенанта Никифорова в течение двух часов сдерживал контратаку группы танков и автоматчиков противника. Наши бойцы сожгли и подбили 13 танков и истребили 80 немецких автоматчиков. Лётчик майор Ольховский в течение дня сбил 4, а старший лейтенант Белоусов - 2 самолёта противника.</w:t>
      </w:r>
    </w:p>
    <w:p w14:paraId="08EC4DAE"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Южнее Изюма - поиски разведчиков. Вчера Н-ское соединение отбило несколько вражеских контратак, уничтожив при этом до 800 гитлеровцев. На другом участке Н-ская гвардейская часть за пять дней боёв улучшила свои позиции и захватила 78 орудий, 89 миномётов, 187 пулемётов, свыше 8.000 винтовок, 5 радиостанций и другие трофеи.</w:t>
      </w:r>
    </w:p>
    <w:p w14:paraId="6C6CCFDE"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одном участке Калининского фронта наша разведывательная группа скрытно подобралась к расположению противника и внезапно ворвалась в его траншеи. В короткой схватке разведчики уничтожили несколько десятков гитлеровцев и, захватив их оружие, благополучно вернулись в свою часть. На другом участке огнём артиллерии уничтожены 3 немецких орудия, 4 пулемёта, разрушены 7 вражеских дзотов и блиндажей.</w:t>
      </w:r>
    </w:p>
    <w:p w14:paraId="256F78AD"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Партизанский отряд, действующий в одном из районов Ленинградской области, вёл ожесточённые бои с подразделениями 344 полка 223 немецкой пехотной дивизии. Советские патриоты истребили 154 гитлеровца и взорвали склад с боеприпасами. Захвачены - орудие, радиостанция, автоматы и винтовки. Партизаны другого ленинградского отряда в ночь на 15 июля совершили внезапный налёт на населённый пункт, в котором находилось 300 немецких кавалеристов. Немцы, застигнутые врасплох, не смогли оказать серьёзного сопротивления. В короткой схватке партизаны уничтожили более 100 гитлеровцев.</w:t>
      </w:r>
    </w:p>
    <w:p w14:paraId="40755698" w14:textId="77777777" w:rsidR="00506386" w:rsidRPr="00271E51" w:rsidRDefault="0050638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Перешедший на сторону Красной Армии ефрейтор 2 мотострелкового полка 2 немецкой танковой дивизия Генрих Л. рассказал: «Зимой, когда немецкая армия терпела тяжёлые поражения, офицеры утешали солдат. Они говорили: «Не надо отчаиваться, скоро придёт лето, и мы возьмём своё». Командир полка подполковник Бук на всех смотрах повторял: «Летом начнётся грандиозное наступление немецкой армии, и мы отплатим русским за Сталинград, за Кавказ, за всё!» Настало лето 5-го июля мы перешли в наступление. Разгорелись ожесточённые бои, в которых дивизия понесла огромные потери. В некоторых ротах 2 полка осталось по 20-25 человек. Скоро стало ясно, что наступление немецкой армии потерпело крах. Более того, русские сами перешли в наступление и тем самым посягнули на лето, которое немцы до сих пор считали монопольным сезоном успехов немецкого оружия. Это произвело на солдат ошеломляющее впечатление»</w:t>
      </w:r>
      <w:r w:rsidR="000A24D5" w:rsidRPr="00271E51">
        <w:rPr>
          <w:rFonts w:ascii="Times New Roman" w:eastAsia="Times New Roman" w:hAnsi="Times New Roman"/>
          <w:color w:val="000000" w:themeColor="text1"/>
          <w:sz w:val="16"/>
          <w:szCs w:val="16"/>
          <w:lang w:eastAsia="ru-RU"/>
        </w:rPr>
        <w:t xml:space="preserve"> (10930)</w:t>
      </w:r>
      <w:r w:rsidRPr="00271E51">
        <w:rPr>
          <w:rFonts w:ascii="Times New Roman" w:eastAsia="Times New Roman" w:hAnsi="Times New Roman"/>
          <w:color w:val="000000" w:themeColor="text1"/>
          <w:sz w:val="16"/>
          <w:szCs w:val="16"/>
          <w:lang w:eastAsia="ru-RU"/>
        </w:rPr>
        <w:t>.</w:t>
      </w:r>
    </w:p>
    <w:p w14:paraId="7087E593" w14:textId="77777777" w:rsidR="000A24D5" w:rsidRPr="00271E51" w:rsidRDefault="000A24D5" w:rsidP="00271E51">
      <w:pPr>
        <w:pStyle w:val="book"/>
        <w:ind w:firstLine="0"/>
        <w:jc w:val="both"/>
        <w:rPr>
          <w:color w:val="000000" w:themeColor="text1"/>
          <w:sz w:val="16"/>
          <w:szCs w:val="16"/>
        </w:rPr>
      </w:pPr>
    </w:p>
    <w:p w14:paraId="287F28DF" w14:textId="77777777" w:rsidR="00506386" w:rsidRPr="00271E51" w:rsidRDefault="00506386" w:rsidP="00271E51">
      <w:pPr>
        <w:pStyle w:val="book"/>
        <w:ind w:firstLine="0"/>
        <w:jc w:val="both"/>
        <w:rPr>
          <w:color w:val="000000" w:themeColor="text1"/>
          <w:sz w:val="16"/>
          <w:szCs w:val="16"/>
        </w:rPr>
      </w:pPr>
      <w:r w:rsidRPr="00271E51">
        <w:rPr>
          <w:color w:val="000000" w:themeColor="text1"/>
          <w:sz w:val="16"/>
          <w:szCs w:val="16"/>
        </w:rPr>
        <w:t>25 июля 1943 г. две группы самолетов противника (33 и 22 Ю-87) в районе железнодорожной станции Моховое (Брянский фронт) нанесли удар по двум полкам артиллерии, один из них - тяжёлый артиллерийский полк - занял огневые позиции, но не успел оборудовать на них укрытий для материальной части и личного состава, а другой - полк 76-мм пушек - только что подошел к намеченным позициям и к моменту атаки самолетов противника не успел даже рассредоточиться. Атака производилась фугасными и осколочными бомбами, сбрасываемыми с пикирования. Противодействия с земли и в воздухе атакующим самолетам противника оказано не было. В результате атаки полки понесли большие потери в материальной части; в тяжёлом артиллерийском полку было выведено из строя 6 орудий, 4 трактора-тягача и несколько автомашин, в полку 76-мм пушек - вся материальная часть. Личный состав также имел потери, особенно большие потери в личном составе были в полку 76-м м пушек (18737).</w:t>
      </w:r>
    </w:p>
    <w:p w14:paraId="314FBF37" w14:textId="77777777" w:rsidR="00506386" w:rsidRPr="00271E51" w:rsidRDefault="00506386" w:rsidP="00271E51">
      <w:pPr>
        <w:pStyle w:val="book"/>
        <w:ind w:firstLine="0"/>
        <w:jc w:val="both"/>
        <w:rPr>
          <w:color w:val="000000" w:themeColor="text1"/>
          <w:sz w:val="16"/>
          <w:szCs w:val="16"/>
        </w:rPr>
      </w:pPr>
    </w:p>
    <w:p w14:paraId="5B677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25 июля 1943 г. капитан К.Я. Франчук, успешно действовавший на Су-2 днем практически с первых дней войны на Южном и Юго-Западном фронтах, при помощи САБов смог обнаружить скопление автомашин на Таманском полуострове, а затем точно сбросил на них бомбы. Не менее результативными оказались ночные налеты на причал Новороссийска на 16 августа и суда в порту Кордон на 6 ноября 1943 г. В каждом из перечисленных выше случаев наблюдатели отмечали многочисленные взрывы и пожары в расположении неприятеля (12028).</w:t>
      </w:r>
    </w:p>
    <w:p w14:paraId="2A500D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386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вышел приказ наркома ВМФ Н.К.Кузнецова N 00202 о проведении работ по дезориентированию самолетов и подводных лодок, пользующихся приводными радиостанциями (2120).</w:t>
      </w:r>
    </w:p>
    <w:p w14:paraId="3FCD2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52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был опубликован Указ Президиума ВС о порядке присвоения воинских званий и установили деление: рядовой состав, сержанты, офицеры и генералы (3398,257).</w:t>
      </w:r>
    </w:p>
    <w:p w14:paraId="77908D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E5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соединения 1ВА уничтожили 25 танков, 250 автомашин, 5 батарей, много пехоты (518,145).</w:t>
      </w:r>
    </w:p>
    <w:p w14:paraId="11D12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72C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25 июля 1945 почти в том же месте транспорт в 5-6 тысяч тонн атаковал старший лейтенант Ю.Э.Бунимович. По его донесению торпеда отправила цель на дно, но сам Ил-4 впервые за все дальние полеты подвергся преследованию двухмоторных истребителей. Летчику удалось скрыться в облаках, но враг на этом не успокоился, и спустя 20 минут торпедоносец подвергся новой атаке воздушного противника. Хотя Бунимо-вичу и на этот раз удалось оторваться, стало ясно, что немецкое командование всё же обратило внимание на эпизодически появляющихся «охотников» и начало принимать ответные меры. Что же касается реальных успехов летчиков, то они еще ждут своей проверки по материалам противника (9965).</w:t>
      </w:r>
    </w:p>
    <w:p w14:paraId="4B4FAA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7B769"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 25 июля по 8 августа 1943 года бригады, укомплектованные экранированными Т-34, принимали участие в боевых действиях. К началу наступления в 41-й танковой бригаде имелось 89 Т-34 и десять Valentine. 28 июля соединение пошло в бой, имея задачу выбить противника из Руднево. Противник встретил атаку огнём танков, самоходных орудий и противотанковой артиллерии. Бригаде удалось занять населённый пункт ценой потери семи экранированных танков. Выяснилось, что экранировка хорошо держит кумулятивные снаряды калибра 75 мм. Но противник в основном вёл огонь бронебойными снарядами калибра 75 мм. Хуже того, именно в этих местах немцы использовали 88-мм тяжёлые противотанковые орудия 8.8 cmPak 43/41. Серьёзные потери бригада понесла и на следующий день.</w:t>
      </w:r>
    </w:p>
    <w:p w14:paraId="2224218B"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 боями 41-я танковая бригада прошла 35 километров, успешно выполнив задачу. Но именно экранированные танки из числа её машин понесли наибольшие потери. Исправными остались два танка с 1-м вариантом экранировки и пять — со вторым. 14 танков было потеряно безвозвратно, пять требовало капитального ремонта и шесть — среднего ремонта.</w:t>
      </w:r>
    </w:p>
    <w:p w14:paraId="5F27A8A3"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111-й танковой бригаде осталось пять исправных экранированных танков. Благодаря участию в менее интенсивных боевых действиях и меньшему количеству экранированных танков их потери в этом соединении оказались ниже. Безвозвратно было потеряно два танка, требовало капитального ремонта ещё два (все со вторым вариантом экранировки). Ещё пять экранированных танков (из них один с первым вариантом экранировки) требовали среднего ремонта.</w:t>
      </w:r>
    </w:p>
    <w:p w14:paraId="0F7D5893"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Анализ нанесённых повреждений сделал выводы по эффективности экранировки ещё более мрачными. Всего было насчитано по два попадания бронебойными снарядами калибра 50 мм и кумулятивными калибра 75 мм. Наибольшее число попаданий (37) пришлось на бронебойные снаряды калибра 75 мм, из них 16 в борт, пять в подкрылки, шесть в носовую часть корпуса и десять в башню. Попаданий 88-м снарядов из Pak 43/41 насчитали 15 штук, из них семь в борт, три в подкрылки, два в нос корпуса, два в корму и один в башню. Всего же в борта попали 24 снаряда, а в подкрылки — девять. Да, идея о дополнительной защите бортов оказалась верной. Но для защиты от огня 75-мм и 88-мм противотанковых орудий экраны оказались не эффективными. Да и от бронебойных снарядов калибра 50 мм экраны тоже не спасали (18883).</w:t>
      </w:r>
    </w:p>
    <w:p w14:paraId="56BBAD55"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p>
    <w:p w14:paraId="78F57CF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CC880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4AFCA4"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июля 1943 бомбардировщики B-25 Mitchell пятой воздушной армии США уничтожают два японских эсминца, севших на мель на рифе у мыса Глостер, Новая Британия (20376).</w:t>
      </w:r>
    </w:p>
    <w:p w14:paraId="17CAE51D" w14:textId="77777777" w:rsidR="00006180" w:rsidRPr="00271E51" w:rsidRDefault="00006180" w:rsidP="00271E51">
      <w:pPr>
        <w:spacing w:after="0" w:line="240" w:lineRule="auto"/>
        <w:jc w:val="both"/>
        <w:rPr>
          <w:rFonts w:ascii="Times New Roman" w:hAnsi="Times New Roman"/>
          <w:color w:val="0070C0"/>
          <w:sz w:val="16"/>
          <w:szCs w:val="16"/>
        </w:rPr>
      </w:pPr>
    </w:p>
    <w:p w14:paraId="5DC45297"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июля 1943 100 бомбардировщиков 8 - й воздушной армии США атакуют Гамбург (20376).</w:t>
      </w:r>
    </w:p>
    <w:p w14:paraId="4FA14884" w14:textId="77777777" w:rsidR="00006180" w:rsidRPr="00271E51" w:rsidRDefault="00006180" w:rsidP="00271E51">
      <w:pPr>
        <w:spacing w:after="0" w:line="240" w:lineRule="auto"/>
        <w:jc w:val="both"/>
        <w:rPr>
          <w:rFonts w:ascii="Times New Roman" w:hAnsi="Times New Roman"/>
          <w:color w:val="0070C0"/>
          <w:sz w:val="16"/>
          <w:szCs w:val="16"/>
        </w:rPr>
      </w:pPr>
    </w:p>
    <w:p w14:paraId="7967CBBD"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июля 1943 - Завершилась операция "Гоморра" по уничтожению города-порта Гамбурга - после двух ночных налетов и одного дневного. Гамбург был превращен в груды развалин. Огненный вихрь, бушевавший всю ночь на 25 июля, унес жизни более 50 000 жителей города. А началась она вечерам 23 июля 1943 года с налета более чем 800 бомбардировщиков (из них 125 "Стирлингов"). ПВО города была исключительно мощной и состояла из современных комплексов с широким использованием РЛС. В четверть первого ночи все РЛС обнаружения и наведения, а также локаторы ночных перехватчиков были ослеплены массой засветок на экранах. Дорогая и тщательно продуманная система ПВО перестала существовать. Этой лунной безоблачной ночью Королевские ВВС впервые применили в качестве средства подавления РЛС дипольные отражатели из алюминиевой фольги. Потери нападающих составили всего 12 самолетов, или полтора процента от принявших участие в налете (22419).</w:t>
      </w:r>
    </w:p>
    <w:p w14:paraId="1DFFFF0F" w14:textId="77777777" w:rsidR="00006180" w:rsidRPr="00271E51" w:rsidRDefault="00006180" w:rsidP="00271E51">
      <w:pPr>
        <w:spacing w:after="0" w:line="240" w:lineRule="auto"/>
        <w:jc w:val="both"/>
        <w:rPr>
          <w:rFonts w:ascii="Times New Roman" w:hAnsi="Times New Roman"/>
          <w:color w:val="0070C0"/>
          <w:sz w:val="16"/>
          <w:szCs w:val="16"/>
        </w:rPr>
      </w:pPr>
    </w:p>
    <w:p w14:paraId="00E89D6C"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25–26 июля (ночь) 1943 705 британских бомбардировщиков атакуют Эссен, Германия, нанося значительный ущерб заводам Круппа. Двадцать шесть британских самолетов не возвращаются. Немецкий пилот ночного истребителя майор Вернер Штрейб сбивает четыре бомбардировщика за 74 минуты, и его последняя ночная победа - 88-я и последняя, зачисленная на счет его наземного диспетчера, обер-лейтенанта Вальтера Кникмайера (20376).</w:t>
      </w:r>
    </w:p>
    <w:p w14:paraId="76EBE9D5" w14:textId="77777777" w:rsidR="00006180" w:rsidRPr="00271E51" w:rsidRDefault="00006180" w:rsidP="00271E51">
      <w:pPr>
        <w:spacing w:after="0" w:line="240" w:lineRule="auto"/>
        <w:jc w:val="both"/>
        <w:rPr>
          <w:rFonts w:ascii="Times New Roman" w:hAnsi="Times New Roman"/>
          <w:color w:val="0070C0"/>
          <w:sz w:val="16"/>
          <w:szCs w:val="16"/>
        </w:rPr>
      </w:pPr>
    </w:p>
    <w:p w14:paraId="32FB53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итальянский диктатор Бенито Муссолини был смещён со своего поста Главным Фашистским Советом и отправлен в заключение на остров Понца. Премьер-министром Италии стал маршал Пьетро Бадольо (4963 ).</w:t>
      </w:r>
    </w:p>
    <w:p w14:paraId="6EAE7E0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25BDF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по приказу итальянского короля Виктора Эммануила III арестован глава фашистов Б. Муссолини (4962).</w:t>
      </w:r>
    </w:p>
    <w:p w14:paraId="3DF67F0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7433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г. в Италии произошел государственный переворот, устранивший Муссолини от власти. Новым главой правительства стал маршал Пьетро Бадольо, еще ранее зондировавший союзников на предмет соглашения. Однако проблема заключалась в том, что Гитлер, не переоценивавший решимости итальянцев воевать, заблаговременно наводнил Италию германскими войсками. Король Италии и Бадольо заявили, что будут сражаться вместе с германскими союзниками, в глубине души желая скорейшей победы англо-американских войск. Представители Бадольо стали осаждать британских дипломатов в третьих странах. Черчилль и Рузвельт обсуждали, как принимать капитуляцию Италии.</w:t>
      </w:r>
    </w:p>
    <w:p w14:paraId="68F69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"Безоговорочная капитуляция" как провозглашенный принцип противоречил их желанию найти более мягкие формы для Италии, обеспечивающие сдачу без кровопролития. Наконец, генерал Кастельяно передал официальное послание Бадольо, в котором тот объяснял, что замирение с союзниками невозможно до их высадки на материковой Италии в силу германского присутствия; он обещал совместную с союзниками войну против Германии (3871).</w:t>
      </w:r>
    </w:p>
    <w:p w14:paraId="57EFC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19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25, 1943: Benito Mussolini is arrested by order of the Italian King, which ends the Fascist regime in Italy. Hitler orders German divisions rushed south to disarm their former allies. In Sicily, Allied forces begin to face stiff resistance as they approach Messina (3819).</w:t>
      </w:r>
    </w:p>
    <w:p w14:paraId="5E536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C6C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25 July 1943 Mussolini deposed (270) and Fascist government falls; Marshal Pietro Badoglio takes over and negotiates with Allies (1050).</w:t>
      </w:r>
    </w:p>
    <w:p w14:paraId="25A72A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122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24/25 июля 1943 Б.Муссолини был смещен и фашистское правительство пало. Начались переговоры с союзниками. Б.Муссолини был арестован и отправлен в заключение в высокогорный отель (270;1050;2246,4).</w:t>
      </w:r>
    </w:p>
    <w:p w14:paraId="69C252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0F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года Гитлер подписал следующий приказ: «Успешное продолжение войны против Англии требует скорейшего увеличения производства ракет А-4 до максимума. Должны быть приняты все меры, направленные на немедленное увеличение выпуска А-4. Германские заводы, производящие ракеты А-4 и их отдельные компоненты, должны быть укомплектованы немецкими специалистами и рабочими, сырьем, оборудованием и необходимой энергией в наибольшем масштабе. Рейхсминистру вооружения и боеприпасов предоставляется право использовать для этого возможности всех воинских формирований рейха и остальной части военной промышленности после предварительного обсуждения со мною. Рейхсминистр вооружения и боеприпасов определяет масштабы программы А-4. Адольф Гитлер».</w:t>
      </w:r>
    </w:p>
    <w:p w14:paraId="780D4C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приказ фюрера, ведомство Шпеера оказалось не в силах обеспечить такой темп выпуска ракет, который требовал Гитлер.</w:t>
      </w:r>
    </w:p>
    <w:p w14:paraId="313D2F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проделанным расчетам, экономические возможности Германии позволяли обеспечить производство не более 900 «V-2» и до 5000 «V-1» в месяц. Это был предел. Но и чтобы выйти на этот предел тоже требовалось время. Была составлена программа производства ракет «А-4», к выполнению которой привлекались три ракетосборочных завода: в Пенемюнде, в Винер-Нейштадте (завод «Ракс») и в Фридрихсхафене (завод «Цеппелин»). Она предусматривала обеспечить в 1943 году следующие нормы выпуска боевых ракет: май – 40, июнь – 50, июль – 70, август – 120, сентябрь – 350, октябрь – 650, ноябрь – 900, декабрь – 950 штук, а в дальнейшем планировалось выпускать 900 штук ежемесячно.</w:t>
      </w:r>
    </w:p>
    <w:p w14:paraId="13507F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как показали последующие события, и эти расчеты были совершенно нереальными. На пути налаживания серийного производства ракет стояли серьезные препятствия.</w:t>
      </w:r>
    </w:p>
    <w:p w14:paraId="12316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главным препятствием стало то, что проекты ракет «V-1» и «V-2», поступившие в серийное производство, еще не были доработаны. Хотя фон Браун уверенно заявлял в сентябре 1943 года, что «А-4» практически готова, большинство экспериментальных пусков завершались неудачей. Часть ракет взрывалась сразу же после старта или же на восходящем отрезке траектории, другие разрушались в воздухе, не долетев несколько километров до цели. Лишь около 10% всех пусков заканчивалось успешно.</w:t>
      </w:r>
    </w:p>
    <w:p w14:paraId="0C014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Конструкторы длительное время не могли найти причину аварий. Только в марте 1944 года удалось устранить аварии на восходящем отрезке траектории ракеты. Катастрофы были вызваны сильной вибрацией, выводившей из строя реле, что приводило к остановке двигателя. Кроме того, она же приводила к нарушению герметичности топливопроводов во время работы двигателя – в результате распыления спирт проникал в хвостовую часть ракеты, соединялся с воздухом и загорался от пламени ракеты.</w:t>
      </w:r>
    </w:p>
    <w:p w14:paraId="28BB3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даже после устранения этих проблем до 70% запущенных «V-2» взрывалось в конце траектории, не долетая до земли. Одной из причин преждевременных разрывов было несовершенство взрывателя. Дело в том, что первоначально на «V-2» был установлен высокочувствительный электрический взрыватель ударного действия. Снабженная таким взрывателем боеголовка должна была разрываться на поверхности, не успев зарыться в землю. В условиях же, когда большинство ракет разрушалось в полете, чувствительный взрыватель срабатывал от сотрясений, возникающих при распаде, и вызывал преждевременный взрыв ракеты в воздухе.</w:t>
      </w:r>
    </w:p>
    <w:p w14:paraId="3157E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это было установлено лишь летом 1944 года. А времени для устранения недостатка не оставалось. Стремительно наступавшие советские войска, освободив Белоруссию, вступили на территорию восточной Польши и приближались к учебному ракетному полигону «Хайделагер» («Heidelager») в Близне, расположенному в 150 км на северо-восток от Кракова. Ракетчикам пришлось сменить дислокацию. Эвакуация и оборудование нового полигона «Хайдекраут» («Heidekraut») близ Тухоля заняло два месяца.</w:t>
      </w:r>
    </w:p>
    <w:p w14:paraId="145026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временем командование требовало начать нанесение ударов «V-2» не позднее начала сентября. Чтобы уложиться в поставленные сроки, конструкторам пришлось пожертвовать эффективностью – они поставили на ракету взрыватель с ограниченной чувствительностью, который значительно уменьшал разрушительную силу боеголовки.</w:t>
      </w:r>
    </w:p>
    <w:p w14:paraId="61DAF2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Неудачи преследовали и создателей самолета-снаряда «V-1». Из 68 боевых пусков, произведенных в течение июня и июля 1943 года, лишь 28 снарядов вообще достигли цели, что составило всего 41%. Большинство «V-1» по неизвестным причинам взрывалось практически сразу после старта. Было установлено, что одной из наиболее возможных причин аварий является повреждение поверхностей крыла. Однако проверить это предположение не представлялось возможным, а ракеты продолжали взрываться…</w:t>
      </w:r>
    </w:p>
    <w:p w14:paraId="27A83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Тогда конструкторы пошли на отчаянный шаг. Известнейшая в Третьем Рейхе женщина, летчик-испытатель Ханна Райч, отличавшаяся абсолютным бесстрашием, предложила переоборудовать один самолет-снаряд в пилотируемый вариант. Вместо боезаряда в носовом отсеке предлагалось установить место для наблюдателя, который, находясь в лежачем положении, должен был следить за состоянием крыльев и зафиксировать причину их поломки. Так как внешний диаметр фюзеляжа составлял всего восемьдесят сантиметров, а внутренний и того меньше, мужчина туда поместиться не мог, и Ханна Райч вызвалась добровольцем. Эта женщина имела маленький рост и щуплое телосложение. Для наблюдения пришлось встроить в фюзеляж перископ, направленный на крылья. После четырех дней испытательных полетов предположение подтвердилось, и причина неполадок была установлена, однако последний запуск закончился неудачно, и отважная летчица пострадала (11688).</w:t>
      </w:r>
    </w:p>
    <w:p w14:paraId="7C3293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A5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RAF бомбила завод Фокке в Голландии (3481).</w:t>
      </w:r>
    </w:p>
    <w:p w14:paraId="2F3A7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457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июля 1943 в США спустили на воду первый корабль, названный в честь черного - Leonard Roy Harmon (3481).</w:t>
      </w:r>
    </w:p>
    <w:p w14:paraId="772EC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977B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8624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B318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г. командующий ВВС КА маршал А.А. Новиков утвердил отчет по испытаниям Ил-2 с НС-37, в выводах которого авиазаводу № 30 НКАП и ОКБ-16 НКВ реко</w:t>
      </w:r>
      <w:r w:rsidRPr="00271E51">
        <w:rPr>
          <w:rFonts w:ascii="Times New Roman" w:hAnsi="Times New Roman"/>
          <w:color w:val="000000" w:themeColor="text1"/>
          <w:sz w:val="16"/>
          <w:szCs w:val="16"/>
        </w:rPr>
        <w:softHyphen/>
        <w:t>мендовалось срочно установить на пушку дульный тормоз для уменьшения силы отдачи и обеспечить синхронность в работе пушек.</w:t>
      </w:r>
    </w:p>
    <w:p w14:paraId="0ABCB5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предлагалось выделять отдельные штурмовые авиаполки на Ил-2 с 37-мм авиапушками НС-37 как противо</w:t>
      </w:r>
      <w:r w:rsidRPr="00271E51">
        <w:rPr>
          <w:rFonts w:ascii="Times New Roman" w:hAnsi="Times New Roman"/>
          <w:color w:val="000000" w:themeColor="text1"/>
          <w:sz w:val="16"/>
          <w:szCs w:val="16"/>
        </w:rPr>
        <w:softHyphen/>
        <w:t>танковые (11474,339).</w:t>
      </w:r>
    </w:p>
    <w:p w14:paraId="04875B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A8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26 июля 1943 ГИ 13 ВА Агеев писал ГИ ВВС и наркома НКАП письмо N ЭО/0150841:</w:t>
      </w:r>
    </w:p>
    <w:p w14:paraId="752263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акт результатов осмотра боевых самолетов Ил-2, Як-1, Як-7 и Ла-5 13 ВА на предмет их пригодности к боевой эксплуатации и выявления заводских доработок.</w:t>
      </w:r>
    </w:p>
    <w:p w14:paraId="4345A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w:t>
      </w:r>
    </w:p>
    <w:p w14:paraId="621EB9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осмотра выявлено следующее:</w:t>
      </w:r>
    </w:p>
    <w:p w14:paraId="4FC17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 80 самолетах Ил-2 завода 30 и 4 самолетах Ил-2 завода 1 наблюдалось отставание обшивки от силового каркаса крыла, расслоение фанеры, трещины по обшивке, местные очаги загнивания и трещинах и отставание полотна.</w:t>
      </w:r>
    </w:p>
    <w:p w14:paraId="4D084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вышеуказанные самолеты нуждались в немедленном ремонте" (1779,41).</w:t>
      </w:r>
    </w:p>
    <w:p w14:paraId="50B6D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92E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26 июля 1943 разведчика и корректировщика артиллерийского огня "следопыт" был приве</w:t>
      </w:r>
      <w:r w:rsidRPr="00271E51">
        <w:rPr>
          <w:rFonts w:ascii="Times New Roman" w:hAnsi="Times New Roman"/>
          <w:color w:val="000000" w:themeColor="text1"/>
          <w:sz w:val="16"/>
          <w:szCs w:val="16"/>
        </w:rPr>
        <w:softHyphen/>
        <w:t>ден в летное состояние и передан на ЛИС завода. Однако уже действо</w:t>
      </w:r>
      <w:r w:rsidRPr="00271E51">
        <w:rPr>
          <w:rFonts w:ascii="Times New Roman" w:hAnsi="Times New Roman"/>
          <w:color w:val="000000" w:themeColor="text1"/>
          <w:sz w:val="16"/>
          <w:szCs w:val="16"/>
        </w:rPr>
        <w:softHyphen/>
        <w:t>вал запрет Микулина на полеты с мотором АМ-42. 14 августа была проведена одна рулежка и сделано три пробежки с доведением самоле</w:t>
      </w:r>
      <w:r w:rsidRPr="00271E51">
        <w:rPr>
          <w:rFonts w:ascii="Times New Roman" w:hAnsi="Times New Roman"/>
          <w:color w:val="000000" w:themeColor="text1"/>
          <w:sz w:val="16"/>
          <w:szCs w:val="16"/>
        </w:rPr>
        <w:softHyphen/>
        <w:t>та до момента отрыва от полосы. По отзывам летчика-испытателя К. К. Кок</w:t>
      </w:r>
      <w:r w:rsidRPr="00271E51">
        <w:rPr>
          <w:rFonts w:ascii="Times New Roman" w:hAnsi="Times New Roman"/>
          <w:color w:val="000000" w:themeColor="text1"/>
          <w:sz w:val="16"/>
          <w:szCs w:val="16"/>
        </w:rPr>
        <w:softHyphen/>
        <w:t>кинаки самолет хорошо управлялся и слушался рулей. Мотор в течение 25 минут непрерывно работал на но</w:t>
      </w:r>
      <w:r w:rsidRPr="00271E51">
        <w:rPr>
          <w:rFonts w:ascii="Times New Roman" w:hAnsi="Times New Roman"/>
          <w:color w:val="000000" w:themeColor="text1"/>
          <w:sz w:val="16"/>
          <w:szCs w:val="16"/>
        </w:rPr>
        <w:softHyphen/>
        <w:t>минальном и взлетном режимах без каких-либо замечаний. Температура воды и масла находилась в преде</w:t>
      </w:r>
      <w:r w:rsidRPr="00271E51">
        <w:rPr>
          <w:rFonts w:ascii="Times New Roman" w:hAnsi="Times New Roman"/>
          <w:color w:val="000000" w:themeColor="text1"/>
          <w:sz w:val="16"/>
          <w:szCs w:val="16"/>
        </w:rPr>
        <w:softHyphen/>
        <w:t>лах нормы: вода - 1 10°С, масло -95°С.</w:t>
      </w:r>
    </w:p>
    <w:p w14:paraId="682D14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на Ил-2М был снят мотор, который выработал ре</w:t>
      </w:r>
      <w:r w:rsidRPr="00271E51">
        <w:rPr>
          <w:rFonts w:ascii="Times New Roman" w:hAnsi="Times New Roman"/>
          <w:color w:val="000000" w:themeColor="text1"/>
          <w:sz w:val="16"/>
          <w:szCs w:val="16"/>
        </w:rPr>
        <w:softHyphen/>
        <w:t>сурс, и начаты работы по устране</w:t>
      </w:r>
      <w:r w:rsidRPr="00271E51">
        <w:rPr>
          <w:rFonts w:ascii="Times New Roman" w:hAnsi="Times New Roman"/>
          <w:color w:val="000000" w:themeColor="text1"/>
          <w:sz w:val="16"/>
          <w:szCs w:val="16"/>
        </w:rPr>
        <w:softHyphen/>
        <w:t>нию выявленных недостатков и де</w:t>
      </w:r>
      <w:r w:rsidRPr="00271E51">
        <w:rPr>
          <w:rFonts w:ascii="Times New Roman" w:hAnsi="Times New Roman"/>
          <w:color w:val="000000" w:themeColor="text1"/>
          <w:sz w:val="16"/>
          <w:szCs w:val="16"/>
        </w:rPr>
        <w:softHyphen/>
        <w:t>фектов.</w:t>
      </w:r>
    </w:p>
    <w:p w14:paraId="246ABF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нормальную работу ус</w:t>
      </w:r>
      <w:r w:rsidRPr="00271E51">
        <w:rPr>
          <w:rFonts w:ascii="Times New Roman" w:hAnsi="Times New Roman"/>
          <w:color w:val="000000" w:themeColor="text1"/>
          <w:sz w:val="16"/>
          <w:szCs w:val="16"/>
        </w:rPr>
        <w:softHyphen/>
        <w:t>тановленного на корректировщике экземпляра мотора АМ-42, Ильюшин и инженер-майор Григорьев подго</w:t>
      </w:r>
      <w:r w:rsidRPr="00271E51">
        <w:rPr>
          <w:rFonts w:ascii="Times New Roman" w:hAnsi="Times New Roman"/>
          <w:color w:val="000000" w:themeColor="text1"/>
          <w:sz w:val="16"/>
          <w:szCs w:val="16"/>
        </w:rPr>
        <w:softHyphen/>
        <w:t>товили письмо на имя Шахурина, в котором просили повлиять на реше</w:t>
      </w:r>
      <w:r w:rsidRPr="00271E51">
        <w:rPr>
          <w:rFonts w:ascii="Times New Roman" w:hAnsi="Times New Roman"/>
          <w:color w:val="000000" w:themeColor="text1"/>
          <w:sz w:val="16"/>
          <w:szCs w:val="16"/>
        </w:rPr>
        <w:softHyphen/>
        <w:t>ние Микулина и дать добро на про</w:t>
      </w:r>
      <w:r w:rsidRPr="00271E51">
        <w:rPr>
          <w:rFonts w:ascii="Times New Roman" w:hAnsi="Times New Roman"/>
          <w:color w:val="000000" w:themeColor="text1"/>
          <w:sz w:val="16"/>
          <w:szCs w:val="16"/>
        </w:rPr>
        <w:softHyphen/>
        <w:t>изводство полетов опытных "Илов" с АМ-42 по программе заводских ис</w:t>
      </w:r>
      <w:r w:rsidRPr="00271E51">
        <w:rPr>
          <w:rFonts w:ascii="Times New Roman" w:hAnsi="Times New Roman"/>
          <w:color w:val="000000" w:themeColor="text1"/>
          <w:sz w:val="16"/>
          <w:szCs w:val="16"/>
        </w:rPr>
        <w:softHyphen/>
        <w:t>пытаний. Предварительно была по</w:t>
      </w:r>
      <w:r w:rsidRPr="00271E51">
        <w:rPr>
          <w:rFonts w:ascii="Times New Roman" w:hAnsi="Times New Roman"/>
          <w:color w:val="000000" w:themeColor="text1"/>
          <w:sz w:val="16"/>
          <w:szCs w:val="16"/>
        </w:rPr>
        <w:softHyphen/>
        <w:t>лучена поддержка по этому вопросу у заместителя главного инженера ВВС генерала А. А. Лапина. Однако "поход наверх" ничего не дал. Изме</w:t>
      </w:r>
      <w:r w:rsidRPr="00271E51">
        <w:rPr>
          <w:rFonts w:ascii="Times New Roman" w:hAnsi="Times New Roman"/>
          <w:color w:val="000000" w:themeColor="text1"/>
          <w:sz w:val="16"/>
          <w:szCs w:val="16"/>
        </w:rPr>
        <w:softHyphen/>
        <w:t>нения, которые были внесены в кон</w:t>
      </w:r>
      <w:r w:rsidRPr="00271E51">
        <w:rPr>
          <w:rFonts w:ascii="Times New Roman" w:hAnsi="Times New Roman"/>
          <w:color w:val="000000" w:themeColor="text1"/>
          <w:sz w:val="16"/>
          <w:szCs w:val="16"/>
        </w:rPr>
        <w:softHyphen/>
        <w:t>струкцию АМ-42 по результатам тор-сиографирования, оказались весьма существенными. Например, от амор</w:t>
      </w:r>
      <w:r w:rsidRPr="00271E51">
        <w:rPr>
          <w:rFonts w:ascii="Times New Roman" w:hAnsi="Times New Roman"/>
          <w:color w:val="000000" w:themeColor="text1"/>
          <w:sz w:val="16"/>
          <w:szCs w:val="16"/>
        </w:rPr>
        <w:softHyphen/>
        <w:t>тизирующих промежуточных элемен</w:t>
      </w:r>
      <w:r w:rsidRPr="00271E51">
        <w:rPr>
          <w:rFonts w:ascii="Times New Roman" w:hAnsi="Times New Roman"/>
          <w:color w:val="000000" w:themeColor="text1"/>
          <w:sz w:val="16"/>
          <w:szCs w:val="16"/>
        </w:rPr>
        <w:softHyphen/>
        <w:t>тов в соединении большой шестер</w:t>
      </w:r>
      <w:r w:rsidRPr="00271E51">
        <w:rPr>
          <w:rFonts w:ascii="Times New Roman" w:hAnsi="Times New Roman"/>
          <w:color w:val="000000" w:themeColor="text1"/>
          <w:sz w:val="16"/>
          <w:szCs w:val="16"/>
        </w:rPr>
        <w:softHyphen/>
        <w:t>ни редуктора с коленчатым валом от</w:t>
      </w:r>
      <w:r w:rsidRPr="00271E51">
        <w:rPr>
          <w:rFonts w:ascii="Times New Roman" w:hAnsi="Times New Roman"/>
          <w:color w:val="000000" w:themeColor="text1"/>
          <w:sz w:val="16"/>
          <w:szCs w:val="16"/>
        </w:rPr>
        <w:softHyphen/>
        <w:t>казались в пользу жесткого редукто</w:t>
      </w:r>
      <w:r w:rsidRPr="00271E51">
        <w:rPr>
          <w:rFonts w:ascii="Times New Roman" w:hAnsi="Times New Roman"/>
          <w:color w:val="000000" w:themeColor="text1"/>
          <w:sz w:val="16"/>
          <w:szCs w:val="16"/>
        </w:rPr>
        <w:softHyphen/>
        <w:t>ра. Коленчатый вал выполнялся бо</w:t>
      </w:r>
      <w:r w:rsidRPr="00271E51">
        <w:rPr>
          <w:rFonts w:ascii="Times New Roman" w:hAnsi="Times New Roman"/>
          <w:color w:val="000000" w:themeColor="text1"/>
          <w:sz w:val="16"/>
          <w:szCs w:val="16"/>
        </w:rPr>
        <w:softHyphen/>
        <w:t>лее жестким и прочным. Заново пе</w:t>
      </w:r>
      <w:r w:rsidRPr="00271E51">
        <w:rPr>
          <w:rFonts w:ascii="Times New Roman" w:hAnsi="Times New Roman"/>
          <w:color w:val="000000" w:themeColor="text1"/>
          <w:sz w:val="16"/>
          <w:szCs w:val="16"/>
        </w:rPr>
        <w:softHyphen/>
        <w:t>ределывалась всасывающая система, поршневая группа и т.д. По этой при</w:t>
      </w:r>
      <w:r w:rsidRPr="00271E51">
        <w:rPr>
          <w:rFonts w:ascii="Times New Roman" w:hAnsi="Times New Roman"/>
          <w:color w:val="000000" w:themeColor="text1"/>
          <w:sz w:val="16"/>
          <w:szCs w:val="16"/>
        </w:rPr>
        <w:softHyphen/>
        <w:t>чине мотор был поставлен на повтор</w:t>
      </w:r>
      <w:r w:rsidRPr="00271E51">
        <w:rPr>
          <w:rFonts w:ascii="Times New Roman" w:hAnsi="Times New Roman"/>
          <w:color w:val="000000" w:themeColor="text1"/>
          <w:sz w:val="16"/>
          <w:szCs w:val="16"/>
        </w:rPr>
        <w:softHyphen/>
        <w:t>ное торсиографирование. В этих ус</w:t>
      </w:r>
      <w:r w:rsidRPr="00271E51">
        <w:rPr>
          <w:rFonts w:ascii="Times New Roman" w:hAnsi="Times New Roman"/>
          <w:color w:val="000000" w:themeColor="text1"/>
          <w:sz w:val="16"/>
          <w:szCs w:val="16"/>
        </w:rPr>
        <w:softHyphen/>
        <w:t>ловиях ни Главный конструктор мо</w:t>
      </w:r>
      <w:r w:rsidRPr="00271E51">
        <w:rPr>
          <w:rFonts w:ascii="Times New Roman" w:hAnsi="Times New Roman"/>
          <w:color w:val="000000" w:themeColor="text1"/>
          <w:sz w:val="16"/>
          <w:szCs w:val="16"/>
        </w:rPr>
        <w:softHyphen/>
        <w:t>тора, ни Нарком авиапрома не ре</w:t>
      </w:r>
      <w:r w:rsidRPr="00271E51">
        <w:rPr>
          <w:rFonts w:ascii="Times New Roman" w:hAnsi="Times New Roman"/>
          <w:color w:val="000000" w:themeColor="text1"/>
          <w:sz w:val="16"/>
          <w:szCs w:val="16"/>
        </w:rPr>
        <w:softHyphen/>
        <w:t>шились снять запрет. Более того, Го</w:t>
      </w:r>
      <w:r w:rsidRPr="00271E51">
        <w:rPr>
          <w:rFonts w:ascii="Times New Roman" w:hAnsi="Times New Roman"/>
          <w:color w:val="000000" w:themeColor="text1"/>
          <w:sz w:val="16"/>
          <w:szCs w:val="16"/>
        </w:rPr>
        <w:softHyphen/>
        <w:t>сударственная комиссия, назначен</w:t>
      </w:r>
      <w:r w:rsidRPr="00271E51">
        <w:rPr>
          <w:rFonts w:ascii="Times New Roman" w:hAnsi="Times New Roman"/>
          <w:color w:val="000000" w:themeColor="text1"/>
          <w:sz w:val="16"/>
          <w:szCs w:val="16"/>
        </w:rPr>
        <w:softHyphen/>
        <w:t>ная совместным приказом А. И. Шахурина и главного инженера ВВС А. К. Репина от 16 сентября, потре</w:t>
      </w:r>
      <w:r w:rsidRPr="00271E51">
        <w:rPr>
          <w:rFonts w:ascii="Times New Roman" w:hAnsi="Times New Roman"/>
          <w:color w:val="000000" w:themeColor="text1"/>
          <w:sz w:val="16"/>
          <w:szCs w:val="16"/>
        </w:rPr>
        <w:softHyphen/>
        <w:t>бовала сначала провести длительные внутризаводские испытания по спе</w:t>
      </w:r>
      <w:r w:rsidRPr="00271E51">
        <w:rPr>
          <w:rFonts w:ascii="Times New Roman" w:hAnsi="Times New Roman"/>
          <w:color w:val="000000" w:themeColor="text1"/>
          <w:sz w:val="16"/>
          <w:szCs w:val="16"/>
        </w:rPr>
        <w:softHyphen/>
        <w:t>циальной программе на надежность основных узлов мотора, и лишь пос</w:t>
      </w:r>
      <w:r w:rsidRPr="00271E51">
        <w:rPr>
          <w:rFonts w:ascii="Times New Roman" w:hAnsi="Times New Roman"/>
          <w:color w:val="000000" w:themeColor="text1"/>
          <w:sz w:val="16"/>
          <w:szCs w:val="16"/>
        </w:rPr>
        <w:softHyphen/>
        <w:t>ле этого разрешалось допустить АМ-42 к госиспытаниям.</w:t>
      </w:r>
    </w:p>
    <w:p w14:paraId="2E459A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Микулина, несмотря на про</w:t>
      </w:r>
      <w:r w:rsidRPr="00271E51">
        <w:rPr>
          <w:rFonts w:ascii="Times New Roman" w:hAnsi="Times New Roman"/>
          <w:color w:val="000000" w:themeColor="text1"/>
          <w:sz w:val="16"/>
          <w:szCs w:val="16"/>
        </w:rPr>
        <w:softHyphen/>
        <w:t>водимую обширную доводочную ра</w:t>
      </w:r>
      <w:r w:rsidRPr="00271E51">
        <w:rPr>
          <w:rFonts w:ascii="Times New Roman" w:hAnsi="Times New Roman"/>
          <w:color w:val="000000" w:themeColor="text1"/>
          <w:sz w:val="16"/>
          <w:szCs w:val="16"/>
        </w:rPr>
        <w:softHyphen/>
        <w:t>боту, долго не могло добиться на</w:t>
      </w:r>
      <w:r w:rsidRPr="00271E51">
        <w:rPr>
          <w:rFonts w:ascii="Times New Roman" w:hAnsi="Times New Roman"/>
          <w:color w:val="000000" w:themeColor="text1"/>
          <w:sz w:val="16"/>
          <w:szCs w:val="16"/>
        </w:rPr>
        <w:softHyphen/>
        <w:t>дежной работы мотора в новой "ре</w:t>
      </w:r>
      <w:r w:rsidRPr="00271E51">
        <w:rPr>
          <w:rFonts w:ascii="Times New Roman" w:hAnsi="Times New Roman"/>
          <w:color w:val="000000" w:themeColor="text1"/>
          <w:sz w:val="16"/>
          <w:szCs w:val="16"/>
        </w:rPr>
        <w:softHyphen/>
        <w:t>дакции": наблюдалась сильная тряс</w:t>
      </w:r>
      <w:r w:rsidRPr="00271E51">
        <w:rPr>
          <w:rFonts w:ascii="Times New Roman" w:hAnsi="Times New Roman"/>
          <w:color w:val="000000" w:themeColor="text1"/>
          <w:sz w:val="16"/>
          <w:szCs w:val="16"/>
        </w:rPr>
        <w:softHyphen/>
        <w:t>ка и дымление, мотор недодавал мощности, в масле стабильно появ</w:t>
      </w:r>
      <w:r w:rsidRPr="00271E51">
        <w:rPr>
          <w:rFonts w:ascii="Times New Roman" w:hAnsi="Times New Roman"/>
          <w:color w:val="000000" w:themeColor="text1"/>
          <w:sz w:val="16"/>
          <w:szCs w:val="16"/>
        </w:rPr>
        <w:softHyphen/>
        <w:t>лялась стружка и т.д. Одновремен</w:t>
      </w:r>
      <w:r w:rsidRPr="00271E51">
        <w:rPr>
          <w:rFonts w:ascii="Times New Roman" w:hAnsi="Times New Roman"/>
          <w:color w:val="000000" w:themeColor="text1"/>
          <w:sz w:val="16"/>
          <w:szCs w:val="16"/>
        </w:rPr>
        <w:softHyphen/>
        <w:t>но, чтобы "отстроиться" от резонан</w:t>
      </w:r>
      <w:r w:rsidRPr="00271E51">
        <w:rPr>
          <w:rFonts w:ascii="Times New Roman" w:hAnsi="Times New Roman"/>
          <w:color w:val="000000" w:themeColor="text1"/>
          <w:sz w:val="16"/>
          <w:szCs w:val="16"/>
        </w:rPr>
        <w:softHyphen/>
        <w:t>са в системе воздушный винт и "ко</w:t>
      </w:r>
      <w:r w:rsidRPr="00271E51">
        <w:rPr>
          <w:rFonts w:ascii="Times New Roman" w:hAnsi="Times New Roman"/>
          <w:color w:val="000000" w:themeColor="text1"/>
          <w:sz w:val="16"/>
          <w:szCs w:val="16"/>
        </w:rPr>
        <w:softHyphen/>
        <w:t>ленчатый вал - редуктор" мотора на заводе № 35 начались работы по созданию для АМ-42 воздушных вин</w:t>
      </w:r>
      <w:r w:rsidRPr="00271E51">
        <w:rPr>
          <w:rFonts w:ascii="Times New Roman" w:hAnsi="Times New Roman"/>
          <w:color w:val="000000" w:themeColor="text1"/>
          <w:sz w:val="16"/>
          <w:szCs w:val="16"/>
        </w:rPr>
        <w:softHyphen/>
        <w:t>тов диаметром менее 4,0 м (11427).</w:t>
      </w:r>
    </w:p>
    <w:p w14:paraId="3F3CE1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02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26 июля 1943 "следопыта" 240-го завода привели в летное состояние, но уже действовал запрет Микулина на полеты с АМ-42. Только 14 августа была проведена одна рулежка и сделано три пробежки с доведением самолета до момента отрыва от полосы.</w:t>
      </w:r>
    </w:p>
    <w:p w14:paraId="09BF2E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мая 1943 г. состоялся первый полет опытного. Выяснилось, что деревянное крыло, изготовленное на заводе № 30, имеет существенные производственные дефекты. Были претензии и к работе мотора АМ-42. Полеты прекратили.</w:t>
      </w:r>
    </w:p>
    <w:p w14:paraId="06656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Ил-2М был снят мотор, который выработал ресурс, и начаты работы по устранению недостатков и дефектов самолета.</w:t>
      </w:r>
    </w:p>
    <w:p w14:paraId="7C57B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обширную доводочную работу, ОКБ Микулина долго не могло добиться надежности АМ-42: наблюдалась сильная тряска и дымление, мотор недодавал мощности, в масле появлялась стружка и т.д.</w:t>
      </w:r>
    </w:p>
    <w:p w14:paraId="4D2C93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чтобы "отстроиться" от резонанса в системе воздушный винт и "коленчатый вал - редуктор" мотора на заводе № 35 приступили к созданию для АМ-42 воздушных винтов диаметром менее 4,0 м.</w:t>
      </w:r>
    </w:p>
    <w:p w14:paraId="421F7A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над ОКБ Ильюшина начали сгущаться "тучи". В сентябре неудачно закончились госиспытания истребителя Ил-2-И. Максимальная скорость у земли в сравнении с двухместным Ил-2 оказалась выше всего на 6 км/ч, а на границе высотности - на 10 км/ч.</w:t>
      </w:r>
    </w:p>
    <w:p w14:paraId="4CAF8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Ил-2И могут быть использованы для борьбы только с некоторыми типами ...самолетов противника, имеющих сравнительно небольшие скорости (Не 111, Fw 200, Ju 87, Ju 52) на высотах ниже 4000 м, однако ...Fw 200 могут уходить от атак Ил-2 И набором высоты за счет лучшей скороподъемности. Ил-2И может атаковать более скоростные бомбардировщики Ju 88 и Do 215 только случайно, так как последние, за счет большей скорости, всегда имеют возможность уйти от Ил-2 И. ...Вести активную борьбу с истребителями ...Ил-2И не может", - констатировалось в Акте испытаний. В тоже время вооружение Ил-2-И состояло только из двух пушек ВЯ-23.</w:t>
      </w:r>
    </w:p>
    <w:p w14:paraId="04248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Ил-2-И как истребитель бомбардировщиков и транспортных самолетов не состоялся, а все качества "чистого" штурмовика - потерял. Командующий ВВС маршал Новиков наложил на Акт резолюцию: "...считать, что дальнейшая постройка Ил-2И в варианте истребителя и установка мотора АМ-42 ...на истребительный вариант Ил-2 нецелесообразна".</w:t>
      </w:r>
    </w:p>
    <w:p w14:paraId="0774EB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истребителю Ил-2-2И были прекращены, хотя к концу августа один экземпляр самолета почти собрали, а для второго экземпляра изготовлены необходимые узлы и агрегаты (12020).</w:t>
      </w:r>
    </w:p>
    <w:p w14:paraId="2B836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B7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был подготовлен Отчет о выполнении приказа НКАП N 215с от 15 апреля 1943 по организации производства Як-9 на 166 заводе. было трудно переключится с цельнометаллических Ту-2 на машины смешанной конструкции (2519,227).</w:t>
      </w:r>
    </w:p>
    <w:p w14:paraId="4C617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65B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года начальник ЛИИ А.В. Чесалов писал письмо Шахурину.</w:t>
      </w:r>
    </w:p>
    <w:p w14:paraId="61D27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Оценки истребителя Гудкова, типа "Аэрокобра" с мотором АМ-37.</w:t>
      </w:r>
    </w:p>
    <w:p w14:paraId="621B1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Вашему заданию, с целью оценки самолета Гудкова типа "Аэрокобра" мною рассмотрены расчетные материалы, результаты продувок моделей и материалы аварийной комиссии по этому самолету.</w:t>
      </w:r>
    </w:p>
    <w:p w14:paraId="44D09B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Рассмотрение этих материалов позволяет отметить два основных крупных дефекта конструкции этого самолета:</w:t>
      </w:r>
    </w:p>
    <w:p w14:paraId="11F27B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Неудачная в аэродинамическом отношении компоновка моторного оборудования вызвала сильную вредную интерференцию, благодаря которой резко ухудшились летные свойства самолета по сравнению с проектными наметками по результатам продувок гладкой модели и</w:t>
      </w:r>
    </w:p>
    <w:p w14:paraId="1E6929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Исключительно большое перетяжеление истребителя (около тонны) против запроектированного конструктором веса.</w:t>
      </w:r>
    </w:p>
    <w:p w14:paraId="43728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конструктивной компоновки выразились в следующем:</w:t>
      </w:r>
    </w:p>
    <w:p w14:paraId="1CD28F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Значительная часть центроплана вблизи фюзеляжа испорчена большими вырезами в передней части профиля для туннеля водорадиатора;</w:t>
      </w:r>
    </w:p>
    <w:p w14:paraId="54CDC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Выход из туннеля водорадиатора осуществлен на верхней поверхности крыла вблизи фюзеляжа;</w:t>
      </w:r>
    </w:p>
    <w:p w14:paraId="7484F0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Заборник туннеля маслорадиатора размещен вблизи сопряжения центроплана с фюзеляжем и</w:t>
      </w:r>
    </w:p>
    <w:p w14:paraId="2B118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Зализ в сопряжении задней верхней части центроплана с фюзеляжем, по-видимому, недостаточен для такой компоновки охлаждения.</w:t>
      </w:r>
    </w:p>
    <w:p w14:paraId="5A7C5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Вышеуказанные дефекты в несколько иной форме и масштабе встречаются и на ряде других самолетов, но на них ухудшение летных свойств почти незаметно. Например, вырезы в передней кромке профиля и выход воздуха из радиатора по верхней поверхности крыла осуществлены: на самолетах Пе-2, 103, Су-2, Су-3 и новом истребителе Микояна.</w:t>
      </w:r>
    </w:p>
    <w:p w14:paraId="6E1A8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Конструктивная компоновка охлаждения в указанных случаях не вызвала сильной вредной интерференции. Этого удалось достичь благодаря большому опыту и квалификации конструкторов, а в ряде случаев благодаря специальной отработке этих вопросов в лабораторных условиях (Пе-2 и 103).</w:t>
      </w:r>
    </w:p>
    <w:p w14:paraId="0C04C9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относительных размеров вырезов в крыле в таких случаях необходимо учитывать и свойства профиля крыла. Скоростной профиль крыла 1-В-10, выбранный Гудковым, по-видимому, особенно чувствителен к разного рода надстройкам и вырезам и требует осторожного подхода.</w:t>
      </w:r>
    </w:p>
    <w:p w14:paraId="2EA7FF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это, при другой конструктивной компоновке охладительных устройств даже при этом профиле можно было бы избежать столь сильной вредной интерференции и сохранить аэродинамические свойства самолета Гудкова на уровне полученных при продувке гладкой (без вырезов) модели.</w:t>
      </w:r>
    </w:p>
    <w:p w14:paraId="7E0568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если учесть перетяжеление самолета и в расчетные данные конструктора, опирающиеся на продувки гладкой (без вырезов) модели и, следовательно, являющиеся идеализированными, внести поправки только на вес, то летные характеристики этого самолета, как опытного, следует признать далеко не блестящими.</w:t>
      </w:r>
    </w:p>
    <w:p w14:paraId="3082E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нижеследующей таблице приведены основные расчетные характеристики самолета по данным КБ Гудкова для веса 4200 кг и те же характеристики, пересчитанные на вес 4600 кг (реальный вес этого самолета более 4600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A907A5" w:rsidRPr="00271E51" w14:paraId="24720CCB" w14:textId="77777777" w:rsidTr="00ED5B0A">
        <w:tc>
          <w:tcPr>
            <w:tcW w:w="2254" w:type="dxa"/>
          </w:tcPr>
          <w:p w14:paraId="28CDA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tc>
        <w:tc>
          <w:tcPr>
            <w:tcW w:w="2254" w:type="dxa"/>
          </w:tcPr>
          <w:p w14:paraId="75671A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КБ</w:t>
            </w:r>
          </w:p>
        </w:tc>
        <w:tc>
          <w:tcPr>
            <w:tcW w:w="2254" w:type="dxa"/>
          </w:tcPr>
          <w:p w14:paraId="0F615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весе в 4600 кг</w:t>
            </w:r>
          </w:p>
        </w:tc>
      </w:tr>
      <w:tr w:rsidR="00A907A5" w:rsidRPr="00271E51" w14:paraId="67195EDD" w14:textId="77777777" w:rsidTr="00ED5B0A">
        <w:tc>
          <w:tcPr>
            <w:tcW w:w="2254" w:type="dxa"/>
          </w:tcPr>
          <w:p w14:paraId="46619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w:t>
            </w:r>
          </w:p>
        </w:tc>
        <w:tc>
          <w:tcPr>
            <w:tcW w:w="2254" w:type="dxa"/>
          </w:tcPr>
          <w:p w14:paraId="2A3EA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весе 4200 кг</w:t>
            </w:r>
          </w:p>
        </w:tc>
        <w:tc>
          <w:tcPr>
            <w:tcW w:w="2254" w:type="dxa"/>
          </w:tcPr>
          <w:p w14:paraId="415EA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672F7A" w14:textId="77777777" w:rsidTr="00ED5B0A">
        <w:tc>
          <w:tcPr>
            <w:tcW w:w="2254" w:type="dxa"/>
          </w:tcPr>
          <w:p w14:paraId="53593A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212CB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AB66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DFE1BC" w14:textId="77777777" w:rsidTr="00ED5B0A">
        <w:tc>
          <w:tcPr>
            <w:tcW w:w="2254" w:type="dxa"/>
          </w:tcPr>
          <w:p w14:paraId="38954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у земли км/час</w:t>
            </w:r>
          </w:p>
        </w:tc>
        <w:tc>
          <w:tcPr>
            <w:tcW w:w="2254" w:type="dxa"/>
          </w:tcPr>
          <w:p w14:paraId="52EDE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2254" w:type="dxa"/>
          </w:tcPr>
          <w:p w14:paraId="0C82F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518</w:t>
            </w:r>
          </w:p>
        </w:tc>
      </w:tr>
      <w:tr w:rsidR="00A907A5" w:rsidRPr="00271E51" w14:paraId="7EB7D3DA" w14:textId="77777777" w:rsidTr="00ED5B0A">
        <w:tc>
          <w:tcPr>
            <w:tcW w:w="2254" w:type="dxa"/>
          </w:tcPr>
          <w:p w14:paraId="25E3B7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2C045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E347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DC2910" w14:textId="77777777" w:rsidTr="00ED5B0A">
        <w:tc>
          <w:tcPr>
            <w:tcW w:w="2254" w:type="dxa"/>
          </w:tcPr>
          <w:p w14:paraId="6D474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7300 м км/час</w:t>
            </w:r>
          </w:p>
        </w:tc>
        <w:tc>
          <w:tcPr>
            <w:tcW w:w="2254" w:type="dxa"/>
          </w:tcPr>
          <w:p w14:paraId="6364C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c>
          <w:tcPr>
            <w:tcW w:w="2254" w:type="dxa"/>
          </w:tcPr>
          <w:p w14:paraId="2D3C2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674</w:t>
            </w:r>
          </w:p>
        </w:tc>
      </w:tr>
      <w:tr w:rsidR="00A907A5" w:rsidRPr="00271E51" w14:paraId="418B2108" w14:textId="77777777" w:rsidTr="00ED5B0A">
        <w:tc>
          <w:tcPr>
            <w:tcW w:w="2254" w:type="dxa"/>
          </w:tcPr>
          <w:p w14:paraId="31204C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2254" w:type="dxa"/>
          </w:tcPr>
          <w:p w14:paraId="3F29E7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59D60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2A2D32" w14:textId="77777777" w:rsidTr="00ED5B0A">
        <w:tc>
          <w:tcPr>
            <w:tcW w:w="2254" w:type="dxa"/>
          </w:tcPr>
          <w:p w14:paraId="117EF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5000м мин.</w:t>
            </w:r>
          </w:p>
        </w:tc>
        <w:tc>
          <w:tcPr>
            <w:tcW w:w="2254" w:type="dxa"/>
          </w:tcPr>
          <w:p w14:paraId="4F7AE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2254" w:type="dxa"/>
          </w:tcPr>
          <w:p w14:paraId="3A306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r>
      <w:tr w:rsidR="00A907A5" w:rsidRPr="00271E51" w14:paraId="399960B2" w14:textId="77777777" w:rsidTr="00ED5B0A">
        <w:tc>
          <w:tcPr>
            <w:tcW w:w="2254" w:type="dxa"/>
          </w:tcPr>
          <w:p w14:paraId="0614BE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 сек.</w:t>
            </w:r>
          </w:p>
        </w:tc>
        <w:tc>
          <w:tcPr>
            <w:tcW w:w="2254" w:type="dxa"/>
          </w:tcPr>
          <w:p w14:paraId="64D9CE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сек.</w:t>
            </w:r>
          </w:p>
        </w:tc>
        <w:tc>
          <w:tcPr>
            <w:tcW w:w="2254" w:type="dxa"/>
          </w:tcPr>
          <w:p w14:paraId="12C20D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сек.</w:t>
            </w:r>
          </w:p>
        </w:tc>
      </w:tr>
      <w:tr w:rsidR="00A907A5" w:rsidRPr="00271E51" w14:paraId="57E16B2E" w14:textId="77777777" w:rsidTr="00ED5B0A">
        <w:tc>
          <w:tcPr>
            <w:tcW w:w="2254" w:type="dxa"/>
          </w:tcPr>
          <w:p w14:paraId="4C1F6E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2254" w:type="dxa"/>
          </w:tcPr>
          <w:p w14:paraId="6CF10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254" w:type="dxa"/>
          </w:tcPr>
          <w:p w14:paraId="757D02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менее 850</w:t>
            </w:r>
          </w:p>
        </w:tc>
      </w:tr>
    </w:tbl>
    <w:p w14:paraId="7DD9B5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показывает, что в части максимальной скорости у земли, времени виража, времени подъема на 5000 м и длины разбега самолета Гудкова уступает всем нашим серийным истребителям.</w:t>
      </w:r>
    </w:p>
    <w:p w14:paraId="2415D2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Снижение полетного веса этого самолета весьма затруднительно, так как ряд основных частей самолета (например, крыло) не имеют нужного запаса прочности даже при весе 4200 кг.</w:t>
      </w:r>
    </w:p>
    <w:p w14:paraId="7439B6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Принимая во внимание вышеизложенное, считаю, что самолет-истребитель конструкции Гудкова типа "Аэрокобра", никакого практического интереса для нашей авиации не представляет (1783).</w:t>
      </w:r>
    </w:p>
    <w:p w14:paraId="65247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BB3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на вооружение ВМФ приказом Нач. ВВС ВМФ был принят морской аэростат заграждения 2120-Р-2 (МАЗ-1) и П.С.Щеглова (1783,204).</w:t>
      </w:r>
    </w:p>
    <w:p w14:paraId="18CE5E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5AEF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AE5E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54075" w14:textId="77777777" w:rsidR="00665ECA" w:rsidRPr="00271E51" w:rsidRDefault="00665ECA" w:rsidP="00271E51">
      <w:pPr>
        <w:spacing w:after="0" w:line="240" w:lineRule="auto"/>
        <w:jc w:val="both"/>
        <w:rPr>
          <w:rStyle w:val="Tablecaption2"/>
          <w:rFonts w:ascii="Times New Roman" w:hAnsi="Times New Roman"/>
          <w:color w:val="000000" w:themeColor="text1"/>
          <w:sz w:val="16"/>
          <w:szCs w:val="16"/>
        </w:rPr>
      </w:pPr>
      <w:r w:rsidRPr="00271E51">
        <w:rPr>
          <w:rStyle w:val="Tablecaption2"/>
          <w:rFonts w:ascii="Times New Roman" w:hAnsi="Times New Roman"/>
          <w:color w:val="000000" w:themeColor="text1"/>
          <w:sz w:val="16"/>
          <w:szCs w:val="16"/>
        </w:rPr>
        <w:t xml:space="preserve">26 июля 1943 года в письме Артиллерийского комитета ГАУ КА </w:t>
      </w:r>
      <w:r w:rsidRPr="00271E51">
        <w:rPr>
          <w:rFonts w:ascii="Times New Roman" w:hAnsi="Times New Roman"/>
          <w:color w:val="000000" w:themeColor="text1"/>
          <w:sz w:val="16"/>
          <w:szCs w:val="16"/>
        </w:rPr>
        <w:t xml:space="preserve">были высказаны огромные </w:t>
      </w:r>
      <w:r w:rsidRPr="00271E51">
        <w:rPr>
          <w:rStyle w:val="Tablecaption2"/>
          <w:rFonts w:ascii="Times New Roman" w:hAnsi="Times New Roman"/>
          <w:color w:val="000000" w:themeColor="text1"/>
          <w:sz w:val="16"/>
          <w:szCs w:val="16"/>
        </w:rPr>
        <w:t>сомнения</w:t>
      </w:r>
      <w:r w:rsidRPr="00271E51">
        <w:rPr>
          <w:rFonts w:ascii="Times New Roman" w:hAnsi="Times New Roman"/>
          <w:color w:val="000000" w:themeColor="text1"/>
          <w:sz w:val="16"/>
          <w:szCs w:val="16"/>
        </w:rPr>
        <w:t xml:space="preserve"> в целесообразности постройки М-17:</w:t>
      </w:r>
    </w:p>
    <w:p w14:paraId="24667251" w14:textId="77777777" w:rsidR="00665ECA" w:rsidRPr="00271E51" w:rsidRDefault="00665ECA" w:rsidP="00271E51">
      <w:pPr>
        <w:pStyle w:val="Bodytext580"/>
        <w:shd w:val="clear" w:color="auto" w:fill="auto"/>
        <w:spacing w:before="0"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«&lt;...&gt;</w:t>
      </w:r>
    </w:p>
    <w:p w14:paraId="093C4E8B"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Это преимущество незначительно и не оправдывает принятие на во</w:t>
      </w:r>
      <w:r w:rsidRPr="00271E51">
        <w:rPr>
          <w:i w:val="0"/>
          <w:color w:val="000000" w:themeColor="text1"/>
          <w:sz w:val="16"/>
          <w:szCs w:val="16"/>
        </w:rPr>
        <w:softHyphen/>
        <w:t>оружение нового образца.</w:t>
      </w:r>
    </w:p>
    <w:p w14:paraId="699DE38D"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Для разрушения же мощных железобетонных сооружении бетонобойного действия снаряда 152-мм гаубицы-пушки, а также 203-мм гаубицы «М-40» недостаточно. Решение этой задачи может быть возможно лишь на 203-мм гаубицу обр. 1931 года «Б-4» и более крупных калибров.</w:t>
      </w:r>
    </w:p>
    <w:p w14:paraId="692F917E"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Если провести оценку по фугасному действию, то как показывает опыт войны, одного прямого попадания 152-мм снаряда достаточно для разрушения наиболее прочного, применяемого противником дерево-земляного сооружения, имеющего перекрытие в семь накатов и фугасное дей</w:t>
      </w:r>
      <w:r w:rsidRPr="00271E51">
        <w:rPr>
          <w:i w:val="0"/>
          <w:color w:val="000000" w:themeColor="text1"/>
          <w:sz w:val="16"/>
          <w:szCs w:val="16"/>
        </w:rPr>
        <w:softHyphen/>
        <w:t>ствие 203-мм снаряда имеет излишнюю мощность.</w:t>
      </w:r>
    </w:p>
    <w:p w14:paraId="60ED7B45"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Таким образом, 152-мм гаубица-пушка полностью выполняет постав</w:t>
      </w:r>
      <w:r w:rsidRPr="00271E51">
        <w:rPr>
          <w:i w:val="0"/>
          <w:color w:val="000000" w:themeColor="text1"/>
          <w:sz w:val="16"/>
          <w:szCs w:val="16"/>
        </w:rPr>
        <w:softHyphen/>
        <w:t>ленные перед ней задачи и отвечает требованию Полевого Устава, запре</w:t>
      </w:r>
      <w:r w:rsidRPr="00271E51">
        <w:rPr>
          <w:i w:val="0"/>
          <w:color w:val="000000" w:themeColor="text1"/>
          <w:sz w:val="16"/>
          <w:szCs w:val="16"/>
        </w:rPr>
        <w:softHyphen/>
        <w:t>щающего использование орудий крупного калибра в случае возможности решения боевой задачи меньшим калибром.</w:t>
      </w:r>
    </w:p>
    <w:p w14:paraId="119EE082"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203-мм гаубица большой мощности может быть самодвижущимся орудием, предназначаемым для мощной огневой поддержки пехоты и мо</w:t>
      </w:r>
      <w:r w:rsidRPr="00271E51">
        <w:rPr>
          <w:i w:val="0"/>
          <w:color w:val="000000" w:themeColor="text1"/>
          <w:sz w:val="16"/>
          <w:szCs w:val="16"/>
        </w:rPr>
        <w:softHyphen/>
        <w:t>томеханизированных частей.</w:t>
      </w:r>
    </w:p>
    <w:p w14:paraId="171797EC"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Так как эти орудия ведут огонь, по преимуществу, с закрытых пози</w:t>
      </w:r>
      <w:r w:rsidRPr="00271E51">
        <w:rPr>
          <w:i w:val="0"/>
          <w:color w:val="000000" w:themeColor="text1"/>
          <w:sz w:val="16"/>
          <w:szCs w:val="16"/>
        </w:rPr>
        <w:softHyphen/>
        <w:t>ций, находящихся в большом удалении от переднего края, то бронирование их может ограничиваться лишь легкими лобовыми и бортовыми щитами для защиты орудийного расчета от осколков.</w:t>
      </w:r>
    </w:p>
    <w:p w14:paraId="7F2BF127"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Эта установка должна допускать стрельбу навесным огнем, то есть при угле 60°— 70°.</w:t>
      </w:r>
    </w:p>
    <w:p w14:paraId="53CF5CC1"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Таким образом, самодвижущееся орудие — это обычный полевой ла</w:t>
      </w:r>
      <w:r w:rsidRPr="00271E51">
        <w:rPr>
          <w:i w:val="0"/>
          <w:color w:val="000000" w:themeColor="text1"/>
          <w:sz w:val="16"/>
          <w:szCs w:val="16"/>
        </w:rPr>
        <w:softHyphen/>
        <w:t>фет, способный передвигаться своими средствами.</w:t>
      </w:r>
    </w:p>
    <w:p w14:paraId="55262E0E"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Выигрыш в весе установки, за счет снятия бронировки, позволяет по</w:t>
      </w:r>
      <w:r w:rsidRPr="00271E51">
        <w:rPr>
          <w:i w:val="0"/>
          <w:color w:val="000000" w:themeColor="text1"/>
          <w:sz w:val="16"/>
          <w:szCs w:val="16"/>
        </w:rPr>
        <w:softHyphen/>
        <w:t>ставить более мощное орудие.</w:t>
      </w:r>
    </w:p>
    <w:p w14:paraId="34C1B60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На штурмовое самоходное орудие крупного калибра возлагается раз</w:t>
      </w:r>
      <w:r w:rsidRPr="00271E51">
        <w:rPr>
          <w:i w:val="0"/>
          <w:color w:val="000000" w:themeColor="text1"/>
          <w:sz w:val="16"/>
          <w:szCs w:val="16"/>
        </w:rPr>
        <w:softHyphen/>
        <w:t>рушение укреплений полевого типа с коротких дистанций.</w:t>
      </w:r>
    </w:p>
    <w:p w14:paraId="06716724"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Но так как для прямого попадания в укрепленную точку требуется произвести не один выстрел, а несколько, и притом в возможно короткий срок, то есть с наибольшей скорострельностью, то и в этом отношении преимущество на стороне 152-мм самоходной гаубицы-пушки, имеющей практическую скорострельность 2 выстрела в минуту против одного вы</w:t>
      </w:r>
      <w:r w:rsidRPr="00271E51">
        <w:rPr>
          <w:i w:val="0"/>
          <w:color w:val="000000" w:themeColor="text1"/>
          <w:sz w:val="16"/>
          <w:szCs w:val="16"/>
        </w:rPr>
        <w:softHyphen/>
        <w:t>стрела в 80 секунд теоретической скорострельности 203-мм самоходной гаубицы.</w:t>
      </w:r>
    </w:p>
    <w:p w14:paraId="478E8AD2"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Резюмируя все вышеизложенное, Артиллерийский Комитет ГАУ при</w:t>
      </w:r>
      <w:r w:rsidRPr="00271E51">
        <w:rPr>
          <w:i w:val="0"/>
          <w:color w:val="000000" w:themeColor="text1"/>
          <w:sz w:val="16"/>
          <w:szCs w:val="16"/>
        </w:rPr>
        <w:softHyphen/>
        <w:t>ходит к следующему заключению:</w:t>
      </w:r>
    </w:p>
    <w:p w14:paraId="427083B7" w14:textId="77777777" w:rsidR="00665ECA" w:rsidRPr="00271E51" w:rsidRDefault="00665ECA" w:rsidP="00271E51">
      <w:pPr>
        <w:pStyle w:val="Bodytext141"/>
        <w:shd w:val="clear" w:color="auto" w:fill="auto"/>
        <w:tabs>
          <w:tab w:val="left" w:pos="526"/>
        </w:tabs>
        <w:spacing w:line="240" w:lineRule="auto"/>
        <w:ind w:firstLine="0"/>
        <w:jc w:val="both"/>
        <w:rPr>
          <w:i w:val="0"/>
          <w:color w:val="000000" w:themeColor="text1"/>
          <w:sz w:val="16"/>
          <w:szCs w:val="16"/>
        </w:rPr>
      </w:pPr>
      <w:r w:rsidRPr="00271E51">
        <w:rPr>
          <w:i w:val="0"/>
          <w:color w:val="000000" w:themeColor="text1"/>
          <w:sz w:val="16"/>
          <w:szCs w:val="16"/>
        </w:rPr>
        <w:t>1. 203-мм самоходная гаубицы «М-17» по огневой мощи и по действию заряда у цели не имеет никаких преимуществ по сравнению с имею</w:t>
      </w:r>
      <w:r w:rsidRPr="00271E51">
        <w:rPr>
          <w:i w:val="0"/>
          <w:color w:val="000000" w:themeColor="text1"/>
          <w:sz w:val="16"/>
          <w:szCs w:val="16"/>
        </w:rPr>
        <w:softHyphen/>
        <w:t>щейся на вооружении артиллерии Красной Армии 152-мм гаубицей- пушкой «СУ-152».</w:t>
      </w:r>
    </w:p>
    <w:p w14:paraId="7179CCC2" w14:textId="77777777" w:rsidR="00665ECA" w:rsidRPr="00271E51" w:rsidRDefault="00665ECA" w:rsidP="00271E51">
      <w:pPr>
        <w:pStyle w:val="Bodytext141"/>
        <w:shd w:val="clear" w:color="auto" w:fill="auto"/>
        <w:tabs>
          <w:tab w:val="left" w:pos="565"/>
        </w:tabs>
        <w:spacing w:line="240" w:lineRule="auto"/>
        <w:ind w:firstLine="0"/>
        <w:jc w:val="both"/>
        <w:rPr>
          <w:i w:val="0"/>
          <w:color w:val="000000" w:themeColor="text1"/>
          <w:sz w:val="16"/>
          <w:szCs w:val="16"/>
        </w:rPr>
      </w:pPr>
      <w:r w:rsidRPr="00271E51">
        <w:rPr>
          <w:i w:val="0"/>
          <w:color w:val="000000" w:themeColor="text1"/>
          <w:sz w:val="16"/>
          <w:szCs w:val="16"/>
        </w:rPr>
        <w:t>2. Изготовление опытного образцы 203-мм гаубицы «М-17» и продол</w:t>
      </w:r>
      <w:r w:rsidRPr="00271E51">
        <w:rPr>
          <w:i w:val="0"/>
          <w:color w:val="000000" w:themeColor="text1"/>
          <w:sz w:val="16"/>
          <w:szCs w:val="16"/>
        </w:rPr>
        <w:softHyphen/>
        <w:t>жение дальнейших работ по проекту Артиллерийский Комитет ГАУ считает нецелесообразным.</w:t>
      </w:r>
    </w:p>
    <w:p w14:paraId="68B1210A" w14:textId="77777777" w:rsidR="00665ECA" w:rsidRPr="00271E51" w:rsidRDefault="00665ECA" w:rsidP="00271E51">
      <w:pPr>
        <w:pStyle w:val="Bodytext141"/>
        <w:shd w:val="clear" w:color="auto" w:fill="auto"/>
        <w:tabs>
          <w:tab w:val="left" w:pos="546"/>
        </w:tabs>
        <w:spacing w:line="240" w:lineRule="auto"/>
        <w:ind w:firstLine="0"/>
        <w:jc w:val="both"/>
        <w:rPr>
          <w:i w:val="0"/>
          <w:color w:val="000000" w:themeColor="text1"/>
          <w:sz w:val="16"/>
          <w:szCs w:val="16"/>
        </w:rPr>
      </w:pPr>
      <w:r w:rsidRPr="00271E51">
        <w:rPr>
          <w:i w:val="0"/>
          <w:color w:val="000000" w:themeColor="text1"/>
          <w:sz w:val="16"/>
          <w:szCs w:val="16"/>
        </w:rPr>
        <w:t>3. Артиллерийский Комитет ГАУ считает необходимым предложить заводу №172 НКВ разработать проект самоходной 203-мм гаубицы обр. 1931 года «Б-4» (с учетом возможности установки 152-мм пуш</w:t>
      </w:r>
      <w:r w:rsidRPr="00271E51">
        <w:rPr>
          <w:i w:val="0"/>
          <w:color w:val="000000" w:themeColor="text1"/>
          <w:sz w:val="16"/>
          <w:szCs w:val="16"/>
        </w:rPr>
        <w:softHyphen/>
        <w:t>ки обр 1935 года «БР-2»).</w:t>
      </w:r>
    </w:p>
    <w:p w14:paraId="6E4D727E"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Проект разработать при снятой мощной круговой бронировке, ограни</w:t>
      </w:r>
      <w:r w:rsidRPr="00271E51">
        <w:rPr>
          <w:i w:val="0"/>
          <w:color w:val="000000" w:themeColor="text1"/>
          <w:sz w:val="16"/>
          <w:szCs w:val="16"/>
        </w:rPr>
        <w:softHyphen/>
        <w:t>чившись лишь легким щитовым прикрытием.</w:t>
      </w:r>
    </w:p>
    <w:p w14:paraId="2C2E4143"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Увеличить угол возвышения до 60°—70°. Общий вес установки не дол</w:t>
      </w:r>
      <w:r w:rsidRPr="00271E51">
        <w:rPr>
          <w:i w:val="0"/>
          <w:color w:val="000000" w:themeColor="text1"/>
          <w:sz w:val="16"/>
          <w:szCs w:val="16"/>
        </w:rPr>
        <w:softHyphen/>
        <w:t xml:space="preserve">жен превышать веса 152-мм самоходной гаубицы-пушки «СУ-152», то есть 45 тонн» </w:t>
      </w:r>
      <w:r w:rsidRPr="00271E51">
        <w:rPr>
          <w:rStyle w:val="Tablecaption2"/>
          <w:i w:val="0"/>
          <w:color w:val="000000" w:themeColor="text1"/>
          <w:sz w:val="16"/>
          <w:szCs w:val="16"/>
        </w:rPr>
        <w:t>(17484)</w:t>
      </w:r>
    </w:p>
    <w:p w14:paraId="058A79FD"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2C769FCD"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color w:val="000000" w:themeColor="text1"/>
          <w:sz w:val="16"/>
          <w:szCs w:val="16"/>
        </w:rPr>
        <w:t>26 июля 1943 года Артиллерийский комитет ГАУ КА выдал следующий вердикт:</w:t>
      </w:r>
    </w:p>
    <w:p w14:paraId="5DDD3A7C"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color w:val="000000" w:themeColor="text1"/>
          <w:sz w:val="16"/>
          <w:szCs w:val="16"/>
        </w:rPr>
        <w:t>«</w:t>
      </w:r>
      <w:r w:rsidRPr="00271E51">
        <w:rPr>
          <w:iCs/>
          <w:color w:val="000000" w:themeColor="text1"/>
          <w:sz w:val="16"/>
          <w:szCs w:val="16"/>
        </w:rPr>
        <w:t>1. 203-мм самоходная гаубица «М-17» по огневой мощи и по действию заряда у цели не имеет никаких преимуществ по сравнению с имеющейся на вооружении артиллерии Красной Армии 152-мм гаубицей-пушкой «СУ-152».</w:t>
      </w:r>
    </w:p>
    <w:p w14:paraId="0B199E09"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2. Изготовление опытного образца 203-мм гаубицы «М-17» и продолжение дальнейших работ по проекту Артиллерийский Комитет ГАУ считает нецелесообразным.</w:t>
      </w:r>
    </w:p>
    <w:p w14:paraId="70D083D4"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3. Артиллерийский Комитет ГАУ считает необходимым предложить заводу №172 НКВ разработать проект самоходной 203-мм гаубицы обр.1931 года «Б-4» (с учётом возможности установки 152-мм пушки обр 1935 года «БР-2»).</w:t>
      </w:r>
    </w:p>
    <w:p w14:paraId="0A5E3D93"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Проект разработать при снятой мощной круговой бронировке, ограничившись лишь лёгким щитовым прикрытием.</w:t>
      </w:r>
    </w:p>
    <w:p w14:paraId="5C6CF70F"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Увеличить угол возвышения до 60°–70°. Общий вес установки не должен превышать веса 152-мм самоходной гаубицы-пушки «СУ-152», то есть 45 тонн».</w:t>
      </w:r>
    </w:p>
    <w:p w14:paraId="5B4EDF4D"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color w:val="000000" w:themeColor="text1"/>
          <w:sz w:val="16"/>
          <w:szCs w:val="16"/>
        </w:rPr>
        <w:t>Этот проект с гаубицей М-40 одобрили в Управлении самоходной артиллерии (УСА) ГБТУ КА, но забраковали артиллеристы.</w:t>
      </w:r>
    </w:p>
    <w:p w14:paraId="7BD9798A" w14:textId="77777777" w:rsidR="006F3FF6" w:rsidRPr="00271E51" w:rsidRDefault="006F3FF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Ни в июле, ни в августе, ни даже в сентябре ОКБ завода №172 не предлагало никаких решений по заданию ГАУ КА. Лишь после того, как в начале сентября 1943 года аналогичное задание получило Центральное артиллерийское конструкторское бюро (ЦАКБ), начались какие-то подвижки. Первые наработки по заданию на полуоткрытую САУ КБ завода №172 появились в начале октября (18075).</w:t>
      </w:r>
    </w:p>
    <w:p w14:paraId="6118AAE7" w14:textId="77777777" w:rsidR="006F3FF6" w:rsidRPr="00271E51" w:rsidRDefault="006F3FF6" w:rsidP="00271E51">
      <w:pPr>
        <w:shd w:val="clear" w:color="auto" w:fill="FFFFFF"/>
        <w:spacing w:after="0" w:line="240" w:lineRule="auto"/>
        <w:jc w:val="both"/>
        <w:rPr>
          <w:rFonts w:ascii="Times New Roman" w:hAnsi="Times New Roman"/>
          <w:noProof/>
          <w:color w:val="000000" w:themeColor="text1"/>
          <w:sz w:val="16"/>
          <w:szCs w:val="16"/>
          <w:lang w:eastAsia="ru-RU"/>
        </w:rPr>
      </w:pPr>
    </w:p>
    <w:p w14:paraId="0A613ED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вышло Постановление ГКО № 3808 О восстановлении освобожденных Красной Армией ж.-д. участков и о подготовке к предстоящему восстановлению на Центральном и Брянском фронтах. (7126, 1-3).</w:t>
      </w:r>
    </w:p>
    <w:p w14:paraId="4FB5105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4140C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25E3A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EAB92C"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в 1943 году оперативная сводка Совинформбюро:</w:t>
      </w:r>
    </w:p>
    <w:p w14:paraId="1ECEAB3F"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июля наши войска на Орловском направлении продолжали наступление, продвинулись вперёд от 5 до 10 километров, заняли свыше 70 населённых пунктов и среди них: юго-восточнее Жиздры — Меховая, Берестна; северо-восточнее Орла, на западном берегу реки Оки, — Малое Рыбино, Кассино, Волобуево, Шумова, Опольково; юго-восточнее и южнее Орла — богородицкое.давыдово, дурново, кошелево, озерна, гнилуша, вендерево, верхний и Нижний Каменец, Верхнее Муханово, Жизлово, Монастырщина, Чернодье, Ломовец и железнодорожные станции Куракино, Еропкино.</w:t>
      </w:r>
    </w:p>
    <w:p w14:paraId="798C56B1"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поиски разведчиков и на отдельных участках шли бои местного значения, в ходе которых наши войска улучшили свои позиции.</w:t>
      </w:r>
    </w:p>
    <w:p w14:paraId="17E6B718"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 районе южнее Изюма и юго-западнее Ворошиловграда, велись усиленные поиски разведчиков.</w:t>
      </w:r>
    </w:p>
    <w:p w14:paraId="090AD1B0"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июля на всех фронтах наши войска подбили и уничтожили 52 немецких танка. В воздушных боях и огнём зенитной артиллерии сбито 57 самолётов противника.</w:t>
      </w:r>
    </w:p>
    <w:p w14:paraId="7F1B08BA"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4B2AC5D3"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части Н-ского соединения, продвигаясь вперёд, заняли 8 населённых пунктов. В одном пункте захвачены 2 артиллерийских батареи, 3 танка и склад боеприпасов. Наши части отбили несколько контратак противника. Уничтожено до 800 немецких солдат и офицеров.</w:t>
      </w:r>
    </w:p>
    <w:p w14:paraId="42F40C0A"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Орла бойцы Н-ского соединения, переправившись на западный берег реки Оки, отбросили гитлеровцев и заняли ряд населённых пунктов. Под ударами наших частей противник несёт тяжёлые потери. В течение дня подбито 6 вражеских танков, 4 самоходных орудия и уничтожено до 2.000 немецких солдат и офицеров. Взяты трофеи и пленные.</w:t>
      </w:r>
    </w:p>
    <w:p w14:paraId="277EB40D"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Южнее Орла части Н-ского соединения выбили немцев из нескольких населённых пунктов, в боях за которые уничтожено 1.500 вражеских солдат и офицеров, 8 танков, 10 орудий, 3 артиллерийских и 5 миномётных батарей противника. В районе станции Глазуновка немцы пять раз контратаковали советские подразделения, но, потеряв более 600 солдат и офицеров убитыми, были вынуждены отступить. На другом участке гитлеровцы упорно обороняли один населённый пункт. На помощь нашим пехотинцам подошло танковое подразделение под командованием майора Ладога. Танкисты всей силой своего огня обрушились на немецкую пехоту и рассеяли гитлеровцев. Наши бойцы, следуя за танками, уничтожили остатки солдат противника и овладели населённым пунктом.</w:t>
      </w:r>
    </w:p>
    <w:p w14:paraId="42CE1716"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вели разведку и на отдельных участках бои местного значения. Бойцы Н-ской части овладели выгодными позициями. Стремясь восстановить положение, противник предпринял несколько контратак, но успеха не добился. Прочно удерживая занятые позиции, наши бойцы истребили более 400 немецких солдат и офицеров, подбили и сожгли 12 вражеских танков, уничтожили 34 автомашины с разными грузами. Зенитная батарея гвардии старшего лейтенанта Рашкевича в течение дня сбила 4 бомбардировщика противника. Столько же немецких самолётов уничтожили зенитчики батареи под командованием старшего лейтенанта Белича.</w:t>
      </w:r>
    </w:p>
    <w:p w14:paraId="775881F4"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Ворошиловграда происходили усиленные поиски разведчиков. Н-ская часть вела бои местного значения и улучшила свои позиции. Захвачены у противника 20 пулемётов, до 200 винтовок, 93 автомата, 52 тысячи патронов и другие трофеи. На другом участке немцы пытались овладеть позициями, на днях занятыми нашим подразделением. Противник бросил в контратаку батальон пехоты и 7 танков. Красноармеец Таммашук и сержант Гусаров гранатами подбили три головных немецких танка. Остальные танки противника повернули обратно. Лишившись танкового прикрытия, немецкая пехота понесла большие потери и в беспорядке отступила.</w:t>
      </w:r>
    </w:p>
    <w:p w14:paraId="197E5B1D"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активно действовали разведывательные отряды.</w:t>
      </w:r>
    </w:p>
    <w:p w14:paraId="1F7A298D"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 лётчика-истребителя во главе с лейтенантом Бондарем атаковали 25 немецких бомбардировщиков, шедших под прикрытием истребителей. Советские лётчики сбили 4 немецких самолёта, а остальные, сбросив бомбы в поле, быстро скрылись.</w:t>
      </w:r>
    </w:p>
    <w:p w14:paraId="2C98BAAD"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Баренцевом море нанесла удар по конвою противника в составе пяти транспортов, нескольких тральщиков и сторожевых кораблей. Прямым попаданием бомбы взорван и затонул немецкий транспорт водоизмещением в 12.000 тонн. Другой такой же транспорт был подожжён. В воздушном бою с прикрывавшими конвой истребителями противника наши лётчики сбили 14 немецких самолётов.</w:t>
      </w:r>
    </w:p>
    <w:p w14:paraId="7A3E3804"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самолётами потоплен также один транспорт противника в Рижскомзаливе.</w:t>
      </w:r>
    </w:p>
    <w:p w14:paraId="3FF7E1FF"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Сумской области, за пятнадцать дней подорвали 9 эшелонов противника. Разбиты 9 паровозов, 51 вагон и 38 платформ с различными военными грузами. Кроме того, партизаны разрушили линию телефонно-телеграфной связи протяжением свыше 6 километров. Партизанский отряд «За Родину» пустил под откос немецкий воинский поезд. Убито и ранено большое число немецко-фашистских оккупантов, следовавших в этом поезде.</w:t>
      </w:r>
    </w:p>
    <w:p w14:paraId="23A5C6E2"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1 роты 769 полка 377 немецкой пехотной дивизии Генрих Фелькер рассказал: «Пятого июля командир роты обер-лейтенант Бауман заявил солдатам, что немецкие войска, начавшие наступление в районе Белгорода и Орла, восьмого июля будут в Курске. Однако скоро стало известно, что наступление захлебнулось, и все расчёты германского командования на захват Курска и окружение русских войск рухнули».</w:t>
      </w:r>
    </w:p>
    <w:p w14:paraId="29CB9E60" w14:textId="77777777" w:rsidR="00B1690F" w:rsidRPr="00271E51" w:rsidRDefault="00B1690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3 роты 394 полка 3 немецкой танковой дивизии Вальтер Мюллер сообщил: «Когда началось наступление, командир роты нам говорил, что через три—четыре дня мы будем в Курске. Он требовал, чтобы мы, невзирая ни на какиежертвы, пробивались вперёд. Дивизия несла тяжёлые потери, но продвигалась крайне медленно. Вскоре русские перешли в контрнаступление, и мы были вынуждены в беспорядке отступать. Так печально закончилось наше летнее наступление» (14964).</w:t>
      </w:r>
    </w:p>
    <w:p w14:paraId="03878D4A" w14:textId="77777777" w:rsidR="00B1690F" w:rsidRPr="00271E51" w:rsidRDefault="00B1690F" w:rsidP="00271E51">
      <w:pPr>
        <w:spacing w:after="0" w:line="240" w:lineRule="auto"/>
        <w:jc w:val="both"/>
        <w:rPr>
          <w:rFonts w:ascii="Times New Roman" w:hAnsi="Times New Roman"/>
          <w:color w:val="000000" w:themeColor="text1"/>
          <w:sz w:val="16"/>
          <w:szCs w:val="16"/>
        </w:rPr>
      </w:pPr>
    </w:p>
    <w:p w14:paraId="0243F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июня 1943 согласно сообщение Совинформбюро авиация СФ нанесла удар по судам и прямым попаданием бомбы потопили транспорт в 12000 т, повредила другой такой же и сбила 14 с (438,879).</w:t>
      </w:r>
    </w:p>
    <w:p w14:paraId="05531C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85C7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эскадра Эдельвейс д.б. перебазироваться с аэродрома Сеша в Рославль, т.к. партизаны подкладывали магнитные мины (кино) (2785,34).</w:t>
      </w:r>
    </w:p>
    <w:p w14:paraId="073742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1597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4D20B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B0B6A5"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июля 1943 60 бомбардировщиков 8-й воздушной армии США наносят удар по Гамбургу (20376).</w:t>
      </w:r>
    </w:p>
    <w:p w14:paraId="6B5BC928" w14:textId="77777777" w:rsidR="00006180" w:rsidRPr="00271E51" w:rsidRDefault="00006180" w:rsidP="00271E51">
      <w:pPr>
        <w:spacing w:after="0" w:line="240" w:lineRule="auto"/>
        <w:jc w:val="both"/>
        <w:rPr>
          <w:rFonts w:ascii="Times New Roman" w:hAnsi="Times New Roman"/>
          <w:color w:val="0070C0"/>
          <w:sz w:val="16"/>
          <w:szCs w:val="16"/>
        </w:rPr>
      </w:pPr>
    </w:p>
    <w:p w14:paraId="3B40EEFB"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июля 1943 более 100 немецких самолетов атакуют союзников конвоя у мыса Бон, Тунис, но защита британских истребителей предотвратила причинение серьезного ущерба (20376).</w:t>
      </w:r>
    </w:p>
    <w:p w14:paraId="451CD8F1" w14:textId="77777777" w:rsidR="00006180" w:rsidRPr="00271E51" w:rsidRDefault="00006180" w:rsidP="00271E51">
      <w:pPr>
        <w:spacing w:after="0" w:line="240" w:lineRule="auto"/>
        <w:jc w:val="both"/>
        <w:rPr>
          <w:rFonts w:ascii="Times New Roman" w:hAnsi="Times New Roman"/>
          <w:color w:val="0070C0"/>
          <w:sz w:val="16"/>
          <w:szCs w:val="16"/>
        </w:rPr>
      </w:pPr>
    </w:p>
    <w:p w14:paraId="49040C1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с немецким промышленником Густавом фон Круппом случился удар после того, как он увидел результаты разрушения его фабрики в Эссене английской авиацией (4962).</w:t>
      </w:r>
    </w:p>
    <w:p w14:paraId="3B50145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9F7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26, 1943: Marshal Badoglio is appointed head of Italy by the Italian King after the arrest of Benito Mussolini. Hilter orders a number of Waffen-SS division sent from Russia to Italy, but only the 1.SS-Panzer-Division is actually transfered (3819).</w:t>
      </w:r>
    </w:p>
    <w:p w14:paraId="06F56B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3774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1943 в Италии было введено военное положение, а фашистская партия - распущена (2262).</w:t>
      </w:r>
    </w:p>
    <w:p w14:paraId="3A7DE2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6BCE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июля в 1943 году на рассвете американский флот адмирала Кинкейда выполнял задачу по блокированию Алеутских островов, где еще продолжалось сопротивление остатков японского гарнизона. В 7 часов утра на радаре самолета-разведчика появились семь судов. Корабли Кинкейда немедленно направились в указанный район, и их радары также зафиксировали семь объектов. Сомнений не было - японский конвой пытается пробиться к островам! Плотный туман скрывал японские корабли, поэтому американцы открыли шквальный огонь по данным радаров. В молочную стену тумана ушли десятки торпед и тысячи снарядов, но семь отметок как ни в чем не бывало продолжали светиться на экранах радаров. Когда туман наконец рассеялся, удивленные моряки увидели, что они стреляли в пустоту - в указанном квадрате никого не было. В тот же миг все семь отметок исчезли с экранов. Это невероятное происшествие, которому до сих пор никто не дал объяснения, получило название "Битва с призраками" (14964).</w:t>
      </w:r>
    </w:p>
    <w:p w14:paraId="22692463" w14:textId="77777777" w:rsidR="00FF0095" w:rsidRPr="00271E51" w:rsidRDefault="00FF0095" w:rsidP="00271E51">
      <w:pPr>
        <w:spacing w:after="0" w:line="240" w:lineRule="auto"/>
        <w:jc w:val="both"/>
        <w:rPr>
          <w:rFonts w:ascii="Times New Roman" w:hAnsi="Times New Roman"/>
          <w:color w:val="000000" w:themeColor="text1"/>
          <w:sz w:val="16"/>
          <w:szCs w:val="16"/>
        </w:rPr>
      </w:pPr>
    </w:p>
    <w:p w14:paraId="36A5AE3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D19A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53F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 ЦАГИ закончились статиспытания самолета Ил-2 зав. № 301826 производства завода № 30. Штурмовик был сдан заводом по бою 14 марта 1943 г. и налетал 20 ч, после чего обнаружился дефект обшивки крыла. Самолет отремон</w:t>
      </w:r>
      <w:r w:rsidRPr="00271E51">
        <w:rPr>
          <w:rFonts w:ascii="Times New Roman" w:hAnsi="Times New Roman"/>
          <w:color w:val="000000" w:themeColor="text1"/>
          <w:sz w:val="16"/>
          <w:szCs w:val="16"/>
        </w:rPr>
        <w:softHyphen/>
        <w:t>тировали по технологии, предложенной ОКБ Ильюшина. Бы</w:t>
      </w:r>
      <w:r w:rsidRPr="00271E51">
        <w:rPr>
          <w:rFonts w:ascii="Times New Roman" w:hAnsi="Times New Roman"/>
          <w:color w:val="000000" w:themeColor="text1"/>
          <w:sz w:val="16"/>
          <w:szCs w:val="16"/>
        </w:rPr>
        <w:softHyphen/>
        <w:t>ла проведена «замена миткаля полотном, одетым на крыло в виде чулка с соответствующим проклеем». Предполагалось, что в случае срыва обшивки от каркаса крыла она будет удер</w:t>
      </w:r>
      <w:r w:rsidRPr="00271E51">
        <w:rPr>
          <w:rFonts w:ascii="Times New Roman" w:hAnsi="Times New Roman"/>
          <w:color w:val="000000" w:themeColor="text1"/>
          <w:sz w:val="16"/>
          <w:szCs w:val="16"/>
        </w:rPr>
        <w:softHyphen/>
        <w:t>живаться полотном, «завязанным» снизу крыла.</w:t>
      </w:r>
    </w:p>
    <w:p w14:paraId="3D52C4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самолета обшивка оторвалась на правом крыле при нагрузке 110% от расчетного значения (соответству</w:t>
      </w:r>
      <w:r w:rsidRPr="00271E51">
        <w:rPr>
          <w:rFonts w:ascii="Times New Roman" w:hAnsi="Times New Roman"/>
          <w:color w:val="000000" w:themeColor="text1"/>
          <w:sz w:val="16"/>
          <w:szCs w:val="16"/>
        </w:rPr>
        <w:softHyphen/>
        <w:t>ет перегрузке 7,5 единицы). При этом дважды открывались люки патронных ящиков — при нагрузке 60% и 100%.</w:t>
      </w:r>
    </w:p>
    <w:p w14:paraId="2B3EC1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Дополнительные испытания на прочность самолета Ил-2 зав. № 301850 производства завода № 30 подтвердили недоста</w:t>
      </w:r>
      <w:r w:rsidRPr="00271E51">
        <w:rPr>
          <w:rFonts w:ascii="Times New Roman" w:hAnsi="Times New Roman"/>
          <w:color w:val="000000" w:themeColor="text1"/>
          <w:sz w:val="16"/>
          <w:szCs w:val="16"/>
        </w:rPr>
        <w:softHyphen/>
        <w:t>точную прочность узлов крепления крышек патронных ящи</w:t>
      </w:r>
      <w:r w:rsidRPr="00271E51">
        <w:rPr>
          <w:rFonts w:ascii="Times New Roman" w:hAnsi="Times New Roman"/>
          <w:color w:val="000000" w:themeColor="text1"/>
          <w:sz w:val="16"/>
          <w:szCs w:val="16"/>
        </w:rPr>
        <w:softHyphen/>
        <w:t>ков. Отрыв крышки начинался при нагрузке 60% от расчетного значения. Крышка крепилась к патронному ящику по одной длинной стороне пятью язычками и по другой длинной стороне пятью замками. Каждая из двух коротких сторон крышки крепилась одним замком.</w:t>
      </w:r>
    </w:p>
    <w:p w14:paraId="21963D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сравнении с крышкой от Ил-2 зав. № 7005 производ</w:t>
      </w:r>
      <w:r w:rsidRPr="00271E51">
        <w:rPr>
          <w:rFonts w:ascii="Times New Roman" w:hAnsi="Times New Roman"/>
          <w:color w:val="000000" w:themeColor="text1"/>
          <w:sz w:val="16"/>
          <w:szCs w:val="16"/>
        </w:rPr>
        <w:softHyphen/>
        <w:t>ства завода № 1 оказалось, что последняя крепится к патрон</w:t>
      </w:r>
      <w:r w:rsidRPr="00271E51">
        <w:rPr>
          <w:rFonts w:ascii="Times New Roman" w:hAnsi="Times New Roman"/>
          <w:color w:val="000000" w:themeColor="text1"/>
          <w:sz w:val="16"/>
          <w:szCs w:val="16"/>
        </w:rPr>
        <w:softHyphen/>
        <w:t>ному ящику девятью стальными замками и тремя дюралюми</w:t>
      </w:r>
      <w:r w:rsidRPr="00271E51">
        <w:rPr>
          <w:rFonts w:ascii="Times New Roman" w:hAnsi="Times New Roman"/>
          <w:color w:val="000000" w:themeColor="text1"/>
          <w:sz w:val="16"/>
          <w:szCs w:val="16"/>
        </w:rPr>
        <w:softHyphen/>
        <w:t>ниевыми язычками. Причем вместо язычков по углам крышка крепится замками.</w:t>
      </w:r>
    </w:p>
    <w:p w14:paraId="1BC85A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завода № 30 потребовали перейти к конструкции крышек патронных ящиков по образцу завода № 1, которые при всех испытаниях оказались более надежными. Строевым частям ре</w:t>
      </w:r>
      <w:r w:rsidRPr="00271E51">
        <w:rPr>
          <w:rFonts w:ascii="Times New Roman" w:hAnsi="Times New Roman"/>
          <w:color w:val="000000" w:themeColor="text1"/>
          <w:sz w:val="16"/>
          <w:szCs w:val="16"/>
        </w:rPr>
        <w:softHyphen/>
        <w:t>комендовали проводить ремонт дефектных самолетов по новой технологии (11474,275).</w:t>
      </w:r>
    </w:p>
    <w:p w14:paraId="705345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C3334" w14:textId="77777777" w:rsidR="004C538B" w:rsidRPr="00271E51" w:rsidRDefault="004C538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27 июля 1943 ЦАГИ закончил статические испытания самолета Ил-2 № 301826 производства завода № 30, на котором обнаружился дефект обшивки крыла. Самолет отремонтировали по технологии, предложенной ОКБ: была проведена «замена миткаля полотном, одетым на крыло в виде чулка с соответствующим проклеем». Предполагалось, что в случае срыва обшивки от каркаса крыла она будет удерживаться полотном, «завязанным» снизу крыла. В ходе испытаний самолета обшивка оторвалась на правом крыле при нагрузке 110% от расчетного значения. При этом дважды открывались люки патронных ящиков — при нагрузке 60% и 100%. </w:t>
      </w:r>
      <w:r w:rsidRPr="00271E51">
        <w:rPr>
          <w:rFonts w:ascii="Times New Roman" w:hAnsi="Times New Roman"/>
          <w:color w:val="000000" w:themeColor="text1"/>
          <w:sz w:val="16"/>
          <w:szCs w:val="16"/>
        </w:rPr>
        <w:lastRenderedPageBreak/>
        <w:t>Дополнительные испытания на прочность самолета Ил-2 № 301850 производства завода № 30 подтвердили недостаточную прочность узлов крепления крышек патронных ящиков. Крышка крепилась к патронному ящику по одной длинной стороне пятью язычками и по другой длинной стороне пятью замками. Каждая из двух коротких сторон крышки крепилась одним замком. При сравнении с крышкой самолета Ил-2 № 7005 производства завода № 1 оказалось, что последняя крепится к патронному ящику девятью стальными замками и тремя дюралюминиевыми язычками. Причем вместо язычков по углам крышка крепится замками. От завода № 30 потребовали перейти к конструкции крышек патронных ящиков по образцу завода № 1, которые при всех испытаниях оказались более надежными. Строевым частям рекомендовали проводить ремонт дефектных самолетов по новой технологии. Несмотря на ремонт обшивки дефектных самолетов в строевых частях, положительных результатов достичь не удалось, обшивка продолжала отрываться в полете. Более того, в некоторых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использования самолета Ил-2 в полной мере». Продувки самолета Ил-2 № 302114 в трубе Т-101 показали, что, одной из основных причин аварий помимо пониженной прочности крыла, следует считать недостаточный запас продольной устойчивости машины в сочетании с неравномерным срывом воздушного потока с крыла при переходе к набору высоты. Для улучшения продольной устойчивости и управляемости предлагалось сдвинуть центровку самолета вперед до 25% САХ «путем придания крылу большей стреловидности», увеличить до 24% осевую компенсацию руля высоты, поднять боковые «карманы» над поверхностью крыла и изменить их форму согласно чертежам (19727).</w:t>
      </w:r>
    </w:p>
    <w:p w14:paraId="1465376C" w14:textId="77777777" w:rsidR="004C538B" w:rsidRPr="00271E51" w:rsidRDefault="004C538B" w:rsidP="00271E51">
      <w:pPr>
        <w:spacing w:after="0" w:line="240" w:lineRule="auto"/>
        <w:jc w:val="both"/>
        <w:rPr>
          <w:rFonts w:ascii="Times New Roman" w:hAnsi="Times New Roman"/>
          <w:color w:val="000000" w:themeColor="text1"/>
          <w:sz w:val="16"/>
          <w:szCs w:val="16"/>
        </w:rPr>
      </w:pPr>
    </w:p>
    <w:p w14:paraId="0A0BE2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на МиГ-3 улучшенном Д1 с АМ-35А были закончены заводские испытания (992,10).</w:t>
      </w:r>
    </w:p>
    <w:p w14:paraId="04FA78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30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июля по 6 августа 1943 проходили гос. испытания улучшенного МиГ-3 с АМ-35А и винтом АВ-5Л126А производства 155 завода. Летал В.И.Хомяков. 23 (28 - 992,10) полета продолжительностью 15 час. 26 мин. (798,3).</w:t>
      </w:r>
    </w:p>
    <w:p w14:paraId="62687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5D8D8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Виза:</w:t>
      </w:r>
    </w:p>
    <w:p w14:paraId="1A085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Сафронову </w:t>
      </w:r>
    </w:p>
    <w:p w14:paraId="4CC8D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Исправить отчет, перепечатать и готовить к рассылке</w:t>
      </w:r>
    </w:p>
    <w:p w14:paraId="50301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w:t>
      </w:r>
    </w:p>
    <w:p w14:paraId="5FB551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был у Лосюкова с 18 августа 1943 по 8 сентября 1944</w:t>
      </w:r>
    </w:p>
    <w:p w14:paraId="49F6F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исполнители:</w:t>
      </w:r>
    </w:p>
    <w:p w14:paraId="22A7E3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инж. А.С.Рузанов</w:t>
      </w:r>
    </w:p>
    <w:p w14:paraId="1DDDC3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л п/п В.И.Хомяков</w:t>
      </w:r>
    </w:p>
    <w:p w14:paraId="5FA75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июля по 6 августа 1943 было выполнено 23 полета с налетом 15:26</w:t>
      </w:r>
    </w:p>
    <w:p w14:paraId="32DE0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w:t>
      </w:r>
    </w:p>
    <w:p w14:paraId="09F2CB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4286E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испытаний:</w:t>
      </w:r>
    </w:p>
    <w:p w14:paraId="4B4E24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0FCB90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с-та</w:t>
      </w:r>
    </w:p>
    <w:p w14:paraId="0F771C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отличие конструкции улучшенного МиГ-3 с АМ-35А по сравнению с серийным с-том МиГ-3 заключаются в:</w:t>
      </w:r>
    </w:p>
    <w:p w14:paraId="678533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7C158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62316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несколько сдвинута назад, расширена и улучшена кабина л. В связи с этим изменен обзор и конструкция фонаря кабины</w:t>
      </w:r>
    </w:p>
    <w:p w14:paraId="1D5190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5D31D0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установлены замки посадочных щитков в положении убрано</w:t>
      </w:r>
    </w:p>
    <w:p w14:paraId="5B234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изменена установка замка подъема шасси</w:t>
      </w:r>
    </w:p>
    <w:p w14:paraId="7336A5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механизм аварийного выпуска шасси и костыля заменен пневматическим</w:t>
      </w:r>
    </w:p>
    <w:p w14:paraId="1276C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установлены колеса размером 600х180 вместо 650 на 200</w:t>
      </w:r>
    </w:p>
    <w:p w14:paraId="73061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костыль сделан ориентирующимся со стопором, управляемым из кабины</w:t>
      </w:r>
    </w:p>
    <w:p w14:paraId="4AF8A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ВМГ</w:t>
      </w:r>
    </w:p>
    <w:p w14:paraId="3FA77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1675EB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44D9E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Бензосистема</w:t>
      </w:r>
    </w:p>
    <w:p w14:paraId="769B6E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43F7D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Маслосистема</w:t>
      </w:r>
    </w:p>
    <w:p w14:paraId="17176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78135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Продувка маслорадиатора регулируется заслонкой с механическим управлением. Заслонка установлена на выходе</w:t>
      </w:r>
    </w:p>
    <w:p w14:paraId="1938A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Задний маслобак емкостью 25 л установлен с внешней стороны у правого блока мотора</w:t>
      </w:r>
    </w:p>
    <w:p w14:paraId="2E3DB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Передний м/б по емкости и расположению такой же, как на МиГ-23 (емкостью 53 л).</w:t>
      </w:r>
    </w:p>
    <w:p w14:paraId="10D76F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Водосистема</w:t>
      </w:r>
    </w:p>
    <w:p w14:paraId="33D5C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2B120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6CCB60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513AF6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5E048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Состоит из 2хШВАК какл. 20 мм, установленных над мотором с запасом патронов по 150 шт.</w:t>
      </w:r>
    </w:p>
    <w:p w14:paraId="6DBB38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428101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6A2175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2098A4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Средства связи</w:t>
      </w:r>
    </w:p>
    <w:p w14:paraId="1AF241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5ABC8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Кислородное оборудование состоит из ксилородного прибора типа КПА-3бис и 4-х литрового баллона, также штуцера бортовой зарядки.</w:t>
      </w:r>
    </w:p>
    <w:p w14:paraId="0EDD0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Вспомогательное оборудование: согнальный пистолет КП-3, патронташ к нему и аптечка малая. Фотооборудование не предусмотрено.</w:t>
      </w:r>
    </w:p>
    <w:p w14:paraId="5177FC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Компоновка приборов выполнена в соответствии со стандартной кабиной и приборной доской истребителя</w:t>
      </w:r>
    </w:p>
    <w:p w14:paraId="030F1E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испытаний:</w:t>
      </w:r>
    </w:p>
    <w:p w14:paraId="76224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1D0DA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2627, 13,8% САХ, угол капотирования 23</w:t>
      </w:r>
    </w:p>
    <w:p w14:paraId="30FC5A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- 3260, 19% САХ, угол капотирования 26</w:t>
      </w:r>
    </w:p>
    <w:p w14:paraId="5C3B92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w:t>
      </w:r>
    </w:p>
    <w:p w14:paraId="746287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 - 90</w:t>
      </w:r>
    </w:p>
    <w:p w14:paraId="02F185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горючее (уд. Вес 0,737) - 324</w:t>
      </w:r>
    </w:p>
    <w:p w14:paraId="068F45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 - 58</w:t>
      </w:r>
    </w:p>
    <w:p w14:paraId="415E8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- 80, боеприпасы 64</w:t>
      </w:r>
    </w:p>
    <w:p w14:paraId="62C61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оборудование - 17</w:t>
      </w:r>
    </w:p>
    <w:p w14:paraId="65381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633</w:t>
      </w:r>
    </w:p>
    <w:p w14:paraId="350333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лд</w:t>
      </w:r>
    </w:p>
    <w:p w14:paraId="56D24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номинале 505, с форсажем (на взлетном режиме, 2020 и Рк 1220) - 526</w:t>
      </w:r>
    </w:p>
    <w:p w14:paraId="5B8A1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Максю скорость на взлетном на 300 м - 600</w:t>
      </w:r>
    </w:p>
    <w:p w14:paraId="5BE9BF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5000 - 622</w:t>
      </w:r>
    </w:p>
    <w:p w14:paraId="3153B9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 (7000) - 656</w:t>
      </w:r>
    </w:p>
    <w:p w14:paraId="74062A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9000 м - 639, Рк 830</w:t>
      </w:r>
    </w:p>
    <w:p w14:paraId="2B9E8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 6,2</w:t>
      </w:r>
    </w:p>
    <w:p w14:paraId="7C0B0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7000 м 8,9</w:t>
      </w:r>
    </w:p>
    <w:p w14:paraId="4F4F9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9000 м 12,8</w:t>
      </w:r>
    </w:p>
    <w:p w14:paraId="3A606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11500, с форсажем 11900 м</w:t>
      </w:r>
    </w:p>
    <w:p w14:paraId="1FD0C9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A907A5" w:rsidRPr="00271E51" w14:paraId="11760F33" w14:textId="77777777" w:rsidTr="00ED5B0A">
        <w:tc>
          <w:tcPr>
            <w:tcW w:w="959" w:type="dxa"/>
            <w:tcBorders>
              <w:top w:val="single" w:sz="12" w:space="0" w:color="auto"/>
            </w:tcBorders>
          </w:tcPr>
          <w:p w14:paraId="27D74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07F02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 скорость</w:t>
            </w:r>
          </w:p>
        </w:tc>
        <w:tc>
          <w:tcPr>
            <w:tcW w:w="1418" w:type="dxa"/>
            <w:tcBorders>
              <w:top w:val="single" w:sz="12" w:space="0" w:color="auto"/>
            </w:tcBorders>
          </w:tcPr>
          <w:p w14:paraId="23CCC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Рк</w:t>
            </w:r>
          </w:p>
        </w:tc>
        <w:tc>
          <w:tcPr>
            <w:tcW w:w="1276" w:type="dxa"/>
            <w:tcBorders>
              <w:top w:val="single" w:sz="12" w:space="0" w:color="auto"/>
            </w:tcBorders>
          </w:tcPr>
          <w:p w14:paraId="02DDC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 Скорость</w:t>
            </w:r>
          </w:p>
        </w:tc>
      </w:tr>
      <w:tr w:rsidR="00A907A5" w:rsidRPr="00271E51" w14:paraId="7F00C609" w14:textId="77777777" w:rsidTr="00ED5B0A">
        <w:tc>
          <w:tcPr>
            <w:tcW w:w="959" w:type="dxa"/>
          </w:tcPr>
          <w:p w14:paraId="7931E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w:t>
            </w:r>
          </w:p>
        </w:tc>
        <w:tc>
          <w:tcPr>
            <w:tcW w:w="1417" w:type="dxa"/>
          </w:tcPr>
          <w:p w14:paraId="09C985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tc>
        <w:tc>
          <w:tcPr>
            <w:tcW w:w="1418" w:type="dxa"/>
          </w:tcPr>
          <w:p w14:paraId="13159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3F56C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r>
      <w:tr w:rsidR="00A907A5" w:rsidRPr="00271E51" w14:paraId="4405FABF" w14:textId="77777777" w:rsidTr="00ED5B0A">
        <w:tc>
          <w:tcPr>
            <w:tcW w:w="959" w:type="dxa"/>
          </w:tcPr>
          <w:p w14:paraId="5BBA5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417" w:type="dxa"/>
          </w:tcPr>
          <w:p w14:paraId="16688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418" w:type="dxa"/>
          </w:tcPr>
          <w:p w14:paraId="43048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1F881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w:t>
            </w:r>
          </w:p>
        </w:tc>
      </w:tr>
      <w:tr w:rsidR="00A907A5" w:rsidRPr="00271E51" w14:paraId="1A4FB695" w14:textId="77777777" w:rsidTr="00ED5B0A">
        <w:tc>
          <w:tcPr>
            <w:tcW w:w="959" w:type="dxa"/>
          </w:tcPr>
          <w:p w14:paraId="347155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1417" w:type="dxa"/>
          </w:tcPr>
          <w:p w14:paraId="7AF22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1418" w:type="dxa"/>
          </w:tcPr>
          <w:p w14:paraId="381A5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890</w:t>
            </w:r>
          </w:p>
        </w:tc>
        <w:tc>
          <w:tcPr>
            <w:tcW w:w="1276" w:type="dxa"/>
          </w:tcPr>
          <w:p w14:paraId="65B2E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w:t>
            </w:r>
          </w:p>
        </w:tc>
      </w:tr>
      <w:tr w:rsidR="00A907A5" w:rsidRPr="00271E51" w14:paraId="12F0C65D" w14:textId="77777777" w:rsidTr="00ED5B0A">
        <w:tc>
          <w:tcPr>
            <w:tcW w:w="959" w:type="dxa"/>
            <w:tcBorders>
              <w:bottom w:val="single" w:sz="12" w:space="0" w:color="auto"/>
            </w:tcBorders>
          </w:tcPr>
          <w:p w14:paraId="7F1C3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417" w:type="dxa"/>
            <w:tcBorders>
              <w:bottom w:val="single" w:sz="12" w:space="0" w:color="auto"/>
            </w:tcBorders>
          </w:tcPr>
          <w:p w14:paraId="77C9E6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1418" w:type="dxa"/>
            <w:tcBorders>
              <w:bottom w:val="single" w:sz="12" w:space="0" w:color="auto"/>
            </w:tcBorders>
          </w:tcPr>
          <w:p w14:paraId="17A5A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w:t>
            </w:r>
          </w:p>
        </w:tc>
        <w:tc>
          <w:tcPr>
            <w:tcW w:w="1276" w:type="dxa"/>
            <w:tcBorders>
              <w:bottom w:val="single" w:sz="12" w:space="0" w:color="auto"/>
            </w:tcBorders>
          </w:tcPr>
          <w:p w14:paraId="4927B2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w:t>
            </w:r>
          </w:p>
        </w:tc>
      </w:tr>
    </w:tbl>
    <w:p w14:paraId="39F69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на взлетном режиме не определялась из-за перегрева мотора</w:t>
      </w:r>
    </w:p>
    <w:p w14:paraId="4426B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1D4FA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Маневренность на 8000 м</w:t>
      </w:r>
    </w:p>
    <w:p w14:paraId="13565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Вираж однократный левый на 330-330 37 сек.</w:t>
      </w:r>
    </w:p>
    <w:p w14:paraId="72FB3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на 330-330 35 без изменения высоты</w:t>
      </w:r>
    </w:p>
    <w:p w14:paraId="2A321D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разворот левый 370-230 - 22 с набором 400-500</w:t>
      </w:r>
    </w:p>
    <w:p w14:paraId="5FB53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22</w:t>
      </w:r>
    </w:p>
    <w:p w14:paraId="45C1D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Летали также п Сафонов, п/п Кочетков, м Антипов, к Кубышкин</w:t>
      </w:r>
    </w:p>
    <w:p w14:paraId="392CD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08BAB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посадке в момент приземления с-т теряет управляемость в продольном отношении.</w:t>
      </w:r>
    </w:p>
    <w:p w14:paraId="7EAF5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пробеге есть тенденция к прыганью в трехточечном положении.</w:t>
      </w:r>
    </w:p>
    <w:p w14:paraId="28D66C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рулежке вода перегревается</w:t>
      </w:r>
    </w:p>
    <w:p w14:paraId="450656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даче форсажа после 1000 м мотор ьтрясет</w:t>
      </w:r>
    </w:p>
    <w:p w14:paraId="1F2B0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Стефановский 10 августа 1943</w:t>
      </w:r>
    </w:p>
    <w:p w14:paraId="50733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6EBF0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31B9D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Кубышкин 11 августа 1943</w:t>
      </w:r>
    </w:p>
    <w:p w14:paraId="416250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A907A5" w:rsidRPr="00271E51" w14:paraId="1587688B" w14:textId="77777777" w:rsidTr="00ED5B0A">
        <w:tc>
          <w:tcPr>
            <w:tcW w:w="1601" w:type="dxa"/>
            <w:tcBorders>
              <w:top w:val="single" w:sz="12" w:space="0" w:color="auto"/>
            </w:tcBorders>
          </w:tcPr>
          <w:p w14:paraId="73BFF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top w:val="single" w:sz="12" w:space="0" w:color="auto"/>
            </w:tcBorders>
          </w:tcPr>
          <w:p w14:paraId="27275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улучшенный</w:t>
            </w:r>
          </w:p>
        </w:tc>
        <w:tc>
          <w:tcPr>
            <w:tcW w:w="992" w:type="dxa"/>
            <w:tcBorders>
              <w:top w:val="single" w:sz="12" w:space="0" w:color="auto"/>
            </w:tcBorders>
          </w:tcPr>
          <w:p w14:paraId="2C02C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серийный № 3943, август 1941</w:t>
            </w:r>
          </w:p>
        </w:tc>
        <w:tc>
          <w:tcPr>
            <w:tcW w:w="993" w:type="dxa"/>
            <w:tcBorders>
              <w:top w:val="single" w:sz="12" w:space="0" w:color="auto"/>
            </w:tcBorders>
          </w:tcPr>
          <w:p w14:paraId="00DA4A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Ла-5ФН апрель 1943</w:t>
            </w:r>
          </w:p>
        </w:tc>
        <w:tc>
          <w:tcPr>
            <w:tcW w:w="992" w:type="dxa"/>
            <w:tcBorders>
              <w:top w:val="single" w:sz="12" w:space="0" w:color="auto"/>
            </w:tcBorders>
          </w:tcPr>
          <w:p w14:paraId="516BE6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Спитфайр 56 май 1943</w:t>
            </w:r>
          </w:p>
        </w:tc>
        <w:tc>
          <w:tcPr>
            <w:tcW w:w="992" w:type="dxa"/>
            <w:tcBorders>
              <w:top w:val="single" w:sz="12" w:space="0" w:color="auto"/>
            </w:tcBorders>
          </w:tcPr>
          <w:p w14:paraId="33863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Ме-109</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рель 1943 (3-х точечный)</w:t>
            </w:r>
          </w:p>
        </w:tc>
        <w:tc>
          <w:tcPr>
            <w:tcW w:w="992" w:type="dxa"/>
            <w:tcBorders>
              <w:top w:val="single" w:sz="12" w:space="0" w:color="auto"/>
            </w:tcBorders>
          </w:tcPr>
          <w:p w14:paraId="3EC48D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М-105ПД сентябрь 1942</w:t>
            </w:r>
          </w:p>
        </w:tc>
      </w:tr>
      <w:tr w:rsidR="00A907A5" w:rsidRPr="00271E51" w14:paraId="16CB2D12" w14:textId="77777777" w:rsidTr="00ED5B0A">
        <w:tc>
          <w:tcPr>
            <w:tcW w:w="1601" w:type="dxa"/>
          </w:tcPr>
          <w:p w14:paraId="06C26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917" w:type="dxa"/>
          </w:tcPr>
          <w:p w14:paraId="6A659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3260</w:t>
            </w:r>
          </w:p>
        </w:tc>
        <w:tc>
          <w:tcPr>
            <w:tcW w:w="992" w:type="dxa"/>
          </w:tcPr>
          <w:p w14:paraId="55E77A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3299</w:t>
            </w:r>
          </w:p>
        </w:tc>
        <w:tc>
          <w:tcPr>
            <w:tcW w:w="993" w:type="dxa"/>
          </w:tcPr>
          <w:p w14:paraId="2C4AD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3168</w:t>
            </w:r>
          </w:p>
        </w:tc>
        <w:tc>
          <w:tcPr>
            <w:tcW w:w="992" w:type="dxa"/>
          </w:tcPr>
          <w:p w14:paraId="4E3CFD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2920</w:t>
            </w:r>
          </w:p>
        </w:tc>
        <w:tc>
          <w:tcPr>
            <w:tcW w:w="992" w:type="dxa"/>
          </w:tcPr>
          <w:p w14:paraId="14E20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3023</w:t>
            </w:r>
          </w:p>
        </w:tc>
        <w:tc>
          <w:tcPr>
            <w:tcW w:w="992" w:type="dxa"/>
          </w:tcPr>
          <w:p w14:paraId="3DF90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2904</w:t>
            </w:r>
          </w:p>
        </w:tc>
      </w:tr>
      <w:tr w:rsidR="00A907A5" w:rsidRPr="00271E51" w14:paraId="3A88EDFA" w14:textId="77777777" w:rsidTr="00ED5B0A">
        <w:tc>
          <w:tcPr>
            <w:tcW w:w="1601" w:type="dxa"/>
          </w:tcPr>
          <w:p w14:paraId="0B8CD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917" w:type="dxa"/>
          </w:tcPr>
          <w:p w14:paraId="35967F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505/526</w:t>
            </w:r>
          </w:p>
        </w:tc>
        <w:tc>
          <w:tcPr>
            <w:tcW w:w="992" w:type="dxa"/>
          </w:tcPr>
          <w:p w14:paraId="69A3CD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466</w:t>
            </w:r>
          </w:p>
        </w:tc>
        <w:tc>
          <w:tcPr>
            <w:tcW w:w="993" w:type="dxa"/>
          </w:tcPr>
          <w:p w14:paraId="4C112F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562/595</w:t>
            </w:r>
          </w:p>
        </w:tc>
        <w:tc>
          <w:tcPr>
            <w:tcW w:w="992" w:type="dxa"/>
          </w:tcPr>
          <w:p w14:paraId="4A6691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992" w:type="dxa"/>
          </w:tcPr>
          <w:p w14:paraId="5BDC14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992" w:type="dxa"/>
          </w:tcPr>
          <w:p w14:paraId="251BE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r w:rsidR="00A907A5" w:rsidRPr="00271E51" w14:paraId="66FC5391" w14:textId="77777777" w:rsidTr="00ED5B0A">
        <w:tc>
          <w:tcPr>
            <w:tcW w:w="1601" w:type="dxa"/>
          </w:tcPr>
          <w:p w14:paraId="321E5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м</w:t>
            </w:r>
          </w:p>
        </w:tc>
        <w:tc>
          <w:tcPr>
            <w:tcW w:w="917" w:type="dxa"/>
          </w:tcPr>
          <w:p w14:paraId="506151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4076F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993" w:type="dxa"/>
          </w:tcPr>
          <w:p w14:paraId="2E496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50ECA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646</w:t>
            </w:r>
          </w:p>
        </w:tc>
        <w:tc>
          <w:tcPr>
            <w:tcW w:w="992" w:type="dxa"/>
          </w:tcPr>
          <w:p w14:paraId="21F0B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992" w:type="dxa"/>
          </w:tcPr>
          <w:p w14:paraId="29E23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r>
      <w:tr w:rsidR="00A907A5" w:rsidRPr="00271E51" w14:paraId="2EC5E53D" w14:textId="77777777" w:rsidTr="00ED5B0A">
        <w:tc>
          <w:tcPr>
            <w:tcW w:w="1601" w:type="dxa"/>
          </w:tcPr>
          <w:p w14:paraId="791ED2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w:t>
            </w:r>
          </w:p>
        </w:tc>
        <w:tc>
          <w:tcPr>
            <w:tcW w:w="917" w:type="dxa"/>
          </w:tcPr>
          <w:p w14:paraId="2E904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656/7000</w:t>
            </w:r>
          </w:p>
        </w:tc>
        <w:tc>
          <w:tcPr>
            <w:tcW w:w="992" w:type="dxa"/>
          </w:tcPr>
          <w:p w14:paraId="6EF9B3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615/7800</w:t>
            </w:r>
          </w:p>
        </w:tc>
        <w:tc>
          <w:tcPr>
            <w:tcW w:w="993" w:type="dxa"/>
          </w:tcPr>
          <w:p w14:paraId="7C62F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648/6500</w:t>
            </w:r>
          </w:p>
        </w:tc>
        <w:tc>
          <w:tcPr>
            <w:tcW w:w="992" w:type="dxa"/>
          </w:tcPr>
          <w:p w14:paraId="7B4B3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578/6700</w:t>
            </w:r>
          </w:p>
        </w:tc>
        <w:tc>
          <w:tcPr>
            <w:tcW w:w="992" w:type="dxa"/>
          </w:tcPr>
          <w:p w14:paraId="10965B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666/7000</w:t>
            </w:r>
          </w:p>
        </w:tc>
        <w:tc>
          <w:tcPr>
            <w:tcW w:w="992" w:type="dxa"/>
          </w:tcPr>
          <w:p w14:paraId="73521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611/7600</w:t>
            </w:r>
          </w:p>
        </w:tc>
      </w:tr>
      <w:tr w:rsidR="00A907A5" w:rsidRPr="00271E51" w14:paraId="544B46D6" w14:textId="77777777" w:rsidTr="00ED5B0A">
        <w:tc>
          <w:tcPr>
            <w:tcW w:w="1601" w:type="dxa"/>
          </w:tcPr>
          <w:p w14:paraId="78F832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8000 м</w:t>
            </w:r>
          </w:p>
        </w:tc>
        <w:tc>
          <w:tcPr>
            <w:tcW w:w="917" w:type="dxa"/>
          </w:tcPr>
          <w:p w14:paraId="64AE5E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w:t>
            </w:r>
          </w:p>
        </w:tc>
        <w:tc>
          <w:tcPr>
            <w:tcW w:w="992" w:type="dxa"/>
          </w:tcPr>
          <w:p w14:paraId="107EA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c>
          <w:tcPr>
            <w:tcW w:w="993" w:type="dxa"/>
          </w:tcPr>
          <w:p w14:paraId="65E1AF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628</w:t>
            </w:r>
          </w:p>
        </w:tc>
        <w:tc>
          <w:tcPr>
            <w:tcW w:w="992" w:type="dxa"/>
          </w:tcPr>
          <w:p w14:paraId="1E0D8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w:t>
            </w:r>
          </w:p>
        </w:tc>
        <w:tc>
          <w:tcPr>
            <w:tcW w:w="992" w:type="dxa"/>
          </w:tcPr>
          <w:p w14:paraId="07CF9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c>
          <w:tcPr>
            <w:tcW w:w="992" w:type="dxa"/>
          </w:tcPr>
          <w:p w14:paraId="421254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608</w:t>
            </w:r>
          </w:p>
        </w:tc>
      </w:tr>
      <w:tr w:rsidR="00A907A5" w:rsidRPr="00271E51" w14:paraId="11B6B68D" w14:textId="77777777" w:rsidTr="00ED5B0A">
        <w:tc>
          <w:tcPr>
            <w:tcW w:w="1601" w:type="dxa"/>
          </w:tcPr>
          <w:p w14:paraId="66E95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917" w:type="dxa"/>
          </w:tcPr>
          <w:p w14:paraId="201BC6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6498A9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993" w:type="dxa"/>
          </w:tcPr>
          <w:p w14:paraId="4FB33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11200</w:t>
            </w:r>
          </w:p>
        </w:tc>
        <w:tc>
          <w:tcPr>
            <w:tcW w:w="992" w:type="dxa"/>
          </w:tcPr>
          <w:p w14:paraId="2875AD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c>
          <w:tcPr>
            <w:tcW w:w="992" w:type="dxa"/>
          </w:tcPr>
          <w:p w14:paraId="457FCA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528349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11300</w:t>
            </w:r>
          </w:p>
        </w:tc>
      </w:tr>
      <w:tr w:rsidR="00A907A5" w:rsidRPr="00271E51" w14:paraId="2F68F259" w14:textId="77777777" w:rsidTr="00ED5B0A">
        <w:tc>
          <w:tcPr>
            <w:tcW w:w="1601" w:type="dxa"/>
          </w:tcPr>
          <w:p w14:paraId="29860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917" w:type="dxa"/>
          </w:tcPr>
          <w:p w14:paraId="1620A7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992" w:type="dxa"/>
          </w:tcPr>
          <w:p w14:paraId="7DCC2D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3" w:type="dxa"/>
          </w:tcPr>
          <w:p w14:paraId="1CF66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992" w:type="dxa"/>
          </w:tcPr>
          <w:p w14:paraId="34F389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2" w:type="dxa"/>
          </w:tcPr>
          <w:p w14:paraId="7DEBC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992" w:type="dxa"/>
          </w:tcPr>
          <w:p w14:paraId="591FAE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r>
      <w:tr w:rsidR="00A907A5" w:rsidRPr="00271E51" w14:paraId="4B8C3DC8" w14:textId="77777777" w:rsidTr="00ED5B0A">
        <w:tc>
          <w:tcPr>
            <w:tcW w:w="1601" w:type="dxa"/>
          </w:tcPr>
          <w:p w14:paraId="682614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горючего (кг)</w:t>
            </w:r>
          </w:p>
        </w:tc>
        <w:tc>
          <w:tcPr>
            <w:tcW w:w="917" w:type="dxa"/>
          </w:tcPr>
          <w:p w14:paraId="17EF4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324</w:t>
            </w:r>
          </w:p>
        </w:tc>
        <w:tc>
          <w:tcPr>
            <w:tcW w:w="992" w:type="dxa"/>
          </w:tcPr>
          <w:p w14:paraId="51448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993" w:type="dxa"/>
          </w:tcPr>
          <w:p w14:paraId="4E469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341</w:t>
            </w:r>
          </w:p>
        </w:tc>
        <w:tc>
          <w:tcPr>
            <w:tcW w:w="992" w:type="dxa"/>
          </w:tcPr>
          <w:p w14:paraId="065847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w:t>
            </w:r>
          </w:p>
        </w:tc>
        <w:tc>
          <w:tcPr>
            <w:tcW w:w="992" w:type="dxa"/>
          </w:tcPr>
          <w:p w14:paraId="03CCE5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992" w:type="dxa"/>
          </w:tcPr>
          <w:p w14:paraId="66970A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r>
      <w:tr w:rsidR="00A907A5" w:rsidRPr="00271E51" w14:paraId="7632EC9E" w14:textId="77777777" w:rsidTr="00ED5B0A">
        <w:tc>
          <w:tcPr>
            <w:tcW w:w="1601" w:type="dxa"/>
            <w:tcBorders>
              <w:bottom w:val="single" w:sz="12" w:space="0" w:color="auto"/>
            </w:tcBorders>
          </w:tcPr>
          <w:p w14:paraId="5E2B0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залпа (кг/сек)</w:t>
            </w:r>
          </w:p>
        </w:tc>
        <w:tc>
          <w:tcPr>
            <w:tcW w:w="917" w:type="dxa"/>
            <w:tcBorders>
              <w:bottom w:val="single" w:sz="12" w:space="0" w:color="auto"/>
            </w:tcBorders>
          </w:tcPr>
          <w:p w14:paraId="33C25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2,404</w:t>
            </w:r>
          </w:p>
        </w:tc>
        <w:tc>
          <w:tcPr>
            <w:tcW w:w="992" w:type="dxa"/>
            <w:tcBorders>
              <w:bottom w:val="single" w:sz="12" w:space="0" w:color="auto"/>
            </w:tcBorders>
          </w:tcPr>
          <w:p w14:paraId="4130B7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993" w:type="dxa"/>
            <w:tcBorders>
              <w:bottom w:val="single" w:sz="12" w:space="0" w:color="auto"/>
            </w:tcBorders>
          </w:tcPr>
          <w:p w14:paraId="04F98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w:t>
            </w:r>
          </w:p>
        </w:tc>
        <w:tc>
          <w:tcPr>
            <w:tcW w:w="992" w:type="dxa"/>
            <w:tcBorders>
              <w:bottom w:val="single" w:sz="12" w:space="0" w:color="auto"/>
            </w:tcBorders>
          </w:tcPr>
          <w:p w14:paraId="749FCF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3,54</w:t>
            </w:r>
          </w:p>
        </w:tc>
        <w:tc>
          <w:tcPr>
            <w:tcW w:w="992" w:type="dxa"/>
            <w:tcBorders>
              <w:bottom w:val="single" w:sz="12" w:space="0" w:color="auto"/>
            </w:tcBorders>
          </w:tcPr>
          <w:p w14:paraId="31E11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1,674</w:t>
            </w:r>
          </w:p>
        </w:tc>
        <w:tc>
          <w:tcPr>
            <w:tcW w:w="992" w:type="dxa"/>
            <w:tcBorders>
              <w:bottom w:val="single" w:sz="12" w:space="0" w:color="auto"/>
            </w:tcBorders>
          </w:tcPr>
          <w:p w14:paraId="23119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w:t>
            </w:r>
          </w:p>
        </w:tc>
      </w:tr>
    </w:tbl>
    <w:p w14:paraId="1AAC6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Эксполуатационная оценка</w:t>
      </w:r>
    </w:p>
    <w:p w14:paraId="643C40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76874C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3F8075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Подписал ст т-л Безбатенко 11 августа 1943</w:t>
      </w:r>
    </w:p>
    <w:p w14:paraId="3E216A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Вычеркнуто Лосюковым:</w:t>
      </w:r>
    </w:p>
    <w:p w14:paraId="22FEE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выполнено постановление ГКО № 2946 от 26 февраля 1943</w:t>
      </w:r>
    </w:p>
    <w:p w14:paraId="2877B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12D31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481BA6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67DAC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Полетный вес 3100 - получено 3260</w:t>
      </w:r>
    </w:p>
    <w:p w14:paraId="4F9D74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этого написал:</w:t>
      </w:r>
    </w:p>
    <w:p w14:paraId="667C31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заключения:</w:t>
      </w:r>
    </w:p>
    <w:p w14:paraId="457B9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30B27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вычеркнул: о недоведенности темп. Режима, наличии вибрации ХО и потери эффективности рулей на посадке</w:t>
      </w:r>
    </w:p>
    <w:p w14:paraId="4AA6D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Акт разослать: ГИ ВВС, ГК А.И.М.</w:t>
      </w:r>
    </w:p>
    <w:p w14:paraId="7D9703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подписаны 11 августа Кочетковым, Хомяковым</w:t>
      </w:r>
    </w:p>
    <w:p w14:paraId="256B0D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(от руки Лосюковым):</w:t>
      </w:r>
    </w:p>
    <w:p w14:paraId="16E5E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Испытанный экз. с-та дали следующие отступления от цифр, заданных Постановлением ГОКО</w:t>
      </w:r>
    </w:p>
    <w:p w14:paraId="0D7E66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45242A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17897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0EF795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3100 - получено 3260</w:t>
      </w:r>
    </w:p>
    <w:p w14:paraId="4B30B6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Отзывы л и техн. Состава 12 гиап, эксплуатирующих улучшенные МиГ-3 с АМ-35А</w:t>
      </w:r>
    </w:p>
    <w:p w14:paraId="26C63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С-ты МиГ-3Д постройки завода № 155 № 01, 0,3, 04 и 06 прибыли в эксплуатацию в августе 1943. Оценки отрицательные (не в боевых условиях) (798,3).</w:t>
      </w:r>
    </w:p>
    <w:p w14:paraId="1CB27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8E3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июля и до 6 августа 1943 МиГ—3 «улучшенный» выполнил 23 полета общей продолжительностью 15ч. 26 мин, из которых 10 были высотными. Дав в целом положительную оценку осуществлен</w:t>
      </w:r>
      <w:r w:rsidRPr="00271E51">
        <w:rPr>
          <w:rFonts w:ascii="Times New Roman" w:hAnsi="Times New Roman"/>
          <w:color w:val="000000" w:themeColor="text1"/>
          <w:sz w:val="16"/>
          <w:szCs w:val="16"/>
        </w:rPr>
        <w:softHyphen/>
        <w:t>ным ОКБ мероприятиям, сотрудники НИИ ВВС от</w:t>
      </w:r>
      <w:r w:rsidRPr="00271E51">
        <w:rPr>
          <w:rFonts w:ascii="Times New Roman" w:hAnsi="Times New Roman"/>
          <w:color w:val="000000" w:themeColor="text1"/>
          <w:sz w:val="16"/>
          <w:szCs w:val="16"/>
        </w:rPr>
        <w:softHyphen/>
        <w:t>метили ряд недостатков, в том числе сложность вы</w:t>
      </w:r>
      <w:r w:rsidRPr="00271E51">
        <w:rPr>
          <w:rFonts w:ascii="Times New Roman" w:hAnsi="Times New Roman"/>
          <w:color w:val="000000" w:themeColor="text1"/>
          <w:sz w:val="16"/>
          <w:szCs w:val="16"/>
        </w:rPr>
        <w:softHyphen/>
        <w:t>полнения посадки, большие нагрузки на ручку при выполнении фигур пилотажа, сильную тряску стаби</w:t>
      </w:r>
      <w:r w:rsidRPr="00271E51">
        <w:rPr>
          <w:rFonts w:ascii="Times New Roman" w:hAnsi="Times New Roman"/>
          <w:color w:val="000000" w:themeColor="text1"/>
          <w:sz w:val="16"/>
          <w:szCs w:val="16"/>
        </w:rPr>
        <w:softHyphen/>
        <w:t>лизатора при переходе на большие углы атаки при малых скоростях. Заместитель главного конструкто</w:t>
      </w:r>
      <w:r w:rsidRPr="00271E51">
        <w:rPr>
          <w:rFonts w:ascii="Times New Roman" w:hAnsi="Times New Roman"/>
          <w:color w:val="000000" w:themeColor="text1"/>
          <w:sz w:val="16"/>
          <w:szCs w:val="16"/>
        </w:rPr>
        <w:softHyphen/>
        <w:t>ра завода № 300 С.К.Туманский разрешил форсиро</w:t>
      </w:r>
      <w:r w:rsidRPr="00271E51">
        <w:rPr>
          <w:rFonts w:ascii="Times New Roman" w:hAnsi="Times New Roman"/>
          <w:color w:val="000000" w:themeColor="text1"/>
          <w:sz w:val="16"/>
          <w:szCs w:val="16"/>
        </w:rPr>
        <w:softHyphen/>
        <w:t>вать мотор по частоте вращения, увеличивая ее при полете на максимальной скорости до 2250 об/мин (вместо номинальной 2050 об/мин.), и наддуву. Од</w:t>
      </w:r>
      <w:r w:rsidRPr="00271E51">
        <w:rPr>
          <w:rFonts w:ascii="Times New Roman" w:hAnsi="Times New Roman"/>
          <w:color w:val="000000" w:themeColor="text1"/>
          <w:sz w:val="16"/>
          <w:szCs w:val="16"/>
        </w:rPr>
        <w:softHyphen/>
        <w:t>нако при испытаниях удалось использовать взлетный режим (Р</w:t>
      </w:r>
      <w:r w:rsidRPr="00271E51">
        <w:rPr>
          <w:rFonts w:ascii="Times New Roman" w:hAnsi="Times New Roman"/>
          <w:color w:val="000000" w:themeColor="text1"/>
          <w:sz w:val="16"/>
          <w:szCs w:val="16"/>
          <w:vertAlign w:val="subscript"/>
        </w:rPr>
        <w:t>а</w:t>
      </w:r>
      <w:r w:rsidRPr="00271E51">
        <w:rPr>
          <w:rFonts w:ascii="Times New Roman" w:hAnsi="Times New Roman"/>
          <w:color w:val="000000" w:themeColor="text1"/>
          <w:sz w:val="16"/>
          <w:szCs w:val="16"/>
        </w:rPr>
        <w:t>=1220 мм. рт. ст. вместо номинального Р</w:t>
      </w:r>
      <w:r w:rsidRPr="00271E51">
        <w:rPr>
          <w:rFonts w:ascii="Times New Roman" w:hAnsi="Times New Roman"/>
          <w:color w:val="000000" w:themeColor="text1"/>
          <w:sz w:val="16"/>
          <w:szCs w:val="16"/>
          <w:vertAlign w:val="subscript"/>
        </w:rPr>
        <w:t>а</w:t>
      </w:r>
      <w:r w:rsidRPr="00271E51">
        <w:rPr>
          <w:rFonts w:ascii="Times New Roman" w:hAnsi="Times New Roman"/>
          <w:color w:val="000000" w:themeColor="text1"/>
          <w:sz w:val="16"/>
          <w:szCs w:val="16"/>
        </w:rPr>
        <w:t>=1060 мм. рт. ст.) только до высоты 3000 м; при увеличенной частоте вращения винта истребитель набирал практический потолок 11900 м за 29 мин. В отчете указывалось, что основные параметры, заданные постановлением ГКО от 26 февраля 1943 г., не достигнуты. Отмечалось, что практический пото</w:t>
      </w:r>
      <w:r w:rsidRPr="00271E51">
        <w:rPr>
          <w:rFonts w:ascii="Times New Roman" w:hAnsi="Times New Roman"/>
          <w:color w:val="000000" w:themeColor="text1"/>
          <w:sz w:val="16"/>
          <w:szCs w:val="16"/>
        </w:rPr>
        <w:softHyphen/>
        <w:t>лок «улучшенного» высотного МиГ—3 лишь равнялся потолку стандартного фронтового немецкого ис</w:t>
      </w:r>
      <w:r w:rsidRPr="00271E51">
        <w:rPr>
          <w:rFonts w:ascii="Times New Roman" w:hAnsi="Times New Roman"/>
          <w:color w:val="000000" w:themeColor="text1"/>
          <w:sz w:val="16"/>
          <w:szCs w:val="16"/>
        </w:rPr>
        <w:softHyphen/>
        <w:t>требителя ВГ109О—2, испытанного в НИИ ВВС в ап</w:t>
      </w:r>
      <w:r w:rsidRPr="00271E51">
        <w:rPr>
          <w:rFonts w:ascii="Times New Roman" w:hAnsi="Times New Roman"/>
          <w:color w:val="000000" w:themeColor="text1"/>
          <w:sz w:val="16"/>
          <w:szCs w:val="16"/>
        </w:rPr>
        <w:softHyphen/>
        <w:t>реле 1943 г. Взвесив все «за» и «против», начальник института написал в заключении: «Полученные дан</w:t>
      </w:r>
      <w:r w:rsidRPr="00271E51">
        <w:rPr>
          <w:rFonts w:ascii="Times New Roman" w:hAnsi="Times New Roman"/>
          <w:color w:val="000000" w:themeColor="text1"/>
          <w:sz w:val="16"/>
          <w:szCs w:val="16"/>
        </w:rPr>
        <w:softHyphen/>
        <w:t>ные испытанного экземпляра самолета МиГ—3 с АМ—35А (улучшенного) и выявленные при испыта</w:t>
      </w:r>
      <w:r w:rsidRPr="00271E51">
        <w:rPr>
          <w:rFonts w:ascii="Times New Roman" w:hAnsi="Times New Roman"/>
          <w:color w:val="000000" w:themeColor="text1"/>
          <w:sz w:val="16"/>
          <w:szCs w:val="16"/>
        </w:rPr>
        <w:softHyphen/>
        <w:t>нии дефекты не дают оснований для постановки во</w:t>
      </w:r>
      <w:r w:rsidRPr="00271E51">
        <w:rPr>
          <w:rFonts w:ascii="Times New Roman" w:hAnsi="Times New Roman"/>
          <w:color w:val="000000" w:themeColor="text1"/>
          <w:sz w:val="16"/>
          <w:szCs w:val="16"/>
        </w:rPr>
        <w:softHyphen/>
        <w:t>проса о возобновлении серийного производства это</w:t>
      </w:r>
      <w:r w:rsidRPr="00271E51">
        <w:rPr>
          <w:rFonts w:ascii="Times New Roman" w:hAnsi="Times New Roman"/>
          <w:color w:val="000000" w:themeColor="text1"/>
          <w:sz w:val="16"/>
          <w:szCs w:val="16"/>
        </w:rPr>
        <w:softHyphen/>
        <w:t>го самолета» (9984).</w:t>
      </w:r>
    </w:p>
    <w:p w14:paraId="129DAA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4FC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согласно журнала наблюдения за проектированием, постройкой и испытаниями МиГ-3 за 30 июля 1943 МиГ-3 Д-1 закончил заводские испытания и 23 июля передан в НИИ ВВС С-т налетал 28 полетов (13:26) в воздухе и 3:35 на земле (992,9)..</w:t>
      </w:r>
    </w:p>
    <w:p w14:paraId="656A33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A166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3493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8757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3809 [О передаче НКУП 3 тыс. рабочих на строительство шахт в Кузбассе из Управления оборонительного строительства.] (7126, 4).</w:t>
      </w:r>
    </w:p>
    <w:p w14:paraId="02EECC0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680D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3810 О мероприятиях по увеличению производства асбеста. (7126, 5-7,8).</w:t>
      </w:r>
    </w:p>
    <w:p w14:paraId="605A60F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471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3811 О плане военного судостроения на III квартал 1943 года.РГАНИР, Фонд ГКО, д. 138, лл. 9-15, 16-26 (11012).</w:t>
      </w:r>
    </w:p>
    <w:p w14:paraId="6FE12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EC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3812 О плане ремонта тракторов для Красной Армии и Военно-Моского Флота на III квартал 1943 года.РГАНИР, Фонд ГКО, д. 138, лл. 27-30, 31-56 (11012).</w:t>
      </w:r>
    </w:p>
    <w:p w14:paraId="38E57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DE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3813. О снижении НКБП задания по поставке НКВ крафт-бумаги с заменой ее оберточной бумагой.РГАНИР, Фонд ГКО, д. 138, лл. 57 (11012).</w:t>
      </w:r>
    </w:p>
    <w:p w14:paraId="1E05E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D3E9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3814 О плане ремонта автомобилей для Красной Армии и Военно-Морского Флота на предприятиях промышленности и НКО в III квартале 1943 года. (7126, 58-64,65-126).</w:t>
      </w:r>
    </w:p>
    <w:p w14:paraId="2857FF2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E44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3815. О передаче турбогенератора со строительства Чкаловской ЦЭС на восстановление ТЭЦ Ефремовского завода синтетического каучука.РГАНИР, Фонд ГКО, д. 138, лл. 127 (11012).</w:t>
      </w:r>
    </w:p>
    <w:p w14:paraId="1A8A37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93F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3816. О поставках бензина ГУГВФ для вывоза серы с серных рудников НКХП.РГАНИР, Фонд ГКО, д. 138, лл. 128 (11012).</w:t>
      </w:r>
    </w:p>
    <w:p w14:paraId="1D8C7F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5E0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3817 Об обеспечении дубовым экстрактовым сырьем дубильно-экстрактовой промышленности Наркомлегпрома СССР во втором полугодии 1943 г.РГАНИР, Фонд ГКО, д. 138, лл. 129-131, 132-135 (11012).</w:t>
      </w:r>
    </w:p>
    <w:p w14:paraId="40A1C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C18D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3818 О пуске первой очереди Тавдинского, Канского и Красноярского гидролизных заводов Главлесоспирта при СНК СССР. (7126, 138-136,137-189).</w:t>
      </w:r>
    </w:p>
    <w:p w14:paraId="3192CDC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DD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3820 О восстановлении бронетанкового ремонтного завода N97 ГБТУ КА.РГАНИР, Фонд ГКО, д. 138, лл. 191-193, 194-195 (11012).</w:t>
      </w:r>
    </w:p>
    <w:p w14:paraId="2AD442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FBC8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3821 Об увеличении энергетических мощностей Кировского завода в городе Челябинске. (7126, 196-201,202-203).</w:t>
      </w:r>
    </w:p>
    <w:p w14:paraId="72C01EF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7001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3822 Об отпуске продовольственных, госпитальных и фуражных пайков для Красной Армии, Военно-Морского Флота и войск НКВД в июле 1943 года.РГАНИР, Фонд ГКО, д. 138, лл. 204-206, 207-208 (11012).</w:t>
      </w:r>
    </w:p>
    <w:p w14:paraId="16F978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7BD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3823 О плане заготовок и использования сена урожая 1943 года.РГАНИР, Фонд ГКО, д. 138, лл. 209-211, 212-219 (11012).</w:t>
      </w:r>
    </w:p>
    <w:p w14:paraId="0746D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A41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Распоряжение ГКО № 3824. О реэвакуации оптико-механического завода № 355 НКВ из Томска в Загорск (Московской обл.).РГАНИР, Фонд ГКО, д. 138, лл. 220, 221 (11012).</w:t>
      </w:r>
    </w:p>
    <w:p w14:paraId="12AE2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E6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3825 О мероприятиях по обеспечению бесперебойной работы цветной металлургии в III квартале 1943 года.РГАНИР, Фонд ГКО, д. 139, лл. 1-7, 8-74 (11012).</w:t>
      </w:r>
    </w:p>
    <w:p w14:paraId="31784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B2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3826 Об изготовлении опытных образцов стабилизаторов танковой пушки.РГАНИР, Фонд ГКО, д. 139, лл. 75-76, 77 (11012).</w:t>
      </w:r>
    </w:p>
    <w:p w14:paraId="564FA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84BE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14589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CB359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27 июля в 1943 году оперативная сводка Совинформбюро:</w:t>
      </w:r>
    </w:p>
    <w:p w14:paraId="65D34EF9"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июля наши войска на Орловском направлении продолжали наступление, продвинулись вперёд от 4 до 6 километров и заняли свыше 50 населенных пунктов.</w:t>
      </w:r>
    </w:p>
    <w:p w14:paraId="768988FC"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поиски разведчиков и на отдельных участках шли бои местного значения, в ходе которых наши войска снова улучшили свои позиции.</w:t>
      </w:r>
    </w:p>
    <w:p w14:paraId="15592648"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войска вели бои местного значения в районах севернее и восточнее Мга, в ходе которых улучшили свои позиции.</w:t>
      </w:r>
    </w:p>
    <w:p w14:paraId="181E600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велись усиленные поиски разведчиков.</w:t>
      </w:r>
    </w:p>
    <w:p w14:paraId="60563458"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июля на всех фронтах наши войска подбили и уничтожили 90 немецких танков. В воздушных боях и огнём зенитной артиллерии сбито 44 самолёта противника.</w:t>
      </w:r>
    </w:p>
    <w:p w14:paraId="66230B5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69767CEA"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наши войска продвинулись вперед, заняли несколько населённых пунктов и ряд высот, имеющих важное значение. На одной из высот, занятых Н-скойчастью, подсчитано до 400 вражеских трупов. Подбито и уничтожено 14 немецких танков и 4 бронемашины. На другом участке происходили ожесточённые бои за опорный пункт, который неоднократно переходил из рук в руки. К исходу дня наши подразделения ударом во фланг разгромили батальон немецкой пехоты и прочно завладели этим опорным пунктом.</w:t>
      </w:r>
    </w:p>
    <w:p w14:paraId="01A3105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противник огнём и контратаками пытался задержать продвижение наших войск. Все контратаки гитлеровцев отбиты с большими для них потерями. В бою за два населённых пункта наши подразделения уничтожили 800 немецких солдат и офицеров, 18 танков и 6 самоходных орудий. Бойцы Н-ского соединения, отразив несколько вражеских контратак и сломив сопротивление противника, заняли ряд населённых пунктов.</w:t>
      </w:r>
    </w:p>
    <w:p w14:paraId="67B60888"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Попытки немцев вернуть эти населённые пункты кончились неудачей. Наши части закрепились на занятых позициях и продвигаются вперёд.</w:t>
      </w:r>
    </w:p>
    <w:p w14:paraId="4D723514"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противник пытается задержаться на промежуточных рубежах, но под ударами советских частей вынужден оставлять одну позицию за другой. Продвигаясь вперёд, Н-ское соединение за два дня боёв уничтожило 26 танков и истребило более 1.000 немецких солдат и офицеров.</w:t>
      </w:r>
    </w:p>
    <w:p w14:paraId="316B263F"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активно действовали разведчики. Лейтенант Воскрекосенко и два автоматчика на лёгком танке прорвался к позициям противника, обстрелял замеченные цели и истребил до взвода гитлеровцев. На другом участке бойцы Н-ской части атаковали противника и ворвались во вражеские траншеи. В рукопашной схватке уничтожено 80 немецких солдат. Взяты пленные и трофеи.</w:t>
      </w:r>
    </w:p>
    <w:p w14:paraId="76A6FA87"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части закреплялись на занятых рубежах и вели разведку. Артиллеристы Н-ского соединения уничтожили свыше 40 огневых точек, разрушили 4 наблюдательных пункта, разбили 2 шестиствольных миномёта и прожекторную установку противника. На одном участке красноармеец т. Гопин скрытно подполз к вражескому дзоту и бросил в его амбразуру гранату. Оставшиеся в живых немцы взяты в плен. Бронебойщики тт. Трушев и Ляпунов находились в засаде за передним краем обороны. Вскоре они заметили немецкий танк, приближавшийся к нашим позициям. Бронебойщики открыли огонь и несколькими выстрелами подожгли немецкий танк.</w:t>
      </w:r>
    </w:p>
    <w:p w14:paraId="7EE5FD5B"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Ворошиловграда, в район, где советские войска в последних боях овладели выгодными позициями, немцы подтянули новые части. Сосредоточив на узком участке пехоту и танки, противник предпринял несколько контратак. Нашиподразделения отбили все контратаки гитлеровцев. Противник понёс большие потери в живой силе и технике.</w:t>
      </w:r>
    </w:p>
    <w:p w14:paraId="5835970D"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Полесской области, внезапно напал на немецкий гарнизон. Партизаны истребили 70 гитлеровцев изахватили 4 станковых пулемёта, миномёт, склад боеприпасов и 150 голов крупного рогатого скота, отнятого немцами у населения. Скот возвращён местным жителям. Партизаны другого полесского отряда организовали крушение немецкого воинского эшелона. Разбиты паровоз, 18 вагонов с войсками и 2 цистерны с горючим. Партизаны-разведчики наблюдали, как прибывшие к месту крушения санитарная и восстановительная команды извлекли из-под обломков вагонов много трупов немецких солдат и офицеров.</w:t>
      </w:r>
    </w:p>
    <w:p w14:paraId="1AF0A577"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6 роты мотострелкового полка танковой дивизии СС «АдольфГитлер» Бухерпфениг рассказал: «Четвёртого июля командир роты обер-штурмфюрер Герте огласил приказ Гитлера. В этом приказе говорилось, что завтра немецкая армия переходит в генеральное наступление, которое должно решить исход войны на Востоке. Герте заверил солдат, что после захвата Курска каждый участник наступления получит продолжительный отпуск. Рано утром 5 июля началосьнаступление. С первых же шагов мы встретили упорное сопротивление русских. За девять дней дивизия продвинулась всего на 20 километров, потеряв при этом до 70 процентов личного состава. Но самое скверное было впереди. Совершенно неожиданно русские перешли в контрнаступление и вынудили нас отступать гораздо быстрее, чем мы наступали. Понурые и угрюмые, мы отходили. Позади, на поле сражения, осталось много тысяч трупов немецких солдат, много изуродованной и брошенной техники. Тамже, на этих полях позора немецкой армии, похоронены и наши последние надежды на победу Германии».</w:t>
      </w:r>
    </w:p>
    <w:p w14:paraId="1D08949C"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людоеды истребляют мирное население временно оккупированных ими советских районов. В селении Копище, Житомирской области, гитлеровцы широко оповестили крестьян о том, что 13 июля будет производиться продажа соли и спичек. Ничего не подозревавшие жители, главным образом старики иженщины, большой толпой собрались у лавки. Немцы открыли из автоматов огонь по собравшимся. От рук фашистских палачей погибло много ни в чём не повинных мирных советских людей.» (14965).</w:t>
      </w:r>
    </w:p>
    <w:p w14:paraId="6D39D7FF" w14:textId="77777777" w:rsidR="00FF0095" w:rsidRPr="00271E51" w:rsidRDefault="00FF0095" w:rsidP="00271E51">
      <w:pPr>
        <w:spacing w:after="0" w:line="240" w:lineRule="auto"/>
        <w:jc w:val="both"/>
        <w:rPr>
          <w:rFonts w:ascii="Times New Roman" w:hAnsi="Times New Roman"/>
          <w:color w:val="000000" w:themeColor="text1"/>
          <w:sz w:val="16"/>
          <w:szCs w:val="16"/>
        </w:rPr>
      </w:pPr>
    </w:p>
    <w:p w14:paraId="5F203BBC"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в 1943 году войска Брянского фронта во взаимодействии с войсками Западного фронта освободили город Волхов. Завершилась Изюм Барвенковская опера ция войска Юго- Западного фронта форсировали р Северский Донец, захватили новые плацдармы, сковали резервы противника, оказав тем самым помощь Воронежскому фронту в Курской битве (14965).</w:t>
      </w:r>
    </w:p>
    <w:p w14:paraId="72A07CED" w14:textId="77777777" w:rsidR="00FF0095" w:rsidRPr="00271E51" w:rsidRDefault="00FF0095" w:rsidP="00271E51">
      <w:pPr>
        <w:spacing w:after="0" w:line="240" w:lineRule="auto"/>
        <w:jc w:val="both"/>
        <w:rPr>
          <w:rFonts w:ascii="Times New Roman" w:hAnsi="Times New Roman"/>
          <w:color w:val="000000" w:themeColor="text1"/>
          <w:sz w:val="16"/>
          <w:szCs w:val="16"/>
        </w:rPr>
      </w:pPr>
    </w:p>
    <w:p w14:paraId="11E583F1" w14:textId="77777777" w:rsidR="00FF0095" w:rsidRPr="00271E51" w:rsidRDefault="00FF009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в 1943 году под Орлом в первый бой вступил 30-й Уральский добровольческий танковый корпус, сформированный по инициативе жителей Урала. Был укомплектован добровольцами и оснащен оружием и военной техникой, изготовленной за счет добровольных взносов и пожертвований. Первым командиром корпуса был полковник В.И.Соколов (14965).</w:t>
      </w:r>
    </w:p>
    <w:p w14:paraId="2D036122" w14:textId="77777777" w:rsidR="00FF0095" w:rsidRPr="00271E51" w:rsidRDefault="00FF0095" w:rsidP="00271E51">
      <w:pPr>
        <w:spacing w:after="0" w:line="240" w:lineRule="auto"/>
        <w:jc w:val="both"/>
        <w:rPr>
          <w:rFonts w:ascii="Times New Roman" w:hAnsi="Times New Roman"/>
          <w:color w:val="000000" w:themeColor="text1"/>
          <w:sz w:val="16"/>
          <w:szCs w:val="16"/>
        </w:rPr>
      </w:pPr>
    </w:p>
    <w:p w14:paraId="75B23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вышло Постановление ГКО № 3819 О размещении штаба Авиации дальнего действия в г.Москве.РГАНИР, Фонд ГКО, д. 138, лл. 190 (11012).</w:t>
      </w:r>
    </w:p>
    <w:p w14:paraId="50395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BE9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г. лейтенант П.И. Шавурин, обнаружив Ju 88D в районе Инютино на высоте 8000 м, советский летчик примерно 10 минут его преследовал, обстреливая с дистанции 200-300 м. Шавурин израсходовал весь боекомплект и в 8 часов утра над городом Павлово на Оке (в 100 км северо-западнее Горького) таранил врага. Экипаж самолета, принадлежавший 1-му отряду разведчиков Верховного командования Люфтваффе, погиб, а советский летчик на высоте 5000 м открыл парашют и благополучно приземлился (12045).</w:t>
      </w:r>
    </w:p>
    <w:p w14:paraId="098C8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30C5F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D282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D0919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в Италии распущена фашистская партия (4962).</w:t>
      </w:r>
    </w:p>
    <w:p w14:paraId="276D861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D604B"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в 1943 году после ареста Муссолини 25-го королем Виктором Эммануилом III распущена Итальянская фашистская партия. 3 сентября - перемирие с Союзниками, 8-го - полная капитуляция, 13 октября - объявление войны Германии, декларация союзников о признании Италии "совместно воюющей державой" (14965).</w:t>
      </w:r>
    </w:p>
    <w:p w14:paraId="0F23EB79"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700D4CB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Уинстон Черчилль предупредил, что если Италия не капитулирует, она будет полностью опустошена (4962).</w:t>
      </w:r>
    </w:p>
    <w:p w14:paraId="4944AE1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7A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July 27, 1943: The second in a series of 7 RAF bombing raids against Hamburg takes place, producing a violent firestorm that incinerates thousands of people and buildings. The liberation of Mussolini, the occupation of Rome and all of Italy, and the capture of the Italian fleet is decided upon by the German High Command. Mussolini himself is transfered from Rome to the Island of Ponza. </w:t>
      </w:r>
      <w:r w:rsidRPr="00271E51">
        <w:rPr>
          <w:rFonts w:ascii="Times New Roman" w:hAnsi="Times New Roman"/>
          <w:color w:val="000000" w:themeColor="text1"/>
          <w:sz w:val="16"/>
          <w:szCs w:val="16"/>
        </w:rPr>
        <w:t>Heavy fighting continues in Sicily (3819).</w:t>
      </w:r>
    </w:p>
    <w:p w14:paraId="6F7E3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22D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германское верховное командование решило освободить Б.М., оккупировать Рим и всю Италию и захватить итальянский флот. Б.М. был перевезен из Рима на о. Понца (3819).</w:t>
      </w:r>
    </w:p>
    <w:p w14:paraId="469411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1E2D7"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27 июля 1943, чтобы выиграть пари с британскими пилотами, проходящими обучение в школе в Брайане, штат Техас, которые скептически относятся к летной годности техасского учебно-тренировочного самолета AT-6, подполковник ВВС США Джеймс Дакворт и его штурман, лейтенант Ральф О'Хэйр, совершили первый в истории преднамеренный полет в ураган, достигнув места «глаза бури» в Мексиканском заливе у Галвестона, штат Техас, на AT-6. Помимо демонстрации прочности AT-6, полет вдохновляет других на попытки аналогичных полетов и становится генезисом будущей программы метеорологической разведки " Hurricane Hunters " (20376).</w:t>
      </w:r>
    </w:p>
    <w:p w14:paraId="2DA827C0" w14:textId="77777777" w:rsidR="00006180" w:rsidRPr="00271E51" w:rsidRDefault="00006180" w:rsidP="00271E51">
      <w:pPr>
        <w:spacing w:after="0" w:line="240" w:lineRule="auto"/>
        <w:jc w:val="both"/>
        <w:rPr>
          <w:rFonts w:ascii="Times New Roman" w:hAnsi="Times New Roman"/>
          <w:color w:val="0070C0"/>
          <w:sz w:val="16"/>
          <w:szCs w:val="16"/>
        </w:rPr>
      </w:pPr>
    </w:p>
    <w:p w14:paraId="2709BBD4" w14:textId="77777777" w:rsidR="00006180" w:rsidRPr="00271E51" w:rsidRDefault="00006180" w:rsidP="00271E51">
      <w:pPr>
        <w:spacing w:after="0" w:line="240" w:lineRule="auto"/>
        <w:jc w:val="both"/>
        <w:rPr>
          <w:rFonts w:ascii="Times New Roman" w:hAnsi="Times New Roman"/>
          <w:color w:val="0070C0"/>
          <w:sz w:val="16"/>
          <w:szCs w:val="16"/>
          <w:lang w:val="en-US"/>
        </w:rPr>
      </w:pPr>
      <w:r w:rsidRPr="00271E51">
        <w:rPr>
          <w:rFonts w:ascii="Times New Roman" w:hAnsi="Times New Roman"/>
          <w:color w:val="0070C0"/>
          <w:sz w:val="16"/>
          <w:szCs w:val="16"/>
        </w:rPr>
        <w:t>27–28 июля (ночь) 1943 787 британских бомбардировщиков атакуют Гамбург, потеряно 17 самолетов. Атмосферные условия создают самораспространяющийся огненный смерч - бурю с ветром со скоростью 150 миль в час (240 км / ч) и пламенем, достигающим высоты 1000 футов (300 м), что привело к одному из самых разрушительных воздушных налетов в истории. Температура воздуха достигает 1500 ° F (820 ° C), что приводит к возгоранию асфальта на городских улицах. По крайней мере, 40 000 человек погибают в результате налета, а 1 200 000 человек покидают город, который не восстановит свои прежние промышленные мощности до конца войны. Рейд</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шокирует</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Германию</w:t>
      </w:r>
      <w:r w:rsidRPr="00271E51">
        <w:rPr>
          <w:rFonts w:ascii="Times New Roman" w:hAnsi="Times New Roman"/>
          <w:color w:val="0070C0"/>
          <w:sz w:val="16"/>
          <w:szCs w:val="16"/>
          <w:lang w:val="en-US"/>
        </w:rPr>
        <w:t xml:space="preserve"> (20376).</w:t>
      </w:r>
    </w:p>
    <w:p w14:paraId="3B778E01" w14:textId="77777777" w:rsidR="00006180" w:rsidRPr="00271E51" w:rsidRDefault="00006180" w:rsidP="00271E51">
      <w:pPr>
        <w:spacing w:after="0" w:line="240" w:lineRule="auto"/>
        <w:jc w:val="both"/>
        <w:rPr>
          <w:rFonts w:ascii="Times New Roman" w:hAnsi="Times New Roman"/>
          <w:color w:val="0070C0"/>
          <w:sz w:val="16"/>
          <w:szCs w:val="16"/>
          <w:lang w:val="en-US"/>
        </w:rPr>
      </w:pPr>
    </w:p>
    <w:p w14:paraId="3976E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27/28 1943 Allied air raid causes firestorm in Hamburg (1050).</w:t>
      </w:r>
    </w:p>
    <w:p w14:paraId="22362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77B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27 на 28 1943 бомбардировки союзников вызвали огненный смерч в Гамбурге (1050).</w:t>
      </w:r>
    </w:p>
    <w:p w14:paraId="167357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15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1943 Приказ Генштаба албанских вооруженных сил об объединении партизанских отрядов в Национально-Освободительную Армию Албании (НОАА) (7594).</w:t>
      </w:r>
    </w:p>
    <w:p w14:paraId="69865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A039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838D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18AE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при облете самолета Ил-2 зав. № 1870366 скорость самолета у земли на 6—7 км/ч превысила скорость обычных серийных машин. Од</w:t>
      </w:r>
      <w:r w:rsidRPr="00271E51">
        <w:rPr>
          <w:rFonts w:ascii="Times New Roman" w:hAnsi="Times New Roman"/>
          <w:color w:val="000000" w:themeColor="text1"/>
          <w:sz w:val="16"/>
          <w:szCs w:val="16"/>
        </w:rPr>
        <w:softHyphen/>
        <w:t>нако вода кипела, а температура масла достигала предельно допустимых значений.</w:t>
      </w:r>
    </w:p>
    <w:p w14:paraId="05DDC1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серийном само</w:t>
      </w:r>
      <w:r w:rsidRPr="00271E51">
        <w:rPr>
          <w:rFonts w:ascii="Times New Roman" w:hAnsi="Times New Roman"/>
          <w:color w:val="000000" w:themeColor="text1"/>
          <w:sz w:val="16"/>
          <w:szCs w:val="16"/>
        </w:rPr>
        <w:softHyphen/>
        <w:t>лете Ил-2 зав. № 1870366 на заводе № 18 были выполнены следую</w:t>
      </w:r>
      <w:r w:rsidRPr="00271E51">
        <w:rPr>
          <w:rFonts w:ascii="Times New Roman" w:hAnsi="Times New Roman"/>
          <w:color w:val="000000" w:themeColor="text1"/>
          <w:sz w:val="16"/>
          <w:szCs w:val="16"/>
        </w:rPr>
        <w:softHyphen/>
        <w:t>щие мероприятия по улучшению аэродинамики и увеличению скорости полета. В частности, верхняя крышка бронекапота сделана гладкой без щелей вентиляции, снят маслоотражатель и «скруглено переднее ребро входа в тоннель водорадиатора». На винт АВ-5л-158 установлен обтекатель с легкосъемной пе</w:t>
      </w:r>
      <w:r w:rsidRPr="00271E51">
        <w:rPr>
          <w:rFonts w:ascii="Times New Roman" w:hAnsi="Times New Roman"/>
          <w:color w:val="000000" w:themeColor="text1"/>
          <w:sz w:val="16"/>
          <w:szCs w:val="16"/>
        </w:rPr>
        <w:softHyphen/>
        <w:t>редней частью без храповика (так называемый «легкосъемный кок»). Смыта краска и отшлифована передняя поверхность винта. «Удалена» щель между элеронами и кромкой крыла, а вырезы под узлы навески элеронов закрыты лючками. Ракет</w:t>
      </w:r>
      <w:r w:rsidRPr="00271E51">
        <w:rPr>
          <w:rFonts w:ascii="Times New Roman" w:hAnsi="Times New Roman"/>
          <w:color w:val="000000" w:themeColor="text1"/>
          <w:sz w:val="16"/>
          <w:szCs w:val="16"/>
        </w:rPr>
        <w:softHyphen/>
        <w:t>ные орудия и хвостовое колесо шасси получили обтекатели. Позади бронекорзины маслорадиатора поставлен дюралевый обтекатель.</w:t>
      </w:r>
    </w:p>
    <w:p w14:paraId="276068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демонтажа дюралевого обтекателя за маслоради-атором температура воды и масла вошла в норму, но скорость снизилась: у земли — 390 км/ч, на высоте 1135 м — 399 км/ч (11474,364).</w:t>
      </w:r>
    </w:p>
    <w:p w14:paraId="38903C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28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28 июля по 6 августа 1943 проходили гос. испытания МиГ-3У (Д-01), который 23 июля завершил заводские испытания. Летали ик А.С.Розанов и ли В.И.Хомяков. выполнили 23 полета, в т.ч. 10 высотных и налетали 15:26. Получили скорость 656 км/час на 7000 м и потолок 11900 м. Посадка оказалась сложной. Через уплотнение редуктора выбивало масло. Испытания не прошел и потребовали устранить недостатки. После возвращения из НИИ ВВС и устранения недостатков все шесть МиГ-3У были облетаны л 12 гиап 6 иак ПВО П.А.Журавлевым и осмотрены техсоставом. В августе приняли только машины Д-01, 03, 04 и 06, а 02 и 05 остались на заводе 155 для замены моторов (5046,33).</w:t>
      </w:r>
    </w:p>
    <w:p w14:paraId="2FAA7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39CFEC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Виза:</w:t>
      </w:r>
    </w:p>
    <w:p w14:paraId="78B38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Сафронову </w:t>
      </w:r>
    </w:p>
    <w:p w14:paraId="198254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Исправить отчет, перепечатать и готовить к рассылке</w:t>
      </w:r>
    </w:p>
    <w:p w14:paraId="37FB9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w:t>
      </w:r>
    </w:p>
    <w:p w14:paraId="48F43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был у Лосюкова с 18 августа 1943 по 8 сентября 1944</w:t>
      </w:r>
    </w:p>
    <w:p w14:paraId="5B52D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исполнители:</w:t>
      </w:r>
    </w:p>
    <w:p w14:paraId="14DA8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инж. А.С.Рузанов</w:t>
      </w:r>
    </w:p>
    <w:p w14:paraId="1DC339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л п/п В.И.Хомяков</w:t>
      </w:r>
    </w:p>
    <w:p w14:paraId="657627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июля по 6 августа 1943 было выполнено 23 полета с налетом 15:26</w:t>
      </w:r>
    </w:p>
    <w:p w14:paraId="00DA23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w:t>
      </w:r>
    </w:p>
    <w:p w14:paraId="4B825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624A7C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испытаний:</w:t>
      </w:r>
    </w:p>
    <w:p w14:paraId="5E9B06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7C674E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с-та</w:t>
      </w:r>
    </w:p>
    <w:p w14:paraId="224BD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отличие конструкции улучшенного МиГ-3 с АМ-35А по сравнению с серийным с-том МиГ-3 заключаются в:</w:t>
      </w:r>
    </w:p>
    <w:p w14:paraId="537B48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3B910B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46773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несколько сдвинута назад, расширена и улучшена кабина л. В связи с этим изменен обзор и конструкция фонаря кабины</w:t>
      </w:r>
    </w:p>
    <w:p w14:paraId="66E62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26A36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установлены замки посадочных щитков в положении убрано</w:t>
      </w:r>
    </w:p>
    <w:p w14:paraId="6668B3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изменена установка замка подъема шасси</w:t>
      </w:r>
    </w:p>
    <w:p w14:paraId="59ADF7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механизм аварийного выпуска шасси и костыля заменен пневматическим</w:t>
      </w:r>
    </w:p>
    <w:p w14:paraId="020267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установлены колеса размером 600х180 вместо 650 на 200</w:t>
      </w:r>
    </w:p>
    <w:p w14:paraId="314116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костыль сделан ориентирующимся со стопором, управляемым из кабины</w:t>
      </w:r>
    </w:p>
    <w:p w14:paraId="28F752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ВМГ</w:t>
      </w:r>
    </w:p>
    <w:p w14:paraId="33178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29CEA9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785A3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Бензосистема</w:t>
      </w:r>
    </w:p>
    <w:p w14:paraId="37FCDA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7A5884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Маслосистема</w:t>
      </w:r>
    </w:p>
    <w:p w14:paraId="30CDB4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5E889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Продувка маслорадиатора регулируется заслонкой с механическим управлением. Заслонка установлена на выходе</w:t>
      </w:r>
    </w:p>
    <w:p w14:paraId="38D293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Задний маслобак емкостью 25 л установлен с внешней стороны у правого блока мотора</w:t>
      </w:r>
    </w:p>
    <w:p w14:paraId="01666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Передний м/б по емкости и расположению такой же, как на МиГ-23 (емкостью 53 л).</w:t>
      </w:r>
    </w:p>
    <w:p w14:paraId="514D7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Водосистема</w:t>
      </w:r>
    </w:p>
    <w:p w14:paraId="22D9C1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16D17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7DEDD0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27558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175253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Состоит из 2хШВАК какл. 20 мм, установленных над мотором с запасом патронов по 150 шт.</w:t>
      </w:r>
    </w:p>
    <w:p w14:paraId="4C501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382FB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190A6A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3F98E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Средства связи</w:t>
      </w:r>
    </w:p>
    <w:p w14:paraId="68574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7865F9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Кислородное оборудование состоит из ксилородного прибора типа КПА-3бис и 4-х литрового баллона, также штуцера бортовой зарядки.</w:t>
      </w:r>
    </w:p>
    <w:p w14:paraId="7B185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Вспомогательное оборудование: согнальный пистолет КП-3, патронташ к нему и аптечка малая. Фотооборудование не предусмотрено.</w:t>
      </w:r>
    </w:p>
    <w:p w14:paraId="6EE8B9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Компоновка приборов выполнена в соответствии со стандартной кабиной и приборной доской истребителя</w:t>
      </w:r>
    </w:p>
    <w:p w14:paraId="712631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испытаний:</w:t>
      </w:r>
    </w:p>
    <w:p w14:paraId="614E77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1A3CD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2627, 13,8% САХ, угол капотирования 23</w:t>
      </w:r>
    </w:p>
    <w:p w14:paraId="2AF51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- 3260, 19% САХ, угол капотирования 26</w:t>
      </w:r>
    </w:p>
    <w:p w14:paraId="17B964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w:t>
      </w:r>
    </w:p>
    <w:p w14:paraId="3E44FA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 - 90</w:t>
      </w:r>
    </w:p>
    <w:p w14:paraId="77450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горючее (уд. Вес 0,737) - 324</w:t>
      </w:r>
    </w:p>
    <w:p w14:paraId="2E1D9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 - 58</w:t>
      </w:r>
    </w:p>
    <w:p w14:paraId="40F28F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- 80, боеприпасы 64</w:t>
      </w:r>
    </w:p>
    <w:p w14:paraId="346532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оборудование - 17</w:t>
      </w:r>
    </w:p>
    <w:p w14:paraId="294A1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633</w:t>
      </w:r>
    </w:p>
    <w:p w14:paraId="1A4F9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лд</w:t>
      </w:r>
    </w:p>
    <w:p w14:paraId="7A4EB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номинале 505, с форсажем (на взлетном режиме, 2020 и Рк 1220) - 526</w:t>
      </w:r>
    </w:p>
    <w:p w14:paraId="38BDFC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Максю скорость на взлетном на 300 м - 600</w:t>
      </w:r>
    </w:p>
    <w:p w14:paraId="6B819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5000 - 622</w:t>
      </w:r>
    </w:p>
    <w:p w14:paraId="66A78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 (7000) - 656</w:t>
      </w:r>
    </w:p>
    <w:p w14:paraId="44706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9000 м - 639, Рк 830</w:t>
      </w:r>
    </w:p>
    <w:p w14:paraId="2856AF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 6,2</w:t>
      </w:r>
    </w:p>
    <w:p w14:paraId="20A4CC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7000 м 8,9</w:t>
      </w:r>
    </w:p>
    <w:p w14:paraId="6D40A5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9000 м 12,8</w:t>
      </w:r>
    </w:p>
    <w:p w14:paraId="641C4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11500, с форсажем 11900 м</w:t>
      </w:r>
    </w:p>
    <w:p w14:paraId="2C844F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A907A5" w:rsidRPr="00271E51" w14:paraId="4C718713" w14:textId="77777777" w:rsidTr="00ED5B0A">
        <w:tc>
          <w:tcPr>
            <w:tcW w:w="959" w:type="dxa"/>
            <w:tcBorders>
              <w:top w:val="single" w:sz="12" w:space="0" w:color="auto"/>
            </w:tcBorders>
          </w:tcPr>
          <w:p w14:paraId="6AD9B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3DCA4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 скорость</w:t>
            </w:r>
          </w:p>
        </w:tc>
        <w:tc>
          <w:tcPr>
            <w:tcW w:w="1418" w:type="dxa"/>
            <w:tcBorders>
              <w:top w:val="single" w:sz="12" w:space="0" w:color="auto"/>
            </w:tcBorders>
          </w:tcPr>
          <w:p w14:paraId="1394E5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Рк</w:t>
            </w:r>
          </w:p>
        </w:tc>
        <w:tc>
          <w:tcPr>
            <w:tcW w:w="1276" w:type="dxa"/>
            <w:tcBorders>
              <w:top w:val="single" w:sz="12" w:space="0" w:color="auto"/>
            </w:tcBorders>
          </w:tcPr>
          <w:p w14:paraId="52316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 Скорость</w:t>
            </w:r>
          </w:p>
        </w:tc>
      </w:tr>
      <w:tr w:rsidR="00A907A5" w:rsidRPr="00271E51" w14:paraId="2D95333C" w14:textId="77777777" w:rsidTr="00ED5B0A">
        <w:tc>
          <w:tcPr>
            <w:tcW w:w="959" w:type="dxa"/>
          </w:tcPr>
          <w:p w14:paraId="3A57C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w:t>
            </w:r>
          </w:p>
        </w:tc>
        <w:tc>
          <w:tcPr>
            <w:tcW w:w="1417" w:type="dxa"/>
          </w:tcPr>
          <w:p w14:paraId="539E0D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tc>
        <w:tc>
          <w:tcPr>
            <w:tcW w:w="1418" w:type="dxa"/>
          </w:tcPr>
          <w:p w14:paraId="717D3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6CBD19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r>
      <w:tr w:rsidR="00A907A5" w:rsidRPr="00271E51" w14:paraId="6BAA6F11" w14:textId="77777777" w:rsidTr="00ED5B0A">
        <w:tc>
          <w:tcPr>
            <w:tcW w:w="959" w:type="dxa"/>
          </w:tcPr>
          <w:p w14:paraId="4FDB4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417" w:type="dxa"/>
          </w:tcPr>
          <w:p w14:paraId="2B5D8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418" w:type="dxa"/>
          </w:tcPr>
          <w:p w14:paraId="3D23D9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235AC0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w:t>
            </w:r>
          </w:p>
        </w:tc>
      </w:tr>
      <w:tr w:rsidR="00A907A5" w:rsidRPr="00271E51" w14:paraId="07D16BFC" w14:textId="77777777" w:rsidTr="00ED5B0A">
        <w:tc>
          <w:tcPr>
            <w:tcW w:w="959" w:type="dxa"/>
          </w:tcPr>
          <w:p w14:paraId="0473D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1417" w:type="dxa"/>
          </w:tcPr>
          <w:p w14:paraId="6A509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1418" w:type="dxa"/>
          </w:tcPr>
          <w:p w14:paraId="306F1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890</w:t>
            </w:r>
          </w:p>
        </w:tc>
        <w:tc>
          <w:tcPr>
            <w:tcW w:w="1276" w:type="dxa"/>
          </w:tcPr>
          <w:p w14:paraId="30B0C0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w:t>
            </w:r>
          </w:p>
        </w:tc>
      </w:tr>
      <w:tr w:rsidR="00A907A5" w:rsidRPr="00271E51" w14:paraId="48006A7D" w14:textId="77777777" w:rsidTr="00ED5B0A">
        <w:tc>
          <w:tcPr>
            <w:tcW w:w="959" w:type="dxa"/>
            <w:tcBorders>
              <w:bottom w:val="single" w:sz="12" w:space="0" w:color="auto"/>
            </w:tcBorders>
          </w:tcPr>
          <w:p w14:paraId="08286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417" w:type="dxa"/>
            <w:tcBorders>
              <w:bottom w:val="single" w:sz="12" w:space="0" w:color="auto"/>
            </w:tcBorders>
          </w:tcPr>
          <w:p w14:paraId="117B53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1418" w:type="dxa"/>
            <w:tcBorders>
              <w:bottom w:val="single" w:sz="12" w:space="0" w:color="auto"/>
            </w:tcBorders>
          </w:tcPr>
          <w:p w14:paraId="43336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w:t>
            </w:r>
          </w:p>
        </w:tc>
        <w:tc>
          <w:tcPr>
            <w:tcW w:w="1276" w:type="dxa"/>
            <w:tcBorders>
              <w:bottom w:val="single" w:sz="12" w:space="0" w:color="auto"/>
            </w:tcBorders>
          </w:tcPr>
          <w:p w14:paraId="250190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w:t>
            </w:r>
          </w:p>
        </w:tc>
      </w:tr>
    </w:tbl>
    <w:p w14:paraId="53020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на взлетном режиме не определялась из-за перегрева мотора</w:t>
      </w:r>
    </w:p>
    <w:p w14:paraId="107F7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05341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Маневренность на 8000 м</w:t>
      </w:r>
    </w:p>
    <w:p w14:paraId="3B548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Вираж однократный левый на 330-330 37 сек.</w:t>
      </w:r>
    </w:p>
    <w:p w14:paraId="33BFF5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на 330-330 35 без изменения высоты</w:t>
      </w:r>
    </w:p>
    <w:p w14:paraId="66277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разворот левый 370-230 - 22 с набором 400-500</w:t>
      </w:r>
    </w:p>
    <w:p w14:paraId="12717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22</w:t>
      </w:r>
    </w:p>
    <w:p w14:paraId="25ABC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Летали также п Сафонов, п/п Кочетков, м Антипов, к Кубышкин</w:t>
      </w:r>
    </w:p>
    <w:p w14:paraId="4A4075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25E548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посадке в момент приземления с-т теряет управляемость в продольном отношении.</w:t>
      </w:r>
    </w:p>
    <w:p w14:paraId="6812FE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пробеге есть тенденция к прыганью в трехточечном положении.</w:t>
      </w:r>
    </w:p>
    <w:p w14:paraId="3BABD0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рулежке вода перегревается</w:t>
      </w:r>
    </w:p>
    <w:p w14:paraId="4975B3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даче форсажа после 1000 м мотор ьтрясет</w:t>
      </w:r>
    </w:p>
    <w:p w14:paraId="438507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Стефановский 10 августа 1943</w:t>
      </w:r>
    </w:p>
    <w:p w14:paraId="617344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1E20E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701D4B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Кубышкин 11 августа 1943</w:t>
      </w:r>
    </w:p>
    <w:p w14:paraId="2EE57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A907A5" w:rsidRPr="00271E51" w14:paraId="04602D3F" w14:textId="77777777" w:rsidTr="00ED5B0A">
        <w:tc>
          <w:tcPr>
            <w:tcW w:w="1601" w:type="dxa"/>
            <w:tcBorders>
              <w:top w:val="single" w:sz="12" w:space="0" w:color="auto"/>
            </w:tcBorders>
          </w:tcPr>
          <w:p w14:paraId="3567B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top w:val="single" w:sz="12" w:space="0" w:color="auto"/>
            </w:tcBorders>
          </w:tcPr>
          <w:p w14:paraId="68089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улучшенный</w:t>
            </w:r>
          </w:p>
        </w:tc>
        <w:tc>
          <w:tcPr>
            <w:tcW w:w="992" w:type="dxa"/>
            <w:tcBorders>
              <w:top w:val="single" w:sz="12" w:space="0" w:color="auto"/>
            </w:tcBorders>
          </w:tcPr>
          <w:p w14:paraId="2BDA06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серийный № 3943, август 1941</w:t>
            </w:r>
          </w:p>
        </w:tc>
        <w:tc>
          <w:tcPr>
            <w:tcW w:w="993" w:type="dxa"/>
            <w:tcBorders>
              <w:top w:val="single" w:sz="12" w:space="0" w:color="auto"/>
            </w:tcBorders>
          </w:tcPr>
          <w:p w14:paraId="66355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Ла-5ФН апрель 1943</w:t>
            </w:r>
          </w:p>
        </w:tc>
        <w:tc>
          <w:tcPr>
            <w:tcW w:w="992" w:type="dxa"/>
            <w:tcBorders>
              <w:top w:val="single" w:sz="12" w:space="0" w:color="auto"/>
            </w:tcBorders>
          </w:tcPr>
          <w:p w14:paraId="285702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Спитфайр 56 май 1943</w:t>
            </w:r>
          </w:p>
        </w:tc>
        <w:tc>
          <w:tcPr>
            <w:tcW w:w="992" w:type="dxa"/>
            <w:tcBorders>
              <w:top w:val="single" w:sz="12" w:space="0" w:color="auto"/>
            </w:tcBorders>
          </w:tcPr>
          <w:p w14:paraId="2D19D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Ме-109</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рель 1943 (3-х точечный)</w:t>
            </w:r>
          </w:p>
        </w:tc>
        <w:tc>
          <w:tcPr>
            <w:tcW w:w="992" w:type="dxa"/>
            <w:tcBorders>
              <w:top w:val="single" w:sz="12" w:space="0" w:color="auto"/>
            </w:tcBorders>
          </w:tcPr>
          <w:p w14:paraId="536C7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М-105ПД сентябрь 1942</w:t>
            </w:r>
          </w:p>
        </w:tc>
      </w:tr>
      <w:tr w:rsidR="00A907A5" w:rsidRPr="00271E51" w14:paraId="21C99E09" w14:textId="77777777" w:rsidTr="00ED5B0A">
        <w:tc>
          <w:tcPr>
            <w:tcW w:w="1601" w:type="dxa"/>
          </w:tcPr>
          <w:p w14:paraId="78B47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917" w:type="dxa"/>
          </w:tcPr>
          <w:p w14:paraId="3F6268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3260</w:t>
            </w:r>
          </w:p>
        </w:tc>
        <w:tc>
          <w:tcPr>
            <w:tcW w:w="992" w:type="dxa"/>
          </w:tcPr>
          <w:p w14:paraId="3D556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3299</w:t>
            </w:r>
          </w:p>
        </w:tc>
        <w:tc>
          <w:tcPr>
            <w:tcW w:w="993" w:type="dxa"/>
          </w:tcPr>
          <w:p w14:paraId="1177B9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3168</w:t>
            </w:r>
          </w:p>
        </w:tc>
        <w:tc>
          <w:tcPr>
            <w:tcW w:w="992" w:type="dxa"/>
          </w:tcPr>
          <w:p w14:paraId="390AD9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2920</w:t>
            </w:r>
          </w:p>
        </w:tc>
        <w:tc>
          <w:tcPr>
            <w:tcW w:w="992" w:type="dxa"/>
          </w:tcPr>
          <w:p w14:paraId="7051F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3023</w:t>
            </w:r>
          </w:p>
        </w:tc>
        <w:tc>
          <w:tcPr>
            <w:tcW w:w="992" w:type="dxa"/>
          </w:tcPr>
          <w:p w14:paraId="13C25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2904</w:t>
            </w:r>
          </w:p>
        </w:tc>
      </w:tr>
      <w:tr w:rsidR="00A907A5" w:rsidRPr="00271E51" w14:paraId="6983AC63" w14:textId="77777777" w:rsidTr="00ED5B0A">
        <w:tc>
          <w:tcPr>
            <w:tcW w:w="1601" w:type="dxa"/>
          </w:tcPr>
          <w:p w14:paraId="4EC084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917" w:type="dxa"/>
          </w:tcPr>
          <w:p w14:paraId="4AB95B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505/526</w:t>
            </w:r>
          </w:p>
        </w:tc>
        <w:tc>
          <w:tcPr>
            <w:tcW w:w="992" w:type="dxa"/>
          </w:tcPr>
          <w:p w14:paraId="43FD2B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466</w:t>
            </w:r>
          </w:p>
        </w:tc>
        <w:tc>
          <w:tcPr>
            <w:tcW w:w="993" w:type="dxa"/>
          </w:tcPr>
          <w:p w14:paraId="6271D2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562/595</w:t>
            </w:r>
          </w:p>
        </w:tc>
        <w:tc>
          <w:tcPr>
            <w:tcW w:w="992" w:type="dxa"/>
          </w:tcPr>
          <w:p w14:paraId="43A944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992" w:type="dxa"/>
          </w:tcPr>
          <w:p w14:paraId="4FADF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992" w:type="dxa"/>
          </w:tcPr>
          <w:p w14:paraId="5FC6D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r w:rsidR="00A907A5" w:rsidRPr="00271E51" w14:paraId="05EA24AA" w14:textId="77777777" w:rsidTr="00ED5B0A">
        <w:tc>
          <w:tcPr>
            <w:tcW w:w="1601" w:type="dxa"/>
          </w:tcPr>
          <w:p w14:paraId="7B7937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м</w:t>
            </w:r>
          </w:p>
        </w:tc>
        <w:tc>
          <w:tcPr>
            <w:tcW w:w="917" w:type="dxa"/>
          </w:tcPr>
          <w:p w14:paraId="744FD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36A324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993" w:type="dxa"/>
          </w:tcPr>
          <w:p w14:paraId="2BC57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514CA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646</w:t>
            </w:r>
          </w:p>
        </w:tc>
        <w:tc>
          <w:tcPr>
            <w:tcW w:w="992" w:type="dxa"/>
          </w:tcPr>
          <w:p w14:paraId="043607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992" w:type="dxa"/>
          </w:tcPr>
          <w:p w14:paraId="27C32E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r>
      <w:tr w:rsidR="00A907A5" w:rsidRPr="00271E51" w14:paraId="595E5579" w14:textId="77777777" w:rsidTr="00ED5B0A">
        <w:tc>
          <w:tcPr>
            <w:tcW w:w="1601" w:type="dxa"/>
          </w:tcPr>
          <w:p w14:paraId="028D4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w:t>
            </w:r>
          </w:p>
        </w:tc>
        <w:tc>
          <w:tcPr>
            <w:tcW w:w="917" w:type="dxa"/>
          </w:tcPr>
          <w:p w14:paraId="00DE43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656/7000</w:t>
            </w:r>
          </w:p>
        </w:tc>
        <w:tc>
          <w:tcPr>
            <w:tcW w:w="992" w:type="dxa"/>
          </w:tcPr>
          <w:p w14:paraId="69BE4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615/7800</w:t>
            </w:r>
          </w:p>
        </w:tc>
        <w:tc>
          <w:tcPr>
            <w:tcW w:w="993" w:type="dxa"/>
          </w:tcPr>
          <w:p w14:paraId="431D5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648/6500</w:t>
            </w:r>
          </w:p>
        </w:tc>
        <w:tc>
          <w:tcPr>
            <w:tcW w:w="992" w:type="dxa"/>
          </w:tcPr>
          <w:p w14:paraId="57B55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578/6700</w:t>
            </w:r>
          </w:p>
        </w:tc>
        <w:tc>
          <w:tcPr>
            <w:tcW w:w="992" w:type="dxa"/>
          </w:tcPr>
          <w:p w14:paraId="63CEB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666/7000</w:t>
            </w:r>
          </w:p>
        </w:tc>
        <w:tc>
          <w:tcPr>
            <w:tcW w:w="992" w:type="dxa"/>
          </w:tcPr>
          <w:p w14:paraId="0D42D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611/7600</w:t>
            </w:r>
          </w:p>
        </w:tc>
      </w:tr>
      <w:tr w:rsidR="00A907A5" w:rsidRPr="00271E51" w14:paraId="4C8E34EA" w14:textId="77777777" w:rsidTr="00ED5B0A">
        <w:tc>
          <w:tcPr>
            <w:tcW w:w="1601" w:type="dxa"/>
          </w:tcPr>
          <w:p w14:paraId="1301EA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Макс. скорость на 8000 м</w:t>
            </w:r>
          </w:p>
        </w:tc>
        <w:tc>
          <w:tcPr>
            <w:tcW w:w="917" w:type="dxa"/>
          </w:tcPr>
          <w:p w14:paraId="4B941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w:t>
            </w:r>
          </w:p>
        </w:tc>
        <w:tc>
          <w:tcPr>
            <w:tcW w:w="992" w:type="dxa"/>
          </w:tcPr>
          <w:p w14:paraId="0B640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c>
          <w:tcPr>
            <w:tcW w:w="993" w:type="dxa"/>
          </w:tcPr>
          <w:p w14:paraId="17FFE1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628</w:t>
            </w:r>
          </w:p>
        </w:tc>
        <w:tc>
          <w:tcPr>
            <w:tcW w:w="992" w:type="dxa"/>
          </w:tcPr>
          <w:p w14:paraId="4E6B48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w:t>
            </w:r>
          </w:p>
        </w:tc>
        <w:tc>
          <w:tcPr>
            <w:tcW w:w="992" w:type="dxa"/>
          </w:tcPr>
          <w:p w14:paraId="04C987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c>
          <w:tcPr>
            <w:tcW w:w="992" w:type="dxa"/>
          </w:tcPr>
          <w:p w14:paraId="42623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608</w:t>
            </w:r>
          </w:p>
        </w:tc>
      </w:tr>
      <w:tr w:rsidR="00A907A5" w:rsidRPr="00271E51" w14:paraId="7B6D1567" w14:textId="77777777" w:rsidTr="00ED5B0A">
        <w:tc>
          <w:tcPr>
            <w:tcW w:w="1601" w:type="dxa"/>
          </w:tcPr>
          <w:p w14:paraId="0690D1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917" w:type="dxa"/>
          </w:tcPr>
          <w:p w14:paraId="7CBB08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2E37D0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993" w:type="dxa"/>
          </w:tcPr>
          <w:p w14:paraId="2E4C2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11200</w:t>
            </w:r>
          </w:p>
        </w:tc>
        <w:tc>
          <w:tcPr>
            <w:tcW w:w="992" w:type="dxa"/>
          </w:tcPr>
          <w:p w14:paraId="3A27F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c>
          <w:tcPr>
            <w:tcW w:w="992" w:type="dxa"/>
          </w:tcPr>
          <w:p w14:paraId="2B8C4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3F09F0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11300</w:t>
            </w:r>
          </w:p>
        </w:tc>
      </w:tr>
      <w:tr w:rsidR="00A907A5" w:rsidRPr="00271E51" w14:paraId="13C2FB26" w14:textId="77777777" w:rsidTr="00ED5B0A">
        <w:tc>
          <w:tcPr>
            <w:tcW w:w="1601" w:type="dxa"/>
          </w:tcPr>
          <w:p w14:paraId="22DB18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917" w:type="dxa"/>
          </w:tcPr>
          <w:p w14:paraId="4A360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992" w:type="dxa"/>
          </w:tcPr>
          <w:p w14:paraId="15FBA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3" w:type="dxa"/>
          </w:tcPr>
          <w:p w14:paraId="738D9E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992" w:type="dxa"/>
          </w:tcPr>
          <w:p w14:paraId="1B08C3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2" w:type="dxa"/>
          </w:tcPr>
          <w:p w14:paraId="3A3EAA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992" w:type="dxa"/>
          </w:tcPr>
          <w:p w14:paraId="1126A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r>
      <w:tr w:rsidR="00A907A5" w:rsidRPr="00271E51" w14:paraId="2A5A5C3D" w14:textId="77777777" w:rsidTr="00ED5B0A">
        <w:tc>
          <w:tcPr>
            <w:tcW w:w="1601" w:type="dxa"/>
          </w:tcPr>
          <w:p w14:paraId="3A299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горючего (кг)</w:t>
            </w:r>
          </w:p>
        </w:tc>
        <w:tc>
          <w:tcPr>
            <w:tcW w:w="917" w:type="dxa"/>
          </w:tcPr>
          <w:p w14:paraId="68C2B8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324</w:t>
            </w:r>
          </w:p>
        </w:tc>
        <w:tc>
          <w:tcPr>
            <w:tcW w:w="992" w:type="dxa"/>
          </w:tcPr>
          <w:p w14:paraId="113F0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993" w:type="dxa"/>
          </w:tcPr>
          <w:p w14:paraId="3AF9FB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341</w:t>
            </w:r>
          </w:p>
        </w:tc>
        <w:tc>
          <w:tcPr>
            <w:tcW w:w="992" w:type="dxa"/>
          </w:tcPr>
          <w:p w14:paraId="233BE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w:t>
            </w:r>
          </w:p>
        </w:tc>
        <w:tc>
          <w:tcPr>
            <w:tcW w:w="992" w:type="dxa"/>
          </w:tcPr>
          <w:p w14:paraId="4CDAF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992" w:type="dxa"/>
          </w:tcPr>
          <w:p w14:paraId="0710C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r>
      <w:tr w:rsidR="00A907A5" w:rsidRPr="00271E51" w14:paraId="29AD89DD" w14:textId="77777777" w:rsidTr="00ED5B0A">
        <w:tc>
          <w:tcPr>
            <w:tcW w:w="1601" w:type="dxa"/>
            <w:tcBorders>
              <w:bottom w:val="single" w:sz="12" w:space="0" w:color="auto"/>
            </w:tcBorders>
          </w:tcPr>
          <w:p w14:paraId="67915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залпа (кг/сек)</w:t>
            </w:r>
          </w:p>
        </w:tc>
        <w:tc>
          <w:tcPr>
            <w:tcW w:w="917" w:type="dxa"/>
            <w:tcBorders>
              <w:bottom w:val="single" w:sz="12" w:space="0" w:color="auto"/>
            </w:tcBorders>
          </w:tcPr>
          <w:p w14:paraId="4E0FD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2,404</w:t>
            </w:r>
          </w:p>
        </w:tc>
        <w:tc>
          <w:tcPr>
            <w:tcW w:w="992" w:type="dxa"/>
            <w:tcBorders>
              <w:bottom w:val="single" w:sz="12" w:space="0" w:color="auto"/>
            </w:tcBorders>
          </w:tcPr>
          <w:p w14:paraId="4FD2E1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993" w:type="dxa"/>
            <w:tcBorders>
              <w:bottom w:val="single" w:sz="12" w:space="0" w:color="auto"/>
            </w:tcBorders>
          </w:tcPr>
          <w:p w14:paraId="68292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w:t>
            </w:r>
          </w:p>
        </w:tc>
        <w:tc>
          <w:tcPr>
            <w:tcW w:w="992" w:type="dxa"/>
            <w:tcBorders>
              <w:bottom w:val="single" w:sz="12" w:space="0" w:color="auto"/>
            </w:tcBorders>
          </w:tcPr>
          <w:p w14:paraId="0F12D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3,54</w:t>
            </w:r>
          </w:p>
        </w:tc>
        <w:tc>
          <w:tcPr>
            <w:tcW w:w="992" w:type="dxa"/>
            <w:tcBorders>
              <w:bottom w:val="single" w:sz="12" w:space="0" w:color="auto"/>
            </w:tcBorders>
          </w:tcPr>
          <w:p w14:paraId="6225C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1,674</w:t>
            </w:r>
          </w:p>
        </w:tc>
        <w:tc>
          <w:tcPr>
            <w:tcW w:w="992" w:type="dxa"/>
            <w:tcBorders>
              <w:bottom w:val="single" w:sz="12" w:space="0" w:color="auto"/>
            </w:tcBorders>
          </w:tcPr>
          <w:p w14:paraId="5DBFFF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w:t>
            </w:r>
          </w:p>
        </w:tc>
      </w:tr>
    </w:tbl>
    <w:p w14:paraId="018EA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Эксполуатационная оценка</w:t>
      </w:r>
    </w:p>
    <w:p w14:paraId="5928C6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0C5DD8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07455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Подписал ст т-л Безбатенко 11 августа 1943</w:t>
      </w:r>
    </w:p>
    <w:p w14:paraId="09F938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Вычеркнуто Лосюковым:</w:t>
      </w:r>
    </w:p>
    <w:p w14:paraId="38F63B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выполнено постановление ГКО № 2946 от 26 февраля 1943</w:t>
      </w:r>
    </w:p>
    <w:p w14:paraId="595108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14C4B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5A8B62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306109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3100 - получено 3260</w:t>
      </w:r>
    </w:p>
    <w:p w14:paraId="15BA51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этого написал:</w:t>
      </w:r>
    </w:p>
    <w:p w14:paraId="27DB6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заключения:</w:t>
      </w:r>
    </w:p>
    <w:p w14:paraId="26CE3C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50F955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вычеркнул: о недоведенности темп. Режима, наличии вибрации ХО и потери эффективности рулей на посадке</w:t>
      </w:r>
    </w:p>
    <w:p w14:paraId="08413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Акт разослать: ГИ ВВС, ГК А.И.М.</w:t>
      </w:r>
    </w:p>
    <w:p w14:paraId="4A3A42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подписаны 11 августа Кочетковым, Хомяковым</w:t>
      </w:r>
    </w:p>
    <w:p w14:paraId="38178D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(от руки Лосюковым):</w:t>
      </w:r>
    </w:p>
    <w:p w14:paraId="7A9CAB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Испытанный экз. с-та дали следующие отступления от цифр, заданных Постановлением ГОКО</w:t>
      </w:r>
    </w:p>
    <w:p w14:paraId="67612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14508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713508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1A9AC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3100 - получено 3260</w:t>
      </w:r>
    </w:p>
    <w:p w14:paraId="3FDDF1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Отзывы л и техн. Состава 12 гиап, эксплуатирующих улучшенные МиГ-3 с АМ-35А</w:t>
      </w:r>
    </w:p>
    <w:p w14:paraId="408B6B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С-ты МиГ-3Д постройки завода № 155 № 01, 0,3, 04 и 06 прибыли в эксплуатацию в августе 1943. Оценки отрицательные (не в боевых условиях) (798,3).</w:t>
      </w:r>
    </w:p>
    <w:p w14:paraId="3F9D8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1B4D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 июля в 1943 году в НИИ ВВС начались (по 6 августа) государственные испытания </w:t>
      </w:r>
      <w:hyperlink r:id="rId41" w:tgtFrame="_blank" w:history="1">
        <w:r w:rsidRPr="00271E51">
          <w:rPr>
            <w:rFonts w:ascii="Times New Roman" w:hAnsi="Times New Roman"/>
            <w:color w:val="000000" w:themeColor="text1"/>
            <w:sz w:val="16"/>
            <w:szCs w:val="16"/>
          </w:rPr>
          <w:t xml:space="preserve">«МиГ-ЗУ» («Д-01»). </w:t>
        </w:r>
      </w:hyperlink>
      <w:r w:rsidRPr="00271E51">
        <w:rPr>
          <w:rFonts w:ascii="Times New Roman" w:hAnsi="Times New Roman"/>
          <w:color w:val="000000" w:themeColor="text1"/>
          <w:sz w:val="16"/>
          <w:szCs w:val="16"/>
        </w:rPr>
        <w:t>Ответственными за их проведение были назначены ведущий инженер капитан А.С.Розанов и летчик-испытатель подполковник В.И.Хомяков. За время госиспытаний на самолете «И-230» было выполнено 23 полета, в том числе 10 высотных, с общим налетом 15 час. 26 мин. Была получена максимальная скорость 656 км/ч на высоте 7000 м и практический потолок 11900 м. Полеты на потолок выполнялись на номинальном режиме с площадками для охлаждения мотора. Маневренность истребителя оценивалась на высоте 8000 м: левый вираж составлял 37 с, правый - 35 с; боевой разворот как левый, так и правый - 22 с, при этом самолет набирал 400-450 м. По мнению военных испытателей и летчиков облета, пилотажные характеристики истребителя «И-230» были на хорошем уровне, за исключением посадки, которая осталась сложной. Кабина пилота слала удобней и по своей компоновке была близка к стандартной. Основным недостатком самолета было выбивание масла через уплотнение вала редуктора, особенно при полетах выше границы высотности. Это явление наблюдалось во всех полетах, при этом машина возвращалась на аэродром с фюзеляжем, залитым маслом от носа до хвоста. По заключению военных истребитель «МиГ-ЗУ» мог быть рекомендован для использования в частях ВВС только после устранения всех основных дефектов (14966).</w:t>
      </w:r>
    </w:p>
    <w:p w14:paraId="40130434"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34951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ГКО постановлением N 3831с обязал НКАП провести в ЦАГИ по заданию НИИ-3 при СНК СССР и НКВМФ необходимые исследовательские работы, связанные с разработкой реактивных торпед (1458,211).</w:t>
      </w:r>
    </w:p>
    <w:p w14:paraId="5735EB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60587" w14:textId="77777777" w:rsidR="004C538B" w:rsidRPr="00271E51" w:rsidRDefault="004C538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 ГКО постановлением № 3831 обязал НКАП провести в ЦАГИ по заданию НИИ-3 при СНК СССР и НКВМФ необходимые исследовательские работы, связанные с разработкой реактивных торпед (19727).</w:t>
      </w:r>
    </w:p>
    <w:p w14:paraId="5E2EE522" w14:textId="77777777" w:rsidR="004C538B" w:rsidRPr="00271E51" w:rsidRDefault="004C538B" w:rsidP="00271E51">
      <w:pPr>
        <w:spacing w:after="0" w:line="240" w:lineRule="auto"/>
        <w:jc w:val="both"/>
        <w:rPr>
          <w:rFonts w:ascii="Times New Roman" w:hAnsi="Times New Roman"/>
          <w:color w:val="000000" w:themeColor="text1"/>
          <w:sz w:val="16"/>
          <w:szCs w:val="16"/>
        </w:rPr>
      </w:pPr>
    </w:p>
    <w:p w14:paraId="48192211"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3CC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FB26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 вышло постановление ГКО, в соответствии с которым СКБ НКСП приступило к проектированию и изготовлению опытных образцов стабилизаторов пушек средних танков по ТТТ, выданных ГБТУ РККА. Аналогичные работы были развернуты и в академии БТ и МВ, где под руководством начальника кафедры электрооборудования инже</w:t>
      </w:r>
      <w:r w:rsidRPr="00271E51">
        <w:rPr>
          <w:rFonts w:ascii="Times New Roman" w:hAnsi="Times New Roman"/>
          <w:color w:val="000000" w:themeColor="text1"/>
          <w:sz w:val="16"/>
          <w:szCs w:val="16"/>
        </w:rPr>
        <w:softHyphen/>
        <w:t>нер-полковника М.М. Лихачева был разработан проект стабилизатора пушки, который предусматривал стабилизацию самого орудия, а не линии прицеливания в прицеле наводчика. Конструктивные трудности по стабилизации всей башни танка с экипажем и вооружением заставили разработчиков ограничиться только стабилизацией основного оружия танка в плоскости стрельбы. Первый образец стабилизатора, воплощенный в металле и установленный в танке Т-34-76, 6ыл разработав СКБ НКСП, Конструкция ста</w:t>
      </w:r>
      <w:r w:rsidRPr="00271E51">
        <w:rPr>
          <w:rFonts w:ascii="Times New Roman" w:hAnsi="Times New Roman"/>
          <w:color w:val="000000" w:themeColor="text1"/>
          <w:sz w:val="16"/>
          <w:szCs w:val="16"/>
        </w:rPr>
        <w:softHyphen/>
        <w:t>билизатора обеспечивала стабилизацию линии прицеливания в вертикальной плоскости при движении танка по пересеченной местности. Опытные образцы стабилизаторов были изготовлены на ЧКЗ и опытном заводе № 100 осенью 1943 г. В результате проведения испытаний опытного образца стабилизатора в танке Т-34 в феврале 1944 г. на НИБТ полигоне, были выявлены его недостатки, после устранения которых, СКБ НКСП весной 1944 г. был разработан новый стабилизатор для танковой пушки ЗИС-С-53 для танка Т-34-85 - СТП-С-53, получив</w:t>
      </w:r>
      <w:r w:rsidRPr="00271E51">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7E1380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6222B" w14:textId="77777777" w:rsidR="00665ECA" w:rsidRPr="00271E51" w:rsidRDefault="00665ECA" w:rsidP="00271E51">
      <w:pPr>
        <w:pStyle w:val="a3"/>
        <w:rPr>
          <w:color w:val="000000" w:themeColor="text1"/>
          <w:lang w:val="ru-RU"/>
        </w:rPr>
      </w:pPr>
      <w:r w:rsidRPr="00271E51">
        <w:rPr>
          <w:color w:val="000000" w:themeColor="text1"/>
          <w:lang w:val="ru-RU"/>
        </w:rPr>
        <w:t>28 июля 1943 года председатель Технического совета НКВ Э. А. Сатель писал:</w:t>
      </w:r>
    </w:p>
    <w:p w14:paraId="30C999C6"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«Анализируя вышеизложенное, Технический Совет приходит к выво</w:t>
      </w:r>
      <w:r w:rsidRPr="00271E51">
        <w:rPr>
          <w:i w:val="0"/>
          <w:color w:val="000000" w:themeColor="text1"/>
          <w:sz w:val="16"/>
          <w:szCs w:val="16"/>
        </w:rPr>
        <w:softHyphen/>
        <w:t>ду, что предложенная заводом в техническом проекте 203-мм самоходная пушка «М-17» по огневой мощи и по действию снаряда не имеет ника</w:t>
      </w:r>
      <w:r w:rsidRPr="00271E51">
        <w:rPr>
          <w:i w:val="0"/>
          <w:color w:val="000000" w:themeColor="text1"/>
          <w:sz w:val="16"/>
          <w:szCs w:val="16"/>
        </w:rPr>
        <w:softHyphen/>
        <w:t>ких преимуществ перед имеющейся на вооружении Красной Армии 152-мм самоходной гаубицы-пушки «СУ-152», поэтому принятие на вооружение нового образцы ничем не оправдывается.</w:t>
      </w:r>
    </w:p>
    <w:p w14:paraId="411D05B7"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проект 203-мм самоходной пушки «М-17», присланный при №2420 для разработки рабочих чертежей и изготовления опытного образца Техническим Советом НКВ, — не утверждается</w:t>
      </w:r>
    </w:p>
    <w:p w14:paraId="11710D95"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Все работы по созданию 203-мм самоходной установки «М-17» с бал</w:t>
      </w:r>
      <w:r w:rsidRPr="00271E51">
        <w:rPr>
          <w:i w:val="0"/>
          <w:color w:val="000000" w:themeColor="text1"/>
          <w:sz w:val="16"/>
          <w:szCs w:val="16"/>
        </w:rPr>
        <w:softHyphen/>
        <w:t>листикой опытной машины «М-40» предлагаю прекратить.</w:t>
      </w:r>
    </w:p>
    <w:p w14:paraId="3922C746"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Одновременно, учитывая потребность Красной Армии в самоходной артиллерийской установке, вооруженной более мощным орудием, чем 152-мм гаубица-пушка «МЛ-20», предназначенной для разрушения особо прочных оборонительных железобетонных сооружений противника, пред</w:t>
      </w:r>
      <w:r w:rsidRPr="00271E51">
        <w:rPr>
          <w:i w:val="0"/>
          <w:color w:val="000000" w:themeColor="text1"/>
          <w:sz w:val="16"/>
          <w:szCs w:val="16"/>
        </w:rPr>
        <w:softHyphen/>
        <w:t>лагаю в эскизе проработать вопрос возможности создания самоходной 203-мм гаубицы обр. 1931 года (с учетом возможности установки 152-мм пушки обр. 1935 года «БР-2» ), положив в основу требования, изложенные в заключении Артиллерийского Комитета №829360с.</w:t>
      </w:r>
    </w:p>
    <w:p w14:paraId="0643A079" w14:textId="77777777" w:rsidR="00665ECA" w:rsidRPr="00271E51" w:rsidRDefault="00665ECA" w:rsidP="00271E51">
      <w:pPr>
        <w:pStyle w:val="Bodytext51"/>
        <w:framePr w:w="2099" w:h="537" w:wrap="around" w:vAnchor="text" w:hAnchor="margin" w:x="5164" w:y="5086"/>
        <w:shd w:val="clear" w:color="auto" w:fill="auto"/>
        <w:spacing w:before="0" w:after="0" w:line="240" w:lineRule="auto"/>
        <w:jc w:val="both"/>
        <w:rPr>
          <w:color w:val="000000" w:themeColor="text1"/>
          <w:sz w:val="16"/>
          <w:szCs w:val="16"/>
        </w:rPr>
      </w:pPr>
      <w:r w:rsidRPr="00271E51">
        <w:rPr>
          <w:rStyle w:val="Bodytext518"/>
          <w:color w:val="000000" w:themeColor="text1"/>
          <w:sz w:val="16"/>
          <w:szCs w:val="16"/>
        </w:rPr>
        <w:t>'ЦАМО РФ. фонд 81, опись 12063, дело №11, с. 164-165.</w:t>
      </w:r>
    </w:p>
    <w:p w14:paraId="6B7005D7"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Эскизный проект с подробным расчетом устойчивости самоходной га</w:t>
      </w:r>
      <w:r w:rsidRPr="00271E51">
        <w:rPr>
          <w:i w:val="0"/>
          <w:color w:val="000000" w:themeColor="text1"/>
          <w:sz w:val="16"/>
          <w:szCs w:val="16"/>
        </w:rPr>
        <w:softHyphen/>
        <w:t>убицы при выстреле к 20 сентября сего года представить в Технический Совет НКВ, Артком ГАУ КА и УСА ГБТУКА для утверждения».</w:t>
      </w:r>
    </w:p>
    <w:p w14:paraId="439CF8AC" w14:textId="77777777" w:rsidR="00665ECA" w:rsidRPr="00271E51" w:rsidRDefault="00665ECA" w:rsidP="00271E51">
      <w:pPr>
        <w:pStyle w:val="a3"/>
        <w:rPr>
          <w:color w:val="000000" w:themeColor="text1"/>
          <w:lang w:val="ru-RU"/>
        </w:rPr>
      </w:pPr>
      <w:r w:rsidRPr="00271E51">
        <w:rPr>
          <w:color w:val="000000" w:themeColor="text1"/>
          <w:lang w:val="ru-RU"/>
        </w:rPr>
        <w:t>М-17 стал предпоследним проектом с установкой 203-мм гауби</w:t>
      </w:r>
      <w:r w:rsidRPr="00271E51">
        <w:rPr>
          <w:color w:val="000000" w:themeColor="text1"/>
          <w:lang w:val="ru-RU"/>
        </w:rPr>
        <w:softHyphen/>
        <w:t>цы в закрытой рубке не только на базе СУ-152, но и более поздней ИСУ-152. Последними над схожим проектом работали в ЦАКБ (Цен</w:t>
      </w:r>
      <w:r w:rsidRPr="00271E51">
        <w:rPr>
          <w:color w:val="000000" w:themeColor="text1"/>
          <w:lang w:val="ru-RU"/>
        </w:rPr>
        <w:softHyphen/>
        <w:t xml:space="preserve">тральное артиллерийское конструкторское бюро, г. Калиниград, ныне г. Королев). В октябре 1943 года там была разработана </w:t>
      </w:r>
      <w:r w:rsidRPr="00271E51">
        <w:rPr>
          <w:color w:val="000000" w:themeColor="text1"/>
          <w:lang w:val="ru-RU"/>
        </w:rPr>
        <w:lastRenderedPageBreak/>
        <w:t>установка САУ закрытого типа с вооружением в виде 152-мм пушки с баллистикой БР-2 или 203-мм гаубицы с баллистикой Б-4. Работа велась в рамках темы С-51, дальше концепции дело не продвинулось (17484).</w:t>
      </w:r>
    </w:p>
    <w:p w14:paraId="77FCCA27"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37E43B0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 из СООБЩЕНИЯ ПАРТОРГА ЦК ВКП(б) НА ЗАВОДЕ № 69 Я.С. ГИЦЕЛЯ В УПРАВЛЕНИЕ КАДРОВ ЦК ВКП(б) КАРАТУСИНУ</w:t>
      </w:r>
    </w:p>
    <w:p w14:paraId="49B9FF0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кадров ЦК ВКП(6) тов. КАРАТУСИНУ На Ваш запрос письмом за № 2 159с через Новосибирский обком ВКП(б) сообщаю следующее.</w:t>
      </w:r>
    </w:p>
    <w:p w14:paraId="7F793D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Номенклатура основных приборов, выпускаемых заводом: артиллерийская панорама - П.Г., артиллерийская стереотруба - БСТ, прицел для противотанковых пушек — ПП-9, минометный прицел — МП5-К, танковые телескопические прицелы, группа - ТМФ, танковые стереоскопические прицелы - ПТ и ПТК, дальномер для мелкокалиберной артиллерии] - ЗД, зенитный визир - ЗВ, четырехметровый дальномер — ДЯ-1 (12183). </w:t>
      </w:r>
    </w:p>
    <w:p w14:paraId="69386947"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42BC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вышло Распоряжение ГКО № 3827. О направлении 530 выпускников школ ФЗО на Калининский вагоностроительный завод НКСМ.РГАНИР, Фонд ГКО, д. 139, лл. 78 (11012).</w:t>
      </w:r>
    </w:p>
    <w:p w14:paraId="0DB0FC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616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вышло Постановление ГКО № 3828 О мероприятиях по обеспечению мотоциклами мотомеханизированных соединений Красной Армии в III квартале 1943 г.РГАНИР, Фонд ГКО, д. 139, лл. 79-84, 85-92 (11012).</w:t>
      </w:r>
    </w:p>
    <w:p w14:paraId="6B05AC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BF8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вышло Постановление ГКО № 3829 О плане заказов НКО, НКВМФ и НКВД СССР по вещевому имуществу и снаряжению на III квартал 1943 г. и о мероприятиях по его выполнению.РГАНИР, Фонд ГКО, д. 139, лл. 93-98, 99-147 (11012).</w:t>
      </w:r>
    </w:p>
    <w:p w14:paraId="76ACB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529E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вышло Постановление ГКО № 3830 Об организации социалистического соревнования автотракторных хозяйств нефтедобывающих и разведочных трестов Наркомнефти. (7127, 148).</w:t>
      </w:r>
    </w:p>
    <w:p w14:paraId="2D5492C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8EAC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 вышло Постановление ГКО № 3831 «Об изготовлении опытных образцов реактивных торпед» (Д. 198. Л. 59–61).</w:t>
      </w:r>
    </w:p>
    <w:p w14:paraId="1C8871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8F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вышло Распоряжение ГКО № 3832. Об изготовлении и укомплектовании 390 передвижных ремонтных мастерских и 4 передвижных ремонтных баз для КА.РГАНИР, Фонд ГКО, д. 139, лл. 153-154, 155-165 (11012).</w:t>
      </w:r>
    </w:p>
    <w:p w14:paraId="56BAFC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CB0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директор минометного завода «Двигатель революции» Никитин писал в наркомат:  «Несмотря наряд принятых мною мер к быстрому восстановлению разрушений после вражеских бомбардировок, все же восстановительные работы идут исключительно медленно вследствие отсутствия строительных рабочих, что грозит срывом восстановления цехов завода к началу похолодания». На стройплощадках требовалось минимум 500 рабочих, фактически же до сих пор работали лишь 69. Только для восстановления основных цехов заводу были нужны 50 000 кирпичей, 10 т нефтебитума, 3100 кв. м стекла, 38 электромоторов, сотни метров кабеля и др. Но откуда это было все взять, если все наличные ресурсы поглощал ГАЗ? 9 августа Никитин писал наркому минометного вооружения Паршину:  «На данный момент закрыты световые проемы, восстановлена часть зданий цехов, частично отремонтировано электроснабжение, отдельные поврежденные станки. Однако основные трудоемкие работы идут чрезвычайно медленно. Не хватает автотранспорта, не хватает стройматериалов». В итоге строительные работы растянулись до зимы. В октябре были только еще разобраны завалы на месте бывшего материального склада завода. Жилой же фонд предприятия вообще был брошен на произвол судьбы, и потерявшим квартиры жителям пришлось «уплотняться» (11774).</w:t>
      </w:r>
    </w:p>
    <w:p w14:paraId="0AC916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B8EA2" w14:textId="77777777" w:rsidR="00D03F5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21BBB7D" w14:textId="77777777" w:rsidR="00D03F5E" w:rsidRPr="00271E51" w:rsidRDefault="00D03F5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F46DB3"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в 1943 году оперативная сводка Совинформбюро:</w:t>
      </w:r>
    </w:p>
    <w:p w14:paraId="682123D9"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июля наши войска на Орловском направлении продолжали наступление и, продвинувшись вперёд от 4 до 6 километров, заняли свыше 30 населённых пунктов, в том числе железнодорожную станцию Становой Колодезь (18 километров юго-восточнее Орла).</w:t>
      </w:r>
    </w:p>
    <w:p w14:paraId="5A692208"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в Донбассе и юго-западнее Краснодара — поиски разведчиков.</w:t>
      </w:r>
    </w:p>
    <w:p w14:paraId="0E4B83D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велись усиленные поиски разведчиков и артиллерийскаяперестрелка с обеих сторон.</w:t>
      </w:r>
    </w:p>
    <w:p w14:paraId="020CCCE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июля на всех фронтах наши войска подбили и уничтожили 32 немецких танка. В воздушных боях и огнём зенитной артиллерии сбито 62 самолёта противника.</w:t>
      </w:r>
    </w:p>
    <w:p w14:paraId="401CB96B"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2902040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советские войска выбили немцев из ряда населённых пунктов. Противник на автомашинах спешно подбрасывает резервы и немедленно бросает их в бой, пытаясь оказать сопротивление наступающим советским частям. В районе Волхова Н-ская часть ударом во фланг противнику создала угрозу окружения действующих здесь вражеских войск. Немцы поспешно отступили, при этом понесли большие потери в людях и технике.</w:t>
      </w:r>
    </w:p>
    <w:p w14:paraId="4D608BCE"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наступающие войска заняли несколько населённых пунктов. Немцы перебросили на этот участок танковый полк и предприняли контратаку. Советские бойцы опрокинули врага и, преследуя его, овладели сильно укреплённым опорным пунктом. В этих боях, по неполным данным, уничтожено более 1.000 немецких солдат и офицеров, 11 танков и 5 орудий. Захвачено 2 орудия, более 100 пулемётов и другие трофеи.</w:t>
      </w:r>
    </w:p>
    <w:p w14:paraId="0BE037D4"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с боями продвигались вперёд. Н-ское соединение отразило четыре контратаки противника и выбило немцев из ряда населённых пунктов. На поле боя подсчитано до 1.500 вражеских трупов. Подбито и сожжено 18 немецких танков, в том числе 3 танка типа «Тигр», 4 самоходных орудия и 4 противотанковых орудия. Бойцы соединения захватили у противника 15 орудий, 18 миномётов, 3 артиллерийских и 2 вещевых склада. Взяты пленные. На другом участке подразделение под командованием капитана Кузнецова во взаимодействии с подразделением старшего лейтенанта Иркова ворвалось в крупное село. Количество немцев, оборонявших село, значительно превышало число наступавших советских бойцов. Однако противник не выдержал стремительного удара наших подразделений. Наши бойцы уничтожили большое число гитлеровцев и освободили это село от немецко-фашистских оккупантов.</w:t>
      </w:r>
    </w:p>
    <w:p w14:paraId="33CA7943"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активно действовали разведчики. Стрелковая рота под командованием старшего лейтенанта Давыдова стремительным броском ворвалась в траншеи противника. В ожесточённой рукопашной схватке наши бойцы истребили несколько десятков гитлеровцев, а остальных обратили в бегство. Захвачены 5 пулемётов и другие трофеи. Ротa закрепилась на новом рубеже.</w:t>
      </w:r>
    </w:p>
    <w:p w14:paraId="799AD07C"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наше подразделение с разведывательными целями атаковало немцев и овладело двумя высотами. В бою за эти высоты уничтожено 3 немецких танка и до 200 солдат и офицеров противника.</w:t>
      </w:r>
    </w:p>
    <w:p w14:paraId="433D1A6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7 и подбили 3 немецких самолёта. Кроме того, 8 самолётов противника уничтожены огнём зенитной артиллерии.</w:t>
      </w:r>
    </w:p>
    <w:p w14:paraId="1A2A0CD4"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районах севернее и восточнее Мги, советские артиллеристы разрушили десятки немецких дзотов и подавили 63 огневых точкипротивника. Прямыми попаданиями снарядов взорвано 5 складов боеприпасов.</w:t>
      </w:r>
    </w:p>
    <w:p w14:paraId="5A3AD1B8"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 подступах к Ленинграду советские лётчики сбили 6 немецких самолётов. Кроме того, 3 самолёта противника уничтожены огнём зенитной артиллерии.</w:t>
      </w:r>
    </w:p>
    <w:p w14:paraId="1D8C5C3C"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Житомирской области, 20 июля устроил засаду на шоссейной дороге. Когда колонна немецкой пехоты приблизилась к месту засады, партизаны открыли пулемётный огонь и забросали гитлеровцев ручными гранатами. Немцы в панике разбежались, оставив на дороге свыше 80 убитых и раненых своих солдат и офицеров. Несколько партизанских отрядов, действующих в Ровенской области, за три дня подорвали 6 немецких воинских эшелонов, следовавших к линии фронта.</w:t>
      </w:r>
    </w:p>
    <w:p w14:paraId="2CBB1BD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6 роты 396 полка 216 немецкой пехотной дивизии Дитрих Герлах рассказал: «Многие из нас с нетерпением и надеждой ждали весны и лета. Мы были уверены, что, как только погода установится, германские вооружённые силы устремятся на Восток и нанесут русским последний удар. Однако с самого начала наступления немецкой армии на Курск всё пошло не так, как мы ожидали. 216 дивизия не выполнила поставленной перед ней задачи. Моя рота ворвалась в траншеи русских, но затем была вынуждена отойти на прежний рубеж, потеряв более половины личного состава. Такое неудачное начало поразило меня. Я не мог понять, в чём дело. У нас было явное численное превосходство в силах. Мы отлично подготовились к операции и, казалось, предусмотрели всё до мелочи. Последующий ход событий показал, что летние планы немецкого командования на Востоке потерпели полный крах. Поражение немецких войск под Курском чревато тяжёлыми последствиями для Германии».</w:t>
      </w:r>
    </w:p>
    <w:p w14:paraId="21283A90"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Жители посёлка Тулянский, Орловской области, освобождённого частями Красной Армии, М.Спиридонов и П.Макарочкин рассказали о чудовищных зверствах, немецко-фашистских мерзавцев. Гитлеровцы обобрали и ограбили всех жителей посёлка. Фашистские изверги казнили многих ни в чём не повинных людей, </w:t>
      </w:r>
      <w:r w:rsidRPr="00271E51">
        <w:rPr>
          <w:rFonts w:ascii="Times New Roman" w:hAnsi="Times New Roman"/>
          <w:color w:val="000000" w:themeColor="text1"/>
          <w:sz w:val="16"/>
          <w:szCs w:val="16"/>
        </w:rPr>
        <w:lastRenderedPageBreak/>
        <w:t>насиловали женщин. Немецкие палачи повесили трёх мальчиков в возрасте от 10 до11 лет: Колесникова, Ефремова и Осокина—за то, что они якобы украли пачку папирос у немецкого офицера. Гитлеровцы установили виселицы против домов родителей детей. В течение трёх дней фашистские людоеды не разрешали снимать трупы с виселиц.» (14966).</w:t>
      </w:r>
    </w:p>
    <w:p w14:paraId="1F5B5AEA"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0EBB8A1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BAE6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27F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г. секретарь Горьковского обкома партии по пропаганде И. М. Гурьев, выступая на 14-м пленуме, рассказал: «Чем, как не отсутствием политической работы, можно объяснить такой факт, что в селе Шарапове Гагинского района не ставилось ни одного доклада. В этом селе ходят такие слухи, что Турция объявила войну Советскому Союзу и что в Шарапове скоро будут немцы. Ходят даже такие слухи, что союзники объявили войну Горьковской области, что сначала ввели колхозы, а вот теперь хотят колхозников сделать единоличниками». [365 — ГОПАНО, Ф. 3, Оп. 1, Д. 3259, Л. 11.] (11741).</w:t>
      </w:r>
    </w:p>
    <w:p w14:paraId="6CB581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858C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8E1E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FEA325" w14:textId="77777777" w:rsidR="00006180" w:rsidRPr="00271E51" w:rsidRDefault="0000618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28 июля 1943 одномоторные истребители Люфтваффе впервые используют подкрыльные ракеты большого калибра BR 21 для атаки американских бомбардировщиков. Используя новое оружие, пилоты Focke-Wulf Fw 190 одержали победу над бомбардировщиками ВВС США, атаковавшими авиазаводы Henschel в Касселе и завод AGO Flugzeugwerke, производящий Fw 190 в Ошерслебене , Германия (20376). </w:t>
      </w:r>
    </w:p>
    <w:p w14:paraId="3CC59696" w14:textId="77777777" w:rsidR="00006180" w:rsidRPr="00271E51" w:rsidRDefault="00006180" w:rsidP="00271E51">
      <w:pPr>
        <w:spacing w:after="0" w:line="240" w:lineRule="auto"/>
        <w:jc w:val="both"/>
        <w:rPr>
          <w:rFonts w:ascii="Times New Roman" w:hAnsi="Times New Roman"/>
          <w:color w:val="0070C0"/>
          <w:sz w:val="16"/>
          <w:szCs w:val="16"/>
        </w:rPr>
      </w:pPr>
    </w:p>
    <w:p w14:paraId="1E9EB67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из-за бомбежек союзников леса вокруг Мюнхена занялись грандиозным пожаром (4962).</w:t>
      </w:r>
    </w:p>
    <w:p w14:paraId="49CB2DB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A6166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в 1943 году из-за бомбежек союзников леса вокруг Мюнхена охватываются грандиозным пожаром (14966).</w:t>
      </w:r>
    </w:p>
    <w:p w14:paraId="08B570F7"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33BB728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в 1943 году в результате мощнейшего авианалета на Гамбург погибло около 35 000 человек (14966).</w:t>
      </w:r>
    </w:p>
    <w:p w14:paraId="39253A66"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643E2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Ф.Д.Р. по радио выступил с обращением к итальянскому народу с разъяснением условий, выдвигаемых союзниками (2262).</w:t>
      </w:r>
    </w:p>
    <w:p w14:paraId="4029F6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8EC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июля 1943 Б.Муссолини ушел в отставку (3481).</w:t>
      </w:r>
    </w:p>
    <w:p w14:paraId="30FCE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C183B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AE7FF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33F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экипаж И.И. Шелеста закончил испытания самолет "103В" с М-82ФН, которые шли с 17 июля 1943 г. Результаты оказались более чем удовлетворительными. У земли скорость поднялась до 528 км/ч, а на высоте 5050 м она достигла 568 км/ч. Последняя цифра на 14 км/ч превышала замеренную у нас максимальную скорость немецкого истребителя Мессершмитт Bf 109F. Правда, у немцев модификация F уже вытеснялась новой G с более высокими данными, но все равно Ту-2, безусловно, являлся самым быстроходным бомбардировщиком советских ВВС. Он летал быстрее и Пе-2, и Ил-4, и американского Дуглас А-20В. 10 августа Туполев доложил о достигнутых результатах Сталину. Успех был неоспорим. Но еще до первого полета Ту-2 с М-82ФН руководство страны уверилось в том, что "младенческие болезни" бомбардировщика практически преодолены (11988).</w:t>
      </w:r>
    </w:p>
    <w:p w14:paraId="0096AD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7FD8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в Кратово при посадке после перелета из Иваново, куда машина попала после ночного удара по станции Мга-9, разбился Пе-8 (ТБ-7) красная семерка (1103,124).</w:t>
      </w:r>
    </w:p>
    <w:p w14:paraId="569D64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6D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29 июля 1943 начались летные испытания Як-9-1 М-105ПД с увеличенной площадью крыла (1458,333). Поставленный ЦИАМ"ом мотор с увеличенной редукцией нагнетателя оказался с некондиционными шестернями, в результате чего испытания были начаты лишь 26 августа 1943 г. (1825,208).</w:t>
      </w:r>
    </w:p>
    <w:p w14:paraId="5B7219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41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в Летно-исследовательском институте начались летные испытания Як-9 (пока без гермокабины).</w:t>
      </w:r>
    </w:p>
    <w:p w14:paraId="0B95F7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пятом экземпляре Як-9 в июле заканчивали работы по улучшению маслосистемы и увеличению размаха крыла на один метр для повышения потолка до 12 000 м. При этом гермокабина отрабатывалась совместно с заводом № 482 (разработчиком) на Як-7 в ЛИИ.</w:t>
      </w:r>
    </w:p>
    <w:p w14:paraId="134D9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из первых полетов на высоте 11 км "обрезал" мотор, как оказалось, из-за плохой регулировки смеси высотным корректором.</w:t>
      </w:r>
    </w:p>
    <w:p w14:paraId="2303B1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удалось подняться на 12 500 м, но длительный полет оказался невозможен из-за перегрева двигателя и падения давления масла. По Як-9 с М-106, оснащенному двухскоростным нагнетателем, работа не проводилась из-за отсутствия мотора.</w:t>
      </w:r>
    </w:p>
    <w:p w14:paraId="5FCDC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сентябре-октябре 1943 года ЦИАМ передал в строевые части ПВО семь двигателей М-105ПД, запланированных на осень, включая два резервных, необходимых для постоянной эксплуатации самолетов Як-9.</w:t>
      </w:r>
    </w:p>
    <w:p w14:paraId="75704D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выпуска истребителя с еще большей площадью крыла и потолком 13 500 м ЦИАМ обязали к 4 октября изготовить и передать на завод № 115 два мотора с высотностью 9500 м. Однако довести двигатель не удалось, и ОКБ-115 вынуждено было приостановить работы по новому крылу.</w:t>
      </w:r>
    </w:p>
    <w:p w14:paraId="70662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году испытывался Як-9 с высотным двигателем ВК-105ПВ, оснащенным нагнетателем ЦИАМ Э100.</w:t>
      </w:r>
    </w:p>
    <w:p w14:paraId="1B40F2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все усилия, самолетостроители так и не смогли решить задачу создания высотного истребителя-перехватчика, причиной тому был низкий технологический уровень отечественного моторостроения и смежных отраслей промышленности (12046).</w:t>
      </w:r>
    </w:p>
    <w:p w14:paraId="25936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01A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экипаж И.И.Шиянова закончил летные испытания доработанного 103В с М-182ФНВ, которые проходили с 17 июля 1943. Скорость поднялась с 545 км/час до 568 км/час на 5050 и А.Н.Т. обратился в ГКО, что позволило возобновить серию Ту-2 (1835,25). Поставленный ЦИАМ"ом мотор с увеличенной редукцией нагнетателя оказался с некондиционными шестернями, в результате чего испытания были начаты лишь (1825,208).</w:t>
      </w:r>
    </w:p>
    <w:p w14:paraId="1050B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33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экипаж И.И.Шиянова закончил летные испытания доработанного 103В с М-182ФНВ, которые проходили с 17 июля 1934. Скорость поднялась с 545 км/час до 568 км/час на 5050 и А.Н.Т. обратился в ГКО, что позволило возобновить серию Ту-2 (1835,25).</w:t>
      </w:r>
    </w:p>
    <w:p w14:paraId="6E5C90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54F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Нач. ЦАГИ С.Н.Шишкин писал письмо N 732с НКАП А.И.Ш. в приложение справки о статиспытаниях самолета Костикова. Испытания проходили с 14 по 28 июня 1943 и не были закончены из-за преждевременного разрушения носовой части фюзеляжа (1783,107).</w:t>
      </w:r>
    </w:p>
    <w:p w14:paraId="7C90B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5D89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352C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A9BF3E"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29 июля по 1 августа каждая из трех машин СУ-85 прошла по 485 километров, из которых 373 по шоссе и 112 по просёлку. Самоходные установки преодолели маршрут из Свердловска в Челябинск и обратно.</w:t>
      </w:r>
    </w:p>
    <w:p w14:paraId="331A8E42"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Средние скорости движения по шоссе составили 22-24 км/ч, а по просёлку 16-18 км/ч. Это почти не отличалось от данных Т-34. При продолжительном движении на скорости выше 25 км/ч наблюдался выход из строя бандажей опорных катков. Это была проблема не только СУ-85, но и Т-34. Ходовые характеристики САУ практически не отличались от характеристик базового танка Т-34. Переделанный люк механика-водителя, который почти ничем не отличался от люка на Т-34, обеспечивал хорошую обзорность. Исключение составила СУ-85-IV, у которой массивная бронировка системы С-18 конструкции ЦАКБ сильно ограничивала обзор вправо. Общим недостатком всех СУ-85 и СУ-122-III было смещение сиденья механика-водителя вправо по отношению к центру люка, что несколько ухудшало обзор.</w:t>
      </w:r>
    </w:p>
    <w:p w14:paraId="1CD04090"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После ходовых испытаний были осмотрены орудия. Выяснилось, что вертикальная качка у всех систем калибра 85 мм увеличилась, особенно это касалось С-18-1.</w:t>
      </w:r>
    </w:p>
    <w:p w14:paraId="7C498BD5"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3-4 августа проводились испытания стрельбой. Д-5С-85 практически сразу вырвалась вперёд, прежде всего благодаря удобству работы расчёта. Благодаря меньшей длине отката, наибольшей площади для работы заряжающего и наиболее удобной высоте линии заряжания система оказалась самой скорострельной. Скорострельность С-18 и С-18-1 составила 6-7 выстрелов в минуту, а Д-5С-85 — 8. Впрочем, все представленные системы испытаний стрельбой не выдержали. У лидировавшей Д-5С-85 имели место отказы механизма спуска, 30% выстрелов происходили с проблемами при экстракции гильзы. Наблюдалась течь жидкости из тормоза отката, причём началась она уже после 10 выстрелов. За 266 выстрелов вытек примерно литр стеола. На 267-м выстреле произошёл недокат системы, тормоз </w:t>
      </w:r>
      <w:r w:rsidRPr="00271E51">
        <w:rPr>
          <w:color w:val="000000" w:themeColor="text1"/>
          <w:sz w:val="16"/>
          <w:szCs w:val="16"/>
        </w:rPr>
        <w:lastRenderedPageBreak/>
        <w:t>отката вышел из строя. Имелись у системы и конструктивные недостатки: расположение спускового механизма оказалось неудобным, а сам он оказался тугим.</w:t>
      </w:r>
    </w:p>
    <w:p w14:paraId="2C865B13"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проблемы с работой Д-5С-85 оказались сущей мелочью по сравнению с теми, которые проявились у пушек разработки ЦАКБ. Неприятности с С-18 начались уже после 5-го выстрела и продолжались в ходе последующих испытаний. За 80 выстрелов случаи отказа полуавтоматики произошли 15 раз. Неоднократно наблюдались случаи самозакрывания клина. За 40 выстрелов давление в накатнике снизилось с 28 до 23 атмосфер, кроме того, наблюдался быстрый разогрев жидкости. Отмечалось большое количество недокатов, после 70-го выстрела начались резкие накаты со стуком. После 200 выстрелов спусковой механизм полностью вышел из строя. Имелись у этого орудия и очень серьёзные конструктивные недостатки. Например, для долива жидкости в откатный механизм требовалось снять подвижную бронировку системы.</w:t>
      </w:r>
    </w:p>
    <w:p w14:paraId="3960A292"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Немного лучше дела обстояли с С-18-1, но и там многие проблемы С-18 повторились. Постепенно увеличивалась длина отката, наблюдалась течь жидкости после 173-х выстрелов. С 31-го выстрела начались резкие накаты со стуком. Из 110 последних выстрелов 47 происходило с самозакрыванием клина.</w:t>
      </w:r>
    </w:p>
    <w:p w14:paraId="4B499D7F"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 итогам сравнительных испытаний дальнейшая работа по системам С-18 и С-18-1 была прекращена, победителем в них вышла Д-5С-85. При этом заключительный вердикт предписывал доработать орудие, устранив выявленные дефекты. Не до конца соответствующим требованиям было признано и шасси СУ-85. Машину предлагалось пускать в серию с расширенным боевым отделением, по типу СУ-122М. Но на практике переделка боевого отделения оказалась совсем незначительной. СУ-85-II была принята на вооружение Красной армии в почти неизменном виде. Случилось это 8 августа 1943 года, когда Сталин подписал постановление ГКО №3892сс «Об организации производства 85 мм самоходных артустановок на базе танка Т-34 на Уралмашзаводе». Уже в августе в Свердловске выпустили первые серийные СУ-85.</w:t>
      </w:r>
    </w:p>
    <w:p w14:paraId="622BDE89" w14:textId="77777777" w:rsidR="00CA2DB6" w:rsidRPr="00271E51" w:rsidRDefault="00CA2DB6"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СУ-85 стала первой из серийных советских САУ, шасси и вооружение которой полностью было спроектировано в Свердловске. За разработку этой машины коллектив УЗТМ был представлен к правительственным наградам, самой высокой из которых стала Сталинская премия. Высокие награды получил и коллектив завода №9 (17704).</w:t>
      </w:r>
    </w:p>
    <w:p w14:paraId="48051FF6" w14:textId="77777777" w:rsidR="00CA2DB6" w:rsidRPr="00271E51" w:rsidRDefault="00CA2DB6" w:rsidP="00271E51">
      <w:pPr>
        <w:pStyle w:val="12a"/>
        <w:shd w:val="clear" w:color="auto" w:fill="auto"/>
        <w:spacing w:after="0" w:line="240" w:lineRule="auto"/>
        <w:jc w:val="both"/>
        <w:rPr>
          <w:color w:val="000000" w:themeColor="text1"/>
          <w:sz w:val="16"/>
          <w:szCs w:val="16"/>
        </w:rPr>
      </w:pPr>
    </w:p>
    <w:p w14:paraId="07A7F35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года вышел приказ № 391с НКВ</w:t>
      </w:r>
    </w:p>
    <w:p w14:paraId="512E20D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распоряжения ГКО от 27 июля 1943 года № ГОКО-3824с</w:t>
      </w:r>
    </w:p>
    <w:p w14:paraId="71AE138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Перевести оптико-механический завод № 355 из Томска новосибирской области в Загорск в помещения до эвакуации, принадлежащие заводу № 355 (6438, 95).</w:t>
      </w:r>
    </w:p>
    <w:p w14:paraId="3E30B3F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581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Адмиралтейцами заложен очередной МБК (10671).</w:t>
      </w:r>
    </w:p>
    <w:p w14:paraId="4FE37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9795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ED1A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3162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в 1943 году оперативная сводка Совинформбюро:</w:t>
      </w:r>
    </w:p>
    <w:p w14:paraId="00551D4D"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июля наши войска на Орловском направлении продолжали наступление и, продвинувшись на отдельных участках от 5 до 10 километров, заняли свыше 40 населённых пунктов.</w:t>
      </w:r>
    </w:p>
    <w:p w14:paraId="5C51CBB1"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и в Донбассе — поиски разведчиков.</w:t>
      </w:r>
    </w:p>
    <w:p w14:paraId="49003266"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продолжались усиленные поиски разведчиков и интенсивная артиллерийская перестрелка с обеих сторон.</w:t>
      </w:r>
    </w:p>
    <w:p w14:paraId="279A46E7"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июля на всех фронтах наши войска подбили и уничтожили 38 немецких танков. В воздушных боях и огнём зенитной артиллерии сбито 63 самолёта противника.</w:t>
      </w:r>
    </w:p>
    <w:p w14:paraId="649EC93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3A99E66C"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советские войска, преодолевая сопротивление противника, продвинулись вперёд и заняли ряд населённых пунктов. Немецкое командование по-прежнему перебрасывает на этот участок войска с других фронтов и резервы. Отмечено, в частности, прибытие маршевых батальонов из Франции и Германии. Бойцы Н-ской кавалерийской части стремительной атакой выбили немцев из трёх сильно укреплённых пунктов и нанесли им тяжёлый урон. На поле боя осталось до 600 вражеских трупов и много вооружения, брошенного противником. На другом участке полк немецкой пехоты при поддержке 30 танков дважды пытался атаковать наши части. В результате ожесточённого боя подбито и сожжено 10 немецких танков и уничтожено до батальона гитлеровцев.</w:t>
      </w:r>
    </w:p>
    <w:p w14:paraId="3D2993D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наши части отбили несколько ожесточённых контратак немецкой пехоты и нанесли противнику тяжёлый урон в живой силе.</w:t>
      </w:r>
    </w:p>
    <w:p w14:paraId="7F19EB2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части Н-ского соединения продвигались вперёд и заняли несколько населённых пунктов. Противник, прикрываясь водным рубежом, оказывал упорное сопротивление. Советские бойцы переправились через реку и овладели опорными пунктами немцев. В боях на этом участке уничтожено не менее 400 гитлеровцев, захвачены 16 складов боеприпасов и другие трофеи. Взяты пленные. На другом участке наши войска вели наступательные бои и истребили до 1.500 немецких солдат и офицеров. Подбито и сожжено 8 танков, уничтожено 42 автомашины, 5 артиллерийских и 8 миномётных батарей противника.</w:t>
      </w:r>
    </w:p>
    <w:p w14:paraId="205E687F"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активно действовали разведывательные группы. Подразделение гвардии старшего лейтенанта Прохорова атаковало противника, укрепившегося в одном населённом пункте. Приняв налёт разведчиков за атаку крупных сил, гитлеровцы начали разбегаться. Наши разведчики истребили 60 немецких солдат и офицеров и с помощью подоспевшей пехоты овладели населённым пунктом. На другом участке рота, которой командует лейтенант Тимошенко, отбила три контратаки противника. Понеся значительные потери, немцы отступили. На поле боя подобрано несколько пулемётов и много автоматов, брошенных гитлеровцами.</w:t>
      </w:r>
    </w:p>
    <w:p w14:paraId="60DB8E67"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юге, в Донбассе, происходили поиски разведчиков. Красноармеец т. Комолов скрытно подкрался к каменоломне и гранатами уничтожил вражеский пулемёт, обстреливавший наши подразделения. Несколько гитлеровцев, находившихся в каменоломне, сдались в плен. На другом участке рота немецких автоматчиков пыталась нанести фланговый удар подразделению Н-ской части. Пулемётчик т.Абрамов метким огнём уничтожил 40 гитлеровцев. Остальные немецкие автоматчики разбежались.</w:t>
      </w:r>
    </w:p>
    <w:p w14:paraId="61F2DD1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артиллерийские и миномётные подразделения обстреливали оборонительные сооружения и ближние тылы противника. Разрушено 36 дзотов, взорван склад боеприпасов и склад с горючим. Советские лётчики разбили и сожгли 5 воинских железнодорожных эшелонов противника. В воздушных боях сбито 6 немецких самолётов. Два советских штурмовика были атакованы двумя истребителями противника. Стрелки Колышев и Гоголев несколькими очередями сбили один истребитель «Фокке-Вульф-190». Другой немецкий истребитель вышел из боя искрылся.</w:t>
      </w:r>
    </w:p>
    <w:p w14:paraId="3D185C66"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Северо-Западном фронте подразделение старшего лейтенанта Криворотова под прикрытием артиллерийского огня вплотную приблизилось к опорному пункту противника. Как только артиллерийский огонь был перенесён в глубину немецкой обороны, наши бойцы ворвались во вражеские траншеи и в рукопашной схватке истребили более 100 солдат противника. Захвачены радиостанция, 7 пулемётов, много винтовок, автоматов и боеприпасов.</w:t>
      </w:r>
    </w:p>
    <w:p w14:paraId="6A9D92DD"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пленные.</w:t>
      </w:r>
    </w:p>
    <w:p w14:paraId="3A18120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Партизанские отряды Украины 25 июля пустили под откос более 30 немецких воинских эшелонов. В результате крушений разбиты 23 паровоза, много вагонов и платформ. Из-под обломков вагонов извлечены сотни трупов немецких солдат и офицеров. На многих участках железных дорог; где произошли крушения, движение поездов было приостановлено.</w:t>
      </w:r>
    </w:p>
    <w:p w14:paraId="4877BBE1"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лейтенант 216 немецкой пехотной дивизии Гельмут М. рассказал: «На днях из Германии вернулся обер-лейтенант, мой сослуживец. Перед отъездом из Берлина он побывал на собрании офицеров, на котором с речью о военном положении выступил Геринг. В небольшом кругу своих друзей обер-лейтенант пересказал содержание этой речи. Геринг нарисовал мрачную картину и заявил, что многие старые генералы обанкротились и доказали свою неспособность руководить военными операциями в нынешней обстановке. Он намекнул,что предстоит основательная чистка высшего офицерского состава, в результате которой кое-какие генералы будут выброшены на свалку. Коснувшись последних неудач немецких войск на Восточном фронте, Геринг подтвердил, что Германия переживает кризис и надо быть готовым ко всяким неприятным неожиданностям» (14967).</w:t>
      </w:r>
    </w:p>
    <w:p w14:paraId="346F88D2"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35E0B1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29 июля 1943 был завершен разгром болховской группировки н. Войска наступали на орловском и кромском направлениях. На орловском - в интересах 3ГТА действовало 120 ш, 112 б и 200 и 15ВА. Здесь воевала и Н-Н (340,150).</w:t>
      </w:r>
    </w:p>
    <w:p w14:paraId="07FB4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4D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29 июля 1943 в директиве штаба ВВС КА отмечалось: В период своего наступления с 5 июля противник ввел в бой крупные силы бомбардировочной и истребительной авиации. В ходе ожесточенной борьбы за господство в воздухе наряду с хорошими сторонами в использовании нашей истребительной авиации был выявлен ряд серьезных недочетов. Имелись случаи, когда наши истребители находились не в тех зонах, где требовала обстановка, действовали пассивно. Неоднократно радиостанции наведения не выполняли своих задач, т.к. командиры, руководящие их работой, по своей оперативно-тактической подготовке и опыту не могли правильно и быстро оценивать воздушную обстановку и управлять воздушным боем сообразно с изменением тактики воздушного противника. Штабы слабо учитывают тактику противника, не всегда добиваются быстрой и правдивой информации, вследствие чего не всегда являются подлинными органами управления... </w:t>
      </w:r>
      <w:r w:rsidRPr="00271E51">
        <w:rPr>
          <w:rFonts w:ascii="Times New Roman" w:hAnsi="Times New Roman"/>
          <w:color w:val="000000" w:themeColor="text1"/>
          <w:sz w:val="16"/>
          <w:szCs w:val="16"/>
          <w:lang w:val="en-US"/>
        </w:rPr>
        <w:t>(518,49).</w:t>
      </w:r>
    </w:p>
    <w:p w14:paraId="61B45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8B6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29, 1943: Fighting continues for the Island of Sicily. In the East, Armeegruppe A launches counter attacks to improve its positions along the Mius River (3819).</w:t>
      </w:r>
    </w:p>
    <w:p w14:paraId="02FD67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7FB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Группа А начала контрнаступление в районе р. Миусс для улучшения своей позиции (3819).</w:t>
      </w:r>
    </w:p>
    <w:p w14:paraId="14063F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5F03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4CE3A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A79213" w14:textId="77777777" w:rsidR="00D03F5E" w:rsidRPr="00271E51" w:rsidRDefault="00D03F5E"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г. в Министерстве авиации Германии обсуждался проект подводного ракетоносца, который должен был переплыть Атлантический океан и с расстояния 220 км запустить самолеты-снаряды V1 (Ненахов Ю.Ю. Чудо-оружие Третьего рейха. Минск: ХАРВЕСТ, 1999.).</w:t>
      </w:r>
    </w:p>
    <w:p w14:paraId="459BBE9D" w14:textId="77777777" w:rsidR="00D03F5E" w:rsidRPr="00271E51" w:rsidRDefault="00D03F5E"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подводного ракетоносца предстояло реализовать на базе подводной лодки XXI серии. Ударная подлодка для запуска V1 использовала водонепроницаемые контейнеры. Ангары для хранения самолетов-снарядов на подводной лодке, вероятно, размещались перед рубкой и за нею. Проект, однако, так и не был реализован.</w:t>
      </w:r>
    </w:p>
    <w:p w14:paraId="02EC7377" w14:textId="77777777" w:rsidR="00D03F5E" w:rsidRPr="00271E51" w:rsidRDefault="00D03F5E"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Проведенные в Пенемюнде опыты пуска «сухопутных» ракет 30 cm Wurfgranate 42 Spreng с подводной лодки U551 еще в 1942 г.</w:t>
      </w:r>
    </w:p>
    <w:p w14:paraId="44165B52" w14:textId="77777777" w:rsidR="00D03F5E" w:rsidRPr="00271E51" w:rsidRDefault="00D03F5E"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показали, что ракетный двигатель прекрасно работает и под водой. Сам способ подводного пуска способствовал дальности полета и рассеиванию ракет155. И хотя адмирал Дениц вначале отнесся к опытам братьев Штайнхоф без особого интереса, в конце войны германское руководство решило возложить на подводные лодки задачу нанесения «ударов возмездия» по американским городам. Для обстрела Нью-Йорка было предложено установить V1 на подводную лодку (11686).</w:t>
      </w:r>
    </w:p>
    <w:p w14:paraId="28BA3062" w14:textId="77777777" w:rsidR="00D03F5E" w:rsidRPr="00271E51" w:rsidRDefault="00D03F5E" w:rsidP="00271E51">
      <w:pPr>
        <w:autoSpaceDE w:val="0"/>
        <w:autoSpaceDN w:val="0"/>
        <w:adjustRightInd w:val="0"/>
        <w:spacing w:after="0" w:line="240" w:lineRule="auto"/>
        <w:jc w:val="both"/>
        <w:rPr>
          <w:rFonts w:ascii="Times New Roman" w:hAnsi="Times New Roman"/>
          <w:color w:val="000000" w:themeColor="text1"/>
          <w:sz w:val="16"/>
          <w:szCs w:val="16"/>
        </w:rPr>
      </w:pPr>
    </w:p>
    <w:p w14:paraId="3D52326E"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29–30 июля (ночь) 1943 - еще один налет на Гамбург 777 британских бомбардировщиков, нацеленных на неповрежденные районы в северной части города, в результате чего погибло еще около 1000 человек. Англичане теряют 28 самолетов (20376).</w:t>
      </w:r>
    </w:p>
    <w:p w14:paraId="15657B4F" w14:textId="77777777" w:rsidR="00CE7647" w:rsidRPr="00271E51" w:rsidRDefault="00CE7647" w:rsidP="00271E51">
      <w:pPr>
        <w:spacing w:after="0" w:line="240" w:lineRule="auto"/>
        <w:jc w:val="both"/>
        <w:rPr>
          <w:rFonts w:ascii="Times New Roman" w:hAnsi="Times New Roman"/>
          <w:color w:val="0070C0"/>
          <w:sz w:val="16"/>
          <w:szCs w:val="16"/>
        </w:rPr>
      </w:pPr>
    </w:p>
    <w:p w14:paraId="09DEF7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1943 1 млн. чел. покинули Гамбург (3481).</w:t>
      </w:r>
    </w:p>
    <w:p w14:paraId="49B83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09719"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в 1943 году в тезультате трех авианалетов англичан на Штуттгарт центр города был практически уничтожен, 898 человек погибло, 1916 было ранено (14967).</w:t>
      </w:r>
    </w:p>
    <w:p w14:paraId="35015C52"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103F7F26"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июля в 1943 году в успешная эвакуация японских войск с острова Кыска, не замеченная американской разведкой (14967).</w:t>
      </w:r>
    </w:p>
    <w:p w14:paraId="6EFD819C"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0E622F57" w14:textId="77777777" w:rsidR="00D03F5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7BEE535" w14:textId="77777777" w:rsidR="00D03F5E" w:rsidRPr="00271E51" w:rsidRDefault="00D03F5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C22D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20-х числах июля 1943 г. перелетевшее на аэродром Фоджа звено HI/KG 100 предприняло две безрезультатные попытки нанести удар по английским судам на рейде Аугусты и у Сиракуз. Опытные экземпляры FX1400, запускавшиеся с самолетов Do217, применялись и для нанесения ударов по Мальте. С наибольшим размахом бомбардировщики-носители УАБ использовались у Салерно и Анцио против корабельных десантных группировок с сильной ПВО, в условиях которой налеты самолетов других типов часто не имели успеха, а также против конвоев, идущих вдоль северо-африканского побережья - английских KMS, KMF и американских UGS. Вместе с тем выявился ряд недостатков FX1400. Бомба не мс пользоваться в условиях низкой облачности, т. к. минимальная ее сбрасывания равнялась 4000 м. Высокая бронепробиваемость игравшая свою положительную роль в случаях с "Ромой" и "Уорсп" оказалась излишней даже для крейсеров, не говоря уже об эсминцах и торговых судах. Как правило, "Фриц" прошивал корабль насквозь взрывался только в воде под ним. В итоге, немцы отказались от применения боеприпасов этого типа, и 19 ноября 1943 г. группа HI/KG 1C прибыла в Германию перевооружаться на Hs293. Немцы сразу учитывали возможность радиоподавления и создали альтернативную систему наведения УАБ - по проводам. Катушки с проводом крепились на законцовках крыльев самолета-носителя и бомбы, причем общая длина провода равнялась 30 км. Самолет оснащался передающим устройством FuG207 "Дормунд", а бомба - приемником FuG237 "Дуйсбург". В целом же система функционировала аналогично системе "Киль-Страсбург". Разрабатывалось также телевизионная система наведения УАБ. Однако ни теленаведение, ни управление по проводам не были применены в боевых условиях. Что касается самого радиоподавления, то относительно его эффективности имеются самые различные оценки. Эффективность вражеских помех так и осталась до конца не выясненной, так что готовая система управления бомбой по проводам осталась не востребованной (15139).</w:t>
      </w:r>
    </w:p>
    <w:p w14:paraId="4C811387"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0ED70D3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B21E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BDB8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комиссия назначенная совместным приказом НКАП и Командующего ВВС от 22 июня N 69/262, в составе...на предмет разработки мероприятий, обеспечивающих нормальную эксплуатацию самолетов Ил-2 в частях ВВС, начала работу (1779,255).</w:t>
      </w:r>
    </w:p>
    <w:p w14:paraId="424B15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23671" w14:textId="77777777" w:rsidR="00D03F5E" w:rsidRPr="00271E51" w:rsidRDefault="00D03F5E" w:rsidP="00271E51">
      <w:pPr>
        <w:pStyle w:val="a3"/>
        <w:rPr>
          <w:color w:val="000000" w:themeColor="text1"/>
          <w:lang w:val="ru-RU"/>
        </w:rPr>
      </w:pPr>
      <w:r w:rsidRPr="00271E51">
        <w:rPr>
          <w:color w:val="000000" w:themeColor="text1"/>
          <w:lang w:val="ru-RU"/>
        </w:rPr>
        <w:t>30 июня 1943 г. На основа</w:t>
      </w:r>
      <w:r w:rsidRPr="00271E51">
        <w:rPr>
          <w:color w:val="000000" w:themeColor="text1"/>
          <w:lang w:val="ru-RU"/>
        </w:rPr>
        <w:softHyphen/>
        <w:t>нии этого в акте 1 шак по войсковым испытаниям было рекомендовано снять ВМШ-2 с про</w:t>
      </w:r>
      <w:r w:rsidRPr="00271E51">
        <w:rPr>
          <w:color w:val="000000" w:themeColor="text1"/>
          <w:lang w:val="ru-RU"/>
        </w:rPr>
        <w:softHyphen/>
        <w:t>изводства, как не обеспечивающий повышение точности бомбометания. В июле этого же года НИИ АВ по зада</w:t>
      </w:r>
      <w:r w:rsidRPr="00271E51">
        <w:rPr>
          <w:color w:val="000000" w:themeColor="text1"/>
          <w:lang w:val="ru-RU"/>
        </w:rPr>
        <w:softHyphen/>
        <w:t>нию главного инженера ВВС КА генерал-полковника А.К. Репина разрабо</w:t>
      </w:r>
      <w:r w:rsidRPr="00271E51">
        <w:rPr>
          <w:color w:val="000000" w:themeColor="text1"/>
          <w:lang w:val="ru-RU"/>
        </w:rPr>
        <w:softHyphen/>
        <w:t>тал новую инструкцию по бомбомета</w:t>
      </w:r>
      <w:r w:rsidRPr="00271E51">
        <w:rPr>
          <w:color w:val="000000" w:themeColor="text1"/>
          <w:lang w:val="ru-RU"/>
        </w:rPr>
        <w:softHyphen/>
        <w:t xml:space="preserve">нию с Ил-2 при использовании </w:t>
      </w:r>
      <w:r w:rsidRPr="00271E51">
        <w:rPr>
          <w:color w:val="000000" w:themeColor="text1"/>
        </w:rPr>
        <w:t>BM</w:t>
      </w:r>
      <w:r w:rsidRPr="00271E51">
        <w:rPr>
          <w:color w:val="000000" w:themeColor="text1"/>
          <w:lang w:val="ru-RU"/>
        </w:rPr>
        <w:t>Ш- 2. Лётный состав маршевых полков, находящихся в 9 заб и участвовав</w:t>
      </w:r>
      <w:r w:rsidRPr="00271E51">
        <w:rPr>
          <w:color w:val="000000" w:themeColor="text1"/>
          <w:lang w:val="ru-RU"/>
        </w:rPr>
        <w:softHyphen/>
        <w:t>ший в отработке этой инструкции, дал положительные отзывы о ВМШ-2 и рекомендовал его для использова</w:t>
      </w:r>
      <w:r w:rsidRPr="00271E51">
        <w:rPr>
          <w:color w:val="000000" w:themeColor="text1"/>
          <w:lang w:val="ru-RU"/>
        </w:rPr>
        <w:softHyphen/>
        <w:t>ния в строевых частях на фронте при бомбометании как с горизонтального полёта, так и на выходе из планиро</w:t>
      </w:r>
      <w:r w:rsidRPr="00271E51">
        <w:rPr>
          <w:color w:val="000000" w:themeColor="text1"/>
          <w:lang w:val="ru-RU"/>
        </w:rPr>
        <w:softHyphen/>
        <w:t>вания (пикирования). С июля по август 1943 г. провели войсковые испытания ВМШ-2 с бомбометанием в боевых условиях по новой методике. Испыта</w:t>
      </w:r>
      <w:r w:rsidRPr="00271E51">
        <w:rPr>
          <w:color w:val="000000" w:themeColor="text1"/>
          <w:lang w:val="ru-RU"/>
        </w:rPr>
        <w:softHyphen/>
        <w:t>ния проводились в частях 1 шак, 2 шак и 3 ВА. Везде были получены положи</w:t>
      </w:r>
      <w:r w:rsidRPr="00271E51">
        <w:rPr>
          <w:color w:val="000000" w:themeColor="text1"/>
          <w:lang w:val="ru-RU"/>
        </w:rPr>
        <w:softHyphen/>
        <w:t>тельные отзывы. Временной механизм ВМШ-2 и инструкцию по бомбомета</w:t>
      </w:r>
      <w:r w:rsidRPr="00271E51">
        <w:rPr>
          <w:color w:val="000000" w:themeColor="text1"/>
          <w:lang w:val="ru-RU"/>
        </w:rPr>
        <w:softHyphen/>
        <w:t xml:space="preserve">нию с его помощью рекомендовалось внедрить в строевые части, устранив некоторые выявленные недостатки. К </w:t>
      </w:r>
      <w:r w:rsidRPr="00271E51">
        <w:rPr>
          <w:rStyle w:val="7TimesNewRoman1"/>
          <w:rFonts w:eastAsia="Arial Unicode MS"/>
          <w:bCs/>
          <w:strike w:val="0"/>
          <w:color w:val="000000" w:themeColor="text1"/>
          <w:spacing w:val="0"/>
          <w:lang w:val="ru-RU"/>
        </w:rPr>
        <w:t>февралю 1944</w:t>
      </w:r>
      <w:r w:rsidRPr="00271E51">
        <w:rPr>
          <w:color w:val="000000" w:themeColor="text1"/>
          <w:lang w:val="ru-RU"/>
        </w:rPr>
        <w:t xml:space="preserve"> г.</w:t>
      </w:r>
      <w:r w:rsidRPr="00271E51">
        <w:rPr>
          <w:rStyle w:val="7TimesNewRoman1"/>
          <w:rFonts w:eastAsia="Arial Unicode MS"/>
          <w:bCs/>
          <w:strike w:val="0"/>
          <w:color w:val="000000" w:themeColor="text1"/>
          <w:spacing w:val="0"/>
          <w:lang w:val="ru-RU"/>
        </w:rPr>
        <w:t xml:space="preserve"> завод № 589 НКВ</w:t>
      </w:r>
      <w:r w:rsidRPr="00271E51">
        <w:rPr>
          <w:color w:val="000000" w:themeColor="text1"/>
          <w:lang w:val="ru-RU"/>
        </w:rPr>
        <w:t>модернизировал ВМШ-2, учтя все пожелания фронтовых лётчиков. Постановлением ГКО</w:t>
      </w:r>
      <w:r w:rsidRPr="00271E51">
        <w:rPr>
          <w:color w:val="000000" w:themeColor="text1"/>
          <w:vertAlign w:val="superscript"/>
          <w:lang w:val="ru-RU"/>
        </w:rPr>
        <w:t>6</w:t>
      </w:r>
      <w:r w:rsidRPr="00271E51">
        <w:rPr>
          <w:color w:val="000000" w:themeColor="text1"/>
          <w:lang w:val="ru-RU"/>
        </w:rPr>
        <w:t xml:space="preserve"> от 6 апреля 1944 г. ВМШ-2 был официально запущен в серийное производство и стал устанав</w:t>
      </w:r>
      <w:r w:rsidRPr="00271E51">
        <w:rPr>
          <w:color w:val="000000" w:themeColor="text1"/>
          <w:lang w:val="ru-RU"/>
        </w:rPr>
        <w:softHyphen/>
        <w:t>ливаться на всех выпускаемых штурмовиках Ил-2.</w:t>
      </w:r>
    </w:p>
    <w:p w14:paraId="653F7C9E" w14:textId="77777777" w:rsidR="00D03F5E" w:rsidRPr="00271E51" w:rsidRDefault="00D03F5E" w:rsidP="00271E51">
      <w:pPr>
        <w:pStyle w:val="a3"/>
        <w:rPr>
          <w:color w:val="000000" w:themeColor="text1"/>
          <w:lang w:val="ru-RU"/>
        </w:rPr>
      </w:pPr>
      <w:r w:rsidRPr="00271E51">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271E51">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4F9CA4FF" w14:textId="77777777" w:rsidR="00D03F5E" w:rsidRPr="00271E51" w:rsidRDefault="00D03F5E" w:rsidP="00271E51">
      <w:pPr>
        <w:pStyle w:val="a3"/>
        <w:rPr>
          <w:color w:val="000000" w:themeColor="text1"/>
          <w:lang w:val="ru-RU"/>
        </w:rPr>
      </w:pPr>
      <w:r w:rsidRPr="00271E51">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47729E2E" w14:textId="77777777" w:rsidR="00D03F5E" w:rsidRPr="00271E51" w:rsidRDefault="00D03F5E" w:rsidP="00271E51">
      <w:pPr>
        <w:pStyle w:val="a3"/>
        <w:rPr>
          <w:color w:val="000000" w:themeColor="text1"/>
          <w:lang w:val="ru-RU"/>
        </w:rPr>
      </w:pPr>
      <w:r w:rsidRPr="00271E51">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271E51">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132B38DC" w14:textId="77777777" w:rsidR="00D03F5E" w:rsidRPr="00271E51" w:rsidRDefault="00D03F5E" w:rsidP="00271E51">
      <w:pPr>
        <w:pStyle w:val="a3"/>
        <w:rPr>
          <w:color w:val="000000" w:themeColor="text1"/>
          <w:lang w:val="ru-RU"/>
        </w:rPr>
      </w:pPr>
    </w:p>
    <w:p w14:paraId="7C310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 по приказу № 453с от на площадке завода № 451 НКАП в Москве организован филиал омского ОКБ завода № 20 (ОКБ завода № 20 НКАП, ОКБ-20 НКАП, МАП, Омское машиностроительное КБ (ОМКБ), АООТ, ОАО «ОМКБ» / г. Москва;  г. Омск ул. Герцена, 74 (1947 г.)/ /644116  г. Омск ул. Герцена, 312 тел. 68-17-03/) по разработке и выпуску опытных агрегатов. Для этого в Москву переведено необходимое оборудование и 50 работников ОКБ из Омска. Далее филиал преобразован в ОКБ-451.</w:t>
      </w:r>
    </w:p>
    <w:p w14:paraId="7F6D7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143с от 19.03.1946 г. ОКБ-451 стало головным, а ОКБ завода № 20 получило статус его филиала. По приказу № 299с от 15.05.1946 г. начальником филиала назначен Н.И. Топорский.</w:t>
      </w:r>
    </w:p>
    <w:p w14:paraId="249301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МАП № 436с от 5.07.1947 г. филиал преобразован в ОКБ-20 МАП при 8ГУ. В 08.1957 г.- в ведении ЗГУ МАП.</w:t>
      </w:r>
    </w:p>
    <w:p w14:paraId="36A5D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топливных насосов (1947-56 г.), систем топливопитания и регулирования ГТД: для ГТД-ЗФ (1961 г.), АИ-25, Д-36, Д-136, Д-18, АИ-24, подъемных двигателей, АИ-336 и АИ-22 (1990-е  г.). Разработка агрегатов системы смазки для РД-012. Струйные насосы (с 1963 г.). Агрегаты и системы для ВСУ: ТА-4ФА, ТА- 6А, ТА-8, ТА-12, ВСУ-10.</w:t>
      </w:r>
    </w:p>
    <w:p w14:paraId="143E0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(2002 г.): разработка топливорегулирующей аппаратуры для ГТД, насосов различного назначения, гидравлического инструмента; промышленные счетчики газа.</w:t>
      </w:r>
    </w:p>
    <w:p w14:paraId="2B3AF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1260E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(10.1940-02.1944 г.-)- П.Н. Тарасов, (07.1947-51 г.)- А.Н. Мельников, (1951-52 г.)- Н.И. Серяков, (1952-69 г.)- М.М. Тимофеев, (1969-74 г.)- П.Н. Мощенко, (1974-80 г.)- В.Ф. Березкин, (1980-2002 г.-)- А.А. Кульков,</w:t>
      </w:r>
      <w:r w:rsidRPr="00271E51">
        <w:rPr>
          <w:rFonts w:ascii="Times New Roman" w:hAnsi="Times New Roman"/>
          <w:color w:val="000000" w:themeColor="text1"/>
          <w:sz w:val="16"/>
          <w:szCs w:val="16"/>
          <w:vertAlign w:val="superscript"/>
        </w:rPr>
        <w:t>49</w:t>
      </w:r>
      <w:r w:rsidRPr="00271E51">
        <w:rPr>
          <w:rFonts w:ascii="Times New Roman" w:hAnsi="Times New Roman"/>
          <w:color w:val="000000" w:themeColor="text1"/>
          <w:sz w:val="16"/>
          <w:szCs w:val="16"/>
        </w:rPr>
        <w:t xml:space="preserve"> (2003-06 г.-)- Л. Г. Штеренберг {13.04.1946-}.</w:t>
      </w:r>
    </w:p>
    <w:p w14:paraId="7C00D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(1982-90 г.; 1992-2002 г.-&gt; А.А. Кульков, (2003-06 г.-)- Л. Г. Штеренбер г.</w:t>
      </w:r>
    </w:p>
    <w:p w14:paraId="46C59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1-й зам. гл. конструктора (1975 г.-)- А.А. Кульков. Зам. гл. конструктора (-10.1940 г.)- А.Н. Мельников, (1943 г.)- С.Я. Ясинский, (2002 г.)- Ю.Н. Сушков, (2002 г.)- </w:t>
      </w:r>
      <w:r w:rsidRPr="00271E51">
        <w:rPr>
          <w:rFonts w:ascii="Times New Roman" w:hAnsi="Times New Roman"/>
          <w:color w:val="000000" w:themeColor="text1"/>
          <w:sz w:val="16"/>
          <w:szCs w:val="16"/>
        </w:rPr>
        <w:lastRenderedPageBreak/>
        <w:t>А.Б. Каплан.</w:t>
      </w:r>
    </w:p>
    <w:p w14:paraId="262F18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(2002 г.)-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 Куров.</w:t>
      </w:r>
    </w:p>
    <w:p w14:paraId="77D10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экономике (-2002-03 г.)- Л. Г. Штеренбер г.</w:t>
      </w:r>
      <w:r w:rsidRPr="00271E51">
        <w:rPr>
          <w:rFonts w:ascii="Times New Roman" w:hAnsi="Times New Roman"/>
          <w:color w:val="000000" w:themeColor="text1"/>
          <w:sz w:val="16"/>
          <w:szCs w:val="16"/>
          <w:vertAlign w:val="superscript"/>
        </w:rPr>
        <w:t>69</w:t>
      </w:r>
    </w:p>
    <w:p w14:paraId="28A1A4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филиала (1943 г.-)- С.Я. Ясинский.</w:t>
      </w:r>
    </w:p>
    <w:p w14:paraId="5C338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КО- Л. Г. Штеренбер г.</w:t>
      </w:r>
    </w:p>
    <w:p w14:paraId="3F3C4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бригады- Л. Г. Штеренбер (11982).</w:t>
      </w:r>
    </w:p>
    <w:p w14:paraId="06355039" w14:textId="77777777" w:rsidR="00D03F5E" w:rsidRPr="00271E51" w:rsidRDefault="00D03F5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33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 по приказу № 453с на площадке завода № 451 (Завод № 451 НКАП, МАП, Московский машиностроительный завод (ММЗ) «Знамя», ОАО «ММЗ «Знамя» /г. Москва Старопетровский пр-д/ /127015  г. Москва ул. Б. Новодмитровская, 23 тел. 685-67-92/) организован филиал ОКБ завода № 20, далее это ОКБ-451.</w:t>
      </w:r>
    </w:p>
    <w:p w14:paraId="021F72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0B89A4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3A6578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СНХ РСФСР.</w:t>
      </w:r>
    </w:p>
    <w:p w14:paraId="61BAA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начале 1970-х  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271E51">
        <w:rPr>
          <w:rFonts w:ascii="Times New Roman" w:hAnsi="Times New Roman"/>
          <w:color w:val="000000" w:themeColor="text1"/>
          <w:sz w:val="16"/>
          <w:szCs w:val="16"/>
          <w:lang w:val="en-US"/>
        </w:rPr>
        <w:t>AEONCorporation</w:t>
      </w:r>
      <w:r w:rsidRPr="00271E51">
        <w:rPr>
          <w:rFonts w:ascii="Times New Roman" w:hAnsi="Times New Roman"/>
          <w:color w:val="000000" w:themeColor="text1"/>
          <w:sz w:val="16"/>
          <w:szCs w:val="16"/>
        </w:rPr>
        <w:t>.</w:t>
      </w:r>
    </w:p>
    <w:p w14:paraId="50D2E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455F0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Имеет термическое и литейное производство, испытательные стенды.</w:t>
      </w:r>
    </w:p>
    <w:p w14:paraId="6AE72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г.)-1100 чел.</w:t>
      </w:r>
    </w:p>
    <w:p w14:paraId="4033A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(-01-04.1943 г.-)- П.И. Герасимов, (1944-46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xml:space="preserve">. Лурье, (1949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xml:space="preserve">. Бриль,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17CBA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7C4C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1246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0A5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 обе машины (№ 1 и 2) "Объект 233" успешно прошли заводские ис</w:t>
      </w:r>
      <w:r w:rsidRPr="00271E51">
        <w:rPr>
          <w:rFonts w:ascii="Times New Roman" w:hAnsi="Times New Roman"/>
          <w:color w:val="000000" w:themeColor="text1"/>
          <w:sz w:val="16"/>
          <w:szCs w:val="16"/>
        </w:rPr>
        <w:softHyphen/>
        <w:t>пытания (начались со 2 июля), по результатам которых танк "Объект 237" постановлением ГКО от 4 сентября 1943 г. под маркой "ИС-1" был принят па вооруже</w:t>
      </w:r>
      <w:r w:rsidRPr="00271E51">
        <w:rPr>
          <w:rFonts w:ascii="Times New Roman" w:hAnsi="Times New Roman"/>
          <w:color w:val="000000" w:themeColor="text1"/>
          <w:sz w:val="16"/>
          <w:szCs w:val="16"/>
        </w:rPr>
        <w:softHyphen/>
        <w:t>ние РККА (10703).</w:t>
      </w:r>
    </w:p>
    <w:p w14:paraId="7D0B53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ADD5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вышло Распоряжение ГКО № 3833 [О продлении до 1 сентября 1943 г. срока мобилизации рабочих и возчиков с лошадьми, мобилизованных на дровопогрузку и поставку дров железным дорогам Постановление ГКОм ГКО № 3380 от 15 мая 1943 г.] (7127, 166</w:t>
      </w:r>
    </w:p>
    <w:p w14:paraId="08598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года - Распоряжение ГКО об организации геологоразведочных работ и добыче урана (10549).</w:t>
      </w:r>
    </w:p>
    <w:p w14:paraId="6D130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A7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вышло Распоряжение ГКО № 3834. О мерах по расширению поисково-разведочных и научно-методических работ по обнаружению урановых руд. РГАНИР, Фонд ГКО, д. РГАНИР, Фонд ГКО, д. 139, лл. 167-169, 170-176 (11012).</w:t>
      </w:r>
    </w:p>
    <w:p w14:paraId="5C1C60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D652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1943 г. </w:t>
      </w:r>
    </w:p>
    <w:p w14:paraId="620F9F8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Распоряжения ГКО № 3834сс </w:t>
      </w:r>
    </w:p>
    <w:p w14:paraId="0C66F32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 организации геолого-разведочных работ, добычи урана и производства урановых солей1 </w:t>
      </w:r>
    </w:p>
    <w:p w14:paraId="6489F59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 секретно </w:t>
      </w:r>
    </w:p>
    <w:p w14:paraId="1BA0132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Государственный комитет обороны </w:t>
      </w:r>
    </w:p>
    <w:p w14:paraId="670A87F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Распоряжение № 3834сс </w:t>
      </w:r>
    </w:p>
    <w:p w14:paraId="1A0F0AA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1943 г. Москва, Кремль </w:t>
      </w:r>
    </w:p>
    <w:p w14:paraId="4E18DFD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Обязать Комитет по делам геологии при Совнаркоме СССР (т. Малышева): </w:t>
      </w:r>
    </w:p>
    <w:p w14:paraId="2B5125C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провести в полевой период 1943 г. дополнительные поисково-разведочные работы на уран и другие радиоактивные элементы в соответствии с приложением № 1; </w:t>
      </w:r>
    </w:p>
    <w:p w14:paraId="632262B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организовать в 1943 г. проверку на радиоактивность образцов пород и руд в районах работ геолого-разведочных партий и ранее собранных геологических коллекций, хранящихся в музеях и геологических управлениях; </w:t>
      </w:r>
    </w:p>
    <w:p w14:paraId="3931B4C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составить и издать краткие инструкции по установлению признаков уранового оруднения2 и обнаружению месторождений урановых руд; </w:t>
      </w:r>
    </w:p>
    <w:p w14:paraId="42F1669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 составить совместно с Геологическим институтом Академии наук СССР к 1 октября 1943 г. план геологических и поисковых работ в 1944 г. с целью отыскания новых месторождений урановых руд3. </w:t>
      </w:r>
    </w:p>
    <w:p w14:paraId="41F9E4C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Разрешить Комитету по делам геологии при Совнаркоме СССР организовать при Всесоюзном институте минерального сырья урановый сектор, возложив на него обобщение материалов по поискам, разведкам и изучение радиоактивного минерального сырья, а также научно-методическое руководство этими работами и детальное минералогическое и технологическое изучение урановых руд и других радиоактивных элементов4. </w:t>
      </w:r>
    </w:p>
    <w:p w14:paraId="2ACAA76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Утвердить штат уранового сектора при Всесоюзном институте минерального сырья в количестве 15 человек и установить для них оклады согласно приложению № 2. </w:t>
      </w:r>
    </w:p>
    <w:p w14:paraId="3B84A64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Обязать Наркомфин СССР (т. Зверева) выделить в 1943 г. Комитету по делам геологии при СНК СССР дополнительно за счет резерва Совнаркома СССР 150 тыс. руб. на расходы по урановому сектору при Всесоюзном институте минерального сырья. </w:t>
      </w:r>
    </w:p>
    <w:p w14:paraId="6AEB004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Обязать Комитет по делам высшей школы при Совнаркоме СССР (т. Кафтанова): </w:t>
      </w:r>
    </w:p>
    <w:p w14:paraId="5476768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выделить до 10 августа 1943 г. и направить на постоянную работу в лаборатории Комитета по делам геологии при Совнаркоме СССР 18 физиков и химиков из числа преподавателей и студентов, оканчивающих вузы, для работ по урану, а также выделить для работ в полевых геолого-разведочных партиях в каникулярный период 1943 г. 450 студентов с распределением по районам согласно приложениям № 3 и 4; </w:t>
      </w:r>
    </w:p>
    <w:p w14:paraId="5FAD6DC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предоставить Комитету по делам геологии при Совнаркоме СССР на полевой период 1943 г. учебно-лабораторную аппаратуру вузов для оснащения ею полевых геолого-разведочных партий; </w:t>
      </w:r>
    </w:p>
    <w:p w14:paraId="1B5A7F7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организовать в зимний период 1943-1944 гг. в научных кабинетах вузов гг. Москвы, Баку, Ташкента, Алма-Аты и Владивостока определение радиоактивности образцов пород руд и вод, собранных геолого-разведочными партиями, в количествах и в сроки по согласованию с Комитетом по делам геологии при Совнаркоме СССР. </w:t>
      </w:r>
    </w:p>
    <w:p w14:paraId="79D87C8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Обязать Академию наук СССР (т. Комарова): </w:t>
      </w:r>
    </w:p>
    <w:p w14:paraId="012D21E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организовать при Узбекском филиале Академии наук СССР радиометрическую лабораторию для производства точных количественных определений на уран; </w:t>
      </w:r>
    </w:p>
    <w:p w14:paraId="3B7A67D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организовать в 1943-44 гг. в лабораториях филиалов, баз и соответствующих институтов Академии наук СССР работы по определению радиоактивности образцов пород руд и вод, собранных геолого-разведочными партиями, в количествах и в сроки по согласованию с Комитетом по делам геологии при Совнаркоме СССР5. </w:t>
      </w:r>
    </w:p>
    <w:p w14:paraId="61EF9E6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Обязать Наркомцветмет (т. Ломако): </w:t>
      </w:r>
    </w:p>
    <w:p w14:paraId="409C597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расширить фронт добычи наиболее обогащенных руд на Табошарском руднике, закончив к 1 октября 1943 г. откачку вод из 3-го горизонта и к 1 июля 1944 г. закончить разведку 4-го горизонта со вскрытием его; </w:t>
      </w:r>
    </w:p>
    <w:p w14:paraId="4920FCB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в целях повышения выпуска урановых солей на существующих производственных мощностях уранового предприятия 1-й очереди полностью закончить к 1 января 1944 г. строительство постоянных сортировочных устройств и обогатительной фабрики, обеспечив поступление на завод богатых урановых концентратов6; </w:t>
      </w:r>
    </w:p>
    <w:p w14:paraId="118C44E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закончить к 1 октября 1943 г. проект 2-й очереди рудника и завода по выпуску урановых солей с представлением одновременно предложений о мероприятиях, необходимых для осуществления быстрого строительства этого предприятия. Производительность уранового завода установить из расчета наиболее интенсивного использования выявленной сырьевой базы Табошарского уранового месторождения. </w:t>
      </w:r>
    </w:p>
    <w:p w14:paraId="4D3B7FB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8. Обязать Наркомсредмаш (т. Акопова), Наркомчермет (т. Тевосяна), Наркомбумпром (т. Чеботарева), Наркомрезинпром (т. Митрохина), Наркомлегпром СССР (т. Лукина), Наркомтекстиль СССР (т. Акимова), Наркомбоеприпасов (т. Ванникова) поставить Комитету по делам геологии при СНК СССР материалы и оборудование в количествах и в сроки согласно приложению № 5. </w:t>
      </w:r>
    </w:p>
    <w:p w14:paraId="7E9FAC1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Обязать Наркомуголь (т. Вахрушева) поставить Наркомцветмету оборудование в количествах и в сроки согласно приложению № 6. </w:t>
      </w:r>
    </w:p>
    <w:p w14:paraId="4E996D3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Зам[еститель] председателя Государственного комитета обороны </w:t>
      </w:r>
    </w:p>
    <w:p w14:paraId="6F0054E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В.Молотов7 [...] </w:t>
      </w:r>
    </w:p>
    <w:p w14:paraId="7AC65EB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 РФ. Ф.22, оп.1, д. 198, л.76-78. Подлинник (11323).</w:t>
      </w:r>
    </w:p>
    <w:p w14:paraId="272D4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BDB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Завершены ходовые испытания трех БМО, во время которых получена скорость хода 19-20 узлов; корабли переданы ВМФ. Вступил в строй очередной МО типа МО-4 (10671).</w:t>
      </w:r>
    </w:p>
    <w:p w14:paraId="066D7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FA66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6600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34A19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в 1943 году оперативная сводка Совинформбюро </w:t>
      </w:r>
    </w:p>
    <w:p w14:paraId="142844A6"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июля наши войска на ОРловском направлении продолжали наступление и, продвинувшись на отдельных участках от 4 до 8 километров, заняли свыше двадцати населённых пунктов.</w:t>
      </w:r>
    </w:p>
    <w:p w14:paraId="67DE5484"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усиленные поиски разведчиков.</w:t>
      </w:r>
    </w:p>
    <w:p w14:paraId="575D3F57"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отбивали атаки крупных сил пехоты и танков противника.</w:t>
      </w:r>
    </w:p>
    <w:p w14:paraId="2F53E25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продолжались усиленные поиски разведчиков и на отдельных участках шли бои местного значения.</w:t>
      </w:r>
    </w:p>
    <w:p w14:paraId="401E24F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июля на всех фронтах наши войска подбили и уничтожили 21 немецкий танк. В воздушных боях и огнём зенитной артиллерии сбито 37 самолётов противника.</w:t>
      </w:r>
    </w:p>
    <w:p w14:paraId="5F7D65B5"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68B3B741"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советские части, преодолевая сопротивление немцев, продвигались вперёд. Утром полк пехоты противника, поддержанный большой группой танков и несколькими десятками самолётов, контратаковал подразделения Н-ской гвардейской части. Стойкой обороной наши бойцы измотали немцев, а затем контрударом опрокинули врага и заняли сильно укреплённый пункт. В этом бою противник потерял убитыми до 800 солдат. Подбито и уничтожено 9 немецких танков. Подразделения Н-ской гвардейской кавалерийской части развивали наступление и выбили немцев из ряда населённых пунктов.</w:t>
      </w:r>
    </w:p>
    <w:p w14:paraId="518A2509"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бойцы Н-ской части отбили две контратаки пехоты и танковпротивника. Пленные немцы сообщили, что они только вчера доставлены на самолётах из Штеттина. На другом участке наши части за день боя истребили свыше 1.000 немецких солдат и офицеров. Группа бойцов во главе с лейтенантом Ведуниным проникла в тыл противника и внезапно ворвалась в деревню, занятую немцами. В рукопашной схватке наши бойцы уничтожили 60 гитлеровцев и удержали населённый пункт до подхода своей части.</w:t>
      </w:r>
    </w:p>
    <w:p w14:paraId="3BBB9DBE"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противник неоднократно переходил в контратаки, но под ударами наших частей откатывался и терял одну позицию за другой. Гитлеровцы несут тяжёлые потери в живой силе и технике. В течение дня Н-ским соединением уничтожено более 2.000 солдат и офицеров противника. Подбито 15 немецких танков, 2 самоходных орудия, уничтожено 17 орудий и 5 миномётных батарей. Нашими бойцами захвачены 6 танков, 12 орудий и другие трофеи.</w:t>
      </w:r>
    </w:p>
    <w:p w14:paraId="279F42D7"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происходили поиски разведчиков. На одном участке противник, стремясь захватить выгодную позицию, предпринял атаку силами пехоты и танков. Рота лёгких танков под командованием гвардии лейтенанта Остраева вступила в бой с противником. Уничтожив 3 вражеских танка, наши танкисты рассеяли и частью истребили наступавшую немецкую пехоту. Восемь наших истребителей под командованием старшего лейтенанта Голячкова перехватили 23 немецких самолёта, пытавшихся нанести удар по советским наземным войскам. Наши лётчики не дали врагу сбросить бомбы на цель и заставили его повернуть обратно. В ожесточённом воздушном бою т. Голячков сбил один «Юнкерс-87» и один «Мессершмитт-109». Лётчики Будашвили и Герасименко, действуя в паре, уничтожили 3 немецких самолёта. Все наши самолёты вернулись на свой аэродром.</w:t>
      </w:r>
    </w:p>
    <w:p w14:paraId="23D3EA27"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отбивали атаки крупных сил пехоты и танков противника. Немцы атакуют позиции, занятые в последних боях советскими войсками. Наши части, отражая атаки гитлеровцев, наносят противнику тяжёлый урон. Особенно большие потери несут немцы от огня советской артиллерии.</w:t>
      </w:r>
    </w:p>
    <w:p w14:paraId="13CAAEE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по неполным данным, сбили 14 немецких самолётов.</w:t>
      </w:r>
    </w:p>
    <w:p w14:paraId="61A50B31"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артиллерии и миномётов разрушено 52 немецких дзота и блиндажа, взорван склад с боеприпасами и уничтожено до батальона гитлеровцев. Наши лётчики взорвали 3 железнодорожных воинских состава и сбили 4 немецких самолёта. На одном участке группа разведчиков под командованием лейтенанта Юрина и младшего лейтенанта Яндаева проникла в немецкие траншеи и забросала гранатами находившихся в них гитлеровцев. Уничтожив большую группу гитлеровцев и захватив пленных, наши разведчики отошли на исходные позиции.</w:t>
      </w:r>
    </w:p>
    <w:p w14:paraId="13AB3BE2"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Калининском фронте разведывательная группа Н-ской части внезапным ударом выбила противника из населённого пункта и закрепилась в нём. На поле боя осталось 80 вражеских трупов. На другом участке наши разведчики напали на немецкую засаду и истребили 20 гитлеровцев.</w:t>
      </w:r>
    </w:p>
    <w:p w14:paraId="2B2501DA"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Финском заливе потоплен транспорт противника. Другому немецкому транспорту нанесены серьёзные повреждения.</w:t>
      </w:r>
    </w:p>
    <w:p w14:paraId="45C4DD3D"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нашими кораблями потоплены два сторожевых корабля противника.</w:t>
      </w:r>
    </w:p>
    <w:p w14:paraId="2C684D38"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из районов Орловской области немецко-фашистские оккупанты напали на партизанский отряд. Советские патриоты, подпустив гитлеровцев на близкое расстояние, встретили их метким огнём из всех видов оружия. Вражеская атака захлебнулась. Потеряв до 100 солдат убитыми и ранеными, противник отступил. Другой отряд орловских партизан внезапно атаковал колонну немецких солдат, направлявшихся к линии фронта. Убито 34 и ранено 58 гитлеровцев.»ю</w:t>
      </w:r>
    </w:p>
    <w:p w14:paraId="386731F0"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69F3A0CC" w14:textId="77777777" w:rsidR="00D03F5E" w:rsidRPr="00271E51" w:rsidRDefault="00D03F5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в 1943 году на орловском направлении войска Центрального фронта продвинулись в глубину обороны противника до 40 км (14968).</w:t>
      </w:r>
    </w:p>
    <w:p w14:paraId="426C9F6E" w14:textId="77777777" w:rsidR="00D03F5E" w:rsidRPr="00271E51" w:rsidRDefault="00D03F5E" w:rsidP="00271E51">
      <w:pPr>
        <w:spacing w:after="0" w:line="240" w:lineRule="auto"/>
        <w:jc w:val="both"/>
        <w:rPr>
          <w:rFonts w:ascii="Times New Roman" w:hAnsi="Times New Roman"/>
          <w:color w:val="000000" w:themeColor="text1"/>
          <w:sz w:val="16"/>
          <w:szCs w:val="16"/>
        </w:rPr>
      </w:pPr>
    </w:p>
    <w:p w14:paraId="5C2D19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w:t>
      </w:r>
    </w:p>
    <w:p w14:paraId="493161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907A5" w:rsidRPr="00271E51" w14:paraId="35F8AE18" w14:textId="77777777" w:rsidTr="00ED5B0A">
        <w:tc>
          <w:tcPr>
            <w:tcW w:w="1601" w:type="dxa"/>
            <w:tcBorders>
              <w:top w:val="single" w:sz="12" w:space="0" w:color="auto"/>
            </w:tcBorders>
          </w:tcPr>
          <w:p w14:paraId="066C44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027C1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27.06.42-18.09.42</w:t>
            </w:r>
          </w:p>
        </w:tc>
        <w:tc>
          <w:tcPr>
            <w:tcW w:w="1601" w:type="dxa"/>
            <w:tcBorders>
              <w:top w:val="single" w:sz="12" w:space="0" w:color="auto"/>
            </w:tcBorders>
          </w:tcPr>
          <w:p w14:paraId="6CA5E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26.01.43-01.04.43</w:t>
            </w:r>
          </w:p>
        </w:tc>
        <w:tc>
          <w:tcPr>
            <w:tcW w:w="1601" w:type="dxa"/>
            <w:tcBorders>
              <w:top w:val="single" w:sz="12" w:space="0" w:color="auto"/>
            </w:tcBorders>
          </w:tcPr>
          <w:p w14:paraId="34744B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05.07.43-30.07.43</w:t>
            </w:r>
          </w:p>
        </w:tc>
        <w:tc>
          <w:tcPr>
            <w:tcW w:w="1601" w:type="dxa"/>
            <w:tcBorders>
              <w:top w:val="single" w:sz="12" w:space="0" w:color="auto"/>
            </w:tcBorders>
          </w:tcPr>
          <w:p w14:paraId="6C735C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01.08.43-31.08.43 </w:t>
            </w:r>
          </w:p>
        </w:tc>
        <w:tc>
          <w:tcPr>
            <w:tcW w:w="1601" w:type="dxa"/>
            <w:tcBorders>
              <w:top w:val="single" w:sz="12" w:space="0" w:color="auto"/>
            </w:tcBorders>
          </w:tcPr>
          <w:p w14:paraId="20AAA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01.09.43-27.04.45</w:t>
            </w:r>
          </w:p>
        </w:tc>
        <w:tc>
          <w:tcPr>
            <w:tcW w:w="1601" w:type="dxa"/>
            <w:tcBorders>
              <w:top w:val="single" w:sz="12" w:space="0" w:color="auto"/>
            </w:tcBorders>
          </w:tcPr>
          <w:p w14:paraId="4E949A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27.06.42-27.04.45</w:t>
            </w:r>
          </w:p>
        </w:tc>
      </w:tr>
      <w:tr w:rsidR="00A907A5" w:rsidRPr="00271E51" w14:paraId="009DB28A" w14:textId="77777777" w:rsidTr="00ED5B0A">
        <w:tc>
          <w:tcPr>
            <w:tcW w:w="1601" w:type="dxa"/>
          </w:tcPr>
          <w:p w14:paraId="203B97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Общее кол-во боевых вылетов полка</w:t>
            </w:r>
          </w:p>
        </w:tc>
        <w:tc>
          <w:tcPr>
            <w:tcW w:w="1601" w:type="dxa"/>
          </w:tcPr>
          <w:p w14:paraId="291DA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w:t>
            </w:r>
          </w:p>
        </w:tc>
        <w:tc>
          <w:tcPr>
            <w:tcW w:w="1601" w:type="dxa"/>
          </w:tcPr>
          <w:p w14:paraId="7171AD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w:t>
            </w:r>
          </w:p>
        </w:tc>
        <w:tc>
          <w:tcPr>
            <w:tcW w:w="1601" w:type="dxa"/>
          </w:tcPr>
          <w:p w14:paraId="3122E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258</w:t>
            </w:r>
          </w:p>
        </w:tc>
        <w:tc>
          <w:tcPr>
            <w:tcW w:w="1601" w:type="dxa"/>
          </w:tcPr>
          <w:p w14:paraId="243598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253</w:t>
            </w:r>
          </w:p>
        </w:tc>
        <w:tc>
          <w:tcPr>
            <w:tcW w:w="1601" w:type="dxa"/>
          </w:tcPr>
          <w:p w14:paraId="371E9D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601" w:type="dxa"/>
          </w:tcPr>
          <w:p w14:paraId="2C7AD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4282</w:t>
            </w:r>
          </w:p>
        </w:tc>
      </w:tr>
      <w:tr w:rsidR="00A907A5" w:rsidRPr="00271E51" w14:paraId="07327CF8" w14:textId="77777777" w:rsidTr="00ED5B0A">
        <w:tc>
          <w:tcPr>
            <w:tcW w:w="1601" w:type="dxa"/>
          </w:tcPr>
          <w:p w14:paraId="3CD710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219D29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tc>
        <w:tc>
          <w:tcPr>
            <w:tcW w:w="1601" w:type="dxa"/>
          </w:tcPr>
          <w:p w14:paraId="253D5A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34,9</w:t>
            </w:r>
          </w:p>
        </w:tc>
        <w:tc>
          <w:tcPr>
            <w:tcW w:w="1601" w:type="dxa"/>
          </w:tcPr>
          <w:p w14:paraId="3DD22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63,3</w:t>
            </w:r>
          </w:p>
        </w:tc>
        <w:tc>
          <w:tcPr>
            <w:tcW w:w="1601" w:type="dxa"/>
          </w:tcPr>
          <w:p w14:paraId="435BAD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601" w:type="dxa"/>
          </w:tcPr>
          <w:p w14:paraId="2F2CE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tc>
        <w:tc>
          <w:tcPr>
            <w:tcW w:w="1601" w:type="dxa"/>
          </w:tcPr>
          <w:p w14:paraId="699EAB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45,6</w:t>
            </w:r>
          </w:p>
        </w:tc>
      </w:tr>
      <w:tr w:rsidR="00A907A5" w:rsidRPr="00271E51" w14:paraId="6106963C" w14:textId="77777777" w:rsidTr="00ED5B0A">
        <w:tc>
          <w:tcPr>
            <w:tcW w:w="1601" w:type="dxa"/>
          </w:tcPr>
          <w:p w14:paraId="36F0FC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560917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601" w:type="dxa"/>
          </w:tcPr>
          <w:p w14:paraId="35D7B9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tc>
        <w:tc>
          <w:tcPr>
            <w:tcW w:w="1601" w:type="dxa"/>
          </w:tcPr>
          <w:p w14:paraId="2FEBDD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w:t>
            </w:r>
          </w:p>
        </w:tc>
        <w:tc>
          <w:tcPr>
            <w:tcW w:w="1601" w:type="dxa"/>
          </w:tcPr>
          <w:p w14:paraId="06AE3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42,2</w:t>
            </w:r>
          </w:p>
        </w:tc>
        <w:tc>
          <w:tcPr>
            <w:tcW w:w="1601" w:type="dxa"/>
          </w:tcPr>
          <w:p w14:paraId="649E7C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w:t>
            </w:r>
          </w:p>
        </w:tc>
        <w:tc>
          <w:tcPr>
            <w:tcW w:w="1601" w:type="dxa"/>
          </w:tcPr>
          <w:p w14:paraId="2F295D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w:t>
            </w:r>
          </w:p>
        </w:tc>
      </w:tr>
      <w:tr w:rsidR="00A907A5" w:rsidRPr="00271E51" w14:paraId="676B0651" w14:textId="77777777" w:rsidTr="00ED5B0A">
        <w:tc>
          <w:tcPr>
            <w:tcW w:w="1601" w:type="dxa"/>
            <w:tcBorders>
              <w:bottom w:val="single" w:sz="12" w:space="0" w:color="auto"/>
            </w:tcBorders>
          </w:tcPr>
          <w:p w14:paraId="54BE5C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25FEF3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w:t>
            </w:r>
          </w:p>
        </w:tc>
        <w:tc>
          <w:tcPr>
            <w:tcW w:w="1601" w:type="dxa"/>
            <w:tcBorders>
              <w:bottom w:val="single" w:sz="12" w:space="0" w:color="auto"/>
            </w:tcBorders>
          </w:tcPr>
          <w:p w14:paraId="40CA4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tc>
        <w:tc>
          <w:tcPr>
            <w:tcW w:w="1601" w:type="dxa"/>
            <w:tcBorders>
              <w:bottom w:val="single" w:sz="12" w:space="0" w:color="auto"/>
            </w:tcBorders>
          </w:tcPr>
          <w:p w14:paraId="2A0FA3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w:t>
            </w:r>
          </w:p>
        </w:tc>
        <w:tc>
          <w:tcPr>
            <w:tcW w:w="1601" w:type="dxa"/>
            <w:tcBorders>
              <w:bottom w:val="single" w:sz="12" w:space="0" w:color="auto"/>
            </w:tcBorders>
          </w:tcPr>
          <w:p w14:paraId="34FE68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84,3</w:t>
            </w:r>
          </w:p>
        </w:tc>
        <w:tc>
          <w:tcPr>
            <w:tcW w:w="1601" w:type="dxa"/>
            <w:tcBorders>
              <w:bottom w:val="single" w:sz="12" w:space="0" w:color="auto"/>
            </w:tcBorders>
          </w:tcPr>
          <w:p w14:paraId="1EFE4A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127,9</w:t>
            </w:r>
          </w:p>
        </w:tc>
        <w:tc>
          <w:tcPr>
            <w:tcW w:w="1601" w:type="dxa"/>
            <w:tcBorders>
              <w:bottom w:val="single" w:sz="12" w:space="0" w:color="auto"/>
            </w:tcBorders>
          </w:tcPr>
          <w:p w14:paraId="1C89A4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55,9</w:t>
            </w:r>
          </w:p>
        </w:tc>
      </w:tr>
    </w:tbl>
    <w:p w14:paraId="0FDE3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(12020).</w:t>
      </w:r>
    </w:p>
    <w:p w14:paraId="5B706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AD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July 30, 1943: Armeegruppe A losses the initiative in its attack to secure its postions along the Mius River (3819).</w:t>
      </w:r>
    </w:p>
    <w:p w14:paraId="27482C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E71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Группа А остановила наступление, стремясь сохранить позиции на р Миус (3819).</w:t>
      </w:r>
    </w:p>
    <w:p w14:paraId="3A5292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DD93C" w14:textId="77777777" w:rsidR="0071533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A4377F6" w14:textId="77777777" w:rsidR="00715334" w:rsidRPr="00271E51" w:rsidRDefault="0071533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5DF5CE"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в 1943 году на взлетную полосу заводского аэродрома </w:t>
      </w:r>
      <w:hyperlink r:id="rId42" w:tgtFrame="_blank" w:history="1">
        <w:r w:rsidRPr="00271E51">
          <w:rPr>
            <w:rFonts w:ascii="Times New Roman" w:hAnsi="Times New Roman"/>
            <w:color w:val="000000" w:themeColor="text1"/>
            <w:sz w:val="16"/>
            <w:szCs w:val="16"/>
          </w:rPr>
          <w:t xml:space="preserve">«СААБ» </w:t>
        </w:r>
      </w:hyperlink>
      <w:r w:rsidRPr="00271E51">
        <w:rPr>
          <w:rFonts w:ascii="Times New Roman" w:hAnsi="Times New Roman"/>
          <w:color w:val="000000" w:themeColor="text1"/>
          <w:sz w:val="16"/>
          <w:szCs w:val="16"/>
        </w:rPr>
        <w:t>в Линчепинге выкатили первый прототип «J-21А» с заводским номером 21001 (14968).</w:t>
      </w:r>
    </w:p>
    <w:p w14:paraId="64ABA6B7"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2827B43E"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в 1943 году шеф-пилот фирмы «Arado» Зелле (Selle) с аэродрома в Рейне около Мюнстера впервые взлетел на реактивном </w:t>
      </w:r>
      <w:hyperlink r:id="rId43" w:tgtFrame="_blank" w:history="1">
        <w:r w:rsidRPr="00271E51">
          <w:rPr>
            <w:rFonts w:ascii="Times New Roman" w:hAnsi="Times New Roman"/>
            <w:color w:val="000000" w:themeColor="text1"/>
            <w:sz w:val="16"/>
            <w:szCs w:val="16"/>
          </w:rPr>
          <w:t xml:space="preserve">«Ar234V-l» </w:t>
        </w:r>
      </w:hyperlink>
      <w:r w:rsidRPr="00271E51">
        <w:rPr>
          <w:rFonts w:ascii="Times New Roman" w:hAnsi="Times New Roman"/>
          <w:color w:val="000000" w:themeColor="text1"/>
          <w:sz w:val="16"/>
          <w:szCs w:val="16"/>
        </w:rPr>
        <w:t>(заводской №130001). Полет, продолжавшийся 14 мин., прошел успешно, если не считать того, что при ударе о землю была полностью сломана тележка-шасси: при сбросе не открылись тормозные парашюты необычной платформы. Зелле был настолько уверен в характеристиках самолета, что уже во втором полете, длившемся 54 мин., достиг скорости 650 км/ч. Но в третьем вылете пришлось совершать вынужденную посадку из-за неполадок в системе управления двигателями</w:t>
      </w:r>
    </w:p>
    <w:p w14:paraId="163A685F"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77FB979A"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 июля 1943 - Шеф-пилот фирмы Arado Зелле (Selle) с аэродрома в Рейне около Мюнстера впервые взлетел на первом в мире реактивном бомбардировщике Ar234V-l (зав. №130001). Полет, продолжавшийся 14 мин., прошел успешно, если не считать того, что при ударе о землю была полностью сломана тележка-шасси: при сбросе не открылись тормозные парашюты необычной платформы. Зелле был настолько уверен в характеристиках самолета, что уже во втором полете, длившемся 54 мин., достиг скорости 650 км/ч. Но в третьем вылете пришлось совершать вынужденную посадку из-за неполадок в системе управления двигателями (22414).</w:t>
      </w:r>
    </w:p>
    <w:p w14:paraId="09F3F4D9" w14:textId="77777777" w:rsidR="00CE7647" w:rsidRPr="00271E51" w:rsidRDefault="00CE7647" w:rsidP="00271E51">
      <w:pPr>
        <w:spacing w:after="0" w:line="240" w:lineRule="auto"/>
        <w:jc w:val="both"/>
        <w:rPr>
          <w:rFonts w:ascii="Times New Roman" w:hAnsi="Times New Roman"/>
          <w:color w:val="0070C0"/>
          <w:sz w:val="16"/>
          <w:szCs w:val="16"/>
        </w:rPr>
      </w:pPr>
    </w:p>
    <w:p w14:paraId="6F04CCB8"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 июля 1943 г. прототип Ar 234V-1, пилотируемый летчиком-испытателем Гейнцем Зелле, совершил первый полет. Во втором полете была достигнута скорость 620 км/ч (22776).</w:t>
      </w:r>
    </w:p>
    <w:p w14:paraId="262EAF46" w14:textId="77777777" w:rsidR="00CE7647" w:rsidRPr="00271E51" w:rsidRDefault="00CE7647" w:rsidP="00271E51">
      <w:pPr>
        <w:spacing w:after="0" w:line="240" w:lineRule="auto"/>
        <w:jc w:val="both"/>
        <w:rPr>
          <w:rFonts w:ascii="Times New Roman" w:hAnsi="Times New Roman"/>
          <w:color w:val="0070C0"/>
          <w:sz w:val="16"/>
          <w:szCs w:val="16"/>
        </w:rPr>
      </w:pPr>
    </w:p>
    <w:p w14:paraId="59C2C0AE"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июля в 1943 году флот США заказал у «Локхида» 500 морских ударных самолетов </w:t>
      </w:r>
      <w:hyperlink r:id="rId44" w:tgtFrame="_blank" w:history="1">
        <w:r w:rsidRPr="00271E51">
          <w:rPr>
            <w:rFonts w:ascii="Times New Roman" w:hAnsi="Times New Roman"/>
            <w:color w:val="000000" w:themeColor="text1"/>
            <w:sz w:val="16"/>
            <w:szCs w:val="16"/>
          </w:rPr>
          <w:t xml:space="preserve">«PV-2» "Гарпун". </w:t>
        </w:r>
      </w:hyperlink>
      <w:r w:rsidRPr="00271E51">
        <w:rPr>
          <w:rFonts w:ascii="Times New Roman" w:hAnsi="Times New Roman"/>
          <w:color w:val="000000" w:themeColor="text1"/>
          <w:sz w:val="16"/>
          <w:szCs w:val="16"/>
        </w:rPr>
        <w:t>«PV-2» отличался также увеличенными маслорадиаторами и немного иной выхлопной системой (выхлоп сдвинули дальше назад). Изменилось остекление пилотской кабины: козырек стал округлым, а не V-образным. Первый "Гарпун" изготовили в Бэрбенке 8 ноября 1943 г. Летные испытания показали, что при тех же моторах, что и на «PV-1», новая модификация потеряла 20-30 км/ч скорости и стала менее маневренна. Зато улучшилась управляемость и в воздухе, и на земле, гораздо проще стало пилотировать машину на одном моторе (14968).</w:t>
      </w:r>
    </w:p>
    <w:p w14:paraId="1F66A795"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4037C6D6"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в 1943 году адмирал Канарис и шеф итальянской контрразведки, генерал Аме, проводят секретное совещание в Венеции. Аме заверяет Канариса в том, что «Италия продолжит борьбу и не капитулирует ни при каких обстоятельствах». Канарис докладывает о результатах переговоров оперативному управлению ОКБ (14968).</w:t>
      </w:r>
    </w:p>
    <w:p w14:paraId="36D3D310"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2D21C49F"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30–31 июля (ночь) 1943 273 британских бомбардировщика атакуют Ремшайд, Германия, потеряв 15 машин (20376).</w:t>
      </w:r>
    </w:p>
    <w:p w14:paraId="0380C5F5" w14:textId="77777777" w:rsidR="00CE7647" w:rsidRPr="00271E51" w:rsidRDefault="00CE7647" w:rsidP="00271E51">
      <w:pPr>
        <w:spacing w:after="0" w:line="240" w:lineRule="auto"/>
        <w:jc w:val="both"/>
        <w:rPr>
          <w:rFonts w:ascii="Times New Roman" w:hAnsi="Times New Roman"/>
          <w:color w:val="0070C0"/>
          <w:sz w:val="16"/>
          <w:szCs w:val="16"/>
        </w:rPr>
      </w:pPr>
    </w:p>
    <w:p w14:paraId="7754E60D"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в 1943 году Ф.Д.Рузвельт в послании Черчиллю писал: «Мы должны вступить в переговоры с любыми лицами в Италии, которые наилучшим образом, во-первых, обеспечат разоружение и, во-вторых, предотвратят хаос» (14968).</w:t>
      </w:r>
    </w:p>
    <w:p w14:paraId="0F0A6761"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1D2CA20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4507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7E6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Председатель комиссии генерал-лейтенант ИАС Шульговский писал письмо гл. инженеру ВВС генерал-полковнику Репину.</w:t>
      </w:r>
    </w:p>
    <w:p w14:paraId="2040AA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акт комиссии, назначенной совместным приказом командующего ВВС и наркома Авиапрома за N 64/262 от 22.06.43 года по разработке мероприятий, обеспечивающих нормальную эксплуатацию самолетов Ил-2 в частях ВВС докладываю, что по состоянию на 20 августа реализованы следующие предложения комиссии:</w:t>
      </w:r>
    </w:p>
    <w:p w14:paraId="6BE3E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дополнение к ранее разосланному в части ВВС бюллетеню завода N 30 17-Э по ремонту обшивки на самолетах Ил-2 мною утвержден бюллетень по дополнительному ремонту самолетов Ил-2 методом, разработанным гл. конструктором Ильюшиным (бюллетень разослан в части ВВС).</w:t>
      </w:r>
    </w:p>
    <w:p w14:paraId="21E3C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Разработана и разослана в части ВВС инструкция по ремонту лакокрасочных покрытий.</w:t>
      </w:r>
    </w:p>
    <w:p w14:paraId="395E0D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результате совещания со специалистами ВИАМ от 5.07.43 г. ВИАМ"ом разработана и находится на утверждении НКАП производственная инструкция по окраске, режимам сушки лакокрасочных покрытий на заводах НКАП.</w:t>
      </w:r>
    </w:p>
    <w:p w14:paraId="6839D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инструкции предусмотрено введение алюминиевого подслоя, антисептирование самолетов. Изменены режимы сушки, изменена технология в лакокрасочных покрытиях самолета.</w:t>
      </w:r>
    </w:p>
    <w:p w14:paraId="0D3A4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Самолеты Ил-2 на заводе N 30 выпускаются по вновь разработанной технологии и, надо полагать, что если технология не будет нарушаться, самолеты Ил-2 деревянной конструкции завода N 30 не будут вызывать сомнения в надежной их эксплуатации.</w:t>
      </w:r>
    </w:p>
    <w:p w14:paraId="0EF5CD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результате проверки летными испытаниями упражнений NN 28, 30 и 32 КБПША - 1943 комиссией установлено, что максимальные перегрузки при выполнении этих упражнений в НИИ ВВС были получены до 4 и в ЛИИ НКАП до 5, 15, что не выходит за пределы и не является опасным. По этому утверждения о том, что упражнения N 28, 30 и 32 вызывают большие перегрузки - не соответствует действительности.</w:t>
      </w:r>
    </w:p>
    <w:p w14:paraId="06D20C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Комиссия пришла к заключению, что до проведения дополнительного ремонта по технологии разработанной гл. конструктором Ильюшиным необходимо оставить в силе ранее данные ограничения для самолетов Ил-2. Шифрограммой N 55/41 от 2.05.43 г., т.е. ограничить скорость при выводе из пикирования до 420-430 км и не допускать углы при пикировании более 30 градусов.</w:t>
      </w:r>
    </w:p>
    <w:p w14:paraId="43299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акт комиссии на " " листах.</w:t>
      </w:r>
    </w:p>
    <w:p w14:paraId="2DA5E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w:t>
      </w:r>
    </w:p>
    <w:p w14:paraId="509F0B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июля 1943 года комиссия, назначенная совместным приказом НКАП и командующего ВВС от 22-го июня за N 64/262 в составе: председателя начальника управления технической эксплуатации ВВС генерал-лейтенанта ИАС Шульговского и членов: зам. начальника ГУЗ ВВС генерал-майора ИАС Бибикова, зам. начальника НИИ ВВС генерал-майора ИАС Федорова, начальника ЦАГИ НКАП профессора Шишкина, начальника ЛИИ НКАП профессора Чесалова, гл. конструктора самолета Ил-4 генерал-майора ИАС Ильюшина, пом. начальника НИИ ВВС по летной части полковника Кабанова, зам. начальника ЛИИ НКАП по летной части инженера-летчика Панкратова и от гл. управления формирования и боевой подготовки подполковника Браунштейн и майора Яшанова на предмет разработки мероприятий, обеспечивающих нормальную эксплуатацию самолетов Ил-2 в частях ВВС.</w:t>
      </w:r>
    </w:p>
    <w:p w14:paraId="0094F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своей работы комиссия установила:</w:t>
      </w:r>
    </w:p>
    <w:p w14:paraId="6DA34E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Ряд катастроф и аварий самолетов Ил-2 в частях ВВС произошло в результате недоброкачественного изготовления этих самолетов, на заводе N 30 НКАП. Из наличного количества самолетов Ил-2, находящихся в строю, требуют ремонта 63%.</w:t>
      </w:r>
    </w:p>
    <w:p w14:paraId="2D04F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характерными причинами недоброкачественного изготовления самолетов Ил-2 и, главным образом, самолетов завода N 30 послужило применение некондиционных материалов, плохое хранение авидревесины на складах, изменение технологии лакокрасочных покрытий, нарушение установленной технологии:</w:t>
      </w:r>
    </w:p>
    <w:p w14:paraId="32FE6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Произведенные ВИАМ анализы поставляемых заводам НКАП материалов (фанера, полотно, лаки, краски, шпаклевка и пр.) показали неудовлетворительное качество.</w:t>
      </w:r>
    </w:p>
    <w:p w14:paraId="65BAFF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Хранение авиадревесины и фанеры на заводе 30 не отвечает самым элементарным требованиям и не обеспечивает предохранения от воздействия атмосферных осадков и разрушений еще до использования в конструкции самолетов (авиадревесина на разгрузочной площадке завода 30 разгружена навалом, годная с негодной, лежит под открытым небом и мокнет под дождем) (1779).</w:t>
      </w:r>
    </w:p>
    <w:p w14:paraId="51E58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89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л завода 1 В.Т.Сахаров совершил катастрофу на Ил-2 в районе Куйбышевского аэродрома (2109).</w:t>
      </w:r>
    </w:p>
    <w:p w14:paraId="206754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30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А.И.Ш. писал Г.М.М. письмо N 3938:</w:t>
      </w:r>
    </w:p>
    <w:p w14:paraId="6F764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"Посылаю Вам для ознакомления таблицу сравнительных данных самолетов Ер-2 и Ил-6: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260"/>
      </w:tblGrid>
      <w:tr w:rsidR="00A907A5" w:rsidRPr="00271E51" w14:paraId="15C86198" w14:textId="77777777" w:rsidTr="00ED5B0A">
        <w:tc>
          <w:tcPr>
            <w:tcW w:w="3510" w:type="dxa"/>
          </w:tcPr>
          <w:p w14:paraId="288BD5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1797DB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с 2М-30Б</w:t>
            </w:r>
          </w:p>
        </w:tc>
        <w:tc>
          <w:tcPr>
            <w:tcW w:w="3260" w:type="dxa"/>
          </w:tcPr>
          <w:p w14:paraId="37DF8A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Ил-6 с 2М-30Б</w:t>
            </w:r>
          </w:p>
        </w:tc>
      </w:tr>
      <w:tr w:rsidR="00A907A5" w:rsidRPr="00271E51" w14:paraId="26603A6E" w14:textId="77777777" w:rsidTr="00ED5B0A">
        <w:tc>
          <w:tcPr>
            <w:tcW w:w="3510" w:type="dxa"/>
          </w:tcPr>
          <w:p w14:paraId="4354C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2653FF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w:t>
            </w:r>
          </w:p>
        </w:tc>
        <w:tc>
          <w:tcPr>
            <w:tcW w:w="3260" w:type="dxa"/>
          </w:tcPr>
          <w:p w14:paraId="7F8181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требованию</w:t>
            </w:r>
          </w:p>
        </w:tc>
      </w:tr>
      <w:tr w:rsidR="00A907A5" w:rsidRPr="00271E51" w14:paraId="3C0EE8E9" w14:textId="77777777" w:rsidTr="00ED5B0A">
        <w:tc>
          <w:tcPr>
            <w:tcW w:w="3510" w:type="dxa"/>
          </w:tcPr>
          <w:p w14:paraId="54AE4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E2D9F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 испытаний</w:t>
            </w:r>
          </w:p>
        </w:tc>
        <w:tc>
          <w:tcPr>
            <w:tcW w:w="3260" w:type="dxa"/>
          </w:tcPr>
          <w:p w14:paraId="773B6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ГКО N 2999сс</w:t>
            </w:r>
          </w:p>
        </w:tc>
      </w:tr>
      <w:tr w:rsidR="00A907A5" w:rsidRPr="00271E51" w14:paraId="59F01923" w14:textId="77777777" w:rsidTr="00ED5B0A">
        <w:tc>
          <w:tcPr>
            <w:tcW w:w="3510" w:type="dxa"/>
          </w:tcPr>
          <w:p w14:paraId="2309F4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4FF5EC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286F8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7 марта 1943</w:t>
            </w:r>
          </w:p>
        </w:tc>
      </w:tr>
      <w:tr w:rsidR="00A907A5" w:rsidRPr="00271E51" w14:paraId="1A0B0FEE" w14:textId="77777777" w:rsidTr="00ED5B0A">
        <w:tc>
          <w:tcPr>
            <w:tcW w:w="3510" w:type="dxa"/>
          </w:tcPr>
          <w:p w14:paraId="6B012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3544" w:type="dxa"/>
          </w:tcPr>
          <w:p w14:paraId="2748F1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w:t>
            </w:r>
          </w:p>
        </w:tc>
        <w:tc>
          <w:tcPr>
            <w:tcW w:w="3260" w:type="dxa"/>
          </w:tcPr>
          <w:p w14:paraId="346ECF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w:t>
            </w:r>
          </w:p>
        </w:tc>
      </w:tr>
      <w:tr w:rsidR="00A907A5" w:rsidRPr="00271E51" w14:paraId="4022F5A3" w14:textId="77777777" w:rsidTr="00ED5B0A">
        <w:tc>
          <w:tcPr>
            <w:tcW w:w="3510" w:type="dxa"/>
          </w:tcPr>
          <w:p w14:paraId="356ED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3544" w:type="dxa"/>
          </w:tcPr>
          <w:p w14:paraId="779D15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5266</w:t>
            </w:r>
          </w:p>
        </w:tc>
        <w:tc>
          <w:tcPr>
            <w:tcW w:w="3260" w:type="dxa"/>
          </w:tcPr>
          <w:p w14:paraId="604E8A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w:t>
            </w:r>
          </w:p>
        </w:tc>
      </w:tr>
      <w:tr w:rsidR="00A907A5" w:rsidRPr="00271E51" w14:paraId="7CB9C876" w14:textId="77777777" w:rsidTr="00ED5B0A">
        <w:tc>
          <w:tcPr>
            <w:tcW w:w="3510" w:type="dxa"/>
          </w:tcPr>
          <w:p w14:paraId="18363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полета при 1000 кг</w:t>
            </w:r>
          </w:p>
        </w:tc>
        <w:tc>
          <w:tcPr>
            <w:tcW w:w="3544" w:type="dxa"/>
          </w:tcPr>
          <w:p w14:paraId="722CD8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D804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3F31BD" w14:textId="77777777" w:rsidTr="00ED5B0A">
        <w:tc>
          <w:tcPr>
            <w:tcW w:w="3510" w:type="dxa"/>
          </w:tcPr>
          <w:p w14:paraId="7E4C45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 10: запасе горючего</w:t>
            </w:r>
          </w:p>
        </w:tc>
        <w:tc>
          <w:tcPr>
            <w:tcW w:w="3544" w:type="dxa"/>
          </w:tcPr>
          <w:p w14:paraId="4F005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354</w:t>
            </w:r>
          </w:p>
        </w:tc>
        <w:tc>
          <w:tcPr>
            <w:tcW w:w="3260" w:type="dxa"/>
          </w:tcPr>
          <w:p w14:paraId="5C3744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w:t>
            </w:r>
          </w:p>
        </w:tc>
      </w:tr>
      <w:tr w:rsidR="00A907A5" w:rsidRPr="00271E51" w14:paraId="44DFD8A2" w14:textId="77777777" w:rsidTr="00ED5B0A">
        <w:tc>
          <w:tcPr>
            <w:tcW w:w="3510" w:type="dxa"/>
          </w:tcPr>
          <w:p w14:paraId="4663EC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с 4000 кг</w:t>
            </w:r>
          </w:p>
        </w:tc>
        <w:tc>
          <w:tcPr>
            <w:tcW w:w="3544" w:type="dxa"/>
          </w:tcPr>
          <w:p w14:paraId="027EC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3260" w:type="dxa"/>
          </w:tcPr>
          <w:p w14:paraId="5544A0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bl>
    <w:p w14:paraId="5A8692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Данные по дальности и скорости полета, указанные в п. 2 для самолета Ер-2 получены при полете по маршруту Москва - Омск - Москва (1697,232).</w:t>
      </w:r>
    </w:p>
    <w:p w14:paraId="77ADFA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7C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вышел приказ НКАП и командующего АДД N 464ас/0025:</w:t>
      </w:r>
    </w:p>
    <w:p w14:paraId="563D7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ускорения проведения испытаний самолета Ил-6 с М-30Б:</w:t>
      </w:r>
    </w:p>
    <w:p w14:paraId="10261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Назначить комиссию по определению готовности самолета Ил-6 с моторами М-30Б к первому вылету...</w:t>
      </w:r>
    </w:p>
    <w:p w14:paraId="20CC6F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в виду, что весовые данные самолета Ил-6 и расположение центра тяжести соответствуют расчетным данным и в связи с длительностью проведения стат. испытаний самолета Ил-6, комиссии представляется право на основании имеющихся расчетных материалов принять решение на месте по выпуску самолета Ил-6 в полетные испытания.</w:t>
      </w:r>
    </w:p>
    <w:p w14:paraId="5DDB1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Первый полет и полеты для отработки ВМГ производить на заводе 39 в Иркутске.</w:t>
      </w:r>
    </w:p>
    <w:p w14:paraId="38C5F1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Комиссии провести летные испытания самолета Ил-4, построенного заводом 39 с изменениями, согласно приказа НКАП N 172 от 27 марта 1943 и дать заключение о запуске в серийное производство (А.И.Ш., зам. ком. Медведев) (1738,136).</w:t>
      </w:r>
    </w:p>
    <w:p w14:paraId="1CBD28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C12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Дементьев писал Зам. командующему АДД М.И.Шевелеву письмо N Н-34/3078:</w:t>
      </w:r>
    </w:p>
    <w:p w14:paraId="51596C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ЦАГИ и ЛИИ проводятся совместные испытания самолета Ил-4 по улучшению летных и эксплуатационных качеств самолета Ил-4.</w:t>
      </w:r>
    </w:p>
    <w:p w14:paraId="6EAEA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Выделенный НКАП для этой цели самолет Ил-4 во время проведения летных испытаний потерпел аварию и разбился.</w:t>
      </w:r>
    </w:p>
    <w:p w14:paraId="3D2AA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большой необходимости проведения работы по улучшению качеств самолета Ил-4 и значительности ожидаемых результатов, прошу Вашего распоряжения о передаче ЛИИ одного самолета Ил-4, для проведения указанных работ." (1779,7).</w:t>
      </w:r>
    </w:p>
    <w:p w14:paraId="27DBE9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A6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года Дементьев писал письмо N Н-34/3078 зам. командующего авиацией дальнего действия генерал-лейтенанту авиации Шевелеву М.И.</w:t>
      </w:r>
    </w:p>
    <w:p w14:paraId="356DF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ЦАГИ и ЛИИ проводятся совместные испытания самолета Ил-4 по улучшению летных и эксплуатационных качеств самолета Ил-4.</w:t>
      </w:r>
    </w:p>
    <w:p w14:paraId="57F07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Выделенный НКАП для этой цели самолет Ил-4 во время проведения летных испытаний потерпел аварию и разбился.</w:t>
      </w:r>
    </w:p>
    <w:p w14:paraId="3F1A7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большой необходимости проведения работы по улучшению качества самолета Ил-4 и значительности ожидаемых результатов, прошу Вашего распоряжения о передаче ЛИИ одного самолета Ил-4, для проведения указанных работ (1779,7).</w:t>
      </w:r>
    </w:p>
    <w:p w14:paraId="75D5CF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D04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В.И.Юганов облетел Як-9ПД, сделанный на основе машины N 01-29, с высотой 13000 м и его передали в ЛИИ. Гермокабину поставить не удалось (65,124).</w:t>
      </w:r>
    </w:p>
    <w:p w14:paraId="0AE05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37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31 июля по 25 сентября 1943 в ЛИИ проходили испытания Як-9 с М-107А N 51, 53, 54 (которые поступили с 31 июля по 2 августа) и N 128 который поступил 25 августа для испытаний с целью доводки ВМГ (1783,208).</w:t>
      </w:r>
    </w:p>
    <w:p w14:paraId="7B7941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26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Нач. управления технической эксплуатации ВВС КА г-л ис Шульговский утвердил Инструкцию по подготовке к эксплуатации самолетов Як-1, Як-7, Як-9, Ла-5, Ил-2 и Пе-2 в зимний период 1943/1944 г. (436).</w:t>
      </w:r>
    </w:p>
    <w:p w14:paraId="089D4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202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3836 О ремонте самолетов, авиационных моторов и материально-техническом обеспечении реморганов ВВС КА, АДД, ВВС ВМФ и ГУГВФ в III квартале 1943 года. (7128, 1-7,8-145).</w:t>
      </w:r>
    </w:p>
    <w:p w14:paraId="5AA5A40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9AC876"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bdr w:val="none" w:sz="0" w:space="0" w:color="auto" w:frame="1"/>
        </w:rPr>
        <w:t>31 июля 1943 г. последовало специальное обращение к генералу г. Арнольду, начальнику штаба ВВС армии США  по вопросу закупки мощного 18-цилиндрового двигателя </w:t>
      </w:r>
      <w:r w:rsidRPr="00271E51">
        <w:rPr>
          <w:rFonts w:ascii="Times New Roman" w:hAnsi="Times New Roman"/>
          <w:color w:val="0070C0"/>
          <w:sz w:val="16"/>
          <w:szCs w:val="16"/>
          <w:bdr w:val="none" w:sz="0" w:space="0" w:color="auto" w:frame="1"/>
          <w:lang w:val="en-US"/>
        </w:rPr>
        <w:t>R</w:t>
      </w:r>
      <w:r w:rsidRPr="00271E51">
        <w:rPr>
          <w:rFonts w:ascii="Times New Roman" w:hAnsi="Times New Roman"/>
          <w:color w:val="0070C0"/>
          <w:sz w:val="16"/>
          <w:szCs w:val="16"/>
          <w:bdr w:val="none" w:sz="0" w:space="0" w:color="auto" w:frame="1"/>
        </w:rPr>
        <w:t>-3350,</w:t>
      </w:r>
      <w:r w:rsidRPr="00271E51">
        <w:rPr>
          <w:rFonts w:ascii="Times New Roman" w:hAnsi="Times New Roman"/>
          <w:color w:val="0070C0"/>
          <w:sz w:val="16"/>
          <w:szCs w:val="16"/>
          <w:bdr w:val="none" w:sz="0" w:space="0" w:color="auto" w:frame="1"/>
          <w:lang w:val="en-US"/>
        </w:rPr>
        <w:t> </w:t>
      </w:r>
      <w:r w:rsidRPr="00271E51">
        <w:rPr>
          <w:rFonts w:ascii="Times New Roman" w:hAnsi="Times New Roman"/>
          <w:color w:val="0070C0"/>
          <w:sz w:val="16"/>
          <w:szCs w:val="16"/>
          <w:bdr w:val="none" w:sz="0" w:space="0" w:color="auto" w:frame="1"/>
        </w:rPr>
        <w:t>который хотели заполучить еще в 1940 г.. 6 августа он дал ответ: «ситуация изучается». 15 августа решение «временно отложили», а 2 сентября отправили официальный отказ. Параллельно велись переговоры с фирмой «Райт», готовой предоставить лицензию, но только с согласия военных (21511).</w:t>
      </w:r>
    </w:p>
    <w:p w14:paraId="7C094CBA" w14:textId="77777777" w:rsidR="00CE7647" w:rsidRPr="00271E51" w:rsidRDefault="00CE7647" w:rsidP="00271E51">
      <w:pPr>
        <w:spacing w:after="0" w:line="240" w:lineRule="auto"/>
        <w:jc w:val="both"/>
        <w:rPr>
          <w:rFonts w:ascii="Times New Roman" w:hAnsi="Times New Roman"/>
          <w:color w:val="0070C0"/>
          <w:sz w:val="16"/>
          <w:szCs w:val="16"/>
        </w:rPr>
      </w:pPr>
    </w:p>
    <w:p w14:paraId="1F92E36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вышел приказ НКАП № 459с:</w:t>
      </w:r>
    </w:p>
    <w:p w14:paraId="612BDDF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развития пр-ва специнструментов и приспособлений:</w:t>
      </w:r>
    </w:p>
    <w:p w14:paraId="6AEEE887" w14:textId="77777777" w:rsidR="00BA7A65" w:rsidRPr="00271E51" w:rsidRDefault="00BA7A65"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Оргавиапрома Чечневы приступить к организации на плозадке з-да № 453 про-ва специнструмента и приспособлений, дублирующего пр-во з-да № 165,</w:t>
      </w:r>
    </w:p>
    <w:p w14:paraId="6A5B6BCA" w14:textId="77777777" w:rsidR="00BA7A65" w:rsidRPr="00271E51" w:rsidRDefault="00BA7A65"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 453 передать в ведение Оргавиапрома и в дальнейшем считать ф-лом з-да № 165.</w:t>
      </w:r>
    </w:p>
    <w:p w14:paraId="5043223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(1730, 203).</w:t>
      </w:r>
    </w:p>
    <w:p w14:paraId="3A83644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5DABC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 по приказу № 459с на заводе (Завод № 453 НКАП /г. Москва Тушино/)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222A1C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29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31 июля 1943 г. по приказу № 459с завод № 453 </w:t>
      </w:r>
      <w:r w:rsidRPr="00271E51">
        <w:rPr>
          <w:rFonts w:ascii="Times New Roman" w:hAnsi="Times New Roman"/>
          <w:color w:val="000000" w:themeColor="text1"/>
          <w:sz w:val="16"/>
          <w:szCs w:val="16"/>
          <w:lang w:val="en-US"/>
        </w:rPr>
        <w:t>HKAII</w:t>
      </w:r>
      <w:r w:rsidRPr="00271E51">
        <w:rPr>
          <w:rFonts w:ascii="Times New Roman" w:hAnsi="Times New Roman"/>
          <w:color w:val="000000" w:themeColor="text1"/>
          <w:sz w:val="16"/>
          <w:szCs w:val="16"/>
        </w:rPr>
        <w:t xml:space="preserve"> (Тушино) реорганизован в филиал завода № 165 ОАП НКАП.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618E9E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377175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16C6D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65AC9D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2A18B2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108C8E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 г. двигателям ОКБ присвоено наименование «АЛ».</w:t>
      </w:r>
    </w:p>
    <w:p w14:paraId="7B36B4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СМ СССР от 06.1950 г. ОКБ выдано задание на создание ТРД АЛ-5.</w:t>
      </w:r>
    </w:p>
    <w:p w14:paraId="7CC5EA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355-161сс от 2.03.1954 г. начата разработка АЛ-7.</w:t>
      </w:r>
    </w:p>
    <w:p w14:paraId="4FC19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504A4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4D0D9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1CD69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КБ переехало в новое здание.</w:t>
      </w:r>
    </w:p>
    <w:p w14:paraId="6E5F7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5F9C4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1960-е  г. разрабатывался воздушно-водородный двигатель </w:t>
      </w:r>
      <w:r w:rsidRPr="00271E51">
        <w:rPr>
          <w:rFonts w:ascii="Times New Roman" w:hAnsi="Times New Roman"/>
          <w:color w:val="000000" w:themeColor="text1"/>
          <w:sz w:val="16"/>
          <w:szCs w:val="16"/>
          <w:lang w:val="en-US"/>
        </w:rPr>
        <w:t>AJI</w:t>
      </w:r>
      <w:r w:rsidRPr="00271E51">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271E51">
        <w:rPr>
          <w:rFonts w:ascii="Times New Roman" w:hAnsi="Times New Roman"/>
          <w:color w:val="000000" w:themeColor="text1"/>
          <w:sz w:val="16"/>
          <w:szCs w:val="16"/>
          <w:lang w:val="en-US"/>
        </w:rPr>
        <w:t>AJI</w:t>
      </w:r>
      <w:r w:rsidRPr="00271E51">
        <w:rPr>
          <w:rFonts w:ascii="Times New Roman" w:hAnsi="Times New Roman"/>
          <w:color w:val="000000" w:themeColor="text1"/>
          <w:sz w:val="16"/>
          <w:szCs w:val="16"/>
        </w:rPr>
        <w:t>-31.</w:t>
      </w:r>
    </w:p>
    <w:p w14:paraId="096109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6AA589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1981 г. начаты работы по двигателю 5-го поколения «изд. 20» (АЛ-41Ф) для МФИ, проект завершен в 1984 г. С 1988 г. до 2006 г. в ОКБ собрано 27 двигателей.</w:t>
      </w:r>
      <w:r w:rsidRPr="00271E51">
        <w:rPr>
          <w:rFonts w:ascii="Times New Roman" w:hAnsi="Times New Roman"/>
          <w:color w:val="000000" w:themeColor="text1"/>
          <w:sz w:val="16"/>
          <w:szCs w:val="16"/>
          <w:vertAlign w:val="superscript"/>
        </w:rPr>
        <w:t>140</w:t>
      </w:r>
    </w:p>
    <w:p w14:paraId="6B93E4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23A60E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34780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7BC9C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271E51">
        <w:rPr>
          <w:rFonts w:ascii="Times New Roman" w:hAnsi="Times New Roman"/>
          <w:color w:val="000000" w:themeColor="text1"/>
          <w:sz w:val="16"/>
          <w:szCs w:val="16"/>
          <w:lang w:val="en-US"/>
        </w:rPr>
        <w:t>SaM</w:t>
      </w:r>
      <w:r w:rsidRPr="00271E51">
        <w:rPr>
          <w:rFonts w:ascii="Times New Roman" w:hAnsi="Times New Roman"/>
          <w:color w:val="000000" w:themeColor="text1"/>
          <w:sz w:val="16"/>
          <w:szCs w:val="16"/>
        </w:rPr>
        <w:t xml:space="preserve"> 146 для </w:t>
      </w:r>
      <w:r w:rsidRPr="00271E51">
        <w:rPr>
          <w:rFonts w:ascii="Times New Roman" w:hAnsi="Times New Roman"/>
          <w:color w:val="000000" w:themeColor="text1"/>
          <w:sz w:val="16"/>
          <w:szCs w:val="16"/>
          <w:lang w:val="en-US"/>
        </w:rPr>
        <w:t>RRJ</w:t>
      </w:r>
      <w:r w:rsidRPr="00271E51">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271E51">
        <w:rPr>
          <w:rFonts w:ascii="Times New Roman" w:hAnsi="Times New Roman"/>
          <w:color w:val="000000" w:themeColor="text1"/>
          <w:sz w:val="16"/>
          <w:szCs w:val="16"/>
          <w:lang w:val="en-US"/>
        </w:rPr>
        <w:t>SaM</w:t>
      </w:r>
      <w:r w:rsidRPr="00271E51">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07AEDE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271E51">
        <w:rPr>
          <w:rFonts w:ascii="Times New Roman" w:hAnsi="Times New Roman"/>
          <w:color w:val="000000" w:themeColor="text1"/>
          <w:sz w:val="16"/>
          <w:szCs w:val="16"/>
          <w:lang w:val="en-US"/>
        </w:rPr>
        <w:t>Lakshya</w:t>
      </w:r>
      <w:r w:rsidRPr="00271E51">
        <w:rPr>
          <w:rFonts w:ascii="Times New Roman" w:hAnsi="Times New Roman"/>
          <w:color w:val="000000" w:themeColor="text1"/>
          <w:sz w:val="16"/>
          <w:szCs w:val="16"/>
        </w:rPr>
        <w:t>.</w:t>
      </w:r>
    </w:p>
    <w:p w14:paraId="5AA2F6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8D206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(1941 г.)- более 2000 чел.</w:t>
      </w:r>
    </w:p>
    <w:p w14:paraId="6C4210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Хартов.</w:t>
      </w:r>
      <w:r w:rsidRPr="00271E51">
        <w:rPr>
          <w:rFonts w:ascii="Times New Roman" w:hAnsi="Times New Roman"/>
          <w:color w:val="000000" w:themeColor="text1"/>
          <w:sz w:val="16"/>
          <w:szCs w:val="16"/>
          <w:vertAlign w:val="superscript"/>
        </w:rPr>
        <w:t>68</w:t>
      </w:r>
      <w:r w:rsidRPr="00271E51">
        <w:rPr>
          <w:rFonts w:ascii="Times New Roman" w:hAnsi="Times New Roman"/>
          <w:color w:val="000000" w:themeColor="text1"/>
          <w:sz w:val="16"/>
          <w:szCs w:val="16"/>
        </w:rPr>
        <w:t xml:space="preserve"> Гендиректор (-1998-2002 г.-)- В.М. Чепкин, В.А. Лебедев.</w:t>
      </w:r>
    </w:p>
    <w:p w14:paraId="3D83E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Ответственный руководитель (25.04.1946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Люлька.</w:t>
      </w:r>
    </w:p>
    <w:p w14:paraId="07DCF7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4305BA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(25.04.1946-56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xml:space="preserve">. Люлька. Ген. конструктор (12.1956-84 г.)- академик (1968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4DC224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Хартов, (1978 г.)- В.К. Кобченко, (1978 г.)- В.А. Горелов, (1997-98 г.)- М.Л. Кузменко, Е.Ю. Марчуков.</w:t>
      </w:r>
    </w:p>
    <w:p w14:paraId="2C080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4A4A8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(1980-е)-  Г.И. Зуев.</w:t>
      </w:r>
    </w:p>
    <w:p w14:paraId="28DBF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А.В. Чуркин (около 20 лет).</w:t>
      </w:r>
    </w:p>
    <w:p w14:paraId="19822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30E95B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036A7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Н.Н. Якунин.</w:t>
      </w:r>
    </w:p>
    <w:p w14:paraId="272D9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отдела внешних связей и протокола (2002 г.)- В. Г. Нестеров.</w:t>
      </w:r>
    </w:p>
    <w:p w14:paraId="1AA2A4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бригад: (2006 г.)- Н.В. Кикоть.</w:t>
      </w:r>
    </w:p>
    <w:p w14:paraId="6C9962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(1970-е)- А.Ф. Кричигина.</w:t>
      </w:r>
    </w:p>
    <w:p w14:paraId="537514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271E51">
        <w:rPr>
          <w:rFonts w:ascii="Times New Roman" w:hAnsi="Times New Roman"/>
          <w:color w:val="000000" w:themeColor="text1"/>
          <w:sz w:val="16"/>
          <w:szCs w:val="16"/>
          <w:vertAlign w:val="superscript"/>
        </w:rPr>
        <w:t>68</w:t>
      </w:r>
      <w:r w:rsidRPr="00271E51">
        <w:rPr>
          <w:rFonts w:ascii="Times New Roman" w:hAnsi="Times New Roman"/>
          <w:color w:val="000000" w:themeColor="text1"/>
          <w:sz w:val="16"/>
          <w:szCs w:val="16"/>
        </w:rPr>
        <w:t xml:space="preserve"> проекты: ЯСУ РД-А для М-30 (1950-е), открытого типа ТРДА ПАС для М-60 (1955)</w:t>
      </w:r>
      <w:r w:rsidRPr="00271E51">
        <w:rPr>
          <w:rFonts w:ascii="Times New Roman" w:hAnsi="Times New Roman"/>
          <w:color w:val="000000" w:themeColor="text1"/>
          <w:sz w:val="16"/>
          <w:szCs w:val="16"/>
          <w:vertAlign w:val="superscript"/>
        </w:rPr>
        <w:t>93</w:t>
      </w:r>
      <w:r w:rsidRPr="00271E51">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4D9153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5C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года Дементьев писал письмо N Н-34/3073 начальнику гл. управления заказов ВВС генерал-лейтенанту ИАС Селезневу Н.П.</w:t>
      </w:r>
    </w:p>
    <w:p w14:paraId="3A55C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отсутствия новых красителей (АМТ-1, АМТ-12, А21М, А32М) камуфляж самолетов выпускаемых заводами 11 гл. управления производится в два цвета.</w:t>
      </w:r>
    </w:p>
    <w:p w14:paraId="081CE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поставка новых красителей заводами НКХП начнется только с августа, прошу, во избежание срыва сдачи, дать указания военпредам заводов 11 гл. управления о приемке самолетов до 1 сентября с двухцветным камуфляжем.</w:t>
      </w:r>
    </w:p>
    <w:p w14:paraId="58ACDA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решения (1779,1).</w:t>
      </w:r>
    </w:p>
    <w:p w14:paraId="7A42BB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черновика письма, как нереальная мечта производственников, заместителем наркома авиационной промышленности Дементьевым было вычеркнуто предложение о сохранении двухцветного камуфляжа для этих самолетов и "на дальнейший период " (3385,15).</w:t>
      </w:r>
    </w:p>
    <w:p w14:paraId="6D264F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E6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года начальник штаба управления тыла авиации дальнего действия генерал-майор Карякин и начальник отд. тыла АДД полковник Дубкевич писали письмо N 709998с зам. наркома Авиапрома Сандлер и начальнику ВИАМ Туманову.</w:t>
      </w:r>
    </w:p>
    <w:p w14:paraId="2FF5F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маскировки самолетов Авиации Дальнего Действия в лучах прожектора, Всесоюзным институтом материалов по заданию АДД разработана нитро-масляная черная матовая эмаль "А-31НМ".</w:t>
      </w:r>
    </w:p>
    <w:p w14:paraId="0B059C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4 Управлению Наркомхимпрома о срочном производстве опытной партии - 400-600 кг эмали "А-31НМ", согласно представленным управлению ВИАМом техническим условиям, эталонам краски и указаниям о технике изготовления и составе эмали.</w:t>
      </w:r>
    </w:p>
    <w:p w14:paraId="7160DB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Вашем решении прошу сообщить (1779,12).</w:t>
      </w:r>
    </w:p>
    <w:p w14:paraId="2BC9F8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3DDFF"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A86A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FE72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 по планам должен был состояться показ тан</w:t>
      </w:r>
      <w:r w:rsidRPr="00271E51">
        <w:rPr>
          <w:rFonts w:ascii="Times New Roman" w:hAnsi="Times New Roman"/>
          <w:color w:val="000000" w:themeColor="text1"/>
          <w:sz w:val="16"/>
          <w:szCs w:val="16"/>
        </w:rPr>
        <w:softHyphen/>
        <w:t>ков ИС, КВ-85 и САУ ИСУ-152 членам правительства в Москве на Ивановской площади и многие мемуаристы ука</w:t>
      </w:r>
      <w:r w:rsidRPr="00271E51">
        <w:rPr>
          <w:rFonts w:ascii="Times New Roman" w:hAnsi="Times New Roman"/>
          <w:color w:val="000000" w:themeColor="text1"/>
          <w:sz w:val="16"/>
          <w:szCs w:val="16"/>
        </w:rPr>
        <w:softHyphen/>
        <w:t>зывают именно на этот срок, но в таком случае танки пока</w:t>
      </w:r>
      <w:r w:rsidRPr="00271E51">
        <w:rPr>
          <w:rFonts w:ascii="Times New Roman" w:hAnsi="Times New Roman"/>
          <w:color w:val="000000" w:themeColor="text1"/>
          <w:sz w:val="16"/>
          <w:szCs w:val="16"/>
        </w:rPr>
        <w:softHyphen/>
        <w:t>зывались бы до полигонных испытаний (которые начались 2 августа), что невозможно. Поэтому автор считает, что скорее всего, танки прибыли в Москву не 31 июля, а 31 ав</w:t>
      </w:r>
      <w:r w:rsidRPr="00271E51">
        <w:rPr>
          <w:rFonts w:ascii="Times New Roman" w:hAnsi="Times New Roman"/>
          <w:color w:val="000000" w:themeColor="text1"/>
          <w:sz w:val="16"/>
          <w:szCs w:val="16"/>
        </w:rPr>
        <w:softHyphen/>
        <w:t>густа и показ был на месяц позже, чем то считалось прежде.</w:t>
      </w:r>
    </w:p>
    <w:p w14:paraId="4373DD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осмотре новых танков участвовали В. Малышев, -Я. Федоренко, К. Ворошилов, Л. Берия, В. Молотов и И. Сталин. Все свидетели этого события отмечают, что пе</w:t>
      </w:r>
      <w:r w:rsidRPr="00271E51">
        <w:rPr>
          <w:rFonts w:ascii="Times New Roman" w:hAnsi="Times New Roman"/>
          <w:color w:val="000000" w:themeColor="text1"/>
          <w:sz w:val="16"/>
          <w:szCs w:val="16"/>
        </w:rPr>
        <w:softHyphen/>
        <w:t>ред показом из опытных машин удалили все экипажи, кро</w:t>
      </w:r>
      <w:r w:rsidRPr="00271E51">
        <w:rPr>
          <w:rFonts w:ascii="Times New Roman" w:hAnsi="Times New Roman"/>
          <w:color w:val="000000" w:themeColor="text1"/>
          <w:sz w:val="16"/>
          <w:szCs w:val="16"/>
        </w:rPr>
        <w:softHyphen/>
        <w:t>ме механиков-водителей, заменив отсутствующих одним сотрудником госбезопасности.</w:t>
      </w:r>
    </w:p>
    <w:p w14:paraId="4EF2FB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Прибывшие в Кремль боевые машины вызвали живей</w:t>
      </w:r>
      <w:r w:rsidRPr="00271E51">
        <w:rPr>
          <w:rFonts w:ascii="Times New Roman" w:hAnsi="Times New Roman"/>
          <w:color w:val="000000" w:themeColor="text1"/>
          <w:sz w:val="16"/>
          <w:szCs w:val="16"/>
        </w:rPr>
        <w:softHyphen/>
        <w:t>ший интерес вождя, который немедленно вознамерился взобраться на них. Это желание оказалось совершенно неожиданным для присутствовавших, из коих никто не поза</w:t>
      </w:r>
      <w:r w:rsidRPr="00271E51">
        <w:rPr>
          <w:rFonts w:ascii="Times New Roman" w:hAnsi="Times New Roman"/>
          <w:color w:val="000000" w:themeColor="text1"/>
          <w:sz w:val="16"/>
          <w:szCs w:val="16"/>
        </w:rPr>
        <w:softHyphen/>
        <w:t>ботился запастись лесенкой для облегчения подъема на броню. Сталин решительно отстранил желание двух рети</w:t>
      </w:r>
      <w:r w:rsidRPr="00271E51">
        <w:rPr>
          <w:rFonts w:ascii="Times New Roman" w:hAnsi="Times New Roman"/>
          <w:color w:val="000000" w:themeColor="text1"/>
          <w:sz w:val="16"/>
          <w:szCs w:val="16"/>
        </w:rPr>
        <w:softHyphen/>
        <w:t>вых генералов, пытавшихся подсадить его, и самостоятель</w:t>
      </w:r>
      <w:r w:rsidRPr="00271E51">
        <w:rPr>
          <w:rFonts w:ascii="Times New Roman" w:hAnsi="Times New Roman"/>
          <w:color w:val="000000" w:themeColor="text1"/>
          <w:sz w:val="16"/>
          <w:szCs w:val="16"/>
        </w:rPr>
        <w:softHyphen/>
        <w:t>но завершил восхождение на самоходную установку ИСУ-152. Осмотрев ее снаружи, он поднял крышку люка и поинтересовался у находившегося в боевом отделении со</w:t>
      </w:r>
      <w:r w:rsidRPr="00271E51">
        <w:rPr>
          <w:rFonts w:ascii="Times New Roman" w:hAnsi="Times New Roman"/>
          <w:color w:val="000000" w:themeColor="text1"/>
          <w:sz w:val="16"/>
          <w:szCs w:val="16"/>
        </w:rPr>
        <w:softHyphen/>
        <w:t>трудника госбезопасности, как у новой машины обстоит дело с вентиляцией, так как в прошедших боях были случаи отравления экипажей пороховыми газами. Сотрудник без</w:t>
      </w:r>
      <w:r w:rsidRPr="00271E51">
        <w:rPr>
          <w:rFonts w:ascii="Times New Roman" w:hAnsi="Times New Roman"/>
          <w:color w:val="000000" w:themeColor="text1"/>
          <w:sz w:val="16"/>
          <w:szCs w:val="16"/>
        </w:rPr>
        <w:softHyphen/>
        <w:t>опасности молчал, как на допросе, но положение спас на</w:t>
      </w:r>
      <w:r w:rsidRPr="00271E51">
        <w:rPr>
          <w:rFonts w:ascii="Times New Roman" w:hAnsi="Times New Roman"/>
          <w:color w:val="000000" w:themeColor="text1"/>
          <w:sz w:val="16"/>
          <w:szCs w:val="16"/>
        </w:rPr>
        <w:softHyphen/>
        <w:t>ходчивый механик-</w:t>
      </w:r>
      <w:r w:rsidRPr="00271E51">
        <w:rPr>
          <w:rFonts w:ascii="Times New Roman" w:hAnsi="Times New Roman"/>
          <w:color w:val="000000" w:themeColor="text1"/>
          <w:sz w:val="16"/>
          <w:szCs w:val="16"/>
        </w:rPr>
        <w:lastRenderedPageBreak/>
        <w:t>водитель, доложивший, что в ИСУ-152 введен дополнительный вентилятор. Задав еще пару мало</w:t>
      </w:r>
      <w:r w:rsidRPr="00271E51">
        <w:rPr>
          <w:rFonts w:ascii="Times New Roman" w:hAnsi="Times New Roman"/>
          <w:color w:val="000000" w:themeColor="text1"/>
          <w:sz w:val="16"/>
          <w:szCs w:val="16"/>
        </w:rPr>
        <w:softHyphen/>
        <w:t>значительных вопросов, вождь самостоятельно спустился на землю и поздравил наркома танковой промышленности с новым достижением. 4 сентября 1943 г. постановлением ГКО № 4043сс тяжелые танки КВ-85, ИС-85 и САУ ИСУ-152 (ИС-152) были приняты на вооружение Красной Армии и поставлены в серийное производство (11135).</w:t>
      </w:r>
    </w:p>
    <w:p w14:paraId="5AB9AC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2E5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w:t>
      </w:r>
      <w:r w:rsidRPr="00271E51">
        <w:rPr>
          <w:rFonts w:ascii="Times New Roman" w:hAnsi="Times New Roman"/>
          <w:color w:val="000000" w:themeColor="text1"/>
          <w:sz w:val="16"/>
          <w:szCs w:val="16"/>
        </w:rPr>
        <w:softHyphen/>
        <w:t>ля 1943 г. принято считать, что состоялся первый показ ИС-85, КВ-85 и ИСУ-152 на Ивановской площади Кремля, но по ряду признаков (срок окончания предвари</w:t>
      </w:r>
      <w:r w:rsidRPr="00271E51">
        <w:rPr>
          <w:rFonts w:ascii="Times New Roman" w:hAnsi="Times New Roman"/>
          <w:color w:val="000000" w:themeColor="text1"/>
          <w:sz w:val="16"/>
          <w:szCs w:val="16"/>
        </w:rPr>
        <w:softHyphen/>
        <w:t>тельных испытаний, дата принятия на вооружение ИС-85, КВ-85 и ИС-152 ) автор считает, что показ прошел месяцем позднее, то есть 31 августа. По многочисленным воспомина</w:t>
      </w:r>
      <w:r w:rsidRPr="00271E51">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271E51">
        <w:rPr>
          <w:rFonts w:ascii="Times New Roman" w:hAnsi="Times New Roman"/>
          <w:color w:val="000000" w:themeColor="text1"/>
          <w:sz w:val="16"/>
          <w:szCs w:val="16"/>
        </w:rPr>
        <w:softHyphen/>
        <w:t>чальника ГАУ Н.Д. Яковлева, наркома Вооружений Д.Ф. Ус</w:t>
      </w:r>
      <w:r w:rsidRPr="00271E51">
        <w:rPr>
          <w:rFonts w:ascii="Times New Roman" w:hAnsi="Times New Roman"/>
          <w:color w:val="000000" w:themeColor="text1"/>
          <w:sz w:val="16"/>
          <w:szCs w:val="16"/>
        </w:rPr>
        <w:softHyphen/>
        <w:t>тинова, а также иных представителей ГАУ и ГБТУ.</w:t>
      </w:r>
    </w:p>
    <w:p w14:paraId="2D38CD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271E51">
        <w:rPr>
          <w:rFonts w:ascii="Times New Roman" w:hAnsi="Times New Roman"/>
          <w:color w:val="000000" w:themeColor="text1"/>
          <w:sz w:val="16"/>
          <w:szCs w:val="16"/>
        </w:rPr>
        <w:softHyphen/>
        <w:t>теля, заменив отсутствовавших сотрудником госбезопаснос</w:t>
      </w:r>
      <w:r w:rsidRPr="00271E51">
        <w:rPr>
          <w:rFonts w:ascii="Times New Roman" w:hAnsi="Times New Roman"/>
          <w:color w:val="000000" w:themeColor="text1"/>
          <w:sz w:val="16"/>
          <w:szCs w:val="16"/>
        </w:rPr>
        <w:softHyphen/>
        <w:t>ти. Доставленные в Кремль машины вызвали живейший ин</w:t>
      </w:r>
      <w:r w:rsidRPr="00271E51">
        <w:rPr>
          <w:rFonts w:ascii="Times New Roman" w:hAnsi="Times New Roman"/>
          <w:color w:val="000000" w:themeColor="text1"/>
          <w:sz w:val="16"/>
          <w:szCs w:val="16"/>
        </w:rPr>
        <w:softHyphen/>
        <w:t>терес вождя, который захотел взобраться именно на ИСУ-152. Никто из присутствовавших не ожидал этого, и никакой лесенки запасено не было. Двое ретивых генералов кинулись помогать вождю, но он отстранил их и самостоя</w:t>
      </w:r>
      <w:r w:rsidRPr="00271E51">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271E51">
        <w:rPr>
          <w:rFonts w:ascii="Times New Roman" w:hAnsi="Times New Roman"/>
          <w:color w:val="000000" w:themeColor="text1"/>
          <w:sz w:val="16"/>
          <w:szCs w:val="16"/>
        </w:rPr>
        <w:softHyphen/>
        <w:t>пасности, что в новой САУ сделано для улучшения вентиля</w:t>
      </w:r>
      <w:r w:rsidRPr="00271E51">
        <w:rPr>
          <w:rFonts w:ascii="Times New Roman" w:hAnsi="Times New Roman"/>
          <w:color w:val="000000" w:themeColor="text1"/>
          <w:sz w:val="16"/>
          <w:szCs w:val="16"/>
        </w:rPr>
        <w:softHyphen/>
        <w:t>ции, так как в ходе боев на Курской дуге были случаи отрав</w:t>
      </w:r>
      <w:r w:rsidRPr="00271E51">
        <w:rPr>
          <w:rFonts w:ascii="Times New Roman" w:hAnsi="Times New Roman"/>
          <w:color w:val="000000" w:themeColor="text1"/>
          <w:sz w:val="16"/>
          <w:szCs w:val="16"/>
        </w:rPr>
        <w:softHyphen/>
        <w:t>ления экипажей пороховыми газами. Понятно, что опро</w:t>
      </w:r>
      <w:r w:rsidRPr="00271E51">
        <w:rPr>
          <w:rFonts w:ascii="Times New Roman" w:hAnsi="Times New Roman"/>
          <w:color w:val="000000" w:themeColor="text1"/>
          <w:sz w:val="16"/>
          <w:szCs w:val="16"/>
        </w:rPr>
        <w:softHyphen/>
        <w:t>шенный молчал как партизан на допросе, но положение спас находчивый водитель, доложивший вождю, что в указанной САУ введен дополнительный вентилятор боевого отделения.</w:t>
      </w:r>
    </w:p>
    <w:p w14:paraId="772D4C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271E51">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271E51">
        <w:rPr>
          <w:rFonts w:ascii="Times New Roman" w:hAnsi="Times New Roman"/>
          <w:color w:val="000000" w:themeColor="text1"/>
          <w:sz w:val="16"/>
          <w:szCs w:val="16"/>
        </w:rPr>
        <w:softHyphen/>
        <w:t>ного производства, то с ИС-152 до этого было еще далеко (11417).</w:t>
      </w:r>
    </w:p>
    <w:p w14:paraId="1FDF80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615E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 Кубинку на НИИБТПолигон для прохождения гос. испытаний прибыли танки KB-85 и ИС-85. Технику сопровождали 28 специалистов во главе с главным инженером завода №100 Н.М.Синевым. (3862).</w:t>
      </w:r>
    </w:p>
    <w:p w14:paraId="1E80ED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877B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 xml:space="preserve">31 июля </w:t>
      </w:r>
      <w:r w:rsidRPr="00271E51">
        <w:rPr>
          <w:rFonts w:ascii="Times New Roman" w:hAnsi="Times New Roman"/>
          <w:color w:val="000000" w:themeColor="text1"/>
          <w:sz w:val="16"/>
          <w:szCs w:val="16"/>
        </w:rPr>
        <w:t xml:space="preserve">1943 </w:t>
      </w:r>
      <w:r w:rsidRPr="00271E51">
        <w:rPr>
          <w:rFonts w:ascii="Times New Roman" w:hAnsi="Times New Roman"/>
          <w:noProof/>
          <w:color w:val="000000" w:themeColor="text1"/>
          <w:sz w:val="16"/>
          <w:szCs w:val="16"/>
        </w:rPr>
        <w:t>танки КВ-85 и ИС-85 направили на госиспы</w:t>
      </w:r>
      <w:r w:rsidRPr="00271E51">
        <w:rPr>
          <w:rFonts w:ascii="Times New Roman" w:hAnsi="Times New Roman"/>
          <w:noProof/>
          <w:color w:val="000000" w:themeColor="text1"/>
          <w:sz w:val="16"/>
          <w:szCs w:val="16"/>
        </w:rPr>
        <w:softHyphen/>
        <w:t>тания в Кубинку. По результатам испытаний оба образца были рекомендованы комисси</w:t>
      </w:r>
      <w:r w:rsidRPr="00271E51">
        <w:rPr>
          <w:rFonts w:ascii="Times New Roman" w:hAnsi="Times New Roman"/>
          <w:noProof/>
          <w:color w:val="000000" w:themeColor="text1"/>
          <w:sz w:val="16"/>
          <w:szCs w:val="16"/>
        </w:rPr>
        <w:softHyphen/>
        <w:t>ей к принятию на вооружение</w:t>
      </w:r>
      <w:r w:rsidRPr="00271E51">
        <w:rPr>
          <w:rFonts w:ascii="Times New Roman" w:hAnsi="Times New Roman"/>
          <w:color w:val="000000" w:themeColor="text1"/>
          <w:sz w:val="16"/>
          <w:szCs w:val="16"/>
        </w:rPr>
        <w:t xml:space="preserve"> (11897)</w:t>
      </w:r>
      <w:r w:rsidRPr="00271E51">
        <w:rPr>
          <w:rFonts w:ascii="Times New Roman" w:hAnsi="Times New Roman"/>
          <w:noProof/>
          <w:color w:val="000000" w:themeColor="text1"/>
          <w:sz w:val="16"/>
          <w:szCs w:val="16"/>
        </w:rPr>
        <w:t>.</w:t>
      </w:r>
    </w:p>
    <w:p w14:paraId="6CB6B965"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p>
    <w:p w14:paraId="38F33DD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 из СПРАВКИ СЕКРЕТАРЯ ОБКОМА ВКП(б) ПО ЭЛЕКТРОПРОМЫШЛЕННОСТИ А.Ф. ЖИГАЛЬСКОГО О РАБОТЕ ЗАВОДОВ ОТРАСЛИ</w:t>
      </w:r>
    </w:p>
    <w:p w14:paraId="66976AF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До начала Великой Отечественной войны в Новосибирской области не было ни одного завода электропромышленности. В настоящее время в области работает 10 заводов, из них 9 заводов эвакуированы из Ленинграда, Москвы и Воронежа, а один передан из местной промышленности. Восстановление заводов на полную мощность эвакуированного оборудования недопустимо затянулось из-за отсутствия строительных организаций и отсутствия фондов на дефицитные строительные материалы: трубы, металл разный, огнеупоры, стекло, кровля мягкая и арматура. Вследствие вышеуказанных причин на заводах электропромышленности до сих пор все еще не закончены строительно-монтажные работы первой очереди, а заводы вместо работы на всю мощность эвакуированного оборудования с января 1943 года работали всего на 30-60 процентов, недодав фронту и народному, хозяйству страны большое количество радиоизделий, прожекторов, электродвигателей, радиоламп и электроламп... Рост выпуска продукции за последние 6 месяцев характеризуется следующими данными: декабрь 1942 года - 33 499,3 тысячи рублей, июль 1943 года - 40 409,1 тысячи рублей, или 20 процентов. Наряду с увеличением выпуска продукции значительно увеличен ассортимент выпускаемых изделий и улучшено их качество. Однако в целом электропромышленность Новосибирской области так же, как и заводы электропромышленности других областей Востока, находятся в неудовлетворительном состоянии по сравнению с заводами электропромышленности Урала и европейской части СССР. Это явилось следствием не только недопустимой затяжки строительных и восстановительных работ, но и особых трудностей* снабжения из-за большой удаленности от источников снабжения исключительно большого ассортимента материалов, потребляемых электропромышленностью, а также трудностей** телефонной и телеграфной связи с главками и наркоматом. Также в нетерпимом положении находятся заводы электропромышленности с жильем, которого им не было выделено. В настоящее время рабочие и инженерно-технические работники заводов живут в весьма тяжелых условиях: по две и три семьи в одной комнате, причем большинство заводов (6 из 10) за отсутствием строительных организаций и решений ГОКО по этому вопросу жилстроительства совсем не ведут и перспектив улучшить положение работников завода в ближайшее время не имеют. До настоящего времени значительное количество эвакуированных рабочих заводов НКЭП все еще проживают в землянках. Отсутствие жилья у всех 10 заводов не позволяет организовать школы ФЗО и, таким образом, лишает все эти заводы возможности вести подготовку кадров. Наряду с тяжелым положением с жилыми площадями, питание рабочих, ИТР и служащих на заводах электропромышленности находится в совершенно неудовлетворительном состоянии. Несмотря на неоднократные предложения обкома ВКП(б) и НКЭП, до сих пор ни одному заводу не выделено совхоза в отличие от заводов НКАП, НКБ, НКВ и других наркоматов, получивших к тому же и жилую площадь для расселения работников заводов. </w:t>
      </w:r>
    </w:p>
    <w:p w14:paraId="59EE8E9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обкома ВКП(б) по электропромышленности Жигальский</w:t>
      </w:r>
    </w:p>
    <w:p w14:paraId="2FE13E6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48-50. Подлинник.</w:t>
      </w:r>
    </w:p>
    <w:p w14:paraId="6F23BF7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Жигальского. Под документом дата: «31/VII. 1943 г.» (12193).</w:t>
      </w:r>
    </w:p>
    <w:p w14:paraId="497463F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12ABA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Распоряжение ГКО № 3835. О мобилизации 200 человек из неработающего населения города на восстановление карандашной фабрики в Томске.РГАНИР, Фонд ГКО, д. 139, лл. 177 (11012).</w:t>
      </w:r>
    </w:p>
    <w:p w14:paraId="2F4E9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8F89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3837 Об общем плане перевозок народнохозяйственных и воинских грузов по железнодорожному и водному транспорту на август 1943 года. (7128, 146).</w:t>
      </w:r>
    </w:p>
    <w:p w14:paraId="0596780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885C7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3838 О плане перевозок народнохозяйственных грузов по железнодорожному и водному транспорту на август 1943 года. (7129, 1-8,9-206).</w:t>
      </w:r>
    </w:p>
    <w:p w14:paraId="225047F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E52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Распоряжение ГКО № 3839. О производстве и распределении уксусной кислоты в III кв.1943 г.РГАНИР, Фонд ГКО, д. 142, лл. 1, 2-3 (11012).</w:t>
      </w:r>
    </w:p>
    <w:p w14:paraId="7DEB9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65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3840 О распределении автомобильных запасных частей и газогенераторных установок на III квартал 1943 года.РГАНИР, Фонд ГКО, д. 142, лл. 4-5, 6-24 (11012).</w:t>
      </w:r>
    </w:p>
    <w:p w14:paraId="02D4F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A2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3841 О плане ремонта вооружения для Красной Армии на III квартал 1943 года.РГАНИР, Фонд ГКО, д. 142, лл. 25-27, 28-73 (11012).</w:t>
      </w:r>
    </w:p>
    <w:p w14:paraId="073779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22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3842 О мерах по восстановлению электростанций и электросетей системы Орджэнерго Наркомэлектростанций.РГАНИР, Фонд ГКО, д. 142, лл. 74-78, 79 (11012).</w:t>
      </w:r>
    </w:p>
    <w:p w14:paraId="62E1D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A38A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Постановление ГКО № 3843 Об уполномоченном Государственного Комитета Обороны по порту Петропавловск-на-Камчатке. (7130, 80).</w:t>
      </w:r>
    </w:p>
    <w:p w14:paraId="707B5ED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F23C9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вышло Распоряжение ГКО № 3844 [О поставках импортного оборудования для заводов НКТП во II полугодии 1943 г. и I кв.1944 г.] (7130, 81,82).</w:t>
      </w:r>
    </w:p>
    <w:p w14:paraId="330B48A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EEA8F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года приказом №104/к Народного Комиссара Судостроительной Промышленности Союза ССР И. И. Носенко он был освобожден от должности главного инженера 4-го главного управления "в связи с переходом на другую работу"- решением Секретариата ЦК ВКП(б) он назначался на должность начальника промышленного отдела вновь созданного Совета по радиолокации при ГКО (9921).</w:t>
      </w:r>
    </w:p>
    <w:p w14:paraId="28D539C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716D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Адмиралтейцы заложили десятый МБК. Флоту передана крейсерская ПЛ К-53; катеростроители сдали три МО типа МО-4 (10671).</w:t>
      </w:r>
    </w:p>
    <w:p w14:paraId="61908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5EB5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3F313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57802"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31 июля в 1943 году оперативная сводка Совинформбюро:</w:t>
      </w:r>
    </w:p>
    <w:p w14:paraId="2719CEC0"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31 июля наши войска на Орловском направлении, преодолевая сопротивление и контратаки противника, продолжали наступление и заняли несколько населённых пунктов.</w:t>
      </w:r>
    </w:p>
    <w:p w14:paraId="241D767D"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усиленные поиски разведчиков.</w:t>
      </w:r>
    </w:p>
    <w:p w14:paraId="195771FA"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продолжали успешно отбивать атаки крупных сил пехоты и танков противника с большими для него потерями.</w:t>
      </w:r>
    </w:p>
    <w:p w14:paraId="4ABC521F"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районах севернее и восточнее Мга, — усиленные поиски разведчиков.</w:t>
      </w:r>
    </w:p>
    <w:p w14:paraId="35A741FC"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июля на всех фронтах наши войска подбили и уничтожили 103 немецких танка, из них 95 в районе Донбасса. В воздушных боях и огнём зенитной артиллерии сбито 58 самолетов противника.</w:t>
      </w:r>
    </w:p>
    <w:p w14:paraId="6C9B2867"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1769D8AD"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Орла Н-ское соединение заняло несколько населённых пунктов. Немцы оказывали упорное сопротивление и неоднократно переходили в контратаки. За день боя уничтожено более 800 солдат и офицеров противника. Кроме того, тяжёлые потери понесли гитлеровцы от огня гвардейцев-миномётчиков. Большая колонна немецкой пехоты, двигавшаяся по шоссе, была накрыта огнём наших миномётных подразделений и в большей своей части уничтожена. Бойцы части, где командиром т.Лихошвай, выбив противника из одного населённого пункта, захватили у немцев 12 орудий, 14 миномётов, 20 пулемётов, 6 противотанковых ружей, много автоматов, винтовок и склад боеприпасов.</w:t>
      </w:r>
    </w:p>
    <w:p w14:paraId="52AA35FF"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бойцы Н-ской части в результате боя овладели сильно укреплёнными позициями немцев. Противник, пытаясь восстановить положение, предпринял одну за другой четыре контратаки, но понёс большие потери и был вынужден отступить. На поле боя подсчитано до 600 вражеских трупов. Захвачены 5 орудий, из них 2 самоходных, 2 врытых в землю танка, 7 миномётов, 16 пулемётов и другие трофеи.</w:t>
      </w:r>
    </w:p>
    <w:p w14:paraId="66E6469C"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Н-ское соединение отразило три контратаки немцев. На другом участке бойцы Н-ской части овладели опорным пунктом противника. В бою за этот пункт сожжено 8 немецких танков, уничтожены артиллерийская и две миномётных батареи. На поле боя осталось свыше 200 трупов гитлеровцев.</w:t>
      </w:r>
    </w:p>
    <w:p w14:paraId="2B2FB9BF"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успешно отражали атаки крупных сил пехоты и танков противника. На одном участке все попытки немцев прорваться в расположение наших войск были отбиты огнём советской артиллерии. В результате боя подбито и сожжено 45 немецких танков. На другом участке немцы бросили в наступление несколько пехотных дивизий, поддержанных большим количеством танков. Советские бойцы миномётным и пулемётным огнём отсекли от танков вражескую пехоту и вынудили её отступить. Прорвавшиеся немецкие танки попали под удар наших танкистов и артиллеристов. К исходу дня уничтожено 50 танков противника.</w:t>
      </w:r>
    </w:p>
    <w:p w14:paraId="60F59D84"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Атаки пехоты и танков противника на этом участке поддерживают крупные силы немецкой авиации. В воздушных боях и огнём зенитной артиллерии в течение дня сбито 28 немецких самолётов.</w:t>
      </w:r>
    </w:p>
    <w:p w14:paraId="49A8B595"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разведывательные подразделения уничтожили до двух рот пехоты противника. Артиллерийским огнём разрушены 35 дзотов, 6 наблюдательных пунктов, подавлен огонь большого числа артиллерийских и миномётных батарей противника.</w:t>
      </w:r>
    </w:p>
    <w:p w14:paraId="684AECCB"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 подступах к Ленинграду наши лётчики сбили 7 немецких самолётов.</w:t>
      </w:r>
    </w:p>
    <w:p w14:paraId="1D6B1585"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происходили поиски разведчиков. Бойцы Н-ской части совершили несколько вылазок в расположение немцев, захватили 7 станковых и 5 ручных пулемётов, 28 винтовок, 50 ящиков гранат и винтовочных патронов. Подразделение, где командиром младший лейтенант Бахмат, проникло в тыл противника. Наши бойцы сожгли две немецких автомашины и бронемашину. Во время этой операции уничтожено до взвода гитлеровцев. Несколько немецких солдат взято в плен.</w:t>
      </w:r>
    </w:p>
    <w:p w14:paraId="302546C4"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Изюма активно действовала разведывательные отряды. Разведчики Н-ской части ворвались в траншеи противника и в рукопашной схватке уничтожили большую группу гитлеровцев. Захватив у немцев орудие и 6 миномётов, разведчики вернулисьв свою часть. На другом участке батальон вражеской пехоты предпринял разведку боем. Наши подразделения встретили немцев ружейно-пулемётным огнём и рассеяли их на подступах к переднему краю.</w:t>
      </w:r>
    </w:p>
    <w:p w14:paraId="21189091"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Гомельской области, ночью внезапно напал на крупный вражеский обоз с боеприпасами и продовольствием. Партизаны уничтожили охрану и захватили 50 подвод с грузами, 2 пулемёта и 20 автоматов. В Могилёвской области несколько объединённых партизанских отрядов разгромили немецкий гарнизон, расположенный в крупном населённом пункте. Кроме того, партизаны взорвали два железнодорожных моста. Движение поездов на этом участке превращено на длительный срок.</w:t>
      </w:r>
    </w:p>
    <w:p w14:paraId="466EC977"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3 батальона 581 полка 306 немецкой пехотной дивизии капитан Отто Рушинцик, взятый в плен в районе юго-западнее Ворошиловграда, рассказал: «В прошлом году 306 дивизия была разбита русскими под Морозовской. Весной и летом её укомплектовали солдатами, призванными в армию в результате тотальной мобилизации. Недавно на нашем участке фронта завязались бои. Русская пехота стала обтекать с двух сторон позиции батальона. Мои солдаты спасовали и не решились итти в штыковую атаку. Они засели в блиндажах и с тупым равнодушием покорно ждали развязки. Я и раньше знал, что боевой дух нового пополнения был невысоким, но всё же думал, что в столь критическую минуту они подтянутся. Но ничто не помогло. Остатки батальона сложили оружие. Я вместе с командиром одной из рот также поднял руки и сдался в плен русским» (14969).</w:t>
      </w:r>
    </w:p>
    <w:p w14:paraId="2333BC50"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12CC19F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31 июля по 8 ав</w:t>
      </w:r>
      <w:r w:rsidRPr="00271E51">
        <w:rPr>
          <w:rFonts w:ascii="Times New Roman" w:hAnsi="Times New Roman"/>
          <w:color w:val="000000" w:themeColor="text1"/>
          <w:sz w:val="16"/>
          <w:szCs w:val="16"/>
        </w:rPr>
        <w:softHyphen/>
        <w:t>густа 1943 в районе боевых действий Брянского фронта работала комиссия 15-й воздушной армии с целью определения эффективно</w:t>
      </w:r>
      <w:r w:rsidRPr="00271E51">
        <w:rPr>
          <w:rFonts w:ascii="Times New Roman" w:hAnsi="Times New Roman"/>
          <w:color w:val="000000" w:themeColor="text1"/>
          <w:sz w:val="16"/>
          <w:szCs w:val="16"/>
        </w:rPr>
        <w:softHyphen/>
        <w:t>сти нашей авиации и авиации противника при действиях по наземным целям.</w:t>
      </w:r>
    </w:p>
    <w:p w14:paraId="3B0DB8F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Золотарево, Грачики, Подмаслово и Опаньково члены комиссии насчитали в общей сложности 76 под</w:t>
      </w:r>
      <w:r w:rsidRPr="00271E51">
        <w:rPr>
          <w:rFonts w:ascii="Times New Roman" w:hAnsi="Times New Roman"/>
          <w:color w:val="000000" w:themeColor="text1"/>
          <w:sz w:val="16"/>
          <w:szCs w:val="16"/>
        </w:rPr>
        <w:softHyphen/>
        <w:t>битых танков Т-34. Из них около 60-70% подорвались на минах, около 5% были по</w:t>
      </w:r>
      <w:r w:rsidRPr="00271E51">
        <w:rPr>
          <w:rFonts w:ascii="Times New Roman" w:hAnsi="Times New Roman"/>
          <w:color w:val="000000" w:themeColor="text1"/>
          <w:sz w:val="16"/>
          <w:szCs w:val="16"/>
        </w:rPr>
        <w:softHyphen/>
        <w:t>вреждены бомбами, а остальные - огнем противотанковой артиллерии. Сведений о поражении танков пушечным огнем немец</w:t>
      </w:r>
      <w:r w:rsidRPr="00271E51">
        <w:rPr>
          <w:rFonts w:ascii="Times New Roman" w:hAnsi="Times New Roman"/>
          <w:color w:val="000000" w:themeColor="text1"/>
          <w:sz w:val="16"/>
          <w:szCs w:val="16"/>
        </w:rPr>
        <w:softHyphen/>
        <w:t>кой авиации в отчете не содержится (12728).</w:t>
      </w:r>
    </w:p>
    <w:p w14:paraId="187E4642"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F5A19F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1943 маршал Г. Жуков награжден орденом Суворова (4962).</w:t>
      </w:r>
    </w:p>
    <w:p w14:paraId="7EA3A16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72CEFE" w14:textId="77777777" w:rsidR="0071533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D7BCE7F" w14:textId="77777777" w:rsidR="00715334" w:rsidRPr="00271E51" w:rsidRDefault="0071533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ADD160"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31 июля в 1943 году предсерийный </w:t>
      </w:r>
      <w:hyperlink r:id="rId45" w:tgtFrame="_blank" w:history="1">
        <w:r w:rsidRPr="00271E51">
          <w:rPr>
            <w:rFonts w:ascii="Times New Roman" w:hAnsi="Times New Roman"/>
            <w:color w:val="000000" w:themeColor="text1"/>
            <w:sz w:val="16"/>
            <w:szCs w:val="16"/>
          </w:rPr>
          <w:t xml:space="preserve">«В-25Н» </w:t>
        </w:r>
      </w:hyperlink>
      <w:r w:rsidRPr="00271E51">
        <w:rPr>
          <w:rFonts w:ascii="Times New Roman" w:hAnsi="Times New Roman"/>
          <w:color w:val="000000" w:themeColor="text1"/>
          <w:sz w:val="16"/>
          <w:szCs w:val="16"/>
        </w:rPr>
        <w:t>(43-4105) со штатными двигателями «Wright» «R-2600-13» поднял в воздух испытатель Роберт Чилтон. Через две недели самолет приняли на вооружение ВВС США и пустили в серию (14969).</w:t>
      </w:r>
    </w:p>
    <w:p w14:paraId="344637A7"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569F7819"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июля 1943 немецкие самолеты атакуют военные корабли ВМС США, обстреливая батареи береговой артиллерии возле Сан-Стефано-ди-Камастра , Сицилия, но не попадают в цель (20376).</w:t>
      </w:r>
    </w:p>
    <w:p w14:paraId="3ECF42C1" w14:textId="77777777" w:rsidR="00CE7647" w:rsidRPr="00271E51" w:rsidRDefault="00CE7647" w:rsidP="00271E51">
      <w:pPr>
        <w:spacing w:after="0" w:line="240" w:lineRule="auto"/>
        <w:jc w:val="both"/>
        <w:rPr>
          <w:rFonts w:ascii="Times New Roman" w:hAnsi="Times New Roman"/>
          <w:color w:val="0070C0"/>
          <w:sz w:val="16"/>
          <w:szCs w:val="16"/>
        </w:rPr>
      </w:pPr>
    </w:p>
    <w:p w14:paraId="3040C0A1"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31 июля 1943 силы 11 армии ВВС США осуществили больше боевых вылетов против японских войск на Kiska в Алеутских островах, чем в июне (20376).</w:t>
      </w:r>
    </w:p>
    <w:p w14:paraId="3F2AA426" w14:textId="77777777" w:rsidR="00CE7647" w:rsidRPr="00271E51" w:rsidRDefault="00CE7647" w:rsidP="00271E51">
      <w:pPr>
        <w:spacing w:after="0" w:line="240" w:lineRule="auto"/>
        <w:jc w:val="both"/>
        <w:rPr>
          <w:rFonts w:ascii="Times New Roman" w:hAnsi="Times New Roman"/>
          <w:color w:val="0070C0"/>
          <w:sz w:val="16"/>
          <w:szCs w:val="16"/>
        </w:rPr>
      </w:pPr>
    </w:p>
    <w:p w14:paraId="04D1CB2D"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в 1943 году 2-й немецкий воздушный флот, насчитывающий 932 боевых самолета, перебазировался в Италию (14969).</w:t>
      </w:r>
    </w:p>
    <w:p w14:paraId="7F6C3817"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75B0B3C7"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июля в 1943 году новое итальянское правительство заявило о возвращении Франции ранее аннексированных у нее территорий – Савойи, Ниццы и Корсики (14969).</w:t>
      </w:r>
    </w:p>
    <w:p w14:paraId="16EDC904"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3B454B5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C67F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1C30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июля 1943 в надежде на улучшение взлетных свойств на самолет Ер-2 2М-30Б установили опытные четырехлопастные винты АВ-9ЕЛ-116, но ожидания не оправдались. Более того, с новыми винтами скорость полета даже уменьшилась. А вот опробованная на той же машине новая шаровая носовая стрелковая установка с пулеметом УБТ конструкции завода N 134 оказалась удачнее прежней купольной (разработки И.И.Торопова), и в дальнейшем стала серийной (3322,40).</w:t>
      </w:r>
    </w:p>
    <w:p w14:paraId="33783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BCB7A" w14:textId="77777777" w:rsidR="00054E57"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D99E056" w14:textId="77777777" w:rsidR="00054E57" w:rsidRPr="00271E51" w:rsidRDefault="00054E57"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4014FE" w14:textId="77777777" w:rsidR="00054E57" w:rsidRPr="00271E51" w:rsidRDefault="00054E57" w:rsidP="00271E51">
      <w:pPr>
        <w:spacing w:after="0" w:line="240" w:lineRule="auto"/>
        <w:jc w:val="both"/>
        <w:rPr>
          <w:rFonts w:ascii="Times New Roman" w:hAnsi="Times New Roman"/>
          <w:color w:val="000000" w:themeColor="text1"/>
          <w:sz w:val="16"/>
          <w:szCs w:val="16"/>
          <w:lang w:eastAsia="ru-RU"/>
        </w:rPr>
      </w:pPr>
      <w:r w:rsidRPr="00271E51">
        <w:rPr>
          <w:rFonts w:ascii="Times New Roman" w:hAnsi="Times New Roman"/>
          <w:color w:val="000000" w:themeColor="text1"/>
          <w:sz w:val="16"/>
          <w:szCs w:val="16"/>
        </w:rPr>
        <w:t xml:space="preserve">Во второй половине июля 1943 года на Кировском заводе в Челябинске начались работы по «объекту 701», который позже получил индекс ИС-4. Инициатором выступил главный конструктор Н.Л. Духов, поддержанный директором ЧКЗ И.М. Зальцманом и главным инженером предприятия С.Н. Махониным. Задача была </w:t>
      </w:r>
      <w:r w:rsidRPr="00271E51">
        <w:rPr>
          <w:rFonts w:ascii="Times New Roman" w:hAnsi="Times New Roman"/>
          <w:color w:val="000000" w:themeColor="text1"/>
          <w:sz w:val="16"/>
          <w:szCs w:val="16"/>
        </w:rPr>
        <w:lastRenderedPageBreak/>
        <w:t>поставлена довольно амбициозная: «создать перспективный тяжелый танк для завершающего этапа войны и на послевоенное время». Старшим инженером по новой машине, которая первоначально именовалась как «танк К», назначили Л.С. Троянова, которого позже сменил М.Ф. Балжи.</w:t>
      </w:r>
    </w:p>
    <w:p w14:paraId="6C720E44"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Основной задачей при проектировании являлось усиление броневой защиты. Предполагалось, что «танк К» будет выдерживать огонь танковых и противотанковых пушек противника не только калибра 75-мм, но и 88-мм.</w:t>
      </w:r>
    </w:p>
    <w:p w14:paraId="6E9A372B"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Сначала проектирование новой машины, которой осенью 1943 года присвоили обозначение «объект 701», велось что называется «своими средствами» и финансировалось из заводского бюджета. Лишь 10 декабря 1943 года эскизный проект нового танка продемонстрировали наркому танковой промышленности В. Малышеву. Машина понравилась, и Кировский завод получил «добро» на продолжение работ и необходимое финансирование.</w:t>
      </w:r>
    </w:p>
    <w:p w14:paraId="2D435F30"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марте 1944 года был готов техпроект «объекта 701», который представили на рассмотрение Главного бронетанкового управления Красной Армии. Военные одобрили новый танк, отметив следующее:</w:t>
      </w:r>
    </w:p>
    <w:p w14:paraId="0CA783F1"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своим боевым качествам, вооружению, бронированию, узлам и агрегатам силовой установки и трансмиссии, механизмам управления танком и огнем, танк заслуживает того, чтобы в кратчайший срок дать разрешение Кировскому заводу на изготовление двух опытных образцов…</w:t>
      </w:r>
    </w:p>
    <w:p w14:paraId="117D5D51"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Есть все основания получить отвечающий современным требованиям боя, лучший в мире тяжелый танк».</w:t>
      </w:r>
    </w:p>
    <w:p w14:paraId="117198B6"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ГБТУ КА самостоятельно не могло решить вопрос об изготовлении опытного образца — такие вопросы решались на уровне руководства страны, а точнее — в Государственном Комитете Обороны. В кратчайший срок туда была подготовлена соответствующая справка по «объекту 701», и 8 апреля И. Сталин подписал постановление ГКО «Об изготовлении опытного образца нового тяжелого танка на Кировском заводе НКТП».</w:t>
      </w:r>
    </w:p>
    <w:p w14:paraId="4DFC3F01"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этому документу, ЧКЗ должен был не только изготовить и подать на испытания два опытных образца нового танка, но и подать два бронекорпуса 701-го объекта для проведения их отстрела.</w:t>
      </w:r>
    </w:p>
    <w:p w14:paraId="6109EEBD"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сказать, что еще до появления постановления ГКО Кировский завод, заручившись поддержкой и наркомтанкпрома, и ГБТУ КА, начал изготовление узлов и деталей новой боевой машины. Поэтому после одобрения «объекта 701» на самом «верху» постановление ГКО удалось выполнить буквально за пару дней — 10 апреля 1944 года первый опытный образец нового тяжелого танка (в документах именовался как «объект 701» № 0) поступил на заводские испытания, завершившиеся через две недели.</w:t>
      </w:r>
    </w:p>
    <w:p w14:paraId="5518BFA5"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701» имел классическую схему общей компоновки — впереди отделение управления, в центре боевое, сзади моторно-трансмиссионное. Масса машины составила 56 тонн, экипаж — 4 человека. Таким образом, по массе «объект 701» превосходил серийный ИС-2 на 10 тонн, сравнившись по этому показателю с немецким «Тигром».</w:t>
      </w:r>
    </w:p>
    <w:p w14:paraId="317D07DE"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Бронекорпус танка «объект 701» изготавливался из листов стали 42СМ толщиной 120–160 мм средней твердости. Передняя часть состояла из верхнего, нижнего лобовых и правого, и левого скуловых листов, установленных под большими углами наклона к вертикали. Борта собирались из верхней наклонной и нижней вертикальной частей. Корму образовывали верхний, средний и нижний бронелисты. В крыше моторного отделения имелись четыре броневых решетки над вентиляторами, люки для доступа к двигателю и фильтрам тонкой очистки топлива, а также три горловины топливных баков. Крыша над трансмиссией могла откидываться на петлях.</w:t>
      </w:r>
    </w:p>
    <w:p w14:paraId="24A38AD8"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Днище танка «объекта 701» имело корытообразную форму, в нем имелись люки для доступа к агрегатам и механизмам танка.</w:t>
      </w:r>
    </w:p>
    <w:p w14:paraId="311246FA"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бронелисты корпуса соединялись между собой «в шип» и «в четверть», при помощи сварки.</w:t>
      </w:r>
    </w:p>
    <w:p w14:paraId="2539BBBD"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Литая башня танка изготавливалась из стали 66 и была обработана на среднюю твердость.</w:t>
      </w:r>
    </w:p>
    <w:p w14:paraId="32E4101C"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отделении управления находилось место механика-водителя, а также рычаги и педали приводов управления, кулиса, щитки с контрольными приборами, топливоподкачивающий насос, два баллона со сжатым воздухом для запуска двигателя, аккумуляторные батареи и часть ЗИП. За сиденьем механика-водителя в днище имелся аварийный люк, а в крыше отделения управления — смотровой люк с двумя приборами МК-4. Также механик-водитель мог наблюдать за дорогой через смотровую щель со стеклом «Триплекс» в верхнем лобовом листе корпуса.</w:t>
      </w:r>
    </w:p>
    <w:p w14:paraId="724AE2D4"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крыше боевого отделения «объекта 701» устанавливалась башня, с ручным и электрическим механизмами поворота. Максимальная скорость вращения составляла 15 градусов в секунду. В боевом отделении размещались радиостанция, аппараты ТПУ, вращающееся контактное устройство, а также рабочие места наводчика, командира и заряжающего. Для посадки экипажа в башне находились два люка над местами заряжающего и командира. Для наблюдения за полем боя заряжающий имел смотровой прибор МК-4, а командир и заряжающий — по два таких прибора в поворотных основаниях крышек люков.</w:t>
      </w:r>
    </w:p>
    <w:p w14:paraId="3DECC4FE"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«объекта 701» состояло из установленной в башне 122-мм пушки С-34, спаренной с пулеметом ДТ. Для наводки на цель использовался телескопический шарнирный прицел ТШ-17 с углами вертикального наведения от -3 до +19 градусов. Стрельба велась при помощи электроспусков, кнопки которых устанавливались на рукоятках маховиков механизма подъема пушки и поворотного механизма башни.</w:t>
      </w:r>
    </w:p>
    <w:p w14:paraId="3F4E265B"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имела раздельное заряжание, снаряды укладывались в нише башни, а заряды — в бортовых нишах корпуса, на вращающемся полике и левой стенке башни. Также в башне размещались 26 дисков к пулемету ДТ, два пистолета-пулемета ППШ и 25 гранат Ф-1.</w:t>
      </w:r>
    </w:p>
    <w:p w14:paraId="342241FB"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Моторное отделение отделялось от боевого перегородкой. Здесь размещался двигатель, слева и справа от него — масляный и топливные баки. В бортовых нишах, изолированно от моторного отделения, монтировались вентиляторы системы охлаждения и радиаторы. Это обеспечивало удобный монтаж радиаторов и защищало от попадания в двигатель большого количества пыли.</w:t>
      </w:r>
    </w:p>
    <w:p w14:paraId="214A1A9E"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силовой установки на «объекте 701» использовался дизельный двигатель В-12 мощностью 750 л.с. Он был спроектирован на базе серийного дизеля В-2ИС, увеличение мощности достигалось установкой нагнетателя и повышением числа оборотов до 2200 об/мин.</w:t>
      </w:r>
    </w:p>
    <w:p w14:paraId="32EBF079"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701» имел оригинальную планетарную трансмиссию, обеспечивающую шесть передач вперед и три назад. Ее конструкцию разрабатывали специалисты МВТУ имени Баумана. Трансмиссия состояла из четырех основных узлов: главного 3-ступенчатого редуктора, реверса, мультипликатора и механизма поворота, которые компактно монтировались в одном картере. Для получения меньших размеров и удобства регулировки фрикционы и тормоза были вынесены из картера.</w:t>
      </w:r>
    </w:p>
    <w:p w14:paraId="207519F7"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Ходовая часть по конструкции практически не отличалась от ходовой танка ИС-2, но имела семь опорных катков на борт.</w:t>
      </w:r>
    </w:p>
    <w:p w14:paraId="4771E190"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Электрооборудование выполнялось по однопроводной схеме. Источниками электроэнергии являлись генератор Г-73 и четыре аккумуляторных батареи 6СТЭ-128.</w:t>
      </w:r>
    </w:p>
    <w:p w14:paraId="76E71A11"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танке «объект 701» устанавливалась радиостанция 10РК и танковое переговорное устройство ТПУ-4-БИС-Ф.</w:t>
      </w:r>
    </w:p>
    <w:p w14:paraId="1ADFE654"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с изготовлением «объекта 701» № 0, Кировский завод вел сборку еще двух опытных образцов этой машины — № 1 и № 2. В их конструкцию внесли ряд изменений по опыту эксплуатации «нулевого» образца. Для испытаний двух этих машин была создана специальная комиссия (председатель — генерал-лейтенант танковых войск Б.Г. Вершинин), в состав которой вошли представители наркомата танковой промышленности и командования бронетанковыми и механизированными войсками Красной Армии.</w:t>
      </w:r>
    </w:p>
    <w:p w14:paraId="1A93EA94"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начались 27 июня 1944 года — в этот день на трассу вышел «объект 701» № 1. Вторая машина («объект 701» № 2) присоединилась к первой лишь 8 июля.</w:t>
      </w:r>
    </w:p>
    <w:p w14:paraId="379ADCE0"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сказать, что эти образцы несколько отличались между собой — на машине № 1 стояла 122-мм пушка С-34, а на втором — 100-мм орудие С-34-1. Разработкой артсистем занималось Центральное артиллерийское конструкторское бюро под руководством В. Грабиина. «Объект 701» № 1 еще оснащался специально разработанным 50-мм минометом, смонтированным в крыше башни. Миномет предназначался для защиты танка от пехотинцев в ближнем бою. Это было сделано по типу английских танков, поставляемых в СССР по ленд-лизу — они оснащались минометом аналогичного назначения.</w:t>
      </w:r>
    </w:p>
    <w:p w14:paraId="4B183E30"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«объектов 701» завершились в августе 1944 года. В выводах комиссии отмечалось значительное количество недостатков в работе бортовых редукторов, двигателей, системе охлаждения, трансмиссии. Вместе с тем, положительных оценок заслужили установка орудия, удобные места работы экипажа в башне, оригинальное размещение прицела ТШ-17 в приливе справа от пушки и введенная конструкторами система продувки канала ствола орудия после выстрела.</w:t>
      </w:r>
    </w:p>
    <w:p w14:paraId="7C1695D8"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Общая оценка опытных машин была следующей:</w:t>
      </w:r>
    </w:p>
    <w:p w14:paraId="097F7A94"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образец тяжелого танка (объект № 701) по своим основным боевым качествам: бронированию, вооружению и маневренности, является наиболее современным тяжелым танком, превосходящим по броневой защите все существующие танки, а танки противника, кроме того, по вооружению и маневренности…</w:t>
      </w:r>
    </w:p>
    <w:p w14:paraId="7A8E4406"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 процессе испытаний выявлено, что агрегаты трансмиссии заводом недостаточно отработаны и проверены &lt;…&gt; вследствие чего рекомендовать образец тяжелого танка (объект 701) на вооружение Красной Армии до устранения отмеченных дефектов и повторных испытаний, не представляется возможным».</w:t>
      </w:r>
    </w:p>
    <w:p w14:paraId="3ED4863A"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Комиссия предложила заводу прервать испытания опытных образцов и доработать их конструкцию. После этого предполагалось изготовить еще два доработанных опытных образца «объекта 701» и дополнительно испытать их.</w:t>
      </w:r>
    </w:p>
    <w:p w14:paraId="7A2E3635"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Испытания обстрелом бронекорпусов «объекта 701» провели в августе 1944 года на полигоне в Кубинке. Стреляли из 88-мм противотанкового орудия РаК 43 и 75-мм пушки «Пантеры» по двум корпусам, которые отличались между собой толщиной верхнего листа борта — 120 и 160 мм соответственно. В ходе испытаний выяснилось, что броня «объекта 701» защищает от 75 и 88-мм снарядов со всех дистанций при курсовом угле 60 градусов по корпусу и 30 градусов по башне (курсовой угол отсчитывался от продольной оси танка). В целом отмечалось, что при небольшом увеличении массы корпуса и башни танка «объект 701» по бронестойкости значительно превосходит серийный ИС-2. Тем не менее, проводившая испытания комиссия в своих выводах записала, что бронезащита корпуса не обеспечивает </w:t>
      </w:r>
      <w:r w:rsidRPr="00271E51">
        <w:rPr>
          <w:rFonts w:ascii="Times New Roman" w:hAnsi="Times New Roman"/>
          <w:color w:val="000000" w:themeColor="text1"/>
          <w:sz w:val="16"/>
          <w:szCs w:val="16"/>
        </w:rPr>
        <w:lastRenderedPageBreak/>
        <w:t>полного «снятия» 75 и 88-мм снарядов при курсовых углах от 60 до 90 градусов (90 градусов — стрельба в борт танка), а башни — более 30 градусов. Тем не менее, комиссия рекомендовала «принять на вооружение корпус и башню тяжелого танка «701» конструкции Кировского завода», внеся в конструкцию ряд изменений.</w:t>
      </w:r>
    </w:p>
    <w:p w14:paraId="59E298F9"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1944 года Кировский завод полностью разобрал «объекты 701» № 1 и 2 — планировалось на старых корпусах с башнями смонтировать новые узлы и детали, изготовленные с учетом результатов испытаний. Одновременно велась переработка конструкции корпуса и башни с учетом результатов их испытаний обстрелом.</w:t>
      </w:r>
    </w:p>
    <w:p w14:paraId="65135CE6"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последних числах сентября 1944 года на заводские испытания вышел новый танк «объект 701», на котором установили измененные трансмиссию, бортовые редукторы и некоторые другие агрегаты. Одновременно шла сборка еще нескольких опытных образцов нового тяжелого танка — к середине ноября их имелось уже шесть штук. К этому времени в заводской документации сменили и нумерацию «объектов 701».</w:t>
      </w:r>
    </w:p>
    <w:p w14:paraId="32DFD898"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Напомним, что до сентября 1944 года Кировский завод в Челябинске изготовил три образца нового тяжелого танка, именовавшихся № 0,1 и 2. Собранный к началу ноября танк «объект 701», получивший доработанные по результатам обстрела, корпус и башню, в документации именовался № 4 — это был четвертый по счету «объект 701». Номера 1 и 2 получили собранные в конце сентября — начале октября образцы с модернизированными узлами и агрегатами. А вот под номерами 5 и 6 значились танки, собранные с использованием старых корпусов машин № 1 и 2 (испытывавшихся летом 1944 года), но с установкой на них модернизированных узлов и агрегатов. При этом на «объект 701» № 6 установили 122-мм пушку Д-25 — такую же, как и на серийных танках ИС-2. Остальные машины вооружались 122-мм орудиями С-34, разработанными в ЦАКБ.</w:t>
      </w:r>
    </w:p>
    <w:p w14:paraId="50850E6B"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Пять опытных образцов «объекта 701» остались в Челябинске, где проходили заводские испытания. А одну машину — № 5, собранную с использованием старого корпуса и башни — в начале декабря 1944 года направили на полигон в подмосковной Кубинке для прохождения испытаний.</w:t>
      </w:r>
    </w:p>
    <w:p w14:paraId="1B86F87D"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испытывался с 16 декабря 1944-го по 24 января 1945 года, пройдя в общей сложности 1051 км в различных условиях. Машина показала неплохую динамику (максимальная скорость 41 км/ч), превзойдя по средним скоростям серийный ИС-2 и опытный «Кировец-1» («объект 703», будущий ИС-3).</w:t>
      </w:r>
    </w:p>
    <w:p w14:paraId="23F7902E"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вот запас хода на основных баках оказался маловат — 140 км по шоссе и 110 по проселку. Правда, при использовании внешних топливных баков запас хода возрастал почти в два раза, но военные сочли это недостаточным.</w:t>
      </w:r>
    </w:p>
    <w:p w14:paraId="6B62F419"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хотя без поломок и дефектов на испытаниях не обошлось (пришлось даже заменить вышедший из строя двигатель В-12), комиссия, проводившая испытания, дала машине довольно высокую оценку:</w:t>
      </w:r>
    </w:p>
    <w:p w14:paraId="4E3B568C"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тяжелый танк 701 по основным боевым и техническим качествам превосходит существующие тяжелые танки, как отечественные, так и иностранные. Тяжелый танк 701 обладает сильной броневой защитой, мощным вооружением, хорошей маневренностью, вполне достаточной надежностью агрегатов и механизмов…</w:t>
      </w:r>
    </w:p>
    <w:p w14:paraId="55740F40" w14:textId="77777777" w:rsidR="00054E57" w:rsidRPr="00271E51" w:rsidRDefault="00054E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результатов испытаний комиссия считает необходимым рекомендовать танк 701 для принятия на вооружение Красной Армии» (17434).</w:t>
      </w:r>
    </w:p>
    <w:p w14:paraId="6079F4A6" w14:textId="77777777" w:rsidR="00054E57" w:rsidRPr="00271E51" w:rsidRDefault="00054E57" w:rsidP="00271E51">
      <w:pPr>
        <w:spacing w:after="0" w:line="240" w:lineRule="auto"/>
        <w:jc w:val="both"/>
        <w:rPr>
          <w:rFonts w:ascii="Times New Roman" w:hAnsi="Times New Roman"/>
          <w:color w:val="000000" w:themeColor="text1"/>
          <w:sz w:val="16"/>
          <w:szCs w:val="16"/>
        </w:rPr>
      </w:pPr>
    </w:p>
    <w:p w14:paraId="41AB5B7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5E007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96E4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20-х числах июля 1943 г. перелетевшее на аэродром Фоджа звено III/KG100 предприняло две безрезультатные попытки нанести удар по английским судам на рейде Аугусты и у Сиракуз. Согласно данным британского историка С.Роскилла, опытные экземпляры FX1400, запускавшиеся с самолетов Do217, применялись и для нанесения ударов по Мальте (9524).</w:t>
      </w:r>
    </w:p>
    <w:p w14:paraId="5DD6B3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9EC4A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5E9E0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5B444C" w14:textId="77777777" w:rsidR="00330D5B" w:rsidRPr="00271E51" w:rsidRDefault="00330D5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Нарком отменил свое распоряжение (в начале 1942 года по устному распоряжению А.И.Шахурина завод №289 приступил к изготовлению малой войсковой серии самолетов Су-6 с М-71 в количестве пяти экземпляров и одного планера для статиспытаний, со сроком окончания работ в октябре 1942 года), и работа по войсковой серии была прекращена. Утвержденный план на 1942 год обязал П.О.Сухого изготовить один экземпляр одноместного штурмовика Су-6 с М-71Ф, представляющего собой эталон войсковой серии. К тому же, учитывая изменившиеся требования к штурмовику, с разрешения руководства НКАП, П.О.Сухой принимает решение переделать строящийся экземпляр в двухместный вариант, со сдачей его на госиспытания в конце февраля 1943 года (19769).</w:t>
      </w:r>
    </w:p>
    <w:p w14:paraId="10580036" w14:textId="77777777" w:rsidR="00330D5B" w:rsidRPr="00271E51" w:rsidRDefault="00330D5B" w:rsidP="00271E51">
      <w:pPr>
        <w:spacing w:after="0" w:line="240" w:lineRule="auto"/>
        <w:jc w:val="both"/>
        <w:rPr>
          <w:rFonts w:ascii="Times New Roman" w:hAnsi="Times New Roman"/>
          <w:color w:val="000000" w:themeColor="text1"/>
          <w:sz w:val="16"/>
          <w:szCs w:val="16"/>
        </w:rPr>
      </w:pPr>
    </w:p>
    <w:p w14:paraId="50FBDF27" w14:textId="77777777" w:rsidR="00CE7647" w:rsidRPr="00271E51" w:rsidRDefault="00CE7647"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shd w:val="clear" w:color="auto" w:fill="FFFFFF"/>
        </w:rPr>
        <w:t>В конце июля 1942 ТС-1 Щербакова был предъявлен ВВС в вариантах транспортного, десантно-транспортного и санитарного самолета и в следующем месяце ТС-1 при участии ведущего летчика-испытателя А. К. Долгова прошел государственные испытания. Он в полной мере удовлетворял требованиям, которые фронт предъявил к военно-транспортному самолету средней грузоподъемности и был рекомендован в серию. После небольших доработок в октябре 1943-го он был запущен в производство на заводе No. 47 в городе Чкалове под названием Ще-2 (19837).</w:t>
      </w:r>
    </w:p>
    <w:p w14:paraId="69ACADF6" w14:textId="77777777" w:rsidR="00CE7647" w:rsidRPr="00271E51" w:rsidRDefault="00CE7647" w:rsidP="00271E51">
      <w:pPr>
        <w:pStyle w:val="article-renderblock"/>
        <w:shd w:val="clear" w:color="auto" w:fill="FFFFFF"/>
        <w:spacing w:before="0" w:beforeAutospacing="0" w:after="0" w:afterAutospacing="0"/>
        <w:jc w:val="both"/>
        <w:rPr>
          <w:color w:val="0070C0"/>
          <w:sz w:val="16"/>
          <w:szCs w:val="16"/>
        </w:rPr>
      </w:pPr>
    </w:p>
    <w:p w14:paraId="1B0CE0F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в ГСКБ-47 были разработаны новая конструкция ФАБ-100сч с литой резьбой головного очка (испытаний не выдержала) и три варианта стабилизатора для штатной ФАБ-100сч - цилиндрический, коробчатый металлический и коробчатый деревянный. Цилиндрический оказался лучшим (7453, 272).</w:t>
      </w:r>
    </w:p>
    <w:p w14:paraId="581F83A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98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г. в ГСКБ-47 к штатной ФАБ-100сч разработали три варианта стабилизаторов - цилиндрический, коробчатый металлический и коробчатый с фанерными щитками. Сам корпус, запальные стаканы и принцип крепления стабилизатора остались прежними. Снарядив аммотолом 50/50, боеприпасы сдали на испытания. Следует отметить, что до этого периода в авиации все бомбы имели стабилизаторы двух типов - перистые и коробчатые. На испытаниях же наилучшую устойчивость на траектории продемонстрировали авиабомбы с цилиндрическим стабилизатором. Именно в таком виде специалисты НИП АВ ВВС рекомендовали принять боеприпас на вооружение.</w:t>
      </w:r>
    </w:p>
    <w:p w14:paraId="23EB6E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Научно-технического журнала в этом же году утвердили всю документацию на серийное производство ФАБ-100 чертежа 3-01264, цельнолитой из сталистого чугуна с присвоением ей наименования ФАБ-100цл. Ее промышленное производство продолжалось до 1944 г. За это время в ГСКБ-47 предложения заводчан по изменению конструкции авиабомбы и сокращению брака на некоторых операциях обобщили и испытали на ряде производств, представители которых подтвердили целесообразность изменений. В итоге промышленность приступила к изготовлению улучшенной модели ФАБ-100цл чертежа 3-01380, принятой на вооружение под индексом 7-Ф-ЗОЗ.</w:t>
      </w:r>
    </w:p>
    <w:p w14:paraId="19F26D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ФАБ-100цл обеих моделей обладали недостаточной прочностью для применения по долговременным фортсо-оружениям, а кроме того, при изготовлении корпусов требовали механической обработки головная и хвостовая части. Учитывая сменившийся контингент на военных заводах - места мужчин у станков заняли женщины и дети, одна только операция по установке 75-килограммовой заготовки в зажим токарного станка представляла для заводчан большую проблему.</w:t>
      </w:r>
    </w:p>
    <w:p w14:paraId="044DEA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Упростить конструкцию авиабомбы решили на заводе № 460. С помощью специалистов НИИ-24 там разработали корпус для литой из двух продольных половин ФАБ-100 с минимальной механической обработкой - нарезать и головное, и донное очко под взрыватели можно было и без применения токарных станков. Следует отметить, что в проектировании этого боеприпаса самое деятельное участие принимал лично генерал Б.Л.Ванников - народный комиссар промышленности боеприпасов. Предварительные испытания авиабомб на устойчивость дважды провели на Ногинском полигоне. После устранения отмеченных недостатков завод.№ 460 предъявил партию ФАБ-100сч на госиспытания.</w:t>
      </w:r>
    </w:p>
    <w:p w14:paraId="3C398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предыдущих образцов авиабомб их корпуса совершенно не требовали никакой механической обработки, поскольку запальные стаканы детонаторов изготавливали также литьем из сталистого чугуна и фиксировали не на резьбе, а при помощи цементной замазки. Коробчатый стабилизатор устанавливали на корпус посредством специального стяжного хомута с четырьмя болтами. Его положение фиксировалось четырьмя шпоночными приливами на корпусе (7453).</w:t>
      </w:r>
    </w:p>
    <w:p w14:paraId="068A7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0DB7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6B0F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7BE5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421F367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12 августа 1943 г. войсковые испытания закончились. На вооружение ОБ-25 была принята постановлением ГКО от 4 сентября 1943 г. В валовое производство 76-мм полковая пушка обр. 1943 г. была запущена в конце 1943 г. на двух заводах: № 172 и № 106. Завод № 172 в 1944 г. выпустил 2730 пушек, а в 1945 г. — 1434, и на этом производство ОБ-25 закончил. А завод № 106 выпустил в 1944 г. 464 пушки, в 1945 г. — 494 и в 1946 г. — всего 30 пушек. Итого на обоих заводах было изготовлено 5152 пушки ОБ-25.</w:t>
      </w:r>
    </w:p>
    <w:p w14:paraId="42792F1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3E10B0F1"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2160E5BE" w14:textId="77777777" w:rsidR="00BA7A65" w:rsidRPr="00271E51" w:rsidRDefault="00BA7A65" w:rsidP="00271E51">
      <w:pPr>
        <w:pStyle w:val="a3"/>
        <w:rPr>
          <w:color w:val="000000" w:themeColor="text1"/>
          <w:lang w:val="ru-RU"/>
        </w:rPr>
      </w:pPr>
      <w:r w:rsidRPr="00271E51">
        <w:rPr>
          <w:color w:val="000000" w:themeColor="text1"/>
          <w:lang w:val="ru-RU"/>
        </w:rPr>
        <w:t>В конце июля 1943 первые образцы танка «Объ</w:t>
      </w:r>
      <w:r w:rsidRPr="00271E51">
        <w:rPr>
          <w:color w:val="000000" w:themeColor="text1"/>
          <w:lang w:val="ru-RU"/>
        </w:rPr>
        <w:softHyphen/>
        <w:t>ект 237» были собраны и отправлены на поли</w:t>
      </w:r>
      <w:r w:rsidRPr="00271E51">
        <w:rPr>
          <w:color w:val="000000" w:themeColor="text1"/>
          <w:lang w:val="ru-RU"/>
        </w:rPr>
        <w:softHyphen/>
        <w:t>гон для испытаний. Там отдали предпочтение пушке Д-5Т-85 перед С-31. Однако подготовка производства новой машины затягивалась. Необходимо отметить, что в этот период напря</w:t>
      </w:r>
      <w:r w:rsidRPr="00271E51">
        <w:rPr>
          <w:color w:val="000000" w:themeColor="text1"/>
          <w:lang w:val="ru-RU"/>
        </w:rPr>
        <w:softHyphen/>
        <w:t xml:space="preserve">жение во взаимоотношениях между службами главного конструктора завода </w:t>
      </w:r>
      <w:r w:rsidRPr="00271E51">
        <w:rPr>
          <w:color w:val="000000" w:themeColor="text1"/>
        </w:rPr>
        <w:t>N</w:t>
      </w:r>
      <w:r w:rsidRPr="00271E51">
        <w:rPr>
          <w:color w:val="000000" w:themeColor="text1"/>
          <w:lang w:val="ru-RU"/>
        </w:rPr>
        <w:t>2100, ЧКЗ и производственно-технологическими подраз</w:t>
      </w:r>
      <w:r w:rsidRPr="00271E51">
        <w:rPr>
          <w:color w:val="000000" w:themeColor="text1"/>
          <w:lang w:val="ru-RU"/>
        </w:rPr>
        <w:softHyphen/>
        <w:t>делениями завода вылилось в открытую кон</w:t>
      </w:r>
      <w:r w:rsidRPr="00271E51">
        <w:rPr>
          <w:color w:val="000000" w:themeColor="text1"/>
          <w:lang w:val="ru-RU"/>
        </w:rPr>
        <w:softHyphen/>
        <w:t>фронтацию. Каждая из них ссылалась на другую в оправдании задержки выпуска новых танков.</w:t>
      </w:r>
    </w:p>
    <w:p w14:paraId="1D5A7BD9" w14:textId="77777777" w:rsidR="00BA7A65" w:rsidRPr="00271E51" w:rsidRDefault="00BA7A65" w:rsidP="00271E51">
      <w:pPr>
        <w:pStyle w:val="a3"/>
        <w:rPr>
          <w:color w:val="000000" w:themeColor="text1"/>
          <w:lang w:val="ru-RU"/>
        </w:rPr>
      </w:pPr>
      <w:r w:rsidRPr="00271E51">
        <w:rPr>
          <w:color w:val="000000" w:themeColor="text1"/>
          <w:lang w:val="ru-RU"/>
        </w:rPr>
        <w:t>В этой связи было решено башню танка ИС с расширенным погоном и пушкой Д-5Т-85 установить на серийный КВ-1С с расширенным погоном и организовать его выпуск под мар</w:t>
      </w:r>
      <w:r w:rsidRPr="00271E51">
        <w:rPr>
          <w:color w:val="000000" w:themeColor="text1"/>
          <w:lang w:val="ru-RU"/>
        </w:rPr>
        <w:softHyphen/>
        <w:t>кой КВ-85 («Объект 239») до начала серийного производства танка ИС-85.</w:t>
      </w:r>
    </w:p>
    <w:p w14:paraId="334DF4CC" w14:textId="77777777" w:rsidR="00BA7A65" w:rsidRPr="00271E51" w:rsidRDefault="00BA7A65" w:rsidP="00271E51">
      <w:pPr>
        <w:pStyle w:val="a3"/>
        <w:rPr>
          <w:color w:val="000000" w:themeColor="text1"/>
          <w:lang w:val="ru-RU"/>
        </w:rPr>
      </w:pPr>
      <w:r w:rsidRPr="00271E51">
        <w:rPr>
          <w:color w:val="000000" w:themeColor="text1"/>
          <w:lang w:val="ru-RU"/>
        </w:rPr>
        <w:t>К этому времени были собраны и два опыт</w:t>
      </w:r>
      <w:r w:rsidRPr="00271E51">
        <w:rPr>
          <w:color w:val="000000" w:themeColor="text1"/>
          <w:lang w:val="ru-RU"/>
        </w:rPr>
        <w:softHyphen/>
        <w:t>ных образца танка КВ-1 С с 85-мм пушкой С-31, установленной в штатной башне («Объект 238»). Ведущим инженером машины был Н.Ф. Шашму</w:t>
      </w:r>
      <w:r w:rsidRPr="00271E51">
        <w:rPr>
          <w:color w:val="000000" w:themeColor="text1"/>
          <w:lang w:val="ru-RU"/>
        </w:rPr>
        <w:softHyphen/>
        <w:t>рин. Однако этот вариант отвергли.</w:t>
      </w:r>
    </w:p>
    <w:p w14:paraId="50B4FC17" w14:textId="77777777" w:rsidR="00BA7A65" w:rsidRPr="00271E51" w:rsidRDefault="00BA7A65" w:rsidP="00271E51">
      <w:pPr>
        <w:pStyle w:val="a3"/>
        <w:rPr>
          <w:color w:val="000000" w:themeColor="text1"/>
          <w:lang w:val="ru-RU"/>
        </w:rPr>
      </w:pPr>
      <w:r w:rsidRPr="00271E51">
        <w:rPr>
          <w:color w:val="000000" w:themeColor="text1"/>
          <w:lang w:val="ru-RU"/>
        </w:rPr>
        <w:t>Вскоре были приняты серьезные органи</w:t>
      </w:r>
      <w:r w:rsidRPr="00271E51">
        <w:rPr>
          <w:color w:val="000000" w:themeColor="text1"/>
          <w:lang w:val="ru-RU"/>
        </w:rPr>
        <w:softHyphen/>
        <w:t>зационные меры, приведшие к изменениям в руководстве Наркомтанкопрома, Кировского и Опытного завода №100 при нем. От выс</w:t>
      </w:r>
      <w:r w:rsidRPr="00271E51">
        <w:rPr>
          <w:color w:val="000000" w:themeColor="text1"/>
          <w:lang w:val="ru-RU"/>
        </w:rPr>
        <w:softHyphen/>
        <w:t>шего руководства страны ответственным за танковое производство назначили члена ГКО Л.П. Берию, а Наркомат танковой промышлен</w:t>
      </w:r>
      <w:r w:rsidRPr="00271E51">
        <w:rPr>
          <w:color w:val="000000" w:themeColor="text1"/>
          <w:lang w:val="ru-RU"/>
        </w:rPr>
        <w:softHyphen/>
        <w:t>ности вновь возглавил В.А. Малышев, являв</w:t>
      </w:r>
      <w:r w:rsidRPr="00271E51">
        <w:rPr>
          <w:color w:val="000000" w:themeColor="text1"/>
          <w:lang w:val="ru-RU"/>
        </w:rPr>
        <w:softHyphen/>
        <w:t>шийся одновременно заместителем Предсе</w:t>
      </w:r>
      <w:r w:rsidRPr="00271E51">
        <w:rPr>
          <w:color w:val="000000" w:themeColor="text1"/>
          <w:lang w:val="ru-RU"/>
        </w:rPr>
        <w:softHyphen/>
        <w:t>дателя Совнаркома СССР.</w:t>
      </w:r>
    </w:p>
    <w:p w14:paraId="4A37F138" w14:textId="77777777" w:rsidR="00BA7A65" w:rsidRPr="00271E51" w:rsidRDefault="00BA7A65" w:rsidP="00271E51">
      <w:pPr>
        <w:pStyle w:val="a3"/>
        <w:rPr>
          <w:color w:val="000000" w:themeColor="text1"/>
          <w:lang w:val="ru-RU"/>
        </w:rPr>
      </w:pPr>
      <w:r w:rsidRPr="00271E51">
        <w:rPr>
          <w:color w:val="000000" w:themeColor="text1"/>
          <w:lang w:val="ru-RU"/>
        </w:rPr>
        <w:t>При личной встрече с автором этих строк Исаак Моисеевич Зальцман, вспоминая те драматические события, связанные с при</w:t>
      </w:r>
      <w:r w:rsidRPr="00271E51">
        <w:rPr>
          <w:color w:val="000000" w:themeColor="text1"/>
          <w:lang w:val="ru-RU"/>
        </w:rPr>
        <w:softHyphen/>
        <w:t>ездом на Кировский завод в Челябинске Берии и отстранением его с поста наркома, произнес:</w:t>
      </w:r>
      <w:r w:rsidRPr="00271E51">
        <w:rPr>
          <w:rStyle w:val="11b"/>
          <w:rFonts w:ascii="Times New Roman" w:hAnsi="Times New Roman" w:cs="Times New Roman"/>
          <w:i w:val="0"/>
          <w:color w:val="000000" w:themeColor="text1"/>
          <w:sz w:val="16"/>
          <w:szCs w:val="16"/>
          <w:lang w:val="ru-RU"/>
        </w:rPr>
        <w:t xml:space="preserve"> «До сих пор не понимаю, как</w:t>
      </w:r>
      <w:r w:rsidRPr="00271E51">
        <w:rPr>
          <w:color w:val="000000" w:themeColor="text1"/>
          <w:lang w:val="ru-RU"/>
        </w:rPr>
        <w:t xml:space="preserve"> я </w:t>
      </w:r>
      <w:r w:rsidRPr="00271E51">
        <w:rPr>
          <w:rStyle w:val="11b"/>
          <w:rFonts w:ascii="Times New Roman" w:hAnsi="Times New Roman" w:cs="Times New Roman"/>
          <w:i w:val="0"/>
          <w:color w:val="000000" w:themeColor="text1"/>
          <w:sz w:val="16"/>
          <w:szCs w:val="16"/>
          <w:lang w:val="ru-RU"/>
        </w:rPr>
        <w:t>тогда жив остался».</w:t>
      </w:r>
      <w:r w:rsidRPr="00271E51">
        <w:rPr>
          <w:color w:val="000000" w:themeColor="text1"/>
          <w:lang w:val="ru-RU"/>
        </w:rPr>
        <w:t xml:space="preserve"> В итоге бывший нарком И.М. Зальцман вновь стал директором Челя</w:t>
      </w:r>
      <w:r w:rsidRPr="00271E51">
        <w:rPr>
          <w:color w:val="000000" w:themeColor="text1"/>
          <w:lang w:val="ru-RU"/>
        </w:rPr>
        <w:softHyphen/>
        <w:t>бинского Кировского завода. Замнаркома Ж.Я. Котина назначили директором и глав</w:t>
      </w:r>
      <w:r w:rsidRPr="00271E51">
        <w:rPr>
          <w:color w:val="000000" w:themeColor="text1"/>
          <w:lang w:val="ru-RU"/>
        </w:rPr>
        <w:softHyphen/>
        <w:t>ным конструктором Опытного завода №100. Главным конструктором ЧКЗ стал Н.Л. Духов. Опытный завод №100 был отделен от ЧКЗ.</w:t>
      </w:r>
    </w:p>
    <w:p w14:paraId="5F2DDCA4" w14:textId="77777777" w:rsidR="00BA7A65" w:rsidRPr="00271E51" w:rsidRDefault="00BA7A65" w:rsidP="00271E51">
      <w:pPr>
        <w:pStyle w:val="a3"/>
        <w:rPr>
          <w:color w:val="000000" w:themeColor="text1"/>
          <w:lang w:val="ru-RU"/>
        </w:rPr>
      </w:pPr>
      <w:r w:rsidRPr="00271E51">
        <w:rPr>
          <w:color w:val="000000" w:themeColor="text1"/>
          <w:lang w:val="ru-RU"/>
        </w:rPr>
        <w:t>С августа 1943 г. Г.Н. Москвин — старший инженер-конструктор Опытного завода №100.</w:t>
      </w:r>
    </w:p>
    <w:p w14:paraId="7D765D9C" w14:textId="77777777" w:rsidR="00BA7A65" w:rsidRPr="00271E51" w:rsidRDefault="00BA7A65" w:rsidP="00271E51">
      <w:pPr>
        <w:pStyle w:val="a3"/>
        <w:rPr>
          <w:color w:val="000000" w:themeColor="text1"/>
          <w:lang w:val="ru-RU"/>
        </w:rPr>
      </w:pPr>
      <w:r w:rsidRPr="00271E51">
        <w:rPr>
          <w:color w:val="000000" w:themeColor="text1"/>
          <w:lang w:val="ru-RU"/>
        </w:rPr>
        <w:t>Было очевидным, что для восстанов</w:t>
      </w:r>
      <w:r w:rsidRPr="00271E51">
        <w:rPr>
          <w:color w:val="000000" w:themeColor="text1"/>
          <w:lang w:val="ru-RU"/>
        </w:rPr>
        <w:softHyphen/>
        <w:t>ления престижа тяжелого танка недоста</w:t>
      </w:r>
      <w:r w:rsidRPr="00271E51">
        <w:rPr>
          <w:color w:val="000000" w:themeColor="text1"/>
          <w:lang w:val="ru-RU"/>
        </w:rPr>
        <w:softHyphen/>
        <w:t>точно заменить пушку калибра 76,2 мм на 85-миллиметровую. Со стороны В.Г. Грабина — начальника Центрального артиллерийского КБ — последовало предложение установить более мощную пушку калибра 100 мм. Такую пушку С-34 изготовили в нескольких образцах. При калибре 100 мм заряжание орудия уни</w:t>
      </w:r>
      <w:r w:rsidRPr="00271E51">
        <w:rPr>
          <w:color w:val="000000" w:themeColor="text1"/>
          <w:lang w:val="ru-RU"/>
        </w:rPr>
        <w:softHyphen/>
        <w:t>тарным выстрелом не должно было вызвать проблемы, что также могло положительным образом сказаться на практической скоро</w:t>
      </w:r>
      <w:r w:rsidRPr="00271E51">
        <w:rPr>
          <w:color w:val="000000" w:themeColor="text1"/>
          <w:lang w:val="ru-RU"/>
        </w:rPr>
        <w:softHyphen/>
        <w:t>стрельности.</w:t>
      </w:r>
    </w:p>
    <w:p w14:paraId="40F2284D" w14:textId="77777777" w:rsidR="00BA7A65" w:rsidRPr="00271E51" w:rsidRDefault="00BA7A65" w:rsidP="00271E51">
      <w:pPr>
        <w:pStyle w:val="a3"/>
        <w:rPr>
          <w:color w:val="000000" w:themeColor="text1"/>
          <w:lang w:val="ru-RU"/>
        </w:rPr>
      </w:pPr>
      <w:r w:rsidRPr="00271E51">
        <w:rPr>
          <w:color w:val="000000" w:themeColor="text1"/>
          <w:lang w:val="ru-RU"/>
        </w:rPr>
        <w:t>Однако предпочтение отдали варианту танка ИС с орудием калибра 122 мм. Конструк</w:t>
      </w:r>
      <w:r w:rsidRPr="00271E51">
        <w:rPr>
          <w:color w:val="000000" w:themeColor="text1"/>
          <w:lang w:val="ru-RU"/>
        </w:rPr>
        <w:softHyphen/>
        <w:t>торы артиллерийского завода-изготовителя пушки Д-5Т-85 (главный конструктор — Ф.Ф. Петров) после конструктивной доработки корпусной пушки А-19 обр. 1931 г. приспосо</w:t>
      </w:r>
      <w:r w:rsidRPr="00271E51">
        <w:rPr>
          <w:color w:val="000000" w:themeColor="text1"/>
          <w:lang w:val="ru-RU"/>
        </w:rPr>
        <w:softHyphen/>
        <w:t>били ее к установке в люльку пушки Д-5Т-85. Для того чтобы мощная 122-мм пушка более полно соответствовала требованиям, предъ</w:t>
      </w:r>
      <w:r w:rsidRPr="00271E51">
        <w:rPr>
          <w:color w:val="000000" w:themeColor="text1"/>
          <w:lang w:val="ru-RU"/>
        </w:rPr>
        <w:softHyphen/>
        <w:t>являемым к танковому орудию, укоротили длину ее ствола, проработали замену порш</w:t>
      </w:r>
      <w:r w:rsidRPr="00271E51">
        <w:rPr>
          <w:color w:val="000000" w:themeColor="text1"/>
          <w:lang w:val="ru-RU"/>
        </w:rPr>
        <w:softHyphen/>
        <w:t>невого затвора клиновым, снабдили ствол орудия дульным тормозом. Углы вертикаль</w:t>
      </w:r>
      <w:r w:rsidRPr="00271E51">
        <w:rPr>
          <w:color w:val="000000" w:themeColor="text1"/>
          <w:lang w:val="ru-RU"/>
        </w:rPr>
        <w:softHyphen/>
        <w:t>ной наводки новой пушки, получившей марку Д-25, несколько снизились по сравнению с Д-5 (от +21*30' до -2' вместо +25° —5'). Боеком</w:t>
      </w:r>
      <w:r w:rsidRPr="00271E51">
        <w:rPr>
          <w:color w:val="000000" w:themeColor="text1"/>
          <w:lang w:val="ru-RU"/>
        </w:rPr>
        <w:softHyphen/>
        <w:t>плект танка уменьшился с 59 до 28 выстрелов. В связи с применением раздельно-гильзового заряжания скорострельностьтакже снизилась. Но состав экипажа остался прежним — четыре человека. Танк получил обозначение ИС-2 (или ИС-122) «Объект 240».</w:t>
      </w:r>
    </w:p>
    <w:p w14:paraId="2500EAEA" w14:textId="77777777" w:rsidR="00BA7A65" w:rsidRPr="00271E51" w:rsidRDefault="00BA7A65" w:rsidP="00271E51">
      <w:pPr>
        <w:pStyle w:val="a3"/>
        <w:rPr>
          <w:color w:val="000000" w:themeColor="text1"/>
          <w:lang w:val="ru-RU"/>
        </w:rPr>
      </w:pPr>
      <w:r w:rsidRPr="00271E51">
        <w:rPr>
          <w:color w:val="000000" w:themeColor="text1"/>
          <w:lang w:val="ru-RU"/>
        </w:rPr>
        <w:t>Производство узлов и деталей танков ИС постепенно нарастало (12617).</w:t>
      </w:r>
    </w:p>
    <w:p w14:paraId="2F40DDCA" w14:textId="77777777" w:rsidR="00BA7A65" w:rsidRPr="00271E51" w:rsidRDefault="00BA7A65" w:rsidP="00271E51">
      <w:pPr>
        <w:pStyle w:val="a3"/>
        <w:rPr>
          <w:color w:val="000000" w:themeColor="text1"/>
          <w:lang w:val="ru-RU"/>
        </w:rPr>
      </w:pPr>
    </w:p>
    <w:p w14:paraId="66894C7F" w14:textId="77777777" w:rsidR="00330D5B" w:rsidRPr="00271E51" w:rsidRDefault="00330D5B"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 конце июля 1943 года Т-34 с пушками ЗИС-4 прибыли на Гороховецкий АНИОП, где оставались и в августе. Далее один танк направили на завод №92, а оставшиеся уехали обратно на завод №183 и тоже не попали ни в какую роту (19620).</w:t>
      </w:r>
    </w:p>
    <w:p w14:paraId="3C48943B" w14:textId="77777777" w:rsidR="00330D5B" w:rsidRPr="00271E51" w:rsidRDefault="00330D5B" w:rsidP="00271E51">
      <w:pPr>
        <w:spacing w:after="0" w:line="240" w:lineRule="auto"/>
        <w:jc w:val="both"/>
        <w:rPr>
          <w:rFonts w:ascii="Times New Roman" w:hAnsi="Times New Roman"/>
          <w:color w:val="000000" w:themeColor="text1"/>
          <w:sz w:val="16"/>
          <w:szCs w:val="16"/>
        </w:rPr>
      </w:pPr>
    </w:p>
    <w:p w14:paraId="476B6B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к завершению оборонительных боев на Курской дуге, завод № 40 был готов начать серийный выпуск танков Т-80. Двигательный цех выдал первые кондицион</w:t>
      </w:r>
      <w:r w:rsidRPr="00271E51">
        <w:rPr>
          <w:rFonts w:ascii="Times New Roman" w:hAnsi="Times New Roman"/>
          <w:color w:val="000000" w:themeColor="text1"/>
          <w:sz w:val="16"/>
          <w:szCs w:val="16"/>
        </w:rPr>
        <w:softHyphen/>
        <w:t>ные двигатели ГАЗ-203Ф (ГАЗ-80). В сжатые сроки были проведены работы по адаптации орудия ВТ-42 в башне Т-80. Однако чисто косметическими мерами здесь обойтись не удалось. Для нормального функ</w:t>
      </w:r>
      <w:r w:rsidRPr="00271E51">
        <w:rPr>
          <w:rFonts w:ascii="Times New Roman" w:hAnsi="Times New Roman"/>
          <w:color w:val="000000" w:themeColor="text1"/>
          <w:sz w:val="16"/>
          <w:szCs w:val="16"/>
        </w:rPr>
        <w:softHyphen/>
        <w:t>ционирования орудия при больших углах возвышения пришлось сконструировать не только новый подъемный механизм, но перерабатывать конструкцию накатника. Та</w:t>
      </w:r>
      <w:r w:rsidRPr="00271E51">
        <w:rPr>
          <w:rFonts w:ascii="Times New Roman" w:hAnsi="Times New Roman"/>
          <w:color w:val="000000" w:themeColor="text1"/>
          <w:sz w:val="16"/>
          <w:szCs w:val="16"/>
        </w:rPr>
        <w:softHyphen/>
        <w:t>кое орудие получило индекс ВТ-43 (11135).</w:t>
      </w:r>
    </w:p>
    <w:p w14:paraId="7EF7E1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выпуск танка Т-80 на заводе № 40 огра</w:t>
      </w:r>
      <w:r w:rsidRPr="00271E51">
        <w:rPr>
          <w:rFonts w:ascii="Times New Roman" w:hAnsi="Times New Roman"/>
          <w:color w:val="000000" w:themeColor="text1"/>
          <w:sz w:val="16"/>
          <w:szCs w:val="16"/>
        </w:rPr>
        <w:softHyphen/>
        <w:t>ничился всего 81 серийным образцом (в отчете завода говорится о 85 машинах, но, возможно, сюда были отнесены также опытные образцы трехместных Т-70 и прототип Т-80), после чего завод был переориентирован на массовое производство остро требующихся для оснащения танковых войск самоходных установок СУ-76 (11135).</w:t>
      </w:r>
    </w:p>
    <w:p w14:paraId="069A0D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0C9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года, по опыту применения СУ-76И на Курской Дуге, на качающейся бронировке орудия был установлен "броневой отражательный щиток", назначение которого состояло в том, чтобы не допускать заклинивания орудия мелкими осколками и пулями. Тогда же для увеличения запаса хода самоходки начали оснащать двумя внешними бензобаками, которые устанавливались вдоль кормы на легкосбрасываемых кронштейнах (9695).</w:t>
      </w:r>
    </w:p>
    <w:p w14:paraId="018EA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DCD6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A3E97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E6B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1943 из-за больших потерь “Нормандию” временно вывели из бо</w:t>
      </w:r>
      <w:r w:rsidRPr="00271E51">
        <w:rPr>
          <w:rFonts w:ascii="Times New Roman" w:hAnsi="Times New Roman"/>
          <w:color w:val="000000" w:themeColor="text1"/>
          <w:sz w:val="16"/>
          <w:szCs w:val="16"/>
        </w:rPr>
        <w:softHyphen/>
        <w:t>ев, дали летчикам отдохнуть и восста</w:t>
      </w:r>
      <w:r w:rsidRPr="00271E51">
        <w:rPr>
          <w:rFonts w:ascii="Times New Roman" w:hAnsi="Times New Roman"/>
          <w:color w:val="000000" w:themeColor="text1"/>
          <w:sz w:val="16"/>
          <w:szCs w:val="16"/>
        </w:rPr>
        <w:softHyphen/>
        <w:t>новить психологическую устойчи</w:t>
      </w:r>
      <w:r w:rsidRPr="00271E51">
        <w:rPr>
          <w:rFonts w:ascii="Times New Roman" w:hAnsi="Times New Roman"/>
          <w:color w:val="000000" w:themeColor="text1"/>
          <w:sz w:val="16"/>
          <w:szCs w:val="16"/>
        </w:rPr>
        <w:softHyphen/>
        <w:t>вость. За июль и август в эскадрилью несколькими группами прибыло новое пополнение пилотов, в результате че</w:t>
      </w:r>
      <w:r w:rsidRPr="00271E51">
        <w:rPr>
          <w:rFonts w:ascii="Times New Roman" w:hAnsi="Times New Roman"/>
          <w:color w:val="000000" w:themeColor="text1"/>
          <w:sz w:val="16"/>
          <w:szCs w:val="16"/>
        </w:rPr>
        <w:softHyphen/>
        <w:t>го общая их численность втрое превы</w:t>
      </w:r>
      <w:r w:rsidRPr="00271E51">
        <w:rPr>
          <w:rFonts w:ascii="Times New Roman" w:hAnsi="Times New Roman"/>
          <w:color w:val="000000" w:themeColor="text1"/>
          <w:sz w:val="16"/>
          <w:szCs w:val="16"/>
        </w:rPr>
        <w:softHyphen/>
        <w:t>сила штатную. Вскоре по согласова</w:t>
      </w:r>
      <w:r w:rsidRPr="00271E51">
        <w:rPr>
          <w:rFonts w:ascii="Times New Roman" w:hAnsi="Times New Roman"/>
          <w:color w:val="000000" w:themeColor="text1"/>
          <w:sz w:val="16"/>
          <w:szCs w:val="16"/>
        </w:rPr>
        <w:softHyphen/>
        <w:t>нию с французской миссией эскадри</w:t>
      </w:r>
      <w:r w:rsidRPr="00271E51">
        <w:rPr>
          <w:rFonts w:ascii="Times New Roman" w:hAnsi="Times New Roman"/>
          <w:color w:val="000000" w:themeColor="text1"/>
          <w:sz w:val="16"/>
          <w:szCs w:val="16"/>
        </w:rPr>
        <w:softHyphen/>
        <w:t>лья была переформирована в 1-й от</w:t>
      </w:r>
      <w:r w:rsidRPr="00271E51">
        <w:rPr>
          <w:rFonts w:ascii="Times New Roman" w:hAnsi="Times New Roman"/>
          <w:color w:val="000000" w:themeColor="text1"/>
          <w:sz w:val="16"/>
          <w:szCs w:val="16"/>
        </w:rPr>
        <w:softHyphen/>
        <w:t>дельный истребительный авиаполк “Нормандия” 32-самолетного соста</w:t>
      </w:r>
      <w:r w:rsidRPr="00271E51">
        <w:rPr>
          <w:rFonts w:ascii="Times New Roman" w:hAnsi="Times New Roman"/>
          <w:color w:val="000000" w:themeColor="text1"/>
          <w:sz w:val="16"/>
          <w:szCs w:val="16"/>
        </w:rPr>
        <w:softHyphen/>
        <w:t>ва, немного позднее переведенный на 40-самолетный штат. Параллельно с реорганизацией вновь прибывшие в полк прошли переучивание на истре</w:t>
      </w:r>
      <w:r w:rsidRPr="00271E51">
        <w:rPr>
          <w:rFonts w:ascii="Times New Roman" w:hAnsi="Times New Roman"/>
          <w:color w:val="000000" w:themeColor="text1"/>
          <w:sz w:val="16"/>
          <w:szCs w:val="16"/>
        </w:rPr>
        <w:softHyphen/>
        <w:t>бители Як-9 (3956).</w:t>
      </w:r>
    </w:p>
    <w:p w14:paraId="1BAC90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F90A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3FC29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70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-начале августа 1943 г. 122-мм САУ, унифицированная с Су-85, вместе с тремя опытными СУ-85, проходила испытания на Гороховецком полигоне.</w:t>
      </w:r>
    </w:p>
    <w:p w14:paraId="428A94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первых же километрах пробега у двигателя оторвало топливопровод, затем сорвались со своих гнезд несколько снарядов. И наконец, испытания стрельбой привели к отказу накатника орудия. Несмотря на проведенный ремонт нормально работать орудие так и не смогло и самоходка была снята с испытаний.</w:t>
      </w:r>
    </w:p>
    <w:p w14:paraId="596FB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неудача долго вспоминалась руководством самых разных рангов, так как несмотря на неоднократные предложения КБ УЗТМ по созданию самоходных гаубиц калибра 122 мм и 152 мм, эти предложения отвергались, а на поле боя во все больших количествах шли всевозможные истребители танков.</w:t>
      </w:r>
    </w:p>
    <w:p w14:paraId="2DC5FC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гаубичные СУ-122 еще оставались на вооружении Самоходно-артиллерийских полков. Все-таки мощность 85-мм осколочных снарядов была недостаточной для взламывания полос обороны противника (4017).</w:t>
      </w:r>
    </w:p>
    <w:p w14:paraId="1F708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747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 начале августа 1943 г. все четыре самоходных установки: СУ-85-1 (САУ с 85-мм пушкой С-18-1 конструкции ЦАКБ и с изменен</w:t>
      </w:r>
      <w:r w:rsidRPr="00271E51">
        <w:rPr>
          <w:rFonts w:ascii="Times New Roman" w:hAnsi="Times New Roman"/>
          <w:color w:val="000000" w:themeColor="text1"/>
          <w:sz w:val="16"/>
          <w:szCs w:val="16"/>
        </w:rPr>
        <w:softHyphen/>
        <w:t>ной люлькой конструкции УЗТМ); СУ-85-11 (САУ с 85-мм пушкой Д-5С-85 завода № 9 НКВ); СУ-122-111 (модернизированная САУ со 122-мм гаубицей Д-6 завода № 9 НКВ) и СУ-85-1У (САУ с 85-мм пушкой С-18 конструкции ЦАКБ) прошли государственные испытания. Из-за большого количества недостатков в конструкции орудия Д-6 самоходная установка СУ-122-111 с испытаний была снята. Значительное число недостатков было обнаружено и в конструкции орудия С-18. По результатам испытаний лучшим было признано орудие Д-5С-85. Учитывая крайнюю необходимость в 85-мм орудиях для вооружения ими отечественных тан</w:t>
      </w:r>
      <w:r w:rsidRPr="00271E51">
        <w:rPr>
          <w:rFonts w:ascii="Times New Roman" w:hAnsi="Times New Roman"/>
          <w:color w:val="000000" w:themeColor="text1"/>
          <w:sz w:val="16"/>
          <w:szCs w:val="16"/>
        </w:rPr>
        <w:softHyphen/>
        <w:t>ков и САУ, комиссия пришла к выводу о прекращении дальнейшей отработки 85-мм пушек С-18 и С-18-1 и рекомендовала для серийного производства пушку Д-5С-85. Кроме того, члены комиссии составили перечень предложений по доработке САУ и рекомендовали ее для принятия на вооружение с обязательным устранением выявленных недостатков. Постановлением ГКО от 7 августа 1943 г. самоходная артиллерийская уставовка СУ-85-11 под маркой СУ-85 была принята на вооружение РККА и поставлена на серийное производство. С августа 1943 г. УЗТМ начал выпуск самоходных установок СУ-85 вместо СУ-122.73% деталей установки были заимствованы у танка Т-34-76, 7% - у самоходной установки СУ-122 и 20% - изготовлены заново (10703).</w:t>
      </w:r>
    </w:p>
    <w:p w14:paraId="0FDFAF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9036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 начале августа 1943 года САУ СУ-122 III, вооруженная 122-мм гаубицей Д-6 завода № 9, вместе с тремя опытными образцами самоходок, вооруженных 85-мм пушками, проходила испытания на Гороховецком полигоне. В ходе испытаний у гаубицы Д-6 выявились существенные недостатки, и она была снята с испытаний (9636).</w:t>
      </w:r>
    </w:p>
    <w:p w14:paraId="3EB4406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417EC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июля - начале августа 1943 года опытный образец установки СУ-122-111 прошел испытания на Гороховецком АНИОПе. На вооружение установка СУ-122-111 не при</w:t>
      </w:r>
      <w:r w:rsidRPr="00271E51">
        <w:rPr>
          <w:rFonts w:ascii="Times New Roman" w:hAnsi="Times New Roman"/>
          <w:color w:val="000000" w:themeColor="text1"/>
          <w:sz w:val="16"/>
          <w:szCs w:val="16"/>
        </w:rPr>
        <w:softHyphen/>
        <w:t>нималась. Машина отличалась от предшествующего образца (СУ-122М) уста</w:t>
      </w:r>
      <w:r w:rsidRPr="00271E51">
        <w:rPr>
          <w:rFonts w:ascii="Times New Roman" w:hAnsi="Times New Roman"/>
          <w:color w:val="000000" w:themeColor="text1"/>
          <w:sz w:val="16"/>
          <w:szCs w:val="16"/>
        </w:rPr>
        <w:softHyphen/>
        <w:t>новкой вооружения. На крыше броневой рубки над местом командира машины размещалась неподвижная командирская башенка прямо</w:t>
      </w:r>
      <w:r w:rsidRPr="00271E51">
        <w:rPr>
          <w:rFonts w:ascii="Times New Roman" w:hAnsi="Times New Roman"/>
          <w:color w:val="000000" w:themeColor="text1"/>
          <w:sz w:val="16"/>
          <w:szCs w:val="16"/>
        </w:rPr>
        <w:softHyphen/>
        <w:t>угольной формы, на крыше которой были установлены командирская панорама ПТК и два зеркальных смотровых прибора. Экипаж установ</w:t>
      </w:r>
      <w:r w:rsidRPr="00271E51">
        <w:rPr>
          <w:rFonts w:ascii="Times New Roman" w:hAnsi="Times New Roman"/>
          <w:color w:val="000000" w:themeColor="text1"/>
          <w:sz w:val="16"/>
          <w:szCs w:val="16"/>
        </w:rPr>
        <w:softHyphen/>
        <w:t>ки состоял из пяти человек (10703).</w:t>
      </w:r>
    </w:p>
    <w:p w14:paraId="44DD0F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9B86B6" w14:textId="77777777" w:rsidR="0071533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За рубежом:</w:t>
      </w:r>
    </w:p>
    <w:p w14:paraId="3C8BE6C2" w14:textId="77777777" w:rsidR="00715334" w:rsidRPr="00271E51" w:rsidRDefault="0071533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207704"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конце июля — начале августа 1943 г. в ходе операции, цинично названной «Гоморрой», в нескольких налётах на Гамбург сбросили 8695 т бомб. Более половины тоннажа составили зажигалки, вызвавшие огненную бурю. Люди в бомбоубежищах задыхались от нехватки кислорода, либо просто зажаривались от сверхвысокой температуры. За неделю с небольшим в одном городе погибло свыше 40 тыс. мирных жителей — прак</w:t>
      </w:r>
      <w:r w:rsidRPr="00271E51">
        <w:rPr>
          <w:rFonts w:ascii="Times New Roman" w:cs="Times New Roman"/>
          <w:color w:val="000000" w:themeColor="text1"/>
          <w:spacing w:val="0"/>
          <w:sz w:val="16"/>
          <w:szCs w:val="16"/>
        </w:rPr>
        <w:softHyphen/>
        <w:t>тически столько же, сколько на Британских островах за всю войну.</w:t>
      </w:r>
    </w:p>
    <w:p w14:paraId="1E82CCCA"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Забыв о собственных свершениях в гнусном деле обращения в руины Варшавы, Рот</w:t>
      </w:r>
      <w:r w:rsidRPr="00271E51">
        <w:rPr>
          <w:rFonts w:ascii="Times New Roman" w:cs="Times New Roman"/>
          <w:color w:val="000000" w:themeColor="text1"/>
          <w:spacing w:val="0"/>
          <w:sz w:val="16"/>
          <w:szCs w:val="16"/>
        </w:rPr>
        <w:softHyphen/>
        <w:t>тердама, Ковентри и Сталинграда, вожди Третьего рейха преисполнились праведного гнева и поклялись сделать всё возможное для того, чтобы и жителям туманного Альби</w:t>
      </w:r>
      <w:r w:rsidRPr="00271E51">
        <w:rPr>
          <w:rFonts w:ascii="Times New Roman" w:cs="Times New Roman"/>
          <w:color w:val="000000" w:themeColor="text1"/>
          <w:spacing w:val="0"/>
          <w:sz w:val="16"/>
          <w:szCs w:val="16"/>
        </w:rPr>
        <w:softHyphen/>
        <w:t>она жизнь «не казалась малиной и медом одновременно...»</w:t>
      </w:r>
    </w:p>
    <w:p w14:paraId="1AF73049"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Попытки повторить 1940 г. теми же бомбардировщиками, как и следовало ожидать, потерпели фиаско. В 1943 г. ПВО Соединенного Королевства стала совсем иной коли</w:t>
      </w:r>
      <w:r w:rsidRPr="00271E51">
        <w:rPr>
          <w:rFonts w:ascii="Times New Roman" w:cs="Times New Roman"/>
          <w:color w:val="000000" w:themeColor="text1"/>
          <w:spacing w:val="0"/>
          <w:sz w:val="16"/>
          <w:szCs w:val="16"/>
        </w:rPr>
        <w:softHyphen/>
        <w:t>чественно и качественно. Систематические налёты самолётов через Ла-Манш быстро свели бы Люфтваффе на нет.</w:t>
      </w:r>
    </w:p>
    <w:p w14:paraId="18041E43"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Вот если бы бомбы сами, без участия самолётов, обрушились бы на головы британ</w:t>
      </w:r>
      <w:r w:rsidRPr="00271E51">
        <w:rPr>
          <w:rFonts w:ascii="Times New Roman" w:cs="Times New Roman"/>
          <w:color w:val="000000" w:themeColor="text1"/>
          <w:spacing w:val="0"/>
          <w:sz w:val="16"/>
          <w:szCs w:val="16"/>
        </w:rPr>
        <w:softHyphen/>
        <w:t>ских плутократов...</w:t>
      </w:r>
    </w:p>
    <w:p w14:paraId="7109BD97"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За дефицитом и дороговизной пилотируемых самолётов возмездие Англии понесли беспилотные средства — самолёты-снаряды и ракеты. Справедливости ради отметим, что их разработка началась задолго до огненного кошмара в Гамбурге. Одноразовость применения не представлялась расточительностью — обычный бомбовоз редко делал более 5... 10 вылетов до того, как его сбивали.</w:t>
      </w:r>
    </w:p>
    <w:p w14:paraId="1DBB2E1D"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При этом требовалась предельная простота и дешевизна таких аппаратов, прежде всего по наиболее сложным элементам — двигателю и системе управления. Упрощен</w:t>
      </w:r>
      <w:r w:rsidRPr="00271E51">
        <w:rPr>
          <w:rFonts w:ascii="Times New Roman" w:cs="Times New Roman"/>
          <w:color w:val="000000" w:themeColor="text1"/>
          <w:spacing w:val="0"/>
          <w:sz w:val="16"/>
          <w:szCs w:val="16"/>
        </w:rPr>
        <w:softHyphen/>
        <w:t>ное исполнение собственно конструкции — крыльев, фюзеляжа, хвостового оперения — уже освоили применительно к производству десантных планеров. Для экономии дефи</w:t>
      </w:r>
      <w:r w:rsidRPr="00271E51">
        <w:rPr>
          <w:rFonts w:ascii="Times New Roman" w:cs="Times New Roman"/>
          <w:color w:val="000000" w:themeColor="text1"/>
          <w:spacing w:val="0"/>
          <w:sz w:val="16"/>
          <w:szCs w:val="16"/>
        </w:rPr>
        <w:softHyphen/>
        <w:t>цитного в годы войны алюминия практически все элементы конструкции выполнялись из стали.</w:t>
      </w:r>
    </w:p>
    <w:p w14:paraId="30E4C383"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Труднее оказалось подобрать под</w:t>
      </w:r>
      <w:r w:rsidRPr="00271E51">
        <w:rPr>
          <w:rFonts w:ascii="Times New Roman" w:cs="Times New Roman"/>
          <w:color w:val="000000" w:themeColor="text1"/>
          <w:spacing w:val="0"/>
          <w:sz w:val="16"/>
          <w:szCs w:val="16"/>
        </w:rPr>
        <w:softHyphen/>
        <w:t>ходящий двигатель. Поршневые авиационные моторы того времени представляли собой сложные мно</w:t>
      </w:r>
      <w:r w:rsidRPr="00271E51">
        <w:rPr>
          <w:rFonts w:ascii="Times New Roman" w:cs="Times New Roman"/>
          <w:color w:val="000000" w:themeColor="text1"/>
          <w:spacing w:val="0"/>
          <w:sz w:val="16"/>
          <w:szCs w:val="16"/>
        </w:rPr>
        <w:softHyphen/>
        <w:t>гоэлементные конструкции, важней</w:t>
      </w:r>
      <w:r w:rsidRPr="00271E51">
        <w:rPr>
          <w:rFonts w:ascii="Times New Roman" w:cs="Times New Roman"/>
          <w:color w:val="000000" w:themeColor="text1"/>
          <w:spacing w:val="0"/>
          <w:sz w:val="16"/>
          <w:szCs w:val="16"/>
        </w:rPr>
        <w:softHyphen/>
        <w:t>шие элементы которых требовали точной механической обработки.</w:t>
      </w:r>
    </w:p>
    <w:p w14:paraId="532D3C2D"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Выход нашли в применении прин</w:t>
      </w:r>
      <w:r w:rsidRPr="00271E51">
        <w:rPr>
          <w:rFonts w:ascii="Times New Roman" w:cs="Times New Roman"/>
          <w:color w:val="000000" w:themeColor="text1"/>
          <w:spacing w:val="0"/>
          <w:sz w:val="16"/>
          <w:szCs w:val="16"/>
        </w:rPr>
        <w:softHyphen/>
        <w:t>ципиально нового изобретения — пульсирующего воздушно-реактив</w:t>
      </w:r>
      <w:r w:rsidRPr="00271E51">
        <w:rPr>
          <w:rFonts w:ascii="Times New Roman" w:cs="Times New Roman"/>
          <w:color w:val="000000" w:themeColor="text1"/>
          <w:spacing w:val="0"/>
          <w:sz w:val="16"/>
          <w:szCs w:val="16"/>
        </w:rPr>
        <w:softHyphen/>
        <w:t>ного двигателя (ПуВРД) (15790).</w:t>
      </w:r>
    </w:p>
    <w:p w14:paraId="096A5E0C"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p>
    <w:p w14:paraId="50A6A1B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396B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71816"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самолет Ил-2И с мотором АМ38Ф в варианте «истребителя бомбардировщиков» прибыл на испытания в НИИ ВВС. Самолет с серийным № 7581 был переделан из двухместного с заменой фонаря и установкой хвостовой деревянной части от одноместного Ил-2. Крыло усилено за счет увеличения площади склейки, приклейки деревянной обшивки к верхним поясам лонжеронов. Сняты крыльевые ШКАС и заделаны лючки, сняты гашетки, бомбардировочные установки, балки РО-82 и узлы их крепления, ЭСБР-ЗП, подвижная установка ВУБ-3 с УБТ, СПУ-Ф2, РПК, передатчик и заглушены люки бомбоотсеков. Оставлены две пушки ВЯ-23 с боезапасом 150 патронов на каждую, два замка МД-3-42 для наружной подвески бомб, прицел ВВ-1, аварийный сбрасыватель МСШ340, гашетки перезарядки пушек и открытия огня. За счет этих мероприятий полетный вес снизился на 760 кг. В июле и первой декаде августа испытания не проводились из-за отсутствия техдокументации по самолету, а с 9 по 17 августа выполнили 32 полета с общим налетом 14 часов 15 минут. Ведущим инженером был инженер-майор В.С. Холопов, ведущим летчиком – майор А.К. Долгов, ведущим по тактическим испытаниям – капитанМ.Д. Васильев. Летные данные по сравнению с двухместным самолетом изменились незначительно: максимальная скорость увеличилась на 14 км/час у земли и на 18 км/час на границе высотности, а практический потолок вырос с 5300 до 6500 м. В заключении к отчету было сказано: «Самолет может использоваться для борьбы только с некоторыми типами бомбардировщиков и транспортных самолетов со сравнительно небольшими скоростями (Не-111, ФВ-200, Ю-87, Ю-52) на высотах не выше 4000 м и ФВ могут уходить за счет лучшей скороподъемности. Более скоростные бомбардировщики типа Ю-88 и До-215 Ил-2И может атаковать лишь случайно изза большой скорости. Снятие ШКАС, РО и ликвидация бомбоотсеков резко снизили качества самолета как штурмовика. Считать, что дальнейшая постройка самолета Ил-2И в варианте истребителя и установка АМ-42 (постановление ГКО № 3386сс от 15 мая 1943 года) на истребительный вариант Ил-2 – нецелесообразны. Испытанный опытный винт АВ-5Л-158В диаметром 3.4 м, дающий увеличение максимальной скорости на 8 км/час, рекомендовать для установки на ранее выпущенныеИл-2». Следующий «шажок» к новому был сделан 11 октября 1943 года в самом последнем пункте приказа НКАП № 594сс: «В целях дальнейшего улучшения ЛТД бронированных штурмовиков Ил-2:1. Директору завода 30 Смирнову и Главному конструктору Ильюшину выпустить 2 серийных Ил-2 с АМ-38Ф с внесением в них аэродинамических улучшений по предложениям ЦАГИ и Главного конструктора. На втором самолете заводу 30 установить консоли крыльев с концами, отведенными назад и без металлических лент на обшивке вдоль лонжеронов, изготовив кроме летных консолей 2 консоли для стат. испытаний к 1 ноября с/г. Установить трехлопастный винт АВ5 диаметром 3.4 м. Самолеты предъявить на летные испытания: 1-й к 1 ноября 1943, 2-й к 20 ноября 1943 (21005).</w:t>
      </w:r>
    </w:p>
    <w:p w14:paraId="1B53E3D4" w14:textId="77777777" w:rsidR="00CE7647" w:rsidRPr="00271E51" w:rsidRDefault="00CE7647" w:rsidP="00271E51">
      <w:pPr>
        <w:spacing w:after="0" w:line="240" w:lineRule="auto"/>
        <w:jc w:val="both"/>
        <w:rPr>
          <w:rFonts w:ascii="Times New Roman" w:hAnsi="Times New Roman"/>
          <w:color w:val="0070C0"/>
          <w:sz w:val="16"/>
          <w:szCs w:val="16"/>
        </w:rPr>
      </w:pPr>
    </w:p>
    <w:p w14:paraId="68A4FFE9" w14:textId="77777777" w:rsidR="00715334" w:rsidRPr="00271E51" w:rsidRDefault="00715334" w:rsidP="00271E51">
      <w:pPr>
        <w:pStyle w:val="a3"/>
        <w:rPr>
          <w:color w:val="000000" w:themeColor="text1"/>
          <w:lang w:val="ru-RU"/>
        </w:rPr>
      </w:pPr>
      <w:r w:rsidRPr="00271E51">
        <w:rPr>
          <w:color w:val="000000" w:themeColor="text1"/>
          <w:lang w:val="ru-RU"/>
        </w:rPr>
        <w:t>В июле 1943 года НИИ АВ по зада</w:t>
      </w:r>
      <w:r w:rsidRPr="00271E51">
        <w:rPr>
          <w:color w:val="000000" w:themeColor="text1"/>
          <w:lang w:val="ru-RU"/>
        </w:rPr>
        <w:softHyphen/>
        <w:t>нию главного инженера ВВС КА генерал-полковника А.К. Репина разрабо</w:t>
      </w:r>
      <w:r w:rsidRPr="00271E51">
        <w:rPr>
          <w:color w:val="000000" w:themeColor="text1"/>
          <w:lang w:val="ru-RU"/>
        </w:rPr>
        <w:softHyphen/>
        <w:t>тал новую инструкцию по бомбомета</w:t>
      </w:r>
      <w:r w:rsidRPr="00271E51">
        <w:rPr>
          <w:color w:val="000000" w:themeColor="text1"/>
          <w:lang w:val="ru-RU"/>
        </w:rPr>
        <w:softHyphen/>
        <w:t xml:space="preserve">нию с Ил-2 при использовании </w:t>
      </w:r>
      <w:r w:rsidRPr="00271E51">
        <w:rPr>
          <w:color w:val="000000" w:themeColor="text1"/>
        </w:rPr>
        <w:t>BM</w:t>
      </w:r>
      <w:r w:rsidRPr="00271E51">
        <w:rPr>
          <w:color w:val="000000" w:themeColor="text1"/>
          <w:lang w:val="ru-RU"/>
        </w:rPr>
        <w:t>Ш- 2. Лётный состав маршевых полков, находящихся в 9 заб и участвовав</w:t>
      </w:r>
      <w:r w:rsidRPr="00271E51">
        <w:rPr>
          <w:color w:val="000000" w:themeColor="text1"/>
          <w:lang w:val="ru-RU"/>
        </w:rPr>
        <w:softHyphen/>
        <w:t>ший в отработке этой инструкции, дал положительные отзывы о ВМШ-2 и рекомендовал его для использова</w:t>
      </w:r>
      <w:r w:rsidRPr="00271E51">
        <w:rPr>
          <w:color w:val="000000" w:themeColor="text1"/>
          <w:lang w:val="ru-RU"/>
        </w:rPr>
        <w:softHyphen/>
        <w:t>ния в строевых частях на фронте при бомбометании как с горизонтального полёта, так и на выходе из планиро</w:t>
      </w:r>
      <w:r w:rsidRPr="00271E51">
        <w:rPr>
          <w:color w:val="000000" w:themeColor="text1"/>
          <w:lang w:val="ru-RU"/>
        </w:rPr>
        <w:softHyphen/>
        <w:t>вания (пикирования). С июля по август 1943 г. провели войсковые испытания ВМШ-2 с бомбометанием в боевых условиях по новой методике. Испыта</w:t>
      </w:r>
      <w:r w:rsidRPr="00271E51">
        <w:rPr>
          <w:color w:val="000000" w:themeColor="text1"/>
          <w:lang w:val="ru-RU"/>
        </w:rPr>
        <w:softHyphen/>
        <w:t>ния проводились в частях 1 шак, 2 шак и 3 ВА. Везде были получены положи</w:t>
      </w:r>
      <w:r w:rsidRPr="00271E51">
        <w:rPr>
          <w:color w:val="000000" w:themeColor="text1"/>
          <w:lang w:val="ru-RU"/>
        </w:rPr>
        <w:softHyphen/>
        <w:t>тельные отзывы. Временной механизм ВМШ-2 и инструкцию по бомбомета</w:t>
      </w:r>
      <w:r w:rsidRPr="00271E51">
        <w:rPr>
          <w:color w:val="000000" w:themeColor="text1"/>
          <w:lang w:val="ru-RU"/>
        </w:rPr>
        <w:softHyphen/>
        <w:t xml:space="preserve">нию с его помощью рекомендовалось внедрить в строевые части, устранив некоторые выявленные недостатки. К </w:t>
      </w:r>
      <w:r w:rsidRPr="00271E51">
        <w:rPr>
          <w:rStyle w:val="7TimesNewRoman1"/>
          <w:rFonts w:eastAsia="Arial Unicode MS"/>
          <w:bCs/>
          <w:strike w:val="0"/>
          <w:color w:val="000000" w:themeColor="text1"/>
          <w:spacing w:val="0"/>
          <w:lang w:val="ru-RU"/>
        </w:rPr>
        <w:t>февралю 1944</w:t>
      </w:r>
      <w:r w:rsidRPr="00271E51">
        <w:rPr>
          <w:color w:val="000000" w:themeColor="text1"/>
          <w:lang w:val="ru-RU"/>
        </w:rPr>
        <w:t xml:space="preserve"> г.</w:t>
      </w:r>
      <w:r w:rsidRPr="00271E51">
        <w:rPr>
          <w:rStyle w:val="7TimesNewRoman1"/>
          <w:rFonts w:eastAsia="Arial Unicode MS"/>
          <w:bCs/>
          <w:strike w:val="0"/>
          <w:color w:val="000000" w:themeColor="text1"/>
          <w:spacing w:val="0"/>
          <w:lang w:val="ru-RU"/>
        </w:rPr>
        <w:t xml:space="preserve"> завод № 589 НКВ</w:t>
      </w:r>
      <w:r w:rsidRPr="00271E51">
        <w:rPr>
          <w:color w:val="000000" w:themeColor="text1"/>
          <w:lang w:val="ru-RU"/>
        </w:rPr>
        <w:t>модернизировал ВМШ-2, учтя все пожелания фронтовых лётчиков. Постановлением ГКО от 6 апреля 1944 г. ВМШ-2 был официально запущен в серийное производство и стал устанав</w:t>
      </w:r>
      <w:r w:rsidRPr="00271E51">
        <w:rPr>
          <w:color w:val="000000" w:themeColor="text1"/>
          <w:lang w:val="ru-RU"/>
        </w:rPr>
        <w:softHyphen/>
        <w:t>ливаться на всех выпускаемых штурмовиках Ил-2.</w:t>
      </w:r>
    </w:p>
    <w:p w14:paraId="1CFA6DA1" w14:textId="77777777" w:rsidR="00715334" w:rsidRPr="00271E51" w:rsidRDefault="00715334" w:rsidP="00271E51">
      <w:pPr>
        <w:pStyle w:val="a3"/>
        <w:rPr>
          <w:color w:val="000000" w:themeColor="text1"/>
          <w:lang w:val="ru-RU"/>
        </w:rPr>
      </w:pPr>
      <w:r w:rsidRPr="00271E51">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271E51">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4E4C871D" w14:textId="77777777" w:rsidR="00715334" w:rsidRPr="00271E51" w:rsidRDefault="00715334" w:rsidP="00271E51">
      <w:pPr>
        <w:pStyle w:val="a3"/>
        <w:rPr>
          <w:color w:val="000000" w:themeColor="text1"/>
          <w:lang w:val="ru-RU"/>
        </w:rPr>
      </w:pPr>
      <w:r w:rsidRPr="00271E51">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68E84444" w14:textId="77777777" w:rsidR="00715334" w:rsidRPr="00271E51" w:rsidRDefault="00715334" w:rsidP="00271E51">
      <w:pPr>
        <w:pStyle w:val="a3"/>
        <w:rPr>
          <w:color w:val="000000" w:themeColor="text1"/>
          <w:lang w:val="ru-RU"/>
        </w:rPr>
      </w:pPr>
      <w:r w:rsidRPr="00271E51">
        <w:rPr>
          <w:color w:val="000000" w:themeColor="text1"/>
          <w:lang w:val="ru-RU"/>
        </w:rPr>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271E51">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318FD1A6" w14:textId="77777777" w:rsidR="00715334" w:rsidRPr="00271E51" w:rsidRDefault="00715334" w:rsidP="00271E51">
      <w:pPr>
        <w:pStyle w:val="a3"/>
        <w:rPr>
          <w:color w:val="000000" w:themeColor="text1"/>
          <w:lang w:val="ru-RU"/>
        </w:rPr>
      </w:pPr>
    </w:p>
    <w:p w14:paraId="756AAB30" w14:textId="77777777" w:rsidR="0086150A" w:rsidRPr="00271E51" w:rsidRDefault="0086150A"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С июля 1943 по инициативе Ильюшина и без приказа наркомата авиапромышленности к работам по постройке второго экземпляра самолета Ил-1 приступил завод № 18 (17490).</w:t>
      </w:r>
    </w:p>
    <w:p w14:paraId="18364122" w14:textId="77777777" w:rsidR="0086150A" w:rsidRPr="00271E51" w:rsidRDefault="0086150A" w:rsidP="00271E51">
      <w:pPr>
        <w:spacing w:after="0" w:line="240" w:lineRule="auto"/>
        <w:jc w:val="both"/>
        <w:rPr>
          <w:rFonts w:ascii="Times New Roman" w:hAnsi="Times New Roman"/>
          <w:color w:val="000000" w:themeColor="text1"/>
          <w:sz w:val="16"/>
          <w:szCs w:val="16"/>
        </w:rPr>
      </w:pPr>
    </w:p>
    <w:p w14:paraId="746D7004" w14:textId="77777777" w:rsidR="0086150A" w:rsidRPr="00271E51" w:rsidRDefault="0086150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ходе совместных 100-часовых испытаний на заводе № 24 моторов АМ-42 и опытного флюгерного винта АВ-7л-18А (лопасти винта выполнялись по одному чертежу с АВ-5л-18А) произошли аварии двух моторов (зав. № 4226 и № 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 35 пришлось напомнить членам комиссии, что еще в июле 1941 года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 м. Тряска исчезла. Стало ясно, что ссылки на недоработанность винтов справедливы лишь отчасти. Главный конструктор мотора А. А. Микулин запретил полеты с АМ-42 с винтами диаметром 4,0 м. Было решено определить частоты собственных колебаний воздушного винта и системы коленчатого вала мотора (17490).</w:t>
      </w:r>
    </w:p>
    <w:p w14:paraId="256F5246" w14:textId="77777777" w:rsidR="0086150A" w:rsidRPr="00271E51" w:rsidRDefault="0086150A" w:rsidP="00271E51">
      <w:pPr>
        <w:spacing w:after="0" w:line="240" w:lineRule="auto"/>
        <w:jc w:val="both"/>
        <w:rPr>
          <w:rFonts w:ascii="Times New Roman" w:hAnsi="Times New Roman"/>
          <w:color w:val="000000" w:themeColor="text1"/>
          <w:sz w:val="16"/>
          <w:szCs w:val="16"/>
        </w:rPr>
      </w:pPr>
    </w:p>
    <w:p w14:paraId="3AB414FB" w14:textId="77777777" w:rsidR="00715334" w:rsidRPr="00271E51" w:rsidRDefault="00715334" w:rsidP="00271E51">
      <w:pPr>
        <w:pStyle w:val="a3"/>
        <w:rPr>
          <w:color w:val="000000" w:themeColor="text1"/>
          <w:lang w:val="ru-RU"/>
        </w:rPr>
      </w:pPr>
      <w:r w:rsidRPr="00271E51">
        <w:rPr>
          <w:color w:val="000000" w:themeColor="text1"/>
          <w:lang w:val="ru-RU"/>
        </w:rPr>
        <w:t>С июля по август 1943 г. провели войсковые испытания ВМШ-2 с бомбометанием в боевых условиях по новой методике. Испыта</w:t>
      </w:r>
      <w:r w:rsidRPr="00271E51">
        <w:rPr>
          <w:color w:val="000000" w:themeColor="text1"/>
          <w:lang w:val="ru-RU"/>
        </w:rPr>
        <w:softHyphen/>
        <w:t>ния проводились в частях 1 шак, 2 шак и 3 ВА. Везде были получены положи</w:t>
      </w:r>
      <w:r w:rsidRPr="00271E51">
        <w:rPr>
          <w:color w:val="000000" w:themeColor="text1"/>
          <w:lang w:val="ru-RU"/>
        </w:rPr>
        <w:softHyphen/>
        <w:t>тельные отзывы. Временной механизм ВМШ-2 и инструкцию по бомбомета</w:t>
      </w:r>
      <w:r w:rsidRPr="00271E51">
        <w:rPr>
          <w:color w:val="000000" w:themeColor="text1"/>
          <w:lang w:val="ru-RU"/>
        </w:rPr>
        <w:softHyphen/>
        <w:t xml:space="preserve">нию с его помощью рекомендовалось внедрить в строевые части, устранив некоторые выявленные недостатки. К </w:t>
      </w:r>
      <w:r w:rsidRPr="00271E51">
        <w:rPr>
          <w:rStyle w:val="7TimesNewRoman1"/>
          <w:rFonts w:eastAsia="Arial Unicode MS"/>
          <w:bCs/>
          <w:strike w:val="0"/>
          <w:color w:val="000000" w:themeColor="text1"/>
          <w:spacing w:val="0"/>
          <w:lang w:val="ru-RU"/>
        </w:rPr>
        <w:t>февралю 1944</w:t>
      </w:r>
      <w:r w:rsidRPr="00271E51">
        <w:rPr>
          <w:color w:val="000000" w:themeColor="text1"/>
          <w:lang w:val="ru-RU"/>
        </w:rPr>
        <w:t xml:space="preserve"> г.</w:t>
      </w:r>
      <w:r w:rsidRPr="00271E51">
        <w:rPr>
          <w:rStyle w:val="7TimesNewRoman1"/>
          <w:rFonts w:eastAsia="Arial Unicode MS"/>
          <w:bCs/>
          <w:strike w:val="0"/>
          <w:color w:val="000000" w:themeColor="text1"/>
          <w:spacing w:val="0"/>
          <w:lang w:val="ru-RU"/>
        </w:rPr>
        <w:t xml:space="preserve"> завод № 589 НКВ</w:t>
      </w:r>
      <w:r w:rsidRPr="00271E51">
        <w:rPr>
          <w:color w:val="000000" w:themeColor="text1"/>
          <w:lang w:val="ru-RU"/>
        </w:rPr>
        <w:t>модернизировал ВМШ-2, учтя все пожелания фронтовых лётчиков. Постановлением ГКО от 6 апреля 1944 г. ВМШ-2 был официально запущен в серийное производство и стал устанав</w:t>
      </w:r>
      <w:r w:rsidRPr="00271E51">
        <w:rPr>
          <w:color w:val="000000" w:themeColor="text1"/>
          <w:lang w:val="ru-RU"/>
        </w:rPr>
        <w:softHyphen/>
        <w:t>ливаться на всех выпускаемых штурмовиках Ил-2.</w:t>
      </w:r>
    </w:p>
    <w:p w14:paraId="2995BAF3" w14:textId="77777777" w:rsidR="00715334" w:rsidRPr="00271E51" w:rsidRDefault="00715334" w:rsidP="00271E51">
      <w:pPr>
        <w:pStyle w:val="a3"/>
        <w:rPr>
          <w:color w:val="000000" w:themeColor="text1"/>
          <w:lang w:val="ru-RU"/>
        </w:rPr>
      </w:pPr>
      <w:r w:rsidRPr="00271E51">
        <w:rPr>
          <w:color w:val="000000" w:themeColor="text1"/>
          <w:lang w:val="ru-RU"/>
        </w:rPr>
        <w:t>Несмотря на столь длительную доводку, ВМШ-2 всё же не нашел широкого применения в частях штурмовой авиации ВВС КА. Как ни старались привить уважение лётчиков к этому при</w:t>
      </w:r>
      <w:r w:rsidRPr="00271E51">
        <w:rPr>
          <w:color w:val="000000" w:themeColor="text1"/>
          <w:lang w:val="ru-RU"/>
        </w:rPr>
        <w:softHyphen/>
        <w:t>бору и заставить пользоваться и'м, ничего из этого не получилось, хотя временной механизм и просуществовал на вооружении Ил-2 до самого окончания войны.</w:t>
      </w:r>
    </w:p>
    <w:p w14:paraId="7031C6FA" w14:textId="77777777" w:rsidR="00715334" w:rsidRPr="00271E51" w:rsidRDefault="00715334" w:rsidP="00271E51">
      <w:pPr>
        <w:pStyle w:val="a3"/>
        <w:rPr>
          <w:color w:val="000000" w:themeColor="text1"/>
          <w:lang w:val="ru-RU"/>
        </w:rPr>
      </w:pPr>
      <w:r w:rsidRPr="00271E51">
        <w:rPr>
          <w:color w:val="000000" w:themeColor="text1"/>
          <w:lang w:val="ru-RU"/>
        </w:rPr>
        <w:t>Основным недостатком ВМШ-2, из-за которого его и не любили лётчики, был ограниченный диапазон высот боевого применения и дискретность их выбора.</w:t>
      </w:r>
    </w:p>
    <w:p w14:paraId="40AB68B2" w14:textId="77777777" w:rsidR="00715334" w:rsidRPr="00271E51" w:rsidRDefault="00715334" w:rsidP="00271E51">
      <w:pPr>
        <w:pStyle w:val="a3"/>
        <w:rPr>
          <w:color w:val="000000" w:themeColor="text1"/>
          <w:lang w:val="ru-RU"/>
        </w:rPr>
      </w:pPr>
      <w:r w:rsidRPr="00271E51">
        <w:rPr>
          <w:color w:val="000000" w:themeColor="text1"/>
          <w:lang w:val="ru-RU"/>
        </w:rPr>
        <w:lastRenderedPageBreak/>
        <w:t>Бомбометание с горизонтального полёта при помощи ВМШ-2 могло производиться с высот 70, 100, 200, 300 м и выше (всё кратно 100 м), а бомбометание на выходе из пикирования только с высоты 400 м, хотя ввод в пикирование осуществлялся с различных высот: от 600 м до 1 200 м. К тому же, использование ВМШ-2 требовало длительного нахождения над целью без противозенитного манёвра. Всё это приводило к излишнему однообразию тактических при</w:t>
      </w:r>
      <w:r w:rsidRPr="00271E51">
        <w:rPr>
          <w:color w:val="000000" w:themeColor="text1"/>
          <w:lang w:val="ru-RU"/>
        </w:rPr>
        <w:softHyphen/>
        <w:t>ёмов над целью, и противник наносил Ил-2 тяжелые потери, в основном огнём малокалиберной зенитной артиллерии и крупнокалиберных зенитных пулемётов (15978).</w:t>
      </w:r>
    </w:p>
    <w:p w14:paraId="0ADC4285" w14:textId="77777777" w:rsidR="00715334" w:rsidRPr="00271E51" w:rsidRDefault="00715334" w:rsidP="00271E51">
      <w:pPr>
        <w:pStyle w:val="a3"/>
        <w:rPr>
          <w:color w:val="000000" w:themeColor="text1"/>
          <w:lang w:val="ru-RU"/>
        </w:rPr>
      </w:pPr>
    </w:p>
    <w:p w14:paraId="3EF091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вышел отчет о работах ЛИИ в июле 1943:</w:t>
      </w:r>
    </w:p>
    <w:p w14:paraId="2E003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7371"/>
      </w:tblGrid>
      <w:tr w:rsidR="00A907A5" w:rsidRPr="00271E51" w14:paraId="11BB8D67" w14:textId="77777777" w:rsidTr="00ED5B0A">
        <w:tc>
          <w:tcPr>
            <w:tcW w:w="3227" w:type="dxa"/>
          </w:tcPr>
          <w:p w14:paraId="5A706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самолета Ил-2 в варианте</w:t>
            </w:r>
          </w:p>
        </w:tc>
        <w:tc>
          <w:tcPr>
            <w:tcW w:w="7371" w:type="dxa"/>
          </w:tcPr>
          <w:p w14:paraId="25DFB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Ил-2 N 7580 в варианте</w:t>
            </w:r>
          </w:p>
        </w:tc>
      </w:tr>
      <w:tr w:rsidR="00A907A5" w:rsidRPr="00271E51" w14:paraId="549E5BE6" w14:textId="77777777" w:rsidTr="00ED5B0A">
        <w:tc>
          <w:tcPr>
            <w:tcW w:w="3227" w:type="dxa"/>
          </w:tcPr>
          <w:p w14:paraId="632C6A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истребителя</w:t>
            </w:r>
          </w:p>
        </w:tc>
        <w:tc>
          <w:tcPr>
            <w:tcW w:w="7371" w:type="dxa"/>
          </w:tcPr>
          <w:p w14:paraId="39F059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истребителя с полетным весом 5380 кг. Получены данные:</w:t>
            </w:r>
          </w:p>
        </w:tc>
      </w:tr>
      <w:tr w:rsidR="00A907A5" w:rsidRPr="00271E51" w14:paraId="1774DC3C" w14:textId="77777777" w:rsidTr="00ED5B0A">
        <w:tc>
          <w:tcPr>
            <w:tcW w:w="3227" w:type="dxa"/>
          </w:tcPr>
          <w:p w14:paraId="5A3875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43044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- 395 км/час</w:t>
            </w:r>
          </w:p>
        </w:tc>
      </w:tr>
      <w:tr w:rsidR="00A907A5" w:rsidRPr="00271E51" w14:paraId="7D09552D" w14:textId="77777777" w:rsidTr="00ED5B0A">
        <w:tc>
          <w:tcPr>
            <w:tcW w:w="3227" w:type="dxa"/>
          </w:tcPr>
          <w:p w14:paraId="7931A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211B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границе выс. 1000 м - 406 км/час</w:t>
            </w:r>
          </w:p>
        </w:tc>
      </w:tr>
      <w:tr w:rsidR="00A907A5" w:rsidRPr="00271E51" w14:paraId="73B19D4D" w14:textId="77777777" w:rsidTr="00ED5B0A">
        <w:tc>
          <w:tcPr>
            <w:tcW w:w="3227" w:type="dxa"/>
          </w:tcPr>
          <w:p w14:paraId="6A15A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5CB05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Модифицированный самолет Ил-2 по ЛД практически не отличается</w:t>
            </w:r>
          </w:p>
        </w:tc>
      </w:tr>
      <w:tr w:rsidR="00A907A5" w:rsidRPr="00271E51" w14:paraId="0F9B13A5" w14:textId="77777777" w:rsidTr="00ED5B0A">
        <w:tc>
          <w:tcPr>
            <w:tcW w:w="3227" w:type="dxa"/>
          </w:tcPr>
          <w:p w14:paraId="7FEC7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2E9B1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серийного одноместного Ил-2, но имеет лучшие взлетные</w:t>
            </w:r>
          </w:p>
        </w:tc>
      </w:tr>
      <w:tr w:rsidR="00A907A5" w:rsidRPr="00271E51" w14:paraId="13ED242F" w14:textId="77777777" w:rsidTr="00ED5B0A">
        <w:tc>
          <w:tcPr>
            <w:tcW w:w="3227" w:type="dxa"/>
          </w:tcPr>
          <w:p w14:paraId="4B4D52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0700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вследствие уменьшения полетного веса на 400 кг,</w:t>
            </w:r>
          </w:p>
        </w:tc>
      </w:tr>
      <w:tr w:rsidR="00A907A5" w:rsidRPr="00271E51" w14:paraId="79483306" w14:textId="77777777" w:rsidTr="00ED5B0A">
        <w:tc>
          <w:tcPr>
            <w:tcW w:w="3227" w:type="dxa"/>
          </w:tcPr>
          <w:p w14:paraId="0B91E5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71B9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увеличения взлетной мощности на 100 л.с. на формированном</w:t>
            </w:r>
          </w:p>
        </w:tc>
      </w:tr>
      <w:tr w:rsidR="00A907A5" w:rsidRPr="00271E51" w14:paraId="45C493B9" w14:textId="77777777" w:rsidTr="00ED5B0A">
        <w:tc>
          <w:tcPr>
            <w:tcW w:w="3227" w:type="dxa"/>
          </w:tcPr>
          <w:p w14:paraId="61DA73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48EC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моторе АМ-38Ф</w:t>
            </w:r>
          </w:p>
        </w:tc>
      </w:tr>
      <w:tr w:rsidR="00A907A5" w:rsidRPr="00271E51" w14:paraId="4EE5766E" w14:textId="77777777" w:rsidTr="00ED5B0A">
        <w:tc>
          <w:tcPr>
            <w:tcW w:w="3227" w:type="dxa"/>
          </w:tcPr>
          <w:p w14:paraId="21640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5BB5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продольной устойчивости самолета рекомендовано</w:t>
            </w:r>
          </w:p>
        </w:tc>
      </w:tr>
      <w:tr w:rsidR="00A907A5" w:rsidRPr="00271E51" w14:paraId="42978767" w14:textId="77777777" w:rsidTr="00ED5B0A">
        <w:tc>
          <w:tcPr>
            <w:tcW w:w="3227" w:type="dxa"/>
          </w:tcPr>
          <w:p w14:paraId="53FD2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31B68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 С.В.И. установить амортизатор и контрбалансир в системе</w:t>
            </w:r>
          </w:p>
        </w:tc>
      </w:tr>
      <w:tr w:rsidR="00A907A5" w:rsidRPr="00271E51" w14:paraId="33A4AD8A" w14:textId="77777777" w:rsidTr="00ED5B0A">
        <w:tc>
          <w:tcPr>
            <w:tcW w:w="3227" w:type="dxa"/>
          </w:tcPr>
          <w:p w14:paraId="4A3252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78C7D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управления РВ, разработанные и испытанные в ЛИИ (1783)</w:t>
            </w:r>
          </w:p>
        </w:tc>
      </w:tr>
      <w:tr w:rsidR="00A907A5" w:rsidRPr="00271E51" w14:paraId="304DA28A" w14:textId="77777777" w:rsidTr="00ED5B0A">
        <w:tc>
          <w:tcPr>
            <w:tcW w:w="3227" w:type="dxa"/>
          </w:tcPr>
          <w:p w14:paraId="4FA24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на прочность серийных</w:t>
            </w:r>
          </w:p>
        </w:tc>
        <w:tc>
          <w:tcPr>
            <w:tcW w:w="7371" w:type="dxa"/>
          </w:tcPr>
          <w:p w14:paraId="203BC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на прочность 2-х самолетов Ил-2 завода</w:t>
            </w:r>
          </w:p>
        </w:tc>
      </w:tr>
      <w:tr w:rsidR="00A907A5" w:rsidRPr="00271E51" w14:paraId="5E4C1B30" w14:textId="77777777" w:rsidTr="00ED5B0A">
        <w:tc>
          <w:tcPr>
            <w:tcW w:w="3227" w:type="dxa"/>
          </w:tcPr>
          <w:p w14:paraId="2D615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самолетов после эксплуатации в</w:t>
            </w:r>
          </w:p>
        </w:tc>
        <w:tc>
          <w:tcPr>
            <w:tcW w:w="7371" w:type="dxa"/>
          </w:tcPr>
          <w:p w14:paraId="0B79E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находившихся в эксплуатации в частях ВВС и затем</w:t>
            </w:r>
          </w:p>
        </w:tc>
      </w:tr>
      <w:tr w:rsidR="00A907A5" w:rsidRPr="00271E51" w14:paraId="432104A4" w14:textId="77777777" w:rsidTr="00ED5B0A">
        <w:tc>
          <w:tcPr>
            <w:tcW w:w="3227" w:type="dxa"/>
          </w:tcPr>
          <w:p w14:paraId="28BBE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частях ВВС и ремонта в полевых</w:t>
            </w:r>
          </w:p>
        </w:tc>
        <w:tc>
          <w:tcPr>
            <w:tcW w:w="7371" w:type="dxa"/>
          </w:tcPr>
          <w:p w14:paraId="4B3B7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подвергнутых ремонту по разным технологическим процессам</w:t>
            </w:r>
          </w:p>
        </w:tc>
      </w:tr>
      <w:tr w:rsidR="00A907A5" w:rsidRPr="00271E51" w14:paraId="298CFAEB" w14:textId="77777777" w:rsidTr="00ED5B0A">
        <w:tc>
          <w:tcPr>
            <w:tcW w:w="3227" w:type="dxa"/>
          </w:tcPr>
          <w:p w14:paraId="64BBE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условиях</w:t>
            </w:r>
          </w:p>
        </w:tc>
        <w:tc>
          <w:tcPr>
            <w:tcW w:w="7371" w:type="dxa"/>
          </w:tcPr>
          <w:p w14:paraId="16F75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установлено:</w:t>
            </w:r>
          </w:p>
        </w:tc>
      </w:tr>
      <w:tr w:rsidR="00A907A5" w:rsidRPr="00271E51" w14:paraId="11C0ED62" w14:textId="77777777" w:rsidTr="00ED5B0A">
        <w:tc>
          <w:tcPr>
            <w:tcW w:w="3227" w:type="dxa"/>
          </w:tcPr>
          <w:p w14:paraId="2082DE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579888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профилактический ремонт консолей крыла в полевых условиях</w:t>
            </w:r>
          </w:p>
        </w:tc>
      </w:tr>
      <w:tr w:rsidR="00A907A5" w:rsidRPr="00271E51" w14:paraId="5820F914" w14:textId="77777777" w:rsidTr="00ED5B0A">
        <w:tc>
          <w:tcPr>
            <w:tcW w:w="3227" w:type="dxa"/>
          </w:tcPr>
          <w:p w14:paraId="315F7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3783D8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(проклейка, прошурупка и частичная замена полотна) не</w:t>
            </w:r>
          </w:p>
        </w:tc>
      </w:tr>
      <w:tr w:rsidR="00A907A5" w:rsidRPr="00271E51" w14:paraId="2840E087" w14:textId="77777777" w:rsidTr="00ED5B0A">
        <w:tc>
          <w:tcPr>
            <w:tcW w:w="3227" w:type="dxa"/>
          </w:tcPr>
          <w:p w14:paraId="04004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ACF9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является надежным и не может быть рекомендована для</w:t>
            </w:r>
          </w:p>
        </w:tc>
      </w:tr>
      <w:tr w:rsidR="00A907A5" w:rsidRPr="00271E51" w14:paraId="26596689" w14:textId="77777777" w:rsidTr="00ED5B0A">
        <w:tc>
          <w:tcPr>
            <w:tcW w:w="3227" w:type="dxa"/>
          </w:tcPr>
          <w:p w14:paraId="5BF26B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E0524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применения.</w:t>
            </w:r>
          </w:p>
        </w:tc>
      </w:tr>
      <w:tr w:rsidR="00A907A5" w:rsidRPr="00271E51" w14:paraId="089C924A" w14:textId="77777777" w:rsidTr="00ED5B0A">
        <w:tc>
          <w:tcPr>
            <w:tcW w:w="3227" w:type="dxa"/>
          </w:tcPr>
          <w:p w14:paraId="4EBF59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DE22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Самолет Ил-2 после заводского ремонта по новой технологии</w:t>
            </w:r>
          </w:p>
        </w:tc>
      </w:tr>
      <w:tr w:rsidR="00A907A5" w:rsidRPr="00271E51" w14:paraId="3DF087D2" w14:textId="77777777" w:rsidTr="00ED5B0A">
        <w:tc>
          <w:tcPr>
            <w:tcW w:w="3227" w:type="dxa"/>
          </w:tcPr>
          <w:p w14:paraId="79A4C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42908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применением усиливающих лент и обклейки консолей "чехлом"</w:t>
            </w:r>
          </w:p>
        </w:tc>
      </w:tr>
      <w:tr w:rsidR="00A907A5" w:rsidRPr="00271E51" w14:paraId="652DC8C5" w14:textId="77777777" w:rsidTr="00ED5B0A">
        <w:tc>
          <w:tcPr>
            <w:tcW w:w="3227" w:type="dxa"/>
          </w:tcPr>
          <w:p w14:paraId="4F9761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D7AA5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на прочность прошли удовлетворительно.</w:t>
            </w:r>
          </w:p>
        </w:tc>
      </w:tr>
      <w:tr w:rsidR="00A907A5" w:rsidRPr="00271E51" w14:paraId="7047C868" w14:textId="77777777" w:rsidTr="00ED5B0A">
        <w:tc>
          <w:tcPr>
            <w:tcW w:w="3227" w:type="dxa"/>
          </w:tcPr>
          <w:p w14:paraId="287C10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3A8DE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Рекомендовано заводу 30 устранить на серийных самолетах</w:t>
            </w:r>
          </w:p>
        </w:tc>
      </w:tr>
      <w:tr w:rsidR="00A907A5" w:rsidRPr="00271E51" w14:paraId="4E3E8D0F" w14:textId="77777777" w:rsidTr="00ED5B0A">
        <w:tc>
          <w:tcPr>
            <w:tcW w:w="3227" w:type="dxa"/>
          </w:tcPr>
          <w:p w14:paraId="0CE038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0F62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выявленные во время испытаний.</w:t>
            </w:r>
          </w:p>
        </w:tc>
      </w:tr>
      <w:tr w:rsidR="00A907A5" w:rsidRPr="00271E51" w14:paraId="20FEE492" w14:textId="77777777" w:rsidTr="00ED5B0A">
        <w:tc>
          <w:tcPr>
            <w:tcW w:w="3227" w:type="dxa"/>
          </w:tcPr>
          <w:p w14:paraId="50B653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Определение темп. режимов воды и</w:t>
            </w:r>
          </w:p>
        </w:tc>
        <w:tc>
          <w:tcPr>
            <w:tcW w:w="7371" w:type="dxa"/>
          </w:tcPr>
          <w:p w14:paraId="7DBEE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серийном Ил-2 1 завода были определены тепловые</w:t>
            </w:r>
          </w:p>
        </w:tc>
      </w:tr>
      <w:tr w:rsidR="00A907A5" w:rsidRPr="00271E51" w14:paraId="59F0A57E" w14:textId="77777777" w:rsidTr="00ED5B0A">
        <w:tc>
          <w:tcPr>
            <w:tcW w:w="3227" w:type="dxa"/>
          </w:tcPr>
          <w:p w14:paraId="6D938B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масла на самолете Ил-2</w:t>
            </w:r>
          </w:p>
        </w:tc>
        <w:tc>
          <w:tcPr>
            <w:tcW w:w="7371" w:type="dxa"/>
          </w:tcPr>
          <w:p w14:paraId="505EA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с серийным и модифицированным туннелем</w:t>
            </w:r>
          </w:p>
        </w:tc>
      </w:tr>
      <w:tr w:rsidR="00A907A5" w:rsidRPr="00271E51" w14:paraId="7ED797D3" w14:textId="77777777" w:rsidTr="00ED5B0A">
        <w:tc>
          <w:tcPr>
            <w:tcW w:w="3227" w:type="dxa"/>
          </w:tcPr>
          <w:p w14:paraId="0009C4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11D04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водо-маслорадиатора.</w:t>
            </w:r>
          </w:p>
        </w:tc>
      </w:tr>
      <w:tr w:rsidR="00A907A5" w:rsidRPr="00271E51" w14:paraId="0B76637C" w14:textId="77777777" w:rsidTr="00ED5B0A">
        <w:tc>
          <w:tcPr>
            <w:tcW w:w="3227" w:type="dxa"/>
          </w:tcPr>
          <w:p w14:paraId="2FE88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5C90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заключалась в герметизации туннелей и замене</w:t>
            </w:r>
          </w:p>
        </w:tc>
      </w:tr>
      <w:tr w:rsidR="00A907A5" w:rsidRPr="00271E51" w14:paraId="76F65674" w14:textId="77777777" w:rsidTr="00ED5B0A">
        <w:tc>
          <w:tcPr>
            <w:tcW w:w="3227" w:type="dxa"/>
          </w:tcPr>
          <w:p w14:paraId="57D337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5D0DD6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 заслонок на выходе - на одну</w:t>
            </w:r>
          </w:p>
        </w:tc>
      </w:tr>
      <w:tr w:rsidR="00A907A5" w:rsidRPr="00271E51" w14:paraId="181CFDCB" w14:textId="77777777" w:rsidTr="00ED5B0A">
        <w:tc>
          <w:tcPr>
            <w:tcW w:w="3227" w:type="dxa"/>
          </w:tcPr>
          <w:p w14:paraId="635F94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64C29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производить замену заслонок на выходе на</w:t>
            </w:r>
          </w:p>
        </w:tc>
      </w:tr>
      <w:tr w:rsidR="00A907A5" w:rsidRPr="00271E51" w14:paraId="51576CB9" w14:textId="77777777" w:rsidTr="00ED5B0A">
        <w:tc>
          <w:tcPr>
            <w:tcW w:w="3227" w:type="dxa"/>
          </w:tcPr>
          <w:p w14:paraId="2B410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9807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одну - не рационально.</w:t>
            </w:r>
          </w:p>
        </w:tc>
      </w:tr>
      <w:tr w:rsidR="00A907A5" w:rsidRPr="00271E51" w14:paraId="6E30F49C" w14:textId="77777777" w:rsidTr="00ED5B0A">
        <w:tc>
          <w:tcPr>
            <w:tcW w:w="3227" w:type="dxa"/>
          </w:tcPr>
          <w:p w14:paraId="21F2D7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Испытание опытного 4-х лопастного</w:t>
            </w:r>
          </w:p>
        </w:tc>
        <w:tc>
          <w:tcPr>
            <w:tcW w:w="7371" w:type="dxa"/>
          </w:tcPr>
          <w:p w14:paraId="7C4B4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Проведенными испытаниями 4-х лопастного металлического ВИШ </w:t>
            </w:r>
          </w:p>
        </w:tc>
      </w:tr>
      <w:tr w:rsidR="00A907A5" w:rsidRPr="00271E51" w14:paraId="1DFA0E06" w14:textId="77777777" w:rsidTr="00ED5B0A">
        <w:tc>
          <w:tcPr>
            <w:tcW w:w="3227" w:type="dxa"/>
          </w:tcPr>
          <w:p w14:paraId="6724FE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 на самолете Ил-2</w:t>
            </w:r>
          </w:p>
        </w:tc>
        <w:tc>
          <w:tcPr>
            <w:tcW w:w="7371" w:type="dxa"/>
          </w:tcPr>
          <w:p w14:paraId="1141A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АВ-9Л-158 с механизмом, работающим по обратной схеме показали,</w:t>
            </w:r>
          </w:p>
        </w:tc>
      </w:tr>
      <w:tr w:rsidR="00A907A5" w:rsidRPr="00271E51" w14:paraId="6EBC55CB" w14:textId="77777777" w:rsidTr="00ED5B0A">
        <w:tc>
          <w:tcPr>
            <w:tcW w:w="3227" w:type="dxa"/>
          </w:tcPr>
          <w:p w14:paraId="1CF8C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FC760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опытный винт не может быть рекомендован в серию</w:t>
            </w:r>
          </w:p>
        </w:tc>
      </w:tr>
      <w:tr w:rsidR="00A907A5" w:rsidRPr="00271E51" w14:paraId="762A4F9B" w14:textId="77777777" w:rsidTr="00ED5B0A">
        <w:tc>
          <w:tcPr>
            <w:tcW w:w="3227" w:type="dxa"/>
          </w:tcPr>
          <w:p w14:paraId="4A343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Испытания самолета Ил-2 с</w:t>
            </w:r>
          </w:p>
        </w:tc>
        <w:tc>
          <w:tcPr>
            <w:tcW w:w="7371" w:type="dxa"/>
          </w:tcPr>
          <w:p w14:paraId="504B5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разработанные ЛИИ</w:t>
            </w:r>
          </w:p>
        </w:tc>
      </w:tr>
      <w:tr w:rsidR="00A907A5" w:rsidRPr="00271E51" w14:paraId="6F6A8F51" w14:textId="77777777" w:rsidTr="00ED5B0A">
        <w:tc>
          <w:tcPr>
            <w:tcW w:w="3227" w:type="dxa"/>
          </w:tcPr>
          <w:p w14:paraId="503CE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амортизатором и контрбалансиром</w:t>
            </w:r>
          </w:p>
        </w:tc>
        <w:tc>
          <w:tcPr>
            <w:tcW w:w="7371" w:type="dxa"/>
          </w:tcPr>
          <w:p w14:paraId="4C0ED0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контрбаланситр и амортизатор в систему управления РВ повышают</w:t>
            </w:r>
          </w:p>
        </w:tc>
      </w:tr>
      <w:tr w:rsidR="00A907A5" w:rsidRPr="00271E51" w14:paraId="7F48DFB3" w14:textId="77777777" w:rsidTr="00ED5B0A">
        <w:tc>
          <w:tcPr>
            <w:tcW w:w="3227" w:type="dxa"/>
          </w:tcPr>
          <w:p w14:paraId="6608FA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171A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продольную устойчивость с брошенной ручкой и препятствуют</w:t>
            </w:r>
          </w:p>
        </w:tc>
      </w:tr>
      <w:tr w:rsidR="00A907A5" w:rsidRPr="00271E51" w14:paraId="536536EE" w14:textId="77777777" w:rsidTr="00ED5B0A">
        <w:tc>
          <w:tcPr>
            <w:tcW w:w="3227" w:type="dxa"/>
          </w:tcPr>
          <w:p w14:paraId="29BAD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F073A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возникновению обратных нагрузок на ручке при выполнении виражей,</w:t>
            </w:r>
          </w:p>
        </w:tc>
      </w:tr>
      <w:tr w:rsidR="00A907A5" w:rsidRPr="00271E51" w14:paraId="22ECA38E" w14:textId="77777777" w:rsidTr="00ED5B0A">
        <w:tc>
          <w:tcPr>
            <w:tcW w:w="3227" w:type="dxa"/>
          </w:tcPr>
          <w:p w14:paraId="6CF93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2F3518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горок, боевых разворотов и выходов из пикирования. В болтанку</w:t>
            </w:r>
          </w:p>
        </w:tc>
      </w:tr>
      <w:tr w:rsidR="00A907A5" w:rsidRPr="00271E51" w14:paraId="14337971" w14:textId="77777777" w:rsidTr="00ED5B0A">
        <w:tc>
          <w:tcPr>
            <w:tcW w:w="3227" w:type="dxa"/>
          </w:tcPr>
          <w:p w14:paraId="6B4B3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4072EE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сбалансированный на крейсерской скорости, может лететь</w:t>
            </w:r>
          </w:p>
        </w:tc>
      </w:tr>
      <w:tr w:rsidR="00A907A5" w:rsidRPr="00271E51" w14:paraId="17A1C945" w14:textId="77777777" w:rsidTr="00ED5B0A">
        <w:tc>
          <w:tcPr>
            <w:tcW w:w="3227" w:type="dxa"/>
          </w:tcPr>
          <w:p w14:paraId="15C6A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007EB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брошенной ручкой. При маневрах с наличием перегрузок,</w:t>
            </w:r>
          </w:p>
        </w:tc>
      </w:tr>
      <w:tr w:rsidR="00A907A5" w:rsidRPr="00271E51" w14:paraId="2C48B112" w14:textId="77777777" w:rsidTr="00ED5B0A">
        <w:tc>
          <w:tcPr>
            <w:tcW w:w="3227" w:type="dxa"/>
          </w:tcPr>
          <w:p w14:paraId="34B31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55F4D2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контрбалансир препятствует самопроизвольному выходу самолета на</w:t>
            </w:r>
          </w:p>
        </w:tc>
      </w:tr>
      <w:tr w:rsidR="00A907A5" w:rsidRPr="00271E51" w14:paraId="39B9D5F0" w14:textId="77777777" w:rsidTr="00ED5B0A">
        <w:tc>
          <w:tcPr>
            <w:tcW w:w="3227" w:type="dxa"/>
          </w:tcPr>
          <w:p w14:paraId="7BBDD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3D9C8C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большие углы атаки. Амортизатор с контрбалансиром</w:t>
            </w:r>
          </w:p>
        </w:tc>
      </w:tr>
      <w:tr w:rsidR="00A907A5" w:rsidRPr="00271E51" w14:paraId="6F91544B" w14:textId="77777777" w:rsidTr="00ED5B0A">
        <w:tc>
          <w:tcPr>
            <w:tcW w:w="3227" w:type="dxa"/>
          </w:tcPr>
          <w:p w14:paraId="295138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2BE79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 к внедрению в серию.</w:t>
            </w:r>
          </w:p>
        </w:tc>
      </w:tr>
      <w:tr w:rsidR="00A907A5" w:rsidRPr="00271E51" w14:paraId="7F30FA96" w14:textId="77777777" w:rsidTr="00ED5B0A">
        <w:tc>
          <w:tcPr>
            <w:tcW w:w="3227" w:type="dxa"/>
          </w:tcPr>
          <w:p w14:paraId="355BAE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испытание самолета Ил-2 с</w:t>
            </w:r>
          </w:p>
        </w:tc>
        <w:tc>
          <w:tcPr>
            <w:tcW w:w="7371" w:type="dxa"/>
          </w:tcPr>
          <w:p w14:paraId="1944CB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заданию ЦАГИ была проведена качественная оценка</w:t>
            </w:r>
          </w:p>
        </w:tc>
      </w:tr>
      <w:tr w:rsidR="00A907A5" w:rsidRPr="00271E51" w14:paraId="16825B4A" w14:textId="77777777" w:rsidTr="00ED5B0A">
        <w:tc>
          <w:tcPr>
            <w:tcW w:w="3227" w:type="dxa"/>
          </w:tcPr>
          <w:p w14:paraId="150A51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роговой компенсацией РВ</w:t>
            </w:r>
          </w:p>
        </w:tc>
        <w:tc>
          <w:tcPr>
            <w:tcW w:w="7371" w:type="dxa"/>
          </w:tcPr>
          <w:p w14:paraId="47EAD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влияния 5.1% роговой компенсации РВ на продольную</w:t>
            </w:r>
          </w:p>
        </w:tc>
      </w:tr>
      <w:tr w:rsidR="00A907A5" w:rsidRPr="00271E51" w14:paraId="6C31C4FC" w14:textId="77777777" w:rsidTr="00ED5B0A">
        <w:tc>
          <w:tcPr>
            <w:tcW w:w="3227" w:type="dxa"/>
          </w:tcPr>
          <w:p w14:paraId="21F4E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4A9C60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устойчивость и управляемость Ил-2</w:t>
            </w:r>
          </w:p>
        </w:tc>
      </w:tr>
      <w:tr w:rsidR="00A907A5" w:rsidRPr="00271E51" w14:paraId="25201BF4" w14:textId="77777777" w:rsidTr="00ED5B0A">
        <w:tc>
          <w:tcPr>
            <w:tcW w:w="3227" w:type="dxa"/>
          </w:tcPr>
          <w:p w14:paraId="4C5EF2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7192B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Установлено, что данная роговая компенсация практически не изменяет</w:t>
            </w:r>
          </w:p>
        </w:tc>
      </w:tr>
      <w:tr w:rsidR="00A907A5" w:rsidRPr="00271E51" w14:paraId="5D81A2CE" w14:textId="77777777" w:rsidTr="00ED5B0A">
        <w:tc>
          <w:tcPr>
            <w:tcW w:w="3227" w:type="dxa"/>
          </w:tcPr>
          <w:p w14:paraId="5BDD14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71" w:type="dxa"/>
          </w:tcPr>
          <w:p w14:paraId="4B7834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управляемости и продольной стат. устойчивости (1783,10)</w:t>
            </w:r>
          </w:p>
        </w:tc>
      </w:tr>
    </w:tbl>
    <w:p w14:paraId="514F9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62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начались гос. испытания одноместного бронированного истребителя бомбардировщиков Ил-2И на базе Ил-2 (3846,19).</w:t>
      </w:r>
    </w:p>
    <w:p w14:paraId="290AF5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A4A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на Ил-2 стал устанавливаться Заводской вариант дублированного управления рулем высоты (6467).</w:t>
      </w:r>
    </w:p>
    <w:p w14:paraId="0276F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57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стал устанавливаться заводской вариант дублированного управления рулем высоты на Ил-2. С декабря 1941 г. личный состав штурмовых авиачастей своими силами устанавливал на Ил-2 дублированное управление рулем высоты и требовал выполнить такую доработку на серийных штурмовиках. Однако бюрократическая машина даже во время войны «работала» на полную мощь. Директора авиазаводов не могли добиться от руководства соответствующего разрешения (11921).</w:t>
      </w:r>
    </w:p>
    <w:p w14:paraId="06684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7BA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Ильюшин представил на испытания одноместный Ил-2И с АМ-38Ф. И хотя он вполне успешно прошел испытания, в том числе на воздушный бой с вражескими бомбардировщиками, стало ясно: для создания по-настоящему эффективного бронированного истребителя требуются более мощный двигатель и более совершенные аэродинамические решения. Необходимый Ильюшину мотор у Микулина уже был. С мая 1943 г. двигатель АМ-42 проходил испытания на тяжелом штурмовике Ил-АМ-42, построенном на ильюшинском опытном заводе № 240. Разумеется, новый двигатель требовал доводки, которая и осуществлялась в воздухе на "безномерном" "Иле". Создание АМ-42 стало важным достижением ОКБ Микулина, позволившим радикально улучшить летно-тактические данные советских самолетов. Мощность на взлетном режиме составляла 2000 л.с., а на расчетной высоте 1600 м - 1770 л.с. Сухая масса мотора 1030 кг, что обеспечивало удельный вес на взлетном режиме 0,515 кг/л.с., а на номинальном режиме - 0,582 кг/л.с. (9032).</w:t>
      </w:r>
    </w:p>
    <w:p w14:paraId="65888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C3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 1943 года С.В.Ильюшин представил на госиспытания Ил-2И в варианте истребителя бомбардировщиков. Это был одноместный самолет с двигателем АМ-38Ф, переделанный из обычного двухместного штурмовика. Крыло усилили, изменив раскрой листов деревянной обшивки, увеличив площадь склейки и приклепав </w:t>
      </w:r>
      <w:r w:rsidRPr="00271E51">
        <w:rPr>
          <w:rFonts w:ascii="Times New Roman" w:hAnsi="Times New Roman"/>
          <w:color w:val="000000" w:themeColor="text1"/>
          <w:sz w:val="16"/>
          <w:szCs w:val="16"/>
        </w:rPr>
        <w:lastRenderedPageBreak/>
        <w:t>обшивку к полкам лонжеронов. С Ил-2И сняли пулеметы ШКАС, бомбодержатели в бомбоотсеках и узлы крепления к крылу пусковых балок РСов. Люки подхода к пулеметам и вырезы под бомбоотсеки заделали. На вооружении самолета остались только две пушки ВЯ с боезапасом по 250 снарядов на ствол. На наружные бомбовые замки можно было подвесить две 250-кг бомбы.</w:t>
      </w:r>
    </w:p>
    <w:p w14:paraId="2ED70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испытаниях Ил-2И с нормальным полетным весом 5383 кг достиг максимальной горизонтальной скорости 415 км/ч на высоте 1300 м, то есть при практически одинаковом полетном весе, но с более мощным двигателем не смог превысить скорость опытного одноместного Ил-2. Сказалась, по-видимому, недостаточная тщательность отделки внешней поверхности серийных машин. Тем не менее, на высотах до 4000 м скорость Ил-2И значительно превышала максимальную скорость бомбардировщиков Ju-87 и He-111. Воздушные бои показали, что на этих высотах Ил-2И успешно атакует бомбардировщики Ju-87 и He-111, а также транспортные самолеты противника со всех ракурсов. Однако активно бороться с новейшими скоростными бомбардировщиками и истребителями противника Ил-2И не мог и поэтому серийно не строился (9528).</w:t>
      </w:r>
    </w:p>
    <w:p w14:paraId="0A4E4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55B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прошли испытания по сокращенной программе Пегаса 04. Признали улучшение обзора по сравнению с первыми тремя и повышение маневренности, появилась возможность полета на одном моторе. Решения о серии не приняли и все четыре машины направили на НИП АВ (4142,44).</w:t>
      </w:r>
    </w:p>
    <w:p w14:paraId="6F283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B51739"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испытания «Пегаса» № 04 проходили по сокращённой программе. При</w:t>
      </w:r>
      <w:r w:rsidRPr="00271E51">
        <w:rPr>
          <w:rFonts w:ascii="Times New Roman" w:hAnsi="Times New Roman"/>
          <w:color w:val="000000" w:themeColor="text1"/>
          <w:sz w:val="16"/>
          <w:szCs w:val="16"/>
        </w:rPr>
        <w:softHyphen/>
        <w:t>знавалось улучшение обзора, повышение лётных данных и манёвренности. Появилась воз</w:t>
      </w:r>
      <w:r w:rsidRPr="00271E51">
        <w:rPr>
          <w:rFonts w:ascii="Times New Roman" w:hAnsi="Times New Roman"/>
          <w:color w:val="000000" w:themeColor="text1"/>
          <w:sz w:val="16"/>
          <w:szCs w:val="16"/>
        </w:rPr>
        <w:softHyphen/>
        <w:t>можность полёта при одном работающем моторе без снижения. Для проверки взлётно- посадочных качеств была выполнена посадка с разворотом на 180° при остановке обоих моторов на взлёте с бомбовой нагрузкой 500 кг.</w:t>
      </w:r>
    </w:p>
    <w:p w14:paraId="6248E2E9"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надобности в таком самолёте у ВВС КА уже не было. На вооружение начали поступать «танковые» Як-9Т и Ил-2 с пушками НС-37, превосходящие «Пегас» по лётным данным, а с запуском в массовое производство противотанковой бомбы кумулятивного действия ПТАБ-2,5-1,5 резко выросла эффективность действий по танкам обычных серийных Ил-2. О противотанковой воздушной армии быстро забыли (15846).</w:t>
      </w:r>
    </w:p>
    <w:p w14:paraId="2135F291" w14:textId="77777777" w:rsidR="00715334" w:rsidRPr="00271E51" w:rsidRDefault="00715334" w:rsidP="00271E51">
      <w:pPr>
        <w:spacing w:after="0" w:line="240" w:lineRule="auto"/>
        <w:jc w:val="both"/>
        <w:rPr>
          <w:rFonts w:ascii="Times New Roman" w:hAnsi="Times New Roman"/>
          <w:color w:val="000000" w:themeColor="text1"/>
          <w:sz w:val="16"/>
          <w:szCs w:val="16"/>
        </w:rPr>
      </w:pPr>
    </w:p>
    <w:p w14:paraId="2DA76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1943-го проходили испытания четвертой машины Пегас. Признавалось улучшение обзора и повышение маневренности, был возможен полет на одном моторе. Однако каких-либо решений в отношении идеи массового противотанкового самолета не приняли (9653).</w:t>
      </w:r>
    </w:p>
    <w:p w14:paraId="0A9CA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четыре опытные машины отправили на полигон авиационных вооружений для отработки тактики их применения (Обычно упоминается и пятый "Пегас", но, судя по всему, этот образец использовали для статиспытаний).</w:t>
      </w:r>
    </w:p>
    <w:p w14:paraId="36236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Каких-либо подробностей о дальнейшей судьбе построенных самолетов не имеется, надо полагать, что к концу лета на затее поставили крест. Причин тому предостаточно. Во-первых, слишком грандиозной была программа: 15 тысяч самолетов, столько же летчиков, да еще 30 тысяч авиамоторов - эти цифры не всякий разум мог переварить безболезненно.</w:t>
      </w:r>
    </w:p>
    <w:p w14:paraId="07B44C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Понятно, что все, соприкоснувшиеся с программой "Пегас", испытывали нерешительность при принятии решений и стремление не торопиться. Скорее всего, именно поэтому постройка и испытания опытных самолетов затянулись до второй половины 1943-го.</w:t>
      </w:r>
    </w:p>
    <w:p w14:paraId="2AF40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на фронт во все более ощутимых количествах поступали танки Т-34 и штурмовики Ил-2, которые эффективно противостояли бронетехнике противника. Этим реальным образцам вооружения и уделялось основное внимание.</w:t>
      </w:r>
    </w:p>
    <w:p w14:paraId="6EFFA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основных причин невозможности массовой постройки "Пегасов" называлось две. Летчики-испытатели считали, что мощности двух М-11 для полноценных боевых действий недостаточно, а руководство авиапромышленности не видело возможности изыскать или построить такое огромное количество моторов (9653).</w:t>
      </w:r>
    </w:p>
    <w:p w14:paraId="616CB8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"ПЕГАСА"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A907A5" w:rsidRPr="00271E51" w14:paraId="654C6D57" w14:textId="77777777" w:rsidTr="00ED5B0A">
        <w:tc>
          <w:tcPr>
            <w:tcW w:w="4261" w:type="dxa"/>
          </w:tcPr>
          <w:p w14:paraId="2300E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4261" w:type="dxa"/>
          </w:tcPr>
          <w:p w14:paraId="73F3A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8,784*</w:t>
            </w:r>
          </w:p>
        </w:tc>
      </w:tr>
      <w:tr w:rsidR="00A907A5" w:rsidRPr="00271E51" w14:paraId="41F1734C" w14:textId="77777777" w:rsidTr="00ED5B0A">
        <w:tc>
          <w:tcPr>
            <w:tcW w:w="4261" w:type="dxa"/>
          </w:tcPr>
          <w:p w14:paraId="400B9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4261" w:type="dxa"/>
          </w:tcPr>
          <w:p w14:paraId="16AE90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12,63</w:t>
            </w:r>
          </w:p>
        </w:tc>
      </w:tr>
      <w:tr w:rsidR="00A907A5" w:rsidRPr="00271E51" w14:paraId="591F67A8" w14:textId="77777777" w:rsidTr="00ED5B0A">
        <w:tc>
          <w:tcPr>
            <w:tcW w:w="4261" w:type="dxa"/>
          </w:tcPr>
          <w:p w14:paraId="66E10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4261" w:type="dxa"/>
          </w:tcPr>
          <w:p w14:paraId="63268D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26,6</w:t>
            </w:r>
          </w:p>
        </w:tc>
      </w:tr>
      <w:tr w:rsidR="00A907A5" w:rsidRPr="00271E51" w14:paraId="486CFE58" w14:textId="77777777" w:rsidTr="00ED5B0A">
        <w:tc>
          <w:tcPr>
            <w:tcW w:w="4261" w:type="dxa"/>
          </w:tcPr>
          <w:p w14:paraId="24D87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4261" w:type="dxa"/>
          </w:tcPr>
          <w:p w14:paraId="1F923E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r>
      <w:tr w:rsidR="00A907A5" w:rsidRPr="00271E51" w14:paraId="55162438" w14:textId="77777777" w:rsidTr="00ED5B0A">
        <w:tc>
          <w:tcPr>
            <w:tcW w:w="4261" w:type="dxa"/>
          </w:tcPr>
          <w:p w14:paraId="18663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кг</w:t>
            </w:r>
          </w:p>
        </w:tc>
        <w:tc>
          <w:tcPr>
            <w:tcW w:w="4261" w:type="dxa"/>
          </w:tcPr>
          <w:p w14:paraId="258407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2150**</w:t>
            </w:r>
          </w:p>
        </w:tc>
      </w:tr>
      <w:tr w:rsidR="00A907A5" w:rsidRPr="00271E51" w14:paraId="31B487E1" w14:textId="77777777" w:rsidTr="00ED5B0A">
        <w:tc>
          <w:tcPr>
            <w:tcW w:w="4261" w:type="dxa"/>
          </w:tcPr>
          <w:p w14:paraId="4D7864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км</w:t>
            </w:r>
          </w:p>
        </w:tc>
        <w:tc>
          <w:tcPr>
            <w:tcW w:w="4261" w:type="dxa"/>
          </w:tcPr>
          <w:p w14:paraId="1EB8C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r>
      <w:tr w:rsidR="00A907A5" w:rsidRPr="00271E51" w14:paraId="4F50D993" w14:textId="77777777" w:rsidTr="00ED5B0A">
        <w:tc>
          <w:tcPr>
            <w:tcW w:w="4261" w:type="dxa"/>
          </w:tcPr>
          <w:p w14:paraId="75CDA0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4261" w:type="dxa"/>
          </w:tcPr>
          <w:p w14:paraId="6C8F4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2620 Скорость макс., км/ч</w:t>
            </w:r>
          </w:p>
        </w:tc>
      </w:tr>
      <w:tr w:rsidR="00A907A5" w:rsidRPr="00271E51" w14:paraId="4A3CA858" w14:textId="77777777" w:rsidTr="00ED5B0A">
        <w:tc>
          <w:tcPr>
            <w:tcW w:w="4261" w:type="dxa"/>
          </w:tcPr>
          <w:p w14:paraId="6BB7C4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4261" w:type="dxa"/>
          </w:tcPr>
          <w:p w14:paraId="0404E1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w:t>
            </w:r>
          </w:p>
        </w:tc>
      </w:tr>
      <w:tr w:rsidR="00A907A5" w:rsidRPr="00271E51" w14:paraId="79E7E840" w14:textId="77777777" w:rsidTr="00ED5B0A">
        <w:tc>
          <w:tcPr>
            <w:tcW w:w="4261" w:type="dxa"/>
          </w:tcPr>
          <w:p w14:paraId="141302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2500 м</w:t>
            </w:r>
          </w:p>
        </w:tc>
        <w:tc>
          <w:tcPr>
            <w:tcW w:w="4261" w:type="dxa"/>
          </w:tcPr>
          <w:p w14:paraId="38463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w:t>
            </w:r>
          </w:p>
        </w:tc>
      </w:tr>
      <w:tr w:rsidR="00A907A5" w:rsidRPr="00271E51" w14:paraId="024FB612" w14:textId="77777777" w:rsidTr="00ED5B0A">
        <w:tc>
          <w:tcPr>
            <w:tcW w:w="4261" w:type="dxa"/>
          </w:tcPr>
          <w:p w14:paraId="50C5D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w:t>
            </w:r>
          </w:p>
        </w:tc>
        <w:tc>
          <w:tcPr>
            <w:tcW w:w="4261" w:type="dxa"/>
          </w:tcPr>
          <w:p w14:paraId="50204D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 Время набора высоты 1000м, мин. 8**"</w:t>
            </w:r>
          </w:p>
        </w:tc>
      </w:tr>
      <w:tr w:rsidR="00A907A5" w:rsidRPr="00271E51" w14:paraId="09CFF23D" w14:textId="77777777" w:rsidTr="00ED5B0A">
        <w:tc>
          <w:tcPr>
            <w:tcW w:w="4261" w:type="dxa"/>
          </w:tcPr>
          <w:p w14:paraId="47087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км</w:t>
            </w:r>
          </w:p>
        </w:tc>
        <w:tc>
          <w:tcPr>
            <w:tcW w:w="4261" w:type="dxa"/>
          </w:tcPr>
          <w:p w14:paraId="2BFFA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r>
    </w:tbl>
    <w:p w14:paraId="098CBA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 8,41 м у самолета "04". ** Максимальный вес - 2320 кг (9653).</w:t>
      </w:r>
    </w:p>
    <w:p w14:paraId="76DF28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00B21" w14:textId="77777777" w:rsidR="0086150A" w:rsidRPr="00271E51" w:rsidRDefault="0086150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июле 1943 г. по сокращенной программе проходили испытания самолета «Пегас» № 04.</w:t>
      </w:r>
    </w:p>
    <w:p w14:paraId="0487E8CD" w14:textId="77777777" w:rsidR="0086150A" w:rsidRPr="00271E51" w:rsidRDefault="0086150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Экземпляр № 04 значительно отличался от всех дру</w:t>
      </w:r>
      <w:r w:rsidRPr="00271E51">
        <w:rPr>
          <w:color w:val="000000" w:themeColor="text1"/>
          <w:sz w:val="16"/>
          <w:szCs w:val="16"/>
        </w:rPr>
        <w:softHyphen/>
        <w:t>гих и из числа построенных опытных самолетов «Пе</w:t>
      </w:r>
      <w:r w:rsidRPr="00271E51">
        <w:rPr>
          <w:color w:val="000000" w:themeColor="text1"/>
          <w:sz w:val="16"/>
          <w:szCs w:val="16"/>
        </w:rPr>
        <w:softHyphen/>
        <w:t>гас» представлял наибольший интерес. На нем для улучшения обзора вперед-вниз и обеспечения прицельного бомбометания носо</w:t>
      </w:r>
      <w:r w:rsidRPr="00271E51">
        <w:rPr>
          <w:color w:val="000000" w:themeColor="text1"/>
          <w:sz w:val="16"/>
          <w:szCs w:val="16"/>
        </w:rPr>
        <w:softHyphen/>
        <w:t>вая часть фюзеляжа была укорочена вплоть до бро- некабины. В полу кабины прямо под ногами летчи</w:t>
      </w:r>
      <w:r w:rsidRPr="00271E51">
        <w:rPr>
          <w:color w:val="000000" w:themeColor="text1"/>
          <w:sz w:val="16"/>
          <w:szCs w:val="16"/>
        </w:rPr>
        <w:softHyphen/>
        <w:t>ка сделали вырез, закрытый плексигласом, и уста</w:t>
      </w:r>
      <w:r w:rsidRPr="00271E51">
        <w:rPr>
          <w:color w:val="000000" w:themeColor="text1"/>
          <w:sz w:val="16"/>
          <w:szCs w:val="16"/>
        </w:rPr>
        <w:softHyphen/>
        <w:t>новили бомбовый прицел. Угол обзора летчика вперед-вниз возрос до 55°. Пулемет УБК перенесли под фюзеляж. Теперь все вооружение крепилось только снизу, на съемном лафете. Для уменьшения вероятности пожара низ фюзеляжа в районе под</w:t>
      </w:r>
      <w:r w:rsidRPr="00271E51">
        <w:rPr>
          <w:color w:val="000000" w:themeColor="text1"/>
          <w:sz w:val="16"/>
          <w:szCs w:val="16"/>
        </w:rPr>
        <w:softHyphen/>
        <w:t>вески вооружения обшивался металлом.</w:t>
      </w:r>
    </w:p>
    <w:p w14:paraId="6CFAC4F4" w14:textId="77777777" w:rsidR="0086150A" w:rsidRPr="00271E51" w:rsidRDefault="0086150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улучшения взлетно-посадочных качеств и повышения маневренности на малых скоростях в крыле между моторами и фюзеляжем установили дополнительные неподвижные предкрылки, а стык крыла и фюзеляжа в районе задней кромки облаго</w:t>
      </w:r>
      <w:r w:rsidRPr="00271E51">
        <w:rPr>
          <w:color w:val="000000" w:themeColor="text1"/>
          <w:sz w:val="16"/>
          <w:szCs w:val="16"/>
        </w:rPr>
        <w:softHyphen/>
        <w:t>родили мощным зализом простейших форм.</w:t>
      </w:r>
    </w:p>
    <w:p w14:paraId="6B62C597" w14:textId="77777777" w:rsidR="0086150A" w:rsidRPr="00271E51" w:rsidRDefault="0086150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w:t>
      </w:r>
      <w:r w:rsidRPr="00271E51">
        <w:rPr>
          <w:color w:val="000000" w:themeColor="text1"/>
          <w:sz w:val="16"/>
          <w:szCs w:val="16"/>
        </w:rPr>
        <w:softHyphen/>
        <w:t>знавалось улучшение обзора, повышение летных данных и маневренности. Появилась возможность полета при одном работающем моторе. Для про</w:t>
      </w:r>
      <w:r w:rsidRPr="00271E51">
        <w:rPr>
          <w:color w:val="000000" w:themeColor="text1"/>
          <w:sz w:val="16"/>
          <w:szCs w:val="16"/>
        </w:rPr>
        <w:softHyphen/>
        <w:t>верки взлетно-посадочных качеств была выпол</w:t>
      </w:r>
      <w:r w:rsidRPr="00271E51">
        <w:rPr>
          <w:color w:val="000000" w:themeColor="text1"/>
          <w:sz w:val="16"/>
          <w:szCs w:val="16"/>
        </w:rPr>
        <w:softHyphen/>
        <w:t>нена посадка с разворотом на 180° при остановке обоих моторов на взлете с бомбовой нагрузкой 500 кг.</w:t>
      </w:r>
    </w:p>
    <w:p w14:paraId="474322EC" w14:textId="77777777" w:rsidR="0086150A" w:rsidRPr="00271E51" w:rsidRDefault="0086150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Однако надобности в таком самолете ВВС КА не испытывали. На вооружение начали поступать «тан</w:t>
      </w:r>
      <w:r w:rsidRPr="00271E51">
        <w:rPr>
          <w:color w:val="000000" w:themeColor="text1"/>
          <w:sz w:val="16"/>
          <w:szCs w:val="16"/>
        </w:rPr>
        <w:softHyphen/>
        <w:t>ковые» Як-9т и Ил-2 с 37-мм пушками 11П, превос</w:t>
      </w:r>
      <w:r w:rsidRPr="00271E51">
        <w:rPr>
          <w:color w:val="000000" w:themeColor="text1"/>
          <w:sz w:val="16"/>
          <w:szCs w:val="16"/>
        </w:rPr>
        <w:softHyphen/>
        <w:t>ходящие «Пегас» по летным данным, а с запуском в массовое производство противотанковой бомбы кумулятивного действия ПТАБ-2,5-1,5 резко вырос</w:t>
      </w:r>
      <w:r w:rsidRPr="00271E51">
        <w:rPr>
          <w:color w:val="000000" w:themeColor="text1"/>
          <w:sz w:val="16"/>
          <w:szCs w:val="16"/>
        </w:rPr>
        <w:softHyphen/>
        <w:t>ла эффективность действий по танкам обычных се</w:t>
      </w:r>
      <w:r w:rsidRPr="00271E51">
        <w:rPr>
          <w:color w:val="000000" w:themeColor="text1"/>
          <w:sz w:val="16"/>
          <w:szCs w:val="16"/>
        </w:rPr>
        <w:softHyphen/>
        <w:t>рийных Ил-2. Об идее противотанковой воздушной армии потихоньку забыли (17500).</w:t>
      </w:r>
    </w:p>
    <w:p w14:paraId="759F9551" w14:textId="77777777" w:rsidR="0086150A" w:rsidRPr="00271E51" w:rsidRDefault="0086150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303F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НИИ ВВС КА разработал так</w:t>
      </w:r>
      <w:r w:rsidRPr="00271E51">
        <w:rPr>
          <w:rFonts w:ascii="Times New Roman" w:hAnsi="Times New Roman"/>
          <w:color w:val="000000" w:themeColor="text1"/>
          <w:sz w:val="16"/>
          <w:szCs w:val="16"/>
        </w:rPr>
        <w:softHyphen/>
        <w:t>тико-технические тре</w:t>
      </w:r>
      <w:r w:rsidRPr="00271E51">
        <w:rPr>
          <w:rFonts w:ascii="Times New Roman" w:hAnsi="Times New Roman"/>
          <w:color w:val="000000" w:themeColor="text1"/>
          <w:sz w:val="16"/>
          <w:szCs w:val="16"/>
        </w:rPr>
        <w:softHyphen/>
        <w:t>бования (</w:t>
      </w:r>
      <w:r w:rsidRPr="00271E51">
        <w:rPr>
          <w:rFonts w:ascii="Times New Roman" w:hAnsi="Times New Roman"/>
          <w:color w:val="000000" w:themeColor="text1"/>
          <w:sz w:val="16"/>
          <w:szCs w:val="16"/>
          <w:lang w:val="en-US"/>
        </w:rPr>
        <w:t>III</w:t>
      </w:r>
      <w:r w:rsidRPr="00271E51">
        <w:rPr>
          <w:rFonts w:ascii="Times New Roman" w:hAnsi="Times New Roman"/>
          <w:color w:val="000000" w:themeColor="text1"/>
          <w:sz w:val="16"/>
          <w:szCs w:val="16"/>
        </w:rPr>
        <w:t>) к двухмо</w:t>
      </w:r>
      <w:r w:rsidRPr="00271E51">
        <w:rPr>
          <w:rFonts w:ascii="Times New Roman" w:hAnsi="Times New Roman"/>
          <w:color w:val="000000" w:themeColor="text1"/>
          <w:sz w:val="16"/>
          <w:szCs w:val="16"/>
        </w:rPr>
        <w:softHyphen/>
        <w:t>торному войсковому разведчику-корректировщику артиллерийского огня. Самолёт пред</w:t>
      </w:r>
      <w:r w:rsidRPr="00271E51">
        <w:rPr>
          <w:rFonts w:ascii="Times New Roman" w:hAnsi="Times New Roman"/>
          <w:color w:val="000000" w:themeColor="text1"/>
          <w:sz w:val="16"/>
          <w:szCs w:val="16"/>
        </w:rPr>
        <w:softHyphen/>
        <w:t>назначался для выполнения ближней разведки и корректировки артиллерийского огня и в отдельных условиях обстановки мог выполнять функцию бомбардировщика.</w:t>
      </w:r>
    </w:p>
    <w:p w14:paraId="04050E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По-видимому, данное задание поручили коллективу П.О. Сухого, поскольку в нояб</w:t>
      </w:r>
      <w:r w:rsidRPr="00271E51">
        <w:rPr>
          <w:rFonts w:ascii="Times New Roman" w:hAnsi="Times New Roman"/>
          <w:color w:val="000000" w:themeColor="text1"/>
          <w:sz w:val="16"/>
          <w:szCs w:val="16"/>
        </w:rPr>
        <w:softHyphen/>
        <w:t>ре 1943 г. в ОКБ завершили предварительную проработку проекта трехместного кор</w:t>
      </w:r>
      <w:r w:rsidRPr="00271E51">
        <w:rPr>
          <w:rFonts w:ascii="Times New Roman" w:hAnsi="Times New Roman"/>
          <w:color w:val="000000" w:themeColor="text1"/>
          <w:sz w:val="16"/>
          <w:szCs w:val="16"/>
        </w:rPr>
        <w:softHyphen/>
        <w:t>ректировщика с двумя двигателями воздушного охлаждения М-62, со следующими основными характеристиками:</w:t>
      </w:r>
    </w:p>
    <w:p w14:paraId="511695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самолёта, мм — 11250</w:t>
      </w:r>
    </w:p>
    <w:p w14:paraId="6A765D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 17760</w:t>
      </w:r>
    </w:p>
    <w:p w14:paraId="59E0BF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 45,0</w:t>
      </w:r>
    </w:p>
    <w:p w14:paraId="1E1C37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Полётная масса, кг — 5700</w:t>
      </w:r>
    </w:p>
    <w:p w14:paraId="3B8341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полёта, км/ч:</w:t>
      </w:r>
    </w:p>
    <w:p w14:paraId="35793B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 (на номинальном режиме) — 380</w:t>
      </w:r>
    </w:p>
    <w:p w14:paraId="06F6A1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Н=2000 м — 415</w:t>
      </w:r>
    </w:p>
    <w:p w14:paraId="3E93EB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подъёма на Н=2000 м, мин — 3,0</w:t>
      </w:r>
    </w:p>
    <w:p w14:paraId="4BBBF8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 —8000</w:t>
      </w:r>
    </w:p>
    <w:p w14:paraId="053799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дальность полёта, км  — 925</w:t>
      </w:r>
    </w:p>
    <w:p w14:paraId="41035E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393DD2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вперёд - пулемёт 12,7 мм</w:t>
      </w:r>
    </w:p>
    <w:p w14:paraId="13C913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турельная установка - пулемёт 12,7 мм</w:t>
      </w:r>
    </w:p>
    <w:p w14:paraId="23F4E3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люковая установка - пулемёт 12,7 мм</w:t>
      </w:r>
    </w:p>
    <w:p w14:paraId="04C10B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Суммарный боекомплект - 750 патронов (11696).</w:t>
      </w:r>
    </w:p>
    <w:p w14:paraId="7CEC3A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80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1943-го на заводе №23 Ил-4 сняли с производства и его сборку организовали на заводе №456 (7666).</w:t>
      </w:r>
    </w:p>
    <w:p w14:paraId="1BFC9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BBE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к вооружению некоторых Ил-4 добавился гранатомет ДАГ-10. Он выбрасывал гранаты АГ-2, снабженные парашютом. Такая граната через три-четыре секунды разрывалась за хвостом бомбардировщика, эффективно “выкуривая” немецкие истребители из излюбленной позиции за хвостом, откуда они, будучи почти неуязвимыми, эффективно расстреливали бомбардировщики. Все эти мероприятия стабильно поднимали взлетный вес самолета. Соответственно падала максимальная скорость и затягивался взлет. С целью борьбы с последним ввели промежуточное (взлетное) положение щитков. На самолетах завода №126 фиксацию щитков под углом 17° внедрили на 101-й серии. На взлете щитки убирались после достижения скорости 160-200 км/ч. Разбег действительно сократился, но зато усилилась и без того неуемная тенденция к развороту на взлете (7666).</w:t>
      </w:r>
    </w:p>
    <w:p w14:paraId="775CC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82B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заводы № 39 и 126 стали делать Ил-4 с крылом со стрелкой. Но практически нововве</w:t>
      </w:r>
      <w:r w:rsidRPr="00271E51">
        <w:rPr>
          <w:rFonts w:ascii="Times New Roman" w:hAnsi="Times New Roman"/>
          <w:color w:val="000000" w:themeColor="text1"/>
          <w:sz w:val="16"/>
          <w:szCs w:val="16"/>
        </w:rPr>
        <w:softHyphen/>
        <w:t>дения появлялись на серийных машинах не одновременно, а последовательно. Завод № 126 ввел костыльное колесо 470x210 мм с удлиненной стойкой на 121-й серии, а крыло «со стрелкой» — на 128-й. На последней тогда появи</w:t>
      </w:r>
      <w:r w:rsidRPr="00271E51">
        <w:rPr>
          <w:rFonts w:ascii="Times New Roman" w:hAnsi="Times New Roman"/>
          <w:color w:val="000000" w:themeColor="text1"/>
          <w:sz w:val="16"/>
          <w:szCs w:val="16"/>
        </w:rPr>
        <w:softHyphen/>
        <w:t>лись еще и элероны, обшитые полотном вместо дюралевого листа и увеличен</w:t>
      </w:r>
      <w:r w:rsidRPr="00271E51">
        <w:rPr>
          <w:rFonts w:ascii="Times New Roman" w:hAnsi="Times New Roman"/>
          <w:color w:val="000000" w:themeColor="text1"/>
          <w:sz w:val="16"/>
          <w:szCs w:val="16"/>
        </w:rPr>
        <w:softHyphen/>
        <w:t>ные по хорде, а также рули высоты с аэ</w:t>
      </w:r>
      <w:r w:rsidRPr="00271E51">
        <w:rPr>
          <w:rFonts w:ascii="Times New Roman" w:hAnsi="Times New Roman"/>
          <w:color w:val="000000" w:themeColor="text1"/>
          <w:sz w:val="16"/>
          <w:szCs w:val="16"/>
        </w:rPr>
        <w:softHyphen/>
        <w:t>родинамической компенсацией. Поскольку «стрелка» сдвинула центр тя</w:t>
      </w:r>
      <w:r w:rsidRPr="00271E51">
        <w:rPr>
          <w:rFonts w:ascii="Times New Roman" w:hAnsi="Times New Roman"/>
          <w:color w:val="000000" w:themeColor="text1"/>
          <w:sz w:val="16"/>
          <w:szCs w:val="16"/>
        </w:rPr>
        <w:softHyphen/>
        <w:t>жести, то вынос шасси одновременно уменьшили на 120 мм. (10734,78).</w:t>
      </w:r>
    </w:p>
    <w:p w14:paraId="7D8615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69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в ГСКБ-47 разработали новую конструкцию корпуса ФАБ-100сч с литой резьбой головного очка. Опытную партию этих авиабомб испытали, но боеприпасы признали не выдержавшими проверки из-за плохой устойчивости на траектории, хотя трудно представить себе каким образом резьба головного очка могла так повлиять на это (7453).</w:t>
      </w:r>
    </w:p>
    <w:p w14:paraId="42F6BF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9C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Каспийском море закончились испытания мин АМД-2-500 и АМД-2-1000 с двухканальным взрывателем, которые начались в декабре 1942. Их приняли на вооружение в январе 1945 (1085,176).</w:t>
      </w:r>
    </w:p>
    <w:p w14:paraId="64FD2E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FA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июля 1943 года на Черном море торпедной подвеской начали оснащать самолеты "Бостон" 36-го полка (3457,107).</w:t>
      </w:r>
    </w:p>
    <w:p w14:paraId="6D1A5F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2C528"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г. завод № 22 приступил к отработке установки на Пе-2 двух АФА-33/100 с объективами фокусным расстоянием 1 000 мм. Они давали особо высокое качество снимков, но были дефицитными и ставились лишь на единичные самолеты (22828).</w:t>
      </w:r>
    </w:p>
    <w:p w14:paraId="0C7275BD" w14:textId="77777777" w:rsidR="00CE7647" w:rsidRPr="00271E51" w:rsidRDefault="00CE7647" w:rsidP="00271E51">
      <w:pPr>
        <w:spacing w:after="0" w:line="240" w:lineRule="auto"/>
        <w:jc w:val="both"/>
        <w:rPr>
          <w:rFonts w:ascii="Times New Roman" w:hAnsi="Times New Roman"/>
          <w:color w:val="0070C0"/>
          <w:sz w:val="16"/>
          <w:szCs w:val="16"/>
        </w:rPr>
      </w:pPr>
    </w:p>
    <w:p w14:paraId="27C30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закончили переделку Ту-2 № 100716, который в наибольшей степени довели до идеала "стандартного типа". Для доводки "стандартного типа", обозначенного Ту-2С, использовали три бомбардировщика 7-й серии, перегнанные в Москву из Омска. Их доработку осуществляли на заводе № 156.</w:t>
      </w:r>
    </w:p>
    <w:p w14:paraId="7EE767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этой машине не только внесли упрощения, предусмотренные концепцией "стандартного типа", но и ввели усовершенствования, продиктованные требованиями ВВС и опытом боевого применения Ту-2 на фронте. Загерметизировали внутри стыки крыла с фюзеляжем и мотогондолами. Это уменьшило аэродинамическое сопротивление и положительно сказалось на пожарной безопасности. Носок крыла сделали легкосъемным, упростив доступ к проводке и гидравлическим магистралям у первого лонжерона. У места стрелка с каждой стороны прорезали по два дополнительных круглых окна (их стало по три). Крыло и фюзеляж зашпаклевали и отполировали.</w:t>
      </w:r>
    </w:p>
    <w:p w14:paraId="0E6DBD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Температурный режим каждого мотора теперь регулировался всего одним рычагом, который приводил в действие створки капотов, лобовые жалюзи и заслонки маслоради- аторов. За счет уменьшения давления в амортизаторах шасси уменьшили "скачки" самолета при грубой посадке. Сочли лишним и демонтировали стояночный механический тормоз - вполне можно было обойтись традиционными колодками. Увеличили запас кислорода; на машине теперь имелось восемь баллонов по 4 л вместо четырех.</w:t>
      </w:r>
    </w:p>
    <w:p w14:paraId="23033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самолета складывалось из двух пушек ШВАК (по 150 патронов на каждую) и трех пулеметов УБ - в установках БУШ у штурмана (200 патронов), ВУБ-2 у стрелка-радиста (250 патронов) и ЛУ-УБТ у стрелка. В последней боезапас увеличили до 350 патронов. Пусковые балки для РС-82 и управление ракетным оружием сняли. Зато предусмотрели химическое вооружение, ранее отсутствовавшее. Теперь бомбардировщик мог нести универсальные (наполняемые либо растворами отравляющих веществ, либо дымовой смесью) приборы УХАП- 500 или кассеты АБК-П-500, которые могли наполняться мелкими бомбами или ампулами АЖ-2 (с отравляющими веществами или самовоспламеняющейся жидкостью КС, 136 штук в кассете).</w:t>
      </w:r>
    </w:p>
    <w:p w14:paraId="4CC551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Часть оборудования заменили новым, более совершенных образцов. Так, вместо радиостанции РСБ-3 смонтировали РСБ-Збис, вместо радиополукомпаса РПК-7 - РПК-10, вместо переговорного устройства СПУ-4бис - СПУФ-4, вместо фотоаппарата АФА-Б - АФА-БИ (11988).</w:t>
      </w:r>
    </w:p>
    <w:p w14:paraId="48CD5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6843B" w14:textId="77777777" w:rsidR="00CE7647" w:rsidRPr="00271E51" w:rsidRDefault="00CE764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г. первым дополнительный бензобак получил самолет Ту-2 № 100406. Увеличенный запас топлива обеспечивал практическую дальность в 2130 км. Данную машину укомплектовали двумя АФА-3с/50 на качающейся установке; один аппарат наклонялся вправо, а другой – влево. Этот Ту-2р с 18 декабря 1943 г. по 20 марта 1944 г. проходил испытания в НИИ специальных служб ВВС (21059).</w:t>
      </w:r>
    </w:p>
    <w:p w14:paraId="7B7B9CE1" w14:textId="77777777" w:rsidR="00CE7647" w:rsidRPr="00271E51" w:rsidRDefault="00CE7647" w:rsidP="00271E51">
      <w:pPr>
        <w:spacing w:after="0" w:line="240" w:lineRule="auto"/>
        <w:jc w:val="both"/>
        <w:rPr>
          <w:rFonts w:ascii="Times New Roman" w:hAnsi="Times New Roman"/>
          <w:color w:val="0070C0"/>
          <w:sz w:val="16"/>
          <w:szCs w:val="16"/>
        </w:rPr>
      </w:pPr>
    </w:p>
    <w:p w14:paraId="07D4EE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на московском заводе № 156 для реализации требований Государственного Комитета Обороны от 17 июля серийный Ту-2 № 716 оснастили, прежде всего, новыми двигателями АШ-82ФН с непосредственным впрыском топлива и воздушными винтами АВ-5-167А (на серийных самолетах - АВ-5В-167). Затем герметизировали стыки консолей крыла с центропланом и мотогондолами, улучшили отделку поверхности крыла, стабилизатора и фюзеляжа зашпатле- вав все вмятины и отлакировав их. Сняли тормозные решетки, а носок центроплана сделали легкосъемным, облегчив доступ к тягам управления двигателями.</w:t>
      </w:r>
    </w:p>
    <w:p w14:paraId="0EBBFF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для улучшения обзора у стрелка люковой установки сделали два бортовых круглых окна. Ранее подвижный стабилизатор зафиксировали под углом 1 градус 10 минут. Сняли стояночный тормоз, упростили гидросистему и выполнили ряд других доработок. У стрелка-радиста заменили пулемет ШКАС на установке ВУБ-2 "Березиным" калибра 12,7 мм. Такие же пулеметы имелись в люковой установке и у штурмана, а для стрельбы вперед - два орудия ШВАК. Снизили трудоемкость изготовления планера 15-20%.</w:t>
      </w:r>
    </w:p>
    <w:p w14:paraId="5D448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машину передали в НИИ ВВС. На этапе государственных испытаний ведущими были инженер А.А. Соколов, летчики М.А. Нюхтиков и В.В. Лисицын. Испытания показали, что максимальная скорость увеличилась с 444 до 509 км/ч у земли, а на высоте - с 521 км/ч (3200 метров) до 547 км/ч (5400 метров). Практический потолок возрос с 9000 до 9500 метров, а дальность - на 120 км. Так появился Ту-2С (стандартный), а самолет № 716 стал его эталоном.</w:t>
      </w:r>
    </w:p>
    <w:p w14:paraId="29FA87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этой странице и справа: опытный экземпляр Ту-2С, переделанный из самолета Ня 100716 Омского авиазавода в июле 1943 г.</w:t>
      </w:r>
    </w:p>
    <w:p w14:paraId="0B291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Бомбардировщик облетали летчики-испытатели НИИ ВВС П.М. Стефановский, В.И. Жданов и Г.А. Ашитков, штурманы-испытатели Литвинчук и А.И. Старых. По их общему мнению обновленный Ту-2 хотя и обладал рядом дефектов, в том числе и унаследованных от предшественника, он все же заметно превосходил не только своего предшественника, но и Пе-2 с моторами М-82. Хотя, путевая устойчивость Ту-2 оставляла желать лучшего, а кабина пилота не отличалась комфортом и удобством (в разумных пределах конечно). Недостаточным был и обзор у штурмана, а из-за недоработанного фонаря его рабочее место постоянно задувало в полете. </w:t>
      </w:r>
    </w:p>
    <w:p w14:paraId="4373F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бомбовая нагрузка ос- опытного самолета талась прежняя - 2000 кг, но в случае при- Ту-2С N° 100716 менения самолета по переднему краю обороны противника Ту-2С мог поднимать ФАБ-3000.</w:t>
      </w:r>
    </w:p>
    <w:p w14:paraId="52DD5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государственных испытаний провели несколько воздушных боев с одним из лучших истребителей люфтваффе FW 190А-4. На наборе высоты под углом 45 градусов "немец" только в конце горки в 1000 метров догонял Ту-2С.</w:t>
      </w:r>
    </w:p>
    <w:p w14:paraId="11AEE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на высоте 1000 метров FW 190А-4 догонял Ту-2 и мог его атаковать, но сближение самолетов происходило очень медленно из-за небольшой разницы скоростей. Атака при догоне без преимуществ в высоте была возможна только строго в хвост, а спереди, повторить ее было очень трудно. Ту-2С за время разворота FW 190А-4 на 180 градусов уходил на 2,5-3 км, не оставляя немецкому пилоту шансов зайти в хвост.</w:t>
      </w:r>
    </w:p>
    <w:p w14:paraId="7EF866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преимущество FW 190А-4 в скорости возрастало. На 4500 метрах истребителю вести воздушный бой с бомбардировщиком становилось легче. Но, несмотря на меньший радиус виража, вражеский самолет все время находился в секторе обстрела верхних пулеметов Ту-2С. Но что интересно, от Ла-5 бомбардировщик не мог оторваться на всех высотах, поскольку атаки советского истребителя были более стремительны, чем FW 190А-4.</w:t>
      </w:r>
    </w:p>
    <w:p w14:paraId="1A8C7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Появление более мощного двигателя АШ-83 не прошло незамеченным в ОКБ Туполева и их установили на Ту-2С № 716 (12035).</w:t>
      </w:r>
    </w:p>
    <w:p w14:paraId="1A013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1F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июльским 1943 г приказом НКАП Ту-2С запустили в серию на заводе № 23 в Москве, но - в упрощенном виде с минимальным количеством гидроприводов органов управления и электрических агрегатов, без тормозных решеток под крылом, укороченными электропроводкой и трубопроводами </w:t>
      </w:r>
      <w:r w:rsidRPr="00271E51">
        <w:rPr>
          <w:rFonts w:ascii="Times New Roman" w:hAnsi="Times New Roman"/>
          <w:color w:val="000000" w:themeColor="text1"/>
          <w:sz w:val="16"/>
          <w:szCs w:val="16"/>
        </w:rPr>
        <w:lastRenderedPageBreak/>
        <w:t>гидравлической системы. Экономили на всем. При этом оговаривалось, в частности, что максимальная скорость бомбардировщика должна быть не ниже 550 км/ч на высоте 5500 метров, практический потолок - 9000 метров, а дальность - 2000 км.</w:t>
      </w:r>
    </w:p>
    <w:p w14:paraId="3AFBDB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два бомбардировщика планировалось выпустить в сентябре 1943 г., в октябре - 5, в ноябре -Шив декабре - 15. Для выполнения плана со 166-го завода и из ВВС в подмосковные Фили передали пять Ту-2. Кроме этого из Омска поступило четыре фюзеляжа и восемь центропланов, десять комплектов крыльев и восемь - оперения. Но все они потребовали доработок и изготовления дополнительно 2000 новых деталей.</w:t>
      </w:r>
    </w:p>
    <w:p w14:paraId="6B337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сдачи машин заказчику не хватало двигателей и колес. В результате на первые Ту-2С пришлось ставить М-82ФН, оставшиеся от Ил-4, но без помп и с другой редукцией воздушного винта и колеса с американских машин. В ноябре завод № 19 отгрузил в Фили десять моторов с необходимой редукцией 9/16. К этому времени 23-й завод имел лишь 12 двигателей, установленных на Ту-2С. После поступления на вооружение этой машины, Ту-2, выпушенные Омским заводом, постепенно переводились в учебные, причем некоторые экземпляры переделывали в учебные спарки УТу-2.</w:t>
      </w:r>
    </w:p>
    <w:p w14:paraId="315DF7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бомбардировщика давалось трудно. По-прежнему, несмотря на оснащение предприятия американским оборудованием, поставленным по ленд-лизу, было много брака. Но постепенно все налаживалось. Рабочие приобретали необходимые навыки, выпуск самолетов становился более ритмичным.</w:t>
      </w:r>
    </w:p>
    <w:p w14:paraId="7CF9A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июне 1944 года был построен самолет № 16/7, в котором учли дефекты, отмеченные в акте по результатам государственных испытаний машины № 716. От машины № 18/11, испытанной в декабре 1944 года, самолет № 16/7 отличался увеличенной с 5,32 до 5,79 м2 площадью вертикального оперения, установкой автомата дозарядки гидроаккумулятора и усиленного хвостового колеса, герметизированным фонарем кабины пилота. На борту машины появился и доработанный бомбоприцел ОПБ-1Д, который благодаря автоматическому учету высоты и скорости полета позволял производить прицельное бомбометание без соблюдения заранее рассчитанного режима полета в диапазоне высот от 600 до 6000 метров при скорости ветра до 100 км/ч и путевой скорости самолета от 200 до 600 км/ч.</w:t>
      </w:r>
    </w:p>
    <w:p w14:paraId="0FB4F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по самолету были инженер В.А. Шубралов и летчик М.А. Нюхтиков. Самолет облетали летчики-испытатели НИИ ВВС П.М. Стефановский, В.И. Жданов, И.П. Пискунов и М.П. Субботин, штурманы - А.И. Старых, Н.П. Цветков и Литвинчук.</w:t>
      </w:r>
    </w:p>
    <w:p w14:paraId="2D4B3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был выполнен полет по маршруту Чкаловская - Саратов - Чкалов- ская со сбросом 1000 кг бомб на полигоне в районе Саратова. При взлетном весе 11 720 кг и 1960 кг топлива дальность полета получилась 2065 км.</w:t>
      </w:r>
    </w:p>
    <w:p w14:paraId="39C15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 Авария Ту-2 Me 25/60 вание НИИ ВВС определить наиболее не- сдвигателями АШ-82ФН защищенные зоны передней полусферы, 22 мая 1948 г. Выпущен необходимые для установки дополнитель- в апреле 1948 г. ного оборонительного вооружения. Для этого в феврале 1945 года летчик-испытатель И.Е. Голофастов, летавший на истребителе Bf 109G-6 и проведший воздушный бой с Ту-2С № 16/7, отмечал:</w:t>
      </w:r>
    </w:p>
    <w:p w14:paraId="491EE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"Атаки Ме-Ю9Г-6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408573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5AB50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Атаки Ту-2 в задней полусфере лучше всего вести сзади-сбоку с кабрирования, учитывая расположение оружия на самолете".</w:t>
      </w:r>
    </w:p>
    <w:p w14:paraId="6CF56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1DE3B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43D12D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4AB91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НИИ ВВС по результатам испытаний десяти самолетов отмечалось, в частности:</w:t>
      </w:r>
    </w:p>
    <w:p w14:paraId="39410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характеристики модифицированных Ту-2 соответствуют техническим условиям на их поставку ВВС.</w:t>
      </w:r>
    </w:p>
    <w:p w14:paraId="0FEF2C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657CA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A61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НИИ ВВС проходил испытания Ла-5 N 37212124 и получил дальность 820 км (1780).</w:t>
      </w:r>
    </w:p>
    <w:p w14:paraId="4CBA4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53F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при испытании в ЛИИ НКАП самолета Ла-5 №372124 на высоте Н=1000 м на наивыгоднейшем режиме получена дальность полета 820 км (10705).</w:t>
      </w:r>
    </w:p>
    <w:p w14:paraId="444063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42FE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на заводе №21 в результате поставки дефектных моторов М-82ФН вы</w:t>
      </w:r>
      <w:r w:rsidRPr="00271E51">
        <w:rPr>
          <w:rFonts w:ascii="Times New Roman" w:hAnsi="Times New Roman"/>
          <w:color w:val="000000" w:themeColor="text1"/>
          <w:sz w:val="16"/>
          <w:szCs w:val="16"/>
        </w:rPr>
        <w:softHyphen/>
        <w:t>пуск Ла-5 с М-82ФН фактически был остановлен. Директор завода №19 А.Г.Солдатов, а затем и нарком .А.И. Шахурин не согласились с этим ре</w:t>
      </w:r>
      <w:r w:rsidRPr="00271E51">
        <w:rPr>
          <w:rFonts w:ascii="Times New Roman" w:hAnsi="Times New Roman"/>
          <w:color w:val="000000" w:themeColor="text1"/>
          <w:sz w:val="16"/>
          <w:szCs w:val="16"/>
        </w:rPr>
        <w:softHyphen/>
        <w:t>шением, и спор был вынесен на ре</w:t>
      </w:r>
      <w:r w:rsidRPr="00271E51">
        <w:rPr>
          <w:rFonts w:ascii="Times New Roman" w:hAnsi="Times New Roman"/>
          <w:color w:val="000000" w:themeColor="text1"/>
          <w:sz w:val="16"/>
          <w:szCs w:val="16"/>
        </w:rPr>
        <w:softHyphen/>
        <w:t>шение члена ГКО секретаря ЦК ВКП(б) Г.М. Маленкова. Командование ВВС в лице гене</w:t>
      </w:r>
      <w:r w:rsidRPr="00271E51">
        <w:rPr>
          <w:rFonts w:ascii="Times New Roman" w:hAnsi="Times New Roman"/>
          <w:color w:val="000000" w:themeColor="text1"/>
          <w:sz w:val="16"/>
          <w:szCs w:val="16"/>
        </w:rPr>
        <w:softHyphen/>
        <w:t>ралов Фалалеева, Никитина, Шиманова и Репина мотивировало свое решение тем, что при комиссионных испытаниях моторов М-82ФН, прове</w:t>
      </w:r>
      <w:r w:rsidRPr="00271E51">
        <w:rPr>
          <w:rFonts w:ascii="Times New Roman" w:hAnsi="Times New Roman"/>
          <w:color w:val="000000" w:themeColor="text1"/>
          <w:sz w:val="16"/>
          <w:szCs w:val="16"/>
        </w:rPr>
        <w:softHyphen/>
        <w:t>денных на заводе №19 в мае-июле 1943 имели место 3 случая поломки ко</w:t>
      </w:r>
      <w:r w:rsidRPr="00271E51">
        <w:rPr>
          <w:rFonts w:ascii="Times New Roman" w:hAnsi="Times New Roman"/>
          <w:color w:val="000000" w:themeColor="text1"/>
          <w:sz w:val="16"/>
          <w:szCs w:val="16"/>
        </w:rPr>
        <w:softHyphen/>
        <w:t>ленчатых валов при режимной нара</w:t>
      </w:r>
      <w:r w:rsidRPr="00271E51">
        <w:rPr>
          <w:rFonts w:ascii="Times New Roman" w:hAnsi="Times New Roman"/>
          <w:color w:val="000000" w:themeColor="text1"/>
          <w:sz w:val="16"/>
          <w:szCs w:val="16"/>
        </w:rPr>
        <w:softHyphen/>
        <w:t>ботке от 14 до 37 часов. Кроме того, при проверке в июле коленчатых ва</w:t>
      </w:r>
      <w:r w:rsidRPr="00271E51">
        <w:rPr>
          <w:rFonts w:ascii="Times New Roman" w:hAnsi="Times New Roman"/>
          <w:color w:val="000000" w:themeColor="text1"/>
          <w:sz w:val="16"/>
          <w:szCs w:val="16"/>
        </w:rPr>
        <w:softHyphen/>
        <w:t>лов моторов, прошедших сдаточное испытание, но еще не имевших дли</w:t>
      </w:r>
      <w:r w:rsidRPr="00271E51">
        <w:rPr>
          <w:rFonts w:ascii="Times New Roman" w:hAnsi="Times New Roman"/>
          <w:color w:val="000000" w:themeColor="text1"/>
          <w:sz w:val="16"/>
          <w:szCs w:val="16"/>
        </w:rPr>
        <w:softHyphen/>
        <w:t>тельной режимной работы, были об</w:t>
      </w:r>
      <w:r w:rsidRPr="00271E51">
        <w:rPr>
          <w:rFonts w:ascii="Times New Roman" w:hAnsi="Times New Roman"/>
          <w:color w:val="000000" w:themeColor="text1"/>
          <w:sz w:val="16"/>
          <w:szCs w:val="16"/>
        </w:rPr>
        <w:softHyphen/>
        <w:t>наружены трещины на трех коленча</w:t>
      </w:r>
      <w:r w:rsidRPr="00271E51">
        <w:rPr>
          <w:rFonts w:ascii="Times New Roman" w:hAnsi="Times New Roman"/>
          <w:color w:val="000000" w:themeColor="text1"/>
          <w:sz w:val="16"/>
          <w:szCs w:val="16"/>
        </w:rPr>
        <w:softHyphen/>
        <w:t>тых валах. В 92-м ИАП 16-ой Воз</w:t>
      </w:r>
      <w:r w:rsidRPr="00271E51">
        <w:rPr>
          <w:rFonts w:ascii="Times New Roman" w:hAnsi="Times New Roman"/>
          <w:color w:val="000000" w:themeColor="text1"/>
          <w:sz w:val="16"/>
          <w:szCs w:val="16"/>
        </w:rPr>
        <w:softHyphen/>
        <w:t>душной Армии в июне 1943 года имел место случай поломки коленчатого вала на моторе М-82 № 6502317. Поэтому, делали они неприятный вы</w:t>
      </w:r>
      <w:r w:rsidRPr="00271E51">
        <w:rPr>
          <w:rFonts w:ascii="Times New Roman" w:hAnsi="Times New Roman"/>
          <w:color w:val="000000" w:themeColor="text1"/>
          <w:sz w:val="16"/>
          <w:szCs w:val="16"/>
        </w:rPr>
        <w:softHyphen/>
        <w:t>вод - «при допущении этих моторов в боевую эксплуатацию в частях ВВС КА вероятны случаи поломок колен</w:t>
      </w:r>
      <w:r w:rsidRPr="00271E51">
        <w:rPr>
          <w:rFonts w:ascii="Times New Roman" w:hAnsi="Times New Roman"/>
          <w:color w:val="000000" w:themeColor="text1"/>
          <w:sz w:val="16"/>
          <w:szCs w:val="16"/>
        </w:rPr>
        <w:softHyphen/>
        <w:t>чатых валов, что может подорвать до</w:t>
      </w:r>
      <w:r w:rsidRPr="00271E51">
        <w:rPr>
          <w:rFonts w:ascii="Times New Roman" w:hAnsi="Times New Roman"/>
          <w:color w:val="000000" w:themeColor="text1"/>
          <w:sz w:val="16"/>
          <w:szCs w:val="16"/>
        </w:rPr>
        <w:softHyphen/>
        <w:t>верие к самолетам Ла-5, пользующих</w:t>
      </w:r>
      <w:r w:rsidRPr="00271E51">
        <w:rPr>
          <w:rFonts w:ascii="Times New Roman" w:hAnsi="Times New Roman"/>
          <w:color w:val="000000" w:themeColor="text1"/>
          <w:sz w:val="16"/>
          <w:szCs w:val="16"/>
        </w:rPr>
        <w:softHyphen/>
        <w:t>ся хорошей репутацией у летного состава ВВС КА». К лету 1943 года самолет Ла-5 был уже хорошо освоен в войсках, избавился от многих первоначальных дефектов и недостатков, и заслужил весьма по</w:t>
      </w:r>
      <w:r w:rsidRPr="00271E51">
        <w:rPr>
          <w:rFonts w:ascii="Times New Roman" w:hAnsi="Times New Roman"/>
          <w:color w:val="000000" w:themeColor="text1"/>
          <w:sz w:val="16"/>
          <w:szCs w:val="16"/>
        </w:rPr>
        <w:softHyphen/>
        <w:t>ложительную оценку (10723).</w:t>
      </w:r>
    </w:p>
    <w:p w14:paraId="261750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№19 вынужден был всерьез заняться устранением этих дефектов и довольно быстро нашел решение.</w:t>
      </w:r>
    </w:p>
    <w:p w14:paraId="6776D8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Ранее выпускаемые цилиндры име</w:t>
      </w:r>
      <w:r w:rsidRPr="00271E51">
        <w:rPr>
          <w:rFonts w:ascii="Times New Roman" w:hAnsi="Times New Roman"/>
          <w:color w:val="000000" w:themeColor="text1"/>
          <w:sz w:val="16"/>
          <w:szCs w:val="16"/>
        </w:rPr>
        <w:softHyphen/>
        <w:t>ли следующие недостатки:</w:t>
      </w:r>
    </w:p>
    <w:p w14:paraId="5569BA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радиусах межреберного пере</w:t>
      </w:r>
      <w:r w:rsidRPr="00271E51">
        <w:rPr>
          <w:rFonts w:ascii="Times New Roman" w:hAnsi="Times New Roman"/>
          <w:color w:val="000000" w:themeColor="text1"/>
          <w:sz w:val="16"/>
          <w:szCs w:val="16"/>
        </w:rPr>
        <w:softHyphen/>
        <w:t>хода в гильзе цилиндра не имелось правильного сопряжения радиусов, вследствие чего получались подрезы гильзы, влияющие на образование трещин между ребрами.</w:t>
      </w:r>
    </w:p>
    <w:p w14:paraId="542D26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Механическая обработка внеш</w:t>
      </w:r>
      <w:r w:rsidRPr="00271E51">
        <w:rPr>
          <w:rFonts w:ascii="Times New Roman" w:hAnsi="Times New Roman"/>
          <w:color w:val="000000" w:themeColor="text1"/>
          <w:sz w:val="16"/>
          <w:szCs w:val="16"/>
        </w:rPr>
        <w:softHyphen/>
        <w:t>ней поверхности гильзы цилиндра между нижним ребром и фланцем крепления цилиндра к картеру окон</w:t>
      </w:r>
      <w:r w:rsidRPr="00271E51">
        <w:rPr>
          <w:rFonts w:ascii="Times New Roman" w:hAnsi="Times New Roman"/>
          <w:color w:val="000000" w:themeColor="text1"/>
          <w:sz w:val="16"/>
          <w:szCs w:val="16"/>
        </w:rPr>
        <w:softHyphen/>
        <w:t>чательно производилась резцом. Рис</w:t>
      </w:r>
      <w:r w:rsidRPr="00271E51">
        <w:rPr>
          <w:rFonts w:ascii="Times New Roman" w:hAnsi="Times New Roman"/>
          <w:color w:val="000000" w:themeColor="text1"/>
          <w:sz w:val="16"/>
          <w:szCs w:val="16"/>
        </w:rPr>
        <w:softHyphen/>
        <w:t>ки на внешней поверхности, оставля</w:t>
      </w:r>
      <w:r w:rsidRPr="00271E51">
        <w:rPr>
          <w:rFonts w:ascii="Times New Roman" w:hAnsi="Times New Roman"/>
          <w:color w:val="000000" w:themeColor="text1"/>
          <w:sz w:val="16"/>
          <w:szCs w:val="16"/>
        </w:rPr>
        <w:softHyphen/>
        <w:t>емые после резца, способствовали образованию трещин.</w:t>
      </w:r>
    </w:p>
    <w:p w14:paraId="6326CC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изготовление цилиндров были внесены конструктивные и техноло</w:t>
      </w:r>
      <w:r w:rsidRPr="00271E51">
        <w:rPr>
          <w:rFonts w:ascii="Times New Roman" w:hAnsi="Times New Roman"/>
          <w:color w:val="000000" w:themeColor="text1"/>
          <w:sz w:val="16"/>
          <w:szCs w:val="16"/>
        </w:rPr>
        <w:softHyphen/>
        <w:t>гические изменения, устраняющие вы</w:t>
      </w:r>
      <w:r w:rsidRPr="00271E51">
        <w:rPr>
          <w:rFonts w:ascii="Times New Roman" w:hAnsi="Times New Roman"/>
          <w:color w:val="000000" w:themeColor="text1"/>
          <w:sz w:val="16"/>
          <w:szCs w:val="16"/>
        </w:rPr>
        <w:softHyphen/>
        <w:t>явленные дефекты:</w:t>
      </w:r>
    </w:p>
    <w:p w14:paraId="6287F1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Произведено ступенчатое усиле</w:t>
      </w:r>
      <w:r w:rsidRPr="00271E51">
        <w:rPr>
          <w:rFonts w:ascii="Times New Roman" w:hAnsi="Times New Roman"/>
          <w:color w:val="000000" w:themeColor="text1"/>
          <w:sz w:val="16"/>
          <w:szCs w:val="16"/>
        </w:rPr>
        <w:softHyphen/>
        <w:t>ние основания ребра гильзы цилинд</w:t>
      </w:r>
      <w:r w:rsidRPr="00271E51">
        <w:rPr>
          <w:rFonts w:ascii="Times New Roman" w:hAnsi="Times New Roman"/>
          <w:color w:val="000000" w:themeColor="text1"/>
          <w:sz w:val="16"/>
          <w:szCs w:val="16"/>
        </w:rPr>
        <w:softHyphen/>
        <w:t>ра в месте радиуса перехода с со</w:t>
      </w:r>
      <w:r w:rsidRPr="00271E51">
        <w:rPr>
          <w:rFonts w:ascii="Times New Roman" w:hAnsi="Times New Roman"/>
          <w:color w:val="000000" w:themeColor="text1"/>
          <w:sz w:val="16"/>
          <w:szCs w:val="16"/>
        </w:rPr>
        <w:softHyphen/>
        <w:t>блюдением правильности сопряжения радиусов перехода и проверки каж</w:t>
      </w:r>
      <w:r w:rsidRPr="00271E51">
        <w:rPr>
          <w:rFonts w:ascii="Times New Roman" w:hAnsi="Times New Roman"/>
          <w:color w:val="000000" w:themeColor="text1"/>
          <w:sz w:val="16"/>
          <w:szCs w:val="16"/>
        </w:rPr>
        <w:softHyphen/>
        <w:t>дой пятой гильзы цилиндра на компа</w:t>
      </w:r>
      <w:r w:rsidRPr="00271E51">
        <w:rPr>
          <w:rFonts w:ascii="Times New Roman" w:hAnsi="Times New Roman"/>
          <w:color w:val="000000" w:themeColor="text1"/>
          <w:sz w:val="16"/>
          <w:szCs w:val="16"/>
        </w:rPr>
        <w:softHyphen/>
        <w:t>раторе.</w:t>
      </w:r>
    </w:p>
    <w:p w14:paraId="1441F8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окончательную обработку по</w:t>
      </w:r>
      <w:r w:rsidRPr="00271E51">
        <w:rPr>
          <w:rFonts w:ascii="Times New Roman" w:hAnsi="Times New Roman"/>
          <w:color w:val="000000" w:themeColor="text1"/>
          <w:sz w:val="16"/>
          <w:szCs w:val="16"/>
        </w:rPr>
        <w:softHyphen/>
        <w:t>верхности гильзы цилиндра от ниж</w:t>
      </w:r>
      <w:r w:rsidRPr="00271E51">
        <w:rPr>
          <w:rFonts w:ascii="Times New Roman" w:hAnsi="Times New Roman"/>
          <w:color w:val="000000" w:themeColor="text1"/>
          <w:sz w:val="16"/>
          <w:szCs w:val="16"/>
        </w:rPr>
        <w:softHyphen/>
        <w:t>него ребра до фланца крепления к картеру была введена шлифовка.</w:t>
      </w:r>
    </w:p>
    <w:p w14:paraId="41E686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Гильза цилиндра по диаметру была усилена на 0,6 мм.</w:t>
      </w:r>
    </w:p>
    <w:p w14:paraId="43B4C5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галтелях средней части колен</w:t>
      </w:r>
      <w:r w:rsidRPr="00271E51">
        <w:rPr>
          <w:rFonts w:ascii="Times New Roman" w:hAnsi="Times New Roman"/>
          <w:color w:val="000000" w:themeColor="text1"/>
          <w:sz w:val="16"/>
          <w:szCs w:val="16"/>
        </w:rPr>
        <w:softHyphen/>
        <w:t>чатого вала было выявлено недоста</w:t>
      </w:r>
      <w:r w:rsidRPr="00271E51">
        <w:rPr>
          <w:rFonts w:ascii="Times New Roman" w:hAnsi="Times New Roman"/>
          <w:color w:val="000000" w:themeColor="text1"/>
          <w:sz w:val="16"/>
          <w:szCs w:val="16"/>
        </w:rPr>
        <w:softHyphen/>
        <w:t>точно правильное сочленение радиу</w:t>
      </w:r>
      <w:r w:rsidRPr="00271E51">
        <w:rPr>
          <w:rFonts w:ascii="Times New Roman" w:hAnsi="Times New Roman"/>
          <w:color w:val="000000" w:themeColor="text1"/>
          <w:sz w:val="16"/>
          <w:szCs w:val="16"/>
        </w:rPr>
        <w:softHyphen/>
        <w:t>сов 15 и 4 мм, вследствие чего при термообработке щеки имелись оста</w:t>
      </w:r>
      <w:r w:rsidRPr="00271E51">
        <w:rPr>
          <w:rFonts w:ascii="Times New Roman" w:hAnsi="Times New Roman"/>
          <w:color w:val="000000" w:themeColor="text1"/>
          <w:sz w:val="16"/>
          <w:szCs w:val="16"/>
        </w:rPr>
        <w:softHyphen/>
        <w:t>точные напряжения, влияющие на об</w:t>
      </w:r>
      <w:r w:rsidRPr="00271E51">
        <w:rPr>
          <w:rFonts w:ascii="Times New Roman" w:hAnsi="Times New Roman"/>
          <w:color w:val="000000" w:themeColor="text1"/>
          <w:sz w:val="16"/>
          <w:szCs w:val="16"/>
        </w:rPr>
        <w:softHyphen/>
        <w:t>разование поверхностных трещин.</w:t>
      </w:r>
    </w:p>
    <w:p w14:paraId="0906E9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полировки галтелей сред</w:t>
      </w:r>
      <w:r w:rsidRPr="00271E51">
        <w:rPr>
          <w:rFonts w:ascii="Times New Roman" w:hAnsi="Times New Roman"/>
          <w:color w:val="000000" w:themeColor="text1"/>
          <w:sz w:val="16"/>
          <w:szCs w:val="16"/>
        </w:rPr>
        <w:softHyphen/>
        <w:t>ней щеки, последняя перед первой сборкой мотора проверялась на маг-нофлоксе и трещин в галтелях не об</w:t>
      </w:r>
      <w:r w:rsidRPr="00271E51">
        <w:rPr>
          <w:rFonts w:ascii="Times New Roman" w:hAnsi="Times New Roman"/>
          <w:color w:val="000000" w:themeColor="text1"/>
          <w:sz w:val="16"/>
          <w:szCs w:val="16"/>
        </w:rPr>
        <w:softHyphen/>
        <w:t>наруживалось. После обкатки и сда</w:t>
      </w:r>
      <w:r w:rsidRPr="00271E51">
        <w:rPr>
          <w:rFonts w:ascii="Times New Roman" w:hAnsi="Times New Roman"/>
          <w:color w:val="000000" w:themeColor="text1"/>
          <w:sz w:val="16"/>
          <w:szCs w:val="16"/>
        </w:rPr>
        <w:softHyphen/>
        <w:t>точных испытаний мотора, средняя щека на магнофлоксе не проверя</w:t>
      </w:r>
      <w:r w:rsidRPr="00271E51">
        <w:rPr>
          <w:rFonts w:ascii="Times New Roman" w:hAnsi="Times New Roman"/>
          <w:color w:val="000000" w:themeColor="text1"/>
          <w:sz w:val="16"/>
          <w:szCs w:val="16"/>
        </w:rPr>
        <w:softHyphen/>
        <w:t>лась.</w:t>
      </w:r>
    </w:p>
    <w:p w14:paraId="692D14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устранения поломки сред</w:t>
      </w:r>
      <w:r w:rsidRPr="00271E51">
        <w:rPr>
          <w:rFonts w:ascii="Times New Roman" w:hAnsi="Times New Roman"/>
          <w:color w:val="000000" w:themeColor="text1"/>
          <w:sz w:val="16"/>
          <w:szCs w:val="16"/>
        </w:rPr>
        <w:softHyphen/>
        <w:t>ней части коленвала заводом № 19 были проведены следующие работы:</w:t>
      </w:r>
    </w:p>
    <w:p w14:paraId="016559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Проверено 380 средних щек ко-ленвалов, из которых обнаружено 4 щеки с трещинами в галтелях.</w:t>
      </w:r>
    </w:p>
    <w:p w14:paraId="2820EC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Разобрано 56 моторов М-82ФН, прошедших контрольное испытание, на средних щеках которых трещин не обнаружено.</w:t>
      </w:r>
    </w:p>
    <w:p w14:paraId="120E22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 всех средних щеках произве</w:t>
      </w:r>
      <w:r w:rsidRPr="00271E51">
        <w:rPr>
          <w:rFonts w:ascii="Times New Roman" w:hAnsi="Times New Roman"/>
          <w:color w:val="000000" w:themeColor="text1"/>
          <w:sz w:val="16"/>
          <w:szCs w:val="16"/>
        </w:rPr>
        <w:softHyphen/>
        <w:t>дена доделка в правильности сопря</w:t>
      </w:r>
      <w:r w:rsidRPr="00271E51">
        <w:rPr>
          <w:rFonts w:ascii="Times New Roman" w:hAnsi="Times New Roman"/>
          <w:color w:val="000000" w:themeColor="text1"/>
          <w:sz w:val="16"/>
          <w:szCs w:val="16"/>
        </w:rPr>
        <w:softHyphen/>
        <w:t>жения радиусов перехода в галтелях с тщательной полировкой последних до зеркальной поверхности и с по</w:t>
      </w:r>
      <w:r w:rsidRPr="00271E51">
        <w:rPr>
          <w:rFonts w:ascii="Times New Roman" w:hAnsi="Times New Roman"/>
          <w:color w:val="000000" w:themeColor="text1"/>
          <w:sz w:val="16"/>
          <w:szCs w:val="16"/>
        </w:rPr>
        <w:softHyphen/>
        <w:t>вторной их проверкой на магнофлоксе. г) В целях предупреждения обра</w:t>
      </w:r>
      <w:r w:rsidRPr="00271E51">
        <w:rPr>
          <w:rFonts w:ascii="Times New Roman" w:hAnsi="Times New Roman"/>
          <w:color w:val="000000" w:themeColor="text1"/>
          <w:sz w:val="16"/>
          <w:szCs w:val="16"/>
        </w:rPr>
        <w:softHyphen/>
        <w:t>зования остаточных напряжений при термообработке, влияющих на появ</w:t>
      </w:r>
      <w:r w:rsidRPr="00271E51">
        <w:rPr>
          <w:rFonts w:ascii="Times New Roman" w:hAnsi="Times New Roman"/>
          <w:color w:val="000000" w:themeColor="text1"/>
          <w:sz w:val="16"/>
          <w:szCs w:val="16"/>
        </w:rPr>
        <w:softHyphen/>
        <w:t>ление поверхностных трещин, заво</w:t>
      </w:r>
      <w:r w:rsidRPr="00271E51">
        <w:rPr>
          <w:rFonts w:ascii="Times New Roman" w:hAnsi="Times New Roman"/>
          <w:color w:val="000000" w:themeColor="text1"/>
          <w:sz w:val="16"/>
          <w:szCs w:val="16"/>
        </w:rPr>
        <w:softHyphen/>
        <w:t>дом в технологию обработки и конт</w:t>
      </w:r>
      <w:r w:rsidRPr="00271E51">
        <w:rPr>
          <w:rFonts w:ascii="Times New Roman" w:hAnsi="Times New Roman"/>
          <w:color w:val="000000" w:themeColor="text1"/>
          <w:sz w:val="16"/>
          <w:szCs w:val="16"/>
        </w:rPr>
        <w:softHyphen/>
        <w:t>роля щеки коленвала были введены следующие дополнения:</w:t>
      </w:r>
    </w:p>
    <w:p w14:paraId="435C95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Предварительная шлифовка гал</w:t>
      </w:r>
      <w:r w:rsidRPr="00271E51">
        <w:rPr>
          <w:rFonts w:ascii="Times New Roman" w:hAnsi="Times New Roman"/>
          <w:color w:val="000000" w:themeColor="text1"/>
          <w:sz w:val="16"/>
          <w:szCs w:val="16"/>
        </w:rPr>
        <w:softHyphen/>
        <w:t>тели перед термообработкой щеки с тщательным контролем радиусов пе</w:t>
      </w:r>
      <w:r w:rsidRPr="00271E51">
        <w:rPr>
          <w:rFonts w:ascii="Times New Roman" w:hAnsi="Times New Roman"/>
          <w:color w:val="000000" w:themeColor="text1"/>
          <w:sz w:val="16"/>
          <w:szCs w:val="16"/>
        </w:rPr>
        <w:softHyphen/>
        <w:t>рехода.</w:t>
      </w:r>
    </w:p>
    <w:p w14:paraId="51D863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Увеличен допуск на окончатель</w:t>
      </w:r>
      <w:r w:rsidRPr="00271E51">
        <w:rPr>
          <w:rFonts w:ascii="Times New Roman" w:hAnsi="Times New Roman"/>
          <w:color w:val="000000" w:themeColor="text1"/>
          <w:sz w:val="16"/>
          <w:szCs w:val="16"/>
        </w:rPr>
        <w:softHyphen/>
        <w:t>ную шлифовку с тщательной поли</w:t>
      </w:r>
      <w:r w:rsidRPr="00271E51">
        <w:rPr>
          <w:rFonts w:ascii="Times New Roman" w:hAnsi="Times New Roman"/>
          <w:color w:val="000000" w:themeColor="text1"/>
          <w:sz w:val="16"/>
          <w:szCs w:val="16"/>
        </w:rPr>
        <w:softHyphen/>
        <w:t>ровкой галтели до зеркальной повер</w:t>
      </w:r>
      <w:r w:rsidRPr="00271E51">
        <w:rPr>
          <w:rFonts w:ascii="Times New Roman" w:hAnsi="Times New Roman"/>
          <w:color w:val="000000" w:themeColor="text1"/>
          <w:sz w:val="16"/>
          <w:szCs w:val="16"/>
        </w:rPr>
        <w:softHyphen/>
        <w:t>хности.</w:t>
      </w:r>
    </w:p>
    <w:p w14:paraId="75687B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Введена проверка средней щеки коленчатого вала на магнофлоксе после обкатки и сдаточных испыта</w:t>
      </w:r>
      <w:r w:rsidRPr="00271E51">
        <w:rPr>
          <w:rFonts w:ascii="Times New Roman" w:hAnsi="Times New Roman"/>
          <w:color w:val="000000" w:themeColor="text1"/>
          <w:sz w:val="16"/>
          <w:szCs w:val="16"/>
        </w:rPr>
        <w:softHyphen/>
        <w:t>ний мотора.</w:t>
      </w:r>
    </w:p>
    <w:p w14:paraId="444423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устранения дефектов по ко-ленвалу и гильзе цилиндра и удов</w:t>
      </w:r>
      <w:r w:rsidRPr="00271E51">
        <w:rPr>
          <w:rFonts w:ascii="Times New Roman" w:hAnsi="Times New Roman"/>
          <w:color w:val="000000" w:themeColor="text1"/>
          <w:sz w:val="16"/>
          <w:szCs w:val="16"/>
        </w:rPr>
        <w:softHyphen/>
        <w:t>летворительного прохождения 100-ча</w:t>
      </w:r>
      <w:r w:rsidRPr="00271E51">
        <w:rPr>
          <w:rFonts w:ascii="Times New Roman" w:hAnsi="Times New Roman"/>
          <w:color w:val="000000" w:themeColor="text1"/>
          <w:sz w:val="16"/>
          <w:szCs w:val="16"/>
        </w:rPr>
        <w:softHyphen/>
        <w:t>сового комиссионного испытания мо</w:t>
      </w:r>
      <w:r w:rsidRPr="00271E51">
        <w:rPr>
          <w:rFonts w:ascii="Times New Roman" w:hAnsi="Times New Roman"/>
          <w:color w:val="000000" w:themeColor="text1"/>
          <w:sz w:val="16"/>
          <w:szCs w:val="16"/>
        </w:rPr>
        <w:softHyphen/>
        <w:t>тора № 8211522 отправка моторов была возобновлена. С 24 июля по 1 сентября 1943 года на завод № 21 было отправлено 272 мотора ФН. Выпуск Ла-5ФН снова стал набирать обороты (10723).</w:t>
      </w:r>
    </w:p>
    <w:p w14:paraId="0523A6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81F95"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на первый «Москит» Як-1М ВК-105ПФ (по просьбе Яковлева, Климов снова в опытном порядке увеличил наддув с 1 050 до 1 110 мм рт. ст., и номинальная мощность на 1-й скорости ПЦН возросла с 1 260 до 1 310 л. с. на высоте 200 м, а на 2-й — с 1 180 до 1 240 л. с., но I граница высотности была понижена с 2 700 до 700 м. Испытания показали, что это обеспечивало самолету оптимальное соотношение скоростей и высот полета не на всех режимах, но главное — снижались надежность и ресурс мотора. В серии Климов разрешил повысить наддув только для 1-й скорости нагнетателя. В итоге ценой снижения II границы высотности с 2 400 до 2 000 м взлетную мощность повысили с 1 210 до 1 290 л. с., а боевую — с 1 150 до 1 290 л. с.), но теперь радиаторы не справлялись с его охлаждением. Их переделали, а самолет поставили на продувку в натурной аэродинамической трубе ЦАГИ, эксплуатация которой возобновилась, когда исчезла опасность налетов немецкой авиации. В августе рекомендации ЦАГИ были реализованы на первом Як-1М: на все цилиндры поставили индивидуальные выхлопные патрубки, воздухозаборник ПЦН перенесли под капот, полотняную обшивку хвостовой части заменили фанерной, улучшили герметизацию и подгонку панелей, люков и створок шасси. Летные испытания доработанного самолета показали, что скорость у земли достигла 573, а на высоте 4 500 м — 653 км/ч (22751).</w:t>
      </w:r>
    </w:p>
    <w:p w14:paraId="5980632E" w14:textId="77777777" w:rsidR="00E57D88" w:rsidRPr="00271E51" w:rsidRDefault="00E57D88" w:rsidP="00271E51">
      <w:pPr>
        <w:spacing w:after="0" w:line="240" w:lineRule="auto"/>
        <w:jc w:val="both"/>
        <w:rPr>
          <w:rFonts w:ascii="Times New Roman" w:hAnsi="Times New Roman"/>
          <w:color w:val="0070C0"/>
          <w:sz w:val="16"/>
          <w:szCs w:val="16"/>
        </w:rPr>
      </w:pPr>
    </w:p>
    <w:p w14:paraId="43A9D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закончился серийный выпуск Як-7Б М-105ПФ на 82 заводе в Москве (с 1 по 28 серию), который шел с мая 1942 (65,90).</w:t>
      </w:r>
    </w:p>
    <w:p w14:paraId="64F2C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F4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войсковые испытания Як-9Т начались на Западном фронте в 18-м гвардейском истребительном авиаполку (1-й ВА). За месяц боев практически полностью подтвердились выводы, сделанные летчиками, воевавшими на Центральном фронте. Итогом появления на фронтах Як-9Т - самого массового истребителя с 37-мм пушкой стала изменившаяся тактика немецких летчиков. Например, пилоты истребителей FW-190, которых спереди защищал звездообразный двигатель, стали избегать лобовых атак (12046).</w:t>
      </w:r>
    </w:p>
    <w:p w14:paraId="33035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D17E0" w14:textId="77777777" w:rsidR="00204180" w:rsidRPr="00271E51" w:rsidRDefault="0020418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июле 1943 на пятом экземпляре Як-9ПД за</w:t>
      </w:r>
      <w:r w:rsidRPr="00271E51">
        <w:rPr>
          <w:rFonts w:ascii="Times New Roman" w:cs="Times New Roman"/>
          <w:color w:val="000000" w:themeColor="text1"/>
          <w:spacing w:val="0"/>
        </w:rPr>
        <w:softHyphen/>
        <w:t xml:space="preserve">канчивали работы по улучшению масло- системы и увеличению размаха крыла на 1 м для повышения потолка до 12 000 м. Гермокабина отрабатывалась совместно с заводом № 482 на Як-7 в ЛИИ с 29 июля. В одном из первых полётов на высоте 11000 м «обрезал» мотор, как оказалось, из-за плохой регулировки смеси высотным корректором. Удалось довести высоту подъема до 12 500 м, но длительный полёт на этой высоте оказался невозможен из-за сильного перегрева двигателя и падения давления масла (19103). </w:t>
      </w:r>
    </w:p>
    <w:p w14:paraId="1109BF06" w14:textId="77777777" w:rsidR="00204180" w:rsidRPr="00271E51" w:rsidRDefault="00204180" w:rsidP="00271E51">
      <w:pPr>
        <w:pStyle w:val="27"/>
        <w:shd w:val="clear" w:color="auto" w:fill="auto"/>
        <w:spacing w:after="0" w:line="240" w:lineRule="auto"/>
        <w:ind w:firstLine="0"/>
        <w:rPr>
          <w:rFonts w:ascii="Times New Roman" w:cs="Times New Roman"/>
          <w:color w:val="000000" w:themeColor="text1"/>
          <w:spacing w:val="0"/>
        </w:rPr>
      </w:pPr>
    </w:p>
    <w:p w14:paraId="3DF20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было подготовлено Краткое ТО реактивного самолета-перехватчика 302П Бисновата, Андреева и Михайлова, которое Костиков подписал в сентябре 1943 (2928,72).</w:t>
      </w:r>
    </w:p>
    <w:p w14:paraId="09791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FFF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НИИ ВВС проходил испытания ФВ-190 А-4 (747,5).</w:t>
      </w:r>
    </w:p>
    <w:p w14:paraId="061E7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1C2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после отладки ВМГ И-220 №01 с АМ-39, приступили к определению основных летных характеристик с новым мотором. На испытаниях И-220 с АМ-39 достиг на боевом режиме скорости 614 км/ч на высоте 2700 м (первая граница высотности) и 697 км/ч на 7800 м (вторая граница высотности). Высоту 5000 м самолет набирал за 4,5 мин, а 8000 м за 8,2 мин. 21 августа 1943 г. испытания ненадолго прервались, так как самолет потерпел аварию. При заходе на посадку не вышла левая стойка шасси, и летчику-испытателю А.И.Жукову, после нескольких безуспешных попыток ее выпустить, пришлось сажать машину на одно колесо. Посадка была выполнена мастерски, самолет получил минимальные повреждения, после чего его отправили в ремонт. Кроме этого, в процессе испытаний самолет И-220 №01 приходилось пять раз заводить в цех для замены двигателей АМ-39. Последние были еще в опытном варианте и имели множество конструктивных недостатков, которые мешали их нормальной эксплуатации на самолете - выход из строя вследствие появления стружки в масле, выброс масла из-под вала редуктора, уход масла в картер и большая теплоотдача (5669).</w:t>
      </w:r>
    </w:p>
    <w:p w14:paraId="6D9F0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79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А.П.Якимов выполнил первый полет на И-220А МиГ N 1 и испытания шли до конца августа 1943. В полетах участвовал П.А.Журавлев и машину потом переоборудовали АМ-39 (1084,41).</w:t>
      </w:r>
    </w:p>
    <w:p w14:paraId="53B7A8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3 июня.</w:t>
      </w:r>
    </w:p>
    <w:p w14:paraId="47C517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за подписью М.А.Тайца вышел отчет ЛИИ о результатах летных испытаний Пе-2 N 1/282, улучшенного заводом по рекомендации ЦАГИ. Летал В.Расторгуев. Также вышел отчет ЛИИ о результатах летных испытаний Пе-2 с целью определения максимальной горизонтальной скорости, которые вел С.Ф.Машковский (1077,325).</w:t>
      </w:r>
    </w:p>
    <w:p w14:paraId="6F326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E9F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отладив работу мотора и радиаторов, приступили к определению основных летных харак</w:t>
      </w:r>
      <w:r w:rsidRPr="00271E51">
        <w:rPr>
          <w:rFonts w:ascii="Times New Roman" w:hAnsi="Times New Roman"/>
          <w:color w:val="000000" w:themeColor="text1"/>
          <w:sz w:val="16"/>
          <w:szCs w:val="16"/>
        </w:rPr>
        <w:softHyphen/>
        <w:t>теристик И—220 зав. № 01 с АМ—39. На испытаниях самолет достиг на боевом режиме скорости 614 км/ч на высоте 2700 м (первая граница высотности) и 697 км/ч на 7800 м (вторая граница высотности). Высоту 5000 м самолет наби</w:t>
      </w:r>
      <w:r w:rsidRPr="00271E51">
        <w:rPr>
          <w:rFonts w:ascii="Times New Roman" w:hAnsi="Times New Roman"/>
          <w:color w:val="000000" w:themeColor="text1"/>
          <w:sz w:val="16"/>
          <w:szCs w:val="16"/>
        </w:rPr>
        <w:softHyphen/>
        <w:t>рал за 4,5 мин, а 8000 м — за 8,2 мин. В процессе испытаний пришлось пять раз за</w:t>
      </w:r>
      <w:r w:rsidRPr="00271E51">
        <w:rPr>
          <w:rFonts w:ascii="Times New Roman" w:hAnsi="Times New Roman"/>
          <w:color w:val="000000" w:themeColor="text1"/>
          <w:sz w:val="16"/>
          <w:szCs w:val="16"/>
        </w:rPr>
        <w:softHyphen/>
        <w:t>менять двигатели АМ—39. Они имели множество конструктивных недостатков, мешавших нормальной эксплуатации на самолете. Чаще всего двигатель вы</w:t>
      </w:r>
      <w:r w:rsidRPr="00271E51">
        <w:rPr>
          <w:rFonts w:ascii="Times New Roman" w:hAnsi="Times New Roman"/>
          <w:color w:val="000000" w:themeColor="text1"/>
          <w:sz w:val="16"/>
          <w:szCs w:val="16"/>
        </w:rPr>
        <w:softHyphen/>
        <w:t>ходил из строя вследствие появления стружки в мас</w:t>
      </w:r>
      <w:r w:rsidRPr="00271E51">
        <w:rPr>
          <w:rFonts w:ascii="Times New Roman" w:hAnsi="Times New Roman"/>
          <w:color w:val="000000" w:themeColor="text1"/>
          <w:sz w:val="16"/>
          <w:szCs w:val="16"/>
        </w:rPr>
        <w:softHyphen/>
        <w:t>ле, выброса масла через уплотнения вала редуктора, перетекания масла в картер и большой теплоотдачи, словом, все тех же «проклятых родимых пятен» двига</w:t>
      </w:r>
      <w:r w:rsidRPr="00271E51">
        <w:rPr>
          <w:rFonts w:ascii="Times New Roman" w:hAnsi="Times New Roman"/>
          <w:color w:val="000000" w:themeColor="text1"/>
          <w:sz w:val="16"/>
          <w:szCs w:val="16"/>
        </w:rPr>
        <w:softHyphen/>
        <w:t>телей семейства АМ (9984).</w:t>
      </w:r>
    </w:p>
    <w:p w14:paraId="5526EB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27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 1943,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319D5F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2C5A8343" w14:textId="77777777" w:rsidTr="00ED5B0A">
        <w:tc>
          <w:tcPr>
            <w:tcW w:w="1868" w:type="dxa"/>
            <w:tcBorders>
              <w:top w:val="single" w:sz="12" w:space="0" w:color="auto"/>
            </w:tcBorders>
          </w:tcPr>
          <w:p w14:paraId="7D76D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868" w:type="dxa"/>
            <w:tcBorders>
              <w:top w:val="single" w:sz="12" w:space="0" w:color="auto"/>
            </w:tcBorders>
          </w:tcPr>
          <w:p w14:paraId="53BE39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1868" w:type="dxa"/>
            <w:tcBorders>
              <w:top w:val="single" w:sz="12" w:space="0" w:color="auto"/>
            </w:tcBorders>
          </w:tcPr>
          <w:p w14:paraId="43A41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МиГ-9</w:t>
            </w:r>
          </w:p>
        </w:tc>
        <w:tc>
          <w:tcPr>
            <w:tcW w:w="1868" w:type="dxa"/>
            <w:tcBorders>
              <w:top w:val="single" w:sz="12" w:space="0" w:color="auto"/>
            </w:tcBorders>
          </w:tcPr>
          <w:p w14:paraId="0813E5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w:t>
            </w:r>
          </w:p>
        </w:tc>
        <w:tc>
          <w:tcPr>
            <w:tcW w:w="1868" w:type="dxa"/>
            <w:tcBorders>
              <w:top w:val="single" w:sz="12" w:space="0" w:color="auto"/>
            </w:tcBorders>
          </w:tcPr>
          <w:p w14:paraId="7E49B8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И-224</w:t>
            </w:r>
          </w:p>
        </w:tc>
        <w:tc>
          <w:tcPr>
            <w:tcW w:w="1868" w:type="dxa"/>
            <w:tcBorders>
              <w:top w:val="single" w:sz="12" w:space="0" w:color="auto"/>
            </w:tcBorders>
          </w:tcPr>
          <w:p w14:paraId="6D31D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И-225</w:t>
            </w:r>
          </w:p>
        </w:tc>
      </w:tr>
      <w:tr w:rsidR="00A907A5" w:rsidRPr="00271E51" w14:paraId="6AD03DC4" w14:textId="77777777" w:rsidTr="00ED5B0A">
        <w:tc>
          <w:tcPr>
            <w:tcW w:w="1868" w:type="dxa"/>
          </w:tcPr>
          <w:p w14:paraId="276A7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двигателя</w:t>
            </w:r>
          </w:p>
        </w:tc>
        <w:tc>
          <w:tcPr>
            <w:tcW w:w="1868" w:type="dxa"/>
          </w:tcPr>
          <w:p w14:paraId="39B6F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1868" w:type="dxa"/>
          </w:tcPr>
          <w:p w14:paraId="3ACA3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1868" w:type="dxa"/>
          </w:tcPr>
          <w:p w14:paraId="7BD33B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1868" w:type="dxa"/>
          </w:tcPr>
          <w:p w14:paraId="71B0CA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АМ-39ФБ</w:t>
            </w:r>
          </w:p>
        </w:tc>
        <w:tc>
          <w:tcPr>
            <w:tcW w:w="1868" w:type="dxa"/>
          </w:tcPr>
          <w:p w14:paraId="265375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АМ-42ФБ</w:t>
            </w:r>
          </w:p>
        </w:tc>
      </w:tr>
      <w:tr w:rsidR="00A907A5" w:rsidRPr="00271E51" w14:paraId="5F175F30" w14:textId="77777777" w:rsidTr="00ED5B0A">
        <w:tc>
          <w:tcPr>
            <w:tcW w:w="1868" w:type="dxa"/>
          </w:tcPr>
          <w:p w14:paraId="51DE6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л.с.</w:t>
            </w:r>
          </w:p>
        </w:tc>
        <w:tc>
          <w:tcPr>
            <w:tcW w:w="1868" w:type="dxa"/>
          </w:tcPr>
          <w:p w14:paraId="5C69A6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1665</w:t>
            </w:r>
          </w:p>
        </w:tc>
        <w:tc>
          <w:tcPr>
            <w:tcW w:w="1868" w:type="dxa"/>
          </w:tcPr>
          <w:p w14:paraId="5C140A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1868" w:type="dxa"/>
          </w:tcPr>
          <w:p w14:paraId="07DC1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1868" w:type="dxa"/>
          </w:tcPr>
          <w:p w14:paraId="20F9F5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1850</w:t>
            </w:r>
          </w:p>
        </w:tc>
        <w:tc>
          <w:tcPr>
            <w:tcW w:w="1868" w:type="dxa"/>
          </w:tcPr>
          <w:p w14:paraId="30524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2B022C51" w14:textId="77777777" w:rsidTr="00ED5B0A">
        <w:tc>
          <w:tcPr>
            <w:tcW w:w="1868" w:type="dxa"/>
          </w:tcPr>
          <w:p w14:paraId="1EAB95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w:t>
            </w:r>
          </w:p>
        </w:tc>
        <w:tc>
          <w:tcPr>
            <w:tcW w:w="1868" w:type="dxa"/>
          </w:tcPr>
          <w:p w14:paraId="3797B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8,25</w:t>
            </w:r>
          </w:p>
        </w:tc>
        <w:tc>
          <w:tcPr>
            <w:tcW w:w="1868" w:type="dxa"/>
          </w:tcPr>
          <w:p w14:paraId="537F3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8,078</w:t>
            </w:r>
          </w:p>
        </w:tc>
        <w:tc>
          <w:tcPr>
            <w:tcW w:w="1868" w:type="dxa"/>
          </w:tcPr>
          <w:p w14:paraId="526A2E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1868" w:type="dxa"/>
          </w:tcPr>
          <w:p w14:paraId="4E9479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1868" w:type="dxa"/>
          </w:tcPr>
          <w:p w14:paraId="31126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r>
      <w:tr w:rsidR="00A907A5" w:rsidRPr="00271E51" w14:paraId="422ED677" w14:textId="77777777" w:rsidTr="00ED5B0A">
        <w:tc>
          <w:tcPr>
            <w:tcW w:w="1868" w:type="dxa"/>
          </w:tcPr>
          <w:p w14:paraId="0D6AF4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5B3A1F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5FCE3B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05DE1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1868" w:type="dxa"/>
          </w:tcPr>
          <w:p w14:paraId="3520D9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1868" w:type="dxa"/>
          </w:tcPr>
          <w:p w14:paraId="484CB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r>
      <w:tr w:rsidR="00A907A5" w:rsidRPr="00271E51" w14:paraId="522F8011" w14:textId="77777777" w:rsidTr="00ED5B0A">
        <w:tc>
          <w:tcPr>
            <w:tcW w:w="1868" w:type="dxa"/>
          </w:tcPr>
          <w:p w14:paraId="19E66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1868" w:type="dxa"/>
          </w:tcPr>
          <w:p w14:paraId="372426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00E6B1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2D42D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20,38</w:t>
            </w:r>
          </w:p>
        </w:tc>
        <w:tc>
          <w:tcPr>
            <w:tcW w:w="1868" w:type="dxa"/>
          </w:tcPr>
          <w:p w14:paraId="795905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1868" w:type="dxa"/>
          </w:tcPr>
          <w:p w14:paraId="674160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20,4</w:t>
            </w:r>
          </w:p>
        </w:tc>
      </w:tr>
      <w:tr w:rsidR="00A907A5" w:rsidRPr="00271E51" w14:paraId="5A5CD533" w14:textId="77777777" w:rsidTr="00ED5B0A">
        <w:tc>
          <w:tcPr>
            <w:tcW w:w="1868" w:type="dxa"/>
          </w:tcPr>
          <w:p w14:paraId="0350F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самолета, м</w:t>
            </w:r>
          </w:p>
        </w:tc>
        <w:tc>
          <w:tcPr>
            <w:tcW w:w="1868" w:type="dxa"/>
          </w:tcPr>
          <w:p w14:paraId="548337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48F00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2762</w:t>
            </w:r>
          </w:p>
        </w:tc>
        <w:tc>
          <w:tcPr>
            <w:tcW w:w="1868" w:type="dxa"/>
          </w:tcPr>
          <w:p w14:paraId="3C8EB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49D9B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41970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r>
      <w:tr w:rsidR="00A907A5" w:rsidRPr="00271E51" w14:paraId="37E5EF50" w14:textId="77777777" w:rsidTr="00ED5B0A">
        <w:tc>
          <w:tcPr>
            <w:tcW w:w="1868" w:type="dxa"/>
          </w:tcPr>
          <w:p w14:paraId="366BDA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самолета, кг</w:t>
            </w:r>
          </w:p>
        </w:tc>
        <w:tc>
          <w:tcPr>
            <w:tcW w:w="1868" w:type="dxa"/>
          </w:tcPr>
          <w:p w14:paraId="62BB52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4756EC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3382</w:t>
            </w:r>
          </w:p>
        </w:tc>
        <w:tc>
          <w:tcPr>
            <w:tcW w:w="1868" w:type="dxa"/>
          </w:tcPr>
          <w:p w14:paraId="6CAD8C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3103</w:t>
            </w:r>
          </w:p>
        </w:tc>
        <w:tc>
          <w:tcPr>
            <w:tcW w:w="1868" w:type="dxa"/>
          </w:tcPr>
          <w:p w14:paraId="58F2D9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3105</w:t>
            </w:r>
          </w:p>
        </w:tc>
        <w:tc>
          <w:tcPr>
            <w:tcW w:w="1868" w:type="dxa"/>
          </w:tcPr>
          <w:p w14:paraId="77955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ЗОЮ</w:t>
            </w:r>
          </w:p>
        </w:tc>
      </w:tr>
      <w:tr w:rsidR="00A907A5" w:rsidRPr="00271E51" w14:paraId="4E374B7B" w14:textId="77777777" w:rsidTr="00ED5B0A">
        <w:tc>
          <w:tcPr>
            <w:tcW w:w="1868" w:type="dxa"/>
          </w:tcPr>
          <w:p w14:paraId="0B1AA7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масса, кг</w:t>
            </w:r>
          </w:p>
        </w:tc>
        <w:tc>
          <w:tcPr>
            <w:tcW w:w="1868" w:type="dxa"/>
          </w:tcPr>
          <w:p w14:paraId="18A45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3595</w:t>
            </w:r>
          </w:p>
        </w:tc>
        <w:tc>
          <w:tcPr>
            <w:tcW w:w="1868" w:type="dxa"/>
          </w:tcPr>
          <w:p w14:paraId="73D8E9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7B3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3835</w:t>
            </w:r>
          </w:p>
        </w:tc>
        <w:tc>
          <w:tcPr>
            <w:tcW w:w="1868" w:type="dxa"/>
          </w:tcPr>
          <w:p w14:paraId="0A3D6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3780</w:t>
            </w:r>
          </w:p>
        </w:tc>
        <w:tc>
          <w:tcPr>
            <w:tcW w:w="1868" w:type="dxa"/>
          </w:tcPr>
          <w:p w14:paraId="70A39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3912</w:t>
            </w:r>
          </w:p>
        </w:tc>
      </w:tr>
      <w:tr w:rsidR="00A907A5" w:rsidRPr="00271E51" w14:paraId="7B476DB9" w14:textId="77777777" w:rsidTr="00ED5B0A">
        <w:tc>
          <w:tcPr>
            <w:tcW w:w="1868" w:type="dxa"/>
          </w:tcPr>
          <w:p w14:paraId="3A577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топлива, кг</w:t>
            </w:r>
          </w:p>
        </w:tc>
        <w:tc>
          <w:tcPr>
            <w:tcW w:w="1868" w:type="dxa"/>
          </w:tcPr>
          <w:p w14:paraId="495344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A6D7F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75AFD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1868" w:type="dxa"/>
          </w:tcPr>
          <w:p w14:paraId="755609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3551</w:t>
            </w:r>
          </w:p>
        </w:tc>
        <w:tc>
          <w:tcPr>
            <w:tcW w:w="1868" w:type="dxa"/>
          </w:tcPr>
          <w:p w14:paraId="00ACA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3252</w:t>
            </w:r>
          </w:p>
        </w:tc>
      </w:tr>
      <w:tr w:rsidR="00A907A5" w:rsidRPr="00271E51" w14:paraId="2976172A" w14:textId="77777777" w:rsidTr="00ED5B0A">
        <w:tc>
          <w:tcPr>
            <w:tcW w:w="1868" w:type="dxa"/>
          </w:tcPr>
          <w:p w14:paraId="7E495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полета, км/ч:</w:t>
            </w:r>
          </w:p>
        </w:tc>
        <w:tc>
          <w:tcPr>
            <w:tcW w:w="1868" w:type="dxa"/>
          </w:tcPr>
          <w:p w14:paraId="5D9DC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8E24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DAFD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B30C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652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7515CC" w14:textId="77777777" w:rsidTr="00ED5B0A">
        <w:tc>
          <w:tcPr>
            <w:tcW w:w="1868" w:type="dxa"/>
          </w:tcPr>
          <w:p w14:paraId="32635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tc>
        <w:tc>
          <w:tcPr>
            <w:tcW w:w="1868" w:type="dxa"/>
          </w:tcPr>
          <w:p w14:paraId="29340A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w:t>
            </w:r>
          </w:p>
        </w:tc>
        <w:tc>
          <w:tcPr>
            <w:tcW w:w="1868" w:type="dxa"/>
          </w:tcPr>
          <w:p w14:paraId="4C811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1868" w:type="dxa"/>
          </w:tcPr>
          <w:p w14:paraId="0FD989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1868" w:type="dxa"/>
          </w:tcPr>
          <w:p w14:paraId="2782B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574</w:t>
            </w:r>
          </w:p>
        </w:tc>
        <w:tc>
          <w:tcPr>
            <w:tcW w:w="1868" w:type="dxa"/>
          </w:tcPr>
          <w:p w14:paraId="5D615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012165FB" w14:textId="77777777" w:rsidTr="00ED5B0A">
        <w:tc>
          <w:tcPr>
            <w:tcW w:w="1868" w:type="dxa"/>
          </w:tcPr>
          <w:p w14:paraId="78D22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5000 м</w:t>
            </w:r>
          </w:p>
        </w:tc>
        <w:tc>
          <w:tcPr>
            <w:tcW w:w="1868" w:type="dxa"/>
          </w:tcPr>
          <w:p w14:paraId="308C1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5923</w:t>
            </w:r>
          </w:p>
        </w:tc>
        <w:tc>
          <w:tcPr>
            <w:tcW w:w="1868" w:type="dxa"/>
          </w:tcPr>
          <w:p w14:paraId="08AD3C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8FD3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49A80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564A72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215FDCAD" w14:textId="77777777" w:rsidTr="00ED5B0A">
        <w:tc>
          <w:tcPr>
            <w:tcW w:w="1868" w:type="dxa"/>
          </w:tcPr>
          <w:p w14:paraId="7951F8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10 ООО м</w:t>
            </w:r>
          </w:p>
        </w:tc>
        <w:tc>
          <w:tcPr>
            <w:tcW w:w="1868" w:type="dxa"/>
          </w:tcPr>
          <w:p w14:paraId="58A69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953B9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5654</w:t>
            </w:r>
          </w:p>
        </w:tc>
        <w:tc>
          <w:tcPr>
            <w:tcW w:w="1868" w:type="dxa"/>
          </w:tcPr>
          <w:p w14:paraId="6BF0D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6955</w:t>
            </w:r>
          </w:p>
        </w:tc>
        <w:tc>
          <w:tcPr>
            <w:tcW w:w="1868" w:type="dxa"/>
          </w:tcPr>
          <w:p w14:paraId="1282AC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6936</w:t>
            </w:r>
          </w:p>
        </w:tc>
        <w:tc>
          <w:tcPr>
            <w:tcW w:w="1868" w:type="dxa"/>
          </w:tcPr>
          <w:p w14:paraId="3A246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726</w:t>
            </w:r>
          </w:p>
        </w:tc>
      </w:tr>
      <w:tr w:rsidR="00A907A5" w:rsidRPr="00271E51" w14:paraId="3FBD197D" w14:textId="77777777" w:rsidTr="00ED5B0A">
        <w:tc>
          <w:tcPr>
            <w:tcW w:w="1868" w:type="dxa"/>
          </w:tcPr>
          <w:p w14:paraId="75A1AA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1868" w:type="dxa"/>
          </w:tcPr>
          <w:p w14:paraId="561A6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7,93</w:t>
            </w:r>
          </w:p>
        </w:tc>
        <w:tc>
          <w:tcPr>
            <w:tcW w:w="1868" w:type="dxa"/>
          </w:tcPr>
          <w:p w14:paraId="4E511D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1868" w:type="dxa"/>
          </w:tcPr>
          <w:p w14:paraId="18D322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868" w:type="dxa"/>
          </w:tcPr>
          <w:p w14:paraId="76EDF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25C0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04C26EA8" w14:textId="77777777" w:rsidTr="00ED5B0A">
        <w:tc>
          <w:tcPr>
            <w:tcW w:w="1868" w:type="dxa"/>
          </w:tcPr>
          <w:p w14:paraId="5487B7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75A93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7202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8700</w:t>
            </w:r>
          </w:p>
        </w:tc>
        <w:tc>
          <w:tcPr>
            <w:tcW w:w="1868" w:type="dxa"/>
          </w:tcPr>
          <w:p w14:paraId="2822E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11 000</w:t>
            </w:r>
          </w:p>
        </w:tc>
        <w:tc>
          <w:tcPr>
            <w:tcW w:w="1868" w:type="dxa"/>
          </w:tcPr>
          <w:p w14:paraId="5D900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14 100</w:t>
            </w:r>
          </w:p>
        </w:tc>
        <w:tc>
          <w:tcPr>
            <w:tcW w:w="1868" w:type="dxa"/>
          </w:tcPr>
          <w:p w14:paraId="78984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12 600</w:t>
            </w:r>
          </w:p>
        </w:tc>
      </w:tr>
      <w:tr w:rsidR="00A907A5" w:rsidRPr="00271E51" w14:paraId="6CA46191" w14:textId="77777777" w:rsidTr="00ED5B0A">
        <w:tc>
          <w:tcPr>
            <w:tcW w:w="1868" w:type="dxa"/>
          </w:tcPr>
          <w:p w14:paraId="321BD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Длина разбега, м</w:t>
            </w:r>
          </w:p>
        </w:tc>
        <w:tc>
          <w:tcPr>
            <w:tcW w:w="1868" w:type="dxa"/>
          </w:tcPr>
          <w:p w14:paraId="704ED2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AFE4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c>
          <w:tcPr>
            <w:tcW w:w="1868" w:type="dxa"/>
          </w:tcPr>
          <w:p w14:paraId="28F88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2AB73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c>
          <w:tcPr>
            <w:tcW w:w="1868" w:type="dxa"/>
          </w:tcPr>
          <w:p w14:paraId="66873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w:t>
            </w:r>
          </w:p>
        </w:tc>
      </w:tr>
      <w:tr w:rsidR="00A907A5" w:rsidRPr="00271E51" w14:paraId="7B4BEA53" w14:textId="77777777" w:rsidTr="00ED5B0A">
        <w:tc>
          <w:tcPr>
            <w:tcW w:w="1868" w:type="dxa"/>
          </w:tcPr>
          <w:p w14:paraId="793FD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м</w:t>
            </w:r>
          </w:p>
        </w:tc>
        <w:tc>
          <w:tcPr>
            <w:tcW w:w="1868" w:type="dxa"/>
          </w:tcPr>
          <w:p w14:paraId="21A2F7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4055C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tc>
        <w:tc>
          <w:tcPr>
            <w:tcW w:w="1868" w:type="dxa"/>
          </w:tcPr>
          <w:p w14:paraId="5CC51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FAEC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1868" w:type="dxa"/>
          </w:tcPr>
          <w:p w14:paraId="3F4954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r>
      <w:tr w:rsidR="00A907A5" w:rsidRPr="00271E51" w14:paraId="1FD15D30" w14:textId="77777777" w:rsidTr="00ED5B0A">
        <w:tc>
          <w:tcPr>
            <w:tcW w:w="1868" w:type="dxa"/>
            <w:tcBorders>
              <w:bottom w:val="single" w:sz="12" w:space="0" w:color="auto"/>
            </w:tcBorders>
          </w:tcPr>
          <w:p w14:paraId="2A6977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2B1576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7164F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1868" w:type="dxa"/>
            <w:tcBorders>
              <w:bottom w:val="single" w:sz="12" w:space="0" w:color="auto"/>
            </w:tcBorders>
          </w:tcPr>
          <w:p w14:paraId="4A1A6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70FE4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1868" w:type="dxa"/>
            <w:tcBorders>
              <w:bottom w:val="single" w:sz="12" w:space="0" w:color="auto"/>
            </w:tcBorders>
          </w:tcPr>
          <w:p w14:paraId="65D7B8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r>
    </w:tbl>
    <w:p w14:paraId="3DF0B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Примечания:</w:t>
      </w:r>
    </w:p>
    <w:p w14:paraId="568BC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 в крыльевых топливных баках в перегрузку еще 124 кг;</w:t>
      </w:r>
    </w:p>
    <w:p w14:paraId="4C50C5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 в крыльевых топливных баках в перегрузку еще 127 кг;</w:t>
      </w:r>
    </w:p>
    <w:p w14:paraId="51B43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 на высоте 3400 м;</w:t>
      </w:r>
    </w:p>
    <w:p w14:paraId="09C8D2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 на высоте 6150 м;</w:t>
      </w:r>
    </w:p>
    <w:p w14:paraId="7847D1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 на высоте 7500 м при боевом режиме работы мотора;</w:t>
      </w:r>
    </w:p>
    <w:p w14:paraId="763375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 расчетная на высоте 13 100 м. </w:t>
      </w:r>
    </w:p>
    <w:p w14:paraId="2F25A2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51C73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62C4B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9B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был подготовлен отчет о проведении заводских испытаний самолета Пе-2 с РУ-1. В документе указывались лица, ответственные за конкретные виды работ: "Техническое руководство испытаниями в их специальной части по РУ-1 осуществляется главным конструктором РУ-1 ОКБ завода № 16 инж. С.П. Королевым" (10676).</w:t>
      </w:r>
    </w:p>
    <w:p w14:paraId="35600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выпуска самолета в первый контрольно-сдаточный полет (без включения РУ-1), а также в первый полет с включением РУ-1 назначается комиссия по первому вылету в следующем составе: от завода № 22 </w:t>
      </w:r>
    </w:p>
    <w:p w14:paraId="3FE9A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В.А. Кобзарев — зам. гл. инженера (председатель комиссии), </w:t>
      </w:r>
    </w:p>
    <w:p w14:paraId="0301FA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И.Г. Неман — зам. гл. конструктора, </w:t>
      </w:r>
    </w:p>
    <w:p w14:paraId="7DF17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Л.Д. Баклунов — вед. инженер; от завода № 16 </w:t>
      </w:r>
    </w:p>
    <w:p w14:paraId="33AB6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В.А. Бекетов — начальник ОКБ, </w:t>
      </w:r>
    </w:p>
    <w:p w14:paraId="520423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В.П. Глушко — главный конструктор РД, </w:t>
      </w:r>
    </w:p>
    <w:p w14:paraId="03C13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 Королев — главный конструктор РУ.</w:t>
      </w:r>
    </w:p>
    <w:p w14:paraId="275B9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Летный экипаж самолета назначается в следующем составе: А.Г. Васильченко — летчик-испытатель, командир экипажа, С.П. Королев, Д.Д. Севрук, Л.Д. Баклунов (10676).</w:t>
      </w:r>
    </w:p>
    <w:p w14:paraId="7F9C9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BBF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на заводе 156 на серийный Ту-2 N 100716 установили АШ-82ФН и винты АВ-5-167А, герметизировали стыки консолей и центроплана и мотогондолы и улучшили отделку крыла, стабилизатора и фюзеляжа, зашпаклевав вмятины и отполировав поверхность. У стрелка сделали круглые окна и заменили ШКАС на ВУБ-2 с УБС. Трудоемкость изготовления планера - снизилась (4407,3).</w:t>
      </w:r>
    </w:p>
    <w:p w14:paraId="048B5E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87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согласно принятому в июне 1942 решению на самолете Ту-2 N 406 были проведены испытания по дальнейшим доработкам разведчика Ту-2Р. Установили дополнительный бензобак на 750 л и доработали топливную систему. Фотооборудование включало два качающихся АФА-3с/50 (1835,53).</w:t>
      </w:r>
    </w:p>
    <w:p w14:paraId="4DC0F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5CB8B" w14:textId="77777777" w:rsidR="00AE304B" w:rsidRPr="00271E51" w:rsidRDefault="00AE304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из состава группы советских летчиков-перегонщиков, об</w:t>
      </w:r>
      <w:r w:rsidRPr="00271E51">
        <w:rPr>
          <w:rFonts w:ascii="Times New Roman" w:hAnsi="Times New Roman"/>
          <w:color w:val="000000" w:themeColor="text1"/>
          <w:sz w:val="16"/>
          <w:szCs w:val="16"/>
        </w:rPr>
        <w:softHyphen/>
        <w:t>учавшихся в Шотландии на базе Эррол пилотированию бомбардировщиков «Албемарл», выделили несколько экипа</w:t>
      </w:r>
      <w:r w:rsidRPr="00271E51">
        <w:rPr>
          <w:rFonts w:ascii="Times New Roman" w:hAnsi="Times New Roman"/>
          <w:color w:val="000000" w:themeColor="text1"/>
          <w:sz w:val="16"/>
          <w:szCs w:val="16"/>
        </w:rPr>
        <w:softHyphen/>
        <w:t>жей для освоения «Москито». Для учебных целей в Эррол 22 июля направили «Москито» T.III с двойным управлением, но его разбили при перегонке. Взамен 27 июля прибыл другой T.III и с ним ин</w:t>
      </w:r>
      <w:r w:rsidRPr="00271E51">
        <w:rPr>
          <w:rFonts w:ascii="Times New Roman" w:hAnsi="Times New Roman"/>
          <w:color w:val="000000" w:themeColor="text1"/>
          <w:sz w:val="16"/>
          <w:szCs w:val="16"/>
        </w:rPr>
        <w:softHyphen/>
        <w:t>структор Рэйнер, откомандированный из 60-й учебной части (19655).</w:t>
      </w:r>
    </w:p>
    <w:p w14:paraId="196EA0AA" w14:textId="77777777" w:rsidR="00AE304B" w:rsidRPr="00271E51" w:rsidRDefault="00AE304B" w:rsidP="00271E51">
      <w:pPr>
        <w:spacing w:after="0" w:line="240" w:lineRule="auto"/>
        <w:jc w:val="both"/>
        <w:rPr>
          <w:rFonts w:ascii="Times New Roman" w:hAnsi="Times New Roman"/>
          <w:color w:val="000000" w:themeColor="text1"/>
          <w:sz w:val="16"/>
          <w:szCs w:val="16"/>
        </w:rPr>
      </w:pPr>
    </w:p>
    <w:p w14:paraId="441655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 Быково переоборудовали в пассажирские два самолета для С-47 1-го авиаполка НКВД (3457,137). Эти машины использовали для доставки членов советской делегации в Тегеран (3457,137).</w:t>
      </w:r>
    </w:p>
    <w:p w14:paraId="27D43A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52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на заводе 51 Н.Н.П. был изготовлен опытный мотопланер "МП" с двумя моторами М-11Ф и винтами У-2 - модификации БДП. Оказался хуже Ще-2 (515).</w:t>
      </w:r>
    </w:p>
    <w:p w14:paraId="739973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75C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была закончена постройка опытного МП Н.Н.П., разработанного на базе БДП-2 с 2 М-11Ф (94,111).</w:t>
      </w:r>
    </w:p>
    <w:p w14:paraId="0CA5BF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14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в НИИ ВВС исследовалась модификация FW-190 (ФВ-190) под индексом «А-4», два месяца спустя - «А-5». В декабре 1944 г. и марте 1945 г. советские летчики досконально изучили FW-190A-8 и его облегченный вариант -самолет FW-190D-9. Эта машина испытывалась на аэродроме «Чкаловская» в период с 11 по 25 мая 1945 г. (11860).</w:t>
      </w:r>
    </w:p>
    <w:p w14:paraId="247D64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9539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составе НКАП создали инспекцию по качеству (173,227).</w:t>
      </w:r>
    </w:p>
    <w:p w14:paraId="6CCCC5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8B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ЦКБ-29 вернулось из Коломзино, Омск в Болшево и в это время туда попал П.Дузь, которого взяли после командировки в 16 ВА, воевавшую на Курской дуге (1105,7).</w:t>
      </w:r>
    </w:p>
    <w:p w14:paraId="5DE49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37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ОКБ Привалова и часть завода № 468 были реэвакуированы на свою прежнюю базу в Бескудниково, где до 1945 года изготовляли серийную и опытную продукцию парашютно-десантной техники.</w:t>
      </w:r>
    </w:p>
    <w:p w14:paraId="3462AB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1945 года завод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485F5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0CC17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ст. Бескудниково Московской области, п/я 2</w:t>
      </w:r>
    </w:p>
    <w:p w14:paraId="7416AA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24909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сентября 1943 года по 7 марта 1944 года – директор Байдаков Г.И.</w:t>
      </w:r>
    </w:p>
    <w:p w14:paraId="5988F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7 марта 1944 года по 7 апреля 1945 года – директор Горьковенко Н.И.</w:t>
      </w:r>
    </w:p>
    <w:p w14:paraId="7573B8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7 апреля 1945 года по 19 ноября 1945 года – директор Крупнов В.И.</w:t>
      </w:r>
    </w:p>
    <w:p w14:paraId="73736C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сентября 1943 года по 19 ноября 1945 года – гл. конструктор Привалов А.И.</w:t>
      </w:r>
    </w:p>
    <w:p w14:paraId="2E1ADE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57CB9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марта 1955 года - гл. конструктор и отв. руководитель завода Привалов А.И.</w:t>
      </w:r>
    </w:p>
    <w:p w14:paraId="3986A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марта 1955 года – директор Горбунов М.П. (9606).</w:t>
      </w:r>
    </w:p>
    <w:p w14:paraId="7E18E6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66B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завод №468 вернул</w:t>
      </w:r>
      <w:r w:rsidRPr="00271E51">
        <w:rPr>
          <w:rFonts w:ascii="Times New Roman" w:hAnsi="Times New Roman"/>
          <w:color w:val="000000" w:themeColor="text1"/>
          <w:sz w:val="16"/>
          <w:szCs w:val="16"/>
        </w:rPr>
        <w:softHyphen/>
        <w:t>ся на свою территорию в Бескуднико</w:t>
      </w:r>
      <w:r w:rsidRPr="00271E51">
        <w:rPr>
          <w:rFonts w:ascii="Times New Roman" w:hAnsi="Times New Roman"/>
          <w:color w:val="000000" w:themeColor="text1"/>
          <w:sz w:val="16"/>
          <w:szCs w:val="16"/>
        </w:rPr>
        <w:softHyphen/>
        <w:t>во, где все это время находился фили</w:t>
      </w:r>
      <w:r w:rsidRPr="00271E51">
        <w:rPr>
          <w:rFonts w:ascii="Times New Roman" w:hAnsi="Times New Roman"/>
          <w:color w:val="000000" w:themeColor="text1"/>
          <w:sz w:val="16"/>
          <w:szCs w:val="16"/>
        </w:rPr>
        <w:softHyphen/>
        <w:t xml:space="preserve">ал завода. В 1943 г. Завод №468 в это время получил еще </w:t>
      </w:r>
      <w:r w:rsidRPr="00271E51">
        <w:rPr>
          <w:rFonts w:ascii="Times New Roman" w:hAnsi="Times New Roman"/>
          <w:color w:val="000000" w:themeColor="text1"/>
          <w:sz w:val="16"/>
          <w:szCs w:val="16"/>
        </w:rPr>
        <w:lastRenderedPageBreak/>
        <w:t>одно наименование - при</w:t>
      </w:r>
      <w:r w:rsidRPr="00271E51">
        <w:rPr>
          <w:rFonts w:ascii="Times New Roman" w:hAnsi="Times New Roman"/>
          <w:color w:val="000000" w:themeColor="text1"/>
          <w:sz w:val="16"/>
          <w:szCs w:val="16"/>
        </w:rPr>
        <w:softHyphen/>
        <w:t>казом НКАП№ 161 ему присвоили ус</w:t>
      </w:r>
      <w:r w:rsidRPr="00271E51">
        <w:rPr>
          <w:rFonts w:ascii="Times New Roman" w:hAnsi="Times New Roman"/>
          <w:color w:val="000000" w:themeColor="text1"/>
          <w:sz w:val="16"/>
          <w:szCs w:val="16"/>
        </w:rPr>
        <w:softHyphen/>
        <w:t>ловное наименование «организация п/я 2». Определение «опытный завод» оправдывалось продолжением опыт</w:t>
      </w:r>
      <w:r w:rsidRPr="00271E51">
        <w:rPr>
          <w:rFonts w:ascii="Times New Roman" w:hAnsi="Times New Roman"/>
          <w:color w:val="000000" w:themeColor="text1"/>
          <w:sz w:val="16"/>
          <w:szCs w:val="16"/>
        </w:rPr>
        <w:softHyphen/>
        <w:t>но-конструкторских работ по новым направлениям, начатым еще до вой</w:t>
      </w:r>
      <w:r w:rsidRPr="00271E51">
        <w:rPr>
          <w:rFonts w:ascii="Times New Roman" w:hAnsi="Times New Roman"/>
          <w:color w:val="000000" w:themeColor="text1"/>
          <w:sz w:val="16"/>
          <w:szCs w:val="16"/>
        </w:rPr>
        <w:softHyphen/>
        <w:t>ны. Приказом наркома авиаци</w:t>
      </w:r>
      <w:r w:rsidRPr="00271E51">
        <w:rPr>
          <w:rFonts w:ascii="Times New Roman" w:hAnsi="Times New Roman"/>
          <w:color w:val="000000" w:themeColor="text1"/>
          <w:sz w:val="16"/>
          <w:szCs w:val="16"/>
        </w:rPr>
        <w:softHyphen/>
        <w:t>онной промышленности Шахурина от 1 сентября 1943 г. бывший директор филиала Г.И. Байдаков был назначен директором завода №468 (потом, во время войны эту должность исполни -лиещеН.И. Горьковенок и В.И. Крупнов) , а А.И. Привалов остался главным конструктором завода. Тем самым как бы разделялись работы - по серийно</w:t>
      </w:r>
      <w:r w:rsidRPr="00271E51">
        <w:rPr>
          <w:rFonts w:ascii="Times New Roman" w:hAnsi="Times New Roman"/>
          <w:color w:val="000000" w:themeColor="text1"/>
          <w:sz w:val="16"/>
          <w:szCs w:val="16"/>
        </w:rPr>
        <w:softHyphen/>
        <w:t>му производству и опытно-конструк</w:t>
      </w:r>
      <w:r w:rsidRPr="00271E51">
        <w:rPr>
          <w:rFonts w:ascii="Times New Roman" w:hAnsi="Times New Roman"/>
          <w:color w:val="000000" w:themeColor="text1"/>
          <w:sz w:val="16"/>
          <w:szCs w:val="16"/>
        </w:rPr>
        <w:softHyphen/>
        <w:t>торские над новыми объектами. Но вопросы развития парашютно-десан</w:t>
      </w:r>
      <w:r w:rsidRPr="00271E51">
        <w:rPr>
          <w:rFonts w:ascii="Times New Roman" w:hAnsi="Times New Roman"/>
          <w:color w:val="000000" w:themeColor="text1"/>
          <w:sz w:val="16"/>
          <w:szCs w:val="16"/>
        </w:rPr>
        <w:softHyphen/>
        <w:t>тной техники снова оказались отодви -нуты на второй план. Тем более, что в конце 1943 - начале 1944 г. на завод" была размещена конструкторская группа во главе с полковником П.В. Цыбиным, проектировавшая де</w:t>
      </w:r>
      <w:r w:rsidRPr="00271E51">
        <w:rPr>
          <w:rFonts w:ascii="Times New Roman" w:hAnsi="Times New Roman"/>
          <w:color w:val="000000" w:themeColor="text1"/>
          <w:sz w:val="16"/>
          <w:szCs w:val="16"/>
        </w:rPr>
        <w:softHyphen/>
        <w:t>сантные планеры (11752).</w:t>
      </w:r>
    </w:p>
    <w:p w14:paraId="3A686E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5723B6"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июле 1943 г. завод № 464 перевели на площади завода № 462 (пос. Долгопруд</w:t>
      </w:r>
      <w:r w:rsidRPr="00271E51">
        <w:rPr>
          <w:rFonts w:ascii="Times New Roman" w:cs="Times New Roman"/>
          <w:color w:val="000000" w:themeColor="text1"/>
          <w:spacing w:val="0"/>
          <w:sz w:val="16"/>
          <w:szCs w:val="16"/>
        </w:rPr>
        <w:softHyphen/>
        <w:t>ный), с присвоением ему номера 464, а на освободившейся территории разместился завод № 289 (15792).</w:t>
      </w:r>
    </w:p>
    <w:p w14:paraId="5101F0E1"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p>
    <w:p w14:paraId="5282D9EE" w14:textId="77777777" w:rsidR="00715334" w:rsidRPr="00271E51" w:rsidRDefault="00715334"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Постановлением Государственного Комитета обороны ОКБ-16 было проучено разработать новую 45-мм авиационную пушку. Для этой пушки конструктор Грибков П.П. разработал новый патрон с использованием штатного осколочно-фугасного снаряда от 45-мм корабельной зенитной пушки и гильзы патрона НС-37 с переобжатым на новый калибр дульцем. Разрушающее действие 45-мм снаряда было вдвое больше, чем 37-мм. Главная трудность при разработке состояла в том, чтобы создать для этого автомата такой ствол калибра 45 мм, который бы проходил через втулку винта серийных самолетных  двигателей, стоявших тогда на истребителях Як-9. Максимальная толщина стенки дульной части 45-мм ствола оказалась равной 4 мм. Для сохранения усилия отдачи на уровне отдачи пушки НС-37 ствол новой пушки НС-45 был снабжен дульным тормозом, наличие которого потребовало увеличения длины тонкостенной части ствола на величину его отката при выстреле. Методика проектирования регулируемого дульного тормоза, учитывающего скорость и высоту полета была разработана Орловым Б.В., выпускником МВТУ им. Н.Э. Баумана. Эта работа стала темой его кандидатской диссертации, а затем в расширенном виде – докторской диссертации. В 1960-70-х годах заслуженный деятель науки и техники профессор Орлов Б.В. заведовал кафедрой Машиностроительного факультета МВТУ. Исследования ускорительного механизма пушки и влиянием его на работу автоматики проводил молодой инженер Семенов А.А., защитивший по этой теме кандидатскую диссертацию и работавший потом начальником теоретического отделения КБ. Технологам серийного завода  и конструкторам ОКБ-16 удалось создать конструкцию тонкостенного 45-мм ствола с минимальной разностенностью и кривизной, обеспечить его прочность и заданную живучесть (14979).</w:t>
      </w:r>
    </w:p>
    <w:p w14:paraId="00EF5269" w14:textId="77777777" w:rsidR="00715334" w:rsidRPr="00271E51" w:rsidRDefault="00715334" w:rsidP="00271E51">
      <w:pPr>
        <w:shd w:val="clear" w:color="auto" w:fill="FFFFFF"/>
        <w:spacing w:after="0" w:line="240" w:lineRule="auto"/>
        <w:jc w:val="both"/>
        <w:rPr>
          <w:rFonts w:ascii="Times New Roman" w:hAnsi="Times New Roman"/>
          <w:color w:val="000000" w:themeColor="text1"/>
          <w:sz w:val="16"/>
          <w:szCs w:val="16"/>
        </w:rPr>
      </w:pPr>
    </w:p>
    <w:p w14:paraId="78393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на Московском заводе “ “Компрессор”” Наркомата минометного вооружения был изготовлен и прошел все полигонные испытания опытный образец зенитной 40-зарядной пусковой установки. Однако, вследствие недостаточной высоты полета снарядов М-8 (2 километра по вертикали) и их большого рассеивания, дальнейшие работы над зенитными реактивными установками “ “Балка”” и “ “Флейта”” были прекращены. Зенитная пусковая установка “Балка” была выполнена на одноосном автоприцепе и представляла собой сорок направляющих типа “ “балка”” для реактивных снарядов М-8, которые размещались в два яруса на каркасной ферме из труб. Ферма закреплялась осью качания на поворотном устройстве. На обоих концах оси качания закреплялись съемные прицельные устройства с кольцевой сеткой упреждения. На поворотном устройстве по бокам качающейся части крепились откидные сиденья стреляющих. Один из стреляющих осуществлял наведение установки на цель по углу возвышения, второй – по азимуту. Поворотная часть крепилась на раме прицепа и позволяла производить поворот направляющих фермы на ± 360</w:t>
      </w:r>
      <w:r w:rsidRPr="00271E51">
        <w:rPr>
          <w:rFonts w:ascii="Times New Roman" w:hAnsi="Times New Roman"/>
          <w:color w:val="000000" w:themeColor="text1"/>
          <w:sz w:val="16"/>
          <w:szCs w:val="16"/>
          <w:vertAlign w:val="superscript"/>
        </w:rPr>
        <w:t>0</w:t>
      </w:r>
      <w:r w:rsidRPr="00271E51">
        <w:rPr>
          <w:rFonts w:ascii="Times New Roman" w:hAnsi="Times New Roman"/>
          <w:color w:val="000000" w:themeColor="text1"/>
          <w:sz w:val="16"/>
          <w:szCs w:val="16"/>
        </w:rPr>
        <w:t>. В передней части пусковой установки рама имела винтовые домкраты с опорными тарелями для горизонтирования установки. Залп (или одиночный выстрел) производился одновременным нажатием ножной педали двумя стреляющими наводчиками”. Зенитная пусковая установка “Флейта” была смонтирована на шасси автомашины ГАЗ-АА и представляла собой пакет из сорока штатных (для “ “Катюш””) направляющих типа “ “флейта””, смонтированных на внешней стороне каркасного барабана диаметром 2 метра, одновременно являвшегося защитным колпаком для стреляющего. Основание барабана допускало азимутальный разворот на ±360</w:t>
      </w:r>
      <w:r w:rsidRPr="00271E51">
        <w:rPr>
          <w:rFonts w:ascii="Times New Roman" w:hAnsi="Times New Roman"/>
          <w:color w:val="000000" w:themeColor="text1"/>
          <w:sz w:val="16"/>
          <w:szCs w:val="16"/>
          <w:vertAlign w:val="superscript"/>
        </w:rPr>
        <w:t>0</w:t>
      </w:r>
      <w:r w:rsidRPr="00271E51">
        <w:rPr>
          <w:rFonts w:ascii="Times New Roman" w:hAnsi="Times New Roman"/>
          <w:color w:val="000000" w:themeColor="text1"/>
          <w:sz w:val="16"/>
          <w:szCs w:val="16"/>
        </w:rPr>
        <w:t xml:space="preserve"> и фиксацию положения с помощью стопорного механизма (10109).</w:t>
      </w:r>
    </w:p>
    <w:p w14:paraId="46D47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EA35D" w14:textId="77777777" w:rsidR="00E57D88" w:rsidRPr="00271E51" w:rsidRDefault="00E57D88" w:rsidP="00271E51">
      <w:pPr>
        <w:pStyle w:val="ae"/>
        <w:shd w:val="clear" w:color="auto" w:fill="FFFFFF"/>
        <w:spacing w:before="0" w:after="0"/>
        <w:jc w:val="both"/>
        <w:textAlignment w:val="baseline"/>
        <w:rPr>
          <w:color w:val="0070C0"/>
          <w:sz w:val="16"/>
          <w:szCs w:val="16"/>
        </w:rPr>
      </w:pPr>
      <w:r w:rsidRPr="00271E51">
        <w:rPr>
          <w:color w:val="0070C0"/>
          <w:sz w:val="16"/>
          <w:szCs w:val="16"/>
        </w:rPr>
        <w:t>В июле 1943 года СКБ завода «Компрессор» приступило к разработке башенно-палубных пусковых установок 8-М-8, 24-М-8 и 16-М-13 по техническому заданию Артиллерийского управления ВМФ. Особое внимание специалисты обращали на повышение тактико-технических характеристик.</w:t>
      </w:r>
    </w:p>
    <w:p w14:paraId="6D9DE6FF" w14:textId="77777777" w:rsidR="00E57D88" w:rsidRPr="00271E51" w:rsidRDefault="00E57D88" w:rsidP="00271E51">
      <w:pPr>
        <w:pStyle w:val="ae"/>
        <w:shd w:val="clear" w:color="auto" w:fill="FFFFFF"/>
        <w:spacing w:before="0" w:after="0"/>
        <w:jc w:val="both"/>
        <w:textAlignment w:val="baseline"/>
        <w:rPr>
          <w:color w:val="0070C0"/>
          <w:sz w:val="16"/>
          <w:szCs w:val="16"/>
        </w:rPr>
      </w:pPr>
      <w:r w:rsidRPr="00271E51">
        <w:rPr>
          <w:color w:val="0070C0"/>
          <w:sz w:val="16"/>
          <w:szCs w:val="16"/>
        </w:rPr>
        <w:t>В процессе эскизного проектирования от варианта 8-М-8 с восемью направляющими отказались. В июне 1944 года были изготовлены две опытные 24-М-8 с двадцатью четырьмя направляющими, а в июле-августе они прошли успешные испытания на море: установка №1101 была размещена на полубаке минного катера №29 типа Я-5, установка №1102 — на ходовой рубке торпедного катера Г-5 №413. 19 сентября 24-М-8 была принята на вооружение (19941).</w:t>
      </w:r>
    </w:p>
    <w:p w14:paraId="5DB3B806" w14:textId="77777777" w:rsidR="00E57D88" w:rsidRPr="00271E51" w:rsidRDefault="00E57D88" w:rsidP="00271E51">
      <w:pPr>
        <w:pStyle w:val="ae"/>
        <w:shd w:val="clear" w:color="auto" w:fill="FFFFFF"/>
        <w:spacing w:before="0" w:after="0"/>
        <w:jc w:val="both"/>
        <w:textAlignment w:val="baseline"/>
        <w:rPr>
          <w:color w:val="0070C0"/>
          <w:sz w:val="16"/>
          <w:szCs w:val="16"/>
        </w:rPr>
      </w:pPr>
    </w:p>
    <w:p w14:paraId="5FA85B1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8BA57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BE3EF2" w14:textId="77777777" w:rsidR="00204180" w:rsidRPr="00271E51" w:rsidRDefault="002041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А.А. Жданов направил на имя заместителя Председателя ГКО СССР В.М. Молотова и Председателя Государственной плановой комиссии при СНК СССР Н.А. Вознесенского документ, в котором обосновывалась целесообразность включения ленинградской промышленности в народнохозяйственный план страны. «При непосредственном руководстве заводами ленинградской промышленности со стороны наркоматов может быть лучше учтена важность той или иной продукции для страны, а соответственно, и приняты меры для увеличения выпуска и обеспечения предприятий средствами производства из ресурсов наркоматов», - отмечалось в документе2. Благодаря возросшим возможностям по обеспечению сношения Ленинграда с остальной территорией страны, процесс усиления кооперации индустрии города и ее все более глубокое включение в общий хозяйственный комплекс страны на протяжении 1943 г. набирал обороты (18297).</w:t>
      </w:r>
    </w:p>
    <w:p w14:paraId="4081D1FC" w14:textId="77777777" w:rsidR="00204180" w:rsidRPr="00271E51" w:rsidRDefault="00204180" w:rsidP="00271E51">
      <w:pPr>
        <w:spacing w:after="0" w:line="240" w:lineRule="auto"/>
        <w:jc w:val="both"/>
        <w:rPr>
          <w:rFonts w:ascii="Times New Roman" w:hAnsi="Times New Roman"/>
          <w:color w:val="000000" w:themeColor="text1"/>
          <w:sz w:val="16"/>
          <w:szCs w:val="16"/>
        </w:rPr>
      </w:pPr>
    </w:p>
    <w:p w14:paraId="4F6184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на завод № 512 перебазируется значительная часть ОТБ-98 с завода № 98, получившая название ОТБ-512 (существовало в период 1943-47 г.). Далее серийный завод № 512 был преобразован в Опытно-исследовательский завод № 512. В 1947 г. завод и ОТБ-512 преобразовали во вновь образованный отраслевой институт- НИИ-125, образованный на заводе (сейчас это НИХТИ).</w:t>
      </w:r>
    </w:p>
    <w:p w14:paraId="6B37D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p>
    <w:p w14:paraId="57A483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(1944-46 г.)- А.С. Бакаев (затем- зам. директора по научной части НИИ-125).</w:t>
      </w:r>
    </w:p>
    <w:p w14:paraId="5D54B9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512 НКБ, Опытный завод № 512 МСХМ</w:t>
      </w:r>
    </w:p>
    <w:p w14:paraId="164A6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Дзержинский Московской обл.</w:t>
      </w:r>
    </w:p>
    <w:p w14:paraId="40175F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ОТБ-512</w:t>
      </w:r>
    </w:p>
    <w:p w14:paraId="5BAF4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(1943-44 г.)- А.С. Бакаев.</w:t>
      </w:r>
    </w:p>
    <w:p w14:paraId="6D5D4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НИИ-125 МСХМ, ГКОТ, НИХТИ (химико-технологический), НПО "Союз" МОП, Государственное Люберецкое НПО "Союз" (ЛНПО "Союз") ММ, Федеральный Центр двойных технологий (ФЦДТ) «Союз» Росбоеприпаса</w:t>
      </w:r>
    </w:p>
    <w:p w14:paraId="2ED6F6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Дзержинский Московской обл.</w:t>
      </w:r>
    </w:p>
    <w:p w14:paraId="07ADE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завод № 512 и ОТБ-512 преобразовали в отраслевой институт - НИИ-125 МСХМ.</w:t>
      </w:r>
    </w:p>
    <w:p w14:paraId="3667A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в области пороховой промышленности. </w:t>
      </w:r>
    </w:p>
    <w:p w14:paraId="42150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НИИ-125 переименовано в НИХТИ. ЛНПО "Союз" образовано путем объединения Опытного завода и НИХТИ. В 1990 г. ЛНПО «Союз»- в ведении ММ. В 2004 г.- ФЦДТ «Союз». По Указу Президента РФ № 1009 от 4.08.2004 г. вошел в число стратегических оборонных предприятий.</w:t>
      </w:r>
    </w:p>
    <w:p w14:paraId="3B387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НИИ-125 - Б.П. Жуков, ЛНПО - З.П. Пак (затем- гендиректор «Росбоеприпаса»), ФЦДТ (1990-е)- Ю. Милехин.</w:t>
      </w:r>
    </w:p>
    <w:p w14:paraId="011675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научной части (1946-54 г.)- А.С. Бакаев. Научный руководитель- А.С. Бакаев.</w:t>
      </w:r>
    </w:p>
    <w:p w14:paraId="55ABEE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пороха для ПРД: заряд (НМ-4Ш) для торпеды РАТ-52, заряд для АРС-212 (1952-56), БНК для ракет; стартовые РДТТ: для ЗУР Р-112 (1949), для МБР «Тополь-М», БРТ «036» «Вихрь» (10776).</w:t>
      </w:r>
    </w:p>
    <w:p w14:paraId="3FEEF0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00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 1943 г. на завод 512 было переведено из Перми Особое бюро, находившегося ранее на среднеуральском пороховом заводе. Главным инженером Особого бюро был А.С.Бакаев. Несколько позднее он был переведен на должность главного инженера завода 512. </w:t>
      </w:r>
    </w:p>
    <w:p w14:paraId="669A38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Особенно возрос объем производства завода в 1944 г. Одной из важных предпосылок для этого явилось продолжавшееся расширение производственной базы завода. Мастерская варки пороховой массы, получив новое оборудование, изготовленное на среднеуральском заводе, перешла на новый прогрессивный полунепрерывный способ изготовления пороховой массы. </w:t>
      </w:r>
    </w:p>
    <w:p w14:paraId="4576D0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феврале 1944 г.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 </w:t>
      </w:r>
    </w:p>
    <w:p w14:paraId="7A26F9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w:t>
      </w:r>
      <w:r w:rsidRPr="00271E51">
        <w:rPr>
          <w:rFonts w:ascii="Times New Roman" w:hAnsi="Times New Roman"/>
          <w:color w:val="000000" w:themeColor="text1"/>
          <w:sz w:val="16"/>
          <w:szCs w:val="16"/>
        </w:rPr>
        <w:lastRenderedPageBreak/>
        <w:t xml:space="preserve">неизбежно удлиняло сроки сдачи готовой, продукции. </w:t>
      </w:r>
    </w:p>
    <w:p w14:paraId="444A38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6E6AC4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271E51">
        <w:rPr>
          <w:rFonts w:ascii="Times New Roman" w:hAnsi="Times New Roman"/>
          <w:iCs/>
          <w:color w:val="000000" w:themeColor="text1"/>
          <w:sz w:val="16"/>
          <w:szCs w:val="16"/>
        </w:rPr>
        <w:t>Так в тексте. вероятно имелось в виду М-13 и М-8 — im</w:t>
      </w:r>
      <w:r w:rsidRPr="00271E51">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11096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271E51">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271E51">
        <w:rPr>
          <w:rFonts w:ascii="Times New Roman" w:hAnsi="Times New Roman"/>
          <w:color w:val="000000" w:themeColor="text1"/>
          <w:sz w:val="16"/>
          <w:szCs w:val="16"/>
        </w:rPr>
        <w:t>] (11209).</w:t>
      </w:r>
    </w:p>
    <w:p w14:paraId="30B26F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B5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на завод № 512 (Завод № 512 НКБ, Опытный завод № 512 МСХМ /г. Люберцы (1941 г.),  г. Дзержинский Московской обл./)  перебазируется значительная часть ОТБ-98 с завода № 98, получившая название ОТБ-512 (существовало в период 1943-47 г.). В соответствии с пост. ГКО № 6261 от 28.07.1944 г. серийный завод № 512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591C49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271E51">
        <w:rPr>
          <w:rFonts w:ascii="Times New Roman" w:hAnsi="Times New Roman"/>
          <w:color w:val="000000" w:themeColor="text1"/>
          <w:sz w:val="16"/>
          <w:szCs w:val="16"/>
          <w:vertAlign w:val="superscript"/>
        </w:rPr>
        <w:t>92</w:t>
      </w:r>
    </w:p>
    <w:p w14:paraId="2D4AE7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(1943 г.): производственная- 7245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вспомогательная- 23245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2DA3A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(09.1941 г.)- 2695 чел., (12.1942 г.)- 1829 чел.</w:t>
      </w:r>
    </w:p>
    <w:p w14:paraId="7B6B3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строительства- Д.А. Резниченко. Директор (04.1943 г.)- Волгин.</w:t>
      </w:r>
    </w:p>
    <w:p w14:paraId="5A5BD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(04.1943 г.)- Рабинович, (1944-46 г.)- А.С. Бакаев.</w:t>
      </w:r>
    </w:p>
    <w:p w14:paraId="1147CD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w:t>
      </w:r>
      <w:r w:rsidRPr="00271E51">
        <w:rPr>
          <w:rFonts w:ascii="Times New Roman" w:hAnsi="Times New Roman"/>
          <w:color w:val="000000" w:themeColor="text1"/>
          <w:sz w:val="16"/>
          <w:szCs w:val="16"/>
          <w:lang w:val="en-US"/>
        </w:rPr>
        <w:t>BOB</w:t>
      </w:r>
      <w:r w:rsidRPr="00271E51">
        <w:rPr>
          <w:rFonts w:ascii="Times New Roman" w:hAnsi="Times New Roman"/>
          <w:color w:val="000000" w:themeColor="text1"/>
          <w:sz w:val="16"/>
          <w:szCs w:val="16"/>
        </w:rPr>
        <w:t>)- С.А. Мекалин.</w:t>
      </w:r>
      <w:r w:rsidRPr="00271E51">
        <w:rPr>
          <w:rFonts w:ascii="Times New Roman" w:hAnsi="Times New Roman"/>
          <w:color w:val="000000" w:themeColor="text1"/>
          <w:sz w:val="16"/>
          <w:szCs w:val="16"/>
          <w:vertAlign w:val="superscript"/>
        </w:rPr>
        <w:t>55</w:t>
      </w:r>
    </w:p>
    <w:p w14:paraId="0A998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М-31, П3-34, Н-12; заряды 82-мм, 120-мм, для П3-34 (1943).</w:t>
      </w:r>
      <w:r w:rsidRPr="00271E51">
        <w:rPr>
          <w:rFonts w:ascii="Times New Roman" w:hAnsi="Times New Roman"/>
          <w:color w:val="000000" w:themeColor="text1"/>
          <w:sz w:val="16"/>
          <w:szCs w:val="16"/>
          <w:vertAlign w:val="superscript"/>
        </w:rPr>
        <w:t>132</w:t>
      </w:r>
    </w:p>
    <w:p w14:paraId="3FD84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ОТБ-512</w:t>
      </w:r>
    </w:p>
    <w:p w14:paraId="66F87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65DED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(1943-44 г.)- А.С. Бакаев (11982).</w:t>
      </w:r>
    </w:p>
    <w:p w14:paraId="319CA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FC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в состав завода № 608 (ГС завод № 608 НКБ, МСХМ, Нововятский механический завод, ФГУП, ОАО «Нововятский механический завод» Росбоеприпаса /дер. Пенгино Кировской обл.;  г. Нововятск Кировской обл./ /610008  г. Киров ул. Советская, 51/2 тел. 31-80-00/) влит завод № 609 НКБ, расположенный в дер. Сапожнята Слободского р-на.</w:t>
      </w:r>
    </w:p>
    <w:p w14:paraId="6FE595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действовало 7 цехов, котельная, созданы транспортный цех и конный парк, железнодорожное хозяйство. В годы войны освоен выпуск запалов, взрывателей, корпусов ручных гранат.</w:t>
      </w:r>
    </w:p>
    <w:p w14:paraId="55AE4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1946-50 г. налажен выпуск сельхозтехники, ТНП, с 1957 г. выпускаются автоматические воздушные выключатели, насосы. С 1974 г. по итальянской лицензии начат выпуск кухонных электроплит.</w:t>
      </w:r>
    </w:p>
    <w:p w14:paraId="1930C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9.07.1996 г. завод вошел во вновь созданную ФПГ «Оборонметхимпром». По Указу Президента РФ № 1009 от 4.08.2004 г. ОАО вошло в число стратегических оборонных предприятий.</w:t>
      </w:r>
    </w:p>
    <w:p w14:paraId="0027BA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(12.1942 г.)- 479 чел.</w:t>
      </w:r>
      <w:r w:rsidRPr="00271E51">
        <w:rPr>
          <w:rFonts w:ascii="Times New Roman" w:hAnsi="Times New Roman"/>
          <w:color w:val="000000" w:themeColor="text1"/>
          <w:sz w:val="16"/>
          <w:szCs w:val="16"/>
          <w:vertAlign w:val="superscript"/>
        </w:rPr>
        <w:t>132</w:t>
      </w:r>
    </w:p>
    <w:p w14:paraId="0F302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(10.1941-10.1942 г.)- К.И. Бубнов, (10.1942-03.1946 г.)- А. Г. Оганезов, (03.1946-01.1947 г.)- И. Г. Наракашвили, (01-07.1947 г.)- Д.П. Вайцеховский, (07.1947-02.1949 г.)- А.А. Шибаев, (02.1949-11.1955 г.)- И.П. Канатов, (11.1955-12.1956 г.)- А.И. Пастухов, (12.1956-07.1959 г.)- М.В. Парфенов, (07.1959-07.1977 г.)- Л.С. Гусаков, (07.1977-09.1985 г.)- А.С. Лицарев, (09.1985-10.1988; 07.1997-2005 г.-)- М.К. Сафонов, (10.1988- 07.1997 г.)- Н.Е. Видлацкий.</w:t>
      </w:r>
    </w:p>
    <w:p w14:paraId="45DE33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гранаты Ф-1 (1941-), РГ-42 (1942-); насосы: центробежный Н-403, шестеренные (1957-); электроплиты: «Электра-1001» (1980-е), «Электра-1002», «Ново-Вятка» (2000); электроплитка «Искорка» (1986-), газовые плиты, автоматический выключатель ВА 09-33 (2000-е).</w:t>
      </w:r>
      <w:r w:rsidRPr="00271E51">
        <w:rPr>
          <w:rFonts w:ascii="Times New Roman" w:hAnsi="Times New Roman"/>
          <w:color w:val="000000" w:themeColor="text1"/>
          <w:sz w:val="16"/>
          <w:szCs w:val="16"/>
          <w:vertAlign w:val="superscript"/>
        </w:rPr>
        <w:t>101</w:t>
      </w:r>
    </w:p>
    <w:p w14:paraId="785966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«Ново-Вятка» /610008  г. Киров ул. Советская, 51/2 тел. 31-80-00/</w:t>
      </w:r>
    </w:p>
    <w:p w14:paraId="18B57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в 2000-е  г. По Указу Президента РФ № 1009 от 4.08.2004 г. вошло в число стратегических оборонных предприятий (11982).</w:t>
      </w:r>
    </w:p>
    <w:p w14:paraId="044AFF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03050"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Июль 1943 г.</w:t>
      </w:r>
    </w:p>
    <w:p w14:paraId="47DA3B4A"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Справка Куйбышевского обкома ВКП(б) о работе заводов оборонной промышленности области в I полугодии 1943 г.</w:t>
      </w:r>
    </w:p>
    <w:p w14:paraId="1A2151A3"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p>
    <w:p w14:paraId="0B45A632"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Гпава 3. Боеприпасы и взрывчатые вещества</w:t>
      </w:r>
    </w:p>
    <w:p w14:paraId="0A0586B0"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Оборонная промышленность области в целом выполнила план полугодия на 90%, дав продукции на 905484 т. р., что составляет</w:t>
      </w:r>
    </w:p>
    <w:p w14:paraId="110CBC19"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против фактического выпуска I полугодия 1942 г. - 120,6%, или на 153832 тыс. руб. больше. Против II полугодия 1942 г. - 93%, или на 69626 тыс. руб. меньше.</w:t>
      </w:r>
    </w:p>
    <w:p w14:paraId="3098BA5D"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10 заводов выполнили полугодовой план 5, которые дали сверх плана полугодия в фонд Главного Командования Красной Армии 18402 тыс. руб. в т. ч.:</w:t>
      </w:r>
    </w:p>
    <w:p w14:paraId="6E324CDC"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309 - 9548</w:t>
      </w:r>
    </w:p>
    <w:p w14:paraId="1ABB9447"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525 - 7604</w:t>
      </w:r>
    </w:p>
    <w:p w14:paraId="2934211D"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530 - 615</w:t>
      </w:r>
    </w:p>
    <w:p w14:paraId="4FE72DA6"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Артполигон - 500</w:t>
      </w:r>
    </w:p>
    <w:p w14:paraId="72CF2A85"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Алек, серный - 135.</w:t>
      </w:r>
    </w:p>
    <w:p w14:paraId="109F1BC4"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Отношение фактического выпуска продукции I полугодия 1943 г. к I полугодию 1942 г. составляет по заводам в %%:</w:t>
      </w:r>
    </w:p>
    <w:p w14:paraId="42F8F3F6"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13 - 186</w:t>
      </w:r>
    </w:p>
    <w:p w14:paraId="63B40253"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15 - 126</w:t>
      </w:r>
    </w:p>
    <w:p w14:paraId="0BCA21D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42 - 79,7</w:t>
      </w:r>
    </w:p>
    <w:p w14:paraId="64800579"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102 - 119,5</w:t>
      </w:r>
    </w:p>
    <w:p w14:paraId="1E5ED5CA"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309 - 133,0</w:t>
      </w:r>
    </w:p>
    <w:p w14:paraId="373C7043"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525 - 203</w:t>
      </w:r>
    </w:p>
    <w:p w14:paraId="24AB97ED"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530 - 126,3</w:t>
      </w:r>
    </w:p>
    <w:p w14:paraId="65F033EA"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676 - 418,0</w:t>
      </w:r>
    </w:p>
    <w:p w14:paraId="4B048986"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Артполигон -221,0</w:t>
      </w:r>
    </w:p>
    <w:p w14:paraId="081CBAA4"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Алек, серный - 129,5.</w:t>
      </w:r>
    </w:p>
    <w:p w14:paraId="5130DAB4"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Таким образом только завод № 42 на 20% дал меньше продукции, чем в I полугодии 1942 г.</w:t>
      </w:r>
    </w:p>
    <w:p w14:paraId="5A42FCE9"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Только пять заводов дали увеличение выпуска в сравнении со II полугодием 1942 г. от 1,5 до 7,5%. А пять заводов дали продукции гораздо меньше, особенно заводы № 42 и 102.</w:t>
      </w:r>
    </w:p>
    <w:p w14:paraId="56ED6876"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Среднемесячный выпуск продукции по отрасли в I полугодии 1943 г. равен 150867 тыс. руб., что составляет к среднемесячному выпуску 1942 г. 105%, а без завода № 42 - 120%. Отношение к среднемесячному выпуску 1942 г. по заводам составляет в %%:</w:t>
      </w:r>
    </w:p>
    <w:p w14:paraId="6CCD4D55"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Артполигон - 145</w:t>
      </w:r>
      <w:r w:rsidRPr="00271E51">
        <w:rPr>
          <w:rFonts w:ascii="Times New Roman" w:hAnsi="Times New Roman"/>
          <w:color w:val="0070C0"/>
          <w:sz w:val="16"/>
          <w:szCs w:val="16"/>
        </w:rPr>
        <w:tab/>
        <w:t>завод № 309 - 116</w:t>
      </w:r>
    </w:p>
    <w:p w14:paraId="1B1CA73F"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525 - 139</w:t>
      </w:r>
      <w:r w:rsidRPr="00271E51">
        <w:rPr>
          <w:rFonts w:ascii="Times New Roman" w:hAnsi="Times New Roman"/>
          <w:color w:val="0070C0"/>
          <w:sz w:val="16"/>
          <w:szCs w:val="16"/>
        </w:rPr>
        <w:tab/>
        <w:t>завод № 15 - 107</w:t>
      </w:r>
    </w:p>
    <w:p w14:paraId="3548EEFC"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13 - 134</w:t>
      </w:r>
      <w:r w:rsidRPr="00271E51">
        <w:rPr>
          <w:rFonts w:ascii="Times New Roman" w:hAnsi="Times New Roman"/>
          <w:color w:val="0070C0"/>
          <w:sz w:val="16"/>
          <w:szCs w:val="16"/>
        </w:rPr>
        <w:tab/>
        <w:t>Алек, серный - 100</w:t>
      </w:r>
    </w:p>
    <w:p w14:paraId="4A04FDE2"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676 - 127</w:t>
      </w:r>
      <w:r w:rsidRPr="00271E51">
        <w:rPr>
          <w:rFonts w:ascii="Times New Roman" w:hAnsi="Times New Roman"/>
          <w:color w:val="0070C0"/>
          <w:sz w:val="16"/>
          <w:szCs w:val="16"/>
        </w:rPr>
        <w:tab/>
        <w:t>завод №102-98</w:t>
      </w:r>
    </w:p>
    <w:p w14:paraId="3C8C93C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530 - 117</w:t>
      </w:r>
      <w:r w:rsidRPr="00271E51">
        <w:rPr>
          <w:rFonts w:ascii="Times New Roman" w:hAnsi="Times New Roman"/>
          <w:color w:val="0070C0"/>
          <w:sz w:val="16"/>
          <w:szCs w:val="16"/>
        </w:rPr>
        <w:tab/>
        <w:t>завод № 42-79.</w:t>
      </w:r>
    </w:p>
    <w:p w14:paraId="780D25FB"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Ни один завод не выполнил обязательств - дать продукции в 1943 г. в 1,5 раза больше, чем в 1942 г.</w:t>
      </w:r>
    </w:p>
    <w:p w14:paraId="2B770A57"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Приведенные данные показывают, что в I полугодии 1943 г. особенно плохо работали заводы № 42 и 102, которые по всем показателям </w:t>
      </w:r>
    </w:p>
    <w:p w14:paraId="10D484B3"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идут ниже достигнутых в прошлом году.</w:t>
      </w:r>
    </w:p>
    <w:p w14:paraId="43F3796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Несмотря на выполнение плана I полугодия заводы № 309 и 530, а также завод № 15 далеки от выполнения взятых куйбышевцами обязательств.</w:t>
      </w:r>
    </w:p>
    <w:p w14:paraId="6E845A79"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выполнения взятых обязательств заводам необходимо выполнять существующий месячный план в течение всего II полугодия в %%.</w:t>
      </w:r>
    </w:p>
    <w:p w14:paraId="668FC4CC"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1.</w:t>
      </w:r>
      <w:r w:rsidRPr="00271E51">
        <w:rPr>
          <w:rFonts w:ascii="Times New Roman" w:hAnsi="Times New Roman"/>
          <w:color w:val="0070C0"/>
          <w:sz w:val="16"/>
          <w:szCs w:val="16"/>
        </w:rPr>
        <w:tab/>
        <w:t>Артполигон на 108</w:t>
      </w:r>
      <w:r w:rsidRPr="00271E51">
        <w:rPr>
          <w:rFonts w:ascii="Times New Roman" w:hAnsi="Times New Roman"/>
          <w:color w:val="0070C0"/>
          <w:sz w:val="16"/>
          <w:szCs w:val="16"/>
        </w:rPr>
        <w:tab/>
        <w:t>6. завод № 530 - 132</w:t>
      </w:r>
    </w:p>
    <w:p w14:paraId="347DB53B"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w:t>
      </w:r>
      <w:r w:rsidRPr="00271E51">
        <w:rPr>
          <w:rFonts w:ascii="Times New Roman" w:hAnsi="Times New Roman"/>
          <w:color w:val="0070C0"/>
          <w:sz w:val="16"/>
          <w:szCs w:val="16"/>
        </w:rPr>
        <w:tab/>
        <w:t>завод № 676 - ИЗ</w:t>
      </w:r>
      <w:r w:rsidRPr="00271E51">
        <w:rPr>
          <w:rFonts w:ascii="Times New Roman" w:hAnsi="Times New Roman"/>
          <w:color w:val="0070C0"/>
          <w:sz w:val="16"/>
          <w:szCs w:val="16"/>
        </w:rPr>
        <w:tab/>
        <w:t>7. завод № 309 - 155</w:t>
      </w:r>
    </w:p>
    <w:p w14:paraId="559E5A38"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w:t>
      </w:r>
      <w:r w:rsidRPr="00271E51">
        <w:rPr>
          <w:rFonts w:ascii="Times New Roman" w:hAnsi="Times New Roman"/>
          <w:color w:val="0070C0"/>
          <w:sz w:val="16"/>
          <w:szCs w:val="16"/>
        </w:rPr>
        <w:tab/>
        <w:t>завод № 13-119</w:t>
      </w:r>
      <w:r w:rsidRPr="00271E51">
        <w:rPr>
          <w:rFonts w:ascii="Times New Roman" w:hAnsi="Times New Roman"/>
          <w:color w:val="0070C0"/>
          <w:sz w:val="16"/>
          <w:szCs w:val="16"/>
        </w:rPr>
        <w:tab/>
        <w:t>8. завод № 15 - 168</w:t>
      </w:r>
    </w:p>
    <w:p w14:paraId="36F8029E"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w:t>
      </w:r>
      <w:r w:rsidRPr="00271E51">
        <w:rPr>
          <w:rFonts w:ascii="Times New Roman" w:hAnsi="Times New Roman"/>
          <w:color w:val="0070C0"/>
          <w:sz w:val="16"/>
          <w:szCs w:val="16"/>
        </w:rPr>
        <w:tab/>
        <w:t>завод № 525 - 127</w:t>
      </w:r>
      <w:r w:rsidRPr="00271E51">
        <w:rPr>
          <w:rFonts w:ascii="Times New Roman" w:hAnsi="Times New Roman"/>
          <w:color w:val="0070C0"/>
          <w:sz w:val="16"/>
          <w:szCs w:val="16"/>
        </w:rPr>
        <w:tab/>
        <w:t>9. завод № 42 - 250</w:t>
      </w:r>
    </w:p>
    <w:p w14:paraId="63892CEE"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w:t>
      </w:r>
      <w:r w:rsidRPr="00271E51">
        <w:rPr>
          <w:rFonts w:ascii="Times New Roman" w:hAnsi="Times New Roman"/>
          <w:color w:val="0070C0"/>
          <w:sz w:val="16"/>
          <w:szCs w:val="16"/>
        </w:rPr>
        <w:tab/>
        <w:t>завод № 102 - 131</w:t>
      </w:r>
      <w:r w:rsidRPr="00271E51">
        <w:rPr>
          <w:rFonts w:ascii="Times New Roman" w:hAnsi="Times New Roman"/>
          <w:color w:val="0070C0"/>
          <w:sz w:val="16"/>
          <w:szCs w:val="16"/>
        </w:rPr>
        <w:tab/>
        <w:t>10. Алек, серный - 250.</w:t>
      </w:r>
    </w:p>
    <w:p w14:paraId="208D95E2"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ОБЩАЯ ХАРАКТЕРИСТИКА РАБОТЫ ЗАВОДОВ</w:t>
      </w:r>
    </w:p>
    <w:p w14:paraId="72BBB665"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Оборонная промышленность в целом в I полугодии 1943 г. работала лучше по сравнению с I полугодием 1942 г., дав прирост продукции </w:t>
      </w:r>
    </w:p>
    <w:p w14:paraId="265142D8"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20,6%. Эта цифра была бы значительно выше, если бы завод № 42 своей безобразной работой не тянул всю промышленность вниз.</w:t>
      </w:r>
    </w:p>
    <w:p w14:paraId="167E1F94"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Без завода № 42 остальные 9 предприятий имеют следующие показатели:</w:t>
      </w:r>
    </w:p>
    <w:p w14:paraId="7F8E32B3"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Суммарный план I полугодия 1943 г. выполнен на.... 100,4%</w:t>
      </w:r>
    </w:p>
    <w:p w14:paraId="0D3BF73D"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Отношение к I полугодию 1942 г. составляет........ 143,0%</w:t>
      </w:r>
    </w:p>
    <w:p w14:paraId="50889C87"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Отношение к II полугодию 1942 г. составляет....... 100,1%.</w:t>
      </w:r>
    </w:p>
    <w:p w14:paraId="23E9B7D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Хотя и в этой группе тоже недовыполнили план полугодия заводы №№ 102, 676, 15 и 13.</w:t>
      </w:r>
    </w:p>
    <w:p w14:paraId="583D9F6C"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В текущем году заводами оборонной промышленности проведен ряд работ, увеличивающих выпуск продукции и замену дефицитного </w:t>
      </w:r>
    </w:p>
    <w:p w14:paraId="4F19CB8C"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сырья.</w:t>
      </w:r>
    </w:p>
    <w:p w14:paraId="2BA2A77B"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заводе № 15 созданы две комплексные мастерские с конвейерами № 450 и 418, эти мероприятия освободили транспортировку корпусов (4 автомашины) и повысили производительность на 30%. Разработан и внедрен в производство метод получения сульфитаммония из аммиака, вместо остродефицитного сульфитнатрия. Освоено производство О. X. 76 мм снарядов. Переконструированы аппараты «Хемико» в цехах переработки кислот, повысившие производительность на 300%, усовершенствовано сушильное отделение цеха № 9, что позволило поднять выпуск продукции по цеху почти в два раза и др.</w:t>
      </w:r>
    </w:p>
    <w:p w14:paraId="19FFE98F"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На заводе № 525 организован поток по изготовлению затвора, коробки и других деталей изделия ДШК. Пустили в эксплуатацию элекгросталелитейный цех. Изготовили своими силами электропечь. Освоили литье столов и вертлюгов для ДШК. Пустили массовое изготовление зенприцелов. Усовершенствованием технологии снизили время изготовления: </w:t>
      </w:r>
    </w:p>
    <w:p w14:paraId="09AFDE8E"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Шкас на 20%, ДШК на 26%, СДШК на 51%. Увеличили выпуск машин ДШК на 40%. Перевели на штамповку - крышку, ручку заряжания и др. детали. Замена фрезерования - протяжкой и др.</w:t>
      </w:r>
    </w:p>
    <w:p w14:paraId="3AF9ABA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заводе № 309 совершенствованием технологии и аппаратуры увеличили выпуск Азида на 20%. Проведен ряд работ по механизации, чем высвобождено свыше 700 рабочих, и созданы на этих работах более безопасные условия труда. Увеличен выпуск продукции с единицы оборудования на 70% путем перехода на много пуансонное прессование в цехах № 1,4, 11. Внедрено автоматическое питание на прессах в цехах № 3 и 11, что дало возможность обслуживать одной работнице два пресса. Внедрено около ста рацпредложений с годовой экономией на сумму свыше 6 млн. рублей и др.</w:t>
      </w:r>
    </w:p>
    <w:p w14:paraId="173A024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Из анализа работы полугодия видно, что промышленность работала неравномерно - часть заводов выполняла план, часть их не выполняла. </w:t>
      </w:r>
    </w:p>
    <w:p w14:paraId="27752506"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Неравномерность в работе присуща и каждому отдельному заводу, в т.ч. выполняющему план.</w:t>
      </w:r>
    </w:p>
    <w:p w14:paraId="541A0D80"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ГАСЛИ</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w:t>
      </w:r>
      <w:r w:rsidRPr="00271E51">
        <w:rPr>
          <w:rFonts w:ascii="Times New Roman" w:hAnsi="Times New Roman"/>
          <w:color w:val="0070C0"/>
          <w:sz w:val="16"/>
          <w:szCs w:val="16"/>
          <w:lang w:val="en-US"/>
        </w:rPr>
        <w:t xml:space="preserve">. 656. On. 21. </w:t>
      </w:r>
      <w:r w:rsidRPr="00271E51">
        <w:rPr>
          <w:rFonts w:ascii="Times New Roman" w:hAnsi="Times New Roman"/>
          <w:color w:val="0070C0"/>
          <w:sz w:val="16"/>
          <w:szCs w:val="16"/>
        </w:rPr>
        <w:t>Д</w:t>
      </w:r>
      <w:r w:rsidRPr="00271E51">
        <w:rPr>
          <w:rFonts w:ascii="Times New Roman" w:hAnsi="Times New Roman"/>
          <w:color w:val="0070C0"/>
          <w:sz w:val="16"/>
          <w:szCs w:val="16"/>
          <w:lang w:val="en-US"/>
        </w:rPr>
        <w:t xml:space="preserve">. 4. </w:t>
      </w:r>
      <w:r w:rsidRPr="00271E51">
        <w:rPr>
          <w:rFonts w:ascii="Times New Roman" w:hAnsi="Times New Roman"/>
          <w:color w:val="0070C0"/>
          <w:sz w:val="16"/>
          <w:szCs w:val="16"/>
        </w:rPr>
        <w:t>Л</w:t>
      </w:r>
      <w:r w:rsidRPr="00271E51">
        <w:rPr>
          <w:rFonts w:ascii="Times New Roman" w:hAnsi="Times New Roman"/>
          <w:color w:val="0070C0"/>
          <w:sz w:val="16"/>
          <w:szCs w:val="16"/>
          <w:lang w:val="en-US"/>
        </w:rPr>
        <w:t xml:space="preserve">. 23-25. </w:t>
      </w:r>
      <w:r w:rsidRPr="00271E51">
        <w:rPr>
          <w:rFonts w:ascii="Times New Roman" w:hAnsi="Times New Roman"/>
          <w:color w:val="0070C0"/>
          <w:sz w:val="16"/>
          <w:szCs w:val="16"/>
        </w:rPr>
        <w:t>Копт. (20412).</w:t>
      </w:r>
    </w:p>
    <w:p w14:paraId="0684DBCB" w14:textId="77777777" w:rsidR="00E57D88" w:rsidRPr="00271E51" w:rsidRDefault="00E57D88" w:rsidP="00271E51">
      <w:pPr>
        <w:spacing w:after="0" w:line="240" w:lineRule="auto"/>
        <w:jc w:val="both"/>
        <w:rPr>
          <w:rFonts w:ascii="Times New Roman" w:hAnsi="Times New Roman"/>
          <w:color w:val="0070C0"/>
          <w:sz w:val="16"/>
          <w:szCs w:val="16"/>
        </w:rPr>
      </w:pPr>
    </w:p>
    <w:p w14:paraId="190D1C5B" w14:textId="77777777" w:rsidR="00E57D88" w:rsidRPr="00271E51" w:rsidRDefault="00E57D88"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июле 1943 года внедрили предусмотренные по итогам испытаний весны 1943 года изменения конструкции ЗИС-2. Доработали затвор, стопоры станин, к крышкам колесных ступиц приварили выступы, куда крепились лямки для упрощения перевозки орудия по полю боя. Также установили специальный каток, предназначенный для облегчения перемещения орудия по полю. На станинах установили колесный тормоз с использованием элементов конструкции 45-мм противотанковой пушки М6. Испытания показали, что упрочненные гильзы выпуска завода №556 всё еще работали неудовлетворительно. Продолжались и проблемы с экстракцией гильз. В результате орудие продолжали дорабатывать. Поэтому даже пушки валового выпуска 1943 года потихоньку менялись. Продолжались изменения и в дальнейшем, посему понятие "эталонной" ЗИС-2 1943 года выпуска являлось понятием растяжимым. Это неплохо видно и по орудиям, сохранившимся в музеях (21143).</w:t>
      </w:r>
    </w:p>
    <w:p w14:paraId="270593B2" w14:textId="77777777" w:rsidR="00E57D88" w:rsidRPr="00271E51" w:rsidRDefault="00E57D88" w:rsidP="00271E51">
      <w:pPr>
        <w:shd w:val="clear" w:color="auto" w:fill="FFFFFF"/>
        <w:spacing w:after="0" w:line="240" w:lineRule="auto"/>
        <w:jc w:val="both"/>
        <w:rPr>
          <w:rFonts w:ascii="Times New Roman" w:hAnsi="Times New Roman"/>
          <w:color w:val="0070C0"/>
          <w:sz w:val="16"/>
          <w:szCs w:val="16"/>
        </w:rPr>
      </w:pPr>
    </w:p>
    <w:p w14:paraId="4C2C1665"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на ЧКЗ приехала с проверкой комиссия Госу</w:t>
      </w:r>
      <w:r w:rsidRPr="00271E51">
        <w:rPr>
          <w:rFonts w:ascii="Times New Roman" w:hAnsi="Times New Roman"/>
          <w:color w:val="000000" w:themeColor="text1"/>
          <w:sz w:val="16"/>
          <w:szCs w:val="16"/>
        </w:rPr>
        <w:softHyphen/>
        <w:t>дарственного Комитета Обороны под руко</w:t>
      </w:r>
      <w:r w:rsidRPr="00271E51">
        <w:rPr>
          <w:rFonts w:ascii="Times New Roman" w:hAnsi="Times New Roman"/>
          <w:color w:val="000000" w:themeColor="text1"/>
          <w:sz w:val="16"/>
          <w:szCs w:val="16"/>
        </w:rPr>
        <w:softHyphen/>
        <w:t xml:space="preserve">водством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xml:space="preserve">. Берия (В это время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Берия являлся заместителем председателя ГКО И. Сталина, а также являл</w:t>
      </w:r>
      <w:r w:rsidRPr="00271E51">
        <w:rPr>
          <w:rFonts w:ascii="Times New Roman" w:hAnsi="Times New Roman"/>
          <w:color w:val="000000" w:themeColor="text1"/>
          <w:sz w:val="16"/>
          <w:szCs w:val="16"/>
        </w:rPr>
        <w:softHyphen/>
        <w:t>ся председателем Оперативного бюро ГКО. В за</w:t>
      </w:r>
      <w:r w:rsidRPr="00271E51">
        <w:rPr>
          <w:rFonts w:ascii="Times New Roman" w:hAnsi="Times New Roman"/>
          <w:color w:val="000000" w:themeColor="text1"/>
          <w:sz w:val="16"/>
          <w:szCs w:val="16"/>
        </w:rPr>
        <w:softHyphen/>
        <w:t>дачи последнего, помимо прочего, входил контроль за работой всех наркоматов оборонной промыш</w:t>
      </w:r>
      <w:r w:rsidRPr="00271E51">
        <w:rPr>
          <w:rFonts w:ascii="Times New Roman" w:hAnsi="Times New Roman"/>
          <w:color w:val="000000" w:themeColor="text1"/>
          <w:sz w:val="16"/>
          <w:szCs w:val="16"/>
        </w:rPr>
        <w:softHyphen/>
        <w:t>ленности). Видимо как следствие визита столь высо</w:t>
      </w:r>
      <w:r w:rsidRPr="00271E51">
        <w:rPr>
          <w:rFonts w:ascii="Times New Roman" w:hAnsi="Times New Roman"/>
          <w:color w:val="000000" w:themeColor="text1"/>
          <w:sz w:val="16"/>
          <w:szCs w:val="16"/>
        </w:rPr>
        <w:softHyphen/>
        <w:t xml:space="preserve">кого руководства стало то, что Кировский завод в июле перевыполнил план выпуска по танкам. В частности, по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-1С было принято 52 машины (включая две опытных с 85-мм пушками) при плане 38. Представи</w:t>
      </w:r>
      <w:r w:rsidRPr="00271E51">
        <w:rPr>
          <w:rFonts w:ascii="Times New Roman" w:hAnsi="Times New Roman"/>
          <w:color w:val="000000" w:themeColor="text1"/>
          <w:sz w:val="16"/>
          <w:szCs w:val="16"/>
        </w:rPr>
        <w:softHyphen/>
        <w:t>тель военной приемки на ЧКЗ докладывал в ГБТУ КА следующее:</w:t>
      </w:r>
    </w:p>
    <w:p w14:paraId="5264119C" w14:textId="77777777" w:rsidR="00715334" w:rsidRPr="00271E51" w:rsidRDefault="0071533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«Одним из обстоятельств, способствовав</w:t>
      </w:r>
      <w:r w:rsidRPr="00271E51">
        <w:rPr>
          <w:rFonts w:ascii="Times New Roman" w:hAnsi="Times New Roman"/>
          <w:color w:val="000000" w:themeColor="text1"/>
          <w:sz w:val="16"/>
          <w:szCs w:val="16"/>
        </w:rPr>
        <w:softHyphen/>
        <w:t>ших выполнению программы являлся ре</w:t>
      </w:r>
      <w:r w:rsidRPr="00271E51">
        <w:rPr>
          <w:rFonts w:ascii="Times New Roman" w:hAnsi="Times New Roman"/>
          <w:color w:val="000000" w:themeColor="text1"/>
          <w:sz w:val="16"/>
          <w:szCs w:val="16"/>
        </w:rPr>
        <w:softHyphen/>
        <w:t>зультат работы комиссии ГКО и приезд тов. Берия. Ряд данных указаний по организа</w:t>
      </w:r>
      <w:r w:rsidRPr="00271E51">
        <w:rPr>
          <w:rFonts w:ascii="Times New Roman" w:hAnsi="Times New Roman"/>
          <w:color w:val="000000" w:themeColor="text1"/>
          <w:sz w:val="16"/>
          <w:szCs w:val="16"/>
        </w:rPr>
        <w:softHyphen/>
        <w:t>ционным и техническим вопросам заводом выполнен, и это дало свои результаты. За</w:t>
      </w:r>
      <w:r w:rsidRPr="00271E51">
        <w:rPr>
          <w:rFonts w:ascii="Times New Roman" w:hAnsi="Times New Roman"/>
          <w:color w:val="000000" w:themeColor="text1"/>
          <w:sz w:val="16"/>
          <w:szCs w:val="16"/>
        </w:rPr>
        <w:softHyphen/>
        <w:t>вод впервые работал по суточному графи</w:t>
      </w:r>
      <w:r w:rsidRPr="00271E51">
        <w:rPr>
          <w:rFonts w:ascii="Times New Roman" w:hAnsi="Times New Roman"/>
          <w:color w:val="000000" w:themeColor="text1"/>
          <w:sz w:val="16"/>
          <w:szCs w:val="16"/>
        </w:rPr>
        <w:softHyphen/>
        <w:t>ку, и все замечания по отправке оператив</w:t>
      </w:r>
      <w:r w:rsidRPr="00271E51">
        <w:rPr>
          <w:rFonts w:ascii="Times New Roman" w:hAnsi="Times New Roman"/>
          <w:color w:val="000000" w:themeColor="text1"/>
          <w:sz w:val="16"/>
          <w:szCs w:val="16"/>
        </w:rPr>
        <w:softHyphen/>
        <w:t>ных транспортов были выполнены. Узким местом в работе завода являлось и является, требующееся для заводских цехов количе</w:t>
      </w:r>
      <w:r w:rsidRPr="00271E51">
        <w:rPr>
          <w:rFonts w:ascii="Times New Roman" w:hAnsi="Times New Roman"/>
          <w:color w:val="000000" w:themeColor="text1"/>
          <w:sz w:val="16"/>
          <w:szCs w:val="16"/>
        </w:rPr>
        <w:softHyphen/>
        <w:t>ство металлов, как по маркам, так и по ко</w:t>
      </w:r>
      <w:r w:rsidRPr="00271E51">
        <w:rPr>
          <w:rFonts w:ascii="Times New Roman" w:hAnsi="Times New Roman"/>
          <w:color w:val="000000" w:themeColor="text1"/>
          <w:sz w:val="16"/>
          <w:szCs w:val="16"/>
        </w:rPr>
        <w:softHyphen/>
        <w:t>личествам.</w:t>
      </w:r>
    </w:p>
    <w:p w14:paraId="64045D3E" w14:textId="77777777" w:rsidR="00715334" w:rsidRPr="00271E51" w:rsidRDefault="0071533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Качество принятых в июле машин значи</w:t>
      </w:r>
      <w:r w:rsidRPr="00271E51">
        <w:rPr>
          <w:rFonts w:ascii="Times New Roman" w:cs="Times New Roman"/>
          <w:color w:val="000000" w:themeColor="text1"/>
          <w:spacing w:val="0"/>
        </w:rPr>
        <w:softHyphen/>
        <w:t>тельно возросло, что подтверждается прово</w:t>
      </w:r>
      <w:r w:rsidRPr="00271E51">
        <w:rPr>
          <w:rFonts w:ascii="Times New Roman" w:cs="Times New Roman"/>
          <w:color w:val="000000" w:themeColor="text1"/>
          <w:spacing w:val="0"/>
        </w:rPr>
        <w:softHyphen/>
        <w:t xml:space="preserve">димыми испытаниями на 300 км двух Т-34 и одного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июльского выпуска. Танки прошли его без каких-либо значительных за</w:t>
      </w:r>
      <w:r w:rsidRPr="00271E51">
        <w:rPr>
          <w:rFonts w:ascii="Times New Roman" w:cs="Times New Roman"/>
          <w:color w:val="000000" w:themeColor="text1"/>
          <w:spacing w:val="0"/>
        </w:rPr>
        <w:softHyphen/>
        <w:t>мечаний, и испытание им зачтено» (15226).</w:t>
      </w:r>
    </w:p>
    <w:p w14:paraId="167A0FFB" w14:textId="77777777" w:rsidR="00715334" w:rsidRPr="00271E51" w:rsidRDefault="00715334" w:rsidP="00271E51">
      <w:pPr>
        <w:pStyle w:val="27"/>
        <w:shd w:val="clear" w:color="auto" w:fill="auto"/>
        <w:spacing w:after="0" w:line="240" w:lineRule="auto"/>
        <w:ind w:firstLine="0"/>
        <w:rPr>
          <w:rFonts w:ascii="Times New Roman" w:cs="Times New Roman"/>
          <w:color w:val="000000" w:themeColor="text1"/>
          <w:spacing w:val="0"/>
        </w:rPr>
      </w:pPr>
    </w:p>
    <w:p w14:paraId="63C3DEB5" w14:textId="77777777" w:rsidR="00715334" w:rsidRPr="00271E51" w:rsidRDefault="0071533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июле 1943 года на ЧКЗ начали сборку двух опытных КВ-1С, получивших обозначения «объект 238» и «объект 239». На первом, который в некоторых документах именовался КВ-85Г, установили орудие С-31 (отсюда и индекс Г - пушка Грабина). Второй танк - КВ-85 - представлял собой шасси второ</w:t>
      </w:r>
      <w:r w:rsidRPr="00271E51">
        <w:rPr>
          <w:rFonts w:ascii="Times New Roman" w:cs="Times New Roman"/>
          <w:color w:val="000000" w:themeColor="text1"/>
          <w:spacing w:val="0"/>
        </w:rPr>
        <w:softHyphen/>
        <w:t>го образца КВ-1С (№ 15002), с установлен</w:t>
      </w:r>
      <w:r w:rsidRPr="00271E51">
        <w:rPr>
          <w:rFonts w:ascii="Times New Roman" w:cs="Times New Roman"/>
          <w:color w:val="000000" w:themeColor="text1"/>
          <w:spacing w:val="0"/>
        </w:rPr>
        <w:softHyphen/>
        <w:t>ной на расширенный до 1760 мм погон баш</w:t>
      </w:r>
      <w:r w:rsidRPr="00271E51">
        <w:rPr>
          <w:rFonts w:ascii="Times New Roman" w:cs="Times New Roman"/>
          <w:color w:val="000000" w:themeColor="text1"/>
          <w:spacing w:val="0"/>
        </w:rPr>
        <w:softHyphen/>
        <w:t>ни от опытного танка «объект 237» (будущий ИС-85)</w:t>
      </w:r>
      <w:r w:rsidRPr="00271E51">
        <w:rPr>
          <w:rStyle w:val="BodytextBoldItalic"/>
          <w:rFonts w:eastAsia="Gungsuh"/>
          <w:b w:val="0"/>
          <w:i w:val="0"/>
          <w:color w:val="000000" w:themeColor="text1"/>
          <w:sz w:val="16"/>
          <w:szCs w:val="16"/>
        </w:rPr>
        <w:t>.</w:t>
      </w:r>
      <w:r w:rsidRPr="00271E51">
        <w:rPr>
          <w:rFonts w:ascii="Times New Roman" w:cs="Times New Roman"/>
          <w:color w:val="000000" w:themeColor="text1"/>
          <w:spacing w:val="0"/>
        </w:rPr>
        <w:t xml:space="preserve"> Из-за увеличения диаметра погона не осталось места для стрел</w:t>
      </w:r>
      <w:r w:rsidRPr="00271E51">
        <w:rPr>
          <w:rFonts w:ascii="Times New Roman" w:cs="Times New Roman"/>
          <w:color w:val="000000" w:themeColor="text1"/>
          <w:spacing w:val="0"/>
        </w:rPr>
        <w:softHyphen/>
        <w:t>ка-радиста. Поэтому отверстие для шаровой установки пулемета в лобовом листе корпу</w:t>
      </w:r>
      <w:r w:rsidRPr="00271E51">
        <w:rPr>
          <w:rFonts w:ascii="Times New Roman" w:cs="Times New Roman"/>
          <w:color w:val="000000" w:themeColor="text1"/>
          <w:spacing w:val="0"/>
        </w:rPr>
        <w:softHyphen/>
        <w:t>са заварили. Пулемет перенесли на правую сторону и смонтировали его в неподвижной бронировке. Огонь из него вел механик-во</w:t>
      </w:r>
      <w:r w:rsidRPr="00271E51">
        <w:rPr>
          <w:rFonts w:ascii="Times New Roman" w:cs="Times New Roman"/>
          <w:color w:val="000000" w:themeColor="text1"/>
          <w:spacing w:val="0"/>
        </w:rPr>
        <w:softHyphen/>
        <w:t>дитель - стрелка-радиста из экипажа этой машины убрали.</w:t>
      </w:r>
    </w:p>
    <w:p w14:paraId="6C43AD61" w14:textId="77777777" w:rsidR="00715334" w:rsidRPr="00271E51" w:rsidRDefault="0071533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заводских испытаний и устране</w:t>
      </w:r>
      <w:r w:rsidRPr="00271E51">
        <w:rPr>
          <w:rFonts w:ascii="Times New Roman" w:cs="Times New Roman"/>
          <w:color w:val="000000" w:themeColor="text1"/>
          <w:spacing w:val="0"/>
        </w:rPr>
        <w:softHyphen/>
        <w:t>ния выявленных недостатков, танки «объ</w:t>
      </w:r>
      <w:r w:rsidRPr="00271E51">
        <w:rPr>
          <w:rFonts w:ascii="Times New Roman" w:cs="Times New Roman"/>
          <w:color w:val="000000" w:themeColor="text1"/>
          <w:spacing w:val="0"/>
        </w:rPr>
        <w:softHyphen/>
        <w:t>ект 238» и «объект 239» направили на Горо- ховецкий артиллерийский полигон. Здесь с 21 по 24 августа 1943 года эти машины прошли испытания совместно с двумя опыт</w:t>
      </w:r>
      <w:r w:rsidRPr="00271E51">
        <w:rPr>
          <w:rFonts w:ascii="Times New Roman" w:cs="Times New Roman"/>
          <w:color w:val="000000" w:themeColor="text1"/>
          <w:spacing w:val="0"/>
        </w:rPr>
        <w:softHyphen/>
        <w:t xml:space="preserve">ными образцами «объекта 237» - на одном стояла артсистема Д-5Т, а на втором — грабинская С-31. Следует сказать, что башня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 си</w:t>
      </w:r>
      <w:r w:rsidRPr="00271E51">
        <w:rPr>
          <w:rFonts w:ascii="Times New Roman" w:cs="Times New Roman"/>
          <w:color w:val="000000" w:themeColor="text1"/>
          <w:spacing w:val="0"/>
        </w:rPr>
        <w:softHyphen/>
        <w:t>стемой С-31 несколько отличалась от серий</w:t>
      </w:r>
      <w:r w:rsidRPr="00271E51">
        <w:rPr>
          <w:rFonts w:ascii="Times New Roman" w:cs="Times New Roman"/>
          <w:color w:val="000000" w:themeColor="text1"/>
          <w:spacing w:val="0"/>
        </w:rPr>
        <w:softHyphen/>
        <w:t>ной - по предложению главного конструк</w:t>
      </w:r>
      <w:r w:rsidRPr="00271E51">
        <w:rPr>
          <w:rFonts w:ascii="Times New Roman" w:cs="Times New Roman"/>
          <w:color w:val="000000" w:themeColor="text1"/>
          <w:spacing w:val="0"/>
        </w:rPr>
        <w:softHyphen/>
        <w:t xml:space="preserve">тора ЦАКБ В. Грабина она была «увеличена по габариту в сторону ниши против башни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(15226).</w:t>
      </w:r>
    </w:p>
    <w:p w14:paraId="7B5F4417" w14:textId="77777777" w:rsidR="00715334" w:rsidRPr="00271E51" w:rsidRDefault="00715334" w:rsidP="00271E51">
      <w:pPr>
        <w:pStyle w:val="27"/>
        <w:shd w:val="clear" w:color="auto" w:fill="auto"/>
        <w:spacing w:after="0" w:line="240" w:lineRule="auto"/>
        <w:ind w:firstLine="0"/>
        <w:rPr>
          <w:rFonts w:ascii="Times New Roman" w:cs="Times New Roman"/>
          <w:color w:val="000000" w:themeColor="text1"/>
          <w:spacing w:val="0"/>
        </w:rPr>
      </w:pPr>
    </w:p>
    <w:p w14:paraId="10C42F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1944 г. был закончен серийный выпуск танка ИС-2 на ЧКЗ, который был начал в декабре 1943. С декабря 1943 г. по март 1944 г. танки ИС-2 оснащались пушкой Д-25 с поршневым затвором. Всего бы</w:t>
      </w:r>
      <w:r w:rsidRPr="00271E51">
        <w:rPr>
          <w:rFonts w:ascii="Times New Roman" w:hAnsi="Times New Roman"/>
          <w:color w:val="000000" w:themeColor="text1"/>
          <w:sz w:val="16"/>
          <w:szCs w:val="16"/>
        </w:rPr>
        <w:softHyphen/>
        <w:t>ло изготовлено 145 машин данной модификации (10703).</w:t>
      </w:r>
    </w:p>
    <w:p w14:paraId="51557E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EA41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одновременно с опытно-конструкторскими работами по созданию тяжелого танка на заводе № 100, в конструкторском бюро ЧКЗ по своей инициативе на основании тактико-технических требований ГБТУ была начата ОКР по созданию нового тяжелого тан</w:t>
      </w:r>
      <w:r w:rsidRPr="00271E51">
        <w:rPr>
          <w:rFonts w:ascii="Times New Roman" w:hAnsi="Times New Roman"/>
          <w:color w:val="000000" w:themeColor="text1"/>
          <w:sz w:val="16"/>
          <w:szCs w:val="16"/>
        </w:rPr>
        <w:softHyphen/>
        <w:t>ка, который получил заводское обозначение, отличное от ранее установ</w:t>
      </w:r>
      <w:r w:rsidRPr="00271E51">
        <w:rPr>
          <w:rFonts w:ascii="Times New Roman" w:hAnsi="Times New Roman"/>
          <w:color w:val="000000" w:themeColor="text1"/>
          <w:sz w:val="16"/>
          <w:szCs w:val="16"/>
        </w:rPr>
        <w:softHyphen/>
        <w:t>ленных для ЧКЗ и завода № 100 - "Объект 701". Завод поставил перед собой задачу — сделать новый тяжелый танк, который по своим БТХ, конструктивному оформлению превосходил бы как отечественные, так и иностранные тяжелые танки. В проектировании танка также прини</w:t>
      </w:r>
      <w:r w:rsidRPr="00271E51">
        <w:rPr>
          <w:rFonts w:ascii="Times New Roman" w:hAnsi="Times New Roman"/>
          <w:color w:val="000000" w:themeColor="text1"/>
          <w:sz w:val="16"/>
          <w:szCs w:val="16"/>
        </w:rPr>
        <w:softHyphen/>
        <w:t>мали участие группы конструкторов по трансмиссии - из МВТУ им. Баумана и по вооружению — из ЦАКБ НКВ. Эскизный проект нового танка был утвержден 10 декабря 1943 г. (10703).</w:t>
      </w:r>
    </w:p>
    <w:p w14:paraId="50D975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939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на Опытном заводе № 100 два опытных образца танка КА-85Г были собраны и один из них в период с 21 по 24 августа 1943 г. совместно с опытным танком "Объект 239" прошел полигонные испыта</w:t>
      </w:r>
      <w:r w:rsidRPr="00271E51">
        <w:rPr>
          <w:rFonts w:ascii="Times New Roman" w:hAnsi="Times New Roman"/>
          <w:color w:val="000000" w:themeColor="text1"/>
          <w:sz w:val="16"/>
          <w:szCs w:val="16"/>
        </w:rPr>
        <w:softHyphen/>
        <w:t>ния на Гороховецком АНИОПе. На вооружение не принимался и в се</w:t>
      </w:r>
      <w:r w:rsidRPr="00271E51">
        <w:rPr>
          <w:rFonts w:ascii="Times New Roman" w:hAnsi="Times New Roman"/>
          <w:color w:val="000000" w:themeColor="text1"/>
          <w:sz w:val="16"/>
          <w:szCs w:val="16"/>
        </w:rPr>
        <w:softHyphen/>
        <w:t>рийном производстве не состоял (10703).</w:t>
      </w:r>
    </w:p>
    <w:p w14:paraId="486DD3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751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опытный образец танка Объект 239 был собран на заводе № 100 и в период с 21 по 24 августа 1943 г. прошел полигонные испытания на Гороховецком АНИОПе. После уст</w:t>
      </w:r>
      <w:r w:rsidRPr="00271E51">
        <w:rPr>
          <w:rFonts w:ascii="Times New Roman" w:hAnsi="Times New Roman"/>
          <w:color w:val="000000" w:themeColor="text1"/>
          <w:sz w:val="16"/>
          <w:szCs w:val="16"/>
        </w:rPr>
        <w:softHyphen/>
        <w:t>ранения недостатков, выявленных в ходе проведения испытаний, танк под маркой КВ-85 был принят на вооружение и поставлен на серийное производство до начала серийного выпуска танков ИС-85 (ИС-1). Опытный танк отличался от серийного танка КБ-1С, прежде всего, новой конструкцией башни с более мощным вооружением, конструкци</w:t>
      </w:r>
      <w:r w:rsidRPr="00271E51">
        <w:rPr>
          <w:rFonts w:ascii="Times New Roman" w:hAnsi="Times New Roman"/>
          <w:color w:val="000000" w:themeColor="text1"/>
          <w:sz w:val="16"/>
          <w:szCs w:val="16"/>
        </w:rPr>
        <w:softHyphen/>
        <w:t>ей силовой установки и численностью экипажа. Машина имела класси</w:t>
      </w:r>
      <w:r w:rsidRPr="00271E51">
        <w:rPr>
          <w:rFonts w:ascii="Times New Roman" w:hAnsi="Times New Roman"/>
          <w:color w:val="000000" w:themeColor="text1"/>
          <w:sz w:val="16"/>
          <w:szCs w:val="16"/>
        </w:rPr>
        <w:softHyphen/>
        <w:t>ческую схему общей компоновки. Отделение управления располагалось в передней части танка. В нем размещался механик-водитель, рабочее место стрелка-радиста и люк в крыше отделения управления были уп</w:t>
      </w:r>
      <w:r w:rsidRPr="00271E51">
        <w:rPr>
          <w:rFonts w:ascii="Times New Roman" w:hAnsi="Times New Roman"/>
          <w:color w:val="000000" w:themeColor="text1"/>
          <w:sz w:val="16"/>
          <w:szCs w:val="16"/>
        </w:rPr>
        <w:softHyphen/>
        <w:t>разднены, а радиостанция перенесена в корму башни. Установка пуле</w:t>
      </w:r>
      <w:r w:rsidRPr="00271E51">
        <w:rPr>
          <w:rFonts w:ascii="Times New Roman" w:hAnsi="Times New Roman"/>
          <w:color w:val="000000" w:themeColor="text1"/>
          <w:sz w:val="16"/>
          <w:szCs w:val="16"/>
        </w:rPr>
        <w:softHyphen/>
        <w:t>мета в шаровой опоре в верхнем лобовом листе корпуса была заменена курсовым пулеметом, размещавшимся справа от механика-водителя. Для наблюдения за полем боя в лобовом листе перед механиком-води</w:t>
      </w:r>
      <w:r w:rsidRPr="00271E51">
        <w:rPr>
          <w:rFonts w:ascii="Times New Roman" w:hAnsi="Times New Roman"/>
          <w:color w:val="000000" w:themeColor="text1"/>
          <w:sz w:val="16"/>
          <w:szCs w:val="16"/>
        </w:rPr>
        <w:softHyphen/>
        <w:t xml:space="preserve">телем имелся смотровой лючок, закрывавшийся броневой пробкой со смотровой щелью с триплексом, а в крыше отделения устанавливались два смотровых прибора МК-4. Слева и справа от механика-водителя </w:t>
      </w:r>
      <w:r w:rsidRPr="00271E51">
        <w:rPr>
          <w:rFonts w:ascii="Times New Roman" w:hAnsi="Times New Roman"/>
          <w:color w:val="000000" w:themeColor="text1"/>
          <w:sz w:val="16"/>
          <w:szCs w:val="16"/>
        </w:rPr>
        <w:lastRenderedPageBreak/>
        <w:t>размещались топливные баки, которые были перенесены из боевого от</w:t>
      </w:r>
      <w:r w:rsidRPr="00271E51">
        <w:rPr>
          <w:rFonts w:ascii="Times New Roman" w:hAnsi="Times New Roman"/>
          <w:color w:val="000000" w:themeColor="text1"/>
          <w:sz w:val="16"/>
          <w:szCs w:val="16"/>
        </w:rPr>
        <w:softHyphen/>
        <w:t>деления (10703).</w:t>
      </w:r>
    </w:p>
    <w:p w14:paraId="6E9C93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E79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проходили сравнительные испытания четырех танков - ИСa, №1 - с пушкой С-31 и №2 с Д- 5Т - объектов 237, а также "объекта 238", который представлял собой серийный KB-1с с пушкой С-31 в штатной башне, и "объект 239", который получил башню от "объекта 237" с пушкой Д-5Т..</w:t>
      </w:r>
    </w:p>
    <w:p w14:paraId="17249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полученных результатов предпочтение отдали пушке Д-5Т и объектам 237 и 239, которые с этого момента начали именоваться ИС-85 и KB-85 соответственно. Из за крайней стесненности боевого отделения и невозможности нормальной работы в нем экипажа "объект 238" забраковали. (3862).</w:t>
      </w:r>
    </w:p>
    <w:p w14:paraId="72B8F9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F44D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были проведены испытания танков июньского выпуска. Все участвовавшие в пробеге машины смогли пройти первые 1000 километров почти без поломок. Серьёзные проблемы начались после этой первой тысячи, когда стали выявляться дефекты машины. Танки производства заводов № 183 и № 174 вообще были сняты с пробега после того, как прошли соответственно 1100 и 1199 километров. Остальные всё-таки смогли пройти более 2000 километров и остались в строю. По итогам испытаний начальник отдела главного инспектора НКТП Гутман сделал следующие выводы: «Улучшение качества танков производства Кировского завода, УЗТМ и № 112 достигнуто без проведения особых технических мероприятий конструктивного порядка, а исключительно за счёт повышения требовательности и ответственности работников заводов и улучшения технологической дисциплины. ... Танки Т-34 могут безаварийно проходить 2000 км при условии, если заводы примут дальнейшие меры по улучшению качества изготовления деталей и узлов и повышению требовательности во всех звеньях заводского аппарата». В целом испытания свидетельствовали, что проблема надёжности потеряла свою прежнюю остроту (12290).</w:t>
      </w:r>
    </w:p>
    <w:p w14:paraId="251050E9"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7DFCB097"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июле 1943 года на Курской дуге СУ-152 дебютировала. На северном фасе в резерве находился 1541-й САП под командованием гвардии майора А.Ф. Санковского. Стоит отметить, что в номенклатуре боеприпасов для СУ-152 бронебойные снаряды отсутствовали, но от этого немецким танкистам было не легче. За период с 8 по 18 июля 1541-й САП отчитался о 7 уничтоженных «Тиграх», 39 средних танках и 11 самоходных установках противника. В некоторых публикациях 10 САУ из этого числа превращаются в 10 «Фердинандов», но авторам таких сенсаций все же стоит урезать осетра. Тем не менее, результаты более чем впечатляющие, особенно для дебюта. Именно за такие бои СУ-152 и получила прозвище «Зверобой». Прозвище это вполне официальное, и применялось оно именно к СУ-152. В войсках машина получила ряд других прозвищ, связанных с орудием – зачастую не совсем приличных.</w:t>
      </w:r>
    </w:p>
    <w:p w14:paraId="620F88AA" w14:textId="77777777" w:rsidR="00610B5A" w:rsidRPr="00271E51" w:rsidRDefault="00FA0599"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hyperlink r:id="rId46" w:history="1">
        <w:r w:rsidR="00610B5A" w:rsidRPr="00271E51">
          <w:rPr>
            <w:rFonts w:ascii="Times New Roman" w:eastAsia="Times New Roman" w:hAnsi="Times New Roman"/>
            <w:color w:val="000000" w:themeColor="text1"/>
            <w:sz w:val="16"/>
            <w:szCs w:val="16"/>
            <w:lang w:eastAsia="ru-RU"/>
          </w:rPr>
          <w:t>Истребителем танков</w:t>
        </w:r>
      </w:hyperlink>
      <w:r w:rsidR="00610B5A" w:rsidRPr="00271E51">
        <w:rPr>
          <w:rFonts w:ascii="Times New Roman" w:eastAsia="Times New Roman" w:hAnsi="Times New Roman"/>
          <w:color w:val="000000" w:themeColor="text1"/>
          <w:sz w:val="16"/>
          <w:szCs w:val="16"/>
          <w:lang w:eastAsia="ru-RU"/>
        </w:rPr>
        <w:t xml:space="preserve"> СУ-152 оказалась вынужденно. Как уже говорилось, бронебойных снарядов в номенклатуре её боеприпасов поначалу просто не было. Хотя проектирование такого снаряда началось еще в апреле 1943 года, а официально его ввели под обозначением БР-540 14 июня, на практике он появился только в августе. Тем не менее, даже осколочно-фугасный снаряд оказался страшным оружием. Его мощь была такова, что средний танк при попадании в него снаряда массой 43 килограмма буквально складывался. Даже в случае непробития тяжёлого танка или САУ снаряд наносил существенные повреждения. В большинстве случаев попадание означало как минимум частичный выход вражеской машины из строя. СУ-152 оказалась единственной советской боевой машиной 1943 года, которая могла эффективно бороться против любого немецкого тяжелого танка и САУ.</w:t>
      </w:r>
    </w:p>
    <w:p w14:paraId="08FACCAF"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Разумеется, из одних только достоинств СУ-152 не состояла. Масса претензий имелась к обзорности из боевого отделения. Конструкция перископических приборов, имевших большие зоны непросматриваемого пространства, нередко становилась причиной потерь машин. Масса жалоб поступала в адрес относительного малого боекомплекта. В частях практиковалось увеличение боекомплекта до 25 выстрелов путём размещения дополнительных 5 выстрелов под орудием. Эти снаряды и заряды лежали на полу, закрепленные деревянными колодками. Предлагалось рассмотреть вопрос об изготовлении штатных укладок для дополнительного боезапаса, но этого сделано не было. Да и качество изготовления имевшихся укладок вызывало массу претензий.</w:t>
      </w:r>
    </w:p>
    <w:p w14:paraId="188B10C5"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Наличие большого бака в боевом отделении приводило к тому, что при попадании вражеского снаряда в САУ он нередко детонировал с печальными последствиями для экипажа. Наконец, неудачной оказалась конструкция механизма поворота орудия. До конца выпуска СУ-152 продолжали оснащаться системами МЛ-20С со старой конструкцией механизма поворота, который на определенных углах наводки упирался в правое плечо и спину механику-водителю.</w:t>
      </w:r>
    </w:p>
    <w:p w14:paraId="2A0F1C13"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Тяжелые самоходные артиллерийские полки, оснащенные СУ-152, сыграли важную роль в операциях лета 1943 – весны 1944 года. Многие из полков стали гвардейскими. К лету 1944 года большинство полков получило на вооружение более совершенные ИСУ-152. Тем не менее, в отдельных частях СУ-152 прослужили до начала 1945 года. Одной из них был 268-й гв. САП. К началу Львовско-Сандомирской операции эта часть имела смешанный состав. В полку одновременно находились и СУ-152, и ИСУ-152. Одной из СУ-152 командовал гвардии лейтенант С.А. Стычинский, к тому моменту имевший богатый боевой опыт. 15 июля 1944 года его экипаж в одиночку сразился с группой немецких танков, уничтожив 5 из них. По словам Сергея Александровича, успеху сопутствовало грамотное использование холмистой местности. Машина выкатывалась на вершину холма, делала выстрел и тут же уходила назад. Позже вехами боевого пути Стычинского были взятие Львова, сражения в Польше, и, наконец, победный май 1945 года.</w:t>
      </w:r>
    </w:p>
    <w:p w14:paraId="20B4DBD2"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До сегодняшнего дня сохранились всего три СУ-152. Две машины находятся в Польше, еще одна представлена в экспозиции парка «Патриот». Долгий срок разработки тяжелой САУ не оказался напрасной тратой времени. Хотя «истребителем ДОТ-ов» эта машина так толком и не стала, из неё получился крайне опасный противник для любого немецкого танка. В этом отношении СУ-152 стала лучшей из советских боевых машин, выпускавшихся крупной серией в 1943 году (17696).</w:t>
      </w:r>
    </w:p>
    <w:p w14:paraId="5561D5BD"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519452" w14:textId="77777777" w:rsidR="00BA7A65" w:rsidRPr="00271E51" w:rsidRDefault="00BA7A65" w:rsidP="00271E51">
      <w:pPr>
        <w:pStyle w:val="a3"/>
        <w:rPr>
          <w:color w:val="000000" w:themeColor="text1"/>
          <w:lang w:val="ru-RU"/>
        </w:rPr>
      </w:pPr>
      <w:r w:rsidRPr="00271E51">
        <w:rPr>
          <w:color w:val="000000" w:themeColor="text1"/>
          <w:lang w:val="ru-RU"/>
        </w:rPr>
        <w:t>В июле 1943 танки Т-43 были готовы, и начались их испытания. Поскольку 85-мм танковых пушек было ещё очень мало, они все были использованы для вооружения самоходок и тяжелых танков. В качестве временной меры опытный образец Т-43 был вооружен 76-мм пушкой. Но будущее перевооружение на более мощное орудие считалось уже решенным вопросом. В сентябре 1943 в Т-43 наконец была установлена 85-мм пушка Д- 5. Но внезапно отношение И. В. Сталина к новой машине меняется. Как вспоминал А. А. Морозов, Сталин заявил: «Товарищ Морозов, Вы сделали очень неплохую машину. Но сегодня у нас уже есть неплохая машина - Т-34. Наша задача состоит сейчас не в том, чтобы делать новые танки, а в том, чтобы повысить боевые качества Т-34, увеличивать их выпуск». Совершенно неожиданно производство Т-43 было отменено (12290).</w:t>
      </w:r>
    </w:p>
    <w:p w14:paraId="45B3CD67" w14:textId="77777777" w:rsidR="00BA7A65" w:rsidRPr="00271E51" w:rsidRDefault="00BA7A65" w:rsidP="00271E51">
      <w:pPr>
        <w:pStyle w:val="a3"/>
        <w:rPr>
          <w:color w:val="000000" w:themeColor="text1"/>
          <w:lang w:val="ru-RU"/>
        </w:rPr>
      </w:pPr>
    </w:p>
    <w:p w14:paraId="1DDBCA6D" w14:textId="77777777" w:rsidR="00BA7A65" w:rsidRPr="00271E51" w:rsidRDefault="00BA7A65" w:rsidP="00271E51">
      <w:pPr>
        <w:pStyle w:val="a3"/>
        <w:rPr>
          <w:color w:val="000000" w:themeColor="text1"/>
          <w:lang w:val="ru-RU"/>
        </w:rPr>
      </w:pPr>
      <w:r w:rsidRPr="00271E51">
        <w:rPr>
          <w:color w:val="000000" w:themeColor="text1"/>
          <w:lang w:val="ru-RU"/>
        </w:rPr>
        <w:t>В июле 1943 г., после получения досто</w:t>
      </w:r>
      <w:r w:rsidRPr="00271E51">
        <w:rPr>
          <w:color w:val="000000" w:themeColor="text1"/>
          <w:lang w:val="ru-RU"/>
        </w:rPr>
        <w:softHyphen/>
        <w:t>верной информации о применении новых немецких танков, в КБ Кировского завода инициативно начали проектирование тяжелого танка, превосходящего по уровню брониро</w:t>
      </w:r>
      <w:r w:rsidRPr="00271E51">
        <w:rPr>
          <w:color w:val="000000" w:themeColor="text1"/>
          <w:lang w:val="ru-RU"/>
        </w:rPr>
        <w:softHyphen/>
        <w:t>вания и ряду других основных характеристик боевые машины противника.</w:t>
      </w:r>
    </w:p>
    <w:p w14:paraId="13F1818E" w14:textId="77777777" w:rsidR="00BA7A65" w:rsidRPr="00271E51" w:rsidRDefault="00BA7A65" w:rsidP="00271E51">
      <w:pPr>
        <w:pStyle w:val="a3"/>
        <w:rPr>
          <w:color w:val="000000" w:themeColor="text1"/>
          <w:lang w:val="ru-RU"/>
        </w:rPr>
      </w:pPr>
      <w:r w:rsidRPr="00271E51">
        <w:rPr>
          <w:color w:val="000000" w:themeColor="text1"/>
          <w:lang w:val="ru-RU"/>
        </w:rPr>
        <w:t>Впервые для разработки Кировского завода в основу конфигурации корпуса была взята форма танка Т-34. Броневой корпус сва</w:t>
      </w:r>
      <w:r w:rsidRPr="00271E51">
        <w:rPr>
          <w:color w:val="000000" w:themeColor="text1"/>
          <w:lang w:val="ru-RU"/>
        </w:rPr>
        <w:softHyphen/>
        <w:t>ривался из катаных листов противоснарядной брони с толщинами 120-160 мм (в отдельных элементах - до 180 мм). При этом верхние лобовой и бортовые листы устанавливались под значительными углами наклона (до 61°) к вертикали. Нос танка также выполнялся со скуловыми листами. В верхнем лобовом листе имелся смотровой люк, но посадка- высадка механика-водителя через него не предусматривалась. Днище корпуса имело корытообразную форму, впоследствии при</w:t>
      </w:r>
      <w:r w:rsidRPr="00271E51">
        <w:rPr>
          <w:color w:val="000000" w:themeColor="text1"/>
          <w:lang w:val="ru-RU"/>
        </w:rPr>
        <w:softHyphen/>
        <w:t>мененную на ИС-3 и некоторых других танках. Литая башня в плане имела продолговатую овальную форму с наклоном бортовых стенок. Толщина брони предусматривалась вплоть до 180-200 мм.</w:t>
      </w:r>
    </w:p>
    <w:p w14:paraId="3303E2C7" w14:textId="77777777" w:rsidR="00BA7A65" w:rsidRPr="00271E51" w:rsidRDefault="00BA7A65" w:rsidP="00271E51">
      <w:pPr>
        <w:pStyle w:val="a3"/>
        <w:rPr>
          <w:color w:val="000000" w:themeColor="text1"/>
          <w:lang w:val="ru-RU"/>
        </w:rPr>
      </w:pPr>
      <w:r w:rsidRPr="00271E51">
        <w:rPr>
          <w:color w:val="000000" w:themeColor="text1"/>
          <w:lang w:val="ru-RU"/>
        </w:rPr>
        <w:t>Поскольку в ходе проектирования новой машины изучалось несколько вариантов конфигурации бортов корпуса и башни, а также установки нескольких видов основного вооружения, было построено не менее шести опытных образцов (не считая макетов корпуса) танка, получившего обозначение «Объект 701». Внешне они незначительно, но отличались друг от друга. Боевая масса опытного танка достигала 56 т.</w:t>
      </w:r>
    </w:p>
    <w:p w14:paraId="371FBCFE" w14:textId="77777777" w:rsidR="00BA7A65" w:rsidRPr="00271E51" w:rsidRDefault="00BA7A65" w:rsidP="00271E51">
      <w:pPr>
        <w:pStyle w:val="a3"/>
        <w:rPr>
          <w:color w:val="000000" w:themeColor="text1"/>
          <w:lang w:val="ru-RU"/>
        </w:rPr>
      </w:pPr>
      <w:r w:rsidRPr="00271E51">
        <w:rPr>
          <w:color w:val="000000" w:themeColor="text1"/>
          <w:lang w:val="ru-RU"/>
        </w:rPr>
        <w:t>В качестве основного вооружения была определена 122-мм пушка Д-25, опытный образец которой готовился к установке в танк ИС-2. Кроме того, в Центральном артиллерий</w:t>
      </w:r>
      <w:r w:rsidRPr="00271E51">
        <w:rPr>
          <w:color w:val="000000" w:themeColor="text1"/>
          <w:lang w:val="ru-RU"/>
        </w:rPr>
        <w:softHyphen/>
        <w:t>ском КБ (начальник - В.Г. Грабин) изготовили 122-мм пушки (четыре образца) и 100-мм пушку унифицированного семейства С-34.</w:t>
      </w:r>
    </w:p>
    <w:p w14:paraId="57A227CD" w14:textId="77777777" w:rsidR="00BA7A65" w:rsidRPr="00271E51" w:rsidRDefault="00BA7A65" w:rsidP="00271E51">
      <w:pPr>
        <w:pStyle w:val="a3"/>
        <w:rPr>
          <w:color w:val="000000" w:themeColor="text1"/>
          <w:lang w:val="ru-RU"/>
        </w:rPr>
      </w:pPr>
      <w:r w:rsidRPr="00271E51">
        <w:rPr>
          <w:color w:val="000000" w:themeColor="text1"/>
          <w:lang w:val="ru-RU"/>
        </w:rPr>
        <w:t>На танке «Объект 701» установили дизель В-12 (мощность 750 л.с.) с приводным нагнета</w:t>
      </w:r>
      <w:r w:rsidRPr="00271E51">
        <w:rPr>
          <w:color w:val="000000" w:themeColor="text1"/>
          <w:lang w:val="ru-RU"/>
        </w:rPr>
        <w:softHyphen/>
        <w:t>телем. В системе охлаждения были применены два осевых вентилятора.</w:t>
      </w:r>
    </w:p>
    <w:p w14:paraId="02DDC0EA" w14:textId="77777777" w:rsidR="00BA7A65" w:rsidRPr="00271E51" w:rsidRDefault="00BA7A65" w:rsidP="00271E51">
      <w:pPr>
        <w:pStyle w:val="a3"/>
        <w:rPr>
          <w:color w:val="000000" w:themeColor="text1"/>
          <w:lang w:val="ru-RU"/>
        </w:rPr>
      </w:pPr>
      <w:r w:rsidRPr="00271E51">
        <w:rPr>
          <w:color w:val="000000" w:themeColor="text1"/>
          <w:lang w:val="ru-RU"/>
        </w:rPr>
        <w:t>Планетарную трансмиссию для танка раз</w:t>
      </w:r>
      <w:r w:rsidRPr="00271E51">
        <w:rPr>
          <w:color w:val="000000" w:themeColor="text1"/>
          <w:lang w:val="ru-RU"/>
        </w:rPr>
        <w:softHyphen/>
        <w:t>работали в содружестве с научными сотрудни</w:t>
      </w:r>
      <w:r w:rsidRPr="00271E51">
        <w:rPr>
          <w:color w:val="000000" w:themeColor="text1"/>
          <w:lang w:val="ru-RU"/>
        </w:rPr>
        <w:softHyphen/>
        <w:t>ками МВТУ им. Баумана. Она включала трехскоростной планетарный редуктор, конический реверс и механизм поворота нового типа «ЗК». Трехскоростной редуктор обеспечивал шесть передач переднего хода и три - назад. При</w:t>
      </w:r>
      <w:r w:rsidRPr="00271E51">
        <w:rPr>
          <w:color w:val="000000" w:themeColor="text1"/>
          <w:lang w:val="ru-RU"/>
        </w:rPr>
        <w:softHyphen/>
        <w:t>воды - механические. Бортовые редукторы и ходовая часть были традиционного типа. Подвеска - индивидуальная, торсионная, без амортизаторов.</w:t>
      </w:r>
    </w:p>
    <w:p w14:paraId="103E7188" w14:textId="77777777" w:rsidR="00BA7A65" w:rsidRPr="00271E51" w:rsidRDefault="00BA7A65" w:rsidP="00271E51">
      <w:pPr>
        <w:pStyle w:val="a3"/>
        <w:rPr>
          <w:color w:val="000000" w:themeColor="text1"/>
          <w:lang w:val="ru-RU"/>
        </w:rPr>
      </w:pPr>
      <w:r w:rsidRPr="00271E51">
        <w:rPr>
          <w:color w:val="000000" w:themeColor="text1"/>
          <w:lang w:val="ru-RU"/>
        </w:rPr>
        <w:t>На танке применили автоматическую систему пожаротушения.</w:t>
      </w:r>
    </w:p>
    <w:p w14:paraId="46961B71" w14:textId="77777777" w:rsidR="00BA7A65" w:rsidRPr="00271E51" w:rsidRDefault="00BA7A65" w:rsidP="00271E51">
      <w:pPr>
        <w:pStyle w:val="a3"/>
        <w:rPr>
          <w:color w:val="000000" w:themeColor="text1"/>
          <w:lang w:val="ru-RU"/>
        </w:rPr>
      </w:pPr>
      <w:r w:rsidRPr="00271E51">
        <w:rPr>
          <w:color w:val="000000" w:themeColor="text1"/>
          <w:lang w:val="ru-RU"/>
        </w:rPr>
        <w:t>Экипаж танка «Объект 701» составляли четыре человека. Боевая масса (по имеющимся сведениям) не превышала 60 т.</w:t>
      </w:r>
    </w:p>
    <w:p w14:paraId="07A78EE7" w14:textId="77777777" w:rsidR="00BA7A65" w:rsidRPr="00271E51" w:rsidRDefault="00BA7A65" w:rsidP="00271E51">
      <w:pPr>
        <w:pStyle w:val="a3"/>
        <w:rPr>
          <w:color w:val="000000" w:themeColor="text1"/>
          <w:lang w:val="ru-RU"/>
        </w:rPr>
      </w:pPr>
      <w:r w:rsidRPr="00271E51">
        <w:rPr>
          <w:color w:val="000000" w:themeColor="text1"/>
          <w:lang w:val="ru-RU"/>
        </w:rPr>
        <w:t xml:space="preserve">После доработки опытного образца </w:t>
      </w:r>
      <w:r w:rsidRPr="00271E51">
        <w:rPr>
          <w:color w:val="000000" w:themeColor="text1"/>
        </w:rPr>
        <w:t>N</w:t>
      </w:r>
      <w:r w:rsidRPr="00271E51">
        <w:rPr>
          <w:color w:val="000000" w:themeColor="text1"/>
          <w:lang w:val="ru-RU"/>
        </w:rPr>
        <w:t>96 его приняли к производству и на вооружение в апреле 1946 г. как танк ИС-4, однако серийный выпуск начался лишь в конце года.</w:t>
      </w:r>
    </w:p>
    <w:p w14:paraId="4221E705" w14:textId="77777777" w:rsidR="00BA7A65" w:rsidRPr="00271E51" w:rsidRDefault="00BA7A65" w:rsidP="00271E51">
      <w:pPr>
        <w:pStyle w:val="a3"/>
        <w:rPr>
          <w:color w:val="000000" w:themeColor="text1"/>
          <w:lang w:val="ru-RU"/>
        </w:rPr>
      </w:pPr>
      <w:r w:rsidRPr="00271E51">
        <w:rPr>
          <w:color w:val="000000" w:themeColor="text1"/>
          <w:lang w:val="ru-RU"/>
        </w:rPr>
        <w:t>Переход к промышленному освоению и производству танка в 1,5 раза большей массы был осуществлен, начиная с 1944 г. Но еще раньше, в конце 1943 г., ГБТУ подготовило про</w:t>
      </w:r>
      <w:r w:rsidRPr="00271E51">
        <w:rPr>
          <w:color w:val="000000" w:themeColor="text1"/>
          <w:lang w:val="ru-RU"/>
        </w:rPr>
        <w:softHyphen/>
        <w:t>ект ТТТ на разработку новых тяжелых танков периода окончания войны и первого послево</w:t>
      </w:r>
      <w:r w:rsidRPr="00271E51">
        <w:rPr>
          <w:color w:val="000000" w:themeColor="text1"/>
          <w:lang w:val="ru-RU"/>
        </w:rPr>
        <w:softHyphen/>
        <w:t>енного поколения (12615).</w:t>
      </w:r>
    </w:p>
    <w:p w14:paraId="29A88003"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043BAB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по заданию ГБТУ КА бригада научно-исследовательского института № 48 (занимался танковой броней) и завода № 180 в Саратове провела обследование поступивших в ремонт танков Т-34, доставленных из района Сталинграда. В основном это были машины, подбитые в осеннее - зимних боях 1942-1943 годов. Всего осмотрели 304 тридцатьчетверки и 105 корпусов, находившихся в ремонте на заводе № 180 (это предприятие с начала 1943 года занималось ремонтом корпусов и башен танков Т-34):</w:t>
      </w:r>
    </w:p>
    <w:p w14:paraId="015F179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«Обследование на ремонтных заводах и базах вышедших из строя танков является наиболее простым и доступным способом получения сведений о поражаемости машин в боевых операциях, позволяющим в сравнительно короткие сроки собрать данные по большому количеству танков. Но наряду с этим, указанный способ обладает крупными недостатками.</w:t>
      </w:r>
    </w:p>
    <w:p w14:paraId="3817A65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Первым недостатком является неизбежный значительный выхода из строя, разрыв между временем выхода из строя обследуемых машин и временем их обследования.</w:t>
      </w:r>
    </w:p>
    <w:p w14:paraId="7E540AF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Вторым недостатком является полное отсутствие каких-либо сведений об условиях проведения боевых операций, в которых вышли из строя обследуемые танки, об условиях проведения боевых операций, в которых вышли из строя обследуемые танки, об условиях, а в целом ряде случаев и о причинах выхода из строя каждой отдельной машины. На некоторых обследованных машинах отмечено большое количество (до 17) сквозных поражений, каждое из которых в отдельности было бы достаточным для вывода танка из строя, причем поражения эти нанесены в различные детали и с разных сторон. Так например, одна из обследованных машин имеет сквозные поражения в лобовой части, в борту и в корме башни и, кроме того, в борту корпуса и подкрылке. Другая машина имеет сквозные поражения в борту башни, лобовой детали и обоих бортах корпуса и подкрылке. В ряде случаев танки имеют, кроме нескольких сквозных поражений различных деталей корпуса и башни, еще и следы подрыва на мине (разорванное днище с загнутыми внутрь кромками). На некоторых танках отмечены сквозные поражения днища подкрылка и крыши корпуса, о происхождении которых можно только строить предположения.</w:t>
      </w:r>
    </w:p>
    <w:p w14:paraId="7935FBC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Третьим недостатком является невозможность в ряде случае определить калибр и тип снаряда, которым нанесено поражение брони. Так например, при данном обследовании не было отмечено ни одного случая поражения брони подка- либерными снарядами, хотя следовало бы ожидать, что эти случаи должны были иметь место, так как в тот период подкалиберные снаряды, по другим сведениям, применялись немцами довольно широко. В результате отсутствия на броне четких следов поражения этими снарядами все они попали в общее количество поражений снарядами калибров менее 50 мм...</w:t>
      </w:r>
    </w:p>
    <w:p w14:paraId="2709BF5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собранный на ремонтных завода материал по поражаемости танков, несмотря на отмеченные выше его недостатки, представляет несомненную ценность и позволяет в первом приближении решить ряд вопросов по улучшению броневой защиты наших танков».</w:t>
      </w:r>
    </w:p>
    <w:p w14:paraId="3BFF2F2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изучении танков группа НИИ-48 и завода № 180 приняла следующие допущения при обработке материала:</w:t>
      </w:r>
    </w:p>
    <w:p w14:paraId="47C1836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Все несквозные снарядные поражения брони без отколов с тыльной стороны относились в группу безопасных поражений.</w:t>
      </w:r>
    </w:p>
    <w:p w14:paraId="65DAC6C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Все сквозные поражения, а также несквозные с отколом брони изнутри, которые могли привести к поражению экипажа или вывести из строя внутренние механизмы, относились в группу опасных поражений.</w:t>
      </w:r>
    </w:p>
    <w:p w14:paraId="1508C19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Снарядные поражения с размерами до 50 мм объединялись в общую группу, в состав которой вошли и поражения подкалиберными снарядами, так как их не удалось выявить.</w:t>
      </w:r>
    </w:p>
    <w:p w14:paraId="0BF8B7D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Все танки без снарядных поражений брони, без следов подрыва на мине, но со следами пожара, относились в группу вышедших из строя от бутылок с горючей жидкостью.</w:t>
      </w:r>
    </w:p>
    <w:p w14:paraId="5FB2A7F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Все танки без снарядных поражений, но со следами подрыва на мине (разорванное днище с загнутыми внутрь кромками) отнесены в группу вышедших из строя от подрыва наминах или фугасах.</w:t>
      </w:r>
    </w:p>
    <w:p w14:paraId="63E1E91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Осмотренные 304 танка разделили на две группы: без снарядных поражений (34 штуки) и со снарядными поражениями (270 штук).</w:t>
      </w:r>
    </w:p>
    <w:p w14:paraId="6CB92DE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группа разделялась на:</w:t>
      </w:r>
    </w:p>
    <w:p w14:paraId="17235A2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rPr>
        <w:tab/>
        <w:t>Без следов пожара, подрыва на мине и с неповрежденным вооружением - 22;</w:t>
      </w:r>
    </w:p>
    <w:p w14:paraId="4247470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w:t>
      </w:r>
      <w:r w:rsidRPr="00271E51">
        <w:rPr>
          <w:rFonts w:ascii="Times New Roman" w:hAnsi="Times New Roman"/>
          <w:color w:val="000000" w:themeColor="text1"/>
          <w:sz w:val="16"/>
          <w:szCs w:val="16"/>
        </w:rPr>
        <w:tab/>
        <w:t>С поврежденными артогнем пушками - 4;</w:t>
      </w:r>
    </w:p>
    <w:p w14:paraId="437D2A8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color w:val="000000" w:themeColor="text1"/>
          <w:sz w:val="16"/>
          <w:szCs w:val="16"/>
        </w:rPr>
        <w:tab/>
        <w:t>Без следов подрыва, не горевшие - 6;</w:t>
      </w:r>
    </w:p>
    <w:p w14:paraId="33D5DD2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w:t>
      </w:r>
      <w:r w:rsidRPr="00271E51">
        <w:rPr>
          <w:rFonts w:ascii="Times New Roman" w:hAnsi="Times New Roman"/>
          <w:color w:val="000000" w:themeColor="text1"/>
          <w:sz w:val="16"/>
          <w:szCs w:val="16"/>
        </w:rPr>
        <w:tab/>
        <w:t>Со следами подрыва на мине 2;</w:t>
      </w:r>
    </w:p>
    <w:p w14:paraId="2E92060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Вторая группа разделялась на:</w:t>
      </w:r>
    </w:p>
    <w:p w14:paraId="32FDDA6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rPr>
        <w:tab/>
        <w:t>Не имеющие опасных поражений брони — 24;</w:t>
      </w:r>
    </w:p>
    <w:p w14:paraId="4FAFE95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w:t>
      </w:r>
      <w:r w:rsidRPr="00271E51">
        <w:rPr>
          <w:rFonts w:ascii="Times New Roman" w:hAnsi="Times New Roman"/>
          <w:color w:val="000000" w:themeColor="text1"/>
          <w:sz w:val="16"/>
          <w:szCs w:val="16"/>
        </w:rPr>
        <w:tab/>
        <w:t>С опасными поражениями брони - 246.</w:t>
      </w:r>
    </w:p>
    <w:p w14:paraId="2A98C07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причинам выхода из строя 304 осмотренных Т-34 и 105 корпусов Т-34 (всего 409 единиц) разделились следующим образом (см. таблицу).</w:t>
      </w:r>
    </w:p>
    <w:p w14:paraId="411BB49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приведенной таблицы видно, что 80% танков Т-34 были выведены из строя от опасных снарядных поражений, а общий процент машин, вышедших из строя от технических неисправностей или повреждения артогнем ходовой части - 15%. Такова общая картина выхода из строя танков Т-34 в осенне-зимних боях 1942 - 1943 годов под Сталинградом.</w:t>
      </w:r>
    </w:p>
    <w:p w14:paraId="5EEB391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270 обследованных танках (из 304) и на 65 корпусах (из 65) было зафиксировано 1654 снарядных поражения, из них 902 (54,5%) опасных и 752 (45,5%) безопасных. Распределение снарядных поражений по калибрам выглядело следующим образом (см. таблицу).</w:t>
      </w:r>
    </w:p>
    <w:p w14:paraId="00FA822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видно из таблицы кумулятивные снаряды применялись немцами в небольшом количестве — всего 1,3%. На долю же снарядов калибра 75 и 88 мм приходится 19,9 поражений. Исходя из того, что расход снарядов пушек большего калибра был меньше, чем у орудий меньшего калибра, комиссия сделала вывод о том, что «ко времени боев, в которых вышли из строя рассматриваемые танки, т.е. к концу 1942 г. в составе немецкой танковой и противотанковой артиллерии уже было не менее 30% пушек калибров 75 и 88 мм это обстоятельство показывает, что к концу года немцы успели перевооружиться и к концу года достигли в этом серьезных успехов».</w:t>
      </w:r>
    </w:p>
    <w:p w14:paraId="255FAE4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видно, что эффективность действия немецкой танковой и противотанковой артиллерии в конце 1942 года была довольно высока - в среднем каждое попадание наносило танку опасное поражение.</w:t>
      </w:r>
    </w:p>
    <w:p w14:paraId="62AD44F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группе калибров менее 50 мм эффективность получилась довольно высокой вероятно за счет подкали- берных снарядов, поражения которыми комиссии выделить не удалось.</w:t>
      </w:r>
    </w:p>
    <w:p w14:paraId="2C3B8A0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признавалось, что величина 60,7% опасных поражений для калибра 50 мм возможно являлась несколько завышенной.</w:t>
      </w:r>
    </w:p>
    <w:p w14:paraId="032B7CC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снарядам калибра 75, 88 мм и кумулятивным комиссия отмечала следующее:</w:t>
      </w:r>
    </w:p>
    <w:p w14:paraId="365D806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по калибрам 75 мм сквозных пробоин) и 88 мм (97,8 указывают на то, что броня танка Т-34 совершенно не защищает от этих снарядов. Первое же попадание любым из этих снарядов в лобовую деталь танка может вывести танк из строя. Отдельные случаи получения безопасных поражений этими снарядами объясняются, по видимому, исключительно неблагоприятными для пробития углами встречи снаряда с броней.</w:t>
      </w:r>
    </w:p>
    <w:p w14:paraId="3C14DC0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кумулятивным снарядам эффективность оказалась очень высокой (85,7% опасных поражений), однако эта величина определяется малым количеством поражений и может быть случайной».</w:t>
      </w:r>
    </w:p>
    <w:p w14:paraId="0749976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не представлялось возможным определить дистанции и курсовые углы обстрела осмотренных танков, представление о стойкости брони было получено путем сопоставления количества опасных с общим их количеством. Такие данные приведены в таблице.</w:t>
      </w:r>
    </w:p>
    <w:p w14:paraId="2D42910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видно, что стойкость брони танка Т-34 в целом, его проекции и отдельных деталей, под огнем артиллерии немцев того периода (конец 1942 года) совершенно неудовлетворительна, при этом разница в стойкости отдельных деталей (за исключением верхнего лобового листа, для которого она еще заметна) практически не ощутима. С любой стороны и при обстреле по лобовой детали танк мог быть выведен из строя в среднем двумя попаданиями:</w:t>
      </w:r>
    </w:p>
    <w:p w14:paraId="6DC38DD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танк Т-34 в прошлом достаточно надежно забронированная машина с отчетливо выраженной разницей в стойкости отдельных деталей, в связи с увеличением мощности немецкой танковой и противотанковой артиллерии, превратился уже к концу 1942 года в «равностойкую» машину, т.е. в машину, которая примерно одинаково плохо выдерживает попадания снарядов с любой стороны.</w:t>
      </w:r>
    </w:p>
    <w:p w14:paraId="022657F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Следовательно, преимущества танка Т-34, которые он когда-то имел благодаря своей сравнительно удачно разработанной броневой защите, по сути дела им уже полностью утеряны, а недостатки его, в частности значительная разница в стойкости отдельных деталей, которая еще чувствуется, почти не имеет никакой практической ценности. При дальнейшем увеличении мощности немецкой противотанковой артиллерии, в частности при увеличении удельного веса пушек калибра 78 и 88 мм, слабость бронирования танка Т-34 будет сказываться все сильнее.</w:t>
      </w:r>
    </w:p>
    <w:p w14:paraId="1408676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Перегрузка, и отсюда недостаточные скорость и маневренность, особенно в тяжелых условиях движения, а также неудовлетворительная видимость из танка, стали решающими для судьбы танка в бою. Коренная модернизация танка Т-34 стала совершенно необходимой.</w:t>
      </w:r>
    </w:p>
    <w:p w14:paraId="2172E23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решения этого вопроса возможны два пути — первый тщательной отработкой бронирования танка, с полным использованием всех его весовых возможностей, улучшить защиту лобовой его проекции, сделав ее неуязвимой для основных танковых и противотанковых калибров противника (75 и 88 мм).</w:t>
      </w:r>
    </w:p>
    <w:p w14:paraId="4F5DFB2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путь - отказаться от защиты танка против прямого попадания снарядами основных танковых и противотанковыхкалибров противника. тщательно отработать его бронирование против меньших калибров и против осколков, максимально облегчить танк и резко увеличить его скорость и маневренность.</w:t>
      </w:r>
    </w:p>
    <w:p w14:paraId="6378DB7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Оба пути в конечном счете приведут к уменьшению потерь в танках от артиллерийского огня противника».</w:t>
      </w:r>
    </w:p>
    <w:p w14:paraId="2E8824F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видно, что вывод танка Т-34 из строя в основном определяется стойкостью следующих деталей (по убывающей): лоб башни, лоб корпуса, борт башни, подкрылок, верхняя лобовая деталь корпуса. Таким образом, для увеличения живучести танка Т-34 требовалось усиление бронирования почти всех его лобовых и бортовых деталей:</w:t>
      </w:r>
    </w:p>
    <w:p w14:paraId="37FF158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«Однако танк Т-34 совершенно не имеет для этого дополнительных весовых возможностей. За счет перераспределения весов, путем облегчения неброневых деталей танка и броневых деталей кормы корпуса и башни, вряд ли можно освободить вес, достаточный для выполнения усиления бронирования всех перечисленных деталей. В связи с этим следует считать, что для танка Т-34 нет возможности создать достаточно удовлетворительное по стойкости бронирование. Это конечно не исключает возможности создания в пределах веса танка Т-34 достаточно надежно забронированного танка другой конструкции.</w:t>
      </w:r>
    </w:p>
    <w:p w14:paraId="4FEA01A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 для танка Т-34 безусловно можно и следует провести хотя бы частичное усиление бронирования, и тем самым несколько увеличить его живучесть в боевых операциях. Для этого необходимо тщательно пересмотреть веса всех его составных частей и изыскать весовые возможности для усиления бронирования» (12217).</w:t>
      </w:r>
    </w:p>
    <w:p w14:paraId="5F4D8E06"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D4E64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начальником техническою управления ГБТУ инженер-полковником С. А. Афони</w:t>
      </w:r>
      <w:r w:rsidRPr="00271E51">
        <w:rPr>
          <w:rFonts w:ascii="Times New Roman" w:hAnsi="Times New Roman"/>
          <w:color w:val="000000" w:themeColor="text1"/>
          <w:sz w:val="16"/>
          <w:szCs w:val="16"/>
        </w:rPr>
        <w:softHyphen/>
        <w:t>ным был поставлен вопрос о создании в НЛТИ танка-мостоукладчика па базе танка Т-34 по типу инженерного танка ИТ-28 Но эта задача в годы войны так и не была выполне</w:t>
      </w:r>
      <w:r w:rsidRPr="00271E51">
        <w:rPr>
          <w:rFonts w:ascii="Times New Roman" w:hAnsi="Times New Roman"/>
          <w:color w:val="000000" w:themeColor="text1"/>
          <w:sz w:val="16"/>
          <w:szCs w:val="16"/>
        </w:rPr>
        <w:softHyphen/>
        <w:t>на. Заводами промышленности серийно такие машины не выпускались (10703).</w:t>
      </w:r>
    </w:p>
    <w:p w14:paraId="037D16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244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в НАТИ совместно с ЦАКБ в инициативном порядке была разработана самоходная установка НАТИ-ЦАКБ. К полигонным испытаниям машина не была допущена, так как имела серьезные конструктивные недостатки, связанные с параллельным расположением двигателей и аг</w:t>
      </w:r>
      <w:r w:rsidRPr="00271E51">
        <w:rPr>
          <w:rFonts w:ascii="Times New Roman" w:hAnsi="Times New Roman"/>
          <w:color w:val="000000" w:themeColor="text1"/>
          <w:sz w:val="16"/>
          <w:szCs w:val="16"/>
        </w:rPr>
        <w:softHyphen/>
        <w:t>регатов трансмиссии, неудобным размещением экипажа, а также малой суммарной мощностью двух двигателей. На вооружении и в серийном производстве не состояла.</w:t>
      </w:r>
    </w:p>
    <w:p w14:paraId="67C189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(10703).</w:t>
      </w:r>
    </w:p>
    <w:p w14:paraId="06CA47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EA4369" w14:textId="77777777" w:rsidR="00E57D88" w:rsidRPr="00271E51" w:rsidRDefault="00E57D88"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июле 1943 года опытный образец Су-11 отправили на НИБТ Полигон в Кубинку. Летом 1943 года все работы по советским зенитным самоходным артиллерийским установкам зашли в тупик. А в июле 1943 года случилась Курская Дуга, и ждуны из ГАБТУ и других организаций дождались таки тех самых немецких противотанковых штурмовиков, о которых писалось еще в конце июня 1943 года. После того, как от огня с воздуха советские танковые соединения стали понести существенные потери, наверху внезапно стали о чем-то догадываться (21409).</w:t>
      </w:r>
    </w:p>
    <w:p w14:paraId="0C28FB00" w14:textId="77777777" w:rsidR="00E57D88" w:rsidRPr="00271E51" w:rsidRDefault="00E57D88"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1927A013"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июле 1943 года переработанный Т-50 промелькнул в докладе начальника БТУ ГАБТУ КА инженер-полковника С.А. Афонина. Доклад был составлен сразу же по завершению битвы на Курской дуге, где немцы массово применили целый ряд новых образцов танков и САУ. Согласно докладу, следовало осваивать производство Т-80, но при этом этот танк характеризовался как не удовлетворяющий современным требованиям. По этой причине Афонин предлагал выделить группу для отработки технического проекта легкого танка более современной конструкции.</w:t>
      </w:r>
    </w:p>
    <w:p w14:paraId="2034C70E"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докладу прилагались тактико-технические требования на новый легкий танк, удивительным образом пересекающиеся с Т-50. Новая машина должна была весить 15 тонн, при этом толщина брони предполагалась в 45 мм. Экипаж, как и в Т-50, составлял 4 человека. В качестве силовой установки предлагалась спарка дизельных двигателей GMC суммарной мощностью 220 л.с. Согласно расчетам, такая силовая установка позволила бы развивать максимальную скорость в 45 км/ч. Правда, трансмиссию предлагалось разместить в передней части машины.</w:t>
      </w:r>
    </w:p>
    <w:p w14:paraId="23C528DF"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Существенными отличиями от Т-50 были вооружение и башня. В качестве орудия предполагалось использовать 57-мм пушку ЗИС-4, производство которой на заводе №92 восстановили, правда, ненадолго, в 1943 году. Альтернативой выступала 76-мм пушка Ф-34, с которой ЗИС-4 была по большинству деталей унифицирована. На танк планировалось установить трехместную башню с диаметром подбашенного погона 1600 мм, что решало проблему размещения в ней более мощного орудия и трех членов экипажа. Судя по требованиям, вместо пулемета ДТ с пушкой должен был быть спарен пулемет ГВГ (СГ-43), еще один пулемет предполагалось установить в корпусе рядом с механиком-водителем.</w:t>
      </w:r>
    </w:p>
    <w:p w14:paraId="5DBDC31C"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Дальше тактико-технических требований работы по первому варианту перспективного легкого танка не продвинулись. Именно первому, так как за последующие 2 года планировавшийся легкий танк менялся неоднократно, в итоге преобразившись до неузнаваемости. Впервые проект серьезно переработали в начале декабря 1943 года. За это время ЗИС-4 окончательно исчезла из числа перспективных пушек, да и с двигателями GMC образовалась серьезная проблема. Из-за бомбежек лицензионное производство так и не удалось организовать, а поставлявшихся по ленд-лизу моторов едва хватало для тягачей Я-12. К тому же масса танка выросла уже до 20 тонн, и спарки 110-сильных моторов явно не хватало для обеспечения приемлемых динамических характеристик (17639).</w:t>
      </w:r>
    </w:p>
    <w:p w14:paraId="53F2E9AE" w14:textId="77777777" w:rsidR="00610B5A" w:rsidRPr="00271E51" w:rsidRDefault="00610B5A" w:rsidP="00271E51">
      <w:pPr>
        <w:pStyle w:val="12a"/>
        <w:shd w:val="clear" w:color="auto" w:fill="auto"/>
        <w:spacing w:after="0" w:line="240" w:lineRule="auto"/>
        <w:jc w:val="both"/>
        <w:rPr>
          <w:color w:val="000000" w:themeColor="text1"/>
          <w:sz w:val="16"/>
          <w:szCs w:val="16"/>
        </w:rPr>
      </w:pPr>
    </w:p>
    <w:p w14:paraId="28FB9041"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июле 1943 связи с тем, что немецкая бомбежка существенно повлияла на производственные возможности завода, планку производства установили гораздо ниже – на уровне в 250 танков. Ее удалось превзойти, сдав 260 машин. Примерно в это время случилось небольшое изменение внешнего облика танка. Связано это оказалось с деятельностью корпусных заводов. Еще летом 1942 года предлагалось делать штампованный люк механика-водителя. Тогда он в работу не пошел, но в 1943 году на свет появилась измененная конструкция штампованного люка, которую в работу запустил завод №176 в Муроме. Этот завод стал смежником завода №40 по корпусам и башням Т-80. Поскольку люки Т-70 и Т-80 оказались взаимозаменяемыми, их стали поставлять и на ГАЗ, где впервые они появились на танках майского выпуска. При этом литой люк продолжал оставаться в производстве, его ставили как на Т-70Б, так и на СУ-12.</w:t>
      </w:r>
    </w:p>
    <w:p w14:paraId="55D9D17F"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Кроме того, некоторое количество танков получило башни с антенным портом, находящимся в кормовой части башни. Не исключено, что это связано с установкой радиостанций 12-РТ, которые появились на Т-70Б с июля 1943 года. Согласно планам, предполагалась также установка на башни поручней для десанта, но успели ли их внедрить в производство – вопрос открытый (17695).</w:t>
      </w:r>
    </w:p>
    <w:p w14:paraId="2046E4B5" w14:textId="77777777" w:rsidR="00610B5A" w:rsidRPr="00271E51" w:rsidRDefault="00610B5A" w:rsidP="00271E51">
      <w:pPr>
        <w:pStyle w:val="12a"/>
        <w:shd w:val="clear" w:color="auto" w:fill="auto"/>
        <w:spacing w:after="0" w:line="240" w:lineRule="auto"/>
        <w:jc w:val="both"/>
        <w:rPr>
          <w:color w:val="000000" w:themeColor="text1"/>
          <w:sz w:val="16"/>
          <w:szCs w:val="16"/>
        </w:rPr>
      </w:pPr>
    </w:p>
    <w:p w14:paraId="5AC0B8FD" w14:textId="77777777" w:rsidR="00610B5A" w:rsidRPr="00271E51" w:rsidRDefault="00610B5A"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июле 1943 года была вторая крупная поставка Валентин в СССР. Это были Valentine III, и пришли они через Иран. И вот здесь начинается самое интересное. Как уже упоминалось, в мае 1943 года началось перевооружение английских частей с Valentine на Sherman. После этого в Советский Союз хлынул поток б/у танков. Это хорошо было видно по состоянию машин: все они прибывали не полностью комплектными и с погнутыми крыльями. К Valentine VII тоже имелись претензии, но эти машины приходили в лучшем состоянии и более укомплектованными. Также стоит отметить, что в 1943 году Valentine III и Valentine V приходили небольшими партиями (всего 51 и 16 штук соответственно).</w:t>
      </w:r>
    </w:p>
    <w:p w14:paraId="2E859575" w14:textId="77777777" w:rsidR="00610B5A" w:rsidRPr="00271E51" w:rsidRDefault="00610B5A" w:rsidP="00271E51">
      <w:pPr>
        <w:pStyle w:val="ae"/>
        <w:shd w:val="clear" w:color="auto" w:fill="FFFFFF"/>
        <w:spacing w:before="0" w:after="0"/>
        <w:jc w:val="both"/>
        <w:rPr>
          <w:color w:val="000000" w:themeColor="text1"/>
          <w:sz w:val="16"/>
          <w:szCs w:val="16"/>
        </w:rPr>
      </w:pPr>
      <w:r w:rsidRPr="00271E51">
        <w:rPr>
          <w:color w:val="000000" w:themeColor="text1"/>
          <w:sz w:val="16"/>
          <w:szCs w:val="16"/>
        </w:rPr>
        <w:t>Апрелем 1944 года датировано сообщение, согласно которому СССР передавались 90 танков, которые до того служили в Ираке. В их числе были Valentine V. Скорее всего, это были те самые машины, которые ранее использовались поляками. В таком случае эти Valentine использовались теми самыми бывшими польскими военнопленными, которых в своё время, после начала Великой Отечественной войны, переправили из СССР на Ближний Восток. Состояние этих танков оказалось таким, что в Баку пришлось их ремонтировать.</w:t>
      </w:r>
    </w:p>
    <w:p w14:paraId="55C37149" w14:textId="77777777" w:rsidR="00610B5A" w:rsidRPr="00271E51" w:rsidRDefault="00610B5A"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Прибывали подержанные Valentine III/V и северными конвоями. Например, караваном JW-54 в декабре 1943 года прибыло 37 Valentine III и 42 Valentine V. За 1944 год северным путём прибыло 50 Valentine V и 61 Valentine III. Что же касается южного пути, то по нему за 1944 год прибыло 54 таких танка. Последние 11 машин были приняты 30 сентября 1944 года вместе с 10 Valentine IX, также подержанными. Это были последние Valentine, прибывшие в СССР. Согласно английским данным, в СССР прибыло 346 Valentine III, ни один из них не был потерян в пути (17702).</w:t>
      </w:r>
    </w:p>
    <w:p w14:paraId="45DDD7CF" w14:textId="77777777" w:rsidR="00610B5A" w:rsidRPr="00271E51" w:rsidRDefault="00610B5A" w:rsidP="00271E51">
      <w:pPr>
        <w:pStyle w:val="12a"/>
        <w:shd w:val="clear" w:color="auto" w:fill="auto"/>
        <w:spacing w:after="0" w:line="240" w:lineRule="auto"/>
        <w:jc w:val="both"/>
        <w:rPr>
          <w:color w:val="000000" w:themeColor="text1"/>
          <w:sz w:val="16"/>
          <w:szCs w:val="16"/>
        </w:rPr>
      </w:pPr>
    </w:p>
    <w:p w14:paraId="6AACF551"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июле 1943 года под Понырями дебютировало другое детище Porsche K.G. – самоходная установка Ferdinand. Её появление в Красной армии восприняли очень серьёзно. Среди списка работ по танковой, противотанковой и самоходной артиллерии, датированного 15 сентября 1943 года, вновь появилась М75. Одной из причин возвращения заброшенного в 1942 году проекта было то, что базировалось орудие на лафете пушки-гаубицы МЛ-20. Идея вооружения пушкой М75 самоходной установки, похороненная ещё летом 1941 года, спустя два года получила шанс на возвращение, тем более что для неё наконец появились достойные цели.</w:t>
      </w:r>
    </w:p>
    <w:p w14:paraId="084C0B75" w14:textId="77777777" w:rsidR="00610B5A" w:rsidRPr="00271E51" w:rsidRDefault="00610B5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Впрочем, возврат к теме 107-мм противотанковой пушки оказался крайне недолгим. В том же самом письме, где упоминалась М75, председатель Артиллерийского Комитета ГАУ КА генерал-майор Хохлов предлагал отказаться от ряда проектов, заменив их на более перспективные 122-мм пушки с начальной скоростью снаряда 1000 м/с (17650).</w:t>
      </w:r>
    </w:p>
    <w:p w14:paraId="6860319D" w14:textId="77777777" w:rsidR="00610B5A" w:rsidRPr="00271E51" w:rsidRDefault="00610B5A" w:rsidP="00271E51">
      <w:pPr>
        <w:pStyle w:val="12a"/>
        <w:shd w:val="clear" w:color="auto" w:fill="auto"/>
        <w:spacing w:after="0" w:line="240" w:lineRule="auto"/>
        <w:jc w:val="both"/>
        <w:rPr>
          <w:color w:val="000000" w:themeColor="text1"/>
          <w:sz w:val="16"/>
          <w:szCs w:val="16"/>
        </w:rPr>
      </w:pPr>
    </w:p>
    <w:p w14:paraId="4D5C3105" w14:textId="77777777" w:rsidR="00610B5A" w:rsidRPr="00271E51" w:rsidRDefault="00610B5A"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В июле 1943 года начался новый виток в развитии советского танкостроения. В сражении на Курской дуге дебютировал ряд новых немецких танков и самоходных установок, в том числе тяжёлый истребитель танков </w:t>
      </w:r>
      <w:hyperlink r:id="rId47" w:history="1">
        <w:r w:rsidRPr="00271E51">
          <w:rPr>
            <w:rStyle w:val="a5"/>
            <w:bCs/>
            <w:iCs/>
            <w:color w:val="000000" w:themeColor="text1"/>
            <w:sz w:val="16"/>
            <w:szCs w:val="16"/>
            <w:bdr w:val="none" w:sz="0" w:space="0" w:color="auto" w:frame="1"/>
          </w:rPr>
          <w:t>Ferdinand</w:t>
        </w:r>
      </w:hyperlink>
      <w:r w:rsidRPr="00271E51">
        <w:rPr>
          <w:color w:val="000000" w:themeColor="text1"/>
          <w:sz w:val="16"/>
          <w:szCs w:val="16"/>
        </w:rPr>
        <w:t>. Сказать, что эту машину советские военные заметили — это не сказать ничего. Появление под Понырями новой немецкой САУ спровоцировало запуск целого ряда проектов. Например, тяжёлый танк «Объект 701» (будущий ИС-4), требования на который были разработаны в ноябре 1943 года, создавался именно в противовес «Фердинанду». О том, насколько серьёзно восприняли данную САУ в Красной армии, свидетельствует доклад, датированный 20 июля 1943 года, то есть менее чем через неделю после окончания активной фазы сражения. Для тяжёлого танка ИС-85, ещё проходившего испытания, военные требовали не только 85-мм пушку, которая, по их мнению, уже устарела, но и более мощные системы калибра 100, 122 и даже 152 мм (17716).</w:t>
      </w:r>
    </w:p>
    <w:p w14:paraId="64D1769D" w14:textId="77777777" w:rsidR="00610B5A" w:rsidRPr="00271E51" w:rsidRDefault="00610B5A" w:rsidP="00271E51">
      <w:pPr>
        <w:pStyle w:val="12a"/>
        <w:shd w:val="clear" w:color="auto" w:fill="auto"/>
        <w:spacing w:after="0" w:line="240" w:lineRule="auto"/>
        <w:jc w:val="both"/>
        <w:rPr>
          <w:color w:val="000000" w:themeColor="text1"/>
          <w:sz w:val="16"/>
          <w:szCs w:val="16"/>
        </w:rPr>
      </w:pPr>
    </w:p>
    <w:p w14:paraId="52C051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до по</w:t>
      </w:r>
      <w:r w:rsidRPr="00271E51">
        <w:rPr>
          <w:rFonts w:ascii="Times New Roman" w:hAnsi="Times New Roman"/>
          <w:color w:val="000000" w:themeColor="text1"/>
          <w:sz w:val="16"/>
          <w:szCs w:val="16"/>
        </w:rPr>
        <w:softHyphen/>
        <w:t>лучения результатов вторичных полигонных испытаний са</w:t>
      </w:r>
      <w:r w:rsidRPr="00271E51">
        <w:rPr>
          <w:rFonts w:ascii="Times New Roman" w:hAnsi="Times New Roman"/>
          <w:color w:val="000000" w:themeColor="text1"/>
          <w:sz w:val="16"/>
          <w:szCs w:val="16"/>
        </w:rPr>
        <w:softHyphen/>
        <w:t xml:space="preserve">моходная установка СУ-76М была принята на вооружение. До принятия на вооружение </w:t>
      </w:r>
      <w:r w:rsidRPr="00271E51">
        <w:rPr>
          <w:rFonts w:ascii="Times New Roman" w:hAnsi="Times New Roman"/>
          <w:color w:val="000000" w:themeColor="text1"/>
          <w:sz w:val="16"/>
          <w:szCs w:val="16"/>
        </w:rPr>
        <w:lastRenderedPageBreak/>
        <w:t>имела наименование СУ-15. Установка предназначалась для непосредственной поддержки пехоты и была самой многочислен</w:t>
      </w:r>
      <w:r w:rsidRPr="00271E51">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5 де № 38 в г. Кирове (1665 ед. - серийное производство по июль 1944 г. и на заводе № 40 в Мытищах (2306 ед.). Производство машины бы прекращено в 1946 г. Всего было выпущено 13 732 самоходных установ-| ки, из них во время Великой Отечественной войны - 11 494 (10703).</w:t>
      </w:r>
    </w:p>
    <w:p w14:paraId="36F649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6E3813" w14:textId="77777777" w:rsidR="00715334" w:rsidRPr="00271E51" w:rsidRDefault="00715334"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когда под Курском шли тяжелые оборонительные бои новые САУ СУ-15, СУ-38 и Су-16. прибыли на Гороховецкий артиллерийский полигон.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271E51">
          <w:rPr>
            <w:rFonts w:ascii="Times New Roman" w:hAnsi="Times New Roman"/>
            <w:color w:val="000000" w:themeColor="text1"/>
            <w:sz w:val="16"/>
            <w:szCs w:val="16"/>
          </w:rPr>
          <w:t>600 кг</w:t>
        </w:r>
      </w:smartTag>
      <w:r w:rsidRPr="00271E51">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1C69E774" w14:textId="77777777" w:rsidR="00715334" w:rsidRPr="00271E51" w:rsidRDefault="00715334" w:rsidP="00271E51">
      <w:pPr>
        <w:widowControl w:val="0"/>
        <w:spacing w:after="0" w:line="240" w:lineRule="auto"/>
        <w:jc w:val="both"/>
        <w:rPr>
          <w:rFonts w:ascii="Times New Roman" w:hAnsi="Times New Roman"/>
          <w:color w:val="000000" w:themeColor="text1"/>
          <w:sz w:val="16"/>
          <w:szCs w:val="16"/>
        </w:rPr>
      </w:pPr>
    </w:p>
    <w:p w14:paraId="3965F865" w14:textId="77777777" w:rsidR="00E57D88" w:rsidRPr="00271E51" w:rsidRDefault="00E57D88"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июле 1943 года на испытания прибыли 4 образца Т-34 с новым орудием ЗИС-4, по результатам испытаний его рекомендовали к принятию на вооружение. Работы по ЗИС-4 начались, подобно 85-мм орудиям, еще в апреле 1943 года. То есть еще до обстрела "Тигра". Но... в июле 1943 года случилась Курская Дуга, давшая массу пищи для размышлений. Примерно в это же время было решено от массового производства Т-34 с ЗИС-4 отказаться. Оставшийся задел от выпущенных орудий (154 штуки) потом еще долго пытались трудоустроить. Одно можно сказать точно: к сентябрю 1943 года ЦАКБ (Центральное Артиллерийское КБ) работало над новой орудийной системой.</w:t>
      </w:r>
    </w:p>
    <w:p w14:paraId="17F6FA29" w14:textId="77777777" w:rsidR="00E57D88" w:rsidRPr="00271E51" w:rsidRDefault="00E57D88" w:rsidP="00271E51">
      <w:pPr>
        <w:spacing w:after="0" w:line="240" w:lineRule="auto"/>
        <w:jc w:val="both"/>
        <w:rPr>
          <w:rFonts w:ascii="Times New Roman" w:hAnsi="Times New Roman"/>
          <w:color w:val="0070C0"/>
          <w:sz w:val="16"/>
          <w:szCs w:val="16"/>
        </w:rPr>
      </w:pPr>
    </w:p>
    <w:p w14:paraId="25E1099C" w14:textId="77777777" w:rsidR="00BA7A65" w:rsidRPr="00271E51" w:rsidRDefault="00BA7A65" w:rsidP="00271E51">
      <w:pPr>
        <w:pStyle w:val="a3"/>
        <w:rPr>
          <w:color w:val="000000" w:themeColor="text1"/>
          <w:lang w:val="ru-RU"/>
        </w:rPr>
      </w:pPr>
      <w:r w:rsidRPr="00271E51">
        <w:rPr>
          <w:color w:val="000000" w:themeColor="text1"/>
          <w:lang w:val="ru-RU"/>
        </w:rPr>
        <w:t>В июле 1943 года самоходка, которую разработали в КБ завода № 38 под руководством М. И. Щукина (ее главным преимуществом стало использование двигательного агрегата ГАЗ-203. Это состоящее из двух двигателей ГАЗ-202 - устройство уже использовалось на танке Т-70) была представлена на испытания, и один из её вариантов (СУ-15) был принят на вооружение под обозначением СУ-76 с некоторыми изменениями в конструкции. Главное из этих переделок состояло в отказе от полностью защищённой броней рубки. Открытая сверху и сзади рубка создавала более удобные условия для работы экипажа и снимала проблему загазованности боевого отделения в результате интенсивной стрельбы. Осенью 1943 года производство лёгких танков было наконец полностью прекращено в пользу лёгких САУ.</w:t>
      </w:r>
    </w:p>
    <w:p w14:paraId="453A6F8D" w14:textId="77777777" w:rsidR="00BA7A65" w:rsidRPr="00271E51" w:rsidRDefault="00BA7A65" w:rsidP="00271E51">
      <w:pPr>
        <w:pStyle w:val="a3"/>
        <w:rPr>
          <w:color w:val="000000" w:themeColor="text1"/>
          <w:lang w:val="ru-RU"/>
        </w:rPr>
      </w:pPr>
      <w:r w:rsidRPr="00271E51">
        <w:rPr>
          <w:color w:val="000000" w:themeColor="text1"/>
          <w:lang w:val="ru-RU"/>
        </w:rPr>
        <w:t>СУ-76 была предназначена для использования в качестве поддержки пехоты. Эта самоходка оказалась очень удобной в эксплуатации. У её экипажа были великолепные условия для покидания подбитой машины. СУ- 76 участвовала во всех крупных прорывах 1944 - 1945 годов, часто беря на себя основную тяжесть поддержки пехоты при прорыве вражеской обороны. При этом самоходки несли большие потери, но низкие затраты рабочей силы и материалов на её производство позволяли легко эти потери восполнять. Тонкая броня СУ-76 не защищала её от немецкой противотанковой артиллерии, но фактически то же самое можно сказать в этот период и о Т- 34. Даже тяжелые танки ИС при прорыве обороны несли тяжелые потери, так как немецкая противотанковая оборона была обычно построена грамотно и опиралась преимущественно на фланкирующий огонь, поражающий танки в борт. Лёгкая самоходка стала органичной составной частью системы бронетанкового вооружения Красной Армии, взяв на себя функцию основного средства поддержки пехоты (12290).</w:t>
      </w:r>
    </w:p>
    <w:p w14:paraId="6DD651CE" w14:textId="77777777" w:rsidR="00BA7A65" w:rsidRPr="00271E51" w:rsidRDefault="00BA7A65" w:rsidP="00271E51">
      <w:pPr>
        <w:pStyle w:val="a3"/>
        <w:rPr>
          <w:color w:val="000000" w:themeColor="text1"/>
          <w:lang w:val="ru-RU"/>
        </w:rPr>
      </w:pPr>
    </w:p>
    <w:p w14:paraId="520D47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июля 1943 г. СУ-12 была снята с производства из-за крупных дефек</w:t>
      </w:r>
      <w:r w:rsidRPr="00271E51">
        <w:rPr>
          <w:rFonts w:ascii="Times New Roman" w:hAnsi="Times New Roman"/>
          <w:color w:val="000000" w:themeColor="text1"/>
          <w:sz w:val="16"/>
          <w:szCs w:val="16"/>
        </w:rPr>
        <w:softHyphen/>
        <w:t>тов в конструкции силовой установки и трансмиссии. Всего было выпу</w:t>
      </w:r>
      <w:r w:rsidRPr="00271E51">
        <w:rPr>
          <w:rFonts w:ascii="Times New Roman" w:hAnsi="Times New Roman"/>
          <w:color w:val="000000" w:themeColor="text1"/>
          <w:sz w:val="16"/>
          <w:szCs w:val="16"/>
        </w:rPr>
        <w:softHyphen/>
        <w:t>щено 560 самоходных установок, которые принимали участие в боевых действиях и в дальнейшем были подвергнуты модернизации (10703).</w:t>
      </w:r>
    </w:p>
    <w:p w14:paraId="626A55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0E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новые САУ Су-16 прибыли на Гороховецкий артиллерийский полигон, когда под Курском шли тяжелые оборонительные бои. Испытания проводились совместно с доставленной туда же серийной СУ-76М (СУ-12М). Не</w:t>
      </w:r>
      <w:r w:rsidRPr="00271E51">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271E51">
        <w:rPr>
          <w:rFonts w:ascii="Times New Roman" w:hAnsi="Times New Roman"/>
          <w:color w:val="000000" w:themeColor="text1"/>
          <w:sz w:val="16"/>
          <w:szCs w:val="16"/>
        </w:rPr>
        <w:softHyphen/>
        <w:t>вой части. Симпатии практически всех военных (как ар</w:t>
      </w:r>
      <w:r w:rsidRPr="00271E51">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271E51">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271E51">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271E51">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1B1C8A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271E51">
        <w:rPr>
          <w:rFonts w:ascii="Times New Roman" w:hAnsi="Times New Roman"/>
          <w:color w:val="000000" w:themeColor="text1"/>
          <w:sz w:val="16"/>
          <w:szCs w:val="16"/>
        </w:rPr>
        <w:softHyphen/>
        <w:t>менения их конструкции. Так, для снижения массы, улуч</w:t>
      </w:r>
      <w:r w:rsidRPr="00271E51">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271E51">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271E51">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271E51">
        <w:rPr>
          <w:rFonts w:ascii="Times New Roman" w:hAnsi="Times New Roman"/>
          <w:color w:val="000000" w:themeColor="text1"/>
          <w:sz w:val="16"/>
          <w:szCs w:val="16"/>
        </w:rPr>
        <w:softHyphen/>
        <w:t>тания 23 августа 1943 г. СУ-15М была принята на вооруже</w:t>
      </w:r>
      <w:r w:rsidRPr="00271E51">
        <w:rPr>
          <w:rFonts w:ascii="Times New Roman" w:hAnsi="Times New Roman"/>
          <w:color w:val="000000" w:themeColor="text1"/>
          <w:sz w:val="16"/>
          <w:szCs w:val="16"/>
        </w:rPr>
        <w:softHyphen/>
        <w:t>ние взамен СУ-12М под индексом СУ-76 (без буквы «М»).</w:t>
      </w:r>
    </w:p>
    <w:p w14:paraId="30EF0B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271E51">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5D8B2F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B4A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Опытный образец машины, имевший наименование СУ-85-11, был изготовлен на УЗТМ совместно с заводом № 50 НКТП. Ведущим инженером машины был Н.В. Курин. В июле-августе того же года машина успешно прошла заводские и государственные испытания на Гороховецком АНИОПе. Установка СУ-85 была принята на вооружение с августа 1943 г. Серийное производство было организовано в августе 1943 г. и продолжалось до сентября 1944 г. Всего было выпущено 2339 установок, которые предназначались для унич немецких тяжелых танков "Тигр" на дальностях стрельбы 500 м (10703).</w:t>
      </w:r>
    </w:p>
    <w:p w14:paraId="29643E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9E2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опытный образец машины СУ-85-1У был изготовлен на УЗТМ совместно с заводом № 50 НКТП. С 20 по 27 июля образец прошел заводские испытания, которые не выдержал по причине полом</w:t>
      </w:r>
      <w:r w:rsidRPr="00271E51">
        <w:rPr>
          <w:rFonts w:ascii="Times New Roman" w:hAnsi="Times New Roman"/>
          <w:color w:val="000000" w:themeColor="text1"/>
          <w:sz w:val="16"/>
          <w:szCs w:val="16"/>
        </w:rPr>
        <w:softHyphen/>
        <w:t>ки спускового механизма пушки. После устранения недостатков опыт</w:t>
      </w:r>
      <w:r w:rsidRPr="00271E51">
        <w:rPr>
          <w:rFonts w:ascii="Times New Roman" w:hAnsi="Times New Roman"/>
          <w:color w:val="000000" w:themeColor="text1"/>
          <w:sz w:val="16"/>
          <w:szCs w:val="16"/>
        </w:rPr>
        <w:softHyphen/>
        <w:t>ный образец установки был допущен к государственным испытаниям на Гороховецком АНИОПе, которые состоялись в период с 25 июля по 6 августа 1943 г. После завершения испытаний дальнейшие работы по машине были прекращены. Машина была разработана на базе установки СУ-122М путем мон</w:t>
      </w:r>
      <w:r w:rsidRPr="00271E51">
        <w:rPr>
          <w:rFonts w:ascii="Times New Roman" w:hAnsi="Times New Roman"/>
          <w:color w:val="000000" w:themeColor="text1"/>
          <w:sz w:val="16"/>
          <w:szCs w:val="16"/>
        </w:rPr>
        <w:softHyphen/>
        <w:t>тажа в ее корпус 85-мм пушки С-18 конструкции ЦАКБ с баллистикой зенитной пушки обр. 1938 г. и люлькой, заимствованной у 85-мм пушки ЗИС-5. Она представляла собой усовершенствованный вариант ранее разработанной в ЦАКБ под руководством В.Г.Грабина 85-мм пушки С-31, по своим размерам не удовлетворявшей требованиям УЗТМ на монтаж в корпус самоходной установки СУ-122М (10703).</w:t>
      </w:r>
    </w:p>
    <w:p w14:paraId="4729E1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4AD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опытный образец машины СУ-85-1 был изготовлен на УЗТМ совместно с заво</w:t>
      </w:r>
      <w:r w:rsidRPr="00271E51">
        <w:rPr>
          <w:rFonts w:ascii="Times New Roman" w:hAnsi="Times New Roman"/>
          <w:color w:val="000000" w:themeColor="text1"/>
          <w:sz w:val="16"/>
          <w:szCs w:val="16"/>
        </w:rPr>
        <w:softHyphen/>
        <w:t>дом № 50 НКТП. С 20 по 27 июля образец прошел заводские испытания, которые не выдержал по причине поломки спус</w:t>
      </w:r>
      <w:r w:rsidRPr="00271E51">
        <w:rPr>
          <w:rFonts w:ascii="Times New Roman" w:hAnsi="Times New Roman"/>
          <w:color w:val="000000" w:themeColor="text1"/>
          <w:sz w:val="16"/>
          <w:szCs w:val="16"/>
        </w:rPr>
        <w:softHyphen/>
        <w:t>кового механизма. После устранения недостатков опытный образец ус</w:t>
      </w:r>
      <w:r w:rsidRPr="00271E51">
        <w:rPr>
          <w:rFonts w:ascii="Times New Roman" w:hAnsi="Times New Roman"/>
          <w:color w:val="000000" w:themeColor="text1"/>
          <w:sz w:val="16"/>
          <w:szCs w:val="16"/>
        </w:rPr>
        <w:softHyphen/>
        <w:t>тановки был допущен к государственным испытаниям на Гороховецком АНИОПе, которые состоялись в период с 25 июля по 6 августа 1943 г. На вооружении и в серийном производстве не состояла. Машина была разработана на базе самоходной установки СУ-122М путем монтажа в ее корпус 85-мм пушки С-18-1 конструкции ЦАКБ с баллистикой зенитной пушки обр. 1938 г. и люлькой, переработанной в конструкторском бюро УЗТМ. Она представляла собой усовершенст</w:t>
      </w:r>
      <w:r w:rsidRPr="00271E51">
        <w:rPr>
          <w:rFonts w:ascii="Times New Roman" w:hAnsi="Times New Roman"/>
          <w:color w:val="000000" w:themeColor="text1"/>
          <w:sz w:val="16"/>
          <w:szCs w:val="16"/>
        </w:rPr>
        <w:softHyphen/>
        <w:t>вованный вариант 85-мм пушки С-31, ранее разработанной в ЦАКБ (10703).</w:t>
      </w:r>
    </w:p>
    <w:p w14:paraId="1041E6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615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были изготовлены четыре самоходных установки: СУ-85-1 (САУ с 85-мм пушкой С-18-1 конструкции ЦАКБ и с изменен</w:t>
      </w:r>
      <w:r w:rsidRPr="00271E51">
        <w:rPr>
          <w:rFonts w:ascii="Times New Roman" w:hAnsi="Times New Roman"/>
          <w:color w:val="000000" w:themeColor="text1"/>
          <w:sz w:val="16"/>
          <w:szCs w:val="16"/>
        </w:rPr>
        <w:softHyphen/>
        <w:t xml:space="preserve">ной люлькой конструкции </w:t>
      </w:r>
      <w:r w:rsidRPr="00271E51">
        <w:rPr>
          <w:rFonts w:ascii="Times New Roman" w:hAnsi="Times New Roman"/>
          <w:color w:val="000000" w:themeColor="text1"/>
          <w:sz w:val="16"/>
          <w:szCs w:val="16"/>
        </w:rPr>
        <w:lastRenderedPageBreak/>
        <w:t>УЗТМ); СУ-85-11 (САУ с 85-мм пушкой Д-5С-85 завода № 9 НКВ); СУ-122-111 (модернизированная САУ со 122-мм гаубицей Д-6 завода № 9 НКВ) и СУ-85-1У (САУ с 85-мм пушкой С-18 конструкции ЦАКБ). С 20 по 25 июля все САУ прошли заводские испытания, во время которых на установках СУ-85-1 и СУ-85-1У произошли поломки спусковых механизмов артиллерийских орудий. В соответствии с решением комиссии, проводившей испытания, после устранения этих поломок и проведения контрольного отстрела машины были допущены к государственным испытаниям. В конце июля - начале августа 1943 г. все САУ прошли государственные испытания. Из-за большого количества недостатков в конструкции орудия Д-6 самоходная установка СУ-122-111 с испытаний была снята. Значительное число недостатков было обнаружено и в конструкции орудия С-18. По результатам испытаний лучшим было признано орудие Д-5С-85. Учитывая крайнюю необходимость в 85-мм орудиях для вооружения ими отечественных тан</w:t>
      </w:r>
      <w:r w:rsidRPr="00271E51">
        <w:rPr>
          <w:rFonts w:ascii="Times New Roman" w:hAnsi="Times New Roman"/>
          <w:color w:val="000000" w:themeColor="text1"/>
          <w:sz w:val="16"/>
          <w:szCs w:val="16"/>
        </w:rPr>
        <w:softHyphen/>
        <w:t>ков и САУ, комиссия пришла к выводу о прекращении дальнейшей отработки 85-мм пушек С-18 и С-18-1 и рекомендовала для серийного производства пушку Д-5С-85. Кроме того, члены комиссии составили перечень предложений по доработке САУ и рекомендовали ее для принятия на вооружение с обязательным устранением выявленных недостатков. Постановлением ГКО от 7 августа 1943 г. самоходная артиллерийская уставовка СУ-85-11 под маркой СУ-85 была принята на вооружение РККА и поставлена на серийное производство. С августа 1943 г. УЗТМ начал выпуск самоходных установок СУ-85 вместо СУ-122.73% деталей установки были заимствованы у танка Т-34-76, 7% - у самоходной установки СУ-122 и 20% - изготовлены заново (10703).</w:t>
      </w:r>
    </w:p>
    <w:p w14:paraId="74E1A4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EBD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на полигоне НКВ в районе Нижнего Тагила и на трассах Свердловск - Нижний Тагил и Свердловск-Челябинск были успешно проведены Государственные испытания установки СУ-122М. С целью дальнейшего улучшения машины государственная комиссия ре</w:t>
      </w:r>
      <w:r w:rsidRPr="00271E51">
        <w:rPr>
          <w:rFonts w:ascii="Times New Roman" w:hAnsi="Times New Roman"/>
          <w:color w:val="000000" w:themeColor="text1"/>
          <w:sz w:val="16"/>
          <w:szCs w:val="16"/>
        </w:rPr>
        <w:softHyphen/>
        <w:t>комендовала внести в ее конструкцию некоторые изменения. Эти пред</w:t>
      </w:r>
      <w:r w:rsidRPr="00271E51">
        <w:rPr>
          <w:rFonts w:ascii="Times New Roman" w:hAnsi="Times New Roman"/>
          <w:color w:val="000000" w:themeColor="text1"/>
          <w:sz w:val="16"/>
          <w:szCs w:val="16"/>
        </w:rPr>
        <w:softHyphen/>
        <w:t>ложения были учтены при разработке конструкции нового опытного образца установки СУ-122-111, который поступил на сравнительные ис</w:t>
      </w:r>
      <w:r w:rsidRPr="00271E51">
        <w:rPr>
          <w:rFonts w:ascii="Times New Roman" w:hAnsi="Times New Roman"/>
          <w:color w:val="000000" w:themeColor="text1"/>
          <w:sz w:val="16"/>
          <w:szCs w:val="16"/>
        </w:rPr>
        <w:softHyphen/>
        <w:t>пытания уже с новой самоходной артиллерийской установкой СУ-85 (10703).</w:t>
      </w:r>
    </w:p>
    <w:p w14:paraId="408B00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34A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УЗТМ совместно с заводом № 50 НКТП был изготовлен опытный образец установки СУ-122-111, ко</w:t>
      </w:r>
      <w:r w:rsidRPr="00271E51">
        <w:rPr>
          <w:rFonts w:ascii="Times New Roman" w:hAnsi="Times New Roman"/>
          <w:color w:val="000000" w:themeColor="text1"/>
          <w:sz w:val="16"/>
          <w:szCs w:val="16"/>
        </w:rPr>
        <w:softHyphen/>
        <w:t>торый в конце июля - начале августа того же года прошел испытания на Гороховецком АНИОПе. На вооружение установка СУ-122-111 не при</w:t>
      </w:r>
      <w:r w:rsidRPr="00271E51">
        <w:rPr>
          <w:rFonts w:ascii="Times New Roman" w:hAnsi="Times New Roman"/>
          <w:color w:val="000000" w:themeColor="text1"/>
          <w:sz w:val="16"/>
          <w:szCs w:val="16"/>
        </w:rPr>
        <w:softHyphen/>
        <w:t>нималась. Машина отличалась от предшествующего образца (СУ-122М) уста</w:t>
      </w:r>
      <w:r w:rsidRPr="00271E51">
        <w:rPr>
          <w:rFonts w:ascii="Times New Roman" w:hAnsi="Times New Roman"/>
          <w:color w:val="000000" w:themeColor="text1"/>
          <w:sz w:val="16"/>
          <w:szCs w:val="16"/>
        </w:rPr>
        <w:softHyphen/>
        <w:t>новкой вооружения. На крыше броневой рубки над местом командира машины размещалась неподвижная командирская башенка прямо</w:t>
      </w:r>
      <w:r w:rsidRPr="00271E51">
        <w:rPr>
          <w:rFonts w:ascii="Times New Roman" w:hAnsi="Times New Roman"/>
          <w:color w:val="000000" w:themeColor="text1"/>
          <w:sz w:val="16"/>
          <w:szCs w:val="16"/>
        </w:rPr>
        <w:softHyphen/>
        <w:t>угольной формы, на крыше которой были установлены командирская панорама ПТК и два зеркальных смотровых прибора. Экипаж установ</w:t>
      </w:r>
      <w:r w:rsidRPr="00271E51">
        <w:rPr>
          <w:rFonts w:ascii="Times New Roman" w:hAnsi="Times New Roman"/>
          <w:color w:val="000000" w:themeColor="text1"/>
          <w:sz w:val="16"/>
          <w:szCs w:val="16"/>
        </w:rPr>
        <w:softHyphen/>
        <w:t>ки состоял из пяти человек (10703).</w:t>
      </w:r>
    </w:p>
    <w:p w14:paraId="409027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9DC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вместе с тремя образцами СУ-85 из ворот Урал-машзавода выкатился очередной модернизированный обра</w:t>
      </w:r>
      <w:r w:rsidRPr="00271E51">
        <w:rPr>
          <w:rFonts w:ascii="Times New Roman" w:hAnsi="Times New Roman"/>
          <w:color w:val="000000" w:themeColor="text1"/>
          <w:sz w:val="16"/>
          <w:szCs w:val="16"/>
        </w:rPr>
        <w:softHyphen/>
        <w:t>зец СУ-122-3, отличавшийся от СУ-85 только вооружением в виде 122-мм штурмового орудия Д-6. В период с 20 по 25 июля он прошел заводские испытания, а с 25 июля по 6 августа все четыре самохода прошли государственные испы</w:t>
      </w:r>
      <w:r w:rsidRPr="00271E51">
        <w:rPr>
          <w:rFonts w:ascii="Times New Roman" w:hAnsi="Times New Roman"/>
          <w:color w:val="000000" w:themeColor="text1"/>
          <w:sz w:val="16"/>
          <w:szCs w:val="16"/>
        </w:rPr>
        <w:softHyphen/>
        <w:t>тания на Гороховецком полигоне (11417).</w:t>
      </w:r>
    </w:p>
    <w:p w14:paraId="137BC6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BEB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на качающейся бронировке всех орудий СУ С-1 был установлен «броневой отражательный щиток», назна</w:t>
      </w:r>
      <w:r w:rsidRPr="00271E51">
        <w:rPr>
          <w:rFonts w:ascii="Times New Roman" w:hAnsi="Times New Roman"/>
          <w:color w:val="000000" w:themeColor="text1"/>
          <w:sz w:val="16"/>
          <w:szCs w:val="16"/>
        </w:rPr>
        <w:softHyphen/>
        <w:t>чение которого состояло в том, чтобы не допускать закли</w:t>
      </w:r>
      <w:r w:rsidRPr="00271E51">
        <w:rPr>
          <w:rFonts w:ascii="Times New Roman" w:hAnsi="Times New Roman"/>
          <w:color w:val="000000" w:themeColor="text1"/>
          <w:sz w:val="16"/>
          <w:szCs w:val="16"/>
        </w:rPr>
        <w:softHyphen/>
        <w:t>нивания орудия мелкими осколками и пулями. Такое же ре</w:t>
      </w:r>
      <w:r w:rsidRPr="00271E51">
        <w:rPr>
          <w:rFonts w:ascii="Times New Roman" w:hAnsi="Times New Roman"/>
          <w:color w:val="000000" w:themeColor="text1"/>
          <w:sz w:val="16"/>
          <w:szCs w:val="16"/>
        </w:rPr>
        <w:softHyphen/>
        <w:t>шение конструкторы увидели у трофейного «Фердинанда». Тогда же для увеличения запаса хода самоходки начали ос</w:t>
      </w:r>
      <w:r w:rsidRPr="00271E51">
        <w:rPr>
          <w:rFonts w:ascii="Times New Roman" w:hAnsi="Times New Roman"/>
          <w:color w:val="000000" w:themeColor="text1"/>
          <w:sz w:val="16"/>
          <w:szCs w:val="16"/>
        </w:rPr>
        <w:softHyphen/>
        <w:t>нащать двумя внешними цилиндрическими бензобаками, которые устанавливались вдоль кормы на кронштейнах.</w:t>
      </w:r>
    </w:p>
    <w:p w14:paraId="5D2FB0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Первоначально в качестве командирских машин в САП, </w:t>
      </w:r>
      <w:r w:rsidRPr="00271E51">
        <w:rPr>
          <w:rFonts w:ascii="Times New Roman" w:hAnsi="Times New Roman"/>
          <w:color w:val="000000" w:themeColor="text1"/>
          <w:sz w:val="16"/>
          <w:szCs w:val="16"/>
          <w:lang w:val="en-US"/>
        </w:rPr>
        <w:t>I</w:t>
      </w:r>
      <w:r w:rsidRPr="00271E51">
        <w:rPr>
          <w:rFonts w:ascii="Times New Roman" w:hAnsi="Times New Roman"/>
          <w:color w:val="000000" w:themeColor="text1"/>
          <w:sz w:val="16"/>
          <w:szCs w:val="16"/>
        </w:rPr>
        <w:t xml:space="preserve"> вооруженных СУ-76(С-1) использовали трофейные Т </w:t>
      </w:r>
      <w:r w:rsidRPr="00271E51">
        <w:rPr>
          <w:rFonts w:ascii="Times New Roman" w:hAnsi="Times New Roman"/>
          <w:color w:val="000000" w:themeColor="text1"/>
          <w:sz w:val="16"/>
          <w:szCs w:val="16"/>
          <w:lang w:val="en-US"/>
        </w:rPr>
        <w:t>III</w:t>
      </w:r>
      <w:r w:rsidRPr="00271E51">
        <w:rPr>
          <w:rFonts w:ascii="Times New Roman" w:hAnsi="Times New Roman"/>
          <w:color w:val="000000" w:themeColor="text1"/>
          <w:sz w:val="16"/>
          <w:szCs w:val="16"/>
        </w:rPr>
        <w:t>, но к лету принято решение об изготовлении так</w:t>
      </w:r>
      <w:r w:rsidRPr="00271E51">
        <w:rPr>
          <w:rFonts w:ascii="Times New Roman" w:hAnsi="Times New Roman"/>
          <w:color w:val="000000" w:themeColor="text1"/>
          <w:sz w:val="16"/>
          <w:szCs w:val="16"/>
        </w:rPr>
        <w:softHyphen/>
        <w:t>же специальных командирских машин, оснащенных трофейной командирской башенкой и дополнительной радиостанцией типа 9РМ или 12РТ при сокращенном боекомплек</w:t>
      </w:r>
      <w:r w:rsidRPr="00271E51">
        <w:rPr>
          <w:rFonts w:ascii="Times New Roman" w:hAnsi="Times New Roman"/>
          <w:color w:val="000000" w:themeColor="text1"/>
          <w:sz w:val="16"/>
          <w:szCs w:val="16"/>
        </w:rPr>
        <w:softHyphen/>
        <w:t>те. По предварительным оценкам, такие «командирские» ма</w:t>
      </w:r>
      <w:r w:rsidRPr="00271E51">
        <w:rPr>
          <w:rFonts w:ascii="Times New Roman" w:hAnsi="Times New Roman"/>
          <w:color w:val="000000" w:themeColor="text1"/>
          <w:sz w:val="16"/>
          <w:szCs w:val="16"/>
        </w:rPr>
        <w:softHyphen/>
        <w:t>шины должны были быть в каждом дивизионе САУ, причем их должны были изготавливать из расчета одна из восьми. Но число реально изготовленных сегодня сказать нельзя (11417).</w:t>
      </w:r>
    </w:p>
    <w:p w14:paraId="0983FD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70D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года начались работы по установке гусеничного шасси С.С.Неждановского на БА-64 (3862).</w:t>
      </w:r>
    </w:p>
    <w:p w14:paraId="4ECDBB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B64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 своем отчете И.В. Курчатов отмечает кадровое укрепление Лаборатории No. 2 в первом полугодии 1943 года. В работах Лаборатории активно участвуют как специалисты, занимавшиеся проблемой урана до войны (И.В. Курчатов, Я.Б. Зельдович, Ю.Б. Харитон, Г.Н. Флеров, К.С. Петржак), так и ряд крупных специалистов, занимавшихся ранее другими вопросами (А.И. Алиханов, С.А. Христианович, И.К. Кикоин, М.О. Корнфельд, И.Я. Померанчук, Б.В. Курчатов). К исследованиям в рамках атомного проекта были привлечены группы специалистов в ряде научных учреждений: Радиевый институт (руководитель - В.Г. Хлопин); Институт органической химии (руководитель - А.Н. Несмеянов); Московский Государственный университет (руководитель - В.И. Спицын); Институт редких металлов. Все привлеченные группы из других институтов работали по специальным заданиям Лаборатории No. 2 (10549).</w:t>
      </w:r>
    </w:p>
    <w:p w14:paraId="5B2CC4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23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июля 1943 рабочие завода им. А. А. Кулакова изготовили 9192 автомата; катеростроители отремонтировали 24 катера. Продолжалась постройка БМО (заготовлен и обработан металл еще на 8 кораблей). На Петрозаводе подготовлен к испытаниям турбинный ЭТЩ "Василий Громов". Катеростроители сдали флоту 7 боевых катеров (10671).</w:t>
      </w:r>
    </w:p>
    <w:p w14:paraId="3BD097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1A2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проект нового эсминца был утвержден совме</w:t>
      </w:r>
      <w:r w:rsidRPr="00271E51">
        <w:rPr>
          <w:rFonts w:ascii="Times New Roman" w:hAnsi="Times New Roman"/>
          <w:color w:val="000000" w:themeColor="text1"/>
          <w:sz w:val="16"/>
          <w:szCs w:val="16"/>
        </w:rPr>
        <w:softHyphen/>
        <w:t>стным решением наркоматов ВМФ и судостроительной промыш</w:t>
      </w:r>
      <w:r w:rsidRPr="00271E51">
        <w:rPr>
          <w:rFonts w:ascii="Times New Roman" w:hAnsi="Times New Roman"/>
          <w:color w:val="000000" w:themeColor="text1"/>
          <w:sz w:val="16"/>
          <w:szCs w:val="16"/>
        </w:rPr>
        <w:softHyphen/>
        <w:t>ленности (3898).</w:t>
      </w:r>
    </w:p>
    <w:p w14:paraId="58B58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6BC9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12E2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A2C5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выводах отчета по боевым дей</w:t>
      </w:r>
      <w:r w:rsidRPr="00271E51">
        <w:rPr>
          <w:rFonts w:ascii="Times New Roman" w:hAnsi="Times New Roman"/>
          <w:color w:val="000000" w:themeColor="text1"/>
          <w:sz w:val="16"/>
          <w:szCs w:val="16"/>
        </w:rPr>
        <w:softHyphen/>
        <w:t>ствиям 1-й ВА за июнь 1943 г. отмеча</w:t>
      </w:r>
      <w:r w:rsidRPr="00271E51">
        <w:rPr>
          <w:rFonts w:ascii="Times New Roman" w:hAnsi="Times New Roman"/>
          <w:color w:val="000000" w:themeColor="text1"/>
          <w:sz w:val="16"/>
          <w:szCs w:val="16"/>
        </w:rPr>
        <w:softHyphen/>
        <w:t xml:space="preserve">лось, что: </w:t>
      </w:r>
      <w:r w:rsidRPr="00271E51">
        <w:rPr>
          <w:rFonts w:ascii="Times New Roman" w:hAnsi="Times New Roman"/>
          <w:iCs/>
          <w:color w:val="000000" w:themeColor="text1"/>
          <w:sz w:val="16"/>
          <w:szCs w:val="16"/>
        </w:rPr>
        <w:t>"...в операции по удару по аэродромам противника мы понесли чрезвычайно большие потери, особен</w:t>
      </w:r>
      <w:r w:rsidRPr="00271E51">
        <w:rPr>
          <w:rFonts w:ascii="Times New Roman" w:hAnsi="Times New Roman"/>
          <w:iCs/>
          <w:color w:val="000000" w:themeColor="text1"/>
          <w:sz w:val="16"/>
          <w:szCs w:val="16"/>
        </w:rPr>
        <w:softHyphen/>
        <w:t>но 10.06, которых можно было бы из</w:t>
      </w:r>
      <w:r w:rsidRPr="00271E51">
        <w:rPr>
          <w:rFonts w:ascii="Times New Roman" w:hAnsi="Times New Roman"/>
          <w:iCs/>
          <w:color w:val="000000" w:themeColor="text1"/>
          <w:sz w:val="16"/>
          <w:szCs w:val="16"/>
        </w:rPr>
        <w:softHyphen/>
        <w:t>бежать при лучшей организации бое</w:t>
      </w:r>
      <w:r w:rsidRPr="00271E51">
        <w:rPr>
          <w:rFonts w:ascii="Times New Roman" w:hAnsi="Times New Roman"/>
          <w:iCs/>
          <w:color w:val="000000" w:themeColor="text1"/>
          <w:sz w:val="16"/>
          <w:szCs w:val="16"/>
        </w:rPr>
        <w:softHyphen/>
        <w:t>вой работы. ...Необходимо под стра</w:t>
      </w:r>
      <w:r w:rsidRPr="00271E51">
        <w:rPr>
          <w:rFonts w:ascii="Times New Roman" w:hAnsi="Times New Roman"/>
          <w:iCs/>
          <w:color w:val="000000" w:themeColor="text1"/>
          <w:sz w:val="16"/>
          <w:szCs w:val="16"/>
        </w:rPr>
        <w:softHyphen/>
        <w:t>хом самого сурового наказания потре</w:t>
      </w:r>
      <w:r w:rsidRPr="00271E51">
        <w:rPr>
          <w:rFonts w:ascii="Times New Roman" w:hAnsi="Times New Roman"/>
          <w:iCs/>
          <w:color w:val="000000" w:themeColor="text1"/>
          <w:sz w:val="16"/>
          <w:szCs w:val="16"/>
        </w:rPr>
        <w:softHyphen/>
        <w:t>бовать от истребителей честного вы</w:t>
      </w:r>
      <w:r w:rsidRPr="00271E51">
        <w:rPr>
          <w:rFonts w:ascii="Times New Roman" w:hAnsi="Times New Roman"/>
          <w:iCs/>
          <w:color w:val="000000" w:themeColor="text1"/>
          <w:sz w:val="16"/>
          <w:szCs w:val="16"/>
        </w:rPr>
        <w:softHyphen/>
        <w:t>полнения своего воинского долга. Ни при каких обстоятельствах не бросать штурмовиков и бомбардировщиков, а всюду следовать за ними в установ</w:t>
      </w:r>
      <w:r w:rsidRPr="00271E51">
        <w:rPr>
          <w:rFonts w:ascii="Times New Roman" w:hAnsi="Times New Roman"/>
          <w:iCs/>
          <w:color w:val="000000" w:themeColor="text1"/>
          <w:sz w:val="16"/>
          <w:szCs w:val="16"/>
        </w:rPr>
        <w:softHyphen/>
        <w:t>ленном боевом порядке от взлета до посадки. Надо отказаться от района встречи истребителей со штурмовика</w:t>
      </w:r>
      <w:r w:rsidRPr="00271E51">
        <w:rPr>
          <w:rFonts w:ascii="Times New Roman" w:hAnsi="Times New Roman"/>
          <w:iCs/>
          <w:color w:val="000000" w:themeColor="text1"/>
          <w:sz w:val="16"/>
          <w:szCs w:val="16"/>
        </w:rPr>
        <w:softHyphen/>
        <w:t>ми после их атаки. ...Когда штурмови</w:t>
      </w:r>
      <w:r w:rsidRPr="00271E51">
        <w:rPr>
          <w:rFonts w:ascii="Times New Roman" w:hAnsi="Times New Roman"/>
          <w:iCs/>
          <w:color w:val="000000" w:themeColor="text1"/>
          <w:sz w:val="16"/>
          <w:szCs w:val="16"/>
        </w:rPr>
        <w:softHyphen/>
        <w:t>ки атакуют, истребители должны быть также над целью"</w:t>
      </w:r>
      <w:r w:rsidRPr="00271E51">
        <w:rPr>
          <w:rFonts w:ascii="Times New Roman" w:hAnsi="Times New Roman"/>
          <w:color w:val="000000" w:themeColor="text1"/>
          <w:sz w:val="16"/>
          <w:szCs w:val="16"/>
        </w:rPr>
        <w:t xml:space="preserve"> (11127)</w:t>
      </w:r>
      <w:r w:rsidRPr="00271E51">
        <w:rPr>
          <w:rFonts w:ascii="Times New Roman" w:hAnsi="Times New Roman"/>
          <w:iCs/>
          <w:color w:val="000000" w:themeColor="text1"/>
          <w:sz w:val="16"/>
          <w:szCs w:val="16"/>
        </w:rPr>
        <w:t>.</w:t>
      </w:r>
    </w:p>
    <w:p w14:paraId="4989BB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CC333" w14:textId="77777777" w:rsidR="00E57D88" w:rsidRPr="00271E51" w:rsidRDefault="00E57D88"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июльских боёв 1943 года по неполным данным убыль воздушных стрелков примерно в 1,5-2 раза превышала убыль лётного состава. При этом если среди категории погибших количество воздушных стрелков и лётчиков было примерно одинаковым, то среди категории раненых воздушных стрелков было в 2-2,5 раза больше, чем лётчиков. По воспоминаниям ветеранов, «...если была встреча с немецкими истребителями и вёлся воздушный бой, то обязательно одного-двух стрелков из состава группы привозили ранеными или убитыми». Однако усилить защиту стрелка без кардинальной переделки бронекорпуса было нельзя, так как центровка самолёта становилась опасной для полётов (19909)</w:t>
      </w:r>
    </w:p>
    <w:p w14:paraId="011957D8" w14:textId="77777777" w:rsidR="00E57D88" w:rsidRPr="00271E51" w:rsidRDefault="00E57D88" w:rsidP="00271E51">
      <w:pPr>
        <w:shd w:val="clear" w:color="auto" w:fill="FFFFFF"/>
        <w:spacing w:after="0" w:line="240" w:lineRule="auto"/>
        <w:jc w:val="both"/>
        <w:rPr>
          <w:rFonts w:ascii="Times New Roman" w:hAnsi="Times New Roman"/>
          <w:color w:val="0070C0"/>
          <w:sz w:val="16"/>
          <w:szCs w:val="16"/>
        </w:rPr>
      </w:pPr>
    </w:p>
    <w:p w14:paraId="43F6B23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6A20B748" w14:textId="77777777" w:rsidR="00BA7A65" w:rsidRPr="00271E51" w:rsidRDefault="00BA7A65" w:rsidP="00271E51">
      <w:pPr>
        <w:pStyle w:val="ae"/>
        <w:spacing w:before="0" w:after="0"/>
        <w:jc w:val="both"/>
        <w:rPr>
          <w:rStyle w:val="mfont1"/>
          <w:rFonts w:eastAsia="Times New Roman"/>
          <w:bCs/>
          <w:color w:val="000000" w:themeColor="text1"/>
          <w:sz w:val="16"/>
          <w:szCs w:val="16"/>
        </w:rPr>
      </w:pPr>
    </w:p>
    <w:p w14:paraId="04243F4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В июле 1943 г. на Донбассе Р-5 опять использовали как корректировщики. Они обеспечивали стрельбу тяжелых батарей на подступах к Славянску. Летали вечерами, в сумерках, опасаясь истребителей.Во время сражения под Курском Р-5 вели ночную разведку замаскированных со</w:t>
      </w:r>
      <w:r w:rsidRPr="00271E51">
        <w:rPr>
          <w:rFonts w:ascii="Times New Roman" w:hAnsi="Times New Roman"/>
          <w:noProof/>
          <w:color w:val="000000" w:themeColor="text1"/>
          <w:sz w:val="16"/>
          <w:szCs w:val="16"/>
        </w:rPr>
        <w:softHyphen/>
        <w:t>единений противника. Указанный район прочесывали по квадратам. Подозрительные объекты обстреливались из пулеметов, сбрасывали на них мелкие бомбы, чтобы спровоцировать зенитчиков</w:t>
      </w:r>
      <w:r w:rsidRPr="00271E51">
        <w:rPr>
          <w:rFonts w:ascii="Times New Roman" w:hAnsi="Times New Roman"/>
          <w:color w:val="000000" w:themeColor="text1"/>
          <w:sz w:val="16"/>
          <w:szCs w:val="16"/>
        </w:rPr>
        <w:t xml:space="preserve"> (11936)</w:t>
      </w:r>
      <w:r w:rsidRPr="00271E51">
        <w:rPr>
          <w:rFonts w:ascii="Times New Roman" w:hAnsi="Times New Roman"/>
          <w:noProof/>
          <w:color w:val="000000" w:themeColor="text1"/>
          <w:sz w:val="16"/>
          <w:szCs w:val="16"/>
        </w:rPr>
        <w:t>.</w:t>
      </w:r>
    </w:p>
    <w:p w14:paraId="7D9CD691"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p>
    <w:p w14:paraId="04E06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начала формироваться 56-я авиадивизия истребителей дальнею действия на Бостонах в составе двух полков - 45-го и 173-го. Для этих целей на заводе № 81 переоборудовали партию A-20G-1. В бомбоотсеке теперь стоял дополнительный бензобак на 1036 л, увеличивавший продолжительность полета до восьми часов. Экипажи истребителей состояли из трех человек - пилота, радиста и штурмана, сидевшего вместе с радистом (3457,110).</w:t>
      </w:r>
    </w:p>
    <w:p w14:paraId="30C115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4C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отряд особого назначения ГВФ развернули в эскадрилью (12 С-47) (3457,137).</w:t>
      </w:r>
    </w:p>
    <w:p w14:paraId="6E0C8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F3C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по рапортам пилотов финские истребители якобы сбили два Р-322 - "Лайтнинга" английского заказа без турбонагнетателей 12-й корректировочной эскадрильи. В документах наших бывших противников в Великой Отечественной войне довольно часто мелькают упоминания о применении советской авиацией американских тяжелых истребителей Локхид Р-38 "Лайтнинг" ("Молния"). Финский историк Ханно Валтонен даже говорит о целом полке "Лайтнингов", действовавшем по ночам под Ленинградом. Но на самом деле этого не могло быть (3457,89).</w:t>
      </w:r>
    </w:p>
    <w:p w14:paraId="0C5E6B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097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с участием Р-40 "Киттихаук" провели одновременную съемку сразу 29 портов Черного и Азовского морей. Всего за четыре часа командование флота получило полную картину дислокации сил противника (3457,67).</w:t>
      </w:r>
    </w:p>
    <w:p w14:paraId="5200BA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E7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на фронте находилось уже в семь раз больше Р-39 Аэрокобр, чем в ноябре 1942 года. Трудно перечислить все авиачасти и соединения, располагавшие Р-39. Возросла численность "Аэрокобр" и в морской авиации. P-39N во второй половине 1943 года стали пополнять 2-й гвардейский полк ВВС Северного флота. Несколько ранее американскими истребителями перевооружили полк, сдавший устаревшие бипланы И-153. К январю 1944 года североморцы имели в обшей сложности около трех десятков Р-39. На Черном море в марте 1943 года оснастили "Кобрами" 11-й авиаполк. Он начал боевые действия в июле, базируясь в Витязевском, Геленджике, а затем в Скадовске. Истребители прикрывали Геленджик, где находилась тогда часть кораблей Черноморского флота, близлежащие аэродромы. Затем их привлекли к поддержке войск на линии фронта, сопровождению бомбардировщиков и торпедоносцев. Последнее должно было стать основной для них функцией, так как полк входил во 2-ю гвардейскую минно-торнедную дивизию. Поднабравшись опыта, начали "свободную охоту " над территорией, занятой врагом. За вторую половину года полк провел 75 воздушных боен. уничтожив 92 немецких самолета (60 истребителей и 32 бомбардировщика и разведчика). Свои потери при этом составили 10 P-39. Пo соотношению побед и потерь 11-й полк оставил позади вес остальные активно действовавшие на фронте полки ВВС флота - 6-й (на Як-1), 69-й (на ЛаГГ-3) и 25-й (тоже па ЛaГГ-3). Так 25-й полк провел за то же время 89 боев, сбил 73 самолета и потерял 24. Вот чего стоило хорошее освоение техники и грамотное использование ее преимуществ (3457,72).</w:t>
      </w:r>
    </w:p>
    <w:p w14:paraId="57B95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20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в ходе Орловской операции оборона противника фотографировалась на глубину 35-50 км, фотосхемы обороны доведены в наземные войска до дивизии, в авиации - до полка, при фотографировании обороны применялись качающиеся фотоустановки, велось систематическое наблюдение за оборонительными рубежами, аэродромами, коммуникациями, для чего применялось и ночное фотографирование (8983).</w:t>
      </w:r>
    </w:p>
    <w:p w14:paraId="68B66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21B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бомбили 5 т бомбами и на Курской дуге (91,41).</w:t>
      </w:r>
    </w:p>
    <w:p w14:paraId="55417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FD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(7685).</w:t>
      </w:r>
    </w:p>
    <w:p w14:paraId="5C2493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FB8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на Юго-Западном фронте, в Донбассе Р-5 опять использовали как корректировщики артиллерийского огня. Они корректировали стрельбу тяжелых батарей на подступах к Славянску. Самолеты летали вечером, в сумерки, опасаясь истребителей. В заднюю кабину сажали офицеров-артиллеристов, по радио передававших сообщения батареям (12034).</w:t>
      </w:r>
    </w:p>
    <w:p w14:paraId="7BBCA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A9621"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г. из со</w:t>
      </w:r>
      <w:r w:rsidRPr="00271E51">
        <w:rPr>
          <w:rFonts w:ascii="Times New Roman" w:hAnsi="Times New Roman"/>
          <w:color w:val="0070C0"/>
          <w:sz w:val="16"/>
          <w:szCs w:val="16"/>
        </w:rPr>
        <w:softHyphen/>
        <w:t>става 1-го дивизиона выделили 8-й ОВДААН. В него вошли три отряда, охранявшие железную дорогу и мосты через Неву у Ладоги. Командиром назначили героя- воздухоплавателя участника советско-финской войны майора Н.Н. Басалаева. В дивизион из 1-го ОВДААН перешли многие офицеры — ве</w:t>
      </w:r>
      <w:r w:rsidRPr="00271E51">
        <w:rPr>
          <w:rFonts w:ascii="Times New Roman" w:hAnsi="Times New Roman"/>
          <w:color w:val="0070C0"/>
          <w:sz w:val="16"/>
          <w:szCs w:val="16"/>
        </w:rPr>
        <w:softHyphen/>
        <w:t>тераны советско-финской войны, в том числе капитан С.Г. Трухин, ставший зампотехом диви</w:t>
      </w:r>
      <w:r w:rsidRPr="00271E51">
        <w:rPr>
          <w:rFonts w:ascii="Times New Roman" w:hAnsi="Times New Roman"/>
          <w:color w:val="0070C0"/>
          <w:sz w:val="16"/>
          <w:szCs w:val="16"/>
        </w:rPr>
        <w:softHyphen/>
        <w:t>зиона. Сергей Григорьевич начинал свою службу в 1930 г. в ОИВД, в составе стартовой команды он выпускал в воздух все советские стратостаты. В дивизионе служили также опытные офицеры Выборнов, Стретенский, Сокольский, Юлов, На- деждин, Калашников, начальник медчасти Барсу</w:t>
      </w:r>
      <w:r w:rsidRPr="00271E51">
        <w:rPr>
          <w:rFonts w:ascii="Times New Roman" w:hAnsi="Times New Roman"/>
          <w:color w:val="0070C0"/>
          <w:sz w:val="16"/>
          <w:szCs w:val="16"/>
        </w:rPr>
        <w:softHyphen/>
        <w:t>ков и замполит дивизиона Попков.</w:t>
      </w:r>
    </w:p>
    <w:p w14:paraId="11AE66E7"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Формирование дивизиона совпало с проведе</w:t>
      </w:r>
      <w:r w:rsidRPr="00271E51">
        <w:rPr>
          <w:rFonts w:ascii="Times New Roman" w:hAnsi="Times New Roman"/>
          <w:color w:val="0070C0"/>
          <w:sz w:val="16"/>
          <w:szCs w:val="16"/>
        </w:rPr>
        <w:softHyphen/>
        <w:t>нием нашими войсками частной операции под Синявино. Приведём характерный пример дей</w:t>
      </w:r>
      <w:r w:rsidRPr="00271E51">
        <w:rPr>
          <w:rFonts w:ascii="Times New Roman" w:hAnsi="Times New Roman"/>
          <w:color w:val="0070C0"/>
          <w:sz w:val="16"/>
          <w:szCs w:val="16"/>
        </w:rPr>
        <w:softHyphen/>
        <w:t>ствий воздухоплавателей в этот период. Утром в гондоле аэростата поднялись воздухоплаватель Е.В. Кириков и командир артиллерийской бата</w:t>
      </w:r>
      <w:r w:rsidRPr="00271E51">
        <w:rPr>
          <w:rFonts w:ascii="Times New Roman" w:hAnsi="Times New Roman"/>
          <w:color w:val="0070C0"/>
          <w:sz w:val="16"/>
          <w:szCs w:val="16"/>
        </w:rPr>
        <w:softHyphen/>
        <w:t>реи Ю.С. Соболев для разведки войск и техники противника на железнодорожной станции Мга. Они засекли батарею противника, которую через короткий промежуток времени подавила совет</w:t>
      </w:r>
      <w:r w:rsidRPr="00271E51">
        <w:rPr>
          <w:rFonts w:ascii="Times New Roman" w:hAnsi="Times New Roman"/>
          <w:color w:val="0070C0"/>
          <w:sz w:val="16"/>
          <w:szCs w:val="16"/>
        </w:rPr>
        <w:softHyphen/>
        <w:t>ская артиллерия. Аэростат, в свою очередь, об</w:t>
      </w:r>
      <w:r w:rsidRPr="00271E51">
        <w:rPr>
          <w:rFonts w:ascii="Times New Roman" w:hAnsi="Times New Roman"/>
          <w:color w:val="0070C0"/>
          <w:sz w:val="16"/>
          <w:szCs w:val="16"/>
        </w:rPr>
        <w:softHyphen/>
        <w:t>стреляла двухорудийная 88-мм зенитная батарея, находившаяся за Синявинскими высотами, но и её советская артиллерия принудила к молча</w:t>
      </w:r>
      <w:r w:rsidRPr="00271E51">
        <w:rPr>
          <w:rFonts w:ascii="Times New Roman" w:hAnsi="Times New Roman"/>
          <w:color w:val="0070C0"/>
          <w:sz w:val="16"/>
          <w:szCs w:val="16"/>
        </w:rPr>
        <w:softHyphen/>
        <w:t>нию. Однако оболочка аэростата получила про</w:t>
      </w:r>
      <w:r w:rsidRPr="00271E51">
        <w:rPr>
          <w:rFonts w:ascii="Times New Roman" w:hAnsi="Times New Roman"/>
          <w:color w:val="0070C0"/>
          <w:sz w:val="16"/>
          <w:szCs w:val="16"/>
        </w:rPr>
        <w:softHyphen/>
        <w:t>боины, и он стал снижаться. В этот момент вы</w:t>
      </w:r>
      <w:r w:rsidRPr="00271E51">
        <w:rPr>
          <w:rFonts w:ascii="Times New Roman" w:hAnsi="Times New Roman"/>
          <w:color w:val="0070C0"/>
          <w:sz w:val="16"/>
          <w:szCs w:val="16"/>
        </w:rPr>
        <w:softHyphen/>
        <w:t>глянувшее из-за облаков солнце осветило Мгу, и наблюдатели увидели железнодорожную стан</w:t>
      </w:r>
      <w:r w:rsidRPr="00271E51">
        <w:rPr>
          <w:rFonts w:ascii="Times New Roman" w:hAnsi="Times New Roman"/>
          <w:color w:val="0070C0"/>
          <w:sz w:val="16"/>
          <w:szCs w:val="16"/>
        </w:rPr>
        <w:softHyphen/>
        <w:t>цию, забитую составами. Поэтому, вместо того, чтобы выпрыгнуть с парашютом, они приступи</w:t>
      </w:r>
      <w:r w:rsidRPr="00271E51">
        <w:rPr>
          <w:rFonts w:ascii="Times New Roman" w:hAnsi="Times New Roman"/>
          <w:color w:val="0070C0"/>
          <w:sz w:val="16"/>
          <w:szCs w:val="16"/>
        </w:rPr>
        <w:softHyphen/>
        <w:t>ли к корректировке огня по станции. Тем време</w:t>
      </w:r>
      <w:r w:rsidRPr="00271E51">
        <w:rPr>
          <w:rFonts w:ascii="Times New Roman" w:hAnsi="Times New Roman"/>
          <w:color w:val="0070C0"/>
          <w:sz w:val="16"/>
          <w:szCs w:val="16"/>
        </w:rPr>
        <w:softHyphen/>
        <w:t>нем спуск грозил перейти в падение, и начальник лётно-подъёмной части принял решение сманев</w:t>
      </w:r>
      <w:r w:rsidRPr="00271E51">
        <w:rPr>
          <w:rFonts w:ascii="Times New Roman" w:hAnsi="Times New Roman"/>
          <w:color w:val="0070C0"/>
          <w:sz w:val="16"/>
          <w:szCs w:val="16"/>
        </w:rPr>
        <w:softHyphen/>
        <w:t>рировать лебёдкой. Автомашина поехала по до</w:t>
      </w:r>
      <w:r w:rsidRPr="00271E51">
        <w:rPr>
          <w:rFonts w:ascii="Times New Roman" w:hAnsi="Times New Roman"/>
          <w:color w:val="0070C0"/>
          <w:sz w:val="16"/>
          <w:szCs w:val="16"/>
        </w:rPr>
        <w:softHyphen/>
        <w:t>роге, натягивая провисший трос, что несколько замедлило спуск. До земли оставалось не более сотни метров, когда воздухоплаватели замети</w:t>
      </w:r>
      <w:r w:rsidRPr="00271E51">
        <w:rPr>
          <w:rFonts w:ascii="Times New Roman" w:hAnsi="Times New Roman"/>
          <w:color w:val="0070C0"/>
          <w:sz w:val="16"/>
          <w:szCs w:val="16"/>
        </w:rPr>
        <w:softHyphen/>
        <w:t>ли, что разрывы уклоняются от цели, и отдали последнюю команду: «Урал», третий дивизион вправо ноль-ноль пять, дальше сто метров. Кор</w:t>
      </w:r>
      <w:r w:rsidRPr="00271E51">
        <w:rPr>
          <w:rFonts w:ascii="Times New Roman" w:hAnsi="Times New Roman"/>
          <w:color w:val="0070C0"/>
          <w:sz w:val="16"/>
          <w:szCs w:val="16"/>
        </w:rPr>
        <w:softHyphen/>
        <w:t>ректировать больше не можем, падаем.»31. Удар о землю был настолько сильным, что Е.В. Кири- кова и Ю.С. Соболева выбросило из корзины, но, к счастью, обошлось без тяжёлых травм.</w:t>
      </w:r>
    </w:p>
    <w:p w14:paraId="6AAE6982"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летних и осенних боях 1943 г. войска Ленин</w:t>
      </w:r>
      <w:r w:rsidRPr="00271E51">
        <w:rPr>
          <w:rFonts w:ascii="Times New Roman" w:hAnsi="Times New Roman"/>
          <w:color w:val="0070C0"/>
          <w:sz w:val="16"/>
          <w:szCs w:val="16"/>
        </w:rPr>
        <w:softHyphen/>
        <w:t>градского и Волховского фронтов сорвали на</w:t>
      </w:r>
      <w:r w:rsidRPr="00271E51">
        <w:rPr>
          <w:rFonts w:ascii="Times New Roman" w:hAnsi="Times New Roman"/>
          <w:color w:val="0070C0"/>
          <w:sz w:val="16"/>
          <w:szCs w:val="16"/>
        </w:rPr>
        <w:softHyphen/>
        <w:t>мерения противника вновь выйти к побережью Ладожского озера и восстановить блокаду Ле</w:t>
      </w:r>
      <w:r w:rsidRPr="00271E51">
        <w:rPr>
          <w:rFonts w:ascii="Times New Roman" w:hAnsi="Times New Roman"/>
          <w:color w:val="0070C0"/>
          <w:sz w:val="16"/>
          <w:szCs w:val="16"/>
        </w:rPr>
        <w:softHyphen/>
        <w:t>нинграда. Советские войска очистили от немцев киришский плацдарм на р. Волхов и овладели мощным узлом обороны противника Синявино.</w:t>
      </w:r>
    </w:p>
    <w:p w14:paraId="401285E8"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боев за Синявино воздухоплавате</w:t>
      </w:r>
      <w:r w:rsidRPr="00271E51">
        <w:rPr>
          <w:rFonts w:ascii="Times New Roman" w:hAnsi="Times New Roman"/>
          <w:color w:val="0070C0"/>
          <w:sz w:val="16"/>
          <w:szCs w:val="16"/>
        </w:rPr>
        <w:softHyphen/>
        <w:t>ли 8-го ОВДААН произвели более 250 подъёмов. Они обнаружили 88 артиллерийских и 37 мино</w:t>
      </w:r>
      <w:r w:rsidRPr="00271E51">
        <w:rPr>
          <w:rFonts w:ascii="Times New Roman" w:hAnsi="Times New Roman"/>
          <w:color w:val="0070C0"/>
          <w:sz w:val="16"/>
          <w:szCs w:val="16"/>
        </w:rPr>
        <w:softHyphen/>
        <w:t>мётных батарей, 15 железнодорожных эшело</w:t>
      </w:r>
      <w:r w:rsidRPr="00271E51">
        <w:rPr>
          <w:rFonts w:ascii="Times New Roman" w:hAnsi="Times New Roman"/>
          <w:color w:val="0070C0"/>
          <w:sz w:val="16"/>
          <w:szCs w:val="16"/>
        </w:rPr>
        <w:softHyphen/>
        <w:t>нов, 21 автоколонна. В результате корректировок с воздуха артиллеристы подавили более 70 огне</w:t>
      </w:r>
      <w:r w:rsidRPr="00271E51">
        <w:rPr>
          <w:rFonts w:ascii="Times New Roman" w:hAnsi="Times New Roman"/>
          <w:color w:val="0070C0"/>
          <w:sz w:val="16"/>
          <w:szCs w:val="16"/>
        </w:rPr>
        <w:softHyphen/>
        <w:t>вых точек противника. После завершения боёв за Синявино на 8-й ОВДААН вёл разведку и кор</w:t>
      </w:r>
      <w:r w:rsidRPr="00271E51">
        <w:rPr>
          <w:rFonts w:ascii="Times New Roman" w:hAnsi="Times New Roman"/>
          <w:color w:val="0070C0"/>
          <w:sz w:val="16"/>
          <w:szCs w:val="16"/>
        </w:rPr>
        <w:softHyphen/>
        <w:t>ректировки артогня по вражеским батареям, осу</w:t>
      </w:r>
      <w:r w:rsidRPr="00271E51">
        <w:rPr>
          <w:rFonts w:ascii="Times New Roman" w:hAnsi="Times New Roman"/>
          <w:color w:val="0070C0"/>
          <w:sz w:val="16"/>
          <w:szCs w:val="16"/>
        </w:rPr>
        <w:softHyphen/>
        <w:t>ществлял наблюдения за железнодорожными мостами.</w:t>
      </w:r>
    </w:p>
    <w:p w14:paraId="21A7DB6B"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время подготовки Ленинградского фрон</w:t>
      </w:r>
      <w:r w:rsidRPr="00271E51">
        <w:rPr>
          <w:rFonts w:ascii="Times New Roman" w:hAnsi="Times New Roman"/>
          <w:color w:val="0070C0"/>
          <w:sz w:val="16"/>
          <w:szCs w:val="16"/>
        </w:rPr>
        <w:softHyphen/>
        <w:t>та к полному снятию блокады три отряда 8-го ОВДААН совместно с артиллеристами за</w:t>
      </w:r>
      <w:r w:rsidRPr="00271E51">
        <w:rPr>
          <w:rFonts w:ascii="Times New Roman" w:hAnsi="Times New Roman"/>
          <w:color w:val="0070C0"/>
          <w:sz w:val="16"/>
          <w:szCs w:val="16"/>
        </w:rPr>
        <w:softHyphen/>
        <w:t>щищали единственную действующую желез</w:t>
      </w:r>
      <w:r w:rsidRPr="00271E51">
        <w:rPr>
          <w:rFonts w:ascii="Times New Roman" w:hAnsi="Times New Roman"/>
          <w:color w:val="0070C0"/>
          <w:sz w:val="16"/>
          <w:szCs w:val="16"/>
        </w:rPr>
        <w:softHyphen/>
        <w:t>нодорожную магистраль, занятую переброской войск, боевой техники и боеприпасов, на участке Шлиссельбург-Жихачево и железнодорожных мостов у Шлиссельбурга и Междуречья. Изучив тактику вражеских артиллеристов, практико</w:t>
      </w:r>
      <w:r w:rsidRPr="00271E51">
        <w:rPr>
          <w:rFonts w:ascii="Times New Roman" w:hAnsi="Times New Roman"/>
          <w:color w:val="0070C0"/>
          <w:sz w:val="16"/>
          <w:szCs w:val="16"/>
        </w:rPr>
        <w:softHyphen/>
        <w:t>вавших огневые налёты продолжительностью 7-10 минут, воздухоплаватели постоянно держа</w:t>
      </w:r>
      <w:r w:rsidRPr="00271E51">
        <w:rPr>
          <w:rFonts w:ascii="Times New Roman" w:hAnsi="Times New Roman"/>
          <w:color w:val="0070C0"/>
          <w:sz w:val="16"/>
          <w:szCs w:val="16"/>
        </w:rPr>
        <w:softHyphen/>
        <w:t>ли «на узде» снаряжённый аэростат, причём на</w:t>
      </w:r>
      <w:r w:rsidRPr="00271E51">
        <w:rPr>
          <w:rFonts w:ascii="Times New Roman" w:hAnsi="Times New Roman"/>
          <w:color w:val="0070C0"/>
          <w:sz w:val="16"/>
          <w:szCs w:val="16"/>
        </w:rPr>
        <w:softHyphen/>
        <w:t>блюдатель всегда находился у гондолы. При от</w:t>
      </w:r>
      <w:r w:rsidRPr="00271E51">
        <w:rPr>
          <w:rFonts w:ascii="Times New Roman" w:hAnsi="Times New Roman"/>
          <w:color w:val="0070C0"/>
          <w:sz w:val="16"/>
          <w:szCs w:val="16"/>
        </w:rPr>
        <w:softHyphen/>
        <w:t>крытии противником стрельбы аэростат тотчас же поднимали в воздух, и уже через три-четыре минуты артиллеристы начинали вести прицель</w:t>
      </w:r>
      <w:r w:rsidRPr="00271E51">
        <w:rPr>
          <w:rFonts w:ascii="Times New Roman" w:hAnsi="Times New Roman"/>
          <w:color w:val="0070C0"/>
          <w:sz w:val="16"/>
          <w:szCs w:val="16"/>
        </w:rPr>
        <w:softHyphen/>
        <w:t>ный огонь по врагу.</w:t>
      </w:r>
    </w:p>
    <w:p w14:paraId="3F994BF2"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январские дни 1944 г. 8-й ОВДААН вместе с боевыми порядками 67-й армии наступал на железнодорожную станцию Мга. Затем дивизион вместе со 2-й ударной армией вёл бои за Кинги</w:t>
      </w:r>
      <w:r w:rsidRPr="00271E51">
        <w:rPr>
          <w:rFonts w:ascii="Times New Roman" w:hAnsi="Times New Roman"/>
          <w:color w:val="0070C0"/>
          <w:sz w:val="16"/>
          <w:szCs w:val="16"/>
        </w:rPr>
        <w:softHyphen/>
        <w:t>сепп. За короткое время аэростатчики разведали местоположение трёх артиллерийских батарей и девяти автоколонн врага.</w:t>
      </w:r>
    </w:p>
    <w:p w14:paraId="770365F7"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После освобождения Кингисеппа войска стали готовиться к прорыву обороны противника по р. Нарва. В период артиллерийской подготовки и наступления все аэростаты 8-го ОВДААН были в воздухе и действовали на удалении 4-6 км от переднего края. Во время боёв в районе г. Нарва воздушные наблюдатели засекли более 200 це</w:t>
      </w:r>
      <w:r w:rsidRPr="00271E51">
        <w:rPr>
          <w:rFonts w:ascii="Times New Roman" w:hAnsi="Times New Roman"/>
          <w:color w:val="0070C0"/>
          <w:sz w:val="16"/>
          <w:szCs w:val="16"/>
        </w:rPr>
        <w:softHyphen/>
        <w:t>лей противника и 40 раз корректировали огонь артиллерии. Было подавлено 27 артиллерийских батарей, уничтожены и частично рассеяны четы</w:t>
      </w:r>
      <w:r w:rsidRPr="00271E51">
        <w:rPr>
          <w:rFonts w:ascii="Times New Roman" w:hAnsi="Times New Roman"/>
          <w:color w:val="0070C0"/>
          <w:sz w:val="16"/>
          <w:szCs w:val="16"/>
        </w:rPr>
        <w:softHyphen/>
        <w:t>ре автоколонны противника.</w:t>
      </w:r>
    </w:p>
    <w:p w14:paraId="586BB9E0"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Воздухоплаватели 8-го ОВДААН практико</w:t>
      </w:r>
      <w:r w:rsidRPr="00271E51">
        <w:rPr>
          <w:rFonts w:ascii="Times New Roman" w:hAnsi="Times New Roman"/>
          <w:color w:val="0070C0"/>
          <w:sz w:val="16"/>
          <w:szCs w:val="16"/>
        </w:rPr>
        <w:softHyphen/>
        <w:t>вали применение ложных аэростатов, в качестве которых использовали списанные аэростаты заграждения типа КТН. Практиковался также одновременный подъём ложного и корректиру</w:t>
      </w:r>
      <w:r w:rsidRPr="00271E51">
        <w:rPr>
          <w:rFonts w:ascii="Times New Roman" w:hAnsi="Times New Roman"/>
          <w:color w:val="0070C0"/>
          <w:sz w:val="16"/>
          <w:szCs w:val="16"/>
        </w:rPr>
        <w:softHyphen/>
        <w:t>ющего аэростата, что приводило к рассосредото- чению вражеского огня. Всего в 8-м ОВДААН на Ленинградском фронте ложные аэростаты под</w:t>
      </w:r>
      <w:r w:rsidRPr="00271E51">
        <w:rPr>
          <w:rFonts w:ascii="Times New Roman" w:hAnsi="Times New Roman"/>
          <w:color w:val="0070C0"/>
          <w:sz w:val="16"/>
          <w:szCs w:val="16"/>
        </w:rPr>
        <w:softHyphen/>
        <w:t>нимались 78 раз, и противник выпустил по ним свыше тысячи снарядов. Действия воздухоплава</w:t>
      </w:r>
      <w:r w:rsidRPr="00271E51">
        <w:rPr>
          <w:rFonts w:ascii="Times New Roman" w:hAnsi="Times New Roman"/>
          <w:color w:val="0070C0"/>
          <w:sz w:val="16"/>
          <w:szCs w:val="16"/>
        </w:rPr>
        <w:softHyphen/>
        <w:t>телей 8-го ОВДААН особо отмечались в прика</w:t>
      </w:r>
      <w:r w:rsidRPr="00271E51">
        <w:rPr>
          <w:rFonts w:ascii="Times New Roman" w:hAnsi="Times New Roman"/>
          <w:color w:val="0070C0"/>
          <w:sz w:val="16"/>
          <w:szCs w:val="16"/>
        </w:rPr>
        <w:softHyphen/>
        <w:t>зе командующего артиллерией Ленинградского фронта от 30 ноября 1944 г.32</w:t>
      </w:r>
    </w:p>
    <w:p w14:paraId="37C6BE09"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8-й ОВДААН привлекли для штурма Ке</w:t>
      </w:r>
      <w:r w:rsidRPr="00271E51">
        <w:rPr>
          <w:rFonts w:ascii="Times New Roman" w:hAnsi="Times New Roman"/>
          <w:color w:val="0070C0"/>
          <w:sz w:val="16"/>
          <w:szCs w:val="16"/>
        </w:rPr>
        <w:softHyphen/>
        <w:t>нигсберга, в ходе которого отряды дивизиона произвели более сотни боевых подъёмов, причём каждый аэростат прикрывался истребителями. Воздухоплаватели дивизиона обнаружили 61 ар</w:t>
      </w:r>
      <w:r w:rsidRPr="00271E51">
        <w:rPr>
          <w:rFonts w:ascii="Times New Roman" w:hAnsi="Times New Roman"/>
          <w:color w:val="0070C0"/>
          <w:sz w:val="16"/>
          <w:szCs w:val="16"/>
        </w:rPr>
        <w:softHyphen/>
        <w:t>тиллерийскую и миномётную батарею против</w:t>
      </w:r>
      <w:r w:rsidRPr="00271E51">
        <w:rPr>
          <w:rFonts w:ascii="Times New Roman" w:hAnsi="Times New Roman"/>
          <w:color w:val="0070C0"/>
          <w:sz w:val="16"/>
          <w:szCs w:val="16"/>
        </w:rPr>
        <w:softHyphen/>
        <w:t>ника, а сами не потеряли ни одного аэростата. Боевая работа воздухоплавателей 8-го ОВДААН получила высокую оценку — дивизиону присво</w:t>
      </w:r>
      <w:r w:rsidRPr="00271E51">
        <w:rPr>
          <w:rFonts w:ascii="Times New Roman" w:hAnsi="Times New Roman"/>
          <w:color w:val="0070C0"/>
          <w:sz w:val="16"/>
          <w:szCs w:val="16"/>
        </w:rPr>
        <w:softHyphen/>
        <w:t>или почётное наименование «Кенигсбергский».</w:t>
      </w:r>
    </w:p>
    <w:p w14:paraId="5E753C2E" w14:textId="77777777" w:rsidR="00E57D88" w:rsidRPr="00271E51" w:rsidRDefault="00E57D8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После войны 8-й ОВДААН перевели из Вос</w:t>
      </w:r>
      <w:r w:rsidRPr="00271E51">
        <w:rPr>
          <w:rFonts w:ascii="Times New Roman" w:hAnsi="Times New Roman"/>
          <w:color w:val="0070C0"/>
          <w:sz w:val="16"/>
          <w:szCs w:val="16"/>
        </w:rPr>
        <w:softHyphen/>
        <w:t>точной Пруссии в Литву в г. Ионигикис, он во</w:t>
      </w:r>
      <w:r w:rsidRPr="00271E51">
        <w:rPr>
          <w:rFonts w:ascii="Times New Roman" w:hAnsi="Times New Roman"/>
          <w:color w:val="0070C0"/>
          <w:sz w:val="16"/>
          <w:szCs w:val="16"/>
        </w:rPr>
        <w:softHyphen/>
        <w:t>шёл в состав 4-й гвардейской пушечной артилле</w:t>
      </w:r>
      <w:r w:rsidRPr="00271E51">
        <w:rPr>
          <w:rFonts w:ascii="Times New Roman" w:hAnsi="Times New Roman"/>
          <w:color w:val="0070C0"/>
          <w:sz w:val="16"/>
          <w:szCs w:val="16"/>
        </w:rPr>
        <w:softHyphen/>
        <w:t>рийской дивизии. Командира дивизиона подпол</w:t>
      </w:r>
      <w:r w:rsidRPr="00271E51">
        <w:rPr>
          <w:rFonts w:ascii="Times New Roman" w:hAnsi="Times New Roman"/>
          <w:color w:val="0070C0"/>
          <w:sz w:val="16"/>
          <w:szCs w:val="16"/>
        </w:rPr>
        <w:softHyphen/>
        <w:t>ковника Н.Н. Басалаева одновременно назначили комендантом города. Поэтому воздухоплавате</w:t>
      </w:r>
      <w:r w:rsidRPr="00271E51">
        <w:rPr>
          <w:rFonts w:ascii="Times New Roman" w:hAnsi="Times New Roman"/>
          <w:color w:val="0070C0"/>
          <w:sz w:val="16"/>
          <w:szCs w:val="16"/>
        </w:rPr>
        <w:softHyphen/>
        <w:t>ли, помимо обслуживания боевой подготовки артиллеристов, привлекались для патрульной службы в городе и неоднократно участвовали в боевых столкновениях с националистическим подпольем. Через некоторое время дивизион пе</w:t>
      </w:r>
      <w:r w:rsidRPr="00271E51">
        <w:rPr>
          <w:rFonts w:ascii="Times New Roman" w:hAnsi="Times New Roman"/>
          <w:color w:val="0070C0"/>
          <w:sz w:val="16"/>
          <w:szCs w:val="16"/>
        </w:rPr>
        <w:softHyphen/>
        <w:t>редислоцировали в г. Неман Калининградской области, а в 1955 г. Расформировали (20120).</w:t>
      </w:r>
    </w:p>
    <w:p w14:paraId="5292938A" w14:textId="77777777" w:rsidR="00E57D88" w:rsidRPr="00271E51" w:rsidRDefault="00E57D88" w:rsidP="00271E51">
      <w:pPr>
        <w:spacing w:after="0" w:line="240" w:lineRule="auto"/>
        <w:jc w:val="both"/>
        <w:rPr>
          <w:rFonts w:ascii="Times New Roman" w:hAnsi="Times New Roman"/>
          <w:color w:val="0070C0"/>
          <w:sz w:val="16"/>
          <w:szCs w:val="16"/>
        </w:rPr>
      </w:pPr>
    </w:p>
    <w:p w14:paraId="0F5307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пилот В.Н. Тезиков, садясь на площадке в Селявщине, у белорусских партизан, подорвался на мине. У самолета повредило хвост. Отремонтировав машину, он все-таки прилетел назад (с шестью ранеными партизанами). Там же, в Селявшине, капитан Кузнецов при посадке сломал конец одной из лопастей винта. Недолго думая, пилот симметрично отпилил вторую и полетел домой. Старший лейтенант Камышев из 1-го отдельного полка НКВД при посадке у партизан ударился о дерево. Он подвязал поврежденный лонжерон срубленной тут же березой и после разгрузки улетел (12034).</w:t>
      </w:r>
    </w:p>
    <w:p w14:paraId="7F53A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F66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еще до окончания Курской битвы Главным бронетан</w:t>
      </w:r>
      <w:r w:rsidRPr="00271E51">
        <w:rPr>
          <w:rFonts w:ascii="Times New Roman" w:hAnsi="Times New Roman"/>
          <w:color w:val="000000" w:themeColor="text1"/>
          <w:sz w:val="16"/>
          <w:szCs w:val="16"/>
        </w:rPr>
        <w:softHyphen/>
        <w:t>ковым управлением Красной армии были инициированы поиски причин больших потерь советских танков не только в наступательной, но и в оборонительной фазе. При этом главное внимание уделялось неудачным действиям 2-й и 5-й гвардейской танковым армиям, понесшим наибольшие потери в боях 5—15 июля. К сожалению, автор не имел воз</w:t>
      </w:r>
      <w:r w:rsidRPr="00271E51">
        <w:rPr>
          <w:rFonts w:ascii="Times New Roman" w:hAnsi="Times New Roman"/>
          <w:color w:val="000000" w:themeColor="text1"/>
          <w:sz w:val="16"/>
          <w:szCs w:val="16"/>
        </w:rPr>
        <w:softHyphen/>
        <w:t xml:space="preserve">можности познакомиться с оригиналом этого документа, и потому может только </w:t>
      </w:r>
      <w:r w:rsidRPr="00271E51">
        <w:rPr>
          <w:rFonts w:ascii="Times New Roman" w:hAnsi="Times New Roman"/>
          <w:color w:val="000000" w:themeColor="text1"/>
          <w:sz w:val="16"/>
          <w:szCs w:val="16"/>
        </w:rPr>
        <w:lastRenderedPageBreak/>
        <w:t>предполагать, какие выводы и в каких выражениях там содержатся (11135).</w:t>
      </w:r>
    </w:p>
    <w:p w14:paraId="51FFF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B1FB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появляется последний штат отдельного танкового батальона (№ 010/467) в составе 31 боевой машины - 21 Т-34 и 10 Т-70. Однако формирований по этой организации производилось мало, так как боевые действия показали, что отдельный танковый батальон, как организационная единица, начинает отмирать, а промышленность позволяет формировать необходимое число более сильных частей и соединений. Поэтому количество батальонов уменьшается, и к 1 января 1944 года их остается 38, а к концу года всего 5 (12217).</w:t>
      </w:r>
    </w:p>
    <w:p w14:paraId="7CABA2B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5F8D2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была переброшена немецкая группа (4 чел.) (8983).</w:t>
      </w:r>
    </w:p>
    <w:p w14:paraId="463EB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DAA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-вышло Постановление ЦК КП(б)У "О состоянии и дальнейшем развитии партизанского движения на Украине" (8983).</w:t>
      </w:r>
    </w:p>
    <w:p w14:paraId="25D2EE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2DBF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C5D9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4507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был подготовлен отчет О работе Канского прядильно-ткацкого комбината за первое полугодие 1943 год</w:t>
      </w:r>
    </w:p>
    <w:p w14:paraId="2C45A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отчета комбината в Канский горком ВКП (б) </w:t>
      </w:r>
    </w:p>
    <w:p w14:paraId="07D069C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г.Канск [июль 1943 г.]</w:t>
      </w:r>
    </w:p>
    <w:p w14:paraId="61768D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Решением ГКО и СНК СССР в г. Канске начато стр[оительст]во текстильного хл[опчато]бум[ажного] комбината на базе эвакуированного оборудования Высоковского и Озерского комбинатов и Ленинградской фабрики «Красная Нить». Оборудование прибыло с указанных фабрик в г.Канск в количестве до 300 вагонов. В основном оборудование прибыло комплектное за исключением части прядильного оборудования Высоковской и Ленинградской фабрик. Комплектность оборудования ниточной фабрики еще не установлена..[…]</w:t>
      </w:r>
    </w:p>
    <w:p w14:paraId="1C1E2B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Ткацкие учебные цеха пущены в эксплуатацию: 1-й цех – с июля 1942 г. и 2-й цех – с ноября 1942 г., но работали не регулярно: имеются простои из-за недоставки пряжи, что сказалось на подготовке кадров. По прядильному 3-му цеху: монтаж оборудования начат в конце января и закончен к маю месяцу, но обработку производить не могли в виду недостачи электроэнергии. К обработке приступили в конце июня месяца. При обработке встретились с рядом трудностей (сложность машин, требующих наладки, неприспособленность помещения, отсутствие отдельных деталей и т.п.). В нормальную работу прядильный цех вступит с 1 августа.</w:t>
      </w:r>
    </w:p>
    <w:p w14:paraId="4C8357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Анализа снижения себестоимости дать не можем, т.к. оно в наших ненормальных условиях не дает наглядной картины (случайно завозимая пряжа, сложность транспортировки и т.п.)</w:t>
      </w:r>
    </w:p>
    <w:p w14:paraId="65B8FA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работы в деле подготовки кадров и при наличии возможности установить определенные производственные показатели работы (1-й и 2-й уч[астки] цеха) мы имеем в июне месяце то, что все выпущенные ткачи перевыполняют установленные временные нормы выработки. Лучшие из них: т.т. Устинович – 229%, Самсоненко – 202%, Булатова – 199%, Волкова – 104%.[…]</w:t>
      </w:r>
    </w:p>
    <w:p w14:paraId="04620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стр[оительст]ва Канского хл[опчатобумажного] к[омбина]та Сапунов</w:t>
      </w:r>
    </w:p>
    <w:p w14:paraId="405688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ГАКК. Ф.П-148. Оп.1. Д.136. Л.3, 3об. Подлинник. Машинопись (11803).</w:t>
      </w:r>
    </w:p>
    <w:p w14:paraId="52D14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DDDA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D5C67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F66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 Государственном Комитете Обороны был рассмотрен вопрос о состоянии разведывательной работы. Было принято решение о разделении функций и направлений деятельности военной разведки (ГРУ ГШ) и 1-го управления НКГБ. Внешней разведке НКГБ отводилась роль головной организации по разведыванию проблем создания атомного оружия. В соответствии с постановлением ГКО военная разведка обязывалась передать НКГБ агентуру, работающую по проекту «Энормоз» (11765).</w:t>
      </w:r>
    </w:p>
    <w:p w14:paraId="52F36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2DD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 1943 года японское посольство в СССР предложило начать переговоры о ликвидации концессий. Японцы долго торговались о компенсациях за оборудование и неполученную прибыль, но затем согласились на предложенные СССР 100 тыс. тонн нефти после окончания войны. </w:t>
      </w:r>
    </w:p>
    <w:p w14:paraId="6072B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февраля 1944 года во время беседы с американским послом Авереллом Гарриманом Сталин сказал: </w:t>
      </w:r>
    </w:p>
    <w:p w14:paraId="2C73A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имеем с японцами договор о нейтралитете, который был заключен около трех лет назад. Этот договор был опубликован. Но кроме этого договора состоялся обмен письмами, которые японцы просили нас не публиковать. В этих письмах шла речь о том, что японцы обязуются отказаться до окончания срока от своих концессий на Сахалине: от угольной и от нефтяной. Нас особенно интересуют нефтяные концессии, так как на Сахалине много нефти. При обмене письмами японцы обязались отказаться от концессий в течение шести месяцев, т. е. до октября 1941 года. Но они этого не сделали до настоящего времени, несмотря на то, что мы несколько раз ставили перед ними этот вопрос. А теперь японцы сами обратились к нам и говорят, что они хотели бы урегулировать это дело" (12066).</w:t>
      </w:r>
    </w:p>
    <w:p w14:paraId="6D2AE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C875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89FC1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735E0E" w14:textId="77777777" w:rsidR="00BC3FC7" w:rsidRPr="00271E51" w:rsidRDefault="00BC3FC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года был облетан бомбардировщик, получивший наименование «Москито» XVI, переделанный из серийного В Mk.IV на который установили герметичную кабину и, одновременно, поставили моторы «Мерлин» 71/72. В декабре первые машины поступили в 109-ю эскадрилью RAF. Хотя самолет по скорости лишь незначительно отставал от Mk.IX и имел хорошую высотность (потолок над целью был 11280 м), он предназначался для диверсионных акций в ночное время. 109-я АЭ, а с ней еще 6 эскадрилий, получивших «Москито» B.XVI, были сведены в новое формирование — Легкие ночные ударные силы (Light Night Striking Forces). Части LNSF предназначались для уничтожения точечных сильно защищенных объектов в тылу противника, а также для целеуказания большим группам тяжелых ночных бомбардировщиков, радиоэлектронной разведки (пеленгации радаров противника и определения их рабочих частот), а также подавления вражеских РЛС пассивными (сброс дипольных отражателей) и активными (радиошумовыми) помехами. Первые 12 самолетов по составу вооружения и оборудо вания не отличались от обычных «четверок», но с 13-й машины все «Москито» Mk.XVI комплектовались новой бомбардировочной установкой фирмы «Авро» и также выступающими створками бомбоотсека для подвески в отсек шести бомб калибра 227 кг (плюс две под крылом), а также балкой для внутренней подвески бомбы «Куки»: с января по май 1945 года «мосси» из семи эскадрилий LNSF сбросили на крупные цели на территории Германии 2959 таких боеприпасов (22852).</w:t>
      </w:r>
    </w:p>
    <w:p w14:paraId="09EC21C5" w14:textId="77777777" w:rsidR="00BC3FC7" w:rsidRPr="00271E51" w:rsidRDefault="00BC3FC7" w:rsidP="00271E51">
      <w:pPr>
        <w:spacing w:after="0" w:line="240" w:lineRule="auto"/>
        <w:jc w:val="both"/>
        <w:rPr>
          <w:rFonts w:ascii="Times New Roman" w:hAnsi="Times New Roman"/>
          <w:color w:val="0070C0"/>
          <w:sz w:val="16"/>
          <w:szCs w:val="16"/>
        </w:rPr>
      </w:pPr>
    </w:p>
    <w:p w14:paraId="42D83E82" w14:textId="77777777" w:rsidR="00BC3FC7" w:rsidRPr="00271E51" w:rsidRDefault="00BC3FC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 г. был облетан второй ХВ-32 со старым двухкилевым оперением, но в остальном это была практически новая машина. Фюзеляж пришлось полностью переделать, отказавшись от гермокабин и сделав новый объединенный отсек вооружения для бомб больших калибров. Вместо выдвижных верхних башен установили обычные, но обтекаемой каплевидной формы. На крыле появились более эффективные закрылки. Запас топлива увеличили и установили более надежные моторы R-3350-23A той же мощности. Управление стрелковыми точками стало раздельным, остальное оборудование было таким же, как на В-29 (23005).</w:t>
      </w:r>
    </w:p>
    <w:p w14:paraId="7CE2E70D" w14:textId="77777777" w:rsidR="00BC3FC7" w:rsidRPr="00271E51" w:rsidRDefault="00BC3FC7" w:rsidP="00271E51">
      <w:pPr>
        <w:spacing w:after="0" w:line="240" w:lineRule="auto"/>
        <w:jc w:val="both"/>
        <w:rPr>
          <w:rFonts w:ascii="Times New Roman" w:hAnsi="Times New Roman"/>
          <w:color w:val="0070C0"/>
          <w:sz w:val="16"/>
          <w:szCs w:val="16"/>
        </w:rPr>
      </w:pPr>
    </w:p>
    <w:p w14:paraId="27C6D828" w14:textId="77777777" w:rsidR="00BC3FC7" w:rsidRPr="00271E51" w:rsidRDefault="00BC3FC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1943-го изготовили 300 ракет А-4, которые пришлось истратить на экспериментальные пуски. Серий</w:t>
      </w:r>
      <w:r w:rsidRPr="00271E51">
        <w:rPr>
          <w:rFonts w:ascii="Times New Roman" w:hAnsi="Times New Roman"/>
          <w:color w:val="0070C0"/>
          <w:sz w:val="16"/>
          <w:szCs w:val="16"/>
        </w:rPr>
        <w:softHyphen/>
        <w:t>ный же выпуск все еще не был нала</w:t>
      </w:r>
      <w:r w:rsidRPr="00271E51">
        <w:rPr>
          <w:rFonts w:ascii="Times New Roman" w:hAnsi="Times New Roman"/>
          <w:color w:val="0070C0"/>
          <w:sz w:val="16"/>
          <w:szCs w:val="16"/>
        </w:rPr>
        <w:softHyphen/>
        <w:t>жен. Однако с января 1944-го и до на</w:t>
      </w:r>
      <w:r w:rsidRPr="00271E51">
        <w:rPr>
          <w:rFonts w:ascii="Times New Roman" w:hAnsi="Times New Roman"/>
          <w:color w:val="0070C0"/>
          <w:sz w:val="16"/>
          <w:szCs w:val="16"/>
        </w:rPr>
        <w:softHyphen/>
        <w:t>чала ракетных обстрелов британской столицы произвели 1588 Фау-2 (22801).</w:t>
      </w:r>
    </w:p>
    <w:p w14:paraId="125F48E1" w14:textId="77777777" w:rsidR="00BC3FC7" w:rsidRPr="00271E51" w:rsidRDefault="00BC3FC7" w:rsidP="00271E51">
      <w:pPr>
        <w:spacing w:after="0" w:line="240" w:lineRule="auto"/>
        <w:jc w:val="both"/>
        <w:rPr>
          <w:rFonts w:ascii="Times New Roman" w:hAnsi="Times New Roman"/>
          <w:color w:val="0070C0"/>
          <w:sz w:val="16"/>
          <w:szCs w:val="16"/>
        </w:rPr>
      </w:pPr>
    </w:p>
    <w:p w14:paraId="03BF253D"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июле 1943 г. приступили к формированию первой боевой части, вооруженной самолётами-снарядами — так называемого «103-го зенитного артиллерийского</w:t>
      </w:r>
      <w:r w:rsidRPr="00271E51">
        <w:rPr>
          <w:rStyle w:val="aff6"/>
          <w:rFonts w:ascii="Times New Roman" w:eastAsia="Arial Narrow" w:hAnsi="Times New Roman" w:cs="Times New Roman"/>
          <w:i w:val="0"/>
          <w:color w:val="000000" w:themeColor="text1"/>
          <w:spacing w:val="0"/>
        </w:rPr>
        <w:t xml:space="preserve"> полка» и</w:t>
      </w:r>
      <w:r w:rsidRPr="00271E51">
        <w:rPr>
          <w:rFonts w:ascii="Times New Roman" w:cs="Times New Roman"/>
          <w:color w:val="000000" w:themeColor="text1"/>
          <w:spacing w:val="0"/>
          <w:sz w:val="16"/>
          <w:szCs w:val="16"/>
        </w:rPr>
        <w:t xml:space="preserve"> обучению его личного состава, а затем и к стро</w:t>
      </w:r>
      <w:r w:rsidRPr="00271E51">
        <w:rPr>
          <w:rFonts w:ascii="Times New Roman" w:cs="Times New Roman"/>
          <w:color w:val="000000" w:themeColor="text1"/>
          <w:spacing w:val="0"/>
          <w:sz w:val="16"/>
          <w:szCs w:val="16"/>
        </w:rPr>
        <w:softHyphen/>
        <w:t>ительству катапультных устройств, направленных на Лондон. Первый самолёт-снаряд, получивший от министра пропаганды Геббельса третье, наиболее известное наимено</w:t>
      </w:r>
      <w:r w:rsidRPr="00271E51">
        <w:rPr>
          <w:rFonts w:ascii="Times New Roman" w:cs="Times New Roman"/>
          <w:color w:val="000000" w:themeColor="text1"/>
          <w:spacing w:val="0"/>
          <w:sz w:val="16"/>
          <w:szCs w:val="16"/>
        </w:rPr>
        <w:softHyphen/>
        <w:t xml:space="preserve">вание — </w:t>
      </w:r>
      <w:r w:rsidRPr="00271E51">
        <w:rPr>
          <w:rFonts w:ascii="Times New Roman" w:cs="Times New Roman"/>
          <w:color w:val="000000" w:themeColor="text1"/>
          <w:spacing w:val="0"/>
          <w:sz w:val="16"/>
          <w:szCs w:val="16"/>
          <w:lang w:val="en-US"/>
        </w:rPr>
        <w:t>V</w:t>
      </w:r>
      <w:r w:rsidRPr="00271E51">
        <w:rPr>
          <w:rFonts w:ascii="Times New Roman" w:cs="Times New Roman"/>
          <w:color w:val="000000" w:themeColor="text1"/>
          <w:spacing w:val="0"/>
          <w:sz w:val="16"/>
          <w:szCs w:val="16"/>
        </w:rPr>
        <w:t>-1 (от «</w:t>
      </w:r>
      <w:r w:rsidRPr="00271E51">
        <w:rPr>
          <w:rFonts w:ascii="Times New Roman" w:cs="Times New Roman"/>
          <w:color w:val="000000" w:themeColor="text1"/>
          <w:spacing w:val="0"/>
          <w:sz w:val="16"/>
          <w:szCs w:val="16"/>
          <w:lang w:val="en-US"/>
        </w:rPr>
        <w:t>Vergeltungwaffe</w:t>
      </w:r>
      <w:r w:rsidRPr="00271E51">
        <w:rPr>
          <w:rFonts w:ascii="Times New Roman" w:cs="Times New Roman"/>
          <w:color w:val="000000" w:themeColor="text1"/>
          <w:spacing w:val="0"/>
          <w:sz w:val="16"/>
          <w:szCs w:val="16"/>
        </w:rPr>
        <w:t>» — оружие возмездия, в русской транскрипции — Фау-1), спикировал на английскую столицу 14 июня 1944 г. Интенсивность воздушных ударов достигла максимума 2 августа 1944 г., когда с 38 катапультных установок запу</w:t>
      </w:r>
      <w:r w:rsidRPr="00271E51">
        <w:rPr>
          <w:rFonts w:ascii="Times New Roman" w:cs="Times New Roman"/>
          <w:color w:val="000000" w:themeColor="text1"/>
          <w:spacing w:val="0"/>
          <w:sz w:val="16"/>
          <w:szCs w:val="16"/>
        </w:rPr>
        <w:softHyphen/>
        <w:t>стили 316 самолётов-снарядов (15790).</w:t>
      </w:r>
    </w:p>
    <w:p w14:paraId="57044A22" w14:textId="77777777" w:rsidR="00715334" w:rsidRPr="00271E51" w:rsidRDefault="00715334" w:rsidP="00271E51">
      <w:pPr>
        <w:pStyle w:val="36"/>
        <w:shd w:val="clear" w:color="auto" w:fill="auto"/>
        <w:spacing w:after="0" w:line="240" w:lineRule="auto"/>
        <w:jc w:val="both"/>
        <w:rPr>
          <w:rFonts w:ascii="Times New Roman" w:cs="Times New Roman"/>
          <w:color w:val="000000" w:themeColor="text1"/>
          <w:spacing w:val="0"/>
          <w:sz w:val="16"/>
          <w:szCs w:val="16"/>
        </w:rPr>
      </w:pPr>
    </w:p>
    <w:p w14:paraId="5A9CE44D" w14:textId="77777777" w:rsidR="00580788" w:rsidRPr="00271E51" w:rsidRDefault="0058078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начали формирование первой боевой части, вооруженной V-1, обучение личного состава и строительству катапульт (1087,28).</w:t>
      </w:r>
    </w:p>
    <w:p w14:paraId="4FEF31AB" w14:textId="77777777" w:rsidR="00580788" w:rsidRPr="00271E51" w:rsidRDefault="0058078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14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 1943, присоединив к 4/SchG 2 и 8/SchG 1, их отправили на Восточный фронт. Несмотря на разгром немцев в Африке, на Ближний Восток во вторую неделю декабря 1942 года был переброшен штаффель из II/SchG 2, который был недавно сформирован из истребительно-бомбардировочных штаффелей JG 27 и JG 53. Этот штаффель обозначенный как 8/SchG 2, получил семь Hs 129 и, базируясь на Тунис-Аоунию, начал боевые действия в феврале 1943 в составе Fliegerfuhrer Tunis (авиационное командование "Тунис"). Эта часть была несколько более удачливой, чем ее предшественница, однако хотя ее состав вырос с 10 машин в феврале до 16 </w:t>
      </w:r>
      <w:r w:rsidRPr="00271E51">
        <w:rPr>
          <w:rFonts w:ascii="Times New Roman" w:hAnsi="Times New Roman"/>
          <w:color w:val="000000" w:themeColor="text1"/>
          <w:sz w:val="16"/>
          <w:szCs w:val="16"/>
        </w:rPr>
        <w:lastRenderedPageBreak/>
        <w:t>в апреле, боеспособность ее резко снизилась. В мае 1943 штаффель перебросили в Дечимоману на Сардинии, для действий в составе Fliegerfuhrer Sardinien (авиакомандование "Сардиния") (3188).</w:t>
      </w:r>
    </w:p>
    <w:p w14:paraId="167E0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2220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 заводы фирмы «Hugo Junkers A.G.» были оборудованы для производства таких беспилотных летающих бомб.</w:t>
      </w:r>
    </w:p>
    <w:p w14:paraId="6490934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Соответственно была разработана и учебная модификация ударной системы Mistel1 – Mistel S1. В ноябре 1943 – апреле 1944 г. немцами были проведены испытания боевых Мистелей,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196DF25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29F5CEC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5609F7A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576F130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5B396D9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452F5F8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1944 г. группировка Мистелей насчитывала 60 единиц.</w:t>
      </w:r>
    </w:p>
    <w:p w14:paraId="4571888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2F906B6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5274402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50CD0E4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5AA716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56CE00B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37FE6D6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36B905F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7326382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1C46350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4C6DDC6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2DAD73D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2412AA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Германские ударные управляемые средства...</w:t>
      </w:r>
    </w:p>
    <w:p w14:paraId="490E7A6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4B7A6F3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3308D0B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743AF5F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14FB9CA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13B5F09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45DC7C1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369276D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2BE7190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5BB847CF" w14:textId="77777777" w:rsidR="00580788" w:rsidRPr="00271E51" w:rsidRDefault="0058078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июле 1943 года под Понырями дебютировало другое детище Porsche K.G. – самоходная установка Ferdinand. Её появление в Красной армии восприняли очень серьёзно. Среди списка работ по танковой, противотанковой и самоходной артиллерии, датированного 15 сентября 1943 года, вновь появилась М75. Одной из причин возвращения заброшенного в 1942 году проекта было то, что базировалось орудие на лафете пушки-гаубицы МЛ-20. Идея вооружения пушкой М75 самоходной установки, похороненная ещё летом 1941 года, спустя два года получила шанс на возвращение, тем более что для неё наконец появились достойные цели.</w:t>
      </w:r>
    </w:p>
    <w:p w14:paraId="47A7AC5C" w14:textId="77777777" w:rsidR="00580788" w:rsidRPr="00271E51" w:rsidRDefault="0058078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возврат к теме 107-мм противотанковой пушки оказался крайне недолгим. В том же самом письме, где упоминалась М75, председатель Артиллерийского Комитета ГАУ КА генерал-майор Хохлов предлагал отказаться от ряда проектов, заменив их на более перспективные 122-мм пушки с начальной скоростью снаряда 1000 м/с (17108).</w:t>
      </w:r>
    </w:p>
    <w:p w14:paraId="068C2F4D" w14:textId="77777777" w:rsidR="00580788" w:rsidRPr="00271E51" w:rsidRDefault="00580788" w:rsidP="00271E51">
      <w:pPr>
        <w:shd w:val="clear" w:color="auto" w:fill="FFFFFF"/>
        <w:spacing w:after="0" w:line="240" w:lineRule="auto"/>
        <w:jc w:val="both"/>
        <w:rPr>
          <w:rFonts w:ascii="Times New Roman" w:hAnsi="Times New Roman"/>
          <w:b/>
          <w:bCs/>
          <w:color w:val="000000" w:themeColor="text1"/>
          <w:sz w:val="16"/>
          <w:szCs w:val="16"/>
        </w:rPr>
      </w:pPr>
    </w:p>
    <w:p w14:paraId="4AFF4356" w14:textId="77777777" w:rsidR="00AE304B" w:rsidRPr="00271E51" w:rsidRDefault="00AE304B"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В июле 1943 года появился FW 190A-6, на котором вместо устаревших крыльевых авиапушек MGFF с низкой скорострельностью и ограниченным боекомплектом установили пушки MG-151/20 с ленточным питанием и боезапасом по 125 снарядов на ствол. От этой замены масса секундного залпа возросла до 7,02 кг. Взлетная масса также выросла до 3900 кг, но летные характеристики практически не изменились (19178).</w:t>
      </w:r>
    </w:p>
    <w:p w14:paraId="3DC71415" w14:textId="77777777" w:rsidR="00AE304B" w:rsidRPr="00271E51" w:rsidRDefault="00AE304B" w:rsidP="00271E51">
      <w:pPr>
        <w:pStyle w:val="rtejustify"/>
        <w:shd w:val="clear" w:color="auto" w:fill="FFFFFF"/>
        <w:spacing w:before="0" w:after="0"/>
        <w:textAlignment w:val="baseline"/>
        <w:rPr>
          <w:color w:val="000000" w:themeColor="text1"/>
          <w:sz w:val="16"/>
          <w:szCs w:val="16"/>
        </w:rPr>
      </w:pPr>
    </w:p>
    <w:p w14:paraId="195A3B4E" w14:textId="77777777" w:rsidR="00AE304B" w:rsidRPr="00271E51" w:rsidRDefault="00AE304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1943-го изготовили 300 ракет, которые пришлось истратить на экспериментальные пуски. Серий</w:t>
      </w:r>
      <w:r w:rsidRPr="00271E51">
        <w:rPr>
          <w:rFonts w:ascii="Times New Roman" w:hAnsi="Times New Roman"/>
          <w:color w:val="000000" w:themeColor="text1"/>
          <w:sz w:val="16"/>
          <w:szCs w:val="16"/>
        </w:rPr>
        <w:softHyphen/>
        <w:t>ный же выпуск все еще не был нала</w:t>
      </w:r>
      <w:r w:rsidRPr="00271E51">
        <w:rPr>
          <w:rFonts w:ascii="Times New Roman" w:hAnsi="Times New Roman"/>
          <w:color w:val="000000" w:themeColor="text1"/>
          <w:sz w:val="16"/>
          <w:szCs w:val="16"/>
        </w:rPr>
        <w:softHyphen/>
        <w:t>жен. Однако с января 1944-го и до на</w:t>
      </w:r>
      <w:r w:rsidRPr="00271E51">
        <w:rPr>
          <w:rFonts w:ascii="Times New Roman" w:hAnsi="Times New Roman"/>
          <w:color w:val="000000" w:themeColor="text1"/>
          <w:sz w:val="16"/>
          <w:szCs w:val="16"/>
        </w:rPr>
        <w:softHyphen/>
        <w:t>чала ракетных обстрелов британской столицы произвели 1588 Фау-2 (19630.</w:t>
      </w:r>
    </w:p>
    <w:p w14:paraId="35A1D25D" w14:textId="77777777" w:rsidR="00AE304B" w:rsidRPr="00271E51" w:rsidRDefault="00AE304B" w:rsidP="00271E51">
      <w:pPr>
        <w:spacing w:after="0" w:line="240" w:lineRule="auto"/>
        <w:jc w:val="both"/>
        <w:rPr>
          <w:rFonts w:ascii="Times New Roman" w:hAnsi="Times New Roman"/>
          <w:color w:val="000000" w:themeColor="text1"/>
          <w:sz w:val="16"/>
          <w:szCs w:val="16"/>
        </w:rPr>
      </w:pPr>
    </w:p>
    <w:p w14:paraId="1C100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американцы в помощь англичанам направили PBN-1 с аэромагнитометрами MAD (Magnetic Anomaly Detector), разработанными Bell Telephone для работы в Бискайском заливе и в Гибралтаре (1082,5).</w:t>
      </w:r>
    </w:p>
    <w:p w14:paraId="2E102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AEF8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английская специальная 100-я группа радиоэлектронного противодействия применила металлизированные ленты, которые были названы windows (2617).</w:t>
      </w:r>
    </w:p>
    <w:p w14:paraId="1F7E0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F74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начались консультации между арабскими странами по поводу панарабских проектов, которые постепенно переросли в обсуждение проблемы послевоенного устройства. Все интеграционные проекты в конечном итоге были отвергнуты (3871).</w:t>
      </w:r>
    </w:p>
    <w:p w14:paraId="477D1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69AE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AD27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16F963" w14:textId="77777777" w:rsidR="00204180" w:rsidRPr="00271E51" w:rsidRDefault="002041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 военпреды завода № 30 отбраковали довольно много самолетов из-за повышенной вибрации. Ни самолетостроители, ни моторный завод, ни винтовой своей вины не признавали. С 12 сентября по 18 ноября ЦАГИ по заданию НКАП 54 Штурмовик Ил-2 № 302114 в аэродинамической трубе Т-101 провел специальные летные испытания самолета Ил-2 на вибрацию. Руководил работами начальник 2-го отдела лаборатории № 3 института профессор М. В. Келдыш (19727).</w:t>
      </w:r>
    </w:p>
    <w:p w14:paraId="676A1C1C" w14:textId="77777777" w:rsidR="00204180" w:rsidRPr="00271E51" w:rsidRDefault="00204180" w:rsidP="00271E51">
      <w:pPr>
        <w:spacing w:after="0" w:line="240" w:lineRule="auto"/>
        <w:jc w:val="both"/>
        <w:rPr>
          <w:rFonts w:ascii="Times New Roman" w:hAnsi="Times New Roman"/>
          <w:color w:val="000000" w:themeColor="text1"/>
          <w:sz w:val="16"/>
          <w:szCs w:val="16"/>
        </w:rPr>
      </w:pPr>
    </w:p>
    <w:p w14:paraId="6CC55382"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июле—августе 1943 г. на основании результатов по</w:t>
      </w:r>
      <w:r w:rsidRPr="00271E51">
        <w:rPr>
          <w:color w:val="000000" w:themeColor="text1"/>
          <w:sz w:val="16"/>
          <w:szCs w:val="16"/>
        </w:rPr>
        <w:softHyphen/>
        <w:t>лигонных испытаний и опыта бо</w:t>
      </w:r>
      <w:r w:rsidRPr="00271E51">
        <w:rPr>
          <w:color w:val="000000" w:themeColor="text1"/>
          <w:sz w:val="16"/>
          <w:szCs w:val="16"/>
        </w:rPr>
        <w:softHyphen/>
        <w:t>евого применения противотанко</w:t>
      </w:r>
      <w:r w:rsidRPr="00271E51">
        <w:rPr>
          <w:color w:val="000000" w:themeColor="text1"/>
          <w:sz w:val="16"/>
          <w:szCs w:val="16"/>
        </w:rPr>
        <w:softHyphen/>
        <w:t>вых Ил-2 с пушками Ш-37 и 11П в НИИ ВВС были разработаны «Указания по боевому применению самолета Ил-2 АМ-38ф вооруженного пушка</w:t>
      </w:r>
      <w:r w:rsidRPr="00271E51">
        <w:rPr>
          <w:color w:val="000000" w:themeColor="text1"/>
          <w:sz w:val="16"/>
          <w:szCs w:val="16"/>
        </w:rPr>
        <w:softHyphen/>
        <w:t>ми 37 мм». Эти «Указания.» явля</w:t>
      </w:r>
      <w:r w:rsidRPr="00271E51">
        <w:rPr>
          <w:color w:val="000000" w:themeColor="text1"/>
          <w:sz w:val="16"/>
          <w:szCs w:val="16"/>
        </w:rPr>
        <w:softHyphen/>
        <w:t>лись временными и предназнача</w:t>
      </w:r>
      <w:r w:rsidRPr="00271E51">
        <w:rPr>
          <w:color w:val="000000" w:themeColor="text1"/>
          <w:sz w:val="16"/>
          <w:szCs w:val="16"/>
        </w:rPr>
        <w:softHyphen/>
        <w:t>лись для «руководства и проверки при проведении войсковых испы</w:t>
      </w:r>
      <w:r w:rsidRPr="00271E51">
        <w:rPr>
          <w:color w:val="000000" w:themeColor="text1"/>
          <w:sz w:val="16"/>
          <w:szCs w:val="16"/>
        </w:rPr>
        <w:softHyphen/>
        <w:t>таний».</w:t>
      </w:r>
    </w:p>
    <w:p w14:paraId="69218D4C"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Основным назначением самоле</w:t>
      </w:r>
      <w:r w:rsidRPr="00271E51">
        <w:rPr>
          <w:color w:val="000000" w:themeColor="text1"/>
          <w:sz w:val="16"/>
          <w:szCs w:val="16"/>
        </w:rPr>
        <w:softHyphen/>
        <w:t>та считалось уничтожение танков, бронемашин, транспортеров, ав</w:t>
      </w:r>
      <w:r w:rsidRPr="00271E51">
        <w:rPr>
          <w:color w:val="000000" w:themeColor="text1"/>
          <w:sz w:val="16"/>
          <w:szCs w:val="16"/>
        </w:rPr>
        <w:softHyphen/>
        <w:t>томашин, артиллерии, паровозов, ж.-д. эшелонов, бронепоездов и ци</w:t>
      </w:r>
      <w:r w:rsidRPr="00271E51">
        <w:rPr>
          <w:color w:val="000000" w:themeColor="text1"/>
          <w:sz w:val="16"/>
          <w:szCs w:val="16"/>
        </w:rPr>
        <w:softHyphen/>
        <w:t>стерн. Кроме этого, самолет может быть эффективен при действиях по самолетам противника на аэро</w:t>
      </w:r>
      <w:r w:rsidRPr="00271E51">
        <w:rPr>
          <w:color w:val="000000" w:themeColor="text1"/>
          <w:sz w:val="16"/>
          <w:szCs w:val="16"/>
        </w:rPr>
        <w:softHyphen/>
        <w:t>дромах.</w:t>
      </w:r>
    </w:p>
    <w:p w14:paraId="47368C2D"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действиях по брониро</w:t>
      </w:r>
      <w:r w:rsidRPr="00271E51">
        <w:rPr>
          <w:color w:val="000000" w:themeColor="text1"/>
          <w:sz w:val="16"/>
          <w:szCs w:val="16"/>
        </w:rPr>
        <w:softHyphen/>
        <w:t>ванным целям и огневым точкам основными снарядами должны быть бронебойно-трассирующие и бронебойно-зажигательно-трас- сирующие снаряды БТ-37 и БЗТ-37, чередуя их при снаряжении ленты с осколочно-за- жигательно-трассирующими снарядами ОЗТ-37 из расчета 1 БТ-37, 1 БЗТ-37 и 1 ОЗТ-37.</w:t>
      </w:r>
    </w:p>
    <w:p w14:paraId="12AC85F3"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действиях по небронированным целям и по самолетам основным снарядом должны быть осколочно-зажигательно-трассирующие и осколоч- но-трассирующие, чередуя их в ленте один через один.</w:t>
      </w:r>
    </w:p>
    <w:p w14:paraId="7F9B6875"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Целесообразной укладкой патронной ленты является укладка нижнего горизонтального ряда и последующей вертикальной змейкой.</w:t>
      </w:r>
    </w:p>
    <w:p w14:paraId="08033EA7" w14:textId="77777777" w:rsidR="00610B5A" w:rsidRPr="00271E51" w:rsidRDefault="00610B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Стрельбу рекомендовалось вести очередями не более 3—4 снарядов в очереди, «так как при стрельбе одновременно из 2 пушек самолет ис</w:t>
      </w:r>
      <w:r w:rsidRPr="00271E51">
        <w:rPr>
          <w:rFonts w:ascii="Times New Roman" w:hAnsi="Times New Roman"/>
          <w:color w:val="000000" w:themeColor="text1"/>
          <w:sz w:val="16"/>
          <w:szCs w:val="16"/>
        </w:rPr>
        <w:softHyphen/>
        <w:t>пытывает толчки, нарушающие прицеливание». Поправка в прицеливание возможна только после короткой очереди.</w:t>
      </w:r>
    </w:p>
    <w:p w14:paraId="7F8740BD"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1 пушки по точечной цели попадания возможны только первым выстрелом в очереди, «так как самолет разворачивается в сто</w:t>
      </w:r>
      <w:r w:rsidRPr="00271E51">
        <w:rPr>
          <w:color w:val="000000" w:themeColor="text1"/>
          <w:sz w:val="16"/>
          <w:szCs w:val="16"/>
        </w:rPr>
        <w:softHyphen/>
        <w:t>рону стреляющей пушки и поправка в прицелива</w:t>
      </w:r>
      <w:r w:rsidRPr="00271E51">
        <w:rPr>
          <w:color w:val="000000" w:themeColor="text1"/>
          <w:sz w:val="16"/>
          <w:szCs w:val="16"/>
        </w:rPr>
        <w:softHyphen/>
        <w:t>ние практически невозможна».</w:t>
      </w:r>
    </w:p>
    <w:p w14:paraId="02CB9C15"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Рассеивание снарядов при стрельбе короткими очередями из 2 пушек с пикирования под углом 30° с дистанции 600—400 м достигало 3,5 и 8,75 м соот</w:t>
      </w:r>
      <w:r w:rsidRPr="00271E51">
        <w:rPr>
          <w:color w:val="000000" w:themeColor="text1"/>
          <w:sz w:val="16"/>
          <w:szCs w:val="16"/>
        </w:rPr>
        <w:softHyphen/>
        <w:t>ветственно в боковом направлении и по дальности. Стрельба из пушек с бреющего полета под углом планирования 5—20° с дистанции 400 м в среднем составляла 3,4 и 27 м в боковом направлении и по дальности.</w:t>
      </w:r>
    </w:p>
    <w:p w14:paraId="582F8A33"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стрельбы по наземным целям рекомендова</w:t>
      </w:r>
      <w:r w:rsidRPr="00271E51">
        <w:rPr>
          <w:color w:val="000000" w:themeColor="text1"/>
          <w:sz w:val="16"/>
          <w:szCs w:val="16"/>
        </w:rPr>
        <w:softHyphen/>
        <w:t>лись 2 основные схемы атаки: с пикирования под углом 20—30° с высоты 500—600 м и с планирова</w:t>
      </w:r>
      <w:r w:rsidRPr="00271E51">
        <w:rPr>
          <w:color w:val="000000" w:themeColor="text1"/>
          <w:sz w:val="16"/>
          <w:szCs w:val="16"/>
        </w:rPr>
        <w:softHyphen/>
        <w:t>ния под углом 5—10° с высоты 100—150 м сзади или сбоку по направлению движения танков. Дис</w:t>
      </w:r>
      <w:r w:rsidRPr="00271E51">
        <w:rPr>
          <w:color w:val="000000" w:themeColor="text1"/>
          <w:sz w:val="16"/>
          <w:szCs w:val="16"/>
        </w:rPr>
        <w:softHyphen/>
        <w:t>танция открытия огня во всех случаях не должна была превышать 400—600 м. Прицеливаться следо</w:t>
      </w:r>
      <w:r w:rsidRPr="00271E51">
        <w:rPr>
          <w:color w:val="000000" w:themeColor="text1"/>
          <w:sz w:val="16"/>
          <w:szCs w:val="16"/>
        </w:rPr>
        <w:softHyphen/>
        <w:t>вало только по отдельному танку вне зависимости от их числа.</w:t>
      </w:r>
    </w:p>
    <w:p w14:paraId="32D5A5B1"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Наиболее выгодным для стрельбы по цели счи</w:t>
      </w:r>
      <w:r w:rsidRPr="00271E51">
        <w:rPr>
          <w:color w:val="000000" w:themeColor="text1"/>
          <w:sz w:val="16"/>
          <w:szCs w:val="16"/>
        </w:rPr>
        <w:softHyphen/>
        <w:t>тался заход на цель под углом 45° к плоскости пи</w:t>
      </w:r>
      <w:r w:rsidRPr="00271E51">
        <w:rPr>
          <w:color w:val="000000" w:themeColor="text1"/>
          <w:sz w:val="16"/>
          <w:szCs w:val="16"/>
        </w:rPr>
        <w:softHyphen/>
        <w:t>кирования с разворота. Скорость ввода по прибору не превышала 260—270 км/ч, высота ввода - 500 м, начало вывода из пикирования на высоте 200 м при перегрузке — не более 2,5—3,0 единиц.</w:t>
      </w:r>
    </w:p>
    <w:p w14:paraId="494235A4"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Самолет, сбалансированный триммерами руля высоты для горизонтального полета на скорости 300 км/ч по прибору, легко вводится в пикирование.</w:t>
      </w:r>
    </w:p>
    <w:p w14:paraId="0C10B337"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Наилучшим углом пикирования является угол 20°, который обеспечивает достаточное время для прицеливания и нормальный вывод из пикирова</w:t>
      </w:r>
      <w:r w:rsidRPr="00271E51">
        <w:rPr>
          <w:color w:val="000000" w:themeColor="text1"/>
          <w:sz w:val="16"/>
          <w:szCs w:val="16"/>
        </w:rPr>
        <w:softHyphen/>
        <w:t>ния и ввод в пикирование.</w:t>
      </w:r>
    </w:p>
    <w:p w14:paraId="77B80843"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выводе из пикирования под углом 30° само</w:t>
      </w:r>
      <w:r w:rsidRPr="00271E51">
        <w:rPr>
          <w:color w:val="000000" w:themeColor="text1"/>
          <w:sz w:val="16"/>
          <w:szCs w:val="16"/>
        </w:rPr>
        <w:softHyphen/>
        <w:t>лет выходит резко, поэтому, чтобы избежать боль</w:t>
      </w:r>
      <w:r w:rsidRPr="00271E51">
        <w:rPr>
          <w:color w:val="000000" w:themeColor="text1"/>
          <w:sz w:val="16"/>
          <w:szCs w:val="16"/>
        </w:rPr>
        <w:softHyphen/>
        <w:t>шую перегрузку на выводе, необходимо во второй половине вывода придерживать ручку управления.</w:t>
      </w:r>
    </w:p>
    <w:p w14:paraId="6A21F6E3"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Предельным углом пикирования с высоты 1000 м считался угол 30°, так как при больших углах пикирования летчик не имеет достаточного време</w:t>
      </w:r>
      <w:r w:rsidRPr="00271E51">
        <w:rPr>
          <w:color w:val="000000" w:themeColor="text1"/>
          <w:sz w:val="16"/>
          <w:szCs w:val="16"/>
        </w:rPr>
        <w:softHyphen/>
        <w:t>ни для прицеливания и стрельбы.</w:t>
      </w:r>
    </w:p>
    <w:p w14:paraId="340948BE"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Наилучшим способом атаки колонны танков и отдельного танка является атака сзади или сбоку около 90° с выбором легкого и среднего танка, что обеспечивает эффективное действие снаряда. По тяжелым танкам стрельбу вести нецелесообразно. Стрельбу следовало вести только «по отдельному танку вне зависимости от числа их в колонне».</w:t>
      </w:r>
    </w:p>
    <w:p w14:paraId="6338788A" w14:textId="77777777" w:rsidR="00610B5A" w:rsidRPr="00271E51" w:rsidRDefault="00610B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Основной боевой единицей противотанковых Ил-2 являлась группа 6—9 самолетов. Считалось, что такая группа обладает достаточной силой уда</w:t>
      </w:r>
      <w:r w:rsidRPr="00271E51">
        <w:rPr>
          <w:rFonts w:ascii="Times New Roman" w:hAnsi="Times New Roman"/>
          <w:color w:val="000000" w:themeColor="text1"/>
          <w:sz w:val="16"/>
          <w:szCs w:val="16"/>
        </w:rPr>
        <w:softHyphen/>
        <w:t>ра и в то же время достаточно гибка для управле</w:t>
      </w:r>
      <w:r w:rsidRPr="00271E51">
        <w:rPr>
          <w:rFonts w:ascii="Times New Roman" w:hAnsi="Times New Roman"/>
          <w:color w:val="000000" w:themeColor="text1"/>
          <w:sz w:val="16"/>
          <w:szCs w:val="16"/>
        </w:rPr>
        <w:softHyphen/>
        <w:t>ния в воздухе. Группы могли быть однородного или смешанного состава, то есть с пушками 11П и ВЯ. При этом ведущим в паре обязательно должен быть самолет с пушками 11П, а ведомым — с пуш</w:t>
      </w:r>
      <w:r w:rsidRPr="00271E51">
        <w:rPr>
          <w:rFonts w:ascii="Times New Roman" w:hAnsi="Times New Roman"/>
          <w:color w:val="000000" w:themeColor="text1"/>
          <w:sz w:val="16"/>
          <w:szCs w:val="16"/>
        </w:rPr>
        <w:softHyphen/>
        <w:t>ками ВЯ. В задачу ведомых входило подавление ог</w:t>
      </w:r>
      <w:r w:rsidRPr="00271E51">
        <w:rPr>
          <w:rFonts w:ascii="Times New Roman" w:hAnsi="Times New Roman"/>
          <w:color w:val="000000" w:themeColor="text1"/>
          <w:sz w:val="16"/>
          <w:szCs w:val="16"/>
        </w:rPr>
        <w:softHyphen/>
        <w:t>невых средств ПВО танковых колонн, мест скопле</w:t>
      </w:r>
      <w:r w:rsidRPr="00271E51">
        <w:rPr>
          <w:rFonts w:ascii="Times New Roman" w:hAnsi="Times New Roman"/>
          <w:color w:val="000000" w:themeColor="text1"/>
          <w:sz w:val="16"/>
          <w:szCs w:val="16"/>
        </w:rPr>
        <w:softHyphen/>
        <w:t>ния танков и т.д., а при отражении атак истребите</w:t>
      </w:r>
      <w:r w:rsidRPr="00271E51">
        <w:rPr>
          <w:rFonts w:ascii="Times New Roman" w:hAnsi="Times New Roman"/>
          <w:color w:val="000000" w:themeColor="text1"/>
          <w:sz w:val="16"/>
          <w:szCs w:val="16"/>
        </w:rPr>
        <w:softHyphen/>
        <w:t>лей противника — ведение с ними воздушного боя, прикрывая остальные самолеты из состава группы. Истребительное прикрытие групп Ил-2 с пушками 11П должно быть более сильным в сравнении с об</w:t>
      </w:r>
      <w:r w:rsidRPr="00271E51">
        <w:rPr>
          <w:rFonts w:ascii="Times New Roman" w:hAnsi="Times New Roman"/>
          <w:color w:val="000000" w:themeColor="text1"/>
          <w:sz w:val="16"/>
          <w:szCs w:val="16"/>
        </w:rPr>
        <w:softHyphen/>
        <w:t>щепринятыми нормами.</w:t>
      </w:r>
    </w:p>
    <w:p w14:paraId="087525F8"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Таким образом, к началу летней кампании 1943 г. противотанковая составляющая систе</w:t>
      </w:r>
      <w:r w:rsidRPr="00271E51">
        <w:rPr>
          <w:color w:val="000000" w:themeColor="text1"/>
          <w:sz w:val="16"/>
          <w:szCs w:val="16"/>
        </w:rPr>
        <w:softHyphen/>
        <w:t>мы вооружения ВВС КА включала 37-мм пушки 11П, которыми вооружались штурмовики Ил-2 и истре</w:t>
      </w:r>
      <w:r w:rsidRPr="00271E51">
        <w:rPr>
          <w:color w:val="000000" w:themeColor="text1"/>
          <w:sz w:val="16"/>
          <w:szCs w:val="16"/>
        </w:rPr>
        <w:softHyphen/>
        <w:t>бители Як-9т, противотанковые бомбы ПТАБ-2,5-1,5 кумулятивного действия, ракетные бронебойные и осколочно-фугасные снаряды РБС-82, РБС-132 и РОФС-132, а также химические ампулы АЖ-2 с за</w:t>
      </w:r>
      <w:r w:rsidRPr="00271E51">
        <w:rPr>
          <w:color w:val="000000" w:themeColor="text1"/>
          <w:sz w:val="16"/>
          <w:szCs w:val="16"/>
        </w:rPr>
        <w:softHyphen/>
        <w:t>жигательными смесями.</w:t>
      </w:r>
    </w:p>
    <w:p w14:paraId="113E5AC9" w14:textId="77777777" w:rsidR="00610B5A" w:rsidRPr="00271E51" w:rsidRDefault="00610B5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сожалению, несмотря на спешку, выполнить планы поставок противотанковых Ил-2 в действу</w:t>
      </w:r>
      <w:r w:rsidRPr="00271E51">
        <w:rPr>
          <w:color w:val="000000" w:themeColor="text1"/>
          <w:sz w:val="16"/>
          <w:szCs w:val="16"/>
        </w:rPr>
        <w:softHyphen/>
        <w:t>ющую армию к началу летней кампании не уда</w:t>
      </w:r>
      <w:r w:rsidRPr="00271E51">
        <w:rPr>
          <w:color w:val="000000" w:themeColor="text1"/>
          <w:sz w:val="16"/>
          <w:szCs w:val="16"/>
        </w:rPr>
        <w:softHyphen/>
        <w:t>лось. В воздушных армиях курского направления не было ни одного Ил-2 с 11 П. Однако незадолго до этого удалось завезти большое количество ПТАБ-2,5-1,5 (17500).</w:t>
      </w:r>
    </w:p>
    <w:p w14:paraId="202D93A2" w14:textId="77777777" w:rsidR="00610B5A" w:rsidRPr="00271E51" w:rsidRDefault="00610B5A" w:rsidP="00271E51">
      <w:pPr>
        <w:spacing w:after="0" w:line="240" w:lineRule="auto"/>
        <w:jc w:val="both"/>
        <w:rPr>
          <w:rFonts w:ascii="Times New Roman" w:hAnsi="Times New Roman"/>
          <w:color w:val="000000" w:themeColor="text1"/>
          <w:sz w:val="16"/>
          <w:szCs w:val="16"/>
        </w:rPr>
      </w:pPr>
    </w:p>
    <w:p w14:paraId="0F8573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w:t>
      </w:r>
      <w:r w:rsidRPr="00271E51">
        <w:rPr>
          <w:rFonts w:ascii="Times New Roman" w:hAnsi="Times New Roman"/>
          <w:color w:val="000000" w:themeColor="text1"/>
          <w:sz w:val="16"/>
          <w:szCs w:val="16"/>
        </w:rPr>
        <w:softHyphen/>
        <w:t>ле — августе 1943 военпреды на заводе № 30 отбраковали по причине тряски мотора довольно много са</w:t>
      </w:r>
      <w:r w:rsidRPr="00271E51">
        <w:rPr>
          <w:rFonts w:ascii="Times New Roman" w:hAnsi="Times New Roman"/>
          <w:color w:val="000000" w:themeColor="text1"/>
          <w:sz w:val="16"/>
          <w:szCs w:val="16"/>
        </w:rPr>
        <w:softHyphen/>
        <w:t xml:space="preserve">молетов. Ни самолетостроители, ни моторный завод, ни </w:t>
      </w:r>
      <w:r w:rsidRPr="00271E51">
        <w:rPr>
          <w:rFonts w:ascii="Times New Roman" w:hAnsi="Times New Roman"/>
          <w:color w:val="000000" w:themeColor="text1"/>
          <w:sz w:val="16"/>
          <w:szCs w:val="16"/>
        </w:rPr>
        <w:lastRenderedPageBreak/>
        <w:t>вин</w:t>
      </w:r>
      <w:r w:rsidRPr="00271E51">
        <w:rPr>
          <w:rFonts w:ascii="Times New Roman" w:hAnsi="Times New Roman"/>
          <w:color w:val="000000" w:themeColor="text1"/>
          <w:sz w:val="16"/>
          <w:szCs w:val="16"/>
        </w:rPr>
        <w:softHyphen/>
        <w:t>товой своей вины не признавали. Это и послужило поводом для проведения детальных исследований причин возникнове</w:t>
      </w:r>
      <w:r w:rsidRPr="00271E51">
        <w:rPr>
          <w:rFonts w:ascii="Times New Roman" w:hAnsi="Times New Roman"/>
          <w:color w:val="000000" w:themeColor="text1"/>
          <w:sz w:val="16"/>
          <w:szCs w:val="16"/>
        </w:rPr>
        <w:softHyphen/>
        <w:t>ния сильных вибраций на самолетах Ил-2 и разработки меро</w:t>
      </w:r>
      <w:r w:rsidRPr="00271E51">
        <w:rPr>
          <w:rFonts w:ascii="Times New Roman" w:hAnsi="Times New Roman"/>
          <w:color w:val="000000" w:themeColor="text1"/>
          <w:sz w:val="16"/>
          <w:szCs w:val="16"/>
        </w:rPr>
        <w:softHyphen/>
        <w:t>приятий для их устранения (11474,373).</w:t>
      </w:r>
    </w:p>
    <w:p w14:paraId="0DB3E5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853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(24,291) эскадрилья Ил-2 была показан представителю военного ведомства США Г.Риккенбекеру. Он увидел также работу конструкторов и производство (6,223).</w:t>
      </w:r>
    </w:p>
    <w:p w14:paraId="281683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9F533" w14:textId="77777777" w:rsidR="00136D32" w:rsidRPr="00271E51" w:rsidRDefault="00136D3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июле и первой декаде августа 1943 испытания Ил-2И в НИИ ВВС не проводились из-за отсутствия техдокументации по самолету, а с 9 по 17 августа выполнили 32 полета с общим налетом 14 часов 15 минут. Ведущим инженером был инженер-майор В.С. Холопов, ведущим летчиком – майор А.К. Долгов, ведущим по тактическим испытаниям – капитанМ.Д. Васильев. Летные данные по сравнению с двухместным самолетом изменились незначительно: максимальная скорость увеличилась на 14 км/час у земли и на 18 км/час на границе высотности, а практический потолок вырос с 5300 до 6500 м. В заключении к отчету было сказано: «Самолет может использоваться для борьбы только с некоторыми типами бомбардировщиков и транспортных самолетов со сравнительно небольшими скоростями (Не-111, ФВ-200, Ю-87, Ю-52) на высотах не выше 4000 м и ФВ могут уходить за счет лучшей скороподъемности. Более скоростные бомбардировщики типа Ю-88 и До-215 Ил-2И может атаковать лишь случайно изза большой скорости. Снятие ШКАС, РО и ликвидация бомбоотсеков резко снизили качества самолета как штурмовика. Считать, что дальнейшая постройка самолета Ил-2И в варианте истребителя и установка АМ-42 (постановление ГКО № 3386сс от 15 мая 1943 года) на истребительный вариант Ил-2 – нецелесообразны. Испытанный опытный винт АВ-5Л-158В диаметром 3.4 м, дающий увеличение максимальной скорости на 8 км/час, рекомендовать для установки на ранее выпущенныеИл-2». Следующий «шажок» к новому был сделан 11 октября 1943 года в самом последнем пункте приказа НКАП № 594сс: «В целях дальнейшего улучшения ЛТД бронированных штурмовиков Ил-2:1. Директору завода 30 Смирнову и Главному конструктору Ильюшину выпустить 2 серийных Ил-2 с АМ-38Ф с внесением в них аэродинамических улучшений по предложениям ЦАГИ и Главного конструктора. На втором самолете заводу 30 установить консоли крыльев с концами, отведенными назад и без металлических лент на обшивке вдоль лонжеронов, изготовив кроме летных консолей 2 консоли для стат. испытаний к 1 ноября с/г. Установить трехлопастный винт АВ5 диаметром 3.4 м. Самолеты предъявить на летные испытания: 1-й к 1 ноября 1943, 2-й к 20 ноября 1943 (21005).</w:t>
      </w:r>
    </w:p>
    <w:p w14:paraId="08906BBD" w14:textId="77777777" w:rsidR="00136D32" w:rsidRPr="00271E51" w:rsidRDefault="00136D32" w:rsidP="00271E51">
      <w:pPr>
        <w:spacing w:after="0" w:line="240" w:lineRule="auto"/>
        <w:jc w:val="both"/>
        <w:rPr>
          <w:rFonts w:ascii="Times New Roman" w:hAnsi="Times New Roman"/>
          <w:color w:val="0070C0"/>
          <w:sz w:val="16"/>
          <w:szCs w:val="16"/>
        </w:rPr>
      </w:pPr>
    </w:p>
    <w:p w14:paraId="3FE66D8A" w14:textId="77777777" w:rsidR="00136D32" w:rsidRPr="00271E51" w:rsidRDefault="00136D32"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С июля по декабрь 1943 боевые потери составили 533 Ил-2, кроме того, более 440 штурмовиков разбились в авариях и катастро</w:t>
      </w:r>
      <w:r w:rsidRPr="00271E51">
        <w:rPr>
          <w:rFonts w:ascii="Times New Roman" w:cs="Times New Roman"/>
          <w:color w:val="0070C0"/>
          <w:spacing w:val="0"/>
          <w:sz w:val="16"/>
          <w:szCs w:val="16"/>
        </w:rPr>
        <w:softHyphen/>
        <w:t>фах (19854).</w:t>
      </w:r>
    </w:p>
    <w:p w14:paraId="06052FF6" w14:textId="77777777" w:rsidR="00136D32" w:rsidRPr="00271E51" w:rsidRDefault="00136D32" w:rsidP="00271E51">
      <w:pPr>
        <w:pStyle w:val="36"/>
        <w:shd w:val="clear" w:color="auto" w:fill="auto"/>
        <w:spacing w:after="0" w:line="240" w:lineRule="auto"/>
        <w:jc w:val="both"/>
        <w:rPr>
          <w:rFonts w:ascii="Times New Roman" w:cs="Times New Roman"/>
          <w:color w:val="0070C0"/>
          <w:spacing w:val="0"/>
          <w:sz w:val="16"/>
          <w:szCs w:val="16"/>
        </w:rPr>
      </w:pPr>
    </w:p>
    <w:p w14:paraId="02CFAD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 проходили Войсковые испытания в 8-м и 19-м гв. полках АЛД глушителей ГАМ-9. Экипажи оцени</w:t>
      </w:r>
      <w:r w:rsidRPr="00271E51">
        <w:rPr>
          <w:rFonts w:ascii="Times New Roman" w:hAnsi="Times New Roman"/>
          <w:color w:val="000000" w:themeColor="text1"/>
          <w:sz w:val="16"/>
          <w:szCs w:val="16"/>
        </w:rPr>
        <w:softHyphen/>
        <w:t>ли новинку положительно. Более того, в частях стали требовать установки пламегасителей и на остальных самоле</w:t>
      </w:r>
      <w:r w:rsidRPr="00271E51">
        <w:rPr>
          <w:rFonts w:ascii="Times New Roman" w:hAnsi="Times New Roman"/>
          <w:color w:val="000000" w:themeColor="text1"/>
          <w:sz w:val="16"/>
          <w:szCs w:val="16"/>
        </w:rPr>
        <w:softHyphen/>
        <w:t>тах. С октября завод стал комплекто</w:t>
      </w:r>
      <w:r w:rsidRPr="00271E51">
        <w:rPr>
          <w:rFonts w:ascii="Times New Roman" w:hAnsi="Times New Roman"/>
          <w:color w:val="000000" w:themeColor="text1"/>
          <w:sz w:val="16"/>
          <w:szCs w:val="16"/>
        </w:rPr>
        <w:softHyphen/>
        <w:t>вать ГАМ-9 все выпускающиеся бом</w:t>
      </w:r>
      <w:r w:rsidRPr="00271E51">
        <w:rPr>
          <w:rFonts w:ascii="Times New Roman" w:hAnsi="Times New Roman"/>
          <w:color w:val="000000" w:themeColor="text1"/>
          <w:sz w:val="16"/>
          <w:szCs w:val="16"/>
        </w:rPr>
        <w:softHyphen/>
        <w:t>бардировщики (10734,78).</w:t>
      </w:r>
    </w:p>
    <w:p w14:paraId="7446C7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DA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 на Брянском фронте проходил войсковые испытания Ла-5ФН; на 14 истребителях летчики сбили в 25 воздушных боях 33 фашистских самолета (21 FW 190, 3 Bf 109G, 5 Ju 88, 1 Ju 87, 3 Не 111), собственные потери составили четыре "Лавочкина" (4707).</w:t>
      </w:r>
    </w:p>
    <w:p w14:paraId="3CEAAA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D1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года в 32-м гвардейском иап на Брянском фронте проходили войсковые испытания Ла-5ФН. В течение месяца 14 советских летчиков в 25 воздушных боях сбили 21 FW 190, потри Bf 109G-2 и Не 111, пять Ju 88 и один Ju 87. При этом свои потери составили четыре машины (12032).</w:t>
      </w:r>
    </w:p>
    <w:p w14:paraId="53B6D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F9F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 при испытании в НИИ ВВС КА самолета Ла-5 №37212501Ф на высотах 500-2000 м на наивыгоднейшем режиме по</w:t>
      </w:r>
      <w:r w:rsidRPr="00271E51">
        <w:rPr>
          <w:rFonts w:ascii="Times New Roman" w:hAnsi="Times New Roman"/>
          <w:color w:val="000000" w:themeColor="text1"/>
          <w:sz w:val="16"/>
          <w:szCs w:val="16"/>
        </w:rPr>
        <w:softHyphen/>
        <w:t>лучена дальность всего лишь 580 км (10705).</w:t>
      </w:r>
    </w:p>
    <w:p w14:paraId="4BDD10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DD24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июля-августа 1943 г. часть самолетов Ла-5, находившихся в строю, стали комплектовать лампами ультрафиолетового освеще</w:t>
      </w:r>
      <w:r w:rsidRPr="00271E51">
        <w:rPr>
          <w:rFonts w:ascii="Times New Roman" w:hAnsi="Times New Roman"/>
          <w:color w:val="000000" w:themeColor="text1"/>
          <w:sz w:val="16"/>
          <w:szCs w:val="16"/>
        </w:rPr>
        <w:softHyphen/>
        <w:t>ния кабины, что было вызвано активизацией действий противника ночью (11123).</w:t>
      </w:r>
    </w:p>
    <w:p w14:paraId="10DA05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AF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по август 1943 проходили заводские испытания И-220 с АМ-39 (4,249).</w:t>
      </w:r>
    </w:p>
    <w:p w14:paraId="1AF88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FA6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был построен второй экз. ТИС Н.Н.П. - ТИС МА, т.к. первый разбили на посадке (2350,28).</w:t>
      </w:r>
    </w:p>
    <w:p w14:paraId="3DE65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1E9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была произведена модификация Ту-2 2М-82ФН в стандартный тип. Впервые переоборудовали в Ту-2С три машины завода 166 с NN 713, 716 и 717, но наиболее полно модификации были выполнены на 716 машине (1835,28).</w:t>
      </w:r>
    </w:p>
    <w:p w14:paraId="3AF34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6C4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 августе 1943 состоялись 70-часовые заводские стендовые испытания двигателя М-1.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 Разработка проекта двигателя М-116П осуществлялась в конструктор</w:t>
      </w:r>
      <w:r w:rsidRPr="00271E51">
        <w:rPr>
          <w:rFonts w:ascii="Times New Roman" w:hAnsi="Times New Roman"/>
          <w:color w:val="000000" w:themeColor="text1"/>
          <w:sz w:val="16"/>
          <w:szCs w:val="16"/>
        </w:rPr>
        <w:softHyphen/>
        <w:t>ском бюро завода № 16 в Казани с 1942 г. Он представлял собой мо</w:t>
      </w:r>
      <w:r w:rsidRPr="00271E51">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271E51">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271E51">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2441C1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09A1BA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12-цилиндровый, У-образный рядный, четырехтактный, жидкостно</w:t>
      </w:r>
      <w:r w:rsidRPr="00271E51">
        <w:rPr>
          <w:rFonts w:ascii="Times New Roman" w:hAnsi="Times New Roman"/>
          <w:color w:val="000000" w:themeColor="text1"/>
          <w:sz w:val="16"/>
          <w:szCs w:val="16"/>
        </w:rPr>
        <w:softHyphen/>
        <w:t>го охлаждения, редукторный, с одноступенчатым двухскоростным ПЦН;</w:t>
      </w:r>
    </w:p>
    <w:p w14:paraId="1C7719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150/170 мм;</w:t>
      </w:r>
    </w:p>
    <w:p w14:paraId="2029EC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объем 36,0 л;</w:t>
      </w:r>
    </w:p>
    <w:p w14:paraId="0357DB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степень сжатия 6,6;</w:t>
      </w:r>
    </w:p>
    <w:p w14:paraId="5C8843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1300/1500 л.с.:</w:t>
      </w:r>
    </w:p>
    <w:p w14:paraId="72A1AD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660 кг.</w:t>
      </w:r>
    </w:p>
    <w:p w14:paraId="3F9213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 устанавливался на переделанном серийном самолете Пе-2. Его пред</w:t>
      </w:r>
      <w:r w:rsidRPr="00271E51">
        <w:rPr>
          <w:rFonts w:ascii="Times New Roman" w:hAnsi="Times New Roman"/>
          <w:color w:val="000000" w:themeColor="text1"/>
          <w:sz w:val="16"/>
          <w:szCs w:val="16"/>
        </w:rPr>
        <w:softHyphen/>
        <w:t>полагали также установить на одном из истребителей А.С. Яковлева (11852).</w:t>
      </w:r>
    </w:p>
    <w:p w14:paraId="61F6B3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508B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по август 1943 над Москвой 6 раз появлялся высотный Ju-86R-1, который всех очень раздражал и его хотели сбить. 2 июля Л.А.Шолохов пытался достать его на Як-9 М-105ПД стартовав с ЦА. На высоте 11650 по прибору был ниже Юнкерса на 1000-1500 м и не достал. 22 августа пытались перехватить 15 истребителями, включая 3 Як-9ПД, два Спитфайра, две Кобры, шесть Як-1 и два МиГ-3. Не смогли (65,123).</w:t>
      </w:r>
    </w:p>
    <w:p w14:paraId="3D119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DE5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СКБ завода Компрессор начало проектирование трех корабельных пусковых установок улучшенного типа - 8-М-8, 24-М-8 и 16-М-13 с более надежным стопорением снарядов на направляющих. Хотели укоротить направляющие с 5 м до 2ю25 м, но не получилось. Работы над М-8-М на стадии эскизного проекта прекратили (4305,34).</w:t>
      </w:r>
    </w:p>
    <w:p w14:paraId="5849AC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9612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EC05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5E8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 августе 1943 г. серийное производство 57-мм пушек под маркой ЗИС-4М было во</w:t>
      </w:r>
      <w:r w:rsidRPr="00271E51">
        <w:rPr>
          <w:rFonts w:ascii="Times New Roman" w:hAnsi="Times New Roman"/>
          <w:color w:val="000000" w:themeColor="text1"/>
          <w:sz w:val="16"/>
          <w:szCs w:val="16"/>
        </w:rPr>
        <w:softHyphen/>
        <w:t>зобновлено и продолжалось до конца октября того же года. Всего было выпущено около 200 орудий. В связи с развер</w:t>
      </w:r>
      <w:r w:rsidRPr="00271E51">
        <w:rPr>
          <w:rFonts w:ascii="Times New Roman" w:hAnsi="Times New Roman"/>
          <w:color w:val="000000" w:themeColor="text1"/>
          <w:sz w:val="16"/>
          <w:szCs w:val="16"/>
        </w:rPr>
        <w:softHyphen/>
        <w:t>нувшимися в середине 1943 г. работами по созданию более мощных 85-мм танковых пушек дальнейшие работы по пушке ЗИС-4 были пре</w:t>
      </w:r>
      <w:r w:rsidRPr="00271E51">
        <w:rPr>
          <w:rFonts w:ascii="Times New Roman" w:hAnsi="Times New Roman"/>
          <w:color w:val="000000" w:themeColor="text1"/>
          <w:sz w:val="16"/>
          <w:szCs w:val="16"/>
        </w:rPr>
        <w:softHyphen/>
        <w:t>кращены. На заводах промышленности эта пушка на серийные танки Т-34 не устанавливалась, за исключением нескольких опытных образ</w:t>
      </w:r>
      <w:r w:rsidRPr="00271E51">
        <w:rPr>
          <w:rFonts w:ascii="Times New Roman" w:hAnsi="Times New Roman"/>
          <w:color w:val="000000" w:themeColor="text1"/>
          <w:sz w:val="16"/>
          <w:szCs w:val="16"/>
        </w:rPr>
        <w:softHyphen/>
        <w:t>цов. Тем не менее, на фронтах Великой Отечественной войны встреча</w:t>
      </w:r>
      <w:r w:rsidRPr="00271E51">
        <w:rPr>
          <w:rFonts w:ascii="Times New Roman" w:hAnsi="Times New Roman"/>
          <w:color w:val="000000" w:themeColor="text1"/>
          <w:sz w:val="16"/>
          <w:szCs w:val="16"/>
        </w:rPr>
        <w:softHyphen/>
        <w:t>лись танки Т-34, вооруженные 57-мм пушкой ЗИС-4, которые именова</w:t>
      </w:r>
      <w:r w:rsidRPr="00271E51">
        <w:rPr>
          <w:rFonts w:ascii="Times New Roman" w:hAnsi="Times New Roman"/>
          <w:color w:val="000000" w:themeColor="text1"/>
          <w:sz w:val="16"/>
          <w:szCs w:val="16"/>
        </w:rPr>
        <w:softHyphen/>
        <w:t>лись как Т-34-57. Перевооружение машин на пушку ЗИС-4 производи</w:t>
      </w:r>
      <w:r w:rsidRPr="00271E51">
        <w:rPr>
          <w:rFonts w:ascii="Times New Roman" w:hAnsi="Times New Roman"/>
          <w:color w:val="000000" w:themeColor="text1"/>
          <w:sz w:val="16"/>
          <w:szCs w:val="16"/>
        </w:rPr>
        <w:softHyphen/>
        <w:t>лось на ремонтных базах путем перестволения пушек Ф-34, вышедших из строя по боевым повреждениям, и отсутствия таковых в запасах ре</w:t>
      </w:r>
      <w:r w:rsidRPr="00271E51">
        <w:rPr>
          <w:rFonts w:ascii="Times New Roman" w:hAnsi="Times New Roman"/>
          <w:color w:val="000000" w:themeColor="text1"/>
          <w:sz w:val="16"/>
          <w:szCs w:val="16"/>
        </w:rPr>
        <w:softHyphen/>
        <w:t>монтных органов. От 76,2-мм пушки Ф-34 57-мм пушка ЗИС-4 отлича</w:t>
      </w:r>
      <w:r w:rsidRPr="00271E51">
        <w:rPr>
          <w:rFonts w:ascii="Times New Roman" w:hAnsi="Times New Roman"/>
          <w:color w:val="000000" w:themeColor="text1"/>
          <w:sz w:val="16"/>
          <w:szCs w:val="16"/>
        </w:rPr>
        <w:softHyphen/>
        <w:t>лась, главным образом, трубой ствола и расположением противовеса на люльке пушки. Длина ствола составляла 74 калибра (10703).</w:t>
      </w:r>
    </w:p>
    <w:p w14:paraId="7A5BD0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6032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 августе 1943 г. серийное производство 57-мм пушек под маркой ЗИС-4М было возобновлено (10703).</w:t>
      </w:r>
    </w:p>
    <w:p w14:paraId="188587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B55C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w:t>
      </w:r>
      <w:r w:rsidRPr="00271E51">
        <w:rPr>
          <w:rFonts w:ascii="Times New Roman" w:hAnsi="Times New Roman"/>
          <w:color w:val="000000" w:themeColor="text1"/>
          <w:sz w:val="16"/>
          <w:szCs w:val="16"/>
        </w:rPr>
        <w:softHyphen/>
        <w:t>ле - августе 1943 года успешно прошли испытания па ГАНИОПе четыре опытных образца Т-34 с пушкой ЗИС-4М, который был разработан в КБ-520 завода № 183 в Нижнем Тагиле под руководством главного конструктора А.А. Моро</w:t>
      </w:r>
      <w:r w:rsidRPr="00271E51">
        <w:rPr>
          <w:rFonts w:ascii="Times New Roman" w:hAnsi="Times New Roman"/>
          <w:color w:val="000000" w:themeColor="text1"/>
          <w:sz w:val="16"/>
          <w:szCs w:val="16"/>
        </w:rPr>
        <w:softHyphen/>
        <w:t>зова, но в связи с широко развернувшейся к тому времени работой но созданию более мощных 85-мм танковых пушек, дальнейшие работы по 57-мм пушкам ЗИС-4М были прекращены. На вооружение танк Т-34 с пушкой ЗИС-4М пе принимался и в серийном производстве не состоял. С 15 ав</w:t>
      </w:r>
      <w:r w:rsidRPr="00271E51">
        <w:rPr>
          <w:rFonts w:ascii="Times New Roman" w:hAnsi="Times New Roman"/>
          <w:color w:val="000000" w:themeColor="text1"/>
          <w:sz w:val="16"/>
          <w:szCs w:val="16"/>
        </w:rPr>
        <w:softHyphen/>
        <w:t>густа по 5 сентября 1943 г. три опытных танка прошли войсковые испы</w:t>
      </w:r>
      <w:r w:rsidRPr="00271E51">
        <w:rPr>
          <w:rFonts w:ascii="Times New Roman" w:hAnsi="Times New Roman"/>
          <w:color w:val="000000" w:themeColor="text1"/>
          <w:sz w:val="16"/>
          <w:szCs w:val="16"/>
        </w:rPr>
        <w:softHyphen/>
        <w:t>тания па фронте (10703).</w:t>
      </w:r>
    </w:p>
    <w:p w14:paraId="29B95A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707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июне - сентябре 1943 г. КБ завода № 100 в Челябинске под руководством Ж.Я. Котина была разработана Самоходная установка ИСУ-152. Ведущим конструктором машины был Г.Н. Москвин. При разработке установка имела заводское обозначение "Объект 241". Опытный образец машины был изготовлен в октябре 1943 г. В октяб</w:t>
      </w:r>
      <w:r w:rsidRPr="00271E51">
        <w:rPr>
          <w:rFonts w:ascii="Times New Roman" w:hAnsi="Times New Roman"/>
          <w:color w:val="000000" w:themeColor="text1"/>
          <w:sz w:val="16"/>
          <w:szCs w:val="16"/>
        </w:rPr>
        <w:softHyphen/>
        <w:t>ре — ноябре установка прошла заводские и полигонные испытания на НИБТ полигоне и Гороховецком АНИОПе и 6 ноября 1943 г. поста</w:t>
      </w:r>
      <w:r w:rsidRPr="00271E51">
        <w:rPr>
          <w:rFonts w:ascii="Times New Roman" w:hAnsi="Times New Roman"/>
          <w:color w:val="000000" w:themeColor="text1"/>
          <w:sz w:val="16"/>
          <w:szCs w:val="16"/>
        </w:rPr>
        <w:softHyphen/>
        <w:t>новлением ГКО была принята на вооружение. В декабре того же года на ЧКЗ началось серийное производство самоходной установки ИСУ-152, которое продолжалось до 1946 г. Всего с 1943 г по май 1945 г. включительно было выпущено 1885 самоходных установок ИСУ-152, которые широко применялись на фронтах Великой Отечественной войны на ее завершающем этапе. Простота конструкции и эксплуата</w:t>
      </w:r>
      <w:r w:rsidRPr="00271E51">
        <w:rPr>
          <w:rFonts w:ascii="Times New Roman" w:hAnsi="Times New Roman"/>
          <w:color w:val="000000" w:themeColor="text1"/>
          <w:sz w:val="16"/>
          <w:szCs w:val="16"/>
        </w:rPr>
        <w:softHyphen/>
        <w:t>ции способствовали быстрому освоению машины экипажами. В по</w:t>
      </w:r>
      <w:r w:rsidRPr="00271E51">
        <w:rPr>
          <w:rFonts w:ascii="Times New Roman" w:hAnsi="Times New Roman"/>
          <w:color w:val="000000" w:themeColor="text1"/>
          <w:sz w:val="16"/>
          <w:szCs w:val="16"/>
        </w:rPr>
        <w:softHyphen/>
        <w:t>слевоенный период ИСУ-152 была модернизирована, а ее шасси ис</w:t>
      </w:r>
      <w:r w:rsidRPr="00271E51">
        <w:rPr>
          <w:rFonts w:ascii="Times New Roman" w:hAnsi="Times New Roman"/>
          <w:color w:val="000000" w:themeColor="text1"/>
          <w:sz w:val="16"/>
          <w:szCs w:val="16"/>
        </w:rPr>
        <w:softHyphen/>
        <w:t>пользовалось при создании самоходных ракетных пусковых устано</w:t>
      </w:r>
      <w:r w:rsidRPr="00271E51">
        <w:rPr>
          <w:rFonts w:ascii="Times New Roman" w:hAnsi="Times New Roman"/>
          <w:color w:val="000000" w:themeColor="text1"/>
          <w:sz w:val="16"/>
          <w:szCs w:val="16"/>
        </w:rPr>
        <w:softHyphen/>
        <w:t>вок и тягачей - эвакуаторов (10703).</w:t>
      </w:r>
    </w:p>
    <w:p w14:paraId="4253A6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1EEB54" w14:textId="77777777" w:rsidR="00665ECA" w:rsidRPr="00271E51" w:rsidRDefault="00665ECA" w:rsidP="00271E51">
      <w:pPr>
        <w:pStyle w:val="a3"/>
        <w:rPr>
          <w:color w:val="000000" w:themeColor="text1"/>
          <w:lang w:val="ru-RU"/>
        </w:rPr>
      </w:pPr>
      <w:r w:rsidRPr="00271E51">
        <w:rPr>
          <w:color w:val="000000" w:themeColor="text1"/>
          <w:lang w:val="ru-RU"/>
        </w:rPr>
        <w:t>В течение июля — сентября 1943 года шло бурное обсуждение между НКТП и ЧКЗ технической документации по самоходной установке. Были изменены некоторые условия приемки самоходных установок. Согласно техническим условиям, каждая СУ-152 подвергалась кон</w:t>
      </w:r>
      <w:r w:rsidRPr="00271E51">
        <w:rPr>
          <w:color w:val="000000" w:themeColor="text1"/>
          <w:lang w:val="ru-RU"/>
        </w:rPr>
        <w:softHyphen/>
        <w:t>трольным испытаниям стрельбой — проводилось три выстрела усилен</w:t>
      </w:r>
      <w:r w:rsidRPr="00271E51">
        <w:rPr>
          <w:color w:val="000000" w:themeColor="text1"/>
          <w:lang w:val="ru-RU"/>
        </w:rPr>
        <w:softHyphen/>
        <w:t>ным зарядом. Поскольку за время производства с февраля по август 1943 года не было зафиксировано ни единого случая отказа при стрель</w:t>
      </w:r>
      <w:r w:rsidRPr="00271E51">
        <w:rPr>
          <w:color w:val="000000" w:themeColor="text1"/>
          <w:lang w:val="ru-RU"/>
        </w:rPr>
        <w:softHyphen/>
        <w:t>бах, 24 августа было принято решение о том, что контрольные стрель</w:t>
      </w:r>
      <w:r w:rsidRPr="00271E51">
        <w:rPr>
          <w:color w:val="000000" w:themeColor="text1"/>
          <w:lang w:val="ru-RU"/>
        </w:rPr>
        <w:softHyphen/>
        <w:t>бы будут впредь проводиться на каждой десятой машине.</w:t>
      </w:r>
    </w:p>
    <w:p w14:paraId="2336C0D2" w14:textId="77777777" w:rsidR="00665ECA" w:rsidRPr="00271E51" w:rsidRDefault="00665ECA" w:rsidP="00271E51">
      <w:pPr>
        <w:pStyle w:val="a3"/>
        <w:rPr>
          <w:color w:val="000000" w:themeColor="text1"/>
          <w:lang w:val="ru-RU"/>
        </w:rPr>
      </w:pPr>
      <w:r w:rsidRPr="00271E51">
        <w:rPr>
          <w:color w:val="000000" w:themeColor="text1"/>
          <w:lang w:val="ru-RU"/>
        </w:rPr>
        <w:t>В числе обсуждаемых пунктов были и переделки конструкции СУ-152:</w:t>
      </w:r>
    </w:p>
    <w:p w14:paraId="069000D3"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«1) Группа 06. Ввести кожух, защищающий арматуру маслобака при вынимании снарядов из гильз. Срок введения в производство 1.Х.43 г.</w:t>
      </w:r>
    </w:p>
    <w:p w14:paraId="5D7C4B88" w14:textId="77777777" w:rsidR="00665ECA" w:rsidRPr="00271E51" w:rsidRDefault="00665ECA" w:rsidP="00271E51">
      <w:pPr>
        <w:spacing w:after="0" w:line="240" w:lineRule="auto"/>
        <w:jc w:val="both"/>
        <w:rPr>
          <w:rStyle w:val="Bodytext145"/>
          <w:rFonts w:ascii="Times New Roman" w:hAnsi="Times New Roman"/>
          <w:iCs/>
          <w:color w:val="000000" w:themeColor="text1"/>
          <w:sz w:val="16"/>
          <w:szCs w:val="16"/>
        </w:rPr>
      </w:pPr>
      <w:r w:rsidRPr="00271E51">
        <w:rPr>
          <w:rStyle w:val="Bodytext145"/>
          <w:rFonts w:ascii="Times New Roman" w:hAnsi="Times New Roman"/>
          <w:iCs/>
          <w:color w:val="000000" w:themeColor="text1"/>
          <w:sz w:val="16"/>
          <w:szCs w:val="16"/>
        </w:rPr>
        <w:t>2) Группа 04. Указать в чертежах на топливные баки об антикорро</w:t>
      </w:r>
      <w:r w:rsidRPr="00271E51">
        <w:rPr>
          <w:rStyle w:val="Bodytext145"/>
          <w:rFonts w:ascii="Times New Roman" w:hAnsi="Times New Roman"/>
          <w:iCs/>
          <w:color w:val="000000" w:themeColor="text1"/>
          <w:sz w:val="16"/>
          <w:szCs w:val="16"/>
        </w:rPr>
        <w:softHyphen/>
        <w:t>зийном покрытии их внутренней поверхности после изготовления. Срок введения 1. IX. 43 г.</w:t>
      </w:r>
    </w:p>
    <w:p w14:paraId="046A990B" w14:textId="77777777" w:rsidR="00665ECA" w:rsidRPr="00271E51" w:rsidRDefault="00665ECA" w:rsidP="00271E51">
      <w:pPr>
        <w:pStyle w:val="Bodytext141"/>
        <w:shd w:val="clear" w:color="auto" w:fill="auto"/>
        <w:spacing w:line="240" w:lineRule="auto"/>
        <w:ind w:firstLine="0"/>
        <w:jc w:val="both"/>
        <w:rPr>
          <w:rStyle w:val="Bodytext145"/>
          <w:i w:val="0"/>
          <w:iCs w:val="0"/>
          <w:color w:val="000000" w:themeColor="text1"/>
          <w:sz w:val="16"/>
          <w:szCs w:val="16"/>
        </w:rPr>
      </w:pPr>
      <w:r w:rsidRPr="00271E51">
        <w:rPr>
          <w:rStyle w:val="Bodytext145"/>
          <w:i w:val="0"/>
          <w:iCs w:val="0"/>
          <w:color w:val="000000" w:themeColor="text1"/>
          <w:sz w:val="16"/>
          <w:szCs w:val="16"/>
        </w:rPr>
        <w:t>3) Группа 50. Убрать из поля зрения зеркальных приборов головки бол</w:t>
      </w:r>
      <w:r w:rsidRPr="00271E51">
        <w:rPr>
          <w:rStyle w:val="Bodytext145"/>
          <w:i w:val="0"/>
          <w:iCs w:val="0"/>
          <w:color w:val="000000" w:themeColor="text1"/>
          <w:sz w:val="16"/>
          <w:szCs w:val="16"/>
        </w:rPr>
        <w:softHyphen/>
        <w:t>тов крепления крыши боевого отделения, заменив их болтами впо- таи. Срок введения 15.9.43г.».</w:t>
      </w:r>
    </w:p>
    <w:p w14:paraId="087DFF69"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Опытные чертежи кожуха защиты маслобака были разработаны заводом к 5 сентября. Еще раньше, 30 августа, разрешили проблему с попаданием болтов крыши в поле зрения перископических прибо</w:t>
      </w:r>
      <w:r w:rsidRPr="00271E51">
        <w:rPr>
          <w:i w:val="0"/>
          <w:color w:val="000000" w:themeColor="text1"/>
          <w:sz w:val="16"/>
          <w:szCs w:val="16"/>
        </w:rPr>
        <w:softHyphen/>
        <w:t>ров наблюдения. Вместо установки болтов впотай их просто сместили в стороны. Что же касается антикоррозийной обработки баков, то ЧКЗ от этого пункта отказался, мотивировав тем, что случаев выходов их из строя по причине коррозии не наблюдалось (17484),</w:t>
      </w:r>
    </w:p>
    <w:p w14:paraId="64BC0C66"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1D349A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июля 1943 г. по фе</w:t>
      </w:r>
      <w:r w:rsidRPr="00271E51">
        <w:rPr>
          <w:rFonts w:ascii="Times New Roman" w:hAnsi="Times New Roman"/>
          <w:color w:val="000000" w:themeColor="text1"/>
          <w:sz w:val="16"/>
          <w:szCs w:val="16"/>
        </w:rPr>
        <w:softHyphen/>
        <w:t>враль 1944 г. был разработан по инициативе конструкторского бюро ЧКЗ с целью создания нового тяжелого тапка, значительно пре</w:t>
      </w:r>
      <w:r w:rsidRPr="00271E51">
        <w:rPr>
          <w:rFonts w:ascii="Times New Roman" w:hAnsi="Times New Roman"/>
          <w:color w:val="000000" w:themeColor="text1"/>
          <w:sz w:val="16"/>
          <w:szCs w:val="16"/>
        </w:rPr>
        <w:softHyphen/>
        <w:t>восходящего по основным боевым свойствам немецкие тяжелые танки Т-У "Пантера" и Т-У1 "Тигр" танк Объект 701. К проектированию танка, которое велось под руководством и при личном участии Л.Н. Духова, Л.С. Троянова и М.Ф. Балжи, были привлечены конструкторские группы из МВТУ им. Баумана и ЦАКБ НКВ (10703).</w:t>
      </w:r>
    </w:p>
    <w:p w14:paraId="060B39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4CF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прошли сравнительные испытания Су-122III и трех вариантов Су-85. Су-122III с гаубицей Д-6 появилась в результате доработки разработанного в марте-июне 1943 в КБ Уралмашзавода - улучшенного варианта Су-122 - Су-122М с новым 122-мм орудием Д-11 завода 9. Результаты испытания стрельбой Су-122 признали неудовлетворительными (4406).</w:t>
      </w:r>
    </w:p>
    <w:p w14:paraId="6E97A7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044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года машина СУ-85-11 успешно прошла заводские и государственные испытания на Гороховецком АНИОПе. Установка СУ-85 была принята на вооружение с августа 1943 г. Серийное производство было организовано в августе 1943 г. и продолжалось до сентября 1944 г. Всего было выпущено 2339 установок, которые предназначались для унич немецких тяжелых танков "Тигр" на дальностях стрельбы 500 м (10703).</w:t>
      </w:r>
    </w:p>
    <w:p w14:paraId="4A32BD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8A94B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A778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1FD9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w:t>
      </w:r>
      <w:r w:rsidRPr="00271E51">
        <w:rPr>
          <w:rFonts w:ascii="Times New Roman" w:hAnsi="Times New Roman"/>
          <w:color w:val="000000" w:themeColor="text1"/>
          <w:sz w:val="16"/>
          <w:szCs w:val="16"/>
        </w:rPr>
        <w:softHyphen/>
        <w:t>ле — августе 1943 г. на основании результатов полигонных испытаний и боевого опыта применения противотанковых «илов» в НИИ ВВС были разработаны «Указания по боевому применению самолета Ил-2 АМ-38ф, вооруженного пушками 37 мм». Эти «Указания...» являлись временными и предназнача</w:t>
      </w:r>
      <w:r w:rsidRPr="00271E51">
        <w:rPr>
          <w:rFonts w:ascii="Times New Roman" w:hAnsi="Times New Roman"/>
          <w:color w:val="000000" w:themeColor="text1"/>
          <w:sz w:val="16"/>
          <w:szCs w:val="16"/>
        </w:rPr>
        <w:softHyphen/>
        <w:t>лись для «руководства и проверки при проведении войсковых испытаний».</w:t>
      </w:r>
    </w:p>
    <w:p w14:paraId="3BD6D6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стрельбы по наземным целям предлагались две основ</w:t>
      </w:r>
      <w:r w:rsidRPr="00271E51">
        <w:rPr>
          <w:rFonts w:ascii="Times New Roman" w:hAnsi="Times New Roman"/>
          <w:color w:val="000000" w:themeColor="text1"/>
          <w:sz w:val="16"/>
          <w:szCs w:val="16"/>
        </w:rPr>
        <w:softHyphen/>
        <w:t>ные схемы атаки: с пикирования под углом 20—30° с высоты 500—600 м и с планирования под углом 5—10° с высоты 100—150 м сзади или сбоку по направлению движения танков. Дистанция открытия огня во всех случаях не должна была пре</w:t>
      </w:r>
      <w:r w:rsidRPr="00271E51">
        <w:rPr>
          <w:rFonts w:ascii="Times New Roman" w:hAnsi="Times New Roman"/>
          <w:color w:val="000000" w:themeColor="text1"/>
          <w:sz w:val="16"/>
          <w:szCs w:val="16"/>
        </w:rPr>
        <w:softHyphen/>
        <w:t>вышать 400—600 м. Прицеливаться следовало только по отдель</w:t>
      </w:r>
      <w:r w:rsidRPr="00271E51">
        <w:rPr>
          <w:rFonts w:ascii="Times New Roman" w:hAnsi="Times New Roman"/>
          <w:color w:val="000000" w:themeColor="text1"/>
          <w:sz w:val="16"/>
          <w:szCs w:val="16"/>
        </w:rPr>
        <w:softHyphen/>
        <w:t>ному танку вне зависимости от их числа.</w:t>
      </w:r>
    </w:p>
    <w:p w14:paraId="3BFF86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Основной боевой единицей противотанковых Ил-2 явля</w:t>
      </w:r>
      <w:r w:rsidRPr="00271E51">
        <w:rPr>
          <w:rFonts w:ascii="Times New Roman" w:hAnsi="Times New Roman"/>
          <w:color w:val="000000" w:themeColor="text1"/>
          <w:sz w:val="16"/>
          <w:szCs w:val="16"/>
        </w:rPr>
        <w:softHyphen/>
        <w:t>лась группа 6—9 самолетов. Считалось, что такая группа обла</w:t>
      </w:r>
      <w:r w:rsidRPr="00271E51">
        <w:rPr>
          <w:rFonts w:ascii="Times New Roman" w:hAnsi="Times New Roman"/>
          <w:color w:val="000000" w:themeColor="text1"/>
          <w:sz w:val="16"/>
          <w:szCs w:val="16"/>
        </w:rPr>
        <w:softHyphen/>
        <w:t>дает достаточной силой удара и в то же время достаточно гибка для управления в 'воздухе. Группы могли быть однородными или смешанными, то есть с пушками НС-37 и ВЯ-23. При этом ведущим в паре обязательно должен быть самолет с пуш</w:t>
      </w:r>
      <w:r w:rsidRPr="00271E51">
        <w:rPr>
          <w:rFonts w:ascii="Times New Roman" w:hAnsi="Times New Roman"/>
          <w:color w:val="000000" w:themeColor="text1"/>
          <w:sz w:val="16"/>
          <w:szCs w:val="16"/>
        </w:rPr>
        <w:softHyphen/>
        <w:t>ками НС-37, а ведомым — с пушками ВЯ-23. В задачу ведомых входило подавление огневых средств ПВО танковых колонн, мест скопления танков и т.д., а при отражении атак истребите</w:t>
      </w:r>
      <w:r w:rsidRPr="00271E51">
        <w:rPr>
          <w:rFonts w:ascii="Times New Roman" w:hAnsi="Times New Roman"/>
          <w:color w:val="000000" w:themeColor="text1"/>
          <w:sz w:val="16"/>
          <w:szCs w:val="16"/>
        </w:rPr>
        <w:softHyphen/>
        <w:t>лей противника ведение с ними воздушного боя, прикрывая остальные самолеты из состава группы. Истребительное при</w:t>
      </w:r>
      <w:r w:rsidRPr="00271E51">
        <w:rPr>
          <w:rFonts w:ascii="Times New Roman" w:hAnsi="Times New Roman"/>
          <w:color w:val="000000" w:themeColor="text1"/>
          <w:sz w:val="16"/>
          <w:szCs w:val="16"/>
        </w:rPr>
        <w:softHyphen/>
        <w:t>крытие групп Ил-2 с пушками НС-37 должно быть более силь</w:t>
      </w:r>
      <w:r w:rsidRPr="00271E51">
        <w:rPr>
          <w:rFonts w:ascii="Times New Roman" w:hAnsi="Times New Roman"/>
          <w:color w:val="000000" w:themeColor="text1"/>
          <w:sz w:val="16"/>
          <w:szCs w:val="16"/>
        </w:rPr>
        <w:softHyphen/>
        <w:t>ным в сравнении с общепринятыми нормами.</w:t>
      </w:r>
    </w:p>
    <w:p w14:paraId="54E739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несмотря на спешку, выполнить программу поставок противотанковых Ил-2 и переучить на них летный состав к началу операций летней кампании не удалось. К нача</w:t>
      </w:r>
      <w:r w:rsidRPr="00271E51">
        <w:rPr>
          <w:rFonts w:ascii="Times New Roman" w:hAnsi="Times New Roman"/>
          <w:color w:val="000000" w:themeColor="text1"/>
          <w:sz w:val="16"/>
          <w:szCs w:val="16"/>
        </w:rPr>
        <w:softHyphen/>
        <w:t>лу Курской битвы в авиачастях не было ни одного Ил-2 с НС-37. Однако незадолго до этого удалось завезти большое ко</w:t>
      </w:r>
      <w:r w:rsidRPr="00271E51">
        <w:rPr>
          <w:rFonts w:ascii="Times New Roman" w:hAnsi="Times New Roman"/>
          <w:color w:val="000000" w:themeColor="text1"/>
          <w:sz w:val="16"/>
          <w:szCs w:val="16"/>
        </w:rPr>
        <w:softHyphen/>
        <w:t>личество ПТАБ-2,5-1,5 (11474,340).</w:t>
      </w:r>
    </w:p>
    <w:p w14:paraId="4585F3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623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 по февраль 1944 г. в 233-й и 311-й шад 70 летчиков Ил-2, получивших ранения, получили их в голову, шею и верхнюю часть туловища (11921).</w:t>
      </w:r>
    </w:p>
    <w:p w14:paraId="1DFF5C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943D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года по январь 1945-го Войско Польское получило 118 танков Т-34, главным образом с завода "Красное Сормово" и ремонтных предприятий. На момент окончания боевых действий в Европе в различных польских воинских частях (1-й танковой бригаде. Офицерской танковой школе, 3-м учебном танковом полку и др.) имелось 62 танка этого типа. Некоторое количество этих машин переоборудовали в БРЭМ и эксплуатировали еще в 50-х годах (3862).</w:t>
      </w:r>
    </w:p>
    <w:p w14:paraId="19FFCF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Красной Армии и Народного Войска Польского в период Второй мировой войны танки Т-34 состояли на вооружении Народно-освободительной армии Югославии (НОАЮ) и Чехословацкого корпуса (3862).</w:t>
      </w:r>
    </w:p>
    <w:p w14:paraId="05C700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Указать точное количество танков, полученных НОАЮ и Чехословацким корпусом, не представляется возможным. По-видимому, речь может идти о нескольких десятках единиц (3862).</w:t>
      </w:r>
    </w:p>
    <w:p w14:paraId="3E596A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Трофейные танки Т-34 в ограниченном количестве использовались в вермахте. В частности, во время наступления под Курском летом 1943 года в моторизованной дивизии СС "Рейх" имелось 25 "тридцатьчетверок". На части из них немцы установили свои командирские башенки. Помимо этого, некоторые Т-34 были переделаны немцами в ЗСУ и эвакуационные машины (3862).</w:t>
      </w:r>
    </w:p>
    <w:p w14:paraId="0756C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финской армии число танков Т-34 не превышало 9 единиц, 7 из которых эксплуатировались до 1960 года (3862).</w:t>
      </w:r>
    </w:p>
    <w:p w14:paraId="27C107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Незначительное количество Т-34 использовалось в частях венгерской и румынской армий, а также в Русской освободительной армии генерала А.А.Власова (3862).</w:t>
      </w:r>
    </w:p>
    <w:p w14:paraId="3338A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50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июля 1943 по июнь 1945 г. Вооруженные силы Польши получили 578 танков, из них 446 "тридцатьчетверок" (3905).</w:t>
      </w:r>
    </w:p>
    <w:p w14:paraId="6FB3F9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278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1943 года в танковом парке двух фронтов "тридцатьчетверки" составляли уже 62% и вынесли на себе основную тяжесть жесточайших танковых сражений на Курской дуге, в том числе и знаменитого Прохоровского (3862).</w:t>
      </w:r>
    </w:p>
    <w:p w14:paraId="364730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AE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в ходе Белгородско-Харьковской операции аэрофоторазведкой вскрыта оборона противника на глубину до 10 км на всем участке фронта, данные фотографирования послужили основой для издания карт с нанесенной обстановкой, альбома карт инженерных сооружений противника и альбома артиллерийских целей, все эти материалы доведены до войск, для фотографирования применялись спаренные и строенные установки (8983).</w:t>
      </w:r>
    </w:p>
    <w:p w14:paraId="5CB82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6C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июле-августе 1943 года в ходе Миусской операции при подготовке операции только разведчиками сфотографирована площадь в 34773 км2, для детального изучения </w:t>
      </w:r>
      <w:r w:rsidRPr="00271E51">
        <w:rPr>
          <w:rFonts w:ascii="Times New Roman" w:hAnsi="Times New Roman"/>
          <w:color w:val="000000" w:themeColor="text1"/>
          <w:sz w:val="16"/>
          <w:szCs w:val="16"/>
        </w:rPr>
        <w:lastRenderedPageBreak/>
        <w:t>инженерных сооружений противника привлекались истребители, которые фотографировали отдельные участки обороны с высот 1200-2400 м в крупном масштабе, велось систематическое фотонаблюдение за железнодорожными станциями, аэродромами, портами, отдельные из них за время операции фотографировались до 35-70 раз, до войск доводились фотосхемы обороны и репродукции с них, до авиации - репродукции с фотосхем объектов. подлежащих боевому воздействию (8983).</w:t>
      </w:r>
    </w:p>
    <w:p w14:paraId="530B0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95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июль-август 1943 г. боевые потери танковых соединений и частей Центрального фронта от бомбоштурмовых ударов немецкой авиации составили 187 выведенных из строя танков и САУ всех типов, или 6,3% всех потерь. Исходя из имеющейся статистики распределения боевых потерь, можно предположить, что из этого числа примерно 70 танков составили безвозвратные потери (9084).</w:t>
      </w:r>
    </w:p>
    <w:p w14:paraId="57ED9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6761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1D06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4CF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со 2-й половины 1943 г. авиация противника резко снизила число налетов на объекты глубокого тыла, но усилила атаки по ж/д коммуникациям прифронтовой полосы (75,5% общего количества бомб, сброшенных на объекты тыла прифронтовых районов) (9453).</w:t>
      </w:r>
    </w:p>
    <w:p w14:paraId="15290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B7CF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956E2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FEA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августу 1943 г. удалось укомплектовать "сто седьмыми" несколько истребителей Як. В ходе испытаний в ЛИИ НКАП семь моторов наработали чуть более 84 ч. Пять из них пришлось снять с самолетов по разным причинам, шестой сгорел вместе с истребителем. Только один двигатель благополучно отработал на самолете 34 ч. Среди главных причин, не позволяющих эксплуатировать самолеты, называлась течь воды из уплотнений цилиндров, разрушение шатунов, прогары поршней, а также тряска силовой установки (9025).</w:t>
      </w:r>
    </w:p>
    <w:p w14:paraId="0A482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25C3C"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4591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0F94BE" w14:textId="77777777" w:rsidR="00665ECA" w:rsidRPr="00271E51" w:rsidRDefault="00665ECA" w:rsidP="00271E51">
      <w:pPr>
        <w:pStyle w:val="a3"/>
        <w:rPr>
          <w:color w:val="000000" w:themeColor="text1"/>
          <w:lang w:val="ru-RU"/>
        </w:rPr>
      </w:pPr>
      <w:r w:rsidRPr="00271E51">
        <w:rPr>
          <w:color w:val="000000" w:themeColor="text1"/>
          <w:lang w:val="ru-RU"/>
        </w:rPr>
        <w:t>К августу 1943 по итогам эксплуатации в войсках был собран список изменений, который требовалось внести в конструкцию СУ-152. По</w:t>
      </w:r>
      <w:r w:rsidRPr="00271E51">
        <w:rPr>
          <w:color w:val="000000" w:themeColor="text1"/>
          <w:lang w:val="ru-RU"/>
        </w:rPr>
        <w:softHyphen/>
        <w:t>мимо этого, имели место недоработки, которые не были устране</w:t>
      </w:r>
      <w:r w:rsidRPr="00271E51">
        <w:rPr>
          <w:color w:val="000000" w:themeColor="text1"/>
          <w:lang w:val="ru-RU"/>
        </w:rPr>
        <w:softHyphen/>
        <w:t>ны еще с зимы 1943 года. Об одной из них 3 августа писал в Артком ГАУ начальник Главного бронетанкового управления Красной Армии Б.Г. Вершинин:</w:t>
      </w:r>
    </w:p>
    <w:p w14:paraId="62C9F7FD"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 xml:space="preserve">«Согласно решению Госкомиссии по испытанию опытного образца СУ-152от 6.2.43года Кировский завод и завод№172обязаны переместить коробку поворотного механизма системы </w:t>
      </w:r>
      <w:r w:rsidRPr="00271E51">
        <w:rPr>
          <w:rStyle w:val="Bodytext145"/>
          <w:i w:val="0"/>
          <w:iCs w:val="0"/>
          <w:color w:val="000000" w:themeColor="text1"/>
          <w:sz w:val="16"/>
          <w:szCs w:val="16"/>
          <w:lang w:val="en-US"/>
        </w:rPr>
        <w:t>MJI</w:t>
      </w:r>
      <w:r w:rsidRPr="00271E51">
        <w:rPr>
          <w:rStyle w:val="Bodytext145"/>
          <w:i w:val="0"/>
          <w:iCs w:val="0"/>
          <w:color w:val="000000" w:themeColor="text1"/>
          <w:sz w:val="16"/>
          <w:szCs w:val="16"/>
        </w:rPr>
        <w:t>-20</w:t>
      </w:r>
      <w:r w:rsidRPr="00271E51">
        <w:rPr>
          <w:rStyle w:val="Bodytext145"/>
          <w:i w:val="0"/>
          <w:iCs w:val="0"/>
          <w:color w:val="000000" w:themeColor="text1"/>
          <w:sz w:val="16"/>
          <w:szCs w:val="16"/>
          <w:lang w:val="en-US"/>
        </w:rPr>
        <w:t>C</w:t>
      </w:r>
      <w:r w:rsidRPr="00271E51">
        <w:rPr>
          <w:rStyle w:val="Bodytext145"/>
          <w:i w:val="0"/>
          <w:iCs w:val="0"/>
          <w:color w:val="000000" w:themeColor="text1"/>
          <w:sz w:val="16"/>
          <w:szCs w:val="16"/>
        </w:rPr>
        <w:t xml:space="preserve"> вправо с расчетом устранить имеющиеся неудобства и затруднения в работе водителя.</w:t>
      </w:r>
    </w:p>
    <w:p w14:paraId="793BA33C"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Со времени этого решения прошло 6 месяцев, но ни Кировский завод, ни завод №172 его не выполнили.</w:t>
      </w:r>
    </w:p>
    <w:p w14:paraId="7FF23E70"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Более того, выполнение данной работы заводом №172 в части, отно</w:t>
      </w:r>
      <w:r w:rsidRPr="00271E51">
        <w:rPr>
          <w:rStyle w:val="Bodytext145"/>
          <w:i w:val="0"/>
          <w:iCs w:val="0"/>
          <w:color w:val="000000" w:themeColor="text1"/>
          <w:sz w:val="16"/>
          <w:szCs w:val="16"/>
        </w:rPr>
        <w:softHyphen/>
        <w:t xml:space="preserve">сящейся к поворотному механизму гаубицы </w:t>
      </w:r>
      <w:r w:rsidRPr="00271E51">
        <w:rPr>
          <w:rStyle w:val="Bodytext145"/>
          <w:i w:val="0"/>
          <w:iCs w:val="0"/>
          <w:color w:val="000000" w:themeColor="text1"/>
          <w:sz w:val="16"/>
          <w:szCs w:val="16"/>
          <w:lang w:val="en-US"/>
        </w:rPr>
        <w:t>MJI</w:t>
      </w:r>
      <w:r w:rsidRPr="00271E51">
        <w:rPr>
          <w:rStyle w:val="Bodytext145"/>
          <w:i w:val="0"/>
          <w:iCs w:val="0"/>
          <w:color w:val="000000" w:themeColor="text1"/>
          <w:sz w:val="16"/>
          <w:szCs w:val="16"/>
        </w:rPr>
        <w:t>-20</w:t>
      </w:r>
      <w:r w:rsidRPr="00271E51">
        <w:rPr>
          <w:rStyle w:val="Bodytext145"/>
          <w:i w:val="0"/>
          <w:iCs w:val="0"/>
          <w:color w:val="000000" w:themeColor="text1"/>
          <w:sz w:val="16"/>
          <w:szCs w:val="16"/>
          <w:lang w:val="en-US"/>
        </w:rPr>
        <w:t>C</w:t>
      </w:r>
      <w:r w:rsidRPr="00271E51">
        <w:rPr>
          <w:rStyle w:val="Bodytext145"/>
          <w:i w:val="0"/>
          <w:iCs w:val="0"/>
          <w:color w:val="000000" w:themeColor="text1"/>
          <w:sz w:val="16"/>
          <w:szCs w:val="16"/>
        </w:rPr>
        <w:t>, как видно из письма Кировского завода за №2883 от 24.7.43 года, затягивается и совместного решения Кировского завода и завода №172 в части введения необходимых конструктивных изменений не имеется.</w:t>
      </w:r>
    </w:p>
    <w:p w14:paraId="0B524275"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Style w:val="Bodytext145"/>
          <w:rFonts w:ascii="Times New Roman" w:hAnsi="Times New Roman"/>
          <w:iCs/>
          <w:color w:val="000000" w:themeColor="text1"/>
          <w:sz w:val="16"/>
          <w:szCs w:val="16"/>
        </w:rPr>
        <w:t>Считая создавшееся положение с устранением указанного дефекта в СУ-152 совершенно недопустимым, прошу Вас принять соответству</w:t>
      </w:r>
      <w:r w:rsidRPr="00271E51">
        <w:rPr>
          <w:rStyle w:val="Bodytext145"/>
          <w:rFonts w:ascii="Times New Roman" w:hAnsi="Times New Roman"/>
          <w:iCs/>
          <w:color w:val="000000" w:themeColor="text1"/>
          <w:sz w:val="16"/>
          <w:szCs w:val="16"/>
        </w:rPr>
        <w:softHyphen/>
        <w:t xml:space="preserve">ющие меры к введению необходимых изменений в поворотном механизме гаубицы </w:t>
      </w:r>
      <w:r w:rsidRPr="00271E51">
        <w:rPr>
          <w:rStyle w:val="Bodytext145"/>
          <w:rFonts w:ascii="Times New Roman" w:hAnsi="Times New Roman"/>
          <w:iCs/>
          <w:color w:val="000000" w:themeColor="text1"/>
          <w:sz w:val="16"/>
          <w:szCs w:val="16"/>
          <w:lang w:val="en-US"/>
        </w:rPr>
        <w:t>MJI</w:t>
      </w:r>
      <w:r w:rsidRPr="00271E51">
        <w:rPr>
          <w:rStyle w:val="Bodytext145"/>
          <w:rFonts w:ascii="Times New Roman" w:hAnsi="Times New Roman"/>
          <w:iCs/>
          <w:color w:val="000000" w:themeColor="text1"/>
          <w:sz w:val="16"/>
          <w:szCs w:val="16"/>
        </w:rPr>
        <w:t>-20</w:t>
      </w:r>
      <w:r w:rsidRPr="00271E51">
        <w:rPr>
          <w:rStyle w:val="Bodytext145"/>
          <w:rFonts w:ascii="Times New Roman" w:hAnsi="Times New Roman"/>
          <w:iCs/>
          <w:color w:val="000000" w:themeColor="text1"/>
          <w:sz w:val="16"/>
          <w:szCs w:val="16"/>
          <w:lang w:val="en-US"/>
        </w:rPr>
        <w:t>C</w:t>
      </w:r>
      <w:r w:rsidRPr="00271E51">
        <w:rPr>
          <w:rStyle w:val="Bodytext145"/>
          <w:rFonts w:ascii="Times New Roman" w:hAnsi="Times New Roman"/>
          <w:iCs/>
          <w:color w:val="000000" w:themeColor="text1"/>
          <w:sz w:val="16"/>
          <w:szCs w:val="16"/>
        </w:rPr>
        <w:t xml:space="preserve"> и срочно изготовить опытный образец такого меха</w:t>
      </w:r>
      <w:r w:rsidRPr="00271E51">
        <w:rPr>
          <w:rStyle w:val="Bodytext145"/>
          <w:rFonts w:ascii="Times New Roman" w:hAnsi="Times New Roman"/>
          <w:iCs/>
          <w:color w:val="000000" w:themeColor="text1"/>
          <w:sz w:val="16"/>
          <w:szCs w:val="16"/>
        </w:rPr>
        <w:softHyphen/>
        <w:t>низма.</w:t>
      </w:r>
    </w:p>
    <w:p w14:paraId="6DCC280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Директора Кировского завода тов. Зальцман прошу принять участие в улучшении расположения поворотного механизма орудия и в его измене</w:t>
      </w:r>
      <w:r w:rsidRPr="00271E51">
        <w:rPr>
          <w:rStyle w:val="Bodytext145"/>
          <w:i w:val="0"/>
          <w:iCs w:val="0"/>
          <w:color w:val="000000" w:themeColor="text1"/>
          <w:sz w:val="16"/>
          <w:szCs w:val="16"/>
        </w:rPr>
        <w:softHyphen/>
        <w:t>ниях и разработать соответствующие мероприятия по улучшению усло</w:t>
      </w:r>
      <w:r w:rsidRPr="00271E51">
        <w:rPr>
          <w:rStyle w:val="Bodytext145"/>
          <w:i w:val="0"/>
          <w:iCs w:val="0"/>
          <w:color w:val="000000" w:themeColor="text1"/>
          <w:sz w:val="16"/>
          <w:szCs w:val="16"/>
        </w:rPr>
        <w:softHyphen/>
        <w:t>вий работы водителя».</w:t>
      </w:r>
    </w:p>
    <w:p w14:paraId="4C2907E9" w14:textId="77777777" w:rsidR="00665ECA" w:rsidRPr="00271E51" w:rsidRDefault="00665ECA" w:rsidP="00271E51">
      <w:pPr>
        <w:pStyle w:val="a3"/>
        <w:rPr>
          <w:color w:val="000000" w:themeColor="text1"/>
          <w:lang w:val="ru-RU"/>
        </w:rPr>
      </w:pPr>
      <w:r w:rsidRPr="00271E51">
        <w:rPr>
          <w:color w:val="000000" w:themeColor="text1"/>
          <w:lang w:val="ru-RU"/>
        </w:rPr>
        <w:t>Письмо это, впрочем, особого эффекта не возымело. До конца вы</w:t>
      </w:r>
      <w:r w:rsidRPr="00271E51">
        <w:rPr>
          <w:color w:val="000000" w:themeColor="text1"/>
          <w:lang w:val="ru-RU"/>
        </w:rPr>
        <w:softHyphen/>
        <w:t xml:space="preserve">пуска СУ-152 продолжали оснащаться системами </w:t>
      </w:r>
      <w:r w:rsidRPr="00271E51">
        <w:rPr>
          <w:color w:val="000000" w:themeColor="text1"/>
        </w:rPr>
        <w:t>M</w:t>
      </w:r>
      <w:r w:rsidRPr="00271E51">
        <w:rPr>
          <w:color w:val="000000" w:themeColor="text1"/>
          <w:lang w:val="ru-RU"/>
        </w:rPr>
        <w:t>Л-20</w:t>
      </w:r>
      <w:r w:rsidRPr="00271E51">
        <w:rPr>
          <w:color w:val="000000" w:themeColor="text1"/>
        </w:rPr>
        <w:t>C</w:t>
      </w:r>
      <w:r w:rsidRPr="00271E51">
        <w:rPr>
          <w:color w:val="000000" w:themeColor="text1"/>
          <w:lang w:val="ru-RU"/>
        </w:rPr>
        <w:t xml:space="preserve"> со старой конструкцией механизма поворота, который на определенных углах упирался в правое плечо и спину механику-водителю. Механизм в ито</w:t>
      </w:r>
      <w:r w:rsidRPr="00271E51">
        <w:rPr>
          <w:color w:val="000000" w:themeColor="text1"/>
          <w:lang w:val="ru-RU"/>
        </w:rPr>
        <w:softHyphen/>
        <w:t>ге все же перенесли вправо, но произошло это уже при проектировании самоходной установки ИС-152 (ИСУ-152) (17484).</w:t>
      </w:r>
    </w:p>
    <w:p w14:paraId="5D214E49"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61C51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августу 1943 г. ЦНИИ-45 возоб</w:t>
      </w:r>
      <w:r w:rsidRPr="00271E51">
        <w:rPr>
          <w:rFonts w:ascii="Times New Roman" w:hAnsi="Times New Roman"/>
          <w:color w:val="000000" w:themeColor="text1"/>
          <w:sz w:val="16"/>
          <w:szCs w:val="16"/>
        </w:rPr>
        <w:softHyphen/>
        <w:t>новил экспериментальные работы в кавитационной трубе, а не</w:t>
      </w:r>
      <w:r w:rsidRPr="00271E51">
        <w:rPr>
          <w:rFonts w:ascii="Times New Roman" w:hAnsi="Times New Roman"/>
          <w:color w:val="000000" w:themeColor="text1"/>
          <w:sz w:val="16"/>
          <w:szCs w:val="16"/>
        </w:rPr>
        <w:softHyphen/>
        <w:t>сколько позже — и в опытовом бассейне (3898).</w:t>
      </w:r>
    </w:p>
    <w:p w14:paraId="61C7E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BA5C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2F3A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56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августу 1943 французскую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 "Нормандия"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EC88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14CA0" w14:textId="0E91EF92" w:rsidR="00136D32" w:rsidRPr="00271E51" w:rsidRDefault="00136D32"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3C0EB65F" w14:textId="77777777" w:rsidR="00136D32" w:rsidRPr="00271E51" w:rsidRDefault="00136D32"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FA07634" w14:textId="77777777" w:rsidR="00136D32" w:rsidRPr="00271E51" w:rsidRDefault="00136D32"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К началу августа 1943 зенитчики освоились с работой по крылатым ракетам Fi-103, да так приноровились, что сбивали до 80% летящих «Головастиков». Остальные ракеты не долетали до цели по причине отказа автопилота, сбивались истребителями или врезались в аэростаты. Среди истребителей наиболее успешными оказались поршневые Hawker Tempest, на счету одного полка которых числится 481 сбитая ракета. За весь период «Войны роботов» немцы запустили по Британии около 8000 крылатых ракет, 6000 пересекли Ла-Манш, больше половины из них удалось сбить, но около 2000 Fi-103 попали в свои цели. Они уничтожили 32000 домов, убили 6000 человек, 17000 человек было ранено (22878).</w:t>
      </w:r>
    </w:p>
    <w:p w14:paraId="19E36B48" w14:textId="77777777" w:rsidR="00136D32" w:rsidRPr="00271E51" w:rsidRDefault="00136D32" w:rsidP="00271E51">
      <w:pPr>
        <w:pStyle w:val="36"/>
        <w:shd w:val="clear" w:color="auto" w:fill="auto"/>
        <w:spacing w:after="0" w:line="240" w:lineRule="auto"/>
        <w:jc w:val="both"/>
        <w:rPr>
          <w:rFonts w:ascii="Times New Roman" w:cs="Times New Roman"/>
          <w:color w:val="0070C0"/>
          <w:spacing w:val="0"/>
          <w:sz w:val="16"/>
          <w:szCs w:val="16"/>
        </w:rPr>
      </w:pPr>
    </w:p>
    <w:p w14:paraId="2E3DE78D" w14:textId="3E2567DF"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7E8D8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C39D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августа 1943 удалось изготовить три комплекта нового крыла, из кото</w:t>
      </w:r>
      <w:r w:rsidRPr="00271E51">
        <w:rPr>
          <w:rFonts w:ascii="Times New Roman" w:hAnsi="Times New Roman"/>
          <w:color w:val="000000" w:themeColor="text1"/>
          <w:sz w:val="16"/>
          <w:szCs w:val="16"/>
        </w:rPr>
        <w:softHyphen/>
        <w:t>рых один комплект был установлен на серийный самолет Ил-2 (зав. № 6767), один - предназначался для установки на опытный самолет С-42, и третий ком</w:t>
      </w:r>
      <w:r w:rsidRPr="00271E51">
        <w:rPr>
          <w:rFonts w:ascii="Times New Roman" w:hAnsi="Times New Roman"/>
          <w:color w:val="000000" w:themeColor="text1"/>
          <w:sz w:val="16"/>
          <w:szCs w:val="16"/>
        </w:rPr>
        <w:softHyphen/>
        <w:t>плект предполагалось задействовать для проведения статиспытаний. Сильная загрузка СКО и опытного производства 18-го авиазавода рабо</w:t>
      </w:r>
      <w:r w:rsidRPr="00271E51">
        <w:rPr>
          <w:rFonts w:ascii="Times New Roman" w:hAnsi="Times New Roman"/>
          <w:color w:val="000000" w:themeColor="text1"/>
          <w:sz w:val="16"/>
          <w:szCs w:val="16"/>
        </w:rPr>
        <w:softHyphen/>
        <w:t>тами по перспективным машинам с бо</w:t>
      </w:r>
      <w:r w:rsidRPr="00271E51">
        <w:rPr>
          <w:rFonts w:ascii="Times New Roman" w:hAnsi="Times New Roman"/>
          <w:color w:val="000000" w:themeColor="text1"/>
          <w:sz w:val="16"/>
          <w:szCs w:val="16"/>
        </w:rPr>
        <w:softHyphen/>
        <w:t>лее мощным мотором АМ-42 (Ил-2М, Ил-1, С-42) не позволила выполнить при</w:t>
      </w:r>
      <w:r w:rsidRPr="00271E51">
        <w:rPr>
          <w:rFonts w:ascii="Times New Roman" w:hAnsi="Times New Roman"/>
          <w:color w:val="000000" w:themeColor="text1"/>
          <w:sz w:val="16"/>
          <w:szCs w:val="16"/>
        </w:rPr>
        <w:softHyphen/>
        <w:t>каз наркома в установленные сроки.</w:t>
      </w:r>
    </w:p>
    <w:p w14:paraId="1D6BB7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1-м и 30-м авиазаводах никаких работ по самолету С-38 не велось, по</w:t>
      </w:r>
      <w:r w:rsidRPr="00271E51">
        <w:rPr>
          <w:rFonts w:ascii="Times New Roman" w:hAnsi="Times New Roman"/>
          <w:color w:val="000000" w:themeColor="text1"/>
          <w:sz w:val="16"/>
          <w:szCs w:val="16"/>
        </w:rPr>
        <w:softHyphen/>
        <w:t xml:space="preserve">скольку </w:t>
      </w:r>
      <w:r w:rsidRPr="00271E51">
        <w:rPr>
          <w:rFonts w:ascii="Times New Roman" w:hAnsi="Times New Roman"/>
          <w:iCs/>
          <w:color w:val="000000" w:themeColor="text1"/>
          <w:sz w:val="16"/>
          <w:szCs w:val="16"/>
        </w:rPr>
        <w:t>«ведущий завод №18 до сих пор не спустил в производство чертежи отнесенных назад крыльев».</w:t>
      </w:r>
    </w:p>
    <w:p w14:paraId="486535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временем в ЛИИ НКАП практи</w:t>
      </w:r>
      <w:r w:rsidRPr="00271E51">
        <w:rPr>
          <w:rFonts w:ascii="Times New Roman" w:hAnsi="Times New Roman"/>
          <w:color w:val="000000" w:themeColor="text1"/>
          <w:sz w:val="16"/>
          <w:szCs w:val="16"/>
        </w:rPr>
        <w:softHyphen/>
        <w:t>чески была отработана установка на са</w:t>
      </w:r>
      <w:r w:rsidRPr="00271E51">
        <w:rPr>
          <w:rFonts w:ascii="Times New Roman" w:hAnsi="Times New Roman"/>
          <w:color w:val="000000" w:themeColor="text1"/>
          <w:sz w:val="16"/>
          <w:szCs w:val="16"/>
        </w:rPr>
        <w:softHyphen/>
        <w:t>молете Ил-2 в системе управления ру</w:t>
      </w:r>
      <w:r w:rsidRPr="00271E51">
        <w:rPr>
          <w:rFonts w:ascii="Times New Roman" w:hAnsi="Times New Roman"/>
          <w:color w:val="000000" w:themeColor="text1"/>
          <w:sz w:val="16"/>
          <w:szCs w:val="16"/>
        </w:rPr>
        <w:softHyphen/>
        <w:t>лем высоты амортизационной пружины и контрбалансира. Разработчиком этих устройств был будущий Главный конст</w:t>
      </w:r>
      <w:r w:rsidRPr="00271E51">
        <w:rPr>
          <w:rFonts w:ascii="Times New Roman" w:hAnsi="Times New Roman"/>
          <w:color w:val="000000" w:themeColor="text1"/>
          <w:sz w:val="16"/>
          <w:szCs w:val="16"/>
        </w:rPr>
        <w:softHyphen/>
        <w:t>руктор вертолетов М. Л. Миль, в то вре</w:t>
      </w:r>
      <w:r w:rsidRPr="00271E51">
        <w:rPr>
          <w:rFonts w:ascii="Times New Roman" w:hAnsi="Times New Roman"/>
          <w:color w:val="000000" w:themeColor="text1"/>
          <w:sz w:val="16"/>
          <w:szCs w:val="16"/>
        </w:rPr>
        <w:softHyphen/>
        <w:t>мя работавший в институте.</w:t>
      </w:r>
    </w:p>
    <w:p w14:paraId="6DAF74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Контрбалансир уравновешивал силы инерции, возникающие от весо</w:t>
      </w:r>
      <w:r w:rsidRPr="00271E51">
        <w:rPr>
          <w:rFonts w:ascii="Times New Roman" w:hAnsi="Times New Roman"/>
          <w:color w:val="000000" w:themeColor="text1"/>
          <w:sz w:val="16"/>
          <w:szCs w:val="16"/>
        </w:rPr>
        <w:softHyphen/>
        <w:t>вой компенсации руля высоты при кри</w:t>
      </w:r>
      <w:r w:rsidRPr="00271E51">
        <w:rPr>
          <w:rFonts w:ascii="Times New Roman" w:hAnsi="Times New Roman"/>
          <w:color w:val="000000" w:themeColor="text1"/>
          <w:sz w:val="16"/>
          <w:szCs w:val="16"/>
        </w:rPr>
        <w:softHyphen/>
        <w:t xml:space="preserve">волинейном полете. Амортизационная пружина повышала запас продольной устойчивости штурмовика при полете </w:t>
      </w:r>
      <w:r w:rsidRPr="00271E51">
        <w:rPr>
          <w:rFonts w:ascii="Times New Roman" w:hAnsi="Times New Roman"/>
          <w:iCs/>
          <w:color w:val="000000" w:themeColor="text1"/>
          <w:sz w:val="16"/>
          <w:szCs w:val="16"/>
        </w:rPr>
        <w:t xml:space="preserve">с </w:t>
      </w:r>
      <w:r w:rsidRPr="00271E51">
        <w:rPr>
          <w:rFonts w:ascii="Times New Roman" w:hAnsi="Times New Roman"/>
          <w:color w:val="000000" w:themeColor="text1"/>
          <w:sz w:val="16"/>
          <w:szCs w:val="16"/>
        </w:rPr>
        <w:t>брошенной ручкой управления - натя</w:t>
      </w:r>
      <w:r w:rsidRPr="00271E51">
        <w:rPr>
          <w:rFonts w:ascii="Times New Roman" w:hAnsi="Times New Roman"/>
          <w:color w:val="000000" w:themeColor="text1"/>
          <w:sz w:val="16"/>
          <w:szCs w:val="16"/>
        </w:rPr>
        <w:softHyphen/>
        <w:t>жение пружины создавало постоянно действующую силу, возвращающую руль высоты в исходное положение при изменении режима полета самолета под действием внешних сил.</w:t>
      </w:r>
    </w:p>
    <w:p w14:paraId="7F1920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Пилотирование Ил-2 упростилось. На виражах и пикировании самолет вел себя вполне устойчиво. С отрегулиро</w:t>
      </w:r>
      <w:r w:rsidRPr="00271E51">
        <w:rPr>
          <w:rFonts w:ascii="Times New Roman" w:hAnsi="Times New Roman"/>
          <w:color w:val="000000" w:themeColor="text1"/>
          <w:sz w:val="16"/>
          <w:szCs w:val="16"/>
        </w:rPr>
        <w:softHyphen/>
        <w:t>ванным триммером руля высоты по</w:t>
      </w:r>
      <w:r w:rsidRPr="00271E51">
        <w:rPr>
          <w:rFonts w:ascii="Times New Roman" w:hAnsi="Times New Roman"/>
          <w:color w:val="000000" w:themeColor="text1"/>
          <w:sz w:val="16"/>
          <w:szCs w:val="16"/>
        </w:rPr>
        <w:softHyphen/>
        <w:t>зволял полет в тихую погоду с брошен</w:t>
      </w:r>
      <w:r w:rsidRPr="00271E51">
        <w:rPr>
          <w:rFonts w:ascii="Times New Roman" w:hAnsi="Times New Roman"/>
          <w:color w:val="000000" w:themeColor="text1"/>
          <w:sz w:val="16"/>
          <w:szCs w:val="16"/>
        </w:rPr>
        <w:softHyphen/>
        <w:t>ной ручкой управления (11215).</w:t>
      </w:r>
    </w:p>
    <w:p w14:paraId="020DE3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E50C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директор завода 39 Абрамов направил А.И.Ш. телефонограмму в 6:30:</w:t>
      </w:r>
    </w:p>
    <w:p w14:paraId="13287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на самолете Ил-6 была произведена л В.К.К. рулежка</w:t>
      </w:r>
    </w:p>
    <w:p w14:paraId="12234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Выявлены след. дефекты:</w:t>
      </w:r>
    </w:p>
    <w:p w14:paraId="6F4858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 винтов бьет масло, представитель винтомоторного завода самовольно улетел</w:t>
      </w:r>
    </w:p>
    <w:p w14:paraId="4582C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Винты будут доводиться самим заводом 39</w:t>
      </w:r>
    </w:p>
    <w:p w14:paraId="4534E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Тормоза колес вяло реагируют и лопнула дюралевая трубка системы шасси</w:t>
      </w:r>
    </w:p>
    <w:p w14:paraId="189EBF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Трубка меняется на стальную. Колеса доводятся.</w:t>
      </w:r>
    </w:p>
    <w:p w14:paraId="1D20A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Ненормально работает костыльная установка на разворотах</w:t>
      </w:r>
    </w:p>
    <w:p w14:paraId="084E39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предложено устранить 2 августа 1943 (1768,258).</w:t>
      </w:r>
    </w:p>
    <w:p w14:paraId="3BF2B3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7BE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 1 августа 1943 завершили работу по увеличению высотности Як-9ПД с М-105ПД до 13000 м и установке гермокабины, начатые 12 июня 1943 (65,124).</w:t>
      </w:r>
    </w:p>
    <w:p w14:paraId="1D8D7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0699F"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2E0D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32A1A7"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года Малышев подписал приказ по НКТП №460с/085 о проведении полигонных испытаний Т-43. Правда, вместо НИБТ Полигона в Кубинке местом проведения испытаний выбрали Свердловск. В тот же день утвердили и программу испытаний. Машины проходили 2000 км, из них 500 — по каменистому грунту, 900 — по грунтовым и просёлочным дорогам, 600 — по целине, и 100 —на специспытаниях. Также требовалось безостановочно пройти 100 км по грунтовой дороге и 75 км по булыжному шоссе. Входили в программу и испытания вооружения (как артиллерийского, так и пулемётного) (18587).</w:t>
      </w:r>
    </w:p>
    <w:p w14:paraId="5C7045FA"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года начались испытания первого опытного образца Т-43. В ходе первого пробега танки прошли из Нижнего Тагила через Свердловск в Челябинск и обратно. Второй раз они прошли из Нижнего Тагила до Реж и обратно. В ходе испытаний первый образец Т-43 преодолел 2669 км, из них более 2200 за август 1943 года. Второй образец за период испытаний преодолел 1348 км. В ходе пробега средняя скорость по шоссе составила 26,1 км/ч, по просёлку — 20,2 км/ч, по местности — 18,6 км/ч (по данному показателю Т-43 оказался практически равен Т-34). Расход горючего на 100 км составил 203, 237 и 250 л соответственно. Это также оказалось очень близко к Т-34, но поскольку общий запас топлива у Т-43 составлял 318 л, а у Т-34 — 400 л, запас хода оказался ниже. Очень похожими оказались и условия езды: и Т-43, и Т-34 двигались по местности на третьей-четвёртой передачах.</w:t>
      </w:r>
    </w:p>
    <w:p w14:paraId="5A397E81"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Похожими оказались и результаты испытаний на преодоление препятствий. Максимальным углом преодолеваемого подъёма стали 31-33 градуса при длине до 10 м и при езде на первой передаче. Также отмечалось, что преодоление препятствий лимитируется мощностью двигателя (впрочем, это было равнозначно и для Т-34). Максимальным углом преодолеваемого косогора стали 27-28 градусов. Также испытатели рекомендовали ввести в конструкцию Т-43 горный тормоз, который имелся на Т-34. Отмечалось, что столь высокие результаты возможны благодаря езде в сухую погоду. Зная, как ведёт себя гусеница Т-34 на мокром бездорожье, комиссия рекомендовала поработать над повышением сцепления.</w:t>
      </w:r>
    </w:p>
    <w:p w14:paraId="6AB71046"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чём Т-43 явно превзошёл Т-34, так это в вооружении. Для начала, наличие торсионной подвески улучшило плавность хода, а вместе с ней и точность стрельбы. Положительным моментом стало и расширение погона до 1600 мм. В результате на испытаниях скорострельность выросла до 13 выстрелов в минуту (у Т-34 в тех же условиях она составила 10 выстрелов в минуту). Правда, имелись претензии к обслуживанию орудия ввиду не очень удачной конструкции бронировки, затруднявшей доступ к накатникам орудия. Не особо удачной признали крепление подвижной бронировки на 8 болтах, имелись претензии к электроспуску. Тем не менее огневые испытания, в ходе которых произвели 317 выстрелов, признали успешными.</w:t>
      </w:r>
    </w:p>
    <w:p w14:paraId="0BF83F79"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Высокой оценки удостоилась обзорность Т-43, при этом конструкцию командирской башенки всё же планировалось изменить (на ней предполагалось ввести 5 смотровых щелей). Довольно высокой оценки удостоились и места расчёта башни. При этом комиссия требовала добавить спинку на месте командира, кроме того, во время движения наблюдалось постепенное сползание наводчика влево. В случае с заряжающим отмечалось отсутствие сиденья и подножки, кроме того, он периодически задевал головой торсион люка.</w:t>
      </w:r>
    </w:p>
    <w:p w14:paraId="4DA7C9F7"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в случае с первым Т-43, набралось немало претензий к месту механика-водителя, хотя их оказалось меньше. Отмечалось, что места у механика-водителя меньше, чем в Т-34, имелись претензии к органам управления; недостатком назвали и меньшие, чем у Т-34, размеры люка. Имелись претензии и к надёжности машины. Многие из выявленных поломок являлись следствием «детских болезней», но имелся и нехороший звоночек в виде вышедших из строя резиновых бандажей опорных катков. Те же проблемы преследовали и Т-34, тем не менее отмечалось, что взятые от Т-34 катки перегружены — особенно это касалось 3-го, 4-го и 2-го опорных катков.</w:t>
      </w:r>
    </w:p>
    <w:p w14:paraId="38FBEDBC" w14:textId="77777777" w:rsidR="00AD6508" w:rsidRPr="00271E51" w:rsidRDefault="00AD65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выявленные недостатки, общая оценка испытаний, проходивших с 2 по 29 августа, оказалась положительной. Комиссия, которую возглавляли главный испытатель НИБТ Полигона Кульчицкий, а также главный конструктор КБ завода №183 Морозов, предлагала как можно скорее запустить Т-43 в серийное производство. Во многом выводы комиссии были верными, но время неумолимо шло и работало против Т-43 (18587).</w:t>
      </w:r>
    </w:p>
    <w:p w14:paraId="33DC1971" w14:textId="77777777" w:rsidR="00AD6508" w:rsidRPr="00271E51" w:rsidRDefault="00AD6508" w:rsidP="00271E51">
      <w:pPr>
        <w:spacing w:after="0" w:line="240" w:lineRule="auto"/>
        <w:jc w:val="both"/>
        <w:rPr>
          <w:rFonts w:ascii="Times New Roman" w:hAnsi="Times New Roman"/>
          <w:color w:val="000000" w:themeColor="text1"/>
          <w:sz w:val="16"/>
          <w:szCs w:val="16"/>
        </w:rPr>
      </w:pPr>
    </w:p>
    <w:p w14:paraId="1DC8DD38" w14:textId="77777777" w:rsidR="00BA7A65" w:rsidRPr="00271E51" w:rsidRDefault="00AD650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w:t>
      </w:r>
      <w:r w:rsidR="00BA7A65" w:rsidRPr="00271E51">
        <w:rPr>
          <w:rFonts w:ascii="Times New Roman" w:hAnsi="Times New Roman"/>
          <w:color w:val="000000" w:themeColor="text1"/>
          <w:sz w:val="16"/>
          <w:szCs w:val="16"/>
        </w:rPr>
        <w:t xml:space="preserve"> 1 августа 1943 г. началось серийное производство СУ-85 (по словам Л.И. Горлицкого, 1 августа началась фак</w:t>
      </w:r>
      <w:r w:rsidR="00BA7A65" w:rsidRPr="00271E51">
        <w:rPr>
          <w:rFonts w:ascii="Times New Roman" w:hAnsi="Times New Roman"/>
          <w:color w:val="000000" w:themeColor="text1"/>
          <w:sz w:val="16"/>
          <w:szCs w:val="16"/>
        </w:rPr>
        <w:softHyphen/>
        <w:t>тическая приемка СУ-85, а выпуск машин без вооружения велся на УЗТМ уже в июле). Первые факты боевого приме</w:t>
      </w:r>
      <w:r w:rsidR="00BA7A65" w:rsidRPr="00271E51">
        <w:rPr>
          <w:rFonts w:ascii="Times New Roman" w:hAnsi="Times New Roman"/>
          <w:color w:val="000000" w:themeColor="text1"/>
          <w:sz w:val="16"/>
          <w:szCs w:val="16"/>
        </w:rPr>
        <w:softHyphen/>
        <w:t>нения полка СУ-85 имели место в составе 2-го Украинского фронта в конце августа 1943 г., где они впервые вступили в бои с немцами в ходе борьбы за плацдармы на Днепре (11417).</w:t>
      </w:r>
    </w:p>
    <w:p w14:paraId="3DDB6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E5FE0" w14:textId="77777777" w:rsidR="00BA7A65" w:rsidRPr="00271E51" w:rsidRDefault="00BA7A65" w:rsidP="00271E51">
      <w:pPr>
        <w:pStyle w:val="a3"/>
        <w:rPr>
          <w:color w:val="000000" w:themeColor="text1"/>
          <w:lang w:val="ru-RU"/>
        </w:rPr>
      </w:pPr>
      <w:r w:rsidRPr="00271E51">
        <w:rPr>
          <w:color w:val="000000" w:themeColor="text1"/>
          <w:lang w:val="ru-RU"/>
        </w:rPr>
        <w:t>С 1 августа 1943 началось. серийное производство СУ-85 на УЗТМ/ И. Л. Горлицкий даже утверждал, что первые самоходки начали изготавливать уже в июле, но ещё без установки на них вооружения (Свирин М. Самоходки Сталина. История советской САУ1919-1945. С. 269). Возможно, он немного ошибся во времени, так как испытания самоходки с балластом вместо пушки Д-5 до поступления этого орудия (а значит и производство самих самоходок) были предусмотрены в приказе НКТП № 477сс от 9 августа (РГАЭ. Ф. 8752. Оп. 4. Д. 309. С. 162-160) (12290).</w:t>
      </w:r>
    </w:p>
    <w:p w14:paraId="4DB0DF3A" w14:textId="77777777" w:rsidR="00BA7A65" w:rsidRPr="00271E51" w:rsidRDefault="00BA7A65" w:rsidP="00271E51">
      <w:pPr>
        <w:pStyle w:val="a3"/>
        <w:rPr>
          <w:color w:val="000000" w:themeColor="text1"/>
          <w:lang w:val="ru-RU"/>
        </w:rPr>
      </w:pPr>
    </w:p>
    <w:p w14:paraId="15709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вышло Постановление ГКО № 3845 О внесении изменений в постановление ГКО № 2739 от 13 января 1943 года.РГАНИР, Фонд ГКО, д. 142, лл. 83 (11012).</w:t>
      </w:r>
    </w:p>
    <w:p w14:paraId="1CA476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33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Катеростроители ввели в строй за семь месяцев 1943 г, 14 ТК типа Д-3, 11 МО типа МО-4, 11 КТЩ типа КМ (10671).</w:t>
      </w:r>
    </w:p>
    <w:p w14:paraId="1A56A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69CB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206B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E023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в 1943 году оперативная сводка Совинформбюро:</w:t>
      </w:r>
    </w:p>
    <w:p w14:paraId="0826C5B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августа наши войска на Орловском направлении продолжали наступление, продвинулись от 8 до 12 километров, заняли свыше 100 населённых пунктов и среди них: северо-западнее, севернее и северо-восточнее Орла—Успенский, Чёрное, Злынь, Самарка, Кутьма, Пальчикова, Красная Каменка, Клеменово, Паслово (15 километров северо-восточнее Орла); южнее и юго-западнееОрла — Никулино (17 километров южнее Орла), Верхний и Нижний Путимец, Плоское, Плоты, Алексеевка, Гуторово, Яковлево, Надежда, Красниково.</w:t>
      </w:r>
    </w:p>
    <w:p w14:paraId="527C45B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поиски разведчиков.</w:t>
      </w:r>
    </w:p>
    <w:p w14:paraId="048A57F8"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продолжали успешно отбивать атаки дополнительно введённых в бой крупных сил пехоты и танков противника с большими для него потерями.</w:t>
      </w:r>
    </w:p>
    <w:p w14:paraId="4A5D6F3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районе севернее и восточнее Мга, проводились усиленные поиски разведчиков и интенсивная артиллерийско-миномётная перестрелка с обеих сторон.</w:t>
      </w:r>
    </w:p>
    <w:p w14:paraId="7D7FFAE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31 июля на всех фронтах наши войска подбили и уничтожили 70 немецких танков, из них 50 танков в районе Донбасса. В воздушных боях и огнём зенитной артиллерии сбито 97 самолётов противника.</w:t>
      </w:r>
    </w:p>
    <w:p w14:paraId="31C84D2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6C457D1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северо-западнее Орла наши войска продвигались вперёд и заняли более 40 населённых пунктов. Бойцы Н-ского соединения отразили девять контратак противника и уничтожили до 3. 000 немецких солдат и офицеров, уничтожили 28 орудий, 15 миномётов, 16 тягачей и более 160 автомашин. На другом участке наши подразделения захватили укреплённый пункт, уничтожив при этом две роты гитлеровцев, 6 танков и 3 самоходных орудия.</w:t>
      </w:r>
    </w:p>
    <w:p w14:paraId="40DD52C5"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Орла противник предпринял несколько безуспешных контратак. Отбрасывая немцев, наши части продвинулись вперед и заняли несколько населённых пунктов. Захвачены 15 орудий, 4 шестиствольных миномёта, радиостанция, много винтовок и боеприпасов.</w:t>
      </w:r>
    </w:p>
    <w:p w14:paraId="05BD210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Орла наши войска овладели рядом населённых пунктов. На одном участке советские сапёры за день разминировали 23 минных поля, обезвредив при этом свыше 4. 000 мин. На другом участке наши подразделения в трёх местах переправились через реку и разгромили два батальона немецкой пехоты.</w:t>
      </w:r>
    </w:p>
    <w:p w14:paraId="43A85AF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отражали атаки дополнительно введённых в бой крупных сил пехоты и танков противника. Советские части стойко выдерживают натиск противника и наносят ему большой урон. На одном участке наши бойцы отразили семь атак немцев. Противнику удалось ворваться в советские окопы. В ожесточённой схватке наши бойцы перебили всех гитлеровцев и восстановили положение. В этом бою подбито и уничтожено 50 немецких танков. На другом участке бойцы Н-ской части уничтожили до 1. 500 вражеских солдат и офицеров.</w:t>
      </w:r>
    </w:p>
    <w:p w14:paraId="2CB583C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53 немецких самолёта.</w:t>
      </w:r>
    </w:p>
    <w:p w14:paraId="4A8D33EC"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происходили поиски разведчиков. На одном участке противник предпринял несколько атак. Огнём из всех видов оружия немцы были отброшены на исходные позиции. В этих бесплодных атаках гитлеровцы потеряли несколько танков и 3 самоходных орудия. На поле боя подсчитано свыше 100 вражеских трупов. На другом участке наш разведывательный отряд ворвался в расположение противника, уничтожил 60 гитлеровцев и, захватив пленных, вернулся в свою часть.</w:t>
      </w:r>
    </w:p>
    <w:p w14:paraId="260DBB4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Ленинградском фронте наши разведывательные подразделения и снайперы уничтожили до 500 солдат и офицеров противника. Артиллерийским и минометным огнём разрушено 20 вражеских дзотов, 11 землянок, 8 наблюдательных пунктов и взорвано несколько складов с боеприпасами.</w:t>
      </w:r>
    </w:p>
    <w:p w14:paraId="77D664C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 подступах к Ленинграду наши лётчики сбили 5 немецких самолётов. Четвёрка наших самолётов под руководством младшего лейтенанта Торхова вчера успешно штурмовала танковую колонну противника. Прямыми попаданиями бомб, сброшенных лётчиками Торховым, Сокольниковым, Патриным и Цветковым, уничтожено11 немецких танков.</w:t>
      </w:r>
    </w:p>
    <w:p w14:paraId="76E48219"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Калининском фронте подразделение Н-ской части после артиллерийского на лётана вражеские позиции ворвалось в траншеи противника. Советские бойцы уничтожили до роты гитлеровцев и овладели опорным пунктом немцев. Захвачены 6 пулемётов, много винтовок и склад боеприпасов.</w:t>
      </w:r>
    </w:p>
    <w:p w14:paraId="376003A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Разведка партизанского отряда, действующего в одном из районов Киевской области, 13 июля донесла, что со станции Н. вышел немецкий воинский поезд. Партизаны скрытно подошли к железной дороге, сняли часовых и за несколько минут до подхода поезда заминировали железнодорожное полотно. Вражеский поезд наскочилна мины и полетел под откос. Разбиты паровоз и 10 классных вагонов с солдатами и офицерами противника. Местные жители сообщили, что в результате крушения убито и ранено свыше 200 гитлеровцев. Движение поездов на этом участке было приостановлено на 40 часов. Группа партизан другого киевского отряда пустила под откос эшелон противника. Разбито 25 платформ с танками и автомашинами.</w:t>
      </w:r>
    </w:p>
    <w:p w14:paraId="7977E56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3 роты 27 полка 19 немецкой танковой дивизии обер-лейтенант Пауль Зонтаг рассказал: «Последние события на советско-германском фронте озадачили многих немецких солдат и офицеров. В июле 1943 года немецкая армия потерпела одно из самых тяжёлых поражений за всё время войны. Потери в людях и технике ещё никогда не были так велики, как в июле. За четыре дня боёв 27 полк из 65 танков потерял 40. Но есть и другие потери, которые не поддаются учёту. Речь идёт о том, что моральное состояние немецких солдат непрерывно ухудшается. Солдаты с нескрываемой тревогой спрашивают: «Что же будет с нами дальше?». Они чувствуют, что дело идёт к катастрофе для всей немецкой армии на Восточном фронте» (14970).</w:t>
      </w:r>
    </w:p>
    <w:p w14:paraId="07A920FA"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7E62C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в 1-й гвардейской Сталинградской иад и 273-ю иад 6-го иак (16 ВА, Центральный фронт), где проходили войсковые испытания Як-9Т не вернулся из полета на разведку противника самолет № 0140 (157-й иап), выполнявший 22 боевой вылет . В тот день четыре "яка" атаковали 30 FW-190. В завязавшемся бою самолет потеряли из виду и судьба его до сих пор не установлена (12046).</w:t>
      </w:r>
    </w:p>
    <w:p w14:paraId="2E9B9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6423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состоялась единственная поездка Сталина в район фронта (4962).</w:t>
      </w:r>
    </w:p>
    <w:p w14:paraId="5F46485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51F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погибла Л.Литвяк (2990) и никто из однополчан этого даже не заметил по 437 иап. Погибла в 22, сбив 11 самолетов (3431).</w:t>
      </w:r>
    </w:p>
    <w:p w14:paraId="30D95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C33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 августа 1943 немцы применили новую тактику против По-2 на Кубани. Взщаимодействие прожектористов и истребителей. Первые ловили, вторые сбивали. Пржекторы тух ли и ждали следующего, зная, что идут с интервалом 3-5 минут. Женский полк потерял 4 машины и 8 чел. и всех сбил обер-фельдфебель А.Коцек (8689,32).</w:t>
      </w:r>
    </w:p>
    <w:p w14:paraId="354F2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4E5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 23 августа 1943 (в первые сутки дважды) л 1-го ГМТАП Разгонин и Шаманов пытались бросать торпеды по судам в Рижском заливе и Ирбенском проливе, но подтверждения их успехам нет. То же можно сказать об атаке Колесника в районе Утё 26 августа. На сегодняшний день подтвержден только доклад командира 3-й эскадрильи капитана Г.Д.Васильева, торпедировавшего на выходе их шхер в районе Турку 23 августа финский пароход «Гераклес» (5103 брт). Судно получило серьезные повреждения в носовой части, но в конечном итоге было отбуксировано в порт (9965).</w:t>
      </w:r>
    </w:p>
    <w:p w14:paraId="7D620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D136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два Р-10 и четыре Ил-2 23-го ШАП нанесли удар по немецким катерам и баржам в районе банки Железинская, потопив одну из них. В тот же день в районе мыса Ачуев группа Р-10 атаковала 6 катеров и 10 барж. Потопили 1 баржу и повредили катер. Позднее самолеты полка совместно с береговой артиллерией уничтожили катер и 2 сейнера, повредили баржу (11456).</w:t>
      </w:r>
    </w:p>
    <w:p w14:paraId="08FE633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230CD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 1943: German withdrawal from the Orel area. Increasingly heavy fighting continues on Sicily, with some of the most fierce fighting for the Island thus far taking place (3819).</w:t>
      </w:r>
    </w:p>
    <w:p w14:paraId="45507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F2C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немцы оставили район Орла (3819).</w:t>
      </w:r>
    </w:p>
    <w:p w14:paraId="31C05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CD27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2D43C7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51D4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США, Англия и СССР предостерегли правительства нейтральных стран против предоставления убежища военным преступникам (2262).</w:t>
      </w:r>
    </w:p>
    <w:p w14:paraId="0A533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0382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4A482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4A6AE14" w14:textId="77777777" w:rsidR="00B875DB" w:rsidRPr="00271E51" w:rsidRDefault="00B875D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августа 1943 48 немецких самолетов совершают внезапную атаку на корабли в гавани Палермо, Сицилия, сбросив 60 больших бомб и потопив грузовой корабль (20376).</w:t>
      </w:r>
    </w:p>
    <w:p w14:paraId="0970F69B" w14:textId="77777777" w:rsidR="00B875DB" w:rsidRPr="00271E51" w:rsidRDefault="00B875DB" w:rsidP="00271E51">
      <w:pPr>
        <w:spacing w:after="0" w:line="240" w:lineRule="auto"/>
        <w:jc w:val="both"/>
        <w:rPr>
          <w:rFonts w:ascii="Times New Roman" w:hAnsi="Times New Roman"/>
          <w:color w:val="0070C0"/>
          <w:sz w:val="16"/>
          <w:szCs w:val="16"/>
        </w:rPr>
      </w:pPr>
    </w:p>
    <w:p w14:paraId="59F62CD2" w14:textId="77777777" w:rsidR="00B875DB" w:rsidRPr="00271E51" w:rsidRDefault="00B875D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августа 1943 во время авиашоу на Ламберт Филд в Сент-Луисе, штат Миссури, за которым наблюдали несколько тысяч человек, состоялась первая публичная демонстрация построенного в Сент-Луисе планера Waco CG-4 для перевозки войск и закончилась трагедией, когда планер - Waco CG -4A-RO 42-78839, построенный Robertson Aircraft Corporation - теряет правое крыло сразу после того, как его отпусти над аэродромом буксирующий самолет. Планер с двумя членами экипажа ВВС США , мэром Сент-Луиса Уильямом Д. Беккером , одним из основателей компании Robertson Aircraft и Lambert Field майором Уильямом Б. Робертсоном и шестью другими пассажирами разбивается, в результате чего все находящиеся на борту погибают. Причина аварии - выход из строя крепления стойки крыла (20376).</w:t>
      </w:r>
    </w:p>
    <w:p w14:paraId="54226714" w14:textId="77777777" w:rsidR="00B875DB" w:rsidRPr="00271E51" w:rsidRDefault="00B875DB" w:rsidP="00271E51">
      <w:pPr>
        <w:spacing w:after="0" w:line="240" w:lineRule="auto"/>
        <w:jc w:val="both"/>
        <w:rPr>
          <w:rFonts w:ascii="Times New Roman" w:hAnsi="Times New Roman"/>
          <w:color w:val="0070C0"/>
          <w:sz w:val="16"/>
          <w:szCs w:val="16"/>
        </w:rPr>
      </w:pPr>
    </w:p>
    <w:p w14:paraId="39A730D9"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августа 1943 вылетевшие из Ливии ВВС США B-24 Liberators атакуют нефтеперерабатывающие заводы Плоешти в Румынии (20376).</w:t>
      </w:r>
    </w:p>
    <w:p w14:paraId="5E09CF0B" w14:textId="77777777" w:rsidR="007F45FB" w:rsidRPr="00271E51" w:rsidRDefault="007F45FB" w:rsidP="00271E51">
      <w:pPr>
        <w:spacing w:after="0" w:line="240" w:lineRule="auto"/>
        <w:jc w:val="both"/>
        <w:rPr>
          <w:rFonts w:ascii="Times New Roman" w:hAnsi="Times New Roman"/>
          <w:color w:val="0070C0"/>
          <w:sz w:val="16"/>
          <w:szCs w:val="16"/>
        </w:rPr>
      </w:pPr>
    </w:p>
    <w:p w14:paraId="4D369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 1943 Mass, low-level American air raid is made on Ploesti, Romania (1037).</w:t>
      </w:r>
    </w:p>
    <w:p w14:paraId="41A42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2C23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американцы в ходе операции Tidewave на 175 В-24 с небольшой высоты бомбили нефтепромыслы в Плоешти. Летали из Бенгази, Ливия и назад вернулось 92 (1037;2246,4). Болгары пытались противостоять им, но В-24 обошли Софию на пути в Румынию, которую защищали Ме-109, и бомбардировщиков атаковали только 2 Авиа В-534, которые ничего не смогли сделать в ходе единственной атаки. На обратном пути, после того, как американцы потеряли в Румынии 56 машин, болгары на Ме-109G2 сбили еще 5, а 6, подбитый еще в Румынии, упал сам (2885,46).</w:t>
      </w:r>
    </w:p>
    <w:p w14:paraId="25664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789A5"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1 августа 1943 г. утром с аэродромов в районе Бенгази стартовали 178 бомбардировщиков В-24 «Либерейтор». Над Средиземным морем они выстроились и пошли к цели - румынскому нефтяному месторождению в Плоешти.</w:t>
      </w:r>
    </w:p>
    <w:p w14:paraId="13687029"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Каждый «Либерейтор» для преодоления маршрута в 3500 км (туда и обратно) с грузом бомб в 2 тонны имел на борту 9 тонн то</w:t>
      </w:r>
      <w:r w:rsidRPr="00271E51">
        <w:rPr>
          <w:rFonts w:ascii="Times New Roman" w:hAnsi="Times New Roman" w:cs="Times New Roman"/>
          <w:color w:val="000000" w:themeColor="text1"/>
          <w:spacing w:val="0"/>
          <w:sz w:val="16"/>
          <w:szCs w:val="16"/>
        </w:rPr>
        <w:softHyphen/>
        <w:t>плива. К цели это соединение должно было подойти ниже уровня, на котором их могли зафиксировать немец</w:t>
      </w:r>
      <w:r w:rsidRPr="00271E51">
        <w:rPr>
          <w:rFonts w:ascii="Times New Roman" w:hAnsi="Times New Roman" w:cs="Times New Roman"/>
          <w:color w:val="000000" w:themeColor="text1"/>
          <w:spacing w:val="0"/>
          <w:sz w:val="16"/>
          <w:szCs w:val="16"/>
        </w:rPr>
        <w:softHyphen/>
        <w:t>кие радары, практически над верхушками деревьев, что позволяло атаковать отдель</w:t>
      </w:r>
      <w:r w:rsidRPr="00271E51">
        <w:rPr>
          <w:rFonts w:ascii="Times New Roman" w:hAnsi="Times New Roman" w:cs="Times New Roman"/>
          <w:color w:val="000000" w:themeColor="text1"/>
          <w:spacing w:val="0"/>
          <w:sz w:val="16"/>
          <w:szCs w:val="16"/>
        </w:rPr>
        <w:softHyphen/>
        <w:t>ные нефтеочистительные предприятия с большой точностью.</w:t>
      </w:r>
    </w:p>
    <w:p w14:paraId="28A399FB"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Это был единственный в истории воз</w:t>
      </w:r>
      <w:r w:rsidRPr="00271E51">
        <w:rPr>
          <w:rFonts w:ascii="Times New Roman" w:hAnsi="Times New Roman" w:cs="Times New Roman"/>
          <w:color w:val="000000" w:themeColor="text1"/>
          <w:spacing w:val="0"/>
          <w:sz w:val="16"/>
          <w:szCs w:val="16"/>
        </w:rPr>
        <w:softHyphen/>
        <w:t>душных войн случай, когда дату налета определило расшифрованное радиосооб</w:t>
      </w:r>
      <w:r w:rsidRPr="00271E51">
        <w:rPr>
          <w:rFonts w:ascii="Times New Roman" w:hAnsi="Times New Roman" w:cs="Times New Roman"/>
          <w:color w:val="000000" w:themeColor="text1"/>
          <w:spacing w:val="0"/>
          <w:sz w:val="16"/>
          <w:szCs w:val="16"/>
        </w:rPr>
        <w:softHyphen/>
        <w:t>щение противника. В июле 1943 г. союз</w:t>
      </w:r>
      <w:r w:rsidRPr="00271E51">
        <w:rPr>
          <w:rFonts w:ascii="Times New Roman" w:hAnsi="Times New Roman" w:cs="Times New Roman"/>
          <w:color w:val="000000" w:themeColor="text1"/>
          <w:spacing w:val="0"/>
          <w:sz w:val="16"/>
          <w:szCs w:val="16"/>
        </w:rPr>
        <w:softHyphen/>
        <w:t>никам удалось расшифровать используе</w:t>
      </w:r>
      <w:r w:rsidRPr="00271E51">
        <w:rPr>
          <w:rFonts w:ascii="Times New Roman" w:hAnsi="Times New Roman" w:cs="Times New Roman"/>
          <w:color w:val="000000" w:themeColor="text1"/>
          <w:spacing w:val="0"/>
          <w:sz w:val="16"/>
          <w:szCs w:val="16"/>
        </w:rPr>
        <w:softHyphen/>
        <w:t>мый люфтваффе погодный код. Поскольку код менялся каждый месяц, то 1 августа было последним днем, когда можно было узнать погодные условия над Плоешти. Единственное, чего не знали те, кто пла</w:t>
      </w:r>
      <w:r w:rsidRPr="00271E51">
        <w:rPr>
          <w:rFonts w:ascii="Times New Roman" w:hAnsi="Times New Roman" w:cs="Times New Roman"/>
          <w:color w:val="000000" w:themeColor="text1"/>
          <w:spacing w:val="0"/>
          <w:sz w:val="16"/>
          <w:szCs w:val="16"/>
        </w:rPr>
        <w:softHyphen/>
        <w:t>нировал операцию по бомбардировке, было то, что ответственный за противово</w:t>
      </w:r>
      <w:r w:rsidRPr="00271E51">
        <w:rPr>
          <w:rFonts w:ascii="Times New Roman" w:hAnsi="Times New Roman" w:cs="Times New Roman"/>
          <w:color w:val="000000" w:themeColor="text1"/>
          <w:spacing w:val="0"/>
          <w:sz w:val="16"/>
          <w:szCs w:val="16"/>
        </w:rPr>
        <w:softHyphen/>
        <w:t>здушную оборону стратегически важного Плоешти генерал-лейтенант Герстенберг превратил его в самый хорошо защищен</w:t>
      </w:r>
      <w:r w:rsidRPr="00271E51">
        <w:rPr>
          <w:rFonts w:ascii="Times New Roman" w:hAnsi="Times New Roman" w:cs="Times New Roman"/>
          <w:color w:val="000000" w:themeColor="text1"/>
          <w:spacing w:val="0"/>
          <w:sz w:val="16"/>
          <w:szCs w:val="16"/>
        </w:rPr>
        <w:softHyphen/>
        <w:t>ный объект в Европе.</w:t>
      </w:r>
    </w:p>
    <w:p w14:paraId="2756F7CB"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Примерно через час после старта аме</w:t>
      </w:r>
      <w:r w:rsidRPr="00271E51">
        <w:rPr>
          <w:rFonts w:ascii="Times New Roman" w:hAnsi="Times New Roman" w:cs="Times New Roman"/>
          <w:color w:val="000000" w:themeColor="text1"/>
          <w:spacing w:val="0"/>
          <w:sz w:val="16"/>
          <w:szCs w:val="16"/>
        </w:rPr>
        <w:softHyphen/>
        <w:t>риканцев из Бенгази, противовоздушная оборона в Плоешти знала, что через Сре</w:t>
      </w:r>
      <w:r w:rsidRPr="00271E51">
        <w:rPr>
          <w:rFonts w:ascii="Times New Roman" w:hAnsi="Times New Roman" w:cs="Times New Roman"/>
          <w:color w:val="000000" w:themeColor="text1"/>
          <w:spacing w:val="0"/>
          <w:sz w:val="16"/>
          <w:szCs w:val="16"/>
        </w:rPr>
        <w:softHyphen/>
        <w:t>диземное море в северо-восточном направлении летит большое со</w:t>
      </w:r>
      <w:r w:rsidRPr="00271E51">
        <w:rPr>
          <w:rFonts w:ascii="Times New Roman" w:hAnsi="Times New Roman" w:cs="Times New Roman"/>
          <w:color w:val="000000" w:themeColor="text1"/>
          <w:spacing w:val="0"/>
          <w:sz w:val="16"/>
          <w:szCs w:val="16"/>
        </w:rPr>
        <w:softHyphen/>
        <w:t>единение бомбардировщиков. Немцы сумели также расшифровать радиосообщения ВВС союзников, которыми они информировали бомбардировщики по пути их следования, чтобы те по ошибке не попали под свой или чужой обстрел.</w:t>
      </w:r>
    </w:p>
    <w:p w14:paraId="4E6CF6C5"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lastRenderedPageBreak/>
        <w:t>За трехчасовой полет над Средиземным морем десять бом</w:t>
      </w:r>
      <w:r w:rsidRPr="00271E51">
        <w:rPr>
          <w:rFonts w:ascii="Times New Roman" w:hAnsi="Times New Roman" w:cs="Times New Roman"/>
          <w:color w:val="000000" w:themeColor="text1"/>
          <w:spacing w:val="0"/>
          <w:sz w:val="16"/>
          <w:szCs w:val="16"/>
        </w:rPr>
        <w:softHyphen/>
        <w:t>бардировщиков были вынуждены прервать полет из-за отказа двигателей. На подлете к албанскому берегу «Либерейтор», в котором находился главный штурман операции, вдруг повело, он перевернулся и рухнул в море. Машина с заместителем глав</w:t>
      </w:r>
      <w:r w:rsidRPr="00271E51">
        <w:rPr>
          <w:rFonts w:ascii="Times New Roman" w:hAnsi="Times New Roman" w:cs="Times New Roman"/>
          <w:color w:val="000000" w:themeColor="text1"/>
          <w:spacing w:val="0"/>
          <w:sz w:val="16"/>
          <w:szCs w:val="16"/>
        </w:rPr>
        <w:softHyphen/>
        <w:t>ного штурмана начала поиски тех, кто мог остаться в живых, но поиски результатов не принесли. А за это время была потеряна радиосвязь с остальным соединением, и самолет с заместителем главного штурмана вынужден был повернуть назад. Тогда ру</w:t>
      </w:r>
      <w:r w:rsidRPr="00271E51">
        <w:rPr>
          <w:rFonts w:ascii="Times New Roman" w:hAnsi="Times New Roman" w:cs="Times New Roman"/>
          <w:color w:val="000000" w:themeColor="text1"/>
          <w:spacing w:val="0"/>
          <w:sz w:val="16"/>
          <w:szCs w:val="16"/>
        </w:rPr>
        <w:softHyphen/>
        <w:t>ководство полетом взял на себя молодой и неопытный офицер бомбардировщика В-24 «</w:t>
      </w:r>
      <w:r w:rsidRPr="00271E51">
        <w:rPr>
          <w:rFonts w:ascii="Times New Roman" w:hAnsi="Times New Roman" w:cs="Times New Roman"/>
          <w:color w:val="000000" w:themeColor="text1"/>
          <w:spacing w:val="0"/>
          <w:sz w:val="16"/>
          <w:szCs w:val="16"/>
          <w:lang w:val="en-US"/>
        </w:rPr>
        <w:t>Brewery</w:t>
      </w:r>
      <w:r w:rsidRPr="00271E51">
        <w:rPr>
          <w:rFonts w:ascii="Times New Roman" w:hAnsi="Times New Roman" w:cs="Times New Roman"/>
          <w:color w:val="000000" w:themeColor="text1"/>
          <w:spacing w:val="0"/>
          <w:sz w:val="16"/>
          <w:szCs w:val="16"/>
        </w:rPr>
        <w:t xml:space="preserve"> </w:t>
      </w:r>
      <w:r w:rsidRPr="00271E51">
        <w:rPr>
          <w:rFonts w:ascii="Times New Roman" w:hAnsi="Times New Roman" w:cs="Times New Roman"/>
          <w:color w:val="000000" w:themeColor="text1"/>
          <w:spacing w:val="0"/>
          <w:sz w:val="16"/>
          <w:szCs w:val="16"/>
          <w:lang w:val="en-US"/>
        </w:rPr>
        <w:t>Wagon</w:t>
      </w:r>
      <w:r w:rsidRPr="00271E51">
        <w:rPr>
          <w:rFonts w:ascii="Times New Roman" w:hAnsi="Times New Roman" w:cs="Times New Roman"/>
          <w:color w:val="000000" w:themeColor="text1"/>
          <w:spacing w:val="0"/>
          <w:sz w:val="16"/>
          <w:szCs w:val="16"/>
        </w:rPr>
        <w:t>».</w:t>
      </w:r>
    </w:p>
    <w:p w14:paraId="4543BD1B"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Над Югославией соединение попало в плотную облачность. Обе передовые группы поднялись выше, чтобы перелететь облака. Остальные самолеты остались лететь на высоте вершин гор. В это время две первые группы попали под сильный попутный ветер, и, таким образом, расстоя</w:t>
      </w:r>
      <w:r w:rsidRPr="00271E51">
        <w:rPr>
          <w:rFonts w:ascii="Times New Roman" w:hAnsi="Times New Roman" w:cs="Times New Roman"/>
          <w:color w:val="000000" w:themeColor="text1"/>
          <w:spacing w:val="0"/>
          <w:sz w:val="16"/>
          <w:szCs w:val="16"/>
        </w:rPr>
        <w:softHyphen/>
        <w:t>ние между ними и остальными самолетами стало увеличиваться. К тому времени, как бомбардировщики перелетели горы и оказались в долине Дуная, их соединение было полностью расколото.</w:t>
      </w:r>
    </w:p>
    <w:p w14:paraId="52BA90F8" w14:textId="77777777" w:rsidR="00204180" w:rsidRPr="00271E51" w:rsidRDefault="002041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облегчения навигации в качестве контрольных пунктов были выбраны три города, которые оказались похожи друг на друга, и их идентификация из-за сильного тумана стала практически невозможной. Почти перед целью произошла трагическая ошибка: обе ведущие группы совершили неправильный поворот и вместо Плоешти ушли в сторону лежащего в 50 км Буха</w:t>
      </w:r>
      <w:r w:rsidRPr="00271E51">
        <w:rPr>
          <w:rFonts w:ascii="Times New Roman" w:hAnsi="Times New Roman"/>
          <w:color w:val="000000" w:themeColor="text1"/>
          <w:sz w:val="16"/>
          <w:szCs w:val="16"/>
        </w:rPr>
        <w:softHyphen/>
        <w:t>реста, где попали в зону плотного зенит</w:t>
      </w:r>
      <w:r w:rsidRPr="00271E51">
        <w:rPr>
          <w:rFonts w:ascii="Times New Roman" w:hAnsi="Times New Roman"/>
          <w:color w:val="000000" w:themeColor="text1"/>
          <w:sz w:val="16"/>
          <w:szCs w:val="16"/>
        </w:rPr>
        <w:softHyphen/>
        <w:t>ного огня</w:t>
      </w:r>
    </w:p>
    <w:p w14:paraId="5A5863F7"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После того как две первые группы заметили свою ошибку, они повернули в сторону Плоешти, но не с той стороны. Их новый курс вел их точно на свои же группы, оставшиеся за горами. Таким обра</w:t>
      </w:r>
      <w:r w:rsidRPr="00271E51">
        <w:rPr>
          <w:rFonts w:ascii="Times New Roman" w:hAnsi="Times New Roman" w:cs="Times New Roman"/>
          <w:color w:val="000000" w:themeColor="text1"/>
          <w:spacing w:val="0"/>
          <w:sz w:val="16"/>
          <w:szCs w:val="16"/>
        </w:rPr>
        <w:softHyphen/>
        <w:t>зом, над целью произошел настоящий хаос. К тому же американские бомбардировщики попали в плотный зенитный огонь со всех сторон. Машины бросало в стороны от ударов зенитных снарядов. Один под</w:t>
      </w:r>
      <w:r w:rsidRPr="00271E51">
        <w:rPr>
          <w:rFonts w:ascii="Times New Roman" w:hAnsi="Times New Roman" w:cs="Times New Roman"/>
          <w:color w:val="000000" w:themeColor="text1"/>
          <w:spacing w:val="0"/>
          <w:sz w:val="16"/>
          <w:szCs w:val="16"/>
        </w:rPr>
        <w:softHyphen/>
        <w:t>битый «Либерейтор» загорелся и упал на зенитную батарею, другой порвал кабель аэростата, затем загорелся под зенитным огнем, но все же дошел до цели и упал на нее. Многие самолеты падали на городские улицы. Один из них упал на городскую женскую тюрьму Плоешти, и многие заключенные погибли под ее руинами.</w:t>
      </w:r>
    </w:p>
    <w:p w14:paraId="0BFFEDD3"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В то время как несколько бомбардировочных групп рассеялось, чтобы найти свои цели, две другие стали собираться вместе. Они кружили над крышами домов, уклоняясь друг от друга, чтобы не столкнуться. И все это время их атаковали немецкие и румынские истребители. На крыле у одного «Либерейтора» болтался канат от аэростата, другой бомбардировщик сбил кирпичную трубу, еще один не сумел вовремя набрать высоту и врезался в цистерны с нефтью.</w:t>
      </w:r>
    </w:p>
    <w:p w14:paraId="74536B20"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Через 27 минут налет на Плоешти закончился. Затем уцелевшие «Либерейторы», кто группами, кто поодиночке, направились в Бен</w:t>
      </w:r>
      <w:r w:rsidRPr="00271E51">
        <w:rPr>
          <w:rFonts w:ascii="Times New Roman" w:hAnsi="Times New Roman" w:cs="Times New Roman"/>
          <w:color w:val="000000" w:themeColor="text1"/>
          <w:spacing w:val="0"/>
          <w:sz w:val="16"/>
          <w:szCs w:val="16"/>
        </w:rPr>
        <w:softHyphen/>
        <w:t>гази. Половина из них была повреждена, на борту у многих были убитые и раненые. Некоторые машины смогли сесть на островах в Средиземном море, занятых союзниками. Один самолет, совершив посадку на шоссе в горах на Кипре, столкнулся с грузовиком, другой кое-как дотянул до аэродрома на Сицилии и в конце посадочной полосы врезался в стоящие там американские самолеты. Два «Либе</w:t>
      </w:r>
      <w:r w:rsidRPr="00271E51">
        <w:rPr>
          <w:rFonts w:ascii="Times New Roman" w:hAnsi="Times New Roman" w:cs="Times New Roman"/>
          <w:color w:val="000000" w:themeColor="text1"/>
          <w:spacing w:val="0"/>
          <w:sz w:val="16"/>
          <w:szCs w:val="16"/>
        </w:rPr>
        <w:softHyphen/>
        <w:t>рейтора», у которых кончилось горючее, вынуждены были привод</w:t>
      </w:r>
      <w:r w:rsidRPr="00271E51">
        <w:rPr>
          <w:rFonts w:ascii="Times New Roman" w:hAnsi="Times New Roman" w:cs="Times New Roman"/>
          <w:color w:val="000000" w:themeColor="text1"/>
          <w:spacing w:val="0"/>
          <w:sz w:val="16"/>
          <w:szCs w:val="16"/>
        </w:rPr>
        <w:softHyphen/>
        <w:t>ниться, еще два столкнулись в небе над Болгарией.</w:t>
      </w:r>
    </w:p>
    <w:p w14:paraId="3F41A2A9"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Первые самолеты стали прибывать в Бенгази поздно вечером. Большинство пилотов были настолько измучены, что не могли сде</w:t>
      </w:r>
      <w:r w:rsidRPr="00271E51">
        <w:rPr>
          <w:rFonts w:ascii="Times New Roman" w:hAnsi="Times New Roman" w:cs="Times New Roman"/>
          <w:color w:val="000000" w:themeColor="text1"/>
          <w:spacing w:val="0"/>
          <w:sz w:val="16"/>
          <w:szCs w:val="16"/>
        </w:rPr>
        <w:softHyphen/>
        <w:t>лать доклада. Последний из приземлившихся В-24 провел в воздухе 16 часов. Из 178 самолетов в Бенгази вернулось только 88 машин, 54 были сбиты над Румынией, три - над морем, другие сами упали в море во время полета на операцию и обратно, семь самолетов сели в Турции. По американским данным в ходе того налета 310 членов экипажей погибли, 108 (спасшиеся на парашютах) попали в плен, 78 были интернированы в Турции, четверо оказались у югославских партизан. Румыны писали о том, что общие потери личного состава ВВС США в том налете составили почти 660 человек.</w:t>
      </w:r>
    </w:p>
    <w:p w14:paraId="540A06EF"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На эффективности этих и последующих налетов на Плоешти ска</w:t>
      </w:r>
      <w:r w:rsidRPr="00271E51">
        <w:rPr>
          <w:rFonts w:ascii="Times New Roman" w:hAnsi="Times New Roman" w:cs="Times New Roman"/>
          <w:color w:val="000000" w:themeColor="text1"/>
          <w:spacing w:val="0"/>
          <w:sz w:val="16"/>
          <w:szCs w:val="16"/>
        </w:rPr>
        <w:softHyphen/>
        <w:t>зались меры маскировки предприятия германским командованием. Дело в том, что германские инженеры построили три ложных Плое</w:t>
      </w:r>
      <w:r w:rsidRPr="00271E51">
        <w:rPr>
          <w:rFonts w:ascii="Times New Roman" w:hAnsi="Times New Roman" w:cs="Times New Roman"/>
          <w:color w:val="000000" w:themeColor="text1"/>
          <w:spacing w:val="0"/>
          <w:sz w:val="16"/>
          <w:szCs w:val="16"/>
        </w:rPr>
        <w:softHyphen/>
        <w:t>шти из картона, дерева и песка за счет румынских средств. Плоешти №1 располагался между селениями Кослежку и Албешти в 30 км юго-восточнее действительного Плоешти. Вся система улиц, нефтео</w:t>
      </w:r>
      <w:r w:rsidRPr="00271E51">
        <w:rPr>
          <w:rFonts w:ascii="Times New Roman" w:hAnsi="Times New Roman" w:cs="Times New Roman"/>
          <w:color w:val="000000" w:themeColor="text1"/>
          <w:spacing w:val="0"/>
          <w:sz w:val="16"/>
          <w:szCs w:val="16"/>
        </w:rPr>
        <w:softHyphen/>
        <w:t>чистительных и перегонных заводов и промышленных предприятий была выполнена в натуральную величину, но с уменьшением по</w:t>
      </w:r>
      <w:r w:rsidRPr="00271E51">
        <w:rPr>
          <w:rFonts w:ascii="Times New Roman" w:hAnsi="Times New Roman" w:cs="Times New Roman"/>
          <w:color w:val="000000" w:themeColor="text1"/>
          <w:spacing w:val="0"/>
          <w:sz w:val="16"/>
          <w:szCs w:val="16"/>
        </w:rPr>
        <w:softHyphen/>
        <w:t>строек по высоте.</w:t>
      </w:r>
    </w:p>
    <w:p w14:paraId="1FB8DAFD"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На «улицах», в районе «вокзала» и «предприятий» горели элек</w:t>
      </w:r>
      <w:r w:rsidRPr="00271E51">
        <w:rPr>
          <w:rFonts w:ascii="Times New Roman" w:hAnsi="Times New Roman" w:cs="Times New Roman"/>
          <w:color w:val="000000" w:themeColor="text1"/>
          <w:spacing w:val="0"/>
          <w:sz w:val="16"/>
          <w:szCs w:val="16"/>
        </w:rPr>
        <w:softHyphen/>
        <w:t>тролампы, расположенные с таким расчетом, чтобы их можно было заметить с воздуха. В районе ложных заводов были вырыты ямы диаметром, соответствующим действительным резервуарам, которые наполнялись неочищенной нефтью, загоравшейся от электрического контакта и тушившейся после налета специальной асбестовой крыш</w:t>
      </w:r>
      <w:r w:rsidRPr="00271E51">
        <w:rPr>
          <w:rFonts w:ascii="Times New Roman" w:hAnsi="Times New Roman" w:cs="Times New Roman"/>
          <w:color w:val="000000" w:themeColor="text1"/>
          <w:spacing w:val="0"/>
          <w:sz w:val="16"/>
          <w:szCs w:val="16"/>
        </w:rPr>
        <w:softHyphen/>
        <w:t>кой с помощью автоматического приспособления. Все электролампы соединялись с пультом управления, на котором работал специалист, подчиненный коменданту дивизии ПВО. Ложный город был обнесен колючей проволокой и доступ в него был запрещен всем, за исклю</w:t>
      </w:r>
      <w:r w:rsidRPr="00271E51">
        <w:rPr>
          <w:rFonts w:ascii="Times New Roman" w:hAnsi="Times New Roman" w:cs="Times New Roman"/>
          <w:color w:val="000000" w:themeColor="text1"/>
          <w:spacing w:val="0"/>
          <w:sz w:val="16"/>
          <w:szCs w:val="16"/>
        </w:rPr>
        <w:softHyphen/>
        <w:t>чением генерал-коменданта (командира дивизии ПВО), его началь</w:t>
      </w:r>
      <w:r w:rsidRPr="00271E51">
        <w:rPr>
          <w:rFonts w:ascii="Times New Roman" w:hAnsi="Times New Roman" w:cs="Times New Roman"/>
          <w:color w:val="000000" w:themeColor="text1"/>
          <w:spacing w:val="0"/>
          <w:sz w:val="16"/>
          <w:szCs w:val="16"/>
        </w:rPr>
        <w:softHyphen/>
        <w:t>ника штаба и офицеров связи между комендатурами района и диви</w:t>
      </w:r>
      <w:r w:rsidRPr="00271E51">
        <w:rPr>
          <w:rFonts w:ascii="Times New Roman" w:hAnsi="Times New Roman" w:cs="Times New Roman"/>
          <w:color w:val="000000" w:themeColor="text1"/>
          <w:spacing w:val="0"/>
          <w:sz w:val="16"/>
          <w:szCs w:val="16"/>
        </w:rPr>
        <w:softHyphen/>
        <w:t>зии ПВО. Вокруг ложного Плоешти располагались тяжелые и легкие зенитные орудия, мощные прожекторные нефтео</w:t>
      </w:r>
      <w:r w:rsidRPr="00271E51">
        <w:rPr>
          <w:rFonts w:ascii="Times New Roman" w:hAnsi="Times New Roman" w:cs="Times New Roman"/>
          <w:color w:val="000000" w:themeColor="text1"/>
          <w:spacing w:val="0"/>
          <w:sz w:val="16"/>
          <w:szCs w:val="16"/>
        </w:rPr>
        <w:softHyphen/>
        <w:t>чистительных и перегонных заводов и промышленных предприятий была выполнена в натуральную величину, но с уменьшением по</w:t>
      </w:r>
      <w:r w:rsidRPr="00271E51">
        <w:rPr>
          <w:rFonts w:ascii="Times New Roman" w:hAnsi="Times New Roman" w:cs="Times New Roman"/>
          <w:color w:val="000000" w:themeColor="text1"/>
          <w:spacing w:val="0"/>
          <w:sz w:val="16"/>
          <w:szCs w:val="16"/>
        </w:rPr>
        <w:softHyphen/>
        <w:t>строек по высоте.</w:t>
      </w:r>
    </w:p>
    <w:p w14:paraId="11B5DF6C"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На «улицах», в районе «вокзала» и «предприятий» горели элек</w:t>
      </w:r>
      <w:r w:rsidRPr="00271E51">
        <w:rPr>
          <w:rFonts w:ascii="Times New Roman" w:hAnsi="Times New Roman" w:cs="Times New Roman"/>
          <w:color w:val="000000" w:themeColor="text1"/>
          <w:spacing w:val="0"/>
          <w:sz w:val="16"/>
          <w:szCs w:val="16"/>
        </w:rPr>
        <w:softHyphen/>
        <w:t>тролампы, расположенные с таким расчетом, чтобы их можно было заметить с воздуха. В районе ложных заводов были вырыты ямы диаметром, соответствующим действительным резервуарам, которые наполнялись неочищенной нефтью, загоравшейся от электрического контакта и тушившейся после налета специальной асбестовой крыш</w:t>
      </w:r>
      <w:r w:rsidRPr="00271E51">
        <w:rPr>
          <w:rFonts w:ascii="Times New Roman" w:hAnsi="Times New Roman" w:cs="Times New Roman"/>
          <w:color w:val="000000" w:themeColor="text1"/>
          <w:spacing w:val="0"/>
          <w:sz w:val="16"/>
          <w:szCs w:val="16"/>
        </w:rPr>
        <w:softHyphen/>
        <w:t>кой с помощью автоматического приспособления. Все электролампы соединялись с пультом управления, на котором работал специалист, подчиненный коменданту дивизии ПВО. Ложный город был обнесен колючей проволокой и доступ в него был запрещен всем, за исклю</w:t>
      </w:r>
      <w:r w:rsidRPr="00271E51">
        <w:rPr>
          <w:rFonts w:ascii="Times New Roman" w:hAnsi="Times New Roman" w:cs="Times New Roman"/>
          <w:color w:val="000000" w:themeColor="text1"/>
          <w:spacing w:val="0"/>
          <w:sz w:val="16"/>
          <w:szCs w:val="16"/>
        </w:rPr>
        <w:softHyphen/>
        <w:t>чением генерал-коменданта (командира дивизии ПВО), его началь</w:t>
      </w:r>
      <w:r w:rsidRPr="00271E51">
        <w:rPr>
          <w:rFonts w:ascii="Times New Roman" w:hAnsi="Times New Roman" w:cs="Times New Roman"/>
          <w:color w:val="000000" w:themeColor="text1"/>
          <w:spacing w:val="0"/>
          <w:sz w:val="16"/>
          <w:szCs w:val="16"/>
        </w:rPr>
        <w:softHyphen/>
        <w:t>ника штаба и офицеров связи между комендатурами района и диви</w:t>
      </w:r>
      <w:r w:rsidRPr="00271E51">
        <w:rPr>
          <w:rFonts w:ascii="Times New Roman" w:hAnsi="Times New Roman" w:cs="Times New Roman"/>
          <w:color w:val="000000" w:themeColor="text1"/>
          <w:spacing w:val="0"/>
          <w:sz w:val="16"/>
          <w:szCs w:val="16"/>
        </w:rPr>
        <w:softHyphen/>
        <w:t>зии ПВО. Вокруг ложного Плоешти располагались тяжелые и легкие зенитные орудия, мощные прожекторные установки.</w:t>
      </w:r>
    </w:p>
    <w:p w14:paraId="0948FEF7"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271E51">
        <w:rPr>
          <w:rFonts w:ascii="Times New Roman" w:hAnsi="Times New Roman" w:cs="Times New Roman"/>
          <w:color w:val="000000" w:themeColor="text1"/>
          <w:spacing w:val="0"/>
          <w:sz w:val="16"/>
          <w:szCs w:val="16"/>
        </w:rPr>
        <w:t>Ложный Плоешти № 2 был построен в одном километре запад</w:t>
      </w:r>
      <w:r w:rsidRPr="00271E51">
        <w:rPr>
          <w:rFonts w:ascii="Times New Roman" w:hAnsi="Times New Roman" w:cs="Times New Roman"/>
          <w:color w:val="000000" w:themeColor="text1"/>
          <w:spacing w:val="0"/>
          <w:sz w:val="16"/>
          <w:szCs w:val="16"/>
        </w:rPr>
        <w:softHyphen/>
        <w:t>нее Чиорани (60 км юго-восточнее Плоешти). Ложный Плоешти № 3 находился в одном километре западнее Бретешани (7 км западнее Плоешти)» (19080).</w:t>
      </w:r>
    </w:p>
    <w:p w14:paraId="5069FD35" w14:textId="77777777" w:rsidR="00204180" w:rsidRPr="00271E51" w:rsidRDefault="00204180" w:rsidP="00271E51">
      <w:pPr>
        <w:pStyle w:val="102"/>
        <w:shd w:val="clear" w:color="auto" w:fill="auto"/>
        <w:spacing w:after="0" w:line="240" w:lineRule="auto"/>
        <w:jc w:val="both"/>
        <w:rPr>
          <w:rFonts w:ascii="Times New Roman" w:hAnsi="Times New Roman" w:cs="Times New Roman"/>
          <w:color w:val="000000" w:themeColor="text1"/>
          <w:spacing w:val="0"/>
          <w:sz w:val="16"/>
          <w:szCs w:val="16"/>
        </w:rPr>
      </w:pPr>
    </w:p>
    <w:p w14:paraId="0D23ABEE" w14:textId="77777777" w:rsidR="00204180" w:rsidRPr="00271E51" w:rsidRDefault="0020418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1 августа 1943 г. в 07 ч. 00 мин. с аэродромов в Ливии в районе Бенгази поднялось 170 бомбардировщиков В-24. Около полудня на экране немецкой РЛС </w:t>
      </w:r>
      <w:r w:rsidRPr="00271E51">
        <w:rPr>
          <w:rFonts w:ascii="Times New Roman" w:hAnsi="Times New Roman" w:cs="Times New Roman"/>
          <w:color w:val="000000" w:themeColor="text1"/>
          <w:sz w:val="16"/>
          <w:szCs w:val="16"/>
          <w:lang w:val="en-US"/>
        </w:rPr>
        <w:t>FuG</w:t>
      </w:r>
      <w:r w:rsidRPr="00271E51">
        <w:rPr>
          <w:rFonts w:ascii="Times New Roman" w:hAnsi="Times New Roman" w:cs="Times New Roman"/>
          <w:color w:val="000000" w:themeColor="text1"/>
          <w:sz w:val="16"/>
          <w:szCs w:val="16"/>
        </w:rPr>
        <w:t>65 «</w:t>
      </w:r>
      <w:r w:rsidRPr="00271E51">
        <w:rPr>
          <w:rFonts w:ascii="Times New Roman" w:hAnsi="Times New Roman" w:cs="Times New Roman"/>
          <w:color w:val="000000" w:themeColor="text1"/>
          <w:sz w:val="16"/>
          <w:szCs w:val="16"/>
          <w:lang w:val="en-US"/>
        </w:rPr>
        <w:t>Wurzburg</w:t>
      </w:r>
      <w:r w:rsidRPr="00271E51">
        <w:rPr>
          <w:rFonts w:ascii="Times New Roman" w:hAnsi="Times New Roman" w:cs="Times New Roman"/>
          <w:color w:val="000000" w:themeColor="text1"/>
          <w:sz w:val="16"/>
          <w:szCs w:val="16"/>
        </w:rPr>
        <w:t>-</w:t>
      </w:r>
      <w:r w:rsidRPr="00271E51">
        <w:rPr>
          <w:rFonts w:ascii="Times New Roman" w:hAnsi="Times New Roman" w:cs="Times New Roman"/>
          <w:color w:val="000000" w:themeColor="text1"/>
          <w:sz w:val="16"/>
          <w:szCs w:val="16"/>
          <w:lang w:val="en-US"/>
        </w:rPr>
        <w:t>Riese</w:t>
      </w:r>
      <w:r w:rsidRPr="00271E51">
        <w:rPr>
          <w:rFonts w:ascii="Times New Roman" w:hAnsi="Times New Roman" w:cs="Times New Roman"/>
          <w:color w:val="000000" w:themeColor="text1"/>
          <w:sz w:val="16"/>
          <w:szCs w:val="16"/>
        </w:rPr>
        <w:t>», установленной на горе Черни-Врых в 15 км южнее Софии, появились засветки от четырех групп вражеских самолетов. Болгарское командование решило, что янки собираются бомбить Софию.</w:t>
      </w:r>
    </w:p>
    <w:p w14:paraId="2C877C7D" w14:textId="77777777" w:rsidR="00204180" w:rsidRPr="00271E51" w:rsidRDefault="0020418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перехват В-24 с аэродромов Враждебна и Божуристе около Софии поднялись истребители «Авиа» В-534 из 612-й и 622-й эска</w:t>
      </w:r>
      <w:r w:rsidRPr="00271E51">
        <w:rPr>
          <w:rFonts w:ascii="Times New Roman" w:hAnsi="Times New Roman" w:cs="Times New Roman"/>
          <w:color w:val="000000" w:themeColor="text1"/>
          <w:sz w:val="16"/>
          <w:szCs w:val="16"/>
        </w:rPr>
        <w:softHyphen/>
        <w:t xml:space="preserve">дрилий 1-й авиагруппы, а с аэродрома Марнополе около города Карлово, в 118 км восточнее Софии - десять </w:t>
      </w:r>
      <w:r w:rsidRPr="00271E51">
        <w:rPr>
          <w:rFonts w:ascii="Times New Roman" w:hAnsi="Times New Roman" w:cs="Times New Roman"/>
          <w:color w:val="000000" w:themeColor="text1"/>
          <w:sz w:val="16"/>
          <w:szCs w:val="16"/>
          <w:lang w:val="en-US"/>
        </w:rPr>
        <w:t>BM</w:t>
      </w:r>
      <w:r w:rsidRPr="00271E51">
        <w:rPr>
          <w:rFonts w:ascii="Times New Roman" w:hAnsi="Times New Roman" w:cs="Times New Roman"/>
          <w:color w:val="000000" w:themeColor="text1"/>
          <w:sz w:val="16"/>
          <w:szCs w:val="16"/>
        </w:rPr>
        <w:t>09</w:t>
      </w:r>
      <w:r w:rsidRPr="00271E51">
        <w:rPr>
          <w:rFonts w:ascii="Times New Roman" w:hAnsi="Times New Roman" w:cs="Times New Roman"/>
          <w:color w:val="000000" w:themeColor="text1"/>
          <w:sz w:val="16"/>
          <w:szCs w:val="16"/>
          <w:lang w:val="en-US"/>
        </w:rPr>
        <w:t>G</w:t>
      </w:r>
      <w:r w:rsidRPr="00271E51">
        <w:rPr>
          <w:rFonts w:ascii="Times New Roman" w:hAnsi="Times New Roman" w:cs="Times New Roman"/>
          <w:color w:val="000000" w:themeColor="text1"/>
          <w:sz w:val="16"/>
          <w:szCs w:val="16"/>
        </w:rPr>
        <w:t>-2 из 3-й ави</w:t>
      </w:r>
      <w:r w:rsidRPr="00271E51">
        <w:rPr>
          <w:rFonts w:ascii="Times New Roman" w:hAnsi="Times New Roman" w:cs="Times New Roman"/>
          <w:color w:val="000000" w:themeColor="text1"/>
          <w:sz w:val="16"/>
          <w:szCs w:val="16"/>
        </w:rPr>
        <w:softHyphen/>
        <w:t>агруппы. Однако американские «Либерейторы» направлялись не к Софии, а на северо-восток в сторону румынской границы, так что болгарские истребители уже не могли их догнать.</w:t>
      </w:r>
    </w:p>
    <w:p w14:paraId="64BF95A2" w14:textId="77777777" w:rsidR="00204180" w:rsidRPr="00271E51" w:rsidRDefault="0020418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Спустя приблизительно два часа с наземных постов наблюде</w:t>
      </w:r>
      <w:r w:rsidRPr="00271E51">
        <w:rPr>
          <w:rFonts w:ascii="Times New Roman" w:hAnsi="Times New Roman" w:cs="Times New Roman"/>
          <w:color w:val="000000" w:themeColor="text1"/>
          <w:sz w:val="16"/>
          <w:szCs w:val="16"/>
        </w:rPr>
        <w:softHyphen/>
        <w:t>ния стали поступать сообщения о группах четырехмоторных само</w:t>
      </w:r>
      <w:r w:rsidRPr="00271E51">
        <w:rPr>
          <w:rFonts w:ascii="Times New Roman" w:hAnsi="Times New Roman" w:cs="Times New Roman"/>
          <w:color w:val="000000" w:themeColor="text1"/>
          <w:sz w:val="16"/>
          <w:szCs w:val="16"/>
        </w:rPr>
        <w:softHyphen/>
        <w:t>летов, снова появившихся над Болгарией. Это были В-24, возвра</w:t>
      </w:r>
      <w:r w:rsidRPr="00271E51">
        <w:rPr>
          <w:rFonts w:ascii="Times New Roman" w:hAnsi="Times New Roman" w:cs="Times New Roman"/>
          <w:color w:val="000000" w:themeColor="text1"/>
          <w:sz w:val="16"/>
          <w:szCs w:val="16"/>
        </w:rPr>
        <w:softHyphen/>
        <w:t>щавшиеся после налета на Плоешти, и в 15 ч. 00 мин. болгарские истребители снова поднялись в воздух.</w:t>
      </w:r>
    </w:p>
    <w:p w14:paraId="24DC59F8" w14:textId="77777777" w:rsidR="00204180" w:rsidRPr="00271E51" w:rsidRDefault="0020418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Несколько пилотов 1-й авиагруппы, спикировав с большой высоты, смогли приблизиться и обстрелять «Либерейторы». Один из бортстрелков «Либерейтора» позже писал: «Я от удивления потер глаза - что это была за война? Первая мировая? Это выглядело, как будто произошел сдвиг во времени. Внезапно появились эти маленькие бипланы, которые выглядели в общем и целом как старые </w:t>
      </w:r>
      <w:r w:rsidRPr="00271E51">
        <w:rPr>
          <w:rFonts w:ascii="Times New Roman" w:hAnsi="Times New Roman" w:cs="Times New Roman"/>
          <w:color w:val="000000" w:themeColor="text1"/>
          <w:sz w:val="16"/>
          <w:szCs w:val="16"/>
          <w:lang w:val="en-US"/>
        </w:rPr>
        <w:t>Curtiss</w:t>
      </w:r>
      <w:r w:rsidRPr="00271E51">
        <w:rPr>
          <w:rFonts w:ascii="Times New Roman" w:hAnsi="Times New Roman" w:cs="Times New Roman"/>
          <w:color w:val="000000" w:themeColor="text1"/>
          <w:sz w:val="16"/>
          <w:szCs w:val="16"/>
        </w:rPr>
        <w:t xml:space="preserve"> "</w:t>
      </w:r>
      <w:r w:rsidRPr="00271E51">
        <w:rPr>
          <w:rFonts w:ascii="Times New Roman" w:hAnsi="Times New Roman" w:cs="Times New Roman"/>
          <w:color w:val="000000" w:themeColor="text1"/>
          <w:sz w:val="16"/>
          <w:szCs w:val="16"/>
          <w:lang w:val="en-US"/>
        </w:rPr>
        <w:t>Hawk</w:t>
      </w:r>
      <w:r w:rsidRPr="00271E51">
        <w:rPr>
          <w:rFonts w:ascii="Times New Roman" w:hAnsi="Times New Roman" w:cs="Times New Roman"/>
          <w:color w:val="000000" w:themeColor="text1"/>
          <w:sz w:val="16"/>
          <w:szCs w:val="16"/>
        </w:rPr>
        <w:t>". Я был поражен, заметив, что они обстреляли нас, прежде чем снова исчезнуть».</w:t>
      </w:r>
    </w:p>
    <w:p w14:paraId="34744B12" w14:textId="77777777" w:rsidR="00204180" w:rsidRPr="00271E51" w:rsidRDefault="0020418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Зато летчики болгарских «мессершмиттов» все-таки сбили че</w:t>
      </w:r>
      <w:r w:rsidRPr="00271E51">
        <w:rPr>
          <w:rFonts w:ascii="Times New Roman" w:hAnsi="Times New Roman"/>
          <w:color w:val="000000" w:themeColor="text1"/>
          <w:sz w:val="16"/>
          <w:szCs w:val="16"/>
        </w:rPr>
        <w:softHyphen/>
        <w:t>тыре «Либерейтора», два из которых упали в районе сел Кокартжи и Каракаш около города Трын, еще один - в 30 км (19104)/</w:t>
      </w:r>
    </w:p>
    <w:p w14:paraId="6C70D26B" w14:textId="77777777" w:rsidR="00204180" w:rsidRPr="00271E51" w:rsidRDefault="00204180" w:rsidP="00271E51">
      <w:pPr>
        <w:spacing w:after="0" w:line="240" w:lineRule="auto"/>
        <w:jc w:val="both"/>
        <w:rPr>
          <w:rFonts w:ascii="Times New Roman" w:hAnsi="Times New Roman"/>
          <w:color w:val="000000" w:themeColor="text1"/>
          <w:sz w:val="16"/>
          <w:szCs w:val="16"/>
        </w:rPr>
      </w:pPr>
    </w:p>
    <w:p w14:paraId="3F454DC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американские самолеты разбомбили нефтяные месторождения в Плоешти (Румыния), лишив Германию трети источников нефти (4962).</w:t>
      </w:r>
    </w:p>
    <w:p w14:paraId="60C4BAC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D6F8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в 1943 году на Британских островах дислоцирована одна американская дивизия (14970).</w:t>
      </w:r>
    </w:p>
    <w:p w14:paraId="2DED7494"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099E0B1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в 1943 году Йозеф Геббельс призвал жителей Берлина переселяться в менее подверженные бомбардировкам области Германии. До конца года город покинуло 700 000 человек (14970).</w:t>
      </w:r>
    </w:p>
    <w:p w14:paraId="0F1C231C"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457BB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г Де Голь стал Президентом комитета Национальной обороны (2262).</w:t>
      </w:r>
    </w:p>
    <w:p w14:paraId="35B635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427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была провозглашена независимая Бирма под защитой Японии (3907,242).</w:t>
      </w:r>
    </w:p>
    <w:p w14:paraId="2DCCB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C775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1943 Япония предоставила независимость Бирме (4962).</w:t>
      </w:r>
    </w:p>
    <w:p w14:paraId="534B6D7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B464A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6860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E269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вышел приказ НКАП и командующего ВВС N 468с/0160:</w:t>
      </w:r>
    </w:p>
    <w:p w14:paraId="61FF96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"ОКБ-115 в Новосибирске построен самолет Як-9 с унифицированным фюзеляжем и пушечной установкой для всех модификаций самолетов Як-7 и Як-9.</w:t>
      </w:r>
    </w:p>
    <w:p w14:paraId="252C96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Данная модификация кроме упрощения производства позволяет на самолетах Як-9 производить в полевых условиях без каких-либо доработок замену пушечной установки МП-20 на 11П 37 мм и на Вя-23, что облегчает эксплуатацию этих самолетов.</w:t>
      </w:r>
    </w:p>
    <w:p w14:paraId="3AA384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целях проведения всесторонних испытаний унифицированного самолета Як-9 по определению ЛТ и эксп. качеств:</w:t>
      </w:r>
    </w:p>
    <w:p w14:paraId="2E187C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 НИИ ВВС провести испытания унифицированного самолета Як-9 с 25 августа 1943 (1738,213).</w:t>
      </w:r>
    </w:p>
    <w:p w14:paraId="7C721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58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 августа по 21 сентября 1943 два КОР-2 (Бе-4) №№ 28811 и 28812, которые в конце июля 1943 решили использовать для патрулирования в районе о Диксон и 11 ноября 1943 получили опозновательные знаки УПА СССР-Н330 (л В.В.Мальков) и СССР-Н331 (л М.В.Тейман), выполнили 12 боевых вылетов. Н330 налетал 35:15 и Н331 31:20. Летали с ПЛАБ-100. Боестолкновений - не было. Вылетели из Красноярска 2 августа и отбыли в Красноярск - 21 сентября (9079).</w:t>
      </w:r>
    </w:p>
    <w:p w14:paraId="72A4CB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24D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2 августа 1943 самолеты КОР-2 сзаводскими № 28811 и №28812, которые получили регистрационные опознава</w:t>
      </w:r>
      <w:r w:rsidRPr="00271E51">
        <w:rPr>
          <w:rFonts w:ascii="Times New Roman" w:hAnsi="Times New Roman"/>
          <w:color w:val="000000" w:themeColor="text1"/>
          <w:sz w:val="16"/>
          <w:szCs w:val="16"/>
        </w:rPr>
        <w:softHyphen/>
        <w:t>тельные знаки УПА - СССР-НЗЗО и СССР-Н331. (НЗЗО пи</w:t>
      </w:r>
      <w:r w:rsidRPr="00271E51">
        <w:rPr>
          <w:rFonts w:ascii="Times New Roman" w:hAnsi="Times New Roman"/>
          <w:color w:val="000000" w:themeColor="text1"/>
          <w:sz w:val="16"/>
          <w:szCs w:val="16"/>
        </w:rPr>
        <w:softHyphen/>
        <w:t>лотировал В.В.Мальков, Н331 - М.В.Тейман) перелетели из Красноярска на остров Диксон, где немедленно приступили к боевому патрулированию. В период до 21 сентября 1943 г. по заданиям Штаба мор</w:t>
      </w:r>
      <w:r w:rsidRPr="00271E51">
        <w:rPr>
          <w:rFonts w:ascii="Times New Roman" w:hAnsi="Times New Roman"/>
          <w:color w:val="000000" w:themeColor="text1"/>
          <w:sz w:val="16"/>
          <w:szCs w:val="16"/>
        </w:rPr>
        <w:softHyphen/>
        <w:t>ских операций они выполнили по 12 боевых вылетов, НЗЗО налетал 35 час. 15 мин., Н331 - 31 ч 20 мин. Следует отметить, что полеты, выполненные в сложных метеоус</w:t>
      </w:r>
      <w:r w:rsidRPr="00271E51">
        <w:rPr>
          <w:rFonts w:ascii="Times New Roman" w:hAnsi="Times New Roman"/>
          <w:color w:val="000000" w:themeColor="text1"/>
          <w:sz w:val="16"/>
          <w:szCs w:val="16"/>
        </w:rPr>
        <w:softHyphen/>
        <w:t>ловиях, одновременно считались полетами по освоению новой боевой техники. Летали с подвешенными противо</w:t>
      </w:r>
      <w:r w:rsidRPr="00271E51">
        <w:rPr>
          <w:rFonts w:ascii="Times New Roman" w:hAnsi="Times New Roman"/>
          <w:color w:val="000000" w:themeColor="text1"/>
          <w:sz w:val="16"/>
          <w:szCs w:val="16"/>
        </w:rPr>
        <w:softHyphen/>
        <w:t>лодочными бомбами ПЛАБ-100, ибо основной задачей ставилось обнаружение и уничтожение проникших в этот район немецких подводных лодок. За время полетов в районе о. Диксон были обследованы шхеры Минина, остров Свердрупа, остров Белый, остров Вилькицкого, северная оконечность острова Кузкин. Боевых столкно</w:t>
      </w:r>
      <w:r w:rsidRPr="00271E51">
        <w:rPr>
          <w:rFonts w:ascii="Times New Roman" w:hAnsi="Times New Roman"/>
          <w:color w:val="000000" w:themeColor="text1"/>
          <w:sz w:val="16"/>
          <w:szCs w:val="16"/>
        </w:rPr>
        <w:softHyphen/>
        <w:t>вений не отмечалось. Во второй половине сентября рез</w:t>
      </w:r>
      <w:r w:rsidRPr="00271E51">
        <w:rPr>
          <w:rFonts w:ascii="Times New Roman" w:hAnsi="Times New Roman"/>
          <w:color w:val="000000" w:themeColor="text1"/>
          <w:sz w:val="16"/>
          <w:szCs w:val="16"/>
        </w:rPr>
        <w:softHyphen/>
        <w:t>ко похолодало и базирование летающих лодок КОР-2 в Арктике стало проблематичным. 21 сентября 1943 г. эки</w:t>
      </w:r>
      <w:r w:rsidRPr="00271E51">
        <w:rPr>
          <w:rFonts w:ascii="Times New Roman" w:hAnsi="Times New Roman"/>
          <w:color w:val="000000" w:themeColor="text1"/>
          <w:sz w:val="16"/>
          <w:szCs w:val="16"/>
        </w:rPr>
        <w:softHyphen/>
        <w:t>пажи сдали бомбовую нагрузку и вдоль Енисея вернулись в Красноярск (11107).</w:t>
      </w:r>
    </w:p>
    <w:p w14:paraId="5430C8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9547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 два Бе-4 №№28811 и 28812, которые числились за Полярной авиацией и получи</w:t>
      </w:r>
      <w:r w:rsidRPr="00271E51">
        <w:rPr>
          <w:rFonts w:ascii="Times New Roman" w:hAnsi="Times New Roman"/>
          <w:color w:val="000000" w:themeColor="text1"/>
          <w:sz w:val="16"/>
          <w:szCs w:val="16"/>
        </w:rPr>
        <w:softHyphen/>
        <w:t>ли гражданскую регистрацию СССР-Н330 и СССР-Н331, соответственно (первую пи</w:t>
      </w:r>
      <w:r w:rsidRPr="00271E51">
        <w:rPr>
          <w:rFonts w:ascii="Times New Roman" w:hAnsi="Times New Roman"/>
          <w:color w:val="000000" w:themeColor="text1"/>
          <w:sz w:val="16"/>
          <w:szCs w:val="16"/>
        </w:rPr>
        <w:softHyphen/>
        <w:t>лотировал летчик В.В. Мальков, вторую — М.В. Тейман), которые перелетели из Красноярска на Диксон, начали противолодочное патрулирование. В 1943 г. немецкие подводные лодки начали активные действия на совет</w:t>
      </w:r>
      <w:r w:rsidRPr="00271E51">
        <w:rPr>
          <w:rFonts w:ascii="Times New Roman" w:hAnsi="Times New Roman"/>
          <w:color w:val="000000" w:themeColor="text1"/>
          <w:sz w:val="16"/>
          <w:szCs w:val="16"/>
        </w:rPr>
        <w:softHyphen/>
        <w:t>ских арктических коммуникациях. Для борьбы с ними у Северного отряда Бело</w:t>
      </w:r>
      <w:r w:rsidRPr="00271E51">
        <w:rPr>
          <w:rFonts w:ascii="Times New Roman" w:hAnsi="Times New Roman"/>
          <w:color w:val="000000" w:themeColor="text1"/>
          <w:sz w:val="16"/>
          <w:szCs w:val="16"/>
        </w:rPr>
        <w:softHyphen/>
        <w:t>морской военной флотилии не хватало сил и решили использовать Бе-4. В качестве оружия использовались проти</w:t>
      </w:r>
      <w:r w:rsidRPr="00271E51">
        <w:rPr>
          <w:rFonts w:ascii="Times New Roman" w:hAnsi="Times New Roman"/>
          <w:color w:val="000000" w:themeColor="text1"/>
          <w:sz w:val="16"/>
          <w:szCs w:val="16"/>
        </w:rPr>
        <w:softHyphen/>
        <w:t>володочные бомбы ПЛАБ-100. Единствен</w:t>
      </w:r>
      <w:r w:rsidRPr="00271E51">
        <w:rPr>
          <w:rFonts w:ascii="Times New Roman" w:hAnsi="Times New Roman"/>
          <w:color w:val="000000" w:themeColor="text1"/>
          <w:sz w:val="16"/>
          <w:szCs w:val="16"/>
        </w:rPr>
        <w:softHyphen/>
        <w:t>ное боевое столкновение произошло 28 ав</w:t>
      </w:r>
      <w:r w:rsidRPr="00271E51">
        <w:rPr>
          <w:rFonts w:ascii="Times New Roman" w:hAnsi="Times New Roman"/>
          <w:color w:val="000000" w:themeColor="text1"/>
          <w:sz w:val="16"/>
          <w:szCs w:val="16"/>
        </w:rPr>
        <w:softHyphen/>
        <w:t>густа. После того, как немецкая субмарина потопила в 20 милях от мыса Стерлигова транспорт «Диксон», Бе-4 пробомбили этот район. Результатов атаки экипажи не на</w:t>
      </w:r>
      <w:r w:rsidRPr="00271E51">
        <w:rPr>
          <w:rFonts w:ascii="Times New Roman" w:hAnsi="Times New Roman"/>
          <w:color w:val="000000" w:themeColor="text1"/>
          <w:sz w:val="16"/>
          <w:szCs w:val="16"/>
        </w:rPr>
        <w:softHyphen/>
        <w:t>блюдали. В конце сентября резко похоло</w:t>
      </w:r>
      <w:r w:rsidRPr="00271E51">
        <w:rPr>
          <w:rFonts w:ascii="Times New Roman" w:hAnsi="Times New Roman"/>
          <w:color w:val="000000" w:themeColor="text1"/>
          <w:sz w:val="16"/>
          <w:szCs w:val="16"/>
        </w:rPr>
        <w:softHyphen/>
        <w:t>дало, начался ледостав, что вынудило пе</w:t>
      </w:r>
      <w:r w:rsidRPr="00271E51">
        <w:rPr>
          <w:rFonts w:ascii="Times New Roman" w:hAnsi="Times New Roman"/>
          <w:color w:val="000000" w:themeColor="text1"/>
          <w:sz w:val="16"/>
          <w:szCs w:val="16"/>
        </w:rPr>
        <w:softHyphen/>
        <w:t>регнать гидросамолеты обратно в Красно</w:t>
      </w:r>
      <w:r w:rsidRPr="00271E51">
        <w:rPr>
          <w:rFonts w:ascii="Times New Roman" w:hAnsi="Times New Roman"/>
          <w:color w:val="000000" w:themeColor="text1"/>
          <w:sz w:val="16"/>
          <w:szCs w:val="16"/>
        </w:rPr>
        <w:softHyphen/>
        <w:t>ярск. К тому времени Н330 налетал в Арктике 35 ч 15 мин, а Н331 — 31 ч 20 мин. (10685).</w:t>
      </w:r>
    </w:p>
    <w:p w14:paraId="6FE03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AC32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00CC7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471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 Решением СНК СКБ завода № 738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 созданное 25 ноября 1942 г. по приказу НКМВ, было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0DCFF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филиалы: Ленинградский, Рыбинский (Щербаковский).</w:t>
      </w:r>
    </w:p>
    <w:p w14:paraId="7D3E4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5A016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Гендиректор (1999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Присяжный (11982).</w:t>
      </w:r>
    </w:p>
    <w:p w14:paraId="02DD67E1" w14:textId="77777777" w:rsidR="001B5219" w:rsidRPr="00271E51" w:rsidRDefault="001B521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6D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 августа 1943 начались испытания KB-85 и ИС-85, которые проводились комиссией под председательством начальника Технического управления ГБТУ Красной Армии генерал-майора С.А.Афонина. Артиллерийские испытания проходили на Гороховецком артиллерийском полигоне. По их результатам комиссия рекомендовала оба образца к принятию на вооружение. (3862).</w:t>
      </w:r>
    </w:p>
    <w:p w14:paraId="6D41A7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CB4B4" w14:textId="77777777" w:rsidR="001B5219" w:rsidRPr="00271E51" w:rsidRDefault="001B5219"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Со 2 по 4 августа 1943 года на Гороховецком артиллерийском научно-исследовательском полигоне (АНИОП) проходили первые испытания Объекта 238. Испытания были сравнительными: помимо Объекта 238, в них принимали участие Объект 239 и два Объекта 237 с разными типами орудий. Кучность у всех орудий оказалась одинаковой, а вот дальше наметилось отставание Объекта 238. Меньший диаметр погона ограничил удобство работы расчета штатной башни КВ-1с, к которой и так имелись претензии. Скорострельность пушки Объекта 238 не превышала 5–6 выстрелов в минуту, для башни Объекта 239 этот показатель составлял 10–12 выстрелов в минуту. Также С-31 показала худшую надёжность.</w:t>
      </w:r>
    </w:p>
    <w:p w14:paraId="046D06FB" w14:textId="77777777" w:rsidR="001B5219" w:rsidRPr="00271E51" w:rsidRDefault="001B5219"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Проблемы С-31 в танковом исполнении мало отличались от тех, что наблюдались при испытании опытных образцов САУ СУ-85. Тесная башня лишь усугубила эти недостатки. Итог оказался закономерным: на вооружение Красной армии был принят Объект 239 с башней Объекта 237. Соответствующее постановление ГКО за номером 3891сс «О производстве танков КВ с 85 мм пушкой (КВ-85)» было подписано 8 августа 1943 года (17498).</w:t>
      </w:r>
    </w:p>
    <w:p w14:paraId="65B17764" w14:textId="77777777" w:rsidR="001B5219" w:rsidRPr="00271E51" w:rsidRDefault="001B5219" w:rsidP="00271E51">
      <w:pPr>
        <w:spacing w:after="0" w:line="240" w:lineRule="auto"/>
        <w:jc w:val="both"/>
        <w:rPr>
          <w:rFonts w:ascii="Times New Roman" w:hAnsi="Times New Roman"/>
          <w:color w:val="000000" w:themeColor="text1"/>
          <w:sz w:val="16"/>
          <w:szCs w:val="16"/>
        </w:rPr>
      </w:pPr>
    </w:p>
    <w:p w14:paraId="643E17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три танка ИС, а также два танка КВ- 1С с 85-мм пушкой («Объект 238») были переданы на государственные испытания ... Интересно отметить, что вскоре после их начала «Объект 238» был снят с испыта</w:t>
      </w:r>
      <w:r w:rsidRPr="00271E51">
        <w:rPr>
          <w:rFonts w:ascii="Times New Roman" w:hAnsi="Times New Roman"/>
          <w:color w:val="000000" w:themeColor="text1"/>
          <w:sz w:val="16"/>
          <w:szCs w:val="16"/>
        </w:rPr>
        <w:softHyphen/>
        <w:t>ний, но его собрат с башней танка ИС, несмотря на боль</w:t>
      </w:r>
      <w:r w:rsidRPr="00271E51">
        <w:rPr>
          <w:rFonts w:ascii="Times New Roman" w:hAnsi="Times New Roman"/>
          <w:color w:val="000000" w:themeColor="text1"/>
          <w:sz w:val="16"/>
          <w:szCs w:val="16"/>
        </w:rPr>
        <w:softHyphen/>
        <w:t>ший вес, стойко прошел их до конца. Всего КВ-85 (под та</w:t>
      </w:r>
      <w:r w:rsidRPr="00271E51">
        <w:rPr>
          <w:rFonts w:ascii="Times New Roman" w:hAnsi="Times New Roman"/>
          <w:color w:val="000000" w:themeColor="text1"/>
          <w:sz w:val="16"/>
          <w:szCs w:val="16"/>
        </w:rPr>
        <w:softHyphen/>
        <w:t>ким индексом опробовались «Объект 238» и «Объект 239») прошел 285 км со средней скоростью около 16 км/ч (11135).</w:t>
      </w:r>
    </w:p>
    <w:p w14:paraId="3D1CA5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танк КВ-85 проиграл состязания тан</w:t>
      </w:r>
      <w:r w:rsidRPr="00271E51">
        <w:rPr>
          <w:rFonts w:ascii="Times New Roman" w:hAnsi="Times New Roman"/>
          <w:color w:val="000000" w:themeColor="text1"/>
          <w:sz w:val="16"/>
          <w:szCs w:val="16"/>
        </w:rPr>
        <w:softHyphen/>
        <w:t>ку ИС почти по всем пунктам (средняя скорость, подвиж</w:t>
      </w:r>
      <w:r w:rsidRPr="00271E51">
        <w:rPr>
          <w:rFonts w:ascii="Times New Roman" w:hAnsi="Times New Roman"/>
          <w:color w:val="000000" w:themeColor="text1"/>
          <w:sz w:val="16"/>
          <w:szCs w:val="16"/>
        </w:rPr>
        <w:softHyphen/>
        <w:t>ность на пересеченной местности, проходимость на раскис</w:t>
      </w:r>
      <w:r w:rsidRPr="00271E51">
        <w:rPr>
          <w:rFonts w:ascii="Times New Roman" w:hAnsi="Times New Roman"/>
          <w:color w:val="000000" w:themeColor="text1"/>
          <w:sz w:val="16"/>
          <w:szCs w:val="16"/>
        </w:rPr>
        <w:softHyphen/>
        <w:t>шем фунте, он был почти полностью (кроме башни) готов к серийному производству, тогда как ИС требовал некоторых доводочных работ. И 8 августа 1943 г., еще до завершения ис</w:t>
      </w:r>
      <w:r w:rsidRPr="00271E51">
        <w:rPr>
          <w:rFonts w:ascii="Times New Roman" w:hAnsi="Times New Roman"/>
          <w:color w:val="000000" w:themeColor="text1"/>
          <w:sz w:val="16"/>
          <w:szCs w:val="16"/>
        </w:rPr>
        <w:softHyphen/>
        <w:t>пытаний, ГКО принимает постановление № 3891сс о начале серийного производства танка КВ-85 («Объект 239») на Ч КЗ, вплоть до освоения в серии танка ИС («Объект 237»).</w:t>
      </w:r>
    </w:p>
    <w:p w14:paraId="0EF959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было понятно, так как на фронте в тот момент не было танков, способных как-то противостоять «Тифу» и «Пантере» на средних дальностях. Таким образом, уже при создании КВ-85 стал своеобразным «временщиком» и не претендовал на большее. По замыслу Ж. Котина в конце 1943 г. его должен был сменить более мощный танк, воору</w:t>
      </w:r>
      <w:r w:rsidRPr="00271E51">
        <w:rPr>
          <w:rFonts w:ascii="Times New Roman" w:hAnsi="Times New Roman"/>
          <w:color w:val="000000" w:themeColor="text1"/>
          <w:sz w:val="16"/>
          <w:szCs w:val="16"/>
        </w:rPr>
        <w:softHyphen/>
        <w:t>женный 100-мм или 122-мм пушкой (11135).</w:t>
      </w:r>
    </w:p>
    <w:p w14:paraId="0EE11A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0F9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 начались государственные испытания двух танков ИС ("Объект 237") и танка КВ-85 ("Объект 239"). Танк КВ-85Г ("Объект 238") в этих испытаниях не участвовал. На протяжении двух недель танки проверялись Государственной комиссией на пригодность к боево</w:t>
      </w:r>
      <w:r w:rsidRPr="00271E51">
        <w:rPr>
          <w:rFonts w:ascii="Times New Roman" w:hAnsi="Times New Roman"/>
          <w:color w:val="000000" w:themeColor="text1"/>
          <w:sz w:val="16"/>
          <w:szCs w:val="16"/>
        </w:rPr>
        <w:softHyphen/>
        <w:t>му применению. В связи с острой потребностью в новых танках и осно</w:t>
      </w:r>
      <w:r w:rsidRPr="00271E51">
        <w:rPr>
          <w:rFonts w:ascii="Times New Roman" w:hAnsi="Times New Roman"/>
          <w:color w:val="000000" w:themeColor="text1"/>
          <w:sz w:val="16"/>
          <w:szCs w:val="16"/>
        </w:rPr>
        <w:softHyphen/>
        <w:t>вываясь на результатах заводских испытаний, 8 августа 1943 г. на засе</w:t>
      </w:r>
      <w:r w:rsidRPr="00271E51">
        <w:rPr>
          <w:rFonts w:ascii="Times New Roman" w:hAnsi="Times New Roman"/>
          <w:color w:val="000000" w:themeColor="text1"/>
          <w:sz w:val="16"/>
          <w:szCs w:val="16"/>
        </w:rPr>
        <w:softHyphen/>
        <w:t>дании ГКО было принято постановление о серийном производстве тан</w:t>
      </w:r>
      <w:r w:rsidRPr="00271E51">
        <w:rPr>
          <w:rFonts w:ascii="Times New Roman" w:hAnsi="Times New Roman"/>
          <w:color w:val="000000" w:themeColor="text1"/>
          <w:sz w:val="16"/>
          <w:szCs w:val="16"/>
        </w:rPr>
        <w:softHyphen/>
        <w:t>ка КВ-85. В результате испытаний Государственная комиссия установила, что динамические качества у танка ИС выше, чем у танка КВ-85. Кроме то</w:t>
      </w:r>
      <w:r w:rsidRPr="00271E51">
        <w:rPr>
          <w:rFonts w:ascii="Times New Roman" w:hAnsi="Times New Roman"/>
          <w:color w:val="000000" w:themeColor="text1"/>
          <w:sz w:val="16"/>
          <w:szCs w:val="16"/>
        </w:rPr>
        <w:softHyphen/>
        <w:t>го, было выяснено, что пушка Д-5Т-85 обладает большими преимущест</w:t>
      </w:r>
      <w:r w:rsidRPr="00271E51">
        <w:rPr>
          <w:rFonts w:ascii="Times New Roman" w:hAnsi="Times New Roman"/>
          <w:color w:val="000000" w:themeColor="text1"/>
          <w:sz w:val="16"/>
          <w:szCs w:val="16"/>
        </w:rPr>
        <w:softHyphen/>
        <w:t>вами по сравнению с пушкой С-31. В целях проверки пушек в одинаковых условиях (по установке и расположению боеукладки) комиссия решила на танке ИС № 1 ("Объ</w:t>
      </w:r>
      <w:r w:rsidRPr="00271E51">
        <w:rPr>
          <w:rFonts w:ascii="Times New Roman" w:hAnsi="Times New Roman"/>
          <w:color w:val="000000" w:themeColor="text1"/>
          <w:sz w:val="16"/>
          <w:szCs w:val="16"/>
        </w:rPr>
        <w:softHyphen/>
        <w:t>ект 237") заменить пушку С-31 на пушку Д-5Т-85 (10703).</w:t>
      </w:r>
    </w:p>
    <w:p w14:paraId="2801E7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2532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 по 15 августа 1943 проходили государственные полигонные испытания двух танков ИС и одного КВ-85 («Объект 238'», как уже говори</w:t>
      </w:r>
      <w:r w:rsidRPr="00271E51">
        <w:rPr>
          <w:rFonts w:ascii="Times New Roman" w:hAnsi="Times New Roman"/>
          <w:color w:val="000000" w:themeColor="text1"/>
          <w:sz w:val="16"/>
          <w:szCs w:val="16"/>
        </w:rPr>
        <w:softHyphen/>
        <w:t>лось, был снят с испытаний). В ходе их танк ИС № 1 прошел 866 км, № 2 — свыше 600 км, КВ-85 - 285 км (11135).</w:t>
      </w:r>
    </w:p>
    <w:p w14:paraId="6A17F2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Совместные испытания артсистем С-31 и Д-5Т показа</w:t>
      </w:r>
      <w:r w:rsidRPr="00271E51">
        <w:rPr>
          <w:rFonts w:ascii="Times New Roman" w:hAnsi="Times New Roman"/>
          <w:color w:val="000000" w:themeColor="text1"/>
          <w:sz w:val="16"/>
          <w:szCs w:val="16"/>
        </w:rPr>
        <w:softHyphen/>
        <w:t>ли, что по основным параметрам (точность стрельбы и куч</w:t>
      </w:r>
      <w:r w:rsidRPr="00271E51">
        <w:rPr>
          <w:rFonts w:ascii="Times New Roman" w:hAnsi="Times New Roman"/>
          <w:color w:val="000000" w:themeColor="text1"/>
          <w:sz w:val="16"/>
          <w:szCs w:val="16"/>
        </w:rPr>
        <w:softHyphen/>
        <w:t>ность на дистанции 500-600 м) они аналогичны, но послед</w:t>
      </w:r>
      <w:r w:rsidRPr="00271E51">
        <w:rPr>
          <w:rFonts w:ascii="Times New Roman" w:hAnsi="Times New Roman"/>
          <w:color w:val="000000" w:themeColor="text1"/>
          <w:sz w:val="16"/>
          <w:szCs w:val="16"/>
        </w:rPr>
        <w:softHyphen/>
        <w:t>няя имеет ряд преимуществ, связанных с меньшей высотой линии огня, удобстве обслуживания и меньшей вибрацией артсистемы (это сказывалось при стрельбе на расстоянии свыше 1000 м). Больше понравилась пушка Д-5Т меньшей массой и отсутствием дополнительных грузов для уравно</w:t>
      </w:r>
      <w:r w:rsidRPr="00271E51">
        <w:rPr>
          <w:rFonts w:ascii="Times New Roman" w:hAnsi="Times New Roman"/>
          <w:color w:val="000000" w:themeColor="text1"/>
          <w:sz w:val="16"/>
          <w:szCs w:val="16"/>
        </w:rPr>
        <w:softHyphen/>
        <w:t>вешивания ствола, простотой в обслуживании.</w:t>
      </w:r>
    </w:p>
    <w:p w14:paraId="33B80B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попытка пробить 102-мм броню танка «Тигр» под углом 30° на расстоянии 500 м не удалось ни из пушки Д-5Т, ни из С-31. Даже на расстоянии 100 м пробитие полу</w:t>
      </w:r>
      <w:r w:rsidRPr="00271E51">
        <w:rPr>
          <w:rFonts w:ascii="Times New Roman" w:hAnsi="Times New Roman"/>
          <w:color w:val="000000" w:themeColor="text1"/>
          <w:sz w:val="16"/>
          <w:szCs w:val="16"/>
        </w:rPr>
        <w:softHyphen/>
        <w:t>чалось «неполноценным», тогда как проба бортовой брони была легко пронизана с 600 м. Проверочные расчеты НИИ-48 подтвердили, что существующим бронебойным снарядом указанные орудия под углом 30° могут пробить броню указанной твердости на расстоянии 100 м толщиной лишь 97^98 мм, а на дистанции 600 м - 88 мм. Тем не менее, это был очень многообещающий результат.</w:t>
      </w:r>
    </w:p>
    <w:p w14:paraId="3693AF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итогам испытаний Государственная комиссия реко</w:t>
      </w:r>
      <w:r w:rsidRPr="00271E51">
        <w:rPr>
          <w:rFonts w:ascii="Times New Roman" w:hAnsi="Times New Roman"/>
          <w:color w:val="000000" w:themeColor="text1"/>
          <w:sz w:val="16"/>
          <w:szCs w:val="16"/>
        </w:rPr>
        <w:softHyphen/>
        <w:t>мендовала танк ИС для принятия на вооружение со следу</w:t>
      </w:r>
      <w:r w:rsidRPr="00271E51">
        <w:rPr>
          <w:rFonts w:ascii="Times New Roman" w:hAnsi="Times New Roman"/>
          <w:color w:val="000000" w:themeColor="text1"/>
          <w:sz w:val="16"/>
          <w:szCs w:val="16"/>
        </w:rPr>
        <w:softHyphen/>
        <w:t>ющими доработками:</w:t>
      </w:r>
    </w:p>
    <w:p w14:paraId="5AB8E0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Ввести гидравлический механизм поворота башни по типу примененных на американском танке М4А2.</w:t>
      </w:r>
    </w:p>
    <w:p w14:paraId="019441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Дополнить командирскую башенку зенитной турелью.</w:t>
      </w:r>
    </w:p>
    <w:p w14:paraId="2F984A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Предусмотреть возможность перевооружения танка ИС 100-мм и 122-мм пушками.</w:t>
      </w:r>
    </w:p>
    <w:p w14:paraId="006872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Предусмотреть возможность дополнения вооружения танка казнозарядным 50-мм минометом для самообо</w:t>
      </w:r>
      <w:r w:rsidRPr="00271E51">
        <w:rPr>
          <w:rFonts w:ascii="Times New Roman" w:hAnsi="Times New Roman"/>
          <w:color w:val="000000" w:themeColor="text1"/>
          <w:sz w:val="16"/>
          <w:szCs w:val="16"/>
        </w:rPr>
        <w:softHyphen/>
        <w:t>роны танка от пехоты противника.</w:t>
      </w:r>
    </w:p>
    <w:p w14:paraId="41EC33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Отработать конструкцию ломающегося прицела «не</w:t>
      </w:r>
      <w:r w:rsidRPr="00271E51">
        <w:rPr>
          <w:rFonts w:ascii="Times New Roman" w:hAnsi="Times New Roman"/>
          <w:color w:val="000000" w:themeColor="text1"/>
          <w:sz w:val="16"/>
          <w:szCs w:val="16"/>
        </w:rPr>
        <w:softHyphen/>
        <w:t>мецкого типа».</w:t>
      </w:r>
    </w:p>
    <w:p w14:paraId="1D8199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Предусмотреть возможность размещения командира справа от орудия, а заряжающего слева («под правую руку»).</w:t>
      </w:r>
    </w:p>
    <w:p w14:paraId="0FE001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Изготовить и испытать башню и корпус танка из брони высокой твердости с сохранением толщин.</w:t>
      </w:r>
    </w:p>
    <w:p w14:paraId="1FAE93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Спроектировать и испытать на танке ИС двухтактный дизельный двигатель мощностью 800 л.с.</w:t>
      </w:r>
    </w:p>
    <w:p w14:paraId="075AED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Испытать гусеничные цепи с резинометаллическими</w:t>
      </w:r>
    </w:p>
    <w:p w14:paraId="4664A1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сайлент-блоками американского типа (11135).</w:t>
      </w:r>
    </w:p>
    <w:p w14:paraId="1D9211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AB486B" w14:textId="77777777" w:rsidR="00BA7A65" w:rsidRPr="00271E51" w:rsidRDefault="00BA7A65" w:rsidP="00271E51">
      <w:pPr>
        <w:pStyle w:val="a3"/>
        <w:rPr>
          <w:color w:val="000000" w:themeColor="text1"/>
          <w:lang w:val="ru-RU"/>
        </w:rPr>
      </w:pPr>
      <w:r w:rsidRPr="00271E51">
        <w:rPr>
          <w:color w:val="000000" w:themeColor="text1"/>
          <w:lang w:val="ru-RU"/>
        </w:rPr>
        <w:t>2 августа 1943 года начались Государственные испытания танков ИС и танков КВ-85 сначала на танковом полигоне в Кубинке, а затем на Гороховецком артиллерийском полигоне. 4 сентября 1943 года танк был принят на вооружение. 8 сентября танки были показаны высшему руководству страны в Кремле. И. В. Сталин постоянно требовал скорейшего запуска танка ИС в производство. 7 августа 1943 года между ним и В. А. Малышевым состоялась беседа, о которой последний записал следующее: «Был у т. Сталина. Опять т. Сталин интересовался новыми танками. Сказал, чтобы танк ИС поставить на производство в течение полутора месяцев. Когда я сказал, что в такой срок это сделать невозможно, тов. Сталин сказал, что к концу войны нам этот танк не нужен. «Надо, чтобы танк повоевал ещё до зимы». Впервые слышу от т. Сталина о конце войны. В конце концов тов. Сталин дал срок 2 месяца» («Пройдёт десяток лет, и этих встреч не восстановишь уже в памяти»//Источник. №5. 1997. С. 122.). Танкостроители выполнили задачу И. В. Сталина почти в срок, начав производство танков в конце октября 1943 года. Но до зимы, как хотел И. В. Сталин, танк повоевать не успел. Боевое крещение нового танка состоялось уже в феврале 1944 года в ходе Корсунь- Шевченковской операции. В боях тогда приняло участие два полка танков ИС: 8-й и 13-й отдельные гвардейские тяжелые танковые полки. При этом из их состава, несмотря на ожесточённость боёв, было безвозвратно потеряно всего 5 танков. Всего за время войны было изготовлено 107 танков ИС с 85</w:t>
      </w:r>
      <w:r w:rsidRPr="00271E51">
        <w:rPr>
          <w:color w:val="000000" w:themeColor="text1"/>
          <w:lang w:val="ru-RU"/>
        </w:rPr>
        <w:softHyphen/>
        <w:t>мм пушкой. 100 из них поступило на вооружение боевых частей. Из них к концу войны 36 оставалось в строю, 37 было подбито, и столько же было списано по причине износа механизмов. Это был превосходный результат с точки зрения живучести и надёжности машины (12290).</w:t>
      </w:r>
    </w:p>
    <w:p w14:paraId="5105F7C1" w14:textId="77777777" w:rsidR="00BA7A65" w:rsidRPr="00271E51" w:rsidRDefault="00BA7A65" w:rsidP="00271E51">
      <w:pPr>
        <w:pStyle w:val="a3"/>
        <w:rPr>
          <w:color w:val="000000" w:themeColor="text1"/>
          <w:lang w:val="ru-RU"/>
        </w:rPr>
      </w:pPr>
    </w:p>
    <w:p w14:paraId="6CFE7A82" w14:textId="77777777" w:rsidR="006E2D26" w:rsidRPr="00271E51" w:rsidRDefault="006E2D2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 по 29 августа 1943 прошли испытпния Т-43. Несмотря на выявленные недостатки, общая оценка испытаний оказалась положительной. Комиссия, которую возглавляли главный испытатель НИБТ Полигона Кульчицкий, а также главный конструктор КБ завода №183 Морозов, предлагала как можно скорее запустить Т-43 в серийное производство. Во многом выводы комиссии были верными, но время неумолимо шло и работало против Т-43 (18587).</w:t>
      </w:r>
    </w:p>
    <w:p w14:paraId="79AEAD6E" w14:textId="77777777" w:rsidR="006E2D26" w:rsidRPr="00271E51" w:rsidRDefault="006E2D26" w:rsidP="00271E51">
      <w:pPr>
        <w:spacing w:after="0" w:line="240" w:lineRule="auto"/>
        <w:jc w:val="both"/>
        <w:rPr>
          <w:rFonts w:ascii="Times New Roman" w:hAnsi="Times New Roman"/>
          <w:color w:val="000000" w:themeColor="text1"/>
          <w:sz w:val="16"/>
          <w:szCs w:val="16"/>
        </w:rPr>
      </w:pPr>
    </w:p>
    <w:p w14:paraId="3D405DDB" w14:textId="77777777" w:rsidR="006E2D26" w:rsidRPr="00271E51" w:rsidRDefault="006E2D26"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2 августа 1943 года начались и закончились 29 августа испытания двух опытных образцов Т-43, один из которых был разработан в 1942, а второй - в 1943. ГБТУ КА действительно подумывали о том, чтобы принять Т-43 на вооружение, но при ряде условий. Лоб корпуса утолщался до 90 мм, а башня — до 110 мм, кроме того, вооружением должна была стать 85-мм пушка Д-5Т. И если усиление вооружения не представляло больших проблем (уже в сентябре 1943 года один из Т-43 получил макет орудия в башне), то другие требования делали дальнейшую работу по Т-43 тупиковой. При боевой массе 35 т надёжность ходовой части становилась крайне низкой, особенно это касалось бандажей опорных катков. Происходящее прекрасно понимали в КБ-520, поэтому и появился проект 30-тонного танка с поперечным расположением двигателя (19620).</w:t>
      </w:r>
    </w:p>
    <w:p w14:paraId="695D6F00" w14:textId="77777777" w:rsidR="006E2D26" w:rsidRPr="00271E51" w:rsidRDefault="006E2D26" w:rsidP="00271E51">
      <w:pPr>
        <w:pStyle w:val="ae"/>
        <w:shd w:val="clear" w:color="auto" w:fill="FFFFFF"/>
        <w:spacing w:before="0" w:after="0"/>
        <w:jc w:val="both"/>
        <w:textAlignment w:val="baseline"/>
        <w:rPr>
          <w:color w:val="000000" w:themeColor="text1"/>
          <w:sz w:val="16"/>
          <w:szCs w:val="16"/>
        </w:rPr>
      </w:pPr>
    </w:p>
    <w:p w14:paraId="2BF7106B"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со 2 по 28 августа 1943 г. в районе Свердловска состоялись испытания танков Т-43. В последний день испытаний с завода № 183 на имя В.А. Малышева и Я.Н. Федоренко по высокочастотной (ВЧ) линии телефонной связи было передано «Предварительное заключение комиссии по полигонным испытаниям опытных образцов танка Т-43». В этом документе, подписанном Е.А. Кульчицким вместе с остальными членами комиссии, в частности, было сказано:</w:t>
      </w:r>
    </w:p>
    <w:p w14:paraId="403D9B2F"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«Комиссия считает, что:</w:t>
      </w:r>
    </w:p>
    <w:p w14:paraId="16772A66"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Осуществленная на Т-43 модернизация Т-34 значительно повысила его боевые качества и является необходимой для Красной Армии.</w:t>
      </w:r>
    </w:p>
    <w:p w14:paraId="74A25A1A"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Учитывая требования Армии в повышении боевых качеств танка Т-34 и удовлетворение их в значит. степени танком Т-43, а также учитывая возможность запуска в производство танка Т-43 без короткой перестройки производства и уменьшения программы завода по выпуску танков, запуск танка Т-43 в серийное производство считать необходимым в возможно кратчайшие сроки.</w:t>
      </w:r>
    </w:p>
    <w:p w14:paraId="1367897D"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Перед запуском в серийн. производство считать обязательным заводу № 183 устранить выявленные комиссией при испытании танков недостатки механизмов танка, обеспечив их надежную работу.</w:t>
      </w:r>
    </w:p>
    <w:p w14:paraId="06124593"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Вооружение танка усилить за счет постановки более мощной пушки».</w:t>
      </w:r>
    </w:p>
    <w:p w14:paraId="0603BE9F"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1408. Л. 46 – 47] (21209).</w:t>
      </w:r>
    </w:p>
    <w:p w14:paraId="58B47F4D" w14:textId="77777777" w:rsidR="007F45FB" w:rsidRPr="00271E51" w:rsidRDefault="007F45FB" w:rsidP="00271E51">
      <w:pPr>
        <w:spacing w:after="0" w:line="240" w:lineRule="auto"/>
        <w:jc w:val="both"/>
        <w:rPr>
          <w:rFonts w:ascii="Times New Roman" w:hAnsi="Times New Roman"/>
          <w:color w:val="0070C0"/>
          <w:sz w:val="16"/>
          <w:szCs w:val="16"/>
        </w:rPr>
      </w:pPr>
    </w:p>
    <w:p w14:paraId="4078480A" w14:textId="77777777" w:rsidR="00067190" w:rsidRPr="00271E51" w:rsidRDefault="00067190" w:rsidP="00271E51">
      <w:pPr>
        <w:pStyle w:val="book"/>
        <w:ind w:firstLine="0"/>
        <w:jc w:val="both"/>
        <w:rPr>
          <w:color w:val="000000" w:themeColor="text1"/>
          <w:sz w:val="16"/>
          <w:szCs w:val="16"/>
        </w:rPr>
      </w:pPr>
      <w:r w:rsidRPr="00271E51">
        <w:rPr>
          <w:color w:val="000000" w:themeColor="text1"/>
          <w:sz w:val="16"/>
          <w:szCs w:val="16"/>
        </w:rPr>
        <w:t>2 августа 1943 г. в 5-ю гвардейскую армию прибыл 1902-й самоходно-артиллерийский полк в составе пятнадцати СУ-76И. До 14 августа полк в бой не вводился, а занимался ремонтом САУ и ждал пополнения автотранспортом (первоначально количество автомобилей в полку составляло 10% от штатной численности). В это же время на укомплектование полка поступило пять СУ-122. С 14 по 31 августа полк участвовал в пяти боях (в среднем на 2—3 боя больше, чем любой другой полк армии). За этот период самоходчики уничтожили 2 танка, 9 орудий, 12 пулеметов и до 250 вражеских солдат и офицеров. Согласно докладу командира полка от 1 сентября, «все машины, участвовавшие в предыдущих боях, имеют повреждения. Отдельные машины восстанавливались по нескольку раз, вся мат-часть СУ-76 (на базе Pz. III) изношена и находится в плохом состоянии. Полк был постоянно недоукомплектован, подготовка личного состава — удовлетворительная» (15225).</w:t>
      </w:r>
    </w:p>
    <w:p w14:paraId="617076D5" w14:textId="77777777" w:rsidR="00067190" w:rsidRPr="00271E51" w:rsidRDefault="00067190" w:rsidP="00271E51">
      <w:pPr>
        <w:pStyle w:val="book"/>
        <w:ind w:firstLine="0"/>
        <w:jc w:val="both"/>
        <w:rPr>
          <w:color w:val="000000" w:themeColor="text1"/>
          <w:sz w:val="16"/>
          <w:szCs w:val="16"/>
        </w:rPr>
      </w:pPr>
    </w:p>
    <w:p w14:paraId="328BA2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3846. О разрешении ВЦСПС и НКМФ присудить дополнительно одно знамя ГКО для победителей соцсоревнования.РГАНИР, Фонд ГКО, д. 142, лл. 84 (11012).</w:t>
      </w:r>
    </w:p>
    <w:p w14:paraId="31F8C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CC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3847 О расширении и строительстве карналлитовых обогатительных фабрик на Соликамском и Березниковском калийных комбинатах Наркомхимпрома.РГАНИР, Фонд ГКО, д. 142, лл. 85-90, 91-98 (11012).</w:t>
      </w:r>
    </w:p>
    <w:p w14:paraId="07AE3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D9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3849. О мерах по выполнению постановления ГКО № 3376 от 15 мая 1943 г. о восстановлении завода "Красный Октябрь" в Сталинграде.РГАНИР, Фонд ГКО, д. 142, лл. 100-102 (11012).</w:t>
      </w:r>
    </w:p>
    <w:p w14:paraId="035C67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D3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3850. О поставках НКМВ аппаратуры Дмитриевскому заводу НКлеса СССР.РГАНИР, Фонд ГКО, д. 142, лл. 103 (11012).</w:t>
      </w:r>
    </w:p>
    <w:p w14:paraId="4993D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4F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3851. Об оставлении на период военного времени для работы на предприятиях НКЦМ заключенных, освобождающихся после отбытия наказания в 1943 г.РГАНИР, Фонд ГКО, д. 142, лл. 104 (11012).</w:t>
      </w:r>
    </w:p>
    <w:p w14:paraId="3F0AE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D59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3852 Об организации внутриобластного социалистического соревнования контор связи Наркомсвязи.РГАНИР, Фонд ГКО, д. 142, лл. 105 (11012).</w:t>
      </w:r>
    </w:p>
    <w:p w14:paraId="26EA5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7E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3853. Об изменении плана производства и поставок химических материалов в III кв. 1943 г.РГАНИР, Фонд ГКО, д. 142, лл. 106 (11012).</w:t>
      </w:r>
    </w:p>
    <w:p w14:paraId="637AEE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62DE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3854 О производстве специальных аппаратов для нужд Красной Армии и Наркомгосбезопасности СССР. (7130, 107-109,110).</w:t>
      </w:r>
    </w:p>
    <w:p w14:paraId="33EC273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A99E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3855. О поставке материалов и горючего НКБП.РГАНИР, Фонд ГКО, д. 142, лл. 111, 112 (11012).</w:t>
      </w:r>
    </w:p>
    <w:p w14:paraId="5744E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DD3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августа 1943 вышло Постановление ГКО № 3857 О мероприятиях по обеспечению строительства железнодорожной линии Комсомольск - Советская гавань.РГАНИР, </w:t>
      </w:r>
      <w:r w:rsidRPr="00271E51">
        <w:rPr>
          <w:rFonts w:ascii="Times New Roman" w:hAnsi="Times New Roman"/>
          <w:color w:val="000000" w:themeColor="text1"/>
          <w:sz w:val="16"/>
          <w:szCs w:val="16"/>
        </w:rPr>
        <w:lastRenderedPageBreak/>
        <w:t>Фонд ГКО, д. 142, лл. 116-132, 133-168 (11012).</w:t>
      </w:r>
    </w:p>
    <w:p w14:paraId="726EF3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122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3859 О мерах неотложной помощи рабочей силой предприятиям черной металлургии.РГАНИР, Фонд ГКО, д. 142, лл. 170 (11012).</w:t>
      </w:r>
    </w:p>
    <w:p w14:paraId="003280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54C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3860. О мерах помощи отдельным предприятиям Наркомчермета.РГАНИР, Фонд ГКО, д. 142, лл. 171-173 (11012).</w:t>
      </w:r>
    </w:p>
    <w:p w14:paraId="2B08B7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57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3861 О восстановлении добычи марганцевой руды на рудниках треста "Чиатурмарганец" Наркомчермета.РГАНИР, Фонд ГКО, д. 142, лл. 174-177, 178 (11012).</w:t>
      </w:r>
    </w:p>
    <w:p w14:paraId="02CFD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85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3862 О мероприятиях материально-технического обеспечения Главкислорода при СНК СССР по изготовлению турбокислородных установок.РГАНИР, Фонд ГКО, д. 142, лл. 179-181, 182-196 (11012).</w:t>
      </w:r>
    </w:p>
    <w:p w14:paraId="139F0D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3BC4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B1BD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61B49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в 1943 году оперативная сводка Совинформбюро:</w:t>
      </w:r>
    </w:p>
    <w:p w14:paraId="505AD6C8"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августа наши войска на Орловском направлении продолжали наступление, продвинулись на отдельных участках от 6 до 10 километров, заняли свыше 70 населённых пунктов и среди них районный центр Знаменское.</w:t>
      </w:r>
    </w:p>
    <w:p w14:paraId="47EE982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поиски разведчиков.</w:t>
      </w:r>
    </w:p>
    <w:p w14:paraId="274F5C9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продолжали успешно отбивать атаки крупных сил пехоты и танков противника с большими для него потерями.</w:t>
      </w:r>
    </w:p>
    <w:p w14:paraId="2AA0F47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районах севернее и восточнее Мга, продолжались усиленные поиски разведчиков и интенсивная артиллерийско-миномётная перестрелка с обеих сторон.</w:t>
      </w:r>
    </w:p>
    <w:p w14:paraId="7BCE3AC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августа на всех фронтах наши войска подбили и уничтожили 77 немецких танков, из них 56 танков в районе Донбасса. В воздушных боях и огнём зенитной артиллерии сбито 119 самолётов противника.</w:t>
      </w:r>
    </w:p>
    <w:p w14:paraId="31B12F05"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7565A71C"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северо-западнее Орла наши наступающие войска заняли более 40 населённых пунктов. Бойцы Н-ской части стремительным манёвром окружили одно большое село и в ожесточённой схватке уничтожили не менее батальона немецкой пехоты. Захвачены 9 танков, 16 орудий, склады с продовольствием и боеприпасами.</w:t>
      </w:r>
    </w:p>
    <w:p w14:paraId="57C8C446"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Орла части Н-ского соединения с боями продвигались вперёд и заняли 26 населённых пунктов. Истреблено свыше 1.000 немецких солдат и офицеров. Бойцы другого нашего соединения овладели двумя населёнными пунктами, сильно укреплёнными противником. В бою за эти пункты уничтожено 600 гитлеровцев, подбито и уничтожено 12 немецких танков, 3 самоходных и 12 полевых орудий.</w:t>
      </w:r>
    </w:p>
    <w:p w14:paraId="4C1E88D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содействовала действиям наших наземных войск. Нашими лётчиками уничтожено более 200 автомашин и взорвано несколько складов боеприпасов. В воздушных боях за день сбито 54 немецких самолёта. Кроме того, за вчерашний день огнём зенитной артиллерии сбито ещё 12 самолётов противника.</w:t>
      </w:r>
    </w:p>
    <w:p w14:paraId="4A75ABE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отражали атаки крупных сил танков и пехоты противника. Группы немецких танков, по 60—80 машин каждая, несколько раз штурмовали советские позиции. Вслед за танками двигалась вражеская пехота. Наши части успешно отбивали атаки пехоты и танков противника и нанесли немецким войскам большой урон. Артиллеристы и пехотинцы Н-ского соединения за день уничтожили 24 вражеских танка. На другом участке советские части уничтожили 32 немецких танка и до 2.000 солдат и офицеров противника. Пленные из одной немецкой танковой дивизии сообщили, что за первые два дня боёв многие подразделения их дивизии потеряли от 50 до 80 процентов личного состава.</w:t>
      </w:r>
    </w:p>
    <w:p w14:paraId="1F4F9A8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воздушных боях сбили 34 вражеских самолёта.</w:t>
      </w:r>
    </w:p>
    <w:p w14:paraId="4BE8D575"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части вели огневой бой с противником. Артиллеристы и миномётчики разрушили 24 немецких дзота и 9 блиндажей, уничтожили 5 орудий и до 80 автомашин противника. Подавлен огонь многих вражеских артиллерийских и миномётных батарей.</w:t>
      </w:r>
    </w:p>
    <w:p w14:paraId="3E51D939"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десяти воздушных боях наши лётчики сбили 19 немецких самолётов.</w:t>
      </w:r>
    </w:p>
    <w:p w14:paraId="650732E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Краснознамённого Балтийского флота атаковали в Финском заливе караван вражеских судов. Самолётами-торпедоносцами потоплены два транспорта общим водоизмещением в 11 тысяч тонн и сторожевой катер противника.</w:t>
      </w:r>
    </w:p>
    <w:p w14:paraId="6037AD0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потопила в Чёрном море транспорт и два сторожевых катера противника.</w:t>
      </w:r>
    </w:p>
    <w:p w14:paraId="52F6478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разведчики под командованием старшего сержанта Заозёрного совершили налёт на вражеские траншеи. Появление красноармейцев в расположении противника было столь неожиданным, что гитлеровцы, не оказав серьёзного сопротивления, обратились в бегство. Наши разведчики истребили свыше4 0 немцев и взорвали несколько вражеских дзотов.</w:t>
      </w:r>
    </w:p>
    <w:p w14:paraId="4D22D94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успешно провёл бой с крупной карательной экспедицией немцев. Советские патриоты в течение дня отбили несколько атак противника, а затем перешли в решительную контратаку. Гитлеровцы были прижаты к реке и под сильным огнём партизан пустились вплавь. Много немцев утонуло, не достигнув другого берега. На берегу реки осталось 80 вражеских трупов. Захвачены трофеи и пленные. Партизаны другого ленинградского отряда в ночь на 25 июля взорвали железнодорожный мост и пустили под откос поезд противника. Уничтожены 5 вагонов с солдатами и 8 платформ станками и автомашинами.</w:t>
      </w:r>
    </w:p>
    <w:p w14:paraId="4CF6BE2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истязают и убивают пленных советских бойцов. Красноармеец Юдин, находившийся на одном из участков Белгородского направления, рассказал: «15 июля я был ранен в ногу, потерял сознание и попал в плен. Вместе со мной были ещё три тяжело раненых красноармейца. К нам подошли три немецких офицера. Один из них сказал по-русски: «Ползи, ползи к своим». Мы поползли. Гитлеровцы отошли, а затем начали стрелять. Одна пуля попала мне в левую лопатку. Я понял, что, если ползти дальше, гады добьют меня, и притворился мёртвым. Находившийся справа от меня раненый застонал. Прогремело ещё нескольковыстрелов, и он был убит. Вскоре наши части отбросили немцев и спасли меня.</w:t>
      </w:r>
    </w:p>
    <w:p w14:paraId="30E9C8F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Заживут мои раны, я опять пойду на фронт и буду беспощадно мстить фашистским палачам, пока в груди бьётся сердце и в жилах течёт кровь» (14971).</w:t>
      </w:r>
    </w:p>
    <w:p w14:paraId="13CE992C"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77D6FBB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в 1943 году завершилась Миусская операция, войска Южного фронта сковали группировку противника в Донбассе, не позволили ему перебросить войска в район Курского выступа, привлекли на себя два танковых корпуса из-под Харькова и Орла (14971).</w:t>
      </w:r>
    </w:p>
    <w:p w14:paraId="0D843178"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236A7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 1-й гвардейской Сталинградской иад и 273-ю иад 6-го иак (16 ВА, Центральный фронт), где проходили войсковые испытания Як-9Т не вернулся с задания летчик того же полка капитан Овчаров, летавший на Як-9Т № 0118 (18-й боевой вылет). Прикрывая наземные войска, капитан Овчаров в воздушном бою с FW-190, Ме-109 и Не-111 сбил два самолета врага: Ме-109 и Не-111, но попал под огонь FW-190. Уйдя после этого в облачность, истребитель Овчарова вышел из облаков с отвесным пикированием и был потерян из виду (12046).</w:t>
      </w:r>
    </w:p>
    <w:p w14:paraId="46859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A1D65" w14:textId="77777777" w:rsidR="007F45FB" w:rsidRPr="00271E51" w:rsidRDefault="007F45FB"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2 августа 1943 г. две восьмерки из 571-го ШАП в сопровождении шестнадцати Як-9 атаковали эшелоны на станции Большое Юрьево, и сами подверглись атаке «Фокке-Вульфов». Группа ст. л-та Маринкина с ходу отбомбилась и, потеряв одну машину, ушла, надежно прикрываемая «Яка</w:t>
      </w:r>
      <w:r w:rsidRPr="00271E51">
        <w:rPr>
          <w:rFonts w:ascii="Times New Roman" w:cs="Times New Roman"/>
          <w:color w:val="0070C0"/>
          <w:spacing w:val="0"/>
          <w:sz w:val="16"/>
          <w:szCs w:val="16"/>
        </w:rPr>
        <w:softHyphen/>
        <w:t>ми». Второй группе, ведомой л-том И. Старченковым, не по</w:t>
      </w:r>
      <w:r w:rsidRPr="00271E51">
        <w:rPr>
          <w:rFonts w:ascii="Times New Roman" w:cs="Times New Roman"/>
          <w:color w:val="0070C0"/>
          <w:spacing w:val="0"/>
          <w:sz w:val="16"/>
          <w:szCs w:val="16"/>
        </w:rPr>
        <w:softHyphen/>
        <w:t>везло: прикрытие ввязалось в бой с немцами, пути отхода отсекли огнем вражеские зенитчики, и восьмерка «Фокке- Вульфов» сбила сразу семь Ил-2 (19854).</w:t>
      </w:r>
    </w:p>
    <w:p w14:paraId="5EA66C94" w14:textId="77777777" w:rsidR="007F45FB" w:rsidRPr="00271E51" w:rsidRDefault="007F45FB" w:rsidP="00271E51">
      <w:pPr>
        <w:pStyle w:val="36"/>
        <w:shd w:val="clear" w:color="auto" w:fill="auto"/>
        <w:spacing w:after="0" w:line="240" w:lineRule="auto"/>
        <w:jc w:val="both"/>
        <w:rPr>
          <w:rFonts w:ascii="Times New Roman" w:cs="Times New Roman"/>
          <w:color w:val="0070C0"/>
          <w:spacing w:val="0"/>
          <w:sz w:val="16"/>
          <w:szCs w:val="16"/>
        </w:rPr>
      </w:pPr>
    </w:p>
    <w:p w14:paraId="0E1017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лейтенант Яшин на лобовой атаке на Як-9Т сбил FW-190. В тот день группа из четырех "фокке-вульфов", идя в лобовую атаку, открыла огонь на дистанции 800-600 м, Яшин же, выбрав момент, открыл огонь с вдвое меньшего расстояния. Когда "немцы" стали отворачивать, Яшин дал четыре очереди из 37-миллиметрового орудия по 4-5 снарядов, один из которых попал в FW-190.</w:t>
      </w:r>
    </w:p>
    <w:p w14:paraId="1A542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истребителей противника были сбиты сзади: сверху и сбоку, на дистанциях 25-400 м очередями по 3-5 снарядов.</w:t>
      </w:r>
    </w:p>
    <w:p w14:paraId="2A3FB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противника ходили парами или четверками эшелонированно на высотах от 500 до 5000 м. В ходе боя эти группы наращивались. Излюбленными у пилотов FW-190 были атаки сверху с солнечной стороны. Проведя одну - две атаки, они уходили вверх, откуда выискивали отставших или выходивших из боя наших истребителей.</w:t>
      </w:r>
    </w:p>
    <w:p w14:paraId="69EB66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Пилоты FW-190 чаще всего вели бои на вертикалях, что было не выгодно нашим летчикам, из-за меньшей скороподъемности противотанковых "яков". На виражах, </w:t>
      </w:r>
      <w:r w:rsidRPr="00271E51">
        <w:rPr>
          <w:rFonts w:ascii="Times New Roman" w:hAnsi="Times New Roman"/>
          <w:color w:val="000000" w:themeColor="text1"/>
          <w:sz w:val="16"/>
          <w:szCs w:val="16"/>
        </w:rPr>
        <w:lastRenderedPageBreak/>
        <w:t>особенно правом, Як-9Т легко заходил "немцу" в хвост, а на пикировании догонял его. Лобовые атаки со стрельбой из 37-мм пушки пилоты FW-190 не выдерживали, уклоняясь от боя. Выход "яка" из боя происходил путем разворота со скольжением. Отмечались случаи, когда преследуемые FW-190 при резком вводе в правый вираж срывались в штопор.</w:t>
      </w:r>
    </w:p>
    <w:p w14:paraId="06D7B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истребителеми, применявшимися противником на Центральном фронте, были FW-190, количество которых в группе доходило порой до 30. Воздушные бои с ними проходили на различных высотах, как на встречных, так и на преследующих курсах. В отчете о результатах войсковых испытаний Як-9Т чаще других упоминается молодой и очень инициативный летчик Зеленин. Например, 7 июня лейтенант Зеленин, выбивая с хвоста ведущего своей группы FW-190 с превышением 500 м, атаковал "немца" на дистанции 25 м и сбил его. Спустя месяц этот же летчик встретился с FW-190 на встречных курсах. "Немец" сделал полупереворот и стал заходить в хвост "яка". Видя это, Зеленин отвернул влево со снижением и скольжением, но пилот FW-190, сблизившись на дистанцию 50 м, начал стрелять. Огненные трассы прошли в 15 м от "яка". Зеленин разогнал "як" со снижением, и "немец" отстал. Затем наш летчик выполнил полупереворот, но оказавшись ниже "фок- ке-вульфа", энергично сделал горку, набрав 500 м высоты. Сблизившись на дистанцию около 400 м, летчик дал прицельную очередь из УБС, но FW-190, имея преимущество в скорости, ушел вверх (12046).</w:t>
      </w:r>
    </w:p>
    <w:p w14:paraId="1D8815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1B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на орловско-курском направлении в воздушных боях было сбито 134 с противника и уничтожено 200 а/м и несколько складов с боеприпасами (3792).</w:t>
      </w:r>
    </w:p>
    <w:p w14:paraId="3EF8D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9CB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года в 5-ю гвардейскую армию прибыл 1902-ой САП в составе 15 СУ-76И. До 14 августа полк в бой не вводился, а занимался ремонтом САУ и ждал пополнения автотранспортом (первоначально количество автомобилей в САП составляло 10% от штатной численности). В это же время на укомплектование полка поступило пять СУ-122 (9695).</w:t>
      </w:r>
    </w:p>
    <w:p w14:paraId="7D5F2E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BAA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 в 5-ю гвардейскую армию прибыл 1902-й САП, в составе 15 СУ С-1, но в течение двух недель (до 14 августа) полк в боях не участвовал, так как ре</w:t>
      </w:r>
      <w:r w:rsidRPr="00271E51">
        <w:rPr>
          <w:rFonts w:ascii="Times New Roman" w:hAnsi="Times New Roman"/>
          <w:color w:val="000000" w:themeColor="text1"/>
          <w:sz w:val="16"/>
          <w:szCs w:val="16"/>
        </w:rPr>
        <w:softHyphen/>
        <w:t>монтировал изношенную матчасть и ждал пополнения ав</w:t>
      </w:r>
      <w:r w:rsidRPr="00271E51">
        <w:rPr>
          <w:rFonts w:ascii="Times New Roman" w:hAnsi="Times New Roman"/>
          <w:color w:val="000000" w:themeColor="text1"/>
          <w:sz w:val="16"/>
          <w:szCs w:val="16"/>
        </w:rPr>
        <w:softHyphen/>
        <w:t>тотранспортом. С 14 по 31 августа полк участвовал в пяти боях, в которых самоходчики уничтожили два танка, девять орудий, 12 пулеметов и до 250 чел. немецких солдат и офицеров.Согласно докладу командира полка вся материаль</w:t>
      </w:r>
      <w:r w:rsidRPr="00271E51">
        <w:rPr>
          <w:rFonts w:ascii="Times New Roman" w:hAnsi="Times New Roman"/>
          <w:color w:val="000000" w:themeColor="text1"/>
          <w:sz w:val="16"/>
          <w:szCs w:val="16"/>
        </w:rPr>
        <w:softHyphen/>
        <w:t>ная часть СУ-76 (на базе Т-1П) находилась в плохом состо</w:t>
      </w:r>
      <w:r w:rsidRPr="00271E51">
        <w:rPr>
          <w:rFonts w:ascii="Times New Roman" w:hAnsi="Times New Roman"/>
          <w:color w:val="000000" w:themeColor="text1"/>
          <w:sz w:val="16"/>
          <w:szCs w:val="16"/>
        </w:rPr>
        <w:softHyphen/>
        <w:t>янии. В сентябре полк участвовал в 14 боях силами от двух до семи САУ. Наиболее результативными были бои 20—23 сентября, когда группа из шести СУ С-1, преследуя отсту</w:t>
      </w:r>
      <w:r w:rsidRPr="00271E51">
        <w:rPr>
          <w:rFonts w:ascii="Times New Roman" w:hAnsi="Times New Roman"/>
          <w:color w:val="000000" w:themeColor="text1"/>
          <w:sz w:val="16"/>
          <w:szCs w:val="16"/>
        </w:rPr>
        <w:softHyphen/>
        <w:t>пающего противника, уничтожила три немецких танка. 25 ноября 1902-й Кременчугский САП потерял все свои ма</w:t>
      </w:r>
      <w:r w:rsidRPr="00271E51">
        <w:rPr>
          <w:rFonts w:ascii="Times New Roman" w:hAnsi="Times New Roman"/>
          <w:color w:val="000000" w:themeColor="text1"/>
          <w:sz w:val="16"/>
          <w:szCs w:val="16"/>
        </w:rPr>
        <w:softHyphen/>
        <w:t>шины и убыл на переформирование.</w:t>
      </w:r>
    </w:p>
    <w:p w14:paraId="6E5439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Самоходчики любили эту машину за то, что при нали</w:t>
      </w:r>
      <w:r w:rsidRPr="00271E51">
        <w:rPr>
          <w:rFonts w:ascii="Times New Roman" w:hAnsi="Times New Roman"/>
          <w:color w:val="000000" w:themeColor="text1"/>
          <w:sz w:val="16"/>
          <w:szCs w:val="16"/>
        </w:rPr>
        <w:softHyphen/>
        <w:t>чии закрытого боевого отделения она не была такой тес</w:t>
      </w:r>
      <w:r w:rsidRPr="00271E51">
        <w:rPr>
          <w:rFonts w:ascii="Times New Roman" w:hAnsi="Times New Roman"/>
          <w:color w:val="000000" w:themeColor="text1"/>
          <w:sz w:val="16"/>
          <w:szCs w:val="16"/>
        </w:rPr>
        <w:softHyphen/>
        <w:t>ной, как СУ-85 или трофейные 8ШО 40. Часто им приходи</w:t>
      </w:r>
      <w:r w:rsidRPr="00271E51">
        <w:rPr>
          <w:rFonts w:ascii="Times New Roman" w:hAnsi="Times New Roman"/>
          <w:color w:val="000000" w:themeColor="text1"/>
          <w:sz w:val="16"/>
          <w:szCs w:val="16"/>
        </w:rPr>
        <w:softHyphen/>
        <w:t>лось выполнять типично «танковые» задачи — поддержку и сопровождение пехоты, борьбу с вражескими огневыми точками. И только наличие одного люка (а в 1943 г. немец</w:t>
      </w:r>
      <w:r w:rsidRPr="00271E51">
        <w:rPr>
          <w:rFonts w:ascii="Times New Roman" w:hAnsi="Times New Roman"/>
          <w:color w:val="000000" w:themeColor="text1"/>
          <w:sz w:val="16"/>
          <w:szCs w:val="16"/>
        </w:rPr>
        <w:softHyphen/>
        <w:t>ких шасси с бортовыми «лючками» почти не осталось) за</w:t>
      </w:r>
      <w:r w:rsidRPr="00271E51">
        <w:rPr>
          <w:rFonts w:ascii="Times New Roman" w:hAnsi="Times New Roman"/>
          <w:color w:val="000000" w:themeColor="text1"/>
          <w:sz w:val="16"/>
          <w:szCs w:val="16"/>
        </w:rPr>
        <w:softHyphen/>
        <w:t>трудняло эвакуацию из САУ в случае ее загорания. По опыту боев на Курской дуге, в августе 1943 г. с самоходных установок СУ-12М и СУ С-1 (которые стали называть так</w:t>
      </w:r>
      <w:r w:rsidRPr="00271E51">
        <w:rPr>
          <w:rFonts w:ascii="Times New Roman" w:hAnsi="Times New Roman"/>
          <w:color w:val="000000" w:themeColor="text1"/>
          <w:sz w:val="16"/>
          <w:szCs w:val="16"/>
        </w:rPr>
        <w:softHyphen/>
        <w:t>же СУ-76(И)) начали демонтировать крышу, так как венти</w:t>
      </w:r>
      <w:r w:rsidRPr="00271E51">
        <w:rPr>
          <w:rFonts w:ascii="Times New Roman" w:hAnsi="Times New Roman"/>
          <w:color w:val="000000" w:themeColor="text1"/>
          <w:sz w:val="16"/>
          <w:szCs w:val="16"/>
        </w:rPr>
        <w:softHyphen/>
        <w:t>ляция боевого отделения у них была отвратительной.</w:t>
      </w:r>
    </w:p>
    <w:p w14:paraId="302881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о таких машинах упоминается в донесении штаба 1-й немецкой танковой армии управлению «Иност</w:t>
      </w:r>
      <w:r w:rsidRPr="00271E51">
        <w:rPr>
          <w:rFonts w:ascii="Times New Roman" w:hAnsi="Times New Roman"/>
          <w:color w:val="000000" w:themeColor="text1"/>
          <w:sz w:val="16"/>
          <w:szCs w:val="16"/>
        </w:rPr>
        <w:softHyphen/>
        <w:t>ранные армии — Восток»(«Абвер»): «В 177-м полку 64-й ме</w:t>
      </w:r>
      <w:r w:rsidRPr="00271E51">
        <w:rPr>
          <w:rFonts w:ascii="Times New Roman" w:hAnsi="Times New Roman"/>
          <w:color w:val="000000" w:themeColor="text1"/>
          <w:sz w:val="16"/>
          <w:szCs w:val="16"/>
        </w:rPr>
        <w:softHyphen/>
        <w:t>ханизированной бригады имеется 4 роты по 11 танков в каж</w:t>
      </w:r>
      <w:r w:rsidRPr="00271E51">
        <w:rPr>
          <w:rFonts w:ascii="Times New Roman" w:hAnsi="Times New Roman"/>
          <w:color w:val="000000" w:themeColor="text1"/>
          <w:sz w:val="16"/>
          <w:szCs w:val="16"/>
        </w:rPr>
        <w:softHyphen/>
        <w:t xml:space="preserve">дой. Эти танки имеют обозначение </w:t>
      </w:r>
      <w:r w:rsidRPr="00271E51">
        <w:rPr>
          <w:rFonts w:ascii="Times New Roman" w:hAnsi="Times New Roman"/>
          <w:color w:val="000000" w:themeColor="text1"/>
          <w:sz w:val="16"/>
          <w:szCs w:val="16"/>
          <w:lang w:val="en-US"/>
        </w:rPr>
        <w:t>sturmgeschutz</w:t>
      </w:r>
      <w:r w:rsidRPr="00271E51">
        <w:rPr>
          <w:rFonts w:ascii="Times New Roman" w:hAnsi="Times New Roman"/>
          <w:color w:val="000000" w:themeColor="text1"/>
          <w:sz w:val="16"/>
          <w:szCs w:val="16"/>
        </w:rPr>
        <w:t xml:space="preserve"> 76тт. Они изготовлены на шасси немецкого танка </w:t>
      </w:r>
      <w:r w:rsidRPr="00271E51">
        <w:rPr>
          <w:rFonts w:ascii="Times New Roman" w:hAnsi="Times New Roman"/>
          <w:color w:val="000000" w:themeColor="text1"/>
          <w:sz w:val="16"/>
          <w:szCs w:val="16"/>
          <w:lang w:val="en-US"/>
        </w:rPr>
        <w:t>PanzerIII</w:t>
      </w:r>
      <w:r w:rsidRPr="00271E51">
        <w:rPr>
          <w:rFonts w:ascii="Times New Roman" w:hAnsi="Times New Roman"/>
          <w:color w:val="000000" w:themeColor="text1"/>
          <w:sz w:val="16"/>
          <w:szCs w:val="16"/>
        </w:rPr>
        <w:t xml:space="preserve"> с двигате</w:t>
      </w:r>
      <w:r w:rsidRPr="00271E51">
        <w:rPr>
          <w:rFonts w:ascii="Times New Roman" w:hAnsi="Times New Roman"/>
          <w:color w:val="000000" w:themeColor="text1"/>
          <w:sz w:val="16"/>
          <w:szCs w:val="16"/>
        </w:rPr>
        <w:softHyphen/>
        <w:t xml:space="preserve">лем </w:t>
      </w:r>
      <w:r w:rsidRPr="00271E51">
        <w:rPr>
          <w:rFonts w:ascii="Times New Roman" w:hAnsi="Times New Roman"/>
          <w:color w:val="000000" w:themeColor="text1"/>
          <w:sz w:val="16"/>
          <w:szCs w:val="16"/>
          <w:lang w:val="en-US"/>
        </w:rPr>
        <w:t>Maybach</w:t>
      </w:r>
      <w:r w:rsidRPr="00271E51">
        <w:rPr>
          <w:rFonts w:ascii="Times New Roman" w:hAnsi="Times New Roman"/>
          <w:color w:val="000000" w:themeColor="text1"/>
          <w:sz w:val="16"/>
          <w:szCs w:val="16"/>
        </w:rPr>
        <w:t>. Новая рубка имеет толщину 3—4 см в лобовой части, на бортах — 1—1,5см. Рубка открыта сверху...» (11417).</w:t>
      </w:r>
    </w:p>
    <w:p w14:paraId="1CF4E7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657E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 в 5-ю гвардейскую армию прибыл 1902-й самоходио-артиллерийский полк в составе пятнадцати СУ-76И. До 14 августа полк в бой не вводился, а занимался ремонтом САУ и ждал пополнения автотранспортом (первоначально количество автомобилей в полку составляло 10 % от штатной численности). В это же время на укомплектование полка поступило пять СУ-122. С 14 по 31 августа полк участвовал в пяти боях (в среднем на 2—3 боя больше, чем любой другой полк армии). За этот период самоходчики уничтожили 2 танка, 9 орудий, 12 пулеметов и до 250 вражеских солдат и офицеров. Согласно докладу командира полка от 1 сентября, «все машины, участвовавшие в ггоедыдущих боях, имеют повреждения. Отдельные машины восстанавливались по нескольку раз, вся матчасть СУ-76 (на базе Pz. ГП) изношена и находится в плохом состоянии. Полк был постоянно недоукомплектован, подготовка личного состава — удовлетворительная». В сентябре 1943 г. полк участвовал в 14 боях, в которые одновременно вводилось от двух до семи машин СУ-76И. Своим огнем самоходки оказывали существенную помощь пехоте при отражении атак противника (12687).</w:t>
      </w:r>
    </w:p>
    <w:p w14:paraId="5D774AF4"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4834D3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завершилась Миусская операция, войска Южного фронта сковали группировку противника в Донбассе, не позволили ему перебросить войска в район Курского выступа, привлекли на себя два танковых корпуса из-под Харькова и Орла (4963 ).</w:t>
      </w:r>
    </w:p>
    <w:p w14:paraId="7C369B0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E78B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2, 1943: German forces repel massive Soviet attacks at Isjum and the Mius river line (3819).</w:t>
      </w:r>
    </w:p>
    <w:p w14:paraId="2ED9F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7685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германские войска отбили массированную атаку КА у Изюма и на р. Миус (3819).</w:t>
      </w:r>
    </w:p>
    <w:p w14:paraId="2FF31D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C421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630FE0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364C8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Распоряжение ГКО № 3848 [О выработке мер по обеспечению уборки и сушки картофеля.] (7130, 99).</w:t>
      </w:r>
    </w:p>
    <w:p w14:paraId="0523C1D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D068C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3856 О мероприятиях по обеспечению восстановления Верхне-Волжского бейшлота на реке Волге у г. Селижарово. (7130, 113-114,115).</w:t>
      </w:r>
    </w:p>
    <w:p w14:paraId="2150E7C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766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вышло Постановление ГКО № 3857 О мероприятиях по обеспечению строительства железнодорожной линии Комсомольск - Советская гавань. (7130, 116-132,133-168).</w:t>
      </w:r>
    </w:p>
    <w:p w14:paraId="5D8312D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7792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A6EE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99B51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в 1943 году в ходе испытаний на приземлении у итальянского экспериментального истребителя «Р.119» отказали тормоза. Истребитель скапотировал, помяв нос фюзеляжа и винт. Начавшийся ремонт завершить так и не удалось. В сентябре Италия капитулировала и большую часть перспективных разработок пришлось отложить или полностью закрыть. К опытному истребителю «Р.119» большого интереса никто не проявил, поэтому восстановление самолёта прервали, разобрав его на металл (14971).</w:t>
      </w:r>
    </w:p>
    <w:p w14:paraId="12C62DE5"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3F70CA67"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августа 1943 C-87 Liberator Экспресс армии США, который эксплуатировался United Airlines, перевозящий граждан Японии, предназначающихся для обмена союзных военнопленных, падает сразу после взлета из Whenuapai Аэродрома в Окленде, Новая Зеландия , погибло 16 из 30 людей на борту (20376).</w:t>
      </w:r>
    </w:p>
    <w:p w14:paraId="6511B79E" w14:textId="77777777" w:rsidR="007F45FB" w:rsidRPr="00271E51" w:rsidRDefault="007F45FB" w:rsidP="00271E51">
      <w:pPr>
        <w:spacing w:after="0" w:line="240" w:lineRule="auto"/>
        <w:jc w:val="both"/>
        <w:rPr>
          <w:rFonts w:ascii="Times New Roman" w:hAnsi="Times New Roman"/>
          <w:color w:val="0070C0"/>
          <w:sz w:val="16"/>
          <w:szCs w:val="16"/>
        </w:rPr>
      </w:pPr>
    </w:p>
    <w:p w14:paraId="73BE1F4F"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августа 1943 C-46 Commando, несущий экипаж из четырех сленов экипажа и 18 пассажиров , в том числе CBS News корреспондентского Эрика Севарейд врежется в хребет Patkai на границе Бирма - Индия, убив его офицера. Все остальные -, несколько человек получают травмы в процессе, и проводят на земле 22 дня, прежде чем выздоровеют (20376).</w:t>
      </w:r>
    </w:p>
    <w:p w14:paraId="5FC3FDA7" w14:textId="77777777" w:rsidR="007F45FB" w:rsidRPr="00271E51" w:rsidRDefault="007F45FB" w:rsidP="00271E51">
      <w:pPr>
        <w:spacing w:after="0" w:line="240" w:lineRule="auto"/>
        <w:jc w:val="both"/>
        <w:rPr>
          <w:rFonts w:ascii="Times New Roman" w:hAnsi="Times New Roman"/>
          <w:color w:val="0070C0"/>
          <w:sz w:val="16"/>
          <w:szCs w:val="16"/>
        </w:rPr>
      </w:pPr>
    </w:p>
    <w:p w14:paraId="7CE6D57E"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августа (ночь) 1943 последний налет 740 британских бомбардировщиков в битве при Гамбурге терпит неудачу, когда бомбардировщики сталкиваются с грозами над северной Германией и сбрасывают свои бомбы на территорию в 100 миль (160 км) в поперечнике. Тридцать британских самолетов не возвращаются. Несмотря на нанесенный огромный ущерб, операция «Гоморра» не смогла полностью уничтожить Гамбург (20376).</w:t>
      </w:r>
    </w:p>
    <w:p w14:paraId="3E993D35" w14:textId="77777777" w:rsidR="007F45FB" w:rsidRPr="00271E51" w:rsidRDefault="007F45FB" w:rsidP="00271E51">
      <w:pPr>
        <w:spacing w:after="0" w:line="240" w:lineRule="auto"/>
        <w:jc w:val="both"/>
        <w:rPr>
          <w:rFonts w:ascii="Times New Roman" w:hAnsi="Times New Roman"/>
          <w:color w:val="0070C0"/>
          <w:sz w:val="16"/>
          <w:szCs w:val="16"/>
        </w:rPr>
      </w:pPr>
    </w:p>
    <w:p w14:paraId="57DB768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американцы наняли на военную службу сицилианских мулов для снабжения амуницией войска в горах (4962).</w:t>
      </w:r>
    </w:p>
    <w:p w14:paraId="195F8FD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1EAAD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в ходе восстания в концлагере Треблинка из лагеря сбежали до 600 заключенных, убиты 16 СС-овцев (4962).</w:t>
      </w:r>
    </w:p>
    <w:p w14:paraId="6D8CAB4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92E2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августа 1943 была предпринята неудачная попытка восстания в Треблинке в Польше. Взорвали крематорий. Вернули 200 чел. (3481).</w:t>
      </w:r>
    </w:p>
    <w:p w14:paraId="46141C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CC986"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в 1943 году неудачная попытка востания и побега в лагере смерти Треблинка (Польша), созданного гитлеровцами для "окончательного решения" еврейского вопроса. Сбегают до 600 заключенных, убиты 16 СС-овцев, уничтожается крематорий. Более двухсот беглецов будут убиты или возвращены в лагерь. За время существования лагеря в нем уничтожены 700—900 тысяч человек. После войны в живых останется менее ста узников концлагеря (14971).</w:t>
      </w:r>
    </w:p>
    <w:p w14:paraId="101BE057"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187A281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американский торпедный катер PT-109, которым командовал лейтенант Джон Ф.Кеннеди, был потоплен японским эсминцем у Соломоновых островов. Будущий президент получил ранение позвоночника, но помог спастись выжившим членам экипажа (4963 ).</w:t>
      </w:r>
    </w:p>
    <w:p w14:paraId="21610D4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47B14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будущий президент США Джон Кеннеди ранен в морском бою с японцами (4962).</w:t>
      </w:r>
    </w:p>
    <w:p w14:paraId="106942D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52B16"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в 1943 году в районе Соломоновых островов японский эсминец «Амагири» протаранил американский торпедный катер «РТ-109», которым командовал лейтенант Джон Кеннеди, будущий президент США. Ночью этого дня торпедные катера американцев атаковали 4 японских эсминца в проливе у небольшого острова Коломбангара, однако атака была отбита — флагман «Амагири» своим форштевнем разрезал надвое катер «РТ-109». Двое из тринадцати членов экипажа погибли, а поврежденное судно почти мгновенно пошло на дно. Оставшиеся в живых моряки несколько часов провели в воде, пока вплавь не добрались до близлежащего острова. При этом Кеннеди служил для своих подчиненных образцом мужества и находчивости. Будущий президент вынес на себе раненого механика Патрика МакМахона и помог ему добраться до суши. Оказавшись на острове, Кеннеди, как рассказывают его товарищи, вырезал на скорлупе кокосового ореха послание, которое один из местных жителей доставил спасателям ВМФ США. 7 августа специальная команда, направленная на помощь морякам потопленного торпедного катера, сняла их с острова (14971).</w:t>
      </w:r>
    </w:p>
    <w:p w14:paraId="5FC2B8B1"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4C344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японский эсминец у Соломоновых островов потопил (разрезав пополам) торпедный катер РТ-109, которым командовал лейтенант Д.Ф.Кеннеди. Получил травму позвоночника (3481).</w:t>
      </w:r>
    </w:p>
    <w:p w14:paraId="0C6E56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5BAE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итальянские подводные пловцы в гавани Александретты в Греции установили мину баулетти на норвежское судно Фернплант (7000 т), которое 5 августа покинуло порт и затем исчезло (3961, 59).</w:t>
      </w:r>
    </w:p>
    <w:p w14:paraId="76E069D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8435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1943 итальянский посол в Лиссабоне тайно вышел на союзников, предлагая им мирные переговоры (4962).</w:t>
      </w:r>
    </w:p>
    <w:p w14:paraId="614CC5F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53484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B08CA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58C9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Нач. штаба НИИ ВВС КА Иващенко писал в Секретариат НКАП письмо N 1/0108:</w:t>
      </w:r>
    </w:p>
    <w:p w14:paraId="28325C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поступлением на испытания в НИИ ВВС КА Ил-4 N 172301 2 М-88Б с улучшенной аэродинамикой и с крылом с деревянной обшивкой производства завода 23, прошу срочно выслать в НИИ ВВС приказ НКАП N 172с, согласно которого производилась постройка этого самолета." (1783,1).</w:t>
      </w:r>
    </w:p>
    <w:p w14:paraId="2F262C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5D0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директор завода 39 Абрамов направил А.И.Ш. телефонограмму в 20:30:</w:t>
      </w:r>
    </w:p>
    <w:p w14:paraId="50D685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Ил-6 сделано:</w:t>
      </w:r>
    </w:p>
    <w:p w14:paraId="50DED0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Винты исправлены за исключением возможности ставиться во флюгерное положение.</w:t>
      </w:r>
    </w:p>
    <w:p w14:paraId="0EEE5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Управление самолетом в люфтах, больших перегибах введены цепи Галя с заменой роликов шестеренкой.</w:t>
      </w:r>
    </w:p>
    <w:p w14:paraId="67B45B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Переделан костыль на временную конструкцию не убирающуюся в полете.</w:t>
      </w:r>
    </w:p>
    <w:p w14:paraId="0D20E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Исправлены тормозные колеса с проводкой шасси</w:t>
      </w:r>
    </w:p>
    <w:p w14:paraId="42CE3E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Рулежка назначена на 4 августа 1943 на 6 час. утра (1768,260).</w:t>
      </w:r>
    </w:p>
    <w:p w14:paraId="7D50D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B8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августа по 18 октября 1943 Як-9ПД испытывался в ЛИИ лл Г.М.Шияновым и В.И.Югановым и ви ЛИИ П.С.Лимаром и ОКБ К.Н.Мкртчан. Сделали 21 полет забираясь на 12500 м - 27 августа с М-105 ПД и 16 октября - 13100 м с М-106ПВ (65,125).</w:t>
      </w:r>
    </w:p>
    <w:p w14:paraId="0BCC17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9096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августа 1943 Г.М. Шиянов вместе с другим ведущим лётчиком ЛИИ — В.Н. Югановым испытывад в ЛИИ модифицированный со</w:t>
      </w:r>
      <w:r w:rsidRPr="00271E51">
        <w:rPr>
          <w:rFonts w:ascii="Times New Roman" w:hAnsi="Times New Roman"/>
          <w:color w:val="000000" w:themeColor="text1"/>
          <w:sz w:val="16"/>
          <w:szCs w:val="16"/>
        </w:rPr>
        <w:softHyphen/>
        <w:t>гласно Постановление ГКО от 12 июня 1943 г. Як-9Д № 01-29 с мотором М-105ПД. Чтобы получить требуемую по Постановлению ГКО боевую высотность — 13000 м, Яков</w:t>
      </w:r>
      <w:r w:rsidRPr="00271E51">
        <w:rPr>
          <w:rFonts w:ascii="Times New Roman" w:hAnsi="Times New Roman"/>
          <w:color w:val="000000" w:themeColor="text1"/>
          <w:sz w:val="16"/>
          <w:szCs w:val="16"/>
        </w:rPr>
        <w:softHyphen/>
        <w:t>лев, помимо установки нового мотора М-105ПД с повышенной с 6300 до 8500 м высот</w:t>
      </w:r>
      <w:r w:rsidRPr="00271E51">
        <w:rPr>
          <w:rFonts w:ascii="Times New Roman" w:hAnsi="Times New Roman"/>
          <w:color w:val="000000" w:themeColor="text1"/>
          <w:sz w:val="16"/>
          <w:szCs w:val="16"/>
        </w:rPr>
        <w:softHyphen/>
        <w:t>ностью, за счёт изменения передаточного числа ПЦН с 8,48 на 9,72, увеличил размах крыла самолёта на 1 м и на 0,65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его площадь, заодно провёл ряд мероприятий по снижению веса самолёта: боекомплект ШВАК сократился со 120 до 110 снарядов, сня</w:t>
      </w:r>
      <w:r w:rsidRPr="00271E51">
        <w:rPr>
          <w:rFonts w:ascii="Times New Roman" w:hAnsi="Times New Roman"/>
          <w:color w:val="000000" w:themeColor="text1"/>
          <w:sz w:val="16"/>
          <w:szCs w:val="16"/>
        </w:rPr>
        <w:softHyphen/>
        <w:t>ли протекторы бензобаков, храповик кока винта, весовую компенсацию элеронов и т.д.. В итоге полётная масса высотного Як-9, по сравнению с Як-9Д, уменьшилась на 272 кг, и теперь составляла 2845 кг, соответственно уменьшилась нагрузка на площадь крыла с 182,2 кг/м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до 159 кг/м</w:t>
      </w: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(15830).</w:t>
      </w:r>
    </w:p>
    <w:p w14:paraId="02DB6EBF"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373448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Зам. Нач. ВИАМ Амбарцумян писал Зам. НКАП П.Д.Воронину письмо N 565с в сопровождение копии акта осмотра лакокрасочных покрытий Як-9 и справку о состоянии л/к покрытий - много дефектов (1783).</w:t>
      </w:r>
    </w:p>
    <w:p w14:paraId="6BC23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64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г. по приказу № 470с завод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1309F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(1890 г.)- 200 чел.</w:t>
      </w:r>
    </w:p>
    <w:p w14:paraId="004100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(01-08.1940 г.-; 07.1945 г.)- С.И. Ведехин, (1942 г.)- Бондарев. Гендиректор (2003 г.)- В. Г. Кремов (12082).</w:t>
      </w:r>
    </w:p>
    <w:p w14:paraId="58ADF395" w14:textId="77777777" w:rsidR="00067190" w:rsidRPr="00271E51" w:rsidRDefault="0006719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668AE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EC68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894B9"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3-4 августа 1943 три СУ-85 проводились испытания стрельбой. Д-5С-85 практически сразу вырвалась вперёд, прежде всего благодаря удобству работы расчёта. Благодаря меньшей длине отката, наибольшей площади для работы заряжающего и наиболее удобной высоте линии заряжания система оказалась самой скорострельной. Скорострельность С-18 и С-18-1 составила 6-7 выстрелов в минуту, а Д-5С-85 — 8. Впрочем, все представленные системы испытаний стрельбой не выдержали. У лидировавшей Д-5С-85 имели место отказы механизма спуска, 30% выстрелов происходили с проблемами при экстракции гильзы. Наблюдалась течь жидкости из тормоза отката, причём началась она уже после 10 выстрелов. За 266 выстрелов вытек примерно литр стеола. На 267-м выстреле произошёл недокат системы, тормоз отката вышел из строя. Имелись у системы и конструктивные недостатки: расположение спускового механизма оказалось неудобным, а сам он оказался тугим.</w:t>
      </w:r>
    </w:p>
    <w:p w14:paraId="1B1E7ADD"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проблемы с работой Д-5С-85 оказались сущей мелочью по сравнению с теми, которые проявились у пушек разработки ЦАКБ. Неприятности с С-18 начались уже после 5-го выстрела и продолжались в ходе последующих испытаний. За 80 выстрелов случаи отказа полуавтоматики произошли 15 раз. Неоднократно наблюдались случаи самозакрывания клина. За 40 выстрелов давление в накатнике снизилось с 28 до 23 атмосфер, кроме того, наблюдался быстрый разогрев жидкости. Отмечалось большое количество недокатов, после 70-го выстрела начались резкие накаты со стуком. После 200 выстрелов спусковой механизм полностью вышел из строя. Имелись у этого орудия и очень серьёзные конструктивные недостатки. Например, для долива жидкости в откатный механизм требовалось снять подвижную бронировку системы.</w:t>
      </w:r>
    </w:p>
    <w:p w14:paraId="7B5C3B36"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Немного лучше дела обстояли с С-18-1, но и там многие проблемы С-18 повторились. Постепенно увеличивалась длина отката, наблюдалась течь жидкости после 173-х выстрелов. С 31-го выстрела начались резкие накаты со стуком. Из 110 последних выстрелов 47 происходило с самозакрыванием клина.</w:t>
      </w:r>
    </w:p>
    <w:p w14:paraId="1C587909"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По итогам сравнительных испытаний дальнейшая работа по системам С-18 и С-18-1 была прекращена, победителем в них вышла Д-5С-85. При этом заключительный вердикт предписывал доработать орудие, устранив выявленные дефекты. Не до конца соответствующим требованиям было признано и шасси СУ-85. Машину предлагалось пускать в серию с расширенным боевым отделением, по типу СУ-122М. Но на практике переделка боевого отделения оказалась совсем незначительной. СУ-85-II была принята на вооружение Красной армии в почти неизменном виде. Случилось это 8 августа 1943 года, когда Сталин подписал постановление ГКО №3892сс «Об организации производства 85 мм самоходных артустановок на базе танка Т-34 на Уралмашзаводе». Уже в августе в Свердловске выпустили первые серийные СУ-85.</w:t>
      </w:r>
    </w:p>
    <w:p w14:paraId="09280FD6"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СУ-85 стала первой из серийных советских САУ, шасси и вооружение которой полностью было спроектировано в Свердловске. За разработку этой машины коллектив УЗТМ был представлен к правительственным наградам, самой высокой из которых стала Сталинская премия. Высокие награды получил и коллектив завода №9 (17704).</w:t>
      </w:r>
    </w:p>
    <w:p w14:paraId="60F435BE" w14:textId="77777777" w:rsidR="00995DF2" w:rsidRPr="00271E51" w:rsidRDefault="00995DF2" w:rsidP="00271E51">
      <w:pPr>
        <w:pStyle w:val="12a"/>
        <w:shd w:val="clear" w:color="auto" w:fill="auto"/>
        <w:spacing w:after="0" w:line="240" w:lineRule="auto"/>
        <w:jc w:val="both"/>
        <w:rPr>
          <w:color w:val="000000" w:themeColor="text1"/>
          <w:sz w:val="16"/>
          <w:szCs w:val="16"/>
        </w:rPr>
      </w:pPr>
    </w:p>
    <w:p w14:paraId="13BEB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была подготовлена докладная записка секретаря парткома Ижевского мотоциклетного завода В.Н. Зорина о партийно-массовой работе и формировании кадрового состава предприятия</w:t>
      </w:r>
    </w:p>
    <w:p w14:paraId="15CA6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...Переход с выпуска мотоцикла на пулемет "Максим" и завода из НКСМ в Наркомат вооружения накладывал на парторганизацию завода, которая насчитывала в своих рядах до 45 членов и кандидатов партии, чрезвычайно большую ответственность.</w:t>
      </w:r>
    </w:p>
    <w:p w14:paraId="102FBE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было политически обеспечить успех всей организационно-технической перестройки завода, освоить и направить влившийся новый коллектив рабочих на выполнение производственной программы.</w:t>
      </w:r>
    </w:p>
    <w:p w14:paraId="1298F9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определить формы и методы в проведении партийно-массовой работы, необходимо было ясно себе представить особенности состава коллектива работающих на заводе, характеристика его в основном состоит в следующем:</w:t>
      </w:r>
    </w:p>
    <w:p w14:paraId="119E8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Мотозавод до 1 января 1942 года пользовался "монопольным" правом приема всех лиц, изъявляющих желание работать в машиностроении, тем более для лиц, имеющих заводскую специальность и по тем, или иным политическим мотивам лишенных права поступления на завод № 74. Число репрессированных органами советской власти работников завода к тому моменту составляло более 30% всех работающих, а уже в январе месяце прошлого года более 100 человек, осужденных по ст. 58 УКЗ1, подлежало увольнению с завода и были уволены.</w:t>
      </w:r>
    </w:p>
    <w:p w14:paraId="08C540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основном старый коллектив мотозавода представлял здоровую и высоко-квалифицированную силу, необходимо было парторганизации завода учесть эти обстоятельства и обеспечить, чтобы "прочие" с полной отдачей, добросовестно работали бы на выполнение задания ГКО.</w:t>
      </w:r>
    </w:p>
    <w:p w14:paraId="124CC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и II кв. 1942г. был и периодом массового поступления на завод новых рабочих. Если на 1-е июня 1941 г. на заводе занято было рабочих и служащих - 1728 человек, то к 1-му июня 1942 г. коллектив вырос до 6000 чел., т.е. более, чем в 3 раза, а состав рабочих в 5 раз.</w:t>
      </w:r>
    </w:p>
    <w:p w14:paraId="268FC0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эвакуированных в августе месяце 1941 г. с Киевского завода, главным образом, ИТР и служащих, в первом полугодии на завод прибыло:</w:t>
      </w:r>
    </w:p>
    <w:p w14:paraId="73D1AC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мобилизованных из г. Тулы и Тульской области - 1186 чел.</w:t>
      </w:r>
    </w:p>
    <w:p w14:paraId="4DCD0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мобилизованной молодежи из районов Удмуртской АССР - 437 чел.</w:t>
      </w:r>
    </w:p>
    <w:p w14:paraId="4DCFDF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мобилизованных из предприятий и учреждений города - 100 чел.</w:t>
      </w:r>
    </w:p>
    <w:p w14:paraId="3AD040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рабочих из стройбатальонов НКО - 1484 чел.</w:t>
      </w:r>
    </w:p>
    <w:p w14:paraId="62380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учащихся эвакуированных школ ФЗО и РУ до - 1000 чел.</w:t>
      </w:r>
    </w:p>
    <w:p w14:paraId="1B770C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этих данных видно, что по существу на заводе был создан новый коллектив, причем 70% всех работающих на заводе - это люди, впервые пришедшие на производство, и только - 3,6% состава работающих, работали на подобных производствах, а специалистов, знающих пулемет "Максим" было вначале освоения 4 человека (Соколов, Ильин, Кочетов, Рыбаков).</w:t>
      </w:r>
    </w:p>
    <w:p w14:paraId="41182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национальному составу коллектив также чрезвычайно пестр. На 1 июня 1942г. на заводе работали люди 21-й национальности, а на 21 июня 1943 года - 30 национальностей. В т.ч. удмуртов - 663 чел., евреев - 321 чел., украинцев - 179 чел., татар - 137 чел., белоруссов 37 - чел., поляков 31 - чел. и др.</w:t>
      </w:r>
    </w:p>
    <w:p w14:paraId="55B607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возрастному составу и по полу на заводе работает молодежи до 45%2, женщин 37,6%...</w:t>
      </w:r>
    </w:p>
    <w:p w14:paraId="43454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получении решения ГКО 4/XII - 41 г. было созвано расширенное заседание партийное бюро завода, куда был приглашен весь руководящий актив завода и рассмотрены мероприятия по организации нового производства и освоению выпуска.</w:t>
      </w:r>
    </w:p>
    <w:p w14:paraId="54C99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5/XII по всем цехам и отделам завода были проведены массовые рабочие собрания по поводу решения ГКО, на которых было разъяснено военно-хозяйственное и политическое значение перехода завода на выпуск пулемета "Максим" и вытекающие отсюда задачи от коллектива завода3. Многие считали, что в силу этих обстоятельств, они уже не будут работать на заводе (из руководящего состава - Шпанько, Боришанский, Урусов, Никифоров и др.).</w:t>
      </w:r>
    </w:p>
    <w:p w14:paraId="555CE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этих собраниях выступающими товарищами из руководства завода (директор, парторг и членами партбюро завода) было разъяснено, что все, кто хочет активно помогать фронту - остаются работать на заводе и им оказывается доверие...</w:t>
      </w:r>
    </w:p>
    <w:p w14:paraId="67B0B0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месяце 1942 г. на завод прибыли из Тулы 500 чел. новых рабочих, это была первая партия новых рабочих, в обширном зале еще не работающего сборочного цеха была организована встреча мотозаводцев с туляками. Мотозаводцы и, в частности, руководство завода (парторг, директор) рассказали тулякам обстановку, куда они приехали, выразили им благодарность от имени коллектива за то, что они умело отстояли Тулу от гитлеровских полчищ и попросили их активно помочь заводу освоить выпуск пулемета.</w:t>
      </w:r>
    </w:p>
    <w:p w14:paraId="006F0E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встреча и последующие беседы с ними по цехам несомненно помогли активно включиться основной массе туляков в работу, а позднее многие туляки заняли командные посты на производстве и сейчас успешно руководят подчиненными им участками.</w:t>
      </w:r>
    </w:p>
    <w:p w14:paraId="3F7D47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 Травинов, начальник цеха №19, систематически обеспечивает программу сложнейшим узлом - замком. Коллектив этого цеха на 70 % состоит из молодежи от 16 до 23 лет.</w:t>
      </w:r>
    </w:p>
    <w:p w14:paraId="442EB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 Глухов пришел рядовым рабочим, а сейчас старший мастер, участок которого систематически перевыполняет задание.</w:t>
      </w:r>
    </w:p>
    <w:p w14:paraId="503ABE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Такие же беседы руководством завода и по цехам были проведены со 2-й партией туляков; прибывшими рабочими из стройбатальона; девушками, мобилизованными из районов республики; с учащимися, эвакуированными из ремесленных училищ Курска, Ростова и Калинина.</w:t>
      </w:r>
    </w:p>
    <w:p w14:paraId="78BAFF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Бригада учащихся РУ №7, состоящая из эвакуированных из Калинина молодых ребят и потерявших своих родителей, после беседы в парткоме положила начало на заводе организации молодежных фронтовых бригад. Под руководством старого производственника - коммуниста Матвеева, она добилась систематического выполнения задания до 200%, не имея ни одного случая нарушения трудовой дисциплины, одновременно с ней была организована молодежно-фронтовая бригада Дубового, награжденная за обучение новых рабочих и высокую производительность труда Почетной грамотой ЦК ВЛКСМ4...</w:t>
      </w:r>
    </w:p>
    <w:p w14:paraId="38E70D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парткома завода № 524 В. Зорин</w:t>
      </w:r>
    </w:p>
    <w:p w14:paraId="12F58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ЦДНИ УР, ф.306, оп.1, д.42, л.1 - 2, 5. Подлинник. Машинопись (9681).</w:t>
      </w:r>
    </w:p>
    <w:p w14:paraId="6FFC6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4B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вышло Постановление ГКО № 3863 О плане заготовки, разделки и отгрузки металлического лома и стружки на III кв. 1943 г.РГАНИР, Фонд ГКО, д. 142, лл. 197-205, 206-220 (11012).</w:t>
      </w:r>
    </w:p>
    <w:p w14:paraId="60FB9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3F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вышло Постановление ГКО № 3864 О материально-техническом обеспечении производства электрооборудования, приборов и других комплектующих изделий на заводах Главсмежпрома Наркомсредмаша.РГАНИР, Фонд ГКО, д. 142, лл. 221-227, 228-237 (11012).</w:t>
      </w:r>
    </w:p>
    <w:p w14:paraId="02B64B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86FD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вышло Постановление ГКО № 3865 О капитально-восстановительном ремонте оборудования омских ТЭЦ Наркомата электростанций. (7130, 238-244,245-255).</w:t>
      </w:r>
    </w:p>
    <w:p w14:paraId="0F970BA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A61AB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вышло Постановление ГКО № 3866 Об улучшении подготовки инженерно-технических и научных кадров энергетических специальностей. (7130, 256-259,260-261).</w:t>
      </w:r>
    </w:p>
    <w:p w14:paraId="6F5CE38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90CF1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3647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DFBEB8"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в 1943 году оперативная сводка Совинформбюро:</w:t>
      </w:r>
    </w:p>
    <w:p w14:paraId="25A471E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августа наши войска на Орловском направлении продолжали наступление, продвинулись на отдельных участках от 6 до 10 километров, заняли свыше 50 населённых пунктов и среди них железнодорожные станции Домнино (11 километров восточнее Орла), Пилатовка, Стишь (8 километровюго-восточнее Орла).</w:t>
      </w:r>
    </w:p>
    <w:p w14:paraId="30B3B68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 усиленные поиски разведчиков и бои местного характера.</w:t>
      </w:r>
    </w:p>
    <w:p w14:paraId="796EA85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Донбассе, в районе юго-западнее Ворошиловграда, противник, в результате понесённых крупных потерь, свои атаки прекратил.</w:t>
      </w:r>
    </w:p>
    <w:p w14:paraId="253E0EF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районе севернее и восточнее Мга, — поиски разведчиков и интенсивная артиллерийско-миномётная перестрелка с обеих сторон.</w:t>
      </w:r>
    </w:p>
    <w:p w14:paraId="58D1EF0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августа на всех фронтах наши войска подбили и уничтожили 21немецкий танк. В воздушных боях и огнём зенитной артиллерии сбито 180 самолётов противника.</w:t>
      </w:r>
    </w:p>
    <w:p w14:paraId="08CBC7B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0CB8BD9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северо-западнее Орла наши войска успешно продвигались вперёд и заняли несколько населённых пунктов. Отступая под ударами советских частей, немцы несут огромные потери в людях, вооружении и военных материалах. Наши бойцы захватили многочисленные склады с боеприпасами, продовольствием, 17 орудий, несколько исправных танков типа «Тигр» и другие трофеи. Особенно упорные бои происходили северо-западнее Орла. Немцы, оказывая сопротивление наступающим советским частям, непрерывно бросали в контратаки танки и пехоту. Наши бойцы отбили все контратаки противника и уничтожили свыше 2.000 гитлеровцев, 13 танков, 12 орудий и много автомашин.</w:t>
      </w:r>
    </w:p>
    <w:p w14:paraId="264D75F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Орла части Н-ского соединения, преодолевая сопротивление противника, продвинулись вперед и заняли ряд населённых пунктов. Уничтожено до 1.500 немецких солдат и офицеров. Нашими подразделениями подбито и сожжено 8 танков, уничтожено 4 самоходных и 19 полевых орудий, 10 минометов и 80 пулемётов. Захвачены у противника 19 орудий, 6 радиостанций и склад боеприпасов.</w:t>
      </w:r>
    </w:p>
    <w:p w14:paraId="04B2413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76 немецких самолётов.</w:t>
      </w:r>
    </w:p>
    <w:p w14:paraId="457DC52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происходили поиски разведчиков и бои местного значения. На участке, который обороняет Н-ское соединение, немцы предприняли несколько сильных попыток разведать боем советские позиции. Наши подразделения огнём из всех видов оружия и контрударами отбросили противника на исходные рубежи, а затем потеснили его. На поле боя осталось более 300 вражеских трупов. Захвачены 3 орудия, 19 пулемётов, 18 автомашин и 3 радиостанции.</w:t>
      </w:r>
    </w:p>
    <w:p w14:paraId="050277D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огнём артиллерии и миномётов разрушено 35 вражеских дзотов, 11 блиндажей и 5 наблюдательных пунктов. В результате активных действий наших подразделений уничтожено не менее батальона немецкой пехоты.</w:t>
      </w:r>
    </w:p>
    <w:p w14:paraId="4ABD205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развернувшихся на подступах к Ленинграду, наши лётчики сбили 20 и подбили 4 немецких самолёта. Герой Советского Союза гвардии капитант. Харитонов сбил 2 самолёта противника. Старший лейтенант т. Билюкин уничтожил 4 немецких самолёта. Советская авиация, наносившая удары по коммуникациям и тылам врага, разбила несколько железнодорожных эшелонов, уничтожила более 50 автомашин, взорвала 5 складов боеприпасов. В Финском заливе самолётами-торпедоносцами потоплены сторожевой корабль и два тральщика противника.</w:t>
      </w:r>
    </w:p>
    <w:p w14:paraId="548DA4C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подразделение капитана т. Копырина атаковало опорный пункт противника. Советские бойцы ворвались во вражеские траншеи и в рукопашной схватке истребили до роты гитлеровцев. В результате атаки разгромлен опорный пункт противника, разрушены все оборонительные сооружения, в том числе 7 дзотов и 5 землянок. Захвачены пленные.</w:t>
      </w:r>
    </w:p>
    <w:p w14:paraId="58F67E7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Смоленской области, заминировал в нескольких местах шоссе, по которому немцы подвозили к линии фронта подкрепления и военные грузы. За день на минах подорвались 16 автомашин. Убито и ранено 65 немцев. В конце июля группа партизан пустила под откос два немецких воинских эшелона. Партизаны-разведчики наблюдали, как прибывшие к месту крушения немецкие восстановительные команды извлекли из-под обломков вагонов до 200 трупов гитлеровцев. Партизаны другого смоленского отряда подорвали на минах три немецких воинских эшелона. Разбито 3 паровоза, 10 платформ с автомашинами и мотоциклами и 13 вагонов с различными военными грузами.</w:t>
      </w:r>
    </w:p>
    <w:p w14:paraId="035D9856"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освобождённого Красной Армией города Волхова — учительница средней школы Галина Прохорченко, заведующая городской детской библиотекой Мария Медищева и другие рассказали о зверствах немецко-фашистских мерзавцев: «Захватив Волхов в октябре 1941 года, немцы в первые же дни разграбили город. Повальные грабежи сопровождались убийствами мирных граждан. Немецкие военные власти закрыли все школы города и превратили их в солдатские, казармы и конюшни. Они разгромили педагогическое училище, исторический музей, медицинское училище, а наиболее ценные приборы физических кабинетов отправили в Германию. Немецкие солдаты разорили городскую библиотеку и сожгли более 50 тысяч книг. В здании музея немцы устроили склад обмундирования, а в Доме культуры — офицерский притон. Во многих церквах немцы устроили гаражи, мастерские, склады. Гитлеровцы разрушили старинную Троицкую церковь, расположенную в самой древней части города, называемой «городком». Зимою фашистские изверги выселили из домов сотни жителей. Они выбрасывали на мороз женщин и детей, стариков и больных и заставляли всё население строить дороги. Около 600 девушек и молодых женщин немцы насильно увезли в Германию. Перед отступлением, гитлеровцы взорвали и сожгли две школы, театр, все большие жилые дома, вырубили деревья в городском саду. Под страхом расстрела немецкие захватчики насильно угнали многих жителей города» (14972).</w:t>
      </w:r>
    </w:p>
    <w:p w14:paraId="38A9C235"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638C301C" w14:textId="77777777" w:rsidR="006E2D26" w:rsidRPr="00271E51" w:rsidRDefault="006E2D26" w:rsidP="00271E51">
      <w:pPr>
        <w:pStyle w:val="book"/>
        <w:ind w:firstLine="0"/>
        <w:jc w:val="both"/>
        <w:rPr>
          <w:color w:val="000000" w:themeColor="text1"/>
          <w:sz w:val="16"/>
          <w:szCs w:val="16"/>
        </w:rPr>
      </w:pPr>
      <w:r w:rsidRPr="00271E51">
        <w:rPr>
          <w:color w:val="000000" w:themeColor="text1"/>
          <w:sz w:val="16"/>
          <w:szCs w:val="16"/>
        </w:rPr>
        <w:t>3 августа 1943 г. восемь самолётов Пе-2 нанесли удар по батарее противника в районе хутора Березов. Бомбометание производилось с горизонтального полета с высоты 3000 м фугасными и осколочными бомбами. Всего было сброшено 44 ФАБ-100, 8 ФАБ-50 и 42 бомбы АО-10. Батарея не успела окопаться и потому представляла легко уязвимую цель. После занятия хутора Березов нашими войсками проверкой было установлено, что серии бомб точно перекрыли огневую позицию батареи. Одно орудие было уничтожено в результате прямого попадания бомбы; взрывами других бомб было опрокинуто второе орудие и два зарядных ящика, а также выведены из строя остальные орудия батареи, разрушен командный пункт противника и уничтожены орудийные расчеты (18737).</w:t>
      </w:r>
    </w:p>
    <w:p w14:paraId="141E9F9B" w14:textId="77777777" w:rsidR="006E2D26" w:rsidRPr="00271E51" w:rsidRDefault="006E2D26" w:rsidP="00271E51">
      <w:pPr>
        <w:pStyle w:val="book"/>
        <w:ind w:firstLine="0"/>
        <w:jc w:val="both"/>
        <w:rPr>
          <w:color w:val="000000" w:themeColor="text1"/>
          <w:sz w:val="16"/>
          <w:szCs w:val="16"/>
        </w:rPr>
      </w:pPr>
    </w:p>
    <w:p w14:paraId="75DDB35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в 1943 году на оккупированной территории РСФСР, БССР и части Украинской ССР началась операция "Рельсовая война" партизан Белоруссии, Ленинградской, Калининской, Смоленской, Орловской областей и части сил украинских партизан (всего 167 бригад и отдельных отрядов; около 100 тысяч человек). За первую ночь операции взорвано 42 тысяч рельсов. Действия партизан развернулись в тыловых районах групп армий "Центр" и "Север" (протяженность по фронту - около 1000 км, в глубину - 750 км); украинские партизаны одновременно вели боевые действия в тылу группы армий "Юг" (14972).</w:t>
      </w:r>
    </w:p>
    <w:p w14:paraId="55359C4B"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04B9CFF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в 1943 году началась Белгородско-Харьковская наступательная операция (кодовое наименование — "Полководец Румянцев") войск Воронежского (5-я и 6-я гвардейские армии, 5-я гвардейская и 1-я танковая армии) и Степного (53-я и 69-я армии, 1-й танковый и 1-й механизированный корпуса) фронтов во взаимодействии с войсками Юго-Западного фронта (57-я армия), продолжавшаяся до 23 августа. В ходе операции, завершившейся 23 августа, была разгромлена белгородско-харьковская группировка противника (15 дивизий), освобождены Белгород и Харьков. В результате были созданы условия для освобождения Левобережной Украины. Советские войска продвинулись в южном и юго-западном направлениях до 300 км. В операции получен опыт отражения контрударов противника, нанесения главных ударов фронтами по сильным участкам вражеской обороны, достижения высоких плотностей огня на участках прорыва (до 230 орудий и минометов и 70 танков и САУ на 1 км фронта). На оккупированной территории РСФСР, БССР и части Украинской ССР для оказания помощи Красной Армии в завершении разгрома войск противника в Курской битве и развитии общего наступления началась партизанская операция "Рельсовая война", продолжавшаяся до 15 сентября. ЦШПД привлек к выполнению операции партизан Белоруссии, Ленинградской, Калининской, Смоленской, Орловской областей и часть украинских партизан (всего 167 бригад и отдельных отрядов, около 100 тысяч человек) За первую ночь операции взорвано 42 тысяч рельсов. Действия партизан развернулись в тыловых районах групп армий "Центр" и "Север" (протяженность по фронту - ок 1000 км, в глубину - 750 км), одновременно украинские партизаны вели активные боевые действия в тылу группы армий "Юг". Операция способствовала успеху наших войск при проведении Курской битвы 1943 г. и общего наступления на советско-германском фронте (14972).</w:t>
      </w:r>
    </w:p>
    <w:p w14:paraId="676C5E6B"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436F1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десятку Ла-5ФН, ведомую старшим лейтенантом С.Д. Гореловым и сопровождавшую штурмовики, атаковали 35 истребителей противника. В завязавшемся бою враг недосчитался восьми "мессершмиттов", из них по паре сбили командир эскадрильи С.Д. Горелов и командир звена Б.П. Рогов (12032).</w:t>
      </w:r>
    </w:p>
    <w:p w14:paraId="189F1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B21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Врид Нач. Штаба ВВС Кроленко писал Зам. НКАП Воронину о том, что л Стояновская - командир Ли-2 - 1 августа 1943, возвращаясь в Москву, отказалась взять попутным рейсом техсостав истребительной части, ссылаясь на отсутствие вооружения. Просил дисциплинарно наказать (1779).</w:t>
      </w:r>
    </w:p>
    <w:p w14:paraId="7C42A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80FF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войска Воронежского и Степного фронтов начали Белгородско-Харьковскую наступательную операцию. советские войска на Орловском направлении продолжали наступление, продвинулись на отдельных участках от 6 до 10 километров, заняли свыше 50 населенных пунктов и среди них железнодорожные станции Домнино (11 километров восточнее Орла), Пилатовка, Стишь (8 километров юго-восточнее Орла).</w:t>
      </w:r>
    </w:p>
    <w:p w14:paraId="0FE9271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8C4A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предваряя переход в наступление войск этого фронта, одновременно с залпами сотен орудий части 1-го бак нанесли ряд эшелонированных ударов по артиллерийским батареям и узлам сопротивления врага в районе колхоза "Смело к труду", населенных пунктов Журавлиный, Терноватка, Шопино, железнодорожной станции Беломестная. Наблюдая в бинокль за действиями нашей авиации с передового КП, начальник оперативного отдела штаба 5-й ВА полковник С.Н. Гречко отмечал:</w:t>
      </w:r>
    </w:p>
    <w:p w14:paraId="670D7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"Строго по плану-графику поднялись в воздух 100 бомбардировщиков Пе-2 и 25 штурмовиков Ил-2. Под прикрытием 40 истребителей они нанесли мощные удары </w:t>
      </w:r>
      <w:r w:rsidRPr="00271E51">
        <w:rPr>
          <w:rFonts w:ascii="Times New Roman" w:hAnsi="Times New Roman"/>
          <w:color w:val="000000" w:themeColor="text1"/>
          <w:sz w:val="16"/>
          <w:szCs w:val="16"/>
        </w:rPr>
        <w:lastRenderedPageBreak/>
        <w:t>по основным очагам сопротивления врага, его боевой технике, огневым средствам и живой силе в полосе прорыва вражеской обороны. Причем если первую нашу группу в 100 бомбардировщиков, возглавляемую комдивом Ф.И. Добышем, гитлеровцы встретили сильным противодействием "эрликонов", то в ходе второго бомбового и штурмового ударов, осуществленных под командованием комкора И.С. Полбина и комдива Г.В. Гри- бакина, противодействие зенитной артиллерии врага почти не было. Судя по всему, она в значительной мерс была уничтожена".</w:t>
      </w:r>
    </w:p>
    <w:p w14:paraId="09DE4E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с каждой минутой ответный огонь с земли становился все слабее, окопы и траншеи неприятельской обороны превращались в перепаханное поле, над которым не спадало облако из дыма и пыли. В течение дня бомбовые удары направлялись на наиболее укрепленные узлы обороны. Всего летчики корпуса совершили 208 боевых вылетов (вместо запланированных 150) под прикрытием 113 истребителей Ла-5 из 4-го иак. На врага было сброшено 150 т бомб, включая 80% фугасных калибра 100 и 250 кг. Об эффективности ударов можно судить, в частности, по телеграмме в штаб бомбардировочного авиакорпуса командующего 53-й армии генерала В.Д. Крюченкина, чьи войска смогли продвинуться на 7-8 км: "27 самолетов Пе-2 мощным бомбовым ударом подавили огонь артиллерии противника. В результате пехота, очистив минные поля и преодолев проволочные заграждения, успешно атаковала гитлеровцев и овладела указанным рубежом. С линии фронта благодарят Полбина за удары по врагу".</w:t>
      </w:r>
    </w:p>
    <w:p w14:paraId="306AA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Некоторые экипажи выполнили 3 августа до четырех вылетов. Не все получалось гладко. Например, 14 "пешек" из 81-го гв. бап сбросили бомбы, не перелетая линии фронта в районе Большое Городище, Коклюдово. При расследовании происшествия выяснилось, что у ведущего группы командира полка подполковника В.Я. Гаврилова на самолете отказал мотор, поэтому он вынужден был освободиться от бомб, предварительно установив их на "невзрыв". Но его заместитель капитан Костенко не расслышал приказания возглавить группу. Часть экипажей приняло действия ведущего за команду "сбросить бомбы", а семь экипажей отбомбились на учебном полигоне при возвращении на аэродром.</w:t>
      </w:r>
    </w:p>
    <w:p w14:paraId="05BC63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по 5 августа 1943 включительно 1-й бак поднял в воздух 399 "пешек", которые выполнили 570 боевых вылетов, или почти три вылета двумя исправными самолетами в день. Противник понес огромный урон. По нашим данным, отлично действовали группы, ведомые подполковником А.А. Новиковым, майорами Н.С. Зайцевым, A.M. Семеновым и С.П. Тюриковым, капитанами П.Я. Гусенкои Е.Н. Коняевым, ст. лейтенантом Е.С. Белявиным и др.</w:t>
      </w:r>
    </w:p>
    <w:p w14:paraId="27510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Пе-2 весьма успешно уничтожали неприятельские колонны, которые двигались в Харьков или из него. Каждая из них насчитывала не менее 100 автомашин и повозок и была весьма уязвима от воздушных налетов. Ближе к середине августа 1943 г. "пешки" стали наносить эшелонированные удары поэскадрильно по окраинам областного центра. Так, в результате бомбардировки 14 августа, в которой участвовало 110 самолетов 1-го бак, возникло не менее 40 очагов пожаров, было уничтожено до 10 автомашин, взорваны склады боеприпасов и горюче-смазочных материалов.</w:t>
      </w:r>
    </w:p>
    <w:p w14:paraId="69A57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Накануне штурма Харькова противодействие противника в воздухе заметно усилилось, наряду с зенитными средствами наши летчики часто встречались с барражировавшими "мессершмиттами" и "фокке-вульфа- ми". Командующий 5-й ВА приказал вновь вернуться к действиям большими группами бомбардировщиков с обязательным надежным прикрытием. В отдельных случаях противнику все же удавалось прорываться к нашим самолетам и наносить им существенные потери. В оперсводке 1-го бак (впоследствии 6-го гвардейского) за 23 августа можно прочитать:</w:t>
      </w:r>
    </w:p>
    <w:p w14:paraId="0BE09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"Значительные силы истребителей противника активно противодействовали бомбардировщикам. 11 Пе-2 (ведущий командир 82-го гв. бап майор В.Г. Пчелкин) при отходе от цели подверглись атаке группой до 20 Me-109 и ФВ-190. Атаку истребители производили одновременно с обстрелом своей зенитной артиллерии с различных направлений: снизу-сзади, сверху-сзади, сбоку, под углами 30-35°. В результате обстрелов и воздушного боя были сбиты 4 Пе-2, огнем зенитной артиллерии сбит 1 Пе-2. Потери противника - 1 ФВ-190 (его сбил штурман мл. лейтенант Чубраков)".</w:t>
      </w:r>
    </w:p>
    <w:p w14:paraId="42139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одна группа "фокке-вульфов" из I/JG54 связала боем советские истребители сопровождения, в то время как другая, которую вел обер-лейтенант Р. Вайс, обрушилась на бомбардировщики, открывая огонь из всех огневых точек с близких дистанций. Немцы считали, что удалось уничтожить шесть "пешек". В значительной степени германским истребителям благоприятствовал успех потому, что от прямого попадания зенитного снаряда юго-восточнее аэродрома Основа взорвалась ведущая машина; вместе с командиром полка погиб штурман капитан Н.П. Тышкевич (12042).</w:t>
      </w:r>
    </w:p>
    <w:p w14:paraId="0570FC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99A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3, 1943: Start of a Soviet offensive from the Belgorod area toward Poltava after the failure of Operation Zitadelle (3819).</w:t>
      </w:r>
    </w:p>
    <w:p w14:paraId="6BF85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36E6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3 по 23 августа 1943 прошла Белгород-Харьковская операция КА под названием Полководец Румянцев - часть Курской битвы по освобождению Белгорода и Харькова силами Воронежского (Н.Ф.Ватутин) и Степного (И.С.Конев) фронтов. В первый день прорвали оборону на 90 км вглубь и 5 августа освободили Белгород, а 28 - Харьков, после чего продвинулись еще на 140 км, создав условия для освобождения Левобережной Украины (2438,89).</w:t>
      </w:r>
    </w:p>
    <w:p w14:paraId="2241D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Ночью перед наступлением по оборонительным сооружениям и войскам действовала АДД и 208 нбад 2ВА. За 2 часа до атаки подключились б и ш. Вместе с артподготовкой подавили и частично уничтожили войска и опорные пункты в полосе 5 и 6ГА ВФ (340,150).</w:t>
      </w:r>
    </w:p>
    <w:p w14:paraId="535FED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5ВА Степного фронта нанесла дневные удары в рамках авиаподготовки 3 августа: первый силами 50 б Пе-2 по узлам сопротивления и скоплению войск за 1:30 до наступления и 2-й 100 машинами непосредственно перед атакой (518,135).</w:t>
      </w:r>
    </w:p>
    <w:p w14:paraId="2230A0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2F4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после авиаподдержки и артподготовки войска 5 и 6 ГА овладели главной полосой обороны и во второй половине дня в действие ввели 4 и 5ГТА, которые поддерживались силами 2ВА. Всего в этот день советская авиация выполнила 2670 вылетов (340,150).</w:t>
      </w:r>
    </w:p>
    <w:p w14:paraId="40E7F1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Белгородско-Харьковской операции план боевых действий 5ВА был разработан в виде графика (518,115).</w:t>
      </w:r>
    </w:p>
    <w:p w14:paraId="1D364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ложных аэродромов по отношению к действующим достигало 80% и более. На них стояли макеты самолетов и имитировалась летная работа (518,118).</w:t>
      </w:r>
    </w:p>
    <w:p w14:paraId="472F2F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поводу Белгородско-Харьковской операции командир 48 стрелкового корпуса г З.З.Рогозный писал "Только благодаря непосредственно организованному взаимодействию и массированным ударам л на Ил-2 наземные части имели продвижение (518,142).</w:t>
      </w:r>
    </w:p>
    <w:p w14:paraId="783B0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вводе в сражение 1 и 5 ГТА были привлечены 5 шак и 10 иак, а также 202 бад и 291 шад, т.е. были задействованы все силы б и ш и 50% истребительной авиации 2ВА (518,156).</w:t>
      </w:r>
    </w:p>
    <w:p w14:paraId="0CBF8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операции также сочетали сосредоточенные удары и эшелонированные действия ш и б авиации для поддержки при вводе в сражение 1 и 5 ГТА (518,162).</w:t>
      </w:r>
    </w:p>
    <w:p w14:paraId="2B8F0F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2A5D4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 авиации по крупным оперативным резервам переросли в форму отдельной воздушной операции, в которой приняла участие не только фронтовая, но и АДД (518,165).</w:t>
      </w:r>
    </w:p>
    <w:p w14:paraId="5856BE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DF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командир 48 стр. корпуса З.З.Рогозный писал, что только благодаря хорошо организованному взаимодействию и массированным ударам авиации - летчиков ш - наземные части могли успешно продвигаться (340,151).</w:t>
      </w:r>
    </w:p>
    <w:p w14:paraId="03E232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1BF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г. вышел УКАЗ ПРЕЗИДИУМА ВЕРХОВНОГО СОВЕТА СССР О ПРИСВОЕНИИ ГЕНЕРАЛ-ПОЛКОВНИКУ АВИАЦИИ ГОЛОВАНОВУ А. Е. ВОЕННОГО ЗВАНИЯ МАРШАЛА АВИАЦИИ</w:t>
      </w:r>
    </w:p>
    <w:p w14:paraId="7ECFE9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Генерал-полковнику авиации Голованову Александру Евгеньевичу присвоить военное звание маршала авиации.</w:t>
      </w:r>
    </w:p>
    <w:p w14:paraId="093DD0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Председатель Президиума Верховного Совета СССР М. КАЛИНИН</w:t>
      </w:r>
    </w:p>
    <w:p w14:paraId="237997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Секретарь Президиума Верховного Совета СССР А. ГОРКИН</w:t>
      </w:r>
    </w:p>
    <w:p w14:paraId="0AB67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Москва, Кремль (9844).</w:t>
      </w:r>
    </w:p>
    <w:p w14:paraId="1476F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1B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августа 1943 И.В.С. выезжал на фронт и был севернее Курска, но поездка была в условиях строгой секретности и И.В.С. только встретился с командованием (2070,92).</w:t>
      </w:r>
    </w:p>
    <w:p w14:paraId="604A1A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CB4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августа по 15 сентября 1943 была операция Рельсовая война (2443,74).</w:t>
      </w:r>
    </w:p>
    <w:p w14:paraId="4EFDE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была не только партизанская операция. Приказ 8, 17, 5 и 2 ВА и АДД: "С 4 августа действовать по ж/д и автоперевозкам, задержать переброску войск в район Харькова, не допустить накопления войск противника в Харькове и выхода их оттуда на север. Действиями по ж/д узлам, станциям, мостам и перегонам, разрушением ж/д путей создать закупорку движения. Расстреливать паровозы, парализовать и сорвать ж/д движение. Ш и б ударами уничтожать автотранспорт и мотомехколонны на дорогах." (518,256).</w:t>
      </w:r>
    </w:p>
    <w:p w14:paraId="7D5F5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39FA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августа 1943 советские партизаны начали “рельсовую войну” в тылу фашистов (4962), на оккупированной территории РСФСР, БССР и части УССР началась операция "Рельсовая война" партизан Белоруссии, Ленинградской, Калининской, Смоленской, Орловской областей и части сил украинских партизан (всего 167 бригад </w:t>
      </w:r>
      <w:r w:rsidRPr="00271E51">
        <w:rPr>
          <w:rFonts w:ascii="Times New Roman" w:hAnsi="Times New Roman"/>
          <w:color w:val="000000" w:themeColor="text1"/>
          <w:sz w:val="16"/>
          <w:szCs w:val="16"/>
        </w:rPr>
        <w:lastRenderedPageBreak/>
        <w:t>и отдельных отрядов; около 100 тысяч человек). За первую ночь операции взорвано 42 тыс. рельсов. Действия партизан развернулись в тыловых районах групп армий "Центр" и "Север" (протяженность по фронту - около 1000 км, в глубину - 750 км); украинские партизаны одновременно вели боевые действия в тылу группы армий "Юг" (4963 ).</w:t>
      </w:r>
    </w:p>
    <w:p w14:paraId="3651537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AD43D" w14:textId="77777777" w:rsidR="00665ECA"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9AD1F38" w14:textId="77777777" w:rsidR="00665ECA" w:rsidRPr="00271E51" w:rsidRDefault="00665EC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93993D" w14:textId="77777777" w:rsidR="00665ECA" w:rsidRPr="00271E51" w:rsidRDefault="00665ECA" w:rsidP="00271E51">
      <w:pPr>
        <w:pStyle w:val="a3"/>
        <w:rPr>
          <w:color w:val="000000" w:themeColor="text1"/>
          <w:lang w:val="ru-RU"/>
        </w:rPr>
      </w:pPr>
      <w:r w:rsidRPr="00271E51">
        <w:rPr>
          <w:color w:val="000000" w:themeColor="text1"/>
          <w:lang w:val="ru-RU"/>
        </w:rPr>
        <w:t>3 августа 1943 начальник Главного бронетанкового управления Красной Армии Б.Г. Вершинин писал в Артком ГАУ:</w:t>
      </w:r>
    </w:p>
    <w:p w14:paraId="166A703C"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 xml:space="preserve">«Согласно решению Госкомиссии по испытанию опытного образца СУ-152от 6.2.43года Кировский завод и завод№172обязаны переместить коробку поворотного механизма системы </w:t>
      </w:r>
      <w:r w:rsidRPr="00271E51">
        <w:rPr>
          <w:rStyle w:val="Bodytext145"/>
          <w:i w:val="0"/>
          <w:iCs w:val="0"/>
          <w:color w:val="000000" w:themeColor="text1"/>
          <w:sz w:val="16"/>
          <w:szCs w:val="16"/>
          <w:lang w:val="en-US"/>
        </w:rPr>
        <w:t>MJI</w:t>
      </w:r>
      <w:r w:rsidRPr="00271E51">
        <w:rPr>
          <w:rStyle w:val="Bodytext145"/>
          <w:i w:val="0"/>
          <w:iCs w:val="0"/>
          <w:color w:val="000000" w:themeColor="text1"/>
          <w:sz w:val="16"/>
          <w:szCs w:val="16"/>
        </w:rPr>
        <w:t>-20</w:t>
      </w:r>
      <w:r w:rsidRPr="00271E51">
        <w:rPr>
          <w:rStyle w:val="Bodytext145"/>
          <w:i w:val="0"/>
          <w:iCs w:val="0"/>
          <w:color w:val="000000" w:themeColor="text1"/>
          <w:sz w:val="16"/>
          <w:szCs w:val="16"/>
          <w:lang w:val="en-US"/>
        </w:rPr>
        <w:t>C</w:t>
      </w:r>
      <w:r w:rsidRPr="00271E51">
        <w:rPr>
          <w:rStyle w:val="Bodytext145"/>
          <w:i w:val="0"/>
          <w:iCs w:val="0"/>
          <w:color w:val="000000" w:themeColor="text1"/>
          <w:sz w:val="16"/>
          <w:szCs w:val="16"/>
        </w:rPr>
        <w:t xml:space="preserve"> вправо с расчетом устранить имеющиеся неудобства и затруднения в работе водителя.</w:t>
      </w:r>
    </w:p>
    <w:p w14:paraId="0C6074AF"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Со времени этого решения прошло 6 месяцев, но ни Кировский завод, ни завод №172 его не выполнили.</w:t>
      </w:r>
    </w:p>
    <w:p w14:paraId="6B69161B"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Более того, выполнение данной работы заводом №172 в части, отно</w:t>
      </w:r>
      <w:r w:rsidRPr="00271E51">
        <w:rPr>
          <w:rStyle w:val="Bodytext145"/>
          <w:i w:val="0"/>
          <w:iCs w:val="0"/>
          <w:color w:val="000000" w:themeColor="text1"/>
          <w:sz w:val="16"/>
          <w:szCs w:val="16"/>
        </w:rPr>
        <w:softHyphen/>
        <w:t xml:space="preserve">сящейся к поворотному механизму гаубицы </w:t>
      </w:r>
      <w:r w:rsidRPr="00271E51">
        <w:rPr>
          <w:rStyle w:val="Bodytext145"/>
          <w:i w:val="0"/>
          <w:iCs w:val="0"/>
          <w:color w:val="000000" w:themeColor="text1"/>
          <w:sz w:val="16"/>
          <w:szCs w:val="16"/>
          <w:lang w:val="en-US"/>
        </w:rPr>
        <w:t>MJI</w:t>
      </w:r>
      <w:r w:rsidRPr="00271E51">
        <w:rPr>
          <w:rStyle w:val="Bodytext145"/>
          <w:i w:val="0"/>
          <w:iCs w:val="0"/>
          <w:color w:val="000000" w:themeColor="text1"/>
          <w:sz w:val="16"/>
          <w:szCs w:val="16"/>
        </w:rPr>
        <w:t>-20</w:t>
      </w:r>
      <w:r w:rsidRPr="00271E51">
        <w:rPr>
          <w:rStyle w:val="Bodytext145"/>
          <w:i w:val="0"/>
          <w:iCs w:val="0"/>
          <w:color w:val="000000" w:themeColor="text1"/>
          <w:sz w:val="16"/>
          <w:szCs w:val="16"/>
          <w:lang w:val="en-US"/>
        </w:rPr>
        <w:t>C</w:t>
      </w:r>
      <w:r w:rsidRPr="00271E51">
        <w:rPr>
          <w:rStyle w:val="Bodytext145"/>
          <w:i w:val="0"/>
          <w:iCs w:val="0"/>
          <w:color w:val="000000" w:themeColor="text1"/>
          <w:sz w:val="16"/>
          <w:szCs w:val="16"/>
        </w:rPr>
        <w:t>, как видно из письма Кировского завода за №2883 от 24.7.43 года, затягивается и совместного решения Кировского завода и завода №172 в части введения необходимых конструктивных изменений не имеется.</w:t>
      </w:r>
    </w:p>
    <w:p w14:paraId="3981F8AA"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Style w:val="Bodytext145"/>
          <w:rFonts w:ascii="Times New Roman" w:hAnsi="Times New Roman"/>
          <w:iCs/>
          <w:color w:val="000000" w:themeColor="text1"/>
          <w:sz w:val="16"/>
          <w:szCs w:val="16"/>
        </w:rPr>
        <w:t>Считая создавшееся положение с устранением указанного дефекта в СУ-152 совершенно недопустимым, прошу Вас принять соответству</w:t>
      </w:r>
      <w:r w:rsidRPr="00271E51">
        <w:rPr>
          <w:rStyle w:val="Bodytext145"/>
          <w:rFonts w:ascii="Times New Roman" w:hAnsi="Times New Roman"/>
          <w:iCs/>
          <w:color w:val="000000" w:themeColor="text1"/>
          <w:sz w:val="16"/>
          <w:szCs w:val="16"/>
        </w:rPr>
        <w:softHyphen/>
        <w:t xml:space="preserve">ющие меры к введению необходимых изменений в поворотном механизме гаубицы </w:t>
      </w:r>
      <w:r w:rsidRPr="00271E51">
        <w:rPr>
          <w:rStyle w:val="Bodytext145"/>
          <w:rFonts w:ascii="Times New Roman" w:hAnsi="Times New Roman"/>
          <w:iCs/>
          <w:color w:val="000000" w:themeColor="text1"/>
          <w:sz w:val="16"/>
          <w:szCs w:val="16"/>
          <w:lang w:val="en-US"/>
        </w:rPr>
        <w:t>MJI</w:t>
      </w:r>
      <w:r w:rsidRPr="00271E51">
        <w:rPr>
          <w:rStyle w:val="Bodytext145"/>
          <w:rFonts w:ascii="Times New Roman" w:hAnsi="Times New Roman"/>
          <w:iCs/>
          <w:color w:val="000000" w:themeColor="text1"/>
          <w:sz w:val="16"/>
          <w:szCs w:val="16"/>
        </w:rPr>
        <w:t>-20</w:t>
      </w:r>
      <w:r w:rsidRPr="00271E51">
        <w:rPr>
          <w:rStyle w:val="Bodytext145"/>
          <w:rFonts w:ascii="Times New Roman" w:hAnsi="Times New Roman"/>
          <w:iCs/>
          <w:color w:val="000000" w:themeColor="text1"/>
          <w:sz w:val="16"/>
          <w:szCs w:val="16"/>
          <w:lang w:val="en-US"/>
        </w:rPr>
        <w:t>C</w:t>
      </w:r>
      <w:r w:rsidRPr="00271E51">
        <w:rPr>
          <w:rStyle w:val="Bodytext145"/>
          <w:rFonts w:ascii="Times New Roman" w:hAnsi="Times New Roman"/>
          <w:iCs/>
          <w:color w:val="000000" w:themeColor="text1"/>
          <w:sz w:val="16"/>
          <w:szCs w:val="16"/>
        </w:rPr>
        <w:t xml:space="preserve"> и срочно изготовить опытный образец такого меха</w:t>
      </w:r>
      <w:r w:rsidRPr="00271E51">
        <w:rPr>
          <w:rStyle w:val="Bodytext145"/>
          <w:rFonts w:ascii="Times New Roman" w:hAnsi="Times New Roman"/>
          <w:iCs/>
          <w:color w:val="000000" w:themeColor="text1"/>
          <w:sz w:val="16"/>
          <w:szCs w:val="16"/>
        </w:rPr>
        <w:softHyphen/>
        <w:t>низма.</w:t>
      </w:r>
    </w:p>
    <w:p w14:paraId="4A2D74BD"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Директора Кировского завода тов. Зальцман прошу принять участие в улучшении расположения поворотного механизма орудия и в его измене</w:t>
      </w:r>
      <w:r w:rsidRPr="00271E51">
        <w:rPr>
          <w:rStyle w:val="Bodytext145"/>
          <w:i w:val="0"/>
          <w:iCs w:val="0"/>
          <w:color w:val="000000" w:themeColor="text1"/>
          <w:sz w:val="16"/>
          <w:szCs w:val="16"/>
        </w:rPr>
        <w:softHyphen/>
        <w:t>ниях и разработать соответствующие мероприятия по улучшению усло</w:t>
      </w:r>
      <w:r w:rsidRPr="00271E51">
        <w:rPr>
          <w:rStyle w:val="Bodytext145"/>
          <w:i w:val="0"/>
          <w:iCs w:val="0"/>
          <w:color w:val="000000" w:themeColor="text1"/>
          <w:sz w:val="16"/>
          <w:szCs w:val="16"/>
        </w:rPr>
        <w:softHyphen/>
        <w:t>вий работы водителя».</w:t>
      </w:r>
    </w:p>
    <w:p w14:paraId="4CE44E7A" w14:textId="77777777" w:rsidR="00665ECA" w:rsidRPr="00271E51" w:rsidRDefault="00665ECA" w:rsidP="00271E51">
      <w:pPr>
        <w:pStyle w:val="a3"/>
        <w:rPr>
          <w:color w:val="000000" w:themeColor="text1"/>
          <w:lang w:val="ru-RU"/>
        </w:rPr>
      </w:pPr>
      <w:r w:rsidRPr="00271E51">
        <w:rPr>
          <w:color w:val="000000" w:themeColor="text1"/>
          <w:lang w:val="ru-RU"/>
        </w:rPr>
        <w:t>Письмо это, впрочем, особого эффекта не возымело. До конца вы</w:t>
      </w:r>
      <w:r w:rsidRPr="00271E51">
        <w:rPr>
          <w:color w:val="000000" w:themeColor="text1"/>
          <w:lang w:val="ru-RU"/>
        </w:rPr>
        <w:softHyphen/>
        <w:t xml:space="preserve">пуска СУ-152 продолжали оснащаться системами </w:t>
      </w:r>
      <w:r w:rsidRPr="00271E51">
        <w:rPr>
          <w:color w:val="000000" w:themeColor="text1"/>
        </w:rPr>
        <w:t>M</w:t>
      </w:r>
      <w:r w:rsidRPr="00271E51">
        <w:rPr>
          <w:color w:val="000000" w:themeColor="text1"/>
          <w:lang w:val="ru-RU"/>
        </w:rPr>
        <w:t>Л-20</w:t>
      </w:r>
      <w:r w:rsidRPr="00271E51">
        <w:rPr>
          <w:color w:val="000000" w:themeColor="text1"/>
        </w:rPr>
        <w:t>C</w:t>
      </w:r>
      <w:r w:rsidRPr="00271E51">
        <w:rPr>
          <w:color w:val="000000" w:themeColor="text1"/>
          <w:lang w:val="ru-RU"/>
        </w:rPr>
        <w:t xml:space="preserve"> со старой конструкцией механизма поворота, который на определенных углах упирался в правое плечо и спину механику-водителю. Механизм в ито</w:t>
      </w:r>
      <w:r w:rsidRPr="00271E51">
        <w:rPr>
          <w:color w:val="000000" w:themeColor="text1"/>
          <w:lang w:val="ru-RU"/>
        </w:rPr>
        <w:softHyphen/>
        <w:t>ге все же перенесли вправо, но произошло это уже при проектировании самоходной установки ИС-152 (ИСУ-152) (17484).</w:t>
      </w:r>
    </w:p>
    <w:p w14:paraId="6DA373A9"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3299165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5FA58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2C8FF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1943 в ходе многочасовой бомбежки Гамбурга союзниками погибло около 200 тысяч человек и уничтожена значительная часть города (операция “Гоморра”) (4962).</w:t>
      </w:r>
    </w:p>
    <w:p w14:paraId="289C40D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F40FC"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августа в 1943 году (3–17 августа) эвакуация германо-итальянских соединений с Сицилии. Перевезены морем 100 000 человек без потерь вместе с военной техникой (14972).</w:t>
      </w:r>
    </w:p>
    <w:p w14:paraId="001CB9B9"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1C08AF7B"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августа 1943 немецкая авиация снова атакует гавань Палермо, повредив американский эсминец USS Shubrick (20376).</w:t>
      </w:r>
    </w:p>
    <w:p w14:paraId="1440C160" w14:textId="77777777" w:rsidR="007F45FB" w:rsidRPr="00271E51" w:rsidRDefault="007F45FB" w:rsidP="00271E51">
      <w:pPr>
        <w:spacing w:after="0" w:line="240" w:lineRule="auto"/>
        <w:jc w:val="both"/>
        <w:rPr>
          <w:rFonts w:ascii="Times New Roman" w:hAnsi="Times New Roman"/>
          <w:color w:val="0070C0"/>
          <w:sz w:val="16"/>
          <w:szCs w:val="16"/>
        </w:rPr>
      </w:pPr>
    </w:p>
    <w:p w14:paraId="1347427D"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августа 1943  11 армия военно - воздушных сил выполняет 135 полетов против Киска на Алеутских островах, сбросив 304000 фунтов (138000 кг) бомб (20376).</w:t>
      </w:r>
    </w:p>
    <w:p w14:paraId="2FCE7B3F" w14:textId="77777777" w:rsidR="007F45FB" w:rsidRPr="00271E51" w:rsidRDefault="007F45FB" w:rsidP="00271E51">
      <w:pPr>
        <w:spacing w:after="0" w:line="240" w:lineRule="auto"/>
        <w:jc w:val="both"/>
        <w:rPr>
          <w:rFonts w:ascii="Times New Roman" w:hAnsi="Times New Roman"/>
          <w:color w:val="0070C0"/>
          <w:sz w:val="16"/>
          <w:szCs w:val="16"/>
        </w:rPr>
      </w:pPr>
    </w:p>
    <w:p w14:paraId="690DAE3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CE09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6D4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директор завода 39 Абрамов послал телефонограмму А.И.Ш. в 19:30:</w:t>
      </w:r>
    </w:p>
    <w:p w14:paraId="29EF5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на самолете Ил-6 сделано две рулежки по аэродрому (12 пробежек) с поднятием хвоста.</w:t>
      </w:r>
    </w:p>
    <w:p w14:paraId="5D9EA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расчетной группы поступило требование усилить капоты.</w:t>
      </w:r>
    </w:p>
    <w:p w14:paraId="299AF4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группы генерала Маркова получена дефектная ведомость на дефекты, подлежащие устранения до первого полета.</w:t>
      </w:r>
    </w:p>
    <w:p w14:paraId="389BE2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С.В.И. сегодня выдает чертежи на устранение указанных дефектов. Производство изготовит детали и заканчивает монтаж к 12 час. 5 августа.</w:t>
      </w:r>
    </w:p>
    <w:p w14:paraId="4F5F6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 доработок:</w:t>
      </w:r>
    </w:p>
    <w:p w14:paraId="1B0A21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На капоты устанавливаются дополнительные профиля</w:t>
      </w:r>
    </w:p>
    <w:p w14:paraId="6EAF43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трубопровод вводятся гибкие соединения - трубки заменяются петрофлексами.</w:t>
      </w:r>
    </w:p>
    <w:p w14:paraId="54C721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шарниры шасси вводятся масленки.</w:t>
      </w:r>
    </w:p>
    <w:p w14:paraId="76696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Усиливается стопорный механизм костыля.</w:t>
      </w:r>
    </w:p>
    <w:p w14:paraId="44774F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Производится дополнительное крепление трубопровода.</w:t>
      </w:r>
    </w:p>
    <w:p w14:paraId="302BC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Увеличивается площадь триммера РН</w:t>
      </w:r>
    </w:p>
    <w:p w14:paraId="1AE58C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Намечена спец. проверка ВМГ (1768,210).</w:t>
      </w:r>
    </w:p>
    <w:p w14:paraId="7350C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C8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Зам. Нач. Секретариата НКАП И.Фирсаев писал Нач. 7 ГУ НКАП С.Н.Шишкину письмо N Н-7/3113:</w:t>
      </w:r>
    </w:p>
    <w:p w14:paraId="6A7170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ГКО постановлением N 3831с от 28 июля 1943 обязал НКАП провести в ЦАГИ по заданию НИИ-3 при СНК СССР и НКВМФ необходимые исследовательские работы, связанные с разработкой реактивных торпед.</w:t>
      </w:r>
    </w:p>
    <w:p w14:paraId="1CE8B8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этого постановления НКАП А.И.Ш. приказал Вам связаться с НИИ-3 и провести необходимые работы." (1458,211).</w:t>
      </w:r>
    </w:p>
    <w:p w14:paraId="26FFA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9240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788E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07A6E4"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w:t>
      </w:r>
    </w:p>
    <w:p w14:paraId="559A48B3"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Докладная записка на имя секретаря ЦК ВКП(б) Г.М.Маленкова «О результатах проверки фактов, изложенных в письме помощника военпреда инженер-капитана Корнеева и старшего техника-лейтенанта Романова об очковтирательстве и непорядках на заводе № 698 НКЭП», подготовленная проверочной комиссией 04.08.1943 (18627).</w:t>
      </w:r>
    </w:p>
    <w:p w14:paraId="1AE3ECFF" w14:textId="77777777" w:rsidR="00357684" w:rsidRPr="00271E51" w:rsidRDefault="00357684" w:rsidP="00271E51">
      <w:pPr>
        <w:spacing w:after="0" w:line="240" w:lineRule="auto"/>
        <w:jc w:val="both"/>
        <w:rPr>
          <w:rFonts w:ascii="Times New Roman" w:hAnsi="Times New Roman"/>
          <w:color w:val="000000" w:themeColor="text1"/>
          <w:sz w:val="16"/>
          <w:szCs w:val="16"/>
        </w:rPr>
      </w:pPr>
    </w:p>
    <w:p w14:paraId="3507B0A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Постановление ГКО № 3867 Об учреждении переходящего Красного знамени Государственного Комитета Обороны для пароходств Наркомречфлота. (7132, 1).</w:t>
      </w:r>
    </w:p>
    <w:p w14:paraId="0311C5F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4B53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Распоряжение ГКО № 3868 [О передаче НКЭС 10 трофейных узкоколейных паровозов для вывозки торфа.] (7132, 2).</w:t>
      </w:r>
    </w:p>
    <w:p w14:paraId="70094EC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1F4D6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Распоряжение ГКО № 3869 [О графике перемещения нефтепродуктов госрезерва из Астрахани, Баку, Батуми и Красноводска.] (7132, 3,4-7).</w:t>
      </w:r>
    </w:p>
    <w:p w14:paraId="3BE95C0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C832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Постановление ГКО № 3870 О мероприятиях по сушке и уборке торфа на торфопредприятиях Наркомэлектростанций в сезоне 1943 г. (7132, 8-11).</w:t>
      </w:r>
    </w:p>
    <w:p w14:paraId="7DC0971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0D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Распоряжение ГКО № 3871. О направлении на завод N340 НКСП 500 военнообязанных, ограниченно годных к военной службе, и выпускников РУ и школ ФЗО.РГАНИР, Фонд ГКО, д. 143, лл. 12 (11012).</w:t>
      </w:r>
    </w:p>
    <w:p w14:paraId="64CD7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204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вышло Постановление ГКО О№ 3872 балансах и планах распределения проката черных металлов, труб, метизов, чугуна, ферросплавов, доменного угля и металлургического кокса на III квартал 1943 года.РГАНИР, Фонд ГКО, д. 143, лл. 13-14, 15-111 (11012).</w:t>
      </w:r>
    </w:p>
    <w:p w14:paraId="2053BC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5D6D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8EF08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1421A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в 1943 году оперативная сводка Совинформбюро:</w:t>
      </w:r>
    </w:p>
    <w:p w14:paraId="205AE798"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4 августа наши войска на Орловском направлении продолжали успешно развивать наступление и, продвинувшись вперёд от 6 до 10 километров, ворвались в Орёл, где ведут уличные бои с противником. Нашими войсками на Орловском направлении за день боёв занято свыше 80 населённых пунктов, в том числе железнодорожные станции Стальной Конь (6 километров севернее Орла) и Светлая Жизнь (4 километра южнее Орла).</w:t>
      </w:r>
    </w:p>
    <w:p w14:paraId="5A737E6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завязали бои с противником, придвинулись вперёд на 10 километров и серьёзно улучшили свои позиции.</w:t>
      </w:r>
    </w:p>
    <w:p w14:paraId="1BC5C4A9"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вели боиместного значения, в результате которых улучшили свои позиции.</w:t>
      </w:r>
    </w:p>
    <w:p w14:paraId="0D164F8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районе севернее и восточнее Мга, —артиллерийско-миномётная перестрелка с обеих сторон.</w:t>
      </w:r>
    </w:p>
    <w:p w14:paraId="2BF6AAF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августа наши войска на всех фронтах подбили и уничтожили 236 немецких танков. В воздушных боях и огнём зенитной артиллерии сбито 138 самолётов противника.</w:t>
      </w:r>
    </w:p>
    <w:p w14:paraId="310A92C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Орловском направлении наши войска продолжали наступление.</w:t>
      </w:r>
    </w:p>
    <w:p w14:paraId="7DAE11E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немцы непрерывно бросали в контратаки пехоту, поддержанную танками, самоходными орудиями и авиацией. Советские войска отразили все контратаки противника и нанесли ему большой урон. Подбито и сожжено 32 немецких танка и уничтожено до полка пехоты противника. Пленные сообщают, что 211 немецкая пехотная дивизия в последних боях потеряла свыше 70 процентов личного состава.</w:t>
      </w:r>
    </w:p>
    <w:p w14:paraId="19F2499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войска, сломив сопротивление немцев, ворвались в Орёл, где ведут уличные бои с противником.</w:t>
      </w:r>
    </w:p>
    <w:p w14:paraId="7EFE5BB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Орла наши войска продвинулись от 6 до 10 километров и заняли более 40 населённых пунктов. Особенно ожесточённые бои произошли за один населённый пункт, упорно защищавшийся противником. Советские бойцы разгромили немецкий гарнизон, оборонявший этот пункт, и заняли его. В этих боях наши части уничтожим до 1.500 гитлеровцев, 18 танков, 13 артиллерийских и миномётных батарей и более 120 автомашин с боеприпасами. Захвачены у противника 15 танков, 16 орудий, 40 пулемётов и другие трофеи. На другом участке Н-ское соединение, преследуя отступающего противника, уничтожило свыше 1.000 немецких солдат и офицеров. Захвачено 10 орудий, 32 миномёта, 110 пулемётов, 11 тысяч снарядов, 2 миллиона патронов, 68 тонн пороха и взрывчатых веществ.</w:t>
      </w:r>
    </w:p>
    <w:p w14:paraId="7F110285"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бомбила и штурмовала колонны войск противника. В воздушных боях в течение дня сбито 54 немецких самолёта.</w:t>
      </w:r>
    </w:p>
    <w:p w14:paraId="4A9AAB8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завязали бои с противником, продвинулись вперёд на 10 километров и серьёзно улучшили свои позиции. Все попытки немцев восстановить положение провалились. Противник понёс тяжёлые потери в живой силе и технике.</w:t>
      </w:r>
    </w:p>
    <w:p w14:paraId="2AB2C2E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активно поддерживала боевые действия наземных войск. В результате бомбардировки уничтожено большое число танков и до 300 автомашин противника. В воздушных боях сбито 44 немецких самолёта.</w:t>
      </w:r>
    </w:p>
    <w:p w14:paraId="26EB79CC"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происходил огневой бой. Наши артиллеристы и миномётчики уничтожили 2 немецких танка, несколько орудий и взорвали склад боеприпасов. Разрушено 30 дзотов и 6 наблюдательных пунктов. В результате активных действий наших подразделений уничтожено до 700 вражеских солдат и офицеров.</w:t>
      </w:r>
    </w:p>
    <w:p w14:paraId="32AC603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подразделения Н-ской части вели бои местного значения. Наши бойцы очистили от гитлеровцев рощу и захватили сильно укреплённые позиции. Противник, стремясь задержать продвижение советских подразделений, предпринял несколько контратак. При отражении контратак противника наши бойцы истребили несколько сот гитлеровцев, подбили и уничтожили 4 немецких танка. Захвачены пленные.</w:t>
      </w:r>
    </w:p>
    <w:p w14:paraId="19F35D3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группа разведчиков под командованием капитана Орлова ночью ворвалась в немецкие траншеи и уничтожила большую группу гитлеровцев. Разведчики захватили трофеи и благополучно вернулись в свою часть, Снайперы Н-ского подразделения за семь дней истребили 66 вражеских солдат. Снайпер т. Сысоев уничтожил 12 немцев, т. Вилгурин — 8, тт. Кондратенко и Скопцов убили по 7 гитлеровцев каждый.</w:t>
      </w:r>
    </w:p>
    <w:p w14:paraId="284CEFC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Разведчики партизанского отряда, действующего в одном из районов Могилевской области, узнали, что немцы готовят нападение на партизанскую базу. Командование отряда решило опередить врага. На рассвете 27 июля партизаны внезапно атаковали немецкий карательный отряд и истребили 68 гитлеровцев. Захвачено много повозок с боеприпасами. Партизаны отряда, действующего в Гомельской области, 24 июля пустили под откос немецкий воинский эшелон. Разбиты паровоз и 30 вагонов.</w:t>
      </w:r>
    </w:p>
    <w:p w14:paraId="2A96D65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самокатного эскадрона отдельного батальона 262 немецкойпехотной дивизии обер-лейтенант Вальтер Беккер рассказал: «С самой весны у нас много говорили о предстоящем летнем наступлении. Многие мечтали о втором походе на Москву. Русские расстроили все эти планы. Нам приходится отступать, отдавать территорию, купленную ценой величайших жертв. Летние поражения немецкой армии произвели гнетущее впечатление на солдат и офицеров. С потерей территории, и особенно инициативы, всё больше и больше солдат и офицеров теряет веру в победу. Многие офицеры считают Гитлера главным виновником военных поражений Германии на Востоке. Офицеры намёками выражают недовольство Гитлером за то, что он сам назначил себя главнокомандующим армией. Они говорят, что один ефрейтор обходится Германии гораздо дороже, чем все её покойные и здравствующие генералы и маршалы вместе взятые. Последние события под Орлом окончательно убедили меня в том, что Германия проиграет войну. Трезво рассудив, я сдался в плен русским» (14973).</w:t>
      </w:r>
    </w:p>
    <w:p w14:paraId="77A8D064"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224F8CE8" w14:textId="77777777" w:rsidR="00357684" w:rsidRPr="00271E51" w:rsidRDefault="00357684" w:rsidP="00271E51">
      <w:pPr>
        <w:pStyle w:val="ae"/>
        <w:spacing w:before="0" w:after="0"/>
        <w:jc w:val="both"/>
        <w:textAlignment w:val="baseline"/>
        <w:rPr>
          <w:color w:val="000000" w:themeColor="text1"/>
          <w:sz w:val="16"/>
          <w:szCs w:val="16"/>
        </w:rPr>
      </w:pPr>
      <w:r w:rsidRPr="00271E51">
        <w:rPr>
          <w:color w:val="000000" w:themeColor="text1"/>
          <w:sz w:val="16"/>
          <w:szCs w:val="16"/>
        </w:rPr>
        <w:t>4 августа 1943, в период с 16.10 до 19.40 по московскому времени, Ил-2 из 724-го шап совершили несколько налетов на аэродром Карачев, заявив об уничтожении там 35 самолетов. В то же время немецкие зенитки и истребители сбили четыре «цементбомбера», в том числе машину командира полка подполковника С. М. Ярославцева. Отличился обер-фельдфебель Отто Киттель из 2-й эскадрильи JG54, на чьем счету были два штурмовика.</w:t>
      </w:r>
    </w:p>
    <w:p w14:paraId="60DD6E6E" w14:textId="77777777" w:rsidR="00357684" w:rsidRPr="00271E51" w:rsidRDefault="00357684" w:rsidP="00271E51">
      <w:pPr>
        <w:pStyle w:val="ae"/>
        <w:spacing w:before="0" w:after="0"/>
        <w:jc w:val="both"/>
        <w:textAlignment w:val="baseline"/>
        <w:rPr>
          <w:color w:val="000000" w:themeColor="text1"/>
          <w:sz w:val="16"/>
          <w:szCs w:val="16"/>
        </w:rPr>
      </w:pPr>
      <w:r w:rsidRPr="00271E51">
        <w:rPr>
          <w:color w:val="000000" w:themeColor="text1"/>
          <w:sz w:val="16"/>
          <w:szCs w:val="16"/>
        </w:rPr>
        <w:t>По возвращении экипажи оставшихся Илов сообщили о десяти якобы сбитых ими в воздушных боях «Фокке-Вульфах». На самом же деле немцы тогда потеряли один FW-190A-5, чей пилот — командир все той же 2-й эскадрильи JG54 обер-лейтенант Ханс Гётц — погиб. При этом, по одной версии, он действительно был сбит огнем бортстрелков штурмовиков, а по другой — его истребитель потерпел катастрофу, задев концом плоскости землю во время крутого виража на предельно малой высоте. Для эскадры «Грюнхерц» гибель кавалера Рыцарского креста, одержавшего 82 воздушные победы, была большой, но все же единственной потерей.</w:t>
      </w:r>
    </w:p>
    <w:p w14:paraId="29E25D1C" w14:textId="77777777" w:rsidR="00357684" w:rsidRPr="00271E51" w:rsidRDefault="00357684" w:rsidP="00271E51">
      <w:pPr>
        <w:pStyle w:val="ae"/>
        <w:spacing w:before="0" w:after="0"/>
        <w:jc w:val="both"/>
        <w:textAlignment w:val="baseline"/>
        <w:rPr>
          <w:color w:val="000000" w:themeColor="text1"/>
          <w:sz w:val="16"/>
          <w:szCs w:val="16"/>
        </w:rPr>
      </w:pPr>
      <w:r w:rsidRPr="00271E51">
        <w:rPr>
          <w:color w:val="000000" w:themeColor="text1"/>
          <w:sz w:val="16"/>
          <w:szCs w:val="16"/>
        </w:rPr>
        <w:t>В этот же день, в сотнях километрах к югу, 12 Ил-2 из 673-го шап атаковали аэродром Микояновка. Летчики отчитались о пятнадцати уничтоженных самолетах, хотя фактически на земле получили небольшие повреждения только два FW-190 из II./SchGl (19522).</w:t>
      </w:r>
    </w:p>
    <w:p w14:paraId="6C1ACB45" w14:textId="77777777" w:rsidR="00357684" w:rsidRPr="00271E51" w:rsidRDefault="00357684" w:rsidP="00271E51">
      <w:pPr>
        <w:pStyle w:val="ae"/>
        <w:spacing w:before="0" w:after="0"/>
        <w:jc w:val="both"/>
        <w:textAlignment w:val="baseline"/>
        <w:rPr>
          <w:color w:val="000000" w:themeColor="text1"/>
          <w:sz w:val="16"/>
          <w:szCs w:val="16"/>
        </w:rPr>
      </w:pPr>
    </w:p>
    <w:p w14:paraId="704300C6"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августа 1943, в период с 16.10 до 19.40 по московскому времени, Ил</w:t>
      </w:r>
      <w:r w:rsidRPr="00271E51">
        <w:rPr>
          <w:rFonts w:ascii="Times New Roman" w:hAnsi="Times New Roman"/>
          <w:color w:val="0070C0"/>
          <w:sz w:val="16"/>
          <w:szCs w:val="16"/>
        </w:rPr>
        <w:noBreakHyphen/>
        <w:t>2 из 724</w:t>
      </w:r>
      <w:r w:rsidRPr="00271E51">
        <w:rPr>
          <w:rFonts w:ascii="Times New Roman" w:hAnsi="Times New Roman"/>
          <w:color w:val="0070C0"/>
          <w:sz w:val="16"/>
          <w:szCs w:val="16"/>
        </w:rPr>
        <w:noBreakHyphen/>
        <w:t>го шап совершили несколько налетов на аэродром Карачев, заявив об уничтожении там 35 самолетов. В то же время немецкие зенитки и истребители сбили четыре «цементбомбера», в том числе машину командира полка подполковника С.М. Ярославцева. Отличился обер</w:t>
      </w:r>
      <w:r w:rsidRPr="00271E51">
        <w:rPr>
          <w:rFonts w:ascii="Times New Roman" w:hAnsi="Times New Roman"/>
          <w:color w:val="0070C0"/>
          <w:sz w:val="16"/>
          <w:szCs w:val="16"/>
        </w:rPr>
        <w:noBreakHyphen/>
        <w:t>фельдфебель Отто Киттель из 2</w:t>
      </w:r>
      <w:r w:rsidRPr="00271E51">
        <w:rPr>
          <w:rFonts w:ascii="Times New Roman" w:hAnsi="Times New Roman"/>
          <w:color w:val="0070C0"/>
          <w:sz w:val="16"/>
          <w:szCs w:val="16"/>
        </w:rPr>
        <w:noBreakHyphen/>
        <w:t>й эскадрильи JG54, на чьем счету были два штурмовика.</w:t>
      </w:r>
    </w:p>
    <w:p w14:paraId="5581AB75"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 возвращении экипажи оставшихся Илов сообщили о десяти якобы сбитых ими в воздушных боях «Фокке</w:t>
      </w:r>
      <w:r w:rsidRPr="00271E51">
        <w:rPr>
          <w:rFonts w:ascii="Times New Roman" w:hAnsi="Times New Roman"/>
          <w:color w:val="0070C0"/>
          <w:sz w:val="16"/>
          <w:szCs w:val="16"/>
        </w:rPr>
        <w:noBreakHyphen/>
        <w:t>Вульфах». На самом же деле немцы тогда потеряли один FW</w:t>
      </w:r>
      <w:r w:rsidRPr="00271E51">
        <w:rPr>
          <w:rFonts w:ascii="Times New Roman" w:hAnsi="Times New Roman"/>
          <w:color w:val="0070C0"/>
          <w:sz w:val="16"/>
          <w:szCs w:val="16"/>
        </w:rPr>
        <w:noBreakHyphen/>
        <w:t>190A</w:t>
      </w:r>
      <w:r w:rsidRPr="00271E51">
        <w:rPr>
          <w:rFonts w:ascii="Times New Roman" w:hAnsi="Times New Roman"/>
          <w:color w:val="0070C0"/>
          <w:sz w:val="16"/>
          <w:szCs w:val="16"/>
        </w:rPr>
        <w:noBreakHyphen/>
        <w:t>5, чей пилот – командир все той же 2</w:t>
      </w:r>
      <w:r w:rsidRPr="00271E51">
        <w:rPr>
          <w:rFonts w:ascii="Times New Roman" w:hAnsi="Times New Roman"/>
          <w:color w:val="0070C0"/>
          <w:sz w:val="16"/>
          <w:szCs w:val="16"/>
        </w:rPr>
        <w:noBreakHyphen/>
        <w:t>й эскадрильи JG54 обер</w:t>
      </w:r>
      <w:r w:rsidRPr="00271E51">
        <w:rPr>
          <w:rFonts w:ascii="Times New Roman" w:hAnsi="Times New Roman"/>
          <w:color w:val="0070C0"/>
          <w:sz w:val="16"/>
          <w:szCs w:val="16"/>
        </w:rPr>
        <w:noBreakHyphen/>
        <w:t>лейтенант Ханс Гётц – погиб. При этом, по одной версии, он действительно был сбит огнем бортстрелков штурмовиков, а по другой – его истребитель потерпел катастрофу, задев концом плоскости землю во время крутого виража на предельно малой высоте. Для эскадры «Грюнхерц» гибель кавалера Рыцарского креста, одержавшего 82 воздушные победы, была большой, но все же единственной потерей.</w:t>
      </w:r>
    </w:p>
    <w:p w14:paraId="6A9B8756"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этот же день, в сотнях километрах к югу, 12 Ил</w:t>
      </w:r>
      <w:r w:rsidRPr="00271E51">
        <w:rPr>
          <w:rFonts w:ascii="Times New Roman" w:hAnsi="Times New Roman"/>
          <w:color w:val="0070C0"/>
          <w:sz w:val="16"/>
          <w:szCs w:val="16"/>
        </w:rPr>
        <w:noBreakHyphen/>
        <w:t>2 из 673</w:t>
      </w:r>
      <w:r w:rsidRPr="00271E51">
        <w:rPr>
          <w:rFonts w:ascii="Times New Roman" w:hAnsi="Times New Roman"/>
          <w:color w:val="0070C0"/>
          <w:sz w:val="16"/>
          <w:szCs w:val="16"/>
        </w:rPr>
        <w:noBreakHyphen/>
        <w:t>го шап атаковали аэродром Микояновка. Летчики отчитались о пятнадцати уничтоженных самолетах, хотя фактически на земле получили небольшие повреждения только два FW</w:t>
      </w:r>
      <w:r w:rsidRPr="00271E51">
        <w:rPr>
          <w:rFonts w:ascii="Times New Roman" w:hAnsi="Times New Roman"/>
          <w:color w:val="0070C0"/>
          <w:sz w:val="16"/>
          <w:szCs w:val="16"/>
        </w:rPr>
        <w:noBreakHyphen/>
        <w:t>190 из II./SchGl (23199).</w:t>
      </w:r>
    </w:p>
    <w:p w14:paraId="6BA3D44B" w14:textId="77777777" w:rsidR="00524306" w:rsidRPr="00271E51" w:rsidRDefault="00524306" w:rsidP="00271E51">
      <w:pPr>
        <w:spacing w:after="0" w:line="240" w:lineRule="auto"/>
        <w:jc w:val="both"/>
        <w:rPr>
          <w:rFonts w:ascii="Times New Roman" w:hAnsi="Times New Roman"/>
          <w:color w:val="0070C0"/>
          <w:sz w:val="16"/>
          <w:szCs w:val="16"/>
        </w:rPr>
      </w:pPr>
    </w:p>
    <w:p w14:paraId="5AF4F69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в 1943 году партизанское соединение С.А.Ковпака нанесло удар по городу Делятин — крупному узлу шоссейных и железных дорог в тылу противника (14973).</w:t>
      </w:r>
    </w:p>
    <w:p w14:paraId="02A43D72"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71D60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 5 августа 1943 л 8 и 17 ВА разгромили 16 эшелонов и уничтожили на дорогах 28 танков и 300 автомашин (518,256), а по другим данным - 20 танков и 30 автомашин (340,152).</w:t>
      </w:r>
    </w:p>
    <w:p w14:paraId="3A230D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D79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при выдвижении гитлеровских танковых и моторизованных дивизий на Донбасс по ним непрерывно днем и ночью стали наносить удары ш и б 8ВА ЮФ, которые выполнили 1867 вылетов. Потом, по мере продвижения резервов на север, подключилась 17ВА ЮЗФ и летчики 8 и 17ВА до 15 августа 1943 выполнили по перебрасываемым немецким резервам 4113 вылетов (518,256).</w:t>
      </w:r>
    </w:p>
    <w:p w14:paraId="18FC29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AC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партизанское соединение С.А.Ковпака нанесло удар по г. Делягин - крупному узлу шоссейных и ж/д дорог (3398,271).</w:t>
      </w:r>
    </w:p>
    <w:p w14:paraId="0F0D7F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463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г. были подготовлены ОТВЕТЫ КОМАНДУЮЩЕГО БТ и МВ КА НА ВОПРОСЫ ГЛАВЫ БРИТАНСКОЙ ВОЕННОЙ МИССИИ В СССР ПО ЗАПРОСУ ГШ КА ПО БРОНЕТАНКОВОЙ ТЕМАТИКЕ № 12002</w:t>
      </w:r>
    </w:p>
    <w:p w14:paraId="3BC62B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Глава британкой военной миссии генерал-лейтенант Мартель обратился ко мне с вопросами, по которым он бы хотел получить боевой опыт последних июльских операций Красной Армии.</w:t>
      </w:r>
    </w:p>
    <w:p w14:paraId="3C90F8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Прошу указаний подготовить проект ответов на вопросы, интересующие генерала Мартель, и прислать их мне для доклада и получения санкции от начальника </w:t>
      </w:r>
      <w:r w:rsidRPr="00271E51">
        <w:rPr>
          <w:rFonts w:ascii="Times New Roman" w:hAnsi="Times New Roman"/>
          <w:color w:val="000000" w:themeColor="text1"/>
          <w:sz w:val="16"/>
          <w:szCs w:val="16"/>
        </w:rPr>
        <w:lastRenderedPageBreak/>
        <w:t>Генерального штаба.</w:t>
      </w:r>
    </w:p>
    <w:p w14:paraId="20A1A2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ответов желательно получить к вечеру 6 августа 1943 года.</w:t>
      </w:r>
    </w:p>
    <w:p w14:paraId="73DD25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Генерал-майор Дубинин</w:t>
      </w:r>
    </w:p>
    <w:p w14:paraId="060555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Британская военная миссия в СССР г. Москва</w:t>
      </w:r>
    </w:p>
    <w:p w14:paraId="15B116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1 3 августа 1943г.</w:t>
      </w:r>
    </w:p>
    <w:p w14:paraId="45B784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Господину генерал-майору ДУБИНИНУ</w:t>
      </w:r>
    </w:p>
    <w:p w14:paraId="2C6FC2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Прилагаю вопросы, на которые нам срочно требуются ответы.</w:t>
      </w:r>
    </w:p>
    <w:p w14:paraId="568B9A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они касаются танков, и мы хотим познакомиться с Вашим опытом, так как он может повли</w:t>
      </w:r>
      <w:r w:rsidRPr="00271E51">
        <w:rPr>
          <w:rFonts w:ascii="Times New Roman" w:hAnsi="Times New Roman"/>
          <w:color w:val="000000" w:themeColor="text1"/>
          <w:sz w:val="16"/>
          <w:szCs w:val="16"/>
        </w:rPr>
        <w:softHyphen/>
        <w:t>ять на нашу программу производства танков.</w:t>
      </w:r>
    </w:p>
    <w:p w14:paraId="44BB70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хотели бы ознакомиться и со многими другими вопросами, как то — характер бомбардиров</w:t>
      </w:r>
      <w:r w:rsidRPr="00271E51">
        <w:rPr>
          <w:rFonts w:ascii="Times New Roman" w:hAnsi="Times New Roman"/>
          <w:color w:val="000000" w:themeColor="text1"/>
          <w:sz w:val="16"/>
          <w:szCs w:val="16"/>
        </w:rPr>
        <w:softHyphen/>
        <w:t>ки Вашей артиллерии, применение авиации, тактика пехоты и т.д., но эти вопросы менее срочны.</w:t>
      </w:r>
    </w:p>
    <w:p w14:paraId="65C713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буду весьма благодарен, если Вы сообщите мне в ближайший день, когда Вы сможете обсудить эти вопросы с нами.</w:t>
      </w:r>
    </w:p>
    <w:p w14:paraId="213A0D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Может быть, Вы сможете обсудить с нами на этой недели также и вопросы войны в зимних усло</w:t>
      </w:r>
      <w:r w:rsidRPr="00271E51">
        <w:rPr>
          <w:rFonts w:ascii="Times New Roman" w:hAnsi="Times New Roman"/>
          <w:color w:val="000000" w:themeColor="text1"/>
          <w:sz w:val="16"/>
          <w:szCs w:val="16"/>
        </w:rPr>
        <w:softHyphen/>
        <w:t>виях. Таким образом, дело решится, может быть, скорее, чем, ожидая Ваш письменный доклад. Это дело становится для нас действительно срочным.</w:t>
      </w:r>
    </w:p>
    <w:p w14:paraId="4B347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Глава Британкой военной миссии в СССР генерал-лейтенант Мартель</w:t>
      </w:r>
    </w:p>
    <w:p w14:paraId="378832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ВОПРОСЫ ДЛЯ ОБСУЖДЕНИЯ С ГЕНЕРАЛЬНЫМ ШТАБОМ КРАСНОЙ АРМИИ</w:t>
      </w:r>
    </w:p>
    <w:p w14:paraId="7EF9C3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Добивался ли советский танк КВ в общем успехов при прорыве сильных германских укре</w:t>
      </w:r>
      <w:r w:rsidRPr="00271E51">
        <w:rPr>
          <w:rFonts w:ascii="Times New Roman" w:hAnsi="Times New Roman"/>
          <w:color w:val="000000" w:themeColor="text1"/>
          <w:sz w:val="16"/>
          <w:szCs w:val="16"/>
        </w:rPr>
        <w:softHyphen/>
        <w:t>плений? Как показал себя танк «Черчилль» в той же роли? Останавливалось ли большое количество этих танков противотанковыми минами? Если мы построим танки прорыва нового образца, посо</w:t>
      </w:r>
      <w:r w:rsidRPr="00271E51">
        <w:rPr>
          <w:rFonts w:ascii="Times New Roman" w:hAnsi="Times New Roman"/>
          <w:color w:val="000000" w:themeColor="text1"/>
          <w:sz w:val="16"/>
          <w:szCs w:val="16"/>
        </w:rPr>
        <w:softHyphen/>
        <w:t>ветуете ли Вы на основании Вашего опыта установить на них еще более тяжелую броню? Требуется ли для таких танков орудие большего калибра, чем 75 мм?</w:t>
      </w:r>
    </w:p>
    <w:p w14:paraId="4EC69B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Немцы атаковали Курский выступ большим числом танков. Как Красная Армия остановила их? Было ли большое количество их остановлено противотанковыми минами или же большинство остановлено противотанковыми орудиями и, если так, то орудиями какого типа?</w:t>
      </w:r>
    </w:p>
    <w:p w14:paraId="343BA8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Играли ли противотанковые препятствия большую роль в этих операциях, и применялись ли какие-либо особые средства для преодоления их? Применялись ли с той или другой стороны какие-либо особые приспособления для разминирования?</w:t>
      </w:r>
    </w:p>
    <w:p w14:paraId="6FCF19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Когда танки останавливались артиллерийским огнем, то случалось ли это, как правило, вслед</w:t>
      </w:r>
      <w:r w:rsidRPr="00271E51">
        <w:rPr>
          <w:rFonts w:ascii="Times New Roman" w:hAnsi="Times New Roman"/>
          <w:color w:val="000000" w:themeColor="text1"/>
          <w:sz w:val="16"/>
          <w:szCs w:val="16"/>
        </w:rPr>
        <w:softHyphen/>
        <w:t>ствие пробоин от бронебойных снарядов или же танки выводились из строя действием фугасных и бризантных снарядов?</w:t>
      </w:r>
    </w:p>
    <w:p w14:paraId="771030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Представлял ли танк «Тигр» серьезную опасность или же Вы справлялись с ним сравнительно легко огнем по его бортам? В Северной Африке у нас создалось низкое мнение об этом танке.</w:t>
      </w:r>
    </w:p>
    <w:p w14:paraId="431A37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Мы склоняемся к мнению, что 76-мм орудие с большой начальной скоростью представляет собой максимальный калибр орудия, который возможно установить на танке с круговым обстрелом ,и что орудия больших калибров следует устанавливать на самоходных установках с ограниченным обстрелом. Подтверждается ли это мнение Вашим опытом?</w:t>
      </w:r>
    </w:p>
    <w:p w14:paraId="5FC8F8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Сможете ли Вы представить какие-либо сведения о танке «Пантера».</w:t>
      </w:r>
    </w:p>
    <w:p w14:paraId="3BF499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2</w:t>
      </w:r>
    </w:p>
    <w:p w14:paraId="31BF55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группы офицеров Генерального штаба Красной Армии генерал-майору т. ДУБИНИНУ</w:t>
      </w:r>
    </w:p>
    <w:p w14:paraId="144C75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высылаю ответы на вопросы главы Британкой военной миссии генерал-лейтенанта Мартель. Приложение: ответы на 2 листах</w:t>
      </w:r>
    </w:p>
    <w:p w14:paraId="544DB7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БТ и МВ Красной Армии генерал-майор танковых войск Салминов</w:t>
      </w:r>
    </w:p>
    <w:p w14:paraId="448CC7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ОТВЕТЫ НА ВОПРОСЫ Главы Британкой военной миссии</w:t>
      </w:r>
    </w:p>
    <w:p w14:paraId="67D187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прорыве сильных укреплений немцев тяжелые танки КВ и «Черчилль» с ролью танков прорыва вполне справились, и как танки прорыва, усиливающие атакующую пехоту, вполне себя оправдали.</w:t>
      </w:r>
    </w:p>
    <w:p w14:paraId="6C483A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учитывая увеличение калибров, начальной скорости и увеличение снарядов у противо</w:t>
      </w:r>
      <w:r w:rsidRPr="00271E51">
        <w:rPr>
          <w:rFonts w:ascii="Times New Roman" w:hAnsi="Times New Roman"/>
          <w:color w:val="000000" w:themeColor="text1"/>
          <w:sz w:val="16"/>
          <w:szCs w:val="16"/>
        </w:rPr>
        <w:softHyphen/>
        <w:t>танковой самоходной и танковой артиллерии пр-ка, применяемой для борьбы с наступающими тан</w:t>
      </w:r>
      <w:r w:rsidRPr="00271E51">
        <w:rPr>
          <w:rFonts w:ascii="Times New Roman" w:hAnsi="Times New Roman"/>
          <w:color w:val="000000" w:themeColor="text1"/>
          <w:sz w:val="16"/>
          <w:szCs w:val="16"/>
        </w:rPr>
        <w:softHyphen/>
        <w:t>ками, броня танков прорыва должна быть усилена (до 100-120 мм).</w:t>
      </w:r>
    </w:p>
    <w:p w14:paraId="29FFDE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«Черчилль» к роли танков прорыва, на усиление пехоты в целом подходит, но опыт еще раз подтвердил слабость его пушечного вооружения.</w:t>
      </w:r>
    </w:p>
    <w:p w14:paraId="58031F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Бензиновое топливо танка значительно увеличивает опасность пожара, % сгоревших танков «Черчилль» значительно больше в сравнении с дизельными танками КВ.</w:t>
      </w:r>
    </w:p>
    <w:p w14:paraId="0AE9E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 врагом танков в этих операциях являлась противотанковая самоходная артиллерия и танки. Минные поля приносили значительно меньший вред. Что касается безвозвратных потерь, то они на минных полях совершенно незначительны, так как большинство танков, оставшихся на минных полях, имеют повреждение только в ходовой части и быстро восстанавливаются.</w:t>
      </w:r>
    </w:p>
    <w:p w14:paraId="4B7430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этого одного не следует недооценивать значение минных полей как средства ПТО. В опе</w:t>
      </w:r>
      <w:r w:rsidRPr="00271E51">
        <w:rPr>
          <w:rFonts w:ascii="Times New Roman" w:hAnsi="Times New Roman"/>
          <w:color w:val="000000" w:themeColor="text1"/>
          <w:sz w:val="16"/>
          <w:szCs w:val="16"/>
        </w:rPr>
        <w:softHyphen/>
        <w:t>рациях в июле минные поля принесли меньший вред танкам потому, что принимались тщательные меры к уничтожению минных полей с помощью артиллерии и саперов.</w:t>
      </w:r>
    </w:p>
    <w:p w14:paraId="436F46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Танковая пушка на тяжелом танке должна быть калибром от 75 до 100 мм и с большой начальной скоростью снаряда, тогда этот танк будет и танком прорыва и мощным средством ПТО (как немецкий танк «Тигр»).</w:t>
      </w:r>
    </w:p>
    <w:p w14:paraId="1EF584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Усиливая броню и вооружение тяжелого танка, нельзя забывать про необходимость поддержи</w:t>
      </w:r>
      <w:r w:rsidRPr="00271E51">
        <w:rPr>
          <w:rFonts w:ascii="Times New Roman" w:hAnsi="Times New Roman"/>
          <w:color w:val="000000" w:themeColor="text1"/>
          <w:sz w:val="16"/>
          <w:szCs w:val="16"/>
        </w:rPr>
        <w:softHyphen/>
        <w:t>вать на должном уровне его подвижность.</w:t>
      </w:r>
    </w:p>
    <w:p w14:paraId="4BDD80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Танку «Черчилль» надо срочно дать лучшую пушку и дизель-мотор.</w:t>
      </w:r>
    </w:p>
    <w:p w14:paraId="0B875A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Наступление большой массы немецких танков на Курском выступе было остановлено ком</w:t>
      </w:r>
      <w:r w:rsidRPr="00271E51">
        <w:rPr>
          <w:rFonts w:ascii="Times New Roman" w:hAnsi="Times New Roman"/>
          <w:color w:val="000000" w:themeColor="text1"/>
          <w:sz w:val="16"/>
          <w:szCs w:val="16"/>
        </w:rPr>
        <w:softHyphen/>
        <w:t>плексом всех средств ПТО.</w:t>
      </w:r>
    </w:p>
    <w:p w14:paraId="629A70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Наибольшее количество потерь немецкие танки понесли от всех видов артиллерии и пушечного огня танков. Минные поля стесняли маневр немецких танков и помогали артиллерии более успешно бороться с танками немцев.</w:t>
      </w:r>
    </w:p>
    <w:p w14:paraId="59E13C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борьбе с танками немцев привлекались все типы орудий, наибольший же эффект при стрель</w:t>
      </w:r>
      <w:r w:rsidRPr="00271E51">
        <w:rPr>
          <w:rFonts w:ascii="Times New Roman" w:hAnsi="Times New Roman"/>
          <w:color w:val="000000" w:themeColor="text1"/>
          <w:sz w:val="16"/>
          <w:szCs w:val="16"/>
        </w:rPr>
        <w:softHyphen/>
        <w:t>бе по танкам показали орудия калибра от 75 мм и больше.</w:t>
      </w:r>
    </w:p>
    <w:p w14:paraId="30DC73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Противотанковые препятствия в виде минных полей, противотанковых рвов и другие стес</w:t>
      </w:r>
      <w:r w:rsidRPr="00271E51">
        <w:rPr>
          <w:rFonts w:ascii="Times New Roman" w:hAnsi="Times New Roman"/>
          <w:color w:val="000000" w:themeColor="text1"/>
          <w:sz w:val="16"/>
          <w:szCs w:val="16"/>
        </w:rPr>
        <w:softHyphen/>
        <w:t>няли маневр немецких танков, но не являлись средством, способным остановить их движение. Этой своей ролью они помогали артиллерии.</w:t>
      </w:r>
    </w:p>
    <w:p w14:paraId="1459B1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 средством борьбы с минными полями являлись саперы. Опыт боев показывает, что для проделывания проходов в минных полях большую пользу приносят артобстрел и бомбежка ави</w:t>
      </w:r>
      <w:r w:rsidRPr="00271E51">
        <w:rPr>
          <w:rFonts w:ascii="Times New Roman" w:hAnsi="Times New Roman"/>
          <w:color w:val="000000" w:themeColor="text1"/>
          <w:sz w:val="16"/>
          <w:szCs w:val="16"/>
        </w:rPr>
        <w:softHyphen/>
        <w:t>ацией минных полей. Разрывы снарядов и авиабомб детонируют мины и подрывают их, чем дости</w:t>
      </w:r>
      <w:r w:rsidRPr="00271E51">
        <w:rPr>
          <w:rFonts w:ascii="Times New Roman" w:hAnsi="Times New Roman"/>
          <w:color w:val="000000" w:themeColor="text1"/>
          <w:sz w:val="16"/>
          <w:szCs w:val="16"/>
        </w:rPr>
        <w:softHyphen/>
        <w:t>гается проделывание проходов в минных полях.</w:t>
      </w:r>
    </w:p>
    <w:p w14:paraId="500AEF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 место случаи, когда немецкая авиация бомбардировкой рвов ПТО добивалась проделы</w:t>
      </w:r>
      <w:r w:rsidRPr="00271E51">
        <w:rPr>
          <w:rFonts w:ascii="Times New Roman" w:hAnsi="Times New Roman"/>
          <w:color w:val="000000" w:themeColor="text1"/>
          <w:sz w:val="16"/>
          <w:szCs w:val="16"/>
        </w:rPr>
        <w:softHyphen/>
        <w:t>вания проходов в них для танков.</w:t>
      </w:r>
    </w:p>
    <w:p w14:paraId="4E9A2E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Другие средства для борьбы с минными полями не выявлены.</w:t>
      </w:r>
    </w:p>
    <w:p w14:paraId="0BE546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Большинство танков выводилось из строя от прямых попаданий бронебойных снарядов. Наряду с этим имели место случаи остановки танков от разрыва фугасных и бризантных снарядов при попадании их в ходовую часть танка или при разрыве рядом с танком, когда достигалось повреж</w:t>
      </w:r>
      <w:r w:rsidRPr="00271E51">
        <w:rPr>
          <w:rFonts w:ascii="Times New Roman" w:hAnsi="Times New Roman"/>
          <w:color w:val="000000" w:themeColor="text1"/>
          <w:sz w:val="16"/>
          <w:szCs w:val="16"/>
        </w:rPr>
        <w:softHyphen/>
        <w:t>дение ходовой части танка.</w:t>
      </w:r>
    </w:p>
    <w:p w14:paraId="75D027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Танк «Тигр» мощная машина по броне и вооружению, но мало поворотная.</w:t>
      </w:r>
    </w:p>
    <w:p w14:paraId="4D8B0D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Недооценивать «Тигр» нельзя, так как он является серьезным противником.</w:t>
      </w:r>
    </w:p>
    <w:p w14:paraId="6A9255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боев на Курском выступе показал, что он не неуязвимый танк, а при хорошей организации ПТО, особенно мощной артиллерией, борьба с ним возможна. Из класса танков, танк «Тигр» пере</w:t>
      </w:r>
      <w:r w:rsidRPr="00271E51">
        <w:rPr>
          <w:rFonts w:ascii="Times New Roman" w:hAnsi="Times New Roman"/>
          <w:color w:val="000000" w:themeColor="text1"/>
          <w:sz w:val="16"/>
          <w:szCs w:val="16"/>
        </w:rPr>
        <w:softHyphen/>
        <w:t>довая машина.</w:t>
      </w:r>
    </w:p>
    <w:p w14:paraId="0AF9F7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Учитывая появление у немцев на танке «Тигр» 88-мм пушки и неизбежность привлечения на борьбу с этим танком наших танков надо считать, что калибр танковых пушек должен быть как минимальный 75-мм с большой начальной скоростью. Надо искать пути к установке на танк с круго</w:t>
      </w:r>
      <w:r w:rsidRPr="00271E51">
        <w:rPr>
          <w:rFonts w:ascii="Times New Roman" w:hAnsi="Times New Roman"/>
          <w:color w:val="000000" w:themeColor="text1"/>
          <w:sz w:val="16"/>
          <w:szCs w:val="16"/>
        </w:rPr>
        <w:softHyphen/>
        <w:t>вым обстрелом орудия до 100-мм.</w:t>
      </w:r>
    </w:p>
    <w:p w14:paraId="32A03C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Фотографию и данные о танке «Пантера» прилагаю.</w:t>
      </w:r>
    </w:p>
    <w:p w14:paraId="48348C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«Пантера» с хорошими качествами и серьезный противник. Он еще не стал в немецкой армии основным, но, как видно, он на это большой претендент. Приложение: фотографии и данные о танке «Пантера».</w:t>
      </w:r>
    </w:p>
    <w:p w14:paraId="230243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 Заев</w:t>
      </w:r>
    </w:p>
    <w:p w14:paraId="28F05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35. Л. 118-121, 124-126. Копия (11403).</w:t>
      </w:r>
    </w:p>
    <w:p w14:paraId="2829CC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B09F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F0AB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3135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в 1943 году второй прототип самолета «NA-67» (серийный номер - 40-3058), американского высотного бомбардировщика «XB-28A», потерпел аварию и упал в океан (14973).</w:t>
      </w:r>
    </w:p>
    <w:p w14:paraId="378AF8DB"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6979BF2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в 1943 году англо-американские войска возобновили наступление на Сицилии (14973).</w:t>
      </w:r>
    </w:p>
    <w:p w14:paraId="7EA61918"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451DB23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в 1943 году немецкое командование отдало приказ всем подводным лодкам, находящимся в Карибском море и Южной Атлантике, возвращаться на базы (14973).</w:t>
      </w:r>
    </w:p>
    <w:p w14:paraId="1F49E109"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704AEAF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1943 три экипажа итальянских боевых пловцов на торпедах вновь атаковали корабли и суда конвоя в бухте Гибралтара, стартовав с судна Ольтерра. Потопили три общим водоизмещением 23000 т. Это была последняя атака, т.к. 30 августа англичане обнаружили Ольтеру, а 3 сентября Италия вышла из войны (3961, 61).</w:t>
      </w:r>
    </w:p>
    <w:p w14:paraId="0523DCC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D9347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6BF0E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89F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Кузнецов писал Дементьевы докладную записку N 4040:</w:t>
      </w:r>
    </w:p>
    <w:p w14:paraId="29D516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о результатах ознакомления с состоянием матчасти самолетов во 2, 5, 8 и 17 ВА:</w:t>
      </w:r>
    </w:p>
    <w:p w14:paraId="6ED047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 скорости самолетов</w:t>
      </w:r>
    </w:p>
    <w:p w14:paraId="475B2A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беседах с летчиками истребительных и штурмовых полков ими предъявлялось основное требование - повышение скорости самолетов.</w:t>
      </w:r>
    </w:p>
    <w:p w14:paraId="0F8A36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л не отрицают официальные данные скоростей наших самолетов, но все подтверждают, что скорости самолетов-истребителей противника практически значительно выше скоростей наших самолетов.</w:t>
      </w:r>
    </w:p>
    <w:p w14:paraId="444BC2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Расхождение в скоростях, полученных в результате испытаний самолетов на заводах и скорости самолетов, находящихся в строевых частях, в значительной степени объясняется состоянием матчасти самолетов, находящихся на фронте (быстрая выработка моторесурсов моторов, плохой их ремонт в ремонторганах ВВС, неудовлетворительное состояние поверхностей самолетов, плохой уход техсостава за самолетами).</w:t>
      </w:r>
    </w:p>
    <w:p w14:paraId="29704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 лакокрасочных покрытиях</w:t>
      </w:r>
    </w:p>
    <w:p w14:paraId="52BB7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 дефектах самолетов</w:t>
      </w:r>
    </w:p>
    <w:p w14:paraId="7DB68C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Абсолютная невзаимозаменяемость агрегатов самолета Ил-2 (элероны, РВ, РН).</w:t>
      </w:r>
    </w:p>
    <w:p w14:paraId="5F3D3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Усыхание и коробление бомболюков самолетов Ил-2</w:t>
      </w:r>
    </w:p>
    <w:p w14:paraId="4B8BCC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Разбалтывание 15 рамы самолета Ил-2</w:t>
      </w:r>
    </w:p>
    <w:p w14:paraId="4D3A5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Предложения</w:t>
      </w:r>
    </w:p>
    <w:p w14:paraId="51C53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Необходимо потребовать от ВИАМ и самолетных заводов разработки надежного лакокрасочного покрытия, которое гарантировало бы сохранение его не менее, чем на один год.</w:t>
      </w:r>
    </w:p>
    <w:p w14:paraId="1559BD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Необходимо потребовать от ГК самолета Ил-2 С.В.И. и директоров заводов 1, 18, 30 полной взаимозаменяемости основных агрегатов (крыла, оперения, шасси)." (1786,284).</w:t>
      </w:r>
    </w:p>
    <w:p w14:paraId="2EDA76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AC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л завода 1 П.А.Чурилин совершил катастрофу на Ил-2 N 8002. На борту был взятый без разрешения рабочий шаблонного цеха И.Кондратенко. Пикировал на батарею (2109).</w:t>
      </w:r>
    </w:p>
    <w:p w14:paraId="6812A1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F75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271E51">
        <w:rPr>
          <w:rFonts w:ascii="Times New Roman" w:hAnsi="Times New Roman"/>
          <w:color w:val="000000" w:themeColor="text1"/>
          <w:sz w:val="16"/>
          <w:szCs w:val="16"/>
        </w:rPr>
        <w:softHyphen/>
        <w:t>занию НКАП СССР ОКБ прекрати</w:t>
      </w:r>
      <w:r w:rsidRPr="00271E51">
        <w:rPr>
          <w:rFonts w:ascii="Times New Roman" w:hAnsi="Times New Roman"/>
          <w:color w:val="000000" w:themeColor="text1"/>
          <w:sz w:val="16"/>
          <w:szCs w:val="16"/>
        </w:rPr>
        <w:softHyphen/>
        <w:t>ло работы по БББ с 2М-71Ф, ввиду того, что «...по своим ЛТД он не пре</w:t>
      </w:r>
      <w:r w:rsidRPr="00271E51">
        <w:rPr>
          <w:rFonts w:ascii="Times New Roman" w:hAnsi="Times New Roman"/>
          <w:color w:val="000000" w:themeColor="text1"/>
          <w:sz w:val="16"/>
          <w:szCs w:val="16"/>
        </w:rPr>
        <w:softHyphen/>
        <w:t>восходит серийный Ту-2 с 2М-82ФН».</w:t>
      </w:r>
    </w:p>
    <w:p w14:paraId="0AD406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A907A5" w:rsidRPr="00271E51" w14:paraId="47D08B1E" w14:textId="77777777" w:rsidTr="00ED5B0A">
        <w:trPr>
          <w:trHeight w:val="485"/>
        </w:trPr>
        <w:tc>
          <w:tcPr>
            <w:tcW w:w="3184" w:type="dxa"/>
            <w:tcBorders>
              <w:top w:val="single" w:sz="12" w:space="0" w:color="auto"/>
            </w:tcBorders>
          </w:tcPr>
          <w:p w14:paraId="031116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41A3BA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top w:val="single" w:sz="12" w:space="0" w:color="auto"/>
            </w:tcBorders>
          </w:tcPr>
          <w:p w14:paraId="4140CF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ОНВ</w:t>
            </w:r>
          </w:p>
          <w:p w14:paraId="6E5E26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top w:val="single" w:sz="12" w:space="0" w:color="auto"/>
            </w:tcBorders>
          </w:tcPr>
          <w:p w14:paraId="2CF023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2АМ-42</w:t>
            </w:r>
          </w:p>
          <w:p w14:paraId="1391A2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552281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 2М-71Ф 2ТК-3</w:t>
            </w:r>
          </w:p>
          <w:p w14:paraId="27DB98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2E6421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2М-71Ф</w:t>
            </w:r>
          </w:p>
          <w:p w14:paraId="526A01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020AB9" w14:textId="77777777" w:rsidTr="00ED5B0A">
        <w:trPr>
          <w:trHeight w:val="206"/>
        </w:trPr>
        <w:tc>
          <w:tcPr>
            <w:tcW w:w="3184" w:type="dxa"/>
          </w:tcPr>
          <w:p w14:paraId="2675DC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мм</w:t>
            </w:r>
          </w:p>
          <w:p w14:paraId="128EB7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8254A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19AFE6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C28F5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1A5129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6ACB2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1A5ABA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5A9C6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7D23D0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AEC960" w14:textId="77777777" w:rsidTr="00ED5B0A">
        <w:trPr>
          <w:trHeight w:val="214"/>
        </w:trPr>
        <w:tc>
          <w:tcPr>
            <w:tcW w:w="3184" w:type="dxa"/>
          </w:tcPr>
          <w:p w14:paraId="036247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w:t>
            </w:r>
          </w:p>
          <w:p w14:paraId="6C687E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FD177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21F3F7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76EA3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5A8A81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E9657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389941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A7BC4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29360D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B737DE" w14:textId="77777777" w:rsidTr="00ED5B0A">
        <w:trPr>
          <w:trHeight w:val="214"/>
        </w:trPr>
        <w:tc>
          <w:tcPr>
            <w:tcW w:w="3184" w:type="dxa"/>
          </w:tcPr>
          <w:p w14:paraId="61701E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p>
          <w:p w14:paraId="254078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355EC6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0FF1AB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55AF9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E2F0A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DC099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60D72F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A571E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3B3E8D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880073" w14:textId="77777777" w:rsidTr="00ED5B0A">
        <w:trPr>
          <w:trHeight w:val="206"/>
        </w:trPr>
        <w:tc>
          <w:tcPr>
            <w:tcW w:w="3184" w:type="dxa"/>
          </w:tcPr>
          <w:p w14:paraId="34E726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самолета, кг</w:t>
            </w:r>
          </w:p>
          <w:p w14:paraId="22B52B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B6494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AF5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FD144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B0A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BED2F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482D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D0423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716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0522AF" w14:textId="77777777" w:rsidTr="00ED5B0A">
        <w:trPr>
          <w:trHeight w:val="214"/>
        </w:trPr>
        <w:tc>
          <w:tcPr>
            <w:tcW w:w="3184" w:type="dxa"/>
          </w:tcPr>
          <w:p w14:paraId="6C8619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пустого</w:t>
            </w:r>
          </w:p>
          <w:p w14:paraId="6F9079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48718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9168</w:t>
            </w:r>
          </w:p>
          <w:p w14:paraId="1DB892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CD467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9728</w:t>
            </w:r>
          </w:p>
          <w:p w14:paraId="0B8094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ECA74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8407 8422</w:t>
            </w:r>
          </w:p>
          <w:p w14:paraId="17E19C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54043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8297 8329</w:t>
            </w:r>
          </w:p>
          <w:p w14:paraId="4D5C75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1D9D6A" w14:textId="77777777" w:rsidTr="00ED5B0A">
        <w:trPr>
          <w:trHeight w:val="189"/>
        </w:trPr>
        <w:tc>
          <w:tcPr>
            <w:tcW w:w="3184" w:type="dxa"/>
          </w:tcPr>
          <w:p w14:paraId="331095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полетная</w:t>
            </w:r>
          </w:p>
          <w:p w14:paraId="1E3B88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CEEA4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12413</w:t>
            </w:r>
          </w:p>
          <w:p w14:paraId="1A3544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88F28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12774</w:t>
            </w:r>
          </w:p>
          <w:p w14:paraId="771DD9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F31D69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11250 11232</w:t>
            </w:r>
          </w:p>
          <w:p w14:paraId="460148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A4BF4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11912 12034</w:t>
            </w:r>
          </w:p>
          <w:p w14:paraId="0EF730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11F0A6" w14:textId="77777777" w:rsidTr="00ED5B0A">
        <w:trPr>
          <w:trHeight w:val="230"/>
        </w:trPr>
        <w:tc>
          <w:tcPr>
            <w:tcW w:w="3184" w:type="dxa"/>
          </w:tcPr>
          <w:p w14:paraId="572CBB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 перегрузкой</w:t>
            </w:r>
          </w:p>
          <w:p w14:paraId="6A2BC9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CE042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3381</w:t>
            </w:r>
          </w:p>
          <w:p w14:paraId="326D84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E7C8C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B1890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8678A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72C5E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C36F3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31D96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8BDD30" w14:textId="77777777" w:rsidTr="00ED5B0A">
        <w:trPr>
          <w:trHeight w:val="214"/>
        </w:trPr>
        <w:tc>
          <w:tcPr>
            <w:tcW w:w="3184" w:type="dxa"/>
          </w:tcPr>
          <w:p w14:paraId="6849E3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p w14:paraId="759D0B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4C13D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5193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8931C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C96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3F827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FFB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A33C2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958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E4719A" w14:textId="77777777" w:rsidTr="00ED5B0A">
        <w:trPr>
          <w:trHeight w:val="206"/>
        </w:trPr>
        <w:tc>
          <w:tcPr>
            <w:tcW w:w="3184" w:type="dxa"/>
          </w:tcPr>
          <w:p w14:paraId="1BB122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p w14:paraId="75978E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244F7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p w14:paraId="3ADA33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FFBFC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p w14:paraId="611B90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9775D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483 483</w:t>
            </w:r>
          </w:p>
          <w:p w14:paraId="735460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6FB49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490 490</w:t>
            </w:r>
          </w:p>
          <w:p w14:paraId="712FB2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5C19F9" w14:textId="77777777" w:rsidTr="00ED5B0A">
        <w:trPr>
          <w:trHeight w:val="206"/>
        </w:trPr>
        <w:tc>
          <w:tcPr>
            <w:tcW w:w="3184" w:type="dxa"/>
          </w:tcPr>
          <w:p w14:paraId="4FE6F3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м</w:t>
            </w:r>
          </w:p>
          <w:p w14:paraId="6A274E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0FECB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550/4600</w:t>
            </w:r>
          </w:p>
          <w:p w14:paraId="49DB56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7EA085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525/2500</w:t>
            </w:r>
          </w:p>
          <w:p w14:paraId="6F3BBD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1D493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595/8000 595/8300</w:t>
            </w:r>
          </w:p>
          <w:p w14:paraId="333CCB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E4BB8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566/4600 566/4600</w:t>
            </w:r>
          </w:p>
          <w:p w14:paraId="79E716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B292F2" w14:textId="77777777" w:rsidTr="00ED5B0A">
        <w:trPr>
          <w:trHeight w:val="214"/>
        </w:trPr>
        <w:tc>
          <w:tcPr>
            <w:tcW w:w="3184" w:type="dxa"/>
          </w:tcPr>
          <w:p w14:paraId="355D26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Н, мин/м</w:t>
            </w:r>
          </w:p>
          <w:p w14:paraId="518C43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D0F60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9/5000</w:t>
            </w:r>
          </w:p>
          <w:p w14:paraId="21ED93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251E3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8,5/4000</w:t>
            </w:r>
          </w:p>
          <w:p w14:paraId="0A9B8D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C9BC2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10/8000 10,6/8300</w:t>
            </w:r>
          </w:p>
          <w:p w14:paraId="4E8BDC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69617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8,5/6000 8,25/4000</w:t>
            </w:r>
          </w:p>
          <w:p w14:paraId="2702FD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D17D46" w14:textId="77777777" w:rsidTr="00ED5B0A">
        <w:trPr>
          <w:trHeight w:val="214"/>
        </w:trPr>
        <w:tc>
          <w:tcPr>
            <w:tcW w:w="3184" w:type="dxa"/>
          </w:tcPr>
          <w:p w14:paraId="35BC22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p w14:paraId="0D8D51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17A89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p w14:paraId="5502CC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7770C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p w14:paraId="5D2907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A0E3B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12000 12000</w:t>
            </w:r>
          </w:p>
          <w:p w14:paraId="5F1F06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44F67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10300 10300</w:t>
            </w:r>
          </w:p>
          <w:p w14:paraId="353D89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80C7D2" w14:textId="77777777" w:rsidTr="00ED5B0A">
        <w:trPr>
          <w:trHeight w:val="197"/>
        </w:trPr>
        <w:tc>
          <w:tcPr>
            <w:tcW w:w="3184" w:type="dxa"/>
          </w:tcPr>
          <w:p w14:paraId="43BFA4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км</w:t>
            </w:r>
          </w:p>
          <w:p w14:paraId="2A1B38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151D2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14A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B859A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9610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AFE2F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7AB7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2DFD4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D76D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5DC584" w14:textId="77777777" w:rsidTr="00ED5B0A">
        <w:trPr>
          <w:trHeight w:val="222"/>
        </w:trPr>
        <w:tc>
          <w:tcPr>
            <w:tcW w:w="3184" w:type="dxa"/>
          </w:tcPr>
          <w:p w14:paraId="257EB3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нормальная</w:t>
            </w:r>
          </w:p>
          <w:p w14:paraId="08BA45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D1BF6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p w14:paraId="64BCC1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86669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p w14:paraId="4BD8AD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28308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2000 2000</w:t>
            </w:r>
          </w:p>
          <w:p w14:paraId="07EB88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1D9AB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1500 1500</w:t>
            </w:r>
          </w:p>
          <w:p w14:paraId="4685BA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38135B" w14:textId="77777777" w:rsidTr="00ED5B0A">
        <w:trPr>
          <w:trHeight w:val="206"/>
        </w:trPr>
        <w:tc>
          <w:tcPr>
            <w:tcW w:w="3184" w:type="dxa"/>
          </w:tcPr>
          <w:p w14:paraId="0F6F12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 перегрузкой</w:t>
            </w:r>
          </w:p>
          <w:p w14:paraId="332B3E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D18DA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5D766A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2E38A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E36F0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CA4EB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DF735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FBAE6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038E1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2220A5" w14:textId="77777777" w:rsidTr="00ED5B0A">
        <w:trPr>
          <w:trHeight w:val="214"/>
        </w:trPr>
        <w:tc>
          <w:tcPr>
            <w:tcW w:w="3184" w:type="dxa"/>
          </w:tcPr>
          <w:p w14:paraId="1F4B56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p w14:paraId="284D36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353E67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p w14:paraId="36190B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79DF2D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01F09C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6A94E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264 265</w:t>
            </w:r>
          </w:p>
          <w:p w14:paraId="283F03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47A12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356 360</w:t>
            </w:r>
          </w:p>
          <w:p w14:paraId="2A1E51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B63EB3" w14:textId="77777777" w:rsidTr="00ED5B0A">
        <w:trPr>
          <w:trHeight w:val="255"/>
        </w:trPr>
        <w:tc>
          <w:tcPr>
            <w:tcW w:w="3184" w:type="dxa"/>
            <w:tcBorders>
              <w:bottom w:val="single" w:sz="12" w:space="0" w:color="auto"/>
            </w:tcBorders>
          </w:tcPr>
          <w:p w14:paraId="004B53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w:t>
            </w:r>
          </w:p>
          <w:p w14:paraId="64CCCA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bottom w:val="single" w:sz="12" w:space="0" w:color="auto"/>
            </w:tcBorders>
          </w:tcPr>
          <w:p w14:paraId="1F872F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2040B5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6D843D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053630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0AEDBD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5D91EF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429782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49689F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3902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(11853).</w:t>
      </w:r>
    </w:p>
    <w:p w14:paraId="2D4CE8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52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 НИИ ВВС закончились испытания различных комбинаций мотор-винт на Як-6 № 640211 и 640432 выпуска з-да № 464, которые проходили с 19 июля 1943. Ви М.Д.Яськов, л А.В.Синельников (4657, 19).</w:t>
      </w:r>
    </w:p>
    <w:p w14:paraId="7B868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1D681"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FBF03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9E0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5 августа 1943 г. продолжались испытания двух изготовленных образцов Т-43-П, а десятью днями позднее эти танки вошли в состав «особой танковой роты № 100» и были отправлены на фронт. Эта рота была очень интересна, чтобы не остановиться на ней немного. 25 сентября 1943 г. Нарком танковой про</w:t>
      </w:r>
      <w:r w:rsidRPr="00271E51">
        <w:rPr>
          <w:rFonts w:ascii="Times New Roman" w:hAnsi="Times New Roman"/>
          <w:color w:val="000000" w:themeColor="text1"/>
          <w:sz w:val="16"/>
          <w:szCs w:val="16"/>
        </w:rPr>
        <w:softHyphen/>
        <w:t>мышленности В. Малышев проводил заседание, посвя</w:t>
      </w:r>
      <w:r w:rsidRPr="00271E51">
        <w:rPr>
          <w:rFonts w:ascii="Times New Roman" w:hAnsi="Times New Roman"/>
          <w:color w:val="000000" w:themeColor="text1"/>
          <w:sz w:val="16"/>
          <w:szCs w:val="16"/>
        </w:rPr>
        <w:softHyphen/>
        <w:t>щенное рассмотрению положения дел с новой боевой тех</w:t>
      </w:r>
      <w:r w:rsidRPr="00271E51">
        <w:rPr>
          <w:rFonts w:ascii="Times New Roman" w:hAnsi="Times New Roman"/>
          <w:color w:val="000000" w:themeColor="text1"/>
          <w:sz w:val="16"/>
          <w:szCs w:val="16"/>
        </w:rPr>
        <w:softHyphen/>
        <w:t>никой. Второй вопрос был посвящен как раз деятельности «Особой танковой роты 100»:</w:t>
      </w:r>
    </w:p>
    <w:p w14:paraId="105041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Слушали: Доклад командира ос. Танк, роты «100» тов. Волосатова Г. П. о результатах боевого применения танков роты в боях 21 августа — 5 сентября с.г.</w:t>
      </w:r>
    </w:p>
    <w:p w14:paraId="71E4E1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роты:</w:t>
      </w:r>
    </w:p>
    <w:p w14:paraId="74BE6C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Командирская машина: Танк Т-34 с увелич. башней на погоне 1600мм и р/ст 9-РСв башне и РСБ-Ф в корпусе с двиг. Бриггс-Страттон и доп. щелочн. аккумулят.</w:t>
      </w:r>
    </w:p>
    <w:p w14:paraId="484D5A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взвод: Танки Т-34 с увеличенной башней на погоне 1600мм и командирской башенкой — 2 шт.</w:t>
      </w:r>
    </w:p>
    <w:p w14:paraId="5AA437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взвод: Танки-истребители Т-34/57, вооруж. 57-мм танко</w:t>
      </w:r>
      <w:r w:rsidRPr="00271E51">
        <w:rPr>
          <w:rFonts w:ascii="Times New Roman" w:hAnsi="Times New Roman"/>
          <w:color w:val="000000" w:themeColor="text1"/>
          <w:sz w:val="16"/>
          <w:szCs w:val="16"/>
        </w:rPr>
        <w:softHyphen/>
        <w:t>вой пушкой обр 1941/43 г.—З шт.</w:t>
      </w:r>
    </w:p>
    <w:p w14:paraId="68E9EB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взвод: Танки Т-43 с башней на увелич. и норм погоне — 3 шт. 4взвод:Танки Т-34 завода 112 с огнеметн. установкой — 2шт.» Согласно докладу командира рота была отправлена на фронт 19 августа, а вернулась в распоряжение НКТП 5 сен</w:t>
      </w:r>
      <w:r w:rsidRPr="00271E51">
        <w:rPr>
          <w:rFonts w:ascii="Times New Roman" w:hAnsi="Times New Roman"/>
          <w:color w:val="000000" w:themeColor="text1"/>
          <w:sz w:val="16"/>
          <w:szCs w:val="16"/>
        </w:rPr>
        <w:softHyphen/>
        <w:t>тября. На фронте рота активностью не отличалась и нахо</w:t>
      </w:r>
      <w:r w:rsidRPr="00271E51">
        <w:rPr>
          <w:rFonts w:ascii="Times New Roman" w:hAnsi="Times New Roman"/>
          <w:color w:val="000000" w:themeColor="text1"/>
          <w:sz w:val="16"/>
          <w:szCs w:val="16"/>
        </w:rPr>
        <w:softHyphen/>
        <w:t>дилась большей частью в резерве Центрального фронта. Но, несмотря на тесную опеку, роте все-таки довелось участвовать в нескольких боевых столкновениях с немец</w:t>
      </w:r>
      <w:r w:rsidRPr="00271E51">
        <w:rPr>
          <w:rFonts w:ascii="Times New Roman" w:hAnsi="Times New Roman"/>
          <w:color w:val="000000" w:themeColor="text1"/>
          <w:sz w:val="16"/>
          <w:szCs w:val="16"/>
        </w:rPr>
        <w:softHyphen/>
        <w:t>кими войсками. Так, экипаж Т-43 младшего лейтенанта Мажорова был награжден орденами и медалями (они унич</w:t>
      </w:r>
      <w:r w:rsidRPr="00271E51">
        <w:rPr>
          <w:rFonts w:ascii="Times New Roman" w:hAnsi="Times New Roman"/>
          <w:color w:val="000000" w:themeColor="text1"/>
          <w:sz w:val="16"/>
          <w:szCs w:val="16"/>
        </w:rPr>
        <w:softHyphen/>
        <w:t>тожили три немецких противотанковых орудия и 2 БТР или БА). От ответного огня немецких войск почти все тан</w:t>
      </w:r>
      <w:r w:rsidRPr="00271E51">
        <w:rPr>
          <w:rFonts w:ascii="Times New Roman" w:hAnsi="Times New Roman"/>
          <w:color w:val="000000" w:themeColor="text1"/>
          <w:sz w:val="16"/>
          <w:szCs w:val="16"/>
        </w:rPr>
        <w:softHyphen/>
        <w:t>ки роты получили от 1 до 11 (!) попаданий, но броня их кор</w:t>
      </w:r>
      <w:r w:rsidRPr="00271E51">
        <w:rPr>
          <w:rFonts w:ascii="Times New Roman" w:hAnsi="Times New Roman"/>
          <w:color w:val="000000" w:themeColor="text1"/>
          <w:sz w:val="16"/>
          <w:szCs w:val="16"/>
        </w:rPr>
        <w:softHyphen/>
        <w:t>пусов пробита не была. По возвращении роты ее командир, капитан Волосатое, дал танкам Т-43, танкам-истребителям Т-34/57 и командирскому танку самый благожелательный отзыв, отметив лишь вооружение танков Т-43 76-мм пуш</w:t>
      </w:r>
      <w:r w:rsidRPr="00271E51">
        <w:rPr>
          <w:rFonts w:ascii="Times New Roman" w:hAnsi="Times New Roman"/>
          <w:color w:val="000000" w:themeColor="text1"/>
          <w:sz w:val="16"/>
          <w:szCs w:val="16"/>
        </w:rPr>
        <w:softHyphen/>
        <w:t>кой недостаточным (11135).</w:t>
      </w:r>
    </w:p>
    <w:p w14:paraId="71020A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6CC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3873. Об изменении плана поставки торфа для кировских электростанций в III кв. 1943 г.РГАНИР, Фонд ГКО, д. 143, лл. 112 (11012).</w:t>
      </w:r>
    </w:p>
    <w:p w14:paraId="15160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4587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3874 [О направлении 300 военнообязанных, не годных к строевой службе, на восстановление нефтеналивного флота и Сталинградского порта.] (7132, 113).</w:t>
      </w:r>
    </w:p>
    <w:p w14:paraId="2F61A83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0070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3875 [О мобилизации 4 тыс. чел. в Курской обл. на восстановление железных дорог.] (7132, 114).</w:t>
      </w:r>
    </w:p>
    <w:p w14:paraId="5A9B3DD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A10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3876. О передаче НКстроем в III кв. 1943 г. строительству завода N175 НКСП 5 тыс. куб. м леса.РГАНИР, Фонд ГКО, д. 143, лл. 115 (11012).</w:t>
      </w:r>
    </w:p>
    <w:p w14:paraId="0D89BC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EF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3877 О плане военного судостроения и судоремонта на ленинградских заводах Наркомсудпрома во втором полугодии 1943 года и мероприятия по его обеспечению.РГАНИР, Фонд ГКО, д. 143, лл. 116-121, 122-141 (11012).</w:t>
      </w:r>
    </w:p>
    <w:p w14:paraId="71E12B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6206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3878 О мероприятиях по обеспечению производства и строительства локомобильных заводов Наркомтяжмаша. (7132, 142-148,149-163).</w:t>
      </w:r>
    </w:p>
    <w:p w14:paraId="1126206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B5F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3879 Об изготовлении приборов для сжигания водорода на подводных лодках.РГАНИР, Фонд ГКО, д. 143, лл. 164 (11012).</w:t>
      </w:r>
    </w:p>
    <w:p w14:paraId="267CD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2EF3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3880 [Об изменении сроков мобилизации населения в Казахстане для работы на предприятиях и стройках НКПС, НКЦМ и НКУП.] (7132, 165).</w:t>
      </w:r>
    </w:p>
    <w:p w14:paraId="68CF5B0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E4242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3881 [О мерах по переносу линии электропередачи в районе Владивостока протяженностью 7 км по указанию ТОФ.] (7132, 166).</w:t>
      </w:r>
    </w:p>
    <w:p w14:paraId="4C4B319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9ACB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3882 О мероприятиях по улучшению эксплуатации электростанций и созданию условий для дальнейшего развития энергетики Казахской ССР. (7132, 167-170).</w:t>
      </w:r>
    </w:p>
    <w:p w14:paraId="1D24D4C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3DBE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3883 [О мерах по усилению охраны объектов НКЭС.] (7132, 171-172, 173-174).</w:t>
      </w:r>
    </w:p>
    <w:p w14:paraId="14178E8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28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Постановление ГКО № 3884 О реорганизации Орского энергокомбината НКЭС в Орское районное управление энергетического хозяйства - Орскэнерго.РГАНИР, Фонд ГКО, д. 143, лл. 175-178 (11012).</w:t>
      </w:r>
    </w:p>
    <w:p w14:paraId="4EF732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017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вышло Распоряжение ГКО № 3885. О мерах по завершению строительства завода N376 НКХП.РГАНИР, Фонд ГКО, д. 143, лл. 179-181, 182-186 (11012).</w:t>
      </w:r>
    </w:p>
    <w:p w14:paraId="0D839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B35E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9605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44786"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в 1943 году оперативная сводка Совинформбюро:</w:t>
      </w:r>
    </w:p>
    <w:p w14:paraId="76789B5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наши войска после ожесточённых уличных боёв овладели городом и железнодорожным узлом — Орёл. Северо-западнее, южнее и юго-западнее Орла наши войска за день боёв заняли свыше 30 населённых пунктов.</w:t>
      </w:r>
    </w:p>
    <w:p w14:paraId="0BEB891C"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Того же 5 августа наши наступающие войска после упорных боёв овладели городом Белгород.</w:t>
      </w:r>
    </w:p>
    <w:p w14:paraId="65F7B56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освобождение Орла и Белгорода отличились войска генерал-лейтенанта Баграмяна, генерал-лейтенанта Белова, генерал-лейтенанта Горбатова, генерал-лейтенанта Колпакчи, генерал-лейтенанта Романенко, генерал-лейтенанта Пухова, генерал-лейтенанта Галанина, генерал-лейтенанта Рыбалко, генерал-лейтенанта Чистякова, генерал-лейтенанта Жадова, генерал-майора Манагарова, генерал-лейтенанта Крюченкина, генерал-лейтенанта Шумилова, генерал-лейтенанта танковых войск Катукова, генерал-лейтенанта танковых войск Ротмистрова, генерал-лейтенанта танковых войск Богданова, авиационные соединения Маршала авиации Голованова, генерал-лейтенанта авиации Науменко, генерал-лейтенанта авиации Руденко, генерал-лейтенанта авиации Красовского, генерал-лейтенанта авиации Горюнова.</w:t>
      </w:r>
    </w:p>
    <w:p w14:paraId="6AF8615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продолжались бои местного значения.</w:t>
      </w:r>
    </w:p>
    <w:p w14:paraId="55BBA777"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районах севернее и восточнее Мга, — усиленные поиски разведчиков.</w:t>
      </w:r>
    </w:p>
    <w:p w14:paraId="1B145E1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августа наши войска на всех фронтах подбили и уничтожили 98 немецких танков. В воздушных боях и огнём зенитной артиллерии сбито 168 самолётов противника.</w:t>
      </w:r>
    </w:p>
    <w:p w14:paraId="776B6F39"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войска в результате ожесточённых уличных боёв овладели городом Орёл. Немцы построили укрепления на улицах города, минировали и взрывали дома, посадили автоматчиков в погреба, а также на чердаки каменных зданий и оказывали отчаянное сопротивление. Наши бойцы, действуя штурмовыми группами, квартал за кварталом очищали город от противника. Сегодня немцы выбиты из всех районов, и Орёл полностью освобождён от немецко-фашистских оккупантов. Захвачены большие трофеи и много пленных.</w:t>
      </w:r>
    </w:p>
    <w:p w14:paraId="6F96E51A"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советские части отбивали контратаки противника. В ожесточённых боях Н-ское соединение истребило свыше 1.000 гитлеровцев, уничтожило 16 немецких танков, 22 орудия и 8 транспортёров. Продвигаясь вперёд, наши бойцы захватили 6 складов боеприпасов.</w:t>
      </w:r>
    </w:p>
    <w:p w14:paraId="0ADFF8F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Орла наши войска продвинулись вперёд и заняли свыше 30 населённых пунктов. В боях за эти населённые пункты уничтожено 800 немецких солдат и офицеров. Захвачены у противника 12 танков, 19 орудий и склад с горючим.</w:t>
      </w:r>
    </w:p>
    <w:p w14:paraId="4D5F6344"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бомбила и штурмовала отступающие немецкие войска. Противнику нанесён тяжёлый урон в живой силе и технике. Дороги, подвергнутые ударам нашей авиации, загромождены горящими и разбитыми автомашинами, орудиями и другой военной техникой противника.</w:t>
      </w:r>
    </w:p>
    <w:p w14:paraId="5F6FF66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72 немецких самолёта.</w:t>
      </w:r>
    </w:p>
    <w:p w14:paraId="654BB66F"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Наши войска после упорных боёв овладели городом Белгород. В бою за город уничтожено свыше 3.000 солдат и офицеров противника. Захвачены склады боеприпасов и другие трофеи. На другом участке Н-ское танковое соединение перерезало важную коммуникацию противника. Контратаки, предпринятые гитлеровцами, были отражены с большими для них потерями. По неполным данным, уничтожено 40 немецких танков и 5 самоходных орудий. Захвачены трофеи, в числекоторых 17 танков и 4 самоходных орудия. Наши части захватили также всю материальную часть двух артиллерийских полков противника.</w:t>
      </w:r>
    </w:p>
    <w:p w14:paraId="24A2C04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в течение дня сбито 66 немецких самолётов.</w:t>
      </w:r>
    </w:p>
    <w:p w14:paraId="12B82D1B"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вели бои местного значения. Утром после сильной артиллерийской подготовки части Н-ского соединения атаковали позиции противника и заняли первую линию немецких траншей. Уничтожено 6 немецких танков и до 400 гитлеровцев. Наши лётчики бомбили железнодорожные эшелоны, танковые и пехотные колонны противника. В результате бомбардировки разбито несколько железнодорожных составов, уничтожено и повреждено большое число танков и до 150 автомашин противника.</w:t>
      </w:r>
    </w:p>
    <w:p w14:paraId="3EA7243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немцы подтянули резервы и в течение двух дней пытались вернуть потерянные ими позиции. Наши части отбили двадцать три контратаки танков и пехоты противника. В этих боях истреблено не менее полка немецкой пехоты, подбито и уничтожено много танков и орудий противника. Советские лётчики взорвали 2 склада с горючим и несколько складов боеприпасов. В воздушных боях сбито 11 немецких самолётов.</w:t>
      </w:r>
    </w:p>
    <w:p w14:paraId="2D2485A1"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артиллеристы и миномётчики обстреливали оборонительные сооружения и ближние тылы противника. Артиллерийско-миномётным огнём разрушено 29 немецких дзотов, 4 наблюдательных пункта, взорвано 2 склада боеприпасов и подавлен огонь нескольких артиллерийских батарей противника. Наши лётчики в воздушных боях сбили 12 немецких самолётов.</w:t>
      </w:r>
    </w:p>
    <w:p w14:paraId="6D2747C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Ровенской области, 28 июля внезапно атаковал гарнизон противника, расположенный в крупном населённом пункте. В завязавшемся бою большая часть немецкого гарнизона была уничтожена. Оставшиеся в живых гитлеровцы разбежались. Убито 130 немецких солдат и офицеров, бургомистр и начальник жандармерии. Партизаны освободили из тюрьмы 80 советских граждан. Захвачены трофеи: 3 пулемёта, 28 автоматов, более 100 винтовок, 13 радиоприёмников, склад продовольствия, склад обмундирования и обуви. Несколько партизанских отрядов, действующих в Черниговской области, 26 июля вступили в бой с карательной экспедицией противника. В ожесточённой схватке партизаны уничтожили 106 венгерских солдат и офицеров. Взяты пленные. Захвачено 5 пулемётов, 70 винтовок и автоматов, 300 гранат, 25 тысяч патронов и другие трофеи.</w:t>
      </w:r>
    </w:p>
    <w:p w14:paraId="16FA8D45"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большими потерями подводного флота противника экипажи немецких подводных лодок, базирующихся в Норвегии, всячески уклоняются от выполнения боевых заданий. Некоторые экипажи умышленно ломают приборы, материальную часть ивыводят лодки из строя. В Тронхейме одной подводной лодке причинены настолько серьёзные повреждения, что она затонула. Близ Ставангера команда одной подводной лодки отказалась выйти в море. Экипажвместескомандиромарестованы.» (14974).</w:t>
      </w:r>
    </w:p>
    <w:p w14:paraId="250A450B"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16077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August</w:t>
      </w:r>
      <w:r w:rsidRPr="00271E51">
        <w:rPr>
          <w:rFonts w:ascii="Times New Roman" w:hAnsi="Times New Roman"/>
          <w:color w:val="000000" w:themeColor="text1"/>
          <w:sz w:val="16"/>
          <w:szCs w:val="16"/>
        </w:rPr>
        <w:t xml:space="preserve"> 5, 1943: </w:t>
      </w:r>
      <w:r w:rsidRPr="00271E51">
        <w:rPr>
          <w:rFonts w:ascii="Times New Roman" w:hAnsi="Times New Roman"/>
          <w:color w:val="000000" w:themeColor="text1"/>
          <w:sz w:val="16"/>
          <w:szCs w:val="16"/>
          <w:lang w:val="en-US"/>
        </w:rPr>
        <w:t>The</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Red</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Army</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retakes</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Orel</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and</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Belgorod</w:t>
      </w:r>
      <w:r w:rsidRPr="00271E51">
        <w:rPr>
          <w:rFonts w:ascii="Times New Roman" w:hAnsi="Times New Roman"/>
          <w:color w:val="000000" w:themeColor="text1"/>
          <w:sz w:val="16"/>
          <w:szCs w:val="16"/>
        </w:rPr>
        <w:t xml:space="preserve"> (3819).</w:t>
      </w:r>
    </w:p>
    <w:p w14:paraId="37F679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C696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Погиб генерал армии Иосиф Родионович Апанасенко (4963 ).</w:t>
      </w:r>
    </w:p>
    <w:p w14:paraId="4253338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EDCAD2" w14:textId="77777777" w:rsidR="00357684" w:rsidRPr="00271E51" w:rsidRDefault="0035768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98A93E9" w14:textId="77777777" w:rsidR="00357684" w:rsidRPr="00271E51" w:rsidRDefault="0035768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591F44" w14:textId="77777777" w:rsidR="00357684" w:rsidRPr="00271E51" w:rsidRDefault="0035768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был первый салют в честь освобождения Орла и Белгорода (340,150), было 12 залпов из 124 орудий в 24 часа (1103,128).</w:t>
      </w:r>
    </w:p>
    <w:p w14:paraId="1A117ACD" w14:textId="77777777" w:rsidR="00357684" w:rsidRPr="00271E51" w:rsidRDefault="0035768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0D122" w14:textId="77777777" w:rsidR="00357684" w:rsidRPr="00271E51" w:rsidRDefault="0035768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после освобождения Орла и Белгорода от фашистов в Москве дан первый салют (4962).</w:t>
      </w:r>
    </w:p>
    <w:p w14:paraId="5383C3D7" w14:textId="77777777" w:rsidR="00357684" w:rsidRPr="00271E51" w:rsidRDefault="0035768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CFBAE"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Москвичи увидели первый салют. Ровно в 24 часа был дан залп из 120 орудий. Всего было дано 12 залпов, производившихся через каждый 30 секунд в течение шести минут. Москва салютовала войскам Брянского фронта, освободившего при содействии с флангов Западного и Центрального фронтов город Орел, и войскам Степного и Воронежского фронтов, освободившим город Белгород. Все крупные победы с этих пор отмечались салютами в Москве, 354 раза салютовала столица доблестным советским воинам.</w:t>
      </w:r>
    </w:p>
    <w:p w14:paraId="044FFD42"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 армии СМ. Штеменко вспоминал: "Как только командующие войсками доложили Верховному о взятии этих городов (о таких победах они всегда стремились докладывать ему непосредственно), генерала Антонова и меня вызвали в Ставку. Сталин только что вернулся с Калининского фронта. Собрались и все остальные члены Ставки.</w:t>
      </w:r>
    </w:p>
    <w:p w14:paraId="0BB3858D"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Читали ли вы военную историю" - обратился Верховный к Антонову и ко мне.</w:t>
      </w:r>
    </w:p>
    <w:p w14:paraId="01173685"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смешались, не зная, что ответить. Вопрос показался странным: до истории ли было нам тогда!</w:t>
      </w:r>
    </w:p>
    <w:p w14:paraId="72933AAD"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Сталин меж тем продолжал:</w:t>
      </w:r>
    </w:p>
    <w:p w14:paraId="153EF140"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бы вы ее читали, то знали бы, что еще в древние времена, когда войска одерживали победы, то в честь полководцев и их войск гудели все колокола. И нам неплохо бы как-то отмечать победы более ощутимо, а не только поздравительными приказами. Мы думаем, - кивнул он головой на сидевших за столом членов Ставки, - давать в честь отличившихся войск и командиров,</w:t>
      </w:r>
    </w:p>
    <w:p w14:paraId="2AB9D2C8"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их возглавляющих, артиллерийские салюты. И учинять какую-то иллюминацию.</w:t>
      </w:r>
    </w:p>
    <w:p w14:paraId="35D814C7"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через несколько минут после этого разговора в Ставку был вызван командующий Московским фронтом противовоздушной обороны генерал-лейтенант артиллерии Д. А. Журавлев. Ему было поручено произвести вечером в столице первый победный салют. В считанные часы артиллеристам пришлось решать немало вопросов. Прежде всего, никто не представлял, каким же должен быть сам ритуал салюта. Срочно послали офицера в библиотеку - просмотреть соответствующую литературу, начиная со времени Петра I. Из каких орудий салютовать? Комендант Кремля смог предоставить для этой цели двадцать четыре горные пушки. Еще сто зениток взяли с батарей, охранявших Москву от вражеских налетов. С таким, понятно, расчетом, чтобы не нарушать систему противовоздушной обороны столицы. Наметили места, где расставить орудия, чтобы залпы были слышны по всей Москве, - в центре, на Крымской набережной, на стадионе Красной Пресни, в Лефортове... Для салюта нужны были холостые снаряды, их удалось разыскать в летнем учебном лагере. В разные районы города направили десять взводов солдат с пистолетами-ракетницами и инструкцией: после каждого артиллерийского залпа пускать разноцветные ракеты".</w:t>
      </w:r>
    </w:p>
    <w:p w14:paraId="3DA1F321"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Ровно в полночь генерал Д. А. Журавлев, находясь на крыше одного из зданий на улице Кирова1, отдал по телефону команду на батареи: "Огонь!" Прогремел первый залп, и следом в ночное небо взлетели разноцветные ракеты. Залпы гремели через каждые тридцать секунд, и первый салют продолжался пять с половиной минут.</w:t>
      </w:r>
    </w:p>
    <w:p w14:paraId="08F914DB"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Писатель Николай Телешов вспоминал: "Кто жил в эти грозные дни в Москве, тот не может не вспомнить замечательных салютов с пушечными выстрелами и тысячами разноцветных огней и ракет, взлетавших массами к полночному небу - вправо и влево, по всей Москве, когда по всем улицам и по квартирам восторженно сообщалось по радио о новой, только что одержанной победе наших войск, о новом изгнании врагов иг городов нашей родины. Эти салюты, эти массовые фейерверки и торжественный гром пушек были необычайно трогательны, радостны и прекрасны. Народ сбегался на перекрестки улиц, откуда шире видна была замечательная картина, и любовался торжественным зрелищем, испытывая восторг и гордость за блестящие победы Советской Армии и ее великих вождей" (18693).</w:t>
      </w:r>
    </w:p>
    <w:p w14:paraId="56A1BD32" w14:textId="77777777" w:rsidR="00357684" w:rsidRPr="00271E51" w:rsidRDefault="00357684" w:rsidP="00271E51">
      <w:pPr>
        <w:spacing w:after="0" w:line="240" w:lineRule="auto"/>
        <w:jc w:val="both"/>
        <w:rPr>
          <w:rFonts w:ascii="Times New Roman" w:hAnsi="Times New Roman"/>
          <w:color w:val="000000" w:themeColor="text1"/>
          <w:sz w:val="16"/>
          <w:szCs w:val="16"/>
        </w:rPr>
      </w:pPr>
    </w:p>
    <w:p w14:paraId="15E4046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788A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6B0BE"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августа в 1943 году был готов к полетам первый </w:t>
      </w:r>
      <w:hyperlink r:id="rId48" w:tgtFrame="_blank" w:history="1">
        <w:r w:rsidRPr="00271E51">
          <w:rPr>
            <w:rFonts w:ascii="Times New Roman" w:hAnsi="Times New Roman"/>
            <w:color w:val="000000" w:themeColor="text1"/>
            <w:sz w:val="16"/>
            <w:szCs w:val="16"/>
          </w:rPr>
          <w:t xml:space="preserve">«P-51C». </w:t>
        </w:r>
      </w:hyperlink>
      <w:r w:rsidRPr="00271E51">
        <w:rPr>
          <w:rFonts w:ascii="Times New Roman" w:hAnsi="Times New Roman"/>
          <w:color w:val="000000" w:themeColor="text1"/>
          <w:sz w:val="16"/>
          <w:szCs w:val="16"/>
        </w:rPr>
        <w:t>По требованию USAAF производство «Mustang» велось на заводе в Инглевуде и в Далласе. Mustang изготовления завода в Инглевуде были обозначены «P-51B», а завода в Далласе - 2Р-51С». Эти самолеты были почти идентичны, и их можно отличить только по серийному номеру. К концу января 1943 года был разработан стандартный вариант машины для производства «P-51B/C». Чтобы полностью использовать допол-нительную мощьность двигателя, планер самолета был значительно усилен. После усиления крыла появилась возможность подвески 1000 фунтовых бомб или другого вооружения включая сбрасываемые баки и тройные трубы типа "базука" для неуправляемых реактивных снарядов. Была улучшена аэродинамика двигательной установки. Каждый из двух каналов карбюратора получил свой воздухозаборник прямоугольной формы с противопылевым фильтром. Индивидуальные выхлопные патрубки цилиндров звкрывались общим обтекателем. Элероны претерпели невидимые изменения аэродинамического характера. Единственным видимым внешним изменением стали триммеры элеронов, изготовленые из пластика. Вооружение состояло из четырех 12,7 мм пулеметов «Browning» «MG53-2», установленных попарно в крыльях. Боекомплект каждого внутреннего пулемета составлял 350 патронов, а каждого внешнего - 280 патронов. Пулеметы из носовой части удалили (14974).</w:t>
      </w:r>
    </w:p>
    <w:p w14:paraId="58A721BE" w14:textId="77777777" w:rsidR="00067190" w:rsidRPr="00271E51" w:rsidRDefault="00067190" w:rsidP="00271E51">
      <w:pPr>
        <w:spacing w:after="0" w:line="240" w:lineRule="auto"/>
        <w:jc w:val="both"/>
        <w:rPr>
          <w:rFonts w:ascii="Times New Roman" w:hAnsi="Times New Roman"/>
          <w:color w:val="000000" w:themeColor="text1"/>
          <w:sz w:val="16"/>
          <w:szCs w:val="16"/>
        </w:rPr>
      </w:pPr>
    </w:p>
    <w:p w14:paraId="1EC6632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года Гитлер отдал приказ начать разработку тяжелого штурмового орудия, предназначенного для уничтоже</w:t>
      </w:r>
      <w:r w:rsidRPr="00271E51">
        <w:rPr>
          <w:rFonts w:ascii="Times New Roman" w:hAnsi="Times New Roman"/>
          <w:color w:val="000000" w:themeColor="text1"/>
          <w:sz w:val="16"/>
          <w:szCs w:val="16"/>
        </w:rPr>
        <w:softHyphen/>
        <w:t>ния сильно укрепленных опорных пунк</w:t>
      </w:r>
      <w:r w:rsidRPr="00271E51">
        <w:rPr>
          <w:rFonts w:ascii="Times New Roman" w:hAnsi="Times New Roman"/>
          <w:color w:val="000000" w:themeColor="text1"/>
          <w:sz w:val="16"/>
          <w:szCs w:val="16"/>
        </w:rPr>
        <w:softHyphen/>
        <w:t xml:space="preserve">тов противника – будущего </w:t>
      </w:r>
      <w:bookmarkStart w:id="2" w:name="bookmark23"/>
      <w:r w:rsidRPr="00271E51">
        <w:rPr>
          <w:rFonts w:ascii="Times New Roman" w:hAnsi="Times New Roman"/>
          <w:color w:val="000000" w:themeColor="text1"/>
          <w:sz w:val="16"/>
          <w:szCs w:val="16"/>
        </w:rPr>
        <w:t>штурмового танка 38 cm Panzermorser Sturmtiger Ausf.E</w:t>
      </w:r>
      <w:bookmarkEnd w:id="2"/>
      <w:r w:rsidRPr="00271E51">
        <w:rPr>
          <w:rFonts w:ascii="Times New Roman" w:hAnsi="Times New Roman"/>
          <w:color w:val="000000" w:themeColor="text1"/>
          <w:sz w:val="16"/>
          <w:szCs w:val="16"/>
        </w:rPr>
        <w:t>.</w:t>
      </w:r>
    </w:p>
    <w:p w14:paraId="3BD578B9"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Первоначально планировалось воору</w:t>
      </w:r>
      <w:r w:rsidRPr="00271E51">
        <w:rPr>
          <w:rFonts w:ascii="Times New Roman" w:cs="Times New Roman"/>
          <w:color w:val="000000" w:themeColor="text1"/>
          <w:spacing w:val="0"/>
        </w:rPr>
        <w:softHyphen/>
        <w:t>жить новую самоходку 210-мм гаубицей, но в окончательном варианте разработ</w:t>
      </w:r>
      <w:r w:rsidRPr="00271E51">
        <w:rPr>
          <w:rFonts w:ascii="Times New Roman" w:cs="Times New Roman"/>
          <w:color w:val="000000" w:themeColor="text1"/>
          <w:spacing w:val="0"/>
        </w:rPr>
        <w:softHyphen/>
        <w:t xml:space="preserve">чики остановились на реактивном 380- мм корабельном бомбомете — </w:t>
      </w:r>
      <w:r w:rsidRPr="00271E51">
        <w:rPr>
          <w:rFonts w:ascii="Times New Roman" w:cs="Times New Roman"/>
          <w:color w:val="000000" w:themeColor="text1"/>
          <w:spacing w:val="0"/>
          <w:lang w:val="en-US"/>
        </w:rPr>
        <w:t>Gerat</w:t>
      </w:r>
      <w:r w:rsidRPr="00271E51">
        <w:rPr>
          <w:rFonts w:ascii="Times New Roman" w:cs="Times New Roman"/>
          <w:color w:val="000000" w:themeColor="text1"/>
          <w:spacing w:val="0"/>
        </w:rPr>
        <w:t xml:space="preserve"> 562, он же </w:t>
      </w:r>
      <w:r w:rsidRPr="00271E51">
        <w:rPr>
          <w:rFonts w:ascii="Times New Roman" w:cs="Times New Roman"/>
          <w:color w:val="000000" w:themeColor="text1"/>
          <w:spacing w:val="0"/>
          <w:lang w:val="en-US"/>
        </w:rPr>
        <w:t>Raketenwerfer</w:t>
      </w:r>
      <w:r w:rsidRPr="00271E51">
        <w:rPr>
          <w:rFonts w:ascii="Times New Roman" w:cs="Times New Roman"/>
          <w:color w:val="000000" w:themeColor="text1"/>
          <w:spacing w:val="0"/>
        </w:rPr>
        <w:t xml:space="preserve"> 61, который и явля</w:t>
      </w:r>
      <w:r w:rsidRPr="00271E51">
        <w:rPr>
          <w:rFonts w:ascii="Times New Roman" w:cs="Times New Roman"/>
          <w:color w:val="000000" w:themeColor="text1"/>
          <w:spacing w:val="0"/>
        </w:rPr>
        <w:softHyphen/>
        <w:t>ется наиболее интересной частью этой САУ.</w:t>
      </w:r>
    </w:p>
    <w:p w14:paraId="07853098"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Бомбомет, выпускавшийся заводом фирмы </w:t>
      </w:r>
      <w:r w:rsidRPr="00271E51">
        <w:rPr>
          <w:rFonts w:ascii="Times New Roman" w:cs="Times New Roman"/>
          <w:color w:val="000000" w:themeColor="text1"/>
          <w:spacing w:val="0"/>
          <w:lang w:val="en-US"/>
        </w:rPr>
        <w:t>Rheinmetall</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Borsig</w:t>
      </w:r>
      <w:r w:rsidRPr="00271E51">
        <w:rPr>
          <w:rFonts w:ascii="Times New Roman" w:cs="Times New Roman"/>
          <w:color w:val="000000" w:themeColor="text1"/>
          <w:spacing w:val="0"/>
        </w:rPr>
        <w:t xml:space="preserve"> в Дюссельдор</w:t>
      </w:r>
      <w:r w:rsidRPr="00271E51">
        <w:rPr>
          <w:rFonts w:ascii="Times New Roman" w:cs="Times New Roman"/>
          <w:color w:val="000000" w:themeColor="text1"/>
          <w:spacing w:val="0"/>
        </w:rPr>
        <w:softHyphen/>
        <w:t>фе, заряжался с казенной части. Замок бомбомета представлял собой стальную плиту толщиной 65 мм, перемещавшую</w:t>
      </w:r>
      <w:r w:rsidRPr="00271E51">
        <w:rPr>
          <w:rFonts w:ascii="Times New Roman" w:cs="Times New Roman"/>
          <w:color w:val="000000" w:themeColor="text1"/>
          <w:spacing w:val="0"/>
        </w:rPr>
        <w:softHyphen/>
        <w:t>ся в горизонтальной плоскости с помо</w:t>
      </w:r>
      <w:r w:rsidRPr="00271E51">
        <w:rPr>
          <w:rFonts w:ascii="Times New Roman" w:cs="Times New Roman"/>
          <w:color w:val="000000" w:themeColor="text1"/>
          <w:spacing w:val="0"/>
        </w:rPr>
        <w:softHyphen/>
        <w:t>щью реечного механизма. После заряжа</w:t>
      </w:r>
      <w:r w:rsidRPr="00271E51">
        <w:rPr>
          <w:rFonts w:ascii="Times New Roman" w:cs="Times New Roman"/>
          <w:color w:val="000000" w:themeColor="text1"/>
          <w:spacing w:val="0"/>
        </w:rPr>
        <w:softHyphen/>
        <w:t>ния между снарядом и плитой замка ос</w:t>
      </w:r>
      <w:r w:rsidRPr="00271E51">
        <w:rPr>
          <w:rFonts w:ascii="Times New Roman" w:cs="Times New Roman"/>
          <w:color w:val="000000" w:themeColor="text1"/>
          <w:spacing w:val="0"/>
        </w:rPr>
        <w:softHyphen/>
        <w:t>тавался зазор 12 см. Такое положение снаряда объяснялось особенностями конструкции ударно-спускового меха</w:t>
      </w:r>
      <w:r w:rsidRPr="00271E51">
        <w:rPr>
          <w:rFonts w:ascii="Times New Roman" w:cs="Times New Roman"/>
          <w:color w:val="000000" w:themeColor="text1"/>
          <w:spacing w:val="0"/>
        </w:rPr>
        <w:softHyphen/>
        <w:t>низма.</w:t>
      </w:r>
    </w:p>
    <w:p w14:paraId="1BA5F377"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Шаровая установка, в которой был смонтирован бомбомет, допускала его наведение в горизонтальной плоскости до 10° на сторону, а в вертикальной — от 0 до 85°.</w:t>
      </w:r>
    </w:p>
    <w:p w14:paraId="4879D134"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Для стрельбы из </w:t>
      </w:r>
      <w:r w:rsidRPr="00271E51">
        <w:rPr>
          <w:rFonts w:ascii="Times New Roman" w:cs="Times New Roman"/>
          <w:color w:val="000000" w:themeColor="text1"/>
          <w:spacing w:val="0"/>
          <w:lang w:val="en-US"/>
        </w:rPr>
        <w:t>Raketenwerfer</w:t>
      </w:r>
      <w:r w:rsidRPr="00271E51">
        <w:rPr>
          <w:rFonts w:ascii="Times New Roman" w:cs="Times New Roman"/>
          <w:color w:val="000000" w:themeColor="text1"/>
          <w:spacing w:val="0"/>
        </w:rPr>
        <w:t xml:space="preserve"> 61 ис</w:t>
      </w:r>
      <w:r w:rsidRPr="00271E51">
        <w:rPr>
          <w:rFonts w:ascii="Times New Roman" w:cs="Times New Roman"/>
          <w:color w:val="000000" w:themeColor="text1"/>
          <w:spacing w:val="0"/>
        </w:rPr>
        <w:softHyphen/>
        <w:t>пользовались фугасные реактивные сна</w:t>
      </w:r>
      <w:r w:rsidRPr="00271E51">
        <w:rPr>
          <w:rFonts w:ascii="Times New Roman" w:cs="Times New Roman"/>
          <w:color w:val="000000" w:themeColor="text1"/>
          <w:spacing w:val="0"/>
        </w:rPr>
        <w:softHyphen/>
        <w:t>ряды массой 351 кг и кумулятивные — массой 345 кг. Дальность выстрела фу</w:t>
      </w:r>
      <w:r w:rsidRPr="00271E51">
        <w:rPr>
          <w:rFonts w:ascii="Times New Roman" w:cs="Times New Roman"/>
          <w:color w:val="000000" w:themeColor="text1"/>
          <w:spacing w:val="0"/>
        </w:rPr>
        <w:softHyphen/>
        <w:t>гасным снарядом при температуре возду</w:t>
      </w:r>
      <w:r w:rsidRPr="00271E51">
        <w:rPr>
          <w:rFonts w:ascii="Times New Roman" w:cs="Times New Roman"/>
          <w:color w:val="000000" w:themeColor="text1"/>
          <w:spacing w:val="0"/>
        </w:rPr>
        <w:softHyphen/>
        <w:t>ха + 15°С и скорости ветра не более 4 м/с достигала 5600 м. Снаряд состоял из бое</w:t>
      </w:r>
      <w:r w:rsidRPr="00271E51">
        <w:rPr>
          <w:rFonts w:ascii="Times New Roman" w:cs="Times New Roman"/>
          <w:color w:val="000000" w:themeColor="text1"/>
          <w:spacing w:val="0"/>
        </w:rPr>
        <w:softHyphen/>
        <w:t>вого (до 135 кг взрывчатого вещества) и метательного зарядов и маршевого ракет</w:t>
      </w:r>
      <w:r w:rsidRPr="00271E51">
        <w:rPr>
          <w:rFonts w:ascii="Times New Roman" w:cs="Times New Roman"/>
          <w:color w:val="000000" w:themeColor="text1"/>
          <w:spacing w:val="0"/>
        </w:rPr>
        <w:softHyphen/>
        <w:t>ного двигателя. В дне снаряда имелись 32 наклонных отверстия для выхода газов от ракетного двигателя, за счет которых ему сообщалось вращение вокруг своей оси, повышавшее устойчивость в полете. Снаряд покидал ствол с начальной ско</w:t>
      </w:r>
      <w:r w:rsidRPr="00271E51">
        <w:rPr>
          <w:rFonts w:ascii="Times New Roman" w:cs="Times New Roman"/>
          <w:color w:val="000000" w:themeColor="text1"/>
          <w:spacing w:val="0"/>
        </w:rPr>
        <w:softHyphen/>
        <w:t>ростью 40 м/с, а после срабатывания маршевого двигателя разгонялся до 250 м/с. Взрыватель располагался в носовой части снаряда и устанавливался непо</w:t>
      </w:r>
      <w:r w:rsidRPr="00271E51">
        <w:rPr>
          <w:rFonts w:ascii="Times New Roman" w:cs="Times New Roman"/>
          <w:color w:val="000000" w:themeColor="text1"/>
          <w:spacing w:val="0"/>
        </w:rPr>
        <w:softHyphen/>
        <w:t>средственно перед заряжанием. Задержка срабатывания взрывателя могла устанав</w:t>
      </w:r>
      <w:r w:rsidRPr="00271E51">
        <w:rPr>
          <w:rFonts w:ascii="Times New Roman" w:cs="Times New Roman"/>
          <w:color w:val="000000" w:themeColor="text1"/>
          <w:spacing w:val="0"/>
        </w:rPr>
        <w:softHyphen/>
        <w:t>ливаться в диапазоне от 0,5 до 12 с.</w:t>
      </w:r>
    </w:p>
    <w:p w14:paraId="045BA1D8"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целях снижения до минимума силы отдачи при выстреле (бомбомет не имел противооткатных устройств) часть газов, образовывавшихся при сгорании мета</w:t>
      </w:r>
      <w:r w:rsidRPr="00271E51">
        <w:rPr>
          <w:rFonts w:ascii="Times New Roman" w:cs="Times New Roman"/>
          <w:color w:val="000000" w:themeColor="text1"/>
          <w:spacing w:val="0"/>
        </w:rPr>
        <w:softHyphen/>
        <w:t>тельного заряда, направлялась в зазор между собственно стволом и 13-мм ру</w:t>
      </w:r>
      <w:r w:rsidRPr="00271E51">
        <w:rPr>
          <w:rFonts w:ascii="Times New Roman" w:cs="Times New Roman"/>
          <w:color w:val="000000" w:themeColor="text1"/>
          <w:spacing w:val="0"/>
        </w:rPr>
        <w:softHyphen/>
        <w:t>башкой, надетой на ствол. Для выхода газов в торцевом кольце у дульного среза имелось 31 отверстие. Такая конструкция ствола способствовала и его лучшему ох</w:t>
      </w:r>
      <w:r w:rsidRPr="00271E51">
        <w:rPr>
          <w:rFonts w:ascii="Times New Roman" w:cs="Times New Roman"/>
          <w:color w:val="000000" w:themeColor="text1"/>
          <w:spacing w:val="0"/>
        </w:rPr>
        <w:softHyphen/>
        <w:t>лаждению.</w:t>
      </w:r>
    </w:p>
    <w:p w14:paraId="4A5C88CD"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Заряжание производилось с лотка с роликами при помощи специального досылателя. Загружались снаряды внутрь машины краном, через прямо</w:t>
      </w:r>
      <w:r w:rsidRPr="00271E51">
        <w:rPr>
          <w:rFonts w:ascii="Times New Roman" w:hAnsi="Times New Roman"/>
          <w:color w:val="000000" w:themeColor="text1"/>
          <w:sz w:val="16"/>
          <w:szCs w:val="16"/>
        </w:rPr>
        <w:softHyphen/>
        <w:t>угольный люк в крыше рубки. На стен</w:t>
      </w:r>
      <w:r w:rsidRPr="00271E51">
        <w:rPr>
          <w:rFonts w:ascii="Times New Roman" w:hAnsi="Times New Roman"/>
          <w:color w:val="000000" w:themeColor="text1"/>
          <w:sz w:val="16"/>
          <w:szCs w:val="16"/>
        </w:rPr>
        <w:softHyphen/>
        <w:t>ках боевого отделения располагалось 12 захватов (по 6 с каждой стороны) для снарядов. 13-й снаряд мог находиться на лотке, а 14-й — непосредственно в стволе, поднятом на угол 16°. Внутри боевого отделения снаряды перемеща</w:t>
      </w:r>
      <w:r w:rsidRPr="00271E51">
        <w:rPr>
          <w:rFonts w:ascii="Times New Roman" w:hAnsi="Times New Roman"/>
          <w:color w:val="000000" w:themeColor="text1"/>
          <w:sz w:val="16"/>
          <w:szCs w:val="16"/>
        </w:rPr>
        <w:softHyphen/>
        <w:t>лись с помощью тельфера.</w:t>
      </w:r>
    </w:p>
    <w:p w14:paraId="5AF8F630"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Бомбомет устанавливался в лобовом листе простой сварной прямоугольной рубки, крепившейся к корпусу танка болтами. Лобовой лист рубки был распо</w:t>
      </w:r>
      <w:r w:rsidRPr="00271E51">
        <w:rPr>
          <w:rFonts w:ascii="Times New Roman" w:hAnsi="Times New Roman"/>
          <w:color w:val="000000" w:themeColor="text1"/>
          <w:sz w:val="16"/>
          <w:szCs w:val="16"/>
        </w:rPr>
        <w:softHyphen/>
        <w:t>ложен под углом 47°. Справа от бомбоме</w:t>
      </w:r>
      <w:r w:rsidRPr="00271E51">
        <w:rPr>
          <w:rFonts w:ascii="Times New Roman" w:hAnsi="Times New Roman"/>
          <w:color w:val="000000" w:themeColor="text1"/>
          <w:sz w:val="16"/>
          <w:szCs w:val="16"/>
        </w:rPr>
        <w:softHyphen/>
        <w:t>та в шаровой установке размещался пу</w:t>
      </w:r>
      <w:r w:rsidRPr="00271E51">
        <w:rPr>
          <w:rFonts w:ascii="Times New Roman" w:hAnsi="Times New Roman"/>
          <w:color w:val="000000" w:themeColor="text1"/>
          <w:sz w:val="16"/>
          <w:szCs w:val="16"/>
        </w:rPr>
        <w:softHyphen/>
        <w:t xml:space="preserve">лемет </w:t>
      </w:r>
      <w:r w:rsidRPr="00271E51">
        <w:rPr>
          <w:rFonts w:ascii="Times New Roman" w:hAnsi="Times New Roman"/>
          <w:color w:val="000000" w:themeColor="text1"/>
          <w:sz w:val="16"/>
          <w:szCs w:val="16"/>
          <w:lang w:val="en-US"/>
        </w:rPr>
        <w:t>MG</w:t>
      </w:r>
      <w:r w:rsidRPr="00271E51">
        <w:rPr>
          <w:rFonts w:ascii="Times New Roman" w:hAnsi="Times New Roman"/>
          <w:color w:val="000000" w:themeColor="text1"/>
          <w:sz w:val="16"/>
          <w:szCs w:val="16"/>
        </w:rPr>
        <w:t xml:space="preserve"> 34. Его боекомплект состоял из 1500 патронов. Для наведения бомбо</w:t>
      </w:r>
      <w:r w:rsidRPr="00271E51">
        <w:rPr>
          <w:rFonts w:ascii="Times New Roman" w:hAnsi="Times New Roman"/>
          <w:color w:val="000000" w:themeColor="text1"/>
          <w:sz w:val="16"/>
          <w:szCs w:val="16"/>
        </w:rPr>
        <w:softHyphen/>
        <w:t xml:space="preserve">мета использовался прицел Рак </w:t>
      </w:r>
      <w:r w:rsidRPr="00271E51">
        <w:rPr>
          <w:rFonts w:ascii="Times New Roman" w:hAnsi="Times New Roman"/>
          <w:color w:val="000000" w:themeColor="text1"/>
          <w:sz w:val="16"/>
          <w:szCs w:val="16"/>
          <w:lang w:val="en-US"/>
        </w:rPr>
        <w:t>ZF</w:t>
      </w:r>
      <w:r w:rsidRPr="00271E51">
        <w:rPr>
          <w:rFonts w:ascii="Times New Roman" w:hAnsi="Times New Roman"/>
          <w:color w:val="000000" w:themeColor="text1"/>
          <w:sz w:val="16"/>
          <w:szCs w:val="16"/>
        </w:rPr>
        <w:t xml:space="preserve"> 3x8, пулемета — </w:t>
      </w:r>
      <w:r w:rsidRPr="00271E51">
        <w:rPr>
          <w:rFonts w:ascii="Times New Roman" w:hAnsi="Times New Roman"/>
          <w:color w:val="000000" w:themeColor="text1"/>
          <w:sz w:val="16"/>
          <w:szCs w:val="16"/>
          <w:lang w:val="en-US"/>
        </w:rPr>
        <w:t>KZF</w:t>
      </w:r>
      <w:r w:rsidRPr="00271E51">
        <w:rPr>
          <w:rFonts w:ascii="Times New Roman" w:hAnsi="Times New Roman"/>
          <w:color w:val="000000" w:themeColor="text1"/>
          <w:sz w:val="16"/>
          <w:szCs w:val="16"/>
        </w:rPr>
        <w:t xml:space="preserve"> 2. На крыше рубки мон</w:t>
      </w:r>
      <w:r w:rsidRPr="00271E51">
        <w:rPr>
          <w:rFonts w:ascii="Times New Roman" w:hAnsi="Times New Roman"/>
          <w:color w:val="000000" w:themeColor="text1"/>
          <w:sz w:val="16"/>
          <w:szCs w:val="16"/>
        </w:rPr>
        <w:softHyphen/>
        <w:t>тировалось «устройство ближнего боя» (</w:t>
      </w:r>
      <w:r w:rsidRPr="00271E51">
        <w:rPr>
          <w:rFonts w:ascii="Times New Roman" w:hAnsi="Times New Roman"/>
          <w:color w:val="000000" w:themeColor="text1"/>
          <w:sz w:val="16"/>
          <w:szCs w:val="16"/>
          <w:lang w:val="en-US"/>
        </w:rPr>
        <w:t>Nahkampfgerat</w:t>
      </w:r>
      <w:r w:rsidRPr="00271E51">
        <w:rPr>
          <w:rFonts w:ascii="Times New Roman" w:hAnsi="Times New Roman"/>
          <w:color w:val="000000" w:themeColor="text1"/>
          <w:sz w:val="16"/>
          <w:szCs w:val="16"/>
        </w:rPr>
        <w:t>). Экипаж машины вклю</w:t>
      </w:r>
      <w:r w:rsidRPr="00271E51">
        <w:rPr>
          <w:rFonts w:ascii="Times New Roman" w:hAnsi="Times New Roman"/>
          <w:color w:val="000000" w:themeColor="text1"/>
          <w:sz w:val="16"/>
          <w:szCs w:val="16"/>
        </w:rPr>
        <w:softHyphen/>
        <w:t>чал механика-водителя, стрелка-радиста, командира, выполнявшего обязанности наводчика, и двух заряжающих.</w:t>
      </w:r>
    </w:p>
    <w:p w14:paraId="1C0987DA"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На «Штурмтигре» был установлен 12- цилиндровый </w:t>
      </w:r>
      <w:r w:rsidRPr="00271E51">
        <w:rPr>
          <w:rFonts w:ascii="Times New Roman" w:cs="Times New Roman"/>
          <w:color w:val="000000" w:themeColor="text1"/>
          <w:spacing w:val="0"/>
          <w:lang w:val="en-US"/>
        </w:rPr>
        <w:t>V</w:t>
      </w:r>
      <w:r w:rsidRPr="00271E51">
        <w:rPr>
          <w:rFonts w:ascii="Times New Roman" w:cs="Times New Roman"/>
          <w:color w:val="000000" w:themeColor="text1"/>
          <w:spacing w:val="0"/>
        </w:rPr>
        <w:t>-образный карбюратор</w:t>
      </w:r>
      <w:r w:rsidRPr="00271E51">
        <w:rPr>
          <w:rFonts w:ascii="Times New Roman" w:cs="Times New Roman"/>
          <w:color w:val="000000" w:themeColor="text1"/>
          <w:spacing w:val="0"/>
        </w:rPr>
        <w:softHyphen/>
        <w:t xml:space="preserve">ный двигатель </w:t>
      </w:r>
      <w:r w:rsidRPr="00271E51">
        <w:rPr>
          <w:rFonts w:ascii="Times New Roman" w:cs="Times New Roman"/>
          <w:color w:val="000000" w:themeColor="text1"/>
          <w:spacing w:val="0"/>
          <w:lang w:val="en-US"/>
        </w:rPr>
        <w:t>MaybachHL</w:t>
      </w:r>
      <w:r w:rsidRPr="00271E51">
        <w:rPr>
          <w:rFonts w:ascii="Times New Roman" w:cs="Times New Roman"/>
          <w:color w:val="000000" w:themeColor="text1"/>
          <w:spacing w:val="0"/>
        </w:rPr>
        <w:t xml:space="preserve"> 230Р45 мощ</w:t>
      </w:r>
      <w:r w:rsidRPr="00271E51">
        <w:rPr>
          <w:rFonts w:ascii="Times New Roman" w:cs="Times New Roman"/>
          <w:color w:val="000000" w:themeColor="text1"/>
          <w:spacing w:val="0"/>
        </w:rPr>
        <w:softHyphen/>
        <w:t>ностью 700 л.с. при 3000 об/мин. Ем</w:t>
      </w:r>
      <w:r w:rsidRPr="00271E51">
        <w:rPr>
          <w:rFonts w:ascii="Times New Roman" w:cs="Times New Roman"/>
          <w:color w:val="000000" w:themeColor="text1"/>
          <w:spacing w:val="0"/>
        </w:rPr>
        <w:softHyphen/>
        <w:t>кость четырех бензобаков — 534 л. Расход топлива на 100 км при движении по шос</w:t>
      </w:r>
      <w:r w:rsidRPr="00271E51">
        <w:rPr>
          <w:rFonts w:ascii="Times New Roman" w:cs="Times New Roman"/>
          <w:color w:val="000000" w:themeColor="text1"/>
          <w:spacing w:val="0"/>
        </w:rPr>
        <w:softHyphen/>
        <w:t>се — 270 л, по бездорожью — 480 л. Трансмиссия состояла из карданной пе</w:t>
      </w:r>
      <w:r w:rsidRPr="00271E51">
        <w:rPr>
          <w:rFonts w:ascii="Times New Roman" w:cs="Times New Roman"/>
          <w:color w:val="000000" w:themeColor="text1"/>
          <w:spacing w:val="0"/>
        </w:rPr>
        <w:softHyphen/>
        <w:t>редачи, коробки передач со встроенным главным фрикционом, механизма пово</w:t>
      </w:r>
      <w:r w:rsidRPr="00271E51">
        <w:rPr>
          <w:rFonts w:ascii="Times New Roman" w:cs="Times New Roman"/>
          <w:color w:val="000000" w:themeColor="text1"/>
          <w:spacing w:val="0"/>
        </w:rPr>
        <w:softHyphen/>
        <w:t>рота, бортовых передач и дисковых тор</w:t>
      </w:r>
      <w:r w:rsidRPr="00271E51">
        <w:rPr>
          <w:rFonts w:ascii="Times New Roman" w:cs="Times New Roman"/>
          <w:color w:val="000000" w:themeColor="text1"/>
          <w:spacing w:val="0"/>
        </w:rPr>
        <w:softHyphen/>
        <w:t xml:space="preserve">мозов. Коробка передач </w:t>
      </w:r>
      <w:r w:rsidRPr="00271E51">
        <w:rPr>
          <w:rFonts w:ascii="Times New Roman" w:cs="Times New Roman"/>
          <w:color w:val="000000" w:themeColor="text1"/>
          <w:spacing w:val="0"/>
          <w:lang w:val="en-US"/>
        </w:rPr>
        <w:t>MaybachOLVAROG</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B</w:t>
      </w:r>
      <w:r w:rsidRPr="00271E51">
        <w:rPr>
          <w:rFonts w:ascii="Times New Roman" w:cs="Times New Roman"/>
          <w:color w:val="000000" w:themeColor="text1"/>
          <w:spacing w:val="0"/>
        </w:rPr>
        <w:t xml:space="preserve">) 40 12 16А продукции завода </w:t>
      </w:r>
      <w:r w:rsidRPr="00271E51">
        <w:rPr>
          <w:rFonts w:ascii="Times New Roman" w:cs="Times New Roman"/>
          <w:color w:val="000000" w:themeColor="text1"/>
          <w:spacing w:val="0"/>
          <w:lang w:val="en-US"/>
        </w:rPr>
        <w:t>Zahnradfabrik</w:t>
      </w:r>
      <w:r w:rsidRPr="00271E51">
        <w:rPr>
          <w:rFonts w:ascii="Times New Roman" w:cs="Times New Roman"/>
          <w:color w:val="000000" w:themeColor="text1"/>
          <w:spacing w:val="0"/>
        </w:rPr>
        <w:t xml:space="preserve"> в Фридрихсхафене — без- вальная, с продольным расположением осей, восьмиступенчатая, с постоянным зацеплением шестерен, с центральным синхронизатором и индивидуальными тормозами, с полуавтоматическим управ</w:t>
      </w:r>
      <w:r w:rsidRPr="00271E51">
        <w:rPr>
          <w:rFonts w:ascii="Times New Roman" w:cs="Times New Roman"/>
          <w:color w:val="000000" w:themeColor="text1"/>
          <w:spacing w:val="0"/>
        </w:rPr>
        <w:softHyphen/>
        <w:t>лением. Коробка обеспечивала 8 передач вперед и 4 назад. Многодисковый глав</w:t>
      </w:r>
      <w:r w:rsidRPr="00271E51">
        <w:rPr>
          <w:rFonts w:ascii="Times New Roman" w:cs="Times New Roman"/>
          <w:color w:val="000000" w:themeColor="text1"/>
          <w:spacing w:val="0"/>
        </w:rPr>
        <w:softHyphen/>
        <w:t>ный фрикцион с трением рабочих по</w:t>
      </w:r>
      <w:r w:rsidRPr="00271E51">
        <w:rPr>
          <w:rFonts w:ascii="Times New Roman" w:cs="Times New Roman"/>
          <w:color w:val="000000" w:themeColor="text1"/>
          <w:spacing w:val="0"/>
        </w:rPr>
        <w:softHyphen/>
        <w:t>верхностей в масле был конструктивно встроен в коробку передач, так же как и стояночный тормоз.</w:t>
      </w:r>
    </w:p>
    <w:p w14:paraId="34AD65B3"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Фрикционно-шестеренчатый механизм поворота с двойным подводом мощности обеспечивал танку по два фиксирован</w:t>
      </w:r>
      <w:r w:rsidRPr="00271E51">
        <w:rPr>
          <w:rFonts w:ascii="Times New Roman" w:hAnsi="Times New Roman"/>
          <w:color w:val="000000" w:themeColor="text1"/>
          <w:sz w:val="16"/>
          <w:szCs w:val="16"/>
        </w:rPr>
        <w:softHyphen/>
        <w:t>ных радиуса поворота на каждой переда</w:t>
      </w:r>
      <w:r w:rsidRPr="00271E51">
        <w:rPr>
          <w:rFonts w:ascii="Times New Roman" w:hAnsi="Times New Roman"/>
          <w:color w:val="000000" w:themeColor="text1"/>
          <w:sz w:val="16"/>
          <w:szCs w:val="16"/>
        </w:rPr>
        <w:softHyphen/>
        <w:t>че. Бортовые передачи — двухрядные, комбинированные, с разгруженным ве</w:t>
      </w:r>
      <w:r w:rsidRPr="00271E51">
        <w:rPr>
          <w:rFonts w:ascii="Times New Roman" w:hAnsi="Times New Roman"/>
          <w:color w:val="000000" w:themeColor="text1"/>
          <w:sz w:val="16"/>
          <w:szCs w:val="16"/>
        </w:rPr>
        <w:softHyphen/>
        <w:t>домым валом.</w:t>
      </w:r>
    </w:p>
    <w:p w14:paraId="7B236402" w14:textId="77777777" w:rsidR="00067190" w:rsidRPr="00271E51" w:rsidRDefault="000671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Ходовая часть машины применительно к одному борту состояла из 24 опорных катков, расположенных в шахматном по</w:t>
      </w:r>
      <w:r w:rsidRPr="00271E51">
        <w:rPr>
          <w:rFonts w:ascii="Times New Roman" w:hAnsi="Times New Roman"/>
          <w:color w:val="000000" w:themeColor="text1"/>
          <w:sz w:val="16"/>
          <w:szCs w:val="16"/>
        </w:rPr>
        <w:softHyphen/>
        <w:t>рядке в четыре ряда. Опорные катки раз</w:t>
      </w:r>
      <w:r w:rsidRPr="00271E51">
        <w:rPr>
          <w:rFonts w:ascii="Times New Roman" w:hAnsi="Times New Roman"/>
          <w:color w:val="000000" w:themeColor="text1"/>
          <w:sz w:val="16"/>
          <w:szCs w:val="16"/>
        </w:rPr>
        <w:softHyphen/>
        <w:t>мером 800x95 мм имели внутреннюю амортизацию и стальные бандажи. Под</w:t>
      </w:r>
      <w:r w:rsidRPr="00271E51">
        <w:rPr>
          <w:rFonts w:ascii="Times New Roman" w:hAnsi="Times New Roman"/>
          <w:color w:val="000000" w:themeColor="text1"/>
          <w:sz w:val="16"/>
          <w:szCs w:val="16"/>
        </w:rPr>
        <w:softHyphen/>
        <w:t>веска — индивидуальная, торсионная, одновальная. Балансиры передних и зад</w:t>
      </w:r>
      <w:r w:rsidRPr="00271E51">
        <w:rPr>
          <w:rFonts w:ascii="Times New Roman" w:hAnsi="Times New Roman"/>
          <w:color w:val="000000" w:themeColor="text1"/>
          <w:sz w:val="16"/>
          <w:szCs w:val="16"/>
        </w:rPr>
        <w:softHyphen/>
        <w:t>них опорных катков снабжались гидравлическими амортизаторами.</w:t>
      </w:r>
    </w:p>
    <w:p w14:paraId="17C094B8"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Прототип САУ, получившей название 38 </w:t>
      </w:r>
      <w:r w:rsidRPr="00271E51">
        <w:rPr>
          <w:rFonts w:ascii="Times New Roman" w:cs="Times New Roman"/>
          <w:color w:val="000000" w:themeColor="text1"/>
          <w:spacing w:val="0"/>
          <w:lang w:val="en-US"/>
        </w:rPr>
        <w:t>cmPanzermorserSturmtigerAusf</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E</w:t>
      </w:r>
      <w:r w:rsidRPr="00271E51">
        <w:rPr>
          <w:rFonts w:ascii="Times New Roman" w:cs="Times New Roman"/>
          <w:color w:val="000000" w:themeColor="text1"/>
          <w:spacing w:val="0"/>
        </w:rPr>
        <w:t xml:space="preserve"> (15232).</w:t>
      </w:r>
    </w:p>
    <w:p w14:paraId="52161136" w14:textId="77777777" w:rsidR="00067190" w:rsidRPr="00271E51" w:rsidRDefault="00067190" w:rsidP="00271E51">
      <w:pPr>
        <w:pStyle w:val="27"/>
        <w:shd w:val="clear" w:color="auto" w:fill="auto"/>
        <w:spacing w:after="0" w:line="240" w:lineRule="auto"/>
        <w:ind w:firstLine="0"/>
        <w:rPr>
          <w:rFonts w:ascii="Times New Roman" w:cs="Times New Roman"/>
          <w:color w:val="000000" w:themeColor="text1"/>
          <w:spacing w:val="0"/>
        </w:rPr>
      </w:pPr>
    </w:p>
    <w:p w14:paraId="339F319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английские войска заняли Катанию (Сицилия) (4962).</w:t>
      </w:r>
    </w:p>
    <w:p w14:paraId="7D3D3F3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E51D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7871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3C64F" w14:textId="77777777" w:rsidR="00357684" w:rsidRPr="00271E51" w:rsidRDefault="00357684"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rPr>
        <w:t>6 августа 1943 г. авиазавод № 381 освободил территорию завода № 183 площадями 57.000 кв. метров, были освобождены площади следующих цехов: «700» на 15000 кв. м, «150» на 5600 кв. м, «160» на 3600 кв. м, «110» на 2400 кв. м, «125» на 2800 кв. м, «130» на 550 кв. м, «880» на 750 кв. м, «540» на 1800 кв. м и т.д. [10; л. 97] Окончательно сборка бронекорпусов Ил-2 была остановлена в середине сентября 1943 г. Выпуск бронедеталей других самолетов продолжался до конца месяца. Весь архив и техническую документацию авиационные заводы вывезли с собой на новое место пребывания (19537).</w:t>
      </w:r>
    </w:p>
    <w:p w14:paraId="086BB878" w14:textId="77777777" w:rsidR="00357684" w:rsidRPr="00271E51" w:rsidRDefault="00357684" w:rsidP="00271E51">
      <w:pPr>
        <w:spacing w:after="0" w:line="240" w:lineRule="auto"/>
        <w:jc w:val="both"/>
        <w:rPr>
          <w:rFonts w:ascii="Times New Roman" w:hAnsi="Times New Roman"/>
          <w:color w:val="000000" w:themeColor="text1"/>
          <w:sz w:val="16"/>
          <w:szCs w:val="16"/>
          <w:shd w:val="clear" w:color="auto" w:fill="FFFFFF"/>
        </w:rPr>
      </w:pPr>
    </w:p>
    <w:p w14:paraId="27907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директор завода 494 Шелухин писал Докладную записку N 803с:</w:t>
      </w:r>
    </w:p>
    <w:p w14:paraId="6C810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на Ваше усмотрение перечень некоторых конструктивных и производственных недоработок по машинам Як-1-7-9, Ла-5 и Ил-2, выявленных нами при ремонте машин, находящихся в эксплуатации, в строевых частях 16 ВА:</w:t>
      </w:r>
    </w:p>
    <w:p w14:paraId="2D058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 машине Ил-2:</w:t>
      </w:r>
    </w:p>
    <w:p w14:paraId="489D5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Частичный непроклей по нервюрам и стрингерам почти на всех машинах</w:t>
      </w:r>
    </w:p>
    <w:p w14:paraId="577340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Окраска на всех машинах крайне грубая и небрежная. Частично наблюдаются морщины из-за некачественной обтяжки полотна</w:t>
      </w:r>
    </w:p>
    <w:p w14:paraId="7B702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улучшить качество окраски и обклейки.</w:t>
      </w:r>
    </w:p>
    <w:p w14:paraId="19791C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результате небрежного покрытия часто размокает и отстает шпон, особенно на обтекателях гондолы мотора (?) (1768,75).</w:t>
      </w:r>
    </w:p>
    <w:p w14:paraId="56482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990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директор завода 39 Абрамов направил А.И.Ш. телефонограмму:</w:t>
      </w:r>
    </w:p>
    <w:p w14:paraId="31C41B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августа 1943 на самолете Ил-6 выполнялись работы, связанные с требованием группы прочности и генерала Маркова. Все работы закончены за исключением спец. проверки ВМГ, которая намечена на 6 час. утра 6 августа 1943. После проверки будет производиться рулежка (1768,212).</w:t>
      </w:r>
    </w:p>
    <w:p w14:paraId="4B6E1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834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закончились гос. испытания МиГ-3У (Д-01), которые проходили с 28 июля и который 23 июля завершил заводские испытания. Летали ик А.С.Розанов и ли В.И.Хомяков. выполнили 23 полета, в т.ч. 10 высотных и налетали 15:26. Получили скорость 656 км/час на 7000 м и потолок 11900 м. Посадка оказалась сложной. Через уплотнение редуктора выбивало масло. Испытания не прошел и потребовали устранить недостатки. После возвращения из НИИ ВВС и устранения недостатков все шесть МиГ-3У были облетаны л 12 гиап 6 иак ПВО П.А.Журавлевым и осмотрены техсоставом. В августе приняли только машины Д-01, 03, 04 и 06, а 02 и 05 остались на заводе 155 для замены моторов (5046,33).</w:t>
      </w:r>
    </w:p>
    <w:p w14:paraId="04D82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5D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ГК завода 300 А.А.М. подготовил рапорт НКАП А.И.Ш. по вопросу АМ-39 и его гос. испытаниям. В течение мая и июня на заводе 300 были проведены доводочные работы по Ам-39 и мотор прошел внутризаводские официальные испытания по программе: 5 час. и 50 переключений на 2-ю скорость на номинале и 50 час. и 50 переключений на 2-ю скорость на 67 МТУ. После 50-час. испытаний во время пробы на пикирование на 2-й скорости разрушилась крыльчатка нагнетателя. Хотели предъявить на испытания к 1 сентября 1943. Предназначался для истребителя МиГ и мог использоваться на высоте до 8000 м, а при постановке нагнетателя - на 14000 м. Мотор отличается от серийного АМ-38Ф только постановкой дополнительной двухскоростной коробкой к нагнетателю и воздухорадиатором. Благодаря этому не вызовет никаких трудностей при постановке на серийное производство. был готов дать первую партию в 50 моторов к 1 ноября 1943 и первые 20 были готовы сделать на заводе 300 из моторов АМ-38Ф, поставленных 45 заводом. Приложил проект приказа (2562,1).</w:t>
      </w:r>
    </w:p>
    <w:p w14:paraId="79750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A0D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закончились гос. испытания улучшенного МиГ-3 с АМ-35А и винтом АВ-5Л126А производства 155 завода, которые проводились с 27 июля 1943 (798,3).</w:t>
      </w:r>
    </w:p>
    <w:p w14:paraId="2EC4E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 нач. НИИ ВВС гмиас Лосюков утвердил Акт по гос. испытаниям экземпляра улучшенного МиГ-3 № 01 с АМ-35А и винтом АВ-5Л126А производства 155 завода), которые проходили с 27 июля по 6 августа 1943</w:t>
      </w:r>
    </w:p>
    <w:p w14:paraId="5383AF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Виза:</w:t>
      </w:r>
    </w:p>
    <w:p w14:paraId="7DFE37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Сафронову </w:t>
      </w:r>
    </w:p>
    <w:p w14:paraId="1CB56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Исправить отчет, перепечатать и готовить к рассылке</w:t>
      </w:r>
    </w:p>
    <w:p w14:paraId="76F746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февраля 1944</w:t>
      </w:r>
    </w:p>
    <w:p w14:paraId="075332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был у Лосюкова с 18 августа 1943 по 8 сентября 1944</w:t>
      </w:r>
    </w:p>
    <w:p w14:paraId="1DB7F0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исполнители:</w:t>
      </w:r>
    </w:p>
    <w:p w14:paraId="348DE7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вед. инж. А.С.Рузанов</w:t>
      </w:r>
    </w:p>
    <w:p w14:paraId="42EC4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л п/п В.И.Хомяков</w:t>
      </w:r>
    </w:p>
    <w:p w14:paraId="7D614E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июля по 6 августа 1943 было выполнено 23 полета с налетом 15:26</w:t>
      </w:r>
    </w:p>
    <w:p w14:paraId="19188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w:t>
      </w:r>
    </w:p>
    <w:p w14:paraId="5E2731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Определить лтд, оценить эксплуатационные свойства с-та, работу ВМГ, спецоборудования, органов ... и управления. Оценить конструктивное и производственное выполнение с-та</w:t>
      </w:r>
    </w:p>
    <w:p w14:paraId="20A22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испытаний:</w:t>
      </w:r>
    </w:p>
    <w:p w14:paraId="08D7F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Предъявленный на испытания экземпляр улучшенного МиГ-3 с АМ-35А конструкции Микояна и Гуревича построенного на з-де № 155 согласно постановлению ГОКО от 26 февраля 1943 № 2946. Улучшенный с-т представляет собой значительную модификацию с-та МиГ-3. По своим геометрическим размерам он не отличается от серийного МиГ-3 с АМ-35А. Внесенные изменения и технологические упрощения создали улучшуенную аэродинамику и снизили полетный вес с-та.</w:t>
      </w:r>
    </w:p>
    <w:p w14:paraId="61004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с-та</w:t>
      </w:r>
    </w:p>
    <w:p w14:paraId="63460A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отличие конструкции улучшенного МиГ-3 с АМ-35А по сравнению с серийным с-том МиГ-3 заключаются в:</w:t>
      </w:r>
    </w:p>
    <w:p w14:paraId="110742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улучшена и облегчена конструкция фюзеляжа, который представляет собой цельнодеревянный монокок со съемным дюралевым килем, взамен смашанной конструкции: сварной фермы и с деревянной частью фюзеляжа</w:t>
      </w:r>
    </w:p>
    <w:p w14:paraId="5E84C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незначительно изменен главный лонжерон центроплана: в месте прохода через туннели водорадиатора стенка лонжерона заменена фермой. Главный лонжерон консолей выполнен не из дельтадревесины, а из дюралевой стенки.</w:t>
      </w:r>
    </w:p>
    <w:p w14:paraId="27967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несколько сдвинута назад, расширена и улучшена кабина л. В связи с этим изменен обзор и конструкция фонаря кабины</w:t>
      </w:r>
    </w:p>
    <w:p w14:paraId="5224E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связи с переделкой кинематики уборки костыля стабилизатор поднят на 200 мм и выполнен с новыми узлами крепления к фюзеляжу</w:t>
      </w:r>
    </w:p>
    <w:p w14:paraId="6BD67C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установлены замки посадочных щитков в положении убрано</w:t>
      </w:r>
    </w:p>
    <w:p w14:paraId="1E7DC8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изменена установка замка подъема шасси</w:t>
      </w:r>
    </w:p>
    <w:p w14:paraId="5A806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механизм аварийного выпуска шасси и костыля заменен пневматическим</w:t>
      </w:r>
    </w:p>
    <w:p w14:paraId="0AD245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установлены колеса размером 600х180 вместо 650 на 200</w:t>
      </w:r>
    </w:p>
    <w:p w14:paraId="3FC51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костыль сделан ориентирующимся со стопором, управляемым из кабины</w:t>
      </w:r>
    </w:p>
    <w:p w14:paraId="079107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ВМГ</w:t>
      </w:r>
    </w:p>
    <w:p w14:paraId="61CA35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улучшенном с-те установлен мотор АМ-35А выпуска 1943 с редукцией 0,732, собранный с использованием некоторых-38Ф, а винт АВ-5Л-126А диаметром 3,2 м</w:t>
      </w:r>
    </w:p>
    <w:p w14:paraId="25718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ГК завода № 300 т. Туманским (письмо от 10 августа 1938) данный мотор в отличие оти серийных АМ-35А было разрешено эксплуатировать во время летных испытаний на оборотах 2250. Этот режим допускает продолжительность не более 5 минут и только на высотах выше границы высотности. Макс. темп. При этом допускается: выходной воды 120, входного масла 85 (на номинале допускается 110 и 85).</w:t>
      </w:r>
    </w:p>
    <w:p w14:paraId="0F80C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Бензосистема</w:t>
      </w:r>
    </w:p>
    <w:p w14:paraId="5A759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4-х металлических б/б, имеющихся на серийном с-те общей емкостью 500 л, на улучшенном установлен один мягкий емкостью 440 л в фюзеляже впереди л в спецконтейнере с подводом в нему нейтральных газов от выхлопа мотора.</w:t>
      </w:r>
    </w:p>
    <w:p w14:paraId="6D547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Маслосистема</w:t>
      </w:r>
    </w:p>
    <w:p w14:paraId="5BC1A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2-х девятидюймовых радиаторов на Миг-3 по внешним сотороным бдоков мотора на улучшенном установлен один м/р типа 33 в тоннеле под фюзеляжем</w:t>
      </w:r>
    </w:p>
    <w:p w14:paraId="3053E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Продувка маслорадиатора регулируется заслонкой с механическим управлением. Заслонка установлена на выходе</w:t>
      </w:r>
    </w:p>
    <w:p w14:paraId="1EEF03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Задний маслобак емкостью 25 л установлен с внешней стороны у правого блока мотора</w:t>
      </w:r>
    </w:p>
    <w:p w14:paraId="527088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Передний м/б по емкости и расположению такой же, как на МиГ-23 (емкостью 53 л).</w:t>
      </w:r>
    </w:p>
    <w:p w14:paraId="4232E6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Водосистема</w:t>
      </w:r>
    </w:p>
    <w:p w14:paraId="35B466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Радиатор расположен в том же месте, что и на МиГ-3, но поднят выше. Воздух для продувки радиатора поступает через два заборника, расположенных в носовой части цп с обеих сторон фюзеляжа.</w:t>
      </w:r>
    </w:p>
    <w:p w14:paraId="64BC9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регулировки температуры воды на с-те установлен агрегат УР-2, связанный с заслонкой туннеля водорадиатора и управляемый или автоматом АРТ-41 или вручную посредством переключателя МП-1</w:t>
      </w:r>
    </w:p>
    <w:p w14:paraId="32D468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Входная часть всасявающего патрубка мотора выведена внутрб туннеля радиатора. На с-те установлена, но не подключена система расжижения масла бензином.</w:t>
      </w:r>
    </w:p>
    <w:p w14:paraId="19C93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56A8BD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Состоит из 2хШВАК какл. 20 мм, установленных над мотором с запасом патронов по 150 шт.</w:t>
      </w:r>
    </w:p>
    <w:p w14:paraId="228573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Спецоборудование значительно отиличается от спецоборудования серийного МиГ-3. Возможно производство дневных и ночных полетов. Но отсутствуют АГ и РПК. Особенностью является наличие автоматического электрорегулятора температуры воды (АРТ-41).</w:t>
      </w:r>
    </w:p>
    <w:p w14:paraId="74A636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Электрооборудование выполнено по однопроводной схеме с частичной экранизацией (экранированп система зажигания мотора и проводка от генератора до электрорегулятора). Источник питания: 1 генератор ГС-350 с акумуляторной батареей 12-А-5. Система защиты - централизованная (в кабине) плавкими предохранителями.</w:t>
      </w:r>
    </w:p>
    <w:p w14:paraId="27953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работает при помощи пневмоспусков ПЭС-1. Освещение приборов в кабине осуществляется двумя кабинными лампами и двумя лампами УФО. Для ночных полетов установлена посадочная фара ФС-155 и АНО. Имеется обогрев трубки Пито и часов.</w:t>
      </w:r>
    </w:p>
    <w:p w14:paraId="2172B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Средства связи</w:t>
      </w:r>
    </w:p>
    <w:p w14:paraId="48E28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Приемопередатчик РСИ-4, управление настройкой - дистанционное Включение - кнопкой на ручке управления. Антенна - наружная, однолучевая с мачтой высотой 900 мм. Дополнительных фильтров в цепи зажигания и бортсети нет.</w:t>
      </w:r>
    </w:p>
    <w:p w14:paraId="356810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Кислородное оборудование состоит из ксилородного прибора типа КПА-3бис и 4-х литрового баллона, также штуцера бортовой зарядки.</w:t>
      </w:r>
    </w:p>
    <w:p w14:paraId="74587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Вспомогательное оборудование: согнальный пистолет КП-3, патронташ к нему и аптечка малая. Фотооборудование не предусмотрено.</w:t>
      </w:r>
    </w:p>
    <w:p w14:paraId="00D2DF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Компоновка приборов выполнена в соответствии со стандартной кабиной и приборной доской истребителя</w:t>
      </w:r>
    </w:p>
    <w:p w14:paraId="34C9BF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испытаний:</w:t>
      </w:r>
    </w:p>
    <w:p w14:paraId="3AC0D9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поступил для испытаний в НИИ 27 июля. Испытания начаты 28 июля и закончены 6 августа 1943. 23 полета с налетом 15:26 из них 10 - высотные</w:t>
      </w:r>
    </w:p>
    <w:p w14:paraId="136E0E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2627, 13,8% САХ, угол капотирования 23</w:t>
      </w:r>
    </w:p>
    <w:p w14:paraId="0034D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- 3260, 19% САХ, угол капотирования 26</w:t>
      </w:r>
    </w:p>
    <w:p w14:paraId="06164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w:t>
      </w:r>
    </w:p>
    <w:p w14:paraId="1EF373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 - 90</w:t>
      </w:r>
    </w:p>
    <w:p w14:paraId="7CA7E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горючее (уд. Вес 0,737) - 324</w:t>
      </w:r>
    </w:p>
    <w:p w14:paraId="4FDFF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 - 58</w:t>
      </w:r>
    </w:p>
    <w:p w14:paraId="5F581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- 80, боеприпасы 64</w:t>
      </w:r>
    </w:p>
    <w:p w14:paraId="50F3F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оборудование - 17</w:t>
      </w:r>
    </w:p>
    <w:p w14:paraId="3ACD4E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633</w:t>
      </w:r>
    </w:p>
    <w:p w14:paraId="713D9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лд</w:t>
      </w:r>
    </w:p>
    <w:p w14:paraId="63B6E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номинале 505, с форсажем (на взлетном режиме, 2020 и Рк 1220) - 526</w:t>
      </w:r>
    </w:p>
    <w:p w14:paraId="7B7B2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Максю скорость на взлетном на 300 м - 600</w:t>
      </w:r>
    </w:p>
    <w:p w14:paraId="3FE48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5000 - 622</w:t>
      </w:r>
    </w:p>
    <w:p w14:paraId="3DB786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 (7000) - 656</w:t>
      </w:r>
    </w:p>
    <w:p w14:paraId="44BF3E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9000 м - 639, Рк 830</w:t>
      </w:r>
    </w:p>
    <w:p w14:paraId="77CFC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 6,2</w:t>
      </w:r>
    </w:p>
    <w:p w14:paraId="79925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7000 м 8,9</w:t>
      </w:r>
    </w:p>
    <w:p w14:paraId="7DFA3B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9000 м 12,8</w:t>
      </w:r>
    </w:p>
    <w:p w14:paraId="03C9A7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11500, с форсажем 11900 м</w:t>
      </w:r>
    </w:p>
    <w:p w14:paraId="6A23C3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17"/>
        <w:gridCol w:w="1418"/>
        <w:gridCol w:w="1276"/>
      </w:tblGrid>
      <w:tr w:rsidR="00A907A5" w:rsidRPr="00271E51" w14:paraId="7A394F42" w14:textId="77777777" w:rsidTr="00ED5B0A">
        <w:tc>
          <w:tcPr>
            <w:tcW w:w="959" w:type="dxa"/>
            <w:tcBorders>
              <w:top w:val="single" w:sz="12" w:space="0" w:color="auto"/>
            </w:tcBorders>
          </w:tcPr>
          <w:p w14:paraId="791315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6C1C73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 скорость</w:t>
            </w:r>
          </w:p>
        </w:tc>
        <w:tc>
          <w:tcPr>
            <w:tcW w:w="1418" w:type="dxa"/>
            <w:tcBorders>
              <w:top w:val="single" w:sz="12" w:space="0" w:color="auto"/>
            </w:tcBorders>
          </w:tcPr>
          <w:p w14:paraId="1A997A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Рк</w:t>
            </w:r>
          </w:p>
        </w:tc>
        <w:tc>
          <w:tcPr>
            <w:tcW w:w="1276" w:type="dxa"/>
            <w:tcBorders>
              <w:top w:val="single" w:sz="12" w:space="0" w:color="auto"/>
            </w:tcBorders>
          </w:tcPr>
          <w:p w14:paraId="0CF04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 Скорость</w:t>
            </w:r>
          </w:p>
        </w:tc>
      </w:tr>
      <w:tr w:rsidR="00A907A5" w:rsidRPr="00271E51" w14:paraId="270C7944" w14:textId="77777777" w:rsidTr="00ED5B0A">
        <w:tc>
          <w:tcPr>
            <w:tcW w:w="959" w:type="dxa"/>
          </w:tcPr>
          <w:p w14:paraId="03A29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0</w:t>
            </w:r>
          </w:p>
        </w:tc>
        <w:tc>
          <w:tcPr>
            <w:tcW w:w="1417" w:type="dxa"/>
          </w:tcPr>
          <w:p w14:paraId="0FEA8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tc>
        <w:tc>
          <w:tcPr>
            <w:tcW w:w="1418" w:type="dxa"/>
          </w:tcPr>
          <w:p w14:paraId="343C5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09308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r>
      <w:tr w:rsidR="00A907A5" w:rsidRPr="00271E51" w14:paraId="3198CB05" w14:textId="77777777" w:rsidTr="00ED5B0A">
        <w:tc>
          <w:tcPr>
            <w:tcW w:w="959" w:type="dxa"/>
          </w:tcPr>
          <w:p w14:paraId="2494E6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417" w:type="dxa"/>
          </w:tcPr>
          <w:p w14:paraId="7F6D73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418" w:type="dxa"/>
          </w:tcPr>
          <w:p w14:paraId="24F823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1276" w:type="dxa"/>
          </w:tcPr>
          <w:p w14:paraId="5E850E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w:t>
            </w:r>
          </w:p>
        </w:tc>
      </w:tr>
      <w:tr w:rsidR="00A907A5" w:rsidRPr="00271E51" w14:paraId="224967C5" w14:textId="77777777" w:rsidTr="00ED5B0A">
        <w:tc>
          <w:tcPr>
            <w:tcW w:w="959" w:type="dxa"/>
          </w:tcPr>
          <w:p w14:paraId="4DB14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1417" w:type="dxa"/>
          </w:tcPr>
          <w:p w14:paraId="25EE0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1418" w:type="dxa"/>
          </w:tcPr>
          <w:p w14:paraId="38105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890</w:t>
            </w:r>
          </w:p>
        </w:tc>
        <w:tc>
          <w:tcPr>
            <w:tcW w:w="1276" w:type="dxa"/>
          </w:tcPr>
          <w:p w14:paraId="650F9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w:t>
            </w:r>
          </w:p>
        </w:tc>
      </w:tr>
      <w:tr w:rsidR="00A907A5" w:rsidRPr="00271E51" w14:paraId="43576056" w14:textId="77777777" w:rsidTr="00ED5B0A">
        <w:tc>
          <w:tcPr>
            <w:tcW w:w="959" w:type="dxa"/>
            <w:tcBorders>
              <w:bottom w:val="single" w:sz="12" w:space="0" w:color="auto"/>
            </w:tcBorders>
          </w:tcPr>
          <w:p w14:paraId="751EA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417" w:type="dxa"/>
            <w:tcBorders>
              <w:bottom w:val="single" w:sz="12" w:space="0" w:color="auto"/>
            </w:tcBorders>
          </w:tcPr>
          <w:p w14:paraId="352319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1418" w:type="dxa"/>
            <w:tcBorders>
              <w:bottom w:val="single" w:sz="12" w:space="0" w:color="auto"/>
            </w:tcBorders>
          </w:tcPr>
          <w:p w14:paraId="1E899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w:t>
            </w:r>
          </w:p>
        </w:tc>
        <w:tc>
          <w:tcPr>
            <w:tcW w:w="1276" w:type="dxa"/>
            <w:tcBorders>
              <w:bottom w:val="single" w:sz="12" w:space="0" w:color="auto"/>
            </w:tcBorders>
          </w:tcPr>
          <w:p w14:paraId="20A3B4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w:t>
            </w:r>
          </w:p>
        </w:tc>
      </w:tr>
    </w:tbl>
    <w:p w14:paraId="0A179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на взлетном режиме не определялась из-за перегрева мотора</w:t>
      </w:r>
    </w:p>
    <w:p w14:paraId="46092A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опреджелялась при полностью открытой заслонке водо и маслорадиаторов с площадками для охлаждения мотора</w:t>
      </w:r>
    </w:p>
    <w:p w14:paraId="68BAE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Маневренность на 8000 м</w:t>
      </w:r>
    </w:p>
    <w:p w14:paraId="648554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Вираж однократный левый на 330-330 37 сек.</w:t>
      </w:r>
    </w:p>
    <w:p w14:paraId="6A0AD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на 330-330 35 без изменения высоты</w:t>
      </w:r>
    </w:p>
    <w:p w14:paraId="3D7EA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разворот левый 370-230 - 22 с набором 400-500</w:t>
      </w:r>
    </w:p>
    <w:p w14:paraId="3E1AA2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правый 22</w:t>
      </w:r>
    </w:p>
    <w:p w14:paraId="1EE3D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Летали также п Сафонов, п/п Кочетков, м Антипов, к Кубышкин</w:t>
      </w:r>
    </w:p>
    <w:p w14:paraId="25569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планировании без закрылков возникает значительный бафтинг хвостового оперения, что свидетельствует о неправильном его расположении по высоте.</w:t>
      </w:r>
    </w:p>
    <w:p w14:paraId="0505C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посадке в момент приземления с-т теряет управляемость в продольном отношении.</w:t>
      </w:r>
    </w:p>
    <w:p w14:paraId="4AA67D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пробеге есть тенденция к прыганью в трехточечном положении.</w:t>
      </w:r>
    </w:p>
    <w:p w14:paraId="703AC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рулежке вода перегревается</w:t>
      </w:r>
    </w:p>
    <w:p w14:paraId="1AA4F4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даче форсажа после 1000 м мотор ьтрясет</w:t>
      </w:r>
    </w:p>
    <w:p w14:paraId="45506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Стефановский 10 августа 1943</w:t>
      </w:r>
    </w:p>
    <w:p w14:paraId="37F19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с-том РП легкое, элеронами - тяжелое, РВ весьма тяжелое. Перекладывание из виража в вираж медленное и тяжелое. Воевать на такой машине тяжело. Посадку производить сложно. В начале посадки велика нагрузка на ручку, после ввыбирания ручки управление нагрузка совершенно пропадает и эффективность РВ теряется. На пробеге с-т устойчив.</w:t>
      </w:r>
    </w:p>
    <w:p w14:paraId="4B86C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обзор в строны - хорош, вперед и назад - плохой. В полете с закрытым фонарем в кабине жарко, а при открытом - сильное задувание в кабину.</w:t>
      </w:r>
    </w:p>
    <w:p w14:paraId="0CC78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Кубышкин 11 августа 1943</w:t>
      </w:r>
    </w:p>
    <w:p w14:paraId="5D203D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таблица лтд истребительных с-тов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992"/>
        <w:gridCol w:w="993"/>
        <w:gridCol w:w="992"/>
        <w:gridCol w:w="992"/>
        <w:gridCol w:w="992"/>
      </w:tblGrid>
      <w:tr w:rsidR="00A907A5" w:rsidRPr="00271E51" w14:paraId="790DE883" w14:textId="77777777" w:rsidTr="00ED5B0A">
        <w:tc>
          <w:tcPr>
            <w:tcW w:w="1601" w:type="dxa"/>
            <w:tcBorders>
              <w:top w:val="single" w:sz="12" w:space="0" w:color="auto"/>
            </w:tcBorders>
          </w:tcPr>
          <w:p w14:paraId="38F4C1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top w:val="single" w:sz="12" w:space="0" w:color="auto"/>
            </w:tcBorders>
          </w:tcPr>
          <w:p w14:paraId="20A8B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улучшенный</w:t>
            </w:r>
          </w:p>
        </w:tc>
        <w:tc>
          <w:tcPr>
            <w:tcW w:w="992" w:type="dxa"/>
            <w:tcBorders>
              <w:top w:val="single" w:sz="12" w:space="0" w:color="auto"/>
            </w:tcBorders>
          </w:tcPr>
          <w:p w14:paraId="02C5E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серийный № 3943, август 1941</w:t>
            </w:r>
          </w:p>
        </w:tc>
        <w:tc>
          <w:tcPr>
            <w:tcW w:w="993" w:type="dxa"/>
            <w:tcBorders>
              <w:top w:val="single" w:sz="12" w:space="0" w:color="auto"/>
            </w:tcBorders>
          </w:tcPr>
          <w:p w14:paraId="7D676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Ла-5ФН апрель 1943</w:t>
            </w:r>
          </w:p>
        </w:tc>
        <w:tc>
          <w:tcPr>
            <w:tcW w:w="992" w:type="dxa"/>
            <w:tcBorders>
              <w:top w:val="single" w:sz="12" w:space="0" w:color="auto"/>
            </w:tcBorders>
          </w:tcPr>
          <w:p w14:paraId="03B06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Спитфайр 56 май 1943</w:t>
            </w:r>
          </w:p>
        </w:tc>
        <w:tc>
          <w:tcPr>
            <w:tcW w:w="992" w:type="dxa"/>
            <w:tcBorders>
              <w:top w:val="single" w:sz="12" w:space="0" w:color="auto"/>
            </w:tcBorders>
          </w:tcPr>
          <w:p w14:paraId="2122D0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Ме-109</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рель 1943 (3-х точечный)</w:t>
            </w:r>
          </w:p>
        </w:tc>
        <w:tc>
          <w:tcPr>
            <w:tcW w:w="992" w:type="dxa"/>
            <w:tcBorders>
              <w:top w:val="single" w:sz="12" w:space="0" w:color="auto"/>
            </w:tcBorders>
          </w:tcPr>
          <w:p w14:paraId="4FA146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М-105ПД сентябрь 1942</w:t>
            </w:r>
          </w:p>
        </w:tc>
      </w:tr>
      <w:tr w:rsidR="00A907A5" w:rsidRPr="00271E51" w14:paraId="223B30FC" w14:textId="77777777" w:rsidTr="00ED5B0A">
        <w:tc>
          <w:tcPr>
            <w:tcW w:w="1601" w:type="dxa"/>
          </w:tcPr>
          <w:p w14:paraId="259DE4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917" w:type="dxa"/>
          </w:tcPr>
          <w:p w14:paraId="354D0C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3260</w:t>
            </w:r>
          </w:p>
        </w:tc>
        <w:tc>
          <w:tcPr>
            <w:tcW w:w="992" w:type="dxa"/>
          </w:tcPr>
          <w:p w14:paraId="67D289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3299</w:t>
            </w:r>
          </w:p>
        </w:tc>
        <w:tc>
          <w:tcPr>
            <w:tcW w:w="993" w:type="dxa"/>
          </w:tcPr>
          <w:p w14:paraId="130459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3168</w:t>
            </w:r>
          </w:p>
        </w:tc>
        <w:tc>
          <w:tcPr>
            <w:tcW w:w="992" w:type="dxa"/>
          </w:tcPr>
          <w:p w14:paraId="28EC1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2920</w:t>
            </w:r>
          </w:p>
        </w:tc>
        <w:tc>
          <w:tcPr>
            <w:tcW w:w="992" w:type="dxa"/>
          </w:tcPr>
          <w:p w14:paraId="03511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3023</w:t>
            </w:r>
          </w:p>
        </w:tc>
        <w:tc>
          <w:tcPr>
            <w:tcW w:w="992" w:type="dxa"/>
          </w:tcPr>
          <w:p w14:paraId="588C87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2904</w:t>
            </w:r>
          </w:p>
        </w:tc>
      </w:tr>
      <w:tr w:rsidR="00A907A5" w:rsidRPr="00271E51" w14:paraId="73538AE2" w14:textId="77777777" w:rsidTr="00ED5B0A">
        <w:tc>
          <w:tcPr>
            <w:tcW w:w="1601" w:type="dxa"/>
          </w:tcPr>
          <w:p w14:paraId="53D2F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917" w:type="dxa"/>
          </w:tcPr>
          <w:p w14:paraId="6081F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505/526</w:t>
            </w:r>
          </w:p>
        </w:tc>
        <w:tc>
          <w:tcPr>
            <w:tcW w:w="992" w:type="dxa"/>
          </w:tcPr>
          <w:p w14:paraId="756014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466</w:t>
            </w:r>
          </w:p>
        </w:tc>
        <w:tc>
          <w:tcPr>
            <w:tcW w:w="993" w:type="dxa"/>
          </w:tcPr>
          <w:p w14:paraId="01ED6E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562/595</w:t>
            </w:r>
          </w:p>
        </w:tc>
        <w:tc>
          <w:tcPr>
            <w:tcW w:w="992" w:type="dxa"/>
          </w:tcPr>
          <w:p w14:paraId="0CC02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992" w:type="dxa"/>
          </w:tcPr>
          <w:p w14:paraId="4392D3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992" w:type="dxa"/>
          </w:tcPr>
          <w:p w14:paraId="72DBB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r w:rsidR="00A907A5" w:rsidRPr="00271E51" w14:paraId="0D31886A" w14:textId="77777777" w:rsidTr="00ED5B0A">
        <w:tc>
          <w:tcPr>
            <w:tcW w:w="1601" w:type="dxa"/>
          </w:tcPr>
          <w:p w14:paraId="6703E2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м</w:t>
            </w:r>
          </w:p>
        </w:tc>
        <w:tc>
          <w:tcPr>
            <w:tcW w:w="917" w:type="dxa"/>
          </w:tcPr>
          <w:p w14:paraId="1B1A35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577B7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993" w:type="dxa"/>
          </w:tcPr>
          <w:p w14:paraId="360286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622</w:t>
            </w:r>
          </w:p>
        </w:tc>
        <w:tc>
          <w:tcPr>
            <w:tcW w:w="992" w:type="dxa"/>
          </w:tcPr>
          <w:p w14:paraId="19F71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646</w:t>
            </w:r>
          </w:p>
        </w:tc>
        <w:tc>
          <w:tcPr>
            <w:tcW w:w="992" w:type="dxa"/>
          </w:tcPr>
          <w:p w14:paraId="37BEDD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992" w:type="dxa"/>
          </w:tcPr>
          <w:p w14:paraId="30497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r>
      <w:tr w:rsidR="00A907A5" w:rsidRPr="00271E51" w14:paraId="5699E790" w14:textId="77777777" w:rsidTr="00ED5B0A">
        <w:tc>
          <w:tcPr>
            <w:tcW w:w="1601" w:type="dxa"/>
          </w:tcPr>
          <w:p w14:paraId="404AF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гр. высотности</w:t>
            </w:r>
          </w:p>
        </w:tc>
        <w:tc>
          <w:tcPr>
            <w:tcW w:w="917" w:type="dxa"/>
          </w:tcPr>
          <w:p w14:paraId="177764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656/7000</w:t>
            </w:r>
          </w:p>
        </w:tc>
        <w:tc>
          <w:tcPr>
            <w:tcW w:w="992" w:type="dxa"/>
          </w:tcPr>
          <w:p w14:paraId="5A4F9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615/7800</w:t>
            </w:r>
          </w:p>
        </w:tc>
        <w:tc>
          <w:tcPr>
            <w:tcW w:w="993" w:type="dxa"/>
          </w:tcPr>
          <w:p w14:paraId="39C257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648/6500</w:t>
            </w:r>
          </w:p>
        </w:tc>
        <w:tc>
          <w:tcPr>
            <w:tcW w:w="992" w:type="dxa"/>
          </w:tcPr>
          <w:p w14:paraId="6FB68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578/6700</w:t>
            </w:r>
          </w:p>
        </w:tc>
        <w:tc>
          <w:tcPr>
            <w:tcW w:w="992" w:type="dxa"/>
          </w:tcPr>
          <w:p w14:paraId="47CFD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666/7000</w:t>
            </w:r>
          </w:p>
        </w:tc>
        <w:tc>
          <w:tcPr>
            <w:tcW w:w="992" w:type="dxa"/>
          </w:tcPr>
          <w:p w14:paraId="0C9F4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611/7600</w:t>
            </w:r>
          </w:p>
        </w:tc>
      </w:tr>
      <w:tr w:rsidR="00A907A5" w:rsidRPr="00271E51" w14:paraId="3D12E074" w14:textId="77777777" w:rsidTr="00ED5B0A">
        <w:tc>
          <w:tcPr>
            <w:tcW w:w="1601" w:type="dxa"/>
          </w:tcPr>
          <w:p w14:paraId="69555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8000 м</w:t>
            </w:r>
          </w:p>
        </w:tc>
        <w:tc>
          <w:tcPr>
            <w:tcW w:w="917" w:type="dxa"/>
          </w:tcPr>
          <w:p w14:paraId="0A4FB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w:t>
            </w:r>
          </w:p>
        </w:tc>
        <w:tc>
          <w:tcPr>
            <w:tcW w:w="992" w:type="dxa"/>
          </w:tcPr>
          <w:p w14:paraId="304F2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c>
          <w:tcPr>
            <w:tcW w:w="993" w:type="dxa"/>
          </w:tcPr>
          <w:p w14:paraId="683C11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628</w:t>
            </w:r>
          </w:p>
        </w:tc>
        <w:tc>
          <w:tcPr>
            <w:tcW w:w="992" w:type="dxa"/>
          </w:tcPr>
          <w:p w14:paraId="63827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w:t>
            </w:r>
          </w:p>
        </w:tc>
        <w:tc>
          <w:tcPr>
            <w:tcW w:w="992" w:type="dxa"/>
          </w:tcPr>
          <w:p w14:paraId="1F26A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c>
          <w:tcPr>
            <w:tcW w:w="992" w:type="dxa"/>
          </w:tcPr>
          <w:p w14:paraId="2904E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608</w:t>
            </w:r>
          </w:p>
        </w:tc>
      </w:tr>
      <w:tr w:rsidR="00A907A5" w:rsidRPr="00271E51" w14:paraId="1069EE11" w14:textId="77777777" w:rsidTr="00ED5B0A">
        <w:tc>
          <w:tcPr>
            <w:tcW w:w="1601" w:type="dxa"/>
          </w:tcPr>
          <w:p w14:paraId="18398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917" w:type="dxa"/>
          </w:tcPr>
          <w:p w14:paraId="725E9D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32D392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993" w:type="dxa"/>
          </w:tcPr>
          <w:p w14:paraId="79B54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11200</w:t>
            </w:r>
          </w:p>
        </w:tc>
        <w:tc>
          <w:tcPr>
            <w:tcW w:w="992" w:type="dxa"/>
          </w:tcPr>
          <w:p w14:paraId="3B728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c>
          <w:tcPr>
            <w:tcW w:w="992" w:type="dxa"/>
          </w:tcPr>
          <w:p w14:paraId="34D9C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11900</w:t>
            </w:r>
          </w:p>
        </w:tc>
        <w:tc>
          <w:tcPr>
            <w:tcW w:w="992" w:type="dxa"/>
          </w:tcPr>
          <w:p w14:paraId="22F79D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11300</w:t>
            </w:r>
          </w:p>
        </w:tc>
      </w:tr>
      <w:tr w:rsidR="00A907A5" w:rsidRPr="00271E51" w14:paraId="6E50B169" w14:textId="77777777" w:rsidTr="00ED5B0A">
        <w:tc>
          <w:tcPr>
            <w:tcW w:w="1601" w:type="dxa"/>
          </w:tcPr>
          <w:p w14:paraId="4ADEB6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917" w:type="dxa"/>
          </w:tcPr>
          <w:p w14:paraId="5D0578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992" w:type="dxa"/>
          </w:tcPr>
          <w:p w14:paraId="35E031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3" w:type="dxa"/>
          </w:tcPr>
          <w:p w14:paraId="74C51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992" w:type="dxa"/>
          </w:tcPr>
          <w:p w14:paraId="47445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992" w:type="dxa"/>
          </w:tcPr>
          <w:p w14:paraId="250B1E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992" w:type="dxa"/>
          </w:tcPr>
          <w:p w14:paraId="36A83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r>
      <w:tr w:rsidR="00A907A5" w:rsidRPr="00271E51" w14:paraId="7D827F70" w14:textId="77777777" w:rsidTr="00ED5B0A">
        <w:tc>
          <w:tcPr>
            <w:tcW w:w="1601" w:type="dxa"/>
          </w:tcPr>
          <w:p w14:paraId="28B2F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горючего (кг)</w:t>
            </w:r>
          </w:p>
        </w:tc>
        <w:tc>
          <w:tcPr>
            <w:tcW w:w="917" w:type="dxa"/>
          </w:tcPr>
          <w:p w14:paraId="75DF5F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324</w:t>
            </w:r>
          </w:p>
        </w:tc>
        <w:tc>
          <w:tcPr>
            <w:tcW w:w="992" w:type="dxa"/>
          </w:tcPr>
          <w:p w14:paraId="155F7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993" w:type="dxa"/>
          </w:tcPr>
          <w:p w14:paraId="09B425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341</w:t>
            </w:r>
          </w:p>
        </w:tc>
        <w:tc>
          <w:tcPr>
            <w:tcW w:w="992" w:type="dxa"/>
          </w:tcPr>
          <w:p w14:paraId="5F0F3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w:t>
            </w:r>
          </w:p>
        </w:tc>
        <w:tc>
          <w:tcPr>
            <w:tcW w:w="992" w:type="dxa"/>
          </w:tcPr>
          <w:p w14:paraId="64E46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992" w:type="dxa"/>
          </w:tcPr>
          <w:p w14:paraId="2A258C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r>
      <w:tr w:rsidR="00A907A5" w:rsidRPr="00271E51" w14:paraId="4E0C6057" w14:textId="77777777" w:rsidTr="00ED5B0A">
        <w:tc>
          <w:tcPr>
            <w:tcW w:w="1601" w:type="dxa"/>
            <w:tcBorders>
              <w:bottom w:val="single" w:sz="12" w:space="0" w:color="auto"/>
            </w:tcBorders>
          </w:tcPr>
          <w:p w14:paraId="125FE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залпа (кг/сек)</w:t>
            </w:r>
          </w:p>
        </w:tc>
        <w:tc>
          <w:tcPr>
            <w:tcW w:w="917" w:type="dxa"/>
            <w:tcBorders>
              <w:bottom w:val="single" w:sz="12" w:space="0" w:color="auto"/>
            </w:tcBorders>
          </w:tcPr>
          <w:p w14:paraId="040C05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2,404</w:t>
            </w:r>
          </w:p>
        </w:tc>
        <w:tc>
          <w:tcPr>
            <w:tcW w:w="992" w:type="dxa"/>
            <w:tcBorders>
              <w:bottom w:val="single" w:sz="12" w:space="0" w:color="auto"/>
            </w:tcBorders>
          </w:tcPr>
          <w:p w14:paraId="5C3FFD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993" w:type="dxa"/>
            <w:tcBorders>
              <w:bottom w:val="single" w:sz="12" w:space="0" w:color="auto"/>
            </w:tcBorders>
          </w:tcPr>
          <w:p w14:paraId="1DDBAB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w:t>
            </w:r>
          </w:p>
        </w:tc>
        <w:tc>
          <w:tcPr>
            <w:tcW w:w="992" w:type="dxa"/>
            <w:tcBorders>
              <w:bottom w:val="single" w:sz="12" w:space="0" w:color="auto"/>
            </w:tcBorders>
          </w:tcPr>
          <w:p w14:paraId="0F4478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3,54</w:t>
            </w:r>
          </w:p>
        </w:tc>
        <w:tc>
          <w:tcPr>
            <w:tcW w:w="992" w:type="dxa"/>
            <w:tcBorders>
              <w:bottom w:val="single" w:sz="12" w:space="0" w:color="auto"/>
            </w:tcBorders>
          </w:tcPr>
          <w:p w14:paraId="50DC5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1,674</w:t>
            </w:r>
          </w:p>
        </w:tc>
        <w:tc>
          <w:tcPr>
            <w:tcW w:w="992" w:type="dxa"/>
            <w:tcBorders>
              <w:bottom w:val="single" w:sz="12" w:space="0" w:color="auto"/>
            </w:tcBorders>
          </w:tcPr>
          <w:p w14:paraId="2FDD0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w:t>
            </w:r>
          </w:p>
        </w:tc>
      </w:tr>
    </w:tbl>
    <w:p w14:paraId="4BD8B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Эксполуатационная оценка</w:t>
      </w:r>
    </w:p>
    <w:p w14:paraId="546D2D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в эксплуатации значительно сложнее МиГ-3 серийного завода № 1. Моторные капоты не имеют люков для проверки зарядки с-та маслом и воддой. Для проверки необходимо снимать весь верхний мотокапот, что требует много времени и обязательно двух лиц</w:t>
      </w:r>
    </w:p>
    <w:p w14:paraId="7B8A4A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полета с-т прилетает весь в масле от кока винта до костыля. Масло выбивает через уплотнение между носком вала редуктора и картером. Мал хвостовой лючек, что не позволяет тщательно осмотреть хвостовую часть и костыль</w:t>
      </w:r>
    </w:p>
    <w:p w14:paraId="03659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Подписал ст т-л Безбатенко 11 августа 1943</w:t>
      </w:r>
    </w:p>
    <w:p w14:paraId="6AE74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Вычеркнуто Лосюковым:</w:t>
      </w:r>
    </w:p>
    <w:p w14:paraId="44ED5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выполнено постановление ГКО № 2946 от 26 февраля 1943</w:t>
      </w:r>
    </w:p>
    <w:p w14:paraId="6052D5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64CC9E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18E64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563277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3100 - получено 3260</w:t>
      </w:r>
    </w:p>
    <w:p w14:paraId="6929A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этого написал:</w:t>
      </w:r>
    </w:p>
    <w:p w14:paraId="7DF84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заключения:</w:t>
      </w:r>
    </w:p>
    <w:p w14:paraId="384B0E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Полученные данные испытаний э-ра с-та МиГ-3 с АМ-35А (улучшенного) и выявленные при испытаниях дефекты не дают основания для постановки вопроса о возобновлении серийной постройки этого с-та</w:t>
      </w:r>
    </w:p>
    <w:p w14:paraId="326B2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вычеркнул: о недоведенности темп. Режима, наличии вибрации ХО и потери эффективности рулей на посадке</w:t>
      </w:r>
    </w:p>
    <w:p w14:paraId="52FB6B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Акт разослать: ГИ ВВС, ГК А.И.М.</w:t>
      </w:r>
    </w:p>
    <w:p w14:paraId="125699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подписаны 11 августа Кочетковым, Хомяковым</w:t>
      </w:r>
    </w:p>
    <w:p w14:paraId="1F4A0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(от руки Лосюковым):</w:t>
      </w:r>
    </w:p>
    <w:p w14:paraId="75EA42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Испытанный экз. с-та дали следующие отступления от цифр, заданных Постановлением ГОКО</w:t>
      </w:r>
    </w:p>
    <w:p w14:paraId="3701B0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- 670 км/час - получено 656</w:t>
      </w:r>
    </w:p>
    <w:p w14:paraId="56E76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- 12500 - получено 11900</w:t>
      </w:r>
    </w:p>
    <w:p w14:paraId="06C66D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10000 - 13 - получено 15,7</w:t>
      </w:r>
    </w:p>
    <w:p w14:paraId="05619F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3100 - получено 3260</w:t>
      </w:r>
    </w:p>
    <w:p w14:paraId="0D300F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Отзывы л и техн. Состава 12 гиап, эксплуатирующих улучшенные МиГ-3 с АМ-35А</w:t>
      </w:r>
    </w:p>
    <w:p w14:paraId="07C3B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С-ты МиГ-3Д постройки завода № 155 № 01, 0,3, 04 и 06 прибыли в эксплуатацию в августе 1943. Оценки отрицательные (не в боевых условиях) (798,3).</w:t>
      </w:r>
    </w:p>
    <w:p w14:paraId="7B83C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B7F28"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августа в 1943 году в НИИ ВВС завершились (с 28 июля) государственные испытания </w:t>
      </w:r>
      <w:hyperlink r:id="rId49" w:tgtFrame="_blank" w:history="1">
        <w:r w:rsidRPr="00271E51">
          <w:rPr>
            <w:rFonts w:ascii="Times New Roman" w:hAnsi="Times New Roman"/>
            <w:color w:val="000000" w:themeColor="text1"/>
            <w:sz w:val="16"/>
            <w:szCs w:val="16"/>
          </w:rPr>
          <w:t xml:space="preserve">«И-230» («МиГ-3У»). </w:t>
        </w:r>
      </w:hyperlink>
      <w:r w:rsidRPr="00271E51">
        <w:rPr>
          <w:rFonts w:ascii="Times New Roman" w:hAnsi="Times New Roman"/>
          <w:color w:val="000000" w:themeColor="text1"/>
          <w:sz w:val="16"/>
          <w:szCs w:val="16"/>
        </w:rPr>
        <w:t xml:space="preserve">Ответственными за их проведение были назначены ведущий инженер капитан А.С.Розанов и летчик-испытатель подполковник В.И.Хомяков. За время госиспытаний на самолете «И-230» было выполнено 23 полета, в том числе 10 высотных, с общим налетом 15 час. 26 мин. Была получена максимальная скорость 656 км/ч на высоте 7000 м и практический потолок 11900 м. Полеты на потолок выполнялись на номинальном режиме с площадками для охлаждения мотора. Маневренность истребителя оценивалась на высоте 8000 м: левый вираж составлял 37 с, правый - 35 с; боевой разворот как левый, так и правый - 22 с, при этом самолет набирал 400-450 м. По мнению военных испытателей и летчиков облета, пилотажные характеристики истребителя </w:t>
      </w:r>
      <w:hyperlink r:id="rId50" w:tgtFrame="_blank" w:history="1">
        <w:r w:rsidRPr="00271E51">
          <w:rPr>
            <w:rFonts w:ascii="Times New Roman" w:hAnsi="Times New Roman"/>
            <w:color w:val="000000" w:themeColor="text1"/>
            <w:sz w:val="16"/>
            <w:szCs w:val="16"/>
          </w:rPr>
          <w:t xml:space="preserve">«И-230» </w:t>
        </w:r>
      </w:hyperlink>
      <w:r w:rsidRPr="00271E51">
        <w:rPr>
          <w:rFonts w:ascii="Times New Roman" w:hAnsi="Times New Roman"/>
          <w:color w:val="000000" w:themeColor="text1"/>
          <w:sz w:val="16"/>
          <w:szCs w:val="16"/>
        </w:rPr>
        <w:t>были на хорошем уровне, за исключением посадки, которая осталась сложной. Кабина пилота слала удобней и по своей компоновке была близка к стандартной (14975).</w:t>
      </w:r>
    </w:p>
    <w:p w14:paraId="41B9DA41"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11F6B6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августа 1943 закончились войсковые испытания 34-х Як-9Т на ЦФ в 16ВА, которые шли с 5 июля 1943. Летало 80 летчиков 6 полков, входивших в 273 иад 6 иак и </w:t>
      </w:r>
      <w:r w:rsidRPr="00271E51">
        <w:rPr>
          <w:rFonts w:ascii="Times New Roman" w:hAnsi="Times New Roman"/>
          <w:color w:val="000000" w:themeColor="text1"/>
          <w:sz w:val="16"/>
          <w:szCs w:val="16"/>
        </w:rPr>
        <w:lastRenderedPageBreak/>
        <w:t>1 кв. Сталинградской иак. Провели 78 боев и в 31 были результаты. Тратили в среднем 31 снаряд 37 мм на сбитую машину по сравнению с 147 20 мм и 123 снарядами 12.7 мм (65,117).</w:t>
      </w:r>
    </w:p>
    <w:p w14:paraId="40BE39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BE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6 августа 1943 летчики 1-ю гвардейской Сталинградской иад и 273-ю иад 6-го иак (16 ВА, Центральный фронт) выполнили в общей сложности 150 самолето-вылетов на Як-9Т и 78 раз вступали в воздушные бои с противником.</w:t>
      </w:r>
    </w:p>
    <w:p w14:paraId="2EF9E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1943 года 34 Як-9Т поступили в 1-ю гвардейскую Сталинградскую иад и 273-ю иад 6-го иак (16 ВА, Центральный фронт) для войсковых испытаний. К началу испытаний в 53-м гвардейском Сталинградском иап (гсиап) (командир - майор Моторный) было 2 Як-9Т, в 54-м гвардейском Керченском иап (гкиап) - 8 Як-9Т (командир - подполковник Мельников) и 55-м гвардейском Харьковском иап (гхиап, командир - подполковник Шишкин) - 2 Як-9Т. Все они входили в 1-ю гвардейскую Сталинградскую иад. В 273-ю иад входили 157-й (командир - майор Волков) 163-й (командир - майор Пологов) и 347-й иап (командир - капитан Данкевич). В них числилось соответственно 6 и по 8 Як-9Т.</w:t>
      </w:r>
    </w:p>
    <w:p w14:paraId="4425E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Участвовавшие в войсковых испытаниях 34 самолета, базировались на различных аэродромах, находившихся друг от друга на расстоянии до 100 км. В ходе испытаний самолеты нередко переходили из одного полка в другой. Например, 29 июля 1943 года командование 54 полка передало оставшиеся пять машин в 55 гхиап. Все полки никакой специальной подготовки по освоению материальной части самолета Як-9Т и его вооружения не проходили. В отдельных случаях, как, например, в 157-м иап боевые вылеты начались на следующий день после получения самолетов.</w:t>
      </w:r>
    </w:p>
    <w:p w14:paraId="7DC10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не были закреплены за летчиками. На некоторых машинах в один день летало по несколько пилотов, особенно в 53-м и 54-м гвардейских иап, с различным уровнем подготовки. В итоге на 34 самолетах выполняли боевые задания 80 летчиков, что не могло не сказаться на эффективности использования истребителей.</w:t>
      </w:r>
    </w:p>
    <w:p w14:paraId="70338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Як-9Т были получены с примитивными механическими прицелами (кольцо и мушка), но к концу испытаний инженерно- технический состав и бригада омского завода заменили их коллиматорными ПБП-1а.</w:t>
      </w:r>
    </w:p>
    <w:p w14:paraId="04BC40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Снаряжение патронной ленты производилось по-разному. В некоторых полках половина боекомплекта снаряжалась патронами с бронебойными (без наконечника) и осколочными снарядами. После запрета снаряжать орудия бронебойными патронами со снарядами без наконечников использовали только патроны с осколочными снарядами. Других боеприпасов на складах 16-й ВА не было.</w:t>
      </w:r>
    </w:p>
    <w:p w14:paraId="450A2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бои проходили в смешанных боевых порядках с участием истребителей других типов, на долю Як-9Т пришлось 49 побед из 54-х сбитых истребителей FW-190, четыре - Ме-109, 31 пикирующий бомбардировщик Ju-87, 14 бомбардировщиков Ju-88 и семь - Не-111. Свои потери в боях составили 12 Як-9Т, а не боевые - три машины. При этом израсходовали 1503 патрона к 37-мм пушке, 8958 - к ШВАК и 16 820 - к пулемету УБС. В среднем за один сбитый самолет противника расходовалось 15 патронов к НС-37, 124 - к ШВАК и 123-к УБС.</w:t>
      </w:r>
    </w:p>
    <w:p w14:paraId="32D698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Первые две потери в ходе войсковых испытаний Як-9Т понесли 5 июля. Летчики обоих самолетов (№ 0160 из 163 иап и № 0165 из 347 иап) прикрывали наземные войска. Для самолета № 0160 это был второй боевой вылет, а причины трагедии так и не установили. Что касается машины № 0165, </w:t>
      </w:r>
    </w:p>
    <w:p w14:paraId="6DAE6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летчик - майор Плотников, преследуя противника на пикировании, выводил самолет на малой высоте и, задев верхушки деревьев, упал на нейтральной полосе.</w:t>
      </w:r>
    </w:p>
    <w:p w14:paraId="57048C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 еще три потери. При возвращении с сопровождения бомбардировщиков потерпел катастрофу на своей территории Як-9Т № 0122 347 иап. Встреч с противником в тот день и обстрела зенитной артиллерией не было и причину трагедии так и не установили. В тот же день гвардии младший лейтенант Полянский из 55 гхиап, израсходовав боеприпасы, прикрывая наземные войска, совершил лобовой таран. Это был пятый боевой вылет самолета № 0167. Третьим был истребитель № 0168 из 54 гкиап. В ходе перехвата бомбардировщика Ju-88, Як-9Т (четвертый боевой вылет) был подбит воздушным стрелком противника. Самолет сгорел, а летчик благополучно покинул его с парашютом и приземлился на своей территории.</w:t>
      </w:r>
    </w:p>
    <w:p w14:paraId="64819A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июля потеряли лишь одну машину. Прикрывая наземные войска, самолет № 0162 (54 гкиап) был атакован сзади с малой дистанции истребителем FW-190. Это был его четвертый боевой вылет.</w:t>
      </w:r>
    </w:p>
    <w:p w14:paraId="5B149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Спустя три дня недосчитались еще двух машин. Самолет № 0112 (54 гкиап) не вернулся с задания в третьем боевом вылете. В тот же день в бою с FW-190 и Ме-110, во время прикрытия наземных войск, был сбит истребитель № 0150 из 55 гхиап, на счету этой машины было 13 боевых вылета.</w:t>
      </w:r>
    </w:p>
    <w:p w14:paraId="411804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июля летчик самолета № 0109 (третий боевой вылет, 53-й гсиап), возвращаясь с разведки противника, атаковал автоколонну.</w:t>
      </w:r>
    </w:p>
    <w:p w14:paraId="51613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выходе из атаки пуля пробила водора- диатор, и при вынужденной посадке Як-9Т был разбит.</w:t>
      </w:r>
    </w:p>
    <w:p w14:paraId="190962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августа не вернулся из полета на разведку противника самолет № 0140 (157-й иап), выполнявший 22 боевой вылет . В тот день четыре "яка" атаковали 30 FW-190. В завязавшемся бою самолет потеряли из виду и судьба его до сих пор не установлена.</w:t>
      </w:r>
    </w:p>
    <w:p w14:paraId="180DC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не вернулся с задания летчик того же полка капитан Овчаров, летавший на Як-9Т № 0118 (18-й боевой вылет). Прикрывая наземные войска, капитан Овчаров в воздушном бою с FW-190, Ме-109 и Не-111 сбил два самолета врага: Ме-109 и Не-111, но попал под огонь FW-190. Уйдя после этого в облачность, истребитель Овча- рова вышел из облаков с отвесным пикированием и был потерян из виду.</w:t>
      </w:r>
    </w:p>
    <w:p w14:paraId="6483A0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июля Як-9 № 0143 из 347-го иап стал последней потерей в ходе войсковых испытаний. В бою с восьмеркой FW-190, прикрывавший наземные войска, самолет был потерян из виду и причину этой трагедии так и не установили.</w:t>
      </w:r>
    </w:p>
    <w:p w14:paraId="28ACEC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Может, кому-то покажутся излишним столь подробные описания, но автор считает своим долгом еще раз отметить мужество, самоотверженность и преданность отечеству наших воздушных бойцов.</w:t>
      </w:r>
    </w:p>
    <w:p w14:paraId="0CFF91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Як-9Т решали боевые задачи, как совместно с Як-1, Як-7Б и Як-9, так и самостоятельно. Например, в 54-м гкиап, из-за отсутствия исправных истребителей других типов, с 10 по 18 июля выполнили шесть боевых вылетов на прикрытие наземных войск в группах от двух до четырех самолетов, а с 20 по 24 июля - 12 боевых вылетов на разведку парами. Кроме этого, с 7 по 17 июля проведено пять групповых вылетов Як-9Т на прикрытие наземных войск, с 20 по 24 июля - восемь групповых вылетов (три Як-9Т и один Як-1) на разведку.</w:t>
      </w:r>
    </w:p>
    <w:p w14:paraId="43860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всех смешанных групп были Як-1 или Як-9, а в 54-м гкиап - Як-9Т. В большинстве случаев Як-9Т был ведущим пары, а их ведомыми были Як-1 или Як-9. Отмечены случаи, когда ведущими пары были Як-1, а ведомыми Як-9Т, которые во время воздушного боя отставали от ведущего. В итоге нарушалось огневое взаимодействие пары. При полетах шести и более самолетов, группы делились на ударные и прикрывающие части. Управление боем проводилось с помощью радио.</w:t>
      </w:r>
    </w:p>
    <w:p w14:paraId="0874D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истребителеми, применявшимися противником на Центральном фронте, были FW-190, количество которых в группе доходило порой до 30. Воздушные бои с ними проходили на различных высотах, как на встречных, так и на преследующих курсах. В отчете о результатах войсковых испытаний Як-9Т чаще других упоминается молодой и очень инициативный летчик Зеленин. Например, 7 июня лейтенант Зеленин, выбивая с хвоста ведущего своей группы FW-190 с превышением 500 м, атаковал "немца" на дистанции 25 м и сбил его. Спустя месяц этот же летчик встретился с FW-190 на встречных курсах. "Немец" сделал полупереворот и стал заходить в хвост "яка". Видя это, Зеленин отвернул влево со снижением и скольжением, но пилот FW-190, сблизившись на дистанцию 50 м, начал стрелять. Огненные трассы прошли в 15 м от "яка". Зеленин разогнал "як" со снижением, и "немец" отстал. Затем наш летчик выполнил полупереворот, но оказавшись ниже "фок- ке-вульфа", энергично сделал горку, набрав 500 м высоты. Сблизившись на дистанцию около 400 м, летчик дал прицельную очередь из УБС, но FW-190, имея преимущество в скорости, ушел вверх.</w:t>
      </w:r>
    </w:p>
    <w:p w14:paraId="05A9B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августа лейтенант Яшин на лобовой атаке сбил FW-190. В тот день группа из четырех "фокке-вульфов", идя в лобовую атаку, открыла огонь на дистанции 800-600 м, Яшин же, выбрав момент, открыл огонь с вдвое меньшего расстояния. Когда "немцы" стали отворачивать, Яшин дал четыре очереди из 37-миллиметрового орудия по 4-5 снарядов, один из которых попал в FW-190.</w:t>
      </w:r>
    </w:p>
    <w:p w14:paraId="5BC23D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истребителей противника были сбиты сзади: сверху и сбоку, на дистанциях 25-400 м очередями по 3-5 снарядов.</w:t>
      </w:r>
    </w:p>
    <w:p w14:paraId="45C5A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противника ходили парами или четверками эшелонированно на высотах от 500 до 5000 м. В ходе боя эти группы наращивались. Излюбленными у пилотов FW-190 были атаки сверху с солнечной стороны. Проведя одну - две атаки, они уходили вверх, откуда выискивали отставших или выходивших из боя наших истребителей.</w:t>
      </w:r>
    </w:p>
    <w:p w14:paraId="4BD0D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Пилоты FW-190 чаще всего вели бои на вертикалях, что было не выгодно нашим летчикам, из-за меньшей скороподъемности противотанковых "яков". На виражах, особенно правом, Як-9Т легко заходил "немцу" в хвост, а на пикировании догонял его. Лобовые атаки со стрельбой из 37-мм пушки пилоты FW-190 не выдерживали, уклоняясь от боя. Выход "яка" из боя происходил путем разворота со скольжением. Отмечались случаи, когда преследуемые FW-190 при резком вводе в правый вираж срывались в штопор.</w:t>
      </w:r>
    </w:p>
    <w:p w14:paraId="2662D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эффективны были удары Як-9Т против бомбардировщиков противника. И опять в сводках упоминается имя Зеленина, к сожалению, в сухих строках отчета не отмечены его инициалы: "6 июля 1943 года гвардии лейтенант Зеленин, воспользовавшись тем, что стрелки были заняты боем с другими истребителями, зашел в хвост самолету Ю-87 и с дистанции 300-400 метров под ракурсом 0/4 с трех снарядов сбил его... В тот же день &lt;...&gt; Зеленин в группе наших истребителей на одной высоте при встречных курсах и ракурсе 0/4 атаковал ведущего шести самолетов Ме-110 и сбил его...".</w:t>
      </w:r>
    </w:p>
    <w:p w14:paraId="39CA9F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Третьим самолетом, сбитым Зелениным в тот день, стал разведчик Ju-88, упавший в районе Хлебтово.</w:t>
      </w:r>
    </w:p>
    <w:p w14:paraId="2D4DEB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 место отдельные случаи, когда огонь по группе самолетов противника из 37-мм пушки открывался с дистанции 1500-800 м, но попадания в самолеты не наблюдалось. Иногда открытие огня на таких дистанциях вносило панику в боевой порядок противника.</w:t>
      </w:r>
    </w:p>
    <w:p w14:paraId="2157D1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июле того же года войсковые испытания Як-9Т начались на Западном фронте в 18-м гвардейском истребительном авиаполку (1-й ВА). За месяц боев практически полностью подтвердились выводы, сделанные летчиками, воевавшими на Центральном фронте. Итогом появления на фронтах Як-9Т - самого массового истребителя с 37-мм пушкой стала изменившаяся тактика немецких летчиков. Например, пилоты истребителей FW-190, которых спереди защищал звездообразный двигатель, стали избегать лобовых атак (12046).</w:t>
      </w:r>
    </w:p>
    <w:p w14:paraId="41043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34D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вышел приказ N 478с о постройке модификации самолета Ли-2 с 2хАШ-82ФН (1671,110).</w:t>
      </w:r>
    </w:p>
    <w:p w14:paraId="6307E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A6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Исходя из письма N 525с от 6 августа 1943, которым Н.Н.П. запросил в НИИ-3 материалы по ЖРД, в августе 1943 Н.Н.П. начал работу над машиной с ЖРД (2928,79).</w:t>
      </w:r>
    </w:p>
    <w:p w14:paraId="2B199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39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ЦИАМ писал А.И.Ш. НКАП письмо N 961с по вопросу выполнения постановления ГОКО N 3218 от 21 апреля 1943 и приказа НКАП N 265с от 29 апреля 1943. Строительство установки для испытания авиамоторов в высотных условиях фактически в течение уже 3-х месяцев не выполнялось (1783,3).</w:t>
      </w:r>
    </w:p>
    <w:p w14:paraId="74F06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59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г. приказом № 472сс на заводе № 2 для разработки конструкций аэродромного оборудования было организовано ЦКБ механизации аэродромной службы при заводе № 2 ОАП НКАП. Комплектовалось работниками заводов № 120, 132,462, 118, 476 и 124 НКАП.</w:t>
      </w:r>
    </w:p>
    <w:p w14:paraId="0AC754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системе газового запуска авиамоторов ВК-105, АМ-38Ф, АШ-82, АШ-72.</w:t>
      </w:r>
    </w:p>
    <w:p w14:paraId="1BFCD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(06.1944 г.)- Бромбер (11982).</w:t>
      </w:r>
    </w:p>
    <w:p w14:paraId="4F28A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A73F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2CF9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615F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года на Гороховецком полигоне (АНИОП) закончились государственные испытания СУ-85 в трех вариантах, которые проходили с 25 июля. В ходе испытаний выяснилось, что: "Наибольшие удобства в работе команды при стрельбе дает самоход с пушкой Д-5С-85 вследствие короткой длины отката орудия, удобной высоты линии заряжания, наибольшего рабочего объема для заряжающего. У этого самохода получилось наибольшее время при стрельбе на прочность, наибольший средний темп огня, в 4 раза выше, чем у самохода с орудием С-18.</w:t>
      </w:r>
    </w:p>
    <w:p w14:paraId="45D5BE6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Доступ к противооткатным устройствам в орудиях системы ЦАКБ невозможен без снятия передней бронировки весом 300 кг, что крайне неудобно и на что требуется затратить 3-4 часа времени.</w:t>
      </w:r>
    </w:p>
    <w:p w14:paraId="33F68A8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Д-5С-85 самоуравновешено в цапфах. Для уравновешивания орудий системы ЦАКБ применены большие грузы весом около 210 кг, что ограничивает свободное пространство, нерационально по конструкции и некультурно на вид. Маховики механизмов наведения у орудий системы ЦАКБ расположены неудобно.</w:t>
      </w:r>
    </w:p>
    <w:p w14:paraId="142D225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самохода с пушкой С-18 на 850 кг больше, чем самохода с пушкой Д-5С-85".</w:t>
      </w:r>
    </w:p>
    <w:p w14:paraId="228BB13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испытания машин пробегом на 500 км государственная комиссия сделала заключение, что по ходовым качествам, надежности в работе механизмов, маневренности и проходимости САУ не отличаются от танка Т-34.</w:t>
      </w:r>
    </w:p>
    <w:p w14:paraId="641A284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испытаний комиссия рекомендовала для принятия на вооружение Красной Армии самоходную установку СУ-85-И с пушкой Д-5С, что и было оформлено постановлением ГКО № 3892 от 7 августа 1943 года. Этим же постановлением предусматривалось прекращение серийного производства на "Уралмашзаводе" самоходов СУ-122 и танков Т-34. "Уралмаш" стал производить только самоходно-артиллерийские установки (9637).</w:t>
      </w:r>
    </w:p>
    <w:p w14:paraId="5A88067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BA4AB1A" w14:textId="77777777" w:rsidR="007F45FB" w:rsidRPr="00271E51" w:rsidRDefault="007F45FB"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6 августа 1943 года были подписаны тактико-технические требования на новую ЗСУ. Ну как новую... Если посмотреть на эти ТТТ, можно сказать "...и снова здравствуй, СУ-31!". То же самое, но уже на шасси СУ-15. Эта трагикомедия продолжалась еще два года, закончившись созданием ЗСУ-37. Той самой, которую приняли на вооружение, поставили на производство, затем быстро сняли с производства, а затем, в полном соответствии с анекдотом, стюардессу раскопали. То есть снова поставили на производство. Единственная у нас боевая машина, которую на производство, без изменений, ставили дважды (21409).</w:t>
      </w:r>
    </w:p>
    <w:p w14:paraId="27450626" w14:textId="77777777" w:rsidR="007F45FB" w:rsidRPr="00271E51" w:rsidRDefault="007F45FB"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2F6C88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г. была подготовлена ПРОГРАММА ПОЛИГОННЫХ ИСПЫТАНИЙ ОБСТРЕЛОМ НЕМЕЦКИХ ЭКРАНИРОВАННЫХ ТАНКОВ Т-111 И Т-№ ИЗ ПРОТИВОТАНКОВЫХ РУЖЕЙ, ПРОТИВОТАНКОВЫХ И ТАНКОВЫХ ПУШЕК № 36-201</w:t>
      </w:r>
    </w:p>
    <w:p w14:paraId="71AE1F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«Утверждаю» Зам. начальника ГБТУ КА генерал-лейтенант инженерно-танковой службы</w:t>
      </w:r>
    </w:p>
    <w:p w14:paraId="400959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Лебедев</w:t>
      </w:r>
    </w:p>
    <w:p w14:paraId="41CE57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Цель испытания.</w:t>
      </w:r>
    </w:p>
    <w:p w14:paraId="23EFE3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Определение снарядостойкости танков и эффективности экранировки при стрельбе из раз</w:t>
      </w:r>
      <w:r w:rsidRPr="00271E51">
        <w:rPr>
          <w:rFonts w:ascii="Times New Roman" w:hAnsi="Times New Roman"/>
          <w:color w:val="000000" w:themeColor="text1"/>
          <w:sz w:val="16"/>
          <w:szCs w:val="16"/>
        </w:rPr>
        <w:softHyphen/>
        <w:t>личных противотанковых ружей, танковых и противотанковых пушек.</w:t>
      </w:r>
    </w:p>
    <w:p w14:paraId="4503E0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Проверить надежность крепления экранов и его живучесть при снарядных попаданиях.</w:t>
      </w:r>
    </w:p>
    <w:p w14:paraId="40CE60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II. Объекты </w:t>
      </w:r>
      <w:r w:rsidRPr="00271E51">
        <w:rPr>
          <w:rFonts w:ascii="Times New Roman" w:hAnsi="Times New Roman"/>
          <w:smallCaps/>
          <w:color w:val="000000" w:themeColor="text1"/>
          <w:sz w:val="16"/>
          <w:szCs w:val="16"/>
        </w:rPr>
        <w:t xml:space="preserve">аля </w:t>
      </w:r>
      <w:r w:rsidRPr="00271E51">
        <w:rPr>
          <w:rFonts w:ascii="Times New Roman" w:hAnsi="Times New Roman"/>
          <w:color w:val="000000" w:themeColor="text1"/>
          <w:sz w:val="16"/>
          <w:szCs w:val="16"/>
        </w:rPr>
        <w:t>испытания.</w:t>
      </w:r>
    </w:p>
    <w:p w14:paraId="4847B6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испытания обстрелом берутся два экранированных бронекорпуса немецких танков Т-Ш и Т-1У (по одному каждого типа), не горевшие, но подлежащие к списанию, с полным демонтажем внутренних агрегатов танков.</w:t>
      </w:r>
    </w:p>
    <w:p w14:paraId="022F50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Средства испытаний:</w:t>
      </w:r>
    </w:p>
    <w:p w14:paraId="6C3FF3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Пехотные средства:</w:t>
      </w:r>
    </w:p>
    <w:p w14:paraId="6C6D75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Противотанковая граната КБ-30.</w:t>
      </w:r>
    </w:p>
    <w:p w14:paraId="3E3544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Противотанковое ружье системы Симонова.</w:t>
      </w:r>
    </w:p>
    <w:p w14:paraId="1C804E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Противотанковое ружье РЭС.</w:t>
      </w:r>
    </w:p>
    <w:p w14:paraId="01453C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Противотанковое ружье системы Блюма 15 П-2.</w:t>
      </w:r>
    </w:p>
    <w:p w14:paraId="583DD7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Противотанковое ружье системы Блюма 43 П.</w:t>
      </w:r>
    </w:p>
    <w:p w14:paraId="577DB6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Противотанковое ружье системы Островского. </w:t>
      </w:r>
    </w:p>
    <w:p w14:paraId="0CC1E7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Артиллерия:</w:t>
      </w:r>
    </w:p>
    <w:p w14:paraId="05E4E5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Отечественные противотанковые 45-мм пушки.</w:t>
      </w:r>
    </w:p>
    <w:p w14:paraId="394177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Английские противотанковые и танковые 57-мм пушки.</w:t>
      </w:r>
    </w:p>
    <w:p w14:paraId="1F9D2B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Американская 75-мм танковая пушка.</w:t>
      </w:r>
    </w:p>
    <w:p w14:paraId="6BAA9E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Отечественная танковая 76-мм пушка Ф-34.</w:t>
      </w:r>
    </w:p>
    <w:p w14:paraId="0B87D8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Боеприпасы:</w:t>
      </w:r>
    </w:p>
    <w:p w14:paraId="757DE9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Бронебойные патроны для противотанковых ружей всех систем.</w:t>
      </w:r>
    </w:p>
    <w:p w14:paraId="7A72DC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Бронебойные и подкалиберные 45-мм снаряды.</w:t>
      </w:r>
    </w:p>
    <w:p w14:paraId="23713D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Бронебойные и осколочные английские 57-мм снаряды.</w:t>
      </w:r>
    </w:p>
    <w:p w14:paraId="4A5658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Бронебойные и осколочные американские 75-мм снаряды.</w:t>
      </w:r>
    </w:p>
    <w:p w14:paraId="6D8943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Кумулятивные, фугасные и бронебойные 76-мм отечественные снаряды. ГУ. Порядок испытаний.</w:t>
      </w:r>
    </w:p>
    <w:p w14:paraId="45F428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Обстрел экранированных немецких танков Т-1П и Т-1У провести на НИ полигоне ГБТУ КА (Кубинка).</w:t>
      </w:r>
    </w:p>
    <w:p w14:paraId="42BF5B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Обстрел производится пулями и снарядами со штатными навесками в полном боевом снаряжении.</w:t>
      </w:r>
    </w:p>
    <w:p w14:paraId="423473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обстреле определяются предельные дистанции пробития и не пробития и характер раз</w:t>
      </w:r>
      <w:r w:rsidRPr="00271E51">
        <w:rPr>
          <w:rFonts w:ascii="Times New Roman" w:hAnsi="Times New Roman"/>
          <w:color w:val="000000" w:themeColor="text1"/>
          <w:sz w:val="16"/>
          <w:szCs w:val="16"/>
        </w:rPr>
        <w:softHyphen/>
        <w:t>рушения экранов, основной брони и конструкций:</w:t>
      </w:r>
    </w:p>
    <w:p w14:paraId="713BCD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Испытание лобовой части танка произвести всеми указанными выше видами пуль и снарядов под курсовыми углами 0° и 30°.</w:t>
      </w:r>
    </w:p>
    <w:p w14:paraId="1E4479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Бортовая правая часть танка испытывается этими же средствами под курсовыми углами 30° и 90° и левая часть танка под курсовыми углами 210°, 240° и 270°.</w:t>
      </w:r>
    </w:p>
    <w:p w14:paraId="43E314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Кормовая часть танка испытывается этими же средствами и из тех же систем под курсовыми углами 180° и 210°.</w:t>
      </w:r>
    </w:p>
    <w:p w14:paraId="799167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Крыши бронекорпусов должны быть проверены фугасными и кумулятивными снарядами при попадании по крыше и нижней части башни.</w:t>
      </w:r>
    </w:p>
    <w:p w14:paraId="5A4689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обстреле бронекорпусов тщательно фиксировать все разрушения экранов, основной брони и конструкции в целом после каждого выстрела.</w:t>
      </w:r>
    </w:p>
    <w:p w14:paraId="5F0AFA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характерные случаи разрушения от пулевых и снарядных попаданий должны быть сфотографированы.</w:t>
      </w:r>
    </w:p>
    <w:p w14:paraId="432743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Бронекорпуса до и после обстрела должны быть так же сфотографированы.</w:t>
      </w:r>
    </w:p>
    <w:p w14:paraId="545649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Комиссии предоставляется право на месте производить корректировку и уточнения настоящей про</w:t>
      </w:r>
      <w:r w:rsidRPr="00271E51">
        <w:rPr>
          <w:rFonts w:ascii="Times New Roman" w:hAnsi="Times New Roman"/>
          <w:color w:val="000000" w:themeColor="text1"/>
          <w:sz w:val="16"/>
          <w:szCs w:val="16"/>
        </w:rPr>
        <w:softHyphen/>
        <w:t>граммы испытаний, но с обязательным условием получения основных характеристик при этом обстреле.</w:t>
      </w:r>
    </w:p>
    <w:p w14:paraId="0D3FCA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окончании испытаний обстрелом экранированных бронекорпусов танков Т-1П и Т-1У комиссия должна составить отчет с выводами и заключением и доложить </w:t>
      </w:r>
      <w:r w:rsidRPr="00271E51">
        <w:rPr>
          <w:rFonts w:ascii="Times New Roman" w:hAnsi="Times New Roman"/>
          <w:color w:val="000000" w:themeColor="text1"/>
          <w:sz w:val="16"/>
          <w:szCs w:val="16"/>
        </w:rPr>
        <w:lastRenderedPageBreak/>
        <w:t>его командованию ГБТУ Красной Армии.</w:t>
      </w:r>
    </w:p>
    <w:p w14:paraId="63532E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ТУ ГБТУ Красной Армии инженер-подполковник Муравич</w:t>
      </w:r>
    </w:p>
    <w:p w14:paraId="091A88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6 отдела ТУ ГБТУ КА инженер-подполковник Солонин</w:t>
      </w:r>
    </w:p>
    <w:p w14:paraId="5A03F4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И355а. Д. 360р. Л. 89-90. Подлинник (11403).</w:t>
      </w:r>
    </w:p>
    <w:p w14:paraId="64DA88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8E9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вышло Постановление ГКО № 3886 Об улучшении работы и обеспечении зерном урожая 1943 года мельниц и крупорушек Наркомата заготовок.РГАНИР, Фонд ГКО, д. 143, лл. 187-192, 193-199 (11012).</w:t>
      </w:r>
    </w:p>
    <w:p w14:paraId="06E85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CCB5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вышло Постановление ГКО № 3887 О мероприятиях по улучшению работы узкоколейного железнодорожного транспорта торфопредприятий Наркомэлектростанций, Наркомтекстиля СССР, Наркомместтоппрома РСФСР, Наркомлегпрома СССР и Наркомстройматериалов СССР. (7132, 200-205,206-215).</w:t>
      </w:r>
    </w:p>
    <w:p w14:paraId="0C32957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9BBDB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0C8A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C0796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в 1943 году оперативная сводка Совинформбюро:</w:t>
      </w:r>
    </w:p>
    <w:p w14:paraId="3BFE157F"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августа наши войска на Брянском направлении, преодолевая сопротивление противника, продолжали наступление и, продвинувшись вперёд от 6 до 10 километров, заняли свыше 70 населённых пунктов, в том числе город Кромы на юге и населённые пункты Студенка, Гнездилово, Ждимер, Бобровка на севере.</w:t>
      </w:r>
    </w:p>
    <w:p w14:paraId="1D8B8201"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августа наши войска, расположенные в районе севернее Белгорода, перешли внаступление на Харьковском направлении и, прорвав сильно укреплённую оборонительную полосу противника протяжением по фронту 70 километров, за три дня напряжённых боёв продвинулись вперёд от 25 до 60 километров и заняли свыше 150 населённых пунктов, в том числе город и железнодорожную станцию 3олочёв, районный центр и железнодорожную станцию Томаровка, районный центр и железнодорожную станцию Казачья Лопань и железнодорожные станции Куликовка, Новоборисовка, Хотмыжск, Казачек, Одноробовка.</w:t>
      </w:r>
    </w:p>
    <w:p w14:paraId="0C07242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районах юго-восточнее Изюма и юго-западнее Ворошиловграда, велись разведывательные поиски.</w:t>
      </w:r>
    </w:p>
    <w:p w14:paraId="0903949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в районах северо-западнее и восточнее Мга, проводились усиленные поиски разведчиков и интенсивная артиллерийско-миномётная перестрелка с обеих сторон.</w:t>
      </w:r>
    </w:p>
    <w:p w14:paraId="696807D8"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августа наши войска на всех фронтах подбили и уничтожили 66немецких танков. В воздушных боях и огнём зенитной артиллерии сбито 114 самолётов противника.</w:t>
      </w:r>
    </w:p>
    <w:p w14:paraId="5701E300"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войска, овладев городом Орёл, продолжали продвигаться на запад. Противник, прикрываясь сильными заслонами танков и пехоты, пытался вывести свои потрёпанные дивизии из-под ударов наших войск. Преследуя противника, наши войска наносят немцам тяжёлый урон. Только на одном участке бойцами Н-ского соединенияза день боёв уничтожено свыше 1.500 немецких солдат и офицеров, подбито и сожжено 14 танков, уничтожено 18 орудий, 90 пулемётов и более 150 автомашин. Захвачены трофеи и пленные.</w:t>
      </w:r>
    </w:p>
    <w:p w14:paraId="7E6E68A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противник предпринял несколько контратак. Отбив все контратаки гитлеровцев, наши части заняли несколько населённых пунктов. На поле боя осталось до 700 вражеских трупов.</w:t>
      </w:r>
    </w:p>
    <w:p w14:paraId="6CB230A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Орла наши войска вели упорные бои за расширение плацдармов на северном берегу реки Кромы и за речные переправы. Немцы оказывали сопротивление и контратаковали советские части. Ночью наши войска с нескольких направлений атаковали противника и в результате ожесточённого боя заняли город Кромы. В бою за город уничтожено много немецких солдат и офицеров. Захвачены трофеи. Н-ское соединение, действующее на соседнем участке, успешно продвигалось вперёд и уничтожило два батальона немецкой пехоты, 6 танков и несколько десятков автомашин. Захвачены у немцев 4 танка, 11 орудий и большой склад боеприпасов.</w:t>
      </w:r>
    </w:p>
    <w:p w14:paraId="0B0149EB"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днём и ночью бомбардировала и штурмовала скопления пехоты, автомашин и техники противника на дорогах западнее Орла. В воздушных боях советские лётчики сбили 53 немецких самолёта.</w:t>
      </w:r>
    </w:p>
    <w:p w14:paraId="4B7D685B"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успешно развивали наступление, заняли ряд населённых пунктов, в том числе город Золочёв, районные центры Томаровка и Казачья Лопань. Советские танковые подразделения овладели несколькими железнодорожными станциями и перехватили важную магистраль противника. Части Н-ского соединения, продвигаясь вперёд, уничтожили до 2.000 немецких солдат и офицеров, 26 танков, 39 орудий, 22 миномёта и 88 пулемётов. Захвачено у противника 8 танков, 17 орудий, более 1.500 винтовок и автоматов, 5 складов боеприпасов и другие трофеи. Только одна стрелковая часть пленила свыше 200 немецких солдат и офицеров.</w:t>
      </w:r>
    </w:p>
    <w:p w14:paraId="25193670"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лётчиками в воздушных боях в течение дня сбито 36 самолётов противника.</w:t>
      </w:r>
    </w:p>
    <w:p w14:paraId="534A3630"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продолжались разведывательные поиски. Преодолевая сопротивление противника, наши подразделения улучшили свои позиции, заняв несколько господствующих над местностью высот. На одном участке немцы бросили в контратаку свыше батальона пехоты и 8 танков. Артиллеристы и бронебойщики Н-ской части подбили и уничтожили 5 немецких танков. Лишённая танкового прикрытия, немецкая пехота понесла большие потери и откатилась в исходное положение.</w:t>
      </w:r>
    </w:p>
    <w:p w14:paraId="610D9E8F"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огневыми налётами нашей артиллерии разрушено 34 дзота, подбито 3 немецких танка, уничтожены 3 артиллерийских и 5 миномётных батарей, разбито 6 складов противника с боеприпасами. Наши подразделения уничтожили до батальона немецкой пехоты.</w:t>
      </w:r>
    </w:p>
    <w:p w14:paraId="6288CCF5"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немецкий разведывательный отряд пытался приблизиться к нашему переднему краю. Бойцы подразделения под командованием лейтенанта Дегтярёва устроили засаду и, подпустив немцев на близкое расстояние, открыли ружейно-пулемётный огонь. Застигнутые врасплох, гитлеровцы побросали оружие и обратились в бегство. Наши бойцы, преследуя немцев, полностью уничтожили разведывательный отряд противника.</w:t>
      </w:r>
    </w:p>
    <w:p w14:paraId="352BBA42"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потопили в Чёрном море транспорт водоизмещением в 2.000 тонн, две десантные баржи и сторожевой катер противника.</w:t>
      </w:r>
    </w:p>
    <w:p w14:paraId="699534F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Партизанские отряды, действующие на территории Станиславской области, в середине июля нанесли немецким захватчикам ряд серьёзных ударов. Советские патриоты взорвали два склада боеприпасов, сожгли 600 тонн горючего, вывели из строя несколько нефтяных вышек, два нефтеперерабатывающих завода и насосную нефтяную станцию. Кроме того, партизаны подорвали и сожгли 23 железнодорожных и шоссейных моста. Немцы направили против партизан крупные войсковые части. В ожесточённых боях Станиславские партизаны уничтожили до 700 немецко-фашистских оккупантов. Партизанами захвачены большие трофеи.»</w:t>
      </w:r>
    </w:p>
    <w:p w14:paraId="1C1EC4E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Ликвидация орловского плацдарма немцев и взятие советскими войсками городов Орла и Белгорода.</w:t>
      </w:r>
    </w:p>
    <w:p w14:paraId="6374701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упорных наступательных боёв войска Брянского фронта, при содействии с флангов войск Западного и Центрального фронтов разгромили отборные части немецкой армии, сосредоточенные германским командованием в районе Орла, ликвидировали Орловский плацдарм врага и 5 августа заняли город Орёл, в течение почти двух лет находившийся в руках немецких оккупантов. В этот же день, 5августа, войска Степного и Воронежского фронтов прорвали фронт противника и овладели городом Белгород.</w:t>
      </w:r>
    </w:p>
    <w:p w14:paraId="04FDEA19"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Вся эта операция, блестяще осуществлённая Красной Армией по плану Верховного Главнокомандования, распадается на два этапа:</w:t>
      </w:r>
    </w:p>
    <w:p w14:paraId="1C0A613B"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Успешная ликвидация нашими войсками летнего наступления немецко-фашистских войск, начатого ими 5 июля сего года на Орловско-Курском и Белгородско-Курском направлениях с целью окружить и уничтожить советские войска, находящиеся в Курском выступе, и занять Курск.</w:t>
      </w:r>
    </w:p>
    <w:p w14:paraId="5540C4FC"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Успешное наступление Красной Армии на Орловском и Белгородском направлениях, завершившееся поражением Орловской и Белгородской группировки противника и занятием нашими войсками городов Орла и Белгорода.</w:t>
      </w:r>
    </w:p>
    <w:p w14:paraId="30D1EC5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этап боев.</w:t>
      </w:r>
    </w:p>
    <w:p w14:paraId="00656615"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Провал немецкого наступления на Орловско-Курском и Белгородскомнаправлениях.</w:t>
      </w:r>
    </w:p>
    <w:p w14:paraId="4D09F33E"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утра 5 июля крупные силы танков и пехоты противника, при поддержке многочисленной авиации, перешли в наступление на Орловско-Курском и Белгородском направлениях. Накануне Гитлер издал приказ, в котором говорилось, что «германская армия переходит к генеральному наступлению на Восточном фронте», что удар, который нанесут немецкие войска, «должен иметь решающее значение и послужить поворотным пунктом в ходе войны» и что «это последнее сражение за победу Германии».</w:t>
      </w:r>
    </w:p>
    <w:p w14:paraId="11C57389"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Немецкая армия, предприняв «решающее наступление», израсходовав огромное количество людской силы, танков, орудий, самолётов, не только не добилась оперативных, но не добилась даже тактических успехов. Более того, наши войска, перемолов дивизии врага, брошенные в наступление, сами нанесли ответный мощный удар по наступающей армии противника. Советские войска, действующие на Орловско-Курском направлении, уже к 17 июля полностью восстановили положение, занимаемое ими до начала немецкого наступления, т. е. до 5 июля 1943 г. Советские войска, действующие на Белгородском направлении, развивая контрнаступление, к 23 июля вышли на рубежи, которые они занимали до начала немецкого наступления, то есть до 5 июля 1943 года.</w:t>
      </w:r>
    </w:p>
    <w:p w14:paraId="5EEE00BF"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Таким образом, летнее наступление немецких войск, на которое гитлеровцы возлагали большие надежды, провалилось. Красная Армия развеяла созданную гитлеровцами сказку о том, что лето якобы является сезоном успехов и побед немецкой армии, а советские войска летом вынуждены будто бы находиться в отступлении.</w:t>
      </w:r>
    </w:p>
    <w:p w14:paraId="6B9F7F25"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бесплодных попытках завладеть Курским плацдармом и тем самым подготовить условия для наступления с Орловского плацдарма на Москву немецко-фашистские войска за время с 5 по 23 июля потеряли 2.900 танков, 1.039 орудий, из них 195 самоходных, 1.392 самолёта, свыше 5.000 автомашин и более 70 тысяч солдат и офицеров убитыми.</w:t>
      </w:r>
    </w:p>
    <w:p w14:paraId="60DD8D8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окончилась очередная авантюра гитлеровцев.</w:t>
      </w:r>
    </w:p>
    <w:p w14:paraId="2E8B3AD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этап боёв.</w:t>
      </w:r>
    </w:p>
    <w:p w14:paraId="2E5D89A0"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Успешное наступление советских войск на Орловском и Белгородском направлениях.</w:t>
      </w:r>
    </w:p>
    <w:p w14:paraId="55757D1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войска не только сорвали летнее наступление немцев, но и сами перешли в решительное наступление против группировок вражеских войск, расположенных в Орловском выступе и в районе Белгорода, нанеся немцам тяжёлое поражение.</w:t>
      </w:r>
    </w:p>
    <w:p w14:paraId="174CBD84"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Немецкое командование придавало Орлу огромное значение. Гитлеровские генералы рассматривали Орёл как плацдарм для наступления немецких войск на Москву и в тоже время как бастион немецкой обороны на Центральном участке фронта.</w:t>
      </w:r>
    </w:p>
    <w:p w14:paraId="760F227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двадцать два месяца своего пребывания в Орле немцы превратили Орловский плацдарм в мощный укреплённый район, создали здесь глубоко эшелонированные долговременные оборонительные сооружения, опиравшиеся на многочисленные водные рубежи. Ещё только на днях немецкая печать и радио объявляли Орёл символом незыблемости германской обороны. Советские войска, расположенные севернее, восточнее и южнее Орла, 12 июля перешли в решительное наступление в общем направлении на Орёл. Немецкое командование приказало своим войскам, оборонявшим Орловский выступ, не отступать ни на один шаг и сражаться до последнего солдата. В район Орла непрерывно прибывали подкрепления из Германии, спешно перебрасывались войска с других участков советско-германского фронта. Выполняя приказ Верховного Главнокомандующего, Красная Армия, несмотря на проливные дожди и бездорожье, преодолевая упорное сопротивление противника, неуклонно продвигалась вперёд, прорвала на всю глубину немецкие оборонительные линии и 5 августа после ожесточённых уличных боёв овладела городом Орёл.</w:t>
      </w:r>
    </w:p>
    <w:p w14:paraId="3DAAA4FF"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Белгородском направлении наши войска 4 августа перешли в наступление, прорвали оборону противника и, нанеся поражение немцам, овладели городом Белгород.</w:t>
      </w:r>
    </w:p>
    <w:p w14:paraId="56889C15"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боёв наших войск на Орловском направлении с 24 июля по 6 августа ина Белгородском направлении с 4 по 6 августа наши войска уничтожили: солдат и офицеров противника—свыше 50.000, самолётов — 1.100, танков — 1.705, орудий всех калибров — 584, автомашин — 6.000. Всего за месяц боёв на Орловском и Белгородском направлениях с 5 июля по 6 августа Красная Армия нанесла противнику следующие потери: убито солдат и офицеров — 120.000, подбито и уничтожено танков— 4.605, орудий — 1.623, автомашин — 11.000, сбито самолётов — 2.492.</w:t>
      </w:r>
    </w:p>
    <w:p w14:paraId="51D8BC7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наши войска захватили танков — 521, орудий разного калибра, в том числе самоходных — 875, пулемётов — 2.521, разных складов — 325. Взято вплен 12.418 немецких солдат и офицеров.</w:t>
      </w:r>
    </w:p>
    <w:p w14:paraId="02C36EE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Красная Армия, выполняя план Верховного Главнокомандования, за месяц боёв ликвидировала наступление немцев на Курск, нанесла крупное поражение группировке отборных немецко-фашистских войск, ликвидировала Орловский плацдарм врага и освободила от немецких захватчиков города Орёл и Белгород.</w:t>
      </w:r>
    </w:p>
    <w:p w14:paraId="1E82AB4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Провал летнего наступления немцев и поражение немецких войск под Орлом и Белгородом говорят о том, что Красная Армия в условиях лета сумела не только закрепить, но и развить свои наступательные успехи.</w:t>
      </w:r>
    </w:p>
    <w:p w14:paraId="15F172F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Теперь окончательно рухнули надежды немцев и их прихвостней на благоприятный поворот военных действий в условиях лета.</w:t>
      </w:r>
    </w:p>
    <w:p w14:paraId="6AD4A36E"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самым разоблачена сказка немцев о том, что будто бы советские войска не в состоянии вести летом успешное наступление.</w:t>
      </w:r>
    </w:p>
    <w:p w14:paraId="7A8E9F2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Успешные боевые действия Красной Армии приковали к советско-германскому фронту все основные силы гитлеровской армии, лишили немецкое командование возможности свободно маневрировать войсками и тем самым создали ещё более благоприятные условия для развёртывания активных наступательных военных действий наших союзников на континенте Европы.</w:t>
      </w:r>
    </w:p>
    <w:p w14:paraId="4C7CA67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Таковы итоги месяца летних боёв на советско-германском фронте.» (14975).</w:t>
      </w:r>
    </w:p>
    <w:p w14:paraId="650ACA1E"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69F8C5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Як-9 № 0143 из 347-го иап стал последней потерей в ходе войсковых испытаний. В бою с восьмеркой FW-190, прикрывавший наземные войска, самолет был потерян из виду и причину этой трагедии так и не установили (12046).</w:t>
      </w:r>
    </w:p>
    <w:p w14:paraId="07B04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B331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1943 года в бою за город Грайворон Белгородской области экипаж танка Т-34 21-й гвардейской танковой бригады под командованием гвардии лейтенанта Евгения Кузнецова Подбил и уничтожил 7 танков и самоходку. На следующий день гвардии лейтенант Кузнецов пропал без вести (12217).</w:t>
      </w:r>
    </w:p>
    <w:p w14:paraId="4A23157A"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EFBBE4A" w14:textId="77777777" w:rsidR="00DD5CF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ABFF5F9" w14:textId="77777777" w:rsidR="00DD5CFD" w:rsidRPr="00271E51" w:rsidRDefault="00DD5CF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4C2A2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августа в 1943 году армии США поставили первый </w:t>
      </w:r>
      <w:hyperlink r:id="rId51" w:tgtFrame="_blank" w:history="1">
        <w:r w:rsidRPr="00271E51">
          <w:rPr>
            <w:rFonts w:ascii="Times New Roman" w:hAnsi="Times New Roman"/>
            <w:color w:val="000000" w:themeColor="text1"/>
            <w:sz w:val="16"/>
            <w:szCs w:val="16"/>
          </w:rPr>
          <w:t xml:space="preserve">«YP-61», </w:t>
        </w:r>
      </w:hyperlink>
      <w:r w:rsidRPr="00271E51">
        <w:rPr>
          <w:rFonts w:ascii="Times New Roman" w:hAnsi="Times New Roman"/>
          <w:color w:val="000000" w:themeColor="text1"/>
          <w:sz w:val="16"/>
          <w:szCs w:val="16"/>
        </w:rPr>
        <w:t>а последний поступил к сентябрю 1943 года. Внешне «YP-61» немного отличались от первых опытных образцов «XP-61». Главным различием была замена двигателей - двигатели «Pratt&amp;Whitney» «R-2800-25» «Double Wasp» заменили на «Pratt&amp;Whitney» «R-2800-10». Летные испытания «YP-61» выявили проблему с надфюзеляжной турельной установкой, которая всякий раз при перемещении (поднятие стволов или вращение) вызывала серьезный хвостовой бафтинг. Проблема была настолько серьезной, что рассматривался вариант полного удаления турельной установки. Для решения проблемы предлагалось добавление маленьких аэродинамических поверхностей поверх стволов пулеметов, снятие двух пулеметов и усиление конструкции турельной установки. Самым простым решением была установка неподвижной турельной установки, стреляющей только вперед. На нескольких «YP-61» в надфюзеляжной турельной установки по два пулемета. Полностью проблему бафтинга решили только на серии «P-61A», сняв турельную установку. «YP-61» первоначально не имел бортового радара, но к моменту начала серийного производства «P-61A» должен был быть готов радар «SCR-720» - серийная версия «SCR-520» с улучшенными данными. Все YP-61 в соответствии с основным назначением были полностью окрашены в черный матовый цвет, что и привело к получению прозвища «Black Widow» ("черная вдова" - североамериканский ядовитый паук-птицеед) (14975).</w:t>
      </w:r>
    </w:p>
    <w:p w14:paraId="31FAB639"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29254BF2"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августа 1943 немецкя подводная лодка U-177 использует пилотируемый, буксируемый Фокке-Achgelis Fa 330 автожир-планер, чтобы обнаружить греческий пароход Эфталия Мари, который U-177 затем перехватывает и топит. Это единственный случай, когда подводная лодка с Fa 330 потопила корабль (20376).</w:t>
      </w:r>
    </w:p>
    <w:p w14:paraId="16DF45AE" w14:textId="77777777" w:rsidR="007F45FB" w:rsidRPr="00271E51" w:rsidRDefault="007F45FB" w:rsidP="00271E51">
      <w:pPr>
        <w:spacing w:after="0" w:line="240" w:lineRule="auto"/>
        <w:jc w:val="both"/>
        <w:rPr>
          <w:rFonts w:ascii="Times New Roman" w:hAnsi="Times New Roman"/>
          <w:color w:val="0070C0"/>
          <w:sz w:val="16"/>
          <w:szCs w:val="16"/>
        </w:rPr>
      </w:pPr>
    </w:p>
    <w:p w14:paraId="0E80D19F" w14:textId="77777777" w:rsidR="007F45FB" w:rsidRPr="00271E51" w:rsidRDefault="007F45F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августа 1943 третий налет немецкой авиации на Палермо был отражен ночными истребителями союзников, при этом на гавань было сброшено всего несколько бомб (20376).</w:t>
      </w:r>
    </w:p>
    <w:p w14:paraId="7EF67715" w14:textId="77777777" w:rsidR="007F45FB" w:rsidRPr="00271E51" w:rsidRDefault="007F45FB" w:rsidP="00271E51">
      <w:pPr>
        <w:spacing w:after="0" w:line="240" w:lineRule="auto"/>
        <w:jc w:val="both"/>
        <w:rPr>
          <w:rFonts w:ascii="Times New Roman" w:hAnsi="Times New Roman"/>
          <w:color w:val="0070C0"/>
          <w:sz w:val="16"/>
          <w:szCs w:val="16"/>
        </w:rPr>
      </w:pPr>
    </w:p>
    <w:p w14:paraId="7A2D732F"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августа в 1943 году в Мэлтоне через 26 месяцев после прибытия чертежей в Канаду, взлетел первый </w:t>
      </w:r>
      <w:hyperlink r:id="rId52" w:tgtFrame="_blank" w:history="1">
        <w:r w:rsidRPr="00271E51">
          <w:rPr>
            <w:rFonts w:ascii="Times New Roman" w:hAnsi="Times New Roman"/>
            <w:color w:val="000000" w:themeColor="text1"/>
            <w:sz w:val="16"/>
            <w:szCs w:val="16"/>
          </w:rPr>
          <w:t xml:space="preserve">"Ланкастер" «В Х» </w:t>
        </w:r>
      </w:hyperlink>
      <w:r w:rsidRPr="00271E51">
        <w:rPr>
          <w:rFonts w:ascii="Times New Roman" w:hAnsi="Times New Roman"/>
          <w:color w:val="000000" w:themeColor="text1"/>
          <w:sz w:val="16"/>
          <w:szCs w:val="16"/>
        </w:rPr>
        <w:t>канадской постройки. На нем стояли паккардовские моторы "Мерлин" 38. После первых 75 самолетов перешли на "Мерлин" 224. Стандартный "Ланкастер" X имел увеличенный бомбоотсек под 3632-кг бомбу и верхнюю турель с двумя 12,7-мм пулеметами. Производство "Ланкастеров" было организовано в Канаде для нужд английских королевских ВВС и по настоянию британского правительства. Этот проект впервые был обсужден в начале 1942 года. С помощью канадского правительства "Нэйшнл стил корпорейшн оф Канада" организовала с "Виктори эйркрафт" на новом заводе в Мэлтоне (Онтарио) выпуск "Ланкастеров" в варианте, подобном «Мк III», но обозначенном «Мк Х» из-за отличий в оборудовании. Поздние самолеты канадской постройки имели турель "Мартин", также принятую для "Ланкастеров" VII английского выпуска. Канадские "Ланкастеры" перелетали через Атлантику, чтобы участвовать в операциях английских ВВС. Первые самолеты прибыли 17 сентября 1943 года (14975).</w:t>
      </w:r>
    </w:p>
    <w:p w14:paraId="3CA8C10B"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31029D49"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в 1943 году (6–7 августа) морское сражение в заливе Велла (Соломоновы острова) между японскими и американскими миноносцами, потоплены 3 японских эсминца (14975).</w:t>
      </w:r>
    </w:p>
    <w:p w14:paraId="4C58CEA3"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05FC2A3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5ED5C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C3E93A"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 xml:space="preserve">В начале августа 1944 г. на одном из серийных Ил-2 (зав. №305295) на ВУБ-3 успешно прошла испытания 20-мм пушка УБ-20. Для возможности ее применения на установку «вернули» электрический подтяг патронной ленты. Одновременно доработали звезду механизма подтяга под патрон калибра 20 мм, выпилили окно под </w:t>
      </w:r>
      <w:r w:rsidRPr="00271E51">
        <w:rPr>
          <w:rFonts w:ascii="Times New Roman" w:hAnsi="Times New Roman" w:cs="Times New Roman"/>
          <w:color w:val="0070C0"/>
          <w:sz w:val="16"/>
          <w:szCs w:val="16"/>
        </w:rPr>
        <w:lastRenderedPageBreak/>
        <w:t>фиксатор патрона на кронштейне компенсатора, изменили кре</w:t>
      </w:r>
      <w:r w:rsidRPr="00271E51">
        <w:rPr>
          <w:rFonts w:ascii="Times New Roman" w:hAnsi="Times New Roman" w:cs="Times New Roman"/>
          <w:color w:val="0070C0"/>
          <w:sz w:val="16"/>
          <w:szCs w:val="16"/>
        </w:rPr>
        <w:softHyphen/>
        <w:t>пление под мешок для сбора стреляных гильз и звеньев, усилили каркас мешка. Остальные узлы и агрегаты штатной ВУБ-3 остались без изменений. Боекомплект к пушке составлял 150 патронов.</w:t>
      </w:r>
    </w:p>
    <w:p w14:paraId="67D70FB0"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За время испытаний выполнили шесть по</w:t>
      </w:r>
      <w:r w:rsidRPr="00271E51">
        <w:rPr>
          <w:rFonts w:ascii="Times New Roman" w:hAnsi="Times New Roman" w:cs="Times New Roman"/>
          <w:color w:val="0070C0"/>
          <w:sz w:val="16"/>
          <w:szCs w:val="16"/>
        </w:rPr>
        <w:softHyphen/>
        <w:t>летов со стрельбой. Произвели 4337 выстре</w:t>
      </w:r>
      <w:r w:rsidRPr="00271E51">
        <w:rPr>
          <w:rFonts w:ascii="Times New Roman" w:hAnsi="Times New Roman" w:cs="Times New Roman"/>
          <w:color w:val="0070C0"/>
          <w:sz w:val="16"/>
          <w:szCs w:val="16"/>
        </w:rPr>
        <w:softHyphen/>
        <w:t>лов из пушки УБ-20: 2815 - на самолете на земле, 900 - в воздухе, 450 - со станка при определении тяги ленты, 175 - в термобарока</w:t>
      </w:r>
      <w:r w:rsidRPr="00271E51">
        <w:rPr>
          <w:rFonts w:ascii="Times New Roman" w:hAnsi="Times New Roman" w:cs="Times New Roman"/>
          <w:color w:val="0070C0"/>
          <w:sz w:val="16"/>
          <w:szCs w:val="16"/>
        </w:rPr>
        <w:softHyphen/>
        <w:t>мере при температуре ±45-55°С.</w:t>
      </w:r>
    </w:p>
    <w:p w14:paraId="4081C6ED"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Вес пушки составлял 24 кг, усилие спуска - 12-15 кг, перезарядки - 55-60 кг. При на</w:t>
      </w:r>
      <w:r w:rsidRPr="00271E51">
        <w:rPr>
          <w:rFonts w:ascii="Times New Roman" w:hAnsi="Times New Roman" w:cs="Times New Roman"/>
          <w:color w:val="0070C0"/>
          <w:sz w:val="16"/>
          <w:szCs w:val="16"/>
        </w:rPr>
        <w:softHyphen/>
        <w:t>чальной скорости осколочно-зажигательного снаряда 751 м/с и темпе стрельбы 822-857 выстр./мин сила отдачи оценивалась порядка 1620 кг. При этом зафиксировали 13 задержек. До первой поломки пушка отстреляла 1550 патрон (всего было шесть поломок).</w:t>
      </w:r>
    </w:p>
    <w:p w14:paraId="4DB952D4"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Рассеивание при стрельбе на земле по</w:t>
      </w:r>
      <w:r w:rsidRPr="00271E51">
        <w:rPr>
          <w:rFonts w:ascii="Times New Roman" w:hAnsi="Times New Roman" w:cs="Times New Roman"/>
          <w:color w:val="0070C0"/>
          <w:sz w:val="16"/>
          <w:szCs w:val="16"/>
        </w:rPr>
        <w:softHyphen/>
        <w:t>сле настрела 3543 выстрелов оказалось почти таким же, как и у пулемета УБТ на серийной установке ВУБ-3. Отмечалось, что автоматика пушки надежно работает на ВУБ-3 при ис</w:t>
      </w:r>
      <w:r w:rsidRPr="00271E51">
        <w:rPr>
          <w:rFonts w:ascii="Times New Roman" w:hAnsi="Times New Roman" w:cs="Times New Roman"/>
          <w:color w:val="0070C0"/>
          <w:sz w:val="16"/>
          <w:szCs w:val="16"/>
        </w:rPr>
        <w:softHyphen/>
        <w:t>пользовании штатных снарядов и звеньев от ШВАК; гарантированная живучесть пушки со</w:t>
      </w:r>
      <w:r w:rsidRPr="00271E51">
        <w:rPr>
          <w:rFonts w:ascii="Times New Roman" w:hAnsi="Times New Roman" w:cs="Times New Roman"/>
          <w:color w:val="0070C0"/>
          <w:sz w:val="16"/>
          <w:szCs w:val="16"/>
        </w:rPr>
        <w:softHyphen/>
        <w:t>ставляла 4000 выстрелов.</w:t>
      </w:r>
    </w:p>
    <w:p w14:paraId="59AB7BF6"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 xml:space="preserve">В итоге пушка УБ-20 рекомендовалась </w:t>
      </w:r>
      <w:r w:rsidRPr="00271E51">
        <w:rPr>
          <w:rStyle w:val="800"/>
          <w:rFonts w:ascii="Times New Roman" w:hAnsi="Times New Roman" w:cs="Times New Roman"/>
          <w:i w:val="0"/>
          <w:iCs w:val="0"/>
          <w:color w:val="0070C0"/>
          <w:w w:val="100"/>
          <w:sz w:val="16"/>
          <w:szCs w:val="16"/>
        </w:rPr>
        <w:t>«для установки на Ил-10 и другие подвижные установки с 12,7мм УБТ».</w:t>
      </w:r>
      <w:r w:rsidRPr="00271E51">
        <w:rPr>
          <w:rFonts w:ascii="Times New Roman" w:hAnsi="Times New Roman" w:cs="Times New Roman"/>
          <w:color w:val="0070C0"/>
          <w:sz w:val="16"/>
          <w:szCs w:val="16"/>
        </w:rPr>
        <w:t xml:space="preserve"> Однако на серийные самолеты Ил-2 она не ставилась (19879).</w:t>
      </w:r>
    </w:p>
    <w:p w14:paraId="22BF6A41" w14:textId="77777777" w:rsidR="007F45FB" w:rsidRPr="00271E51" w:rsidRDefault="007F45FB" w:rsidP="00271E51">
      <w:pPr>
        <w:pStyle w:val="11c"/>
        <w:shd w:val="clear" w:color="auto" w:fill="auto"/>
        <w:spacing w:after="0" w:line="240" w:lineRule="auto"/>
        <w:jc w:val="both"/>
        <w:rPr>
          <w:rFonts w:ascii="Times New Roman" w:hAnsi="Times New Roman" w:cs="Times New Roman"/>
          <w:color w:val="0070C0"/>
          <w:sz w:val="16"/>
          <w:szCs w:val="16"/>
        </w:rPr>
      </w:pPr>
    </w:p>
    <w:p w14:paraId="6E157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1943-го в связи с возвращением ОКБ Сухого из эвакуации первый опытный экземпляр ДДБШ был перевезен водным путем (по Каме, Волге и Москве-реке) в Москву.</w:t>
      </w:r>
    </w:p>
    <w:p w14:paraId="49CDE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прибытии на завод № 289 штурмовик довольно оперативно был достроен. Вместо моторов М-71 были установлены форсированные моторы М-71Ф с увеличенной до 2200 л. с. взлетной мощностью (9649).</w:t>
      </w:r>
    </w:p>
    <w:p w14:paraId="7A2CB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B22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w:t>
      </w:r>
      <w:r w:rsidRPr="00271E51">
        <w:rPr>
          <w:rFonts w:ascii="Times New Roman" w:hAnsi="Times New Roman"/>
          <w:color w:val="000000" w:themeColor="text1"/>
          <w:sz w:val="16"/>
          <w:szCs w:val="16"/>
        </w:rPr>
        <w:softHyphen/>
        <w:t>чале августа опытный самолет Су-8 отправили в Москву водным путем (Кама - Волга - Москва-река). В октябре он прибыл в Тушино. Размещение завода № 289 в под</w:t>
      </w:r>
      <w:r w:rsidRPr="00271E51">
        <w:rPr>
          <w:rFonts w:ascii="Times New Roman" w:hAnsi="Times New Roman"/>
          <w:color w:val="000000" w:themeColor="text1"/>
          <w:sz w:val="16"/>
          <w:szCs w:val="16"/>
        </w:rPr>
        <w:softHyphen/>
        <w:t>московном поселке Тушино стало результатом организационных не</w:t>
      </w:r>
      <w:r w:rsidRPr="00271E51">
        <w:rPr>
          <w:rFonts w:ascii="Times New Roman" w:hAnsi="Times New Roman"/>
          <w:color w:val="000000" w:themeColor="text1"/>
          <w:sz w:val="16"/>
          <w:szCs w:val="16"/>
        </w:rPr>
        <w:softHyphen/>
        <w:t>увязок, возникших между Наркома</w:t>
      </w:r>
      <w:r w:rsidRPr="00271E51">
        <w:rPr>
          <w:rFonts w:ascii="Times New Roman" w:hAnsi="Times New Roman"/>
          <w:color w:val="000000" w:themeColor="text1"/>
          <w:sz w:val="16"/>
          <w:szCs w:val="16"/>
        </w:rPr>
        <w:softHyphen/>
        <w:t>тами Обороны и авиационной про</w:t>
      </w:r>
      <w:r w:rsidRPr="00271E51">
        <w:rPr>
          <w:rFonts w:ascii="Times New Roman" w:hAnsi="Times New Roman"/>
          <w:color w:val="000000" w:themeColor="text1"/>
          <w:sz w:val="16"/>
          <w:szCs w:val="16"/>
        </w:rPr>
        <w:softHyphen/>
        <w:t>мышленности. На новом месте са</w:t>
      </w:r>
      <w:r w:rsidRPr="00271E51">
        <w:rPr>
          <w:rFonts w:ascii="Times New Roman" w:hAnsi="Times New Roman"/>
          <w:color w:val="000000" w:themeColor="text1"/>
          <w:sz w:val="16"/>
          <w:szCs w:val="16"/>
        </w:rPr>
        <w:softHyphen/>
        <w:t>молет был доукомплектован (за ис</w:t>
      </w:r>
      <w:r w:rsidRPr="00271E51">
        <w:rPr>
          <w:rFonts w:ascii="Times New Roman" w:hAnsi="Times New Roman"/>
          <w:color w:val="000000" w:themeColor="text1"/>
          <w:sz w:val="16"/>
          <w:szCs w:val="16"/>
        </w:rPr>
        <w:softHyphen/>
        <w:t>ключением стрелково-пушечного вооружения) и в ноябре перевезен на Тушинский аэродром для подго</w:t>
      </w:r>
      <w:r w:rsidRPr="00271E51">
        <w:rPr>
          <w:rFonts w:ascii="Times New Roman" w:hAnsi="Times New Roman"/>
          <w:color w:val="000000" w:themeColor="text1"/>
          <w:sz w:val="16"/>
          <w:szCs w:val="16"/>
        </w:rPr>
        <w:softHyphen/>
        <w:t>товки к летным испытаниям (веду</w:t>
      </w:r>
      <w:r w:rsidRPr="00271E51">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271E51">
        <w:rPr>
          <w:rFonts w:ascii="Times New Roman" w:hAnsi="Times New Roman"/>
          <w:color w:val="000000" w:themeColor="text1"/>
          <w:sz w:val="16"/>
          <w:szCs w:val="16"/>
        </w:rPr>
        <w:softHyphen/>
        <w:t>работке самолета Су-6 под двига</w:t>
      </w:r>
      <w:r w:rsidRPr="00271E51">
        <w:rPr>
          <w:rFonts w:ascii="Times New Roman" w:hAnsi="Times New Roman"/>
          <w:color w:val="000000" w:themeColor="text1"/>
          <w:sz w:val="16"/>
          <w:szCs w:val="16"/>
        </w:rPr>
        <w:softHyphen/>
        <w:t>тель АМ-42. Под эти же двигатели, но уже в инициативном порядке до</w:t>
      </w:r>
      <w:r w:rsidRPr="00271E51">
        <w:rPr>
          <w:rFonts w:ascii="Times New Roman" w:hAnsi="Times New Roman"/>
          <w:color w:val="000000" w:themeColor="text1"/>
          <w:sz w:val="16"/>
          <w:szCs w:val="16"/>
        </w:rPr>
        <w:softHyphen/>
        <w:t>работали и проект самолета Су-8, однако проект ДДБШ 2АМ-42 остал</w:t>
      </w:r>
      <w:r w:rsidRPr="00271E51">
        <w:rPr>
          <w:rFonts w:ascii="Times New Roman" w:hAnsi="Times New Roman"/>
          <w:color w:val="000000" w:themeColor="text1"/>
          <w:sz w:val="16"/>
          <w:szCs w:val="16"/>
        </w:rPr>
        <w:softHyphen/>
        <w:t>ся нереализованным (11853).</w:t>
      </w:r>
    </w:p>
    <w:p w14:paraId="779759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6283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первых числах августа 1943 г. четыре из восьми истребителей передали на доработку и испытания в ЛИИ НКАП. Ведущим инженером по мотору назначили Ф.Е.Житомирского (ему помогали М.И.Герасимов и С.П.Щербаков), по самолету - П.С.Лимара, а С.С.Мусатов "представлял интересы” моторного завода №26. В облете самолетов приняли участие многие летчики ЛИИ. После первых же полетов был сделан вывод, что основной причиной неудовлетворительной работы мотора является ненадежность системы зажигания. В свою очередь эта система постоянно отказывала из-за неудовлетворительного отвода тепла из подмоторно-го пространства. Его дополнительный продув воздухом и установка экранов между наружными свечами и выхлопными патрубками сразу же привели к значительному снижению температуры ВМГ и, как следствие, примерно на 30°С “посвежело” в кабине.</w:t>
      </w:r>
    </w:p>
    <w:p w14:paraId="5265A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 все узлы и системы ВМГ самолетов подверглись тем или иным доработкам: карбюраторы, бензо- и маслосистема, системы охлаждения и дренажа... В результате титанических усилий удалось добиться, того что истребители могли выполнять полет на высоте до 7000 м, при этом приемистость моторов признали удовлетворительной (4537).</w:t>
      </w:r>
    </w:p>
    <w:p w14:paraId="214DC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B3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августа 1943 омский завод № 166 смог заложить “нулевую” серию из 10 машин Як-10 М-107А и подготовить производство на 67-90% (по разным цехам). Основной причиной задержки работ стала несвоевременная отправка чертежей из 0КБ-115. Подчиненные Яковлева были вынуждены вносить изменения по результатам испытаний ЛИИ, а на это ушло немало времени. Не всегда выполняли свои обязательства и смежники. Тем не менее, побывавшая на заводе очередная комиссия НКАП пришла к выводу, что завод №166 сможет к концу августа 1943 г. сдать военпредам первые два серийных Як-9 М-107А. Однако основные трудности в период организации серийного производства нового истребителя выпали на долю моторостроителей, поскольку развертывание выпуска М-107А - как ни больно об этом писать - выявило значительное отставание авиапромышленности Советского Союза от США, Великобритании и Германии. У нас не имелось необходимого станочного парка,,большие были допуски при изготовлении деталей и значительно хуже обеспечивалась качество изделий массового выпуска. Если к этому добавить трудности металлургии, которой не удалось преодолеть “голода” на целый ряд видов сырья (и в первую очередь на хром и никель, в гиганских количествах потреблявшихся танкостроением), то станет понятно положение, в котором оказался В.Я.Климов (4842).</w:t>
      </w:r>
    </w:p>
    <w:p w14:paraId="08B73E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2F02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524F5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FCF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года изучая итоги Курской битвы, Ж.Я.Котин - директор и главный конструктор завода №100 - обратил внимание на то, что из всех артсистем наиболее успешно боролась с "Тиграми" 122-мм корпусная пушка А-19 обр. 1931/37 года..</w:t>
      </w:r>
    </w:p>
    <w:p w14:paraId="3565A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такому же выводу пришли и конструкторы завода № 9, где был разработан и изготовлен опытный образец тяжелого противотанкового орудия Д-2 путем наложения ствола с баллистикой пушки А-19 на лафет 122-мм дивизионной гаубицы М-30. Использовать это мощное орудие предполагалось в первую очередь для борьбы с тяжелыми танками противника. Но поскольку ствол такой пушки был вмонтирован в люльку и лафет М-30 и орудие Д-2 успешно прошло испытания, реальной стала идея установки ствола А-19 в танк с применением круглой люльки, противооткатных устройств и подъемного механизма от опытной танковой 122-мм гаубицы У-11, как это было сделано при создании 85-мм пушек Д-5Т и Д-5С. Правда это было возможно только при условии введения в конструкцию орудия дульного тормоза..</w:t>
      </w:r>
    </w:p>
    <w:p w14:paraId="178AE4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Получив с завода №100 необходимую документацию, в КБ завода №9 быстро выполнили эскизный проект компоновки А-19 в башне танка ИС-85, который Ж.Я.Котин повез в Москву. Проект очень понравился наркому танковой промышленности В.А.Малышеву и был одобрен Сталиным. (3862).</w:t>
      </w:r>
    </w:p>
    <w:p w14:paraId="4661B4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FE8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w:t>
      </w:r>
      <w:r w:rsidRPr="00271E51">
        <w:rPr>
          <w:rFonts w:ascii="Times New Roman" w:hAnsi="Times New Roman"/>
          <w:color w:val="000000" w:themeColor="text1"/>
          <w:sz w:val="16"/>
          <w:szCs w:val="16"/>
        </w:rPr>
        <w:softHyphen/>
        <w:t>густа 1943 г. Ж. Котин, изучая итоги Курской битвы, обратил внимание на то, что единственной артсистемой, успешно расправлявшейся с немецкими «Тиграми» на всех дистанци</w:t>
      </w:r>
      <w:r w:rsidRPr="00271E51">
        <w:rPr>
          <w:rFonts w:ascii="Times New Roman" w:hAnsi="Times New Roman"/>
          <w:color w:val="000000" w:themeColor="text1"/>
          <w:sz w:val="16"/>
          <w:szCs w:val="16"/>
        </w:rPr>
        <w:softHyphen/>
        <w:t>ях, была 122-мм корпусная пушка А-19. Зенитные же 85-мм орудия, баллистика которых была взята за основу при созда</w:t>
      </w:r>
      <w:r w:rsidRPr="00271E51">
        <w:rPr>
          <w:rFonts w:ascii="Times New Roman" w:hAnsi="Times New Roman"/>
          <w:color w:val="000000" w:themeColor="text1"/>
          <w:sz w:val="16"/>
          <w:szCs w:val="16"/>
        </w:rPr>
        <w:softHyphen/>
        <w:t>нии Д-5Т, стоявшей на КВ-85 и ИС-85, оказались малоэф</w:t>
      </w:r>
      <w:r w:rsidRPr="00271E51">
        <w:rPr>
          <w:rFonts w:ascii="Times New Roman" w:hAnsi="Times New Roman"/>
          <w:color w:val="000000" w:themeColor="text1"/>
          <w:sz w:val="16"/>
          <w:szCs w:val="16"/>
        </w:rPr>
        <w:softHyphen/>
        <w:t>фективными при ведении огня против лобовой брони «Тиг</w:t>
      </w:r>
      <w:r w:rsidRPr="00271E51">
        <w:rPr>
          <w:rFonts w:ascii="Times New Roman" w:hAnsi="Times New Roman"/>
          <w:color w:val="000000" w:themeColor="text1"/>
          <w:sz w:val="16"/>
          <w:szCs w:val="16"/>
        </w:rPr>
        <w:softHyphen/>
        <w:t>ров». Примерно 10 августа 1943 г. он выслал на завод № 9 НКВ письмо с просьбой рассмотреть возможность установ</w:t>
      </w:r>
      <w:r w:rsidRPr="00271E51">
        <w:rPr>
          <w:rFonts w:ascii="Times New Roman" w:hAnsi="Times New Roman"/>
          <w:color w:val="000000" w:themeColor="text1"/>
          <w:sz w:val="16"/>
          <w:szCs w:val="16"/>
        </w:rPr>
        <w:softHyphen/>
        <w:t>ки в башню танка ИС 122-мм орудия А-19. Руководство за</w:t>
      </w:r>
      <w:r w:rsidRPr="00271E51">
        <w:rPr>
          <w:rFonts w:ascii="Times New Roman" w:hAnsi="Times New Roman"/>
          <w:color w:val="000000" w:themeColor="text1"/>
          <w:sz w:val="16"/>
          <w:szCs w:val="16"/>
        </w:rPr>
        <w:softHyphen/>
        <w:t>вода и его артиллерийского КБ ответило, что разработанные и испытанные ими на пушке Д-5 и гаубице М-30 универ</w:t>
      </w:r>
      <w:r w:rsidRPr="00271E51">
        <w:rPr>
          <w:rFonts w:ascii="Times New Roman" w:hAnsi="Times New Roman"/>
          <w:color w:val="000000" w:themeColor="text1"/>
          <w:sz w:val="16"/>
          <w:szCs w:val="16"/>
        </w:rPr>
        <w:softHyphen/>
        <w:t>сальные противооткатные устройства позволяют установить в единой люльке все типы имеющихся полевых орудий, кро</w:t>
      </w:r>
      <w:r w:rsidRPr="00271E51">
        <w:rPr>
          <w:rFonts w:ascii="Times New Roman" w:hAnsi="Times New Roman"/>
          <w:color w:val="000000" w:themeColor="text1"/>
          <w:sz w:val="16"/>
          <w:szCs w:val="16"/>
        </w:rPr>
        <w:softHyphen/>
        <w:t>ме 152-мм пушки-гаубицы МЛ-20, и предложили Ж. Котину эскизные проекты установки в танковой башне 122-мм пуш</w:t>
      </w:r>
      <w:r w:rsidRPr="00271E51">
        <w:rPr>
          <w:rFonts w:ascii="Times New Roman" w:hAnsi="Times New Roman"/>
          <w:color w:val="000000" w:themeColor="text1"/>
          <w:sz w:val="16"/>
          <w:szCs w:val="16"/>
        </w:rPr>
        <w:softHyphen/>
        <w:t>ки А-19 и 152-мм гаубицы М-10. Правда, эти решения были возможны только при условии введения в конструкцию ука</w:t>
      </w:r>
      <w:r w:rsidRPr="00271E51">
        <w:rPr>
          <w:rFonts w:ascii="Times New Roman" w:hAnsi="Times New Roman"/>
          <w:color w:val="000000" w:themeColor="text1"/>
          <w:sz w:val="16"/>
          <w:szCs w:val="16"/>
        </w:rPr>
        <w:softHyphen/>
        <w:t>занных орудий дульного тормоза.</w:t>
      </w:r>
    </w:p>
    <w:p w14:paraId="5354B9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 танка ИС со 122-мм пушкой А-19 очень понра</w:t>
      </w:r>
      <w:r w:rsidRPr="00271E51">
        <w:rPr>
          <w:rFonts w:ascii="Times New Roman" w:hAnsi="Times New Roman"/>
          <w:color w:val="000000" w:themeColor="text1"/>
          <w:sz w:val="16"/>
          <w:szCs w:val="16"/>
        </w:rPr>
        <w:softHyphen/>
        <w:t>вился наркому танковой промышленности В. Малышеву, но военные протестовали против дульного тормоза, считая, что его применение будет демаскировать танк при выстрелах, а также не позволит пехотному десанту вести бой, находясь на броне боевой машины. Впоследствии боевой опыт подтвер</w:t>
      </w:r>
      <w:r w:rsidRPr="00271E51">
        <w:rPr>
          <w:rFonts w:ascii="Times New Roman" w:hAnsi="Times New Roman"/>
          <w:color w:val="000000" w:themeColor="text1"/>
          <w:sz w:val="16"/>
          <w:szCs w:val="16"/>
        </w:rPr>
        <w:softHyphen/>
        <w:t>дил их правоту, но иного решения в то время не было — сроч</w:t>
      </w:r>
      <w:r w:rsidRPr="00271E51">
        <w:rPr>
          <w:rFonts w:ascii="Times New Roman" w:hAnsi="Times New Roman"/>
          <w:color w:val="000000" w:themeColor="text1"/>
          <w:sz w:val="16"/>
          <w:szCs w:val="16"/>
        </w:rPr>
        <w:softHyphen/>
        <w:t>но нужна была мощная танковая пушка для тяжелого танка.</w:t>
      </w:r>
    </w:p>
    <w:p w14:paraId="744EA1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НКВ заводу № 9 предписывалось провести сроч</w:t>
      </w:r>
      <w:r w:rsidRPr="00271E51">
        <w:rPr>
          <w:rFonts w:ascii="Times New Roman" w:hAnsi="Times New Roman"/>
          <w:color w:val="000000" w:themeColor="text1"/>
          <w:sz w:val="16"/>
          <w:szCs w:val="16"/>
        </w:rPr>
        <w:softHyphen/>
        <w:t>ное изготовление танкового варианта орудия А-19 с поршне</w:t>
      </w:r>
      <w:r w:rsidRPr="00271E51">
        <w:rPr>
          <w:rFonts w:ascii="Times New Roman" w:hAnsi="Times New Roman"/>
          <w:color w:val="000000" w:themeColor="text1"/>
          <w:sz w:val="16"/>
          <w:szCs w:val="16"/>
        </w:rPr>
        <w:softHyphen/>
        <w:t>вым затвором и испытать его к 11 ноября 1943 г.</w:t>
      </w:r>
    </w:p>
    <w:p w14:paraId="079CFA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КБ завода № 9 провело срочную рабо</w:t>
      </w:r>
      <w:r w:rsidRPr="00271E51">
        <w:rPr>
          <w:rFonts w:ascii="Times New Roman" w:hAnsi="Times New Roman"/>
          <w:color w:val="000000" w:themeColor="text1"/>
          <w:sz w:val="16"/>
          <w:szCs w:val="16"/>
        </w:rPr>
        <w:softHyphen/>
        <w:t>ту по созданию 122-мм танковой пушки Д-25. При этом от</w:t>
      </w:r>
      <w:r w:rsidRPr="00271E51">
        <w:rPr>
          <w:rFonts w:ascii="Times New Roman" w:hAnsi="Times New Roman"/>
          <w:color w:val="000000" w:themeColor="text1"/>
          <w:sz w:val="16"/>
          <w:szCs w:val="16"/>
        </w:rPr>
        <w:softHyphen/>
        <w:t>катные части опытной полевой пушки обр. 1943 г. Д-2, имеющей баллистику 122-мм корпусной пушки обр. 1931 г. А-19, с укороченным на 240 мм стволом были помещены в люльку танкового 85-мм орудия Д-5, у которого были поставлены немного удлиненные тормоз отката и накат</w:t>
      </w:r>
      <w:r w:rsidRPr="00271E51">
        <w:rPr>
          <w:rFonts w:ascii="Times New Roman" w:hAnsi="Times New Roman"/>
          <w:color w:val="000000" w:themeColor="text1"/>
          <w:sz w:val="16"/>
          <w:szCs w:val="16"/>
        </w:rPr>
        <w:softHyphen/>
        <w:t>ник. Так как вес орудия возрос почти на тонну, на него по</w:t>
      </w:r>
      <w:r w:rsidRPr="00271E51">
        <w:rPr>
          <w:rFonts w:ascii="Times New Roman" w:hAnsi="Times New Roman"/>
          <w:color w:val="000000" w:themeColor="text1"/>
          <w:sz w:val="16"/>
          <w:szCs w:val="16"/>
        </w:rPr>
        <w:softHyphen/>
        <w:t>ставили новый подъемный механизм. 30 сентября танк, получивший индекс «Объект 240», был готов и прошел за</w:t>
      </w:r>
      <w:r w:rsidRPr="00271E51">
        <w:rPr>
          <w:rFonts w:ascii="Times New Roman" w:hAnsi="Times New Roman"/>
          <w:color w:val="000000" w:themeColor="text1"/>
          <w:sz w:val="16"/>
          <w:szCs w:val="16"/>
        </w:rPr>
        <w:softHyphen/>
        <w:t>водские испытания пробегом на расстояние 50 км с засто</w:t>
      </w:r>
      <w:r w:rsidRPr="00271E51">
        <w:rPr>
          <w:rFonts w:ascii="Times New Roman" w:hAnsi="Times New Roman"/>
          <w:color w:val="000000" w:themeColor="text1"/>
          <w:sz w:val="16"/>
          <w:szCs w:val="16"/>
        </w:rPr>
        <w:softHyphen/>
        <w:t>поренным и расстопоренным орудием, а также стрельбой серии из 15 выстрелов.</w:t>
      </w:r>
    </w:p>
    <w:p w14:paraId="2C5366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Стрельбы прошли успешно, но не без неожиданностей. Конструктор Н. Шашмурин с каким-то упоением рассказы</w:t>
      </w:r>
      <w:r w:rsidRPr="00271E51">
        <w:rPr>
          <w:rFonts w:ascii="Times New Roman" w:hAnsi="Times New Roman"/>
          <w:color w:val="000000" w:themeColor="text1"/>
          <w:sz w:val="16"/>
          <w:szCs w:val="16"/>
        </w:rPr>
        <w:softHyphen/>
        <w:t>вал, как во время первого же выстрела литой Т-образный дульный тормоз пушки разорвало и разлетевшимися оскол</w:t>
      </w:r>
      <w:r w:rsidRPr="00271E51">
        <w:rPr>
          <w:rFonts w:ascii="Times New Roman" w:hAnsi="Times New Roman"/>
          <w:color w:val="000000" w:themeColor="text1"/>
          <w:sz w:val="16"/>
          <w:szCs w:val="16"/>
        </w:rPr>
        <w:softHyphen/>
        <w:t>ками едва не задело присутствовавшего здесь К. Ворошило</w:t>
      </w:r>
      <w:r w:rsidRPr="00271E51">
        <w:rPr>
          <w:rFonts w:ascii="Times New Roman" w:hAnsi="Times New Roman"/>
          <w:color w:val="000000" w:themeColor="text1"/>
          <w:sz w:val="16"/>
          <w:szCs w:val="16"/>
        </w:rPr>
        <w:softHyphen/>
        <w:t>ва. В отчете же по испытаниям нет ни слова о разрыве тормо</w:t>
      </w:r>
      <w:r w:rsidRPr="00271E51">
        <w:rPr>
          <w:rFonts w:ascii="Times New Roman" w:hAnsi="Times New Roman"/>
          <w:color w:val="000000" w:themeColor="text1"/>
          <w:sz w:val="16"/>
          <w:szCs w:val="16"/>
        </w:rPr>
        <w:softHyphen/>
        <w:t>за, хотя сказано, что дульный тормоз был снят с испытаний по причине «ненадежного крепления и появления трещин»...(11135).</w:t>
      </w:r>
    </w:p>
    <w:p w14:paraId="1683FE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CD9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 было подготовлено письмо:</w:t>
      </w:r>
    </w:p>
    <w:p w14:paraId="47E37E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 ФЕДОРЕНКО!</w:t>
      </w:r>
    </w:p>
    <w:p w14:paraId="7D6918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разобраться о причинах потерь 5-гв ТА в ходе боев под Прохоровкой 12-13 июля с.г.</w:t>
      </w:r>
    </w:p>
    <w:p w14:paraId="43E8CE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Сведения о большом количестве немецких тяжелых танков, противостоявших 5-й гв. ТА, показаниями пленных и работой трофейных команд не подтверждаются.</w:t>
      </w:r>
    </w:p>
    <w:p w14:paraId="554526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Результаты доложить. Срок - 10 дней.</w:t>
      </w:r>
    </w:p>
    <w:p w14:paraId="58E8F8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/Жуков/ (11135).</w:t>
      </w:r>
    </w:p>
    <w:p w14:paraId="7C8523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A2578" w14:textId="77777777" w:rsidR="0003287B" w:rsidRPr="00271E51" w:rsidRDefault="0003287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началу августа 1943 на НИБТ Полигон в Кубинку прибыли две СУ-15М и одна СУ-16. Уже в это время СУ-15М в переписке обозначалась более известным индексом СУ-76М. Испытания на НИБТ Полигоне проходили с 10 по 20 августа, когда СУ-15М уже второй месяц находилась в серийном производстве.</w:t>
      </w:r>
    </w:p>
    <w:p w14:paraId="723C2B75" w14:textId="77777777" w:rsidR="0003287B" w:rsidRPr="00271E51" w:rsidRDefault="0003287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 модернизации САУ на заводе №38 не ограничились одним только снижением боевой массы. Ряд переделок был внесён в конструкцию моторно-трансмиссионной группы и ходовой части. На люке механика-водителя появился визир для грубой наводки. В лобовом листе рубки вместо пистолетного порта появилась заслонка с защитным стеклом, что улучшило обзор с места командира. Испытатели отмечали ненадёжные крепления смотровых приборов, а качество изготовления самих приборов было признано низким. Проблемы с качеством призм на тот момент были общей головной болью советских танков и самоходных установок.</w:t>
      </w:r>
    </w:p>
    <w:p w14:paraId="095C108F" w14:textId="77777777" w:rsidR="0003287B" w:rsidRPr="00271E51" w:rsidRDefault="0003287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Благодаря облегчению модернизированной САУ разница между СУ-15М и СУ-16 в удельной мощности оказалась невелика. Минусом СУ-16 традиционно было признано меньшее по размеру боевое отделение. За время испытаний СУ-15М с серийным номером 57402 прошла 1016 километров (из них по шоссе — 309 и по просёлку — 707), а машина 57406 — 953 километра (304 по шоссе и 649 по просёлку). У первой машины средняя скорость чистого движения составила 26 км/ч, а у второй — 34,1 км/ч. Максимальная скорость составила 43 км/ч, то есть даже больше, чем указывалось в требованиях. Средняя скорость движения по просёлку составила 17,5 и 21,5 км/ч соответственно. В ходе испытаний на местности максимальный угол преодолеваемого подъёма составил 28 градусов, а максимальный крен — 30 градусов.</w:t>
      </w:r>
    </w:p>
    <w:p w14:paraId="2BF3E48A" w14:textId="77777777" w:rsidR="0003287B" w:rsidRPr="00271E51" w:rsidRDefault="0003287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 СУ-15М, и СУ-16 выдержали испытания. Имелись нарекания к различным элементам конструкции, общие с Т-70Б. В целом СУ-15М выглядела явно предпочтительнее. При одинаковой надёжности она была более удобной для расчёта, имела меньшую нагрузку на опорные катки и отличалась большей плавностью хода. Кроме того, машина отличалась большей скорострельностью (не менее 10 выстрелов в минуту). Выбор в пользу производства СУ-15М стал закономерным итогом испытаний. Впрочем, к тому времени завод №38 уже вовсю выпускал эти машины и сдал за август 1943 года 47 СУ-76М вместо запланированных 45 (17728).</w:t>
      </w:r>
    </w:p>
    <w:p w14:paraId="46934A83" w14:textId="77777777" w:rsidR="0003287B" w:rsidRPr="00271E51" w:rsidRDefault="0003287B"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9E6F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два варианта СУ-85 с пушками ЦАКБ и КБ завода №9 (т.е. В.Г.Грабина и Ф.Ф.Петрова) были представлены на испытания. Их лучше выдержала машина с пушкой Д-5С (иначе Д-5-С-85) завода №9 (3905).</w:t>
      </w:r>
    </w:p>
    <w:p w14:paraId="281F3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E9038"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В начале августа 1943 во время испытаний опытных образцов СУ-85 были продемонстрированы преимущества Д-5Т. Несмотря на то, что Д-5С-85, установленная в СУ-85-II, имела массу мелких недочётов, она оказалась лучше систем разработки ЦАКБ (17710).</w:t>
      </w:r>
    </w:p>
    <w:p w14:paraId="53DF8F02" w14:textId="77777777" w:rsidR="00995DF2" w:rsidRPr="00271E51" w:rsidRDefault="00995DF2" w:rsidP="00271E51">
      <w:pPr>
        <w:spacing w:after="0" w:line="240" w:lineRule="auto"/>
        <w:jc w:val="both"/>
        <w:rPr>
          <w:rFonts w:ascii="Times New Roman" w:hAnsi="Times New Roman"/>
          <w:color w:val="000000" w:themeColor="text1"/>
          <w:sz w:val="16"/>
          <w:szCs w:val="16"/>
        </w:rPr>
      </w:pPr>
    </w:p>
    <w:p w14:paraId="427E11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 из ворот завода № 38 на заводские испытания вышла машина СУ-57, представлявшая собой серийную СУ-76 (СУ-15М) с установленным вместо 76-мм пушки СУ-15 (кач. часть ЗИС-3) ее 57-мм противотанковой версии СУ-15-57 (кач. часть ЗИС-2). Испытания показали, что усилие отката 57-мм орудия немного выходит за пределы, оговоренные заказчиком. Кроме того, военные мотивировали отказ от САУ тем, что истребители танков должны были, по их мнению, иметь закрытый бронекорпус противоснарядного бронирования и дизельный двигатель, как менее пожароопасный в замкнутом объеме (5742, 14).</w:t>
      </w:r>
    </w:p>
    <w:p w14:paraId="796B6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42C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 заводом № 38 была представлена на заводские испытания опытная противотанковая самоходная установка СУ-57, которая представляла собой серийную машину СУ-76М с установкой вместо качающейся части 76,2-мм пуш</w:t>
      </w:r>
      <w:r w:rsidRPr="00271E51">
        <w:rPr>
          <w:rFonts w:ascii="Times New Roman" w:hAnsi="Times New Roman"/>
          <w:color w:val="000000" w:themeColor="text1"/>
          <w:sz w:val="16"/>
          <w:szCs w:val="16"/>
        </w:rPr>
        <w:softHyphen/>
        <w:t>ки ЗИС-3 качающейся части 57-мм пушки ЗИС-2. Проведенные испы</w:t>
      </w:r>
      <w:r w:rsidRPr="00271E51">
        <w:rPr>
          <w:rFonts w:ascii="Times New Roman" w:hAnsi="Times New Roman"/>
          <w:color w:val="000000" w:themeColor="text1"/>
          <w:sz w:val="16"/>
          <w:szCs w:val="16"/>
        </w:rPr>
        <w:softHyphen/>
        <w:t>тания показали, что усилие отката 57-мм орудия немного превышает ТТТ, оговоренные заказчиком. Из-за отсутствия противоснарядного бронирования, наличия открытого сверху боевого отделения и исполь</w:t>
      </w:r>
      <w:r w:rsidRPr="00271E51">
        <w:rPr>
          <w:rFonts w:ascii="Times New Roman" w:hAnsi="Times New Roman"/>
          <w:color w:val="000000" w:themeColor="text1"/>
          <w:sz w:val="16"/>
          <w:szCs w:val="16"/>
        </w:rPr>
        <w:softHyphen/>
        <w:t>зования карбюраторных двигателей вместо дизеля, от принятия на во</w:t>
      </w:r>
      <w:r w:rsidRPr="00271E51">
        <w:rPr>
          <w:rFonts w:ascii="Times New Roman" w:hAnsi="Times New Roman"/>
          <w:color w:val="000000" w:themeColor="text1"/>
          <w:sz w:val="16"/>
          <w:szCs w:val="16"/>
        </w:rPr>
        <w:softHyphen/>
        <w:t>оружение этой самоходной установки отказались (10703).</w:t>
      </w:r>
    </w:p>
    <w:p w14:paraId="1A558D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16DA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 из ворот завода № 38 на испыта</w:t>
      </w:r>
      <w:r w:rsidRPr="00271E51">
        <w:rPr>
          <w:rFonts w:ascii="Times New Roman" w:hAnsi="Times New Roman"/>
          <w:color w:val="000000" w:themeColor="text1"/>
          <w:sz w:val="16"/>
          <w:szCs w:val="16"/>
        </w:rPr>
        <w:softHyphen/>
        <w:t>ния вышла машина СУ-57, представлявшая собой серийную СУ-76 (СУ-15М) с установленной вместо 76-мм пушки ее 57-мм противотанковой версии СУ-15-57 (кач. часть ЗИС-2). Но испытания показали, что усилие отката 57-мм орудия выходит за пределы, оговоренные заказчиком. Кроме того, во</w:t>
      </w:r>
      <w:r w:rsidRPr="00271E51">
        <w:rPr>
          <w:rFonts w:ascii="Times New Roman" w:hAnsi="Times New Roman"/>
          <w:color w:val="000000" w:themeColor="text1"/>
          <w:sz w:val="16"/>
          <w:szCs w:val="16"/>
        </w:rPr>
        <w:softHyphen/>
        <w:t>енные мотивировали отказ от САУ тем, что истребители тан</w:t>
      </w:r>
      <w:r w:rsidRPr="00271E51">
        <w:rPr>
          <w:rFonts w:ascii="Times New Roman" w:hAnsi="Times New Roman"/>
          <w:color w:val="000000" w:themeColor="text1"/>
          <w:sz w:val="16"/>
          <w:szCs w:val="16"/>
        </w:rPr>
        <w:softHyphen/>
        <w:t>ков должны были, по их мнению, иметь закрытый бронекор-пус противоснарядного бронирования и дизельный двига</w:t>
      </w:r>
      <w:r w:rsidRPr="00271E51">
        <w:rPr>
          <w:rFonts w:ascii="Times New Roman" w:hAnsi="Times New Roman"/>
          <w:color w:val="000000" w:themeColor="text1"/>
          <w:sz w:val="16"/>
          <w:szCs w:val="16"/>
        </w:rPr>
        <w:softHyphen/>
        <w:t>тель, как менее пожароопасный в замкнутом объеме (11417).</w:t>
      </w:r>
    </w:p>
    <w:p w14:paraId="0AC3C6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016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 усовершенствованный образец тягача, оборудованный дизельным двигателем, двухместной деревянной кабиной и упрощенной грузовой платформой, поступил на испытания, которые прошли удовлетворительно (5744, 30).</w:t>
      </w:r>
    </w:p>
    <w:p w14:paraId="7F908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FB5C2"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года были изготовлены три новых дизельных тягача, получивших марку Я-12. На одном из них снова съездили в Москву, в ГАУ. Этот пробег засчитали за заводские испытания, и машина была принята на вооружение.</w:t>
      </w:r>
    </w:p>
    <w:p w14:paraId="267CCC7D"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как и в войсках, все Я-12 продемонстрировали вполне удовлетворительную надежность, хорошую динамику, достаточную плавность хода, высокую максимальную скорость, удобство управления. Неплохая для машин такого весового класса тяга по грунту позволяла уверенно буксировать 85-мм зенитные пушки 52К, 122-мм корпусные орудия А-19, 152-мм гаубицы-пушки МЛ-20 и даже 203-мм тяжелые гаубицы Б-4.</w:t>
      </w:r>
    </w:p>
    <w:p w14:paraId="1CBD984D"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ремонте Я-12, особенно полевом, положение облегчала высокая степень унификации агрегатов трансмиссии (БФ, тормоза, важнейшие элементы ГП и БП) и ходовой части (практически полностью) с соответствующими агрегатами и деталями </w:t>
      </w:r>
      <w:hyperlink r:id="rId53" w:tgtFrame="_blank" w:history="1">
        <w:r w:rsidRPr="00271E51">
          <w:rPr>
            <w:rFonts w:ascii="Times New Roman" w:hAnsi="Times New Roman"/>
            <w:color w:val="000000" w:themeColor="text1"/>
            <w:sz w:val="16"/>
            <w:szCs w:val="16"/>
          </w:rPr>
          <w:t>танк</w:t>
        </w:r>
      </w:hyperlink>
      <w:r w:rsidRPr="00271E51">
        <w:rPr>
          <w:rFonts w:ascii="Times New Roman" w:hAnsi="Times New Roman"/>
          <w:color w:val="000000" w:themeColor="text1"/>
          <w:sz w:val="16"/>
          <w:szCs w:val="16"/>
        </w:rPr>
        <w:t>ов Т-70М и особенно самоходных установок СУ-76М, к тому времени массово выпускавшихся на трех заводах, технологически лучше оснащенных, чем ЯАЗ. Например, вместо ГП Я-12 можно было поставить ГП СУ-76М с уменьшением при этом максимальной скорости до 29,5 км/ч. Поэтому при выходе Я-12 из строя их обычно восстанавливали достаточно быстро и безвозвратные потери были невелики.</w:t>
      </w:r>
    </w:p>
    <w:p w14:paraId="308880FD"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Новая машина, выполненная на более высоком техническом уровне, по сравнению с довоенными тягачами, получила признание и у артиллеристов, и у водителей-эксплуатационников, а также у ремонтников - обслуживать Я-12 оказалось несравненно проще, а запчастей к ним вполне хватало (в том числе к дизелю (GМС-4-71). В августе 1944 года Указом Президиума Верховного Совета СССР за разработку и освоение в производстве быстроходного тягача Иван Иванович Дронг получил орден Красной Звезды. Были награждены и другие участники работ по Я-11 и Я-12.</w:t>
      </w:r>
    </w:p>
    <w:p w14:paraId="7FC93A88"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Хроническим недостатком Я-12, заранее обусловленным и перешедшим на него с Я-11, являлось применение </w:t>
      </w:r>
      <w:hyperlink r:id="rId54" w:tgtFrame="_blank" w:history="1">
        <w:r w:rsidRPr="00271E51">
          <w:rPr>
            <w:rFonts w:ascii="Times New Roman" w:hAnsi="Times New Roman"/>
            <w:color w:val="000000" w:themeColor="text1"/>
            <w:sz w:val="16"/>
            <w:szCs w:val="16"/>
          </w:rPr>
          <w:t>танк</w:t>
        </w:r>
      </w:hyperlink>
      <w:r w:rsidRPr="00271E51">
        <w:rPr>
          <w:rFonts w:ascii="Times New Roman" w:hAnsi="Times New Roman"/>
          <w:color w:val="000000" w:themeColor="text1"/>
          <w:sz w:val="16"/>
          <w:szCs w:val="16"/>
        </w:rPr>
        <w:t>овых траков с недостаточно развитыми грунтозацепами и, соответственно, с плохими сцепными свойствами при движении по густой грязи и при гололеде. Правда, на каждый девятый трак могли одеваться шпоры, но они редко бывали в наличии, да и помогали мало. Машина, обладая даже на тяжелом бездорожье избыточной силой тяги по двигателю, но недостаточной по сцеплению, порой буксовала на обледенелом подъеме с 5-тонным прицепом, который совершенно свободно мог вытягивать гусеничный трактор ЧТЗ-С-65. Нередко для этих целей использовали сцеп из трех тягачей.</w:t>
      </w:r>
    </w:p>
    <w:p w14:paraId="65D75E54"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войны в частях Красной Армии находилось 1270 ярославских тягачей всех модификаций. Встречались они и в частях Войска Польского, и в Чехословацком корпусе. Я-12 принимали участие в параде Победы. Так как их эксплуатация активно продолжалась и после войны, в 1946 году один Я-12 прошел на Кубинкском полигоне повторные, как бы контрольные испытания. Заодно они подтвердили эффективность внесенных в конструкцию изменений. В артиллерийских частях и как буксировщики в ВВС служили тягачи Я-12 достаточно долго. По крайней мере, в Гороховецких лагерях они встречались еще в 1954 году. В основном оттого, что трудностей с запчастями к ним не было, а силовой агрегат GМС-4-71 всегда можно было заменить на ЯАЗ-204 - его метризованную копию. В памяти артиллеристов Я-12 остался не идеальным, но вполне надежным тягачом, который может работать практически в любых дорожных и погодных условиях, и способным если не в одиночку, то в паре обеспечить доставку тяжелого орудия на огневую позицию (15646).</w:t>
      </w:r>
    </w:p>
    <w:p w14:paraId="124A9E26" w14:textId="77777777" w:rsidR="000F1C2D" w:rsidRPr="00271E51" w:rsidRDefault="000F1C2D" w:rsidP="00271E51">
      <w:pPr>
        <w:spacing w:after="0" w:line="240" w:lineRule="auto"/>
        <w:jc w:val="both"/>
        <w:rPr>
          <w:rFonts w:ascii="Times New Roman" w:hAnsi="Times New Roman"/>
          <w:color w:val="000000" w:themeColor="text1"/>
          <w:sz w:val="16"/>
          <w:szCs w:val="16"/>
        </w:rPr>
      </w:pPr>
    </w:p>
    <w:p w14:paraId="53A1E54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4E5C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1AD8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августа 1943 на фронте появил</w:t>
      </w:r>
      <w:r w:rsidRPr="00271E51">
        <w:rPr>
          <w:rFonts w:ascii="Times New Roman" w:hAnsi="Times New Roman"/>
          <w:color w:val="000000" w:themeColor="text1"/>
          <w:sz w:val="16"/>
          <w:szCs w:val="16"/>
        </w:rPr>
        <w:softHyphen/>
        <w:t>ся еще один полк на "спитфайрах" - 821-й майора В. Чалова. На 4 августа в его составе находились 29 истреби</w:t>
      </w:r>
      <w:r w:rsidRPr="00271E51">
        <w:rPr>
          <w:rFonts w:ascii="Times New Roman" w:hAnsi="Times New Roman"/>
          <w:color w:val="000000" w:themeColor="text1"/>
          <w:sz w:val="16"/>
          <w:szCs w:val="16"/>
        </w:rPr>
        <w:softHyphen/>
        <w:t>телей. Полк воевал в составе 8-й воз</w:t>
      </w:r>
      <w:r w:rsidRPr="00271E51">
        <w:rPr>
          <w:rFonts w:ascii="Times New Roman" w:hAnsi="Times New Roman"/>
          <w:color w:val="000000" w:themeColor="text1"/>
          <w:sz w:val="16"/>
          <w:szCs w:val="16"/>
        </w:rPr>
        <w:softHyphen/>
        <w:t>душной армии в районе рек Молоч</w:t>
      </w:r>
      <w:r w:rsidRPr="00271E51">
        <w:rPr>
          <w:rFonts w:ascii="Times New Roman" w:hAnsi="Times New Roman"/>
          <w:color w:val="000000" w:themeColor="text1"/>
          <w:sz w:val="16"/>
          <w:szCs w:val="16"/>
        </w:rPr>
        <w:softHyphen/>
        <w:t>ная и Миус, базировался в Шахтах и Чапаевке. Его самолеты применялись, в основном, для прикрытия войск у ли</w:t>
      </w:r>
      <w:r w:rsidRPr="00271E51">
        <w:rPr>
          <w:rFonts w:ascii="Times New Roman" w:hAnsi="Times New Roman"/>
          <w:color w:val="000000" w:themeColor="text1"/>
          <w:sz w:val="16"/>
          <w:szCs w:val="16"/>
        </w:rPr>
        <w:softHyphen/>
        <w:t>нии фронта, поскольку их довольно изношенные моторы часто выходили из строя. По этой причине на счету лет</w:t>
      </w:r>
      <w:r w:rsidRPr="00271E51">
        <w:rPr>
          <w:rFonts w:ascii="Times New Roman" w:hAnsi="Times New Roman"/>
          <w:color w:val="000000" w:themeColor="text1"/>
          <w:sz w:val="16"/>
          <w:szCs w:val="16"/>
        </w:rPr>
        <w:softHyphen/>
        <w:t>чиков было немало вынужденных по</w:t>
      </w:r>
      <w:r w:rsidRPr="00271E51">
        <w:rPr>
          <w:rFonts w:ascii="Times New Roman" w:hAnsi="Times New Roman"/>
          <w:color w:val="000000" w:themeColor="text1"/>
          <w:sz w:val="16"/>
          <w:szCs w:val="16"/>
        </w:rPr>
        <w:softHyphen/>
        <w:t>садок. Тем не менее по небоевым при</w:t>
      </w:r>
      <w:r w:rsidRPr="00271E51">
        <w:rPr>
          <w:rFonts w:ascii="Times New Roman" w:hAnsi="Times New Roman"/>
          <w:color w:val="000000" w:themeColor="text1"/>
          <w:sz w:val="16"/>
          <w:szCs w:val="16"/>
        </w:rPr>
        <w:softHyphen/>
        <w:t>чинам списали всего один "Спитфайр". До 26 августа пилоты 821-го иап сби</w:t>
      </w:r>
      <w:r w:rsidRPr="00271E51">
        <w:rPr>
          <w:rFonts w:ascii="Times New Roman" w:hAnsi="Times New Roman"/>
          <w:color w:val="000000" w:themeColor="text1"/>
          <w:sz w:val="16"/>
          <w:szCs w:val="16"/>
        </w:rPr>
        <w:softHyphen/>
        <w:t>ли пять Ме 109, три ФВ 189, один ФВ 190 и один Ю 87. Один немецкий раз</w:t>
      </w:r>
      <w:r w:rsidRPr="00271E51">
        <w:rPr>
          <w:rFonts w:ascii="Times New Roman" w:hAnsi="Times New Roman"/>
          <w:color w:val="000000" w:themeColor="text1"/>
          <w:sz w:val="16"/>
          <w:szCs w:val="16"/>
        </w:rPr>
        <w:softHyphen/>
        <w:t>ведчик был уничтожен тараном (10790).</w:t>
      </w:r>
    </w:p>
    <w:p w14:paraId="43EF2A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39299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0FD9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9941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августа 1943 Ил-2М с винтом АВ-5л-158 перелетел в Москву на за</w:t>
      </w:r>
      <w:r w:rsidRPr="00271E51">
        <w:rPr>
          <w:rFonts w:ascii="Times New Roman" w:hAnsi="Times New Roman"/>
          <w:color w:val="000000" w:themeColor="text1"/>
          <w:sz w:val="16"/>
          <w:szCs w:val="16"/>
        </w:rPr>
        <w:softHyphen/>
        <w:t>вод № 240, где предполагалось про</w:t>
      </w:r>
      <w:r w:rsidRPr="00271E51">
        <w:rPr>
          <w:rFonts w:ascii="Times New Roman" w:hAnsi="Times New Roman"/>
          <w:color w:val="000000" w:themeColor="text1"/>
          <w:sz w:val="16"/>
          <w:szCs w:val="16"/>
        </w:rPr>
        <w:softHyphen/>
        <w:t>должить доводку машины и провести весь цикл официальных заводских ис</w:t>
      </w:r>
      <w:r w:rsidRPr="00271E51">
        <w:rPr>
          <w:rFonts w:ascii="Times New Roman" w:hAnsi="Times New Roman"/>
          <w:color w:val="000000" w:themeColor="text1"/>
          <w:sz w:val="16"/>
          <w:szCs w:val="16"/>
        </w:rPr>
        <w:softHyphen/>
        <w:t>пытаний.</w:t>
      </w:r>
    </w:p>
    <w:p w14:paraId="117CC6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приказом по НКАП от 12 июля 1943 завод № 18 обязывался построить эталон нового штурмови</w:t>
      </w:r>
      <w:r w:rsidRPr="00271E51">
        <w:rPr>
          <w:rFonts w:ascii="Times New Roman" w:hAnsi="Times New Roman"/>
          <w:color w:val="000000" w:themeColor="text1"/>
          <w:sz w:val="16"/>
          <w:szCs w:val="16"/>
        </w:rPr>
        <w:softHyphen/>
        <w:t>ка для серийного производства. Са</w:t>
      </w:r>
      <w:r w:rsidRPr="00271E51">
        <w:rPr>
          <w:rFonts w:ascii="Times New Roman" w:hAnsi="Times New Roman"/>
          <w:color w:val="000000" w:themeColor="text1"/>
          <w:sz w:val="16"/>
          <w:szCs w:val="16"/>
        </w:rPr>
        <w:softHyphen/>
        <w:t>молет получил заводское обозначе</w:t>
      </w:r>
      <w:r w:rsidRPr="00271E51">
        <w:rPr>
          <w:rFonts w:ascii="Times New Roman" w:hAnsi="Times New Roman"/>
          <w:color w:val="000000" w:themeColor="text1"/>
          <w:sz w:val="16"/>
          <w:szCs w:val="16"/>
        </w:rPr>
        <w:softHyphen/>
        <w:t>ние С-42. В отличие от Ил-2М кон</w:t>
      </w:r>
      <w:r w:rsidRPr="00271E51">
        <w:rPr>
          <w:rFonts w:ascii="Times New Roman" w:hAnsi="Times New Roman"/>
          <w:color w:val="000000" w:themeColor="text1"/>
          <w:sz w:val="16"/>
          <w:szCs w:val="16"/>
        </w:rPr>
        <w:softHyphen/>
        <w:t>соли крыла эталона отводились на</w:t>
      </w:r>
      <w:r w:rsidRPr="00271E51">
        <w:rPr>
          <w:rFonts w:ascii="Times New Roman" w:hAnsi="Times New Roman"/>
          <w:color w:val="000000" w:themeColor="text1"/>
          <w:sz w:val="16"/>
          <w:szCs w:val="16"/>
        </w:rPr>
        <w:softHyphen/>
        <w:t>зад на 6°, а само крыло несколько смещалось назад. Усиливались сты</w:t>
      </w:r>
      <w:r w:rsidRPr="00271E51">
        <w:rPr>
          <w:rFonts w:ascii="Times New Roman" w:hAnsi="Times New Roman"/>
          <w:color w:val="000000" w:themeColor="text1"/>
          <w:sz w:val="16"/>
          <w:szCs w:val="16"/>
        </w:rPr>
        <w:softHyphen/>
        <w:t>ковочные узлы крыла с центропла</w:t>
      </w:r>
      <w:r w:rsidRPr="00271E51">
        <w:rPr>
          <w:rFonts w:ascii="Times New Roman" w:hAnsi="Times New Roman"/>
          <w:color w:val="000000" w:themeColor="text1"/>
          <w:sz w:val="16"/>
          <w:szCs w:val="16"/>
        </w:rPr>
        <w:softHyphen/>
        <w:t>ном накладками (от 6 до 7 нервю</w:t>
      </w:r>
      <w:r w:rsidRPr="00271E51">
        <w:rPr>
          <w:rFonts w:ascii="Times New Roman" w:hAnsi="Times New Roman"/>
          <w:color w:val="000000" w:themeColor="text1"/>
          <w:sz w:val="16"/>
          <w:szCs w:val="16"/>
        </w:rPr>
        <w:softHyphen/>
        <w:t>ры), а также крепление нервюр (на</w:t>
      </w:r>
      <w:r w:rsidRPr="00271E51">
        <w:rPr>
          <w:rFonts w:ascii="Times New Roman" w:hAnsi="Times New Roman"/>
          <w:color w:val="000000" w:themeColor="text1"/>
          <w:sz w:val="16"/>
          <w:szCs w:val="16"/>
        </w:rPr>
        <w:softHyphen/>
        <w:t>чиная с 5-й) к лонжеронам крыла. Само крыло несколько изменялось - хвостики нервюр в месте подвески элерона выполнялись укороченными. Зализ стыка центроплана с фюзеля</w:t>
      </w:r>
      <w:r w:rsidRPr="00271E51">
        <w:rPr>
          <w:rFonts w:ascii="Times New Roman" w:hAnsi="Times New Roman"/>
          <w:color w:val="000000" w:themeColor="text1"/>
          <w:sz w:val="16"/>
          <w:szCs w:val="16"/>
        </w:rPr>
        <w:softHyphen/>
        <w:t>жем ставился только на хвостике цен</w:t>
      </w:r>
      <w:r w:rsidRPr="00271E51">
        <w:rPr>
          <w:rFonts w:ascii="Times New Roman" w:hAnsi="Times New Roman"/>
          <w:color w:val="000000" w:themeColor="text1"/>
          <w:sz w:val="16"/>
          <w:szCs w:val="16"/>
        </w:rPr>
        <w:softHyphen/>
        <w:t>троплана и на носке крыла.</w:t>
      </w:r>
    </w:p>
    <w:p w14:paraId="7AE4AF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Аэродинамика С-42 была не</w:t>
      </w:r>
      <w:r w:rsidRPr="00271E51">
        <w:rPr>
          <w:rFonts w:ascii="Times New Roman" w:hAnsi="Times New Roman"/>
          <w:color w:val="000000" w:themeColor="text1"/>
          <w:sz w:val="16"/>
          <w:szCs w:val="16"/>
        </w:rPr>
        <w:softHyphen/>
        <w:t>сколько облагорожена за счет уста</w:t>
      </w:r>
      <w:r w:rsidRPr="00271E51">
        <w:rPr>
          <w:rFonts w:ascii="Times New Roman" w:hAnsi="Times New Roman"/>
          <w:color w:val="000000" w:themeColor="text1"/>
          <w:sz w:val="16"/>
          <w:szCs w:val="16"/>
        </w:rPr>
        <w:softHyphen/>
        <w:t>новки встык листов обшивки консо</w:t>
      </w:r>
      <w:r w:rsidRPr="00271E51">
        <w:rPr>
          <w:rFonts w:ascii="Times New Roman" w:hAnsi="Times New Roman"/>
          <w:color w:val="000000" w:themeColor="text1"/>
          <w:sz w:val="16"/>
          <w:szCs w:val="16"/>
        </w:rPr>
        <w:softHyphen/>
        <w:t>лей и центроплана и применения клепки впотай, а также уборки хвос</w:t>
      </w:r>
      <w:r w:rsidRPr="00271E51">
        <w:rPr>
          <w:rFonts w:ascii="Times New Roman" w:hAnsi="Times New Roman"/>
          <w:color w:val="000000" w:themeColor="text1"/>
          <w:sz w:val="16"/>
          <w:szCs w:val="16"/>
        </w:rPr>
        <w:softHyphen/>
        <w:t>тового колеса в полете.</w:t>
      </w:r>
    </w:p>
    <w:p w14:paraId="323DC2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эксплуатационных возможностей самолета вместо съем</w:t>
      </w:r>
      <w:r w:rsidRPr="00271E51">
        <w:rPr>
          <w:rFonts w:ascii="Times New Roman" w:hAnsi="Times New Roman"/>
          <w:color w:val="000000" w:themeColor="text1"/>
          <w:sz w:val="16"/>
          <w:szCs w:val="16"/>
        </w:rPr>
        <w:softHyphen/>
        <w:t>ных патронных и снарядных ящиков в крыле монтировались специальные встроенные отсеки.</w:t>
      </w:r>
    </w:p>
    <w:p w14:paraId="066368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пилотажных качеств и снижение нагрузок на ручку управ</w:t>
      </w:r>
      <w:r w:rsidRPr="00271E51">
        <w:rPr>
          <w:rFonts w:ascii="Times New Roman" w:hAnsi="Times New Roman"/>
          <w:color w:val="000000" w:themeColor="text1"/>
          <w:sz w:val="16"/>
          <w:szCs w:val="16"/>
        </w:rPr>
        <w:softHyphen/>
        <w:t>ления обеспечивалось путем увели</w:t>
      </w:r>
      <w:r w:rsidRPr="00271E51">
        <w:rPr>
          <w:rFonts w:ascii="Times New Roman" w:hAnsi="Times New Roman"/>
          <w:color w:val="000000" w:themeColor="text1"/>
          <w:sz w:val="16"/>
          <w:szCs w:val="16"/>
        </w:rPr>
        <w:softHyphen/>
        <w:t>чения до 30% осевой компенсации элеронов и руля высоты. Кроме это</w:t>
      </w:r>
      <w:r w:rsidRPr="00271E51">
        <w:rPr>
          <w:rFonts w:ascii="Times New Roman" w:hAnsi="Times New Roman"/>
          <w:color w:val="000000" w:themeColor="text1"/>
          <w:sz w:val="16"/>
          <w:szCs w:val="16"/>
        </w:rPr>
        <w:softHyphen/>
        <w:t>го, устанавливалась новая проводка управления триммерами.</w:t>
      </w:r>
    </w:p>
    <w:p w14:paraId="2EB872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Предусматривалась также уста</w:t>
      </w:r>
      <w:r w:rsidRPr="00271E51">
        <w:rPr>
          <w:rFonts w:ascii="Times New Roman" w:hAnsi="Times New Roman"/>
          <w:color w:val="000000" w:themeColor="text1"/>
          <w:sz w:val="16"/>
          <w:szCs w:val="16"/>
        </w:rPr>
        <w:softHyphen/>
        <w:t>новка щитков на вираж (отклонение 17°) с кнопочным управлением. Это</w:t>
      </w:r>
    </w:p>
    <w:p w14:paraId="750DF6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мероприятие уменьшало радиус ви</w:t>
      </w:r>
      <w:r w:rsidRPr="00271E51">
        <w:rPr>
          <w:rFonts w:ascii="Times New Roman" w:hAnsi="Times New Roman"/>
          <w:color w:val="000000" w:themeColor="text1"/>
          <w:sz w:val="16"/>
          <w:szCs w:val="16"/>
        </w:rPr>
        <w:softHyphen/>
        <w:t>ража.</w:t>
      </w:r>
    </w:p>
    <w:p w14:paraId="33C820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самолета повы</w:t>
      </w:r>
      <w:r w:rsidRPr="00271E51">
        <w:rPr>
          <w:rFonts w:ascii="Times New Roman" w:hAnsi="Times New Roman"/>
          <w:color w:val="000000" w:themeColor="text1"/>
          <w:sz w:val="16"/>
          <w:szCs w:val="16"/>
        </w:rPr>
        <w:softHyphen/>
        <w:t>шалась путем постановки дополни</w:t>
      </w:r>
      <w:r w:rsidRPr="00271E51">
        <w:rPr>
          <w:rFonts w:ascii="Times New Roman" w:hAnsi="Times New Roman"/>
          <w:color w:val="000000" w:themeColor="text1"/>
          <w:sz w:val="16"/>
          <w:szCs w:val="16"/>
        </w:rPr>
        <w:softHyphen/>
        <w:t>тельной тросовой проводки управ</w:t>
      </w:r>
      <w:r w:rsidRPr="00271E51">
        <w:rPr>
          <w:rFonts w:ascii="Times New Roman" w:hAnsi="Times New Roman"/>
          <w:color w:val="000000" w:themeColor="text1"/>
          <w:sz w:val="16"/>
          <w:szCs w:val="16"/>
        </w:rPr>
        <w:softHyphen/>
        <w:t>ления рулем высоты за пределами бронекорпуса (в хвостовой части фю</w:t>
      </w:r>
      <w:r w:rsidRPr="00271E51">
        <w:rPr>
          <w:rFonts w:ascii="Times New Roman" w:hAnsi="Times New Roman"/>
          <w:color w:val="000000" w:themeColor="text1"/>
          <w:sz w:val="16"/>
          <w:szCs w:val="16"/>
        </w:rPr>
        <w:softHyphen/>
        <w:t>зеляжа) (11427).</w:t>
      </w:r>
    </w:p>
    <w:p w14:paraId="1F8EB0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1BF6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после прибытия Ил-2М в Москву в переписке стали использовать только одно наименование Ил-2 АМ-42 с добавлением разведчик и корректировщик артогня (для самолета завода № 240) или штурмовик-бомбардировщик (для самолета завода № 18). Иногда указывался номер завода изготовителя без упоминания тактического назначения самолета (12020).</w:t>
      </w:r>
    </w:p>
    <w:p w14:paraId="0BC0B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34B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директор завода 39 Абрамов направил А.И.Ш. телефонограмму:</w:t>
      </w:r>
    </w:p>
    <w:p w14:paraId="3FB57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самолет Ил-6 сделал первый вылет, полет продолжался 7 минут. Полет прекращен из-за неисправности ВМГ:</w:t>
      </w:r>
    </w:p>
    <w:p w14:paraId="2F350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падение давления масла до 2 атмосфер</w:t>
      </w:r>
    </w:p>
    <w:p w14:paraId="1F87CB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Замечаний к самолету не имеется (1768,215).</w:t>
      </w:r>
    </w:p>
    <w:p w14:paraId="3789F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97A98" w14:textId="77777777" w:rsidR="00DD5CFD" w:rsidRPr="00271E51" w:rsidRDefault="00DD5CFD"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7-го августа 1943 года экипаж Коккинаки совершил первый полет на Ил-6. Всего было выполнено более десяти полетов. Испытания самолета шли трудно, сказывалась не совсем надежная работа дизельных двигателей АЧ-30Б и некоторые затруднения в пилотировании машины, особенно при посадке, причину которых долго не могли установить. Ил-6 разобрали и отправили в ОКБ Ильюшина в Москву (15223).</w:t>
      </w:r>
    </w:p>
    <w:p w14:paraId="57D0F1DC" w14:textId="77777777" w:rsidR="00DD5CFD" w:rsidRPr="00271E51" w:rsidRDefault="00DD5CFD" w:rsidP="00271E51">
      <w:pPr>
        <w:shd w:val="clear" w:color="auto" w:fill="FFFFFF"/>
        <w:spacing w:after="0" w:line="240" w:lineRule="auto"/>
        <w:jc w:val="both"/>
        <w:rPr>
          <w:rFonts w:ascii="Times New Roman" w:hAnsi="Times New Roman"/>
          <w:color w:val="000000" w:themeColor="text1"/>
          <w:sz w:val="16"/>
          <w:szCs w:val="16"/>
        </w:rPr>
      </w:pPr>
    </w:p>
    <w:p w14:paraId="05DB5A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А.И.Ш. писал И.В.С. письмо N 4074:</w:t>
      </w:r>
    </w:p>
    <w:p w14:paraId="4B1FD8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Ил-6 с М-30 сегодня 7 августа в 2 часа дня по местному времени в Иркутске на заводе 39 произвел первый полет. Самолет пилотировал в качестве первого л В.К.К., вторым л был л завода 39 Бушкевич.</w:t>
      </w:r>
    </w:p>
    <w:p w14:paraId="1FBDA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продолжался 7 минут и происходил над аэродромом</w:t>
      </w:r>
    </w:p>
    <w:p w14:paraId="4B0851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отзыву В.К.К. самолет вел себя нормально</w:t>
      </w:r>
    </w:p>
    <w:p w14:paraId="1919CF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Ведется подготовка самолета к полету и проверяется ВМГ, т.к. в полете было замечено падение давления масла</w:t>
      </w:r>
    </w:p>
    <w:p w14:paraId="0E35F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Следующий полет намечается на 8 августа (1690,63).</w:t>
      </w:r>
    </w:p>
    <w:p w14:paraId="469AE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0E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состоялся первый полет Ил-6. Самолет был облегчен - без боковых пушек и экипажем в 5 (5,52), т.к. использовали АЧ-30Б (БФ - 508) Летал В.К.Коккинаки. Испытания шли трудно, передали в ЛИИ, летали А.Н.Гринчик и Н.С.Рыбко (5,53).</w:t>
      </w:r>
    </w:p>
    <w:p w14:paraId="759E2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Ил-6 строили на 22 заводе в Казани и там В.К.К. выполнил на нем первый полет в августе 1943 (669,478).</w:t>
      </w:r>
    </w:p>
    <w:p w14:paraId="4EC0A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Низкоплан с однокилевым оперением. Размер - почти как у ДБ-4 (5,51), но крыло - иное - с одним профилем, положительной стреловидностью и большим сужением и удлинением. Нагрузка - 220 кг/м (5,51).</w:t>
      </w:r>
    </w:p>
    <w:p w14:paraId="501C0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Гондолы - поджатые, водорадиаторы - в крыльевых туннелях с входом через носок и выходом под крыло c регулируемой заслонкой (5,52).</w:t>
      </w:r>
    </w:p>
    <w:p w14:paraId="5F190E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пилота сидели рядом, штурман, стрелок-радист (верхняя башня) и еще два стрелка у бортов (24,218). Броня - 400 кг (5,52).</w:t>
      </w:r>
    </w:p>
    <w:p w14:paraId="5F3CEA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Пять установок с одной пушкой Ш-20 20 мм каждая. Боезапас - 850 снарядов (5,52).</w:t>
      </w:r>
    </w:p>
    <w:p w14:paraId="3EF772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Бомбоотсек для 20 ФАБ-100, 8 ФАБ-250, 4 ФАБ-500. Держатели - по оси (5,52) - два ряда для ФАБ-100. Две ФАБ-1000 или две торпеды на внешней подвеске.</w:t>
      </w:r>
    </w:p>
    <w:p w14:paraId="35F1C4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состоялся первый полет Пе-2 с ЖРД РД-1 В.П.Глушко (237,202). В испытаниях принимали участие С.П.К. и Д.Д.Севрук - оба арестанты (1847,71).</w:t>
      </w:r>
    </w:p>
    <w:p w14:paraId="170EBD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8B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в Иркутске под управлением В.К.Коккинаки состоялся первый полет самолета Ил-6. Заводской аэродром в Иркутске имел хорошие подходы к взлетно-посадочной полосе, и при выполнении нескольких испытательных полетов Коккинаки не заметил особых проблем в пилотировании самолета, кроме малого запаса руля высоты и больших усилий на штурвале при посадке. Самолет разобрали и поездом доставили в Москву на Центральный аэродром. Первый взлет с этого аэродрома В.К.Коккинаки и его брат К.К.Коккинаки, тоже летчик-испытатель, выполнили нормально. Но посадка осложнилась лесом, росшим на краю Ходынского поля. При заходе на посадку у кромки леса летчики убрали газ двигателей. Самолет стал так быстро терять высоту, слабо реагируя на отклонение руля высоты, что неминуемо должен был упасть на землю, не долетев до начала бетонной взлетно-посадочной полосы. Пришлось снова дать полный газ, но при этом самолет стал набирать высоту. Десять раз летчики заходили на посадку, пробуя различные режимы работы двигателей, но так и не смогли сесть. Приняли решение лететь на сравнительно недалеко расположенный аэродром Летно-исследовательского института и там попробовать совершить посадку, а если не получится - покинуть самолет с парашютами, так как запас топлива на борту самолета не позволил бы уйти на какой-либо другой запасной аэродром. Подходы к взлетно-посадочной полосе ЛИИ оказались более свободными, и летчики совершили посадку, но не на “три точки”, то есть не на все три колеса шасси сразу, как это обычно делалось, а держа хвост “дудкой” - только на главные колеса шасси, немало удивив этим своих коллег-испытателей, наблюдавших за посадкой. Летные испытания самолета приостановили и стали разбираться в причинах такого странного поведения самолета.</w:t>
      </w:r>
    </w:p>
    <w:p w14:paraId="3686A2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выявилось следующее. При разработке аэродинамической компоновки крыла Ил-6 учитывался опыт эксплуатации самолета Ли-2 с крылом аналогичной формы. Эта машина летала с относительно небольшой нагрузкой на крыло, порядка 150 кг/м2, и летчики не отмечали никаких ненормальностей в поведении самолета. После первых полетов Ил-6 опыт эксплуатации самолетов Ли-2 был изучен более тщательно, и оказалось, что при выполнении сложных полетов в перегрузочных вариантах с возросшей нагрузкой на крыло и на предельно малых скоростях летчики этих машин также испытывают большие трудности, аналогичные встретившимся при испытаниях Ил-6 (9528).</w:t>
      </w:r>
    </w:p>
    <w:p w14:paraId="66183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773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 в итоге сроки почти что удалось выдержать - в первый полет Ил-6 поднялся Для его испытаний в Иркутск прибыл шеф-пилот ОКБ С.В. Илыошина летчик-испытатель В.К. Коккинаки. Аэродром завода N" 39 имел открытые подходы к ВПП, и при выполнении нескольких испытательных полетов Коккинаки не заметил особых проблем в пилотировании самолета, кроме малого запаса руля высоты и больших усилий на штурвале при посадке.</w:t>
      </w:r>
    </w:p>
    <w:p w14:paraId="4C4C1B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разобрали и поездом доставили в Москву на Центральный аэродром. Первый взлет с этого аэродрома В.К. Коккинаки выполнил нормально, но посадка осложнялась лесом, росшим на краю летного поля. При заходе на посадку у кромки леса летчики (вместе с В.К. Коккинаки в том полете был его родной брат - летчик-испытатель К.К. Коккинаки) убрали газ двигателей. Самолет стал так быстро терять высоту, слабо реагируя на отклонение руля высоты, что неминуемо должен был упасть на землю, не долетев до начала бетонной взлетно-посадочной полосы. Пришлось снова дать полный газ, но при этом самолет стал набирать высоту. Десять раз летчики заходили на посадку, пробуя различные режимы работы двигателей, но так и не смогли сесть. Приняли решение лететь на сравнительно недалеко расположенный аэродром ЛИИ и там попробовать совершить посадку.</w:t>
      </w:r>
    </w:p>
    <w:p w14:paraId="1ED98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Подходы к взлетно-посадочной полосе ЛИИ оказались более свободными, и летчики совершили посадку, но не на "три точки", то есть не на три колеса шасси сразу, как это обычно делалось, а держа хвост горизонтально - только на главные колеса шасси. Созерцавшие ту необычную посадку, летчики- испытатели ЛИИ стали задавать братьям Коккинаки вопросы, на что те, блюдя честь фирмы, с юмором отвечали, что это они сделали для того, чтобы коллегам из ЛИИ было интересно!</w:t>
      </w:r>
    </w:p>
    <w:p w14:paraId="1A071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по сути смеяться было не над чем. Летные испытания самолета приостановили и стали разбираться в причинах странного поведения самолета.</w:t>
      </w:r>
    </w:p>
    <w:p w14:paraId="1C124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результате выявилось следующее. При разработке аэродинамической компоновки крыла Ил-6 учитывали опыт эксплуатации самолета Ли-2 с крылом аналогичной </w:t>
      </w:r>
      <w:r w:rsidRPr="00271E51">
        <w:rPr>
          <w:rFonts w:ascii="Times New Roman" w:hAnsi="Times New Roman"/>
          <w:color w:val="000000" w:themeColor="text1"/>
          <w:sz w:val="16"/>
          <w:szCs w:val="16"/>
        </w:rPr>
        <w:lastRenderedPageBreak/>
        <w:t>формы. Эта машина летала с относительно небольшой нагрузкой на крыло, порядка 150 кг/кв. м, и летчики не отмечали никаких ненормаль- ностей в поведении самолета. После первых полетов Ил-6 опыт эксплуатации самолетов Ли-2 был изучен более тщательно, и оказалось, что при выполнении сложных полетов в перегрузочных вариантах с возросшей нагрузкой на крыло и предельно малых скоростях летчики этих машин также испытывают большие трудности, аналогичные встретившимся при испытаниях Ил-6 (12037).</w:t>
      </w:r>
    </w:p>
    <w:p w14:paraId="04DA33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CB9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7 августа 1943 по 20 июля 1945 проходили испытания РД С.П.К. на Пе-2 (1077,327).</w:t>
      </w:r>
    </w:p>
    <w:p w14:paraId="3184E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Вообще-то это то же самое, так как РУ-1 С.П.К. базировался на РД-1 В.П.Г. Скорость возрастала на 46-68 км/час. Летали А.Г.Васильченко и А.С.Пальченко, а С.П.К. и Д.Д.Севрук летали как инженеры-экспериментаторы (173,212).</w:t>
      </w:r>
    </w:p>
    <w:p w14:paraId="52E373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191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были начаты и окончены 20 июля 1945 г. Испытания самолета Пе-2 с РУ-1. За этот период осуществлено 110 полетов: с включением РД-1 — 29, для отработки зажигания — 81; сделано огневых испытаний на земле — 118. После завершения заводских испытаний самолета Пе-2 с РУ-1 наркому авиационной промышленности был направлен отчет с просьбой разрешить участие самолета на авиационном празднике 18 августа 1945 г. в Москве. Для демонстрационных полетов предлагалось окрасить самолет в серебристый цвет с красной стрелой вдоль фюзеляжа. Подготовку, старт и посадку самолета осуществить на аэродроме в Раменском. Реактивный двигатель включить за 5 км до трибун. Полет должен был проходить вдоль трибун на высоте 100 м на расстоянии 200 м от зрителей. После прохождения по прямой на полной скорости следовал переход на набор высоты с работающим РД-1. Предлагался летный экипаж: А.С. Пальчиков — летчик-испытатель, подполковник, Л.Д. Баклунов — ведущий конструктор завода № 22, С.П. Королев — инженер-испытатель ОКБРД завода № 16. Ответ на предложение об участии самолета Пе-2 с РУ-1 в авиационном празднике был, по-видимому, положительным, так как С.П. Королев был командирован в Москву для участия в демонстрационном полете. Однако он не состоялся (10676).</w:t>
      </w:r>
    </w:p>
    <w:p w14:paraId="3A9895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EBA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начались испытания самолета Пе-2 с реактивной установкой (10675).</w:t>
      </w:r>
    </w:p>
    <w:p w14:paraId="065770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D5FBE"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7 августа 1943 г. начались летные испытания модифицированного самолета. Вклю чение РД-1 на взлете и в воздухе в основном подтвердило ожи даемое улучшение летно-технических данных самолета Пе-2 в диапазоне высот от земли до расчетной, максимальная скорость самолета увеличилась на 46...68 км/ч. Время набора высоты 5000 м сократилось с 10 до 7 мин. Летчики-испытатели отме или. что работа дополнительного двигателя не усложнила пи лотирование самолета: в первые секунды после включения РД-1 появлялся небольшой кабрирующий момент, и ощущалось ускорение самолета, но возникшее давление на штурвал легко устранялось. Условия пилотирования не ухудшались.</w:t>
      </w:r>
    </w:p>
    <w:p w14:paraId="5BCEE752"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Первый этап заводских летных испытаний самолета Пе- с РД-1» которые проводили летчики-испытатели А.Г. Василь ченко и А.С. Пальчиков при участии в полетах в качестве ин женеров-экспериментаторов С П. Королева и Д.Д. Севрука, показал, что двигатель РД-1 и реактивная установка РУ- в целом работают нормально. Опыт, полученный на первом этапе летных испытаний, был использован С П. Королевым для разработки проектов модификации боевых самолетов Пе-2И, Пе-3, Ла-5 под установку реактивных двигателей-ус корителей РД-1. Необходимость проведения таких работ оп ределялась не только стремлением улучшить основные летно технические данные воевавших самолетов, но и сведениями о появлении у противника боевых реактивных самолетов.</w:t>
      </w:r>
    </w:p>
    <w:p w14:paraId="2B8D12D3"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Реактивная установка РУ-1 состояла из двига теля РД-1» керосиновой, кислотной, воздушной систем и сис темы управления двигателем.</w:t>
      </w:r>
    </w:p>
    <w:p w14:paraId="5E1800EB"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Двигатель РД-1 (камера сгорания с агрегатами пуска и управления насосного агрегата) устанавливался в хвостовой части фюзеляжа самолета Пе-2. Горючее и окислитель общей массой 850 кг размещались в фюзеляже в двух расположен ных друг над другом баках: легкоиспаряющаяся азотная кис лота — в верхнем, а тяжелый нелетучий тракторный керо син — в нижнем. Находившийся в левой гондоле двигателя насосный агрегат мощностью 45 л. с, связанный с основным поршневым двигателем М-105РА трансмиссионным валом с гидромуфтой, обеспечивал подачу компонентов топлива по проложенным в нижней части фюзеляжа самолета керосино вой и азотнокислотной магистралям в камеру сгорания дви гателя РД-1. Управление двигателем было дублированное. Оно осуществлялось с места летчика и из кабины стрелка-радис та, причем включать двигатель мог только летчик, а отклю чать — и летчик, и экспериментатор. Максимальная расчет ная продолжительность работы РД-1 на полной тяге в поле те ограничивалась емкостью топливной системы и составляла около 10 мин.</w:t>
      </w:r>
    </w:p>
    <w:p w14:paraId="59E81029"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Общая масса РУ-1 на самолете Пе-2 была равна 1050 кг, а масса двигателя РД-1 (камера сгорания с агрегатами пуска и управления, блок дроссельных вентилей, релейная коробка и насосный агрегат) — 56 кг. Нормальная взлетная масса само лета Пе-2 с РД-1 — 8200 кг, а средняя полетная масса для определения летно-технических характеристик самолета — 7 550 кг.</w:t>
      </w:r>
    </w:p>
    <w:p w14:paraId="36C0D81A"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 аэродинамическому расчету С П. Королева работа ре активного двигателя в течение 80... 100 с должна была увели чить максимальную скорость полета самолета Пе-2 с РД-1 на 108 км/ч на высоте 7000 м. При включении на взлете сокра длину разбега на 70 м. Вертикальная скорость самолета при отрыве от земли с работающим двигателем РД-1 могла возрасти на 30 %, соответственно увеличивался возможный угол набора высоты, что было важно при взлете с небольшого полевого аэродрома, ограниченного препятствиями.</w:t>
      </w:r>
    </w:p>
    <w:p w14:paraId="1F2F23CE"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Однокамерный реактивный двигатель РД-1 предназначался в качестве вспомогательного двигателя — ускорителя для самолетов с целью кратковременного улучшения их взлетных, скоростных и высотных характеристик.</w:t>
      </w:r>
    </w:p>
    <w:p w14:paraId="6E7D5ED0"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Расчетные данные РД-1: топливо— азотная кислота (ОСТ-7О1—41) и тракторный керосин (ОСТ-6460);</w:t>
      </w:r>
    </w:p>
    <w:p w14:paraId="5AAB4E9E"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максималь ная тяга у земли — 300 кгс;</w:t>
      </w:r>
    </w:p>
    <w:p w14:paraId="78F3E361"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расход топлива на режиме мак симальной т я г и — 1,5 кг/с;</w:t>
      </w:r>
    </w:p>
    <w:p w14:paraId="3F66F43A"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давление в камере сгорания — 22,5 атм;</w:t>
      </w:r>
    </w:p>
    <w:p w14:paraId="6BB435CD"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продолжительность непрерывной работы на мак симальной тяге — 30 мин;</w:t>
      </w:r>
    </w:p>
    <w:p w14:paraId="7B80E66A"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число оборотов вала насосного агрегата — 2000 об/мин;</w:t>
      </w:r>
    </w:p>
    <w:p w14:paraId="1B1474E9"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ресурс до первой переборки — 45 мин.</w:t>
      </w:r>
    </w:p>
    <w:p w14:paraId="7AD5C09E"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Двигатель РД-1 состоял из агрега тов, раздельно монтировавшихся на самолете: собственно дви гателя (камеры сгорания с агрегатами пуска и управления), располагавшегося в хвостовой части фюзеляжа или мотогондо лы или в крыльях самолета;</w:t>
      </w:r>
    </w:p>
    <w:p w14:paraId="754B7384"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насосного агрегата, приводимого от основного двигателя самолета либо непосредственно, либо через трансмиссионный вал;</w:t>
      </w:r>
    </w:p>
    <w:p w14:paraId="6A9B948C"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блока дроссельных вентилей и ма гистралей азотной кислоты и керосина. Блок дроссельных вен тилей управлялся из кабины летчика, где находились также табло и щиток с приборами управления и контроля.</w:t>
      </w:r>
    </w:p>
    <w:p w14:paraId="6D9EB9F7"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Система управления режимом работы питалась от борто вых аккумуляторов и баллонов сжатого воздуха. Двигатель допускал до пяти повторных пусков за один полет (лимитиро вала емкость пускового бачка).</w:t>
      </w:r>
    </w:p>
    <w:p w14:paraId="7D512346"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Камера сгорания смонтирована на раме ракетного двига теля вместе со следующими агрегатами: агрегатом пуска, пус ковым карбюратором, фильтрами кислотным и керосиновым, топливными клапанами кислотным и керосиновым и управ ляющим электромагнитным пневмоклапаном. Камера сгора ния двигателя состояла из камеры зажигания и собственно камеры сгорания с соплом. Камера зажигания имела разъем; ее передняя половина, оребренная, охлаждалась воздухом, зад няя — керосином. Камера сгорания состояла из головки, ох лаждаемой керосином, и камеры-сопла, охлаждаемой азотной кислотой. Зазор для протока жидкостей выдерживался меж ду контуром рубашек охлаждения головки и камеры-сопла и профильными разъемными вкладышами. В средней части го ловки камеры располагались форсунки азотной кислоты и ке росина, центробежные, закрытые, с гидравлически управляе мой иглой. Корпусы форсунок изготовлены были в основном из стеллита. Материал распылителей кислотных форсунок — стеллит, керосиновых — ЭЖ-2. Топливо, просочившееся че рез уплотнения форсунок, дренажировалось через запорные клапаны.</w:t>
      </w:r>
    </w:p>
    <w:p w14:paraId="2CC34006"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Стяжные болты камеры с пружинными шайбами допуска ли температурные расширения деталей камеры без наруше ния герметичности соединений. Выходная часть сопла снабжалась сальниковым ушготнительным устройством, не препят ствовавшим температурным перемещениям сопла относитель но рубашки.</w:t>
      </w:r>
    </w:p>
    <w:p w14:paraId="597BE8F1"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Пусковая эфиро-воздушная смесь подводилась в камеру зажигания через пусковой клапан, керосин — через штуцер в горловине рубашки головки, азотная кислота — через штуцер горловине рубашки камеры-сопла. На камере сгорания были в установлены свеча накаливания, пусковой клапан, реле дав ления, заливочные и запорные вентили.</w:t>
      </w:r>
    </w:p>
    <w:p w14:paraId="01A43953"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Авиационное применение ЖРД потребовало создания ка меры сгорания с повышенным ресурсом работы, поэтому осо бое внимание уделялось интенсификации охлаждения. Для изготовления стенок камеры сгорания использовались метал лы, обладающие пониженными значениями модуля упругос ти, коэффициента линейного расширения, коэффициента Пу ассона и повышенными значениями коэффициентов теплопро водности и прочности при рабочей температуре. Это в сочетании с малой толщиной стенки и эффективным ее оребрением со стороны, смачиваемой охлаждающей жидкостью, должно было обеспечивать повышенную стойкость стенок камеры сгорания.</w:t>
      </w:r>
    </w:p>
    <w:p w14:paraId="1437DB7A"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С 1941 г. разрабатывались методы интенсификации теп лообмена путем уменьшения толщины пограничного слоя и удаления из него продуктов парообразования и </w:t>
      </w:r>
      <w:r w:rsidRPr="00271E51">
        <w:rPr>
          <w:color w:val="000000" w:themeColor="text1"/>
          <w:sz w:val="16"/>
          <w:szCs w:val="16"/>
        </w:rPr>
        <w:lastRenderedPageBreak/>
        <w:t>газификации.</w:t>
      </w:r>
    </w:p>
    <w:p w14:paraId="3DEBA53F"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Турбулизация пограничного слоя в наиболее напряженных участках камеры в области втекания и в критическом сече нии сопла достигалась с помощью системы сверлений в алю миниевом вкладыше сопла, позволявшей через дозирующие жиклеры отбирать компонент из областей с повышенным дав лением.</w:t>
      </w:r>
    </w:p>
    <w:p w14:paraId="142F43A2"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Насосный агрегат крепился к плите передним фланцем. В со ставном алюминиевом корпусе насосного агрегата располагались Два валика из нержавеющей стали, сделанные за одно целое с шестернями, нагнетающими азотную кислоту. На шлицы тех же валиков были посажены ведущие шестерни, нагнетающие керосин, а между зубьями кислотных шестерен устанавливал ся гарантированный зазор, исключавший их касание и сраба тывание. Каждый валик-имел три игольчатых опорных под шипника и с одного конца — два упорных шариковых подшип яика. При этом обеспечивался также гарантированный зазор м корпусом и торцами шестерен насоса окислителя. Уп лотнение создавалось графитированными асбестовыми сальни ками. Просачивающаяся через сальники жидкость отводилась по внутренним сверлениям в полости всасывания насоса. На насосном агрегате были установлены редукционные клапаны, выполнявшие также функции предохранительных клапанов, защищавших тракты от гидравлического удара.</w:t>
      </w:r>
    </w:p>
    <w:p w14:paraId="744262A2"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1944 г. в ОКБ В.П. Глушко А.А. Мееровым были разра ботаны нитромасло и нитросмазка, не реагирующие с азотной кислотой. Они успешно применялись в уплотнениях и шари коподшипниках двигателей РД-1, РД-1ХЗ, РД-2 и РД-3.</w:t>
      </w:r>
    </w:p>
    <w:p w14:paraId="31CED750"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реактивной установке для серийного самолета Пе-2 дви гатель РД-1 устанавливался в хвостовой части фюзеляжа. В ле вой мотогондоле за передним лонжероном крепились насос ный агрегат, компенсационные и сливные бачки. Управление двигателем было дублированное и осуществлялось с места лет- М чика, а также из кабины стрелка-радиста.</w:t>
      </w:r>
    </w:p>
    <w:p w14:paraId="6726F8A5"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Для отработки зажигания было выполнено 24 полета само лета Пе-2 на высотах до 7000 м. После проведения отладочных наземных огневых испытаний в 1943 г. на этом же самолете были выполнены 38 пусков двигателя РД-1 на земле и 11 — в полете. Наибольшая длительность непрерывной работы РД-1 на режиме полной тяги в полете составляла 10 мин и определя лась емкостью топливных баков. Включение ЖРД РД-1 на взлете и в воздухе в основном подтвердило ожидаемое улучше ние летно-технических характеристик самолета Пе-2.</w:t>
      </w:r>
    </w:p>
    <w:p w14:paraId="5D1DB0F3" w14:textId="77777777" w:rsidR="00357684" w:rsidRPr="00271E51" w:rsidRDefault="0035768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Ис пытания самолета Пе-2 с РД-1 были продолжены в 1944— 1945 гг. с целью увеличения надежности и высотности сис темы зажигания. С этой целью были проведены 49 назем ных и 38 летных огневых испытаний. Предпочтение было отдано хорошо отработанной к тому времени системе повтор ного химического зажигания, вместо примененной ранее эфиро-воздушной системы зажигания со свечей накалива ния и кислородной подпиткой (19586).</w:t>
      </w:r>
    </w:p>
    <w:p w14:paraId="571A4067" w14:textId="77777777" w:rsidR="00357684" w:rsidRPr="00271E51" w:rsidRDefault="00357684" w:rsidP="00271E51">
      <w:pPr>
        <w:spacing w:after="0" w:line="240" w:lineRule="auto"/>
        <w:jc w:val="both"/>
        <w:rPr>
          <w:rFonts w:ascii="Times New Roman" w:hAnsi="Times New Roman"/>
          <w:color w:val="000000" w:themeColor="text1"/>
          <w:sz w:val="16"/>
          <w:szCs w:val="16"/>
        </w:rPr>
      </w:pPr>
    </w:p>
    <w:p w14:paraId="1D9901AC" w14:textId="77777777" w:rsidR="001D264E" w:rsidRPr="00271E51" w:rsidRDefault="001D264E"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7 августа 1943 г. была записка Н.Г. Бруевича о довыборах действительных членов и членов-корреспондентов АН СССР:</w:t>
      </w:r>
    </w:p>
    <w:p w14:paraId="11E1DD55" w14:textId="77777777" w:rsidR="001D264E" w:rsidRPr="00271E51" w:rsidRDefault="001D264E"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«Среди членов Академии по техническому отделению существует мнение, что ему (Костикову) рано в академики по своей квалификации и теоретической подготовке...». Академиком он и правда не стал, но при поддержке генерала В. В. Аборенкова (своего соавтора) и согласии Президента АН В. Л. Комарова был избран членом корреспондентом АН СССР (22685).</w:t>
      </w:r>
    </w:p>
    <w:p w14:paraId="20F4C20C" w14:textId="77777777" w:rsidR="001D264E" w:rsidRPr="00271E51" w:rsidRDefault="001D264E" w:rsidP="00271E51">
      <w:pPr>
        <w:shd w:val="clear" w:color="auto" w:fill="FFFFFF"/>
        <w:spacing w:after="0" w:line="240" w:lineRule="auto"/>
        <w:jc w:val="both"/>
        <w:rPr>
          <w:rFonts w:ascii="Times New Roman" w:hAnsi="Times New Roman"/>
          <w:color w:val="0070C0"/>
          <w:sz w:val="16"/>
          <w:szCs w:val="16"/>
        </w:rPr>
      </w:pPr>
    </w:p>
    <w:p w14:paraId="25259F5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F5F7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51170" w14:textId="77777777" w:rsidR="00BA7A65" w:rsidRPr="00271E51" w:rsidRDefault="00BA7A65" w:rsidP="00271E51">
      <w:pPr>
        <w:pStyle w:val="a3"/>
        <w:rPr>
          <w:color w:val="000000" w:themeColor="text1"/>
          <w:lang w:val="ru-RU"/>
        </w:rPr>
      </w:pPr>
      <w:r w:rsidRPr="00271E51">
        <w:rPr>
          <w:color w:val="000000" w:themeColor="text1"/>
          <w:lang w:val="ru-RU"/>
        </w:rPr>
        <w:t>7 августа 1943 года между И.В.С. и В. А. Малышевым состоялась беседа, о которой последний записал следующее: «Был у т. Сталина. Опять т. Сталин интересовался новыми танками. Сказал, чтобы танк ИС поставить на производство в течение полутора месяцев. Когда я сказал, что в такой срок это сделать невозможно, тов. Сталин сказал, что к концу войны нам этот танк не нужен. «Надо, чтобы танк повоевал ещё до зимы». Впервые слышу от т. Сталина о конце войны. В конце концов тов. Сталин дал срок 2 месяца» («Пройдёт десяток лет, и этих встреч не восстановишь уже в памяти»//Источник. №5. 1997. С. 122.). Танкостроители выполнили задачу И. В. Сталина почти в срок, начав производство танков в конце октября 1943 года. Но до зимы, как хотел И. В. Сталин, танк повоевать не успел. Боевое крещение нового танка состоялось уже в феврале 1944 года в ходе Корсунь- Шевченковской операции. В боях тогда приняло участие два полка танков ИС: 8-й и 13-й отдельные гвардейские тяжелые танковые полки. При этом из их состава, несмотря на ожесточённость боёв, было безвозвратно потеряно всего 5 танков. Всего за время войны было изготовлено 107 танков ИС с 85</w:t>
      </w:r>
      <w:r w:rsidRPr="00271E51">
        <w:rPr>
          <w:color w:val="000000" w:themeColor="text1"/>
          <w:lang w:val="ru-RU"/>
        </w:rPr>
        <w:softHyphen/>
        <w:t>мм пушкой. 100 из них поступило на вооружение боевых частей. Из них к концу войны 36 оставалось в строю, 37 было подбито, и столько же было списано по причине износа механизмов. Это был превосходный результат с точки зрения живучести и надёжности машины (12290).</w:t>
      </w:r>
    </w:p>
    <w:p w14:paraId="697AE5B4" w14:textId="77777777" w:rsidR="00BA7A65" w:rsidRPr="00271E51" w:rsidRDefault="00BA7A65" w:rsidP="00271E51">
      <w:pPr>
        <w:pStyle w:val="a3"/>
        <w:rPr>
          <w:color w:val="000000" w:themeColor="text1"/>
          <w:lang w:val="ru-RU"/>
        </w:rPr>
      </w:pPr>
    </w:p>
    <w:p w14:paraId="2ACB1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ГКО постановил принять СУ-85 на вооружение (производство началось в сентябре) и одновременно снять с производства СУ-122 (3905).</w:t>
      </w:r>
    </w:p>
    <w:p w14:paraId="4C9E78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CE725" w14:textId="77777777" w:rsidR="000F1C2D" w:rsidRPr="00271E51" w:rsidRDefault="000F1C2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в 1943 году постановлением ГКО N3892 на вооружение Красной Армии принята самоходная артустановка «СУ-85». Этим же постановлением предусматривалось прекращение серийного производства на Уралмашзаводе самоходок «СУ-122» и средних танков «Т-34». В дальнейшем, в ходе войны на "Уралмаше" серийно производились только самоходные установки «СУ-85» и «СУ-100» (14976).</w:t>
      </w:r>
    </w:p>
    <w:p w14:paraId="30BC6257" w14:textId="77777777" w:rsidR="000F1C2D" w:rsidRPr="00271E51" w:rsidRDefault="000F1C2D" w:rsidP="00271E51">
      <w:pPr>
        <w:spacing w:after="0" w:line="240" w:lineRule="auto"/>
        <w:jc w:val="both"/>
        <w:rPr>
          <w:rFonts w:ascii="Times New Roman" w:hAnsi="Times New Roman"/>
          <w:color w:val="000000" w:themeColor="text1"/>
          <w:sz w:val="16"/>
          <w:szCs w:val="16"/>
        </w:rPr>
      </w:pPr>
    </w:p>
    <w:p w14:paraId="46156CA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года вышло постановление ГКО № 3892, которое по результатам сравнительных испытаний трех вариантов САУ Су-85 приняло на вооружение Красной Армии самоходную установку СУ-85-И с пушкой Д-5С. Этим же постановлением предусматривалось прекращение серийного производства на "Уралмашзаводе" самоходов СУ-122 и танков Т-34. "Уралмаш" стал производить только самоходно-артиллерийские установки (9637).</w:t>
      </w:r>
    </w:p>
    <w:p w14:paraId="3EF66D0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0EC28DE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компоновке узлов и агрегатов СУ-85 была аналогична СУ-122, на базе которой она создавалась. При этом 73% деталей заимствовались от танка Т-34, 7% - от СУ-122 и 20% проектировались заново. Установленная в рамке в лобовом листе корпуса пушка Д-5С с длиной ствола 48,8 калибра имела начальную скорость бронебойного снаряда 792 м/с. По бронебойности это орудие на 57% превышало пушку Ф-34 танка Т-34 и на 45% - гаубицу М-30 самохода СУ-122, что увеличивало дальность эффективной стрельбы по немецким танкам в полтора раза. Боекомплект САУ состоял из 48 унитарных выстрелов с осколочными стальными гранатами 0-365 и бронебойно-трас-сирующими снарядами БР-365 и БР-365К. Скорострельность пушки с закрытыми люками боевой рубки составляла 6-7 выстр./мин (9637).</w:t>
      </w:r>
    </w:p>
    <w:p w14:paraId="58C9916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47DC24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Постановлением ГКО самоходная артиллерийская уставовка СУ-85-11 под маркой СУ-85 была принята на вооружение РККА и поставлена на серийное производство. С августа 1943 г. УЗТМ начал выпуск самоходных установок СУ-85 вместо СУ-122.73% деталей установки были заимствованы у танка Т-34-76, 7% - у самоходной установки СУ-122 и 20% - изготовлены заново (10703).</w:t>
      </w:r>
    </w:p>
    <w:p w14:paraId="636244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AC5C8"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Наркомом среднего машиностроения был поставлен вопрос о производстве мотоциклов в 1944 г. и в послевоенный период. Через месяц Начальник технического отдела наркомата Гарбузов представил Наркому НКСМ Акопову докладную записку «По вопросу перспективного развития мотоциклетных заводов Главмотовелопрома на 1944 г.»: «… Главмотовелопромом намечен план восстановления производства мотоциклов в гор. Москве и в связи с этим составлен план развития производства их на других заводах Главмотовелопрома.</w:t>
      </w:r>
    </w:p>
    <w:p w14:paraId="08B256FC"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основу предлагаемого плана приняты следующие основные предпосылки: </w:t>
      </w:r>
    </w:p>
    <w:p w14:paraId="3CBFC668"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Снятие с производства мотоцикла АМ-650, как устаревшей конструкции и не имеющего прочной производственной базы </w:t>
      </w:r>
    </w:p>
    <w:p w14:paraId="242B5ADA"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Специализация заводов на производство определенных узлов и агрегатов мотоцикла. В целях уменьшения номенклатуры деталей по отдельным заводам и увеличения выпуска </w:t>
      </w:r>
    </w:p>
    <w:p w14:paraId="2E491338"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Концентрация в системе Главмотовелопрома производства всех узлов мотоцикла </w:t>
      </w:r>
    </w:p>
    <w:p w14:paraId="447323C2"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Форсирование развертывания в 1-ю очередь заготовительных и инструментально-штамповых цехов мотоциклетных заводов </w:t>
      </w:r>
    </w:p>
    <w:p w14:paraId="102FB035"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Производство мотоциклов должно быть направлено по линии производства коммерческих мотоциклов — имеющих специальные кузова и прицепки, приспособленные для перевозки грузов, товаров, продуктов, почты и т.д.</w:t>
      </w:r>
    </w:p>
    <w:p w14:paraId="108795DB"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первые послевоенные годы мотоциклы должны дополнять автотранспорт, как группа малотоннажного мототранспорта.</w:t>
      </w:r>
    </w:p>
    <w:p w14:paraId="3C8CB9AB"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Московский мотоциклетный завод. Исходя из указаний правительства о восстановлении в 1944 г. в Москве мотозавода, наиболее целесообразным является организация этого производства на Московском мотозаводе. В качестве объекта производства необходимо принять мотоцикл М-72. Конечная мощность завода предполагается в 30 000 мотоциклов в год, что соответствует утвержденному еще до войны проекту реконструкции завода. Поскольку доведение выпуска завода мощности в 30 000 мотоциклов потребует достройки нового моторного и литейного корпусов /начатых постройкой до войны/ и расширения кузницы — в 1944 г. на Московском мотозаводе необходимо организовать производство только ходовой части мотоцикла и общую сборку, с доведением выпуска к концу 1944 г. до 20 000 машин. Моторы и коробки скоростей Московский завод должен получать с Горьковского мотозавода, мощность которого по выпуску моторов и коробок должна быть расширена за счет сокращения производства экипажной части и сборки. После окончания расширения /постройки моторного и литейного цехов/ завод должен приступить к выпуску моторов и коробок скоростей, т. е. комплексному производству мотоциклов. Кузова и спецприцепки должны изготовляться Серпуховским </w:t>
      </w:r>
      <w:r w:rsidRPr="00271E51">
        <w:rPr>
          <w:rFonts w:ascii="Times New Roman" w:hAnsi="Times New Roman"/>
          <w:color w:val="000000" w:themeColor="text1"/>
          <w:sz w:val="16"/>
          <w:szCs w:val="16"/>
        </w:rPr>
        <w:lastRenderedPageBreak/>
        <w:t xml:space="preserve">заводом, а первое время сохраняется кооперация с Горьким. Организация производства мотоциклов на Московском мотозаводе потребует выноса с завода спецпроизводства, занимающего до 60–70 % всех площадей. Количество потребного оборудования на программу 1944 года приводится в прилагаемой таблице. </w:t>
      </w:r>
    </w:p>
    <w:p w14:paraId="7DBB970E"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Серпуховской мотозавод. В связи с необходимостью в дальнейшем выноса производства прицепных колясок с Горьковского завода, целесообразно организовать на Серпуховском мотозаводе изготовление колясок для мотоциклов — как стандартных, так и специальных прицепов. В части организации производства спецприцепов /фургончиков, платформ и др./ необходимо подчеркнуть особую актуальность вопроса использования тяжелого мотоцикла с прицепом в качестве малотоннажного грузового транспорта / грузоподъемностью 400–500 кг/ для эксплоатации их: мелкими предприятиями, мастерскими, учреждениями, магазинами, колхозами, почтовыми ведомствами и т.д. В первый период развертывания производства /в 1944 г./, до получения полного комплекта прессового оборудования, Серпуховской мотозавод может кооперироваться по крупным штамповкам с Горьковским заводом, а в дальнейшем все штамповки производить у себя. Конечная мощность завода, в соответствии с полным объемом выпуска мотоциклов по всем заводам главка должна быть определена в 50 000 прицепов всех видов. К 1/1 –1945 г. мощность завода должна быть доведена до выпуска 40 000 прицепов в год, при использовании имеющихся площадей и временном сохранении в существующем объеме ремонта мотоциклов. Для развития завода до полной мощности необходимо закончить строительство 2-этажного корпуса площадью 3000 кв. метров. </w:t>
      </w:r>
    </w:p>
    <w:p w14:paraId="209EEE4C"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Горьковский мотозавод. Продолжает развертывание производства М-72 при постепенном нарастании выпуска моторов и коробок скоростей за счет уменьшения, а в последующем /в конце 1 кв. 1944/ и прекращения выпуска экипажной части. Конечная мощность Горьковского мотозавода по моторам и коробкам скоростей М-72 должна быть утверждена в 25 000 комплектов в год. Моторы и коробки скоростей М-72 Горьковский мотозавод должен поставлять в порядке кооперации Московскому мотозаводу. </w:t>
      </w:r>
    </w:p>
    <w:p w14:paraId="0C2896FB"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Ирбитский мотозавод. Завод продолжает развертывание своего производства и строительство в со</w:t>
      </w:r>
      <w:r w:rsidRPr="00271E51">
        <w:rPr>
          <w:rFonts w:ascii="Times New Roman" w:hAnsi="Times New Roman"/>
          <w:color w:val="000000" w:themeColor="text1"/>
          <w:sz w:val="16"/>
          <w:szCs w:val="16"/>
        </w:rPr>
        <w:softHyphen/>
        <w:t xml:space="preserve"> ответствии с утвержденным проектным заданием по реконструкции завода на конечную мощность в 15 000 мотоциклов М-72. Учитывая резервы мощностей по поточным линиям мотора и коробки скоростей, целесообразно увеличить мощность Ирбитского завода в части производства моторов и коробок скоростей М-72 — до 25 000 в год. Это увеличение выпуска моторов и коробок скоростей потребует лишь частичного добавления оборудования по серийным участкам механического цеха против данных проекта. Избыток моторов в 10 000 шт. завод в порядке кооперации должен подавать тюменьскому заводу, который необходимо переключить на выпуск М-72 с изготовлением экипажной части. </w:t>
      </w:r>
    </w:p>
    <w:p w14:paraId="0C34C599"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Тюменький мотозавод. Считаем целесообразным в 4 кв. 1943 прекратить производство мотоциклов АМ-600 и перейти на выпуск мотоциклов М-72 и изготовление запчастей для снабжения эксплоатационного парка мотоциклов АМ-600. По производству мотоциклов М-72, исходя из наличных площадей, намечается конечная мощность в 10 000 экипажей и собранных мотоциклов. Моторы и коробки скоростей должны поставляться Тюменьскому заводу Ирбитским. Подготовка производства /разработка технологии, конструирование и изготовление оснастки/ должна быть начата с 4 квартала 1943, а выпуск мотоциклов М-72 в 1 кв 1944 г. …».</w:t>
      </w:r>
    </w:p>
    <w:p w14:paraId="5F8D2AB7" w14:textId="77777777" w:rsidR="00357684" w:rsidRPr="00271E51" w:rsidRDefault="003576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докладной записке план развития мотоциклетных заводов в 1944 г. и на первый послевоенный 1945 г., предусматривал в качестве единственного объекта производства тяжелый тип мотоцикла М-72, в этой связи Гарбузов дополнительно указал на необходимость организации на Серпуховском мотозаводе производства легких мотоциклов. Позднее программу по выпуску М-72 с СМЗ сняли, а завод стал производственной базой отраслевого КБ — ЦКБЭМ. Тюменский завод так и не смог освоить выпуск мотоциклов М-72 и его мощностей хватало только на штучное изготовление опытных конструкций (19776).</w:t>
      </w:r>
    </w:p>
    <w:p w14:paraId="45AC87CC" w14:textId="77777777" w:rsidR="00357684" w:rsidRPr="00271E51" w:rsidRDefault="00357684" w:rsidP="00271E51">
      <w:pPr>
        <w:spacing w:after="0" w:line="240" w:lineRule="auto"/>
        <w:jc w:val="both"/>
        <w:rPr>
          <w:rFonts w:ascii="Times New Roman" w:hAnsi="Times New Roman"/>
          <w:color w:val="000000" w:themeColor="text1"/>
          <w:sz w:val="16"/>
          <w:szCs w:val="16"/>
        </w:rPr>
      </w:pPr>
    </w:p>
    <w:p w14:paraId="06E26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вышло Распоряжение ГКО № 3888. О мерах по обеспечению электроэнергией новых мощностей Нижне-Сергинского завода НИЧМ.РГАНИР, Фонд ГКО, д. 144, лл. 1 (11012).</w:t>
      </w:r>
    </w:p>
    <w:p w14:paraId="36313A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BC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вышло Постановление ГКО № 3889 О передаче эвакуационных госпиталей на 100 тыс. коек системы НКздрава в НКО по формировании новых эвакогоспиталей на 75 тыс. коек.РГАНИР, Фонд ГКО, д. 144, лл. 2, 3-5 (11012).</w:t>
      </w:r>
    </w:p>
    <w:p w14:paraId="21E2B4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28C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 был подписан акт приемки Л-21. Однотипные лодки Л-20 и Л-22 в готовности около 60% в ав-ге 1941 г. успели перевести на Север по Беломорско-Балтийско-каналу. Достраивались они на заводе 402 в Молотовске под руководством Г. М. Трусова, и были сданы Северному флоту в августе--сентябре 1942 г. (3898).</w:t>
      </w:r>
    </w:p>
    <w:p w14:paraId="7577B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AEFA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A896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53DD43"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в 1943 году оперативная сводка Совинформбюро:</w:t>
      </w:r>
    </w:p>
    <w:p w14:paraId="205C0552"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августа наши войска на Брянском направлении продолжали наступление и, продвинувшись вперёд от 10 до 12 километров, занялисвыше 100 населённых пунктов и среди них Парамоново, Юшково, Красный, Шамордино (16 километров западнее Орла), ЛЕДНА, Белоколодец, Себякино, Апальково,Долженки, Гнездилово (23 километра юго-западнее Кромы) и железнодорожную станцию Саханская (8 километров юго-западнее Орла).</w:t>
      </w:r>
    </w:p>
    <w:p w14:paraId="0544D430"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противника, продолжали успешно развивать наступление и, продвинувшись вперёд от 10 до 15 километров, заняли более 70 населённых пунктов, в том числе город Грайворон, районный центр Борисовка, крупные населённые пункты Мезеневка, Дорогощ, Козинка, Сенное, Малая Писаревка, Уды, Микояновка, Бродок, Пуляевка ижелезнодорожные станции Долбино, Толоконное.</w:t>
      </w:r>
    </w:p>
    <w:p w14:paraId="3C8CEE29"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занимали прежние позиции, вели разведку и артиллерийско-миномётную перестрелку с противником.</w:t>
      </w:r>
    </w:p>
    <w:p w14:paraId="059961A1"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августа на всех фронтах наши войска подбили и уничтожили 43 немецких танка. В воздушных боях и огнём зенитной артиллерии сбито 80 самолётов противника.</w:t>
      </w:r>
    </w:p>
    <w:p w14:paraId="684322F2"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72A0865D"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Орда советские части продвинулись вперёд и освободили ряд населённых пунктов. Немцы, пытаясь остановить наступление наших войск, минируют подступы к населённым пунктам, дороги, цепляются за каждую выгодную высоту. Ломая сопротивление противника, наши войска наносят ему тяжёлый урон в живой силе и технике. Бойцы Н-ской части выбили немцев из укреплённых позиций. На поле боя осталось 600 вражеских трупов. Захвачены 2 артиллерийских батареи, склад боеприпасов и другие трофеи. На другом участке наши бойцы атаковали опорный пункт противника и полностью уничтожили находившийся в нём батальон немецкой пехоты.</w:t>
      </w:r>
    </w:p>
    <w:p w14:paraId="134F7F92"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войска, заняв город Кромы, продолжали наступление и освободили свыше 20 населённых пунктов. Бойцы Н-ского соединения, переправившись через водный рубеж, овладели сильно укреплёнными позициями противника. За день боя наши части уничтожили до 1.000 немецких солдат и офицеров. Захвачено 7 танков, 6 орудий, много штабелей снарядов, большое количество мин и патронов.Подразделения части, где командиром тов. Провод, за последние дни отразили свыше тридцати вражеских контратак и уничтожили до двух тысяч солдат и офицеров противника. Наши бойцы и командиры показывают образцы доблести и героизма. Лейтенант Дросков и шестнадцать красноармейцев зашли в тыл противнику и внезапно атаковали немцев. 40 гитлеровцев были убиты, а остальные бежали, бросив оружие. Лейтенант Дросков и его бойцы взяли в плен немецкого обер-лейтенанта, захватили 3 орудия, 16 пулемётов, 2 миномёта, много винтовок и автоматов. Группа автоматчиков во главе с капитаном Гавченко напала на штаб немецкого батальона. Разгромив штаб, наши бойцы захватили пленных, 3 радиостанции и документы.</w:t>
      </w:r>
    </w:p>
    <w:p w14:paraId="6BDDB929"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противника, продолжали успешное наступление. Части Н-ского соединения, прорвав оборону немцев, окружили и блокировали несколько вражеских гарнизонов. Продвигающиеся за этим соединением войска ликвидируют вражеские гарнизоны. Так, наши части окружили в Борисовке значительную группу немецких войск и в результате ожесточённого боя ликвидировали её. Решительным штурмом взят город Грайворон и ряд других населённых пунктов. Н-ская танковая часть атаковала колонну пехоты противника и истребила 800 гитлеровцев. Подбито и уничтожено 19 немецких танков. Взято 150 пленных. Захвачено 16 орудий, 85 пулемётов, 60 автомашин и другие трофеи.</w:t>
      </w:r>
    </w:p>
    <w:p w14:paraId="341551C8"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части вели разведку боем. Советская авиация наносила удары по колоннам танков, автомашин и железнодорожным составам противника. На одной станции сожжены 3 железнодорожных состава, в том числе 30 бензоцистерн. На другой станции прямыми попаданиями бомб подожжены 14 железнодорожных эшелонов. Разведка установила, что все эшелоны сгорели.</w:t>
      </w:r>
    </w:p>
    <w:p w14:paraId="30EF311C"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 партизанских отряда, действующие в Брестской области, в июле пустили под откос 16 немецких железнодорожных эшелонов с войсками и боевой техникой. Разбиты 16 паровозов, 68 платформ и 59 вагонов. Партизаны-разведчики установили, что в результате крушений убито и ранено свыше 600 гитлеровцев. Группа партизан отряда, действующего в Барановичской области, 27 июля подорвала вражеский эшелон с танками, самоходными и зенитными орудиями. Движение поездов на этом участке железной дороги было прекращено на несколько суток.</w:t>
      </w:r>
    </w:p>
    <w:p w14:paraId="633BD5A3"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Начиная с 5 августа, т. е. после того, как советские войска вышибли немцев из Орла, гитлеровцы в своих сообщениях о положении на фронтах утеряли последние остатки здравого смысла. Берлинское радио каждый день, а то и по нескольку раз на день передаёт сообщения одно другого глупее. Так, например, 6 августа немецкое радио сообщило: «Количество русских пленных, захваченных под Орлом, буквально неисчислимо, так как превышает 300 тысяч». С помощью этого нелепого трюка ставка Гитлера пытается представить тяжёлое поражение немецкой армии врайоне Орла, как некий успех немцев. Однако даже в современной фашистской Германии найдётся мало простаков, которые поверят столь глупым измышлениям ошалевших от неудач гитлеровцев. В самом деле: немецкие войска отступают под ударами </w:t>
      </w:r>
      <w:r w:rsidRPr="00271E51">
        <w:rPr>
          <w:rFonts w:ascii="Times New Roman" w:hAnsi="Times New Roman"/>
          <w:color w:val="000000" w:themeColor="text1"/>
          <w:sz w:val="16"/>
          <w:szCs w:val="16"/>
        </w:rPr>
        <w:lastRenderedPageBreak/>
        <w:t>Красной Армии и несут громадные потери. Слыханное ли дело, чтобы разгромленные и разбитые немецкие дивизии захватывали даже не сотни тысяч, а хотя бы сотни пленных. Отступающим гитлеровцам в пору ноги унести, где уж им захватывать пленных.</w:t>
      </w:r>
    </w:p>
    <w:p w14:paraId="097FBF96"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Гитлеровцы давно зарекомендовали себя как махровые и непревзойдённые лжецы. Но на сей раз они побили все рекорды и выставили себя на посмешище всему свету.</w:t>
      </w:r>
    </w:p>
    <w:p w14:paraId="04E58A2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Германское информационное бюро признало падение Орла, города, который немцы до самого последнего времени считали неприступной крепостью своей обороны. С бешеной злобой гитлеровцы описывают разрушения, произведённые ими в городе перед отступлением: «Советские войска заняли необитаемый город». «Город полностью разрушен». «В Орле большевики не найдут ни одной фабрики, ни одного завода. Жилые дома стоят без крыш».</w:t>
      </w:r>
    </w:p>
    <w:p w14:paraId="74F1B788"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строки написали сами гитлеровские людоеды. Взбесившиеся звери на этот раз даже не пытаются скрыть своих преступлений, а, напротив, выставляют их напоказ. С наглостью, присущей одним только немцам, они хвастают на весь мир, что разрушили большой, красивый советский город. Фашистские работорговцы насильно угнали многих жителей Орла, женщин и детей, погубили тысячи советских граждан. Немецкие негодяи хвастаются тем, что они уничтожили в Орле не только промышленные предприятия, но даже и жилые дома.</w:t>
      </w:r>
    </w:p>
    <w:p w14:paraId="781AD38A"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Пусть же знают фашистские бандиты и палачи, что все их преступления не будут забыты. За все злодеяния им придётся расплачиваться. Советский народ сурово покарает громил, разоривших город Орёл, и разбойников из гитлеровской клики, с невиданной циничностью восхваляющих бандитские действия немецкой армии.» (14976).</w:t>
      </w:r>
    </w:p>
    <w:p w14:paraId="38324E25"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7CECA267" w14:textId="77777777" w:rsidR="00DD5CFD" w:rsidRPr="00271E51" w:rsidRDefault="00DD5CF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в 1943 году началась Смоленская наступательная операция (кодовое наименование 7-27 августа - "Суворов-1") войск Западного (31,5, 10-я гвардейская 33, 49, 10, 68 и 21-я армии, 5-й механизированный корпус, 2-й гвардейский танковый корпус, 6-й и 2-й гвардейские кавалерийские корпуса, 1-я воздушная армия) и левого крыла Калининского (4-я Ударная, 43-я и 39-я армии, 5-й гвардейский стрелковый корпус, 3-й гвардейский кавалерийский корпус 3-я воздушная армия) фронтов, продолжавшаяся до 2 октября (14976).</w:t>
      </w:r>
    </w:p>
    <w:p w14:paraId="1D1F35C4" w14:textId="77777777" w:rsidR="00DD5CFD" w:rsidRPr="00271E51" w:rsidRDefault="00DD5CFD" w:rsidP="00271E51">
      <w:pPr>
        <w:spacing w:after="0" w:line="240" w:lineRule="auto"/>
        <w:jc w:val="both"/>
        <w:rPr>
          <w:rFonts w:ascii="Times New Roman" w:hAnsi="Times New Roman"/>
          <w:color w:val="000000" w:themeColor="text1"/>
          <w:sz w:val="16"/>
          <w:szCs w:val="16"/>
        </w:rPr>
      </w:pPr>
    </w:p>
    <w:p w14:paraId="515E6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согласно сообщению Совинформбюро на харьковском направлении зениткой был подбит ведущий группы ш м Столяров, который сел на вынужденную. Мл.л. А.Масленников сел рядом и уступил ему место, а сам со стрелком подбитого, устроился на плоскостях. Вернулись благополучно (438,880).</w:t>
      </w:r>
    </w:p>
    <w:p w14:paraId="2E82E0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8B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7 августа по 2 сентября (октября - 3398,278) 1943 была Смоленская операция ЗФ (В.Д.Соколовский) и левого крыла КалФ (А.И.Еременко) против группы Центр и продвинулись на 200-225 км при ширине фронта 400 км (2443,129). Для ЗФ включала Спасс-Деменскую, Ельнинско-Дорогобужскую и Смоленско-Рославльскую операции, а войска КФ выполнили Духовщинско-Демидовскую операцию. Продвинулись на 200-225 км в полосе шириной 400 км (3398,278).</w:t>
      </w:r>
    </w:p>
    <w:p w14:paraId="12F812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C4D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7 по 20 августа 1943 была Спас-Деменская операция - часть Смоленской и продвинулись на 35-40 км (2443,149).</w:t>
      </w:r>
    </w:p>
    <w:p w14:paraId="0B9F05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CEB3D"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августа 1943 г. начальником ГБТУ КА генерал-лейтенантом танковых войск Б.Г. Вершининым было подписано Положение о Главном бронетанковом управлении Красной Армии, согласно которому на Танковое управление ГБТУ КА возлагалось:</w:t>
      </w:r>
    </w:p>
    <w:p w14:paraId="60C94732"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разработка новых и усовершенствование существующих типов танков;</w:t>
      </w:r>
    </w:p>
    <w:p w14:paraId="24BD204F"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размещение заказов на танки в промышленности;</w:t>
      </w:r>
    </w:p>
    <w:p w14:paraId="068D33B2"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контроль за выполнением заводами промышленности правительственных решений по производству танков;</w:t>
      </w:r>
    </w:p>
    <w:p w14:paraId="7204E198"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 организации получения импортных танков;</w:t>
      </w:r>
    </w:p>
    <w:p w14:paraId="404F6B52"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 снабжение бронетанковых и механизированных войск танками отечественных и импортных марок;</w:t>
      </w:r>
    </w:p>
    <w:p w14:paraId="41D5003B"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е) разработка наставлений и руководств по материальной части танков;</w:t>
      </w:r>
    </w:p>
    <w:p w14:paraId="2376B04D"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ж) организация и руководство заводскими, полигонными и войсковыми испытаниями по танкам;</w:t>
      </w:r>
    </w:p>
    <w:p w14:paraId="1B563DC9"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 разработка тематики научно-исследовательских работ по танкам для академии, научно-исследовательских учреждений, заводов и войск;</w:t>
      </w:r>
    </w:p>
    <w:p w14:paraId="568D0A41"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 наблюдение за правильным техническим использованием танков в войсках и учебных заведениях;</w:t>
      </w:r>
    </w:p>
    <w:p w14:paraId="7BCF4F54"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изучение и систематизация материалов по боевому применению танков и использование их для технического усовершенствования танков;</w:t>
      </w:r>
    </w:p>
    <w:p w14:paraId="5B23430C"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л) руководство изобретательской и рационализаторской работой в бронетанковых войсках».</w:t>
      </w:r>
    </w:p>
    <w:p w14:paraId="72D0152C"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11389. Д. 37. Л. 189 – 194] (21209).</w:t>
      </w:r>
    </w:p>
    <w:p w14:paraId="33C935D1" w14:textId="77777777" w:rsidR="001D264E" w:rsidRPr="00271E51" w:rsidRDefault="001D264E" w:rsidP="00271E51">
      <w:pPr>
        <w:spacing w:after="0" w:line="240" w:lineRule="auto"/>
        <w:jc w:val="both"/>
        <w:rPr>
          <w:rFonts w:ascii="Times New Roman" w:hAnsi="Times New Roman"/>
          <w:color w:val="0070C0"/>
          <w:sz w:val="16"/>
          <w:szCs w:val="16"/>
        </w:rPr>
      </w:pPr>
    </w:p>
    <w:p w14:paraId="6EA8C8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прибывшая в район прорванных авиацией сетей подводная лодка «С-9» несколько раз пыталась найти образовавшиеся проходы, но безуспешно. Она сама выпускала по сетям торпеды, но, даже несмотря на это, никаких результатов достигнуть не удалось. При возвращении субмарина погибла, а ещё раньше, при попытке «поднырнуть» под сети в глубоководном проходе, затонула «С-12» - немцы перекрыли проход донными минами. Фактически 30 самолето-вылетов 1 -го МТАП оказались затрачены на задачу, решения которой не было. В то же время крейсерские полеты, имевшие полную возможность заменить результаты прорыва двух субмарин, оказались чуть ли не на последнем месте. В течение месяца их было всего восемь, причем лишь четыре завершились атаками (9965).</w:t>
      </w:r>
    </w:p>
    <w:p w14:paraId="5C12B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3D0E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452E0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69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года Приказом НКВД СССР №0313 была объявлена "Инструкция о службе гарнизона конвойных войск НКВД" (8983).</w:t>
      </w:r>
    </w:p>
    <w:p w14:paraId="42E2B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AAC9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1C0BD9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DB12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7 1943 German turbojet fighter, a Messerschmitt Me-262, demonstrated before Adolf Hitler in East Prussia (1038).</w:t>
      </w:r>
    </w:p>
    <w:p w14:paraId="61436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157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августа 1943 Ме-262 был показан А.Гитлеру в Восточной Пруссии (1038).</w:t>
      </w:r>
    </w:p>
    <w:p w14:paraId="3DB66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D1263"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7–8 августа (ночь) 1943 197 британских бомбардировщиков Lancasters атакуют Геную, Милан и Турин, при этом потеряно два самолета. Над Турином, где 20 человек убиты и 79 ранены, капитан группы Джон Х. Сирби выступает в качестве первого успешного «церемониймейстера» - позже известного как « мастер-бомбардировщик » - опытного офицера, который кружит над целью бомбежки во время атаки на направлять бомбардировочные расчеты по радио и повышать их точность (20376).</w:t>
      </w:r>
    </w:p>
    <w:p w14:paraId="1D075CDF" w14:textId="77777777" w:rsidR="001D264E" w:rsidRPr="00271E51" w:rsidRDefault="001D264E" w:rsidP="00271E51">
      <w:pPr>
        <w:spacing w:after="0" w:line="240" w:lineRule="auto"/>
        <w:jc w:val="both"/>
        <w:rPr>
          <w:rFonts w:ascii="Times New Roman" w:hAnsi="Times New Roman"/>
          <w:color w:val="0070C0"/>
          <w:sz w:val="16"/>
          <w:szCs w:val="16"/>
        </w:rPr>
      </w:pPr>
    </w:p>
    <w:p w14:paraId="1ACB70F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9B98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61C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директор завода 39 Абрамов направил А.И.Ш. телефонограмму:</w:t>
      </w:r>
    </w:p>
    <w:p w14:paraId="5E7C22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с.г. на самолете Ил-6 доводилась ВМГ. Усиливалась роговая компенсация РВ. Заменялись краны воздухопроводки (изделия 305 завода).</w:t>
      </w:r>
    </w:p>
    <w:p w14:paraId="5B48A5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назначенный на вторую половину дня, из-за отсутствия погоды не может состояться.</w:t>
      </w:r>
    </w:p>
    <w:p w14:paraId="0CFA1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Мнение генералов Маркова и Коккинаки - здесь на заводе сделать 3-5 полетов и забрать самолет в Москву, т.к. заводской аэродром не позволяет провести полного летного испытания (1768,216).</w:t>
      </w:r>
    </w:p>
    <w:p w14:paraId="71CF8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DA7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августа1943 С.П.К. завершил подготовку программы заводских испытаний серийного самолета Пе-2 с реактивной установкой РУ-1. Предусматривалось участие СПК как главного конструктора РУ-1 в составе летного экипажа и комиссии по первому вылету (ААН, р. 4, оп. 17, № 2, л. 1-8).</w:t>
      </w:r>
    </w:p>
    <w:p w14:paraId="40F2B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2315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CCB1B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F017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года постановлением ГКО 122-мм гаубица Д-1 была принята на вооружение под названием "152-мм гаубица обр. 1943 г.". Валовое производство Д-1 было начато через полтора месяца на заводе № 9. Этот завод был единственным изготовителем Д-1. Производство ее велось с 1943 года по 1949 года включительно (3861).</w:t>
      </w:r>
    </w:p>
    <w:p w14:paraId="63D2C5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08B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 августа 1943 ГКО свои постановлением принял на вооружение 152-мм гаубицу Д-1 образца 1943 (1073,76), танк ИС-1 и ИСУ-122 и ИСУ-152 (2298,280).</w:t>
      </w:r>
    </w:p>
    <w:p w14:paraId="52166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AFA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 еще до завершения ис</w:t>
      </w:r>
      <w:r w:rsidRPr="00271E51">
        <w:rPr>
          <w:rFonts w:ascii="Times New Roman" w:hAnsi="Times New Roman"/>
          <w:color w:val="000000" w:themeColor="text1"/>
          <w:sz w:val="16"/>
          <w:szCs w:val="16"/>
        </w:rPr>
        <w:softHyphen/>
        <w:t>пытаний, ГКО принимает постановление № 3891сс о начале серийного производства танка КВ-85 («Объект 239») на Ч КЗ, вплоть до освоения в серии танка ИС («Объект 237»). Это было понятно, так как на фронте в тот момент не было танков, способных как-то противостоять «Тифу» и «Пантере» на средних дальностях. Таким образом, уже при создании КВ-85 стал своеобразным «временщиком» и не претендовал на большее. По замыслу Ж. Котина в конце 1943 г. его должен был сменить более мощный танк, воору</w:t>
      </w:r>
      <w:r w:rsidRPr="00271E51">
        <w:rPr>
          <w:rFonts w:ascii="Times New Roman" w:hAnsi="Times New Roman"/>
          <w:color w:val="000000" w:themeColor="text1"/>
          <w:sz w:val="16"/>
          <w:szCs w:val="16"/>
        </w:rPr>
        <w:softHyphen/>
        <w:t>женный 100-мм или 122-мм пушкой (11135).</w:t>
      </w:r>
    </w:p>
    <w:p w14:paraId="575330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пять КВ-85 переделывали из серийных корпусов КВ-1С, заваривая шаровое яблоко пулемета. И первый полк, оснащенный КВ-85, попал на фронт уже в первых числах сентября 1943 г. в ходе боев по освобождению левобе</w:t>
      </w:r>
      <w:r w:rsidRPr="00271E51">
        <w:rPr>
          <w:rFonts w:ascii="Times New Roman" w:hAnsi="Times New Roman"/>
          <w:color w:val="000000" w:themeColor="text1"/>
          <w:sz w:val="16"/>
          <w:szCs w:val="16"/>
        </w:rPr>
        <w:softHyphen/>
        <w:t>режной Украины (11135).</w:t>
      </w:r>
    </w:p>
    <w:p w14:paraId="2D7D53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831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 на засе</w:t>
      </w:r>
      <w:r w:rsidRPr="00271E51">
        <w:rPr>
          <w:rFonts w:ascii="Times New Roman" w:hAnsi="Times New Roman"/>
          <w:color w:val="000000" w:themeColor="text1"/>
          <w:sz w:val="16"/>
          <w:szCs w:val="16"/>
        </w:rPr>
        <w:softHyphen/>
        <w:t>дании ГКО было принято постановление о серийном производстве тан</w:t>
      </w:r>
      <w:r w:rsidRPr="00271E51">
        <w:rPr>
          <w:rFonts w:ascii="Times New Roman" w:hAnsi="Times New Roman"/>
          <w:color w:val="000000" w:themeColor="text1"/>
          <w:sz w:val="16"/>
          <w:szCs w:val="16"/>
        </w:rPr>
        <w:softHyphen/>
        <w:t>ка КВ-85. В результате испытаний Государственная комиссия установила, что динамические качества у танка ИС выше, чем у танка КВ-85. Кроме то</w:t>
      </w:r>
      <w:r w:rsidRPr="00271E51">
        <w:rPr>
          <w:rFonts w:ascii="Times New Roman" w:hAnsi="Times New Roman"/>
          <w:color w:val="000000" w:themeColor="text1"/>
          <w:sz w:val="16"/>
          <w:szCs w:val="16"/>
        </w:rPr>
        <w:softHyphen/>
        <w:t>го, было выяснено, что пушка Д-5Т-85 обладает большими преимущест</w:t>
      </w:r>
      <w:r w:rsidRPr="00271E51">
        <w:rPr>
          <w:rFonts w:ascii="Times New Roman" w:hAnsi="Times New Roman"/>
          <w:color w:val="000000" w:themeColor="text1"/>
          <w:sz w:val="16"/>
          <w:szCs w:val="16"/>
        </w:rPr>
        <w:softHyphen/>
        <w:t>вами по сравнению с пушкой С-31. В целях проверки пушек в одинаковых условиях (по установке и расположению боеукладки) комиссия решила на танке ИС № 1 ("Объ</w:t>
      </w:r>
      <w:r w:rsidRPr="00271E51">
        <w:rPr>
          <w:rFonts w:ascii="Times New Roman" w:hAnsi="Times New Roman"/>
          <w:color w:val="000000" w:themeColor="text1"/>
          <w:sz w:val="16"/>
          <w:szCs w:val="16"/>
        </w:rPr>
        <w:softHyphen/>
        <w:t>ект 237") заменить пушку С-31 на пушку Д-5Т-85 (10703).</w:t>
      </w:r>
    </w:p>
    <w:p w14:paraId="3B94E4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261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 в связи с задержкой начала серийного производства тяжелого танка ИС-1 (ИС-85) из-за недоработанности конструкции последнего был принят на вооружение РККА танк КВ-85. Танк выпускался на ЧКЗ серийно до сентября 1943 г., т.е. до начала организа</w:t>
      </w:r>
      <w:r w:rsidRPr="00271E51">
        <w:rPr>
          <w:rFonts w:ascii="Times New Roman" w:hAnsi="Times New Roman"/>
          <w:color w:val="000000" w:themeColor="text1"/>
          <w:sz w:val="16"/>
          <w:szCs w:val="16"/>
        </w:rPr>
        <w:softHyphen/>
        <w:t>ции серийного выпуска танков ИС-85. Всего было выпущено 148 машин данной модификации, которые широко применялись на фронтах Вели</w:t>
      </w:r>
      <w:r w:rsidRPr="00271E51">
        <w:rPr>
          <w:rFonts w:ascii="Times New Roman" w:hAnsi="Times New Roman"/>
          <w:color w:val="000000" w:themeColor="text1"/>
          <w:sz w:val="16"/>
          <w:szCs w:val="16"/>
        </w:rPr>
        <w:softHyphen/>
        <w:t>кой Отечественной войны в составе танковых полков прорыва (10703).</w:t>
      </w:r>
    </w:p>
    <w:p w14:paraId="285F51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CF5E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И.В.С. и Правительству (Малышев, Федоренко, К.Е.В., Л.П.Б., В.М.М.) демонстрировали опытные КВ-85, ИС-85 и ИСУ-152, которые прибыли в Москву еще 31 июля 1943. Удалили все экипажи кроме механиков-водителей + сотрудник НКВД. И.В.С взобрался на ИСУ-152, открыл люк и спросил как дела с вентиляцией и водитель К.Егоров все объяснил. На вооружение приняли только 4 сентября 1943 (2453,13).</w:t>
      </w:r>
    </w:p>
    <w:p w14:paraId="0D61BB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CC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колонна опытных боевых машин КВ-85 и ИС-85 прошла по улицам Москвы в Кремль, где они были осмотрены Сталиным, Молотовым, Ворошиловым, Берией, и другими. Интересно отметить, что перед показом из машин удалили всех членов экипажа (за исключением механиков-водителей), заменив их сотрудниками НКВД. (3862).</w:t>
      </w:r>
    </w:p>
    <w:p w14:paraId="7827B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A82D8" w14:textId="77777777" w:rsidR="00995DF2" w:rsidRPr="00271E51" w:rsidRDefault="00995DF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xml:space="preserve">8 августа 1943 года было подписано постановление ГКО за номером 3891сс «О производстве танков КВ с 85 мм пушкой (КВ-85)». До наших дней дожил один из двух Объектов 238. </w:t>
      </w:r>
      <w:hyperlink r:id="rId55" w:history="1">
        <w:r w:rsidRPr="00271E51">
          <w:rPr>
            <w:rFonts w:ascii="Times New Roman" w:eastAsia="Times New Roman" w:hAnsi="Times New Roman"/>
            <w:color w:val="000000" w:themeColor="text1"/>
            <w:sz w:val="16"/>
            <w:szCs w:val="16"/>
            <w:lang w:eastAsia="ru-RU"/>
          </w:rPr>
          <w:t>Эта машина</w:t>
        </w:r>
      </w:hyperlink>
      <w:r w:rsidRPr="00271E51">
        <w:rPr>
          <w:rFonts w:ascii="Times New Roman" w:eastAsia="Times New Roman" w:hAnsi="Times New Roman"/>
          <w:color w:val="000000" w:themeColor="text1"/>
          <w:sz w:val="16"/>
          <w:szCs w:val="16"/>
          <w:lang w:eastAsia="ru-RU"/>
        </w:rPr>
        <w:t xml:space="preserve"> в целом является серийным танком КВ-1с (номер 30751), выпущенным в июле 1943 года. Единственным внешним отличием изначально было другое орудие. Что дальше делали с этой машиной – непонятно. На ней установлены опорные катки от КВ-1, не «родные» у неё и поддерживающие катки. Гусеничные ленты у этого танка и вовсе от Т-10, а на воздухозаборники наварены прутья (17498).</w:t>
      </w:r>
    </w:p>
    <w:p w14:paraId="0ABA583C" w14:textId="77777777" w:rsidR="00995DF2" w:rsidRPr="00271E51" w:rsidRDefault="00995DF2" w:rsidP="00271E51">
      <w:pPr>
        <w:spacing w:after="0" w:line="240" w:lineRule="auto"/>
        <w:jc w:val="both"/>
        <w:rPr>
          <w:rFonts w:ascii="Times New Roman" w:hAnsi="Times New Roman"/>
          <w:color w:val="000000" w:themeColor="text1"/>
          <w:sz w:val="16"/>
          <w:szCs w:val="16"/>
        </w:rPr>
      </w:pPr>
    </w:p>
    <w:p w14:paraId="29D7BF61"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8 августа 1943 года Сталин подписал постановление ГКО №3891сс «О производстве танков КВ с 85 мм пушкой (КВ-85)». Согласно этому документу выбор был сделан в пользу Объекта 239, уже в августе ожидался выпуск первых 25 танков. Преимущества Д-5Т были продемонстрированы ещё в начале августа во время испытаний опытных образцов СУ-85. Несмотря на то, что Д-5С-85, установленная в СУ-85-II, имела массу мелких недочётов, она оказалась лучше систем разработки ЦАКБ (17710).</w:t>
      </w:r>
    </w:p>
    <w:p w14:paraId="54D5ADF3" w14:textId="77777777" w:rsidR="00995DF2" w:rsidRPr="00271E51" w:rsidRDefault="00995DF2" w:rsidP="00271E51">
      <w:pPr>
        <w:spacing w:after="0" w:line="240" w:lineRule="auto"/>
        <w:jc w:val="both"/>
        <w:rPr>
          <w:rFonts w:ascii="Times New Roman" w:hAnsi="Times New Roman"/>
          <w:color w:val="000000" w:themeColor="text1"/>
          <w:sz w:val="16"/>
          <w:szCs w:val="16"/>
        </w:rPr>
      </w:pPr>
    </w:p>
    <w:p w14:paraId="73D3F265" w14:textId="77777777" w:rsidR="00DC7544" w:rsidRPr="00271E51" w:rsidRDefault="00DC7544" w:rsidP="00271E51">
      <w:pPr>
        <w:pStyle w:val="1162"/>
        <w:shd w:val="clear" w:color="auto" w:fill="auto"/>
        <w:spacing w:after="0" w:line="240" w:lineRule="auto"/>
        <w:ind w:firstLine="0"/>
        <w:jc w:val="both"/>
        <w:rPr>
          <w:rFonts w:ascii="Times New Roman" w:hAnsi="Times New Roman" w:cs="Times New Roman"/>
          <w:color w:val="0070C0"/>
          <w:sz w:val="16"/>
          <w:szCs w:val="16"/>
        </w:rPr>
      </w:pPr>
      <w:r w:rsidRPr="00271E51">
        <w:rPr>
          <w:rStyle w:val="950"/>
          <w:rFonts w:ascii="Times New Roman" w:hAnsi="Times New Roman" w:cs="Times New Roman"/>
          <w:color w:val="0070C0"/>
          <w:sz w:val="16"/>
          <w:szCs w:val="16"/>
        </w:rPr>
        <w:t>8 августа 1943 года после программы артиллерийских испытаний КВ-85 приняли на вооружение Красной Армии. Единственная причина, почему «Объект 239» приняли на вооружение, заключалась, как тогда казалось, в большей простоте освоения этого танка в серии. Фактически это была башня ИС на немного доработанном шасси КВ-1с. Как позже оказалось, на ЧКЗ запуск КВ-85 в серию превратился в производствен</w:t>
      </w:r>
      <w:r w:rsidRPr="00271E51">
        <w:rPr>
          <w:rStyle w:val="950"/>
          <w:rFonts w:ascii="Times New Roman" w:hAnsi="Times New Roman" w:cs="Times New Roman"/>
          <w:color w:val="0070C0"/>
          <w:sz w:val="16"/>
          <w:szCs w:val="16"/>
        </w:rPr>
        <w:softHyphen/>
        <w:t>ную драму. Впрочем, с постановкой ИС на во</w:t>
      </w:r>
      <w:r w:rsidRPr="00271E51">
        <w:rPr>
          <w:rStyle w:val="950"/>
          <w:rFonts w:ascii="Times New Roman" w:hAnsi="Times New Roman" w:cs="Times New Roman"/>
          <w:color w:val="0070C0"/>
          <w:sz w:val="16"/>
          <w:szCs w:val="16"/>
        </w:rPr>
        <w:softHyphen/>
        <w:t>оружение тоже затягивать не стали. 4 сентяб</w:t>
      </w:r>
      <w:r w:rsidRPr="00271E51">
        <w:rPr>
          <w:rStyle w:val="950"/>
          <w:rFonts w:ascii="Times New Roman" w:hAnsi="Times New Roman" w:cs="Times New Roman"/>
          <w:color w:val="0070C0"/>
          <w:sz w:val="16"/>
          <w:szCs w:val="16"/>
        </w:rPr>
        <w:softHyphen/>
        <w:t>ря 1943 года Сталин подписал постановление ГКО № 4043 «О производстве танков ИС». Со</w:t>
      </w:r>
      <w:r w:rsidRPr="00271E51">
        <w:rPr>
          <w:rStyle w:val="950"/>
          <w:rFonts w:ascii="Times New Roman" w:hAnsi="Times New Roman" w:cs="Times New Roman"/>
          <w:color w:val="0070C0"/>
          <w:sz w:val="16"/>
          <w:szCs w:val="16"/>
        </w:rPr>
        <w:softHyphen/>
        <w:t>гласно ему, в ноябре 1943 года ожидался вы</w:t>
      </w:r>
      <w:r w:rsidRPr="00271E51">
        <w:rPr>
          <w:rStyle w:val="950"/>
          <w:rFonts w:ascii="Times New Roman" w:hAnsi="Times New Roman" w:cs="Times New Roman"/>
          <w:color w:val="0070C0"/>
          <w:sz w:val="16"/>
          <w:szCs w:val="16"/>
        </w:rPr>
        <w:softHyphen/>
        <w:t>пуск первых 25 танков данного типа</w:t>
      </w:r>
      <w:r w:rsidRPr="00271E51">
        <w:rPr>
          <w:rStyle w:val="950"/>
          <w:rFonts w:ascii="Times New Roman" w:hAnsi="Times New Roman" w:cs="Times New Roman"/>
          <w:color w:val="0070C0"/>
          <w:sz w:val="16"/>
          <w:szCs w:val="16"/>
          <w:lang w:val="ru-RU"/>
        </w:rPr>
        <w:t xml:space="preserve"> (19872)</w:t>
      </w:r>
      <w:r w:rsidRPr="00271E51">
        <w:rPr>
          <w:rStyle w:val="950"/>
          <w:rFonts w:ascii="Times New Roman" w:hAnsi="Times New Roman" w:cs="Times New Roman"/>
          <w:color w:val="0070C0"/>
          <w:sz w:val="16"/>
          <w:szCs w:val="16"/>
        </w:rPr>
        <w:t>.</w:t>
      </w:r>
    </w:p>
    <w:p w14:paraId="2506F2D2" w14:textId="77777777" w:rsidR="00DC7544" w:rsidRPr="00271E51" w:rsidRDefault="00DC7544" w:rsidP="00271E51">
      <w:pPr>
        <w:pStyle w:val="1162"/>
        <w:shd w:val="clear" w:color="auto" w:fill="auto"/>
        <w:spacing w:after="0" w:line="240" w:lineRule="auto"/>
        <w:ind w:firstLine="0"/>
        <w:jc w:val="both"/>
        <w:rPr>
          <w:rFonts w:ascii="Times New Roman" w:hAnsi="Times New Roman" w:cs="Times New Roman"/>
          <w:color w:val="0070C0"/>
          <w:sz w:val="16"/>
          <w:szCs w:val="16"/>
        </w:rPr>
      </w:pPr>
    </w:p>
    <w:p w14:paraId="247F2895"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8 августа 1943 года, когда Сталин подписал постановление ГКО №3892сс «Об организации производства 85 мм самоходных артустановок на базе танка Т-34 на Уралмашзаводе» СУ-85-II была принята на вооружение Красной армии в почти неизменном виде. Уже в августе в Свердловске выпустили первые серийные СУ-85.</w:t>
      </w:r>
    </w:p>
    <w:p w14:paraId="3D44A5C9"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СУ-85 стала первой из серийных советских САУ, шасси и вооружение которой полностью было спроектировано в Свердловске. За разработку этой машины коллектив УЗТМ был представлен к правительственным наградам, самой высокой из которых стала Сталинская премия. Высокие награды получил и коллектив завода №9 (17704).</w:t>
      </w:r>
    </w:p>
    <w:p w14:paraId="0D98D8B4" w14:textId="77777777" w:rsidR="00995DF2" w:rsidRPr="00271E51" w:rsidRDefault="00995DF2" w:rsidP="00271E51">
      <w:pPr>
        <w:pStyle w:val="12a"/>
        <w:shd w:val="clear" w:color="auto" w:fill="auto"/>
        <w:spacing w:after="0" w:line="240" w:lineRule="auto"/>
        <w:jc w:val="both"/>
        <w:rPr>
          <w:color w:val="000000" w:themeColor="text1"/>
          <w:sz w:val="16"/>
          <w:szCs w:val="16"/>
        </w:rPr>
      </w:pPr>
    </w:p>
    <w:p w14:paraId="3BBE2C36" w14:textId="77777777" w:rsidR="0051620D" w:rsidRPr="00271E51" w:rsidRDefault="0051620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года было подписано постановление ГКО №3892сс «Об организации производства 85 мм самоходных артустановок на базе танка </w:t>
      </w:r>
      <w:hyperlink r:id="rId56" w:history="1">
        <w:r w:rsidRPr="00271E51">
          <w:rPr>
            <w:rStyle w:val="a5"/>
            <w:rFonts w:ascii="Times New Roman" w:hAnsi="Times New Roman"/>
            <w:color w:val="000000" w:themeColor="text1"/>
            <w:sz w:val="16"/>
            <w:szCs w:val="16"/>
            <w:u w:val="none"/>
          </w:rPr>
          <w:t>Т-34</w:t>
        </w:r>
      </w:hyperlink>
      <w:r w:rsidRPr="00271E51">
        <w:rPr>
          <w:rFonts w:ascii="Times New Roman" w:hAnsi="Times New Roman"/>
          <w:color w:val="000000" w:themeColor="text1"/>
          <w:sz w:val="16"/>
          <w:szCs w:val="16"/>
        </w:rPr>
        <w:t> на Уралмашзаводе». Уже к началу сентября были готовы первые сто машин этого типа. </w:t>
      </w:r>
      <w:hyperlink r:id="rId57" w:history="1">
        <w:r w:rsidRPr="00271E51">
          <w:rPr>
            <w:rStyle w:val="a5"/>
            <w:rFonts w:ascii="Times New Roman" w:hAnsi="Times New Roman"/>
            <w:color w:val="000000" w:themeColor="text1"/>
            <w:sz w:val="16"/>
            <w:szCs w:val="16"/>
            <w:u w:val="none"/>
          </w:rPr>
          <w:t>СУ-85</w:t>
        </w:r>
      </w:hyperlink>
      <w:r w:rsidRPr="00271E51">
        <w:rPr>
          <w:rFonts w:ascii="Times New Roman" w:hAnsi="Times New Roman"/>
          <w:color w:val="000000" w:themeColor="text1"/>
          <w:sz w:val="16"/>
          <w:szCs w:val="16"/>
        </w:rPr>
        <w:t> стала самой массовой советской средней САУ военного периода, вместе с тем ещё в начале производства этой машины был поднят вопрос о её потенциальном преемнике. Причиной тому стала информация с Курской дуги, где немцы впервые применили средние танки</w:t>
      </w:r>
      <w:hyperlink r:id="rId58" w:history="1">
        <w:r w:rsidRPr="00271E51">
          <w:rPr>
            <w:rStyle w:val="a5"/>
            <w:rFonts w:ascii="Times New Roman" w:hAnsi="Times New Roman"/>
            <w:color w:val="000000" w:themeColor="text1"/>
            <w:sz w:val="16"/>
            <w:szCs w:val="16"/>
            <w:u w:val="none"/>
          </w:rPr>
          <w:t>Pz.Kpfw.Panther Ausf.D</w:t>
        </w:r>
      </w:hyperlink>
      <w:r w:rsidRPr="00271E51">
        <w:rPr>
          <w:rFonts w:ascii="Times New Roman" w:hAnsi="Times New Roman"/>
          <w:color w:val="000000" w:themeColor="text1"/>
          <w:sz w:val="16"/>
          <w:szCs w:val="16"/>
        </w:rPr>
        <w:t> и самоходные установки </w:t>
      </w:r>
      <w:hyperlink r:id="rId59" w:history="1">
        <w:r w:rsidRPr="00271E51">
          <w:rPr>
            <w:rStyle w:val="a5"/>
            <w:rFonts w:ascii="Times New Roman" w:hAnsi="Times New Roman"/>
            <w:color w:val="000000" w:themeColor="text1"/>
            <w:sz w:val="16"/>
            <w:szCs w:val="16"/>
            <w:u w:val="none"/>
          </w:rPr>
          <w:t>Ferdinand</w:t>
        </w:r>
      </w:hyperlink>
      <w:r w:rsidRPr="00271E51">
        <w:rPr>
          <w:rFonts w:ascii="Times New Roman" w:hAnsi="Times New Roman"/>
          <w:color w:val="000000" w:themeColor="text1"/>
          <w:sz w:val="16"/>
          <w:szCs w:val="16"/>
        </w:rPr>
        <w:t>. В сентябре 1943 года была запущена программа разработки орудий, более мощных, чем Д-5. Итогом стало созданиеСУ-100 — лучшей из советских средних САУ военного периода (18252).</w:t>
      </w:r>
    </w:p>
    <w:p w14:paraId="09B2DDA6" w14:textId="77777777" w:rsidR="0051620D" w:rsidRPr="00271E51" w:rsidRDefault="0051620D" w:rsidP="00271E51">
      <w:pPr>
        <w:spacing w:after="0" w:line="240" w:lineRule="auto"/>
        <w:jc w:val="both"/>
        <w:rPr>
          <w:rFonts w:ascii="Times New Roman" w:hAnsi="Times New Roman"/>
          <w:color w:val="000000" w:themeColor="text1"/>
          <w:sz w:val="16"/>
          <w:szCs w:val="16"/>
        </w:rPr>
      </w:pPr>
    </w:p>
    <w:p w14:paraId="2DEDEE77" w14:textId="77777777" w:rsidR="00995DF2" w:rsidRPr="00271E51" w:rsidRDefault="00995DF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3891 О производстве танков КВ с 85-мм пушкой (КВ-85).РГАНИР, Фонд ГКО, д. 144, лл. 12-13 (11012).</w:t>
      </w:r>
    </w:p>
    <w:p w14:paraId="1BE217CF" w14:textId="77777777" w:rsidR="00995DF2" w:rsidRPr="00271E51" w:rsidRDefault="00995DF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82C1A" w14:textId="77777777" w:rsidR="00995DF2" w:rsidRPr="00271E51" w:rsidRDefault="00995DF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8 августа 1943 года, еще до начала испыта</w:t>
      </w:r>
      <w:r w:rsidRPr="00271E51">
        <w:rPr>
          <w:rFonts w:ascii="Times New Roman" w:cs="Times New Roman"/>
          <w:color w:val="000000" w:themeColor="text1"/>
          <w:spacing w:val="0"/>
        </w:rPr>
        <w:softHyphen/>
        <w:t xml:space="preserve">ний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 85-мм пушками, было подпи</w:t>
      </w:r>
      <w:r w:rsidRPr="00271E51">
        <w:rPr>
          <w:rFonts w:ascii="Times New Roman" w:cs="Times New Roman"/>
          <w:color w:val="000000" w:themeColor="text1"/>
          <w:spacing w:val="0"/>
        </w:rPr>
        <w:softHyphen/>
        <w:t>сано постановление Государственного Ко</w:t>
      </w:r>
      <w:r w:rsidRPr="00271E51">
        <w:rPr>
          <w:rFonts w:ascii="Times New Roman" w:cs="Times New Roman"/>
          <w:color w:val="000000" w:themeColor="text1"/>
          <w:spacing w:val="0"/>
        </w:rPr>
        <w:softHyphen/>
        <w:t xml:space="preserve">митета Обороны № 3891сс «О производстве танков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 xml:space="preserve"> с 85-мм пушкой». Планом на ав</w:t>
      </w:r>
      <w:r w:rsidRPr="00271E51">
        <w:rPr>
          <w:rFonts w:ascii="Times New Roman" w:cs="Times New Roman"/>
          <w:color w:val="000000" w:themeColor="text1"/>
          <w:spacing w:val="0"/>
        </w:rPr>
        <w:softHyphen/>
        <w:t>густ Челябинский Кировский завод должен был изготовить 22 такие машины с пушками Д-5Т, получивших обозначение КВ-85 (15226).</w:t>
      </w:r>
    </w:p>
    <w:p w14:paraId="7380BB5B" w14:textId="77777777" w:rsidR="00995DF2" w:rsidRPr="00271E51" w:rsidRDefault="00995DF2" w:rsidP="00271E51">
      <w:pPr>
        <w:pStyle w:val="27"/>
        <w:shd w:val="clear" w:color="auto" w:fill="auto"/>
        <w:spacing w:after="0" w:line="240" w:lineRule="auto"/>
        <w:ind w:firstLine="0"/>
        <w:rPr>
          <w:rFonts w:ascii="Times New Roman" w:cs="Times New Roman"/>
          <w:color w:val="000000" w:themeColor="text1"/>
          <w:spacing w:val="0"/>
        </w:rPr>
      </w:pPr>
    </w:p>
    <w:p w14:paraId="2CA09110" w14:textId="77777777" w:rsidR="00995DF2" w:rsidRPr="00271E51" w:rsidRDefault="00995DF2" w:rsidP="00271E51">
      <w:pPr>
        <w:pStyle w:val="a3"/>
        <w:rPr>
          <w:color w:val="000000" w:themeColor="text1"/>
          <w:lang w:val="ru-RU"/>
        </w:rPr>
      </w:pPr>
      <w:r w:rsidRPr="00271E51">
        <w:rPr>
          <w:color w:val="000000" w:themeColor="text1"/>
          <w:lang w:val="ru-RU"/>
        </w:rPr>
        <w:t>8 августа 1943 постановление ГКО № 3891сс предписало начать производство танка под обозначением КВ-85. КВ-85 был компромиссным решением, которое не позволяло учесть все требования к тяжелому танку, выявившиеся в ходе боёв. Он с самого начала рассматривался как временная мера, принятая только до освоения танка ИС. КВ-85 производился в относительно небольших количествах в сентябре - ноябре 1943 года и большой роли в войне не сыграл (12290).</w:t>
      </w:r>
    </w:p>
    <w:p w14:paraId="26E9E828" w14:textId="77777777" w:rsidR="00995DF2" w:rsidRPr="00271E51" w:rsidRDefault="00995DF2" w:rsidP="00271E51">
      <w:pPr>
        <w:pStyle w:val="a3"/>
        <w:rPr>
          <w:color w:val="000000" w:themeColor="text1"/>
          <w:lang w:val="ru-RU"/>
        </w:rPr>
      </w:pPr>
    </w:p>
    <w:p w14:paraId="767C1C19" w14:textId="77777777" w:rsidR="00995DF2" w:rsidRPr="00271E51" w:rsidRDefault="00995DF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3892 Об организации производства 85-мм самоходных артустановок на базе танка Т-34 на Уралмашзаводе.РГАНИР, Фонд ГКО, д. 144, лл. 14-15, 16-30 (11012).</w:t>
      </w:r>
    </w:p>
    <w:p w14:paraId="124ED58F" w14:textId="77777777" w:rsidR="00995DF2" w:rsidRPr="00271E51" w:rsidRDefault="00995DF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386C5" w14:textId="77777777" w:rsidR="00995DF2" w:rsidRPr="00271E51" w:rsidRDefault="00995DF2"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 xml:space="preserve">8 августа 1943 года, более чем через три года после появления задания на среднюю САУ-истребитель, такую машину, СУ-85, наконец </w:t>
      </w:r>
      <w:hyperlink r:id="rId60" w:history="1">
        <w:r w:rsidRPr="00271E51">
          <w:rPr>
            <w:rStyle w:val="a5"/>
            <w:bCs/>
            <w:iCs/>
            <w:color w:val="000000" w:themeColor="text1"/>
            <w:sz w:val="16"/>
            <w:szCs w:val="16"/>
            <w:bdr w:val="none" w:sz="0" w:space="0" w:color="auto" w:frame="1"/>
          </w:rPr>
          <w:t>приняли на вооружение</w:t>
        </w:r>
      </w:hyperlink>
      <w:r w:rsidRPr="00271E51">
        <w:rPr>
          <w:iCs/>
          <w:color w:val="000000" w:themeColor="text1"/>
          <w:sz w:val="16"/>
          <w:szCs w:val="16"/>
          <w:bdr w:val="none" w:sz="0" w:space="0" w:color="auto" w:frame="1"/>
        </w:rPr>
        <w:t xml:space="preserve"> Красной армии. Как советская промышленность осваивала производство новой машины, пришедшей на смену СУ-122, и насколько хорошо новая самоходка справлялась с возложенными на неё задачами на поле боя?</w:t>
      </w:r>
    </w:p>
    <w:p w14:paraId="063619C6"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Уже 25 августа требовалось начать выпуск СУ-85, до конца месяца нужно было сдать 100 таких машин, а в сентябре план увеличивался до 150 штук! При этом в августе УЗТМ должен был сдать ещё 25 СУ-122, имелся и план по производству Т-34.</w:t>
      </w:r>
    </w:p>
    <w:p w14:paraId="64876B1D"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Для обеспечения производства СУ-85 заводу №9 предписывалось подать в августе 1943 года 110 артиллерийских систем Д-5-С-85, причём первые орудия должны были поступить на УЗМТ уже 23 числа. В сентябре ожидалось поступление уже 170 орудий.</w:t>
      </w:r>
    </w:p>
    <w:p w14:paraId="3A251B7D"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Сроки и объёмы, указанные в постановлении, выглядят очень жёстко. Ведь УЗТМ никогда не выпускал СУ-122 в объёме более 100 штук в месяц. Кроме того, производство на заводе часто велось в авральном режиме. Причиной тому являлась нерациональная организация производства на УЗТМ и ЧКЗ (Челябинском Кировском заводе). Требование Сталина резко увеличить темп выпуска Т-34 привело к тому, что этот танк начали производить на тех заводах, которые раньше занимались совсем другими машинами.</w:t>
      </w:r>
    </w:p>
    <w:p w14:paraId="3C9C7017" w14:textId="77777777" w:rsidR="00995DF2" w:rsidRPr="00271E51" w:rsidRDefault="00995DF2"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УЗТМ обладал куда меньшими производственными возможностями, чем ЧКЗ, и запуск производства СУ-122 стал для него очень серьёзным испытанием. Ни один месяц 1943 года не обходился без авралов. Завод сдавал то меньше СУ-122, то меньше Т-34, то план не выполнялся сразу по обеим машинам. Было ясно, что нужно что-то менять, и постановление ГКО №3892 сняло с УЗТМ обязанность по производству Т-34. Объёмы выпуска этого танка на заводе никогда не превышали 100 </w:t>
      </w:r>
      <w:r w:rsidRPr="00271E51">
        <w:rPr>
          <w:color w:val="000000" w:themeColor="text1"/>
          <w:sz w:val="16"/>
          <w:szCs w:val="16"/>
        </w:rPr>
        <w:lastRenderedPageBreak/>
        <w:t xml:space="preserve">машин в месяц, и превращать из-за таких относительно небольших объёмов в дополнительную производственную драму выпуск столь необходимых фронту СУ-85 не имело смысла. Не исключено, что это решение было принято в связи с возвращением на должность наркома танковой промышленности </w:t>
      </w:r>
      <w:hyperlink r:id="rId61" w:history="1">
        <w:r w:rsidRPr="00271E51">
          <w:rPr>
            <w:rStyle w:val="a5"/>
            <w:bCs/>
            <w:iCs/>
            <w:color w:val="000000" w:themeColor="text1"/>
            <w:sz w:val="16"/>
            <w:szCs w:val="16"/>
            <w:bdr w:val="none" w:sz="0" w:space="0" w:color="auto" w:frame="1"/>
          </w:rPr>
          <w:t>В.А. Малышева</w:t>
        </w:r>
      </w:hyperlink>
      <w:r w:rsidRPr="00271E51">
        <w:rPr>
          <w:color w:val="000000" w:themeColor="text1"/>
          <w:sz w:val="16"/>
          <w:szCs w:val="16"/>
        </w:rPr>
        <w:t>: летом 1942 года Сталин снял его с должности как раз за срыв выпуска Т-34. В августе УЗТМ сдал последние девять Т-34</w:t>
      </w:r>
      <w:r w:rsidRPr="00271E51">
        <w:rPr>
          <w:iCs/>
          <w:color w:val="000000" w:themeColor="text1"/>
          <w:sz w:val="16"/>
          <w:szCs w:val="16"/>
          <w:bdr w:val="none" w:sz="0" w:space="0" w:color="auto" w:frame="1"/>
        </w:rPr>
        <w:t xml:space="preserve"> (17719).</w:t>
      </w:r>
    </w:p>
    <w:p w14:paraId="5884E87D" w14:textId="77777777" w:rsidR="00995DF2" w:rsidRPr="00271E51" w:rsidRDefault="00995DF2" w:rsidP="00271E51">
      <w:pPr>
        <w:pStyle w:val="12a"/>
        <w:shd w:val="clear" w:color="auto" w:fill="auto"/>
        <w:spacing w:after="0" w:line="240" w:lineRule="auto"/>
        <w:jc w:val="both"/>
        <w:rPr>
          <w:color w:val="000000" w:themeColor="text1"/>
          <w:sz w:val="16"/>
          <w:szCs w:val="16"/>
        </w:rPr>
      </w:pPr>
    </w:p>
    <w:p w14:paraId="7DD7DD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 по 26 августа 1943 г. два танка Т-43 установочной партии прошли испытания на НИБТ полигоне. Во время этих испытаний одновремен</w:t>
      </w:r>
      <w:r w:rsidRPr="00271E51">
        <w:rPr>
          <w:rFonts w:ascii="Times New Roman" w:hAnsi="Times New Roman"/>
          <w:color w:val="000000" w:themeColor="text1"/>
          <w:sz w:val="16"/>
          <w:szCs w:val="16"/>
        </w:rPr>
        <w:softHyphen/>
        <w:t>но был проведен длительный пробег танка Т-43 по маршруту Нижний Тагил - Челябинск и обратно, который прошел без аварий и поломок. Пробег машины показал, что по-прежнему слабым местом среднего танка оставалась низкая износостойкость резиновых бандажей опорных катков, полностью заимствованных у танка Т-34. Опорные катки не вы</w:t>
      </w:r>
      <w:r w:rsidRPr="00271E51">
        <w:rPr>
          <w:rFonts w:ascii="Times New Roman" w:hAnsi="Times New Roman"/>
          <w:color w:val="000000" w:themeColor="text1"/>
          <w:sz w:val="16"/>
          <w:szCs w:val="16"/>
        </w:rPr>
        <w:softHyphen/>
        <w:t>держивали длительных пробегов танка на высоких скоростях и выходи</w:t>
      </w:r>
      <w:r w:rsidRPr="00271E51">
        <w:rPr>
          <w:rFonts w:ascii="Times New Roman" w:hAnsi="Times New Roman"/>
          <w:color w:val="000000" w:themeColor="text1"/>
          <w:sz w:val="16"/>
          <w:szCs w:val="16"/>
        </w:rPr>
        <w:softHyphen/>
        <w:t>ли из строя до окончания гарантийного пробега. Для танка Т-43 требо</w:t>
      </w:r>
      <w:r w:rsidRPr="00271E51">
        <w:rPr>
          <w:rFonts w:ascii="Times New Roman" w:hAnsi="Times New Roman"/>
          <w:color w:val="000000" w:themeColor="text1"/>
          <w:sz w:val="16"/>
          <w:szCs w:val="16"/>
        </w:rPr>
        <w:softHyphen/>
        <w:t>вались более широкие резиновые бандажи, способные обеспечить нор- . мальную работу опорных катков при возросшей массе машины. По динамическим и эксплуатационным качествам танк Т-43 практически ничем не отличался от танка Т-34 и поэтому мог эксплуатироваться в войсках совместно с танками Т-34, не внося особых осложнений при их обслуживании (10703).</w:t>
      </w:r>
    </w:p>
    <w:p w14:paraId="5D66B0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CD3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8 по 26 августа 1943 года два из трех изготовленных Т-43 (второй вариант) успешно прошли испыта</w:t>
      </w:r>
      <w:r w:rsidRPr="00271E51">
        <w:rPr>
          <w:rFonts w:ascii="Times New Roman" w:hAnsi="Times New Roman"/>
          <w:color w:val="000000" w:themeColor="text1"/>
          <w:sz w:val="16"/>
          <w:szCs w:val="16"/>
        </w:rPr>
        <w:softHyphen/>
        <w:t>ния и на НИБТ полигоне. В сентябре 1943 г. в НКТП и ГБТУ рассмат</w:t>
      </w:r>
      <w:r w:rsidRPr="00271E51">
        <w:rPr>
          <w:rFonts w:ascii="Times New Roman" w:hAnsi="Times New Roman"/>
          <w:color w:val="000000" w:themeColor="text1"/>
          <w:sz w:val="16"/>
          <w:szCs w:val="16"/>
        </w:rPr>
        <w:softHyphen/>
        <w:t>ривался вопрос о принятии тапка Т-43 па вооружение, по в связи с ши</w:t>
      </w:r>
      <w:r w:rsidRPr="00271E51">
        <w:rPr>
          <w:rFonts w:ascii="Times New Roman" w:hAnsi="Times New Roman"/>
          <w:color w:val="000000" w:themeColor="text1"/>
          <w:sz w:val="16"/>
          <w:szCs w:val="16"/>
        </w:rPr>
        <w:softHyphen/>
        <w:t>роко развернувшейся работой по созданию танка Т-34-85, а в последую</w:t>
      </w:r>
      <w:r w:rsidRPr="00271E51">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6666CF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283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3890 О плане производства танков, самоходных установок, дизелей, запасных частей к ним и ремонте танков, артсамоходов и дизелей на август 1943 г.РГАНИР, Фонд ГКО, д. 144, лл. 6-10, 11 (11012).</w:t>
      </w:r>
    </w:p>
    <w:p w14:paraId="4FF980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35378" w14:textId="77777777" w:rsidR="00BA7A65" w:rsidRPr="00271E51" w:rsidRDefault="00BA7A65" w:rsidP="00271E51">
      <w:pPr>
        <w:pStyle w:val="a3"/>
        <w:rPr>
          <w:color w:val="000000" w:themeColor="text1"/>
          <w:lang w:val="ru-RU"/>
        </w:rPr>
      </w:pPr>
      <w:r w:rsidRPr="00271E51">
        <w:rPr>
          <w:color w:val="000000" w:themeColor="text1"/>
          <w:lang w:val="ru-RU"/>
        </w:rPr>
        <w:t>8 августа 1943 ГКО освободил УЗТМ от производства СУ-122, разрешив выпустить в августе последние 25 машин этого типа. Поскольку новая самоходка была похожа на ранее производимую СУ-122, её выпуск был быстро налажен. Основной проблемой было недостаточное производство пушки Д-5. Вокруг этой проблемы развернулся ведомственный конфликт. НКТП обвиняло НКВ в срыве поставок орудия. НКВ утверждало, что в срыве виноват УЗТМ, не поставивший во время заготовок для Д-5. Несмотря на эти ведомственные споры, в конце августа новое оружие уже было применено войсками 2-го Украинского фронта в боях за Днепр (12290).</w:t>
      </w:r>
    </w:p>
    <w:p w14:paraId="133600DB"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9CB985E"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в 1943 году постановлением ГКО приняты на вооружение: 152-мм гаубица образца 1943 г. «Д-1», танк «ИС-1» и самоходные артустановки «САУ-122» и «САУ-152» (14977).</w:t>
      </w:r>
    </w:p>
    <w:p w14:paraId="32A11A94" w14:textId="77777777" w:rsidR="00735A75" w:rsidRPr="00271E51" w:rsidRDefault="00735A75" w:rsidP="00271E51">
      <w:pPr>
        <w:spacing w:after="0" w:line="240" w:lineRule="auto"/>
        <w:jc w:val="both"/>
        <w:rPr>
          <w:rFonts w:ascii="Times New Roman" w:hAnsi="Times New Roman"/>
          <w:color w:val="000000" w:themeColor="text1"/>
          <w:sz w:val="16"/>
          <w:szCs w:val="16"/>
        </w:rPr>
      </w:pPr>
    </w:p>
    <w:p w14:paraId="69855DBB"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8 августа 1943 начались и закончились 5 октября 1943 года ходовые испытания Пантеры с башенным номером 824 на НИБТ Полигоне. Танк был захвачен 17 июля 1943 года в районе деревни Новоселовка Курской области танкистами 3-го механизированного корпуса, которым командовал генерал-майор С.М. Кривошеин. К моменту, когда машина вышла на испытания, её спидометр показывал 452 километра. Для не самого надёжного танка это достаточно много.</w:t>
      </w:r>
    </w:p>
    <w:p w14:paraId="3C69B117"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За время испытаний машина прошла 58 километров по шоссе и 162 километра по просёлку, её двигатель отработал всего 13,9 часов. Столь небольшое расстояние, пройденное за 2 месяца испытаний, объясняется всё той же малой надёжностью. Танк три раза ломался, и его приходилось буксировать обратно на полигон. Так он «накатал» дополнительные 36 километров. И это при том, что машина ездила в сухую погоду и без боекомплекта.</w:t>
      </w:r>
    </w:p>
    <w:p w14:paraId="3DBB973F"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Испытателям удалось разогнать танк до 50 км/ч. Отмечалась хорошая манёвренность машины и очень удачная конструкция планетарного поворотного механизма с сервоприводом. При езде по шоссе средняя скорость движения составила 35 км/ч. Проблемы возникали на просёлке, где танк часто ломался. Из-за этого средняя скорость чистого движения составила 15,8 км/ч, а средняя техническая скорость — 11,4 км/ч.</w:t>
      </w:r>
    </w:p>
    <w:p w14:paraId="60A62832"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Всего во время испытаний произошло 12 поломок. Наименее надёжным агрегатом оказался двигатель, признанный недоведенным до кондиции. Проблемы с двигателем «Пантеры» признавали и сами немцы. Например, генерал-инспектор немецких танковых войск Гудериан в своих докладах отмечал, что гарантированно проходить дистанцию до 1000 км Pz.Kpfw.Panther стал только осенью 1943 года. Советские испытатели признали «Пантеру» менее надёжным танком, чем Pz.Kpfw.III и Pz.Kpfw.IV.</w:t>
      </w:r>
    </w:p>
    <w:p w14:paraId="6160FDF9"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 НИБТ Полигоне немецкий средний танк также сочли тяжёлым, поэтому сравнивали с новым советским тяжёлым танком ИС-2. Боевая масса ИС-2 оказалась больше всего на тонну, а по габаритам он превосходил Pz.Kpfw.Panther Ausf.D только по полной длине. Длина корпуса немецкого среднего танка была на 130 мм больше длины корпуса ИС-2, «Пантера» была на 360 мм шире и на 180 мм выше. Большим у немецкой машины оказалось и удельное давление на грунт.</w:t>
      </w:r>
    </w:p>
    <w:p w14:paraId="60FC244E"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чём немецкая машина однозначно превосходила ИС-2, так это в удельной мощности. Правда, была у этого преимущества и обратная сторона. Расход топлива «Пантеры» при движении по просёлочной дороге составлял 595 литров на 100 километров, а ИС-2 на заснеженном просёлке расходовал 440 литров на 100 километров.</w:t>
      </w:r>
    </w:p>
    <w:p w14:paraId="44099EED"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Кроме того, испытатели отмечали, что существенной разницы в скоростных показателях «Пантеры» и ИС-2 они не заметили. Это подтверждается и немецкими документами: паспортная средняя скорость по просёлку у Pz.Kpfw.Panther Ausf.D составляла 20 км/ч, что не особо отличается от аналогичного показателя ИС-2 — 18 км/ч. Существенная разница в средней скорости наблюдалась только на шоссе. Для ИС-2 по итогам испытаний она составила 27 км/ч, что было на 8 км/ч ниже средней скорости немецкого танка.</w:t>
      </w:r>
    </w:p>
    <w:p w14:paraId="4022B4BA"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Очень высоко оценили на НИБТ Полигоне 75-мм орудие KwK 42 L/70. Благодаря начальной скорости снаряда в 1000 м/с данное орудие оказалось опасным и для лобовой брони ИС-2. Как показала практика, эта пушка была более опасной, чем орудие 8.8 cm KwK 36 L/56, которое ставилось на Pz.Kpfw.Tiger Ausf.E. Кроме того, в боекомплект орудия «Пантеры» входил подкалиберный снаряд с ещё большими показателями пробития. Испытатели отмечали, что на предшествующих орудиях подкалиберный снаряд «работал» на дистанциях 500–600 метров, а на пушке «Пантеры» эта дистанция выросла до 2 километров. За счёт удобного размещения механизмов наведения орудия, хорошего прицела и электроспуска скорострельность немецкой пушки достигала 6–8 выстрелов в минуту.</w:t>
      </w:r>
    </w:p>
    <w:p w14:paraId="0E7C1A1E"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Испытатели довольно высоко оценили место наводчика, которое обеспечивало ему нормальные условия для работы. Правда, из смотровых приборов он располагал только телескопическим прицелом, при переносе огня наводчик был вынужден ориентироваться исключительно на целеуказания командира. Не всё хорошо было у командира. С одной стороны, в его распоряжении была командирская башенка, которая обеспечивала круговой обзор. Тем не менее по сравнению с Pz.Kpfw.III обзорность с места командира немного ухудшилась. Сильнее всего мёртвые пространства увеличились спереди и справа — до 16–18 метров. Место командира стало довольно тесным, что несколько ограничило его возможности. Фактически кроме наблюдения за боем и руководства экипажем ничем другим он заниматься не мог.</w:t>
      </w:r>
    </w:p>
    <w:p w14:paraId="4A029C82"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Ещё больше не повезло заряжающему. Никаких приборов наблюдения он не имел. Быстро перезаряжать пушку он мог, лишь используя укладки первой очереди. Одна их них, на 3 патрона, находилась за заряжающим, вторая, также на 3 патрона, — в полу боевого отделения, а третья, на 18 патронов, находилась в надгусеничной полке. При использовании других укладок возникали большие проблемы. Основной боекомплект, размещавшийся по периметру боевого отделения и в надгусеничных полках, оказывался доступен заряжающему лишь при повороте башни на определённый угол. До части боекомплекта заряжающий и вовсе мог добраться лишь с помощью других членов экипажа.</w:t>
      </w:r>
    </w:p>
    <w:p w14:paraId="613AF620"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целом боевое отделение стало хуже того, что было у Pz.Kpfw.III. Довольно узкая башня, получившая ещё и подбашенную корзину (полик), была всё же больше, чем у Pz.Kpfw.III. Но и орудие «Пантеры» было значительно более крупным. Существенно больший по размеру танк оказался теснее предшественника.</w:t>
      </w:r>
    </w:p>
    <w:p w14:paraId="2E010DBB"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 ещё раз вспомним про обзорность. В «Пантере» возможность полноценного наблюдения за полем боя имел только командир, наводчик и заряжающий не имели даже смотровых щелей. По обзорности этот немецкий танк уступал, причём весьма существенно, даже советским боевым машинам. В том числе и этим объясняются многочисленные случаи поражения «Пантер» с флангов. Ведь вместо трёх пар глаз из неё за полем боя наблюдала всего одна.</w:t>
      </w:r>
    </w:p>
    <w:p w14:paraId="79788C2E"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ходовой части, которые, по их мнению, были хорошо скомпонованы. Ходовая часть требовала минимального времени на техническое обслуживание. Особое внимание привлекла централизованная система смазки подвески танка, которую предлагалось использовать и на отечественных машинах. Высокой оценки удостоилась торсионная подвеска с двумя параллельно расположенными торсионными валами на каждый опорный каток. По мнению испытателей, при достаточной прочности торсионных валов такая подвеска обеспечивала мягкий ход.</w:t>
      </w:r>
    </w:p>
    <w:p w14:paraId="20A6CB55"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«Пантера» получила высокую общую оценку. Советские испытатели назвали немецкий средний танк тяжёлым танком-истребителем, предназначенным для поражения бронированных целей на дальних дистанциях. Для подобной классификации имелись основания: хорошая защита в лобовой проекции и размещение смотровых приборов. Плюсами танка назывались достаточно высокая удельная мощность, ходовая часть, обеспечивавшая плавный ход, и мощное вооружение.</w:t>
      </w:r>
    </w:p>
    <w:p w14:paraId="39D330DB"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Большой интерес у советских специалистов вызвала конструкция корпуса нового немецкого среднего танка. От предшественников он существенно отличался наклоном броневых листов и их толщиной. Хотя по компоновке Pz.Kpfw. Panther существенно отличался от Т-34, в том, что образцом для подражания при создании «Пантеры» стал советский средний танк, сомневаться не приходилось.</w:t>
      </w:r>
    </w:p>
    <w:p w14:paraId="76060524"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Из-за расположения трансмиссии немецкого танка в носовой части корпус пришлось делать довольно высоким и длинным. Он оказался на 20 сантиметров выше и на </w:t>
      </w:r>
      <w:r w:rsidRPr="00271E51">
        <w:rPr>
          <w:color w:val="000000" w:themeColor="text1"/>
          <w:sz w:val="16"/>
          <w:szCs w:val="16"/>
        </w:rPr>
        <w:lastRenderedPageBreak/>
        <w:t>метр длиннее, чем Т-34.</w:t>
      </w:r>
    </w:p>
    <w:p w14:paraId="60003022"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Практически с </w:t>
      </w:r>
      <w:hyperlink r:id="rId62" w:history="1">
        <w:r w:rsidRPr="00271E51">
          <w:rPr>
            <w:rStyle w:val="a5"/>
            <w:color w:val="000000" w:themeColor="text1"/>
            <w:sz w:val="16"/>
            <w:szCs w:val="16"/>
          </w:rPr>
          <w:t>момента появления танков</w:t>
        </w:r>
      </w:hyperlink>
      <w:r w:rsidRPr="00271E51">
        <w:rPr>
          <w:color w:val="000000" w:themeColor="text1"/>
          <w:sz w:val="16"/>
          <w:szCs w:val="16"/>
        </w:rPr>
        <w:t xml:space="preserve"> лобовая часть их корпуса была защищена лучше, чем борта и корма. К 1941 году рост бортовой брони немецких машин остановился, она составляла 30 мм. На Pz.Kpfw.III к этому времени лобовая броня достигала толщины 50 мм, а у Pz.Kpfw.IV к осени 1942 года она выросла до 80 мм. При этом толщина лобовой брони башни осталась на уровне 50 мм.</w:t>
      </w:r>
    </w:p>
    <w:p w14:paraId="02438483"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Новый немецкий танк существенно отличался от предшественников сильно дифференцированным бронированием. У Pz.Kpfw.Panther толщина бортов и лба сильно разнились с самого начала. Толщина верхнего лобового листа составила 80 мм, а нижнего — 60 мм, оба листа были установлены под углом 35 градусов. Это позволило значительно улучшить защиту корпуса. Толщина бортов также выросла, но незначительно — до 40 мм, при этом листы были установлены под углом 50 градусов. Теоретически такая броня должна была защищать от огня 45-мм противотанковых орудий. Но ещё в 1942 году в СССР началось производство 45-мм орудий с длиной ствола 69 калибров, а также появился подкалиберный снаряд. Кроме того, в противотанковых частях армий антигитлеровской коалиции всё чаще использовались орудия калибром 57–76 мм, для которых такая броня даже под наклоном не представляла особых проблем.</w:t>
      </w:r>
    </w:p>
    <w:p w14:paraId="733F483D"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Большой интерес у советских специалистов вызвало соединение бронелистов Pz.Kpw.Panther. До того немецкие машины собирались при помощи сварки встык, а у «Пантеры» листы корпуса собирались между собой в шип. Революционным данное решение не являлось: такой тип соединения использовался, например, и некоторыми заводами, собиравшими Т-34. Впрочем, у Т-34 использовался немного иной тип соединения в шип, да и применялся такой вид соединения лишь местами. У «Пантеры» же так собиралась большая часть корпуса и башня.</w:t>
      </w:r>
    </w:p>
    <w:p w14:paraId="5DC34445" w14:textId="77777777" w:rsidR="00995DF2" w:rsidRPr="00271E51" w:rsidRDefault="00995DF2"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Сборка в шип увеличила прочность сварных соединений. После изучения немецкого метода сварки такой тип соединения был внедрён на ряде советских танков. В шип соединялись лобовые листы ИС-2 со спрямлённой носовой частью, а также Т-44 (17729).</w:t>
      </w:r>
    </w:p>
    <w:p w14:paraId="271F026E" w14:textId="77777777" w:rsidR="00995DF2" w:rsidRPr="00271E51" w:rsidRDefault="00995DF2" w:rsidP="00271E51">
      <w:pPr>
        <w:shd w:val="clear" w:color="auto" w:fill="FFFFFF"/>
        <w:spacing w:after="0" w:line="240" w:lineRule="auto"/>
        <w:jc w:val="both"/>
        <w:rPr>
          <w:rFonts w:ascii="Times New Roman" w:hAnsi="Times New Roman"/>
          <w:color w:val="000000" w:themeColor="text1"/>
          <w:sz w:val="16"/>
          <w:szCs w:val="16"/>
        </w:rPr>
      </w:pPr>
    </w:p>
    <w:p w14:paraId="6BACF6FF" w14:textId="77777777" w:rsidR="00995DF2" w:rsidRPr="00271E51" w:rsidRDefault="00995DF2"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8 августа 1943 г. прошли испытания бронепанциря МПЗ-ЗИФ-22, включали боевую работу номеров расчета 45-мм орудия 21К на палубе катера МО и имитацию аварийной ситуации в воде. По заключению комиссии, они</w:t>
      </w:r>
      <w:r w:rsidRPr="00271E51">
        <w:rPr>
          <w:rStyle w:val="BodytextItalic2"/>
          <w:rFonts w:ascii="Times New Roman" w:eastAsiaTheme="minorHAnsi" w:hAnsi="Times New Roman" w:cs="Times New Roman"/>
          <w:i w:val="0"/>
          <w:color w:val="000000" w:themeColor="text1"/>
          <w:sz w:val="16"/>
          <w:szCs w:val="16"/>
        </w:rPr>
        <w:t xml:space="preserve"> «выя</w:t>
      </w:r>
      <w:r w:rsidRPr="00271E51">
        <w:rPr>
          <w:rStyle w:val="BodytextItalic2"/>
          <w:rFonts w:ascii="Times New Roman" w:eastAsiaTheme="minorHAnsi" w:hAnsi="Times New Roman" w:cs="Times New Roman"/>
          <w:i w:val="0"/>
          <w:color w:val="000000" w:themeColor="text1"/>
          <w:sz w:val="16"/>
          <w:szCs w:val="16"/>
        </w:rPr>
        <w:softHyphen/>
        <w:t>вили полную пригодность панциря для боевого</w:t>
      </w:r>
      <w:r w:rsidRPr="00271E51">
        <w:rPr>
          <w:rFonts w:ascii="Times New Roman" w:hAnsi="Times New Roman" w:cs="Times New Roman"/>
          <w:color w:val="000000" w:themeColor="text1"/>
          <w:sz w:val="16"/>
          <w:szCs w:val="16"/>
        </w:rPr>
        <w:t xml:space="preserve"> </w:t>
      </w:r>
      <w:r w:rsidRPr="00271E51">
        <w:rPr>
          <w:rStyle w:val="BodytextItalic2"/>
          <w:rFonts w:ascii="Times New Roman" w:eastAsiaTheme="minorHAnsi" w:hAnsi="Times New Roman" w:cs="Times New Roman"/>
          <w:i w:val="0"/>
          <w:color w:val="000000" w:themeColor="text1"/>
          <w:sz w:val="16"/>
          <w:szCs w:val="16"/>
        </w:rPr>
        <w:t>применения во флоте».</w:t>
      </w:r>
      <w:r w:rsidRPr="00271E51">
        <w:rPr>
          <w:rFonts w:ascii="Times New Roman" w:hAnsi="Times New Roman" w:cs="Times New Roman"/>
          <w:color w:val="000000" w:themeColor="text1"/>
          <w:sz w:val="16"/>
          <w:szCs w:val="16"/>
        </w:rPr>
        <w:t xml:space="preserve"> Это позволило заводу №7 приступить к изготовлению установочной партии панцирей, предназначенных для ин</w:t>
      </w:r>
      <w:r w:rsidRPr="00271E51">
        <w:rPr>
          <w:rFonts w:ascii="Times New Roman" w:hAnsi="Times New Roman" w:cs="Times New Roman"/>
          <w:color w:val="000000" w:themeColor="text1"/>
          <w:sz w:val="16"/>
          <w:szCs w:val="16"/>
        </w:rPr>
        <w:softHyphen/>
        <w:t>дивидуальной защиты расчетов артиллерий</w:t>
      </w:r>
      <w:r w:rsidRPr="00271E51">
        <w:rPr>
          <w:rFonts w:ascii="Times New Roman" w:hAnsi="Times New Roman" w:cs="Times New Roman"/>
          <w:color w:val="000000" w:themeColor="text1"/>
          <w:sz w:val="16"/>
          <w:szCs w:val="16"/>
        </w:rPr>
        <w:softHyphen/>
        <w:t>ских судовых и береговых орудий от осколков снарядов и пулевых ранений при атаках с воздуха. В сентябре 1943 г. завод изготовил и передал АУ ВМФ опытную серию МПЗ-ЗИФ-22 (200 шт.) для проверки на кораблях КБФ.</w:t>
      </w:r>
    </w:p>
    <w:p w14:paraId="658C87F3" w14:textId="77777777" w:rsidR="00995DF2" w:rsidRPr="00271E51" w:rsidRDefault="00995DF2"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Характерная особенность «морского» панциря состояла в дополнительной защите спины при обеспечении необходимой для ар</w:t>
      </w:r>
      <w:r w:rsidRPr="00271E51">
        <w:rPr>
          <w:rFonts w:ascii="Times New Roman" w:hAnsi="Times New Roman" w:cs="Times New Roman"/>
          <w:color w:val="000000" w:themeColor="text1"/>
          <w:sz w:val="16"/>
          <w:szCs w:val="16"/>
        </w:rPr>
        <w:softHyphen/>
        <w:t>тиллеристов свободы движений. Общая масса комплекта составляла около 9 кг. Три броне</w:t>
      </w:r>
      <w:r w:rsidRPr="00271E51">
        <w:rPr>
          <w:rFonts w:ascii="Times New Roman" w:hAnsi="Times New Roman" w:cs="Times New Roman"/>
          <w:color w:val="000000" w:themeColor="text1"/>
          <w:sz w:val="16"/>
          <w:szCs w:val="16"/>
        </w:rPr>
        <w:softHyphen/>
        <w:t>вых щитка - нагрудник, подвесной и спины - соединялись между собой ремнями, накиды</w:t>
      </w:r>
      <w:r w:rsidRPr="00271E51">
        <w:rPr>
          <w:rFonts w:ascii="Times New Roman" w:hAnsi="Times New Roman" w:cs="Times New Roman"/>
          <w:color w:val="000000" w:themeColor="text1"/>
          <w:sz w:val="16"/>
          <w:szCs w:val="16"/>
        </w:rPr>
        <w:softHyphen/>
        <w:t>ваемыми на кабурные кнопки. Такое решение обеспечивало требуемую свободу действий при обслуживании орудия и позволяло са</w:t>
      </w:r>
      <w:r w:rsidRPr="00271E51">
        <w:rPr>
          <w:rFonts w:ascii="Times New Roman" w:hAnsi="Times New Roman" w:cs="Times New Roman"/>
          <w:color w:val="000000" w:themeColor="text1"/>
          <w:sz w:val="16"/>
          <w:szCs w:val="16"/>
        </w:rPr>
        <w:softHyphen/>
        <w:t>мостоятельно мгновенно сбросить защиту. По мнению завода, данный вид индивидуальной защиты мог бы также с успехом использован в частях зенитной и дальнобойной артилле</w:t>
      </w:r>
      <w:r w:rsidRPr="00271E51">
        <w:rPr>
          <w:rFonts w:ascii="Times New Roman" w:hAnsi="Times New Roman" w:cs="Times New Roman"/>
          <w:color w:val="000000" w:themeColor="text1"/>
          <w:sz w:val="16"/>
          <w:szCs w:val="16"/>
        </w:rPr>
        <w:softHyphen/>
        <w:t>рии РККА (17746).</w:t>
      </w:r>
    </w:p>
    <w:p w14:paraId="5B486418" w14:textId="77777777" w:rsidR="00995DF2" w:rsidRPr="00271E51" w:rsidRDefault="00995DF2" w:rsidP="00271E51">
      <w:pPr>
        <w:shd w:val="clear" w:color="auto" w:fill="FFFFFF"/>
        <w:spacing w:after="0" w:line="240" w:lineRule="auto"/>
        <w:jc w:val="both"/>
        <w:rPr>
          <w:rFonts w:ascii="Times New Roman" w:hAnsi="Times New Roman"/>
          <w:color w:val="000000" w:themeColor="text1"/>
          <w:sz w:val="16"/>
          <w:szCs w:val="16"/>
        </w:rPr>
      </w:pPr>
    </w:p>
    <w:p w14:paraId="0334D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3893 Об увеличении производства корпусов авиабомб.РГАНИР, Фонд ГКО, д. 144, лл. 31-37, 38-71 (11012).</w:t>
      </w:r>
    </w:p>
    <w:p w14:paraId="1E69A2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7EF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3894 О плане производства и поставок артиллерийского и стрелкового вооружения и военных приборов на август 1943 г.РГАНИР, Фонд ГКО, д. 144, лл. 72-85, 86-93 (11012).</w:t>
      </w:r>
    </w:p>
    <w:p w14:paraId="40DD9E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16E1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3895 О плане производства минометного вооружения на август 1943 года.РГАНИР, Фонд ГКО, д. 144, лл. 94-97, 98-113 (11012).</w:t>
      </w:r>
    </w:p>
    <w:p w14:paraId="35E449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23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3896 О плане производства и поставок пулеметов-пистолетов Шпагина и ПП-43 в августе 1943 г.РГАНИР, Фонд ГКО, д. 144, лл. 114-120, 121-134 (11012).</w:t>
      </w:r>
    </w:p>
    <w:p w14:paraId="15317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AA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3897 О плане производства и поставок патронов и звеньев Наркоматом вооружения в августе 1943 года.РГАНИР, Фонд ГКО, д. 144, лл. 135-139, 140-147 (11012).</w:t>
      </w:r>
    </w:p>
    <w:p w14:paraId="564101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AEC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3898 О поставке НКО и НКВМФ боеприпасов в августе 1943 года.РГАНИР, Фонд ГКО, д. 144, лл. 148-158, 159-205 (11012).</w:t>
      </w:r>
    </w:p>
    <w:p w14:paraId="67BFA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EB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3899 О добыче нефти и выработке нефтепродуктов в августе 1943 года.РГАНИР, Фонд ГКО, д. 144, лл. 206-210, 211-212 (11012).</w:t>
      </w:r>
    </w:p>
    <w:p w14:paraId="33848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540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3900 О плане добычи угля на август месяц 1943 года по Наркомуглю.РГАНИР, Фонд ГКО, д. 144, лл. 213-220, 221-222 (11012).</w:t>
      </w:r>
    </w:p>
    <w:p w14:paraId="7C1B1A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72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вышло Постановление ГКО № 3901 О выдаче полевых денег личному составу действующих частей ВВС КА.РГАНИР, Фонд ГКО, д. 144, лл. 224 (11012).</w:t>
      </w:r>
    </w:p>
    <w:p w14:paraId="1152A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3A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На Петрозаводе заложены два ТЩ типа МТ-1 (10671).</w:t>
      </w:r>
    </w:p>
    <w:p w14:paraId="5B9F34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D91B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8EC3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2E7761"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в 1943 году оперативная сводка Совинформбюро:</w:t>
      </w:r>
    </w:p>
    <w:p w14:paraId="59A69FB9"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августа наши войска на Брянском направлении продолжали развивать наступление и, продвинувшись вперёд от 6 до 12 километров, заняли свыше 130 населённых пунктов, в том числе районный центр и железнодорожную станцию Нарышкино (20 километров западнее Орла), железнодорожную станцию Бедноты (28 километров западнее Орла), крупные населённые пункты Клеменово, Мощёное, Красные Рябинки, Бабикова, Лебёдка, Воробьёвка, Алмазово, Верхняя Боевка, Хмелевая (19 километров северо-западнее Кромы).</w:t>
      </w:r>
    </w:p>
    <w:p w14:paraId="684A7417"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 развивать наступление и, продвинувшись вперёд от 12 до 15 километров, заняли свыше 60 населённых пунктов, в том числе город Богодухов, районный центр и железнодорожную станцию Краснополье, районный центр Большая Писаревка и крупные населенные пункты Жигайловка, Тарасовка, Ямное, Купьеваха, Крысино, Должик (26 километров северо-западнее Харькова), Петровка, Черемошное.</w:t>
      </w:r>
    </w:p>
    <w:p w14:paraId="0B54882D"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разведку и артиллерийско-миномётную перестрелку с противником.</w:t>
      </w:r>
    </w:p>
    <w:p w14:paraId="44F8D674"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августа на всех фронтах наши войска подбили и уничтожили 77 немецких танков. Кроме того, на Харьковском направлении наши войска захватили 48 полностью исправных танков противника, из них 15 танков типа «Тигр». В воздушных боях и огнём зенитной артиллерии на всех фронтах сбито 125 самолётов противника.</w:t>
      </w:r>
    </w:p>
    <w:p w14:paraId="1947EB26"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7714BD75"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наши войска, преодолевая сопротивление противника, продвигались вперёд и заняли несколько населённых пунктов. Гитлеровцы предприняли контратаки, которые были отбиты с большими для них потерями. Только на одном участке подсчитано 600 вражеских трупов. Западнее Орла бойцы Н-ского соединения стремительным ударом опрокинули немцев и, преследуя их, заняли ряд населённых пунктов. Уничтожено до полка пехоты и 10 танков противника.</w:t>
      </w:r>
    </w:p>
    <w:p w14:paraId="71B53B98"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Кромы Н-ское соединение продолжало наступление и уничтожило свыше 1.000 немецких солдат и офицеров, 17 орудий, 10 миномётов, 67 пулемётов и 40 автомашин с грузами. Взяты пленные. Захвачены у противника 13 орудий, 49 пулемётов, 9 миномётов и два крупных артиллерийских склада.</w:t>
      </w:r>
    </w:p>
    <w:p w14:paraId="50BC2D6E"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наносить удары по отступающим немецким войскам и причинила противнику тяжёлые потери. В воздушных боях в течение дня сбито 58 немецких самолётов.</w:t>
      </w:r>
    </w:p>
    <w:p w14:paraId="5E27AE80"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успешное наступление.Н-ское соединение стремительной атакой заняло город Богодухов. В бою за город противнику нанесён тяжёлый урон. Подбит и уничтожен 31 немецкий танк. Захвачено много пленных и трофеи. Только одна гвардейская стрелковая часть, ведя наступательные бои, захватила 300 пленных, 320 автомашин, много мотоциклов и другого военного имущества. На другом участке наши части взяли 500 пленных и захватили 48 полностью исправных немецких танков, из них 15 танков типа «Тигр», несколько самоходных орудий и другие трофеи.</w:t>
      </w:r>
    </w:p>
    <w:p w14:paraId="335E40AA"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Нашими лётчиками в воздушных боях в течение дня сбито 46 самолётов противника.</w:t>
      </w:r>
    </w:p>
    <w:p w14:paraId="41E37D45"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Изюма наши части вели разведку боем. Н-ское подразделение атаковало вражеские позиции и в рукопашной схватке истребило не менее роты гитлеровцев. Другое подразделение выбило противника из выгодных позиций и уничтожило до 200 немецких солдат и офицеров. Захвачены 2 тяжёлых орудия и 6 пулемётов.</w:t>
      </w:r>
    </w:p>
    <w:p w14:paraId="4F498CCB"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бомбили железнодорожные эшелоны, колонны войск и технику противника. Уничтожено до 400 автомашин и 24 автоцистерны. Разбито 3 железнодорожных эшелона. В результате действий нашей авиации на ряде участков железной дороги противник прекратил движение поездов.</w:t>
      </w:r>
    </w:p>
    <w:p w14:paraId="53AB2196"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10 танков и батальон пехоты противника атаковали советские позиции. Наши артиллеристы и бронебойщики подбили 4 немецких танка, а остальные поспешно отошли. Вражеская пехота попала под губительный огонь наших миномётов и пулемётов и, понеся большие потери, откатилась в исходное положение.</w:t>
      </w:r>
    </w:p>
    <w:p w14:paraId="67344929"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артиллеристы и миномётчики, обстреливая вражескую оборону, разрушили 45 немецких дзотов и 2 наблюдательных пункта. Кроме того, уничтожены 3 немецких танк», 2 орудия, 20 автомашин, подавлен огонь многих артиллерийских и миномётных батарей противника. Советские снайперы истребили до150 гитлеровцев.</w:t>
      </w:r>
    </w:p>
    <w:p w14:paraId="5BE7A9A5"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часть, где командиром тов. Паншин, атаковала вражеские позиции и в результате ожесточённого боя овладела траншеями немцев. Взято 40 пленных. Захвачено 2 пушки, 15 пулемётов и другие трофеи. Немцы предприняли контратаку, но были отброшены с большими для них потерями.</w:t>
      </w:r>
    </w:p>
    <w:p w14:paraId="61641387"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потопили в Чёрном море транспорт водоизмещением в 3.000 тонн и две самоходных баржи противника.</w:t>
      </w:r>
    </w:p>
    <w:p w14:paraId="574E1428"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Орловской области, за последние дни пустил под откос два немецких поезда с военными грузами и сжёг эшелон противника с авиационным бензином. Из засад на шоссейной дороге советские патриоты обстреляли колонну вражеских автомашин и уничтожили не менее 80 гитлеровцев.</w:t>
      </w:r>
    </w:p>
    <w:p w14:paraId="696834DF"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граждане, бежавшие из Смоленска и перешедшие линию фронта, рассказали: «Немецко-фашистские мерзавцы разграбили имущество и культурны еценности музея, библиотек, научных и культурных учреждений города, а также частных лиц. В Смоленске обосновалось отделение пресловутого «главного штаба Розенберга по изъятию и вывозу ценностей из оккупированных районов Востока». При отделении имеется несколько команд, укомплектованных матёрыми бандитами и головорезами. Команды рыскают по городу, устраивают обыски и забирают всё, что представляет какую-либо ценность. Бандиты Розенберга растащили все ценности Смоленского областного музея. Похищено и вывезено в Германию много редких картин, фарфора, а также обстановка из кабинета великого русского композитора Глинки, в частности, его рояль. По распоряжению начальника смоленского отделения главного штаба Розенберга в Смоленский собор свезены почти все книги из смоленских библиотек и книгохранилищ. В феврале и апреле 1943 года немцы отправили в Германию 10 вагонов наиболее ценных книг, в том числе много антикварных книг и редких рукописей. Десятки тысяч томов книг варвары сожгли. С конца мая шайкой грабителей, именуемой «отделением штаба Розенберга», руководит немецкий чиновник Тюпкэ, его заместителем является немец Крафт».</w:t>
      </w:r>
    </w:p>
    <w:p w14:paraId="5DC12FE4" w14:textId="77777777" w:rsidR="00735A75" w:rsidRPr="00271E51" w:rsidRDefault="00735A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Рассказы жителей Смоленска, бежавших из фашистского плена, ещё раз подтверждают тот несомненный факт, что повсеместные грабежи, чинимые немцами в оккупированных районах Советского Союза, носят организованный государственный характер. Гитлеровское правительство вместе с его батальонами особого назначения при министерстве иностранных дел и командами Розенберга грабит культурные иисторические ценности в оккупированных немцами советских районах. Именно оно, гитлеровское правительство, выступает в роли организатора и вдохновителя грабежей.» (14977).</w:t>
      </w:r>
    </w:p>
    <w:p w14:paraId="575738B6" w14:textId="77777777" w:rsidR="00735A75" w:rsidRPr="00271E51" w:rsidRDefault="00735A75" w:rsidP="00271E51">
      <w:pPr>
        <w:spacing w:after="0" w:line="240" w:lineRule="auto"/>
        <w:jc w:val="both"/>
        <w:rPr>
          <w:rFonts w:ascii="Times New Roman" w:hAnsi="Times New Roman"/>
          <w:color w:val="000000" w:themeColor="text1"/>
          <w:sz w:val="16"/>
          <w:szCs w:val="16"/>
        </w:rPr>
      </w:pPr>
    </w:p>
    <w:p w14:paraId="482773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 августа 1943 АДД нанесла удар по станциям Изюм, Барвенково, Лозовая, Красноград. разбили 40 ж/д эшелонов, 600 а/м, 74 автоцистерны (3793).</w:t>
      </w:r>
    </w:p>
    <w:p w14:paraId="2C90CA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573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в связи с увеличением продолжительности темного времени суток началия новый тур минных постановок на Балтике. И на этот раз основными районами являлись Таллинн и Хельсинки, а запасными - финский порт Котка и бухта Кунда на побережье Эстонии. Тактика действий осталась без изменений, однако на этот раз подавляющее большинство выставленных до 23-го числа мин (87 из 110) составляли английские неконтактные А-4. Впервые нами использовались приборы кратности, заставлявшие мину сработать лишь по прошествию определенного по счету корабля. На минах, выставленных в августе, приборы кратности устанавливались на три,-девять импульсов, что значительно повышало противотральную стойкость заграждений. Из районов постановок на первом месте был Таллинн (67 мин), на втором Хельсинки (26). Шесть АМГ было сброшено у Котки. Немцы оказались в целом подготовленными к подобному обороту событий. Еще раньше они перебазировали на театр 2-ю эскадрилью 1-й группы самолетов-тральщиков Ju52MS. Ежедневным облетом они подрывали 2-3 мины, а именно такое количество, по-видимому, ложилось на фарватерах из числа 10 - 12 мин, выставляемых в течение ночи. Значительно возросло число вылетов на «свободную охоту». В августе оно возросло до 23, что было больше, чем за два предшествующих месяца вместе взятых. В семи случаях пилоты доложили о результативных атаках. Две из них произошли в Финском заливе против сторожевых кораблей и, несмотря на доклады, не увенчались успехом (9965).</w:t>
      </w:r>
    </w:p>
    <w:p w14:paraId="36E77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1B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 августа 1943 к операции Рельсовая война и к ударам по резервам противника подключились 5 и 2ВА Степного и Воронежского фронтов. били танковые и мотоколонны и за 4 дня выполнили 230 вылетов (518,257).</w:t>
      </w:r>
    </w:p>
    <w:p w14:paraId="0D254C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3C6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финские ДБ-3 бомбили базу совет</w:t>
      </w:r>
      <w:r w:rsidRPr="00271E51">
        <w:rPr>
          <w:rFonts w:ascii="Times New Roman" w:hAnsi="Times New Roman"/>
          <w:color w:val="000000" w:themeColor="text1"/>
          <w:sz w:val="16"/>
          <w:szCs w:val="16"/>
        </w:rPr>
        <w:softHyphen/>
        <w:t>ских партизан в Лахло. В налете участ</w:t>
      </w:r>
      <w:r w:rsidRPr="00271E51">
        <w:rPr>
          <w:rFonts w:ascii="Times New Roman" w:hAnsi="Times New Roman"/>
          <w:color w:val="000000" w:themeColor="text1"/>
          <w:sz w:val="16"/>
          <w:szCs w:val="16"/>
        </w:rPr>
        <w:softHyphen/>
        <w:t>вовали три ДБ-3 и один ДБ-3Ф. 17 сен</w:t>
      </w:r>
      <w:r w:rsidRPr="00271E51">
        <w:rPr>
          <w:rFonts w:ascii="Times New Roman" w:hAnsi="Times New Roman"/>
          <w:color w:val="000000" w:themeColor="text1"/>
          <w:sz w:val="16"/>
          <w:szCs w:val="16"/>
        </w:rPr>
        <w:softHyphen/>
        <w:t>тября пару ДБ-3 привлекли к удару по Лавенсаари. За это время три ДБ-3 по</w:t>
      </w:r>
      <w:r w:rsidRPr="00271E51">
        <w:rPr>
          <w:rFonts w:ascii="Times New Roman" w:hAnsi="Times New Roman"/>
          <w:color w:val="000000" w:themeColor="text1"/>
          <w:sz w:val="16"/>
          <w:szCs w:val="16"/>
        </w:rPr>
        <w:softHyphen/>
        <w:t>теряли в авариях (10734,87).</w:t>
      </w:r>
    </w:p>
    <w:p w14:paraId="3F43CB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099C2"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На 8 августа 1942 в четырех дивизиях Ту-2, которые свели в два корпуса (в 6-й корпус вошли 526-я и 554-я бад, в 7-й - 115-я и 179-я.) и включили в состав 12-й воздушной армии, поддерживавшей действия Забай</w:t>
      </w:r>
      <w:r w:rsidRPr="00271E51">
        <w:rPr>
          <w:rFonts w:ascii="Times New Roman" w:hAnsi="Times New Roman"/>
          <w:color w:val="0070C0"/>
          <w:sz w:val="16"/>
          <w:szCs w:val="16"/>
          <w:lang w:eastAsia="ru-RU" w:bidi="ru-RU"/>
        </w:rPr>
        <w:softHyphen/>
        <w:t>кальского фронта, имелось 287 Ту-2, из них 269 исправных. Первые боевые вылеты были совершены 9 августа. Так, 6-й бап в этот день трижды вылетал пол</w:t>
      </w:r>
      <w:r w:rsidRPr="00271E51">
        <w:rPr>
          <w:rFonts w:ascii="Times New Roman" w:hAnsi="Times New Roman"/>
          <w:color w:val="0070C0"/>
          <w:sz w:val="16"/>
          <w:szCs w:val="16"/>
          <w:lang w:eastAsia="ru-RU" w:bidi="ru-RU"/>
        </w:rPr>
        <w:softHyphen/>
        <w:t>ным составом. Бомбили японский укреп</w:t>
      </w:r>
      <w:r w:rsidRPr="00271E51">
        <w:rPr>
          <w:rFonts w:ascii="Times New Roman" w:hAnsi="Times New Roman"/>
          <w:color w:val="0070C0"/>
          <w:sz w:val="16"/>
          <w:szCs w:val="16"/>
          <w:lang w:eastAsia="ru-RU" w:bidi="ru-RU"/>
        </w:rPr>
        <w:softHyphen/>
        <w:t>район, железнодорожную станцию Халун- Аршан и аэродром. 152-й полк совершил налет на Чанчунь. 115-я дивизия нанесла несколько массированных ударов по Хай- ларскому укрепленному району полным составом всех трех полков. Впереди летел комдив Финогенов.</w:t>
      </w:r>
    </w:p>
    <w:p w14:paraId="2A07A79C"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860-й бап с аэродрома «Дон» (в 12 км от Чойбалсана) совершил несколько вы</w:t>
      </w:r>
      <w:r w:rsidRPr="00271E51">
        <w:rPr>
          <w:rFonts w:ascii="Times New Roman" w:hAnsi="Times New Roman"/>
          <w:color w:val="0070C0"/>
          <w:sz w:val="16"/>
          <w:szCs w:val="16"/>
          <w:lang w:eastAsia="ru-RU" w:bidi="ru-RU"/>
        </w:rPr>
        <w:softHyphen/>
        <w:t>летов на бомбежку объектов Хайларского укрепрайона и железнодорожной стан</w:t>
      </w:r>
      <w:r w:rsidRPr="00271E51">
        <w:rPr>
          <w:rFonts w:ascii="Times New Roman" w:hAnsi="Times New Roman"/>
          <w:color w:val="0070C0"/>
          <w:sz w:val="16"/>
          <w:szCs w:val="16"/>
          <w:lang w:eastAsia="ru-RU" w:bidi="ru-RU"/>
        </w:rPr>
        <w:softHyphen/>
        <w:t>ции Цицикар.</w:t>
      </w:r>
    </w:p>
    <w:p w14:paraId="02B5C718"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Позже перешли на тактику нанесе</w:t>
      </w:r>
      <w:r w:rsidRPr="00271E51">
        <w:rPr>
          <w:rFonts w:ascii="Times New Roman" w:hAnsi="Times New Roman"/>
          <w:color w:val="0070C0"/>
          <w:sz w:val="16"/>
          <w:szCs w:val="16"/>
          <w:lang w:eastAsia="ru-RU" w:bidi="ru-RU"/>
        </w:rPr>
        <w:softHyphen/>
        <w:t>ния ударов мелкими группами. Японцы не обладали сильной ПВО, вражеские ис</w:t>
      </w:r>
      <w:r w:rsidRPr="00271E51">
        <w:rPr>
          <w:rFonts w:ascii="Times New Roman" w:hAnsi="Times New Roman"/>
          <w:color w:val="0070C0"/>
          <w:sz w:val="16"/>
          <w:szCs w:val="16"/>
          <w:lang w:eastAsia="ru-RU" w:bidi="ru-RU"/>
        </w:rPr>
        <w:softHyphen/>
        <w:t>требители почти не появлялись. Особен</w:t>
      </w:r>
      <w:r w:rsidRPr="00271E51">
        <w:rPr>
          <w:rFonts w:ascii="Times New Roman" w:hAnsi="Times New Roman"/>
          <w:color w:val="0070C0"/>
          <w:sz w:val="16"/>
          <w:szCs w:val="16"/>
          <w:lang w:eastAsia="ru-RU" w:bidi="ru-RU"/>
        </w:rPr>
        <w:softHyphen/>
        <w:t>ностями нового театра боевых действий являлись горы и степи, малое количество ориентиров. Глубина действий бомбарди</w:t>
      </w:r>
      <w:r w:rsidRPr="00271E51">
        <w:rPr>
          <w:rFonts w:ascii="Times New Roman" w:hAnsi="Times New Roman"/>
          <w:color w:val="0070C0"/>
          <w:sz w:val="16"/>
          <w:szCs w:val="16"/>
          <w:lang w:eastAsia="ru-RU" w:bidi="ru-RU"/>
        </w:rPr>
        <w:softHyphen/>
        <w:t>ровочной авиации доходила до 400 км.</w:t>
      </w:r>
    </w:p>
    <w:p w14:paraId="12A398C5"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Удары наносились по укрепленным районам, железнодорожным станциям, мо</w:t>
      </w:r>
      <w:r w:rsidRPr="00271E51">
        <w:rPr>
          <w:rFonts w:ascii="Times New Roman" w:hAnsi="Times New Roman"/>
          <w:color w:val="0070C0"/>
          <w:sz w:val="16"/>
          <w:szCs w:val="16"/>
          <w:lang w:eastAsia="ru-RU" w:bidi="ru-RU"/>
        </w:rPr>
        <w:softHyphen/>
        <w:t>стам, аэродромам, скоплениям войск про</w:t>
      </w:r>
      <w:r w:rsidRPr="00271E51">
        <w:rPr>
          <w:rFonts w:ascii="Times New Roman" w:hAnsi="Times New Roman"/>
          <w:color w:val="0070C0"/>
          <w:sz w:val="16"/>
          <w:szCs w:val="16"/>
          <w:lang w:eastAsia="ru-RU" w:bidi="ru-RU"/>
        </w:rPr>
        <w:softHyphen/>
        <w:t>тивника. Сопротивление японцев быстро ослабевало, а с ним падала и интенсив</w:t>
      </w:r>
      <w:r w:rsidRPr="00271E51">
        <w:rPr>
          <w:rFonts w:ascii="Times New Roman" w:hAnsi="Times New Roman"/>
          <w:color w:val="0070C0"/>
          <w:sz w:val="16"/>
          <w:szCs w:val="16"/>
          <w:lang w:eastAsia="ru-RU" w:bidi="ru-RU"/>
        </w:rPr>
        <w:softHyphen/>
        <w:t>ность действий советской авиации. 6-й бап последний боевой вылет совершил 11 ав</w:t>
      </w:r>
      <w:r w:rsidRPr="00271E51">
        <w:rPr>
          <w:rFonts w:ascii="Times New Roman" w:hAnsi="Times New Roman"/>
          <w:color w:val="0070C0"/>
          <w:sz w:val="16"/>
          <w:szCs w:val="16"/>
          <w:lang w:eastAsia="ru-RU" w:bidi="ru-RU"/>
        </w:rPr>
        <w:softHyphen/>
        <w:t>густа на бомбежку станции Солунь.</w:t>
      </w:r>
    </w:p>
    <w:p w14:paraId="29288820"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Для ведения стратегической разведки при штабе 12-й воздушной армии орга</w:t>
      </w:r>
      <w:r w:rsidRPr="00271E51">
        <w:rPr>
          <w:rFonts w:ascii="Times New Roman" w:hAnsi="Times New Roman"/>
          <w:color w:val="0070C0"/>
          <w:sz w:val="16"/>
          <w:szCs w:val="16"/>
          <w:lang w:eastAsia="ru-RU" w:bidi="ru-RU"/>
        </w:rPr>
        <w:softHyphen/>
        <w:t>низовали группу Ту-2 с фотоаппаратурой. Она включала девять самолетов; коман</w:t>
      </w:r>
      <w:r w:rsidRPr="00271E51">
        <w:rPr>
          <w:rFonts w:ascii="Times New Roman" w:hAnsi="Times New Roman"/>
          <w:color w:val="0070C0"/>
          <w:sz w:val="16"/>
          <w:szCs w:val="16"/>
          <w:lang w:eastAsia="ru-RU" w:bidi="ru-RU"/>
        </w:rPr>
        <w:softHyphen/>
        <w:t>довал этим подразделением, дислоциро</w:t>
      </w:r>
      <w:r w:rsidRPr="00271E51">
        <w:rPr>
          <w:rFonts w:ascii="Times New Roman" w:hAnsi="Times New Roman"/>
          <w:color w:val="0070C0"/>
          <w:sz w:val="16"/>
          <w:szCs w:val="16"/>
          <w:lang w:eastAsia="ru-RU" w:bidi="ru-RU"/>
        </w:rPr>
        <w:softHyphen/>
        <w:t>ванным на аэродроме «Ленинград», стар</w:t>
      </w:r>
      <w:r w:rsidRPr="00271E51">
        <w:rPr>
          <w:rFonts w:ascii="Times New Roman" w:hAnsi="Times New Roman"/>
          <w:color w:val="0070C0"/>
          <w:sz w:val="16"/>
          <w:szCs w:val="16"/>
          <w:lang w:eastAsia="ru-RU" w:bidi="ru-RU"/>
        </w:rPr>
        <w:softHyphen/>
        <w:t>ший лейтенант А. Белицкий.</w:t>
      </w:r>
    </w:p>
    <w:p w14:paraId="12FAF3D7"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Небольшим количеством Ту-2 распо</w:t>
      </w:r>
      <w:r w:rsidRPr="00271E51">
        <w:rPr>
          <w:rFonts w:ascii="Times New Roman" w:hAnsi="Times New Roman"/>
          <w:color w:val="0070C0"/>
          <w:sz w:val="16"/>
          <w:szCs w:val="16"/>
          <w:lang w:eastAsia="ru-RU" w:bidi="ru-RU"/>
        </w:rPr>
        <w:softHyphen/>
        <w:t>лагали ВВС Тихоокеанского флота. Вхо</w:t>
      </w:r>
      <w:r w:rsidRPr="00271E51">
        <w:rPr>
          <w:rFonts w:ascii="Times New Roman" w:hAnsi="Times New Roman"/>
          <w:color w:val="0070C0"/>
          <w:sz w:val="16"/>
          <w:szCs w:val="16"/>
          <w:lang w:eastAsia="ru-RU" w:bidi="ru-RU"/>
        </w:rPr>
        <w:softHyphen/>
        <w:t>дивший в них 50-й дальнеразведыватель</w:t>
      </w:r>
      <w:r w:rsidRPr="00271E51">
        <w:rPr>
          <w:rFonts w:ascii="Times New Roman" w:hAnsi="Times New Roman"/>
          <w:color w:val="0070C0"/>
          <w:sz w:val="16"/>
          <w:szCs w:val="16"/>
          <w:lang w:eastAsia="ru-RU" w:bidi="ru-RU"/>
        </w:rPr>
        <w:softHyphen/>
        <w:t>ный авиаполк (драп) среди самолетов различных типов имел шесть таких машин. Они принимали участие в разведке побе</w:t>
      </w:r>
      <w:r w:rsidRPr="00271E51">
        <w:rPr>
          <w:rFonts w:ascii="Times New Roman" w:hAnsi="Times New Roman"/>
          <w:color w:val="0070C0"/>
          <w:sz w:val="16"/>
          <w:szCs w:val="16"/>
          <w:lang w:eastAsia="ru-RU" w:bidi="ru-RU"/>
        </w:rPr>
        <w:softHyphen/>
        <w:t>режья Северной Кореи, южной части Са</w:t>
      </w:r>
      <w:r w:rsidRPr="00271E51">
        <w:rPr>
          <w:rFonts w:ascii="Times New Roman" w:hAnsi="Times New Roman"/>
          <w:color w:val="0070C0"/>
          <w:sz w:val="16"/>
          <w:szCs w:val="16"/>
          <w:lang w:eastAsia="ru-RU" w:bidi="ru-RU"/>
        </w:rPr>
        <w:softHyphen/>
        <w:t>халина, Курильских островов, а также ле</w:t>
      </w:r>
      <w:r w:rsidRPr="00271E51">
        <w:rPr>
          <w:rFonts w:ascii="Times New Roman" w:hAnsi="Times New Roman"/>
          <w:color w:val="0070C0"/>
          <w:sz w:val="16"/>
          <w:szCs w:val="16"/>
          <w:lang w:eastAsia="ru-RU" w:bidi="ru-RU"/>
        </w:rPr>
        <w:softHyphen/>
        <w:t>тали и на север Японии. Ни одного Ту-2 при этом не потеряли.</w:t>
      </w:r>
    </w:p>
    <w:p w14:paraId="40694C22"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К моменту начала боевых дейст</w:t>
      </w:r>
      <w:r w:rsidRPr="00271E51">
        <w:rPr>
          <w:rFonts w:ascii="Times New Roman" w:hAnsi="Times New Roman"/>
          <w:color w:val="0070C0"/>
          <w:sz w:val="16"/>
          <w:szCs w:val="16"/>
          <w:lang w:eastAsia="ru-RU" w:bidi="ru-RU"/>
        </w:rPr>
        <w:softHyphen/>
        <w:t>вий против Японии шло перевооружение 54-го бап 10-й бомбардировочной ави</w:t>
      </w:r>
      <w:r w:rsidRPr="00271E51">
        <w:rPr>
          <w:rFonts w:ascii="Times New Roman" w:hAnsi="Times New Roman"/>
          <w:color w:val="0070C0"/>
          <w:sz w:val="16"/>
          <w:szCs w:val="16"/>
          <w:lang w:eastAsia="ru-RU" w:bidi="ru-RU"/>
        </w:rPr>
        <w:softHyphen/>
        <w:t>адивизии морской авиации, летавшего на Пе-2. Несколько экипажей уже осво</w:t>
      </w:r>
      <w:r w:rsidRPr="00271E51">
        <w:rPr>
          <w:rFonts w:ascii="Times New Roman" w:hAnsi="Times New Roman"/>
          <w:color w:val="0070C0"/>
          <w:sz w:val="16"/>
          <w:szCs w:val="16"/>
          <w:lang w:eastAsia="ru-RU" w:bidi="ru-RU"/>
        </w:rPr>
        <w:softHyphen/>
        <w:t>или Ту-2. Известен, по крайней мере, один боевой вылет, 15 августа, когда железно</w:t>
      </w:r>
      <w:r w:rsidRPr="00271E51">
        <w:rPr>
          <w:rFonts w:ascii="Times New Roman" w:hAnsi="Times New Roman"/>
          <w:color w:val="0070C0"/>
          <w:sz w:val="16"/>
          <w:szCs w:val="16"/>
          <w:lang w:eastAsia="ru-RU" w:bidi="ru-RU"/>
        </w:rPr>
        <w:softHyphen/>
        <w:t>дорожную станцию в Сейсине бомбили 51 Пе-2 и один Ту-2. Ни одного туполев</w:t>
      </w:r>
      <w:r w:rsidRPr="00271E51">
        <w:rPr>
          <w:rFonts w:ascii="Times New Roman" w:hAnsi="Times New Roman"/>
          <w:color w:val="0070C0"/>
          <w:sz w:val="16"/>
          <w:szCs w:val="16"/>
          <w:lang w:eastAsia="ru-RU" w:bidi="ru-RU"/>
        </w:rPr>
        <w:softHyphen/>
        <w:t>ского бомбардировщика морские летчики не потеряли. Наоборот, за время ведения боевых действий против Японии Тихоо</w:t>
      </w:r>
      <w:r w:rsidRPr="00271E51">
        <w:rPr>
          <w:rFonts w:ascii="Times New Roman" w:hAnsi="Times New Roman"/>
          <w:color w:val="0070C0"/>
          <w:sz w:val="16"/>
          <w:szCs w:val="16"/>
          <w:lang w:eastAsia="ru-RU" w:bidi="ru-RU"/>
        </w:rPr>
        <w:softHyphen/>
        <w:t xml:space="preserve">кеанский флот получил еще 14 новеньких бомбардировщиков, которые перегнали с Черного моря </w:t>
      </w:r>
      <w:r w:rsidRPr="00271E51">
        <w:rPr>
          <w:rFonts w:ascii="Times New Roman" w:hAnsi="Times New Roman"/>
          <w:color w:val="0070C0"/>
          <w:sz w:val="16"/>
          <w:szCs w:val="16"/>
        </w:rPr>
        <w:t>(21060)</w:t>
      </w:r>
    </w:p>
    <w:p w14:paraId="229A83B4" w14:textId="77777777" w:rsidR="001D264E" w:rsidRPr="00271E51" w:rsidRDefault="001D264E" w:rsidP="00271E51">
      <w:pPr>
        <w:spacing w:after="0" w:line="240" w:lineRule="auto"/>
        <w:jc w:val="both"/>
        <w:rPr>
          <w:rFonts w:ascii="Times New Roman" w:hAnsi="Times New Roman"/>
          <w:color w:val="0070C0"/>
          <w:sz w:val="16"/>
          <w:szCs w:val="16"/>
        </w:rPr>
      </w:pPr>
    </w:p>
    <w:p w14:paraId="26EEA8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8-10 августа 1943 общие выводы по итогам оборонительных боев, отражали следующее: «Все имею</w:t>
      </w:r>
      <w:r w:rsidRPr="00271E51">
        <w:rPr>
          <w:rFonts w:ascii="Times New Roman" w:hAnsi="Times New Roman"/>
          <w:color w:val="000000" w:themeColor="text1"/>
          <w:sz w:val="16"/>
          <w:szCs w:val="16"/>
        </w:rPr>
        <w:softHyphen/>
        <w:t>щие место попытки советских танковых войск контратако</w:t>
      </w:r>
      <w:r w:rsidRPr="00271E51">
        <w:rPr>
          <w:rFonts w:ascii="Times New Roman" w:hAnsi="Times New Roman"/>
          <w:color w:val="000000" w:themeColor="text1"/>
          <w:sz w:val="16"/>
          <w:szCs w:val="16"/>
        </w:rPr>
        <w:softHyphen/>
        <w:t>вать вклинившегося противника заканчивались большей час</w:t>
      </w:r>
      <w:r w:rsidRPr="00271E51">
        <w:rPr>
          <w:rFonts w:ascii="Times New Roman" w:hAnsi="Times New Roman"/>
          <w:color w:val="000000" w:themeColor="text1"/>
          <w:sz w:val="16"/>
          <w:szCs w:val="16"/>
        </w:rPr>
        <w:softHyphen/>
        <w:t>тью неудачно с большими собственными потерями, так как неизменно натыкались на крепкую оборону, которую немцы успевали возвести... в кратчайшее время непосредственно в ходе наступления подтягивая к месту прорыва орудия ПТО, пулеметы, штурмовые и противотанковые САУ... Положение усугублялось тем, что большинство контрударов проводилось без достаточного артиллерийского обеспечения и при недо</w:t>
      </w:r>
      <w:r w:rsidRPr="00271E51">
        <w:rPr>
          <w:rFonts w:ascii="Times New Roman" w:hAnsi="Times New Roman"/>
          <w:color w:val="000000" w:themeColor="text1"/>
          <w:sz w:val="16"/>
          <w:szCs w:val="16"/>
        </w:rPr>
        <w:softHyphen/>
        <w:t>статочно разведанной обстановке...»</w:t>
      </w:r>
    </w:p>
    <w:p w14:paraId="2CCFA4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Ставка сочла, что удар 5-й гвардейской танковой армии и 5-й гвардейской армии вместе с частями усиления не достиг поставленной цели и потому Прохоровское сражение было отнесено к числу неудач Юго-Западного фронта. Видимо, командующий 5-й гвардейской танковой армии П. Ротмист</w:t>
      </w:r>
      <w:r w:rsidRPr="00271E51">
        <w:rPr>
          <w:rFonts w:ascii="Times New Roman" w:hAnsi="Times New Roman"/>
          <w:color w:val="000000" w:themeColor="text1"/>
          <w:sz w:val="16"/>
          <w:szCs w:val="16"/>
        </w:rPr>
        <w:softHyphen/>
        <w:t>ров почувствовал «куда ветер дует», ибо 20 августа, он напра</w:t>
      </w:r>
      <w:r w:rsidRPr="00271E51">
        <w:rPr>
          <w:rFonts w:ascii="Times New Roman" w:hAnsi="Times New Roman"/>
          <w:color w:val="000000" w:themeColor="text1"/>
          <w:sz w:val="16"/>
          <w:szCs w:val="16"/>
        </w:rPr>
        <w:softHyphen/>
        <w:t>вил письмо первому заместителю Народного комиссара обо</w:t>
      </w:r>
      <w:r w:rsidRPr="00271E51">
        <w:rPr>
          <w:rFonts w:ascii="Times New Roman" w:hAnsi="Times New Roman"/>
          <w:color w:val="000000" w:themeColor="text1"/>
          <w:sz w:val="16"/>
          <w:szCs w:val="16"/>
        </w:rPr>
        <w:softHyphen/>
        <w:t>роны СССР, маршалу Советского Союза Г. Жукову (11135).</w:t>
      </w:r>
    </w:p>
    <w:p w14:paraId="34ED94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793EF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Внешняя политика:</w:t>
      </w:r>
    </w:p>
    <w:p w14:paraId="5B727F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A53E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года</w:t>
      </w:r>
    </w:p>
    <w:p w14:paraId="2866A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СЕКРЕТНОЕ И ЛИЧНОЕ ПОСЛАНИЕ ОТ ПРЕМЬЕРА И. В. СТАЛИНА ПРЕЗИДЕНТУ ФРАНКЛИНУ Д. РУЗВЕЛЬТУ</w:t>
      </w:r>
    </w:p>
    <w:p w14:paraId="06197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Только теперь, по возвращении с фронта, я могу ответить Вам на Ваше последнее послание от 16 июля. Не сомневаюсь, что Вы учитываете наше военное положение и поймете происшедшую задержку с ответом.</w:t>
      </w:r>
    </w:p>
    <w:p w14:paraId="1B2FDB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Вопреки нашим ожиданиям немцы начали свое наступление не в июне, а в июле месяце, и теперь бои на советско-германском фронте в полном разгаре. Как известно, советские армии отбили июльское наступление гитлеровцев. Вы знаете также, что наша армия сама перешла в наступление, взяла Орел и Белгород и осуществляет дальнейший нажим на врага.</w:t>
      </w:r>
    </w:p>
    <w:p w14:paraId="160874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Легко понять, что при нынешней острой обстановке на советско-германском фронте от командования советских войск требуется большое напряжение и исключительная бдительность к действиям врага. В связи с этим и мне приходится в настоящее время несколько отойти от других вопросов и других моих обязанностей, кроме основной обязанности по руководству фронтом. Приходится чаще лично бывать на различных участках фронта и подчинять интересам фронта все остальное.</w:t>
      </w:r>
    </w:p>
    <w:p w14:paraId="5D57AB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надеюсь, что при таких обстоятельствах Вам будет вполне понятно, что в данный момент я не могу отправиться в далекое путешествие и не смогу, к сожалению, в течение лета и осени выполнить своего обещания, данного Вам через г-на Дэвиса.</w:t>
      </w:r>
    </w:p>
    <w:p w14:paraId="076786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очень сожалею об этом, но обстоятельства, как знаете, сильнее людей, и приходится им подчиниться.</w:t>
      </w:r>
    </w:p>
    <w:p w14:paraId="299F0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Встречу ответственных представителей обоих государств я считаю безусловно целесообразной. В настоящей военной обстановке ее можно было бы устроить либо в Астрахани, либо в Архангельске. Если Вас лично это не устраивает, то Вы могли бы направить в один из названных пунктов вполне ответственное доверенное лицо. При этом если это предложение будет принято Вами, то следовало бы нам заранее установить круг вопросов, подлежащих обсуждению, и наметки предложений, которые должны быть приняты на совещании.</w:t>
      </w:r>
    </w:p>
    <w:p w14:paraId="55949F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уже г-ну Дэвису говорил в свое время, что не имею возражений против присутствия г-на Черчилля на этом совещании с тем, чтобы совещание представителей двух государств превратить в совещание представителей трех государств. Я и теперь продолжаю держаться этой точки зрения при условии, что Вы не будете возражать против этого.</w:t>
      </w:r>
    </w:p>
    <w:p w14:paraId="41BC83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Пользуюсь случаем, чтобы приветствовать Вас и англо-американские войска с выдающимися успехами в Сицилии, приведшими к краху Муссолини и его шайки.</w:t>
      </w:r>
    </w:p>
    <w:p w14:paraId="77FBB5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Благодарю Вас за поздравление Красной Армии и советского народа по случаю успехов под Орлом (7430).</w:t>
      </w:r>
    </w:p>
    <w:p w14:paraId="0E7A68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6D09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B4C07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2CF15"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августа 1943 бомбардировщики Оси атакуют американский легкий крейсер USS Philadelphia у побережья Сант'Агата-ди-Милителло, Сицилия, без единого попадания (20376).</w:t>
      </w:r>
    </w:p>
    <w:p w14:paraId="27BF2DC0" w14:textId="77777777" w:rsidR="001D264E" w:rsidRPr="00271E51" w:rsidRDefault="001D264E" w:rsidP="00271E51">
      <w:pPr>
        <w:spacing w:after="0" w:line="240" w:lineRule="auto"/>
        <w:jc w:val="both"/>
        <w:rPr>
          <w:rFonts w:ascii="Times New Roman" w:hAnsi="Times New Roman"/>
          <w:color w:val="0070C0"/>
          <w:sz w:val="16"/>
          <w:szCs w:val="16"/>
        </w:rPr>
      </w:pPr>
    </w:p>
    <w:p w14:paraId="6C4ADF69" w14:textId="77777777" w:rsidR="001D264E" w:rsidRPr="00271E51" w:rsidRDefault="001D264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8–17 августа 1943 самолеты союзников ВВС Северо-Западной Африки атакуют силы Оси, эвакуирующие с Сицилии через Мессинский пролив в материковую Италию в рамках операции Lehrgang. Стратегические бомбардировщики Веллингтона в среднем совершают 85 боевых вылетов за ночь - атакуют пляжи для эвакуации на Сицилии до ночи 13–14 августа, затем порты материковой Италии - а средние бомбардировщики и истребители-бомбардировщики совершают 1170 боевых вылетов. Самолеты союзников не сталкиваются с воздушным сопротивлением Оси, но сталкиваются с сильным зенитным огнем и успевают потопить лишь несколько судов, не ставя под угрозу успех эвакуации Оси (20376). </w:t>
      </w:r>
    </w:p>
    <w:p w14:paraId="0F69B5FC" w14:textId="77777777" w:rsidR="001D264E" w:rsidRPr="00271E51" w:rsidRDefault="001D264E" w:rsidP="00271E51">
      <w:pPr>
        <w:spacing w:after="0" w:line="240" w:lineRule="auto"/>
        <w:jc w:val="both"/>
        <w:rPr>
          <w:rFonts w:ascii="Times New Roman" w:hAnsi="Times New Roman"/>
          <w:color w:val="0070C0"/>
          <w:sz w:val="16"/>
          <w:szCs w:val="16"/>
        </w:rPr>
      </w:pPr>
    </w:p>
    <w:p w14:paraId="3EB8007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августа 1943 Муссолини помещен в заключение на острове Маддалена в Сардинии (4962).</w:t>
      </w:r>
    </w:p>
    <w:p w14:paraId="33F61D7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5F27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1C49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65F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9 по 17 августа 1943 в НИИ ВВС проходили гос. испытания модернизированного самолета Ил-2И с мотором АМ-38Ф в варианте "истребителя бомбардировщиков" (самолет N 7581 производства завода 1, сделанный июле 1943). 13 июля 1943 самолет прибыл на испытания в НИИ ВВС. С 31 июля по 9 августа испытания не проводились из-за отсутствия техдокументации по самолету (1862).</w:t>
      </w:r>
    </w:p>
    <w:p w14:paraId="19A6D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FFF31"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9 по 17 августа 1943 на Ил-2И выполнили 32 полета с общим налетом 14 часов 15 минут. Ведущим инженером был инженер-майор В.С. Холопов, ведущим летчиком – майор А.К. Долгов, ведущим по тактическим испытаниям – капитанМ.Д. Васильев. Летные данные по сравнению с двухместным самолетом изменились незначительно: максимальная скорость увеличилась на 14 км/час у земли и на 18 км/час на границе высотности, а практический потолок вырос с 5300 до 6500 м. В заключении к отчету было сказано: «Самолет может использоваться для борьбы только с некоторыми типами бомбардировщиков и транспортных самолетов со сравнительно небольшими скоростями (Не-111, ФВ-200, Ю-87, Ю-52) на высотах не выше 4000 м и ФВ могут уходить за счет лучшей скороподъемности. Более скоростные бомбардировщики типа Ю-88 и До-215 Ил-2И может атаковать лишь случайно изза большой скорости. Снятие ШКАС, РО и ликвидация бомбоотсеков резко снизили качества самолета как штурмовика. Считать, что дальнейшая постройка самолета Ил-2И в варианте истребителя и установка АМ-42 (постановление ГКО № 3386сс от 15 мая 1943 года) на истребительный вариант Ил-2 – нецелесообразны. Испытанный опытный винт АВ-5Л-158В диаметром 3.4 м, дающий увеличение максимальной скорости на 8 км/час, рекомендовать для установки на ранее выпущенныеИл-2». Следующий «шажок» к новому был сделан 11 октября 1943 года в самом последнем пункте приказа НКАП № 594сс: «В целях дальнейшего улучшения ЛТД бронированных штурмовиков Ил-2:1. Директору завода 30 Смирнову и Главному конструктору Ильюшину выпустить 2 серийных Ил-2 с АМ-38Ф с внесением в них аэродинамических улучшений по предложениям ЦАГИ и Главного конструктора. На втором самолете заводу 30 установить консоли крыльев с концами, отведенными назад и без металлических лент на обшивке вдоль лонжеронов, изготовив кроме летных консолей 2 консоли для стат. испытаний к 1 ноября с/г. Установить трехлопастный винт АВ5 диаметром 3.4 м. Самолеты предъявить на летные испытания: 1-й к 1 ноября 1943, 2-й к 20 ноября 1943 (21005).</w:t>
      </w:r>
    </w:p>
    <w:p w14:paraId="098DE68D" w14:textId="77777777" w:rsidR="00DC7544" w:rsidRPr="00271E51" w:rsidRDefault="00DC7544" w:rsidP="00271E51">
      <w:pPr>
        <w:spacing w:after="0" w:line="240" w:lineRule="auto"/>
        <w:jc w:val="both"/>
        <w:rPr>
          <w:rFonts w:ascii="Times New Roman" w:hAnsi="Times New Roman"/>
          <w:color w:val="0070C0"/>
          <w:sz w:val="16"/>
          <w:szCs w:val="16"/>
        </w:rPr>
      </w:pPr>
    </w:p>
    <w:p w14:paraId="316371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ГИ завода 39 К.А.Петров писал А.И.Ш., ГИ АДД И.С.Маркову, С.В.И. нач. 10 ГУ Б.Н.Тарасевичу письмо N 57/3578с:</w:t>
      </w:r>
    </w:p>
    <w:p w14:paraId="4F045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Высылки акта на производство первого полета самолета Ил-6:</w:t>
      </w:r>
    </w:p>
    <w:p w14:paraId="7439A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высылаю акт комиссии, возможности производства первого полета опытного самолета Ил-6 2 М-30Б и ВИШ-ВФ61В, с приложениями:</w:t>
      </w:r>
    </w:p>
    <w:p w14:paraId="6213E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w:t>
      </w:r>
    </w:p>
    <w:p w14:paraId="318D90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Составлен 7 августа 1943 г. Иркутск по вопросу возможности производства первого полета опытного самолета Ил-6 2 М30-Б и ВИШ-ВФ61Б, построенного заводом 39 по чертежам ГК завода 240 г-м ИАС С.В.И.</w:t>
      </w:r>
    </w:p>
    <w:p w14:paraId="1EF6A4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Рассмотрены след. предъявленные документы:</w:t>
      </w:r>
    </w:p>
    <w:p w14:paraId="770967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расчет прочности самолета</w:t>
      </w:r>
    </w:p>
    <w:p w14:paraId="3ED47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аэродинамический расчет самолета</w:t>
      </w:r>
    </w:p>
    <w:p w14:paraId="770C05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принципиальные и монтажные схемы: топливную, масляную, водяную, управления самолетом, управления подъемом шасси и выпуском щитков и шасси, управления мотором, нивелировочную и регулировочную схемы.</w:t>
      </w:r>
    </w:p>
    <w:p w14:paraId="23462C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теоретическую центровку и материалы взвешивания самолета</w:t>
      </w:r>
    </w:p>
    <w:p w14:paraId="5617FE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дефектную ведомость и акты ОТК завода 39</w:t>
      </w:r>
    </w:p>
    <w:p w14:paraId="719D82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формуляры моторов, самолета и отдельных агрегатов</w:t>
      </w:r>
    </w:p>
    <w:p w14:paraId="42A46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Осмотрен самолет Ил-6 с 2М-30Б и винтами ВИШ-ВФ61Ф N 6003902</w:t>
      </w:r>
    </w:p>
    <w:p w14:paraId="37E45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Проверена работа моторов и агрегатов и на рулежке, пробежке и полетах</w:t>
      </w:r>
    </w:p>
    <w:p w14:paraId="4E12C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проверки предъявленной документации, проверки самолета на земле и устранения обнаруженных дефектов препятствий к производству первого подлета не имеется.</w:t>
      </w:r>
    </w:p>
    <w:p w14:paraId="427E6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069A8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предъявленных материалах отсутствуют:</w:t>
      </w:r>
    </w:p>
    <w:p w14:paraId="723FFC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Акты статич. испытаний на прочность планера и его агрегатов</w:t>
      </w:r>
    </w:p>
    <w:p w14:paraId="1BC93E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Заключение по флаттеру</w:t>
      </w:r>
    </w:p>
    <w:p w14:paraId="127D6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6FA20E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Заслушав заключение ГК С.В.И. о возможности производства 1 вылета без стат. испытаний и заключения по флаттеру, а также основываясь на разрешении Наркома А.И.Ш. о производстве первого полета без стат. испытаний, считаем возможным допустить самолет Ил-6 с 3М-30Б и ВИШ-ВФ61В в 1 полету со след. ограничениями:</w:t>
      </w:r>
    </w:p>
    <w:p w14:paraId="3708E0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Полетный вес самолета не более 13000</w:t>
      </w:r>
    </w:p>
    <w:p w14:paraId="6A91AE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Центровка самолета д.б. в пределах от 22 до 24% САХ</w:t>
      </w:r>
    </w:p>
    <w:p w14:paraId="71F2B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Скорость самолета не свыше 280 км/час по прибору</w:t>
      </w:r>
    </w:p>
    <w:p w14:paraId="0790DD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p>
    <w:p w14:paraId="5B9176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Акт окончания производства самолета</w:t>
      </w:r>
    </w:p>
    <w:p w14:paraId="7676DA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Протокол взвешивания самолета Ил-63. Метровка самолета Ил-6 для 1 вылета</w:t>
      </w:r>
    </w:p>
    <w:p w14:paraId="48B4B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Заключение по прочности</w:t>
      </w:r>
    </w:p>
    <w:p w14:paraId="58FBCC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Телефонограмма с заключением зам. нач. 7 ГУ Алексеева по аэродинамике</w:t>
      </w:r>
    </w:p>
    <w:p w14:paraId="4EF05C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 ГИ АДД Марков, Водопьянов, м Краснухин, ст. военпред Макаров и др.</w:t>
      </w:r>
    </w:p>
    <w:p w14:paraId="76098B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w:t>
      </w:r>
    </w:p>
    <w:p w14:paraId="672F7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Составлен в том, что самолет Ил-6 N 6003902 с М-30Б N 334 правый и 317 левый с винтами ВФ-61В N 28344440, 28344470 производства завода 39 построен по чертежам ГК С.В.И. и служебными запискам, выпущенным ОКБ завода 240 и утвержденным зам. ГК Я.А.Кутеповым.</w:t>
      </w:r>
    </w:p>
    <w:p w14:paraId="22B8E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закончен производством в соответствии с чертежами ГК, спецификациями и ТУ, предусмотренными в чертежах на монтаже, оформлен приемкой ОТК по производственным монтажам и испытаниям и м.б. допущен к полету.</w:t>
      </w:r>
    </w:p>
    <w:p w14:paraId="2AA4AA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производства монтажей на самолете выявлены дефекты и недоработки по отдельным монтажам (см. прилагаемую ведомость), подлежащие устранению до полета:</w:t>
      </w:r>
    </w:p>
    <w:p w14:paraId="0A33DB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Приложения: 1. Ведомость недоработок о дефектов</w:t>
      </w:r>
    </w:p>
    <w:p w14:paraId="028803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Тех. документация приемки ОТК агрегатов и монтажей</w:t>
      </w:r>
    </w:p>
    <w:p w14:paraId="3707F7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Протокол взвешивания и расчет центровки самолета</w:t>
      </w:r>
    </w:p>
    <w:p w14:paraId="47A2F3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Нивелировка и регулировка самолета (1768,235).</w:t>
      </w:r>
    </w:p>
    <w:p w14:paraId="5162C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Ведомость</w:t>
      </w:r>
    </w:p>
    <w:p w14:paraId="564B89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имеющихся недоработок на самолете Ил-6 N 6003902, выявленных при приемке монтажей и агрегатов самолета:</w:t>
      </w:r>
    </w:p>
    <w:p w14:paraId="2AF979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Монтаж бомбового вооружения производством закончен согласно чертежей ГК. Приемкой ОТК не оформлена, произведено испытание замков путем навески и сбрасывания бомбовой нагрузки.</w:t>
      </w:r>
    </w:p>
    <w:p w14:paraId="3FBE3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 установлен автопилот</w:t>
      </w:r>
    </w:p>
    <w:p w14:paraId="7FAD87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произведен монтаж антиобледенителя по стабилизаторам и килю</w:t>
      </w:r>
    </w:p>
    <w:p w14:paraId="3F37E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Не выполнен монтаж металлизации самолета</w:t>
      </w:r>
    </w:p>
    <w:p w14:paraId="5FC91A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Вместо убирающегося установлен неубирающийся костыль.</w:t>
      </w:r>
    </w:p>
    <w:p w14:paraId="4104E6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имеются на самолете следующие отклонения от ТУ:</w:t>
      </w:r>
    </w:p>
    <w:p w14:paraId="7408E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Тугое управление элеронами</w:t>
      </w:r>
    </w:p>
    <w:p w14:paraId="15992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Тугое управление РВ</w:t>
      </w:r>
    </w:p>
    <w:p w14:paraId="30CC2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РВ имеет отклонение вверх вместо 375 мм 362 сс, вниз вместо 214 мм 200 мм</w:t>
      </w:r>
    </w:p>
    <w:p w14:paraId="243AD1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Элероны не имеют ограничителей хода</w:t>
      </w:r>
    </w:p>
    <w:p w14:paraId="7F8E7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Выключен передов во флюгерное положение винтов ВИШ-ВФ-61В</w:t>
      </w:r>
    </w:p>
    <w:p w14:paraId="18BE6B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Протокол взвешивания машины Ил-6 (первой летной).</w:t>
      </w:r>
    </w:p>
    <w:p w14:paraId="5C256B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взвешивалась в состоянии на 25 и 26 июля 1943. На машине отсутствовало:</w:t>
      </w:r>
    </w:p>
    <w:p w14:paraId="22ABA3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Комплект автопилота - 5-0 кг</w:t>
      </w:r>
    </w:p>
    <w:p w14:paraId="2DBC49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Кислородные баллоны в количестве 8 шт - 148.8 кг</w:t>
      </w:r>
    </w:p>
    <w:p w14:paraId="2B534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Задняя броня К-450-53 0 43.3 кг</w:t>
      </w:r>
    </w:p>
    <w:p w14:paraId="361CE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Сидение пилота К 450 -53 - 8.6 кг</w:t>
      </w:r>
    </w:p>
    <w:p w14:paraId="0DF337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Писсуары 1х5 - 5 кг</w:t>
      </w:r>
    </w:p>
    <w:p w14:paraId="46A4C3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Топбрика 1х2 - 3 кг</w:t>
      </w:r>
    </w:p>
    <w:p w14:paraId="39FE1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Пистолет РП-3 - 1.3 кг</w:t>
      </w:r>
    </w:p>
    <w:p w14:paraId="65127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Прицел ОПБ-1р - 6 кг</w:t>
      </w:r>
    </w:p>
    <w:p w14:paraId="10863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Прицел НКПБ-7 - 3 кг</w:t>
      </w:r>
    </w:p>
    <w:p w14:paraId="083C4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Щиток костыля - 3 кг</w:t>
      </w:r>
    </w:p>
    <w:p w14:paraId="0CC4D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Громоотвод - 0.04 кг</w:t>
      </w:r>
    </w:p>
    <w:p w14:paraId="764709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весу конструкции 10852 кг добавлено:</w:t>
      </w:r>
    </w:p>
    <w:p w14:paraId="1E33D7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Керосин в передних центропланных баках 1500 кг</w:t>
      </w:r>
    </w:p>
    <w:p w14:paraId="45E2D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Масло - 180 кг</w:t>
      </w:r>
    </w:p>
    <w:p w14:paraId="2B51A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Вода - 180 кг</w:t>
      </w:r>
    </w:p>
    <w:p w14:paraId="7601EF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Патроны ШКАС 16.5 кг</w:t>
      </w:r>
    </w:p>
    <w:p w14:paraId="433EB9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Патроны правого бокового пулемета - 3574 кг</w:t>
      </w:r>
    </w:p>
    <w:p w14:paraId="586F6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Патроны левого бокового пулемета - 3574 кг</w:t>
      </w:r>
    </w:p>
    <w:p w14:paraId="44ED1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Патроны пулемета СУ 53.1 кг</w:t>
      </w:r>
    </w:p>
    <w:p w14:paraId="578BDA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Патроны пулемета ЛУ 53.1 кг</w:t>
      </w:r>
    </w:p>
    <w:p w14:paraId="2B4225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Экипаж 6 чел. - 540 кг</w:t>
      </w:r>
    </w:p>
    <w:p w14:paraId="23A54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Аккумулятор - 32 кг</w:t>
      </w:r>
    </w:p>
    <w:p w14:paraId="1598B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машины 13478 кг</w:t>
      </w:r>
    </w:p>
    <w:p w14:paraId="1E1B08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Определялось только давление на хвостовое колесо</w:t>
      </w:r>
    </w:p>
    <w:p w14:paraId="0E2A37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Взвешивание (перегрузочный вариант).</w:t>
      </w:r>
    </w:p>
    <w:p w14:paraId="049BA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нормальному весу добавлено:</w:t>
      </w:r>
    </w:p>
    <w:p w14:paraId="619B8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100 кг керосина в передних центропланных баках</w:t>
      </w:r>
    </w:p>
    <w:p w14:paraId="25D81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1300 кг керосина в задних центропланных баках</w:t>
      </w:r>
    </w:p>
    <w:p w14:paraId="6EACE9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1100 кг керосина в консольных баках</w:t>
      </w:r>
    </w:p>
    <w:p w14:paraId="7A7EA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Масла - 240 кг</w:t>
      </w:r>
    </w:p>
    <w:p w14:paraId="68FD01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машины 16218 кг</w:t>
      </w:r>
    </w:p>
    <w:p w14:paraId="4D1CE3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Определялось только давление на хвостовое колесо (1768,237).</w:t>
      </w:r>
    </w:p>
    <w:p w14:paraId="685AF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 центровки</w:t>
      </w:r>
    </w:p>
    <w:p w14:paraId="05B40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 по статической прочности самолета Ил-6</w:t>
      </w:r>
    </w:p>
    <w:p w14:paraId="65CA5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 заключение должно рассматриваться только как предварительное, определяющее возможность первого взлета и условия перегона самолета в Москву.</w:t>
      </w:r>
    </w:p>
    <w:p w14:paraId="1EE344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Окончательное заключение о фактической прочности самолета. определяющее возможность проведения полного цикла летных испытаний, должно быть после проведения стат. испытаний.</w:t>
      </w:r>
    </w:p>
    <w:p w14:paraId="0FD5D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18EA77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Основываясь на вышеприведенной оценке прочности самолета Ил-6, последний может быть допущен к первому полету, а в дальнейшем и к перелету Иркутск-Москва, как неманевренный самолет класса В нормальной прочности, при след. условиях:</w:t>
      </w:r>
    </w:p>
    <w:p w14:paraId="760008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Полетный вес самолета на свыше 15000 кг</w:t>
      </w:r>
    </w:p>
    <w:p w14:paraId="7A556F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Скорость самолета на свыше 300 км/час по прибору, если она не будет лимитироваться флаттером. заключение по флаттеру д.б. получено от ЦАГИ.</w:t>
      </w:r>
    </w:p>
    <w:p w14:paraId="3A913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Перелет в Москву должен совершаться при благоприятных метеорологических условиях, т.е. исключающих полет в слепую и пробивание грозовых фронтов (1768,242).</w:t>
      </w:r>
    </w:p>
    <w:p w14:paraId="70DD3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Алексеев из 7 ГУ НКАП дал телефонограмму Макаревскому:</w:t>
      </w:r>
    </w:p>
    <w:p w14:paraId="708CAF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комиссии по выпуску Ил-6"</w:t>
      </w:r>
    </w:p>
    <w:p w14:paraId="60335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Сообщаю кратко заключение ЦАГИ по аэродинамике Ил-6:</w:t>
      </w:r>
    </w:p>
    <w:p w14:paraId="2DB50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Дефектов аэродинамики, которые могли бы послужить препятствием в 1 вылету не имеется</w:t>
      </w:r>
    </w:p>
    <w:p w14:paraId="14EB2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 продувке модели выявлено преждевременное падение эффективности элеронов с увеличением угла атаки. Обратите внимание на проверку работы элеронов и поведение самолета на околокритическом режиме.</w:t>
      </w:r>
    </w:p>
    <w:p w14:paraId="1BB49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Запас продольной устойчивости вполне достаточный в диапазоне эксплуатационных центровок 20-24% САХ</w:t>
      </w:r>
    </w:p>
    <w:p w14:paraId="7A224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первого полета рекомендуется центровка 23-25%.</w:t>
      </w:r>
    </w:p>
    <w:p w14:paraId="10C4A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САХ при установке угла стабилизатора -2.5 гр. трехточечная посадка окажется трудной, но можно произвести увеличение угла установки стабилизатора до -3.5 гр.</w:t>
      </w:r>
    </w:p>
    <w:p w14:paraId="63F289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Обратить внимание в подлетах на выбор наиболее правильной установки триммера для 1 вылета</w:t>
      </w:r>
    </w:p>
    <w:p w14:paraId="6A8F50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Перед первым вылетом следует произвести измерение доп. усилия на штурвале и педалях от наличия трения в системе управления для доведения этих усилий до нормы.</w:t>
      </w:r>
    </w:p>
    <w:p w14:paraId="1716BF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уточнения этих усилий в управлении элеронами следует уменьшить продольную щель между носком элеронов и крыла до мин. размеров.</w:t>
      </w:r>
    </w:p>
    <w:p w14:paraId="5EB05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Установить наблюдение за температурными режимами крыльевых радиаторов, т.к. их эффективность может быть снижена в виду установки их на большом расстоянии от ребра атаки (1768,244).</w:t>
      </w:r>
    </w:p>
    <w:p w14:paraId="2E352B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E8D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Нач. 7 ГУ НКАП Шишкин писал письмо № 1918 ГК и Ответственному руководителю заводом № 156 Туполеву А.Н.:</w:t>
      </w:r>
    </w:p>
    <w:p w14:paraId="37123A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3 квартал по заводу № 156 утвержден следующий тематический план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3420"/>
        <w:gridCol w:w="540"/>
        <w:gridCol w:w="1309"/>
        <w:gridCol w:w="1309"/>
        <w:gridCol w:w="1309"/>
      </w:tblGrid>
      <w:tr w:rsidR="00A907A5" w:rsidRPr="00271E51" w14:paraId="18E7AD3E" w14:textId="77777777" w:rsidTr="00ED5B0A">
        <w:tc>
          <w:tcPr>
            <w:tcW w:w="378" w:type="dxa"/>
            <w:tcBorders>
              <w:top w:val="single" w:sz="12" w:space="0" w:color="auto"/>
            </w:tcBorders>
          </w:tcPr>
          <w:p w14:paraId="515BE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п/п</w:t>
            </w:r>
          </w:p>
        </w:tc>
        <w:tc>
          <w:tcPr>
            <w:tcW w:w="3420" w:type="dxa"/>
            <w:tcBorders>
              <w:top w:val="single" w:sz="12" w:space="0" w:color="auto"/>
            </w:tcBorders>
          </w:tcPr>
          <w:p w14:paraId="4D794E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работ</w:t>
            </w:r>
          </w:p>
        </w:tc>
        <w:tc>
          <w:tcPr>
            <w:tcW w:w="540" w:type="dxa"/>
            <w:tcBorders>
              <w:top w:val="single" w:sz="12" w:space="0" w:color="auto"/>
            </w:tcBorders>
          </w:tcPr>
          <w:p w14:paraId="41D5F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 экз.</w:t>
            </w:r>
          </w:p>
        </w:tc>
        <w:tc>
          <w:tcPr>
            <w:tcW w:w="1309" w:type="dxa"/>
            <w:tcBorders>
              <w:top w:val="single" w:sz="12" w:space="0" w:color="auto"/>
            </w:tcBorders>
          </w:tcPr>
          <w:p w14:paraId="49CA6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сдачи на гос. испытания</w:t>
            </w:r>
          </w:p>
        </w:tc>
        <w:tc>
          <w:tcPr>
            <w:tcW w:w="1309" w:type="dxa"/>
            <w:tcBorders>
              <w:top w:val="single" w:sz="12" w:space="0" w:color="auto"/>
            </w:tcBorders>
          </w:tcPr>
          <w:p w14:paraId="75B4DB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Техническая готовность на конец кв.</w:t>
            </w:r>
          </w:p>
        </w:tc>
        <w:tc>
          <w:tcPr>
            <w:tcW w:w="1309" w:type="dxa"/>
            <w:tcBorders>
              <w:top w:val="single" w:sz="12" w:space="0" w:color="auto"/>
            </w:tcBorders>
          </w:tcPr>
          <w:p w14:paraId="364F3D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 (тыс.руб.)</w:t>
            </w:r>
          </w:p>
        </w:tc>
      </w:tr>
      <w:tr w:rsidR="00A907A5" w:rsidRPr="00271E51" w14:paraId="3EE47AFD" w14:textId="77777777" w:rsidTr="00ED5B0A">
        <w:tc>
          <w:tcPr>
            <w:tcW w:w="378" w:type="dxa"/>
          </w:tcPr>
          <w:p w14:paraId="0AEDF0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3420" w:type="dxa"/>
          </w:tcPr>
          <w:p w14:paraId="6520E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2М82ФНВ (Приказ № 198с - 1943)</w:t>
            </w:r>
          </w:p>
        </w:tc>
        <w:tc>
          <w:tcPr>
            <w:tcW w:w="540" w:type="dxa"/>
          </w:tcPr>
          <w:p w14:paraId="3971ED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62A762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10.06.43</w:t>
            </w:r>
          </w:p>
        </w:tc>
        <w:tc>
          <w:tcPr>
            <w:tcW w:w="1309" w:type="dxa"/>
          </w:tcPr>
          <w:p w14:paraId="4A7BAA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05418D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702F3006" w14:textId="77777777" w:rsidTr="00ED5B0A">
        <w:tc>
          <w:tcPr>
            <w:tcW w:w="378" w:type="dxa"/>
          </w:tcPr>
          <w:p w14:paraId="5E4F19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3420" w:type="dxa"/>
          </w:tcPr>
          <w:p w14:paraId="1B97B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в максимально упрощенном виде (Приказ № 430сс - 1943)</w:t>
            </w:r>
          </w:p>
        </w:tc>
        <w:tc>
          <w:tcPr>
            <w:tcW w:w="540" w:type="dxa"/>
          </w:tcPr>
          <w:p w14:paraId="2588E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0F76F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25.12.43</w:t>
            </w:r>
          </w:p>
        </w:tc>
        <w:tc>
          <w:tcPr>
            <w:tcW w:w="1309" w:type="dxa"/>
          </w:tcPr>
          <w:p w14:paraId="61510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7DD1AE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r>
      <w:tr w:rsidR="00A907A5" w:rsidRPr="00271E51" w14:paraId="7A33DA69" w14:textId="77777777" w:rsidTr="00ED5B0A">
        <w:tc>
          <w:tcPr>
            <w:tcW w:w="378" w:type="dxa"/>
          </w:tcPr>
          <w:p w14:paraId="5D525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3420" w:type="dxa"/>
          </w:tcPr>
          <w:p w14:paraId="3AC2F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103-В с 2М82ФНВ. Работы по повышению скорости (Приказ № 133с - 1943)</w:t>
            </w:r>
          </w:p>
        </w:tc>
        <w:tc>
          <w:tcPr>
            <w:tcW w:w="540" w:type="dxa"/>
          </w:tcPr>
          <w:p w14:paraId="65D4C5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2EB945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15.04.43</w:t>
            </w:r>
          </w:p>
        </w:tc>
        <w:tc>
          <w:tcPr>
            <w:tcW w:w="1309" w:type="dxa"/>
          </w:tcPr>
          <w:p w14:paraId="1498E4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48763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70B1D440" w14:textId="77777777" w:rsidTr="00ED5B0A">
        <w:tc>
          <w:tcPr>
            <w:tcW w:w="378" w:type="dxa"/>
          </w:tcPr>
          <w:p w14:paraId="324EE7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3420" w:type="dxa"/>
          </w:tcPr>
          <w:p w14:paraId="181DA9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Установка пушки 20 мм взамен пулемета Березина (Приказ № 430сс - 1943)</w:t>
            </w:r>
          </w:p>
        </w:tc>
        <w:tc>
          <w:tcPr>
            <w:tcW w:w="540" w:type="dxa"/>
          </w:tcPr>
          <w:p w14:paraId="44FAD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67534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004CF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246FD1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r>
      <w:tr w:rsidR="00A907A5" w:rsidRPr="00271E51" w14:paraId="6CF9D303" w14:textId="77777777" w:rsidTr="00ED5B0A">
        <w:tc>
          <w:tcPr>
            <w:tcW w:w="378" w:type="dxa"/>
          </w:tcPr>
          <w:p w14:paraId="71288F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3420" w:type="dxa"/>
          </w:tcPr>
          <w:p w14:paraId="3C0358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в варианте дальнего разведчика и бомбардировщика.</w:t>
            </w:r>
          </w:p>
        </w:tc>
        <w:tc>
          <w:tcPr>
            <w:tcW w:w="540" w:type="dxa"/>
          </w:tcPr>
          <w:p w14:paraId="676175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309" w:type="dxa"/>
          </w:tcPr>
          <w:p w14:paraId="20D42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01.12.43 1-й</w:t>
            </w:r>
          </w:p>
          <w:p w14:paraId="06CDF7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692D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1309" w:type="dxa"/>
          </w:tcPr>
          <w:p w14:paraId="69EEF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p w14:paraId="0F8E9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FD54AE8" w14:textId="77777777" w:rsidTr="00ED5B0A">
        <w:tc>
          <w:tcPr>
            <w:tcW w:w="378" w:type="dxa"/>
          </w:tcPr>
          <w:p w14:paraId="472118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3420" w:type="dxa"/>
          </w:tcPr>
          <w:p w14:paraId="5BA72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 моторный дальний бомбардировщик. (эскизный проект)</w:t>
            </w:r>
          </w:p>
        </w:tc>
        <w:tc>
          <w:tcPr>
            <w:tcW w:w="540" w:type="dxa"/>
          </w:tcPr>
          <w:p w14:paraId="363C5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431614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15.11.43</w:t>
            </w:r>
          </w:p>
        </w:tc>
        <w:tc>
          <w:tcPr>
            <w:tcW w:w="1309" w:type="dxa"/>
          </w:tcPr>
          <w:p w14:paraId="412F2D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49F67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2C120182" w14:textId="77777777" w:rsidTr="00ED5B0A">
        <w:tc>
          <w:tcPr>
            <w:tcW w:w="378" w:type="dxa"/>
          </w:tcPr>
          <w:p w14:paraId="04A76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3420" w:type="dxa"/>
          </w:tcPr>
          <w:p w14:paraId="24B7E7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с ТК-3</w:t>
            </w:r>
          </w:p>
        </w:tc>
        <w:tc>
          <w:tcPr>
            <w:tcW w:w="540" w:type="dxa"/>
          </w:tcPr>
          <w:p w14:paraId="3E3155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059AC8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01.10.43</w:t>
            </w:r>
          </w:p>
        </w:tc>
        <w:tc>
          <w:tcPr>
            <w:tcW w:w="1309" w:type="dxa"/>
          </w:tcPr>
          <w:p w14:paraId="1E05BD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5D309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r>
      <w:tr w:rsidR="00A907A5" w:rsidRPr="00271E51" w14:paraId="35DB5611" w14:textId="77777777" w:rsidTr="00ED5B0A">
        <w:tc>
          <w:tcPr>
            <w:tcW w:w="378" w:type="dxa"/>
          </w:tcPr>
          <w:p w14:paraId="49D09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3420" w:type="dxa"/>
          </w:tcPr>
          <w:p w14:paraId="638BC7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2М-43 с первоначальной установкой М-39</w:t>
            </w:r>
          </w:p>
        </w:tc>
        <w:tc>
          <w:tcPr>
            <w:tcW w:w="540" w:type="dxa"/>
          </w:tcPr>
          <w:p w14:paraId="047292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3A583C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60C6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1309" w:type="dxa"/>
          </w:tcPr>
          <w:p w14:paraId="050542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r w:rsidR="00A907A5" w:rsidRPr="00271E51" w14:paraId="614B1644" w14:textId="77777777" w:rsidTr="00ED5B0A">
        <w:tc>
          <w:tcPr>
            <w:tcW w:w="378" w:type="dxa"/>
          </w:tcPr>
          <w:p w14:paraId="3A818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3420" w:type="dxa"/>
          </w:tcPr>
          <w:p w14:paraId="168A2C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Опытные работы КБ Шатерникова</w:t>
            </w:r>
          </w:p>
        </w:tc>
        <w:tc>
          <w:tcPr>
            <w:tcW w:w="540" w:type="dxa"/>
          </w:tcPr>
          <w:p w14:paraId="4DDFA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193648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5280B0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DEFBD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4364AF69" w14:textId="77777777" w:rsidTr="00ED5B0A">
        <w:tc>
          <w:tcPr>
            <w:tcW w:w="378" w:type="dxa"/>
          </w:tcPr>
          <w:p w14:paraId="18A21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1D9E5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по госбюджету:</w:t>
            </w:r>
          </w:p>
        </w:tc>
        <w:tc>
          <w:tcPr>
            <w:tcW w:w="540" w:type="dxa"/>
          </w:tcPr>
          <w:p w14:paraId="5DC0A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4244FA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B43C4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1CCA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6400</w:t>
            </w:r>
          </w:p>
        </w:tc>
      </w:tr>
      <w:tr w:rsidR="00A907A5" w:rsidRPr="00271E51" w14:paraId="0415EBA9" w14:textId="77777777" w:rsidTr="00ED5B0A">
        <w:tc>
          <w:tcPr>
            <w:tcW w:w="378" w:type="dxa"/>
          </w:tcPr>
          <w:p w14:paraId="08AA3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057F9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Прочие работы по договорам</w:t>
            </w:r>
          </w:p>
        </w:tc>
        <w:tc>
          <w:tcPr>
            <w:tcW w:w="540" w:type="dxa"/>
          </w:tcPr>
          <w:p w14:paraId="0C24A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75E406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47DC2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2F24A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1315</w:t>
            </w:r>
          </w:p>
        </w:tc>
      </w:tr>
      <w:tr w:rsidR="00A907A5" w:rsidRPr="00271E51" w14:paraId="1842CF2B" w14:textId="77777777" w:rsidTr="00ED5B0A">
        <w:tc>
          <w:tcPr>
            <w:tcW w:w="378" w:type="dxa"/>
            <w:tcBorders>
              <w:bottom w:val="single" w:sz="12" w:space="0" w:color="auto"/>
            </w:tcBorders>
          </w:tcPr>
          <w:p w14:paraId="57FE7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58378F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540" w:type="dxa"/>
            <w:tcBorders>
              <w:bottom w:val="single" w:sz="12" w:space="0" w:color="auto"/>
            </w:tcBorders>
          </w:tcPr>
          <w:p w14:paraId="6685F6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3C49C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74670F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30BB3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7715</w:t>
            </w:r>
          </w:p>
        </w:tc>
      </w:tr>
    </w:tbl>
    <w:p w14:paraId="561269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(10742,6).</w:t>
      </w:r>
    </w:p>
    <w:p w14:paraId="1B6E0A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06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Нач. ЛИИ А.В.Чесалов писал НКАП А.И.Ш. письмо N 489с в сопровождении отчета о работе ЛИИ за июля 1943 (1783,9):</w:t>
      </w:r>
    </w:p>
    <w:p w14:paraId="29051B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Ла-5.</w:t>
      </w:r>
    </w:p>
    <w:p w14:paraId="4405FD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с-та Ла-5.</w:t>
      </w:r>
    </w:p>
    <w:p w14:paraId="34E74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испытания самолета Ла-5 N 39213047Ф производства завода N 21 июльского выпуска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0EE136A4" w14:textId="77777777" w:rsidTr="00ED5B0A">
        <w:tc>
          <w:tcPr>
            <w:tcW w:w="5636" w:type="dxa"/>
          </w:tcPr>
          <w:p w14:paraId="283B56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Максимальная скорость у земли</w:t>
            </w:r>
          </w:p>
        </w:tc>
        <w:tc>
          <w:tcPr>
            <w:tcW w:w="5636" w:type="dxa"/>
          </w:tcPr>
          <w:p w14:paraId="0784DB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 км/час</w:t>
            </w:r>
          </w:p>
        </w:tc>
      </w:tr>
      <w:tr w:rsidR="00A907A5" w:rsidRPr="00271E51" w14:paraId="1DF03F86" w14:textId="77777777" w:rsidTr="00ED5B0A">
        <w:tc>
          <w:tcPr>
            <w:tcW w:w="5636" w:type="dxa"/>
          </w:tcPr>
          <w:p w14:paraId="70F9E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Максимальная скорость на П гр.</w:t>
            </w:r>
          </w:p>
        </w:tc>
        <w:tc>
          <w:tcPr>
            <w:tcW w:w="5636" w:type="dxa"/>
          </w:tcPr>
          <w:p w14:paraId="3DC3DC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09B988" w14:textId="77777777" w:rsidTr="00ED5B0A">
        <w:tc>
          <w:tcPr>
            <w:tcW w:w="5636" w:type="dxa"/>
          </w:tcPr>
          <w:p w14:paraId="24C1C3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при Ра=950 мм рт. ст.</w:t>
            </w:r>
          </w:p>
        </w:tc>
        <w:tc>
          <w:tcPr>
            <w:tcW w:w="5636" w:type="dxa"/>
          </w:tcPr>
          <w:p w14:paraId="387BE4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км/час</w:t>
            </w:r>
          </w:p>
        </w:tc>
      </w:tr>
      <w:tr w:rsidR="00A907A5" w:rsidRPr="00271E51" w14:paraId="16283F72" w14:textId="77777777" w:rsidTr="00ED5B0A">
        <w:tc>
          <w:tcPr>
            <w:tcW w:w="5636" w:type="dxa"/>
          </w:tcPr>
          <w:p w14:paraId="041F45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3EC13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мин.</w:t>
            </w:r>
          </w:p>
        </w:tc>
      </w:tr>
    </w:tbl>
    <w:p w14:paraId="2116B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самолета:</w:t>
      </w:r>
    </w:p>
    <w:p w14:paraId="7EAA7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Отсутствуют герметизирующие шайбы на стволах пушки.</w:t>
      </w:r>
    </w:p>
    <w:p w14:paraId="6BD2B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Передняя стяжная лента капота не подогнута в верхней части капота, образует уступ 10 мм.</w:t>
      </w:r>
    </w:p>
    <w:p w14:paraId="0CC8D6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запираются замки "ДЗУС" внутреннего капота мотора под выхлопным коллектором.</w:t>
      </w:r>
    </w:p>
    <w:p w14:paraId="0FE5E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с-та Ла-5 с мотором М-71.</w:t>
      </w:r>
    </w:p>
    <w:p w14:paraId="01DE5A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с-та Ла-5 с М-71, винтом АВ-5 Д = 3,2 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A907A5" w:rsidRPr="00271E51" w14:paraId="27F7D16F" w14:textId="77777777" w:rsidTr="00ED5B0A">
        <w:tc>
          <w:tcPr>
            <w:tcW w:w="2818" w:type="dxa"/>
          </w:tcPr>
          <w:p w14:paraId="4A43E7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полетный вес </w:t>
            </w:r>
          </w:p>
        </w:tc>
        <w:tc>
          <w:tcPr>
            <w:tcW w:w="2818" w:type="dxa"/>
          </w:tcPr>
          <w:p w14:paraId="2A1CA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3520 кг.</w:t>
            </w:r>
          </w:p>
        </w:tc>
      </w:tr>
      <w:tr w:rsidR="00A907A5" w:rsidRPr="00271E51" w14:paraId="473FB380" w14:textId="77777777" w:rsidTr="00ED5B0A">
        <w:tc>
          <w:tcPr>
            <w:tcW w:w="2818" w:type="dxa"/>
          </w:tcPr>
          <w:p w14:paraId="692A5F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w:t>
            </w:r>
          </w:p>
        </w:tc>
        <w:tc>
          <w:tcPr>
            <w:tcW w:w="2818" w:type="dxa"/>
          </w:tcPr>
          <w:p w14:paraId="199013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DF2380" w14:textId="77777777" w:rsidTr="00ED5B0A">
        <w:tc>
          <w:tcPr>
            <w:tcW w:w="2818" w:type="dxa"/>
          </w:tcPr>
          <w:p w14:paraId="71D61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2818" w:type="dxa"/>
          </w:tcPr>
          <w:p w14:paraId="3E535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B85F22" w14:textId="77777777" w:rsidTr="00ED5B0A">
        <w:tc>
          <w:tcPr>
            <w:tcW w:w="2818" w:type="dxa"/>
          </w:tcPr>
          <w:p w14:paraId="1461B8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Ра=1050 мм рт. ст. и</w:t>
            </w:r>
          </w:p>
        </w:tc>
        <w:tc>
          <w:tcPr>
            <w:tcW w:w="2818" w:type="dxa"/>
          </w:tcPr>
          <w:p w14:paraId="03F0AA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26340F" w14:textId="77777777" w:rsidTr="00ED5B0A">
        <w:tc>
          <w:tcPr>
            <w:tcW w:w="2818" w:type="dxa"/>
          </w:tcPr>
          <w:p w14:paraId="36266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n=2400 об/мин.</w:t>
            </w:r>
          </w:p>
        </w:tc>
        <w:tc>
          <w:tcPr>
            <w:tcW w:w="2818" w:type="dxa"/>
          </w:tcPr>
          <w:p w14:paraId="7B50F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612 км/час</w:t>
            </w:r>
          </w:p>
        </w:tc>
      </w:tr>
      <w:tr w:rsidR="00A907A5" w:rsidRPr="00271E51" w14:paraId="0C781C4D" w14:textId="77777777" w:rsidTr="00ED5B0A">
        <w:tc>
          <w:tcPr>
            <w:tcW w:w="2818" w:type="dxa"/>
          </w:tcPr>
          <w:p w14:paraId="10A81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П гр.</w:t>
            </w:r>
          </w:p>
        </w:tc>
        <w:tc>
          <w:tcPr>
            <w:tcW w:w="2818" w:type="dxa"/>
          </w:tcPr>
          <w:p w14:paraId="1BF12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9BF255" w14:textId="77777777" w:rsidTr="00ED5B0A">
        <w:tc>
          <w:tcPr>
            <w:tcW w:w="2818" w:type="dxa"/>
          </w:tcPr>
          <w:p w14:paraId="76E27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при Ра=925 мм рт. ст.</w:t>
            </w:r>
          </w:p>
        </w:tc>
        <w:tc>
          <w:tcPr>
            <w:tcW w:w="2818" w:type="dxa"/>
          </w:tcPr>
          <w:p w14:paraId="68AED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164810" w14:textId="77777777" w:rsidTr="00ED5B0A">
        <w:tc>
          <w:tcPr>
            <w:tcW w:w="2818" w:type="dxa"/>
          </w:tcPr>
          <w:p w14:paraId="54AC62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N=2200 об/мин</w:t>
            </w:r>
          </w:p>
        </w:tc>
        <w:tc>
          <w:tcPr>
            <w:tcW w:w="2818" w:type="dxa"/>
          </w:tcPr>
          <w:p w14:paraId="743B3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685 км/час</w:t>
            </w:r>
          </w:p>
        </w:tc>
      </w:tr>
      <w:tr w:rsidR="00A907A5" w:rsidRPr="00271E51" w14:paraId="79455A9C" w14:textId="77777777" w:rsidTr="00ED5B0A">
        <w:tc>
          <w:tcPr>
            <w:tcW w:w="2818" w:type="dxa"/>
          </w:tcPr>
          <w:p w14:paraId="34D75C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2818" w:type="dxa"/>
          </w:tcPr>
          <w:p w14:paraId="44FB56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 мин.</w:t>
            </w:r>
          </w:p>
        </w:tc>
      </w:tr>
    </w:tbl>
    <w:p w14:paraId="74B21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отзывам летчиков самолет по взлетно-посадочным свойствам мало отличается от серийных самолетов Ла-5, продольная устойчивость самолета меньше, чем у серийных самолетов.</w:t>
      </w:r>
    </w:p>
    <w:p w14:paraId="6FC43E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Испытания с-та Ла-5-УТИ.</w:t>
      </w:r>
    </w:p>
    <w:p w14:paraId="56AFD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тренировочного двухместного самолета Ла-5 с мотором М-82.</w:t>
      </w:r>
    </w:p>
    <w:p w14:paraId="3287A0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технике пилотирования и летным данным испытанный самолет мало отличается от серийных самолетов Ла-5 Ф и Ла-5 ФН.</w:t>
      </w:r>
    </w:p>
    <w:p w14:paraId="1812D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Недостатком самолета является теснота задней (инструкторской) кабины.</w:t>
      </w:r>
    </w:p>
    <w:p w14:paraId="257125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Испытание агрегата "ВГ" на с-те Ла-5.</w:t>
      </w:r>
    </w:p>
    <w:p w14:paraId="00AFD8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Ла-5 с М-82 проведены летные испытания по доводке агрегата объединенного управления винтом и газом, "ВГ".</w:t>
      </w:r>
    </w:p>
    <w:p w14:paraId="75129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и доводки установлено:</w:t>
      </w:r>
    </w:p>
    <w:p w14:paraId="64DE7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Агрегат "ВГ", представленный на доводочные летные испытания, как не обеспечивающий в полете нужных режимов, главным образом, крейсерского, вследствие </w:t>
      </w:r>
      <w:r w:rsidRPr="00271E51">
        <w:rPr>
          <w:rFonts w:ascii="Times New Roman" w:hAnsi="Times New Roman"/>
          <w:color w:val="000000" w:themeColor="text1"/>
          <w:sz w:val="16"/>
          <w:szCs w:val="16"/>
        </w:rPr>
        <w:lastRenderedPageBreak/>
        <w:t>конструктивных недостатков (большой люфт в дифференциальном механизме, ограниченный ход регулировочного поводка и значительное влияние регулятора Р-7), необходимо возвратить в ЦИАМ для устранения указанных дефектов и окончательной доводки кулисы агрегата.</w:t>
      </w:r>
    </w:p>
    <w:p w14:paraId="46A114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Для решения вопроса об установке агрегатов "ВГ" на серийных самолетах Ла-5 с М-82, необходимо после устранения указанных дефектов, провести дополнительные летные испытания агрегата.</w:t>
      </w:r>
    </w:p>
    <w:p w14:paraId="2C9BCD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Испытание с-та Ла-5 на штопор.</w:t>
      </w:r>
    </w:p>
    <w:p w14:paraId="701B7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грубых ошибках пилотирования самолет Ла-5 с М-82 срывается в перевернутый штопор. Как нормальный, так и перевернутый штопор самолета при наличии достаточной высоты (1500 м) безопасен.</w:t>
      </w:r>
    </w:p>
    <w:p w14:paraId="680DC7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правильном действии рулями на вывод (дача обратной ноги против вращения с последующим отклонением ручки "от себя" при нормальном штопоре и "на себя" при перевернутом штопоре) самолет выходит из штопора без запаздывания.</w:t>
      </w:r>
    </w:p>
    <w:p w14:paraId="73B40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Составлена инструкция по пилотированию самолета Ла-5 в перевернутом штопоре.</w:t>
      </w:r>
    </w:p>
    <w:p w14:paraId="5CD1F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Эксплуатационная доводка с-та Ла-5 с М-82 ФН.</w:t>
      </w:r>
    </w:p>
    <w:p w14:paraId="7E5F0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моторной установки самолета Ла-5 с М-82 ФН, имевшей ряд недостатков, существенно ухудшающих эксплуатационные свойства самолета.</w:t>
      </w:r>
    </w:p>
    <w:p w14:paraId="1DC826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произведенных в ЛИИ частичных переделок моторной установки и проведенных летных испытаний достигнуто следующее:</w:t>
      </w:r>
    </w:p>
    <w:p w14:paraId="2274D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Понижение температуры наружного воздуха в замоторном пространстве со 100-120 градусов Ц до 50-60 градусов Ц, т.е. до допустимых пределов.</w:t>
      </w:r>
    </w:p>
    <w:p w14:paraId="76CE40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Понижение температуры наружного воздуха в кабине пилота с 65-70 градусов Ц до 45-50 градусов Ц.</w:t>
      </w:r>
    </w:p>
    <w:p w14:paraId="618852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Повышение эксплуатационной надежности бензопроводки и уменьшение пожарной опасности.</w:t>
      </w:r>
    </w:p>
    <w:p w14:paraId="45E15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Улучшен доступ к свечам без необходимости съема выхлопных патрубков.</w:t>
      </w:r>
    </w:p>
    <w:p w14:paraId="7022A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Вес самолета не изменился. Летные качества не ухудшились.</w:t>
      </w:r>
    </w:p>
    <w:p w14:paraId="7C0B3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Произведенные переделки моторной установки рекомендованы и приняты для осуществления в серии.</w:t>
      </w:r>
    </w:p>
    <w:p w14:paraId="5606A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выявление резервов дальности с-та Ла-5.</w:t>
      </w:r>
    </w:p>
    <w:p w14:paraId="576DAF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Полетные испытания самолета Ла-5 с М-82 показали возможность значительного увеличения дальности полета на режимах 0,9 Vmax и наивыгоднейшем за счет более правильной эксплуатации мотора.</w:t>
      </w:r>
    </w:p>
    <w:p w14:paraId="26039C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режимах 0,9 Vmax на высоте 3000 м дальность полета на оборотах 1950 об/мин равна 670 км вместо 578 км, при полете на 2150 об/мин, рекомендованных инструкций НИИ ВВС.</w:t>
      </w:r>
    </w:p>
    <w:p w14:paraId="739B70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наивыгоднейшем режиме на высоте 1000 м дальность полета равна 1040 км при полностью открытом высотном корректоре, вместо 820 км с закрытым корректором.</w:t>
      </w:r>
    </w:p>
    <w:p w14:paraId="2D3A8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всех полетах степень обеднения не превосходила значение , разрешаемое заводом N 19.</w:t>
      </w:r>
    </w:p>
    <w:p w14:paraId="3A3930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летных испытаний выявилась нестандартность и нестабильность работы карбюраторов АК-82 БП, вследствие которой километровые расходы и дальность различных самолетов одного и того же типа могут значительно отличаться друг от друга.</w:t>
      </w:r>
    </w:p>
    <w:p w14:paraId="3F12F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этих дефектов карбюратора требуется проведение соответствующих технических мероприятий.</w:t>
      </w:r>
    </w:p>
    <w:p w14:paraId="554E05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Полученные результаты испытаний необходимо проверить на войсковых испытаниях и включить рекомендуемые режимы в инструкцию по полетам.</w:t>
      </w:r>
    </w:p>
    <w:p w14:paraId="2D433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Подбор режимов зарядки костыля с-та Ла-5.</w:t>
      </w:r>
    </w:p>
    <w:p w14:paraId="05D08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установлено:</w:t>
      </w:r>
    </w:p>
    <w:p w14:paraId="2BFB4E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эксплуатационная перегрузка костыля при серийной зарядке в 20 атм. равна 3,3</w:t>
      </w:r>
    </w:p>
    <w:p w14:paraId="62F35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 режим зарядки амортизатора костыля 16 атм.</w:t>
      </w:r>
    </w:p>
    <w:p w14:paraId="2D9176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жидкости - серийное</w:t>
      </w:r>
    </w:p>
    <w:p w14:paraId="4075EF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 пневматике 2,5 атм.</w:t>
      </w:r>
    </w:p>
    <w:p w14:paraId="07813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эксплуатационная перегрузка при рекомендуемом режиме зарядки равна 2,8.</w:t>
      </w:r>
    </w:p>
    <w:p w14:paraId="02B10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Як-1.</w:t>
      </w:r>
    </w:p>
    <w:p w14:paraId="5D635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серийных с-тов Як-1.</w:t>
      </w:r>
    </w:p>
    <w:p w14:paraId="4615B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2-х самолетов Як-1 производства завода N 292 майского выпуска.</w:t>
      </w:r>
    </w:p>
    <w:p w14:paraId="4995E4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A907A5" w:rsidRPr="00271E51" w14:paraId="2514F687" w14:textId="77777777" w:rsidTr="00ED5B0A">
        <w:tc>
          <w:tcPr>
            <w:tcW w:w="1878" w:type="dxa"/>
          </w:tcPr>
          <w:p w14:paraId="166D64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DB302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w:t>
            </w:r>
          </w:p>
        </w:tc>
        <w:tc>
          <w:tcPr>
            <w:tcW w:w="1878" w:type="dxa"/>
          </w:tcPr>
          <w:p w14:paraId="577456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w:t>
            </w:r>
          </w:p>
        </w:tc>
      </w:tr>
      <w:tr w:rsidR="00A907A5" w:rsidRPr="00271E51" w14:paraId="7CF792E0" w14:textId="77777777" w:rsidTr="00ED5B0A">
        <w:tc>
          <w:tcPr>
            <w:tcW w:w="1878" w:type="dxa"/>
          </w:tcPr>
          <w:p w14:paraId="30426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E1352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31139</w:t>
            </w:r>
          </w:p>
        </w:tc>
        <w:tc>
          <w:tcPr>
            <w:tcW w:w="1878" w:type="dxa"/>
          </w:tcPr>
          <w:p w14:paraId="4659C5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46139</w:t>
            </w:r>
          </w:p>
        </w:tc>
      </w:tr>
      <w:tr w:rsidR="00A907A5" w:rsidRPr="00271E51" w14:paraId="3992CD91" w14:textId="77777777" w:rsidTr="00ED5B0A">
        <w:tc>
          <w:tcPr>
            <w:tcW w:w="1878" w:type="dxa"/>
          </w:tcPr>
          <w:p w14:paraId="40CAA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1878" w:type="dxa"/>
          </w:tcPr>
          <w:p w14:paraId="39C1D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C72C2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B10618" w14:textId="77777777" w:rsidTr="00ED5B0A">
        <w:tc>
          <w:tcPr>
            <w:tcW w:w="1878" w:type="dxa"/>
          </w:tcPr>
          <w:p w14:paraId="4FE515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78" w:type="dxa"/>
          </w:tcPr>
          <w:p w14:paraId="22892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 км/час</w:t>
            </w:r>
          </w:p>
        </w:tc>
        <w:tc>
          <w:tcPr>
            <w:tcW w:w="1878" w:type="dxa"/>
          </w:tcPr>
          <w:p w14:paraId="02375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539 км/час</w:t>
            </w:r>
          </w:p>
        </w:tc>
      </w:tr>
      <w:tr w:rsidR="00A907A5" w:rsidRPr="00271E51" w14:paraId="5D4255FA" w14:textId="77777777" w:rsidTr="00ED5B0A">
        <w:tc>
          <w:tcPr>
            <w:tcW w:w="1878" w:type="dxa"/>
          </w:tcPr>
          <w:p w14:paraId="42438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1878" w:type="dxa"/>
          </w:tcPr>
          <w:p w14:paraId="33320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15BE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35E7B3" w14:textId="77777777" w:rsidTr="00ED5B0A">
        <w:tc>
          <w:tcPr>
            <w:tcW w:w="1878" w:type="dxa"/>
          </w:tcPr>
          <w:p w14:paraId="54E94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 гр. высотности</w:t>
            </w:r>
          </w:p>
        </w:tc>
        <w:tc>
          <w:tcPr>
            <w:tcW w:w="1878" w:type="dxa"/>
          </w:tcPr>
          <w:p w14:paraId="138FD6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608 км/час</w:t>
            </w:r>
          </w:p>
        </w:tc>
        <w:tc>
          <w:tcPr>
            <w:tcW w:w="1878" w:type="dxa"/>
          </w:tcPr>
          <w:p w14:paraId="1016A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 км/час</w:t>
            </w:r>
          </w:p>
        </w:tc>
      </w:tr>
      <w:tr w:rsidR="00A907A5" w:rsidRPr="00271E51" w14:paraId="021E4EBD" w14:textId="77777777" w:rsidTr="00ED5B0A">
        <w:tc>
          <w:tcPr>
            <w:tcW w:w="1878" w:type="dxa"/>
          </w:tcPr>
          <w:p w14:paraId="3F069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1878" w:type="dxa"/>
          </w:tcPr>
          <w:p w14:paraId="79DD7E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14153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4BE7F9" w14:textId="77777777" w:rsidTr="00ED5B0A">
        <w:tc>
          <w:tcPr>
            <w:tcW w:w="1878" w:type="dxa"/>
          </w:tcPr>
          <w:p w14:paraId="5FBF5B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1878" w:type="dxa"/>
          </w:tcPr>
          <w:p w14:paraId="4B35DC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 мин</w:t>
            </w:r>
          </w:p>
        </w:tc>
        <w:tc>
          <w:tcPr>
            <w:tcW w:w="1878" w:type="dxa"/>
          </w:tcPr>
          <w:p w14:paraId="6C6394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мин</w:t>
            </w:r>
          </w:p>
        </w:tc>
      </w:tr>
    </w:tbl>
    <w:p w14:paraId="520F1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 самолета:</w:t>
      </w:r>
    </w:p>
    <w:p w14:paraId="27495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Большое количество столярно-клеевых дефектов.</w:t>
      </w:r>
    </w:p>
    <w:p w14:paraId="44327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Неудовлетворительная дальность радиосвязи.</w:t>
      </w:r>
    </w:p>
    <w:p w14:paraId="6004B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Замер расхода горючего на с-те Як-1 на 1-й скорости ПЦН.</w:t>
      </w:r>
    </w:p>
    <w:p w14:paraId="3117FC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на замер расхода горючего при различных скоростях полета и различных оборотах на 1-й скорости ПЦН.</w:t>
      </w:r>
    </w:p>
    <w:p w14:paraId="003D1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обороты, обеспечивающие наименьшие километровые расходы. Проведено сравнение этих километровых расходов с расходами, полученными на режимах.... = const, рекомендованными НИИ ВВС.</w:t>
      </w:r>
    </w:p>
    <w:p w14:paraId="422AD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режимах, наивыгоднейших по испытаниям ЛИИ, километровые расходы на скорости 0,9 Vmax на 6-7% меньше при...=const; на скорости Vmax на 8% меньше.</w:t>
      </w:r>
    </w:p>
    <w:p w14:paraId="008B0F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Исследовано влияние обеднения смеси высотным корректором на километровые расходы. Установлена возможность уменьшения расходов на 15-20%, путем регулировки состава смеси высотным корректором.</w:t>
      </w:r>
    </w:p>
    <w:p w14:paraId="71DB06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винта с ламинарным профилем.</w:t>
      </w:r>
    </w:p>
    <w:p w14:paraId="7AA400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сравнительные испытания винтов: ВИШ-105 Д с деревянными лопастями ЦАГИ и металлического винта ВИШ-105 СВ.</w:t>
      </w:r>
    </w:p>
    <w:p w14:paraId="00C11D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получено, что установка опытного деревянного винта ВИШ-105 Д на самолете Як-1 дает:</w:t>
      </w:r>
    </w:p>
    <w:p w14:paraId="0B8F2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Уменьшение максимальной скорости у земли и на высоте 6 км/час, т.е. на 1%.</w:t>
      </w:r>
    </w:p>
    <w:p w14:paraId="0F0B0D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Увеличение времени набора высоты 5000 м на 0,3 мин., т.е. на 5%.</w:t>
      </w:r>
    </w:p>
    <w:p w14:paraId="3603B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Увеличение длины разбега на 30 метров, т.е. на 8%.</w:t>
      </w:r>
    </w:p>
    <w:p w14:paraId="47F1B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Винт требует доводки в части устранения тряски на режимах работы мотора ниже 2600 об/мин.</w:t>
      </w:r>
    </w:p>
    <w:p w14:paraId="205459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Испытание съемного фильтра (врезной фильтр).</w:t>
      </w:r>
    </w:p>
    <w:p w14:paraId="5EF56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Врезной воздушный фильтр является конструктивным агрегатом самолета, вмонтированным во всасывающий патрубок. Формы и размеры канала всасывающего патрубка от серийного практически не отличаются.</w:t>
      </w:r>
    </w:p>
    <w:p w14:paraId="0801A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испытанию фильтра на самолете Як-1 N 0313 Ф сделано 9 полетов.</w:t>
      </w:r>
    </w:p>
    <w:p w14:paraId="43A05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дана следующая оценка врезного фильтра:</w:t>
      </w:r>
    </w:p>
    <w:p w14:paraId="7870E1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Установка воздушного фильтра не вызывает никаких отрицательных явлений в работе ВМГ.</w:t>
      </w:r>
    </w:p>
    <w:p w14:paraId="1D981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Механизм включения и выключения фильтра работает безотказно.</w:t>
      </w:r>
    </w:p>
    <w:p w14:paraId="6DC74C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Заслонка, перекрывающая фильтрующие сетки, требует конструктивной доработки.</w:t>
      </w:r>
    </w:p>
    <w:p w14:paraId="11CF8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Установка на самолете Як-1 врезного варианта воздушного фильтра не должна изменить максимальную скорость самолета больше, чем на 2-3 км/час.</w:t>
      </w:r>
    </w:p>
    <w:p w14:paraId="60BD1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Як-7.</w:t>
      </w:r>
    </w:p>
    <w:p w14:paraId="50388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с-тов Як-7.</w:t>
      </w:r>
    </w:p>
    <w:p w14:paraId="22EF4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2-х самолетов Як-7 завода N 153.</w:t>
      </w:r>
    </w:p>
    <w:p w14:paraId="50397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A907A5" w:rsidRPr="00271E51" w14:paraId="56CC04C2" w14:textId="77777777" w:rsidTr="00ED5B0A">
        <w:tc>
          <w:tcPr>
            <w:tcW w:w="2254" w:type="dxa"/>
          </w:tcPr>
          <w:p w14:paraId="47BD04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96053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w:t>
            </w:r>
          </w:p>
        </w:tc>
        <w:tc>
          <w:tcPr>
            <w:tcW w:w="2254" w:type="dxa"/>
          </w:tcPr>
          <w:p w14:paraId="3F73C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w:t>
            </w:r>
          </w:p>
        </w:tc>
      </w:tr>
      <w:tr w:rsidR="00A907A5" w:rsidRPr="00271E51" w14:paraId="77BB6920" w14:textId="77777777" w:rsidTr="00ED5B0A">
        <w:tc>
          <w:tcPr>
            <w:tcW w:w="2254" w:type="dxa"/>
          </w:tcPr>
          <w:p w14:paraId="6BDF7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744A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46112</w:t>
            </w:r>
          </w:p>
        </w:tc>
        <w:tc>
          <w:tcPr>
            <w:tcW w:w="2254" w:type="dxa"/>
          </w:tcPr>
          <w:p w14:paraId="202CF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4762</w:t>
            </w:r>
          </w:p>
        </w:tc>
      </w:tr>
      <w:tr w:rsidR="00A907A5" w:rsidRPr="00271E51" w14:paraId="3C0C1A0C" w14:textId="77777777" w:rsidTr="00ED5B0A">
        <w:tc>
          <w:tcPr>
            <w:tcW w:w="2254" w:type="dxa"/>
          </w:tcPr>
          <w:p w14:paraId="6BBCE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490877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4CA3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A9AE9F" w14:textId="77777777" w:rsidTr="00ED5B0A">
        <w:tc>
          <w:tcPr>
            <w:tcW w:w="2254" w:type="dxa"/>
          </w:tcPr>
          <w:p w14:paraId="37501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2254" w:type="dxa"/>
          </w:tcPr>
          <w:p w14:paraId="16D9E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 км/час</w:t>
            </w:r>
          </w:p>
        </w:tc>
        <w:tc>
          <w:tcPr>
            <w:tcW w:w="2254" w:type="dxa"/>
          </w:tcPr>
          <w:p w14:paraId="416256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534 км/час</w:t>
            </w:r>
          </w:p>
        </w:tc>
      </w:tr>
      <w:tr w:rsidR="00A907A5" w:rsidRPr="00271E51" w14:paraId="3C5D11B6" w14:textId="77777777" w:rsidTr="00ED5B0A">
        <w:tc>
          <w:tcPr>
            <w:tcW w:w="2254" w:type="dxa"/>
          </w:tcPr>
          <w:p w14:paraId="2C9CF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254" w:type="dxa"/>
          </w:tcPr>
          <w:p w14:paraId="1DF06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BA03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89590D" w14:textId="77777777" w:rsidTr="00ED5B0A">
        <w:tc>
          <w:tcPr>
            <w:tcW w:w="2254" w:type="dxa"/>
          </w:tcPr>
          <w:p w14:paraId="597D4E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 гр. высотности</w:t>
            </w:r>
          </w:p>
        </w:tc>
        <w:tc>
          <w:tcPr>
            <w:tcW w:w="2254" w:type="dxa"/>
          </w:tcPr>
          <w:p w14:paraId="374041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255D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DFA1BC" w14:textId="77777777" w:rsidTr="00ED5B0A">
        <w:tc>
          <w:tcPr>
            <w:tcW w:w="2254" w:type="dxa"/>
          </w:tcPr>
          <w:p w14:paraId="432A0F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 м</w:t>
            </w:r>
          </w:p>
        </w:tc>
        <w:tc>
          <w:tcPr>
            <w:tcW w:w="2254" w:type="dxa"/>
          </w:tcPr>
          <w:p w14:paraId="3F9622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 км/час</w:t>
            </w:r>
          </w:p>
        </w:tc>
        <w:tc>
          <w:tcPr>
            <w:tcW w:w="2254" w:type="dxa"/>
          </w:tcPr>
          <w:p w14:paraId="7DBCD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 км/час</w:t>
            </w:r>
          </w:p>
        </w:tc>
      </w:tr>
      <w:tr w:rsidR="00A907A5" w:rsidRPr="00271E51" w14:paraId="620C3042" w14:textId="77777777" w:rsidTr="00ED5B0A">
        <w:tc>
          <w:tcPr>
            <w:tcW w:w="2254" w:type="dxa"/>
          </w:tcPr>
          <w:p w14:paraId="0B4C87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2254" w:type="dxa"/>
          </w:tcPr>
          <w:p w14:paraId="12079F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96FD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19F75B" w14:textId="77777777" w:rsidTr="00ED5B0A">
        <w:tc>
          <w:tcPr>
            <w:tcW w:w="2254" w:type="dxa"/>
          </w:tcPr>
          <w:p w14:paraId="08A44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2254" w:type="dxa"/>
          </w:tcPr>
          <w:p w14:paraId="21D9C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 мин</w:t>
            </w:r>
          </w:p>
        </w:tc>
        <w:tc>
          <w:tcPr>
            <w:tcW w:w="2254" w:type="dxa"/>
          </w:tcPr>
          <w:p w14:paraId="3B3750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мин</w:t>
            </w:r>
          </w:p>
        </w:tc>
      </w:tr>
    </w:tbl>
    <w:p w14:paraId="03333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самолетов:</w:t>
      </w:r>
    </w:p>
    <w:p w14:paraId="5F0B43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Плохая подгонка щитков</w:t>
      </w:r>
    </w:p>
    <w:p w14:paraId="4E1D8D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Неудовлетворительная отделка крыла</w:t>
      </w:r>
    </w:p>
    <w:p w14:paraId="5ECD9B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Растрескивание шпатлевки</w:t>
      </w:r>
    </w:p>
    <w:p w14:paraId="10DBAE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Недостаточная герметизация туннелей радиаторов.</w:t>
      </w:r>
    </w:p>
    <w:p w14:paraId="56CAB0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Як-9.</w:t>
      </w:r>
    </w:p>
    <w:p w14:paraId="38E68D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с-та ЯК-9т N 01-64 с целью оценки устойчивости и управляемости.</w:t>
      </w:r>
    </w:p>
    <w:p w14:paraId="7FC36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установлено:</w:t>
      </w:r>
    </w:p>
    <w:p w14:paraId="06EA66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Нагрузка на ручке при пикировании с полным газом на скорости 600 км/час равна 10,5 кг.</w:t>
      </w:r>
    </w:p>
    <w:p w14:paraId="69740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педалях и ручке от элеронов невелика.</w:t>
      </w:r>
    </w:p>
    <w:p w14:paraId="22B171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отношении характеристик устойчивости самолет Як-9т близок к серийному самолету Як-7Б. Самолет обладает статической устойчивостью с зажатым и свободным управлением относительно всех трех осей.</w:t>
      </w:r>
    </w:p>
    <w:p w14:paraId="0C568B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снижения нагрузки на ручке при пикировании, рекомендовано увеличить осевую компенсацию руля высоты с 7,3% до 15%, что должно снизить нагрузки на ручке на 25-30%. При этом необходимо тщательно следить, чтобы величина силы трения в системе управления рулем высоты не превосходила нормируемых пределов, так как при трении, уевличенном сверх нормы, возможно ухудшение пилотажных качеств самолета.</w:t>
      </w:r>
    </w:p>
    <w:p w14:paraId="6F3FC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ЛАГГ-3.</w:t>
      </w:r>
    </w:p>
    <w:p w14:paraId="7D566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w:t>
      </w:r>
    </w:p>
    <w:p w14:paraId="75EBC2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серийного самолета ЛАГГ-3 N 6311 майского выпуска завода N 31.</w:t>
      </w:r>
    </w:p>
    <w:p w14:paraId="708F2D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7265789B" w14:textId="77777777" w:rsidTr="00ED5B0A">
        <w:tc>
          <w:tcPr>
            <w:tcW w:w="3757" w:type="dxa"/>
          </w:tcPr>
          <w:p w14:paraId="3FBE9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 у земли</w:t>
            </w:r>
          </w:p>
        </w:tc>
        <w:tc>
          <w:tcPr>
            <w:tcW w:w="3757" w:type="dxa"/>
          </w:tcPr>
          <w:p w14:paraId="0E807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534 км/час</w:t>
            </w:r>
          </w:p>
        </w:tc>
      </w:tr>
      <w:tr w:rsidR="00A907A5" w:rsidRPr="00271E51" w14:paraId="6BFC9D8E" w14:textId="77777777" w:rsidTr="00ED5B0A">
        <w:tc>
          <w:tcPr>
            <w:tcW w:w="3757" w:type="dxa"/>
          </w:tcPr>
          <w:p w14:paraId="39D0B9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 на 1 гр.</w:t>
            </w:r>
          </w:p>
        </w:tc>
        <w:tc>
          <w:tcPr>
            <w:tcW w:w="3757" w:type="dxa"/>
          </w:tcPr>
          <w:p w14:paraId="175D29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F06D26" w14:textId="77777777" w:rsidTr="00ED5B0A">
        <w:tc>
          <w:tcPr>
            <w:tcW w:w="3757" w:type="dxa"/>
          </w:tcPr>
          <w:p w14:paraId="55353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Н=1600 м</w:t>
            </w:r>
          </w:p>
        </w:tc>
        <w:tc>
          <w:tcPr>
            <w:tcW w:w="3757" w:type="dxa"/>
          </w:tcPr>
          <w:p w14:paraId="7552D6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 км/час</w:t>
            </w:r>
          </w:p>
        </w:tc>
      </w:tr>
      <w:tr w:rsidR="00A907A5" w:rsidRPr="00271E51" w14:paraId="0C1EA15F" w14:textId="77777777" w:rsidTr="00ED5B0A">
        <w:tc>
          <w:tcPr>
            <w:tcW w:w="3757" w:type="dxa"/>
          </w:tcPr>
          <w:p w14:paraId="7397F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 на П гр.</w:t>
            </w:r>
          </w:p>
        </w:tc>
        <w:tc>
          <w:tcPr>
            <w:tcW w:w="3757" w:type="dxa"/>
          </w:tcPr>
          <w:p w14:paraId="293C5F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551832" w14:textId="77777777" w:rsidTr="00ED5B0A">
        <w:tc>
          <w:tcPr>
            <w:tcW w:w="3757" w:type="dxa"/>
          </w:tcPr>
          <w:p w14:paraId="0E2176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Н=3600 м</w:t>
            </w:r>
          </w:p>
        </w:tc>
        <w:tc>
          <w:tcPr>
            <w:tcW w:w="3757" w:type="dxa"/>
          </w:tcPr>
          <w:p w14:paraId="34D78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 км/час</w:t>
            </w:r>
          </w:p>
        </w:tc>
      </w:tr>
      <w:tr w:rsidR="00A907A5" w:rsidRPr="00271E51" w14:paraId="5BA1E3F8" w14:textId="77777777" w:rsidTr="00ED5B0A">
        <w:tc>
          <w:tcPr>
            <w:tcW w:w="3757" w:type="dxa"/>
          </w:tcPr>
          <w:p w14:paraId="1A8E0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3757" w:type="dxa"/>
          </w:tcPr>
          <w:p w14:paraId="56E64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845F22" w14:textId="77777777" w:rsidTr="00ED5B0A">
        <w:tc>
          <w:tcPr>
            <w:tcW w:w="3757" w:type="dxa"/>
          </w:tcPr>
          <w:p w14:paraId="6CB391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3757" w:type="dxa"/>
          </w:tcPr>
          <w:p w14:paraId="3FD5A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мин.</w:t>
            </w:r>
          </w:p>
        </w:tc>
      </w:tr>
      <w:tr w:rsidR="00A907A5" w:rsidRPr="00271E51" w14:paraId="0D2E37AF" w14:textId="77777777" w:rsidTr="00ED5B0A">
        <w:tc>
          <w:tcPr>
            <w:tcW w:w="3757" w:type="dxa"/>
          </w:tcPr>
          <w:p w14:paraId="08424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757" w:type="dxa"/>
          </w:tcPr>
          <w:p w14:paraId="71921B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2960 кг</w:t>
            </w:r>
          </w:p>
        </w:tc>
      </w:tr>
    </w:tbl>
    <w:p w14:paraId="411AF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Уменьшение скорости испытанного самолета, по сравнению с самолетами февральского и мартовского выпусков, объясняется отсутствием дополнительных щитков шасси, наличие которых дает прирост скорости самолета 5-7 км/час.</w:t>
      </w:r>
    </w:p>
    <w:p w14:paraId="43AEE5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имеет ряд мелких производственных дефектов.</w:t>
      </w:r>
    </w:p>
    <w:p w14:paraId="279716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Система охлаждения воды при непрерывном наборе высоты на номинальном режиме работы мотора, обеспечивает охлаждение мотора.</w:t>
      </w:r>
    </w:p>
    <w:p w14:paraId="6A542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Система охлаждения масла не обеспечивает допустимую температуру масла на выходе из мотора. Температура масла при подъеме в РАТУ - 125 градусов Ц.</w:t>
      </w:r>
    </w:p>
    <w:p w14:paraId="39C8B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N 31 не выполняет необходимых мероприятий по защите радиоприемных устройств от электрических помех, вследствие чего на самолете недопустимо велик уровень помех радиоприему (54v вместо нормированных 10v). Электрооборудование в основном соответствует тактико-техническим требованиям ВВС.</w:t>
      </w:r>
    </w:p>
    <w:p w14:paraId="64F3C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Предложено заводу N 31 устранить дефекты производственного выполнения, ВМГ, радио-электро и спецоборудования, указанные в отчете об испытании.</w:t>
      </w:r>
    </w:p>
    <w:p w14:paraId="77637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p w14:paraId="3CDE92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с-та Ил-2 в варианте истребителя.</w:t>
      </w:r>
    </w:p>
    <w:p w14:paraId="41978F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Ил-2 N 7580 в варианте истребителя с полетным весом 5380 кг.</w:t>
      </w:r>
    </w:p>
    <w:p w14:paraId="6E5B2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4D520BD3" w14:textId="77777777" w:rsidTr="00ED5B0A">
        <w:tc>
          <w:tcPr>
            <w:tcW w:w="3757" w:type="dxa"/>
          </w:tcPr>
          <w:p w14:paraId="3AA28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3757" w:type="dxa"/>
          </w:tcPr>
          <w:p w14:paraId="073D1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395 км/час</w:t>
            </w:r>
          </w:p>
        </w:tc>
      </w:tr>
      <w:tr w:rsidR="00A907A5" w:rsidRPr="00271E51" w14:paraId="671DE26F" w14:textId="77777777" w:rsidTr="00ED5B0A">
        <w:tc>
          <w:tcPr>
            <w:tcW w:w="3757" w:type="dxa"/>
          </w:tcPr>
          <w:p w14:paraId="5F9C8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 на границе</w:t>
            </w:r>
          </w:p>
        </w:tc>
        <w:tc>
          <w:tcPr>
            <w:tcW w:w="3757" w:type="dxa"/>
          </w:tcPr>
          <w:p w14:paraId="1283D8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B704F1" w14:textId="77777777" w:rsidTr="00ED5B0A">
        <w:tc>
          <w:tcPr>
            <w:tcW w:w="3757" w:type="dxa"/>
          </w:tcPr>
          <w:p w14:paraId="0084A3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1000 м</w:t>
            </w:r>
          </w:p>
        </w:tc>
        <w:tc>
          <w:tcPr>
            <w:tcW w:w="3757" w:type="dxa"/>
          </w:tcPr>
          <w:p w14:paraId="7B72E4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406 км/час</w:t>
            </w:r>
          </w:p>
        </w:tc>
      </w:tr>
    </w:tbl>
    <w:p w14:paraId="65453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Модифицированный самолет Ил-2 по летным данным практически не отличается от серийного одноместного самолета Ил-2, но имеет лучшие взлетные данные, вследствие уменьшения полетного веса на 400 кг, увеличения взлетной мощности на 100 л.с. на форсированном моторе АМ-38 Ф.</w:t>
      </w:r>
    </w:p>
    <w:p w14:paraId="2BAA03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продольном отношении самолет неустойчив; нагрузки на рули велики.</w:t>
      </w:r>
    </w:p>
    <w:p w14:paraId="3464D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продольной устойчивости самолета рекомендовано гл. конструктору С.В.И. установить амортизатор и контрбалансир в системе управления рулем высоты, разработанные и испытанные в ЛИИ.</w:t>
      </w:r>
    </w:p>
    <w:p w14:paraId="1AFA6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на прочность серийных с-тов Ил-2 после эксплуатации в частях ВВС и ремонта в полевых условиях.</w:t>
      </w:r>
    </w:p>
    <w:p w14:paraId="12F1DB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на прочность двух самолетов Ил-2 з-да N 30, находившихся в эксплуатации в частях ВВС и затем подвергнувшихся ремонту по разным технологическим процессам.</w:t>
      </w:r>
    </w:p>
    <w:p w14:paraId="638A5D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установлено:</w:t>
      </w:r>
    </w:p>
    <w:p w14:paraId="4E39A3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Профилактический ремонт консолей крыла в полевых условиях (проклейка, прошурупка, и частичная замена полотна) не является надежным и не может быть рекомендован для применения.</w:t>
      </w:r>
    </w:p>
    <w:p w14:paraId="144228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Самолет Ил-2 после заводского ремонта по новой технологии, с применением усиливающих лент и обклейки консолей "чехлом", испытания на прочность прошел удовлетворительно.</w:t>
      </w:r>
    </w:p>
    <w:p w14:paraId="491AE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Рекомендовано заводу N 30 устранить на серийных самолетах дефекты, выявленные во время испытаний.</w:t>
      </w:r>
    </w:p>
    <w:p w14:paraId="27E6C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Определение температурных режимов воды и масла на с-те Ил-2.</w:t>
      </w:r>
    </w:p>
    <w:p w14:paraId="5B0A3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серийном самолете Ил-2 производства завода N 1 были определены тепловые характеристики винто-моторной группы на режиме скороподъемности и в горизонтальном полете на Н=500 м с серийными и модифицированными туннелями водо-маслорадиаторов.</w:t>
      </w:r>
    </w:p>
    <w:p w14:paraId="31464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 заключалась в герметизации туннелей и замены двух заслонок на выходе одной общей заслонкой.</w:t>
      </w:r>
    </w:p>
    <w:p w14:paraId="6FE70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существующая система охлаждения с водорадиатором типа 163 и маслорадиатором ОП-446 обеспечивает охлаждение мотора при расчетных температурных условиях (tн.в.+30 градусов Ц) как в горизонтальном полете, так и при наборе высоты.</w:t>
      </w:r>
    </w:p>
    <w:p w14:paraId="0D50B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взлете на номинальном режиме температура воды достигает предельно-допустимой величины 120-122 градуса Ц. При пользовании на взлете форсажем температура воды поднимается выше допустимой и после взлета необходимо охлаждать мотор.</w:t>
      </w:r>
    </w:p>
    <w:p w14:paraId="6CCDDF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самолетов, имеющих высокие температурные режимы воды и масла, рекомендуется заделать выходные отверстия "жабры" на верхней крышке капота мотора и герметизировать туннели водо и маслорадиаторов. Эти мероприятия могут быть выполнены в полевых условиях и приводят к снижению температуры воды при горизонтальном полете на 5,5 градусов Ц и температуры масла на 2,5 градуса Ц.</w:t>
      </w:r>
    </w:p>
    <w:p w14:paraId="3116FF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Набор высоты рекомендуется производить на пониженных оборотах мотора 1950 об/мин., что приводит к снижению температуры воды на 3,5 градуса Ц и температуры масла на 5,5 градусов Ц.</w:t>
      </w:r>
    </w:p>
    <w:p w14:paraId="5A538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Производить замену заслонок на выходе и водо и маслорадиаторов нерационально.</w:t>
      </w:r>
    </w:p>
    <w:p w14:paraId="50E97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Испытания опытного 4-х лопастного винта на с-те Ил-2.</w:t>
      </w:r>
    </w:p>
    <w:p w14:paraId="27CE4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Проведенными испытаниями опытного 4-х лопастного винта АВ-9Л-158 измененного шага с механизмом, работающим по обратной схеме, установлено:</w:t>
      </w:r>
    </w:p>
    <w:p w14:paraId="2F80A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Максимальная скорость и скороподъемность серийного самолета Ил-2 с опытным винтом АВ-9Л-158 практически не отличается от летных данных с-та с винтом АВ-5Л-158.</w:t>
      </w:r>
    </w:p>
    <w:p w14:paraId="764AC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Длина разбега самолета с опытным винтом меньше на 40 м, т.е. на 7,6%, чем с серийным.</w:t>
      </w:r>
    </w:p>
    <w:p w14:paraId="2EA4A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Механизм винта работает неудовлетворительно. На взлете при нормальной даче газа в горизонтальном полете винт дает раскрутку до 2500-2700 об/мин.</w:t>
      </w:r>
    </w:p>
    <w:p w14:paraId="7D7E1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винт АВ-9Л-158 не может быть рекомендован для запуска в серию.</w:t>
      </w:r>
    </w:p>
    <w:p w14:paraId="688907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Испытания с-та Ил-2 с амортизатором и контрбалансиром.</w:t>
      </w:r>
    </w:p>
    <w:p w14:paraId="6BFFD8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разработанные в ЛИИ контрбалансир и амортизатор в системе управления рулем высоты самолета Ил-2 повышают продольную устойчивость самолета с брошенной ручкой и препятствуют возникновению обратных нагрузок на ручке при выполнении виражей, горок, боевых разворотов и выходов из пикирования. В болтанку самолет, сбалансированный на крейсерской скорости, может лететь с брошенной ручкой.</w:t>
      </w:r>
    </w:p>
    <w:p w14:paraId="5117A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маневрах, с наличием перегрузки, контрбалансир препятствует самопроизвольному выходу самолета на большие углы атаки.</w:t>
      </w:r>
    </w:p>
    <w:p w14:paraId="129704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Приспособление успешно прошло гос. испытания.</w:t>
      </w:r>
    </w:p>
    <w:p w14:paraId="46A57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 с контрбалансиром рекомендуется к внедрению в серию.</w:t>
      </w:r>
    </w:p>
    <w:p w14:paraId="53F8C2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Испытание с-та Ил-2 с роговой компенсацией руля высоты.</w:t>
      </w:r>
    </w:p>
    <w:p w14:paraId="09555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заданию ЦАГИ была произведена качественная оценка влияния 5,1%-й роговой компенсации руля высоты на продольную устойчивость и управляемость Ил-2.</w:t>
      </w:r>
    </w:p>
    <w:p w14:paraId="2B4734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облета летчиками установлено, что данная роговая компенсация руля высоты практически не изменила управляемости и продольной статической устойчивости самолета.</w:t>
      </w:r>
    </w:p>
    <w:p w14:paraId="65B8AD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Пе-2.</w:t>
      </w:r>
    </w:p>
    <w:p w14:paraId="78E476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серийных самолетов.</w:t>
      </w:r>
    </w:p>
    <w:p w14:paraId="6F9711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испытания самолета Пе-2 N 19/205 июньского выпуска з-да N 22 с моторами М-105 ПФ и винтами ВИШ-61 П Д=3 м, предназначенного для модификации в ЦАГИ.</w:t>
      </w:r>
    </w:p>
    <w:p w14:paraId="117C35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p w14:paraId="651E98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горизонтальная скорость</w:t>
      </w:r>
    </w:p>
    <w:p w14:paraId="61CA1D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II границе высотности 3700 м - 521 км/час</w:t>
      </w:r>
    </w:p>
    <w:p w14:paraId="21EB2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испытания самолета Пе-2 N 1/202, улучшенного з-дом N 22 по рекомендации ЦАГИ и предназначенного для дальнейших переделок в ЦАГИ.</w:t>
      </w:r>
    </w:p>
    <w:p w14:paraId="54D9A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- 454 км/час</w:t>
      </w:r>
    </w:p>
    <w:p w14:paraId="3DD169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p w14:paraId="25D78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- 507 км/час</w:t>
      </w:r>
    </w:p>
    <w:p w14:paraId="57F59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Пониженное значение максимальной скорости самолета Пе-2 N 1/202 объясняются:</w:t>
      </w:r>
    </w:p>
    <w:p w14:paraId="034DC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Пониженными границами высотности моторов завода N 16.</w:t>
      </w:r>
    </w:p>
    <w:p w14:paraId="5A6494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Дефектами производственного выполнения самолета.</w:t>
      </w:r>
    </w:p>
    <w:p w14:paraId="5F8FB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Неполным осуществлением на данном самолете рекомендации ЦАГИ.</w:t>
      </w:r>
    </w:p>
    <w:p w14:paraId="27E6DE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производства з-да N 16, установленные на Пе-2 N 1/202, имеют границы высотности ниже техусловий на поставку моторов М-105 ПФ, о чем доведено до сведения начальника 3-го Гл. управления Степина.</w:t>
      </w:r>
    </w:p>
    <w:p w14:paraId="5F056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Проведены испытания по определению границы высотности винтомоторной группы самолета Пе-2 N 8/211 з-да N 22 выпуска июля 1943 г.</w:t>
      </w:r>
    </w:p>
    <w:p w14:paraId="6E3536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w:t>
      </w:r>
    </w:p>
    <w:p w14:paraId="0A8187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Граница высотности по максимальной горизонтальной скорости на первой скорости нагнетателя равна 1750 м и на второй скорости нагнетателя - 3750 м при n=2700 об/мин. На режиме набора высоты граница высотности на первой скорости нагнетателя равна 1550 м, на второй скорости нагнетателя 3500 м при n=2700 об/мин.</w:t>
      </w:r>
    </w:p>
    <w:p w14:paraId="264415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Уменьшение оборотов с 2700 до 2600 об/мин. снижает границу высотности на 200 м как на первой, так и на второй границе высотности.</w:t>
      </w:r>
    </w:p>
    <w:p w14:paraId="1CF3C8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модифицированных амортизаторов шасси.</w:t>
      </w:r>
    </w:p>
    <w:p w14:paraId="4F61C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рекомендованы следующие режимы зарядки модифицированных амортизаторов шасси самолета Пе-2:</w:t>
      </w:r>
    </w:p>
    <w:p w14:paraId="74E3B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амортизаторов шасси: давление 28 атм. и количество жидкости 1600 см куб.</w:t>
      </w:r>
    </w:p>
    <w:p w14:paraId="5E56AA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амортизатора костыля: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A907A5" w:rsidRPr="00271E51" w14:paraId="79664DAB" w14:textId="77777777" w:rsidTr="00ED5B0A">
        <w:tc>
          <w:tcPr>
            <w:tcW w:w="2818" w:type="dxa"/>
          </w:tcPr>
          <w:p w14:paraId="3DCA08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w:t>
            </w:r>
          </w:p>
        </w:tc>
        <w:tc>
          <w:tcPr>
            <w:tcW w:w="2818" w:type="dxa"/>
          </w:tcPr>
          <w:p w14:paraId="0AABBC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 атм.</w:t>
            </w:r>
          </w:p>
        </w:tc>
      </w:tr>
      <w:tr w:rsidR="00A907A5" w:rsidRPr="00271E51" w14:paraId="6BF0BF22" w14:textId="77777777" w:rsidTr="00ED5B0A">
        <w:tc>
          <w:tcPr>
            <w:tcW w:w="2818" w:type="dxa"/>
          </w:tcPr>
          <w:p w14:paraId="64BE8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жидкость в количестве</w:t>
            </w:r>
          </w:p>
        </w:tc>
        <w:tc>
          <w:tcPr>
            <w:tcW w:w="2818" w:type="dxa"/>
          </w:tcPr>
          <w:p w14:paraId="7D100D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 см куб.</w:t>
            </w:r>
          </w:p>
        </w:tc>
      </w:tr>
      <w:tr w:rsidR="00A907A5" w:rsidRPr="00271E51" w14:paraId="3EEFFACB" w14:textId="77777777" w:rsidTr="00ED5B0A">
        <w:tc>
          <w:tcPr>
            <w:tcW w:w="2818" w:type="dxa"/>
          </w:tcPr>
          <w:p w14:paraId="0DE172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 пневматике</w:t>
            </w:r>
          </w:p>
        </w:tc>
        <w:tc>
          <w:tcPr>
            <w:tcW w:w="2818" w:type="dxa"/>
          </w:tcPr>
          <w:p w14:paraId="1CE95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740E6F" w14:textId="77777777" w:rsidTr="00ED5B0A">
        <w:tc>
          <w:tcPr>
            <w:tcW w:w="2818" w:type="dxa"/>
          </w:tcPr>
          <w:p w14:paraId="17752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шасси</w:t>
            </w:r>
          </w:p>
        </w:tc>
        <w:tc>
          <w:tcPr>
            <w:tcW w:w="2818" w:type="dxa"/>
          </w:tcPr>
          <w:p w14:paraId="04444E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атм.</w:t>
            </w:r>
          </w:p>
        </w:tc>
      </w:tr>
      <w:tr w:rsidR="00A907A5" w:rsidRPr="00271E51" w14:paraId="0D87A6BA" w14:textId="77777777" w:rsidTr="00ED5B0A">
        <w:tc>
          <w:tcPr>
            <w:tcW w:w="2818" w:type="dxa"/>
          </w:tcPr>
          <w:p w14:paraId="3E5AA8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пневматике костыля</w:t>
            </w:r>
          </w:p>
        </w:tc>
        <w:tc>
          <w:tcPr>
            <w:tcW w:w="2818" w:type="dxa"/>
          </w:tcPr>
          <w:p w14:paraId="370D1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атм.</w:t>
            </w:r>
          </w:p>
        </w:tc>
      </w:tr>
    </w:tbl>
    <w:p w14:paraId="2813D3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Испытание системы водяного охлаждения при повышенных температурах воды на с-те Пе-2.</w:t>
      </w:r>
    </w:p>
    <w:p w14:paraId="1BB37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системы водяного охлаждения самолета Пе-2 с моторами М-105 ПФ и М-105 на повышенных температурах охлаждающей воды (110-115 градусов Ц) установлено:</w:t>
      </w:r>
    </w:p>
    <w:p w14:paraId="4E214E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Требуемое для надежной работы мотора М-105 ПФ на повышенных температурах воды давление в блоках может быть получено путем установки в водосистему с-та Пе-2 сепараторов или дросселей.</w:t>
      </w:r>
    </w:p>
    <w:p w14:paraId="6ECEDD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перехода на повышенные температуры воды мотора М-105 ПФ и М-105 на с-те Пе-2 необходимо:</w:t>
      </w:r>
    </w:p>
    <w:p w14:paraId="1106C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вновь выпускаемых серийных с-тах Пе-2 в водяную систему установить сепаратор по образцу, разработанному и испытанному в ЛИИ.</w:t>
      </w:r>
    </w:p>
    <w:p w14:paraId="4CE21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с-тах, находящихся в эксплуатации, в водяную систему установить на выходе воды из блоков моторов дроссель по образцу, испытанному в ЛИИ.</w:t>
      </w:r>
    </w:p>
    <w:p w14:paraId="199887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Утеплить расширительные бачки, как на вновь выпускаемых, так и на находящихся в эксплуатации самолетах.</w:t>
      </w:r>
    </w:p>
    <w:p w14:paraId="0B83D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Транспортные самолеты.</w:t>
      </w:r>
    </w:p>
    <w:p w14:paraId="5D07C0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Окончание испытания с-та ТС-1.</w:t>
      </w:r>
    </w:p>
    <w:p w14:paraId="0D7A9B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Закончены испытания самолета ТС-1. Сделан полет на дальность. техническая дальность самолета на крейсерском режиме при начальном весе 3700 кг на скорости 148 км/час равна 1025 км, продолжительность 7 часов, при этом из полного запаса горючего 366 кг расходуется: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52FD72F3" w14:textId="77777777" w:rsidTr="00ED5B0A">
        <w:tc>
          <w:tcPr>
            <w:tcW w:w="3757" w:type="dxa"/>
          </w:tcPr>
          <w:p w14:paraId="33A20E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подъем до 500 м</w:t>
            </w:r>
          </w:p>
        </w:tc>
        <w:tc>
          <w:tcPr>
            <w:tcW w:w="3757" w:type="dxa"/>
          </w:tcPr>
          <w:p w14:paraId="6B165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кг</w:t>
            </w:r>
          </w:p>
        </w:tc>
      </w:tr>
      <w:tr w:rsidR="00A907A5" w:rsidRPr="00271E51" w14:paraId="1C6988F1" w14:textId="77777777" w:rsidTr="00ED5B0A">
        <w:tc>
          <w:tcPr>
            <w:tcW w:w="3757" w:type="dxa"/>
          </w:tcPr>
          <w:p w14:paraId="602FC3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горизонтальный</w:t>
            </w:r>
          </w:p>
        </w:tc>
        <w:tc>
          <w:tcPr>
            <w:tcW w:w="3757" w:type="dxa"/>
          </w:tcPr>
          <w:p w14:paraId="237361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CD73D5" w14:textId="77777777" w:rsidTr="00ED5B0A">
        <w:tc>
          <w:tcPr>
            <w:tcW w:w="3757" w:type="dxa"/>
          </w:tcPr>
          <w:p w14:paraId="17B74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участок</w:t>
            </w:r>
          </w:p>
        </w:tc>
        <w:tc>
          <w:tcPr>
            <w:tcW w:w="3757" w:type="dxa"/>
          </w:tcPr>
          <w:p w14:paraId="6E01D1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 кг</w:t>
            </w:r>
          </w:p>
        </w:tc>
      </w:tr>
    </w:tbl>
    <w:p w14:paraId="22E195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дано заключение:</w:t>
      </w:r>
    </w:p>
    <w:p w14:paraId="433D0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ТС-1 промышленные испытания прошел удовлетворительно. Результаты летных испытаний подтверждают конструкторов.</w:t>
      </w:r>
    </w:p>
    <w:p w14:paraId="166DEE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 ТС-1 может быть допущен к гос. испытаниям.</w:t>
      </w:r>
    </w:p>
    <w:p w14:paraId="1270D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случае внедрения самолета ТС-1 в серийное производство необходимо проведение следующих мероприятий:</w:t>
      </w:r>
    </w:p>
    <w:p w14:paraId="0D4DFF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Проведение полных статиспытаний самолета.</w:t>
      </w:r>
    </w:p>
    <w:p w14:paraId="045558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Устранение дефектов, указанных в отчете.</w:t>
      </w:r>
    </w:p>
    <w:p w14:paraId="593F4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Пересмотр конструкции самолета с целью максимального упрощения его производственного выполнения.</w:t>
      </w:r>
    </w:p>
    <w:p w14:paraId="6C8C6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Подбор наивыгоднейших винтов.</w:t>
      </w:r>
    </w:p>
    <w:p w14:paraId="621E19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Уменьшение усилий от элеронов. (Начальник ЛИИ А.В. Чесалов) (1783).</w:t>
      </w:r>
    </w:p>
    <w:p w14:paraId="37CF48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E5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августа 1943 было подготовлено Спецсообщение Л.П. Берии И.В. Сталину о работе заключенных-специалистов 665/б </w:t>
      </w:r>
    </w:p>
    <w:p w14:paraId="5AB7D1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 секретно </w:t>
      </w:r>
    </w:p>
    <w:p w14:paraId="58FE0C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Председателю гос. Комитета Обороны т. Сталину И.В. </w:t>
      </w:r>
    </w:p>
    <w:p w14:paraId="25203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4-м Спецотделе НКВД СССР работает группа специалистов, принимавшая участие в проектировании самолетов Пе-2 и ТУ-2 и участвовавшая в серийном изготовлении этих самолетов. </w:t>
      </w:r>
    </w:p>
    <w:p w14:paraId="60E783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настоящее время, в связи с работами, возложенными на тов. МЯСИЩЕВА по модификации самолета Пе-2, и работами, возложенными на тов. ТУПОЛЕВА по </w:t>
      </w:r>
      <w:r w:rsidRPr="00271E51">
        <w:rPr>
          <w:rFonts w:ascii="Times New Roman" w:hAnsi="Times New Roman"/>
          <w:color w:val="000000" w:themeColor="text1"/>
          <w:sz w:val="16"/>
          <w:szCs w:val="16"/>
        </w:rPr>
        <w:lastRenderedPageBreak/>
        <w:t xml:space="preserve">внедрению в серию на заводе № 23 НКАП самолета ТУ-2, Н.К.А.П. т. ШАХУРИН, совместно с главными конструкторами т.т. ТУПОЛЕВЫМ и МЯСИЩЕВЫМ, возбудил ходатайство о досрочном освобождении части специалистов, принимавших участие в разработке и внедрении в серийное производство самолетов Пе-2 и ТУ-2, и о направлении этих специалистов для работы в НКАП. </w:t>
      </w:r>
    </w:p>
    <w:p w14:paraId="2CAE8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Учитывая большой опыт работы заключенных специалистов по созданию самолетов Пе-2 и ТУ-2, НКВД СССР считает целесообразным участие этих специалистов в дальнейших работах по самолетам Пе-2 и ТУ-2 и ходатайствует о досрочном освобождении со снятием судимости 38 специалистов, особо отличившихся при проектировании и постройке самолетов Пе-2 и ТУ-2. </w:t>
      </w:r>
    </w:p>
    <w:p w14:paraId="3F5D0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Список и характеристики на указанных специалистов при этом прилагаю. </w:t>
      </w:r>
    </w:p>
    <w:p w14:paraId="6F6A17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ПРИЛОЖЕНИЕ: По тексту. </w:t>
      </w:r>
    </w:p>
    <w:p w14:paraId="5404A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внутренних дел Союза ССР Берия</w:t>
      </w:r>
    </w:p>
    <w:p w14:paraId="51A31A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 секретно </w:t>
      </w:r>
    </w:p>
    <w:p w14:paraId="792C6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СПИСОК </w:t>
      </w:r>
    </w:p>
    <w:p w14:paraId="36BC94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Особо отличившихся специалистов 4 спецотдела НКВД СССР </w:t>
      </w:r>
    </w:p>
    <w:p w14:paraId="7BA47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АСТАХОВ Иван Петрович, 1902 г.р., бывший гл. механик завода № 21. Осужден ВК Верхсуда СССР 31.05.40 г. по ст. 58-7-11 на 10 лет ИТЛ. </w:t>
      </w:r>
    </w:p>
    <w:p w14:paraId="6E7FD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Опытный инженер-технолог, участвовал в разработке технологии производства самолета 102 и работал непосредственно на производстве по внедрению этого самолета в серию. </w:t>
      </w:r>
    </w:p>
    <w:p w14:paraId="39BE2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БАБИН Игорь Борисович, 1914 г.р., бывший инж.-конструктор завода № 70. Осужден Особым Совещанием при НКВД СССР 20.05.1938 г. на 5 лет ИТЛ. </w:t>
      </w:r>
    </w:p>
    <w:p w14:paraId="4FCDD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Способный, инициативный инженер. Провел большую работу в качестве ведущего инженера бригады общих видов по увязке и конструктивной разработке самолета Ту-2 и его модификации. </w:t>
      </w:r>
    </w:p>
    <w:p w14:paraId="27B97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БАГРИЙ Виктор Федорович, 1898 г.р., бывший технический директор завода № 32. Осужден ВК Верхсуда СССР 30.05.40 г. по ст. 58-6-7-11 на 10 лет. </w:t>
      </w:r>
    </w:p>
    <w:p w14:paraId="10B8B7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инициативный инженер, участвовавший в проектировании и постройке самолетов Пе-2 и ТУ-2. Хорошо знает технологию этих самолетов, успешно работал по внедрению самолета ТУ-2 в серию. </w:t>
      </w:r>
    </w:p>
    <w:p w14:paraId="19706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БОЧАРОВ Николай Федорович, 1897 г.р., бывший нач. химико-технологического отдела ВИАМ. Осужден ВК Верхсуда СССР 31.05.40 г. по ст. 58-7-11 на 10 лет ИТЛ. </w:t>
      </w:r>
    </w:p>
    <w:p w14:paraId="0906C3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Инженер-технолог, руководитель группы по машинам Пе-2, ТУ-2 и 102. Провел ряд исследовательских работ по заменителям. Поручаемую работу выполняет хорошо. </w:t>
      </w:r>
    </w:p>
    <w:p w14:paraId="63779F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БУДКЕВИЧ Павел Васильевич, 1904 г.р., бывший нач. серийного конструкторского бюро авиазавода № 43. Осужден ВК Верхсуда СССР 28.05.40 г. по ст. 58-6-7-10-11 на 10 лет. </w:t>
      </w:r>
    </w:p>
    <w:p w14:paraId="7F2ED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Исполнительный и инициативный инженер. Провел всю основную работу по компоновке и увязке винтомоторной группы самолета ТУ-2. Поручаемую работу выполняет безукоризненно. </w:t>
      </w:r>
    </w:p>
    <w:p w14:paraId="41F951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БУРАКОВ Николай Николаевич, 1900 г.р., бывш. начальник лаборатории ВИАМ. Осужден ВК Верхсуда СССР 29.05.40 г. по ст. 58-7-11 на 10 лет. </w:t>
      </w:r>
    </w:p>
    <w:p w14:paraId="14C1BB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добросовестный инженер. Принимал участие в качестве технолога в конструировании и изготовлении самолетов Пе-2 и ТУ-2. </w:t>
      </w:r>
    </w:p>
    <w:p w14:paraId="6754D9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ВЛАДЫШЕВСКИЙ Владимир Леонтьевич, 1902 г.р., бывший ст. инженер ВИАМ. Осужден ВК Верхсуда СССР 31.05.40 г. по ст. 58-7-11 УК на 10 лет ИТЛ. </w:t>
      </w:r>
    </w:p>
    <w:p w14:paraId="3D2FD8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Опытный инженер в области обработки древесины. Разработал и внедрил в производство ряд деталей из бакелизированной древесины. Работает с увлечением. Порученные задания выполняет добросовестно и инициативно. </w:t>
      </w:r>
    </w:p>
    <w:p w14:paraId="6F815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8. ГАЛИН Николай Евгеньевич, 1892 г.р., бывший инженер-конструктор завода № 32. Осужден Спец. коллегией Мосгорсуда 10.08.37 г. по ст. 58-10 ч. 1 на 8 лет ИТЛ. </w:t>
      </w:r>
    </w:p>
    <w:p w14:paraId="50281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Инициативный и исполнительный инженер. Провел большую работу по разработке и выпуску рабочих чертежей для самолетов Пе-2 и ТУ-2. </w:t>
      </w:r>
    </w:p>
    <w:p w14:paraId="2E114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ГЕЛЛЕР Тимофей Маркович, 1904 г.р., бывший нач. цеха Горьковского автозавода. Осужден Особым Совещанием при НКВД СССР 23.12.40 г. по ст. 58-7-9-11 к 5 годам ИТЛ. </w:t>
      </w:r>
    </w:p>
    <w:p w14:paraId="683F2C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инженер-технолог. Обладая большим знанием различных методов штамповки деталей в автостроении — успешно перенес свой опыт в самолетное производство, что в значительной степени упростило и ускорило изготовление самолетов в серийном производстве. </w:t>
      </w:r>
    </w:p>
    <w:p w14:paraId="5AA167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 ИВАНОВ Александр Сергеевич, 1893 г.р., бывший главный инженер автозавода им. Молотова. Осужден Особым Совещанием при НКВД СССР 23.12.40 г. по ст. 58-6 ч. 2, 58-7-11 на 5 лет ИТЛ. </w:t>
      </w:r>
    </w:p>
    <w:p w14:paraId="7D098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 и способный организатор. Разработал и провел в жизнь план оснащения производства специальными штампами, что упростило и ускорило изготовление самолетов. Благодаря прекрасным организаторским качествам пользуется большим авторитетом среди специалистов. </w:t>
      </w:r>
    </w:p>
    <w:p w14:paraId="71DE8A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 КАЛГАНОВ Юрий Васильевич, 1899 г.р., бывший главный инженер завода № 125. Осужден ВК Верхсуда СССР 28.05.40 г. по ст.ст. 58-7-11 УК на 10 лет ИТЛ. </w:t>
      </w:r>
    </w:p>
    <w:p w14:paraId="0169F2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Инженер-конструктор, хорошо знающий опытное производство самолетов. Провел большую работу по внедрению самолета ТУ-2 в серийное производство. В работе упорен и настойчив. </w:t>
      </w:r>
    </w:p>
    <w:p w14:paraId="587B40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 МАРКЕВИЧ Петр Петрович, 1893 г.р., бывший конструктор завода № 43. Осужден ВК Верхсуда СССР 28.05.40 г. по ст. 58-6-7-11 на 10 лет. </w:t>
      </w:r>
    </w:p>
    <w:p w14:paraId="0B756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опытный конструктор, разработавший ряд весьма удачных конструкций для самолетов Пе-2, ТУ-2 и 102. </w:t>
      </w:r>
    </w:p>
    <w:p w14:paraId="32169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МИРОСЛАВСКИЙ Павел Андреевич, 1908 г.р., бывший начальник цеха завода № 22. Осужден Особым Совещанием при НКВД СССР 2.06.38 г. за шпионаж на 8 лет ИТЛ. </w:t>
      </w:r>
    </w:p>
    <w:p w14:paraId="2759AD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Опытный инженер-технолог, провел всю основную работу по проектированию и изготовлению приспособлений для производства самолетов 103, ТУ-2. К работе относится добросовестно. Поручаемые задания выполняет инициативно и аккуратно. </w:t>
      </w:r>
    </w:p>
    <w:p w14:paraId="3659C2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МИТРЕВИЧ Константин Станиславович, 1902 г.р., бывший начальник моторного цеха Челябинского тракторного завода. Осужден ВК Верхсуда СССР 30.05.40 г. по ст. 58-7-8-9-11 УК на 10 лет ИТЛ. </w:t>
      </w:r>
    </w:p>
    <w:p w14:paraId="2C96F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Инженер-механик, хорошо знающий организацию массового производства самолетов. Внес много усовершенствований в технологию изготовления гидросистем для самолета ТУ-2. </w:t>
      </w:r>
    </w:p>
    <w:p w14:paraId="3740E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НЕКРАСОВ Александр Иванович, 1883 г.р., бывший зам. нач. ЦАГИ по научной части. Осужден ВК Верхсуда СССР 28.05.40 г. по ст. 58-6-7-11 на 10 лет. </w:t>
      </w:r>
    </w:p>
    <w:p w14:paraId="4EE131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 с большими теоретическими познаниями. Разработал ряд теоретических вопросов по изучению вибрации крыльев самолетов, флаттера и т.п. Обладает хорошими математическими способностями и знаниями. </w:t>
      </w:r>
    </w:p>
    <w:p w14:paraId="303ED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САВКОВ Евгений Иванович, 1884 г.р., бывший профессор военно-инженерной академии. Осужден Особым Совещанием при НКВД СССР 15 августа 1939 года за участие в антисоветской организации и вредительство на 8 лет ИТЛ. </w:t>
      </w:r>
    </w:p>
    <w:p w14:paraId="7703C8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инженер-расчетчик. Провел основные работы по расчетам крыла и элеронов самолета Ту-2 и его модификации. Провел также большую работу по заменителям дефицитных материалов. </w:t>
      </w:r>
    </w:p>
    <w:p w14:paraId="673AB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САХАРОВ Виктор Пантелеймонович, 1909 г.р., бывший нач. отдела звукозаписи кинофабрики «Мосфильм». </w:t>
      </w:r>
    </w:p>
    <w:p w14:paraId="537B5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Осужден Особым Совещанием при НКВД СССР за к-р деятельность 22.12.37 г. на 10 лет ИТЛ. </w:t>
      </w:r>
    </w:p>
    <w:p w14:paraId="3E07C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Энергичный, способный инженер. В качестве ведущего инженера бригады самостоятельно выполнил ряд работ по конструкции самолета ТУ-2. </w:t>
      </w:r>
    </w:p>
    <w:p w14:paraId="4BD9D0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СЕРМАН Эдуард Иосифович, 1905 г.р., бывший консультант ГУУЗа НКАП. Осужден ВК Верхсуда СССР 30.05.40 г. по ст. 58-6 на 10 лет. </w:t>
      </w:r>
    </w:p>
    <w:p w14:paraId="7E219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Способный инженер, выполнивший ряд ответственных заданий по конструированию самолетов Пе-2, ТУ-2 и 102. Провел большую работу по внедрению в серийное производство самолетов ТУ-2. </w:t>
      </w:r>
    </w:p>
    <w:p w14:paraId="6AF32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 СИПРИКОВ Василий Григорьевич, 1899 г.р., бывший главный инженер завода № 124. Осужден ВК Верхсуда СССР 31.05.40 г. по ст. 58-7-11 на 10 лет ИТЛ. </w:t>
      </w:r>
    </w:p>
    <w:p w14:paraId="0E107E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Инженер-конструктор, разработал ряд ответственных конструкций самолетов Пе-2, ТУ-2 и 102. Провел большую работу по внедрению самолета ТУ-2 в серийное производство. </w:t>
      </w:r>
    </w:p>
    <w:p w14:paraId="29C4A5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СОЛОМАХИН Арсений Николаевич, 1903 г.р., бывший гл. механик завода № 18. Осужден ВК Верхсуда СССР 30.05.40 г. по ст. 58-7-11 УК на 10 лет. </w:t>
      </w:r>
    </w:p>
    <w:p w14:paraId="781067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Инженер-конструктор, принимавший участие в проектировании и изготовлении самолетов Пе-2, ТУ-2 и 102. Выполнил большую работу в качестве руководителя цеха по внедрению самолета ТУ-2 в серийное производство. </w:t>
      </w:r>
    </w:p>
    <w:p w14:paraId="2869B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21. УСАЧЕВ Михаил Александрович, 1909 г.р., бывший директор завода № 156. Осужден ВК Верхсуда СССР 20.06.39 г. по ст. 17-58-7 УК на 15 лет ИТЛ. </w:t>
      </w:r>
    </w:p>
    <w:p w14:paraId="7BA99E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Инициативный и исполнительный инженер, принимал участие в разработке самолетов Пе-2, ТУ-2 и 102. Провел большую работу по внедрению в серийное производство самолета ТУ-2. </w:t>
      </w:r>
    </w:p>
    <w:p w14:paraId="354576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ФАЙНШТЕЙН Абрам Самойлович, 1891 г.р., бывший зам. нач. Главпластмассы. Осужден ВК Верхсуда СССР 31.05.40 г. по ст. 58-1а-58-7-11 на 10 лет ИТЛ. </w:t>
      </w:r>
    </w:p>
    <w:p w14:paraId="44E1D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Инженер-химик, опытный специалист в области производства пластмасс. Выполнил ряд работ по заменителям металлов пластмассами. Организовал и обеспечил производство этих деталей для самолетов ТУ-2. </w:t>
      </w:r>
    </w:p>
    <w:p w14:paraId="27230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23. БИЛЬДЮГ Борис Иосифович, 1909 г.р., бывший инженер-конструктор завода № 89. Осужден Особым Совещанием при НКВД СССР 2.06.38 г. по ст. 58-6 на 8 лет ИТЛ. </w:t>
      </w:r>
    </w:p>
    <w:p w14:paraId="06F22C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инженер-конструктор, выполнил расчетные конструкторские работы по самолетам Пе-2 и 102. К порученным обязанностям относится добросовестно. </w:t>
      </w:r>
    </w:p>
    <w:p w14:paraId="1395F5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24. ДЬЯКОНОВ Леонид Александрович, 1909 г.р., бывший ст. инженер Транспортного управления Моссовета. Осужден Особым Совещанием при НКВД СССР 29.04.39 г. по ст. 58-10 на 8 лет ИТЛ. </w:t>
      </w:r>
    </w:p>
    <w:p w14:paraId="7AFE7E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Исполнительный, способный инженер, участвовал в разработке и компоновке винтомоторной группы самолета 102. Принимал активное участие в проведении летных испытаний самолета. Все поручаемые работы выполняет быстро и инициативно. </w:t>
      </w:r>
    </w:p>
    <w:p w14:paraId="10557A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КВИТКО Иван Никитич, 1901 г.р., бывший начальник отдела сухопутных самолетов Научно-испытательного института ВВС. Осужден Особым Совещанием при НКВД СССР 9.09.38 г. по ст. 58-10 на 8 лет ИТЛ. </w:t>
      </w:r>
    </w:p>
    <w:p w14:paraId="3A423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 хорошо знаком с эксплуатацией самолетов. Провел большую работу по летным испытаниям самолета 102. В работе аккуратен, точен и исполнителен. </w:t>
      </w:r>
    </w:p>
    <w:p w14:paraId="197DD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26. КОРОТКОВ Георгий Кириллович, 1908 г.р., бывший начальник отдела завода № 22. Осужден особым совещанием при НКВД СССР 23.04.39 г. по ст. 58-8-10-11 УК на 8 лет ИТЛ. </w:t>
      </w:r>
    </w:p>
    <w:p w14:paraId="0C883E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Инженер-технолог. Принимал участие в разработке технологии самолетов Ту-2 и 102. Дисциплинированный и исполнительный инженер. </w:t>
      </w:r>
    </w:p>
    <w:p w14:paraId="61D2A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27. КОСТКИН Иван Михайлович, 1886 г.р., бывший главный инженер завода № 301. Осужден Особым совещанием при НКВД СССР 7.04.41 г. за участие в антисоветской правотроцкистской организации на 8 лет ИТЛ. </w:t>
      </w:r>
    </w:p>
    <w:p w14:paraId="69DBA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инженер-технолог, хорошо знающий производство. Провел большую работу по улучшению технологии производства самолетов. </w:t>
      </w:r>
    </w:p>
    <w:p w14:paraId="29BDD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 МАРКУСОВ Авраам Соломонович, 1905 г.р., бывший нач. механического цеха завода № 33. Осужден ВК Верхсуда СССР 29.05.40 г. по ст. 58-1а, 58-7-9-11 УК на 10 лет. </w:t>
      </w:r>
    </w:p>
    <w:p w14:paraId="7263D6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Опытный инженер-механик. Руководитель моторной бригады самолета 102. Энергичный, способный работник, хороший организатор. </w:t>
      </w:r>
    </w:p>
    <w:p w14:paraId="7B395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29. МАРОЛ Рувим Соломонович, 1896 г. р., бывший нач. бригады КБ и ведущий инженер завода № 135. Осужден ВК Верхсуда СССР 29.05.40 г. по ст. 58-7-11 УК на 10 лет. </w:t>
      </w:r>
    </w:p>
    <w:p w14:paraId="60F31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инженер-конструктор. В качестве руководителя бригады выполнил ряд конструкций по самолетам Пе-2 и 102. Самостоятельно разработал конструкции элерона и посадочных щитков, которые показали хорошие результаты. </w:t>
      </w:r>
    </w:p>
    <w:p w14:paraId="697898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МЕЕРСОН Залман Мовшевич, 1903 г.р., бывший нач. отдела вооружения ЦАГИ. Осужден ВК Верхсуда СССР 29.05.40 г. по ст. 58-7-11 УК на 10 лет. </w:t>
      </w:r>
    </w:p>
    <w:p w14:paraId="527C87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 специалист в области вооружения самолетов. Провел все основные работы по установке бомбардировочного и стрелкового вооружения на самолете 102, получившие отличную оценку комиссии по гос. испытаниям. </w:t>
      </w:r>
    </w:p>
    <w:p w14:paraId="0E6FED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31. НИМРНИЦКИЙ Матвей Александрович, 1897 г.р., бывший нач. цеха завода № 22. Осужден ВК Верхсуда СССР 29.05.40 г. по ст. 58-6 ч. 1 УК на 10 лет. </w:t>
      </w:r>
    </w:p>
    <w:p w14:paraId="76FBBA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инженер-конструктор с хорошей теоретической и практической подготовкой, обладает хорошими организаторскими способностями. Провел большую работу по конструкции самолетов Пе-2 и 102. Оказал большую практическую помощь заводу по постройке самолета 102. Дисциплинирован и инициативен. </w:t>
      </w:r>
    </w:p>
    <w:p w14:paraId="3235C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32. НУРОВ Николай Георгиевич, 1895 г.р., бывший зам. гл. конструктора завода № 81. Осужден ВК Верхсуда СССР 28.05.40 г. по ст. 58-6 на 10 лет. </w:t>
      </w:r>
    </w:p>
    <w:p w14:paraId="544D6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опытный инженер-конструктор. В качестве заместителя главного конструктора самолета 102 провел весьма большую работу по проектированию и постройке самолета 102 и своей работой способствовал успешному прохождению гос. испытаний. </w:t>
      </w:r>
    </w:p>
    <w:p w14:paraId="38CB7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33. НЕВДАЧИН Вячеслав Павлович, 1887 г.р., бывший главный инженер Маштехпромсоюза. Осужден ВК Верхсуда СССР 31.05.40 г. по ст. 58-6 ч. 1, 58-10 ч. 1 УК на 10 лет. </w:t>
      </w:r>
    </w:p>
    <w:p w14:paraId="716A0E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Квалифицированный инженер-конструктор с большим опытом практической работы в области авиации. Участвовал в работе по конструированию и изготовлению самолетов Пе-2, ТУ-2 и 102. К работе относится добросовестно и аккуратно. </w:t>
      </w:r>
    </w:p>
    <w:p w14:paraId="0CC0AB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34. ПОЛИЩУК Константин Ефимович, 1897 г.р., бывший нач. Военно-электротехнич. Академии КА. Осужден Особым Совещанием при НКВД СССР 2 июля 1939 г. по ст. 58-7-10-11 на 8 лет ИТЛ. </w:t>
      </w:r>
    </w:p>
    <w:p w14:paraId="56860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опытный инженер-электрик, руководитель бригады электрорадиооборудования самолета 102. Удачно решил ряд сложных конструктивных проблем, связанных с электрорадиооборудованием самолета. Инициативен, энергичен и настойчив. </w:t>
      </w:r>
    </w:p>
    <w:p w14:paraId="6F8ADA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35. ПРОЦЕНКО Иван Кузьмич, 1899 г.р., бывший зам. нач. ЦАГИ по научной части. Осужден ВК Верхсуда СССР 28.05.40 г. по ст. 58-1а, 58-7 УК на 10 лет. </w:t>
      </w:r>
    </w:p>
    <w:p w14:paraId="3CE0A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 с большими теоретическими познаниями. Участвовал в конструировании и изготовлении самолетов Пе-2, ТУ-2 и 102. Руководил разработкой конструкции нового трехколесного шасси. В работе проявил большую творческую инициативу и способность. К поручаемым обязанностям относится добросовестно. </w:t>
      </w:r>
    </w:p>
    <w:p w14:paraId="10A36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36. ТРУНОВ Константин Иванович, 1896 г.р., бывш. преподаватель тактики Военно-Воздушной Академии им. Жуковского. Осужден ВК Верхсуда СССР 29.05.40 г. по ст. 58-6 на 10 лет ИТЛ. Крупный специалист в области тактики авиации. За время работы в 4-м Спецотделе НКВД СССР разработал ряд вопросов по тактическому применению проектируемых в 4-м Спецотделе самолетов. Поручаемые работы выполняет аккуратно и добросовестно, проявляя при этом инициативу и настойчивость. </w:t>
      </w:r>
    </w:p>
    <w:p w14:paraId="68576B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37. ШАТАЛОВ Юрий Трофимович, 1902 г.р., бывш. нач. конструкторского отдела завода № 21. Осужден ВК Верхсуда СССР 28.05.40 г. по ст. 58-9-11 на 10 лет ИТЛ. </w:t>
      </w:r>
    </w:p>
    <w:p w14:paraId="7CCB4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 гл. конструктора самолета 102. Опытный, квалиф. инженер, хорошо знающий производство самолетов. </w:t>
      </w:r>
    </w:p>
    <w:p w14:paraId="1DF70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Руководил проведением всех динамических и статических испытаний самолета «102» и активно участвовал по внедрению опытного самолета в производство. </w:t>
      </w:r>
    </w:p>
    <w:p w14:paraId="28B19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38. ШЕКУНОВ Евграф Порфирьевич, 1894 г.р., бывш. главный инженер завода № 1. Осужден ВК Верхсуда СССР 14.05.39 г. по ст. 58-7, 17-58-8-9-11 на 20 лет ИТЛ. </w:t>
      </w:r>
    </w:p>
    <w:p w14:paraId="3F7AF5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Высококвалифицированный инженер-технолог, с большим опытом практической руководящей работы. Инициативный, энергичный специалист. Провел большую работу по технологии производства самолетов Пе-2 и 102. Работал гл. технологом в сборочных цехах и своей работой во многом способствовал быстрейшему внедрению опытных самолетов. </w:t>
      </w:r>
    </w:p>
    <w:p w14:paraId="6B370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 4 спецотдела НКВД СССР В. КРАВЧЕНКО </w:t>
      </w:r>
    </w:p>
    <w:p w14:paraId="39AC3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АП РФ. Ф. 3. Оп. 58. Д. 142. Л. 114—121. Подлинник. Машинопись. </w:t>
      </w:r>
    </w:p>
    <w:p w14:paraId="1E4138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первом листе имеется резолюция: «Товарищу Берия. Согласен. И. Сталин». </w:t>
      </w:r>
    </w:p>
    <w:p w14:paraId="4733A9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9CBA5"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9 августа 1943 старший лейтенант И.Д. Полосухин (ранее бывший коман</w:t>
      </w:r>
      <w:r w:rsidRPr="00271E51">
        <w:rPr>
          <w:rFonts w:ascii="Times New Roman" w:hAnsi="Times New Roman"/>
          <w:color w:val="000000" w:themeColor="text1"/>
          <w:sz w:val="16"/>
          <w:szCs w:val="16"/>
        </w:rPr>
        <w:softHyphen/>
        <w:t>диром эскадрильи в 1-й авиатранс</w:t>
      </w:r>
      <w:r w:rsidRPr="00271E51">
        <w:rPr>
          <w:rFonts w:ascii="Times New Roman" w:hAnsi="Times New Roman"/>
          <w:color w:val="000000" w:themeColor="text1"/>
          <w:sz w:val="16"/>
          <w:szCs w:val="16"/>
        </w:rPr>
        <w:softHyphen/>
        <w:t>портной дивизии ГВФ) закончил курс переучивания на Москито. Вместе с ним готовился штурман лейтенант Кекишев. В сен</w:t>
      </w:r>
      <w:r w:rsidRPr="00271E51">
        <w:rPr>
          <w:rFonts w:ascii="Times New Roman" w:hAnsi="Times New Roman"/>
          <w:color w:val="000000" w:themeColor="text1"/>
          <w:sz w:val="16"/>
          <w:szCs w:val="16"/>
        </w:rPr>
        <w:softHyphen/>
        <w:t>тябре в Эррол доставили самолет, действительно предназначенный для перегонки. Это был «Москито» B.IV с номером DK296, оснащенный моторами «Мерлин» 21. Бомбардировщик уже по</w:t>
      </w:r>
      <w:r w:rsidRPr="00271E51">
        <w:rPr>
          <w:rFonts w:ascii="Times New Roman" w:hAnsi="Times New Roman"/>
          <w:color w:val="000000" w:themeColor="text1"/>
          <w:sz w:val="16"/>
          <w:szCs w:val="16"/>
        </w:rPr>
        <w:softHyphen/>
        <w:t>воевал, его выпустили весной 1942 г., он служил в 105-й эскадрилье Королевских ВВС и совершил 15 боевых вылетов. Последний из них закончился рядом боевых повреждений и ремонтом в 10-й части обслуживания (мастерских). По- видимому, именно там самолет подгото</w:t>
      </w:r>
      <w:r w:rsidRPr="00271E51">
        <w:rPr>
          <w:rFonts w:ascii="Times New Roman" w:hAnsi="Times New Roman"/>
          <w:color w:val="000000" w:themeColor="text1"/>
          <w:sz w:val="16"/>
          <w:szCs w:val="16"/>
        </w:rPr>
        <w:softHyphen/>
        <w:t>вили к перелету в СССР. В бомбоотсеке поставили дополнительный бензобак на 550 л, демонтировали бомбодержатели и управление створками бомболюка.</w:t>
      </w:r>
    </w:p>
    <w:p w14:paraId="41064B5D"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5 октября экипаж был готов к вылету в Москву. Самолет должен был идти по тому же маршруту, по которому перегоняли «Албемарлы». 24 октября уже при</w:t>
      </w:r>
      <w:r w:rsidRPr="00271E51">
        <w:rPr>
          <w:rFonts w:ascii="Times New Roman" w:hAnsi="Times New Roman"/>
          <w:color w:val="000000" w:themeColor="text1"/>
          <w:sz w:val="16"/>
          <w:szCs w:val="16"/>
        </w:rPr>
        <w:softHyphen/>
        <w:t>готовились стартовать, но лопнула трубка кислородной системы и полет отложили. Весь ноябрь бомбарди</w:t>
      </w:r>
      <w:r w:rsidRPr="00271E51">
        <w:rPr>
          <w:rFonts w:ascii="Times New Roman" w:hAnsi="Times New Roman"/>
          <w:color w:val="000000" w:themeColor="text1"/>
          <w:sz w:val="16"/>
          <w:szCs w:val="16"/>
        </w:rPr>
        <w:softHyphen/>
        <w:t>ровщик простоял на аэродроме из-за неблагоприятных прогнозов погоды. 9 декабря поступил приказ вылетать, но в полночь из Москвы по телефону сообщили об очень плохой погоде уже в районе столицы и отмене рейса.</w:t>
      </w:r>
    </w:p>
    <w:p w14:paraId="29860122"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этого пошли долгие месяцы ожидания. Полосухин и Кекишев пери</w:t>
      </w:r>
      <w:r w:rsidRPr="00271E51">
        <w:rPr>
          <w:rFonts w:ascii="Times New Roman" w:hAnsi="Times New Roman"/>
          <w:color w:val="000000" w:themeColor="text1"/>
          <w:sz w:val="16"/>
          <w:szCs w:val="16"/>
        </w:rPr>
        <w:softHyphen/>
        <w:t>одически поднимались в воздух то на своем B.IV, то на учебном T.III, совершая полеты продолжительностью от 25 ми</w:t>
      </w:r>
      <w:r w:rsidRPr="00271E51">
        <w:rPr>
          <w:rFonts w:ascii="Times New Roman" w:hAnsi="Times New Roman"/>
          <w:color w:val="000000" w:themeColor="text1"/>
          <w:sz w:val="16"/>
          <w:szCs w:val="16"/>
        </w:rPr>
        <w:softHyphen/>
        <w:t>нут до часа, в том числе один ночной (18 января 1944 г.).</w:t>
      </w:r>
    </w:p>
    <w:p w14:paraId="14E640BB"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апреля 1944 г. наконец пришел долгожданный приказ о старте в Совет</w:t>
      </w:r>
      <w:r w:rsidRPr="00271E51">
        <w:rPr>
          <w:rFonts w:ascii="Times New Roman" w:hAnsi="Times New Roman"/>
          <w:color w:val="000000" w:themeColor="text1"/>
          <w:sz w:val="16"/>
          <w:szCs w:val="16"/>
        </w:rPr>
        <w:softHyphen/>
        <w:t>ский Союз, но теперь испортилась по</w:t>
      </w:r>
      <w:r w:rsidRPr="00271E51">
        <w:rPr>
          <w:rFonts w:ascii="Times New Roman" w:hAnsi="Times New Roman"/>
          <w:color w:val="000000" w:themeColor="text1"/>
          <w:sz w:val="16"/>
          <w:szCs w:val="16"/>
        </w:rPr>
        <w:softHyphen/>
        <w:t>года в Шотландии. После консультации с английской метеослужбой перелет опять отменили. 16 апреля советские летчики провели еще один тренировоч</w:t>
      </w:r>
      <w:r w:rsidRPr="00271E51">
        <w:rPr>
          <w:rFonts w:ascii="Times New Roman" w:hAnsi="Times New Roman"/>
          <w:color w:val="000000" w:themeColor="text1"/>
          <w:sz w:val="16"/>
          <w:szCs w:val="16"/>
        </w:rPr>
        <w:softHyphen/>
        <w:t>ный полет на «своем» бомбардиров</w:t>
      </w:r>
      <w:r w:rsidRPr="00271E51">
        <w:rPr>
          <w:rFonts w:ascii="Times New Roman" w:hAnsi="Times New Roman"/>
          <w:color w:val="000000" w:themeColor="text1"/>
          <w:sz w:val="16"/>
          <w:szCs w:val="16"/>
        </w:rPr>
        <w:softHyphen/>
        <w:t>щике. Ночью 19 апреля «Москито» все- таки поднялся в воздух и взял курс на Москву. Самолет прошел над Северным морем, Швецией, Балтийским морем, над оккупированными немцами терри</w:t>
      </w:r>
      <w:r w:rsidRPr="00271E51">
        <w:rPr>
          <w:rFonts w:ascii="Times New Roman" w:hAnsi="Times New Roman"/>
          <w:color w:val="000000" w:themeColor="text1"/>
          <w:sz w:val="16"/>
          <w:szCs w:val="16"/>
        </w:rPr>
        <w:softHyphen/>
        <w:t>ториями и рано утром приземлился на подмосковном аэродроме Внуково.</w:t>
      </w:r>
    </w:p>
    <w:p w14:paraId="604E156E"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Внукове самолет пробыл недолго и ни разу не поднимался в воздух. С 25 апреля он уже находился в ЛИИ, где на</w:t>
      </w:r>
      <w:r w:rsidRPr="00271E51">
        <w:rPr>
          <w:rFonts w:ascii="Times New Roman" w:hAnsi="Times New Roman"/>
          <w:color w:val="000000" w:themeColor="text1"/>
          <w:sz w:val="16"/>
          <w:szCs w:val="16"/>
        </w:rPr>
        <w:softHyphen/>
        <w:t>чались летные испытания. Ведущим ин</w:t>
      </w:r>
      <w:r w:rsidRPr="00271E51">
        <w:rPr>
          <w:rFonts w:ascii="Times New Roman" w:hAnsi="Times New Roman"/>
          <w:color w:val="000000" w:themeColor="text1"/>
          <w:sz w:val="16"/>
          <w:szCs w:val="16"/>
        </w:rPr>
        <w:softHyphen/>
        <w:t>женером на них являлся B.C. Панкратов, а пилотировал бомбардировщик Н.С. Рыбко (19655).</w:t>
      </w:r>
    </w:p>
    <w:p w14:paraId="2E991273" w14:textId="77777777" w:rsidR="002B06C1" w:rsidRPr="00271E51" w:rsidRDefault="002B06C1" w:rsidP="00271E51">
      <w:pPr>
        <w:spacing w:after="0" w:line="240" w:lineRule="auto"/>
        <w:jc w:val="both"/>
        <w:rPr>
          <w:rFonts w:ascii="Times New Roman" w:hAnsi="Times New Roman"/>
          <w:color w:val="000000" w:themeColor="text1"/>
          <w:sz w:val="16"/>
          <w:szCs w:val="16"/>
        </w:rPr>
      </w:pPr>
    </w:p>
    <w:p w14:paraId="4165986C"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1954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0D06E"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9 августа 1943 года по запросу ГБТУ КА помощник командующего БТ и МВ Северокавказского фронта инженер-подполковник Калинин прислал краткую справку о применении «Тетрарха»:</w:t>
      </w:r>
    </w:p>
    <w:p w14:paraId="3C78B64C"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«МК-7 – лёгкий, скоростной танк, предназначенный для сопровождения автоколонн (последнее предположительно).</w:t>
      </w:r>
    </w:p>
    <w:p w14:paraId="7DF64D22"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Броня тонкая и низкого качества – пробивается осколками мин. Поворот танка осуществляется при помощи рулевого управления.</w:t>
      </w:r>
    </w:p>
    <w:p w14:paraId="6CFA1526"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Привод рулевого управления на передние колёса через рулевые тяги, которые довольно часто выходят из строя (ломаются).</w:t>
      </w:r>
    </w:p>
    <w:p w14:paraId="510A4020"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Подвеска танка осуществляется посредством гидравлических амортизаторов, которые при эксплуатации на плохих дорогах ослабевают и при поломке амортизационных тяг (случаи такие были) не удерживают корпус танка, и катки подворачиваются под днище.</w:t>
      </w:r>
    </w:p>
    <w:p w14:paraId="114AE611"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Конструктивным недостатком МК-7 являются быстрый износ шестерен 1–2 передачи, шестерен задней скорости КПП и шестерен конечной пары бортовой передачи.</w:t>
      </w:r>
    </w:p>
    <w:p w14:paraId="0168D6DF"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bCs/>
          <w:iCs/>
          <w:color w:val="000000" w:themeColor="text1"/>
          <w:sz w:val="16"/>
          <w:szCs w:val="16"/>
          <w:lang w:eastAsia="ru-RU"/>
        </w:rPr>
        <w:t>ВЫВОДЫ</w:t>
      </w:r>
    </w:p>
    <w:p w14:paraId="2E07E16F"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1. Танк МК-7, имея сравнительно мощный двигатель (120 л.с.), обладает большой скоростью.</w:t>
      </w:r>
    </w:p>
    <w:p w14:paraId="7F60308B"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2. Имея слабую ходовую часть, коробку перемены передач и бортовую передачу, должен использоваться в условиях хороших (не каменистых) проселочных дорог.</w:t>
      </w:r>
    </w:p>
    <w:p w14:paraId="28334C4E"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3. Танк малоповоротлив и поэтому должен применяться только на малопересеченной местности, где можно избежать резких поворотов.</w:t>
      </w:r>
    </w:p>
    <w:p w14:paraId="53031BAF"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4. Танк имеет слабую броню (гораздо слабее легких отечественных танков), которая служит очень слабой защитой для экипажа.</w:t>
      </w:r>
    </w:p>
    <w:p w14:paraId="3949F020"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Целесообразно использовать для сопровождения автоколонн в условиях возможных засад автоматчиков противника.</w:t>
      </w:r>
    </w:p>
    <w:p w14:paraId="648DD683"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iCs/>
          <w:color w:val="000000" w:themeColor="text1"/>
          <w:sz w:val="16"/>
          <w:szCs w:val="16"/>
          <w:lang w:eastAsia="ru-RU"/>
        </w:rPr>
        <w:t>Танк МК-7 может быть также использован для преследования и отрезания путей отхода поспешно отступающего противника, когда у него совершенно нарушена противотанковая оборона».</w:t>
      </w:r>
    </w:p>
    <w:p w14:paraId="306B4618"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Спустя неделю, 15 августа, пришло, наконец, заключение об испытаниях «Тетрарха» на НИИБТ Полигоне. Стоит напомнить, что туда танк был отправлен ещё в середине июля 1942 года. Вместо полноценной работы были проведены кратковременные испытания, отчёт о которых занял целых 9 листов, написанных вручную. По итогам было дано заключение, что танк МК-VII представляет собой сложную по конструкции, маломанёвренную машину со слабой бронёй. По этой причине она не представляет собой интерес как боевая единица в армии. Как говорится, лучше поздно, чем никогда (17648).</w:t>
      </w:r>
    </w:p>
    <w:p w14:paraId="1E6CCCC7"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4EF8C1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г. по приказу НКБ № 772с на месте эвакуированного завода № 513 на площадке НКСМ был создан Завод № 359 (Завод № 359 НКБ, ОАО «Ростовский-на-Дону завод «Рубин» Росбоеприпаса /340010  г. Ростов-на-Дону ул. Красноармейская, 157/). В 11.1943 г. - в ведении 5ГУ, в 09.1944 г. - в ведении 8ГУ НКБ.</w:t>
      </w:r>
    </w:p>
    <w:p w14:paraId="382E3D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08.1943 г. начато производство эмаль-посуды. Далее это - завод «Рубин».</w:t>
      </w:r>
    </w:p>
    <w:p w14:paraId="60E7A0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1998 г. велась процедура банкротства предприятия, но была прекращена. По Указу Президента РФ № 1009 от 4.08.2004 г. вошло в число стратегических оборонных предприятий.</w:t>
      </w:r>
    </w:p>
    <w:p w14:paraId="311313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(2000-е): посуда (кастрюли, чайники, ковши, турки для кофе, сковороды).</w:t>
      </w:r>
    </w:p>
    <w:p w14:paraId="43CDDE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г.)- 309 чел.</w:t>
      </w:r>
      <w:r w:rsidRPr="00271E51">
        <w:rPr>
          <w:rFonts w:ascii="Times New Roman" w:hAnsi="Times New Roman"/>
          <w:color w:val="000000" w:themeColor="text1"/>
          <w:sz w:val="16"/>
          <w:szCs w:val="16"/>
          <w:vertAlign w:val="superscript"/>
        </w:rPr>
        <w:t>132</w:t>
      </w:r>
    </w:p>
    <w:p w14:paraId="4BCDF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(1955 г.-)- И.П. Канатов. Арбитражный управляющий (1990-е)- Ф. Г. Глонти.</w:t>
      </w:r>
    </w:p>
    <w:p w14:paraId="38806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6A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вышло Распоряжение ГКО № 3902. О мобилизации 1,5 тыс. человек в Приморском крае на строительство оборонительных рубежей ТОФ.РГАНИР, Фонд ГКО, д. 145, лл. 1 (11012).</w:t>
      </w:r>
    </w:p>
    <w:p w14:paraId="1C570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758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директор минометного завода «Двигатель революции» Никитин писал наркому минометного вооружения Паршину:  «На данный момент закрыты световые проемы, восстановлена часть зданий цехов, частично отремонтировано электроснабжение, отдельные поврежденные станки. Однако основные трудоемкие работы идут чрезвычайно медленно. Не хватает автотранспорта, не хватает стройматериалов». В итоге строительные работы растянулись до зимы. В октябре были только еще разобраны завалы на месте бывшего материального склада завода. Жилой же фонд предприятия вообще был брошен на произвол судьбы, и потерявшим квартиры жителям пришлось «уплотняться» (11774).</w:t>
      </w:r>
    </w:p>
    <w:p w14:paraId="04C91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AE64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C1CB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BAEB8B"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в 1943 году оперативная сводка Совинформбюро:</w:t>
      </w:r>
    </w:p>
    <w:p w14:paraId="2BEB1667"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августа наши войска на Брянском направлении, преодолевая сопротивление противника, продолжали наступление и, продвинувшисьвперёд от 6 до 12 километров, заняли свыше 80 населённых пунктов и среди нихкрупные населённые пункты: Коневка, Меловое (40 километров западнее Орла), Кривцово, Борщёвка, Дубрава, Кирово (22 километра западнее Кромы) ижелезнодорожную станцию Шахово (34 километра западнее Орла).</w:t>
      </w:r>
    </w:p>
    <w:p w14:paraId="74C73E43"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 развивать наступление и, продвинувшись вперёд от 15 до 25 километров, заняли свыше 100 населённых пунктов, в том числе город и железнодорожную станцию Тростянец, железнодорожные станции Купьеваха, Максимовка, Черноглазовка, Цуповка, Слатино (19 километров севернее Харькова) и крупные населённые пункты Солдатское, Катанское, Мурафа, Александровна, Хрущевая Никитовка (48 километров западнее Харькова), Камышеваха, Малые Проходы, Муром, Терновая, Рубежное (40 километров северо-восточнее Харькова, на западном берегу Северного Донца). На Харьковском направлении нашими войсками за 7 и 8 августа взяты следующие трофеи: танков—212, орудий разного калибра — 139, миномётов — 96, пулемётов — 323, автомашин —618, радиостанций — 30, складов разных — 11, лошадей с повозками — 500 и 315 железнодорожных вагонов с боеприпасами, продовольствием и военным имуществом.</w:t>
      </w:r>
    </w:p>
    <w:p w14:paraId="1AAC902C"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фронтах наши войска вели разведку и артиллерийско-миномётную перестрелку с противником.</w:t>
      </w:r>
    </w:p>
    <w:p w14:paraId="692396F6"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августа на всех фронтах наши войска подбили и уничтожили 69 немецких танков. В воздушных боях и огнём зенитной артиллерии сбито 80 самолётов противника.</w:t>
      </w:r>
    </w:p>
    <w:p w14:paraId="1563574D"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1F18E916"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наши войска, преодолевая упорное сопротивление противника, продвинулись вперёд и овладели 22 населёнными пунктами. В этих боях истреблено свыше 1.000 солдат и офицеров противника. На одном участке крупные силы пехоты и 40 танков противника перешли в контратаку. Наши бойцы отбили атаку гитлеровцев. В результате боя подбито 10 танков и уничтожено до батальона немецкой пехоты.</w:t>
      </w:r>
    </w:p>
    <w:p w14:paraId="19B2A8BE"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Орла наши войска продолжали продвигаться вперёд, заняли железнодорожную станцию Шахово (34 километра западнее Орла) и ряд населённых пунктов. В боях на этом участке противник несёт тяжёлые потери в живой силе и технике, о чем свидетельствуют следующие факты: в районе железнодорожной станции Шахово, в одном населённом пункте, нашими частями обнаружены десятки немецких танков, подбитых в последних боях огнём советской артиллерии; захваченные на этом участке в плен солдаты и офицеры противника сообщили, что 253 немецкая пехотная дивизия в боях за последние три дня потеряла до половины своего личного состава.</w:t>
      </w:r>
    </w:p>
    <w:p w14:paraId="760039E4"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Кромы наши части заняли 36 населённых пунктов. Уничтожено 800 немецких солдат и офицеров, 8 полевых и 2 самоходных орудия, 30 пулемётов и 13 миномётов. Захвачены у противника 14 орудий, 36 пулемётов, 4 радиостанции и другие трофеи. Взяты пленные.</w:t>
      </w:r>
    </w:p>
    <w:p w14:paraId="01B9DADD"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успешное наступление. Части Н-ского соединения, с боями продвигаясь вперёд, овладели городом и железнодорожной станцией Тростянец. В районе города советские бойцы обнаружили немецкий концентрационный лагерь и освободили томившихся в нём советских граждан. На другом участке немцы, с целью остановить наступление наших войск, спешно подбросили крупные силы пехоты и танков. Части Н-ского соединения вступили в бой с подошедшими резервами противника и в течение дня подбили и уничтожили 26 немецких танков, 34 орудия и истребили более 1.500 гитлеровцев. Взято в плен свыше 200 солдат противника. Захвачены два крупных вещевых склада и склад со снарядами. Гвардейцы-танкисты, преследуя отступающего противника, подбили 8 вражеских танков, уничтожили 7 самоходных орудий и 36 орудий разного калибра. Наши части стремительными ударами овладели несколькими железнодорожными станциями и захватили большие трофеи.</w:t>
      </w:r>
    </w:p>
    <w:p w14:paraId="520E0DA7"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Изюма бойцы Н-ского соединения отбили несколько контратак противника. На поле боя немцы оставили более 200 трупов своих солдат иофицеров.</w:t>
      </w:r>
    </w:p>
    <w:p w14:paraId="002E9072"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наносить удары по скоплениям железнодорожных эшелонов и автоколоннам противника. На станциях Барвенково, Красноград, Гусаровка, Лозовая прямыми попаданиями бомб разбито 7 железнодорожных составов и подожжён склад с горючим. Уничтожено до 200 автомашин и 50 автоцистерн противника.</w:t>
      </w:r>
    </w:p>
    <w:p w14:paraId="1568288E"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налёта наших штурмовиков на колонны противника огнём зенитной артиллерии был подбит самолёт командира группы штурмовиков майора Столярова. Майор совершил вынужденную посадку на территории, занятой противником. Младший лейтенант Масленников посадил свою машину рядом с подбитым самолётом командира, уступил своё место майору Столярову, а сам вместе со стрелком подбитой машины сержантом Терло устроился на плоскостях самолёта. На глазах у оторопевших немцев советские лётчики поднялись в воздух и благополучно вернулись на свой аэродром.</w:t>
      </w:r>
    </w:p>
    <w:p w14:paraId="57E87979"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Наши лётчики потопили в Финском заливе два сторожевых корабля противника.</w:t>
      </w:r>
    </w:p>
    <w:p w14:paraId="0C88ED69"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Вилейской области, в конце июля разгромил два немецких гарнизона. В ожесточённых боях на улицах населённых пунктов партизаны истребили до 200 гитлеровцев. Разгромлены управление немецкой жандармерии и несколько полицейских участков. Взято 55 пленных. Партизаны-подрывники взорвали 14 шоссейных мостов, уничтожив при этом 40 немецких солдат и офицеров. Другой отряд вилейских партизан 3 августа, пустил под откос вражеский эшелон с горючим. Сгорело 25 цистерн.</w:t>
      </w:r>
    </w:p>
    <w:p w14:paraId="7C0881A6" w14:textId="77777777" w:rsidR="00E97B64" w:rsidRPr="00271E51" w:rsidRDefault="00E97B6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сообщалось в советской печати, на сторону Красной Армии 9 июля перешёл командир 7 роты 11 мотополка 9 немецкой танковой дивизии обер-лейтенант Ганс Франкенфельд. На днях на нашу сторону перешли ещё 8 солдат и один унтер-офицер 6 роты того же полка. Один из перебежчиков рассказал: «Официально было объявлено, что Франкенфельд пропал без вести, однако все знают, что он перешёл к русским. Этот факт вызвал смятение и замешательство. Франкенфельд известен в дивизии как образованный, храбрый офицер и один из лучших командиров. Солдаты и унтер-офицеры говорили между собой, что обер-лейтенант Франкенфельд знает, что он делает. Если он сложил оружие, значит, положение безвыходное. Если он ушёл к русским, значит, нет никаких надежд на победу Германии. Решение Франкенфельда я считаю правильным. Я понял, что промедление смерти подобно и что надо перейти на сторону русских, иначе мы погибнем так же, как погибли в последних боях сотни солдат нашего батальона. Я. сумел убедить солдат своего отделения сдаться в плен русским. Мы принесли с собой два лёгких пулемёта и 4 запасных ствола к ним, 6 ящиков с патронами и пулемётными лентами и 2 бинокля. Всё это мы в полной исправности сдали русским» (14978).</w:t>
      </w:r>
    </w:p>
    <w:p w14:paraId="6D62B975" w14:textId="77777777" w:rsidR="00E97B64" w:rsidRPr="00271E51" w:rsidRDefault="00E97B64" w:rsidP="00271E51">
      <w:pPr>
        <w:spacing w:after="0" w:line="240" w:lineRule="auto"/>
        <w:jc w:val="both"/>
        <w:rPr>
          <w:rFonts w:ascii="Times New Roman" w:hAnsi="Times New Roman"/>
          <w:color w:val="000000" w:themeColor="text1"/>
          <w:sz w:val="16"/>
          <w:szCs w:val="16"/>
        </w:rPr>
      </w:pPr>
    </w:p>
    <w:p w14:paraId="7F71B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младший лейтенант Лобачев на Спитфайре в бою с двумя "мессершмиттами" израсходовал все боеприпасы. Возвращаясь на свой аэродром, он обнаружил ФВ 189. Ударом плоско</w:t>
      </w:r>
      <w:r w:rsidRPr="00271E51">
        <w:rPr>
          <w:rFonts w:ascii="Times New Roman" w:hAnsi="Times New Roman"/>
          <w:color w:val="000000" w:themeColor="text1"/>
          <w:sz w:val="16"/>
          <w:szCs w:val="16"/>
        </w:rPr>
        <w:softHyphen/>
        <w:t>сти Лобачев отрубил немецкому са</w:t>
      </w:r>
      <w:r w:rsidRPr="00271E51">
        <w:rPr>
          <w:rFonts w:ascii="Times New Roman" w:hAnsi="Times New Roman"/>
          <w:color w:val="000000" w:themeColor="text1"/>
          <w:sz w:val="16"/>
          <w:szCs w:val="16"/>
        </w:rPr>
        <w:softHyphen/>
        <w:t>молету хвостовое оперение; его экипаж взяли в плен (10790).</w:t>
      </w:r>
    </w:p>
    <w:p w14:paraId="496AD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EDE0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5187F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EE52DF"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в 1943 году началась операция "Эваланс" (штурм Салерно), ставшая черным часом "Сифайров". 106 самолетов "Сифайр" «LMk.IIC» с пяти эскортных авианосцев осуществляли воздушное прикрытие кораблей. Стоял полный штиль. Истребители при посадке не могли использовать встречный ветер, часто проскакивали тросы аэрофинишера, обрывали крюки. За два дня разбилось 42 самолета. В итоге стало ясно, что посадочный крюк недостаточно прочен, и в начале сентября Эрик Браун испытал на эскортном авианосце "Ревейджер" "Сифайр" с усиленным крюком, ставшим потом стандартным для всех самолетов «Mk.II». Массовая гибель "Сифайров" в операции "Эваланс" сильно подорвала их репутацию (14978).</w:t>
      </w:r>
    </w:p>
    <w:p w14:paraId="7CEE0C13" w14:textId="77777777" w:rsidR="00173575" w:rsidRPr="00271E51" w:rsidRDefault="00173575" w:rsidP="00271E51">
      <w:pPr>
        <w:spacing w:after="0" w:line="240" w:lineRule="auto"/>
        <w:jc w:val="both"/>
        <w:rPr>
          <w:rFonts w:ascii="Times New Roman" w:hAnsi="Times New Roman"/>
          <w:color w:val="000000" w:themeColor="text1"/>
          <w:sz w:val="16"/>
          <w:szCs w:val="16"/>
        </w:rPr>
      </w:pPr>
    </w:p>
    <w:p w14:paraId="6D278451"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9–10 августа (ночь) 1943 457 британских бомбардировщиков атакуют Мангейм, Германия, и сбрасывают бомбы не точно из-за облачности. Девять не возвращаются (20376).</w:t>
      </w:r>
    </w:p>
    <w:p w14:paraId="200C10BD" w14:textId="77777777" w:rsidR="00DC7544" w:rsidRPr="00271E51" w:rsidRDefault="00DC7544" w:rsidP="00271E51">
      <w:pPr>
        <w:spacing w:after="0" w:line="240" w:lineRule="auto"/>
        <w:jc w:val="both"/>
        <w:rPr>
          <w:rFonts w:ascii="Times New Roman" w:hAnsi="Times New Roman"/>
          <w:color w:val="0070C0"/>
          <w:sz w:val="16"/>
          <w:szCs w:val="16"/>
        </w:rPr>
      </w:pPr>
    </w:p>
    <w:p w14:paraId="09EAD923"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августа 1943 - Началась операция "Эваланс" (штурм Салерно), ставшая черным часом "Сифайров". 106 самолетов "Сифайр" LMk.IIC с пяти эскортных авианосцев осуществляли воздушное прикрытие кораблей. Стоял полный штиль. Истребители при посадке не могли использовать встречный ветер, часто проскакивали тросы аэрофинишера, обрывали крюки. За два дня разбилось 42 самолета. В итоге стало ясно, что посадочный крюк недостаточно прочен, и в начале сентября Эрик Браун испытал на эскортном авианосце "Ревейджер" "Сифайр" с усиленным крюком, ставшим потом стандартным для всех самолетов Mk.II. Массовая гибель "Сифайров" в операции "Эваланс" сильно подорвала их репутацию (22404).</w:t>
      </w:r>
    </w:p>
    <w:p w14:paraId="1198C938" w14:textId="77777777" w:rsidR="00DC7544" w:rsidRPr="00271E51" w:rsidRDefault="00DC7544" w:rsidP="00271E51">
      <w:pPr>
        <w:spacing w:after="0" w:line="240" w:lineRule="auto"/>
        <w:jc w:val="both"/>
        <w:rPr>
          <w:rFonts w:ascii="Times New Roman" w:hAnsi="Times New Roman"/>
          <w:color w:val="0070C0"/>
          <w:sz w:val="16"/>
          <w:szCs w:val="16"/>
        </w:rPr>
      </w:pPr>
    </w:p>
    <w:p w14:paraId="535237A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в Анкаре достигнуто секретное соглашение Англии и Венгрии: венгры пообещали не сбивать английские самолеты, летящие в Италию, в обмен на обещание англичан не бомбить Венгрию (4962).</w:t>
      </w:r>
    </w:p>
    <w:p w14:paraId="142DDA2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71E3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августа 1943 в Крейсау (Силезия) граф Г. фон Мольтке собрал ряд немецких диссидентов для организации свержения режима Гитлера (4962).</w:t>
      </w:r>
    </w:p>
    <w:p w14:paraId="17EF6DE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58717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706AD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2EF0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10 августа 1943 с завода № 207 был получен броне-корпус С-42 и заложен в стапеля 44-го цеха. Хвостовая деревянная часть, центроплан, щитки, элероны и руль поворота были полностью готовы, а крыло, стабилизатор и руль высоты - начаты по сборке. Однако к сере</w:t>
      </w:r>
      <w:r w:rsidRPr="00271E51">
        <w:rPr>
          <w:rFonts w:ascii="Times New Roman" w:hAnsi="Times New Roman"/>
          <w:color w:val="000000" w:themeColor="text1"/>
          <w:sz w:val="16"/>
          <w:szCs w:val="16"/>
        </w:rPr>
        <w:softHyphen/>
        <w:t>дине месяца работы по самолету фактически остановились. Военпре</w:t>
      </w:r>
      <w:r w:rsidRPr="00271E51">
        <w:rPr>
          <w:rFonts w:ascii="Times New Roman" w:hAnsi="Times New Roman"/>
          <w:color w:val="000000" w:themeColor="text1"/>
          <w:sz w:val="16"/>
          <w:szCs w:val="16"/>
        </w:rPr>
        <w:softHyphen/>
        <w:t>ды забили тревогу. Директор завода А. А. Белянский вынужден был "реа</w:t>
      </w:r>
      <w:r w:rsidRPr="00271E51">
        <w:rPr>
          <w:rFonts w:ascii="Times New Roman" w:hAnsi="Times New Roman"/>
          <w:color w:val="000000" w:themeColor="text1"/>
          <w:sz w:val="16"/>
          <w:szCs w:val="16"/>
        </w:rPr>
        <w:softHyphen/>
        <w:t>гировать". Своим приказом от 23 августа он потребовал от производ</w:t>
      </w:r>
      <w:r w:rsidRPr="00271E51">
        <w:rPr>
          <w:rFonts w:ascii="Times New Roman" w:hAnsi="Times New Roman"/>
          <w:color w:val="000000" w:themeColor="text1"/>
          <w:sz w:val="16"/>
          <w:szCs w:val="16"/>
        </w:rPr>
        <w:softHyphen/>
        <w:t>ственников передать С-42 на ЛИС завода к 15 сентября. Однако этот шаг Белянского, как оказалось впос</w:t>
      </w:r>
      <w:r w:rsidRPr="00271E51">
        <w:rPr>
          <w:rFonts w:ascii="Times New Roman" w:hAnsi="Times New Roman"/>
          <w:color w:val="000000" w:themeColor="text1"/>
          <w:sz w:val="16"/>
          <w:szCs w:val="16"/>
        </w:rPr>
        <w:softHyphen/>
        <w:t>ледствии, был своего рода страхов</w:t>
      </w:r>
      <w:r w:rsidRPr="00271E51">
        <w:rPr>
          <w:rFonts w:ascii="Times New Roman" w:hAnsi="Times New Roman"/>
          <w:color w:val="000000" w:themeColor="text1"/>
          <w:sz w:val="16"/>
          <w:szCs w:val="16"/>
        </w:rPr>
        <w:softHyphen/>
        <w:t>кой от возможных в будущем упре</w:t>
      </w:r>
      <w:r w:rsidRPr="00271E51">
        <w:rPr>
          <w:rFonts w:ascii="Times New Roman" w:hAnsi="Times New Roman"/>
          <w:color w:val="000000" w:themeColor="text1"/>
          <w:sz w:val="16"/>
          <w:szCs w:val="16"/>
        </w:rPr>
        <w:softHyphen/>
        <w:t>ков в бездействии, так как выполнять этот приказ никто не собирался. Ра</w:t>
      </w:r>
      <w:r w:rsidRPr="00271E51">
        <w:rPr>
          <w:rFonts w:ascii="Times New Roman" w:hAnsi="Times New Roman"/>
          <w:color w:val="000000" w:themeColor="text1"/>
          <w:sz w:val="16"/>
          <w:szCs w:val="16"/>
        </w:rPr>
        <w:softHyphen/>
        <w:t>боты по С-42 шли "ни шатко, ни вал</w:t>
      </w:r>
      <w:r w:rsidRPr="00271E51">
        <w:rPr>
          <w:rFonts w:ascii="Times New Roman" w:hAnsi="Times New Roman"/>
          <w:color w:val="000000" w:themeColor="text1"/>
          <w:sz w:val="16"/>
          <w:szCs w:val="16"/>
        </w:rPr>
        <w:softHyphen/>
        <w:t>ко". Согласно сводке по опытному самолетостроению от 25 сентября С-42 еще находился в состоянии сбор</w:t>
      </w:r>
      <w:r w:rsidRPr="00271E51">
        <w:rPr>
          <w:rFonts w:ascii="Times New Roman" w:hAnsi="Times New Roman"/>
          <w:color w:val="000000" w:themeColor="text1"/>
          <w:sz w:val="16"/>
          <w:szCs w:val="16"/>
        </w:rPr>
        <w:softHyphen/>
        <w:t>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w:t>
      </w:r>
      <w:r w:rsidRPr="00271E51">
        <w:rPr>
          <w:rFonts w:ascii="Times New Roman" w:hAnsi="Times New Roman"/>
          <w:color w:val="000000" w:themeColor="text1"/>
          <w:sz w:val="16"/>
          <w:szCs w:val="16"/>
        </w:rPr>
        <w:softHyphen/>
        <w:t>заводе ст. техника-лейтенанта В. Никулина, "общий объем работы" по С-42 для приведения его в летное состояние оставался всего на "2-3 дня, но завод совершенно не зани</w:t>
      </w:r>
      <w:r w:rsidRPr="00271E51">
        <w:rPr>
          <w:rFonts w:ascii="Times New Roman" w:hAnsi="Times New Roman"/>
          <w:color w:val="000000" w:themeColor="text1"/>
          <w:sz w:val="16"/>
          <w:szCs w:val="16"/>
        </w:rPr>
        <w:softHyphen/>
        <w:t>мается самолетом".</w:t>
      </w:r>
    </w:p>
    <w:p w14:paraId="61BB95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всему, 18-й авиазавод по согласованию с Ильюшиным был со</w:t>
      </w:r>
      <w:r w:rsidRPr="00271E51">
        <w:rPr>
          <w:rFonts w:ascii="Times New Roman" w:hAnsi="Times New Roman"/>
          <w:color w:val="000000" w:themeColor="text1"/>
          <w:sz w:val="16"/>
          <w:szCs w:val="16"/>
        </w:rPr>
        <w:softHyphen/>
        <w:t>риентирован в первую очередь на постройку самолета Ил-1 АМ-42, а работы по С-42, который в целом был "похож" на "следопыт" 240-го завода, велись по остаточному прин</w:t>
      </w:r>
      <w:r w:rsidRPr="00271E51">
        <w:rPr>
          <w:rFonts w:ascii="Times New Roman" w:hAnsi="Times New Roman"/>
          <w:color w:val="000000" w:themeColor="text1"/>
          <w:sz w:val="16"/>
          <w:szCs w:val="16"/>
        </w:rPr>
        <w:softHyphen/>
        <w:t>ципу. Тем более что договориться было нетрудно, так как начальником СКО был представитель ОКБ на за</w:t>
      </w:r>
      <w:r w:rsidRPr="00271E51">
        <w:rPr>
          <w:rFonts w:ascii="Times New Roman" w:hAnsi="Times New Roman"/>
          <w:color w:val="000000" w:themeColor="text1"/>
          <w:sz w:val="16"/>
          <w:szCs w:val="16"/>
        </w:rPr>
        <w:softHyphen/>
        <w:t>воде В. Н. Бугайский. Поэтому на С-42 выделялось ровно столько людей, сколько оставалось не задействован</w:t>
      </w:r>
      <w:r w:rsidRPr="00271E51">
        <w:rPr>
          <w:rFonts w:ascii="Times New Roman" w:hAnsi="Times New Roman"/>
          <w:color w:val="000000" w:themeColor="text1"/>
          <w:sz w:val="16"/>
          <w:szCs w:val="16"/>
        </w:rPr>
        <w:softHyphen/>
        <w:t>ными в работах по бронированно</w:t>
      </w:r>
      <w:r w:rsidRPr="00271E51">
        <w:rPr>
          <w:rFonts w:ascii="Times New Roman" w:hAnsi="Times New Roman"/>
          <w:color w:val="000000" w:themeColor="text1"/>
          <w:sz w:val="16"/>
          <w:szCs w:val="16"/>
        </w:rPr>
        <w:softHyphen/>
        <w:t>му истребителю и серийной продук</w:t>
      </w:r>
      <w:r w:rsidRPr="00271E51">
        <w:rPr>
          <w:rFonts w:ascii="Times New Roman" w:hAnsi="Times New Roman"/>
          <w:color w:val="000000" w:themeColor="text1"/>
          <w:sz w:val="16"/>
          <w:szCs w:val="16"/>
        </w:rPr>
        <w:softHyphen/>
        <w:t>ции завода. Очевидно, что свобод</w:t>
      </w:r>
      <w:r w:rsidRPr="00271E51">
        <w:rPr>
          <w:rFonts w:ascii="Times New Roman" w:hAnsi="Times New Roman"/>
          <w:color w:val="000000" w:themeColor="text1"/>
          <w:sz w:val="16"/>
          <w:szCs w:val="16"/>
        </w:rPr>
        <w:softHyphen/>
        <w:t>ных людей не было никогда.</w:t>
      </w:r>
    </w:p>
    <w:p w14:paraId="74562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основные усилия ОКБ Ильюшина сосредоточились на самолете Ил-2 АМ-42 в варианте разведчика и корректировщика ар</w:t>
      </w:r>
      <w:r w:rsidRPr="00271E51">
        <w:rPr>
          <w:rFonts w:ascii="Times New Roman" w:hAnsi="Times New Roman"/>
          <w:color w:val="000000" w:themeColor="text1"/>
          <w:sz w:val="16"/>
          <w:szCs w:val="16"/>
        </w:rPr>
        <w:softHyphen/>
        <w:t>тиллерийского огня.</w:t>
      </w:r>
    </w:p>
    <w:p w14:paraId="27C158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такое "разделе</w:t>
      </w:r>
      <w:r w:rsidRPr="00271E51">
        <w:rPr>
          <w:rFonts w:ascii="Times New Roman" w:hAnsi="Times New Roman"/>
          <w:color w:val="000000" w:themeColor="text1"/>
          <w:sz w:val="16"/>
          <w:szCs w:val="16"/>
        </w:rPr>
        <w:softHyphen/>
        <w:t>ние труда" было связано с поступив</w:t>
      </w:r>
      <w:r w:rsidRPr="00271E51">
        <w:rPr>
          <w:rFonts w:ascii="Times New Roman" w:hAnsi="Times New Roman"/>
          <w:color w:val="000000" w:themeColor="text1"/>
          <w:sz w:val="16"/>
          <w:szCs w:val="16"/>
        </w:rPr>
        <w:softHyphen/>
        <w:t>шими в НКАП сведениями об успеш</w:t>
      </w:r>
      <w:r w:rsidRPr="00271E51">
        <w:rPr>
          <w:rFonts w:ascii="Times New Roman" w:hAnsi="Times New Roman"/>
          <w:color w:val="000000" w:themeColor="text1"/>
          <w:sz w:val="16"/>
          <w:szCs w:val="16"/>
        </w:rPr>
        <w:softHyphen/>
        <w:t>ном прохождении двухместным штур</w:t>
      </w:r>
      <w:r w:rsidRPr="00271E51">
        <w:rPr>
          <w:rFonts w:ascii="Times New Roman" w:hAnsi="Times New Roman"/>
          <w:color w:val="000000" w:themeColor="text1"/>
          <w:sz w:val="16"/>
          <w:szCs w:val="16"/>
        </w:rPr>
        <w:softHyphen/>
        <w:t>мовиком Су-6 М-71ф государствен</w:t>
      </w:r>
      <w:r w:rsidRPr="00271E51">
        <w:rPr>
          <w:rFonts w:ascii="Times New Roman" w:hAnsi="Times New Roman"/>
          <w:color w:val="000000" w:themeColor="text1"/>
          <w:sz w:val="16"/>
          <w:szCs w:val="16"/>
        </w:rPr>
        <w:softHyphen/>
        <w:t>ных летных испытаний. По определя</w:t>
      </w:r>
      <w:r w:rsidRPr="00271E51">
        <w:rPr>
          <w:rFonts w:ascii="Times New Roman" w:hAnsi="Times New Roman"/>
          <w:color w:val="000000" w:themeColor="text1"/>
          <w:sz w:val="16"/>
          <w:szCs w:val="16"/>
        </w:rPr>
        <w:softHyphen/>
        <w:t>ющим летно-боевым качествам (ско</w:t>
      </w:r>
      <w:r w:rsidRPr="00271E51">
        <w:rPr>
          <w:rFonts w:ascii="Times New Roman" w:hAnsi="Times New Roman"/>
          <w:color w:val="000000" w:themeColor="text1"/>
          <w:sz w:val="16"/>
          <w:szCs w:val="16"/>
        </w:rPr>
        <w:softHyphen/>
        <w:t>рость, маневренность, вооружение, боевая живучесть и т.д.) "сухой" зна</w:t>
      </w:r>
      <w:r w:rsidRPr="00271E51">
        <w:rPr>
          <w:rFonts w:ascii="Times New Roman" w:hAnsi="Times New Roman"/>
          <w:color w:val="000000" w:themeColor="text1"/>
          <w:sz w:val="16"/>
          <w:szCs w:val="16"/>
        </w:rPr>
        <w:softHyphen/>
        <w:t>чительно превзошел как серийный Ил-2, так и все его варианты с мото</w:t>
      </w:r>
      <w:r w:rsidRPr="00271E51">
        <w:rPr>
          <w:rFonts w:ascii="Times New Roman" w:hAnsi="Times New Roman"/>
          <w:color w:val="000000" w:themeColor="text1"/>
          <w:sz w:val="16"/>
          <w:szCs w:val="16"/>
        </w:rPr>
        <w:softHyphen/>
        <w:t>ром АМ-42. Это была реальная и се</w:t>
      </w:r>
      <w:r w:rsidRPr="00271E51">
        <w:rPr>
          <w:rFonts w:ascii="Times New Roman" w:hAnsi="Times New Roman"/>
          <w:color w:val="000000" w:themeColor="text1"/>
          <w:sz w:val="16"/>
          <w:szCs w:val="16"/>
        </w:rPr>
        <w:softHyphen/>
        <w:t>рьезная угроза монополии брониро</w:t>
      </w:r>
      <w:r w:rsidRPr="00271E51">
        <w:rPr>
          <w:rFonts w:ascii="Times New Roman" w:hAnsi="Times New Roman"/>
          <w:color w:val="000000" w:themeColor="text1"/>
          <w:sz w:val="16"/>
          <w:szCs w:val="16"/>
        </w:rPr>
        <w:softHyphen/>
        <w:t>ванных самолетов семейства "Ил" на авиазаводах и в войсках.</w:t>
      </w:r>
    </w:p>
    <w:p w14:paraId="3F7952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никаких специаль</w:t>
      </w:r>
      <w:r w:rsidRPr="00271E51">
        <w:rPr>
          <w:rFonts w:ascii="Times New Roman" w:hAnsi="Times New Roman"/>
          <w:color w:val="000000" w:themeColor="text1"/>
          <w:sz w:val="16"/>
          <w:szCs w:val="16"/>
        </w:rPr>
        <w:softHyphen/>
        <w:t>ных обозначений для разведчика и корректировщика артогня Ил-2 АМ-42, равно как и для самолета Ил-2М, после его прибытия в Москву, в документах не употреблялось. В пе</w:t>
      </w:r>
      <w:r w:rsidRPr="00271E51">
        <w:rPr>
          <w:rFonts w:ascii="Times New Roman" w:hAnsi="Times New Roman"/>
          <w:color w:val="000000" w:themeColor="text1"/>
          <w:sz w:val="16"/>
          <w:szCs w:val="16"/>
        </w:rPr>
        <w:softHyphen/>
        <w:t>реписке использовалось только одно наименование Ил-2 АМ-42 с добав</w:t>
      </w:r>
      <w:r w:rsidRPr="00271E51">
        <w:rPr>
          <w:rFonts w:ascii="Times New Roman" w:hAnsi="Times New Roman"/>
          <w:color w:val="000000" w:themeColor="text1"/>
          <w:sz w:val="16"/>
          <w:szCs w:val="16"/>
        </w:rPr>
        <w:softHyphen/>
        <w:t>лением разведчик и корректировщик артиллерийского огня (для самолета завода № 240) или штурмовик-бом</w:t>
      </w:r>
      <w:r w:rsidRPr="00271E51">
        <w:rPr>
          <w:rFonts w:ascii="Times New Roman" w:hAnsi="Times New Roman"/>
          <w:color w:val="000000" w:themeColor="text1"/>
          <w:sz w:val="16"/>
          <w:szCs w:val="16"/>
        </w:rPr>
        <w:softHyphen/>
        <w:t>бардировщик (для самолета завода № 18). Иногда указывался номер завода изготовителя без упоминания тактического назначения самолета (11427).</w:t>
      </w:r>
    </w:p>
    <w:p w14:paraId="2C6556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C44552"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10 августа 1943 с завода № 207 на завод № 18 был получен бронекорпус для Ил-2М АМ-42 и заложен в стапеля. Хвостовая деревянная часть, центроплан, щитки, элероны и руль поворота были полностью готовы, а крыло, стабилизатор и руль высоты – начаты по сборке. Однако к середине месяца работы по самолету фактически остановились. Военпреды забили тревогу. Директор завода А. А. Белянский вынужден был «реагировать». Своим приказом от 23 августа он потребовал от производственников передать С-42 на ЛИС завода к 15 сентября. Однако этот шаг Белянского, как оказалось впоследствии, был своего рода страховкой от возможных в будущем упреков в бездействии, так как выполнять этот приказ никто не собирался. Работы по С-42 продолжали идти «ни шатко ни валко». Согласно сводке по опытному самолетостроению от 25 сентября, С-42 еще находился в состоянии сборки.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авиазаводе старшего техника-лейтенанта В. В. Никулина, «общий объем работы» по С-42 для приведения его в летное состояние оставался всего на «2–3 дня, но завод совершенно не занимается самолетом» (17490).</w:t>
      </w:r>
    </w:p>
    <w:p w14:paraId="72A42D5B"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1F6D02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10 по 20 августа 1943 г. в ЛИИ НКАП проходил испытания серийный самолет Ил-2 зав. № 307004 производст</w:t>
      </w:r>
      <w:r w:rsidRPr="00271E51">
        <w:rPr>
          <w:rFonts w:ascii="Times New Roman" w:hAnsi="Times New Roman"/>
          <w:color w:val="000000" w:themeColor="text1"/>
          <w:sz w:val="16"/>
          <w:szCs w:val="16"/>
        </w:rPr>
        <w:softHyphen/>
        <w:t>ва завода № 30, оснащенный четырехлопастным винтом АВ-9л-158 диаметром 3,6 м (зав. № 92005). Винт был выпущен 1 июля заводом № 35.</w:t>
      </w:r>
    </w:p>
    <w:p w14:paraId="340D9C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по максимальной скорости горизонтального полета самолет почти не отличается от серийных машин с вин</w:t>
      </w:r>
      <w:r w:rsidRPr="00271E51">
        <w:rPr>
          <w:rFonts w:ascii="Times New Roman" w:hAnsi="Times New Roman"/>
          <w:color w:val="000000" w:themeColor="text1"/>
          <w:sz w:val="16"/>
          <w:szCs w:val="16"/>
        </w:rPr>
        <w:softHyphen/>
        <w:t>том АВ-5л-158, но скороподъемность и взлетные характери</w:t>
      </w:r>
      <w:r w:rsidRPr="00271E51">
        <w:rPr>
          <w:rFonts w:ascii="Times New Roman" w:hAnsi="Times New Roman"/>
          <w:color w:val="000000" w:themeColor="text1"/>
          <w:sz w:val="16"/>
          <w:szCs w:val="16"/>
        </w:rPr>
        <w:softHyphen/>
        <w:t>стики заметно улучшились. Длина разбега сократилась на 7,1%, а скороподъемность увеличилась на 8%.</w:t>
      </w:r>
    </w:p>
    <w:p w14:paraId="094B86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механизм управления винтом работал неудовлетво</w:t>
      </w:r>
      <w:r w:rsidRPr="00271E51">
        <w:rPr>
          <w:rFonts w:ascii="Times New Roman" w:hAnsi="Times New Roman"/>
          <w:color w:val="000000" w:themeColor="text1"/>
          <w:sz w:val="16"/>
          <w:szCs w:val="16"/>
        </w:rPr>
        <w:softHyphen/>
        <w:t>рительно — при даче газа наблюдался заброс оборотов винта до 2500—2700 об/мин. Поэтому самолет вернули на завод для доводки и устранения дефектов.</w:t>
      </w:r>
    </w:p>
    <w:p w14:paraId="3184DC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повторные летные испытания винт поступил лишь че</w:t>
      </w:r>
      <w:r w:rsidRPr="00271E51">
        <w:rPr>
          <w:rFonts w:ascii="Times New Roman" w:hAnsi="Times New Roman"/>
          <w:color w:val="000000" w:themeColor="text1"/>
          <w:sz w:val="16"/>
          <w:szCs w:val="16"/>
        </w:rPr>
        <w:softHyphen/>
        <w:t>рез год. Начальник ЛИИ профессор А.В. Чесалов 11 сентября 1944 г. утвердил Акт по испытаниям самолета Ил-2 АМ-38ф (зав. № 308004) с доработанным винтом АВ-9л-158. Ведущим инженером по испытаниям был К.И. Вайман, а ведущим лет</w:t>
      </w:r>
      <w:r w:rsidRPr="00271E51">
        <w:rPr>
          <w:rFonts w:ascii="Times New Roman" w:hAnsi="Times New Roman"/>
          <w:color w:val="000000" w:themeColor="text1"/>
          <w:sz w:val="16"/>
          <w:szCs w:val="16"/>
        </w:rPr>
        <w:softHyphen/>
        <w:t xml:space="preserve">чиком-испытателем А.И. </w:t>
      </w:r>
      <w:r w:rsidRPr="00271E51">
        <w:rPr>
          <w:rFonts w:ascii="Times New Roman" w:hAnsi="Times New Roman"/>
          <w:color w:val="000000" w:themeColor="text1"/>
          <w:sz w:val="16"/>
          <w:szCs w:val="16"/>
        </w:rPr>
        <w:lastRenderedPageBreak/>
        <w:t>Емельянов. Завод-изготовитель вин</w:t>
      </w:r>
      <w:r w:rsidRPr="00271E51">
        <w:rPr>
          <w:rFonts w:ascii="Times New Roman" w:hAnsi="Times New Roman"/>
          <w:color w:val="000000" w:themeColor="text1"/>
          <w:sz w:val="16"/>
          <w:szCs w:val="16"/>
        </w:rPr>
        <w:softHyphen/>
        <w:t>та № 35 представлял инженер Н.М. Перелыгин.</w:t>
      </w:r>
    </w:p>
    <w:p w14:paraId="5101E0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по скороподъемности и взлетным свойствам оказались даже лучше на 0,5%, чем в предыдущий раз. Серьез</w:t>
      </w:r>
      <w:r w:rsidRPr="00271E51">
        <w:rPr>
          <w:rFonts w:ascii="Times New Roman" w:hAnsi="Times New Roman"/>
          <w:color w:val="000000" w:themeColor="text1"/>
          <w:sz w:val="16"/>
          <w:szCs w:val="16"/>
        </w:rPr>
        <w:softHyphen/>
        <w:t>ных дефектов и конструктивных недостатков обнаружено не было. В итоге рекомендовалось изготовить небольшую серию таких винтов для проведения войсковых испытаний.</w:t>
      </w:r>
    </w:p>
    <w:p w14:paraId="500804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1944 г. в ЛИИ НКАП на этом же самолете и той же самой бригадой были проведены летные испытания меха</w:t>
      </w:r>
      <w:r w:rsidRPr="00271E51">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271E51">
        <w:rPr>
          <w:rFonts w:ascii="Times New Roman" w:hAnsi="Times New Roman"/>
          <w:color w:val="000000" w:themeColor="text1"/>
          <w:sz w:val="16"/>
          <w:szCs w:val="16"/>
        </w:rPr>
        <w:softHyphen/>
        <w:t>ром А.В. Чесаловым 4 ноября.</w:t>
      </w:r>
    </w:p>
    <w:p w14:paraId="5E9BEA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1E9263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271E51">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70FDD2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что механизм ввода винта во флю</w:t>
      </w:r>
      <w:r w:rsidRPr="00271E51">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271E51">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271E51">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271E51">
        <w:rPr>
          <w:rFonts w:ascii="Times New Roman" w:hAnsi="Times New Roman"/>
          <w:color w:val="000000" w:themeColor="text1"/>
          <w:sz w:val="16"/>
          <w:szCs w:val="16"/>
        </w:rPr>
        <w:softHyphen/>
        <w:t>достатки. В частности, реле давления РД-61 не всегда обеспе</w:t>
      </w:r>
      <w:r w:rsidRPr="00271E51">
        <w:rPr>
          <w:rFonts w:ascii="Times New Roman" w:hAnsi="Times New Roman"/>
          <w:color w:val="000000" w:themeColor="text1"/>
          <w:sz w:val="16"/>
          <w:szCs w:val="16"/>
        </w:rPr>
        <w:softHyphen/>
        <w:t>чивало ввод винта во флюгерное положение.</w:t>
      </w:r>
    </w:p>
    <w:p w14:paraId="5471E0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271E51">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2FAE0E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Главному конструктору винта К.И. Жданову рекомендова</w:t>
      </w:r>
      <w:r w:rsidRPr="00271E51">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436B1C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58C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1-й экз. Ил-4 2М-88Б с ТК-М и без герметических кабин ввиду неудовлетворительной работы ВМГ с ТК был передан в ЛИИ согласно приказа НКАП N 444с от 24 июля 1943, без отработки ВМГ и ТК при участии ЦИАМа. За время заводских испытаний, которые начались 18 декабря 1942 было выполнено 11 полетов, в которых была достигнута высота 7100 м вместо 9500 м по расчету. Испытаниями установлено, что граница высотности М-88Б с включенными ТК равна 7650 м, на режиме горизонтального полета на макс. скорости. Полученная граница высотности была на 1000 м ниже, заявленной ЦИАМ. Установка ТК-3 на самолете Ил-4 вызвала изменения форм самолета, что увеличило аэродинамическое сопротивление и ухудшило обтекание отдельных частей самолета. Вследствие этого макс. скорость на расчетной высоте снизилась на 20-22 км/час, ухудшилась скороподъемность на 15.5% и появились вибрации хвостового оперения и обшивки фюзеляжа. Из-за наличия ряда существенных недостатков ВМГ дальнейшие испытания самолета Ил-4 прекращены и самолет возвращен заводу 240. (1825,208).</w:t>
      </w:r>
    </w:p>
    <w:p w14:paraId="5E87DD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B42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 августа 1943 2-й экз. самолета Ил-4 2М-88Б с ТК проходил испытания с герметической кабиной второго варианта и ТК ТК-М вместо ТК-3. Испытания этой машины с гермокабиной первого варианта проходили с 10 марта 1943 по 29 мая 1943. Была обнаружена раскрутка трехлопастных винтов ВИШ-61П, а также замененных 4-х лопастных винтов АВ-9. Доводочные работы по винтам были выполнены 10 ноября 1943 (1825,208).</w:t>
      </w:r>
    </w:p>
    <w:p w14:paraId="6B456E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C87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вновь подняли Ил-4ТК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271E51">
        <w:rPr>
          <w:rFonts w:ascii="Times New Roman" w:hAnsi="Times New Roman"/>
          <w:color w:val="000000" w:themeColor="text1"/>
          <w:sz w:val="16"/>
          <w:szCs w:val="16"/>
        </w:rPr>
        <w:softHyphen/>
        <w:t>рость также оказалась далека от желае</w:t>
      </w:r>
      <w:r w:rsidRPr="00271E51">
        <w:rPr>
          <w:rFonts w:ascii="Times New Roman" w:hAnsi="Times New Roman"/>
          <w:color w:val="000000" w:themeColor="text1"/>
          <w:sz w:val="16"/>
          <w:szCs w:val="16"/>
        </w:rPr>
        <w:softHyphen/>
        <w:t>мой. Причину нашли в несоответствии параметров ТК-3 расчетным и непри</w:t>
      </w:r>
      <w:r w:rsidRPr="00271E51">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271E51">
        <w:rPr>
          <w:rFonts w:ascii="Times New Roman" w:hAnsi="Times New Roman"/>
          <w:color w:val="000000" w:themeColor="text1"/>
          <w:sz w:val="16"/>
          <w:szCs w:val="16"/>
        </w:rPr>
        <w:softHyphen/>
        <w:t>лись на 7500 м. Моторы работали неус</w:t>
      </w:r>
      <w:r w:rsidRPr="00271E51">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271E51">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271E51">
        <w:rPr>
          <w:rFonts w:ascii="Times New Roman" w:hAnsi="Times New Roman"/>
          <w:color w:val="000000" w:themeColor="text1"/>
          <w:sz w:val="16"/>
          <w:szCs w:val="16"/>
        </w:rPr>
        <w:softHyphen/>
        <w:t>дился прекратить работы по Ил-4ТК (10734,87).</w:t>
      </w:r>
    </w:p>
    <w:p w14:paraId="4D0BCB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B5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второй Ил-4ТК с доработанной гермокабиной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5B2EE7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3176F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50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 20 час. по местному времени в Иркутске на заводе 39 был произведен был второй полет Ил-6, продолжающийся 45 мин. (1697,234).</w:t>
      </w:r>
    </w:p>
    <w:p w14:paraId="56826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0D7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директор завода 39 Абрамов направил телефонограмму А.И.Ш.:</w:t>
      </w:r>
    </w:p>
    <w:p w14:paraId="66AA1E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разрешить местные заводские испытания самолета закончить инженеру К.А.Петрову вместо и Гесельсона как совершенно незнакомого с конструкцией и бортмеханику Кирюкину с последующей передачей Семенову (1768,246).</w:t>
      </w:r>
    </w:p>
    <w:p w14:paraId="27556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4FA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директор завода 39 Абрамов направил телефонограмму А.И.Ш.:</w:t>
      </w:r>
    </w:p>
    <w:p w14:paraId="49DBE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 приказу N 172с утверждены г Марковым и ГК С.В.И. и разрешен запуск в серию (1768,247).</w:t>
      </w:r>
    </w:p>
    <w:p w14:paraId="13B6C3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26D67" w14:textId="77777777" w:rsidR="00DC7544" w:rsidRPr="00271E51" w:rsidRDefault="00DC7544"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10 августа 1943 Туполев доложил о достигнутых резуль</w:t>
      </w:r>
      <w:r w:rsidRPr="00271E51">
        <w:rPr>
          <w:rFonts w:ascii="Times New Roman" w:hAnsi="Times New Roman"/>
          <w:color w:val="0070C0"/>
          <w:sz w:val="16"/>
          <w:szCs w:val="16"/>
          <w:lang w:eastAsia="ru-RU" w:bidi="ru-RU"/>
        </w:rPr>
        <w:softHyphen/>
        <w:t>татах 103В Сталину. Успех был неоспорим. Но еще до пер</w:t>
      </w:r>
      <w:r w:rsidRPr="00271E51">
        <w:rPr>
          <w:rFonts w:ascii="Times New Roman" w:hAnsi="Times New Roman"/>
          <w:color w:val="0070C0"/>
          <w:sz w:val="16"/>
          <w:szCs w:val="16"/>
          <w:lang w:eastAsia="ru-RU" w:bidi="ru-RU"/>
        </w:rPr>
        <w:softHyphen/>
        <w:t>вого полета Ту-2 с М-82ФН руководство страны уверилось в том, что «младенче</w:t>
      </w:r>
      <w:r w:rsidRPr="00271E51">
        <w:rPr>
          <w:rFonts w:ascii="Times New Roman" w:hAnsi="Times New Roman"/>
          <w:color w:val="0070C0"/>
          <w:sz w:val="16"/>
          <w:szCs w:val="16"/>
          <w:lang w:eastAsia="ru-RU" w:bidi="ru-RU"/>
        </w:rPr>
        <w:softHyphen/>
        <w:t>ские болезни» бомбардировщика пра</w:t>
      </w:r>
      <w:r w:rsidRPr="00271E51">
        <w:rPr>
          <w:rFonts w:ascii="Times New Roman" w:hAnsi="Times New Roman"/>
          <w:color w:val="0070C0"/>
          <w:sz w:val="16"/>
          <w:szCs w:val="16"/>
          <w:lang w:eastAsia="ru-RU" w:bidi="ru-RU"/>
        </w:rPr>
        <w:softHyphen/>
        <w:t>ктически преодолены. 17 июля 1943 г. по</w:t>
      </w:r>
      <w:r w:rsidRPr="00271E51">
        <w:rPr>
          <w:rFonts w:ascii="Times New Roman" w:hAnsi="Times New Roman"/>
          <w:color w:val="0070C0"/>
          <w:sz w:val="16"/>
          <w:szCs w:val="16"/>
          <w:lang w:eastAsia="ru-RU" w:bidi="ru-RU"/>
        </w:rPr>
        <w:softHyphen/>
        <w:t>явилось постановление ГКО о запуске Ту-2 с этими двигателями в производство на заводе №23 (21060).</w:t>
      </w:r>
    </w:p>
    <w:p w14:paraId="03FBFBBD" w14:textId="77777777" w:rsidR="00DC7544" w:rsidRPr="00271E51" w:rsidRDefault="00DC7544" w:rsidP="00271E51">
      <w:pPr>
        <w:spacing w:after="0" w:line="240" w:lineRule="auto"/>
        <w:jc w:val="both"/>
        <w:rPr>
          <w:rFonts w:ascii="Times New Roman" w:hAnsi="Times New Roman"/>
          <w:color w:val="0070C0"/>
          <w:sz w:val="16"/>
          <w:szCs w:val="16"/>
        </w:rPr>
      </w:pPr>
    </w:p>
    <w:p w14:paraId="65757B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Зам. нач. 7 ГУ Алексеев направил А.И.Ш. справку N 5039 по сравнительным данным самолетов Ил-6 и Ер-2 с дизелями М-30Б: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3260"/>
        <w:gridCol w:w="3260"/>
      </w:tblGrid>
      <w:tr w:rsidR="00A907A5" w:rsidRPr="00271E51" w14:paraId="71BD2D84" w14:textId="77777777" w:rsidTr="00ED5B0A">
        <w:tc>
          <w:tcPr>
            <w:tcW w:w="3936" w:type="dxa"/>
          </w:tcPr>
          <w:p w14:paraId="67018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w:t>
            </w:r>
          </w:p>
        </w:tc>
        <w:tc>
          <w:tcPr>
            <w:tcW w:w="3260" w:type="dxa"/>
          </w:tcPr>
          <w:p w14:paraId="405BB6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Ил-6 (расчетные)</w:t>
            </w:r>
          </w:p>
        </w:tc>
        <w:tc>
          <w:tcPr>
            <w:tcW w:w="3260" w:type="dxa"/>
          </w:tcPr>
          <w:p w14:paraId="19872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(гос. испытания)</w:t>
            </w:r>
          </w:p>
        </w:tc>
      </w:tr>
      <w:tr w:rsidR="00A907A5" w:rsidRPr="00271E51" w14:paraId="4B5A42BA" w14:textId="77777777" w:rsidTr="00ED5B0A">
        <w:tc>
          <w:tcPr>
            <w:tcW w:w="3936" w:type="dxa"/>
          </w:tcPr>
          <w:p w14:paraId="018823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260" w:type="dxa"/>
          </w:tcPr>
          <w:p w14:paraId="5EC029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D031C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3D8BE9" w14:textId="77777777" w:rsidTr="00ED5B0A">
        <w:tc>
          <w:tcPr>
            <w:tcW w:w="3936" w:type="dxa"/>
          </w:tcPr>
          <w:p w14:paraId="60BEA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нормальный</w:t>
            </w:r>
          </w:p>
        </w:tc>
        <w:tc>
          <w:tcPr>
            <w:tcW w:w="3260" w:type="dxa"/>
          </w:tcPr>
          <w:p w14:paraId="0D96E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15000 кг</w:t>
            </w:r>
          </w:p>
        </w:tc>
        <w:tc>
          <w:tcPr>
            <w:tcW w:w="3260" w:type="dxa"/>
          </w:tcPr>
          <w:p w14:paraId="70CC7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14200 кг</w:t>
            </w:r>
          </w:p>
        </w:tc>
      </w:tr>
      <w:tr w:rsidR="00A907A5" w:rsidRPr="00271E51" w14:paraId="57D8EDB2" w14:textId="77777777" w:rsidTr="00ED5B0A">
        <w:tc>
          <w:tcPr>
            <w:tcW w:w="3936" w:type="dxa"/>
          </w:tcPr>
          <w:p w14:paraId="272D6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перегрузочный</w:t>
            </w:r>
          </w:p>
        </w:tc>
        <w:tc>
          <w:tcPr>
            <w:tcW w:w="3260" w:type="dxa"/>
          </w:tcPr>
          <w:p w14:paraId="13510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18000 кг</w:t>
            </w:r>
          </w:p>
        </w:tc>
        <w:tc>
          <w:tcPr>
            <w:tcW w:w="3260" w:type="dxa"/>
          </w:tcPr>
          <w:p w14:paraId="2670FE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17650 кг</w:t>
            </w:r>
          </w:p>
        </w:tc>
      </w:tr>
      <w:tr w:rsidR="00A907A5" w:rsidRPr="00271E51" w14:paraId="1BC3D5D3" w14:textId="77777777" w:rsidTr="00ED5B0A">
        <w:tc>
          <w:tcPr>
            <w:tcW w:w="3936" w:type="dxa"/>
          </w:tcPr>
          <w:p w14:paraId="3823AD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w:t>
            </w:r>
          </w:p>
        </w:tc>
        <w:tc>
          <w:tcPr>
            <w:tcW w:w="3260" w:type="dxa"/>
          </w:tcPr>
          <w:p w14:paraId="4BB332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496E4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AA5511" w14:textId="77777777" w:rsidTr="00ED5B0A">
        <w:tc>
          <w:tcPr>
            <w:tcW w:w="3936" w:type="dxa"/>
          </w:tcPr>
          <w:p w14:paraId="42EEB3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tc>
        <w:tc>
          <w:tcPr>
            <w:tcW w:w="3260" w:type="dxa"/>
          </w:tcPr>
          <w:p w14:paraId="5A74A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 км/час</w:t>
            </w:r>
          </w:p>
        </w:tc>
        <w:tc>
          <w:tcPr>
            <w:tcW w:w="3260" w:type="dxa"/>
          </w:tcPr>
          <w:p w14:paraId="48974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373 км/час</w:t>
            </w:r>
          </w:p>
        </w:tc>
      </w:tr>
      <w:tr w:rsidR="00A907A5" w:rsidRPr="00271E51" w14:paraId="7DD9226B" w14:textId="77777777" w:rsidTr="00ED5B0A">
        <w:tc>
          <w:tcPr>
            <w:tcW w:w="3936" w:type="dxa"/>
          </w:tcPr>
          <w:p w14:paraId="178E6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4000 м/6000 м</w:t>
            </w:r>
          </w:p>
        </w:tc>
        <w:tc>
          <w:tcPr>
            <w:tcW w:w="3260" w:type="dxa"/>
          </w:tcPr>
          <w:p w14:paraId="4CEA60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424/445 км/час</w:t>
            </w:r>
          </w:p>
        </w:tc>
        <w:tc>
          <w:tcPr>
            <w:tcW w:w="3260" w:type="dxa"/>
          </w:tcPr>
          <w:p w14:paraId="568D1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419/429 км/час</w:t>
            </w:r>
          </w:p>
        </w:tc>
      </w:tr>
      <w:tr w:rsidR="00A907A5" w:rsidRPr="00271E51" w14:paraId="6ED035F9" w14:textId="77777777" w:rsidTr="00ED5B0A">
        <w:tc>
          <w:tcPr>
            <w:tcW w:w="3936" w:type="dxa"/>
          </w:tcPr>
          <w:p w14:paraId="0E0A5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4000/6000 м</w:t>
            </w:r>
          </w:p>
        </w:tc>
        <w:tc>
          <w:tcPr>
            <w:tcW w:w="3260" w:type="dxa"/>
          </w:tcPr>
          <w:p w14:paraId="3DEC9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12.1/19.7</w:t>
            </w:r>
          </w:p>
        </w:tc>
        <w:tc>
          <w:tcPr>
            <w:tcW w:w="3260" w:type="dxa"/>
          </w:tcPr>
          <w:p w14:paraId="37F937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22.3/36.7</w:t>
            </w:r>
          </w:p>
        </w:tc>
      </w:tr>
      <w:tr w:rsidR="00A907A5" w:rsidRPr="00271E51" w14:paraId="5C1B92F6" w14:textId="77777777" w:rsidTr="00ED5B0A">
        <w:tc>
          <w:tcPr>
            <w:tcW w:w="3936" w:type="dxa"/>
          </w:tcPr>
          <w:p w14:paraId="44B388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3260" w:type="dxa"/>
          </w:tcPr>
          <w:p w14:paraId="368641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 м</w:t>
            </w:r>
          </w:p>
        </w:tc>
        <w:tc>
          <w:tcPr>
            <w:tcW w:w="3260" w:type="dxa"/>
          </w:tcPr>
          <w:p w14:paraId="579DCF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 м</w:t>
            </w:r>
          </w:p>
        </w:tc>
      </w:tr>
      <w:tr w:rsidR="00A907A5" w:rsidRPr="00271E51" w14:paraId="3B9631E1" w14:textId="77777777" w:rsidTr="00ED5B0A">
        <w:tc>
          <w:tcPr>
            <w:tcW w:w="3936" w:type="dxa"/>
          </w:tcPr>
          <w:p w14:paraId="28E1BE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 дальность с 1000 кг</w:t>
            </w:r>
          </w:p>
        </w:tc>
        <w:tc>
          <w:tcPr>
            <w:tcW w:w="3260" w:type="dxa"/>
          </w:tcPr>
          <w:p w14:paraId="774DC4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D8A3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BF08B2" w14:textId="77777777" w:rsidTr="00ED5B0A">
        <w:tc>
          <w:tcPr>
            <w:tcW w:w="3936" w:type="dxa"/>
          </w:tcPr>
          <w:p w14:paraId="0C044E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 на 6000 м при скорости</w:t>
            </w:r>
          </w:p>
        </w:tc>
        <w:tc>
          <w:tcPr>
            <w:tcW w:w="3260" w:type="dxa"/>
          </w:tcPr>
          <w:p w14:paraId="1C404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 км/300 км/час</w:t>
            </w:r>
          </w:p>
        </w:tc>
        <w:tc>
          <w:tcPr>
            <w:tcW w:w="3260" w:type="dxa"/>
          </w:tcPr>
          <w:p w14:paraId="6818B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5320 км/330-340 км/час</w:t>
            </w:r>
          </w:p>
        </w:tc>
      </w:tr>
      <w:tr w:rsidR="00A907A5" w:rsidRPr="00271E51" w14:paraId="5841B43B" w14:textId="77777777" w:rsidTr="00ED5B0A">
        <w:tc>
          <w:tcPr>
            <w:tcW w:w="3936" w:type="dxa"/>
          </w:tcPr>
          <w:p w14:paraId="16BD59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 дальность с 2500 кг</w:t>
            </w:r>
          </w:p>
        </w:tc>
        <w:tc>
          <w:tcPr>
            <w:tcW w:w="3260" w:type="dxa"/>
          </w:tcPr>
          <w:p w14:paraId="792BC0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E7A6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D15574" w14:textId="77777777" w:rsidTr="00ED5B0A">
        <w:tc>
          <w:tcPr>
            <w:tcW w:w="3936" w:type="dxa"/>
          </w:tcPr>
          <w:p w14:paraId="6BAC1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 на 6000 м при скорости</w:t>
            </w:r>
          </w:p>
        </w:tc>
        <w:tc>
          <w:tcPr>
            <w:tcW w:w="3260" w:type="dxa"/>
          </w:tcPr>
          <w:p w14:paraId="449646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4700 км</w:t>
            </w:r>
          </w:p>
        </w:tc>
        <w:tc>
          <w:tcPr>
            <w:tcW w:w="3260" w:type="dxa"/>
          </w:tcPr>
          <w:p w14:paraId="540DC8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км</w:t>
            </w:r>
          </w:p>
        </w:tc>
      </w:tr>
      <w:tr w:rsidR="00A907A5" w:rsidRPr="00271E51" w14:paraId="7EBBCC34" w14:textId="77777777" w:rsidTr="00ED5B0A">
        <w:tc>
          <w:tcPr>
            <w:tcW w:w="3936" w:type="dxa"/>
          </w:tcPr>
          <w:p w14:paraId="0CC80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горючего</w:t>
            </w:r>
          </w:p>
        </w:tc>
        <w:tc>
          <w:tcPr>
            <w:tcW w:w="3260" w:type="dxa"/>
          </w:tcPr>
          <w:p w14:paraId="70ED7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62269F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F3E586" w14:textId="77777777" w:rsidTr="00ED5B0A">
        <w:tc>
          <w:tcPr>
            <w:tcW w:w="3936" w:type="dxa"/>
          </w:tcPr>
          <w:p w14:paraId="0595F3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нормальный</w:t>
            </w:r>
          </w:p>
        </w:tc>
        <w:tc>
          <w:tcPr>
            <w:tcW w:w="3260" w:type="dxa"/>
          </w:tcPr>
          <w:p w14:paraId="64BADF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кг</w:t>
            </w:r>
          </w:p>
        </w:tc>
        <w:tc>
          <w:tcPr>
            <w:tcW w:w="3260" w:type="dxa"/>
          </w:tcPr>
          <w:p w14:paraId="701A31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 кг</w:t>
            </w:r>
          </w:p>
        </w:tc>
      </w:tr>
      <w:tr w:rsidR="00A907A5" w:rsidRPr="00271E51" w14:paraId="127ADCBD" w14:textId="77777777" w:rsidTr="00ED5B0A">
        <w:tc>
          <w:tcPr>
            <w:tcW w:w="3936" w:type="dxa"/>
          </w:tcPr>
          <w:p w14:paraId="22B91D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перегрузочный</w:t>
            </w:r>
          </w:p>
        </w:tc>
        <w:tc>
          <w:tcPr>
            <w:tcW w:w="3260" w:type="dxa"/>
          </w:tcPr>
          <w:p w14:paraId="32BBC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 кг</w:t>
            </w:r>
          </w:p>
        </w:tc>
        <w:tc>
          <w:tcPr>
            <w:tcW w:w="3260" w:type="dxa"/>
          </w:tcPr>
          <w:p w14:paraId="68A163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4930 кг</w:t>
            </w:r>
          </w:p>
        </w:tc>
      </w:tr>
      <w:tr w:rsidR="00A907A5" w:rsidRPr="00271E51" w14:paraId="7000F214" w14:textId="77777777" w:rsidTr="00ED5B0A">
        <w:tc>
          <w:tcPr>
            <w:tcW w:w="3936" w:type="dxa"/>
          </w:tcPr>
          <w:p w14:paraId="0E730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3260" w:type="dxa"/>
          </w:tcPr>
          <w:p w14:paraId="6E800F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3260" w:type="dxa"/>
          </w:tcPr>
          <w:p w14:paraId="41D3A8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003AFE9F" w14:textId="77777777" w:rsidTr="00ED5B0A">
        <w:tc>
          <w:tcPr>
            <w:tcW w:w="3936" w:type="dxa"/>
          </w:tcPr>
          <w:p w14:paraId="6F53E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3260" w:type="dxa"/>
          </w:tcPr>
          <w:p w14:paraId="021388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25CE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F371AE" w14:textId="77777777" w:rsidTr="00ED5B0A">
        <w:tc>
          <w:tcPr>
            <w:tcW w:w="3936" w:type="dxa"/>
          </w:tcPr>
          <w:p w14:paraId="7246C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носовая</w:t>
            </w:r>
          </w:p>
        </w:tc>
        <w:tc>
          <w:tcPr>
            <w:tcW w:w="3260" w:type="dxa"/>
          </w:tcPr>
          <w:p w14:paraId="209E55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мм/200 патронов</w:t>
            </w:r>
          </w:p>
        </w:tc>
        <w:tc>
          <w:tcPr>
            <w:tcW w:w="3260" w:type="dxa"/>
          </w:tcPr>
          <w:p w14:paraId="755409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мм/220 патронов</w:t>
            </w:r>
          </w:p>
        </w:tc>
      </w:tr>
      <w:tr w:rsidR="00A907A5" w:rsidRPr="00271E51" w14:paraId="71E7C0FC" w14:textId="77777777" w:rsidTr="00ED5B0A">
        <w:tc>
          <w:tcPr>
            <w:tcW w:w="3936" w:type="dxa"/>
          </w:tcPr>
          <w:p w14:paraId="1D5CF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бортовая</w:t>
            </w:r>
          </w:p>
        </w:tc>
        <w:tc>
          <w:tcPr>
            <w:tcW w:w="3260" w:type="dxa"/>
          </w:tcPr>
          <w:p w14:paraId="12AC99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2х12.7 мм/400</w:t>
            </w:r>
          </w:p>
        </w:tc>
        <w:tc>
          <w:tcPr>
            <w:tcW w:w="3260" w:type="dxa"/>
          </w:tcPr>
          <w:p w14:paraId="02898C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43379C0" w14:textId="77777777" w:rsidTr="00ED5B0A">
        <w:tc>
          <w:tcPr>
            <w:tcW w:w="3936" w:type="dxa"/>
          </w:tcPr>
          <w:p w14:paraId="62E37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турельная</w:t>
            </w:r>
          </w:p>
        </w:tc>
        <w:tc>
          <w:tcPr>
            <w:tcW w:w="3260" w:type="dxa"/>
          </w:tcPr>
          <w:p w14:paraId="4C50D0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 мм/300</w:t>
            </w:r>
          </w:p>
        </w:tc>
        <w:tc>
          <w:tcPr>
            <w:tcW w:w="3260" w:type="dxa"/>
          </w:tcPr>
          <w:p w14:paraId="535378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мм/300</w:t>
            </w:r>
          </w:p>
        </w:tc>
      </w:tr>
      <w:tr w:rsidR="00A907A5" w:rsidRPr="00271E51" w14:paraId="44FFEE09" w14:textId="77777777" w:rsidTr="00ED5B0A">
        <w:tc>
          <w:tcPr>
            <w:tcW w:w="3936" w:type="dxa"/>
          </w:tcPr>
          <w:p w14:paraId="05D2A1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люковая</w:t>
            </w:r>
          </w:p>
        </w:tc>
        <w:tc>
          <w:tcPr>
            <w:tcW w:w="3260" w:type="dxa"/>
          </w:tcPr>
          <w:p w14:paraId="7C923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мм/300</w:t>
            </w:r>
          </w:p>
        </w:tc>
        <w:tc>
          <w:tcPr>
            <w:tcW w:w="3260" w:type="dxa"/>
          </w:tcPr>
          <w:p w14:paraId="11AA1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мм/260</w:t>
            </w:r>
          </w:p>
        </w:tc>
      </w:tr>
      <w:tr w:rsidR="00A907A5" w:rsidRPr="00271E51" w14:paraId="1A482C57" w14:textId="77777777" w:rsidTr="00ED5B0A">
        <w:tc>
          <w:tcPr>
            <w:tcW w:w="3936" w:type="dxa"/>
          </w:tcPr>
          <w:p w14:paraId="295B98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w:t>
            </w:r>
          </w:p>
        </w:tc>
        <w:tc>
          <w:tcPr>
            <w:tcW w:w="3260" w:type="dxa"/>
          </w:tcPr>
          <w:p w14:paraId="39F825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FC096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68B8E6" w14:textId="77777777" w:rsidTr="00ED5B0A">
        <w:tc>
          <w:tcPr>
            <w:tcW w:w="3936" w:type="dxa"/>
          </w:tcPr>
          <w:p w14:paraId="5DD9B6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нормальная</w:t>
            </w:r>
          </w:p>
        </w:tc>
        <w:tc>
          <w:tcPr>
            <w:tcW w:w="3260" w:type="dxa"/>
          </w:tcPr>
          <w:p w14:paraId="042B3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кг</w:t>
            </w:r>
          </w:p>
        </w:tc>
        <w:tc>
          <w:tcPr>
            <w:tcW w:w="3260" w:type="dxa"/>
          </w:tcPr>
          <w:p w14:paraId="0815D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кг</w:t>
            </w:r>
          </w:p>
        </w:tc>
      </w:tr>
      <w:tr w:rsidR="00A907A5" w:rsidRPr="00271E51" w14:paraId="69FC9205" w14:textId="77777777" w:rsidTr="00ED5B0A">
        <w:tc>
          <w:tcPr>
            <w:tcW w:w="3936" w:type="dxa"/>
          </w:tcPr>
          <w:p w14:paraId="748A35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перегрузочная</w:t>
            </w:r>
          </w:p>
        </w:tc>
        <w:tc>
          <w:tcPr>
            <w:tcW w:w="3260" w:type="dxa"/>
          </w:tcPr>
          <w:p w14:paraId="752345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 кг</w:t>
            </w:r>
          </w:p>
        </w:tc>
        <w:tc>
          <w:tcPr>
            <w:tcW w:w="3260" w:type="dxa"/>
          </w:tcPr>
          <w:p w14:paraId="652225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кг</w:t>
            </w:r>
          </w:p>
        </w:tc>
      </w:tr>
      <w:tr w:rsidR="00A907A5" w:rsidRPr="00271E51" w14:paraId="40867AE1" w14:textId="77777777" w:rsidTr="00ED5B0A">
        <w:tc>
          <w:tcPr>
            <w:tcW w:w="3936" w:type="dxa"/>
          </w:tcPr>
          <w:p w14:paraId="197AAE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28043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4хФАБ-500 внутри</w:t>
            </w:r>
          </w:p>
        </w:tc>
        <w:tc>
          <w:tcPr>
            <w:tcW w:w="3260" w:type="dxa"/>
          </w:tcPr>
          <w:p w14:paraId="5D9F3A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4хФАБ-500 внутри или</w:t>
            </w:r>
          </w:p>
        </w:tc>
      </w:tr>
      <w:tr w:rsidR="00A907A5" w:rsidRPr="00271E51" w14:paraId="73422131" w14:textId="77777777" w:rsidTr="00ED5B0A">
        <w:tc>
          <w:tcPr>
            <w:tcW w:w="3936" w:type="dxa"/>
          </w:tcPr>
          <w:p w14:paraId="0224D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96437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2хФАБ-250 / 20хФАБ-100</w:t>
            </w:r>
          </w:p>
        </w:tc>
        <w:tc>
          <w:tcPr>
            <w:tcW w:w="3260" w:type="dxa"/>
          </w:tcPr>
          <w:p w14:paraId="74A4D9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8хФАБ-250 или 20хФАБ-100</w:t>
            </w:r>
          </w:p>
        </w:tc>
      </w:tr>
      <w:tr w:rsidR="00A907A5" w:rsidRPr="00271E51" w14:paraId="2074EF95" w14:textId="77777777" w:rsidTr="00ED5B0A">
        <w:tc>
          <w:tcPr>
            <w:tcW w:w="3936" w:type="dxa"/>
          </w:tcPr>
          <w:p w14:paraId="4B0046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наружная</w:t>
            </w:r>
          </w:p>
        </w:tc>
        <w:tc>
          <w:tcPr>
            <w:tcW w:w="3260" w:type="dxa"/>
          </w:tcPr>
          <w:p w14:paraId="64A1F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2хФАБ-1000</w:t>
            </w:r>
          </w:p>
        </w:tc>
        <w:tc>
          <w:tcPr>
            <w:tcW w:w="3260" w:type="dxa"/>
          </w:tcPr>
          <w:p w14:paraId="33CB7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3хФАБ-1000</w:t>
            </w:r>
          </w:p>
        </w:tc>
      </w:tr>
      <w:tr w:rsidR="00A907A5" w:rsidRPr="00271E51" w14:paraId="74058467" w14:textId="77777777" w:rsidTr="00ED5B0A">
        <w:tc>
          <w:tcPr>
            <w:tcW w:w="3936" w:type="dxa"/>
          </w:tcPr>
          <w:p w14:paraId="4117E4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CB40C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2474A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торпеды по 1100 кг</w:t>
            </w:r>
          </w:p>
        </w:tc>
      </w:tr>
      <w:tr w:rsidR="00A907A5" w:rsidRPr="00271E51" w14:paraId="593E7B96" w14:textId="77777777" w:rsidTr="00ED5B0A">
        <w:tc>
          <w:tcPr>
            <w:tcW w:w="3936" w:type="dxa"/>
          </w:tcPr>
          <w:p w14:paraId="12B56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w:t>
            </w:r>
          </w:p>
        </w:tc>
        <w:tc>
          <w:tcPr>
            <w:tcW w:w="3260" w:type="dxa"/>
          </w:tcPr>
          <w:p w14:paraId="540EF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 кг</w:t>
            </w:r>
          </w:p>
        </w:tc>
        <w:tc>
          <w:tcPr>
            <w:tcW w:w="3260" w:type="dxa"/>
          </w:tcPr>
          <w:p w14:paraId="5D672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 кг (1458,323)</w:t>
            </w:r>
          </w:p>
        </w:tc>
      </w:tr>
    </w:tbl>
    <w:p w14:paraId="4D180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На основании данных, полученных при испытаниях на дальность Ер-2 с 2хМ-30Б, принятый С.В.И. в расчете Ил-6 километровый расход следует считать заниженным на 15-20% (1458,323).</w:t>
      </w:r>
    </w:p>
    <w:p w14:paraId="2D1987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FB7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вышел приказ НКАП N 487, предусмотревшим для усилении опытной базы тов. Лавочкина и подготовки мелких серий опытных самолетов создать филиал отдела ГК на заводе 381. С.А.Л. было поручено представить 5 Ла-5 с М-71 к 1 декабря 1943 (940,15).</w:t>
      </w:r>
    </w:p>
    <w:p w14:paraId="23D6013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усиления опытной базы т. Лавочкина и постройки мелких серий самолетов ПРИКАЗЫВАЮ:</w:t>
      </w:r>
    </w:p>
    <w:p w14:paraId="63F99B8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Создать на заводе № 381 филиал ОКО т. Лавочкина, для чего...</w:t>
      </w:r>
    </w:p>
    <w:p w14:paraId="79D18B1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Директору завода № 381 т. Карпову выделить т.Лавочкину необходимые площади для ОКБ на площадях цеха № 25 и корпус статиспытаний т. Ильюшина - организовать филиал опытного производства...</w:t>
      </w:r>
    </w:p>
    <w:p w14:paraId="76D2293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ГК т. Лавочкину построить самолеты Ла-5 с мотором М-71 в количестве 5 шт. К 1 декабря 1943.</w:t>
      </w:r>
    </w:p>
    <w:p w14:paraId="77848CA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этой цели:</w:t>
      </w:r>
    </w:p>
    <w:p w14:paraId="3315DDB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директору завода № 82 т. Агаджанову передать т. Лавочкину пять комплектов Ла-5 без ВМГ в разобранном виде,</w:t>
      </w:r>
    </w:p>
    <w:p w14:paraId="68E825C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директору завода № 381 т. Карпову передать т. Лавочкину первые пять комплектов металлических лонжеронов крыла и цп</w:t>
      </w:r>
    </w:p>
    <w:p w14:paraId="2CFE0AC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директору завода № 19 т. Солдатову отгрузить ОКБ т. Лавочкина имеющиеся 5 моторов М-71 к 20 августа 1943 (940,15-16).</w:t>
      </w:r>
    </w:p>
    <w:p w14:paraId="28F03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62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для усиления опытной базы гл. конструктора С.А. Лавочкина был образован Филиал ОКБ-21 при заводе приказом № 487с. Размещен на площадке цеха № 25 и корпуса статиспытаний ОКБ Ильюшина (опытное производство). Работы по Ла-5 с М-71.</w:t>
      </w:r>
    </w:p>
    <w:p w14:paraId="30E39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04.1944 г. по приказу № 209с от 22.03.1044 г. филиал ОКБ-21 (или ОКБ-381 НКАП) реорганизован в самостоятельный опытный Завод № 81 НКАП (11982).</w:t>
      </w:r>
    </w:p>
    <w:p w14:paraId="26D4A80E" w14:textId="77777777" w:rsidR="00173575" w:rsidRPr="00271E51" w:rsidRDefault="0017357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3FD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для организации деревообделочного производства (изготовления крыльев Ла-5) по приказу № 487с в качестве филиала № 1 заводу № 381 НКАП передана Красносельская мебельная фабрика Горместпрома (Филиал № 1 завода № 381 НКАП /г. Москва ул. 2-я Рыбинская, 13(17)/), являвшаяся до этого Московским филиалом завода № 464 НКАП.</w:t>
      </w:r>
    </w:p>
    <w:p w14:paraId="781D9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4с от 10.01.1946 г. для расширения опытных работ по геликоптеростроению ОКБ-3 НКАП гл. конструктора И.П. Братухина перебазировано на площадь Филиала № 1 завода № 381 НКАП, который передан ОКБ-3 в качестве опытной базы со всем оборудованием и личным составом и переведен из 1ГУ в 7ГУ НКАП. В 1948 г. ОКБ-3 преобразовано в завод № 3 МАП (11982).</w:t>
      </w:r>
    </w:p>
    <w:p w14:paraId="22C59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9D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по приказу № 487с в качестве филиала № 1 заводу № 381 НКАП (Завод № 381 НКАП, МАП /г. Ленинград ст. Ижора;  г. Нижний Тагил Свердловской обл.;  г. Москва Ленинградское ш., 31/33/)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621CE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заводе организован филиал ОКБ-21 С.А. Лавочкина.</w:t>
      </w:r>
    </w:p>
    <w:p w14:paraId="0AD6BF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B70AC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5C9F9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1D12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F167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1.12.1946 г. завод передан из 1ГУ в ЮГУ, затем с 1.11.1948 г. обратно, из ЮГУ в 1ГУ.</w:t>
      </w:r>
    </w:p>
    <w:p w14:paraId="1D174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21222D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373539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(05.1943-10.1946 г.)- П.Д. Грушин, (1947 г.)- В.И. Засульский.</w:t>
      </w:r>
    </w:p>
    <w:p w14:paraId="0FE1A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(1945 г.)- А.К. Кулагин.</w:t>
      </w:r>
    </w:p>
    <w:p w14:paraId="5F6C26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самолеты:</w:t>
      </w:r>
      <w:r w:rsidRPr="00271E51">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3093F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Заводской номер: Ил-2 М 381355 (11982).</w:t>
      </w:r>
    </w:p>
    <w:p w14:paraId="24D485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34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закончились дополнительные испытания Ла-7 М-71, которые начались 21 июня 1943 (739,33).</w:t>
      </w:r>
    </w:p>
    <w:p w14:paraId="006AF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5F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МиГ-3 улучшенный Д6 из-за раскрутки винта потерпел аварию. Д2 сделал 2 полета, Д4 - 4 полета, Д3 - 2 полета, д5 - на сборке, Д1 закончил гос. испытания (992,10).</w:t>
      </w:r>
    </w:p>
    <w:p w14:paraId="393342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D3C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согласно журнала наблюдения за проектированием, постройкой и испытаниями МиГ-3 МиГ-3 Д-6 и-за раскрутки винта произвел вынужденную посадку, Д-2 произвел 3-1 полет. Д-4 имеет площадь крыла 18,22 м, длину 11,14. Сделал 4 полета. Д-3 - сделал 2 полета на отработку посадки. Мотор работал плохо (меняли радиатор), Д-5 - в сборочном цехе. Д-1 - закончил испытания в НИИ ВВС (992,10).</w:t>
      </w:r>
    </w:p>
    <w:p w14:paraId="0B514D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5C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по приказу НКАП № 487с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63D9D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36787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4618AD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(11.1940-12.1945 г.)- С.А. Лавочкин.</w:t>
      </w:r>
    </w:p>
    <w:p w14:paraId="3BD74B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гл. конструктора (1941-43 г.)- П.Д. Грушин, (1943-45 г.-)- С.М. Алексеев.</w:t>
      </w:r>
    </w:p>
    <w:p w14:paraId="4D6DD0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М.И. Гудкова на заводе № 21 НКАП</w:t>
      </w:r>
    </w:p>
    <w:p w14:paraId="08D656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21C46E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93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10 августа 1943 г. нарком Шахурин распорядился в приказе НКАП:</w:t>
      </w:r>
    </w:p>
    <w:p w14:paraId="32F8B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программе Филиала 1 заменили крылья Ла-5, а затем и Ла-7 (10752).</w:t>
      </w:r>
    </w:p>
    <w:p w14:paraId="0ACCAE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05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нарком Шахурин распорядился: «...Директору завода №464 тов.Перовскому передать к 25.08.43 заводу №381 для организации деревообделочного производства московский филиал завода №464 (быв. Красносельская мебельная фабрика), кроме территории 2».</w:t>
      </w:r>
    </w:p>
    <w:p w14:paraId="30D5B5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Крылья Як-6 в производственной программе Филиала 1 заменили крылья Ла-5, а затем и Ла-7.</w:t>
      </w:r>
    </w:p>
    <w:p w14:paraId="1192D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расположенной между 3-й и 2-й Рыбинскими улицами «территории №2» бывшей мебельной фабрики судьба с 1943 г. стала складываться по-другому (11242).</w:t>
      </w:r>
    </w:p>
    <w:p w14:paraId="49A28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121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по приказу № 487с мебельная фабрика Горместпрома, которая действовала на окраине парка Сокольники в д. 13 по 2-й Рыбинской ул. И выпускала упаковочную тару и мебель, была передана в качестве филиала № 1 заводу № 381 НКАП для организации деревообделочного производства и занималась выпуском деревянных частей крыла для истребителей Лавочкина (Завод № 329 МАП, ГКАТ, ОКБ-329 МАП,</w:t>
      </w:r>
      <w:r w:rsidRPr="00271E51">
        <w:rPr>
          <w:rFonts w:ascii="Times New Roman" w:hAnsi="Times New Roman"/>
          <w:smallCaps/>
          <w:color w:val="000000" w:themeColor="text1"/>
          <w:sz w:val="16"/>
          <w:szCs w:val="16"/>
        </w:rPr>
        <w:t xml:space="preserve"> Опытный</w:t>
      </w:r>
      <w:r w:rsidRPr="00271E51">
        <w:rPr>
          <w:rFonts w:ascii="Times New Roman" w:hAnsi="Times New Roman"/>
          <w:color w:val="000000" w:themeColor="text1"/>
          <w:sz w:val="16"/>
          <w:szCs w:val="16"/>
        </w:rPr>
        <w:t xml:space="preserve"> завод № 3 МАП, ГС опытный завод № 3 (ГСОЗ-З) МАП, Московский вертолётный завод (МВЗ), МВЗ им. </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xml:space="preserve">. Миля, АООТ, ОАО «Московский вертолётный завод им. </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Миля», ОАО «Корпорация «Вертолеты Миля» /г. Москва ул. 2-я Рыбинская, 13, ул. 2-я Рыбинская, 17/ /107113  г. Москва Сокольнический вал, 2А тел. 264-90-83/).</w:t>
      </w:r>
    </w:p>
    <w:p w14:paraId="4F8ED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НКАП № 4с от 10.01.1946 г. для расширения опытной базы и опытных работ по геликоптеростроению на фабрике размещено ОКБ-3 И.П. Братухина, переведенное с завода № 381 НКАП. Филиал передан как опытная база со всем имуществом и личным составом в подчинение ОКБ-3 из 1ГУ в 7ГУ. В соответствии с пост. СМ СССР № 3658-1485 от 29.09.1948 г. и приказом № 772 от 4.10.1948 г. на базе ОКБ-3 МАП образован опытный завод № 3 МАП. На заводе сконцентрировались основные работы по вертолетостроению.</w:t>
      </w:r>
    </w:p>
    <w:p w14:paraId="365BD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7.10.1948 г. при заводе № 3 образовано ОКБ-2 Н.И. Камова для работы по Ка-10.</w:t>
      </w:r>
    </w:p>
    <w:p w14:paraId="7C9B36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летно-экспериментальную станцию в Измайлово (1949 г.), ранее принадлежавшую ОКБ Братухина. Однако вскоре территория станции отошла под городскую застройку.</w:t>
      </w:r>
    </w:p>
    <w:p w14:paraId="699250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1951 г. ОКБ завода возглавил </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Миль, переведённый из ОКБ-4 МАП (Тушино) по приказу № 991 от 17.06.1951 г. С 10.1951 г. ОКБ стало полным хозяином завода.</w:t>
      </w:r>
    </w:p>
    <w:p w14:paraId="2D1CC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06.1953 г. завод № 3 переименован в завод № 329 МАП, и ОКБ, соответственно, получило обозначение ОКБ- 329. В 08.1957 г.- в ведении 1ГУ МАП. В 1967 г. завод № 329 переименован в МВЗ, с 1970 г., после смерти Миля - МВЗ им. М.Л. Миля. В 1993 г. завод преобразован в АООТ, в 1998 г.- в ОАО «МВЗ им. М.Л. Миля».</w:t>
      </w:r>
    </w:p>
    <w:p w14:paraId="4426A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летно-испытательную станцию в Тушино на аэродроме Захарково. Долгие годы станцией руководил Д.Т. Мацицкий. В начале 1964 г. решением Моссовета ЛИС завода была перебазирована из Захарково на территорию аэродрома НИИЭРА'Г в Люберцах.</w:t>
      </w:r>
    </w:p>
    <w:p w14:paraId="18FA8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к концу 1950-х  г. производственных мощностей завода не стало хватать (опытные В-8 строились на территории завода № 23 в Филях). Было предложение перевести ОКБ на территорию завода № 23, но затем 30.05.1960 г. СМ СССР принял постановление о строительстве опытного завода ОКБ на ст. Панки (пос. Котельники Люберецкого района) на территории бывших складов авиационной древесины. В 1963 г. были сданы первые корпуса, а в 1966 г. построен весь заводской комплекс. ОКБ осталось в Сокольниках. В 1990-х  г. построена лётно-испытатательная база в Чкаловской.</w:t>
      </w:r>
    </w:p>
    <w:p w14:paraId="5F10A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11.06.1954 г. вышло постановление СМ СССР № 1171-515сс «О создании транспортно-десантного вертолёта конструкции Миля...».</w:t>
      </w:r>
    </w:p>
    <w:p w14:paraId="1C599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1990-919сс от 21.09.1954 г. базовый вертолет ПЛО Ми-4М пнв и запущен в серию. 31.12.1959 г. вышло распоряжение правительства № 3725-рс об использовании Ми-4 в пассажирско-салонном варианте для особо важных полетов.</w:t>
      </w:r>
    </w:p>
    <w:p w14:paraId="34D8C4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794-324 от 19.09.1964 г. вертолет Ми-6 пнв.</w:t>
      </w:r>
    </w:p>
    <w:p w14:paraId="7B0155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25.10.1965 г. вышло постановление СМ СССР № 839-301 «О вооружении вертолета В-14».</w:t>
      </w:r>
    </w:p>
    <w:p w14:paraId="7D34B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583-208 от 25.07.1968 г. Ми-8Т пнв.</w:t>
      </w:r>
    </w:p>
    <w:p w14:paraId="6ABE94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Принимало участие в программе создания ОК «Буран».</w:t>
      </w:r>
    </w:p>
    <w:p w14:paraId="2C48B4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(2000-е  г.): по тяжелому транспортному Ми-46, среднему- Ми-38, модификациям Ми-28, транспортно- боевому Ми-40, легким Ми-34, Ми-52 и Ми-54. В 2002 г. создан легкий учебно-тренировочный Ми-бОМАИ совместно с КБ МАИ.</w:t>
      </w:r>
    </w:p>
    <w:p w14:paraId="7C439C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2002 г.серийно построено более 30.000 вертолетов марки «Ми», что составляет более 90 % выпуска всех вертолетов в СССР и России.</w:t>
      </w:r>
    </w:p>
    <w:p w14:paraId="48E07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 МВЗ входят (2002 г.): ОКБ, наземный экспериментально-исследовательский комплекс, опытный завод, летно-исследовательская база.</w:t>
      </w:r>
      <w:r w:rsidRPr="00271E51">
        <w:rPr>
          <w:rFonts w:ascii="Times New Roman" w:hAnsi="Times New Roman"/>
          <w:color w:val="000000" w:themeColor="text1"/>
          <w:sz w:val="16"/>
          <w:szCs w:val="16"/>
          <w:vertAlign w:val="superscript"/>
        </w:rPr>
        <w:t>69</w:t>
      </w:r>
    </w:p>
    <w:p w14:paraId="65376C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РФ от 29.11.2004 г. исключено из списка стратегических предприятий. В 12.2004 г. на базе МВЗ им. М.Л. Миля создана холдинговая компания ОАО «Корпорация «Вертолеты Миля». В нее также вошли: ОАО «У-УАЗ», ОАО «ММЗ «Вперед», СМПП, ОАО КВЗ, ОАО «Роствертол». В 05.2005 г. вошло в состав холдинга «Оборонпром».</w:t>
      </w:r>
    </w:p>
    <w:p w14:paraId="1A4B4D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(1946-51 г.)- И.П. Братухин, (1951-64 г.)- М.Л. Миль, (1970 г.-)- М.Н. Тищенко. Ген. конструктор (1964-70 г.)- М.Л. Миль {22.11.1909-31.01.1970}, (1981-91 г.)- М.Н. Тищенко {18.02.1931-}(затем преподавал в МАИ; в 2002 г.- научный консультант), (1991-97 г.)- М.В. Вайнберг {27.06.1937-}, (04.1997-99 г.)- Г А. Синелыциков {24.03.1947-}, (-2002-06 г.-&gt; А. Г. Самусенко.</w:t>
      </w:r>
    </w:p>
    <w:p w14:paraId="55EF2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(1953 г.-)- В.А. Кузнецов, Н. Г. Русанович, Е. Яблонский, (2000 г.)-  Г.А. Синелыциков; по Ми-28Н (1997 г.-)- М. Короткевич. Зам. Ген. Конструктора (1999-2000; 2002-05 г.)- М. Короткевич, (2002 г.)- А.В. Некрасов, (2006 г.)- А. Чунтул.</w:t>
      </w:r>
    </w:p>
    <w:p w14:paraId="52781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Ответственный руководитель (06.1953-70 г.)- М.Л. Миль, (1970-91 г.)- М.Н. Тищенко.</w:t>
      </w:r>
    </w:p>
    <w:p w14:paraId="654AE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(-1997 г.)- М.В. Вайнберг, (04.1997 г.-)-  Г.А. Синелыциков, (2001-12.2004 г.)- Ю.М. Андрианов, (2.12.2004-06 г.-)- А.Б. Шибитов. Исполнительный директор (03.2008 г.-)- М. Короткевич.</w:t>
      </w:r>
    </w:p>
    <w:p w14:paraId="05981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(2007-08 г.)- М. Короткевич. Зам. гендиректора: по организации производства (2002- 07 г.)- М. Короткевич; (-2005-06 г.-)- В. Макарейкин.</w:t>
      </w:r>
    </w:p>
    <w:p w14:paraId="36EA9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(2007-08 г.)- М. Короткевич. Коммерческий директор (2000-01 г.)- Д. Мантуров.</w:t>
      </w:r>
    </w:p>
    <w:p w14:paraId="5FD347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(1953 г.-)- Ю.Б. Эскин.</w:t>
      </w:r>
    </w:p>
    <w:p w14:paraId="47718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ОКБ (1953 г.-)-  Г.В. Козельков, (1963 г.-)- Е.В. Яблонский; и.о. начальника (1999-2000 г.)- М. Короткевич; (2000-02 г.)- М. Короткевич.</w:t>
      </w:r>
    </w:p>
    <w:p w14:paraId="689EB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(1953 г.-)- Н.Н. Леонтьев.</w:t>
      </w:r>
    </w:p>
    <w:p w14:paraId="2C35A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гл. металлург (1953 г.)- М.О. Парецкий.</w:t>
      </w:r>
    </w:p>
    <w:p w14:paraId="21DE0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программы Ми-28Н (1997 г.-)- М. Короткевич.</w:t>
      </w:r>
    </w:p>
    <w:p w14:paraId="5E3CC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проектного (-1970 г.)- М.Н. Тшценко.</w:t>
      </w:r>
    </w:p>
    <w:p w14:paraId="5BD33E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 начальника ЛИК по летной службе (2006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Климов.</w:t>
      </w:r>
    </w:p>
    <w:p w14:paraId="5206A2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(1990 г.-)- М. Короткевич.</w:t>
      </w:r>
    </w:p>
    <w:p w14:paraId="63994A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Летчики-испытатели: (2006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Климов.</w:t>
      </w:r>
    </w:p>
    <w:p w14:paraId="0AD2F9C3"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iCs/>
          <w:color w:val="000000" w:themeColor="text1"/>
          <w:sz w:val="16"/>
          <w:szCs w:val="16"/>
        </w:rPr>
        <w:t>Создано: вертолеты:</w:t>
      </w:r>
      <w:r w:rsidRPr="00271E51">
        <w:rPr>
          <w:rFonts w:ascii="Times New Roman" w:hAnsi="Times New Roman"/>
          <w:color w:val="000000" w:themeColor="text1"/>
          <w:sz w:val="16"/>
          <w:szCs w:val="16"/>
        </w:rPr>
        <w:t xml:space="preserve"> транспортные: Ми-2 (22.09.1961 г.), Ми-4 (3.06.1952 г.), Ми-4М (пнв 21.09.1954 г.), тяжелый Ми-6 (5.06.1957 г., пнв 19.09.1964 г.), В-8 (24.06.1961 г.), Ми-8 (2.08.1962 г.), Ми-10 (15.06.1960 г.), летающий кран Ми-ЮК (6.09.1966 г.), Ми-17, тяжелый Ми-26 (14.12.1977 г.); противолодочный Ми-14 (1.08.1967 г.), боевые ударные Ми-24 (15.09.1969 г.), Ми-24М (30.05.2000 г.), Ми-28 (10.11.1982 г.), ночной Ми-28Н (11.11.1997, пнв в 09.2007 г.); Ми-34, Ми-38 (22.12.2003 г.); опытные В-7, В-12 (27.06.1967 г.); экспериментальный на газовом топливе Ми-8ТТ (7.09.1987 г.); проект Ми-20.</w:t>
      </w:r>
      <w:r w:rsidRPr="00271E51">
        <w:rPr>
          <w:rFonts w:ascii="Times New Roman" w:hAnsi="Times New Roman"/>
          <w:color w:val="000000" w:themeColor="text1"/>
          <w:sz w:val="16"/>
          <w:szCs w:val="16"/>
          <w:vertAlign w:val="superscript"/>
        </w:rPr>
        <w:t>101</w:t>
      </w:r>
    </w:p>
    <w:p w14:paraId="5AC46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ОКБ-3 НКАП при МАИ, ОКБ-3 МАП при заводе № 3 МАП /г. Москва ул. 2-я Рыбинская, 17/</w:t>
      </w:r>
    </w:p>
    <w:p w14:paraId="3CB07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01.1940 г. при МАИ организовано вертолётное ОКБ. Сначала им руководил Б.Н. Юрьев, а с 04.1940 г.- И.П. Братухин.</w:t>
      </w:r>
    </w:p>
    <w:p w14:paraId="59AF02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ОКБ эвакуировано в Алма-Ату.</w:t>
      </w:r>
    </w:p>
    <w:p w14:paraId="29FD1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НКАП 19с от 1.01.1944 г.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6E1A28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7C98A8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07873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Приказом МАП от 05.1948 г. задавалась разработка реактивного вертолета с ПВРД или ПуВРД. Для этого распоряжением МАП от 12.1948 г. из состава ОКБ-3 </w:t>
      </w:r>
      <w:r w:rsidRPr="00271E51">
        <w:rPr>
          <w:rFonts w:ascii="Times New Roman" w:hAnsi="Times New Roman"/>
          <w:color w:val="000000" w:themeColor="text1"/>
          <w:sz w:val="16"/>
          <w:szCs w:val="16"/>
        </w:rPr>
        <w:lastRenderedPageBreak/>
        <w:t>выделена группа конструкторов СБИЖ (Ю.Л. Старинин- военпред ОКБ, Ю.С. Брагинский, Б</w:t>
      </w:r>
      <w:r w:rsidRPr="00271E51">
        <w:rPr>
          <w:rFonts w:ascii="Times New Roman" w:hAnsi="Times New Roman"/>
          <w:iCs/>
          <w:color w:val="000000" w:themeColor="text1"/>
          <w:sz w:val="16"/>
          <w:szCs w:val="16"/>
        </w:rPr>
        <w:t xml:space="preserve"> .Я.</w:t>
      </w:r>
      <w:r w:rsidRPr="00271E51">
        <w:rPr>
          <w:rFonts w:ascii="Times New Roman" w:hAnsi="Times New Roman"/>
          <w:color w:val="000000" w:themeColor="text1"/>
          <w:sz w:val="16"/>
          <w:szCs w:val="16"/>
        </w:rPr>
        <w:t xml:space="preserve"> Жеребцов), работавшая при ГСОЗ № 3 МАП.</w:t>
      </w:r>
    </w:p>
    <w:p w14:paraId="68B17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7BFAB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(1944-51 г.)- И.П. Братухин.</w:t>
      </w:r>
    </w:p>
    <w:p w14:paraId="5C4275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инженеры по испытаниям: (-1946-47 г.-)- Д.Т. Мацицкий, (1947 г.)-  Г.В. Ремезов.</w:t>
      </w:r>
    </w:p>
    <w:p w14:paraId="7CAC9DB7"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опытные вертолеты: «Омега» (08.1941 г.), «Омега II», Г-3, Г-4, Б-5, Б-9, Б-10, Б-11.</w:t>
      </w:r>
    </w:p>
    <w:p w14:paraId="052B7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при заводе № 3 МАП гл. конструктора Н.И. Камова /г. Москва ул. 2-я Рыбинская, 17/</w:t>
      </w:r>
    </w:p>
    <w:p w14:paraId="700963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Н.И. Камова образовано 7.10.1948 г. при заводе № 3 МАП в соответствии с пост, правительства № 3658-1485 от 29.09.1948 г. и приказом № 772 от 4.10.1948 г. для работ по Ка-10 и внедрению его в серию. Основой нового ОКБ стала конструкторская группа Н.И. Камова, работавшая при БНТ ЦАГИ в 1945-47 г. в Химках.</w:t>
      </w:r>
    </w:p>
    <w:p w14:paraId="33480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одноместный вертолет связи и наблюдения сосной схемы Ка-10 (первый полет 30.08.1949 г.), положивший начало большому семейству вертолетов сосной схемы, ставшей «фирменным знаком» Камова.</w:t>
      </w:r>
    </w:p>
    <w:p w14:paraId="6D949D58"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ОКБ-2 по приказу № 991 от 17.06.1951 г. переведено на завод № 82 МАП в Тушино и продолжило работу как ОКБ-4 МАГ1 гл. конструктора Н.И. Камова.</w:t>
      </w:r>
    </w:p>
    <w:p w14:paraId="79653A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Конструкторская группа СБИЖ</w:t>
      </w:r>
    </w:p>
    <w:p w14:paraId="3B7A3CDE"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Распоряжением МАП от 12.1948 г. из состава ОКБ-3 выделена группа конструкторов СБИЖ (Ю.Л. Старинин- военпред ОКБ, Ю.С. Брагинский, Б.Я. Жеребцов), работавшая при ГСОЗ № 3 МАП по созданию реактивного вертолета с ПВРД или ПуВРД. Пост. СМ от 07.1949 г. открыты работы по теме вертолета СБИЖ М-1. В 1949-50 г. вертолет построен и испытан (по другим сведениям, в 1952 г.). В 1951 г. работы по нему прекращены, и в 10.1951 г. группу СБИЖ перевели в ОКБ Камова.</w:t>
      </w:r>
      <w:r w:rsidRPr="00271E51">
        <w:rPr>
          <w:rFonts w:ascii="Times New Roman" w:hAnsi="Times New Roman"/>
          <w:color w:val="000000" w:themeColor="text1"/>
          <w:sz w:val="16"/>
          <w:szCs w:val="16"/>
          <w:vertAlign w:val="superscript"/>
        </w:rPr>
        <w:t>51</w:t>
      </w:r>
    </w:p>
    <w:p w14:paraId="5B7DE0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Спецбюро аэродромного оборудования</w:t>
      </w:r>
    </w:p>
    <w:p w14:paraId="071E2028"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Действовало на территории завода № 3 в конце 1940-х - начале 1950-х  г. Серийное производство стартовых установок запуска.</w:t>
      </w:r>
    </w:p>
    <w:p w14:paraId="29C45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3 МАП гл. конструктора М.Л. Миля /г. Москва ул. 2-я Рыбинская, 17/</w:t>
      </w:r>
    </w:p>
    <w:p w14:paraId="6C821D46" w14:textId="77777777" w:rsidR="0017357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991 от 17.06.1951 г. ОКБ-4 МАП гл. конструктора М.Л. Миля было переведено из Тушино в Сокольники на завод № 3 МАП для продолжения работ по вертолету ГМ-1. ОКБ разместилось в помещениях ликвидированного ОКБ И.П. Братухина. С этого времени ОКБ стало полным хозяином на заводе и неразрывно с ним связано.</w:t>
      </w:r>
    </w:p>
    <w:p w14:paraId="56A9FD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 1 на заводе № 387 ГКАТ /г. Казань/</w:t>
      </w:r>
    </w:p>
    <w:p w14:paraId="525D5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1960-х  г. для освоения серийного производства вертолетов организован филиал № 1 на заводе № 387 в Казани. Организатором и первым руководителем филиала стал  Г.И. Бакшаев. Далее филиал преобразован в ОКБ-387.</w:t>
      </w:r>
    </w:p>
    <w:p w14:paraId="61E549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Сконструирована и изготовлена пикирующая мишень ПМ-6 (госиспытания- в 1958 г.).</w:t>
      </w:r>
    </w:p>
    <w:p w14:paraId="34523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 2 на заводе № 168 ГКАТ /г. Ростов-на-Дону/</w:t>
      </w:r>
    </w:p>
    <w:p w14:paraId="51EF87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организацией выпуска Ми-6 на заводе № 168 в 1961 г. там организован филиал № 2 завода № 329. Организатором и первым руководителем филиала стал М.Б. Суворов.</w:t>
      </w:r>
    </w:p>
    <w:p w14:paraId="6D3E74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 3 завода № 329 /г. Феодосия/</w:t>
      </w:r>
    </w:p>
    <w:p w14:paraId="10017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1970 г. в Феодосии специально для проведения летных испытаний и доводки Ми-14 организован филиал № 3. Организатором и первым руководителем филиала стал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H</w:t>
      </w:r>
      <w:r w:rsidRPr="00271E51">
        <w:rPr>
          <w:rFonts w:ascii="Times New Roman" w:hAnsi="Times New Roman"/>
          <w:color w:val="000000" w:themeColor="text1"/>
          <w:sz w:val="16"/>
          <w:szCs w:val="16"/>
        </w:rPr>
        <w:t>. Бабушкин.</w:t>
      </w:r>
    </w:p>
    <w:p w14:paraId="242D00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АОЗТ, ОАО «ПО «Легкие вертолеты Ми» /103051  г. Москва ул. Петровка, 24 а/я 34 тел. 200-25-34/</w:t>
      </w:r>
    </w:p>
    <w:p w14:paraId="6D862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Образовано 14.04.1993 г. как АОЗТ.</w:t>
      </w:r>
    </w:p>
    <w:p w14:paraId="4E8D3E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вертолета Ми-34С, модификации вертолета Ми-34.</w:t>
      </w:r>
    </w:p>
    <w:p w14:paraId="1BA3B5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2008-09 г. предприятие являлось банкротом, имущество выставлено на торги.</w:t>
      </w:r>
    </w:p>
    <w:p w14:paraId="7274E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г.)- 50 чел.</w:t>
      </w:r>
    </w:p>
    <w:p w14:paraId="0AD27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(-2000-02 г.-)- М.В. Гринис. Конкурсный управляющий (04.2006 г.-)- Э. Ребгун.</w:t>
      </w:r>
    </w:p>
    <w:p w14:paraId="46E38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(2002 г.)-  Г. Д. Бадо.</w:t>
      </w:r>
      <w:r w:rsidRPr="00271E51">
        <w:rPr>
          <w:rFonts w:ascii="Times New Roman" w:hAnsi="Times New Roman"/>
          <w:color w:val="000000" w:themeColor="text1"/>
          <w:sz w:val="16"/>
          <w:szCs w:val="16"/>
          <w:vertAlign w:val="superscript"/>
        </w:rPr>
        <w:t>69</w:t>
      </w:r>
    </w:p>
    <w:p w14:paraId="217A8B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«Вертолеты России»</w:t>
      </w:r>
    </w:p>
    <w:p w14:paraId="753B7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2002 г. на базе «Оборонпрома» начато создание вертолетостроительного холдинга ОАО «Вертолеты России». На начало 2007 г. в него входили: МВЗ им. Миля, У-УАЗ, КВЗ, «Роствертол», ОАО «Камов», ММЗ «Вперед» и СМПП. ОАО являлось управляющей компанией МВЗ им. Миля.</w:t>
      </w:r>
    </w:p>
    <w:p w14:paraId="0541BF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11.2008 г. начато создание российско-итальянского СП с </w:t>
      </w:r>
      <w:r w:rsidRPr="00271E51">
        <w:rPr>
          <w:rFonts w:ascii="Times New Roman" w:hAnsi="Times New Roman"/>
          <w:color w:val="000000" w:themeColor="text1"/>
          <w:sz w:val="16"/>
          <w:szCs w:val="16"/>
          <w:lang w:val="en-US"/>
        </w:rPr>
        <w:t>AgustaWestland</w:t>
      </w:r>
      <w:r w:rsidRPr="00271E51">
        <w:rPr>
          <w:rFonts w:ascii="Times New Roman" w:hAnsi="Times New Roman"/>
          <w:color w:val="000000" w:themeColor="text1"/>
          <w:sz w:val="16"/>
          <w:szCs w:val="16"/>
        </w:rPr>
        <w:t xml:space="preserve"> для производства вертолета А139. Для этого планировалось строительство нового завода на площадке МВЗ им. Миля в  г. Панки.</w:t>
      </w:r>
    </w:p>
    <w:p w14:paraId="465F2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2009 г. создано с </w:t>
      </w:r>
      <w:r w:rsidRPr="00271E51">
        <w:rPr>
          <w:rFonts w:ascii="Times New Roman" w:hAnsi="Times New Roman"/>
          <w:color w:val="000000" w:themeColor="text1"/>
          <w:sz w:val="16"/>
          <w:szCs w:val="16"/>
          <w:lang w:val="en-US"/>
        </w:rPr>
        <w:t>AirfreightAviationLtd</w:t>
      </w:r>
      <w:r w:rsidRPr="00271E51">
        <w:rPr>
          <w:rFonts w:ascii="Times New Roman" w:hAnsi="Times New Roman"/>
          <w:color w:val="000000" w:themeColor="text1"/>
          <w:sz w:val="16"/>
          <w:szCs w:val="16"/>
        </w:rPr>
        <w:t xml:space="preserve">. СП </w:t>
      </w:r>
      <w:r w:rsidRPr="00271E51">
        <w:rPr>
          <w:rFonts w:ascii="Times New Roman" w:hAnsi="Times New Roman"/>
          <w:color w:val="000000" w:themeColor="text1"/>
          <w:sz w:val="16"/>
          <w:szCs w:val="16"/>
          <w:lang w:val="en-US"/>
        </w:rPr>
        <w:t>InternationalRotorCraftServices</w:t>
      </w:r>
      <w:r w:rsidRPr="00271E51">
        <w:rPr>
          <w:rFonts w:ascii="Times New Roman" w:hAnsi="Times New Roman"/>
          <w:color w:val="000000" w:themeColor="text1"/>
          <w:sz w:val="16"/>
          <w:szCs w:val="16"/>
        </w:rPr>
        <w:t xml:space="preserve"> по технической поддержке вертолетов Ми-8, Ми-17 на Ближнем и Среднем Востоке. В состав СП вошел сервисный центр У-УАЗа.</w:t>
      </w:r>
    </w:p>
    <w:p w14:paraId="4B128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(-2008-09 г.-)- А. Шибитов (11982).</w:t>
      </w:r>
    </w:p>
    <w:p w14:paraId="20BF2D7A" w14:textId="77777777" w:rsidR="00173575" w:rsidRPr="00271E51" w:rsidRDefault="0017357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06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года:</w:t>
      </w:r>
    </w:p>
    <w:p w14:paraId="7F6EA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ГОКО за № 3218/с от 21 апреля 1943 года ЛИИ НКАП ликвидирует свои филиалы в Казани и Новосибирске и производит реэвакуацию сотрудников в пос. Стаханово Московской области (8913).</w:t>
      </w:r>
    </w:p>
    <w:p w14:paraId="5209E5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DD19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D1DF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AD0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г. на курсах "Выстрел" проходили испытания 20-мм ПТР РЕС и 14,5-мм ПТР системы М.Н. Блюма. Из заключения комиссии: "по мощности и бронепробиваемому действию оба испытываемые образца ПТР РЕС и ПТР Блюма значительно превосходят состоящие на вооружении ПТРД и ПТРС и представляют, безусловно, надежное средство борьбы со средними танками типа Т-IV и даже с более мощными бронированными машинами". Малосерийное производство 20-мм ПТР РЕС велось на Ковровском заводе (ИНЗ-2). В 1942 году было изготовлено 28 ружей, а в 1943 году - 43 ружья, на чем производство их было закончено (3861).</w:t>
      </w:r>
    </w:p>
    <w:p w14:paraId="384E9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3AA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10 августа 1943 г. Котин выслал на завод № 9 НКВ письмо с просьбой рассмотреть возможность установ</w:t>
      </w:r>
      <w:r w:rsidRPr="00271E51">
        <w:rPr>
          <w:rFonts w:ascii="Times New Roman" w:hAnsi="Times New Roman"/>
          <w:color w:val="000000" w:themeColor="text1"/>
          <w:sz w:val="16"/>
          <w:szCs w:val="16"/>
        </w:rPr>
        <w:softHyphen/>
        <w:t>ки в башню танка ИС 122-мм орудия А-19. Руководство за</w:t>
      </w:r>
      <w:r w:rsidRPr="00271E51">
        <w:rPr>
          <w:rFonts w:ascii="Times New Roman" w:hAnsi="Times New Roman"/>
          <w:color w:val="000000" w:themeColor="text1"/>
          <w:sz w:val="16"/>
          <w:szCs w:val="16"/>
        </w:rPr>
        <w:softHyphen/>
        <w:t>вода и его артиллерийского КБ ответило, что разработанные и испытанные ими на пушке Д-5 и гаубице М-30 универ</w:t>
      </w:r>
      <w:r w:rsidRPr="00271E51">
        <w:rPr>
          <w:rFonts w:ascii="Times New Roman" w:hAnsi="Times New Roman"/>
          <w:color w:val="000000" w:themeColor="text1"/>
          <w:sz w:val="16"/>
          <w:szCs w:val="16"/>
        </w:rPr>
        <w:softHyphen/>
        <w:t>сальные противооткатные устройства позволяют установить в единой люльке все типы имеющихся полевых орудий, кро</w:t>
      </w:r>
      <w:r w:rsidRPr="00271E51">
        <w:rPr>
          <w:rFonts w:ascii="Times New Roman" w:hAnsi="Times New Roman"/>
          <w:color w:val="000000" w:themeColor="text1"/>
          <w:sz w:val="16"/>
          <w:szCs w:val="16"/>
        </w:rPr>
        <w:softHyphen/>
        <w:t>ме 152-мм пушки-гаубицы МЛ-20, и предложили Ж. Котину эскизные проекты установки в танковой башне 122-мм пуш</w:t>
      </w:r>
      <w:r w:rsidRPr="00271E51">
        <w:rPr>
          <w:rFonts w:ascii="Times New Roman" w:hAnsi="Times New Roman"/>
          <w:color w:val="000000" w:themeColor="text1"/>
          <w:sz w:val="16"/>
          <w:szCs w:val="16"/>
        </w:rPr>
        <w:softHyphen/>
        <w:t>ки А-19 и 152-мм гаубицы М-10. Правда, эти решения были возможны только при условии введения в конструкцию ука</w:t>
      </w:r>
      <w:r w:rsidRPr="00271E51">
        <w:rPr>
          <w:rFonts w:ascii="Times New Roman" w:hAnsi="Times New Roman"/>
          <w:color w:val="000000" w:themeColor="text1"/>
          <w:sz w:val="16"/>
          <w:szCs w:val="16"/>
        </w:rPr>
        <w:softHyphen/>
        <w:t>занных орудий дульного тормоза.</w:t>
      </w:r>
    </w:p>
    <w:p w14:paraId="13B8F0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 танка ИС со 122-мм пушкой А-19 очень понра</w:t>
      </w:r>
      <w:r w:rsidRPr="00271E51">
        <w:rPr>
          <w:rFonts w:ascii="Times New Roman" w:hAnsi="Times New Roman"/>
          <w:color w:val="000000" w:themeColor="text1"/>
          <w:sz w:val="16"/>
          <w:szCs w:val="16"/>
        </w:rPr>
        <w:softHyphen/>
        <w:t>вился наркому танковой промышленности В. Малышеву, но военные протестовали против дульного тормоза, считая, что его применение будет демаскировать танк при выстрелах, а также не позволит пехотному десанту вести бой, находясь на броне боевой машины. Впоследствии боевой опыт подтвер</w:t>
      </w:r>
      <w:r w:rsidRPr="00271E51">
        <w:rPr>
          <w:rFonts w:ascii="Times New Roman" w:hAnsi="Times New Roman"/>
          <w:color w:val="000000" w:themeColor="text1"/>
          <w:sz w:val="16"/>
          <w:szCs w:val="16"/>
        </w:rPr>
        <w:softHyphen/>
        <w:t>дил их правоту, но иного решения в то время не было — сроч</w:t>
      </w:r>
      <w:r w:rsidRPr="00271E51">
        <w:rPr>
          <w:rFonts w:ascii="Times New Roman" w:hAnsi="Times New Roman"/>
          <w:color w:val="000000" w:themeColor="text1"/>
          <w:sz w:val="16"/>
          <w:szCs w:val="16"/>
        </w:rPr>
        <w:softHyphen/>
        <w:t>но нужна была мощная танковая пушка для тяжелого танка.</w:t>
      </w:r>
    </w:p>
    <w:p w14:paraId="38F949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НКВ заводу № 9 предписывалось провести сроч</w:t>
      </w:r>
      <w:r w:rsidRPr="00271E51">
        <w:rPr>
          <w:rFonts w:ascii="Times New Roman" w:hAnsi="Times New Roman"/>
          <w:color w:val="000000" w:themeColor="text1"/>
          <w:sz w:val="16"/>
          <w:szCs w:val="16"/>
        </w:rPr>
        <w:softHyphen/>
        <w:t>ное изготовление танкового варианта орудия А-19 с поршне</w:t>
      </w:r>
      <w:r w:rsidRPr="00271E51">
        <w:rPr>
          <w:rFonts w:ascii="Times New Roman" w:hAnsi="Times New Roman"/>
          <w:color w:val="000000" w:themeColor="text1"/>
          <w:sz w:val="16"/>
          <w:szCs w:val="16"/>
        </w:rPr>
        <w:softHyphen/>
        <w:t>вым затвором и испытать его к 11 ноября 1943 г.</w:t>
      </w:r>
    </w:p>
    <w:p w14:paraId="4E90F2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КБ завода № 9 провело срочную рабо</w:t>
      </w:r>
      <w:r w:rsidRPr="00271E51">
        <w:rPr>
          <w:rFonts w:ascii="Times New Roman" w:hAnsi="Times New Roman"/>
          <w:color w:val="000000" w:themeColor="text1"/>
          <w:sz w:val="16"/>
          <w:szCs w:val="16"/>
        </w:rPr>
        <w:softHyphen/>
        <w:t>ту по созданию 122-мм танковой пушки Д-25. При этом от</w:t>
      </w:r>
      <w:r w:rsidRPr="00271E51">
        <w:rPr>
          <w:rFonts w:ascii="Times New Roman" w:hAnsi="Times New Roman"/>
          <w:color w:val="000000" w:themeColor="text1"/>
          <w:sz w:val="16"/>
          <w:szCs w:val="16"/>
        </w:rPr>
        <w:softHyphen/>
        <w:t>катные части опытной полевой пушки обр. 1943 г. Д-2, имеющей баллистику 122-мм корпусной пушки обр. 1931 г. А-19, с укороченным на 240 мм стволом были помещены в люльку танкового 85-мм орудия Д-5, у которого были поставлены немного удлиненные тормоз отката и накат</w:t>
      </w:r>
      <w:r w:rsidRPr="00271E51">
        <w:rPr>
          <w:rFonts w:ascii="Times New Roman" w:hAnsi="Times New Roman"/>
          <w:color w:val="000000" w:themeColor="text1"/>
          <w:sz w:val="16"/>
          <w:szCs w:val="16"/>
        </w:rPr>
        <w:softHyphen/>
        <w:t>ник. Так как вес орудия возрос почти на тонну, на него по</w:t>
      </w:r>
      <w:r w:rsidRPr="00271E51">
        <w:rPr>
          <w:rFonts w:ascii="Times New Roman" w:hAnsi="Times New Roman"/>
          <w:color w:val="000000" w:themeColor="text1"/>
          <w:sz w:val="16"/>
          <w:szCs w:val="16"/>
        </w:rPr>
        <w:softHyphen/>
        <w:t>ставили новый подъемный механизм. 30 сентября танк, получивший индекс «Объект 240», был готов и прошел за</w:t>
      </w:r>
      <w:r w:rsidRPr="00271E51">
        <w:rPr>
          <w:rFonts w:ascii="Times New Roman" w:hAnsi="Times New Roman"/>
          <w:color w:val="000000" w:themeColor="text1"/>
          <w:sz w:val="16"/>
          <w:szCs w:val="16"/>
        </w:rPr>
        <w:softHyphen/>
        <w:t>водские испытания пробегом на расстояние 50 км с засто</w:t>
      </w:r>
      <w:r w:rsidRPr="00271E51">
        <w:rPr>
          <w:rFonts w:ascii="Times New Roman" w:hAnsi="Times New Roman"/>
          <w:color w:val="000000" w:themeColor="text1"/>
          <w:sz w:val="16"/>
          <w:szCs w:val="16"/>
        </w:rPr>
        <w:softHyphen/>
        <w:t>поренным и расстопоренным орудием, а также стрельбой серии из 15 выстрелов.</w:t>
      </w:r>
    </w:p>
    <w:p w14:paraId="29B7A9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Стрельбы прошли успешно, но не без неожиданностей. Конструктор Н. Шашмурин с каким-то упоением рассказы</w:t>
      </w:r>
      <w:r w:rsidRPr="00271E51">
        <w:rPr>
          <w:rFonts w:ascii="Times New Roman" w:hAnsi="Times New Roman"/>
          <w:color w:val="000000" w:themeColor="text1"/>
          <w:sz w:val="16"/>
          <w:szCs w:val="16"/>
        </w:rPr>
        <w:softHyphen/>
        <w:t>вал, как во время первого же выстрела литой Т-образный дульный тормоз пушки разорвало и разлетевшимися оскол</w:t>
      </w:r>
      <w:r w:rsidRPr="00271E51">
        <w:rPr>
          <w:rFonts w:ascii="Times New Roman" w:hAnsi="Times New Roman"/>
          <w:color w:val="000000" w:themeColor="text1"/>
          <w:sz w:val="16"/>
          <w:szCs w:val="16"/>
        </w:rPr>
        <w:softHyphen/>
        <w:t>ками едва не задело присутствовавшего здесь К. Ворошило</w:t>
      </w:r>
      <w:r w:rsidRPr="00271E51">
        <w:rPr>
          <w:rFonts w:ascii="Times New Roman" w:hAnsi="Times New Roman"/>
          <w:color w:val="000000" w:themeColor="text1"/>
          <w:sz w:val="16"/>
          <w:szCs w:val="16"/>
        </w:rPr>
        <w:softHyphen/>
        <w:t>ва. В отчете же по испытаниям нет ни слова о разрыве тормо</w:t>
      </w:r>
      <w:r w:rsidRPr="00271E51">
        <w:rPr>
          <w:rFonts w:ascii="Times New Roman" w:hAnsi="Times New Roman"/>
          <w:color w:val="000000" w:themeColor="text1"/>
          <w:sz w:val="16"/>
          <w:szCs w:val="16"/>
        </w:rPr>
        <w:softHyphen/>
        <w:t>за, хотя сказано, что дульный тормоз был снят с испытаний по причине «ненадежного крепления и появления трещин»...(11135).</w:t>
      </w:r>
    </w:p>
    <w:p w14:paraId="05DF3C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7ACC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74D4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139E9"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в 1943 году оперативная сводка Совинформбюро:</w:t>
      </w:r>
    </w:p>
    <w:p w14:paraId="01C78361"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10 августа наши войска на Брянском направлении, преодолевая сопротивление противника, продолжали наступление, заняли свыше 30 населённых пунктов и среди них районный центр и железнодорожную станцию Хотынец (26 километров восточнее Карачева).</w:t>
      </w:r>
    </w:p>
    <w:p w14:paraId="5E07CAA5"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 развивать наступление и, продвинувшись вперёд от 8 до 12 километров, заняли свыше 70 населённых пунктов, в том числе районный центр Липцы (20 километров северо-восточнее Харькова), районный центр Старый Салтов, районный центр Печенеги, крупные населённые пункты БОЛЬШОЙ БОБРИК (22 километра юго-восточнее Сумы), Боромля, Кириковка, Козьевка, Шаровка, Большая Рогозянка, Большие Проходы, Весёлое, Пятницкое (35 километров восточнее Харькова, на западном берегу Северного Донца) и железнодорожные станции Скряговка, Кириковка, Спицин,Гуты, Гавриши, Рогозянка (22 километра северо-западнее Харькова).</w:t>
      </w:r>
    </w:p>
    <w:p w14:paraId="6BF614CD"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боевую разведку и артиллерийско-миномётную перестрелку с противником.</w:t>
      </w:r>
    </w:p>
    <w:p w14:paraId="5A88ECCA"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августа наши войска на всех фронтах подбили и уничтожили 35 немецких танков. В воздушных боях и огнём зенитной артиллерии сбито 84 самолёта противника.</w:t>
      </w:r>
    </w:p>
    <w:p w14:paraId="51F0E603"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21B4D8C2"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Орла ожесточённые бои развернулись за участок железной дорогив районе станции Хотынец. Немцы подтянули сюда два бронепоезда, крупные силы пехоты и танков. После упорных боёв советские части сломили сопротивление противника, продвинулись на 6 километров и подошли вплотную к Хотынцу с севера и востока. В это же время подразделения части, где командиром т. Солдатов, захватили населённый пункт Образцово, расположенный южнее Хотынца, и ударили по врагу с тыла. В ожесточённом бою немцы были разгромлены. Наши войска заняли районный центр и железнодорожную станцию Хотынец и продолжают преследовать отступающего противника. Один немецкий бронепоезд подбит нашими артиллеристами.Части Н-ского соединения, действующие западнее Орла, стремительным ударом ворвались на немецкий аэродром и захватили 25 самолётов, 5 танков, 15 орудий, склад горючего и 30 тысяч авиабомб.</w:t>
      </w:r>
    </w:p>
    <w:p w14:paraId="31EC51E2"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Кромы Н-ское соединение, преодолевая сопротивление противника, овладело 14 населёнными пунктами. В боях за эти пункты уничтожено более 1.000 гитлеровцев. Захвачены у противника 10 танков, 6 орудий, 4 шестиствольных миномёта и склад боеприпасов. На другом участке наши войска, отражая ожесточенные атаки немцев, подошли к крупному населённому пункту. За два дня боёв на этом участке наши части уничтожили до полка немецкой пехоты, захватили 17 орудий, 86 пулемётов и другие трофеи.</w:t>
      </w:r>
    </w:p>
    <w:p w14:paraId="520E28E9"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успешное наступление.</w:t>
      </w:r>
    </w:p>
    <w:p w14:paraId="04445C5F"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и западнее Харькова советские войска, перемалывая подошедшие резервы противника, продвигались вперёд и заняли ряд населённых пунктов. Н-ская часть в результате ночной атаки заняла крупные населённые пункты Большой Бобрик и Боромля (юго-восточнее города Сумы). Бойцы Н-ского соединения уничтожили до 1.500 гитлеровцев и захватили 42 орудия разного калибра, 130 пулемётов, 300 повозок и другие трофеи. На одной из железнодорожных станций захвачены у немцев 250автомашин с различными грузами.</w:t>
      </w:r>
    </w:p>
    <w:p w14:paraId="4D98674D"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северо-восточнее Харькова Н-ское соединение продвинулось до 12 километров и заняло районный центр Липцы. Бойцы другого соединения переправилисьчерез реку Северный Донец и в результате ожесточённого боя овладели районными центрами Старый Салтов, Печенеги и крупным населённым пунктом Пятницкое. Преследуя противника, наши части уничтожили свыше 1.000 немецких солдат и офицеров, подбили и уничтожили 12 танков. Захвачены у противника 10 танков, 7 самоходных и 36 полевых орудий, 13 радиостанций, 3 склада боеприпасов и вещевой склад.</w:t>
      </w:r>
    </w:p>
    <w:p w14:paraId="6ABFD70D"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и командиры Красной Армии проявляют высокий героизм, освобождая от немецких оккупантов родные сёла и города Украинской республики. Танк младшего лейтенанта Куксова ворвался на огневую позицию противника, сжёг 2 немецких танка, уничтожил 4 самоходных орудия и истребил 80 гитлеровцев. Лейтенант Мусатов, сержант Тюпин и красноармеец Ибрагимов, выполняя поручение своего командира, встретили взвод немецких автоматчиков. Наши бойцы убили нескольких гитлеровцев, ранили немецкого офицера и взяли в плен 19 немецких солдат. Красноармеец Панасенко, находясь в разведке, захватил в плен 3 немцев и привёл их в свою часть.</w:t>
      </w:r>
    </w:p>
    <w:p w14:paraId="5CAA0502"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поддерживает действия наземных войск и наносит удары по колоннам пехоты и технике противника. В воздушных боях наши лётчики в течение дня сбили 46 немецких самолётов.</w:t>
      </w:r>
    </w:p>
    <w:p w14:paraId="018EFE2A"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Изюма полк пехоты и танки противника утром атаковали наши позиции. Наши бойцы встретили немцев интенсивным артиллерийским и пулемётным огнём и отбили атаку противника. На поле боя осталось 460 вражеских трупов и 6 сгоревших немецких танков. Захвачено у противника 4 орудия, 8 миномётов, 2 тягача, 59 пулеметов и 300 винтовок.</w:t>
      </w:r>
    </w:p>
    <w:p w14:paraId="65B93BF7"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совершили налёт на станцию Лозовая и сожгли 7 железнодорожных эшелонов противника. Эффективной бомбардировке были подвергнуты также немецкие воинские эшелоны на станциях Барвенково, Красноград, Мерефа, Тарановка, Новопавловка.</w:t>
      </w:r>
    </w:p>
    <w:p w14:paraId="0E3E611B"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батальон немецкой пехоты при поддержке 15 танков пытался боем разведать нашу оборону. Четыре немецких танка подорвались на нашем минном поле, а два танка и два самоходных орудия были подбиты огнём советской артиллерии. Немецкая пехота, оставшись без прикрытия танков, была рассеяна и частью уничтожена.</w:t>
      </w:r>
    </w:p>
    <w:p w14:paraId="0A1FF6BE"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подразделение под командованием т. Барыбина ворвалось в расположение противника и разгромило штаб немецкой части. Советские бойцы уничтожили 30 немецких солдат и офицеров, захватили штабные документы, 10 радиостанций, 25 станковых пулемётов, 2 орудия, несколько автомашин и другие трофеи.</w:t>
      </w:r>
    </w:p>
    <w:p w14:paraId="074997C4"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в течение дня уничтожили до 400 солдат и офицеров противника. Огнём артиллерии и миномётов разрушено и повреждено 57 немецких дзотов, 9 блиндажей, 2 наблюдательных пункта и взорвано 3 склада боеприпасов.</w:t>
      </w:r>
    </w:p>
    <w:p w14:paraId="2D4FEB48" w14:textId="77777777" w:rsidR="00173575" w:rsidRPr="00271E51" w:rsidRDefault="0017357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Черниговской области, взорвал два железнодорожных моста на дороге, по которой было отмечено усиленное движение поездов к линии фронта. В другом районе партизаны-подрывники пустили под откос два немецких воинских эшелона. В Каменец-Подольской области партизанский отряд пустил под откос эшелон противника. В результате крушения поезда и взрыва разбит паровоз, сгорели 11 цистерн и 23 платформы, гружённых бочками с бензином.» (14979).</w:t>
      </w:r>
    </w:p>
    <w:p w14:paraId="6E020205" w14:textId="77777777" w:rsidR="00173575" w:rsidRPr="00271E51" w:rsidRDefault="00173575" w:rsidP="00271E51">
      <w:pPr>
        <w:spacing w:after="0" w:line="240" w:lineRule="auto"/>
        <w:jc w:val="both"/>
        <w:rPr>
          <w:rFonts w:ascii="Times New Roman" w:hAnsi="Times New Roman"/>
          <w:color w:val="000000" w:themeColor="text1"/>
          <w:sz w:val="16"/>
          <w:szCs w:val="16"/>
        </w:rPr>
      </w:pPr>
    </w:p>
    <w:p w14:paraId="5E1463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 6.35 воздушная развед</w:t>
      </w:r>
      <w:r w:rsidRPr="00271E51">
        <w:rPr>
          <w:rFonts w:ascii="Times New Roman" w:hAnsi="Times New Roman"/>
          <w:color w:val="000000" w:themeColor="text1"/>
          <w:sz w:val="16"/>
          <w:szCs w:val="16"/>
        </w:rPr>
        <w:softHyphen/>
        <w:t>ка по радио донесла, что в районе Пана</w:t>
      </w:r>
      <w:r w:rsidRPr="00271E51">
        <w:rPr>
          <w:rFonts w:ascii="Times New Roman" w:hAnsi="Times New Roman"/>
          <w:color w:val="000000" w:themeColor="text1"/>
          <w:sz w:val="16"/>
          <w:szCs w:val="16"/>
        </w:rPr>
        <w:softHyphen/>
        <w:t>гия - м. Железный Рог обнаружены 8 БДБ противника с грузом и живой си</w:t>
      </w:r>
      <w:r w:rsidRPr="00271E51">
        <w:rPr>
          <w:rFonts w:ascii="Times New Roman" w:hAnsi="Times New Roman"/>
          <w:color w:val="000000" w:themeColor="text1"/>
          <w:sz w:val="16"/>
          <w:szCs w:val="16"/>
        </w:rPr>
        <w:softHyphen/>
        <w:t>лой, идущих на Анапу в двухкильватер</w:t>
      </w:r>
      <w:r w:rsidRPr="00271E51">
        <w:rPr>
          <w:rFonts w:ascii="Times New Roman" w:hAnsi="Times New Roman"/>
          <w:color w:val="000000" w:themeColor="text1"/>
          <w:sz w:val="16"/>
          <w:szCs w:val="16"/>
        </w:rPr>
        <w:softHyphen/>
        <w:t xml:space="preserve">ной колонне под охраной четырех СКА в голове колонны. Для удара по конвою вылетели 7 Ил-2 8-го </w:t>
      </w:r>
      <w:r w:rsidRPr="00271E51">
        <w:rPr>
          <w:rFonts w:ascii="Times New Roman" w:hAnsi="Times New Roman"/>
          <w:iCs/>
          <w:color w:val="000000" w:themeColor="text1"/>
          <w:sz w:val="16"/>
          <w:szCs w:val="16"/>
        </w:rPr>
        <w:t>гшап</w:t>
      </w:r>
      <w:r w:rsidRPr="00271E51">
        <w:rPr>
          <w:rFonts w:ascii="Times New Roman" w:hAnsi="Times New Roman"/>
          <w:color w:val="000000" w:themeColor="text1"/>
          <w:sz w:val="16"/>
          <w:szCs w:val="16"/>
        </w:rPr>
        <w:t xml:space="preserve"> (ведущий к-н Вартаньян) под прикрытием 10 Як-1 9-го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(ведущий к-н Азаров). В 7.55 в районе оз. Соленое с высоты 900 м штурмовики атаковали БДБ (координа</w:t>
      </w:r>
      <w:r w:rsidRPr="00271E51">
        <w:rPr>
          <w:rFonts w:ascii="Times New Roman" w:hAnsi="Times New Roman"/>
          <w:color w:val="000000" w:themeColor="text1"/>
          <w:sz w:val="16"/>
          <w:szCs w:val="16"/>
        </w:rPr>
        <w:softHyphen/>
        <w:t>ты 45° с.ш. и 36' в.д.) с крутого пла</w:t>
      </w:r>
      <w:r w:rsidRPr="00271E51">
        <w:rPr>
          <w:rFonts w:ascii="Times New Roman" w:hAnsi="Times New Roman"/>
          <w:color w:val="000000" w:themeColor="text1"/>
          <w:sz w:val="16"/>
          <w:szCs w:val="16"/>
        </w:rPr>
        <w:softHyphen/>
        <w:t>нирования под углом 25-30°. Первый заход выполнялся в боевом порядке "фронт" самолетов с правого борта. Обе атаки производились под углом 80-90° к курсу кораблей. После атаки штурмови</w:t>
      </w:r>
      <w:r w:rsidRPr="00271E51">
        <w:rPr>
          <w:rFonts w:ascii="Times New Roman" w:hAnsi="Times New Roman"/>
          <w:color w:val="000000" w:themeColor="text1"/>
          <w:sz w:val="16"/>
          <w:szCs w:val="16"/>
        </w:rPr>
        <w:softHyphen/>
        <w:t>ки выполнили поворот "все вдруг" и ата</w:t>
      </w:r>
      <w:r w:rsidRPr="00271E51">
        <w:rPr>
          <w:rFonts w:ascii="Times New Roman" w:hAnsi="Times New Roman"/>
          <w:color w:val="000000" w:themeColor="text1"/>
          <w:sz w:val="16"/>
          <w:szCs w:val="16"/>
        </w:rPr>
        <w:softHyphen/>
        <w:t>ковали конвой с левого борта с высоты 25-50 м. БДБ поражались бомбами ФАБ-50, АО-25, РОФС-132, PC-82, пулеметно-пушечным огнем и гранулированным фосфором. Конвой противника во вре</w:t>
      </w:r>
      <w:r w:rsidRPr="00271E51">
        <w:rPr>
          <w:rFonts w:ascii="Times New Roman" w:hAnsi="Times New Roman"/>
          <w:color w:val="000000" w:themeColor="text1"/>
          <w:sz w:val="16"/>
          <w:szCs w:val="16"/>
        </w:rPr>
        <w:softHyphen/>
        <w:t>мя удара маневрировал, меняя курс и ход, перестраивался в шахматный поря</w:t>
      </w:r>
      <w:r w:rsidRPr="00271E51">
        <w:rPr>
          <w:rFonts w:ascii="Times New Roman" w:hAnsi="Times New Roman"/>
          <w:color w:val="000000" w:themeColor="text1"/>
          <w:sz w:val="16"/>
          <w:szCs w:val="16"/>
        </w:rPr>
        <w:softHyphen/>
        <w:t>док. В результате удара были потопле</w:t>
      </w:r>
      <w:r w:rsidRPr="00271E51">
        <w:rPr>
          <w:rFonts w:ascii="Times New Roman" w:hAnsi="Times New Roman"/>
          <w:color w:val="000000" w:themeColor="text1"/>
          <w:sz w:val="16"/>
          <w:szCs w:val="16"/>
        </w:rPr>
        <w:softHyphen/>
        <w:t>ны одна БДБ и один СКА, две БДБ заго</w:t>
      </w:r>
      <w:r w:rsidRPr="00271E51">
        <w:rPr>
          <w:rFonts w:ascii="Times New Roman" w:hAnsi="Times New Roman"/>
          <w:color w:val="000000" w:themeColor="text1"/>
          <w:sz w:val="16"/>
          <w:szCs w:val="16"/>
        </w:rPr>
        <w:softHyphen/>
        <w:t>релись, и люди с них прыгали в воду. На отходе от цели группа была атакова</w:t>
      </w:r>
      <w:r w:rsidRPr="00271E51">
        <w:rPr>
          <w:rFonts w:ascii="Times New Roman" w:hAnsi="Times New Roman"/>
          <w:color w:val="000000" w:themeColor="text1"/>
          <w:sz w:val="16"/>
          <w:szCs w:val="16"/>
        </w:rPr>
        <w:softHyphen/>
        <w:t>на 4 Bf 109 и 2 Fw 190, однако хорошее управление и взаимодействие штурмо</w:t>
      </w:r>
      <w:r w:rsidRPr="00271E51">
        <w:rPr>
          <w:rFonts w:ascii="Times New Roman" w:hAnsi="Times New Roman"/>
          <w:color w:val="000000" w:themeColor="text1"/>
          <w:sz w:val="16"/>
          <w:szCs w:val="16"/>
        </w:rPr>
        <w:softHyphen/>
        <w:t>виков с истребителями прикрытия в бою обеспечили группу от потерь (6467).</w:t>
      </w:r>
    </w:p>
    <w:p w14:paraId="4F4CC9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E4FD1"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10 августа 1943 советский самолет-разведчик в 6.35 обнаружил в нескольких милях от мыса Панагия немецко-румынский конвой, шедший курсом на Анапу. В него входили восемь десантных барж и четыре сторожевых катера. Для удара по конвою вылетели семь Ил-2 из 8-го гв. шап во главе с гвардии капитаном В. М. Вартаньяном, которых сопровождали Як-1. В 7.55 пилоты «горбатых» увидели суда и с высоты около тысячи метров сбросили на них бомбы ФАБ-50 и АО-25, а потом выпустили «эрэсы» и обстреляли их из пушек. Вся атака была выполнена без вхождения в зону эффективного огня малокалиберных зениток, стоявших на кораблях конвоя. Это позволило штурмовикам избежать потерь, но и результат удара оказался нулевым (19522).</w:t>
      </w:r>
    </w:p>
    <w:p w14:paraId="1EA8D3FA" w14:textId="77777777" w:rsidR="002B06C1" w:rsidRPr="00271E51" w:rsidRDefault="002B06C1" w:rsidP="00271E51">
      <w:pPr>
        <w:pStyle w:val="ae"/>
        <w:spacing w:before="0" w:after="0"/>
        <w:jc w:val="both"/>
        <w:textAlignment w:val="baseline"/>
        <w:rPr>
          <w:color w:val="000000" w:themeColor="text1"/>
          <w:sz w:val="16"/>
          <w:szCs w:val="16"/>
        </w:rPr>
      </w:pPr>
    </w:p>
    <w:p w14:paraId="4DD8E97F"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В Отношении 10 августа 1943 Летчик 800-го шап Михаил Степанов позднее писал:</w:t>
      </w:r>
    </w:p>
    <w:p w14:paraId="15829883" w14:textId="77777777" w:rsidR="002B06C1" w:rsidRPr="00271E51" w:rsidRDefault="002B06C1"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«Удар должна была произвести группа в 18 самолетов Ил-2 под прикрытием 12 истребителей Як-1. Взлет был произведен с рассветом. Группа, собравшись над аэродромом, в боевом порядке трех шестерок из «клина» звеньев, с набором высоты легла на курс к аэродрому истребителей, который находился в 40 км от аэродрома штурмовиков. Несмотря на то что на аэродроме истребителей находился офицер связи, связанный телефоном с аэродромом штурмовиков, встреча с истребителями была произведена с большим трудом из-за плохой видимости и только при помощи радио, пользование которым до цели не рекомендовалось (для лучшей скрытности налета)».</w:t>
      </w:r>
    </w:p>
    <w:p w14:paraId="4E21983B"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Дальнейший полет к цели проходил в нервозной обстановке. После пересечения линии фронта летчики увидели впереди плотную облачность на высоте 100–1200 метров. Набрав высоту полтора километра, Илы и Яки пошли над тучами. Пролетев над железной дорогой Белгород — Харьков и углубившись на немецкую территорию, группа сделала крутой разворот влево, чтобы зайти на аэродром с северо-восточного направления. Он находился на северной окраине Харькова, и вскоре, несмотря на утреннюю дымку, пилоты могли отчетливо видеть городские кварталы и площади. Но гораздо неприятнее оказался вид разрывавшихся в небе зенитных снарядов. Тем не менее штурмовики продолжали идти на объект.</w:t>
      </w:r>
    </w:p>
    <w:p w14:paraId="79D9E393"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lastRenderedPageBreak/>
        <w:t>Вскоре показалось летное поле и стоянки самолетов. Степанов продолжал свой рассказ:</w:t>
      </w:r>
    </w:p>
    <w:p w14:paraId="36FC7DEE" w14:textId="77777777" w:rsidR="002B06C1" w:rsidRPr="00271E51" w:rsidRDefault="002B06C1"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«Удар был произведен шестерками с крутого планирования с углом до 40 градусов. На аэродроме, видимо, уже начиналась работа, потому что многие самолеты рулили и стояли на старте, помимо того, что большое количество было сосредоточено на стоянках, особенно у ангаров с западной стороны аэродрома. Штурмовики нанесли ряд последовательных ударов шестерками, используя всю мощь вооружения самолетов Ил-2».</w:t>
      </w:r>
    </w:p>
    <w:p w14:paraId="0F77F34C"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После выхода из атаки группа была атакована истребителями Bf-109, однако серьезных потерь не понесла.</w:t>
      </w:r>
    </w:p>
    <w:p w14:paraId="07BD6A4D"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5 августа 1943 немецкие войска оставили Белгород. Фронт постепенно приближался к базам, с которых с далекой осени 1941 г. действовали самолеты люфтваффе. В ночь на 6 августа бомбардировщики А-20 и Ил-4 из 6-го авиакорпуса дальнего действия генерал-майора Г. Н. Туликова нанесли удар по аэродрому Померки. В последующие две ночи налеты на этот объект повторились, однако бомбежки не принесли никаких видимых результатов. Тогда днем 9 августа Померки с пикирования атаковали Пе-2 из 1-го бак полковника И. С. Полбина. И снова все бомбы легли мимо! После этого к делу были опять привлечены штурмовики.</w:t>
      </w:r>
    </w:p>
    <w:p w14:paraId="08A3CE96"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266-й шад полковника Ф. Г. Родякина поручили разбомбить Померки, а 800-й шап подполковника А. И. Митрофанова получил приказ атаковать аэродром Харьков-Сокольники. По советской традиции боевая задача им была поставлена в самый последний момент, поздно вечером 9 августа. Согласно хитроумному замыслу штабистов, атаку целей нужно было произвести на рассвете следующего дня с северо-западного направления, дабы появиться над ними с темной стороны горизонта.</w:t>
      </w:r>
    </w:p>
    <w:p w14:paraId="0F391654" w14:textId="77777777" w:rsidR="002B06C1" w:rsidRPr="00271E51" w:rsidRDefault="002B06C1" w:rsidP="00271E51">
      <w:pPr>
        <w:pStyle w:val="ae"/>
        <w:spacing w:before="0" w:after="0"/>
        <w:jc w:val="both"/>
        <w:textAlignment w:val="baseline"/>
        <w:rPr>
          <w:color w:val="000000" w:themeColor="text1"/>
          <w:sz w:val="16"/>
          <w:szCs w:val="16"/>
        </w:rPr>
      </w:pPr>
      <w:r w:rsidRPr="00271E51">
        <w:rPr>
          <w:color w:val="000000" w:themeColor="text1"/>
          <w:sz w:val="16"/>
          <w:szCs w:val="16"/>
        </w:rPr>
        <w:t>В общей сложности летчики 800-го шап отчитались о якобы уничтоженных двадцати двух самолетах и пяти ангарах. В этот же день 12 Ил-2 из 266-й шад атаковали Померки, заявив о том, что люфтваффе лишились там еще десятка машин. Однако на самом деле на обеих авиабазах не пострадал ни один немецкий самолет. Затем на рассвете 13 августа десятка Ил-2 из 735-го шап совершила еще один безрезультатный налет на аэродром Основа (19522).</w:t>
      </w:r>
    </w:p>
    <w:p w14:paraId="1C1A5315" w14:textId="77777777" w:rsidR="002B06C1" w:rsidRPr="00271E51" w:rsidRDefault="002B06C1" w:rsidP="00271E51">
      <w:pPr>
        <w:pStyle w:val="ae"/>
        <w:spacing w:before="0" w:after="0"/>
        <w:jc w:val="both"/>
        <w:textAlignment w:val="baseline"/>
        <w:rPr>
          <w:color w:val="000000" w:themeColor="text1"/>
          <w:sz w:val="16"/>
          <w:szCs w:val="16"/>
        </w:rPr>
      </w:pPr>
    </w:p>
    <w:p w14:paraId="3A9A8666" w14:textId="77777777" w:rsidR="00524306" w:rsidRPr="00271E51" w:rsidRDefault="005243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августа 1943 советский самолет</w:t>
      </w:r>
      <w:r w:rsidRPr="00271E51">
        <w:rPr>
          <w:rFonts w:ascii="Times New Roman" w:hAnsi="Times New Roman"/>
          <w:color w:val="0070C0"/>
          <w:sz w:val="16"/>
          <w:szCs w:val="16"/>
        </w:rPr>
        <w:noBreakHyphen/>
        <w:t>разведчик в 6.35 обнаружил в нескольких милях от мыса Панагия немецко</w:t>
      </w:r>
      <w:r w:rsidRPr="00271E51">
        <w:rPr>
          <w:rFonts w:ascii="Times New Roman" w:hAnsi="Times New Roman"/>
          <w:color w:val="0070C0"/>
          <w:sz w:val="16"/>
          <w:szCs w:val="16"/>
        </w:rPr>
        <w:noBreakHyphen/>
        <w:t>румынский конвой, шедший курсом на Анапу. В него входили восемь десантных барж и четыре сторожевых катера. Для удара по конвою вылетели семь Ил</w:t>
      </w:r>
      <w:r w:rsidRPr="00271E51">
        <w:rPr>
          <w:rFonts w:ascii="Times New Roman" w:hAnsi="Times New Roman"/>
          <w:color w:val="0070C0"/>
          <w:sz w:val="16"/>
          <w:szCs w:val="16"/>
        </w:rPr>
        <w:noBreakHyphen/>
        <w:t>2 из 8</w:t>
      </w:r>
      <w:r w:rsidRPr="00271E51">
        <w:rPr>
          <w:rFonts w:ascii="Times New Roman" w:hAnsi="Times New Roman"/>
          <w:color w:val="0070C0"/>
          <w:sz w:val="16"/>
          <w:szCs w:val="16"/>
        </w:rPr>
        <w:noBreakHyphen/>
        <w:t>го гв. шап во главе с гвардии капитаном В.М. Вартаньяном, которых сопровождали Як</w:t>
      </w:r>
      <w:r w:rsidRPr="00271E51">
        <w:rPr>
          <w:rFonts w:ascii="Times New Roman" w:hAnsi="Times New Roman"/>
          <w:color w:val="0070C0"/>
          <w:sz w:val="16"/>
          <w:szCs w:val="16"/>
        </w:rPr>
        <w:noBreakHyphen/>
        <w:t>1. В 7.55 пилоты «горбатых» увидели суда и с высоты около тысячи метров сбросили на них бомбы ФАБ</w:t>
      </w:r>
      <w:r w:rsidRPr="00271E51">
        <w:rPr>
          <w:rFonts w:ascii="Times New Roman" w:hAnsi="Times New Roman"/>
          <w:color w:val="0070C0"/>
          <w:sz w:val="16"/>
          <w:szCs w:val="16"/>
        </w:rPr>
        <w:noBreakHyphen/>
        <w:t>50 и АО</w:t>
      </w:r>
      <w:r w:rsidRPr="00271E51">
        <w:rPr>
          <w:rFonts w:ascii="Times New Roman" w:hAnsi="Times New Roman"/>
          <w:color w:val="0070C0"/>
          <w:sz w:val="16"/>
          <w:szCs w:val="16"/>
        </w:rPr>
        <w:noBreakHyphen/>
        <w:t>25, а потом выпустили «эрэсы» и обстреляли их из пушек. Вся атака была выполнена без вхождения в зону эффективного огня малокалиберных зениток, стоявших на кораблях конвоя. Это позволило штурмовикам избежать потерь, но и результат удара оказался нулевым (23199).</w:t>
      </w:r>
    </w:p>
    <w:p w14:paraId="5522D2D7" w14:textId="77777777" w:rsidR="00524306" w:rsidRPr="00271E51" w:rsidRDefault="00524306" w:rsidP="00271E51">
      <w:pPr>
        <w:spacing w:after="0" w:line="240" w:lineRule="auto"/>
        <w:jc w:val="both"/>
        <w:rPr>
          <w:rFonts w:ascii="Times New Roman" w:hAnsi="Times New Roman"/>
          <w:color w:val="0070C0"/>
          <w:sz w:val="16"/>
          <w:szCs w:val="16"/>
        </w:rPr>
      </w:pPr>
    </w:p>
    <w:p w14:paraId="38F219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10 августа 1943 года в 1938-ом САП 7-ой гвардейской армии числилось две трофейных СУ-122, две СУ-76 и две СУ-75 (StuG III) (9695).</w:t>
      </w:r>
    </w:p>
    <w:p w14:paraId="3AD4D1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77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1-й и рота 5-го батальон 1 ШИСБ атаковали и взяли с небольшими потерями сильно укрепленную высоту 233.3 в районе Спас-Демянска. 91 чел. наградили орденами и медалями (3481).</w:t>
      </w:r>
    </w:p>
    <w:p w14:paraId="487CC9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1D1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вышло Постановление ГКО № 3904 О сформировании в СССР польского корпуса.РГАНИР, Фонд ГКО, д. 145, лл. 3-5 (11012).</w:t>
      </w:r>
    </w:p>
    <w:p w14:paraId="3BD786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F6F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26561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74EBF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вышло Постановление ГКО № 3903 О транзитных перевозках грузов для СССР через Иран. (7133, 2).</w:t>
      </w:r>
    </w:p>
    <w:p w14:paraId="538CB12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740F6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A7F1E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3222D"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августа 1943 японским военно-воздушным силам в Новой Гвинее, усиленным 250 самолетами японской императорской армии из Рабаула, приказано провести воздушное наступление на аэродромы союзников в Новой Гвинее и конвои союзников вдоль побережья Папуа (20376).</w:t>
      </w:r>
    </w:p>
    <w:p w14:paraId="69730B49" w14:textId="77777777" w:rsidR="00DC7544" w:rsidRPr="00271E51" w:rsidRDefault="00DC7544" w:rsidP="00271E51">
      <w:pPr>
        <w:spacing w:after="0" w:line="240" w:lineRule="auto"/>
        <w:jc w:val="both"/>
        <w:rPr>
          <w:rFonts w:ascii="Times New Roman" w:hAnsi="Times New Roman"/>
          <w:color w:val="0070C0"/>
          <w:sz w:val="16"/>
          <w:szCs w:val="16"/>
        </w:rPr>
      </w:pPr>
    </w:p>
    <w:p w14:paraId="7D84E1EE"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августа 1943 официальную поддержку трио Heinkel He 177B - четырехмоторных прототипов стратегических бомбардировщиков, пронумерованных с V101 по V103, оказывает генералфельдмаршал Люфтваффе Эрхард Мильх, приказывающий Arado Flugzeugwerke, единственному субподрядчику He 177A, начать работу. на производство планеров новой серии B (20376).</w:t>
      </w:r>
    </w:p>
    <w:p w14:paraId="6DDC75AC" w14:textId="77777777" w:rsidR="00DC7544" w:rsidRPr="00271E51" w:rsidRDefault="00DC7544" w:rsidP="00271E51">
      <w:pPr>
        <w:spacing w:after="0" w:line="240" w:lineRule="auto"/>
        <w:jc w:val="both"/>
        <w:rPr>
          <w:rFonts w:ascii="Times New Roman" w:hAnsi="Times New Roman"/>
          <w:color w:val="0070C0"/>
          <w:sz w:val="16"/>
          <w:szCs w:val="16"/>
        </w:rPr>
      </w:pPr>
    </w:p>
    <w:p w14:paraId="3D9B3E65" w14:textId="77777777" w:rsidR="00DC7544" w:rsidRPr="00271E51" w:rsidRDefault="00DC754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10–11 августа (ночь) 1943 653 британских бомбардировщика нанесли удар по Нюрнбергу, Германия, повредив центральную и южную части города и вызвав большой пожар. Шестнадцать бомбардировщиков потеряны (20376).</w:t>
      </w:r>
    </w:p>
    <w:p w14:paraId="07B58CB9" w14:textId="77777777" w:rsidR="00DC7544" w:rsidRPr="00271E51" w:rsidRDefault="00DC7544" w:rsidP="00271E51">
      <w:pPr>
        <w:spacing w:after="0" w:line="240" w:lineRule="auto"/>
        <w:jc w:val="both"/>
        <w:rPr>
          <w:rFonts w:ascii="Times New Roman" w:hAnsi="Times New Roman"/>
          <w:color w:val="0070C0"/>
          <w:sz w:val="16"/>
          <w:szCs w:val="16"/>
        </w:rPr>
      </w:pPr>
    </w:p>
    <w:p w14:paraId="19D4711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американский генерал Джордж Паттон избил двух американских солдат-пациентов военного госпиталя в Сицилии (4962).</w:t>
      </w:r>
    </w:p>
    <w:p w14:paraId="0603DE3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6FD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10 August 1943 First use of penicillin to treat the wounded during the invasion of Sicily (270).</w:t>
      </w:r>
    </w:p>
    <w:p w14:paraId="27D5B3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4321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1943 был первый раз использован пенициллин для лечения ран в ходе вторжения на Сицилию (270).</w:t>
      </w:r>
    </w:p>
    <w:p w14:paraId="466886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C273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E79B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CE7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Зам. 7 ГУ Алексеев подготовил за № 10096 для НКАП А.И.Ш:</w:t>
      </w:r>
    </w:p>
    <w:p w14:paraId="05E760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ДАННЫЕ самолетов Ил-6 и Ер-2 с дизельмоторами М-30Б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30"/>
        <w:gridCol w:w="2458"/>
        <w:gridCol w:w="2342"/>
      </w:tblGrid>
      <w:tr w:rsidR="00A907A5" w:rsidRPr="00271E51" w14:paraId="1F1470D3" w14:textId="77777777" w:rsidTr="00ED5B0A">
        <w:trPr>
          <w:trHeight w:val="720"/>
        </w:trPr>
        <w:tc>
          <w:tcPr>
            <w:tcW w:w="3130" w:type="dxa"/>
            <w:tcBorders>
              <w:top w:val="single" w:sz="12" w:space="0" w:color="auto"/>
            </w:tcBorders>
          </w:tcPr>
          <w:p w14:paraId="185B52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w:t>
            </w:r>
          </w:p>
        </w:tc>
        <w:tc>
          <w:tcPr>
            <w:tcW w:w="2458" w:type="dxa"/>
            <w:tcBorders>
              <w:top w:val="single" w:sz="12" w:space="0" w:color="auto"/>
            </w:tcBorders>
          </w:tcPr>
          <w:p w14:paraId="026937F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Ил-6 расчетные данные</w:t>
            </w:r>
          </w:p>
        </w:tc>
        <w:tc>
          <w:tcPr>
            <w:tcW w:w="2342" w:type="dxa"/>
            <w:tcBorders>
              <w:top w:val="single" w:sz="12" w:space="0" w:color="auto"/>
            </w:tcBorders>
          </w:tcPr>
          <w:p w14:paraId="1995B3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данные госиспытаний</w:t>
            </w:r>
          </w:p>
        </w:tc>
      </w:tr>
      <w:tr w:rsidR="00A907A5" w:rsidRPr="00271E51" w14:paraId="742E66E8" w14:textId="77777777" w:rsidTr="00ED5B0A">
        <w:trPr>
          <w:trHeight w:val="307"/>
        </w:trPr>
        <w:tc>
          <w:tcPr>
            <w:tcW w:w="3130" w:type="dxa"/>
          </w:tcPr>
          <w:p w14:paraId="6E391D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нормальный</w:t>
            </w:r>
          </w:p>
        </w:tc>
        <w:tc>
          <w:tcPr>
            <w:tcW w:w="2458" w:type="dxa"/>
          </w:tcPr>
          <w:p w14:paraId="201B6F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15000</w:t>
            </w:r>
          </w:p>
        </w:tc>
        <w:tc>
          <w:tcPr>
            <w:tcW w:w="2342" w:type="dxa"/>
          </w:tcPr>
          <w:p w14:paraId="578714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14200</w:t>
            </w:r>
          </w:p>
        </w:tc>
      </w:tr>
      <w:tr w:rsidR="00A907A5" w:rsidRPr="00271E51" w14:paraId="4F6DB54E" w14:textId="77777777" w:rsidTr="00ED5B0A">
        <w:trPr>
          <w:trHeight w:val="509"/>
        </w:trPr>
        <w:tc>
          <w:tcPr>
            <w:tcW w:w="3130" w:type="dxa"/>
          </w:tcPr>
          <w:p w14:paraId="332EC2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перегрузочный</w:t>
            </w:r>
          </w:p>
        </w:tc>
        <w:tc>
          <w:tcPr>
            <w:tcW w:w="2458" w:type="dxa"/>
          </w:tcPr>
          <w:p w14:paraId="23D54D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18000</w:t>
            </w:r>
          </w:p>
        </w:tc>
        <w:tc>
          <w:tcPr>
            <w:tcW w:w="2342" w:type="dxa"/>
          </w:tcPr>
          <w:p w14:paraId="49013C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17650</w:t>
            </w:r>
          </w:p>
        </w:tc>
      </w:tr>
      <w:tr w:rsidR="00A907A5" w:rsidRPr="00271E51" w14:paraId="1357DACD" w14:textId="77777777" w:rsidTr="00ED5B0A">
        <w:trPr>
          <w:trHeight w:val="730"/>
        </w:trPr>
        <w:tc>
          <w:tcPr>
            <w:tcW w:w="3130" w:type="dxa"/>
          </w:tcPr>
          <w:p w14:paraId="3ED144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2458" w:type="dxa"/>
          </w:tcPr>
          <w:p w14:paraId="7D4F39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w:t>
            </w:r>
          </w:p>
        </w:tc>
        <w:tc>
          <w:tcPr>
            <w:tcW w:w="2342" w:type="dxa"/>
          </w:tcPr>
          <w:p w14:paraId="636777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373</w:t>
            </w:r>
          </w:p>
        </w:tc>
      </w:tr>
      <w:tr w:rsidR="00A907A5" w:rsidRPr="00271E51" w14:paraId="19FAD938" w14:textId="77777777" w:rsidTr="00ED5B0A">
        <w:trPr>
          <w:trHeight w:val="730"/>
        </w:trPr>
        <w:tc>
          <w:tcPr>
            <w:tcW w:w="3130" w:type="dxa"/>
          </w:tcPr>
          <w:p w14:paraId="2C71B5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4000 мт</w:t>
            </w:r>
          </w:p>
        </w:tc>
        <w:tc>
          <w:tcPr>
            <w:tcW w:w="2458" w:type="dxa"/>
          </w:tcPr>
          <w:p w14:paraId="214EBC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w:t>
            </w:r>
          </w:p>
        </w:tc>
        <w:tc>
          <w:tcPr>
            <w:tcW w:w="2342" w:type="dxa"/>
          </w:tcPr>
          <w:p w14:paraId="649743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w:t>
            </w:r>
          </w:p>
        </w:tc>
      </w:tr>
      <w:tr w:rsidR="00A907A5" w:rsidRPr="00271E51" w14:paraId="4FC9E61E" w14:textId="77777777" w:rsidTr="00ED5B0A">
        <w:trPr>
          <w:trHeight w:val="355"/>
        </w:trPr>
        <w:tc>
          <w:tcPr>
            <w:tcW w:w="3130" w:type="dxa"/>
          </w:tcPr>
          <w:p w14:paraId="476C08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6000 мт</w:t>
            </w:r>
          </w:p>
        </w:tc>
        <w:tc>
          <w:tcPr>
            <w:tcW w:w="2458" w:type="dxa"/>
          </w:tcPr>
          <w:p w14:paraId="1687F6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w:t>
            </w:r>
          </w:p>
        </w:tc>
        <w:tc>
          <w:tcPr>
            <w:tcW w:w="2342" w:type="dxa"/>
          </w:tcPr>
          <w:p w14:paraId="790855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w:t>
            </w:r>
          </w:p>
        </w:tc>
      </w:tr>
      <w:tr w:rsidR="00A907A5" w:rsidRPr="00271E51" w14:paraId="2DA49F9E" w14:textId="77777777" w:rsidTr="00ED5B0A">
        <w:trPr>
          <w:trHeight w:val="355"/>
        </w:trPr>
        <w:tc>
          <w:tcPr>
            <w:tcW w:w="3130" w:type="dxa"/>
          </w:tcPr>
          <w:p w14:paraId="0F8DE4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под"ема</w:t>
            </w:r>
          </w:p>
        </w:tc>
        <w:tc>
          <w:tcPr>
            <w:tcW w:w="2458" w:type="dxa"/>
          </w:tcPr>
          <w:p w14:paraId="518935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42" w:type="dxa"/>
          </w:tcPr>
          <w:p w14:paraId="17E7AB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8436F3" w14:textId="77777777" w:rsidTr="00ED5B0A">
        <w:trPr>
          <w:trHeight w:val="259"/>
        </w:trPr>
        <w:tc>
          <w:tcPr>
            <w:tcW w:w="3130" w:type="dxa"/>
          </w:tcPr>
          <w:p w14:paraId="1F8C2B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высоту 4000 мт</w:t>
            </w:r>
          </w:p>
          <w:p w14:paraId="5F740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Pr>
          <w:p w14:paraId="02141C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w:t>
            </w:r>
          </w:p>
        </w:tc>
        <w:tc>
          <w:tcPr>
            <w:tcW w:w="2342" w:type="dxa"/>
          </w:tcPr>
          <w:p w14:paraId="589184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22,3</w:t>
            </w:r>
          </w:p>
        </w:tc>
      </w:tr>
      <w:tr w:rsidR="00A907A5" w:rsidRPr="00271E51" w14:paraId="7693DD85" w14:textId="77777777" w:rsidTr="00ED5B0A">
        <w:trPr>
          <w:trHeight w:val="643"/>
        </w:trPr>
        <w:tc>
          <w:tcPr>
            <w:tcW w:w="3130" w:type="dxa"/>
          </w:tcPr>
          <w:p w14:paraId="283CF0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высоту 6000 мт</w:t>
            </w:r>
          </w:p>
        </w:tc>
        <w:tc>
          <w:tcPr>
            <w:tcW w:w="2458" w:type="dxa"/>
          </w:tcPr>
          <w:p w14:paraId="44E911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19,7</w:t>
            </w:r>
          </w:p>
        </w:tc>
        <w:tc>
          <w:tcPr>
            <w:tcW w:w="2342" w:type="dxa"/>
          </w:tcPr>
          <w:p w14:paraId="3C507B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36,7</w:t>
            </w:r>
          </w:p>
        </w:tc>
      </w:tr>
      <w:tr w:rsidR="00A907A5" w:rsidRPr="00271E51" w14:paraId="1DDD70D8" w14:textId="77777777" w:rsidTr="00ED5B0A">
        <w:trPr>
          <w:trHeight w:val="643"/>
        </w:trPr>
        <w:tc>
          <w:tcPr>
            <w:tcW w:w="3130" w:type="dxa"/>
          </w:tcPr>
          <w:p w14:paraId="21A630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Практический потолок</w:t>
            </w:r>
          </w:p>
        </w:tc>
        <w:tc>
          <w:tcPr>
            <w:tcW w:w="2458" w:type="dxa"/>
          </w:tcPr>
          <w:p w14:paraId="7FAA06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2342" w:type="dxa"/>
          </w:tcPr>
          <w:p w14:paraId="38CFFB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w:t>
            </w:r>
          </w:p>
        </w:tc>
      </w:tr>
      <w:tr w:rsidR="00A907A5" w:rsidRPr="00271E51" w14:paraId="0EC6BB65" w14:textId="77777777" w:rsidTr="00ED5B0A">
        <w:trPr>
          <w:trHeight w:val="307"/>
        </w:trPr>
        <w:tc>
          <w:tcPr>
            <w:tcW w:w="3130" w:type="dxa"/>
          </w:tcPr>
          <w:p w14:paraId="533EBE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Техническая дальность с 1000 кг бомб на 6000 м при максимальном запасе горючего</w:t>
            </w:r>
          </w:p>
        </w:tc>
        <w:tc>
          <w:tcPr>
            <w:tcW w:w="2458" w:type="dxa"/>
          </w:tcPr>
          <w:p w14:paraId="291658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w:t>
            </w:r>
          </w:p>
        </w:tc>
        <w:tc>
          <w:tcPr>
            <w:tcW w:w="2342" w:type="dxa"/>
          </w:tcPr>
          <w:p w14:paraId="595E39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5320</w:t>
            </w:r>
          </w:p>
        </w:tc>
      </w:tr>
      <w:tr w:rsidR="00A907A5" w:rsidRPr="00271E51" w14:paraId="68F28AF8" w14:textId="77777777" w:rsidTr="00ED5B0A">
        <w:trPr>
          <w:trHeight w:val="307"/>
        </w:trPr>
        <w:tc>
          <w:tcPr>
            <w:tcW w:w="3130" w:type="dxa"/>
          </w:tcPr>
          <w:p w14:paraId="790FCA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Техническая дальность при максимальной внутренней бомбовой нагрузке на тех же режимах</w:t>
            </w:r>
          </w:p>
        </w:tc>
        <w:tc>
          <w:tcPr>
            <w:tcW w:w="2458" w:type="dxa"/>
          </w:tcPr>
          <w:p w14:paraId="6DCC6B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4700 при бомбовой нагрузке 2500 кг, весе горючего 4000 кг и полетном весе 18700 кг</w:t>
            </w:r>
          </w:p>
        </w:tc>
        <w:tc>
          <w:tcPr>
            <w:tcW w:w="2342" w:type="dxa"/>
          </w:tcPr>
          <w:p w14:paraId="5649D1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при бомбовой нагрузке 200 кг, весе горючего 3730 кг и полетном весе 17400 кг</w:t>
            </w:r>
          </w:p>
        </w:tc>
      </w:tr>
      <w:tr w:rsidR="00A907A5" w:rsidRPr="00271E51" w14:paraId="12B4FB0F" w14:textId="77777777" w:rsidTr="00ED5B0A">
        <w:trPr>
          <w:trHeight w:val="307"/>
        </w:trPr>
        <w:tc>
          <w:tcPr>
            <w:tcW w:w="3130" w:type="dxa"/>
          </w:tcPr>
          <w:p w14:paraId="3BCA3B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 при перегрузоч</w:t>
            </w:r>
            <w:r w:rsidRPr="00271E51">
              <w:rPr>
                <w:rFonts w:ascii="Times New Roman" w:hAnsi="Times New Roman"/>
                <w:color w:val="000000" w:themeColor="text1"/>
                <w:sz w:val="16"/>
                <w:szCs w:val="16"/>
              </w:rPr>
              <w:softHyphen/>
              <w:t>ном полетном весе</w:t>
            </w:r>
          </w:p>
        </w:tc>
        <w:tc>
          <w:tcPr>
            <w:tcW w:w="2458" w:type="dxa"/>
          </w:tcPr>
          <w:p w14:paraId="58514E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960</w:t>
            </w:r>
          </w:p>
        </w:tc>
        <w:tc>
          <w:tcPr>
            <w:tcW w:w="2342" w:type="dxa"/>
          </w:tcPr>
          <w:p w14:paraId="4242AB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r>
      <w:tr w:rsidR="00A907A5" w:rsidRPr="00271E51" w14:paraId="722D8E18" w14:textId="77777777" w:rsidTr="00ED5B0A">
        <w:trPr>
          <w:trHeight w:val="307"/>
        </w:trPr>
        <w:tc>
          <w:tcPr>
            <w:tcW w:w="3130" w:type="dxa"/>
          </w:tcPr>
          <w:p w14:paraId="441033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горючего нормальный</w:t>
            </w:r>
          </w:p>
        </w:tc>
        <w:tc>
          <w:tcPr>
            <w:tcW w:w="2458" w:type="dxa"/>
          </w:tcPr>
          <w:p w14:paraId="3CA713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2342" w:type="dxa"/>
          </w:tcPr>
          <w:p w14:paraId="70A7D8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r>
      <w:tr w:rsidR="00A907A5" w:rsidRPr="00271E51" w14:paraId="708F9D68" w14:textId="77777777" w:rsidTr="00ED5B0A">
        <w:trPr>
          <w:trHeight w:val="307"/>
        </w:trPr>
        <w:tc>
          <w:tcPr>
            <w:tcW w:w="3130" w:type="dxa"/>
          </w:tcPr>
          <w:p w14:paraId="58B11C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перегрузочный</w:t>
            </w:r>
          </w:p>
        </w:tc>
        <w:tc>
          <w:tcPr>
            <w:tcW w:w="2458" w:type="dxa"/>
          </w:tcPr>
          <w:p w14:paraId="1D9345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2342" w:type="dxa"/>
          </w:tcPr>
          <w:p w14:paraId="35EA17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4930</w:t>
            </w:r>
          </w:p>
        </w:tc>
      </w:tr>
      <w:tr w:rsidR="00A907A5" w:rsidRPr="00271E51" w14:paraId="1A468FEE" w14:textId="77777777" w:rsidTr="00ED5B0A">
        <w:trPr>
          <w:trHeight w:val="307"/>
        </w:trPr>
        <w:tc>
          <w:tcPr>
            <w:tcW w:w="3130" w:type="dxa"/>
          </w:tcPr>
          <w:p w14:paraId="50968F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2458" w:type="dxa"/>
          </w:tcPr>
          <w:p w14:paraId="3B0536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2342" w:type="dxa"/>
          </w:tcPr>
          <w:p w14:paraId="5204B9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79B84F74" w14:textId="77777777" w:rsidTr="00ED5B0A">
        <w:trPr>
          <w:trHeight w:val="307"/>
        </w:trPr>
        <w:tc>
          <w:tcPr>
            <w:tcW w:w="3130" w:type="dxa"/>
          </w:tcPr>
          <w:p w14:paraId="200C4A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2458" w:type="dxa"/>
          </w:tcPr>
          <w:p w14:paraId="129B43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42" w:type="dxa"/>
          </w:tcPr>
          <w:p w14:paraId="697CF4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D7D079" w14:textId="77777777" w:rsidTr="00ED5B0A">
        <w:trPr>
          <w:trHeight w:val="307"/>
        </w:trPr>
        <w:tc>
          <w:tcPr>
            <w:tcW w:w="3130" w:type="dxa"/>
          </w:tcPr>
          <w:p w14:paraId="2ECD1F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носовая установка</w:t>
            </w:r>
          </w:p>
        </w:tc>
        <w:tc>
          <w:tcPr>
            <w:tcW w:w="2458" w:type="dxa"/>
          </w:tcPr>
          <w:p w14:paraId="0E2B71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калябра 12,7мм с боезапасом 200 патронов</w:t>
            </w:r>
          </w:p>
        </w:tc>
        <w:tc>
          <w:tcPr>
            <w:tcW w:w="2342" w:type="dxa"/>
          </w:tcPr>
          <w:p w14:paraId="33BFA2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калябра 12,7мм с боезапасом 220 патронов</w:t>
            </w:r>
          </w:p>
        </w:tc>
      </w:tr>
      <w:tr w:rsidR="00A907A5" w:rsidRPr="00271E51" w14:paraId="113F38B5" w14:textId="77777777" w:rsidTr="00ED5B0A">
        <w:trPr>
          <w:trHeight w:val="307"/>
        </w:trPr>
        <w:tc>
          <w:tcPr>
            <w:tcW w:w="3130" w:type="dxa"/>
          </w:tcPr>
          <w:p w14:paraId="4765AA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бортовая установка</w:t>
            </w:r>
          </w:p>
        </w:tc>
        <w:tc>
          <w:tcPr>
            <w:tcW w:w="2458" w:type="dxa"/>
          </w:tcPr>
          <w:p w14:paraId="223D0E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пулемета калибра 12,7мм с боезапасом 400 патронов</w:t>
            </w:r>
          </w:p>
        </w:tc>
        <w:tc>
          <w:tcPr>
            <w:tcW w:w="2342" w:type="dxa"/>
          </w:tcPr>
          <w:p w14:paraId="1B5E71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отсутствует</w:t>
            </w:r>
          </w:p>
        </w:tc>
      </w:tr>
      <w:tr w:rsidR="00A907A5" w:rsidRPr="00271E51" w14:paraId="5D352AFF" w14:textId="77777777" w:rsidTr="00ED5B0A">
        <w:trPr>
          <w:trHeight w:val="307"/>
        </w:trPr>
        <w:tc>
          <w:tcPr>
            <w:tcW w:w="3130" w:type="dxa"/>
          </w:tcPr>
          <w:p w14:paraId="416F3C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турельная установка</w:t>
            </w:r>
          </w:p>
        </w:tc>
        <w:tc>
          <w:tcPr>
            <w:tcW w:w="2458" w:type="dxa"/>
          </w:tcPr>
          <w:p w14:paraId="637809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калибра 12,7мм с боезапасом 300 патронов</w:t>
            </w:r>
          </w:p>
        </w:tc>
        <w:tc>
          <w:tcPr>
            <w:tcW w:w="2342" w:type="dxa"/>
          </w:tcPr>
          <w:p w14:paraId="0F236D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калибра 12,7мм с боезапасом 300 патронов</w:t>
            </w:r>
          </w:p>
        </w:tc>
      </w:tr>
      <w:tr w:rsidR="00A907A5" w:rsidRPr="00271E51" w14:paraId="682A5154" w14:textId="77777777" w:rsidTr="00ED5B0A">
        <w:trPr>
          <w:trHeight w:val="307"/>
        </w:trPr>
        <w:tc>
          <w:tcPr>
            <w:tcW w:w="3130" w:type="dxa"/>
          </w:tcPr>
          <w:p w14:paraId="5BBF5B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 установка</w:t>
            </w:r>
          </w:p>
        </w:tc>
        <w:tc>
          <w:tcPr>
            <w:tcW w:w="2458" w:type="dxa"/>
          </w:tcPr>
          <w:p w14:paraId="573333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калибра 12,7мм с боезапасом 300 патронов</w:t>
            </w:r>
          </w:p>
        </w:tc>
        <w:tc>
          <w:tcPr>
            <w:tcW w:w="2342" w:type="dxa"/>
          </w:tcPr>
          <w:p w14:paraId="625814F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пулемет калибра 12,7мм с боезапасом 260 патронов</w:t>
            </w:r>
          </w:p>
        </w:tc>
      </w:tr>
      <w:tr w:rsidR="00A907A5" w:rsidRPr="00271E51" w14:paraId="58BD06CD" w14:textId="77777777" w:rsidTr="00ED5B0A">
        <w:trPr>
          <w:trHeight w:val="307"/>
        </w:trPr>
        <w:tc>
          <w:tcPr>
            <w:tcW w:w="3130" w:type="dxa"/>
          </w:tcPr>
          <w:p w14:paraId="3A7EE3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 нормальная</w:t>
            </w:r>
          </w:p>
        </w:tc>
        <w:tc>
          <w:tcPr>
            <w:tcW w:w="2458" w:type="dxa"/>
          </w:tcPr>
          <w:p w14:paraId="30E793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2342" w:type="dxa"/>
          </w:tcPr>
          <w:p w14:paraId="3F0909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r>
      <w:tr w:rsidR="00A907A5" w:rsidRPr="00271E51" w14:paraId="4D1D21A4" w14:textId="77777777" w:rsidTr="00ED5B0A">
        <w:trPr>
          <w:trHeight w:val="307"/>
        </w:trPr>
        <w:tc>
          <w:tcPr>
            <w:tcW w:w="3130" w:type="dxa"/>
          </w:tcPr>
          <w:p w14:paraId="66BAC7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w:t>
            </w:r>
          </w:p>
        </w:tc>
        <w:tc>
          <w:tcPr>
            <w:tcW w:w="2458" w:type="dxa"/>
          </w:tcPr>
          <w:p w14:paraId="2692E1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2342" w:type="dxa"/>
          </w:tcPr>
          <w:p w14:paraId="6BE862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108B5D19" w14:textId="77777777" w:rsidTr="00ED5B0A">
        <w:trPr>
          <w:trHeight w:val="307"/>
        </w:trPr>
        <w:tc>
          <w:tcPr>
            <w:tcW w:w="3130" w:type="dxa"/>
          </w:tcPr>
          <w:p w14:paraId="71A078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бомбодержателей и калибры бомб на внутренней подвеске</w:t>
            </w:r>
          </w:p>
        </w:tc>
        <w:tc>
          <w:tcPr>
            <w:tcW w:w="2458" w:type="dxa"/>
          </w:tcPr>
          <w:p w14:paraId="343604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4хФАБ-500</w:t>
            </w:r>
          </w:p>
          <w:p w14:paraId="175709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2хФАБ-250</w:t>
            </w:r>
          </w:p>
          <w:p w14:paraId="01162D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или 20хФАБ-100</w:t>
            </w:r>
          </w:p>
        </w:tc>
        <w:tc>
          <w:tcPr>
            <w:tcW w:w="2342" w:type="dxa"/>
          </w:tcPr>
          <w:p w14:paraId="4AD8B7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4хФАБ-500 или</w:t>
            </w:r>
          </w:p>
          <w:p w14:paraId="770BAA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8хФАБ-250</w:t>
            </w:r>
          </w:p>
          <w:p w14:paraId="159F04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или 20хФАБ-100</w:t>
            </w:r>
          </w:p>
        </w:tc>
      </w:tr>
      <w:tr w:rsidR="00A907A5" w:rsidRPr="00271E51" w14:paraId="775211BD" w14:textId="77777777" w:rsidTr="00ED5B0A">
        <w:trPr>
          <w:trHeight w:val="307"/>
        </w:trPr>
        <w:tc>
          <w:tcPr>
            <w:tcW w:w="3130" w:type="dxa"/>
          </w:tcPr>
          <w:p w14:paraId="4D7F39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наружной подвеске</w:t>
            </w:r>
          </w:p>
        </w:tc>
        <w:tc>
          <w:tcPr>
            <w:tcW w:w="2458" w:type="dxa"/>
          </w:tcPr>
          <w:p w14:paraId="24C952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2хФАБ-1000 или</w:t>
            </w:r>
          </w:p>
          <w:p w14:paraId="5A69E4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торпеды по 1100</w:t>
            </w:r>
          </w:p>
        </w:tc>
        <w:tc>
          <w:tcPr>
            <w:tcW w:w="2342" w:type="dxa"/>
          </w:tcPr>
          <w:p w14:paraId="2B6907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3хФАБ-2000</w:t>
            </w:r>
          </w:p>
        </w:tc>
      </w:tr>
      <w:tr w:rsidR="00A907A5" w:rsidRPr="00271E51" w14:paraId="36C7431D" w14:textId="77777777" w:rsidTr="00ED5B0A">
        <w:trPr>
          <w:trHeight w:val="307"/>
        </w:trPr>
        <w:tc>
          <w:tcPr>
            <w:tcW w:w="3130" w:type="dxa"/>
          </w:tcPr>
          <w:p w14:paraId="227F88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w:t>
            </w:r>
          </w:p>
        </w:tc>
        <w:tc>
          <w:tcPr>
            <w:tcW w:w="2458" w:type="dxa"/>
          </w:tcPr>
          <w:p w14:paraId="119544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tc>
        <w:tc>
          <w:tcPr>
            <w:tcW w:w="2342" w:type="dxa"/>
          </w:tcPr>
          <w:p w14:paraId="267D7A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r>
      <w:tr w:rsidR="00A907A5" w:rsidRPr="00271E51" w14:paraId="162BEB3C" w14:textId="77777777" w:rsidTr="00ED5B0A">
        <w:trPr>
          <w:trHeight w:val="307"/>
        </w:trPr>
        <w:tc>
          <w:tcPr>
            <w:tcW w:w="3130" w:type="dxa"/>
            <w:tcBorders>
              <w:bottom w:val="single" w:sz="12" w:space="0" w:color="auto"/>
            </w:tcBorders>
          </w:tcPr>
          <w:p w14:paraId="156677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толщина</w:t>
            </w:r>
          </w:p>
        </w:tc>
        <w:tc>
          <w:tcPr>
            <w:tcW w:w="2458" w:type="dxa"/>
            <w:tcBorders>
              <w:bottom w:val="single" w:sz="12" w:space="0" w:color="auto"/>
            </w:tcBorders>
          </w:tcPr>
          <w:p w14:paraId="171337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tc>
        <w:tc>
          <w:tcPr>
            <w:tcW w:w="2342" w:type="dxa"/>
            <w:tcBorders>
              <w:bottom w:val="single" w:sz="12" w:space="0" w:color="auto"/>
            </w:tcBorders>
          </w:tcPr>
          <w:p w14:paraId="574BE8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r>
    </w:tbl>
    <w:p w14:paraId="2DEC11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На основании данных, полученных при испытаниях на-дельность самолета Ер-2 с 2.М-30Б, принятый т.Ильюшиным в расчете Ил-6 километровый расход следует считать заниденшм примерно на 15-20% (1458,323).</w:t>
      </w:r>
    </w:p>
    <w:p w14:paraId="5458BD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18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11 августа по 7 октя</w:t>
      </w:r>
      <w:r w:rsidRPr="00271E51">
        <w:rPr>
          <w:rFonts w:ascii="Times New Roman" w:hAnsi="Times New Roman"/>
          <w:color w:val="000000" w:themeColor="text1"/>
          <w:sz w:val="16"/>
          <w:szCs w:val="16"/>
        </w:rPr>
        <w:softHyphen/>
        <w:t>бря 1944 г. Котяковым провел испытания усовершенствованного Бе-4 №4770305, после чего его приняли в каче</w:t>
      </w:r>
      <w:r w:rsidRPr="00271E51">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271E51">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271E51">
        <w:rPr>
          <w:rFonts w:ascii="Times New Roman" w:hAnsi="Times New Roman"/>
          <w:color w:val="000000" w:themeColor="text1"/>
          <w:sz w:val="16"/>
          <w:szCs w:val="16"/>
        </w:rPr>
        <w:softHyphen/>
        <w:t>щать спаренными лодочными бензобака</w:t>
      </w:r>
      <w:r w:rsidRPr="00271E51">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271E51">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271E51">
        <w:rPr>
          <w:rFonts w:ascii="Times New Roman" w:hAnsi="Times New Roman"/>
          <w:color w:val="000000" w:themeColor="text1"/>
          <w:sz w:val="16"/>
          <w:szCs w:val="16"/>
        </w:rPr>
        <w:softHyphen/>
        <w:t>лось стрелковое вооружение. Вместо хво</w:t>
      </w:r>
      <w:r w:rsidRPr="00271E51">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271E51">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271E51">
        <w:rPr>
          <w:rFonts w:ascii="Times New Roman" w:hAnsi="Times New Roman"/>
          <w:color w:val="000000" w:themeColor="text1"/>
          <w:sz w:val="16"/>
          <w:szCs w:val="16"/>
        </w:rPr>
        <w:softHyphen/>
        <w:t>ва самолета в 1945 г.</w:t>
      </w:r>
    </w:p>
    <w:p w14:paraId="7E79AF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w:t>
      </w:r>
      <w:r w:rsidRPr="00271E51">
        <w:rPr>
          <w:rFonts w:ascii="Times New Roman" w:hAnsi="Times New Roman"/>
          <w:color w:val="000000" w:themeColor="text1"/>
          <w:sz w:val="16"/>
          <w:szCs w:val="16"/>
        </w:rPr>
        <w:softHyphen/>
        <w:t>бря 1944 г. Котяков закончил испытания усовершенствованного Бе-4 №4770305, которые проходили с 11 августа 1944, после чего его приняли в каче</w:t>
      </w:r>
      <w:r w:rsidRPr="00271E51">
        <w:rPr>
          <w:rFonts w:ascii="Times New Roman" w:hAnsi="Times New Roman"/>
          <w:color w:val="000000" w:themeColor="text1"/>
          <w:sz w:val="16"/>
          <w:szCs w:val="16"/>
        </w:rPr>
        <w:softHyphen/>
        <w:t>стве эталона для серии. У машины значительно усилили огневую мощь за счет установки ракетных орудий РО-82 для реактивных снарядов РС-82. Машина №28807 имела по четыре РО-82 под каж</w:t>
      </w:r>
      <w:r w:rsidRPr="00271E51">
        <w:rPr>
          <w:rFonts w:ascii="Times New Roman" w:hAnsi="Times New Roman"/>
          <w:color w:val="000000" w:themeColor="text1"/>
          <w:sz w:val="16"/>
          <w:szCs w:val="16"/>
        </w:rPr>
        <w:softHyphen/>
        <w:t>дой консолью крыла, но на всех последующих их количество сократили до двух. Начиная с самолета №4770202, Бе-4 в дополнение к двум бакам в мотогондоле стали осна</w:t>
      </w:r>
      <w:r w:rsidRPr="00271E51">
        <w:rPr>
          <w:rFonts w:ascii="Times New Roman" w:hAnsi="Times New Roman"/>
          <w:color w:val="000000" w:themeColor="text1"/>
          <w:sz w:val="16"/>
          <w:szCs w:val="16"/>
        </w:rPr>
        <w:softHyphen/>
        <w:t>щать спаренными лодочными бензобака</w:t>
      </w:r>
      <w:r w:rsidRPr="00271E51">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271E51">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271E51">
        <w:rPr>
          <w:rFonts w:ascii="Times New Roman" w:hAnsi="Times New Roman"/>
          <w:color w:val="000000" w:themeColor="text1"/>
          <w:sz w:val="16"/>
          <w:szCs w:val="16"/>
        </w:rPr>
        <w:softHyphen/>
        <w:t>лось стрелковое вооружение. Вместо хво</w:t>
      </w:r>
      <w:r w:rsidRPr="00271E51">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271E51">
        <w:rPr>
          <w:rFonts w:ascii="Times New Roman" w:hAnsi="Times New Roman"/>
          <w:color w:val="000000" w:themeColor="text1"/>
          <w:sz w:val="16"/>
          <w:szCs w:val="16"/>
        </w:rPr>
        <w:softHyphen/>
        <w:t>лила за 3 т, и один курсовой пулемет УБК пришлось снять. В таком виде Бе-4 строили вплоть до окончания производст</w:t>
      </w:r>
      <w:r w:rsidRPr="00271E51">
        <w:rPr>
          <w:rFonts w:ascii="Times New Roman" w:hAnsi="Times New Roman"/>
          <w:color w:val="000000" w:themeColor="text1"/>
          <w:sz w:val="16"/>
          <w:szCs w:val="16"/>
        </w:rPr>
        <w:softHyphen/>
        <w:t>ва самолета в 1945 г.</w:t>
      </w:r>
    </w:p>
    <w:tbl>
      <w:tblPr>
        <w:tblW w:w="0" w:type="auto"/>
        <w:tblInd w:w="40" w:type="dxa"/>
        <w:tblLayout w:type="fixed"/>
        <w:tblCellMar>
          <w:left w:w="40" w:type="dxa"/>
          <w:right w:w="40" w:type="dxa"/>
        </w:tblCellMar>
        <w:tblLook w:val="0000" w:firstRow="0" w:lastRow="0" w:firstColumn="0" w:lastColumn="0" w:noHBand="0" w:noVBand="0"/>
      </w:tblPr>
      <w:tblGrid>
        <w:gridCol w:w="595"/>
        <w:gridCol w:w="528"/>
        <w:gridCol w:w="538"/>
        <w:gridCol w:w="538"/>
        <w:gridCol w:w="528"/>
        <w:gridCol w:w="614"/>
      </w:tblGrid>
      <w:tr w:rsidR="00A907A5" w:rsidRPr="00271E51" w14:paraId="2ED62DBA" w14:textId="77777777" w:rsidTr="00ED5B0A">
        <w:trPr>
          <w:trHeight w:val="221"/>
        </w:trPr>
        <w:tc>
          <w:tcPr>
            <w:tcW w:w="3341" w:type="dxa"/>
            <w:gridSpan w:val="6"/>
            <w:tcBorders>
              <w:top w:val="single" w:sz="6" w:space="0" w:color="auto"/>
              <w:left w:val="single" w:sz="6" w:space="0" w:color="auto"/>
              <w:bottom w:val="single" w:sz="6" w:space="0" w:color="auto"/>
              <w:right w:val="single" w:sz="6" w:space="0" w:color="auto"/>
            </w:tcBorders>
          </w:tcPr>
          <w:p w14:paraId="1D4302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Серийный выпуск Бе-4</w:t>
            </w:r>
          </w:p>
        </w:tc>
      </w:tr>
      <w:tr w:rsidR="00A907A5" w:rsidRPr="00271E51" w14:paraId="5CF1545B" w14:textId="77777777" w:rsidTr="00ED5B0A">
        <w:trPr>
          <w:trHeight w:val="230"/>
        </w:trPr>
        <w:tc>
          <w:tcPr>
            <w:tcW w:w="595" w:type="dxa"/>
            <w:tcBorders>
              <w:top w:val="single" w:sz="6" w:space="0" w:color="auto"/>
              <w:left w:val="single" w:sz="6" w:space="0" w:color="auto"/>
              <w:bottom w:val="single" w:sz="6" w:space="0" w:color="auto"/>
              <w:right w:val="single" w:sz="6" w:space="0" w:color="auto"/>
            </w:tcBorders>
          </w:tcPr>
          <w:p w14:paraId="69A50A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B9245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538" w:type="dxa"/>
            <w:tcBorders>
              <w:top w:val="single" w:sz="6" w:space="0" w:color="auto"/>
              <w:left w:val="single" w:sz="6" w:space="0" w:color="auto"/>
              <w:bottom w:val="single" w:sz="6" w:space="0" w:color="auto"/>
              <w:right w:val="single" w:sz="6" w:space="0" w:color="auto"/>
            </w:tcBorders>
          </w:tcPr>
          <w:p w14:paraId="357D17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538" w:type="dxa"/>
            <w:tcBorders>
              <w:top w:val="single" w:sz="6" w:space="0" w:color="auto"/>
              <w:left w:val="single" w:sz="6" w:space="0" w:color="auto"/>
              <w:bottom w:val="single" w:sz="6" w:space="0" w:color="auto"/>
              <w:right w:val="single" w:sz="6" w:space="0" w:color="auto"/>
            </w:tcBorders>
          </w:tcPr>
          <w:p w14:paraId="1B06BA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528" w:type="dxa"/>
            <w:tcBorders>
              <w:top w:val="single" w:sz="6" w:space="0" w:color="auto"/>
              <w:left w:val="single" w:sz="6" w:space="0" w:color="auto"/>
              <w:bottom w:val="single" w:sz="6" w:space="0" w:color="auto"/>
              <w:right w:val="single" w:sz="6" w:space="0" w:color="auto"/>
            </w:tcBorders>
          </w:tcPr>
          <w:p w14:paraId="6C283F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w:t>
            </w:r>
          </w:p>
        </w:tc>
        <w:tc>
          <w:tcPr>
            <w:tcW w:w="614" w:type="dxa"/>
            <w:tcBorders>
              <w:top w:val="single" w:sz="6" w:space="0" w:color="auto"/>
              <w:left w:val="single" w:sz="6" w:space="0" w:color="auto"/>
              <w:bottom w:val="single" w:sz="6" w:space="0" w:color="auto"/>
              <w:right w:val="single" w:sz="6" w:space="0" w:color="auto"/>
            </w:tcBorders>
          </w:tcPr>
          <w:p w14:paraId="5F1FAB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r>
      <w:tr w:rsidR="00A907A5" w:rsidRPr="00271E51" w14:paraId="47E8D165" w14:textId="77777777" w:rsidTr="00ED5B0A">
        <w:trPr>
          <w:trHeight w:val="317"/>
        </w:trPr>
        <w:tc>
          <w:tcPr>
            <w:tcW w:w="595" w:type="dxa"/>
            <w:tcBorders>
              <w:top w:val="single" w:sz="6" w:space="0" w:color="auto"/>
              <w:left w:val="single" w:sz="6" w:space="0" w:color="auto"/>
              <w:bottom w:val="single" w:sz="6" w:space="0" w:color="auto"/>
              <w:right w:val="single" w:sz="6" w:space="0" w:color="auto"/>
            </w:tcBorders>
          </w:tcPr>
          <w:p w14:paraId="313E09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№288</w:t>
            </w:r>
          </w:p>
        </w:tc>
        <w:tc>
          <w:tcPr>
            <w:tcW w:w="528" w:type="dxa"/>
            <w:tcBorders>
              <w:top w:val="single" w:sz="6" w:space="0" w:color="auto"/>
              <w:left w:val="single" w:sz="6" w:space="0" w:color="auto"/>
              <w:bottom w:val="single" w:sz="6" w:space="0" w:color="auto"/>
              <w:right w:val="single" w:sz="6" w:space="0" w:color="auto"/>
            </w:tcBorders>
          </w:tcPr>
          <w:p w14:paraId="341119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538" w:type="dxa"/>
            <w:tcBorders>
              <w:top w:val="single" w:sz="6" w:space="0" w:color="auto"/>
              <w:left w:val="single" w:sz="6" w:space="0" w:color="auto"/>
              <w:bottom w:val="single" w:sz="6" w:space="0" w:color="auto"/>
              <w:right w:val="single" w:sz="6" w:space="0" w:color="auto"/>
            </w:tcBorders>
          </w:tcPr>
          <w:p w14:paraId="0F0F1C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538" w:type="dxa"/>
            <w:tcBorders>
              <w:top w:val="single" w:sz="6" w:space="0" w:color="auto"/>
              <w:left w:val="single" w:sz="6" w:space="0" w:color="auto"/>
              <w:bottom w:val="single" w:sz="6" w:space="0" w:color="auto"/>
              <w:right w:val="single" w:sz="6" w:space="0" w:color="auto"/>
            </w:tcBorders>
          </w:tcPr>
          <w:p w14:paraId="51BAD8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81560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71551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2F71F02B" w14:textId="77777777" w:rsidTr="00ED5B0A">
        <w:trPr>
          <w:trHeight w:val="317"/>
        </w:trPr>
        <w:tc>
          <w:tcPr>
            <w:tcW w:w="595" w:type="dxa"/>
            <w:tcBorders>
              <w:top w:val="single" w:sz="6" w:space="0" w:color="auto"/>
              <w:left w:val="single" w:sz="6" w:space="0" w:color="auto"/>
              <w:bottom w:val="single" w:sz="6" w:space="0" w:color="auto"/>
              <w:right w:val="single" w:sz="6" w:space="0" w:color="auto"/>
            </w:tcBorders>
          </w:tcPr>
          <w:p w14:paraId="49B5F5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№477</w:t>
            </w:r>
          </w:p>
        </w:tc>
        <w:tc>
          <w:tcPr>
            <w:tcW w:w="528" w:type="dxa"/>
            <w:tcBorders>
              <w:top w:val="single" w:sz="6" w:space="0" w:color="auto"/>
              <w:left w:val="single" w:sz="6" w:space="0" w:color="auto"/>
              <w:bottom w:val="single" w:sz="6" w:space="0" w:color="auto"/>
              <w:right w:val="single" w:sz="6" w:space="0" w:color="auto"/>
            </w:tcBorders>
          </w:tcPr>
          <w:p w14:paraId="64AA02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32FA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3C10C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528" w:type="dxa"/>
            <w:tcBorders>
              <w:top w:val="single" w:sz="6" w:space="0" w:color="auto"/>
              <w:left w:val="single" w:sz="6" w:space="0" w:color="auto"/>
              <w:bottom w:val="single" w:sz="6" w:space="0" w:color="auto"/>
              <w:right w:val="single" w:sz="6" w:space="0" w:color="auto"/>
            </w:tcBorders>
          </w:tcPr>
          <w:p w14:paraId="001955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614" w:type="dxa"/>
            <w:tcBorders>
              <w:top w:val="single" w:sz="6" w:space="0" w:color="auto"/>
              <w:left w:val="single" w:sz="6" w:space="0" w:color="auto"/>
              <w:bottom w:val="single" w:sz="6" w:space="0" w:color="auto"/>
              <w:right w:val="single" w:sz="6" w:space="0" w:color="auto"/>
            </w:tcBorders>
          </w:tcPr>
          <w:p w14:paraId="67046A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r>
      <w:tr w:rsidR="00A907A5" w:rsidRPr="00271E51" w14:paraId="07C9B8C8" w14:textId="77777777" w:rsidTr="00ED5B0A">
        <w:trPr>
          <w:trHeight w:val="278"/>
        </w:trPr>
        <w:tc>
          <w:tcPr>
            <w:tcW w:w="595" w:type="dxa"/>
            <w:tcBorders>
              <w:top w:val="single" w:sz="6" w:space="0" w:color="auto"/>
              <w:left w:val="single" w:sz="6" w:space="0" w:color="auto"/>
              <w:bottom w:val="single" w:sz="6" w:space="0" w:color="auto"/>
              <w:right w:val="single" w:sz="6" w:space="0" w:color="auto"/>
            </w:tcBorders>
          </w:tcPr>
          <w:p w14:paraId="41177C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528" w:type="dxa"/>
            <w:tcBorders>
              <w:top w:val="single" w:sz="6" w:space="0" w:color="auto"/>
              <w:left w:val="single" w:sz="6" w:space="0" w:color="auto"/>
              <w:bottom w:val="single" w:sz="6" w:space="0" w:color="auto"/>
              <w:right w:val="single" w:sz="6" w:space="0" w:color="auto"/>
            </w:tcBorders>
          </w:tcPr>
          <w:p w14:paraId="3D0D8D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C07FB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38E7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71783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C294F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r>
    </w:tbl>
    <w:p w14:paraId="60C28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(10685).</w:t>
      </w:r>
    </w:p>
    <w:p w14:paraId="20BE6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BE341"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11 августа 1943 г.</w:t>
      </w:r>
    </w:p>
    <w:p w14:paraId="05BA15B9"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Докладная записка секретаря Красноярского крайкома ВКП (б) по оборонной промышленности Н.П. Краснобаева начальнику 10-го Главного управления НКАП Б.Н. Тарасевичу</w:t>
      </w:r>
    </w:p>
    <w:p w14:paraId="4EE01D44"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г. Красноярск 11 августа 1943 г.</w:t>
      </w:r>
    </w:p>
    <w:p w14:paraId="06CFA95A"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сов[ершенно] секретно</w:t>
      </w:r>
    </w:p>
    <w:p w14:paraId="67A08788"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В соответствии с нашей просьбой перед ЦК ВКП (б) и наркомом авиационной промышленности завод № 477 приказом наркома авиационной промышленности тов. Шахурина переведен на серийное производство самолетов Бе-4 с выпуском их в текущем году. В порядке подготовки к производству новой машины заводом уже выполнены следующие работы:</w:t>
      </w:r>
    </w:p>
    <w:p w14:paraId="147C6232"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1. Изготовлены стапеля первой очереди для сборки агрегатов машины;</w:t>
      </w:r>
    </w:p>
    <w:p w14:paraId="02CFE053"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2. Изготовлены сборочные плазы, приспособления, болванки и специальный инструмент;</w:t>
      </w:r>
    </w:p>
    <w:p w14:paraId="7BDD808D"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3. Закончена технологическая подготовка машины, и в заготовительных цехах начато изготовление деталей первой машины;</w:t>
      </w:r>
    </w:p>
    <w:p w14:paraId="7B99AE76"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4. Построена компрессорная и анодная мастерская.</w:t>
      </w:r>
    </w:p>
    <w:p w14:paraId="51C6E4C5"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Оставшиеся сроки для выпуска машин диктуют необходимость немедленного разворота работ по запуску деталей во всех цехах завода. Тем не менее, обеспеченность завода материалами и, главным образом, ранее на заводе не применявшимися, ставит под угрозу срыва установленные сроки освоения и выпуска машин. Крайком ВКП (б) со своей стороны оказал заводу значительную помощь в изыскании материалов для изготовления оснастки и строительства анодной мастерской. Таким образом, работа по подготовке производства, в основном, обеспечена материалом за счет ресурсов других заводов края.</w:t>
      </w:r>
    </w:p>
    <w:p w14:paraId="564335CD"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lastRenderedPageBreak/>
        <w:t>Основные же производственные материалы до настоящего времени заводу поставщиками не отгружены (завод № 95 и др.) и даже не обеспечены фондами (прутки, трубы, листы латунные и медные, листы свинцовые, цинковые, олово, проволока АК и АМП).</w:t>
      </w:r>
    </w:p>
    <w:p w14:paraId="6B73EA50"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Некоторые материалы обеспечены обезличенными фондами (не указаны поставщики), что не дает возможности принять меры к их реализации. Такое положение со снабжением завода основными материалами ставит под угрозу срыва сроки освоения и выпуска гидросамолетов.</w:t>
      </w:r>
    </w:p>
    <w:p w14:paraId="58F0EE08"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Вследствие сложившихся обстоятельств на заводе прошу Вас принять необходимые меры к безусловному обеспечению завода материалами в ближайшее время.</w:t>
      </w:r>
    </w:p>
    <w:p w14:paraId="2DE88332"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Секретарь крайкома ВКП (б) по оборонной промышленности подпись Н. Краснобаев</w:t>
      </w:r>
    </w:p>
    <w:p w14:paraId="4BFDEA48" w14:textId="77777777" w:rsidR="002B06C1" w:rsidRPr="00271E51" w:rsidRDefault="002B06C1"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КГКУ «ГАКК». Ф.П-26. Оп. 4. Д. 8. Л. 7, 8. Подлинник. Машинопись (19799).</w:t>
      </w:r>
    </w:p>
    <w:p w14:paraId="6711B32E" w14:textId="77777777" w:rsidR="002B06C1" w:rsidRPr="00271E51" w:rsidRDefault="002B06C1" w:rsidP="00271E51">
      <w:pPr>
        <w:spacing w:after="0" w:line="240" w:lineRule="auto"/>
        <w:jc w:val="both"/>
        <w:rPr>
          <w:rFonts w:ascii="Times New Roman" w:hAnsi="Times New Roman"/>
          <w:color w:val="000000" w:themeColor="text1"/>
          <w:sz w:val="16"/>
          <w:szCs w:val="16"/>
        </w:rPr>
      </w:pPr>
    </w:p>
    <w:p w14:paraId="2D13E2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3905 О производстве валов винта для Наркомавиапрома.РГАНИР, Фонд ГКО, д. 145, лл. 6 (11012).</w:t>
      </w:r>
    </w:p>
    <w:p w14:paraId="6EE6F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8D54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57A7D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9E59E" w14:textId="77777777" w:rsidR="00C413CC" w:rsidRPr="00271E51" w:rsidRDefault="00C413C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11 августа 1943 года был подготовлен эскизный проект модернизированной СУ-76и. Тогда же, в августе, была построена одна самоходная установка с командирской башенкой. Сложных путей в отделе 22 искать не стали и просто взяли готовую башенку от Pz.Kpfw.III, благо что в наличии они имелись. Для установки этой башенки с правой стороны рубки пришлось сделать выступ. 6 сентября модернизированная САУ была утверждена для серийного производства. Сколько таких машин было построено неизвестно. Боевых фотографий СУ-76И почти не осталось. Но в том, что модернизированная СУ-76И выпускалась серийно, сомнений нет (18090).</w:t>
      </w:r>
    </w:p>
    <w:p w14:paraId="232A8956" w14:textId="77777777" w:rsidR="00C413CC" w:rsidRPr="00271E51" w:rsidRDefault="00C413CC" w:rsidP="00271E51">
      <w:pPr>
        <w:pStyle w:val="ae"/>
        <w:shd w:val="clear" w:color="auto" w:fill="FFFFFF"/>
        <w:spacing w:before="0" w:after="0"/>
        <w:jc w:val="both"/>
        <w:rPr>
          <w:color w:val="000000" w:themeColor="text1"/>
          <w:sz w:val="16"/>
          <w:szCs w:val="16"/>
        </w:rPr>
      </w:pPr>
    </w:p>
    <w:p w14:paraId="31E35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3906 О мероприятиях по обеспечению базового строительства и строительства нефтеемкостей для Черноморского флота.РГАНИР, Фонд ГКО, д. 145, лл. 7-12, 13-22 (11012).</w:t>
      </w:r>
    </w:p>
    <w:p w14:paraId="7AB84E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D5D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Распоряжение ГКО № 3907. О мерах по бесперебойному снабжению дровами Талицкого ацетоно-бутанолового завода НКПП СССР.РГАНИР, Фонд ГКО, д. 145, лл. 23 (11012).</w:t>
      </w:r>
    </w:p>
    <w:p w14:paraId="2F269E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175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3908 Об обеспечении строительства Миасского автомобильного завода имени Сталина Наркомсредмаша в 1943 г.РГАНИР, Фонд ГКО, д. 145, лл. 24-30, 31-38 (11012).</w:t>
      </w:r>
    </w:p>
    <w:p w14:paraId="083089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FE4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3909 О материально-техническом обеспечении автомобильных и автоприцепных заводов Наркомсредмаша в III квартале 1943 г.РГАНИР, Фонд ГКО, д. 145, лл. 39-50, 51-67 (11012).</w:t>
      </w:r>
    </w:p>
    <w:p w14:paraId="01ABBB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67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3910 О завозе картофеля и овощей в гор. Москву.РГАНИР, Фонд ГКО, д. 145, лл. 68-70, 71-73 (11012).</w:t>
      </w:r>
    </w:p>
    <w:p w14:paraId="7328ED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D1A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Распоряжение ГКО № 3911. О дополнительных мерах по материально-техническому обеспечению восстановления ГАЗ.РГАНИР, Фонд ГКО, д. 145, лл. 74-76 (11012).</w:t>
      </w:r>
    </w:p>
    <w:p w14:paraId="51690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7F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3912 Об обеспечении ввода мощностей на ТЭЦ Алтайского тракторного завода НКсредмаша.РГАНИР, Фонд ГКО, д. 145, лл. 77-81, 82-87 (11012).</w:t>
      </w:r>
    </w:p>
    <w:p w14:paraId="5729CD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62B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Распоряжение ГКО № 3913. О мерах по обеспечению сырьем и топливом действующих и пусковых гидролизных заводов Главлесоспирта при СНК СССР.РГАНИР, Фонд ГКО, д. 145, лл. 88-90, 91-96 (11012).</w:t>
      </w:r>
    </w:p>
    <w:p w14:paraId="5CA0C2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2BC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3914 Об отпуске продовольственных, госпитальных и фуражных пайков для Красной Армии, Военно-Морского Флота и войск НКВД в августе 1943 г.РГАНИР, Фонд ГКО, д. 145, лл. 97-99, 100-101 (11012).</w:t>
      </w:r>
    </w:p>
    <w:p w14:paraId="01334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AD3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вышло Постановление ГКО № 3915 О плане снабжения горюче-смазочными материалами Красной Армии и Военно-Морского Флота на август 1943 г.РГАНИР, Фонд ГКО, д. 145, лл. 102-103, 104-137 (11012).</w:t>
      </w:r>
    </w:p>
    <w:p w14:paraId="0AFD8F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3D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В Ленинграде достроена и сдана флоту ПЛ Л-21 (10671).</w:t>
      </w:r>
    </w:p>
    <w:p w14:paraId="5E1BDA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D6C4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580A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9973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г. вышло РАСПОРЯЖЕНИЕ КОМАНДУЮЩЕГО БТ и МВ КА КОМАНДУЮЩЕМУ БТ и МВ ЦЕНТРАЛЬНОГО ФРОНТА О СОДЕЙСТВИИ ПРЕДСТАВИТЕЛЮ ТУ ГБТУ В ОТБОРЕ ТРОФЕЙНЫХ ТАНКОВ И САМОХОДНЫХ УСТАНОВОК</w:t>
      </w:r>
    </w:p>
    <w:p w14:paraId="00F600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отбора трофейных немецких танков и самоходных установок, находящихся на Вашем фрон</w:t>
      </w:r>
      <w:r w:rsidRPr="00271E51">
        <w:rPr>
          <w:rFonts w:ascii="Times New Roman" w:hAnsi="Times New Roman"/>
          <w:color w:val="000000" w:themeColor="text1"/>
          <w:sz w:val="16"/>
          <w:szCs w:val="16"/>
        </w:rPr>
        <w:softHyphen/>
        <w:t>те, командируется инженер-майор т. Коливода.</w:t>
      </w:r>
    </w:p>
    <w:p w14:paraId="7877F8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Отобранные машины и агрегаты срочно отгрузите в следующие адреса:</w:t>
      </w:r>
    </w:p>
    <w:p w14:paraId="2D8239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 ст. Кубинка Западной ж.д. для НИБТ полигона ГБТУ КА — две самоходных установки «Фердинанд», один экранированный танк Т-1П и один экранированный танк Т-1У.</w:t>
      </w:r>
    </w:p>
    <w:p w14:paraId="77F328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ст. Ильино Горьковской ж.д. для АНИОПа ГАУ КА по одной машине с башнями (не горев</w:t>
      </w:r>
      <w:r w:rsidRPr="00271E51">
        <w:rPr>
          <w:rFonts w:ascii="Times New Roman" w:hAnsi="Times New Roman"/>
          <w:color w:val="000000" w:themeColor="text1"/>
          <w:sz w:val="16"/>
          <w:szCs w:val="16"/>
        </w:rPr>
        <w:softHyphen/>
        <w:t>шие) Т-VI (Тигр), Т-У (Пантера), самоходную установку «Фердинанд» и 150- мм мортиру на базе Т-IV, а также бронетранспортер для подвозки снарядов к самоходной установки «Фердинанд».</w:t>
      </w:r>
    </w:p>
    <w:p w14:paraId="465E21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ст. Куйбышев Куйбышевской ж.д. для завода №207 НКАП один бронекорпус транспортера для подвозки снарядов к самоходной установке «Фердинанд».</w:t>
      </w:r>
    </w:p>
    <w:p w14:paraId="243F1F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имеющиеся у Вас инструкции, формуляры и другие документы на эти танки и самоходные установки срочно вышлите (не менее как по одному экземпляру) в адрес ТУ ГБТУ КА, г. Москва, Красная площадь, 2-й дом НКО.</w:t>
      </w:r>
    </w:p>
    <w:p w14:paraId="24A46A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БТ и МВ КА генерал-полковник танковых войск Федоренко</w:t>
      </w:r>
    </w:p>
    <w:p w14:paraId="528F6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1425. Л. 89. Копия (11403).</w:t>
      </w:r>
    </w:p>
    <w:p w14:paraId="633806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539D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11 августа 1943 4 и 5ГТА в ходе наступления на белгород-харьковском направлении вышли в район Высокополье, Ковляги. Войска СФ к этому времени освободили Белгород и вышли к внешнему харьковскому обводу (340,150).</w:t>
      </w:r>
    </w:p>
    <w:p w14:paraId="5DBC44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9E1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11 по 17 августа 1943 при активной поддержке 2ВА ВФ отразил контрнаступление в районе Богодухова (340,151). Немцы пытались подтянуть танковые и механизированные соединения из Донбасса. В действие ввели 8ВА ЮФ, а по мере продвижения резервов к линии фронта последовательно вступали 15ВА, 5Ва и 2ВА, которые уничтожали эшелоны на станциях Горловка, Славянск, Барвенково, Павлоград и автоколонны. Одновременно по узлам Полтава, Люботин, Красноармейское, Красноград, Мерефа действовали 4 и 5 ак АДД (340,152).</w:t>
      </w:r>
    </w:p>
    <w:p w14:paraId="1C7214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7E2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л 14 гиап мл.л. Н.К.Лошаков перелетел из плена на Шторьхе и сел через 3 часа ночью в Мало-Вишерском районе. Сбит был 27 мая и попал в лагерь близ Острова. Сговорился с И.А.Денисюком, работавшим заправщиком (438,881).</w:t>
      </w:r>
    </w:p>
    <w:p w14:paraId="7B06A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4DC4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D637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D78E3F"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августа 1943 восемь немецких « Фокке-Вульф Fw 190» атакуют военный корабль США « Филадельфия» и два американских эсминца у побережья Броло , Сицилия; не добиваются попаданий. Филадельфия сбила пять из них, а эсминец USS Ludlow и истребитель ВВС США сбили по одному. 11 августа 1943 самолеты союзников прервали немецкую контратаку против сил армии США в Броло, но семь бомбардировщиков ВВС США А-36 по ошибке атаковали американские позиции, уничтожив командный пункт и четыре артиллерийских орудия (20376).</w:t>
      </w:r>
    </w:p>
    <w:p w14:paraId="1D78CAED" w14:textId="77777777" w:rsidR="00155AFE" w:rsidRPr="00271E51" w:rsidRDefault="00155AFE" w:rsidP="00271E51">
      <w:pPr>
        <w:spacing w:after="0" w:line="240" w:lineRule="auto"/>
        <w:jc w:val="both"/>
        <w:rPr>
          <w:rFonts w:ascii="Times New Roman" w:hAnsi="Times New Roman"/>
          <w:color w:val="0070C0"/>
          <w:sz w:val="16"/>
          <w:szCs w:val="16"/>
        </w:rPr>
      </w:pPr>
    </w:p>
    <w:p w14:paraId="3E0D96E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августа 1943 девять B-24 11 армии ВВС выполнили второй рейд по Курильским островам, чтобы снова напасть на японскую базу в Парамушире, вызвав заметный ущерб. Японские истребители сбили один B-24 и повредили восемь других; Б-24 сбили 13 японских истребителей. Одиннадцатая армия решает больше не совершать налетов на Курилы без истребительного сопровождения своих бомбардировщиков (20376).</w:t>
      </w:r>
    </w:p>
    <w:p w14:paraId="2A61F2BB" w14:textId="77777777" w:rsidR="00155AFE" w:rsidRPr="00271E51" w:rsidRDefault="00155AFE" w:rsidP="00271E51">
      <w:pPr>
        <w:spacing w:after="0" w:line="240" w:lineRule="auto"/>
        <w:jc w:val="both"/>
        <w:rPr>
          <w:rFonts w:ascii="Times New Roman" w:hAnsi="Times New Roman"/>
          <w:color w:val="0070C0"/>
          <w:sz w:val="16"/>
          <w:szCs w:val="16"/>
        </w:rPr>
      </w:pPr>
    </w:p>
    <w:p w14:paraId="2CE61A5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августа 1943 президент США Ф. Рузвельт пообещал Филиппинам независимость по окончании войны (4962).</w:t>
      </w:r>
    </w:p>
    <w:p w14:paraId="128D995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4012E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E228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ACE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в Иркутске на 39 заводе в 15:58 был произведен 3 полет Ил-6 продолжительностью 2:02 с заданием замера температурных характеристик ВМГ на площадках до высоты 4000 м, сделать виражи, проверить устойчивость самолета (1697,234).</w:t>
      </w:r>
    </w:p>
    <w:p w14:paraId="2F922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E5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директор завода 39 Абрамов направил А.И.Ш. телефонограмму:</w:t>
      </w:r>
    </w:p>
    <w:p w14:paraId="0143E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на машине Ил-6 сделан третий полет, продолжительностью 2 час. 2 мин.</w:t>
      </w:r>
    </w:p>
    <w:p w14:paraId="23F8FA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помимо снятия температурных характеристик воды и масла, на площадках по высотам, до 4000 м высоты, проверена устойчивость самолета, полет на одном моторе, замерен часовой расход масла и горючего.</w:t>
      </w:r>
    </w:p>
    <w:p w14:paraId="21AEA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18 час. местного времени самолет поставлен на выполнение доводочных работ по спискам, утвержденным ГК С.В.И., как то: переделка управления элеронами, переделка бензопровода, монтаж натяг, замена дюралевого бензопровода на стальные, частично медные трубки, сборка и монтаж противопожарных перегородок, монтаж автопилота, смена кронштейна маслобака, окончание металлизации самолета, проведение сбрасывания помпы, постановка перегородки в кабине стрелка, постановка топливного насоса на другое место и проч. (1768,224).</w:t>
      </w:r>
    </w:p>
    <w:p w14:paraId="43F0F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2489F"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 августа в 1943 году НИИ ВВС КА подготовил программу "Совместных заводских и государственных испытаний модифицированных самолетов </w:t>
      </w:r>
      <w:hyperlink r:id="rId63" w:tgtFrame="_blank" w:history="1">
        <w:r w:rsidRPr="00271E51">
          <w:rPr>
            <w:rFonts w:ascii="Times New Roman" w:hAnsi="Times New Roman"/>
            <w:color w:val="000000" w:themeColor="text1"/>
            <w:sz w:val="16"/>
            <w:szCs w:val="16"/>
          </w:rPr>
          <w:t xml:space="preserve">«Ту-2» </w:t>
        </w:r>
      </w:hyperlink>
      <w:r w:rsidRPr="00271E51">
        <w:rPr>
          <w:rFonts w:ascii="Times New Roman" w:hAnsi="Times New Roman"/>
          <w:color w:val="000000" w:themeColor="text1"/>
          <w:sz w:val="16"/>
          <w:szCs w:val="16"/>
        </w:rPr>
        <w:t>№713 и «Ту-2» №716 с 2 «М-82ФНВ» и винтами «АВ-5-167А», производства завода №156 НКАП". Целью испытаний было определение летно-тактических данных самолета, проверка работы ВМГ, надежности работы модифицированных гидросистемы, спецоборудования и вооружения, выявление эксплуатационных особенностей самолета. На наземные испытания отводилось 69 часов, на летные – 28. Планировалось выполнить 48 полетов, включая контрольный полет на управляемость и устойчивость при задней центровке, определение температурных режимов (3 полета), километраж (3), полеты на "зубцы" (2), определение скоростей и скороподъемности (3), определение взлетно-посадочных характеристик с внутренней (12) и наружной (9) подвеской бомб, проверочный полет на пикирование, два полета на расходы горючего и 12 облетов. Программу утвердили начальник НИИ ВВС КА Лосюков и Главный конструктор Туполев (14981).</w:t>
      </w:r>
    </w:p>
    <w:p w14:paraId="08A8A460" w14:textId="77777777" w:rsidR="008E0EC1" w:rsidRPr="00271E51" w:rsidRDefault="008E0EC1" w:rsidP="00271E51">
      <w:pPr>
        <w:spacing w:after="0" w:line="240" w:lineRule="auto"/>
        <w:jc w:val="both"/>
        <w:rPr>
          <w:rFonts w:ascii="Times New Roman" w:hAnsi="Times New Roman"/>
          <w:color w:val="000000" w:themeColor="text1"/>
          <w:sz w:val="16"/>
          <w:szCs w:val="16"/>
        </w:rPr>
      </w:pPr>
    </w:p>
    <w:p w14:paraId="53053618"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12 августа 1943</w:t>
      </w:r>
    </w:p>
    <w:p w14:paraId="09F90F10"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НКО СССР, 47 ГВАРДЕЙСКИЙ АВИАЦИОННЫЙ ПОЛК ДАЛЬНИХ РАЗВЕДЧИКОВ ГК КА</w:t>
      </w:r>
    </w:p>
    <w:p w14:paraId="32C39235"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ГЛАВНОМУ ИНЖЕНЕРУ ВВС КРАСНОЙ АРМИИ</w:t>
      </w:r>
    </w:p>
    <w:p w14:paraId="13CCDA57"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НАРОДНОМУ КОМИССАРУ АВИАЦИОННОЙ ПРОМЫШЛЕННОСТИ тов. ШАХУРИНУ</w:t>
      </w:r>
    </w:p>
    <w:p w14:paraId="34E10257"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течении года 47-й Гвардейский авиационный полк Дальних разведчиков Главного Командования Красной Армии ведет боевую работу на самолетах Ту-2 с моторами М-82-211.</w:t>
      </w:r>
    </w:p>
    <w:p w14:paraId="37238911"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Благодаря не доведенности отдельных узлов самолета и некоторых моторных агрегатов в полку было несколько случаев аварий и один случай не возвращения с боевого задания по вине материальной части, если все остальные дефекты и не усовершенствования менее болезненно отражаются на общий ход боевой работы, то дефект «раскрутка винтов», по причине отказа в работе регулятора оборотов Р-7-А в основном , из-за поломки редукционных клапанов дальнейшую боевую работу на самолете Ту-2 поставил под непосредственную угрозу срыва.</w:t>
      </w:r>
    </w:p>
    <w:p w14:paraId="694E1343"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С первых дней работы на самолете Ту-2 «раскрутка винтов» — систематически выводила из строя дорогостоящую материальную часть, а порой и стоила жизни боевых экипажей. Начиная с приемки самолетов в г. Омске - по причине раскрутки винтов сгорел один самолет, причем экипаж был тяжело ранен, за тем было более десяти случаев раскрутки винтов, которые случайно заканчивались незначительными повреждениями самолета и срывом выполнения боевых заданий.</w:t>
      </w:r>
    </w:p>
    <w:p w14:paraId="7345D31E"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Кроме этого в процессе боевой работы имеется много случаев, когда по причине раскрутки винтов появляющихся зачастую после 1,5-2х часов полета, когда самолет находится над территории глубокого Тыла противника, летный состав был вынужден прекратить выполнение боевого задания, тянуть самолет на одном моторе в течении 1,5-2х часов и перетянув уже на малой высоте линию фронта совершать вынужденную посадку вне аэродрома, что вело к длительному выходу самолета из строя с затратой больших средств и времени на его восстановление.</w:t>
      </w:r>
    </w:p>
    <w:p w14:paraId="58C127AC"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основном отказ в работе регуляторов оборотов Р-7-А шел по линии разрушения приводной муфты ведущего вала регулятора оборотов. /таких случаев было три/, а чаще всего из-за поломок пружин редукционного клапана.</w:t>
      </w:r>
    </w:p>
    <w:p w14:paraId="051BE268"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течении всего времени предприятиями изготовляющими этот агрегат, велась и осуществлялась работа по изменению конструкции и качества отдельных деталей и узлов агрегата Р-7-А. Но весь ход боевой работы не оправдал проделанной работы по улучшению качества агрегатов. Последним мероприятием была замена старых редукционных клапанов на редукционные клапана новой конструкции что и было проделано на агрегатах всех самолетов Ту-2 с 13-го по 18-е мая 1943 года инженером завода №451.</w:t>
      </w:r>
    </w:p>
    <w:p w14:paraId="19C958FF"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О том, что и это мероприятие не эффективно с достаточной ясностью и убедительностью доказывается последними случаями раскрутки винтов:</w:t>
      </w:r>
    </w:p>
    <w:p w14:paraId="5C67DE5D"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1-й случай - 24 июля 1943 года самолет Ту-2 №100409 с моторами М-82-211 №№6511135 - 6511137 с наработкой 72-79 часов, летчик Гвардии лейтенант ЗВЕРЕВ, при полной исправности материальной части, вылетел на боевое задание, через 1 час 12 минут полета было получено сообщение по радио «Раскрутка винтов, возвращаюсь».</w:t>
      </w:r>
    </w:p>
    <w:p w14:paraId="17CA8AAD"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Самолет в это время находился над территорией противника на высоте 6000 метров. Обратный полет продолжался на одном моторе и в виду того, что мотор перегрелся /высокая температура воздуха/ летчик не дошел до своего аэродрома 60-70 километров, совершил вынужденную посадку на фюзеляж. При осмотре Р-7-А на месте посадки самолета выяснилось, что лопнула пружина редукционного клапана. Новый редукционный клапан /с новой пружиной/ до момента поломки пружин наработал 26 часов.</w:t>
      </w:r>
    </w:p>
    <w:p w14:paraId="5036D01C"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2-й случай - 26 июля 1943 года самолет Ту-2 #100301 с моторами М-82-211 №№6511394 - 6511503 с наработкой 49-57 часов, летчик Гвардии ст. лейтенант ЮРЬЕВ, при полной исправности материальной части вылетел на боевое задание.</w:t>
      </w:r>
    </w:p>
    <w:p w14:paraId="61DAA407"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течении 2-х часов полета с борта передавалось о полной исправности материальной части. Через 2 часа 14 минут полета в течении некоторого времени было получено несколько радиограмм, что на самолете «раскрутка винта»</w:t>
      </w:r>
    </w:p>
    <w:p w14:paraId="1BD382ED"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После этого сведений о судьбе экипажа нет. На моторах этого самолета стояли редукционные клапана новой конструкции (то же что и в 1м случае). Редукционные клапана наработали 29 часов и 17 часов.</w:t>
      </w:r>
    </w:p>
    <w:p w14:paraId="1C528488"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После того, как стало известно о поломке пружины редукционного клапана на самолете Ту-2 100409, 26-го июля 1943 года были проверены пружины всех редукционных клапанов на всех моторах и там, где пружины вызывали какое- либо сомнение/ потертость с одной стороны/ эти пружины заменялись, из 14-ти просмотренных редукционных клапанов - в двух пружины оказались с незначительной односторонней потертостью. Одна как раз оказалась и на этом самолете и была заменена пружиной святей с мотора стоящего в ремонте. Причем эта пружина до ее перестановки наработала 11-ть часов. Таким образом к моменту проверки на самолете Ту-2 № 100301 были пружины с наработкой на левом моторе 23 часа и на правом 11 часов. С этими пружинами этот же самолет в этот же день выполнял боевое задание, пробыв в воздухе 4 часа. После посадки летчик заявил, что моторы работают хорошо и в этот же день самолет снова вылетел на задание, при выполнении которого и произошел вышеизложенный случай. Пружины редукционных клапанов, после их проверки, наработали по 6 часов, а всего одна наработала 29 часов, а вторая 17 часов.</w:t>
      </w:r>
    </w:p>
    <w:p w14:paraId="24B3255B"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З-й. случай - Уже после вторичной замены редукционных клапанов имеется три случая поломки и два случая с односторонней потертостью пружин.</w:t>
      </w:r>
    </w:p>
    <w:p w14:paraId="07ACE6A2"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Тот факт, что с отказом нормальной работы агрегатов Р-7-А обязательно возникает раскрутка винта выводящая в полете мотор из строя, усугубляет еще и то положение, что самолет Ту-2 оборудован винтом работающим по обратной схеме (АВ-5-167). Сочетание в оборудовании винтомоторной группы, малонадежным часто отказывающим в работе регуляторов оборотов с винтом работающим до обратной схеме, поставило дальнейшую боевую работу в тревожное положение, с большим риском на благополучное окончание каждого полета.</w:t>
      </w:r>
    </w:p>
    <w:p w14:paraId="0F188EC6"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Учитывая весь ход и опыт эксплоатации указанной материальной части, можно сделать заключение:</w:t>
      </w:r>
    </w:p>
    <w:p w14:paraId="3C2A0511"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lastRenderedPageBreak/>
        <w:t>Регулятор оборотов Р-7-А благодаря не доведенности отдельных деталей и узлов (и в первую очередь пружины редукционного клапана) в эксплоатации не надежен, а в сочетании его с винтами работающими по обратной схеме явно опасен.</w:t>
      </w:r>
    </w:p>
    <w:p w14:paraId="33112D6D"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Продолжать полеты - значит ставить под угрозу жизнь экипажей и целость дорогостоящей материальной части - по причине раскрутки винтов. Поэтому считаю необходимым отметить, что этот вопрос в части окончательного решения должен быть поставлен в плоскости замены винтов работающих по обратной схеме на винты работающие по прямой схеме, что устранило бы полностью возможность раскрутки по причине отказа в работе агрегата Р-7-А, а следовательно вопрос аварий и катастроф по той причине полностью отпал бы.</w:t>
      </w:r>
    </w:p>
    <w:p w14:paraId="350876AE"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На самолетах, которые находятся сейчас в боевой эксплоатации и которые переоборудовать в ближайшее время под винты прямой схемы не представляется возможным, считаю необходимым и пока единственным эффективным мероприятием - производить периодическую замену редукционных клапанов агрегата Р-7-А, а снятые направлять заводу для проверки и регулировки.</w:t>
      </w:r>
    </w:p>
    <w:p w14:paraId="20BDC103"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Но достать этот редукционный клапан очень трудно почти не представляется возможным /причем каждый к лапан, наверное, не дороже одной авиасвечи/.</w:t>
      </w:r>
    </w:p>
    <w:p w14:paraId="2AA254BA"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Против индивидуальной замены одних пружин редукционных клапанов возражаю, так как считаю, что такая пружина, хотя и в определенных допусках, но отличается одна от другой и по геометрическим размерам, и по механическим качествам, а поэтому считаю, редукционный клапан отрегулированный с одной пружиной не дает тех же качеств с другой пружиной или лучше или хуже.</w:t>
      </w:r>
    </w:p>
    <w:p w14:paraId="309925BC"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Прошу дать соответствующие указания по доработке вышеизложенного узла самолета Ту-2.</w:t>
      </w:r>
    </w:p>
    <w:p w14:paraId="7E495FAE"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КОМАНДИР ПОЛКА ГВАРДИИ ПОЛКОВНИК ТЮРИН</w:t>
      </w:r>
    </w:p>
    <w:p w14:paraId="5FE893DD"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СТ.ИНЖЕНЕР ПОЛКА ГВАРДИИ ИНЖЕНЕР-КАПИТАН ПШЕННИКОВ</w:t>
      </w:r>
    </w:p>
    <w:p w14:paraId="787D76A6" w14:textId="77777777" w:rsidR="00155AFE" w:rsidRPr="00271E51" w:rsidRDefault="00155AFE"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12.08.1943 (21334).</w:t>
      </w:r>
    </w:p>
    <w:p w14:paraId="003DB7B1" w14:textId="77777777" w:rsidR="00155AFE" w:rsidRPr="00271E51" w:rsidRDefault="00155AFE" w:rsidP="00271E51">
      <w:pPr>
        <w:pStyle w:val="article-renderblock"/>
        <w:spacing w:before="0" w:beforeAutospacing="0" w:after="0" w:afterAutospacing="0"/>
        <w:jc w:val="both"/>
        <w:rPr>
          <w:color w:val="0070C0"/>
          <w:sz w:val="16"/>
          <w:szCs w:val="16"/>
        </w:rPr>
      </w:pPr>
    </w:p>
    <w:p w14:paraId="48B6BB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НИИ-3 направил Н.Н.П. с письмом материалы по ЖРД РД-1100 с ТНА ВИАМ и МГГ-2 по его запросу (2928,79).</w:t>
      </w:r>
    </w:p>
    <w:p w14:paraId="25473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DE2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г. по приказу № 484с для проектирования и постройки опытных десантных планеров легкого и среднего классов было образовано ОКБ завода № 499 НКАП.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0D92ED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/627144  г. Заводоуковск Тюменской обл. ул. Заводская, 1А/</w:t>
      </w:r>
    </w:p>
    <w:p w14:paraId="58C11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029DD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7D796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Минхиммаша № 320 от 1.12.1989 г. предприятие переименовано в ЗМЗ.</w:t>
      </w:r>
    </w:p>
    <w:p w14:paraId="369349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4B686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территории (1973 г.)- 29,3 га.</w:t>
      </w:r>
    </w:p>
    <w:p w14:paraId="7EC200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(1973 г.)- 1840 чел.</w:t>
      </w:r>
    </w:p>
    <w:p w14:paraId="738BF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5B558D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FF57A"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г. директор завода 600 В.С.Еськов докладывал наркому А.И.Шахурину: «На основании Вашего телеграфного распоряжения от 7-го мая 1943 года, завод немедленно приступил к демонтажу и упаковке оборудования основного производства в последовательности, указанной Вами. До 1-го июня с.г. полностью был произведён демонтаж оборудования основного производства и подготовлен инструмент для отправки в Советский Союз. В течение июня м[еся]ца произведён демонтаж и упаковка общезаводского оборудования, а также одновременно производилась погрузка и отправка имущества завода… 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работники в течение мая и июня были заняты на демонтаже оборудования и упаковке заводского имущества. После вашего указания об эвакуации завода заводской транспорт немедленно приступил к перевозкам оборудования и работников в Советский Союз. С 25 мая с.г. приступила к вывозке оборудования воинская часть 8285, которая до 12 июля подала под заводской груз 1108 трёхтонных и пятитонных автомашин. К 12 июля, в основном, было вывезено всё заводское имущество, исключая тяжеловесы и длинномеры, которые до сего времени не вывозит воинская часть № 8285. К моменту ликвидации завода на последнем находилось около 1100 командированных работников с членами семей, в том числе 350 «упрощенцев», не имеющих загранпаспортов, а также около 800 местных жителей, подлежащих, согласно указанию товарища Молотова, вывозу в Советский Союз. Командированные начали выезжать в Союз в конце мая, т.е. после получения Вашего указания об этом. До второй половины июля «упрощенцы» не могли выезжать в Союз, т.к. местные власти не давали им выездные визы. В середине июля нам удалось нелегально от местных властей вывезти со спецкараваном 42 «упрощенца»-одиночки. Остальная часть «упрощенцев» начала выезжать в Союз во второй половине июля. Сейчас «упрощенцев» на заводе осталось всего лишь несколько человек. Первый самолёт с местными рабочими завода вылетел в Союз только 25.VII. 1943 г. С 1. VIII. с.г. местные рабочие вывозятся только одним самолётом ТБ-3. По состоянию на 13.VIII. с.г. вывезено всего лишь 321 человек местных жителей. На основании вышеуказанного, прошу Вашего указания о немедленном выделении дополнительно двух самолётов для переброски местных жителей, а также ускорить решение о немедленном вывозе длинномеров и тяжеловесов». [РГАЭ Ф. 8044;оп. 1 д. 1935, л.84-85.. цит. по А.Дёмину] (19006).</w:t>
      </w:r>
    </w:p>
    <w:p w14:paraId="56E9513D" w14:textId="77777777" w:rsidR="002B06C1" w:rsidRPr="00271E51" w:rsidRDefault="002B06C1" w:rsidP="00271E51">
      <w:pPr>
        <w:spacing w:after="0" w:line="240" w:lineRule="auto"/>
        <w:jc w:val="both"/>
        <w:rPr>
          <w:rFonts w:ascii="Times New Roman" w:hAnsi="Times New Roman"/>
          <w:color w:val="000000" w:themeColor="text1"/>
          <w:sz w:val="16"/>
          <w:szCs w:val="16"/>
        </w:rPr>
      </w:pPr>
    </w:p>
    <w:p w14:paraId="4852DB68" w14:textId="77777777" w:rsidR="00155AFE" w:rsidRPr="00271E51" w:rsidRDefault="00155AF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DB7F6AE" w14:textId="77777777" w:rsidR="00155AFE" w:rsidRPr="00271E51" w:rsidRDefault="00155AF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3D4C7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августа 1943 г.</w:t>
      </w:r>
    </w:p>
    <w:p w14:paraId="38AAAA9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Письмо НКГБ СССР № 1583/М заместителю председателя СНК СССР М.Г. Первухину о содержании разведматериалов, поступивших из Англии и США</w:t>
      </w:r>
    </w:p>
    <w:p w14:paraId="065E983B"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августа 1943 г.</w:t>
      </w:r>
    </w:p>
    <w:p w14:paraId="7602C63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Сообщаем следующие дополнительные сведения о ходе работ по урану, ведущихся в США и Англии:</w:t>
      </w:r>
    </w:p>
    <w:p w14:paraId="637AB0A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Направление работ</w:t>
      </w:r>
    </w:p>
    <w:p w14:paraId="74D6CE27"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Как уже сообщалось нами ранее (в письмах от 6 апреля и 16 июля с.г.1 2), работы в СШ А ведутся главным образом в направлении разработки атомных машин (т[ак] наз[ываемый] урановый котел, или «пайл») по типу уже пущенной в ход первой опытной машины на 200 ватт.</w:t>
      </w:r>
    </w:p>
    <w:p w14:paraId="6FAF9AD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Работы же по разделению изотопов урана рассматриваются в связи с этим только как вспомогательные, ведущиеся параллельно с основной работой по строительству атомных машин. В настоящее время в США проектируется одновременно две разделительные установки: на 600 ступеней с выходом продукта удвоенной концентрации и на 2600 ступеней с выходом 90% продукта. </w:t>
      </w:r>
    </w:p>
    <w:p w14:paraId="3ED30616"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Производительность каждой из них — 1 кг/день урана-235 в пересчете на 100% продукт.</w:t>
      </w:r>
    </w:p>
    <w:p w14:paraId="409D62D1"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По примеру американцев, англичане также решили построить в Канаде атомную машину, мощность которой 200 кВ то есть в тысячу раз больше мощности первой американской машины. Место строительства нам пока неизвестно, по некоторым предположениям, — в окрестностях Монреаля. </w:t>
      </w:r>
    </w:p>
    <w:p w14:paraId="70E4CA2F"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Строительство уже начато и по плану должно быть закончено через 12—18 месяцев.</w:t>
      </w:r>
    </w:p>
    <w:p w14:paraId="142D5A3F"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О сотрудничестве англичан и американцев в работах по урану</w:t>
      </w:r>
    </w:p>
    <w:p w14:paraId="2AEBEF6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Сотрудничество научных работников США и Англии осуществлялось в форме взаимного обмена научными материалами и командировками отдельных ученых.</w:t>
      </w:r>
    </w:p>
    <w:p w14:paraId="384B944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начала текущего года англичане перенесли значительную часть своих работ по урану в Канаду. Туда было вывезено необходимое лабораторное оборудование, весь запас тяжелой воды, после чего, в феврале мес[яце] с.г., туда выехала бригада научных работников во главе с физиком Хальбаном'. Предполагалось, что в ближайшее время в Канаду будет переведена остальная часть работ по урану и коллектив научных работников должен был бьггь доведен до 100 чел[овек].</w:t>
      </w:r>
    </w:p>
    <w:p w14:paraId="4683AC6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Такая переброска вызвана Следующими причинами:</w:t>
      </w:r>
    </w:p>
    <w:p w14:paraId="4478B72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ведение работ по урану в условиях воздушных налетов, которым подвергается Англия, представляет большую опасность;</w:t>
      </w:r>
    </w:p>
    <w:p w14:paraId="6616B8DE"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в Канаде находятся месторождения урановой руды;</w:t>
      </w:r>
    </w:p>
    <w:p w14:paraId="10BEFFDB"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близость к американцам позволяла англичанам надеяться на укрепление сотрудничества с ними.</w:t>
      </w:r>
    </w:p>
    <w:p w14:paraId="0A6A3AEB"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По полученным нами последним сведениям, несмотря на территориальное сближение, сотрудничество англичан и американцев со времени переезда англичан в Монреаль не только не укрепилось, но якобы почти прекратилось. В связи с этим, англичане оказались в довольно затруднительном положении, так как им отказывают даже в необходимом лабораторном оборудовании и они вынуждены привозить его из Англии.</w:t>
      </w:r>
    </w:p>
    <w:p w14:paraId="2863125A"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 переговорах по вопросу о дальнейшем сотрудничестве американцы выдвинули такие условия, принятие которых англичанами означает полную монополию американцев на работы по урану. Эти условия американцы обосновывают:</w:t>
      </w:r>
    </w:p>
    <w:p w14:paraId="7BC3DD62"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необходимостью сохранения тайны;</w:t>
      </w:r>
    </w:p>
    <w:p w14:paraId="2410FEE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опасением, что иностранцы, находящиеся в британской территориальной армии, могут по окончании войны передать своим правительствам ставшие им известными сведения по урану;</w:t>
      </w:r>
    </w:p>
    <w:p w14:paraId="3B0E9E08"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опасением, что британское правительство может передать сведения об американских работах Правительству Советского Союза по существующим между ними соглашениям;</w:t>
      </w:r>
    </w:p>
    <w:p w14:paraId="3AD17DC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неэквивалентностью обмена в связи со значительными успехами американцев в их работах по урану.</w:t>
      </w:r>
    </w:p>
    <w:p w14:paraId="11D2680D"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Предполагается, что наиболее непосредственной причиной расхождения между американцами и англичанами являются их успехи в разрешении проблемы утилизации энергии медленных нейтронов в результате работы их первого опытного уранового котла.</w:t>
      </w:r>
    </w:p>
    <w:p w14:paraId="4FEE75C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Народный комиссар государственной безопасности СССР</w:t>
      </w:r>
      <w:r w:rsidRPr="00271E51">
        <w:rPr>
          <w:rFonts w:ascii="Times New Roman" w:hAnsi="Times New Roman"/>
          <w:color w:val="0070C0"/>
          <w:sz w:val="16"/>
          <w:szCs w:val="16"/>
        </w:rPr>
        <w:tab/>
        <w:t>В. Меркулов</w:t>
      </w:r>
    </w:p>
    <w:p w14:paraId="0A28BF2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АП РФ. Ф. 93, д. 1 (43), л. 71-72. Подлинник.</w:t>
      </w:r>
    </w:p>
    <w:p w14:paraId="583980DF"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Печатается по: Атомный проект СССР: Документы и материалы: В 3 т. Т. 1. 1938—1945. Ч. 1. М.: Наука. Физматлит, 1998, с. 381—382 (20761).</w:t>
      </w:r>
    </w:p>
    <w:p w14:paraId="3111DF14" w14:textId="77777777" w:rsidR="00155AFE" w:rsidRPr="00271E51" w:rsidRDefault="00155AFE" w:rsidP="00271E51">
      <w:pPr>
        <w:spacing w:after="0" w:line="240" w:lineRule="auto"/>
        <w:jc w:val="both"/>
        <w:rPr>
          <w:rFonts w:ascii="Times New Roman" w:hAnsi="Times New Roman"/>
          <w:color w:val="0070C0"/>
          <w:sz w:val="16"/>
          <w:szCs w:val="16"/>
        </w:rPr>
      </w:pPr>
    </w:p>
    <w:p w14:paraId="4FDE7E2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59B8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DF73E2"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в 1943 году оперативная сводка Совинформбюро:</w:t>
      </w:r>
    </w:p>
    <w:p w14:paraId="266D8683"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августа наши войска на Брянском направлении продолжали развивать наступление и, продвинувшись вперёд от 10 до 12 километров, заняли свыше 100 населённых пунктов, в том числе город Дмитровск-Орловский и крупные населённые пункты Теребилово (10 километров севернее Карачева), Новая Деревня, Сумароково (7 километров восточнее Карачева), Велья-Миново, Глинки, Молодовое, Робье, Титово, Лобки, Белочь, Валдыш и железнодорожную станцию Одринская.</w:t>
      </w:r>
    </w:p>
    <w:p w14:paraId="52CE0829"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контратаки противника, продолжали наступление и заняли свыше 20 населённых пунктов, в том числе город Чугуев, районный центр Котельва и крупные населённыепункты Колонтаев, Любовна, Малая Рогозянка, Циркуны (8 километров северо-восточнее Харькова), Зарожное, Каменная Яруга.</w:t>
      </w:r>
    </w:p>
    <w:p w14:paraId="451BEC0E"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боевую разведку и артиллерийско-миномётную перестрелку с противником.</w:t>
      </w:r>
    </w:p>
    <w:p w14:paraId="5B3BA2C9"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августа на всех фронтах наши войска подбили и уничтожили 56 немецких танков. В воздушных боях и огнём зенитной артиллерии сбито 48 самолётов противника.</w:t>
      </w:r>
    </w:p>
    <w:p w14:paraId="19E0E0B9"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6319DBAB"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Восточнее и юго-восточнее Карачева наши войска, преодолевая сопротивление противника, продвинулись от 10 до 12 километров и заняли 70 населённых пунктов. В боях за эти населённые пункты немцы потеряли убитыми 1.800 солдат и офицеров. Уничтожено 15 орудий, 87 пулемётов и другое вооружение противника. Захвачено много трофеев и пленные.</w:t>
      </w:r>
    </w:p>
    <w:p w14:paraId="720D0D61"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Кромы советские войска продвинулись вперёд и заняли свыше 40 населённых пунктов. Юго-западнее Кромы бойцы частей гвардии полковника Ушакова и полковника Орлова ворвались на южную окраину города Дмитровск-Орловский. Завязались упорные уличные бои. Немцы превратили город в сильно укреплённый пункт. Сегодня рано утром наши бойцы сломили сопротивление противника и полностью овладели городом Дмитровск-Орловский. В боях за город советские части истребили более 2.000 вражеских солдат и офицеров. По неполным данным, захваченыу немцев 12 танков, 16 орудий, 23 миномёта, до 200 пулемётов, свыше 1.500 винтовок, склады боеприпасов, 8 радиостанций и другие трофеи.</w:t>
      </w:r>
    </w:p>
    <w:p w14:paraId="79C72F68"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советские войска продолжали успешное наступление.</w:t>
      </w:r>
    </w:p>
    <w:p w14:paraId="69729BA5"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и западнее Харькова наши войска, продвигаясь вперёд, отбивали ожесточённые контратаки противника и нанесли ему тяжёлые потери. Немецкое командование бросает в бой инженерные подразделения, юнкеров артиллерийских, танковых и технических школ, расположенных в Харькове и Полтаве. Вступают в бои маршевые батальоны, только что прибывшие из Германии. Наши войска, развивая наступление, овладели рядом населённых пунктов, в том числе районным центром Котельва. Н-ское гвардейское соединение за два дня боёв уничтожило 36 танков и до 3.000 немецких солдат и офицеров. Взято 450 пленных. Захвачено 100 автомашинс боеприпасами и продовольствием. Одна наша часть захватила у немцев 17 исправных танков, много автомашин и другое военное имущество.</w:t>
      </w:r>
    </w:p>
    <w:p w14:paraId="6CC9F450"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и восточнее Харькова наши войска, преодолевая сопротивление противника, заняли несколько населённых пунктов, в том числе крупный населённый пункт Циркуны, в 8 километрах от Харькова. Бойцы Н-ского соединения после упорных боёв овладели городом Чугуев. Противник отброшен от города и отступает под ударами наших частей. На одном участке разгромлен в беспорядке отходивший полк немецкой пехоты. Захвачены пленные и трофеи, в числе которых 4 тяжёлых танка.</w:t>
      </w:r>
    </w:p>
    <w:p w14:paraId="1AAE8612"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лётчики-истребители авиачасти полковника Степановича за три дня боёв сбили 14 немецких самолётов. Младший лейтенант тов. Гончаревский за один день уничтожил 2 «Мессершмитта» и один «Фокке-Вульф-189». Лётчик тов. Лобачёв после воздушного боя возвращался на свой аэродром и встретился с немецким самолётом. Не имея боеприпасов, т. Лобачёв решил итти на таран. Сблизившись с противником, он винтом своего истребителя отрубил хвост немецкому самолёту. Выбросившиеся с парашютами вражеские лётчики взяты в плен.</w:t>
      </w:r>
    </w:p>
    <w:p w14:paraId="345A0E52"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уничтожили свыше 400 солдат и офицеров противника. Огнём артиллерии разрушено и повреждено 37 немецких дзотов, подавлен огонь большого числа артиллерийских и миномётных батарей противника.</w:t>
      </w:r>
    </w:p>
    <w:p w14:paraId="7DE438F3"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Чёрном море потоплены два транспорта противника общим водоизмещением в 9 тысяч тонн.</w:t>
      </w:r>
    </w:p>
    <w:p w14:paraId="3769C853"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нашими самолётами - торпедоносцами потоплены транспорт и сторожевой корабль противника. В воздушном бою с авиацией, прикрывавшей немецкий караван судов, сбито 5 самолётов противника.</w:t>
      </w:r>
    </w:p>
    <w:p w14:paraId="7036F057"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Витебской области, устроил засаду на пути продвижения немецкой автоколонны. Партизаны подпустили вражеские автомашины на близкое расстояние, а затем забросали их гранатами. Уничтожено 15 автомашин и 2 автоцистерны. Убито 40 гитлеровцев. Партизаны другого витебского отряда пустили под откос воинский эшелон противника. Партизаны-разведчики установили, что немецкая восстановительная команда извлекла из-под обломков вагонов 93 убитых и 130 раненых гитлеровцев.</w:t>
      </w:r>
    </w:p>
    <w:p w14:paraId="06AF31CB"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Краснодарский судебный процесс по делу о зверствах немецко-фашистских захватчиков и их пособников вскрыл чудовищные злодеяния гитлеровских мерзавцев. Было установлено, что фашистские палачи истребили около семи тысяч невинных советских людей путем отравления газами окиси углерода в специально оборудованных автомашинах-«душегубках». Как выяснилось в последнее время, автомашину-«душегубку» нельзя считать только изобретением гестаповцев, подвизавшихся в Краснодаре. Такие автомашины, оказывается, находятся во всех других отделениях гестапо на оккупированной территории. Автомашины-«душегубки» имеются, например, в городе Смоленске. По показаниям очевидцев — пленных немецкихсолдат, в «душегубках» гестаповцы и их пособники умертвили сотни жителей города Смоленска. На днях получено сообщение о том, что и в городе Могилёве фашистские палачи широко применяют изобретённые ими «душегубки». Только в июне месяце гитлеровские людоеды убили с помощью механизированных «душегубок» свыше 400 советских граждан. За «дин рейс фашистские изверги отравили 60 женщин и детей, содержавшихся в Могилёвской тюрьме.</w:t>
      </w:r>
    </w:p>
    <w:p w14:paraId="0A15F9B6"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Военный трибунал Северо-Кавказского фронта покарал кучку изменников и предателей родины, продавшихся фашистским людоедам. Главные организаторы массового удушения и убийств мирных граждан генерал-полковник Руоф, начальник гестапо — полковник Кристман и другие гитлеровские мерзавцы успели удрать. Дело о них выделено особо. Они не убегут далеко. Придёт время, и немецкие палачи, орудовавшие в Краснодаре, будут посажены на скамью подсудимых вместе с палачами, орудовавшими в Смоленске, Могилёве и других временно захваченных немцами советских городах и сёлах.» (14981).</w:t>
      </w:r>
    </w:p>
    <w:p w14:paraId="0819811B" w14:textId="77777777" w:rsidR="008E0EC1" w:rsidRPr="00271E51" w:rsidRDefault="008E0EC1" w:rsidP="00271E51">
      <w:pPr>
        <w:spacing w:after="0" w:line="240" w:lineRule="auto"/>
        <w:jc w:val="both"/>
        <w:rPr>
          <w:rFonts w:ascii="Times New Roman" w:hAnsi="Times New Roman"/>
          <w:color w:val="000000" w:themeColor="text1"/>
          <w:sz w:val="16"/>
          <w:szCs w:val="16"/>
        </w:rPr>
      </w:pPr>
    </w:p>
    <w:p w14:paraId="557A8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закончилась воздушная операция по срыву маневра резервами и всего выполнили 7100 вылетов, сорвав план по сосредоточению танковых и мотодивизий одновременно в районах Ахтырки и Богодухова, как планировали немцы и это обеспечило успех нашего наступления (518,257).</w:t>
      </w:r>
    </w:p>
    <w:p w14:paraId="59CAC5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C86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эскадрилья старшего лейтенанта П.А. Гнидо встретила на Ла-5ФН в районе Максимовка-Ольшаны 30 бомбардировщиков и истребителей противника. В этом бою советские летчики уничтожили 10 самолетов и среди них четыре пришлись на долю командира эскадрильи. Но на обратном пути загорелся самолет ведущего. Это была единственная потеря группы, но командир спасся на парашюте (12032).</w:t>
      </w:r>
    </w:p>
    <w:p w14:paraId="3CC68C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985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lastRenderedPageBreak/>
        <w:t>August 12, 1943: Hitler orders the construction of a fortified defense line (Panther-Stellung) along the Dnepr river (3819).</w:t>
      </w:r>
    </w:p>
    <w:p w14:paraId="7627BB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46F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А.Г. приказал построить оборонительную линию (Пантера) вдоль Днепра (3819).</w:t>
      </w:r>
    </w:p>
    <w:p w14:paraId="57D34A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0B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12 августа 1943 Н.К.Лошаков улетел с немецкого аэродрома близ Острова на Шторх-1. Считалось, что Н.К.Лошаков погиб 27 мая 1943 на станции Мга (455,150).</w:t>
      </w:r>
    </w:p>
    <w:p w14:paraId="66201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D86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(по камчатскому времени - на Аляске было еще падение B-24D 2-го лейтенанта Дж.Поттеиджера над Парамуширом выдержал бой с 11 японскими истребителями (один удалось сбить). Шансов дотянуть до базы на Алеутских островах не было. Бомбардир снял и выбросил за борт секретный бомбовый прицел. Самолет с поврежденным двигателем сел на брюхо в заболоченном устье реки Авача. При посадке сорвало створки бомболюка (у "Либерейтора" они были сделаны очень интересно-сворачивались, как металлические шторы, и не создавали дополнительного сопротивления, выступая в поток). Одни из пулеметов слетел с лафета и ранил несколько человек; один из них, стрелок Ринг, впоследствии умер. Всех 11 членов экипажа доставили в Петропавловск и разместили в Доме офицеров. Позднее их на летающей лодке вывезли в Хабаровск, оттуда во Владивосток и поездом под Ташкент, где находился специальный лагерь. По действовавшему в то время советско-японскому договору о нейтралитете залетавшие на нашу территорию в ходе боевых действий самолеты и их экипажи считались интернированными. Летчиков отправляли в Среднюю Азию, откуда они возвращались домой через Иран, давая своим властям подписку о неразглашении тайны, где они находились и как оттуда выбрались. Самолеты оставались на Камчатке, на аэродромах 128-й смешанной авиадивизии (3457,116).</w:t>
      </w:r>
    </w:p>
    <w:p w14:paraId="02A86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46E7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ACDDA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48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1943 года</w:t>
      </w:r>
    </w:p>
    <w:p w14:paraId="48B46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4AE6C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Ваша телеграмма от 9 августа дает мне возможность выразить Вам свои искренние поздравления с недавними весьма значительными победами, одержанными русскими армиями под Орлом и Белгородом, открывающими путь к Вашему дальнейшему наступлению в направлении Брянска и Харькова. Поражения германской армии на этом фронте являются вехами на пути к нашей окончательной победе.</w:t>
      </w:r>
    </w:p>
    <w:p w14:paraId="13307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прибыл в Квебекскую крепость и сегодня днем выезжаю для встречи с Президентом в его частной резиденции. Тем временем штабы будут совещаться здесь. Президент и я присоединимся к ним в конце недели. Я покажу Президенту Вашу телеграмму относительно встречи наших ответственных представителей в ближайшем будущем, которая, конечно, представляется весьма желательной. Я полностью понимаю, что Вы не можете оставить фронт в этот критический период, когда Вы заняты руководством победоносным движением Ваших армий.</w:t>
      </w:r>
    </w:p>
    <w:p w14:paraId="44E043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Благодарю Вас за поздравления по случаю наших успехов в Сицилии, которые мы совместно постараемся полностью развить без ущерба для “Оверлорда” </w:t>
      </w:r>
      <w:r w:rsidRPr="00271E51">
        <w:rPr>
          <w:rFonts w:ascii="Times New Roman" w:hAnsi="Times New Roman"/>
          <w:color w:val="000000" w:themeColor="text1"/>
          <w:sz w:val="16"/>
          <w:szCs w:val="16"/>
          <w:vertAlign w:val="superscript"/>
        </w:rPr>
        <w:t>43</w:t>
      </w:r>
      <w:r w:rsidRPr="00271E51">
        <w:rPr>
          <w:rFonts w:ascii="Times New Roman" w:hAnsi="Times New Roman"/>
          <w:color w:val="000000" w:themeColor="text1"/>
          <w:sz w:val="16"/>
          <w:szCs w:val="16"/>
        </w:rPr>
        <w:t>. Конечно, наши дела гораздо лучше на всех участках, чем они были, когда мы встретились в Москве ровно год тому назад.</w:t>
      </w:r>
    </w:p>
    <w:p w14:paraId="6A86A0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Я посылаю Вам маленький стереоскопический аппарат с большим количеством фотографических диапозитивов, показывающих ущерб, причиненный нашими бомбардировками германским городам. Они дают гораздо более живое представление, чем то, которое можно получить по фотографиям. Я надеюсь, что Вы найдете полчаса, чтобы посмотреть на них. Так, нам точно известно, что 80% домов в Гамбурге разрушено. Наступление длинных ночей является сейчас лишь вопросом ближайшего времени, и Берлин будет подвергнут еще большему разрушению. Это зависит лишь от погоды. Это разрушение будет продолжаться в течение нескольких ночей и дней и будет наиболее жестоким из всех известных до сих пор.</w:t>
      </w:r>
    </w:p>
    <w:p w14:paraId="49D5D4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Наконец, в области подводной войны мы в течение мая, июня и июля месяцев уничтожали почти по одной подводной лодке в день, в то время как наши потери были гораздо меньше, чем мы рассчитывали. Наш чистый выигрыш в новом тоннаже является весьма значительным. Все это облегчит создание против немцев крупных англо-американских фронтов, которые, как я согласен с Вами, необходимы для сокращения сроков войны (7430).</w:t>
      </w:r>
    </w:p>
    <w:p w14:paraId="2B4A69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A6E8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0FE6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A8B6E"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12–13 августа (ночь) 1943 504 британских бомбардировщика бомбят Милан и 152 бомбят Турин, потеряв пять из своего числа. Хотя он был ранен пулеметным огнем другого бомбардировщика при приближении к Турину, сержант Артур Луи Аарон, пилот 218-й эскадрильи Шорт Стирлинг, помогает своей выжившей команде доставить самолет домой перед тем, как умереть; Позже он получает посмертный крест Виктории (20376).</w:t>
      </w:r>
    </w:p>
    <w:p w14:paraId="5343AD76" w14:textId="77777777" w:rsidR="00155AFE" w:rsidRPr="00271E51" w:rsidRDefault="00155AFE" w:rsidP="00271E51">
      <w:pPr>
        <w:spacing w:after="0" w:line="240" w:lineRule="auto"/>
        <w:jc w:val="both"/>
        <w:rPr>
          <w:rFonts w:ascii="Times New Roman" w:hAnsi="Times New Roman"/>
          <w:color w:val="0070C0"/>
          <w:sz w:val="16"/>
          <w:szCs w:val="16"/>
        </w:rPr>
      </w:pPr>
    </w:p>
    <w:p w14:paraId="4BBCE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August</w:t>
      </w:r>
      <w:r w:rsidRPr="00271E51">
        <w:rPr>
          <w:rFonts w:ascii="Times New Roman" w:hAnsi="Times New Roman"/>
          <w:color w:val="000000" w:themeColor="text1"/>
          <w:sz w:val="16"/>
          <w:szCs w:val="16"/>
        </w:rPr>
        <w:t xml:space="preserve"> 12-17 1943 </w:t>
      </w:r>
      <w:r w:rsidRPr="00271E51">
        <w:rPr>
          <w:rFonts w:ascii="Times New Roman" w:hAnsi="Times New Roman"/>
          <w:color w:val="000000" w:themeColor="text1"/>
          <w:sz w:val="16"/>
          <w:szCs w:val="16"/>
          <w:lang w:val="en-US"/>
        </w:rPr>
        <w:t>Germans</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evacuate</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Sicily</w:t>
      </w:r>
      <w:r w:rsidRPr="00271E51">
        <w:rPr>
          <w:rFonts w:ascii="Times New Roman" w:hAnsi="Times New Roman"/>
          <w:color w:val="000000" w:themeColor="text1"/>
          <w:sz w:val="16"/>
          <w:szCs w:val="16"/>
        </w:rPr>
        <w:t xml:space="preserve"> (1050).</w:t>
      </w:r>
    </w:p>
    <w:p w14:paraId="281E4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D18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12-17 августа 1943 немцы эвакуировались с Сицилии (1050).</w:t>
      </w:r>
    </w:p>
    <w:p w14:paraId="7BC66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62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12-15 августа 1943 У.Черчиль посетил Ф.Д.Р. у него дома и лидеры пришли к соглашению объединить ядерные исследования (3907,243).</w:t>
      </w:r>
    </w:p>
    <w:p w14:paraId="66C474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70D2C"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в 1943 году Итальянская подводная лодка «Axum» попала одной торпедой в левый борт «Nigeria». Крейсер получил серьёзные повреждения и в сопровождении 3 эскортных миноносцев «Wilton», «Bicester» и «Derwent» отправился в Гибралтар (14981).</w:t>
      </w:r>
    </w:p>
    <w:p w14:paraId="38B110E6" w14:textId="77777777" w:rsidR="008E0EC1" w:rsidRPr="00271E51" w:rsidRDefault="008E0EC1" w:rsidP="00271E51">
      <w:pPr>
        <w:spacing w:after="0" w:line="240" w:lineRule="auto"/>
        <w:jc w:val="both"/>
        <w:rPr>
          <w:rFonts w:ascii="Times New Roman" w:hAnsi="Times New Roman"/>
          <w:color w:val="000000" w:themeColor="text1"/>
          <w:sz w:val="16"/>
          <w:szCs w:val="16"/>
        </w:rPr>
      </w:pPr>
    </w:p>
    <w:p w14:paraId="7BE21F11" w14:textId="77777777" w:rsidR="008E0EC1" w:rsidRPr="00271E51" w:rsidRDefault="008E0E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в 1943 году Черчилль посещает Рузвельта у него дома в Гайд-Парке, штат Нью-Йорк, США. Лидеры двух стран приходят к соглашению об объединении ядерных исследований и совместном создании атомной бомбы на территории США (переговоры будут продолжаться до 15 августа) (14981).</w:t>
      </w:r>
    </w:p>
    <w:p w14:paraId="2CCED560" w14:textId="77777777" w:rsidR="008E0EC1" w:rsidRPr="00271E51" w:rsidRDefault="008E0EC1" w:rsidP="00271E51">
      <w:pPr>
        <w:spacing w:after="0" w:line="240" w:lineRule="auto"/>
        <w:jc w:val="both"/>
        <w:rPr>
          <w:rFonts w:ascii="Times New Roman" w:hAnsi="Times New Roman"/>
          <w:color w:val="000000" w:themeColor="text1"/>
          <w:sz w:val="16"/>
          <w:szCs w:val="16"/>
        </w:rPr>
      </w:pPr>
    </w:p>
    <w:p w14:paraId="15DC83A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7B2F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4D8A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1942 г. Командующий ВВС КА А.А.Новиков, в связи с положи</w:t>
      </w:r>
      <w:r w:rsidRPr="00271E51">
        <w:rPr>
          <w:rFonts w:ascii="Times New Roman" w:hAnsi="Times New Roman"/>
          <w:color w:val="000000" w:themeColor="text1"/>
          <w:sz w:val="16"/>
          <w:szCs w:val="16"/>
        </w:rPr>
        <w:softHyphen/>
        <w:t>тельным опытом применения в июне-июле 42-го Ил-2У АМ-38 для целей корректи</w:t>
      </w:r>
      <w:r w:rsidRPr="00271E51">
        <w:rPr>
          <w:rFonts w:ascii="Times New Roman" w:hAnsi="Times New Roman"/>
          <w:color w:val="000000" w:themeColor="text1"/>
          <w:sz w:val="16"/>
          <w:szCs w:val="16"/>
        </w:rPr>
        <w:softHyphen/>
        <w:t>ровки артиллерийского огня, обратился к Наркому авиапромышленности А.И.Шахурину (письмо № 376269) с просьбой со</w:t>
      </w:r>
      <w:r w:rsidRPr="00271E51">
        <w:rPr>
          <w:rFonts w:ascii="Times New Roman" w:hAnsi="Times New Roman"/>
          <w:color w:val="000000" w:themeColor="text1"/>
          <w:sz w:val="16"/>
          <w:szCs w:val="16"/>
        </w:rPr>
        <w:softHyphen/>
        <w:t>здать на базе штурмовика Ил-2 развед</w:t>
      </w:r>
      <w:r w:rsidRPr="00271E51">
        <w:rPr>
          <w:rFonts w:ascii="Times New Roman" w:hAnsi="Times New Roman"/>
          <w:color w:val="000000" w:themeColor="text1"/>
          <w:sz w:val="16"/>
          <w:szCs w:val="16"/>
        </w:rPr>
        <w:softHyphen/>
        <w:t xml:space="preserve">чик-корректировщик артиллерийского огня: "... </w:t>
      </w:r>
      <w:r w:rsidRPr="00271E51">
        <w:rPr>
          <w:rFonts w:ascii="Times New Roman" w:hAnsi="Times New Roman"/>
          <w:iCs/>
          <w:color w:val="000000" w:themeColor="text1"/>
          <w:sz w:val="16"/>
          <w:szCs w:val="16"/>
        </w:rPr>
        <w:t>Фронт требует также разведыва</w:t>
      </w:r>
      <w:r w:rsidRPr="00271E51">
        <w:rPr>
          <w:rFonts w:ascii="Times New Roman" w:hAnsi="Times New Roman"/>
          <w:iCs/>
          <w:color w:val="000000" w:themeColor="text1"/>
          <w:sz w:val="16"/>
          <w:szCs w:val="16"/>
        </w:rPr>
        <w:softHyphen/>
        <w:t>тельных самолетов и самолетов-коррек</w:t>
      </w:r>
      <w:r w:rsidRPr="00271E51">
        <w:rPr>
          <w:rFonts w:ascii="Times New Roman" w:hAnsi="Times New Roman"/>
          <w:iCs/>
          <w:color w:val="000000" w:themeColor="text1"/>
          <w:sz w:val="16"/>
          <w:szCs w:val="16"/>
        </w:rPr>
        <w:softHyphen/>
        <w:t>тировщиков артогня. Оборудованный для этих целей двухместный самолет Ил-2 удовлетворит и это требование фронта. Прошу Вашего указания Главному конст</w:t>
      </w:r>
      <w:r w:rsidRPr="00271E51">
        <w:rPr>
          <w:rFonts w:ascii="Times New Roman" w:hAnsi="Times New Roman"/>
          <w:iCs/>
          <w:color w:val="000000" w:themeColor="text1"/>
          <w:sz w:val="16"/>
          <w:szCs w:val="16"/>
        </w:rPr>
        <w:softHyphen/>
        <w:t>руктору тов. Ильюшину срочно разрабо</w:t>
      </w:r>
      <w:r w:rsidRPr="00271E51">
        <w:rPr>
          <w:rFonts w:ascii="Times New Roman" w:hAnsi="Times New Roman"/>
          <w:iCs/>
          <w:color w:val="000000" w:themeColor="text1"/>
          <w:sz w:val="16"/>
          <w:szCs w:val="16"/>
        </w:rPr>
        <w:softHyphen/>
        <w:t>тать и изготовить опытные образцы двух</w:t>
      </w:r>
      <w:r w:rsidRPr="00271E51">
        <w:rPr>
          <w:rFonts w:ascii="Times New Roman" w:hAnsi="Times New Roman"/>
          <w:iCs/>
          <w:color w:val="000000" w:themeColor="text1"/>
          <w:sz w:val="16"/>
          <w:szCs w:val="16"/>
        </w:rPr>
        <w:softHyphen/>
        <w:t>местного самолета Ил-2 в вариантах штурмовика, разведчика и корректиров</w:t>
      </w:r>
      <w:r w:rsidRPr="00271E51">
        <w:rPr>
          <w:rFonts w:ascii="Times New Roman" w:hAnsi="Times New Roman"/>
          <w:iCs/>
          <w:color w:val="000000" w:themeColor="text1"/>
          <w:sz w:val="16"/>
          <w:szCs w:val="16"/>
        </w:rPr>
        <w:softHyphen/>
        <w:t>щика артогня".</w:t>
      </w:r>
    </w:p>
    <w:p w14:paraId="34CB41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Письмо А.А.Новикова с необходимой резолюцией А.И.Шахурина было пере</w:t>
      </w:r>
      <w:r w:rsidRPr="00271E51">
        <w:rPr>
          <w:rFonts w:ascii="Times New Roman" w:hAnsi="Times New Roman"/>
          <w:color w:val="000000" w:themeColor="text1"/>
          <w:sz w:val="16"/>
          <w:szCs w:val="16"/>
        </w:rPr>
        <w:softHyphen/>
        <w:t>правлено С.В.Ильюшину, который в своем ответе на него сообщил, что со</w:t>
      </w:r>
      <w:r w:rsidRPr="00271E51">
        <w:rPr>
          <w:rFonts w:ascii="Times New Roman" w:hAnsi="Times New Roman"/>
          <w:color w:val="000000" w:themeColor="text1"/>
          <w:sz w:val="16"/>
          <w:szCs w:val="16"/>
        </w:rPr>
        <w:softHyphen/>
        <w:t>здание такого самолета возможно лишь на базе двухместного Ил-2 с М-82, приспособить же для этой цели двухместный "Ил" с АМ-38, по его мнению, возможным не представля</w:t>
      </w:r>
      <w:r w:rsidRPr="00271E51">
        <w:rPr>
          <w:rFonts w:ascii="Times New Roman" w:hAnsi="Times New Roman"/>
          <w:color w:val="000000" w:themeColor="text1"/>
          <w:sz w:val="16"/>
          <w:szCs w:val="16"/>
        </w:rPr>
        <w:softHyphen/>
        <w:t>лось.</w:t>
      </w:r>
    </w:p>
    <w:p w14:paraId="74A0E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Утверждение С.В.Ильюшина было признано не убедительным. К тому же 8 января 1943 г. вышло "Положение о корректировочной авиации". Поэтому 7 февраля 1943 г. ГКО своим Постанов</w:t>
      </w:r>
      <w:r w:rsidRPr="00271E51">
        <w:rPr>
          <w:rFonts w:ascii="Times New Roman" w:hAnsi="Times New Roman"/>
          <w:color w:val="000000" w:themeColor="text1"/>
          <w:sz w:val="16"/>
          <w:szCs w:val="16"/>
        </w:rPr>
        <w:softHyphen/>
        <w:t xml:space="preserve">лением № 2841 обязал Ильюшина </w:t>
      </w:r>
      <w:r w:rsidRPr="00271E51">
        <w:rPr>
          <w:rFonts w:ascii="Times New Roman" w:hAnsi="Times New Roman"/>
          <w:iCs/>
          <w:color w:val="000000" w:themeColor="text1"/>
          <w:sz w:val="16"/>
          <w:szCs w:val="16"/>
        </w:rPr>
        <w:t>"...до окончательной отработки самолета-корректировщика приспособить суще</w:t>
      </w:r>
      <w:r w:rsidRPr="00271E51">
        <w:rPr>
          <w:rFonts w:ascii="Times New Roman" w:hAnsi="Times New Roman"/>
          <w:iCs/>
          <w:color w:val="000000" w:themeColor="text1"/>
          <w:sz w:val="16"/>
          <w:szCs w:val="16"/>
        </w:rPr>
        <w:softHyphen/>
        <w:t>ствующий двухместный самолет Ил-2 с АМ-38ф, установив радиостанцию РСБ и фотоустановку"</w:t>
      </w:r>
      <w:r w:rsidRPr="00271E51">
        <w:rPr>
          <w:rFonts w:ascii="Times New Roman" w:hAnsi="Times New Roman"/>
          <w:color w:val="000000" w:themeColor="text1"/>
          <w:sz w:val="16"/>
          <w:szCs w:val="16"/>
        </w:rPr>
        <w:t xml:space="preserve"> (6467).</w:t>
      </w:r>
    </w:p>
    <w:p w14:paraId="5CCB6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0E9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А.И.Ш. писал И.В.С. письмо N 4206:</w:t>
      </w:r>
    </w:p>
    <w:p w14:paraId="5AEB4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о ходе испытания самолета Ил-6 с дизель-моторами М-30 на заводе 39 в Иркутске</w:t>
      </w:r>
    </w:p>
    <w:p w14:paraId="0EBFC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августа в 20 час. по местному времени произведен был второй полет Ил-6, продолжающийся 45 мин. (1697,234).</w:t>
      </w:r>
    </w:p>
    <w:p w14:paraId="6F67C0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произведена проверка убирания шасси, при чем выяснено, что все механизмы работали нормально.</w:t>
      </w:r>
    </w:p>
    <w:p w14:paraId="7A63D8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августа в 15:58 был произведен 3 полет продолжительностью 2:02 с заданием замера температурных характеристик ВМГ на площадках до высоты 4000 м, сделать виражи, проверить устойчивость самолета.</w:t>
      </w:r>
    </w:p>
    <w:p w14:paraId="6380BB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выявлено: нормальная температура масла на левом моторе и повышенная на 10 гр. на правом моторе</w:t>
      </w:r>
    </w:p>
    <w:p w14:paraId="5CB0F8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Продольная и путевая устойчивость самолета - хорошие. Поперечная устойчивость - неудовлетворительная</w:t>
      </w:r>
    </w:p>
    <w:p w14:paraId="0C341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полета на самолете приступлено к выполнению работы по улучшению управления элеронами, а также к выполнению отдельных работ, связанных с проведением дальнейших испытаний.</w:t>
      </w:r>
    </w:p>
    <w:p w14:paraId="458F04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Испытания ведет ли В.К.К. (1697,234).</w:t>
      </w:r>
    </w:p>
    <w:p w14:paraId="1AAE8F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43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директор завода 39 Абрамов направил А.И.Ш. телефонограмму:</w:t>
      </w:r>
    </w:p>
    <w:p w14:paraId="42D1A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 вечера до 8:45 час. машина Ил-6 летала с убранными шасси - все в порядке.</w:t>
      </w:r>
    </w:p>
    <w:p w14:paraId="009D8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задание, нормальный полет на высоте 1000 м, общее ознакомление с машиной. Все механизмы работали нормально.</w:t>
      </w:r>
    </w:p>
    <w:p w14:paraId="3778B1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Предполагаем менять бензобаки из-за температурного режима масла на 10 гр.</w:t>
      </w:r>
    </w:p>
    <w:p w14:paraId="2C3FB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Завтра на 12 час. начнем летать (1768,273).</w:t>
      </w:r>
    </w:p>
    <w:p w14:paraId="2281E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C08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Гл. диспетчер Полозенко писал А.И.Ш. докладную записку:</w:t>
      </w:r>
    </w:p>
    <w:p w14:paraId="0D3A15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телефонному донесению директора завода 39 Абрамова самолет Ил-6 12 августа 1943 в воздухе был 2:19 на высоте 4000 м.</w:t>
      </w:r>
    </w:p>
    <w:p w14:paraId="084CD8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Задание: 1. Проверка устойчивости</w:t>
      </w:r>
    </w:p>
    <w:p w14:paraId="07182B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Виражи</w:t>
      </w:r>
    </w:p>
    <w:p w14:paraId="454541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Полет на одном моторе</w:t>
      </w:r>
    </w:p>
    <w:p w14:paraId="0CF31D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Взлетно-посадочные свойства</w:t>
      </w:r>
    </w:p>
    <w:p w14:paraId="65B6B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Проверка работы измененных работ высоты</w:t>
      </w:r>
    </w:p>
    <w:p w14:paraId="2D6B9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Проверка температурных режимов ВМГ</w:t>
      </w:r>
    </w:p>
    <w:p w14:paraId="12CA75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полета:</w:t>
      </w:r>
    </w:p>
    <w:p w14:paraId="7C1B3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Продольная и путевая устойчивость самолета - хорошие</w:t>
      </w:r>
    </w:p>
    <w:p w14:paraId="3A60F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Поперечная устойчивость неудовлетворительная</w:t>
      </w:r>
    </w:p>
    <w:p w14:paraId="362A5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 виражам заключения нет</w:t>
      </w:r>
    </w:p>
    <w:p w14:paraId="10E20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Новый триммер дал хорошие результаты</w:t>
      </w:r>
    </w:p>
    <w:p w14:paraId="4A43F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Измененные РВ дали хорошие результаты, однако, управление все же тяжелое.</w:t>
      </w:r>
    </w:p>
    <w:p w14:paraId="2C2D4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Темп. масла выше расчетной на 10 гр. на правом моторе, а на левом - нормальная</w:t>
      </w:r>
    </w:p>
    <w:p w14:paraId="5FF49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w:t>
      </w:r>
    </w:p>
    <w:p w14:paraId="445E3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Изменить управление элеронами</w:t>
      </w:r>
    </w:p>
    <w:p w14:paraId="6EB982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Изменить топливопроводку</w:t>
      </w:r>
    </w:p>
    <w:p w14:paraId="5DDFC0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Поставить противопожарные перегородки</w:t>
      </w:r>
    </w:p>
    <w:p w14:paraId="6BFAB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Другие работы</w:t>
      </w:r>
    </w:p>
    <w:p w14:paraId="0C4D0F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Исчерпывающая телефонограмма будет передана дополнительно. Экипаж и самолет находятся еще на аэродроме (1768,265).</w:t>
      </w:r>
    </w:p>
    <w:p w14:paraId="0361B1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2A4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13 августа 1943 на 166 заводе в Омске было выпущено 35 Як-9Р дальних с АФА-3С/50 с дальностью 1400 км, сделанных на базе Як-9Д. Гос. или контрольных испытаний не проводили (65,129).</w:t>
      </w:r>
    </w:p>
    <w:p w14:paraId="72BF8E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C8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письмом N Н-35/3225 дир. завода 153 Лисицыну А.Кузнецов потребовал в августе оснастить один Як-7 в варианте для ПВО УФО для кабины и использовать его как эталон (2519,233).</w:t>
      </w:r>
    </w:p>
    <w:p w14:paraId="10FDEE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D5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года Постановлением ГОКО № 3919с и 3 сентября 1943 года приказом НКАП за № 562с филиал завода 119, организованный в 1943 году на площадке бывш. завода 3 119 НКАП, стал филиалом завода № 149.</w:t>
      </w:r>
    </w:p>
    <w:p w14:paraId="12E7C0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Директором завода до 1 марта 1947 года был Бенедиктов П.П. и с 1 марта 1947 года Путюшкин И.М.</w:t>
      </w:r>
    </w:p>
    <w:p w14:paraId="5FDCE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распоряжением СНК № 17703 от 1 сентября 1944 года и приказа НКАП № 570 от 20 сентября 1944 года завод получил самостоятельность с присвоением ему № 295.</w:t>
      </w:r>
    </w:p>
    <w:p w14:paraId="379E63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525352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6183F8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1ECE74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7152F5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16A0B7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Чачикян Р.Г. – отв. руководитель и гл. конструктор филиала</w:t>
      </w:r>
    </w:p>
    <w:p w14:paraId="2EA1A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Барбаумов Ф.П. – зам. гл. конструктора филиала</w:t>
      </w:r>
    </w:p>
    <w:p w14:paraId="0BA0A4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Путюшкин И.М. – начальником филиала</w:t>
      </w:r>
    </w:p>
    <w:p w14:paraId="2CE26D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МАП № 216 от 21 июля 1955 года Ежов А.В. назначен зам. гл. конструктора.</w:t>
      </w:r>
    </w:p>
    <w:p w14:paraId="05A133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1441E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3EE63B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21803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4EC9E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32A20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C724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2F86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C21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13 августа по 20 ок</w:t>
      </w:r>
      <w:r w:rsidRPr="00271E51">
        <w:rPr>
          <w:rFonts w:ascii="Times New Roman" w:hAnsi="Times New Roman"/>
          <w:color w:val="000000" w:themeColor="text1"/>
          <w:sz w:val="16"/>
          <w:szCs w:val="16"/>
        </w:rPr>
        <w:softHyphen/>
        <w:t>тября 1943 г. второй экземпляр КВ-1С прошел длительные заводские испытания. Первый опытный образец танка КВ-1С был разработан на базе тан</w:t>
      </w:r>
      <w:r w:rsidRPr="00271E51">
        <w:rPr>
          <w:rFonts w:ascii="Times New Roman" w:hAnsi="Times New Roman"/>
          <w:color w:val="000000" w:themeColor="text1"/>
          <w:sz w:val="16"/>
          <w:szCs w:val="16"/>
        </w:rPr>
        <w:softHyphen/>
        <w:t>ка КВ-1 обр. 1941 г. и отличался от него уменьшенной толщиной борто</w:t>
      </w:r>
      <w:r w:rsidRPr="00271E51">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271E51">
        <w:rPr>
          <w:rFonts w:ascii="Times New Roman" w:hAnsi="Times New Roman"/>
          <w:color w:val="000000" w:themeColor="text1"/>
          <w:sz w:val="16"/>
          <w:szCs w:val="16"/>
        </w:rPr>
        <w:softHyphen/>
        <w:t>ся отсутствием поручней для танкового десанта на корпусе и башне ма</w:t>
      </w:r>
      <w:r w:rsidRPr="00271E51">
        <w:rPr>
          <w:rFonts w:ascii="Times New Roman" w:hAnsi="Times New Roman"/>
          <w:color w:val="000000" w:themeColor="text1"/>
          <w:sz w:val="16"/>
          <w:szCs w:val="16"/>
        </w:rPr>
        <w:softHyphen/>
        <w:t>шины и установкой защитного козырька над смотровым люком механи</w:t>
      </w:r>
      <w:r w:rsidRPr="00271E51">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271E51">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271E51">
        <w:rPr>
          <w:rFonts w:ascii="Times New Roman" w:hAnsi="Times New Roman"/>
          <w:color w:val="000000" w:themeColor="text1"/>
          <w:sz w:val="16"/>
          <w:szCs w:val="16"/>
        </w:rPr>
        <w:softHyphen/>
        <w:t>ный пулемет устанавливались в маске и имели общие приборы и меха</w:t>
      </w:r>
      <w:r w:rsidRPr="00271E51">
        <w:rPr>
          <w:rFonts w:ascii="Times New Roman" w:hAnsi="Times New Roman"/>
          <w:color w:val="000000" w:themeColor="text1"/>
          <w:sz w:val="16"/>
          <w:szCs w:val="16"/>
        </w:rPr>
        <w:softHyphen/>
        <w:t>низмы наводки и стрельбы (10703).</w:t>
      </w:r>
    </w:p>
    <w:p w14:paraId="76B20C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556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 была подготовлена СРАВНИТЕЛЬНАЯ ТАБЛИЦА БРОНЕПРОБИВАЕМОСТИ АРТИЛЛЕРИЙСКИХ СНАРЯДОВ</w:t>
      </w:r>
    </w:p>
    <w:tbl>
      <w:tblPr>
        <w:tblW w:w="0" w:type="auto"/>
        <w:tblInd w:w="40" w:type="dxa"/>
        <w:tblLayout w:type="fixed"/>
        <w:tblCellMar>
          <w:left w:w="40" w:type="dxa"/>
          <w:right w:w="40" w:type="dxa"/>
        </w:tblCellMar>
        <w:tblLook w:val="0000" w:firstRow="0" w:lastRow="0" w:firstColumn="0" w:lastColumn="0" w:noHBand="0" w:noVBand="0"/>
      </w:tblPr>
      <w:tblGrid>
        <w:gridCol w:w="787"/>
        <w:gridCol w:w="461"/>
        <w:gridCol w:w="461"/>
        <w:gridCol w:w="470"/>
        <w:gridCol w:w="461"/>
        <w:gridCol w:w="461"/>
        <w:gridCol w:w="384"/>
        <w:gridCol w:w="346"/>
        <w:gridCol w:w="422"/>
        <w:gridCol w:w="422"/>
        <w:gridCol w:w="432"/>
        <w:gridCol w:w="422"/>
        <w:gridCol w:w="355"/>
        <w:gridCol w:w="374"/>
        <w:gridCol w:w="384"/>
        <w:gridCol w:w="384"/>
        <w:gridCol w:w="394"/>
        <w:gridCol w:w="422"/>
        <w:gridCol w:w="422"/>
        <w:gridCol w:w="432"/>
        <w:gridCol w:w="422"/>
        <w:gridCol w:w="442"/>
      </w:tblGrid>
      <w:tr w:rsidR="00A907A5" w:rsidRPr="00271E51" w14:paraId="6165BEA5" w14:textId="77777777" w:rsidTr="00ED5B0A">
        <w:trPr>
          <w:trHeight w:val="326"/>
        </w:trPr>
        <w:tc>
          <w:tcPr>
            <w:tcW w:w="787" w:type="dxa"/>
            <w:tcBorders>
              <w:top w:val="single" w:sz="6" w:space="0" w:color="auto"/>
              <w:left w:val="single" w:sz="6" w:space="0" w:color="auto"/>
              <w:bottom w:val="nil"/>
              <w:right w:val="single" w:sz="6" w:space="0" w:color="auto"/>
            </w:tcBorders>
          </w:tcPr>
          <w:p w14:paraId="271C81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Дистанция в метрах</w:t>
            </w:r>
          </w:p>
          <w:p w14:paraId="0B9EB2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gridSpan w:val="3"/>
            <w:tcBorders>
              <w:top w:val="single" w:sz="6" w:space="0" w:color="auto"/>
              <w:left w:val="single" w:sz="6" w:space="0" w:color="auto"/>
              <w:bottom w:val="single" w:sz="6" w:space="0" w:color="auto"/>
              <w:right w:val="single" w:sz="6" w:space="0" w:color="auto"/>
            </w:tcBorders>
          </w:tcPr>
          <w:p w14:paraId="622378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57-мм пушка ЗИС-4</w:t>
            </w:r>
          </w:p>
          <w:p w14:paraId="05CF8D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3"/>
            <w:tcBorders>
              <w:top w:val="single" w:sz="6" w:space="0" w:color="auto"/>
              <w:left w:val="single" w:sz="6" w:space="0" w:color="auto"/>
              <w:bottom w:val="single" w:sz="6" w:space="0" w:color="auto"/>
              <w:right w:val="single" w:sz="6" w:space="0" w:color="auto"/>
            </w:tcBorders>
          </w:tcPr>
          <w:p w14:paraId="0663AA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76-мм пушка Ф-34</w:t>
            </w:r>
          </w:p>
          <w:p w14:paraId="38819A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3"/>
            <w:tcBorders>
              <w:top w:val="single" w:sz="6" w:space="0" w:color="auto"/>
              <w:left w:val="single" w:sz="6" w:space="0" w:color="auto"/>
              <w:bottom w:val="single" w:sz="6" w:space="0" w:color="auto"/>
              <w:right w:val="single" w:sz="6" w:space="0" w:color="auto"/>
            </w:tcBorders>
          </w:tcPr>
          <w:p w14:paraId="5F2392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85-мм пушка</w:t>
            </w:r>
          </w:p>
          <w:p w14:paraId="72C4D4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9" w:type="dxa"/>
            <w:gridSpan w:val="3"/>
            <w:tcBorders>
              <w:top w:val="single" w:sz="6" w:space="0" w:color="auto"/>
              <w:left w:val="single" w:sz="6" w:space="0" w:color="auto"/>
              <w:bottom w:val="single" w:sz="6" w:space="0" w:color="auto"/>
              <w:right w:val="single" w:sz="6" w:space="0" w:color="auto"/>
            </w:tcBorders>
          </w:tcPr>
          <w:p w14:paraId="04203F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22-мм гаубица М-30</w:t>
            </w:r>
          </w:p>
          <w:p w14:paraId="6433C9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gridSpan w:val="3"/>
            <w:tcBorders>
              <w:top w:val="single" w:sz="6" w:space="0" w:color="auto"/>
              <w:left w:val="single" w:sz="6" w:space="0" w:color="auto"/>
              <w:bottom w:val="single" w:sz="6" w:space="0" w:color="auto"/>
              <w:right w:val="single" w:sz="6" w:space="0" w:color="auto"/>
            </w:tcBorders>
          </w:tcPr>
          <w:p w14:paraId="31D6C6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пушка-гаубица МЛ-20</w:t>
            </w:r>
          </w:p>
          <w:p w14:paraId="1784D7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3"/>
            <w:tcBorders>
              <w:top w:val="single" w:sz="6" w:space="0" w:color="auto"/>
              <w:left w:val="single" w:sz="6" w:space="0" w:color="auto"/>
              <w:bottom w:val="single" w:sz="6" w:space="0" w:color="auto"/>
              <w:right w:val="single" w:sz="6" w:space="0" w:color="auto"/>
            </w:tcBorders>
          </w:tcPr>
          <w:p w14:paraId="5E4250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22-мм пушка А-19</w:t>
            </w:r>
          </w:p>
          <w:p w14:paraId="310C67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gridSpan w:val="3"/>
            <w:tcBorders>
              <w:top w:val="single" w:sz="6" w:space="0" w:color="auto"/>
              <w:left w:val="single" w:sz="6" w:space="0" w:color="auto"/>
              <w:bottom w:val="single" w:sz="6" w:space="0" w:color="auto"/>
              <w:right w:val="single" w:sz="6" w:space="0" w:color="auto"/>
            </w:tcBorders>
          </w:tcPr>
          <w:p w14:paraId="43E607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пушка БР-2</w:t>
            </w:r>
          </w:p>
          <w:p w14:paraId="6AB29E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F9CB0A" w14:textId="77777777" w:rsidTr="00ED5B0A">
        <w:trPr>
          <w:trHeight w:val="182"/>
        </w:trPr>
        <w:tc>
          <w:tcPr>
            <w:tcW w:w="787" w:type="dxa"/>
            <w:tcBorders>
              <w:top w:val="nil"/>
              <w:left w:val="single" w:sz="6" w:space="0" w:color="auto"/>
              <w:bottom w:val="single" w:sz="6" w:space="0" w:color="auto"/>
              <w:right w:val="single" w:sz="6" w:space="0" w:color="auto"/>
            </w:tcBorders>
          </w:tcPr>
          <w:p w14:paraId="174FB8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4AB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3340E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4F260E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20434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764DC9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132CB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34A97E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57059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2232D7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38EDA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6A64FF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FB2EB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4DEFDD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0610CB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4D650E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8F822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224230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55B4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530628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E4756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01C850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CCAD2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0BFE90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FFA69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04B0F5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3C847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0559FB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822ED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1F01BE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0E3FC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6551A1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07BB30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3345D4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8F612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33412B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63DDE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6E9003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5D56B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077E45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238DA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2A17E4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AC3D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77C224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99EB9B" w14:textId="77777777" w:rsidTr="00ED5B0A">
        <w:trPr>
          <w:trHeight w:val="374"/>
        </w:trPr>
        <w:tc>
          <w:tcPr>
            <w:tcW w:w="787" w:type="dxa"/>
            <w:tcBorders>
              <w:top w:val="single" w:sz="6" w:space="0" w:color="auto"/>
              <w:left w:val="single" w:sz="6" w:space="0" w:color="auto"/>
              <w:bottom w:val="single" w:sz="6" w:space="0" w:color="auto"/>
              <w:right w:val="single" w:sz="6" w:space="0" w:color="auto"/>
            </w:tcBorders>
          </w:tcPr>
          <w:p w14:paraId="22EF34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4DCEFA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86F27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 175</w:t>
            </w:r>
          </w:p>
          <w:p w14:paraId="7B3FB4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60BF8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93/130</w:t>
            </w:r>
          </w:p>
          <w:p w14:paraId="2458A0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71F39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42/51</w:t>
            </w:r>
          </w:p>
          <w:p w14:paraId="03F3F5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11508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15 128</w:t>
            </w:r>
          </w:p>
          <w:p w14:paraId="5EFB6A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E2184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61 105</w:t>
            </w:r>
          </w:p>
          <w:p w14:paraId="16D825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D27B0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p w14:paraId="76A389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7AF166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w:t>
            </w:r>
          </w:p>
          <w:p w14:paraId="1A04B9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25E94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w:t>
            </w:r>
          </w:p>
          <w:p w14:paraId="418695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320AA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p w14:paraId="774394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6A937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w:t>
            </w:r>
          </w:p>
          <w:p w14:paraId="54C157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83555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5120F0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7A4E7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590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3CEE2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p w14:paraId="12DBDB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78B00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w:t>
            </w:r>
          </w:p>
          <w:p w14:paraId="4A94FE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0FAF6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p w14:paraId="46CFB3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293503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w:t>
            </w:r>
          </w:p>
          <w:p w14:paraId="71D13F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36B75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p w14:paraId="4C7A97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61AF7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p w14:paraId="239900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FB4DB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w:t>
            </w:r>
          </w:p>
          <w:p w14:paraId="184871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E2DE8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196</w:t>
            </w:r>
          </w:p>
          <w:p w14:paraId="322E73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AFFD3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0356F8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55287D" w14:textId="77777777" w:rsidTr="00ED5B0A">
        <w:trPr>
          <w:trHeight w:val="374"/>
        </w:trPr>
        <w:tc>
          <w:tcPr>
            <w:tcW w:w="787" w:type="dxa"/>
            <w:tcBorders>
              <w:top w:val="single" w:sz="6" w:space="0" w:color="auto"/>
              <w:left w:val="single" w:sz="6" w:space="0" w:color="auto"/>
              <w:bottom w:val="single" w:sz="6" w:space="0" w:color="auto"/>
              <w:right w:val="single" w:sz="6" w:space="0" w:color="auto"/>
            </w:tcBorders>
          </w:tcPr>
          <w:p w14:paraId="3DF064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300</w:t>
            </w:r>
          </w:p>
          <w:p w14:paraId="4A5C23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BB96C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110 160</w:t>
            </w:r>
          </w:p>
          <w:p w14:paraId="2383A4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C56C2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89 115</w:t>
            </w:r>
          </w:p>
          <w:p w14:paraId="7774CE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73489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41 46</w:t>
            </w:r>
          </w:p>
          <w:p w14:paraId="159002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B191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-72/110</w:t>
            </w:r>
          </w:p>
          <w:p w14:paraId="472BC5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54FD8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 89</w:t>
            </w:r>
          </w:p>
          <w:p w14:paraId="132FE6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FBB1D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p w14:paraId="387A51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47944B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w:t>
            </w:r>
          </w:p>
          <w:p w14:paraId="1F189E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E8E78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p w14:paraId="0AA337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29C79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p w14:paraId="37FBD0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528347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115396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EBF20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p w14:paraId="1549EC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014EE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DFEB5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F927F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225B0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AE465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70827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EE835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D5D2F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AF565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w:t>
            </w:r>
          </w:p>
          <w:p w14:paraId="533FD0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2324F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w:t>
            </w:r>
          </w:p>
          <w:p w14:paraId="6F22C9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4987E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092C6B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821CC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235</w:t>
            </w:r>
          </w:p>
          <w:p w14:paraId="13A0C2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95E81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w:t>
            </w:r>
          </w:p>
          <w:p w14:paraId="599DC0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3E89E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w:t>
            </w:r>
          </w:p>
          <w:p w14:paraId="5E1846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297FE7" w14:textId="77777777" w:rsidTr="00ED5B0A">
        <w:trPr>
          <w:trHeight w:val="374"/>
        </w:trPr>
        <w:tc>
          <w:tcPr>
            <w:tcW w:w="787" w:type="dxa"/>
            <w:tcBorders>
              <w:top w:val="single" w:sz="6" w:space="0" w:color="auto"/>
              <w:left w:val="single" w:sz="6" w:space="0" w:color="auto"/>
              <w:bottom w:val="single" w:sz="6" w:space="0" w:color="auto"/>
              <w:right w:val="single" w:sz="6" w:space="0" w:color="auto"/>
            </w:tcBorders>
          </w:tcPr>
          <w:p w14:paraId="31FF1F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p w14:paraId="236DED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B4800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106 140</w:t>
            </w:r>
          </w:p>
          <w:p w14:paraId="244CD4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27ADB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86 100</w:t>
            </w:r>
          </w:p>
          <w:p w14:paraId="2E4D66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A58E8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p w14:paraId="6FD9F1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p w14:paraId="1706E3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E472C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29 92</w:t>
            </w:r>
          </w:p>
          <w:p w14:paraId="0B780A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72A61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56 75</w:t>
            </w:r>
          </w:p>
          <w:p w14:paraId="4FF68A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03018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p w14:paraId="102214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068A7E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w:t>
            </w:r>
          </w:p>
          <w:p w14:paraId="0A1949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72AF8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w:t>
            </w:r>
          </w:p>
          <w:p w14:paraId="1699F9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C0274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p w14:paraId="753B81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6D59E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w:t>
            </w:r>
          </w:p>
          <w:p w14:paraId="4C3970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28E11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p w14:paraId="2F4F96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B4C04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E56C3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718A73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p w14:paraId="6770AF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90035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w:t>
            </w:r>
          </w:p>
          <w:p w14:paraId="481E62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0A865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p w14:paraId="67444E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428B83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w:t>
            </w:r>
          </w:p>
          <w:p w14:paraId="7D402C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1EB85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128</w:t>
            </w:r>
          </w:p>
          <w:p w14:paraId="635C21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76A8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p w14:paraId="432BC1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0A9F9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p w14:paraId="13D771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B3224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w:t>
            </w:r>
          </w:p>
          <w:p w14:paraId="5DB47E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0670C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p w14:paraId="3C59AC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A17366" w14:textId="77777777" w:rsidTr="00ED5B0A">
        <w:trPr>
          <w:trHeight w:val="365"/>
        </w:trPr>
        <w:tc>
          <w:tcPr>
            <w:tcW w:w="787" w:type="dxa"/>
            <w:tcBorders>
              <w:top w:val="single" w:sz="6" w:space="0" w:color="auto"/>
              <w:left w:val="single" w:sz="6" w:space="0" w:color="auto"/>
              <w:bottom w:val="single" w:sz="6" w:space="0" w:color="auto"/>
              <w:right w:val="single" w:sz="6" w:space="0" w:color="auto"/>
            </w:tcBorders>
          </w:tcPr>
          <w:p w14:paraId="6E1CA8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p w14:paraId="5C721E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11227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p w14:paraId="508165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F3164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p w14:paraId="74F350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57278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038643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D3E1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p w14:paraId="6B8CBE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16C0E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p w14:paraId="7975D9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92BFD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p w14:paraId="67BAB0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0024C5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w:t>
            </w:r>
          </w:p>
          <w:p w14:paraId="1DCB1F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470F2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w:t>
            </w:r>
          </w:p>
          <w:p w14:paraId="4C02EE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771A4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p w14:paraId="4DB84B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22322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8EDD7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76A1F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D374E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DCF72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A6157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36208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2F824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49AF4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7B39E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0E716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C623D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2FD06E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w:t>
            </w:r>
          </w:p>
          <w:p w14:paraId="6A23C9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9E4CC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p w14:paraId="59767C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19034F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p w14:paraId="044DD4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8DD55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E1AF3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AF68B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F4EC1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B6B48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DD886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DE2A6D" w14:textId="77777777" w:rsidTr="00ED5B0A">
        <w:trPr>
          <w:trHeight w:val="374"/>
        </w:trPr>
        <w:tc>
          <w:tcPr>
            <w:tcW w:w="787" w:type="dxa"/>
            <w:tcBorders>
              <w:top w:val="single" w:sz="6" w:space="0" w:color="auto"/>
              <w:left w:val="single" w:sz="6" w:space="0" w:color="auto"/>
              <w:bottom w:val="single" w:sz="6" w:space="0" w:color="auto"/>
              <w:right w:val="single" w:sz="6" w:space="0" w:color="auto"/>
            </w:tcBorders>
          </w:tcPr>
          <w:p w14:paraId="0AD4E9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p w14:paraId="2503E9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20F89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96/95</w:t>
            </w:r>
          </w:p>
          <w:p w14:paraId="4920E3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DBAD3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 75</w:t>
            </w:r>
          </w:p>
          <w:p w14:paraId="534A4F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4E62E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36/25</w:t>
            </w:r>
          </w:p>
          <w:p w14:paraId="6D87F3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3A401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w:t>
            </w:r>
          </w:p>
          <w:p w14:paraId="15D151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A2B37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p w14:paraId="06FB08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7D1D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p w14:paraId="45D9BE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4D7F88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p w14:paraId="309FE7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1719F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w:t>
            </w:r>
          </w:p>
          <w:p w14:paraId="7F0376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2ECFE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p w14:paraId="18F8D5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D2611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p w14:paraId="587E8A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985E2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w:t>
            </w:r>
          </w:p>
          <w:p w14:paraId="704FA3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3556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B5132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5027B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p w14:paraId="2B542F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7A2CB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w:t>
            </w:r>
          </w:p>
          <w:p w14:paraId="1B53CB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8A531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w:t>
            </w:r>
          </w:p>
          <w:p w14:paraId="745939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E07EC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p w14:paraId="3113A3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9790B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p w14:paraId="13B4D6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B9F95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p w14:paraId="542DFB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313D8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p w14:paraId="2B59CE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F488B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w:t>
            </w:r>
          </w:p>
          <w:p w14:paraId="0D0EC4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8D07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5F5452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78F360" w14:textId="77777777" w:rsidTr="00ED5B0A">
        <w:trPr>
          <w:trHeight w:val="374"/>
        </w:trPr>
        <w:tc>
          <w:tcPr>
            <w:tcW w:w="787" w:type="dxa"/>
            <w:tcBorders>
              <w:top w:val="single" w:sz="6" w:space="0" w:color="auto"/>
              <w:left w:val="single" w:sz="6" w:space="0" w:color="auto"/>
              <w:bottom w:val="single" w:sz="6" w:space="0" w:color="auto"/>
              <w:right w:val="single" w:sz="6" w:space="0" w:color="auto"/>
            </w:tcBorders>
          </w:tcPr>
          <w:p w14:paraId="260E6A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122892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98D51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w:t>
            </w:r>
          </w:p>
          <w:p w14:paraId="7D75B1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719CA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23687C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A89CE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w:t>
            </w:r>
          </w:p>
          <w:p w14:paraId="13CD47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53483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p w14:paraId="0AA69A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4904C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p w14:paraId="1EC576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85208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1E2F97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22D1B9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w:t>
            </w:r>
          </w:p>
          <w:p w14:paraId="62C50E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CC0AF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p w14:paraId="4715C9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9DE22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p w14:paraId="49CF64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44175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4E5884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4F1BC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p w14:paraId="38DCC3E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85511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27EAA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06695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w:t>
            </w:r>
          </w:p>
          <w:p w14:paraId="4A8503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BDEF4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p w14:paraId="634D49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71969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p w14:paraId="14FEB3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0A467C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p w14:paraId="4D0FE2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575A0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p w14:paraId="3C94F4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97038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p w14:paraId="212A07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45F37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3EE84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4B04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8E8A5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0145E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87B0B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134A35" w14:textId="77777777" w:rsidTr="00ED5B0A">
        <w:trPr>
          <w:trHeight w:val="346"/>
        </w:trPr>
        <w:tc>
          <w:tcPr>
            <w:tcW w:w="787" w:type="dxa"/>
            <w:tcBorders>
              <w:top w:val="single" w:sz="6" w:space="0" w:color="auto"/>
              <w:left w:val="single" w:sz="6" w:space="0" w:color="auto"/>
              <w:bottom w:val="single" w:sz="6" w:space="0" w:color="auto"/>
              <w:right w:val="single" w:sz="6" w:space="0" w:color="auto"/>
            </w:tcBorders>
          </w:tcPr>
          <w:p w14:paraId="321DA1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p w14:paraId="35C242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86D75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p w14:paraId="1A3C86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1EF7C6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p w14:paraId="229765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5177C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w:t>
            </w:r>
          </w:p>
          <w:p w14:paraId="10FD95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536C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p w14:paraId="7A640F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BC1B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p w14:paraId="2A7CA6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B1A28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p w14:paraId="059A3D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094916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p w14:paraId="53FECA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0B4A6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p w14:paraId="5D57ED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137A4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p w14:paraId="1EC0C3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428D1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p w14:paraId="0CFD18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9BD2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p w14:paraId="48DF57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B298B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3D3A9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A10E6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w:t>
            </w:r>
          </w:p>
          <w:p w14:paraId="6575E5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6E147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w:t>
            </w:r>
          </w:p>
          <w:p w14:paraId="3B7E8F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152CB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p w14:paraId="604797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585C3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129</w:t>
            </w:r>
          </w:p>
          <w:p w14:paraId="679A30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144AF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w:t>
            </w:r>
          </w:p>
          <w:p w14:paraId="6319B9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CF4BF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p w14:paraId="0469E8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DFDC7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BE393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49E24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1F32F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96238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80E56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C0C8FE" w14:textId="77777777" w:rsidTr="00ED5B0A">
        <w:trPr>
          <w:trHeight w:val="336"/>
        </w:trPr>
        <w:tc>
          <w:tcPr>
            <w:tcW w:w="787" w:type="dxa"/>
            <w:tcBorders>
              <w:top w:val="single" w:sz="6" w:space="0" w:color="auto"/>
              <w:left w:val="single" w:sz="6" w:space="0" w:color="auto"/>
              <w:bottom w:val="single" w:sz="6" w:space="0" w:color="auto"/>
              <w:right w:val="single" w:sz="6" w:space="0" w:color="auto"/>
            </w:tcBorders>
          </w:tcPr>
          <w:p w14:paraId="34129D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p w14:paraId="4939FD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0CE61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p w14:paraId="187123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476BD0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p w14:paraId="0E3040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C238FE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p w14:paraId="2B554F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2C9DC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p w14:paraId="150B3B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0235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p w14:paraId="4EC428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6652D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p w14:paraId="02830B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785103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p w14:paraId="56F5E3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22A3E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p w14:paraId="19BECC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7A895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w:t>
            </w:r>
          </w:p>
          <w:p w14:paraId="297489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6DE48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888EE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837F1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54438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54085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75D6B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5F68C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p w14:paraId="4E8841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C364B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w:t>
            </w:r>
          </w:p>
          <w:p w14:paraId="29F58B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BF26B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p w14:paraId="2E2243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7378E3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w:t>
            </w:r>
          </w:p>
          <w:p w14:paraId="7FCBEF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DB8B8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p w14:paraId="42899D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47967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p w14:paraId="3093A2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AD82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233929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F8AAC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5FE07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D8428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212C9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CA6C71" w14:textId="77777777" w:rsidTr="00ED5B0A">
        <w:trPr>
          <w:trHeight w:val="365"/>
        </w:trPr>
        <w:tc>
          <w:tcPr>
            <w:tcW w:w="787" w:type="dxa"/>
            <w:tcBorders>
              <w:top w:val="single" w:sz="6" w:space="0" w:color="auto"/>
              <w:left w:val="single" w:sz="6" w:space="0" w:color="auto"/>
              <w:bottom w:val="single" w:sz="6" w:space="0" w:color="auto"/>
              <w:right w:val="single" w:sz="6" w:space="0" w:color="auto"/>
            </w:tcBorders>
          </w:tcPr>
          <w:p w14:paraId="4FEB79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p w14:paraId="17911F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56E87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6C441A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0BB746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w:t>
            </w:r>
          </w:p>
          <w:p w14:paraId="110A3B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08D09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p w14:paraId="4DACEA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DA7A0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p w14:paraId="22C0F5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F93E2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p w14:paraId="476B50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AFFEA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p w14:paraId="46CC7B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tcPr>
          <w:p w14:paraId="2DA3A9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7AA183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14076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p w14:paraId="411430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EA487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p w14:paraId="48E855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42864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CB41D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4D9D6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3FA9F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B343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82DB6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0CB6EF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p w14:paraId="6113C2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E09B4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w:t>
            </w:r>
          </w:p>
          <w:p w14:paraId="6561BC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17EDF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p w14:paraId="2B5D8A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EA787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w:t>
            </w:r>
          </w:p>
          <w:p w14:paraId="3C149E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E0408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w:t>
            </w:r>
          </w:p>
          <w:p w14:paraId="7BCF70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267E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w:t>
            </w:r>
          </w:p>
          <w:p w14:paraId="3FDF1A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CF8CA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F8560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AC9DF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DA134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C609C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14EB6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AF06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Примечание: </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в числителе — бронебойные, в знаменателе — полкалиберные</w:t>
      </w:r>
    </w:p>
    <w:p w14:paraId="40920E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3-го отдела УСА ГБТУ КА инженер-подполковник Ковалев</w:t>
      </w:r>
    </w:p>
    <w:p w14:paraId="3E3193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492. Л. 64. Подлинник (11403).</w:t>
      </w:r>
    </w:p>
    <w:p w14:paraId="0F0067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F04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 были подготовлены ХАРАКТЕРИСТИКИ ВООРУЖЕНИЯ САМОХОДНЫХ УСТАНОВОК, СРЕДНИХ И ТЯЖЕЛЫХ ТАНКОВ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701"/>
        <w:gridCol w:w="567"/>
        <w:gridCol w:w="567"/>
        <w:gridCol w:w="567"/>
        <w:gridCol w:w="443"/>
        <w:gridCol w:w="128"/>
        <w:gridCol w:w="529"/>
        <w:gridCol w:w="137"/>
        <w:gridCol w:w="529"/>
        <w:gridCol w:w="137"/>
        <w:gridCol w:w="529"/>
        <w:gridCol w:w="137"/>
        <w:gridCol w:w="646"/>
        <w:gridCol w:w="136"/>
        <w:gridCol w:w="588"/>
        <w:gridCol w:w="146"/>
        <w:gridCol w:w="588"/>
        <w:gridCol w:w="137"/>
        <w:gridCol w:w="481"/>
        <w:gridCol w:w="129"/>
        <w:gridCol w:w="461"/>
        <w:gridCol w:w="79"/>
      </w:tblGrid>
      <w:tr w:rsidR="00A907A5" w:rsidRPr="00271E51" w14:paraId="0797450A" w14:textId="77777777" w:rsidTr="00ED5B0A">
        <w:trPr>
          <w:trHeight w:val="230"/>
        </w:trPr>
        <w:tc>
          <w:tcPr>
            <w:tcW w:w="1701" w:type="dxa"/>
            <w:tcBorders>
              <w:top w:val="single" w:sz="6" w:space="0" w:color="auto"/>
              <w:left w:val="single" w:sz="6" w:space="0" w:color="auto"/>
              <w:bottom w:val="nil"/>
              <w:right w:val="single" w:sz="6" w:space="0" w:color="auto"/>
            </w:tcBorders>
          </w:tcPr>
          <w:p w14:paraId="7889E3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Артсистемы</w:t>
            </w:r>
          </w:p>
          <w:p w14:paraId="5CE205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59" w:type="dxa"/>
            <w:gridSpan w:val="21"/>
            <w:tcBorders>
              <w:top w:val="single" w:sz="6" w:space="0" w:color="auto"/>
              <w:left w:val="single" w:sz="6" w:space="0" w:color="auto"/>
              <w:bottom w:val="single" w:sz="6" w:space="0" w:color="auto"/>
              <w:right w:val="single" w:sz="6" w:space="0" w:color="auto"/>
            </w:tcBorders>
          </w:tcPr>
          <w:p w14:paraId="65F7C5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p w14:paraId="6D6645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E1EC34" w14:textId="77777777" w:rsidTr="00ED5B0A">
        <w:trPr>
          <w:trHeight w:val="374"/>
        </w:trPr>
        <w:tc>
          <w:tcPr>
            <w:tcW w:w="1701" w:type="dxa"/>
            <w:tcBorders>
              <w:top w:val="nil"/>
              <w:left w:val="single" w:sz="6" w:space="0" w:color="auto"/>
              <w:bottom w:val="nil"/>
              <w:right w:val="single" w:sz="6" w:space="0" w:color="auto"/>
            </w:tcBorders>
          </w:tcPr>
          <w:p w14:paraId="514053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1DD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gridSpan w:val="2"/>
            <w:tcBorders>
              <w:top w:val="single" w:sz="6" w:space="0" w:color="auto"/>
              <w:left w:val="single" w:sz="6" w:space="0" w:color="auto"/>
              <w:bottom w:val="single" w:sz="6" w:space="0" w:color="auto"/>
              <w:right w:val="single" w:sz="6" w:space="0" w:color="auto"/>
            </w:tcBorders>
          </w:tcPr>
          <w:p w14:paraId="2D1FE8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скорость с-на в м/с</w:t>
            </w:r>
          </w:p>
          <w:p w14:paraId="3C20F9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5" w:type="dxa"/>
            <w:gridSpan w:val="3"/>
            <w:tcBorders>
              <w:top w:val="single" w:sz="6" w:space="0" w:color="auto"/>
              <w:left w:val="single" w:sz="6" w:space="0" w:color="auto"/>
              <w:bottom w:val="single" w:sz="6" w:space="0" w:color="auto"/>
              <w:right w:val="single" w:sz="6" w:space="0" w:color="auto"/>
            </w:tcBorders>
          </w:tcPr>
          <w:p w14:paraId="58207B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снаряда в килограммах</w:t>
            </w:r>
          </w:p>
          <w:p w14:paraId="713169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0FAF0E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выстрела в кг ( с бр. снар.)</w:t>
            </w:r>
          </w:p>
          <w:p w14:paraId="49D78D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6D6D04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ствола в кал.</w:t>
            </w:r>
          </w:p>
          <w:p w14:paraId="0A492A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33E3BD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отката в мм</w:t>
            </w:r>
          </w:p>
          <w:p w14:paraId="42F7A5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2" w:type="dxa"/>
            <w:gridSpan w:val="2"/>
            <w:tcBorders>
              <w:top w:val="single" w:sz="6" w:space="0" w:color="auto"/>
              <w:left w:val="single" w:sz="6" w:space="0" w:color="auto"/>
              <w:bottom w:val="nil"/>
              <w:right w:val="single" w:sz="6" w:space="0" w:color="auto"/>
            </w:tcBorders>
          </w:tcPr>
          <w:p w14:paraId="31A7F1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качающейся части в кг (без брони)</w:t>
            </w:r>
          </w:p>
          <w:p w14:paraId="12F791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8" w:type="dxa"/>
            <w:gridSpan w:val="4"/>
            <w:tcBorders>
              <w:top w:val="single" w:sz="6" w:space="0" w:color="auto"/>
              <w:left w:val="single" w:sz="6" w:space="0" w:color="auto"/>
              <w:bottom w:val="single" w:sz="6" w:space="0" w:color="auto"/>
              <w:right w:val="single" w:sz="6" w:space="0" w:color="auto"/>
            </w:tcBorders>
          </w:tcPr>
          <w:p w14:paraId="3EA4BE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Обстрел в градусах</w:t>
            </w:r>
          </w:p>
          <w:p w14:paraId="512968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0" w:type="dxa"/>
            <w:gridSpan w:val="2"/>
            <w:tcBorders>
              <w:top w:val="single" w:sz="6" w:space="0" w:color="auto"/>
              <w:left w:val="single" w:sz="6" w:space="0" w:color="auto"/>
              <w:bottom w:val="nil"/>
              <w:right w:val="single" w:sz="6" w:space="0" w:color="auto"/>
            </w:tcBorders>
          </w:tcPr>
          <w:p w14:paraId="3CA69C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Сопротивление отка</w:t>
            </w:r>
            <w:r w:rsidRPr="00271E51">
              <w:rPr>
                <w:rFonts w:ascii="Times New Roman" w:hAnsi="Times New Roman"/>
                <w:color w:val="000000" w:themeColor="text1"/>
                <w:sz w:val="16"/>
                <w:szCs w:val="16"/>
              </w:rPr>
              <w:softHyphen/>
              <w:t>ту в кг</w:t>
            </w:r>
          </w:p>
          <w:p w14:paraId="5ED08E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gridSpan w:val="2"/>
            <w:tcBorders>
              <w:top w:val="single" w:sz="6" w:space="0" w:color="auto"/>
              <w:left w:val="single" w:sz="6" w:space="0" w:color="auto"/>
              <w:bottom w:val="nil"/>
              <w:right w:val="single" w:sz="6" w:space="0" w:color="auto"/>
            </w:tcBorders>
          </w:tcPr>
          <w:p w14:paraId="01F42D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системы в бое</w:t>
            </w:r>
            <w:r w:rsidRPr="00271E51">
              <w:rPr>
                <w:rFonts w:ascii="Times New Roman" w:hAnsi="Times New Roman"/>
                <w:color w:val="000000" w:themeColor="text1"/>
                <w:sz w:val="16"/>
                <w:szCs w:val="16"/>
              </w:rPr>
              <w:softHyphen/>
              <w:t>вом полож. в кг</w:t>
            </w:r>
          </w:p>
          <w:p w14:paraId="0F7072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7EFCFB" w14:textId="77777777" w:rsidTr="00ED5B0A">
        <w:trPr>
          <w:trHeight w:val="1133"/>
        </w:trPr>
        <w:tc>
          <w:tcPr>
            <w:tcW w:w="1701" w:type="dxa"/>
            <w:tcBorders>
              <w:top w:val="nil"/>
              <w:left w:val="single" w:sz="6" w:space="0" w:color="auto"/>
              <w:bottom w:val="single" w:sz="6" w:space="0" w:color="auto"/>
              <w:right w:val="single" w:sz="6" w:space="0" w:color="auto"/>
            </w:tcBorders>
          </w:tcPr>
          <w:p w14:paraId="612F7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CD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0662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Бронебойный</w:t>
            </w:r>
          </w:p>
          <w:p w14:paraId="19FAC4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44B28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Осколочный</w:t>
            </w:r>
          </w:p>
          <w:p w14:paraId="125045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C7D5D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Бронебойный</w:t>
            </w:r>
          </w:p>
          <w:p w14:paraId="60659E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1" w:type="dxa"/>
            <w:gridSpan w:val="2"/>
            <w:tcBorders>
              <w:top w:val="single" w:sz="6" w:space="0" w:color="auto"/>
              <w:left w:val="single" w:sz="6" w:space="0" w:color="auto"/>
              <w:bottom w:val="single" w:sz="6" w:space="0" w:color="auto"/>
              <w:right w:val="single" w:sz="6" w:space="0" w:color="auto"/>
            </w:tcBorders>
          </w:tcPr>
          <w:p w14:paraId="356CEC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Осколочный</w:t>
            </w:r>
          </w:p>
          <w:p w14:paraId="2EA8A9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178254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CE9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6A9AE0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195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362166B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6DF6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2" w:type="dxa"/>
            <w:gridSpan w:val="2"/>
            <w:tcBorders>
              <w:top w:val="nil"/>
              <w:left w:val="single" w:sz="6" w:space="0" w:color="auto"/>
              <w:bottom w:val="single" w:sz="6" w:space="0" w:color="auto"/>
              <w:right w:val="single" w:sz="6" w:space="0" w:color="auto"/>
            </w:tcBorders>
          </w:tcPr>
          <w:p w14:paraId="279101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898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5BFA12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Вертикальный</w:t>
            </w:r>
          </w:p>
          <w:p w14:paraId="23B52A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5" w:type="dxa"/>
            <w:gridSpan w:val="2"/>
            <w:tcBorders>
              <w:top w:val="single" w:sz="6" w:space="0" w:color="auto"/>
              <w:left w:val="single" w:sz="6" w:space="0" w:color="auto"/>
              <w:bottom w:val="single" w:sz="6" w:space="0" w:color="auto"/>
              <w:right w:val="single" w:sz="6" w:space="0" w:color="auto"/>
            </w:tcBorders>
          </w:tcPr>
          <w:p w14:paraId="783C8B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Горизонталь</w:t>
            </w:r>
            <w:r w:rsidRPr="00271E51">
              <w:rPr>
                <w:rFonts w:ascii="Times New Roman" w:hAnsi="Times New Roman"/>
                <w:color w:val="000000" w:themeColor="text1"/>
                <w:sz w:val="16"/>
                <w:szCs w:val="16"/>
              </w:rPr>
              <w:softHyphen/>
              <w:t>ный</w:t>
            </w:r>
          </w:p>
          <w:p w14:paraId="45C86E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 w:type="dxa"/>
            <w:gridSpan w:val="2"/>
            <w:tcBorders>
              <w:top w:val="nil"/>
              <w:left w:val="single" w:sz="6" w:space="0" w:color="auto"/>
              <w:bottom w:val="single" w:sz="6" w:space="0" w:color="auto"/>
              <w:right w:val="single" w:sz="6" w:space="0" w:color="auto"/>
            </w:tcBorders>
          </w:tcPr>
          <w:p w14:paraId="354EA1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344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gridSpan w:val="2"/>
            <w:tcBorders>
              <w:top w:val="nil"/>
              <w:left w:val="single" w:sz="6" w:space="0" w:color="auto"/>
              <w:bottom w:val="single" w:sz="6" w:space="0" w:color="auto"/>
              <w:right w:val="single" w:sz="6" w:space="0" w:color="auto"/>
            </w:tcBorders>
          </w:tcPr>
          <w:p w14:paraId="26894C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5B5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73AE65" w14:textId="77777777" w:rsidTr="00ED5B0A">
        <w:trPr>
          <w:trHeight w:val="307"/>
        </w:trPr>
        <w:tc>
          <w:tcPr>
            <w:tcW w:w="9360" w:type="dxa"/>
            <w:gridSpan w:val="22"/>
            <w:tcBorders>
              <w:top w:val="single" w:sz="6" w:space="0" w:color="auto"/>
              <w:left w:val="single" w:sz="6" w:space="0" w:color="auto"/>
              <w:bottom w:val="single" w:sz="6" w:space="0" w:color="auto"/>
              <w:right w:val="single" w:sz="6" w:space="0" w:color="auto"/>
            </w:tcBorders>
          </w:tcPr>
          <w:p w14:paraId="29BBFA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Устанавливаемые</w:t>
            </w:r>
          </w:p>
          <w:p w14:paraId="2B965C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C382E7" w14:textId="77777777" w:rsidTr="00ED5B0A">
        <w:trPr>
          <w:trHeight w:val="624"/>
        </w:trPr>
        <w:tc>
          <w:tcPr>
            <w:tcW w:w="1701" w:type="dxa"/>
            <w:tcBorders>
              <w:top w:val="single" w:sz="6" w:space="0" w:color="auto"/>
              <w:left w:val="single" w:sz="6" w:space="0" w:color="auto"/>
              <w:bottom w:val="single" w:sz="6" w:space="0" w:color="auto"/>
              <w:right w:val="single" w:sz="6" w:space="0" w:color="auto"/>
            </w:tcBorders>
          </w:tcPr>
          <w:p w14:paraId="6AF624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76-мм пушка обр. 1940 г. (ф-34) и обр. 1941 г. (ЗИС-5)</w:t>
            </w:r>
          </w:p>
          <w:p w14:paraId="7FEF54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B92EF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662</w:t>
            </w:r>
          </w:p>
          <w:p w14:paraId="6F0403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7F79C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p w14:paraId="414D83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5B202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p w14:paraId="29199B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1" w:type="dxa"/>
            <w:gridSpan w:val="2"/>
            <w:tcBorders>
              <w:top w:val="single" w:sz="6" w:space="0" w:color="auto"/>
              <w:left w:val="single" w:sz="6" w:space="0" w:color="auto"/>
              <w:bottom w:val="single" w:sz="6" w:space="0" w:color="auto"/>
              <w:right w:val="single" w:sz="6" w:space="0" w:color="auto"/>
            </w:tcBorders>
          </w:tcPr>
          <w:p w14:paraId="5676AA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6,23</w:t>
            </w:r>
          </w:p>
          <w:p w14:paraId="2174B1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14D995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p w14:paraId="7A370A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2C9BC6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41,5</w:t>
            </w:r>
          </w:p>
          <w:p w14:paraId="6F2812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6F5019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p w14:paraId="6EDD19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2" w:type="dxa"/>
            <w:gridSpan w:val="2"/>
            <w:tcBorders>
              <w:top w:val="single" w:sz="6" w:space="0" w:color="auto"/>
              <w:left w:val="single" w:sz="6" w:space="0" w:color="auto"/>
              <w:bottom w:val="single" w:sz="6" w:space="0" w:color="auto"/>
              <w:right w:val="single" w:sz="6" w:space="0" w:color="auto"/>
            </w:tcBorders>
          </w:tcPr>
          <w:p w14:paraId="33227C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1155</w:t>
            </w:r>
          </w:p>
          <w:p w14:paraId="4D139B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042F4F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w:t>
            </w:r>
          </w:p>
          <w:p w14:paraId="260535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5" w:type="dxa"/>
            <w:gridSpan w:val="2"/>
            <w:tcBorders>
              <w:top w:val="single" w:sz="6" w:space="0" w:color="auto"/>
              <w:left w:val="single" w:sz="6" w:space="0" w:color="auto"/>
              <w:bottom w:val="single" w:sz="6" w:space="0" w:color="auto"/>
              <w:right w:val="single" w:sz="6" w:space="0" w:color="auto"/>
            </w:tcBorders>
          </w:tcPr>
          <w:p w14:paraId="30DE58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5D048C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 w:type="dxa"/>
            <w:gridSpan w:val="2"/>
            <w:tcBorders>
              <w:top w:val="single" w:sz="6" w:space="0" w:color="auto"/>
              <w:left w:val="single" w:sz="6" w:space="0" w:color="auto"/>
              <w:bottom w:val="single" w:sz="6" w:space="0" w:color="auto"/>
              <w:right w:val="single" w:sz="6" w:space="0" w:color="auto"/>
            </w:tcBorders>
          </w:tcPr>
          <w:p w14:paraId="129D3E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p w14:paraId="357D09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gridSpan w:val="2"/>
            <w:tcBorders>
              <w:top w:val="single" w:sz="6" w:space="0" w:color="auto"/>
              <w:left w:val="single" w:sz="6" w:space="0" w:color="auto"/>
              <w:bottom w:val="single" w:sz="6" w:space="0" w:color="auto"/>
              <w:right w:val="single" w:sz="6" w:space="0" w:color="auto"/>
            </w:tcBorders>
          </w:tcPr>
          <w:p w14:paraId="18D954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48830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590349" w14:textId="77777777" w:rsidTr="00ED5B0A">
        <w:trPr>
          <w:trHeight w:val="451"/>
        </w:trPr>
        <w:tc>
          <w:tcPr>
            <w:tcW w:w="1701" w:type="dxa"/>
            <w:tcBorders>
              <w:top w:val="single" w:sz="6" w:space="0" w:color="auto"/>
              <w:left w:val="single" w:sz="6" w:space="0" w:color="auto"/>
              <w:bottom w:val="single" w:sz="6" w:space="0" w:color="auto"/>
              <w:right w:val="single" w:sz="6" w:space="0" w:color="auto"/>
            </w:tcBorders>
          </w:tcPr>
          <w:p w14:paraId="0281BE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122-мм гаубица в самоходе СУ-122</w:t>
            </w:r>
          </w:p>
          <w:p w14:paraId="4675DB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265A9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1289D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E3CF9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p w14:paraId="542D68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D00D8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472F7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1" w:type="dxa"/>
            <w:gridSpan w:val="2"/>
            <w:tcBorders>
              <w:top w:val="single" w:sz="6" w:space="0" w:color="auto"/>
              <w:left w:val="single" w:sz="6" w:space="0" w:color="auto"/>
              <w:bottom w:val="single" w:sz="6" w:space="0" w:color="auto"/>
              <w:right w:val="single" w:sz="6" w:space="0" w:color="auto"/>
            </w:tcBorders>
          </w:tcPr>
          <w:p w14:paraId="599323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21,71</w:t>
            </w:r>
          </w:p>
          <w:p w14:paraId="7CCA6A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7C70CE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30,4</w:t>
            </w:r>
          </w:p>
          <w:p w14:paraId="0EBD90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196863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22,7</w:t>
            </w:r>
          </w:p>
          <w:p w14:paraId="54B983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6C029A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p w14:paraId="3AFD6F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2" w:type="dxa"/>
            <w:gridSpan w:val="2"/>
            <w:tcBorders>
              <w:top w:val="single" w:sz="6" w:space="0" w:color="auto"/>
              <w:left w:val="single" w:sz="6" w:space="0" w:color="auto"/>
              <w:bottom w:val="single" w:sz="6" w:space="0" w:color="auto"/>
              <w:right w:val="single" w:sz="6" w:space="0" w:color="auto"/>
            </w:tcBorders>
          </w:tcPr>
          <w:p w14:paraId="27B21F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 1300</w:t>
            </w:r>
          </w:p>
          <w:p w14:paraId="775F3D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1BBF70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+25°</w:t>
            </w:r>
          </w:p>
          <w:p w14:paraId="1A3FCA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5" w:type="dxa"/>
            <w:gridSpan w:val="2"/>
            <w:tcBorders>
              <w:top w:val="single" w:sz="6" w:space="0" w:color="auto"/>
              <w:left w:val="single" w:sz="6" w:space="0" w:color="auto"/>
              <w:bottom w:val="single" w:sz="6" w:space="0" w:color="auto"/>
              <w:right w:val="single" w:sz="6" w:space="0" w:color="auto"/>
            </w:tcBorders>
          </w:tcPr>
          <w:p w14:paraId="1C5089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58C438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 w:type="dxa"/>
            <w:gridSpan w:val="2"/>
            <w:tcBorders>
              <w:top w:val="single" w:sz="6" w:space="0" w:color="auto"/>
              <w:left w:val="single" w:sz="6" w:space="0" w:color="auto"/>
              <w:bottom w:val="single" w:sz="6" w:space="0" w:color="auto"/>
              <w:right w:val="single" w:sz="6" w:space="0" w:color="auto"/>
            </w:tcBorders>
          </w:tcPr>
          <w:p w14:paraId="7AA8E5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C8312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gridSpan w:val="2"/>
            <w:tcBorders>
              <w:top w:val="single" w:sz="6" w:space="0" w:color="auto"/>
              <w:left w:val="single" w:sz="6" w:space="0" w:color="auto"/>
              <w:bottom w:val="single" w:sz="6" w:space="0" w:color="auto"/>
              <w:right w:val="single" w:sz="6" w:space="0" w:color="auto"/>
            </w:tcBorders>
          </w:tcPr>
          <w:p w14:paraId="0B7050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ECE81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B1CC05" w14:textId="77777777" w:rsidTr="00ED5B0A">
        <w:trPr>
          <w:gridAfter w:val="1"/>
          <w:wAfter w:w="77" w:type="dxa"/>
          <w:trHeight w:val="259"/>
        </w:trPr>
        <w:tc>
          <w:tcPr>
            <w:tcW w:w="9283" w:type="dxa"/>
            <w:gridSpan w:val="21"/>
            <w:tcBorders>
              <w:top w:val="single" w:sz="6" w:space="0" w:color="auto"/>
              <w:left w:val="single" w:sz="6" w:space="0" w:color="auto"/>
              <w:bottom w:val="single" w:sz="6" w:space="0" w:color="auto"/>
              <w:right w:val="single" w:sz="6" w:space="0" w:color="auto"/>
            </w:tcBorders>
          </w:tcPr>
          <w:p w14:paraId="08DFAE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Устанавливаемые</w:t>
            </w:r>
          </w:p>
          <w:p w14:paraId="083E2F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FFB252" w14:textId="77777777" w:rsidTr="00ED5B0A">
        <w:trPr>
          <w:gridAfter w:val="1"/>
          <w:wAfter w:w="78" w:type="dxa"/>
          <w:trHeight w:val="240"/>
        </w:trPr>
        <w:tc>
          <w:tcPr>
            <w:tcW w:w="1701" w:type="dxa"/>
            <w:tcBorders>
              <w:top w:val="single" w:sz="6" w:space="0" w:color="auto"/>
              <w:left w:val="single" w:sz="6" w:space="0" w:color="auto"/>
              <w:bottom w:val="nil"/>
              <w:right w:val="single" w:sz="6" w:space="0" w:color="auto"/>
            </w:tcBorders>
          </w:tcPr>
          <w:p w14:paraId="43ECB9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пушка-гауби-</w:t>
            </w:r>
          </w:p>
          <w:p w14:paraId="6B8E99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589E7A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B61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5F7A2D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723B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7762AD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ABB4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nil"/>
              <w:right w:val="single" w:sz="6" w:space="0" w:color="auto"/>
            </w:tcBorders>
          </w:tcPr>
          <w:p w14:paraId="192B45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54B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nil"/>
              <w:right w:val="single" w:sz="6" w:space="0" w:color="auto"/>
            </w:tcBorders>
          </w:tcPr>
          <w:p w14:paraId="622211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0F8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362C68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A0EE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18DB2F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7CD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nil"/>
              <w:right w:val="single" w:sz="6" w:space="0" w:color="auto"/>
            </w:tcBorders>
          </w:tcPr>
          <w:p w14:paraId="454B04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0DE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nil"/>
              <w:right w:val="single" w:sz="6" w:space="0" w:color="auto"/>
            </w:tcBorders>
          </w:tcPr>
          <w:p w14:paraId="3E598F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CE382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nil"/>
              <w:right w:val="single" w:sz="6" w:space="0" w:color="auto"/>
            </w:tcBorders>
          </w:tcPr>
          <w:p w14:paraId="0F2100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663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nil"/>
              <w:right w:val="single" w:sz="6" w:space="0" w:color="auto"/>
            </w:tcBorders>
          </w:tcPr>
          <w:p w14:paraId="75EFDB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B564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nil"/>
              <w:right w:val="single" w:sz="6" w:space="0" w:color="auto"/>
            </w:tcBorders>
          </w:tcPr>
          <w:p w14:paraId="02D360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1A03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10252E" w14:textId="77777777" w:rsidTr="00ED5B0A">
        <w:trPr>
          <w:gridAfter w:val="1"/>
          <w:wAfter w:w="78" w:type="dxa"/>
          <w:trHeight w:val="192"/>
        </w:trPr>
        <w:tc>
          <w:tcPr>
            <w:tcW w:w="1701" w:type="dxa"/>
            <w:tcBorders>
              <w:top w:val="nil"/>
              <w:left w:val="single" w:sz="6" w:space="0" w:color="auto"/>
              <w:bottom w:val="nil"/>
              <w:right w:val="single" w:sz="6" w:space="0" w:color="auto"/>
            </w:tcBorders>
          </w:tcPr>
          <w:p w14:paraId="7E68D2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 МП-20 в самоходе</w:t>
            </w:r>
          </w:p>
          <w:p w14:paraId="1668B4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nil"/>
              <w:right w:val="single" w:sz="6" w:space="0" w:color="auto"/>
            </w:tcBorders>
          </w:tcPr>
          <w:p w14:paraId="49DC0D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p w14:paraId="19F55C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nil"/>
              <w:right w:val="single" w:sz="6" w:space="0" w:color="auto"/>
            </w:tcBorders>
          </w:tcPr>
          <w:p w14:paraId="74F0CEB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665</w:t>
            </w:r>
          </w:p>
          <w:p w14:paraId="5537C8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nil"/>
              <w:right w:val="single" w:sz="6" w:space="0" w:color="auto"/>
            </w:tcBorders>
          </w:tcPr>
          <w:p w14:paraId="58057E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48,78</w:t>
            </w:r>
          </w:p>
          <w:p w14:paraId="65E2CA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nil"/>
              <w:left w:val="single" w:sz="6" w:space="0" w:color="auto"/>
              <w:bottom w:val="nil"/>
              <w:right w:val="single" w:sz="6" w:space="0" w:color="auto"/>
            </w:tcBorders>
          </w:tcPr>
          <w:p w14:paraId="48813A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43,56</w:t>
            </w:r>
          </w:p>
          <w:p w14:paraId="20A07C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nil"/>
              <w:left w:val="single" w:sz="6" w:space="0" w:color="auto"/>
              <w:bottom w:val="nil"/>
              <w:right w:val="single" w:sz="6" w:space="0" w:color="auto"/>
            </w:tcBorders>
          </w:tcPr>
          <w:p w14:paraId="47DEAD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55,4</w:t>
            </w:r>
          </w:p>
          <w:p w14:paraId="44AE8E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nil"/>
              <w:right w:val="single" w:sz="6" w:space="0" w:color="auto"/>
            </w:tcBorders>
          </w:tcPr>
          <w:p w14:paraId="779AAE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w:t>
            </w:r>
          </w:p>
          <w:p w14:paraId="043112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nil"/>
              <w:right w:val="single" w:sz="6" w:space="0" w:color="auto"/>
            </w:tcBorders>
          </w:tcPr>
          <w:p w14:paraId="699C56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p w14:paraId="2DBBF9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nil"/>
              <w:left w:val="single" w:sz="6" w:space="0" w:color="auto"/>
              <w:bottom w:val="nil"/>
              <w:right w:val="single" w:sz="6" w:space="0" w:color="auto"/>
            </w:tcBorders>
          </w:tcPr>
          <w:p w14:paraId="1F617D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 3200</w:t>
            </w:r>
          </w:p>
          <w:p w14:paraId="7A200F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nil"/>
              <w:left w:val="single" w:sz="6" w:space="0" w:color="auto"/>
              <w:bottom w:val="nil"/>
              <w:right w:val="single" w:sz="6" w:space="0" w:color="auto"/>
            </w:tcBorders>
          </w:tcPr>
          <w:p w14:paraId="3B10A1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0811F0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nil"/>
              <w:left w:val="single" w:sz="6" w:space="0" w:color="auto"/>
              <w:bottom w:val="nil"/>
              <w:right w:val="single" w:sz="6" w:space="0" w:color="auto"/>
            </w:tcBorders>
          </w:tcPr>
          <w:p w14:paraId="335338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p w14:paraId="1AB66E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nil"/>
              <w:left w:val="single" w:sz="6" w:space="0" w:color="auto"/>
              <w:bottom w:val="nil"/>
              <w:right w:val="single" w:sz="6" w:space="0" w:color="auto"/>
            </w:tcBorders>
          </w:tcPr>
          <w:p w14:paraId="63C0E6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A4916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nil"/>
              <w:left w:val="single" w:sz="6" w:space="0" w:color="auto"/>
              <w:bottom w:val="nil"/>
              <w:right w:val="single" w:sz="6" w:space="0" w:color="auto"/>
            </w:tcBorders>
          </w:tcPr>
          <w:p w14:paraId="60E160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143AB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290C0C" w14:textId="77777777" w:rsidTr="00ED5B0A">
        <w:trPr>
          <w:gridAfter w:val="1"/>
          <w:wAfter w:w="78" w:type="dxa"/>
          <w:trHeight w:val="192"/>
        </w:trPr>
        <w:tc>
          <w:tcPr>
            <w:tcW w:w="1701" w:type="dxa"/>
            <w:tcBorders>
              <w:top w:val="nil"/>
              <w:left w:val="single" w:sz="6" w:space="0" w:color="auto"/>
              <w:bottom w:val="single" w:sz="6" w:space="0" w:color="auto"/>
              <w:right w:val="single" w:sz="6" w:space="0" w:color="auto"/>
            </w:tcBorders>
          </w:tcPr>
          <w:p w14:paraId="726F3E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СУ-152</w:t>
            </w:r>
          </w:p>
          <w:p w14:paraId="30D02B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3D1831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EDB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0EC929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565D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4A44DC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D8BD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nil"/>
              <w:left w:val="single" w:sz="6" w:space="0" w:color="auto"/>
              <w:bottom w:val="single" w:sz="6" w:space="0" w:color="auto"/>
              <w:right w:val="single" w:sz="6" w:space="0" w:color="auto"/>
            </w:tcBorders>
          </w:tcPr>
          <w:p w14:paraId="6BDC8E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1CE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nil"/>
              <w:left w:val="single" w:sz="6" w:space="0" w:color="auto"/>
              <w:bottom w:val="single" w:sz="6" w:space="0" w:color="auto"/>
              <w:right w:val="single" w:sz="6" w:space="0" w:color="auto"/>
            </w:tcBorders>
          </w:tcPr>
          <w:p w14:paraId="686A41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7049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21B0B3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52F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632365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432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nil"/>
              <w:left w:val="single" w:sz="6" w:space="0" w:color="auto"/>
              <w:bottom w:val="single" w:sz="6" w:space="0" w:color="auto"/>
              <w:right w:val="single" w:sz="6" w:space="0" w:color="auto"/>
            </w:tcBorders>
          </w:tcPr>
          <w:p w14:paraId="1C121C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E06A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nil"/>
              <w:left w:val="single" w:sz="6" w:space="0" w:color="auto"/>
              <w:bottom w:val="single" w:sz="6" w:space="0" w:color="auto"/>
              <w:right w:val="single" w:sz="6" w:space="0" w:color="auto"/>
            </w:tcBorders>
          </w:tcPr>
          <w:p w14:paraId="256D59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1E54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nil"/>
              <w:left w:val="single" w:sz="6" w:space="0" w:color="auto"/>
              <w:bottom w:val="single" w:sz="6" w:space="0" w:color="auto"/>
              <w:right w:val="single" w:sz="6" w:space="0" w:color="auto"/>
            </w:tcBorders>
          </w:tcPr>
          <w:p w14:paraId="799F4F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BD12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nil"/>
              <w:left w:val="single" w:sz="6" w:space="0" w:color="auto"/>
              <w:bottom w:val="single" w:sz="6" w:space="0" w:color="auto"/>
              <w:right w:val="single" w:sz="6" w:space="0" w:color="auto"/>
            </w:tcBorders>
          </w:tcPr>
          <w:p w14:paraId="438405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5CE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nil"/>
              <w:left w:val="single" w:sz="6" w:space="0" w:color="auto"/>
              <w:bottom w:val="single" w:sz="6" w:space="0" w:color="auto"/>
              <w:right w:val="single" w:sz="6" w:space="0" w:color="auto"/>
            </w:tcBorders>
          </w:tcPr>
          <w:p w14:paraId="1D40B0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D18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E6469E" w14:textId="77777777" w:rsidTr="00ED5B0A">
        <w:trPr>
          <w:gridAfter w:val="1"/>
          <w:wAfter w:w="78" w:type="dxa"/>
          <w:trHeight w:val="432"/>
        </w:trPr>
        <w:tc>
          <w:tcPr>
            <w:tcW w:w="1701" w:type="dxa"/>
            <w:tcBorders>
              <w:top w:val="single" w:sz="6" w:space="0" w:color="auto"/>
              <w:left w:val="single" w:sz="6" w:space="0" w:color="auto"/>
              <w:bottom w:val="single" w:sz="6" w:space="0" w:color="auto"/>
              <w:right w:val="single" w:sz="6" w:space="0" w:color="auto"/>
            </w:tcBorders>
          </w:tcPr>
          <w:p w14:paraId="19C001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76-мм пушка ЗИС-3 в самоходе СУ-76М</w:t>
            </w:r>
          </w:p>
          <w:p w14:paraId="75FEB1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6F5F7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662</w:t>
            </w:r>
          </w:p>
          <w:p w14:paraId="651A5C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F5166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p w14:paraId="30E0B9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82EFD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p w14:paraId="7DC2D4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single" w:sz="6" w:space="0" w:color="auto"/>
              <w:right w:val="single" w:sz="6" w:space="0" w:color="auto"/>
            </w:tcBorders>
          </w:tcPr>
          <w:p w14:paraId="366DAB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6,23</w:t>
            </w:r>
          </w:p>
          <w:p w14:paraId="2865DA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666A1B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p w14:paraId="0FB1D3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3413D5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41,6</w:t>
            </w:r>
          </w:p>
          <w:p w14:paraId="77E3BE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7705D1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p w14:paraId="3545BC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single" w:sz="6" w:space="0" w:color="auto"/>
              <w:right w:val="single" w:sz="6" w:space="0" w:color="auto"/>
            </w:tcBorders>
          </w:tcPr>
          <w:p w14:paraId="4F6B10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ОК500</w:t>
            </w:r>
          </w:p>
          <w:p w14:paraId="595C2A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single" w:sz="6" w:space="0" w:color="auto"/>
              <w:right w:val="single" w:sz="6" w:space="0" w:color="auto"/>
            </w:tcBorders>
          </w:tcPr>
          <w:p w14:paraId="3FE26D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+37"</w:t>
            </w:r>
          </w:p>
          <w:p w14:paraId="6C95C3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4889A1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p w14:paraId="6304AB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single" w:sz="6" w:space="0" w:color="auto"/>
              <w:right w:val="single" w:sz="6" w:space="0" w:color="auto"/>
            </w:tcBorders>
          </w:tcPr>
          <w:p w14:paraId="453224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FA99F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single" w:sz="6" w:space="0" w:color="auto"/>
              <w:right w:val="single" w:sz="6" w:space="0" w:color="auto"/>
            </w:tcBorders>
          </w:tcPr>
          <w:p w14:paraId="194AC0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1116</w:t>
            </w:r>
          </w:p>
          <w:p w14:paraId="63CDB6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01AC0F" w14:textId="77777777" w:rsidTr="00ED5B0A">
        <w:trPr>
          <w:gridAfter w:val="1"/>
          <w:wAfter w:w="77" w:type="dxa"/>
          <w:trHeight w:val="240"/>
        </w:trPr>
        <w:tc>
          <w:tcPr>
            <w:tcW w:w="9283" w:type="dxa"/>
            <w:gridSpan w:val="21"/>
            <w:tcBorders>
              <w:top w:val="single" w:sz="6" w:space="0" w:color="auto"/>
              <w:left w:val="single" w:sz="6" w:space="0" w:color="auto"/>
              <w:bottom w:val="single" w:sz="6" w:space="0" w:color="auto"/>
              <w:right w:val="single" w:sz="6" w:space="0" w:color="auto"/>
            </w:tcBorders>
          </w:tcPr>
          <w:p w14:paraId="4E2FFC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Предлагаемые</w:t>
            </w:r>
          </w:p>
          <w:p w14:paraId="21F9AA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772976" w14:textId="77777777" w:rsidTr="00ED5B0A">
        <w:trPr>
          <w:gridAfter w:val="1"/>
          <w:wAfter w:w="78" w:type="dxa"/>
          <w:trHeight w:val="278"/>
        </w:trPr>
        <w:tc>
          <w:tcPr>
            <w:tcW w:w="1701" w:type="dxa"/>
            <w:tcBorders>
              <w:top w:val="single" w:sz="6" w:space="0" w:color="auto"/>
              <w:left w:val="single" w:sz="6" w:space="0" w:color="auto"/>
              <w:bottom w:val="nil"/>
              <w:right w:val="single" w:sz="6" w:space="0" w:color="auto"/>
            </w:tcBorders>
          </w:tcPr>
          <w:p w14:paraId="153261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37-мм зенитная</w:t>
            </w:r>
          </w:p>
          <w:p w14:paraId="48D982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5B767E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w:t>
            </w:r>
          </w:p>
          <w:p w14:paraId="6BD892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6E7E4D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w:t>
            </w:r>
          </w:p>
          <w:p w14:paraId="7E689E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0E8DB8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0,775</w:t>
            </w:r>
          </w:p>
          <w:p w14:paraId="6DE3609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nil"/>
              <w:right w:val="single" w:sz="6" w:space="0" w:color="auto"/>
            </w:tcBorders>
          </w:tcPr>
          <w:p w14:paraId="46FCA6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0,732</w:t>
            </w:r>
          </w:p>
          <w:p w14:paraId="6591C7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nil"/>
              <w:right w:val="single" w:sz="6" w:space="0" w:color="auto"/>
            </w:tcBorders>
          </w:tcPr>
          <w:p w14:paraId="249035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p w14:paraId="4B5C39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2C235C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p w14:paraId="63999B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nil"/>
              <w:right w:val="single" w:sz="6" w:space="0" w:color="auto"/>
            </w:tcBorders>
          </w:tcPr>
          <w:p w14:paraId="16F3D0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p w14:paraId="22915D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nil"/>
              <w:right w:val="single" w:sz="6" w:space="0" w:color="auto"/>
            </w:tcBorders>
          </w:tcPr>
          <w:p w14:paraId="3DC7F2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ОК200</w:t>
            </w:r>
          </w:p>
          <w:p w14:paraId="3AA2F3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nil"/>
              <w:right w:val="single" w:sz="6" w:space="0" w:color="auto"/>
            </w:tcBorders>
          </w:tcPr>
          <w:p w14:paraId="1857FA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p w14:paraId="0221F7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nil"/>
              <w:right w:val="single" w:sz="6" w:space="0" w:color="auto"/>
            </w:tcBorders>
          </w:tcPr>
          <w:p w14:paraId="6C27B8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4AD690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nil"/>
              <w:right w:val="single" w:sz="6" w:space="0" w:color="auto"/>
            </w:tcBorders>
          </w:tcPr>
          <w:p w14:paraId="246BF1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1720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nil"/>
              <w:right w:val="single" w:sz="6" w:space="0" w:color="auto"/>
            </w:tcBorders>
          </w:tcPr>
          <w:p w14:paraId="7E3947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4F9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44FB91" w14:textId="77777777" w:rsidTr="00ED5B0A">
        <w:trPr>
          <w:gridAfter w:val="1"/>
          <w:wAfter w:w="78" w:type="dxa"/>
          <w:trHeight w:val="154"/>
        </w:trPr>
        <w:tc>
          <w:tcPr>
            <w:tcW w:w="1701" w:type="dxa"/>
            <w:tcBorders>
              <w:top w:val="nil"/>
              <w:left w:val="single" w:sz="6" w:space="0" w:color="auto"/>
              <w:bottom w:val="single" w:sz="6" w:space="0" w:color="auto"/>
              <w:right w:val="single" w:sz="6" w:space="0" w:color="auto"/>
            </w:tcBorders>
          </w:tcPr>
          <w:p w14:paraId="047E89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ЗИК</w:t>
            </w:r>
          </w:p>
          <w:p w14:paraId="057C59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0E8DD7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F94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6F0C05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30B6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nil"/>
              <w:left w:val="single" w:sz="6" w:space="0" w:color="auto"/>
              <w:bottom w:val="single" w:sz="6" w:space="0" w:color="auto"/>
              <w:right w:val="single" w:sz="6" w:space="0" w:color="auto"/>
            </w:tcBorders>
          </w:tcPr>
          <w:p w14:paraId="56D4E8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94D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nil"/>
              <w:left w:val="single" w:sz="6" w:space="0" w:color="auto"/>
              <w:bottom w:val="single" w:sz="6" w:space="0" w:color="auto"/>
              <w:right w:val="single" w:sz="6" w:space="0" w:color="auto"/>
            </w:tcBorders>
          </w:tcPr>
          <w:p w14:paraId="370FB9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5D8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nil"/>
              <w:left w:val="single" w:sz="6" w:space="0" w:color="auto"/>
              <w:bottom w:val="single" w:sz="6" w:space="0" w:color="auto"/>
              <w:right w:val="single" w:sz="6" w:space="0" w:color="auto"/>
            </w:tcBorders>
          </w:tcPr>
          <w:p w14:paraId="1F8AED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C3F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49BDC8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BB3F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nil"/>
              <w:left w:val="single" w:sz="6" w:space="0" w:color="auto"/>
              <w:bottom w:val="single" w:sz="6" w:space="0" w:color="auto"/>
              <w:right w:val="single" w:sz="6" w:space="0" w:color="auto"/>
            </w:tcBorders>
          </w:tcPr>
          <w:p w14:paraId="7A7329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151E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nil"/>
              <w:left w:val="single" w:sz="6" w:space="0" w:color="auto"/>
              <w:bottom w:val="single" w:sz="6" w:space="0" w:color="auto"/>
              <w:right w:val="single" w:sz="6" w:space="0" w:color="auto"/>
            </w:tcBorders>
          </w:tcPr>
          <w:p w14:paraId="584716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677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nil"/>
              <w:left w:val="single" w:sz="6" w:space="0" w:color="auto"/>
              <w:bottom w:val="single" w:sz="6" w:space="0" w:color="auto"/>
              <w:right w:val="single" w:sz="6" w:space="0" w:color="auto"/>
            </w:tcBorders>
          </w:tcPr>
          <w:p w14:paraId="568020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p w14:paraId="0C7279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nil"/>
              <w:left w:val="single" w:sz="6" w:space="0" w:color="auto"/>
              <w:bottom w:val="single" w:sz="6" w:space="0" w:color="auto"/>
              <w:right w:val="single" w:sz="6" w:space="0" w:color="auto"/>
            </w:tcBorders>
          </w:tcPr>
          <w:p w14:paraId="1EA5FF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41B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nil"/>
              <w:left w:val="single" w:sz="6" w:space="0" w:color="auto"/>
              <w:bottom w:val="single" w:sz="6" w:space="0" w:color="auto"/>
              <w:right w:val="single" w:sz="6" w:space="0" w:color="auto"/>
            </w:tcBorders>
          </w:tcPr>
          <w:p w14:paraId="0CECBF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C6F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nil"/>
              <w:left w:val="single" w:sz="6" w:space="0" w:color="auto"/>
              <w:bottom w:val="single" w:sz="6" w:space="0" w:color="auto"/>
              <w:right w:val="single" w:sz="6" w:space="0" w:color="auto"/>
            </w:tcBorders>
          </w:tcPr>
          <w:p w14:paraId="4DC559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0CF5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D3803F" w14:textId="77777777" w:rsidTr="00ED5B0A">
        <w:trPr>
          <w:gridAfter w:val="1"/>
          <w:wAfter w:w="78" w:type="dxa"/>
          <w:trHeight w:val="538"/>
        </w:trPr>
        <w:tc>
          <w:tcPr>
            <w:tcW w:w="1701" w:type="dxa"/>
            <w:tcBorders>
              <w:top w:val="single" w:sz="6" w:space="0" w:color="auto"/>
              <w:left w:val="single" w:sz="6" w:space="0" w:color="auto"/>
              <w:bottom w:val="single" w:sz="6" w:space="0" w:color="auto"/>
              <w:right w:val="single" w:sz="6" w:space="0" w:color="auto"/>
            </w:tcBorders>
          </w:tcPr>
          <w:p w14:paraId="6C73C6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57-мм пушка ЗИС-4</w:t>
            </w:r>
          </w:p>
          <w:p w14:paraId="30992B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F1AE2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w:t>
            </w:r>
          </w:p>
          <w:p w14:paraId="458055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7645F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p w14:paraId="10A1A0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384BA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3,14</w:t>
            </w:r>
          </w:p>
          <w:p w14:paraId="35EFF2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single" w:sz="6" w:space="0" w:color="auto"/>
              <w:right w:val="single" w:sz="6" w:space="0" w:color="auto"/>
            </w:tcBorders>
          </w:tcPr>
          <w:p w14:paraId="51337C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p w14:paraId="3F433D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11AAE2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p w14:paraId="63C1D2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1DB92B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p w14:paraId="63BB01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183241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p w14:paraId="5AF6B8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single" w:sz="6" w:space="0" w:color="auto"/>
              <w:right w:val="single" w:sz="6" w:space="0" w:color="auto"/>
            </w:tcBorders>
          </w:tcPr>
          <w:p w14:paraId="460F62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1110</w:t>
            </w:r>
          </w:p>
          <w:p w14:paraId="574E4D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single" w:sz="6" w:space="0" w:color="auto"/>
              <w:right w:val="single" w:sz="6" w:space="0" w:color="auto"/>
            </w:tcBorders>
          </w:tcPr>
          <w:p w14:paraId="720BB0E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 +30°</w:t>
            </w:r>
          </w:p>
          <w:p w14:paraId="458F4C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2582A3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1FD2B9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single" w:sz="6" w:space="0" w:color="auto"/>
              <w:right w:val="single" w:sz="6" w:space="0" w:color="auto"/>
            </w:tcBorders>
          </w:tcPr>
          <w:p w14:paraId="72348E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541E1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single" w:sz="6" w:space="0" w:color="auto"/>
              <w:right w:val="single" w:sz="6" w:space="0" w:color="auto"/>
            </w:tcBorders>
          </w:tcPr>
          <w:p w14:paraId="2B6570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D9D62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184B8C" w14:textId="77777777" w:rsidTr="00ED5B0A">
        <w:trPr>
          <w:gridAfter w:val="1"/>
          <w:wAfter w:w="78" w:type="dxa"/>
          <w:trHeight w:val="432"/>
        </w:trPr>
        <w:tc>
          <w:tcPr>
            <w:tcW w:w="1701" w:type="dxa"/>
            <w:tcBorders>
              <w:top w:val="single" w:sz="6" w:space="0" w:color="auto"/>
              <w:left w:val="single" w:sz="6" w:space="0" w:color="auto"/>
              <w:bottom w:val="single" w:sz="6" w:space="0" w:color="auto"/>
              <w:right w:val="single" w:sz="6" w:space="0" w:color="auto"/>
            </w:tcBorders>
          </w:tcPr>
          <w:p w14:paraId="51EBD1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85-мм пушка (опытн. обр. ЦАКБ)</w:t>
            </w:r>
          </w:p>
          <w:p w14:paraId="5ECFC7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2945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p w14:paraId="1E4BB3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59315D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p w14:paraId="55E6C0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07E825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w:t>
            </w:r>
          </w:p>
          <w:p w14:paraId="6059FF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single" w:sz="6" w:space="0" w:color="auto"/>
              <w:right w:val="single" w:sz="6" w:space="0" w:color="auto"/>
            </w:tcBorders>
          </w:tcPr>
          <w:p w14:paraId="77B4FD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w:t>
            </w:r>
          </w:p>
          <w:p w14:paraId="7562A4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644549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15,4</w:t>
            </w:r>
          </w:p>
          <w:p w14:paraId="512864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15B245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51,2</w:t>
            </w:r>
          </w:p>
          <w:p w14:paraId="7313E5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5D517A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p w14:paraId="19C895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single" w:sz="6" w:space="0" w:color="auto"/>
              <w:right w:val="single" w:sz="6" w:space="0" w:color="auto"/>
            </w:tcBorders>
          </w:tcPr>
          <w:p w14:paraId="3F1717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1370</w:t>
            </w:r>
          </w:p>
          <w:p w14:paraId="73EDA0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single" w:sz="6" w:space="0" w:color="auto"/>
              <w:right w:val="single" w:sz="6" w:space="0" w:color="auto"/>
            </w:tcBorders>
          </w:tcPr>
          <w:p w14:paraId="7E2CA9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+25°</w:t>
            </w:r>
          </w:p>
          <w:p w14:paraId="125C7A2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00C829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19EA17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single" w:sz="6" w:space="0" w:color="auto"/>
              <w:right w:val="single" w:sz="6" w:space="0" w:color="auto"/>
            </w:tcBorders>
          </w:tcPr>
          <w:p w14:paraId="44A5F8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p w14:paraId="2E32C5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single" w:sz="6" w:space="0" w:color="auto"/>
              <w:right w:val="single" w:sz="6" w:space="0" w:color="auto"/>
            </w:tcBorders>
          </w:tcPr>
          <w:p w14:paraId="6CC317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366A6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7688C5" w14:textId="77777777" w:rsidTr="00ED5B0A">
        <w:trPr>
          <w:gridAfter w:val="1"/>
          <w:wAfter w:w="78" w:type="dxa"/>
          <w:trHeight w:val="432"/>
        </w:trPr>
        <w:tc>
          <w:tcPr>
            <w:tcW w:w="1701" w:type="dxa"/>
            <w:tcBorders>
              <w:top w:val="single" w:sz="6" w:space="0" w:color="auto"/>
              <w:left w:val="single" w:sz="6" w:space="0" w:color="auto"/>
              <w:bottom w:val="single" w:sz="6" w:space="0" w:color="auto"/>
              <w:right w:val="single" w:sz="6" w:space="0" w:color="auto"/>
            </w:tcBorders>
          </w:tcPr>
          <w:p w14:paraId="131729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122-мм пушка обр. 1931 г. (А-19)</w:t>
            </w:r>
          </w:p>
          <w:p w14:paraId="7A9A46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B88B5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p w14:paraId="16B400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2914A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AD901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2219F1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25,2</w:t>
            </w:r>
          </w:p>
          <w:p w14:paraId="585CED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single" w:sz="6" w:space="0" w:color="auto"/>
              <w:right w:val="single" w:sz="6" w:space="0" w:color="auto"/>
            </w:tcBorders>
          </w:tcPr>
          <w:p w14:paraId="001421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F5190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172C1C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40,4</w:t>
            </w:r>
          </w:p>
          <w:p w14:paraId="125CAB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081E88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46,3</w:t>
            </w:r>
          </w:p>
          <w:p w14:paraId="165DE8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2BBF7D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w:t>
            </w:r>
          </w:p>
          <w:p w14:paraId="6C42ABC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single" w:sz="6" w:space="0" w:color="auto"/>
              <w:right w:val="single" w:sz="6" w:space="0" w:color="auto"/>
            </w:tcBorders>
          </w:tcPr>
          <w:p w14:paraId="54C3DC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w:t>
            </w:r>
          </w:p>
          <w:p w14:paraId="78DD25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single" w:sz="6" w:space="0" w:color="auto"/>
              <w:right w:val="single" w:sz="6" w:space="0" w:color="auto"/>
            </w:tcBorders>
          </w:tcPr>
          <w:p w14:paraId="56FC3B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+45°</w:t>
            </w:r>
          </w:p>
          <w:p w14:paraId="25820C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092208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p w14:paraId="79B5D4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single" w:sz="6" w:space="0" w:color="auto"/>
              <w:right w:val="single" w:sz="6" w:space="0" w:color="auto"/>
            </w:tcBorders>
          </w:tcPr>
          <w:p w14:paraId="4FB1F2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8A18E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single" w:sz="6" w:space="0" w:color="auto"/>
              <w:right w:val="single" w:sz="6" w:space="0" w:color="auto"/>
            </w:tcBorders>
          </w:tcPr>
          <w:p w14:paraId="68DD55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7100</w:t>
            </w:r>
          </w:p>
          <w:p w14:paraId="0E2F73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07B57C" w14:textId="77777777" w:rsidTr="00ED5B0A">
        <w:trPr>
          <w:gridAfter w:val="1"/>
          <w:wAfter w:w="78" w:type="dxa"/>
          <w:trHeight w:val="442"/>
        </w:trPr>
        <w:tc>
          <w:tcPr>
            <w:tcW w:w="1701" w:type="dxa"/>
            <w:tcBorders>
              <w:top w:val="single" w:sz="6" w:space="0" w:color="auto"/>
              <w:left w:val="single" w:sz="6" w:space="0" w:color="auto"/>
              <w:bottom w:val="single" w:sz="6" w:space="0" w:color="auto"/>
              <w:right w:val="single" w:sz="6" w:space="0" w:color="auto"/>
            </w:tcBorders>
          </w:tcPr>
          <w:p w14:paraId="5769D9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пушка обр. 1935 г. (Бр.-2)</w:t>
            </w:r>
          </w:p>
          <w:p w14:paraId="12BFD3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42857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880</w:t>
            </w:r>
          </w:p>
          <w:p w14:paraId="7AB1F0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7732C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880</w:t>
            </w:r>
          </w:p>
          <w:p w14:paraId="387C24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0D8186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&gt;</w:t>
            </w:r>
          </w:p>
          <w:p w14:paraId="3CFFCE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3" w:type="dxa"/>
            <w:tcBorders>
              <w:top w:val="single" w:sz="6" w:space="0" w:color="auto"/>
              <w:left w:val="single" w:sz="6" w:space="0" w:color="auto"/>
              <w:bottom w:val="single" w:sz="6" w:space="0" w:color="auto"/>
              <w:right w:val="single" w:sz="6" w:space="0" w:color="auto"/>
            </w:tcBorders>
          </w:tcPr>
          <w:p w14:paraId="3CA2E0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p w14:paraId="4F9B62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1730CE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p w14:paraId="467CB7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39871B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p w14:paraId="0F289D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6" w:type="dxa"/>
            <w:gridSpan w:val="2"/>
            <w:tcBorders>
              <w:top w:val="single" w:sz="6" w:space="0" w:color="auto"/>
              <w:left w:val="single" w:sz="6" w:space="0" w:color="auto"/>
              <w:bottom w:val="single" w:sz="6" w:space="0" w:color="auto"/>
              <w:right w:val="single" w:sz="6" w:space="0" w:color="auto"/>
            </w:tcBorders>
          </w:tcPr>
          <w:p w14:paraId="2435C3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w:t>
            </w:r>
          </w:p>
          <w:p w14:paraId="3DA459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3" w:type="dxa"/>
            <w:gridSpan w:val="2"/>
            <w:tcBorders>
              <w:top w:val="single" w:sz="6" w:space="0" w:color="auto"/>
              <w:left w:val="single" w:sz="6" w:space="0" w:color="auto"/>
              <w:bottom w:val="single" w:sz="6" w:space="0" w:color="auto"/>
              <w:right w:val="single" w:sz="6" w:space="0" w:color="auto"/>
            </w:tcBorders>
          </w:tcPr>
          <w:p w14:paraId="64FDC9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725F9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4" w:type="dxa"/>
            <w:gridSpan w:val="2"/>
            <w:tcBorders>
              <w:top w:val="single" w:sz="6" w:space="0" w:color="auto"/>
              <w:left w:val="single" w:sz="6" w:space="0" w:color="auto"/>
              <w:bottom w:val="single" w:sz="6" w:space="0" w:color="auto"/>
              <w:right w:val="single" w:sz="6" w:space="0" w:color="auto"/>
            </w:tcBorders>
          </w:tcPr>
          <w:p w14:paraId="06ECE9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9CEEC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tcPr>
          <w:p w14:paraId="225FF7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p w14:paraId="56B520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8" w:type="dxa"/>
            <w:gridSpan w:val="2"/>
            <w:tcBorders>
              <w:top w:val="single" w:sz="6" w:space="0" w:color="auto"/>
              <w:left w:val="single" w:sz="6" w:space="0" w:color="auto"/>
              <w:bottom w:val="single" w:sz="6" w:space="0" w:color="auto"/>
              <w:right w:val="single" w:sz="6" w:space="0" w:color="auto"/>
            </w:tcBorders>
          </w:tcPr>
          <w:p w14:paraId="7D9C28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AC13E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9" w:type="dxa"/>
            <w:gridSpan w:val="2"/>
            <w:tcBorders>
              <w:top w:val="single" w:sz="6" w:space="0" w:color="auto"/>
              <w:left w:val="single" w:sz="6" w:space="0" w:color="auto"/>
              <w:bottom w:val="single" w:sz="6" w:space="0" w:color="auto"/>
              <w:right w:val="single" w:sz="6" w:space="0" w:color="auto"/>
            </w:tcBorders>
          </w:tcPr>
          <w:p w14:paraId="127542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2 т</w:t>
            </w:r>
          </w:p>
          <w:p w14:paraId="377686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7CA37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 - бетонобойный снаряд.</w:t>
      </w:r>
    </w:p>
    <w:p w14:paraId="43B2B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492. Л. 63. Подлинник.</w:t>
      </w:r>
    </w:p>
    <w:p w14:paraId="3AF9DC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3-го отдела УСА ГБТУ КА инженер-подполковник Ковалев (11403).</w:t>
      </w:r>
    </w:p>
    <w:p w14:paraId="1E8CE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B56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 была подготовлена ДОКЛАДНАЯ ЗАПИСКА КОМАНДУЮЩЕГО БТ и МВ КА НАРКОМУ ТАНКОВОЙ ПРОМЫШЛЕННОСТИ МАЛЫШЕВУ О МЕРОПРИЯТИЯХ ПО ОБЛЕГЧЕНИЮ ЗАПУСКА ДВИГАТЕЛЕЙ И ОБОГРЕВА ТАНКОВ В ЗИМНЕЕ ВРЕМЯ</w:t>
      </w:r>
    </w:p>
    <w:p w14:paraId="7CBE58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Имеющиеся в наличии и принятые на серийное производство средства облегчения запуска двигателей и обогрева танков в зимних условиях не полностью удовлетворяют предъявленным тре</w:t>
      </w:r>
      <w:r w:rsidRPr="00271E51">
        <w:rPr>
          <w:rFonts w:ascii="Times New Roman" w:hAnsi="Times New Roman"/>
          <w:color w:val="000000" w:themeColor="text1"/>
          <w:sz w:val="16"/>
          <w:szCs w:val="16"/>
        </w:rPr>
        <w:softHyphen/>
        <w:t>бованиям. Разработка новых, более совершенных образцов производится чрезвычайно медленно (например, работы над маслоразжижающим и маслоперепускным устройствами по постановке в серию проводились в течение 4-5 лет).</w:t>
      </w:r>
    </w:p>
    <w:p w14:paraId="2D45F4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Отдел главного конструктора, а также конструкторские бюро заводов должного внимания дан</w:t>
      </w:r>
      <w:r w:rsidRPr="00271E51">
        <w:rPr>
          <w:rFonts w:ascii="Times New Roman" w:hAnsi="Times New Roman"/>
          <w:color w:val="000000" w:themeColor="text1"/>
          <w:sz w:val="16"/>
          <w:szCs w:val="16"/>
        </w:rPr>
        <w:softHyphen/>
        <w:t>ному вопросу не уделяют.</w:t>
      </w:r>
    </w:p>
    <w:p w14:paraId="6FBDAD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актуальностью проблемы запуска двигателя и обогрева танков в различных условиях эксплуатации в зимнее время прошу провести следующие мероприятия:</w:t>
      </w:r>
    </w:p>
    <w:p w14:paraId="5ABE3C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Создать специальную группу при Наркомтанкопроме, возложив на нее проведение научно-исследовательских работ совместно с ГБТУ КА.</w:t>
      </w:r>
    </w:p>
    <w:p w14:paraId="4F1CCC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Привлечь к изысканиям и разработкам опытных образцов средств обогрева конструкторов и технологов заводов.</w:t>
      </w:r>
    </w:p>
    <w:p w14:paraId="1EE081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Форсировать принятие на серийное производство калориферных и термосифонных печей для обогрева танков взамен принятых в серию на 1943 г. устаревших танковых печей образца 1942 г.</w:t>
      </w:r>
    </w:p>
    <w:p w14:paraId="25DBFA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Принять окончательное решение по обеспечению запуска двигателей В-2 по методу «Джиемси» - с впрыском горючего во всасывающую трубу и последующим запалом от электросвечи (работа, производившаяся на заводе №100).</w:t>
      </w:r>
    </w:p>
    <w:p w14:paraId="032412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Отработать метод и конструктивно решить отепление аккумуляторов на танке Т-34.</w:t>
      </w:r>
    </w:p>
    <w:p w14:paraId="19F3FF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Изготовить и подвергнуть всесторонним испытаниям в г. Омске и на полигоне ГБТУ в Кубинке пароподогревательный агрегат ПМ-122, разработанный по предложению т. Биатова, на заводе №174.</w:t>
      </w:r>
    </w:p>
    <w:p w14:paraId="409BB8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Оснащать танки и самоходные установки дополнительной тарой — двумя бидонами-бачками для слива масла и охлаждающей жидкости из системы охлаждения и смазки.</w:t>
      </w:r>
    </w:p>
    <w:p w14:paraId="310F0D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Проработать возможность увеличения сечения подводящего маслопровода системы к входно</w:t>
      </w:r>
      <w:r w:rsidRPr="00271E51">
        <w:rPr>
          <w:rFonts w:ascii="Times New Roman" w:hAnsi="Times New Roman"/>
          <w:color w:val="000000" w:themeColor="text1"/>
          <w:sz w:val="16"/>
          <w:szCs w:val="16"/>
        </w:rPr>
        <w:softHyphen/>
        <w:t>му штуцеру с целью уменьшения сопротивления.</w:t>
      </w:r>
    </w:p>
    <w:p w14:paraId="298CDC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Отработать вопрос о подготовке всасываемого воздуха в двигатель танков КВ-1с и СУ-152,</w:t>
      </w:r>
    </w:p>
    <w:p w14:paraId="1C0333B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Принять решение о внедрении на серийное производство разработанных СКБ-2 методов очистки от снега смотровых приборов и прицелов.</w:t>
      </w:r>
    </w:p>
    <w:p w14:paraId="41E44E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принятых Вами решениях прошу поставить нас в известность.</w:t>
      </w:r>
    </w:p>
    <w:p w14:paraId="6E92F6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БТ и МВ КА генерал-полковник танковых войск Федоренко</w:t>
      </w:r>
    </w:p>
    <w:p w14:paraId="16FEEC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 военного совета генерал-лейтенант танковых войск Бирюков</w:t>
      </w:r>
    </w:p>
    <w:p w14:paraId="4CC08A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11362. Д. 6. Л. 111. Копия (11403).</w:t>
      </w:r>
    </w:p>
    <w:p w14:paraId="119320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0AD1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года вышел приказ № 491с НКТП</w:t>
      </w:r>
    </w:p>
    <w:p w14:paraId="360C8ED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распоряжения СНК от 13 августа 1943 года № 15397:</w:t>
      </w:r>
    </w:p>
    <w:p w14:paraId="1ACFA46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Входящий в состав предприятий НКТП завод № 41 именовать впредь завод № 48.</w:t>
      </w:r>
    </w:p>
    <w:p w14:paraId="2AE2809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НКТП от 7 февраля 1943 года № 93 из числа действующих исключить (6923, 225).</w:t>
      </w:r>
    </w:p>
    <w:p w14:paraId="4E6B3EA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4E54F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года вышел приказ № 431с НКВ</w:t>
      </w:r>
    </w:p>
    <w:p w14:paraId="6F1D93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решения ГОКО № 3894 от 8 августа 1943 года о слиянии заводов №№ 355 и 586 и присвоении объединенному заводу № 355 (6439, 142).</w:t>
      </w:r>
    </w:p>
    <w:p w14:paraId="5C9FD42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9A0E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Распоряжение ГКО № 3916. О направлении 6,5 тыс. нестроевых красноармейцев, призванных в САВО, на хлопкоочистительные заводы НКтекстиля СССР в Средней Азии и Казахстане.РГАНИР, Фонд ГКО, д. 145, лл. 138 (11012).</w:t>
      </w:r>
    </w:p>
    <w:p w14:paraId="033B1C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C864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3917 [Об увеличении выпуска запасных частей для электростанций и торфопредприятий на заводе "Ивторфмаш".] (7133, 139).</w:t>
      </w:r>
    </w:p>
    <w:p w14:paraId="7A47B57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09B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3918 О подготовке инженерно-технических кадров для химической промышленности.РГАНИР, Фонд ГКО, д. 145, лл. 140-141 (11012).</w:t>
      </w:r>
    </w:p>
    <w:p w14:paraId="0C4393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9927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3919 О восстановлении и развитии производства приборов теплотехнического контроля и электроизмерительных приборов. (7133, 142-148,149-158).</w:t>
      </w:r>
    </w:p>
    <w:p w14:paraId="13C3954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370C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3920 Об обеспечении электроэнергией угольных шахт в освобожденных районах Донбасса. (7133, 159-162).</w:t>
      </w:r>
    </w:p>
    <w:p w14:paraId="234B73C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4F3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3921 Об организации производства подвижных полевых хлебопекарных печей на автоприцепах для действующей Красной Армии.РГАНИР, Фонд ГКО, д. 145, лл. 163-164, 165-168 (11012).</w:t>
      </w:r>
    </w:p>
    <w:p w14:paraId="7319AD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2CC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3922 О поставке дров заводам № 71, 74, 524 и 622 Наркомвооружения.РГАНИР, Фонд ГКО, д. 145, лл. 169-171 (11012).</w:t>
      </w:r>
    </w:p>
    <w:p w14:paraId="411EE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F97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3923 О подготовке рабочих кадров для строек и предприятий Наркомата по строительству.РГАНИР, Фонд ГКО, д. 145, лл. 172-176, 177-189 (11012).</w:t>
      </w:r>
    </w:p>
    <w:p w14:paraId="491CE8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FD1F3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3924 О мероприятиях по обеспечению выполнения плана Ш квартала, выработки и поставки пороховой целлюлозы предприятиям Наркомбумпрома. (7133, 190-192,193-198).</w:t>
      </w:r>
    </w:p>
    <w:p w14:paraId="2DA36B4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585F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Постановление ГКО № 3925 О мерах помощи Главнефтеснабу при СНИ СССР по восстановлению, ремонту и подготовке нефтебаз к зиме 1943-1944 гг.РГАНИР, Фонд ГКО, д. 145, лл. 199-202, 203-212 (11012).</w:t>
      </w:r>
    </w:p>
    <w:p w14:paraId="6657C5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368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вышло Распоряжение ГКО № 3926. Об организации и задачах Управления по снабжению спецукупорной промышленности боеприпасов и вооружения в составе Главснаблеса при СНК СССР.РГАНИР, Фонд ГКО, д. 145, лл. 213 (11012).</w:t>
      </w:r>
    </w:p>
    <w:p w14:paraId="450717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46BF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67F8C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2C789C"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в 1943 году оперативная сводка Совинформбюро:</w:t>
      </w:r>
    </w:p>
    <w:p w14:paraId="431BC0D4"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наши войска, расположенные северо-западнее июго-восточнее города Спас-Деменска, перешли в наступление против немецко-фашистских войск. Наступление началось с двух направлений: из района северо-западнее Спас-Деменска — на юг и из района юго-восточнее Спас-Деменска —на северо-запад.</w:t>
      </w:r>
    </w:p>
    <w:p w14:paraId="1AC15BC9"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северо-западнее Спас-Деменска, прорвали сильно укреплённую оборону противника протяжением по фронту 35 километров и, преодолевая упорное сопротивление немцев, продвинулись вперёд на 20 километров.</w:t>
      </w:r>
    </w:p>
    <w:p w14:paraId="06EAEE89"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наступающие из района юго-восточнее Спас-Деменска, прорвали сильноукреплённую оборону противника по фронту 15 километров и продвинулись вперёд на 17 километров.</w:t>
      </w:r>
    </w:p>
    <w:p w14:paraId="7DCDC04D"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 три дня напряжённых боёв наши войска заняли свыше 100 населённых пунктов, в том числе город Спас-Деменск, крупные населённые пункты Куземка, Бахмутово, Бельня, Дуброво, Оболовка, узловую железнодорожную станцию Занозная и железнодорожные станции Павлиново, Гривка, Чипляево, Борец, Шайковка.</w:t>
      </w:r>
    </w:p>
    <w:p w14:paraId="59575590"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заняли свыше 60 населённых пунктов, в том числе районный центр Шаблыкино и крупные населённыепункты Аксинино (6 километров восточнее Карачева), Натальино, Навля, Воронцово,Герасимово, Кучеряевка.</w:t>
      </w:r>
    </w:p>
    <w:p w14:paraId="067A5E71"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контратаки противника, продолжали наступление и, продвинувшись вперёд от 6 до 12 километров, заняли свыше 30 населённых пунктов, в том числе районный центр Дергачи и крупные населённые пункты Черкасское Лозовое, Большая Даниловка (1,5 километра северо-восточнее Харькова), Рогань, Ново-Покровское, а также железнодорожные станции Дергачи, Лосево, Рогань, Мохнач.</w:t>
      </w:r>
    </w:p>
    <w:p w14:paraId="1F85C276"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боевую разведку и артиллерийско-миномётную перестрелку с противником.</w:t>
      </w:r>
    </w:p>
    <w:p w14:paraId="6981DF30"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августа наши войска на всех фронтах подбили и уничтожили 46 немецких танков. В воздушных боях и огнём зенитной артиллерии сбито 73 самолёта противника.</w:t>
      </w:r>
    </w:p>
    <w:p w14:paraId="365C28BA"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08933DD1"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продвигаясь вперёд, наступали на город Карачев. Противник оказывает сопротивление, но под ударами советских пехотинцев, танкистов, артиллеристов и лётчиков вынужден оставлять один опорный пункт за другим. За день боёв занято свыше 20 населённых пунктов, в том числе районный центр Шаблыкино (юго-восточнее Карачева). В боях за эти населённые пункты уничтожено до 2.000 немецких солдат и офицеров, 10 танков и 18 орудий. Захвачено у противника 25 танков, 13 орудий, 8 миномётов, 45 пулемётов, 150 автомашин и повозок с разными военными грузами. Взяты пленные. Противник несёт тяжёлые потери. Пленные сообщили, что 28 мотополк 8 танковой немецкой дивизии, в ходе боёв неоднократно получавший пополнения, теперь сведён в один батальон численностью до 300 человек. То же подтверждают и захваченные в плен немецкие солдаты из 35 полка 25 немецкой моторизованной дивизии. По их показаниям, в полку осталось всего лишь 120 солдат и офицеров.</w:t>
      </w:r>
    </w:p>
    <w:p w14:paraId="13B73107"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Дмитровск-Орловский, наши войска продолжали наступление и заняли свыше 40 населённых пунктов. Н-ское соединение, отбрасывая противника на запад, уничтожило 1.600 гитлеровцев и захватило четыре немецких танка, 16 орудий, 230 пулемётов, 19 миномётов, 800 автоматов и винтовок и несколько складов боеприпасов.</w:t>
      </w:r>
    </w:p>
    <w:p w14:paraId="75E0928F"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одного населённого пункта наши бойцы освободили около 1.000 мирных советских граждан, которых немцы угоняли на запад.</w:t>
      </w:r>
    </w:p>
    <w:p w14:paraId="436380EB"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успешное наступление.</w:t>
      </w:r>
    </w:p>
    <w:p w14:paraId="5B5592B5"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и западнее Харькова наши войска, преодолевая упорное сопротивление немцев, продвигались вперёд и заняли ряд населённых пунктов. В районе Ахтырки танки и мотопехота противника предприняли ожесточённую контратаку. В многочасовом бою советские части нанесли немцам большой урон и вынудили их отступить. На поле боя остались сотни вражеских трупов и 26 подбитых танков противника. На другом участке боёв немцы контратаками пытались задержать продвижение наших частей, но были отброшены. Бойцы Н-ского соединения за три дня истребили до 4.000 немецких солдат и офицеров. Захвачено у противника 12 танков, 67 орудий, 347 пулемётов, 70 миномётов, 30 радиостанций, до 100 километров телефонного кабеля, 8 различных складов и другие трофеи. Взято значительное число пленных.</w:t>
      </w:r>
    </w:p>
    <w:p w14:paraId="7CEA13B3"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восточнее Харькова наши войска продолжали наступление, заняли ряд населённых пунктов, в числе которых районный центр и железнодорожную станцию Дергачи. Бойцы Н-ского соединения овладели крупным населённым пунктом Большая Даниловка, находящимся в полутора километрах северо-восточнее Харькова. Танкисты Н-ского соединения прорвались к юго-востоку от Харькова и стремительным ударом заняли железнодорожные станции Рогань, Лосево, Мохнач. Противник оказывает отчаянное сопротивление, пытаясь остановить наступление наших войск. Однако все попытки немцев терпят неудачу и лишь увеличивают и без того огромные потери, которые несут немецкие войска в боях под Харьковом.</w:t>
      </w:r>
    </w:p>
    <w:p w14:paraId="3B02B416"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расположенные северо-западнее и юго-восточнее Спас-Деменска, над нях перешли в наступление. После мощного обстрела вражеских позиций советские бойцы атаковали немцев и прорвали сильно укреплённую оборону противника.Развивая наступление, наши войска освободили свыше 100 населённых пунктов. Сегодня после напряжённых боёв частями Н-ского соединения занят город Спас-Деменск. В боях за город уничтожено свыше 2.000 гитлеровцев и взято 130 пленных. Подбито и сожжено 11 немецких танков. Бойцы соединения захватили у противника. 16 орудий, 65 пулемётов, 22 миномёта, 3 радиостанции и другие трофеи.</w:t>
      </w:r>
    </w:p>
    <w:p w14:paraId="71C385C8"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поддерживает наступающие части и наносит удары повойскам противника. В воздушных боях наши лётчики сбили 42 немецких самолёта.</w:t>
      </w:r>
    </w:p>
    <w:p w14:paraId="74F04908"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уничтожили до батальона гитлеровцев. Артиллерийским и миномётным огнём разрушено и повреждено 60 вражеских дзотов, 9 наблюдательных пунктов, 40 землянок, уничтожено до 20 артиллерийских батарей и 6 складов боеприпасов.</w:t>
      </w:r>
    </w:p>
    <w:p w14:paraId="412EB004"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 подступах к Ленинграду наши лётчики сбили 6 немецких самолётов.</w:t>
      </w:r>
    </w:p>
    <w:p w14:paraId="372369E3"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 партизанских отряда, действующих в районах Каменец-Подольской области, в течение месяца пустили под откос 29 эшелонов с вооружением, боеприпасами и войсками противника. В результате крушений повреждено и разбито 26 паровозов, 376 вагонов и платформ. Первого августа группа партизан из отряда «За отчизну» внезапно ворвалась в большое село, уничтожила 30 немецких жандармов, разрушилателефонную станцию и сожгла нефтесклад, в котором находилось около 90 тонн горючего.</w:t>
      </w:r>
    </w:p>
    <w:p w14:paraId="64A1FA89"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Крыма в конце июля вели бои с крупным немецким карательным отрядом. Действуя небольшими группами, партизаны в этих боях уничтожили более 200 немецко-фашистских оккупантов.» (14982).</w:t>
      </w:r>
    </w:p>
    <w:p w14:paraId="35154824"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0C7D55E9"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 13 августа по 18 сентября 1944 г. на 3-м Белорусском фронте и с 15 января по 15 февраля 1945 г. на 1-м Белорусском фронте в составе 274 иап 278 иад и в 812 иап 65 иад в два этапа проходили Войсковые испытания проходили 44 Як-9К.</w:t>
      </w:r>
    </w:p>
    <w:p w14:paraId="3F559466"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Як-9 были несколько облегчены – были сняты консольные бензобаки и запас горючего составлял только 350 кг в двух фюзеляжных баках.</w:t>
      </w:r>
    </w:p>
    <w:p w14:paraId="512AF534"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Председатель комиссии — командир 6 иак генерал-лейтенант Е.Я.Савицкий, от НИИ ВВС — ведущий инженер по самолету А.А.Манучаров и по вооружению — А.Ф.Толпышкин.</w:t>
      </w:r>
    </w:p>
    <w:p w14:paraId="780DB829"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Было выполнено 340 боевых самолето-вылетов общим налетом 402 ч 03 мин, состоялся 51 воздушный бой. Воздушные бои проводились на высотах от 100 до 6000 м на 1-й скорости нагнетателя. Противниками были FW-190A-8, Me-109G-2 и G-6. Было сбито 12 истребителей противника (встреч с бомбардировщиками не было), из них 8 FW-190A-8 и 4 Me-109G-2; свои потери — один Як-9К.</w:t>
      </w:r>
    </w:p>
    <w:p w14:paraId="415EE8CB"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Средний расход боеприпасов калибра 45 мм на один сбитый самолет противника составил 10 снарядов. При атаках воздушных целей стрельба производилась с дистанции 100…400 м. Попадание одного снаряда уничтожало самолет противника (взрыв, разрушение). При атаках наземных целей попадание одного снаряда разрушало и поджигало автомашину, деревянные строения и т.д.</w:t>
      </w:r>
    </w:p>
    <w:p w14:paraId="71157CCC"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большинстве случаев Як-9К были ведущими пар, а ведомыми — какие-либо легкие самолеты типа Як-З или Як-1. Основной задачей ведущих была атака самолетов противника, а ведомых — прикрытие ведущего от атак истребителей.</w:t>
      </w:r>
    </w:p>
    <w:p w14:paraId="6061A222"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условиях господства в воздухе советской авиации полностью проявить все положительные и отрицательные качества 45-мм Яка, конечно, не представлялось возможным. Тем не менее, война шла к концу, и войсковыми испытаниями четырех десятков Як-9К было решено ограничиться. В серию он не пошел.</w:t>
      </w:r>
    </w:p>
    <w:p w14:paraId="1C95CE4B"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плане надежности пушка НС-45 оказалась значительно хуже своего 37-мм аналога. Она явно была переоблегчена, от вибрации ствола избавиться не удалось, пружинный буфер, унифицированный с НС-37, явно не справлялся с гашением избыточной энергии выстрела, быстро выходя из строя.</w:t>
      </w:r>
    </w:p>
    <w:p w14:paraId="3A17C1DA"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Ограниченный серийный выпуск пушек НС-45 осуществлялся на на Ижевском заводе №74 параллельно с пушками НС-37.  В 1944 году было сдано 75 пушек, а в 1945 еще 120, на этом выпуск был завершен. Большая часть из 195 выпущенных пушек НС-45 остались невостребованными, хотя в конце войны и первые послевоенные годы предпринимались попытки установки их на опытные машины.</w:t>
      </w:r>
    </w:p>
    <w:p w14:paraId="3C74A149"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Пару НС-45 «примеряли» на тяжелый истребитель Поликарпова ТИС (МА); батарея из 4хНС-45 планировалась на тяжелый штурмовик Сухого Су-8; в начале 1945 года на Ли-2 были установлены две крыльевые пушки НС-45; в 1946 г. был построен опытный самолет Ту-2Ш, вооруженный двумя пушками НС-45 и двумя пушками НС-37; с 30 декабря 1946 г. по 3 октября 1947 г. проходил летные испытания перехватчик и дальний истребитель сопровождения Ту-1 (63П) с двумя пушками НС-45 в носу. Но все эти машины остались опытными разработками (19200).</w:t>
      </w:r>
    </w:p>
    <w:p w14:paraId="615C463C" w14:textId="77777777" w:rsidR="002B06C1" w:rsidRPr="00271E51" w:rsidRDefault="002B06C1"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BFF4809"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в 1943 году войска Калининского фронта перешли в наступление на духовщинском направлении, смогли лишь незначительно вклиниться в его оборону, что вынудило Ставку ВГК принять решение о временной приостановке наступательных действий. Началась Донбасская наступательная операция войск Юго- Западного (1-я гвардейская, 6, 12, 3-я гвардейская., 46-я, 8-я гвардейская армии, 17-я воздушная армия, 23-й танковый и 1-й гвардейский механизированные корпуса) и Южного (51-я, 5-я ударная, 2-я гвардейская, 28-я и 44-я армии, 8-я воздушная армия, 4-й и 2-й гвардейские еханизированные и 4-й гвардейский кавалерийский корпуса) фронтов проолжавшаяся до 22 сентября (14982).</w:t>
      </w:r>
    </w:p>
    <w:p w14:paraId="7B7B4BBF"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4415CD5B"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13 августа в 1943 году войска Юго-Западного (генерал армии Р.Я.Малиновский), Южного (генерал-полковник Ф.И.Толбухин) фронтов и Азовской военной флотилии (контр-адмирал С.Г.Горшков) начали Донбасскую наступательную операцию. В ходе операции, завершившейся 22 сентября, советские войска разгромили 13 дивизий противника, освободили города Змиев, Таганрог, Дебальцево и продвинулись в западном направлении на 300 км. Операция характерна широким использованием ударов танковых, механизированных и кавалерийских корпусов по тылам противника, высадкой морских десантов, форсированием водных преград (14982).</w:t>
      </w:r>
    </w:p>
    <w:p w14:paraId="1373F65A"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62BE897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1902-й самоходно-артиллерийский полк смог выдвинуться к линии фронта, сосредоточившись в селе Лозовое. Здесь полк придали 13-й гвардейской стрелковой дивизии 32-го гвардейского стрелкового корпуса с задачей: поддержать атаку нашей пехоты на сильно укрепленную высоту 202,4, господствующую над местностью.</w:t>
      </w:r>
    </w:p>
    <w:p w14:paraId="42ABE7C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12.00 14 августа три СУ-122 1902-го полка огнем поддерживали части дивизии, в результате чего высота была взята. Но ночью, подтянув 6–8 танков и до батальона пехоты, немцы выбили с высоты наши части.</w:t>
      </w:r>
    </w:p>
    <w:p w14:paraId="57E89A4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12.00 15 августа 1943 года, после короткой артподготовки, стрелковый полк 13-й гвардейской дивизии при поддержке девяти самоходок (три СУ-122, шесть СУ-76И) атаковали высоту и после двухчасового боя вновь взяли ее. При этом отмечалось, что «личный состав 1902-го САП с поставленной задачей справился отлично, за что от командира корпуса получили благодарность». В этом бою самоходчики уничтожили один танк, два орудия, до взвода пехоты и подавили батарею 75-мм орудий. Свои потери составили одна подбитая СУ-76И, командир которой был ранен.</w:t>
      </w:r>
    </w:p>
    <w:p w14:paraId="1174A5B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полк передали в оперативное подчинение Степного фронта и, получив 17 августа на станции Мерлово пять СУ-122 и одну СУ-76, стал выдвигаться на Максимовку, ведя бои с арьергардами противника.</w:t>
      </w:r>
    </w:p>
    <w:p w14:paraId="4305146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самоходки поддерживали атаки 66-й стрелковой дивизии в районе Кадница. Немцы оказывали яростное сопротивление, часто переходя в контратаки — прорыв этого рубежа позволял нашим частям перерезать железную дорогу Полтава — Харьков. К вечеру противник начал отход на Александров-ку (35 километров западнее Максимовки), преследование и бои с его арьергардами шли весь следующий день.</w:t>
      </w:r>
    </w:p>
    <w:p w14:paraId="34EB6CA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года 1902-й САП, совместно с 57-м тяжёлым танковым полком, участвовали в отвлекающем ударе, наносимом частями 66-й стрелковой дивизии в районе совхоза Кирасирский. В результате немцев выбили из Марьино, а своим огнем самоходки уничтожили один танк, два орудия, девять пулеметов и до 100 человек пехоты. Артиллерией противника была подбита одна СУ-76И, убито два и ранено два человека.</w:t>
      </w:r>
    </w:p>
    <w:p w14:paraId="46B360D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9 сентября 1943 года одна СУ-122 и восемь СУ-76И, приданные 9-й стрелковой дивизии 5-й гвардейской армии, участвовали в бою за высоту 200,4 (в районе Марьино). Однако заняв высоту самоходки попали под сильный огонь противника со стороны хутора Журавли, и перешли к обороне. На следующий день две СУ-76И, проводивших разведку в направлении Журавли, нарвались немецкую артиллерию, в результате чего одна машина сгорела от прямого попадания снаряда.</w:t>
      </w:r>
    </w:p>
    <w:p w14:paraId="6A95DCD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шесть СУ-76И совместно с пехотой 9-й стрелковой дивизии перерезали железную дорогу Полтава — Харьков, и, закрепившись у деревни Высокополье, отбили все атаки противника. При этом две машины подорвались на минах, но были восстановлены силами экипажей.</w:t>
      </w:r>
    </w:p>
    <w:p w14:paraId="1246C0D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17 на 18 сентября в ходе артиллерийской дуэли с немецкими танками у Синькова балка огнём СУ-76И был уничтожен танк Pz. III.</w:t>
      </w:r>
    </w:p>
    <w:p w14:paraId="3F608E3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1902-й полк, приданный 13-й стрелковой дивизии, получил задачу: выдвинуться вперед и занять переправу через реку Ворскла, тем самым отрезав пути отхода противнику на Полтаву. В ночь на 21 сентября самоходчики, имея одну СУ-122 и пять СУ-76И, двинулись в ночной рейд, и после скоротечного боя захватили переправу и удерживали ее до подхода основных сил. При этом была потеряна одна СУ-76И (сгорела). Ответным огнем самоходки подбили и уничтожили три немецких танка.</w:t>
      </w:r>
    </w:p>
    <w:p w14:paraId="763C777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последующее дни полк, преследуя отходящего противника, форсировал Ворсклу, перерезал шоссе Диканька — Полтава (в 12 километрах от города) и к вечеру 26 сентября занял село Мануселия в 20 километрах от Кременчуга.</w:t>
      </w:r>
    </w:p>
    <w:p w14:paraId="08C120B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приведения себя в порядок, в ночь на 29 сентября 1943 года 1902-й полк, совместно с 13-й стрелковой дивизией, атаковали город с севера. Ворвавшись в Кременчуг первыми, самоходки «огнём и гусеницами поддерживали наступление своей пехоты, громя оставшиеся огневые точки и живую силу противника». К вечеру того же дня Кременчуг был освобожден, а немецкие части отошли на правый берег Днепра. В тот же день приказом Верховного Главнокомандующего И. Сталина 1902-й самоходно-артиллерийский полк, вместе с другими частями, отличившимися при взятии города, получил почетное наименование Кременчугский.</w:t>
      </w:r>
    </w:p>
    <w:p w14:paraId="74112E1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форсирования Днепра в октябре 1943 года 1902-й полк участвовал в боях за Вовкивку и Пятихатку, после чего был выведен в резерв. 25 ноября он убыл на переформирование в Москву, передав все оставшиеся машины на СПАМ. Впоследствии эта часть получила самоходные установки СУ-76М (12688).</w:t>
      </w:r>
    </w:p>
    <w:p w14:paraId="52226D91"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DD2308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началась Донбасская наступательная операция советских войск (4962).</w:t>
      </w:r>
    </w:p>
    <w:p w14:paraId="539BED7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14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13 августа по 22 сентября 1943 состоялась Донбасская операция. На фронте 450 км разбили 13 дивизий и продвинулись на 300 км (2438,218).</w:t>
      </w:r>
    </w:p>
    <w:p w14:paraId="068FC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операции велась активная борьба авиации с подходящими резервами противника (518,165).</w:t>
      </w:r>
    </w:p>
    <w:p w14:paraId="54DD3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1ГМК г И.Н.Руссиянов писал: "Штурмовики нам очень помогли. Каждая группа находилась над целью 15-20 мин. и делала 3-4 захода. Благодаря четкому наведению ш поражали именно те объекты, которые мешали нашему продвижение вперед." (518,170), т.е. целеуказание было хорошим</w:t>
      </w:r>
    </w:p>
    <w:p w14:paraId="460F7C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1943 ли ст.л. Б.И.Казан совершил 4-й таран (макс. количество). Первый - 29 сентября 1941 в районе Зарайска, 2-й - 22 февраля 1942 в районе Торжка, 3-й - 7 июля 1942 на СЗФ. Лишился глаза и летал с одним, сбив еще 6, а всего - 26. Стал ГСС (438,882).</w:t>
      </w:r>
    </w:p>
    <w:p w14:paraId="5B26C0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CAA2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308AC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8E138"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августа в 1943 году закончились заводские испытания </w:t>
      </w:r>
      <w:hyperlink r:id="rId64" w:tgtFrame="_blank" w:history="1">
        <w:r w:rsidRPr="00271E51">
          <w:rPr>
            <w:rFonts w:ascii="Times New Roman" w:hAnsi="Times New Roman"/>
            <w:color w:val="000000" w:themeColor="text1"/>
            <w:sz w:val="16"/>
            <w:szCs w:val="16"/>
          </w:rPr>
          <w:t xml:space="preserve">«SM.95C» </w:t>
        </w:r>
      </w:hyperlink>
      <w:r w:rsidRPr="00271E51">
        <w:rPr>
          <w:rFonts w:ascii="Times New Roman" w:hAnsi="Times New Roman"/>
          <w:color w:val="000000" w:themeColor="text1"/>
          <w:sz w:val="16"/>
          <w:szCs w:val="16"/>
        </w:rPr>
        <w:t>(NC.41001) и на следующий день «SM.95C» перегнали на авиабазу в Гвидонии, где самолёт начал проходить военные тесты. Прототип «SM.95C» (NC.41001) был готов в мае 1943 года. Первый полёт на нем произвел лётчик Гильермо Альгаротти, в целом оставшийся довольный самолётом. В полёте «SM.95C» не показал существенных недостатков, за исключением недостаточной центровки, но эту проблему конструкторская бригада обещала исправить в самом ближайшем времени (14982).</w:t>
      </w:r>
    </w:p>
    <w:p w14:paraId="0B750A19"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24111203"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в 1943 году дневной налет 61 бомбардировщика «Б-24» («Либерейтор») американского 8-го воздушного флота на Винер-Нойштадт (14982).</w:t>
      </w:r>
    </w:p>
    <w:p w14:paraId="3DECC805"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6D253736"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августа 1943 ВВС США совершают первый бомбовый налет на Австрию (20376).</w:t>
      </w:r>
    </w:p>
    <w:p w14:paraId="47C3FA8B" w14:textId="77777777" w:rsidR="00155AFE" w:rsidRPr="00271E51" w:rsidRDefault="00155AFE" w:rsidP="00271E51">
      <w:pPr>
        <w:spacing w:after="0" w:line="240" w:lineRule="auto"/>
        <w:jc w:val="both"/>
        <w:rPr>
          <w:rFonts w:ascii="Times New Roman" w:hAnsi="Times New Roman"/>
          <w:color w:val="0070C0"/>
          <w:sz w:val="16"/>
          <w:szCs w:val="16"/>
        </w:rPr>
      </w:pPr>
    </w:p>
    <w:p w14:paraId="3FC233DE" w14:textId="77777777" w:rsidR="00C43F84" w:rsidRPr="00271E51" w:rsidRDefault="00C43F8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августа в 1943 году массированный налет англо-американской авиации на Рим, Милан, Турин и Геную (14982).</w:t>
      </w:r>
    </w:p>
    <w:p w14:paraId="184CB380" w14:textId="77777777" w:rsidR="00C43F84" w:rsidRPr="00271E51" w:rsidRDefault="00C43F84" w:rsidP="00271E51">
      <w:pPr>
        <w:spacing w:after="0" w:line="240" w:lineRule="auto"/>
        <w:jc w:val="both"/>
        <w:rPr>
          <w:rFonts w:ascii="Times New Roman" w:hAnsi="Times New Roman"/>
          <w:color w:val="000000" w:themeColor="text1"/>
          <w:sz w:val="16"/>
          <w:szCs w:val="16"/>
        </w:rPr>
      </w:pPr>
    </w:p>
    <w:p w14:paraId="518F05E6" w14:textId="77777777" w:rsidR="002B06C1" w:rsidRPr="00271E51" w:rsidRDefault="002B06C1" w:rsidP="00271E51">
      <w:pPr>
        <w:pStyle w:val="11c"/>
        <w:shd w:val="clear" w:color="auto" w:fill="auto"/>
        <w:spacing w:after="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13 августа 1943 г. впервые английские самолеты появились в воздушном пространстве Венгрии. Шестьдесят один «Лан</w:t>
      </w:r>
      <w:r w:rsidRPr="00271E51">
        <w:rPr>
          <w:rFonts w:ascii="Times New Roman" w:hAnsi="Times New Roman" w:cs="Times New Roman"/>
          <w:color w:val="000000" w:themeColor="text1"/>
          <w:sz w:val="16"/>
          <w:szCs w:val="16"/>
        </w:rPr>
        <w:softHyphen/>
        <w:t>кастер», базировавшийся в Ливии, совершая рейд на Вену, про</w:t>
      </w:r>
      <w:r w:rsidRPr="00271E51">
        <w:rPr>
          <w:rFonts w:ascii="Times New Roman" w:hAnsi="Times New Roman" w:cs="Times New Roman"/>
          <w:color w:val="000000" w:themeColor="text1"/>
          <w:sz w:val="16"/>
          <w:szCs w:val="16"/>
        </w:rPr>
        <w:softHyphen/>
        <w:t>летел над Венгрией (19083).</w:t>
      </w:r>
    </w:p>
    <w:p w14:paraId="76E21E92" w14:textId="77777777" w:rsidR="002B06C1" w:rsidRPr="00271E51" w:rsidRDefault="002B06C1" w:rsidP="00271E51">
      <w:pPr>
        <w:spacing w:after="0" w:line="240" w:lineRule="auto"/>
        <w:jc w:val="both"/>
        <w:rPr>
          <w:rFonts w:ascii="Times New Roman" w:hAnsi="Times New Roman"/>
          <w:color w:val="000000" w:themeColor="text1"/>
          <w:sz w:val="16"/>
          <w:szCs w:val="16"/>
        </w:rPr>
      </w:pPr>
    </w:p>
    <w:p w14:paraId="5BBBB4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13 по 24 августа 1943 У.Черчиль и Ф.Д.Р. встретились в Квебеке, Канада для обсуждения планов высадки в Нормандии (операция Оверлорд) (2246,4). Решили, что не ранее мая 1944 (2438,304).</w:t>
      </w:r>
    </w:p>
    <w:p w14:paraId="4B1A06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4B51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E2488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AF47C"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14 августа 1943 г. главный инженер ВВС генерал-полков</w:t>
      </w:r>
      <w:r w:rsidRPr="00271E51">
        <w:rPr>
          <w:color w:val="000000" w:themeColor="text1"/>
          <w:sz w:val="16"/>
          <w:szCs w:val="16"/>
        </w:rPr>
        <w:softHyphen/>
        <w:t>ник А. К. Репин утвердил Акт по результатам испытаний Ил-2 зав. № 302349.</w:t>
      </w:r>
    </w:p>
    <w:p w14:paraId="5FD20399"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июля 1943 с замечанием: «По постановлению ГКО № 3144 Ил-2 с пушками 37 мм ОКБ-15 должен иметь боекомплект 100 патронов и 100 кг бомб. При такой нагрузке и надо было ис</w:t>
      </w:r>
      <w:r w:rsidRPr="00271E51">
        <w:rPr>
          <w:color w:val="000000" w:themeColor="text1"/>
          <w:sz w:val="16"/>
          <w:szCs w:val="16"/>
        </w:rPr>
        <w:softHyphen/>
        <w:t>пытывать» главныый инженер ВВС генерал А. К. Репин утвердил Акт по первому этапу контрольных государственных испытаний головного серийного Ил-2 зав. № 302349 с пушками 11П, которые прошли с 27 мая по 22 июня 1943.</w:t>
      </w:r>
    </w:p>
    <w:p w14:paraId="16E0FA86"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271E51">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4FF79669"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685208AB"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Отстрел пушек 11П производился с целью вы</w:t>
      </w:r>
      <w:r w:rsidRPr="00271E51">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271E51">
        <w:rPr>
          <w:color w:val="000000" w:themeColor="text1"/>
          <w:sz w:val="16"/>
          <w:szCs w:val="16"/>
        </w:rPr>
        <w:softHyphen/>
        <w:t>ния точечных целей. Пушки пристре</w:t>
      </w:r>
      <w:r w:rsidRPr="00271E51">
        <w:rPr>
          <w:color w:val="000000" w:themeColor="text1"/>
          <w:sz w:val="16"/>
          <w:szCs w:val="16"/>
        </w:rPr>
        <w:softHyphen/>
        <w:t>ливались на дистанцию 800 м.</w:t>
      </w:r>
    </w:p>
    <w:p w14:paraId="2E236FC0"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При стрельбах выяснилось, что правая пушечная установка (пушка зав. № АГ-191) работала удовлетво</w:t>
      </w:r>
      <w:r w:rsidRPr="00271E51">
        <w:rPr>
          <w:color w:val="000000" w:themeColor="text1"/>
          <w:sz w:val="16"/>
          <w:szCs w:val="16"/>
        </w:rPr>
        <w:softHyphen/>
        <w:t>рительно, а в левой установке (пушка зав. № АГ-242) «остались неустраненными выпадения патронов из лен</w:t>
      </w:r>
      <w:r w:rsidRPr="00271E51">
        <w:rPr>
          <w:color w:val="000000" w:themeColor="text1"/>
          <w:sz w:val="16"/>
          <w:szCs w:val="16"/>
        </w:rPr>
        <w:softHyphen/>
        <w:t>ты при расстреле последних 4—15 патронов боекомплекта, приводя</w:t>
      </w:r>
      <w:r w:rsidRPr="00271E51">
        <w:rPr>
          <w:color w:val="000000" w:themeColor="text1"/>
          <w:sz w:val="16"/>
          <w:szCs w:val="16"/>
        </w:rPr>
        <w:softHyphen/>
        <w:t>щие к рассоединению ленты» (всего 4 случая).</w:t>
      </w:r>
    </w:p>
    <w:p w14:paraId="2082D43F"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сами пушки, уста</w:t>
      </w:r>
      <w:r w:rsidRPr="00271E51">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561530E7"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Максимальная емкость патрон</w:t>
      </w:r>
      <w:r w:rsidRPr="00271E51">
        <w:rPr>
          <w:color w:val="000000" w:themeColor="text1"/>
          <w:sz w:val="16"/>
          <w:szCs w:val="16"/>
        </w:rPr>
        <w:softHyphen/>
        <w:t>ных ящиков пушек 11П равнялась 60 снарядам, при испытаниях в них загружали не более 50—55 снаря</w:t>
      </w:r>
      <w:r w:rsidRPr="00271E51">
        <w:rPr>
          <w:color w:val="000000" w:themeColor="text1"/>
          <w:sz w:val="16"/>
          <w:szCs w:val="16"/>
        </w:rPr>
        <w:softHyphen/>
        <w:t>дов. При этом наиболее благоприят</w:t>
      </w:r>
      <w:r w:rsidRPr="00271E51">
        <w:rPr>
          <w:color w:val="000000" w:themeColor="text1"/>
          <w:sz w:val="16"/>
          <w:szCs w:val="16"/>
        </w:rPr>
        <w:softHyphen/>
        <w:t>ной укладкой ленты, для исключения задевания звеньев съемниками, яв</w:t>
      </w:r>
      <w:r w:rsidRPr="00271E51">
        <w:rPr>
          <w:color w:val="000000" w:themeColor="text1"/>
          <w:sz w:val="16"/>
          <w:szCs w:val="16"/>
        </w:rPr>
        <w:softHyphen/>
        <w:t>ляется укладка нижнего горизонталь</w:t>
      </w:r>
      <w:r w:rsidRPr="00271E51">
        <w:rPr>
          <w:color w:val="000000" w:themeColor="text1"/>
          <w:sz w:val="16"/>
          <w:szCs w:val="16"/>
        </w:rPr>
        <w:softHyphen/>
        <w:t>ного ряда и последующей вертикаль</w:t>
      </w:r>
      <w:r w:rsidRPr="00271E51">
        <w:rPr>
          <w:color w:val="000000" w:themeColor="text1"/>
          <w:sz w:val="16"/>
          <w:szCs w:val="16"/>
        </w:rPr>
        <w:softHyphen/>
        <w:t>ной змейкой (укладка начинается от пушки).</w:t>
      </w:r>
    </w:p>
    <w:p w14:paraId="0601FAB8"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в горизонтальном по</w:t>
      </w:r>
      <w:r w:rsidRPr="00271E51">
        <w:rPr>
          <w:color w:val="000000" w:themeColor="text1"/>
          <w:sz w:val="16"/>
          <w:szCs w:val="16"/>
        </w:rPr>
        <w:softHyphen/>
        <w:t>лете и на кабрировании произво</w:t>
      </w:r>
      <w:r w:rsidRPr="00271E51">
        <w:rPr>
          <w:color w:val="000000" w:themeColor="text1"/>
          <w:sz w:val="16"/>
          <w:szCs w:val="16"/>
        </w:rPr>
        <w:softHyphen/>
        <w:t>дилась на скоростях 320, 300, 270, 250 и 230 км/ч по прибору одновре</w:t>
      </w:r>
      <w:r w:rsidRPr="00271E51">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271E51">
        <w:rPr>
          <w:color w:val="000000" w:themeColor="text1"/>
          <w:sz w:val="16"/>
          <w:szCs w:val="16"/>
        </w:rPr>
        <w:softHyphen/>
        <w:t>ет значительные толчки, причем чем меньше ско</w:t>
      </w:r>
      <w:r w:rsidRPr="00271E51">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14FC0E6F"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по наземным мишеням проводи</w:t>
      </w:r>
      <w:r w:rsidRPr="00271E51">
        <w:rPr>
          <w:color w:val="000000" w:themeColor="text1"/>
          <w:sz w:val="16"/>
          <w:szCs w:val="16"/>
        </w:rPr>
        <w:softHyphen/>
        <w:t>лась с планирования и пикирования под углами 10° и 30°. Было установлено, что наиболее выгод</w:t>
      </w:r>
      <w:r w:rsidRPr="00271E51">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24C26489"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271E51">
        <w:rPr>
          <w:color w:val="000000" w:themeColor="text1"/>
          <w:sz w:val="16"/>
          <w:szCs w:val="16"/>
        </w:rPr>
        <w:softHyphen/>
        <w:t>ся в поле зрения летчика и получаются меньшие ошибки в наводке по направлению». Ввод в пики</w:t>
      </w:r>
      <w:r w:rsidRPr="00271E51">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271E51">
        <w:rPr>
          <w:color w:val="000000" w:themeColor="text1"/>
          <w:sz w:val="16"/>
          <w:szCs w:val="16"/>
        </w:rPr>
        <w:softHyphen/>
        <w:t>лете иметь высоту не менее 100 м». То есть с высо</w:t>
      </w:r>
      <w:r w:rsidRPr="00271E51">
        <w:rPr>
          <w:color w:val="000000" w:themeColor="text1"/>
          <w:sz w:val="16"/>
          <w:szCs w:val="16"/>
        </w:rPr>
        <w:softHyphen/>
        <w:t>ты 200 м при перегрузке на выводе 2,5—3 единицы.</w:t>
      </w:r>
    </w:p>
    <w:p w14:paraId="509795B0"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2 пушек «чувствуется значи</w:t>
      </w:r>
      <w:r w:rsidRPr="00271E51">
        <w:rPr>
          <w:color w:val="000000" w:themeColor="text1"/>
          <w:sz w:val="16"/>
          <w:szCs w:val="16"/>
        </w:rPr>
        <w:softHyphen/>
        <w:t>тельная отдача назад». Вследствие плохой про</w:t>
      </w:r>
      <w:r w:rsidRPr="00271E51">
        <w:rPr>
          <w:color w:val="000000" w:themeColor="text1"/>
          <w:sz w:val="16"/>
          <w:szCs w:val="16"/>
        </w:rPr>
        <w:softHyphen/>
        <w:t>дольной устойчивости самолета прицеливание нарушается после первых же выстрелов и «получа</w:t>
      </w:r>
      <w:r w:rsidRPr="00271E51">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271E51">
        <w:rPr>
          <w:color w:val="000000" w:themeColor="text1"/>
          <w:sz w:val="16"/>
          <w:szCs w:val="16"/>
        </w:rPr>
        <w:softHyphen/>
        <w:t>обходимо было вести только короткими очередями по 2—3 выстрела. Внесение поправок в прицелива</w:t>
      </w:r>
      <w:r w:rsidRPr="00271E51">
        <w:rPr>
          <w:color w:val="000000" w:themeColor="text1"/>
          <w:sz w:val="16"/>
          <w:szCs w:val="16"/>
        </w:rPr>
        <w:softHyphen/>
        <w:t>ние было возможным, но требует от летчиков опре</w:t>
      </w:r>
      <w:r w:rsidRPr="00271E51">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271E51">
        <w:rPr>
          <w:color w:val="000000" w:themeColor="text1"/>
          <w:sz w:val="16"/>
          <w:szCs w:val="16"/>
        </w:rPr>
        <w:softHyphen/>
        <w:t>ровке можно было выполнить 3—4 прицельные очереди.</w:t>
      </w:r>
    </w:p>
    <w:p w14:paraId="62566A6F"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одной пушки самолет силь</w:t>
      </w:r>
      <w:r w:rsidRPr="00271E51">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283E1AF0"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Прицел ВВ-1 не отвечает требованиям прицель</w:t>
      </w:r>
      <w:r w:rsidRPr="00271E51">
        <w:rPr>
          <w:color w:val="000000" w:themeColor="text1"/>
          <w:sz w:val="16"/>
          <w:szCs w:val="16"/>
        </w:rPr>
        <w:softHyphen/>
        <w:t>ной стрельбы из пушек 11П по точечным целям с самолета Ил-2. Получалось так, что цель разме</w:t>
      </w:r>
      <w:r w:rsidRPr="00271E51">
        <w:rPr>
          <w:color w:val="000000" w:themeColor="text1"/>
          <w:sz w:val="16"/>
          <w:szCs w:val="16"/>
        </w:rPr>
        <w:softHyphen/>
        <w:t>рами 6x6 м с дистанции 900—800 м закрывается мушкой, а «совмещение перекрестия на козырь</w:t>
      </w:r>
      <w:r w:rsidRPr="00271E51">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719C3144"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271E51">
        <w:rPr>
          <w:color w:val="000000" w:themeColor="text1"/>
          <w:sz w:val="16"/>
          <w:szCs w:val="16"/>
        </w:rPr>
        <w:softHyphen/>
        <w:t>зон — от 2,13 до 4,76%).</w:t>
      </w:r>
    </w:p>
    <w:p w14:paraId="101AF3DE"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числу основных выводов по результатам ис</w:t>
      </w:r>
      <w:r w:rsidRPr="00271E51">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271E51">
        <w:rPr>
          <w:color w:val="000000" w:themeColor="text1"/>
          <w:sz w:val="16"/>
          <w:szCs w:val="16"/>
        </w:rPr>
        <w:softHyphen/>
        <w:t>новленными 37-мм пушками самолет инертен, на</w:t>
      </w:r>
      <w:r w:rsidRPr="00271E51">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271E51">
        <w:rPr>
          <w:color w:val="000000" w:themeColor="text1"/>
          <w:sz w:val="16"/>
          <w:szCs w:val="16"/>
        </w:rPr>
        <w:softHyphen/>
        <w:t>лета продольной устойчивости «снижает качество стрельбы, особенно из пушек калибра 37 мм».</w:t>
      </w:r>
    </w:p>
    <w:p w14:paraId="750A505B"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отмечалось, что самолет Ил-2 с пушками 11П «может быть применен для пораже</w:t>
      </w:r>
      <w:r w:rsidRPr="00271E51">
        <w:rPr>
          <w:color w:val="000000" w:themeColor="text1"/>
          <w:sz w:val="16"/>
          <w:szCs w:val="16"/>
        </w:rPr>
        <w:softHyphen/>
        <w:t>ния железнодорожных эшелонов, паровозов, тан</w:t>
      </w:r>
      <w:r w:rsidRPr="00271E51">
        <w:rPr>
          <w:color w:val="000000" w:themeColor="text1"/>
          <w:sz w:val="16"/>
          <w:szCs w:val="16"/>
        </w:rPr>
        <w:softHyphen/>
        <w:t>ков, автоколонн и других целей» при соответствую</w:t>
      </w:r>
      <w:r w:rsidRPr="00271E51">
        <w:rPr>
          <w:color w:val="000000" w:themeColor="text1"/>
          <w:sz w:val="16"/>
          <w:szCs w:val="16"/>
        </w:rPr>
        <w:softHyphen/>
        <w:t>щей тренировке летного состава и нормальной ра</w:t>
      </w:r>
      <w:r w:rsidRPr="00271E51">
        <w:rPr>
          <w:color w:val="000000" w:themeColor="text1"/>
          <w:sz w:val="16"/>
          <w:szCs w:val="16"/>
        </w:rPr>
        <w:softHyphen/>
        <w:t>боте самих пушек. При этом стрельбу необходимо производить только короткими очередями не бо</w:t>
      </w:r>
      <w:r w:rsidRPr="00271E51">
        <w:rPr>
          <w:color w:val="000000" w:themeColor="text1"/>
          <w:sz w:val="16"/>
          <w:szCs w:val="16"/>
        </w:rPr>
        <w:softHyphen/>
        <w:t>лее 3—4 выстрелов, «помня, что первые выстрелы наиболее прицельные».</w:t>
      </w:r>
    </w:p>
    <w:p w14:paraId="27B9A28E"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271E51">
        <w:rPr>
          <w:color w:val="000000" w:themeColor="text1"/>
          <w:sz w:val="16"/>
          <w:szCs w:val="16"/>
        </w:rPr>
        <w:softHyphen/>
        <w:t>да № 30 зав. № 2067, 1140 и 1122, «повторено и на испытанном самолете».</w:t>
      </w:r>
    </w:p>
    <w:p w14:paraId="179DDFDB"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271E51">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271E51">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271E51">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1EA185DD"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271E51">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271E51">
        <w:rPr>
          <w:color w:val="000000" w:themeColor="text1"/>
          <w:sz w:val="16"/>
          <w:szCs w:val="16"/>
        </w:rPr>
        <w:softHyphen/>
        <w:t>го исполнения».</w:t>
      </w:r>
    </w:p>
    <w:p w14:paraId="359936B1"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271E51">
        <w:rPr>
          <w:color w:val="000000" w:themeColor="text1"/>
          <w:sz w:val="16"/>
          <w:szCs w:val="16"/>
        </w:rPr>
        <w:softHyphen/>
        <w:t>ной системой питания, предъявить в НИИ ВВС на повторные испытания».</w:t>
      </w:r>
    </w:p>
    <w:p w14:paraId="51D4021C"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аким образом, к началу летней кампании 1943 г. противотанковая составляющая систе</w:t>
      </w:r>
      <w:r w:rsidRPr="00271E51">
        <w:rPr>
          <w:color w:val="000000" w:themeColor="text1"/>
          <w:sz w:val="16"/>
          <w:szCs w:val="16"/>
        </w:rPr>
        <w:softHyphen/>
        <w:t>мы вооружения ВВС КА включала 37-мм пушки 11П, которыми вооружались штурмовики Ил-2 и истре</w:t>
      </w:r>
      <w:r w:rsidRPr="00271E51">
        <w:rPr>
          <w:color w:val="000000" w:themeColor="text1"/>
          <w:sz w:val="16"/>
          <w:szCs w:val="16"/>
        </w:rPr>
        <w:softHyphen/>
        <w:t>бители Як-9т, противотанковые бомбы ПТАБ-2,5-1,5 кумулятивного действия, ракетные бронебойные и осколочно-фугасные снаряды РБС-82, РБС-132 и РОФС-132, а также химические ампулы АЖ-2 с за</w:t>
      </w:r>
      <w:r w:rsidRPr="00271E51">
        <w:rPr>
          <w:color w:val="000000" w:themeColor="text1"/>
          <w:sz w:val="16"/>
          <w:szCs w:val="16"/>
        </w:rPr>
        <w:softHyphen/>
        <w:t>жигательными смесями.</w:t>
      </w:r>
    </w:p>
    <w:p w14:paraId="4D61D5E5"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сожалению, несмотря на спешку, выполнить планы поставок противотанковых Ил-2 в действу</w:t>
      </w:r>
      <w:r w:rsidRPr="00271E51">
        <w:rPr>
          <w:color w:val="000000" w:themeColor="text1"/>
          <w:sz w:val="16"/>
          <w:szCs w:val="16"/>
        </w:rPr>
        <w:softHyphen/>
        <w:t>ющую армию к началу летней кампании не уда</w:t>
      </w:r>
      <w:r w:rsidRPr="00271E51">
        <w:rPr>
          <w:color w:val="000000" w:themeColor="text1"/>
          <w:sz w:val="16"/>
          <w:szCs w:val="16"/>
        </w:rPr>
        <w:softHyphen/>
        <w:t>лось. В воздушных армиях курского направления не было ни одного Ил-2 с 11 П. Однако незадолго до этого удалось завезти большое количество ПТАБ-2,5-1,5 (17500).</w:t>
      </w:r>
    </w:p>
    <w:p w14:paraId="3D579758" w14:textId="77777777" w:rsidR="00C413CC" w:rsidRPr="00271E51" w:rsidRDefault="00C413CC" w:rsidP="00271E51">
      <w:pPr>
        <w:spacing w:after="0" w:line="240" w:lineRule="auto"/>
        <w:jc w:val="both"/>
        <w:rPr>
          <w:rFonts w:ascii="Times New Roman" w:eastAsia="Times New Roman" w:hAnsi="Times New Roman"/>
          <w:color w:val="000000" w:themeColor="text1"/>
          <w:sz w:val="16"/>
          <w:szCs w:val="16"/>
          <w:lang w:eastAsia="ru-RU"/>
        </w:rPr>
      </w:pPr>
    </w:p>
    <w:p w14:paraId="6455ED0C"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на Ил-2 АМ-42 «следопыт» была проведена одна рулежка и сделано три пробежки с доведением самолета до момента отрыва от полосы. По отзывам летчика-испытателя В. К. Коккинаки, самолет хорошо управлялся и слушался рулей. Мотор в течение 25 минут непрерывно работал на номинальном и взлетном режимах без каких-либо замечаний. Температура воды и масла находилась в пределах нормы: вода – 110 °C, масло – 95 °C.</w:t>
      </w:r>
    </w:p>
    <w:p w14:paraId="4F73DCA5"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Ил-2М сняли мотор АМ-42, который выработал ресурс, и начали работы по устранению выявленных ранее недостатков и дефектов по самолету и его системам.</w:t>
      </w:r>
    </w:p>
    <w:p w14:paraId="2AE48660"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нормальную работу установленного на «следопыте» экземпляра мотора АМ-42, С. В. Ильюшин и инженер-майор В. П. Григорьев подготовили письмо на имя А. И. Шахурина, в котором просили повлиять на решение А. А. Микулина и дать «добро» на производство испытательных полетов опытных Ил-2 с АМ-42. Предварительно была получена поддержка по этому вопросу у заместителя главного инженера ВВС генерала А. А. Лапина. Однако «поход наверх» ничего не дал. Изменения, которые были внесены в конструкцию АМ-42 по результатам торсиографирования, оказались весьма существенными. Так, от амортизирующих промежуточных элементов в соединении большой шестерни редуктора с коленчатым валом отказались в пользу жесткого редуктора. Коленчатый вал выполнялся более жестким и прочным. Заново переделывалась всасывающая система, поршневая группа и т. д. По этим причинам мотор был поставлен на повторное торсиографирование. В этих условиях ни главный конструктор мотора, ни нарком авиапрома не решились снять запрет. Более того, государственная комиссия, назначенная совместным приказом А. И. Шахурина и главного инженера ВВС генерал-полковника А. К. Репина от 16 сентября, потребовала сначала провести длительные внутризаводские испытания по специальной программе на надежность основных узлов мотора, и лишь после этого разрешалось допустить АМ-42 к государственным летным испытаниям.</w:t>
      </w:r>
    </w:p>
    <w:p w14:paraId="1C03E1F3"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ОКБ Микулина, несмотря на проводимую обширную доводочную работу, долго не могло добиться надежной работы мотора в новой «редакции»: наблюдалась сильная тряска и дымление, мотор недодавал мощности, в масле стабильно появлялась стружка и т. д. Одновременно, чтобы «отстроиться» от резонанса в системе воздушный винт и коленчатый вал мотора, на заводе № 35 начались работы по созданию для АМ-42 воздушных винтов диаметром менее 4,0 м (17490).</w:t>
      </w:r>
    </w:p>
    <w:p w14:paraId="5BFFEF48"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048B8C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была проведена одна рулежка и сделано три пробежки с доведением самоле</w:t>
      </w:r>
      <w:r w:rsidRPr="00271E51">
        <w:rPr>
          <w:rFonts w:ascii="Times New Roman" w:hAnsi="Times New Roman"/>
          <w:color w:val="000000" w:themeColor="text1"/>
          <w:sz w:val="16"/>
          <w:szCs w:val="16"/>
        </w:rPr>
        <w:softHyphen/>
        <w:t>та разведчика и корректировщика артиллерийского огня до момента отрыва от полосы. По отзывам летчика-испытателя К. К. Кок</w:t>
      </w:r>
      <w:r w:rsidRPr="00271E51">
        <w:rPr>
          <w:rFonts w:ascii="Times New Roman" w:hAnsi="Times New Roman"/>
          <w:color w:val="000000" w:themeColor="text1"/>
          <w:sz w:val="16"/>
          <w:szCs w:val="16"/>
        </w:rPr>
        <w:softHyphen/>
        <w:t>кинаки самолет хорошо управлялся и слушался рулей. Мотор в течение 25 минут непрерывно работал на но</w:t>
      </w:r>
      <w:r w:rsidRPr="00271E51">
        <w:rPr>
          <w:rFonts w:ascii="Times New Roman" w:hAnsi="Times New Roman"/>
          <w:color w:val="000000" w:themeColor="text1"/>
          <w:sz w:val="16"/>
          <w:szCs w:val="16"/>
        </w:rPr>
        <w:softHyphen/>
        <w:t>минальном и взлетном режимах без каких-либо замечаний. Температура воды и масла находилась в преде</w:t>
      </w:r>
      <w:r w:rsidRPr="00271E51">
        <w:rPr>
          <w:rFonts w:ascii="Times New Roman" w:hAnsi="Times New Roman"/>
          <w:color w:val="000000" w:themeColor="text1"/>
          <w:sz w:val="16"/>
          <w:szCs w:val="16"/>
        </w:rPr>
        <w:softHyphen/>
        <w:t>лах нормы: вода - 1 10°С, масло -95°С.</w:t>
      </w:r>
    </w:p>
    <w:p w14:paraId="789421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на Ил-2М был снят мотор, который выработал ре</w:t>
      </w:r>
      <w:r w:rsidRPr="00271E51">
        <w:rPr>
          <w:rFonts w:ascii="Times New Roman" w:hAnsi="Times New Roman"/>
          <w:color w:val="000000" w:themeColor="text1"/>
          <w:sz w:val="16"/>
          <w:szCs w:val="16"/>
        </w:rPr>
        <w:softHyphen/>
        <w:t>сурс, и начаты работы по устране</w:t>
      </w:r>
      <w:r w:rsidRPr="00271E51">
        <w:rPr>
          <w:rFonts w:ascii="Times New Roman" w:hAnsi="Times New Roman"/>
          <w:color w:val="000000" w:themeColor="text1"/>
          <w:sz w:val="16"/>
          <w:szCs w:val="16"/>
        </w:rPr>
        <w:softHyphen/>
        <w:t>нию выявленных недостатков и де</w:t>
      </w:r>
      <w:r w:rsidRPr="00271E51">
        <w:rPr>
          <w:rFonts w:ascii="Times New Roman" w:hAnsi="Times New Roman"/>
          <w:color w:val="000000" w:themeColor="text1"/>
          <w:sz w:val="16"/>
          <w:szCs w:val="16"/>
        </w:rPr>
        <w:softHyphen/>
        <w:t>фектов.</w:t>
      </w:r>
    </w:p>
    <w:p w14:paraId="65D420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нормальную работу ус</w:t>
      </w:r>
      <w:r w:rsidRPr="00271E51">
        <w:rPr>
          <w:rFonts w:ascii="Times New Roman" w:hAnsi="Times New Roman"/>
          <w:color w:val="000000" w:themeColor="text1"/>
          <w:sz w:val="16"/>
          <w:szCs w:val="16"/>
        </w:rPr>
        <w:softHyphen/>
        <w:t>тановленного на корректировщике экземпляра мотора АМ-42, Ильюшин и инженер-майор Григорьев подго</w:t>
      </w:r>
      <w:r w:rsidRPr="00271E51">
        <w:rPr>
          <w:rFonts w:ascii="Times New Roman" w:hAnsi="Times New Roman"/>
          <w:color w:val="000000" w:themeColor="text1"/>
          <w:sz w:val="16"/>
          <w:szCs w:val="16"/>
        </w:rPr>
        <w:softHyphen/>
        <w:t>товили письмо на имя Шахурина, в котором просили повлиять на реше</w:t>
      </w:r>
      <w:r w:rsidRPr="00271E51">
        <w:rPr>
          <w:rFonts w:ascii="Times New Roman" w:hAnsi="Times New Roman"/>
          <w:color w:val="000000" w:themeColor="text1"/>
          <w:sz w:val="16"/>
          <w:szCs w:val="16"/>
        </w:rPr>
        <w:softHyphen/>
        <w:t>ние Микулина и дать добро на про</w:t>
      </w:r>
      <w:r w:rsidRPr="00271E51">
        <w:rPr>
          <w:rFonts w:ascii="Times New Roman" w:hAnsi="Times New Roman"/>
          <w:color w:val="000000" w:themeColor="text1"/>
          <w:sz w:val="16"/>
          <w:szCs w:val="16"/>
        </w:rPr>
        <w:softHyphen/>
        <w:t>изводство полетов опытных "Илов" с АМ-42 по программе заводских ис</w:t>
      </w:r>
      <w:r w:rsidRPr="00271E51">
        <w:rPr>
          <w:rFonts w:ascii="Times New Roman" w:hAnsi="Times New Roman"/>
          <w:color w:val="000000" w:themeColor="text1"/>
          <w:sz w:val="16"/>
          <w:szCs w:val="16"/>
        </w:rPr>
        <w:softHyphen/>
        <w:t>пытаний. Предварительно была по</w:t>
      </w:r>
      <w:r w:rsidRPr="00271E51">
        <w:rPr>
          <w:rFonts w:ascii="Times New Roman" w:hAnsi="Times New Roman"/>
          <w:color w:val="000000" w:themeColor="text1"/>
          <w:sz w:val="16"/>
          <w:szCs w:val="16"/>
        </w:rPr>
        <w:softHyphen/>
        <w:t>лучена поддержка по этому вопросу у заместителя главного инженера ВВС генерала А. А. Лапина. Однако "поход наверх" ничего не дал. Изме</w:t>
      </w:r>
      <w:r w:rsidRPr="00271E51">
        <w:rPr>
          <w:rFonts w:ascii="Times New Roman" w:hAnsi="Times New Roman"/>
          <w:color w:val="000000" w:themeColor="text1"/>
          <w:sz w:val="16"/>
          <w:szCs w:val="16"/>
        </w:rPr>
        <w:softHyphen/>
        <w:t>нения, которые были внесены в кон</w:t>
      </w:r>
      <w:r w:rsidRPr="00271E51">
        <w:rPr>
          <w:rFonts w:ascii="Times New Roman" w:hAnsi="Times New Roman"/>
          <w:color w:val="000000" w:themeColor="text1"/>
          <w:sz w:val="16"/>
          <w:szCs w:val="16"/>
        </w:rPr>
        <w:softHyphen/>
        <w:t>струкцию АМ-42 по результатам тор-сиографирования, оказались весьма существенными. Например, от амор</w:t>
      </w:r>
      <w:r w:rsidRPr="00271E51">
        <w:rPr>
          <w:rFonts w:ascii="Times New Roman" w:hAnsi="Times New Roman"/>
          <w:color w:val="000000" w:themeColor="text1"/>
          <w:sz w:val="16"/>
          <w:szCs w:val="16"/>
        </w:rPr>
        <w:softHyphen/>
        <w:t xml:space="preserve">тизирующих </w:t>
      </w:r>
      <w:r w:rsidRPr="00271E51">
        <w:rPr>
          <w:rFonts w:ascii="Times New Roman" w:hAnsi="Times New Roman"/>
          <w:color w:val="000000" w:themeColor="text1"/>
          <w:sz w:val="16"/>
          <w:szCs w:val="16"/>
        </w:rPr>
        <w:lastRenderedPageBreak/>
        <w:t>промежуточных элемен</w:t>
      </w:r>
      <w:r w:rsidRPr="00271E51">
        <w:rPr>
          <w:rFonts w:ascii="Times New Roman" w:hAnsi="Times New Roman"/>
          <w:color w:val="000000" w:themeColor="text1"/>
          <w:sz w:val="16"/>
          <w:szCs w:val="16"/>
        </w:rPr>
        <w:softHyphen/>
        <w:t>тов в соединении большой шестер</w:t>
      </w:r>
      <w:r w:rsidRPr="00271E51">
        <w:rPr>
          <w:rFonts w:ascii="Times New Roman" w:hAnsi="Times New Roman"/>
          <w:color w:val="000000" w:themeColor="text1"/>
          <w:sz w:val="16"/>
          <w:szCs w:val="16"/>
        </w:rPr>
        <w:softHyphen/>
        <w:t>ни редуктора с коленчатым валом от</w:t>
      </w:r>
      <w:r w:rsidRPr="00271E51">
        <w:rPr>
          <w:rFonts w:ascii="Times New Roman" w:hAnsi="Times New Roman"/>
          <w:color w:val="000000" w:themeColor="text1"/>
          <w:sz w:val="16"/>
          <w:szCs w:val="16"/>
        </w:rPr>
        <w:softHyphen/>
        <w:t>казались в пользу жесткого редукто</w:t>
      </w:r>
      <w:r w:rsidRPr="00271E51">
        <w:rPr>
          <w:rFonts w:ascii="Times New Roman" w:hAnsi="Times New Roman"/>
          <w:color w:val="000000" w:themeColor="text1"/>
          <w:sz w:val="16"/>
          <w:szCs w:val="16"/>
        </w:rPr>
        <w:softHyphen/>
        <w:t>ра. Коленчатый вал выполнялся бо</w:t>
      </w:r>
      <w:r w:rsidRPr="00271E51">
        <w:rPr>
          <w:rFonts w:ascii="Times New Roman" w:hAnsi="Times New Roman"/>
          <w:color w:val="000000" w:themeColor="text1"/>
          <w:sz w:val="16"/>
          <w:szCs w:val="16"/>
        </w:rPr>
        <w:softHyphen/>
        <w:t>лее жестким и прочным. Заново пе</w:t>
      </w:r>
      <w:r w:rsidRPr="00271E51">
        <w:rPr>
          <w:rFonts w:ascii="Times New Roman" w:hAnsi="Times New Roman"/>
          <w:color w:val="000000" w:themeColor="text1"/>
          <w:sz w:val="16"/>
          <w:szCs w:val="16"/>
        </w:rPr>
        <w:softHyphen/>
        <w:t>ределывалась всасывающая система, поршневая группа и т.д. По этой при</w:t>
      </w:r>
      <w:r w:rsidRPr="00271E51">
        <w:rPr>
          <w:rFonts w:ascii="Times New Roman" w:hAnsi="Times New Roman"/>
          <w:color w:val="000000" w:themeColor="text1"/>
          <w:sz w:val="16"/>
          <w:szCs w:val="16"/>
        </w:rPr>
        <w:softHyphen/>
        <w:t>чине мотор был поставлен на повтор</w:t>
      </w:r>
      <w:r w:rsidRPr="00271E51">
        <w:rPr>
          <w:rFonts w:ascii="Times New Roman" w:hAnsi="Times New Roman"/>
          <w:color w:val="000000" w:themeColor="text1"/>
          <w:sz w:val="16"/>
          <w:szCs w:val="16"/>
        </w:rPr>
        <w:softHyphen/>
        <w:t>ное торсиографирование. В этих ус</w:t>
      </w:r>
      <w:r w:rsidRPr="00271E51">
        <w:rPr>
          <w:rFonts w:ascii="Times New Roman" w:hAnsi="Times New Roman"/>
          <w:color w:val="000000" w:themeColor="text1"/>
          <w:sz w:val="16"/>
          <w:szCs w:val="16"/>
        </w:rPr>
        <w:softHyphen/>
        <w:t>ловиях ни Главный конструктор мо</w:t>
      </w:r>
      <w:r w:rsidRPr="00271E51">
        <w:rPr>
          <w:rFonts w:ascii="Times New Roman" w:hAnsi="Times New Roman"/>
          <w:color w:val="000000" w:themeColor="text1"/>
          <w:sz w:val="16"/>
          <w:szCs w:val="16"/>
        </w:rPr>
        <w:softHyphen/>
        <w:t>тора, ни Нарком авиапрома не ре</w:t>
      </w:r>
      <w:r w:rsidRPr="00271E51">
        <w:rPr>
          <w:rFonts w:ascii="Times New Roman" w:hAnsi="Times New Roman"/>
          <w:color w:val="000000" w:themeColor="text1"/>
          <w:sz w:val="16"/>
          <w:szCs w:val="16"/>
        </w:rPr>
        <w:softHyphen/>
        <w:t>шились снять запрет. Более того, Го</w:t>
      </w:r>
      <w:r w:rsidRPr="00271E51">
        <w:rPr>
          <w:rFonts w:ascii="Times New Roman" w:hAnsi="Times New Roman"/>
          <w:color w:val="000000" w:themeColor="text1"/>
          <w:sz w:val="16"/>
          <w:szCs w:val="16"/>
        </w:rPr>
        <w:softHyphen/>
        <w:t>сударственная комиссия, назначен</w:t>
      </w:r>
      <w:r w:rsidRPr="00271E51">
        <w:rPr>
          <w:rFonts w:ascii="Times New Roman" w:hAnsi="Times New Roman"/>
          <w:color w:val="000000" w:themeColor="text1"/>
          <w:sz w:val="16"/>
          <w:szCs w:val="16"/>
        </w:rPr>
        <w:softHyphen/>
        <w:t>ная совместным приказом А. И. Шахурина и главного инженера ВВС А. К. Репина от 16 сентября, потре</w:t>
      </w:r>
      <w:r w:rsidRPr="00271E51">
        <w:rPr>
          <w:rFonts w:ascii="Times New Roman" w:hAnsi="Times New Roman"/>
          <w:color w:val="000000" w:themeColor="text1"/>
          <w:sz w:val="16"/>
          <w:szCs w:val="16"/>
        </w:rPr>
        <w:softHyphen/>
        <w:t>бовала сначала провести длительные внутризаводские испытания по спе</w:t>
      </w:r>
      <w:r w:rsidRPr="00271E51">
        <w:rPr>
          <w:rFonts w:ascii="Times New Roman" w:hAnsi="Times New Roman"/>
          <w:color w:val="000000" w:themeColor="text1"/>
          <w:sz w:val="16"/>
          <w:szCs w:val="16"/>
        </w:rPr>
        <w:softHyphen/>
        <w:t>циальной программе на надежность основных узлов мотора, и лишь пос</w:t>
      </w:r>
      <w:r w:rsidRPr="00271E51">
        <w:rPr>
          <w:rFonts w:ascii="Times New Roman" w:hAnsi="Times New Roman"/>
          <w:color w:val="000000" w:themeColor="text1"/>
          <w:sz w:val="16"/>
          <w:szCs w:val="16"/>
        </w:rPr>
        <w:softHyphen/>
        <w:t>ле этого разрешалось допустить АМ-42 к госиспытаниям.</w:t>
      </w:r>
    </w:p>
    <w:p w14:paraId="160010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Микулина, несмотря на про</w:t>
      </w:r>
      <w:r w:rsidRPr="00271E51">
        <w:rPr>
          <w:rFonts w:ascii="Times New Roman" w:hAnsi="Times New Roman"/>
          <w:color w:val="000000" w:themeColor="text1"/>
          <w:sz w:val="16"/>
          <w:szCs w:val="16"/>
        </w:rPr>
        <w:softHyphen/>
        <w:t>водимую обширную доводочную ра</w:t>
      </w:r>
      <w:r w:rsidRPr="00271E51">
        <w:rPr>
          <w:rFonts w:ascii="Times New Roman" w:hAnsi="Times New Roman"/>
          <w:color w:val="000000" w:themeColor="text1"/>
          <w:sz w:val="16"/>
          <w:szCs w:val="16"/>
        </w:rPr>
        <w:softHyphen/>
        <w:t>боту, долго не могло добиться на</w:t>
      </w:r>
      <w:r w:rsidRPr="00271E51">
        <w:rPr>
          <w:rFonts w:ascii="Times New Roman" w:hAnsi="Times New Roman"/>
          <w:color w:val="000000" w:themeColor="text1"/>
          <w:sz w:val="16"/>
          <w:szCs w:val="16"/>
        </w:rPr>
        <w:softHyphen/>
        <w:t>дежной работы мотора в новой "ре</w:t>
      </w:r>
      <w:r w:rsidRPr="00271E51">
        <w:rPr>
          <w:rFonts w:ascii="Times New Roman" w:hAnsi="Times New Roman"/>
          <w:color w:val="000000" w:themeColor="text1"/>
          <w:sz w:val="16"/>
          <w:szCs w:val="16"/>
        </w:rPr>
        <w:softHyphen/>
        <w:t>дакции": наблюдалась сильная тряс</w:t>
      </w:r>
      <w:r w:rsidRPr="00271E51">
        <w:rPr>
          <w:rFonts w:ascii="Times New Roman" w:hAnsi="Times New Roman"/>
          <w:color w:val="000000" w:themeColor="text1"/>
          <w:sz w:val="16"/>
          <w:szCs w:val="16"/>
        </w:rPr>
        <w:softHyphen/>
        <w:t>ка и дымление, мотор недодавал мощности, в масле стабильно появ</w:t>
      </w:r>
      <w:r w:rsidRPr="00271E51">
        <w:rPr>
          <w:rFonts w:ascii="Times New Roman" w:hAnsi="Times New Roman"/>
          <w:color w:val="000000" w:themeColor="text1"/>
          <w:sz w:val="16"/>
          <w:szCs w:val="16"/>
        </w:rPr>
        <w:softHyphen/>
        <w:t>лялась стружка и т.д. Одновремен</w:t>
      </w:r>
      <w:r w:rsidRPr="00271E51">
        <w:rPr>
          <w:rFonts w:ascii="Times New Roman" w:hAnsi="Times New Roman"/>
          <w:color w:val="000000" w:themeColor="text1"/>
          <w:sz w:val="16"/>
          <w:szCs w:val="16"/>
        </w:rPr>
        <w:softHyphen/>
        <w:t>но, чтобы "отстроиться" от резонан</w:t>
      </w:r>
      <w:r w:rsidRPr="00271E51">
        <w:rPr>
          <w:rFonts w:ascii="Times New Roman" w:hAnsi="Times New Roman"/>
          <w:color w:val="000000" w:themeColor="text1"/>
          <w:sz w:val="16"/>
          <w:szCs w:val="16"/>
        </w:rPr>
        <w:softHyphen/>
        <w:t>са в системе воздушный винт и "ко</w:t>
      </w:r>
      <w:r w:rsidRPr="00271E51">
        <w:rPr>
          <w:rFonts w:ascii="Times New Roman" w:hAnsi="Times New Roman"/>
          <w:color w:val="000000" w:themeColor="text1"/>
          <w:sz w:val="16"/>
          <w:szCs w:val="16"/>
        </w:rPr>
        <w:softHyphen/>
        <w:t>ленчатый вал - редуктор" мотора на заводе № 35 начались работы по созданию для АМ-42 воздушных вин</w:t>
      </w:r>
      <w:r w:rsidRPr="00271E51">
        <w:rPr>
          <w:rFonts w:ascii="Times New Roman" w:hAnsi="Times New Roman"/>
          <w:color w:val="000000" w:themeColor="text1"/>
          <w:sz w:val="16"/>
          <w:szCs w:val="16"/>
        </w:rPr>
        <w:softHyphen/>
        <w:t>тов диаметром менее 4,0 м (11427).</w:t>
      </w:r>
    </w:p>
    <w:p w14:paraId="1B8691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3B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была проведена одна рулежка "следопыта" 240-го завода и сделано три пробежки с доведением самолета до момента отрыва от полосы. Машину привели в летное состояние к 26 июля 1943, но уже действовал запрет Микулина на полеты с АМ-42.</w:t>
      </w:r>
    </w:p>
    <w:p w14:paraId="014E6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мая 1943 г. состоялся первый полет опытного. Выяснилось, что деревянное крыло, изготовленное на заводе № 30, имеет существенные производственные дефекты. Были претензии и к работе мотора АМ-42. Полеты прекратили.</w:t>
      </w:r>
    </w:p>
    <w:p w14:paraId="374ED3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Ил-2М был снят мотор, который выработал ресурс, и начаты работы по устранению недостатков и дефектов самолета.</w:t>
      </w:r>
    </w:p>
    <w:p w14:paraId="66071C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обширную доводочную работу, ОКБ Микулина долго не могло добиться надежности АМ-42: наблюдалась сильная тряска и дымление, мотор недодавал мощности, в масле появлялась стружка и т.д.</w:t>
      </w:r>
    </w:p>
    <w:p w14:paraId="39F00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чтобы "отстроиться" от резонанса в системе воздушный винт и "коленчатый вал - редуктор" мотора на заводе № 35 приступили к созданию для АМ-42 воздушных винтов диаметром менее 4,0 м.</w:t>
      </w:r>
    </w:p>
    <w:p w14:paraId="48346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над ОКБ Ильюшина начали сгущаться "тучи". В сентябре неудачно закончились госиспытания истребителя Ил-2-И. Максимальная скорость у земли в сравнении с двухместным Ил-2 оказалась выше всего на 6 км/ч, а на границе высотности - на 10 км/ч.</w:t>
      </w:r>
    </w:p>
    <w:p w14:paraId="1CCFDF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Ил-2И могут быть использованы для борьбы только с некоторыми типами ...самолетов противника, имеющих сравнительно небольшие скорости (Не 111, Fw 200, Ju 87, Ju 52) на высотах ниже 4000 м, однако ...Fw 200 могут уходить от атак Ил-2 И набором высоты за счет лучшей скороподъемности. Ил-2И может атаковать более скоростные бомбардировщики Ju 88 и Do 215 только случайно, так как последние, за счет большей скорости, всегда имеют возможность уйти от Ил-2 И. ...Вести активную борьбу с истребителями ...Ил-2И не может", - констатировалось в Акте испытаний. В тоже время вооружение Ил-2-И состояло только из двух пушек ВЯ-23.</w:t>
      </w:r>
    </w:p>
    <w:p w14:paraId="6DBDD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Ил-2-И как истребитель бомбардировщиков и транспортных самолетов не состоялся, а все качества "чистого" штурмовика - потерял. Командующий ВВС маршал Новиков наложил на Акт резолюцию: "...считать, что дальнейшая постройка Ил-2И в варианте истребителя и установка мотора АМ-42 ...на истребительный вариант Ил-2 нецелесообразна".</w:t>
      </w:r>
    </w:p>
    <w:p w14:paraId="270C3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истребителю Ил-2-2И были прекращены, хотя к концу августа один экземпляр самолета почти собрали, а для второго экземпляра изготовлены необходимые узлы и агрегаты (12020).</w:t>
      </w:r>
    </w:p>
    <w:p w14:paraId="1A171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2A0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Гл. диспетчер НКАП Полозенко писал А.И.Шахурину Докладную записку:</w:t>
      </w:r>
    </w:p>
    <w:p w14:paraId="79B59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сообщению директора завода 39 Абрамова, на самолете Ил-6 в настоящее время проводятся следующие работы:</w:t>
      </w:r>
    </w:p>
    <w:p w14:paraId="468729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Заканчивается монтаж автопилота</w:t>
      </w:r>
    </w:p>
    <w:p w14:paraId="4A4918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Заканчивается смена всего трубопровода воздушной системы (замена дюралевых трубок на стальные).</w:t>
      </w:r>
    </w:p>
    <w:p w14:paraId="7132B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Ведется монтаж нового тросового управления</w:t>
      </w:r>
    </w:p>
    <w:p w14:paraId="42E03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Устанавливаются Наяды</w:t>
      </w:r>
    </w:p>
    <w:p w14:paraId="2F0C58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разные мелкие доработки</w:t>
      </w:r>
    </w:p>
    <w:p w14:paraId="07BEF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указанные работы будут закончены к вечеру 16 августа 1943, после чего самолет Ил-6 будет поставлен на тряску, которую проведут в течение 16 и 17 августа 1943. К полету самолет будет подготовлен к 18 августа 1943 (1768,226).</w:t>
      </w:r>
    </w:p>
    <w:p w14:paraId="4519F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520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г. на Ер-2 № 1851106, выпущенным в июле 1941 г. (одной из четырх машин с двигателями М-105, эксплуатировавшихся в ГВФ) летчик М.К. Байкалов потерпел аварию. При посадке в Куйбышеве он "промазал" и, пробежав около 150 м, начал резко тормозить по очереди левым и правым колесами. В итоге, самолет поломал правую стойку шасси и подмоторную раму. Другой самолет из сохранившихся в дальней авиации (№ 1850405, построенный в июне 1941 г.) спустя два года передали на моторостроительный завод № 26. Видимо, самолет, имевший свидетельство для гражданской эксплуатации и обозначение СССР - И586, предназначался как для перевозки срочных грузов, так и испытаний силовых установок. Этот Ер-2 прослужил почти четыре года, потерпев катастрофу 29 апреля 1945 г. В тот день предстоял контрольный полет после планового ремонта. При пробе двигателей ВК-105ПФ2, стоявших на машине, все работало нормально. Однако вскоре после взлета на высоте 60 - 80 м левый мотор стал давать перебои, и из него вырвались языки пламени. Ер-2 развернулся в сторону сдавшего двигателя и, планируя под углом около 20°, ударился о землю левой консолью крыла. Пожар почти полностью уничтожил машину вместе с экипажем летчика П.К. Маслюженко (11994).</w:t>
      </w:r>
    </w:p>
    <w:p w14:paraId="1874E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B02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по 20 августа 1943 проходили войсковые испытания Ла-5 с М-82Ф. Согласно справке ви 1 ранга Ф.Бабанина на 20 августа из 19 машин осталось 10 и потери включали:</w:t>
      </w:r>
    </w:p>
    <w:p w14:paraId="1F3D06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сбиты над линией боя - 4 (один л вернулся).</w:t>
      </w:r>
    </w:p>
    <w:p w14:paraId="0328A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подбито и вернулось - 4</w:t>
      </w:r>
    </w:p>
    <w:p w14:paraId="4977ED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аварии из-за масляного голодания - 1</w:t>
      </w:r>
    </w:p>
    <w:p w14:paraId="18DBAC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подбитые получили большие повреждения плоскостей, фюзеляжа и в особенности хвостового оперения от истребителей (Ме-109Ф)...(1458,50).</w:t>
      </w:r>
    </w:p>
    <w:p w14:paraId="3E64C7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D53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по 20 августа 1943 испытывался Ла-5Ф. Использова</w:t>
      </w:r>
      <w:r w:rsidRPr="00271E51">
        <w:rPr>
          <w:rFonts w:ascii="Times New Roman" w:hAnsi="Times New Roman"/>
          <w:color w:val="000000" w:themeColor="text1"/>
          <w:sz w:val="16"/>
          <w:szCs w:val="16"/>
        </w:rPr>
        <w:softHyphen/>
        <w:t>лись 9 машин, из которых в ходе интенсивных воздушных боев 4 были потеряны, причем в часть вернулся лишь один летчик, 4 само</w:t>
      </w:r>
      <w:r w:rsidRPr="00271E51">
        <w:rPr>
          <w:rFonts w:ascii="Times New Roman" w:hAnsi="Times New Roman"/>
          <w:color w:val="000000" w:themeColor="text1"/>
          <w:sz w:val="16"/>
          <w:szCs w:val="16"/>
        </w:rPr>
        <w:softHyphen/>
        <w:t>лета вышли из строя из-за полученных повреждений, 1 потерпел аварию из-за масляного голодания мотора. Согласно докладу ве</w:t>
      </w:r>
      <w:r w:rsidRPr="00271E51">
        <w:rPr>
          <w:rFonts w:ascii="Times New Roman" w:hAnsi="Times New Roman"/>
          <w:color w:val="000000" w:themeColor="text1"/>
          <w:sz w:val="16"/>
          <w:szCs w:val="16"/>
        </w:rPr>
        <w:softHyphen/>
        <w:t xml:space="preserve">дущего инженера по испытаниям, чаще всего противником были Ме109Р. Большинство повреждений пришлось на хвостовую часть. Войсковые испытания Ла-5ФН прошли гораздо успешнее. На 14 самолетах в 25 воздушных боях было сбито 3 В? 1090, 21 РУ/190, 3 Не 111Н, 1 </w:t>
      </w:r>
      <w:r w:rsidRPr="00271E51">
        <w:rPr>
          <w:rFonts w:ascii="Times New Roman" w:hAnsi="Times New Roman"/>
          <w:iCs/>
          <w:color w:val="000000" w:themeColor="text1"/>
          <w:sz w:val="16"/>
          <w:szCs w:val="16"/>
        </w:rPr>
        <w:t xml:space="preserve">Зи </w:t>
      </w:r>
      <w:r w:rsidRPr="00271E51">
        <w:rPr>
          <w:rFonts w:ascii="Times New Roman" w:hAnsi="Times New Roman"/>
          <w:color w:val="000000" w:themeColor="text1"/>
          <w:sz w:val="16"/>
          <w:szCs w:val="16"/>
        </w:rPr>
        <w:t>87 и 5 ии 88 ценой потери четырех своих машин (11123).</w:t>
      </w:r>
    </w:p>
    <w:p w14:paraId="3AB14B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Ла-5ФН № 39213047Ф, выпущенного заводом № 21 летом 1943 г., показали, что скорость у земли упала почти на 40 км/ч. Это было вызвано отсутствием уплотнительных шайб между стволами пушек и капотом, невозможностью закрыть замки ДЗУС внутреннего капота под выхлопным коллектором и плохой подгонкой передней стяжной ленты капота («ступенька» в 10 мм). На II границе высотности произошел отказ ПЦН, и самолет удалось разогнать только до 600 км/ч вместо положенных 640. Ди</w:t>
      </w:r>
      <w:r w:rsidRPr="00271E51">
        <w:rPr>
          <w:rFonts w:ascii="Times New Roman" w:hAnsi="Times New Roman"/>
          <w:color w:val="000000" w:themeColor="text1"/>
          <w:sz w:val="16"/>
          <w:szCs w:val="16"/>
        </w:rPr>
        <w:softHyphen/>
        <w:t>ректору завода было строго указано на недостатки. Но изжить брак не удалось (11123).</w:t>
      </w:r>
    </w:p>
    <w:p w14:paraId="3E98ED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E775A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августа 1943</w:t>
      </w:r>
    </w:p>
    <w:p w14:paraId="1F984F46"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ПЕРЕЧЕНЬ ОСНОВНЫХ РАБОТ, ВЫПОЛНЯЕМЫХ ОКБ ЗАВОДА № 21 В 1943 Г.</w:t>
      </w:r>
    </w:p>
    <w:p w14:paraId="3125E33B"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Модификация истребителя Ла-5 с М-82 с трубчатыми лонжеронами.</w:t>
      </w:r>
    </w:p>
    <w:p w14:paraId="158B2E1F"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Выполнено 20. XII. 42. г.</w:t>
      </w:r>
    </w:p>
    <w:p w14:paraId="17750D0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Модификация истребителя Ла-5 с М-82ФНВ.</w:t>
      </w:r>
    </w:p>
    <w:p w14:paraId="00811D5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Модификация Ла-5 с М-71.</w:t>
      </w:r>
    </w:p>
    <w:p w14:paraId="744E24C8"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Модификация истребителя Ла-5 с М-82 в двухместный вариант УТИ.</w:t>
      </w:r>
    </w:p>
    <w:p w14:paraId="74E5F8A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Модификация истребителя Ла-5 с М-82ТК-3.</w:t>
      </w:r>
    </w:p>
    <w:p w14:paraId="3580142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Модификация истребителя Ла-5 с М-82ФН ТК-3.</w:t>
      </w:r>
    </w:p>
    <w:p w14:paraId="0D90EF29"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Работы, выполненные в 3-м квартале 1943 года:</w:t>
      </w:r>
    </w:p>
    <w:p w14:paraId="0C33C214"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Модификация истребителя Ла-5 с М-71/2-й экземпляр.</w:t>
      </w:r>
    </w:p>
    <w:p w14:paraId="38A9260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Фронтовой одноместный истребитель «Ла» с М-90.</w:t>
      </w:r>
    </w:p>
    <w:p w14:paraId="4C239256"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Модификация истребителя Ла-5 с трехточечным вооружением.</w:t>
      </w:r>
    </w:p>
    <w:p w14:paraId="0BB1B9E6"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Изготовление чертежей фотоустановок АФА-ИМ на Ла-5.</w:t>
      </w:r>
    </w:p>
    <w:p w14:paraId="3C355910"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Работа по установке автоматики на самолете Ла-5.</w:t>
      </w:r>
    </w:p>
    <w:p w14:paraId="65A6909A"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6. Выпуск улучшенных образцов самолета Ла-5 01-06.</w:t>
      </w:r>
    </w:p>
    <w:p w14:paraId="4206635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Начальник ОКБ</w:t>
      </w:r>
      <w:r w:rsidRPr="00271E51">
        <w:rPr>
          <w:rFonts w:ascii="Times New Roman" w:hAnsi="Times New Roman"/>
          <w:color w:val="0070C0"/>
          <w:sz w:val="16"/>
          <w:szCs w:val="16"/>
        </w:rPr>
        <w:tab/>
        <w:t>АЛЕКСЕЕВ</w:t>
      </w:r>
    </w:p>
    <w:p w14:paraId="0A1D38E7"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08. 1943 г.</w:t>
      </w:r>
    </w:p>
    <w:p w14:paraId="1E1CAFEA"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ЦАНО. Ф. 2066. Оп. 7. Д. 36. Л 22.</w:t>
      </w:r>
    </w:p>
    <w:p w14:paraId="4D956E1D"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Подлинник. Машинопись (20961).</w:t>
      </w:r>
    </w:p>
    <w:p w14:paraId="78AE1AA9" w14:textId="77777777" w:rsidR="00155AFE" w:rsidRPr="00271E51" w:rsidRDefault="00155AFE" w:rsidP="00271E51">
      <w:pPr>
        <w:spacing w:after="0" w:line="240" w:lineRule="auto"/>
        <w:jc w:val="both"/>
        <w:rPr>
          <w:rFonts w:ascii="Times New Roman" w:hAnsi="Times New Roman"/>
          <w:color w:val="0070C0"/>
          <w:sz w:val="16"/>
          <w:szCs w:val="16"/>
        </w:rPr>
      </w:pPr>
    </w:p>
    <w:p w14:paraId="0BD419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вышел Приказ по ВВС N 0169:</w:t>
      </w:r>
    </w:p>
    <w:p w14:paraId="62D8D5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Содержание: О проведении войсковых испытаний самолетов Як-7Б М-105ПФ с установленными на них автоматами регулирования температуры воды типа АРТ-41.</w:t>
      </w:r>
    </w:p>
    <w:p w14:paraId="337463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выявления эксплуатационных качеств автоматов регулирования температур воды АРТ-41 и оценки надежности работы системы охлаждения мотора М-105ПФ на самолетах Як-7Б с автоматами АРТ-41, приказываю:</w:t>
      </w:r>
    </w:p>
    <w:p w14:paraId="1319CE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Командующему 8-й Воздушной армией организовать проведение войсковых испытаний 19-ти самолетов Як-7Б с автоматами АРТ-1 по программе, утвержденной гл. инженером ВВС.</w:t>
      </w:r>
    </w:p>
    <w:p w14:paraId="6007D3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закончить не позднее 15 сентября 1943 года. Акт по испытаниям представить мне на утверждение в пятидневный срок после окончания испытаний.</w:t>
      </w:r>
    </w:p>
    <w:p w14:paraId="273AE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Обеспечение войсковых испытаний техническим руководством возлагаю на начальника НИИ ВВС - генерал-лейтенанта инженерно-авиационной службы Лосюкова П.А. и начальника НИИ СС ВВС генерал-лейтенанта инженерно-авиационной службы Данилина С.А.</w:t>
      </w:r>
    </w:p>
    <w:p w14:paraId="1A52A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 участию в испытаниях допустить представителей НКАП: начальника лаборатории автоматики НИСО Почтарь Н.А. и ст. инженера завода N 149 Попова А.Р. (Врид. командующего ВВС генерал-полковник авиации Фалалеев, член военного совета ВВС генерал-лейтенант авиации Шиманов, врид. начальника штаба ВВС генерал-лейтенант авиации Кроленко).</w:t>
      </w:r>
    </w:p>
    <w:p w14:paraId="7081E3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гл. управлению инженерно-авиационной службы ВВС) (1779).</w:t>
      </w:r>
    </w:p>
    <w:p w14:paraId="4207C9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A4291"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3389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94BA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по 31 августа 1902-й САП, в составе 15 СУ С-1 участвовал в пяти боях, в которых самоходчики уничтожили два танка, девять орудий, 12 пулеметов и до 250 чел. немецких солдат и офи-церов.Согласно докладу командира полка вся материаль</w:t>
      </w:r>
      <w:r w:rsidRPr="00271E51">
        <w:rPr>
          <w:rFonts w:ascii="Times New Roman" w:hAnsi="Times New Roman"/>
          <w:color w:val="000000" w:themeColor="text1"/>
          <w:sz w:val="16"/>
          <w:szCs w:val="16"/>
        </w:rPr>
        <w:softHyphen/>
        <w:t>ная часть СУ-76 (на базе Т-1П) находилась в плохом состо</w:t>
      </w:r>
      <w:r w:rsidRPr="00271E51">
        <w:rPr>
          <w:rFonts w:ascii="Times New Roman" w:hAnsi="Times New Roman"/>
          <w:color w:val="000000" w:themeColor="text1"/>
          <w:sz w:val="16"/>
          <w:szCs w:val="16"/>
        </w:rPr>
        <w:softHyphen/>
        <w:t>янии. В сентябре полк участвовал в 14 боях силами от двух до семи САУ. Наиболее результативными были бои 20—23 сентября, когда группа из шести СУ С-1, преследуя отсту</w:t>
      </w:r>
      <w:r w:rsidRPr="00271E51">
        <w:rPr>
          <w:rFonts w:ascii="Times New Roman" w:hAnsi="Times New Roman"/>
          <w:color w:val="000000" w:themeColor="text1"/>
          <w:sz w:val="16"/>
          <w:szCs w:val="16"/>
        </w:rPr>
        <w:softHyphen/>
        <w:t>пающего противника, уничтожила три немецких танка. 25 ноября 1902-й Кременчугский САП потерял все свои ма</w:t>
      </w:r>
      <w:r w:rsidRPr="00271E51">
        <w:rPr>
          <w:rFonts w:ascii="Times New Roman" w:hAnsi="Times New Roman"/>
          <w:color w:val="000000" w:themeColor="text1"/>
          <w:sz w:val="16"/>
          <w:szCs w:val="16"/>
        </w:rPr>
        <w:softHyphen/>
        <w:t>шины и убыл на переформирование.</w:t>
      </w:r>
    </w:p>
    <w:p w14:paraId="6DC552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Самоходчики любили эту машину за то, что при нали</w:t>
      </w:r>
      <w:r w:rsidRPr="00271E51">
        <w:rPr>
          <w:rFonts w:ascii="Times New Roman" w:hAnsi="Times New Roman"/>
          <w:color w:val="000000" w:themeColor="text1"/>
          <w:sz w:val="16"/>
          <w:szCs w:val="16"/>
        </w:rPr>
        <w:softHyphen/>
        <w:t>чии закрытого боевого отделения она не была такой тес</w:t>
      </w:r>
      <w:r w:rsidRPr="00271E51">
        <w:rPr>
          <w:rFonts w:ascii="Times New Roman" w:hAnsi="Times New Roman"/>
          <w:color w:val="000000" w:themeColor="text1"/>
          <w:sz w:val="16"/>
          <w:szCs w:val="16"/>
        </w:rPr>
        <w:softHyphen/>
        <w:t xml:space="preserve">ной, как СУ-85 или трофейные </w:t>
      </w:r>
      <w:r w:rsidRPr="00271E51">
        <w:rPr>
          <w:rFonts w:ascii="Times New Roman" w:hAnsi="Times New Roman"/>
          <w:color w:val="000000" w:themeColor="text1"/>
          <w:sz w:val="16"/>
          <w:szCs w:val="16"/>
          <w:lang w:val="en-US"/>
        </w:rPr>
        <w:t>Stug</w:t>
      </w:r>
      <w:r w:rsidRPr="00271E51">
        <w:rPr>
          <w:rFonts w:ascii="Times New Roman" w:hAnsi="Times New Roman"/>
          <w:color w:val="000000" w:themeColor="text1"/>
          <w:sz w:val="16"/>
          <w:szCs w:val="16"/>
        </w:rPr>
        <w:t xml:space="preserve"> 40. Часто им приходи</w:t>
      </w:r>
      <w:r w:rsidRPr="00271E51">
        <w:rPr>
          <w:rFonts w:ascii="Times New Roman" w:hAnsi="Times New Roman"/>
          <w:color w:val="000000" w:themeColor="text1"/>
          <w:sz w:val="16"/>
          <w:szCs w:val="16"/>
        </w:rPr>
        <w:softHyphen/>
        <w:t>лось выполнять типично «танковые» задачи — поддержку и сопровождение пехоты, борьбу с вражескими огневыми точками. И только наличие одного люка (а в 1943 г. немец</w:t>
      </w:r>
      <w:r w:rsidRPr="00271E51">
        <w:rPr>
          <w:rFonts w:ascii="Times New Roman" w:hAnsi="Times New Roman"/>
          <w:color w:val="000000" w:themeColor="text1"/>
          <w:sz w:val="16"/>
          <w:szCs w:val="16"/>
        </w:rPr>
        <w:softHyphen/>
        <w:t>ких шасси с бортовыми «лючками» почти не осталось) за</w:t>
      </w:r>
      <w:r w:rsidRPr="00271E51">
        <w:rPr>
          <w:rFonts w:ascii="Times New Roman" w:hAnsi="Times New Roman"/>
          <w:color w:val="000000" w:themeColor="text1"/>
          <w:sz w:val="16"/>
          <w:szCs w:val="16"/>
        </w:rPr>
        <w:softHyphen/>
        <w:t>трудняло эвакуацию из САУ в случае ее загорания. По опыту боев на Курской дуге, в августе 1943 г. с самоходных установок СУ-12М и СУ С-1 (которые стали называть так</w:t>
      </w:r>
      <w:r w:rsidRPr="00271E51">
        <w:rPr>
          <w:rFonts w:ascii="Times New Roman" w:hAnsi="Times New Roman"/>
          <w:color w:val="000000" w:themeColor="text1"/>
          <w:sz w:val="16"/>
          <w:szCs w:val="16"/>
        </w:rPr>
        <w:softHyphen/>
        <w:t>же СУ-76(И)) начали демонтировать крышу, так как венти</w:t>
      </w:r>
      <w:r w:rsidRPr="00271E51">
        <w:rPr>
          <w:rFonts w:ascii="Times New Roman" w:hAnsi="Times New Roman"/>
          <w:color w:val="000000" w:themeColor="text1"/>
          <w:sz w:val="16"/>
          <w:szCs w:val="16"/>
        </w:rPr>
        <w:softHyphen/>
        <w:t>ляция боевого отделения у них была отвратительной.</w:t>
      </w:r>
    </w:p>
    <w:p w14:paraId="460235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о таких машинах упоминается в донесении штаба 1-й немецкой танковой армии управлению «Иност</w:t>
      </w:r>
      <w:r w:rsidRPr="00271E51">
        <w:rPr>
          <w:rFonts w:ascii="Times New Roman" w:hAnsi="Times New Roman"/>
          <w:color w:val="000000" w:themeColor="text1"/>
          <w:sz w:val="16"/>
          <w:szCs w:val="16"/>
        </w:rPr>
        <w:softHyphen/>
        <w:t>ранные армии — Восток»(«Абвер»): «В 177-м полку 64-й ме</w:t>
      </w:r>
      <w:r w:rsidRPr="00271E51">
        <w:rPr>
          <w:rFonts w:ascii="Times New Roman" w:hAnsi="Times New Roman"/>
          <w:color w:val="000000" w:themeColor="text1"/>
          <w:sz w:val="16"/>
          <w:szCs w:val="16"/>
        </w:rPr>
        <w:softHyphen/>
        <w:t>ханизированной бригады имеется 4 роты по 11 танков в каж</w:t>
      </w:r>
      <w:r w:rsidRPr="00271E51">
        <w:rPr>
          <w:rFonts w:ascii="Times New Roman" w:hAnsi="Times New Roman"/>
          <w:color w:val="000000" w:themeColor="text1"/>
          <w:sz w:val="16"/>
          <w:szCs w:val="16"/>
        </w:rPr>
        <w:softHyphen/>
        <w:t xml:space="preserve">дой. Эти танки имеют обозначение </w:t>
      </w:r>
      <w:r w:rsidRPr="00271E51">
        <w:rPr>
          <w:rFonts w:ascii="Times New Roman" w:hAnsi="Times New Roman"/>
          <w:color w:val="000000" w:themeColor="text1"/>
          <w:sz w:val="16"/>
          <w:szCs w:val="16"/>
          <w:lang w:val="en-US"/>
        </w:rPr>
        <w:t>sturmgeschutz</w:t>
      </w:r>
      <w:r w:rsidRPr="00271E51">
        <w:rPr>
          <w:rFonts w:ascii="Times New Roman" w:hAnsi="Times New Roman"/>
          <w:color w:val="000000" w:themeColor="text1"/>
          <w:sz w:val="16"/>
          <w:szCs w:val="16"/>
        </w:rPr>
        <w:t xml:space="preserve"> 76тт. Они изготовлены на шасси немецкого танка </w:t>
      </w:r>
      <w:r w:rsidRPr="00271E51">
        <w:rPr>
          <w:rFonts w:ascii="Times New Roman" w:hAnsi="Times New Roman"/>
          <w:color w:val="000000" w:themeColor="text1"/>
          <w:sz w:val="16"/>
          <w:szCs w:val="16"/>
          <w:lang w:val="en-US"/>
        </w:rPr>
        <w:t>PanzerIII</w:t>
      </w:r>
      <w:r w:rsidRPr="00271E51">
        <w:rPr>
          <w:rFonts w:ascii="Times New Roman" w:hAnsi="Times New Roman"/>
          <w:color w:val="000000" w:themeColor="text1"/>
          <w:sz w:val="16"/>
          <w:szCs w:val="16"/>
        </w:rPr>
        <w:t xml:space="preserve"> с двигате</w:t>
      </w:r>
      <w:r w:rsidRPr="00271E51">
        <w:rPr>
          <w:rFonts w:ascii="Times New Roman" w:hAnsi="Times New Roman"/>
          <w:color w:val="000000" w:themeColor="text1"/>
          <w:sz w:val="16"/>
          <w:szCs w:val="16"/>
        </w:rPr>
        <w:softHyphen/>
        <w:t xml:space="preserve">лем </w:t>
      </w:r>
      <w:r w:rsidRPr="00271E51">
        <w:rPr>
          <w:rFonts w:ascii="Times New Roman" w:hAnsi="Times New Roman"/>
          <w:color w:val="000000" w:themeColor="text1"/>
          <w:sz w:val="16"/>
          <w:szCs w:val="16"/>
          <w:lang w:val="en-US"/>
        </w:rPr>
        <w:t>Maybach</w:t>
      </w:r>
      <w:r w:rsidRPr="00271E51">
        <w:rPr>
          <w:rFonts w:ascii="Times New Roman" w:hAnsi="Times New Roman"/>
          <w:color w:val="000000" w:themeColor="text1"/>
          <w:sz w:val="16"/>
          <w:szCs w:val="16"/>
        </w:rPr>
        <w:t>. Новая рубка имеет толщину 3—4 см в лобовой части, на бортах — 1—1,5см. Рубка открыта сверху...» (11417).</w:t>
      </w:r>
    </w:p>
    <w:p w14:paraId="5DC0E5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384E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Постановление ГКО № 3927 Об обеспечении рабочей силой вновь вводимых металлургических предприятий и агрегатов.РГАНИР, Фонд ГКО, д. 146, лл. 1-2, 3-4 (11012).</w:t>
      </w:r>
    </w:p>
    <w:p w14:paraId="2734F6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604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Постановление ГКО № 3928 Об обеспечении жилищем рабочих завода N381 НКАП.РГАНИР, Фонд ГКО, д. 146, лл. 5 (11012).</w:t>
      </w:r>
    </w:p>
    <w:p w14:paraId="6E86E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FBF8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Постановление ГКО № 3929 О подготовке рабочих кадров для предприятий Наркомречфлота. (7134, 6-9,10-14).</w:t>
      </w:r>
    </w:p>
    <w:p w14:paraId="7943774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43EBC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Распоряжение ГКО № 3930 [О передаче 500 тыловых военнослужащих для работ по восстановлению нефтефлота пароходства "Волготанкер".] (7134, 15).</w:t>
      </w:r>
    </w:p>
    <w:p w14:paraId="44BA385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1061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Распоряжение ГКО № 3931. Об установке импортного оборудования на Бугурусланской ЦЭС, обеспечении электроэнергией завода № 88 НКНП и организации конторы "Бугурусланэлектроток".РГАНИР, Фонд ГКО, д. 146, лл. 16 (11012).</w:t>
      </w:r>
    </w:p>
    <w:p w14:paraId="0A6B35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E726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Распоряжение ГКО № 3932 [О мобилизации 9,5 тыс. чел. в сельской местности Украинской ССР, Татарской и Башкирской АССР, Калининской и Курской обл. для работы на строительстве заводов черной металлургии.] (7134, 17-19).</w:t>
      </w:r>
    </w:p>
    <w:p w14:paraId="69D70AD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6DF5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Распоряжение ГКО № 3933 [О назначении Тимофеева М.М. (НКВД) уполномоченным ГКО по лесосплаву по Камскому бассейну.] (7134, 20).</w:t>
      </w:r>
    </w:p>
    <w:p w14:paraId="5D742B7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B5042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Распоряжение ГКО № 3934 [О количестве, ассортименте и сроках поставки оборудования строительству Ферганского ксилитанового завода Главлесоспирта при СНК СССР.] (7134, 21,22-27).</w:t>
      </w:r>
    </w:p>
    <w:p w14:paraId="576CDFF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84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вышло Постановление ГКО № 3935 О дополнительном учреждении переходящего Красного знамени Государственного Комитета Обороны для предприятий Наркомлеса СССР.РГАНИР, Фонд ГКО, д. 146, лл. 28 (11012).</w:t>
      </w:r>
    </w:p>
    <w:p w14:paraId="31E81E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D9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был подписан приказ о создании Лаборатории N 2 в Казани во главе с И.В.Курчатовым (3481).</w:t>
      </w:r>
    </w:p>
    <w:p w14:paraId="26888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F3F5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августа в 1943 году в Москве подписан приказ о создании т.н. Лаборатории № 2 Академии Наук СССР в Казани во главе с профессором Игорем Васильевичем Курчатовым. Лаборатория превратится впоследствии в Институт атомной энергии имени И.В.Курчатова (ныне научный центр «Курчатовский институт») </w:t>
      </w:r>
    </w:p>
    <w:p w14:paraId="329D8E06"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615E567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B280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C9432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в 1943 году оперативная сводка Совинформбюро:</w:t>
      </w:r>
    </w:p>
    <w:p w14:paraId="2621B2F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августа наши войска, наступающие из района Спас-Деменска, продвинулись вперёд от 6 до 8 километров и заняли более 20 населённых пунктов.</w:t>
      </w:r>
    </w:p>
    <w:p w14:paraId="75DC77DD"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преодолевая сопротивление противника, на отдельных участках продвинулись вперёд от 4 до 8 километров и заняли свыше 60 населённых пунктов.</w:t>
      </w:r>
    </w:p>
    <w:p w14:paraId="25EF3EF7"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контратаки танков и пехоты противника, продолжали наступление, заняв несколько населённых пунктов.</w:t>
      </w:r>
    </w:p>
    <w:p w14:paraId="664F4FF0"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разведку и артиллерийско-миномётную перестрелку с противником.</w:t>
      </w:r>
    </w:p>
    <w:p w14:paraId="0BBA8B9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августа наши войска на всех фронтах подбили и уничтожили 69 немецких танков. В воздушных боях и огнём зенитной артиллерии сбито 54 самолёта противника.</w:t>
      </w:r>
    </w:p>
    <w:p w14:paraId="0E8A252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овладев городом Спас-Деменск, продолжали наступление. БойцыН-ского соединения за три дня боёв уничтожили до 8.000 солдат и офицеров противника, 58 танков, 128 орудий разного калибра и 160 пулемётов. Разбито и разрушено до 200 дзотов и блиндажей противника. Захвачено много трофеев, в том числе 4 склада с вооружением, несколько складов с продовольствием и различным военным имуществом. Части другого нашего соединения освободили 19 населённых пунктов и уничтожили не менее двух полков пехоты противника. Взято в плен до 300 гитлеровцев. Захвачено у немцев 9 паровозов, 184 вагона, 126 платформ с различным инженерным имуществом, подвижные ремонтные мастерские армейского значения, 4 продовольственных склада, большое количество боеприпасов и другие трофеи.</w:t>
      </w:r>
    </w:p>
    <w:p w14:paraId="64C02853"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Развивая наступление, наши войска в течение дня продвинулись вперёд от 6 до 8 километров и заняли свыше 20 населённых пунктов.</w:t>
      </w:r>
    </w:p>
    <w:p w14:paraId="3AD7EC3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вели бои северо-восточнее города Карачев. В районе железной дороги противник на рассвете бросил в контратаку крупные силы пехоты и 24 танка. Огнём нашей артиллерии подбито 11 вражеских танков и несколько самоходных орудий. Контратака противника захлебнулась. На плечах отступающих гитлеровцев гвардейцы Н-ской части штурмом заняли сильно укреплённую и господствующую над местностью высоту. В боях на подступах к Карачеву в течение дня уничтожено 2.500 немецких солдат и офицеров, 20 танков и 98 орудий. Захвачены у противника 12 танков, 56 орудий и 42 миномёта.</w:t>
      </w:r>
    </w:p>
    <w:p w14:paraId="088DE1AF"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районным центром Шаблыкино, наши войска продолжали наступление и, продвинувшись вперёд, заняли более 30 населённых пунктов.</w:t>
      </w:r>
    </w:p>
    <w:p w14:paraId="4617B90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направления наши войска продолжали наступление.</w:t>
      </w:r>
    </w:p>
    <w:p w14:paraId="17226C8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преодолевая упорное сопротивление противника, заняли ряд населённых пунктов. Бойцы Н-ской части в бою только за один населённый пункт уничтожили 900 гитлеровцев, 7 немецких танков и 2 артиллерийских батареи. Захвачено 8 танков, 19 орудий, 64 пулемёта, 2 склада боеприпасов и склад с инженерным имуществом. Северо-западнее Харькова немецкие танки и пехота предприняли несколько ожесточённых контратак. Наши части отбросили противника, уничтожив при этом 26 танков, из них 10 тяжёлых танков типа «Тигр». Противник понёс огромные потери в живой силе.</w:t>
      </w:r>
    </w:p>
    <w:p w14:paraId="1EAA6437"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части истребили до 600 немецких солдат и офицеров. Огнём артиллерии уничтожено 4 немецких миномётных батареи, разрушено35 дзотов и 17 блиндажей. Подавлен огонь большого числа артиллерийских и миномётных батарей противника. В расположении огневых позиций немцев вызвано много пожаров, сопровождавшихся сильными взрывами.</w:t>
      </w:r>
    </w:p>
    <w:p w14:paraId="09D35E6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противник предпринял несколько контратак. Артиллерийским и ружейно-пулемётным огнём наши бойцы истребили до 400 гитлеровцев и вынудили немцев отступить. Захвачены у противника 2 орудия, 38 пулемётов, 250 винтовок и другие трофеи.</w:t>
      </w:r>
    </w:p>
    <w:p w14:paraId="0CD9A01D"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Смоленской области, ночью внезапно напал на охрану крупной железнодорожной станции. Партизаны уничтожили до роты гитлеровцев, взорвали входные и выходные стрелки, железнодорожный мост, сожгли два эшелона с боеприпасами и эшелон с горючим. Уничтожено 46 автомашин, 6 танков, 21 вагон с артиллерийскими снарядами, 17 вагонов с патронами, 9 вагонов с авиабомбами и 9 цистерн с горючим. Группа партизан другого смоленского отряда проникла в расположение немецкого аэродрома, сожгла один самолёт «Юнкерс-88» и взорвала склад с авиационными бомбами. Взрывом уничтожены аэродромные постройкии несколько автомашин.</w:t>
      </w:r>
    </w:p>
    <w:p w14:paraId="13E0345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Многие жители Орла, вынесшие нечеловеческие страдания за время немецкой оккупации, при приближении к городу частей Красной Армии устремились навстречу своим родным освободителям. Немецко-фашистские мерзавцы расстреливали этих людей из пулемётов и автоматов. Гитлеровцы силой оружия, под угрозой расстрела, угоняли мирных советских людей, жителей Орла, на каторгу в Германию. Вопреки всем международным законам и обычаям ведения войны, гитлеровские бандиты хватали подростков и стариков, заключали их в лагери и объявляли военнопленными.»</w:t>
      </w:r>
    </w:p>
    <w:p w14:paraId="1B44526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приводится точный текст «Объявления» немецкого военного комендантагенерал-майора Гамана, которое было расклеено на улицах города Орла за несколькодней до взятия его советскими войсками:</w:t>
      </w:r>
    </w:p>
    <w:p w14:paraId="271A3C1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«ОБЪЯВЛЕНИЕ Орёл объявляется боевой зоной.</w:t>
      </w:r>
    </w:p>
    <w:p w14:paraId="3480362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Гражданское население должно немедленно покинуть город в западном направлении. Покиданию города в другом направлении будет воспрепятствовано силой оружия.</w:t>
      </w:r>
    </w:p>
    <w:p w14:paraId="35AAD41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Мужчины в возрасте от 15-ти до 55-ти лет, способные носить оружие, будут, каки раньше, задерживаться. Они избегут задержания только тогда, если немедленно явятся в лагерь военнопленных на Казарменной улице.</w:t>
      </w:r>
    </w:p>
    <w:p w14:paraId="7597EA6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Каждое гражданское лицо, которое после наступления темноты будет встречено на улице, будет расстреляно.</w:t>
      </w:r>
    </w:p>
    <w:p w14:paraId="600815A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Военный комендант Гаман генерал-майор».</w:t>
      </w:r>
    </w:p>
    <w:p w14:paraId="3134B11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«Многим жителям города Орла удалось спрятаться и избежать гитлеровской каторги и неминуемой гибели. Однако факт остаётся фактом, что немецкое командование сделало всё от него зависящее, чтобы под угрозой расстрела угнать мирных жителей города. Приведённое же выше объявление немецкого военного коменданта города Орла только ещё и ещё лишний раз подтверждает, к каким неслыханным злодейским мерам прибегает гитлеровское командование в отношении советских мирных граждан.» (14983).</w:t>
      </w:r>
    </w:p>
    <w:p w14:paraId="4D7B9DDF"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1A6442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по 31 августа 1943 1902-й САП на СУ-76И участвовал в пяти боях (в среднем на 2-3 боя больше, чем любой другой полк армии). За этот период самоходчики уничтожили два танка, девять орудий, 12 пулеметов и до 250 человек солдат и офицеров. Согласно докладу командира полка от 1 сентября, "все машины, участвовавшие в предыдущих боях, имеют повреждения. Отдельные машины восстанавливались по нескольку раз, вся матчасть СУ-76 (на базе Pz III) изношена и находится в плохом состоянии. Полк был постоянно недоукомплектован, подготовка личного состава - удовлетворительная".</w:t>
      </w:r>
    </w:p>
    <w:p w14:paraId="1367C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полк участвовал в 14 боях, в которые одновременно вводилось от двух до семи САУ. Огнем самоходных установок оказывалась существенная помощь пехоте при отражении атак противника.</w:t>
      </w:r>
    </w:p>
    <w:p w14:paraId="0F8D3B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результативные бои проходили в течение 20 - 23 сентября 1943 года при преследовании отходящего противника, когда группа из шести СУ-76И уничтожила три танка противника.</w:t>
      </w:r>
    </w:p>
    <w:p w14:paraId="381D5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Обычно во время атак или преследования противника САУ следовали непосредственно вслед за танками, причем в отчете командира САП отмечалось, что если бы "танки и САУ использовались более массированно, потери полка были бы существенно снижены".</w:t>
      </w:r>
    </w:p>
    <w:p w14:paraId="580FBF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 участвовал в боевых операциях до конца ноября. 25 ноября 1943 года 1902-ой Кременчугский самоходно-артиллерийский полк, потерявший все свои машины, убыл на переформирование отечественной матчастью.</w:t>
      </w:r>
    </w:p>
    <w:p w14:paraId="6F3DF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1902-го, самоходными установками СУ-76И оснащались 1901 и 1903-ий полки, которые также использовались в августе - сентябре при проведении Белгородско-Харьковской операции (9695).</w:t>
      </w:r>
    </w:p>
    <w:p w14:paraId="374C2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03798" w14:textId="77777777" w:rsidR="00C413CC" w:rsidRPr="00271E51" w:rsidRDefault="00C413CC" w:rsidP="00271E51">
      <w:pPr>
        <w:pStyle w:val="ae"/>
        <w:shd w:val="clear" w:color="auto" w:fill="FFFFFF"/>
        <w:spacing w:before="0" w:after="0"/>
        <w:jc w:val="both"/>
        <w:rPr>
          <w:color w:val="000000" w:themeColor="text1"/>
          <w:sz w:val="16"/>
          <w:szCs w:val="16"/>
        </w:rPr>
      </w:pPr>
      <w:r w:rsidRPr="00271E51">
        <w:rPr>
          <w:color w:val="000000" w:themeColor="text1"/>
          <w:sz w:val="16"/>
          <w:szCs w:val="16"/>
        </w:rPr>
        <w:t>14 августа 1943 года состоялся боевой дебют 1902-й самоходно-артиллерийский полк (сап). К тому времени полк был усилен батареей из пяти СУ-122.</w:t>
      </w:r>
    </w:p>
    <w:p w14:paraId="3AA17BEA" w14:textId="77777777" w:rsidR="00C413CC" w:rsidRPr="00271E51" w:rsidRDefault="00C413C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Действуя в составе 5-й гвардейской армии, 1902-й сап атаковал высоту 202,4 в районе Лозовая-Крысино. В ходе ночной контратаки немцы смогли выбить советские подразделения с высоты, но 1902-й САП выбил немцев оттуда повторной атакой. В бою отличился экипаж лейтенанта Н.П. Алексеева, который подбил один средний танк, уничтожил одну противотанковую пушку и до взвода немецкой пехоты. Ответным огнём была подбита одна СУ-76И.</w:t>
      </w:r>
    </w:p>
    <w:p w14:paraId="601B949A" w14:textId="77777777" w:rsidR="00C413CC" w:rsidRPr="00271E51" w:rsidRDefault="00C413C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Полк весьма успешно действовал в связке с 33-м гвардейским стрелковым корпусом и 57-м танковым полком. Несмотря на то, что матчасть вела себя довольно капризно, на фронте 1902-й сап находился вплоть до ноября 1943 года. Он принял самое активное участие в освобождении Кременчуга (18090).</w:t>
      </w:r>
    </w:p>
    <w:p w14:paraId="1D20C2F2" w14:textId="77777777" w:rsidR="00C413CC" w:rsidRPr="00271E51" w:rsidRDefault="00C413CC" w:rsidP="00271E51">
      <w:pPr>
        <w:pStyle w:val="ae"/>
        <w:shd w:val="clear" w:color="auto" w:fill="FFFFFF"/>
        <w:spacing w:before="0" w:after="0"/>
        <w:jc w:val="both"/>
        <w:rPr>
          <w:color w:val="000000" w:themeColor="text1"/>
          <w:sz w:val="16"/>
          <w:szCs w:val="16"/>
        </w:rPr>
      </w:pPr>
    </w:p>
    <w:p w14:paraId="0CE3801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EB541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A47AF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в 1943 году (14–24 августа) Квебекская конференция глав правительств США и Англии. Конференция в Квебеке («Квадрант») Черчилля и Рузвельта. Обсуждались вопросы будущего Италии, наступления в Бирме, проведения операции «Оверлорд» и командования в Юго-Восточной Азии. Было решено «при планировании исходить из того, что Япония должна быть разгромлена в течение 12 месяцев после завершения войны с Германией» (14983).</w:t>
      </w:r>
    </w:p>
    <w:p w14:paraId="730DFA4B"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2EE0C343"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14 августа 1943 японская авиация совершает налет на авиабазу союзников в Марилинане, Новая Гвинея (20376). </w:t>
      </w:r>
    </w:p>
    <w:p w14:paraId="7FAFA419" w14:textId="77777777" w:rsidR="00155AFE" w:rsidRPr="00271E51" w:rsidRDefault="00155AFE" w:rsidP="00271E51">
      <w:pPr>
        <w:spacing w:after="0" w:line="240" w:lineRule="auto"/>
        <w:jc w:val="both"/>
        <w:rPr>
          <w:rFonts w:ascii="Times New Roman" w:hAnsi="Times New Roman"/>
          <w:color w:val="0070C0"/>
          <w:sz w:val="16"/>
          <w:szCs w:val="16"/>
        </w:rPr>
      </w:pPr>
    </w:p>
    <w:p w14:paraId="10374D38" w14:textId="77777777" w:rsidR="00155AFE" w:rsidRPr="00271E51" w:rsidRDefault="00155AF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14–15 августа (ночь) 1943 140 британских Ланкастеров бомбят Милан. Один не возвращается (20376).</w:t>
      </w:r>
    </w:p>
    <w:p w14:paraId="349A13D1" w14:textId="77777777" w:rsidR="00155AFE" w:rsidRPr="00271E51" w:rsidRDefault="00155AFE" w:rsidP="00271E51">
      <w:pPr>
        <w:spacing w:after="0" w:line="240" w:lineRule="auto"/>
        <w:jc w:val="both"/>
        <w:rPr>
          <w:rFonts w:ascii="Times New Roman" w:hAnsi="Times New Roman"/>
          <w:color w:val="0070C0"/>
          <w:sz w:val="16"/>
          <w:szCs w:val="16"/>
        </w:rPr>
      </w:pPr>
    </w:p>
    <w:p w14:paraId="7A4801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Рим был объявлен открытым городом (2262).</w:t>
      </w:r>
    </w:p>
    <w:p w14:paraId="37749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4593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августа 1943 американское правительство распорядилось выделять по бутылке пива на каждого солдата ежедневно, кроме воскресений (4962).</w:t>
      </w:r>
    </w:p>
    <w:p w14:paraId="34E0054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381EC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101C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5F8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НКАП одобрил новое "Положение о порядке проведения летных испытаний для определения дальности и продолжительности полета самолетов" - общее для ЛИИ и НИИ ВВС, а также ЛИС заводов (173,228).</w:t>
      </w:r>
    </w:p>
    <w:p w14:paraId="1354A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FC607"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51CC3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7483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августа по 5 сентября 1943 г. в составе "особой танковой роты 100" проходили фронтовые испытания "Т-34 танки-истребители", вооруженные 57-мм пушкой. Однако "танкам-истребителям" не повезло. В течение трех недель, пока рота находилась в действующей армии, немецкие танки были встречены всего один раз, причем "танки-истребители" в этот момент были в резерве и не смогли продемонстрировать свою эффективность против немецкой брони. Тем не менее, командир танковой роты, капитан Волосатов и представитель ГАБТУ инженер-полковник Зайцев, дали танкам высокую оценку по результатам стрельб по подбитым и брошенным вражеским машинам, а также амбразурам ДЗОТ (3862).</w:t>
      </w:r>
    </w:p>
    <w:p w14:paraId="1FD81B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Единственным недостатком 57-мм танковой пушки ЗИС-4М, который отмечали все, принимавшие участие в испытаниях, было крайне плохое качество осколочных снарядов (неоднократно отмечались неполноценные разрывы или их полное отсутствие) (3862).</w:t>
      </w:r>
    </w:p>
    <w:p w14:paraId="40939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1943 года заводом №92 было выпущено 172 орудия ЗИС-4М, после чего более перспективным для танков был признан переход на калибр 85-мм. Тем не менее, по отчету завода за 1944 года, им было отгружено еще 19 шт. ЗИС-4М, выпущенных, видимо, для ремонта уже стоявших на вооружении танков.</w:t>
      </w:r>
    </w:p>
    <w:p w14:paraId="786ECA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ав</w:t>
      </w:r>
      <w:r w:rsidRPr="00271E51">
        <w:rPr>
          <w:rFonts w:ascii="Times New Roman" w:hAnsi="Times New Roman"/>
          <w:color w:val="000000" w:themeColor="text1"/>
          <w:sz w:val="16"/>
          <w:szCs w:val="16"/>
        </w:rPr>
        <w:softHyphen/>
        <w:t>густа по 5 сентября 1943 г. три опытных танка Т-34 с пушкой ЗИС-4М, который был разработан в КБ-520 завода № 183 в Нижнем Тагиле под руководством главного конструктора А.А. Моро</w:t>
      </w:r>
      <w:r w:rsidRPr="00271E51">
        <w:rPr>
          <w:rFonts w:ascii="Times New Roman" w:hAnsi="Times New Roman"/>
          <w:color w:val="000000" w:themeColor="text1"/>
          <w:sz w:val="16"/>
          <w:szCs w:val="16"/>
        </w:rPr>
        <w:softHyphen/>
        <w:t>зова прошли войсковые испы</w:t>
      </w:r>
      <w:r w:rsidRPr="00271E51">
        <w:rPr>
          <w:rFonts w:ascii="Times New Roman" w:hAnsi="Times New Roman"/>
          <w:color w:val="000000" w:themeColor="text1"/>
          <w:sz w:val="16"/>
          <w:szCs w:val="16"/>
        </w:rPr>
        <w:softHyphen/>
        <w:t>тания па фронте. Установка па танк 57-мм танковой пушки была произведена для обеспечения успешной борьбы с тяжелыми танками противника типа Т-У ("Пантера") и Т-У1 ("Тигр I"). Пушка ЗИС-4 была разработана и испытана еще в середине 1941 г. Однако она не была принята на воору</w:t>
      </w:r>
      <w:r w:rsidRPr="00271E51">
        <w:rPr>
          <w:rFonts w:ascii="Times New Roman" w:hAnsi="Times New Roman"/>
          <w:color w:val="000000" w:themeColor="text1"/>
          <w:sz w:val="16"/>
          <w:szCs w:val="16"/>
        </w:rPr>
        <w:softHyphen/>
        <w:t>жение и не поставлена на производство по причине начавшейся Вели</w:t>
      </w:r>
      <w:r w:rsidRPr="00271E51">
        <w:rPr>
          <w:rFonts w:ascii="Times New Roman" w:hAnsi="Times New Roman"/>
          <w:color w:val="000000" w:themeColor="text1"/>
          <w:sz w:val="16"/>
          <w:szCs w:val="16"/>
        </w:rPr>
        <w:softHyphen/>
        <w:t>кой Отечественной войны. Серийное производство 57-мм пушек под маркой ЗИС-4М было возобновлено в июле - августе 1943 г. (10703).</w:t>
      </w:r>
    </w:p>
    <w:p w14:paraId="4D5A2C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402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закончились государственные полигонные испытания двух танков ИС и одного КВ-85 («Объект 238'», как уже говори</w:t>
      </w:r>
      <w:r w:rsidRPr="00271E51">
        <w:rPr>
          <w:rFonts w:ascii="Times New Roman" w:hAnsi="Times New Roman"/>
          <w:color w:val="000000" w:themeColor="text1"/>
          <w:sz w:val="16"/>
          <w:szCs w:val="16"/>
        </w:rPr>
        <w:softHyphen/>
        <w:t>лось, был снят с испытаний), которые проходили с 2 августа. В ходе их танк ИС № 1 прошел 866 км, № 2 — свыше 600 км, КВ-85 - 285 км (11135).</w:t>
      </w:r>
    </w:p>
    <w:p w14:paraId="72B5AE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Совместные испытания артсистем С-31 и Д-5Т показа</w:t>
      </w:r>
      <w:r w:rsidRPr="00271E51">
        <w:rPr>
          <w:rFonts w:ascii="Times New Roman" w:hAnsi="Times New Roman"/>
          <w:color w:val="000000" w:themeColor="text1"/>
          <w:sz w:val="16"/>
          <w:szCs w:val="16"/>
        </w:rPr>
        <w:softHyphen/>
        <w:t>ли, что по основным параметрам (точность стрельбы и куч</w:t>
      </w:r>
      <w:r w:rsidRPr="00271E51">
        <w:rPr>
          <w:rFonts w:ascii="Times New Roman" w:hAnsi="Times New Roman"/>
          <w:color w:val="000000" w:themeColor="text1"/>
          <w:sz w:val="16"/>
          <w:szCs w:val="16"/>
        </w:rPr>
        <w:softHyphen/>
        <w:t>ность на дистанции 500-600 м) они аналогичны, но послед</w:t>
      </w:r>
      <w:r w:rsidRPr="00271E51">
        <w:rPr>
          <w:rFonts w:ascii="Times New Roman" w:hAnsi="Times New Roman"/>
          <w:color w:val="000000" w:themeColor="text1"/>
          <w:sz w:val="16"/>
          <w:szCs w:val="16"/>
        </w:rPr>
        <w:softHyphen/>
        <w:t>няя имеет ряд преимуществ, связанных с меньшей высотой линии огня, удобстве обслуживания и меньшей вибрацией артсистемы (это сказывалось при стрельбе на расстоянии свыше 1000 м). Больше понравилась пушка Д-5Т меньшей массой и отсутствием дополнительных грузов для уравно</w:t>
      </w:r>
      <w:r w:rsidRPr="00271E51">
        <w:rPr>
          <w:rFonts w:ascii="Times New Roman" w:hAnsi="Times New Roman"/>
          <w:color w:val="000000" w:themeColor="text1"/>
          <w:sz w:val="16"/>
          <w:szCs w:val="16"/>
        </w:rPr>
        <w:softHyphen/>
        <w:t>вешивания ствола, простотой в обслуживании.</w:t>
      </w:r>
    </w:p>
    <w:p w14:paraId="3EE414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попытка пробить 102-мм броню танка «Тигр» под углом 30° на расстоянии 500 м не удалось ни из пушки Д-5Т, ни из С-31. Даже на расстоянии 100 м пробитие полу</w:t>
      </w:r>
      <w:r w:rsidRPr="00271E51">
        <w:rPr>
          <w:rFonts w:ascii="Times New Roman" w:hAnsi="Times New Roman"/>
          <w:color w:val="000000" w:themeColor="text1"/>
          <w:sz w:val="16"/>
          <w:szCs w:val="16"/>
        </w:rPr>
        <w:softHyphen/>
        <w:t>чалось «неполноценным», тогда как проба бортовой брони была легко пронизана с 600 м. Проверочные расчеты НИИ-48 подтвердили, что существующим бронебойным снарядом указанные орудия под углом 30° могут пробить броню указанной твердости на расстоянии 100 м толщиной лишь 97^98 мм, а на дистанции 600 м - 88 мм. Тем не менее, это был очень многообещающий результат.</w:t>
      </w:r>
    </w:p>
    <w:p w14:paraId="4EF906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итогам испытаний Государственная комиссия реко</w:t>
      </w:r>
      <w:r w:rsidRPr="00271E51">
        <w:rPr>
          <w:rFonts w:ascii="Times New Roman" w:hAnsi="Times New Roman"/>
          <w:color w:val="000000" w:themeColor="text1"/>
          <w:sz w:val="16"/>
          <w:szCs w:val="16"/>
        </w:rPr>
        <w:softHyphen/>
        <w:t>мендовала танк ИС для принятия на вооружение со следу</w:t>
      </w:r>
      <w:r w:rsidRPr="00271E51">
        <w:rPr>
          <w:rFonts w:ascii="Times New Roman" w:hAnsi="Times New Roman"/>
          <w:color w:val="000000" w:themeColor="text1"/>
          <w:sz w:val="16"/>
          <w:szCs w:val="16"/>
        </w:rPr>
        <w:softHyphen/>
        <w:t>ющими доработками:</w:t>
      </w:r>
    </w:p>
    <w:p w14:paraId="428DD3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Ввести гидравлический механизм поворота башни по типу примененных на американском танке М4А2.</w:t>
      </w:r>
    </w:p>
    <w:p w14:paraId="560538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Дополнить командирскую башенку зенитной турелью.</w:t>
      </w:r>
    </w:p>
    <w:p w14:paraId="214312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Предусмотреть возможность перевооружения танка ИС 100-мм и 122-мм пушками.</w:t>
      </w:r>
    </w:p>
    <w:p w14:paraId="251FF3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Предусмотреть возможность дополнения вооружения танка казнозарядным 50-мм минометом для самообо</w:t>
      </w:r>
      <w:r w:rsidRPr="00271E51">
        <w:rPr>
          <w:rFonts w:ascii="Times New Roman" w:hAnsi="Times New Roman"/>
          <w:color w:val="000000" w:themeColor="text1"/>
          <w:sz w:val="16"/>
          <w:szCs w:val="16"/>
        </w:rPr>
        <w:softHyphen/>
        <w:t>роны танка от пехоты противника.</w:t>
      </w:r>
    </w:p>
    <w:p w14:paraId="55CB40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Отработать конструкцию ломающегося прицела «не</w:t>
      </w:r>
      <w:r w:rsidRPr="00271E51">
        <w:rPr>
          <w:rFonts w:ascii="Times New Roman" w:hAnsi="Times New Roman"/>
          <w:color w:val="000000" w:themeColor="text1"/>
          <w:sz w:val="16"/>
          <w:szCs w:val="16"/>
        </w:rPr>
        <w:softHyphen/>
        <w:t>мецкого типа».</w:t>
      </w:r>
    </w:p>
    <w:p w14:paraId="716B7C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Предусмотреть возможность размещения командира справа от орудия, а заряжающего слева («под правую руку»).</w:t>
      </w:r>
    </w:p>
    <w:p w14:paraId="438426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Изготовить и испытать башню и корпус танка из брони высокой твердости с сохранением толщин.</w:t>
      </w:r>
    </w:p>
    <w:p w14:paraId="3FC0BD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Спроектировать и испытать на танке ИС двухтактный дизельный двигатель мощностью 800 л.с.</w:t>
      </w:r>
    </w:p>
    <w:p w14:paraId="604564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Испытать гусеничные цепи с резинометаллическими</w:t>
      </w:r>
    </w:p>
    <w:p w14:paraId="613081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сайлент-блоками американского типа (11135).</w:t>
      </w:r>
    </w:p>
    <w:p w14:paraId="1CE599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403540" w14:textId="77777777" w:rsidR="00C413CC" w:rsidRPr="00271E51" w:rsidRDefault="00C413C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15 августа 1943 пришло заключение об испытаниях «Тетрарха» на НИИБТ Полигоне. Стоит напомнить, что туда танк был отправлен ещё в середине июля 1942 года. Вместо полноценной работы были проведены кратковременные испытания, отчёт о которых занял целых 9 листов, написанных вручную. По итогам было дано заключение, что танк МК-VII представляет собой сложную по конструкции, маломанёвренную машину со слабой бронёй. По этой причине она не представляет собой интерес как боевая единица в армии. Как говорится, лучше поздно, чем никогда (17648).</w:t>
      </w:r>
    </w:p>
    <w:p w14:paraId="4D47A43A"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507425F4" w14:textId="77777777" w:rsidR="00E80F52"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2E0D62A" w14:textId="77777777" w:rsidR="00E80F52" w:rsidRPr="00271E51" w:rsidRDefault="00E80F5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4B88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в 1943 году оперативная сводка Совинформбюро:</w:t>
      </w:r>
    </w:p>
    <w:p w14:paraId="3CA85136"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наши войска на Брянском направлении, сломив сопротивление противника, после упорных уличных боёв овладели городом Карачев.</w:t>
      </w:r>
    </w:p>
    <w:p w14:paraId="20405E9C"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этом же направлении наши войска, продолжая наступление, продвинулись вперёд от 6 до 10 километров, заняли свыше 70 населённых пунктов, в том числе районный центр Хвастовичи, крупные населённые пункты Зикеево, Щигры, Ловать, Стайки, Песочня, Бошино, Муравельник, Железная, Гавриловна и железнодорожные станции Солоновка, Зикеево.</w:t>
      </w:r>
    </w:p>
    <w:p w14:paraId="607A3FEA"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отбивая контратаки противника, продолжали наступление и заняли несколько населённых пунктов.</w:t>
      </w:r>
    </w:p>
    <w:p w14:paraId="4CF2EB8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Спас-Деменска, продвинулись вперёд и улучшили свои позиции.</w:t>
      </w:r>
    </w:p>
    <w:p w14:paraId="1E421C4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разведку и артиллерийско-миномётную перестрелку с противником.</w:t>
      </w:r>
    </w:p>
    <w:p w14:paraId="69442DF4"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августа наши войска на всех фронтах подбили и уничтожили 70 немецких танков. В воздушных боях и огнём зенитной артиллерии сбито 64 самолёта противника.</w:t>
      </w:r>
    </w:p>
    <w:p w14:paraId="77A3D921"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63CDD1FA"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дня в районе Карачева происходили ожесточённые бои за высоты, прикрывающие подступы к городу. Стремясь удержать любой ценой эти решающие позиции, противник ввёл в бой свежие резервы пехоты и танков. Наши гвардейскиеподразделения сломили сопротивление немцев, штурмом заняли высоты и, преследуя разгромленного врага, ворвались на улицы Карачева. В результате упорных уличных боёв наши войска нанесли противнику огромный урон и овладели городом Карачев. В боях за город разгромлены крупные силы противника. Захвачено много трофеев и пленных.</w:t>
      </w:r>
    </w:p>
    <w:p w14:paraId="69FD61EC"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Карачев наши части продвинулись вперёд и заняли свыше 50 населённых пунктов, в том числе районный центр Хвастовичи. В боях за эти населённые пункты частями Н-ского соединения уничтожено до 3.000 солдат и офицеров противника. Подбито и сожжено 28 немецких танков, уничтожено 18 орудий, из них 4 самоходных, 15 миномётов, 86 пулемётов и несколько десятков автомашин и повозок с военными грузами.</w:t>
      </w:r>
    </w:p>
    <w:p w14:paraId="38A28F7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Дмитровск-Орловский части Н-ского соединения освободили от немецких оккупантов 26 населённых пунктов.</w:t>
      </w:r>
    </w:p>
    <w:p w14:paraId="4F66EEA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наступление.</w:t>
      </w:r>
    </w:p>
    <w:p w14:paraId="3ADE1A0A"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Н-ское гвардейское соединение, отбивая контратаки противника, продвинулось вперёд и заняло несколько населённых пунктов. Уничтожено до 900 гитлеровцев. Захвачены 11 орудий, 3 бронемашины, 24 пулемёта и другие трофеи. На другом участке наши бойцы уничтожили 26 немецких танков и 2 самоходных орудия. Юго-восточнее Харькова части Н-ского соединения отразили несколько контратак противника, продвинулись вперёд и заняли сильно укреплённые позиции немцев. Захвачены трофеи, в числе которых 13 орудий, 53 пулемёта, 25 шестиствольных миномётов, 80 автомашин и 8 складов боеприпасов.</w:t>
      </w:r>
    </w:p>
    <w:p w14:paraId="7599D343"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с величайшим героизмом и отвагой очищают украинскую землю от немецких захватчиков. Казах старший сержант Матаев Ахтай в штыковой схватке уничтожил 5 гитлеровцев, обезоружил и взял в плен 3 немецких солдат. Снайпер узбек Нурудинов истребил вышедших из машины немецких танкистов и захватил исправный танк «Тигр». Туркмен автоматчик Зляев Курбан в бою за населённый пункт огнём из своего автомата уничтожил 17 немецких солдат и одного офицера. Красноармеец татарин Баширов в одном бою огнём из своей винтовки уничтожил 20 немцев.</w:t>
      </w:r>
    </w:p>
    <w:p w14:paraId="294AA52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Спас-Деменска, продвинулись вперёд и улучшили свои позиции. Немцы подготовили многие населённые пункты к круговой обороне, опоясали их траншеями, прикрыли подступы к ним проволочными заграждениями и широкими минными полями. Опираясь на эти пункты, противник оказывает упорное сопротивление. Ожесточённый бой произошёл в районе сильно укреплённого пункта Веркуличи. Здесь наши бойцы отбили контратаку немцев, а затем стремительным ударом с флангов выбили противника из Веркуличей. В этом бою уничтожено до 400 гитлеровцев. Захвачены 12 орудий, много пулемётов, миномётов и крупный продовольственный склад. На другом участке бойцы Н-ского соединения с боями продвигались вперед, заняли 30 населённых пунктов и уничтожили 1.200 немецких солдат и офицеров. Захвачены трофеи и пленные.</w:t>
      </w:r>
    </w:p>
    <w:p w14:paraId="2FAFA8A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бомбардировала и штурмовала войска противника. В течение дня в воздушных боях наши лётчики сбили 25 немецких самолетов.</w:t>
      </w:r>
    </w:p>
    <w:p w14:paraId="00E611CC"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Юго-западнее Чугуева наши подразделения переправились через Северный Донец и овладели тремя населёнными пунктами. Советские бойцы захватили у немцев 7 орудий, тягач, 2 склада с боеприпасами и взяли пленных.</w:t>
      </w:r>
    </w:p>
    <w:p w14:paraId="15456DA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участке Волховского фронта противник в течение дня семь раз пытался атаковать наши позиции. Встречая гитлеровцев сосредоточенным миномётно-пулемётным огнём, наши подразделения отбили все атаки противника. В результате боя уничтожено до батальона немецкой пехоты.</w:t>
      </w:r>
    </w:p>
    <w:p w14:paraId="238BFEB4"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из портов Чёрного моря наши лётчики потопили буксир, десантную и три сухогрузных баржи противника. Кроме того, повреждены другие суда противника, находившиеся в этом порту.</w:t>
      </w:r>
    </w:p>
    <w:p w14:paraId="4CB7015D"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партизан из отряда имени Кирова, действующего на Украине, узнав о продвижении по шоссейной дороге вражеского обоза, устроила засаду. Когда тяжелогружённые повозки приблизились к месту засады, партизаны открыли пулемётный огонь и истребили 40 венгерских солдат из охраны обоза. Советские патриоты захватили вооружение венгров и 20 повозок с военными грузами.</w:t>
      </w:r>
    </w:p>
    <w:p w14:paraId="23BC374C"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приводятся выдержки из письма к матери 17-летней девушки Розы, увезённой немецкими людоедами из города Орла на каторгу в Германию: «Здравствуйте, милая мамочка! От вас нет писем. Не знаю, что и подумать. Вы, конечно, живёте плохо. Мама! Продай все мои вещи и купи себе хлеба. Не береги ничего для меня. Долго я едва ли выдержу. Очень ослабела. Работаем мы у барона Ф. Работаем кошмарно. Болят все суставы. Иногда с работы меня ведут под руки мои подруги. Мы стонем, как старухи, от боли в пояснице. В дождь, холод и жару работаем целый день, с раннего утра и до захода солнца. Живём в барском сарае, под замком, с решётками на окнах. У нашего барона Ф. работает 70 человек — девушки из Чернигова, из Вязьмы, из Петергофа. Много среди нас студенток и десятиклассниц. Все мы тоскуем о родине... Мама! Помнишь, как я мечтала быть врачом или актрисой? Я об этом не могу вспомнить без слёз. Мы теперь, словно тучки невольные, вечные странники, не можем приплыть к своей родине.</w:t>
      </w:r>
    </w:p>
    <w:p w14:paraId="06A22CFD"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Слёзы выступают на глазах, когда задумаешься, оторвёшься от работы и слышишь за спиной крики и похабную ругань надзирателя. Работать требуют споро ,разогнуться нельзя, ибо сейчас же поднимется плеть надзирателя. Я никогда не была так морально унижена, как теперь. Прости меня, мама. Но возможно, что это письмо будет последним. Роза».</w:t>
      </w:r>
    </w:p>
    <w:p w14:paraId="16A4993D"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Советский народ никогда не забудет горя и слёз своих дочерей, изнывающих в фашистской неволе. Мы учитываем подлых немецких работорговцев, терзающих советских людей. Фашистским людоедам не избежать сурового возмездия.» (14984).</w:t>
      </w:r>
    </w:p>
    <w:p w14:paraId="43977CE5"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259F3ED3"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в 1943 году немецко-фашистские войска нанесли контрудар по войскам Воронежского фронта, захватившим плацдарм на западном берегу реки Ворскла (14984).</w:t>
      </w:r>
    </w:p>
    <w:p w14:paraId="6939F220"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6F0AAEC8"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в 1943 году 3-я немецкая танковая армия и 1-я моторизированная дивизия нанесли контрудар войскам Воронежского фронта, захватившим плацдарм на западном берегу реки Ворскла (14984).</w:t>
      </w:r>
    </w:p>
    <w:p w14:paraId="07E023D9"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3CCBF29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726F5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3B51D9"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15 августа 1943 американские войска высадились на Велла Лавелла. Японцы реагируют налетами в течение дня, но приносят лишь небольшой ущерб и истребители F4U Corsair Корпуса морской пехоты США обстреливают Kahili Аэродром на острове Бугенвиль. Японцы утверждают, что потеряли 17 самолетов, но американские силы заявляют, что 44 сбиты (20376). </w:t>
      </w:r>
    </w:p>
    <w:p w14:paraId="09BFACCE" w14:textId="77777777" w:rsidR="00F85007" w:rsidRPr="00271E51" w:rsidRDefault="00F85007" w:rsidP="00271E51">
      <w:pPr>
        <w:spacing w:after="0" w:line="240" w:lineRule="auto"/>
        <w:jc w:val="both"/>
        <w:rPr>
          <w:rFonts w:ascii="Times New Roman" w:hAnsi="Times New Roman"/>
          <w:color w:val="0070C0"/>
          <w:sz w:val="16"/>
          <w:szCs w:val="16"/>
        </w:rPr>
      </w:pPr>
    </w:p>
    <w:p w14:paraId="19550C71"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августа 1943 в ходе операции «Коттедж» американские и канадские войска вторгаются в Киску и обнаруживают, что все японцы тайно эвакуировали остров 28 июля. Используя 359 боевых самолетов - больше, чем когда-либо было во время Второй мировой войны, - 11-я воздушная армия вела непрерывные бомбардировки и сбрасывали листовки о капитуляции за три недели до вторжения, в основном против необитаемого острова. С 1 июня одиннадцатый военно-воздушный флот совершил 1454 самолето-пролета против Киски, сбросив 1255 тонн (1 255 000 кг) бомб. Высадка на Киске завершает 439-дневную кампанию на Алеутских островах , в ходе которой 11 армия совершила 3609 боевых вылетов, сбросила 3500 тонн (3500000 кг) бомб, потеряла 40 самолетов в бою и 174 самолета по другим причинам а 192 самолета – были повреждены. Патрульные самолеты ВМС США совершили 704 боевых вылета, сбросили 590 000 фунтов (270 000 кг) бомб и потеряли 16 самолетов в бою и 35 по другим причинам. Включая транспортную авиацию, союзники потеряли 471 самолет во время кампании по различным причинам, в то время как японцы потеряли 69 самолетов в бою и около 200 - по другим причинам (20376).</w:t>
      </w:r>
    </w:p>
    <w:p w14:paraId="6ECB07F7" w14:textId="77777777" w:rsidR="00F85007" w:rsidRPr="00271E51" w:rsidRDefault="00F85007" w:rsidP="00271E51">
      <w:pPr>
        <w:spacing w:after="0" w:line="240" w:lineRule="auto"/>
        <w:jc w:val="both"/>
        <w:rPr>
          <w:rFonts w:ascii="Times New Roman" w:hAnsi="Times New Roman"/>
          <w:color w:val="0070C0"/>
          <w:sz w:val="16"/>
          <w:szCs w:val="16"/>
        </w:rPr>
      </w:pPr>
    </w:p>
    <w:p w14:paraId="7DFD826B"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15–16 августа (ночь) 1943 бомбардировочное командование Королевских ВВС совершает последний налет на Италию: 199 Ланкастеров атакуют Милан и 154 - Турин. Одиннадцать бомбардировщиков потеряны, большинство из них было сбито немецкими истребителями, ожидающими их на обратном пути через Францию (20376). </w:t>
      </w:r>
    </w:p>
    <w:p w14:paraId="01812E19" w14:textId="77777777" w:rsidR="00F85007" w:rsidRPr="00271E51" w:rsidRDefault="00F85007" w:rsidP="00271E51">
      <w:pPr>
        <w:spacing w:after="0" w:line="240" w:lineRule="auto"/>
        <w:jc w:val="both"/>
        <w:rPr>
          <w:rFonts w:ascii="Times New Roman" w:hAnsi="Times New Roman"/>
          <w:color w:val="0070C0"/>
          <w:sz w:val="16"/>
          <w:szCs w:val="16"/>
        </w:rPr>
      </w:pPr>
    </w:p>
    <w:p w14:paraId="2CABF81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в Мадриде итальянский генерал Дж. Кастельяно тайно встретился с английским послом, попросив помощи в выводе Италии из союза с Германией (4962).</w:t>
      </w:r>
    </w:p>
    <w:p w14:paraId="5C59692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35B4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после тяжелой бомбежки американские войска вторглись на остров Киска (Алеутские острова), внезапно выяснив, что японцы оставили остров за три недели до этого (4962).</w:t>
      </w:r>
    </w:p>
    <w:p w14:paraId="00726EE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5EE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американцы высадились на Киске, Алеутские острова (2246,4).</w:t>
      </w:r>
    </w:p>
    <w:p w14:paraId="01599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224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1943 по приказу Мао Цзедуна в Компартии Китая началась чистка (4962).</w:t>
      </w:r>
    </w:p>
    <w:p w14:paraId="784E17B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1948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CDC3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E04939" w14:textId="77777777" w:rsidR="00C413CC" w:rsidRPr="00271E51" w:rsidRDefault="00C413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середине августа месяца 1943 работы по самолету Ил-2М АМ-42 - С-42 на заводе № 18 фактически остановились. Военпреды забили тревогу. Директор завода А. А. Белянский вынужден был «реагировать». Своим приказом от 23 августа он потребовал от производственников передать С-42 на ЛИС завода к 15 сентября. Однако этот шаг Белянского, как оказалось впоследствии, был своего рода страховкой от возможных в будущем упреков в бездействии, так как выполнять этот приказ никто не собирался. Работы по С-42 продолжали идти «ни шатко ни валко». Согласно сводке по опытному самолетостроению от 25 сентября, С-42 еще находился в состоянии сборки.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авиазаводе старшего техника-лейтенанта В. В. Никулина, «общий объем работы» по С-42 для приведения его в летное состояние оставался всего на «2–3 дня, но завод совершенно не занимается самолетом» (17490).</w:t>
      </w:r>
    </w:p>
    <w:p w14:paraId="6565CE45"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0DA720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w:t>
      </w:r>
      <w:r w:rsidRPr="00271E51">
        <w:rPr>
          <w:rFonts w:ascii="Times New Roman" w:hAnsi="Times New Roman"/>
          <w:color w:val="000000" w:themeColor="text1"/>
          <w:sz w:val="16"/>
          <w:szCs w:val="16"/>
        </w:rPr>
        <w:softHyphen/>
        <w:t>дине августа месяца 1943 работы по самолету С-42 фактически остановились. Военпре</w:t>
      </w:r>
      <w:r w:rsidRPr="00271E51">
        <w:rPr>
          <w:rFonts w:ascii="Times New Roman" w:hAnsi="Times New Roman"/>
          <w:color w:val="000000" w:themeColor="text1"/>
          <w:sz w:val="16"/>
          <w:szCs w:val="16"/>
        </w:rPr>
        <w:softHyphen/>
        <w:t>ды забили тревогу. Директор завода А. А. Белянский вынужден был "реа</w:t>
      </w:r>
      <w:r w:rsidRPr="00271E51">
        <w:rPr>
          <w:rFonts w:ascii="Times New Roman" w:hAnsi="Times New Roman"/>
          <w:color w:val="000000" w:themeColor="text1"/>
          <w:sz w:val="16"/>
          <w:szCs w:val="16"/>
        </w:rPr>
        <w:softHyphen/>
        <w:t>гировать". Своим приказом от 23 августа он потребовал от производ</w:t>
      </w:r>
      <w:r w:rsidRPr="00271E51">
        <w:rPr>
          <w:rFonts w:ascii="Times New Roman" w:hAnsi="Times New Roman"/>
          <w:color w:val="000000" w:themeColor="text1"/>
          <w:sz w:val="16"/>
          <w:szCs w:val="16"/>
        </w:rPr>
        <w:softHyphen/>
        <w:t>ственников передать С-42 на ЛИС завода к 15 сентября. Однако этот шаг Белянского, как оказалось впос</w:t>
      </w:r>
      <w:r w:rsidRPr="00271E51">
        <w:rPr>
          <w:rFonts w:ascii="Times New Roman" w:hAnsi="Times New Roman"/>
          <w:color w:val="000000" w:themeColor="text1"/>
          <w:sz w:val="16"/>
          <w:szCs w:val="16"/>
        </w:rPr>
        <w:softHyphen/>
        <w:t>ледствии, был своего рода страхов</w:t>
      </w:r>
      <w:r w:rsidRPr="00271E51">
        <w:rPr>
          <w:rFonts w:ascii="Times New Roman" w:hAnsi="Times New Roman"/>
          <w:color w:val="000000" w:themeColor="text1"/>
          <w:sz w:val="16"/>
          <w:szCs w:val="16"/>
        </w:rPr>
        <w:softHyphen/>
        <w:t>кой от возможных в будущем упре</w:t>
      </w:r>
      <w:r w:rsidRPr="00271E51">
        <w:rPr>
          <w:rFonts w:ascii="Times New Roman" w:hAnsi="Times New Roman"/>
          <w:color w:val="000000" w:themeColor="text1"/>
          <w:sz w:val="16"/>
          <w:szCs w:val="16"/>
        </w:rPr>
        <w:softHyphen/>
        <w:t>ков в бездействии, так как выполнять этот приказ никто не собирался. Ра</w:t>
      </w:r>
      <w:r w:rsidRPr="00271E51">
        <w:rPr>
          <w:rFonts w:ascii="Times New Roman" w:hAnsi="Times New Roman"/>
          <w:color w:val="000000" w:themeColor="text1"/>
          <w:sz w:val="16"/>
          <w:szCs w:val="16"/>
        </w:rPr>
        <w:softHyphen/>
        <w:t>боты по С-42 шли "ни шатко, ни вал</w:t>
      </w:r>
      <w:r w:rsidRPr="00271E51">
        <w:rPr>
          <w:rFonts w:ascii="Times New Roman" w:hAnsi="Times New Roman"/>
          <w:color w:val="000000" w:themeColor="text1"/>
          <w:sz w:val="16"/>
          <w:szCs w:val="16"/>
        </w:rPr>
        <w:softHyphen/>
        <w:t>ко". Согласно сводке по опытному самолетостроению от 25 сентября С-42 еще находился в состоянии сбор</w:t>
      </w:r>
      <w:r w:rsidRPr="00271E51">
        <w:rPr>
          <w:rFonts w:ascii="Times New Roman" w:hAnsi="Times New Roman"/>
          <w:color w:val="000000" w:themeColor="text1"/>
          <w:sz w:val="16"/>
          <w:szCs w:val="16"/>
        </w:rPr>
        <w:softHyphen/>
        <w:t>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w:t>
      </w:r>
      <w:r w:rsidRPr="00271E51">
        <w:rPr>
          <w:rFonts w:ascii="Times New Roman" w:hAnsi="Times New Roman"/>
          <w:color w:val="000000" w:themeColor="text1"/>
          <w:sz w:val="16"/>
          <w:szCs w:val="16"/>
        </w:rPr>
        <w:softHyphen/>
        <w:t>заводе ст. техника-лейтенанта В. Никулина, "общий объем работы" по С-42 для приведения его в летное состояние оставался всего на "2-3 дня, но завод совершенно не зани</w:t>
      </w:r>
      <w:r w:rsidRPr="00271E51">
        <w:rPr>
          <w:rFonts w:ascii="Times New Roman" w:hAnsi="Times New Roman"/>
          <w:color w:val="000000" w:themeColor="text1"/>
          <w:sz w:val="16"/>
          <w:szCs w:val="16"/>
        </w:rPr>
        <w:softHyphen/>
        <w:t>мается самолетом".</w:t>
      </w:r>
    </w:p>
    <w:p w14:paraId="5F9AB7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всему, 18-й авиазавод по согласованию с Ильюшиным был со</w:t>
      </w:r>
      <w:r w:rsidRPr="00271E51">
        <w:rPr>
          <w:rFonts w:ascii="Times New Roman" w:hAnsi="Times New Roman"/>
          <w:color w:val="000000" w:themeColor="text1"/>
          <w:sz w:val="16"/>
          <w:szCs w:val="16"/>
        </w:rPr>
        <w:softHyphen/>
        <w:t>риентирован в первую очередь на постройку самолета Ил-1 АМ-42, а работы по С-42, который в целом был "похож" на "следопыт" 240-го завода, велись по остаточному прин</w:t>
      </w:r>
      <w:r w:rsidRPr="00271E51">
        <w:rPr>
          <w:rFonts w:ascii="Times New Roman" w:hAnsi="Times New Roman"/>
          <w:color w:val="000000" w:themeColor="text1"/>
          <w:sz w:val="16"/>
          <w:szCs w:val="16"/>
        </w:rPr>
        <w:softHyphen/>
        <w:t>ципу. Тем более что договориться было нетрудно, так как начальником СКО был представитель ОКБ на за</w:t>
      </w:r>
      <w:r w:rsidRPr="00271E51">
        <w:rPr>
          <w:rFonts w:ascii="Times New Roman" w:hAnsi="Times New Roman"/>
          <w:color w:val="000000" w:themeColor="text1"/>
          <w:sz w:val="16"/>
          <w:szCs w:val="16"/>
        </w:rPr>
        <w:softHyphen/>
        <w:t>воде В. Н. Бугайский. Поэтому на С-42 выделялось ровно столько людей, сколько оставалось не задействован</w:t>
      </w:r>
      <w:r w:rsidRPr="00271E51">
        <w:rPr>
          <w:rFonts w:ascii="Times New Roman" w:hAnsi="Times New Roman"/>
          <w:color w:val="000000" w:themeColor="text1"/>
          <w:sz w:val="16"/>
          <w:szCs w:val="16"/>
        </w:rPr>
        <w:softHyphen/>
        <w:t>ными в работах по бронированно</w:t>
      </w:r>
      <w:r w:rsidRPr="00271E51">
        <w:rPr>
          <w:rFonts w:ascii="Times New Roman" w:hAnsi="Times New Roman"/>
          <w:color w:val="000000" w:themeColor="text1"/>
          <w:sz w:val="16"/>
          <w:szCs w:val="16"/>
        </w:rPr>
        <w:softHyphen/>
        <w:t>му истребителю и серийной продук</w:t>
      </w:r>
      <w:r w:rsidRPr="00271E51">
        <w:rPr>
          <w:rFonts w:ascii="Times New Roman" w:hAnsi="Times New Roman"/>
          <w:color w:val="000000" w:themeColor="text1"/>
          <w:sz w:val="16"/>
          <w:szCs w:val="16"/>
        </w:rPr>
        <w:softHyphen/>
        <w:t>ции завода. Очевидно, что свобод</w:t>
      </w:r>
      <w:r w:rsidRPr="00271E51">
        <w:rPr>
          <w:rFonts w:ascii="Times New Roman" w:hAnsi="Times New Roman"/>
          <w:color w:val="000000" w:themeColor="text1"/>
          <w:sz w:val="16"/>
          <w:szCs w:val="16"/>
        </w:rPr>
        <w:softHyphen/>
        <w:t>ных людей не было никогда.</w:t>
      </w:r>
    </w:p>
    <w:p w14:paraId="4D8221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основные усилия ОКБ Ильюшина сосредоточились на самолете Ил-2 АМ-42 в варианте разведчика и корректировщика ар</w:t>
      </w:r>
      <w:r w:rsidRPr="00271E51">
        <w:rPr>
          <w:rFonts w:ascii="Times New Roman" w:hAnsi="Times New Roman"/>
          <w:color w:val="000000" w:themeColor="text1"/>
          <w:sz w:val="16"/>
          <w:szCs w:val="16"/>
        </w:rPr>
        <w:softHyphen/>
        <w:t>тиллерийского огня.</w:t>
      </w:r>
    </w:p>
    <w:p w14:paraId="144D13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такое "разделе</w:t>
      </w:r>
      <w:r w:rsidRPr="00271E51">
        <w:rPr>
          <w:rFonts w:ascii="Times New Roman" w:hAnsi="Times New Roman"/>
          <w:color w:val="000000" w:themeColor="text1"/>
          <w:sz w:val="16"/>
          <w:szCs w:val="16"/>
        </w:rPr>
        <w:softHyphen/>
        <w:t>ние труда" было связано с поступив</w:t>
      </w:r>
      <w:r w:rsidRPr="00271E51">
        <w:rPr>
          <w:rFonts w:ascii="Times New Roman" w:hAnsi="Times New Roman"/>
          <w:color w:val="000000" w:themeColor="text1"/>
          <w:sz w:val="16"/>
          <w:szCs w:val="16"/>
        </w:rPr>
        <w:softHyphen/>
        <w:t>шими в НКАП сведениями об успеш</w:t>
      </w:r>
      <w:r w:rsidRPr="00271E51">
        <w:rPr>
          <w:rFonts w:ascii="Times New Roman" w:hAnsi="Times New Roman"/>
          <w:color w:val="000000" w:themeColor="text1"/>
          <w:sz w:val="16"/>
          <w:szCs w:val="16"/>
        </w:rPr>
        <w:softHyphen/>
        <w:t>ном прохождении двухместным штур</w:t>
      </w:r>
      <w:r w:rsidRPr="00271E51">
        <w:rPr>
          <w:rFonts w:ascii="Times New Roman" w:hAnsi="Times New Roman"/>
          <w:color w:val="000000" w:themeColor="text1"/>
          <w:sz w:val="16"/>
          <w:szCs w:val="16"/>
        </w:rPr>
        <w:softHyphen/>
        <w:t>мовиком Су-6 М-71ф государствен</w:t>
      </w:r>
      <w:r w:rsidRPr="00271E51">
        <w:rPr>
          <w:rFonts w:ascii="Times New Roman" w:hAnsi="Times New Roman"/>
          <w:color w:val="000000" w:themeColor="text1"/>
          <w:sz w:val="16"/>
          <w:szCs w:val="16"/>
        </w:rPr>
        <w:softHyphen/>
        <w:t>ных летных испытаний. По определя</w:t>
      </w:r>
      <w:r w:rsidRPr="00271E51">
        <w:rPr>
          <w:rFonts w:ascii="Times New Roman" w:hAnsi="Times New Roman"/>
          <w:color w:val="000000" w:themeColor="text1"/>
          <w:sz w:val="16"/>
          <w:szCs w:val="16"/>
        </w:rPr>
        <w:softHyphen/>
        <w:t>ющим летно-боевым качествам (ско</w:t>
      </w:r>
      <w:r w:rsidRPr="00271E51">
        <w:rPr>
          <w:rFonts w:ascii="Times New Roman" w:hAnsi="Times New Roman"/>
          <w:color w:val="000000" w:themeColor="text1"/>
          <w:sz w:val="16"/>
          <w:szCs w:val="16"/>
        </w:rPr>
        <w:softHyphen/>
        <w:t>рость, маневренность, вооружение, боевая живучесть и т.д.) "сухой" зна</w:t>
      </w:r>
      <w:r w:rsidRPr="00271E51">
        <w:rPr>
          <w:rFonts w:ascii="Times New Roman" w:hAnsi="Times New Roman"/>
          <w:color w:val="000000" w:themeColor="text1"/>
          <w:sz w:val="16"/>
          <w:szCs w:val="16"/>
        </w:rPr>
        <w:softHyphen/>
        <w:t>чительно превзошел как серийный Ил-2, так и все его варианты с мото</w:t>
      </w:r>
      <w:r w:rsidRPr="00271E51">
        <w:rPr>
          <w:rFonts w:ascii="Times New Roman" w:hAnsi="Times New Roman"/>
          <w:color w:val="000000" w:themeColor="text1"/>
          <w:sz w:val="16"/>
          <w:szCs w:val="16"/>
        </w:rPr>
        <w:softHyphen/>
        <w:t>ром АМ-42. Это была реальная и се</w:t>
      </w:r>
      <w:r w:rsidRPr="00271E51">
        <w:rPr>
          <w:rFonts w:ascii="Times New Roman" w:hAnsi="Times New Roman"/>
          <w:color w:val="000000" w:themeColor="text1"/>
          <w:sz w:val="16"/>
          <w:szCs w:val="16"/>
        </w:rPr>
        <w:softHyphen/>
        <w:t>рьезная угроза монополии брониро</w:t>
      </w:r>
      <w:r w:rsidRPr="00271E51">
        <w:rPr>
          <w:rFonts w:ascii="Times New Roman" w:hAnsi="Times New Roman"/>
          <w:color w:val="000000" w:themeColor="text1"/>
          <w:sz w:val="16"/>
          <w:szCs w:val="16"/>
        </w:rPr>
        <w:softHyphen/>
        <w:t xml:space="preserve">ванных самолетов семейства "Ил" </w:t>
      </w:r>
      <w:r w:rsidRPr="00271E51">
        <w:rPr>
          <w:rFonts w:ascii="Times New Roman" w:hAnsi="Times New Roman"/>
          <w:color w:val="000000" w:themeColor="text1"/>
          <w:sz w:val="16"/>
          <w:szCs w:val="16"/>
        </w:rPr>
        <w:lastRenderedPageBreak/>
        <w:t>на авиазаводах и в войсках.</w:t>
      </w:r>
    </w:p>
    <w:p w14:paraId="6BF8D9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никаких специаль</w:t>
      </w:r>
      <w:r w:rsidRPr="00271E51">
        <w:rPr>
          <w:rFonts w:ascii="Times New Roman" w:hAnsi="Times New Roman"/>
          <w:color w:val="000000" w:themeColor="text1"/>
          <w:sz w:val="16"/>
          <w:szCs w:val="16"/>
        </w:rPr>
        <w:softHyphen/>
        <w:t>ных обозначений для разведчика и корректировщика артогня Ил-2 АМ-42, равно как и для самолета Ил-2М, после его прибытия в Москву, в документах не употреблялось. В пе</w:t>
      </w:r>
      <w:r w:rsidRPr="00271E51">
        <w:rPr>
          <w:rFonts w:ascii="Times New Roman" w:hAnsi="Times New Roman"/>
          <w:color w:val="000000" w:themeColor="text1"/>
          <w:sz w:val="16"/>
          <w:szCs w:val="16"/>
        </w:rPr>
        <w:softHyphen/>
        <w:t>реписке использовалось только одно наименование Ил-2 АМ-42 с добав</w:t>
      </w:r>
      <w:r w:rsidRPr="00271E51">
        <w:rPr>
          <w:rFonts w:ascii="Times New Roman" w:hAnsi="Times New Roman"/>
          <w:color w:val="000000" w:themeColor="text1"/>
          <w:sz w:val="16"/>
          <w:szCs w:val="16"/>
        </w:rPr>
        <w:softHyphen/>
        <w:t>лением разведчик и корректировщик артиллерийского огня (для самолета завода № 240) или штурмовик-бом</w:t>
      </w:r>
      <w:r w:rsidRPr="00271E51">
        <w:rPr>
          <w:rFonts w:ascii="Times New Roman" w:hAnsi="Times New Roman"/>
          <w:color w:val="000000" w:themeColor="text1"/>
          <w:sz w:val="16"/>
          <w:szCs w:val="16"/>
        </w:rPr>
        <w:softHyphen/>
        <w:t>бардировщик (для самолета завода № 18). Иногда указывался номер завода изготовителя без упоминания тактического назначения самолета (11427).</w:t>
      </w:r>
    </w:p>
    <w:p w14:paraId="44C35E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14A9F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1C8E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02A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середине августа 1943-го с целью перехвата и уничтожения ТКА командир 11-й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п-п-к А.А.Губрий выдвинул на прибрежные аэродромы дежурные груп</w:t>
      </w:r>
      <w:r w:rsidRPr="00271E51">
        <w:rPr>
          <w:rFonts w:ascii="Times New Roman" w:hAnsi="Times New Roman"/>
          <w:color w:val="000000" w:themeColor="text1"/>
          <w:sz w:val="16"/>
          <w:szCs w:val="16"/>
        </w:rPr>
        <w:softHyphen/>
        <w:t>пы Ил-2, которые находились днем в 20-ти минутной готовности к боевому вы</w:t>
      </w:r>
      <w:r w:rsidRPr="00271E51">
        <w:rPr>
          <w:rFonts w:ascii="Times New Roman" w:hAnsi="Times New Roman"/>
          <w:color w:val="000000" w:themeColor="text1"/>
          <w:sz w:val="16"/>
          <w:szCs w:val="16"/>
        </w:rPr>
        <w:softHyphen/>
        <w:t>лету. Разведданные о перемещениях торпедных катеров противника поступа</w:t>
      </w:r>
      <w:r w:rsidRPr="00271E51">
        <w:rPr>
          <w:rFonts w:ascii="Times New Roman" w:hAnsi="Times New Roman"/>
          <w:color w:val="000000" w:themeColor="text1"/>
          <w:sz w:val="16"/>
          <w:szCs w:val="16"/>
        </w:rPr>
        <w:softHyphen/>
        <w:t xml:space="preserve">ли от 30-го </w:t>
      </w:r>
      <w:r w:rsidRPr="00271E51">
        <w:rPr>
          <w:rFonts w:ascii="Times New Roman" w:hAnsi="Times New Roman"/>
          <w:iCs/>
          <w:color w:val="000000" w:themeColor="text1"/>
          <w:sz w:val="16"/>
          <w:szCs w:val="16"/>
        </w:rPr>
        <w:t>орап,</w:t>
      </w:r>
      <w:r w:rsidRPr="00271E51">
        <w:rPr>
          <w:rFonts w:ascii="Times New Roman" w:hAnsi="Times New Roman"/>
          <w:color w:val="000000" w:themeColor="text1"/>
          <w:sz w:val="16"/>
          <w:szCs w:val="16"/>
        </w:rPr>
        <w:t xml:space="preserve"> 119-го морского </w:t>
      </w:r>
      <w:r w:rsidRPr="00271E51">
        <w:rPr>
          <w:rFonts w:ascii="Times New Roman" w:hAnsi="Times New Roman"/>
          <w:iCs/>
          <w:color w:val="000000" w:themeColor="text1"/>
          <w:sz w:val="16"/>
          <w:szCs w:val="16"/>
        </w:rPr>
        <w:t>pan</w:t>
      </w:r>
      <w:r w:rsidRPr="00271E51">
        <w:rPr>
          <w:rFonts w:ascii="Times New Roman" w:hAnsi="Times New Roman"/>
          <w:color w:val="000000" w:themeColor="text1"/>
          <w:sz w:val="16"/>
          <w:szCs w:val="16"/>
        </w:rPr>
        <w:t xml:space="preserve"> и 82-й отдельной </w:t>
      </w:r>
      <w:r w:rsidRPr="00271E51">
        <w:rPr>
          <w:rFonts w:ascii="Times New Roman" w:hAnsi="Times New Roman"/>
          <w:iCs/>
          <w:color w:val="000000" w:themeColor="text1"/>
          <w:sz w:val="16"/>
          <w:szCs w:val="16"/>
        </w:rPr>
        <w:t xml:space="preserve">раэ </w:t>
      </w:r>
      <w:r w:rsidRPr="00271E51">
        <w:rPr>
          <w:rFonts w:ascii="Times New Roman" w:hAnsi="Times New Roman"/>
          <w:color w:val="000000" w:themeColor="text1"/>
          <w:sz w:val="16"/>
          <w:szCs w:val="16"/>
        </w:rPr>
        <w:t>(6467).</w:t>
      </w:r>
    </w:p>
    <w:p w14:paraId="3589BB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070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середине августа 1943 в составе группы насчитывалось около двух десятков "хеншелей" (9084).</w:t>
      </w:r>
    </w:p>
    <w:p w14:paraId="604798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Положение дел в эскадрах пикировщиков наглядно характеризует признание командира StG2 оберст-лейтенанта Э.Купфера, который писал: "Ju-87 больше нельзя использовать ни на одном фронте, даже на Востоке. Например, моя эскадра за восемь месяцев потеряли 89 экипажей. В пересчете на год это соответствует 100-процентному обновлению летного состава. Если так будет продолжаться еще год, результатом будет полный конец штурмовых частей... У меня есть эскадрильи с одним самолетом на вооружении....Мы должны как можно скорее, я бы сказал немедленно, начать перевооружать части с Ju87 на Fwl90. Ситуацию с личным составом штурмовых частей можно определить как "последний парад". С 5 июля 1943 г. я потерял двух командиров эскадр, шесть командиров эскадрилий и двух адъютантов групп, каждый из которых совершил более 600 боевых вылетов. Такой опыт уже не заменить... Мы не можем позволить себе терять тех немногих, кто остался..."</w:t>
      </w:r>
    </w:p>
    <w:p w14:paraId="35B6A3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Пытаясь сдержать советское танковое наступление, немецкое командование проводило мощные контратаки крупными силами танков и мотопехоты при поддержке авиации, но все безуспешно. В вермахте началась танковая паника, напоминавшая состояние некоторых частей Красной Армии в 1941 г. (9084).</w:t>
      </w:r>
    </w:p>
    <w:p w14:paraId="3ABD0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52C92" w14:textId="77777777" w:rsidR="002B06C1" w:rsidRPr="00271E51" w:rsidRDefault="002B06C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2EB95FB" w14:textId="77777777" w:rsidR="002B06C1" w:rsidRPr="00271E51" w:rsidRDefault="002B06C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E5C02F" w14:textId="77777777" w:rsidR="002B06C1" w:rsidRPr="00271E51" w:rsidRDefault="002B06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Середина августа 1943. Дипломаический корпус СССР, переведенный по решению Советского правительства осенью 1941 года в Куйбышев, в полном составе возвратился в Москву (18693).</w:t>
      </w:r>
    </w:p>
    <w:p w14:paraId="530AB625" w14:textId="77777777" w:rsidR="002B06C1" w:rsidRPr="00271E51" w:rsidRDefault="002B06C1" w:rsidP="00271E51">
      <w:pPr>
        <w:spacing w:after="0" w:line="240" w:lineRule="auto"/>
        <w:jc w:val="both"/>
        <w:rPr>
          <w:rFonts w:ascii="Times New Roman" w:hAnsi="Times New Roman"/>
          <w:color w:val="000000" w:themeColor="text1"/>
          <w:sz w:val="16"/>
          <w:szCs w:val="16"/>
        </w:rPr>
      </w:pPr>
    </w:p>
    <w:p w14:paraId="5CFA98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4C9ED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75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письмом за подписью зам. наркома Кузнецова N Н-38/3280 на имя зам. наркома танковой промышленности Попова и директора завода 183 Максарева сообщено о прекращении на заводе 183 производства бронекорпусов для самолета Ил-2 с обязательным сохранением всей оснастки и инструмента по этому производству (1768,249).</w:t>
      </w:r>
    </w:p>
    <w:p w14:paraId="2B2096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E96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года зам. командира 1 КЗАБ подполковник Царев писал письмо командиру 1-й Краснознаменной запасной авиационной бригады полковнику Подольскому.</w:t>
      </w:r>
    </w:p>
    <w:p w14:paraId="2811E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о проделанной работе во время боевой стажировки с 5.6 по 27.7.43 г. при 3 САК 290 ШАД заместителя командира 1 КЗАБ подполковника Царева в должности командира авиадивизии.</w:t>
      </w:r>
    </w:p>
    <w:p w14:paraId="51C946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Стажировка проходила в соответствии с приказом N 36 ВВС. Все вопросы, изложенные в приказе были отработаны полностью. Было произведено 4 боевых вылета: один на разведку, один - действие по переправам на Белгородском направлении - действие по танкам того же направления.</w:t>
      </w:r>
    </w:p>
    <w:p w14:paraId="31B26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задания были выполнены.</w:t>
      </w:r>
    </w:p>
    <w:p w14:paraId="23438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вопросы, поставленные мною - были:</w:t>
      </w:r>
    </w:p>
    <w:p w14:paraId="6F9D0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Проверить насколько подготовлены летчики для боевой работы, выходящие из 1 КЗАБ.</w:t>
      </w:r>
    </w:p>
    <w:p w14:paraId="75B7F6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Как происходит процесс ввода в бой молодого летчика.</w:t>
      </w:r>
    </w:p>
    <w:p w14:paraId="2D6AB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Как проходит обучение молодых летчиков, отправляемых на фронт с незаконченной программой.</w:t>
      </w:r>
    </w:p>
    <w:p w14:paraId="712C1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Ознакомиться с работой УТАП при 17 ВА.</w:t>
      </w:r>
    </w:p>
    <w:p w14:paraId="42A54A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Выявить основные недоработки в вопросе техники пилотирования и боевого применения, влияние на боевую работу.</w:t>
      </w:r>
    </w:p>
    <w:p w14:paraId="5A17C6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Настолько эффективно используется Ил-2.</w:t>
      </w:r>
    </w:p>
    <w:p w14:paraId="5D1B39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Причины большого количества небоевых потерь.</w:t>
      </w:r>
    </w:p>
    <w:p w14:paraId="78739B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Подготовка стрелков.</w:t>
      </w:r>
    </w:p>
    <w:p w14:paraId="06305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Основные вопросы, требующие в доводке самолета Ил-2 и живучесть самолета Ил-2 с деревянным и металлическим крылом.</w:t>
      </w:r>
    </w:p>
    <w:p w14:paraId="07D86F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Связь на самолете Ил-2.</w:t>
      </w:r>
    </w:p>
    <w:p w14:paraId="1534A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специальных вопросов, которые я перед собой поставил мной было изучено:</w:t>
      </w:r>
    </w:p>
    <w:p w14:paraId="21305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Базирование штурмовой авиации.</w:t>
      </w:r>
    </w:p>
    <w:p w14:paraId="562FD4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Маскировка аэродромов.</w:t>
      </w:r>
    </w:p>
    <w:p w14:paraId="03EE1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ПКО и ПВО аэродромов.</w:t>
      </w:r>
    </w:p>
    <w:p w14:paraId="5F47E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Наземная связь.</w:t>
      </w:r>
    </w:p>
    <w:p w14:paraId="65B11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Получение боевой задачи и доведение ее до исполнителя.</w:t>
      </w:r>
    </w:p>
    <w:p w14:paraId="56F83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Работа штаба дивизии по обеспечению боевых вылетов.</w:t>
      </w:r>
    </w:p>
    <w:p w14:paraId="0AAB0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Взаимодействие штурмовиков с истребителями.</w:t>
      </w:r>
    </w:p>
    <w:p w14:paraId="5E0D4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Взаимодействие штурмовиков с танками.</w:t>
      </w:r>
    </w:p>
    <w:p w14:paraId="3F865C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Взаимодействие штурмовиков с пехотой.</w:t>
      </w:r>
    </w:p>
    <w:p w14:paraId="208CF2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Управление штурмовиками и истребителями через станции наведения.</w:t>
      </w:r>
    </w:p>
    <w:p w14:paraId="5A3F81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Знакомство с системой обороны наземных войск и боевыми порядками.</w:t>
      </w:r>
    </w:p>
    <w:p w14:paraId="516907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раздел.</w:t>
      </w:r>
    </w:p>
    <w:p w14:paraId="45489A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Подготовка летчиков, закончивших полностью программу обучения при 1 КЗАБ и при правильном вводе в бой их - отвечает требованию боевой работы.</w:t>
      </w:r>
    </w:p>
    <w:p w14:paraId="0D4FF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290 ШАД получила 15 молодых летчиков из 1 КЗАБ, все эти летчики участвовали в боевой работе на Белгородском направлении, в районе Изюм - показали хорошие результаты.</w:t>
      </w:r>
    </w:p>
    <w:p w14:paraId="50FC3B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Ввод в бой молодого летчика желает много лучшего. Во время затишья мало используется передний край для бомбометания вместо полигона. При действии по переднему краю, летчик отстреливается, изучает лучше район действия.</w:t>
      </w:r>
    </w:p>
    <w:p w14:paraId="77792B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Молодых летчиков очень редко вывозят на передний край, чтобы показать им систему обороны и ознакомить с районом действия.</w:t>
      </w:r>
    </w:p>
    <w:p w14:paraId="7E957B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Слабо летчики разбираются в тактической наземной обстановке.</w:t>
      </w:r>
    </w:p>
    <w:p w14:paraId="479EA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всегда истребителей, очень редко отрабатывается воздушный бой штурмовика с истребителем.</w:t>
      </w:r>
    </w:p>
    <w:p w14:paraId="2DAAF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Отработка молодых летчиков, отправляемых на фронт с незаконченной программой - проходит плохо.</w:t>
      </w:r>
    </w:p>
    <w:p w14:paraId="139F8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Каждый командир дивизии ограничен бензином и молодые летчики, прибывшие на фронт с незаконченной программой - сидят иногда по месяцу без полетов. Забывают и то, что они знали. Методика обучения поставлена ниже, чем в запасных частях. Часто начавшись полеты срываются по несколько раз из-за налетов противника.</w:t>
      </w:r>
    </w:p>
    <w:p w14:paraId="69437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Подача бензина на фронт намного сложнее, чем в тыловой части и в конце концов летчик вводится в бой, полностью не заканчивая программу, а в результате дивизия или полк несет небоевые потери в большинстве своем за счет неподготовленных летчиков.</w:t>
      </w:r>
    </w:p>
    <w:p w14:paraId="5CBB8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По-моему совершенно нецелесообразно отправлять на фронт летчиков, полностью неподготовленных, а еще лучше, чтобы инспекторы фронтовой авиации принимали из запасных частей летчиков.</w:t>
      </w:r>
    </w:p>
    <w:p w14:paraId="225A3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Работа УТАП при армиях:</w:t>
      </w:r>
    </w:p>
    <w:p w14:paraId="7A834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Я ознакомился с работой УТАП при 17 ВА и по-моему эта организация себя в настоящее время совершенно не оправдывает. Подготовка летчиков штурмовиков очень низкая, по качеству плохая, методическая работа низкая.</w:t>
      </w:r>
    </w:p>
    <w:p w14:paraId="1927E1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Темпы работ при наличии бензина - очень слабые. Я считаю намного выгоднее для дивизии получить летчика штурмовика полностью закончившего полный курс обучения при запасных частях.</w:t>
      </w:r>
    </w:p>
    <w:p w14:paraId="2A077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есть смысл за счет УТАП усилить бензином и материальными ценностями запасные бригады.</w:t>
      </w:r>
    </w:p>
    <w:p w14:paraId="7A6BDD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Основные недоработки в вопросе техники пилотирования и боевого применения, влияющие на боевую работу:</w:t>
      </w:r>
    </w:p>
    <w:p w14:paraId="172861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недостаточно отрабатывается строй пары, все еще у летчиков есть стремление ходить с меньшим интервалом и с большой дистанцией,</w:t>
      </w:r>
    </w:p>
    <w:p w14:paraId="03307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недостаточно отработано у молодых летчиков ножницы, как один из распространенных в настоящее время видов оборонительного боя в паре.</w:t>
      </w:r>
    </w:p>
    <w:p w14:paraId="74491C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слабо молодые летчики владеют боевой аппаратурой при одновременном действии из всех видов оружия,</w:t>
      </w:r>
    </w:p>
    <w:p w14:paraId="33D10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слабый сбор при выходе из атаки,</w:t>
      </w:r>
    </w:p>
    <w:p w14:paraId="74A10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при отработке эскадрильи всегда выделять специальные самолеты для подавления зенитных точек и в полигонных условиях их проводить. Переход этих самолетов в атаку после того, когда обнаружен огонь ЗА.</w:t>
      </w:r>
    </w:p>
    <w:p w14:paraId="602C17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Насколько эффективно используется Ил-2:</w:t>
      </w:r>
    </w:p>
    <w:p w14:paraId="169C37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что мы еще не все берем от самолета Ил-2 при действиях на поле боя. По скоплению пехоты, танков, артиллерии - огонь из всех видов оружия ведется в первом заходе по ведущему. Каждый летчик не ищет себе цель.</w:t>
      </w:r>
    </w:p>
    <w:p w14:paraId="020074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Пехота очень довольна работой штурмовиков, но возможности наших штурмовиков она не знает и поэтому мало предъявляет нам требований.</w:t>
      </w:r>
    </w:p>
    <w:p w14:paraId="667E9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заставлять летчика искать цель и прицельно вести по ней огонь, а не на площади, для этого мы и обучаем летчиков вести огонь не по полигону, а по целям, находящимся на полигоне.</w:t>
      </w:r>
    </w:p>
    <w:p w14:paraId="20A74F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Большое количество небоевых потерь я считаю зависит от следующих причин:</w:t>
      </w:r>
    </w:p>
    <w:p w14:paraId="4DAD2D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отправка на фронт неподготовленных летчиков (с незаконченной программой) и большой разрыв в летной работе данных летчиков.</w:t>
      </w:r>
    </w:p>
    <w:p w14:paraId="07B9A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неправильное использование инспекторов по технике пилотирования и заместителей командиров дивизий. Эти люди являются штатными перегонщиками самолетов. Сидят на станции наведения и собирают самолеты с вынужденных посадок, а за небоевые потери эти люди в первую очередь не отвечают.</w:t>
      </w:r>
    </w:p>
    <w:p w14:paraId="788AE9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слабая летная дисциплина.</w:t>
      </w:r>
    </w:p>
    <w:p w14:paraId="0426C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недостаточная подготовка аэродромов.</w:t>
      </w:r>
    </w:p>
    <w:p w14:paraId="5E826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Подготовка стрелков:</w:t>
      </w:r>
    </w:p>
    <w:p w14:paraId="4B6DE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Подготовка стрелков стоит на низком уровне. Хорошо подготовленный стрелок и хорошо владеющий прекрасным пулеметом является грозной силой для истребителей противника.</w:t>
      </w:r>
    </w:p>
    <w:p w14:paraId="523445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обязательно пропускать стрелков через стрельбу по движущимся целям хотя бы с земли по конусу.</w:t>
      </w:r>
    </w:p>
    <w:p w14:paraId="3A6DB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недостаток у большинства стрелков - не могут практически взять линейное упреждение по движущейся цели с различными ракурсами.</w:t>
      </w:r>
    </w:p>
    <w:p w14:paraId="1EE72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Основные вопросы, требующие в доводке самолета Ил-2 живучесть самолета Ил-2 с деревянным и металлическим крылом.</w:t>
      </w:r>
    </w:p>
    <w:p w14:paraId="248AB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Необходимо поставить дополнительное тросовое управление рулями глубины, чем сократим боевые потери и увеличим живучесть самолета Ил-2.</w:t>
      </w:r>
    </w:p>
    <w:p w14:paraId="797F31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Совершенно излишне ставить во второй кабине колпак, без колпака намного улучшается обзор и, как правило, их на фронте снимают, а стрелок должен иметь очки и нужно сделать в задней кабине для стрелка ремень.</w:t>
      </w:r>
    </w:p>
    <w:p w14:paraId="1FA88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Увеличить углы обзора пулемета БС на самолете Ил-2, что достигнуто в 290 ШАД уменьшением ленты на 13 патронов и чертежи конструкции имеются в 17 ВА, сейчас применяются и дают хорошие результаты.</w:t>
      </w:r>
    </w:p>
    <w:p w14:paraId="1EC07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Пулемет, при переводе его на большие углы особенно вниз - дает задержку вследствие изгиба и перекоса ленты.</w:t>
      </w:r>
    </w:p>
    <w:p w14:paraId="59FA5D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Самолет Ил-2 с металлическим крылом намного увеличивает живучесть, особенно при плохом качестве склейки.</w:t>
      </w:r>
    </w:p>
    <w:p w14:paraId="74D2B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Связь на самолете Ил-2.</w:t>
      </w:r>
    </w:p>
    <w:p w14:paraId="5229A0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командиры связь начинают любить, но еще полностью наши летчики не овладели.</w:t>
      </w:r>
    </w:p>
    <w:p w14:paraId="21FE3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бы мы сумели добиться на самолете Ил-2 слышимость по радио равноценную, что на самолете Як-1, можно с уверенностью сказать, что боевые потери можно на много сократить.</w:t>
      </w:r>
    </w:p>
    <w:p w14:paraId="30D880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Ил-2 большие шумы и треск и очень трудно настраиваться. Видимо. Видимо недостаточная экранировка. И через станцию наведения истребителями благодаря этому легче управлять, чем штурмовиками.</w:t>
      </w:r>
    </w:p>
    <w:p w14:paraId="7CCA7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правило, штурмовики подходя к КП убавляют газ и запрашивают задачу.</w:t>
      </w:r>
    </w:p>
    <w:p w14:paraId="7EA8B5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связью овладеть каждым летчиком на отлично и без связи не производить ни одного полета.</w:t>
      </w:r>
    </w:p>
    <w:p w14:paraId="293E7F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раздел</w:t>
      </w:r>
    </w:p>
    <w:p w14:paraId="5DAAE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вопросы во втором разделе освещать я не буду, т.к. они не расходятся с нашими уставами</w:t>
      </w:r>
    </w:p>
    <w:p w14:paraId="00AB9A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Базирование штурмовой авиации:</w:t>
      </w:r>
    </w:p>
    <w:p w14:paraId="5264E9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правило полк стоит на одном аэродроме. Удаление от линии фронта до километров. При действии по танкам подсаживали отдельные группы штурмовиков на передовые площадки при удалении от линии фронта 20-30 км (на Звенигородском направлении).</w:t>
      </w:r>
    </w:p>
    <w:p w14:paraId="0452F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Дивизия трехполкового состава имеет три-четыре аэродрома, один из них ложный. Удаление аэродромов один от другого 20 км.</w:t>
      </w:r>
    </w:p>
    <w:p w14:paraId="7E39D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Маскировка аэродромов:</w:t>
      </w:r>
    </w:p>
    <w:p w14:paraId="0B504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Аэродромы, прилегающие к лесным массивам вся материальная часть затаскивается в лес со всеми служебными и обслуживающими постройками. В этих случаях, как правило, маскировка хорошая.</w:t>
      </w:r>
    </w:p>
    <w:p w14:paraId="225A84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открытой местности аэродромы имеют капониры, самолеты после боевого вылета затаскиваются немедленно в капониры, расстояние между капонирами 100 метров, расположенные вокруг аэродрома в шахматном порядке.</w:t>
      </w:r>
    </w:p>
    <w:p w14:paraId="059788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в капонирах могут нести поражение только от прямых попаданий.</w:t>
      </w:r>
    </w:p>
    <w:p w14:paraId="214BC3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КП полков и транспорт маскируются жилыми постройками, сетками, травой.</w:t>
      </w:r>
    </w:p>
    <w:p w14:paraId="729E92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Наземная связь:</w:t>
      </w:r>
    </w:p>
    <w:p w14:paraId="48792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Связь внутри полков организовывается средствами ВАО, внешняя связь (связь с полками) средствами дивизии.</w:t>
      </w:r>
    </w:p>
    <w:p w14:paraId="6BC42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типы связи:</w:t>
      </w:r>
    </w:p>
    <w:p w14:paraId="5EE9E2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полку:</w:t>
      </w:r>
    </w:p>
    <w:p w14:paraId="4DB2F7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КП командира полка с КП командира дивизии,</w:t>
      </w:r>
    </w:p>
    <w:p w14:paraId="65D3E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пост ВНОС,</w:t>
      </w:r>
    </w:p>
    <w:p w14:paraId="0C75C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 ВАО,</w:t>
      </w:r>
    </w:p>
    <w:p w14:paraId="1CD9B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со стартом,</w:t>
      </w:r>
    </w:p>
    <w:p w14:paraId="677A8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с КП дивизии дублируется по радио.</w:t>
      </w:r>
    </w:p>
    <w:p w14:paraId="61D6C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дивизии добавляется связь с корпусом, с истребителями, с ВАО.</w:t>
      </w:r>
    </w:p>
    <w:p w14:paraId="08B7B6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Получение боевой задачи и доведение ее до исполнителя.</w:t>
      </w:r>
    </w:p>
    <w:p w14:paraId="0AD7A7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Дивизия задачу получает от корпуса в виде письменного боевого приказа.</w:t>
      </w:r>
    </w:p>
    <w:p w14:paraId="0E4AE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Дивизия ставит полкам в виде боевого распоряжения. Полк получает готовую задачу, где указано: маршрут, зарядка, цель, запасная цель, кто прикрывает, где встреча, время удара.</w:t>
      </w:r>
    </w:p>
    <w:p w14:paraId="6B5EF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виде приказа дивизия очень редко ставит задачи полкам, что является большим недостатком.</w:t>
      </w:r>
    </w:p>
    <w:p w14:paraId="353511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полка всегда отдает приказ устно, и как правило, ставит ее не через командиров эскадрилий, а перед всеми исполнителями, чем создает толкотню и командир эскадрильи фактически является как ведущий.</w:t>
      </w:r>
    </w:p>
    <w:p w14:paraId="4FF729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такую систему неправильной, что не отвечает руководству по боевым действиям штурмовой авиации.</w:t>
      </w:r>
    </w:p>
    <w:p w14:paraId="58112D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Взаимодействие штурмовиков с истребителями:</w:t>
      </w:r>
    </w:p>
    <w:p w14:paraId="26070E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видами взаимодействия штурмовиков с истребителями является:</w:t>
      </w:r>
    </w:p>
    <w:p w14:paraId="77B88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сопровождение штурмовиков и прикрытие их над целью,</w:t>
      </w:r>
    </w:p>
    <w:p w14:paraId="7E5A5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совместные атаки наземных объектов.</w:t>
      </w:r>
    </w:p>
    <w:p w14:paraId="6A71E6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настоящее время наземная организация, обеспечивающая взаимодействие штурмовиков с истребителями до момента сбора отработана хорошо. Это достигается </w:t>
      </w:r>
      <w:r w:rsidRPr="00271E51">
        <w:rPr>
          <w:rFonts w:ascii="Times New Roman" w:hAnsi="Times New Roman"/>
          <w:color w:val="000000" w:themeColor="text1"/>
          <w:sz w:val="16"/>
          <w:szCs w:val="16"/>
        </w:rPr>
        <w:lastRenderedPageBreak/>
        <w:t>надежной связью, расположением истребителей совместно со штурмовиками.</w:t>
      </w:r>
    </w:p>
    <w:p w14:paraId="2E9CD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Личным общением штурмовиков с истребителями до выполнения боевой задачи:</w:t>
      </w:r>
    </w:p>
    <w:p w14:paraId="51667E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этап. Сопровождение до цели тоже в большинстве случаев удается и можно считать отработанным.</w:t>
      </w:r>
    </w:p>
    <w:p w14:paraId="64190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этап. Прикрытие над целью и выход от нее. Этот этап является самым сложным.</w:t>
      </w:r>
    </w:p>
    <w:p w14:paraId="2F9142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стремятся держаться, как правило, выше, боясь потерь от зенитного огня, истребители противника часто применяют тактику - атака наших штурмовиков с низких высот при действии ЗА, что в большинстве случаев наши истребители их не замечают.</w:t>
      </w:r>
    </w:p>
    <w:p w14:paraId="72AAD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отличной работе станции наведения и командира, руководившего боем, можно этот недостаток ликвидировать.</w:t>
      </w:r>
    </w:p>
    <w:p w14:paraId="1F6E7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Взаимодействие штурмовиков с танками:</w:t>
      </w:r>
    </w:p>
    <w:p w14:paraId="6BC6E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Взаимодействие штурмовиков с танками быстро нарушается, когда танки прорываются вглубь. Как правило связь теряется со штурмовиками и восстановить ее во время операции очень трудно.</w:t>
      </w:r>
    </w:p>
    <w:p w14:paraId="4892F4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было с 18 танковым корпусом и 24 танковым корпусом.</w:t>
      </w:r>
    </w:p>
    <w:p w14:paraId="48C1E6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Делегаты связи после прорыва танковых корпусов так и не могли связаться со штурмовиками до конца операции.</w:t>
      </w:r>
    </w:p>
    <w:p w14:paraId="51B35D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w:t>
      </w:r>
    </w:p>
    <w:p w14:paraId="69289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Нужно иметь у делегата связи отдельную радиостанцию.</w:t>
      </w:r>
    </w:p>
    <w:p w14:paraId="54D360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Нужно все время вести воздушное наблюдение штурмовиками во время движения танков и данный разведчик должен наводить группу штурмовиков на цель при вызове авиации.</w:t>
      </w:r>
    </w:p>
    <w:p w14:paraId="4C170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Нужно иметь дублирующую связь, кроме радиосвязи, через , тогда штурмовики могут оказать помощь танкам.</w:t>
      </w:r>
    </w:p>
    <w:p w14:paraId="2A4CB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Взаимодействие штурмовиков с пехотой:</w:t>
      </w:r>
    </w:p>
    <w:p w14:paraId="5CBD7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Взаимодействие штурмовиков с пехотой можно считать отработанным хорошо, но во время наступления наших войск, нужно чаще показывать штурмовикам место, куда наносить удар при действии по переднему краю. Самым лучшим показом является ракета, но пехота их применяет мало.</w:t>
      </w:r>
    </w:p>
    <w:p w14:paraId="6AE22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Управление штурмовиками и истребителями через станции наведения:</w:t>
      </w:r>
    </w:p>
    <w:p w14:paraId="005E4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хорошо отработанной связи, очень легко руководить боем штурмовиков и боем истребителей. У истребителей связь отработана лучше.</w:t>
      </w:r>
    </w:p>
    <w:p w14:paraId="3BDB6E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ближе к переднему краю выдвигать радиостанцию до наблюдательных пунктов корпусов.</w:t>
      </w:r>
    </w:p>
    <w:p w14:paraId="6C1A5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Обязательно нужно пропустить всех летчиков через станцию наведения, тогда он будет понимать, какую большую помощь оказывает радиостанция и увидит, как воюют штурмовики - их слабые стороны.</w:t>
      </w:r>
    </w:p>
    <w:p w14:paraId="4A2387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w:t>
      </w:r>
    </w:p>
    <w:p w14:paraId="500646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Стажировка дала большой опыт не только в боевой работе, но и для руководства и обучения летчиков при запасных частях.</w:t>
      </w:r>
    </w:p>
    <w:p w14:paraId="1BD25F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пропустить через стажировку весь руководящий состав запасных частей.</w:t>
      </w:r>
    </w:p>
    <w:p w14:paraId="70B6AA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Нужно больше давать инициативы в руководстве боевыми действиями по той должности, по которой стажируется командир.</w:t>
      </w:r>
    </w:p>
    <w:p w14:paraId="2ACA85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под контролем старшего командира можно смело давать самостоятельно руководить (1779).</w:t>
      </w:r>
    </w:p>
    <w:p w14:paraId="36828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F4E09"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16 августа 1943 года зам. командира 1 КЗАБ подполковник Царев писал письмо командиру 1-й Краснознаменной запасной авиационной бригады полковнику Подольскому.</w:t>
      </w:r>
    </w:p>
    <w:p w14:paraId="08519CBE"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Отчет о проделанной работе во время боевой стажировки с 5.6 по 27.7.43 г. при 3 САК 290 ШАД заместителя командира 1 КЗАБ подполковника Царева в должности командира авиадивизии.</w:t>
      </w:r>
    </w:p>
    <w:p w14:paraId="3DF6E6F6"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w:t>
      </w:r>
    </w:p>
    <w:p w14:paraId="44073F36"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10. Основные вопросы, требующие в доводке самолета Ил-2 живучесть самолета Ил-2 с деревянным и металлическим крылом.</w:t>
      </w:r>
    </w:p>
    <w:p w14:paraId="6510DE45"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w:t>
      </w:r>
    </w:p>
    <w:p w14:paraId="532BED3C"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д) Самолет Ил-2 с металлическим крылом намного увеличивает живучесть, особенно при плохом качестве склейки (19206).</w:t>
      </w:r>
    </w:p>
    <w:p w14:paraId="5738ED6A" w14:textId="77777777" w:rsidR="00E85ED5" w:rsidRPr="00271E51" w:rsidRDefault="00E85ED5" w:rsidP="00271E51">
      <w:pPr>
        <w:pStyle w:val="book"/>
        <w:ind w:firstLine="0"/>
        <w:jc w:val="both"/>
        <w:rPr>
          <w:color w:val="000000" w:themeColor="text1"/>
          <w:sz w:val="16"/>
          <w:szCs w:val="16"/>
        </w:rPr>
      </w:pPr>
    </w:p>
    <w:p w14:paraId="3DF8D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года была подготовлена Объяснительная записка к плану опытного моторостроения на 1943 год.</w:t>
      </w:r>
    </w:p>
    <w:p w14:paraId="0DFB0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Планом работ 1943 г. построено развитие опытного моторостроения по следующим основным трем направлениям:</w:t>
      </w:r>
    </w:p>
    <w:p w14:paraId="72D0CE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Модернизация серийных моторов, в соответствии с требованиями ВВС.</w:t>
      </w:r>
    </w:p>
    <w:p w14:paraId="4F7E2B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Создание новых модификаций моторов (на базе существующих серийных моторов) с повышением их основных технических данных.</w:t>
      </w:r>
    </w:p>
    <w:p w14:paraId="36673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Постройка новых типов моторов, подготавливаемых к производству на 1944 год.</w:t>
      </w:r>
    </w:p>
    <w:p w14:paraId="3019B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поставленными задачами, по каждому заводу выделены темы первоочередной значимости, работы по которым должен быть закончены в 1943 г.</w:t>
      </w:r>
    </w:p>
    <w:p w14:paraId="64BC2C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постройке новых типов моторов ограничиваются в основном проведением в 1943 г. экспериментальных работ и являются подготовительным этапом к работам, намеченным к проведению в 1944-45 г.г.</w:t>
      </w:r>
    </w:p>
    <w:p w14:paraId="21F409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Модернизация серийных моторов.</w:t>
      </w:r>
    </w:p>
    <w:p w14:paraId="2A2243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требований ВВС по улучшению эксплуатационных данных моторов, находящихся в боевой эксплуатации, в план включены следующие работы:</w:t>
      </w:r>
    </w:p>
    <w:p w14:paraId="7F90C3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Установление дефектов, выявленных в эксплуатации по моторам М-82Ф, АМ-38Ф, М-88Б, М-105ПФ и М-30Б.</w:t>
      </w:r>
    </w:p>
    <w:p w14:paraId="6FA61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Увеличение ресурса надежной работы моторов М-88Б до 250 часов, М-82ФН до 150 часов, АМ-38Ф до 150 часов, м_30Б до 150 и М-11Ф до 400 часов.</w:t>
      </w:r>
    </w:p>
    <w:p w14:paraId="5270E4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Перевод работы моторов М-82Ф и М-105ПФ на топливо с пониженным октановым числом (до 91-92).</w:t>
      </w:r>
    </w:p>
    <w:p w14:paraId="4FFA2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Постройка новых модификаций моторов.</w:t>
      </w:r>
    </w:p>
    <w:p w14:paraId="4AEB3D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Первоочередной задачей, поставленной перед заводами в создании новых модификаций моторов, является окончание заводской доводки, проведение 100 часовых государственных испытаний и внедрение в серийное производство незаконченных в 1942 г. моторов М-107А, АМ-42, АМ-39, а также доводка до 50 часовой надежной работы на станке и проведение 50 часовых испытаний мотора М-250.</w:t>
      </w:r>
    </w:p>
    <w:p w14:paraId="3DB33A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М-107А повышена по сравнению с М-105ПФ на 40%, а высотность на 65%. Мощность мотора АМ-42 (по сравнению с Ам-38Ф) повышена на 20%.</w:t>
      </w:r>
    </w:p>
    <w:p w14:paraId="1FE3F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планом предусмотрены работы по созданию модификаций, обеспечивающих дальнейший рост серийных моторов в 1941 году.</w:t>
      </w:r>
    </w:p>
    <w:p w14:paraId="08046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моторе М-83 применен новый привод нагнетателя, позволяющий улучшить высотную характеристику мотора и устранить провал мощности между пиками первой и второй скорости нагнетателя. По сравнению с мотором М-82ФН мощность этого мотора возрастает на 4%, а высотность на 30%.</w:t>
      </w:r>
    </w:p>
    <w:p w14:paraId="2D0C1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моторе М-72, являющемся дальнейшим развитием мотора М-71, мощность мотора повышена на 15% при незначительном снижении высотности.</w:t>
      </w:r>
    </w:p>
    <w:p w14:paraId="42D94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счет дальнейшего усовершенствования моторов АМ-42 и М-107А, технические данные моторов АМ-43ТР и М-107Б резко возрастают и делают эти моторы самыми мощными из всех известных моторов жидкостного охлаждения нормальной схемы.</w:t>
      </w:r>
    </w:p>
    <w:p w14:paraId="24EE98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области авиадизелестроения проводятся конструктивные улучшения и усовершенствования мотора М-30Б, что позволит увеличить мощность этого мотора на 20-25% без снижения высотности.</w:t>
      </w:r>
    </w:p>
    <w:p w14:paraId="70539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проводятся работы по созданию высотных моторов АМ-39 и М-82Ф с турбокомпрессорами, предназначенных для работы на высоте 13000-14000 м.</w:t>
      </w:r>
    </w:p>
    <w:p w14:paraId="52180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Постройка новых типов моторов.</w:t>
      </w:r>
    </w:p>
    <w:p w14:paraId="7E8D1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дальнейшего развития авиационного моторостроения, планом работ 1943 г. предусмотрено проведение исследовательских, экспериментальных и частично опытных работ по созданию новых типов моторов мощностью 2000-2700 л.с. с высотностью 5000-6000 м. К таким моторам относятся:</w:t>
      </w:r>
    </w:p>
    <w:p w14:paraId="06E23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воздушного охлаждения:</w:t>
      </w:r>
    </w:p>
    <w:p w14:paraId="2F1235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Трехрядная звезда М-210 представляющая собою дальнейшее развитие мотора М-82Ф за счет увеличенного литража.</w:t>
      </w:r>
    </w:p>
    <w:p w14:paraId="688F29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жидкостного охлаждения М-108, представляющий собою дальнейшее развитие мотора М-107А.</w:t>
      </w:r>
    </w:p>
    <w:p w14:paraId="57356D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Планом работ 1943 г. предусмотрено в равной мере развитие моторов как воздушного, так и жидкостного охлаждения, а также дальнейшее развитие авиационного дизелестроения (1458,271).</w:t>
      </w:r>
    </w:p>
    <w:p w14:paraId="37BA84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882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пред. ГКО И.В.С. был представлен на утверждение План опытных моторов и модернизации серийных моторов на 1943 (1458,270).</w:t>
      </w:r>
    </w:p>
    <w:p w14:paraId="6F3AF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8C2F3E"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3FD2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51EDB" w14:textId="77777777" w:rsidR="00BA7A65" w:rsidRPr="00271E51" w:rsidRDefault="00BA7A65" w:rsidP="00271E51">
      <w:pPr>
        <w:pStyle w:val="a3"/>
        <w:rPr>
          <w:color w:val="000000" w:themeColor="text1"/>
          <w:lang w:val="ru-RU"/>
        </w:rPr>
      </w:pPr>
      <w:r w:rsidRPr="00271E51">
        <w:rPr>
          <w:color w:val="000000" w:themeColor="text1"/>
          <w:lang w:val="ru-RU"/>
        </w:rPr>
        <w:t xml:space="preserve">16 августа 1943 года в приказе № 488 были распределены задачи по производству бронекорпусов ИС. Завод № 176 должен был поставить 70 комплектов сварных </w:t>
      </w:r>
      <w:r w:rsidRPr="00271E51">
        <w:rPr>
          <w:color w:val="000000" w:themeColor="text1"/>
          <w:lang w:val="ru-RU"/>
        </w:rPr>
        <w:lastRenderedPageBreak/>
        <w:t>опок, № 180 - 48 сварных опок, Кировский завод - линию изготовления блоков нижней подвески, завод № 183 - приспособления для проточки башен, УЗТМ - два карусельных станка с диаметром планшайбы 3000 мм (взамен завод № 200 передавал свои два станка меньшего диаметра) и инженера-литейщика Т. М. Смирнова. Нельзя отделаться от чувства, что мы видим в этом приказе выскребание последних резервов (12290).</w:t>
      </w:r>
    </w:p>
    <w:p w14:paraId="63BDA6FA"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7DBBA27A"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г. Распоряжением ГКО № 3938 наркомату авиационной промышленности поручили организовать при лаборатории № 4 ЦАГИ группу специалистов для составления проекта диффузионной установки по разделению изотопов урана. Эта группа должна была работать под руководством академика Христиановича и к 15 ноября представить рабочий проект диффузионной 20-ступенчатой машины. Технические условия производства диффузионной установки должна была дать лаборатория № 2 (19727).</w:t>
      </w:r>
    </w:p>
    <w:p w14:paraId="22552479" w14:textId="77777777" w:rsidR="00E85ED5" w:rsidRPr="00271E51" w:rsidRDefault="00E85ED5" w:rsidP="00271E51">
      <w:pPr>
        <w:spacing w:after="0" w:line="240" w:lineRule="auto"/>
        <w:jc w:val="both"/>
        <w:rPr>
          <w:rFonts w:ascii="Times New Roman" w:hAnsi="Times New Roman"/>
          <w:color w:val="000000" w:themeColor="text1"/>
          <w:sz w:val="16"/>
          <w:szCs w:val="16"/>
        </w:rPr>
      </w:pPr>
    </w:p>
    <w:p w14:paraId="3764FD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вышло Постановление ГКО № 3936 Об улучшении работы Ереванского комбината СК "Совпрен" № 1 Наркомрезинпрома. (7134, 29-34,35-41).</w:t>
      </w:r>
    </w:p>
    <w:p w14:paraId="384D371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4827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вышло Распоряжение ГКО № 3937. О выработке к 15 сентября плана мероприятий для получения в 1944 г. не менее 100 т урана.РГАНИР, Фонд ГКО, д. 146, лл. 42 (11012).</w:t>
      </w:r>
    </w:p>
    <w:p w14:paraId="3C1B97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EF60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вышло Распоряжение ГКО № 3938 [Об организации в ЦАГИ группы специалистов для проектирования диффузионной установки по разделению газов.] (7134, 43).</w:t>
      </w:r>
    </w:p>
    <w:p w14:paraId="32500E4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FAC8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вышло Распоряжение ГКО № 3939 [О сокращении числа мобилизованных на оборонительные и дорожные работы в связи с необходимостью проведения сельскохозяйственных работ в Курской обл.] (7134, 44).</w:t>
      </w:r>
    </w:p>
    <w:p w14:paraId="59CB8E5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16A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вышло Распоряжение ГКО № 3940. О продлении до 15 октября 1943 г. действия постановления № 3590 от 16 июня 1943 г. "О перевозках соли для снабжения населения и создания необходимых запасов."РГАНИР, Фонд ГКО, д. 146, лл. 45 (11012).</w:t>
      </w:r>
    </w:p>
    <w:p w14:paraId="29F67C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07DF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3BD96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436D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оперативная сводка Совинформбюро:</w:t>
      </w:r>
    </w:p>
    <w:p w14:paraId="62F9D89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августа наши войска на БрянскоМ направлении продолжали успешно развивать наступление и, продвинувшись вперёд от 8 до 15 километров, заняли свыше 130 населённых пунктов, в том числе город Жиздра, крупные населённые пункты Чёрный Поток, Младенск, Судимир, Подбужье, Алексеевка, Буяновичи, Мокрое, Малые Луки (14 километров западнее Карачева), Байково, Волково, Куприна, Гремячее, Глыбочки, Хотеево.</w:t>
      </w:r>
    </w:p>
    <w:p w14:paraId="25F6C896"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наступавшие из района Спас-Деменска, продвинулись вперёд от 8 до12 километров, заняли свыше 30 населённых пунктов и среди них Церковщина (16 километров юго-западнее Спас-Деменска), Любунь, Лесковка, Ближевичи, Дегирево.</w:t>
      </w:r>
    </w:p>
    <w:p w14:paraId="0779F10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отбивали контратаки пехоты и танков противника.</w:t>
      </w:r>
    </w:p>
    <w:p w14:paraId="6C200E14"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боевую разведку и артминомётную перестрелку с противником.</w:t>
      </w:r>
    </w:p>
    <w:p w14:paraId="24C8F720"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августа на всех фронтах наши войска подбили и уничтожили 79 немецких танков. В воздушных боях и огнём зенитной артиллерии сбито 59 самолётов противника.</w:t>
      </w:r>
    </w:p>
    <w:p w14:paraId="4CBD42C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w:t>
      </w:r>
    </w:p>
    <w:p w14:paraId="13B83A1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Карачев, советские войска, преодолевая сопротивление противника, продвинулись вперёд и заняли свыше 100 населённых пунктов. В городе Карачев наши части захватили много трофеев, в том числе 48 танков, 12 самолётов, 87 полевых и 13 самоходных орудий, 99 миномётов, 225 пулемётов, 6.500 винтовок, 223 автомашины, 35 тракторов, 16 радиостанций, 12 разных складов и много боеприпасов, подсчёт которых продолжается.</w:t>
      </w:r>
    </w:p>
    <w:p w14:paraId="1D9A589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Дмитровск-Орловский наши войска продвинулись на 8 километров и заняли 32 населённых пункта. Бойцы Н-ского соединения в боях за эти населённые пункты уничтожили до 800 гитлеровцев. Захвачено у немцев 6 орудий, 4 миномётных батареи и склад боеприпасов. Взяты пленные.</w:t>
      </w:r>
    </w:p>
    <w:p w14:paraId="454605A1"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овладев вчера железнодорожной станцией Зикеево, развивали наступление и завязали бои на подступах к городу Жиздра. Вечером советские бойцы ворвались в город. Всю ночь происходили ожесточённые уличные схватки, закончившиеся победой наших войск. Город Жиздра очищен от немецко-фашистских захватчиков. В боях на подступах к городу и на его улицах истреблено свыше 1.200 гитлеровцев, подбито и уничтожено 11 немецких танков.</w:t>
      </w:r>
    </w:p>
    <w:p w14:paraId="2A52CABB"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сапёры на Брянском направлении оказывают огромную помощь нашим наступающим войскам. Отступая, гитлеровцы жгут и разрушают мосты. Наши сапёрные части быстро восстанавливают разрушенные мосты. Противник в невиданных масштабах минирует дороги, населённые пункты и подступы к ним. За истекший месяц боёв нашими частями обнаружено и обезврежено 370.000 мин, поставленных противником.</w:t>
      </w:r>
    </w:p>
    <w:p w14:paraId="4538283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Спас-Деменска, продвинулись вперёд и заняли более 30 населённых пунктов. Противник спешно подтянул свежие силы и оказывает упорное сопротивление. Н-ское соединение, отбрасывая гитлеровцев, овладело сильно укреплёнными опорными пунктами немцев. За два дня боёв на этом участке уничтожено до 3000 вражеских солдат и офицеров, 26 орудий, 16 танков, 55 пулемётов, 29 миномётов и несколько десятков автомашин. На другом участке бойцы Н-ской части отбили ожесточённую контратаку противника. В результате боя подбито10 танков и уничтожено до батальона немецкой пехоты.</w:t>
      </w:r>
    </w:p>
    <w:p w14:paraId="166BE6B4"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отбивали контратаки танков и пехоты противника.</w:t>
      </w:r>
    </w:p>
    <w:p w14:paraId="447E529E"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части Н-ского соединения отразили несколько контратак противника и заняли выгодные позиции. Уничтожено до 1.600 немецких солдат и офицеров, подбито и сожжено 32 танка противника. На другом участке наши подразделения переправились через водный рубеж и, сломив сопротивление противника, заняли два населённых пункта. Захвачено у немцев 3 танка, 2 самоходных орудия, 44 пулемёта, 13 миномётов, склад боеприпасов, склады спродовольствием и инженерным имуществом.</w:t>
      </w:r>
    </w:p>
    <w:p w14:paraId="3D345F53"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батальон немецкой пехоты при поддержке танков и самоходных пушек пытался овладеть высотой, недавно занятой нашими войсками. В результате короткой схватки подразделения Н-ской части истребили до 200 гитлеровцев, сожгли 2 немецких танка и отбросили противника на исходные позиции.</w:t>
      </w:r>
    </w:p>
    <w:p w14:paraId="1D39CA85"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отряда «Белорусы», действующего в одном из районов Минской области, в течение месяца пустили под откос 18 немецких воинских эшелонов, следовавших клинии фронта. В результате крушений разбито 10 и повреждено 6 паровозов, уничтожено 95 вагонов и платформ. Кроме того, партизаны взорвали на шоссейной дороге два моста и уничтожили 8 автомашин с немецкими солдатами. Нападая напротивника из засад, советские патриоты истребили 140 гитлеровцев и захватили много гранат и патронов.</w:t>
      </w:r>
    </w:p>
    <w:p w14:paraId="4D1B2236" w14:textId="77777777" w:rsidR="00E80F52" w:rsidRPr="00271E51" w:rsidRDefault="00E80F52"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Жители освобождённого от немецких захватчиков города Карачёва А.М.Зимина,Л.Г.Гречанинова, П.Г.Беляева, М.Д.Елизарова и другие рассказали: «Гитлеровцы ворвались в Карачёв 5 октября 1941 года и за несколько дней разграбили город. Бандиты вламывались в магазины, квартиры, кладовые, открывали шкафы, сундуки и забирали все наиболее ценные вещи. В первую же неделю немцы расстреляли свыше 50 мирных граждан. Несколько сот человек были арестованы гестаповцами и увезены. Ни один человек из арестованных не вернулся домой. До сих пор об их судьбе ничего неизвестно. Аресты и убийства продолжались до самого последнего времени. Палачи соорудили возле городской управы виселицу и повесили на ней братьев Нестеровых и других советских граждан. Многих жителей города немцы угнали на каторжные работы в Германию. Тех, кто отказывался покидать родные места, гитлеровские людоеды расстреливали. В июле немцы лютовали ещё пуще прежнего. Отступая, немцы сожгли и взорвали все школы, каменные дома и промышленные здания. Вгороденеосталосьниодногоцелогодома</w:t>
      </w:r>
      <w:r w:rsidRPr="00271E51">
        <w:rPr>
          <w:rFonts w:ascii="Times New Roman" w:hAnsi="Times New Roman"/>
          <w:color w:val="000000" w:themeColor="text1"/>
          <w:sz w:val="16"/>
          <w:szCs w:val="16"/>
          <w:lang w:val="en-US"/>
        </w:rPr>
        <w:t>» (14985).</w:t>
      </w:r>
    </w:p>
    <w:p w14:paraId="24FC5FEA" w14:textId="77777777" w:rsidR="00E80F52" w:rsidRPr="00271E51" w:rsidRDefault="00E80F52" w:rsidP="00271E51">
      <w:pPr>
        <w:spacing w:after="0" w:line="240" w:lineRule="auto"/>
        <w:jc w:val="both"/>
        <w:rPr>
          <w:rFonts w:ascii="Times New Roman" w:hAnsi="Times New Roman"/>
          <w:color w:val="000000" w:themeColor="text1"/>
          <w:sz w:val="16"/>
          <w:szCs w:val="16"/>
          <w:lang w:val="en-US"/>
        </w:rPr>
      </w:pPr>
    </w:p>
    <w:p w14:paraId="00F85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16, 1943: Start of a Soviet ofensive agagainst the Mius line toward Stalino (3819).</w:t>
      </w:r>
    </w:p>
    <w:p w14:paraId="52031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DEA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началось советское наступление против линии Миус на Сталино (3819).</w:t>
      </w:r>
    </w:p>
    <w:p w14:paraId="074FB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2E1FF"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войска Западного фронта освободили город Жиздра (14985).</w:t>
      </w:r>
    </w:p>
    <w:p w14:paraId="5EC4AA1C"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39BED009"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1-я русская национальная бригада СС под командованием В.В.Гиль-Родионова, истребив немецкий штаб связи, перешла на сторону партизан в районе Лепеля (всего 2200 человек). Бригада была переименована в 1-ю Антифашистскую партизанскую бригаду (14985).</w:t>
      </w:r>
    </w:p>
    <w:p w14:paraId="683FB745"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6F66AF46" w14:textId="77777777" w:rsidR="00E80F52"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15F0F22" w14:textId="77777777" w:rsidR="00E80F52" w:rsidRPr="00271E51" w:rsidRDefault="00E80F5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46B2F"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марионеточное правительство В.Квислинга оккупированной фашистами Норвегии объявило войну СССР (14985).</w:t>
      </w:r>
    </w:p>
    <w:p w14:paraId="5E20D020"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2BDD449A"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рейхсминистр иностранных дел фон Риббентроп доложил о стокгольмском зондаже Гитлеру. Фюрер отказался обсуждать возможность переговоров с СССР, но разрешил продолжать контакты с советскими эмиссарами в Стокгольме (14985).</w:t>
      </w:r>
    </w:p>
    <w:p w14:paraId="629D8DC7"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5154F03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29087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9C663" w14:textId="77777777" w:rsidR="00E80F52" w:rsidRPr="00271E51" w:rsidRDefault="00E80F52"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было первое боевое применение Ме-163 Комета (3961, 286).</w:t>
      </w:r>
    </w:p>
    <w:p w14:paraId="1AFCA347" w14:textId="77777777" w:rsidR="00E80F52" w:rsidRPr="00271E51" w:rsidRDefault="00E80F52"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109011"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августа в 1943 году под управлением пилота Мориса Хюреля совершил первый полет французский средний транспортный самолет </w:t>
      </w:r>
      <w:hyperlink r:id="rId65" w:tgtFrame="_blank" w:history="1">
        <w:r w:rsidRPr="00271E51">
          <w:rPr>
            <w:rFonts w:ascii="Times New Roman" w:hAnsi="Times New Roman"/>
            <w:color w:val="000000" w:themeColor="text1"/>
            <w:sz w:val="16"/>
            <w:szCs w:val="16"/>
          </w:rPr>
          <w:t xml:space="preserve">«SNCASO» «SO.90» «Cassiopee». </w:t>
        </w:r>
      </w:hyperlink>
      <w:r w:rsidRPr="00271E51">
        <w:rPr>
          <w:rFonts w:ascii="Times New Roman" w:hAnsi="Times New Roman"/>
          <w:color w:val="000000" w:themeColor="text1"/>
          <w:sz w:val="16"/>
          <w:szCs w:val="16"/>
        </w:rPr>
        <w:t>Самолёт «SO.90» «Cassiopee» был создан французскими инженерами в период немецкой оккупации. По замыслу создателей «SO.90» должен был представлять собой недорогую и простой в эксплуатацию машину, предназначенную для выполнения грузо-пассажирских перевозок. Немецкая администрация не стала препятствовать проектированию и постройке «SO.90», но в ноябре 1942 года недостроенный прототип был конфискован ими. Хотя постройка опытного экземпляра несколько притормозилась, весной 1943 года «SO.90» выкатили на летное поле. Подробной информации об испытаниях и эксплуатации самолёта пока нет, но точно известно, что в конечном итоге «SO.90» оказался в Алжире (14985).</w:t>
      </w:r>
    </w:p>
    <w:p w14:paraId="3B73BBA3"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580FF46E"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августа 1943 - Под управлением пилота Мориса Хюреля совершил первый полёт французский средний транспортный самолёт SNCASO SO.90 Cassiopee . Самолёт SO.90 Cassiopee был создан французскими инженерами в период немецкой оккупации. По замыслу создателей SO.90 должен был представлять собой недорогую и простой в эксплуатацию машину, предназначенную для выполнения грузо-пассажирских перевозок. Немецкая администрация не стала препятствовать проектированию и постройке SO.90, но в ноябре 1942 года недостроенный прототип был конфискован ими. Хотя постройка опытного экземпляра несколько притормозилась, весной 1943 года SO.90 выкатили на лётное поле. Подробной информации об испытаниях и эксплуатации самолёта пока нет, но точно известно, что в конечном итоге SO.90 оказался в Алжире (22397).</w:t>
      </w:r>
    </w:p>
    <w:p w14:paraId="77210BC8" w14:textId="77777777" w:rsidR="00F85007" w:rsidRPr="00271E51" w:rsidRDefault="00F85007" w:rsidP="00271E51">
      <w:pPr>
        <w:spacing w:after="0" w:line="240" w:lineRule="auto"/>
        <w:jc w:val="both"/>
        <w:rPr>
          <w:rFonts w:ascii="Times New Roman" w:hAnsi="Times New Roman"/>
          <w:color w:val="0070C0"/>
          <w:sz w:val="16"/>
          <w:szCs w:val="16"/>
        </w:rPr>
      </w:pPr>
    </w:p>
    <w:p w14:paraId="61F21F6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г. 155-му зенитному полку, получившему наименование «учебно-боевой полк», была поставлена задача подготовить кадры для боевых подразделений ракет V1. Для практического обучения солдат и офицеров в распоряжение полка были переданы два испытательных полигона.</w:t>
      </w:r>
    </w:p>
    <w:p w14:paraId="20AC6FD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трудности с учебной техникой и укомплектованием батарей, проведением учебных и контрольных пусков, а так же несмотря на признание непригодными стартовых позиций во Франции ввиду нарушения режима секретности, в середине октября во Францию были переброшены первые шесть огневых батарей 155-го полка (Орлов А.С. «Чудо-оружие»: обманутые надежды фюрера. Смоленск: Русич, 1999.).</w:t>
      </w:r>
    </w:p>
    <w:p w14:paraId="124A68E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расположение стартовых позиций V1 было раскрыто, командир корпуса предложил начать строительство новых позиций упрощенного типа (без складов и с облегченной катапультой), соблюдая максимум скрытности и маскировки. С декабря 1943 г. началось строительство позиций нового типа, одновременно имитировалось продолжение работ на старых позициях. На новых позициях оборудовались бетонированные площадки для установки катапульт и строился тщательно замаскированный командный пункт. Сами катапульты доставлялись на позиции в течение 48 часов перед стрельбой.</w:t>
      </w:r>
    </w:p>
    <w:p w14:paraId="4BA69CA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ввести противника в заблуждение, личный состав ракетных подразделений V1 был переодет в форму организации «Тодт», 155-й зенитный полк получил наименование «Зенитная группа Крейл», а все офицеры получили псевдонимы (командир полка полковник Вахтель имел два псевдонима – Мартин Вольф и Михаэль Вагнер). Вместо старых складов были оборудованы два склада в пещерах близ Ньюкорта и Сан-Эзерне и один в железнодорожном тупике южнее Реймса. Эти мероприятия тактической и оперативной маскировки ввели в заблуждение английскую разведку и заставили союзников наносить бомбовые удары по ложным позициям (11686).</w:t>
      </w:r>
    </w:p>
    <w:p w14:paraId="51D400B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4D2B5A3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1943 началось восстание в еврейском гетто Белостока (Польша) (4962).</w:t>
      </w:r>
    </w:p>
    <w:p w14:paraId="133100F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EEFC7" w14:textId="77777777" w:rsidR="00E80F52" w:rsidRPr="00271E51" w:rsidRDefault="00E80F5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августа в 1943 году после двухнедельной бомбардировки, части американской морской пехоты высадились на остров Кыска (Алеутские острова). Высадившиеся войска с удивлением обнаружили что воевать им по сути не с кем - японские войска были эвакуированы с острова ещё в начале бомбардировок (14985).</w:t>
      </w:r>
    </w:p>
    <w:p w14:paraId="24417C49" w14:textId="77777777" w:rsidR="00E80F52" w:rsidRPr="00271E51" w:rsidRDefault="00E80F52" w:rsidP="00271E51">
      <w:pPr>
        <w:spacing w:after="0" w:line="240" w:lineRule="auto"/>
        <w:jc w:val="both"/>
        <w:rPr>
          <w:rFonts w:ascii="Times New Roman" w:hAnsi="Times New Roman"/>
          <w:color w:val="000000" w:themeColor="text1"/>
          <w:sz w:val="16"/>
          <w:szCs w:val="16"/>
        </w:rPr>
      </w:pPr>
    </w:p>
    <w:p w14:paraId="7F49D1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07C0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95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 НИИ ВВС закончились гос. испытания модернизированного самолета Ил-2И с мотором АМ-38Ф в варианте "истребителя бомбардировщиков" (самолет N 7581 производства завода 1, сделанный июле 1943), которые проходили с 9 августа 1943. 13 июля 1943 самолет прибыл на испытания в НИИ ВВС. С 31 июля по 9 августа испытания не проводились из-за отсутствия техдокументации по самолету. Цель испытаний:</w:t>
      </w:r>
    </w:p>
    <w:p w14:paraId="3D56AF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Определить ЛТД</w:t>
      </w:r>
    </w:p>
    <w:p w14:paraId="41901A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Определить возможность и методику ведения воздушного боя с бомбардировщиками и истребителями противника</w:t>
      </w:r>
    </w:p>
    <w:p w14:paraId="5065DC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Оценить эксплуатационные свойства самолета, работу ВМГ, вооружения, спецоборудования.</w:t>
      </w:r>
    </w:p>
    <w:p w14:paraId="6ED84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и-м В.С.Холопов, вл м А.К.Долгов, вед. по такт. испытаниям к М.Д.Васильев, ли м М.П.Субботин.</w:t>
      </w:r>
    </w:p>
    <w:p w14:paraId="79EE8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был из двухместного переделан в одноместный. Переделан фонарь, хвостовая деревянная часть установлена с одноместного Ил-2, крыло усилено за счет увеличения площади склейки, приклейки деревянной обшивки к верхним поясам лонжеронов. Сняты: крыльевые ШКАС и заделаны лючки, гашетки, бомбардировочные установки и заделаны люки бомбоотсеков, балки РО-82 и узлы их крепления, ЭСБР-ЗП, подвижная установка ВУБ-3 с УБТ, СПУ-Ф2, РПК и передатчик. Оставлено 2хВЯ-23 с боезапасом 150 патронов, два замка МД-3-42 для наружной подвески до ФАБ-250, прицел ВВ-1, аварийный сбрасыватель МСШ-340, гашетки перезарядки пушек и открытия огня. Полетный вес снизился на 760 кг.</w:t>
      </w:r>
    </w:p>
    <w:p w14:paraId="4FFFFE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Выполнили 32 полета с налетом 14:15. Облетали и подготовили донесения м Субботин, ст. л Канюк, п Стефановский</w:t>
      </w:r>
    </w:p>
    <w:p w14:paraId="2AD3E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по сравнению с двухместным самолетом улучшились незначительно: максимальная скорость увеличилась на 14 км/час у земли (393 и 387) и на 18 км/час на границе высотности (407 и 397), а практический потолок вырос с 5300 до 6500 м. Самолет может использоваться для борьбы только с некоторыми типами бомбардировщиков и транспортных самолетов со сравнительно небольшими скоростями (Не-111, ФВ-200, Ю-87, Ю-52) на высотах не выше 4000 м и ФВ могут уходить за счет лучшей скороподъемности. Более скоростные бомбардировщики типа Ю-88 и До-215 Ил-2И может атаковать лишь случайно из-за большой скорости. Снятие ШКАС, РО и ликвидация бомбоотсеков резко снизили качества самолета как штурмовика. Считать, что дальнейшая постройка самолета Ил-2И в варианте истребителя и установка АМ-42 (постановление ГОКО N 3386сс от 15 мая 1943) на истребительный вариант Ил-2 - нецелесообразны. Испытанный опытный винт АВ-5Л-158В д. 3.4 м, дающий увеличение макс. скорости на 8 км/час рекомендовать для установки на ранее выпущенные Ил-2И (1862).</w:t>
      </w:r>
    </w:p>
    <w:p w14:paraId="1F1CA0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C3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директор завода 39 Абрамов направил А.И.Ш. телефонограмму:</w:t>
      </w:r>
    </w:p>
    <w:p w14:paraId="0F9B26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Ил-6 работа закончена по переделкам. Производится взвешивание:</w:t>
      </w:r>
    </w:p>
    <w:p w14:paraId="4E29B2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1843 С.В.И. писал А.И.Ш. письмо N 1/894</w:t>
      </w:r>
    </w:p>
    <w:p w14:paraId="30B44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что ГК А.А.М. запретил полеты на самолетах Ил-2 АМ-42 с винтом диаметром 4 м.</w:t>
      </w:r>
    </w:p>
    <w:p w14:paraId="102DA4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Ил-2, корректировщик и штурмовик, стоят на аэродроме готовые к полетам, но не испытываются по указанной выше причине. Испытывать их с винтами серийного Ил-2 диаметром 376 м не имеет смысла, т.к. эти винты совершенно не подходят к самолету.</w:t>
      </w:r>
    </w:p>
    <w:p w14:paraId="42065D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практически мотора АМ-42 мы не имеем.</w:t>
      </w:r>
    </w:p>
    <w:p w14:paraId="093BAE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Телеграмму о запрещении летать на самолете Ил-2 с АМ-42, посланную А.А.М. на мое имя я получил в Куйбышеве. В этой телеграмме запрещение летать на АМ-42 с винтом диаметром 4 м базировалось на испытаниях, имевших якобы место на заводе 24. По получению указанной телеграммы я тотчас же отправился к Куинджи и Флисскому и предъявил им телеграмму А.А.М. Куинджи и Флисский мне на это ответили нижеследующее: АМ-42, который Вам сдан, имеет формуляр, подписанный нами обоими, в котором указан ресурс мотора 25 час. Произведено до сих пор на заводе 24 испытания АМ-42 не дают никаких оснований запрещать полеты на моторе с ресурсом 25 час., поэтому наше решение, изложенное в формуляре с 25 часовом ресурсе остается в силе.</w:t>
      </w:r>
    </w:p>
    <w:p w14:paraId="51B3F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вмешательства в указанный вопрос т.к. работа по штурмовику Ил-2 с АМ-42 - остановилась (1775,118).</w:t>
      </w:r>
    </w:p>
    <w:p w14:paraId="0023E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6C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17 августа 1943 Волконский писал А.И.Ш. справку N 3259:</w:t>
      </w:r>
    </w:p>
    <w:p w14:paraId="3BEF91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w:t>
      </w:r>
    </w:p>
    <w:p w14:paraId="709AE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проведения летных испытаний самолета Ил-4 с М-82 в варианте дневного бомбардировщика</w:t>
      </w:r>
    </w:p>
    <w:p w14:paraId="023F8A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N 387 от 3 июля с.г. директор завода 23 Иосилович был обязан в 3-х дневный срок, по получении одного мотора взамен выбывшего из строя, установить мотор М-82НВ на самолет и в пять дней закончить заводские летные испытания.</w:t>
      </w:r>
    </w:p>
    <w:p w14:paraId="5AB06C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работ:</w:t>
      </w:r>
    </w:p>
    <w:p w14:paraId="3D3865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виду отсутствия М-82НВ с редукцией 11/16 заводом 23 получены с завода 19 2 мотора М-82ФН (формированные) и производится смена 2-х моторов. В связи с этим выявилась необходимость переделки фланцев выхлопных коллекторов.</w:t>
      </w:r>
    </w:p>
    <w:p w14:paraId="37912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Эскизы на переделку коллекторов ГК С.В.И. даны 14 июля с.г., но завод 23 не развернул работ по доработке коллекторов по указанным эскизам.</w:t>
      </w:r>
    </w:p>
    <w:p w14:paraId="55E3FD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этим, руководство завода 23 решило получить с завода 21 выхлопные коллекторы для М-82ФН от самолета Ла-5 с последующей доработкой к самолету Ил-4.</w:t>
      </w:r>
    </w:p>
    <w:p w14:paraId="267C5D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17 июля переделка коллекторов по эскизам С.В.И. не развернута, а доставка коллекторов с завода 21 не произведены. Поэтому сдача самолета Ил-4 с 2М-82 в варианте дневного бомбардировщика затягивается." (1785,41).</w:t>
      </w:r>
    </w:p>
    <w:p w14:paraId="0C176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C9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августа по 18 сентября 1943 в 18 гв. иап (командир ГСС пп А.Е.Голубов) - 3 машины, в т.ч. 1 с объединенным управлением винтом и газом, и 20иап (командир - п А.К.Перовец) проводились войсковые испытания Як-9Д (65,119).</w:t>
      </w:r>
    </w:p>
    <w:p w14:paraId="5062B6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испытывали и 12 Як-9Т и в 172 полетах налетали 151:54. За 47 боев 9 сбили, 2 подбили и 3 потеряли. Пушки были эффективными (в т.ч. и по танкам, так как прибивалась под углом 45 гр. броня до 30 мм), но очередь более 2-3 снарядов была не эффективной, так как сбивалось прицеливание - опускался нос (65,117).</w:t>
      </w:r>
    </w:p>
    <w:p w14:paraId="760CCD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E52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17 августа 1943 года в 18-м иап (командир Герой Советского Союза А.Е. Голубов) в ходе войсковых испытаний, за месяц Як-9Д участвовали в семи воздушных боях, сбив два FW-190, один - Не-111 и пару Ju-87. Вся боевая работа заключалась в поддержке наземных войск и борьбе с самолетами неприятеля, а летать на сопровождение бомбардировщиков не доводилось. При этом потеряли один свой самолет, еще один был поврежден. Средняя продолжительность полета была 1 час 14 минут. Главным же выводом по результатам войсковых испытаний Як-9Д стало пожелание военных использовать машину по своему прямому назначению на больших удалениях от аэродрома базирования, и, ни в коем случае, не применять в смешанных с другими истребителями боевых порядках. </w:t>
      </w:r>
    </w:p>
    <w:p w14:paraId="602A83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сказать, что к тому времени Як-9Д уже во всю применялся в боевых действиях, причем далеко не по своему назначению. В частности, средняя продолжительность полета Як-9Д не превышала одного часа. По результатам же войсковых испытаний предстояло выработать рекомендации строевым пилотам по более эффективному использованию этих машин.</w:t>
      </w:r>
    </w:p>
    <w:p w14:paraId="5A13B0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эффективными действия истребителей сопровождения признали в авиации ВМФ. В частности, на Балтике, где Як-9Д 21-го иап использовался для сопровождения торпедоносцев-топмачтовиков А-20 "Бостон" из 51-го минноторпедного авиаполка (мтап) (12046).</w:t>
      </w:r>
    </w:p>
    <w:p w14:paraId="405C83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BBF93" w14:textId="77777777" w:rsidR="0032121B" w:rsidRPr="00271E51" w:rsidRDefault="0032121B" w:rsidP="00271E51">
      <w:pPr>
        <w:pStyle w:val="a3"/>
        <w:rPr>
          <w:color w:val="000000" w:themeColor="text1"/>
          <w:lang w:val="ru-RU"/>
        </w:rPr>
      </w:pPr>
      <w:r w:rsidRPr="00271E51">
        <w:rPr>
          <w:color w:val="000000" w:themeColor="text1"/>
          <w:lang w:val="ru-RU"/>
        </w:rPr>
        <w:t>17 августа 1943 после возвраще</w:t>
      </w:r>
      <w:r w:rsidRPr="00271E51">
        <w:rPr>
          <w:color w:val="000000" w:themeColor="text1"/>
          <w:lang w:val="ru-RU"/>
        </w:rPr>
        <w:softHyphen/>
        <w:t>ния из НИИ ВВС КА машины Д-01 и устранения выявленных недостатков все МиГ-ЗУ были облётаны лётчиком 12-го гвардейского иап лейтенантом П.К. Журавлёвым и осмотрены техсоставом полка. Во время полётов на потолок Журавлев достиг на Д-02 высоты 1 2200 м, на Д-03 - 1 2000 м, на Д-04 - 1 2300 м, на Д-05 - 1 1700 м и на Д-06 - 1 2250 м (15976).</w:t>
      </w:r>
    </w:p>
    <w:p w14:paraId="01613A5B" w14:textId="77777777" w:rsidR="0032121B" w:rsidRPr="00271E51" w:rsidRDefault="0032121B" w:rsidP="00271E51">
      <w:pPr>
        <w:pStyle w:val="a3"/>
        <w:rPr>
          <w:color w:val="000000" w:themeColor="text1"/>
          <w:lang w:val="ru-RU"/>
        </w:rPr>
      </w:pPr>
    </w:p>
    <w:p w14:paraId="0A086145"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17 августа 1943 г. по горячим следам первого опыта боевого применения противотанковых авиабомб ПТАБ-2,5-1,5 начальник Управления заказов воору</w:t>
      </w:r>
      <w:r w:rsidRPr="00271E51">
        <w:rPr>
          <w:color w:val="000000" w:themeColor="text1"/>
          <w:sz w:val="16"/>
          <w:szCs w:val="16"/>
        </w:rPr>
        <w:softHyphen/>
        <w:t>жения и боеприпасов ГУЗ ВВС КА генерал-майор Солдатов обратился к ВРИД на</w:t>
      </w:r>
      <w:r w:rsidRPr="00271E51">
        <w:rPr>
          <w:color w:val="000000" w:themeColor="text1"/>
          <w:sz w:val="16"/>
          <w:szCs w:val="16"/>
        </w:rPr>
        <w:softHyphen/>
        <w:t>чальнику ВВС КА генерал-лейтенанту Кроленко с предложением «дальнейшее производство ампул АЖ-2 с КС прекратить».</w:t>
      </w:r>
    </w:p>
    <w:p w14:paraId="7E884DFC"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своем письме генерал Солдатов опирался на материалы совещания по вопросу боевого приме</w:t>
      </w:r>
      <w:r w:rsidRPr="00271E51">
        <w:rPr>
          <w:color w:val="000000" w:themeColor="text1"/>
          <w:sz w:val="16"/>
          <w:szCs w:val="16"/>
        </w:rPr>
        <w:softHyphen/>
        <w:t>нения бомбардировочного вооружения, проведен</w:t>
      </w:r>
      <w:r w:rsidRPr="00271E51">
        <w:rPr>
          <w:color w:val="000000" w:themeColor="text1"/>
          <w:sz w:val="16"/>
          <w:szCs w:val="16"/>
        </w:rPr>
        <w:softHyphen/>
        <w:t>ного 31 мая 1943 г. в НИИ ВВС совместно с ГУ ИАС, ГУЗ ВВС и заместителями главных инженеров воз</w:t>
      </w:r>
      <w:r w:rsidRPr="00271E51">
        <w:rPr>
          <w:color w:val="000000" w:themeColor="text1"/>
          <w:sz w:val="16"/>
          <w:szCs w:val="16"/>
        </w:rPr>
        <w:softHyphen/>
        <w:t>душных армий.</w:t>
      </w:r>
    </w:p>
    <w:p w14:paraId="4E24B18C"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Тогда в результате обмена мнениями была уста</w:t>
      </w:r>
      <w:r w:rsidRPr="00271E51">
        <w:rPr>
          <w:color w:val="000000" w:themeColor="text1"/>
          <w:sz w:val="16"/>
          <w:szCs w:val="16"/>
        </w:rPr>
        <w:softHyphen/>
        <w:t>новлена недостаточная эффективность зажигатель</w:t>
      </w:r>
      <w:r w:rsidRPr="00271E51">
        <w:rPr>
          <w:color w:val="000000" w:themeColor="text1"/>
          <w:sz w:val="16"/>
          <w:szCs w:val="16"/>
        </w:rPr>
        <w:softHyphen/>
        <w:t>ных ампул АЖ-2 с КС в боевых условиях. Комис</w:t>
      </w:r>
      <w:r w:rsidRPr="00271E51">
        <w:rPr>
          <w:color w:val="000000" w:themeColor="text1"/>
          <w:sz w:val="16"/>
          <w:szCs w:val="16"/>
        </w:rPr>
        <w:softHyphen/>
        <w:t>сия, назначенная начальником НИИ АВ ВВС гене</w:t>
      </w:r>
      <w:r w:rsidRPr="00271E51">
        <w:rPr>
          <w:color w:val="000000" w:themeColor="text1"/>
          <w:sz w:val="16"/>
          <w:szCs w:val="16"/>
        </w:rPr>
        <w:softHyphen/>
        <w:t>рал-майором Гуревичем для изучения материалов совещания, в своих выводах также рекомендовала снять с производства ампулы АЖ-2 с КС.</w:t>
      </w:r>
    </w:p>
    <w:p w14:paraId="70BC26CA"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Обращалось внимание, что к этому времени на складах ВВС в наличии имелось свыше 3 млн штук ампул АЖ-2, предназначенных для их снаряжения боевыми химическими веществами, и «на вооруже</w:t>
      </w:r>
      <w:r w:rsidRPr="00271E51">
        <w:rPr>
          <w:color w:val="000000" w:themeColor="text1"/>
          <w:sz w:val="16"/>
          <w:szCs w:val="16"/>
        </w:rPr>
        <w:softHyphen/>
        <w:t>нии ВВС КА состоят авиахимбомбы ХАБ-100, кото</w:t>
      </w:r>
      <w:r w:rsidRPr="00271E51">
        <w:rPr>
          <w:color w:val="000000" w:themeColor="text1"/>
          <w:sz w:val="16"/>
          <w:szCs w:val="16"/>
        </w:rPr>
        <w:softHyphen/>
        <w:t>рые идут в серийных заказах». При необходимости этот запас ампул АЖ-2 можно было обратить для снаряжения огневой смесью КС.</w:t>
      </w:r>
    </w:p>
    <w:p w14:paraId="7D2918E7"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известно, ампулы АЖ-2 продолжали изго</w:t>
      </w:r>
      <w:r w:rsidRPr="00271E51">
        <w:rPr>
          <w:color w:val="000000" w:themeColor="text1"/>
          <w:sz w:val="16"/>
          <w:szCs w:val="16"/>
        </w:rPr>
        <w:softHyphen/>
        <w:t>тавливать до осени 1944 г.: в III квартале их выпуск был резко сокращен, а в IV — прекращен оконча</w:t>
      </w:r>
      <w:r w:rsidRPr="00271E51">
        <w:rPr>
          <w:color w:val="000000" w:themeColor="text1"/>
          <w:sz w:val="16"/>
          <w:szCs w:val="16"/>
        </w:rPr>
        <w:softHyphen/>
        <w:t>тельно (17500).</w:t>
      </w:r>
    </w:p>
    <w:p w14:paraId="2CAD4A22"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0F01C9B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2A3BF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F96B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г. ПРИКАЗ НАЧАЛЬНИКА ГБТУ КА О НАЛОЖЕНИИ ВЗЫСКАНИЙ НА ВИНОВНЫХ В ПРЕДСТАВЛЕНИИ В НАРКОМВНЕШТОРГ ЗАВЫШЕННЫХ ЗАЯВОК НА ЗАПАСНЫЕ ЧАСТИ ДЛЯ АНГЛИЙСКИХ ТАНКОВ №33</w:t>
      </w:r>
    </w:p>
    <w:p w14:paraId="71A3CC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июля с.г. начальником управления ремонта танков гвардии майором инженерно-танковой службы т. Сосенковым на имя начальника инженерного управления Наркомвнешторга Союза ССР генерал-майора т. Семичастного была представлена заявка на запасные части, агрегаты, электро</w:t>
      </w:r>
      <w:r w:rsidRPr="00271E51">
        <w:rPr>
          <w:rFonts w:ascii="Times New Roman" w:hAnsi="Times New Roman"/>
          <w:color w:val="000000" w:themeColor="text1"/>
          <w:sz w:val="16"/>
          <w:szCs w:val="16"/>
        </w:rPr>
        <w:softHyphen/>
        <w:t>оборудование, вооружение и инструмент для английских танков.</w:t>
      </w:r>
    </w:p>
    <w:p w14:paraId="33DC7A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проверке этой заявки в Наркомвнешторге выяснилось, что заявка на вооружение была завышена, а заявка на запасные части составлена необоснованно, без правильного учета наличия танков и без учета опыта их ремонта на ремонтных заводах ГБТУ КА.</w:t>
      </w:r>
    </w:p>
    <w:p w14:paraId="2C42CB8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Заявку на вооружение пришлось вторично пересоставить, а заявка на запасные части подвер</w:t>
      </w:r>
      <w:r w:rsidRPr="00271E51">
        <w:rPr>
          <w:rFonts w:ascii="Times New Roman" w:hAnsi="Times New Roman"/>
          <w:color w:val="000000" w:themeColor="text1"/>
          <w:sz w:val="16"/>
          <w:szCs w:val="16"/>
        </w:rPr>
        <w:softHyphen/>
        <w:t>глась справедливой критике со стороны генерал-майора т. Семичастного.</w:t>
      </w:r>
    </w:p>
    <w:p w14:paraId="19875B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представители британкой военной миссии внесли в нее ряд своих замечаний.</w:t>
      </w:r>
    </w:p>
    <w:p w14:paraId="78C58D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это произошло потому, что составители заявок халатно отнеслись к своей работе, а началь</w:t>
      </w:r>
      <w:r w:rsidRPr="00271E51">
        <w:rPr>
          <w:rFonts w:ascii="Times New Roman" w:hAnsi="Times New Roman"/>
          <w:color w:val="000000" w:themeColor="text1"/>
          <w:sz w:val="16"/>
          <w:szCs w:val="16"/>
        </w:rPr>
        <w:softHyphen/>
        <w:t>ник УРТ генерал-майор т. Сосенков и заместитель начальника УРТ инженер-подполковник т. Чиков направили ее в Наркомвнешторг без должной проверки.</w:t>
      </w:r>
    </w:p>
    <w:p w14:paraId="4DC233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безответственное составление заявки на вооружение виновные наказаны начальником управления самоходной артиллерии инженер-подполковником т. Алымовым.</w:t>
      </w:r>
    </w:p>
    <w:p w14:paraId="2E480D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ПРИКАЗЫВАЮ:</w:t>
      </w:r>
    </w:p>
    <w:p w14:paraId="1D376B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 составление необоснованной заявки на запасные части помощнику начальника 10-го отде</w:t>
      </w:r>
      <w:r w:rsidRPr="00271E51">
        <w:rPr>
          <w:rFonts w:ascii="Times New Roman" w:hAnsi="Times New Roman"/>
          <w:color w:val="000000" w:themeColor="text1"/>
          <w:sz w:val="16"/>
          <w:szCs w:val="16"/>
        </w:rPr>
        <w:softHyphen/>
        <w:t>ла УРТ инженер-капитану т. Бесчастному и врид. начальника 10-го отдела УРТ майору т. Черномор-дику объявить выговор.</w:t>
      </w:r>
    </w:p>
    <w:p w14:paraId="723659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Указать начальнику УРТ генерал-майору инженерно-танковой службы т. Сосенкову и заместите</w:t>
      </w:r>
      <w:r w:rsidRPr="00271E51">
        <w:rPr>
          <w:rFonts w:ascii="Times New Roman" w:hAnsi="Times New Roman"/>
          <w:color w:val="000000" w:themeColor="text1"/>
          <w:sz w:val="16"/>
          <w:szCs w:val="16"/>
        </w:rPr>
        <w:softHyphen/>
        <w:t>лю начальника УРТ инженер-подполковнику т. Чикову на недопустимость представления таких ответ</w:t>
      </w:r>
      <w:r w:rsidRPr="00271E51">
        <w:rPr>
          <w:rFonts w:ascii="Times New Roman" w:hAnsi="Times New Roman"/>
          <w:color w:val="000000" w:themeColor="text1"/>
          <w:sz w:val="16"/>
          <w:szCs w:val="16"/>
        </w:rPr>
        <w:softHyphen/>
        <w:t>ственных документов, как заявки на запасные части к импортным танкам, без тщательной проверки.</w:t>
      </w:r>
    </w:p>
    <w:p w14:paraId="2A07B0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Впредь все заявки на запасные части и вооружение для импортных танков представлять мне на утверждение.</w:t>
      </w:r>
    </w:p>
    <w:p w14:paraId="0407E4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Начальнику УРТ генерал-майору инженерно-танковой службы т. Сосенкову в месячный срок соста</w:t>
      </w:r>
      <w:r w:rsidRPr="00271E51">
        <w:rPr>
          <w:rFonts w:ascii="Times New Roman" w:hAnsi="Times New Roman"/>
          <w:color w:val="000000" w:themeColor="text1"/>
          <w:sz w:val="16"/>
          <w:szCs w:val="16"/>
        </w:rPr>
        <w:softHyphen/>
        <w:t>вить и представить мне на утверждение нормы на запасные части для капитального и среднего ремонта всех импортных танков, исходя из опыта их ремонта на ремонтных заводах ГБТУ КА и в войсках.</w:t>
      </w:r>
    </w:p>
    <w:p w14:paraId="3DE8C2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Главного бронетанкового управления Красной Армии генерал-лейтенант танковых войск Вершинин</w:t>
      </w:r>
    </w:p>
    <w:p w14:paraId="25704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11362. Д. 3. Л. 66-67. Копия (11403).</w:t>
      </w:r>
    </w:p>
    <w:p w14:paraId="5FB0F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D24C0"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г. была подготовлена ДОКЛАДНАЯ ЗАПИСКА ИНЖЕНЕРНОГО УПРАВЛЕНИЯ НКВТ СССР ЗАМЕСТИТЕЛЮ НАЧАЛЬНИКА ГБТУ КА ОБ ОРГАНИЗАЦИОННОЙ СТРУКТУРЕ ТАНКОВОГО ПРОИЗВОДСТВА В США</w:t>
      </w:r>
    </w:p>
    <w:p w14:paraId="14378B4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пересылаю Вам докладную записку майора Алексеева об организационной структуре танкового производства в США.</w:t>
      </w:r>
    </w:p>
    <w:p w14:paraId="31E6FF1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7 листах.</w:t>
      </w:r>
    </w:p>
    <w:p w14:paraId="05D5804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инженерного управления НКВТ СССР</w:t>
      </w:r>
    </w:p>
    <w:p w14:paraId="6AA62875"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 Хряев</w:t>
      </w:r>
    </w:p>
    <w:p w14:paraId="036B117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Отчет о работе в танковом отделе правительственной закупочной комиссии СССР в США</w:t>
      </w:r>
    </w:p>
    <w:p w14:paraId="3D89802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Введение</w:t>
      </w:r>
    </w:p>
    <w:p w14:paraId="5F056EE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30 марта 1942 г. я прибыл в США, г. Нью-Йорк. Апрель — май и первую половину июня я рабо</w:t>
      </w:r>
      <w:r w:rsidRPr="00271E51">
        <w:rPr>
          <w:rFonts w:ascii="Times New Roman" w:hAnsi="Times New Roman"/>
          <w:color w:val="000000" w:themeColor="text1"/>
          <w:sz w:val="16"/>
          <w:szCs w:val="16"/>
        </w:rPr>
        <w:softHyphen/>
        <w:t xml:space="preserve">тал в аппарате танкового отдела г. Вашингтон по проверке чертежей </w:t>
      </w:r>
      <w:r w:rsidRPr="00271E51">
        <w:rPr>
          <w:rFonts w:ascii="Times New Roman" w:hAnsi="Times New Roman"/>
          <w:color w:val="000000" w:themeColor="text1"/>
          <w:sz w:val="16"/>
          <w:szCs w:val="16"/>
        </w:rPr>
        <w:lastRenderedPageBreak/>
        <w:t>танков: среднего МЗ и легкого МЗ и по учету отправленных запасных частей в СССР для этих танков.</w:t>
      </w:r>
    </w:p>
    <w:p w14:paraId="6E7C1929"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Вторую половину июня и первую половину июля я работал в порту Нью-Йорк по погрузке тан</w:t>
      </w:r>
      <w:r w:rsidRPr="00271E51">
        <w:rPr>
          <w:rFonts w:ascii="Times New Roman" w:hAnsi="Times New Roman"/>
          <w:color w:val="000000" w:themeColor="text1"/>
          <w:sz w:val="16"/>
          <w:szCs w:val="16"/>
        </w:rPr>
        <w:softHyphen/>
        <w:t>ков и зап. частей к ним.</w:t>
      </w:r>
    </w:p>
    <w:p w14:paraId="29DE2F29"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июля 1942 г. по 10 марта 1943 г. работал в танковом депо в г. Толедо, штат Охайо, где сле</w:t>
      </w:r>
      <w:r w:rsidRPr="00271E51">
        <w:rPr>
          <w:rFonts w:ascii="Times New Roman" w:hAnsi="Times New Roman"/>
          <w:color w:val="000000" w:themeColor="text1"/>
          <w:sz w:val="16"/>
          <w:szCs w:val="16"/>
        </w:rPr>
        <w:softHyphen/>
        <w:t>дил за комплектацией, упаковкой и отправкой средних танков МЗ и М4А2 в порты Нью-Йорк и Филадельфия.</w:t>
      </w:r>
    </w:p>
    <w:p w14:paraId="4BC3F5B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марта 1943 г. переведен на работу в автотракторный отдел согласно приказуПравитель-ственной закупочной комиссии №46 от 24.11.1943 г.</w:t>
      </w:r>
    </w:p>
    <w:p w14:paraId="37B61B5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 время с 1 апреля по 10 марта я посетил:</w:t>
      </w:r>
    </w:p>
    <w:p w14:paraId="60439260"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Танковый завод Крайслер в г. Детройт. О посещении этого завода см. совместный отчет мой и т. Боголюбова от мая 1942 г.</w:t>
      </w:r>
    </w:p>
    <w:p w14:paraId="1B534871"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Танковое депо в г. Толедо, на котором я работал с 15 июля 1942 г. по 10 марта 1943 г. О работе в этом депо см. мои отчеты от октября 1942 г. и от 6.01.1943 г.</w:t>
      </w:r>
    </w:p>
    <w:p w14:paraId="650EC92D"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Абердинский полигон [я посетил] 4 раза в декабре 1942 г. и январе 1943 г. Эти посещения Абердинского полигона были связаны с прибытием советских танков Т-34 и КВ в Америку, и я ездил туда для ознакомления американцев с нашими танками.</w:t>
      </w:r>
    </w:p>
    <w:p w14:paraId="0348B10C"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первом и последнем посещении см. мои отчеты от 6.01.1943 г. и от 20.11.1943 г. Два других посещения были связаны с показом наших танков американским офицерам и советским команди</w:t>
      </w:r>
      <w:r w:rsidRPr="00271E51">
        <w:rPr>
          <w:rFonts w:ascii="Times New Roman" w:hAnsi="Times New Roman"/>
          <w:color w:val="000000" w:themeColor="text1"/>
          <w:sz w:val="16"/>
          <w:szCs w:val="16"/>
        </w:rPr>
        <w:softHyphen/>
        <w:t>рам и работникам закупочной комиссии и посольства.</w:t>
      </w:r>
    </w:p>
    <w:p w14:paraId="16BCC9D7"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Завод в Фишер Води Корпорайшион, Фишер танк Арсенал в г. Гранд-Бланк в штате Мичиган и Фишер Боли №1 в г. Флинт в штате Мичиган (см. мой отчет о посещении этих заводов от 11 марта 1943 года.</w:t>
      </w:r>
    </w:p>
    <w:p w14:paraId="6398049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сейчас на основании посещений этих предприятий я хочу кратко изложить организационную структуру танкового производства и технологический процесс сборки танков.</w:t>
      </w:r>
    </w:p>
    <w:p w14:paraId="59F4EA4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Организационная структура танкового производства в США</w:t>
      </w:r>
    </w:p>
    <w:p w14:paraId="23CC5BF8" w14:textId="77777777" w:rsidR="00F85007" w:rsidRPr="00271E51" w:rsidRDefault="00F8500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Краткое описание взаимодействия танковых заводов с танковыми депо, складами и портами. Танковые заводы Америки или, как их называют американцы, танковые арсеналы производят сборку танков и испытание их на 45 миль.</w:t>
      </w:r>
    </w:p>
    <w:p w14:paraId="71F0F91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Собранный и испытанный на танковом заводе танк с установленной на нем пушкой и с упакован</w:t>
      </w:r>
      <w:r w:rsidRPr="00271E51">
        <w:rPr>
          <w:rFonts w:ascii="Times New Roman" w:hAnsi="Times New Roman"/>
          <w:color w:val="000000" w:themeColor="text1"/>
          <w:sz w:val="16"/>
          <w:szCs w:val="16"/>
        </w:rPr>
        <w:softHyphen/>
        <w:t>ным в ящики инструментом и принадлежностями для самого танка, только то, что изложено в первой секции упаковочного листа (см. приложенный упаковочный лист для танков М4), отправляется в тан</w:t>
      </w:r>
      <w:r w:rsidRPr="00271E51">
        <w:rPr>
          <w:rFonts w:ascii="Times New Roman" w:hAnsi="Times New Roman"/>
          <w:color w:val="000000" w:themeColor="text1"/>
          <w:sz w:val="16"/>
          <w:szCs w:val="16"/>
        </w:rPr>
        <w:softHyphen/>
        <w:t>ковое депо без пулеметов, без радиостанции и принадлежностей и инструмента к ним. Изготовленные таким образом танки на различных танковых заводах по указанию военного департамента отправляют</w:t>
      </w:r>
      <w:r w:rsidRPr="00271E51">
        <w:rPr>
          <w:rFonts w:ascii="Times New Roman" w:hAnsi="Times New Roman"/>
          <w:color w:val="000000" w:themeColor="text1"/>
          <w:sz w:val="16"/>
          <w:szCs w:val="16"/>
        </w:rPr>
        <w:softHyphen/>
        <w:t>ся в то или иное танковое депо в зависимости от того, куда они должны быть отправлены из депо. Так, например, в Толедское танковое депо поступают танки с заводов: Фишер, Води, Крайслер, Пульман Стандарт Ко, Форд — с этих заводов поступают средние танки модели М4 — и др. типы машин с других заводов. В танковых депо танки по указанию военного департамента готовятся для отправки в американскую армию, в Англию, в СССР или другим союзникам. Подготовка танка к отправке из депо заключается: в установке радиостанции, в упаковке инструмента и принадлежностей для самого танка, для вооружения и для радио, в упаковке пулеметов, в укладке всего этого хозяйства в танк и консервации танка, т.е. заклейки всех мест, через которые может проникнуть в танк вода, и покрытие антикоррозийным составом отдельных деталей и механизмов.</w:t>
      </w:r>
    </w:p>
    <w:p w14:paraId="4490791D"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Подготовленные таким образом танки до последнего времени отправлялись в соответствующие порты, где они ждали погрузки их на пароходы. В последнее время танки из депо отправляются на склады, расположенные близко к портам, и со склада они отправляются в порты, тогда, когда там имеются для них пароходы.</w:t>
      </w:r>
    </w:p>
    <w:p w14:paraId="7583295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 радиостанции, принадлежности и инструмент к ним танковые депо получают непо</w:t>
      </w:r>
      <w:r w:rsidRPr="00271E51">
        <w:rPr>
          <w:rFonts w:ascii="Times New Roman" w:hAnsi="Times New Roman"/>
          <w:color w:val="000000" w:themeColor="text1"/>
          <w:sz w:val="16"/>
          <w:szCs w:val="16"/>
        </w:rPr>
        <w:softHyphen/>
        <w:t>средственно с заводов, изготавливающих эти предметы.</w:t>
      </w:r>
    </w:p>
    <w:p w14:paraId="43D51C2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Кооперирование танковых заводов с другими заводами.</w:t>
      </w:r>
    </w:p>
    <w:p w14:paraId="61A7186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Танковые заводы по существу являются сборочными заводами и сами производят очень мало. Поэтому очень сильно развита кооперация между заводами. Так, например: сборочный танковый завод Фишер Танк Арсенал получает с других заводов следующие агрегаты:</w:t>
      </w:r>
    </w:p>
    <w:p w14:paraId="626025B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Двигатели, полностью оборудованные.</w:t>
      </w:r>
    </w:p>
    <w:p w14:paraId="1D94F3A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Трансмиссию, коробки перемены передач, дифференциал и бортовые передачи, полностью изготовленные и смонтированные в носовой литой части корпуса.</w:t>
      </w:r>
    </w:p>
    <w:p w14:paraId="7654B47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Тележки подвески, полностью обработанные и смонтированные.</w:t>
      </w:r>
    </w:p>
    <w:p w14:paraId="2A9B64A3"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Погоны, полностью обработанные и смонтированные.</w:t>
      </w:r>
    </w:p>
    <w:p w14:paraId="2670985C"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Башни, полностью обработанные и с установленной пушкой.</w:t>
      </w:r>
    </w:p>
    <w:p w14:paraId="4891BE6A"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Масляные и топливные баки.</w:t>
      </w:r>
    </w:p>
    <w:p w14:paraId="1A42BCCE"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Ленивцы</w:t>
      </w:r>
    </w:p>
    <w:p w14:paraId="0D51EB9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другие механизмы и детали. В свою очередь заводы, производящие вышеперечисленные меха</w:t>
      </w:r>
      <w:r w:rsidRPr="00271E51">
        <w:rPr>
          <w:rFonts w:ascii="Times New Roman" w:hAnsi="Times New Roman"/>
          <w:color w:val="000000" w:themeColor="text1"/>
          <w:sz w:val="16"/>
          <w:szCs w:val="16"/>
        </w:rPr>
        <w:softHyphen/>
        <w:t>низмы, не все делают сами, а кооперируются с другими заводами.</w:t>
      </w:r>
    </w:p>
    <w:p w14:paraId="1AC73DD9"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Схема танкового производства на примере завода Фишер Танк Арсенал (см. прилагаемую схему</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w:t>
      </w:r>
    </w:p>
    <w:p w14:paraId="689C6055"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Технологический процесс сборки танков</w:t>
      </w:r>
    </w:p>
    <w:p w14:paraId="5228870D"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См. прилагаемую схему сборки танков М4А2 на заводе Фишер Танк Арсенал.</w:t>
      </w:r>
    </w:p>
    <w:p w14:paraId="77D1E65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этой схеме показана линия конвейера, на которой вмещается 25 танков, последовательность операций, количество рабочих, занятых на выполнении этих операций, время на выполнение каж</w:t>
      </w:r>
      <w:r w:rsidRPr="00271E51">
        <w:rPr>
          <w:rFonts w:ascii="Times New Roman" w:hAnsi="Times New Roman"/>
          <w:color w:val="000000" w:themeColor="text1"/>
          <w:sz w:val="16"/>
          <w:szCs w:val="16"/>
        </w:rPr>
        <w:softHyphen/>
        <w:t>дой операции (время указано приблизительно) и основные приспособления и инструмент.</w:t>
      </w:r>
    </w:p>
    <w:p w14:paraId="4A7DC782" w14:textId="77777777" w:rsidR="00F85007" w:rsidRPr="00271E51" w:rsidRDefault="00F8500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Поступление механизмов и деталей на линию сборки происходит следующим образом: из кладовых механизмы и детали подвозятся на линию сборки маленькими тракторами с тележками и складываются против тех мест линии конвейера, где они должны устанавливаться на танк. Затем краном или вручную подаются на танк.</w:t>
      </w:r>
    </w:p>
    <w:p w14:paraId="565B9979"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Описание конвейера и его оборудования.</w:t>
      </w:r>
    </w:p>
    <w:p w14:paraId="131B893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Цепь конвейера заделана в полу, и верхняя ветвь ее идет на уровне пола. По сторонам цепи проложен рельсовый путь. Каждый корпус танка ставится на две тележки, которые стоят на этом рельсовом пути и сцеплены с цепью конвейера. Таким образом, при передвижении цепь конвейера тянет за собой тележки, которые катятся по рельсовому пути, и несет на себе корпус танка вдоль всей линии конвейера.</w:t>
      </w:r>
    </w:p>
    <w:p w14:paraId="226C60D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танк в конце линии конвейера становится на гусеницы, тележки из под него выкаты</w:t>
      </w:r>
      <w:r w:rsidRPr="00271E51">
        <w:rPr>
          <w:rFonts w:ascii="Times New Roman" w:hAnsi="Times New Roman"/>
          <w:color w:val="000000" w:themeColor="text1"/>
          <w:sz w:val="16"/>
          <w:szCs w:val="16"/>
        </w:rPr>
        <w:softHyphen/>
        <w:t>ваются и отправляются обратно к началу конвейера. В конце конвейера по сторонам рельсового пути по ширине колес подвески проложены корытные балки. Длина их равна длине машины, а ширина — ширине гусеницы. Эти балки смонтированы на подъемниках и могут опускаться ниже уровня пола и подниматься на уровень пола и выше. Когда собранный танк подойдет к концу конвейера, перед ним на этих балках расстилают гусеницы. Затем тележки, на которых стоит танк, разъединяются с цепью конвейера и накатывают на гусеницы, но так как балки с гусеницами опущены, то колеса подвески, гусениц не касаются.</w:t>
      </w:r>
    </w:p>
    <w:p w14:paraId="32CC1217"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Потом, когда танк найдет на всю длину балок, балки поднимаются, и поднимают на себе танк, чтобы освободить тележки.</w:t>
      </w:r>
    </w:p>
    <w:p w14:paraId="59DECB1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Освобожденные тележки выкатываются из под танка и балки опускаются на уровень пола. При помощи крана, цепей, лома свободный конец гусеницы заводится на ведущее колесо, а потом, при помощи троса и системы блоков краном она подтягивается на поддерживающие ролики, и на уровне оси ленивца гусеницы соединяются. После соединения гусеницы заводится двигатель, и танк идет своим ходом на место, предназначенное для сошедших с конвейера танков.</w:t>
      </w:r>
    </w:p>
    <w:p w14:paraId="5322A0FA"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уже указывал в своем отчете о посещении этого завода, о широком применении пневматиче</w:t>
      </w:r>
      <w:r w:rsidRPr="00271E51">
        <w:rPr>
          <w:rFonts w:ascii="Times New Roman" w:hAnsi="Times New Roman"/>
          <w:color w:val="000000" w:themeColor="text1"/>
          <w:sz w:val="16"/>
          <w:szCs w:val="16"/>
        </w:rPr>
        <w:softHyphen/>
        <w:t>ских машинок с набором головок торцевых ключей, отверток и молотков, и ключей, и отверток с трещотками, что очень сильно ускоряет и облегчает работу сборщиков.</w:t>
      </w:r>
    </w:p>
    <w:p w14:paraId="72866C50"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Порядок приемки танков.</w:t>
      </w:r>
    </w:p>
    <w:p w14:paraId="29F61C9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Каждая операция принимается заводскими инспекторами, о чем делается отметка в специаль</w:t>
      </w:r>
      <w:r w:rsidRPr="00271E51">
        <w:rPr>
          <w:rFonts w:ascii="Times New Roman" w:hAnsi="Times New Roman"/>
          <w:color w:val="000000" w:themeColor="text1"/>
          <w:sz w:val="16"/>
          <w:szCs w:val="16"/>
        </w:rPr>
        <w:softHyphen/>
        <w:t>ной карточке. В конце конвейера операции по установке механизмов подъема пушки и поворота башни, а также стабилизатора пушки инспектируются, кроме заводских инспекторов, также и пра</w:t>
      </w:r>
      <w:r w:rsidRPr="00271E51">
        <w:rPr>
          <w:rFonts w:ascii="Times New Roman" w:hAnsi="Times New Roman"/>
          <w:color w:val="000000" w:themeColor="text1"/>
          <w:sz w:val="16"/>
          <w:szCs w:val="16"/>
        </w:rPr>
        <w:softHyphen/>
        <w:t>вительственными инспекторами. Во главе правительственной инспекции стоит военный представи</w:t>
      </w:r>
      <w:r w:rsidRPr="00271E51">
        <w:rPr>
          <w:rFonts w:ascii="Times New Roman" w:hAnsi="Times New Roman"/>
          <w:color w:val="000000" w:themeColor="text1"/>
          <w:sz w:val="16"/>
          <w:szCs w:val="16"/>
        </w:rPr>
        <w:softHyphen/>
        <w:t>тель — офицер в чине капитана. На каждом сошедшем с конвейера танке инспектируется работа двигателя как заводскими, так и правительственными инспекторами.</w:t>
      </w:r>
    </w:p>
    <w:p w14:paraId="61B2C8E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испытании танков участвуют также инспектора правительственные и заводские. Решающее слово о приемке танка остается за правительственным инспектором.</w:t>
      </w:r>
    </w:p>
    <w:p w14:paraId="22D24B2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Технологический процесс комплектации танков в танковых депо</w:t>
      </w:r>
    </w:p>
    <w:p w14:paraId="78997C4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Танковые депо по существу являются распределительными органами военного департамента, па которые возложены функции упаковки индивидуального комплекта, установки радиостанций и консервации танков.</w:t>
      </w:r>
    </w:p>
    <w:p w14:paraId="334134E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Распределительные функции выполняются офисом (конторой) военного департамента, во главе которого стоит офицер в чине капитана или майора.</w:t>
      </w:r>
    </w:p>
    <w:p w14:paraId="6796CFCA"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Функции упаковки и консервации выполняются компанией, которой принадлежит предпри</w:t>
      </w:r>
      <w:r w:rsidRPr="00271E51">
        <w:rPr>
          <w:rFonts w:ascii="Times New Roman" w:hAnsi="Times New Roman"/>
          <w:color w:val="000000" w:themeColor="text1"/>
          <w:sz w:val="16"/>
          <w:szCs w:val="16"/>
        </w:rPr>
        <w:softHyphen/>
        <w:t>ятие, на котором организовано танковое депо. Контроль за работой компании по упаковке и кон</w:t>
      </w:r>
      <w:r w:rsidRPr="00271E51">
        <w:rPr>
          <w:rFonts w:ascii="Times New Roman" w:hAnsi="Times New Roman"/>
          <w:color w:val="000000" w:themeColor="text1"/>
          <w:sz w:val="16"/>
          <w:szCs w:val="16"/>
        </w:rPr>
        <w:softHyphen/>
        <w:t>сервации танков осуществляется правительственной инспекцией, которая возглавляется офицером, возглавляющим контору военного департамента. Фактическим хозяином депо по вопросам, какие танки или машины готовить к отправке, когда готовить, как комплектовать и куда отправить, явля</w:t>
      </w:r>
      <w:r w:rsidRPr="00271E51">
        <w:rPr>
          <w:rFonts w:ascii="Times New Roman" w:hAnsi="Times New Roman"/>
          <w:color w:val="000000" w:themeColor="text1"/>
          <w:sz w:val="16"/>
          <w:szCs w:val="16"/>
        </w:rPr>
        <w:softHyphen/>
        <w:t>ется представитель военного департамента. Комплектация танков должна производиться по упако</w:t>
      </w:r>
      <w:r w:rsidRPr="00271E51">
        <w:rPr>
          <w:rFonts w:ascii="Times New Roman" w:hAnsi="Times New Roman"/>
          <w:color w:val="000000" w:themeColor="text1"/>
          <w:sz w:val="16"/>
          <w:szCs w:val="16"/>
        </w:rPr>
        <w:softHyphen/>
        <w:t>вочному листу, составленному военным департаментом.</w:t>
      </w:r>
    </w:p>
    <w:p w14:paraId="1FAE64BB" w14:textId="77777777" w:rsidR="00F85007" w:rsidRPr="00271E51" w:rsidRDefault="00F8500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Упаковочный лист имеет три секции. Все, изложенное в первой секции, должно приходить в танковое депо вместе с танком с завода, изготовляющего танки. Все, изложенное во второй секции, должно поступать в депо непосредственно с заводов, изготовляющих эти предметы. О своевремен</w:t>
      </w:r>
      <w:r w:rsidRPr="00271E51">
        <w:rPr>
          <w:rFonts w:ascii="Times New Roman" w:hAnsi="Times New Roman"/>
          <w:color w:val="000000" w:themeColor="text1"/>
          <w:sz w:val="16"/>
          <w:szCs w:val="16"/>
        </w:rPr>
        <w:softHyphen/>
        <w:t xml:space="preserve">ном их получении должен беспокоиться офис военного департамента, и, наконец, всем изложенным в третьей секции, как то: пища, бинокли, угломеры и т. д. танк должен снабжаться в частях </w:t>
      </w:r>
      <w:r w:rsidRPr="00271E51">
        <w:rPr>
          <w:rFonts w:ascii="Times New Roman" w:hAnsi="Times New Roman"/>
          <w:color w:val="000000" w:themeColor="text1"/>
          <w:sz w:val="16"/>
          <w:szCs w:val="16"/>
        </w:rPr>
        <w:lastRenderedPageBreak/>
        <w:t>(см. при</w:t>
      </w:r>
      <w:r w:rsidRPr="00271E51">
        <w:rPr>
          <w:rFonts w:ascii="Times New Roman" w:hAnsi="Times New Roman"/>
          <w:color w:val="000000" w:themeColor="text1"/>
          <w:sz w:val="16"/>
          <w:szCs w:val="16"/>
        </w:rPr>
        <w:softHyphen/>
        <w:t>лагаемый при сем упаковочный лист, который вышел в свет два месяца тому назад и сейчас устанав</w:t>
      </w:r>
      <w:r w:rsidRPr="00271E51">
        <w:rPr>
          <w:rFonts w:ascii="Times New Roman" w:hAnsi="Times New Roman"/>
          <w:color w:val="000000" w:themeColor="text1"/>
          <w:sz w:val="16"/>
          <w:szCs w:val="16"/>
        </w:rPr>
        <w:softHyphen/>
        <w:t>ливается более или менее определенный порядок, предусматривающий 100% комплектацию танков. До последнего времени существовал полный беспорядок в комплектации танков. Танки с завода могли прийти без инструмента. В депо могло не оказаться предметов из второй секции и представи</w:t>
      </w:r>
      <w:r w:rsidRPr="00271E51">
        <w:rPr>
          <w:rFonts w:ascii="Times New Roman" w:hAnsi="Times New Roman"/>
          <w:color w:val="000000" w:themeColor="text1"/>
          <w:sz w:val="16"/>
          <w:szCs w:val="16"/>
        </w:rPr>
        <w:softHyphen/>
        <w:t>тель военного департамента имел право отправить танк не укомплектованный).</w:t>
      </w:r>
    </w:p>
    <w:p w14:paraId="005B2671"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Процесс комплектации танков с точки зрения технической ничего интересного не представ</w:t>
      </w:r>
      <w:r w:rsidRPr="00271E51">
        <w:rPr>
          <w:rFonts w:ascii="Times New Roman" w:hAnsi="Times New Roman"/>
          <w:color w:val="000000" w:themeColor="text1"/>
          <w:sz w:val="16"/>
          <w:szCs w:val="16"/>
        </w:rPr>
        <w:softHyphen/>
        <w:t>ляет. Танки, предназначенные для отправки, ставятся в мастерскую в линию один за другим. На эту линию танки приходят своим ходом. Затем начинается подготовка танка по следующему процессу:</w:t>
      </w:r>
    </w:p>
    <w:p w14:paraId="43DE5B9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Установка радиостанции,</w:t>
      </w:r>
    </w:p>
    <w:p w14:paraId="446DC0CC"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Проверка работы двигателя,</w:t>
      </w:r>
    </w:p>
    <w:p w14:paraId="418A38C3"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Проверка аккумуляторов,</w:t>
      </w:r>
    </w:p>
    <w:p w14:paraId="6EB064D5"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Спуск воды (если необходимо),</w:t>
      </w:r>
    </w:p>
    <w:p w14:paraId="001930F9"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Заправка антифризом (если необходимо),</w:t>
      </w:r>
    </w:p>
    <w:p w14:paraId="6178820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Заклейка кормовой части танка и шаровой установки,</w:t>
      </w:r>
    </w:p>
    <w:p w14:paraId="6720D12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Покрытие деталей ходовой части и др. мест антикоррозийным составом,</w:t>
      </w:r>
    </w:p>
    <w:p w14:paraId="7105D79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Подвешивание мешочков с поглотителем влаги в моторное отделение,</w:t>
      </w:r>
    </w:p>
    <w:p w14:paraId="082D45D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Заклейка крыши над моторным отделением,</w:t>
      </w:r>
    </w:p>
    <w:p w14:paraId="4BDD8F71"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Укладка во внутрь танка ящиков с индивидуальным комплектом,</w:t>
      </w:r>
    </w:p>
    <w:p w14:paraId="0DD4B453"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Установка подпорок под ствол пушки,</w:t>
      </w:r>
    </w:p>
    <w:p w14:paraId="34169890"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Подвеска мешочков с поглотителем влаги в боевом отделении,</w:t>
      </w:r>
    </w:p>
    <w:p w14:paraId="61E79FEE"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Обклейка башни,</w:t>
      </w:r>
    </w:p>
    <w:p w14:paraId="0DEF6294"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Затормаживание танков,</w:t>
      </w:r>
    </w:p>
    <w:p w14:paraId="33A57792"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Обклейка люков водителя и его помощника,</w:t>
      </w:r>
    </w:p>
    <w:p w14:paraId="6DE8F18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Установка танка на платформу,</w:t>
      </w:r>
    </w:p>
    <w:p w14:paraId="1C86D1EA"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Крепление танка на платформу.</w:t>
      </w:r>
    </w:p>
    <w:p w14:paraId="7B2FB9D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Общее время от начала постановки танка в мастерскую и до укрепления его на платформе зани</w:t>
      </w:r>
      <w:r w:rsidRPr="00271E51">
        <w:rPr>
          <w:rFonts w:ascii="Times New Roman" w:hAnsi="Times New Roman"/>
          <w:color w:val="000000" w:themeColor="text1"/>
          <w:sz w:val="16"/>
          <w:szCs w:val="16"/>
        </w:rPr>
        <w:softHyphen/>
        <w:t>мает от 2 до 3 суток при двусменной работе. Одновременно на танке работают 3-4 человека.</w:t>
      </w:r>
    </w:p>
    <w:p w14:paraId="70FAA53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Упаковка индивидуального комплекта происходит в отдельном помещении. В этом помещении имеются стеллажи, на которых разложены детали. По сторонам стеллажей стоят столы. На столы ставят ящики, в которые пакуют детали, инструмент и принадлежности. Весь процесс делается вручную.</w:t>
      </w:r>
    </w:p>
    <w:p w14:paraId="5AA1C723"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Упаковочные ящики подвозятся тягачами к каждой машине и укладываются внутрь машины. Весь процесс упаковки и консервации танков описан здесь на основании наблюдений в Толедо Танк Депо. Я не знаю организации этих работ в другом депо и думаю, что он различен с точки зрения механизации этого процесса.</w:t>
      </w:r>
    </w:p>
    <w:p w14:paraId="0B61698D"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Выводы</w:t>
      </w:r>
    </w:p>
    <w:p w14:paraId="331B05EA"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Организационная структура танкового производства Америки характерна тем, что она имеет промежуточную инстанцию между заводом и войсками в виде танковых депо. Создание танковых депо вызвано тем, что подавляющее большинство танков отправляется за океаны как для союзников, так и для американских армий, находящихся за Тихим и Атлантическим океанами. Перевозка танков на большие расстояния на пароходах вызывает необходимость их консервации, и, чтобы освободить заводы от этой лишней для них работы, созданы танковые депо.</w:t>
      </w:r>
    </w:p>
    <w:p w14:paraId="2EBEA49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производственных заводов это конечно хорошо, т. к. руководство завода все свое внимание может уделять только процессу сборки танков и не разбрасываться на мелочах (как-то: комплекта</w:t>
      </w:r>
      <w:r w:rsidRPr="00271E51">
        <w:rPr>
          <w:rFonts w:ascii="Times New Roman" w:hAnsi="Times New Roman"/>
          <w:color w:val="000000" w:themeColor="text1"/>
          <w:sz w:val="16"/>
          <w:szCs w:val="16"/>
        </w:rPr>
        <w:softHyphen/>
        <w:t>ция индивидуальным комплектом, консервация).</w:t>
      </w:r>
    </w:p>
    <w:p w14:paraId="62BE2D98" w14:textId="77777777" w:rsidR="00F85007" w:rsidRPr="00271E51" w:rsidRDefault="00F8500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другой стороны, такая структура требует лишних железнодорожных перевозок и лишней загрузки железнодорожного транспорта, а также удлинения срока готовности танков.</w:t>
      </w:r>
    </w:p>
    <w:p w14:paraId="34E80526"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Широкая кооперация и точность в изготовлении механизмов и деталей дает возможность про</w:t>
      </w:r>
      <w:r w:rsidRPr="00271E51">
        <w:rPr>
          <w:rFonts w:ascii="Times New Roman" w:hAnsi="Times New Roman"/>
          <w:color w:val="000000" w:themeColor="text1"/>
          <w:sz w:val="16"/>
          <w:szCs w:val="16"/>
        </w:rPr>
        <w:softHyphen/>
        <w:t>изводить сборку танков без лишних затруднений, так как танковые заводы, по существу, являются только сборочными заводами, поэтому руководство такого завода все внимание уделяет технологи</w:t>
      </w:r>
      <w:r w:rsidRPr="00271E51">
        <w:rPr>
          <w:rFonts w:ascii="Times New Roman" w:hAnsi="Times New Roman"/>
          <w:color w:val="000000" w:themeColor="text1"/>
          <w:sz w:val="16"/>
          <w:szCs w:val="16"/>
        </w:rPr>
        <w:softHyphen/>
        <w:t>ческому процессу сборки, оснащения этого процесса инструментом и приспособлениями.</w:t>
      </w:r>
    </w:p>
    <w:p w14:paraId="441A4FFB"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Широкая кооперация хороша тогда, когда кооперирующие заводы поставляют агрегаты и меха</w:t>
      </w:r>
      <w:r w:rsidRPr="00271E51">
        <w:rPr>
          <w:rFonts w:ascii="Times New Roman" w:hAnsi="Times New Roman"/>
          <w:color w:val="000000" w:themeColor="text1"/>
          <w:sz w:val="16"/>
          <w:szCs w:val="16"/>
        </w:rPr>
        <w:softHyphen/>
        <w:t>низмы в установленные сроки и в нужном количестве. Все это в условиях Америки выполняется неплохо, правда, иногда бывают перебои в своевременной доставке тех или иных механизмов.</w:t>
      </w:r>
    </w:p>
    <w:p w14:paraId="407B2D78"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Инженер-майор Г. Алексеев</w:t>
      </w:r>
    </w:p>
    <w:p w14:paraId="508C33E7"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1712. Л. 363-369. Копия (11403).</w:t>
      </w:r>
    </w:p>
    <w:p w14:paraId="2DB0008F" w14:textId="77777777" w:rsidR="00F85007" w:rsidRPr="00271E51" w:rsidRDefault="00F8500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BD55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вышло Постановление ГКО № 3941 Об обеспечении погрузки импортных грузов в августе 1943 года на Приморской и Дальневосточной железных дорогах. (7134, 46-48).</w:t>
      </w:r>
    </w:p>
    <w:p w14:paraId="468374A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1FA1B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вышло Постановление ГКО № 3942 О вывозе хлеба, сахарной свеклы и хлопка урожая 1943 г. в Узбекской ССР на государственные заготовительные пункты и к местам переработки. (7134, 49).</w:t>
      </w:r>
    </w:p>
    <w:p w14:paraId="248B719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90DF8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вышло Распоряжение ГКО № 3943 [О мобилизации 150 пеших рабочих и 25 возчиков с лошадьми на ремонт плотины Белохолуницкого завода НКТМ в Кировской обл.] (7134, 50).</w:t>
      </w:r>
    </w:p>
    <w:p w14:paraId="14DD2B8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C4EFD"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CEEB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1CDCFE"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оперативная сводка Совинформбюро:</w:t>
      </w:r>
    </w:p>
    <w:p w14:paraId="1456D2BE"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августа наши войска на Брянском направлении продолжали наступление и, продвинувшись на отдельных участках вперёд от 4 до 6 километров, заняли свыше 60 населённых пунктов.</w:t>
      </w:r>
    </w:p>
    <w:p w14:paraId="61DF8E06"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Спас-Деменска, снова продвинулись вперёд и улучшили свои позиции.</w:t>
      </w:r>
    </w:p>
    <w:p w14:paraId="58587590"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продолжали отбивать контратаки пехотыи танков противника и на ряде участков вели наступательные бои, в результате которых значительно улучшили свои позиции.</w:t>
      </w:r>
    </w:p>
    <w:p w14:paraId="54A2F90B"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фронтах наши войска вели боевую разведку и артиллерийско-миномётную перестрелку с противником.</w:t>
      </w:r>
    </w:p>
    <w:p w14:paraId="0B38EBC6"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августа наши войска на всех фронтах подбили и уничтожили 96 немецких танков. В воздушных боях и огнём зенитной артиллерии сбито 78 самолётов противника.</w:t>
      </w:r>
    </w:p>
    <w:p w14:paraId="21B9B71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и заняли свыше 60 населённых пунктов. Противник оказывает упорное сопротивление, но под ударами наших частей оставляет одну позицию за другой. Кавалеристы Н-ской части, сломив сопротивление немцев, заняли несколько населённых пунктов и уничтожили свыше 600 гитлеровцев. На другом участке наши войска переправились через водный рубеж и овладели рядом опорных пунктов противника. В боях за эти опорные пункты уничтожено 2.000 немецких солдат и офицеров, 36 танков, 69 полевых и 10 самоходных орудий, 15 миномётов, 56 пулемётов, более 100 автомашин, 8 тракторов и 5 складов боеприпасов.</w:t>
      </w:r>
    </w:p>
    <w:p w14:paraId="6CB0BA20"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Дмитровск-Орловский наши войска овладели несколькими населёнными пунктами. Ожесточённый бой произошёл за сильно укреплённый пункт Дерюгино. Наши сапёры, расчищая путь пехоте, обезвредили большое число мин. Подразделение старшего лейтенанта Бурдина во взаимодействии с другими подразделениями стремительно атаковало немцев и заняло Дерюгино. На улицах пункта осталось более 200 вражеских трупов.</w:t>
      </w:r>
    </w:p>
    <w:p w14:paraId="52E14B3F"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из района Спас-Деменска, в результате ожесточённых боёв снова продвинулись вперёд, заняли несколько населённых пунктов и улучшили свои позиции. За день боёв уничтожено более 2.000 немецких солдат и офицеров, подбито и уничтожено 12 танков и 70 орудий разных калибров. Захвачены трофеи и пленные. Враг несёт тяжёлые потери. Взятый в плен адъютант 2-го батальона 589 пехотного полка сообщил, что от 321 немецкой пехотной дивизии осталось не более двух батальонов. Советские бойцы окружили в опорном пункте Малаховка 1 и 5 роты 59 немецкого мотополка и после ожесточённой схватки уничтожили обе роты.</w:t>
      </w:r>
    </w:p>
    <w:p w14:paraId="28107FD6"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отбивали контратаки танков и пехоты противника.</w:t>
      </w:r>
    </w:p>
    <w:p w14:paraId="1C05075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Западнее Харькова, на одном участке, немцы ввели в бой значительные силы пехоты и до 100 тяжёлых танков. В ожесточённом сражении наши бойцы нанесли противнику большой урон и вынудили его отступить. В этих боях уничтожено до 4 тысяч немецких солдат и офицеров, подбито и сожжено 46 танков противника. </w:t>
      </w:r>
      <w:r w:rsidRPr="00271E51">
        <w:rPr>
          <w:rFonts w:ascii="Times New Roman" w:hAnsi="Times New Roman"/>
          <w:color w:val="000000" w:themeColor="text1"/>
          <w:sz w:val="16"/>
          <w:szCs w:val="16"/>
        </w:rPr>
        <w:lastRenderedPageBreak/>
        <w:t>Бойцы Н-ского соединения заняли несколько населённых пунктов, истребив при этом 900 гитлеровцев. Взято 135 пленных. Захвачено 3 немецких тяжёлых танка «Тигр», 18 орудий разных калибров, 69 пулемётов и много винтовок.</w:t>
      </w:r>
    </w:p>
    <w:p w14:paraId="07F66859"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наши передовые отряды полностью истребили батальон немецкой пехоты. Захвачено всё вооружение батальона и 7 приданных к нему танков.</w:t>
      </w:r>
    </w:p>
    <w:p w14:paraId="130DE179"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Житомирской области, ночью 4 августа проник в один город. Партизаны бесшумно сняли часовых и внезапно напали на казарму немецкого гарнизона. В ожесточённом бою уничтожено 75 немецких солдат и офицеров. Советские патриоты разрушили узел связи, сожгли 37 автомашин, 70 тонн горючего и военную мастерскую по ремонту танков. Партизаны освободили из тюрьмы заключённых советских граждан.</w:t>
      </w:r>
    </w:p>
    <w:p w14:paraId="168F88D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мерзавцы сжигают и уничтожают советские города и сёла и насильно угоняют с собой мирное население. Бандиты сравняли с землёй деревню Свободная Жизнь, Орловской области. Когда оккупанты заняли эту деревню, в ней обосновался немецкий комендант-Шмидт. Он ограбил почти всех колхозников, отобрал у них инвентарь и много скота. Шмидт отнял у крестьян 600 гектаров земли и создал помещичье хозяйство. За неявку на работу, за малейшую «провинность» Шмидт публично порол крестьян. Непокорных жителей палач Шмидт и его жандармы убивали. Фашистские людоеды расстреляли жителей деревни Василия Морозова, Михаила Завязлова, Василия Ходенкова и многих других. Перед отступлением гитлеровцы под конвоем угнали население в тыл, а деревню сожгли. В огне сгорели все 54 дома с надворными постройками.» (14986).</w:t>
      </w:r>
    </w:p>
    <w:p w14:paraId="1B818E8D"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54468705" w14:textId="77777777" w:rsidR="00E85ED5" w:rsidRPr="00271E51" w:rsidRDefault="00E85ED5" w:rsidP="00271E51">
      <w:pPr>
        <w:pStyle w:val="book"/>
        <w:ind w:firstLine="0"/>
        <w:jc w:val="both"/>
        <w:rPr>
          <w:color w:val="000000" w:themeColor="text1"/>
          <w:sz w:val="16"/>
          <w:szCs w:val="16"/>
        </w:rPr>
      </w:pPr>
      <w:r w:rsidRPr="00271E51">
        <w:rPr>
          <w:color w:val="000000" w:themeColor="text1"/>
          <w:sz w:val="16"/>
          <w:szCs w:val="16"/>
        </w:rPr>
        <w:t>17 августа 1943 г. в районе деревни Кривая Верста (Брянский фронт) одна из зенитных батарей была атакована четырьмя Ю-87, сбросившими с пикирования фугасные и 2-килограммовые осколочные бомбы. На позицию батареи, расположенной на площади 120х80 м, упало 2 ФАБ-250 с взрывателями с замедлением, 6 ФАБ-250 с взрывателями мгновенного действия и около 300 штук 2-килограммовых осколочных бомб. В результате бомбёжки на батарее были полностью выведены из строя два орудийных расчета, причем 8 человек было убито и 12 ранено; осколки бомб повредили ПУАЗО-3 и принимающие приборы двух орудий; фугасными бомбами были перебиты два кабеля электропроводки. Все потери живой силы и материальной части были причинены осколочными бомбами, разорвавшимися на бруствере и в котловане двух орудий (17737).</w:t>
      </w:r>
    </w:p>
    <w:p w14:paraId="30B6B5D1" w14:textId="77777777" w:rsidR="00E85ED5" w:rsidRPr="00271E51" w:rsidRDefault="00E85ED5" w:rsidP="00271E51">
      <w:pPr>
        <w:pStyle w:val="book"/>
        <w:ind w:firstLine="0"/>
        <w:jc w:val="both"/>
        <w:rPr>
          <w:color w:val="000000" w:themeColor="text1"/>
          <w:sz w:val="16"/>
          <w:szCs w:val="16"/>
        </w:rPr>
      </w:pPr>
    </w:p>
    <w:p w14:paraId="6C69D516"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войсками Брянского фронта (генерал-полковник М.М.Попов) началась Брянская наступательная операция с целью нанести поражение немецкой 9-й армии и освободить брянско-бежицкий промышленный район. В результате операции, завершившейся 3 октября, освобождена часть Белоруссии и созданы условия для полного изгнания фашистов с ее территории (14986).</w:t>
      </w:r>
    </w:p>
    <w:p w14:paraId="332095BE"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041D717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войска Степного фронта завязали бои на северной окраине Харькова (14986).</w:t>
      </w:r>
    </w:p>
    <w:p w14:paraId="7896BB18"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499471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л А.Баукин на б совершил налет на базу самолетов-торпедоносцев на Кольском п/о. Появился внезапно и взорвал склад с торпедами и ангар с самолетами (438,882).</w:t>
      </w:r>
    </w:p>
    <w:p w14:paraId="5EE220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5C53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C6A9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E09B2"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164 самолета 5- й воздушной армии США атакуют японские аэродромы в Веваке, Новая Гвинея, уничтожив 70 самолетов, пока японцы обслуживают их для очередного налета на Марилинан (20376).</w:t>
      </w:r>
    </w:p>
    <w:p w14:paraId="4B36E2CE" w14:textId="77777777" w:rsidR="00F85007" w:rsidRPr="00271E51" w:rsidRDefault="00F85007" w:rsidP="00271E51">
      <w:pPr>
        <w:spacing w:after="0" w:line="240" w:lineRule="auto"/>
        <w:jc w:val="both"/>
        <w:rPr>
          <w:rFonts w:ascii="Times New Roman" w:hAnsi="Times New Roman"/>
          <w:color w:val="0070C0"/>
          <w:sz w:val="16"/>
          <w:szCs w:val="16"/>
        </w:rPr>
      </w:pPr>
    </w:p>
    <w:p w14:paraId="13A7DD51"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60 бомбардировщиков ВВС США потеряны в налетах на Регенсбург и Швайнфурт (20376).</w:t>
      </w:r>
    </w:p>
    <w:p w14:paraId="29E23628" w14:textId="77777777" w:rsidR="00F85007" w:rsidRPr="00271E51" w:rsidRDefault="00F85007" w:rsidP="00271E51">
      <w:pPr>
        <w:spacing w:after="0" w:line="240" w:lineRule="auto"/>
        <w:jc w:val="both"/>
        <w:rPr>
          <w:rFonts w:ascii="Times New Roman" w:hAnsi="Times New Roman"/>
          <w:color w:val="0070C0"/>
          <w:sz w:val="16"/>
          <w:szCs w:val="16"/>
        </w:rPr>
      </w:pPr>
    </w:p>
    <w:p w14:paraId="66446C2E"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года цепь ошибок в выборе направления захода на цели, прогнозе погоды, организации вылета и прикрытия бомбардировщиков свела на нет эффект от удара, а триста немецких истребителей и зенитки сбили 36 из двухсот тридцати B-17F, отправившихся в полет. Погибло 200 членов экипажей. А всего в этот день над Германией было сбито 60 «летающих крепостей» (22865).</w:t>
      </w:r>
    </w:p>
    <w:p w14:paraId="69F6FDC5" w14:textId="77777777" w:rsidR="00F85007" w:rsidRPr="00271E51" w:rsidRDefault="00F85007" w:rsidP="00271E51">
      <w:pPr>
        <w:spacing w:after="0" w:line="240" w:lineRule="auto"/>
        <w:jc w:val="both"/>
        <w:rPr>
          <w:rFonts w:ascii="Times New Roman" w:hAnsi="Times New Roman"/>
          <w:color w:val="0070C0"/>
          <w:sz w:val="16"/>
          <w:szCs w:val="16"/>
        </w:rPr>
      </w:pPr>
    </w:p>
    <w:p w14:paraId="43725F55"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 Армада В-17 разбомбила заводы Мессершмитта и Клемм, нанеся большие потери. Так была уничтожена линия сборки Bfl09, а у Клемм, были сожжены 11 полностью готовых Ме-163 "Комет". Этот налёт ускорил переход контроля за проектом от Мессершмитта к Клемм. На заводе в Шварцвальде выполнялась окончательная сборка самолётов. Комплектующие и агрегаты поступали от многих предприятий, рассредоточенных по всей Германии. Естественно, что при этом возникали различные технологические проблемы и выявлялось множество нестыковок и огрехов (22396).</w:t>
      </w:r>
    </w:p>
    <w:p w14:paraId="15C027E2" w14:textId="77777777" w:rsidR="00F85007" w:rsidRPr="00271E51" w:rsidRDefault="00F85007" w:rsidP="00271E51">
      <w:pPr>
        <w:spacing w:after="0" w:line="240" w:lineRule="auto"/>
        <w:jc w:val="both"/>
        <w:rPr>
          <w:rFonts w:ascii="Times New Roman" w:hAnsi="Times New Roman"/>
          <w:color w:val="0070C0"/>
          <w:sz w:val="16"/>
          <w:szCs w:val="16"/>
        </w:rPr>
      </w:pPr>
    </w:p>
    <w:p w14:paraId="07C6C114"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последние силы Оси эвакуируются с Сицилии, завершая кампанию на Сицилии. Военно-воздушные силы армии США потеряли 28 убитыми, 41 раненым и 88 пропавшими без вести во время кампании. Немцы выпорлнили первое оперативное использование типа ракет PGM в воздушной войне, с их MCLOS – под радио-контролем Henschel Hs 293 ПКРА (20376).</w:t>
      </w:r>
    </w:p>
    <w:p w14:paraId="6EE9C3AD" w14:textId="77777777" w:rsidR="00F85007" w:rsidRPr="00271E51" w:rsidRDefault="00F85007" w:rsidP="00271E51">
      <w:pPr>
        <w:spacing w:after="0" w:line="240" w:lineRule="auto"/>
        <w:jc w:val="both"/>
        <w:rPr>
          <w:rFonts w:ascii="Times New Roman" w:hAnsi="Times New Roman"/>
          <w:color w:val="0070C0"/>
          <w:sz w:val="16"/>
          <w:szCs w:val="16"/>
        </w:rPr>
      </w:pPr>
    </w:p>
    <w:p w14:paraId="1904B285"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17–18 августа 1943 немецкие люфтваффе совершают два налета самолетов Junkers Ju 88 на Бизерту, Тунис, где собираются корабли союзников для вторжения на материковую Италию. Они потопили десантный пехотный корабль, повредили три других корабля, разрушили нефтяные объекты, убили 22 человека и ранили 215 человек (20376).</w:t>
      </w:r>
    </w:p>
    <w:p w14:paraId="644156BB" w14:textId="77777777" w:rsidR="00F85007" w:rsidRPr="00271E51" w:rsidRDefault="00F85007" w:rsidP="00271E51">
      <w:pPr>
        <w:spacing w:after="0" w:line="240" w:lineRule="auto"/>
        <w:jc w:val="both"/>
        <w:rPr>
          <w:rFonts w:ascii="Times New Roman" w:hAnsi="Times New Roman"/>
          <w:color w:val="0070C0"/>
          <w:sz w:val="16"/>
          <w:szCs w:val="16"/>
        </w:rPr>
      </w:pPr>
    </w:p>
    <w:p w14:paraId="39A92989"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17–18 августа (ночь) 1943 596 бомбардировщиков Королевских ВВС впервые атакуют немецкую исследовательскую станцию баллистических ракет в Пенемюнде в ходе налета, специально разработанного для того, чтобы убить как можно больше немецких ученых и рабочих, прежде чем они смогут добраться до бомбоубежищ . Они убивают почти 200 человек в районе жилых домов, но также по ошибке подвергают бомбардировке близлежащий лагерь для иностранных пленных, убив там от 500 до 600 человек. Впервые британские бомбардировщики летят по маршруту, предназначенному для того, чтобы обманом заставить немецкие ночные истребители развернуться для защиты неправильной цели. Также британцы впервые используют новый индикатор цели Spotfire 250 фунтов (110 кг) . Сорок британских бомбардировщиков (6,7%) не вернулись. Рейд отбросил немецкую программу создания баллистических ракет как минимум на два, а возможно, и более чем на шесть месяцев (20376).</w:t>
      </w:r>
    </w:p>
    <w:p w14:paraId="29AB524D" w14:textId="77777777" w:rsidR="00F85007" w:rsidRPr="00271E51" w:rsidRDefault="00F85007" w:rsidP="00271E51">
      <w:pPr>
        <w:spacing w:after="0" w:line="240" w:lineRule="auto"/>
        <w:jc w:val="both"/>
        <w:rPr>
          <w:rFonts w:ascii="Times New Roman" w:hAnsi="Times New Roman"/>
          <w:color w:val="0070C0"/>
          <w:sz w:val="16"/>
          <w:szCs w:val="16"/>
        </w:rPr>
      </w:pPr>
    </w:p>
    <w:p w14:paraId="2C810C2C" w14:textId="77777777" w:rsidR="00F85007" w:rsidRPr="00271E51" w:rsidRDefault="00F85007"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августа 1943 года 597 английских бомбардировщиков сбросили на ракетный полигон Пенемюнде 1593 тонны фугасных и 281 т зажигательных бомб, но уже 3 октября там состоялся запуск баллистической ракеты ФАУ-2 (22866).</w:t>
      </w:r>
    </w:p>
    <w:p w14:paraId="6DBCB04D" w14:textId="77777777" w:rsidR="00F85007" w:rsidRPr="00271E51" w:rsidRDefault="00F85007" w:rsidP="00271E51">
      <w:pPr>
        <w:spacing w:after="0" w:line="240" w:lineRule="auto"/>
        <w:jc w:val="both"/>
        <w:rPr>
          <w:rFonts w:ascii="Times New Roman" w:hAnsi="Times New Roman"/>
          <w:color w:val="0070C0"/>
          <w:sz w:val="16"/>
          <w:szCs w:val="16"/>
        </w:rPr>
      </w:pPr>
    </w:p>
    <w:p w14:paraId="7EDFDC50"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17 August 1943 RAF attacks German rocket research establishment at Peenemunde (270).</w:t>
      </w:r>
    </w:p>
    <w:p w14:paraId="6D13E31E"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FCF20E"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597 бомбардировщиков (2246,4) RAF атаковали ракетный цент в Пенемюнде (270).</w:t>
      </w:r>
    </w:p>
    <w:p w14:paraId="38DEDC2D"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же решили сделать резервный полигон в районе Близны (2990).</w:t>
      </w:r>
    </w:p>
    <w:p w14:paraId="58B18310"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 бомбардировщиков сбросили 1593 т фугасных и 281 т зажигательных бомб (1608,20).</w:t>
      </w:r>
    </w:p>
    <w:p w14:paraId="2CFDD90D"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C9234"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дневной налет английской авиации на германскую экспериментальную ракетную базу Пенемюнде. В результате — замедление производства крылатых снарядов «Фау». Погибло 700 сотрудников центра (14986).</w:t>
      </w:r>
    </w:p>
    <w:p w14:paraId="43019D7F"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3003EB5A"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армада «В-17» разбомбила заводы Мессершмитта и Клемм, нанеся большие потери. Так была уничтожена линия сборки Bfl09, а у Клемм, были сожжены 11 полностью готовых Ме-163 "Комет". Этот налёт ускорил переход контроля за проектом от Мессершмитта к Клемм. На заводе в Шварцвальде выполнялась окончательная сборка самолётов. Комплектующие и агрегаты поступали от многих предприятий, рассредоточенных по всей Германии. Естественно, что при этом возникали различные технологические проблемы и выявлялось множество нестыковок и огрехов (14986).</w:t>
      </w:r>
    </w:p>
    <w:p w14:paraId="2168A9D9"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4748AE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Королевские ВВС совершили массированной налет (600 бомбардировщиков) против ракетного центра в Пенемюнде. 376 В-17 8ВА выполнили двойной налет на подшипниковые заводы в Швайнфурте и на заводы Мессершмитт в Регенсбурге и потеряли 80 самолетов (3819).</w:t>
      </w:r>
    </w:p>
    <w:p w14:paraId="4A5FB3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5E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Вечером 17 августа 1943 года немцы узнали о концентрации крупных сил английской бомбардировочной авиации над Балтийским морем, но сделать уже ничего не успели. Ночью Пенемюнде подверглось налету более 300 тяжелых бомбардировщиков, сбросивших свыше 1500 тонн фугасных и огромное количество зажигательных бомб. Целями бомбардировки были испытательные стенды, производственные цехи и поселок на острове Узедом. Испытательная станция «Пенемюнде – Запад» бомбардировке не подверглась, весь удар пришелся по району гавани с электростанцией и заводом по производству жидкого кислорода. Потери в людях составили 735 человек; среди них был доктор Вальтер Тиль, руководивший разработкой двигателей для ракеты «А-4». Сооружениямракетногоцентратакжебылнанесензначительныйущерб</w:t>
      </w:r>
      <w:r w:rsidRPr="00271E51">
        <w:rPr>
          <w:rFonts w:ascii="Times New Roman" w:hAnsi="Times New Roman"/>
          <w:color w:val="000000" w:themeColor="text1"/>
          <w:sz w:val="16"/>
          <w:szCs w:val="16"/>
          <w:lang w:val="en-US"/>
        </w:rPr>
        <w:t xml:space="preserve"> (11688).</w:t>
      </w:r>
    </w:p>
    <w:p w14:paraId="4B776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69DB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17, 1943. Eight Air Force bombers attack the Messerschmitt works at Regensburg, Germany, and ball bearing plants at Schweinfurt in a massive daylight raid. German fighters down 60 of the 376 American aircraft (1089).</w:t>
      </w:r>
    </w:p>
    <w:p w14:paraId="7E13F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7EF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17 1943 AAF Schweinfurt-Regensburg deep-penetration daylight raid by 376 B-17's, with heavy loss of 60 bombers (1038).</w:t>
      </w:r>
    </w:p>
    <w:p w14:paraId="25157F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BAB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ВВС США атаковали заводы Мессершмитта в Регенсбурге, а также подшипниковый завод в Швайнфурте. Немцы сбили 60 и 376 бомбардировщиков (1089;1038). По другим данным летало 229 В-17 и сбили 36, а 60 были потеряны, когда 291 машина летала 14 октября 1943 (2246,4).</w:t>
      </w:r>
    </w:p>
    <w:p w14:paraId="49F48E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B1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американцы бомбили и заводы в Регенсбурге, которые делали Ме-163 Комета (3961, 285).</w:t>
      </w:r>
    </w:p>
    <w:p w14:paraId="4DAD9D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F1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г. завод, где производились Ме 262,подвергся налету американских тяжелых бомбардировщиков (9026).</w:t>
      </w:r>
    </w:p>
    <w:p w14:paraId="791BF2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3B66A5"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17 1943 Messina captured by Allies (1769).</w:t>
      </w:r>
    </w:p>
    <w:p w14:paraId="41DD8DB3"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B91E9FC"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17, 1943: German and Italian forces successfully evacuate Sicily across the Strait of Messina, with little interference by the Allies. Heavy RAF raid (600 aircraft) against the German rocket testing center at Peenemuende. 376 B-17's of the US 8th Air Force carry out double raids against the ball-bearing plants at Schweinfurt and the Messerschmitt fighter works at Regensburg with the loss of 80 aircraft (3819).</w:t>
      </w:r>
    </w:p>
    <w:p w14:paraId="57CA6035"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D9AE3E"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союзники заняли Мессину (1769) и всю Сицилию (2246,4).</w:t>
      </w:r>
    </w:p>
    <w:p w14:paraId="7EFE43F5"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81FA1F" w14:textId="77777777" w:rsidR="0032121B" w:rsidRPr="00271E51" w:rsidRDefault="0032121B"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войска союзников заняли Мессину (Сицилия) (4962).</w:t>
      </w:r>
    </w:p>
    <w:p w14:paraId="44657BA9" w14:textId="77777777" w:rsidR="0032121B" w:rsidRPr="00271E51" w:rsidRDefault="0032121B"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5DABD"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части 7-й американской армии под командованием генерала Патона вошли в Мессину, завершив изгнание немецко-фашистских войск из Сицилии (14986).</w:t>
      </w:r>
    </w:p>
    <w:p w14:paraId="06E53E0F"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238A7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17-24, 1943. Conferees: Churchill, Roosevelt. Main results: D-Day set for May 1, 1944; Southeast Asia command reorganized for war on Japan; Gilberts and Marshalls set as first objectives in central Pacific offensive (1052).</w:t>
      </w:r>
    </w:p>
    <w:p w14:paraId="13172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E86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по 24 августа 1943 состоялась конференция Ф.Д.Р. и У.Черчиля в Квебеке, Канада и подтвердили день вторжения в Нормандии - 1 мая 1944, а также согласовали операции на Тихом океане (1052).</w:t>
      </w:r>
    </w:p>
    <w:p w14:paraId="648FAE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3472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Черчилль и Рузвельт встретились в Квебеке (4962).</w:t>
      </w:r>
    </w:p>
    <w:p w14:paraId="1F6DFF9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3C62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1943 Португалия позволила Англии использовать Азорские острова в качестве авиабазы (4962).</w:t>
      </w:r>
    </w:p>
    <w:p w14:paraId="7804E49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C321D7"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августа в 1943 году авиаудары американских ВВС по Курильским островам (14986).</w:t>
      </w:r>
    </w:p>
    <w:p w14:paraId="4EF627F8"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5468407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E7DFA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5A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3947 О работах по восстановлению взлетно-посадочных полос на аэродромах Юго-Западного, Южного и Северо-Кавказского фронтов и устройству взлетно-посадочной полосы на аэродроме Волгино Волховского фронта.РГАНИР, Фонд ГКО, д. 146, лл. 68-70, 71 (11012).</w:t>
      </w:r>
    </w:p>
    <w:p w14:paraId="479F2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9A5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N 3948c в целях увеличения огневой мощи истребителей и штурмовиков по 45 мм пушкам ОКБ-15 для Як-9 и Ил-2 (1737,63).</w:t>
      </w:r>
    </w:p>
    <w:p w14:paraId="47322B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 15 июля 1943.</w:t>
      </w:r>
    </w:p>
    <w:p w14:paraId="6AB6EA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3CD474"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18 августа 1943 г. вышли 3 постановления ГКО, которые определяли порядок и сроки подачи са</w:t>
      </w:r>
      <w:r w:rsidRPr="00271E51">
        <w:rPr>
          <w:color w:val="000000" w:themeColor="text1"/>
          <w:sz w:val="16"/>
          <w:szCs w:val="16"/>
        </w:rPr>
        <w:softHyphen/>
        <w:t>молетов Ил-2 и Як-9т с пушками калибра 45 мм для производства государственных испытаний Согласно постановлениям, пушки следовало предъявить в НИИ АВ ВВС на государственные ис</w:t>
      </w:r>
      <w:r w:rsidRPr="00271E51">
        <w:rPr>
          <w:color w:val="000000" w:themeColor="text1"/>
          <w:sz w:val="16"/>
          <w:szCs w:val="16"/>
        </w:rPr>
        <w:softHyphen/>
        <w:t>пытания не позже 5 ноября 1943 г.</w:t>
      </w:r>
    </w:p>
    <w:p w14:paraId="66AF2BAC"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Пушка конструкции В. Г. Грабина, как ни стара</w:t>
      </w:r>
      <w:r w:rsidRPr="00271E51">
        <w:rPr>
          <w:color w:val="000000" w:themeColor="text1"/>
          <w:sz w:val="16"/>
          <w:szCs w:val="16"/>
        </w:rPr>
        <w:softHyphen/>
        <w:t>лись инженеры ЦАКБ, так и не вышла из стадии опытных проработок. По весу, темпу стрельбы, уси</w:t>
      </w:r>
      <w:r w:rsidRPr="00271E51">
        <w:rPr>
          <w:color w:val="000000" w:themeColor="text1"/>
          <w:sz w:val="16"/>
          <w:szCs w:val="16"/>
        </w:rPr>
        <w:softHyphen/>
        <w:t>лию отдачи и надежности при стрельбе пушка со</w:t>
      </w:r>
      <w:r w:rsidRPr="00271E51">
        <w:rPr>
          <w:color w:val="000000" w:themeColor="text1"/>
          <w:sz w:val="16"/>
          <w:szCs w:val="16"/>
        </w:rPr>
        <w:softHyphen/>
        <w:t>вершенно не укладывалась в пределы, допустимые военными. По этой причине на испытания она не передавалась, и работы по ней вскоре были пре</w:t>
      </w:r>
      <w:r w:rsidRPr="00271E51">
        <w:rPr>
          <w:color w:val="000000" w:themeColor="text1"/>
          <w:sz w:val="16"/>
          <w:szCs w:val="16"/>
        </w:rPr>
        <w:softHyphen/>
        <w:t>кращены.</w:t>
      </w:r>
    </w:p>
    <w:p w14:paraId="692B54E7"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Наоборот, пушки ОКБ-15 (Ш-45) и ОКБ-16 (111П, в серии НС-45) были вполне доведенными образцами и проходили всесторонние испытания в НИИ АВ ВВС.</w:t>
      </w:r>
    </w:p>
    <w:p w14:paraId="3E64FF94"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Оба автомата представляли собой пушки Ш-37 и 11П калибра 37 мм, которые перестволили на больший калибр. Для монтажа на самолеты Ил-2 и Як-9т опытных 45-мм пушек использовались штат</w:t>
      </w:r>
      <w:r w:rsidRPr="00271E51">
        <w:rPr>
          <w:color w:val="000000" w:themeColor="text1"/>
          <w:sz w:val="16"/>
          <w:szCs w:val="16"/>
        </w:rPr>
        <w:softHyphen/>
        <w:t>ные установки от 37-мм пушек.</w:t>
      </w:r>
    </w:p>
    <w:p w14:paraId="43ADAC8E" w14:textId="77777777" w:rsidR="00C413CC" w:rsidRPr="00271E51" w:rsidRDefault="00C413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пушкам были отработаны 2 типа снарядов — ОЗТ-45 и БТ-45. Осколочно-зажигательный трасси</w:t>
      </w:r>
      <w:r w:rsidRPr="00271E51">
        <w:rPr>
          <w:color w:val="000000" w:themeColor="text1"/>
          <w:sz w:val="16"/>
          <w:szCs w:val="16"/>
        </w:rPr>
        <w:softHyphen/>
        <w:t>рующий снаряд ОЗТ-45 был взят от морской зенит</w:t>
      </w:r>
      <w:r w:rsidRPr="00271E51">
        <w:rPr>
          <w:color w:val="000000" w:themeColor="text1"/>
          <w:sz w:val="16"/>
          <w:szCs w:val="16"/>
        </w:rPr>
        <w:softHyphen/>
        <w:t>ной пушки 21К калибра 45 мм, а бронебойно-трас- сирующий БТ-45 — от противотанковой пушки М-42. Гильза к патрону изготовлялась из штатной гильзы к 37-мм патрону путем меньшего обжатия дульца гильзы под калибр 45 мм. При этом общая длина 45-мм патрона осталась прежней (328 мм), как у штатного 37-мм патрона, а давление, созда</w:t>
      </w:r>
      <w:r w:rsidRPr="00271E51">
        <w:rPr>
          <w:color w:val="000000" w:themeColor="text1"/>
          <w:sz w:val="16"/>
          <w:szCs w:val="16"/>
        </w:rPr>
        <w:softHyphen/>
        <w:t>ваемое пороховым зарядом, «позволяет сохранить внешние габариты ствола, соответствующие 37-мм стволу». Собственно, именно это обстоятельство и дало возможность «произвести перестволение штатной 37-мм пушки на ствол калибра 45 мм». Звенья использовались серийные, также от 37-мм патронов (17500).</w:t>
      </w:r>
    </w:p>
    <w:p w14:paraId="78C18A9D"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33EFB0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3948 Об изготовлении 45 мм пушек конструкции ОКБ-15 НКВ для самолетов-истребителей и штурмовиков.РГАНИР, Фонд ГКО, д. 146, лл. 72-74, 75-76 (11012).</w:t>
      </w:r>
    </w:p>
    <w:p w14:paraId="0D5BCDFA" w14:textId="77777777" w:rsidR="00342293" w:rsidRPr="00271E51" w:rsidRDefault="0034229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F9B3B5"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3948 Об изготовлении 45 мм пушек конструкции ОКБ-15 НКВ для самолетов-истребителей и штурмовиков</w:t>
      </w:r>
    </w:p>
    <w:p w14:paraId="276FEFF6"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целях увеличений огневой мощи самолетов истре</w:t>
      </w:r>
      <w:r w:rsidRPr="00271E51">
        <w:rPr>
          <w:rFonts w:ascii="Times New Roman" w:cs="Times New Roman"/>
          <w:color w:val="000000" w:themeColor="text1"/>
          <w:spacing w:val="0"/>
          <w:sz w:val="16"/>
          <w:szCs w:val="16"/>
        </w:rPr>
        <w:softHyphen/>
        <w:t>бителей и штурмовиков, Государственный Комитет Оборо</w:t>
      </w:r>
      <w:r w:rsidRPr="00271E51">
        <w:rPr>
          <w:rFonts w:ascii="Times New Roman" w:cs="Times New Roman"/>
          <w:color w:val="000000" w:themeColor="text1"/>
          <w:spacing w:val="0"/>
          <w:sz w:val="16"/>
          <w:szCs w:val="16"/>
        </w:rPr>
        <w:softHyphen/>
        <w:t>ны постановляет:</w:t>
      </w:r>
    </w:p>
    <w:p w14:paraId="0C55759B"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По самолетам истребителям </w:t>
      </w:r>
    </w:p>
    <w:p w14:paraId="458D687E"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 Обязать Наркомат Вооружения (т.Устинова Д.й.) и Особое Конструкторское Бюро № 15 НКВ (т.Шпитально- го Б.Г.) пред"явить Наркомату Авиационной Промышленно</w:t>
      </w:r>
      <w:r w:rsidRPr="00271E51">
        <w:rPr>
          <w:rFonts w:ascii="Times New Roman" w:cs="Times New Roman"/>
          <w:color w:val="000000" w:themeColor="text1"/>
          <w:spacing w:val="0"/>
          <w:sz w:val="16"/>
          <w:szCs w:val="16"/>
        </w:rPr>
        <w:softHyphen/>
        <w:t>сти (т.Яковлеву А.С.) две пушки калибра 45мк для уста</w:t>
      </w:r>
      <w:r w:rsidRPr="00271E51">
        <w:rPr>
          <w:rFonts w:ascii="Times New Roman" w:cs="Times New Roman"/>
          <w:color w:val="000000" w:themeColor="text1"/>
          <w:spacing w:val="0"/>
          <w:sz w:val="16"/>
          <w:szCs w:val="16"/>
        </w:rPr>
        <w:softHyphen/>
        <w:t>новки их на самолеты Як-9 с ведением стрельбы через редуктор мотора, из них:</w:t>
      </w:r>
    </w:p>
    <w:p w14:paraId="5CEE718E"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одну пушку к 5 сентября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 и одну пушку к 30 сентября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w:t>
      </w:r>
    </w:p>
    <w:p w14:paraId="42872EE0"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Кроме того, ОКБ-15 НКВ (т.Шпитальнсму Б.Г.) пред"явить Научно-Исследовательскому Институту Авиационно</w:t>
      </w:r>
      <w:r w:rsidRPr="00271E51">
        <w:rPr>
          <w:rFonts w:ascii="Times New Roman" w:cs="Times New Roman"/>
          <w:color w:val="000000" w:themeColor="text1"/>
          <w:spacing w:val="0"/>
          <w:sz w:val="16"/>
          <w:szCs w:val="16"/>
        </w:rPr>
        <w:softHyphen/>
        <w:t xml:space="preserve">го Вооружения ВВС КА к 5 сентября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 одну та</w:t>
      </w:r>
      <w:r w:rsidRPr="00271E51">
        <w:rPr>
          <w:rFonts w:ascii="Times New Roman" w:cs="Times New Roman"/>
          <w:color w:val="000000" w:themeColor="text1"/>
          <w:spacing w:val="0"/>
          <w:sz w:val="16"/>
          <w:szCs w:val="16"/>
        </w:rPr>
        <w:softHyphen/>
        <w:t>кую же пушку для проведения навемных полигонных испы</w:t>
      </w:r>
      <w:r w:rsidRPr="00271E51">
        <w:rPr>
          <w:rFonts w:ascii="Times New Roman" w:cs="Times New Roman"/>
          <w:color w:val="000000" w:themeColor="text1"/>
          <w:spacing w:val="0"/>
          <w:sz w:val="16"/>
          <w:szCs w:val="16"/>
        </w:rPr>
        <w:softHyphen/>
        <w:t>таний.</w:t>
      </w:r>
    </w:p>
    <w:p w14:paraId="571E1C7E" w14:textId="77777777" w:rsidR="005D277D" w:rsidRPr="00271E51" w:rsidRDefault="005D277D"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 Основные данные 45мм пушек должны быть:</w:t>
      </w:r>
    </w:p>
    <w:p w14:paraId="3937F4CD" w14:textId="77777777" w:rsidR="005D277D" w:rsidRPr="00271E51" w:rsidRDefault="005D277D" w:rsidP="00271E51">
      <w:pPr>
        <w:pStyle w:val="36"/>
        <w:shd w:val="clear" w:color="auto" w:fill="auto"/>
        <w:tabs>
          <w:tab w:val="left" w:pos="521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Начальная скорость не ниже -800 м/сек.;</w:t>
      </w:r>
    </w:p>
    <w:p w14:paraId="32B72CF2" w14:textId="77777777" w:rsidR="005D277D" w:rsidRPr="00271E51" w:rsidRDefault="005D277D"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Style w:val="295pt"/>
          <w:rFonts w:ascii="Times New Roman" w:hAnsi="Times New Roman" w:cs="Times New Roman"/>
          <w:color w:val="000000" w:themeColor="text1"/>
          <w:spacing w:val="0"/>
          <w:sz w:val="16"/>
          <w:szCs w:val="16"/>
        </w:rPr>
        <w:lastRenderedPageBreak/>
        <w:t>Вес пушки (со</w:t>
      </w:r>
      <w:r w:rsidRPr="00271E51">
        <w:rPr>
          <w:rFonts w:ascii="Times New Roman" w:hAnsi="Times New Roman" w:cs="Times New Roman"/>
          <w:color w:val="000000" w:themeColor="text1"/>
          <w:sz w:val="16"/>
          <w:szCs w:val="16"/>
        </w:rPr>
        <w:t xml:space="preserve"> всеми механизмами</w:t>
      </w:r>
      <w:r w:rsidRPr="00271E51">
        <w:rPr>
          <w:rStyle w:val="295pt"/>
          <w:rFonts w:ascii="Times New Roman" w:hAnsi="Times New Roman" w:cs="Times New Roman"/>
          <w:color w:val="000000" w:themeColor="text1"/>
          <w:spacing w:val="0"/>
          <w:sz w:val="16"/>
          <w:szCs w:val="16"/>
        </w:rPr>
        <w:t xml:space="preserve"> и </w:t>
      </w:r>
      <w:r w:rsidRPr="00271E51">
        <w:rPr>
          <w:rFonts w:ascii="Times New Roman" w:hAnsi="Times New Roman" w:cs="Times New Roman"/>
          <w:color w:val="000000" w:themeColor="text1"/>
          <w:sz w:val="16"/>
          <w:szCs w:val="16"/>
        </w:rPr>
        <w:t>агрегатами,без</w:t>
      </w:r>
      <w:r w:rsidRPr="00271E51">
        <w:rPr>
          <w:rStyle w:val="295pt"/>
          <w:rFonts w:ascii="Times New Roman" w:hAnsi="Times New Roman" w:cs="Times New Roman"/>
          <w:color w:val="000000" w:themeColor="text1"/>
          <w:spacing w:val="0"/>
          <w:sz w:val="16"/>
          <w:szCs w:val="16"/>
        </w:rPr>
        <w:t xml:space="preserve"> которых нетозможна </w:t>
      </w:r>
      <w:r w:rsidRPr="00271E51">
        <w:rPr>
          <w:rFonts w:ascii="Times New Roman" w:hAnsi="Times New Roman" w:cs="Times New Roman"/>
          <w:color w:val="000000" w:themeColor="text1"/>
          <w:sz w:val="16"/>
          <w:szCs w:val="16"/>
        </w:rPr>
        <w:t>непрерывная стрельба) не выше</w:t>
      </w:r>
      <w:r w:rsidRPr="00271E51">
        <w:rPr>
          <w:rStyle w:val="295pt0pt"/>
          <w:rFonts w:ascii="Times New Roman" w:hAnsi="Times New Roman" w:cs="Times New Roman"/>
          <w:color w:val="000000" w:themeColor="text1"/>
          <w:sz w:val="16"/>
          <w:szCs w:val="16"/>
        </w:rPr>
        <w:t xml:space="preserve"> 200</w:t>
      </w:r>
      <w:r w:rsidRPr="00271E51">
        <w:rPr>
          <w:rFonts w:ascii="Times New Roman" w:hAnsi="Times New Roman" w:cs="Times New Roman"/>
          <w:color w:val="000000" w:themeColor="text1"/>
          <w:sz w:val="16"/>
          <w:szCs w:val="16"/>
        </w:rPr>
        <w:t xml:space="preserve"> кг</w:t>
      </w:r>
    </w:p>
    <w:p w14:paraId="38441CE7" w14:textId="77777777" w:rsidR="005D277D" w:rsidRPr="00271E51" w:rsidRDefault="005D277D" w:rsidP="00271E51">
      <w:pPr>
        <w:pStyle w:val="36"/>
        <w:shd w:val="clear" w:color="auto" w:fill="auto"/>
        <w:tabs>
          <w:tab w:val="left" w:pos="521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Темп стрельбы не ниже 150 выстрелов в минуту</w:t>
      </w:r>
    </w:p>
    <w:p w14:paraId="28158D5B" w14:textId="77777777" w:rsidR="005D277D" w:rsidRPr="00271E51" w:rsidRDefault="005D277D" w:rsidP="00271E51">
      <w:pPr>
        <w:pStyle w:val="36"/>
        <w:shd w:val="clear" w:color="auto" w:fill="auto"/>
        <w:tabs>
          <w:tab w:val="left" w:pos="521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Усилие отдачи не выше - 2000 кгр</w:t>
      </w:r>
    </w:p>
    <w:p w14:paraId="5DDCA1D1" w14:textId="77777777" w:rsidR="005D277D" w:rsidRPr="00271E51" w:rsidRDefault="005D277D" w:rsidP="00271E51">
      <w:pPr>
        <w:pStyle w:val="27"/>
        <w:shd w:val="clear" w:color="auto" w:fill="auto"/>
        <w:tabs>
          <w:tab w:val="left" w:pos="457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Усилие на спуск не выше -15 кгр»;</w:t>
      </w:r>
    </w:p>
    <w:p w14:paraId="7438ACE2" w14:textId="77777777" w:rsidR="005D277D" w:rsidRPr="00271E51" w:rsidRDefault="005D277D" w:rsidP="00271E51">
      <w:pPr>
        <w:pStyle w:val="27"/>
        <w:shd w:val="clear" w:color="auto" w:fill="auto"/>
        <w:tabs>
          <w:tab w:val="left" w:pos="457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Давление воздуха в системе пе</w:t>
      </w:r>
      <w:r w:rsidRPr="00271E51">
        <w:rPr>
          <w:rFonts w:ascii="Times New Roman" w:cs="Times New Roman"/>
          <w:color w:val="000000" w:themeColor="text1"/>
          <w:spacing w:val="0"/>
        </w:rPr>
        <w:softHyphen/>
        <w:t>резарядки не выше- 35 атм.</w:t>
      </w:r>
    </w:p>
    <w:p w14:paraId="3D4D51C3"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остальным данным конструкторам руководство</w:t>
      </w:r>
      <w:r w:rsidRPr="00271E51">
        <w:rPr>
          <w:rFonts w:ascii="Times New Roman" w:cs="Times New Roman"/>
          <w:color w:val="000000" w:themeColor="text1"/>
          <w:spacing w:val="0"/>
        </w:rPr>
        <w:softHyphen/>
        <w:t>ваться тактико-техническими требованиями ВВС- КА и ГАУ КА (Приложение).</w:t>
      </w:r>
    </w:p>
    <w:p w14:paraId="5A4682D3" w14:textId="77777777" w:rsidR="005D277D" w:rsidRPr="00271E51" w:rsidRDefault="005D277D" w:rsidP="00271E51">
      <w:pPr>
        <w:pStyle w:val="27"/>
        <w:shd w:val="clear" w:color="auto" w:fill="auto"/>
        <w:tabs>
          <w:tab w:val="left" w:pos="99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Обязать Наркомат Авиационной Промышленности (т.т.Шахурина А.И. и Яковлева А.С.) пред"явить Научно- Исследовательскому Институту Авиационного Вооружения ВВС Красной Армии два самолета Як-9 с моторными пушка</w:t>
      </w:r>
      <w:r w:rsidRPr="00271E51">
        <w:rPr>
          <w:rFonts w:ascii="Times New Roman" w:cs="Times New Roman"/>
          <w:color w:val="000000" w:themeColor="text1"/>
          <w:spacing w:val="0"/>
        </w:rPr>
        <w:softHyphen/>
        <w:t>ми калибра 45мм, конструкции ОКБ-15, на государствен</w:t>
      </w:r>
      <w:r w:rsidRPr="00271E51">
        <w:rPr>
          <w:rFonts w:ascii="Times New Roman" w:cs="Times New Roman"/>
          <w:color w:val="000000" w:themeColor="text1"/>
          <w:spacing w:val="0"/>
        </w:rPr>
        <w:softHyphen/>
        <w:t xml:space="preserve">ные испытания, из них - один самолет к 5 октября 1943г. и один - к 20 ноября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w:t>
      </w:r>
    </w:p>
    <w:p w14:paraId="5E15C273" w14:textId="77777777" w:rsidR="005D277D" w:rsidRPr="00271E51" w:rsidRDefault="005D277D" w:rsidP="00271E51">
      <w:pPr>
        <w:pStyle w:val="27"/>
        <w:shd w:val="clear" w:color="auto" w:fill="auto"/>
        <w:tabs>
          <w:tab w:val="left" w:pos="99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4. Обязать ВВС Красной Армии (т.Репина А.К.) к 20 октября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испытать один самолет Як-9 с мо</w:t>
      </w:r>
      <w:r w:rsidRPr="00271E51">
        <w:rPr>
          <w:rFonts w:ascii="Times New Roman" w:cs="Times New Roman"/>
          <w:color w:val="000000" w:themeColor="text1"/>
          <w:spacing w:val="0"/>
        </w:rPr>
        <w:softHyphen/>
        <w:t>торной пушкой, калибра 45мм, конструкции ОКБ-15 НКВ и представить Государственному Комитету Обороны отчет о результатах испытаний.</w:t>
      </w:r>
    </w:p>
    <w:p w14:paraId="03D1A1E7"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самолетам штурмовикам</w:t>
      </w:r>
    </w:p>
    <w:p w14:paraId="1C3CD284" w14:textId="77777777" w:rsidR="005D277D" w:rsidRPr="00271E51" w:rsidRDefault="005D277D" w:rsidP="00271E51">
      <w:pPr>
        <w:pStyle w:val="27"/>
        <w:shd w:val="clear" w:color="auto" w:fill="auto"/>
        <w:tabs>
          <w:tab w:val="left" w:pos="99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Обязать Наркомат Вооружения (т.Устинова Д.Ф.) и Особое Конструкторское Бюро № 15 НКВ (т.Шпитальнв- го Б.Г.) пред"явить Наркомату Авиационной Промышленно</w:t>
      </w:r>
      <w:r w:rsidRPr="00271E51">
        <w:rPr>
          <w:rFonts w:ascii="Times New Roman" w:cs="Times New Roman"/>
          <w:color w:val="000000" w:themeColor="text1"/>
          <w:spacing w:val="0"/>
        </w:rPr>
        <w:softHyphen/>
        <w:t xml:space="preserve">сти (т.Ильюшину С.В.) к 5 октября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две пушки, калибра 45мм, для установки их в крылья самолета-штур</w:t>
      </w:r>
      <w:r w:rsidRPr="00271E51">
        <w:rPr>
          <w:rFonts w:ascii="Times New Roman" w:cs="Times New Roman"/>
          <w:color w:val="000000" w:themeColor="text1"/>
          <w:spacing w:val="0"/>
        </w:rPr>
        <w:softHyphen/>
        <w:t>мовика Ил-2 с данными, указанными в п.2 настоящего постановления.</w:t>
      </w:r>
    </w:p>
    <w:p w14:paraId="6464E340"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Style w:val="0pt"/>
          <w:rFonts w:ascii="Times New Roman" w:cs="Times New Roman"/>
          <w:color w:val="000000" w:themeColor="text1"/>
          <w:spacing w:val="0"/>
          <w:sz w:val="16"/>
          <w:szCs w:val="16"/>
        </w:rPr>
        <w:t>6.</w:t>
      </w:r>
      <w:r w:rsidRPr="00271E51">
        <w:rPr>
          <w:rFonts w:ascii="Times New Roman" w:cs="Times New Roman"/>
          <w:color w:val="000000" w:themeColor="text1"/>
          <w:spacing w:val="0"/>
        </w:rPr>
        <w:t xml:space="preserve"> Обязать Наркомат Авиационной Промышленности (т„т.Шахурина А.И. и Ильюшина С.В.) к 5 ноября 1943г. пред"явить самолет Ил-2 с крыльевыми пушками, калибра 45мм, конструкции ОКБ-15, Научно-Исследовательскому Институту Авиационного Вооружения ВВС Красной Армии - на государственные испытания.</w:t>
      </w:r>
    </w:p>
    <w:p w14:paraId="0D6EEB2A"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7. Обязать ВВС Красной Армии (т.Репина А.К.) к 20 ноября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испытать самолет Ил-2 с пушками ка</w:t>
      </w:r>
      <w:r w:rsidRPr="00271E51">
        <w:rPr>
          <w:rFonts w:ascii="Times New Roman" w:cs="Times New Roman"/>
          <w:color w:val="000000" w:themeColor="text1"/>
          <w:spacing w:val="0"/>
        </w:rPr>
        <w:softHyphen/>
        <w:t>либра 45мм конструкции ОКБ-15 и представить в Государст</w:t>
      </w:r>
      <w:r w:rsidRPr="00271E51">
        <w:rPr>
          <w:rFonts w:ascii="Times New Roman" w:cs="Times New Roman"/>
          <w:color w:val="000000" w:themeColor="text1"/>
          <w:spacing w:val="0"/>
        </w:rPr>
        <w:softHyphen/>
        <w:t>венный Комитет Обороны отчет о результатах испытаний.</w:t>
      </w:r>
    </w:p>
    <w:p w14:paraId="734066B9" w14:textId="77777777" w:rsidR="005D277D" w:rsidRPr="00271E51" w:rsidRDefault="005D277D" w:rsidP="00271E51">
      <w:pPr>
        <w:pStyle w:val="27"/>
        <w:shd w:val="clear" w:color="auto" w:fill="auto"/>
        <w:tabs>
          <w:tab w:val="left" w:pos="134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8. Обязать Наркомат Боеприпасов (т.Ванникова Б.Л.) изготовить патроны для отладки и испытаний,45 мм пушек и подать их равными партиями в два срока - первую к 30 ав</w:t>
      </w:r>
      <w:r w:rsidRPr="00271E51">
        <w:rPr>
          <w:rFonts w:ascii="Times New Roman" w:cs="Times New Roman"/>
          <w:color w:val="000000" w:themeColor="text1"/>
          <w:spacing w:val="0"/>
        </w:rPr>
        <w:softHyphen/>
        <w:t xml:space="preserve">густа </w:t>
      </w:r>
      <w:r w:rsidRPr="00271E51">
        <w:rPr>
          <w:rFonts w:ascii="Times New Roman" w:cs="Times New Roman"/>
          <w:color w:val="000000" w:themeColor="text1"/>
          <w:spacing w:val="0"/>
          <w:lang w:val="en-US"/>
        </w:rPr>
        <w:t>I</w:t>
      </w:r>
      <w:r w:rsidRPr="00271E51">
        <w:rPr>
          <w:rFonts w:ascii="Times New Roman" w:cs="Times New Roman"/>
          <w:color w:val="000000" w:themeColor="text1"/>
          <w:spacing w:val="0"/>
        </w:rPr>
        <w:t>943 года и вторую к 30 дентября. 1943 года:</w:t>
      </w:r>
    </w:p>
    <w:p w14:paraId="08B1B774" w14:textId="77777777" w:rsidR="005D277D" w:rsidRPr="00271E51" w:rsidRDefault="005D277D" w:rsidP="00271E51">
      <w:pPr>
        <w:pStyle w:val="27"/>
        <w:shd w:val="clear" w:color="auto" w:fill="auto"/>
        <w:tabs>
          <w:tab w:val="left" w:pos="134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ОКБ-15 НКВ - 4200' штук</w:t>
      </w:r>
    </w:p>
    <w:p w14:paraId="24D79484" w14:textId="77777777" w:rsidR="005D277D" w:rsidRPr="00271E51" w:rsidRDefault="005D277D" w:rsidP="00271E51">
      <w:pPr>
        <w:pStyle w:val="27"/>
        <w:shd w:val="clear" w:color="auto" w:fill="auto"/>
        <w:tabs>
          <w:tab w:val="left" w:pos="382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НКАП - 800 штук</w:t>
      </w:r>
    </w:p>
    <w:p w14:paraId="7D694858"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ВВС КА на проведение полигонных испытаний 5000 штук.</w:t>
      </w:r>
    </w:p>
    <w:p w14:paraId="4B09413E"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Патроны подать по чертежам осколочно-фугасных сна</w:t>
      </w:r>
      <w:r w:rsidRPr="00271E51">
        <w:rPr>
          <w:rFonts w:ascii="Times New Roman" w:cs="Times New Roman"/>
          <w:color w:val="000000" w:themeColor="text1"/>
          <w:spacing w:val="0"/>
        </w:rPr>
        <w:softHyphen/>
        <w:t>рядов от морской 45 мм пушки "21-К" и гильзы к ним переобжатые штатные от 37 мм авиапушек по чертежам ОКБ-15 НКЕ.</w:t>
      </w:r>
    </w:p>
    <w:p w14:paraId="3D18C94E" w14:textId="77777777" w:rsidR="005D277D" w:rsidRPr="00271E51" w:rsidRDefault="005D277D" w:rsidP="00271E51">
      <w:pPr>
        <w:pStyle w:val="27"/>
        <w:shd w:val="clear" w:color="auto" w:fill="auto"/>
        <w:tabs>
          <w:tab w:val="left" w:pos="133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9. Обязать Наркомат Вооружения (т.Устинова Д.Ф.) и ОКБ-15 (т.Шпитального Б.Г.) изготовить пять пушек кон</w:t>
      </w:r>
      <w:r w:rsidRPr="00271E51">
        <w:rPr>
          <w:rFonts w:ascii="Times New Roman" w:cs="Times New Roman"/>
          <w:color w:val="000000" w:themeColor="text1"/>
          <w:spacing w:val="0"/>
        </w:rPr>
        <w:softHyphen/>
        <w:t>струкции ОКБ-15, облегченных, штампо-сварной конструкции, для чего подать ОКБ-15 основные и.штампованные детали для пяти пушек с заводов, а сборку и отладку ©тих пушек сделать в ОКБ-15 (т.Шпитального Б.Г.).</w:t>
      </w:r>
    </w:p>
    <w:p w14:paraId="7AEF90BF" w14:textId="77777777" w:rsidR="005D277D" w:rsidRPr="00271E51" w:rsidRDefault="005D277D" w:rsidP="00271E51">
      <w:pPr>
        <w:pStyle w:val="27"/>
        <w:shd w:val="clear" w:color="auto" w:fill="auto"/>
        <w:tabs>
          <w:tab w:val="left" w:pos="147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10. Обявать Наркомат Вооружения (т.Устинова Д.Ф»)</w:t>
      </w:r>
      <w:r w:rsidRPr="00271E51">
        <w:rPr>
          <w:rStyle w:val="SimHei95pt"/>
          <w:rFonts w:ascii="Times New Roman" w:hAnsi="Times New Roman" w:cs="Times New Roman"/>
          <w:color w:val="000000" w:themeColor="text1"/>
          <w:sz w:val="16"/>
          <w:szCs w:val="16"/>
        </w:rPr>
        <w:t xml:space="preserve"> и </w:t>
      </w:r>
      <w:r w:rsidRPr="00271E51">
        <w:rPr>
          <w:rFonts w:ascii="Times New Roman" w:cs="Times New Roman"/>
          <w:color w:val="000000" w:themeColor="text1"/>
          <w:spacing w:val="0"/>
        </w:rPr>
        <w:t>директора завода № 172 НКВ (т.Быховского) изготовить на заводе 172 НКВ к 25 августа 1943 года десять комп</w:t>
      </w:r>
      <w:r w:rsidRPr="00271E51">
        <w:rPr>
          <w:rFonts w:ascii="Times New Roman" w:cs="Times New Roman"/>
          <w:color w:val="000000" w:themeColor="text1"/>
          <w:spacing w:val="0"/>
        </w:rPr>
        <w:softHyphen/>
        <w:t>лектов стволов 45мм авиапушек (ободранных, термически обработанных, с нарезанным каналом).</w:t>
      </w:r>
    </w:p>
    <w:p w14:paraId="5390E04E" w14:textId="77777777" w:rsidR="005D277D" w:rsidRPr="00271E51" w:rsidRDefault="005D277D" w:rsidP="00271E51">
      <w:pPr>
        <w:pStyle w:val="27"/>
        <w:shd w:val="clear" w:color="auto" w:fill="auto"/>
        <w:tabs>
          <w:tab w:val="left" w:pos="14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11. Установить для коллективов конструкторов Нар</w:t>
      </w:r>
      <w:r w:rsidRPr="00271E51">
        <w:rPr>
          <w:rFonts w:ascii="Times New Roman" w:cs="Times New Roman"/>
          <w:color w:val="000000" w:themeColor="text1"/>
          <w:spacing w:val="0"/>
        </w:rPr>
        <w:softHyphen/>
        <w:t>комата Вооружения и Наркомата Авиационной Промышленности две премии в размере 50 тыс.рублей каждая за авиапушку и ею вооруженный самолет, поданные в установленные настоя</w:t>
      </w:r>
      <w:r w:rsidRPr="00271E51">
        <w:rPr>
          <w:rFonts w:ascii="Times New Roman" w:cs="Times New Roman"/>
          <w:color w:val="000000" w:themeColor="text1"/>
          <w:spacing w:val="0"/>
        </w:rPr>
        <w:softHyphen/>
        <w:t>щим постановлением сроки и выдержавшие полигонные назем</w:t>
      </w:r>
      <w:r w:rsidRPr="00271E51">
        <w:rPr>
          <w:rFonts w:ascii="Times New Roman" w:cs="Times New Roman"/>
          <w:color w:val="000000" w:themeColor="text1"/>
          <w:spacing w:val="0"/>
        </w:rPr>
        <w:softHyphen/>
        <w:t>ные и воздушные испытания.</w:t>
      </w:r>
    </w:p>
    <w:p w14:paraId="77F9DFFB" w14:textId="77777777" w:rsidR="005D277D" w:rsidRPr="00271E51" w:rsidRDefault="005D277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Премии подлежат выдаче в распоряжение начальников соответствующих Конструкторских Бюро Наркомата Вооруже</w:t>
      </w:r>
      <w:r w:rsidRPr="00271E51">
        <w:rPr>
          <w:rFonts w:ascii="Times New Roman" w:cs="Times New Roman"/>
          <w:color w:val="000000" w:themeColor="text1"/>
          <w:spacing w:val="0"/>
        </w:rPr>
        <w:softHyphen/>
        <w:t>ния и Наркомата Авиационной Промышленности для премирова</w:t>
      </w:r>
      <w:r w:rsidRPr="00271E51">
        <w:rPr>
          <w:rFonts w:ascii="Times New Roman" w:cs="Times New Roman"/>
          <w:color w:val="000000" w:themeColor="text1"/>
          <w:spacing w:val="0"/>
        </w:rPr>
        <w:softHyphen/>
        <w:t>ния отличившихся работников (19415).</w:t>
      </w:r>
    </w:p>
    <w:p w14:paraId="4812A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B62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 вышло пост. ГКО № 3948, в соответствии с которым ОКБ-15 была разработана 45-мм пушкаи позднее запущена в производство.</w:t>
      </w:r>
    </w:p>
    <w:p w14:paraId="4B941A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1946г. ОКБ было привлечено к изучению немецкого опыта по созданию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и пусковых установок.</w:t>
      </w:r>
    </w:p>
    <w:p w14:paraId="0BCF02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F8DE1CC" w14:textId="77777777" w:rsidR="00BA7A65" w:rsidRPr="00271E51" w:rsidRDefault="00BA7A65" w:rsidP="00271E51">
      <w:pPr>
        <w:widowControl w:val="0"/>
        <w:tabs>
          <w:tab w:val="left" w:pos="7553"/>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(1934-53г.)- Б.Г. Шпитальный.</w:t>
      </w:r>
    </w:p>
    <w:p w14:paraId="211C10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(1934-53г.)- Б.Г. Шпитальный {7.08.1902-6.02.1972}.</w:t>
      </w:r>
    </w:p>
    <w:p w14:paraId="4CACEE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21416E88" w14:textId="77777777" w:rsidR="0032121B" w:rsidRPr="00271E51" w:rsidRDefault="0032121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A1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N 3949c в целях увеличения огневой мощи истребителей и штурмовиков по 45 мм пушкам ОКБ-16 для Як-9 и Ил-2 (1737,50).</w:t>
      </w:r>
    </w:p>
    <w:p w14:paraId="5E9791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С.В.И это постановление предусматривало усиление отдачи пушки 111-П 45 мм на 2000 кг по сравнению с 11-П 37 мм (1775,210).</w:t>
      </w:r>
    </w:p>
    <w:p w14:paraId="77A49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145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3949 Об изготовлении 45 мм пушек конструкции ОКБ-16 НКВ для самолетов-истребителей и штурмовиков.РГАНИР, Фонд ГКО, д. 146, лл. 77-80, 81-83 (11012).</w:t>
      </w:r>
    </w:p>
    <w:p w14:paraId="7A4CF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4FF6E"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3949 Об изготовлении 45 мм пушек конструкции ОКБ-16 НКВ для самолетов-истребителей и штурмовиков</w:t>
      </w:r>
    </w:p>
    <w:p w14:paraId="218814D3" w14:textId="77777777" w:rsidR="005D277D" w:rsidRPr="00271E51" w:rsidRDefault="005D277D"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целях увеличения огневой мощи самолетов истре</w:t>
      </w:r>
      <w:r w:rsidRPr="00271E51">
        <w:rPr>
          <w:rFonts w:ascii="Times New Roman" w:hAnsi="Times New Roman" w:cs="Times New Roman"/>
          <w:color w:val="000000" w:themeColor="text1"/>
          <w:sz w:val="16"/>
          <w:szCs w:val="16"/>
        </w:rPr>
        <w:softHyphen/>
        <w:t>бителей и штурмовиков, Государственный Комитет Оборо</w:t>
      </w:r>
      <w:r w:rsidRPr="00271E51">
        <w:rPr>
          <w:rFonts w:ascii="Times New Roman" w:hAnsi="Times New Roman" w:cs="Times New Roman"/>
          <w:color w:val="000000" w:themeColor="text1"/>
          <w:sz w:val="16"/>
          <w:szCs w:val="16"/>
        </w:rPr>
        <w:softHyphen/>
        <w:t>ны постановляет:</w:t>
      </w:r>
    </w:p>
    <w:p w14:paraId="7C93B1D9" w14:textId="77777777" w:rsidR="005D277D" w:rsidRPr="00271E51" w:rsidRDefault="005D277D"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самолетам истребителям</w:t>
      </w:r>
    </w:p>
    <w:p w14:paraId="491AD1CF" w14:textId="77777777" w:rsidR="005D277D" w:rsidRPr="00271E51" w:rsidRDefault="005D277D"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Обязать Наркомат Вооружения (т.Устинова Д.Ф.) и Особое Конструкторское Бюро № 16 НКВ (т.Дорохина Г.Д. и т.Нудельмана А.3.) пред"явить Наркомату Авиационной Промышленности (т.Яковлеву А.С. две пушки калибра 45 мм для установки их на самолеты Як-9 с ведением стрельбы через редуктор мотора, из них:</w:t>
      </w:r>
    </w:p>
    <w:p w14:paraId="24EFD555" w14:textId="77777777" w:rsidR="005D277D" w:rsidRPr="00271E51" w:rsidRDefault="005D277D"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 дну пушку к 5 сентября 1943 г. и одну пупку к 30 сентября 1943 года.</w:t>
      </w:r>
    </w:p>
    <w:p w14:paraId="1FD7DD45" w14:textId="77777777" w:rsidR="005D277D" w:rsidRPr="00271E51" w:rsidRDefault="005D277D"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Кроме того, ОКБ-16 НКВ (т«Дорохин Г.Д.) пред"явить Научно-исследоватвльскому Институту Авиационного Воору</w:t>
      </w:r>
      <w:r w:rsidRPr="00271E51">
        <w:rPr>
          <w:rFonts w:ascii="Times New Roman" w:hAnsi="Times New Roman" w:cs="Times New Roman"/>
          <w:color w:val="000000" w:themeColor="text1"/>
          <w:sz w:val="16"/>
          <w:szCs w:val="16"/>
        </w:rPr>
        <w:softHyphen/>
        <w:t>жения ВВС КА к 5 сентября 1943 года одну такую ае пушку для проведения наземных полигонных испытаний.</w:t>
      </w:r>
    </w:p>
    <w:p w14:paraId="37506D2B"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Основные данные 45</w:t>
      </w:r>
      <w:r w:rsidRPr="00271E51">
        <w:rPr>
          <w:rStyle w:val="Gungsuh0"/>
          <w:rFonts w:ascii="Times New Roman" w:hAnsi="Times New Roman" w:cs="Times New Roman"/>
          <w:color w:val="000000" w:themeColor="text1"/>
          <w:sz w:val="16"/>
          <w:szCs w:val="16"/>
          <w:lang w:val="ru-RU"/>
        </w:rPr>
        <w:t xml:space="preserve"> </w:t>
      </w:r>
      <w:r w:rsidRPr="00271E51">
        <w:rPr>
          <w:rStyle w:val="Gungsuh0"/>
          <w:rFonts w:ascii="Times New Roman" w:hAnsi="Times New Roman" w:cs="Times New Roman"/>
          <w:color w:val="000000" w:themeColor="text1"/>
          <w:sz w:val="16"/>
          <w:szCs w:val="16"/>
        </w:rPr>
        <w:t>ml</w:t>
      </w:r>
      <w:r w:rsidRPr="00271E51">
        <w:rPr>
          <w:rFonts w:ascii="Times New Roman" w:hAnsi="Times New Roman"/>
          <w:color w:val="000000" w:themeColor="text1"/>
          <w:sz w:val="16"/>
          <w:szCs w:val="16"/>
        </w:rPr>
        <w:t xml:space="preserve"> пушек долины быть:</w:t>
      </w:r>
    </w:p>
    <w:p w14:paraId="2378E0F1"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не ниже - 750 м/сек</w:t>
      </w:r>
    </w:p>
    <w:p w14:paraId="6F5A3A9D"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color w:val="000000" w:themeColor="text1"/>
          <w:sz w:val="16"/>
          <w:szCs w:val="16"/>
          <w:lang w:val="en-US"/>
        </w:rPr>
        <w:t>e</w:t>
      </w:r>
      <w:r w:rsidRPr="00271E51">
        <w:rPr>
          <w:rFonts w:ascii="Times New Roman" w:hAnsi="Times New Roman"/>
          <w:color w:val="000000" w:themeColor="text1"/>
          <w:sz w:val="16"/>
          <w:szCs w:val="16"/>
        </w:rPr>
        <w:t>с пушки (со всеми механиз</w:t>
      </w:r>
      <w:r w:rsidRPr="00271E51">
        <w:rPr>
          <w:rFonts w:ascii="Times New Roman" w:hAnsi="Times New Roman"/>
          <w:color w:val="000000" w:themeColor="text1"/>
          <w:sz w:val="16"/>
          <w:szCs w:val="16"/>
        </w:rPr>
        <w:softHyphen/>
        <w:t>мами и агрегатами, без ко</w:t>
      </w:r>
      <w:r w:rsidRPr="00271E51">
        <w:rPr>
          <w:rFonts w:ascii="Times New Roman" w:hAnsi="Times New Roman"/>
          <w:color w:val="000000" w:themeColor="text1"/>
          <w:sz w:val="16"/>
          <w:szCs w:val="16"/>
        </w:rPr>
        <w:softHyphen/>
        <w:t>торых невозможна непрерывная стрельба) не выше - 190 кг</w:t>
      </w:r>
    </w:p>
    <w:p w14:paraId="73879AA9"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Темп стрельбы не ниже - 200 выстр./мин. </w:t>
      </w:r>
    </w:p>
    <w:p w14:paraId="34452887"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отдачи не выше 2000 кг</w:t>
      </w:r>
    </w:p>
    <w:p w14:paraId="5C308281"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на спуск не выше 15 кг</w:t>
      </w:r>
    </w:p>
    <w:p w14:paraId="4C0B894C"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воздуха в системе перезарядки не выше 35 атм.</w:t>
      </w:r>
    </w:p>
    <w:p w14:paraId="719EFACE"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остальным данным конструкторам руководствоваться тактико-техническими требованиями ВВС КА и ГАУ КА (Прило</w:t>
      </w:r>
      <w:r w:rsidRPr="00271E51">
        <w:rPr>
          <w:rFonts w:ascii="Times New Roman" w:hAnsi="Times New Roman"/>
          <w:color w:val="000000" w:themeColor="text1"/>
          <w:sz w:val="16"/>
          <w:szCs w:val="16"/>
        </w:rPr>
        <w:softHyphen/>
        <w:t>жение) .</w:t>
      </w:r>
    </w:p>
    <w:p w14:paraId="7B0894A3" w14:textId="77777777" w:rsidR="005D277D" w:rsidRPr="00271E51" w:rsidRDefault="005D277D" w:rsidP="00271E51">
      <w:pPr>
        <w:tabs>
          <w:tab w:val="left" w:pos="97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Наркомат Авиационной Промышленности (т.т.Шахурина А.И. и Яковлева А.С.) пред"явить Научно- Исследовательскому Институту Авиационного Вооружения ВВС Красной Армии два самолета Як-9 с моторными пушками, ка</w:t>
      </w:r>
      <w:r w:rsidRPr="00271E51">
        <w:rPr>
          <w:rFonts w:ascii="Times New Roman" w:hAnsi="Times New Roman"/>
          <w:color w:val="000000" w:themeColor="text1"/>
          <w:sz w:val="16"/>
          <w:szCs w:val="16"/>
        </w:rPr>
        <w:softHyphen/>
        <w:t>либра 45 ми, конструкции ОКБ-16, на государственные испы</w:t>
      </w:r>
      <w:r w:rsidRPr="00271E51">
        <w:rPr>
          <w:rFonts w:ascii="Times New Roman" w:hAnsi="Times New Roman"/>
          <w:color w:val="000000" w:themeColor="text1"/>
          <w:sz w:val="16"/>
          <w:szCs w:val="16"/>
        </w:rPr>
        <w:softHyphen/>
        <w:t>тания, из .них - один самолет к 5 октября 1943 г. и один - к 20 ноября 1943 года.</w:t>
      </w:r>
    </w:p>
    <w:p w14:paraId="133B2F52" w14:textId="77777777" w:rsidR="005D277D" w:rsidRPr="00271E51" w:rsidRDefault="005D277D"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Обязать ВВС Красной </w:t>
      </w:r>
      <w:r w:rsidRPr="00271E51">
        <w:rPr>
          <w:rFonts w:ascii="Times New Roman" w:hAnsi="Times New Roman"/>
          <w:color w:val="000000" w:themeColor="text1"/>
          <w:sz w:val="16"/>
          <w:szCs w:val="16"/>
          <w:lang w:val="en-US"/>
        </w:rPr>
        <w:t>Apis</w:t>
      </w:r>
      <w:r w:rsidRPr="00271E51">
        <w:rPr>
          <w:rFonts w:ascii="Times New Roman" w:hAnsi="Times New Roman"/>
          <w:color w:val="000000" w:themeColor="text1"/>
          <w:sz w:val="16"/>
          <w:szCs w:val="16"/>
        </w:rPr>
        <w:t xml:space="preserve"> и и (т.Репина А.К.) к 20 ок</w:t>
      </w:r>
      <w:r w:rsidRPr="00271E51">
        <w:rPr>
          <w:rFonts w:ascii="Times New Roman" w:hAnsi="Times New Roman"/>
          <w:color w:val="000000" w:themeColor="text1"/>
          <w:sz w:val="16"/>
          <w:szCs w:val="16"/>
        </w:rPr>
        <w:softHyphen/>
        <w:t>тября 1943 г. испытать один самолет Як-9 с моторной пушкой, калибра 45 мм, конструкции ОКБ-16 НКВ и представить Госу</w:t>
      </w:r>
      <w:r w:rsidRPr="00271E51">
        <w:rPr>
          <w:rFonts w:ascii="Times New Roman" w:hAnsi="Times New Roman"/>
          <w:color w:val="000000" w:themeColor="text1"/>
          <w:sz w:val="16"/>
          <w:szCs w:val="16"/>
        </w:rPr>
        <w:softHyphen/>
        <w:t>дарственному Комитету Обороны отчет о результатах испыта</w:t>
      </w:r>
      <w:r w:rsidRPr="00271E51">
        <w:rPr>
          <w:rFonts w:ascii="Times New Roman" w:hAnsi="Times New Roman"/>
          <w:color w:val="000000" w:themeColor="text1"/>
          <w:sz w:val="16"/>
          <w:szCs w:val="16"/>
        </w:rPr>
        <w:softHyphen/>
        <w:t>ний.</w:t>
      </w:r>
    </w:p>
    <w:p w14:paraId="60932B3D"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самолетам штурмовикам</w:t>
      </w:r>
    </w:p>
    <w:p w14:paraId="08EEA3D2"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Обяэать Наркомат Вооружения (т.Устинова Д.З.) и Особое Конструкторское Бюро </w:t>
      </w:r>
      <w:r w:rsidRPr="00271E51">
        <w:rPr>
          <w:rFonts w:ascii="Times New Roman" w:hAnsi="Times New Roman"/>
          <w:color w:val="000000" w:themeColor="text1"/>
          <w:sz w:val="16"/>
          <w:szCs w:val="16"/>
          <w:lang w:val="en-US"/>
        </w:rPr>
        <w:t>ft</w:t>
      </w:r>
      <w:r w:rsidRPr="00271E51">
        <w:rPr>
          <w:rFonts w:ascii="Times New Roman" w:hAnsi="Times New Roman"/>
          <w:color w:val="000000" w:themeColor="text1"/>
          <w:sz w:val="16"/>
          <w:szCs w:val="16"/>
        </w:rPr>
        <w:t xml:space="preserve"> 16 НКВ (т.т.Дорохина Г.Д. и Нудельмана А.З.) пред"явить Наркомату Авиационной Про</w:t>
      </w:r>
      <w:r w:rsidRPr="00271E51">
        <w:rPr>
          <w:rFonts w:ascii="Times New Roman" w:hAnsi="Times New Roman"/>
          <w:color w:val="000000" w:themeColor="text1"/>
          <w:sz w:val="16"/>
          <w:szCs w:val="16"/>
        </w:rPr>
        <w:softHyphen/>
        <w:t>мышленности (т.Ильюшину С.В.) к 5 октября 1943 г. две пуш</w:t>
      </w:r>
      <w:r w:rsidRPr="00271E51">
        <w:rPr>
          <w:rFonts w:ascii="Times New Roman" w:hAnsi="Times New Roman"/>
          <w:color w:val="000000" w:themeColor="text1"/>
          <w:sz w:val="16"/>
          <w:szCs w:val="16"/>
        </w:rPr>
        <w:softHyphen/>
        <w:t>ки для установки их в крылья самолета ИЛ-2 с данными, ука</w:t>
      </w:r>
      <w:r w:rsidRPr="00271E51">
        <w:rPr>
          <w:rFonts w:ascii="Times New Roman" w:hAnsi="Times New Roman"/>
          <w:color w:val="000000" w:themeColor="text1"/>
          <w:sz w:val="16"/>
          <w:szCs w:val="16"/>
        </w:rPr>
        <w:softHyphen/>
        <w:t>занны:.:» в п.2 настоящего постановления.</w:t>
      </w:r>
    </w:p>
    <w:p w14:paraId="460F6EE7" w14:textId="77777777" w:rsidR="005D277D" w:rsidRPr="00271E51" w:rsidRDefault="005D277D"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Наркомат Авиационной Промышленности (т.т.Шахурина А.И. и Ильюшина С.В.) к 5 ноября 1943 г. пред"явить самолет ИЛ-2 с крыльевыми пушками, калибра 45 мм, конструкции ОКБ-16 НКВ Научно-Исследовательскому Институту Авиационного Вооружения ВВС Красной Армии - на государственные испытания.</w:t>
      </w:r>
    </w:p>
    <w:p w14:paraId="591E75EC" w14:textId="77777777" w:rsidR="005D277D" w:rsidRPr="00271E51" w:rsidRDefault="005D277D"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Обязать ВВС Красной Армия (т.Репина А.К.) к 20 ноября 1943 года испытать самолет ИЛ-2 с пушками. калибра 45 мм, конструкции ОКБ-16 НКВ и представить в Государственный Комитет Обороны отчет с результатах испытаний.</w:t>
      </w:r>
    </w:p>
    <w:p w14:paraId="009ECF0E" w14:textId="77777777" w:rsidR="005D277D" w:rsidRPr="00271E51" w:rsidRDefault="005D277D" w:rsidP="00271E51">
      <w:pPr>
        <w:tabs>
          <w:tab w:val="left" w:pos="9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Наркомат Боеприпасов (т.Ванникова Б.Л.) изготовить патроны для отладки и испытания 45 мм пушек и подать их равными партиями в два срока - первую к 30 августа -1943 г. и вторую, к 30 сентября 1943 года:</w:t>
      </w:r>
    </w:p>
    <w:p w14:paraId="677A0A46" w14:textId="77777777" w:rsidR="005D277D" w:rsidRPr="00271E51" w:rsidRDefault="005D277D" w:rsidP="00271E51">
      <w:pPr>
        <w:tabs>
          <w:tab w:val="left" w:pos="35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ОКБ-16</w:t>
      </w:r>
      <w:r w:rsidRPr="00271E51">
        <w:rPr>
          <w:rFonts w:ascii="Times New Roman" w:hAnsi="Times New Roman"/>
          <w:color w:val="000000" w:themeColor="text1"/>
          <w:sz w:val="16"/>
          <w:szCs w:val="16"/>
        </w:rPr>
        <w:tab/>
        <w:t>- 4200 штук</w:t>
      </w:r>
    </w:p>
    <w:p w14:paraId="4FE9167E" w14:textId="77777777" w:rsidR="005D277D" w:rsidRPr="00271E51" w:rsidRDefault="005D277D" w:rsidP="00271E51">
      <w:pPr>
        <w:tabs>
          <w:tab w:val="left" w:pos="35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НКАП</w:t>
      </w:r>
      <w:r w:rsidRPr="00271E51">
        <w:rPr>
          <w:rFonts w:ascii="Times New Roman" w:hAnsi="Times New Roman"/>
          <w:color w:val="000000" w:themeColor="text1"/>
          <w:sz w:val="16"/>
          <w:szCs w:val="16"/>
        </w:rPr>
        <w:tab/>
        <w:t>- 800 -"-</w:t>
      </w:r>
    </w:p>
    <w:p w14:paraId="3C10B6C4" w14:textId="77777777" w:rsidR="005D277D" w:rsidRPr="00271E51" w:rsidRDefault="005D277D" w:rsidP="00271E51">
      <w:pPr>
        <w:tabs>
          <w:tab w:val="left" w:pos="357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КА на проведение полигонных испатаний</w:t>
      </w:r>
      <w:r w:rsidRPr="00271E51">
        <w:rPr>
          <w:rFonts w:ascii="Times New Roman" w:hAnsi="Times New Roman"/>
          <w:color w:val="000000" w:themeColor="text1"/>
          <w:sz w:val="16"/>
          <w:szCs w:val="16"/>
        </w:rPr>
        <w:tab/>
        <w:t>- 5000 -"-</w:t>
      </w:r>
    </w:p>
    <w:p w14:paraId="6840529F"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Патроны подать:</w:t>
      </w:r>
    </w:p>
    <w:p w14:paraId="06AE7A4D" w14:textId="77777777" w:rsidR="005D277D" w:rsidRPr="00271E51" w:rsidRDefault="005D277D" w:rsidP="00271E51">
      <w:pPr>
        <w:tabs>
          <w:tab w:val="left" w:pos="9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первую партию - по чертежам осколочно-фугасных снарядов от морской 45 мм пушки "21-К" и гильзы к ним переобжатые штатные от 37 мм авиапушки "11-П";</w:t>
      </w:r>
    </w:p>
    <w:p w14:paraId="6E969BF5" w14:textId="77777777" w:rsidR="005D277D" w:rsidRPr="00271E51" w:rsidRDefault="005D277D" w:rsidP="00271E51">
      <w:pPr>
        <w:tabs>
          <w:tab w:val="left" w:pos="98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вторую партию - по чертежам осколочно-фугасных снарядов от зенитной 45 мм пушки "49-К" и гильзы к ним штатные от 45 мм противотанковой пушки "М-42".</w:t>
      </w:r>
    </w:p>
    <w:p w14:paraId="22EA0ADB"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ускорения работы ОКБ-16 по изготовлению опытных образцов, разрешить Наркомату Вооружения (т.Ус</w:t>
      </w:r>
      <w:r w:rsidRPr="00271E51">
        <w:rPr>
          <w:rFonts w:ascii="Times New Roman" w:hAnsi="Times New Roman"/>
          <w:color w:val="000000" w:themeColor="text1"/>
          <w:sz w:val="16"/>
          <w:szCs w:val="16"/>
        </w:rPr>
        <w:softHyphen/>
        <w:t>тинову Д.Ф.) перебросить в счет серийного производства 4 пушки 11-П с завода 74 в ОКБ-16 НКВ</w:t>
      </w:r>
    </w:p>
    <w:p w14:paraId="07AF28FC"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Обязать Наркомат Вооружения (т.Устинова Д.Ф.) и директора завода № 172 НКВ (т.Быховского) к 25 авгу</w:t>
      </w:r>
      <w:r w:rsidRPr="00271E51">
        <w:rPr>
          <w:rFonts w:ascii="Times New Roman" w:hAnsi="Times New Roman"/>
          <w:color w:val="000000" w:themeColor="text1"/>
          <w:sz w:val="16"/>
          <w:szCs w:val="16"/>
        </w:rPr>
        <w:softHyphen/>
        <w:t>ста изготовить и подать 0КБ-16 ККВ одиннадцать комплек</w:t>
      </w:r>
      <w:r w:rsidRPr="00271E51">
        <w:rPr>
          <w:rFonts w:ascii="Times New Roman" w:hAnsi="Times New Roman"/>
          <w:color w:val="000000" w:themeColor="text1"/>
          <w:sz w:val="16"/>
          <w:szCs w:val="16"/>
        </w:rPr>
        <w:softHyphen/>
        <w:t>тов стволов 45 мы авиапушек ободранных, термически обра</w:t>
      </w:r>
      <w:r w:rsidRPr="00271E51">
        <w:rPr>
          <w:rFonts w:ascii="Times New Roman" w:hAnsi="Times New Roman"/>
          <w:color w:val="000000" w:themeColor="text1"/>
          <w:sz w:val="16"/>
          <w:szCs w:val="16"/>
        </w:rPr>
        <w:softHyphen/>
        <w:t xml:space="preserve">ботанных, с нарезанным каналом по чертежам и техническим условиям </w:t>
      </w:r>
      <w:r w:rsidRPr="00271E51">
        <w:rPr>
          <w:rStyle w:val="-1pt"/>
          <w:rFonts w:ascii="Times New Roman" w:hAnsi="Times New Roman" w:cs="Times New Roman"/>
          <w:color w:val="000000" w:themeColor="text1"/>
          <w:spacing w:val="0"/>
          <w:sz w:val="16"/>
          <w:szCs w:val="16"/>
        </w:rPr>
        <w:t>ОКБ-16..</w:t>
      </w:r>
    </w:p>
    <w:p w14:paraId="65C41294"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Установить для коллективов конструкторов Наркома</w:t>
      </w:r>
      <w:r w:rsidRPr="00271E51">
        <w:rPr>
          <w:rFonts w:ascii="Times New Roman" w:hAnsi="Times New Roman"/>
          <w:color w:val="000000" w:themeColor="text1"/>
          <w:sz w:val="16"/>
          <w:szCs w:val="16"/>
        </w:rPr>
        <w:softHyphen/>
        <w:t>та Вооружения и Наркомата Авиационной Промышленности две премии в размере 50 тыс.рублей каждая за авиапушку и ею вооруженный самолет, поданные в установленные настоящим постановлением сроки и выдержавшие полигонные наземные и воздушные испытания..</w:t>
      </w:r>
    </w:p>
    <w:p w14:paraId="2E099919" w14:textId="77777777" w:rsidR="005D277D" w:rsidRPr="00271E51" w:rsidRDefault="005D277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Премии подлежат выдаче в распоряжение начальников соответствующих Конструкторских Бюро Наркомата Вооружения и Наркомата Авиационной Промышленности для премирования отличившихся работников (19416).</w:t>
      </w:r>
    </w:p>
    <w:p w14:paraId="41432C0C" w14:textId="77777777" w:rsidR="005D277D" w:rsidRPr="00271E51" w:rsidRDefault="005D277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DA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N 3950c в целях увеличения огневой мощи истребителей по 45 мм пушкам АртКБ НКА (1737,78).</w:t>
      </w:r>
    </w:p>
    <w:p w14:paraId="46AE7F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DAC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3950 Об изготовлении 45 мм пушки конструкции ЦАКБ НКВ для самолетов-истребителей.РГАНИР, Фонд ГКО, д. 146, лл. 84-86, 87-89 (11012).</w:t>
      </w:r>
    </w:p>
    <w:p w14:paraId="1D71B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23FD4" w14:textId="77777777" w:rsidR="002E7481" w:rsidRPr="00271E51" w:rsidRDefault="002E74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3950 Об изготовлении 45 мм пушки конструкции ЦАКБ НКВ для самолетов-истребителей</w:t>
      </w:r>
    </w:p>
    <w:p w14:paraId="0747806F"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целях увеличения огневой мощи самолетов-истре</w:t>
      </w:r>
      <w:r w:rsidRPr="00271E51">
        <w:rPr>
          <w:rFonts w:ascii="Times New Roman" w:cs="Times New Roman"/>
          <w:color w:val="000000" w:themeColor="text1"/>
          <w:spacing w:val="0"/>
        </w:rPr>
        <w:softHyphen/>
        <w:t>бителей, Государственный Комитет Оборона: постановляет:</w:t>
      </w:r>
    </w:p>
    <w:p w14:paraId="5D16E2B0" w14:textId="77777777" w:rsidR="002E7481" w:rsidRPr="00271E51" w:rsidRDefault="002E7481" w:rsidP="00271E51">
      <w:pPr>
        <w:pStyle w:val="27"/>
        <w:shd w:val="clear" w:color="auto" w:fill="auto"/>
        <w:tabs>
          <w:tab w:val="left" w:pos="141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 Обязать Наркомат Вооружения (т.Устинова Д.5.) и Центральное Артиллерийское Конструкторское Бюро НКВ (т.Грабина В.Г.) пред'явить Наркомату Авиационной Про</w:t>
      </w:r>
      <w:r w:rsidRPr="00271E51">
        <w:rPr>
          <w:rFonts w:ascii="Times New Roman" w:cs="Times New Roman"/>
          <w:color w:val="000000" w:themeColor="text1"/>
          <w:spacing w:val="0"/>
        </w:rPr>
        <w:softHyphen/>
        <w:t xml:space="preserve">мышленности (т.Яковлеву А.С.) к 5 сентября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года одну авиапушку, калибра 45 мм., для установки на само</w:t>
      </w:r>
      <w:r w:rsidRPr="00271E51">
        <w:rPr>
          <w:rFonts w:ascii="Times New Roman" w:cs="Times New Roman"/>
          <w:color w:val="000000" w:themeColor="text1"/>
          <w:spacing w:val="0"/>
        </w:rPr>
        <w:softHyphen/>
        <w:t>лет Як-9 с ведением стрельбы через редуктор мотора.</w:t>
      </w:r>
    </w:p>
    <w:p w14:paraId="520354E6"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Кроме того Центральному Артиллерийскому Конструк</w:t>
      </w:r>
      <w:r w:rsidRPr="00271E51">
        <w:rPr>
          <w:rFonts w:ascii="Times New Roman" w:cs="Times New Roman"/>
          <w:color w:val="000000" w:themeColor="text1"/>
          <w:spacing w:val="0"/>
        </w:rPr>
        <w:softHyphen/>
        <w:t>торскому Бюро НКБ (т.Грабину Б,Г.) пред'явить Научно- исследовательскому Институту Авиационного Вооружения ВВС КА к 20 сентября 1943г. одну такую же пушку для проведения наземных полигонных испытаний.</w:t>
      </w:r>
    </w:p>
    <w:p w14:paraId="64DCE906" w14:textId="77777777" w:rsidR="002E7481" w:rsidRPr="00271E51" w:rsidRDefault="002E7481" w:rsidP="00271E51">
      <w:pPr>
        <w:pStyle w:val="27"/>
        <w:shd w:val="clear" w:color="auto" w:fill="auto"/>
        <w:tabs>
          <w:tab w:val="left" w:pos="14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Основные данные 45 мм пушки должны быть:</w:t>
      </w:r>
    </w:p>
    <w:p w14:paraId="09E4737C"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Начальная скорость не ниже - </w:t>
      </w:r>
      <w:r w:rsidRPr="00271E51">
        <w:rPr>
          <w:rStyle w:val="0pt"/>
          <w:rFonts w:ascii="Times New Roman" w:cs="Times New Roman"/>
          <w:color w:val="000000" w:themeColor="text1"/>
          <w:spacing w:val="0"/>
          <w:sz w:val="16"/>
          <w:szCs w:val="16"/>
        </w:rPr>
        <w:t>750</w:t>
      </w:r>
      <w:r w:rsidRPr="00271E51">
        <w:rPr>
          <w:rFonts w:ascii="Times New Roman" w:cs="Times New Roman"/>
          <w:color w:val="000000" w:themeColor="text1"/>
          <w:spacing w:val="0"/>
        </w:rPr>
        <w:t xml:space="preserve"> м/сек;</w:t>
      </w:r>
    </w:p>
    <w:p w14:paraId="1C2F0988"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Вес пушки (со всеми механизмами и агрегатами, беэ которых невозможна непрерывная стрельба; не выше - </w:t>
      </w:r>
      <w:r w:rsidRPr="00271E51">
        <w:rPr>
          <w:rStyle w:val="0pt"/>
          <w:rFonts w:ascii="Times New Roman" w:cs="Times New Roman"/>
          <w:color w:val="000000" w:themeColor="text1"/>
          <w:spacing w:val="0"/>
          <w:sz w:val="16"/>
          <w:szCs w:val="16"/>
        </w:rPr>
        <w:t>200</w:t>
      </w:r>
      <w:r w:rsidRPr="00271E51">
        <w:rPr>
          <w:rFonts w:ascii="Times New Roman" w:cs="Times New Roman"/>
          <w:color w:val="000000" w:themeColor="text1"/>
          <w:spacing w:val="0"/>
        </w:rPr>
        <w:t xml:space="preserve"> кг;</w:t>
      </w:r>
    </w:p>
    <w:p w14:paraId="538D63B2"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Темп стрельбы не ниже - </w:t>
      </w:r>
      <w:r w:rsidRPr="00271E51">
        <w:rPr>
          <w:rStyle w:val="0pt"/>
          <w:rFonts w:ascii="Times New Roman" w:cs="Times New Roman"/>
          <w:color w:val="000000" w:themeColor="text1"/>
          <w:spacing w:val="0"/>
          <w:sz w:val="16"/>
          <w:szCs w:val="16"/>
        </w:rPr>
        <w:t xml:space="preserve">120 </w:t>
      </w:r>
      <w:r w:rsidRPr="00271E51">
        <w:rPr>
          <w:rFonts w:ascii="Times New Roman" w:cs="Times New Roman"/>
          <w:color w:val="000000" w:themeColor="text1"/>
          <w:spacing w:val="0"/>
        </w:rPr>
        <w:t>выстре</w:t>
      </w:r>
      <w:r w:rsidRPr="00271E51">
        <w:rPr>
          <w:rFonts w:ascii="Times New Roman" w:cs="Times New Roman"/>
          <w:color w:val="000000" w:themeColor="text1"/>
          <w:spacing w:val="0"/>
        </w:rPr>
        <w:softHyphen/>
        <w:t>лов в минуту;</w:t>
      </w:r>
    </w:p>
    <w:p w14:paraId="723693D4"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Максимальное усилие отдачи не выше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кг.;</w:t>
      </w:r>
    </w:p>
    <w:p w14:paraId="32D228FF"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Усилия на спуок не выше -  - 15 кг.;</w:t>
      </w:r>
    </w:p>
    <w:p w14:paraId="437B9794"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Давление воздуха в системе пере</w:t>
      </w:r>
      <w:r w:rsidRPr="00271E51">
        <w:rPr>
          <w:rFonts w:ascii="Times New Roman" w:cs="Times New Roman"/>
          <w:color w:val="000000" w:themeColor="text1"/>
          <w:spacing w:val="0"/>
        </w:rPr>
        <w:softHyphen/>
        <w:t>зарядки не выше 35 атм.;</w:t>
      </w:r>
    </w:p>
    <w:p w14:paraId="7772D38A" w14:textId="77777777" w:rsidR="002E7481" w:rsidRPr="00271E51" w:rsidRDefault="002E74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Боекомплект на одну пушку не менее 20 патронов.</w:t>
      </w:r>
    </w:p>
    <w:p w14:paraId="0B2A5FFA" w14:textId="77777777" w:rsidR="002E7481" w:rsidRPr="00271E51" w:rsidRDefault="002E7481"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По остальным данным конструкторам руководствовать</w:t>
      </w:r>
      <w:r w:rsidRPr="00271E51">
        <w:rPr>
          <w:rFonts w:ascii="Times New Roman" w:eastAsia="Times New Roman" w:hAnsi="Times New Roman"/>
          <w:color w:val="000000" w:themeColor="text1"/>
          <w:sz w:val="16"/>
          <w:szCs w:val="16"/>
        </w:rPr>
        <w:softHyphen/>
        <w:t>ся тактико-техническими требованиями ВВС КА и ГАУ КЛ (приложение).</w:t>
      </w:r>
    </w:p>
    <w:p w14:paraId="73B0C39F" w14:textId="77777777" w:rsidR="002E7481" w:rsidRPr="00271E51" w:rsidRDefault="002E7481" w:rsidP="00271E51">
      <w:pPr>
        <w:tabs>
          <w:tab w:val="left" w:pos="960"/>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 xml:space="preserve">2. Обязать Наркомат Авиационной Промышленности (т.т.Шахурина А.И. </w:t>
      </w:r>
      <w:r w:rsidRPr="00271E51">
        <w:rPr>
          <w:rFonts w:ascii="Times New Roman" w:eastAsia="Times New Roman" w:hAnsi="Times New Roman"/>
          <w:color w:val="000000" w:themeColor="text1"/>
          <w:sz w:val="16"/>
          <w:szCs w:val="16"/>
          <w:lang w:val="en-US"/>
        </w:rPr>
        <w:t>S</w:t>
      </w:r>
      <w:r w:rsidRPr="00271E51">
        <w:rPr>
          <w:rFonts w:ascii="Times New Roman" w:eastAsia="Times New Roman" w:hAnsi="Times New Roman"/>
          <w:color w:val="000000" w:themeColor="text1"/>
          <w:sz w:val="16"/>
          <w:szCs w:val="16"/>
        </w:rPr>
        <w:t xml:space="preserve"> Яковлева А.С.) к</w:t>
      </w:r>
      <w:r w:rsidRPr="00271E51">
        <w:rPr>
          <w:rFonts w:ascii="Times New Roman" w:eastAsia="Times New Roman" w:hAnsi="Times New Roman"/>
          <w:i/>
          <w:iCs/>
          <w:color w:val="000000" w:themeColor="text1"/>
          <w:sz w:val="16"/>
          <w:szCs w:val="16"/>
        </w:rPr>
        <w:t xml:space="preserve"> 20</w:t>
      </w:r>
      <w:r w:rsidRPr="00271E51">
        <w:rPr>
          <w:rFonts w:ascii="Times New Roman" w:eastAsia="Times New Roman" w:hAnsi="Times New Roman"/>
          <w:color w:val="000000" w:themeColor="text1"/>
          <w:sz w:val="16"/>
          <w:szCs w:val="16"/>
        </w:rPr>
        <w:t xml:space="preserve"> октября 1943 го</w:t>
      </w:r>
      <w:r w:rsidRPr="00271E51">
        <w:rPr>
          <w:rFonts w:ascii="Times New Roman" w:eastAsia="Times New Roman" w:hAnsi="Times New Roman"/>
          <w:color w:val="000000" w:themeColor="text1"/>
          <w:sz w:val="16"/>
          <w:szCs w:val="16"/>
        </w:rPr>
        <w:softHyphen/>
        <w:t>да пред"явить Научно-Исследовательскому Институту Авиа</w:t>
      </w:r>
      <w:r w:rsidRPr="00271E51">
        <w:rPr>
          <w:rFonts w:ascii="Times New Roman" w:eastAsia="Times New Roman" w:hAnsi="Times New Roman"/>
          <w:color w:val="000000" w:themeColor="text1"/>
          <w:sz w:val="16"/>
          <w:szCs w:val="16"/>
        </w:rPr>
        <w:softHyphen/>
        <w:t>ционного Вооружения ВВС Красной Армии самолет Як-9 с моторной пушкой, калибра 45 мм., конструкции ЦАКБ НКВ - на государственные испытания,</w:t>
      </w:r>
    </w:p>
    <w:p w14:paraId="5F4DA7BE" w14:textId="77777777" w:rsidR="002E7481" w:rsidRPr="00271E51" w:rsidRDefault="002E7481" w:rsidP="00271E51">
      <w:pPr>
        <w:tabs>
          <w:tab w:val="left" w:pos="998"/>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3. Обязать ВВС КА (т.Репина А.К.) к 1 ноября 1943 года испытать самолет Як-9 с моторной пушкой, калибра 45 мм, конструкции ЦАКБ НКВ, и представить Государствен</w:t>
      </w:r>
      <w:r w:rsidRPr="00271E51">
        <w:rPr>
          <w:rFonts w:ascii="Times New Roman" w:eastAsia="Times New Roman" w:hAnsi="Times New Roman"/>
          <w:color w:val="000000" w:themeColor="text1"/>
          <w:sz w:val="16"/>
          <w:szCs w:val="16"/>
        </w:rPr>
        <w:softHyphen/>
        <w:t>ному комитету Обороны отчет о результатах испытаний.</w:t>
      </w:r>
    </w:p>
    <w:p w14:paraId="4128FCF7" w14:textId="77777777" w:rsidR="002E7481" w:rsidRPr="00271E51" w:rsidRDefault="002E7481" w:rsidP="00271E51">
      <w:pPr>
        <w:tabs>
          <w:tab w:val="left" w:pos="983"/>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4. Обязать Наркомат Боеприпасов (т.Ванникова З.Л.) подать к 30 августа 1943 года патроны для отладки и испытания 45 мм пушки, в количество:</w:t>
      </w:r>
    </w:p>
    <w:p w14:paraId="5C7D5A82" w14:textId="77777777" w:rsidR="002E7481" w:rsidRPr="00271E51" w:rsidRDefault="002E7481" w:rsidP="00271E51">
      <w:pPr>
        <w:tabs>
          <w:tab w:val="left" w:pos="4140"/>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ЦАКБ НКВ</w:t>
      </w:r>
      <w:r w:rsidRPr="00271E51">
        <w:rPr>
          <w:rFonts w:ascii="Times New Roman" w:eastAsia="Times New Roman" w:hAnsi="Times New Roman"/>
          <w:color w:val="000000" w:themeColor="text1"/>
          <w:sz w:val="16"/>
          <w:szCs w:val="16"/>
        </w:rPr>
        <w:tab/>
        <w:t>- 2000 штук</w:t>
      </w:r>
    </w:p>
    <w:p w14:paraId="500611B4" w14:textId="77777777" w:rsidR="002E7481" w:rsidRPr="00271E51" w:rsidRDefault="002E7481" w:rsidP="00271E51">
      <w:pPr>
        <w:tabs>
          <w:tab w:val="left" w:pos="4118"/>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Н К А П</w:t>
      </w:r>
      <w:r w:rsidRPr="00271E51">
        <w:rPr>
          <w:rFonts w:ascii="Times New Roman" w:eastAsia="Times New Roman" w:hAnsi="Times New Roman"/>
          <w:color w:val="000000" w:themeColor="text1"/>
          <w:sz w:val="16"/>
          <w:szCs w:val="16"/>
        </w:rPr>
        <w:tab/>
        <w:t>- 200 " и</w:t>
      </w:r>
    </w:p>
    <w:p w14:paraId="13E2167D" w14:textId="77777777" w:rsidR="002E7481" w:rsidRPr="00271E51" w:rsidRDefault="002E7481"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ВВС - на проведение полигонных испытаний- 2:000 "</w:t>
      </w:r>
    </w:p>
    <w:p w14:paraId="638562B2" w14:textId="77777777" w:rsidR="002E7481" w:rsidRPr="00271E51" w:rsidRDefault="002E7481"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Патроны изготовить по чертежам осколочно-фугасных снарядов от морской 45 мм пушки "21-л" и гильзы к ним штатные от 45 мм противотанковой пушки "М-42"</w:t>
      </w:r>
    </w:p>
    <w:p w14:paraId="0F2823BA" w14:textId="77777777" w:rsidR="002E7481" w:rsidRPr="00271E51" w:rsidRDefault="002E7481" w:rsidP="00271E51">
      <w:pPr>
        <w:tabs>
          <w:tab w:val="left" w:pos="983"/>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5. Обязать Наркомат Вооружения (т.Устинова Д.5.) и директора завода № 172 (т.Быховского) в месячный срок изготовить к подать Центральному Артиллерийскому Конст</w:t>
      </w:r>
      <w:r w:rsidRPr="00271E51">
        <w:rPr>
          <w:rFonts w:ascii="Times New Roman" w:eastAsia="Times New Roman" w:hAnsi="Times New Roman"/>
          <w:color w:val="000000" w:themeColor="text1"/>
          <w:sz w:val="16"/>
          <w:szCs w:val="16"/>
        </w:rPr>
        <w:softHyphen/>
        <w:t>рукторскому Бюро НКВ для 45 мм авиационных пушек четыре комплекта ободранных, термически обработанных и нарезан</w:t>
      </w:r>
      <w:r w:rsidRPr="00271E51">
        <w:rPr>
          <w:rFonts w:ascii="Times New Roman" w:eastAsia="Times New Roman" w:hAnsi="Times New Roman"/>
          <w:color w:val="000000" w:themeColor="text1"/>
          <w:sz w:val="16"/>
          <w:szCs w:val="16"/>
        </w:rPr>
        <w:softHyphen/>
        <w:t>ных стволов по чертежам и техническим условиям ЦАКБ.</w:t>
      </w:r>
    </w:p>
    <w:p w14:paraId="11EF60FA" w14:textId="77777777" w:rsidR="002E7481" w:rsidRPr="00271E51" w:rsidRDefault="002E7481"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6. Установить для коллектива конструкторов ЦАКВ НКВ и Наркомата Авиационной Промышленности две премии в размере 50 тыс.рублей каждая за авиапушку и ею вооруженный самолет, поданные в установленные настоящим поста</w:t>
      </w:r>
      <w:r w:rsidRPr="00271E51">
        <w:rPr>
          <w:rFonts w:ascii="Times New Roman" w:eastAsia="Times New Roman" w:hAnsi="Times New Roman"/>
          <w:color w:val="000000" w:themeColor="text1"/>
          <w:sz w:val="16"/>
          <w:szCs w:val="16"/>
        </w:rPr>
        <w:softHyphen/>
        <w:t>новлением сроки и выдержавшие полигонные наземные и воздушные испытания.</w:t>
      </w:r>
    </w:p>
    <w:p w14:paraId="27681876" w14:textId="77777777" w:rsidR="002E7481" w:rsidRPr="00271E51" w:rsidRDefault="002E7481" w:rsidP="00271E51">
      <w:pPr>
        <w:tabs>
          <w:tab w:val="left" w:pos="975"/>
        </w:tabs>
        <w:spacing w:after="0" w:line="240" w:lineRule="auto"/>
        <w:jc w:val="both"/>
        <w:rPr>
          <w:rFonts w:ascii="Times New Roman" w:hAnsi="Times New Roman"/>
          <w:color w:val="000000" w:themeColor="text1"/>
          <w:sz w:val="16"/>
          <w:szCs w:val="16"/>
        </w:rPr>
      </w:pPr>
      <w:r w:rsidRPr="00271E51">
        <w:rPr>
          <w:rFonts w:ascii="Times New Roman" w:eastAsia="Times New Roman" w:hAnsi="Times New Roman"/>
          <w:color w:val="000000" w:themeColor="text1"/>
          <w:sz w:val="16"/>
          <w:szCs w:val="16"/>
        </w:rPr>
        <w:t>Премии подлежат выдаче в распоряжение начальников Конструкторских Бюро для премирования отличившихся ра</w:t>
      </w:r>
      <w:r w:rsidRPr="00271E51">
        <w:rPr>
          <w:rFonts w:ascii="Times New Roman" w:eastAsia="Times New Roman" w:hAnsi="Times New Roman"/>
          <w:color w:val="000000" w:themeColor="text1"/>
          <w:sz w:val="16"/>
          <w:szCs w:val="16"/>
        </w:rPr>
        <w:softHyphen/>
        <w:t xml:space="preserve">ботников </w:t>
      </w:r>
      <w:r w:rsidRPr="00271E51">
        <w:rPr>
          <w:rFonts w:ascii="Times New Roman" w:hAnsi="Times New Roman"/>
          <w:color w:val="000000" w:themeColor="text1"/>
          <w:sz w:val="16"/>
          <w:szCs w:val="16"/>
        </w:rPr>
        <w:t>(19417).</w:t>
      </w:r>
    </w:p>
    <w:p w14:paraId="5F7F1ED6" w14:textId="77777777" w:rsidR="002E7481" w:rsidRPr="00271E51" w:rsidRDefault="002E74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CEEB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 вышли три Постановления ГОКО, кото</w:t>
      </w:r>
      <w:r w:rsidRPr="00271E51">
        <w:rPr>
          <w:rFonts w:ascii="Times New Roman" w:hAnsi="Times New Roman"/>
          <w:color w:val="000000" w:themeColor="text1"/>
          <w:sz w:val="16"/>
          <w:szCs w:val="16"/>
        </w:rPr>
        <w:softHyphen/>
        <w:t>рые определяли порядок и сроки подачи самолетов Ил-2 и Як-9т с пушками калибра 45 мм для производства государст</w:t>
      </w:r>
      <w:r w:rsidRPr="00271E51">
        <w:rPr>
          <w:rFonts w:ascii="Times New Roman" w:hAnsi="Times New Roman"/>
          <w:color w:val="000000" w:themeColor="text1"/>
          <w:sz w:val="16"/>
          <w:szCs w:val="16"/>
        </w:rPr>
        <w:softHyphen/>
        <w:t>венных испытаний. Пушки ОКБ-15 (Ш-45) и ОКБ-16 (НС-45) представляли собой одноименные пушки калибра 37 мм, которые перество-лили на больший калибр (11474,357).</w:t>
      </w:r>
    </w:p>
    <w:p w14:paraId="5F3C05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84B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года приказу ГОКО № 3919с, 3 сентября 1943 года по приказу № 532с НКАП и 8 сентября 1943 года по приказу № 52с по 5-му гл. управлению НКАП о восстановлении завода № 278 и дальнейшего развития производства приборов теплотехнического контроля и электроизмерительных приборов на заводах 5-го гл. управления, завод вновь перешел на выпуск газоанализаторов.</w:t>
      </w:r>
    </w:p>
    <w:p w14:paraId="7F64B2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году по приказу № 74сс 17-го гл. управления от 19 октября 1944 года (приказ НКАП № 605сс от 13 октября 1944 года) производство газоанализаторов переведено на завод № 218 НКАП.</w:t>
      </w:r>
    </w:p>
    <w:p w14:paraId="5527A6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57сс НКАП от 10 ноября 1945 года завод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6D3924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4430C5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544"/>
      </w:tblGrid>
      <w:tr w:rsidR="00A907A5" w:rsidRPr="00271E51" w14:paraId="06ABDF54" w14:textId="77777777" w:rsidTr="00ED5B0A">
        <w:tc>
          <w:tcPr>
            <w:tcW w:w="3227" w:type="dxa"/>
          </w:tcPr>
          <w:p w14:paraId="1E1F45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Периоды</w:t>
            </w:r>
          </w:p>
        </w:tc>
        <w:tc>
          <w:tcPr>
            <w:tcW w:w="3402" w:type="dxa"/>
          </w:tcPr>
          <w:p w14:paraId="30BCBE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w:t>
            </w:r>
          </w:p>
        </w:tc>
        <w:tc>
          <w:tcPr>
            <w:tcW w:w="3544" w:type="dxa"/>
          </w:tcPr>
          <w:p w14:paraId="53DDFF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w:t>
            </w:r>
          </w:p>
        </w:tc>
      </w:tr>
      <w:tr w:rsidR="00A907A5" w:rsidRPr="00271E51" w14:paraId="0622E544" w14:textId="77777777" w:rsidTr="00ED5B0A">
        <w:tc>
          <w:tcPr>
            <w:tcW w:w="3227" w:type="dxa"/>
          </w:tcPr>
          <w:p w14:paraId="0AA34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1931-1936 гг.</w:t>
            </w:r>
          </w:p>
        </w:tc>
        <w:tc>
          <w:tcPr>
            <w:tcW w:w="3402" w:type="dxa"/>
          </w:tcPr>
          <w:p w14:paraId="356602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Капитан Н.С.</w:t>
            </w:r>
          </w:p>
        </w:tc>
        <w:tc>
          <w:tcPr>
            <w:tcW w:w="3544" w:type="dxa"/>
          </w:tcPr>
          <w:p w14:paraId="257EA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Ершов Б.Б.</w:t>
            </w:r>
          </w:p>
        </w:tc>
      </w:tr>
      <w:tr w:rsidR="00A907A5" w:rsidRPr="00271E51" w14:paraId="3CE38F03" w14:textId="77777777" w:rsidTr="00ED5B0A">
        <w:tc>
          <w:tcPr>
            <w:tcW w:w="3227" w:type="dxa"/>
          </w:tcPr>
          <w:p w14:paraId="03C212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1936-1938 гг.</w:t>
            </w:r>
          </w:p>
        </w:tc>
        <w:tc>
          <w:tcPr>
            <w:tcW w:w="3402" w:type="dxa"/>
          </w:tcPr>
          <w:p w14:paraId="47575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Павленко И.Н.</w:t>
            </w:r>
          </w:p>
        </w:tc>
        <w:tc>
          <w:tcPr>
            <w:tcW w:w="3544" w:type="dxa"/>
          </w:tcPr>
          <w:p w14:paraId="7D5EE7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Ершов Б.Б.</w:t>
            </w:r>
          </w:p>
        </w:tc>
      </w:tr>
      <w:tr w:rsidR="00A907A5" w:rsidRPr="00271E51" w14:paraId="206F8A1B" w14:textId="77777777" w:rsidTr="00ED5B0A">
        <w:tc>
          <w:tcPr>
            <w:tcW w:w="3227" w:type="dxa"/>
          </w:tcPr>
          <w:p w14:paraId="00F22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1938-1940 гг.</w:t>
            </w:r>
          </w:p>
        </w:tc>
        <w:tc>
          <w:tcPr>
            <w:tcW w:w="3402" w:type="dxa"/>
          </w:tcPr>
          <w:p w14:paraId="6612FB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Зернов И.П.</w:t>
            </w:r>
          </w:p>
        </w:tc>
        <w:tc>
          <w:tcPr>
            <w:tcW w:w="3544" w:type="dxa"/>
          </w:tcPr>
          <w:p w14:paraId="014A7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Власов В.П.</w:t>
            </w:r>
          </w:p>
        </w:tc>
      </w:tr>
      <w:tr w:rsidR="00A907A5" w:rsidRPr="00271E51" w14:paraId="586EC853" w14:textId="77777777" w:rsidTr="00ED5B0A">
        <w:tc>
          <w:tcPr>
            <w:tcW w:w="3227" w:type="dxa"/>
          </w:tcPr>
          <w:p w14:paraId="7211F9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1941-1942 гг.</w:t>
            </w:r>
          </w:p>
        </w:tc>
        <w:tc>
          <w:tcPr>
            <w:tcW w:w="3402" w:type="dxa"/>
          </w:tcPr>
          <w:p w14:paraId="368BC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Комиссаров М.И.</w:t>
            </w:r>
          </w:p>
        </w:tc>
        <w:tc>
          <w:tcPr>
            <w:tcW w:w="3544" w:type="dxa"/>
          </w:tcPr>
          <w:p w14:paraId="2A92AF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Власов В.П.</w:t>
            </w:r>
          </w:p>
        </w:tc>
      </w:tr>
      <w:tr w:rsidR="00A907A5" w:rsidRPr="00271E51" w14:paraId="3B60EC16" w14:textId="77777777" w:rsidTr="00ED5B0A">
        <w:tc>
          <w:tcPr>
            <w:tcW w:w="3227" w:type="dxa"/>
          </w:tcPr>
          <w:p w14:paraId="2D0800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1942-1943 гг.</w:t>
            </w:r>
          </w:p>
        </w:tc>
        <w:tc>
          <w:tcPr>
            <w:tcW w:w="3402" w:type="dxa"/>
          </w:tcPr>
          <w:p w14:paraId="26FD96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Степанов Г.С.</w:t>
            </w:r>
          </w:p>
        </w:tc>
        <w:tc>
          <w:tcPr>
            <w:tcW w:w="3544" w:type="dxa"/>
          </w:tcPr>
          <w:p w14:paraId="697EA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Уласов</w:t>
            </w:r>
          </w:p>
        </w:tc>
      </w:tr>
      <w:tr w:rsidR="00A907A5" w:rsidRPr="00271E51" w14:paraId="61E6C0A1" w14:textId="77777777" w:rsidTr="00ED5B0A">
        <w:tc>
          <w:tcPr>
            <w:tcW w:w="3227" w:type="dxa"/>
          </w:tcPr>
          <w:p w14:paraId="104DE9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1944-1945 гг.</w:t>
            </w:r>
          </w:p>
        </w:tc>
        <w:tc>
          <w:tcPr>
            <w:tcW w:w="3402" w:type="dxa"/>
          </w:tcPr>
          <w:p w14:paraId="17F72D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Петров А.Б.</w:t>
            </w:r>
          </w:p>
        </w:tc>
        <w:tc>
          <w:tcPr>
            <w:tcW w:w="3544" w:type="dxa"/>
          </w:tcPr>
          <w:p w14:paraId="0094A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Эмдин</w:t>
            </w:r>
          </w:p>
        </w:tc>
      </w:tr>
      <w:tr w:rsidR="00A907A5" w:rsidRPr="00271E51" w14:paraId="649CCA8F" w14:textId="77777777" w:rsidTr="00ED5B0A">
        <w:tc>
          <w:tcPr>
            <w:tcW w:w="3227" w:type="dxa"/>
          </w:tcPr>
          <w:p w14:paraId="6C78D2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1945-1948 гг.</w:t>
            </w:r>
          </w:p>
        </w:tc>
        <w:tc>
          <w:tcPr>
            <w:tcW w:w="3402" w:type="dxa"/>
          </w:tcPr>
          <w:p w14:paraId="723A1B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Полонников И.П.</w:t>
            </w:r>
          </w:p>
        </w:tc>
        <w:tc>
          <w:tcPr>
            <w:tcW w:w="3544" w:type="dxa"/>
          </w:tcPr>
          <w:p w14:paraId="3A3D81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Карасев И.Д.</w:t>
            </w:r>
          </w:p>
        </w:tc>
      </w:tr>
      <w:tr w:rsidR="00A907A5" w:rsidRPr="00271E51" w14:paraId="13BE6902" w14:textId="77777777" w:rsidTr="00ED5B0A">
        <w:tc>
          <w:tcPr>
            <w:tcW w:w="3227" w:type="dxa"/>
          </w:tcPr>
          <w:p w14:paraId="6E13B4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1949-1950 гг.</w:t>
            </w:r>
          </w:p>
        </w:tc>
        <w:tc>
          <w:tcPr>
            <w:tcW w:w="3402" w:type="dxa"/>
          </w:tcPr>
          <w:p w14:paraId="04FAC9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Аверин Н.В.</w:t>
            </w:r>
          </w:p>
        </w:tc>
        <w:tc>
          <w:tcPr>
            <w:tcW w:w="3544" w:type="dxa"/>
          </w:tcPr>
          <w:p w14:paraId="241D5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Карасев И.Д.</w:t>
            </w:r>
          </w:p>
        </w:tc>
      </w:tr>
      <w:tr w:rsidR="00A907A5" w:rsidRPr="00271E51" w14:paraId="51FAF20A" w14:textId="77777777" w:rsidTr="00ED5B0A">
        <w:tc>
          <w:tcPr>
            <w:tcW w:w="3227" w:type="dxa"/>
          </w:tcPr>
          <w:p w14:paraId="0ACF3B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1950-1951 гг.</w:t>
            </w:r>
          </w:p>
        </w:tc>
        <w:tc>
          <w:tcPr>
            <w:tcW w:w="3402" w:type="dxa"/>
          </w:tcPr>
          <w:p w14:paraId="4B2BA7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Андреев Л.В.</w:t>
            </w:r>
          </w:p>
        </w:tc>
        <w:tc>
          <w:tcPr>
            <w:tcW w:w="3544" w:type="dxa"/>
          </w:tcPr>
          <w:p w14:paraId="64B36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r w:rsidR="00A907A5" w:rsidRPr="00271E51" w14:paraId="77A891C1" w14:textId="77777777" w:rsidTr="00ED5B0A">
        <w:tc>
          <w:tcPr>
            <w:tcW w:w="3227" w:type="dxa"/>
          </w:tcPr>
          <w:p w14:paraId="23244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 1952 – 1953 гг.</w:t>
            </w:r>
          </w:p>
        </w:tc>
        <w:tc>
          <w:tcPr>
            <w:tcW w:w="3402" w:type="dxa"/>
          </w:tcPr>
          <w:p w14:paraId="42D57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127398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r w:rsidR="00A907A5" w:rsidRPr="00271E51" w14:paraId="1B34624E" w14:textId="77777777" w:rsidTr="00ED5B0A">
        <w:tc>
          <w:tcPr>
            <w:tcW w:w="3227" w:type="dxa"/>
          </w:tcPr>
          <w:p w14:paraId="18EC8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Август 1953-1959 гг.</w:t>
            </w:r>
          </w:p>
        </w:tc>
        <w:tc>
          <w:tcPr>
            <w:tcW w:w="3402" w:type="dxa"/>
          </w:tcPr>
          <w:p w14:paraId="457264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Солодовников В.И.</w:t>
            </w:r>
          </w:p>
        </w:tc>
        <w:tc>
          <w:tcPr>
            <w:tcW w:w="3544" w:type="dxa"/>
          </w:tcPr>
          <w:p w14:paraId="50926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bl>
    <w:p w14:paraId="43AC13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(9484)</w:t>
      </w:r>
    </w:p>
    <w:p w14:paraId="3B626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87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самолет передается на заводские летные испытания. Тряска не произведена из-за отсутствия представителей. Будет производится в период облета (1768,227).</w:t>
      </w:r>
    </w:p>
    <w:p w14:paraId="1EA05A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B4A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И.д. Нач. ГРУ г-л Ильичев подписал информационную сводку N 5 для А.И.Ш. НКАП по немецким самолетам (1780).</w:t>
      </w:r>
    </w:p>
    <w:p w14:paraId="2E66A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83D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года врид. командующего ВВС генерал-полковник авиации Фалалеев писал письмо N 556769 Шахурину.</w:t>
      </w:r>
    </w:p>
    <w:p w14:paraId="2CB358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перевооружения самолетов "Бостон" (А-20-Ж).</w:t>
      </w:r>
    </w:p>
    <w:p w14:paraId="775EED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постановлению ГОКО от 24.IX.42 года за N 2336сс НКАП обязан перевооружить импортные самолеты "Бостон" по мере преступления их из-за границы. Единственным заводом, занимающимся перевооружением импортных самолетов, является завод N 89. Наркомавиапромом последний предназначается под ремонт самолетов Ли-2, хотя эта задача могла быть с успехом выполнена заводом N 456, имеющим большой опыт по ремонту Ли-2.</w:t>
      </w:r>
    </w:p>
    <w:p w14:paraId="0FB7CD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Наркомавиапромом ограничивает ежемесячное количество перевооружаемых самолетов "Бостон" максимум 40 шт.</w:t>
      </w:r>
    </w:p>
    <w:p w14:paraId="195E39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из-за границы стали поступать в большом количестве самолеты А-20_Ж. В районе Москвы уже скопились более 200 самолетов этого типа. Кроме того, в сентябре ожидается поступление еще не менее 150 самолетов.</w:t>
      </w:r>
    </w:p>
    <w:p w14:paraId="4EE27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ускорения передачи действующим частям ВВС импортной материальной части, прошу Вас обязать завод N 89 перевооружить самолеты "Бостон" (А-20-Ж) в количестве 350 штук в течение сентября с.г., сняв с этого завода ремонт самолетов Ли-2 (1779).</w:t>
      </w:r>
    </w:p>
    <w:p w14:paraId="60FECC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B9DA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F0B2E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1F5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 на Гороховецком артполигоне ГАУ РККА закончились полигонные испытания четырех 57-мм танковых пушек ЗИС-4, установленных в танках Т-34, которые проходили с 20 июля. В заключении по полигонным испытаниям было отмечено, что 57-мм пушки ЗИС-4 после устранения недостатков может «ндована для принятия на вооружение танков типа Т-34 (10703).</w:t>
      </w:r>
    </w:p>
    <w:p w14:paraId="2F62F3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47FE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3944 О мерах обеспечения нормальной частоты в энергосистемах. (7134, 51-55).</w:t>
      </w:r>
    </w:p>
    <w:p w14:paraId="4D4B3A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F1C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Постановление ГКО № 3945 О повышении коэффициента мощности (косинуса фи) промышленных предприятий .РГАНИР, Фонд ГКО, д. 146, лл. 56-58, 59-66 (11012).</w:t>
      </w:r>
    </w:p>
    <w:p w14:paraId="10BEDA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8B5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вышло Распоряжение ГКО № 3946. О передаче на СТ3 500 рабочих из спецконтингента (окруженцев), занятых на строительстве СТ3.РГАНИР, Фонд ГКО, д. 146, лл. 67 (11012).</w:t>
      </w:r>
    </w:p>
    <w:p w14:paraId="08A9A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30A1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работали все цеха цеха ГАЗ, поврежденные бомбежками, а к 28 октября завод восстановили полностью (9648).</w:t>
      </w:r>
    </w:p>
    <w:p w14:paraId="487684F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05D8FB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Балтийцы закончили капитально-восстановительный ремонт эсминца "Сторожевой", потерявшего носовую оконечность при взрыве вражеской торпеды 27 июня 1941 г., во время постановки мин в Ирбенском проливе. Корабль сдан флоту (10671).</w:t>
      </w:r>
    </w:p>
    <w:p w14:paraId="70349D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B7FC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BB20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BF7E4"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в 1943 году оперативная сводка Совинформбюро:</w:t>
      </w:r>
    </w:p>
    <w:p w14:paraId="29D1BF1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августа наши войска на Брянском направлении продолжали наступление и, продвинувшись на отдельных участках от 6 до 10километров, заняли свыше 40 населённых пунктов и среди них крупные населённые пункты Дедная, Орля, Калинино, Овсорок, Гололобовка, Сукременье, Авдеевка, Николаевна, Философский Завод и железнодорожные станции Берёзовка (34 километрасеверо-восточнее Брянска), Мылинка (32 километра восточнее Брянска).</w:t>
      </w:r>
    </w:p>
    <w:p w14:paraId="6E9BD5D3"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контратаки противника, продолжали наступление и, продвинувшись на отдельныхучастках от 7 до 10 километров, заняли свыше 50 населённых пунктов, в том числе: город Змиев, районный центр Опошня, крупные населённые пункты Верхняя и Нижняя Сыроватка, Великий Истороп, Полевое, Боровое, Васищево, Замостье, Чемужовка и железнодорожные станции Сыроватка, Низы, Гребениковка, Змиев.</w:t>
      </w:r>
    </w:p>
    <w:p w14:paraId="6B66FA0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 и артиллерийско-миномётную перестрелку с противником.</w:t>
      </w:r>
    </w:p>
    <w:p w14:paraId="68921064"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августа наши войска на всех фронтах подбили и уничтожили 114 немецких танков. В воздушных боях и огнём зенитной артиллерии сбито 129 самолётов противника.</w:t>
      </w:r>
    </w:p>
    <w:p w14:paraId="468BBB4C"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и заняли свыше 40 населённых пунктов. На одном участке танки и пехота противника предприняли контратаку. Советские бойцы нанесли немцам большой урон и вынудили их отступить. Преследуя противника, наши подразделения заняли несколько населённых пунктов и уничтожили 500 гитлеровцев, 4 артиллерийских батареи и 35 автомашин с вражеской пехотой. Артиллерийская батарея под командованием гвардии капитана Плоткина, расчищая путь пехоте, уничтожила 6 пулемётных точек, несколько миномётов и орудие противника. В одном бою немецкий танк, укрывшийся в большой воронке, вёл огонь по нашим автоматчикам. Командир отделения Карцев подполз к вражескомутанку и бросил на него связку гранат. Танк сгорел.</w:t>
      </w:r>
    </w:p>
    <w:p w14:paraId="799D2CD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Части Н-ского соединения, овладев городом Жиздра, успешно продвигались вперёди заняли ряд населённых пунктов. Уничтожено до 800 гитлеровцев и 7 танков противника. Захвачены 2 танка и другие трофеи. Взяты пленные.</w:t>
      </w:r>
    </w:p>
    <w:p w14:paraId="1DCD68CE"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контратаки противника, продолжали наступление.</w:t>
      </w:r>
    </w:p>
    <w:p w14:paraId="6C3A6BB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части Н-ского соединения, преодолевая сопротивление и контратаки противника, продвигались вперёд и заняли ряд населённых пунктов. Уничтожено 1.300 гитлеровцев, 29 танков и 8 миномётных батарей противника. Захвачены 10 танков, крупный продовольственный склад и другие трофеи.</w:t>
      </w:r>
    </w:p>
    <w:p w14:paraId="184262BC"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бойцы Н-ского соединения, отражая яростные контратаки немцев, уничтожили батальон вражеской пехоты, 13 танков и 2 транспортёра. Группа артиллеристов из подразделения капитана Попова пробралась в расположение противника и захватила исправный танк типа «Тигр» вместе с его экипажем.</w:t>
      </w:r>
    </w:p>
    <w:p w14:paraId="45D27C7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Харькова наши войска переправились через водный рубеж и решительным штурмом заняли город Змиев. Развивая успех, советские бойцы овладели рядом опорных пунктов противника. В этих боях уничтожено до 1.200 немецких солдат и офицеров, 2 миномётные батареи и 28 пулемётов. Захвачены 2 танка, 14 миномётов, 8 пулемётов, 5 складов с боеприпасами и другие трофеи.</w:t>
      </w:r>
    </w:p>
    <w:p w14:paraId="36FDEDF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Гвардии лейтенант Ульянов огнём из противотанкового ружья уничтожил немецкий танк, а другой танк типа «Тигр» подорвал противотанковой гранатой. Бронебойщики Черников и Корниенко уничтожили 3 тяжёлых танка противника.</w:t>
      </w:r>
    </w:p>
    <w:p w14:paraId="469E3B66"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бойцы Н-ской части отразили контратаку противника. На поле боя остались сотни вражеских трупов. На другом участке советские подразделения продвинулись вперёд и заняли выгодные позиции. Истреблено до 1.000 немецких солдат и офицеров, уничтожено 10 танков, 6 орудий, 61 пулемет, 19 миномётов противника. Огнём зенитной артиллерии сбиты 9 самолётов противника.</w:t>
      </w:r>
    </w:p>
    <w:p w14:paraId="3F5993C4"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уничтожили 112 солдат и офицеров противника. Огнём артиллерийских и миномётных подразделений разрушено 28 немецких дзотов и 7 блиндажей, уничтожены 2 миномётные батареи, повреждён бронепоезд противника. Разведывательные группы Н-ской части истребили до взвода вражеских пехотинцев. Группа снайперов под командованием лейтенанта Пономарёва 25 суток пробыла в засаде и истребила 199 гитлеровцев. Старший сержант Александр Бутенко убил 22 немцев, ефрейтор Илья Никитин —-19, сержант Николай Рыбкин — 18, ефрейтор Виталий Смирнов — 16.</w:t>
      </w:r>
    </w:p>
    <w:p w14:paraId="6A86ACA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подразделение разведчиков и автоматчиков под командованием лейтенантов Дворникова и Чёрненького, преодолев водную преграду, высадилось на остров, где находился укреплённый опорный пункт противника. Наши бойцы внезапно атаковали гитлеровцев и в рукопашной схватке разгромили вражеский гарнизон. Уничтожено свыше ста солдат и офицеров противника. Наши бойцы захватили пушку, радиостанцию и другие трофеи. Взяты пленные.</w:t>
      </w:r>
    </w:p>
    <w:p w14:paraId="4B9981F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орловских партизан за последние дни пустил под откос 4 немецких воинских эшелона. В результате крушений разбиты 4 паровоза, 6 вагонов с боеприпасами и 25 вагонов с войсками. Разведчики установили, что гитлеровцы извлекли из-под обломков вагонов около 400 убитых и раненых солдат и офицеров. Партизаны этого же отряда проникли на полевой аэродром немцев и сожгли 2 самолёта, предварительно сняв с них 2 бортовых пулемёта, 1.500 патронов и 2 парашюта.</w:t>
      </w:r>
    </w:p>
    <w:p w14:paraId="5B1AD224"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Как уже сообщалось, наши войска после ожесточённых уличных боёв 16 августа очистили город Жиздру от немецко-фашистских захватчиков. К вечеру того же дня в город Жиздру начади стекаться жители города, скрывавшиеся в окрестных лесах. Их глазам предстала страшная картина разрушений и опустошений. Гитлеровские мерзавцы полностью разрушили советский город. До войны в Жиздре насчитывалось 15 тысяч жителей и 2 тысячи домов. Сейчас город обезлюдел и представляет собою груду развалин. Немцы сожгли все деревянные дома, а каменные здания взорвали. Варвары разорили и уничтожили школы, библиотеки, больницы, кино, разрушили и взорвали все водоёмы и колодцы. Немцы также разрушили церковь и городской собор. Многих жителей Жиздры и окрестных деревень фашистские работорговцы угнали на каторгу в Германию, а их имущество разграбили. Несмотря на угрозы и дикие насилия, части населения города удалось уклониться от поездки в Германию и скрыться в лесах.</w:t>
      </w:r>
    </w:p>
    <w:p w14:paraId="2EFC95E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состоялся митинг. Бойцы и офицеры, освободившие город, поклялись отомстить подлому врагу за все злодеяния, совершённые им на советской земле.»</w:t>
      </w:r>
    </w:p>
    <w:p w14:paraId="2B0EBAAC"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6F1C1B7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в 1943 году завершилась Орловская операция: советские войска ликвидировали орловский плацдарм противника и продвинулись к западу до 150 км, вышли к оборонительному рубежу противника "Хаген" на подступах к Брянску. За отличия в боях 13 частей и соединений получили почетные наименования.</w:t>
      </w:r>
    </w:p>
    <w:p w14:paraId="2456B345"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перешли в наступление и на реке Миус вклинились в оборону противника до 10 км (14987).</w:t>
      </w:r>
    </w:p>
    <w:p w14:paraId="2D282E77"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798B6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закончилась орловская операция и войска ЗФ и БФ вышли на режим Жиздра, Карачев, Дмитровск-Орловский (340,150).</w:t>
      </w:r>
    </w:p>
    <w:p w14:paraId="731E9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C19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по 20 августа 1943 при активной поддержке 2ВА ВФ отразил контрнаступление в районе Ахтырки (340,151). Немцы пытались подтянуть танковые и механизированные соединения из Донбасса. В действие ввели 8ВА ЮФ, а по мере продвижения резервов к линии фронта последовательно вступали 15ВА, 5Ва и 2ВА, которые уничтожали эшелоны на станциях Горловка, Славянск, Барвенково, Павлоград и автоколонны. Одновременно по узлам Полтава, Люботин, Красноармейское, Красноград, Мерефа действовали 4 и 5 ак АДД (340,152).</w:t>
      </w:r>
    </w:p>
    <w:p w14:paraId="1A812A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A726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B1404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F9D09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1943 г. ИЗ ПРИКАЗА НАРОДНОГО КОМИССАРА БОЕПРИПАСОВ СОЮЗА ССР № 415</w:t>
      </w:r>
    </w:p>
    <w:p w14:paraId="1FC3FD4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Приказываю:</w:t>
      </w:r>
    </w:p>
    <w:p w14:paraId="3CD8977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Утвердить прилагаемую при этом инструкцию о применении ареста в административном порядке, налагаемого, в соответствии с приказом НКБ от 21 июня 1943 года, на рабочих, инженерно-технических работников и служащих заводов НКБ, переведенных на военное положение, а также на работников главных управлений Наркомата боеприпасов, которым подведомственны эти заводы, и о порядке содержания арестованных на гауптвахте.</w:t>
      </w:r>
    </w:p>
    <w:p w14:paraId="5C38523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Начальникам заводов к 30 августа закончить организацию на заводах гауптвахты для содержания в ней арестованных.</w:t>
      </w:r>
    </w:p>
    <w:p w14:paraId="77B66CC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Начальнику управления делами НКБ т. Кутикову не позднее того же срока организовать при управлении делами гауптвахту для содержания арестованных работников главных управлений НКБ, которым подведомственны заводы, переведенные на военное положение.</w:t>
      </w:r>
    </w:p>
    <w:p w14:paraId="2C7810F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Возложить обязанности коменданта гауптвахты: на заводах - на начальников ведомственной охраны завода; в НКБ - на начальника охраны здания НКБ.</w:t>
      </w:r>
    </w:p>
    <w:p w14:paraId="152FCB8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комендантов гауптвахт обеспечить строгое выполнение установленного на гауптвахте режима содержания арестованных. Предупредить комендантов гауптвахт, что за несоблюдение установленного режима на гауптвахте они будут привлекаться к строгой ответственности вплоть до предания суду военного трибунала.</w:t>
      </w:r>
    </w:p>
    <w:p w14:paraId="65A057F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Установить, что лица, подвергнутые аресту в административном порядке без исполнения служебных обязанностей и без выплаты заработной платы, лишаются литерного и всякого рода дополнительного питания на время ареста.</w:t>
      </w:r>
    </w:p>
    <w:p w14:paraId="535C12C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Возложить на начальника управления охраны НКБ т. Ильина контроль за выполнением комендантами гауптвахт настоящего приказа.</w:t>
      </w:r>
    </w:p>
    <w:p w14:paraId="0E49009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боеприпасов Союза ССР Б. Ванников</w:t>
      </w:r>
    </w:p>
    <w:p w14:paraId="21A7447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к приказу НКБ СССР № 415 от 18 августа 1943 года</w:t>
      </w:r>
    </w:p>
    <w:p w14:paraId="28FB67B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Инструкция о порядке административного ареста и содержания на гауптвахтах рабочих, служащих и инженерно-технических работников заводов наркомата боеприпасов, переведенных на военное положение, и работников главных управлений наркомата боеприпасов, которым подведомственны эти заводы</w:t>
      </w:r>
    </w:p>
    <w:p w14:paraId="4FC7D94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Порядок ареста</w:t>
      </w:r>
    </w:p>
    <w:p w14:paraId="40E7A9A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Приведение в исполнение приказов начальника Главного управления Наркомата боеприпасов и начальника завода НКБ о наложении на подчиненных арестов в административном порядке с исполнением служебных обязанностей возлагается на предприятиях — на начальника ведомственной охраны завода, а в Наркомате боеприпасов — на начальника охраны здания НКБ.</w:t>
      </w:r>
    </w:p>
    <w:p w14:paraId="12632C6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Начальник Главного управления, начальник завода, наложивший арест, направляет арестованного на гауптвахту при записке об аресте за его подписью. Записка составляется по форме, согласно приложению № 1. Арестованный следует на гауптвахту без конвоира.</w:t>
      </w:r>
    </w:p>
    <w:p w14:paraId="01AA432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случае неявки арестованного на гауптвахту для отбытия ареста начальник охраны применяет принудительный его привод.</w:t>
      </w:r>
    </w:p>
    <w:p w14:paraId="7BDE242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Работники, отбывающие арест с исполнением служебных обязанностей, должны являться на гауптвахту по окончании работы; работники с ненормированным рабочим днем - по окончании работы, но не позднее 23 часов.</w:t>
      </w:r>
    </w:p>
    <w:p w14:paraId="141EAE5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Бели арестованный должен быть освобожден ранее назначенного срока, то начальник главка, начальник завода, наложивший арест, сообщает письменно об этом начальнику охраны, в ведении которого находится гауптвахта. Начальник охраны отдает приказание начальнику караула (наряда) об освобождении арестованного.</w:t>
      </w:r>
    </w:p>
    <w:p w14:paraId="7813E6E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 отбытии ареста начальник охраны выдает отбывшему арест работнику справку с указанием времени нахождения под арестом. С этой справкой сотрудник, отбывший арест, является к своему непосредственному начальнику.</w:t>
      </w:r>
    </w:p>
    <w:p w14:paraId="2E8DD9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О гауптвахтах</w:t>
      </w:r>
    </w:p>
    <w:p w14:paraId="12DCE19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Начальники ведомственной охраны заводов и начальник охраны здания НКБ, в непосредственном ведении которых находятся гауптвахты, выполняют в отношении их обязанности комендантов. Ответственным за соблюдение правил по содержанию арестованных на гауптвахтах является начальник караула (наряда).</w:t>
      </w:r>
    </w:p>
    <w:p w14:paraId="3EC6D6D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Гауптвахты, кроме караульного помещения, должны иметь необходимое число комнат: а) отдельно для офицерского и начальствующего состава; б) для рабочих и прочих категорий работников; в) для женщин (отдельно для офицерского и начальствующего состава). Помещения гауптвахт как по объему, так и по своему состоянию (санитарные и прочие условия) должны удовлетворять требованиям, установленным для жилых помещений, и находиться вне производственной территории завода. Уборка помещений гауптвахт производится арестованными, за исключением комнат для офицерского и начальствующего состава.</w:t>
      </w:r>
    </w:p>
    <w:p w14:paraId="6D2BC08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В помещении для арестованных должны находиться:</w:t>
      </w:r>
    </w:p>
    <w:p w14:paraId="4286DD0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каждого арестованного кровать (топчан с тюфяком),</w:t>
      </w:r>
    </w:p>
    <w:p w14:paraId="4AD94BE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всех арестованных в каждой комнате стол обеденный, бак с остуженной кипяченой водой, шкафчик для хранения посуды и продуктов, табуреты, вешалка и плевательница.</w:t>
      </w:r>
    </w:p>
    <w:p w14:paraId="0D419CE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Замки и ключи ко всем помещениям для арестованных должны быть одинаковыми, с двумя ключами для каждого замка.</w:t>
      </w:r>
    </w:p>
    <w:p w14:paraId="292D4EC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Прием арестованных на гауптвахты</w:t>
      </w:r>
    </w:p>
    <w:p w14:paraId="4A3390E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Каждый арестованный должен иметь смену чистого белья, кружку (стакан), ложку и принадлежности для умывания.</w:t>
      </w:r>
    </w:p>
    <w:p w14:paraId="374B477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Начальник караула (наряда) после проверки вещей направляет арестованного в заводскую поликлинику (медпункт) для медицинского освидетельствования. Об отсутствии препятствий к содержанию на гауптвахте врачом поликлиники (медпункта) выдается справка, остающаяся у начальника караула при записке об аресте.</w:t>
      </w:r>
    </w:p>
    <w:p w14:paraId="5E0052C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Находящиеся у арестованных оружие, ремень, подтяжки, ценные и другие неположенные вещи (см. п. 11) отбираются на хранение.</w:t>
      </w:r>
    </w:p>
    <w:p w14:paraId="4D7473E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Все сведения, заключающиеся в записке об аресте, вносятся начальником караула (наряда) в книгу арестованных.</w:t>
      </w:r>
    </w:p>
    <w:p w14:paraId="078E8BE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При смене караула новый начальник караула в присутствии сменяемого производит прием арестованных перекличкой по книге арестованных, с одновременным тщательным осмотром их одежды и находящихся при них вещей. Лица начальствующего состава от осмотра обмундирования и имеющихся при них вещей освобождаются.</w:t>
      </w:r>
    </w:p>
    <w:p w14:paraId="0299FED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Содержание арестованных</w:t>
      </w:r>
    </w:p>
    <w:p w14:paraId="68D2B42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Лица офицерского и начальствующего состава содержатся отдельно от остальных арестованных.</w:t>
      </w:r>
    </w:p>
    <w:p w14:paraId="7657316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Камеры, при наличии в них арестованных, содержатся запертыми. Ключи от комнат хранятся у начальника караула или его помощника.</w:t>
      </w:r>
    </w:p>
    <w:p w14:paraId="0A0E8A4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Арестованные должны ложиться спать в 23 часа и вставать в 5 часов. Арестованным с исполнением служебных обязанностей, несущим дежурство, разрешается спать не более шести часов в сутки с момента прихода на гауптвахту.</w:t>
      </w:r>
    </w:p>
    <w:p w14:paraId="6ADC254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Арестованные без исполнения служебных обязанностей используются на работах по указанию начальника Главного управления, начальника завода.</w:t>
      </w:r>
    </w:p>
    <w:p w14:paraId="1A8FF4C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20. Для умывания, а также для отправления естественных надобностей арестованные выводятся в сопровождении выводных.</w:t>
      </w:r>
    </w:p>
    <w:p w14:paraId="1FAF6A2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Арестованные ежедневно выводятся на прогулку продолжительностью в 50 минут. Прогулки организуются в одну или несколько очередей по указанию начальника гауптвахты. Лица офицерского и начальствующего состава выпускаются на прогулки отдельно от остальных арестованных. Арестованные выводятся на прогулки с сопровождающими из числа отдыхающей смены караула.</w:t>
      </w:r>
    </w:p>
    <w:p w14:paraId="2788933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Продовольствием арестованные удовлетворяются из заводской столовой по продовольственным карточкам арестованных и за их счет. Время принятия пищи арестованными указывается в инструкции коменданта — начальнику караула охраны.</w:t>
      </w:r>
    </w:p>
    <w:p w14:paraId="3D857E0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Арестованные, заявившие о своей болезни, осматриваются медицинским составом, обслуживающим гауптвахту, и получают медпомощь в тот же день, а в необходимых случаях безотлагательно. Нуждающиеся в стационарном лечении направляются в стационарные лечебные заведения.</w:t>
      </w:r>
    </w:p>
    <w:p w14:paraId="4540977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Медицинский осмотр арестованных производится в помещении гауптвахты не реже одного раза в неделю по назначению коменданта. Санитарная обработка арестованных и помещения гауптвахт производится не реже одного раза в неделю. Время санитарной обработки устанавливается комендантом гауптвахты. При отправлении в баню арестованные следуют с сопровождающим.</w:t>
      </w:r>
    </w:p>
    <w:p w14:paraId="5A00015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Посетители к арестованным не допускаются. Передача продуктов питания из дома производится через начальника караула охраны, после предварительного просмотра.</w:t>
      </w:r>
    </w:p>
    <w:p w14:paraId="4D40D85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Лица прокурорского надзора допускаются в помещение гауптвахты в любое время по служебным удостоверениям.</w:t>
      </w:r>
    </w:p>
    <w:p w14:paraId="4BB7C0F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Переписка с арестованными не допускается.</w:t>
      </w:r>
    </w:p>
    <w:p w14:paraId="6371C0C1"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Арестованным запрещается: шуметь, петь, играть на музыкальных инструментах, разговаривать через окна, читать, играть в карты и другие игры, а также лежать в неположенное время.</w:t>
      </w:r>
    </w:p>
    <w:p w14:paraId="1DFC98D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Принесение жалоб арестованными производится через начальника караула (12159).</w:t>
      </w:r>
    </w:p>
    <w:p w14:paraId="7E8012B8"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125B19E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BFD6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9B7C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августа в 1943 году на авиабазе в Мюрок состоялся первый вылет </w:t>
      </w:r>
      <w:hyperlink r:id="rId66" w:tgtFrame="_blank" w:history="1">
        <w:r w:rsidRPr="00271E51">
          <w:rPr>
            <w:rFonts w:ascii="Times New Roman" w:hAnsi="Times New Roman"/>
            <w:color w:val="000000" w:themeColor="text1"/>
            <w:sz w:val="16"/>
            <w:szCs w:val="16"/>
          </w:rPr>
          <w:t xml:space="preserve">«YP-59A» </w:t>
        </w:r>
      </w:hyperlink>
      <w:r w:rsidRPr="00271E51">
        <w:rPr>
          <w:rFonts w:ascii="Times New Roman" w:hAnsi="Times New Roman"/>
          <w:color w:val="000000" w:themeColor="text1"/>
          <w:sz w:val="16"/>
          <w:szCs w:val="16"/>
        </w:rPr>
        <w:t>(это был «YP-59А» под номером "2"). Машины отличались от прототипов новым фонарем со сдвижным назад остеклением. Вместо двигателей «I-А» с тягой 590 кгс на опытные «YP-59A» должны были ставить более мощную модификацию «I-16» (впоследствии имевшую обозначение «J31») с тягой 748 кгс. Командование ВВС потребовало, чтобы на первых девяти «YP-59A» осталось вооружение из двух пушек М4 калибра 37 мм, а последние четыре машины получили бы уже четыре ствола - одну пушку калибра 37 мм и три 12,7-мм пулемета.К сожалению, новые двигатели не успели поставить в срок - самолет летал с менее мощными «1-А». Поэтому данные реактивного истребителя оказались не очень высокими. «YP-59A» разгонялся на высоте 10717 метров до 626 км/час, а на уровне земли максимальная скорость составляла 563 км/час. Небольшой оказалась и скороподъемность - на набор 30000 футов (9145 м) самолет тратил почти 19 минут. Когда наконец установили двигатели «1-16», скорость выросла незначительно, достигнув 658 км/час на высоте 10675 метров (14987).</w:t>
      </w:r>
    </w:p>
    <w:p w14:paraId="454B6E36"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79CFD432"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в 1943 году первый полет вертолета конструкции И.И.Сикорского «S-48» (США) (14987).</w:t>
      </w:r>
    </w:p>
    <w:p w14:paraId="350C866A"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3C8D5AEA"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августа в 1943 году все 45 «B-25D» прошедших переделку в конце 1942 - начале 1943 года, получили обозначение </w:t>
      </w:r>
      <w:hyperlink r:id="rId67" w:tgtFrame="_blank" w:history="1">
        <w:r w:rsidRPr="00271E51">
          <w:rPr>
            <w:rFonts w:ascii="Times New Roman" w:hAnsi="Times New Roman"/>
            <w:color w:val="000000" w:themeColor="text1"/>
            <w:sz w:val="16"/>
            <w:szCs w:val="16"/>
          </w:rPr>
          <w:t xml:space="preserve">«F-10». </w:t>
        </w:r>
      </w:hyperlink>
      <w:r w:rsidRPr="00271E51">
        <w:rPr>
          <w:rFonts w:ascii="Times New Roman" w:hAnsi="Times New Roman"/>
          <w:color w:val="000000" w:themeColor="text1"/>
          <w:sz w:val="16"/>
          <w:szCs w:val="16"/>
        </w:rPr>
        <w:t>Фоторазведку осуществляли с помощью самолетов: «P-38/F-4» и «F-5», «A-20/F-3», «P-51/F-6», «B-17/F-9», «B-24/F-7», «В-25/F-10» и «B-29/F-13» (14987).</w:t>
      </w:r>
    </w:p>
    <w:p w14:paraId="15E584A6"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211E8C4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18 на 19 августа 1943 г. английские бомбардировщики нанесли массированный удар по центру Пенемюнде. Хорошая немецкая маскировка уберегла основные производственные и испытательные мощности. Разрушенными оказались только кислородный завод и жилой городок. В жилом городке и погиб гений немецкого ракетного двигателестроения В. Тиль. Без него идея создания ЖРД тягой 200 т для немцев превратилась в техническую авантюру. Интересно, что именно после его смерти немцы стали идти к увеличению дальности полета ракет не на базе увеличения мощности ракетных двигателей, а путем создания крылатых баллистических ракет (11686).</w:t>
      </w:r>
    </w:p>
    <w:p w14:paraId="2BF84D9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FC4A25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августа в 1943 году англо-американская авиация сбросила почти две тысячи тон бомб на немецкий экспериментальный центр ракетного вооружения в Пенемюнде (14987).</w:t>
      </w:r>
    </w:p>
    <w:p w14:paraId="6594EEAC"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1D951B1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C3E37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E5D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С.В.И. писал А.И.Ш. письмо N 1/900с:</w:t>
      </w:r>
    </w:p>
    <w:p w14:paraId="01049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Вашего приказа N 305 от 21 мая с.г. нами были изготовлены чертежи для выпуска самолетов Ил-2 в облегченном варианте и с улучшенной аэродинамикой.</w:t>
      </w:r>
    </w:p>
    <w:p w14:paraId="271FA5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 2 этого приказа чертежи нами сданы заводу 1 по:</w:t>
      </w:r>
    </w:p>
    <w:p w14:paraId="040A9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позиции а - 25 мая (срок в приказе - 25 мая).</w:t>
      </w:r>
    </w:p>
    <w:p w14:paraId="256775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позиции б - 3 июня (срок в приказе 5 июня).</w:t>
      </w:r>
    </w:p>
    <w:p w14:paraId="0D203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позиции в - 19 июня (срок в приказе 20 июня).</w:t>
      </w:r>
    </w:p>
    <w:p w14:paraId="28F7E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своевременное выполнение работы по самолету Ил-2 п. 7 этого же приказа, предусматривалось поощрение работников КБ.</w:t>
      </w:r>
    </w:p>
    <w:p w14:paraId="48ACB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связанная с переделками самолета Ил-2, нами выполнена в срок и досрочно.</w:t>
      </w:r>
    </w:p>
    <w:p w14:paraId="25AE0C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о выделении в мое распоряжение части денег по Вашему усмотрению, для поощрения работников КБ за выполненную работу (1775,258).</w:t>
      </w:r>
    </w:p>
    <w:p w14:paraId="21220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1E8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ГИ завода 39 Петров направил А.И.Ш. телефонограмму:</w:t>
      </w:r>
    </w:p>
    <w:p w14:paraId="59E267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19 августа 1943 на машине Ил-6 устранялись дефекты по техосмотру, а также производилась подготовка для испытания на вибрацию крыла и фюзеляжа. В ночь с 19 на 20 августа 1943 будем проводить испытания (1768,248).</w:t>
      </w:r>
    </w:p>
    <w:p w14:paraId="5DB2E9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24E77"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4A909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DB0DB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августа по 5 сентября 1943 проходили фронтовые испытания двух Т-43 в составе “особой танковой роты № 100”. Участвовали в нескольких огневых контактах. Экипаж ил.л Мажорова уничтожил 3 ПТО и 2 БТР. Получили от 1 до 11 попаданий. Командир роты Волосатов дал положительный отзыв, отметив недостаточность 76 мм пушки. В сентябре на один поставили 85мм Д-5Т. Тем не менее, выпуск остановили и подготовку к серии на заводе № 183 (хотели с конца августа) - прекратили (7637,33)..</w:t>
      </w:r>
    </w:p>
    <w:p w14:paraId="55A9CF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Поднят флаг ВМФ СССР на девятом БМО (10671).</w:t>
      </w:r>
    </w:p>
    <w:p w14:paraId="6E9090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C7B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согласно докладу командира «особой танковой роты № 100», рота была отправлена на фронт, а вернулась в распоряжение НКТП 5 сен</w:t>
      </w:r>
      <w:r w:rsidRPr="00271E51">
        <w:rPr>
          <w:rFonts w:ascii="Times New Roman" w:hAnsi="Times New Roman"/>
          <w:color w:val="000000" w:themeColor="text1"/>
          <w:sz w:val="16"/>
          <w:szCs w:val="16"/>
        </w:rPr>
        <w:softHyphen/>
        <w:t>тября. На фронте рота активностью не отличалась и нахо</w:t>
      </w:r>
      <w:r w:rsidRPr="00271E51">
        <w:rPr>
          <w:rFonts w:ascii="Times New Roman" w:hAnsi="Times New Roman"/>
          <w:color w:val="000000" w:themeColor="text1"/>
          <w:sz w:val="16"/>
          <w:szCs w:val="16"/>
        </w:rPr>
        <w:softHyphen/>
        <w:t>дилась большей частью в резерве Центрального фронта. Но, несмотря на тесную опеку, роте все-таки довелось участвовать в нескольких боевых столкновениях с немец</w:t>
      </w:r>
      <w:r w:rsidRPr="00271E51">
        <w:rPr>
          <w:rFonts w:ascii="Times New Roman" w:hAnsi="Times New Roman"/>
          <w:color w:val="000000" w:themeColor="text1"/>
          <w:sz w:val="16"/>
          <w:szCs w:val="16"/>
        </w:rPr>
        <w:softHyphen/>
        <w:t>кими войсками. Так, экипаж Т-43 младшего лейтенанта Мажорова был награжден орденами и медалями (они унич</w:t>
      </w:r>
      <w:r w:rsidRPr="00271E51">
        <w:rPr>
          <w:rFonts w:ascii="Times New Roman" w:hAnsi="Times New Roman"/>
          <w:color w:val="000000" w:themeColor="text1"/>
          <w:sz w:val="16"/>
          <w:szCs w:val="16"/>
        </w:rPr>
        <w:softHyphen/>
        <w:t>тожили три немецких противотанковых орудия и 2 БТР или БА). От ответного огня немецких войск почти все тан</w:t>
      </w:r>
      <w:r w:rsidRPr="00271E51">
        <w:rPr>
          <w:rFonts w:ascii="Times New Roman" w:hAnsi="Times New Roman"/>
          <w:color w:val="000000" w:themeColor="text1"/>
          <w:sz w:val="16"/>
          <w:szCs w:val="16"/>
        </w:rPr>
        <w:softHyphen/>
        <w:t>ки роты получили от 1 до 11 (!) попаданий, но броня их кор</w:t>
      </w:r>
      <w:r w:rsidRPr="00271E51">
        <w:rPr>
          <w:rFonts w:ascii="Times New Roman" w:hAnsi="Times New Roman"/>
          <w:color w:val="000000" w:themeColor="text1"/>
          <w:sz w:val="16"/>
          <w:szCs w:val="16"/>
        </w:rPr>
        <w:softHyphen/>
        <w:t>пусов пробита не была. По возвращении роты ее командир, капитан Волосатое, дал танкам Т-43, танкам-истребителям Т-34/57 и командирскому танку самый благожелательный отзыв, отметив лишь вооружение танков Т-43 76-мм пуш</w:t>
      </w:r>
      <w:r w:rsidRPr="00271E51">
        <w:rPr>
          <w:rFonts w:ascii="Times New Roman" w:hAnsi="Times New Roman"/>
          <w:color w:val="000000" w:themeColor="text1"/>
          <w:sz w:val="16"/>
          <w:szCs w:val="16"/>
        </w:rPr>
        <w:softHyphen/>
        <w:t>кой недостаточным (11135).</w:t>
      </w:r>
    </w:p>
    <w:p w14:paraId="68F607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38F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Распоряжение ГКО № 3951. О поставке горючего из госрезерва для сельскохозяйственных работ.РГАНИР, Фонд ГКО, д. 146, лл. 90, 91-94 (11012).</w:t>
      </w:r>
    </w:p>
    <w:p w14:paraId="6F31BD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88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Распоряжение ГКО № 3952. Об освобождении наркоматов-поставщиков от поставок Главлесоспирту лабораторного оборудования, реактивов, пищевых концентратов и материалов.РГАНИР, Фонд ГКО, д. 146, лл. 95, 96 (11012).</w:t>
      </w:r>
    </w:p>
    <w:p w14:paraId="2D5BA9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4A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19 августа 1943 вышло Распоряжение ГКО № 3953. О поставках цемента для оборонительных сооружений ЗакФ и Черноморского побережья.РГАНИР, Фонд ГКО, д. 146, лл. 97 (11012).</w:t>
      </w:r>
    </w:p>
    <w:p w14:paraId="6B504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F06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3954 Об учреждении дополнительных переходящих Красных знамен для победителей в социалистическом соревновании среди нефтеперерабатывающих заводов Наркомнефти.РГАНИР, Фонд ГКО, д. 146, лл. 98 (11012).</w:t>
      </w:r>
    </w:p>
    <w:p w14:paraId="01383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40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Распоряжение ГКО № 3955. О распространении должностных окладов, установленных постановлением № 2774 от20 января 1943 г. для работников электростанций Наркомхоза РСФСР, на руководящих и инженерно-технических работников электростанций НКлеса СССР.РГАНИР, Фонд ГКО, д. 146, лл. 99 (11012).</w:t>
      </w:r>
    </w:p>
    <w:p w14:paraId="120D75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9576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Распоряжение ГКО № 3956 О комплектации зарядными агрегатами, аккумуляторами и аккумуляторными фонарями звукометрических станций отдельных разведывательных артиллерийских дивизионов и разведывательных батарей. (7134, 104).</w:t>
      </w:r>
    </w:p>
    <w:p w14:paraId="4949E7A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99D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Распоряжение ГКО № 3957. Об освобождении НКХП от строительства второй очереди завода № 506 и цехов хлора, каустика и тролита-10 на заводе № 97, о перенесении окончания реконструкции ТЭЦ завода № 97 на 1944 г.РГАНИР, Фонд ГКО, д. 146, лл. 105 (11012).</w:t>
      </w:r>
    </w:p>
    <w:p w14:paraId="2A302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925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3958 О гарантийных и испытательных пробегах танковРГАНИР, Фонд ГКО, д. 146, лл. 106 (11012).</w:t>
      </w:r>
    </w:p>
    <w:p w14:paraId="299B3D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AB8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3959 Об укреплении ведомственной военизированной охраны на предприятиях Азнефтекомбината Наркомнефти.РГАНИР, Фонд ГКО, д. 146, лл. 107-107об (11012).</w:t>
      </w:r>
    </w:p>
    <w:p w14:paraId="21A4A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B39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3960 О передаче НКУП из лагерей и колоний НКВД 11 тыс. окруженцев и осужденных на срок до 2 лет с последующим освобождением, мобилизации 7 тыс. труд- и спецпереселенцев, о мобилизации 7 тыс. немцев и немок.РГАНИР, Фонд ГКО, д. 146, лл. 108-109, 110 (11012).</w:t>
      </w:r>
    </w:p>
    <w:p w14:paraId="406809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F7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3961 О строительстве импортных нефтеперерабатывающих заводов.РГАНИР, Фонд ГКО, д. 146, лл. 111-118, 119-145 (11012).</w:t>
      </w:r>
    </w:p>
    <w:p w14:paraId="07108835"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Красноводске, №441 в Гурьеве и №443 в Куй­бышеве.Основным поставщиком стала американская фирма «Баджер» (Е.В. Badger and Sons Co). Поставки оборудования от фирмы «Баджер» шли через Советскую закупочную комиссию в США.Через фирму «Баджер» оборудова­ние в СССР поставляли и другие американские компании: Gibbs-HLU, Ingersall-Rnd, Buffalo Lasoline Motor, General Electric и др.Основой нефтеперерабатывающих заводов в Гурьеве и Орске должны бы­ли стать установки каталитического крекинга «Гудри», а заводов в Куйбы­шеве и Красноводске — солярового крекинга «Винклер-Кох» и атмосферно-вакуумные трубчатки.Наиболее современными из них бы­ли установки «Гудри».Первая заводская установка системы «Гудри» была построена в США в 1936 г., а в 1941 г. было уже 14 таких ус­тановок. Периодический процесс «Гудри» был усовершенствован в непрерыв­ный, получивший название «термофорная система». Начиная с 1942 г. и до июня 1944 г.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эксплу­атацию установка каталитического кре­кинга системы «Флюид» (с подвижным катализатором). До июня 1943 г. в США было введено в эксплуатацию 26 уста­новок этого типа. Себестоимость одной установки «Флюид» в США составляла около 6 млн долл.Так что на момент начала строитель­ства «Гудри» были технологией семи­летней, а на момент окончания — деся­тилетней давности.Финансирование разработки новых технологий в значительной мере взяло на себя правительство США. Руководитель администрации по делам нефти г-н. Икес признал, что «с началом вой­ны и до конца 1944 г. капиталовложе­ния в производство стооктанового бензина составили 760 млн долл. Из этой суммы частные компании вложили 550 млн долл. и государство — 210 млн долл».Первоначально планировалось пустить в эксплуатацию завод №443 в Куйбышеве к 1 декабря 1944 г. (11475).</w:t>
      </w:r>
    </w:p>
    <w:p w14:paraId="20460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83081"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вышло Постановление ГКО № 3961 О строительстве импортных нефтеперерабатывающих заводов.РГАНИР, Фонд ГКО, д. 146, лл. 111-118, 119-145 (11012).</w:t>
      </w:r>
    </w:p>
    <w:p w14:paraId="61598812"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Красноводске, №441 в Гурьеве и №443 в Куйбышеве.Основным поставщиком стала американская фирма «Баджер» (Е.В. Badger and Sons Co). Поставки оборудования от фирмы «Баджер» шли через Советскую закупочную комиссию в США.Через фирму «Баджер» оборудование в СССР поставляли и другие американские компании: Gibbs-HLU, Ingersall-Rnd, Buffalo Lasoline Motor, General Electric и др.Основой нефтеперерабатывающих заводов в Гурьеве и Орске должны были стать установки каталитического крекинга «Гудри», а заводов в Куйбышеве и Красноводске — солярового крекинга «Винклер-Кох» и атмосферно-вакуумные трубчатки.Наиболее современными из них были установки «Гудри».Первая заводская установка системы «Гудри» была построена в США в 1936 г., а в 1941 г. было уже 14 таких установок. Периодический процесс «Гудри» был усовершенствован в непрерывный, получивший название «термофорная система». Начиная с 1942 г. и до июня 1944 г.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эксплуатацию установка каталитического крекинга системы «Флюид» (с подвижным катализатором). До июня 1943 г. в США было введено в эксплуатацию 26 установок этого типа. Себестоимость одной установки «Флюид» в США составляла около 6 млн долл.Так что на момент начала строительства «Гудри» были технологией семилетней, а на момент окончания — десятилетней давности.Финансирование разработки новых технологий в значительной мере взяло на себя правительство США. Руководитель администрации по делам нефти г-н. Икес признал, что «с началом войны и до конца 1944 г. капиталовложения в производство стооктанового бензина составили 760 млн долл. Из этой суммы частные компании вложили 550 млн долл. и государство — 210 млн долл».Первоначально планировалось пустить в эксплуатацию завод №443 в Куйбышеве к 1 декабря 1944 г. (18394).</w:t>
      </w:r>
    </w:p>
    <w:p w14:paraId="42C6181E" w14:textId="77777777" w:rsidR="00E85ED5" w:rsidRPr="00271E51" w:rsidRDefault="00E85ED5" w:rsidP="00271E51">
      <w:pPr>
        <w:spacing w:after="0" w:line="240" w:lineRule="auto"/>
        <w:jc w:val="both"/>
        <w:rPr>
          <w:rFonts w:ascii="Times New Roman" w:hAnsi="Times New Roman"/>
          <w:color w:val="000000" w:themeColor="text1"/>
          <w:sz w:val="16"/>
          <w:szCs w:val="16"/>
        </w:rPr>
      </w:pPr>
    </w:p>
    <w:p w14:paraId="4498213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г. Постановлением ГКО к январю 1945 г. следовало построить и ввести в действие завод №228 в Орске. Уложиться в эти сроки не удалось (11475).</w:t>
      </w:r>
    </w:p>
    <w:p w14:paraId="1B3F57E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81B3A3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9523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F192E"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в 1943 году оперативная сводка Совинформбюро:</w:t>
      </w:r>
    </w:p>
    <w:p w14:paraId="1FC5BF79"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августа наши войска на Брянском направлении продолжали наступление и заняли свыше 20 населенных пунктов.</w:t>
      </w:r>
    </w:p>
    <w:p w14:paraId="004F3C8F"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контратаки противника, продолжали наступление и, продвинувшись на отдельных участках от 5 до 12 километров, заняли свыше 30 населённых пунктов.</w:t>
      </w:r>
    </w:p>
    <w:p w14:paraId="7AD2E4E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 и артиллерийско-миномётную перестрелку с противником.</w:t>
      </w:r>
    </w:p>
    <w:p w14:paraId="07A38F05"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августа наши войска на всех фронтах подбили и уничтожили 89 немецких танков. В воздушных боях и огнём зенитной артиллерии сбито 95 самолётов противника.</w:t>
      </w:r>
    </w:p>
    <w:p w14:paraId="28B2574F"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Бойцы Н-ского соединения, преодолевая упорное сопротивление немцев, заняли 10 населённых пунктов и уничтожили до 600 вражеских солдат и офицеров. На другом участке наши войска выбили противника из укреплённых позиций и овладели рядом опорных пунктов немцев. На поле боя осталось много вражеских трупов. Уничтожены 2 артиллерийских и 3 миномётных батареи, 19 пулемётов и 14 автомашин. Захвачены трофеи и пленные.</w:t>
      </w:r>
    </w:p>
    <w:p w14:paraId="5CCC36C8"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Дмитровск-Орловский Н-ская часть переправилась через водный рубеж, в ожесточённом бою овладела узлом сопротивления противника и уничтожила свыше 200 немецких солдат и офицеров.</w:t>
      </w:r>
    </w:p>
    <w:p w14:paraId="215E82A1"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отражая контратаки противника, продолжали наступление.</w:t>
      </w:r>
    </w:p>
    <w:p w14:paraId="41C62A83"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части Н-ского соединения успешно продвигались вперёд и заняли ряд населённых пунктов. Противник предпринял несколько контратак, но был отброшен с большими для него потерями. В этих боях уничтожено до 1.500 немецких солдат и офицеров, подбито и сожжено 30 вражеских танков. Захвачены большие трофеи, в том числе 12 танков.</w:t>
      </w:r>
    </w:p>
    <w:p w14:paraId="6A59BD20"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Западнее Харькова на одном участке наши стрелковые подразделения отразили контратаку танков и автоматчиков противника. Советские бойцы гранатами и огнём из противотанковых ружей уничтожили 11 немецких танков и свыше 100 гитлеровцев. На другом участке 10 вражеских танков и бронемашина ворвались в населённый пункт, только что занятый Н-ской частью. Артиллерийская батарея под командованием тов. Шевцова встретила немцев метким огнём, уничтожила 6 танков и одну бронемашину противника. Вражеская контратака захлебнулась. Группа автоматчиков, руководимая старшим лейтенантом Солодовниковым, ночью незаметно подобралась к немецким танкам, готовившимся к атаке. Гранатами автоматчики подожгли 3 вражеских танка. Среди немецких танкистов началась паника. Советские бойцы очередями из автоматов истребили гитлеровцев и захватили 9 исправных танков. Юго-восточнее Харькова наши войска, овладев городом Змиев, продолжали продвигаться вперёд и заняли несколько населённых пунктов. Уничтожено до 800 гитлеровцев. На одном участке немцы предприняли контратаку, но, потеряв 2 танка и 2 самоходных орудия типа «Фердинанд», были вынуждены отступить.</w:t>
      </w:r>
    </w:p>
    <w:p w14:paraId="0FB97727"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части Н-ского соединения отразили несколько контратак противника и, продвинувшись вперёд, улучшили свои позиции. Уничтожено 700 немецких солдат и офицеров, 7 орудий, 15 пулемётов и 9 миномётов. На одном участке артиллеристы взвода противотанковых орудий огнём с открытых позиций подбили 2 немецких танка и истребили 30 немецких автоматчиков.</w:t>
      </w:r>
    </w:p>
    <w:p w14:paraId="591CD6AD"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истребили 118 гитлеровцев. Огнём артиллерии и миномётов разрушено 17 немецких дзотов и 14 блиндажей, уничтожено 2 танка, 11 орудий, 13 миномётных батарей, 25 пулемётов и 3 склада боеприпасов противника. На одном участке группа разведчиков под командованием старшины Полутина проникла в расположение белофиннов и в рукопашной схватке истребила 10 вражеских солдат. Разведчики уничтожили 2 пулемёта, взорвали 2 дзота и землянку, захватили трофеи и благополучно вернулись в свою часть.</w:t>
      </w:r>
    </w:p>
    <w:p w14:paraId="42649DF0"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снайперы Н-ской части за пять дней истребили 119 немецких солдат и офицеров. Снайпер Шатерников убил 18 гитлеровцев, снайперы Нерюсан, Штраун, Юнакиев уничтожили по 8 гитлеровцев каждый.</w:t>
      </w:r>
    </w:p>
    <w:p w14:paraId="290BDA07"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Станиславской области, разгромил немецкий гарнизон, расположенный в крупном населённом пункте. Убито 125 гитлеровцев, в том числе 3 офицера. Кроме того, партизаны взорвали 3 железнодорожных и 4 шоссейных моста, уничтожили колонну немецких автомашин с боеприпасами и разрушили 3 километра телефонно-телеграфной линии связи.</w:t>
      </w:r>
    </w:p>
    <w:p w14:paraId="46B81037"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Молдавские партизаны за последние дни подорвали 6 грузовых автомашин, взорвали 2 шоссейных моста и уничтожили 74 немца и румына.</w:t>
      </w:r>
    </w:p>
    <w:p w14:paraId="1E52E75F"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начальник штаба 3 миномётного дивизиона 4 немецкой танковой армии капитан Иоахим Шнейдер рассказал:</w:t>
      </w:r>
    </w:p>
    <w:p w14:paraId="6D82F5BC"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июля у офицеров штаба 4 танковой армии, с которыми я общался, было приподнятое настроение. Офицеры знали о готовящемся летнем наступлении немецкой армии и верили в его успех. Мы считали, что в короткий срок удастся окружить и уничтожить русские войска, находившиеся в районе Курской дуги. Четвёртого июля, когда был получен приказ Гитлера, офицеры между собою говорили: «Скоро расплатимся с русскими за Сталинград». Однако первые же дни немецкого наступления принесли нам горькое разочарование. Немецкое оружие дало осечку в решительный момент. После «июльского несчастья», как у нас теперь называют неудачное июльское наступление, произошёл переворот во взглядах и настроениях многих офицеров. Ещё недавно мы были уверены, что летом немецкая армия будет господином положения на поле боя, но всё обернулось по-иному. Мощное летнее контрнаступление русских войск произвело гнетущее впечатление в офицерских кругах. По всеобщему мнению, Германия потеряла последние шансы на выигрыш и быстрыми шагами приближается к катастрофе».</w:t>
      </w:r>
    </w:p>
    <w:p w14:paraId="541A1F69"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в июле опустошили и уничтожили ряд деревень Логойского района, Минской области. Гитлеровские палачи замучили и зверски убили 625 мирных советских граждан. Свыше двух тысяч человек немецкие рабовладельцы угнали в Германию на каторгу. Варвары сожгли 414 домов, 405 хозяйственных построек и дочиста ограбили крестьян.» (14988).</w:t>
      </w:r>
    </w:p>
    <w:p w14:paraId="0933F190"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28C6E2CD" w14:textId="77777777" w:rsidR="0032121B" w:rsidRPr="00271E51" w:rsidRDefault="0032121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в 1943 году войска Воронежского фронта освободили Лебедин (14988).</w:t>
      </w:r>
    </w:p>
    <w:p w14:paraId="70F7A2DE" w14:textId="77777777" w:rsidR="0032121B" w:rsidRPr="00271E51" w:rsidRDefault="0032121B" w:rsidP="00271E51">
      <w:pPr>
        <w:spacing w:after="0" w:line="240" w:lineRule="auto"/>
        <w:jc w:val="both"/>
        <w:rPr>
          <w:rFonts w:ascii="Times New Roman" w:hAnsi="Times New Roman"/>
          <w:color w:val="000000" w:themeColor="text1"/>
          <w:sz w:val="16"/>
          <w:szCs w:val="16"/>
        </w:rPr>
      </w:pPr>
    </w:p>
    <w:p w14:paraId="1E0B0CB2" w14:textId="77777777" w:rsidR="00785FD4" w:rsidRPr="00271E51" w:rsidRDefault="00785FD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августа 1943 пять Ил</w:t>
      </w:r>
      <w:r w:rsidRPr="00271E51">
        <w:rPr>
          <w:rFonts w:ascii="Times New Roman" w:hAnsi="Times New Roman"/>
          <w:color w:val="0070C0"/>
          <w:sz w:val="16"/>
          <w:szCs w:val="16"/>
        </w:rPr>
        <w:noBreakHyphen/>
        <w:t>2 из 7</w:t>
      </w:r>
      <w:r w:rsidRPr="00271E51">
        <w:rPr>
          <w:rFonts w:ascii="Times New Roman" w:hAnsi="Times New Roman"/>
          <w:color w:val="0070C0"/>
          <w:sz w:val="16"/>
          <w:szCs w:val="16"/>
        </w:rPr>
        <w:noBreakHyphen/>
        <w:t>го гв. пшап в сопровождении 11 «Харрикейнов» в очередной раз вылетели на поиск кораблей противника в Финском заливе. В 5.05 вблизи острова Большой Тютерс пилоты «горбатых» увидели два транспорта, шедшие под охраной пяти сторожевых кораблей. Зная, что наибольшие потери от зенитного огня штурмовики обычно несли при выходе из атаки, ведущий на сей раз решил применить тактическую «новинку». Он повел пятерку в обход, чтобы ударить по транспортам с севера и выйти из атаки на восток, в направлении на солнце.</w:t>
      </w:r>
    </w:p>
    <w:p w14:paraId="28F2CBA7" w14:textId="77777777" w:rsidR="00785FD4" w:rsidRPr="00271E51" w:rsidRDefault="00785FD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Это был опрометчивый и необдуманный, если не сказать глупый, шаг. На выходе в атаку пилоты И лов оказались сами ослеплены яркими солнечными лучами и не смогли точно прицелиться. В результате все сброшенные бомбы и выпущенные «эрэсы» легли мимо цели. При этом огонь корабельных зениток, несмотря на примененную атакующими «тактическую хитрость», оказался организованным и сосредоточенным, и один Ил</w:t>
      </w:r>
      <w:r w:rsidRPr="00271E51">
        <w:rPr>
          <w:rFonts w:ascii="Times New Roman" w:hAnsi="Times New Roman"/>
          <w:color w:val="0070C0"/>
          <w:sz w:val="16"/>
          <w:szCs w:val="16"/>
        </w:rPr>
        <w:noBreakHyphen/>
        <w:t>2 был сбит (23199).</w:t>
      </w:r>
    </w:p>
    <w:p w14:paraId="057B87FC" w14:textId="77777777" w:rsidR="00785FD4" w:rsidRPr="00271E51" w:rsidRDefault="00785FD4" w:rsidP="00271E51">
      <w:pPr>
        <w:spacing w:after="0" w:line="240" w:lineRule="auto"/>
        <w:jc w:val="both"/>
        <w:rPr>
          <w:rFonts w:ascii="Times New Roman" w:hAnsi="Times New Roman"/>
          <w:color w:val="0070C0"/>
          <w:sz w:val="16"/>
          <w:szCs w:val="16"/>
        </w:rPr>
      </w:pPr>
    </w:p>
    <w:p w14:paraId="67301B0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покончил с собой начальник штаба немецкого Люфтваффе генерал Ганс Йешоннек, оставив записку с просьбой не допускать на его похороны Геринга (4962).</w:t>
      </w:r>
    </w:p>
    <w:p w14:paraId="3B89C97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029F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застрелился Нач. Штаба ВВС г-п Ешоннек - не видел возможности предотвратить поражение (2785,34).</w:t>
      </w:r>
    </w:p>
    <w:p w14:paraId="6FB22B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3C4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19-20 августа 1943 в районе Лебедина массированным ударом с воздуха уничтожили наш штаб корпуса (2785,34).</w:t>
      </w:r>
    </w:p>
    <w:p w14:paraId="215D48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6E3A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D4888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E53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года</w:t>
      </w:r>
    </w:p>
    <w:p w14:paraId="7F031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СТРОГО СЕКРЕТНОЕ И ЛИЧНОЕ ПОСЛАНИЕ ОТ ПРЕЗИДЕНТА РУЗВЕЛЬТА И ПРЕМЬЕР-МИНИСТРА г-на УИНСТОНА ЧЕРЧИЛЛЯ МАРШАЛУ И. В. СТАЛИНУ</w:t>
      </w:r>
    </w:p>
    <w:p w14:paraId="34DE24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августа Британский Посол в Мадриде сообщил, что от Бадольо прибыл генерал Кастельяно</w:t>
      </w:r>
      <w:r w:rsidRPr="00271E51">
        <w:rPr>
          <w:rFonts w:ascii="Times New Roman" w:hAnsi="Times New Roman"/>
          <w:color w:val="000000" w:themeColor="text1"/>
          <w:sz w:val="16"/>
          <w:szCs w:val="16"/>
          <w:vertAlign w:val="superscript"/>
        </w:rPr>
        <w:t>31</w:t>
      </w:r>
      <w:r w:rsidRPr="00271E51">
        <w:rPr>
          <w:rFonts w:ascii="Times New Roman" w:hAnsi="Times New Roman"/>
          <w:color w:val="000000" w:themeColor="text1"/>
          <w:sz w:val="16"/>
          <w:szCs w:val="16"/>
        </w:rPr>
        <w:t xml:space="preserve"> с рекомендательным письмом от Британского Посланника в Ватикане. Генерал заявил, что он уполномочен Бадольо сообщить, что Италия готова безоговорочно капитулировать при условии, что она сможет присоединиться к союзникам. Впоследствии британский представитель в Ватикане получил от маршала Бадольо письменное заявление о том, что он должным образом уполномочил генерала Кастельяно. Таким образом, это как будто является твердым предложением.</w:t>
      </w:r>
    </w:p>
    <w:p w14:paraId="493BE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не намерены вступать в какую-либо сделку с правительством Бадольо для того, чтобы побудить Италию перейти на другую сторону; однако следствием этого было бы получение ряда преимуществ, и это значительно ускорило бы ход кампании. Мы начнем наше вторжение на материк Италии, вероятно, до конца этого месяца, а неделю спустя мы предпримем наше развернутое наступление “Аваланш”</w:t>
      </w:r>
      <w:r w:rsidRPr="00271E51">
        <w:rPr>
          <w:rFonts w:ascii="Times New Roman" w:hAnsi="Times New Roman"/>
          <w:color w:val="000000" w:themeColor="text1"/>
          <w:sz w:val="16"/>
          <w:szCs w:val="16"/>
          <w:vertAlign w:val="superscript"/>
        </w:rPr>
        <w:t>32</w:t>
      </w:r>
      <w:r w:rsidRPr="00271E51">
        <w:rPr>
          <w:rFonts w:ascii="Times New Roman" w:hAnsi="Times New Roman"/>
          <w:color w:val="000000" w:themeColor="text1"/>
          <w:sz w:val="16"/>
          <w:szCs w:val="16"/>
        </w:rPr>
        <w:t>. Весьма вероятно, что правительство Бадольо не продержится так долго. Немцы располагают вне Рима одной или более бронетанковыми дивизиями, и, как только они догадаются о том, что правительство Бадольо обманывает их, они будут вполне в состоянии свергнуть его и создать квислинговское правительство из фашистских элементов во главе, например, с Фариначчи. Или же Бадольо может потерпеть крах, и вся Италия погрузится в состояние хаоса.</w:t>
      </w:r>
    </w:p>
    <w:p w14:paraId="19A011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такую обстановку, Начальники Объединенного Штаба подготовили, а Президент и Премьер-Министр одобрили в качестве меры военной дипломатии следующие инструкции, которые были посланы генералу Эйзенхауэру в качестве руководства к действию:</w:t>
      </w:r>
    </w:p>
    <w:p w14:paraId="2CC3EC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одобрения Президента и Премьер-Министра Начальники Объединенного Штаба приказывают Вам немедленно командировать в Лиссабон двух штабных офицеров: одного американского и одного британского. По прибытии туда они должны обратиться к Британскому Послу. Они должны иметь при себе согласованные условия перемирия, которые уже были Вам посланы. Британский Посол в Лиссабоне, действуя по имеющимся у него инструкциям, организует встречу с генералом Кастельяно. Ваши штабные офицеры будут присутствовать при этой встрече.</w:t>
      </w:r>
    </w:p>
    <w:p w14:paraId="73462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этой встрече генералу Кастельяно будет сделано сообщение на основе нижеследующего:</w:t>
      </w:r>
    </w:p>
    <w:p w14:paraId="65B2A4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 xml:space="preserve">1. (а) Безоговорочная капитуляция Италии принимается на условиях, указанных в документе, который должен быть ему передан. (Ему должны быть затем вручены условия перемирия для Италии, уже согласованные и ранее Вам посланные. Ему должно быть сообщено, что эти условия не включают политических, экономических или финансовых условий, которые будут переданы позже другими путями.) </w:t>
      </w:r>
      <w:r w:rsidRPr="00271E51">
        <w:rPr>
          <w:rFonts w:ascii="Times New Roman" w:hAnsi="Times New Roman"/>
          <w:color w:val="000000" w:themeColor="text1"/>
          <w:sz w:val="16"/>
          <w:szCs w:val="16"/>
          <w:vertAlign w:val="superscript"/>
        </w:rPr>
        <w:t>33</w:t>
      </w:r>
    </w:p>
    <w:p w14:paraId="115DF2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 Эти условия не предусматривают активной помощи Италии в борьбе с немцами. Степень, в которой условия будут изменены в пользу Италии, будет зависеть от того, насколько Итальянское Правительство и народ действительно помогут Объединенным Нациям против Германии в течение остающегося периода войны. Однако Объединенные Нации заявляют без оговорок, что где бы итальянские войска или итальянцы ни боролись с немцами, где бы они ни разрушали германскую собственность, ни затрудняли бы передвижение немцев, они получат всю возможную поддержку войск Объединенных Наций. Тем временем при условии, что информация о противнике будет предоставляться немедленно и регулярно, осуществляемые союзниками бомбардировки по возможности будут направлены на объекты, имеющие значение для передвижения и операций германских войск.</w:t>
      </w:r>
    </w:p>
    <w:p w14:paraId="5C1BF3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(c) Военные действия между Объединенными Нациями и Италией будут прекращены в день и час, которые должны быть сообщены генералом Эйзенхауэром.</w:t>
      </w:r>
    </w:p>
    <w:p w14:paraId="3752BB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Генерал Эйзенхауэр должен сделать это сообщение за несколько часов до того, как войска союзников крупными силами высадятся в Италии.).</w:t>
      </w:r>
    </w:p>
    <w:p w14:paraId="7BE0A9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 Итальянское Правительство должно взять на себя обязательство провозгласить перемирие немедленно после того, как оно будет объявлено генералом Эйзенхауэром, и приказать своим войскам и народу с этого часа сотрудничать с союзниками и оказывать сопротивление немцам.</w:t>
      </w:r>
    </w:p>
    <w:p w14:paraId="74CA60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(Примечание. Как видно из вышеприведенного п. 2 (с) </w:t>
      </w:r>
      <w:r w:rsidRPr="00271E51">
        <w:rPr>
          <w:rFonts w:ascii="Times New Roman" w:hAnsi="Times New Roman"/>
          <w:color w:val="000000" w:themeColor="text1"/>
          <w:sz w:val="16"/>
          <w:szCs w:val="16"/>
          <w:vertAlign w:val="superscript"/>
        </w:rPr>
        <w:t>34</w:t>
      </w:r>
      <w:r w:rsidRPr="00271E51">
        <w:rPr>
          <w:rFonts w:ascii="Times New Roman" w:hAnsi="Times New Roman"/>
          <w:color w:val="000000" w:themeColor="text1"/>
          <w:sz w:val="16"/>
          <w:szCs w:val="16"/>
        </w:rPr>
        <w:t>, Итальянскому Правительству будет дан срок несколько часов.).</w:t>
      </w:r>
    </w:p>
    <w:p w14:paraId="12F292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(e) Итальянское Правительство должно в момент объявления перемирия отдать распоряжение о том, чтобы все военнопленные Объединенных Наций, которые подвергаются опасности быть захваченными немцами, были немедленно освобождены.</w:t>
      </w:r>
    </w:p>
    <w:p w14:paraId="7EEE8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(f) Итальянское Правительство должно в момент объявления перемирия отдать распоряжение о том, чтобы итальянский военный флот и возможно большее количество торговых судов вышли в море для следования в порты союзников. Как можно большее число военных самолетов должно вылететь на базы союзников. Все суда или самолеты, подвергающиеся опасности захвата, должны быть уничтожены.</w:t>
      </w:r>
    </w:p>
    <w:p w14:paraId="20B2E3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Генералу Кастельяно должно быть сообщено, что между тем Бадольо может сделать многое таким образом, чтобы немцам не было известно о том, что подготавливается. Определение точного характера и объема его действий должно быть предоставлено на его усмотрение. Но ему следует посоветовать придерживаться следующей общей линии:</w:t>
      </w:r>
    </w:p>
    <w:p w14:paraId="09C822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(a) Всеобщее пассивное сопротивление по всей стране, если распоряжение об этом может быть передано местным властям так, что оно не станет известно немцам.</w:t>
      </w:r>
    </w:p>
    <w:p w14:paraId="5DD0FA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 Мелкие диверсионные акты по всей стране, в частности на коммуникациях и аэродромах, используемых немцами.</w:t>
      </w:r>
    </w:p>
    <w:p w14:paraId="3520AC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Охрана союзных военнопленных. Если немцы прибегнут к весьма сильному давлению с целью добиться их выдачи, то они должны быть освобождены.</w:t>
      </w:r>
    </w:p>
    <w:p w14:paraId="418A7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(d)Hи одно итальянское военное судно не должно попасть в руки немцев. Должны быть приняты меры, обеспечивающие возможность отплытия всех этих судов в названные генералом Эйзенхауэром порты немедленно после того, как он отдаст об этом распоряжение. Итальянские подводные лодки не должны быть отозваны с патрульных операций, так как это открыло бы противнику наши совместные намерения.</w:t>
      </w:r>
    </w:p>
    <w:p w14:paraId="78115E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(e) Ни одно торговое судно не должно попасть в руки немцев. Торговые суда, находящиеся в северных портах, должны по возможности быть отправлены в порты, расположенные к югу от линии Венеция — Ливорно. В крайнем случае они должны быть потоплены. Все суда должны быть готовы к отплытию в порты, названные генералом Эйзенхауэром.</w:t>
      </w:r>
    </w:p>
    <w:p w14:paraId="4D5AD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(f) Немцам не должно быть разрешено взять в свои руки береговую оборону Италии.</w:t>
      </w:r>
    </w:p>
    <w:p w14:paraId="322609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(g)B соответствующий момент должны быть приведены в исполнение инструкции итальянским войскам на Балканах о том, чтобы они следовали к побережью для отправки их Объединенными Нациями в Италию.</w:t>
      </w:r>
    </w:p>
    <w:p w14:paraId="78429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Представители генерала Эйзенхауэра совместно с генералом Кастельяно должны организовать надежный канал связи между генералом Эйзенхауэром и итальянским штабом”. (Этим заканчивается послание генералу Эйзенхауэру).</w:t>
      </w:r>
    </w:p>
    <w:p w14:paraId="2CA7A1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Переходя к другому вопросу, сообщаем, что в соответствии с решениями, принятыми в “Трайденте” </w:t>
      </w:r>
      <w:r w:rsidRPr="00271E51">
        <w:rPr>
          <w:rFonts w:ascii="Times New Roman" w:hAnsi="Times New Roman"/>
          <w:color w:val="000000" w:themeColor="text1"/>
          <w:sz w:val="16"/>
          <w:szCs w:val="16"/>
          <w:vertAlign w:val="superscript"/>
        </w:rPr>
        <w:t>35</w:t>
      </w:r>
      <w:r w:rsidRPr="00271E51">
        <w:rPr>
          <w:rFonts w:ascii="Times New Roman" w:hAnsi="Times New Roman"/>
          <w:color w:val="000000" w:themeColor="text1"/>
          <w:sz w:val="16"/>
          <w:szCs w:val="16"/>
        </w:rPr>
        <w:t xml:space="preserve">, Правительство Его Величества вступило в переговоры с Португалией для того, чтобы получить от нее в “спасательном поясе” </w:t>
      </w:r>
      <w:r w:rsidRPr="00271E51">
        <w:rPr>
          <w:rFonts w:ascii="Times New Roman" w:hAnsi="Times New Roman"/>
          <w:color w:val="000000" w:themeColor="text1"/>
          <w:sz w:val="16"/>
          <w:szCs w:val="16"/>
          <w:vertAlign w:val="superscript"/>
        </w:rPr>
        <w:t>36</w:t>
      </w:r>
      <w:r w:rsidRPr="00271E51">
        <w:rPr>
          <w:rFonts w:ascii="Times New Roman" w:hAnsi="Times New Roman"/>
          <w:color w:val="000000" w:themeColor="text1"/>
          <w:sz w:val="16"/>
          <w:szCs w:val="16"/>
        </w:rPr>
        <w:t xml:space="preserve"> возможности для проведения военно-морских и военно-воздушных операций. В связи с этим Посол Его Величества в Лиссабоне сослался на англо-португальский союзный договор, который действует непрерывно в течение 600 лет, и пригласил Португалию предоставить указанные возможности. Доктор Салазар, конечно, был охвачен страхом перед германскими бомбардировками, которые немцы могли бы предпринять из мести, а также страхом перед возможными враждебными действиями испанцев. Поэтому мы выделили для него зенитную артиллерию и истребительную авиацию, которые сейчас находятся в пути, а также сообщили доктору Салазару, что в случае, если Испания нападет на Португалию, мы немедленно объявим Испании войну и окажем такую помощь, какая будет в наших силах. Мы, однако, не заключили какой-либо конкретной военной конвенции, предусматривающей предоставление каких-либо войск, так как мы не верим в вероятность ни того, ни другого. Доктор Салазар теперь согласился на использование в начале октября англичанами в сотрудничестве с португальцами “спасательного пояса”. Как только мы укрепимся там, а доктор Салазар освободится от своих опасений, мы будем настаивать на распространении этих возможностей на суда и самолеты Соединенных Штатов.</w:t>
      </w:r>
    </w:p>
    <w:p w14:paraId="35FC2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Обладание “спасательным поясом” имеет большое значение для ведения морской войны. Подводные лодки покинули Северную Атлантику, где конвои курсируют с середины мая без потерь, и сконцентрировались на южном маршруте. Использование “спасательного пояса” будет крайне полезно для нападения на них с воздуха. Кроме того, имеется возможность переброски тяжелых бомбардировщиков Соединенных Штатов в Европу и Африку, что весьма желательно. Все вышеизложенное носит особо строго секретный оперативный характер (7430).</w:t>
      </w:r>
    </w:p>
    <w:p w14:paraId="25C9B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B4C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1943 года</w:t>
      </w:r>
    </w:p>
    <w:p w14:paraId="54C3B6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МАРШАЛА СТАЛИНА ОТ ПРЕЗИДЕНТА РУЗВЕЛЬТА И ПРЕМЬЕР-МИНИСТРА ЧЕРЧИЛЛЯ</w:t>
      </w:r>
    </w:p>
    <w:p w14:paraId="73389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Г-н Черчилль и я находимся здесь (Квебек) в сопровождении наших сотрудников и будем совещаться, возможно, в течение десяти дней. Мы снова желаем обратить Ваше внимание на важность встречи всех нас троих. В то же время мы полностью понимаем те веские причины, которые заставляют Вас находиться вблизи боевых фронтов, фронтов, где Ваше личное присутствие столь содействовало победам.</w:t>
      </w:r>
    </w:p>
    <w:p w14:paraId="5D4345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нашему мнению, ни Астрахань, ни Архангельск не подходят. Однако мы вполне готовы отправиться с соответствующими офицерами в Фербенкс на Аляске. Там совместно с Вами мы сможем подвергнуть изучению всю обстановку в целом.</w:t>
      </w:r>
    </w:p>
    <w:p w14:paraId="78C78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Сейчас мы переживаем решающий момент войны, период, представляющий единственную в своем роде возможность для встречи. Мы оба, г-н Черчилль и я, искренне надеемся, что Вы еще раз рассмотрите эту возможность.</w:t>
      </w:r>
    </w:p>
    <w:p w14:paraId="1A35C0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мы не сможем прийти к соглашению по поводу этой очень важной встречи между тремя главами наших правительств, Черчилль и я согласны с Вами в том, что в ближайшем будущем мы должны устроить встречу представителей, ведающих иностранными делами. Принятие окончательных решений должно, конечно, быть предоставлено нашим соответственным правительствам таким образом, чтобы подобная встреча носила бы исследовательский характер.</w:t>
      </w:r>
    </w:p>
    <w:p w14:paraId="1B2CE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38 дней генерал Эйзенхауэр и генерал Александер завершили завоевание Сицилии.</w:t>
      </w:r>
    </w:p>
    <w:p w14:paraId="2481F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защитников со стороны держав оси достигало в общей сложности 405000 человек: 315000 итальянцев и 90000 немцев. Мы наступали 13 американскими и британскими дивизиями, потеряв примерно 18000 убитыми и ранеными. Войска держав оси потеряли 30 000 убитыми и ранеными: 23000 немцев и 7000 итальянцев, которые были подобраны и подсчитаны. Захвачено 130000 пленных.</w:t>
      </w:r>
    </w:p>
    <w:p w14:paraId="289C6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Итальянские войска в Сицилии были ликвидированы, за исключением небольшой части их, бежавшей в сельские местности в гражданской одежде. Захвачено огромное количество трофеев: пушек, самолетов и всякого рода вооружения, разбросанного повсюду, включая более чем 1000 самолетов, захваченных на различных аэродромах.</w:t>
      </w:r>
    </w:p>
    <w:p w14:paraId="133AAA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Вам уже ранее сообщалось, мы скоро предпримем мощное наступление на итальянский континент.</w:t>
      </w:r>
    </w:p>
    <w:p w14:paraId="4CA45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ЧЕРЧИЛЛЬ РУЗВЕЛЬТ (7430).</w:t>
      </w:r>
    </w:p>
    <w:p w14:paraId="589A8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AE4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19-20 августа 1943 г. представители союзников встретились с Кастельяно в Лиссабоне. Там ему было заявлено, что вопрос об итальянском участии в войне против Германии будет решаться потом; сейчас надо договариваться о военной капитуляции (3871).</w:t>
      </w:r>
    </w:p>
    <w:p w14:paraId="05F44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C6A92" w14:textId="77777777" w:rsidR="00EE04E8"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8111D56" w14:textId="77777777" w:rsidR="00EE04E8" w:rsidRPr="00271E51" w:rsidRDefault="00EE04E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9F2BDB"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в 1943 году США и Великобритания подписали секретное соглашение о сотрудничестве в создании атомной бомбы. США обязались возобновить обмен информацией по этому вопросу с англичанами. США и Великобритания также обязались не использовать атомное оружие друг против друга и лишь с обоюдного согласия применять его против третьих стран (14988).</w:t>
      </w:r>
    </w:p>
    <w:p w14:paraId="7C625290" w14:textId="77777777" w:rsidR="00EE04E8" w:rsidRPr="00271E51" w:rsidRDefault="00EE04E8" w:rsidP="00271E51">
      <w:pPr>
        <w:spacing w:after="0" w:line="240" w:lineRule="auto"/>
        <w:jc w:val="both"/>
        <w:rPr>
          <w:rFonts w:ascii="Times New Roman" w:hAnsi="Times New Roman"/>
          <w:color w:val="000000" w:themeColor="text1"/>
          <w:sz w:val="16"/>
          <w:szCs w:val="16"/>
        </w:rPr>
      </w:pPr>
    </w:p>
    <w:p w14:paraId="63064EA1"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в 1943 году погиб под бомбами американских бомбардировщиков последний из построенных итальянских самолетов «Savoia-Marchetti» «SM.74» «Millepiedi» (борт 604-9). В последний раз он поднимался в воздух 7 января, сделав рейс из Кастель Бенито в Рим (14988).</w:t>
      </w:r>
    </w:p>
    <w:p w14:paraId="04035B1F" w14:textId="77777777" w:rsidR="00EE04E8" w:rsidRPr="00271E51" w:rsidRDefault="00EE04E8" w:rsidP="00271E51">
      <w:pPr>
        <w:spacing w:after="0" w:line="240" w:lineRule="auto"/>
        <w:jc w:val="both"/>
        <w:rPr>
          <w:rFonts w:ascii="Times New Roman" w:hAnsi="Times New Roman"/>
          <w:color w:val="000000" w:themeColor="text1"/>
          <w:sz w:val="16"/>
          <w:szCs w:val="16"/>
        </w:rPr>
      </w:pPr>
    </w:p>
    <w:p w14:paraId="0FCB6591"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августа в 1943 году самоубийство начальника генерального штаба военно-воздушных сил Германии генерал-полковника Ешоннека из-за чрезмерных требований, предъявляемых к авиации, и неправильного командования ею, осуществляемого Герингом. Йешоннек оставил записку с просьбой не допускать на его похороны Геринга (14988).</w:t>
      </w:r>
    </w:p>
    <w:p w14:paraId="09043316" w14:textId="77777777" w:rsidR="00EE04E8" w:rsidRPr="00271E51" w:rsidRDefault="00EE04E8" w:rsidP="00271E51">
      <w:pPr>
        <w:spacing w:after="0" w:line="240" w:lineRule="auto"/>
        <w:jc w:val="both"/>
        <w:rPr>
          <w:rFonts w:ascii="Times New Roman" w:hAnsi="Times New Roman"/>
          <w:color w:val="000000" w:themeColor="text1"/>
          <w:sz w:val="16"/>
          <w:szCs w:val="16"/>
        </w:rPr>
      </w:pPr>
    </w:p>
    <w:p w14:paraId="01C3585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августа 1943 генерал-полковник Ханс Йешоннек, начальник генерального штаба люфтваффе, покончил жизнь самоубийством.</w:t>
      </w:r>
    </w:p>
    <w:p w14:paraId="3E2151FB" w14:textId="77777777" w:rsidR="001F2A41" w:rsidRPr="00271E51" w:rsidRDefault="001F2A41" w:rsidP="00271E51">
      <w:pPr>
        <w:spacing w:after="0" w:line="240" w:lineRule="auto"/>
        <w:jc w:val="both"/>
        <w:rPr>
          <w:rFonts w:ascii="Times New Roman" w:hAnsi="Times New Roman"/>
          <w:color w:val="0070C0"/>
          <w:sz w:val="16"/>
          <w:szCs w:val="16"/>
        </w:rPr>
      </w:pPr>
    </w:p>
    <w:p w14:paraId="01288A7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B53D4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08A5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Нач. 10 ГУ Тарасевич писал А.И.Ш. письмо N 1739:</w:t>
      </w:r>
    </w:p>
    <w:p w14:paraId="28BA4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 по вопросу производства бронекорпусов Ил-2 на заводе 183:</w:t>
      </w:r>
    </w:p>
    <w:p w14:paraId="0C8A3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Письмом за подписью зам. наркома Кузнецова от 16 августа 1943 N Н-38/3280 на имя зам. наркома танковой промышленности Попова и директора завода 183 Максарева сообщено о прекращении на заводе 183 производства бронекорпусов для самолета Ил-2 с обязательным сохранением всей оснастки и инструмента по этому производству (1768,249).</w:t>
      </w:r>
    </w:p>
    <w:p w14:paraId="2C94E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F8946" w14:textId="77777777" w:rsidR="003C3F8A" w:rsidRPr="00271E51" w:rsidRDefault="003C3F8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августа в 1943 году приказом Наркома авиапромышленности № 507, во исполнение Постановления ГКО, С.В.Ильюшину было дано задание к 5 октября 1943 года, построить и предъявить на испытания самолет </w:t>
      </w:r>
      <w:hyperlink r:id="rId68" w:tgtFrame="_blank" w:history="1">
        <w:r w:rsidRPr="00271E51">
          <w:rPr>
            <w:rFonts w:ascii="Times New Roman" w:hAnsi="Times New Roman"/>
            <w:color w:val="000000" w:themeColor="text1"/>
            <w:sz w:val="16"/>
            <w:szCs w:val="16"/>
          </w:rPr>
          <w:t xml:space="preserve">«Ил-2», </w:t>
        </w:r>
      </w:hyperlink>
      <w:r w:rsidRPr="00271E51">
        <w:rPr>
          <w:rFonts w:ascii="Times New Roman" w:hAnsi="Times New Roman"/>
          <w:color w:val="000000" w:themeColor="text1"/>
          <w:sz w:val="16"/>
          <w:szCs w:val="16"/>
        </w:rPr>
        <w:t xml:space="preserve">вооруженный двумя пушками калибра 45 мм конструкции ОКБ-16 (в серии НС-45), а НИИ ВВС КА обязывалось до 20 ноября провести государственные испытания нового штурмовика. Это решение обуславливалось тем, что разрушающее действие используемого в НС-45 штатного фугасно-осколочного снаряда (масса 1065 гр.) от 45-мм противотанковой пушки было вдвое выше, чем у снаряда к пушке «НС-37». Последнее требовалось для гарантированного поражения тяжелых немецких танков. Полигонные испытания </w:t>
      </w:r>
      <w:hyperlink r:id="rId69" w:tgtFrame="_blank" w:history="1">
        <w:r w:rsidRPr="00271E51">
          <w:rPr>
            <w:rFonts w:ascii="Times New Roman" w:hAnsi="Times New Roman"/>
            <w:color w:val="000000" w:themeColor="text1"/>
            <w:sz w:val="16"/>
            <w:szCs w:val="16"/>
          </w:rPr>
          <w:t xml:space="preserve">«Ил-2» с «НС-45» </w:t>
        </w:r>
      </w:hyperlink>
      <w:r w:rsidRPr="00271E51">
        <w:rPr>
          <w:rFonts w:ascii="Times New Roman" w:hAnsi="Times New Roman"/>
          <w:color w:val="000000" w:themeColor="text1"/>
          <w:sz w:val="16"/>
          <w:szCs w:val="16"/>
        </w:rPr>
        <w:t>показали неудовлетворительную эффективность стрельбы из них в воздухе по малоразмерным целям. В результате было принято решение машину в серию не запускать (14989).</w:t>
      </w:r>
    </w:p>
    <w:p w14:paraId="6B722D50" w14:textId="77777777" w:rsidR="003C3F8A" w:rsidRPr="00271E51" w:rsidRDefault="003C3F8A" w:rsidP="00271E51">
      <w:pPr>
        <w:spacing w:after="0" w:line="240" w:lineRule="auto"/>
        <w:jc w:val="both"/>
        <w:rPr>
          <w:rFonts w:ascii="Times New Roman" w:hAnsi="Times New Roman"/>
          <w:color w:val="000000" w:themeColor="text1"/>
          <w:sz w:val="16"/>
          <w:szCs w:val="16"/>
        </w:rPr>
      </w:pPr>
    </w:p>
    <w:p w14:paraId="164147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в ЛИИ НКАП закончились испытания серийного самолета Ил-2 зав. № 307004 производст</w:t>
      </w:r>
      <w:r w:rsidRPr="00271E51">
        <w:rPr>
          <w:rFonts w:ascii="Times New Roman" w:hAnsi="Times New Roman"/>
          <w:color w:val="000000" w:themeColor="text1"/>
          <w:sz w:val="16"/>
          <w:szCs w:val="16"/>
        </w:rPr>
        <w:softHyphen/>
        <w:t>ва завода № 30, оснащенный четырехлопастным винтом АВ-9л-158 диаметром 3,6 м (зав. № 92005). Винт был выпущен 1 июля заводом № 35, которые проходили с 10 августа 1943.</w:t>
      </w:r>
    </w:p>
    <w:p w14:paraId="615B3A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по максимальной скорости горизонтального полета самолет почти не отличается от серийных машин с вин</w:t>
      </w:r>
      <w:r w:rsidRPr="00271E51">
        <w:rPr>
          <w:rFonts w:ascii="Times New Roman" w:hAnsi="Times New Roman"/>
          <w:color w:val="000000" w:themeColor="text1"/>
          <w:sz w:val="16"/>
          <w:szCs w:val="16"/>
        </w:rPr>
        <w:softHyphen/>
        <w:t>том АВ-5л-158, но скороподъемность и взлетные характери</w:t>
      </w:r>
      <w:r w:rsidRPr="00271E51">
        <w:rPr>
          <w:rFonts w:ascii="Times New Roman" w:hAnsi="Times New Roman"/>
          <w:color w:val="000000" w:themeColor="text1"/>
          <w:sz w:val="16"/>
          <w:szCs w:val="16"/>
        </w:rPr>
        <w:softHyphen/>
        <w:t>стики заметно улучшились. Длина разбега сократилась на 7,1%, а скороподъемность увеличилась на 8%.</w:t>
      </w:r>
    </w:p>
    <w:p w14:paraId="03D12C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механизм управления винтом работал неудовлетво</w:t>
      </w:r>
      <w:r w:rsidRPr="00271E51">
        <w:rPr>
          <w:rFonts w:ascii="Times New Roman" w:hAnsi="Times New Roman"/>
          <w:color w:val="000000" w:themeColor="text1"/>
          <w:sz w:val="16"/>
          <w:szCs w:val="16"/>
        </w:rPr>
        <w:softHyphen/>
        <w:t>рительно — при даче газа наблюдался заброс оборотов винта до 2500—2700 об/мин. Поэтому самолет вернули на завод для доводки и устранения дефектов.</w:t>
      </w:r>
    </w:p>
    <w:p w14:paraId="0A92B2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повторные летные испытания винт поступил лишь че</w:t>
      </w:r>
      <w:r w:rsidRPr="00271E51">
        <w:rPr>
          <w:rFonts w:ascii="Times New Roman" w:hAnsi="Times New Roman"/>
          <w:color w:val="000000" w:themeColor="text1"/>
          <w:sz w:val="16"/>
          <w:szCs w:val="16"/>
        </w:rPr>
        <w:softHyphen/>
        <w:t>рез год. Начальник ЛИИ профессор А.В. Чесалов 11 сентября 1944 г. утвердил Акт по испытаниям самолета Ил-2 АМ-38ф (зав. № 308004) с доработанным винтом АВ-9л-158. Ведущим инженером по испытаниям был К.И. Вайман, а ведущим лет</w:t>
      </w:r>
      <w:r w:rsidRPr="00271E51">
        <w:rPr>
          <w:rFonts w:ascii="Times New Roman" w:hAnsi="Times New Roman"/>
          <w:color w:val="000000" w:themeColor="text1"/>
          <w:sz w:val="16"/>
          <w:szCs w:val="16"/>
        </w:rPr>
        <w:softHyphen/>
        <w:t>чиком-испытателем А.И. Емельянов. Завод-изготовитель вин</w:t>
      </w:r>
      <w:r w:rsidRPr="00271E51">
        <w:rPr>
          <w:rFonts w:ascii="Times New Roman" w:hAnsi="Times New Roman"/>
          <w:color w:val="000000" w:themeColor="text1"/>
          <w:sz w:val="16"/>
          <w:szCs w:val="16"/>
        </w:rPr>
        <w:softHyphen/>
        <w:t>та № 35 представлял инженер Н.М. Перелыгин.</w:t>
      </w:r>
    </w:p>
    <w:p w14:paraId="38D9AD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по скороподъемности и взлетным свойствам оказались даже лучше на 0,5%, чем в предыдущий раз. Серьез</w:t>
      </w:r>
      <w:r w:rsidRPr="00271E51">
        <w:rPr>
          <w:rFonts w:ascii="Times New Roman" w:hAnsi="Times New Roman"/>
          <w:color w:val="000000" w:themeColor="text1"/>
          <w:sz w:val="16"/>
          <w:szCs w:val="16"/>
        </w:rPr>
        <w:softHyphen/>
        <w:t>ных дефектов и конструктивных недостатков обнаружено не было. В итоге рекомендовалось изготовить небольшую серию таких винтов для проведения войсковых испытаний.</w:t>
      </w:r>
    </w:p>
    <w:p w14:paraId="11ECBF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1944 г. в ЛИИ НКАП на этом же самолете и той же самой бригадой были проведены летные испытания меха</w:t>
      </w:r>
      <w:r w:rsidRPr="00271E51">
        <w:rPr>
          <w:rFonts w:ascii="Times New Roman" w:hAnsi="Times New Roman"/>
          <w:color w:val="000000" w:themeColor="text1"/>
          <w:sz w:val="16"/>
          <w:szCs w:val="16"/>
        </w:rPr>
        <w:softHyphen/>
        <w:t>низма втулки флюгерного винта АВ-7л-158 диаметром 3,6 м с опытным регулятором Р-7М. Отчет по результатам испытаний был утвержден начальником ЛИИ генерал-майором профессо</w:t>
      </w:r>
      <w:r w:rsidRPr="00271E51">
        <w:rPr>
          <w:rFonts w:ascii="Times New Roman" w:hAnsi="Times New Roman"/>
          <w:color w:val="000000" w:themeColor="text1"/>
          <w:sz w:val="16"/>
          <w:szCs w:val="16"/>
        </w:rPr>
        <w:softHyphen/>
        <w:t>ром А.В. Чесаловым 4 ноября.</w:t>
      </w:r>
    </w:p>
    <w:p w14:paraId="427E56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винта позволяла переводить лопасти винта во флюгерное положение и обратно как при работающем, так и при остановленном моторе. Управление поворотом лопасти электрогидравлическое.</w:t>
      </w:r>
    </w:p>
    <w:p w14:paraId="03BBD1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Втулка винта АВ-7л-158 представляла собой модификацию серийной втулки АВ-5 и отличалась от нее поводковой муфтой и цилиндровой группой, которая состояла из цилиндра порш</w:t>
      </w:r>
      <w:r w:rsidRPr="00271E51">
        <w:rPr>
          <w:rFonts w:ascii="Times New Roman" w:hAnsi="Times New Roman"/>
          <w:color w:val="000000" w:themeColor="text1"/>
          <w:sz w:val="16"/>
          <w:szCs w:val="16"/>
        </w:rPr>
        <w:softHyphen/>
        <w:t>ня рабочего диапазона, поршня флюгера, неподвижного поршня и золотникового механизма. На большой угол лопасти винта устанавливались силой давления масла, а на малый — за , счет момента центробежных сил лопастей.</w:t>
      </w:r>
    </w:p>
    <w:p w14:paraId="5758C3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что механизм ввода винта во флю</w:t>
      </w:r>
      <w:r w:rsidRPr="00271E51">
        <w:rPr>
          <w:rFonts w:ascii="Times New Roman" w:hAnsi="Times New Roman"/>
          <w:color w:val="000000" w:themeColor="text1"/>
          <w:sz w:val="16"/>
          <w:szCs w:val="16"/>
        </w:rPr>
        <w:softHyphen/>
        <w:t>герное положение и вывод из него на земле и в полете на всех режимах маневрирования («горки», виражи, боевые разворо</w:t>
      </w:r>
      <w:r w:rsidRPr="00271E51">
        <w:rPr>
          <w:rFonts w:ascii="Times New Roman" w:hAnsi="Times New Roman"/>
          <w:color w:val="000000" w:themeColor="text1"/>
          <w:sz w:val="16"/>
          <w:szCs w:val="16"/>
        </w:rPr>
        <w:softHyphen/>
        <w:t>ты, пикирования с полным газом и с убранным газом) в целом работал нормально — заданные равновесные обороты поддер</w:t>
      </w:r>
      <w:r w:rsidRPr="00271E51">
        <w:rPr>
          <w:rFonts w:ascii="Times New Roman" w:hAnsi="Times New Roman"/>
          <w:color w:val="000000" w:themeColor="text1"/>
          <w:sz w:val="16"/>
          <w:szCs w:val="16"/>
        </w:rPr>
        <w:softHyphen/>
        <w:t>живались устойчиво. Время ввода во флюгер составляло 13—15 с, а вывода — 12—14 с. Вместе с тем отмечались и не</w:t>
      </w:r>
      <w:r w:rsidRPr="00271E51">
        <w:rPr>
          <w:rFonts w:ascii="Times New Roman" w:hAnsi="Times New Roman"/>
          <w:color w:val="000000" w:themeColor="text1"/>
          <w:sz w:val="16"/>
          <w:szCs w:val="16"/>
        </w:rPr>
        <w:softHyphen/>
        <w:t>достатки. В частности, реле давления РД-61 не всегда обеспе</w:t>
      </w:r>
      <w:r w:rsidRPr="00271E51">
        <w:rPr>
          <w:rFonts w:ascii="Times New Roman" w:hAnsi="Times New Roman"/>
          <w:color w:val="000000" w:themeColor="text1"/>
          <w:sz w:val="16"/>
          <w:szCs w:val="16"/>
        </w:rPr>
        <w:softHyphen/>
        <w:t>чивало ввод винта во флюгерное положение.</w:t>
      </w:r>
    </w:p>
    <w:p w14:paraId="034DE1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указывалось, что винт прошел летные испытания удовлетворительно. Механизм втулки флюгерного винта может быть использован при проектировании флюгер</w:t>
      </w:r>
      <w:r w:rsidRPr="00271E51">
        <w:rPr>
          <w:rFonts w:ascii="Times New Roman" w:hAnsi="Times New Roman"/>
          <w:color w:val="000000" w:themeColor="text1"/>
          <w:sz w:val="16"/>
          <w:szCs w:val="16"/>
        </w:rPr>
        <w:softHyphen/>
        <w:t>ных винтов для многомоторных самолетов с моторами АМ-38ф, АМ-39 и АМ-42, имеющими двухканальный подвод масла к винту.</w:t>
      </w:r>
    </w:p>
    <w:p w14:paraId="5DC808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Главному конструктору винта К.И. Жданову рекомендова</w:t>
      </w:r>
      <w:r w:rsidRPr="00271E51">
        <w:rPr>
          <w:rFonts w:ascii="Times New Roman" w:hAnsi="Times New Roman"/>
          <w:color w:val="000000" w:themeColor="text1"/>
          <w:sz w:val="16"/>
          <w:szCs w:val="16"/>
        </w:rPr>
        <w:softHyphen/>
        <w:t>лось устранить выявленные дефекты, доработать винт и вновь предъявить его на испытания (11474,365).</w:t>
      </w:r>
    </w:p>
    <w:p w14:paraId="5DFB21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F8E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 августа 1943 г. на заводе № 18 был построен 31 самолет Ил-2 (начиная с самолета зав. № 1870166) с фибровыми бензо</w:t>
      </w:r>
      <w:r w:rsidRPr="00271E51">
        <w:rPr>
          <w:rFonts w:ascii="Times New Roman" w:hAnsi="Times New Roman"/>
          <w:color w:val="000000" w:themeColor="text1"/>
          <w:sz w:val="16"/>
          <w:szCs w:val="16"/>
        </w:rPr>
        <w:softHyphen/>
        <w:t>баками. Эта работа выполнялась на основании распоряжения начальника УЗСиМ ВВС КА генерал-майора П.А. Алексеева. Завод должен был построить 100 самолетов Ил-2 с фибровыми бензобаками и 150 самолетов со смешанным комплектом бен</w:t>
      </w:r>
      <w:r w:rsidRPr="00271E51">
        <w:rPr>
          <w:rFonts w:ascii="Times New Roman" w:hAnsi="Times New Roman"/>
          <w:color w:val="000000" w:themeColor="text1"/>
          <w:sz w:val="16"/>
          <w:szCs w:val="16"/>
        </w:rPr>
        <w:softHyphen/>
        <w:t>зобаков: задний и нижний — фибровые, а передний — металлический. Эти самолеты предполагалось направить в части 1-ц заб для формирования маршевых авиаполков, где они должны были пройти войсковые испытания.</w:t>
      </w:r>
    </w:p>
    <w:p w14:paraId="696FD1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Фибровые бензобаки целиком изготавливались из фибры, за исключением их арматуры. При этом протектор фибровых баков отличался от протектора металлических баков толщиной и общей конструкцией. Протектор имел толщину 11,5—12 мм и состоял из трех слоев. Первый слой толщиной 3,5—4 мм вы-Ьполнялся из кожзаменителя, прилегающего к фибре, которым втягивался бак, и на стыках склеивался клеем (к фибре непририклеивался). К кожзаменителю приклеивался второй слой ряз мелкопористой, активной бензонабухающей губки «Ана-рот». Третий слой представлял собой резиновый чехол, состоя щий из двух частей, изготавливаемых отдельно: нижней — мешка, и верхней — крышки. Мешок натягивался на бак и скреплялся с крышкой петлями.</w:t>
      </w:r>
    </w:p>
    <w:p w14:paraId="01C185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Емкость системы фибровых бензобаков была равна емко</w:t>
      </w:r>
      <w:r w:rsidRPr="00271E51">
        <w:rPr>
          <w:rFonts w:ascii="Times New Roman" w:hAnsi="Times New Roman"/>
          <w:color w:val="000000" w:themeColor="text1"/>
          <w:sz w:val="16"/>
          <w:szCs w:val="16"/>
        </w:rPr>
        <w:softHyphen/>
        <w:t>сти системы с металлическими баками или на 10—14 л больше. Емкости нижних фибрового и металлического баков одинако</w:t>
      </w:r>
      <w:r w:rsidRPr="00271E51">
        <w:rPr>
          <w:rFonts w:ascii="Times New Roman" w:hAnsi="Times New Roman"/>
          <w:color w:val="000000" w:themeColor="text1"/>
          <w:sz w:val="16"/>
          <w:szCs w:val="16"/>
        </w:rPr>
        <w:softHyphen/>
        <w:t>вы. Емкость заднего фибрового бака выше емкости металличе</w:t>
      </w:r>
      <w:r w:rsidRPr="00271E51">
        <w:rPr>
          <w:rFonts w:ascii="Times New Roman" w:hAnsi="Times New Roman"/>
          <w:color w:val="000000" w:themeColor="text1"/>
          <w:sz w:val="16"/>
          <w:szCs w:val="16"/>
        </w:rPr>
        <w:softHyphen/>
        <w:t>ского на 20—24 л, а емкость переднего фибрового бака, наобо</w:t>
      </w:r>
      <w:r w:rsidRPr="00271E51">
        <w:rPr>
          <w:rFonts w:ascii="Times New Roman" w:hAnsi="Times New Roman"/>
          <w:color w:val="000000" w:themeColor="text1"/>
          <w:sz w:val="16"/>
          <w:szCs w:val="16"/>
        </w:rPr>
        <w:softHyphen/>
        <w:t>рот, на 10 л была меньше емкости металлического.</w:t>
      </w:r>
    </w:p>
    <w:p w14:paraId="782C8A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Фибровые бензобаки имели повышенную виброустойчи</w:t>
      </w:r>
      <w:r w:rsidRPr="00271E51">
        <w:rPr>
          <w:rFonts w:ascii="Times New Roman" w:hAnsi="Times New Roman"/>
          <w:color w:val="000000" w:themeColor="text1"/>
          <w:sz w:val="16"/>
          <w:szCs w:val="16"/>
        </w:rPr>
        <w:softHyphen/>
        <w:t>вость, исключающую появление трещин, которые являлись массовым дефектом сварных металлических бензобаков. При этом на каждом самолете экономилось 55—56 кг дорогостоя</w:t>
      </w:r>
      <w:r w:rsidRPr="00271E51">
        <w:rPr>
          <w:rFonts w:ascii="Times New Roman" w:hAnsi="Times New Roman"/>
          <w:color w:val="000000" w:themeColor="text1"/>
          <w:sz w:val="16"/>
          <w:szCs w:val="16"/>
        </w:rPr>
        <w:softHyphen/>
        <w:t>щего дефицитного цветного металла. Но самое главное, фибра не давала «вторичного» эффекта при попадании в бак пуль — на выходном отверстии пули, пробившей фибровый бак, от</w:t>
      </w:r>
      <w:r w:rsidRPr="00271E51">
        <w:rPr>
          <w:rFonts w:ascii="Times New Roman" w:hAnsi="Times New Roman"/>
          <w:color w:val="000000" w:themeColor="text1"/>
          <w:sz w:val="16"/>
          <w:szCs w:val="16"/>
        </w:rPr>
        <w:softHyphen/>
        <w:t>сутствовали характерные для металлических баков рваные и развороченные края пробоины, не позволяющие протектору затянуться. На испытаниях новые баки не давали течи даже с 17 пробоинами от пуль нормального калибра.</w:t>
      </w:r>
    </w:p>
    <w:p w14:paraId="5FD681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без недостатков не обошлось. Оказалось, что отремонтировать фибровые бензобаки в полевых услови</w:t>
      </w:r>
      <w:r w:rsidRPr="00271E51">
        <w:rPr>
          <w:rFonts w:ascii="Times New Roman" w:hAnsi="Times New Roman"/>
          <w:color w:val="000000" w:themeColor="text1"/>
          <w:sz w:val="16"/>
          <w:szCs w:val="16"/>
        </w:rPr>
        <w:softHyphen/>
        <w:t>ях практически невозможно. Технология их ремонта, разра</w:t>
      </w:r>
      <w:r w:rsidRPr="00271E51">
        <w:rPr>
          <w:rFonts w:ascii="Times New Roman" w:hAnsi="Times New Roman"/>
          <w:color w:val="000000" w:themeColor="text1"/>
          <w:sz w:val="16"/>
          <w:szCs w:val="16"/>
        </w:rPr>
        <w:softHyphen/>
        <w:t>ботанная на 18-м заводе на основании инструкции ВИАМ, была трудоемкой, хотя и несложной, имела ограничения по температуре окружающего воздуха (не ниже 12°С, но не более 30—40°С), что предполагало наличие закрытого помещения (в зимнее время отапливаемого), и отнимала у технического состава много времени. В то же время заменить вышедший из строя бензобак было просто нечем, так как поставка их заво</w:t>
      </w:r>
      <w:r w:rsidRPr="00271E51">
        <w:rPr>
          <w:rFonts w:ascii="Times New Roman" w:hAnsi="Times New Roman"/>
          <w:color w:val="000000" w:themeColor="text1"/>
          <w:sz w:val="16"/>
          <w:szCs w:val="16"/>
        </w:rPr>
        <w:softHyphen/>
        <w:t>дами НКАП была крайне неудовлетворительной. В результате из-за отсутствия бензобаков самолеты простаивали в ремонте длительное время. По этим причинам в частях действующей армии фибровые бензобаки ремонтных Ил-2 заменяли обыч</w:t>
      </w:r>
      <w:r w:rsidRPr="00271E51">
        <w:rPr>
          <w:rFonts w:ascii="Times New Roman" w:hAnsi="Times New Roman"/>
          <w:color w:val="000000" w:themeColor="text1"/>
          <w:sz w:val="16"/>
          <w:szCs w:val="16"/>
        </w:rPr>
        <w:softHyphen/>
        <w:t>ными металлическими (11474,368).</w:t>
      </w:r>
    </w:p>
    <w:p w14:paraId="432068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2B546" w14:textId="77777777" w:rsidR="00E85ED5" w:rsidRPr="00271E51" w:rsidRDefault="00E85ED5"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 августа 1943 года появился приказ Шахурина № 507 об оснащения 45-мм пушками НС-45 штурмовика Ил-2, когда самой пушки еще не существовало в металле, а первые Илы с 37-мм пушками НС-37 только-только отправились на фронт для войсковых испытаний. В приказе значилось, что С.В. Ильюшин обязан был в срок до 5 октября 1943 г. построить и предъявить на испытания самолет Ил-2, вооруженный двумя пушками калибра 45 мм конструкции ОКБ-16, а НИИ ВВС РККА до 20 ноября провести государственные испытания нового штурмовика. Указание было выполнено досрочно, поскольку сохраненные габариты орудий НС-45, на тот момент еще без дульного тормоза, позволили вписать их в штатные гондолы, разработанные под НС-37 (19200).</w:t>
      </w:r>
    </w:p>
    <w:p w14:paraId="7901278D" w14:textId="77777777" w:rsidR="00E85ED5" w:rsidRPr="00271E51" w:rsidRDefault="00E85ED5"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C5746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Кузнецов писал нач. управления штурманской службы ВВС Б.В.Стерлигову, нач. ГУ заказов ВВС Н.П.Селезневу, Нач. НИИ спецслужб ВВС С.А.Данилину письмо N Н-34/3340:</w:t>
      </w:r>
    </w:p>
    <w:p w14:paraId="7B32E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своего пребывания в частях ВВС мною установлено, что РПК на самолетах Ил-2, за редким исключением в эксплуатации не применяются...</w:t>
      </w:r>
    </w:p>
    <w:p w14:paraId="6BDD46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дать Ваше заключение на возможность исключения из комплектации самолетов Ил-2 РПК-10, а за этот счет резко увеличить выпуск РПК для истребительной авиации" (1779,70).</w:t>
      </w:r>
    </w:p>
    <w:p w14:paraId="22D555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3CA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вышел приказ НКАП N 504с:</w:t>
      </w:r>
    </w:p>
    <w:p w14:paraId="76D9F8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Построенный заводом 35 3-х лопастный винт АВ-5 диаметром 4 м к модернизированному самолету Ил-2 с АМ-42 оказался недостаточно жестким, что вызвало тряску винта на самолете Ил-2</w:t>
      </w:r>
    </w:p>
    <w:p w14:paraId="232DD2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Директору завода 35 Марочкину к 1 сентября 1943 изготовить к самолету Ил-2 с АМ-42 3-х лопастный винт диаметром 4 м с увеличенной жесткостью (1737,27).</w:t>
      </w:r>
    </w:p>
    <w:p w14:paraId="2FF69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A8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года А. Кузнецов писал письмо N Н-34/3340 начальнику управления штурманской службы ВВС генерал-лейтенанту авиации Стерлигову Б.В., начальнику гл. управления заказов ВВС генерал-лейтенанту ИАС Селезневу Н.П., начальнику НИИ спецслужб ВВС генерал-лейтенанту ИАС Данилину С.А.</w:t>
      </w:r>
    </w:p>
    <w:p w14:paraId="652B44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своего пребывания в частях ВВС мною установлено, что радиополукомпаса на самолетах Ил-2, за редким исключением в эксплуатации не применяются.</w:t>
      </w:r>
    </w:p>
    <w:p w14:paraId="47EFA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Значительные трудности в изготовлении радиополукомпасов, а также дефицитность этой материальной части на самолетных заводах и бесцельность затрат по монтажу настоятельно требуют тщательной проверки целесообразности применения радиополукомпасов на самолетах Ил-2.</w:t>
      </w:r>
    </w:p>
    <w:p w14:paraId="4F4AB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дать Ваше заключение на возможность исключения из комплектации самолетов "Ил-2" радиополукомпасов "РПК-10", а за этот счет резко увеличить выпуск радиопередатчиков для истребительной авиации (1779).</w:t>
      </w:r>
    </w:p>
    <w:p w14:paraId="7FC66F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6AC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приказом Наркома авиапромышленности № 507 во испол</w:t>
      </w:r>
      <w:r w:rsidRPr="00271E51">
        <w:rPr>
          <w:rFonts w:ascii="Times New Roman" w:hAnsi="Times New Roman"/>
          <w:color w:val="000000" w:themeColor="text1"/>
          <w:sz w:val="16"/>
          <w:szCs w:val="16"/>
        </w:rPr>
        <w:softHyphen/>
        <w:t>нение Постановления ГКО С.В.Ильюши</w:t>
      </w:r>
      <w:r w:rsidRPr="00271E51">
        <w:rPr>
          <w:rFonts w:ascii="Times New Roman" w:hAnsi="Times New Roman"/>
          <w:color w:val="000000" w:themeColor="text1"/>
          <w:sz w:val="16"/>
          <w:szCs w:val="16"/>
        </w:rPr>
        <w:softHyphen/>
        <w:t>ну было дано задание к 5 октября 1943 г. построить и предъявить на испытания самолет Ил-2, вооруженный двумя пуш</w:t>
      </w:r>
      <w:r w:rsidRPr="00271E51">
        <w:rPr>
          <w:rFonts w:ascii="Times New Roman" w:hAnsi="Times New Roman"/>
          <w:color w:val="000000" w:themeColor="text1"/>
          <w:sz w:val="16"/>
          <w:szCs w:val="16"/>
        </w:rPr>
        <w:softHyphen/>
        <w:t>ками калибра 45 мм конструкции ОКБ-16 (в серии НС-45), а НИИ ВВС КА обязы</w:t>
      </w:r>
      <w:r w:rsidRPr="00271E51">
        <w:rPr>
          <w:rFonts w:ascii="Times New Roman" w:hAnsi="Times New Roman"/>
          <w:color w:val="000000" w:themeColor="text1"/>
          <w:sz w:val="16"/>
          <w:szCs w:val="16"/>
        </w:rPr>
        <w:softHyphen/>
        <w:t>валось до 20 ноября провести государствен</w:t>
      </w:r>
      <w:r w:rsidRPr="00271E51">
        <w:rPr>
          <w:rFonts w:ascii="Times New Roman" w:hAnsi="Times New Roman"/>
          <w:color w:val="000000" w:themeColor="text1"/>
          <w:sz w:val="16"/>
          <w:szCs w:val="16"/>
        </w:rPr>
        <w:softHyphen/>
        <w:t>ные испытания нового штурмовика.</w:t>
      </w:r>
    </w:p>
    <w:p w14:paraId="6736E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решение обуславливалось тем, что разрушающее действие используе</w:t>
      </w:r>
      <w:r w:rsidRPr="00271E51">
        <w:rPr>
          <w:rFonts w:ascii="Times New Roman" w:hAnsi="Times New Roman"/>
          <w:color w:val="000000" w:themeColor="text1"/>
          <w:sz w:val="16"/>
          <w:szCs w:val="16"/>
        </w:rPr>
        <w:softHyphen/>
        <w:t>мого в НС-45 штатного фугасно-осколочного снаряда (масса 1065 гр.) от 45</w:t>
      </w:r>
      <w:r w:rsidRPr="00271E51">
        <w:rPr>
          <w:rFonts w:ascii="Times New Roman" w:hAnsi="Times New Roman"/>
          <w:color w:val="000000" w:themeColor="text1"/>
          <w:sz w:val="16"/>
          <w:szCs w:val="16"/>
        </w:rPr>
        <w:softHyphen/>
        <w:t>мм противотанковой пушки было вдвое выше, чем у снаряда к пушке НС-37. Последнее требовалось для гарантиро</w:t>
      </w:r>
      <w:r w:rsidRPr="00271E51">
        <w:rPr>
          <w:rFonts w:ascii="Times New Roman" w:hAnsi="Times New Roman"/>
          <w:color w:val="000000" w:themeColor="text1"/>
          <w:sz w:val="16"/>
          <w:szCs w:val="16"/>
        </w:rPr>
        <w:softHyphen/>
        <w:t>ванного поражения тяжелых немецких танков (6467).</w:t>
      </w:r>
    </w:p>
    <w:p w14:paraId="3F577C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4F2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приказом наркома авиапромышленности № 507 во исполнение постановления ГКО С. В. Ильюшину было дано задание к 5 октября 1943 г. построить и предъявить на испыта</w:t>
      </w:r>
      <w:r w:rsidRPr="00271E51">
        <w:rPr>
          <w:rFonts w:ascii="Times New Roman" w:hAnsi="Times New Roman"/>
          <w:color w:val="000000" w:themeColor="text1"/>
          <w:sz w:val="16"/>
          <w:szCs w:val="16"/>
        </w:rPr>
        <w:softHyphen/>
        <w:t>ния самолет Ил-2, вооруженный двумя пушками калибра 45 мм конструкции ОКБ-16 (в серии НС-45), а НИИ ВВС КА обязыва</w:t>
      </w:r>
      <w:r w:rsidRPr="00271E51">
        <w:rPr>
          <w:rFonts w:ascii="Times New Roman" w:hAnsi="Times New Roman"/>
          <w:color w:val="000000" w:themeColor="text1"/>
          <w:sz w:val="16"/>
          <w:szCs w:val="16"/>
        </w:rPr>
        <w:softHyphen/>
        <w:t>лось до 20 ноября провести государственные испытания нового штурмовика (10695).</w:t>
      </w:r>
    </w:p>
    <w:p w14:paraId="620A36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179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закончились испытания Ла-5Ф, которые проходили с 14 августа. Использова</w:t>
      </w:r>
      <w:r w:rsidRPr="00271E51">
        <w:rPr>
          <w:rFonts w:ascii="Times New Roman" w:hAnsi="Times New Roman"/>
          <w:color w:val="000000" w:themeColor="text1"/>
          <w:sz w:val="16"/>
          <w:szCs w:val="16"/>
        </w:rPr>
        <w:softHyphen/>
        <w:t>лись 9 машин, из которых в ходе интенсивных воздушных боев 4 были потеряны, причем в часть вернулся лишь один летчик, 4 само</w:t>
      </w:r>
      <w:r w:rsidRPr="00271E51">
        <w:rPr>
          <w:rFonts w:ascii="Times New Roman" w:hAnsi="Times New Roman"/>
          <w:color w:val="000000" w:themeColor="text1"/>
          <w:sz w:val="16"/>
          <w:szCs w:val="16"/>
        </w:rPr>
        <w:softHyphen/>
        <w:t>лета вышли из строя из-за полученных повреждений, 1 потерпел аварию из-за масляного голодания мотора. Согласно докладу ве</w:t>
      </w:r>
      <w:r w:rsidRPr="00271E51">
        <w:rPr>
          <w:rFonts w:ascii="Times New Roman" w:hAnsi="Times New Roman"/>
          <w:color w:val="000000" w:themeColor="text1"/>
          <w:sz w:val="16"/>
          <w:szCs w:val="16"/>
        </w:rPr>
        <w:softHyphen/>
        <w:t xml:space="preserve">дущего инженера по испытаниям, чаще всего противником были В{ 109Р. Большинство повреждений пришлось на хвостовую часть. Войсковые испытания Ла-5ФН прошли гораздо успешнее. На 14 самолетах в 25 воздушных боях было сбито 3 В? 1090, 21 РУ/190, 3 Не 111Н, 1 </w:t>
      </w:r>
      <w:r w:rsidRPr="00271E51">
        <w:rPr>
          <w:rFonts w:ascii="Times New Roman" w:hAnsi="Times New Roman"/>
          <w:iCs/>
          <w:color w:val="000000" w:themeColor="text1"/>
          <w:sz w:val="16"/>
          <w:szCs w:val="16"/>
        </w:rPr>
        <w:t xml:space="preserve">Зи </w:t>
      </w:r>
      <w:r w:rsidRPr="00271E51">
        <w:rPr>
          <w:rFonts w:ascii="Times New Roman" w:hAnsi="Times New Roman"/>
          <w:color w:val="000000" w:themeColor="text1"/>
          <w:sz w:val="16"/>
          <w:szCs w:val="16"/>
        </w:rPr>
        <w:t>87 и 5 ии 88 ценой потери четырех своих машин (11123).</w:t>
      </w:r>
    </w:p>
    <w:p w14:paraId="30F548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Ла-5ФН № 39213047Ф, выпущенного заводом № 21 летом 1943 г., показали, что скорость у земли упала почти на 40 км/ч. Это было вызвано отсутствием уплотнительных шайб между стволами пушек и капотом, невозможностью закрыть замки ДЗУС внутреннего капота под выхлопным коллектором и плохой подгонкой передней стяжной ленты капота («ступенька» в 10 мм). На II границе высотности произошел отказ ПЦН, и самолет удалось разогнать только до 600 км/ч вместо положенных 640. Ди</w:t>
      </w:r>
      <w:r w:rsidRPr="00271E51">
        <w:rPr>
          <w:rFonts w:ascii="Times New Roman" w:hAnsi="Times New Roman"/>
          <w:color w:val="000000" w:themeColor="text1"/>
          <w:sz w:val="16"/>
          <w:szCs w:val="16"/>
        </w:rPr>
        <w:softHyphen/>
        <w:t>ректору завода было строго указано на недостатки. Но изжить брак не удалось (11123).</w:t>
      </w:r>
    </w:p>
    <w:p w14:paraId="4CE245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10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согласно журнала наблюдения за проектированием, постройкой и испытаниями МиГ-3 МиГ-3 Д-1 испытан в НИИЮ но акт взят нач. НИИ ВВС обратно. Акт находился в секретной части 3 Отдела в ожидании еще одного с-та “Д”, который булдет испытан для подтверждения результатов, полученных на Д-1. На оставшихся экз. машин “Д” устранялись дефекты. Самолеты подготавливаются для передачи в ОАК (992,10).</w:t>
      </w:r>
    </w:p>
    <w:p w14:paraId="1B0A81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113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согласно журнала наблюдения за проектированием, постройкой и испытаниями высотного истребителя МиГ-1 с-т МиГ-11 был построен на 35-40%, нет мотора, который задерживается з-м № 300 (991,7).</w:t>
      </w:r>
    </w:p>
    <w:p w14:paraId="132A5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6CF3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вышел приказ НКАП N 503 об обеспечении необходимого развития работ по воздушно-реактивным двигателям по схеме тов. Э.М.Люльки в путем организации в ЦИАМ лаборатории и считать работы первоочередными, а план представить к 1 октября (941,19).</w:t>
      </w:r>
    </w:p>
    <w:p w14:paraId="20B3CEE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необходимого разворачивания работ по ВРД по схеме т. Люлька ПРИКАЗЫВАЮ:</w:t>
      </w:r>
    </w:p>
    <w:p w14:paraId="2D151D5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ЦИАМ т. Поликовскому организовать в ЦИАМ лабораторию по исследованию и разработке ВРД по схеме и Люлька с ОКБ при ней.</w:t>
      </w:r>
    </w:p>
    <w:p w14:paraId="1E13F0B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Начальником лаборатории назначить т. Люлька Э.М. с переводом его с завода № 293 в ЦИАМ с группой работников, заделом и документацией по ВРД и со всем необходимым производственным оборудованием указанной группы...</w:t>
      </w:r>
    </w:p>
    <w:p w14:paraId="7E059ED3"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Работы по ВРД конструкции Люлька в ЦИАМ считать первоочередными.</w:t>
      </w:r>
    </w:p>
    <w:p w14:paraId="38AAED6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План работы лаборатории ВРД и Люлька на 1943-44 гг. Представить на утверждение Зам. НК т. Кузнецову В.П. к 1 октября с.г. (941,19)</w:t>
      </w:r>
    </w:p>
    <w:p w14:paraId="10625FD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9045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года начальник ГУЗ ВВС генерал-лейтенант ИАС Селезнев писал письмо N 556662 Шахурину.</w:t>
      </w:r>
    </w:p>
    <w:p w14:paraId="260F30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увеличения выпуска самолетов У-2ВС.</w:t>
      </w:r>
    </w:p>
    <w:p w14:paraId="2FB8B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Самолетами У-2ВС, комплектуются действующие части легкобомбардировочной, санитарной, учебной авиации и авиации связи.</w:t>
      </w:r>
    </w:p>
    <w:p w14:paraId="5B542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Массовое многоцелевое применение самолетов У-2ВС в боевых условиях целиком себя оправдало и показало высокие боевые качества самолета - часто ничем другим не заменимые. В силу этого потребность в самолетах У-2ВС резко возросла и не может быть удовлетворена тем количеством самолетов, которое выпускает завод N 387.</w:t>
      </w:r>
    </w:p>
    <w:p w14:paraId="46AD07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все возрастающей потребностью ВВС в самолетах У-2ВС прошу Вас решить вопрос о срочном увеличении их выпуска ориентировочно на 100-150 самолетов в месяц (1779).</w:t>
      </w:r>
    </w:p>
    <w:p w14:paraId="76F63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EFD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года вышел приказ № 377 НКАП</w:t>
      </w:r>
    </w:p>
    <w:p w14:paraId="5A2786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установления на заводах НКАП единого метода в работах по лакокрасочным покрытиям:</w:t>
      </w:r>
    </w:p>
    <w:p w14:paraId="395BEFB1"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Ввести в действие на всех заводах 1, 10 и 11 гл. управлений до 15 сентября 1943 года производственную инструкцию, разработанную ВИАМом № 24-43 по окраске деревянных агрегатов самолетов (8923).</w:t>
      </w:r>
    </w:p>
    <w:p w14:paraId="17071DB7"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70BA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года была подготовлена справка:</w:t>
      </w:r>
    </w:p>
    <w:p w14:paraId="646EFB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Передача НК текстиля для организации фабрики перевязочных материалов производственных, жилых и подсобных зданий завода № 213 НКАП в Энгельсе Саратовской области (8916).</w:t>
      </w:r>
    </w:p>
    <w:p w14:paraId="10AFC1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7EF8E"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CCDF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999A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1942 г. в соответствии с пост. ГКО № 2199 часть завода № 565 НКБ из Орджоникидзе (снаряжение 50-мм мин) эвакуирована в Тбилиси на площадку цеха мясокомбината НК мясомолочной промышленности. На ее базе создан новый снаряжательный завод № 316 НКБ (Завод № 316 НКБ, п/я 43 /Грузия  г. Тбилиси п/я 43 «Пламя»/). В 10.1942 г. завод пущен в эксплуатацию. В 12.1942- 11.1943 г. - в ведении 1ГУ НКБ.</w:t>
      </w:r>
    </w:p>
    <w:p w14:paraId="70CC4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завода цехи (1943 г.): основные: № 1,3,4; вспомогательные: № 2, ЦЗЛ, механический, энергоцех.</w:t>
      </w:r>
    </w:p>
    <w:p w14:paraId="687673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(1943 г.): производственная- 3025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вспомогательная- 376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2343A7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(12.1942 г.)- 865 чел.; рабочих (04.1943 г.)- 638 чел.</w:t>
      </w:r>
    </w:p>
    <w:p w14:paraId="757710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(04.1943 г.)- Лушников. Директор (04.1943 г.)- Шапатава.</w:t>
      </w:r>
    </w:p>
    <w:p w14:paraId="73CBF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(04.1943 г.)- Лушников.</w:t>
      </w:r>
    </w:p>
    <w:p w14:paraId="72A7E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снаряжение:</w:t>
      </w:r>
      <w:r w:rsidRPr="00271E51">
        <w:rPr>
          <w:rFonts w:ascii="Times New Roman" w:hAnsi="Times New Roman"/>
          <w:color w:val="000000" w:themeColor="text1"/>
          <w:sz w:val="16"/>
          <w:szCs w:val="16"/>
        </w:rPr>
        <w:t xml:space="preserve"> мины 50-мм, 82-мм; ЯМ-5М; гранаты 45-мм, 85-мм; ручные гранаты Ф-1, РГД- 33, РГ-42; запал для гранат УЗРГ, взрыватель УВ; амматол (1943) (11982).</w:t>
      </w:r>
    </w:p>
    <w:p w14:paraId="2DDB8F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5EB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Ротмистров писал ПЕРВОМУ ЗАМЕСТИТЕЛЮ НАРОДНОГО КОМИССАРА ОБОРОНЫ СОЮЗА СССР - МАРШАЛУ СОВЕТСКОГО СОЮЗА тов. Жукову</w:t>
      </w:r>
    </w:p>
    <w:p w14:paraId="58D3DC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танковых боях и сражениях с 12 июля по 20 августа 1943 года 5 Гвардейская Танковая Армия встретилась с ис</w:t>
      </w:r>
      <w:r w:rsidRPr="00271E51">
        <w:rPr>
          <w:rFonts w:ascii="Times New Roman" w:hAnsi="Times New Roman"/>
          <w:color w:val="000000" w:themeColor="text1"/>
          <w:sz w:val="16"/>
          <w:szCs w:val="16"/>
        </w:rPr>
        <w:softHyphen/>
        <w:t>ключительно новыми типами танков противника. Больше всего на поле боя было танков Т-У («Пантера»), в значи</w:t>
      </w:r>
      <w:r w:rsidRPr="00271E51">
        <w:rPr>
          <w:rFonts w:ascii="Times New Roman" w:hAnsi="Times New Roman"/>
          <w:color w:val="000000" w:themeColor="text1"/>
          <w:sz w:val="16"/>
          <w:szCs w:val="16"/>
        </w:rPr>
        <w:softHyphen/>
        <w:t>тельном количестве танки Т-У1 («Тигр»), а также модерни</w:t>
      </w:r>
      <w:r w:rsidRPr="00271E51">
        <w:rPr>
          <w:rFonts w:ascii="Times New Roman" w:hAnsi="Times New Roman"/>
          <w:color w:val="000000" w:themeColor="text1"/>
          <w:sz w:val="16"/>
          <w:szCs w:val="16"/>
        </w:rPr>
        <w:softHyphen/>
        <w:t>зированные танки Т-Ш и Т-1У.</w:t>
      </w:r>
    </w:p>
    <w:p w14:paraId="52BB5F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Командуя танковыми частями с первых дней Отечест</w:t>
      </w:r>
      <w:r w:rsidRPr="00271E51">
        <w:rPr>
          <w:rFonts w:ascii="Times New Roman" w:hAnsi="Times New Roman"/>
          <w:color w:val="000000" w:themeColor="text1"/>
          <w:sz w:val="16"/>
          <w:szCs w:val="16"/>
        </w:rPr>
        <w:softHyphen/>
        <w:t>венной войны я вынужден доложить Вам, что наши танки на сегодня потеряли свое превосходство перед танками противника в броне и вооружении.</w:t>
      </w:r>
    </w:p>
    <w:p w14:paraId="7957AD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броня и прицельность огня у немецких тан</w:t>
      </w:r>
      <w:r w:rsidRPr="00271E51">
        <w:rPr>
          <w:rFonts w:ascii="Times New Roman" w:hAnsi="Times New Roman"/>
          <w:color w:val="000000" w:themeColor="text1"/>
          <w:sz w:val="16"/>
          <w:szCs w:val="16"/>
        </w:rPr>
        <w:softHyphen/>
        <w:t>ков стали гораздо выше и только исключительное мужество наших танкистов, большая насыщенность танковых частей артиллерией не дали противнику возможности использовать до конца преимущества своих танков. Наличие мощного во</w:t>
      </w:r>
      <w:r w:rsidRPr="00271E51">
        <w:rPr>
          <w:rFonts w:ascii="Times New Roman" w:hAnsi="Times New Roman"/>
          <w:color w:val="000000" w:themeColor="text1"/>
          <w:sz w:val="16"/>
          <w:szCs w:val="16"/>
        </w:rPr>
        <w:softHyphen/>
        <w:t>оружения, сильной брони и хороших прицельных приспо</w:t>
      </w:r>
      <w:r w:rsidRPr="00271E51">
        <w:rPr>
          <w:rFonts w:ascii="Times New Roman" w:hAnsi="Times New Roman"/>
          <w:color w:val="000000" w:themeColor="text1"/>
          <w:sz w:val="16"/>
          <w:szCs w:val="16"/>
        </w:rPr>
        <w:softHyphen/>
        <w:t>соблений у немецких танков ставит в явно невыгодное поло</w:t>
      </w:r>
      <w:r w:rsidRPr="00271E51">
        <w:rPr>
          <w:rFonts w:ascii="Times New Roman" w:hAnsi="Times New Roman"/>
          <w:color w:val="000000" w:themeColor="text1"/>
          <w:sz w:val="16"/>
          <w:szCs w:val="16"/>
        </w:rPr>
        <w:softHyphen/>
        <w:t>жение наши танки. Снижается эффективность использова</w:t>
      </w:r>
      <w:r w:rsidRPr="00271E51">
        <w:rPr>
          <w:rFonts w:ascii="Times New Roman" w:hAnsi="Times New Roman"/>
          <w:color w:val="000000" w:themeColor="text1"/>
          <w:sz w:val="16"/>
          <w:szCs w:val="16"/>
        </w:rPr>
        <w:softHyphen/>
        <w:t>ния наших танков и увеличивается их выход из строя.</w:t>
      </w:r>
    </w:p>
    <w:p w14:paraId="339C09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Проведенные мною бои летом 1943 года убеждают ме</w:t>
      </w:r>
      <w:r w:rsidRPr="00271E51">
        <w:rPr>
          <w:rFonts w:ascii="Times New Roman" w:hAnsi="Times New Roman"/>
          <w:color w:val="000000" w:themeColor="text1"/>
          <w:sz w:val="16"/>
          <w:szCs w:val="16"/>
        </w:rPr>
        <w:softHyphen/>
        <w:t>ня в том, что и теперь мы самостоятельно маневренный танковый бой можем вести успешно, пользуясь отличными маневренными свойствами нашего танка Т-34.</w:t>
      </w:r>
    </w:p>
    <w:p w14:paraId="0428C9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же немцы своими танковыми частями перехо</w:t>
      </w:r>
      <w:r w:rsidRPr="00271E51">
        <w:rPr>
          <w:rFonts w:ascii="Times New Roman" w:hAnsi="Times New Roman"/>
          <w:color w:val="000000" w:themeColor="text1"/>
          <w:sz w:val="16"/>
          <w:szCs w:val="16"/>
        </w:rPr>
        <w:softHyphen/>
        <w:t>дят, хотя бы временно, к обороне, то этим самым они ли</w:t>
      </w:r>
      <w:r w:rsidRPr="00271E51">
        <w:rPr>
          <w:rFonts w:ascii="Times New Roman" w:hAnsi="Times New Roman"/>
          <w:color w:val="000000" w:themeColor="text1"/>
          <w:sz w:val="16"/>
          <w:szCs w:val="16"/>
        </w:rPr>
        <w:softHyphen/>
        <w:t>шают нас наших маневренных преимуществ и наоборот начинают в полной мере применять прицельную даль</w:t>
      </w:r>
      <w:r w:rsidRPr="00271E51">
        <w:rPr>
          <w:rFonts w:ascii="Times New Roman" w:hAnsi="Times New Roman"/>
          <w:color w:val="000000" w:themeColor="text1"/>
          <w:sz w:val="16"/>
          <w:szCs w:val="16"/>
        </w:rPr>
        <w:softHyphen/>
        <w:t>ность своих танковых пушек, находясь в тоже время поч</w:t>
      </w:r>
      <w:r w:rsidRPr="00271E51">
        <w:rPr>
          <w:rFonts w:ascii="Times New Roman" w:hAnsi="Times New Roman"/>
          <w:color w:val="000000" w:themeColor="text1"/>
          <w:sz w:val="16"/>
          <w:szCs w:val="16"/>
        </w:rPr>
        <w:softHyphen/>
        <w:t>ти в полной недосягаемости от нашего прицельного тан</w:t>
      </w:r>
      <w:r w:rsidRPr="00271E51">
        <w:rPr>
          <w:rFonts w:ascii="Times New Roman" w:hAnsi="Times New Roman"/>
          <w:color w:val="000000" w:themeColor="text1"/>
          <w:sz w:val="16"/>
          <w:szCs w:val="16"/>
        </w:rPr>
        <w:softHyphen/>
        <w:t>кового огня.</w:t>
      </w:r>
    </w:p>
    <w:p w14:paraId="2BB911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при столкновении с перешедшими к обороне немецкими танковыми частями мы, как общее пра</w:t>
      </w:r>
      <w:r w:rsidRPr="00271E51">
        <w:rPr>
          <w:rFonts w:ascii="Times New Roman" w:hAnsi="Times New Roman"/>
          <w:color w:val="000000" w:themeColor="text1"/>
          <w:sz w:val="16"/>
          <w:szCs w:val="16"/>
        </w:rPr>
        <w:softHyphen/>
        <w:t>вило, несем огромные потери в танках и успеха не имеем.</w:t>
      </w:r>
    </w:p>
    <w:p w14:paraId="75CF97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противопоставив нашим танкам Т-34 и КВ свои танки Т-У («Пантера») и Т-У1 («Тигр»), уже не испы</w:t>
      </w:r>
      <w:r w:rsidRPr="00271E51">
        <w:rPr>
          <w:rFonts w:ascii="Times New Roman" w:hAnsi="Times New Roman"/>
          <w:color w:val="000000" w:themeColor="text1"/>
          <w:sz w:val="16"/>
          <w:szCs w:val="16"/>
        </w:rPr>
        <w:softHyphen/>
        <w:t>тывают былой танкобоязни на полях сражений.</w:t>
      </w:r>
    </w:p>
    <w:p w14:paraId="380183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Т-70 просто нельзя стало допускать к танковому бою, так как они более чем легко уничтожаются огнем не</w:t>
      </w:r>
      <w:r w:rsidRPr="00271E51">
        <w:rPr>
          <w:rFonts w:ascii="Times New Roman" w:hAnsi="Times New Roman"/>
          <w:color w:val="000000" w:themeColor="text1"/>
          <w:sz w:val="16"/>
          <w:szCs w:val="16"/>
        </w:rPr>
        <w:softHyphen/>
        <w:t>мецких танков.</w:t>
      </w:r>
    </w:p>
    <w:p w14:paraId="2D236D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Приходится с горечью констатировать^, что наша танко</w:t>
      </w:r>
      <w:r w:rsidRPr="00271E51">
        <w:rPr>
          <w:rFonts w:ascii="Times New Roman" w:hAnsi="Times New Roman"/>
          <w:color w:val="000000" w:themeColor="text1"/>
          <w:sz w:val="16"/>
          <w:szCs w:val="16"/>
        </w:rPr>
        <w:softHyphen/>
        <w:t>вая техника, если не считать введение на вооружение само</w:t>
      </w:r>
      <w:r w:rsidRPr="00271E51">
        <w:rPr>
          <w:rFonts w:ascii="Times New Roman" w:hAnsi="Times New Roman"/>
          <w:color w:val="000000" w:themeColor="text1"/>
          <w:sz w:val="16"/>
          <w:szCs w:val="16"/>
        </w:rPr>
        <w:softHyphen/>
        <w:t>ходных установок СУ-122 и СУ-152, за годь? войны не дала ничего нового, а имевшие место недочеты на танках перво</w:t>
      </w:r>
      <w:r w:rsidRPr="00271E51">
        <w:rPr>
          <w:rFonts w:ascii="Times New Roman" w:hAnsi="Times New Roman"/>
          <w:color w:val="000000" w:themeColor="text1"/>
          <w:sz w:val="16"/>
          <w:szCs w:val="16"/>
        </w:rPr>
        <w:softHyphen/>
        <w:t>го выпуска, как-то: несовершенство трансмиссионной группы (главный фрикцион, коробка перемены передач и бортовые фрикционы), крайне медленный и неравномер</w:t>
      </w:r>
      <w:r w:rsidRPr="00271E51">
        <w:rPr>
          <w:rFonts w:ascii="Times New Roman" w:hAnsi="Times New Roman"/>
          <w:color w:val="000000" w:themeColor="text1"/>
          <w:sz w:val="16"/>
          <w:szCs w:val="16"/>
        </w:rPr>
        <w:softHyphen/>
        <w:t>ный поворот башни, исключительно плохая видимость и теснота размещения экипажа не полностью устранены</w:t>
      </w:r>
    </w:p>
    <w:p w14:paraId="4332D2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наша авиация за годы Отечественной войны по своим тактико-техническим данным неуклонно идет впе</w:t>
      </w:r>
      <w:r w:rsidRPr="00271E51">
        <w:rPr>
          <w:rFonts w:ascii="Times New Roman" w:hAnsi="Times New Roman"/>
          <w:color w:val="000000" w:themeColor="text1"/>
          <w:sz w:val="16"/>
          <w:szCs w:val="16"/>
        </w:rPr>
        <w:softHyphen/>
        <w:t>ред, давая все новые и новые более совершенные самолеты, то, к сожалению этого нельзя сказать про наши танки.</w:t>
      </w:r>
    </w:p>
    <w:p w14:paraId="0FCBC7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Ныне танки Т-34 и КВ потеряли первое место, которое они по праву имели среди танков воюющих стран в первые дни войны.</w:t>
      </w:r>
    </w:p>
    <w:p w14:paraId="17BF91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в декабре месяце 1941 года мною была захвачена секретная инструкция немецкого командования, которая была написана на основе проведенных немцами полигон</w:t>
      </w:r>
      <w:r w:rsidRPr="00271E51">
        <w:rPr>
          <w:rFonts w:ascii="Times New Roman" w:hAnsi="Times New Roman"/>
          <w:color w:val="000000" w:themeColor="text1"/>
          <w:sz w:val="16"/>
          <w:szCs w:val="16"/>
        </w:rPr>
        <w:softHyphen/>
        <w:t>ных испытаний наших танков КВ и Т-34.</w:t>
      </w:r>
    </w:p>
    <w:p w14:paraId="2B464C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результат этих испытаний, в инструкции было на</w:t>
      </w:r>
      <w:r w:rsidRPr="00271E51">
        <w:rPr>
          <w:rFonts w:ascii="Times New Roman" w:hAnsi="Times New Roman"/>
          <w:color w:val="000000" w:themeColor="text1"/>
          <w:sz w:val="16"/>
          <w:szCs w:val="16"/>
        </w:rPr>
        <w:softHyphen/>
        <w:t>писано, примерно, следующее: немецкие танки вести тан</w:t>
      </w:r>
      <w:r w:rsidRPr="00271E51">
        <w:rPr>
          <w:rFonts w:ascii="Times New Roman" w:hAnsi="Times New Roman"/>
          <w:color w:val="000000" w:themeColor="text1"/>
          <w:sz w:val="16"/>
          <w:szCs w:val="16"/>
        </w:rPr>
        <w:softHyphen/>
        <w:t>кового боя с русскими танками КВ и Т-34 не могут и дол</w:t>
      </w:r>
      <w:r w:rsidRPr="00271E51">
        <w:rPr>
          <w:rFonts w:ascii="Times New Roman" w:hAnsi="Times New Roman"/>
          <w:color w:val="000000" w:themeColor="text1"/>
          <w:sz w:val="16"/>
          <w:szCs w:val="16"/>
        </w:rPr>
        <w:softHyphen/>
        <w:t>жны танкового боя избегать. При встрече с русскими тан</w:t>
      </w:r>
      <w:r w:rsidRPr="00271E51">
        <w:rPr>
          <w:rFonts w:ascii="Times New Roman" w:hAnsi="Times New Roman"/>
          <w:color w:val="000000" w:themeColor="text1"/>
          <w:sz w:val="16"/>
          <w:szCs w:val="16"/>
        </w:rPr>
        <w:softHyphen/>
        <w:t>ками им рекомендовалось прикрываться артиллерией и по возможности переносить действия танковых частей на другой участок фронта.</w:t>
      </w:r>
    </w:p>
    <w:p w14:paraId="42F6C8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если вспомнить наши танковые бои 1941 и 1942 гг., то можно утверждать, что немцы обычно и не всту</w:t>
      </w:r>
      <w:r w:rsidRPr="00271E51">
        <w:rPr>
          <w:rFonts w:ascii="Times New Roman" w:hAnsi="Times New Roman"/>
          <w:color w:val="000000" w:themeColor="text1"/>
          <w:sz w:val="16"/>
          <w:szCs w:val="16"/>
        </w:rPr>
        <w:softHyphen/>
        <w:t>пали с нами в бой без помощи других родов войск, а если вступали, то при многократном превосходстве в числе своих танков, чего им было не трудно достич в 1941 пив 1942 г.</w:t>
      </w:r>
    </w:p>
    <w:p w14:paraId="106F2F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базе нашего танка Т-34 — лучшего танка в мире к началу войны, немцы в 1943 г. сумели дать еще более усо</w:t>
      </w:r>
      <w:r w:rsidRPr="00271E51">
        <w:rPr>
          <w:rFonts w:ascii="Times New Roman" w:hAnsi="Times New Roman"/>
          <w:color w:val="000000" w:themeColor="text1"/>
          <w:sz w:val="16"/>
          <w:szCs w:val="16"/>
        </w:rPr>
        <w:softHyphen/>
        <w:t>вершенствованный танк Т-У, «Пантера»), который по су</w:t>
      </w:r>
      <w:r w:rsidRPr="00271E51">
        <w:rPr>
          <w:rFonts w:ascii="Times New Roman" w:hAnsi="Times New Roman"/>
          <w:color w:val="000000" w:themeColor="text1"/>
          <w:sz w:val="16"/>
          <w:szCs w:val="16"/>
        </w:rPr>
        <w:softHyphen/>
        <w:t>ти дела является копией нашего танка Т-3*, по своим ка</w:t>
      </w:r>
      <w:r w:rsidRPr="00271E51">
        <w:rPr>
          <w:rFonts w:ascii="Times New Roman" w:hAnsi="Times New Roman"/>
          <w:color w:val="000000" w:themeColor="text1"/>
          <w:sz w:val="16"/>
          <w:szCs w:val="16"/>
        </w:rPr>
        <w:softHyphen/>
        <w:t>чествам стоит значительно выше танка Т-34 и в особен</w:t>
      </w:r>
      <w:r w:rsidRPr="00271E51">
        <w:rPr>
          <w:rFonts w:ascii="Times New Roman" w:hAnsi="Times New Roman"/>
          <w:color w:val="000000" w:themeColor="text1"/>
          <w:sz w:val="16"/>
          <w:szCs w:val="16"/>
        </w:rPr>
        <w:softHyphen/>
        <w:t>ности по качеству вооружения.</w:t>
      </w:r>
    </w:p>
    <w:p w14:paraId="148E7DE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характеристики и сравнения наших и немецких танков привожу следующую таблицу: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6"/>
        <w:gridCol w:w="509"/>
        <w:gridCol w:w="643"/>
        <w:gridCol w:w="528"/>
        <w:gridCol w:w="614"/>
        <w:gridCol w:w="605"/>
        <w:gridCol w:w="634"/>
        <w:gridCol w:w="576"/>
        <w:gridCol w:w="730"/>
      </w:tblGrid>
      <w:tr w:rsidR="00A907A5" w:rsidRPr="00271E51" w14:paraId="1FE90BA3" w14:textId="77777777" w:rsidTr="00ED5B0A">
        <w:trPr>
          <w:trHeight w:val="509"/>
        </w:trPr>
        <w:tc>
          <w:tcPr>
            <w:tcW w:w="566" w:type="dxa"/>
            <w:tcBorders>
              <w:top w:val="single" w:sz="12" w:space="0" w:color="auto"/>
            </w:tcBorders>
          </w:tcPr>
          <w:p w14:paraId="3980C2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танка и СУ</w:t>
            </w:r>
          </w:p>
        </w:tc>
        <w:tc>
          <w:tcPr>
            <w:tcW w:w="509" w:type="dxa"/>
            <w:tcBorders>
              <w:top w:val="single" w:sz="12" w:space="0" w:color="auto"/>
            </w:tcBorders>
          </w:tcPr>
          <w:p w14:paraId="1BB1F8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носа в мм</w:t>
            </w:r>
          </w:p>
        </w:tc>
        <w:tc>
          <w:tcPr>
            <w:tcW w:w="643" w:type="dxa"/>
            <w:tcBorders>
              <w:top w:val="single" w:sz="12" w:space="0" w:color="auto"/>
            </w:tcBorders>
          </w:tcPr>
          <w:p w14:paraId="159323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Лоб башни и корп.</w:t>
            </w:r>
          </w:p>
        </w:tc>
        <w:tc>
          <w:tcPr>
            <w:tcW w:w="528" w:type="dxa"/>
            <w:tcBorders>
              <w:top w:val="single" w:sz="12" w:space="0" w:color="auto"/>
            </w:tcBorders>
          </w:tcPr>
          <w:p w14:paraId="48C09D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w:t>
            </w:r>
          </w:p>
        </w:tc>
        <w:tc>
          <w:tcPr>
            <w:tcW w:w="614" w:type="dxa"/>
            <w:tcBorders>
              <w:top w:val="single" w:sz="12" w:space="0" w:color="auto"/>
            </w:tcBorders>
          </w:tcPr>
          <w:p w14:paraId="2065FA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w:t>
            </w:r>
          </w:p>
        </w:tc>
        <w:tc>
          <w:tcPr>
            <w:tcW w:w="605" w:type="dxa"/>
            <w:tcBorders>
              <w:top w:val="single" w:sz="12" w:space="0" w:color="auto"/>
            </w:tcBorders>
          </w:tcPr>
          <w:p w14:paraId="0334EA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Крыша, днище</w:t>
            </w:r>
          </w:p>
        </w:tc>
        <w:tc>
          <w:tcPr>
            <w:tcW w:w="634" w:type="dxa"/>
            <w:tcBorders>
              <w:top w:val="single" w:sz="12" w:space="0" w:color="auto"/>
            </w:tcBorders>
          </w:tcPr>
          <w:p w14:paraId="20115C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пушки в мм</w:t>
            </w:r>
          </w:p>
        </w:tc>
        <w:tc>
          <w:tcPr>
            <w:tcW w:w="576" w:type="dxa"/>
            <w:tcBorders>
              <w:top w:val="single" w:sz="12" w:space="0" w:color="auto"/>
            </w:tcBorders>
          </w:tcPr>
          <w:p w14:paraId="552196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 снаря дов</w:t>
            </w:r>
          </w:p>
        </w:tc>
        <w:tc>
          <w:tcPr>
            <w:tcW w:w="730" w:type="dxa"/>
            <w:tcBorders>
              <w:top w:val="single" w:sz="12" w:space="0" w:color="auto"/>
            </w:tcBorders>
          </w:tcPr>
          <w:p w14:paraId="04933F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w:t>
            </w:r>
          </w:p>
        </w:tc>
      </w:tr>
      <w:tr w:rsidR="00A907A5" w:rsidRPr="00271E51" w14:paraId="6A7B16B0" w14:textId="77777777" w:rsidTr="00ED5B0A">
        <w:trPr>
          <w:trHeight w:val="192"/>
        </w:trPr>
        <w:tc>
          <w:tcPr>
            <w:tcW w:w="566" w:type="dxa"/>
          </w:tcPr>
          <w:p w14:paraId="4A7026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4B7C6F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FCCEC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Pr>
          <w:p w14:paraId="738B04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Pr>
          <w:p w14:paraId="372945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54D6A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5FB08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4A703E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F0E16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664040" w14:textId="77777777" w:rsidTr="00ED5B0A">
        <w:trPr>
          <w:trHeight w:val="240"/>
        </w:trPr>
        <w:tc>
          <w:tcPr>
            <w:tcW w:w="566" w:type="dxa"/>
          </w:tcPr>
          <w:p w14:paraId="0F22420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04C6D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F07EE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8" w:type="dxa"/>
          </w:tcPr>
          <w:p w14:paraId="6E47B6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Pr>
          <w:p w14:paraId="50282A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2FFE6A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E4349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76" w:type="dxa"/>
          </w:tcPr>
          <w:p w14:paraId="066B6E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6272E2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819DBE1" w14:textId="77777777" w:rsidTr="00ED5B0A">
        <w:trPr>
          <w:trHeight w:val="269"/>
        </w:trPr>
        <w:tc>
          <w:tcPr>
            <w:tcW w:w="566" w:type="dxa"/>
          </w:tcPr>
          <w:p w14:paraId="29BBB5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Т-34</w:t>
            </w:r>
          </w:p>
        </w:tc>
        <w:tc>
          <w:tcPr>
            <w:tcW w:w="509" w:type="dxa"/>
          </w:tcPr>
          <w:p w14:paraId="212969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643" w:type="dxa"/>
          </w:tcPr>
          <w:p w14:paraId="4CC726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95-75</w:t>
            </w:r>
          </w:p>
        </w:tc>
        <w:tc>
          <w:tcPr>
            <w:tcW w:w="528" w:type="dxa"/>
          </w:tcPr>
          <w:p w14:paraId="0F2484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614" w:type="dxa"/>
          </w:tcPr>
          <w:p w14:paraId="070017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605" w:type="dxa"/>
          </w:tcPr>
          <w:p w14:paraId="2992B0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20-15</w:t>
            </w:r>
          </w:p>
        </w:tc>
        <w:tc>
          <w:tcPr>
            <w:tcW w:w="634" w:type="dxa"/>
          </w:tcPr>
          <w:p w14:paraId="7B9BCC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tc>
        <w:tc>
          <w:tcPr>
            <w:tcW w:w="576" w:type="dxa"/>
          </w:tcPr>
          <w:p w14:paraId="22F94D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730" w:type="dxa"/>
          </w:tcPr>
          <w:p w14:paraId="512EB6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r>
      <w:tr w:rsidR="00A907A5" w:rsidRPr="00271E51" w14:paraId="4497B857" w14:textId="77777777" w:rsidTr="00ED5B0A">
        <w:trPr>
          <w:trHeight w:val="211"/>
        </w:trPr>
        <w:tc>
          <w:tcPr>
            <w:tcW w:w="566" w:type="dxa"/>
          </w:tcPr>
          <w:p w14:paraId="6314FD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Т-5</w:t>
            </w:r>
          </w:p>
        </w:tc>
        <w:tc>
          <w:tcPr>
            <w:tcW w:w="509" w:type="dxa"/>
          </w:tcPr>
          <w:p w14:paraId="374E5B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90-75</w:t>
            </w:r>
          </w:p>
        </w:tc>
        <w:tc>
          <w:tcPr>
            <w:tcW w:w="643" w:type="dxa"/>
          </w:tcPr>
          <w:p w14:paraId="542AD0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90-45</w:t>
            </w:r>
          </w:p>
        </w:tc>
        <w:tc>
          <w:tcPr>
            <w:tcW w:w="528" w:type="dxa"/>
          </w:tcPr>
          <w:p w14:paraId="0983DF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614" w:type="dxa"/>
          </w:tcPr>
          <w:p w14:paraId="2325BA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605" w:type="dxa"/>
          </w:tcPr>
          <w:p w14:paraId="797D7D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634" w:type="dxa"/>
          </w:tcPr>
          <w:p w14:paraId="5E502E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576" w:type="dxa"/>
          </w:tcPr>
          <w:p w14:paraId="451165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Pr>
          <w:p w14:paraId="4773E7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r>
      <w:tr w:rsidR="00A907A5" w:rsidRPr="00271E51" w14:paraId="06FC5257" w14:textId="77777777" w:rsidTr="00ED5B0A">
        <w:trPr>
          <w:trHeight w:val="211"/>
        </w:trPr>
        <w:tc>
          <w:tcPr>
            <w:tcW w:w="566" w:type="dxa"/>
          </w:tcPr>
          <w:p w14:paraId="0B87BC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КВ-1С</w:t>
            </w:r>
          </w:p>
        </w:tc>
        <w:tc>
          <w:tcPr>
            <w:tcW w:w="509" w:type="dxa"/>
          </w:tcPr>
          <w:p w14:paraId="716573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75-69</w:t>
            </w:r>
          </w:p>
        </w:tc>
        <w:tc>
          <w:tcPr>
            <w:tcW w:w="643" w:type="dxa"/>
          </w:tcPr>
          <w:p w14:paraId="5C11BF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528" w:type="dxa"/>
          </w:tcPr>
          <w:p w14:paraId="2FE4E8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614" w:type="dxa"/>
          </w:tcPr>
          <w:p w14:paraId="7BBF30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605" w:type="dxa"/>
          </w:tcPr>
          <w:p w14:paraId="70BF2C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30-30</w:t>
            </w:r>
          </w:p>
        </w:tc>
        <w:tc>
          <w:tcPr>
            <w:tcW w:w="634" w:type="dxa"/>
          </w:tcPr>
          <w:p w14:paraId="712539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tc>
        <w:tc>
          <w:tcPr>
            <w:tcW w:w="576" w:type="dxa"/>
          </w:tcPr>
          <w:p w14:paraId="3C1771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730" w:type="dxa"/>
          </w:tcPr>
          <w:p w14:paraId="6A602F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tc>
      </w:tr>
      <w:tr w:rsidR="00A907A5" w:rsidRPr="00271E51" w14:paraId="7EA90545" w14:textId="77777777" w:rsidTr="00ED5B0A">
        <w:trPr>
          <w:trHeight w:val="221"/>
        </w:trPr>
        <w:tc>
          <w:tcPr>
            <w:tcW w:w="566" w:type="dxa"/>
          </w:tcPr>
          <w:p w14:paraId="18EF8F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Т-У1</w:t>
            </w:r>
          </w:p>
        </w:tc>
        <w:tc>
          <w:tcPr>
            <w:tcW w:w="509" w:type="dxa"/>
          </w:tcPr>
          <w:p w14:paraId="395474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643" w:type="dxa"/>
          </w:tcPr>
          <w:p w14:paraId="77FFC9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82-100</w:t>
            </w:r>
          </w:p>
        </w:tc>
        <w:tc>
          <w:tcPr>
            <w:tcW w:w="528" w:type="dxa"/>
          </w:tcPr>
          <w:p w14:paraId="2AE41C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614" w:type="dxa"/>
          </w:tcPr>
          <w:p w14:paraId="0C35E5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605" w:type="dxa"/>
          </w:tcPr>
          <w:p w14:paraId="0AB9A9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28-28</w:t>
            </w:r>
          </w:p>
        </w:tc>
        <w:tc>
          <w:tcPr>
            <w:tcW w:w="634" w:type="dxa"/>
          </w:tcPr>
          <w:p w14:paraId="0FA259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tc>
        <w:tc>
          <w:tcPr>
            <w:tcW w:w="576" w:type="dxa"/>
          </w:tcPr>
          <w:p w14:paraId="6262B0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w:t>
            </w:r>
          </w:p>
        </w:tc>
        <w:tc>
          <w:tcPr>
            <w:tcW w:w="730" w:type="dxa"/>
          </w:tcPr>
          <w:p w14:paraId="7F2662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r>
      <w:tr w:rsidR="00A907A5" w:rsidRPr="00271E51" w14:paraId="3B9BBEA2" w14:textId="77777777" w:rsidTr="00ED5B0A">
        <w:trPr>
          <w:trHeight w:val="202"/>
        </w:trPr>
        <w:tc>
          <w:tcPr>
            <w:tcW w:w="566" w:type="dxa"/>
          </w:tcPr>
          <w:p w14:paraId="353C2E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СУ-152</w:t>
            </w:r>
          </w:p>
        </w:tc>
        <w:tc>
          <w:tcPr>
            <w:tcW w:w="509" w:type="dxa"/>
          </w:tcPr>
          <w:p w14:paraId="60C7A6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643" w:type="dxa"/>
          </w:tcPr>
          <w:p w14:paraId="664A13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70-60</w:t>
            </w:r>
          </w:p>
        </w:tc>
        <w:tc>
          <w:tcPr>
            <w:tcW w:w="528" w:type="dxa"/>
          </w:tcPr>
          <w:p w14:paraId="42CE67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614" w:type="dxa"/>
          </w:tcPr>
          <w:p w14:paraId="03548F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605" w:type="dxa"/>
          </w:tcPr>
          <w:p w14:paraId="5E1BA8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30-30</w:t>
            </w:r>
          </w:p>
        </w:tc>
        <w:tc>
          <w:tcPr>
            <w:tcW w:w="634" w:type="dxa"/>
          </w:tcPr>
          <w:p w14:paraId="662656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w:t>
            </w:r>
          </w:p>
        </w:tc>
        <w:tc>
          <w:tcPr>
            <w:tcW w:w="576" w:type="dxa"/>
          </w:tcPr>
          <w:p w14:paraId="67C7A7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30" w:type="dxa"/>
          </w:tcPr>
          <w:p w14:paraId="716144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tc>
      </w:tr>
      <w:tr w:rsidR="00A907A5" w:rsidRPr="00271E51" w14:paraId="557C8F51" w14:textId="77777777" w:rsidTr="00ED5B0A">
        <w:trPr>
          <w:trHeight w:val="221"/>
        </w:trPr>
        <w:tc>
          <w:tcPr>
            <w:tcW w:w="566" w:type="dxa"/>
            <w:tcBorders>
              <w:bottom w:val="single" w:sz="12" w:space="0" w:color="auto"/>
            </w:tcBorders>
          </w:tcPr>
          <w:p w14:paraId="60ED19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Т-У1Р</w:t>
            </w:r>
          </w:p>
        </w:tc>
        <w:tc>
          <w:tcPr>
            <w:tcW w:w="509" w:type="dxa"/>
            <w:tcBorders>
              <w:bottom w:val="single" w:sz="12" w:space="0" w:color="auto"/>
            </w:tcBorders>
          </w:tcPr>
          <w:p w14:paraId="02F83C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643" w:type="dxa"/>
            <w:tcBorders>
              <w:bottom w:val="single" w:sz="12" w:space="0" w:color="auto"/>
            </w:tcBorders>
          </w:tcPr>
          <w:p w14:paraId="083ECE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tc>
        <w:tc>
          <w:tcPr>
            <w:tcW w:w="528" w:type="dxa"/>
            <w:tcBorders>
              <w:bottom w:val="single" w:sz="12" w:space="0" w:color="auto"/>
            </w:tcBorders>
          </w:tcPr>
          <w:p w14:paraId="6C7521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614" w:type="dxa"/>
            <w:tcBorders>
              <w:bottom w:val="single" w:sz="12" w:space="0" w:color="auto"/>
            </w:tcBorders>
          </w:tcPr>
          <w:p w14:paraId="648E22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605" w:type="dxa"/>
            <w:tcBorders>
              <w:bottom w:val="single" w:sz="12" w:space="0" w:color="auto"/>
            </w:tcBorders>
          </w:tcPr>
          <w:p w14:paraId="3BC4DF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bottom w:val="single" w:sz="12" w:space="0" w:color="auto"/>
            </w:tcBorders>
          </w:tcPr>
          <w:p w14:paraId="0AC95F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tc>
        <w:tc>
          <w:tcPr>
            <w:tcW w:w="576" w:type="dxa"/>
            <w:tcBorders>
              <w:bottom w:val="single" w:sz="12" w:space="0" w:color="auto"/>
            </w:tcBorders>
          </w:tcPr>
          <w:p w14:paraId="6A5B26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bottom w:val="single" w:sz="12" w:space="0" w:color="auto"/>
            </w:tcBorders>
          </w:tcPr>
          <w:p w14:paraId="45EAA3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bl>
    <w:p w14:paraId="2692FF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Ствол 75 мм орудия в 1,5 раза длиннее ствола нашего 76 мм орудия и снаряд обладает значительно большей на</w:t>
      </w:r>
      <w:r w:rsidRPr="00271E51">
        <w:rPr>
          <w:rFonts w:ascii="Times New Roman" w:hAnsi="Times New Roman"/>
          <w:color w:val="000000" w:themeColor="text1"/>
          <w:sz w:val="16"/>
          <w:szCs w:val="16"/>
        </w:rPr>
        <w:softHyphen/>
        <w:t>чальной скоростью.</w:t>
      </w:r>
    </w:p>
    <w:p w14:paraId="705FB8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как ярый патриот танковых войск, прошу Вас, това</w:t>
      </w:r>
      <w:r w:rsidRPr="00271E51">
        <w:rPr>
          <w:rFonts w:ascii="Times New Roman" w:hAnsi="Times New Roman"/>
          <w:color w:val="000000" w:themeColor="text1"/>
          <w:sz w:val="16"/>
          <w:szCs w:val="16"/>
        </w:rPr>
        <w:softHyphen/>
        <w:t>рищ маршал Советского Союза, сломать консерватизм и зазнайство наших танковых конструкторов и производст</w:t>
      </w:r>
      <w:r w:rsidRPr="00271E51">
        <w:rPr>
          <w:rFonts w:ascii="Times New Roman" w:hAnsi="Times New Roman"/>
          <w:color w:val="000000" w:themeColor="text1"/>
          <w:sz w:val="16"/>
          <w:szCs w:val="16"/>
        </w:rPr>
        <w:softHyphen/>
        <w:t>венников и со всей остротой поставит вопрос о массовом выпуске уже к зиме 1943 г. новых танков, превосходящих по своим боевым качествам и конструктивному оформлению ныне существующих типов немецких танков.</w:t>
      </w:r>
    </w:p>
    <w:p w14:paraId="23275E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прошу резко улучшить оснащение танко</w:t>
      </w:r>
      <w:r w:rsidRPr="00271E51">
        <w:rPr>
          <w:rFonts w:ascii="Times New Roman" w:hAnsi="Times New Roman"/>
          <w:color w:val="000000" w:themeColor="text1"/>
          <w:sz w:val="16"/>
          <w:szCs w:val="16"/>
        </w:rPr>
        <w:softHyphen/>
        <w:t>вых частей эвакуационными средствами.</w:t>
      </w:r>
    </w:p>
    <w:p w14:paraId="3850A6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все свои подбитые танки, как правило, эва</w:t>
      </w:r>
      <w:r w:rsidRPr="00271E51">
        <w:rPr>
          <w:rFonts w:ascii="Times New Roman" w:hAnsi="Times New Roman"/>
          <w:color w:val="000000" w:themeColor="text1"/>
          <w:sz w:val="16"/>
          <w:szCs w:val="16"/>
        </w:rPr>
        <w:softHyphen/>
        <w:t>куирует, а наши танкисты этой возможности зачастую быва</w:t>
      </w:r>
      <w:r w:rsidRPr="00271E51">
        <w:rPr>
          <w:rFonts w:ascii="Times New Roman" w:hAnsi="Times New Roman"/>
          <w:color w:val="000000" w:themeColor="text1"/>
          <w:sz w:val="16"/>
          <w:szCs w:val="16"/>
        </w:rPr>
        <w:softHyphen/>
        <w:t>ют лишены, в результате чего мы много теряем на этом в сро</w:t>
      </w:r>
      <w:r w:rsidRPr="00271E51">
        <w:rPr>
          <w:rFonts w:ascii="Times New Roman" w:hAnsi="Times New Roman"/>
          <w:color w:val="000000" w:themeColor="text1"/>
          <w:sz w:val="16"/>
          <w:szCs w:val="16"/>
        </w:rPr>
        <w:softHyphen/>
        <w:t>ках восстановления танков. Одновременно, в тех случаях, когда поле танковых боев на некоторый период остается за противником, наши ремонтники -взамен своих подбитых танков находят бесформенные груды металла, так как в этом году противник, оставляя поле боя, все наши подбитые тан</w:t>
      </w:r>
      <w:r w:rsidRPr="00271E51">
        <w:rPr>
          <w:rFonts w:ascii="Times New Roman" w:hAnsi="Times New Roman"/>
          <w:color w:val="000000" w:themeColor="text1"/>
          <w:sz w:val="16"/>
          <w:szCs w:val="16"/>
        </w:rPr>
        <w:softHyphen/>
        <w:t>ки взрывает.</w:t>
      </w:r>
    </w:p>
    <w:p w14:paraId="09009A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 войсками 5 гвардейской танковой армии Гвардии генерал-лейтенант танковых войск</w:t>
      </w:r>
    </w:p>
    <w:p w14:paraId="772561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(Ротмистров) (11135).</w:t>
      </w:r>
    </w:p>
    <w:p w14:paraId="702C1E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0FE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 была подготовлена ДОКЛАДНАЯ ЗАПИСКА КОМАНДУЮЩЕГО ВОЙСКАМИ 5-й ГВАРДЕЙСКОЙ ТАНКОВОЙ АРМИИ ПЕРВОМУ ЗАМЕСТИТЕЛЮ НАРКОМА ОБОРОНЫ СССР МАРШАЛУ СОВЕТСКОГО СОЮЗА ПК. ЖУКОВУ ПО ВОПРОСУ ЭФФЕКТИВНОСТИ ИСПОЛЬЗОВАНИЯ ТАНКОВ</w:t>
      </w:r>
    </w:p>
    <w:p w14:paraId="407B78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танковых боях и сражениях с 12 июля по 20 августа 1943 г. 5-я гвардейская танковая армия встре</w:t>
      </w:r>
      <w:r w:rsidRPr="00271E51">
        <w:rPr>
          <w:rFonts w:ascii="Times New Roman" w:hAnsi="Times New Roman"/>
          <w:color w:val="000000" w:themeColor="text1"/>
          <w:sz w:val="16"/>
          <w:szCs w:val="16"/>
        </w:rPr>
        <w:softHyphen/>
        <w:t>тилась с исключительно новыми типами танков противника. Больше всего на поле боя было танков Т-5 («Пантера»), в значительном количестве танки Т-6 («Тигр»), а также модернизированные танки Т-3 и Т-4. Командуя танковыми частями с первых дней Отечественной войны, я вынужден доложить Вам, что наши танки на сегодня потеряли свое превосходство перед танками противника в броне и вооружении. Вооружение, броня и прицельность огня у немецких танков стали гораздо выше, и только исключительное мужество наших танкистов, большая насыщенность танковых частей артиллерией не дали противнику возможности использовать до конца преимущества своих танков. Наличие мощ</w:t>
      </w:r>
      <w:r w:rsidRPr="00271E51">
        <w:rPr>
          <w:rFonts w:ascii="Times New Roman" w:hAnsi="Times New Roman"/>
          <w:color w:val="000000" w:themeColor="text1"/>
          <w:sz w:val="16"/>
          <w:szCs w:val="16"/>
        </w:rPr>
        <w:softHyphen/>
        <w:t>ного вооружения, сильной брони и хороших прицельных приспособлений у немецких танков ставит в явно невыгодное положение наши танки. Сильно снижается эффективность использования наших танков и увеличивается их выход из строя.</w:t>
      </w:r>
    </w:p>
    <w:p w14:paraId="5BC00A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Проведенные мною бои летом 1943 года убеждают меня в том, что и теперь мы самостоятельно маневренный танковый бой можем вести успешно, пользуясь отличными маневренными свойства</w:t>
      </w:r>
      <w:r w:rsidRPr="00271E51">
        <w:rPr>
          <w:rFonts w:ascii="Times New Roman" w:hAnsi="Times New Roman"/>
          <w:color w:val="000000" w:themeColor="text1"/>
          <w:sz w:val="16"/>
          <w:szCs w:val="16"/>
        </w:rPr>
        <w:softHyphen/>
        <w:t>ми нашего танка Т-34.</w:t>
      </w:r>
    </w:p>
    <w:p w14:paraId="715660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же немцы своими танковыми частями переходят хотя бы временно к обороне, то этим самым они лишают нас наших маневренных преимуществ, и наоборот, начинают в полной мере при</w:t>
      </w:r>
      <w:r w:rsidRPr="00271E51">
        <w:rPr>
          <w:rFonts w:ascii="Times New Roman" w:hAnsi="Times New Roman"/>
          <w:color w:val="000000" w:themeColor="text1"/>
          <w:sz w:val="16"/>
          <w:szCs w:val="16"/>
        </w:rPr>
        <w:softHyphen/>
        <w:t>менять прицельную дальность своих новых танковых пушек, находясь в тоже время почти в полной недосягаемости от нашего прицельного танкового огня.</w:t>
      </w:r>
    </w:p>
    <w:p w14:paraId="19CEE4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при столкновении с перешедшими к обороне немецкими танковыми частями мы, как общее правило, несем огромные потери в танках и успеха не имеем.</w:t>
      </w:r>
    </w:p>
    <w:p w14:paraId="312BDF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противопоставив нашим танкам Т-34 и КВ свои танки Т-5 («Пантера») и Т-6 («Тигр»), уже не испытывают былой танкобоязни на полях танковых сражений.</w:t>
      </w:r>
    </w:p>
    <w:p w14:paraId="7B27C5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Т-70 просто нельзя стало допускать к танковому бою, так как они более чем легко уни</w:t>
      </w:r>
      <w:r w:rsidRPr="00271E51">
        <w:rPr>
          <w:rFonts w:ascii="Times New Roman" w:hAnsi="Times New Roman"/>
          <w:color w:val="000000" w:themeColor="text1"/>
          <w:sz w:val="16"/>
          <w:szCs w:val="16"/>
        </w:rPr>
        <w:softHyphen/>
        <w:t>чтожаются огнем немецких танков.</w:t>
      </w:r>
    </w:p>
    <w:p w14:paraId="3FD166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Приходится с горечью констатировать, что наша танковая техника, если не считать введение на вооружение самоходных артиллерийских установок СУ-122 и СУ-152, за годы войны не дала ничего нового, а имевшие место недочеты на танках первого выпуска, как то: несовершенство трансмисси</w:t>
      </w:r>
      <w:r w:rsidRPr="00271E51">
        <w:rPr>
          <w:rFonts w:ascii="Times New Roman" w:hAnsi="Times New Roman"/>
          <w:color w:val="000000" w:themeColor="text1"/>
          <w:sz w:val="16"/>
          <w:szCs w:val="16"/>
        </w:rPr>
        <w:softHyphen/>
        <w:t>онной группы (главный фрикцион, коробка перемены передач и бортовые фрикционы), крайне мед</w:t>
      </w:r>
      <w:r w:rsidRPr="00271E51">
        <w:rPr>
          <w:rFonts w:ascii="Times New Roman" w:hAnsi="Times New Roman"/>
          <w:color w:val="000000" w:themeColor="text1"/>
          <w:sz w:val="16"/>
          <w:szCs w:val="16"/>
        </w:rPr>
        <w:softHyphen/>
        <w:t>ленный и неравномерный поворот башни, исключительно плохая видимость и теснота размещения экипажа, остались не полностью устраненными и на сегодня.</w:t>
      </w:r>
    </w:p>
    <w:p w14:paraId="5F55CE4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наша авиация за годы Отечественной войны по свом тактико-техническим данным неу</w:t>
      </w:r>
      <w:r w:rsidRPr="00271E51">
        <w:rPr>
          <w:rFonts w:ascii="Times New Roman" w:hAnsi="Times New Roman"/>
          <w:color w:val="000000" w:themeColor="text1"/>
          <w:sz w:val="16"/>
          <w:szCs w:val="16"/>
        </w:rPr>
        <w:softHyphen/>
        <w:t xml:space="preserve">клонно идет вперед, давая все новые и новые более совершенные боевые </w:t>
      </w:r>
      <w:r w:rsidRPr="00271E51">
        <w:rPr>
          <w:rFonts w:ascii="Times New Roman" w:hAnsi="Times New Roman"/>
          <w:color w:val="000000" w:themeColor="text1"/>
          <w:sz w:val="16"/>
          <w:szCs w:val="16"/>
        </w:rPr>
        <w:lastRenderedPageBreak/>
        <w:t>самолеты, то, к сожале</w:t>
      </w:r>
      <w:r w:rsidRPr="00271E51">
        <w:rPr>
          <w:rFonts w:ascii="Times New Roman" w:hAnsi="Times New Roman"/>
          <w:color w:val="000000" w:themeColor="text1"/>
          <w:sz w:val="16"/>
          <w:szCs w:val="16"/>
        </w:rPr>
        <w:softHyphen/>
        <w:t>нию, этого нельзя сказать про наши танки.</w:t>
      </w:r>
    </w:p>
    <w:p w14:paraId="79D695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Ныне танки Т-34 и КВ потеряли первое место, которое они по праву имели среди танков воюю</w:t>
      </w:r>
      <w:r w:rsidRPr="00271E51">
        <w:rPr>
          <w:rFonts w:ascii="Times New Roman" w:hAnsi="Times New Roman"/>
          <w:color w:val="000000" w:themeColor="text1"/>
          <w:sz w:val="16"/>
          <w:szCs w:val="16"/>
        </w:rPr>
        <w:softHyphen/>
        <w:t>щих стран в первые дни войны.</w:t>
      </w:r>
    </w:p>
    <w:p w14:paraId="383967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в декабре месяце 1941 года мною была захвачена секретная инструкция немецкого коман</w:t>
      </w:r>
      <w:r w:rsidRPr="00271E51">
        <w:rPr>
          <w:rFonts w:ascii="Times New Roman" w:hAnsi="Times New Roman"/>
          <w:color w:val="000000" w:themeColor="text1"/>
          <w:sz w:val="16"/>
          <w:szCs w:val="16"/>
        </w:rPr>
        <w:softHyphen/>
        <w:t>дования, которая была написана на основе проведенных немцами полигонных испытаний наших танков КВ и Т-34.</w:t>
      </w:r>
    </w:p>
    <w:p w14:paraId="0D3F40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результат этих испытаний, в инструкции было написано примерно следующее: немецкие танки вести танковый бой с русскими танками КВ и Т-34 не могут и должны такового боя избегать. При встрече с русскими танками рекомендовать прикрываться артиллерией и переносить действия танковых частей на другой участок фронта.</w:t>
      </w:r>
    </w:p>
    <w:p w14:paraId="4E931B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действительно, если вспомнить наши танковые бои 1941-1942 гг., то можно утверждать, что немцы обычно и не вступали с нами в бой без помощи других родов войск, а если и вступали, то при многократном превосходстве в числе своих танков, чего им было не трудно достичь в 1941 и в 1942 гг.</w:t>
      </w:r>
    </w:p>
    <w:p w14:paraId="7C9785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базе нашего танка Т-34 — лучшего танка в мире к началу войны немцы в 1943 г. сумели дать еще более усовершенствованный танк Т-5 («Пантера»), который, по сути дела, является копией нашего танка Т-34, по своим качествам стоит значительно выше танка Т-34 и, в особенности по качеству вооружения.</w:t>
      </w:r>
    </w:p>
    <w:p w14:paraId="5BE722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характеристики и сравнения наших и немецких танков привожу следующую таблицу:</w:t>
      </w:r>
    </w:p>
    <w:tbl>
      <w:tblPr>
        <w:tblW w:w="0" w:type="auto"/>
        <w:tblInd w:w="40" w:type="dxa"/>
        <w:tblLayout w:type="fixed"/>
        <w:tblCellMar>
          <w:left w:w="40" w:type="dxa"/>
          <w:right w:w="40" w:type="dxa"/>
        </w:tblCellMar>
        <w:tblLook w:val="0000" w:firstRow="0" w:lastRow="0" w:firstColumn="0" w:lastColumn="0" w:noHBand="0" w:noVBand="0"/>
      </w:tblPr>
      <w:tblGrid>
        <w:gridCol w:w="1334"/>
        <w:gridCol w:w="922"/>
        <w:gridCol w:w="922"/>
        <w:gridCol w:w="912"/>
        <w:gridCol w:w="922"/>
        <w:gridCol w:w="922"/>
        <w:gridCol w:w="912"/>
        <w:gridCol w:w="922"/>
        <w:gridCol w:w="931"/>
      </w:tblGrid>
      <w:tr w:rsidR="00A907A5" w:rsidRPr="00271E51" w14:paraId="7AB29480" w14:textId="77777777" w:rsidTr="00ED5B0A">
        <w:trPr>
          <w:trHeight w:val="595"/>
        </w:trPr>
        <w:tc>
          <w:tcPr>
            <w:tcW w:w="1334" w:type="dxa"/>
            <w:tcBorders>
              <w:top w:val="single" w:sz="6" w:space="0" w:color="auto"/>
              <w:left w:val="single" w:sz="6" w:space="0" w:color="auto"/>
              <w:bottom w:val="single" w:sz="6" w:space="0" w:color="auto"/>
              <w:right w:val="single" w:sz="6" w:space="0" w:color="auto"/>
            </w:tcBorders>
          </w:tcPr>
          <w:p w14:paraId="4D1DE2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танка и СУ</w:t>
            </w:r>
          </w:p>
          <w:p w14:paraId="0E95F2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8643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носа в мм</w:t>
            </w:r>
          </w:p>
          <w:p w14:paraId="1EEA3E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B6DE5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Лоб башни и кормы</w:t>
            </w:r>
          </w:p>
          <w:p w14:paraId="620AA0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CCDFD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w:t>
            </w:r>
          </w:p>
          <w:p w14:paraId="157FDB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269A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w:t>
            </w:r>
          </w:p>
          <w:p w14:paraId="150A9F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8462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Крыша днище</w:t>
            </w:r>
          </w:p>
          <w:p w14:paraId="18B667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A7EB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пушки в мм</w:t>
            </w:r>
          </w:p>
          <w:p w14:paraId="4CF6AE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92A1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снарядов</w:t>
            </w:r>
          </w:p>
          <w:p w14:paraId="4A503C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31B2F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w:t>
            </w:r>
          </w:p>
          <w:p w14:paraId="45020C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6DFF56" w14:textId="77777777" w:rsidTr="00ED5B0A">
        <w:trPr>
          <w:trHeight w:val="269"/>
        </w:trPr>
        <w:tc>
          <w:tcPr>
            <w:tcW w:w="1334" w:type="dxa"/>
            <w:tcBorders>
              <w:top w:val="single" w:sz="6" w:space="0" w:color="auto"/>
              <w:left w:val="single" w:sz="6" w:space="0" w:color="auto"/>
              <w:bottom w:val="single" w:sz="6" w:space="0" w:color="auto"/>
              <w:right w:val="single" w:sz="6" w:space="0" w:color="auto"/>
            </w:tcBorders>
          </w:tcPr>
          <w:p w14:paraId="2FF7FC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Т-34</w:t>
            </w:r>
          </w:p>
          <w:p w14:paraId="57ADA3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B68213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p w14:paraId="24CE9E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A69A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95/75</w:t>
            </w:r>
          </w:p>
          <w:p w14:paraId="037038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32C53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p w14:paraId="56953F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C009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p w14:paraId="002854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62C40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20-15</w:t>
            </w:r>
          </w:p>
          <w:p w14:paraId="0AAA8B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BC805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p w14:paraId="538DB4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5B34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0BF3AF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E96BB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p w14:paraId="17B1B4B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6D170A" w14:textId="77777777" w:rsidTr="00ED5B0A">
        <w:trPr>
          <w:trHeight w:val="278"/>
        </w:trPr>
        <w:tc>
          <w:tcPr>
            <w:tcW w:w="1334" w:type="dxa"/>
            <w:tcBorders>
              <w:top w:val="single" w:sz="6" w:space="0" w:color="auto"/>
              <w:left w:val="single" w:sz="6" w:space="0" w:color="auto"/>
              <w:bottom w:val="single" w:sz="6" w:space="0" w:color="auto"/>
              <w:right w:val="single" w:sz="6" w:space="0" w:color="auto"/>
            </w:tcBorders>
          </w:tcPr>
          <w:p w14:paraId="71E944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ТЛ/</w:t>
            </w:r>
          </w:p>
          <w:p w14:paraId="1CF8E6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3B9B09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90-75</w:t>
            </w:r>
          </w:p>
          <w:p w14:paraId="55B769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55DC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90/45</w:t>
            </w:r>
          </w:p>
          <w:p w14:paraId="10F1B9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478D8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p w14:paraId="4B28E6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B1639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p w14:paraId="1EBB41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C7EE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p w14:paraId="61286E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721118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&gt;</w:t>
            </w:r>
          </w:p>
          <w:p w14:paraId="7AA96D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0E49A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720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5706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AEC2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93C275" w14:textId="77777777" w:rsidTr="00ED5B0A">
        <w:trPr>
          <w:trHeight w:val="278"/>
        </w:trPr>
        <w:tc>
          <w:tcPr>
            <w:tcW w:w="1334" w:type="dxa"/>
            <w:tcBorders>
              <w:top w:val="single" w:sz="6" w:space="0" w:color="auto"/>
              <w:left w:val="single" w:sz="6" w:space="0" w:color="auto"/>
              <w:bottom w:val="single" w:sz="6" w:space="0" w:color="auto"/>
              <w:right w:val="single" w:sz="6" w:space="0" w:color="auto"/>
            </w:tcBorders>
          </w:tcPr>
          <w:p w14:paraId="1719CD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КВ-1С</w:t>
            </w:r>
          </w:p>
          <w:p w14:paraId="53E1ED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4EF4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75-60</w:t>
            </w:r>
          </w:p>
          <w:p w14:paraId="790D16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2F44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5E61FB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000AD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6513CE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3F4E3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24BD55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74A3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30-30</w:t>
            </w:r>
          </w:p>
          <w:p w14:paraId="2BB7D0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B589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p w14:paraId="6063C4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7BE4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p w14:paraId="21FBE3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759E7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2F0270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8E9139" w14:textId="77777777" w:rsidTr="00ED5B0A">
        <w:trPr>
          <w:trHeight w:val="278"/>
        </w:trPr>
        <w:tc>
          <w:tcPr>
            <w:tcW w:w="1334" w:type="dxa"/>
            <w:tcBorders>
              <w:top w:val="single" w:sz="6" w:space="0" w:color="auto"/>
              <w:left w:val="single" w:sz="6" w:space="0" w:color="auto"/>
              <w:bottom w:val="single" w:sz="6" w:space="0" w:color="auto"/>
              <w:right w:val="single" w:sz="6" w:space="0" w:color="auto"/>
            </w:tcBorders>
          </w:tcPr>
          <w:p w14:paraId="3E97C5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ТЛ/1</w:t>
            </w:r>
          </w:p>
          <w:p w14:paraId="5F85F4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10E31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087E5B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97B1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82/100</w:t>
            </w:r>
          </w:p>
          <w:p w14:paraId="408A61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7D79E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45D99C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6104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4D0677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2EB1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28-28</w:t>
            </w:r>
          </w:p>
          <w:p w14:paraId="7659F7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485F1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p w14:paraId="518932C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76F07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w:t>
            </w:r>
          </w:p>
          <w:p w14:paraId="1986D8A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53195B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p w14:paraId="3A4895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8861FB" w14:textId="77777777" w:rsidTr="00ED5B0A">
        <w:trPr>
          <w:trHeight w:val="278"/>
        </w:trPr>
        <w:tc>
          <w:tcPr>
            <w:tcW w:w="1334" w:type="dxa"/>
            <w:tcBorders>
              <w:top w:val="single" w:sz="6" w:space="0" w:color="auto"/>
              <w:left w:val="single" w:sz="6" w:space="0" w:color="auto"/>
              <w:bottom w:val="single" w:sz="6" w:space="0" w:color="auto"/>
              <w:right w:val="single" w:sz="6" w:space="0" w:color="auto"/>
            </w:tcBorders>
          </w:tcPr>
          <w:p w14:paraId="3165F6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СУ-152</w:t>
            </w:r>
          </w:p>
          <w:p w14:paraId="2FBF87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1BBD8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7E71BB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2D4E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70/60</w:t>
            </w:r>
          </w:p>
          <w:p w14:paraId="21163B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D0208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01FFE6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129AD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6E989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41B6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30-30</w:t>
            </w:r>
          </w:p>
          <w:p w14:paraId="5BF8D8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498F2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w:t>
            </w:r>
          </w:p>
          <w:p w14:paraId="2A8B43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BA0D1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2385E2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24E13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683F89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83D0EF" w14:textId="77777777" w:rsidTr="00ED5B0A">
        <w:trPr>
          <w:trHeight w:val="288"/>
        </w:trPr>
        <w:tc>
          <w:tcPr>
            <w:tcW w:w="1334" w:type="dxa"/>
            <w:tcBorders>
              <w:top w:val="single" w:sz="6" w:space="0" w:color="auto"/>
              <w:left w:val="single" w:sz="6" w:space="0" w:color="auto"/>
              <w:bottom w:val="single" w:sz="6" w:space="0" w:color="auto"/>
              <w:right w:val="single" w:sz="6" w:space="0" w:color="auto"/>
            </w:tcBorders>
          </w:tcPr>
          <w:p w14:paraId="5323C1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Фердинанд</w:t>
            </w:r>
          </w:p>
          <w:p w14:paraId="1DBAE4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EE8A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4B39E3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DD99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648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50B58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p w14:paraId="0F425B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BAAE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p w14:paraId="37B7FF8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8D2FD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61F1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58D1D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p w14:paraId="71A600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86A1E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E43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BF08D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266F51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6F329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Ствол 75-мм орудия в 1,5 раза длиннее ствола нашего 76-мм орудия и снаряд обладает значи-тельно большей начальной скоростью.</w:t>
      </w:r>
    </w:p>
    <w:p w14:paraId="29893B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как ярый патриот танковых войск, прошу Вас, товарищ Маршал Советского Союза, сломать консерватизм и зазнайство наших танковых конструкторов и производственников, и со всей остротой поставить вопрос о массовом выпуске уже к зиме 1943 года новых танков, превосходящих по своим боевым качествам и конструктивному оформлению ныне существующие типы немецких танков.</w:t>
      </w:r>
    </w:p>
    <w:p w14:paraId="10AFFB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прошу резко улучшить оснащение танковых частей эвакуационными средствами.</w:t>
      </w:r>
    </w:p>
    <w:p w14:paraId="4A5022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все свои подбитые танки, как правило, эвакуирует, а наши танкисты этой возмож</w:t>
      </w:r>
      <w:r w:rsidRPr="00271E51">
        <w:rPr>
          <w:rFonts w:ascii="Times New Roman" w:hAnsi="Times New Roman"/>
          <w:color w:val="000000" w:themeColor="text1"/>
          <w:sz w:val="16"/>
          <w:szCs w:val="16"/>
        </w:rPr>
        <w:softHyphen/>
        <w:t>ности зачастую бывают лишены, в результате чего мы много теряем на этом в сроках восстановле</w:t>
      </w:r>
      <w:r w:rsidRPr="00271E51">
        <w:rPr>
          <w:rFonts w:ascii="Times New Roman" w:hAnsi="Times New Roman"/>
          <w:color w:val="000000" w:themeColor="text1"/>
          <w:sz w:val="16"/>
          <w:szCs w:val="16"/>
        </w:rPr>
        <w:softHyphen/>
        <w:t>ния танков. Одновременно в тех случаях, когда поле танковых боев на некоторый период остается за противником, наши ремонтники взамен своих подбитых танков находят бесформенные груды металла, так как в этом году противник, оставляя поле боя, все наши подбитые танки взрывает.</w:t>
      </w:r>
    </w:p>
    <w:p w14:paraId="7F401A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войсками 5-й гвардейской танковой армии гвардии генерал-лейтенант танковых войск Ротмистров</w:t>
      </w:r>
      <w:r w:rsidRPr="00271E51">
        <w:rPr>
          <w:rFonts w:ascii="Times New Roman" w:hAnsi="Times New Roman"/>
          <w:color w:val="000000" w:themeColor="text1"/>
          <w:sz w:val="16"/>
          <w:szCs w:val="16"/>
          <w:vertAlign w:val="superscript"/>
        </w:rPr>
        <w:t>1</w:t>
      </w:r>
    </w:p>
    <w:p w14:paraId="5949FF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1408. Л. 48-52. Подлинник.</w:t>
      </w:r>
    </w:p>
    <w:p w14:paraId="06EB3F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1944 года приказом НКО №0300 назначен заместителем командующего БТ и МВ КА (11403).</w:t>
      </w:r>
    </w:p>
    <w:p w14:paraId="09E917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5A3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 командующий 5-й гвардейской танковой армии П. Ротмист</w:t>
      </w:r>
      <w:r w:rsidRPr="00271E51">
        <w:rPr>
          <w:rFonts w:ascii="Times New Roman" w:hAnsi="Times New Roman"/>
          <w:color w:val="000000" w:themeColor="text1"/>
          <w:sz w:val="16"/>
          <w:szCs w:val="16"/>
        </w:rPr>
        <w:softHyphen/>
        <w:t>ров напра</w:t>
      </w:r>
      <w:r w:rsidRPr="00271E51">
        <w:rPr>
          <w:rFonts w:ascii="Times New Roman" w:hAnsi="Times New Roman"/>
          <w:color w:val="000000" w:themeColor="text1"/>
          <w:sz w:val="16"/>
          <w:szCs w:val="16"/>
        </w:rPr>
        <w:softHyphen/>
        <w:t>вил письмо первому заместителю Народного комиссара обо</w:t>
      </w:r>
      <w:r w:rsidRPr="00271E51">
        <w:rPr>
          <w:rFonts w:ascii="Times New Roman" w:hAnsi="Times New Roman"/>
          <w:color w:val="000000" w:themeColor="text1"/>
          <w:sz w:val="16"/>
          <w:szCs w:val="16"/>
        </w:rPr>
        <w:softHyphen/>
        <w:t>роны СССР, маршалу Советского Союза Г. Жукову.</w:t>
      </w:r>
    </w:p>
    <w:p w14:paraId="150B34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Письмо было весьма пространным и в нем говорилось, что с 12 июля по 20 августа 1943 г. в танковых сражениях 5 гв. Танковая Армия встретилась исключительно с новыми типами танков противника. По словам П. Ротмистрова на поле боя больше всего было именно танков Рг V («Панте</w:t>
      </w:r>
      <w:r w:rsidRPr="00271E51">
        <w:rPr>
          <w:rFonts w:ascii="Times New Roman" w:hAnsi="Times New Roman"/>
          <w:color w:val="000000" w:themeColor="text1"/>
          <w:sz w:val="16"/>
          <w:szCs w:val="16"/>
        </w:rPr>
        <w:softHyphen/>
        <w:t>ра»), в значительном количестве были танки Рг VI («Тигр»),</w:t>
      </w:r>
    </w:p>
    <w:p w14:paraId="69E3C1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также модернизированные танки Рг III и Рг IV, после чего шел оправдательный пассаж:</w:t>
      </w:r>
    </w:p>
    <w:p w14:paraId="6175BCF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«Командуя танковыми частями с первых дней Отечест</w:t>
      </w:r>
      <w:r w:rsidRPr="00271E51">
        <w:rPr>
          <w:rFonts w:ascii="Times New Roman" w:hAnsi="Times New Roman"/>
          <w:color w:val="000000" w:themeColor="text1"/>
          <w:sz w:val="16"/>
          <w:szCs w:val="16"/>
        </w:rPr>
        <w:softHyphen/>
        <w:t>венной войны, я вынужден доложить Вам, что наши танки на сегодня потеряли свое превосходство перед танками против</w:t>
      </w:r>
      <w:r w:rsidRPr="00271E51">
        <w:rPr>
          <w:rFonts w:ascii="Times New Roman" w:hAnsi="Times New Roman"/>
          <w:color w:val="000000" w:themeColor="text1"/>
          <w:sz w:val="16"/>
          <w:szCs w:val="16"/>
        </w:rPr>
        <w:softHyphen/>
        <w:t>ника в броне и вооружении.</w:t>
      </w:r>
    </w:p>
    <w:p w14:paraId="7CDE90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броня и прицельность огня у немецких тан</w:t>
      </w:r>
      <w:r w:rsidRPr="00271E51">
        <w:rPr>
          <w:rFonts w:ascii="Times New Roman" w:hAnsi="Times New Roman"/>
          <w:color w:val="000000" w:themeColor="text1"/>
          <w:sz w:val="16"/>
          <w:szCs w:val="16"/>
        </w:rPr>
        <w:softHyphen/>
        <w:t>ков стали гораздо выше и только исключительное мужество наших танкистов, большая насыщенность танковых частей артиллерией не дали противнику возможности использовать до конца преимущества своих танков. Наличие мощного во</w:t>
      </w:r>
      <w:r w:rsidRPr="00271E51">
        <w:rPr>
          <w:rFonts w:ascii="Times New Roman" w:hAnsi="Times New Roman"/>
          <w:color w:val="000000" w:themeColor="text1"/>
          <w:sz w:val="16"/>
          <w:szCs w:val="16"/>
        </w:rPr>
        <w:softHyphen/>
        <w:t>оружения, сильной брони и хороших прицельных приспособле</w:t>
      </w:r>
      <w:r w:rsidRPr="00271E51">
        <w:rPr>
          <w:rFonts w:ascii="Times New Roman" w:hAnsi="Times New Roman"/>
          <w:color w:val="000000" w:themeColor="text1"/>
          <w:sz w:val="16"/>
          <w:szCs w:val="16"/>
        </w:rPr>
        <w:softHyphen/>
        <w:t>ний у немецких танков ставит в явно невыгодное положение наши танки. Сильно снижается эффективность использова</w:t>
      </w:r>
      <w:r w:rsidRPr="00271E51">
        <w:rPr>
          <w:rFonts w:ascii="Times New Roman" w:hAnsi="Times New Roman"/>
          <w:color w:val="000000" w:themeColor="text1"/>
          <w:sz w:val="16"/>
          <w:szCs w:val="16"/>
        </w:rPr>
        <w:softHyphen/>
        <w:t>ния наших танков и увеличивается их выход из строя».</w:t>
      </w:r>
    </w:p>
    <w:p w14:paraId="015CDF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автор письма говорил, что готов успешно маневри</w:t>
      </w:r>
      <w:r w:rsidRPr="00271E51">
        <w:rPr>
          <w:rFonts w:ascii="Times New Roman" w:hAnsi="Times New Roman"/>
          <w:color w:val="000000" w:themeColor="text1"/>
          <w:sz w:val="16"/>
          <w:szCs w:val="16"/>
        </w:rPr>
        <w:softHyphen/>
        <w:t>ровать против новых немецких танков, используя подвиж</w:t>
      </w:r>
      <w:r w:rsidRPr="00271E51">
        <w:rPr>
          <w:rFonts w:ascii="Times New Roman" w:hAnsi="Times New Roman"/>
          <w:color w:val="000000" w:themeColor="text1"/>
          <w:sz w:val="16"/>
          <w:szCs w:val="16"/>
        </w:rPr>
        <w:softHyphen/>
        <w:t>ность Т-34, но как только немцы переходят к обороне и ли</w:t>
      </w:r>
      <w:r w:rsidRPr="00271E51">
        <w:rPr>
          <w:rFonts w:ascii="Times New Roman" w:hAnsi="Times New Roman"/>
          <w:color w:val="000000" w:themeColor="text1"/>
          <w:sz w:val="16"/>
          <w:szCs w:val="16"/>
        </w:rPr>
        <w:softHyphen/>
        <w:t>шают наши войска преимущества в маневренности, то пре</w:t>
      </w:r>
      <w:r w:rsidRPr="00271E51">
        <w:rPr>
          <w:rFonts w:ascii="Times New Roman" w:hAnsi="Times New Roman"/>
          <w:color w:val="000000" w:themeColor="text1"/>
          <w:sz w:val="16"/>
          <w:szCs w:val="16"/>
        </w:rPr>
        <w:softHyphen/>
        <w:t>красно реализуют свою «длинную руку» - длинноствольные танковые и самоходные пушки, способные подбить Т-34, на</w:t>
      </w:r>
      <w:r w:rsidRPr="00271E51">
        <w:rPr>
          <w:rFonts w:ascii="Times New Roman" w:hAnsi="Times New Roman"/>
          <w:color w:val="000000" w:themeColor="text1"/>
          <w:sz w:val="16"/>
          <w:szCs w:val="16"/>
        </w:rPr>
        <w:softHyphen/>
        <w:t>ходясь за пределами дальности прицельного огня Т-34 и КВ.</w:t>
      </w:r>
    </w:p>
    <w:p w14:paraId="630255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противопоставив нашим танкам Т-34 и КВ свои танки Т-У («Пантера») и Т-У1 («Тигр»), уже не испытыва</w:t>
      </w:r>
      <w:r w:rsidRPr="00271E51">
        <w:rPr>
          <w:rFonts w:ascii="Times New Roman" w:hAnsi="Times New Roman"/>
          <w:color w:val="000000" w:themeColor="text1"/>
          <w:sz w:val="16"/>
          <w:szCs w:val="16"/>
        </w:rPr>
        <w:softHyphen/>
        <w:t>ют былой танкобоязни на полях сражений.</w:t>
      </w:r>
    </w:p>
    <w:p w14:paraId="6BA15D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Т-70 просто нельзя стало допускать к танковому бою, так как они более чем легко уничтожаются огнем не</w:t>
      </w:r>
      <w:r w:rsidRPr="00271E51">
        <w:rPr>
          <w:rFonts w:ascii="Times New Roman" w:hAnsi="Times New Roman"/>
          <w:color w:val="000000" w:themeColor="text1"/>
          <w:sz w:val="16"/>
          <w:szCs w:val="16"/>
        </w:rPr>
        <w:softHyphen/>
        <w:t>мецких танков.</w:t>
      </w:r>
    </w:p>
    <w:p w14:paraId="288920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Приходится с горечью констатировать, что наша тан</w:t>
      </w:r>
      <w:r w:rsidRPr="00271E51">
        <w:rPr>
          <w:rFonts w:ascii="Times New Roman" w:hAnsi="Times New Roman"/>
          <w:color w:val="000000" w:themeColor="text1"/>
          <w:sz w:val="16"/>
          <w:szCs w:val="16"/>
        </w:rPr>
        <w:softHyphen/>
        <w:t>ковая техника, если не считать введение на вооружение са</w:t>
      </w:r>
      <w:r w:rsidRPr="00271E51">
        <w:rPr>
          <w:rFonts w:ascii="Times New Roman" w:hAnsi="Times New Roman"/>
          <w:color w:val="000000" w:themeColor="text1"/>
          <w:sz w:val="16"/>
          <w:szCs w:val="16"/>
        </w:rPr>
        <w:softHyphen/>
        <w:t>моходных установок СУ-122 и СУ-152, за годы войны не дала ничего нового, а имевшие место недочеты на танках первого выпуска, как-то: несовершенство трансмиссионной группы (главный фрикцион, коробка перемены передач и бортовые фрикционы), крайне медленный и неравномерный поворот башни, исключительно плохая видимость и теснота разме</w:t>
      </w:r>
      <w:r w:rsidRPr="00271E51">
        <w:rPr>
          <w:rFonts w:ascii="Times New Roman" w:hAnsi="Times New Roman"/>
          <w:color w:val="000000" w:themeColor="text1"/>
          <w:sz w:val="16"/>
          <w:szCs w:val="16"/>
        </w:rPr>
        <w:softHyphen/>
        <w:t>щения экипажа не полностью устраненными и на сегодня.</w:t>
      </w:r>
    </w:p>
    <w:p w14:paraId="2FBEC6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наша авиация за годы Отечественной войны по сво</w:t>
      </w:r>
      <w:r w:rsidRPr="00271E51">
        <w:rPr>
          <w:rFonts w:ascii="Times New Roman" w:hAnsi="Times New Roman"/>
          <w:color w:val="000000" w:themeColor="text1"/>
          <w:sz w:val="16"/>
          <w:szCs w:val="16"/>
        </w:rPr>
        <w:softHyphen/>
        <w:t>им тактико-техническим данным неуклонно идет вперед, да</w:t>
      </w:r>
      <w:r w:rsidRPr="00271E51">
        <w:rPr>
          <w:rFonts w:ascii="Times New Roman" w:hAnsi="Times New Roman"/>
          <w:color w:val="000000" w:themeColor="text1"/>
          <w:sz w:val="16"/>
          <w:szCs w:val="16"/>
        </w:rPr>
        <w:softHyphen/>
        <w:t>вая все новые и новые более совершенные самолеты, то к со</w:t>
      </w:r>
      <w:r w:rsidRPr="00271E51">
        <w:rPr>
          <w:rFonts w:ascii="Times New Roman" w:hAnsi="Times New Roman"/>
          <w:color w:val="000000" w:themeColor="text1"/>
          <w:sz w:val="16"/>
          <w:szCs w:val="16"/>
        </w:rPr>
        <w:softHyphen/>
        <w:t>жалению этого нельзя сказать про наши танки...</w:t>
      </w:r>
    </w:p>
    <w:p w14:paraId="44D505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Ныне танки Т-34 и КВ потеряли первое место, которое они по праву имели среди танков воюющих стран в первые дни войны.</w:t>
      </w:r>
    </w:p>
    <w:p w14:paraId="3B3212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действительно, если вспомнить наши танковые бои 1941 и 1942гг., то можно утверждать, что немцы обычно и не всту</w:t>
      </w:r>
      <w:r w:rsidRPr="00271E51">
        <w:rPr>
          <w:rFonts w:ascii="Times New Roman" w:hAnsi="Times New Roman"/>
          <w:color w:val="000000" w:themeColor="text1"/>
          <w:sz w:val="16"/>
          <w:szCs w:val="16"/>
        </w:rPr>
        <w:softHyphen/>
        <w:t>пали с нами в бой без помощи других родов войск, а если и всту</w:t>
      </w:r>
      <w:r w:rsidRPr="00271E51">
        <w:rPr>
          <w:rFonts w:ascii="Times New Roman" w:hAnsi="Times New Roman"/>
          <w:color w:val="000000" w:themeColor="text1"/>
          <w:sz w:val="16"/>
          <w:szCs w:val="16"/>
        </w:rPr>
        <w:softHyphen/>
        <w:t>пали, то при многократном превосходстве в числе своих тан</w:t>
      </w:r>
      <w:r w:rsidRPr="00271E51">
        <w:rPr>
          <w:rFonts w:ascii="Times New Roman" w:hAnsi="Times New Roman"/>
          <w:color w:val="000000" w:themeColor="text1"/>
          <w:sz w:val="16"/>
          <w:szCs w:val="16"/>
        </w:rPr>
        <w:softHyphen/>
        <w:t>ков, чего им было не трудно достичь в 1941 г. и в 1942году...</w:t>
      </w:r>
    </w:p>
    <w:p w14:paraId="0AF171F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как ярый патриот танковых войск, прошу Вас, това</w:t>
      </w:r>
      <w:r w:rsidRPr="00271E51">
        <w:rPr>
          <w:rFonts w:ascii="Times New Roman" w:hAnsi="Times New Roman"/>
          <w:color w:val="000000" w:themeColor="text1"/>
          <w:sz w:val="16"/>
          <w:szCs w:val="16"/>
        </w:rPr>
        <w:softHyphen/>
        <w:t>рищ маршал Советского Союза, сломать консерватизм и за</w:t>
      </w:r>
      <w:r w:rsidRPr="00271E51">
        <w:rPr>
          <w:rFonts w:ascii="Times New Roman" w:hAnsi="Times New Roman"/>
          <w:color w:val="000000" w:themeColor="text1"/>
          <w:sz w:val="16"/>
          <w:szCs w:val="16"/>
        </w:rPr>
        <w:softHyphen/>
        <w:t>знайство наших танковых конструкторов и производствен</w:t>
      </w:r>
      <w:r w:rsidRPr="00271E51">
        <w:rPr>
          <w:rFonts w:ascii="Times New Roman" w:hAnsi="Times New Roman"/>
          <w:color w:val="000000" w:themeColor="text1"/>
          <w:sz w:val="16"/>
          <w:szCs w:val="16"/>
        </w:rPr>
        <w:softHyphen/>
        <w:t>ников и со всей остротой поставит вопрос о массовом выпус</w:t>
      </w:r>
      <w:r w:rsidRPr="00271E51">
        <w:rPr>
          <w:rFonts w:ascii="Times New Roman" w:hAnsi="Times New Roman"/>
          <w:color w:val="000000" w:themeColor="text1"/>
          <w:sz w:val="16"/>
          <w:szCs w:val="16"/>
        </w:rPr>
        <w:softHyphen/>
        <w:t>ке уже к зиме 1943 г. новых танков, превосходящих по своим боевым качествам и конструктивному оформлению ныне су</w:t>
      </w:r>
      <w:r w:rsidRPr="00271E51">
        <w:rPr>
          <w:rFonts w:ascii="Times New Roman" w:hAnsi="Times New Roman"/>
          <w:color w:val="000000" w:themeColor="text1"/>
          <w:sz w:val="16"/>
          <w:szCs w:val="16"/>
        </w:rPr>
        <w:softHyphen/>
        <w:t>ществующих типов немецких танков...»</w:t>
      </w:r>
    </w:p>
    <w:p w14:paraId="6BACF9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Прочитав это письмо первый раз, автор впал в ступор. Вот ведь, оказывается, кто, по мнению будущего блестящего маршала танковых войск, «победителя величайшего в истории войн встречного танкового сражения», является главным виновником больших потерь матчасти и личного состава 5-й гвардейской танковой армии! «Консерваторы и зазнайки — танковые конструкторы и производственники!» Те самые, что последнее отдавали, чтобы укомплектовать указанному полководцу танковую армию. Те, что довольст</w:t>
      </w:r>
      <w:r w:rsidRPr="00271E51">
        <w:rPr>
          <w:rFonts w:ascii="Times New Roman" w:hAnsi="Times New Roman"/>
          <w:color w:val="000000" w:themeColor="text1"/>
          <w:sz w:val="16"/>
          <w:szCs w:val="16"/>
        </w:rPr>
        <w:softHyphen/>
        <w:t>вовались в пять-семь раз меньшей пайкой и 14-часовым рабочим днем, чтобы на фронте не было голодно. Те, что после войны долгое время будут считаться людьми «второ</w:t>
      </w:r>
      <w:r w:rsidRPr="00271E51">
        <w:rPr>
          <w:rFonts w:ascii="Times New Roman" w:hAnsi="Times New Roman"/>
          <w:color w:val="000000" w:themeColor="text1"/>
          <w:sz w:val="16"/>
          <w:szCs w:val="16"/>
        </w:rPr>
        <w:softHyphen/>
        <w:t>го сорта»... При этом, что удивительно, командующий 1-й танковой армией М. Катуков и командующий 3-й танко</w:t>
      </w:r>
      <w:r w:rsidRPr="00271E51">
        <w:rPr>
          <w:rFonts w:ascii="Times New Roman" w:hAnsi="Times New Roman"/>
          <w:color w:val="000000" w:themeColor="text1"/>
          <w:sz w:val="16"/>
          <w:szCs w:val="16"/>
        </w:rPr>
        <w:softHyphen/>
        <w:t>вой армией П. Рыбалко по какой-то причине не сказали ни одного дурного слова ни о конструкторах, ни о производст</w:t>
      </w:r>
      <w:r w:rsidRPr="00271E51">
        <w:rPr>
          <w:rFonts w:ascii="Times New Roman" w:hAnsi="Times New Roman"/>
          <w:color w:val="000000" w:themeColor="text1"/>
          <w:sz w:val="16"/>
          <w:szCs w:val="16"/>
        </w:rPr>
        <w:softHyphen/>
        <w:t>венниках. Лишь пожелали побыстрее снабдить танки Т-34 и КВ более мощной пушкой, а также дать побольше само-ходно-артиллерийских установок в танковые корпуса.</w:t>
      </w:r>
    </w:p>
    <w:p w14:paraId="65F054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Завершая это лирическое отступление, автор должен признать, что в тот момент в его глазах закатилась звезда командующего пятой гвардейской танковой армией, равно как и был потерян интерес к «прохоровскому сражению» (11135).</w:t>
      </w:r>
    </w:p>
    <w:p w14:paraId="4FEB43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114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августа 1943 в адрес директора Горьковского автозавода Лоскутова и первого секретаря обкома Родионова поступила телеграмма уполномоченного ГКО по вооружению Кирпичникова. В ней говорилось:  «Ярославский шинный завод из-за отсутствия колес простаивает, на артиллерийских заводах создались трудности в </w:t>
      </w:r>
      <w:r w:rsidRPr="00271E51">
        <w:rPr>
          <w:rFonts w:ascii="Times New Roman" w:hAnsi="Times New Roman"/>
          <w:color w:val="000000" w:themeColor="text1"/>
          <w:sz w:val="16"/>
          <w:szCs w:val="16"/>
        </w:rPr>
        <w:lastRenderedPageBreak/>
        <w:t>комплектации пушек и отправке их на фронт». На следующий день Лоскутов получил куда более грозную телеграмму от самого наркома НКВД товарища Берии:  «За 14 дней августа на Ярославский и Омский шинные заводы поставок не было. Обрезинка колес прекращена. Заводы остановлены». Складывается впечатление, что руководство страны, прекрасно зная о плачевном состоянии автозавода и его колесного цеха, в частности, тем не менее делало вид, что все в порядке и предприятие намеренно «срывает» график сдачи продукции (11774).</w:t>
      </w:r>
    </w:p>
    <w:p w14:paraId="65ECCE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D7376" w14:textId="77777777" w:rsidR="00C413CC" w:rsidRPr="00271E51" w:rsidRDefault="00C413CC"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20 августа 1943 г. в адрес уполномоченного ГАУ КА по Ленинграду последовало повторное отноше</w:t>
      </w:r>
      <w:r w:rsidRPr="00271E51">
        <w:rPr>
          <w:rFonts w:ascii="Times New Roman" w:hAnsi="Times New Roman" w:cs="Times New Roman"/>
          <w:color w:val="000000" w:themeColor="text1"/>
          <w:sz w:val="16"/>
          <w:szCs w:val="16"/>
        </w:rPr>
        <w:softHyphen/>
        <w:t>ние ГАУ КА №830354 от, подтверждающее нецелесообразность поста</w:t>
      </w:r>
      <w:r w:rsidRPr="00271E51">
        <w:rPr>
          <w:rFonts w:ascii="Times New Roman" w:hAnsi="Times New Roman" w:cs="Times New Roman"/>
          <w:color w:val="000000" w:themeColor="text1"/>
          <w:sz w:val="16"/>
          <w:szCs w:val="16"/>
        </w:rPr>
        <w:softHyphen/>
        <w:t>новки на производство панцирей конструкции завода №7. В итоге командующий артилле</w:t>
      </w:r>
      <w:r w:rsidRPr="00271E51">
        <w:rPr>
          <w:rFonts w:ascii="Times New Roman" w:hAnsi="Times New Roman" w:cs="Times New Roman"/>
          <w:color w:val="000000" w:themeColor="text1"/>
          <w:sz w:val="16"/>
          <w:szCs w:val="16"/>
        </w:rPr>
        <w:softHyphen/>
        <w:t>рией Ленинградского фронта генерал-лейте</w:t>
      </w:r>
      <w:r w:rsidRPr="00271E51">
        <w:rPr>
          <w:rFonts w:ascii="Times New Roman" w:hAnsi="Times New Roman" w:cs="Times New Roman"/>
          <w:color w:val="000000" w:themeColor="text1"/>
          <w:sz w:val="16"/>
          <w:szCs w:val="16"/>
        </w:rPr>
        <w:softHyphen/>
        <w:t>нант Одинцов подготовил специальное указа</w:t>
      </w:r>
      <w:r w:rsidRPr="00271E51">
        <w:rPr>
          <w:rFonts w:ascii="Times New Roman" w:hAnsi="Times New Roman" w:cs="Times New Roman"/>
          <w:color w:val="000000" w:themeColor="text1"/>
          <w:sz w:val="16"/>
          <w:szCs w:val="16"/>
        </w:rPr>
        <w:softHyphen/>
        <w:t>ние о проведении на АНИОПе сравнительных дсйытаний стального нагрудника СН-42 и пан</w:t>
      </w:r>
      <w:r w:rsidRPr="00271E51">
        <w:rPr>
          <w:rFonts w:ascii="Times New Roman" w:hAnsi="Times New Roman" w:cs="Times New Roman"/>
          <w:color w:val="000000" w:themeColor="text1"/>
          <w:sz w:val="16"/>
          <w:szCs w:val="16"/>
        </w:rPr>
        <w:softHyphen/>
        <w:t>цирной защиты ПЗ-ЗИФ-20 (17746).</w:t>
      </w:r>
    </w:p>
    <w:p w14:paraId="0CD34E83" w14:textId="77777777" w:rsidR="00C413CC" w:rsidRPr="00271E51" w:rsidRDefault="00C413CC" w:rsidP="00271E51">
      <w:pPr>
        <w:spacing w:after="0" w:line="240" w:lineRule="auto"/>
        <w:jc w:val="both"/>
        <w:rPr>
          <w:rFonts w:ascii="Times New Roman" w:hAnsi="Times New Roman"/>
          <w:color w:val="000000" w:themeColor="text1"/>
          <w:sz w:val="16"/>
          <w:szCs w:val="16"/>
        </w:rPr>
      </w:pPr>
    </w:p>
    <w:p w14:paraId="2177A67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года вышел приказ № 505с НКТП</w:t>
      </w:r>
    </w:p>
    <w:p w14:paraId="063B24B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СНК постановлением от 12 августа 1943 года за № 876-269с утвердил структуру Центрального аппарата НКТП:</w:t>
      </w:r>
    </w:p>
    <w:p w14:paraId="25FD2EE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управление дизельного производства (2 Гл. управление).</w:t>
      </w:r>
    </w:p>
    <w:p w14:paraId="7CFCBE8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управление броневого производства (3 Гл. управление).</w:t>
      </w:r>
    </w:p>
    <w:p w14:paraId="07277D1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управление по ремонту танков и дизелей (ГУРТ).</w:t>
      </w:r>
    </w:p>
    <w:p w14:paraId="10F5DE9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369833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Установил, что в непосредственном ведении НКТП состоят следующие заводы и организации:</w:t>
      </w:r>
    </w:p>
    <w:p w14:paraId="41DC144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Кировский завод в Челябинске</w:t>
      </w:r>
    </w:p>
    <w:p w14:paraId="330290D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Уралмашзавод</w:t>
      </w:r>
    </w:p>
    <w:p w14:paraId="047BE9B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183</w:t>
      </w:r>
    </w:p>
    <w:p w14:paraId="20C1E84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112</w:t>
      </w:r>
    </w:p>
    <w:p w14:paraId="49F79FC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174</w:t>
      </w:r>
    </w:p>
    <w:p w14:paraId="3BB8E4B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38</w:t>
      </w:r>
    </w:p>
    <w:p w14:paraId="3F2C0BE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Кировский завод в Ленинграде</w:t>
      </w:r>
    </w:p>
    <w:p w14:paraId="17D0EC8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Ижорский завод</w:t>
      </w:r>
    </w:p>
    <w:p w14:paraId="450E50C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100</w:t>
      </w:r>
    </w:p>
    <w:p w14:paraId="513CDCE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Сталинградский тракторный завод</w:t>
      </w:r>
    </w:p>
    <w:p w14:paraId="26F4174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проектный институт № 8 (ГПИ-8).</w:t>
      </w:r>
    </w:p>
    <w:p w14:paraId="7D2E254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НИИ-48 (6138, 16-15).</w:t>
      </w:r>
    </w:p>
    <w:p w14:paraId="6E592C3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02644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CCE66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314546"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в 1943 году оперативная сводка Совинформбюро:</w:t>
      </w:r>
    </w:p>
    <w:p w14:paraId="0E3B7250"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августа наши войска на Харьковском направлении, преодолевая сопротивление и контратаки противника, продолжали наступление и, продвинувшись на отдельных участках от 5 до 10 километров, заняли свыше 20 населённых пунктов, в том числе город Лебедин.</w:t>
      </w:r>
    </w:p>
    <w:p w14:paraId="199D1F69"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и в районе юго-западнее Спас-Деменска наши войска на отдельных участках вели бои, в результате которых улучшили свои позиции.</w:t>
      </w:r>
    </w:p>
    <w:p w14:paraId="3BCAC966"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 и артиллерийско-миномётную перестрелку с противником.</w:t>
      </w:r>
    </w:p>
    <w:p w14:paraId="6D9D281E"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августа наши войска на всех фронтах подбили и уничтожили 124 немецких танка. В воздушных боях и огнём зенитной артиллерии сбито 118 самолётов противника.</w:t>
      </w:r>
    </w:p>
    <w:p w14:paraId="4118ED7A"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отражая контратаки противника, продолжали наступление.</w:t>
      </w:r>
    </w:p>
    <w:p w14:paraId="745B2E6B"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части Н-ского соединения продвинулись вперёд и заняли свыше 20 населённых пунктов, в том числе город Лебедин. Немцы подтянули новые силы пехоты и танков и контратаками пытались задержать наступление наших войск. Произошли крупные танковые бои, в ходе которых подбито и сожжено 45 немецких танков. Противник понёс большие потери и был вынужден отступить. Советские бойцы захватили несколько складов с боеприпасами, горючим, военным снаряжением, продовольствием и другие трофеи.</w:t>
      </w:r>
    </w:p>
    <w:p w14:paraId="6910BB8D"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бойцы Н-ской части уничтожили 600 немецких солдат и офицеров, 8 орудий, 36 пулемётов и захватили 7 складов с различным военным имуществом.</w:t>
      </w:r>
    </w:p>
    <w:p w14:paraId="41F7F3A7"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Харькова наши войска, сломив упорное сопротивление противника, заняли ряд укреплённых пунктов, уничтожив при этом до батальона гитлеровцев. Захвачено 7 орудий, 43 пулемёта, из них 8 крупнокалиберных, 14 миномётов и 2 склада боеприпасов.</w:t>
      </w:r>
    </w:p>
    <w:p w14:paraId="604B28EE"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прикрывает наступающие советские войска и наносит противнику тяжёлые удары. Лётчики-истребители Н-ской части за пять дней сбили 31 немецкий самолёт. Младший лейтенант Дудниченко за это время сбил 2 бомбардировщика и 2 истребителя противника. Младший лейтенант Левкович уничтожил 3 немецких самолёта. Шестёрка истребителей, ведомая младшим лейтенантом Веселовским, встретилась в воздухе с 36 немецкими бомбардировщиками. Наши истребители атаковали противника и вынудили немецких лётчиков повернуть обратно. Преследуя противника, лётчики под командованием тов. Веселовского сбили 7 немецких самолётов.</w:t>
      </w:r>
    </w:p>
    <w:p w14:paraId="3E6E1571"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Противник, опираясь на заранее подготовленные позиции, оказывает упорное сопротивление.Части Н-ского соединения, с боями продвигаясь вперёд, заняли несколько населённых пунктов, уничтожив при этом свыше 800 немецких солдат и офицеров. На другом участке наши бойцы овладели сильно укреплённым узлом вражеской обороны. Немцы предприняли несколько контратак, но были отброшены. В этом бою уничтожено до 500 гитлеровцев, 6 полевых и 2 самоходных орудия, 7 миномётов и 22 пулемёта.</w:t>
      </w:r>
    </w:p>
    <w:p w14:paraId="203967DE"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трофеи.</w:t>
      </w:r>
    </w:p>
    <w:p w14:paraId="555284FE"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части Н-ского соединения окружили и в ожесточённом бою уничтожили немецкие гарнизоны опорных пунктов Нестеры и Горки. Истреблено свыше двух батальонов гитлеровцев. Противник подтянул резервы и предпринял несколько контратак. Отбив вражеские контратаки, советские бойцы продолжали продвигаться вперёд и улучшили свои позиции.</w:t>
      </w:r>
    </w:p>
    <w:p w14:paraId="59C4D9D7"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день боёв уничтожено более 1.000 немецких солдат и офицеров, 5 танков, 13 полевых и 10 самоходных орудий, 9 миномётных батарей и 58 пулемётов. Захвачены трофеи и пленные.</w:t>
      </w:r>
    </w:p>
    <w:p w14:paraId="6FE5F793"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27 самолётов противника.</w:t>
      </w:r>
    </w:p>
    <w:p w14:paraId="6457C6E0"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истребили свыше 800 немецких солдат и офицеров. Огнём нашей артиллерии уничтожено 9 немецких танков, 36 орудий, разрушено 32 дзота и 26 блиндажей противника. Группа разведчиков под командованием младшего лейтенанта т. Корпака под покровом ночи скрытно проникла в расположение немцев. Советские бойцы взорвали землянку и уничтожили находившихся в ней гитлеровцев. Захватив в плен немецкого унтер-офицера, разведчики вернулись в своё подразделение.</w:t>
      </w:r>
    </w:p>
    <w:p w14:paraId="16755E9D"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кораблями в Баренцевом море потоплены три немецких тральщика.</w:t>
      </w:r>
    </w:p>
    <w:p w14:paraId="2FBB5B58"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авиацией флота потоплены два сторожевых катера противника.</w:t>
      </w:r>
    </w:p>
    <w:p w14:paraId="41ABFC2F"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в ночь на 3 августа напал на немецкий гарнизон в одном населённом пункте. Партизаны уничтожили 28 гитлеровцев, взорвали склад боеприпасов, продовольственный склад и два гаража. Партизаны другого ленинградского отряда забросали гранатами дом, занятый офицерами противника. Убит комендант и 8 немецких офицеров. Группа подрывников этого же отряда пустила под откос немецкий воинский эшелон. Разбиты 12 вагонов. В результате крушения убито более 60 гитлеровцев.</w:t>
      </w:r>
    </w:p>
    <w:p w14:paraId="7DF68045" w14:textId="77777777" w:rsidR="00EE04E8" w:rsidRPr="00271E51" w:rsidRDefault="00EE04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Харьковском направлении захвачен в плен командир немецкого батальона в чине капитана. Военнопленный просил не оглашать его фамилии в печати. Он рассказал: «Мой отец — генерал, ранее командовал немецким армейским корпусом, а в настоящее время занимает высокий пост в германском генеральном штабе. Месяцтому назад я был в отпуску. Мы подолгу беседовали с отцом о международном и военном положении. Он заявил, что последние события убедили его в неизбежном поражении немецкой армии. Отец говорил, что нынешнее положение в стране во многом напоминает 1918 год. Людские резервы уже исчерпаны, а промышленное производство идёт на убыль. По словам отца, в высших военных кругах сейчас более, чем когда-либо, опасаются открытия второго фронта в Европе. Гитлер завел Германию в тупик, и трагическая развязка приближается с каждым днем. На фронт я вернулся в самый разгар боёв. Танковая дивизия, в которую входит мой батальон, понесла тяжёлые потери в людях и технике. Мой батальон за 17 дней потерял убитыми 8 офицеров, 31 унтер-офицера и 376 солдат. Падение Орла, </w:t>
      </w:r>
      <w:r w:rsidRPr="00271E51">
        <w:rPr>
          <w:rFonts w:ascii="Times New Roman" w:hAnsi="Times New Roman"/>
          <w:color w:val="000000" w:themeColor="text1"/>
          <w:sz w:val="16"/>
          <w:szCs w:val="16"/>
        </w:rPr>
        <w:lastRenderedPageBreak/>
        <w:t>Белгорода и других городов вызвало всеобщую растерянность. Но особенно удручает всех то, что русские захватили у нас лето, которое мы привыкли считать сезоном успехов немецкой армии» (14989).</w:t>
      </w:r>
    </w:p>
    <w:p w14:paraId="74A3D82A" w14:textId="77777777" w:rsidR="00EE04E8" w:rsidRPr="00271E51" w:rsidRDefault="00EE04E8" w:rsidP="00271E51">
      <w:pPr>
        <w:spacing w:after="0" w:line="240" w:lineRule="auto"/>
        <w:jc w:val="both"/>
        <w:rPr>
          <w:rFonts w:ascii="Times New Roman" w:hAnsi="Times New Roman"/>
          <w:color w:val="000000" w:themeColor="text1"/>
          <w:sz w:val="16"/>
          <w:szCs w:val="16"/>
        </w:rPr>
      </w:pPr>
    </w:p>
    <w:p w14:paraId="1488670F" w14:textId="77777777" w:rsidR="00007744" w:rsidRPr="00271E51" w:rsidRDefault="00007744"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20 августа 1943 большие потери вынудили существенно изменить структуру штурмовых полков. Согласно новых штатов, каждый из них включал лишь две эскадрильи по 10 Ил-2. Только к концу 1943 г. удалось перейти на трехэскадрильный состав, а штатную численность самолетов в ШАП довести до 32-х (19854).</w:t>
      </w:r>
    </w:p>
    <w:p w14:paraId="4FE6645E" w14:textId="77777777" w:rsidR="00007744" w:rsidRPr="00271E51" w:rsidRDefault="00007744" w:rsidP="00271E51">
      <w:pPr>
        <w:pStyle w:val="100"/>
        <w:shd w:val="clear" w:color="auto" w:fill="auto"/>
        <w:spacing w:before="0" w:line="240" w:lineRule="auto"/>
        <w:ind w:firstLine="0"/>
        <w:rPr>
          <w:rFonts w:ascii="Times New Roman" w:hAnsi="Times New Roman" w:cs="Times New Roman"/>
          <w:color w:val="0070C0"/>
          <w:lang w:val="ru"/>
        </w:rPr>
      </w:pPr>
    </w:p>
    <w:p w14:paraId="4CA8C2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согласно сообщению Совинформбюро на харьковском направлении 6 и под командой мл.л. Н.И.Веселовского встретила 36 б, атаковала и в ходе преследования сбила 7 (438,882).</w:t>
      </w:r>
    </w:p>
    <w:p w14:paraId="013159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A6424" w14:textId="77777777" w:rsidR="003C3F8A" w:rsidRPr="00271E51" w:rsidRDefault="003C3F8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в 1943 году завершилась Спас-Деменская операция: войска Западного фронта продвинулись на глубину 30-40 км, вышли на рубеж Теренино, Зимцы, Малые Савки. На других участках фронта наши войска вели боевую разведку и артиллерийско-минометную перестрелку с противником."</w:t>
      </w:r>
    </w:p>
    <w:p w14:paraId="09F0A38E" w14:textId="77777777" w:rsidR="003C3F8A" w:rsidRPr="00271E51" w:rsidRDefault="003C3F8A" w:rsidP="00271E51">
      <w:pPr>
        <w:spacing w:after="0" w:line="240" w:lineRule="auto"/>
        <w:jc w:val="both"/>
        <w:rPr>
          <w:rFonts w:ascii="Times New Roman" w:hAnsi="Times New Roman"/>
          <w:color w:val="000000" w:themeColor="text1"/>
          <w:sz w:val="16"/>
          <w:szCs w:val="16"/>
        </w:rPr>
      </w:pPr>
    </w:p>
    <w:p w14:paraId="6FBF41CB" w14:textId="77777777" w:rsidR="003C3F8A" w:rsidRPr="00271E51" w:rsidRDefault="003C3F8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в 1943 году немецкий ас лейтенант Эрих Хартман в своём 295м воздушном бою одержал 90-ю победу, сбив советский штурмовик «Ил-2» (район населённого пункта Кутейниково). В этот день он сбил 2 наших штурмовика «Ил-2» (14989).</w:t>
      </w:r>
    </w:p>
    <w:p w14:paraId="174C0654" w14:textId="77777777" w:rsidR="003C3F8A" w:rsidRPr="00271E51" w:rsidRDefault="003C3F8A" w:rsidP="00271E51">
      <w:pPr>
        <w:spacing w:after="0" w:line="240" w:lineRule="auto"/>
        <w:jc w:val="both"/>
        <w:rPr>
          <w:rFonts w:ascii="Times New Roman" w:hAnsi="Times New Roman"/>
          <w:color w:val="000000" w:themeColor="text1"/>
          <w:sz w:val="16"/>
          <w:szCs w:val="16"/>
        </w:rPr>
      </w:pPr>
    </w:p>
    <w:p w14:paraId="4234714C" w14:textId="067330CC" w:rsidR="001F2A41" w:rsidRPr="00271E51" w:rsidRDefault="001F2A41"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F4BBBAA" w14:textId="77777777" w:rsidR="001F2A41" w:rsidRPr="00271E51" w:rsidRDefault="001F2A41"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C23AF4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августа 1943 г.</w:t>
      </w:r>
    </w:p>
    <w:p w14:paraId="50089807"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сводки изъятий цензуры с 10 июня по 15 августа 1943 г.</w:t>
      </w:r>
    </w:p>
    <w:p w14:paraId="74BD1ED4"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августа 1943 г.1</w:t>
      </w:r>
    </w:p>
    <w:p w14:paraId="1654A680"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p>
    <w:p w14:paraId="48843D2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СВОДКА</w:t>
      </w:r>
    </w:p>
    <w:p w14:paraId="142B44B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ИЗЪЯТИЙ ЦЕНЗУРЫ ИЗ ПРЕДСТАВЛЕННЫХ К ПЕЧАТИ И ПЕРЕДАЧЕ ПО РАДИО МАТЕРИАЛОВ И ОШИБОК ПЕЧАТИ, ОБНАРУЖЕННЫХ ПОСЛЕДУЮЩИМ КОНТРОЛЕМ за время с 10 июня по 15 августа 1943 г.</w:t>
      </w:r>
    </w:p>
    <w:p w14:paraId="5AF896E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В микрофонном материале ГРК от 24 июня 1943 г. был дан рассказ Л. Кассиля2 «Как это было». В основу рассказа положен случай аварии нашей подводной лодки, имевший место на Северном флоте. В рассказе в весьма невыгодном свете и неправильно показаны наши командиры, их взаимоотношения и дисциплина. Так, например, командир дивизиона подводных лодок (Голышев), обращаясь к командиру лодки (Медянину) говорит: «...Распорядись, Витенька, мне стопурочку выдать. А то, что-то ломит меня». Когда с потерпевшей аварию и гибнущей лодки Медянина начали снимать экипаж, разыгрывается такая сцена: «Бери их прямо силком и тащи сюда...Ну приказано? Исполняйте. Подводники, укоротив буксирный конец, подтянув к себе вплотную тонущую подлодку, стали перелезать на нее. - Отставить, - глухо приказал Голышев и вынул пистолет. Как тень повторил его движенье Медякин.</w:t>
      </w:r>
    </w:p>
    <w:p w14:paraId="0DC29F2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Кто первый шагнет, тому первая пуля. Ясно сказано?</w:t>
      </w:r>
    </w:p>
    <w:p w14:paraId="7E6120B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Вполне ясно - откликнулся Звездин (командир подлодки, пришедшей на помощь), - значит первая мне будет, Семен Захарович. На!</w:t>
      </w:r>
    </w:p>
    <w:p w14:paraId="6F31F6F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Он рванул стеганку на груди и стал решительно перебираться на мостик тонущей лодки. Медякин смотрел на него широко раскрытыми негодующими, обиженными глазами и беспомощно оглядывался на Голышева». Статья цензором Кричевским снята.</w:t>
      </w:r>
    </w:p>
    <w:p w14:paraId="6ADCF2F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 В газете «КРАСНЫЙ ФЛОТ» от 24 июня 1943 г. в корреспонденции старшего лейтенанта Н. Ланина - «Первая атака» не совсем грамотно рассказывается о первом выходе командира подводной лодки в операцию, дается неоправданно хорошая оценка неверных ошибочных действий командира при решении задачи, и этим дезориентируется читатель. Например, так описывается первая атака командира лодки. «Быстрое сближение на контркурсах рассеяло последние опасения, что большая дистанция затруднит боевое маневрирование. </w:t>
      </w:r>
    </w:p>
    <w:p w14:paraId="3962E532"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Определив элементы движения конвоя, Шинин лег на новый курс.</w:t>
      </w:r>
    </w:p>
    <w:p w14:paraId="21FF90C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Теперь оставалось развернуться в определенной точке и, выбрав выгодный курсовой угол сближаться для короткого неотвратимого удара». «Первая атака капитан-лейтенанта Шинина состоялась с дистанции, несколько короткой для самых прославленных подводников. Получалась уже не просто атака с короткой дистанции, а атака почти в упор». «Взять другую цель? Атаковать вместо самого крупного в конвое транспорта другой, поменьше, который идет впереди? Это несколько сокращало дистанцию залпа...» «...Попробовать сработать задним ходом на том же курсе? Но от такой перемены движения наверняка нарушится дифорентовка, и лодка в решающую минуту может выскочить, зарыться, не удержаться на ровном киле... Сбавив ход до минимального, при котором лодка могла слушаться рулей, командир продолжал сближаться на прежнем курсе». «За всю войну еще ни одна лодка соединения не была так близко от вражеского корабля в момент, когда его стальную обшивку разрывают выпущенные лодкой торпеды». «Атака была все же настолько необычной, что Павел Шинин не сразу решился доложить с какой дистанции он выпустил торпеды. Впрочем, доказывать целесообразность своих действий ему не пришлось: его поняли сразу». Статья цензором Кричевским снята.</w:t>
      </w:r>
    </w:p>
    <w:p w14:paraId="6462AF9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В журнале «АГИТАТОР И ПРОПАГАНДИСТ КРАСНОЙ АРМИИ» № 9-10 в статье Геренберга «Промышленность на службе фронта» были даны сведения: а) о новой ж.д. Кизляр-Астрахань, б) о восстановлении нефтеперерабатывающей и нефтедобывающей промышленности Грозненского и Майкопского районов, в) о том, что шахты Ростовской области на освобожденной от оккупантов территории могут дать угля вдвое больше, чем Подмосковный район. Эти сведения цензурой сняты.</w:t>
      </w:r>
    </w:p>
    <w:p w14:paraId="38F6E04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В газете «КРАСНАЯ ЗВЕЗДА» от 9.6-1943 г. в заметке «Фронтовые сборы агитаторов» сообщалось, что на сборе полковых агитаторов Волховского фронта присутствовало 190 чел., чем показывалось, что в состав Волховского фронта входит 190 полков (в каждом полку один штатный полковой агитатор). Цензор Ермашкевич эти сведения удалил.</w:t>
      </w:r>
    </w:p>
    <w:p w14:paraId="720745B4"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В той же газете от 11.6-1943 г. в очерке «Агитатор полка» (А. Безымянский) был приведен пример следующего содержания: «И когда на следующий день 70 немцев атаковали «девятку» сержанта Крюкова... Одновременно показали они, как надо расправляться с теми, кто нарушает присягу родины.</w:t>
      </w:r>
    </w:p>
    <w:p w14:paraId="1C0A0DE4"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первые минуты боя не досчитало отделение одного человека по фамилии Чуйкова, он побежал, как заяц. Восемь пуль поразили его, восемь молний гнева и презрения. Разделавшись с трусом, отделение разгромило врага. Полк приветствовал героев. Сорокин вызвал художника Пономаренко, тот нарисовал портреты восьми бойцов. Так создалась «галерея славы». А невдалеке от нее был воткнут столб, к которому прибили большой лист фанеры, в траурной рамке сверкали слова: «Девятый погиб смертью подлых». Подчеркнутое цензором Ермашкевичем удалено, так как подобные меры воспитания личного состава опубликовывать в печати нецелесообразно.</w:t>
      </w:r>
    </w:p>
    <w:p w14:paraId="48C3B54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В газете «КОМСОМОЛЬСКАЯ ПРАВДА» от 18.6 дано письмо в редакцию группы командиров и бойцов под заголовком «Тварь». В письме описывается, что жена ст. лейтенанта Павла Жуйко Евдокия, именуемая в письме «Дунька», проживавшая в деревне Репьевка Гришевского сельсовета Воронежской области, после занятия этого села немцами, стала сожительствовать с предателями и врагами. В письме о жизни «Дуньки» при оккупантах сообщается, между прочим, следующее: «А Дунька твоя стала заведывать переработкой молока колхозников на масло для мадьяр». Далее сообщается, что в данное время жена Жуйко находится под следствием. Заканчивается письмо следующим:  «Мы ждем, что советское правосудие накажет Евдокию Жуйко за ее преступления. И пусть суд над ней будет показательным процессом, чтобы он стал уроком и для других». Опубликование такого письма в печати является политически неуместным, а поэтому цензор Лукомник его снял.</w:t>
      </w:r>
    </w:p>
    <w:p w14:paraId="170E294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В газете «КРАСНАЯ ЗВЕЗДА» от 19.6-1943 г. было дано:</w:t>
      </w:r>
    </w:p>
    <w:p w14:paraId="15526362"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В статье «Зрелость командира» сообщалось, что семья командира батальона Гофмана Леонида осталась в Киеве: подчеркнутое снято и заменено: «на территории, занятой немцами», чтобы не подвергать репрессиям семью тов. Гофмана.</w:t>
      </w:r>
    </w:p>
    <w:p w14:paraId="14BB713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В заметке «Учебная рота или учебная команда» (гв. к[апита]н А. Медведовский, гв. ст[арший] л[ейтена]нт Костин) сообщалось, что в действующих дивизиях созданы учебные роты по подготовке мл[адших] командиров и их состав (отсутствовало 43 чел., или 18%, что раскрывало штатный состав, роты 240-250 чел.); «Дивизия» заменена «частью», цифры удалены. Цензор Ермашкевич.</w:t>
      </w:r>
    </w:p>
    <w:p w14:paraId="75F3BAF9"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В газете «КРАСНАЯ ЗВЕЗДА» от 15.6-1943 г. в статье «Сталинградские традиции» (В. Коротеев) сообщалось, что дивизия, которой командует генерал -майор Горохов, входит в состав армии, в которой членом военного совета генерал Захаров, дивизия и армия ранее защищали Сталинград, в данное время ведут бой западнее Ростова, входят в состав Южного фронта». Цензор Лукомник сведения о передислокации дивизии и название фронта, на котором она находится, удалил.</w:t>
      </w:r>
    </w:p>
    <w:p w14:paraId="2258DAC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В «Союзкинохронике» 17 июня 1943 г. было дано:</w:t>
      </w:r>
    </w:p>
    <w:p w14:paraId="45CE6CC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«Английская военная миссия у штурмовиков». Английская миссия и сопровождающий их зам. командующего 1-й Воздушной армии осматривают ракетное вооружение самолета Ильюшин-2. Кадры к открытому показу цензурой запрещены, так как официального сообщения о посещении английской миссией штурмовиков не было и кроме того о ракетном вооружении самолета Ильюшин-2 опубликовывать запрещается.</w:t>
      </w:r>
    </w:p>
    <w:p w14:paraId="1B3099C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«Вручение гвардейского знамени летчицам». Цензурой запрещено к открытому показу и направлено в кинолетопись, так как все три эскадрильи полка состоят из женщин. Цензор Андреев.</w:t>
      </w:r>
    </w:p>
    <w:p w14:paraId="32889F6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10. В газете «КРАСНАЯ ЗВЕЗДА» от 23.6-1943 г. цензурой сделаны изъятия:</w:t>
      </w:r>
    </w:p>
    <w:p w14:paraId="3E57A45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а) В статье «Действия танков прорыва» (гвардии генерал-лейтенант танковых войск В. Вольский) следующий абзац: «Кстати, иногда разрушение дотов и дзотов, выкуривание немцев из прочных блиндажей, могут производиться с помощью умело вкрапленных в штурмовые группы огнеметных танков. </w:t>
      </w:r>
    </w:p>
    <w:p w14:paraId="4348250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случае, если они приданы наступающим, их место и задачи должны быть четко определены еще до боя». О применении нашими войсками и войсками противника огнеметных средств в открытой печати писать запрещено. Цензор Ермашкевич.</w:t>
      </w:r>
    </w:p>
    <w:p w14:paraId="41C1305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В заметке «Культ знамени» - «В этом случае мы имеем дело с исключительным фактором - забыта даже охрана и оборона знамени». Здесь идет речь о командире части подполковнике Чернове, который забросил боевое знамя полка. Такого командира полка следует предать суду Военного трибунала, а не афишировать в газете. Цензор Ермашкевич.</w:t>
      </w:r>
    </w:p>
    <w:p w14:paraId="2B687FA7"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В рассказе «Отец и сын» (А. Эрлих) сообщалось, что сын известного профессора историка Василия Петровича после эвакуации из Ленинграда в Казань жил с отцом и одновременно учился в школе, но в связи с тем, что отец был очень занят работой (писал труды), а мать была убита еще в Ленинграде при налете немецких самолетов, то сыну Сашке... «приходилось производить сложные меновые операции, оплачивать избытком крупы или хлеба стирку белья, приготовление пищи, ремонт обуви и одежды», «Вот скоро по шестому талону выдадут поллитра, и все будет в порядке-То есть... Какие поллитра? Поллитра - чего? - Ну, известно, чего... водки... Но неужели, мой мальчик, неужели... ты пьешь? Недоразумение удалось выяснить не сразу, потому что профессору никак нельзя было втолковать всемогущую ценность спиртного в таких делах, например, как частный заказ сапожнику. Профессор совсем растерялся». Снята вторая половина абзаца о меновых операциях и других операциях сына профессора. Изъятия произвел цензор Ермашкевич.</w:t>
      </w:r>
    </w:p>
    <w:p w14:paraId="62F601C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В газете «КОМСОМОЛЬСКАЯ ПРАВДА» от 23.6-1943 г. в корреспонденции «Старые знакомые» (полковник А. Грисенко) в фразе: «Немцы бросили свои отборные авиачасти четырех воздушных флотов, которые насчитывали помимо резервов, три с половиной тысячи боевых машин первой линии» подчеркнутое снято в связи с тем, что указанные данные в печати официально не оглашались. Цензоры Лукомник, Баратов.</w:t>
      </w:r>
    </w:p>
    <w:p w14:paraId="12AF46E0"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В газете «КРАСНАЯ ЗВЕЗДА» от 25.6-1943 г., в заметке «Встреча танкистов и летчиков» в абзаце: «Вот перед танкистами стоит знаменитый Ильюшин-2. Его носовая часть направлена в поле, под крыльями чернеют снаряды.</w:t>
      </w:r>
    </w:p>
    <w:p w14:paraId="693EC47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Стреляю левым снарядом, правым. - докладывает летчик из открытой кабины самолета и в то же мгновенье один за другим снаряды с громким шипеньем срываются со своих держателей и через секунду разрываются вдали у цели». Исключены подчеркнутые места, так как каких-либо данных о вооружении самолетов снарядами системы Костикова опубликовывать нельзя. Цензор Лукомник.</w:t>
      </w:r>
    </w:p>
    <w:p w14:paraId="2803A87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13. В газете «КРАСНАЯ ЗВЕЗДА» от 24.6-1943 г. в рассказе «Жизнь» (Вас[илий] Гроссман)6 сообщалось, что группа красноармейцев, попавшая в немецкое окружение, стойко сражалась. Принятые меры со стороны немцев к ликвидации этой группы кр[асноармей]цев положительных результатов не имели. В результате чего немецкое командование применило боевые отравляющие вещества и огнеметы. Подчеркнутое изъято на основании руководящих документов по цензуре, запрещающих в открытой печати опубликовывать случаи применения противником против наших войск боевых отравляющих веществ, а также и огнеметных средств. После того, как немцы, не добившись положительных результатов от применения БХОВ, решили прибегнуть к следующему мероприятию: собрав женщин, стариков и детей рабочего поселка к скважине шахты, где находились красноармейцы, тут же немцы предложили женщинам выделить «делегацию», которая должна уговорить красноармейцев сдаться в плен немцам, в противном случае все женщины, старики, старухи и дети будут расстреляны. В момент ухода «делегации» из толпы женщин и в свою очередь со стороны «делегаток» разносились возгласы: «На вас вся надежда. Уговорить их, голубчиков, сукиных сынов.., Да мы их, мужичков бешеных за волосы силой повытаскиваем, глаза им, дуракам, повынимаем. Они должны сознавать, сколько невинных душ через них пропадет». </w:t>
      </w:r>
    </w:p>
    <w:p w14:paraId="2F63205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«Не боись женщины, всех их там околдую, на гора вывезу». Подчеркнутое цензором Ермашкевичем снято.</w:t>
      </w:r>
    </w:p>
    <w:p w14:paraId="08DCA983"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В газете «КРАСНАЯ ЗВЕЗДА» от 25.6-1943 г. в заметке «Артисты на фронте» сообщалось: «Успешно прошли концерты этой бригады, на вокзале в Сталинграде, где артисты были проездом несколько дней. Там из воинских эшелонов собирались на концерты по полторы-две тысячи зрителей». Приведенные сведения цензором Ермашкевичем сняты, как показывающие прохождение на фронт резервов с указанием конкретной станции железной дороги.</w:t>
      </w:r>
    </w:p>
    <w:p w14:paraId="145FBC64"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В журнале «ВОЕННАЯ МЫСЛЬ» № 5-6 цензурой сделаны следующие изъятия:</w:t>
      </w:r>
    </w:p>
    <w:p w14:paraId="37CB0BD7"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в передовой статье «Повысить культуру работы войсковых штабов»: «Даже в мирное время состав штабов часто не мог быть укомплектован полностью хорошо подготовленными штабными командирами». «О таком штабе можно сказать, что он, работая канцелярскими методами мирного времени, не является полноценным органом управления»;</w:t>
      </w:r>
    </w:p>
    <w:p w14:paraId="039203D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в статье генерал-майора Благодатова «Организация форсирования речных преград»: «...Таким образом, если в составе первого эшелона переправляются 2-3 батальона, то ширина участка переправы дивизии будет от 3 до 4,5</w:t>
      </w:r>
      <w:r w:rsidRPr="00271E51">
        <w:rPr>
          <w:rFonts w:ascii="Times New Roman" w:hAnsi="Times New Roman"/>
          <w:color w:val="0070C0"/>
          <w:sz w:val="16"/>
          <w:szCs w:val="16"/>
        </w:rPr>
        <w:tab/>
        <w:t>к[ило]м[етров]» - раскрытие тактических приемов;</w:t>
      </w:r>
    </w:p>
    <w:p w14:paraId="13A9DC39"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в статье майора Турбанова «О роли внезапности и огня при прорыве обороны»: «...Пропуская один батальон днем к линии фронта, а ночью отводя его обратно и повторяя это несколько раз, можно легко создать у противника представление о концентрации сил для наступления» - раскрываются данные по дезинформации противника;</w:t>
      </w:r>
    </w:p>
    <w:p w14:paraId="76722203"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 статья генерал-майора Ярчевского «Позиционная оборона армии» сняты сведения по организации Н-ской армии: 6-й стр[елковой] дивизии, 2-го а[ртилерийского] п[олка] РГК, 1-й полк ПТР. Цензор Чемоданов.</w:t>
      </w:r>
    </w:p>
    <w:p w14:paraId="138FCCD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В газете «КРАСНАЯ ЗВЕЗДА» от 4.7-1943 г. в заметке «Ванда Василевская в лагерях польской дивизии» упоминались номер дивизии (первая) и марки танков, состоящих на ее вооружении (Т-34 и Т-70). Номер дивизии и марки танков цензором Ермашкевичем сняты.</w:t>
      </w:r>
    </w:p>
    <w:p w14:paraId="0EB248C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В «Вестнике фронтовой информации ТАСС» от 8.7-1943 г. снята корреспонденция К. Пухова «Фронтовая техническая конференция авторемонтников». В корреспонденции сообщается о том, что конференция, происходившая на Западном фронте, была посвящена вопросу о внедрении в авторемонтные части нового изобретения лауреата Сталинской премии профессора Назарова «Карбинольного клея». В корреспонденции указывалось, что этот клей быстро и надежно склеивает сталь, дюраль-эбонит, тексолит, стекло, мрамор, дерево в любых сочетаниях всех этих материалов. Корреспонденция цензором Лукомником снята, как показывающая практическое применение нового изобретения в военном деле.</w:t>
      </w:r>
    </w:p>
    <w:p w14:paraId="689E8049"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В газете «КРАСНЫЙ ФЛОТ» от 17 июля 1943 г.:</w:t>
      </w:r>
    </w:p>
    <w:p w14:paraId="23AC5EB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в статье «17 потопленных транспортов» автор Герой Советского Союза капитан 2-го ранга В. Стариков было подробно освещено форсирование противолодочных сетей противника, в которые попала гвардейская подлодка М-171, а также показано время нахождения ее в походе. «После отрыва от сети началось медленное всплытие лодки... мы сделали еще одну попытку пройти над сетью на самой допустимой малой глубине, используя для этого прибывающую воду. Попытка удалась. Коснувшись килем верха сети, мы прошли ее, имея над собой запас не более полуметра... Через несколько минут мы были в открытом море». «Ровно через сутки (после ухода в поход) гвардейская подлодка М-171 вернулась в базу, известив традиционным выстрелом о потоплении шестнадцатого транспорта». Цензором Коктомовым приведенный текст снят;</w:t>
      </w:r>
    </w:p>
    <w:p w14:paraId="26BB59E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б) в статье «Из опыта медико-санитарной службы на малых кораблях», автор майор медицинской службы Фирсов, разбираются действия командования по плохой подготовке медико-санитарного обеспечения одной крупной десантной операции, проведенной кораблями КВФ в устье реки Н. «Ошибка подготовительного периода заключалась в том, что флагманский врач не получил от командования сведений о тактической обстановке десантной операции. </w:t>
      </w:r>
    </w:p>
    <w:p w14:paraId="7C755D5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Поэтому медсостав десанта не смог пройти нужную тренировку. Не зная точного численного состава и объема операции, флагманский врач высадки не смог правильно рассчитать запасы медимущества и перевязочного материала. Санитарный транспорт (буксирный пароход 80 тонн) был выделен командованием без участия медсостава, поэтому судно не полностью отвечало требованиям, предъявляемым к условиям нормальной перевозки раненых». «Уже при комплектовании личного состава был допущен ряд отклонений от наставления по медико-санитарному обеспечению десантных операций. В связи с этим тов. Шишкину пришлось взять на себя все руководство, осуществление всей эвакуации раненых». Статья цензором Коктомовым снята.</w:t>
      </w:r>
    </w:p>
    <w:p w14:paraId="3D8BC68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В газете «КРАСНЫЙ ФЛОТ» от 26 июля 1943 г., в статье «Точка наводки» показано гидрографическое обеспечение (организация манипуляторной службы) одной ночной набеговой операции кораблей эскадры ЧФ в помощь десанту, высадившемуся на побережье противника. Здесь был такой текст: «Гидрограф старший техник-лейтенант Асеев получил задание обеспечить артобстрел кораблями берега, занятого противником». «Когда аппаратура была установлена и из горелки донесся запах ацетилена, оптику закрыли чехлом и зажгли спичку. Г аз вспыхнул, давая яркие проблески». «До прихода эскадры оставалось три часа». «Первый мателот уже лег на створ огней, обозначенный на карте узким сектором. Скоро должен открыться второй створ; в пересечении их находится точка подхода кораблей». «И вдруг в черной массе берега вспыхнул яркий огонь. Взятые и проложенные на карте шеленги прошли точно через точку наводки». Статья цензурой снята, как показывающая данные о манипуляторной службе ВМФ.</w:t>
      </w:r>
    </w:p>
    <w:p w14:paraId="364CDC2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В «Союзкинохронике» 19 июля 1943 г., оператор Панов «Фронтовая дорога» (130 метров), показывалось строительство новой дороги к передовой линии соединения генерал-лейтенанта Зыгина (на Западном фронте). Цензор Куприков названные кадры из кинохроники удалил.</w:t>
      </w:r>
    </w:p>
    <w:p w14:paraId="3DA772BB"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21. В газете «ГУДОК» от 17 июля 1943 г. в корреспонденции Н. Есельсона и Г. Хацянова «Плечом к плечу с Красной армией» описывается работа прифронтовой магистрали на Орловско-Курском направлении в период ожесточенных боев. В корреспонденции, в частности, указывается, что немцы, в связи с большой </w:t>
      </w:r>
      <w:r w:rsidRPr="00271E51">
        <w:rPr>
          <w:rFonts w:ascii="Times New Roman" w:hAnsi="Times New Roman"/>
          <w:color w:val="0070C0"/>
          <w:sz w:val="16"/>
          <w:szCs w:val="16"/>
        </w:rPr>
        <w:lastRenderedPageBreak/>
        <w:t>потребностью в авиации для действий на поле боя, мало беспокоят прифронтовую магистраль, которая беспрерывно обслуживает потребности наших войск. Цензор Лукомник корреспонденцию снял, как показывающую условия работы прифронтовой железной дороги.</w:t>
      </w:r>
    </w:p>
    <w:p w14:paraId="5BE9353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В материалах ТАСС-РСИ от 25 июня 1943 г. - корреспонденция из Новосибирска «Конференция жен и матерей фронтовиков» было показано наличие в Новосибирске школы летчиков. Цензор Федоров эти сведения снял.</w:t>
      </w:r>
    </w:p>
    <w:p w14:paraId="1CAC660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В газете «ИЗВЕСТИЯ» от 2 июля 1943 г. в статье «Могучий поток артиллерийского вооружения» было сказано, что завод, где директором Герой социалистического труда т. Елян, досрочно выполнил полугодовой план и сдал за шесть месяцев 1943 г. в фонд главного командования Красной армии пушек для вооружения 36 полков, орудий для вооружения 11 танковых бригад. Цензор Катышев приведенные цифровые данные снял.</w:t>
      </w:r>
    </w:p>
    <w:p w14:paraId="1CD3514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В той же газете от 8 июля 1943 г. в статье Ф. Гекова «Тигровая смерть» даны сведения о сконструировании на одном артиллерийском заводе новой противотанковой пушки большой пробойной силы, пуск ее в массовое производство, многие сотни которой уже действуют на фронте. Цензор Катышев статью снял.</w:t>
      </w:r>
    </w:p>
    <w:p w14:paraId="71E284E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В той же газете от 13 июля 1943 г. в корреспонденции из Кургана «Собрание актива Курганской области» по фамилиям директоров заводов Маркина, Кочубиевского, Кузьмина, Генкина и др. раскрывалась дислокация ряда военных заводов. Цензор Катышев корреспонденцию снял.</w:t>
      </w:r>
    </w:p>
    <w:p w14:paraId="1A11B03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В материале ТАСС-РСИ дневной выпуск 20 июля 1943 г. в корреспонденции говорилось, что завод, где директором Герой социалистического труда т. Елян перешел на выпуск нового вида вооружения. Цензор Федоров указание о новом вооружении изъял.</w:t>
      </w:r>
    </w:p>
    <w:p w14:paraId="33A30D0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 В материале ТАСС-спецвестник РИДЗа-от 23 июля 1943 г. в корреспонденции «Талантливый советский конструктор» в тексте было сказано:</w:t>
      </w:r>
    </w:p>
    <w:p w14:paraId="11375222"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«...одной из новинок этого самолета (речь идет о самолете Лавочкин-5) является две пушки, синхронно стреляющие через винт... Сейчас т. Шпитальный  работает над конструкциями нового дальнобойного вооружения (того же самолета)». Цензор Федоров приведенные сведения из корреспонденции удалил.</w:t>
      </w:r>
    </w:p>
    <w:p w14:paraId="1256A99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28. В материале ТАСС - спецвестник РИДЗа от 25 июля 1943 г. в корреспонденции «Самый молодой флот СССР» в тексте говорилось: «Десять лет назад в июле 1933 г. в Баренцево море пришли первые военные корабли по только что проложенному Беломоро-Балтийскому каналу. У последнего шлюза канала, где он соединяется с Белым морем, эти корабли были встречены Сталиным...» Поскольку эти сведения не публиковались цензор Федоров из корреспонденции их удалил.</w:t>
      </w:r>
    </w:p>
    <w:p w14:paraId="21B5958C"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 В журнале «СМЕНА» № 9-10 была дана статья писателя В. Яна под названием «Что такое слава». В этой статье, в своеобразной форме высказывания исторических деятелей разных стран, трактовался вопрос о славе. Приведены высказывания: «Великого императора римского и короля германского» Фридриха II Гогенштауфена, великого магистра Тевтонского ордена, татарского хана Батыя" и на последнем месте - русского великого князя Александра Невского. Каждый из этих лиц трактует вопрос по-своему, и автор дает полный простор для самовосхваления и возвеличивания захватнической и потребительной политики первых трех завоевателей. Все они рисуют себя защитниками цивилизации и рассадниками культуры среди варваровязычников, населявших восточные земли. Свои кровавые крестовые походы они пытаются представить благим делом, за которое получат вечную славу и благодарность потомства. Вот что говорит немец Фридрих II Гогенштауфен: «Пусть меня проклинает еще раз злобный, завистливый папа Римский, пусть отлучает от церкви, - этим он мне сохранит немеркнущую славу, как покровителя истинного знания, как основателя университета в Неаполе, сумевшего дружеским соглашением с арабским султаном достигнуть во много раз больше того, чего добивались организаторы крестовых походов. Такая слава сохранится в веках в памяти всех истинных искателей знания». И к этим словам, как бы в подтверждение их истинности, было дано нижеследующее примечание от редакции: «Фридрих II Гогенштауфен основал в Неаполе университет, куда пригласил восточных ученых, арабских и еврейских, читавших лекции по разным отраслям науки Востока; он ввел преподавание новых предметов, например, анатомии. Он же организовал замечательный крестовый поход: путем дружеского соглашения с арабскими шейхами он без военных действий привел крестоносцев в Палестину, получил от Султана мирным путем Иерусалим, пробыл там полтора года и без боя и потерь вернулся обратно. За все это Римский папа трижды проклинал его и отлучал от церкви».</w:t>
      </w:r>
    </w:p>
    <w:p w14:paraId="4E36E77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Таким выглядел один из германских королей, организатор «мирных» замечательных, как выражается редакция крестовых походов, которому та же редакция по существу создавала славу. А вот как рассуждает о славе великий магистр Тевтонского ордена, который огнем и мечом насаждал христианскую веру среди «язычников», разоряя, истребляя коренное население Прибалтики и западных областей России. «Я говорил вам не раз, - обращается он к крестоносцам - что вам предстоит биться смело и неуклонно с неверными язычниками: курами, эстами, ливами и еретиками русскими для славы германского имени, для распространения на Восток германского могущества. Истребляйте всех врагов германского народа, как сорную траву, как бурьян, - и вы заслужите бессмертную славу. Гордые и овеянные славой вы войдете в царствие небесное, как мученики за христианскую веру». «Посмотрите на этот новый наш город Ригу, возведенный нашими германскими архитекторами, построенный руками покоренных нами диких рабов... Видите эти каменные дома с остроконечными красными черепичными крышами? Видите, наверху под каждой крышей, на прочной балке приделан надежный блок. По нему поднимаются на чердаки наших домов товары, привезенные из Германии, изготовленные германскими руками, нашими искусными ремесленниками, ловкими германскими ткачами, суконщиками, кузнецами, оружейниками. И все эти товары привезены на германских кораблях, германскими купцами... Мы расчистим сорные нивы диких народов, стоящих на нашем славном пути...</w:t>
      </w:r>
    </w:p>
    <w:p w14:paraId="2B5A7E4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 слава, бессмертная слава будет лучшей вашей наградой, сохранит ваши имена в веках и ваши дела в памяти благодарного потомства». И хотя автор после приведенного текста устами другого действующего лица восклицает: «Германская слава - это германский кулак», - он не в состоянии изменить общего неправильного направления статьи в целом. Также неуместно приведено мнение татарского хана Батыя, выражающееся в словах: «Бессмертное царство Бату-хана - Золотая орда. В нем будет моя немеркнущая слава!».</w:t>
      </w:r>
    </w:p>
    <w:p w14:paraId="49AB0631"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Итак, на вопрос, поставленный автором в заголовке даются четыре разных ответа, в числе которых есть также мнение русского князя Александра Невского. Читателю дается право выбирать и руководствоваться в своей жизни одним из них, а при желании и всеми. При этом вопрос о славе, один из самых актуальных, самых современных вопросов, переносится в область истории, дается на разрешение злейшим врагам русского народа; немецкому королю и крестоносной сволочи, а также монгольскому хану Батыю, ввергнувшему русский народ в рабство. Статья, как политически неправильная, цензором Почанковой снята.</w:t>
      </w:r>
    </w:p>
    <w:p w14:paraId="676AD961" w14:textId="55158715"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В газете «КРАСНЫЙ ФЛОТ» от 31 июля 1943 г. в статье «Штаб готовит бомбоудар» (КВФ) (майор Б. Смирнов) показано дислоцирование на одном аэродроме бомбардировщиков и их прикрывающих истребителей в целях</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наименьшей потери бомбардировщиков при выполнении ими операций.</w:t>
      </w:r>
    </w:p>
    <w:p w14:paraId="0132C46A" w14:textId="3B40906E"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«Практика показала, что наименьшие потери бомбардировщики несут в том</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 xml:space="preserve">случае, если они дислоцируются на одном аэродроме с прикрывающими истребителями». </w:t>
      </w:r>
    </w:p>
    <w:p w14:paraId="2D507989" w14:textId="575F2631"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Затем автор статьи говорит о применении фугасных бомб весом в 250 к[ило]г[рамм] для разрушения железнодорожного моста, видимо,</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через реку Нарову, о бомбовой нагрузке бомбардировщиков Петляков-2 и неудовлетворительном охлаждении моторов на них. «Для разрушения моста</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 xml:space="preserve">специально были подобраны три машины с новыми мощными моторами, позволившими каждому экипажу взять по четыре 250 к[ило]г[раммовые] бомбы». </w:t>
      </w:r>
    </w:p>
    <w:p w14:paraId="338A8884" w14:textId="59FFF4DD"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«Устраняется опасность пережога мотора. А для самолета Петляков-2,</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имеющего небольшой радиатор, эта опасность сейчас, в жаркие дни, весьма</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реальна». Приведенные сведения цензором Коктомовым из статьи удалены.</w:t>
      </w:r>
    </w:p>
    <w:p w14:paraId="04D80768" w14:textId="1141E5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В газете «КРАСНЫЙ ФЛОТ» от 4 августа 1943 г., в статье старшего</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 xml:space="preserve">лейтенанта Москалюк «Катера против авиации» подробно говорится о крупных </w:t>
      </w:r>
    </w:p>
    <w:p w14:paraId="6EA0DBF9"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недостатках в организации дозора главной базы КВФ катерамиохотниками. </w:t>
      </w:r>
    </w:p>
    <w:p w14:paraId="3B739B6F" w14:textId="69057D7F"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Например, автор говорит: «Отсутствие нашей истребительной</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авиации и большая разбросанность катеров создавали благоприятные условия</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для противника. Немецкие истребители всей группой стали атаковать разрозненные катера по одному». «Обстреляв сначала катер старшего лейтенанта</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Колесникова самолеты атаковали морской охотник, следовавший за флагманским, и сразу нанесли большие потери его орудийным расчетам... Три истребителя снова атаковали его катер (Колесникова), причем командир и значительная часть личного состава были выведены из строя. После этого самолеты</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сосредоточили огонь на флагмане, который в свою очередь получил серьезные повреждения и понес потери в личном составе. На другом катере возник</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пожар».</w:t>
      </w:r>
    </w:p>
    <w:p w14:paraId="62962362" w14:textId="25DC20E2"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w:t>
      </w:r>
      <w:r w:rsidR="00007744" w:rsidRPr="00271E51">
        <w:rPr>
          <w:rFonts w:ascii="Times New Roman" w:hAnsi="Times New Roman"/>
          <w:color w:val="0070C0"/>
          <w:sz w:val="16"/>
          <w:szCs w:val="16"/>
        </w:rPr>
        <w:t>Н</w:t>
      </w:r>
      <w:r w:rsidRPr="00271E51">
        <w:rPr>
          <w:rFonts w:ascii="Times New Roman" w:hAnsi="Times New Roman"/>
          <w:color w:val="0070C0"/>
          <w:sz w:val="16"/>
          <w:szCs w:val="16"/>
        </w:rPr>
        <w:t>е следовало посылать в дневное время к берегам противника катера</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охотники без прикрытия с воздуха. Ошибочное решение дежурного привело в</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этот день к особенно тяжелым последствиям и потому, что состояние моря</w:t>
      </w:r>
      <w:r w:rsidR="00007744" w:rsidRPr="00271E51">
        <w:rPr>
          <w:rFonts w:ascii="Times New Roman" w:hAnsi="Times New Roman"/>
          <w:color w:val="0070C0"/>
          <w:sz w:val="16"/>
          <w:szCs w:val="16"/>
        </w:rPr>
        <w:t xml:space="preserve"> </w:t>
      </w:r>
      <w:r w:rsidRPr="00271E51">
        <w:rPr>
          <w:rFonts w:ascii="Times New Roman" w:hAnsi="Times New Roman"/>
          <w:color w:val="0070C0"/>
          <w:sz w:val="16"/>
          <w:szCs w:val="16"/>
        </w:rPr>
        <w:t>делало пушечно-пулеметный огонь катеров мало действительным. «Серьезные ошибки были допущены и командирами катеров, которые, кстати сказать,</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не получили предварительных указаний о строе и маневрировании при атаках</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истребительной авиации и действовали в бою каждый по своему усмотрению.</w:t>
      </w:r>
    </w:p>
    <w:p w14:paraId="54F64789" w14:textId="6CE7469F"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Отсутствие определенных указаний о порядке боевого маневрирования усугублялось тем, что катера в этом составе никогда не плавали вместе». «К началу атаки самолетов катера находились далеко друг от друга и фактически не</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соблюдали никакого строя. Разрозненно действовали они и на протяжении</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всего боя, позволяя противнику поочередно сосредоточивать удары на каждом из катеров». Цензор Кричевский статью снял.</w:t>
      </w:r>
    </w:p>
    <w:p w14:paraId="6F83BF86" w14:textId="648B078E"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33.</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 xml:space="preserve">В этом же номере газеты в корреспонденции лейтенанта И. Бару «Балтийские </w:t>
      </w:r>
    </w:p>
    <w:p w14:paraId="4FA0BF74" w14:textId="76816AD5"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штурмовики уничтожают немецких «тигров» говорилось о происходящих крупных боях на Ленинградском фронте с участием танков, что не соответствует духу сводок Советского Информбюро. В корреспонденции сообщалось: «Летчики Балтики оказывают поддержку нашим войскам, взламывая</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узлы сопротивления противника, уничтожая его технику, живую силу и огневые средства. Особенно эффективно действовали в последние дни штурмовики части, которой командует полковник Петров - они наносили сильные удары по немецким танкам, в числе которых были «тигры». По согласованию с</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Советским Информбюро предложено статью переделать в соответствии с</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официальными сводками. Цензор Кричевский.</w:t>
      </w:r>
    </w:p>
    <w:p w14:paraId="156E5B8B" w14:textId="0840A678"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В заметке о работе Института качественных сталей для «МоскауНьюз» (автор И. Елисеев), в интервью, данном главным инженером этого института Габриеляном, сообщаются детальные данные о новой технологии</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производства легированных сплавов для оборонной промышленности. Вся</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заметка о работе Института качественных сталей цензором Добросельской</w:t>
      </w:r>
      <w:r w:rsidR="005B7B2E" w:rsidRPr="00271E51">
        <w:rPr>
          <w:rFonts w:ascii="Times New Roman" w:hAnsi="Times New Roman"/>
          <w:color w:val="0070C0"/>
          <w:sz w:val="16"/>
          <w:szCs w:val="16"/>
        </w:rPr>
        <w:t xml:space="preserve"> </w:t>
      </w:r>
      <w:r w:rsidRPr="00271E51">
        <w:rPr>
          <w:rFonts w:ascii="Times New Roman" w:hAnsi="Times New Roman"/>
          <w:color w:val="0070C0"/>
          <w:sz w:val="16"/>
          <w:szCs w:val="16"/>
        </w:rPr>
        <w:t>снята.</w:t>
      </w:r>
    </w:p>
    <w:p w14:paraId="21DCE487"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 xml:space="preserve">35. В журнале «ИНТЕРНАЦИОНАЛЬНАЯ ЛИТЕРАТУРА» № 4 на немецком языке была дана статья Клары Блюм12 «Попытка истребления еврейского </w:t>
      </w:r>
    </w:p>
    <w:p w14:paraId="3237DB19"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народа». В этой статье автором неправильно излагается вопрос о евреях. </w:t>
      </w:r>
    </w:p>
    <w:p w14:paraId="23DD0F92"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Пример 1-й: «Евреи, защищая вместе с русскими, татарами, армянами свою советскую родину, играют в этой справедливой войне своих храбрых соотечественников не равноценную, а особо выдающуюся роль. Доля евреевкрасноармейцев в героических деяниях Красной армии в процентном отношении значительно больше, чем процент еврейского населения к общему населению СССР».</w:t>
      </w:r>
    </w:p>
    <w:p w14:paraId="72AB246F"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Пример 2-й: «Евреи стоят в первых рядах в войне против фашистских зверств и к величайшим достижениям своим в области философии, поэзии, музыки и социологии присоединяют теперь свои великие достижения в пятой области - в области военной». Из подобных высказываний состоит вся статья. Цензор Корнблюм статью снял.</w:t>
      </w:r>
    </w:p>
    <w:p w14:paraId="2AA1B2B5"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36. В немецком издании журнала «ИНТЕРНАЦИОНАЛЬНАЯ ЛИТЕРАТУРА» № 5 цензурой предложено изъять следующее место в статье Видена «Близится день суда над Гитлером»: «Гитлер есть тотальное отрицание немецкой честности, немецкого чувства долга и сознания ответственности, немецкой чистоплотности и немецкой совести...» как совершенно излишне и неуместно восхваляющие «немецкие добродетели».</w:t>
      </w:r>
    </w:p>
    <w:p w14:paraId="18519150"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Из микрофонного материала Всесоюзного радиокомитета за июнь-июль 1943 г. цензурой сделано 80 изъятий </w:t>
      </w:r>
    </w:p>
    <w:p w14:paraId="0C406F73"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В передаче от 8 июня 22.30 цензором Горинштейн сняты данные о том, что на Урале заканчивается строительство нового нефтеперегонного завода и что в самые сжатые сроки будет закончено сооружение второй очереди крупнейшего нефтеперегонного завода восточной части Союза.</w:t>
      </w:r>
    </w:p>
    <w:p w14:paraId="1F0049E6"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10 июня, 22.30, цензором Горинштейн снято указание на то, что на Урале пущена в эксплуатацию группа цехов вновь строящегося магниевого завода, что с пуском этих цехов ряд заводов будет полностью обеспечен важнейшей продукцией, что завод выдал уже первые тонны продукции.</w:t>
      </w:r>
    </w:p>
    <w:p w14:paraId="691FBC17"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20 июня, 12.00, цензором Строевым в заметке о внедрении поточного метода производства на одном из заводов города Чкалова, где директором т. Альтшулер, снято наименование города, так как этим раскрывалась дислокация номерного завода 703.</w:t>
      </w:r>
    </w:p>
    <w:p w14:paraId="017FBFC3"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20 июня, 12.00, цензором Строевым в заметке о перевыполнении плана промышленности в одном из районов города Омска на заводе, где главным конструктором тов. Петров, снято наименование города Омска, так как этим раскрывалась дислокация номерного завода.</w:t>
      </w:r>
    </w:p>
    <w:p w14:paraId="1CEC438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29 июня, 7.45, цензурой снята заметка из Саратова о том, что там уже получены первые тонны гутаперчи, выработанной из коры бересклета. Производство налажено в одном из цехов Энгельсовского клеевого завода.</w:t>
      </w:r>
    </w:p>
    <w:p w14:paraId="2EE85C68"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В передаче «Московские известия» 15 июня 13.00 цензором Строевым из сообщения о работе московских заводов снята фамилия директора завода Пригульского, так как этим раскрывалась дислокация номерного завода 70.</w:t>
      </w:r>
    </w:p>
    <w:p w14:paraId="232DBB24"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В передаче от 18 июня цензором Горинштейн снято выступление лауреата Сталинской премии конструктора Бармина, в котором давалась характеристика нашего нового образца артиллерийского вооружения. Из содержания нетрудно было догадаться, что речь идет о так называемой «Катюше».</w:t>
      </w:r>
    </w:p>
    <w:p w14:paraId="2C711C7F"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В спецпередаче от 29 июня в статье «Немецкие захватчики просчитались» вместо «Дружба народов СССР нерушима» было сказано «Дружба народов СССР нарушима». Цензором Скоблионок исправлено.</w:t>
      </w:r>
    </w:p>
    <w:p w14:paraId="0A5F101D"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В передаче 26 июня 17.15. цензором Строевым снят отрывок, раскрывающий выпуск Ижевским заводом танков И-3.</w:t>
      </w:r>
    </w:p>
    <w:p w14:paraId="7BF9EDCE"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В передаче от 25.VI 20.10 на сербском языке в приветственной телеграмме Чан-Кайши товарищу Сталину было дано вместо слов: «... но и нанесен сокрушительный удар по их духу» переведено: «...но и не нанесен...». Цензор Железов исправил.</w:t>
      </w:r>
    </w:p>
    <w:p w14:paraId="69953B5F" w14:textId="4EFB58DD"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w:t>
      </w:r>
      <w:r w:rsidR="003E0410" w:rsidRPr="00271E51">
        <w:rPr>
          <w:rFonts w:ascii="Times New Roman" w:hAnsi="Times New Roman"/>
          <w:color w:val="0070C0"/>
          <w:sz w:val="16"/>
          <w:szCs w:val="16"/>
        </w:rPr>
        <w:t xml:space="preserve"> </w:t>
      </w:r>
      <w:r w:rsidRPr="00271E51">
        <w:rPr>
          <w:rFonts w:ascii="Times New Roman" w:hAnsi="Times New Roman"/>
          <w:color w:val="0070C0"/>
          <w:sz w:val="16"/>
          <w:szCs w:val="16"/>
        </w:rPr>
        <w:t>В передаче на сербском языке перевода из газеты «Правда» «В польской дивизии имени Костюшко»15 вместо: «В подразделениях встречаются</w:t>
      </w:r>
      <w:r w:rsidR="003E0410" w:rsidRPr="00271E51">
        <w:rPr>
          <w:rFonts w:ascii="Times New Roman" w:hAnsi="Times New Roman"/>
          <w:color w:val="0070C0"/>
          <w:sz w:val="16"/>
          <w:szCs w:val="16"/>
        </w:rPr>
        <w:t xml:space="preserve"> </w:t>
      </w:r>
      <w:r w:rsidRPr="00271E51">
        <w:rPr>
          <w:rFonts w:ascii="Times New Roman" w:hAnsi="Times New Roman"/>
          <w:color w:val="0070C0"/>
          <w:sz w:val="16"/>
          <w:szCs w:val="16"/>
        </w:rPr>
        <w:t>лозунги, призывающие к укреплению дружбы между народами Польши и</w:t>
      </w:r>
      <w:r w:rsidR="003E0410" w:rsidRPr="00271E51">
        <w:rPr>
          <w:rFonts w:ascii="Times New Roman" w:hAnsi="Times New Roman"/>
          <w:color w:val="0070C0"/>
          <w:sz w:val="16"/>
          <w:szCs w:val="16"/>
        </w:rPr>
        <w:t xml:space="preserve"> </w:t>
      </w:r>
      <w:r w:rsidRPr="00271E51">
        <w:rPr>
          <w:rFonts w:ascii="Times New Roman" w:hAnsi="Times New Roman"/>
          <w:color w:val="0070C0"/>
          <w:sz w:val="16"/>
          <w:szCs w:val="16"/>
        </w:rPr>
        <w:t>СССР» было сказано: «... к укреплению вражды между народами Польши и</w:t>
      </w:r>
      <w:r w:rsidR="003E0410" w:rsidRPr="00271E51">
        <w:rPr>
          <w:rFonts w:ascii="Times New Roman" w:hAnsi="Times New Roman"/>
          <w:color w:val="0070C0"/>
          <w:sz w:val="16"/>
          <w:szCs w:val="16"/>
        </w:rPr>
        <w:t xml:space="preserve"> </w:t>
      </w:r>
      <w:r w:rsidRPr="00271E51">
        <w:rPr>
          <w:rFonts w:ascii="Times New Roman" w:hAnsi="Times New Roman"/>
          <w:color w:val="0070C0"/>
          <w:sz w:val="16"/>
          <w:szCs w:val="16"/>
        </w:rPr>
        <w:t>СССР»; вместо «С разных концов советской страны тянутся они к месту расположения своей дивизии, чтобы стать ее бойцами» напечатано: «С фашистских концов советской страны...» Цензор Железов исправил.</w:t>
      </w:r>
    </w:p>
    <w:p w14:paraId="38425CAE" w14:textId="0C72216B"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14 июня в материале Объединенной Всеславянской редакции цензором</w:t>
      </w:r>
      <w:r w:rsidR="003E0410" w:rsidRPr="00271E51">
        <w:rPr>
          <w:rFonts w:ascii="Times New Roman" w:hAnsi="Times New Roman"/>
          <w:color w:val="0070C0"/>
          <w:sz w:val="16"/>
          <w:szCs w:val="16"/>
        </w:rPr>
        <w:t xml:space="preserve"> </w:t>
      </w:r>
      <w:r w:rsidRPr="00271E51">
        <w:rPr>
          <w:rFonts w:ascii="Times New Roman" w:hAnsi="Times New Roman"/>
          <w:color w:val="0070C0"/>
          <w:sz w:val="16"/>
          <w:szCs w:val="16"/>
        </w:rPr>
        <w:t>Ярмуж не разрешено к трансляции выступление Героя Советского Союза начальника партизан Белоруссии Федора Павловского, так как в нем дан район</w:t>
      </w:r>
    </w:p>
    <w:p w14:paraId="64EA63EA"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действия партизан с указанием сел и деревень.</w:t>
      </w:r>
    </w:p>
    <w:p w14:paraId="6EB539D0" w14:textId="58E047C1"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В передаче на польском языке 4 июня вечерней сводки Совинформбюро от 3 июня вместо: «Снайпер узбек Усман Халилов в мае месяце истребил 12 немцев» сказано: «... истребил 12 пленных». Цензор Ярмуж исправил.</w:t>
      </w:r>
    </w:p>
    <w:p w14:paraId="12085032" w14:textId="73F2601B"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В передаче 1 июля 7.45 цензором Горинштейн снято указание о том, что в одном из городов Молотовской области вступил в строй новый завод и что накануне первый эшелон продукции этого завода направлен на фронт.</w:t>
      </w:r>
    </w:p>
    <w:p w14:paraId="07B99F82" w14:textId="325B339A"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2 июля 22.30 цензором Горинштейн сняты сведения о том, что заводом, где директором Герой социалистического труда тов. Гонор, сверх плана в фонд главного командования передано вооружение для нескольких полков и танковых соединений и что вместе с орденоносцем Сидоренко, конструкторами Безусовым, Порясин, Ворониным и Накаямовым на заводе созданы новые образцы машин, которые получили на испытаниях отличную оценку.</w:t>
      </w:r>
    </w:p>
    <w:p w14:paraId="332ABA88" w14:textId="68F0ACB6"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В тексте передачи 30 июля 18.40 «Вручение орденов за боевые операции под Сталинградом» в последнем слове была пропущена буква «р». Цензором Горинштейн исправлено.</w:t>
      </w:r>
    </w:p>
    <w:p w14:paraId="06D6C324" w14:textId="3C57D951"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В передаче 26 июля 23.00 передовой «Правды» от 26 июля вместо «Смелый маневр завершил окружение и уничтожение противника» (цитата из</w:t>
      </w:r>
    </w:p>
    <w:p w14:paraId="08BB7932" w14:textId="1138C11C"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первомайского приказа товарища Сталина) было сказано «...унижение противника». Цензором Железовым исправлено.</w:t>
      </w:r>
    </w:p>
    <w:p w14:paraId="3D454C47" w14:textId="134D3D44"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27 июля 6.40 вместо «Красная армия давно похоронила уже миф о непобедимости немецкой военной машины» было сказано «...миф о необходимости военной немецкой машины». Цензором Железовым исправлено.</w:t>
      </w:r>
    </w:p>
    <w:p w14:paraId="67B63443" w14:textId="3EBA803B"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В передаче 22 июля 22.30, посвященной 3-й годовщине со дня провозглашения советской власти в Литве, Латвии и Эстонии, председатель Президиума Верховного Совета Литовской ССР тов. Палецкис именуется председателем президиума Верховного Совета Латвийской ССР, а тов. Кирхенштейн 17 именуется председателем президиума Верховного Совета Литовской ССР. Цензурой исправлено.</w:t>
      </w:r>
    </w:p>
    <w:p w14:paraId="5A615975" w14:textId="77DDFEBB"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В тексте передачи 21 июля 4.20 заметки «Святой долг советских женщин» вместо «...сейчас женщины должны приложить много стараний» было «...много страданий». Цензором Горинштейн исправлено.</w:t>
      </w:r>
    </w:p>
    <w:p w14:paraId="63B1BDDC" w14:textId="77777777" w:rsidR="001F2A41" w:rsidRPr="00271E51" w:rsidRDefault="001F2A41" w:rsidP="00271E51">
      <w:pPr>
        <w:spacing w:after="0" w:line="240" w:lineRule="auto"/>
        <w:jc w:val="both"/>
        <w:rPr>
          <w:rFonts w:ascii="Times New Roman" w:hAnsi="Times New Roman"/>
          <w:color w:val="0070C0"/>
          <w:sz w:val="16"/>
          <w:szCs w:val="16"/>
        </w:rPr>
      </w:pPr>
    </w:p>
    <w:p w14:paraId="4D4F7574" w14:textId="1992C2A5"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В передаче 27 июля на белорусском языке цензором Скоблионок снято указание о наличии 8-й Рогачевской краснопартизанской бригады.</w:t>
      </w:r>
    </w:p>
    <w:p w14:paraId="47440B96" w14:textId="2E833E56"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22. В передаче на болгарском языке статьи «Болгарский народ не хочет быть палачом югославских патриотов» вместо «Зачем они (болгары) сражаются против югославских патриотов, которые ведут священную войну против кровавых немецко-итальянских оккупантов» было сказано «Зачем они (болгары) сражаются против кровавых немецких оккупантов». Цензор Железов исправил. </w:t>
      </w:r>
    </w:p>
    <w:p w14:paraId="187D5DBF"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w:t>
      </w:r>
    </w:p>
    <w:p w14:paraId="458249D2" w14:textId="77777777" w:rsidR="001F2A41" w:rsidRPr="00271E51" w:rsidRDefault="001F2A4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 РФ. Ф. 9425. On. 1. Д. 191. Л. 33-41 об. Подлинник, машинопись (21200).</w:t>
      </w:r>
    </w:p>
    <w:p w14:paraId="3256D794" w14:textId="77777777" w:rsidR="001F2A41" w:rsidRPr="00271E51" w:rsidRDefault="001F2A41" w:rsidP="00271E51">
      <w:pPr>
        <w:spacing w:after="0" w:line="240" w:lineRule="auto"/>
        <w:jc w:val="both"/>
        <w:rPr>
          <w:rFonts w:ascii="Times New Roman" w:hAnsi="Times New Roman"/>
          <w:color w:val="0070C0"/>
          <w:sz w:val="16"/>
          <w:szCs w:val="16"/>
        </w:rPr>
      </w:pPr>
    </w:p>
    <w:p w14:paraId="5A9B8879" w14:textId="70EB55E9"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BCF8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149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ГИ завода 39 Петров направил А.И.Ш. телефонограмму:</w:t>
      </w:r>
    </w:p>
    <w:p w14:paraId="34E3F0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августа 1943 на самолете Ил-6 проведено испытание на вибрацию РВ, стабилизатора, элеронов. Закончена подготовка для испытания на вибрацию фюзеляжа и крыльев с мотоотсеками. Проведена тарировка электробензиномера первой группы баков (1768,245).</w:t>
      </w:r>
    </w:p>
    <w:p w14:paraId="27818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E2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 испытания И-220 №01 с АМ-39 ненадолго прервались, так как самолет потерпел аварию. При заходе на посадку не вышла левая стойка шасси, и летчику-испытателю А.И.Жукову, после нескольких безуспешных попыток ее выпустить, пришлось сажать машину на одно колесо. Посадка была выполнена мастерски, самолет получил минимальные повреждения, после чего его отправили в ремонт. Кроме этого, в процессе испытаний самолет И-220 №01 приходилось пять раз заводить в цех для замены двигателей АМ-39. Последние были еще в опытном варианте и имели множество конструктивных недостатков, которые мешали их нормальной эксплуатации на самолете - выход из строя вследствие появления стружки в масле, выброс масла из-под вала редуктора, уход масла в картер и большая теплоотдача (5669).</w:t>
      </w:r>
    </w:p>
    <w:p w14:paraId="5EBDB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1FE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г.закончились вой</w:t>
      </w:r>
      <w:r w:rsidRPr="00271E51">
        <w:rPr>
          <w:rFonts w:ascii="Times New Roman" w:hAnsi="Times New Roman"/>
          <w:color w:val="000000" w:themeColor="text1"/>
          <w:sz w:val="16"/>
          <w:szCs w:val="16"/>
        </w:rPr>
        <w:softHyphen/>
        <w:t>сковых испытаний на Центральном фронте Як-9Т, которые проходили с 20 июля 1943. За время испытаний на Центральном фронте советские летчики на 34 Як-9Т по провели 78 воздушных боев и сбили 49 самолетов противника (20 ФВ 190А, 1 Ме 109C, 3 Bf110, 14 Ю 87, 9 Ю 88 и 2 Не 111) (10712).</w:t>
      </w:r>
    </w:p>
    <w:p w14:paraId="74B734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6BA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21 августа 1943 ГУ ВВС сообщило ЦК Г.М.М. и НКАП А.И.Ш. копию выписки из отчета о беседах с г-м Риккербеккером о постройке американских высотных </w:t>
      </w:r>
      <w:r w:rsidRPr="00271E51">
        <w:rPr>
          <w:rFonts w:ascii="Times New Roman" w:hAnsi="Times New Roman"/>
          <w:color w:val="000000" w:themeColor="text1"/>
          <w:sz w:val="16"/>
          <w:szCs w:val="16"/>
        </w:rPr>
        <w:lastRenderedPageBreak/>
        <w:t>бомбардировщиков и на основе этих материалов, а также данных ГРУ КА по ситуации в Германии и Англии отметил наше отставание просил развернуть работы у нас по высотным истребителям (1779).</w:t>
      </w:r>
    </w:p>
    <w:p w14:paraId="6CE05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2061C" w14:textId="77777777" w:rsidR="00F672AD" w:rsidRPr="00271E51" w:rsidRDefault="00F672AD"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21 августа 1943 г. нарком авиапромыш</w:t>
      </w:r>
      <w:r w:rsidRPr="00271E51">
        <w:rPr>
          <w:rFonts w:ascii="Times New Roman" w:hAnsi="Times New Roman"/>
          <w:color w:val="0070C0"/>
          <w:sz w:val="16"/>
          <w:szCs w:val="16"/>
          <w:lang w:eastAsia="ru-RU" w:bidi="ru-RU"/>
        </w:rPr>
        <w:softHyphen/>
        <w:t>ленности А.И. Шахурин писал в Госплан СССР:</w:t>
      </w:r>
    </w:p>
    <w:p w14:paraId="3C012C26" w14:textId="77777777" w:rsidR="00F672AD" w:rsidRPr="00271E51" w:rsidRDefault="00F672AD"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«Действующие отпускные цены на изделия, поставляемые НКАПу в порядке кооперации, по ряду предприятий не пересматривались в течение нескольких лет. В результате, во многих случаях цены резко отличаются от фактически достигнутой себестоимости, чем неоправ</w:t>
      </w:r>
      <w:r w:rsidRPr="00271E51">
        <w:rPr>
          <w:rFonts w:ascii="Times New Roman" w:hAnsi="Times New Roman"/>
          <w:color w:val="0070C0"/>
          <w:sz w:val="16"/>
          <w:szCs w:val="16"/>
          <w:lang w:eastAsia="ru-RU" w:bidi="ru-RU"/>
        </w:rPr>
        <w:softHyphen/>
        <w:t>данно удорожается себестоимость продукции НКАПа. Считая такое положение ненормальным, прошу в порядке подготовки к заключению договоров на 1944 г. представить в ПЭО НКАП не позднее 01.10.1943 действующие отпускные цены, фактические данные по себестоимости за последние 2-3 месяца и расчётные ма</w:t>
      </w:r>
      <w:r w:rsidRPr="00271E51">
        <w:rPr>
          <w:rFonts w:ascii="Times New Roman" w:hAnsi="Times New Roman"/>
          <w:color w:val="0070C0"/>
          <w:sz w:val="16"/>
          <w:szCs w:val="16"/>
          <w:lang w:eastAsia="ru-RU" w:bidi="ru-RU"/>
        </w:rPr>
        <w:softHyphen/>
        <w:t>териалы по намеченным отпускным ценам на 1944 г. по следующим изделиям: манометры воздушные, перепускные краны, часы АВР, АЧО, АЧХО, высотная ап</w:t>
      </w:r>
      <w:r w:rsidRPr="00271E51">
        <w:rPr>
          <w:rFonts w:ascii="Times New Roman" w:hAnsi="Times New Roman"/>
          <w:color w:val="0070C0"/>
          <w:sz w:val="16"/>
          <w:szCs w:val="16"/>
          <w:lang w:eastAsia="ru-RU" w:bidi="ru-RU"/>
        </w:rPr>
        <w:softHyphen/>
        <w:t>паратура, кислородные приборы, редуктора воздушные, авиаштамповки и поков</w:t>
      </w:r>
      <w:r w:rsidRPr="00271E51">
        <w:rPr>
          <w:rFonts w:ascii="Times New Roman" w:hAnsi="Times New Roman"/>
          <w:color w:val="0070C0"/>
          <w:sz w:val="16"/>
          <w:szCs w:val="16"/>
          <w:lang w:eastAsia="ru-RU" w:bidi="ru-RU"/>
        </w:rPr>
        <w:softHyphen/>
        <w:t>ки, зеркала обзора, слюда всех марок, резиновые изделия, бронекозырьки, броне-изделия, детали из пластмассы» (22646).</w:t>
      </w:r>
    </w:p>
    <w:p w14:paraId="14078EB1" w14:textId="77777777" w:rsidR="00F672AD" w:rsidRPr="00271E51" w:rsidRDefault="00F672AD" w:rsidP="00271E51">
      <w:pPr>
        <w:spacing w:after="0" w:line="240" w:lineRule="auto"/>
        <w:jc w:val="both"/>
        <w:rPr>
          <w:rFonts w:ascii="Times New Roman" w:hAnsi="Times New Roman"/>
          <w:color w:val="0070C0"/>
          <w:sz w:val="16"/>
          <w:szCs w:val="16"/>
          <w:lang w:eastAsia="ru-RU" w:bidi="ru-RU"/>
        </w:rPr>
      </w:pPr>
    </w:p>
    <w:p w14:paraId="7545562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006D5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3E7C00"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 на Обуховском заводе вступила в строй мартеновская печь, единственная. заработавшая в блокированном городе. Для пуска по решению Горкома частично были привлечены специалисты неработающих мартеновских цехов Кировского, Ижорского заводов и завода им. Ленина. Использовали и шихтовые материалы этих заводов. а мазут был получен из запасов Балтийского флота.В сентябре пустили вторую печь, а в декабре третью, основную. К концу года восстановлено  производство и в остальных металлургических цехах и введен в строй среднесортный прокатный стан. Завод возобновил производство морской артиллерии (18356).</w:t>
      </w:r>
    </w:p>
    <w:p w14:paraId="7527BECD" w14:textId="77777777" w:rsidR="00E85ED5" w:rsidRPr="00271E51" w:rsidRDefault="00E85ED5" w:rsidP="00271E51">
      <w:pPr>
        <w:spacing w:after="0" w:line="240" w:lineRule="auto"/>
        <w:jc w:val="both"/>
        <w:rPr>
          <w:rFonts w:ascii="Times New Roman" w:hAnsi="Times New Roman"/>
          <w:color w:val="000000" w:themeColor="text1"/>
          <w:sz w:val="16"/>
          <w:szCs w:val="16"/>
        </w:rPr>
      </w:pPr>
    </w:p>
    <w:p w14:paraId="10CFABCC" w14:textId="77777777" w:rsidR="00E85ED5" w:rsidRPr="00271E51" w:rsidRDefault="00E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 СНК СССР и ЦК ВКП(б) приняли Постановление "О неотложных мерах по восстановлению хозяйства в районах, освобожденных от немецкой оккупации" &lt;1&gt;. В нем впервые за годы войны был поставлен вопрос о комплексном восстановлении экономики страны. Наркомат финансов был обязан обеспечить ресурсами восстановительные работы так, чтобы значительную их часть удалось провести еще во время войны. Из года в год росли капитальные вложения по государственному бюджету СССР на возрождение освобожденных районов. В 1942 - 1945 гг. они составили 39,5 млрд. руб. (в 1942 г. - 3,2 млрд., в 1943 г. - 4,1 млрд., в 1944 г. - 14,2 млрд. и в 1945 г. - 18 млрд.). Характерно, что в 1944 г. в общем объеме капиталовложений в промышленность страны удельный вес районов, освобожденных от оккупации, достиг 31% (в 1943 г. он составлял лишь 7,8%) (18390).</w:t>
      </w:r>
    </w:p>
    <w:p w14:paraId="09FE6530" w14:textId="77777777" w:rsidR="00E85ED5" w:rsidRPr="00271E51" w:rsidRDefault="00E85ED5" w:rsidP="00271E51">
      <w:pPr>
        <w:spacing w:after="0" w:line="240" w:lineRule="auto"/>
        <w:jc w:val="both"/>
        <w:rPr>
          <w:rFonts w:ascii="Times New Roman" w:hAnsi="Times New Roman"/>
          <w:color w:val="000000" w:themeColor="text1"/>
          <w:sz w:val="16"/>
          <w:szCs w:val="16"/>
        </w:rPr>
      </w:pPr>
    </w:p>
    <w:p w14:paraId="7F7C9F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21 по 24 августа 1943 г. один из двух опытных образцов танка КА-85Г совместно с опытным танком "Объект 239" прошел полигонные испыта</w:t>
      </w:r>
      <w:r w:rsidRPr="00271E51">
        <w:rPr>
          <w:rFonts w:ascii="Times New Roman" w:hAnsi="Times New Roman"/>
          <w:color w:val="000000" w:themeColor="text1"/>
          <w:sz w:val="16"/>
          <w:szCs w:val="16"/>
        </w:rPr>
        <w:softHyphen/>
        <w:t>ния на Гороховецком АНИОПе. На вооружение не принимался и в се</w:t>
      </w:r>
      <w:r w:rsidRPr="00271E51">
        <w:rPr>
          <w:rFonts w:ascii="Times New Roman" w:hAnsi="Times New Roman"/>
          <w:color w:val="000000" w:themeColor="text1"/>
          <w:sz w:val="16"/>
          <w:szCs w:val="16"/>
        </w:rPr>
        <w:softHyphen/>
        <w:t>рийном производстве не состоял (10703).</w:t>
      </w:r>
    </w:p>
    <w:p w14:paraId="6AF193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EE4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21 по 24 августа 1943 г. на Гороховецком артиллерийском научно-исследовательском опытном полигоне (ГАНИОП), согласно предложениям комиссии, были проведены сравнительные испытания че</w:t>
      </w:r>
      <w:r w:rsidRPr="00271E51">
        <w:rPr>
          <w:rFonts w:ascii="Times New Roman" w:hAnsi="Times New Roman"/>
          <w:color w:val="000000" w:themeColor="text1"/>
          <w:sz w:val="16"/>
          <w:szCs w:val="16"/>
        </w:rPr>
        <w:softHyphen/>
        <w:t>тырех опытных образцов 85-мм пушек: двух С-31 и Д-5Т-85. Размещение заряжающего слева от пушки улучшало условия его работы. С повышением калибра танковой пушки возрастала и масса унитарного выстрела, который с каждым разом становилось сложнее заряжать левой рукой. Государственной комиссией были разработаны предложения по дальнейшему улучшению боевых свойств танка ИС. По огневой мощи, например, рекомендовалось разработать и установить к 15 ноября 1943 г.: гидравлический механизм поворота башни по типу МПБ, уста</w:t>
      </w:r>
      <w:r w:rsidRPr="00271E51">
        <w:rPr>
          <w:rFonts w:ascii="Times New Roman" w:hAnsi="Times New Roman"/>
          <w:color w:val="000000" w:themeColor="text1"/>
          <w:sz w:val="16"/>
          <w:szCs w:val="16"/>
        </w:rPr>
        <w:softHyphen/>
        <w:t>навливавшегося на американском танке М4А2 ("Шерман"), а также -турельную зенитную пулеметную установку на основании люка коман</w:t>
      </w:r>
      <w:r w:rsidRPr="00271E51">
        <w:rPr>
          <w:rFonts w:ascii="Times New Roman" w:hAnsi="Times New Roman"/>
          <w:color w:val="000000" w:themeColor="text1"/>
          <w:sz w:val="16"/>
          <w:szCs w:val="16"/>
        </w:rPr>
        <w:softHyphen/>
        <w:t>дирской башенки. В последующем необходимо было: разработать еди</w:t>
      </w:r>
      <w:r w:rsidRPr="00271E51">
        <w:rPr>
          <w:rFonts w:ascii="Times New Roman" w:hAnsi="Times New Roman"/>
          <w:color w:val="000000" w:themeColor="text1"/>
          <w:sz w:val="16"/>
          <w:szCs w:val="16"/>
        </w:rPr>
        <w:softHyphen/>
        <w:t>ную конструкцию люльки для установки 85-, 100-, 122- и 152,4-мм пу</w:t>
      </w:r>
      <w:r w:rsidRPr="00271E51">
        <w:rPr>
          <w:rFonts w:ascii="Times New Roman" w:hAnsi="Times New Roman"/>
          <w:color w:val="000000" w:themeColor="text1"/>
          <w:sz w:val="16"/>
          <w:szCs w:val="16"/>
        </w:rPr>
        <w:softHyphen/>
        <w:t>шек и предусмотреть размещение заряжающего слева, а наводчика и ко</w:t>
      </w:r>
      <w:r w:rsidRPr="00271E51">
        <w:rPr>
          <w:rFonts w:ascii="Times New Roman" w:hAnsi="Times New Roman"/>
          <w:color w:val="000000" w:themeColor="text1"/>
          <w:sz w:val="16"/>
          <w:szCs w:val="16"/>
        </w:rPr>
        <w:softHyphen/>
        <w:t>мандира справа от пушки" . Кроме того предполагалось разработать конструкцию и установку в башне танка телескопического шарнирного прицела, гидравлического стабилизатора пушки, пулемета с ленточным питанием, казенно-зарядного миномета калибра 50 мм для самозащиты, а также устройства для пуска сигнальных ракет. Для усиления защищенности танка комиссией рекомендовалось к 1 декабря 1943 г. изготовить корпус и башню из брони высокой твердос</w:t>
      </w:r>
      <w:r w:rsidRPr="00271E51">
        <w:rPr>
          <w:rFonts w:ascii="Times New Roman" w:hAnsi="Times New Roman"/>
          <w:color w:val="000000" w:themeColor="text1"/>
          <w:sz w:val="16"/>
          <w:szCs w:val="16"/>
        </w:rPr>
        <w:softHyphen/>
        <w:t>ти тех же толщин, что и на танке "Объект 237" (10703).</w:t>
      </w:r>
    </w:p>
    <w:p w14:paraId="4646620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C9CE3"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21 по 24 августа 1943 года на Гороховецком артиллерийском полигоне машины «объ</w:t>
      </w:r>
      <w:r w:rsidRPr="00271E51">
        <w:rPr>
          <w:rFonts w:ascii="Times New Roman" w:cs="Times New Roman"/>
          <w:color w:val="000000" w:themeColor="text1"/>
          <w:spacing w:val="0"/>
        </w:rPr>
        <w:softHyphen/>
        <w:t>ект 238» и «объект 239» прошли испытания совместно с двумя опыт</w:t>
      </w:r>
      <w:r w:rsidRPr="00271E51">
        <w:rPr>
          <w:rFonts w:ascii="Times New Roman" w:cs="Times New Roman"/>
          <w:color w:val="000000" w:themeColor="text1"/>
          <w:spacing w:val="0"/>
        </w:rPr>
        <w:softHyphen/>
        <w:t xml:space="preserve">ными образцами «объекта 237» - на одном стояла артсистема Д-5Т, а на втором — грабинская С-31. Следует сказать, что башня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 си</w:t>
      </w:r>
      <w:r w:rsidRPr="00271E51">
        <w:rPr>
          <w:rFonts w:ascii="Times New Roman" w:cs="Times New Roman"/>
          <w:color w:val="000000" w:themeColor="text1"/>
          <w:spacing w:val="0"/>
        </w:rPr>
        <w:softHyphen/>
        <w:t>стемой С-31 несколько отличалась от серий</w:t>
      </w:r>
      <w:r w:rsidRPr="00271E51">
        <w:rPr>
          <w:rFonts w:ascii="Times New Roman" w:cs="Times New Roman"/>
          <w:color w:val="000000" w:themeColor="text1"/>
          <w:spacing w:val="0"/>
        </w:rPr>
        <w:softHyphen/>
        <w:t>ной -  по предложению главного конструк</w:t>
      </w:r>
      <w:r w:rsidRPr="00271E51">
        <w:rPr>
          <w:rFonts w:ascii="Times New Roman" w:cs="Times New Roman"/>
          <w:color w:val="000000" w:themeColor="text1"/>
          <w:spacing w:val="0"/>
        </w:rPr>
        <w:softHyphen/>
        <w:t xml:space="preserve">тора ЦАКБ В. Грабина она была «увеличена по габариту в сторону ниши против башни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w:t>
      </w:r>
    </w:p>
    <w:p w14:paraId="6B8B7639"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Пушка С-31, спроектированная в ЦАКБ, представляла собой ствол 85-мм зенитки об</w:t>
      </w:r>
      <w:r w:rsidRPr="00271E51">
        <w:rPr>
          <w:rFonts w:ascii="Times New Roman" w:cs="Times New Roman"/>
          <w:color w:val="000000" w:themeColor="text1"/>
          <w:spacing w:val="0"/>
        </w:rPr>
        <w:softHyphen/>
        <w:t>разца 1939 года, наложенный на люльку арт- системы ЗИС-З. Особенностями С-31 явля</w:t>
      </w:r>
      <w:r w:rsidRPr="00271E51">
        <w:rPr>
          <w:rFonts w:ascii="Times New Roman" w:cs="Times New Roman"/>
          <w:color w:val="000000" w:themeColor="text1"/>
          <w:spacing w:val="0"/>
        </w:rPr>
        <w:softHyphen/>
        <w:t>лись:</w:t>
      </w:r>
    </w:p>
    <w:p w14:paraId="604346AA"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Максимальное использование частей от существующих и освоенных в производ</w:t>
      </w:r>
      <w:r w:rsidRPr="00271E51">
        <w:rPr>
          <w:rFonts w:ascii="Times New Roman" w:cs="Times New Roman"/>
          <w:color w:val="000000" w:themeColor="text1"/>
          <w:spacing w:val="0"/>
        </w:rPr>
        <w:softHyphen/>
        <w:t>стве танковых пушек (затвор в основном от Ф-34, люлька от ЗИС-5, противооткатные приспособления от Ф-34, гильзоулавлива- тель подобен ЗИС-5, механизмы наведения от Ф-34 и ЗИС-5);</w:t>
      </w:r>
    </w:p>
    <w:p w14:paraId="0FFADF92"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Противооткатные приспособления уста</w:t>
      </w:r>
      <w:r w:rsidRPr="00271E51">
        <w:rPr>
          <w:rFonts w:ascii="Times New Roman" w:cs="Times New Roman"/>
          <w:color w:val="000000" w:themeColor="text1"/>
          <w:spacing w:val="0"/>
        </w:rPr>
        <w:softHyphen/>
        <w:t>новлены в люльке снизу под стволом;</w:t>
      </w:r>
    </w:p>
    <w:p w14:paraId="265FA887"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Уравновешивание системы на цапфах в связи с выносом центра тяжести вперед на 228 мм осуществляется при помощи допол</w:t>
      </w:r>
      <w:r w:rsidRPr="00271E51">
        <w:rPr>
          <w:rFonts w:ascii="Times New Roman" w:cs="Times New Roman"/>
          <w:color w:val="000000" w:themeColor="text1"/>
          <w:spacing w:val="0"/>
        </w:rPr>
        <w:softHyphen/>
        <w:t>нительных грузов;</w:t>
      </w:r>
    </w:p>
    <w:p w14:paraId="3ED0F745"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Длина отката 480-570 мм</w:t>
      </w:r>
    </w:p>
    <w:p w14:paraId="71AADCB1"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Монтаж и демонтаж артсистемы осущест</w:t>
      </w:r>
      <w:r w:rsidRPr="00271E51">
        <w:rPr>
          <w:rFonts w:ascii="Times New Roman" w:cs="Times New Roman"/>
          <w:color w:val="000000" w:themeColor="text1"/>
          <w:spacing w:val="0"/>
        </w:rPr>
        <w:softHyphen/>
        <w:t>вляются спереди;</w:t>
      </w:r>
    </w:p>
    <w:p w14:paraId="42E16F35"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стрельбы предусмотрен электроспуск (дублировался ручным) и лоток, которые блокировались для безопасности и более бы</w:t>
      </w:r>
      <w:r w:rsidRPr="00271E51">
        <w:rPr>
          <w:rFonts w:ascii="Times New Roman" w:cs="Times New Roman"/>
          <w:color w:val="000000" w:themeColor="text1"/>
          <w:spacing w:val="0"/>
        </w:rPr>
        <w:softHyphen/>
        <w:t>строй работы заряжающего (в пушке Д-5Т блокировка отсутствовала, имелся только от</w:t>
      </w:r>
      <w:r w:rsidRPr="00271E51">
        <w:rPr>
          <w:rFonts w:ascii="Times New Roman" w:cs="Times New Roman"/>
          <w:color w:val="000000" w:themeColor="text1"/>
          <w:spacing w:val="0"/>
        </w:rPr>
        <w:softHyphen/>
        <w:t>кидной лоток).</w:t>
      </w:r>
    </w:p>
    <w:p w14:paraId="5D74164D"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Конструктивными особенностями артси</w:t>
      </w:r>
      <w:r w:rsidRPr="00271E51">
        <w:rPr>
          <w:rFonts w:ascii="Times New Roman" w:cs="Times New Roman"/>
          <w:color w:val="000000" w:themeColor="text1"/>
          <w:spacing w:val="0"/>
        </w:rPr>
        <w:softHyphen/>
        <w:t>стемы Д-5Т, спроектированной заводом № 9 являлись:</w:t>
      </w:r>
    </w:p>
    <w:p w14:paraId="49885DD7"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Люлька новой конструкции, сваренная из двух литых обойм в виде блок-муфты. Ствол расположен и движется при отка</w:t>
      </w:r>
      <w:r w:rsidRPr="00271E51">
        <w:rPr>
          <w:rFonts w:ascii="Times New Roman" w:cs="Times New Roman"/>
          <w:color w:val="000000" w:themeColor="text1"/>
          <w:spacing w:val="0"/>
        </w:rPr>
        <w:softHyphen/>
        <w:t>те — накате в середине люльки, а противо</w:t>
      </w:r>
      <w:r w:rsidRPr="00271E51">
        <w:rPr>
          <w:rFonts w:ascii="Times New Roman" w:cs="Times New Roman"/>
          <w:color w:val="000000" w:themeColor="text1"/>
          <w:spacing w:val="0"/>
        </w:rPr>
        <w:softHyphen/>
        <w:t>откатные приспособления вынесены наверх над стволом;</w:t>
      </w:r>
    </w:p>
    <w:p w14:paraId="0F84E118"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Малая длина отката (240-300 мм), что по</w:t>
      </w:r>
      <w:r w:rsidRPr="00271E51">
        <w:rPr>
          <w:rFonts w:ascii="Times New Roman" w:cs="Times New Roman"/>
          <w:color w:val="000000" w:themeColor="text1"/>
          <w:spacing w:val="0"/>
        </w:rPr>
        <w:softHyphen/>
        <w:t>зволило уменьшить габариты гильзоуловите- ля и ограждения от отката;</w:t>
      </w:r>
    </w:p>
    <w:p w14:paraId="77BBFCFA"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Монтаж и демонтаж производились спере</w:t>
      </w:r>
      <w:r w:rsidRPr="00271E51">
        <w:rPr>
          <w:rFonts w:ascii="Times New Roman" w:cs="Times New Roman"/>
          <w:color w:val="000000" w:themeColor="text1"/>
          <w:spacing w:val="0"/>
        </w:rPr>
        <w:softHyphen/>
        <w:t>ди после снятия передней бронировки, мас</w:t>
      </w:r>
      <w:r w:rsidRPr="00271E51">
        <w:rPr>
          <w:rFonts w:ascii="Times New Roman" w:cs="Times New Roman"/>
          <w:color w:val="000000" w:themeColor="text1"/>
          <w:spacing w:val="0"/>
        </w:rPr>
        <w:softHyphen/>
        <w:t>са которой (270 кг) была меньше, чем у С-31;</w:t>
      </w:r>
    </w:p>
    <w:p w14:paraId="01E509EC"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Наличие электроспуска, ручного спуска и откидного лотка;</w:t>
      </w:r>
    </w:p>
    <w:p w14:paraId="4ABA4307"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Унификация части деталей и резьбовых со</w:t>
      </w:r>
      <w:r w:rsidRPr="00271E51">
        <w:rPr>
          <w:rFonts w:ascii="Times New Roman" w:cs="Times New Roman"/>
          <w:color w:val="000000" w:themeColor="text1"/>
          <w:spacing w:val="0"/>
        </w:rPr>
        <w:softHyphen/>
        <w:t>единений с существующими у других орудий валового производства (кожух ствола — от га</w:t>
      </w:r>
      <w:r w:rsidRPr="00271E51">
        <w:rPr>
          <w:rFonts w:ascii="Times New Roman" w:cs="Times New Roman"/>
          <w:color w:val="000000" w:themeColor="text1"/>
          <w:spacing w:val="0"/>
        </w:rPr>
        <w:softHyphen/>
        <w:t>убицы М-30, затвор в основном и казенник - от системы Ф-34, подъемный механизм и ряд других деталей - от Ф-34 и ЗИС-5);</w:t>
      </w:r>
    </w:p>
    <w:p w14:paraId="66AA4866"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Система уравновешена на цапфах, без до</w:t>
      </w:r>
      <w:r w:rsidRPr="00271E51">
        <w:rPr>
          <w:rFonts w:ascii="Times New Roman" w:cs="Times New Roman"/>
          <w:color w:val="000000" w:themeColor="text1"/>
          <w:spacing w:val="0"/>
        </w:rPr>
        <w:softHyphen/>
        <w:t>полнительных грузов.</w:t>
      </w:r>
    </w:p>
    <w:p w14:paraId="2DA84E44"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ходе испытаний из системы С-31 на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было сделано 304 выстрела, а из Д-5Т - 332. Отмечалось, что лучшие условия для работы расчета в башне типа ИС с си</w:t>
      </w:r>
      <w:r w:rsidRPr="00271E51">
        <w:rPr>
          <w:rFonts w:ascii="Times New Roman" w:cs="Times New Roman"/>
          <w:color w:val="000000" w:themeColor="text1"/>
          <w:spacing w:val="0"/>
        </w:rPr>
        <w:softHyphen/>
        <w:t>стемой Д-5Т из-за более короткого отката и меньших габаритов орудия. А вот в баш</w:t>
      </w:r>
      <w:r w:rsidRPr="00271E51">
        <w:rPr>
          <w:rFonts w:ascii="Times New Roman" w:cs="Times New Roman"/>
          <w:color w:val="000000" w:themeColor="text1"/>
          <w:spacing w:val="0"/>
        </w:rPr>
        <w:softHyphen/>
        <w:t xml:space="preserve">не КВ-1С с нормальным погоном и пушкой С-31 действия расчета были не столь удобны, что и отразилось на полученных результатах скорострельности: 8-13 выстрелов в минуту у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 xml:space="preserve"> с пушкой Д-5Т и 3-6 выстрела у С-31.</w:t>
      </w:r>
    </w:p>
    <w:p w14:paraId="2CCF5F0C"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заключение отчета об испытаниях отме</w:t>
      </w:r>
      <w:r w:rsidRPr="00271E51">
        <w:rPr>
          <w:rFonts w:ascii="Times New Roman" w:cs="Times New Roman"/>
          <w:color w:val="000000" w:themeColor="text1"/>
          <w:spacing w:val="0"/>
        </w:rPr>
        <w:softHyphen/>
        <w:t>чалось:</w:t>
      </w:r>
    </w:p>
    <w:p w14:paraId="2A7E08C2"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«Наиболее доработанной и наиболее со</w:t>
      </w:r>
      <w:r w:rsidRPr="00271E51">
        <w:rPr>
          <w:rFonts w:ascii="Times New Roman" w:cs="Times New Roman"/>
          <w:color w:val="000000" w:themeColor="text1"/>
          <w:spacing w:val="0"/>
        </w:rPr>
        <w:softHyphen/>
        <w:t>вершенной является 85-мм танковая пушка Д-5Т-85 завода № 9 НКВ, которая при оди</w:t>
      </w:r>
      <w:r w:rsidRPr="00271E51">
        <w:rPr>
          <w:rFonts w:ascii="Times New Roman" w:cs="Times New Roman"/>
          <w:color w:val="000000" w:themeColor="text1"/>
          <w:spacing w:val="0"/>
        </w:rPr>
        <w:softHyphen/>
        <w:t>наковой баллистике с пушкой С-31 имеет по сравнению с ней целый ряд преимуществ:</w:t>
      </w:r>
    </w:p>
    <w:p w14:paraId="4022B333" w14:textId="77777777" w:rsidR="009C7F1C" w:rsidRPr="00271E51" w:rsidRDefault="009C7F1C" w:rsidP="00271E51">
      <w:pPr>
        <w:pStyle w:val="27"/>
        <w:shd w:val="clear" w:color="auto" w:fill="auto"/>
        <w:tabs>
          <w:tab w:val="left" w:pos="442"/>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Отсутствие мертвых, мешающих в баш</w:t>
      </w:r>
      <w:r w:rsidRPr="00271E51">
        <w:rPr>
          <w:rFonts w:ascii="Times New Roman" w:cs="Times New Roman"/>
          <w:color w:val="000000" w:themeColor="text1"/>
          <w:spacing w:val="0"/>
        </w:rPr>
        <w:softHyphen/>
        <w:t>не, уравновешивающих грузов;</w:t>
      </w:r>
    </w:p>
    <w:p w14:paraId="0E417243" w14:textId="77777777" w:rsidR="009C7F1C" w:rsidRPr="00271E51" w:rsidRDefault="009C7F1C" w:rsidP="00271E51">
      <w:pPr>
        <w:pStyle w:val="27"/>
        <w:shd w:val="clear" w:color="auto" w:fill="auto"/>
        <w:tabs>
          <w:tab w:val="left" w:pos="50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Большую свободу и удобство работы при ней в башне танка;</w:t>
      </w:r>
    </w:p>
    <w:p w14:paraId="7FC939CB" w14:textId="77777777" w:rsidR="009C7F1C" w:rsidRPr="00271E51" w:rsidRDefault="009C7F1C" w:rsidP="00271E51">
      <w:pPr>
        <w:pStyle w:val="27"/>
        <w:shd w:val="clear" w:color="auto" w:fill="auto"/>
        <w:tabs>
          <w:tab w:val="left" w:pos="462"/>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Обеспечивает вполне удовлетворитель</w:t>
      </w:r>
      <w:r w:rsidRPr="00271E51">
        <w:rPr>
          <w:rFonts w:ascii="Times New Roman" w:cs="Times New Roman"/>
          <w:color w:val="000000" w:themeColor="text1"/>
          <w:spacing w:val="0"/>
        </w:rPr>
        <w:softHyphen/>
        <w:t>ную и более устойчивую кучность;</w:t>
      </w:r>
    </w:p>
    <w:p w14:paraId="65BB2F8F" w14:textId="77777777" w:rsidR="009C7F1C" w:rsidRPr="00271E51" w:rsidRDefault="009C7F1C" w:rsidP="00271E51">
      <w:pPr>
        <w:pStyle w:val="27"/>
        <w:shd w:val="clear" w:color="auto" w:fill="auto"/>
        <w:tabs>
          <w:tab w:val="left" w:pos="452"/>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г). Меньшую и вполне приемлемую вели</w:t>
      </w:r>
      <w:r w:rsidRPr="00271E51">
        <w:rPr>
          <w:rFonts w:ascii="Times New Roman" w:cs="Times New Roman"/>
          <w:color w:val="000000" w:themeColor="text1"/>
          <w:spacing w:val="0"/>
        </w:rPr>
        <w:softHyphen/>
        <w:t>чину углов вылета;</w:t>
      </w:r>
    </w:p>
    <w:p w14:paraId="591C62E1" w14:textId="77777777" w:rsidR="009C7F1C" w:rsidRPr="00271E51" w:rsidRDefault="009C7F1C" w:rsidP="00271E51">
      <w:pPr>
        <w:pStyle w:val="27"/>
        <w:shd w:val="clear" w:color="auto" w:fill="auto"/>
        <w:tabs>
          <w:tab w:val="left" w:pos="49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 Более надежную прочность и работу основных механизмов, и в первую очередь, противооткатных устройств;</w:t>
      </w:r>
    </w:p>
    <w:p w14:paraId="310A3B17" w14:textId="77777777" w:rsidR="009C7F1C" w:rsidRPr="00271E51" w:rsidRDefault="009C7F1C" w:rsidP="00271E51">
      <w:pPr>
        <w:pStyle w:val="27"/>
        <w:shd w:val="clear" w:color="auto" w:fill="auto"/>
        <w:tabs>
          <w:tab w:val="left" w:pos="476"/>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е). Более легкое и удобное обслуживание и сборку-разборку.</w:t>
      </w:r>
    </w:p>
    <w:p w14:paraId="7089A3AA"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Ввиду этого 85-мм танковая пушка Д-5Т-85 завода № 9 НКВ может быть ре</w:t>
      </w:r>
      <w:r w:rsidRPr="00271E51">
        <w:rPr>
          <w:rFonts w:ascii="Times New Roman" w:cs="Times New Roman"/>
          <w:color w:val="000000" w:themeColor="text1"/>
          <w:spacing w:val="0"/>
        </w:rPr>
        <w:softHyphen/>
        <w:t>комендована для принятия на вооружение средних и тяжелых танков Красной Армии.</w:t>
      </w:r>
    </w:p>
    <w:p w14:paraId="6B58A771"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Необходимо в срочном порядке добиться полного устранения недостатков этой пуш</w:t>
      </w:r>
      <w:r w:rsidRPr="00271E51">
        <w:rPr>
          <w:rFonts w:ascii="Times New Roman" w:cs="Times New Roman"/>
          <w:color w:val="000000" w:themeColor="text1"/>
          <w:spacing w:val="0"/>
        </w:rPr>
        <w:softHyphen/>
        <w:t>ки, выявленных и вновь повторяющихся при данных полигонных испытаниях» (15226).</w:t>
      </w:r>
    </w:p>
    <w:p w14:paraId="431C8F77"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p>
    <w:p w14:paraId="39B893FC" w14:textId="77777777" w:rsidR="00F87EB8" w:rsidRPr="00271E51" w:rsidRDefault="00F87EB8" w:rsidP="00271E51">
      <w:pPr>
        <w:pStyle w:val="ae"/>
        <w:spacing w:before="0" w:after="0"/>
        <w:jc w:val="both"/>
        <w:textAlignment w:val="baseline"/>
        <w:rPr>
          <w:color w:val="000000" w:themeColor="text1"/>
          <w:sz w:val="16"/>
          <w:szCs w:val="16"/>
        </w:rPr>
      </w:pPr>
      <w:r w:rsidRPr="00271E51">
        <w:rPr>
          <w:color w:val="000000" w:themeColor="text1"/>
          <w:sz w:val="16"/>
          <w:szCs w:val="16"/>
        </w:rPr>
        <w:t>С 21 по 24 августа 1943 года в ходе испытаний, которые прошли на Гороховецком артиллерийском научно-испытательном опытном полигоне (АНИОП), был сделан окончательный выбор в пользу Объекта 239. Ещё до начала стрельб было понятно, что Д-5Т явно превосходит С-31. Длина отката новой пушки составляла всего 240-</w:t>
      </w:r>
      <w:r w:rsidRPr="00271E51">
        <w:rPr>
          <w:color w:val="000000" w:themeColor="text1"/>
          <w:sz w:val="16"/>
          <w:szCs w:val="16"/>
        </w:rPr>
        <w:lastRenderedPageBreak/>
        <w:t>300 мм, более удобным оказалось обслуживание противооткатных приспособлений. Башня Объекта 237 была куда удобнее для работы расчёта, что проявилось при испытаниях на скорострельность. Для Объекта 239 этот параметр составил 10-13 выстрелов в минуту, в 2 раза больше, чем у Объекта 238.</w:t>
      </w:r>
    </w:p>
    <w:p w14:paraId="7911F685" w14:textId="77777777" w:rsidR="00F87EB8" w:rsidRPr="00271E51" w:rsidRDefault="00F87EB8" w:rsidP="00271E51">
      <w:pPr>
        <w:pStyle w:val="ae"/>
        <w:spacing w:before="0" w:after="0"/>
        <w:jc w:val="both"/>
        <w:textAlignment w:val="baseline"/>
        <w:rPr>
          <w:color w:val="000000" w:themeColor="text1"/>
          <w:sz w:val="16"/>
          <w:szCs w:val="16"/>
        </w:rPr>
      </w:pPr>
      <w:r w:rsidRPr="00271E51">
        <w:rPr>
          <w:color w:val="000000" w:themeColor="text1"/>
          <w:sz w:val="16"/>
          <w:szCs w:val="16"/>
        </w:rPr>
        <w:t>Испытания на Гороховецком АНИОП оказались, скорее, финальной проверкой. Дело в том, что ещё 8 августа 1943 года Сталин подписал постановление ГКО №3891сс «О производстве танков КВ с 85 мм пушкой (КВ-85)». Согласно этому документу выбор был сделан в пользу Объекта 239, уже в августе ожидался выпуск первых 25 танков. Преимущества Д-5Т были продемонстрированы ещё в начале августа во время испытаний опытных образцов СУ-85. Несмотря на то, что Д-5С-85, установленная в СУ-85-II, имела массу мелких недочётов, она оказалась лучше систем разработки ЦАКБ (17710).</w:t>
      </w:r>
    </w:p>
    <w:p w14:paraId="412B5390" w14:textId="77777777" w:rsidR="00F87EB8" w:rsidRPr="00271E51" w:rsidRDefault="00F87EB8" w:rsidP="00271E51">
      <w:pPr>
        <w:spacing w:after="0" w:line="240" w:lineRule="auto"/>
        <w:jc w:val="both"/>
        <w:rPr>
          <w:rFonts w:ascii="Times New Roman" w:hAnsi="Times New Roman"/>
          <w:color w:val="000000" w:themeColor="text1"/>
          <w:sz w:val="16"/>
          <w:szCs w:val="16"/>
        </w:rPr>
      </w:pPr>
    </w:p>
    <w:p w14:paraId="36318FE8"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21 августа 1943 года согласно постановлению ГКО №3964сс, с 1 сентября производство Т-80 на заводе №40 прекратилось. Завод приступил к выпуску СУ-15М (СУ-76М). Общий объём выпуска Т-80 в Мытищах составил 66 танков. С учётом 8 Т-80 на ГАЗ им. Молотова, из которых, правда, не все были приняты заказчиком, а также 2 опытных Т-80, получается, что было построено 76 Т-80. При этом завод №176 успел изготовить 334 комплекта корпусов и башен. Несмотря на все проблемы, машина получилась вполне удачная. Её создатели во главе с Н.А. Астровым вполне заслуженно стали обладателями Сталинской премии второй степени за 1943 год. Они явно не были виноваты, что время лёгких танков в их традиционном понимании подошло к концу (17712).</w:t>
      </w:r>
    </w:p>
    <w:p w14:paraId="266A93E5" w14:textId="77777777" w:rsidR="00F87EB8" w:rsidRPr="00271E51" w:rsidRDefault="00F87EB8" w:rsidP="00271E51">
      <w:pPr>
        <w:pStyle w:val="ae"/>
        <w:shd w:val="clear" w:color="auto" w:fill="FFFFFF"/>
        <w:spacing w:before="0" w:after="0"/>
        <w:jc w:val="both"/>
        <w:rPr>
          <w:color w:val="000000" w:themeColor="text1"/>
          <w:sz w:val="16"/>
          <w:szCs w:val="16"/>
        </w:rPr>
      </w:pPr>
    </w:p>
    <w:p w14:paraId="61B87F26"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21 августа 1943 года Сталин подписал постановление ГКО №3964сс «О производстве самоходных артиллерийских установок с 76-мм пушками на Горьковском автозаводе и заводе № 40 Наркомата среднего машиностроения». В соответствии с этим документом первым делом под нож попал Т-80, производство которого на заводе №40 и так не было массовым. В сентябре в Мытищах планировалось сдать первые 15 СУ-76М, в октябре — 50, в ноябре — 100 и в декабре — 150. Что же касается ГАЗ им. Молотова, то там первые 15 СУ-76М ожидалось получить в октябре. Затем темпы производства резко увеличивались: в ноябре 1943 года здесь планировалось построить 200 машин, в декабре — 300. Производственные возможности завода в Горьком вполне позволяли выполнять эти планы. СУ-76М становилась по-настоящему массовой машиной (17728).</w:t>
      </w:r>
    </w:p>
    <w:p w14:paraId="7DF2AF2A" w14:textId="77777777" w:rsidR="00F87EB8" w:rsidRPr="00271E51" w:rsidRDefault="00F87EB8" w:rsidP="00271E51">
      <w:pPr>
        <w:pStyle w:val="ae"/>
        <w:shd w:val="clear" w:color="auto" w:fill="FFFFFF"/>
        <w:spacing w:before="0" w:after="0"/>
        <w:jc w:val="both"/>
        <w:rPr>
          <w:color w:val="000000" w:themeColor="text1"/>
          <w:sz w:val="16"/>
          <w:szCs w:val="16"/>
        </w:rPr>
      </w:pPr>
    </w:p>
    <w:p w14:paraId="6236E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Постановление ГКО № 3962 О неотложных мерах помощи горючим и маслами освобожденным районам.РГАНИР, Фонд ГКО, д. 146, лл. 146-148 (11012).</w:t>
      </w:r>
    </w:p>
    <w:p w14:paraId="6E5762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39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Постановление ГКО № 3963 О т.т. Радецком Н.А., Бочарове Л.П., Абрамове К.К., Запорожце А.И., Терентьеве Я.Б., Романенко А.А., Смоликове И.М., Лучко Ф.П. и Крайнове П.И.РГАНИР, Фонд ГКО, д. 146, лл. 149 (11012).</w:t>
      </w:r>
    </w:p>
    <w:p w14:paraId="538593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86F4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Постановление ГКО № 3964 О производстве самоходных артиллерийских установок с 76 мм пушками на Горьковском автозаводе и заводе № 40 Наркомсредмаша.РГАНИР, Фонд ГКО, д. 146, лл. 150-150об (11012).</w:t>
      </w:r>
    </w:p>
    <w:p w14:paraId="42573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1695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Постановление ГКО № 3965 Об обеспечении железных дорог топливом и смазками к зиме 1943-44 гг. (7134, 151-155).</w:t>
      </w:r>
    </w:p>
    <w:p w14:paraId="3F01DAE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38D77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Распоряжение ГКО № 3966 [О восполнении недогруза черных металлов НКЧМ за июль в августе 1943 г.] (7134, 156-157).</w:t>
      </w:r>
    </w:p>
    <w:p w14:paraId="30AFE05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3EC5E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13ABC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6EC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года ТКА-АКА №76, 86, 96 и 106 “обрабатывали” анапский аэродром совместно со сторожевыми кораблями “Шторм” и “Шквал”, причем катера выпустили 95 PC, а сторожевики - 193 артснаряда (6002).</w:t>
      </w:r>
    </w:p>
    <w:p w14:paraId="57090D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4EA3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в 1943 году оперативная сводка Совинформбюро:</w:t>
      </w:r>
    </w:p>
    <w:p w14:paraId="677921A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августа наши войска на Харьковском направлении, преодолевая сопротивление и контратаки противника, продолжали вести наступательные бои и заняли несколько населённых пунктов.</w:t>
      </w:r>
    </w:p>
    <w:p w14:paraId="2D0D0B4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и в районе юго-западнее Спас-Деменска наши войска вели бои по улучшению своих позиций.</w:t>
      </w:r>
    </w:p>
    <w:p w14:paraId="6876E6E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вели успешные бои местного значения.</w:t>
      </w:r>
    </w:p>
    <w:p w14:paraId="34842D24"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августа наши войска на всех фронтах подбили и уничтожили 129 немецких танков. В воздушных боях и огнём зенитной артиллерии сбито 86 самолётов противника.</w:t>
      </w:r>
    </w:p>
    <w:p w14:paraId="4DC48B07"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отбивая контратаки противника, продолжали вести наступательные бои.</w:t>
      </w:r>
    </w:p>
    <w:p w14:paraId="08167A4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наши войска продвинулись вперёд и заняли несколько населённых пунктов. В боях за эти пункты противник понёс большие потери. Только частями Н-ского соединения уничтожено до 1.000 немецких солдат и офицеров, подбито и сожжено 8 танков и 3 самоходных орудия. На другом участке наши бойцы выбили немцев из сильно укреплённых позиций и захватили 27 орудий, из них 2 дальнобойных, 90 пулемётов, склад боеприпасов и другие трофеи.</w:t>
      </w:r>
    </w:p>
    <w:p w14:paraId="615E2E3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противник, подтянув новые силы, предпринял сильные контратаки. Завязались ожесточённые бои, в ходе которых наши войска подбили исожгли до 40 немецких танков и истребили 1200 гитлеровцев. Бойцы Н-ского соединения решительной атакой отбросили противника и овладели рядом населённых пунктов.</w:t>
      </w:r>
    </w:p>
    <w:p w14:paraId="751EE85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освобождение Советской Украины наши бойцы и офицеры проявляют беззаветную храбрость и мужество. Наводчик орудия т. Алёшин в одном бою подбил тяжёлый немецкий танк «Тигр», два средних танка и самоходную пушку. Командир огневого взвода лейтенант т. Дворецкий вместе с наводчиком т. Азаровым уничтожили 3 средних танка и 2 автомашины с немецкой пехотой. Красноармеец т.Ивищенко ворвался в траншеи противника и убил немецкого офицера и трёх солдат. Красноармеец т. Баев, преследуя отступавших немцев, в рукопашной схватке уничтожил 5 гитлеровцев.</w:t>
      </w:r>
    </w:p>
    <w:p w14:paraId="3DC32F1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вели бои по улучшению своих позиций. На одном участке немцы предприняли контратаку. Сапёры подразделения, где командиром лейтенант Поваляев, под огнём противника заминировали дорогу. На расставленных минах подорвалось 6 немецких танков. Контратака гитлеровцев была сорвана. На другом участке Н-ская кавалерийская часть стремительным броском ворвалась в опорный пункт противника и после короткой схватки овладела им. Кавалеристами уничтожено до роты гитлеровцев.</w:t>
      </w:r>
    </w:p>
    <w:p w14:paraId="03F239BC"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немцы подтянули резервы и контратаками пытаются остановить наступление наших войск. Отбивая ожесточённые контратаки гитлеровцев, бойцы Н-ского соединения нанесли противнику тяжёлый урон. В течение дня уничтожено до 2.000 немецких солдат и офицеров, подбито 5 танков, разбито 10 самоходных и 10 полевых орудий, уничтожено 9 миномётных батарей и 60 пулемётов противника. На одном участке красноармейцы тт. Буланчиков, Шувалов и Баранников скрытно подобрались к немецкой противотанковой пушке и уничтожили её расчёт. Повернув захваченное орудие против немцев, наши бойцы открыли огонь по вражеской пехоте и нанесли ей серьёзный урон.</w:t>
      </w:r>
    </w:p>
    <w:p w14:paraId="7E9D937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пехотные подразделения уничтожили до 400 солдат и офицеров противника. Артиллерийским огнём подбит тяжёлый немецкий танк, уничтожено 3 миномётных батареи и 7 орудий, разрушено 25 дзотов и 8 блиндажей противника. Отряд пехоты противника пытался приблизиться к позициям Н-ского подразделения. Красноармейцы тт. Есиков и Сытников, находившиеся в боевом охранении, своевременно заметили гитлеровцев. Бойцы подразделения пулемётным огнём уничтожили до 80 солдат противника. Остальные гитлеровцы поспешно отступили.</w:t>
      </w:r>
    </w:p>
    <w:p w14:paraId="7E3063CC"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белорусских партизанских отрядов, действующих в Минской области, в ночь на 12 августа совершили одновременный налёт на обширный участок шоссейной дороги. По данным разведки, на этой дороге наблюдалось усиленное движение немецких автомашин. В течение ночи партизаны взорвали 67 железобетонных и деревянных мостов. Группа минских партизан незаметно проникла на большую железнодорожную станцию и взорвала немецкий эшелон с горючим. Возникший пожар быстро распространился на другие эшелоны. Сгорело 500 тонн бензина и несколько воинских составов противника. Движение поездов на этом участке железной дороги было прекращено на несколько суток.</w:t>
      </w:r>
    </w:p>
    <w:p w14:paraId="2171824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унтер-офицер 6 немецкой танковой дивизии Хорст Д. рассказал: «В июле немецкое командование ввело в дело новинки германской военной техники — танки «Тигр» и самоходные орудия «Фердинанд». Все были в полной уверенности, что эти танки и орудия сокрушат русскую оборону и проложат немецкой пехоте путь на Москву. Однако «Тигры» и «Фердинанды» не оправдали возложенных на них надежд, и немецкое наступление провалилось. Немецких солдат изумляет техническая оснащённость русской пехоты. У нас создалось впечатление, что на каждого второго русского солдата приходится один автомат, а танков и самолётов у русских сейчас больше, чем было в начале войны.Это огромное количество техники подавляет немецких солдат».</w:t>
      </w:r>
    </w:p>
    <w:p w14:paraId="1A9F5FF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немецко-фашистских войск на советско-германском фронте завремя с 5 июля по 20 августа.</w:t>
      </w:r>
    </w:p>
    <w:p w14:paraId="6F316AD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летних боёв с 5 июля по 20 августа с. г. наши войска на всех участках советско-германского фронта уничтожили: самолётов противника — 4.600, танков — 6.400, орудий — 3.800, автомашин более 20.000.</w:t>
      </w:r>
    </w:p>
    <w:p w14:paraId="55DC60FE"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Потери противника убитыми составляют свыше 300.000 солдат и офицеров. Принимая во внимание, что в немецко-фашистской армии количество раненых солдат и офицеров превышает количество убитых, по меньшей мере, в два — два с половиной раза, надо считать, что потери немцев убитыми и ранеными в боях с 5 июля по 20 августа составляют не менее 1.000.000 солдат и офицеров.</w:t>
      </w:r>
    </w:p>
    <w:p w14:paraId="0281D49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наши войска захватили: танков — 857, орудий разного калибра, в том числе самоходных — 1.274, пулемётов — 3.429, автомашин — 4.230. Взято вплен 25.600 немецких солдат и офицеров.» (14995).</w:t>
      </w:r>
    </w:p>
    <w:p w14:paraId="49C5FA1A"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4B188F5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83FC9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43B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были образованы Нахимовские и Суворовские (3481) училища (2990).</w:t>
      </w:r>
    </w:p>
    <w:p w14:paraId="1304F1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598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вышло постановление СНК и ЦК ВКП(б) "О неотложных мерах по восстановлению хозяйства в районах, освобожденных от немецкой оккупации" (338,113).</w:t>
      </w:r>
    </w:p>
    <w:p w14:paraId="4EE98C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840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г. вышло постановления ЦК ВКПб и СНК СССР "О не-отложньк мерах по восстановлению хозяйства в районах, освобож</w:t>
      </w:r>
      <w:r w:rsidRPr="00271E51">
        <w:rPr>
          <w:rFonts w:ascii="Times New Roman" w:hAnsi="Times New Roman"/>
          <w:color w:val="000000" w:themeColor="text1"/>
          <w:sz w:val="16"/>
          <w:szCs w:val="16"/>
        </w:rPr>
        <w:softHyphen/>
        <w:t>денных от немецкой оккупации". Для восстановления объектов речного транспорта, включая верфи и судоремонтные мастерские (на оккупированной территории и в прифронтовой полосе было разрушено 89 предприятий Наркомата речного флота этого профиля, или около 45% всех предприятий Наркомата накануне войны), в системе этого ведомства бьши созданы специальные во</w:t>
      </w:r>
      <w:r w:rsidRPr="00271E51">
        <w:rPr>
          <w:rFonts w:ascii="Times New Roman" w:hAnsi="Times New Roman"/>
          <w:color w:val="000000" w:themeColor="text1"/>
          <w:sz w:val="16"/>
          <w:szCs w:val="16"/>
        </w:rPr>
        <w:softHyphen/>
        <w:t>енно-восстановительные отряды (3898).</w:t>
      </w:r>
    </w:p>
    <w:p w14:paraId="67947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1C40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85B4C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9CC27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августа 1943 советским послом в США назначен А. Громыко (4962).</w:t>
      </w:r>
    </w:p>
    <w:p w14:paraId="55DCF8D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23C8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D17B4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1565F" w14:textId="77777777" w:rsidR="00153CB5" w:rsidRPr="00271E51" w:rsidRDefault="00153C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при выполнении облета командиром 2-й эскадрильи капитаном В.Ф. Зудиловым самолета Ил-2 (заводской номер 1879741), оснащенного ДАГ-10 с АГ-2, одна из сброшенных гранат при раскрытии парашюта была подхвачена воздушным потоком, ударилась о стабилизатор, «пробила ребро атаки стабилизатора и парашютом за него зацепилась». По истечении времени замедления АГ-2 взорвалась. Хвостовая часть фюзеляжа и часть стабилизатора получили серьезные повреждения. Управление самолетом заклинило. Неуправляемый самолет некоторое время еще сохранял горизонтальный полет, но затем «с разворотом влево перешел на быструю потерю высоты с пикированием». Зудилов и старший техник-лейтенант Корягин покинули самолет, воспользовавшись парашютами. После падения Ил-2 сгорел (19775).</w:t>
      </w:r>
    </w:p>
    <w:p w14:paraId="640B4AC2" w14:textId="77777777" w:rsidR="00153CB5" w:rsidRPr="00271E51" w:rsidRDefault="00153CB5" w:rsidP="00271E51">
      <w:pPr>
        <w:spacing w:after="0" w:line="240" w:lineRule="auto"/>
        <w:jc w:val="both"/>
        <w:rPr>
          <w:rFonts w:ascii="Times New Roman" w:hAnsi="Times New Roman"/>
          <w:color w:val="000000" w:themeColor="text1"/>
          <w:sz w:val="16"/>
          <w:szCs w:val="16"/>
        </w:rPr>
      </w:pPr>
    </w:p>
    <w:p w14:paraId="203FE2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вышел приказ НКАП N 507с во исполнение постановления ГКО N 3949 от 18 августа 1943:</w:t>
      </w:r>
    </w:p>
    <w:p w14:paraId="4DF147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Наркомат вооружения (Устинов) и ОКБ-16 НКВ (Дорохин и Нудельман):</w:t>
      </w:r>
    </w:p>
    <w:p w14:paraId="3C5217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предъявить НКАП (А.С.Я.) 2 пушки 45 мм для установки их на самолеты Як-9 с ведением стрельбы через редуктор мотора</w:t>
      </w:r>
    </w:p>
    <w:p w14:paraId="3458B2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45 мм пушки д.б.:</w:t>
      </w:r>
    </w:p>
    <w:p w14:paraId="49D5B0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не ниже - 750 м/сек</w:t>
      </w:r>
    </w:p>
    <w:p w14:paraId="25D951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пушки не выше - 190 кг</w:t>
      </w:r>
    </w:p>
    <w:p w14:paraId="1D0F68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 стрельбы не ниже 200 выстрелов в минуту</w:t>
      </w:r>
    </w:p>
    <w:p w14:paraId="732DD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отдачи - не более 2000 кг</w:t>
      </w:r>
    </w:p>
    <w:p w14:paraId="4133B7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на спуск - не более 15 кг</w:t>
      </w:r>
    </w:p>
    <w:p w14:paraId="781DD1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воздуха в системе перезярядки - 35 атм</w:t>
      </w:r>
    </w:p>
    <w:p w14:paraId="2AEC2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предъявить НКАП (С.В.И.) в 5 октября 1943 две пушки для установки их в крыльях самолета Ил-2 с данными, указанными в п. а</w:t>
      </w:r>
    </w:p>
    <w:p w14:paraId="410086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указанного постановления:</w:t>
      </w:r>
    </w:p>
    <w:p w14:paraId="4C2AA6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301 Смирнову установить на 2-х самолетах Як-9 моторную пушку конструкцииОКБ-16 и предъявить НИИ АВ ВВС на гос. испытания из них один к 5 октября 1943 и один - к 20 ноября</w:t>
      </w:r>
    </w:p>
    <w:p w14:paraId="1B37F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ГК С.В.И. к 5 ноября 1943 предъявить самолет Ил-2 с крыльевыми пушками 45 мм конструкции ОКБ-16 НКВ НИИ АВ ВВС на гос. испытания (1737,50).</w:t>
      </w:r>
    </w:p>
    <w:p w14:paraId="4D23BF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E77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вышел приказ НКАП N 508с во исполнение постановления ГКО N 3948 от 18 августа 1943 в целях увеличения огневой мощи истребителей и штурмовиков:</w:t>
      </w:r>
    </w:p>
    <w:p w14:paraId="7BFDF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Наркомат вооружения (Устинов) и ОКБ-15 НКВ (Шпитальный) предъявить НКАП (А.С.Я.) 2 пушки 45 мм для установки их на самолеты Як-9 с ведением стрельбы через редуктор мотора</w:t>
      </w:r>
    </w:p>
    <w:p w14:paraId="586B1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Основные данные 45 мм пушки д.б.:</w:t>
      </w:r>
    </w:p>
    <w:p w14:paraId="1E85C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не ниже - 800 м/сек</w:t>
      </w:r>
    </w:p>
    <w:p w14:paraId="0D5CF9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пушки не выше - 200 кг</w:t>
      </w:r>
    </w:p>
    <w:p w14:paraId="42EED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 стрельбы не ниже 150 выстрелов в минуту</w:t>
      </w:r>
    </w:p>
    <w:p w14:paraId="6085C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отдачи - не более 2000 кг</w:t>
      </w:r>
    </w:p>
    <w:p w14:paraId="08636E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на спуск - не более 15 кг</w:t>
      </w:r>
    </w:p>
    <w:p w14:paraId="6994BD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воздуха в системе перезярядки - 35 атм</w:t>
      </w:r>
    </w:p>
    <w:p w14:paraId="0A28BE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НКВ и ОКБ-15 предъявить НКАП (С.В.И.) в 5 октября 1943 две пушки для установки их в крыльях самолета Ил-2 с данными, указанными в п. а</w:t>
      </w:r>
    </w:p>
    <w:p w14:paraId="5811F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указанного постановления:</w:t>
      </w:r>
    </w:p>
    <w:p w14:paraId="45055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ГК А.С.Я. установить моторную пушку 45 мм конструкции ОКБ-15 на самолете Як-9 и предъявить НИИ АВ ВВС на гос. испытания 5 октября 1943</w:t>
      </w:r>
    </w:p>
    <w:p w14:paraId="78838A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301 Смирнову установить моторную пушку конструкции ОКБ-16 и предъявить НИИ АВ ВВС на гос. испытания к 20 ноября</w:t>
      </w:r>
    </w:p>
    <w:p w14:paraId="6953C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ГК С.В.И. к 5 ноября 1943 предъявить самолет Ил-2 с крыльевыми пушками 45 мм конструкции ОКБ-15 НКВ НИИ АВ ВВС на гос. испытания (1737,50).</w:t>
      </w:r>
    </w:p>
    <w:p w14:paraId="4D5F6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FA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вышел приказ НКАП N 509с во исполнение постановления ГКО N 3950 от 18 августа 1943 в целях увеличения огневой мощи истребителей:</w:t>
      </w:r>
    </w:p>
    <w:p w14:paraId="39783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Наркомат вооружения (Устинов) и Артиллерийское КБ НКА (Грабину) предъявить НКАП (А.С.Я.) к 5 сентября одну пушку 45 мм для установки их на самолеты Як-9 с ведением стрельбы через редуктор мотора</w:t>
      </w:r>
    </w:p>
    <w:p w14:paraId="53F55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Основные данные 45 мм пушки д.б.:</w:t>
      </w:r>
    </w:p>
    <w:p w14:paraId="05AD40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не ниже - 750 м/сек</w:t>
      </w:r>
    </w:p>
    <w:p w14:paraId="6290BC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пушки не выше - 200 кг</w:t>
      </w:r>
    </w:p>
    <w:p w14:paraId="65A41A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 стрельбы не ниже 120 выстрелов в минуту</w:t>
      </w:r>
    </w:p>
    <w:p w14:paraId="6396F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отдачи - не более 2000 кг</w:t>
      </w:r>
    </w:p>
    <w:p w14:paraId="312A2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усилие на спуск - не более 15 кг</w:t>
      </w:r>
    </w:p>
    <w:p w14:paraId="3954E2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давление воздуха в системе перезярядки - 35 атм</w:t>
      </w:r>
    </w:p>
    <w:p w14:paraId="088CB3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- 20 снарядов</w:t>
      </w:r>
    </w:p>
    <w:p w14:paraId="18C578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указанного постановления:</w:t>
      </w:r>
    </w:p>
    <w:p w14:paraId="6AB0F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301 Смирнову установить моторную пушку конструкции Арт КБ НКВ и предъявить НИИ АВ ВВС на гос. испытания к 20 октября 1943 (1737,78).</w:t>
      </w:r>
    </w:p>
    <w:p w14:paraId="229EB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5BD78" w14:textId="77777777" w:rsidR="009C7F1C" w:rsidRPr="00271E51" w:rsidRDefault="009C7F1C" w:rsidP="00271E51">
      <w:pPr>
        <w:pStyle w:val="a3"/>
        <w:rPr>
          <w:color w:val="000000" w:themeColor="text1"/>
          <w:lang w:val="ru-RU"/>
        </w:rPr>
      </w:pPr>
      <w:r w:rsidRPr="00271E51">
        <w:rPr>
          <w:color w:val="000000" w:themeColor="text1"/>
          <w:lang w:val="ru-RU"/>
        </w:rPr>
        <w:t>22 августа 1943 самолёты МиГ-3У Д-01, Д-03, Д-04 и Д-06 принял 1 2-й гвардейский иап. После освое</w:t>
      </w:r>
      <w:r w:rsidRPr="00271E51">
        <w:rPr>
          <w:color w:val="000000" w:themeColor="text1"/>
          <w:lang w:val="ru-RU"/>
        </w:rPr>
        <w:softHyphen/>
        <w:t>ния новой техники лётно-техническим составом полка истребители МиГ-ЗУ стали нести боевое дежурство по охране неба столицы. На них летали старшие лейтенанты И.И. Бочаров, Л.В. Да- убе, Л. Самохвалов и лейтенант Н.Н. Штучкин.</w:t>
      </w:r>
    </w:p>
    <w:p w14:paraId="31A27E0F" w14:textId="77777777" w:rsidR="009C7F1C" w:rsidRPr="00271E51" w:rsidRDefault="009C7F1C" w:rsidP="00271E51">
      <w:pPr>
        <w:pStyle w:val="a3"/>
        <w:rPr>
          <w:color w:val="000000" w:themeColor="text1"/>
          <w:lang w:val="ru-RU"/>
        </w:rPr>
      </w:pPr>
      <w:r w:rsidRPr="00271E51">
        <w:rPr>
          <w:color w:val="000000" w:themeColor="text1"/>
          <w:lang w:val="ru-RU"/>
        </w:rPr>
        <w:lastRenderedPageBreak/>
        <w:t>Машины Д-02 и Д-05 остались на заводе, так как требовали замены моторов. Первый АМ-35А получили лишь 26 сентября, и то из резерва ИА ПВО. К тому же он был довоенного выпуска с редук</w:t>
      </w:r>
      <w:r w:rsidRPr="00271E51">
        <w:rPr>
          <w:color w:val="000000" w:themeColor="text1"/>
          <w:lang w:val="ru-RU"/>
        </w:rPr>
        <w:softHyphen/>
        <w:t>цией 0,902 (такой же АМ-35А стоял на Д-06). Мотор поставили на самолёт Д-02, на котором во время вынужденного ожидания также установили удлинённые консоли крыла. 8 октября во время об</w:t>
      </w:r>
      <w:r w:rsidRPr="00271E51">
        <w:rPr>
          <w:color w:val="000000" w:themeColor="text1"/>
          <w:lang w:val="ru-RU"/>
        </w:rPr>
        <w:softHyphen/>
        <w:t>лёта самолёт достиг высоты 11780 м (по прибору). Истребитель Д-02 принял 1 2 октября техсостав 177-го иап, а 25 октября П.К. Журавлёв перегнал его в Подольск, где базировался полк.</w:t>
      </w:r>
    </w:p>
    <w:p w14:paraId="41CADAA5" w14:textId="77777777" w:rsidR="009C7F1C" w:rsidRPr="00271E51" w:rsidRDefault="009C7F1C" w:rsidP="00271E51">
      <w:pPr>
        <w:pStyle w:val="a3"/>
        <w:rPr>
          <w:color w:val="000000" w:themeColor="text1"/>
          <w:lang w:val="ru-RU"/>
        </w:rPr>
      </w:pPr>
      <w:r w:rsidRPr="00271E51">
        <w:rPr>
          <w:color w:val="000000" w:themeColor="text1"/>
          <w:lang w:val="ru-RU"/>
        </w:rPr>
        <w:t>Самолёту Д-05 не повезло: при пробе нового мотора, полученного 3 октября, потёк маслорадиатор, затем для установки на строящийся И-23 1 (2Д) с машины сняли консоли крыла, а потом и винт. В результате всех перипетий Д-05 в строевую часть так и не попал (15976).</w:t>
      </w:r>
    </w:p>
    <w:p w14:paraId="1E32B393" w14:textId="77777777" w:rsidR="009C7F1C" w:rsidRPr="00271E51" w:rsidRDefault="009C7F1C" w:rsidP="00271E51">
      <w:pPr>
        <w:pStyle w:val="a3"/>
        <w:rPr>
          <w:color w:val="000000" w:themeColor="text1"/>
          <w:lang w:val="ru-RU"/>
        </w:rPr>
      </w:pPr>
    </w:p>
    <w:p w14:paraId="1A1FDAC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на перехват немецкого самолета-разведчика, совершавшего очередной облет столицы СССР, подняли 15 истребителей, в том числе 3 Як-9ПД, 2 высотных «Спитфайра», 2 «Аэрокобры», 6 Як-1 и 2 МиГ-3. Только один летчик на «Спитфайре» смог под</w:t>
      </w:r>
      <w:r w:rsidRPr="00271E51">
        <w:rPr>
          <w:rFonts w:ascii="Times New Roman" w:hAnsi="Times New Roman"/>
          <w:color w:val="000000" w:themeColor="text1"/>
          <w:sz w:val="16"/>
          <w:szCs w:val="16"/>
        </w:rPr>
        <w:softHyphen/>
        <w:t>няться до высоты 11500 м, а затем обстрелять самолет противника из режима кабрирования, находясь при</w:t>
      </w:r>
      <w:r w:rsidRPr="00271E51">
        <w:rPr>
          <w:rFonts w:ascii="Times New Roman" w:hAnsi="Times New Roman"/>
          <w:color w:val="000000" w:themeColor="text1"/>
          <w:sz w:val="16"/>
          <w:szCs w:val="16"/>
        </w:rPr>
        <w:softHyphen/>
        <w:t>мерно на 500 метров ниже. На следующий день командующий войсками Западного фронта ПВО Г.П.Громадин в донесении командующему ВВС сообщил, что вопрос о высотных истребителях для ПВО столицы практически не решен. В этих условиях к созданию высотного истребителя решили подключить и ОКБ Н.Н.Поликарпова. Проек</w:t>
      </w:r>
      <w:r w:rsidRPr="00271E51">
        <w:rPr>
          <w:rFonts w:ascii="Times New Roman" w:hAnsi="Times New Roman"/>
          <w:color w:val="000000" w:themeColor="text1"/>
          <w:sz w:val="16"/>
          <w:szCs w:val="16"/>
        </w:rPr>
        <w:softHyphen/>
        <w:t>тирование высотного перехватчика (отсюда и его обо</w:t>
      </w:r>
      <w:r w:rsidRPr="00271E51">
        <w:rPr>
          <w:rFonts w:ascii="Times New Roman" w:hAnsi="Times New Roman"/>
          <w:color w:val="000000" w:themeColor="text1"/>
          <w:sz w:val="16"/>
          <w:szCs w:val="16"/>
        </w:rPr>
        <w:softHyphen/>
        <w:t>значение «ВП»; другое обозначение «К» - по заводской документации) началось с октября 1943 г. Оно проводи</w:t>
      </w:r>
      <w:r w:rsidRPr="00271E51">
        <w:rPr>
          <w:rFonts w:ascii="Times New Roman" w:hAnsi="Times New Roman"/>
          <w:color w:val="000000" w:themeColor="text1"/>
          <w:sz w:val="16"/>
          <w:szCs w:val="16"/>
        </w:rPr>
        <w:softHyphen/>
        <w:t>лось на основе опыта, полученного при работе по истре</w:t>
      </w:r>
      <w:r w:rsidRPr="00271E51">
        <w:rPr>
          <w:rFonts w:ascii="Times New Roman" w:hAnsi="Times New Roman"/>
          <w:color w:val="000000" w:themeColor="text1"/>
          <w:sz w:val="16"/>
          <w:szCs w:val="16"/>
        </w:rPr>
        <w:softHyphen/>
        <w:t>бителям И-185 - И-188. Первоначально планировалось поставить двигатель М-71Ф с двумя турбокомпрессорами для повышения высотности. Первый вариант эскизного проекта завер</w:t>
      </w:r>
      <w:r w:rsidRPr="00271E51">
        <w:rPr>
          <w:rFonts w:ascii="Times New Roman" w:hAnsi="Times New Roman"/>
          <w:color w:val="000000" w:themeColor="text1"/>
          <w:sz w:val="16"/>
          <w:szCs w:val="16"/>
        </w:rPr>
        <w:softHyphen/>
        <w:t>шили к 2 ноября. Согласно предварительным планам, летные испытания ВП должны начаться в конце второ</w:t>
      </w:r>
      <w:r w:rsidRPr="00271E51">
        <w:rPr>
          <w:rFonts w:ascii="Times New Roman" w:hAnsi="Times New Roman"/>
          <w:color w:val="000000" w:themeColor="text1"/>
          <w:sz w:val="16"/>
          <w:szCs w:val="16"/>
        </w:rPr>
        <w:softHyphen/>
        <w:t>го квартала 1944 г. Ввиду разочарования Поликарпова в моторе М-71, первый вариант проекта переделали сна</w:t>
      </w:r>
      <w:r w:rsidRPr="00271E51">
        <w:rPr>
          <w:rFonts w:ascii="Times New Roman" w:hAnsi="Times New Roman"/>
          <w:color w:val="000000" w:themeColor="text1"/>
          <w:sz w:val="16"/>
          <w:szCs w:val="16"/>
        </w:rPr>
        <w:softHyphen/>
        <w:t>чала под АМ-39А с турбокомпрессором ТК-300, затем под АМ-39Б с ТК-3 и, окончательно, под АМ-39Б с ТК-ЗООБ. Все это вместе с требованиями по увеличению площади радиаторов, расположенных в крыле, привело к необходимости существенной переработки конструк</w:t>
      </w:r>
      <w:r w:rsidRPr="00271E51">
        <w:rPr>
          <w:rFonts w:ascii="Times New Roman" w:hAnsi="Times New Roman"/>
          <w:color w:val="000000" w:themeColor="text1"/>
          <w:sz w:val="16"/>
          <w:szCs w:val="16"/>
        </w:rPr>
        <w:softHyphen/>
        <w:t>ции и эскизный проект ВП (К) был закончен только в летом 1944 г. Срок предъявления ВП на испытания пе</w:t>
      </w:r>
      <w:r w:rsidRPr="00271E51">
        <w:rPr>
          <w:rFonts w:ascii="Times New Roman" w:hAnsi="Times New Roman"/>
          <w:color w:val="000000" w:themeColor="text1"/>
          <w:sz w:val="16"/>
          <w:szCs w:val="16"/>
        </w:rPr>
        <w:softHyphen/>
        <w:t>ренесли на декабрь 1944 г. ВП представлял собой низкоплан с цельнометалличе</w:t>
      </w:r>
      <w:r w:rsidRPr="00271E51">
        <w:rPr>
          <w:rFonts w:ascii="Times New Roman" w:hAnsi="Times New Roman"/>
          <w:color w:val="000000" w:themeColor="text1"/>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Вооружение состояло из двух 23-мм пушек. С мотором АМ-39А истребитель мог развить максималь</w:t>
      </w:r>
      <w:r w:rsidRPr="00271E51">
        <w:rPr>
          <w:rFonts w:ascii="Times New Roman" w:hAnsi="Times New Roman"/>
          <w:color w:val="000000" w:themeColor="text1"/>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271E51">
        <w:rPr>
          <w:rFonts w:ascii="Times New Roman" w:hAnsi="Times New Roman"/>
          <w:color w:val="000000" w:themeColor="text1"/>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271E51">
        <w:rPr>
          <w:rFonts w:ascii="Times New Roman" w:hAnsi="Times New Roman"/>
          <w:color w:val="000000" w:themeColor="text1"/>
          <w:sz w:val="16"/>
          <w:szCs w:val="16"/>
        </w:rPr>
        <w:softHyphen/>
        <w:t>ниям, предъявляемым к высотным перехватчикам. Ма</w:t>
      </w:r>
      <w:r w:rsidRPr="00271E51">
        <w:rPr>
          <w:rFonts w:ascii="Times New Roman" w:hAnsi="Times New Roman"/>
          <w:color w:val="000000" w:themeColor="text1"/>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271E51">
        <w:rPr>
          <w:rFonts w:ascii="Times New Roman" w:hAnsi="Times New Roman"/>
          <w:color w:val="000000" w:themeColor="text1"/>
          <w:sz w:val="16"/>
          <w:szCs w:val="16"/>
        </w:rPr>
        <w:softHyphen/>
        <w:t>ли, что он не является оптимальным на высотах. Поэто</w:t>
      </w:r>
      <w:r w:rsidRPr="00271E51">
        <w:rPr>
          <w:rFonts w:ascii="Times New Roman" w:hAnsi="Times New Roman"/>
          <w:color w:val="000000" w:themeColor="text1"/>
          <w:sz w:val="16"/>
          <w:szCs w:val="16"/>
        </w:rPr>
        <w:softHyphen/>
        <w:t>му для второго экземпляра решили изготовить новое крыло с профилем, рекомендованным ЦАГИ. Кроме то</w:t>
      </w:r>
      <w:r w:rsidRPr="00271E51">
        <w:rPr>
          <w:rFonts w:ascii="Times New Roman" w:hAnsi="Times New Roman"/>
          <w:color w:val="000000" w:themeColor="text1"/>
          <w:sz w:val="16"/>
          <w:szCs w:val="16"/>
        </w:rPr>
        <w:softHyphen/>
        <w:t>го, на нем предполагалось установить более высокое шасси, необходимое для использования винта с боль</w:t>
      </w:r>
      <w:r w:rsidRPr="00271E51">
        <w:rPr>
          <w:rFonts w:ascii="Times New Roman" w:hAnsi="Times New Roman"/>
          <w:color w:val="000000" w:themeColor="text1"/>
          <w:sz w:val="16"/>
          <w:szCs w:val="16"/>
        </w:rPr>
        <w:softHyphen/>
        <w:t>шим диаметром (10667).</w:t>
      </w:r>
    </w:p>
    <w:p w14:paraId="5317FB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7373C"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августа 1943 г. нескольким советским перехватчикам, наконец, представилась возможность сразиться с реальным врагом — высотным разведчиком </w:t>
      </w:r>
      <w:r w:rsidRPr="00271E51">
        <w:rPr>
          <w:rFonts w:ascii="Times New Roman" w:hAnsi="Times New Roman"/>
          <w:color w:val="000000" w:themeColor="text1"/>
          <w:sz w:val="16"/>
          <w:szCs w:val="16"/>
          <w:lang w:val="en-US"/>
        </w:rPr>
        <w:t>Ju</w:t>
      </w:r>
      <w:r w:rsidRPr="00271E51">
        <w:rPr>
          <w:rFonts w:ascii="Times New Roman" w:hAnsi="Times New Roman"/>
          <w:color w:val="000000" w:themeColor="text1"/>
          <w:sz w:val="16"/>
          <w:szCs w:val="16"/>
        </w:rPr>
        <w:t xml:space="preserve"> 86</w:t>
      </w:r>
      <w:r w:rsidRPr="00271E51">
        <w:rPr>
          <w:rFonts w:ascii="Times New Roman" w:hAnsi="Times New Roman"/>
          <w:color w:val="000000" w:themeColor="text1"/>
          <w:sz w:val="16"/>
          <w:szCs w:val="16"/>
          <w:lang w:val="en-US"/>
        </w:rPr>
        <w:t>R</w:t>
      </w:r>
      <w:r w:rsidRPr="00271E51">
        <w:rPr>
          <w:rFonts w:ascii="Times New Roman" w:hAnsi="Times New Roman"/>
          <w:color w:val="000000" w:themeColor="text1"/>
          <w:sz w:val="16"/>
          <w:szCs w:val="16"/>
        </w:rPr>
        <w:t>-1.</w:t>
      </w:r>
    </w:p>
    <w:p w14:paraId="47AED05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23 августа, Штаб Западного фронта ПВО доложил Командую</w:t>
      </w:r>
      <w:r w:rsidRPr="00271E51">
        <w:rPr>
          <w:rFonts w:ascii="Times New Roman" w:hAnsi="Times New Roman"/>
          <w:color w:val="000000" w:themeColor="text1"/>
          <w:sz w:val="16"/>
          <w:szCs w:val="16"/>
        </w:rPr>
        <w:softHyphen/>
        <w:t>щему артиллерией маршалу Н.Н. Воронову и Наркому А.И. Шахурину:</w:t>
      </w:r>
    </w:p>
    <w:p w14:paraId="187A6CE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с 08 часов 40 минут до 10 часов 10 минут противник произвёл раз</w:t>
      </w:r>
      <w:r w:rsidRPr="00271E51">
        <w:rPr>
          <w:rFonts w:ascii="Times New Roman" w:hAnsi="Times New Roman"/>
          <w:color w:val="000000" w:themeColor="text1"/>
          <w:sz w:val="16"/>
          <w:szCs w:val="16"/>
        </w:rPr>
        <w:softHyphen/>
        <w:t>ведку г. Москва и окрестностей одним высотным разведчиком типа Ю-86Р1 на высоте 12000-13000 м. Самолёт противника был обнаружен в 7 час 42 мин в районе Издеш- ково и, пройдя по маршруту: Вязьма — Кубинка — Звенигород — Чкаловская — Москва - Гжатск, вышел из системы ВНОС в районе Издешково (40 км западнее Вязьмы).</w:t>
      </w:r>
    </w:p>
    <w:p w14:paraId="2BB0733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зоне огня и в районе г. Москва противник находился 1 час 30 минут (с 8 часов 40 минут до 10 часов 10 минут) и трижды прошёл над центром города.</w:t>
      </w:r>
    </w:p>
    <w:p w14:paraId="2B41FA8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перехвата противника разновременно было поднято 15 истребителей с аэродромов: ЦА, Кубинка, Люберцы, Инютино, Внуково, из них три Як-9 (с М-105ПД), по два «Спитфайр» (невысотные </w:t>
      </w:r>
      <w:r w:rsidRPr="00271E51">
        <w:rPr>
          <w:rFonts w:ascii="Times New Roman" w:hAnsi="Times New Roman"/>
          <w:color w:val="000000" w:themeColor="text1"/>
          <w:sz w:val="16"/>
          <w:szCs w:val="16"/>
          <w:lang w:val="en-US"/>
        </w:rPr>
        <w:t>SpitfireVB</w:t>
      </w:r>
      <w:r w:rsidRPr="00271E51">
        <w:rPr>
          <w:rFonts w:ascii="Times New Roman" w:hAnsi="Times New Roman"/>
          <w:color w:val="000000" w:themeColor="text1"/>
          <w:sz w:val="16"/>
          <w:szCs w:val="16"/>
        </w:rPr>
        <w:t>), «Аэрокобра» и МиГ-3, а также шесть Як-1.</w:t>
      </w:r>
    </w:p>
    <w:p w14:paraId="1D33C65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поднятых истребителей только один — «Спитфайр», пилотируемый ст. лейт. 16-го ИАП Семёновым, поднялся на 11500 м и вёл огонь по противнику с кабрирования, находясь ниже противника на 500 м и сзади на 200 м. Лётчик Семёнов израсходовал 30 снарядов и 450 пуль патронов, после чего пушка и пулемёты отказали из-за обледе</w:t>
      </w:r>
      <w:r w:rsidRPr="00271E51">
        <w:rPr>
          <w:rFonts w:ascii="Times New Roman" w:hAnsi="Times New Roman"/>
          <w:color w:val="000000" w:themeColor="text1"/>
          <w:sz w:val="16"/>
          <w:szCs w:val="16"/>
        </w:rPr>
        <w:softHyphen/>
        <w:t>нения. Противник вёл ответный огонь с правого борта и снизу трассирующими пулями.</w:t>
      </w:r>
    </w:p>
    <w:p w14:paraId="664C8FCE"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Москвы и на обратном пути до Можайска противника преследовали лётчи</w:t>
      </w:r>
      <w:r w:rsidRPr="00271E51">
        <w:rPr>
          <w:rFonts w:ascii="Times New Roman" w:hAnsi="Times New Roman"/>
          <w:color w:val="000000" w:themeColor="text1"/>
          <w:sz w:val="16"/>
          <w:szCs w:val="16"/>
        </w:rPr>
        <w:softHyphen/>
        <w:t>ки:</w:t>
      </w:r>
    </w:p>
    <w:p w14:paraId="2235C56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12-го ГИАП — мл. лейт. Наливайко (Як-9), набравший только 11100 м,</w:t>
      </w:r>
    </w:p>
    <w:p w14:paraId="03E1D12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562-го ИАП - Полканов и Буцлов (Як-1), набравшие 9500 м,</w:t>
      </w:r>
    </w:p>
    <w:p w14:paraId="0921F13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28-го ИАП — Абрамов и Евдокимов («Аэрокобра»), набравшие 9000 м,</w:t>
      </w:r>
    </w:p>
    <w:p w14:paraId="762F338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565-го ИАП — Крупенин и Климов (МиГ-3), набрав</w:t>
      </w:r>
      <w:r w:rsidRPr="00271E51">
        <w:rPr>
          <w:rFonts w:ascii="Times New Roman" w:hAnsi="Times New Roman"/>
          <w:color w:val="000000" w:themeColor="text1"/>
          <w:sz w:val="16"/>
          <w:szCs w:val="16"/>
        </w:rPr>
        <w:softHyphen/>
        <w:t>шие 10800 м.</w:t>
      </w:r>
    </w:p>
    <w:p w14:paraId="0BD8A18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лётчики, из-за большой разности высот, боя не вели. Зенитная ар</w:t>
      </w:r>
      <w:r w:rsidRPr="00271E51">
        <w:rPr>
          <w:rFonts w:ascii="Times New Roman" w:hAnsi="Times New Roman"/>
          <w:color w:val="000000" w:themeColor="text1"/>
          <w:sz w:val="16"/>
          <w:szCs w:val="16"/>
        </w:rPr>
        <w:softHyphen/>
        <w:t>тиллерия огня по противнику не вела, ввиду недосягаемости высоты.</w:t>
      </w:r>
    </w:p>
    <w:p w14:paraId="10B8953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eastAsia="Arial Unicode MS" w:hAnsi="Times New Roman"/>
          <w:color w:val="000000" w:themeColor="text1"/>
          <w:sz w:val="16"/>
          <w:szCs w:val="16"/>
        </w:rPr>
        <w:t>Выводы</w:t>
      </w:r>
      <w:r w:rsidRPr="00271E51">
        <w:rPr>
          <w:rFonts w:ascii="Times New Roman" w:hAnsi="Times New Roman"/>
          <w:color w:val="000000" w:themeColor="text1"/>
          <w:sz w:val="16"/>
          <w:szCs w:val="16"/>
        </w:rPr>
        <w:t>:</w:t>
      </w:r>
    </w:p>
    <w:p w14:paraId="144190DD" w14:textId="77777777" w:rsidR="009C7F1C" w:rsidRPr="00271E51" w:rsidRDefault="009C7F1C" w:rsidP="00271E51">
      <w:pPr>
        <w:tabs>
          <w:tab w:val="left" w:pos="42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Противник в шестой раз с июля 1942 года произвёл разведку г. Москва высотным разведчиком Ю-86Р1 безнаказанно, пройдя трижды над центром города. На самолё</w:t>
      </w:r>
      <w:r w:rsidRPr="00271E51">
        <w:rPr>
          <w:rFonts w:ascii="Times New Roman" w:hAnsi="Times New Roman"/>
          <w:color w:val="000000" w:themeColor="text1"/>
          <w:sz w:val="16"/>
          <w:szCs w:val="16"/>
        </w:rPr>
        <w:softHyphen/>
        <w:t>те выявлены две огневых точки (снизу и с правого борта).</w:t>
      </w:r>
    </w:p>
    <w:p w14:paraId="325F2A01" w14:textId="77777777" w:rsidR="009C7F1C" w:rsidRPr="00271E51" w:rsidRDefault="009C7F1C" w:rsidP="00271E51">
      <w:pPr>
        <w:tabs>
          <w:tab w:val="left" w:pos="4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Имеющиеся в особой Московской армии ПВО истребители не могли набрать не</w:t>
      </w:r>
      <w:r w:rsidRPr="00271E51">
        <w:rPr>
          <w:rFonts w:ascii="Times New Roman" w:hAnsi="Times New Roman"/>
          <w:color w:val="000000" w:themeColor="text1"/>
          <w:sz w:val="16"/>
          <w:szCs w:val="16"/>
        </w:rPr>
        <w:softHyphen/>
        <w:t>обходимой для боя высоты. Вооружение истребителей оказалось неподготовленным для ведения огня на больших высотах при низкой температуре.</w:t>
      </w:r>
    </w:p>
    <w:p w14:paraId="07DB394A" w14:textId="77777777" w:rsidR="009C7F1C" w:rsidRPr="00271E51" w:rsidRDefault="009C7F1C" w:rsidP="00271E51">
      <w:pPr>
        <w:tabs>
          <w:tab w:val="left" w:pos="4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исключена возможность сбрасывания противником в будущем при подобных безнаказанных полётах над г. Москва мелких бомб.</w:t>
      </w:r>
    </w:p>
    <w:p w14:paraId="003185F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противник уже более года ведёт безнаказанную разведку г. Мос</w:t>
      </w:r>
      <w:r w:rsidRPr="00271E51">
        <w:rPr>
          <w:rFonts w:ascii="Times New Roman" w:hAnsi="Times New Roman"/>
          <w:color w:val="000000" w:themeColor="text1"/>
          <w:sz w:val="16"/>
          <w:szCs w:val="16"/>
        </w:rPr>
        <w:softHyphen/>
        <w:t>ква на большой высоте, вопрос о высотных истребителях для ПВО столицы до сих пор практически не решен. Прошу Вас ходатайствовать перед Государственным Комитетом Обороны о спешном вооружении Особой Московской армии ПВО высотными истреби</w:t>
      </w:r>
      <w:r w:rsidRPr="00271E51">
        <w:rPr>
          <w:rFonts w:ascii="Times New Roman" w:hAnsi="Times New Roman"/>
          <w:color w:val="000000" w:themeColor="text1"/>
          <w:sz w:val="16"/>
          <w:szCs w:val="16"/>
        </w:rPr>
        <w:softHyphen/>
        <w:t>телями и кислородным оборудованием.</w:t>
      </w:r>
    </w:p>
    <w:p w14:paraId="06ECB2B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докладываю, что постановлением ГКО N9 2946 1943 года на промыш</w:t>
      </w:r>
      <w:r w:rsidRPr="00271E51">
        <w:rPr>
          <w:rFonts w:ascii="Times New Roman" w:hAnsi="Times New Roman"/>
          <w:color w:val="000000" w:themeColor="text1"/>
          <w:sz w:val="16"/>
          <w:szCs w:val="16"/>
        </w:rPr>
        <w:softHyphen/>
        <w:t>ленность была возложена задача — обеспечить высотными авиамоторами истреби</w:t>
      </w:r>
      <w:r w:rsidRPr="00271E51">
        <w:rPr>
          <w:rFonts w:ascii="Times New Roman" w:hAnsi="Times New Roman"/>
          <w:color w:val="000000" w:themeColor="text1"/>
          <w:sz w:val="16"/>
          <w:szCs w:val="16"/>
        </w:rPr>
        <w:softHyphen/>
        <w:t>тельную авиацию г. Москва. До сего времени это постановление не выполнено».</w:t>
      </w:r>
    </w:p>
    <w:p w14:paraId="4190DE7D"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очереди пилота «Спитфайра» всего лишь напугали немецкий развед</w:t>
      </w:r>
      <w:r w:rsidRPr="00271E51">
        <w:rPr>
          <w:rFonts w:ascii="Times New Roman" w:hAnsi="Times New Roman"/>
          <w:color w:val="000000" w:themeColor="text1"/>
          <w:sz w:val="16"/>
          <w:szCs w:val="16"/>
        </w:rPr>
        <w:softHyphen/>
        <w:t>чик, но не более. Самое любопытное, что именно в эти дни, в конце августа 1943 г., когда перехватчики боевую задачу выполнить не смогли, Центральный аэродром им. М.В Фрунзе получил свою единственную боевую награду — орден Красного Знамени (15830).</w:t>
      </w:r>
    </w:p>
    <w:p w14:paraId="6DB4389D"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35ECE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года П. Дементьев писал письмо зам. председателя СНК Молотову В.М.</w:t>
      </w:r>
    </w:p>
    <w:p w14:paraId="5B6AF6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Распоряжением Совнаркома от 11 мая 1943 года № 9423р НКАП обязан был проверить возможность окраски самолетов подогретыми эмалями с целью экономии растворителей.</w:t>
      </w:r>
    </w:p>
    <w:p w14:paraId="318C5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Проверка, проведенная на самолетом заводе, показала неприемлемость этого метода окраски самолетов по следующим причинам:</w:t>
      </w:r>
    </w:p>
    <w:p w14:paraId="7087ACED"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окраске больших поверхностей получаются волнистые, пористые и недопустимо толстые покрытия.</w:t>
      </w:r>
    </w:p>
    <w:p w14:paraId="2001E09C"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Существующая конструкция аппарата, для подогрева эмалей, создает в малярных цехах значительную пожарную опасность (8916).</w:t>
      </w:r>
    </w:p>
    <w:p w14:paraId="0312725A"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5B9AA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- 18 ноября 1943г Первые официальные летные испытания ЖРД РД-1 на самолете Пе-2Р (проведено 40 полетов с включением ЖРД) (11330).</w:t>
      </w:r>
    </w:p>
    <w:p w14:paraId="6ED1DF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1C27C" w14:textId="77777777" w:rsidR="00F87EB8"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B3EB33D" w14:textId="77777777" w:rsidR="00F87EB8" w:rsidRPr="00271E51" w:rsidRDefault="00F87EB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6EFABC"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22 августа 1943 года была подготовлена докладная записка:</w:t>
      </w:r>
    </w:p>
    <w:p w14:paraId="6F95D463"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«Параллельно с подготовкой к испытанию танка ИС, являющегося новой конструкцией, Кировский завода поставил перед собой задачу найти решение и дать образец танка, отвечающего тем же тактико-техническим требованиям, что и танк ИС, но обладающего следующими преимуществами:</w:t>
      </w:r>
    </w:p>
    <w:p w14:paraId="6201CEDA"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а) Возможностью использования серийных узлов и групп танков КВ, что даёт возможность организации производства нового танка без снижения программы, а значит без потерь в выпуске танков.</w:t>
      </w:r>
    </w:p>
    <w:p w14:paraId="7A6968D1"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б) Полным сохранением на Кировском заводе и завода №200 производства артсамоходов СУ-152.</w:t>
      </w:r>
    </w:p>
    <w:p w14:paraId="38E72225" w14:textId="77777777" w:rsidR="00F87EB8" w:rsidRPr="00271E51" w:rsidRDefault="00F87EB8" w:rsidP="00271E51">
      <w:pPr>
        <w:pStyle w:val="ae"/>
        <w:shd w:val="clear" w:color="auto" w:fill="FFFFFF"/>
        <w:spacing w:before="0" w:after="0"/>
        <w:jc w:val="both"/>
        <w:rPr>
          <w:iCs/>
          <w:color w:val="000000" w:themeColor="text1"/>
          <w:sz w:val="16"/>
          <w:szCs w:val="16"/>
        </w:rPr>
      </w:pPr>
      <w:r w:rsidRPr="00271E51">
        <w:rPr>
          <w:iCs/>
          <w:color w:val="000000" w:themeColor="text1"/>
          <w:sz w:val="16"/>
          <w:szCs w:val="16"/>
        </w:rPr>
        <w:t>в) Сохранением в производстве запчастей к танкам КВ-1с и СУ-152, находящимся на вооружении в армии и не требующим переобучения личного состава, подготовленного к работе на танках КВ».</w:t>
      </w:r>
    </w:p>
    <w:p w14:paraId="1615C7FA"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Никаких эскизных изображений этого проекта не сохранилось. На основании пояснительной записки можно предположить, что СКБ-2 под руководством Н.Л. Духова за основу взяло КВ-85. При этом башня должна была остаться той же, что использовалась и на КВ-85, и на ИС-1. По сравнению с исходным танком усиливалась защита. Толщина бортов вырастала до 90 мм, кормы — до 75 мм.</w:t>
      </w:r>
    </w:p>
    <w:p w14:paraId="5CA56FD3"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Наибольший интерес представляет носовая часть корпуса. Согласно описанию, толщина брони здесь увеличивалась до 90 мм, при этом изменялась форма листов. Верхний лобовой лист имел угол наклона 30 градусов к горизонту, а нижний лобовой лист — 60 градусов к горизонту. Таким образом, теоретически лобовая проекция улучшенного КВ-85 могла быть лучше защищена, чем у ИС-85.</w:t>
      </w:r>
    </w:p>
    <w:p w14:paraId="51BFDFB9"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 внесении в конструкцию базового танка минимальных изменений уже 15 сентября 1943 года ожидалось получить первые образцы модернизированного КВ-85. Правда, никакого задания на проектирование такого варианта КВ-85 Народный комиссариат танковой промышленности (НКТП) и Главное бронетанковое управление Красной армии (ГБТУ КА) не давали. Разработка велась по инициативе заводского руководства.</w:t>
      </w:r>
    </w:p>
    <w:p w14:paraId="48F68F87"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Имеются вопросы к заявленной боевой массе модернизированного танка. Он должна была составлять 45 342 килограмма, тогда как боевая масса серийного КВ-85 составляла 45 282 килограмма. Сомнительно, что с таким существенным усилением бронирования вес танка увеличился бы всего на 60 кг.</w:t>
      </w:r>
    </w:p>
    <w:p w14:paraId="35ED0749" w14:textId="77777777" w:rsidR="00F87EB8" w:rsidRPr="00271E51" w:rsidRDefault="00F87EB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Кроме того, как раз в конце августа велась очень трудная работа по постройке первых серийных КВ-85, причём к организации производства имелась масса претензий. С учётом того, что отношения между Малышевым и Зальцманом были весьма натянутыми, в НКТП инициативу заводчан встретили, мягко говоря, без энтузиазма</w:t>
      </w:r>
      <w:r w:rsidRPr="00271E51">
        <w:rPr>
          <w:iCs/>
          <w:color w:val="000000" w:themeColor="text1"/>
          <w:sz w:val="16"/>
          <w:szCs w:val="16"/>
        </w:rPr>
        <w:t xml:space="preserve"> (17722).</w:t>
      </w:r>
    </w:p>
    <w:p w14:paraId="613D3BCE" w14:textId="77777777" w:rsidR="00F87EB8" w:rsidRPr="00271E51" w:rsidRDefault="00F87EB8"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2C483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EDA71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CF14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в 1943 году оперативная сводка Совинформбюро:</w:t>
      </w:r>
    </w:p>
    <w:p w14:paraId="560021F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августа наши войска на Харьковском направлении, отбивая контратаки противника, продвинулись на отдельных участках вперёд от 4 до 6 километров и заняли свыше 30 населённых пунктов.</w:t>
      </w:r>
    </w:p>
    <w:p w14:paraId="5E246C3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и в районе юго-западнее Спас-Деменска наши войска продолжали вести бои по улучшению своих позиций.</w:t>
      </w:r>
    </w:p>
    <w:p w14:paraId="3658E94D"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южнее Изюма и юго-западнее Ворошиловграда, наши войска вели успешные бои местного значения.</w:t>
      </w:r>
    </w:p>
    <w:p w14:paraId="0BFB0EF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августа наши войска на всех фронтах подбили и уничтожили 187 немецких танков. В воздушных боях и огнём зенитной артиллерии сбиты 53 самолёта противника.</w:t>
      </w:r>
    </w:p>
    <w:p w14:paraId="39799AA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Харьковском направлении наши войска, преодолевая сопротивление и отражая контратаки противника, продолжали вести наступательные бои.</w:t>
      </w:r>
    </w:p>
    <w:p w14:paraId="092DF33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наши войска продвигались вперёд и заняли свыше 30 населённых пунктов. Н-ская часть за два дня боёв истребила 600 гитлеровцев. Захвачено 9 орудий, 55 пулемётов, 3 склада боеприпасов, много различного вооружения и военного имущества. Бойцы Н-ского соединения, овладев группой опорных пунктов противника, уничтожили свыше 1.000 немецких солдат и офицеров. Взято в плен до 150 солдат противника.</w:t>
      </w:r>
    </w:p>
    <w:p w14:paraId="42D8984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вели ожесточённые бои с крупными силами танков и пехоты противника. За день боёв уничтожено свыше 2.000 немецких солдат и офицеров, 80 танков и более 200 автомашин. На другом участке наши части переправились через водный рубеж и, развивая наступление, заняли несколько населённых пунктов. Уничтожено до двух батальонов гитлеровцев. Нашими бойцами захвачены 3 танка, 3 самоходных и 9 полевых орудий, 4 радиостанции и 3 склада боеприпасов. Взяты пленные.</w:t>
      </w:r>
    </w:p>
    <w:p w14:paraId="0A572CC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танкисты в боях с немецко-фашистскими захватчиками наносят противнику тяжёлый урон. Три наших танка под командованием тт. Андрощука, Рокши и Коваленко вступили в бой с шестью немецкими тяжёлыми танками. Наши танкисты подбили и подожгли 5 вражеских машин. Только один уцелевший немецкий танк успел скрыться с поля боя. Танковые экипажи тт. Грибанова, Перцева, Брезгина и Лисицкого встретились с 15 немецкими танками. В коротком бою советские танкисты сожгли тяжёлый танк типа «Тигр», уничтожили 3 средних и 4 лёгких танка противника.</w:t>
      </w:r>
    </w:p>
    <w:p w14:paraId="4D5D4BE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вели успешные бои местного значения, в результате которых заняли несколько населённых пунктов. Наши части взяли в плен более 500 немецких солдат и офицеров. Противник, стремясь задержать продвижение советских войск, предпринял несколько ожесточённых контратак, но успеха не добился. Наши подразделения продолжают продвигаться вперёд, отбрасывая противника и уничтожая его живую силу и технику. По неполным данным, сегодня в течение дня уничтожено до полка немецкой пехоты и свыше 40 танков противника. Захвачены трофеи.</w:t>
      </w:r>
    </w:p>
    <w:p w14:paraId="0F35713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21 немецкий самолёт.</w:t>
      </w:r>
    </w:p>
    <w:p w14:paraId="10457A2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бойцы Н-ской гвардейской части в одном населённом пункте окружили и уничтожили немецкий гарнизон, отказавшийся сложить оружие. Убито до 300 гитлеровцев. На другом участке группа бойцов под командованием лейтенанта Кравченко ворвалась в окопы противника и взяла в плен 25 солдат и одного немецкого офицера. Захвачены трофеи, в числе которых шестиствольный миномёт, несколько пулемётов и радиостанция.</w:t>
      </w:r>
    </w:p>
    <w:p w14:paraId="546C6AA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наши войска вели бои за улучшение позиций. На одном участке два полка пехоты противника при поддержке танков и авиации контратаковали высоты, занятые бойцами Н-ской части. Наши подразделения отбили контратаку немцев и, преследуя противника, улучшили свои позиции. В результате боя уничтожено не менее 1.500 гитлеровцев, подбито и сожжено 15 танков, 14 орудий, из них 5 самоходных. В воздушных боях нашими лётчиками сбито 11 самолётов противника.</w:t>
      </w:r>
    </w:p>
    <w:p w14:paraId="5E44A13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корабли потопили в Чёрном море транспорт противника водоизмещением в 3.000 тонн. Авиацией флота потоплены торпедный катер и самоходная баржа противника.</w:t>
      </w:r>
    </w:p>
    <w:p w14:paraId="09E9DAA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отряда, действующего в одном из районов Калининской области, проникли в расположение немецкого гарнизона, сняли часовых и подожгли склад авиационного бензина и смазочных материалов. Группа партизан другого калининского отряда взорвала немецкую казарму в крупном населённом пункте. В результате взрыва убито 70 гитлеровцев.</w:t>
      </w:r>
    </w:p>
    <w:p w14:paraId="6B76156D"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гитлеровских мерзавцев в селе Весёлое, Харьковской области. «После оккупации нашего села немцами для советских людей началась тяжёлая, подневольная жизнь. Фашистские военные власти ввели в селе барщину. По приказу коменданта все жители от 14 до 65 лет должны были работать на немцев по три дня в неделю. За невыход на работу фашистские изверги бросали советских людей в карцер, пороли розгами. Осенью прошлого года ввиду отказам ногих колхозников выйти на работу гитлеровцы арестовали и угнали на немецкую каторгу 79 мирных граждан. Немцы разорили наше село и ограбили население. За время оккупации немецко-фашистские мерзавцы разрушили и сожгли 320 домов колхозников, больницу, детский дом, две начальных школы и одну неполную среднюю школу, клуб, почту, все хозяйственные постройки трёх колхозов и совхоза».</w:t>
      </w:r>
    </w:p>
    <w:p w14:paraId="2C20F1D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сельсовета И.Самойленко, жители села — М. Золотарь, С.Минкаренко, Н.Пшеничная, С.Крутько и другие.» (14990).</w:t>
      </w:r>
    </w:p>
    <w:p w14:paraId="06EB30C2"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07BA3F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пара Ил-2 «охотников» от 6-го гшап была атакована четверкой истребителей Fw 190. В ходе завязавшегося воздушного боя самолет младшего лейтенанта Нечаева зав. №1877841 получил свыше 100 пулеметно-пушечных пробоин. Полностью был отбит правый элерон, а в левом - имелась пробоина размерами 21x16 см. Совершенно разбита правая половина руля высоты. Поперечные размеры пробоины в киле достигали 40 см. Полотняная обшивка руля поворота оказалась сорванной. Лонжерон центроплана поврежден в нескольких местах. Напрочь отбит костыль. Пробиты пневматики колес и лопасти винта (одна из них отбита на 18 см). Имелось много пробоин и в планере самолета. Между тем Нечаев пролетел на нем 38 минут и произвел посадку на свой аэродром. Самолет списали (11921).</w:t>
      </w:r>
    </w:p>
    <w:p w14:paraId="0F32F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F10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пара Ил-2- "охотников" от 6-го гшап была атакована четверкой истребителей Fw 190. В ходе завязавшегося воздушного боя самолет мл. лейтенанта Нечаева зав. №1877841 получил свыше 100 пулеметно-пушечных пробоин. Полностью был отбит правый элерон, а в левом - имелась пробоина размерами 21x16 см. Совершенно разбита правая половина руля высоты. Поперечные размеры пробоины в киле достигали 40 см. Полотняная обшивка руля поворота оказалась сорванной. Лонжерон центроплана поврежден в нескольких местах. Напрочь отбита костыльная установка. Пробиты пневматики колес и лопасти винта (одна из них отбита на 18 см). Имелось много пробоин и в планере самолета. Между тем Нечаев после боя пролетел 38 минут и произвел посадку на свой аэродром. Самолет списали, так как ремонту он не подлежал (12020).</w:t>
      </w:r>
    </w:p>
    <w:p w14:paraId="15B894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F6AF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августа в 1943 году с 08 часов 40 минут до 10 часов 10 минут германская авиация произвела разведку города Москвы и окрестностей одним высотным разведчиком типа </w:t>
      </w:r>
      <w:hyperlink r:id="rId70" w:tgtFrame="_blank" w:history="1">
        <w:r w:rsidRPr="00271E51">
          <w:rPr>
            <w:rFonts w:ascii="Times New Roman" w:hAnsi="Times New Roman"/>
            <w:color w:val="000000" w:themeColor="text1"/>
            <w:sz w:val="16"/>
            <w:szCs w:val="16"/>
          </w:rPr>
          <w:t xml:space="preserve">«Ю-86Р-1» </w:t>
        </w:r>
      </w:hyperlink>
      <w:r w:rsidRPr="00271E51">
        <w:rPr>
          <w:rFonts w:ascii="Times New Roman" w:hAnsi="Times New Roman"/>
          <w:color w:val="000000" w:themeColor="text1"/>
          <w:sz w:val="16"/>
          <w:szCs w:val="16"/>
        </w:rPr>
        <w:t>на высоте 12000-13000 м (14990).</w:t>
      </w:r>
    </w:p>
    <w:p w14:paraId="0157DA75"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2264619E" w14:textId="77777777" w:rsidR="00153CB5" w:rsidRPr="00271E51" w:rsidRDefault="00153C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августа 1943 г. на перехват немецкого самолета-разведчика, совершавшего очередной облет Москвы, подняли 15 истребителей, в том числе 3 Як-9ПД, 2 высотных «Спитфайра», 2 «Аэрокобры», 6 Як-1 и 2 МиГ-3. Только один летчик на «Спитфайре» смог подняться до высоты 11 500 м, а затем обстрелять самолет противника из режима кабрирования, находясь примерно на 500 м ниже. На следующий день командующий войсками Западного фронта ПВО Г. П. Громадин в донесении командующему ВВС сообщил, что вопрос о высотных истребителях для ПВО столицы практически не решен. В этих условиях к созданию высотного истребителя решили подключить и ОКБ Н. Н. Поликарпова. Проекти ро - вание высотного перехватчика («ВП» или изделие «К») началось с октября 1943 г. Оно проводилось на основе опыта, полученного при работе по истребителям И-185. Первоначально планировалось поставить двигатель М-71Ф с двумя турбокомпрессорами для повышения высотности. Первый вариант эскизного проекта завершили к 2 ноября. Согласно предварительным планам, летные испытания истребителя ВП должны </w:t>
      </w:r>
      <w:r w:rsidRPr="00271E51">
        <w:rPr>
          <w:rFonts w:ascii="Times New Roman" w:hAnsi="Times New Roman"/>
          <w:color w:val="000000" w:themeColor="text1"/>
          <w:sz w:val="16"/>
          <w:szCs w:val="16"/>
        </w:rPr>
        <w:lastRenderedPageBreak/>
        <w:t>были начаться в конце второго квартала 1944 г. Из-за проблем с мотором М-71 первый вариант проекта переделали сначала под АМ-39А с турбокомпрессором ТК-300, затем под АМ-39Б с ТК-3 и, окончательно, под АМ-39Б с ТК-300Б. Все это привело к необходимости существенной переработки конструкции и эскизный проект закончили только в летом 1944 г., срок предъявления ВП на испытания перенесли на декабрь 1944 г. На заводе № 51 началось изготовление стендов для наземной отработки винтомоторной группы и гермокабины. Крыло было набрано из профилей НАСА-230, но проведенные в ЦАГИ исследования показали, что они не являются оптимальным и для второго экземпляра решили изготовить новое крыло с профилем, рекомендованным ЦАГИ (19727).</w:t>
      </w:r>
    </w:p>
    <w:p w14:paraId="0001BD33" w14:textId="77777777" w:rsidR="00153CB5" w:rsidRPr="00271E51" w:rsidRDefault="00153CB5" w:rsidP="00271E51">
      <w:pPr>
        <w:spacing w:after="0" w:line="240" w:lineRule="auto"/>
        <w:jc w:val="both"/>
        <w:rPr>
          <w:rFonts w:ascii="Times New Roman" w:hAnsi="Times New Roman"/>
          <w:color w:val="000000" w:themeColor="text1"/>
          <w:sz w:val="16"/>
          <w:szCs w:val="16"/>
        </w:rPr>
      </w:pPr>
    </w:p>
    <w:p w14:paraId="5DC4017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вышло Постановление ГКО № 3967 [О переводе ГВФ из подчинения командующему ВВС в подчинение командующему АДД.] (7134, 158).</w:t>
      </w:r>
    </w:p>
    <w:p w14:paraId="437A043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FFD1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на перехват Ju-86R-1 было поднято 15 истребителей ПВО, в т.ч. 3 Як-9ПД, 2 Спитфайра и 2 Аэрокобры, шесть Як-1 и два МиГ-2. Только Спитфайр поднялся на 11500 и и некоторое время вел огонь снизу (500 м) и сзади (200 м). Это был последний пролет над Москвой немецкого разведчика. 23 августа командующий войсками Западного фронта ПВО доложил, что задача высотного перехвата так и не решена (65,123).</w:t>
      </w:r>
    </w:p>
    <w:p w14:paraId="031F6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55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 07.42, по московскому времени, одиночный Ju-86R появился в районе Москвы. Пройдя по маршруту Вязьма – Кубинка – Звенигород – Чкаловская, он в 08.40 показался над столицей и трижды пролетел над Кремлем. На перехват были подняты в общей сложности 15 истребителей, в т.ч. шесть Як-1, три Як-9, два «Спитфайра», две «Аэрокобры» и два МиГ-3. Из всех этих разнотипных машин лишь одному «Спитфайру» лейтенанта Семенова из 16-го ПАП удалось с большим трудом подняться на 11 500 м. Однако противник находился еще выше минимум на полкилометра! Тем не менее Семенов попытался вести по «Юнкерсу» огонь с кабрирования, впустую расстреляв 30 снарядов и 450 патронов, после чего все оружие заклинило из-за обледенения. Летчику даже показалось, что по нему стреляли трассирующими пулями, однако никакого оборонительного вооружения на Ju-86R не было.  В районе Москвы и на обратном пути до Можайска самолет-разведчик преследовали младший лейтенант Наливайко на Як-9 летчики Полканов и Буцлов на Як-1, Абрамов и Евдокимов на «Аэрокобрах», Крупенин и Климов на МиГ-3. Последним удалось набрать высоту 10 800 м, но «Юнкере» летел намного выше! В итоге ни одному из пилотов не удалось выполнить атаку. Зенитная же артиллерия ввиду недосягаемости противника вообще не стреляла. Таким образом, Ju-86R успешно произвел разведку советской столицы и безнаказанно ушел. Это был уже шестой пролет высотного разведчика над Москвой. Ju-86R был оснащен двумя дизельными двигателями Jumo-207B-3, имевшими устройства впрыска закиси азота, что позволяло ему летать на высоте до 12 500 м, а при необходимости еще выше. «Юнкере» мог развивать скорость до 360 км/час и находиться в воздухе до семи часов. Все это делало разведчик практически недосягаемым для советских средств ПВО (11774).</w:t>
      </w:r>
    </w:p>
    <w:p w14:paraId="03541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F20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пару "Спитфайров" из 16-го иап вместе с 13 другими истребителями разных типов под</w:t>
      </w:r>
      <w:r w:rsidRPr="00271E51">
        <w:rPr>
          <w:rFonts w:ascii="Times New Roman" w:hAnsi="Times New Roman"/>
          <w:color w:val="000000" w:themeColor="text1"/>
          <w:sz w:val="16"/>
          <w:szCs w:val="16"/>
        </w:rPr>
        <w:softHyphen/>
        <w:t>няли на перехват .Ю 86К, полтора часа барражировавшего над Москвой. Не ожидая никакой опасности, немецкий летчик трижды пролетел над центром города. Подобная дерзость отмечалась уже в шестой раз. Только один истре</w:t>
      </w:r>
      <w:r w:rsidRPr="00271E51">
        <w:rPr>
          <w:rFonts w:ascii="Times New Roman" w:hAnsi="Times New Roman"/>
          <w:color w:val="000000" w:themeColor="text1"/>
          <w:sz w:val="16"/>
          <w:szCs w:val="16"/>
        </w:rPr>
        <w:softHyphen/>
        <w:t>битель - "Спитфайр" пилота А. Семе</w:t>
      </w:r>
      <w:r w:rsidRPr="00271E51">
        <w:rPr>
          <w:rFonts w:ascii="Times New Roman" w:hAnsi="Times New Roman"/>
          <w:color w:val="000000" w:themeColor="text1"/>
          <w:sz w:val="16"/>
          <w:szCs w:val="16"/>
        </w:rPr>
        <w:softHyphen/>
        <w:t>нова - подобрался к немецкой маши</w:t>
      </w:r>
      <w:r w:rsidRPr="00271E51">
        <w:rPr>
          <w:rFonts w:ascii="Times New Roman" w:hAnsi="Times New Roman"/>
          <w:color w:val="000000" w:themeColor="text1"/>
          <w:sz w:val="16"/>
          <w:szCs w:val="16"/>
        </w:rPr>
        <w:softHyphen/>
        <w:t>не. Поднявшись на 11500 м - до пре</w:t>
      </w:r>
      <w:r w:rsidRPr="00271E51">
        <w:rPr>
          <w:rFonts w:ascii="Times New Roman" w:hAnsi="Times New Roman"/>
          <w:color w:val="000000" w:themeColor="text1"/>
          <w:sz w:val="16"/>
          <w:szCs w:val="16"/>
        </w:rPr>
        <w:softHyphen/>
        <w:t>дела возможностей своего самолета, летчик обнаружил противника на 500 м выше и впереди себя. Семенов об</w:t>
      </w:r>
      <w:r w:rsidRPr="00271E51">
        <w:rPr>
          <w:rFonts w:ascii="Times New Roman" w:hAnsi="Times New Roman"/>
          <w:color w:val="000000" w:themeColor="text1"/>
          <w:sz w:val="16"/>
          <w:szCs w:val="16"/>
        </w:rPr>
        <w:softHyphen/>
        <w:t>стрелял немца с кабрирования, одна</w:t>
      </w:r>
      <w:r w:rsidRPr="00271E51">
        <w:rPr>
          <w:rFonts w:ascii="Times New Roman" w:hAnsi="Times New Roman"/>
          <w:color w:val="000000" w:themeColor="text1"/>
          <w:sz w:val="16"/>
          <w:szCs w:val="16"/>
        </w:rPr>
        <w:softHyphen/>
        <w:t>ко оружие замерзло и отказало после нескольких выстрелов. Не удалось атаковать "юнкере" и младшему лейтенанту Зернову из того же полка. 6 сентября он безрезультат</w:t>
      </w:r>
      <w:r w:rsidRPr="00271E51">
        <w:rPr>
          <w:rFonts w:ascii="Times New Roman" w:hAnsi="Times New Roman"/>
          <w:color w:val="000000" w:themeColor="text1"/>
          <w:sz w:val="16"/>
          <w:szCs w:val="16"/>
        </w:rPr>
        <w:softHyphen/>
        <w:t>но преследовал немецкий разведчик до полного израсходования запаса кис</w:t>
      </w:r>
      <w:r w:rsidRPr="00271E51">
        <w:rPr>
          <w:rFonts w:ascii="Times New Roman" w:hAnsi="Times New Roman"/>
          <w:color w:val="000000" w:themeColor="text1"/>
          <w:sz w:val="16"/>
          <w:szCs w:val="16"/>
        </w:rPr>
        <w:softHyphen/>
        <w:t>лорода (10790).</w:t>
      </w:r>
    </w:p>
    <w:p w14:paraId="09DF26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2A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немцы оставили Харьков (2262).</w:t>
      </w:r>
    </w:p>
    <w:p w14:paraId="560DE2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84A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 23:45 “Гэ-пятые” №94, 124 и 134 вышли с Лавенсаари на поиск вражеских кораблей на Западном Гогландском плесе и между островом Орренгрунд и огнем Тийскери. Командовал отрядом капитан-лейтенант Гуманенко. Сперва им не удавалось найти противника, но в 2:38 следующих суток катера, находившиеся недалеко от Тийскери, на дистанции около 15 кабельтовых заметили два силуэта и пошли на сближение с ними. Спустя шесть минут определили, что это были (по донесению) “...сторожевой корабль типа Ф-1, стоявший носом на северо-восток, а в расстоянии 1-2 каб. от него на северо-восток - сторожевой катер.”. Наши “москиты” находились в темной части горизонта, а неприятель - на лунной дорожке, условия для атаки были очень удачные, но первый блин вышел комом. Первая торпеда, выстреленная в 2:45 124-м с дистанции 5 кабельтовых, в цель не попала, катер описал полную циркуляцию и спустя две минуты попытался произвести второй выстрел. Снова неудачно - торпеда из аппарата не вышла! Тогда Гуманенко приказал атаковать противника 94-му, которым командовал старший лейтенант Жильцов. В 2:50 катер с 2,5 кабельтовых произвел двухторпедный залп, причем финны уже активно противодействовали огнем, вынудив советский отряд лечь на курс отхода. Прошла всего лишь минута, и “рыбины” нашли цель - раздался сильнейший взрыв. Без дальнейших приключений Гуманенко повел свою группу к Лавенсаари, подойдя к базе в 4:22. Там, как положено, был проведен митинг личного состава, а во всех подразделениях прошли политинформации о боевом успехе. Действительно, на дно отправился новый корабль (о том, кто именно был потоплен, командование КБФ узнало несколько позже) с 24 членами экипажа, у нас же потерь не было (6002).</w:t>
      </w:r>
    </w:p>
    <w:p w14:paraId="6C3374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1657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в 1943 году Максима Литвинова на посту посла СССР в США сменяет Андрей Громыко (14990).</w:t>
      </w:r>
    </w:p>
    <w:p w14:paraId="099F838B"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47862D2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17E4F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3E0B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в 1943 году опубликовано постановление СНК СССР и ЦК ВКП(б) "О неотложных мерах по восстановлению хозяйства в районах, освобожденных от немецкой оккупации". Предусматривалось: возвратить колхозам освобожденных областей скот, эвакуированный в восточные районы; для увеличения поголовья скота повысить планы контрактации и покупки скота, организовать в восточных и центральных районах государственные закупки всех видов скота для областей, освобожденных от оккупации; восстановить и построить новые жилые дома, а также вокзалы и другие железнодорожные постройки (14990).</w:t>
      </w:r>
    </w:p>
    <w:p w14:paraId="269094CA"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13A8D33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в СССР учреждены суворовские училища (4962).</w:t>
      </w:r>
    </w:p>
    <w:p w14:paraId="4EBAAF0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A850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C2E2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CDB6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года</w:t>
      </w:r>
    </w:p>
    <w:p w14:paraId="7BDBFE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ПРЕМЬЕРА И. В. СТАЛИНА ПРЕЗИДЕНТУ г-ну Ф. Д. РУЗВЕЛЬТУ И ПРЕМЬЕР-МИНИСТРУ г-ну У. ЧЕРЧИЛЛЮ</w:t>
      </w:r>
    </w:p>
    <w:p w14:paraId="41C0BB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Получил Ваше послание о переговорах с итальянцами и о новых условиях перемирия с Италией. Благодарю Вас за информацию.</w:t>
      </w:r>
    </w:p>
    <w:p w14:paraId="19ED3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Г-н Идеи сообщал Соболеву, что Москва полностью информирована о переговорах с Италией. Я должен, однако, сказать, что заявление г. Идена не соответствует действительности, так как я получил Ваше послание с большими пропусками, и без заключительных абзацев</w:t>
      </w:r>
      <w:r w:rsidRPr="00271E51">
        <w:rPr>
          <w:rFonts w:ascii="Times New Roman" w:hAnsi="Times New Roman"/>
          <w:color w:val="000000" w:themeColor="text1"/>
          <w:sz w:val="16"/>
          <w:szCs w:val="16"/>
          <w:vertAlign w:val="superscript"/>
        </w:rPr>
        <w:t>38</w:t>
      </w:r>
      <w:r w:rsidRPr="00271E51">
        <w:rPr>
          <w:rFonts w:ascii="Times New Roman" w:hAnsi="Times New Roman"/>
          <w:color w:val="000000" w:themeColor="text1"/>
          <w:sz w:val="16"/>
          <w:szCs w:val="16"/>
        </w:rPr>
        <w:t>. Следует ввиду этого сказать, что Советское Правительство не информировано о переговорах англо-американцев с итальянцами. Г-н Керр уверяет, что в скором времени он получит полный текст Вашего послания, но прошло уже три дня, а Посол Керр еще не дал полного текста послания. Мне непонятно, как могла случиться такая задержка при передаче информации по столь важному делу.</w:t>
      </w:r>
    </w:p>
    <w:p w14:paraId="3CF40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считаю, что назрело время для того, чтобы создать военно-политическую комиссию из представителей трех стран — США, Великобритании и СССР — для рассмотрения вопросов о переговорах с различными правительствами, отпадающими от Германии. До сих пор дело обстояло так, что США и Англия сговариваются, а СССР получал информацию о результатах сговора двух держав в качестве третьего пассивного наблюдающего. Должен Вам сказать, что терпеть дальше такое положение невозможно. Я предлагаю эту комиссию создать и определить ее местопребывание на первое время в Сицилии.</w:t>
      </w:r>
    </w:p>
    <w:p w14:paraId="79A0C1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Жду получения полного текста Вашего послания о переговорах с Италией (7430).</w:t>
      </w:r>
    </w:p>
    <w:p w14:paraId="273AB0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492B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в 1943 году в своем послании Ф.Рузвельту и У.Черчиллю И.В.Сталин выразил неудовольствие тем, что советская сторона не принимала заметного участия в договоренностях о капитуляции Италии (14990).</w:t>
      </w:r>
    </w:p>
    <w:p w14:paraId="25FD92C8"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0BF4D8C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в 1943 году Максима Литвинова на посту посла СССР в США сменяет Андрей Громыко (14990).</w:t>
      </w:r>
    </w:p>
    <w:p w14:paraId="4B2C0C46"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0456D409" w14:textId="7FD4A4CA" w:rsidR="00F672AD" w:rsidRPr="00271E51" w:rsidRDefault="00F672A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31CAF76F" w14:textId="77777777" w:rsidR="00F672AD" w:rsidRPr="00271E51" w:rsidRDefault="00F672A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BC2D9D0"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22–23 августа (ночь) 1943 Командование бомбардировщиков Великобритании отправляет 462 самолета для атаки на завод IG Farben в Леверкузене, Германия. Из-за плотного облачного покрова и частичного отказа системы навигации гобой их бомбы сильно разбрасявает, поражая 12 других городов, помимо Леверкузена. Пять бомбардировщиков не возвращаются (20376).</w:t>
      </w:r>
    </w:p>
    <w:p w14:paraId="1D2AC0EE" w14:textId="77777777" w:rsidR="00F672AD" w:rsidRPr="00271E51" w:rsidRDefault="00F672AD" w:rsidP="00271E51">
      <w:pPr>
        <w:spacing w:after="0" w:line="240" w:lineRule="auto"/>
        <w:jc w:val="both"/>
        <w:rPr>
          <w:rFonts w:ascii="Times New Roman" w:hAnsi="Times New Roman"/>
          <w:color w:val="0070C0"/>
          <w:sz w:val="16"/>
          <w:szCs w:val="16"/>
        </w:rPr>
      </w:pPr>
    </w:p>
    <w:p w14:paraId="73DFC10D" w14:textId="121103C9"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9FE17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95B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одноместный штурмовик Ил-2 зав. № 1704 производства завода № 18 с пушками Ш-45 по</w:t>
      </w:r>
      <w:r w:rsidRPr="00271E51">
        <w:rPr>
          <w:rFonts w:ascii="Times New Roman" w:hAnsi="Times New Roman"/>
          <w:color w:val="000000" w:themeColor="text1"/>
          <w:sz w:val="16"/>
          <w:szCs w:val="16"/>
        </w:rPr>
        <w:softHyphen/>
        <w:t>ступил на ЛИС завода № 240 для отладки вооружения. Именно этот самолет с пушками ШФК-37 в 1941 г. проходил государственные летные испытания и испы</w:t>
      </w:r>
      <w:r w:rsidRPr="00271E51">
        <w:rPr>
          <w:rFonts w:ascii="Times New Roman" w:hAnsi="Times New Roman"/>
          <w:color w:val="000000" w:themeColor="text1"/>
          <w:sz w:val="16"/>
          <w:szCs w:val="16"/>
        </w:rPr>
        <w:softHyphen/>
        <w:t>тания на боевое применение на фронте. Одноместный самолет Ил-2 с двумя Ш-45 на государствен</w:t>
      </w:r>
      <w:r w:rsidRPr="00271E51">
        <w:rPr>
          <w:rFonts w:ascii="Times New Roman" w:hAnsi="Times New Roman"/>
          <w:color w:val="000000" w:themeColor="text1"/>
          <w:sz w:val="16"/>
          <w:szCs w:val="16"/>
        </w:rPr>
        <w:softHyphen/>
        <w:t>ные испытания не передавался ввиду низкой живучести пуш</w:t>
      </w:r>
      <w:r w:rsidRPr="00271E51">
        <w:rPr>
          <w:rFonts w:ascii="Times New Roman" w:hAnsi="Times New Roman"/>
          <w:color w:val="000000" w:themeColor="text1"/>
          <w:sz w:val="16"/>
          <w:szCs w:val="16"/>
        </w:rPr>
        <w:softHyphen/>
        <w:t>ки, особенно ее затвора (11474,358).</w:t>
      </w:r>
    </w:p>
    <w:p w14:paraId="3A5809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E0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на ЛИС завода №240 поступил одноместный самолет Ил-2 зав. №1704 производства завода №18, на котором были установлены две пушки Ш-45 (20 снарядов на ствол). Ввиду низкой живучести пушки, особенно ее затвора, штурмовик на госиспытания не передавался. Напомним, что именно этот самолет, но с пушками ШФК-37, в 1941 г. проходил государственные летные испытания и испытания на боевое применение на фронте (12020).</w:t>
      </w:r>
    </w:p>
    <w:p w14:paraId="591A4F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86524" w14:textId="77777777" w:rsidR="00A46221" w:rsidRPr="00271E51" w:rsidRDefault="00A4622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23 ав</w:t>
      </w:r>
      <w:r w:rsidRPr="00271E51">
        <w:rPr>
          <w:color w:val="000000" w:themeColor="text1"/>
          <w:sz w:val="16"/>
          <w:szCs w:val="16"/>
        </w:rPr>
        <w:softHyphen/>
        <w:t>густа 1943 г. ОКБ-240 Ильюшина установило 2 пушки Ш-45 на одноместный самолет Ил-2 зав. № 1861704 производства завода № 18. Бо</w:t>
      </w:r>
      <w:r w:rsidRPr="00271E51">
        <w:rPr>
          <w:color w:val="000000" w:themeColor="text1"/>
          <w:sz w:val="16"/>
          <w:szCs w:val="16"/>
        </w:rPr>
        <w:softHyphen/>
        <w:t>екомплект к каждой пушке включал 20 снарядов. На ЛИС завода № 240 штурмовик поступил Сразу же начались работы по отладке вооружения.</w:t>
      </w:r>
    </w:p>
    <w:p w14:paraId="172CFCBC" w14:textId="77777777" w:rsidR="00A46221" w:rsidRPr="00271E51" w:rsidRDefault="00A4622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Напомним, что именно этот самолет с пушками Ш-37 в 1941 г. проходил государственные летные испытания, испытания на боевое применение на фронте и полигонные испытания в НИП АВ (17500).</w:t>
      </w:r>
    </w:p>
    <w:p w14:paraId="33E865EE" w14:textId="77777777" w:rsidR="00A46221" w:rsidRPr="00271E51" w:rsidRDefault="00A46221" w:rsidP="00271E51">
      <w:pPr>
        <w:spacing w:after="0" w:line="240" w:lineRule="auto"/>
        <w:jc w:val="both"/>
        <w:rPr>
          <w:rFonts w:ascii="Times New Roman" w:hAnsi="Times New Roman"/>
          <w:color w:val="000000" w:themeColor="text1"/>
          <w:sz w:val="16"/>
          <w:szCs w:val="16"/>
        </w:rPr>
      </w:pPr>
    </w:p>
    <w:p w14:paraId="759B26B0" w14:textId="77777777" w:rsidR="00153CB5" w:rsidRPr="00271E51" w:rsidRDefault="00153CB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23 августа 1943 г. Приказом НКАП от все заводы, выпускающие Ил-2, обязы</w:t>
      </w:r>
      <w:r w:rsidRPr="00271E51">
        <w:rPr>
          <w:rFonts w:ascii="Times New Roman" w:hAnsi="Times New Roman" w:cs="Times New Roman"/>
          <w:color w:val="000000" w:themeColor="text1"/>
          <w:sz w:val="16"/>
          <w:szCs w:val="16"/>
        </w:rPr>
        <w:softHyphen/>
        <w:t>вались устанавливать «компенсатор руля высоты» (19558).</w:t>
      </w:r>
    </w:p>
    <w:p w14:paraId="5C2815DD" w14:textId="77777777" w:rsidR="00153CB5" w:rsidRPr="00271E51" w:rsidRDefault="00153CB5" w:rsidP="00271E51">
      <w:pPr>
        <w:spacing w:after="0" w:line="240" w:lineRule="auto"/>
        <w:jc w:val="both"/>
        <w:rPr>
          <w:rStyle w:val="9pt80"/>
          <w:rFonts w:ascii="Times New Roman" w:hAnsi="Times New Roman" w:cs="Times New Roman"/>
          <w:color w:val="000000" w:themeColor="text1"/>
          <w:w w:val="100"/>
          <w:sz w:val="16"/>
          <w:szCs w:val="16"/>
        </w:rPr>
      </w:pPr>
    </w:p>
    <w:p w14:paraId="08DB96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Кузнецов писал С.В.И., нач. УЗС и МГУЗ ВВС Алексееву, дир. завода 30 Смирнову письмо N Н-30/3389:</w:t>
      </w:r>
    </w:p>
    <w:p w14:paraId="6B323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приказом НКАП и ВВС N 237/073с на самолете Ил-2 предусмотрена установка АРТ-41 для автоматического регулирования температурного режима ВМГ самолета</w:t>
      </w:r>
    </w:p>
    <w:p w14:paraId="005F2A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Монтаж автомата АРТ-41 на самолете Ил-2 (N302748), произведенный заводом 30 при размещении электромеханизма УР-2 в тоннеле водорадиатора, является неудовлетворительным, т.к. температура окружающей среды вокруг электромотора доходит до 100 гр., а комплект УР-2, рассчитанный на работу в пределах -60 + 60 гр. при первом же полете перегорел и вышел из строя.</w:t>
      </w:r>
    </w:p>
    <w:p w14:paraId="5DEE32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Исходя из вышеизложенного, считаю необходимым срочно произвести перекомпоновку размещения установки АРТ-41.</w:t>
      </w:r>
    </w:p>
    <w:p w14:paraId="162025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мною дается указание заводу 149 об исправлении замеченных дефектов в АРТ-41 и оказании помощи заводу 30 по его монтажу (1775,120).</w:t>
      </w:r>
    </w:p>
    <w:p w14:paraId="6A5A5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DE321"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августа 1943 г.</w:t>
      </w:r>
    </w:p>
    <w:p w14:paraId="3F5F34E4"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Отзыв гл. инженера по вооружению 11-го смешанного авиационного корпуса инженера-майора Чекислова о боевой работе 37-мм авиапушки ОКБ-16 Нудельмана-Суранова НС-37, изготовленной на заводе № 74 г. Ижевска.</w:t>
      </w:r>
    </w:p>
    <w:p w14:paraId="427CE8BE"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составе 11-го смешанного авиационного корпуса, действующего в настоящее время на Брянском фронте, имеются 3 авиационных полка, вооруженных (по 2 эскадрильи) 37-мм авиапушками Нудельмана-Суранова НС-37.</w:t>
      </w:r>
    </w:p>
    <w:p w14:paraId="4CF999AA"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 время боевой работы этих полков с 30 июля по 15 августа 1943 г. самолетами Як-9Т с пушками НС-37 произведено 727 боевых самолето-вылетов, произведено из пушек НС-37 3850 выстрелов и уничтожено: самолетов противника — 116; автомашин — 30; железнодорожных эшелонов — 3; паровозов — 1; вагонов с боеприпасами — 6; зенитных точек — 2.</w:t>
      </w:r>
    </w:p>
    <w:p w14:paraId="1E88E407"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основании указанной выше боевой работы необходимо сделать вывод, что 37-мм авиапушка ОКБ-16 Нудельмана-Суранова НС-37 является отличным образцом авиавооружения. Высокий темп стрельбы, большая начальная скорость снарядов, безотказная работа автоматики, сильные действия снарядов по самым разнообразным целям, сравнительно небольшой вес, простота устройства пушки и ее установки на самолете Як-9Т и простота в эксплуатации обеспечивают данной пушке самые хорошие отзывы летного и технического состава и указанный выше эффект ее боевого применения.</w:t>
      </w:r>
    </w:p>
    <w:p w14:paraId="04A0AF26"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Одновременно с этим прошу передать конструкторам пушки НС-37 и коллективу завода № 74 НКВ, освоившему серийное производство пушки, благодарность за создание, массовое изготовление и доведение до боевой работы такого мощного образца авиавооружения, каковой является 37-мм авиапушка ОКБ-16 Нудельмана-Суранова НС-37, о которой летный и технический состав дают с фронта самые хорошие отзывы.</w:t>
      </w:r>
    </w:p>
    <w:p w14:paraId="236BE6AD" w14:textId="77777777" w:rsidR="00F672AD" w:rsidRPr="00271E51" w:rsidRDefault="00F672A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Оружие Победы.— М.: Машиностроение.— 1987.— С. 306—308 (21000).</w:t>
      </w:r>
    </w:p>
    <w:p w14:paraId="7D7D3237" w14:textId="77777777" w:rsidR="00F672AD" w:rsidRPr="00271E51" w:rsidRDefault="00F672AD" w:rsidP="00271E51">
      <w:pPr>
        <w:spacing w:after="0" w:line="240" w:lineRule="auto"/>
        <w:jc w:val="both"/>
        <w:rPr>
          <w:rFonts w:ascii="Times New Roman" w:hAnsi="Times New Roman"/>
          <w:color w:val="0070C0"/>
          <w:sz w:val="16"/>
          <w:szCs w:val="16"/>
        </w:rPr>
      </w:pPr>
    </w:p>
    <w:p w14:paraId="262B2ECD" w14:textId="77777777" w:rsidR="00A46221" w:rsidRPr="00271E51" w:rsidRDefault="00A4622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директор завода № 18 А. А. Белянский вынужден был «реагировать». Своим приказом от он потребовал от производственников передать Ил-2М АМ-42 - С-42 на ЛИС завода к 15 сентября. Однако этот шаг Белянского, как оказалось впоследствии, был своего рода страховкой от возможных в будущем упреков в бездействии, так как выполнять этот приказ никто не собирался. Работы по С-42 продолжали идти «ни шатко ни валко». Согласно сводке по опытному самолетостроению от 25 сентября, С-42 еще находился в состоянии сборки.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авиазаводе старшего техника-лейтенанта В. В. Никулина, «общий объем работы» по С-42 для приведения его в летное состояние оставался всего на «2–3 дня, но завод совершенно не занимается самолетом» (17490).</w:t>
      </w:r>
    </w:p>
    <w:p w14:paraId="61AF41DE" w14:textId="77777777" w:rsidR="00A46221" w:rsidRPr="00271E51" w:rsidRDefault="00A46221" w:rsidP="00271E51">
      <w:pPr>
        <w:spacing w:after="0" w:line="240" w:lineRule="auto"/>
        <w:jc w:val="both"/>
        <w:rPr>
          <w:rFonts w:ascii="Times New Roman" w:hAnsi="Times New Roman"/>
          <w:color w:val="000000" w:themeColor="text1"/>
          <w:sz w:val="16"/>
          <w:szCs w:val="16"/>
        </w:rPr>
      </w:pPr>
    </w:p>
    <w:p w14:paraId="1B7EC1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директор завода № 18 А. А. Белянский своим приказом от он потребовал от производ</w:t>
      </w:r>
      <w:r w:rsidRPr="00271E51">
        <w:rPr>
          <w:rFonts w:ascii="Times New Roman" w:hAnsi="Times New Roman"/>
          <w:color w:val="000000" w:themeColor="text1"/>
          <w:sz w:val="16"/>
          <w:szCs w:val="16"/>
        </w:rPr>
        <w:softHyphen/>
        <w:t>ственников передать С-42 на ЛИС завода к 15 сентября. Однако этот шаг Белянского, как оказалось впос</w:t>
      </w:r>
      <w:r w:rsidRPr="00271E51">
        <w:rPr>
          <w:rFonts w:ascii="Times New Roman" w:hAnsi="Times New Roman"/>
          <w:color w:val="000000" w:themeColor="text1"/>
          <w:sz w:val="16"/>
          <w:szCs w:val="16"/>
        </w:rPr>
        <w:softHyphen/>
        <w:t>ледствии, был своего рода страхов</w:t>
      </w:r>
      <w:r w:rsidRPr="00271E51">
        <w:rPr>
          <w:rFonts w:ascii="Times New Roman" w:hAnsi="Times New Roman"/>
          <w:color w:val="000000" w:themeColor="text1"/>
          <w:sz w:val="16"/>
          <w:szCs w:val="16"/>
        </w:rPr>
        <w:softHyphen/>
        <w:t>кой от возможных в будущем упре</w:t>
      </w:r>
      <w:r w:rsidRPr="00271E51">
        <w:rPr>
          <w:rFonts w:ascii="Times New Roman" w:hAnsi="Times New Roman"/>
          <w:color w:val="000000" w:themeColor="text1"/>
          <w:sz w:val="16"/>
          <w:szCs w:val="16"/>
        </w:rPr>
        <w:softHyphen/>
        <w:t>ков в бездействии, так как выполнять этот приказ никто не собирался. Ра</w:t>
      </w:r>
      <w:r w:rsidRPr="00271E51">
        <w:rPr>
          <w:rFonts w:ascii="Times New Roman" w:hAnsi="Times New Roman"/>
          <w:color w:val="000000" w:themeColor="text1"/>
          <w:sz w:val="16"/>
          <w:szCs w:val="16"/>
        </w:rPr>
        <w:softHyphen/>
        <w:t>боты по С-42 шли "ни шатко, ни вал</w:t>
      </w:r>
      <w:r w:rsidRPr="00271E51">
        <w:rPr>
          <w:rFonts w:ascii="Times New Roman" w:hAnsi="Times New Roman"/>
          <w:color w:val="000000" w:themeColor="text1"/>
          <w:sz w:val="16"/>
          <w:szCs w:val="16"/>
        </w:rPr>
        <w:softHyphen/>
        <w:t>ко". Согласно сводке по опытному самолетостроению от 25 сентября С-42 еще находился в состоянии сбор</w:t>
      </w:r>
      <w:r w:rsidRPr="00271E51">
        <w:rPr>
          <w:rFonts w:ascii="Times New Roman" w:hAnsi="Times New Roman"/>
          <w:color w:val="000000" w:themeColor="text1"/>
          <w:sz w:val="16"/>
          <w:szCs w:val="16"/>
        </w:rPr>
        <w:softHyphen/>
        <w:t>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w:t>
      </w:r>
      <w:r w:rsidRPr="00271E51">
        <w:rPr>
          <w:rFonts w:ascii="Times New Roman" w:hAnsi="Times New Roman"/>
          <w:color w:val="000000" w:themeColor="text1"/>
          <w:sz w:val="16"/>
          <w:szCs w:val="16"/>
        </w:rPr>
        <w:softHyphen/>
        <w:t>заводе ст. техника-лейтенанта В. Никулина, "общий объем работы" по С-42 для приведения его в летное состояние оставался всего на "2-3 дня, но завод совершенно не зани</w:t>
      </w:r>
      <w:r w:rsidRPr="00271E51">
        <w:rPr>
          <w:rFonts w:ascii="Times New Roman" w:hAnsi="Times New Roman"/>
          <w:color w:val="000000" w:themeColor="text1"/>
          <w:sz w:val="16"/>
          <w:szCs w:val="16"/>
        </w:rPr>
        <w:softHyphen/>
        <w:t>мается самолетом".</w:t>
      </w:r>
    </w:p>
    <w:p w14:paraId="68DFD1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всему, 18-й авиазавод по согласованию с Ильюшиным был со</w:t>
      </w:r>
      <w:r w:rsidRPr="00271E51">
        <w:rPr>
          <w:rFonts w:ascii="Times New Roman" w:hAnsi="Times New Roman"/>
          <w:color w:val="000000" w:themeColor="text1"/>
          <w:sz w:val="16"/>
          <w:szCs w:val="16"/>
        </w:rPr>
        <w:softHyphen/>
        <w:t>риентирован в первую очередь на постройку самолета Ил-1 АМ-42, а работы по С-42, который в целом был "похож" на "следопыт" 240-го завода, велись по остаточному прин</w:t>
      </w:r>
      <w:r w:rsidRPr="00271E51">
        <w:rPr>
          <w:rFonts w:ascii="Times New Roman" w:hAnsi="Times New Roman"/>
          <w:color w:val="000000" w:themeColor="text1"/>
          <w:sz w:val="16"/>
          <w:szCs w:val="16"/>
        </w:rPr>
        <w:softHyphen/>
        <w:t>ципу. Тем более что договориться было нетрудно, так как начальником СКО был представитель ОКБ на за</w:t>
      </w:r>
      <w:r w:rsidRPr="00271E51">
        <w:rPr>
          <w:rFonts w:ascii="Times New Roman" w:hAnsi="Times New Roman"/>
          <w:color w:val="000000" w:themeColor="text1"/>
          <w:sz w:val="16"/>
          <w:szCs w:val="16"/>
        </w:rPr>
        <w:softHyphen/>
        <w:t>воде В. Н. Бугайский. Поэтому на С-42 выделялось ровно столько людей, сколько оставалось не задействован</w:t>
      </w:r>
      <w:r w:rsidRPr="00271E51">
        <w:rPr>
          <w:rFonts w:ascii="Times New Roman" w:hAnsi="Times New Roman"/>
          <w:color w:val="000000" w:themeColor="text1"/>
          <w:sz w:val="16"/>
          <w:szCs w:val="16"/>
        </w:rPr>
        <w:softHyphen/>
        <w:t>ными в работах по бронированно</w:t>
      </w:r>
      <w:r w:rsidRPr="00271E51">
        <w:rPr>
          <w:rFonts w:ascii="Times New Roman" w:hAnsi="Times New Roman"/>
          <w:color w:val="000000" w:themeColor="text1"/>
          <w:sz w:val="16"/>
          <w:szCs w:val="16"/>
        </w:rPr>
        <w:softHyphen/>
        <w:t>му истребителю и серийной продук</w:t>
      </w:r>
      <w:r w:rsidRPr="00271E51">
        <w:rPr>
          <w:rFonts w:ascii="Times New Roman" w:hAnsi="Times New Roman"/>
          <w:color w:val="000000" w:themeColor="text1"/>
          <w:sz w:val="16"/>
          <w:szCs w:val="16"/>
        </w:rPr>
        <w:softHyphen/>
        <w:t>ции завода. Очевидно, что свобод</w:t>
      </w:r>
      <w:r w:rsidRPr="00271E51">
        <w:rPr>
          <w:rFonts w:ascii="Times New Roman" w:hAnsi="Times New Roman"/>
          <w:color w:val="000000" w:themeColor="text1"/>
          <w:sz w:val="16"/>
          <w:szCs w:val="16"/>
        </w:rPr>
        <w:softHyphen/>
        <w:t>ных людей не было никогда.</w:t>
      </w:r>
    </w:p>
    <w:p w14:paraId="6D653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основные усилия ОКБ Ильюшина сосредоточились на самолете Ил-2 АМ-42 в варианте разведчика и корректировщика ар</w:t>
      </w:r>
      <w:r w:rsidRPr="00271E51">
        <w:rPr>
          <w:rFonts w:ascii="Times New Roman" w:hAnsi="Times New Roman"/>
          <w:color w:val="000000" w:themeColor="text1"/>
          <w:sz w:val="16"/>
          <w:szCs w:val="16"/>
        </w:rPr>
        <w:softHyphen/>
        <w:t>тиллерийского огня.</w:t>
      </w:r>
    </w:p>
    <w:p w14:paraId="5E7E2E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такое "разделе</w:t>
      </w:r>
      <w:r w:rsidRPr="00271E51">
        <w:rPr>
          <w:rFonts w:ascii="Times New Roman" w:hAnsi="Times New Roman"/>
          <w:color w:val="000000" w:themeColor="text1"/>
          <w:sz w:val="16"/>
          <w:szCs w:val="16"/>
        </w:rPr>
        <w:softHyphen/>
        <w:t>ние труда" было связано с поступив</w:t>
      </w:r>
      <w:r w:rsidRPr="00271E51">
        <w:rPr>
          <w:rFonts w:ascii="Times New Roman" w:hAnsi="Times New Roman"/>
          <w:color w:val="000000" w:themeColor="text1"/>
          <w:sz w:val="16"/>
          <w:szCs w:val="16"/>
        </w:rPr>
        <w:softHyphen/>
        <w:t>шими в НКАП сведениями об успеш</w:t>
      </w:r>
      <w:r w:rsidRPr="00271E51">
        <w:rPr>
          <w:rFonts w:ascii="Times New Roman" w:hAnsi="Times New Roman"/>
          <w:color w:val="000000" w:themeColor="text1"/>
          <w:sz w:val="16"/>
          <w:szCs w:val="16"/>
        </w:rPr>
        <w:softHyphen/>
        <w:t>ном прохождении двухместным штур</w:t>
      </w:r>
      <w:r w:rsidRPr="00271E51">
        <w:rPr>
          <w:rFonts w:ascii="Times New Roman" w:hAnsi="Times New Roman"/>
          <w:color w:val="000000" w:themeColor="text1"/>
          <w:sz w:val="16"/>
          <w:szCs w:val="16"/>
        </w:rPr>
        <w:softHyphen/>
        <w:t>мовиком Су-6 М-71ф государствен</w:t>
      </w:r>
      <w:r w:rsidRPr="00271E51">
        <w:rPr>
          <w:rFonts w:ascii="Times New Roman" w:hAnsi="Times New Roman"/>
          <w:color w:val="000000" w:themeColor="text1"/>
          <w:sz w:val="16"/>
          <w:szCs w:val="16"/>
        </w:rPr>
        <w:softHyphen/>
        <w:t>ных летных испытаний. По определя</w:t>
      </w:r>
      <w:r w:rsidRPr="00271E51">
        <w:rPr>
          <w:rFonts w:ascii="Times New Roman" w:hAnsi="Times New Roman"/>
          <w:color w:val="000000" w:themeColor="text1"/>
          <w:sz w:val="16"/>
          <w:szCs w:val="16"/>
        </w:rPr>
        <w:softHyphen/>
        <w:t>ющим летно-боевым качествам (ско</w:t>
      </w:r>
      <w:r w:rsidRPr="00271E51">
        <w:rPr>
          <w:rFonts w:ascii="Times New Roman" w:hAnsi="Times New Roman"/>
          <w:color w:val="000000" w:themeColor="text1"/>
          <w:sz w:val="16"/>
          <w:szCs w:val="16"/>
        </w:rPr>
        <w:softHyphen/>
        <w:t>рость, маневренность, вооружение, боевая живучесть и т.д.) "сухой" зна</w:t>
      </w:r>
      <w:r w:rsidRPr="00271E51">
        <w:rPr>
          <w:rFonts w:ascii="Times New Roman" w:hAnsi="Times New Roman"/>
          <w:color w:val="000000" w:themeColor="text1"/>
          <w:sz w:val="16"/>
          <w:szCs w:val="16"/>
        </w:rPr>
        <w:softHyphen/>
        <w:t>чительно превзошел как серийный Ил-2, так и все его варианты с мото</w:t>
      </w:r>
      <w:r w:rsidRPr="00271E51">
        <w:rPr>
          <w:rFonts w:ascii="Times New Roman" w:hAnsi="Times New Roman"/>
          <w:color w:val="000000" w:themeColor="text1"/>
          <w:sz w:val="16"/>
          <w:szCs w:val="16"/>
        </w:rPr>
        <w:softHyphen/>
        <w:t>ром АМ-42. Это была реальная и се</w:t>
      </w:r>
      <w:r w:rsidRPr="00271E51">
        <w:rPr>
          <w:rFonts w:ascii="Times New Roman" w:hAnsi="Times New Roman"/>
          <w:color w:val="000000" w:themeColor="text1"/>
          <w:sz w:val="16"/>
          <w:szCs w:val="16"/>
        </w:rPr>
        <w:softHyphen/>
        <w:t>рьезная угроза монополии брониро</w:t>
      </w:r>
      <w:r w:rsidRPr="00271E51">
        <w:rPr>
          <w:rFonts w:ascii="Times New Roman" w:hAnsi="Times New Roman"/>
          <w:color w:val="000000" w:themeColor="text1"/>
          <w:sz w:val="16"/>
          <w:szCs w:val="16"/>
        </w:rPr>
        <w:softHyphen/>
        <w:t>ванных самолетов семейства "Ил" на авиазаводах и в войсках.</w:t>
      </w:r>
    </w:p>
    <w:p w14:paraId="29C22D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никаких специаль</w:t>
      </w:r>
      <w:r w:rsidRPr="00271E51">
        <w:rPr>
          <w:rFonts w:ascii="Times New Roman" w:hAnsi="Times New Roman"/>
          <w:color w:val="000000" w:themeColor="text1"/>
          <w:sz w:val="16"/>
          <w:szCs w:val="16"/>
        </w:rPr>
        <w:softHyphen/>
        <w:t>ных обозначений для разведчика и корректировщика артогня Ил-2 АМ-42, равно как и для самолета Ил-2М, после его прибытия в Москву, в документах не употреблялось. В пе</w:t>
      </w:r>
      <w:r w:rsidRPr="00271E51">
        <w:rPr>
          <w:rFonts w:ascii="Times New Roman" w:hAnsi="Times New Roman"/>
          <w:color w:val="000000" w:themeColor="text1"/>
          <w:sz w:val="16"/>
          <w:szCs w:val="16"/>
        </w:rPr>
        <w:softHyphen/>
        <w:t>реписке использовалось только одно наименование Ил-2 АМ-42 с добав</w:t>
      </w:r>
      <w:r w:rsidRPr="00271E51">
        <w:rPr>
          <w:rFonts w:ascii="Times New Roman" w:hAnsi="Times New Roman"/>
          <w:color w:val="000000" w:themeColor="text1"/>
          <w:sz w:val="16"/>
          <w:szCs w:val="16"/>
        </w:rPr>
        <w:softHyphen/>
        <w:t>лением разведчик и корректировщик артиллерийского огня (для самолета завода № 240) или штурмовик-бом</w:t>
      </w:r>
      <w:r w:rsidRPr="00271E51">
        <w:rPr>
          <w:rFonts w:ascii="Times New Roman" w:hAnsi="Times New Roman"/>
          <w:color w:val="000000" w:themeColor="text1"/>
          <w:sz w:val="16"/>
          <w:szCs w:val="16"/>
        </w:rPr>
        <w:softHyphen/>
        <w:t>бардировщик (для самолета завода № 18). Иногда указывался номер завода изготовителя без упоминания тактического назначения самолета (11427).</w:t>
      </w:r>
    </w:p>
    <w:p w14:paraId="194C6A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A41E7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Штаб Западного фронта ПВО доложил Командую</w:t>
      </w:r>
      <w:r w:rsidRPr="00271E51">
        <w:rPr>
          <w:rFonts w:ascii="Times New Roman" w:hAnsi="Times New Roman"/>
          <w:color w:val="000000" w:themeColor="text1"/>
          <w:sz w:val="16"/>
          <w:szCs w:val="16"/>
        </w:rPr>
        <w:softHyphen/>
        <w:t>щему артиллерией маршалу Н.Н. Воронову и Наркому А.И. Шахурину:</w:t>
      </w:r>
    </w:p>
    <w:p w14:paraId="6A31DC53"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с 08 часов 40 минут до 10 часов 10 минут противник произвёл раз</w:t>
      </w:r>
      <w:r w:rsidRPr="00271E51">
        <w:rPr>
          <w:rFonts w:ascii="Times New Roman" w:hAnsi="Times New Roman"/>
          <w:color w:val="000000" w:themeColor="text1"/>
          <w:sz w:val="16"/>
          <w:szCs w:val="16"/>
        </w:rPr>
        <w:softHyphen/>
        <w:t>ведку г. Москва и окрестностей одним высотным разведчиком типа Ю-86Р1 на высоте 12000-13000 м. Самолёт противника был обнаружен в 7 час 42 мин в районе Издеш- ково и, пройдя по маршруту: Вязьма — Кубинка — Звенигород — Чкаловская — Москва - Гжатск, вышел из системы ВНОС в районе Издешково (40 км западнее Вязьмы).</w:t>
      </w:r>
    </w:p>
    <w:p w14:paraId="15DE4A3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зоне огня и в районе г. Москва противник находился 1 час 30 минут (с 8 часов 40 минут до 10 часов 10 минут) и трижды прошёл над центром города.</w:t>
      </w:r>
    </w:p>
    <w:p w14:paraId="0BD2400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Для перехвата противника разновременно было поднято 15 истребителей с аэродромов: ЦА, Кубинка, Люберцы, Инютино, Внуково, из них три Як-9 (с М-105ПД), по два «Спитфайр» (невысотные </w:t>
      </w:r>
      <w:r w:rsidRPr="00271E51">
        <w:rPr>
          <w:rFonts w:ascii="Times New Roman" w:hAnsi="Times New Roman"/>
          <w:color w:val="000000" w:themeColor="text1"/>
          <w:sz w:val="16"/>
          <w:szCs w:val="16"/>
          <w:lang w:val="en-US"/>
        </w:rPr>
        <w:t>SpitfireVB</w:t>
      </w:r>
      <w:r w:rsidRPr="00271E51">
        <w:rPr>
          <w:rFonts w:ascii="Times New Roman" w:hAnsi="Times New Roman"/>
          <w:color w:val="000000" w:themeColor="text1"/>
          <w:sz w:val="16"/>
          <w:szCs w:val="16"/>
        </w:rPr>
        <w:t>), «Аэрокобра» и МиГ-3, а также шесть Як-1.</w:t>
      </w:r>
    </w:p>
    <w:p w14:paraId="1BEF25C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поднятых истребителей только один — «Спитфайр», пилотируемый ст. лейт. 16-го ИАП Семёновым, поднялся на 11500 м и вёл огонь по противнику с кабрирования, находясь ниже противника на 500 м и сзади на 200 м. Лётчик Семёнов израсходовал 30 снарядов и 450 пуль патронов, после чего пушка и пулемёты отказали из-за обледе</w:t>
      </w:r>
      <w:r w:rsidRPr="00271E51">
        <w:rPr>
          <w:rFonts w:ascii="Times New Roman" w:hAnsi="Times New Roman"/>
          <w:color w:val="000000" w:themeColor="text1"/>
          <w:sz w:val="16"/>
          <w:szCs w:val="16"/>
        </w:rPr>
        <w:softHyphen/>
        <w:t>нения. Противник вёл ответный огонь с правого борта и снизу трассирующими пулями.</w:t>
      </w:r>
    </w:p>
    <w:p w14:paraId="4089504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Москвы и на обратном пути до Можайска противника преследовали лётчи</w:t>
      </w:r>
      <w:r w:rsidRPr="00271E51">
        <w:rPr>
          <w:rFonts w:ascii="Times New Roman" w:hAnsi="Times New Roman"/>
          <w:color w:val="000000" w:themeColor="text1"/>
          <w:sz w:val="16"/>
          <w:szCs w:val="16"/>
        </w:rPr>
        <w:softHyphen/>
        <w:t>ки:</w:t>
      </w:r>
    </w:p>
    <w:p w14:paraId="6EDABAB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12-го ГИАП — мл. лейт. Наливайко (Як-9), набравший только 11100 м,</w:t>
      </w:r>
    </w:p>
    <w:p w14:paraId="583909E4"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562-го ИАП - Полканов и Буцлов (Як-1), набравшие 9500 м,</w:t>
      </w:r>
    </w:p>
    <w:p w14:paraId="1F3D57C2"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28-го ИАП — Абрамов и Евдокимов («Аэрокобра»), набравшие 9000 м,</w:t>
      </w:r>
    </w:p>
    <w:p w14:paraId="0F5C5E7C"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565-го ИАП — Крупенин и Климов (МиГ-3), набрав</w:t>
      </w:r>
      <w:r w:rsidRPr="00271E51">
        <w:rPr>
          <w:rFonts w:ascii="Times New Roman" w:hAnsi="Times New Roman"/>
          <w:color w:val="000000" w:themeColor="text1"/>
          <w:sz w:val="16"/>
          <w:szCs w:val="16"/>
        </w:rPr>
        <w:softHyphen/>
        <w:t>шие 10800 м.</w:t>
      </w:r>
    </w:p>
    <w:p w14:paraId="65A16694"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лётчики, из-за большой разности высот, боя не вели. Зенитная ар</w:t>
      </w:r>
      <w:r w:rsidRPr="00271E51">
        <w:rPr>
          <w:rFonts w:ascii="Times New Roman" w:hAnsi="Times New Roman"/>
          <w:color w:val="000000" w:themeColor="text1"/>
          <w:sz w:val="16"/>
          <w:szCs w:val="16"/>
        </w:rPr>
        <w:softHyphen/>
        <w:t>тиллерия огня по противнику не вела, ввиду недосягаемости высоты.</w:t>
      </w:r>
    </w:p>
    <w:p w14:paraId="7BE92A0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eastAsia="Arial Unicode MS" w:hAnsi="Times New Roman"/>
          <w:color w:val="000000" w:themeColor="text1"/>
          <w:sz w:val="16"/>
          <w:szCs w:val="16"/>
        </w:rPr>
        <w:t>Выводы</w:t>
      </w:r>
      <w:r w:rsidRPr="00271E51">
        <w:rPr>
          <w:rFonts w:ascii="Times New Roman" w:hAnsi="Times New Roman"/>
          <w:color w:val="000000" w:themeColor="text1"/>
          <w:sz w:val="16"/>
          <w:szCs w:val="16"/>
        </w:rPr>
        <w:t>:</w:t>
      </w:r>
    </w:p>
    <w:p w14:paraId="3AFF69AD" w14:textId="77777777" w:rsidR="009C7F1C" w:rsidRPr="00271E51" w:rsidRDefault="009C7F1C" w:rsidP="00271E51">
      <w:pPr>
        <w:tabs>
          <w:tab w:val="left" w:pos="42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Противник в шестой раз с июля 1942 года произвёл разведку г. Москва высотным разведчиком Ю-86Р1 безнаказанно, пройдя трижды над центром города. На самолё</w:t>
      </w:r>
      <w:r w:rsidRPr="00271E51">
        <w:rPr>
          <w:rFonts w:ascii="Times New Roman" w:hAnsi="Times New Roman"/>
          <w:color w:val="000000" w:themeColor="text1"/>
          <w:sz w:val="16"/>
          <w:szCs w:val="16"/>
        </w:rPr>
        <w:softHyphen/>
        <w:t>те выявлены две огневых точки (снизу и с правого борта).</w:t>
      </w:r>
    </w:p>
    <w:p w14:paraId="7385DECC" w14:textId="77777777" w:rsidR="009C7F1C" w:rsidRPr="00271E51" w:rsidRDefault="009C7F1C" w:rsidP="00271E51">
      <w:pPr>
        <w:tabs>
          <w:tab w:val="left" w:pos="4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Имеющиеся в особой Московской армии ПВО истребители не могли набрать не</w:t>
      </w:r>
      <w:r w:rsidRPr="00271E51">
        <w:rPr>
          <w:rFonts w:ascii="Times New Roman" w:hAnsi="Times New Roman"/>
          <w:color w:val="000000" w:themeColor="text1"/>
          <w:sz w:val="16"/>
          <w:szCs w:val="16"/>
        </w:rPr>
        <w:softHyphen/>
        <w:t>обходимой для боя высоты. Вооружение истребителей оказалось неподготовленным для ведения огня на больших высотах при низкой температуре.</w:t>
      </w:r>
    </w:p>
    <w:p w14:paraId="71C126DA" w14:textId="77777777" w:rsidR="009C7F1C" w:rsidRPr="00271E51" w:rsidRDefault="009C7F1C" w:rsidP="00271E51">
      <w:pPr>
        <w:tabs>
          <w:tab w:val="left" w:pos="4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исключена возможность сбрасывания противником в будущем при подобных безнаказанных полётах над г. Москва мелких бомб.</w:t>
      </w:r>
    </w:p>
    <w:p w14:paraId="19FC650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противник уже более года ведёт безнаказанную разведку г. Мос</w:t>
      </w:r>
      <w:r w:rsidRPr="00271E51">
        <w:rPr>
          <w:rFonts w:ascii="Times New Roman" w:hAnsi="Times New Roman"/>
          <w:color w:val="000000" w:themeColor="text1"/>
          <w:sz w:val="16"/>
          <w:szCs w:val="16"/>
        </w:rPr>
        <w:softHyphen/>
        <w:t>ква на большой высоте, вопрос о высотных истребителях для ПВО столицы до сих пор практически не решен. Прошу Вас ходатайствовать перед Государственным Комитетом Обороны о спешном вооружении Особой Московской армии ПВО высотными истреби</w:t>
      </w:r>
      <w:r w:rsidRPr="00271E51">
        <w:rPr>
          <w:rFonts w:ascii="Times New Roman" w:hAnsi="Times New Roman"/>
          <w:color w:val="000000" w:themeColor="text1"/>
          <w:sz w:val="16"/>
          <w:szCs w:val="16"/>
        </w:rPr>
        <w:softHyphen/>
        <w:t>телями и кислородным оборудованием.</w:t>
      </w:r>
    </w:p>
    <w:p w14:paraId="02BC32F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докладываю, что постановлением ГКО N9 2946 1943 года на промыш</w:t>
      </w:r>
      <w:r w:rsidRPr="00271E51">
        <w:rPr>
          <w:rFonts w:ascii="Times New Roman" w:hAnsi="Times New Roman"/>
          <w:color w:val="000000" w:themeColor="text1"/>
          <w:sz w:val="16"/>
          <w:szCs w:val="16"/>
        </w:rPr>
        <w:softHyphen/>
        <w:t>ленность была возложена задача — обеспечить высотными авиамоторами истреби</w:t>
      </w:r>
      <w:r w:rsidRPr="00271E51">
        <w:rPr>
          <w:rFonts w:ascii="Times New Roman" w:hAnsi="Times New Roman"/>
          <w:color w:val="000000" w:themeColor="text1"/>
          <w:sz w:val="16"/>
          <w:szCs w:val="16"/>
        </w:rPr>
        <w:softHyphen/>
        <w:t>тельную авиацию г. Москва. До сего времени это постановление не выполнено».</w:t>
      </w:r>
    </w:p>
    <w:p w14:paraId="08FC8993"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очереди пилота «Спитфайра» всего лишь напугали немецкий развед</w:t>
      </w:r>
      <w:r w:rsidRPr="00271E51">
        <w:rPr>
          <w:rFonts w:ascii="Times New Roman" w:hAnsi="Times New Roman"/>
          <w:color w:val="000000" w:themeColor="text1"/>
          <w:sz w:val="16"/>
          <w:szCs w:val="16"/>
        </w:rPr>
        <w:softHyphen/>
        <w:t>чик, но не более. Самое любопытное, что именно в эти дни, в конце августа 1943 г., когда перехватчики боевую задачу выполнить не смогли, Центральный аэродром им. М.В Фрунзе получил свою единственную боевую награду — орден Красного Знамени (15830).</w:t>
      </w:r>
    </w:p>
    <w:p w14:paraId="5B367D55"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54730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в НКВМФ был рассмотрен эскизный проект авиационного трала ПС-84-Т, разработанный на заводе 89 А.П.Голубковым. Представили в НКАП и утвердил А.С.Я. (3404, 14).</w:t>
      </w:r>
    </w:p>
    <w:p w14:paraId="5BFF1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CF758"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349DE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43EC5"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С 23 августа по 1 сентября 1943 года последним испытывался на гарантийный километраж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 заводским № 3081 авгу</w:t>
      </w:r>
      <w:r w:rsidRPr="00271E51">
        <w:rPr>
          <w:rFonts w:ascii="Times New Roman" w:cs="Times New Roman"/>
          <w:color w:val="000000" w:themeColor="text1"/>
          <w:spacing w:val="0"/>
        </w:rPr>
        <w:softHyphen/>
        <w:t>стовского выпуска. Машина совершала про</w:t>
      </w:r>
      <w:r w:rsidRPr="00271E51">
        <w:rPr>
          <w:rFonts w:ascii="Times New Roman" w:cs="Times New Roman"/>
          <w:color w:val="000000" w:themeColor="text1"/>
          <w:spacing w:val="0"/>
        </w:rPr>
        <w:softHyphen/>
        <w:t>беги на полигоне в Кубинке. К этому времени га</w:t>
      </w:r>
      <w:r w:rsidRPr="00271E51">
        <w:rPr>
          <w:rFonts w:ascii="Times New Roman" w:cs="Times New Roman"/>
          <w:color w:val="000000" w:themeColor="text1"/>
          <w:spacing w:val="0"/>
        </w:rPr>
        <w:softHyphen/>
        <w:t>рантийный километраж для тяжелых танков снизили до 1000 км, но все равно эта маши</w:t>
      </w:r>
      <w:r w:rsidRPr="00271E51">
        <w:rPr>
          <w:rFonts w:ascii="Times New Roman" w:cs="Times New Roman"/>
          <w:color w:val="000000" w:themeColor="text1"/>
          <w:spacing w:val="0"/>
        </w:rPr>
        <w:softHyphen/>
        <w:t>на испытаний не выдержала из-за поломки коробки перемены передач на 913 километре пробега. В заключении комиссии отмечалось следующее:</w:t>
      </w:r>
    </w:p>
    <w:p w14:paraId="4648F31E"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«Двигатель, главный фрикцион, бортовые передачи, а также узлы и детали подвески хо</w:t>
      </w:r>
      <w:r w:rsidRPr="00271E51">
        <w:rPr>
          <w:rFonts w:ascii="Times New Roman" w:cs="Times New Roman"/>
          <w:color w:val="000000" w:themeColor="text1"/>
          <w:spacing w:val="0"/>
        </w:rPr>
        <w:softHyphen/>
        <w:t>довой части поломок не имели, и после про</w:t>
      </w:r>
      <w:r w:rsidRPr="00271E51">
        <w:rPr>
          <w:rFonts w:ascii="Times New Roman" w:cs="Times New Roman"/>
          <w:color w:val="000000" w:themeColor="text1"/>
          <w:spacing w:val="0"/>
        </w:rPr>
        <w:softHyphen/>
        <w:t>бега танка в 913 км пригодны к дальнейшей эксплуатации».</w:t>
      </w:r>
    </w:p>
    <w:p w14:paraId="77A3A0C9"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ходе испытаний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прошел 76 км по шоссе и 837 км по проселочным дорогам и целине, двигатель проработал 62 часа 30 ми</w:t>
      </w:r>
      <w:r w:rsidRPr="00271E51">
        <w:rPr>
          <w:rFonts w:ascii="Times New Roman" w:cs="Times New Roman"/>
          <w:color w:val="000000" w:themeColor="text1"/>
          <w:spacing w:val="0"/>
        </w:rPr>
        <w:softHyphen/>
        <w:t>нут. Отмечалась надежная работа гусеницы, в каждой из которых в ходе пробегов было выброшено по два трака. Танк показал сред</w:t>
      </w:r>
      <w:r w:rsidRPr="00271E51">
        <w:rPr>
          <w:rFonts w:ascii="Times New Roman" w:cs="Times New Roman"/>
          <w:color w:val="000000" w:themeColor="text1"/>
          <w:spacing w:val="0"/>
        </w:rPr>
        <w:softHyphen/>
        <w:t>нюю скорость чистого движения по просе</w:t>
      </w:r>
      <w:r w:rsidRPr="00271E51">
        <w:rPr>
          <w:rFonts w:ascii="Times New Roman" w:cs="Times New Roman"/>
          <w:color w:val="000000" w:themeColor="text1"/>
          <w:spacing w:val="0"/>
        </w:rPr>
        <w:softHyphen/>
        <w:t>лочной дороге в 15,2, а по шоссе - в 27 км/ч. Максимальная скорость по асфальтовому шоссе составила 48 км/ч. Расход горючего на 100 км составил 280 л при движении по шоссе и 409 л по проселочной дороге.</w:t>
      </w:r>
    </w:p>
    <w:p w14:paraId="5B5C2585"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ходе стрельб было израсходовано 50 вы</w:t>
      </w:r>
      <w:r w:rsidRPr="00271E51">
        <w:rPr>
          <w:rFonts w:ascii="Times New Roman" w:cs="Times New Roman"/>
          <w:color w:val="000000" w:themeColor="text1"/>
          <w:spacing w:val="0"/>
        </w:rPr>
        <w:softHyphen/>
        <w:t>стрелов из пушки, при этом прицельная ско</w:t>
      </w:r>
      <w:r w:rsidRPr="00271E51">
        <w:rPr>
          <w:rFonts w:ascii="Times New Roman" w:cs="Times New Roman"/>
          <w:color w:val="000000" w:themeColor="text1"/>
          <w:spacing w:val="0"/>
        </w:rPr>
        <w:softHyphen/>
        <w:t>рострельность с места составила 7—8, а с хода 4-5 выстрелов в минуту (практическая).</w:t>
      </w:r>
    </w:p>
    <w:p w14:paraId="79184BBC"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совершил 136-километровый про</w:t>
      </w:r>
      <w:r w:rsidRPr="00271E51">
        <w:rPr>
          <w:rFonts w:ascii="Times New Roman" w:cs="Times New Roman"/>
          <w:color w:val="000000" w:themeColor="text1"/>
          <w:spacing w:val="0"/>
        </w:rPr>
        <w:softHyphen/>
        <w:t>бег на полную заправку по грязной разбитой проселочной дороге с глубокими выбоина</w:t>
      </w:r>
      <w:r w:rsidRPr="00271E51">
        <w:rPr>
          <w:rFonts w:ascii="Times New Roman" w:cs="Times New Roman"/>
          <w:color w:val="000000" w:themeColor="text1"/>
          <w:spacing w:val="0"/>
        </w:rPr>
        <w:softHyphen/>
        <w:t>ми, крутыми поворотами, подъемами и спу</w:t>
      </w:r>
      <w:r w:rsidRPr="00271E51">
        <w:rPr>
          <w:rFonts w:ascii="Times New Roman" w:cs="Times New Roman"/>
          <w:color w:val="000000" w:themeColor="text1"/>
          <w:spacing w:val="0"/>
        </w:rPr>
        <w:softHyphen/>
        <w:t>сками до 5 градусов.</w:t>
      </w:r>
    </w:p>
    <w:p w14:paraId="341E6522"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 приведенных данных видно, что тан</w:t>
      </w:r>
      <w:r w:rsidRPr="00271E51">
        <w:rPr>
          <w:rFonts w:ascii="Times New Roman" w:cs="Times New Roman"/>
          <w:color w:val="000000" w:themeColor="text1"/>
          <w:spacing w:val="0"/>
        </w:rPr>
        <w:softHyphen/>
        <w:t>ки КВ-1С обеспечивали более-менее надеж</w:t>
      </w:r>
      <w:r w:rsidRPr="00271E51">
        <w:rPr>
          <w:rFonts w:ascii="Times New Roman" w:cs="Times New Roman"/>
          <w:color w:val="000000" w:themeColor="text1"/>
          <w:spacing w:val="0"/>
        </w:rPr>
        <w:softHyphen/>
        <w:t>ную работу по узлам и агрегатам в пределах 1000 километров. По остальным характери</w:t>
      </w:r>
      <w:r w:rsidRPr="00271E51">
        <w:rPr>
          <w:rFonts w:ascii="Times New Roman" w:cs="Times New Roman"/>
          <w:color w:val="000000" w:themeColor="text1"/>
          <w:spacing w:val="0"/>
        </w:rPr>
        <w:softHyphen/>
        <w:t xml:space="preserve">стикам (средние скорости чистого движения, расход горючего, скорострельность) все три машины были примерно одинаковыми. Если сравнивать надежность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 xml:space="preserve">-1С с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 то тут безусловное и явное преимущество у «ско</w:t>
      </w:r>
      <w:r w:rsidRPr="00271E51">
        <w:rPr>
          <w:rFonts w:ascii="Times New Roman" w:cs="Times New Roman"/>
          <w:color w:val="000000" w:themeColor="text1"/>
          <w:spacing w:val="0"/>
        </w:rPr>
        <w:softHyphen/>
        <w:t>ростной» машины - обычная «единичка» вы</w:t>
      </w:r>
      <w:r w:rsidRPr="00271E51">
        <w:rPr>
          <w:rFonts w:ascii="Times New Roman" w:cs="Times New Roman"/>
          <w:color w:val="000000" w:themeColor="text1"/>
          <w:spacing w:val="0"/>
        </w:rPr>
        <w:softHyphen/>
        <w:t>пуска военного времени гарантировать на</w:t>
      </w:r>
      <w:r w:rsidRPr="00271E51">
        <w:rPr>
          <w:rFonts w:ascii="Times New Roman" w:cs="Times New Roman"/>
          <w:color w:val="000000" w:themeColor="text1"/>
          <w:spacing w:val="0"/>
        </w:rPr>
        <w:softHyphen/>
        <w:t>дежность работы в 1000 километров вряд ли могла (15226).</w:t>
      </w:r>
    </w:p>
    <w:p w14:paraId="0D1A8A51"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p>
    <w:p w14:paraId="4E390B69" w14:textId="77777777" w:rsidR="009C7F1C" w:rsidRPr="00271E51" w:rsidRDefault="009C7F1C"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года предъявленная на государственные испытания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7D7787A5" w14:textId="77777777" w:rsidR="009C7F1C" w:rsidRPr="00271E51" w:rsidRDefault="009C7F1C" w:rsidP="00271E51">
      <w:pPr>
        <w:widowControl w:val="0"/>
        <w:spacing w:after="0" w:line="240" w:lineRule="auto"/>
        <w:jc w:val="both"/>
        <w:rPr>
          <w:rFonts w:ascii="Times New Roman" w:hAnsi="Times New Roman"/>
          <w:color w:val="000000" w:themeColor="text1"/>
          <w:sz w:val="16"/>
          <w:szCs w:val="16"/>
        </w:rPr>
      </w:pPr>
    </w:p>
    <w:p w14:paraId="6D9BB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г. была предъявленна на государственные испы</w:t>
      </w:r>
      <w:r w:rsidRPr="00271E51">
        <w:rPr>
          <w:rFonts w:ascii="Times New Roman" w:hAnsi="Times New Roman"/>
          <w:color w:val="000000" w:themeColor="text1"/>
          <w:sz w:val="16"/>
          <w:szCs w:val="16"/>
        </w:rPr>
        <w:softHyphen/>
        <w:t>тания СУ-15М, которая была принята на вооруже</w:t>
      </w:r>
      <w:r w:rsidRPr="00271E51">
        <w:rPr>
          <w:rFonts w:ascii="Times New Roman" w:hAnsi="Times New Roman"/>
          <w:color w:val="000000" w:themeColor="text1"/>
          <w:sz w:val="16"/>
          <w:szCs w:val="16"/>
        </w:rPr>
        <w:softHyphen/>
        <w:t>ние взамен СУ-12М под индексом СУ-76 (без буквы «М»). Таким образом, после СУ-76М (СУ-12М) в войска вновь пошла самоходная пушка СУ-76, взаимозаменяе</w:t>
      </w:r>
      <w:r w:rsidRPr="00271E51">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08C4F2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8C408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вышло Распоряжение ГКО № 3968 [Об оставлении электросети Семипалатинска в ведении НКхоза Казахской ССР.] (7134, 159).</w:t>
      </w:r>
    </w:p>
    <w:p w14:paraId="4D93749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EDD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вышло Постановление ГКО № 3969 О строительстве Гороховецкого артиллерийского научно-исследовательского опытного полигона ГАУ КА.РГАНИР, Фонд ГКО, д. 146, лл. 160-162, 163-166 (11012).</w:t>
      </w:r>
    </w:p>
    <w:p w14:paraId="3B580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3C52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35E9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0C474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в 1943 году оперативная сводка Совинформбюро:</w:t>
      </w:r>
    </w:p>
    <w:p w14:paraId="7816640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наши войска в результате ожесточённых боёв сломили сопротивление противника и штурмом овладели городом Харьков.</w:t>
      </w:r>
    </w:p>
    <w:p w14:paraId="0E082B1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освобождение города Харькова особо отличились: 252 стрелковая дивизия генерал-майора Анисимова, 84 стрелковая дивизия полковника Буняшина, 299 стрелковая дивизия генерал-майора Травникова, 28 гвардейская стрелковая дивизия генерал-майора Чурмаева, 116 стрелковая дивизия генерал-майора Макарова, 89 гвардейская Белгородская стрелковая дивизия полковника Серюгина, 375 стрелковая дивизия полковника Говоруненко, 15 гвардейская стрелковая дивизия генерал-майора Василенко, 183 стрелковая дивизия полковника Василевского и 93 гвардейская стрелковая дивизия генерал-майора Тихомирова.</w:t>
      </w:r>
    </w:p>
    <w:p w14:paraId="6A6A2DB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южнее Изюма и юго-западнее Ворошиловграда, наши войска продолжали вести успешные бои с противником. Юго-западнее Ворошиловграда наши войска за время трёхдневных боёв продвинулись вперёд на 30—35 километров и заняли свыше 30 населённых пунктов, в том числе город и железнодорожную станцию Донецко-Амвросиевка.</w:t>
      </w:r>
    </w:p>
    <w:p w14:paraId="06693C0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августа нашими войсками на всех фронтах подбито и уничтожено 85 немецких танков. В воздушных боях и огнём зенитной артиллерии сбито 134 самолёта противника.</w:t>
      </w:r>
    </w:p>
    <w:p w14:paraId="0E2F700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наши войска в результате ожесточённых боёв сломили сопротивление противника и штурмом овладели городом Харьков. Советские дивизии ворвались в Харьков с запада, с севера и востока. Завязались ожесточённые уличные бои. Наши штурмовые отряды выбивали немцев из укреплённых домов и оборонительных сооружений. Сегодня днём советские войска разгромили немецкий гарнизон, оборонявший Харьков, и полностью овладели городом. Противник понёс огромные потери и отступает под ударами наших войск. Захвачено много трофеев.</w:t>
      </w:r>
    </w:p>
    <w:p w14:paraId="4CEA17A2"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Западнее Харькова наши войска продолжали вести бои с крупными силами немецкой пехоты и танков. Советские бойцы отбили все контратаки противника и истребили до 2.000 вражеских солдат и офицеров, подбили и сожгли не менее 40 немецких танков. На другом участке бойцы Н-ского соединения, преодолевая </w:t>
      </w:r>
      <w:r w:rsidRPr="00271E51">
        <w:rPr>
          <w:rFonts w:ascii="Times New Roman" w:hAnsi="Times New Roman"/>
          <w:color w:val="000000" w:themeColor="text1"/>
          <w:sz w:val="16"/>
          <w:szCs w:val="16"/>
        </w:rPr>
        <w:lastRenderedPageBreak/>
        <w:t>сопротивление противника, продвинулись вперёд и заняли 15 населённых пунктов. В боях за эти пункты уничтожено не менее двух батальонов немецкой пехоты. Захвачены у противника 25 орудий, 32 миномёта, 162 пулемёта и другие трофеи.</w:t>
      </w:r>
    </w:p>
    <w:p w14:paraId="4B99803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18 самолётов противника. Кроме того, огнём зенитной артиллерии сбито 11 немецких самолётов.</w:t>
      </w:r>
    </w:p>
    <w:p w14:paraId="5AD77F3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продолжали наступление. Противник оказывал ожесточённое сопротивление и неоднократно переходил в контратаки. Наши войска сломили сопротивление немцев, заняли свыше 30 населённых пунктов, в том числе город и железнодорожную станцию Донецко-Амвросиевка. Противник несёт большие потери. Только частями Н-ского соединения уничтожено более 1.500 немецких солдат и офицеров, подбито и сожжено 15 танков противника. Взято более 100 пленных. Наши лётчики в воздушных боях сбили 17 немецких самолётов.</w:t>
      </w:r>
    </w:p>
    <w:p w14:paraId="1838294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войска вели успешные бои, в результате которых захватили позиции, имеющие важное значение. Противник, пытаясь восстановить положение, предпринял восемь контратак, неоднократно переходивших в рукопашные схватки. К исходу дня все контратаки немцев отбиты. В результате боя уничтожено свыше 2.000 гитлеровцев, подбито и сожжено 28 немецких танков и 4 самоходных орудия.</w:t>
      </w:r>
    </w:p>
    <w:p w14:paraId="3D94BA3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войскам и тылам противника. В результате бомбардировки немецких воинских эшелонов на станциях Славянск, Красноград, Лихачеве возникло более 70 очагов пожаров и произошло много взрывов. Наши лётчики уничтожили и повредили несколько десятков танков, взорвали 9 складов боеприпасов, разбили до 200 автомашин с войсками и грузами противника.</w:t>
      </w:r>
    </w:p>
    <w:p w14:paraId="0DB8FB5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Спас-Деменска наши штурмовые отряды вели бои местного значения. На одном участке противник предпринял несколько атак. Советские подразделения отбили вражеские атаки и уничтожили до 600. немецких солдат и офицеров. Захвачены у противника 2 орудия и 58 пулемётов.</w:t>
      </w:r>
    </w:p>
    <w:p w14:paraId="0C8F2242"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в воздушных боях и огнём зенитной артиллерии уничтожено 24 немецких самолёта.</w:t>
      </w:r>
    </w:p>
    <w:p w14:paraId="6A21F5CC"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 партизанского отряда, действующего в одном из районов Каменец-Подольской области, немцы направили крупную карательную экспедицию. В течение нескольких дней советские патриоты отбивали ожесточённые атаки гитлеровцев и уничтожили до 400 солдат и офицеров противника. Несколько партизанских отрядов Черниговской области с 8 по 12 августа пустили под откос 4 немецких воинских эшелона с техникой и боеприпасами.</w:t>
      </w:r>
    </w:p>
    <w:p w14:paraId="33DF7950"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освобождённого от немецких захватчиков села Хвастовичи, Орловскойобласти — А.Новиков, М.Свиридов и М.Новикова рассказывают: «Заняв Хвастовичи в октябре 1941 года, немцы устроили повальные грабежи. Солдаты ходили из дома в дом, забирали хлеб, скот и ценные вещи. После регистрации населения комендатура выдала каждому жителю повязку с номером для ношения на левой руке. Задержанных на улице без унизительной повязки немцы избивали и арестовывали. Немецко-фашистские палачи сгоняли в Хвастовичи женщин, детей, стариков из окрестных деревень и здесь их пытали и казнили. В центре села у молочного завода немцы построили виселицу, на которой в разное время повесили более 150 мирных советских граждан. По приказу немецкого коменданта обер-лейтенанта Гофмана гитлеровцы расстреляли группу женщин в лесу у Фро-ловского большака. Детей этих женщин изверга собрали у салотопки и расстреляли из автоматов. Немецкие работорговцы угнали из села Хвастовичи и ближайших деревень свыше 500 человек на немецкую каторгу. Перед отступлением немцы сожгли все дома, взорвали школу, мельницу, лесозавод, больницу и дом пионеров» (14991).</w:t>
      </w:r>
    </w:p>
    <w:p w14:paraId="1F3DC29D"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1F5FBEA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в 1943 году завершилась Курская битва, одна из решающих битв Второй мировой войны. Курская битва, длившаяся с 5 июля по 23 августа 1943 года, явилась решающей в обеспечении коренного перелома в ходе Великой Отечественной войны. Гитлеровское командование планировало провести крупное наступление летом 1943 года, овладеть стратегической инициативой и повернуть ход войны в свою пользу. Для этого была разработана и в апреле 1943 года утверждена военная операция под кодовым названием «Цитадель». Имея сведения о подготовке немецко-фашистских войск к наступлению, Ставка Верховного Главнокомандования приняла решение временно перейти к обороне на Курском выступе и в ходе оборонительного сражения обескровить ударные группировки врага и этим создать благоприятные условия для перехода советских войск в контрнаступление, а затем в общее стратегическое наступление. Для проведения операции «Цитадель» германское командование сосредоточило 50 дивизий, в том числе 16 танковых и моторизованных. К началу Курской битвы Ставка ВГК создала группировку (Центральный и Воронежский фронты), имевшую более 1,3 миллиона человек, до 20 тысяч орудий и миномётов, более 3300 танков, 2650 самолетов. 5 июля 1943 года немецкие ударные группировки по плану операции «Цитадель» начали наступление на Курск из районов Орла и Белгорода. Со стороны Орла наступала группировка армий «Центр», со стороны Белгорода - оперативная группа «Кемпф» группы армий «Юг». Задача отразить наступление со стороны Орла была возложена на войска Центрального фронта, со стороны Белгорода - Воронежского фронта.</w:t>
      </w:r>
    </w:p>
    <w:p w14:paraId="3720E5CE"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тылу Курского выступа был развернут Степной фронт в составе стрелкового, танковых, моторизованных и кавалерийских корпусов. 12 июля в районе железнодорожной станции Прохоровка в 56 километрах к северу от Белгорода произошло самое крупное встречное танковое сражение второй мировой войны между наступавшей танковой группировкой противника и наносившими контрудар советскими войсками. С обеих сторон в сражении принимали участие до 1200 танков и самоходных установок. Ожесточенное сражение длилось весь день, к вечеру танковые экипажи вместе с пехотой дрались врукопашную. За один день противник потерял около 10 тысяч человек и 400 танков и был вынужден перейти к обороне. В этот же день войска Брянского, Центрального и левого крыла Западного фронтов начали операцию «Кутузов», имевшую цель разгромить орловскую группировку противника. 13 июля войска Западного и Брянского фронтов прорвали оборону фашистских войск на болховском, хотынецком и орловском направлениях и продвинулись на глубину от 8 до 25 километров. 16 июля войска Брянского фронта вышли на рубеж реки Олешня, после чего германское командование начало отвод своих главных сил на исходные позиции.</w:t>
      </w:r>
    </w:p>
    <w:p w14:paraId="041CD5F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18 июля войска правого крыла Центрального фронта полностью ликвидировали клин противника на курском направлении. В этот же день в сражение были введены войска Степного фронта, которые начали преследование отступавшего противника. Развивая наступление, советские сухопутные войска, поддержанные с воздуха ударами воздушных армий, а также авиацией дальнего действия, к 23 августа 1943 года отбросили противника на запад на 140-150 километров, освободили Орел, Белгород и Харьков. Вермахт потерял в Курской битве 30 отборных дивизий, в том числе семь танковых, свыше 500 тысяч солдат и офицеров, 1,5 тысячи танков, более 3,7 тысяч самолетов, три тысячи орудий. Потери советских войск превзошли немецкие - они составили 863 тысяч человек, в том числе 254 тысяч безвозвратные. Под Курском Красная Армия потеряла около шести тысяч танков. После Курской битвы соотношение сил на фронте резко изменилось в пользу Красной Армии, что обеспечило ей благоприятные условия для развертывания общего стратегического наступления. В соответствии с федеральный законом от 13 марта 1995 года «О днях воинской славы (победных днях) России» 23 августа отмечается День воинской славы России - день разгрома советскими войсками в ходе Великой Отечественной войны немецко-фашистских войск в Курской битве (14991).</w:t>
      </w:r>
    </w:p>
    <w:p w14:paraId="61496588"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57C8F57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в 1943 году войска Калининского фронта возобновили наступление на духовщинском направлении (14991).</w:t>
      </w:r>
    </w:p>
    <w:p w14:paraId="537D8EA7"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12D66D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23 августа 1943 штурмовики 11-й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перехватили на переходе морем 9 гер</w:t>
      </w:r>
      <w:r w:rsidRPr="00271E51">
        <w:rPr>
          <w:rFonts w:ascii="Times New Roman" w:hAnsi="Times New Roman"/>
          <w:color w:val="000000" w:themeColor="text1"/>
          <w:sz w:val="16"/>
          <w:szCs w:val="16"/>
        </w:rPr>
        <w:softHyphen/>
        <w:t>манских ТКА. В результате удара, нане</w:t>
      </w:r>
      <w:r w:rsidRPr="00271E51">
        <w:rPr>
          <w:rFonts w:ascii="Times New Roman" w:hAnsi="Times New Roman"/>
          <w:color w:val="000000" w:themeColor="text1"/>
          <w:sz w:val="16"/>
          <w:szCs w:val="16"/>
        </w:rPr>
        <w:softHyphen/>
        <w:t xml:space="preserve">сенного 10 Ил-2 8-го </w:t>
      </w:r>
      <w:r w:rsidRPr="00271E51">
        <w:rPr>
          <w:rFonts w:ascii="Times New Roman" w:hAnsi="Times New Roman"/>
          <w:iCs/>
          <w:color w:val="000000" w:themeColor="text1"/>
          <w:sz w:val="16"/>
          <w:szCs w:val="16"/>
        </w:rPr>
        <w:t>гшап,</w:t>
      </w:r>
      <w:r w:rsidRPr="00271E51">
        <w:rPr>
          <w:rFonts w:ascii="Times New Roman" w:hAnsi="Times New Roman"/>
          <w:color w:val="000000" w:themeColor="text1"/>
          <w:sz w:val="16"/>
          <w:szCs w:val="16"/>
        </w:rPr>
        <w:t xml:space="preserve"> 4 "Киттихауков" 30-го </w:t>
      </w:r>
      <w:r w:rsidRPr="00271E51">
        <w:rPr>
          <w:rFonts w:ascii="Times New Roman" w:hAnsi="Times New Roman"/>
          <w:iCs/>
          <w:color w:val="000000" w:themeColor="text1"/>
          <w:sz w:val="16"/>
          <w:szCs w:val="16"/>
        </w:rPr>
        <w:t>орап,</w:t>
      </w:r>
      <w:r w:rsidRPr="00271E51">
        <w:rPr>
          <w:rFonts w:ascii="Times New Roman" w:hAnsi="Times New Roman"/>
          <w:color w:val="000000" w:themeColor="text1"/>
          <w:sz w:val="16"/>
          <w:szCs w:val="16"/>
        </w:rPr>
        <w:t xml:space="preserve"> 12 "Аэрокобр" и 6 Як-1, в течение 41 минуты (с 5.30 и до 6.11), по докладам экипажей, были потоплены 3 торпедных катера и один сильно по</w:t>
      </w:r>
      <w:r w:rsidRPr="00271E51">
        <w:rPr>
          <w:rFonts w:ascii="Times New Roman" w:hAnsi="Times New Roman"/>
          <w:color w:val="000000" w:themeColor="text1"/>
          <w:sz w:val="16"/>
          <w:szCs w:val="16"/>
        </w:rPr>
        <w:softHyphen/>
        <w:t>врежден. Прямых попаданий авиабомб не наблюдалось - поражение катеров обеспечивалось применением стрелково-пушечного и ракетного оружия. Не</w:t>
      </w:r>
      <w:r w:rsidRPr="00271E51">
        <w:rPr>
          <w:rFonts w:ascii="Times New Roman" w:hAnsi="Times New Roman"/>
          <w:color w:val="000000" w:themeColor="text1"/>
          <w:sz w:val="16"/>
          <w:szCs w:val="16"/>
        </w:rPr>
        <w:softHyphen/>
        <w:t>мецкие источники подтверждают лишь повреждение двух ТКА - S46 и S49, но не 23, а 24 августа в период 4.45-5.00 (6467).</w:t>
      </w:r>
    </w:p>
    <w:p w14:paraId="47429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1201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из штаба Западного фронта ПВО в адрес командующего артиллерией маршала Н.Н. Воронова и наркома А.И. Шахурина за подписью командующего войсками генерал-лейтенанта М.С. Громадина, члена военного совета генерал-майора Орлова и начальника штаба Нагорного поступил доклад, где сообщалось:</w:t>
      </w:r>
    </w:p>
    <w:p w14:paraId="0AD11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августа 1943 г. с 08 часов 40 минут до 10 часов 10 минут противник произвел разведку г. Москва и окрестностей одним высотным разведчиком типа Ю-86Р1 на высоте 12 000-13 000 м.</w:t>
      </w:r>
    </w:p>
    <w:p w14:paraId="12189D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противника был обнаружен в 7 часов 42 минуты в районе Издешко- во и, пройдя по маршруту: Вязьма-Кубинка-Звенигород-Ч кал о вская- Москва-Гжатск, вышел из системы ВНОС в районе Издешково (40 км западнее Вязьмы).</w:t>
      </w:r>
    </w:p>
    <w:p w14:paraId="555B1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зоне огня и в районе г. Москва противник находился 1 час 30 минут (с 8 часов 40 минут до 10 часов 10 минут) и трижды прошел над центром города.</w:t>
      </w:r>
    </w:p>
    <w:p w14:paraId="2245E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перехвата противника разновременно было поднято 15 истребителей с аэродромов: ЦА (Центральный аэродром - прим. авт.), Кубинка, Люберцы, Инютино, Внуково, из них три Як-9, по два "Спитфайер", "Аэрокобра" и МиГ-3, а также шесть Як-1.</w:t>
      </w:r>
    </w:p>
    <w:p w14:paraId="6F0F5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поднятых истребителей только один - "Спитфайер", пилотируемый старшим лейтенантом 16-го иап Семеновым, поднялся на 1I 500 м и вел огонь по противнику с кабрирования, находясь ниже противника на 500 м и сзади на 200 м. Летчик Семенов израсходовал 30 снарядов и 450 пуль патронов, после чего пушка и пулеметы отказали из-за обледенения. Противник вел ответный огонь с правого борта и снизу трассирующими пулями.</w:t>
      </w:r>
    </w:p>
    <w:p w14:paraId="3A5FC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Москвы и на обратном пути до Можайска противника преследовали летчики: 12-го гвардейского иап - младший лейтенант Наливайко (Як-9), набравший только II 100 м, 562-го иап - Полканов и Буцлов (Як-1), набравшие 9500 м, 28-го иап - Абрамов и Евдокимов ("Аэрокобра"), набравшие 9000 м, 565-го иап - Крупенин и Климов (МиГ-3), набравшие 10 800 м. Все летчики, из-за большой разности высот, боя не вели. Зенитная артиллерия огня по противнику не вела, ввиду недосягаемости высоты.</w:t>
      </w:r>
    </w:p>
    <w:p w14:paraId="068C8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583650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Противник в шестой раз с июля 1942 года произвел разведку г. Москва высотным разведчиком Ю-86Р1 безнаказанно, пройдя трижды над центром города. На самолете выявлены две огневых точки (снизу и с правого борта).</w:t>
      </w:r>
    </w:p>
    <w:p w14:paraId="36B932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Имеющиеся в особой Московской армии ПВО истребители не могли набрать необходимой для боя высоты. Их вооружение оказалось неподготовленным для ведения огня на больших высотах при низкой температуре.</w:t>
      </w:r>
    </w:p>
    <w:p w14:paraId="79D919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исключена возможность сбрасывания противником в будущем при подобных безнаказанных полетах над г. Москва мелких бомб.</w:t>
      </w:r>
    </w:p>
    <w:p w14:paraId="18B6B4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противник уже более года ведет безнаказанную разведку г. Москва на большой высоте, вопрос о высотных истребителях для ПВО столицы до сих пор практически не решен.</w:t>
      </w:r>
    </w:p>
    <w:p w14:paraId="3446E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ходатайствовать перед Государственным Комитетом Обороны о спешном вооружении Особой Московской армии ПВО высотными истребителями и кислородным оборудованием.</w:t>
      </w:r>
    </w:p>
    <w:p w14:paraId="1FB3D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докладываю, что постановлением ГКО № 2946 1943 года на промышленность была возложена задача - обеспечить высотными авиамоторами истребительную авиацию г. Москва. До сего времени это постановление не выполнено" (12032).</w:t>
      </w:r>
    </w:p>
    <w:p w14:paraId="518FB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4FFC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полной победой советских войск завершилась Курская битва (4962).</w:t>
      </w:r>
    </w:p>
    <w:p w14:paraId="2204655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B130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5 июля по 23 августа 1943 советские летчики совершили 118 тысяч самолето-вылетов и уничтожили большое количество немецких самолетов, завоевав господство в воздухе (3573).</w:t>
      </w:r>
    </w:p>
    <w:p w14:paraId="319F3D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ED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закончившейся 23 августа 1943 Курской битвы:</w:t>
      </w:r>
    </w:p>
    <w:p w14:paraId="667FC8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 полном объеме осуществили авиационное наступление - после авиаподготовки ш и б авиация немедленно переключалась на поддержку наступающих войск на всю глубину операции;</w:t>
      </w:r>
    </w:p>
    <w:p w14:paraId="4F2FC3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усилия авиации сосредоточивались на узких участках фронта на наиболее важных объектах, в первую очередь танках и артиллерии (340,151).</w:t>
      </w:r>
    </w:p>
    <w:p w14:paraId="76678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непрерывное воздействие авиации снижала способность к сопротивлению и наносила большие потери, что способствовало прорыву обороны</w:t>
      </w:r>
    </w:p>
    <w:p w14:paraId="7BBFA9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вводе танковых соединений усилия ВА направлялись на подавление противотанковых средств, на изоляцию района сражения от подвода резервов, на прикрытие с воздуха. Например, 1 и 5ГТА поддерживали 5 шак (г Н.П.Каманин) и 10 иак (г М.М.Головня), а также 202 бад (п С.И.Ничипоренко) и 291 шад (п А.Н.Витрук) (340,152).</w:t>
      </w:r>
    </w:p>
    <w:p w14:paraId="02C78F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отходе вражеских войск авиация принимала самое активное участие в их преследовании</w:t>
      </w:r>
    </w:p>
    <w:p w14:paraId="3CDC1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 ходе контрнаступления н авиация срывала ж/д и автоперевозки (340,152).</w:t>
      </w:r>
    </w:p>
    <w:p w14:paraId="635422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время контрнаступления под Курском выполнили 90 тыс. вылетов и в 1700 боях уничтожила 2100 самолетов + на аэродромах - 145 и 780 - ЗА (340,152).</w:t>
      </w:r>
    </w:p>
    <w:p w14:paraId="2DBC1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5CE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23 1943 Germans evacuate Kharkov; Russians attack heavily on Mius River front (1037).</w:t>
      </w:r>
    </w:p>
    <w:p w14:paraId="22143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AB31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немцы оставили Харьков и КА (СтепФ при содействии ВорФ и ЗФ) продолжала атаки в районе реки Миус (1037).</w:t>
      </w:r>
    </w:p>
    <w:p w14:paraId="2B9EFE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белгородско-харьковской операции выполнили 28265 вылетов и уничтожили 800 самолетов (340,151).</w:t>
      </w:r>
    </w:p>
    <w:p w14:paraId="0D9E86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88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года была переброшена польская группа (16 человек старший - Л.Касман) (8983).</w:t>
      </w:r>
    </w:p>
    <w:p w14:paraId="30FC84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1B82B" w14:textId="77777777" w:rsidR="00153CB5" w:rsidRPr="00271E51" w:rsidRDefault="00153C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FB330A6" w14:textId="77777777" w:rsidR="00153CB5" w:rsidRPr="00271E51" w:rsidRDefault="00153C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E20C7" w14:textId="77777777" w:rsidR="00153CB5" w:rsidRPr="00271E51" w:rsidRDefault="00153C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Над Москвой прогремел второй салют - в честь освобождения Харькова. Возле орудий были установлены микрофоны радио - победный салют слышала вся страна Газета "Известия" писала: "Двадцать залпов с интервалами в четверть минуты: пять мину т висели над Москвой обвалы артиллерий ского грома. Пять минут прошивали атлас* ное небо разноцветные нити трассирующих пуль; зенитный огонь вычерчивал красным, голубым, зеленым, белым сверкающий узор, прихотливый и нежный* как украинское шитье. Пять минут распускались, словно неведомые цветы, ослепительные ракеты" (18693).</w:t>
      </w:r>
    </w:p>
    <w:p w14:paraId="2E1C4F48" w14:textId="77777777" w:rsidR="00153CB5" w:rsidRPr="00271E51" w:rsidRDefault="00153CB5" w:rsidP="00271E51">
      <w:pPr>
        <w:spacing w:after="0" w:line="240" w:lineRule="auto"/>
        <w:jc w:val="both"/>
        <w:rPr>
          <w:rFonts w:ascii="Times New Roman" w:hAnsi="Times New Roman"/>
          <w:color w:val="000000" w:themeColor="text1"/>
          <w:sz w:val="16"/>
          <w:szCs w:val="16"/>
        </w:rPr>
      </w:pPr>
    </w:p>
    <w:p w14:paraId="68A34C28" w14:textId="06D40610" w:rsidR="008C5B40" w:rsidRPr="00271E51" w:rsidRDefault="008C5B4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Внешняя политика:</w:t>
      </w:r>
    </w:p>
    <w:p w14:paraId="29CBE15F" w14:textId="77777777" w:rsidR="008C5B40" w:rsidRPr="00271E51" w:rsidRDefault="008C5B4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EF9583A" w14:textId="77777777" w:rsidR="008C5B40" w:rsidRPr="00271E51" w:rsidRDefault="008C5B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в 1943 году правительство СССР уполномочило главнокомандующего союзными вооружёнными силами в Западной Европе и Северной Африке генерала Д.Эйзенхауэра подписать от его имени акт о капитуляции Италии (14991).</w:t>
      </w:r>
    </w:p>
    <w:p w14:paraId="0EBA5655" w14:textId="77777777" w:rsidR="008C5B40" w:rsidRPr="00271E51" w:rsidRDefault="008C5B40" w:rsidP="00271E51">
      <w:pPr>
        <w:spacing w:after="0" w:line="240" w:lineRule="auto"/>
        <w:jc w:val="both"/>
        <w:rPr>
          <w:rFonts w:ascii="Times New Roman" w:hAnsi="Times New Roman"/>
          <w:color w:val="000000" w:themeColor="text1"/>
          <w:sz w:val="16"/>
          <w:szCs w:val="16"/>
        </w:rPr>
      </w:pPr>
    </w:p>
    <w:p w14:paraId="0F1A4098" w14:textId="5BAD7E1C"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D2CC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070C8"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23 августа в 1943 году начались (до середины сентября) испытания прототипа </w:t>
      </w:r>
      <w:hyperlink r:id="rId71" w:tgtFrame="_blank" w:history="1">
        <w:r w:rsidRPr="00271E51">
          <w:rPr>
            <w:rFonts w:ascii="Times New Roman" w:hAnsi="Times New Roman"/>
            <w:color w:val="000000" w:themeColor="text1"/>
            <w:sz w:val="16"/>
            <w:szCs w:val="16"/>
          </w:rPr>
          <w:t xml:space="preserve">«AS.14» </w:t>
        </w:r>
      </w:hyperlink>
      <w:r w:rsidRPr="00271E51">
        <w:rPr>
          <w:rFonts w:ascii="Times New Roman" w:hAnsi="Times New Roman"/>
          <w:color w:val="000000" w:themeColor="text1"/>
          <w:sz w:val="16"/>
          <w:szCs w:val="16"/>
        </w:rPr>
        <w:t xml:space="preserve">итальянского морского бомбардировщика </w:t>
      </w:r>
      <w:hyperlink r:id="rId72" w:tgtFrame="_blank" w:history="1">
        <w:r w:rsidRPr="00271E51">
          <w:rPr>
            <w:rFonts w:ascii="Times New Roman" w:hAnsi="Times New Roman"/>
            <w:color w:val="000000" w:themeColor="text1"/>
            <w:sz w:val="16"/>
            <w:szCs w:val="16"/>
          </w:rPr>
          <w:t xml:space="preserve">«RS.14», </w:t>
        </w:r>
      </w:hyperlink>
      <w:r w:rsidRPr="00271E51">
        <w:rPr>
          <w:rFonts w:ascii="Times New Roman" w:hAnsi="Times New Roman"/>
          <w:color w:val="000000" w:themeColor="text1"/>
          <w:sz w:val="16"/>
          <w:szCs w:val="16"/>
        </w:rPr>
        <w:t>пока «AS.14» не был разрушен в результате катастрофы. В целом, конструкция машины почти не изменилась. С самолёта сняли поплавки, установив вместо них убираемое колесное шасси. Вооружение заметно усилили путем монтажа под фюзеляжем 37-мм (по другим данным 45-мм) орудия и заменой 7,7-мм на 12,7-мм пулеметы, общее число которых в отдельных зарубежных изданиях оценивается в семь штук (14991).</w:t>
      </w:r>
    </w:p>
    <w:p w14:paraId="03B37A1B"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01B9A475"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августа 1943 около 20 немецких бомбардировщиков Junkers Ju 88 атакуют гавань Палермо, Сицилия, повредив несколько кораблей (20376).</w:t>
      </w:r>
    </w:p>
    <w:p w14:paraId="49E6C3B1" w14:textId="77777777" w:rsidR="008C5B40" w:rsidRPr="00271E51" w:rsidRDefault="008C5B40" w:rsidP="00271E51">
      <w:pPr>
        <w:spacing w:after="0" w:line="240" w:lineRule="auto"/>
        <w:jc w:val="both"/>
        <w:rPr>
          <w:rFonts w:ascii="Times New Roman" w:hAnsi="Times New Roman"/>
          <w:color w:val="0070C0"/>
          <w:sz w:val="16"/>
          <w:szCs w:val="16"/>
        </w:rPr>
      </w:pPr>
    </w:p>
    <w:p w14:paraId="34EE3711"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23–24 августа (ночь) 1943 бомбардировочное командование Королевских ВВС возобновляет бомбардировку Берлина, совершив налет 727 бомбардировщиков. Плохое целеуказание, плохой выбор времени бомбардировщиками и сложность определения ориентиров в Берлине с помощью навигационного радара, работающего на H2S, приводят к широкому разбросу бомб, хотя немцы несут потери - почти 900 жертв на земле. Впервые немцы применяют новую тактику Захме Сау («Прирученный кабан») - использование наземного наведения для направления ночных истребителей в группы британских бомбардировщиков, после чего ночные истребители действуют независимо от целей, которые они находят, и Британцы теряют 56 бомбардировщиков, это самый высокий показатель за одну ночь и 7,9 процента участвующих самолетов (20376).</w:t>
      </w:r>
    </w:p>
    <w:p w14:paraId="31C368E2" w14:textId="77777777" w:rsidR="008C5B40" w:rsidRPr="00271E51" w:rsidRDefault="008C5B40" w:rsidP="00271E51">
      <w:pPr>
        <w:spacing w:after="0" w:line="240" w:lineRule="auto"/>
        <w:jc w:val="both"/>
        <w:rPr>
          <w:rFonts w:ascii="Times New Roman" w:hAnsi="Times New Roman"/>
          <w:color w:val="0070C0"/>
          <w:sz w:val="16"/>
          <w:szCs w:val="16"/>
        </w:rPr>
      </w:pPr>
    </w:p>
    <w:p w14:paraId="17602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23 August 1943 RAF goes on a huge bombing raid on Berlin (270).</w:t>
      </w:r>
    </w:p>
    <w:p w14:paraId="5E1071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7EBE9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августа 1943 бомбардировщики RAF совершили большой налет на Берлин (270).</w:t>
      </w:r>
    </w:p>
    <w:p w14:paraId="7064B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5C30E" w14:textId="77777777" w:rsidR="00E01C82" w:rsidRPr="00271E51" w:rsidRDefault="00E01C8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w:t>
      </w:r>
      <w:r w:rsidRPr="00271E51">
        <w:rPr>
          <w:rFonts w:ascii="Times New Roman" w:hAnsi="Times New Roman"/>
          <w:bCs/>
          <w:color w:val="000000" w:themeColor="text1"/>
          <w:sz w:val="16"/>
          <w:szCs w:val="16"/>
        </w:rPr>
        <w:t>23 августа 1943</w:t>
      </w:r>
      <w:r w:rsidRPr="00271E51">
        <w:rPr>
          <w:rFonts w:ascii="Times New Roman" w:hAnsi="Times New Roman"/>
          <w:color w:val="000000" w:themeColor="text1"/>
          <w:sz w:val="16"/>
          <w:szCs w:val="16"/>
        </w:rPr>
        <w:t xml:space="preserve"> по </w:t>
      </w:r>
      <w:r w:rsidRPr="00271E51">
        <w:rPr>
          <w:rFonts w:ascii="Times New Roman" w:hAnsi="Times New Roman"/>
          <w:bCs/>
          <w:color w:val="000000" w:themeColor="text1"/>
          <w:sz w:val="16"/>
          <w:szCs w:val="16"/>
        </w:rPr>
        <w:t>04.09.43</w:t>
      </w:r>
      <w:r w:rsidRPr="00271E51">
        <w:rPr>
          <w:rFonts w:ascii="Times New Roman" w:hAnsi="Times New Roman"/>
          <w:color w:val="000000" w:themeColor="text1"/>
          <w:sz w:val="16"/>
          <w:szCs w:val="16"/>
        </w:rPr>
        <w:t xml:space="preserve"> г.г. в Берлине от английских налетов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0948E581" w14:textId="77777777" w:rsidR="00E01C82" w:rsidRPr="00271E51" w:rsidRDefault="00E01C8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серии последовательных налетов с </w:t>
      </w:r>
      <w:r w:rsidRPr="00271E51">
        <w:rPr>
          <w:rFonts w:ascii="Times New Roman" w:hAnsi="Times New Roman"/>
          <w:bCs/>
          <w:color w:val="000000" w:themeColor="text1"/>
          <w:sz w:val="16"/>
          <w:szCs w:val="16"/>
        </w:rPr>
        <w:t>18-27</w:t>
      </w:r>
      <w:r w:rsidRPr="00271E51">
        <w:rPr>
          <w:rFonts w:ascii="Times New Roman" w:hAnsi="Times New Roman"/>
          <w:color w:val="000000" w:themeColor="text1"/>
          <w:sz w:val="16"/>
          <w:szCs w:val="16"/>
        </w:rPr>
        <w:t xml:space="preserve"> (с перерывами) </w:t>
      </w:r>
      <w:r w:rsidRPr="00271E51">
        <w:rPr>
          <w:rFonts w:ascii="Times New Roman" w:hAnsi="Times New Roman"/>
          <w:bCs/>
          <w:color w:val="000000" w:themeColor="text1"/>
          <w:sz w:val="16"/>
          <w:szCs w:val="16"/>
        </w:rPr>
        <w:t>ноября 1943года</w:t>
      </w:r>
      <w:r w:rsidRPr="00271E51">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4C992B2D"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 xml:space="preserve">Следующая серия налетов была </w:t>
      </w:r>
      <w:r w:rsidRPr="00271E51">
        <w:rPr>
          <w:rStyle w:val="a7"/>
          <w:b w:val="0"/>
          <w:color w:val="000000" w:themeColor="text1"/>
          <w:sz w:val="16"/>
          <w:szCs w:val="16"/>
        </w:rPr>
        <w:t>2-3, 16-17, 23-24, 29-30 декабря 1943 года</w:t>
      </w:r>
      <w:r w:rsidRPr="00271E51">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2B1A48B9"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2A649FD9"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71551BF9" w14:textId="77777777" w:rsidR="00E01C82" w:rsidRPr="00271E51" w:rsidRDefault="00E01C82" w:rsidP="00271E51">
      <w:pPr>
        <w:spacing w:after="0" w:line="240" w:lineRule="auto"/>
        <w:jc w:val="both"/>
        <w:rPr>
          <w:rFonts w:ascii="Times New Roman" w:hAnsi="Times New Roman"/>
          <w:color w:val="000000" w:themeColor="text1"/>
          <w:sz w:val="16"/>
          <w:szCs w:val="16"/>
        </w:rPr>
      </w:pPr>
    </w:p>
    <w:p w14:paraId="6547344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7ADE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0B34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Гл. штурман ВВС Б.В.Стерлигов писал Кузнецову, нач. ГУ заказов ВВС Селезневу, нач. НИИ спецслужб ВВС Данилину письмо N 526709с:</w:t>
      </w:r>
    </w:p>
    <w:p w14:paraId="79F3B5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в/N Н-34/3340 от 20 августа 1943</w:t>
      </w:r>
    </w:p>
    <w:p w14:paraId="157534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постановку вопроса о рассмотрении возможности исключения из комплектации самолетов Ил-2 РПК-10 нецелесообразной.</w:t>
      </w:r>
    </w:p>
    <w:p w14:paraId="4C5F5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подавляющем большинстве штурмовых частей РПК-10 используются весьма эффективно. так по донесениям ГШ ВА и авиакорпусов только за июль 1943 в штурмовых частях зарегистрировано более 40 случаев, когда самолеты-штурмовики в сложных метеоусловиях выходили на свои аэродромы исключительно по РПК-10 и приводной радиостанции. 12 случаев выхода самолетов Ил-2 по РПК-10 из указанных 40 случаев имели место 13 июля 1943 в частях 1 штурмового авиакорпуса, на который Вы ссылались при переговорах по этому вопросу 23 августа 1943.</w:t>
      </w:r>
    </w:p>
    <w:p w14:paraId="00F64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3AC91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ВВС имеются отдельные штурмовые части, где еще не налажено полное использование РПК-10. Последнее объясняется главным образом отсутствием необходимого количества приводных радиостанций.</w:t>
      </w:r>
    </w:p>
    <w:p w14:paraId="0E4ECA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Предпринятые меры позволят в ближайшее время обеспечить штурмовые части приводными радиостанциями.</w:t>
      </w:r>
    </w:p>
    <w:p w14:paraId="7FB9B2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в настоящее время необходимо взять линию на увеличение количества выпуска промышленностью самолетов Ил-2, оборудованных РПК-10.</w:t>
      </w:r>
    </w:p>
    <w:p w14:paraId="11F4F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необходимо так же увеличивать количество самолетов Ил-2, оборудованных радиопередатчиками для целей связи и радиопеленгации." (1779,88).</w:t>
      </w:r>
    </w:p>
    <w:p w14:paraId="7DB52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41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года гл. штурман ВВС генерал-лейтенант авиации Стерлигов писал письмо N 526709с зам. народного комиссара Авиапрома Кузнецову, начальнику гл. управления заказов ВВС генерал-лейтенанту ИАС Селезневу, начальнику НИИ спецслужб ВВС генерал-лейтенанту ИАС Данилину.</w:t>
      </w:r>
    </w:p>
    <w:p w14:paraId="1643BB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В/N Н-3340 от 20.8.43 г.</w:t>
      </w:r>
    </w:p>
    <w:p w14:paraId="3F7C07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постановку вопроса о рассмотрении возможности исключения из комплектации самолетов "Ил-2" радиополукомпасов РПК-10 не целесообразной.</w:t>
      </w:r>
    </w:p>
    <w:p w14:paraId="142CD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подавляющем большинстве штурмовых частей радиополукомпаса РПК-10 используются весьма эффективно. Так, по донесениям Гл. штурманов воздушных армий и авиакорпусов только за июль 1943 г. в штурмовых частях зарегистрировано более 40 случаев, когда самолеты-штурмовики в сложных метеоусловиях выходили на свои аэродромы исключительно по РПК-10 и приводной радиостанции. 12 случаев выхода самолетов Ил-2 по РПК-10 из указанных 40 случаев имели место 13.7.43 г. в частях I Штурмового Авиакорпуса, на который Вы ссылались при переговорах со мной по этому вопросу 23.8.43 г.</w:t>
      </w:r>
    </w:p>
    <w:p w14:paraId="16EB4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эксплуатации радиополукомпасов на самолетах Ил-2 в боевых условиях показывает, что РПК-10 является для штурмовика ценным и крайне необходимым навигационным прибором.</w:t>
      </w:r>
    </w:p>
    <w:p w14:paraId="5B26EE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ВВС имеются отдельные штурмовые части, где еще не налажено полное использование радиополукомпасов РПК-10. Последнее объясняется главным образом отсутствием необходимого количества приводных наземных радиостанций.</w:t>
      </w:r>
    </w:p>
    <w:p w14:paraId="7F95EC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Предпринятые меры позволят в ближайшее время обеспечить все штурмовые части приводными радиостанциями.</w:t>
      </w:r>
    </w:p>
    <w:p w14:paraId="358F31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в настоящее время необходимо взять линию на увеличение количества выпуска промышленностью самолетов Ил-2 оборудованных радиополукомпасами РПК-10.</w:t>
      </w:r>
    </w:p>
    <w:p w14:paraId="516730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необходимо так же увеличивать количество самолетов Ил-2 оборудованных радиопередатчиками для целей связи и радионавигации (1779,88).</w:t>
      </w:r>
    </w:p>
    <w:p w14:paraId="7EC745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02D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Нач. НИИ ВВС Лосюков и нач. штаба НИИ ВВС Иващенко писали ГИ ВВС Репину и А.И.Ш., а также УК ЦК ВКП(б) письмо N 0849:</w:t>
      </w:r>
    </w:p>
    <w:p w14:paraId="76812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ГОКО N 3386сс от 17 мая 1943 ГК самолета Ил-2 С.В.И. 20 августа 1943 д.б. предъявить на гос. испытания в НИИ ВВС самолет Ил-2 с АМ-42.</w:t>
      </w:r>
    </w:p>
    <w:p w14:paraId="531EB9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что это постановление к указанному сроку не выполнено.</w:t>
      </w:r>
    </w:p>
    <w:p w14:paraId="5CAEF7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с АМ-42 построен и сейчас проходит заводские испытания." (1783,48).</w:t>
      </w:r>
    </w:p>
    <w:p w14:paraId="3F479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E2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вышел отчет № 658 НИИ-48, где под руководством директора института профессора Завьялова была проведена работа по определению оптимального распределения толщины брони на самолете Ил-2 (7489).</w:t>
      </w:r>
    </w:p>
    <w:p w14:paraId="550E1B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892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директор завода 39 Абрамов направил А.И.Ш. телефонограмму:</w:t>
      </w:r>
    </w:p>
    <w:p w14:paraId="10195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на самолете Ил-6 выполнены след. работы: самолет подготовлен к полету и сделан 4-й полет в составе полного экипажа АДД во главе с В.К.К. Полет продолжался 20 мин. В полете выбивало масло через дренажные отверстия за счет увеличения масла до 220 кг на мотор. За счет перегрузки сгорел электропредохранитель электромоторчика заслонки водорадиатора. После посадки обнаружено заедание ориентирующегося костыля. Требуется его полная переборка. След. полет назначен на 25 августа 1943 (1768,270).</w:t>
      </w:r>
    </w:p>
    <w:p w14:paraId="37712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A9E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года П. Воронин писал письмо зам. председателя СНК Микояну А.И.</w:t>
      </w:r>
    </w:p>
    <w:p w14:paraId="48A7F1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организации передвижных ремонтных мастерских по ремонту самолетов на фронтах заводу № 30 НКАП требуются автомашины.</w:t>
      </w:r>
    </w:p>
    <w:p w14:paraId="6DEF3D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разрешить передать из Гл. автомобильного управления КА 30 автомашин, требующих ремонта (8913).</w:t>
      </w:r>
    </w:p>
    <w:p w14:paraId="0E149F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5589C"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BC53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0FFEA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года, конструкторское бюро завода № 183 докладывало наркому Малышеву, что проработаны варианты установки 85-мм пушек конструкции завода № 9 Д-5 и ЦАКБ НКВ С-31 и С-50 в танк Т-34:</w:t>
      </w:r>
    </w:p>
    <w:p w14:paraId="7BAA5FE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показала проработка, наиболее удовлетворительной в части габаритов в боевом помещении Т-34 и Т-43 и весовых данных системы - является Д-5 завода № 9» (12217).</w:t>
      </w:r>
    </w:p>
    <w:p w14:paraId="522F1DED"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749BFFA9" w14:textId="77777777" w:rsidR="00A46221" w:rsidRPr="00271E51" w:rsidRDefault="00A46221" w:rsidP="00271E51">
      <w:pPr>
        <w:pStyle w:val="ae"/>
        <w:shd w:val="clear" w:color="auto" w:fill="FFFFFF"/>
        <w:spacing w:before="0" w:after="0"/>
        <w:jc w:val="both"/>
        <w:rPr>
          <w:color w:val="000000" w:themeColor="text1"/>
          <w:sz w:val="16"/>
          <w:szCs w:val="16"/>
        </w:rPr>
      </w:pPr>
      <w:r w:rsidRPr="00271E51">
        <w:rPr>
          <w:color w:val="000000" w:themeColor="text1"/>
          <w:sz w:val="16"/>
          <w:szCs w:val="16"/>
        </w:rPr>
        <w:t>24 августа 1943 на Центральный фронт прибыла вторая группа НИБТ Полигона в составе инженер-майора Хинского, старшего техника-лейтенанта Ильина и лейтенанта Бурлакова. Первая группа специалистов НИБТ Полигона убыла из района боевых действий 4 августа.. Задачей группы, действовавшей на Центральном фронте до 8 сентября, стал отбор наиболее целых трофейных немецких машин и их доставка на НИБТ Полигон. Отобраны были две машины. Помимо уже упомянутой САУ с бортовым номером 501, это была и самоходная установка с серийным номером 15090. Она также подорвалась на мине. Одна машина использовалась для непосредственного изучения и огневых испытаний, вторую обстреливали из отечественных и зарубежных орудий.</w:t>
      </w:r>
    </w:p>
    <w:p w14:paraId="1FABEC2F" w14:textId="77777777" w:rsidR="00A46221" w:rsidRPr="00271E51" w:rsidRDefault="00A46221"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Изучение трофейных машин началось ещё до того, как они оказались на НИБТ Полигоне. Первые испытания обстрелом подбитого «Фердинанда» были проведены еще 20-21 июля 1943 года. Выяснилось, что борт немецкой машины пробивается подкалиберным снарядом 45-мм противотанковой пушки на дистанции 200 метров. Пробила подкалиберным снарядом немецкую броню на дистанции в 400 метров и 76-мм пушка ЗИС-3. Для 85-мм пушки 52-К и 122-мм корпусной пушки А-19 бортовая броня немецкой САУ тоже не являлась серьёзной проблемой. Стоит отметить, что броня «Фердинандов», особенно у машин с серийными номерами до 150060, была хуже чем у </w:t>
      </w:r>
      <w:hyperlink r:id="rId73" w:history="1">
        <w:r w:rsidRPr="00271E51">
          <w:rPr>
            <w:rStyle w:val="a5"/>
            <w:color w:val="000000" w:themeColor="text1"/>
            <w:sz w:val="16"/>
            <w:szCs w:val="16"/>
          </w:rPr>
          <w:t>Pz.Kpfw.Tiger Ausf.E</w:t>
        </w:r>
      </w:hyperlink>
      <w:r w:rsidRPr="00271E51">
        <w:rPr>
          <w:color w:val="000000" w:themeColor="text1"/>
          <w:sz w:val="16"/>
          <w:szCs w:val="16"/>
        </w:rPr>
        <w:t>. По этой причине в дальнейшем испытания обстрелом машины с серийным номером 150090 несколько отличались по результатам (17707).</w:t>
      </w:r>
    </w:p>
    <w:p w14:paraId="21908F3B" w14:textId="77777777" w:rsidR="00A46221" w:rsidRPr="00271E51" w:rsidRDefault="00A46221" w:rsidP="00271E51">
      <w:pPr>
        <w:spacing w:after="0" w:line="240" w:lineRule="auto"/>
        <w:jc w:val="both"/>
        <w:rPr>
          <w:rFonts w:ascii="Times New Roman" w:hAnsi="Times New Roman"/>
          <w:color w:val="000000" w:themeColor="text1"/>
          <w:sz w:val="16"/>
          <w:szCs w:val="16"/>
        </w:rPr>
      </w:pPr>
    </w:p>
    <w:p w14:paraId="41D3A13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Постановление ГКО № 3970 Об увеличении выпуска слесарно-монтажного инструмента и прецизионных станков для инструментальной промышленности Наркомстанкостроения на Новосибирском инструментальном заводе Наркомстанкостроения. (7134, 167-169,170).</w:t>
      </w:r>
    </w:p>
    <w:p w14:paraId="6EDC086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3B405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Распоряжение ГКО № 3971 [О распространении на рабочих и ИТР ТЭЦ завода № 199 НКСП ставок зарплаты, должностных окладов и премиальной системы, установленных для электростанций НКЭС второй категории.] (7134, 171).</w:t>
      </w:r>
    </w:p>
    <w:p w14:paraId="1E1F48A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317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Распоряжение ГКО № 3972. О распространении на вольнонаемный состав судов ГУ гидрометслужбы КА постановления № 2311 от 17 сентября 1942 г. "О военизации вольнонаемного состава вспомогательных судов и плавучих средств Военно-Морского Флота".РГАНИР, Фонд ГКО, д. 146, лл. 172 (11012).</w:t>
      </w:r>
    </w:p>
    <w:p w14:paraId="1021BA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22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Распоряжение ГКО № 3973. О дополнительных поставках материалов для ГУС НКО.РГАНИР, Фонд ГКО, д. 146, лл. 173, 174 (11012).</w:t>
      </w:r>
    </w:p>
    <w:p w14:paraId="637B8F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556D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Постановление ГКО № 3974 О мероприятиях по увеличению выработки конденсаторной бумаги на бумажной фабрике "Красный курсант" Наркомбумпрома. (7134, 175-177,178).</w:t>
      </w:r>
    </w:p>
    <w:p w14:paraId="17503B3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FD46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24 августа 1943 вышло Распоряжение ГКО № 3975. О поставке НКлесом для НКЭП 5 т бутилацетата.РГАНИР, Фонд ГКО, д. 146, лл. 179 (11012).</w:t>
      </w:r>
    </w:p>
    <w:p w14:paraId="3E7A6D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DDE8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вышло Постановление ГКО № 3976 Об увеличении выплавки электрокорунда и производства абразивных кругов на Челябинском абразивном заводе Наркомстанкостроения. (7134, 180-183,184-186).</w:t>
      </w:r>
    </w:p>
    <w:p w14:paraId="69DE139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18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и 28 августа 1943 Адмиралтейцы досрочно сдали флоту пятый и шестой МБК (10671).</w:t>
      </w:r>
    </w:p>
    <w:p w14:paraId="5A203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2B105" w14:textId="77777777" w:rsidR="009C7F1C"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F3DD8A4" w14:textId="77777777" w:rsidR="009C7F1C" w:rsidRPr="00271E51" w:rsidRDefault="009C7F1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AD04E3"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в 1943 году оперативная сводка Совинформбюро:</w:t>
      </w:r>
    </w:p>
    <w:p w14:paraId="22A1553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августа наши войска, наступающие северо-западнее и южнее Харькова, продвинулись вперёд и улучшили свои позиции.</w:t>
      </w:r>
    </w:p>
    <w:p w14:paraId="224F66F7"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районах южнее Изюма и юго-западнее Ворошиловграда, наши войска продолжали вести успешные бои с противником и вновь заняли несколько населённых пунктов.</w:t>
      </w:r>
    </w:p>
    <w:p w14:paraId="5B2DE3D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 и артиллерийско-миномётную перестрелку с противником.</w:t>
      </w:r>
    </w:p>
    <w:p w14:paraId="0A8AFF0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августа наши войска на всех фронтах подбили и уничтожили 77 немецких танков. В воздушных боях и огнём зенитной артиллерии сбито 106 самолётов противника.</w:t>
      </w:r>
    </w:p>
    <w:p w14:paraId="1166B1C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Харьков, наши войска продолжали наступление и улучшили свои позиции. Наши части с боем переправились через водный рубеж и продолжали наносить удары отступающему противнику. На поле боя осталось много брошенного немцами вооружения и военного имущества.</w:t>
      </w:r>
    </w:p>
    <w:p w14:paraId="2BBEA09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южнее Харькова наши войска продолжали вести бои с крупными силами противника и продвинулись вперёд. За день боёв немцы потеряли убитыми до 2.000 солдат и офицеров. Подбито и уничтожено 25 немецких танков. Противник, обескровленный в последних боях, спешно подтягивает на эти участки свои резервы.</w:t>
      </w:r>
    </w:p>
    <w:p w14:paraId="4B22B7E3"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части Н-ского соединения, преодолевая сопротивлениеи отбивая контратаки противника, заняли несколько населённых пунктов. В боях за эти пункты уничтожено более 600 немецких солдат и офицеров, 18 танков и три бронемашины. Захвачены у противника 21 полевое и 5 самоходных орудий, склад боеприпасов и другие трофеи.</w:t>
      </w:r>
    </w:p>
    <w:p w14:paraId="0DF557C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и офицеры Красной Армии показывают доблесть и геройство в борьбе за освобождение родной Советской Украины от гнёта немецко-фашистских мерзавцев. Экипаж танка гвардии лейтенанта Духова в бою с противником подбил два немецких танка типа «Тигр». Экипаж танка гвардии лейтенанта Головина уничтожил 4 танка противника, в том числе два тяжёлых. Красноармейцы тт. Рязанов и Чайка пробрались в расположение немцев и гранатами уничтожили 46 гитлеровцев. Командир пулемётного расчёта сержант Попов в одном бою огнём из станкового пулемёта истребил до роты немцев. На бойца Усалиева напали 9 немцев и пытались взять его в плен. Огнём из автомата т. Усалиев уничтожил всех напавших на него гитлеровцев.</w:t>
      </w:r>
    </w:p>
    <w:p w14:paraId="1836599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воздушных боях за день сбили 22 немецких самолёта.</w:t>
      </w:r>
    </w:p>
    <w:p w14:paraId="7817FB4D"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продолжали успешное наступление и заняли несколько населённых пунктов. Противник контратаками пытался задержать продвижение советских частей. Наши бойцы отбили все контратаки немцев и нанесли им большой урон. Только Н-ское гвардейское соединение уничтожило свыше 800 гитлеровцев. Пленные сообщают, что в большинстве рот 294 немецкой пехотной дивизии осталось по 3—6 солдат. Остальные убиты, ранены или захвачены в плен.</w:t>
      </w:r>
    </w:p>
    <w:p w14:paraId="4B10A611"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советских разведчиков под командованием старшего лейтенанта Ткачёва просочилась сквозь боевые порядки противника и внезапно атаковала позиции немецкой артиллерийской батареи. Уничтожив орудийные расчёты, разведчики захватили немецкую батарею.</w:t>
      </w:r>
    </w:p>
    <w:p w14:paraId="58BFC5FF"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войска, преодолевая упорное сопротивление немцев, продвинулись вперёд. Особенно ожесточённые бои происходили на подступах к сильно укреплённому опорному пункту противника. Советские бойцы ворвались в опорныйпункт и к исходу дня очистили его от немцев. В этом бою истреблено до 1.000 вражеских солдат и офицеров, подбито и сожжено 12 танков, уничтожено 16 орудий и взорвано 2 склада боеприпасов. Захвачены трофеи, в числе которых 15 танков, 6 самоходных орудий, 60 орудий разных калибров и 90 пулемётов. Взяты пленные.</w:t>
      </w:r>
    </w:p>
    <w:p w14:paraId="501BB01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и огнём зенитной артиллерии сбито 33 самолёта противника.</w:t>
      </w:r>
    </w:p>
    <w:p w14:paraId="513F1DC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подразделения выбили противника из четырёх населённых пунктов. Особенно упорно немцы обороняли один из этих пунктов. Командир взвода т. Ионосян с группой бойцов ночью подполз к позициям врага и ворвался в его траншеи. В рукопашной схватке наши бойцы уничтожили 68 немецких солдат и офицеров и захватили 15 пленных.</w:t>
      </w:r>
    </w:p>
    <w:p w14:paraId="7D661057"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истребили до 400 немецких солдат и офицеров. Огнём артиллерии и миномётов уничтожено 4 артиллерийских и 3 миномётных батареи, разрушено 20 дзотов и 11 блиндажей противника.</w:t>
      </w:r>
    </w:p>
    <w:p w14:paraId="4F8DCA86"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Рижском и Финском заливах нашими кораблями и авиацией флота потоплены два немецких транспорта общим водоизмещением в 8.000 тонн, сторожевой корабль и сторожевой катер противника.</w:t>
      </w:r>
    </w:p>
    <w:p w14:paraId="0D9F4655"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украинских партизанских отрядов, действующих в Ровенской области, в августе пустили под откос 21 немецкий воинский эшелон. Разбиты и повреждены 21 паровоз, 276 вагонов и платформ с техникой, боеприпасами и другими военными грузами, следовавшими к линии фронта. Партизанский отряд имени 25 годовщины Красной Армии в течение месяца уничтожил 2 танка, 25 грузовых и 2 легковых автомашины. В боях с немцами и из засад партизаны убили 260 гитлеровцев.</w:t>
      </w:r>
    </w:p>
    <w:p w14:paraId="3259E194"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устроили на одной из площадей болгарской столицы Софии выставку. На витринах представлено много фотоснимков. На фотографиях показаны действующие заводы и шахты, сплав леса, табуны лошадей, рисовые и хлопковые поля и т.д. Подписи под фотографиями гласят: «Под руководством германских инженеров и хозяйственников, новая Европа получает из восточных районов сталь, руду, хлопок, хлеб и рис».</w:t>
      </w:r>
    </w:p>
    <w:p w14:paraId="3D2FB52B"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Гитлеровские жулики — организаторы этой выставки — предусмотрительно не указали, где, в каких именно районах находятся действующие заводы, скрыли названия предприятий и географических пунктов. Дело в том, что снимки, представленные на выставке, отражающие жизнь и работу советских предприятий и колхозов, были еще до войны посланы ВОКС'ом за границу. В этом не трудно убедиться хотя бы по находящейся на выставке фотографии, на которой заснята женская колхозная бригада за уборкой хлопка. Около убранного хлопка можно разглядеть Красное знамя, на котором отчётливо виден государственный герб Советского Союза. Таким образом, «выставка», организованная гитлеровцами в Софии, является очередным жульническим трюком. Гитлеровцы вновь попались с поличным и уличены как низкопробные лжецы.»</w:t>
      </w:r>
    </w:p>
    <w:p w14:paraId="6A461A9F"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1E782419"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24 августа в 1943 году </w:t>
      </w:r>
      <w:hyperlink r:id="rId74" w:tgtFrame="_blank" w:history="1">
        <w:r w:rsidRPr="00271E51">
          <w:rPr>
            <w:rFonts w:ascii="Times New Roman" w:hAnsi="Times New Roman"/>
            <w:color w:val="000000" w:themeColor="text1"/>
            <w:sz w:val="16"/>
            <w:szCs w:val="16"/>
          </w:rPr>
          <w:t xml:space="preserve">В.Д.Лавриненков </w:t>
        </w:r>
      </w:hyperlink>
      <w:r w:rsidRPr="00271E51">
        <w:rPr>
          <w:rFonts w:ascii="Times New Roman" w:hAnsi="Times New Roman"/>
          <w:color w:val="000000" w:themeColor="text1"/>
          <w:sz w:val="16"/>
          <w:szCs w:val="16"/>
        </w:rPr>
        <w:t>таранил разведчик - корректировщик «FW.189» "рама", таран закончился прыжком с парашютом над занятой врагом территорией. В бессознательном состоянии был схвачен фашистами. Совершил побег, разыскал партизан отряда имени Чапаева, вместе с которыми более месяца участвовал в боях с немецкими захватчиками на оккупированной врагом Украине (14992).</w:t>
      </w:r>
    </w:p>
    <w:p w14:paraId="020DA0DD"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5FE0E03A" w14:textId="77777777" w:rsidR="009C7F1C" w:rsidRPr="00271E51" w:rsidRDefault="009C7F1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в 1943 году за участие в боях на Курской дуге Алексею Маресьеву присвоили звание Героя Советского Союза. Всего же, до перехода в 1944 году в Управление военно-учебных заведений, Маресьев на «Ла-5ФН» в боях на Курской дуге и в Прибалтике уничтожил семь самолетов противника (14992).</w:t>
      </w:r>
    </w:p>
    <w:p w14:paraId="5106F5C7" w14:textId="77777777" w:rsidR="009C7F1C" w:rsidRPr="00271E51" w:rsidRDefault="009C7F1C" w:rsidP="00271E51">
      <w:pPr>
        <w:spacing w:after="0" w:line="240" w:lineRule="auto"/>
        <w:jc w:val="both"/>
        <w:rPr>
          <w:rFonts w:ascii="Times New Roman" w:hAnsi="Times New Roman"/>
          <w:color w:val="000000" w:themeColor="text1"/>
          <w:sz w:val="16"/>
          <w:szCs w:val="16"/>
        </w:rPr>
      </w:pPr>
    </w:p>
    <w:p w14:paraId="130FA29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9DC75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8B43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года</w:t>
      </w:r>
    </w:p>
    <w:p w14:paraId="6EBC00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ПРЕМЬЕРА И. В. СТАЛИНА ПРЕМЬЕР-МИНИСТРУ г-ну У. ЧЕРЧИЛЛЮ И ПРЕЗИДЕНТУ г-ну Ф. Д. РУЗВЕЛЬТУ</w:t>
      </w:r>
    </w:p>
    <w:p w14:paraId="3D72B6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Получил Ваше совместное послание от 19 августа. Я всецело разделяю Ваше мнение и мнение г. Рузвельта о важности встречи нас троих. Вместе с тем я очень прошу понять мое положение в момент, когда наши армии с исключительным напряжением ведут борьбу с главными силами Гитлера и когда Гитлер не только не снимает с нашего фронта ни одной дивизии, а, наоборот, уже успел перебросить и продолжает перебрасывать новые дивизии на советско-германский фронт. В такой момент, по мнению всех моих коллег, я не могу, без ущерба для наших военных операций, уехать от фронта в столь отдаленный пункт, как Фербенкс, хотя при другом положении на нашем фронте Фербенкс несомненно был бы вполне подходящим местом нашей встречи, как это я считал и раньше.</w:t>
      </w:r>
    </w:p>
    <w:p w14:paraId="74D03B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встречи представителей наших государств и, может быть, именно представителей, ведающих иностранными делами, то я разделяю Ваше мнение о целесообразности такой встречи в близком будущем. Этой встрече, однако, следовало бы придать не узко исследовательский характер, а практически-подготовительный характер для того, чтобы после этого совещания наши правительства могли принять определенные решения и тем самым можно было бы избежать задержки в принятии решений по неотложным вопросам.</w:t>
      </w:r>
    </w:p>
    <w:p w14:paraId="738C04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Поэтому я считаю необходимым возвратиться к своему предложению о том, что следует заранее определить круг вопросов, подлежащих обсуждению </w:t>
      </w:r>
      <w:r w:rsidRPr="00271E51">
        <w:rPr>
          <w:rFonts w:ascii="Times New Roman" w:hAnsi="Times New Roman"/>
          <w:color w:val="000000" w:themeColor="text1"/>
          <w:sz w:val="16"/>
          <w:szCs w:val="16"/>
        </w:rPr>
        <w:lastRenderedPageBreak/>
        <w:t>представителями трех государств, и наметить предложения, которые должны быть ими обсуждены и представлены нашим правительствам для окончательного решения.</w:t>
      </w:r>
    </w:p>
    <w:p w14:paraId="5D975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Вчера были получены от г-на Керра дополнения и поправки к Вашему и г. Рузвельта посланию, в котором Вы сообщали об инструкциях, посланных генералу Эйзенхауэру в связи с выработанными для Италии условиями капитуляции при переговорах с ген. Кастельяно. Я и мои коллеги считаем, что инструкция, данная ген. Эйзенхауэру, целиком вытекает из установки на безоговорочную капитуляцию Италии и потому не может вызвать каких-либо возражений.</w:t>
      </w:r>
    </w:p>
    <w:p w14:paraId="1295A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же я считаю совершенно недостаточной полученную пока информацию для того, чтобы можно было судить о необходимых шагах со стороны союзников во время переговоров с Италией. Это обстоятельство подтверждает необходимость участия советского представителя в деле принятия решения в ходе переговоров. Поэтому я считаю вполне назревшим создание военно-политической комиссии из представителей трех стран, о которой я писал Вам 22 августа (7430).</w:t>
      </w:r>
    </w:p>
    <w:p w14:paraId="130F3D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A9B4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E13A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295EE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августа 1943 Гитлер назначил Гиммлера министром внутренних дел Германии (4962).</w:t>
      </w:r>
    </w:p>
    <w:p w14:paraId="2829FAF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CA62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7CFCF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631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вышел приказ НКАП N 511с:</w:t>
      </w:r>
    </w:p>
    <w:p w14:paraId="16940B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пилотажных свойств 2-х местного самолета Ил-2 с АМ-38Ф ЛИИ произвел установку в систему управления РВ пружины (предложение и М.Л.Миль) и контргруза. Эта установка была испытана ЛИИ и прошла гос. испытания в НИИ ВВС.</w:t>
      </w:r>
    </w:p>
    <w:p w14:paraId="48808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значит. улучшение пилотажных свойств самолета Ил-2, в связи с чем:</w:t>
      </w:r>
    </w:p>
    <w:p w14:paraId="06D10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Директорам заводов 1 Третьякову, 18 Белянскому, 30 Смирнову с 1 октября 1943 все 2-х местные самолеты Ил-2 выпускать с пружинами и контргрузами в системе управления РВ по чертежам ГК С.В.И. Для своевременной и надлежащие отработки пружин и контргрузов в системе управления РВ директорам указанных заводов выпустить по одному самолету не позже 1 сентября 1943 (1737,131).</w:t>
      </w:r>
    </w:p>
    <w:p w14:paraId="1B0F2A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B14C0" w14:textId="77777777" w:rsidR="00231E78" w:rsidRPr="00271E51" w:rsidRDefault="00231E78" w:rsidP="00271E51">
      <w:pPr>
        <w:pStyle w:val="ae"/>
        <w:shd w:val="clear" w:color="auto" w:fill="FFFFFF"/>
        <w:spacing w:before="0" w:after="0"/>
        <w:jc w:val="both"/>
        <w:rPr>
          <w:color w:val="000000" w:themeColor="text1"/>
          <w:sz w:val="16"/>
          <w:szCs w:val="16"/>
        </w:rPr>
      </w:pPr>
      <w:r w:rsidRPr="00271E51">
        <w:rPr>
          <w:color w:val="000000" w:themeColor="text1"/>
          <w:sz w:val="16"/>
          <w:szCs w:val="16"/>
        </w:rPr>
        <w:t>25 августа 1943 вышел приказ НКАП № 511с</w:t>
      </w:r>
    </w:p>
    <w:p w14:paraId="02B7E757" w14:textId="77777777" w:rsidR="00231E78" w:rsidRPr="00271E51" w:rsidRDefault="00231E7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 выпуске 2-местных Ил-2 с АМ-38Ф с пружиной и контргрузом в конструкции руля высоты (19706).</w:t>
      </w:r>
    </w:p>
    <w:p w14:paraId="6432A30F" w14:textId="77777777" w:rsidR="00231E78" w:rsidRPr="00271E51" w:rsidRDefault="00231E78" w:rsidP="00271E51">
      <w:pPr>
        <w:spacing w:after="0" w:line="240" w:lineRule="auto"/>
        <w:jc w:val="both"/>
        <w:rPr>
          <w:rFonts w:ascii="Times New Roman" w:hAnsi="Times New Roman"/>
          <w:color w:val="000000" w:themeColor="text1"/>
          <w:sz w:val="16"/>
          <w:szCs w:val="16"/>
        </w:rPr>
      </w:pPr>
    </w:p>
    <w:p w14:paraId="05A667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завод № 18 вновь предъявил в НИИ ВВС серий</w:t>
      </w:r>
      <w:r w:rsidRPr="00271E51">
        <w:rPr>
          <w:rFonts w:ascii="Times New Roman" w:hAnsi="Times New Roman"/>
          <w:color w:val="000000" w:themeColor="text1"/>
          <w:sz w:val="16"/>
          <w:szCs w:val="16"/>
        </w:rPr>
        <w:softHyphen/>
        <w:t>ный самолет Ил-2 зав. № 1875562 с винтом АВ-5л-158 для производства контрольных испытаний. Результаты испытаний в оче</w:t>
      </w:r>
      <w:r w:rsidRPr="00271E51">
        <w:rPr>
          <w:rFonts w:ascii="Times New Roman" w:hAnsi="Times New Roman"/>
          <w:color w:val="000000" w:themeColor="text1"/>
          <w:sz w:val="16"/>
          <w:szCs w:val="16"/>
        </w:rPr>
        <w:softHyphen/>
        <w:t>редной раз оказались неудовлетворительными. «Максимальная скорость на высоте на 14 км/ч ниже скорости, указанной в дого</w:t>
      </w:r>
      <w:r w:rsidRPr="00271E51">
        <w:rPr>
          <w:rFonts w:ascii="Times New Roman" w:hAnsi="Times New Roman"/>
          <w:color w:val="000000" w:themeColor="text1"/>
          <w:sz w:val="16"/>
          <w:szCs w:val="16"/>
        </w:rPr>
        <w:softHyphen/>
        <w:t>воре. Самолет изготовлен с отступлением от чертежей», — кон</w:t>
      </w:r>
      <w:r w:rsidRPr="00271E51">
        <w:rPr>
          <w:rFonts w:ascii="Times New Roman" w:hAnsi="Times New Roman"/>
          <w:color w:val="000000" w:themeColor="text1"/>
          <w:sz w:val="16"/>
          <w:szCs w:val="16"/>
        </w:rPr>
        <w:softHyphen/>
        <w:t>статировали военные испытатели (11474,364).</w:t>
      </w:r>
    </w:p>
    <w:p w14:paraId="5BEF66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436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25 августа 1943 г. согласно сводке НИИ ВВС по состоя</w:t>
      </w:r>
      <w:r w:rsidRPr="00271E51">
        <w:rPr>
          <w:rFonts w:ascii="Times New Roman" w:hAnsi="Times New Roman"/>
          <w:color w:val="000000" w:themeColor="text1"/>
          <w:sz w:val="16"/>
          <w:szCs w:val="16"/>
        </w:rPr>
        <w:softHyphen/>
        <w:t>нию опытного самолетостроения на заводе № 18 чертежи Ил-1 уже были «спущены в цеха», а на заводе № 1 еще только изучались. Тем не менее вскоре срок сдачи для завода № 18 был отодвинут еще дальше — на октябрь (10680).</w:t>
      </w:r>
    </w:p>
    <w:p w14:paraId="56C89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7A7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закончились войсковые испытания Ла-5ФН, которые проходили с 25 мая 1943 с момента переформирования полка и с 5 июля 1943 - с начала боевых действий в 32 гиа пол</w:t>
      </w:r>
      <w:r w:rsidRPr="00271E51">
        <w:rPr>
          <w:rFonts w:ascii="Times New Roman" w:hAnsi="Times New Roman"/>
          <w:color w:val="000000" w:themeColor="text1"/>
          <w:sz w:val="16"/>
          <w:szCs w:val="16"/>
        </w:rPr>
        <w:softHyphen/>
        <w:t>ку. К 4 июля 1943 было получено с завода №21 всего 13 самолетов Ла-5 с М-82ФН, один из них разбит при катастрофе во время тренировочного полета (из- за ошибки в технике пилотирования). В период боевых действий получено еще 2 самолета. Таким образом, ис</w:t>
      </w:r>
      <w:r w:rsidRPr="00271E51">
        <w:rPr>
          <w:rFonts w:ascii="Times New Roman" w:hAnsi="Times New Roman"/>
          <w:color w:val="000000" w:themeColor="text1"/>
          <w:sz w:val="16"/>
          <w:szCs w:val="16"/>
        </w:rPr>
        <w:softHyphen/>
        <w:t>пытанию подвергались 14 самолетов Ла-5 с М-82ФН. Остальные самоле</w:t>
      </w:r>
      <w:r w:rsidRPr="00271E51">
        <w:rPr>
          <w:rFonts w:ascii="Times New Roman" w:hAnsi="Times New Roman"/>
          <w:color w:val="000000" w:themeColor="text1"/>
          <w:sz w:val="16"/>
          <w:szCs w:val="16"/>
        </w:rPr>
        <w:softHyphen/>
        <w:t>ты в полку были Ла-5 с М-82Ф. Во время тренировки было проведено несколько показательных боев само</w:t>
      </w:r>
      <w:r w:rsidRPr="00271E51">
        <w:rPr>
          <w:rFonts w:ascii="Times New Roman" w:hAnsi="Times New Roman"/>
          <w:color w:val="000000" w:themeColor="text1"/>
          <w:sz w:val="16"/>
          <w:szCs w:val="16"/>
        </w:rPr>
        <w:softHyphen/>
        <w:t>летов Ла-5 с М-82ФН с самолетами Ла-5 с М-82Ф, которыми было выяв</w:t>
      </w:r>
      <w:r w:rsidRPr="00271E51">
        <w:rPr>
          <w:rFonts w:ascii="Times New Roman" w:hAnsi="Times New Roman"/>
          <w:color w:val="000000" w:themeColor="text1"/>
          <w:sz w:val="16"/>
          <w:szCs w:val="16"/>
        </w:rPr>
        <w:softHyphen/>
        <w:t>лено полное преимущество первых над вторыми. Испытания проходили в боевых ус</w:t>
      </w:r>
      <w:r w:rsidRPr="00271E51">
        <w:rPr>
          <w:rFonts w:ascii="Times New Roman" w:hAnsi="Times New Roman"/>
          <w:color w:val="000000" w:themeColor="text1"/>
          <w:sz w:val="16"/>
          <w:szCs w:val="16"/>
        </w:rPr>
        <w:softHyphen/>
        <w:t>ловиях в 32 ГИАП 1 ГИАК 15 ВА на Брянском фронте (северный фас Кур</w:t>
      </w:r>
      <w:r w:rsidRPr="00271E51">
        <w:rPr>
          <w:rFonts w:ascii="Times New Roman" w:hAnsi="Times New Roman"/>
          <w:color w:val="000000" w:themeColor="text1"/>
          <w:sz w:val="16"/>
          <w:szCs w:val="16"/>
        </w:rPr>
        <w:softHyphen/>
        <w:t>ской дуги) с 5 июля по 25 августа 1943 года. В процессе испытаний полк выпол</w:t>
      </w:r>
      <w:r w:rsidRPr="00271E51">
        <w:rPr>
          <w:rFonts w:ascii="Times New Roman" w:hAnsi="Times New Roman"/>
          <w:color w:val="000000" w:themeColor="text1"/>
          <w:sz w:val="16"/>
          <w:szCs w:val="16"/>
        </w:rPr>
        <w:softHyphen/>
        <w:t>нял боевую задачу по прикрытию на</w:t>
      </w:r>
      <w:r w:rsidRPr="00271E51">
        <w:rPr>
          <w:rFonts w:ascii="Times New Roman" w:hAnsi="Times New Roman"/>
          <w:color w:val="000000" w:themeColor="text1"/>
          <w:sz w:val="16"/>
          <w:szCs w:val="16"/>
        </w:rPr>
        <w:softHyphen/>
        <w:t>земных войск и освобождению воз</w:t>
      </w:r>
      <w:r w:rsidRPr="00271E51">
        <w:rPr>
          <w:rFonts w:ascii="Times New Roman" w:hAnsi="Times New Roman"/>
          <w:color w:val="000000" w:themeColor="text1"/>
          <w:sz w:val="16"/>
          <w:szCs w:val="16"/>
        </w:rPr>
        <w:softHyphen/>
        <w:t>духа над линией фронта от самоле</w:t>
      </w:r>
      <w:r w:rsidRPr="00271E51">
        <w:rPr>
          <w:rFonts w:ascii="Times New Roman" w:hAnsi="Times New Roman"/>
          <w:color w:val="000000" w:themeColor="text1"/>
          <w:sz w:val="16"/>
          <w:szCs w:val="16"/>
        </w:rPr>
        <w:softHyphen/>
        <w:t>тов противника. Продвигаясь вслед за наступающими частями, полк в про</w:t>
      </w:r>
      <w:r w:rsidRPr="00271E51">
        <w:rPr>
          <w:rFonts w:ascii="Times New Roman" w:hAnsi="Times New Roman"/>
          <w:color w:val="000000" w:themeColor="text1"/>
          <w:sz w:val="16"/>
          <w:szCs w:val="16"/>
        </w:rPr>
        <w:softHyphen/>
        <w:t>цессе испытаний 5 раз менял место базирования и находился на аэро</w:t>
      </w:r>
      <w:r w:rsidRPr="00271E51">
        <w:rPr>
          <w:rFonts w:ascii="Times New Roman" w:hAnsi="Times New Roman"/>
          <w:color w:val="000000" w:themeColor="text1"/>
          <w:sz w:val="16"/>
          <w:szCs w:val="16"/>
        </w:rPr>
        <w:softHyphen/>
        <w:t>дромах: Студенец, Пруды (около г. Новосиль), Протасове (вост. г. Орел в 20 км), Орел гражданский и «9 ду</w:t>
      </w:r>
      <w:r w:rsidRPr="00271E51">
        <w:rPr>
          <w:rFonts w:ascii="Times New Roman" w:hAnsi="Times New Roman"/>
          <w:color w:val="000000" w:themeColor="text1"/>
          <w:sz w:val="16"/>
          <w:szCs w:val="16"/>
        </w:rPr>
        <w:softHyphen/>
        <w:t>бов» (с.в. Карачево, в 14 км). Все аэро</w:t>
      </w:r>
      <w:r w:rsidRPr="00271E51">
        <w:rPr>
          <w:rFonts w:ascii="Times New Roman" w:hAnsi="Times New Roman"/>
          <w:color w:val="000000" w:themeColor="text1"/>
          <w:sz w:val="16"/>
          <w:szCs w:val="16"/>
        </w:rPr>
        <w:softHyphen/>
        <w:t>дромы были организованы на полях с травянистым покровом средней пыльности (10723).</w:t>
      </w:r>
    </w:p>
    <w:p w14:paraId="68B37E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период с 25 мая по 25 августа было выполнено 818 с/в с об</w:t>
      </w:r>
      <w:r w:rsidRPr="00271E51">
        <w:rPr>
          <w:rFonts w:ascii="Times New Roman" w:hAnsi="Times New Roman"/>
          <w:color w:val="000000" w:themeColor="text1"/>
          <w:sz w:val="16"/>
          <w:szCs w:val="16"/>
        </w:rPr>
        <w:softHyphen/>
        <w:t>щей наработкой моторов 782 ч 25 мин, из них: в воздухе - 636 ч 42 мин и на земле 145 ч 43 мин.</w:t>
      </w:r>
    </w:p>
    <w:p w14:paraId="48FE6C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моторов была проверена до высоты 6000 м. Основная масса полетов проходила на высотах 2000-4000 м при работе моторов на 1-й скорости нагнетателя. Полеты на 2-й скорости нагнетателя до высоты 6000 м производились в редких случаях.</w:t>
      </w:r>
    </w:p>
    <w:p w14:paraId="63977C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на 1-й и 2-й скоростях нагнетателя, на всех режимах и высо</w:t>
      </w:r>
      <w:r w:rsidRPr="00271E51">
        <w:rPr>
          <w:rFonts w:ascii="Times New Roman" w:hAnsi="Times New Roman"/>
          <w:color w:val="000000" w:themeColor="text1"/>
          <w:sz w:val="16"/>
          <w:szCs w:val="16"/>
        </w:rPr>
        <w:softHyphen/>
        <w:t>тах полета работали хорошо. 2-я ско</w:t>
      </w:r>
      <w:r w:rsidRPr="00271E51">
        <w:rPr>
          <w:rFonts w:ascii="Times New Roman" w:hAnsi="Times New Roman"/>
          <w:color w:val="000000" w:themeColor="text1"/>
          <w:sz w:val="16"/>
          <w:szCs w:val="16"/>
        </w:rPr>
        <w:softHyphen/>
        <w:t>рость нагнетателя включалась на вы</w:t>
      </w:r>
      <w:r w:rsidRPr="00271E51">
        <w:rPr>
          <w:rFonts w:ascii="Times New Roman" w:hAnsi="Times New Roman"/>
          <w:color w:val="000000" w:themeColor="text1"/>
          <w:sz w:val="16"/>
          <w:szCs w:val="16"/>
        </w:rPr>
        <w:softHyphen/>
        <w:t>соте 3500-4000 м. При работе мото</w:t>
      </w:r>
      <w:r w:rsidRPr="00271E51">
        <w:rPr>
          <w:rFonts w:ascii="Times New Roman" w:hAnsi="Times New Roman"/>
          <w:color w:val="000000" w:themeColor="text1"/>
          <w:sz w:val="16"/>
          <w:szCs w:val="16"/>
        </w:rPr>
        <w:softHyphen/>
        <w:t>ров на 2-й скорости нагнетателя на</w:t>
      </w:r>
      <w:r w:rsidRPr="00271E51">
        <w:rPr>
          <w:rFonts w:ascii="Times New Roman" w:hAnsi="Times New Roman"/>
          <w:color w:val="000000" w:themeColor="text1"/>
          <w:sz w:val="16"/>
          <w:szCs w:val="16"/>
        </w:rPr>
        <w:softHyphen/>
        <w:t>блюдалось дымление мотора, которое стало проявляться в большей степени после наработки 60 и более часов. Дымление на работу мотора не ска</w:t>
      </w:r>
      <w:r w:rsidRPr="00271E51">
        <w:rPr>
          <w:rFonts w:ascii="Times New Roman" w:hAnsi="Times New Roman"/>
          <w:color w:val="000000" w:themeColor="text1"/>
          <w:sz w:val="16"/>
          <w:szCs w:val="16"/>
        </w:rPr>
        <w:softHyphen/>
        <w:t>зывалось, он работал нормально.</w:t>
      </w:r>
    </w:p>
    <w:p w14:paraId="4593BA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моторов на форсаже (п=2500 об/мин и Рк=1180 мм рт.ст.) была нормальная. Непрерывная про</w:t>
      </w:r>
      <w:r w:rsidRPr="00271E51">
        <w:rPr>
          <w:rFonts w:ascii="Times New Roman" w:hAnsi="Times New Roman"/>
          <w:color w:val="000000" w:themeColor="text1"/>
          <w:sz w:val="16"/>
          <w:szCs w:val="16"/>
        </w:rPr>
        <w:softHyphen/>
        <w:t>должительность работы мотора на форсаже допускалась не более 3-4 мин, так как дольше свечи ВГ-12 не выдерживали, давали перебои, и лет</w:t>
      </w:r>
      <w:r w:rsidRPr="00271E51">
        <w:rPr>
          <w:rFonts w:ascii="Times New Roman" w:hAnsi="Times New Roman"/>
          <w:color w:val="000000" w:themeColor="text1"/>
          <w:sz w:val="16"/>
          <w:szCs w:val="16"/>
        </w:rPr>
        <w:softHyphen/>
        <w:t>чик вынужден был уменьшать наддув.</w:t>
      </w:r>
    </w:p>
    <w:p w14:paraId="4F6572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Запуск мотора в летних условиях при температуре воздуха +10...+25°С - отличный. Мотор запускался все</w:t>
      </w:r>
      <w:r w:rsidRPr="00271E51">
        <w:rPr>
          <w:rFonts w:ascii="Times New Roman" w:hAnsi="Times New Roman"/>
          <w:color w:val="000000" w:themeColor="text1"/>
          <w:sz w:val="16"/>
          <w:szCs w:val="16"/>
        </w:rPr>
        <w:softHyphen/>
        <w:t>гда с первой попытки. При пониже</w:t>
      </w:r>
      <w:r w:rsidRPr="00271E51">
        <w:rPr>
          <w:rFonts w:ascii="Times New Roman" w:hAnsi="Times New Roman"/>
          <w:color w:val="000000" w:themeColor="text1"/>
          <w:sz w:val="16"/>
          <w:szCs w:val="16"/>
        </w:rPr>
        <w:softHyphen/>
        <w:t>нии температуры (холодные утренни</w:t>
      </w:r>
      <w:r w:rsidRPr="00271E51">
        <w:rPr>
          <w:rFonts w:ascii="Times New Roman" w:hAnsi="Times New Roman"/>
          <w:color w:val="000000" w:themeColor="text1"/>
          <w:sz w:val="16"/>
          <w:szCs w:val="16"/>
        </w:rPr>
        <w:softHyphen/>
        <w:t>ки в августе месяце) мотор запускал</w:t>
      </w:r>
      <w:r w:rsidRPr="00271E51">
        <w:rPr>
          <w:rFonts w:ascii="Times New Roman" w:hAnsi="Times New Roman"/>
          <w:color w:val="000000" w:themeColor="text1"/>
          <w:sz w:val="16"/>
          <w:szCs w:val="16"/>
        </w:rPr>
        <w:softHyphen/>
        <w:t>ся также хорошо.</w:t>
      </w:r>
    </w:p>
    <w:p w14:paraId="01F88B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боевой работы режи</w:t>
      </w:r>
      <w:r w:rsidRPr="00271E51">
        <w:rPr>
          <w:rFonts w:ascii="Times New Roman" w:hAnsi="Times New Roman"/>
          <w:color w:val="000000" w:themeColor="text1"/>
          <w:sz w:val="16"/>
          <w:szCs w:val="16"/>
        </w:rPr>
        <w:softHyphen/>
        <w:t>мы моторов были:</w:t>
      </w:r>
    </w:p>
    <w:p w14:paraId="36FC69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следовании на фронт и об</w:t>
      </w:r>
      <w:r w:rsidRPr="00271E51">
        <w:rPr>
          <w:rFonts w:ascii="Times New Roman" w:hAnsi="Times New Roman"/>
          <w:color w:val="000000" w:themeColor="text1"/>
          <w:sz w:val="16"/>
          <w:szCs w:val="16"/>
        </w:rPr>
        <w:softHyphen/>
        <w:t>ратно: п=2000-2200 об/мин и Рк=600-800 мм рт.ст.;</w:t>
      </w:r>
    </w:p>
    <w:p w14:paraId="0C5C38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над линией фронта: п=2000-2200 об/мин и Рк=800-950 мм;</w:t>
      </w:r>
    </w:p>
    <w:p w14:paraId="48DD0F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ведении воздушного боя ре</w:t>
      </w:r>
      <w:r w:rsidRPr="00271E51">
        <w:rPr>
          <w:rFonts w:ascii="Times New Roman" w:hAnsi="Times New Roman"/>
          <w:color w:val="000000" w:themeColor="text1"/>
          <w:sz w:val="16"/>
          <w:szCs w:val="16"/>
        </w:rPr>
        <w:softHyphen/>
        <w:t>жим работы мотора изменялся в за</w:t>
      </w:r>
      <w:r w:rsidRPr="00271E51">
        <w:rPr>
          <w:rFonts w:ascii="Times New Roman" w:hAnsi="Times New Roman"/>
          <w:color w:val="000000" w:themeColor="text1"/>
          <w:sz w:val="16"/>
          <w:szCs w:val="16"/>
        </w:rPr>
        <w:softHyphen/>
        <w:t>висимости от обстановки и полная мощность мотора использовалась не</w:t>
      </w:r>
      <w:r w:rsidRPr="00271E51">
        <w:rPr>
          <w:rFonts w:ascii="Times New Roman" w:hAnsi="Times New Roman"/>
          <w:color w:val="000000" w:themeColor="text1"/>
          <w:sz w:val="16"/>
          <w:szCs w:val="16"/>
        </w:rPr>
        <w:softHyphen/>
        <w:t>сколько раз периодами по 3-4 мину</w:t>
      </w:r>
      <w:r w:rsidRPr="00271E51">
        <w:rPr>
          <w:rFonts w:ascii="Times New Roman" w:hAnsi="Times New Roman"/>
          <w:color w:val="000000" w:themeColor="text1"/>
          <w:sz w:val="16"/>
          <w:szCs w:val="16"/>
        </w:rPr>
        <w:softHyphen/>
        <w:t>ты.</w:t>
      </w:r>
    </w:p>
    <w:p w14:paraId="639AF2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головок цилиндров перед вылетом была в пределах 1 30-140 °С, температура масла - 30-40 °С. При этих условиях взлет произво</w:t>
      </w:r>
      <w:r w:rsidRPr="00271E51">
        <w:rPr>
          <w:rFonts w:ascii="Times New Roman" w:hAnsi="Times New Roman"/>
          <w:color w:val="000000" w:themeColor="text1"/>
          <w:sz w:val="16"/>
          <w:szCs w:val="16"/>
        </w:rPr>
        <w:softHyphen/>
        <w:t>дился нормально и мотор работал хорошо, как на номинальном режиме, так и на форсаже. Температура го</w:t>
      </w:r>
      <w:r w:rsidRPr="00271E51">
        <w:rPr>
          <w:rFonts w:ascii="Times New Roman" w:hAnsi="Times New Roman"/>
          <w:color w:val="000000" w:themeColor="text1"/>
          <w:sz w:val="16"/>
          <w:szCs w:val="16"/>
        </w:rPr>
        <w:softHyphen/>
        <w:t>ловок цилиндров при наборе высоты, а также при работе на форсаже, не превышала 200-230 °С и температу</w:t>
      </w:r>
      <w:r w:rsidRPr="00271E51">
        <w:rPr>
          <w:rFonts w:ascii="Times New Roman" w:hAnsi="Times New Roman"/>
          <w:color w:val="000000" w:themeColor="text1"/>
          <w:sz w:val="16"/>
          <w:szCs w:val="16"/>
        </w:rPr>
        <w:softHyphen/>
        <w:t>ра масла - 50-65 °С. Температура головок цилиндров в горизонтальном полете находилась в пределах 160-190 °С, температура масла - 50-60 "С. Взлет и полет производились, как правило, при полностью закрытых бо</w:t>
      </w:r>
      <w:r w:rsidRPr="00271E51">
        <w:rPr>
          <w:rFonts w:ascii="Times New Roman" w:hAnsi="Times New Roman"/>
          <w:color w:val="000000" w:themeColor="text1"/>
          <w:sz w:val="16"/>
          <w:szCs w:val="16"/>
        </w:rPr>
        <w:softHyphen/>
        <w:t>ковых створках капота мотора и со</w:t>
      </w:r>
      <w:r w:rsidRPr="00271E51">
        <w:rPr>
          <w:rFonts w:ascii="Times New Roman" w:hAnsi="Times New Roman"/>
          <w:color w:val="000000" w:themeColor="text1"/>
          <w:sz w:val="16"/>
          <w:szCs w:val="16"/>
        </w:rPr>
        <w:softHyphen/>
        <w:t>вке маслорадиатора - по потоку.</w:t>
      </w:r>
    </w:p>
    <w:p w14:paraId="4A5BE64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отметить, что темпера</w:t>
      </w:r>
      <w:r w:rsidRPr="00271E51">
        <w:rPr>
          <w:rFonts w:ascii="Times New Roman" w:hAnsi="Times New Roman"/>
          <w:color w:val="000000" w:themeColor="text1"/>
          <w:sz w:val="16"/>
          <w:szCs w:val="16"/>
        </w:rPr>
        <w:softHyphen/>
        <w:t>тура головок цилиндров моторов М-82ФН при равных условиях полета и режимах работы моторов, оказалась ниже на 20-30 градусов, а темпера</w:t>
      </w:r>
      <w:r w:rsidRPr="00271E51">
        <w:rPr>
          <w:rFonts w:ascii="Times New Roman" w:hAnsi="Times New Roman"/>
          <w:color w:val="000000" w:themeColor="text1"/>
          <w:sz w:val="16"/>
          <w:szCs w:val="16"/>
        </w:rPr>
        <w:softHyphen/>
        <w:t>тура масла на 10-15 градусов, чем у моторов М-82Ф. Это было следстви</w:t>
      </w:r>
      <w:r w:rsidRPr="00271E51">
        <w:rPr>
          <w:rFonts w:ascii="Times New Roman" w:hAnsi="Times New Roman"/>
          <w:color w:val="000000" w:themeColor="text1"/>
          <w:sz w:val="16"/>
          <w:szCs w:val="16"/>
        </w:rPr>
        <w:softHyphen/>
        <w:t>ем лучшего охлаждения цилиндров в результате испарения непосредствен</w:t>
      </w:r>
      <w:r w:rsidRPr="00271E51">
        <w:rPr>
          <w:rFonts w:ascii="Times New Roman" w:hAnsi="Times New Roman"/>
          <w:color w:val="000000" w:themeColor="text1"/>
          <w:sz w:val="16"/>
          <w:szCs w:val="16"/>
        </w:rPr>
        <w:softHyphen/>
        <w:t>но в них впрыскиваемого топлива.</w:t>
      </w:r>
    </w:p>
    <w:p w14:paraId="429F1E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Свечи ВГ-12 до наддува 950-1000 мм работали 15-20 часов. При рабо</w:t>
      </w:r>
      <w:r w:rsidRPr="00271E51">
        <w:rPr>
          <w:rFonts w:ascii="Times New Roman" w:hAnsi="Times New Roman"/>
          <w:color w:val="000000" w:themeColor="text1"/>
          <w:sz w:val="16"/>
          <w:szCs w:val="16"/>
        </w:rPr>
        <w:softHyphen/>
        <w:t>те мотора на форсаже (Рк=1 180 мм) свечи ВГ-12 отказывали в работе че</w:t>
      </w:r>
      <w:r w:rsidRPr="00271E51">
        <w:rPr>
          <w:rFonts w:ascii="Times New Roman" w:hAnsi="Times New Roman"/>
          <w:color w:val="000000" w:themeColor="text1"/>
          <w:sz w:val="16"/>
          <w:szCs w:val="16"/>
        </w:rPr>
        <w:softHyphen/>
        <w:t>рез 5-10 часов. Полет на Рк=1180 мм продолжительностью свыше 3-4 минут был невозможен из-за отказа свечей.</w:t>
      </w:r>
    </w:p>
    <w:p w14:paraId="6D71FC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Насос НБ-ЗУ за время испытаний обеспечивал нормальную работу мо</w:t>
      </w:r>
      <w:r w:rsidRPr="00271E51">
        <w:rPr>
          <w:rFonts w:ascii="Times New Roman" w:hAnsi="Times New Roman"/>
          <w:color w:val="000000" w:themeColor="text1"/>
          <w:sz w:val="16"/>
          <w:szCs w:val="16"/>
        </w:rPr>
        <w:softHyphen/>
        <w:t>тора на всех режимах и высотах по</w:t>
      </w:r>
      <w:r w:rsidRPr="00271E51">
        <w:rPr>
          <w:rFonts w:ascii="Times New Roman" w:hAnsi="Times New Roman"/>
          <w:color w:val="000000" w:themeColor="text1"/>
          <w:sz w:val="16"/>
          <w:szCs w:val="16"/>
        </w:rPr>
        <w:softHyphen/>
        <w:t>лета. Форсунки ФБ-10, маятниковый воздухоотделитель и трубки высокого давления (за исключением трещины трубки на самолете №0257) работа</w:t>
      </w:r>
      <w:r w:rsidRPr="00271E51">
        <w:rPr>
          <w:rFonts w:ascii="Times New Roman" w:hAnsi="Times New Roman"/>
          <w:color w:val="000000" w:themeColor="text1"/>
          <w:sz w:val="16"/>
          <w:szCs w:val="16"/>
        </w:rPr>
        <w:softHyphen/>
        <w:t>ли безотказно и дефектов не имели.</w:t>
      </w:r>
    </w:p>
    <w:p w14:paraId="48EBFB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полку были случаи, показавшие, что мотор М-82ФН и ВМГ самолета Ла-5 с мотором М-82ФН в противо</w:t>
      </w:r>
      <w:r w:rsidRPr="00271E51">
        <w:rPr>
          <w:rFonts w:ascii="Times New Roman" w:hAnsi="Times New Roman"/>
          <w:color w:val="000000" w:themeColor="text1"/>
          <w:sz w:val="16"/>
          <w:szCs w:val="16"/>
        </w:rPr>
        <w:softHyphen/>
        <w:t>пожарном отношении достаточно жи</w:t>
      </w:r>
      <w:r w:rsidRPr="00271E51">
        <w:rPr>
          <w:rFonts w:ascii="Times New Roman" w:hAnsi="Times New Roman"/>
          <w:color w:val="000000" w:themeColor="text1"/>
          <w:sz w:val="16"/>
          <w:szCs w:val="16"/>
        </w:rPr>
        <w:softHyphen/>
        <w:t>вуч. Так, например: на самолете №39210257 в полете в результате излома сухариков и обрыва грибка клапана выхлопа произошло разру</w:t>
      </w:r>
      <w:r w:rsidRPr="00271E51">
        <w:rPr>
          <w:rFonts w:ascii="Times New Roman" w:hAnsi="Times New Roman"/>
          <w:color w:val="000000" w:themeColor="text1"/>
          <w:sz w:val="16"/>
          <w:szCs w:val="16"/>
        </w:rPr>
        <w:softHyphen/>
        <w:t>шение головки цилиндра №12 на три части. Летчик не заметил отклоне</w:t>
      </w:r>
      <w:r w:rsidRPr="00271E51">
        <w:rPr>
          <w:rFonts w:ascii="Times New Roman" w:hAnsi="Times New Roman"/>
          <w:color w:val="000000" w:themeColor="text1"/>
          <w:sz w:val="16"/>
          <w:szCs w:val="16"/>
        </w:rPr>
        <w:softHyphen/>
        <w:t>ний в работе мотора, продолжал по</w:t>
      </w:r>
      <w:r w:rsidRPr="00271E51">
        <w:rPr>
          <w:rFonts w:ascii="Times New Roman" w:hAnsi="Times New Roman"/>
          <w:color w:val="000000" w:themeColor="text1"/>
          <w:sz w:val="16"/>
          <w:szCs w:val="16"/>
        </w:rPr>
        <w:softHyphen/>
        <w:t>лет нормально и сел на свой аэро</w:t>
      </w:r>
      <w:r w:rsidRPr="00271E51">
        <w:rPr>
          <w:rFonts w:ascii="Times New Roman" w:hAnsi="Times New Roman"/>
          <w:color w:val="000000" w:themeColor="text1"/>
          <w:sz w:val="16"/>
          <w:szCs w:val="16"/>
        </w:rPr>
        <w:softHyphen/>
        <w:t>дром. Только при осмотре техником на земле обнаружено разрушение головки цилиндра.</w:t>
      </w:r>
    </w:p>
    <w:p w14:paraId="20170E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№39210218 в поле</w:t>
      </w:r>
      <w:r w:rsidRPr="00271E51">
        <w:rPr>
          <w:rFonts w:ascii="Times New Roman" w:hAnsi="Times New Roman"/>
          <w:color w:val="000000" w:themeColor="text1"/>
          <w:sz w:val="16"/>
          <w:szCs w:val="16"/>
        </w:rPr>
        <w:softHyphen/>
        <w:t>те образовалась трещина трубки, под</w:t>
      </w:r>
      <w:r w:rsidRPr="00271E51">
        <w:rPr>
          <w:rFonts w:ascii="Times New Roman" w:hAnsi="Times New Roman"/>
          <w:color w:val="000000" w:themeColor="text1"/>
          <w:sz w:val="16"/>
          <w:szCs w:val="16"/>
        </w:rPr>
        <w:softHyphen/>
        <w:t>водящей бензин от бензофильтра к насосу НБ-ЗУ. Бензин струей бил в кабину летчика. Летчик продолжал полет в течение 15 минут и сел нор</w:t>
      </w:r>
      <w:r w:rsidRPr="00271E51">
        <w:rPr>
          <w:rFonts w:ascii="Times New Roman" w:hAnsi="Times New Roman"/>
          <w:color w:val="000000" w:themeColor="text1"/>
          <w:sz w:val="16"/>
          <w:szCs w:val="16"/>
        </w:rPr>
        <w:softHyphen/>
        <w:t>мально на свой аэродром.</w:t>
      </w:r>
    </w:p>
    <w:p w14:paraId="2F9FBD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№39210262 в поле</w:t>
      </w:r>
      <w:r w:rsidRPr="00271E51">
        <w:rPr>
          <w:rFonts w:ascii="Times New Roman" w:hAnsi="Times New Roman"/>
          <w:color w:val="000000" w:themeColor="text1"/>
          <w:sz w:val="16"/>
          <w:szCs w:val="16"/>
        </w:rPr>
        <w:softHyphen/>
        <w:t>те произошел обрыв трубки бензо-манометра. Бензин под давлением 1,5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бил в кабину и лицо летчи</w:t>
      </w:r>
      <w:r w:rsidRPr="00271E51">
        <w:rPr>
          <w:rFonts w:ascii="Times New Roman" w:hAnsi="Times New Roman"/>
          <w:color w:val="000000" w:themeColor="text1"/>
          <w:sz w:val="16"/>
          <w:szCs w:val="16"/>
        </w:rPr>
        <w:softHyphen/>
        <w:t>ка - пожара не произошло.</w:t>
      </w:r>
    </w:p>
    <w:p w14:paraId="1E3652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№39210257 на 20-м часу работы мотора была обнаруже</w:t>
      </w:r>
      <w:r w:rsidRPr="00271E51">
        <w:rPr>
          <w:rFonts w:ascii="Times New Roman" w:hAnsi="Times New Roman"/>
          <w:color w:val="000000" w:themeColor="text1"/>
          <w:sz w:val="16"/>
          <w:szCs w:val="16"/>
        </w:rPr>
        <w:softHyphen/>
        <w:t>на трещина (во время послеполетно</w:t>
      </w:r>
      <w:r w:rsidRPr="00271E51">
        <w:rPr>
          <w:rFonts w:ascii="Times New Roman" w:hAnsi="Times New Roman"/>
          <w:color w:val="000000" w:themeColor="text1"/>
          <w:sz w:val="16"/>
          <w:szCs w:val="16"/>
        </w:rPr>
        <w:softHyphen/>
        <w:t>го осмотра) трубки высокого давления цилиндра №1 - пожара в полете не произошло.</w:t>
      </w:r>
    </w:p>
    <w:p w14:paraId="24F9D2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Отмечалось, что М-82 как мотор воздушного охлаждения по сравнению с мотором жидкостного охлаждения в бою более живуч и достаточно наде</w:t>
      </w:r>
      <w:r w:rsidRPr="00271E51">
        <w:rPr>
          <w:rFonts w:ascii="Times New Roman" w:hAnsi="Times New Roman"/>
          <w:color w:val="000000" w:themeColor="text1"/>
          <w:sz w:val="16"/>
          <w:szCs w:val="16"/>
        </w:rPr>
        <w:softHyphen/>
        <w:t>жен. В полку на самолете Ла-5 с М-82Ф летчик гв. л-т Тукин в воздуш</w:t>
      </w:r>
      <w:r w:rsidRPr="00271E51">
        <w:rPr>
          <w:rFonts w:ascii="Times New Roman" w:hAnsi="Times New Roman"/>
          <w:color w:val="000000" w:themeColor="text1"/>
          <w:sz w:val="16"/>
          <w:szCs w:val="16"/>
        </w:rPr>
        <w:softHyphen/>
        <w:t>ном бою 21 июля 1943 года был ата</w:t>
      </w:r>
      <w:r w:rsidRPr="00271E51">
        <w:rPr>
          <w:rFonts w:ascii="Times New Roman" w:hAnsi="Times New Roman"/>
          <w:color w:val="000000" w:themeColor="text1"/>
          <w:sz w:val="16"/>
          <w:szCs w:val="16"/>
        </w:rPr>
        <w:softHyphen/>
        <w:t>кован ГУ/ 190 и получил следующие повреждения мотора: пробита гильза цилиндра №13, разрушены перемыч</w:t>
      </w:r>
      <w:r w:rsidRPr="00271E51">
        <w:rPr>
          <w:rFonts w:ascii="Times New Roman" w:hAnsi="Times New Roman"/>
          <w:color w:val="000000" w:themeColor="text1"/>
          <w:sz w:val="16"/>
          <w:szCs w:val="16"/>
        </w:rPr>
        <w:softHyphen/>
        <w:t>ки поршня и поршневые кольца (в месте пробоя цилиндра), пробит вса</w:t>
      </w:r>
      <w:r w:rsidRPr="00271E51">
        <w:rPr>
          <w:rFonts w:ascii="Times New Roman" w:hAnsi="Times New Roman"/>
          <w:color w:val="000000" w:themeColor="text1"/>
          <w:sz w:val="16"/>
          <w:szCs w:val="16"/>
        </w:rPr>
        <w:softHyphen/>
        <w:t>сывающий патрубок цилиндра №14 (разрыв площадью около 30 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пе</w:t>
      </w:r>
      <w:r w:rsidRPr="00271E51">
        <w:rPr>
          <w:rFonts w:ascii="Times New Roman" w:hAnsi="Times New Roman"/>
          <w:color w:val="000000" w:themeColor="text1"/>
          <w:sz w:val="16"/>
          <w:szCs w:val="16"/>
        </w:rPr>
        <w:softHyphen/>
        <w:t>ребит кожух тяги клапана всасыва</w:t>
      </w:r>
      <w:r w:rsidRPr="00271E51">
        <w:rPr>
          <w:rFonts w:ascii="Times New Roman" w:hAnsi="Times New Roman"/>
          <w:color w:val="000000" w:themeColor="text1"/>
          <w:sz w:val="16"/>
          <w:szCs w:val="16"/>
        </w:rPr>
        <w:softHyphen/>
        <w:t>ния цилиндра №13 и перебита экра</w:t>
      </w:r>
      <w:r w:rsidRPr="00271E51">
        <w:rPr>
          <w:rFonts w:ascii="Times New Roman" w:hAnsi="Times New Roman"/>
          <w:color w:val="000000" w:themeColor="text1"/>
          <w:sz w:val="16"/>
          <w:szCs w:val="16"/>
        </w:rPr>
        <w:softHyphen/>
        <w:t>нировка коллектора зажигания. С эти</w:t>
      </w:r>
      <w:r w:rsidRPr="00271E51">
        <w:rPr>
          <w:rFonts w:ascii="Times New Roman" w:hAnsi="Times New Roman"/>
          <w:color w:val="000000" w:themeColor="text1"/>
          <w:sz w:val="16"/>
          <w:szCs w:val="16"/>
        </w:rPr>
        <w:softHyphen/>
        <w:t xml:space="preserve">ми повреждениями гв. л-т Тукин сам </w:t>
      </w:r>
      <w:r w:rsidRPr="00271E51">
        <w:rPr>
          <w:rFonts w:ascii="Times New Roman" w:hAnsi="Times New Roman"/>
          <w:color w:val="000000" w:themeColor="text1"/>
          <w:sz w:val="16"/>
          <w:szCs w:val="16"/>
        </w:rPr>
        <w:lastRenderedPageBreak/>
        <w:t>атаковал и сбил противника, благо</w:t>
      </w:r>
      <w:r w:rsidRPr="00271E51">
        <w:rPr>
          <w:rFonts w:ascii="Times New Roman" w:hAnsi="Times New Roman"/>
          <w:color w:val="000000" w:themeColor="text1"/>
          <w:sz w:val="16"/>
          <w:szCs w:val="16"/>
        </w:rPr>
        <w:softHyphen/>
        <w:t>получно совершив посадку на свой аэродром. Полет после повреждений продолжался в течение 15 минут.</w:t>
      </w:r>
    </w:p>
    <w:p w14:paraId="1F16AE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Случаев повреждений в воздуш</w:t>
      </w:r>
      <w:r w:rsidRPr="00271E51">
        <w:rPr>
          <w:rFonts w:ascii="Times New Roman" w:hAnsi="Times New Roman"/>
          <w:color w:val="000000" w:themeColor="text1"/>
          <w:sz w:val="16"/>
          <w:szCs w:val="16"/>
        </w:rPr>
        <w:softHyphen/>
        <w:t>ном бою моторов М-82ФН за время боевой работы полка не было (10723).</w:t>
      </w:r>
    </w:p>
    <w:p w14:paraId="4432FD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17D96"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25 августа 1943 несмотря на попытки руководства завода форсировать работы по пере</w:t>
      </w:r>
      <w:r w:rsidRPr="00271E51">
        <w:rPr>
          <w:rFonts w:ascii="Times New Roman" w:cs="Times New Roman"/>
          <w:color w:val="000000" w:themeColor="text1"/>
          <w:spacing w:val="0"/>
        </w:rPr>
        <w:softHyphen/>
        <w:t>делке ТИС, общая готовность самоле</w:t>
      </w:r>
      <w:r w:rsidRPr="00271E51">
        <w:rPr>
          <w:rFonts w:ascii="Times New Roman" w:cs="Times New Roman"/>
          <w:color w:val="000000" w:themeColor="text1"/>
          <w:spacing w:val="0"/>
        </w:rPr>
        <w:softHyphen/>
        <w:t>та оценивалась всего лишь в 45%. Сказывались недостаточная про</w:t>
      </w:r>
      <w:r w:rsidRPr="00271E51">
        <w:rPr>
          <w:rFonts w:ascii="Times New Roman" w:cs="Times New Roman"/>
          <w:color w:val="000000" w:themeColor="text1"/>
          <w:spacing w:val="0"/>
        </w:rPr>
        <w:softHyphen/>
        <w:t>изводственная мощность завода №51, некомплект рабочих и конструкторов. Но главное, все еще отсутствовали лет</w:t>
      </w:r>
      <w:r w:rsidRPr="00271E51">
        <w:rPr>
          <w:rFonts w:ascii="Times New Roman" w:cs="Times New Roman"/>
          <w:color w:val="000000" w:themeColor="text1"/>
          <w:spacing w:val="0"/>
        </w:rPr>
        <w:softHyphen/>
        <w:t>ные экземпляры мотора.</w:t>
      </w:r>
    </w:p>
    <w:p w14:paraId="4CABE3C5"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Как следует из документов, мотор АМ-39 только к 6 августа в целом успеш</w:t>
      </w:r>
      <w:r w:rsidRPr="00271E51">
        <w:rPr>
          <w:rFonts w:ascii="Times New Roman" w:cs="Times New Roman"/>
          <w:color w:val="000000" w:themeColor="text1"/>
          <w:spacing w:val="0"/>
        </w:rPr>
        <w:softHyphen/>
        <w:t>но прошел внутризаводские испыта</w:t>
      </w:r>
      <w:r w:rsidRPr="00271E51">
        <w:rPr>
          <w:rFonts w:ascii="Times New Roman" w:cs="Times New Roman"/>
          <w:color w:val="000000" w:themeColor="text1"/>
          <w:spacing w:val="0"/>
        </w:rPr>
        <w:softHyphen/>
        <w:t>ния, на которых показал взлетную мощ</w:t>
      </w:r>
      <w:r w:rsidRPr="00271E51">
        <w:rPr>
          <w:rFonts w:ascii="Times New Roman" w:cs="Times New Roman"/>
          <w:color w:val="000000" w:themeColor="text1"/>
          <w:spacing w:val="0"/>
        </w:rPr>
        <w:softHyphen/>
        <w:t>ность 1750 л.с., номинальную мощность 1550 л.с. на высоте 1800 м, и 1400 л.с. - на высоте 6500 м.</w:t>
      </w:r>
    </w:p>
    <w:p w14:paraId="794DD534"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Находясь под впечатлением резуль</w:t>
      </w:r>
      <w:r w:rsidRPr="00271E51">
        <w:rPr>
          <w:rFonts w:ascii="Times New Roman" w:cs="Times New Roman"/>
          <w:color w:val="000000" w:themeColor="text1"/>
          <w:spacing w:val="0"/>
        </w:rPr>
        <w:softHyphen/>
        <w:t>татов испытаний, вселявших опреде</w:t>
      </w:r>
      <w:r w:rsidRPr="00271E51">
        <w:rPr>
          <w:rFonts w:ascii="Times New Roman" w:cs="Times New Roman"/>
          <w:color w:val="000000" w:themeColor="text1"/>
          <w:spacing w:val="0"/>
        </w:rPr>
        <w:softHyphen/>
        <w:t>ленный оптимизм, главный конструктор мотора А.А. Микулин и директор завода №300 Г.А. Тихомирнов доложили нарко</w:t>
      </w:r>
      <w:r w:rsidRPr="00271E51">
        <w:rPr>
          <w:rFonts w:ascii="Times New Roman" w:cs="Times New Roman"/>
          <w:color w:val="000000" w:themeColor="text1"/>
          <w:spacing w:val="0"/>
        </w:rPr>
        <w:softHyphen/>
        <w:t>му авиапромышленности А.И. Шахурину, что использование турбокомпрессо</w:t>
      </w:r>
      <w:r w:rsidRPr="00271E51">
        <w:rPr>
          <w:rFonts w:ascii="Times New Roman" w:cs="Times New Roman"/>
          <w:color w:val="000000" w:themeColor="text1"/>
          <w:spacing w:val="0"/>
        </w:rPr>
        <w:softHyphen/>
        <w:t>ров «позволит достичь высоты 14000 м» и «никаких затруднений в серии не пред</w:t>
      </w:r>
      <w:r w:rsidRPr="00271E51">
        <w:rPr>
          <w:rFonts w:ascii="Times New Roman" w:cs="Times New Roman"/>
          <w:color w:val="000000" w:themeColor="text1"/>
          <w:spacing w:val="0"/>
        </w:rPr>
        <w:softHyphen/>
        <w:t>видится». Однако погорячились. Мотор все еще страдал «детскими болезнями» и требовал длительной кропотливой до</w:t>
      </w:r>
      <w:r w:rsidRPr="00271E51">
        <w:rPr>
          <w:rFonts w:ascii="Times New Roman" w:cs="Times New Roman"/>
          <w:color w:val="000000" w:themeColor="text1"/>
          <w:spacing w:val="0"/>
        </w:rPr>
        <w:softHyphen/>
        <w:t>водки. Эта работа завершилась лишь через 8 месяцев - в апреле 1944 г., ког</w:t>
      </w:r>
      <w:r w:rsidRPr="00271E51">
        <w:rPr>
          <w:rFonts w:ascii="Times New Roman" w:cs="Times New Roman"/>
          <w:color w:val="000000" w:themeColor="text1"/>
          <w:spacing w:val="0"/>
        </w:rPr>
        <w:softHyphen/>
        <w:t>да очередной опытный образец мото</w:t>
      </w:r>
      <w:r w:rsidRPr="00271E51">
        <w:rPr>
          <w:rFonts w:ascii="Times New Roman" w:cs="Times New Roman"/>
          <w:color w:val="000000" w:themeColor="text1"/>
          <w:spacing w:val="0"/>
        </w:rPr>
        <w:softHyphen/>
        <w:t>ра АМ-39А в целом успешно отработал всю программу государственных испы</w:t>
      </w:r>
      <w:r w:rsidRPr="00271E51">
        <w:rPr>
          <w:rFonts w:ascii="Times New Roman" w:cs="Times New Roman"/>
          <w:color w:val="000000" w:themeColor="text1"/>
          <w:spacing w:val="0"/>
        </w:rPr>
        <w:softHyphen/>
        <w:t>таний. Но серийным мотор так и не стал. Решения о его запуске в массовое про</w:t>
      </w:r>
      <w:r w:rsidRPr="00271E51">
        <w:rPr>
          <w:rFonts w:ascii="Times New Roman" w:cs="Times New Roman"/>
          <w:color w:val="000000" w:themeColor="text1"/>
          <w:spacing w:val="0"/>
        </w:rPr>
        <w:softHyphen/>
        <w:t>изводство не последовало. Вместо это</w:t>
      </w:r>
      <w:r w:rsidRPr="00271E51">
        <w:rPr>
          <w:rFonts w:ascii="Times New Roman" w:cs="Times New Roman"/>
          <w:color w:val="000000" w:themeColor="text1"/>
          <w:spacing w:val="0"/>
        </w:rPr>
        <w:softHyphen/>
        <w:t>го развернулись работы по увеличению мощности и высотности мотора.</w:t>
      </w:r>
    </w:p>
    <w:p w14:paraId="39F92786"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Тем временем в связи с выходом 18 августа 1943 г. постановления ГОКО о разработке авиационных пушек кали</w:t>
      </w:r>
      <w:r w:rsidRPr="00271E51">
        <w:rPr>
          <w:rFonts w:ascii="Times New Roman" w:cs="Times New Roman"/>
          <w:color w:val="000000" w:themeColor="text1"/>
          <w:spacing w:val="0"/>
        </w:rPr>
        <w:softHyphen/>
        <w:t>бра 45 мм в ОКБ Поликарпова к концу сентября отработали вариант установки на ТИС двух 45-мм пушек 111П, которые создавались в ОКБ-16 на базе серийной пушки НС-37 путем ее перестволения на больший калибр (15758).</w:t>
      </w:r>
    </w:p>
    <w:p w14:paraId="266E0E6E" w14:textId="77777777" w:rsidR="009C7F1C" w:rsidRPr="00271E51" w:rsidRDefault="009C7F1C" w:rsidP="00271E51">
      <w:pPr>
        <w:pStyle w:val="27"/>
        <w:shd w:val="clear" w:color="auto" w:fill="auto"/>
        <w:spacing w:after="0" w:line="240" w:lineRule="auto"/>
        <w:ind w:firstLine="0"/>
        <w:rPr>
          <w:rFonts w:ascii="Times New Roman" w:cs="Times New Roman"/>
          <w:color w:val="000000" w:themeColor="text1"/>
          <w:spacing w:val="0"/>
        </w:rPr>
      </w:pPr>
    </w:p>
    <w:p w14:paraId="672C6820"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25 августа ИТП (М-1) подготовили к прове</w:t>
      </w:r>
      <w:r w:rsidRPr="00271E51">
        <w:rPr>
          <w:color w:val="000000" w:themeColor="text1"/>
          <w:sz w:val="16"/>
          <w:szCs w:val="16"/>
        </w:rPr>
        <w:softHyphen/>
        <w:t>дению статических испытаний и затем передали в ЦАГИ. Эти испытания были успешно завершены лишь к 20 октября. Самолет выдержал 100% рас</w:t>
      </w:r>
      <w:r w:rsidRPr="00271E51">
        <w:rPr>
          <w:color w:val="000000" w:themeColor="text1"/>
          <w:sz w:val="16"/>
          <w:szCs w:val="16"/>
        </w:rPr>
        <w:softHyphen/>
        <w:t>четной нагрузки. При этой нагрузке разрушающих деформаций ни в одном из элементов конструкции самолета не выявлено (17500).</w:t>
      </w:r>
    </w:p>
    <w:p w14:paraId="2DA38F7C" w14:textId="77777777" w:rsidR="006F1C24" w:rsidRPr="00271E51" w:rsidRDefault="006F1C24" w:rsidP="00271E51">
      <w:pPr>
        <w:spacing w:after="0" w:line="240" w:lineRule="auto"/>
        <w:jc w:val="both"/>
        <w:rPr>
          <w:rFonts w:ascii="Times New Roman" w:hAnsi="Times New Roman"/>
          <w:color w:val="000000" w:themeColor="text1"/>
          <w:sz w:val="16"/>
          <w:szCs w:val="16"/>
        </w:rPr>
      </w:pPr>
    </w:p>
    <w:p w14:paraId="76C4452F"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25 августа 1943 были успешно завершены статические испытанияй ИТП (М-1) в ЦАГИ, которые шли с 25 августа 1943. Самолет выдержал 100% рас</w:t>
      </w:r>
      <w:r w:rsidRPr="00271E51">
        <w:rPr>
          <w:color w:val="000000" w:themeColor="text1"/>
          <w:sz w:val="16"/>
          <w:szCs w:val="16"/>
        </w:rPr>
        <w:softHyphen/>
        <w:t>четной нагрузки. При этой нагрузке разрушающих деформаций ни в одном из элементов конструкции самолета не выявлено (17500).</w:t>
      </w:r>
    </w:p>
    <w:p w14:paraId="629F24AB" w14:textId="77777777" w:rsidR="006F1C24" w:rsidRPr="00271E51" w:rsidRDefault="006F1C24" w:rsidP="00271E51">
      <w:pPr>
        <w:spacing w:after="0" w:line="240" w:lineRule="auto"/>
        <w:jc w:val="both"/>
        <w:rPr>
          <w:rFonts w:ascii="Times New Roman" w:hAnsi="Times New Roman"/>
          <w:color w:val="000000" w:themeColor="text1"/>
          <w:sz w:val="16"/>
          <w:szCs w:val="16"/>
        </w:rPr>
      </w:pPr>
    </w:p>
    <w:p w14:paraId="0E4E93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Начальник 2 отдела оперативного управления штаба ВВС полковник Васильев, ст. помощник начальника 2 отдела оперативного управления штаба ВВС инженер-майор Пименов подготовили:</w:t>
      </w:r>
    </w:p>
    <w:p w14:paraId="776C5F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из предварительного анализа потерь авиации.</w:t>
      </w:r>
    </w:p>
    <w:p w14:paraId="138EC1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Предварительный анализ боевых потерь авиации показывает, что основные потери она несет в воздушном бою, значительно менее от огня ЗА и ЗП противника и ничтожные потери, в результате нападения авиации противника на аэродромы.</w:t>
      </w:r>
    </w:p>
    <w:p w14:paraId="66A57F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из числа потерь, приходящихся на 138183 боевых самолетовылетов всех видов авиации, 47,9% составляют потери в воздушных боях, 19,5% - от огня зенитных средств и только 3% от бомбардировок аэродромов.</w:t>
      </w:r>
    </w:p>
    <w:p w14:paraId="761043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Довольно значительным является процент потерь по невыясненным причинам, которые обычно классифицируются, как "не вернувшиеся" с боевого задания. Этот вид потерь у одноместных самолетов (истребители и штурмовики) больше чем у многоместных и особенно велик у ночных бомбардировщиков У-2 и Р-5.</w:t>
      </w:r>
    </w:p>
    <w:p w14:paraId="68FA39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Объяснение этого можно найти в том6 что ближние ночные бомбардировщики действуют, как правило, в одиночку или небольшими группами, что затрудняет определение истинных причин потери. Повышенный процент этого вида потерь у одноместных самолетов является результатом во-первых плохого обзора на истребителях и штурмовиках, во-вторых отвлечением внимания летчика на пилотирование самолета и ориентировку, вследствие чего он не может непрерывно наблюдать за соседями.</w:t>
      </w:r>
    </w:p>
    <w:p w14:paraId="627420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видам авиации потери по невыясненным причинам составляют: у ночных бомбардировщиков 54,0% штурмовиков - 29,7%, истребителей - 29,0%; дневных бомбардировщиков - 26,0%; в целом по всем видам авиации эти потери равны 29,6% от общего числа боевых потерь.</w:t>
      </w:r>
    </w:p>
    <w:p w14:paraId="1BFE6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Столь большие потери по невыясненным причинам характеризуют отсутствие нужного наблюдения за соседями в воздухе и недостаточную сколоченность групп, особенно у штурмовиков и бомбардировщиков в воздушном бою, следствием чего является растянутость боевого порядка и отставание или отрыв отдельных самолетов от общего боевого порядка группы. Как показывают многочисленные наблюдения, отставание и отрыв отдельных самолетов являются одной их главных причин сбития бомбардировщиков и штурмовиков истребителями противника. В том случае, когда это происходит вне наблюдений с земли или с соседних самолетов, потери обычно зачисляются в группу невернувшихся с боевого задания.</w:t>
      </w:r>
    </w:p>
    <w:p w14:paraId="09195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в таблице 1, приводится боевой налет, приходящийся на одну боевую потерю самолета каждого вида авиации.</w:t>
      </w:r>
    </w:p>
    <w:p w14:paraId="2B9916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 приложение таблица N 1).</w:t>
      </w:r>
    </w:p>
    <w:p w14:paraId="2B002F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видно их таблицы, наибольшую продолжительность боевой службы, выраженной в боевых самолетовылетах и часах налета, имеют ближние ночные бомбардировщики. На одну боевую потерю у них приходится 476 самолетовылетов и 503 часа боевого налета, в то время, как соответственно у истребителей - 69 самолетовылетов и 60 часов, у дневных бомбардировщиков - 48 с/вылетов и 63 часа, у штурмовиков - 26 самолетовылетов и 27 часов налета.</w:t>
      </w:r>
    </w:p>
    <w:p w14:paraId="4128FC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продолжительность боевой службы ночных бомбардировщиков наглядно показывает, что огонь МЗА и ЗП, прикрывающий войска и объекты войскового тыла противника, по которым преимущественно действуют самолеты У-2 и Р-5, ночью малоэффективен, даже при стрельбе по самолетам, действующим на высотах от 1200 до 300 м. Объясняется это тем, что МЗА и ЗП противника не имеют приборов управления огнем, работающих на принципе определения местоположения самолета по звуку и поэтому могут вести стрельбу на поражение только "по-зрячему". Малая мощность моторов и небольшая скорость самолетов этого типа позволяют подходить к противнику под покровом ночи внезапно, т.к. звук мотора, особенно работающего на режиме малого газа, можно слышать на очень ограниченном удалении, а подход к району цели на относительно большой высоте (1200-1800 м) с последующим планированием до малой высоты как правило, является наилучшим средством, обеспечивающим внезапность нападения.</w:t>
      </w:r>
    </w:p>
    <w:p w14:paraId="5C5F7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Малая скорость планирования самолета У-2 и как следствие этого, отсутствие свистящих звуков, характерных для самолетов, планирующих на большой скорости, позволяют использовать пулеметы и РС-82 самолета У-2 для успешного подавления зенитных средств противника с малых высот на планировании. Как показал опыт, такой способ боевых действий ночников значительно снижает эффективность ПВО войск противника ночью. Из общего незначительного числа боевых потерь у ночных бомбардировщиков на долю зенитных средств падает только 14,3%.</w:t>
      </w:r>
    </w:p>
    <w:p w14:paraId="54E8C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одну боевую потерю истребителей приходится 69 самолетовылетов и 60 часов боевого налета. Основные потери у истребителей - 55,5% от общего числа боевых потерь - составляют потери в воздушном бою. От огня зенитных средств истребители имеют наименьшие потери, по сравнению с другими видами авиации, что является результатом характера боевой деятельности истребителей и отчасти следствием большой скорости, скоротечности атак и хорошей вертикальной маневренности самолетов.</w:t>
      </w:r>
    </w:p>
    <w:p w14:paraId="022AA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Военная деятельность истребителей в основном слагается из прикрытия войск и объектов на своей территории, сопровождения штурмовиков и бомбардировщиков и вылетов на поиск и уничтожение самолетов противника. Значительно реже истребители привлекаются для атаки наземных целей и выполнения разведки. Из всех перечисленных случаев истребители подвергаются обстрелу огнем ЗА и ЗП, главным образом, при сопровождении наших самолетов на территорию противника и при действиях по наземным объектам; как правило и в этих случаях истребители, имея большую скорость и хорошую маневренность, несут меньше потери, чем штурмовики и бомбардировщики.</w:t>
      </w:r>
    </w:p>
    <w:p w14:paraId="3A7327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видов авиации наибольшие боевые потери несут штурмовики. Средняя продолжительность боевой службы штурмовика равна 26 самолетовылетам и 27 часам боевого налета. Сравнительно с другими видами авиации их потери от зенитного огня являются наибольшими (34,6:), хотя живучесть самолета Ил-2, характеризующаяся бронированием жизненных частей, протектированием бензобаков и общей прочностью конструкции, значительно выше, чем у истребителей и бомбардировщиков.</w:t>
      </w:r>
    </w:p>
    <w:p w14:paraId="6ECD9B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Наибольший урон штурмовики несут при атаках войск и других объектов противника, прикрытых МЗА и ЗП, т.к. при этом они действуют с небольших высот (до бреющего полета включительно) и имеют относительно невысокую скорость. Анализ потерь Ил-2 показывает, что эффективность огня МЗА и крупнокалиберных пулеметов днем при стрельбе по самолетам, летящим на высотах от 600 до 1000 м достаточно велика и в значительной степени определяет большие потери штурмовиков.</w:t>
      </w:r>
    </w:p>
    <w:p w14:paraId="60DD5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боевой службы самолетов сильно зависит от степени противодействия противника с земли и в воздухе. Для уяснения этого полезно проследить по фронтам количество самолетовылетов и боевой налет, приходящийся на одну потерю самолетов, приведенные в таблице II.</w:t>
      </w:r>
    </w:p>
    <w:p w14:paraId="26FC2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Как видно из таблицы, наименьшие потери авиация несет на "спокойных" фронтах. Так, за первый год войны и март 1943 г. средний налет в ВВС 7 ОА составлял 152 с/в и 173 часа на один потерянный дневной бомбардировщик, 139 с/вылетов и 117 часов - на одну потерю истребителей, что значительно выше средних цифр, </w:t>
      </w:r>
      <w:r w:rsidRPr="00271E51">
        <w:rPr>
          <w:rFonts w:ascii="Times New Roman" w:hAnsi="Times New Roman"/>
          <w:color w:val="000000" w:themeColor="text1"/>
          <w:sz w:val="16"/>
          <w:szCs w:val="16"/>
        </w:rPr>
        <w:lastRenderedPageBreak/>
        <w:t>приведенных в таблице 1.</w:t>
      </w:r>
    </w:p>
    <w:p w14:paraId="33642D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потерь на Сталинградском, Донском и Калининском фронтах в октябре 1942 года - январе 1943 года показывает, что потери авиации бывает меньше в том случае, когда в результате наступления наших наземных войск сломлено сопротивление противника, подорвано моральное состояние его частей, нарушена система ПВО войск и объектов и когда господство в воздухе находится в наших руках.</w:t>
      </w:r>
    </w:p>
    <w:p w14:paraId="2544E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например, продолжительность боевой службы бомбардировщиков и штурмовиков в частях 16 ВА и 2-го БАК, действовавших в январе 1943 года по войскам и укреплениям противника в кольце окружения под Сталинградом, была соответственно в 11 и 4,4 раза выше средних цифр, приведенных в таблице 1, а в октябре-декабре 1942 года, т.е. до перехода наших войск в решительное наступление на Сталинградском направлении и в первый период борьбы с окруженной группировкой - была близка к средним цифрам, составляя 35 самолетовылетов на одну потерю бомбардировщиков и 34 с/вылетов на потерю истребителей.</w:t>
      </w:r>
    </w:p>
    <w:p w14:paraId="602057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Подобное увеличение продолжительности боевой службы штурмовиков и истребителей можно увидеть при анализе потерь частей 17 ВА и 3 САК в январе 1943 года на Юго-Западном фронте (см. таблицу II), где воздушная и наземная обстановка к тому времени сложилась в нашу пользу и противодействие противника было подавлено. Особенно значительно повысилась продолжительность службы штурмовиков - до 59 с/вылетов, что в 2,3 раза больше средних цифр.</w:t>
      </w:r>
    </w:p>
    <w:p w14:paraId="53C902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Совсем иная обстановка была на Калининском фронте в период октябрь 1942 года - январь 1943 года.</w:t>
      </w:r>
    </w:p>
    <w:p w14:paraId="617927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Наступление наших войск носило здесь частный характер и большого успеха, в смысле захвата территории не имело, поэтому система ПВО войск и объектов нарушена не была, о чем свидетельствует высокий процент потерь бомбардировщиков и штурмовиков от огня ЗА и ЗП. Кроме того противник имел достаточное количество авиации для того, чтобы активно противодействовать в воздухе работе нашей авиации. В довершение всего штурмовая и бомбардировочная авиация вынуждена была вести боевую работу из-за плохих метеоусловий, с очень малых высот и без прикрытия истребителей. Все это обусловило значительно меньшую продолжительность службы бомбардировщиков и штурмовиков, чем в других приведенных случаях.</w:t>
      </w:r>
    </w:p>
    <w:p w14:paraId="7FEF3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Наконец, огромное влияние на продолжительность боевой службы самолетов имеет уровень боевой подготовки летного состава.</w:t>
      </w:r>
    </w:p>
    <w:p w14:paraId="164EB1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показательной иллюстрацией этого положения является сравнение потерь истребителей 8 ВА, действовавших на Сталинградском фронте в сентябре-октябре 1942 года и 4 и 5 ВА за март-апрель 1943 года на Северо-Кавказском фронте. Количественное соотношение сил истребителей на фронтах и противодействие противника боевой работе нашей авиации с земли в обоих случаях было схожим, однако качество подготовки наших истребителей в марте-апреле 1943 года было несравненно выше, чем в сентябре-октябре 1942 г., когда обстановка на Сталинградском фронте вынуждала вводить в бой недостаточно подготовленные и слабо сколоченные истребительные авиачасти.</w:t>
      </w:r>
    </w:p>
    <w:p w14:paraId="63FEF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продолжительность боевой службы истребителей на Сталинградском фронте, как видно из таблицы III, составляла только 23 самолетовылета и 20 часов налета на одну потерю, тогда как на Северо-Кавказском фронте при тех же условиях боевой работы она выражалась в 41 самолетовылетах и 45 часах налета.</w:t>
      </w:r>
    </w:p>
    <w:p w14:paraId="46ADB9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при этом иметь в виду, что из 18 истребительных полков, действовавших в составе 8 ВА в сентябре-октябре 1942 г. на Сталинградском фронте, 9 полков имели на вооружении самолеты Як-1, 3 полка Як-7, 4 полка - Ла-5, один полк - Киттихаук и один полк - Лагг-3, т.е. 17 полков имели новейшую материальную часть.</w:t>
      </w:r>
    </w:p>
    <w:p w14:paraId="11A460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7427 самолетовылетов истребителей 4 и 5 ВА, произведенных в марте-апреле 1943 г. (см. таблицу III), 1854 самолетовылетов приходится на долю устаревших типов самолетов И-15бис, И-153, И-16 и 2573 самолетовылетов на самолеты Лагг-3; потери последних были несколько больше средних потерь по 4 и 5 ВА в целом за рассматриваемый период. Средняя продолжительность боевой службы истребителей Як-1, Як-7, Ла-5, Киттихаук и Аэрокобра за период март-апрель 1943 г. по Северо-Кавказскому фронту, как видно из таблицы III, оказалось значительно выше приведенной общей продолжительности для всех типов самолетов.</w:t>
      </w:r>
    </w:p>
    <w:p w14:paraId="6A1A31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таблице IV приведена продолжительность боевой службы различных типов самолетов ВВС.</w:t>
      </w:r>
    </w:p>
    <w:p w14:paraId="09E657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Наибольшую продолжительность боевой службы имеет самолет У-2-609 с/вылетов и 1105 часов боевого налета; значительно меньшую продолжительность, чем У-2 имеет другой ночной бомбардировщик Р-5, что объясняется частичным использованием его в качестве дневного бомбардировщика, а также меньшей маневренностью и худшими летными качествами на планировании, вследствие чего на самолете Р-5 труднее осуществить внезапность выхода на цель при действиях ночью.</w:t>
      </w:r>
    </w:p>
    <w:p w14:paraId="64BB4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Дневной бомбардировщик В-3 в сравнении с Пе-2 имеет меньшую продолжительность боевой службы, что является следствием малой живучести самолета В-3, т.к. наличие на нем большого запаса горючего, сложной гидросистемы, электропроводки и большого числа всевозможных трубок, незащищенных от пулеметного огня и осколков снарядов, сильно увеличивают его уязвимость.</w:t>
      </w:r>
    </w:p>
    <w:p w14:paraId="7F017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среднем на одну потерю самолета В-3 приходится 39 с/вылетов и 60 часов боевого налета, на Пе-2 - 57 самолетовылетов и 70 часов налета.</w:t>
      </w:r>
    </w:p>
    <w:p w14:paraId="75666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 на одну потерю истребителей колеблется в зависимости от типа самолета в широком пределе. Наибольший налет, составляющий 183 с/вылетов и 165 часов имеют самолеты Киттихаук.</w:t>
      </w:r>
    </w:p>
    <w:p w14:paraId="753EA2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продолжительность их боевой службы объясняется мощным стрелковым вооружением (6 крупнокалиберных пулеметов), дающим преимущество в воздушном бою при стрельбе на относительно больших дальностях, хорошей горизонтальной маневренностью и лучшим, сравнительно с отечественными самолетами, бронированием летчика (бронекозырек, передняя бронеплита перед приборной доской).</w:t>
      </w:r>
    </w:p>
    <w:p w14:paraId="7EE6E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Насколько сильно влияет увеличение бронирования на живучесть самолетов истребителей можно видеть из таблицы V, в которой приводится боевой налет на одну потерю наших истребителей, имеющих только бронеспинку и импортных истребителей, имеющих помимо бронеспинки козырек из бронестекла, броневой надголовник и дополнительное бронирование (плиты впереди расширительного бака и резервного бензобака у Харрикейна, 10 мм бронеплита перед приборной доской и щит впереди бачка охлаждающей жидкости у Киттихаук, плиты перед редуктором, за мотором и с боков кислородных приборов - у Аэрокобры).</w:t>
      </w:r>
    </w:p>
    <w:p w14:paraId="3F5F5A79" w14:textId="77777777" w:rsidR="004E18F4"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Таблицы V.</w:t>
      </w:r>
    </w:p>
    <w:p w14:paraId="7C5C3B52" w14:textId="02778CC0"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продолжительность боевой службы импортных и отечественных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945"/>
        <w:gridCol w:w="945"/>
        <w:gridCol w:w="945"/>
        <w:gridCol w:w="2551"/>
        <w:gridCol w:w="2554"/>
      </w:tblGrid>
      <w:tr w:rsidR="00A907A5" w:rsidRPr="00271E51" w14:paraId="1E2C8BDF" w14:textId="77777777" w:rsidTr="00ED5B0A">
        <w:tc>
          <w:tcPr>
            <w:tcW w:w="2660" w:type="dxa"/>
          </w:tcPr>
          <w:p w14:paraId="795CAD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истребителей</w:t>
            </w:r>
          </w:p>
        </w:tc>
        <w:tc>
          <w:tcPr>
            <w:tcW w:w="945" w:type="dxa"/>
          </w:tcPr>
          <w:p w14:paraId="737CC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945" w:type="dxa"/>
          </w:tcPr>
          <w:p w14:paraId="15EB5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FD6F3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Общие</w:t>
            </w:r>
          </w:p>
        </w:tc>
        <w:tc>
          <w:tcPr>
            <w:tcW w:w="2551" w:type="dxa"/>
          </w:tcPr>
          <w:p w14:paraId="744B4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на одну потерю</w:t>
            </w:r>
          </w:p>
        </w:tc>
        <w:tc>
          <w:tcPr>
            <w:tcW w:w="2554" w:type="dxa"/>
          </w:tcPr>
          <w:p w14:paraId="062D9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283A9C" w14:textId="77777777" w:rsidTr="00ED5B0A">
        <w:tc>
          <w:tcPr>
            <w:tcW w:w="2660" w:type="dxa"/>
          </w:tcPr>
          <w:p w14:paraId="2DFE9E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C00B5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945" w:type="dxa"/>
          </w:tcPr>
          <w:p w14:paraId="62336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945" w:type="dxa"/>
          </w:tcPr>
          <w:p w14:paraId="684D2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w:t>
            </w:r>
          </w:p>
        </w:tc>
        <w:tc>
          <w:tcPr>
            <w:tcW w:w="2551" w:type="dxa"/>
          </w:tcPr>
          <w:p w14:paraId="73161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2554" w:type="dxa"/>
          </w:tcPr>
          <w:p w14:paraId="307D62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часы налета</w:t>
            </w:r>
          </w:p>
        </w:tc>
      </w:tr>
      <w:tr w:rsidR="00A907A5" w:rsidRPr="00271E51" w14:paraId="1E1BA39A" w14:textId="77777777" w:rsidTr="00ED5B0A">
        <w:tc>
          <w:tcPr>
            <w:tcW w:w="2660" w:type="dxa"/>
          </w:tcPr>
          <w:p w14:paraId="035D45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C52FA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6615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часах</w:t>
            </w:r>
          </w:p>
        </w:tc>
        <w:tc>
          <w:tcPr>
            <w:tcW w:w="945" w:type="dxa"/>
          </w:tcPr>
          <w:p w14:paraId="5FCFD0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w:t>
            </w:r>
          </w:p>
        </w:tc>
        <w:tc>
          <w:tcPr>
            <w:tcW w:w="2551" w:type="dxa"/>
          </w:tcPr>
          <w:p w14:paraId="427F4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28354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3BAFB4" w14:textId="77777777" w:rsidTr="00ED5B0A">
        <w:tc>
          <w:tcPr>
            <w:tcW w:w="2660" w:type="dxa"/>
          </w:tcPr>
          <w:p w14:paraId="25601C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Импортные истребители</w:t>
            </w:r>
          </w:p>
        </w:tc>
        <w:tc>
          <w:tcPr>
            <w:tcW w:w="945" w:type="dxa"/>
          </w:tcPr>
          <w:p w14:paraId="733F52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F48F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DDCC6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69A8E8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0FEE54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66155E" w14:textId="77777777" w:rsidTr="00ED5B0A">
        <w:tc>
          <w:tcPr>
            <w:tcW w:w="2660" w:type="dxa"/>
          </w:tcPr>
          <w:p w14:paraId="1DD07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(Аэрокобра, Киттихаук,</w:t>
            </w:r>
          </w:p>
        </w:tc>
        <w:tc>
          <w:tcPr>
            <w:tcW w:w="945" w:type="dxa"/>
          </w:tcPr>
          <w:p w14:paraId="615B9B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25CB8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A21FE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552F39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0FC06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CF7CC0" w14:textId="77777777" w:rsidTr="00ED5B0A">
        <w:tc>
          <w:tcPr>
            <w:tcW w:w="2660" w:type="dxa"/>
          </w:tcPr>
          <w:p w14:paraId="014EAC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Харрикейн, Томагаук)</w:t>
            </w:r>
          </w:p>
        </w:tc>
        <w:tc>
          <w:tcPr>
            <w:tcW w:w="945" w:type="dxa"/>
          </w:tcPr>
          <w:p w14:paraId="4241B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15618</w:t>
            </w:r>
          </w:p>
        </w:tc>
        <w:tc>
          <w:tcPr>
            <w:tcW w:w="945" w:type="dxa"/>
          </w:tcPr>
          <w:p w14:paraId="6ED0C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44006</w:t>
            </w:r>
          </w:p>
        </w:tc>
        <w:tc>
          <w:tcPr>
            <w:tcW w:w="945" w:type="dxa"/>
          </w:tcPr>
          <w:p w14:paraId="5B825E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w:t>
            </w:r>
          </w:p>
        </w:tc>
        <w:tc>
          <w:tcPr>
            <w:tcW w:w="2551" w:type="dxa"/>
          </w:tcPr>
          <w:p w14:paraId="337CB3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2554" w:type="dxa"/>
          </w:tcPr>
          <w:p w14:paraId="52097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r>
      <w:tr w:rsidR="00A907A5" w:rsidRPr="00271E51" w14:paraId="53D35F37" w14:textId="77777777" w:rsidTr="00ED5B0A">
        <w:tc>
          <w:tcPr>
            <w:tcW w:w="2660" w:type="dxa"/>
          </w:tcPr>
          <w:p w14:paraId="65F1B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Отечественные</w:t>
            </w:r>
          </w:p>
        </w:tc>
        <w:tc>
          <w:tcPr>
            <w:tcW w:w="945" w:type="dxa"/>
          </w:tcPr>
          <w:p w14:paraId="06055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5357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E400E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3A75E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5801B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355A37" w14:textId="77777777" w:rsidTr="00ED5B0A">
        <w:tc>
          <w:tcPr>
            <w:tcW w:w="2660" w:type="dxa"/>
          </w:tcPr>
          <w:p w14:paraId="6EF8A4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и</w:t>
            </w:r>
          </w:p>
        </w:tc>
        <w:tc>
          <w:tcPr>
            <w:tcW w:w="945" w:type="dxa"/>
          </w:tcPr>
          <w:p w14:paraId="53C26B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4A943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CA1CB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75FF3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5A466F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B4A025" w14:textId="77777777" w:rsidTr="00ED5B0A">
        <w:tc>
          <w:tcPr>
            <w:tcW w:w="2660" w:type="dxa"/>
          </w:tcPr>
          <w:p w14:paraId="28D2CA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истребители-штурмовики</w:t>
            </w:r>
          </w:p>
        </w:tc>
        <w:tc>
          <w:tcPr>
            <w:tcW w:w="945" w:type="dxa"/>
          </w:tcPr>
          <w:p w14:paraId="39C06D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62341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185E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7A4B2F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3170F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1358C9" w14:textId="77777777" w:rsidTr="00ED5B0A">
        <w:tc>
          <w:tcPr>
            <w:tcW w:w="2660" w:type="dxa"/>
          </w:tcPr>
          <w:p w14:paraId="30708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Як-7б, Ла-5,</w:t>
            </w:r>
          </w:p>
        </w:tc>
        <w:tc>
          <w:tcPr>
            <w:tcW w:w="945" w:type="dxa"/>
          </w:tcPr>
          <w:p w14:paraId="689EC2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2D92D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5FD76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17B53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1EB36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A103CA" w14:textId="77777777" w:rsidTr="00ED5B0A">
        <w:tc>
          <w:tcPr>
            <w:tcW w:w="2660" w:type="dxa"/>
          </w:tcPr>
          <w:p w14:paraId="78420B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И-15б, И-16, И-153,</w:t>
            </w:r>
          </w:p>
        </w:tc>
        <w:tc>
          <w:tcPr>
            <w:tcW w:w="945" w:type="dxa"/>
          </w:tcPr>
          <w:p w14:paraId="18B00C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4D5DB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B4C76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0F78E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2CA0F9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25F4F6" w14:textId="77777777" w:rsidTr="00ED5B0A">
        <w:tc>
          <w:tcPr>
            <w:tcW w:w="2660" w:type="dxa"/>
          </w:tcPr>
          <w:p w14:paraId="5A1B3E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 Лагг-3)</w:t>
            </w:r>
          </w:p>
        </w:tc>
        <w:tc>
          <w:tcPr>
            <w:tcW w:w="945" w:type="dxa"/>
          </w:tcPr>
          <w:p w14:paraId="623B0C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73696</w:t>
            </w:r>
          </w:p>
        </w:tc>
        <w:tc>
          <w:tcPr>
            <w:tcW w:w="945" w:type="dxa"/>
          </w:tcPr>
          <w:p w14:paraId="0E491E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69296</w:t>
            </w:r>
          </w:p>
        </w:tc>
        <w:tc>
          <w:tcPr>
            <w:tcW w:w="945" w:type="dxa"/>
          </w:tcPr>
          <w:p w14:paraId="26239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1249</w:t>
            </w:r>
          </w:p>
        </w:tc>
        <w:tc>
          <w:tcPr>
            <w:tcW w:w="2551" w:type="dxa"/>
          </w:tcPr>
          <w:p w14:paraId="3EB9E4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2554" w:type="dxa"/>
          </w:tcPr>
          <w:p w14:paraId="7C7406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r>
      <w:tr w:rsidR="00A907A5" w:rsidRPr="00271E51" w14:paraId="6AAB5947" w14:textId="77777777" w:rsidTr="00ED5B0A">
        <w:tc>
          <w:tcPr>
            <w:tcW w:w="2660" w:type="dxa"/>
          </w:tcPr>
          <w:p w14:paraId="6D3331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Современные</w:t>
            </w:r>
          </w:p>
        </w:tc>
        <w:tc>
          <w:tcPr>
            <w:tcW w:w="945" w:type="dxa"/>
          </w:tcPr>
          <w:p w14:paraId="60009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21A4F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1665FA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614D2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6867A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AC8780" w14:textId="77777777" w:rsidTr="00ED5B0A">
        <w:tc>
          <w:tcPr>
            <w:tcW w:w="2660" w:type="dxa"/>
          </w:tcPr>
          <w:p w14:paraId="4A8CF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отечественные</w:t>
            </w:r>
          </w:p>
        </w:tc>
        <w:tc>
          <w:tcPr>
            <w:tcW w:w="945" w:type="dxa"/>
          </w:tcPr>
          <w:p w14:paraId="1D1F4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531F97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DF37E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01529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597363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E6E1C4" w14:textId="77777777" w:rsidTr="00ED5B0A">
        <w:tc>
          <w:tcPr>
            <w:tcW w:w="2660" w:type="dxa"/>
          </w:tcPr>
          <w:p w14:paraId="07D71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(Як-1,</w:t>
            </w:r>
          </w:p>
        </w:tc>
        <w:tc>
          <w:tcPr>
            <w:tcW w:w="945" w:type="dxa"/>
          </w:tcPr>
          <w:p w14:paraId="617DDD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49D18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09D1CC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5093E9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5562F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C2FC3B" w14:textId="77777777" w:rsidTr="00ED5B0A">
        <w:tc>
          <w:tcPr>
            <w:tcW w:w="2660" w:type="dxa"/>
          </w:tcPr>
          <w:p w14:paraId="676FF4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Як-7б, Ла-5, Лагг-3,</w:t>
            </w:r>
          </w:p>
        </w:tc>
        <w:tc>
          <w:tcPr>
            <w:tcW w:w="945" w:type="dxa"/>
          </w:tcPr>
          <w:p w14:paraId="4D055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1179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60B05D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Pr>
          <w:p w14:paraId="6909C7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372F97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CEA767" w14:textId="77777777" w:rsidTr="00ED5B0A">
        <w:tc>
          <w:tcPr>
            <w:tcW w:w="2660" w:type="dxa"/>
          </w:tcPr>
          <w:p w14:paraId="4E533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945" w:type="dxa"/>
          </w:tcPr>
          <w:p w14:paraId="6A9ED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43839</w:t>
            </w:r>
          </w:p>
        </w:tc>
        <w:tc>
          <w:tcPr>
            <w:tcW w:w="945" w:type="dxa"/>
          </w:tcPr>
          <w:p w14:paraId="6A6D06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40652</w:t>
            </w:r>
          </w:p>
        </w:tc>
        <w:tc>
          <w:tcPr>
            <w:tcW w:w="945" w:type="dxa"/>
          </w:tcPr>
          <w:p w14:paraId="73A0B2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986</w:t>
            </w:r>
          </w:p>
        </w:tc>
        <w:tc>
          <w:tcPr>
            <w:tcW w:w="2551" w:type="dxa"/>
          </w:tcPr>
          <w:p w14:paraId="76E22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2554" w:type="dxa"/>
          </w:tcPr>
          <w:p w14:paraId="5D629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r>
    </w:tbl>
    <w:p w14:paraId="77F8D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Влияние бронирования летчика на продолжительность боевой службы самолетов косвенно подтверждается анализом ранений летного состава (см. отчет флагманского врача ВВС генерал-майора м/с Ратгауза "Анализ санитарных потерь летного состава ВВС за время Отечественной войны).</w:t>
      </w:r>
    </w:p>
    <w:p w14:paraId="2152A1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ранений показывает, что огнестрельные ранения головы (наиболее "убойной" части тела) составляют 22,4% к числу всех ранений. Если учесть, что поражение головы в воздушном бою очень часто приводят к смертельным исходам, то станет вполне понятным, насколько можно увеличить продолжительность боевой службы самолетов6 путем установки бронекозырька и надголовника.</w:t>
      </w:r>
    </w:p>
    <w:p w14:paraId="79FAE6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втором месте среди истребителей стоит И-16, имеющий 128 с/вылетов и 106 часов налета на каждую боевую потерю. высокая продолжительность службы И-16 является следствием сильного вооружения ( в варианте пушечного истребителя), хорошей маневренности самолета и большой живучести мотора воздушного охлаждения.</w:t>
      </w:r>
    </w:p>
    <w:p w14:paraId="295AE2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Последние два фактора - высокая маневренность и наличие мотора воздушного охлаждения, являются одними из основных, которые определяют большую продолжительность службы, что наглядно показывают также потери И-15 бис и И-153; при анализе потерь этих самолетов следует иметь в виду, что они в основном использовались в качестве штурмовиков, т.е. в зоне наиболее насыщенной всеми видами зенитного огня, тем не менее И-15бис и И-153 имеют сравнительно малые потери. Это положение справедливо не только для суммарных потерь по всем фронтам, но и для потерь на Северокавказском фронте в марте-апреле 1943 года, что </w:t>
      </w:r>
      <w:r w:rsidRPr="00271E51">
        <w:rPr>
          <w:rFonts w:ascii="Times New Roman" w:hAnsi="Times New Roman"/>
          <w:color w:val="000000" w:themeColor="text1"/>
          <w:sz w:val="16"/>
          <w:szCs w:val="16"/>
        </w:rPr>
        <w:lastRenderedPageBreak/>
        <w:t>видно из таблицы VI.</w:t>
      </w:r>
    </w:p>
    <w:p w14:paraId="1EC018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VI.</w:t>
      </w:r>
    </w:p>
    <w:p w14:paraId="4A892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боевой службы истребителей и штурмовиков</w:t>
      </w:r>
    </w:p>
    <w:p w14:paraId="0ACA6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Северо-Кавказском фронте в марте-апреле 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09"/>
        <w:gridCol w:w="992"/>
        <w:gridCol w:w="768"/>
        <w:gridCol w:w="1312"/>
        <w:gridCol w:w="974"/>
        <w:gridCol w:w="774"/>
        <w:gridCol w:w="848"/>
        <w:gridCol w:w="994"/>
        <w:gridCol w:w="1414"/>
      </w:tblGrid>
      <w:tr w:rsidR="00A907A5" w:rsidRPr="00271E51" w14:paraId="751B0121" w14:textId="77777777" w:rsidTr="00ED5B0A">
        <w:tc>
          <w:tcPr>
            <w:tcW w:w="1809" w:type="dxa"/>
          </w:tcPr>
          <w:p w14:paraId="1275D2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Типы самолетов</w:t>
            </w:r>
          </w:p>
        </w:tc>
        <w:tc>
          <w:tcPr>
            <w:tcW w:w="709" w:type="dxa"/>
          </w:tcPr>
          <w:p w14:paraId="4D0D09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992" w:type="dxa"/>
          </w:tcPr>
          <w:p w14:paraId="083BD8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AF9FA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63189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w:t>
            </w:r>
          </w:p>
        </w:tc>
        <w:tc>
          <w:tcPr>
            <w:tcW w:w="974" w:type="dxa"/>
          </w:tcPr>
          <w:p w14:paraId="40967A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67EE9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47987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3E2032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приходящийся</w:t>
            </w:r>
          </w:p>
        </w:tc>
        <w:tc>
          <w:tcPr>
            <w:tcW w:w="1414" w:type="dxa"/>
          </w:tcPr>
          <w:p w14:paraId="74477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ED3254" w14:textId="77777777" w:rsidTr="00ED5B0A">
        <w:tc>
          <w:tcPr>
            <w:tcW w:w="1809" w:type="dxa"/>
          </w:tcPr>
          <w:p w14:paraId="280733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5F8B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77C3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768" w:type="dxa"/>
          </w:tcPr>
          <w:p w14:paraId="23576F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1312" w:type="dxa"/>
          </w:tcPr>
          <w:p w14:paraId="6C62C2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сбито</w:t>
            </w:r>
          </w:p>
        </w:tc>
        <w:tc>
          <w:tcPr>
            <w:tcW w:w="974" w:type="dxa"/>
          </w:tcPr>
          <w:p w14:paraId="23CFF6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сбито</w:t>
            </w:r>
          </w:p>
        </w:tc>
        <w:tc>
          <w:tcPr>
            <w:tcW w:w="774" w:type="dxa"/>
          </w:tcPr>
          <w:p w14:paraId="7C3B9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w:t>
            </w:r>
          </w:p>
        </w:tc>
        <w:tc>
          <w:tcPr>
            <w:tcW w:w="848" w:type="dxa"/>
          </w:tcPr>
          <w:p w14:paraId="16478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w:t>
            </w:r>
          </w:p>
        </w:tc>
        <w:tc>
          <w:tcPr>
            <w:tcW w:w="994" w:type="dxa"/>
          </w:tcPr>
          <w:p w14:paraId="51BD42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414" w:type="dxa"/>
          </w:tcPr>
          <w:p w14:paraId="64B85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одну потерю</w:t>
            </w:r>
          </w:p>
        </w:tc>
      </w:tr>
      <w:tr w:rsidR="00A907A5" w:rsidRPr="00271E51" w14:paraId="2BF6B87E" w14:textId="77777777" w:rsidTr="00ED5B0A">
        <w:tc>
          <w:tcPr>
            <w:tcW w:w="1809" w:type="dxa"/>
          </w:tcPr>
          <w:p w14:paraId="5FB075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8F86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0312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9A943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часах</w:t>
            </w:r>
          </w:p>
        </w:tc>
        <w:tc>
          <w:tcPr>
            <w:tcW w:w="1312" w:type="dxa"/>
          </w:tcPr>
          <w:p w14:paraId="7D7C8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w:t>
            </w:r>
          </w:p>
        </w:tc>
        <w:tc>
          <w:tcPr>
            <w:tcW w:w="974" w:type="dxa"/>
          </w:tcPr>
          <w:p w14:paraId="2C545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огн</w:t>
            </w:r>
          </w:p>
        </w:tc>
        <w:tc>
          <w:tcPr>
            <w:tcW w:w="774" w:type="dxa"/>
          </w:tcPr>
          <w:p w14:paraId="39A37E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848" w:type="dxa"/>
          </w:tcPr>
          <w:p w14:paraId="50426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вернул.</w:t>
            </w:r>
          </w:p>
        </w:tc>
        <w:tc>
          <w:tcPr>
            <w:tcW w:w="994" w:type="dxa"/>
          </w:tcPr>
          <w:p w14:paraId="1FA1B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1414" w:type="dxa"/>
          </w:tcPr>
          <w:p w14:paraId="1974AB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r>
      <w:tr w:rsidR="00A907A5" w:rsidRPr="00271E51" w14:paraId="60FA37F9" w14:textId="77777777" w:rsidTr="00ED5B0A">
        <w:tc>
          <w:tcPr>
            <w:tcW w:w="1809" w:type="dxa"/>
          </w:tcPr>
          <w:p w14:paraId="33107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330B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44F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7C43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3CA579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бою</w:t>
            </w:r>
          </w:p>
        </w:tc>
        <w:tc>
          <w:tcPr>
            <w:tcW w:w="974" w:type="dxa"/>
          </w:tcPr>
          <w:p w14:paraId="3333D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 ЗП</w:t>
            </w:r>
          </w:p>
        </w:tc>
        <w:tc>
          <w:tcPr>
            <w:tcW w:w="774" w:type="dxa"/>
          </w:tcPr>
          <w:p w14:paraId="66A6CE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w:t>
            </w:r>
          </w:p>
        </w:tc>
        <w:tc>
          <w:tcPr>
            <w:tcW w:w="848" w:type="dxa"/>
          </w:tcPr>
          <w:p w14:paraId="2843EC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б/з</w:t>
            </w:r>
          </w:p>
        </w:tc>
        <w:tc>
          <w:tcPr>
            <w:tcW w:w="994" w:type="dxa"/>
          </w:tcPr>
          <w:p w14:paraId="50E730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504422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часах</w:t>
            </w:r>
          </w:p>
        </w:tc>
      </w:tr>
      <w:tr w:rsidR="00A907A5" w:rsidRPr="00271E51" w14:paraId="28F9768F" w14:textId="77777777" w:rsidTr="00ED5B0A">
        <w:tc>
          <w:tcPr>
            <w:tcW w:w="1809" w:type="dxa"/>
          </w:tcPr>
          <w:p w14:paraId="7A4234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w:t>
            </w:r>
          </w:p>
        </w:tc>
        <w:tc>
          <w:tcPr>
            <w:tcW w:w="709" w:type="dxa"/>
          </w:tcPr>
          <w:p w14:paraId="58E24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C907F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E769F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37C046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665AD7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45FEDF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5DD6C3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13175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020F8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562B85" w14:textId="77777777" w:rsidTr="00ED5B0A">
        <w:tc>
          <w:tcPr>
            <w:tcW w:w="1809" w:type="dxa"/>
          </w:tcPr>
          <w:p w14:paraId="05461F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Лагг-3,</w:t>
            </w:r>
          </w:p>
        </w:tc>
        <w:tc>
          <w:tcPr>
            <w:tcW w:w="709" w:type="dxa"/>
          </w:tcPr>
          <w:p w14:paraId="6E2A8A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08D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7B1183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69EB4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02C41C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387D61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3D1CD9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16D2C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2E402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EA2879" w14:textId="77777777" w:rsidTr="00ED5B0A">
        <w:tc>
          <w:tcPr>
            <w:tcW w:w="1809" w:type="dxa"/>
          </w:tcPr>
          <w:p w14:paraId="1DD082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Киттихаук,</w:t>
            </w:r>
          </w:p>
        </w:tc>
        <w:tc>
          <w:tcPr>
            <w:tcW w:w="709" w:type="dxa"/>
          </w:tcPr>
          <w:p w14:paraId="633CA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98748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5F38E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BAA5C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41B17A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50A49A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55BF1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1ECDC5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571B9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8E0B1A" w14:textId="77777777" w:rsidTr="00ED5B0A">
        <w:tc>
          <w:tcPr>
            <w:tcW w:w="1809" w:type="dxa"/>
          </w:tcPr>
          <w:p w14:paraId="4D1F7E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Спитфайр,</w:t>
            </w:r>
          </w:p>
        </w:tc>
        <w:tc>
          <w:tcPr>
            <w:tcW w:w="709" w:type="dxa"/>
          </w:tcPr>
          <w:p w14:paraId="4C524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ED57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E3981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0F1E75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1E9D8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1C9F1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1F275C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440989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3CDC17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8E53C7" w14:textId="77777777" w:rsidTr="00ED5B0A">
        <w:tc>
          <w:tcPr>
            <w:tcW w:w="1809" w:type="dxa"/>
          </w:tcPr>
          <w:p w14:paraId="7E4CCC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Аэрокобра)</w:t>
            </w:r>
          </w:p>
        </w:tc>
        <w:tc>
          <w:tcPr>
            <w:tcW w:w="709" w:type="dxa"/>
          </w:tcPr>
          <w:p w14:paraId="635D4E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5776</w:t>
            </w:r>
          </w:p>
        </w:tc>
        <w:tc>
          <w:tcPr>
            <w:tcW w:w="992" w:type="dxa"/>
          </w:tcPr>
          <w:p w14:paraId="0DAB81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6355</w:t>
            </w:r>
          </w:p>
        </w:tc>
        <w:tc>
          <w:tcPr>
            <w:tcW w:w="768" w:type="dxa"/>
          </w:tcPr>
          <w:p w14:paraId="07A4F2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w:t>
            </w:r>
          </w:p>
        </w:tc>
        <w:tc>
          <w:tcPr>
            <w:tcW w:w="1312" w:type="dxa"/>
          </w:tcPr>
          <w:p w14:paraId="5DF57E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974" w:type="dxa"/>
          </w:tcPr>
          <w:p w14:paraId="2DF501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74" w:type="dxa"/>
          </w:tcPr>
          <w:p w14:paraId="2B492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tc>
        <w:tc>
          <w:tcPr>
            <w:tcW w:w="848" w:type="dxa"/>
          </w:tcPr>
          <w:p w14:paraId="2FCB4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w:t>
            </w:r>
          </w:p>
        </w:tc>
        <w:tc>
          <w:tcPr>
            <w:tcW w:w="994" w:type="dxa"/>
          </w:tcPr>
          <w:p w14:paraId="2514D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1414" w:type="dxa"/>
          </w:tcPr>
          <w:p w14:paraId="2AF203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r>
      <w:tr w:rsidR="00A907A5" w:rsidRPr="00271E51" w14:paraId="54B2FD92" w14:textId="77777777" w:rsidTr="00ED5B0A">
        <w:tc>
          <w:tcPr>
            <w:tcW w:w="1809" w:type="dxa"/>
          </w:tcPr>
          <w:p w14:paraId="6C30AC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Штурмовые</w:t>
            </w:r>
          </w:p>
        </w:tc>
        <w:tc>
          <w:tcPr>
            <w:tcW w:w="709" w:type="dxa"/>
          </w:tcPr>
          <w:p w14:paraId="224CB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A7BF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056631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3C9524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40B8CE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0CE96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70504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53B6CA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268844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01C043" w14:textId="77777777" w:rsidTr="00ED5B0A">
        <w:tc>
          <w:tcPr>
            <w:tcW w:w="1809" w:type="dxa"/>
          </w:tcPr>
          <w:p w14:paraId="71B6B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w:t>
            </w:r>
          </w:p>
        </w:tc>
        <w:tc>
          <w:tcPr>
            <w:tcW w:w="709" w:type="dxa"/>
          </w:tcPr>
          <w:p w14:paraId="08D06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404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Pr>
          <w:p w14:paraId="42AB7C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47DC1B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620584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74" w:type="dxa"/>
          </w:tcPr>
          <w:p w14:paraId="08C875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8" w:type="dxa"/>
          </w:tcPr>
          <w:p w14:paraId="0D61B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tcPr>
          <w:p w14:paraId="77E5A3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4" w:type="dxa"/>
          </w:tcPr>
          <w:p w14:paraId="3FB781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ED3D96" w14:textId="77777777" w:rsidTr="00ED5B0A">
        <w:tc>
          <w:tcPr>
            <w:tcW w:w="1809" w:type="dxa"/>
          </w:tcPr>
          <w:p w14:paraId="2439BA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(И-16, И-153)</w:t>
            </w:r>
          </w:p>
        </w:tc>
        <w:tc>
          <w:tcPr>
            <w:tcW w:w="709" w:type="dxa"/>
          </w:tcPr>
          <w:p w14:paraId="55C34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1810</w:t>
            </w:r>
          </w:p>
        </w:tc>
        <w:tc>
          <w:tcPr>
            <w:tcW w:w="992" w:type="dxa"/>
          </w:tcPr>
          <w:p w14:paraId="3EFB7F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1865</w:t>
            </w:r>
          </w:p>
        </w:tc>
        <w:tc>
          <w:tcPr>
            <w:tcW w:w="768" w:type="dxa"/>
          </w:tcPr>
          <w:p w14:paraId="515B21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312" w:type="dxa"/>
          </w:tcPr>
          <w:p w14:paraId="302963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974" w:type="dxa"/>
          </w:tcPr>
          <w:p w14:paraId="3ED99A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74" w:type="dxa"/>
          </w:tcPr>
          <w:p w14:paraId="3D1B6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848" w:type="dxa"/>
          </w:tcPr>
          <w:p w14:paraId="5F0C0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994" w:type="dxa"/>
          </w:tcPr>
          <w:p w14:paraId="6AE32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c>
          <w:tcPr>
            <w:tcW w:w="1414" w:type="dxa"/>
          </w:tcPr>
          <w:p w14:paraId="28199E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r>
      <w:tr w:rsidR="00A907A5" w:rsidRPr="00271E51" w14:paraId="7EC8B04A" w14:textId="77777777" w:rsidTr="00ED5B0A">
        <w:tc>
          <w:tcPr>
            <w:tcW w:w="1809" w:type="dxa"/>
          </w:tcPr>
          <w:p w14:paraId="1D60A9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Штурмовики Ил-2</w:t>
            </w:r>
          </w:p>
        </w:tc>
        <w:tc>
          <w:tcPr>
            <w:tcW w:w="709" w:type="dxa"/>
          </w:tcPr>
          <w:p w14:paraId="2040CC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933</w:t>
            </w:r>
          </w:p>
        </w:tc>
        <w:tc>
          <w:tcPr>
            <w:tcW w:w="992" w:type="dxa"/>
          </w:tcPr>
          <w:p w14:paraId="70EA9B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1139</w:t>
            </w:r>
          </w:p>
        </w:tc>
        <w:tc>
          <w:tcPr>
            <w:tcW w:w="768" w:type="dxa"/>
          </w:tcPr>
          <w:p w14:paraId="73609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312" w:type="dxa"/>
          </w:tcPr>
          <w:p w14:paraId="5A8AE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974" w:type="dxa"/>
          </w:tcPr>
          <w:p w14:paraId="1EA75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74" w:type="dxa"/>
          </w:tcPr>
          <w:p w14:paraId="1494BF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848" w:type="dxa"/>
          </w:tcPr>
          <w:p w14:paraId="2976B8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994" w:type="dxa"/>
          </w:tcPr>
          <w:p w14:paraId="4AA224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414" w:type="dxa"/>
          </w:tcPr>
          <w:p w14:paraId="495C8E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r>
    </w:tbl>
    <w:p w14:paraId="741FFE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лучших современных скоростных истребителей - Як-1, Як-7б, Ла-5 и Аэрокобра наименьшие потери несет Аэрокобра, которая имеет 52 с/вылетов и 50 часов налета на одну боевую потерю. Як-1 и Як-7б имеют примерно одинаковые потери: 45 с/вылетов и 38 часов налета у первого, 44 с/вылетов и 42 часа налета у второго.</w:t>
      </w:r>
    </w:p>
    <w:p w14:paraId="0A7AB7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Ла-5, имеющий мотор воздушного охлаждения и большую общую живучесть конструкции самолета, несет сравнительно с другими скоростными истребителями большие потери, что объясняется, по-видимому, меньшей горизонтальной маневренностью самолета, чем у Як-1 и Як-7б и неумением летного состава в первые месяцы полностью использовать основные преимущества самолета Ла-5: лучшую вертикальную скорость и маневренность, а также горизонтальную скорость на высотах больше 3000 м.</w:t>
      </w:r>
    </w:p>
    <w:p w14:paraId="20D3E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Малые потери самолета Аэрокобра являются следствием хорошего бронирования, мощного вооружения и лучшего, чем у як-1 и Як-7б обзора, при одинаковых остальных летно-тактических данных.</w:t>
      </w:r>
    </w:p>
    <w:p w14:paraId="7C5EC2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Малые потери Миг-3 объясняются условиями их боевой работы. В основном они применяются (из числа учтенных) в системе ПВО Ленинграда и на относительно спокойном Карельском фронте и в ВВС 7 ОА. В системе ПВО самолет Миг-3 используется в качестве ночного истребителя. К тому же общая подготовка летного состава в частях ПВО несколько лучше, чем в Воздушных армиях.</w:t>
      </w:r>
    </w:p>
    <w:p w14:paraId="5A4872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Небоевые потери труднее поддаются анализу, в силу неполноты учета небоевого налета. Однако, на основании цифр, приведенных в таблице IV со всей очевидностью вытекает, что основной определяющей причиной небоевых потерь является сложность пилотирования самолета (см. самолеты У-2, Як-1, Харрикейн, Р-5, Киттихаук, И-16). Вторым важным фактором, влияющим на аварийность, является общая прочность конструкции самолета и особенно прочность шасси (Ил-2).</w:t>
      </w:r>
    </w:p>
    <w:p w14:paraId="285A8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351982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Основные потери истребительная и бомбардировочная авиация несет в воздушном бою.</w:t>
      </w:r>
    </w:p>
    <w:p w14:paraId="2EA651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штурмовиков от огня зенитных средств с земли и в воздушном бою - одинаковы.</w:t>
      </w:r>
    </w:p>
    <w:p w14:paraId="3D9BF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Потери по неустановленным причинам во всех видах авиации чрезвычайно велики, что свидетельствует о слабом наблюдении в полете за соседними самолетами и недостаточной сколоченности группы.</w:t>
      </w:r>
    </w:p>
    <w:p w14:paraId="244CCF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Потери истребителей в значительной степени зависят от живучести мотора, что особенно наглядно вытекает из анализа потерь истребителей старых типов И-15бис, И-16, И-153. Мотор воздушного охлаждения значительно повышает продолжительность боевой службы самолета.</w:t>
      </w:r>
    </w:p>
    <w:p w14:paraId="31B81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 летно-тактических характеристик самолетов - значительное влияние на увеличение продолжительности боевой службы истребителей оказывает маневренность самолета.</w:t>
      </w:r>
    </w:p>
    <w:p w14:paraId="7EB16D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Импортные истребители, в сравнении с отечественными, несут значительно меньшие боевые потери, что объясняется лучшим бронированием американских самолетов, и как правило, более мощным вооружением.</w:t>
      </w:r>
    </w:p>
    <w:p w14:paraId="77C7B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Легкие маневренные штурмовики (истребители старых типов, применяемые в качестве штурмовиков), в сравнении с одноместным штурмовиком Ил-2, несут значительно меньшие потери, по-видимому за счет снижения потерь в воздушном бою. Как показывает первый опыт, применения двухместных Ил-2, последние несут меньшие потери от ИА противника, чем одноместные. В связи с этим необходимо отдельно собрать материал о потерях двухместных Ил-2, сравнить с потерями штурмовиков-истребителей и при получении выводов в пользу штурмовика-истребителя, целесообразно поставить вопрос о создании опытного легкого небронированного штурмовика, с хорошей маневренностью и большой скоростью для поражения живой силы и легкой материальной части.</w:t>
      </w:r>
    </w:p>
    <w:p w14:paraId="4370B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При разработке тактико-технических требований и при проектировании новых истребителей, необходимо особое внимание обращать на:</w:t>
      </w:r>
    </w:p>
    <w:p w14:paraId="55F0E2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горизонтальную и вертикальную маневренность,</w:t>
      </w:r>
    </w:p>
    <w:p w14:paraId="15387A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броневую защиту,</w:t>
      </w:r>
    </w:p>
    <w:p w14:paraId="32C17A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мощность вооружения истребителей.</w:t>
      </w:r>
    </w:p>
    <w:p w14:paraId="4385D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Необходимо срочно поставить вопрос перед промышленностью о дополнительном бронировании отечественных истребителей с целью защиты головы летчика, путем установки наголовника и бронекозырька.</w:t>
      </w:r>
    </w:p>
    <w:p w14:paraId="01518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 целью снижения боевых потерь необходимо повысить уровень летной подготовки в запасных частях, не боясь затрат средств и времени - и то и другое окупятся работой в боевых условиях.</w:t>
      </w:r>
    </w:p>
    <w:p w14:paraId="30B4E3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Наименьшие потери несут ночные бомбардировщики, особенно самолеты У-2, которые играют значительную роль в общей боевой деятельности нашей авиации. Из анализа потерь видно, что ночные действия наиболее безопасны. Однако результаты ночного бомбометания не всегда оправдывают целесообразность действий ночью. Необходимо повысить эффективность ночного бомбометания, как путем широкого использования осветительных бомб, так и специальным освещением самолетов для ночных действий (прицел для бомбометания ночью с высот до 1000-1200 м; совершенствование кабины штурмана и т.д.).</w:t>
      </w:r>
    </w:p>
    <w:p w14:paraId="267AA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таблицы на "3" листах.</w:t>
      </w:r>
    </w:p>
    <w:p w14:paraId="4A3AB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1.</w:t>
      </w:r>
    </w:p>
    <w:p w14:paraId="48AD98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 на одну боевую потерь по видам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680"/>
        <w:gridCol w:w="680"/>
        <w:gridCol w:w="680"/>
        <w:gridCol w:w="680"/>
        <w:gridCol w:w="680"/>
        <w:gridCol w:w="680"/>
        <w:gridCol w:w="680"/>
        <w:gridCol w:w="680"/>
        <w:gridCol w:w="680"/>
        <w:gridCol w:w="680"/>
        <w:gridCol w:w="680"/>
        <w:gridCol w:w="680"/>
        <w:gridCol w:w="680"/>
      </w:tblGrid>
      <w:tr w:rsidR="00A907A5" w:rsidRPr="00271E51" w14:paraId="6E979BB1" w14:textId="77777777" w:rsidTr="00ED5B0A">
        <w:tc>
          <w:tcPr>
            <w:tcW w:w="1668" w:type="dxa"/>
          </w:tcPr>
          <w:p w14:paraId="46D0D4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авиации</w:t>
            </w:r>
          </w:p>
        </w:tc>
        <w:tc>
          <w:tcPr>
            <w:tcW w:w="680" w:type="dxa"/>
          </w:tcPr>
          <w:p w14:paraId="5463DE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Учтенные с/выл.</w:t>
            </w:r>
          </w:p>
        </w:tc>
        <w:tc>
          <w:tcPr>
            <w:tcW w:w="680" w:type="dxa"/>
          </w:tcPr>
          <w:p w14:paraId="16615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05361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 самолетов</w:t>
            </w:r>
          </w:p>
        </w:tc>
        <w:tc>
          <w:tcPr>
            <w:tcW w:w="680" w:type="dxa"/>
          </w:tcPr>
          <w:p w14:paraId="09CBB4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6D9AD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7E6EC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11483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AFFB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F133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E4AD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97B1F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368DE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w:t>
            </w:r>
          </w:p>
        </w:tc>
        <w:tc>
          <w:tcPr>
            <w:tcW w:w="680" w:type="dxa"/>
          </w:tcPr>
          <w:p w14:paraId="391ED3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BA7443" w14:textId="77777777" w:rsidTr="00ED5B0A">
        <w:tc>
          <w:tcPr>
            <w:tcW w:w="1668" w:type="dxa"/>
          </w:tcPr>
          <w:p w14:paraId="493CC0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AAA0C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налет</w:t>
            </w:r>
          </w:p>
        </w:tc>
        <w:tc>
          <w:tcPr>
            <w:tcW w:w="680" w:type="dxa"/>
          </w:tcPr>
          <w:p w14:paraId="28A05D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B208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ИА</w:t>
            </w:r>
          </w:p>
        </w:tc>
        <w:tc>
          <w:tcPr>
            <w:tcW w:w="680" w:type="dxa"/>
          </w:tcPr>
          <w:p w14:paraId="19B76E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D1A62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огня</w:t>
            </w:r>
          </w:p>
        </w:tc>
        <w:tc>
          <w:tcPr>
            <w:tcW w:w="680" w:type="dxa"/>
          </w:tcPr>
          <w:p w14:paraId="68514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0FC56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w:t>
            </w:r>
          </w:p>
        </w:tc>
        <w:tc>
          <w:tcPr>
            <w:tcW w:w="680" w:type="dxa"/>
          </w:tcPr>
          <w:p w14:paraId="3B98D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1E722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верн.</w:t>
            </w:r>
          </w:p>
        </w:tc>
        <w:tc>
          <w:tcPr>
            <w:tcW w:w="680" w:type="dxa"/>
          </w:tcPr>
          <w:p w14:paraId="4B14E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C888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680" w:type="dxa"/>
          </w:tcPr>
          <w:p w14:paraId="1DA3CF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 и</w:t>
            </w:r>
          </w:p>
        </w:tc>
        <w:tc>
          <w:tcPr>
            <w:tcW w:w="680" w:type="dxa"/>
          </w:tcPr>
          <w:p w14:paraId="306B7D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26DCC7" w14:textId="77777777" w:rsidTr="00ED5B0A">
        <w:tc>
          <w:tcPr>
            <w:tcW w:w="1668" w:type="dxa"/>
          </w:tcPr>
          <w:p w14:paraId="5A0B0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387E6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w:t>
            </w:r>
          </w:p>
        </w:tc>
        <w:tc>
          <w:tcPr>
            <w:tcW w:w="680" w:type="dxa"/>
          </w:tcPr>
          <w:p w14:paraId="3FB2A2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680" w:type="dxa"/>
          </w:tcPr>
          <w:p w14:paraId="4305A7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680" w:type="dxa"/>
          </w:tcPr>
          <w:p w14:paraId="4AEBD7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80" w:type="dxa"/>
          </w:tcPr>
          <w:p w14:paraId="54C179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 ЗП</w:t>
            </w:r>
          </w:p>
        </w:tc>
        <w:tc>
          <w:tcPr>
            <w:tcW w:w="680" w:type="dxa"/>
          </w:tcPr>
          <w:p w14:paraId="1D64FA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5F44D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аэр.</w:t>
            </w:r>
          </w:p>
        </w:tc>
        <w:tc>
          <w:tcPr>
            <w:tcW w:w="680" w:type="dxa"/>
          </w:tcPr>
          <w:p w14:paraId="4852BD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940AB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б/з</w:t>
            </w:r>
          </w:p>
        </w:tc>
        <w:tc>
          <w:tcPr>
            <w:tcW w:w="680" w:type="dxa"/>
          </w:tcPr>
          <w:p w14:paraId="31100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F64FA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FF88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680" w:type="dxa"/>
          </w:tcPr>
          <w:p w14:paraId="2D878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710D6F" w14:textId="77777777" w:rsidTr="00ED5B0A">
        <w:tc>
          <w:tcPr>
            <w:tcW w:w="1668" w:type="dxa"/>
          </w:tcPr>
          <w:p w14:paraId="44F09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DCF7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B65A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часах</w:t>
            </w:r>
          </w:p>
        </w:tc>
        <w:tc>
          <w:tcPr>
            <w:tcW w:w="680" w:type="dxa"/>
          </w:tcPr>
          <w:p w14:paraId="05526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4903C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C80AC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680" w:type="dxa"/>
          </w:tcPr>
          <w:p w14:paraId="1F75B8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80" w:type="dxa"/>
          </w:tcPr>
          <w:p w14:paraId="02251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680" w:type="dxa"/>
          </w:tcPr>
          <w:p w14:paraId="6336C9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80" w:type="dxa"/>
          </w:tcPr>
          <w:p w14:paraId="47CD96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680" w:type="dxa"/>
          </w:tcPr>
          <w:p w14:paraId="35221B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80" w:type="dxa"/>
          </w:tcPr>
          <w:p w14:paraId="78885D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w:t>
            </w:r>
          </w:p>
        </w:tc>
        <w:tc>
          <w:tcPr>
            <w:tcW w:w="680" w:type="dxa"/>
          </w:tcPr>
          <w:p w14:paraId="22813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одну боевую</w:t>
            </w:r>
          </w:p>
        </w:tc>
        <w:tc>
          <w:tcPr>
            <w:tcW w:w="680" w:type="dxa"/>
          </w:tcPr>
          <w:p w14:paraId="52B14A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AA4487" w14:textId="77777777" w:rsidTr="00ED5B0A">
        <w:tc>
          <w:tcPr>
            <w:tcW w:w="1668" w:type="dxa"/>
          </w:tcPr>
          <w:p w14:paraId="6A1D4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0F736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6F9EB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CCBBC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F1CB7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BC68B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AF2D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18E7A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20A2E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BA0A2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C989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4EA8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41E1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w:t>
            </w:r>
            <w:r w:rsidRPr="00271E51">
              <w:rPr>
                <w:rFonts w:ascii="Times New Roman" w:hAnsi="Times New Roman"/>
                <w:color w:val="000000" w:themeColor="text1"/>
                <w:sz w:val="16"/>
                <w:szCs w:val="16"/>
              </w:rPr>
              <w:lastRenderedPageBreak/>
              <w:t>ю</w:t>
            </w:r>
          </w:p>
        </w:tc>
        <w:tc>
          <w:tcPr>
            <w:tcW w:w="680" w:type="dxa"/>
          </w:tcPr>
          <w:p w14:paraId="52620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F4DEF6" w14:textId="77777777" w:rsidTr="00ED5B0A">
        <w:tc>
          <w:tcPr>
            <w:tcW w:w="1668" w:type="dxa"/>
          </w:tcPr>
          <w:p w14:paraId="1D13A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5711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EC34E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5BA1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E699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41439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6DBF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FEFA8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81BF7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3F83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5555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715AF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5F60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w:t>
            </w:r>
          </w:p>
        </w:tc>
        <w:tc>
          <w:tcPr>
            <w:tcW w:w="680" w:type="dxa"/>
          </w:tcPr>
          <w:p w14:paraId="6A5B1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r>
      <w:tr w:rsidR="00A907A5" w:rsidRPr="00271E51" w14:paraId="5FB100C0" w14:textId="77777777" w:rsidTr="00ED5B0A">
        <w:tc>
          <w:tcPr>
            <w:tcW w:w="1668" w:type="dxa"/>
          </w:tcPr>
          <w:p w14:paraId="471A55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859F8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EA7E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AAE7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14770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CB14B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8A3E3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2502E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90AA6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8A88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52A4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0F2FB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4A783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95A13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часах</w:t>
            </w:r>
          </w:p>
        </w:tc>
      </w:tr>
      <w:tr w:rsidR="00A907A5" w:rsidRPr="00271E51" w14:paraId="781545EB" w14:textId="77777777" w:rsidTr="00ED5B0A">
        <w:tc>
          <w:tcPr>
            <w:tcW w:w="1668" w:type="dxa"/>
          </w:tcPr>
          <w:p w14:paraId="2476B5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w:t>
            </w:r>
          </w:p>
        </w:tc>
        <w:tc>
          <w:tcPr>
            <w:tcW w:w="680" w:type="dxa"/>
          </w:tcPr>
          <w:p w14:paraId="790E30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79718</w:t>
            </w:r>
          </w:p>
        </w:tc>
        <w:tc>
          <w:tcPr>
            <w:tcW w:w="680" w:type="dxa"/>
          </w:tcPr>
          <w:p w14:paraId="30640C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69435</w:t>
            </w:r>
          </w:p>
        </w:tc>
        <w:tc>
          <w:tcPr>
            <w:tcW w:w="680" w:type="dxa"/>
          </w:tcPr>
          <w:p w14:paraId="092F3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637</w:t>
            </w:r>
          </w:p>
        </w:tc>
        <w:tc>
          <w:tcPr>
            <w:tcW w:w="680" w:type="dxa"/>
          </w:tcPr>
          <w:p w14:paraId="7413C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55,5</w:t>
            </w:r>
          </w:p>
        </w:tc>
        <w:tc>
          <w:tcPr>
            <w:tcW w:w="680" w:type="dxa"/>
          </w:tcPr>
          <w:p w14:paraId="36A799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w:t>
            </w:r>
          </w:p>
        </w:tc>
        <w:tc>
          <w:tcPr>
            <w:tcW w:w="680" w:type="dxa"/>
          </w:tcPr>
          <w:p w14:paraId="56C9BA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680" w:type="dxa"/>
          </w:tcPr>
          <w:p w14:paraId="14009A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680" w:type="dxa"/>
          </w:tcPr>
          <w:p w14:paraId="763794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tc>
        <w:tc>
          <w:tcPr>
            <w:tcW w:w="680" w:type="dxa"/>
          </w:tcPr>
          <w:p w14:paraId="4D3F76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tc>
        <w:tc>
          <w:tcPr>
            <w:tcW w:w="680" w:type="dxa"/>
          </w:tcPr>
          <w:p w14:paraId="16A0B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29,01</w:t>
            </w:r>
          </w:p>
        </w:tc>
        <w:tc>
          <w:tcPr>
            <w:tcW w:w="680" w:type="dxa"/>
          </w:tcPr>
          <w:p w14:paraId="2E4E9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1148</w:t>
            </w:r>
          </w:p>
        </w:tc>
        <w:tc>
          <w:tcPr>
            <w:tcW w:w="680" w:type="dxa"/>
          </w:tcPr>
          <w:p w14:paraId="17D8B0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tc>
        <w:tc>
          <w:tcPr>
            <w:tcW w:w="680" w:type="dxa"/>
          </w:tcPr>
          <w:p w14:paraId="6EFCEC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r w:rsidR="00A907A5" w:rsidRPr="00271E51" w14:paraId="1B3374E2" w14:textId="77777777" w:rsidTr="00ED5B0A">
        <w:tc>
          <w:tcPr>
            <w:tcW w:w="1668" w:type="dxa"/>
          </w:tcPr>
          <w:p w14:paraId="63283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Штурмовики Ил-2</w:t>
            </w:r>
          </w:p>
        </w:tc>
        <w:tc>
          <w:tcPr>
            <w:tcW w:w="680" w:type="dxa"/>
          </w:tcPr>
          <w:p w14:paraId="1844A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15656</w:t>
            </w:r>
          </w:p>
        </w:tc>
        <w:tc>
          <w:tcPr>
            <w:tcW w:w="680" w:type="dxa"/>
          </w:tcPr>
          <w:p w14:paraId="1C9C76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13801</w:t>
            </w:r>
          </w:p>
        </w:tc>
        <w:tc>
          <w:tcPr>
            <w:tcW w:w="680" w:type="dxa"/>
          </w:tcPr>
          <w:p w14:paraId="396FE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w:t>
            </w:r>
          </w:p>
        </w:tc>
        <w:tc>
          <w:tcPr>
            <w:tcW w:w="680" w:type="dxa"/>
          </w:tcPr>
          <w:p w14:paraId="162817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34,9</w:t>
            </w:r>
          </w:p>
        </w:tc>
        <w:tc>
          <w:tcPr>
            <w:tcW w:w="680" w:type="dxa"/>
          </w:tcPr>
          <w:p w14:paraId="1B0BB7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w:t>
            </w:r>
          </w:p>
        </w:tc>
        <w:tc>
          <w:tcPr>
            <w:tcW w:w="680" w:type="dxa"/>
          </w:tcPr>
          <w:p w14:paraId="2B79A5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w:t>
            </w:r>
          </w:p>
        </w:tc>
        <w:tc>
          <w:tcPr>
            <w:tcW w:w="680" w:type="dxa"/>
          </w:tcPr>
          <w:p w14:paraId="74D468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680" w:type="dxa"/>
          </w:tcPr>
          <w:p w14:paraId="13B82F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0,8</w:t>
            </w:r>
          </w:p>
        </w:tc>
        <w:tc>
          <w:tcPr>
            <w:tcW w:w="680" w:type="dxa"/>
          </w:tcPr>
          <w:p w14:paraId="1BF81B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w:t>
            </w:r>
          </w:p>
        </w:tc>
        <w:tc>
          <w:tcPr>
            <w:tcW w:w="680" w:type="dxa"/>
          </w:tcPr>
          <w:p w14:paraId="1839A6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29,7</w:t>
            </w:r>
          </w:p>
        </w:tc>
        <w:tc>
          <w:tcPr>
            <w:tcW w:w="680" w:type="dxa"/>
          </w:tcPr>
          <w:p w14:paraId="76C32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599</w:t>
            </w:r>
          </w:p>
        </w:tc>
        <w:tc>
          <w:tcPr>
            <w:tcW w:w="680" w:type="dxa"/>
          </w:tcPr>
          <w:p w14:paraId="388EF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680" w:type="dxa"/>
          </w:tcPr>
          <w:p w14:paraId="5FBAC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r>
      <w:tr w:rsidR="00A907A5" w:rsidRPr="00271E51" w14:paraId="34043840" w14:textId="77777777" w:rsidTr="00ED5B0A">
        <w:tc>
          <w:tcPr>
            <w:tcW w:w="1668" w:type="dxa"/>
          </w:tcPr>
          <w:p w14:paraId="2017B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Дневные</w:t>
            </w:r>
          </w:p>
        </w:tc>
        <w:tc>
          <w:tcPr>
            <w:tcW w:w="680" w:type="dxa"/>
          </w:tcPr>
          <w:p w14:paraId="48C5F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EC62C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3A7C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709DF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0DD2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F3F5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C5ED3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CF5F6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2F8D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02638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561AB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EFCD5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4A0B3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ADD102" w14:textId="77777777" w:rsidTr="00ED5B0A">
        <w:tc>
          <w:tcPr>
            <w:tcW w:w="1668" w:type="dxa"/>
          </w:tcPr>
          <w:p w14:paraId="20EECB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бомбардировщики</w:t>
            </w:r>
          </w:p>
        </w:tc>
        <w:tc>
          <w:tcPr>
            <w:tcW w:w="680" w:type="dxa"/>
          </w:tcPr>
          <w:p w14:paraId="040144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FBCA7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37027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0A9A7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7836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6126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A0A6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B7E5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9D2BC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487BA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6095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EBB62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05C0F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EBFAE3" w14:textId="77777777" w:rsidTr="00ED5B0A">
        <w:tc>
          <w:tcPr>
            <w:tcW w:w="1668" w:type="dxa"/>
          </w:tcPr>
          <w:p w14:paraId="65380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Б-3)</w:t>
            </w:r>
          </w:p>
        </w:tc>
        <w:tc>
          <w:tcPr>
            <w:tcW w:w="680" w:type="dxa"/>
          </w:tcPr>
          <w:p w14:paraId="329E5B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12821</w:t>
            </w:r>
          </w:p>
        </w:tc>
        <w:tc>
          <w:tcPr>
            <w:tcW w:w="680" w:type="dxa"/>
          </w:tcPr>
          <w:p w14:paraId="0028E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16774</w:t>
            </w:r>
          </w:p>
        </w:tc>
        <w:tc>
          <w:tcPr>
            <w:tcW w:w="680" w:type="dxa"/>
          </w:tcPr>
          <w:p w14:paraId="3C4A28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680" w:type="dxa"/>
          </w:tcPr>
          <w:p w14:paraId="04069E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680" w:type="dxa"/>
          </w:tcPr>
          <w:p w14:paraId="0D0825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680" w:type="dxa"/>
          </w:tcPr>
          <w:p w14:paraId="0C945E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21,1</w:t>
            </w:r>
          </w:p>
        </w:tc>
        <w:tc>
          <w:tcPr>
            <w:tcW w:w="680" w:type="dxa"/>
          </w:tcPr>
          <w:p w14:paraId="33076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680" w:type="dxa"/>
          </w:tcPr>
          <w:p w14:paraId="3D9A04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680" w:type="dxa"/>
          </w:tcPr>
          <w:p w14:paraId="58A32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tc>
        <w:tc>
          <w:tcPr>
            <w:tcW w:w="680" w:type="dxa"/>
          </w:tcPr>
          <w:p w14:paraId="075D3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c>
          <w:tcPr>
            <w:tcW w:w="680" w:type="dxa"/>
          </w:tcPr>
          <w:p w14:paraId="1EABB4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w:t>
            </w:r>
          </w:p>
        </w:tc>
        <w:tc>
          <w:tcPr>
            <w:tcW w:w="680" w:type="dxa"/>
          </w:tcPr>
          <w:p w14:paraId="3C4AAA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tc>
        <w:tc>
          <w:tcPr>
            <w:tcW w:w="680" w:type="dxa"/>
          </w:tcPr>
          <w:p w14:paraId="1788FA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r>
      <w:tr w:rsidR="00A907A5" w:rsidRPr="00271E51" w14:paraId="26EBC6EF" w14:textId="77777777" w:rsidTr="00ED5B0A">
        <w:tc>
          <w:tcPr>
            <w:tcW w:w="1668" w:type="dxa"/>
          </w:tcPr>
          <w:p w14:paraId="0404C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Ночные</w:t>
            </w:r>
          </w:p>
        </w:tc>
        <w:tc>
          <w:tcPr>
            <w:tcW w:w="680" w:type="dxa"/>
          </w:tcPr>
          <w:p w14:paraId="45539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2BDF4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C5D1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997F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64D3A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BCC83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FEA0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F953B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B0A8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F079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16CDF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8BFA4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B048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3FFC1C" w14:textId="77777777" w:rsidTr="00ED5B0A">
        <w:tc>
          <w:tcPr>
            <w:tcW w:w="1668" w:type="dxa"/>
          </w:tcPr>
          <w:p w14:paraId="3E3B93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бомбардировщики</w:t>
            </w:r>
          </w:p>
        </w:tc>
        <w:tc>
          <w:tcPr>
            <w:tcW w:w="680" w:type="dxa"/>
          </w:tcPr>
          <w:p w14:paraId="0E8D8C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75D24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7B4378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66BC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F6E51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562DE5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39CDF0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2C9AE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D7A2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1E381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6FD9C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102398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80" w:type="dxa"/>
          </w:tcPr>
          <w:p w14:paraId="409F7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C23A47" w14:textId="77777777" w:rsidTr="00ED5B0A">
        <w:tc>
          <w:tcPr>
            <w:tcW w:w="1668" w:type="dxa"/>
          </w:tcPr>
          <w:p w14:paraId="4EB79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(У-2, Р-5)</w:t>
            </w:r>
          </w:p>
        </w:tc>
        <w:tc>
          <w:tcPr>
            <w:tcW w:w="680" w:type="dxa"/>
          </w:tcPr>
          <w:p w14:paraId="734148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29983</w:t>
            </w:r>
          </w:p>
        </w:tc>
        <w:tc>
          <w:tcPr>
            <w:tcW w:w="680" w:type="dxa"/>
          </w:tcPr>
          <w:p w14:paraId="2A973C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31663</w:t>
            </w:r>
          </w:p>
        </w:tc>
        <w:tc>
          <w:tcPr>
            <w:tcW w:w="680" w:type="dxa"/>
          </w:tcPr>
          <w:p w14:paraId="06F918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680" w:type="dxa"/>
          </w:tcPr>
          <w:p w14:paraId="1D346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w:t>
            </w:r>
          </w:p>
        </w:tc>
        <w:tc>
          <w:tcPr>
            <w:tcW w:w="680" w:type="dxa"/>
          </w:tcPr>
          <w:p w14:paraId="7EB9BC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680" w:type="dxa"/>
          </w:tcPr>
          <w:p w14:paraId="368012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w:t>
            </w:r>
          </w:p>
        </w:tc>
        <w:tc>
          <w:tcPr>
            <w:tcW w:w="680" w:type="dxa"/>
          </w:tcPr>
          <w:p w14:paraId="6A47E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680" w:type="dxa"/>
          </w:tcPr>
          <w:p w14:paraId="6418C8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680" w:type="dxa"/>
          </w:tcPr>
          <w:p w14:paraId="25C60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680" w:type="dxa"/>
          </w:tcPr>
          <w:p w14:paraId="38387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c>
          <w:tcPr>
            <w:tcW w:w="680" w:type="dxa"/>
          </w:tcPr>
          <w:p w14:paraId="69E35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680" w:type="dxa"/>
          </w:tcPr>
          <w:p w14:paraId="52B71C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476</w:t>
            </w:r>
          </w:p>
        </w:tc>
        <w:tc>
          <w:tcPr>
            <w:tcW w:w="680" w:type="dxa"/>
          </w:tcPr>
          <w:p w14:paraId="55D60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w:t>
            </w:r>
          </w:p>
        </w:tc>
      </w:tr>
      <w:tr w:rsidR="00A907A5" w:rsidRPr="00271E51" w14:paraId="00E9B512" w14:textId="77777777" w:rsidTr="00ED5B0A">
        <w:tc>
          <w:tcPr>
            <w:tcW w:w="1668" w:type="dxa"/>
          </w:tcPr>
          <w:p w14:paraId="29426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tc>
        <w:tc>
          <w:tcPr>
            <w:tcW w:w="680" w:type="dxa"/>
          </w:tcPr>
          <w:p w14:paraId="741DCA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138183</w:t>
            </w:r>
          </w:p>
        </w:tc>
        <w:tc>
          <w:tcPr>
            <w:tcW w:w="680" w:type="dxa"/>
          </w:tcPr>
          <w:p w14:paraId="35DFB9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131673</w:t>
            </w:r>
          </w:p>
        </w:tc>
        <w:tc>
          <w:tcPr>
            <w:tcW w:w="680" w:type="dxa"/>
          </w:tcPr>
          <w:p w14:paraId="62EEF7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993</w:t>
            </w:r>
          </w:p>
        </w:tc>
        <w:tc>
          <w:tcPr>
            <w:tcW w:w="680" w:type="dxa"/>
          </w:tcPr>
          <w:p w14:paraId="04A171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47,9</w:t>
            </w:r>
          </w:p>
        </w:tc>
        <w:tc>
          <w:tcPr>
            <w:tcW w:w="680" w:type="dxa"/>
          </w:tcPr>
          <w:p w14:paraId="4081D1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405</w:t>
            </w:r>
          </w:p>
        </w:tc>
        <w:tc>
          <w:tcPr>
            <w:tcW w:w="680" w:type="dxa"/>
          </w:tcPr>
          <w:p w14:paraId="4F41B4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w:t>
            </w:r>
          </w:p>
        </w:tc>
        <w:tc>
          <w:tcPr>
            <w:tcW w:w="680" w:type="dxa"/>
          </w:tcPr>
          <w:p w14:paraId="26B6D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680" w:type="dxa"/>
          </w:tcPr>
          <w:p w14:paraId="502D9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680" w:type="dxa"/>
          </w:tcPr>
          <w:p w14:paraId="7FE2D0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614</w:t>
            </w:r>
          </w:p>
        </w:tc>
        <w:tc>
          <w:tcPr>
            <w:tcW w:w="680" w:type="dxa"/>
          </w:tcPr>
          <w:p w14:paraId="3B726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29,6</w:t>
            </w:r>
          </w:p>
        </w:tc>
        <w:tc>
          <w:tcPr>
            <w:tcW w:w="680" w:type="dxa"/>
          </w:tcPr>
          <w:p w14:paraId="2DE2A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2075</w:t>
            </w:r>
          </w:p>
        </w:tc>
        <w:tc>
          <w:tcPr>
            <w:tcW w:w="680" w:type="dxa"/>
          </w:tcPr>
          <w:p w14:paraId="6AC05B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680" w:type="dxa"/>
          </w:tcPr>
          <w:p w14:paraId="708387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bl>
    <w:p w14:paraId="20D413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II.</w:t>
      </w:r>
    </w:p>
    <w:p w14:paraId="0309B7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боевой службы самолетов по фронтам, в зависимости от степени сопротивления противника.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432"/>
        <w:gridCol w:w="1441"/>
        <w:gridCol w:w="1572"/>
        <w:gridCol w:w="4060"/>
      </w:tblGrid>
      <w:tr w:rsidR="00A907A5" w:rsidRPr="00271E51" w14:paraId="4066C7F0" w14:textId="77777777" w:rsidTr="00ED5B0A">
        <w:tc>
          <w:tcPr>
            <w:tcW w:w="1951" w:type="dxa"/>
          </w:tcPr>
          <w:p w14:paraId="26C74A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Авиационное</w:t>
            </w:r>
          </w:p>
        </w:tc>
        <w:tc>
          <w:tcPr>
            <w:tcW w:w="1432" w:type="dxa"/>
          </w:tcPr>
          <w:p w14:paraId="468226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СА</w:t>
            </w:r>
          </w:p>
        </w:tc>
        <w:tc>
          <w:tcPr>
            <w:tcW w:w="1441" w:type="dxa"/>
          </w:tcPr>
          <w:p w14:paraId="0A1BFB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 и 2БАК</w:t>
            </w:r>
          </w:p>
        </w:tc>
        <w:tc>
          <w:tcPr>
            <w:tcW w:w="1572" w:type="dxa"/>
          </w:tcPr>
          <w:p w14:paraId="6E94A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ВА и 3 СЛК</w:t>
            </w:r>
          </w:p>
        </w:tc>
        <w:tc>
          <w:tcPr>
            <w:tcW w:w="4060" w:type="dxa"/>
          </w:tcPr>
          <w:p w14:paraId="58729F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ШАК и</w:t>
            </w:r>
          </w:p>
        </w:tc>
      </w:tr>
      <w:tr w:rsidR="00A907A5" w:rsidRPr="00271E51" w14:paraId="2B2C1A32" w14:textId="77777777" w:rsidTr="00ED5B0A">
        <w:tc>
          <w:tcPr>
            <w:tcW w:w="1951" w:type="dxa"/>
          </w:tcPr>
          <w:p w14:paraId="42111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соединение </w:t>
            </w:r>
          </w:p>
        </w:tc>
        <w:tc>
          <w:tcPr>
            <w:tcW w:w="1432" w:type="dxa"/>
          </w:tcPr>
          <w:p w14:paraId="24BDB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(Свирь)</w:t>
            </w:r>
          </w:p>
        </w:tc>
        <w:tc>
          <w:tcPr>
            <w:tcW w:w="1441" w:type="dxa"/>
          </w:tcPr>
          <w:p w14:paraId="1C667E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(Калининградск.</w:t>
            </w:r>
          </w:p>
        </w:tc>
        <w:tc>
          <w:tcPr>
            <w:tcW w:w="1572" w:type="dxa"/>
          </w:tcPr>
          <w:p w14:paraId="22FE2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....-Западный</w:t>
            </w:r>
          </w:p>
        </w:tc>
        <w:tc>
          <w:tcPr>
            <w:tcW w:w="4060" w:type="dxa"/>
          </w:tcPr>
          <w:p w14:paraId="0A9FAF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 ИАК</w:t>
            </w:r>
          </w:p>
        </w:tc>
      </w:tr>
      <w:tr w:rsidR="00A907A5" w:rsidRPr="00271E51" w14:paraId="655A5502" w14:textId="77777777" w:rsidTr="00ED5B0A">
        <w:tc>
          <w:tcPr>
            <w:tcW w:w="1951" w:type="dxa"/>
          </w:tcPr>
          <w:p w14:paraId="55F5AB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фронт</w:t>
            </w:r>
          </w:p>
        </w:tc>
        <w:tc>
          <w:tcPr>
            <w:tcW w:w="1432" w:type="dxa"/>
          </w:tcPr>
          <w:p w14:paraId="4CC16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3BF8B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фронт)</w:t>
            </w:r>
          </w:p>
        </w:tc>
        <w:tc>
          <w:tcPr>
            <w:tcW w:w="1572" w:type="dxa"/>
          </w:tcPr>
          <w:p w14:paraId="564A73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w:t>
            </w:r>
          </w:p>
        </w:tc>
        <w:tc>
          <w:tcPr>
            <w:tcW w:w="4060" w:type="dxa"/>
          </w:tcPr>
          <w:p w14:paraId="012E39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(Калининский</w:t>
            </w:r>
          </w:p>
        </w:tc>
      </w:tr>
      <w:tr w:rsidR="00A907A5" w:rsidRPr="00271E51" w14:paraId="79EFB7D2" w14:textId="77777777" w:rsidTr="00ED5B0A">
        <w:tc>
          <w:tcPr>
            <w:tcW w:w="1951" w:type="dxa"/>
          </w:tcPr>
          <w:p w14:paraId="557C13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4042E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F6F1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6480C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AC38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w:t>
            </w:r>
          </w:p>
        </w:tc>
      </w:tr>
      <w:tr w:rsidR="00A907A5" w:rsidRPr="00271E51" w14:paraId="7C8B3943" w14:textId="77777777" w:rsidTr="00ED5B0A">
        <w:tc>
          <w:tcPr>
            <w:tcW w:w="1951" w:type="dxa"/>
          </w:tcPr>
          <w:p w14:paraId="7C6BEA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Учтенный период</w:t>
            </w:r>
          </w:p>
        </w:tc>
        <w:tc>
          <w:tcPr>
            <w:tcW w:w="1432" w:type="dxa"/>
          </w:tcPr>
          <w:p w14:paraId="5315C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год</w:t>
            </w:r>
          </w:p>
        </w:tc>
        <w:tc>
          <w:tcPr>
            <w:tcW w:w="1441" w:type="dxa"/>
          </w:tcPr>
          <w:p w14:paraId="05EAD1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октябрь-декабрь</w:t>
            </w:r>
          </w:p>
        </w:tc>
        <w:tc>
          <w:tcPr>
            <w:tcW w:w="1572" w:type="dxa"/>
          </w:tcPr>
          <w:p w14:paraId="1C79B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1943 г.</w:t>
            </w:r>
          </w:p>
        </w:tc>
        <w:tc>
          <w:tcPr>
            <w:tcW w:w="4060" w:type="dxa"/>
          </w:tcPr>
          <w:p w14:paraId="059D3F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 1942 г.</w:t>
            </w:r>
          </w:p>
        </w:tc>
      </w:tr>
      <w:tr w:rsidR="00A907A5" w:rsidRPr="00271E51" w14:paraId="441A8020" w14:textId="77777777" w:rsidTr="00ED5B0A">
        <w:tc>
          <w:tcPr>
            <w:tcW w:w="1951" w:type="dxa"/>
          </w:tcPr>
          <w:p w14:paraId="0420B7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63056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войны и март</w:t>
            </w:r>
          </w:p>
        </w:tc>
        <w:tc>
          <w:tcPr>
            <w:tcW w:w="1441" w:type="dxa"/>
          </w:tcPr>
          <w:p w14:paraId="37849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w:t>
            </w:r>
          </w:p>
        </w:tc>
        <w:tc>
          <w:tcPr>
            <w:tcW w:w="1572" w:type="dxa"/>
          </w:tcPr>
          <w:p w14:paraId="74B3C5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FB4BF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1943 г.</w:t>
            </w:r>
          </w:p>
        </w:tc>
      </w:tr>
      <w:tr w:rsidR="00A907A5" w:rsidRPr="00271E51" w14:paraId="34B9D120" w14:textId="77777777" w:rsidTr="00ED5B0A">
        <w:tc>
          <w:tcPr>
            <w:tcW w:w="1951" w:type="dxa"/>
          </w:tcPr>
          <w:p w14:paraId="47B21F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75FC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tc>
        <w:tc>
          <w:tcPr>
            <w:tcW w:w="1441" w:type="dxa"/>
          </w:tcPr>
          <w:p w14:paraId="4FC4A9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46AB4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1942 г.</w:t>
            </w:r>
          </w:p>
        </w:tc>
        <w:tc>
          <w:tcPr>
            <w:tcW w:w="4060" w:type="dxa"/>
          </w:tcPr>
          <w:p w14:paraId="34D043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D76296" w14:textId="77777777" w:rsidTr="00ED5B0A">
        <w:tc>
          <w:tcPr>
            <w:tcW w:w="1951" w:type="dxa"/>
          </w:tcPr>
          <w:p w14:paraId="57989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Степень</w:t>
            </w:r>
          </w:p>
        </w:tc>
        <w:tc>
          <w:tcPr>
            <w:tcW w:w="1432" w:type="dxa"/>
          </w:tcPr>
          <w:p w14:paraId="13688E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Слабое</w:t>
            </w:r>
          </w:p>
        </w:tc>
        <w:tc>
          <w:tcPr>
            <w:tcW w:w="1441" w:type="dxa"/>
          </w:tcPr>
          <w:p w14:paraId="2D376F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Напряженные</w:t>
            </w:r>
          </w:p>
        </w:tc>
        <w:tc>
          <w:tcPr>
            <w:tcW w:w="1572" w:type="dxa"/>
          </w:tcPr>
          <w:p w14:paraId="42BB63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 по</w:t>
            </w:r>
          </w:p>
        </w:tc>
        <w:tc>
          <w:tcPr>
            <w:tcW w:w="4060" w:type="dxa"/>
          </w:tcPr>
          <w:p w14:paraId="29E010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Упорная оборона</w:t>
            </w:r>
          </w:p>
        </w:tc>
      </w:tr>
      <w:tr w:rsidR="00A907A5" w:rsidRPr="00271E51" w14:paraId="5DB409F1" w14:textId="77777777" w:rsidTr="00ED5B0A">
        <w:tc>
          <w:tcPr>
            <w:tcW w:w="1951" w:type="dxa"/>
          </w:tcPr>
          <w:p w14:paraId="48EDC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сопротивления</w:t>
            </w:r>
          </w:p>
        </w:tc>
        <w:tc>
          <w:tcPr>
            <w:tcW w:w="1432" w:type="dxa"/>
          </w:tcPr>
          <w:p w14:paraId="65316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сопротивление</w:t>
            </w:r>
          </w:p>
        </w:tc>
        <w:tc>
          <w:tcPr>
            <w:tcW w:w="1441" w:type="dxa"/>
          </w:tcPr>
          <w:p w14:paraId="331D8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бои в воздухе.</w:t>
            </w:r>
          </w:p>
        </w:tc>
        <w:tc>
          <w:tcPr>
            <w:tcW w:w="1572" w:type="dxa"/>
          </w:tcPr>
          <w:p w14:paraId="0F8A1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отходящему</w:t>
            </w:r>
          </w:p>
        </w:tc>
        <w:tc>
          <w:tcPr>
            <w:tcW w:w="4060" w:type="dxa"/>
          </w:tcPr>
          <w:p w14:paraId="3F4F3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противника на земле.</w:t>
            </w:r>
          </w:p>
        </w:tc>
      </w:tr>
      <w:tr w:rsidR="00A907A5" w:rsidRPr="00271E51" w14:paraId="143C6F33" w14:textId="77777777" w:rsidTr="00ED5B0A">
        <w:tc>
          <w:tcPr>
            <w:tcW w:w="1951" w:type="dxa"/>
          </w:tcPr>
          <w:p w14:paraId="5EEE50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противника с</w:t>
            </w:r>
          </w:p>
        </w:tc>
        <w:tc>
          <w:tcPr>
            <w:tcW w:w="1432" w:type="dxa"/>
          </w:tcPr>
          <w:p w14:paraId="7794D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ИА противника,</w:t>
            </w:r>
          </w:p>
        </w:tc>
        <w:tc>
          <w:tcPr>
            <w:tcW w:w="1441" w:type="dxa"/>
          </w:tcPr>
          <w:p w14:paraId="24110F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w:t>
            </w:r>
          </w:p>
        </w:tc>
        <w:tc>
          <w:tcPr>
            <w:tcW w:w="1572" w:type="dxa"/>
          </w:tcPr>
          <w:p w14:paraId="3D9ED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противнику.</w:t>
            </w:r>
          </w:p>
        </w:tc>
        <w:tc>
          <w:tcPr>
            <w:tcW w:w="4060" w:type="dxa"/>
          </w:tcPr>
          <w:p w14:paraId="10A7E6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Сильная ПВО и</w:t>
            </w:r>
          </w:p>
        </w:tc>
      </w:tr>
      <w:tr w:rsidR="00A907A5" w:rsidRPr="00271E51" w14:paraId="20FE87F3" w14:textId="77777777" w:rsidTr="00ED5B0A">
        <w:tc>
          <w:tcPr>
            <w:tcW w:w="1951" w:type="dxa"/>
          </w:tcPr>
          <w:p w14:paraId="6D82B7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земли и в</w:t>
            </w:r>
          </w:p>
        </w:tc>
        <w:tc>
          <w:tcPr>
            <w:tcW w:w="1432" w:type="dxa"/>
          </w:tcPr>
          <w:p w14:paraId="4AD860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имеющего на</w:t>
            </w:r>
          </w:p>
        </w:tc>
        <w:tc>
          <w:tcPr>
            <w:tcW w:w="1441" w:type="dxa"/>
          </w:tcPr>
          <w:p w14:paraId="6A011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половине </w:t>
            </w:r>
          </w:p>
        </w:tc>
        <w:tc>
          <w:tcPr>
            <w:tcW w:w="1572" w:type="dxa"/>
          </w:tcPr>
          <w:p w14:paraId="47BB6D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C6746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ожесточенное</w:t>
            </w:r>
          </w:p>
        </w:tc>
      </w:tr>
      <w:tr w:rsidR="00A907A5" w:rsidRPr="00271E51" w14:paraId="0DA78DDD" w14:textId="77777777" w:rsidTr="00ED5B0A">
        <w:tc>
          <w:tcPr>
            <w:tcW w:w="1951" w:type="dxa"/>
          </w:tcPr>
          <w:p w14:paraId="5FB23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воздухе</w:t>
            </w:r>
          </w:p>
        </w:tc>
        <w:tc>
          <w:tcPr>
            <w:tcW w:w="1432" w:type="dxa"/>
          </w:tcPr>
          <w:p w14:paraId="53EBA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вооружении</w:t>
            </w:r>
          </w:p>
        </w:tc>
        <w:tc>
          <w:tcPr>
            <w:tcW w:w="1441" w:type="dxa"/>
          </w:tcPr>
          <w:p w14:paraId="11B63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периода - </w:t>
            </w:r>
          </w:p>
        </w:tc>
        <w:tc>
          <w:tcPr>
            <w:tcW w:w="1572" w:type="dxa"/>
          </w:tcPr>
          <w:p w14:paraId="15D847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5356D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сопротивление в</w:t>
            </w:r>
          </w:p>
        </w:tc>
      </w:tr>
      <w:tr w:rsidR="00A907A5" w:rsidRPr="00271E51" w14:paraId="45C7A5D0" w14:textId="77777777" w:rsidTr="00ED5B0A">
        <w:tc>
          <w:tcPr>
            <w:tcW w:w="1951" w:type="dxa"/>
          </w:tcPr>
          <w:p w14:paraId="6FF9FD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48783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старые с-ты</w:t>
            </w:r>
          </w:p>
        </w:tc>
        <w:tc>
          <w:tcPr>
            <w:tcW w:w="1441" w:type="dxa"/>
          </w:tcPr>
          <w:p w14:paraId="3DB9FE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 по</w:t>
            </w:r>
          </w:p>
        </w:tc>
        <w:tc>
          <w:tcPr>
            <w:tcW w:w="1572" w:type="dxa"/>
          </w:tcPr>
          <w:p w14:paraId="23524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6592A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воздухе.</w:t>
            </w:r>
          </w:p>
        </w:tc>
      </w:tr>
      <w:tr w:rsidR="00A907A5" w:rsidRPr="00271E51" w14:paraId="2BBBE555" w14:textId="77777777" w:rsidTr="00ED5B0A">
        <w:tc>
          <w:tcPr>
            <w:tcW w:w="1951" w:type="dxa"/>
          </w:tcPr>
          <w:p w14:paraId="1730EA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A9DB3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финских ВВС.</w:t>
            </w:r>
          </w:p>
        </w:tc>
        <w:tc>
          <w:tcPr>
            <w:tcW w:w="1441" w:type="dxa"/>
          </w:tcPr>
          <w:p w14:paraId="1F06E0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отходящим</w:t>
            </w:r>
          </w:p>
        </w:tc>
        <w:tc>
          <w:tcPr>
            <w:tcW w:w="1572" w:type="dxa"/>
          </w:tcPr>
          <w:p w14:paraId="65D56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464A4E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94D28D" w14:textId="77777777" w:rsidTr="00ED5B0A">
        <w:tc>
          <w:tcPr>
            <w:tcW w:w="1951" w:type="dxa"/>
          </w:tcPr>
          <w:p w14:paraId="6259AF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5B219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C7C0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частям и</w:t>
            </w:r>
          </w:p>
        </w:tc>
        <w:tc>
          <w:tcPr>
            <w:tcW w:w="1572" w:type="dxa"/>
          </w:tcPr>
          <w:p w14:paraId="7CA10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47AC7F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ACA4B7" w14:textId="77777777" w:rsidTr="00ED5B0A">
        <w:tc>
          <w:tcPr>
            <w:tcW w:w="1951" w:type="dxa"/>
          </w:tcPr>
          <w:p w14:paraId="4B5E3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87E4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E6FE4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находящемуся в</w:t>
            </w:r>
          </w:p>
        </w:tc>
        <w:tc>
          <w:tcPr>
            <w:tcW w:w="1572" w:type="dxa"/>
          </w:tcPr>
          <w:p w14:paraId="459BBF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31FE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E6E6B9" w14:textId="77777777" w:rsidTr="00ED5B0A">
        <w:tc>
          <w:tcPr>
            <w:tcW w:w="1951" w:type="dxa"/>
          </w:tcPr>
          <w:p w14:paraId="4C380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D08F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B034C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кольце окружен.</w:t>
            </w:r>
          </w:p>
        </w:tc>
        <w:tc>
          <w:tcPr>
            <w:tcW w:w="1572" w:type="dxa"/>
          </w:tcPr>
          <w:p w14:paraId="48994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B9706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AC8101" w14:textId="77777777" w:rsidTr="00ED5B0A">
        <w:tc>
          <w:tcPr>
            <w:tcW w:w="1951" w:type="dxa"/>
          </w:tcPr>
          <w:p w14:paraId="542E0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4E547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AE1B8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противнику.</w:t>
            </w:r>
          </w:p>
        </w:tc>
        <w:tc>
          <w:tcPr>
            <w:tcW w:w="1572" w:type="dxa"/>
          </w:tcPr>
          <w:p w14:paraId="706EB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32B1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B07E85" w14:textId="77777777" w:rsidTr="00ED5B0A">
        <w:tc>
          <w:tcPr>
            <w:tcW w:w="1951" w:type="dxa"/>
          </w:tcPr>
          <w:p w14:paraId="22DDAD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Учтенные с/вылеты</w:t>
            </w:r>
          </w:p>
        </w:tc>
        <w:tc>
          <w:tcPr>
            <w:tcW w:w="1432" w:type="dxa"/>
          </w:tcPr>
          <w:p w14:paraId="2D6057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406C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737CDD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184149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989657" w14:textId="77777777" w:rsidTr="00ED5B0A">
        <w:tc>
          <w:tcPr>
            <w:tcW w:w="1951" w:type="dxa"/>
          </w:tcPr>
          <w:p w14:paraId="5CF280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налет:</w:t>
            </w:r>
          </w:p>
        </w:tc>
        <w:tc>
          <w:tcPr>
            <w:tcW w:w="1432" w:type="dxa"/>
          </w:tcPr>
          <w:p w14:paraId="5E309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A2F2C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4ECB4C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850D2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E5D36F" w14:textId="77777777" w:rsidTr="00ED5B0A">
        <w:tc>
          <w:tcPr>
            <w:tcW w:w="1951" w:type="dxa"/>
          </w:tcPr>
          <w:p w14:paraId="1BCC8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w:t>
            </w:r>
          </w:p>
        </w:tc>
        <w:tc>
          <w:tcPr>
            <w:tcW w:w="1432" w:type="dxa"/>
          </w:tcPr>
          <w:p w14:paraId="11603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1518 (дн. бомб.)</w:t>
            </w:r>
          </w:p>
        </w:tc>
        <w:tc>
          <w:tcPr>
            <w:tcW w:w="1441" w:type="dxa"/>
          </w:tcPr>
          <w:p w14:paraId="334DDA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 (дн. бомб.)</w:t>
            </w:r>
          </w:p>
        </w:tc>
        <w:tc>
          <w:tcPr>
            <w:tcW w:w="1572" w:type="dxa"/>
          </w:tcPr>
          <w:p w14:paraId="4CD6B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788 (дн. бомб.)</w:t>
            </w:r>
          </w:p>
        </w:tc>
        <w:tc>
          <w:tcPr>
            <w:tcW w:w="4060" w:type="dxa"/>
          </w:tcPr>
          <w:p w14:paraId="64B43F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1046 (дн. бомб.)</w:t>
            </w:r>
          </w:p>
        </w:tc>
      </w:tr>
      <w:tr w:rsidR="00A907A5" w:rsidRPr="00271E51" w14:paraId="4D764570" w14:textId="77777777" w:rsidTr="00ED5B0A">
        <w:tc>
          <w:tcPr>
            <w:tcW w:w="1951" w:type="dxa"/>
          </w:tcPr>
          <w:p w14:paraId="18ED47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1D735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8172 (истреб.)</w:t>
            </w:r>
          </w:p>
        </w:tc>
        <w:tc>
          <w:tcPr>
            <w:tcW w:w="1441" w:type="dxa"/>
          </w:tcPr>
          <w:p w14:paraId="1830B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2353 (истреб.)</w:t>
            </w:r>
          </w:p>
        </w:tc>
        <w:tc>
          <w:tcPr>
            <w:tcW w:w="1572" w:type="dxa"/>
          </w:tcPr>
          <w:p w14:paraId="1F6DE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1417 (истреб.)</w:t>
            </w:r>
          </w:p>
        </w:tc>
        <w:tc>
          <w:tcPr>
            <w:tcW w:w="4060" w:type="dxa"/>
          </w:tcPr>
          <w:p w14:paraId="5562E1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1175 (истреб.)</w:t>
            </w:r>
          </w:p>
        </w:tc>
      </w:tr>
      <w:tr w:rsidR="00A907A5" w:rsidRPr="00271E51" w14:paraId="14CE44AD" w14:textId="77777777" w:rsidTr="00ED5B0A">
        <w:tc>
          <w:tcPr>
            <w:tcW w:w="1951" w:type="dxa"/>
          </w:tcPr>
          <w:p w14:paraId="4D52A7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6FAC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DD83C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1954 (штурмов.)/</w:t>
            </w:r>
          </w:p>
        </w:tc>
        <w:tc>
          <w:tcPr>
            <w:tcW w:w="1572" w:type="dxa"/>
          </w:tcPr>
          <w:p w14:paraId="3B8405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936 (штурмов.)</w:t>
            </w:r>
          </w:p>
        </w:tc>
        <w:tc>
          <w:tcPr>
            <w:tcW w:w="4060" w:type="dxa"/>
          </w:tcPr>
          <w:p w14:paraId="52D01B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2196 (штурмов.)</w:t>
            </w:r>
          </w:p>
        </w:tc>
      </w:tr>
      <w:tr w:rsidR="00A907A5" w:rsidRPr="00271E51" w14:paraId="4E853C0D" w14:textId="77777777" w:rsidTr="00ED5B0A">
        <w:tc>
          <w:tcPr>
            <w:tcW w:w="1951" w:type="dxa"/>
          </w:tcPr>
          <w:p w14:paraId="482D68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1028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87DA6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1554 (дн. бомб.)</w:t>
            </w:r>
          </w:p>
        </w:tc>
        <w:tc>
          <w:tcPr>
            <w:tcW w:w="1572" w:type="dxa"/>
          </w:tcPr>
          <w:p w14:paraId="7758B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2A27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16696C" w14:textId="77777777" w:rsidTr="00ED5B0A">
        <w:tc>
          <w:tcPr>
            <w:tcW w:w="1951" w:type="dxa"/>
          </w:tcPr>
          <w:p w14:paraId="685D9D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A67B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7B7B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1769 (истреб.)</w:t>
            </w:r>
          </w:p>
        </w:tc>
        <w:tc>
          <w:tcPr>
            <w:tcW w:w="1572" w:type="dxa"/>
          </w:tcPr>
          <w:p w14:paraId="4DA973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8B4C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DE55CD" w14:textId="77777777" w:rsidTr="00ED5B0A">
        <w:tc>
          <w:tcPr>
            <w:tcW w:w="1951" w:type="dxa"/>
          </w:tcPr>
          <w:p w14:paraId="35D738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C908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0D42E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685 (штурмов.)</w:t>
            </w:r>
          </w:p>
        </w:tc>
        <w:tc>
          <w:tcPr>
            <w:tcW w:w="1572" w:type="dxa"/>
          </w:tcPr>
          <w:p w14:paraId="16FAF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49B4C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73DF33" w14:textId="77777777" w:rsidTr="00ED5B0A">
        <w:tc>
          <w:tcPr>
            <w:tcW w:w="1951" w:type="dxa"/>
          </w:tcPr>
          <w:p w14:paraId="208E60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w:t>
            </w:r>
          </w:p>
        </w:tc>
        <w:tc>
          <w:tcPr>
            <w:tcW w:w="1432" w:type="dxa"/>
          </w:tcPr>
          <w:p w14:paraId="111BF6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1734 (дн. бомб.)</w:t>
            </w:r>
          </w:p>
        </w:tc>
        <w:tc>
          <w:tcPr>
            <w:tcW w:w="1441" w:type="dxa"/>
          </w:tcPr>
          <w:p w14:paraId="78BBBE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585 (дн. бомб.)</w:t>
            </w:r>
          </w:p>
        </w:tc>
        <w:tc>
          <w:tcPr>
            <w:tcW w:w="1572" w:type="dxa"/>
          </w:tcPr>
          <w:p w14:paraId="5575A9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1112 (дн. бомб.)</w:t>
            </w:r>
          </w:p>
        </w:tc>
        <w:tc>
          <w:tcPr>
            <w:tcW w:w="4060" w:type="dxa"/>
          </w:tcPr>
          <w:p w14:paraId="1DF350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1931 (дн. бомб.)</w:t>
            </w:r>
          </w:p>
        </w:tc>
      </w:tr>
      <w:tr w:rsidR="00A907A5" w:rsidRPr="00271E51" w14:paraId="52CADE84" w14:textId="77777777" w:rsidTr="00ED5B0A">
        <w:tc>
          <w:tcPr>
            <w:tcW w:w="1951" w:type="dxa"/>
          </w:tcPr>
          <w:p w14:paraId="6A4678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C7F14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6877 (истреб.)</w:t>
            </w:r>
          </w:p>
        </w:tc>
        <w:tc>
          <w:tcPr>
            <w:tcW w:w="1441" w:type="dxa"/>
          </w:tcPr>
          <w:p w14:paraId="22460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1926 (истреб.)</w:t>
            </w:r>
          </w:p>
        </w:tc>
        <w:tc>
          <w:tcPr>
            <w:tcW w:w="1572" w:type="dxa"/>
          </w:tcPr>
          <w:p w14:paraId="74BAF9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1215 (истреб.)</w:t>
            </w:r>
          </w:p>
        </w:tc>
        <w:tc>
          <w:tcPr>
            <w:tcW w:w="4060" w:type="dxa"/>
          </w:tcPr>
          <w:p w14:paraId="440A1B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1174 (истреб.)</w:t>
            </w:r>
          </w:p>
        </w:tc>
      </w:tr>
      <w:tr w:rsidR="00A907A5" w:rsidRPr="00271E51" w14:paraId="50091F62" w14:textId="77777777" w:rsidTr="00ED5B0A">
        <w:tc>
          <w:tcPr>
            <w:tcW w:w="1951" w:type="dxa"/>
          </w:tcPr>
          <w:p w14:paraId="4BC75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972C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43E3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2027 (штурмов.)/</w:t>
            </w:r>
          </w:p>
        </w:tc>
        <w:tc>
          <w:tcPr>
            <w:tcW w:w="1572" w:type="dxa"/>
          </w:tcPr>
          <w:p w14:paraId="62C6B4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878 (штурмов.)</w:t>
            </w:r>
          </w:p>
        </w:tc>
        <w:tc>
          <w:tcPr>
            <w:tcW w:w="4060" w:type="dxa"/>
          </w:tcPr>
          <w:p w14:paraId="7C186C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 (штурмов.)</w:t>
            </w:r>
          </w:p>
        </w:tc>
      </w:tr>
      <w:tr w:rsidR="00A907A5" w:rsidRPr="00271E51" w14:paraId="2F8F7AFB" w14:textId="77777777" w:rsidTr="00ED5B0A">
        <w:tc>
          <w:tcPr>
            <w:tcW w:w="1951" w:type="dxa"/>
          </w:tcPr>
          <w:p w14:paraId="0905DB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0BFC2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7A33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1983 (дн. бомб.)</w:t>
            </w:r>
          </w:p>
        </w:tc>
        <w:tc>
          <w:tcPr>
            <w:tcW w:w="1572" w:type="dxa"/>
          </w:tcPr>
          <w:p w14:paraId="6BC42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F99EF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76FA4B" w14:textId="77777777" w:rsidTr="00ED5B0A">
        <w:tc>
          <w:tcPr>
            <w:tcW w:w="1951" w:type="dxa"/>
          </w:tcPr>
          <w:p w14:paraId="2E6DCE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58654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D588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1328 (истреб.)</w:t>
            </w:r>
          </w:p>
        </w:tc>
        <w:tc>
          <w:tcPr>
            <w:tcW w:w="1572" w:type="dxa"/>
          </w:tcPr>
          <w:p w14:paraId="5849D6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3AF3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DCFB79" w14:textId="77777777" w:rsidTr="00ED5B0A">
        <w:tc>
          <w:tcPr>
            <w:tcW w:w="1951" w:type="dxa"/>
          </w:tcPr>
          <w:p w14:paraId="566CD4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814C6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01965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 (штурмов.)</w:t>
            </w:r>
          </w:p>
        </w:tc>
        <w:tc>
          <w:tcPr>
            <w:tcW w:w="1572" w:type="dxa"/>
          </w:tcPr>
          <w:p w14:paraId="295D90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57BBB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0814BF" w14:textId="77777777" w:rsidTr="00ED5B0A">
        <w:tc>
          <w:tcPr>
            <w:tcW w:w="1951" w:type="dxa"/>
          </w:tcPr>
          <w:p w14:paraId="16A84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 с-тов</w:t>
            </w:r>
          </w:p>
        </w:tc>
        <w:tc>
          <w:tcPr>
            <w:tcW w:w="1432" w:type="dxa"/>
          </w:tcPr>
          <w:p w14:paraId="4FB7A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2A13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0E242F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1D4166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2FB1A4" w14:textId="77777777" w:rsidTr="00ED5B0A">
        <w:tc>
          <w:tcPr>
            <w:tcW w:w="1951" w:type="dxa"/>
          </w:tcPr>
          <w:p w14:paraId="5E10E8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воздушном бою:</w:t>
            </w:r>
          </w:p>
        </w:tc>
        <w:tc>
          <w:tcPr>
            <w:tcW w:w="1432" w:type="dxa"/>
          </w:tcPr>
          <w:p w14:paraId="49AD01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D2088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341936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463D7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BBE053" w14:textId="77777777" w:rsidTr="00ED5B0A">
        <w:tc>
          <w:tcPr>
            <w:tcW w:w="1951" w:type="dxa"/>
          </w:tcPr>
          <w:p w14:paraId="00BEC1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w:t>
            </w:r>
          </w:p>
        </w:tc>
        <w:tc>
          <w:tcPr>
            <w:tcW w:w="1432" w:type="dxa"/>
          </w:tcPr>
          <w:p w14:paraId="311380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(дн. бомб.)</w:t>
            </w:r>
          </w:p>
        </w:tc>
        <w:tc>
          <w:tcPr>
            <w:tcW w:w="1441" w:type="dxa"/>
          </w:tcPr>
          <w:p w14:paraId="542C35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(дн. бомб.)</w:t>
            </w:r>
          </w:p>
        </w:tc>
        <w:tc>
          <w:tcPr>
            <w:tcW w:w="1572" w:type="dxa"/>
          </w:tcPr>
          <w:p w14:paraId="3F0D4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(дн. бомб)</w:t>
            </w:r>
          </w:p>
        </w:tc>
        <w:tc>
          <w:tcPr>
            <w:tcW w:w="4060" w:type="dxa"/>
          </w:tcPr>
          <w:p w14:paraId="7B54B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(дн. бомб.)</w:t>
            </w:r>
          </w:p>
        </w:tc>
      </w:tr>
      <w:tr w:rsidR="00A907A5" w:rsidRPr="00271E51" w14:paraId="6168FDDC" w14:textId="77777777" w:rsidTr="00ED5B0A">
        <w:tc>
          <w:tcPr>
            <w:tcW w:w="1951" w:type="dxa"/>
          </w:tcPr>
          <w:p w14:paraId="7199C7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387D4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(истреб.)</w:t>
            </w:r>
          </w:p>
        </w:tc>
        <w:tc>
          <w:tcPr>
            <w:tcW w:w="1441" w:type="dxa"/>
          </w:tcPr>
          <w:p w14:paraId="7CDF6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(истреб.)</w:t>
            </w:r>
          </w:p>
        </w:tc>
        <w:tc>
          <w:tcPr>
            <w:tcW w:w="1572" w:type="dxa"/>
          </w:tcPr>
          <w:p w14:paraId="2112B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(истреб.)</w:t>
            </w:r>
          </w:p>
        </w:tc>
        <w:tc>
          <w:tcPr>
            <w:tcW w:w="4060" w:type="dxa"/>
          </w:tcPr>
          <w:p w14:paraId="660B7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(истреб.)</w:t>
            </w:r>
          </w:p>
        </w:tc>
      </w:tr>
      <w:tr w:rsidR="00A907A5" w:rsidRPr="00271E51" w14:paraId="565B2B8C" w14:textId="77777777" w:rsidTr="00ED5B0A">
        <w:tc>
          <w:tcPr>
            <w:tcW w:w="1951" w:type="dxa"/>
          </w:tcPr>
          <w:p w14:paraId="13DFD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D9BA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78916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(штурм.)/</w:t>
            </w:r>
          </w:p>
        </w:tc>
        <w:tc>
          <w:tcPr>
            <w:tcW w:w="1572" w:type="dxa"/>
          </w:tcPr>
          <w:p w14:paraId="51346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(штурм.)</w:t>
            </w:r>
          </w:p>
        </w:tc>
        <w:tc>
          <w:tcPr>
            <w:tcW w:w="4060" w:type="dxa"/>
          </w:tcPr>
          <w:p w14:paraId="6315CC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(штурм.)</w:t>
            </w:r>
          </w:p>
        </w:tc>
      </w:tr>
      <w:tr w:rsidR="00A907A5" w:rsidRPr="00271E51" w14:paraId="116C8DC8" w14:textId="77777777" w:rsidTr="00ED5B0A">
        <w:tc>
          <w:tcPr>
            <w:tcW w:w="1951" w:type="dxa"/>
          </w:tcPr>
          <w:p w14:paraId="02A274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D48E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1733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(дн. бомб.)</w:t>
            </w:r>
          </w:p>
        </w:tc>
        <w:tc>
          <w:tcPr>
            <w:tcW w:w="1572" w:type="dxa"/>
          </w:tcPr>
          <w:p w14:paraId="1B77A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9579E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A47E6D" w14:textId="77777777" w:rsidTr="00ED5B0A">
        <w:tc>
          <w:tcPr>
            <w:tcW w:w="1951" w:type="dxa"/>
          </w:tcPr>
          <w:p w14:paraId="0C87F3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698E2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22563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(истреб.)</w:t>
            </w:r>
          </w:p>
        </w:tc>
        <w:tc>
          <w:tcPr>
            <w:tcW w:w="1572" w:type="dxa"/>
          </w:tcPr>
          <w:p w14:paraId="2F65BC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CF96B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E32868" w14:textId="77777777" w:rsidTr="00ED5B0A">
        <w:tc>
          <w:tcPr>
            <w:tcW w:w="1951" w:type="dxa"/>
          </w:tcPr>
          <w:p w14:paraId="3C92E6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A9FB5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BF837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4C7CDE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D667D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2B9AE6" w14:textId="77777777" w:rsidTr="00ED5B0A">
        <w:tc>
          <w:tcPr>
            <w:tcW w:w="1951" w:type="dxa"/>
          </w:tcPr>
          <w:p w14:paraId="1891E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32" w:type="dxa"/>
          </w:tcPr>
          <w:p w14:paraId="2F828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(дн. бомб.)</w:t>
            </w:r>
          </w:p>
        </w:tc>
        <w:tc>
          <w:tcPr>
            <w:tcW w:w="1441" w:type="dxa"/>
          </w:tcPr>
          <w:p w14:paraId="3D76EC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66,7 (дн. бомб.)</w:t>
            </w:r>
          </w:p>
        </w:tc>
        <w:tc>
          <w:tcPr>
            <w:tcW w:w="1572" w:type="dxa"/>
          </w:tcPr>
          <w:p w14:paraId="164B8D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38,9 (дн. бомб.)</w:t>
            </w:r>
          </w:p>
        </w:tc>
        <w:tc>
          <w:tcPr>
            <w:tcW w:w="4060" w:type="dxa"/>
          </w:tcPr>
          <w:p w14:paraId="6B876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 (дн. бомб.)</w:t>
            </w:r>
          </w:p>
        </w:tc>
      </w:tr>
      <w:tr w:rsidR="00A907A5" w:rsidRPr="00271E51" w14:paraId="79A4FA3B" w14:textId="77777777" w:rsidTr="00ED5B0A">
        <w:tc>
          <w:tcPr>
            <w:tcW w:w="1951" w:type="dxa"/>
          </w:tcPr>
          <w:p w14:paraId="34E23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5B95C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37,3 (истреб.)</w:t>
            </w:r>
          </w:p>
        </w:tc>
        <w:tc>
          <w:tcPr>
            <w:tcW w:w="1441" w:type="dxa"/>
          </w:tcPr>
          <w:p w14:paraId="132FC7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37,9 (истреб.)</w:t>
            </w:r>
          </w:p>
        </w:tc>
        <w:tc>
          <w:tcPr>
            <w:tcW w:w="1572" w:type="dxa"/>
          </w:tcPr>
          <w:p w14:paraId="2AF3D9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 (истреб.)</w:t>
            </w:r>
          </w:p>
        </w:tc>
        <w:tc>
          <w:tcPr>
            <w:tcW w:w="4060" w:type="dxa"/>
          </w:tcPr>
          <w:p w14:paraId="67D88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(истреб.)</w:t>
            </w:r>
          </w:p>
        </w:tc>
      </w:tr>
      <w:tr w:rsidR="00A907A5" w:rsidRPr="00271E51" w14:paraId="1990DC78" w14:textId="77777777" w:rsidTr="00ED5B0A">
        <w:tc>
          <w:tcPr>
            <w:tcW w:w="1951" w:type="dxa"/>
          </w:tcPr>
          <w:p w14:paraId="492098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2780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0FA2A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 (штурм.)/</w:t>
            </w:r>
          </w:p>
        </w:tc>
        <w:tc>
          <w:tcPr>
            <w:tcW w:w="1572" w:type="dxa"/>
          </w:tcPr>
          <w:p w14:paraId="2835FE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 (штурм.)</w:t>
            </w:r>
          </w:p>
        </w:tc>
        <w:tc>
          <w:tcPr>
            <w:tcW w:w="4060" w:type="dxa"/>
          </w:tcPr>
          <w:p w14:paraId="3A66EC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50,8 (штурм.)</w:t>
            </w:r>
          </w:p>
        </w:tc>
      </w:tr>
      <w:tr w:rsidR="00A907A5" w:rsidRPr="00271E51" w14:paraId="20FF2512" w14:textId="77777777" w:rsidTr="00ED5B0A">
        <w:tc>
          <w:tcPr>
            <w:tcW w:w="1951" w:type="dxa"/>
          </w:tcPr>
          <w:p w14:paraId="6566A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DBC4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A69E2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 (дн. бомб.)</w:t>
            </w:r>
          </w:p>
        </w:tc>
        <w:tc>
          <w:tcPr>
            <w:tcW w:w="1572" w:type="dxa"/>
          </w:tcPr>
          <w:p w14:paraId="3B212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2A57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256CC7" w14:textId="77777777" w:rsidTr="00ED5B0A">
        <w:tc>
          <w:tcPr>
            <w:tcW w:w="1951" w:type="dxa"/>
          </w:tcPr>
          <w:p w14:paraId="773DE0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1BCD4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E1D42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 (истреб.)</w:t>
            </w:r>
          </w:p>
        </w:tc>
        <w:tc>
          <w:tcPr>
            <w:tcW w:w="1572" w:type="dxa"/>
          </w:tcPr>
          <w:p w14:paraId="337BA3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944B0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5D1D24" w14:textId="77777777" w:rsidTr="00ED5B0A">
        <w:tc>
          <w:tcPr>
            <w:tcW w:w="1951" w:type="dxa"/>
          </w:tcPr>
          <w:p w14:paraId="75CAE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51E2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0E50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1C632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271A1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DFF9D0" w14:textId="77777777" w:rsidTr="00ED5B0A">
        <w:tc>
          <w:tcPr>
            <w:tcW w:w="1951" w:type="dxa"/>
          </w:tcPr>
          <w:p w14:paraId="1B33E2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огня ЗА и ЗП:</w:t>
            </w:r>
          </w:p>
        </w:tc>
        <w:tc>
          <w:tcPr>
            <w:tcW w:w="1432" w:type="dxa"/>
          </w:tcPr>
          <w:p w14:paraId="3082E6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8CB50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1ADE0C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3A033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022AF5" w14:textId="77777777" w:rsidTr="00ED5B0A">
        <w:tc>
          <w:tcPr>
            <w:tcW w:w="1951" w:type="dxa"/>
          </w:tcPr>
          <w:p w14:paraId="027F7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w:t>
            </w:r>
          </w:p>
        </w:tc>
        <w:tc>
          <w:tcPr>
            <w:tcW w:w="1432" w:type="dxa"/>
          </w:tcPr>
          <w:p w14:paraId="6F22F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(дн. бомб.)</w:t>
            </w:r>
          </w:p>
        </w:tc>
        <w:tc>
          <w:tcPr>
            <w:tcW w:w="1441" w:type="dxa"/>
          </w:tcPr>
          <w:p w14:paraId="2B8238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3DC13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(дн. бомб.)</w:t>
            </w:r>
          </w:p>
        </w:tc>
        <w:tc>
          <w:tcPr>
            <w:tcW w:w="4060" w:type="dxa"/>
          </w:tcPr>
          <w:p w14:paraId="387E9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(дн. бомб.)</w:t>
            </w:r>
          </w:p>
        </w:tc>
      </w:tr>
      <w:tr w:rsidR="00A907A5" w:rsidRPr="00271E51" w14:paraId="2AB0039B" w14:textId="77777777" w:rsidTr="00ED5B0A">
        <w:tc>
          <w:tcPr>
            <w:tcW w:w="1951" w:type="dxa"/>
          </w:tcPr>
          <w:p w14:paraId="4D36E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E097A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(истреб.)</w:t>
            </w:r>
          </w:p>
        </w:tc>
        <w:tc>
          <w:tcPr>
            <w:tcW w:w="1441" w:type="dxa"/>
          </w:tcPr>
          <w:p w14:paraId="5CA77B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1572" w:type="dxa"/>
          </w:tcPr>
          <w:p w14:paraId="202E4F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w:t>
            </w:r>
          </w:p>
        </w:tc>
        <w:tc>
          <w:tcPr>
            <w:tcW w:w="4060" w:type="dxa"/>
          </w:tcPr>
          <w:p w14:paraId="2BB3C5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w:t>
            </w:r>
          </w:p>
        </w:tc>
      </w:tr>
      <w:tr w:rsidR="00A907A5" w:rsidRPr="00271E51" w14:paraId="60F58829" w14:textId="77777777" w:rsidTr="00ED5B0A">
        <w:tc>
          <w:tcPr>
            <w:tcW w:w="1951" w:type="dxa"/>
          </w:tcPr>
          <w:p w14:paraId="3D870B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0C979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C44B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(штурм.)/</w:t>
            </w:r>
          </w:p>
        </w:tc>
        <w:tc>
          <w:tcPr>
            <w:tcW w:w="1572" w:type="dxa"/>
          </w:tcPr>
          <w:p w14:paraId="02279D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(штурм.)</w:t>
            </w:r>
          </w:p>
        </w:tc>
        <w:tc>
          <w:tcPr>
            <w:tcW w:w="4060" w:type="dxa"/>
          </w:tcPr>
          <w:p w14:paraId="44C552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 (штурм.)</w:t>
            </w:r>
          </w:p>
        </w:tc>
      </w:tr>
      <w:tr w:rsidR="00A907A5" w:rsidRPr="00271E51" w14:paraId="211BD785" w14:textId="77777777" w:rsidTr="00ED5B0A">
        <w:tc>
          <w:tcPr>
            <w:tcW w:w="1951" w:type="dxa"/>
          </w:tcPr>
          <w:p w14:paraId="46757D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45FC4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9032B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(дн. бомб.)</w:t>
            </w:r>
          </w:p>
        </w:tc>
        <w:tc>
          <w:tcPr>
            <w:tcW w:w="1572" w:type="dxa"/>
          </w:tcPr>
          <w:p w14:paraId="599AA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1DA369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59024B" w14:textId="77777777" w:rsidTr="00ED5B0A">
        <w:tc>
          <w:tcPr>
            <w:tcW w:w="1951" w:type="dxa"/>
          </w:tcPr>
          <w:p w14:paraId="4427BF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3F2A4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E98C8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w:t>
            </w:r>
          </w:p>
        </w:tc>
        <w:tc>
          <w:tcPr>
            <w:tcW w:w="1572" w:type="dxa"/>
          </w:tcPr>
          <w:p w14:paraId="5663B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4B1BE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56A111" w14:textId="77777777" w:rsidTr="00ED5B0A">
        <w:tc>
          <w:tcPr>
            <w:tcW w:w="1951" w:type="dxa"/>
          </w:tcPr>
          <w:p w14:paraId="36B9AE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C58A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00DCA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(штурм.)</w:t>
            </w:r>
          </w:p>
        </w:tc>
        <w:tc>
          <w:tcPr>
            <w:tcW w:w="1572" w:type="dxa"/>
          </w:tcPr>
          <w:p w14:paraId="6C133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77EF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E5365D" w14:textId="77777777" w:rsidTr="00ED5B0A">
        <w:tc>
          <w:tcPr>
            <w:tcW w:w="1951" w:type="dxa"/>
          </w:tcPr>
          <w:p w14:paraId="1F6DC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32" w:type="dxa"/>
          </w:tcPr>
          <w:p w14:paraId="521BAB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(дн. бомб.)</w:t>
            </w:r>
          </w:p>
        </w:tc>
        <w:tc>
          <w:tcPr>
            <w:tcW w:w="1441" w:type="dxa"/>
          </w:tcPr>
          <w:p w14:paraId="0A809F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037A7A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27,8 (дн. бомб.)</w:t>
            </w:r>
          </w:p>
        </w:tc>
        <w:tc>
          <w:tcPr>
            <w:tcW w:w="4060" w:type="dxa"/>
          </w:tcPr>
          <w:p w14:paraId="0CB690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 (дн. бомб.)</w:t>
            </w:r>
          </w:p>
        </w:tc>
      </w:tr>
      <w:tr w:rsidR="00A907A5" w:rsidRPr="00271E51" w14:paraId="4670BD5B" w14:textId="77777777" w:rsidTr="00ED5B0A">
        <w:tc>
          <w:tcPr>
            <w:tcW w:w="1951" w:type="dxa"/>
          </w:tcPr>
          <w:p w14:paraId="3E6382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A98E8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32,2 (истреб.)</w:t>
            </w:r>
          </w:p>
        </w:tc>
        <w:tc>
          <w:tcPr>
            <w:tcW w:w="1441" w:type="dxa"/>
          </w:tcPr>
          <w:p w14:paraId="270D5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1572" w:type="dxa"/>
          </w:tcPr>
          <w:p w14:paraId="46905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 (истреб.)</w:t>
            </w:r>
          </w:p>
        </w:tc>
        <w:tc>
          <w:tcPr>
            <w:tcW w:w="4060" w:type="dxa"/>
          </w:tcPr>
          <w:p w14:paraId="2AFCFC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 (истреб.)</w:t>
            </w:r>
          </w:p>
        </w:tc>
      </w:tr>
      <w:tr w:rsidR="00A907A5" w:rsidRPr="00271E51" w14:paraId="6154531A" w14:textId="77777777" w:rsidTr="00ED5B0A">
        <w:tc>
          <w:tcPr>
            <w:tcW w:w="1951" w:type="dxa"/>
          </w:tcPr>
          <w:p w14:paraId="6E1D1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E2CE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B9DFD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 (штурм.)/</w:t>
            </w:r>
          </w:p>
        </w:tc>
        <w:tc>
          <w:tcPr>
            <w:tcW w:w="1572" w:type="dxa"/>
          </w:tcPr>
          <w:p w14:paraId="07052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 (штурм.)</w:t>
            </w:r>
          </w:p>
        </w:tc>
        <w:tc>
          <w:tcPr>
            <w:tcW w:w="4060" w:type="dxa"/>
          </w:tcPr>
          <w:p w14:paraId="6B7778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 (штурм.)</w:t>
            </w:r>
          </w:p>
        </w:tc>
      </w:tr>
      <w:tr w:rsidR="00A907A5" w:rsidRPr="00271E51" w14:paraId="1A528568" w14:textId="77777777" w:rsidTr="00ED5B0A">
        <w:tc>
          <w:tcPr>
            <w:tcW w:w="1951" w:type="dxa"/>
          </w:tcPr>
          <w:p w14:paraId="7B04F4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81FB7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3DE04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 (дн. бомб.)</w:t>
            </w:r>
          </w:p>
        </w:tc>
        <w:tc>
          <w:tcPr>
            <w:tcW w:w="1572" w:type="dxa"/>
          </w:tcPr>
          <w:p w14:paraId="376A6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846AC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F251F1" w14:textId="77777777" w:rsidTr="00ED5B0A">
        <w:tc>
          <w:tcPr>
            <w:tcW w:w="1951" w:type="dxa"/>
          </w:tcPr>
          <w:p w14:paraId="6AD4A1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A371B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F3072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 (истреб.)</w:t>
            </w:r>
          </w:p>
        </w:tc>
        <w:tc>
          <w:tcPr>
            <w:tcW w:w="1572" w:type="dxa"/>
          </w:tcPr>
          <w:p w14:paraId="70B06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993E6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07CBE0" w14:textId="77777777" w:rsidTr="00ED5B0A">
        <w:tc>
          <w:tcPr>
            <w:tcW w:w="1951" w:type="dxa"/>
          </w:tcPr>
          <w:p w14:paraId="603E85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99788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56A30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(штурм.)</w:t>
            </w:r>
          </w:p>
        </w:tc>
        <w:tc>
          <w:tcPr>
            <w:tcW w:w="1572" w:type="dxa"/>
          </w:tcPr>
          <w:p w14:paraId="75DAE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B15D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6BEE47" w14:textId="77777777" w:rsidTr="00ED5B0A">
        <w:tc>
          <w:tcPr>
            <w:tcW w:w="1951" w:type="dxa"/>
          </w:tcPr>
          <w:p w14:paraId="29252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Уничтож. на аэр.:</w:t>
            </w:r>
          </w:p>
        </w:tc>
        <w:tc>
          <w:tcPr>
            <w:tcW w:w="1432" w:type="dxa"/>
          </w:tcPr>
          <w:p w14:paraId="1055E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(дн. бомб.)</w:t>
            </w:r>
          </w:p>
        </w:tc>
        <w:tc>
          <w:tcPr>
            <w:tcW w:w="1441" w:type="dxa"/>
          </w:tcPr>
          <w:p w14:paraId="49E7B3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58DDAB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4060" w:type="dxa"/>
          </w:tcPr>
          <w:p w14:paraId="4B18D9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r>
      <w:tr w:rsidR="00A907A5" w:rsidRPr="00271E51" w14:paraId="435D6429" w14:textId="77777777" w:rsidTr="00ED5B0A">
        <w:tc>
          <w:tcPr>
            <w:tcW w:w="1951" w:type="dxa"/>
          </w:tcPr>
          <w:p w14:paraId="2EA0C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86E7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w:t>
            </w:r>
          </w:p>
        </w:tc>
        <w:tc>
          <w:tcPr>
            <w:tcW w:w="1441" w:type="dxa"/>
          </w:tcPr>
          <w:p w14:paraId="70413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w:t>
            </w:r>
          </w:p>
        </w:tc>
        <w:tc>
          <w:tcPr>
            <w:tcW w:w="1572" w:type="dxa"/>
          </w:tcPr>
          <w:p w14:paraId="119C2A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4060" w:type="dxa"/>
          </w:tcPr>
          <w:p w14:paraId="2F21E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r>
      <w:tr w:rsidR="00A907A5" w:rsidRPr="00271E51" w14:paraId="51455665" w14:textId="77777777" w:rsidTr="00ED5B0A">
        <w:tc>
          <w:tcPr>
            <w:tcW w:w="1951" w:type="dxa"/>
          </w:tcPr>
          <w:p w14:paraId="70D86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85D6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2FC7A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(штурм.)/</w:t>
            </w:r>
          </w:p>
        </w:tc>
        <w:tc>
          <w:tcPr>
            <w:tcW w:w="1572" w:type="dxa"/>
          </w:tcPr>
          <w:p w14:paraId="5AFA0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4060" w:type="dxa"/>
          </w:tcPr>
          <w:p w14:paraId="44B0E4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r>
      <w:tr w:rsidR="00A907A5" w:rsidRPr="00271E51" w14:paraId="713C1588" w14:textId="77777777" w:rsidTr="00ED5B0A">
        <w:tc>
          <w:tcPr>
            <w:tcW w:w="1951" w:type="dxa"/>
          </w:tcPr>
          <w:p w14:paraId="6C105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928DC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F9ECB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49EAF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768F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77F600" w14:textId="77777777" w:rsidTr="00ED5B0A">
        <w:tc>
          <w:tcPr>
            <w:tcW w:w="1951" w:type="dxa"/>
          </w:tcPr>
          <w:p w14:paraId="2912F0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68F0C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8DF1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1572" w:type="dxa"/>
          </w:tcPr>
          <w:p w14:paraId="3082E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7E1E0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489A38" w14:textId="77777777" w:rsidTr="00ED5B0A">
        <w:tc>
          <w:tcPr>
            <w:tcW w:w="1951" w:type="dxa"/>
          </w:tcPr>
          <w:p w14:paraId="582526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432C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A801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2F160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BA703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8E8F07" w14:textId="77777777" w:rsidTr="00ED5B0A">
        <w:tc>
          <w:tcPr>
            <w:tcW w:w="1951" w:type="dxa"/>
          </w:tcPr>
          <w:p w14:paraId="695147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32" w:type="dxa"/>
          </w:tcPr>
          <w:p w14:paraId="6E38E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(дн. бомб.)</w:t>
            </w:r>
          </w:p>
        </w:tc>
        <w:tc>
          <w:tcPr>
            <w:tcW w:w="1441" w:type="dxa"/>
          </w:tcPr>
          <w:p w14:paraId="1794F6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48BF44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4060" w:type="dxa"/>
          </w:tcPr>
          <w:p w14:paraId="6CAA9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r>
      <w:tr w:rsidR="00A907A5" w:rsidRPr="00271E51" w14:paraId="2EFCBD8C" w14:textId="77777777" w:rsidTr="00ED5B0A">
        <w:tc>
          <w:tcPr>
            <w:tcW w:w="1951" w:type="dxa"/>
          </w:tcPr>
          <w:p w14:paraId="6311ED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1D57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(истреб.)</w:t>
            </w:r>
          </w:p>
        </w:tc>
        <w:tc>
          <w:tcPr>
            <w:tcW w:w="1441" w:type="dxa"/>
          </w:tcPr>
          <w:p w14:paraId="34B74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 (истреб.)</w:t>
            </w:r>
          </w:p>
        </w:tc>
        <w:tc>
          <w:tcPr>
            <w:tcW w:w="1572" w:type="dxa"/>
          </w:tcPr>
          <w:p w14:paraId="759DA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4060" w:type="dxa"/>
          </w:tcPr>
          <w:p w14:paraId="3B405B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r>
      <w:tr w:rsidR="00A907A5" w:rsidRPr="00271E51" w14:paraId="02131BFD" w14:textId="77777777" w:rsidTr="00ED5B0A">
        <w:tc>
          <w:tcPr>
            <w:tcW w:w="1951" w:type="dxa"/>
          </w:tcPr>
          <w:p w14:paraId="31006C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84B0B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207D8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 (штурм.)/</w:t>
            </w:r>
          </w:p>
        </w:tc>
        <w:tc>
          <w:tcPr>
            <w:tcW w:w="1572" w:type="dxa"/>
          </w:tcPr>
          <w:p w14:paraId="32102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4060" w:type="dxa"/>
          </w:tcPr>
          <w:p w14:paraId="31115C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DB9DB3" w14:textId="77777777" w:rsidTr="00ED5B0A">
        <w:tc>
          <w:tcPr>
            <w:tcW w:w="1951" w:type="dxa"/>
          </w:tcPr>
          <w:p w14:paraId="32256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FADAF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53DF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(дн. бомб.)</w:t>
            </w:r>
          </w:p>
        </w:tc>
        <w:tc>
          <w:tcPr>
            <w:tcW w:w="1572" w:type="dxa"/>
          </w:tcPr>
          <w:p w14:paraId="549BB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4BF8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r>
      <w:tr w:rsidR="00A907A5" w:rsidRPr="00271E51" w14:paraId="378CEB44" w14:textId="77777777" w:rsidTr="00ED5B0A">
        <w:tc>
          <w:tcPr>
            <w:tcW w:w="1951" w:type="dxa"/>
          </w:tcPr>
          <w:p w14:paraId="6E3DC5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2D83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C81C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(истреб.)</w:t>
            </w:r>
          </w:p>
        </w:tc>
        <w:tc>
          <w:tcPr>
            <w:tcW w:w="1572" w:type="dxa"/>
          </w:tcPr>
          <w:p w14:paraId="2AECED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E672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6F332E" w14:textId="77777777" w:rsidTr="00ED5B0A">
        <w:tc>
          <w:tcPr>
            <w:tcW w:w="1951" w:type="dxa"/>
          </w:tcPr>
          <w:p w14:paraId="342A6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995D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38E2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60B7D9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82304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F935F3" w14:textId="77777777" w:rsidTr="00ED5B0A">
        <w:tc>
          <w:tcPr>
            <w:tcW w:w="1951" w:type="dxa"/>
          </w:tcPr>
          <w:p w14:paraId="3F0B3F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вернулось с</w:t>
            </w:r>
          </w:p>
        </w:tc>
        <w:tc>
          <w:tcPr>
            <w:tcW w:w="1432" w:type="dxa"/>
          </w:tcPr>
          <w:p w14:paraId="2D8C4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AAC5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40810E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21ED5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1D5590" w14:textId="77777777" w:rsidTr="00ED5B0A">
        <w:tc>
          <w:tcPr>
            <w:tcW w:w="1951" w:type="dxa"/>
          </w:tcPr>
          <w:p w14:paraId="6A97AA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боевого задания:</w:t>
            </w:r>
          </w:p>
        </w:tc>
        <w:tc>
          <w:tcPr>
            <w:tcW w:w="1432" w:type="dxa"/>
          </w:tcPr>
          <w:p w14:paraId="5766A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7558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481F0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69B6A6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5AD56A" w14:textId="77777777" w:rsidTr="00ED5B0A">
        <w:tc>
          <w:tcPr>
            <w:tcW w:w="1951" w:type="dxa"/>
          </w:tcPr>
          <w:p w14:paraId="436834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w:t>
            </w:r>
          </w:p>
        </w:tc>
        <w:tc>
          <w:tcPr>
            <w:tcW w:w="1432" w:type="dxa"/>
          </w:tcPr>
          <w:p w14:paraId="0FB20A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(дн. бомб.)</w:t>
            </w:r>
          </w:p>
        </w:tc>
        <w:tc>
          <w:tcPr>
            <w:tcW w:w="1441" w:type="dxa"/>
          </w:tcPr>
          <w:p w14:paraId="3C583C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(дн. бомб.)</w:t>
            </w:r>
          </w:p>
        </w:tc>
        <w:tc>
          <w:tcPr>
            <w:tcW w:w="1572" w:type="dxa"/>
          </w:tcPr>
          <w:p w14:paraId="2012B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(дн. бомб.)</w:t>
            </w:r>
          </w:p>
        </w:tc>
        <w:tc>
          <w:tcPr>
            <w:tcW w:w="4060" w:type="dxa"/>
          </w:tcPr>
          <w:p w14:paraId="090A1F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(дн. бомб.)</w:t>
            </w:r>
          </w:p>
        </w:tc>
      </w:tr>
      <w:tr w:rsidR="00A907A5" w:rsidRPr="00271E51" w14:paraId="68EE1C56" w14:textId="77777777" w:rsidTr="00ED5B0A">
        <w:tc>
          <w:tcPr>
            <w:tcW w:w="1951" w:type="dxa"/>
          </w:tcPr>
          <w:p w14:paraId="0BBA3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29F3B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(истреб.)</w:t>
            </w:r>
          </w:p>
        </w:tc>
        <w:tc>
          <w:tcPr>
            <w:tcW w:w="1441" w:type="dxa"/>
          </w:tcPr>
          <w:p w14:paraId="31CCE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(истреб.)</w:t>
            </w:r>
          </w:p>
        </w:tc>
        <w:tc>
          <w:tcPr>
            <w:tcW w:w="1572" w:type="dxa"/>
          </w:tcPr>
          <w:p w14:paraId="1C50C9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(истреб.)</w:t>
            </w:r>
          </w:p>
        </w:tc>
        <w:tc>
          <w:tcPr>
            <w:tcW w:w="4060" w:type="dxa"/>
          </w:tcPr>
          <w:p w14:paraId="624E17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(истреб.)</w:t>
            </w:r>
          </w:p>
        </w:tc>
      </w:tr>
      <w:tr w:rsidR="00A907A5" w:rsidRPr="00271E51" w14:paraId="7C4237AF" w14:textId="77777777" w:rsidTr="00ED5B0A">
        <w:tc>
          <w:tcPr>
            <w:tcW w:w="1951" w:type="dxa"/>
          </w:tcPr>
          <w:p w14:paraId="11C1F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8622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975A0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 (штурм.)/</w:t>
            </w:r>
          </w:p>
        </w:tc>
        <w:tc>
          <w:tcPr>
            <w:tcW w:w="1572" w:type="dxa"/>
          </w:tcPr>
          <w:p w14:paraId="40A638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(штурм.)</w:t>
            </w:r>
          </w:p>
        </w:tc>
        <w:tc>
          <w:tcPr>
            <w:tcW w:w="4060" w:type="dxa"/>
          </w:tcPr>
          <w:p w14:paraId="43CBCB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(штурм.)</w:t>
            </w:r>
          </w:p>
        </w:tc>
      </w:tr>
      <w:tr w:rsidR="00A907A5" w:rsidRPr="00271E51" w14:paraId="7C5F09DE" w14:textId="77777777" w:rsidTr="00ED5B0A">
        <w:tc>
          <w:tcPr>
            <w:tcW w:w="1951" w:type="dxa"/>
          </w:tcPr>
          <w:p w14:paraId="135F2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5507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AB04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(дн. бомб.)</w:t>
            </w:r>
          </w:p>
        </w:tc>
        <w:tc>
          <w:tcPr>
            <w:tcW w:w="1572" w:type="dxa"/>
          </w:tcPr>
          <w:p w14:paraId="18957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8F3C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56002D" w14:textId="77777777" w:rsidTr="00ED5B0A">
        <w:tc>
          <w:tcPr>
            <w:tcW w:w="1951" w:type="dxa"/>
          </w:tcPr>
          <w:p w14:paraId="650A8F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13A57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6472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(истреб.)</w:t>
            </w:r>
          </w:p>
        </w:tc>
        <w:tc>
          <w:tcPr>
            <w:tcW w:w="1572" w:type="dxa"/>
          </w:tcPr>
          <w:p w14:paraId="42DBD0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5E0A6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452823" w14:textId="77777777" w:rsidTr="00ED5B0A">
        <w:tc>
          <w:tcPr>
            <w:tcW w:w="1951" w:type="dxa"/>
          </w:tcPr>
          <w:p w14:paraId="7C5170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B579F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B8FAA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618BD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4D163D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70E5EE" w14:textId="77777777" w:rsidTr="00ED5B0A">
        <w:tc>
          <w:tcPr>
            <w:tcW w:w="1951" w:type="dxa"/>
          </w:tcPr>
          <w:p w14:paraId="1D21AA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32" w:type="dxa"/>
          </w:tcPr>
          <w:p w14:paraId="2F9A67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(дн. бомб.)</w:t>
            </w:r>
          </w:p>
        </w:tc>
        <w:tc>
          <w:tcPr>
            <w:tcW w:w="1441" w:type="dxa"/>
          </w:tcPr>
          <w:p w14:paraId="5191DF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 (дн. бомб.)</w:t>
            </w:r>
          </w:p>
        </w:tc>
        <w:tc>
          <w:tcPr>
            <w:tcW w:w="1572" w:type="dxa"/>
          </w:tcPr>
          <w:p w14:paraId="64404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 (дн. бомб.)</w:t>
            </w:r>
          </w:p>
        </w:tc>
        <w:tc>
          <w:tcPr>
            <w:tcW w:w="4060" w:type="dxa"/>
          </w:tcPr>
          <w:p w14:paraId="115240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31,4 (дн. бомб.)</w:t>
            </w:r>
          </w:p>
        </w:tc>
      </w:tr>
      <w:tr w:rsidR="00A907A5" w:rsidRPr="00271E51" w14:paraId="5B352C47" w14:textId="77777777" w:rsidTr="00ED5B0A">
        <w:tc>
          <w:tcPr>
            <w:tcW w:w="1951" w:type="dxa"/>
          </w:tcPr>
          <w:p w14:paraId="5531AA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D72AE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 (истреб.)</w:t>
            </w:r>
          </w:p>
        </w:tc>
        <w:tc>
          <w:tcPr>
            <w:tcW w:w="1441" w:type="dxa"/>
          </w:tcPr>
          <w:p w14:paraId="63A6D6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58,7 (истреб.)</w:t>
            </w:r>
          </w:p>
        </w:tc>
        <w:tc>
          <w:tcPr>
            <w:tcW w:w="1572" w:type="dxa"/>
          </w:tcPr>
          <w:p w14:paraId="128511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 (истреб.)</w:t>
            </w:r>
          </w:p>
        </w:tc>
        <w:tc>
          <w:tcPr>
            <w:tcW w:w="4060" w:type="dxa"/>
          </w:tcPr>
          <w:p w14:paraId="16086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31,2 (истреб.)</w:t>
            </w:r>
          </w:p>
        </w:tc>
      </w:tr>
      <w:tr w:rsidR="00A907A5" w:rsidRPr="00271E51" w14:paraId="71855BDB" w14:textId="77777777" w:rsidTr="00ED5B0A">
        <w:tc>
          <w:tcPr>
            <w:tcW w:w="1951" w:type="dxa"/>
          </w:tcPr>
          <w:p w14:paraId="21F08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3851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43A459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 (штурм.)/</w:t>
            </w:r>
          </w:p>
        </w:tc>
        <w:tc>
          <w:tcPr>
            <w:tcW w:w="1572" w:type="dxa"/>
          </w:tcPr>
          <w:p w14:paraId="12F980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 (штурм.)</w:t>
            </w:r>
          </w:p>
        </w:tc>
        <w:tc>
          <w:tcPr>
            <w:tcW w:w="4060" w:type="dxa"/>
          </w:tcPr>
          <w:p w14:paraId="08D1B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 (штурм.)</w:t>
            </w:r>
          </w:p>
        </w:tc>
      </w:tr>
      <w:tr w:rsidR="00A907A5" w:rsidRPr="00271E51" w14:paraId="39B30EB2" w14:textId="77777777" w:rsidTr="00ED5B0A">
        <w:tc>
          <w:tcPr>
            <w:tcW w:w="1951" w:type="dxa"/>
          </w:tcPr>
          <w:p w14:paraId="2421E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367C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7EA238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33,4 (дн. бомб.)</w:t>
            </w:r>
          </w:p>
        </w:tc>
        <w:tc>
          <w:tcPr>
            <w:tcW w:w="1572" w:type="dxa"/>
          </w:tcPr>
          <w:p w14:paraId="305713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179E9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73E5D1" w14:textId="77777777" w:rsidTr="00ED5B0A">
        <w:tc>
          <w:tcPr>
            <w:tcW w:w="1951" w:type="dxa"/>
          </w:tcPr>
          <w:p w14:paraId="25479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79C4E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28C4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66,7 (истреб.)</w:t>
            </w:r>
          </w:p>
        </w:tc>
        <w:tc>
          <w:tcPr>
            <w:tcW w:w="1572" w:type="dxa"/>
          </w:tcPr>
          <w:p w14:paraId="6983D7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01FA8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0F9AC3" w14:textId="77777777" w:rsidTr="00ED5B0A">
        <w:tc>
          <w:tcPr>
            <w:tcW w:w="1951" w:type="dxa"/>
          </w:tcPr>
          <w:p w14:paraId="10442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2152D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19548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(штурм.)</w:t>
            </w:r>
          </w:p>
        </w:tc>
        <w:tc>
          <w:tcPr>
            <w:tcW w:w="1572" w:type="dxa"/>
          </w:tcPr>
          <w:p w14:paraId="570040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FAA1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2F583C" w14:textId="77777777" w:rsidTr="00ED5B0A">
        <w:tc>
          <w:tcPr>
            <w:tcW w:w="1951" w:type="dxa"/>
          </w:tcPr>
          <w:p w14:paraId="7DB12F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432" w:type="dxa"/>
          </w:tcPr>
          <w:p w14:paraId="11822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(дн. бомб.)</w:t>
            </w:r>
          </w:p>
        </w:tc>
        <w:tc>
          <w:tcPr>
            <w:tcW w:w="1441" w:type="dxa"/>
          </w:tcPr>
          <w:p w14:paraId="4A454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(дн. бомб.)</w:t>
            </w:r>
          </w:p>
        </w:tc>
        <w:tc>
          <w:tcPr>
            <w:tcW w:w="1572" w:type="dxa"/>
          </w:tcPr>
          <w:p w14:paraId="5EAC1B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(дн. бомб.)</w:t>
            </w:r>
          </w:p>
        </w:tc>
        <w:tc>
          <w:tcPr>
            <w:tcW w:w="4060" w:type="dxa"/>
          </w:tcPr>
          <w:p w14:paraId="0B9DE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(дн. бомб.)</w:t>
            </w:r>
          </w:p>
        </w:tc>
      </w:tr>
      <w:tr w:rsidR="00A907A5" w:rsidRPr="00271E51" w14:paraId="5A066E6A" w14:textId="77777777" w:rsidTr="00ED5B0A">
        <w:tc>
          <w:tcPr>
            <w:tcW w:w="1951" w:type="dxa"/>
          </w:tcPr>
          <w:p w14:paraId="6758D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5AC6B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 (истреб.)</w:t>
            </w:r>
          </w:p>
        </w:tc>
        <w:tc>
          <w:tcPr>
            <w:tcW w:w="1441" w:type="dxa"/>
          </w:tcPr>
          <w:p w14:paraId="52ABC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(истреб.)</w:t>
            </w:r>
          </w:p>
        </w:tc>
        <w:tc>
          <w:tcPr>
            <w:tcW w:w="1572" w:type="dxa"/>
          </w:tcPr>
          <w:p w14:paraId="22C8AB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(истреб.)</w:t>
            </w:r>
          </w:p>
        </w:tc>
        <w:tc>
          <w:tcPr>
            <w:tcW w:w="4060" w:type="dxa"/>
          </w:tcPr>
          <w:p w14:paraId="0768C9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(истреб.)</w:t>
            </w:r>
          </w:p>
        </w:tc>
      </w:tr>
      <w:tr w:rsidR="00A907A5" w:rsidRPr="00271E51" w14:paraId="34A0FE24" w14:textId="77777777" w:rsidTr="00ED5B0A">
        <w:tc>
          <w:tcPr>
            <w:tcW w:w="1951" w:type="dxa"/>
          </w:tcPr>
          <w:p w14:paraId="43C6C6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BBCEF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A2CF8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 (штурм.)/</w:t>
            </w:r>
          </w:p>
        </w:tc>
        <w:tc>
          <w:tcPr>
            <w:tcW w:w="1572" w:type="dxa"/>
          </w:tcPr>
          <w:p w14:paraId="0A3BD6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(штурм.)</w:t>
            </w:r>
          </w:p>
        </w:tc>
        <w:tc>
          <w:tcPr>
            <w:tcW w:w="4060" w:type="dxa"/>
          </w:tcPr>
          <w:p w14:paraId="3490DD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 (штурм.)</w:t>
            </w:r>
          </w:p>
        </w:tc>
      </w:tr>
      <w:tr w:rsidR="00A907A5" w:rsidRPr="00271E51" w14:paraId="08DAE8E1" w14:textId="77777777" w:rsidTr="00ED5B0A">
        <w:tc>
          <w:tcPr>
            <w:tcW w:w="1951" w:type="dxa"/>
          </w:tcPr>
          <w:p w14:paraId="1F426C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24EA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E676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(дн. бомб.)</w:t>
            </w:r>
          </w:p>
        </w:tc>
        <w:tc>
          <w:tcPr>
            <w:tcW w:w="1572" w:type="dxa"/>
          </w:tcPr>
          <w:p w14:paraId="4F6CE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06CC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A0DF85" w14:textId="77777777" w:rsidTr="00ED5B0A">
        <w:tc>
          <w:tcPr>
            <w:tcW w:w="1951" w:type="dxa"/>
          </w:tcPr>
          <w:p w14:paraId="5124C1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A12BE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0C26CD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(истреб.)</w:t>
            </w:r>
          </w:p>
        </w:tc>
        <w:tc>
          <w:tcPr>
            <w:tcW w:w="1572" w:type="dxa"/>
          </w:tcPr>
          <w:p w14:paraId="47AEF9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1EA23A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1BF451" w14:textId="77777777" w:rsidTr="00ED5B0A">
        <w:tc>
          <w:tcPr>
            <w:tcW w:w="1951" w:type="dxa"/>
          </w:tcPr>
          <w:p w14:paraId="46ABD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9247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7F3D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(штурм.)</w:t>
            </w:r>
          </w:p>
        </w:tc>
        <w:tc>
          <w:tcPr>
            <w:tcW w:w="1572" w:type="dxa"/>
          </w:tcPr>
          <w:p w14:paraId="00C20E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FC4AC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2D2198" w14:textId="77777777" w:rsidTr="00ED5B0A">
        <w:tc>
          <w:tcPr>
            <w:tcW w:w="1951" w:type="dxa"/>
          </w:tcPr>
          <w:p w14:paraId="76787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на одну</w:t>
            </w:r>
          </w:p>
        </w:tc>
        <w:tc>
          <w:tcPr>
            <w:tcW w:w="1432" w:type="dxa"/>
          </w:tcPr>
          <w:p w14:paraId="07C649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CF9DB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78606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268C3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2D2C84" w14:textId="77777777" w:rsidTr="00ED5B0A">
        <w:tc>
          <w:tcPr>
            <w:tcW w:w="1951" w:type="dxa"/>
          </w:tcPr>
          <w:p w14:paraId="1A6EA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боевую потерю:</w:t>
            </w:r>
          </w:p>
        </w:tc>
        <w:tc>
          <w:tcPr>
            <w:tcW w:w="1432" w:type="dxa"/>
          </w:tcPr>
          <w:p w14:paraId="231C7B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6B967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72" w:type="dxa"/>
          </w:tcPr>
          <w:p w14:paraId="61D339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F48E2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A1D8A7" w14:textId="77777777" w:rsidTr="00ED5B0A">
        <w:tc>
          <w:tcPr>
            <w:tcW w:w="1951" w:type="dxa"/>
          </w:tcPr>
          <w:p w14:paraId="22118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1432" w:type="dxa"/>
          </w:tcPr>
          <w:p w14:paraId="16A060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 (дн. бомб.)</w:t>
            </w:r>
          </w:p>
        </w:tc>
        <w:tc>
          <w:tcPr>
            <w:tcW w:w="1441" w:type="dxa"/>
          </w:tcPr>
          <w:p w14:paraId="219A96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(дн. бомб.)</w:t>
            </w:r>
          </w:p>
        </w:tc>
        <w:tc>
          <w:tcPr>
            <w:tcW w:w="1572" w:type="dxa"/>
          </w:tcPr>
          <w:p w14:paraId="427E4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 (дн. бомб.)</w:t>
            </w:r>
          </w:p>
        </w:tc>
        <w:tc>
          <w:tcPr>
            <w:tcW w:w="4060" w:type="dxa"/>
          </w:tcPr>
          <w:p w14:paraId="006A8C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(дн. бомб.)</w:t>
            </w:r>
          </w:p>
        </w:tc>
      </w:tr>
      <w:tr w:rsidR="00A907A5" w:rsidRPr="00271E51" w14:paraId="64B77646" w14:textId="77777777" w:rsidTr="00ED5B0A">
        <w:tc>
          <w:tcPr>
            <w:tcW w:w="1951" w:type="dxa"/>
          </w:tcPr>
          <w:p w14:paraId="660142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5954B6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 (истреб.)</w:t>
            </w:r>
          </w:p>
        </w:tc>
        <w:tc>
          <w:tcPr>
            <w:tcW w:w="1441" w:type="dxa"/>
          </w:tcPr>
          <w:p w14:paraId="21FAFD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 (истреб.)</w:t>
            </w:r>
          </w:p>
        </w:tc>
        <w:tc>
          <w:tcPr>
            <w:tcW w:w="1572" w:type="dxa"/>
          </w:tcPr>
          <w:p w14:paraId="34E137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129 (истреб.)</w:t>
            </w:r>
          </w:p>
        </w:tc>
        <w:tc>
          <w:tcPr>
            <w:tcW w:w="4060" w:type="dxa"/>
          </w:tcPr>
          <w:p w14:paraId="3F2E0D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 (истреб.)</w:t>
            </w:r>
          </w:p>
        </w:tc>
      </w:tr>
      <w:tr w:rsidR="00A907A5" w:rsidRPr="00271E51" w14:paraId="1F1DADE5" w14:textId="77777777" w:rsidTr="00ED5B0A">
        <w:tc>
          <w:tcPr>
            <w:tcW w:w="1951" w:type="dxa"/>
          </w:tcPr>
          <w:p w14:paraId="6D415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DDB59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2FB6E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 (штурм.)/</w:t>
            </w:r>
          </w:p>
        </w:tc>
        <w:tc>
          <w:tcPr>
            <w:tcW w:w="1572" w:type="dxa"/>
          </w:tcPr>
          <w:p w14:paraId="62BC89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 (штурм.)</w:t>
            </w:r>
          </w:p>
        </w:tc>
        <w:tc>
          <w:tcPr>
            <w:tcW w:w="4060" w:type="dxa"/>
          </w:tcPr>
          <w:p w14:paraId="760454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(штурм.)</w:t>
            </w:r>
          </w:p>
        </w:tc>
      </w:tr>
      <w:tr w:rsidR="00A907A5" w:rsidRPr="00271E51" w14:paraId="22B0287B" w14:textId="77777777" w:rsidTr="00ED5B0A">
        <w:tc>
          <w:tcPr>
            <w:tcW w:w="1951" w:type="dxa"/>
          </w:tcPr>
          <w:p w14:paraId="50A4ED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623A1F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AD28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518 (дн. бомб.)</w:t>
            </w:r>
          </w:p>
        </w:tc>
        <w:tc>
          <w:tcPr>
            <w:tcW w:w="1572" w:type="dxa"/>
          </w:tcPr>
          <w:p w14:paraId="29B692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C2F6E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4A3567" w14:textId="77777777" w:rsidTr="00ED5B0A">
        <w:tc>
          <w:tcPr>
            <w:tcW w:w="1951" w:type="dxa"/>
          </w:tcPr>
          <w:p w14:paraId="5B0DB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95955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323C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 (истреб.)</w:t>
            </w:r>
          </w:p>
        </w:tc>
        <w:tc>
          <w:tcPr>
            <w:tcW w:w="1572" w:type="dxa"/>
          </w:tcPr>
          <w:p w14:paraId="7DDA6D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FB93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C4C954" w14:textId="77777777" w:rsidTr="00ED5B0A">
        <w:tc>
          <w:tcPr>
            <w:tcW w:w="1951" w:type="dxa"/>
          </w:tcPr>
          <w:p w14:paraId="79EF80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41F48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6F30A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 (штурм.)</w:t>
            </w:r>
          </w:p>
        </w:tc>
        <w:tc>
          <w:tcPr>
            <w:tcW w:w="1572" w:type="dxa"/>
          </w:tcPr>
          <w:p w14:paraId="383A5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0BFD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839799" w14:textId="77777777" w:rsidTr="00ED5B0A">
        <w:tc>
          <w:tcPr>
            <w:tcW w:w="1951" w:type="dxa"/>
          </w:tcPr>
          <w:p w14:paraId="1D6C6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1432" w:type="dxa"/>
          </w:tcPr>
          <w:p w14:paraId="628ED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173 (дн. бомб.)</w:t>
            </w:r>
          </w:p>
        </w:tc>
        <w:tc>
          <w:tcPr>
            <w:tcW w:w="1441" w:type="dxa"/>
          </w:tcPr>
          <w:p w14:paraId="1BDCAA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 (дн. бомб.)</w:t>
            </w:r>
          </w:p>
        </w:tc>
        <w:tc>
          <w:tcPr>
            <w:tcW w:w="1572" w:type="dxa"/>
          </w:tcPr>
          <w:p w14:paraId="7B9314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 (дн. бомб.)</w:t>
            </w:r>
          </w:p>
        </w:tc>
        <w:tc>
          <w:tcPr>
            <w:tcW w:w="4060" w:type="dxa"/>
          </w:tcPr>
          <w:p w14:paraId="548A6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(дн. бомб.)</w:t>
            </w:r>
          </w:p>
        </w:tc>
      </w:tr>
      <w:tr w:rsidR="00A907A5" w:rsidRPr="00271E51" w14:paraId="2197AB4D" w14:textId="77777777" w:rsidTr="00ED5B0A">
        <w:tc>
          <w:tcPr>
            <w:tcW w:w="1951" w:type="dxa"/>
          </w:tcPr>
          <w:p w14:paraId="1C5BAE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04362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 (истреб.)</w:t>
            </w:r>
          </w:p>
        </w:tc>
        <w:tc>
          <w:tcPr>
            <w:tcW w:w="1441" w:type="dxa"/>
          </w:tcPr>
          <w:p w14:paraId="2C73C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 (истреб.)</w:t>
            </w:r>
          </w:p>
        </w:tc>
        <w:tc>
          <w:tcPr>
            <w:tcW w:w="1572" w:type="dxa"/>
          </w:tcPr>
          <w:p w14:paraId="6FACF7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 (истреб.)</w:t>
            </w:r>
          </w:p>
        </w:tc>
        <w:tc>
          <w:tcPr>
            <w:tcW w:w="4060" w:type="dxa"/>
          </w:tcPr>
          <w:p w14:paraId="59A17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 (истреб.)</w:t>
            </w:r>
          </w:p>
        </w:tc>
      </w:tr>
      <w:tr w:rsidR="00A907A5" w:rsidRPr="00271E51" w14:paraId="169AAFC6" w14:textId="77777777" w:rsidTr="00ED5B0A">
        <w:tc>
          <w:tcPr>
            <w:tcW w:w="1951" w:type="dxa"/>
          </w:tcPr>
          <w:p w14:paraId="52937D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7F30E1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113BF8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(штурм.)/</w:t>
            </w:r>
          </w:p>
        </w:tc>
        <w:tc>
          <w:tcPr>
            <w:tcW w:w="1572" w:type="dxa"/>
          </w:tcPr>
          <w:p w14:paraId="44BD2A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(штурм.)</w:t>
            </w:r>
          </w:p>
        </w:tc>
        <w:tc>
          <w:tcPr>
            <w:tcW w:w="4060" w:type="dxa"/>
          </w:tcPr>
          <w:p w14:paraId="28030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(штурм.)</w:t>
            </w:r>
          </w:p>
        </w:tc>
      </w:tr>
      <w:tr w:rsidR="00A907A5" w:rsidRPr="00271E51" w14:paraId="0F5075FD" w14:textId="77777777" w:rsidTr="00ED5B0A">
        <w:tc>
          <w:tcPr>
            <w:tcW w:w="1951" w:type="dxa"/>
          </w:tcPr>
          <w:p w14:paraId="475602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9B11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298E6A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661 (дн. бомб.)</w:t>
            </w:r>
          </w:p>
        </w:tc>
        <w:tc>
          <w:tcPr>
            <w:tcW w:w="1572" w:type="dxa"/>
          </w:tcPr>
          <w:p w14:paraId="57A433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515D9C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DE423C" w14:textId="77777777" w:rsidTr="00ED5B0A">
        <w:tc>
          <w:tcPr>
            <w:tcW w:w="1951" w:type="dxa"/>
          </w:tcPr>
          <w:p w14:paraId="1CCB15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3614BC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5486C1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148 (истреб.)</w:t>
            </w:r>
          </w:p>
        </w:tc>
        <w:tc>
          <w:tcPr>
            <w:tcW w:w="1572" w:type="dxa"/>
          </w:tcPr>
          <w:p w14:paraId="50CBC4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3442E1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3A3BCF" w14:textId="77777777" w:rsidTr="00ED5B0A">
        <w:tc>
          <w:tcPr>
            <w:tcW w:w="1951" w:type="dxa"/>
          </w:tcPr>
          <w:p w14:paraId="5D9F9E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2" w:type="dxa"/>
          </w:tcPr>
          <w:p w14:paraId="4F8EE4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1" w:type="dxa"/>
          </w:tcPr>
          <w:p w14:paraId="37D5F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 (штурм.)</w:t>
            </w:r>
          </w:p>
        </w:tc>
        <w:tc>
          <w:tcPr>
            <w:tcW w:w="1572" w:type="dxa"/>
          </w:tcPr>
          <w:p w14:paraId="26D2B1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060" w:type="dxa"/>
          </w:tcPr>
          <w:p w14:paraId="7BE870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81547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III</w:t>
      </w:r>
    </w:p>
    <w:p w14:paraId="036E32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боевой службы истребителей, в зависимости от подготовки летного состава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4111"/>
        <w:gridCol w:w="3827"/>
      </w:tblGrid>
      <w:tr w:rsidR="00A907A5" w:rsidRPr="00271E51" w14:paraId="21A29820" w14:textId="77777777" w:rsidTr="00ED5B0A">
        <w:tc>
          <w:tcPr>
            <w:tcW w:w="2518" w:type="dxa"/>
          </w:tcPr>
          <w:p w14:paraId="35877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Авиационное соединение</w:t>
            </w:r>
          </w:p>
        </w:tc>
        <w:tc>
          <w:tcPr>
            <w:tcW w:w="4111" w:type="dxa"/>
          </w:tcPr>
          <w:p w14:paraId="28C34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ВА</w:t>
            </w:r>
          </w:p>
        </w:tc>
        <w:tc>
          <w:tcPr>
            <w:tcW w:w="3827" w:type="dxa"/>
          </w:tcPr>
          <w:p w14:paraId="65985F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 5 ВА</w:t>
            </w:r>
          </w:p>
        </w:tc>
      </w:tr>
      <w:tr w:rsidR="00A907A5" w:rsidRPr="00271E51" w14:paraId="6EAA479F" w14:textId="77777777" w:rsidTr="00ED5B0A">
        <w:tc>
          <w:tcPr>
            <w:tcW w:w="2518" w:type="dxa"/>
          </w:tcPr>
          <w:p w14:paraId="75B2B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фронт</w:t>
            </w:r>
          </w:p>
        </w:tc>
        <w:tc>
          <w:tcPr>
            <w:tcW w:w="4111" w:type="dxa"/>
          </w:tcPr>
          <w:p w14:paraId="649FEC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Сталинградский</w:t>
            </w:r>
          </w:p>
        </w:tc>
        <w:tc>
          <w:tcPr>
            <w:tcW w:w="3827" w:type="dxa"/>
          </w:tcPr>
          <w:p w14:paraId="6647E1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Северо-Кавказский</w:t>
            </w:r>
          </w:p>
        </w:tc>
      </w:tr>
      <w:tr w:rsidR="00A907A5" w:rsidRPr="00271E51" w14:paraId="1DF30134" w14:textId="77777777" w:rsidTr="00ED5B0A">
        <w:tc>
          <w:tcPr>
            <w:tcW w:w="2518" w:type="dxa"/>
          </w:tcPr>
          <w:p w14:paraId="158A96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0B98A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w:t>
            </w:r>
          </w:p>
        </w:tc>
        <w:tc>
          <w:tcPr>
            <w:tcW w:w="3827" w:type="dxa"/>
          </w:tcPr>
          <w:p w14:paraId="68F87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фронт</w:t>
            </w:r>
          </w:p>
        </w:tc>
      </w:tr>
      <w:tr w:rsidR="00A907A5" w:rsidRPr="00271E51" w14:paraId="76931E9C" w14:textId="77777777" w:rsidTr="00ED5B0A">
        <w:tc>
          <w:tcPr>
            <w:tcW w:w="2518" w:type="dxa"/>
          </w:tcPr>
          <w:p w14:paraId="0E81EA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Учтенный период</w:t>
            </w:r>
          </w:p>
        </w:tc>
        <w:tc>
          <w:tcPr>
            <w:tcW w:w="4111" w:type="dxa"/>
          </w:tcPr>
          <w:p w14:paraId="291F5B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сентябрь-октябрь 1942 г.</w:t>
            </w:r>
          </w:p>
        </w:tc>
        <w:tc>
          <w:tcPr>
            <w:tcW w:w="3827" w:type="dxa"/>
          </w:tcPr>
          <w:p w14:paraId="33163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март-апрель 1943 г.</w:t>
            </w:r>
          </w:p>
        </w:tc>
      </w:tr>
      <w:tr w:rsidR="00A907A5" w:rsidRPr="00271E51" w14:paraId="454C182A" w14:textId="77777777" w:rsidTr="00ED5B0A">
        <w:tc>
          <w:tcPr>
            <w:tcW w:w="2518" w:type="dxa"/>
          </w:tcPr>
          <w:p w14:paraId="050A3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Типы самолетов</w:t>
            </w:r>
          </w:p>
        </w:tc>
        <w:tc>
          <w:tcPr>
            <w:tcW w:w="4111" w:type="dxa"/>
          </w:tcPr>
          <w:p w14:paraId="73A76F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Современные истребит.</w:t>
            </w:r>
          </w:p>
        </w:tc>
        <w:tc>
          <w:tcPr>
            <w:tcW w:w="3827" w:type="dxa"/>
          </w:tcPr>
          <w:p w14:paraId="7972D4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Истребители всех типов - I</w:t>
            </w:r>
          </w:p>
        </w:tc>
      </w:tr>
      <w:tr w:rsidR="00A907A5" w:rsidRPr="00271E51" w14:paraId="18D67307" w14:textId="77777777" w:rsidTr="00ED5B0A">
        <w:tc>
          <w:tcPr>
            <w:tcW w:w="2518" w:type="dxa"/>
          </w:tcPr>
          <w:p w14:paraId="1347D0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4516EF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Як-7, Ла-5,</w:t>
            </w:r>
          </w:p>
        </w:tc>
        <w:tc>
          <w:tcPr>
            <w:tcW w:w="3827" w:type="dxa"/>
          </w:tcPr>
          <w:p w14:paraId="1BEE1C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Устаревшие истребители</w:t>
            </w:r>
          </w:p>
        </w:tc>
      </w:tr>
      <w:tr w:rsidR="00A907A5" w:rsidRPr="00271E51" w14:paraId="674C4C1D" w14:textId="77777777" w:rsidTr="00ED5B0A">
        <w:tc>
          <w:tcPr>
            <w:tcW w:w="2518" w:type="dxa"/>
          </w:tcPr>
          <w:p w14:paraId="760789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1A241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Р-40 Е)</w:t>
            </w:r>
          </w:p>
        </w:tc>
        <w:tc>
          <w:tcPr>
            <w:tcW w:w="3827" w:type="dxa"/>
          </w:tcPr>
          <w:p w14:paraId="75DAD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И-15 бис,</w:t>
            </w:r>
          </w:p>
        </w:tc>
      </w:tr>
      <w:tr w:rsidR="00A907A5" w:rsidRPr="00271E51" w14:paraId="77DA9B9F" w14:textId="77777777" w:rsidTr="00ED5B0A">
        <w:tc>
          <w:tcPr>
            <w:tcW w:w="2518" w:type="dxa"/>
          </w:tcPr>
          <w:p w14:paraId="7510EF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5AF52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51EFCE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И-153, И-16) - II</w:t>
            </w:r>
          </w:p>
        </w:tc>
      </w:tr>
      <w:tr w:rsidR="00A907A5" w:rsidRPr="00271E51" w14:paraId="09C62D76" w14:textId="77777777" w:rsidTr="00ED5B0A">
        <w:tc>
          <w:tcPr>
            <w:tcW w:w="2518" w:type="dxa"/>
          </w:tcPr>
          <w:p w14:paraId="18910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F7C1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26A10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Современные истребители</w:t>
            </w:r>
          </w:p>
        </w:tc>
      </w:tr>
      <w:tr w:rsidR="00A907A5" w:rsidRPr="00271E51" w14:paraId="483B9EA9" w14:textId="77777777" w:rsidTr="00ED5B0A">
        <w:tc>
          <w:tcPr>
            <w:tcW w:w="2518" w:type="dxa"/>
          </w:tcPr>
          <w:p w14:paraId="12CABF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7148A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A00B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Як-7, Ла-5, Р-40Е,</w:t>
            </w:r>
          </w:p>
        </w:tc>
      </w:tr>
      <w:tr w:rsidR="00A907A5" w:rsidRPr="00271E51" w14:paraId="2C8126B4" w14:textId="77777777" w:rsidTr="00ED5B0A">
        <w:tc>
          <w:tcPr>
            <w:tcW w:w="2518" w:type="dxa"/>
          </w:tcPr>
          <w:p w14:paraId="32429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3ECF59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3B11B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Аэрокобра) - III</w:t>
            </w:r>
          </w:p>
        </w:tc>
      </w:tr>
      <w:tr w:rsidR="00A907A5" w:rsidRPr="00271E51" w14:paraId="6A50C21E" w14:textId="77777777" w:rsidTr="00ED5B0A">
        <w:tc>
          <w:tcPr>
            <w:tcW w:w="2518" w:type="dxa"/>
          </w:tcPr>
          <w:p w14:paraId="71B69E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 налет:</w:t>
            </w:r>
          </w:p>
        </w:tc>
        <w:tc>
          <w:tcPr>
            <w:tcW w:w="4111" w:type="dxa"/>
          </w:tcPr>
          <w:p w14:paraId="05E9CA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51965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4EE100" w14:textId="77777777" w:rsidTr="00ED5B0A">
        <w:tc>
          <w:tcPr>
            <w:tcW w:w="2518" w:type="dxa"/>
          </w:tcPr>
          <w:p w14:paraId="3733F6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4111" w:type="dxa"/>
          </w:tcPr>
          <w:p w14:paraId="5F7531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4411</w:t>
            </w:r>
          </w:p>
        </w:tc>
        <w:tc>
          <w:tcPr>
            <w:tcW w:w="3827" w:type="dxa"/>
          </w:tcPr>
          <w:p w14:paraId="2DF0C8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7427 (I)</w:t>
            </w:r>
          </w:p>
        </w:tc>
      </w:tr>
      <w:tr w:rsidR="00A907A5" w:rsidRPr="00271E51" w14:paraId="679F9D9D" w14:textId="77777777" w:rsidTr="00ED5B0A">
        <w:tc>
          <w:tcPr>
            <w:tcW w:w="2518" w:type="dxa"/>
          </w:tcPr>
          <w:p w14:paraId="321A7C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3D1A3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18F75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4327 (II)</w:t>
            </w:r>
          </w:p>
        </w:tc>
      </w:tr>
      <w:tr w:rsidR="00A907A5" w:rsidRPr="00271E51" w14:paraId="23642D29" w14:textId="77777777" w:rsidTr="00ED5B0A">
        <w:tc>
          <w:tcPr>
            <w:tcW w:w="2518" w:type="dxa"/>
          </w:tcPr>
          <w:p w14:paraId="716E75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35AC7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3D23C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 (III)</w:t>
            </w:r>
          </w:p>
        </w:tc>
      </w:tr>
      <w:tr w:rsidR="00A907A5" w:rsidRPr="00271E51" w14:paraId="0543964B" w14:textId="77777777" w:rsidTr="00ED5B0A">
        <w:tc>
          <w:tcPr>
            <w:tcW w:w="2518" w:type="dxa"/>
          </w:tcPr>
          <w:p w14:paraId="55254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4111" w:type="dxa"/>
          </w:tcPr>
          <w:p w14:paraId="1316E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3777</w:t>
            </w:r>
          </w:p>
        </w:tc>
        <w:tc>
          <w:tcPr>
            <w:tcW w:w="3827" w:type="dxa"/>
          </w:tcPr>
          <w:p w14:paraId="713B26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8196 (I)</w:t>
            </w:r>
          </w:p>
        </w:tc>
      </w:tr>
      <w:tr w:rsidR="00A907A5" w:rsidRPr="00271E51" w14:paraId="6638CCEB" w14:textId="77777777" w:rsidTr="00ED5B0A">
        <w:tc>
          <w:tcPr>
            <w:tcW w:w="2518" w:type="dxa"/>
          </w:tcPr>
          <w:p w14:paraId="0CE97A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7409E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BCA98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4457 (II)</w:t>
            </w:r>
          </w:p>
        </w:tc>
      </w:tr>
      <w:tr w:rsidR="00A907A5" w:rsidRPr="00271E51" w14:paraId="33EF90F5" w14:textId="77777777" w:rsidTr="00ED5B0A">
        <w:tc>
          <w:tcPr>
            <w:tcW w:w="2518" w:type="dxa"/>
          </w:tcPr>
          <w:p w14:paraId="2C1A40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61C8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0EA390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3739 (III)</w:t>
            </w:r>
          </w:p>
        </w:tc>
      </w:tr>
      <w:tr w:rsidR="00A907A5" w:rsidRPr="00271E51" w14:paraId="7B877261" w14:textId="77777777" w:rsidTr="00ED5B0A">
        <w:tc>
          <w:tcPr>
            <w:tcW w:w="2518" w:type="dxa"/>
          </w:tcPr>
          <w:p w14:paraId="0898CA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 самолетов:</w:t>
            </w:r>
          </w:p>
        </w:tc>
        <w:tc>
          <w:tcPr>
            <w:tcW w:w="4111" w:type="dxa"/>
          </w:tcPr>
          <w:p w14:paraId="688F97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67AD39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4F9B6C" w14:textId="77777777" w:rsidTr="00ED5B0A">
        <w:tc>
          <w:tcPr>
            <w:tcW w:w="2518" w:type="dxa"/>
          </w:tcPr>
          <w:p w14:paraId="163BD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воздушном бою</w:t>
            </w:r>
          </w:p>
        </w:tc>
        <w:tc>
          <w:tcPr>
            <w:tcW w:w="4111" w:type="dxa"/>
          </w:tcPr>
          <w:p w14:paraId="11C98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w:t>
            </w:r>
          </w:p>
        </w:tc>
        <w:tc>
          <w:tcPr>
            <w:tcW w:w="3827" w:type="dxa"/>
          </w:tcPr>
          <w:p w14:paraId="7C190E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 (I)</w:t>
            </w:r>
          </w:p>
        </w:tc>
      </w:tr>
      <w:tr w:rsidR="00A907A5" w:rsidRPr="00271E51" w14:paraId="07732BA5" w14:textId="77777777" w:rsidTr="00ED5B0A">
        <w:tc>
          <w:tcPr>
            <w:tcW w:w="2518" w:type="dxa"/>
          </w:tcPr>
          <w:p w14:paraId="510A6F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186839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1849C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 (II)</w:t>
            </w:r>
          </w:p>
        </w:tc>
      </w:tr>
      <w:tr w:rsidR="00A907A5" w:rsidRPr="00271E51" w14:paraId="5D49FE4C" w14:textId="77777777" w:rsidTr="00ED5B0A">
        <w:tc>
          <w:tcPr>
            <w:tcW w:w="2518" w:type="dxa"/>
          </w:tcPr>
          <w:p w14:paraId="685E05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79FB42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7449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 (III)</w:t>
            </w:r>
          </w:p>
        </w:tc>
      </w:tr>
      <w:tr w:rsidR="00A907A5" w:rsidRPr="00271E51" w14:paraId="28BF15E2" w14:textId="77777777" w:rsidTr="00ED5B0A">
        <w:tc>
          <w:tcPr>
            <w:tcW w:w="2518" w:type="dxa"/>
          </w:tcPr>
          <w:p w14:paraId="7AAD9B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11" w:type="dxa"/>
          </w:tcPr>
          <w:p w14:paraId="71335A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60,3</w:t>
            </w:r>
          </w:p>
        </w:tc>
        <w:tc>
          <w:tcPr>
            <w:tcW w:w="3827" w:type="dxa"/>
          </w:tcPr>
          <w:p w14:paraId="5A3470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69,6 (I)</w:t>
            </w:r>
          </w:p>
        </w:tc>
      </w:tr>
      <w:tr w:rsidR="00A907A5" w:rsidRPr="00271E51" w14:paraId="07EB616F" w14:textId="77777777" w:rsidTr="00ED5B0A">
        <w:tc>
          <w:tcPr>
            <w:tcW w:w="2518" w:type="dxa"/>
          </w:tcPr>
          <w:p w14:paraId="45B73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17DB9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6F4367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68,1 (II)</w:t>
            </w:r>
          </w:p>
        </w:tc>
      </w:tr>
      <w:tr w:rsidR="00A907A5" w:rsidRPr="00271E51" w14:paraId="2C6D2509" w14:textId="77777777" w:rsidTr="00ED5B0A">
        <w:tc>
          <w:tcPr>
            <w:tcW w:w="2518" w:type="dxa"/>
          </w:tcPr>
          <w:p w14:paraId="6C059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ED77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1BF1F5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72,3 (III)</w:t>
            </w:r>
          </w:p>
        </w:tc>
      </w:tr>
      <w:tr w:rsidR="00A907A5" w:rsidRPr="00271E51" w14:paraId="55C5E380" w14:textId="77777777" w:rsidTr="00ED5B0A">
        <w:tc>
          <w:tcPr>
            <w:tcW w:w="2518" w:type="dxa"/>
          </w:tcPr>
          <w:p w14:paraId="72328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огня ЗА и ЗП</w:t>
            </w:r>
          </w:p>
        </w:tc>
        <w:tc>
          <w:tcPr>
            <w:tcW w:w="4111" w:type="dxa"/>
          </w:tcPr>
          <w:p w14:paraId="17900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3827" w:type="dxa"/>
          </w:tcPr>
          <w:p w14:paraId="0BABB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(I)</w:t>
            </w:r>
          </w:p>
        </w:tc>
      </w:tr>
      <w:tr w:rsidR="00A907A5" w:rsidRPr="00271E51" w14:paraId="0D96F2C6" w14:textId="77777777" w:rsidTr="00ED5B0A">
        <w:tc>
          <w:tcPr>
            <w:tcW w:w="2518" w:type="dxa"/>
          </w:tcPr>
          <w:p w14:paraId="23B58C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6CBA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4E041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(II)</w:t>
            </w:r>
          </w:p>
        </w:tc>
      </w:tr>
      <w:tr w:rsidR="00A907A5" w:rsidRPr="00271E51" w14:paraId="3D084D8C" w14:textId="77777777" w:rsidTr="00ED5B0A">
        <w:tc>
          <w:tcPr>
            <w:tcW w:w="2518" w:type="dxa"/>
          </w:tcPr>
          <w:p w14:paraId="72EC4A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6DF12A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57FDC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(III)</w:t>
            </w:r>
          </w:p>
        </w:tc>
      </w:tr>
      <w:tr w:rsidR="00A907A5" w:rsidRPr="00271E51" w14:paraId="2F75AE4F" w14:textId="77777777" w:rsidTr="00ED5B0A">
        <w:tc>
          <w:tcPr>
            <w:tcW w:w="2518" w:type="dxa"/>
          </w:tcPr>
          <w:p w14:paraId="0293BB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11" w:type="dxa"/>
          </w:tcPr>
          <w:p w14:paraId="78925C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3827" w:type="dxa"/>
          </w:tcPr>
          <w:p w14:paraId="220185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 (I)</w:t>
            </w:r>
          </w:p>
        </w:tc>
      </w:tr>
      <w:tr w:rsidR="00A907A5" w:rsidRPr="00271E51" w14:paraId="00CB9D47" w14:textId="77777777" w:rsidTr="00ED5B0A">
        <w:tc>
          <w:tcPr>
            <w:tcW w:w="2518" w:type="dxa"/>
          </w:tcPr>
          <w:p w14:paraId="50ACDB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125D4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1EAA27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 (II)</w:t>
            </w:r>
          </w:p>
        </w:tc>
      </w:tr>
      <w:tr w:rsidR="00A907A5" w:rsidRPr="00271E51" w14:paraId="579E8FAD" w14:textId="77777777" w:rsidTr="00ED5B0A">
        <w:tc>
          <w:tcPr>
            <w:tcW w:w="2518" w:type="dxa"/>
          </w:tcPr>
          <w:p w14:paraId="1E5D5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7D68BE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650DF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 (III)</w:t>
            </w:r>
          </w:p>
        </w:tc>
      </w:tr>
      <w:tr w:rsidR="00A907A5" w:rsidRPr="00271E51" w14:paraId="63585372" w14:textId="77777777" w:rsidTr="00ED5B0A">
        <w:tc>
          <w:tcPr>
            <w:tcW w:w="2518" w:type="dxa"/>
          </w:tcPr>
          <w:p w14:paraId="78FAC8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Уничтожено на аэр.</w:t>
            </w:r>
          </w:p>
        </w:tc>
        <w:tc>
          <w:tcPr>
            <w:tcW w:w="4111" w:type="dxa"/>
          </w:tcPr>
          <w:p w14:paraId="47E2E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27" w:type="dxa"/>
          </w:tcPr>
          <w:p w14:paraId="67B9F0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(I)</w:t>
            </w:r>
          </w:p>
        </w:tc>
      </w:tr>
      <w:tr w:rsidR="00A907A5" w:rsidRPr="00271E51" w14:paraId="2325B3C2" w14:textId="77777777" w:rsidTr="00ED5B0A">
        <w:tc>
          <w:tcPr>
            <w:tcW w:w="2518" w:type="dxa"/>
          </w:tcPr>
          <w:p w14:paraId="4E862E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CA863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30D5F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(II)</w:t>
            </w:r>
          </w:p>
        </w:tc>
      </w:tr>
      <w:tr w:rsidR="00A907A5" w:rsidRPr="00271E51" w14:paraId="08EBF6E0" w14:textId="77777777" w:rsidTr="00ED5B0A">
        <w:tc>
          <w:tcPr>
            <w:tcW w:w="2518" w:type="dxa"/>
          </w:tcPr>
          <w:p w14:paraId="786DD6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8D7ED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EB536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(III)</w:t>
            </w:r>
          </w:p>
        </w:tc>
      </w:tr>
      <w:tr w:rsidR="00A907A5" w:rsidRPr="00271E51" w14:paraId="76AB997D" w14:textId="77777777" w:rsidTr="00ED5B0A">
        <w:tc>
          <w:tcPr>
            <w:tcW w:w="2518" w:type="dxa"/>
          </w:tcPr>
          <w:p w14:paraId="5F6AAE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11" w:type="dxa"/>
          </w:tcPr>
          <w:p w14:paraId="1AB6C2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057E2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(I)</w:t>
            </w:r>
          </w:p>
        </w:tc>
      </w:tr>
      <w:tr w:rsidR="00A907A5" w:rsidRPr="00271E51" w14:paraId="18C49930" w14:textId="77777777" w:rsidTr="00ED5B0A">
        <w:tc>
          <w:tcPr>
            <w:tcW w:w="2518" w:type="dxa"/>
          </w:tcPr>
          <w:p w14:paraId="302C36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B299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57807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(II)</w:t>
            </w:r>
          </w:p>
        </w:tc>
      </w:tr>
      <w:tr w:rsidR="00A907A5" w:rsidRPr="00271E51" w14:paraId="36C688B6" w14:textId="77777777" w:rsidTr="00ED5B0A">
        <w:tc>
          <w:tcPr>
            <w:tcW w:w="2518" w:type="dxa"/>
          </w:tcPr>
          <w:p w14:paraId="49357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3539A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595BEE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(III)</w:t>
            </w:r>
          </w:p>
        </w:tc>
      </w:tr>
      <w:tr w:rsidR="00A907A5" w:rsidRPr="00271E51" w14:paraId="5799875E" w14:textId="77777777" w:rsidTr="00ED5B0A">
        <w:tc>
          <w:tcPr>
            <w:tcW w:w="2518" w:type="dxa"/>
          </w:tcPr>
          <w:p w14:paraId="79777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вернулось с б/з</w:t>
            </w:r>
          </w:p>
        </w:tc>
        <w:tc>
          <w:tcPr>
            <w:tcW w:w="4111" w:type="dxa"/>
          </w:tcPr>
          <w:p w14:paraId="77A7E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tc>
        <w:tc>
          <w:tcPr>
            <w:tcW w:w="3827" w:type="dxa"/>
          </w:tcPr>
          <w:p w14:paraId="7FE38C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(I)</w:t>
            </w:r>
          </w:p>
        </w:tc>
      </w:tr>
      <w:tr w:rsidR="00A907A5" w:rsidRPr="00271E51" w14:paraId="4439DAC3" w14:textId="77777777" w:rsidTr="00ED5B0A">
        <w:tc>
          <w:tcPr>
            <w:tcW w:w="2518" w:type="dxa"/>
          </w:tcPr>
          <w:p w14:paraId="37EB0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4D918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62647D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(II)</w:t>
            </w:r>
          </w:p>
        </w:tc>
      </w:tr>
      <w:tr w:rsidR="00A907A5" w:rsidRPr="00271E51" w14:paraId="6C16A0BF" w14:textId="77777777" w:rsidTr="00ED5B0A">
        <w:tc>
          <w:tcPr>
            <w:tcW w:w="2518" w:type="dxa"/>
          </w:tcPr>
          <w:p w14:paraId="7A8A4F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72305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05A027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(III)</w:t>
            </w:r>
          </w:p>
        </w:tc>
      </w:tr>
      <w:tr w:rsidR="00A907A5" w:rsidRPr="00271E51" w14:paraId="2B9C6A01" w14:textId="77777777" w:rsidTr="00ED5B0A">
        <w:tc>
          <w:tcPr>
            <w:tcW w:w="2518" w:type="dxa"/>
          </w:tcPr>
          <w:p w14:paraId="3B21B9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11" w:type="dxa"/>
          </w:tcPr>
          <w:p w14:paraId="17C8A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3827" w:type="dxa"/>
          </w:tcPr>
          <w:p w14:paraId="06CAC2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 (I)</w:t>
            </w:r>
          </w:p>
        </w:tc>
      </w:tr>
      <w:tr w:rsidR="00A907A5" w:rsidRPr="00271E51" w14:paraId="5C25268F" w14:textId="77777777" w:rsidTr="00ED5B0A">
        <w:tc>
          <w:tcPr>
            <w:tcW w:w="2518" w:type="dxa"/>
          </w:tcPr>
          <w:p w14:paraId="2A9B7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83595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2AAA23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19,9 (II)</w:t>
            </w:r>
          </w:p>
        </w:tc>
      </w:tr>
      <w:tr w:rsidR="00A907A5" w:rsidRPr="00271E51" w14:paraId="465CD0E5" w14:textId="77777777" w:rsidTr="00ED5B0A">
        <w:tc>
          <w:tcPr>
            <w:tcW w:w="2518" w:type="dxa"/>
          </w:tcPr>
          <w:p w14:paraId="184524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2F9DB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519B1A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 (III)</w:t>
            </w:r>
          </w:p>
        </w:tc>
      </w:tr>
      <w:tr w:rsidR="00A907A5" w:rsidRPr="00271E51" w14:paraId="4186989F" w14:textId="77777777" w:rsidTr="00ED5B0A">
        <w:tc>
          <w:tcPr>
            <w:tcW w:w="2518" w:type="dxa"/>
          </w:tcPr>
          <w:p w14:paraId="71C6C9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4111" w:type="dxa"/>
          </w:tcPr>
          <w:p w14:paraId="721B7B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189</w:t>
            </w:r>
          </w:p>
        </w:tc>
        <w:tc>
          <w:tcPr>
            <w:tcW w:w="3827" w:type="dxa"/>
          </w:tcPr>
          <w:p w14:paraId="2359A7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 (I)</w:t>
            </w:r>
          </w:p>
        </w:tc>
      </w:tr>
      <w:tr w:rsidR="00A907A5" w:rsidRPr="00271E51" w14:paraId="726F67F5" w14:textId="77777777" w:rsidTr="00ED5B0A">
        <w:tc>
          <w:tcPr>
            <w:tcW w:w="2518" w:type="dxa"/>
          </w:tcPr>
          <w:p w14:paraId="6399D3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1F6695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3D6F5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(II)</w:t>
            </w:r>
          </w:p>
        </w:tc>
      </w:tr>
      <w:tr w:rsidR="00A907A5" w:rsidRPr="00271E51" w14:paraId="1306CC1D" w14:textId="77777777" w:rsidTr="00ED5B0A">
        <w:tc>
          <w:tcPr>
            <w:tcW w:w="2518" w:type="dxa"/>
          </w:tcPr>
          <w:p w14:paraId="36F40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4A3F3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55D2F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 (III)</w:t>
            </w:r>
          </w:p>
        </w:tc>
      </w:tr>
      <w:tr w:rsidR="00A907A5" w:rsidRPr="00271E51" w14:paraId="7765BB40" w14:textId="77777777" w:rsidTr="00ED5B0A">
        <w:tc>
          <w:tcPr>
            <w:tcW w:w="2518" w:type="dxa"/>
          </w:tcPr>
          <w:p w14:paraId="06D127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на боевую потерю:</w:t>
            </w:r>
          </w:p>
        </w:tc>
        <w:tc>
          <w:tcPr>
            <w:tcW w:w="4111" w:type="dxa"/>
          </w:tcPr>
          <w:p w14:paraId="20F30D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27475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1872B2" w14:textId="77777777" w:rsidTr="00ED5B0A">
        <w:tc>
          <w:tcPr>
            <w:tcW w:w="2518" w:type="dxa"/>
          </w:tcPr>
          <w:p w14:paraId="14CD7F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с/вылетов</w:t>
            </w:r>
          </w:p>
        </w:tc>
        <w:tc>
          <w:tcPr>
            <w:tcW w:w="4111" w:type="dxa"/>
          </w:tcPr>
          <w:p w14:paraId="2A9DAE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3827" w:type="dxa"/>
          </w:tcPr>
          <w:p w14:paraId="7E2AC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 (I)</w:t>
            </w:r>
          </w:p>
        </w:tc>
      </w:tr>
      <w:tr w:rsidR="00A907A5" w:rsidRPr="00271E51" w14:paraId="37E99282" w14:textId="77777777" w:rsidTr="00ED5B0A">
        <w:tc>
          <w:tcPr>
            <w:tcW w:w="2518" w:type="dxa"/>
          </w:tcPr>
          <w:p w14:paraId="49F4FA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564DC4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007587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 (II)</w:t>
            </w:r>
          </w:p>
        </w:tc>
      </w:tr>
      <w:tr w:rsidR="00A907A5" w:rsidRPr="00271E51" w14:paraId="5F67917E" w14:textId="77777777" w:rsidTr="00ED5B0A">
        <w:tc>
          <w:tcPr>
            <w:tcW w:w="2518" w:type="dxa"/>
          </w:tcPr>
          <w:p w14:paraId="16A656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0657FA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783D36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 (IV)</w:t>
            </w:r>
          </w:p>
        </w:tc>
      </w:tr>
      <w:tr w:rsidR="00A907A5" w:rsidRPr="00271E51" w14:paraId="0A43B940" w14:textId="77777777" w:rsidTr="00ED5B0A">
        <w:tc>
          <w:tcPr>
            <w:tcW w:w="2518" w:type="dxa"/>
          </w:tcPr>
          <w:p w14:paraId="23457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4111" w:type="dxa"/>
          </w:tcPr>
          <w:p w14:paraId="3B26C5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3827" w:type="dxa"/>
          </w:tcPr>
          <w:p w14:paraId="597576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 (I)</w:t>
            </w:r>
          </w:p>
        </w:tc>
      </w:tr>
      <w:tr w:rsidR="00A907A5" w:rsidRPr="00271E51" w14:paraId="30460F23" w14:textId="77777777" w:rsidTr="00ED5B0A">
        <w:tc>
          <w:tcPr>
            <w:tcW w:w="2518" w:type="dxa"/>
          </w:tcPr>
          <w:p w14:paraId="63268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5909F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6F307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 (II)</w:t>
            </w:r>
          </w:p>
        </w:tc>
      </w:tr>
      <w:tr w:rsidR="00A907A5" w:rsidRPr="00271E51" w14:paraId="68409E26" w14:textId="77777777" w:rsidTr="00ED5B0A">
        <w:tc>
          <w:tcPr>
            <w:tcW w:w="2518" w:type="dxa"/>
          </w:tcPr>
          <w:p w14:paraId="0ABF8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11" w:type="dxa"/>
          </w:tcPr>
          <w:p w14:paraId="70F21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7" w:type="dxa"/>
          </w:tcPr>
          <w:p w14:paraId="134C11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 (III)</w:t>
            </w:r>
          </w:p>
        </w:tc>
      </w:tr>
    </w:tbl>
    <w:p w14:paraId="11FFF6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продолжительность боевой службы самолетов ВВС КА в самолетовылетах и часах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21"/>
        <w:gridCol w:w="721"/>
        <w:gridCol w:w="721"/>
        <w:gridCol w:w="721"/>
        <w:gridCol w:w="721"/>
        <w:gridCol w:w="721"/>
        <w:gridCol w:w="721"/>
        <w:gridCol w:w="721"/>
        <w:gridCol w:w="721"/>
        <w:gridCol w:w="721"/>
        <w:gridCol w:w="721"/>
        <w:gridCol w:w="721"/>
      </w:tblGrid>
      <w:tr w:rsidR="00A907A5" w:rsidRPr="00271E51" w14:paraId="001E9F3B" w14:textId="77777777" w:rsidTr="00ED5B0A">
        <w:tc>
          <w:tcPr>
            <w:tcW w:w="1809" w:type="dxa"/>
          </w:tcPr>
          <w:p w14:paraId="23957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7125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523F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FF54A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047C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CD27A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1BD1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F64B6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5C80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313B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CD62F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FE621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A934D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366711" w14:textId="77777777" w:rsidTr="00ED5B0A">
        <w:tc>
          <w:tcPr>
            <w:tcW w:w="1809" w:type="dxa"/>
          </w:tcPr>
          <w:p w14:paraId="31CF57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A682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w:t>
            </w:r>
          </w:p>
        </w:tc>
        <w:tc>
          <w:tcPr>
            <w:tcW w:w="721" w:type="dxa"/>
          </w:tcPr>
          <w:p w14:paraId="08436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Як-7б</w:t>
            </w:r>
          </w:p>
        </w:tc>
        <w:tc>
          <w:tcPr>
            <w:tcW w:w="721" w:type="dxa"/>
          </w:tcPr>
          <w:p w14:paraId="1CA40B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w:t>
            </w:r>
          </w:p>
        </w:tc>
        <w:tc>
          <w:tcPr>
            <w:tcW w:w="721" w:type="dxa"/>
          </w:tcPr>
          <w:p w14:paraId="5C4D0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721" w:type="dxa"/>
          </w:tcPr>
          <w:p w14:paraId="111942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w:t>
            </w:r>
          </w:p>
        </w:tc>
        <w:tc>
          <w:tcPr>
            <w:tcW w:w="721" w:type="dxa"/>
          </w:tcPr>
          <w:p w14:paraId="110CDF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w:t>
            </w:r>
          </w:p>
        </w:tc>
        <w:tc>
          <w:tcPr>
            <w:tcW w:w="721" w:type="dxa"/>
          </w:tcPr>
          <w:p w14:paraId="35E4A7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Китти</w:t>
            </w:r>
          </w:p>
        </w:tc>
        <w:tc>
          <w:tcPr>
            <w:tcW w:w="721" w:type="dxa"/>
          </w:tcPr>
          <w:p w14:paraId="200539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Харри</w:t>
            </w:r>
          </w:p>
        </w:tc>
        <w:tc>
          <w:tcPr>
            <w:tcW w:w="721" w:type="dxa"/>
          </w:tcPr>
          <w:p w14:paraId="038897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Тома</w:t>
            </w:r>
          </w:p>
        </w:tc>
        <w:tc>
          <w:tcPr>
            <w:tcW w:w="721" w:type="dxa"/>
          </w:tcPr>
          <w:p w14:paraId="2A2C5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И-16</w:t>
            </w:r>
          </w:p>
        </w:tc>
        <w:tc>
          <w:tcPr>
            <w:tcW w:w="721" w:type="dxa"/>
          </w:tcPr>
          <w:p w14:paraId="01D1F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И-153</w:t>
            </w:r>
          </w:p>
        </w:tc>
        <w:tc>
          <w:tcPr>
            <w:tcW w:w="721" w:type="dxa"/>
          </w:tcPr>
          <w:p w14:paraId="70562E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И-152</w:t>
            </w:r>
          </w:p>
        </w:tc>
      </w:tr>
      <w:tr w:rsidR="00A907A5" w:rsidRPr="00271E51" w14:paraId="07A29049" w14:textId="77777777" w:rsidTr="00ED5B0A">
        <w:tc>
          <w:tcPr>
            <w:tcW w:w="1809" w:type="dxa"/>
          </w:tcPr>
          <w:p w14:paraId="031CC5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Учтено самолетовылетов</w:t>
            </w:r>
          </w:p>
        </w:tc>
        <w:tc>
          <w:tcPr>
            <w:tcW w:w="721" w:type="dxa"/>
          </w:tcPr>
          <w:p w14:paraId="01C52C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44B4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63B07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1A0E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5AFB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00A40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5A3F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3E3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F1955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9F98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52ED6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0D933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6A68D5" w14:textId="77777777" w:rsidTr="00ED5B0A">
        <w:tc>
          <w:tcPr>
            <w:tcW w:w="1809" w:type="dxa"/>
          </w:tcPr>
          <w:p w14:paraId="028603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Боевых</w:t>
            </w:r>
          </w:p>
        </w:tc>
        <w:tc>
          <w:tcPr>
            <w:tcW w:w="721" w:type="dxa"/>
          </w:tcPr>
          <w:p w14:paraId="6A5293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9972</w:t>
            </w:r>
          </w:p>
        </w:tc>
        <w:tc>
          <w:tcPr>
            <w:tcW w:w="721" w:type="dxa"/>
          </w:tcPr>
          <w:p w14:paraId="7CFB7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6707</w:t>
            </w:r>
          </w:p>
        </w:tc>
        <w:tc>
          <w:tcPr>
            <w:tcW w:w="721" w:type="dxa"/>
          </w:tcPr>
          <w:p w14:paraId="571609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7937</w:t>
            </w:r>
          </w:p>
        </w:tc>
        <w:tc>
          <w:tcPr>
            <w:tcW w:w="721" w:type="dxa"/>
          </w:tcPr>
          <w:p w14:paraId="0381C4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2948</w:t>
            </w:r>
          </w:p>
        </w:tc>
        <w:tc>
          <w:tcPr>
            <w:tcW w:w="721" w:type="dxa"/>
          </w:tcPr>
          <w:p w14:paraId="2466C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16275</w:t>
            </w:r>
          </w:p>
        </w:tc>
        <w:tc>
          <w:tcPr>
            <w:tcW w:w="721" w:type="dxa"/>
          </w:tcPr>
          <w:p w14:paraId="156A1B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2780</w:t>
            </w:r>
          </w:p>
        </w:tc>
        <w:tc>
          <w:tcPr>
            <w:tcW w:w="721" w:type="dxa"/>
          </w:tcPr>
          <w:p w14:paraId="22A609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1647</w:t>
            </w:r>
          </w:p>
        </w:tc>
        <w:tc>
          <w:tcPr>
            <w:tcW w:w="721" w:type="dxa"/>
          </w:tcPr>
          <w:p w14:paraId="56BCC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7059</w:t>
            </w:r>
          </w:p>
        </w:tc>
        <w:tc>
          <w:tcPr>
            <w:tcW w:w="721" w:type="dxa"/>
          </w:tcPr>
          <w:p w14:paraId="245E7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4132</w:t>
            </w:r>
          </w:p>
        </w:tc>
        <w:tc>
          <w:tcPr>
            <w:tcW w:w="721" w:type="dxa"/>
          </w:tcPr>
          <w:p w14:paraId="561CD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15352</w:t>
            </w:r>
          </w:p>
        </w:tc>
        <w:tc>
          <w:tcPr>
            <w:tcW w:w="721" w:type="dxa"/>
          </w:tcPr>
          <w:p w14:paraId="2BC29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6021</w:t>
            </w:r>
          </w:p>
        </w:tc>
        <w:tc>
          <w:tcPr>
            <w:tcW w:w="721" w:type="dxa"/>
          </w:tcPr>
          <w:p w14:paraId="6236B2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6484</w:t>
            </w:r>
          </w:p>
        </w:tc>
      </w:tr>
      <w:tr w:rsidR="00A907A5" w:rsidRPr="00271E51" w14:paraId="7FF80758" w14:textId="77777777" w:rsidTr="00ED5B0A">
        <w:tc>
          <w:tcPr>
            <w:tcW w:w="1809" w:type="dxa"/>
          </w:tcPr>
          <w:p w14:paraId="7844A4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боевых</w:t>
            </w:r>
          </w:p>
        </w:tc>
        <w:tc>
          <w:tcPr>
            <w:tcW w:w="721" w:type="dxa"/>
          </w:tcPr>
          <w:p w14:paraId="7C5A07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1182</w:t>
            </w:r>
          </w:p>
        </w:tc>
        <w:tc>
          <w:tcPr>
            <w:tcW w:w="721" w:type="dxa"/>
          </w:tcPr>
          <w:p w14:paraId="24DC5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1163</w:t>
            </w:r>
          </w:p>
        </w:tc>
        <w:tc>
          <w:tcPr>
            <w:tcW w:w="721" w:type="dxa"/>
          </w:tcPr>
          <w:p w14:paraId="34379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1714</w:t>
            </w:r>
          </w:p>
        </w:tc>
        <w:tc>
          <w:tcPr>
            <w:tcW w:w="721" w:type="dxa"/>
          </w:tcPr>
          <w:p w14:paraId="54617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w:t>
            </w:r>
          </w:p>
        </w:tc>
        <w:tc>
          <w:tcPr>
            <w:tcW w:w="721" w:type="dxa"/>
          </w:tcPr>
          <w:p w14:paraId="391A35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862</w:t>
            </w:r>
          </w:p>
        </w:tc>
        <w:tc>
          <w:tcPr>
            <w:tcW w:w="721" w:type="dxa"/>
          </w:tcPr>
          <w:p w14:paraId="3D7452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w:t>
            </w:r>
          </w:p>
        </w:tc>
        <w:tc>
          <w:tcPr>
            <w:tcW w:w="721" w:type="dxa"/>
          </w:tcPr>
          <w:p w14:paraId="32819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909</w:t>
            </w:r>
          </w:p>
        </w:tc>
        <w:tc>
          <w:tcPr>
            <w:tcW w:w="721" w:type="dxa"/>
          </w:tcPr>
          <w:p w14:paraId="3037C5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5382</w:t>
            </w:r>
          </w:p>
        </w:tc>
        <w:tc>
          <w:tcPr>
            <w:tcW w:w="721" w:type="dxa"/>
          </w:tcPr>
          <w:p w14:paraId="66A7B2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1143</w:t>
            </w:r>
          </w:p>
        </w:tc>
        <w:tc>
          <w:tcPr>
            <w:tcW w:w="721" w:type="dxa"/>
          </w:tcPr>
          <w:p w14:paraId="4A7D6F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1172</w:t>
            </w:r>
          </w:p>
        </w:tc>
        <w:tc>
          <w:tcPr>
            <w:tcW w:w="721" w:type="dxa"/>
          </w:tcPr>
          <w:p w14:paraId="492F7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571</w:t>
            </w:r>
          </w:p>
        </w:tc>
        <w:tc>
          <w:tcPr>
            <w:tcW w:w="721" w:type="dxa"/>
          </w:tcPr>
          <w:p w14:paraId="3DE7C8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976</w:t>
            </w:r>
          </w:p>
        </w:tc>
      </w:tr>
      <w:tr w:rsidR="00A907A5" w:rsidRPr="00271E51" w14:paraId="276723E8" w14:textId="77777777" w:rsidTr="00ED5B0A">
        <w:tc>
          <w:tcPr>
            <w:tcW w:w="1809" w:type="dxa"/>
          </w:tcPr>
          <w:p w14:paraId="693EA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21" w:type="dxa"/>
          </w:tcPr>
          <w:p w14:paraId="2440D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11154</w:t>
            </w:r>
          </w:p>
        </w:tc>
        <w:tc>
          <w:tcPr>
            <w:tcW w:w="721" w:type="dxa"/>
          </w:tcPr>
          <w:p w14:paraId="660FB7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8870</w:t>
            </w:r>
          </w:p>
        </w:tc>
        <w:tc>
          <w:tcPr>
            <w:tcW w:w="721" w:type="dxa"/>
          </w:tcPr>
          <w:p w14:paraId="03FF2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9651</w:t>
            </w:r>
          </w:p>
        </w:tc>
        <w:tc>
          <w:tcPr>
            <w:tcW w:w="721" w:type="dxa"/>
          </w:tcPr>
          <w:p w14:paraId="6EC84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3190</w:t>
            </w:r>
          </w:p>
        </w:tc>
        <w:tc>
          <w:tcPr>
            <w:tcW w:w="721" w:type="dxa"/>
          </w:tcPr>
          <w:p w14:paraId="15826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17137</w:t>
            </w:r>
          </w:p>
        </w:tc>
        <w:tc>
          <w:tcPr>
            <w:tcW w:w="721" w:type="dxa"/>
          </w:tcPr>
          <w:p w14:paraId="46C8AF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3270</w:t>
            </w:r>
          </w:p>
        </w:tc>
        <w:tc>
          <w:tcPr>
            <w:tcW w:w="721" w:type="dxa"/>
          </w:tcPr>
          <w:p w14:paraId="1BEF75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2556</w:t>
            </w:r>
          </w:p>
        </w:tc>
        <w:tc>
          <w:tcPr>
            <w:tcW w:w="721" w:type="dxa"/>
          </w:tcPr>
          <w:p w14:paraId="4C6C9D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12441</w:t>
            </w:r>
          </w:p>
        </w:tc>
        <w:tc>
          <w:tcPr>
            <w:tcW w:w="721" w:type="dxa"/>
          </w:tcPr>
          <w:p w14:paraId="7DE8A1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5275</w:t>
            </w:r>
          </w:p>
        </w:tc>
        <w:tc>
          <w:tcPr>
            <w:tcW w:w="721" w:type="dxa"/>
          </w:tcPr>
          <w:p w14:paraId="60774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16524</w:t>
            </w:r>
          </w:p>
        </w:tc>
        <w:tc>
          <w:tcPr>
            <w:tcW w:w="721" w:type="dxa"/>
          </w:tcPr>
          <w:p w14:paraId="5C1CE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8592</w:t>
            </w:r>
          </w:p>
        </w:tc>
        <w:tc>
          <w:tcPr>
            <w:tcW w:w="721" w:type="dxa"/>
          </w:tcPr>
          <w:p w14:paraId="5B0D46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7459</w:t>
            </w:r>
          </w:p>
        </w:tc>
      </w:tr>
      <w:tr w:rsidR="00A907A5" w:rsidRPr="00271E51" w14:paraId="5381734D" w14:textId="77777777" w:rsidTr="00ED5B0A">
        <w:tc>
          <w:tcPr>
            <w:tcW w:w="1809" w:type="dxa"/>
          </w:tcPr>
          <w:p w14:paraId="3AD93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721" w:type="dxa"/>
          </w:tcPr>
          <w:p w14:paraId="391477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4A8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EA08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761D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F6928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03112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ABD5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C231B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E01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94C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8A7B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3612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4B8E03" w14:textId="77777777" w:rsidTr="00ED5B0A">
        <w:tc>
          <w:tcPr>
            <w:tcW w:w="1809" w:type="dxa"/>
          </w:tcPr>
          <w:p w14:paraId="28314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w:t>
            </w:r>
          </w:p>
        </w:tc>
        <w:tc>
          <w:tcPr>
            <w:tcW w:w="721" w:type="dxa"/>
          </w:tcPr>
          <w:p w14:paraId="04F03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8495</w:t>
            </w:r>
          </w:p>
        </w:tc>
        <w:tc>
          <w:tcPr>
            <w:tcW w:w="721" w:type="dxa"/>
          </w:tcPr>
          <w:p w14:paraId="0E2BFC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5037</w:t>
            </w:r>
          </w:p>
        </w:tc>
        <w:tc>
          <w:tcPr>
            <w:tcW w:w="721" w:type="dxa"/>
          </w:tcPr>
          <w:p w14:paraId="488003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6534</w:t>
            </w:r>
          </w:p>
        </w:tc>
        <w:tc>
          <w:tcPr>
            <w:tcW w:w="721" w:type="dxa"/>
          </w:tcPr>
          <w:p w14:paraId="72250C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1361</w:t>
            </w:r>
          </w:p>
        </w:tc>
        <w:tc>
          <w:tcPr>
            <w:tcW w:w="721" w:type="dxa"/>
          </w:tcPr>
          <w:p w14:paraId="1250CD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18680</w:t>
            </w:r>
          </w:p>
        </w:tc>
        <w:tc>
          <w:tcPr>
            <w:tcW w:w="721" w:type="dxa"/>
          </w:tcPr>
          <w:p w14:paraId="40FAA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2724</w:t>
            </w:r>
          </w:p>
        </w:tc>
        <w:tc>
          <w:tcPr>
            <w:tcW w:w="721" w:type="dxa"/>
          </w:tcPr>
          <w:p w14:paraId="6B37A2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1508</w:t>
            </w:r>
          </w:p>
        </w:tc>
        <w:tc>
          <w:tcPr>
            <w:tcW w:w="721" w:type="dxa"/>
          </w:tcPr>
          <w:p w14:paraId="505623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6144</w:t>
            </w:r>
          </w:p>
        </w:tc>
        <w:tc>
          <w:tcPr>
            <w:tcW w:w="721" w:type="dxa"/>
          </w:tcPr>
          <w:p w14:paraId="138A3B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3630</w:t>
            </w:r>
          </w:p>
        </w:tc>
        <w:tc>
          <w:tcPr>
            <w:tcW w:w="721" w:type="dxa"/>
          </w:tcPr>
          <w:p w14:paraId="392BB2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12672</w:t>
            </w:r>
          </w:p>
        </w:tc>
        <w:tc>
          <w:tcPr>
            <w:tcW w:w="721" w:type="dxa"/>
          </w:tcPr>
          <w:p w14:paraId="5C67BE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7785</w:t>
            </w:r>
          </w:p>
        </w:tc>
        <w:tc>
          <w:tcPr>
            <w:tcW w:w="721" w:type="dxa"/>
          </w:tcPr>
          <w:p w14:paraId="131596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7200</w:t>
            </w:r>
          </w:p>
        </w:tc>
      </w:tr>
      <w:tr w:rsidR="00A907A5" w:rsidRPr="00271E51" w14:paraId="3E285E0C" w14:textId="77777777" w:rsidTr="00ED5B0A">
        <w:tc>
          <w:tcPr>
            <w:tcW w:w="1809" w:type="dxa"/>
          </w:tcPr>
          <w:p w14:paraId="7393D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Небоевой</w:t>
            </w:r>
          </w:p>
        </w:tc>
        <w:tc>
          <w:tcPr>
            <w:tcW w:w="721" w:type="dxa"/>
          </w:tcPr>
          <w:p w14:paraId="0AC63E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721" w:type="dxa"/>
          </w:tcPr>
          <w:p w14:paraId="72463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454</w:t>
            </w:r>
          </w:p>
        </w:tc>
        <w:tc>
          <w:tcPr>
            <w:tcW w:w="721" w:type="dxa"/>
          </w:tcPr>
          <w:p w14:paraId="0A585D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988</w:t>
            </w:r>
          </w:p>
        </w:tc>
        <w:tc>
          <w:tcPr>
            <w:tcW w:w="721" w:type="dxa"/>
          </w:tcPr>
          <w:p w14:paraId="7B116D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tc>
        <w:tc>
          <w:tcPr>
            <w:tcW w:w="721" w:type="dxa"/>
          </w:tcPr>
          <w:p w14:paraId="669E3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417</w:t>
            </w:r>
          </w:p>
        </w:tc>
        <w:tc>
          <w:tcPr>
            <w:tcW w:w="721" w:type="dxa"/>
          </w:tcPr>
          <w:p w14:paraId="5DFA9F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w:t>
            </w:r>
          </w:p>
        </w:tc>
        <w:tc>
          <w:tcPr>
            <w:tcW w:w="721" w:type="dxa"/>
          </w:tcPr>
          <w:p w14:paraId="72C90B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w:t>
            </w:r>
          </w:p>
        </w:tc>
        <w:tc>
          <w:tcPr>
            <w:tcW w:w="721" w:type="dxa"/>
          </w:tcPr>
          <w:p w14:paraId="25C21E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1256</w:t>
            </w:r>
          </w:p>
        </w:tc>
        <w:tc>
          <w:tcPr>
            <w:tcW w:w="721" w:type="dxa"/>
          </w:tcPr>
          <w:p w14:paraId="231407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443</w:t>
            </w:r>
          </w:p>
        </w:tc>
        <w:tc>
          <w:tcPr>
            <w:tcW w:w="721" w:type="dxa"/>
          </w:tcPr>
          <w:p w14:paraId="526887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406</w:t>
            </w:r>
          </w:p>
        </w:tc>
        <w:tc>
          <w:tcPr>
            <w:tcW w:w="721" w:type="dxa"/>
          </w:tcPr>
          <w:p w14:paraId="0F2285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tc>
        <w:tc>
          <w:tcPr>
            <w:tcW w:w="721" w:type="dxa"/>
          </w:tcPr>
          <w:p w14:paraId="3A6B3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406</w:t>
            </w:r>
          </w:p>
        </w:tc>
      </w:tr>
      <w:tr w:rsidR="00A907A5" w:rsidRPr="00271E51" w14:paraId="62510034" w14:textId="77777777" w:rsidTr="00ED5B0A">
        <w:tc>
          <w:tcPr>
            <w:tcW w:w="1809" w:type="dxa"/>
          </w:tcPr>
          <w:p w14:paraId="2DACD4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21" w:type="dxa"/>
          </w:tcPr>
          <w:p w14:paraId="5A6763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9075</w:t>
            </w:r>
          </w:p>
        </w:tc>
        <w:tc>
          <w:tcPr>
            <w:tcW w:w="721" w:type="dxa"/>
          </w:tcPr>
          <w:p w14:paraId="4B6445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5491</w:t>
            </w:r>
          </w:p>
        </w:tc>
        <w:tc>
          <w:tcPr>
            <w:tcW w:w="721" w:type="dxa"/>
          </w:tcPr>
          <w:p w14:paraId="60CD77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7522</w:t>
            </w:r>
          </w:p>
        </w:tc>
        <w:tc>
          <w:tcPr>
            <w:tcW w:w="721" w:type="dxa"/>
          </w:tcPr>
          <w:p w14:paraId="456E9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1467</w:t>
            </w:r>
          </w:p>
        </w:tc>
        <w:tc>
          <w:tcPr>
            <w:tcW w:w="721" w:type="dxa"/>
          </w:tcPr>
          <w:p w14:paraId="3F17F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7097</w:t>
            </w:r>
          </w:p>
        </w:tc>
        <w:tc>
          <w:tcPr>
            <w:tcW w:w="721" w:type="dxa"/>
          </w:tcPr>
          <w:p w14:paraId="16443A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2933</w:t>
            </w:r>
          </w:p>
        </w:tc>
        <w:tc>
          <w:tcPr>
            <w:tcW w:w="721" w:type="dxa"/>
          </w:tcPr>
          <w:p w14:paraId="528BFE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1892</w:t>
            </w:r>
          </w:p>
        </w:tc>
        <w:tc>
          <w:tcPr>
            <w:tcW w:w="721" w:type="dxa"/>
          </w:tcPr>
          <w:p w14:paraId="5FBEA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7400</w:t>
            </w:r>
          </w:p>
        </w:tc>
        <w:tc>
          <w:tcPr>
            <w:tcW w:w="721" w:type="dxa"/>
          </w:tcPr>
          <w:p w14:paraId="30329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4073</w:t>
            </w:r>
          </w:p>
        </w:tc>
        <w:tc>
          <w:tcPr>
            <w:tcW w:w="721" w:type="dxa"/>
          </w:tcPr>
          <w:p w14:paraId="1F49B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3078</w:t>
            </w:r>
          </w:p>
        </w:tc>
        <w:tc>
          <w:tcPr>
            <w:tcW w:w="721" w:type="dxa"/>
          </w:tcPr>
          <w:p w14:paraId="6B1C14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7960</w:t>
            </w:r>
          </w:p>
        </w:tc>
        <w:tc>
          <w:tcPr>
            <w:tcW w:w="721" w:type="dxa"/>
          </w:tcPr>
          <w:p w14:paraId="2F4E1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7606</w:t>
            </w:r>
          </w:p>
        </w:tc>
      </w:tr>
      <w:tr w:rsidR="00A907A5" w:rsidRPr="00271E51" w14:paraId="642F473E" w14:textId="77777777" w:rsidTr="00ED5B0A">
        <w:tc>
          <w:tcPr>
            <w:tcW w:w="1809" w:type="dxa"/>
          </w:tcPr>
          <w:p w14:paraId="5881C2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самолетов</w:t>
            </w:r>
          </w:p>
        </w:tc>
        <w:tc>
          <w:tcPr>
            <w:tcW w:w="721" w:type="dxa"/>
          </w:tcPr>
          <w:p w14:paraId="051458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880FD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7798C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02B4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BD9F1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318F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FA33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FF26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E7DD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CC44E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201F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0ED21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2AEB9A" w14:textId="77777777" w:rsidTr="00ED5B0A">
        <w:tc>
          <w:tcPr>
            <w:tcW w:w="1809" w:type="dxa"/>
          </w:tcPr>
          <w:p w14:paraId="04CD13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Сбиты в в/бою</w:t>
            </w:r>
          </w:p>
        </w:tc>
        <w:tc>
          <w:tcPr>
            <w:tcW w:w="721" w:type="dxa"/>
          </w:tcPr>
          <w:p w14:paraId="4A62B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721" w:type="dxa"/>
          </w:tcPr>
          <w:p w14:paraId="480A7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721" w:type="dxa"/>
          </w:tcPr>
          <w:p w14:paraId="54070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721" w:type="dxa"/>
          </w:tcPr>
          <w:p w14:paraId="2BC36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21" w:type="dxa"/>
          </w:tcPr>
          <w:p w14:paraId="039E84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244</w:t>
            </w:r>
          </w:p>
        </w:tc>
        <w:tc>
          <w:tcPr>
            <w:tcW w:w="721" w:type="dxa"/>
          </w:tcPr>
          <w:p w14:paraId="734D0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c>
          <w:tcPr>
            <w:tcW w:w="721" w:type="dxa"/>
          </w:tcPr>
          <w:p w14:paraId="6C52B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3C50F3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721" w:type="dxa"/>
          </w:tcPr>
          <w:p w14:paraId="089C4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721" w:type="dxa"/>
          </w:tcPr>
          <w:p w14:paraId="6F14E0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721" w:type="dxa"/>
          </w:tcPr>
          <w:p w14:paraId="0EFC01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721" w:type="dxa"/>
          </w:tcPr>
          <w:p w14:paraId="74C7C0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r>
      <w:tr w:rsidR="00A907A5" w:rsidRPr="00271E51" w14:paraId="3EB9BF0B" w14:textId="77777777" w:rsidTr="00ED5B0A">
        <w:tc>
          <w:tcPr>
            <w:tcW w:w="1809" w:type="dxa"/>
          </w:tcPr>
          <w:p w14:paraId="3F9D41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Сбиты ЗА</w:t>
            </w:r>
          </w:p>
        </w:tc>
        <w:tc>
          <w:tcPr>
            <w:tcW w:w="721" w:type="dxa"/>
          </w:tcPr>
          <w:p w14:paraId="0EEE1F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60480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721" w:type="dxa"/>
          </w:tcPr>
          <w:p w14:paraId="45C965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721" w:type="dxa"/>
          </w:tcPr>
          <w:p w14:paraId="5A485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24DEF8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721" w:type="dxa"/>
          </w:tcPr>
          <w:p w14:paraId="1900C1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4CF988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1BEDC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0CD4F4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721" w:type="dxa"/>
          </w:tcPr>
          <w:p w14:paraId="60B31F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52C744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721" w:type="dxa"/>
          </w:tcPr>
          <w:p w14:paraId="4199A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r>
      <w:tr w:rsidR="00A907A5" w:rsidRPr="00271E51" w14:paraId="5C2ACA5B" w14:textId="77777777" w:rsidTr="00ED5B0A">
        <w:tc>
          <w:tcPr>
            <w:tcW w:w="1809" w:type="dxa"/>
          </w:tcPr>
          <w:p w14:paraId="76E2E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 на аэродр.</w:t>
            </w:r>
          </w:p>
        </w:tc>
        <w:tc>
          <w:tcPr>
            <w:tcW w:w="721" w:type="dxa"/>
          </w:tcPr>
          <w:p w14:paraId="78FCBF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1340D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3A0877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71CAB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081FDE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49A0DD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3B5515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4A1E18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721" w:type="dxa"/>
          </w:tcPr>
          <w:p w14:paraId="7FA408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52F51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721" w:type="dxa"/>
          </w:tcPr>
          <w:p w14:paraId="205F54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043E11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r>
      <w:tr w:rsidR="00A907A5" w:rsidRPr="00271E51" w14:paraId="6DEB601F" w14:textId="77777777" w:rsidTr="00ED5B0A">
        <w:tc>
          <w:tcPr>
            <w:tcW w:w="1809" w:type="dxa"/>
          </w:tcPr>
          <w:p w14:paraId="70A1E9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верулись с б/з</w:t>
            </w:r>
          </w:p>
        </w:tc>
        <w:tc>
          <w:tcPr>
            <w:tcW w:w="721" w:type="dxa"/>
          </w:tcPr>
          <w:p w14:paraId="0E977C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w:t>
            </w:r>
          </w:p>
        </w:tc>
        <w:tc>
          <w:tcPr>
            <w:tcW w:w="721" w:type="dxa"/>
          </w:tcPr>
          <w:p w14:paraId="64852B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tc>
        <w:tc>
          <w:tcPr>
            <w:tcW w:w="721" w:type="dxa"/>
          </w:tcPr>
          <w:p w14:paraId="63E133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w:t>
            </w:r>
          </w:p>
        </w:tc>
        <w:tc>
          <w:tcPr>
            <w:tcW w:w="721" w:type="dxa"/>
          </w:tcPr>
          <w:p w14:paraId="518BE7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721" w:type="dxa"/>
          </w:tcPr>
          <w:p w14:paraId="7F40F3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721" w:type="dxa"/>
          </w:tcPr>
          <w:p w14:paraId="79C5DA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721" w:type="dxa"/>
          </w:tcPr>
          <w:p w14:paraId="3666FE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284F97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21" w:type="dxa"/>
          </w:tcPr>
          <w:p w14:paraId="10721B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0497C4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4D6C22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721" w:type="dxa"/>
          </w:tcPr>
          <w:p w14:paraId="486BE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r>
      <w:tr w:rsidR="00A907A5" w:rsidRPr="00271E51" w14:paraId="4F87230D" w14:textId="77777777" w:rsidTr="00ED5B0A">
        <w:tc>
          <w:tcPr>
            <w:tcW w:w="1809" w:type="dxa"/>
          </w:tcPr>
          <w:p w14:paraId="79D38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боевых</w:t>
            </w:r>
          </w:p>
        </w:tc>
        <w:tc>
          <w:tcPr>
            <w:tcW w:w="721" w:type="dxa"/>
          </w:tcPr>
          <w:p w14:paraId="41FC0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BA29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7DE0B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C7408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A7615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F22A5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F2241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39C5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34821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14BCF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6C1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1CCF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7B0BE7" w14:textId="77777777" w:rsidTr="00ED5B0A">
        <w:tc>
          <w:tcPr>
            <w:tcW w:w="1809" w:type="dxa"/>
          </w:tcPr>
          <w:p w14:paraId="0E5881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Катастрофы</w:t>
            </w:r>
          </w:p>
        </w:tc>
        <w:tc>
          <w:tcPr>
            <w:tcW w:w="721" w:type="dxa"/>
          </w:tcPr>
          <w:p w14:paraId="7468A0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21" w:type="dxa"/>
          </w:tcPr>
          <w:p w14:paraId="6CEB2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21" w:type="dxa"/>
          </w:tcPr>
          <w:p w14:paraId="14BB3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c>
          <w:tcPr>
            <w:tcW w:w="721" w:type="dxa"/>
          </w:tcPr>
          <w:p w14:paraId="6D4E4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6E38CC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141986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3257E1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70718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4E0335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C249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5356F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4AE5A8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273D1732" w14:textId="77777777" w:rsidTr="00ED5B0A">
        <w:tc>
          <w:tcPr>
            <w:tcW w:w="1809" w:type="dxa"/>
          </w:tcPr>
          <w:p w14:paraId="76848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Аварии</w:t>
            </w:r>
          </w:p>
        </w:tc>
        <w:tc>
          <w:tcPr>
            <w:tcW w:w="721" w:type="dxa"/>
          </w:tcPr>
          <w:p w14:paraId="544271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1402CA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w:t>
            </w:r>
          </w:p>
        </w:tc>
        <w:tc>
          <w:tcPr>
            <w:tcW w:w="721" w:type="dxa"/>
          </w:tcPr>
          <w:p w14:paraId="4A31D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c>
          <w:tcPr>
            <w:tcW w:w="721" w:type="dxa"/>
          </w:tcPr>
          <w:p w14:paraId="752EAF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1AFE58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tc>
        <w:tc>
          <w:tcPr>
            <w:tcW w:w="721" w:type="dxa"/>
          </w:tcPr>
          <w:p w14:paraId="2A93D5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721" w:type="dxa"/>
          </w:tcPr>
          <w:p w14:paraId="04699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1" w:type="dxa"/>
          </w:tcPr>
          <w:p w14:paraId="622BD6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46C35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4EF559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356C0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c>
          <w:tcPr>
            <w:tcW w:w="721" w:type="dxa"/>
          </w:tcPr>
          <w:p w14:paraId="0D7A48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r>
      <w:tr w:rsidR="00A907A5" w:rsidRPr="00271E51" w14:paraId="31FF4F09" w14:textId="77777777" w:rsidTr="00ED5B0A">
        <w:tc>
          <w:tcPr>
            <w:tcW w:w="1809" w:type="dxa"/>
          </w:tcPr>
          <w:p w14:paraId="6DAF9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н/б</w:t>
            </w:r>
          </w:p>
        </w:tc>
        <w:tc>
          <w:tcPr>
            <w:tcW w:w="721" w:type="dxa"/>
          </w:tcPr>
          <w:p w14:paraId="052025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3D4466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c>
          <w:tcPr>
            <w:tcW w:w="721" w:type="dxa"/>
          </w:tcPr>
          <w:p w14:paraId="041086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721" w:type="dxa"/>
          </w:tcPr>
          <w:p w14:paraId="08FEA8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21" w:type="dxa"/>
          </w:tcPr>
          <w:p w14:paraId="2C82AD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721" w:type="dxa"/>
          </w:tcPr>
          <w:p w14:paraId="2C34D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01C3C0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4DABF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721" w:type="dxa"/>
          </w:tcPr>
          <w:p w14:paraId="59F741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721" w:type="dxa"/>
          </w:tcPr>
          <w:p w14:paraId="7D90A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721" w:type="dxa"/>
          </w:tcPr>
          <w:p w14:paraId="30A4C0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21" w:type="dxa"/>
          </w:tcPr>
          <w:p w14:paraId="3B8680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r>
      <w:tr w:rsidR="00A907A5" w:rsidRPr="00271E51" w14:paraId="084EB994" w14:textId="77777777" w:rsidTr="00ED5B0A">
        <w:tc>
          <w:tcPr>
            <w:tcW w:w="1809" w:type="dxa"/>
          </w:tcPr>
          <w:p w14:paraId="2A87D8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Общие потери</w:t>
            </w:r>
          </w:p>
        </w:tc>
        <w:tc>
          <w:tcPr>
            <w:tcW w:w="721" w:type="dxa"/>
          </w:tcPr>
          <w:p w14:paraId="388E2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w:t>
            </w:r>
          </w:p>
        </w:tc>
        <w:tc>
          <w:tcPr>
            <w:tcW w:w="721" w:type="dxa"/>
          </w:tcPr>
          <w:p w14:paraId="40CC70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189</w:t>
            </w:r>
          </w:p>
        </w:tc>
        <w:tc>
          <w:tcPr>
            <w:tcW w:w="721" w:type="dxa"/>
          </w:tcPr>
          <w:p w14:paraId="7E0635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255</w:t>
            </w:r>
          </w:p>
        </w:tc>
        <w:tc>
          <w:tcPr>
            <w:tcW w:w="721" w:type="dxa"/>
          </w:tcPr>
          <w:p w14:paraId="4F450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721" w:type="dxa"/>
          </w:tcPr>
          <w:p w14:paraId="254981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438</w:t>
            </w:r>
          </w:p>
        </w:tc>
        <w:tc>
          <w:tcPr>
            <w:tcW w:w="721" w:type="dxa"/>
          </w:tcPr>
          <w:p w14:paraId="10070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w:t>
            </w:r>
          </w:p>
        </w:tc>
        <w:tc>
          <w:tcPr>
            <w:tcW w:w="721" w:type="dxa"/>
          </w:tcPr>
          <w:p w14:paraId="785985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1D60D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721" w:type="dxa"/>
          </w:tcPr>
          <w:p w14:paraId="276362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721" w:type="dxa"/>
          </w:tcPr>
          <w:p w14:paraId="2AB8EE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tc>
        <w:tc>
          <w:tcPr>
            <w:tcW w:w="721" w:type="dxa"/>
          </w:tcPr>
          <w:p w14:paraId="1393FC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w:t>
            </w:r>
          </w:p>
        </w:tc>
        <w:tc>
          <w:tcPr>
            <w:tcW w:w="721" w:type="dxa"/>
          </w:tcPr>
          <w:p w14:paraId="2F486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r>
      <w:tr w:rsidR="00A907A5" w:rsidRPr="00271E51" w14:paraId="4ADE2B08" w14:textId="77777777" w:rsidTr="00ED5B0A">
        <w:tc>
          <w:tcPr>
            <w:tcW w:w="1809" w:type="dxa"/>
          </w:tcPr>
          <w:p w14:paraId="4F3208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 вылетов и налет</w:t>
            </w:r>
          </w:p>
        </w:tc>
        <w:tc>
          <w:tcPr>
            <w:tcW w:w="721" w:type="dxa"/>
          </w:tcPr>
          <w:p w14:paraId="4D8F5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E2692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8DEA6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B68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47FD2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6AC7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19F66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B3ACF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A3E2F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EADA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75B1B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D413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332594" w14:textId="77777777" w:rsidTr="00ED5B0A">
        <w:tc>
          <w:tcPr>
            <w:tcW w:w="1809" w:type="dxa"/>
          </w:tcPr>
          <w:p w14:paraId="4825A0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w:t>
            </w:r>
          </w:p>
        </w:tc>
        <w:tc>
          <w:tcPr>
            <w:tcW w:w="721" w:type="dxa"/>
          </w:tcPr>
          <w:p w14:paraId="6696E2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58D04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DFE1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6D48A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2DC10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F7167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C969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810E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A96FB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3C4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C610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0AEE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03300C" w14:textId="77777777" w:rsidTr="00ED5B0A">
        <w:tc>
          <w:tcPr>
            <w:tcW w:w="1809" w:type="dxa"/>
          </w:tcPr>
          <w:p w14:paraId="6F3573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с/в</w:t>
            </w:r>
          </w:p>
        </w:tc>
        <w:tc>
          <w:tcPr>
            <w:tcW w:w="721" w:type="dxa"/>
          </w:tcPr>
          <w:p w14:paraId="70AB8C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721" w:type="dxa"/>
          </w:tcPr>
          <w:p w14:paraId="002B9E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721" w:type="dxa"/>
          </w:tcPr>
          <w:p w14:paraId="246DD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721" w:type="dxa"/>
          </w:tcPr>
          <w:p w14:paraId="24166B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721" w:type="dxa"/>
          </w:tcPr>
          <w:p w14:paraId="0B30C1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w:t>
            </w:r>
          </w:p>
        </w:tc>
        <w:tc>
          <w:tcPr>
            <w:tcW w:w="721" w:type="dxa"/>
          </w:tcPr>
          <w:p w14:paraId="688A84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721" w:type="dxa"/>
          </w:tcPr>
          <w:p w14:paraId="2505DE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183</w:t>
            </w:r>
          </w:p>
        </w:tc>
        <w:tc>
          <w:tcPr>
            <w:tcW w:w="721" w:type="dxa"/>
          </w:tcPr>
          <w:p w14:paraId="6D2C02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721" w:type="dxa"/>
          </w:tcPr>
          <w:p w14:paraId="4C6DE2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w:t>
            </w:r>
          </w:p>
        </w:tc>
        <w:tc>
          <w:tcPr>
            <w:tcW w:w="721" w:type="dxa"/>
          </w:tcPr>
          <w:p w14:paraId="2E90BC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128</w:t>
            </w:r>
          </w:p>
        </w:tc>
        <w:tc>
          <w:tcPr>
            <w:tcW w:w="721" w:type="dxa"/>
          </w:tcPr>
          <w:p w14:paraId="01A9F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w:t>
            </w:r>
          </w:p>
        </w:tc>
        <w:tc>
          <w:tcPr>
            <w:tcW w:w="721" w:type="dxa"/>
          </w:tcPr>
          <w:p w14:paraId="71BE27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w:t>
            </w:r>
          </w:p>
        </w:tc>
      </w:tr>
      <w:tr w:rsidR="00A907A5" w:rsidRPr="00271E51" w14:paraId="65A53EA3" w14:textId="77777777" w:rsidTr="00ED5B0A">
        <w:tc>
          <w:tcPr>
            <w:tcW w:w="1809" w:type="dxa"/>
          </w:tcPr>
          <w:p w14:paraId="4056F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721" w:type="dxa"/>
          </w:tcPr>
          <w:p w14:paraId="6297B2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c>
          <w:tcPr>
            <w:tcW w:w="721" w:type="dxa"/>
          </w:tcPr>
          <w:p w14:paraId="709F1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w:t>
            </w:r>
          </w:p>
        </w:tc>
        <w:tc>
          <w:tcPr>
            <w:tcW w:w="721" w:type="dxa"/>
          </w:tcPr>
          <w:p w14:paraId="222B2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w:t>
            </w:r>
          </w:p>
        </w:tc>
        <w:tc>
          <w:tcPr>
            <w:tcW w:w="721" w:type="dxa"/>
          </w:tcPr>
          <w:p w14:paraId="6BA82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w:t>
            </w:r>
          </w:p>
        </w:tc>
        <w:tc>
          <w:tcPr>
            <w:tcW w:w="721" w:type="dxa"/>
          </w:tcPr>
          <w:p w14:paraId="2C3583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721" w:type="dxa"/>
          </w:tcPr>
          <w:p w14:paraId="1BF459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721" w:type="dxa"/>
          </w:tcPr>
          <w:p w14:paraId="081041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1651</w:t>
            </w:r>
          </w:p>
        </w:tc>
        <w:tc>
          <w:tcPr>
            <w:tcW w:w="721" w:type="dxa"/>
          </w:tcPr>
          <w:p w14:paraId="72A3B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721" w:type="dxa"/>
          </w:tcPr>
          <w:p w14:paraId="0DBCAF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721" w:type="dxa"/>
          </w:tcPr>
          <w:p w14:paraId="1AB09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w:t>
            </w:r>
          </w:p>
        </w:tc>
        <w:tc>
          <w:tcPr>
            <w:tcW w:w="721" w:type="dxa"/>
          </w:tcPr>
          <w:p w14:paraId="0425A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w:t>
            </w:r>
          </w:p>
        </w:tc>
        <w:tc>
          <w:tcPr>
            <w:tcW w:w="721" w:type="dxa"/>
          </w:tcPr>
          <w:p w14:paraId="34C0DB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r>
      <w:tr w:rsidR="00A907A5" w:rsidRPr="00271E51" w14:paraId="4927D37F" w14:textId="77777777" w:rsidTr="00ED5B0A">
        <w:tc>
          <w:tcPr>
            <w:tcW w:w="1809" w:type="dxa"/>
          </w:tcPr>
          <w:p w14:paraId="0F60E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боевые потери</w:t>
            </w:r>
          </w:p>
        </w:tc>
        <w:tc>
          <w:tcPr>
            <w:tcW w:w="721" w:type="dxa"/>
          </w:tcPr>
          <w:p w14:paraId="135639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E28F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794EF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7B04A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19CC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5BEA1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3DE0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D3F7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3DAC0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A1899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CC71A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D44F2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512CDD" w14:textId="77777777" w:rsidTr="00ED5B0A">
        <w:tc>
          <w:tcPr>
            <w:tcW w:w="1809" w:type="dxa"/>
          </w:tcPr>
          <w:p w14:paraId="17E99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Катастрофы</w:t>
            </w:r>
          </w:p>
        </w:tc>
        <w:tc>
          <w:tcPr>
            <w:tcW w:w="721" w:type="dxa"/>
          </w:tcPr>
          <w:p w14:paraId="78326E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1BB48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8CD3E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4DE6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7B72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1E212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8D93F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15D3F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68D1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D284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CBFC6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421BC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59498C" w14:textId="77777777" w:rsidTr="00ED5B0A">
        <w:tc>
          <w:tcPr>
            <w:tcW w:w="1809" w:type="dxa"/>
          </w:tcPr>
          <w:p w14:paraId="0E3314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721" w:type="dxa"/>
          </w:tcPr>
          <w:p w14:paraId="58A8E9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0AF4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58A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32C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086A1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7DFE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2F7A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1C75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6D1A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4343F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386B4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1BC28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4DBABA" w14:textId="77777777" w:rsidTr="00ED5B0A">
        <w:tc>
          <w:tcPr>
            <w:tcW w:w="1809" w:type="dxa"/>
          </w:tcPr>
          <w:p w14:paraId="0E675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2E6774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1662</w:t>
            </w:r>
          </w:p>
        </w:tc>
        <w:tc>
          <w:tcPr>
            <w:tcW w:w="721" w:type="dxa"/>
          </w:tcPr>
          <w:p w14:paraId="51DA54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1118</w:t>
            </w:r>
          </w:p>
        </w:tc>
        <w:tc>
          <w:tcPr>
            <w:tcW w:w="721" w:type="dxa"/>
          </w:tcPr>
          <w:p w14:paraId="3FEC9D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469</w:t>
            </w:r>
          </w:p>
        </w:tc>
        <w:tc>
          <w:tcPr>
            <w:tcW w:w="721" w:type="dxa"/>
          </w:tcPr>
          <w:p w14:paraId="73509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2948</w:t>
            </w:r>
          </w:p>
        </w:tc>
        <w:tc>
          <w:tcPr>
            <w:tcW w:w="721" w:type="dxa"/>
          </w:tcPr>
          <w:p w14:paraId="7526F3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814</w:t>
            </w:r>
          </w:p>
        </w:tc>
        <w:tc>
          <w:tcPr>
            <w:tcW w:w="721" w:type="dxa"/>
          </w:tcPr>
          <w:p w14:paraId="725C4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927</w:t>
            </w:r>
          </w:p>
        </w:tc>
        <w:tc>
          <w:tcPr>
            <w:tcW w:w="721" w:type="dxa"/>
          </w:tcPr>
          <w:p w14:paraId="58503E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6471</w:t>
            </w:r>
          </w:p>
        </w:tc>
        <w:tc>
          <w:tcPr>
            <w:tcW w:w="721" w:type="dxa"/>
          </w:tcPr>
          <w:p w14:paraId="197B6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543</w:t>
            </w:r>
          </w:p>
        </w:tc>
        <w:tc>
          <w:tcPr>
            <w:tcW w:w="721" w:type="dxa"/>
          </w:tcPr>
          <w:p w14:paraId="2E7178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516</w:t>
            </w:r>
          </w:p>
        </w:tc>
        <w:tc>
          <w:tcPr>
            <w:tcW w:w="721" w:type="dxa"/>
          </w:tcPr>
          <w:p w14:paraId="521BB3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2193</w:t>
            </w:r>
          </w:p>
        </w:tc>
        <w:tc>
          <w:tcPr>
            <w:tcW w:w="721" w:type="dxa"/>
          </w:tcPr>
          <w:p w14:paraId="0BBC8A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6021</w:t>
            </w:r>
          </w:p>
        </w:tc>
        <w:tc>
          <w:tcPr>
            <w:tcW w:w="721" w:type="dxa"/>
          </w:tcPr>
          <w:p w14:paraId="5B1CB4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1621</w:t>
            </w:r>
          </w:p>
        </w:tc>
      </w:tr>
      <w:tr w:rsidR="00A907A5" w:rsidRPr="00271E51" w14:paraId="2741CA4C" w14:textId="77777777" w:rsidTr="00ED5B0A">
        <w:tc>
          <w:tcPr>
            <w:tcW w:w="1809" w:type="dxa"/>
          </w:tcPr>
          <w:p w14:paraId="7C016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5BF867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1416</w:t>
            </w:r>
          </w:p>
        </w:tc>
        <w:tc>
          <w:tcPr>
            <w:tcW w:w="721" w:type="dxa"/>
          </w:tcPr>
          <w:p w14:paraId="63A31B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1058</w:t>
            </w:r>
          </w:p>
        </w:tc>
        <w:tc>
          <w:tcPr>
            <w:tcW w:w="721" w:type="dxa"/>
          </w:tcPr>
          <w:p w14:paraId="0364E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w:t>
            </w:r>
          </w:p>
        </w:tc>
        <w:tc>
          <w:tcPr>
            <w:tcW w:w="721" w:type="dxa"/>
          </w:tcPr>
          <w:p w14:paraId="5020D1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2360</w:t>
            </w:r>
          </w:p>
        </w:tc>
        <w:tc>
          <w:tcPr>
            <w:tcW w:w="721" w:type="dxa"/>
          </w:tcPr>
          <w:p w14:paraId="1612D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834</w:t>
            </w:r>
          </w:p>
        </w:tc>
        <w:tc>
          <w:tcPr>
            <w:tcW w:w="721" w:type="dxa"/>
          </w:tcPr>
          <w:p w14:paraId="6B4E7C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908</w:t>
            </w:r>
          </w:p>
        </w:tc>
        <w:tc>
          <w:tcPr>
            <w:tcW w:w="721" w:type="dxa"/>
          </w:tcPr>
          <w:p w14:paraId="3D0DAA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508</w:t>
            </w:r>
          </w:p>
        </w:tc>
        <w:tc>
          <w:tcPr>
            <w:tcW w:w="721" w:type="dxa"/>
          </w:tcPr>
          <w:p w14:paraId="505D8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473</w:t>
            </w:r>
          </w:p>
        </w:tc>
        <w:tc>
          <w:tcPr>
            <w:tcW w:w="721" w:type="dxa"/>
          </w:tcPr>
          <w:p w14:paraId="2F33B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456</w:t>
            </w:r>
          </w:p>
        </w:tc>
        <w:tc>
          <w:tcPr>
            <w:tcW w:w="721" w:type="dxa"/>
          </w:tcPr>
          <w:p w14:paraId="6D7B69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1810</w:t>
            </w:r>
          </w:p>
        </w:tc>
        <w:tc>
          <w:tcPr>
            <w:tcW w:w="721" w:type="dxa"/>
          </w:tcPr>
          <w:p w14:paraId="329CB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7785</w:t>
            </w:r>
          </w:p>
        </w:tc>
        <w:tc>
          <w:tcPr>
            <w:tcW w:w="721" w:type="dxa"/>
          </w:tcPr>
          <w:p w14:paraId="414C4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r>
      <w:tr w:rsidR="00A907A5" w:rsidRPr="00271E51" w14:paraId="1A5D8E32" w14:textId="77777777" w:rsidTr="00ED5B0A">
        <w:tc>
          <w:tcPr>
            <w:tcW w:w="1809" w:type="dxa"/>
          </w:tcPr>
          <w:p w14:paraId="21FA9E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Небоевой налет</w:t>
            </w:r>
          </w:p>
        </w:tc>
        <w:tc>
          <w:tcPr>
            <w:tcW w:w="721" w:type="dxa"/>
          </w:tcPr>
          <w:p w14:paraId="26A71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26082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B720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AF57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EAB2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7593C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760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C1A1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032D8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99F23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14A4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8031C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D1591D" w14:textId="77777777" w:rsidTr="00ED5B0A">
        <w:tc>
          <w:tcPr>
            <w:tcW w:w="1809" w:type="dxa"/>
          </w:tcPr>
          <w:p w14:paraId="1224D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2ADD2F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591</w:t>
            </w:r>
          </w:p>
        </w:tc>
        <w:tc>
          <w:tcPr>
            <w:tcW w:w="721" w:type="dxa"/>
          </w:tcPr>
          <w:p w14:paraId="027F3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582</w:t>
            </w:r>
          </w:p>
        </w:tc>
        <w:tc>
          <w:tcPr>
            <w:tcW w:w="721" w:type="dxa"/>
          </w:tcPr>
          <w:p w14:paraId="64DBE4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c>
          <w:tcPr>
            <w:tcW w:w="721" w:type="dxa"/>
          </w:tcPr>
          <w:p w14:paraId="62E17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w:t>
            </w:r>
          </w:p>
        </w:tc>
        <w:tc>
          <w:tcPr>
            <w:tcW w:w="721" w:type="dxa"/>
          </w:tcPr>
          <w:p w14:paraId="7DC0E8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721" w:type="dxa"/>
          </w:tcPr>
          <w:p w14:paraId="6C9EA6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w:t>
            </w:r>
          </w:p>
        </w:tc>
        <w:tc>
          <w:tcPr>
            <w:tcW w:w="721" w:type="dxa"/>
          </w:tcPr>
          <w:p w14:paraId="1D5FB2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909</w:t>
            </w:r>
          </w:p>
        </w:tc>
        <w:tc>
          <w:tcPr>
            <w:tcW w:w="721" w:type="dxa"/>
          </w:tcPr>
          <w:p w14:paraId="7B3F10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1794</w:t>
            </w:r>
          </w:p>
        </w:tc>
        <w:tc>
          <w:tcPr>
            <w:tcW w:w="721" w:type="dxa"/>
          </w:tcPr>
          <w:p w14:paraId="3D563B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302714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w:t>
            </w:r>
          </w:p>
        </w:tc>
        <w:tc>
          <w:tcPr>
            <w:tcW w:w="721" w:type="dxa"/>
          </w:tcPr>
          <w:p w14:paraId="663D6B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5D4ED1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488</w:t>
            </w:r>
          </w:p>
        </w:tc>
      </w:tr>
      <w:tr w:rsidR="00A907A5" w:rsidRPr="00271E51" w14:paraId="5F7698A9" w14:textId="77777777" w:rsidTr="00ED5B0A">
        <w:tc>
          <w:tcPr>
            <w:tcW w:w="1809" w:type="dxa"/>
          </w:tcPr>
          <w:p w14:paraId="01548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22DA3F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w:t>
            </w:r>
          </w:p>
        </w:tc>
        <w:tc>
          <w:tcPr>
            <w:tcW w:w="721" w:type="dxa"/>
          </w:tcPr>
          <w:p w14:paraId="29C4B7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454</w:t>
            </w:r>
          </w:p>
        </w:tc>
        <w:tc>
          <w:tcPr>
            <w:tcW w:w="721" w:type="dxa"/>
          </w:tcPr>
          <w:p w14:paraId="7AB6EB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w:t>
            </w:r>
          </w:p>
        </w:tc>
        <w:tc>
          <w:tcPr>
            <w:tcW w:w="721" w:type="dxa"/>
          </w:tcPr>
          <w:p w14:paraId="5687B0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tc>
        <w:tc>
          <w:tcPr>
            <w:tcW w:w="721" w:type="dxa"/>
          </w:tcPr>
          <w:p w14:paraId="2E804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721" w:type="dxa"/>
          </w:tcPr>
          <w:p w14:paraId="0A38A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w:t>
            </w:r>
          </w:p>
        </w:tc>
        <w:tc>
          <w:tcPr>
            <w:tcW w:w="721" w:type="dxa"/>
          </w:tcPr>
          <w:p w14:paraId="3A80A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w:t>
            </w:r>
          </w:p>
        </w:tc>
        <w:tc>
          <w:tcPr>
            <w:tcW w:w="721" w:type="dxa"/>
          </w:tcPr>
          <w:p w14:paraId="75107E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w:t>
            </w:r>
          </w:p>
        </w:tc>
        <w:tc>
          <w:tcPr>
            <w:tcW w:w="721" w:type="dxa"/>
          </w:tcPr>
          <w:p w14:paraId="14C7E9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544E85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721" w:type="dxa"/>
          </w:tcPr>
          <w:p w14:paraId="635E4E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33EE7E7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w:t>
            </w:r>
          </w:p>
        </w:tc>
      </w:tr>
      <w:tr w:rsidR="00A907A5" w:rsidRPr="00271E51" w14:paraId="48B48A25" w14:textId="77777777" w:rsidTr="00ED5B0A">
        <w:tc>
          <w:tcPr>
            <w:tcW w:w="1809" w:type="dxa"/>
          </w:tcPr>
          <w:p w14:paraId="63CB6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 налет</w:t>
            </w:r>
          </w:p>
        </w:tc>
        <w:tc>
          <w:tcPr>
            <w:tcW w:w="721" w:type="dxa"/>
          </w:tcPr>
          <w:p w14:paraId="0D593C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36265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0D3BC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5F9B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75DA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DE30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FF1F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09294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2554A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294A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148B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33CA5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375901" w14:textId="77777777" w:rsidTr="00ED5B0A">
        <w:tc>
          <w:tcPr>
            <w:tcW w:w="1809" w:type="dxa"/>
          </w:tcPr>
          <w:p w14:paraId="51248C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022A35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2253</w:t>
            </w:r>
          </w:p>
        </w:tc>
        <w:tc>
          <w:tcPr>
            <w:tcW w:w="721" w:type="dxa"/>
          </w:tcPr>
          <w:p w14:paraId="284185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721" w:type="dxa"/>
          </w:tcPr>
          <w:p w14:paraId="74A26A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615</w:t>
            </w:r>
          </w:p>
        </w:tc>
        <w:tc>
          <w:tcPr>
            <w:tcW w:w="721" w:type="dxa"/>
          </w:tcPr>
          <w:p w14:paraId="15D232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3190</w:t>
            </w:r>
          </w:p>
        </w:tc>
        <w:tc>
          <w:tcPr>
            <w:tcW w:w="721" w:type="dxa"/>
          </w:tcPr>
          <w:p w14:paraId="3BF496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930</w:t>
            </w:r>
          </w:p>
        </w:tc>
        <w:tc>
          <w:tcPr>
            <w:tcW w:w="721" w:type="dxa"/>
          </w:tcPr>
          <w:p w14:paraId="314FE1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1172</w:t>
            </w:r>
          </w:p>
        </w:tc>
        <w:tc>
          <w:tcPr>
            <w:tcW w:w="721" w:type="dxa"/>
          </w:tcPr>
          <w:p w14:paraId="60857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2556</w:t>
            </w:r>
          </w:p>
        </w:tc>
        <w:tc>
          <w:tcPr>
            <w:tcW w:w="721" w:type="dxa"/>
          </w:tcPr>
          <w:p w14:paraId="7AD898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2337</w:t>
            </w:r>
          </w:p>
        </w:tc>
        <w:tc>
          <w:tcPr>
            <w:tcW w:w="721" w:type="dxa"/>
          </w:tcPr>
          <w:p w14:paraId="626C1A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684AAC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2489</w:t>
            </w:r>
          </w:p>
        </w:tc>
        <w:tc>
          <w:tcPr>
            <w:tcW w:w="721" w:type="dxa"/>
          </w:tcPr>
          <w:p w14:paraId="13BA8E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76FEC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2109</w:t>
            </w:r>
          </w:p>
        </w:tc>
      </w:tr>
      <w:tr w:rsidR="00A907A5" w:rsidRPr="00271E51" w14:paraId="4CDD9783" w14:textId="77777777" w:rsidTr="00ED5B0A">
        <w:tc>
          <w:tcPr>
            <w:tcW w:w="1809" w:type="dxa"/>
          </w:tcPr>
          <w:p w14:paraId="115E52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6A900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2006</w:t>
            </w:r>
          </w:p>
        </w:tc>
        <w:tc>
          <w:tcPr>
            <w:tcW w:w="721" w:type="dxa"/>
          </w:tcPr>
          <w:p w14:paraId="31B1F2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1512</w:t>
            </w:r>
          </w:p>
        </w:tc>
        <w:tc>
          <w:tcPr>
            <w:tcW w:w="721" w:type="dxa"/>
          </w:tcPr>
          <w:p w14:paraId="12B63E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471</w:t>
            </w:r>
          </w:p>
        </w:tc>
        <w:tc>
          <w:tcPr>
            <w:tcW w:w="721" w:type="dxa"/>
          </w:tcPr>
          <w:p w14:paraId="74818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2472</w:t>
            </w:r>
          </w:p>
        </w:tc>
        <w:tc>
          <w:tcPr>
            <w:tcW w:w="721" w:type="dxa"/>
          </w:tcPr>
          <w:p w14:paraId="27399D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892</w:t>
            </w:r>
          </w:p>
        </w:tc>
        <w:tc>
          <w:tcPr>
            <w:tcW w:w="721" w:type="dxa"/>
          </w:tcPr>
          <w:p w14:paraId="685C9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1013</w:t>
            </w:r>
          </w:p>
        </w:tc>
        <w:tc>
          <w:tcPr>
            <w:tcW w:w="721" w:type="dxa"/>
          </w:tcPr>
          <w:p w14:paraId="42C9A5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1892</w:t>
            </w:r>
          </w:p>
        </w:tc>
        <w:tc>
          <w:tcPr>
            <w:tcW w:w="721" w:type="dxa"/>
          </w:tcPr>
          <w:p w14:paraId="4CD2BD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892</w:t>
            </w:r>
          </w:p>
        </w:tc>
        <w:tc>
          <w:tcPr>
            <w:tcW w:w="721" w:type="dxa"/>
          </w:tcPr>
          <w:p w14:paraId="4BB0A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541DC3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1912</w:t>
            </w:r>
          </w:p>
        </w:tc>
        <w:tc>
          <w:tcPr>
            <w:tcW w:w="721" w:type="dxa"/>
          </w:tcPr>
          <w:p w14:paraId="14E8D6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21" w:type="dxa"/>
          </w:tcPr>
          <w:p w14:paraId="437078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2003</w:t>
            </w:r>
          </w:p>
        </w:tc>
      </w:tr>
      <w:tr w:rsidR="00A907A5" w:rsidRPr="00271E51" w14:paraId="3B890A08" w14:textId="77777777" w:rsidTr="00ED5B0A">
        <w:tc>
          <w:tcPr>
            <w:tcW w:w="1809" w:type="dxa"/>
          </w:tcPr>
          <w:p w14:paraId="6C0A59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0A0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w:t>
            </w:r>
          </w:p>
        </w:tc>
        <w:tc>
          <w:tcPr>
            <w:tcW w:w="721" w:type="dxa"/>
          </w:tcPr>
          <w:p w14:paraId="6FBA83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721" w:type="dxa"/>
          </w:tcPr>
          <w:p w14:paraId="6151E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Бост</w:t>
            </w:r>
          </w:p>
        </w:tc>
        <w:tc>
          <w:tcPr>
            <w:tcW w:w="721" w:type="dxa"/>
          </w:tcPr>
          <w:p w14:paraId="1D763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w:t>
            </w:r>
          </w:p>
        </w:tc>
        <w:tc>
          <w:tcPr>
            <w:tcW w:w="721" w:type="dxa"/>
          </w:tcPr>
          <w:p w14:paraId="5C2A89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Р-5</w:t>
            </w:r>
          </w:p>
        </w:tc>
        <w:tc>
          <w:tcPr>
            <w:tcW w:w="721" w:type="dxa"/>
          </w:tcPr>
          <w:p w14:paraId="66EE6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По-2</w:t>
            </w:r>
          </w:p>
        </w:tc>
        <w:tc>
          <w:tcPr>
            <w:tcW w:w="721" w:type="dxa"/>
          </w:tcPr>
          <w:p w14:paraId="620EA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8316F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B8A79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A56F8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577FD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743B5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5557BE" w14:textId="77777777" w:rsidTr="00ED5B0A">
        <w:tc>
          <w:tcPr>
            <w:tcW w:w="1809" w:type="dxa"/>
          </w:tcPr>
          <w:p w14:paraId="1352B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Учтено самолетовылетов</w:t>
            </w:r>
          </w:p>
        </w:tc>
        <w:tc>
          <w:tcPr>
            <w:tcW w:w="721" w:type="dxa"/>
          </w:tcPr>
          <w:p w14:paraId="67CCD2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7B91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3D65D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C8BD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2B4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0EAE1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DD22E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33B86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A2AC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4D183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4A8D9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CAB1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7117F1" w14:textId="77777777" w:rsidTr="00ED5B0A">
        <w:tc>
          <w:tcPr>
            <w:tcW w:w="1809" w:type="dxa"/>
          </w:tcPr>
          <w:p w14:paraId="1713F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Боевых</w:t>
            </w:r>
          </w:p>
        </w:tc>
        <w:tc>
          <w:tcPr>
            <w:tcW w:w="721" w:type="dxa"/>
          </w:tcPr>
          <w:p w14:paraId="730EE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15656</w:t>
            </w:r>
          </w:p>
        </w:tc>
        <w:tc>
          <w:tcPr>
            <w:tcW w:w="721" w:type="dxa"/>
          </w:tcPr>
          <w:p w14:paraId="1D406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9270</w:t>
            </w:r>
          </w:p>
        </w:tc>
        <w:tc>
          <w:tcPr>
            <w:tcW w:w="721" w:type="dxa"/>
          </w:tcPr>
          <w:p w14:paraId="4BC561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3551</w:t>
            </w:r>
          </w:p>
        </w:tc>
        <w:tc>
          <w:tcPr>
            <w:tcW w:w="721" w:type="dxa"/>
          </w:tcPr>
          <w:p w14:paraId="6E35A8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4547</w:t>
            </w:r>
          </w:p>
        </w:tc>
        <w:tc>
          <w:tcPr>
            <w:tcW w:w="721" w:type="dxa"/>
          </w:tcPr>
          <w:p w14:paraId="1BA10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6841</w:t>
            </w:r>
          </w:p>
        </w:tc>
        <w:tc>
          <w:tcPr>
            <w:tcW w:w="721" w:type="dxa"/>
          </w:tcPr>
          <w:p w14:paraId="0AC539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23147</w:t>
            </w:r>
          </w:p>
        </w:tc>
        <w:tc>
          <w:tcPr>
            <w:tcW w:w="721" w:type="dxa"/>
          </w:tcPr>
          <w:p w14:paraId="4B4123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D0E91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2FD41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8CA13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B6C1F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E0CE3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9877D9" w14:textId="77777777" w:rsidTr="00ED5B0A">
        <w:tc>
          <w:tcPr>
            <w:tcW w:w="1809" w:type="dxa"/>
          </w:tcPr>
          <w:p w14:paraId="20B034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боевых</w:t>
            </w:r>
          </w:p>
        </w:tc>
        <w:tc>
          <w:tcPr>
            <w:tcW w:w="721" w:type="dxa"/>
          </w:tcPr>
          <w:p w14:paraId="22DD8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1535</w:t>
            </w:r>
          </w:p>
        </w:tc>
        <w:tc>
          <w:tcPr>
            <w:tcW w:w="721" w:type="dxa"/>
          </w:tcPr>
          <w:p w14:paraId="283C70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8728</w:t>
            </w:r>
          </w:p>
        </w:tc>
        <w:tc>
          <w:tcPr>
            <w:tcW w:w="721" w:type="dxa"/>
          </w:tcPr>
          <w:p w14:paraId="31C44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635</w:t>
            </w:r>
          </w:p>
        </w:tc>
        <w:tc>
          <w:tcPr>
            <w:tcW w:w="721" w:type="dxa"/>
          </w:tcPr>
          <w:p w14:paraId="51DEF9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1134</w:t>
            </w:r>
          </w:p>
        </w:tc>
        <w:tc>
          <w:tcPr>
            <w:tcW w:w="721" w:type="dxa"/>
          </w:tcPr>
          <w:p w14:paraId="7215A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1532</w:t>
            </w:r>
          </w:p>
        </w:tc>
        <w:tc>
          <w:tcPr>
            <w:tcW w:w="721" w:type="dxa"/>
          </w:tcPr>
          <w:p w14:paraId="43AD96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32016</w:t>
            </w:r>
          </w:p>
        </w:tc>
        <w:tc>
          <w:tcPr>
            <w:tcW w:w="721" w:type="dxa"/>
          </w:tcPr>
          <w:p w14:paraId="7574F4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2CC9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CFC74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C07B1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E2BA6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BA64B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E6AF87" w14:textId="77777777" w:rsidTr="00ED5B0A">
        <w:tc>
          <w:tcPr>
            <w:tcW w:w="1809" w:type="dxa"/>
          </w:tcPr>
          <w:p w14:paraId="553A9D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21" w:type="dxa"/>
          </w:tcPr>
          <w:p w14:paraId="44C44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27191</w:t>
            </w:r>
          </w:p>
        </w:tc>
        <w:tc>
          <w:tcPr>
            <w:tcW w:w="721" w:type="dxa"/>
          </w:tcPr>
          <w:p w14:paraId="38BFF0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17998</w:t>
            </w:r>
          </w:p>
        </w:tc>
        <w:tc>
          <w:tcPr>
            <w:tcW w:w="721" w:type="dxa"/>
          </w:tcPr>
          <w:p w14:paraId="3689D7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4186</w:t>
            </w:r>
          </w:p>
        </w:tc>
        <w:tc>
          <w:tcPr>
            <w:tcW w:w="721" w:type="dxa"/>
          </w:tcPr>
          <w:p w14:paraId="610E3D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5681</w:t>
            </w:r>
          </w:p>
        </w:tc>
        <w:tc>
          <w:tcPr>
            <w:tcW w:w="721" w:type="dxa"/>
          </w:tcPr>
          <w:p w14:paraId="7A56E9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8373</w:t>
            </w:r>
          </w:p>
        </w:tc>
        <w:tc>
          <w:tcPr>
            <w:tcW w:w="721" w:type="dxa"/>
          </w:tcPr>
          <w:p w14:paraId="733912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55169</w:t>
            </w:r>
          </w:p>
        </w:tc>
        <w:tc>
          <w:tcPr>
            <w:tcW w:w="721" w:type="dxa"/>
          </w:tcPr>
          <w:p w14:paraId="6F890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64FE8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2994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DFBFF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787DF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29DA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8CA186" w14:textId="77777777" w:rsidTr="00ED5B0A">
        <w:tc>
          <w:tcPr>
            <w:tcW w:w="1809" w:type="dxa"/>
          </w:tcPr>
          <w:p w14:paraId="6DE8AD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 в часах</w:t>
            </w:r>
          </w:p>
        </w:tc>
        <w:tc>
          <w:tcPr>
            <w:tcW w:w="721" w:type="dxa"/>
          </w:tcPr>
          <w:p w14:paraId="125211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16AD3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A3642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E8F8D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3A70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0E96C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5FB0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B3DF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8ABF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CDE96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22E9E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17611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F5466C2" w14:textId="77777777" w:rsidTr="00ED5B0A">
        <w:tc>
          <w:tcPr>
            <w:tcW w:w="1809" w:type="dxa"/>
          </w:tcPr>
          <w:p w14:paraId="431D4D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w:t>
            </w:r>
          </w:p>
        </w:tc>
        <w:tc>
          <w:tcPr>
            <w:tcW w:w="721" w:type="dxa"/>
          </w:tcPr>
          <w:p w14:paraId="56405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13801</w:t>
            </w:r>
          </w:p>
        </w:tc>
        <w:tc>
          <w:tcPr>
            <w:tcW w:w="721" w:type="dxa"/>
          </w:tcPr>
          <w:p w14:paraId="7C9E5C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11254</w:t>
            </w:r>
          </w:p>
        </w:tc>
        <w:tc>
          <w:tcPr>
            <w:tcW w:w="721" w:type="dxa"/>
          </w:tcPr>
          <w:p w14:paraId="62532C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5520</w:t>
            </w:r>
          </w:p>
        </w:tc>
        <w:tc>
          <w:tcPr>
            <w:tcW w:w="721" w:type="dxa"/>
          </w:tcPr>
          <w:p w14:paraId="2BEE73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3591</w:t>
            </w:r>
          </w:p>
        </w:tc>
        <w:tc>
          <w:tcPr>
            <w:tcW w:w="721" w:type="dxa"/>
          </w:tcPr>
          <w:p w14:paraId="75C4AC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8450</w:t>
            </w:r>
          </w:p>
        </w:tc>
        <w:tc>
          <w:tcPr>
            <w:tcW w:w="721" w:type="dxa"/>
          </w:tcPr>
          <w:p w14:paraId="150E5B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23213</w:t>
            </w:r>
          </w:p>
        </w:tc>
        <w:tc>
          <w:tcPr>
            <w:tcW w:w="721" w:type="dxa"/>
          </w:tcPr>
          <w:p w14:paraId="62C88C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2D003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10FEA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A9A45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B5BFA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9E55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F3B1E8" w14:textId="77777777" w:rsidTr="00ED5B0A">
        <w:tc>
          <w:tcPr>
            <w:tcW w:w="1809" w:type="dxa"/>
          </w:tcPr>
          <w:p w14:paraId="33F6D0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Небоевой</w:t>
            </w:r>
          </w:p>
        </w:tc>
        <w:tc>
          <w:tcPr>
            <w:tcW w:w="721" w:type="dxa"/>
          </w:tcPr>
          <w:p w14:paraId="1EA146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4422</w:t>
            </w:r>
          </w:p>
        </w:tc>
        <w:tc>
          <w:tcPr>
            <w:tcW w:w="721" w:type="dxa"/>
          </w:tcPr>
          <w:p w14:paraId="2C204F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5117</w:t>
            </w:r>
          </w:p>
        </w:tc>
        <w:tc>
          <w:tcPr>
            <w:tcW w:w="721" w:type="dxa"/>
          </w:tcPr>
          <w:p w14:paraId="6E87A1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w:t>
            </w:r>
          </w:p>
        </w:tc>
        <w:tc>
          <w:tcPr>
            <w:tcW w:w="721" w:type="dxa"/>
          </w:tcPr>
          <w:p w14:paraId="64597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w:t>
            </w:r>
          </w:p>
        </w:tc>
        <w:tc>
          <w:tcPr>
            <w:tcW w:w="721" w:type="dxa"/>
          </w:tcPr>
          <w:p w14:paraId="57ACD5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w:t>
            </w:r>
          </w:p>
        </w:tc>
        <w:tc>
          <w:tcPr>
            <w:tcW w:w="721" w:type="dxa"/>
          </w:tcPr>
          <w:p w14:paraId="1C944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19533</w:t>
            </w:r>
          </w:p>
        </w:tc>
        <w:tc>
          <w:tcPr>
            <w:tcW w:w="721" w:type="dxa"/>
          </w:tcPr>
          <w:p w14:paraId="00C09C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840A4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2EEFA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5195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7488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4E576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32E5B3" w14:textId="77777777" w:rsidTr="00ED5B0A">
        <w:tc>
          <w:tcPr>
            <w:tcW w:w="1809" w:type="dxa"/>
          </w:tcPr>
          <w:p w14:paraId="1CFCD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21" w:type="dxa"/>
          </w:tcPr>
          <w:p w14:paraId="2B457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8223</w:t>
            </w:r>
          </w:p>
        </w:tc>
        <w:tc>
          <w:tcPr>
            <w:tcW w:w="721" w:type="dxa"/>
          </w:tcPr>
          <w:p w14:paraId="2269B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6371</w:t>
            </w:r>
          </w:p>
        </w:tc>
        <w:tc>
          <w:tcPr>
            <w:tcW w:w="721" w:type="dxa"/>
          </w:tcPr>
          <w:p w14:paraId="4D639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5702</w:t>
            </w:r>
          </w:p>
        </w:tc>
        <w:tc>
          <w:tcPr>
            <w:tcW w:w="721" w:type="dxa"/>
          </w:tcPr>
          <w:p w14:paraId="0189EB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3981</w:t>
            </w:r>
          </w:p>
        </w:tc>
        <w:tc>
          <w:tcPr>
            <w:tcW w:w="721" w:type="dxa"/>
          </w:tcPr>
          <w:p w14:paraId="232ACE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8977</w:t>
            </w:r>
          </w:p>
        </w:tc>
        <w:tc>
          <w:tcPr>
            <w:tcW w:w="721" w:type="dxa"/>
          </w:tcPr>
          <w:p w14:paraId="3C2F0B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42747</w:t>
            </w:r>
          </w:p>
        </w:tc>
        <w:tc>
          <w:tcPr>
            <w:tcW w:w="721" w:type="dxa"/>
          </w:tcPr>
          <w:p w14:paraId="73C81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405D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9417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05F84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B5A8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C1282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F6158B" w14:textId="77777777" w:rsidTr="00ED5B0A">
        <w:tc>
          <w:tcPr>
            <w:tcW w:w="1809" w:type="dxa"/>
          </w:tcPr>
          <w:p w14:paraId="14A2CB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самолетов</w:t>
            </w:r>
          </w:p>
        </w:tc>
        <w:tc>
          <w:tcPr>
            <w:tcW w:w="721" w:type="dxa"/>
          </w:tcPr>
          <w:p w14:paraId="445A9F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A6A7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B70FE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8DE48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27F4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262C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884B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7E19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1A377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72EDC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BC47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B0B20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204D41" w14:textId="77777777" w:rsidTr="00ED5B0A">
        <w:tc>
          <w:tcPr>
            <w:tcW w:w="1809" w:type="dxa"/>
          </w:tcPr>
          <w:p w14:paraId="6FA52A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Сбиты в в/бою</w:t>
            </w:r>
          </w:p>
        </w:tc>
        <w:tc>
          <w:tcPr>
            <w:tcW w:w="721" w:type="dxa"/>
          </w:tcPr>
          <w:p w14:paraId="2E5847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209</w:t>
            </w:r>
          </w:p>
        </w:tc>
        <w:tc>
          <w:tcPr>
            <w:tcW w:w="721" w:type="dxa"/>
          </w:tcPr>
          <w:p w14:paraId="0BC269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721" w:type="dxa"/>
          </w:tcPr>
          <w:p w14:paraId="3C5164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721" w:type="dxa"/>
          </w:tcPr>
          <w:p w14:paraId="197D5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721" w:type="dxa"/>
          </w:tcPr>
          <w:p w14:paraId="787B06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22C672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721" w:type="dxa"/>
          </w:tcPr>
          <w:p w14:paraId="323179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F094F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3307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49645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3E51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6B85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69EB70" w14:textId="77777777" w:rsidTr="00ED5B0A">
        <w:tc>
          <w:tcPr>
            <w:tcW w:w="1809" w:type="dxa"/>
          </w:tcPr>
          <w:p w14:paraId="4A408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Сбиты ЗА</w:t>
            </w:r>
          </w:p>
        </w:tc>
        <w:tc>
          <w:tcPr>
            <w:tcW w:w="721" w:type="dxa"/>
          </w:tcPr>
          <w:p w14:paraId="2782B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w:t>
            </w:r>
          </w:p>
        </w:tc>
        <w:tc>
          <w:tcPr>
            <w:tcW w:w="721" w:type="dxa"/>
          </w:tcPr>
          <w:p w14:paraId="5E07D9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721" w:type="dxa"/>
          </w:tcPr>
          <w:p w14:paraId="6E36B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721" w:type="dxa"/>
          </w:tcPr>
          <w:p w14:paraId="43525A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21" w:type="dxa"/>
          </w:tcPr>
          <w:p w14:paraId="49602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09324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21" w:type="dxa"/>
          </w:tcPr>
          <w:p w14:paraId="68131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EB55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D5718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162B9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8262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C0CA0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AA3C70" w14:textId="77777777" w:rsidTr="00ED5B0A">
        <w:tc>
          <w:tcPr>
            <w:tcW w:w="1809" w:type="dxa"/>
          </w:tcPr>
          <w:p w14:paraId="197A0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 на аэродр.</w:t>
            </w:r>
          </w:p>
        </w:tc>
        <w:tc>
          <w:tcPr>
            <w:tcW w:w="721" w:type="dxa"/>
          </w:tcPr>
          <w:p w14:paraId="78C487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26999F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6E7E6E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21" w:type="dxa"/>
          </w:tcPr>
          <w:p w14:paraId="03597D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21" w:type="dxa"/>
          </w:tcPr>
          <w:p w14:paraId="1B2E6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5F5AE0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3C62E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A08B9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BC8E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517CD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24A5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DDDE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FF84B9" w14:textId="77777777" w:rsidTr="00ED5B0A">
        <w:tc>
          <w:tcPr>
            <w:tcW w:w="1809" w:type="dxa"/>
          </w:tcPr>
          <w:p w14:paraId="78DD43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верулись с б/з</w:t>
            </w:r>
          </w:p>
        </w:tc>
        <w:tc>
          <w:tcPr>
            <w:tcW w:w="721" w:type="dxa"/>
          </w:tcPr>
          <w:p w14:paraId="5B712D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w:t>
            </w:r>
          </w:p>
        </w:tc>
        <w:tc>
          <w:tcPr>
            <w:tcW w:w="721" w:type="dxa"/>
          </w:tcPr>
          <w:p w14:paraId="1FDB28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721" w:type="dxa"/>
          </w:tcPr>
          <w:p w14:paraId="35B99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2BF688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tc>
        <w:tc>
          <w:tcPr>
            <w:tcW w:w="721" w:type="dxa"/>
          </w:tcPr>
          <w:p w14:paraId="2BE474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721" w:type="dxa"/>
          </w:tcPr>
          <w:p w14:paraId="7668C1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21" w:type="dxa"/>
          </w:tcPr>
          <w:p w14:paraId="2BE6C3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EEAC9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04F9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91C94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87069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B850A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3048A0" w14:textId="77777777" w:rsidTr="00ED5B0A">
        <w:tc>
          <w:tcPr>
            <w:tcW w:w="1809" w:type="dxa"/>
          </w:tcPr>
          <w:p w14:paraId="3A939A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боевых</w:t>
            </w:r>
          </w:p>
        </w:tc>
        <w:tc>
          <w:tcPr>
            <w:tcW w:w="721" w:type="dxa"/>
          </w:tcPr>
          <w:p w14:paraId="4B964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F482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E5D13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3B470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C5439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61D8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4C9A5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DCB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CFF4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9C09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21BB0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B3F6C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902751" w14:textId="77777777" w:rsidTr="00ED5B0A">
        <w:tc>
          <w:tcPr>
            <w:tcW w:w="1809" w:type="dxa"/>
          </w:tcPr>
          <w:p w14:paraId="465EFB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Катастрофы</w:t>
            </w:r>
          </w:p>
        </w:tc>
        <w:tc>
          <w:tcPr>
            <w:tcW w:w="721" w:type="dxa"/>
          </w:tcPr>
          <w:p w14:paraId="44E6A5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721" w:type="dxa"/>
          </w:tcPr>
          <w:p w14:paraId="5F56AB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721" w:type="dxa"/>
          </w:tcPr>
          <w:p w14:paraId="1AF88E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21" w:type="dxa"/>
          </w:tcPr>
          <w:p w14:paraId="4C7C2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721" w:type="dxa"/>
          </w:tcPr>
          <w:p w14:paraId="53374E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0BBD9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02ADB1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C6E25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8AC0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A6B7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705C4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35A3A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C8B666" w14:textId="77777777" w:rsidTr="00ED5B0A">
        <w:tc>
          <w:tcPr>
            <w:tcW w:w="1809" w:type="dxa"/>
          </w:tcPr>
          <w:p w14:paraId="004126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Аварии</w:t>
            </w:r>
          </w:p>
        </w:tc>
        <w:tc>
          <w:tcPr>
            <w:tcW w:w="721" w:type="dxa"/>
          </w:tcPr>
          <w:p w14:paraId="5E790C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w:t>
            </w:r>
          </w:p>
        </w:tc>
        <w:tc>
          <w:tcPr>
            <w:tcW w:w="721" w:type="dxa"/>
          </w:tcPr>
          <w:p w14:paraId="64F318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721" w:type="dxa"/>
          </w:tcPr>
          <w:p w14:paraId="5CFDEF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721" w:type="dxa"/>
          </w:tcPr>
          <w:p w14:paraId="14D09E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721" w:type="dxa"/>
          </w:tcPr>
          <w:p w14:paraId="224A5C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721" w:type="dxa"/>
          </w:tcPr>
          <w:p w14:paraId="19D85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721" w:type="dxa"/>
          </w:tcPr>
          <w:p w14:paraId="1C1D7B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212B1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2278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B41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8037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6ED2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C7A756" w14:textId="77777777" w:rsidTr="00ED5B0A">
        <w:tc>
          <w:tcPr>
            <w:tcW w:w="1809" w:type="dxa"/>
          </w:tcPr>
          <w:p w14:paraId="360A4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н/б</w:t>
            </w:r>
          </w:p>
        </w:tc>
        <w:tc>
          <w:tcPr>
            <w:tcW w:w="721" w:type="dxa"/>
          </w:tcPr>
          <w:p w14:paraId="42F81C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tc>
        <w:tc>
          <w:tcPr>
            <w:tcW w:w="721" w:type="dxa"/>
          </w:tcPr>
          <w:p w14:paraId="436640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721" w:type="dxa"/>
          </w:tcPr>
          <w:p w14:paraId="44BA1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721" w:type="dxa"/>
          </w:tcPr>
          <w:p w14:paraId="31597D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721" w:type="dxa"/>
          </w:tcPr>
          <w:p w14:paraId="512146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tc>
        <w:tc>
          <w:tcPr>
            <w:tcW w:w="721" w:type="dxa"/>
          </w:tcPr>
          <w:p w14:paraId="0493F6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721" w:type="dxa"/>
          </w:tcPr>
          <w:p w14:paraId="3B5DF1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E00AE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B2CEC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70AA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E3945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624E0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41D4C1" w14:textId="77777777" w:rsidTr="00ED5B0A">
        <w:tc>
          <w:tcPr>
            <w:tcW w:w="1809" w:type="dxa"/>
          </w:tcPr>
          <w:p w14:paraId="596B8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Общие потери</w:t>
            </w:r>
          </w:p>
        </w:tc>
        <w:tc>
          <w:tcPr>
            <w:tcW w:w="721" w:type="dxa"/>
          </w:tcPr>
          <w:p w14:paraId="0C86F1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721" w:type="dxa"/>
          </w:tcPr>
          <w:p w14:paraId="2FDD7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238</w:t>
            </w:r>
          </w:p>
        </w:tc>
        <w:tc>
          <w:tcPr>
            <w:tcW w:w="721" w:type="dxa"/>
          </w:tcPr>
          <w:p w14:paraId="5D518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721" w:type="dxa"/>
          </w:tcPr>
          <w:p w14:paraId="1B5111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721" w:type="dxa"/>
          </w:tcPr>
          <w:p w14:paraId="101C0A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tc>
        <w:tc>
          <w:tcPr>
            <w:tcW w:w="721" w:type="dxa"/>
          </w:tcPr>
          <w:p w14:paraId="1EBA39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tc>
        <w:tc>
          <w:tcPr>
            <w:tcW w:w="721" w:type="dxa"/>
          </w:tcPr>
          <w:p w14:paraId="693A57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E426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487C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79009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BD1A3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47B10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7DF18A" w14:textId="77777777" w:rsidTr="00ED5B0A">
        <w:tc>
          <w:tcPr>
            <w:tcW w:w="1809" w:type="dxa"/>
          </w:tcPr>
          <w:p w14:paraId="588BE9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 вылетов и налет</w:t>
            </w:r>
          </w:p>
        </w:tc>
        <w:tc>
          <w:tcPr>
            <w:tcW w:w="721" w:type="dxa"/>
          </w:tcPr>
          <w:p w14:paraId="0A83D1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DFA91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B21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A75D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4F7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290EB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CAE61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8DB9B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BEABE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7AB29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C6964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2406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3D114D" w14:textId="77777777" w:rsidTr="00ED5B0A">
        <w:tc>
          <w:tcPr>
            <w:tcW w:w="1809" w:type="dxa"/>
          </w:tcPr>
          <w:p w14:paraId="79A7F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потери</w:t>
            </w:r>
          </w:p>
        </w:tc>
        <w:tc>
          <w:tcPr>
            <w:tcW w:w="721" w:type="dxa"/>
          </w:tcPr>
          <w:p w14:paraId="3AC46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B62D2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932E9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144BF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7936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63F9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F074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3A9AB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F17A5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9259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2289D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B2AB3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4176CC" w14:textId="77777777" w:rsidTr="00ED5B0A">
        <w:tc>
          <w:tcPr>
            <w:tcW w:w="1809" w:type="dxa"/>
          </w:tcPr>
          <w:p w14:paraId="71CD9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с/в</w:t>
            </w:r>
          </w:p>
        </w:tc>
        <w:tc>
          <w:tcPr>
            <w:tcW w:w="721" w:type="dxa"/>
          </w:tcPr>
          <w:p w14:paraId="77E879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721" w:type="dxa"/>
          </w:tcPr>
          <w:p w14:paraId="2C99BB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w:t>
            </w:r>
          </w:p>
        </w:tc>
        <w:tc>
          <w:tcPr>
            <w:tcW w:w="721" w:type="dxa"/>
          </w:tcPr>
          <w:p w14:paraId="20C3D7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38,6</w:t>
            </w:r>
          </w:p>
        </w:tc>
        <w:tc>
          <w:tcPr>
            <w:tcW w:w="721" w:type="dxa"/>
          </w:tcPr>
          <w:p w14:paraId="143F0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721" w:type="dxa"/>
          </w:tcPr>
          <w:p w14:paraId="50828A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274</w:t>
            </w:r>
          </w:p>
        </w:tc>
        <w:tc>
          <w:tcPr>
            <w:tcW w:w="721" w:type="dxa"/>
          </w:tcPr>
          <w:p w14:paraId="3B1B2E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609</w:t>
            </w:r>
          </w:p>
        </w:tc>
        <w:tc>
          <w:tcPr>
            <w:tcW w:w="721" w:type="dxa"/>
          </w:tcPr>
          <w:p w14:paraId="1CC86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FCBAC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3B4AC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547A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8C26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4414D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2FC85F" w14:textId="77777777" w:rsidTr="00ED5B0A">
        <w:tc>
          <w:tcPr>
            <w:tcW w:w="1809" w:type="dxa"/>
          </w:tcPr>
          <w:p w14:paraId="727748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721" w:type="dxa"/>
          </w:tcPr>
          <w:p w14:paraId="652BE3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721" w:type="dxa"/>
          </w:tcPr>
          <w:p w14:paraId="5FB5FB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721" w:type="dxa"/>
          </w:tcPr>
          <w:p w14:paraId="638211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721" w:type="dxa"/>
          </w:tcPr>
          <w:p w14:paraId="0FF08F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721" w:type="dxa"/>
          </w:tcPr>
          <w:p w14:paraId="1AC5BD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w:t>
            </w:r>
          </w:p>
        </w:tc>
        <w:tc>
          <w:tcPr>
            <w:tcW w:w="721" w:type="dxa"/>
          </w:tcPr>
          <w:p w14:paraId="2F0DC5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1105</w:t>
            </w:r>
          </w:p>
        </w:tc>
        <w:tc>
          <w:tcPr>
            <w:tcW w:w="721" w:type="dxa"/>
          </w:tcPr>
          <w:p w14:paraId="3E6702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D9CB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E6DD1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FE4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6B182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EA50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E00AE5" w14:textId="77777777" w:rsidTr="00ED5B0A">
        <w:tc>
          <w:tcPr>
            <w:tcW w:w="1809" w:type="dxa"/>
          </w:tcPr>
          <w:p w14:paraId="2E26E5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боевые потери</w:t>
            </w:r>
          </w:p>
        </w:tc>
        <w:tc>
          <w:tcPr>
            <w:tcW w:w="721" w:type="dxa"/>
          </w:tcPr>
          <w:p w14:paraId="25496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C0E7E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3110A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FCA9E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B3005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C4BC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F34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B00B3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0220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9D0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BB82D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3B132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B84840" w14:textId="77777777" w:rsidTr="00ED5B0A">
        <w:tc>
          <w:tcPr>
            <w:tcW w:w="1809" w:type="dxa"/>
          </w:tcPr>
          <w:p w14:paraId="310EE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Катастрофы</w:t>
            </w:r>
          </w:p>
        </w:tc>
        <w:tc>
          <w:tcPr>
            <w:tcW w:w="721" w:type="dxa"/>
          </w:tcPr>
          <w:p w14:paraId="239112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F8EF0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99CDF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23D8A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DE3E4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AC620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E7C9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02CF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9639D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DB0B9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FD754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2BED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8A6E73" w14:textId="77777777" w:rsidTr="00ED5B0A">
        <w:tc>
          <w:tcPr>
            <w:tcW w:w="1809" w:type="dxa"/>
          </w:tcPr>
          <w:p w14:paraId="21B8B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налет</w:t>
            </w:r>
          </w:p>
        </w:tc>
        <w:tc>
          <w:tcPr>
            <w:tcW w:w="721" w:type="dxa"/>
          </w:tcPr>
          <w:p w14:paraId="463CA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FC8BF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3786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97A4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87DD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05C2B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AEB3F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E64B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E477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BC28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E7610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2583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68C299C" w14:textId="77777777" w:rsidTr="00ED5B0A">
        <w:tc>
          <w:tcPr>
            <w:tcW w:w="1809" w:type="dxa"/>
          </w:tcPr>
          <w:p w14:paraId="55BBF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26846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437</w:t>
            </w:r>
          </w:p>
        </w:tc>
        <w:tc>
          <w:tcPr>
            <w:tcW w:w="721" w:type="dxa"/>
          </w:tcPr>
          <w:p w14:paraId="4077C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721" w:type="dxa"/>
          </w:tcPr>
          <w:p w14:paraId="4E5B45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1184</w:t>
            </w:r>
          </w:p>
        </w:tc>
        <w:tc>
          <w:tcPr>
            <w:tcW w:w="721" w:type="dxa"/>
          </w:tcPr>
          <w:p w14:paraId="1E7AD5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413</w:t>
            </w:r>
          </w:p>
        </w:tc>
        <w:tc>
          <w:tcPr>
            <w:tcW w:w="721" w:type="dxa"/>
          </w:tcPr>
          <w:p w14:paraId="6957A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977</w:t>
            </w:r>
          </w:p>
        </w:tc>
        <w:tc>
          <w:tcPr>
            <w:tcW w:w="721" w:type="dxa"/>
          </w:tcPr>
          <w:p w14:paraId="61EFD9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4629</w:t>
            </w:r>
          </w:p>
        </w:tc>
        <w:tc>
          <w:tcPr>
            <w:tcW w:w="721" w:type="dxa"/>
          </w:tcPr>
          <w:p w14:paraId="497A15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BA3EF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B17D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BD27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46CD8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EB2A5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B571D8" w14:textId="77777777" w:rsidTr="00ED5B0A">
        <w:tc>
          <w:tcPr>
            <w:tcW w:w="1809" w:type="dxa"/>
          </w:tcPr>
          <w:p w14:paraId="0A250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4A9BD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464</w:t>
            </w:r>
          </w:p>
        </w:tc>
        <w:tc>
          <w:tcPr>
            <w:tcW w:w="721" w:type="dxa"/>
          </w:tcPr>
          <w:p w14:paraId="572B0B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tc>
        <w:tc>
          <w:tcPr>
            <w:tcW w:w="721" w:type="dxa"/>
          </w:tcPr>
          <w:p w14:paraId="29558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1840</w:t>
            </w:r>
          </w:p>
        </w:tc>
        <w:tc>
          <w:tcPr>
            <w:tcW w:w="721" w:type="dxa"/>
          </w:tcPr>
          <w:p w14:paraId="506D9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738</w:t>
            </w:r>
          </w:p>
        </w:tc>
        <w:tc>
          <w:tcPr>
            <w:tcW w:w="721" w:type="dxa"/>
          </w:tcPr>
          <w:p w14:paraId="163BB2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tc>
        <w:tc>
          <w:tcPr>
            <w:tcW w:w="721" w:type="dxa"/>
          </w:tcPr>
          <w:p w14:paraId="0B4E68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4643</w:t>
            </w:r>
          </w:p>
        </w:tc>
        <w:tc>
          <w:tcPr>
            <w:tcW w:w="721" w:type="dxa"/>
          </w:tcPr>
          <w:p w14:paraId="5A0079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F54DC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5A431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705E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88138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06834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4B1848" w14:textId="77777777" w:rsidTr="00ED5B0A">
        <w:tc>
          <w:tcPr>
            <w:tcW w:w="1809" w:type="dxa"/>
          </w:tcPr>
          <w:p w14:paraId="13DD5D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Небоевой налет</w:t>
            </w:r>
          </w:p>
        </w:tc>
        <w:tc>
          <w:tcPr>
            <w:tcW w:w="721" w:type="dxa"/>
          </w:tcPr>
          <w:p w14:paraId="2E508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3B0A7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B268F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149E3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AA0C5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4BA2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59265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C4442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1B4AC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B45F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6296A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DFA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35E076" w14:textId="77777777" w:rsidTr="00ED5B0A">
        <w:tc>
          <w:tcPr>
            <w:tcW w:w="1809" w:type="dxa"/>
          </w:tcPr>
          <w:p w14:paraId="33EF5E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011C12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473</w:t>
            </w:r>
          </w:p>
        </w:tc>
        <w:tc>
          <w:tcPr>
            <w:tcW w:w="721" w:type="dxa"/>
          </w:tcPr>
          <w:p w14:paraId="2CF096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582</w:t>
            </w:r>
          </w:p>
        </w:tc>
        <w:tc>
          <w:tcPr>
            <w:tcW w:w="721" w:type="dxa"/>
          </w:tcPr>
          <w:p w14:paraId="24D2C7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w:t>
            </w:r>
          </w:p>
        </w:tc>
        <w:tc>
          <w:tcPr>
            <w:tcW w:w="721" w:type="dxa"/>
          </w:tcPr>
          <w:p w14:paraId="4543B5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284</w:t>
            </w:r>
          </w:p>
        </w:tc>
        <w:tc>
          <w:tcPr>
            <w:tcW w:w="721" w:type="dxa"/>
          </w:tcPr>
          <w:p w14:paraId="518914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766</w:t>
            </w:r>
          </w:p>
        </w:tc>
        <w:tc>
          <w:tcPr>
            <w:tcW w:w="721" w:type="dxa"/>
          </w:tcPr>
          <w:p w14:paraId="12E3B8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8004</w:t>
            </w:r>
          </w:p>
        </w:tc>
        <w:tc>
          <w:tcPr>
            <w:tcW w:w="721" w:type="dxa"/>
          </w:tcPr>
          <w:p w14:paraId="452A16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AAB9D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4D59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031C7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0C9BF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6B1A5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B734FF" w14:textId="77777777" w:rsidTr="00ED5B0A">
        <w:tc>
          <w:tcPr>
            <w:tcW w:w="1809" w:type="dxa"/>
          </w:tcPr>
          <w:p w14:paraId="45F102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4A076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tc>
        <w:tc>
          <w:tcPr>
            <w:tcW w:w="721" w:type="dxa"/>
          </w:tcPr>
          <w:p w14:paraId="19D23F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341</w:t>
            </w:r>
          </w:p>
        </w:tc>
        <w:tc>
          <w:tcPr>
            <w:tcW w:w="721" w:type="dxa"/>
          </w:tcPr>
          <w:p w14:paraId="31E785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w:t>
            </w:r>
          </w:p>
        </w:tc>
        <w:tc>
          <w:tcPr>
            <w:tcW w:w="721" w:type="dxa"/>
          </w:tcPr>
          <w:p w14:paraId="1A08B9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w:t>
            </w:r>
          </w:p>
        </w:tc>
        <w:tc>
          <w:tcPr>
            <w:tcW w:w="721" w:type="dxa"/>
          </w:tcPr>
          <w:p w14:paraId="5BB786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w:t>
            </w:r>
          </w:p>
        </w:tc>
        <w:tc>
          <w:tcPr>
            <w:tcW w:w="721" w:type="dxa"/>
          </w:tcPr>
          <w:p w14:paraId="2ABFC7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14085</w:t>
            </w:r>
          </w:p>
        </w:tc>
        <w:tc>
          <w:tcPr>
            <w:tcW w:w="721" w:type="dxa"/>
          </w:tcPr>
          <w:p w14:paraId="1A61DD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7781D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6182E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8CEE3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3EFB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D48E6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81ED6A" w14:textId="77777777" w:rsidTr="00ED5B0A">
        <w:tc>
          <w:tcPr>
            <w:tcW w:w="1809" w:type="dxa"/>
          </w:tcPr>
          <w:p w14:paraId="0F78D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 налет</w:t>
            </w:r>
          </w:p>
        </w:tc>
        <w:tc>
          <w:tcPr>
            <w:tcW w:w="721" w:type="dxa"/>
          </w:tcPr>
          <w:p w14:paraId="28D59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EA0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D3C9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93174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395137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BC920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DEDD3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57E285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838F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CC53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5F43E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6138F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31854B" w14:textId="77777777" w:rsidTr="00ED5B0A">
        <w:tc>
          <w:tcPr>
            <w:tcW w:w="1809" w:type="dxa"/>
          </w:tcPr>
          <w:p w14:paraId="2E7DF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w:t>
            </w:r>
          </w:p>
        </w:tc>
        <w:tc>
          <w:tcPr>
            <w:tcW w:w="721" w:type="dxa"/>
          </w:tcPr>
          <w:p w14:paraId="30C137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910</w:t>
            </w:r>
          </w:p>
        </w:tc>
        <w:tc>
          <w:tcPr>
            <w:tcW w:w="721" w:type="dxa"/>
          </w:tcPr>
          <w:p w14:paraId="7F7004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917</w:t>
            </w:r>
          </w:p>
        </w:tc>
        <w:tc>
          <w:tcPr>
            <w:tcW w:w="721" w:type="dxa"/>
          </w:tcPr>
          <w:p w14:paraId="076F8C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1396</w:t>
            </w:r>
          </w:p>
        </w:tc>
        <w:tc>
          <w:tcPr>
            <w:tcW w:w="721" w:type="dxa"/>
          </w:tcPr>
          <w:p w14:paraId="5D6A3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697</w:t>
            </w:r>
          </w:p>
        </w:tc>
        <w:tc>
          <w:tcPr>
            <w:tcW w:w="721" w:type="dxa"/>
          </w:tcPr>
          <w:p w14:paraId="4DD35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1743</w:t>
            </w:r>
          </w:p>
        </w:tc>
        <w:tc>
          <w:tcPr>
            <w:tcW w:w="721" w:type="dxa"/>
          </w:tcPr>
          <w:p w14:paraId="3F2D9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12633</w:t>
            </w:r>
          </w:p>
        </w:tc>
        <w:tc>
          <w:tcPr>
            <w:tcW w:w="721" w:type="dxa"/>
          </w:tcPr>
          <w:p w14:paraId="527884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4787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4CC41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AE8E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353E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759C88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946C36" w14:textId="77777777" w:rsidTr="00ED5B0A">
        <w:tc>
          <w:tcPr>
            <w:tcW w:w="1809" w:type="dxa"/>
          </w:tcPr>
          <w:p w14:paraId="33D33F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w:t>
            </w:r>
          </w:p>
        </w:tc>
        <w:tc>
          <w:tcPr>
            <w:tcW w:w="721" w:type="dxa"/>
          </w:tcPr>
          <w:p w14:paraId="4A426B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689</w:t>
            </w:r>
          </w:p>
        </w:tc>
        <w:tc>
          <w:tcPr>
            <w:tcW w:w="721" w:type="dxa"/>
          </w:tcPr>
          <w:p w14:paraId="7118F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796</w:t>
            </w:r>
          </w:p>
        </w:tc>
        <w:tc>
          <w:tcPr>
            <w:tcW w:w="721" w:type="dxa"/>
          </w:tcPr>
          <w:p w14:paraId="6660E6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1901</w:t>
            </w:r>
          </w:p>
        </w:tc>
        <w:tc>
          <w:tcPr>
            <w:tcW w:w="721" w:type="dxa"/>
          </w:tcPr>
          <w:p w14:paraId="2E8886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836</w:t>
            </w:r>
          </w:p>
        </w:tc>
        <w:tc>
          <w:tcPr>
            <w:tcW w:w="721" w:type="dxa"/>
          </w:tcPr>
          <w:p w14:paraId="46949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1904</w:t>
            </w:r>
          </w:p>
        </w:tc>
        <w:tc>
          <w:tcPr>
            <w:tcW w:w="721" w:type="dxa"/>
          </w:tcPr>
          <w:p w14:paraId="4E6913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8728 (1779,120)</w:t>
            </w:r>
          </w:p>
        </w:tc>
        <w:tc>
          <w:tcPr>
            <w:tcW w:w="721" w:type="dxa"/>
          </w:tcPr>
          <w:p w14:paraId="300DB8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197E89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267805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657650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70915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1" w:type="dxa"/>
          </w:tcPr>
          <w:p w14:paraId="0291CD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F0818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12D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вышло постановление ГКО N 3977 об увеличении выпуска У-2 на 387, 464 и 471 заводах (1736,4).</w:t>
      </w:r>
    </w:p>
    <w:p w14:paraId="5C2FC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BAB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вышло Постановление ГКО № 3977 Об увеличении выпуска самолетов У-2.РГАНИР, Фонд ГКО, д. 146, лл. 187 (11012).</w:t>
      </w:r>
    </w:p>
    <w:p w14:paraId="6DC929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4A03D" w14:textId="77777777" w:rsidR="002E7481" w:rsidRPr="00271E51" w:rsidRDefault="002E74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вышло Постановление ГКО № 3977 Об увеличении выпуска самолетов У-2</w:t>
      </w:r>
    </w:p>
    <w:p w14:paraId="38C41AB4" w14:textId="77777777" w:rsidR="002E7481" w:rsidRPr="00271E51" w:rsidRDefault="002E748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В целях увеличения выпуска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Государствен</w:t>
      </w:r>
      <w:r w:rsidRPr="00271E51">
        <w:rPr>
          <w:rFonts w:ascii="Times New Roman" w:cs="Times New Roman"/>
          <w:color w:val="000000" w:themeColor="text1"/>
          <w:spacing w:val="0"/>
          <w:sz w:val="16"/>
          <w:szCs w:val="16"/>
        </w:rPr>
        <w:softHyphen/>
        <w:t>ный Комитет Обороны постановляет:</w:t>
      </w:r>
    </w:p>
    <w:p w14:paraId="56413D5C" w14:textId="77777777" w:rsidR="002E7481" w:rsidRPr="00271E51" w:rsidRDefault="002E7481" w:rsidP="00271E51">
      <w:pPr>
        <w:pStyle w:val="36"/>
        <w:shd w:val="clear" w:color="auto" w:fill="auto"/>
        <w:tabs>
          <w:tab w:val="left" w:pos="96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1. Обяэать Наркомавиапром и директора завода № </w:t>
      </w:r>
      <w:r w:rsidRPr="00271E51">
        <w:rPr>
          <w:rStyle w:val="0pt"/>
          <w:rFonts w:ascii="Times New Roman" w:cs="Times New Roman"/>
          <w:color w:val="000000" w:themeColor="text1"/>
          <w:spacing w:val="0"/>
          <w:sz w:val="16"/>
          <w:szCs w:val="16"/>
        </w:rPr>
        <w:t xml:space="preserve">387 </w:t>
      </w:r>
      <w:r w:rsidRPr="00271E51">
        <w:rPr>
          <w:rFonts w:ascii="Times New Roman" w:cs="Times New Roman"/>
          <w:color w:val="000000" w:themeColor="text1"/>
          <w:spacing w:val="0"/>
          <w:sz w:val="16"/>
          <w:szCs w:val="16"/>
        </w:rPr>
        <w:t xml:space="preserve">т.Федина увеличить выпуск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до </w:t>
      </w:r>
      <w:r w:rsidRPr="00271E51">
        <w:rPr>
          <w:rStyle w:val="0pt"/>
          <w:rFonts w:ascii="Times New Roman" w:cs="Times New Roman"/>
          <w:color w:val="000000" w:themeColor="text1"/>
          <w:spacing w:val="0"/>
          <w:sz w:val="16"/>
          <w:szCs w:val="16"/>
        </w:rPr>
        <w:t>10</w:t>
      </w:r>
      <w:r w:rsidRPr="00271E51">
        <w:rPr>
          <w:rFonts w:ascii="Times New Roman" w:cs="Times New Roman"/>
          <w:color w:val="000000" w:themeColor="text1"/>
          <w:spacing w:val="0"/>
          <w:sz w:val="16"/>
          <w:szCs w:val="16"/>
        </w:rPr>
        <w:t xml:space="preserve"> самолетов в день в сентябре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w:t>
      </w:r>
    </w:p>
    <w:p w14:paraId="1FDBE7B0" w14:textId="77777777" w:rsidR="002E7481" w:rsidRPr="00271E51" w:rsidRDefault="002E7481" w:rsidP="00271E51">
      <w:pPr>
        <w:pStyle w:val="36"/>
        <w:shd w:val="clear" w:color="auto" w:fill="auto"/>
        <w:tabs>
          <w:tab w:val="left" w:pos="95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2. Обяэать Наркомавиапром и директора завода № </w:t>
      </w:r>
      <w:r w:rsidRPr="00271E51">
        <w:rPr>
          <w:rStyle w:val="0pt"/>
          <w:rFonts w:ascii="Times New Roman" w:cs="Times New Roman"/>
          <w:color w:val="000000" w:themeColor="text1"/>
          <w:spacing w:val="0"/>
          <w:sz w:val="16"/>
          <w:szCs w:val="16"/>
        </w:rPr>
        <w:t xml:space="preserve">471 </w:t>
      </w:r>
      <w:r w:rsidRPr="00271E51">
        <w:rPr>
          <w:rFonts w:ascii="Times New Roman" w:cs="Times New Roman"/>
          <w:color w:val="000000" w:themeColor="text1"/>
          <w:spacing w:val="0"/>
          <w:sz w:val="16"/>
          <w:szCs w:val="16"/>
        </w:rPr>
        <w:t>т.Мартынова прекратить производство самолетов Як-</w:t>
      </w:r>
      <w:r w:rsidR="004024D5" w:rsidRPr="00271E51">
        <w:rPr>
          <w:rFonts w:ascii="Times New Roman" w:cs="Times New Roman"/>
          <w:color w:val="000000" w:themeColor="text1"/>
          <w:spacing w:val="0"/>
          <w:sz w:val="16"/>
          <w:szCs w:val="16"/>
        </w:rPr>
        <w:t>6</w:t>
      </w:r>
      <w:r w:rsidRPr="00271E51">
        <w:rPr>
          <w:rFonts w:ascii="Times New Roman" w:cs="Times New Roman"/>
          <w:color w:val="000000" w:themeColor="text1"/>
          <w:spacing w:val="0"/>
          <w:sz w:val="16"/>
          <w:szCs w:val="16"/>
        </w:rPr>
        <w:t xml:space="preserve"> и переве</w:t>
      </w:r>
      <w:r w:rsidRPr="00271E51">
        <w:rPr>
          <w:rFonts w:ascii="Times New Roman" w:cs="Times New Roman"/>
          <w:color w:val="000000" w:themeColor="text1"/>
          <w:spacing w:val="0"/>
          <w:sz w:val="16"/>
          <w:szCs w:val="16"/>
        </w:rPr>
        <w:softHyphen/>
        <w:t xml:space="preserve">сти вавод на выпуск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обеспечив начало выпуска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в октябре и выпуск в декабре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 </w:t>
      </w:r>
      <w:r w:rsidRPr="00271E51">
        <w:rPr>
          <w:rStyle w:val="0pt"/>
          <w:rFonts w:ascii="Times New Roman" w:cs="Times New Roman"/>
          <w:color w:val="000000" w:themeColor="text1"/>
          <w:spacing w:val="0"/>
          <w:sz w:val="16"/>
          <w:szCs w:val="16"/>
        </w:rPr>
        <w:t>3-х</w:t>
      </w:r>
      <w:r w:rsidRPr="00271E51">
        <w:rPr>
          <w:rFonts w:ascii="Times New Roman" w:cs="Times New Roman"/>
          <w:color w:val="000000" w:themeColor="text1"/>
          <w:spacing w:val="0"/>
          <w:sz w:val="16"/>
          <w:szCs w:val="16"/>
        </w:rPr>
        <w:t xml:space="preserve"> са</w:t>
      </w:r>
      <w:r w:rsidRPr="00271E51">
        <w:rPr>
          <w:rFonts w:ascii="Times New Roman" w:cs="Times New Roman"/>
          <w:color w:val="000000" w:themeColor="text1"/>
          <w:spacing w:val="0"/>
          <w:sz w:val="16"/>
          <w:szCs w:val="16"/>
        </w:rPr>
        <w:softHyphen/>
        <w:t>молетов в день.</w:t>
      </w:r>
    </w:p>
    <w:p w14:paraId="525408AD" w14:textId="77777777" w:rsidR="002E7481" w:rsidRPr="00271E51" w:rsidRDefault="002E7481" w:rsidP="00271E51">
      <w:pPr>
        <w:pStyle w:val="36"/>
        <w:shd w:val="clear" w:color="auto" w:fill="auto"/>
        <w:tabs>
          <w:tab w:val="left" w:pos="96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3. Обяэать Наркомавиапром и директора вавода № </w:t>
      </w:r>
      <w:r w:rsidRPr="00271E51">
        <w:rPr>
          <w:rStyle w:val="0pt"/>
          <w:rFonts w:ascii="Times New Roman" w:cs="Times New Roman"/>
          <w:color w:val="000000" w:themeColor="text1"/>
          <w:spacing w:val="0"/>
          <w:sz w:val="16"/>
          <w:szCs w:val="16"/>
        </w:rPr>
        <w:t xml:space="preserve">464 </w:t>
      </w:r>
      <w:r w:rsidRPr="00271E51">
        <w:rPr>
          <w:rFonts w:ascii="Times New Roman" w:cs="Times New Roman"/>
          <w:color w:val="000000" w:themeColor="text1"/>
          <w:spacing w:val="0"/>
          <w:sz w:val="16"/>
          <w:szCs w:val="16"/>
        </w:rPr>
        <w:t>т.Перовского прекратить производство самолетов Як-6 и органи</w:t>
      </w:r>
      <w:r w:rsidRPr="00271E51">
        <w:rPr>
          <w:rFonts w:ascii="Times New Roman" w:cs="Times New Roman"/>
          <w:color w:val="000000" w:themeColor="text1"/>
          <w:spacing w:val="0"/>
          <w:sz w:val="16"/>
          <w:szCs w:val="16"/>
        </w:rPr>
        <w:softHyphen/>
        <w:t xml:space="preserve">зовать производство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обеспечив начало выпуска самолетов </w:t>
      </w:r>
      <w:r w:rsidRPr="00271E51">
        <w:rPr>
          <w:rStyle w:val="0pt"/>
          <w:rFonts w:ascii="Times New Roman" w:cs="Times New Roman"/>
          <w:color w:val="000000" w:themeColor="text1"/>
          <w:spacing w:val="0"/>
          <w:sz w:val="16"/>
          <w:szCs w:val="16"/>
        </w:rPr>
        <w:t>У-2</w:t>
      </w:r>
      <w:r w:rsidRPr="00271E51">
        <w:rPr>
          <w:rFonts w:ascii="Times New Roman" w:cs="Times New Roman"/>
          <w:color w:val="000000" w:themeColor="text1"/>
          <w:spacing w:val="0"/>
          <w:sz w:val="16"/>
          <w:szCs w:val="16"/>
        </w:rPr>
        <w:t xml:space="preserve"> в октябре и 3-х самолетов в день в декабре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w:t>
      </w:r>
    </w:p>
    <w:p w14:paraId="7CDDC875" w14:textId="77777777" w:rsidR="002E7481" w:rsidRPr="00271E51" w:rsidRDefault="002E74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Обявать Наркомфин СССР т.Зверева выделить Наркомавиа- прому из резервного фонда СНК СССР на постановку производства самолетов У-2 на эаводах №№ </w:t>
      </w:r>
      <w:r w:rsidRPr="00271E51">
        <w:rPr>
          <w:rStyle w:val="0pt"/>
          <w:rFonts w:ascii="Times New Roman" w:hAnsi="Times New Roman" w:cs="Times New Roman"/>
          <w:color w:val="000000" w:themeColor="text1"/>
          <w:spacing w:val="0"/>
          <w:sz w:val="16"/>
          <w:szCs w:val="16"/>
        </w:rPr>
        <w:t>471 и 464 -</w:t>
      </w:r>
      <w:r w:rsidRPr="00271E51">
        <w:rPr>
          <w:rFonts w:ascii="Times New Roman" w:hAnsi="Times New Roman"/>
          <w:color w:val="000000" w:themeColor="text1"/>
          <w:sz w:val="16"/>
          <w:szCs w:val="16"/>
        </w:rPr>
        <w:t xml:space="preserve"> 2 млн.рублей (19418).</w:t>
      </w:r>
    </w:p>
    <w:p w14:paraId="63603B1F" w14:textId="77777777" w:rsidR="002E7481" w:rsidRPr="00271E51" w:rsidRDefault="002E74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8EF9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Постановлением ГКО № 3977с и приказом НКАП № 516с от 27 августа завод № 464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209CAA8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3546F74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7E8835E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4A88CF1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7D7D55A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4C4CFA7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ст. Долгопрудная Московской области, п/я 1078</w:t>
      </w:r>
    </w:p>
    <w:p w14:paraId="40322DB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6010373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9243218"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CA2A4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7F3E8E" w14:textId="77777777" w:rsidR="006F1C24" w:rsidRPr="00271E51" w:rsidRDefault="006F1C24"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техотдел НКБ в информацион</w:t>
      </w:r>
      <w:r w:rsidRPr="00271E51">
        <w:rPr>
          <w:rFonts w:ascii="Times New Roman" w:hAnsi="Times New Roman"/>
          <w:color w:val="000000" w:themeColor="text1"/>
          <w:sz w:val="16"/>
          <w:szCs w:val="16"/>
        </w:rPr>
        <w:softHyphen/>
        <w:t>ном бюллетене сообщил, что НИР по усилению порохово</w:t>
      </w:r>
      <w:r w:rsidRPr="00271E51">
        <w:rPr>
          <w:rFonts w:ascii="Times New Roman" w:hAnsi="Times New Roman"/>
          <w:color w:val="000000" w:themeColor="text1"/>
          <w:sz w:val="16"/>
          <w:szCs w:val="16"/>
        </w:rPr>
        <w:softHyphen/>
        <w:t>го заряда в штатной гильзе 85-мм зенитной пушки завер</w:t>
      </w:r>
      <w:r w:rsidRPr="00271E51">
        <w:rPr>
          <w:rFonts w:ascii="Times New Roman" w:hAnsi="Times New Roman"/>
          <w:color w:val="000000" w:themeColor="text1"/>
          <w:sz w:val="16"/>
          <w:szCs w:val="16"/>
        </w:rPr>
        <w:softHyphen/>
        <w:t>шен с положительным результатом, что позволит улучшить бронепробиваемость 85-мм зенитной пушки обр. 1939 г., а также 85-мм самоходной пушки Д-5С в среднем на 7-11 мм при прочих равных условиях (11135).</w:t>
      </w:r>
    </w:p>
    <w:p w14:paraId="0A8FD31D" w14:textId="77777777" w:rsidR="006F1C24" w:rsidRPr="00271E51" w:rsidRDefault="006F1C24"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2A7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1945 танки Т-43-П вошли в состав «особой танковой роты № 100» и были отправлены на фронт. Эта рота была очень интересна, чтобы не остановиться на ней немного. 25 сентября 1943 г. Нарком танковой про</w:t>
      </w:r>
      <w:r w:rsidRPr="00271E51">
        <w:rPr>
          <w:rFonts w:ascii="Times New Roman" w:hAnsi="Times New Roman"/>
          <w:color w:val="000000" w:themeColor="text1"/>
          <w:sz w:val="16"/>
          <w:szCs w:val="16"/>
        </w:rPr>
        <w:softHyphen/>
        <w:t>мышленности В. Малышев проводил заседание, посвя</w:t>
      </w:r>
      <w:r w:rsidRPr="00271E51">
        <w:rPr>
          <w:rFonts w:ascii="Times New Roman" w:hAnsi="Times New Roman"/>
          <w:color w:val="000000" w:themeColor="text1"/>
          <w:sz w:val="16"/>
          <w:szCs w:val="16"/>
        </w:rPr>
        <w:softHyphen/>
        <w:t>щенное рассмотрению положения дел с новой боевой тех</w:t>
      </w:r>
      <w:r w:rsidRPr="00271E51">
        <w:rPr>
          <w:rFonts w:ascii="Times New Roman" w:hAnsi="Times New Roman"/>
          <w:color w:val="000000" w:themeColor="text1"/>
          <w:sz w:val="16"/>
          <w:szCs w:val="16"/>
        </w:rPr>
        <w:softHyphen/>
        <w:t>никой. Второй вопрос был посвящен как раз деятельности «Особой танковой роты 100»:</w:t>
      </w:r>
    </w:p>
    <w:p w14:paraId="5CEE60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Слушали: Доклад командира ос. Танк, роты «100» тов. Волосатова Г. П. о результатах боевого применения танков роты в боях 21 августа — 5 сентября с.г.</w:t>
      </w:r>
    </w:p>
    <w:p w14:paraId="3FF722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роты:</w:t>
      </w:r>
    </w:p>
    <w:p w14:paraId="06FBF2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Командирская машина: Танк Т-34 с увелич. башней на погоне 1600мм и р/ст 9-РСв башне и РСБ-Ф в корпусе с двиг. Бриггс-Страттон и доп. щелочн. аккумулят.</w:t>
      </w:r>
    </w:p>
    <w:p w14:paraId="0A880E1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взвод: Танки Т-34 с увеличенной башней на погоне 1600мм и командирской башенкой — 2 шт.</w:t>
      </w:r>
    </w:p>
    <w:p w14:paraId="209211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взвод: Танки-истребители Т-34/57, вооруж. 57-мм танко</w:t>
      </w:r>
      <w:r w:rsidRPr="00271E51">
        <w:rPr>
          <w:rFonts w:ascii="Times New Roman" w:hAnsi="Times New Roman"/>
          <w:color w:val="000000" w:themeColor="text1"/>
          <w:sz w:val="16"/>
          <w:szCs w:val="16"/>
        </w:rPr>
        <w:softHyphen/>
        <w:t>вой пушкой обр 1941/43 г.—З шт.</w:t>
      </w:r>
    </w:p>
    <w:p w14:paraId="1EBFDAD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взвод: Танки Т-43 с башней на увелич. и норм погоне — 3 шт. 4взвод:Танки Т-34 завода 112 с огнеметн. установкой — 2шт.» Согласно докладу командира рота была отправлена на фронт 19 августа, а вернулась в распоряжение НКТП 5 сен</w:t>
      </w:r>
      <w:r w:rsidRPr="00271E51">
        <w:rPr>
          <w:rFonts w:ascii="Times New Roman" w:hAnsi="Times New Roman"/>
          <w:color w:val="000000" w:themeColor="text1"/>
          <w:sz w:val="16"/>
          <w:szCs w:val="16"/>
        </w:rPr>
        <w:softHyphen/>
        <w:t>тября. На фронте рота активностью не отличалась и нахо</w:t>
      </w:r>
      <w:r w:rsidRPr="00271E51">
        <w:rPr>
          <w:rFonts w:ascii="Times New Roman" w:hAnsi="Times New Roman"/>
          <w:color w:val="000000" w:themeColor="text1"/>
          <w:sz w:val="16"/>
          <w:szCs w:val="16"/>
        </w:rPr>
        <w:softHyphen/>
        <w:t>дилась большей частью в резерве Центрального фронта. Но, несмотря на тесную опеку, роте все-таки довелось участвовать в нескольких боевых столкновениях с немец</w:t>
      </w:r>
      <w:r w:rsidRPr="00271E51">
        <w:rPr>
          <w:rFonts w:ascii="Times New Roman" w:hAnsi="Times New Roman"/>
          <w:color w:val="000000" w:themeColor="text1"/>
          <w:sz w:val="16"/>
          <w:szCs w:val="16"/>
        </w:rPr>
        <w:softHyphen/>
        <w:t>кими войсками. Так, экипаж Т-43 младшего лейтенанта Мажорова был награжден орденами и медалями (они унич</w:t>
      </w:r>
      <w:r w:rsidRPr="00271E51">
        <w:rPr>
          <w:rFonts w:ascii="Times New Roman" w:hAnsi="Times New Roman"/>
          <w:color w:val="000000" w:themeColor="text1"/>
          <w:sz w:val="16"/>
          <w:szCs w:val="16"/>
        </w:rPr>
        <w:softHyphen/>
        <w:t>тожили три немецких противотанковых орудия и 2 БТР или БА). От ответного огня немецких войск почти все тан</w:t>
      </w:r>
      <w:r w:rsidRPr="00271E51">
        <w:rPr>
          <w:rFonts w:ascii="Times New Roman" w:hAnsi="Times New Roman"/>
          <w:color w:val="000000" w:themeColor="text1"/>
          <w:sz w:val="16"/>
          <w:szCs w:val="16"/>
        </w:rPr>
        <w:softHyphen/>
        <w:t>ки роты получили от 1 до 11 (!) попаданий, но броня их кор</w:t>
      </w:r>
      <w:r w:rsidRPr="00271E51">
        <w:rPr>
          <w:rFonts w:ascii="Times New Roman" w:hAnsi="Times New Roman"/>
          <w:color w:val="000000" w:themeColor="text1"/>
          <w:sz w:val="16"/>
          <w:szCs w:val="16"/>
        </w:rPr>
        <w:softHyphen/>
        <w:t>пусов пробита не была. По возвращении роты ее командир, капитан Волосатое, дал танкам Т-43, танкам-истребителям Т-34/57 и командирскому танку самый благожелательный отзыв, отметив лишь вооружение танков Т-43 76-мм пуш</w:t>
      </w:r>
      <w:r w:rsidRPr="00271E51">
        <w:rPr>
          <w:rFonts w:ascii="Times New Roman" w:hAnsi="Times New Roman"/>
          <w:color w:val="000000" w:themeColor="text1"/>
          <w:sz w:val="16"/>
          <w:szCs w:val="16"/>
        </w:rPr>
        <w:softHyphen/>
        <w:t>кой недостаточным (11135).</w:t>
      </w:r>
    </w:p>
    <w:p w14:paraId="413AB5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6341AA"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По состоянию на 25 августа 1943 года на заводе №38 имелось 58 СУ-76М с дефектами коробок передач. На сей раз проблема заключалась не в компоновочной схеме, а качестве коробок передач, поступавших из Миасса и с московского ЗИС. Подобные дефекты КПП встречались и на Т-70. Коробки с дефектами требовалось срочно заменить. Имелись и проблемы с качеством двигателей, выявленные, к примеру, при гарантийном испытании СУ-76М завода №40 сентябрьского выпуска.</w:t>
      </w:r>
    </w:p>
    <w:p w14:paraId="6EDAB913"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Дефекты коробок передач составляли 37,6% от общего объёма брака за 1943 год, дефекты электрооборудования — 19%, двигателей — 11,8% и главной передачи — 10%. Но даже с этими дефектами машина была надёжнее, чем СУ-12.</w:t>
      </w:r>
    </w:p>
    <w:p w14:paraId="57FAEF15"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 заводе №40 к выпуску СУ-76М приступили в третьей декаде сентября 1943 года. Задержка оказалась связана с тем, что предприятие осваивало производство отдельных узлов и деталей. Несмотря на это, к 1 октябрю завод смог сдать положенные 15 машин. Завод №38 при плане в 75 машин сдал 78 штук. Перевыполнили в Кирове и октябрьский план, сдав 102 СУ-76М вместо 100. Ударно поработали и на ГАЗ им. Молотова, сдав 16 машин вместо 15 положенных.</w:t>
      </w:r>
    </w:p>
    <w:p w14:paraId="50B2E918"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Завод №40 в октябре сдал положенные 50 машин, а вот в ноябре вместо 100 СУ-76М сдал лишь 75. В декабре удалось сдать только 70 машин. Причиной тому стало отсутствие задела, а также большое количество бракованных деталей и узлов.</w:t>
      </w:r>
    </w:p>
    <w:p w14:paraId="7AA53035"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Проблемы с поставками комплектующих (особенно двигателей ГАЗ-203) имелись и на других заводах. Тем не менее и в Горьком, и в Кирове план стабильно перевыполнялся. За ноябрь ГАЗ и завод №38 сдали 225 и 126 машин соответственно, а в декабре — 360 и 136. Благодаря этому недобор, возникший у завода №40, удалось восполнить.</w:t>
      </w:r>
    </w:p>
    <w:p w14:paraId="2E375013" w14:textId="77777777" w:rsidR="006F1C24" w:rsidRPr="00271E51" w:rsidRDefault="006F1C24"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Имели место и проблемы организационного характера. Дело в том, что из трёх заводов, выпускавших СУ-76М, один относился к НКТП (завод №38), а два — завод №40 и ГАЗ — к Народному комиссариату среднего машиностроения (НКСМ). Взаимодействие между ними было осложнено некоторыми проблемами, связанными с технической документацией и взаимозаменяемостью узлов и агрегатов. Головным предприятием по производству СУ-76М являлся завод №38, но фактически каждый завод вносил изменения в конструкцию САУ по-своему. Чтобы решить эту проблему, 10 ноября 1943 года руководство ГБТУ КА написало письмо Берии с предложением перевести завод №8 в ведение НКСМ. Но этого не случилось (17728).</w:t>
      </w:r>
    </w:p>
    <w:p w14:paraId="1B07B542" w14:textId="77777777" w:rsidR="006F1C24" w:rsidRPr="00271E51" w:rsidRDefault="006F1C24" w:rsidP="00271E51">
      <w:pPr>
        <w:spacing w:after="0" w:line="240" w:lineRule="auto"/>
        <w:jc w:val="both"/>
        <w:rPr>
          <w:rFonts w:ascii="Times New Roman" w:hAnsi="Times New Roman"/>
          <w:color w:val="000000" w:themeColor="text1"/>
          <w:sz w:val="16"/>
          <w:szCs w:val="16"/>
        </w:rPr>
      </w:pPr>
    </w:p>
    <w:p w14:paraId="11C15BF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1F245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A14D1"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в 1943 году оперативная сводка Совинформбюро:</w:t>
      </w:r>
    </w:p>
    <w:p w14:paraId="2EAD4F66"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августа наши войска продолжали развивать наступление в районе северо-западнее Харькова и заняли более 60 населённых пунктов, в том числе город Зеньков. Город Ахтырка, несколько раз переходивший из рук в руки, после ожесточённых боёв вновь занят нашими войсками.</w:t>
      </w:r>
    </w:p>
    <w:p w14:paraId="49CBBBBE"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районах южнее Изюма и юго-западнее Ворошиловграда, наши войска, преодолевая упорное сопротивление противника, продолжали вести наступательные бои и вновь заняли несколько населённых пунктов, значительно улучшив свои позиции.</w:t>
      </w:r>
    </w:p>
    <w:p w14:paraId="27EE5100"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августа наши войска на всех фронтах подбили и уничтожили 104 немецких танка. В воздушных боях и огнём зенитной артиллерии сбито 98 самолётов противника.</w:t>
      </w:r>
    </w:p>
    <w:p w14:paraId="7CA632D4"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Харькова наши войска успешно развивали наступление и заняли свыше 60 населённых пунктов, в том числе город Зеньков. В боях за эти пункты уничтожено более 1.000 немецких солдат и офицеров, сожжено и подбито 17 вражеских танков.</w:t>
      </w:r>
    </w:p>
    <w:p w14:paraId="0EF8FA50"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бойцы Н-ского соединения с боями продвигались вперёд и уничтожили 31 танк, 4 бронемашины и 15 самоходных орудий противника. Захвачено 18 орудий разного калибра, склад боеприпасов и много стрелкового вооружения.</w:t>
      </w:r>
    </w:p>
    <w:p w14:paraId="00A775F4"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противник, прикрываясь минными полями, оказывает упорное сопротивление и часто переходит в контратаки. Отбивая контратаки гитлеровцев, наши войска продвинулись вперёд и заняли выгодные позиции. В боях за день уничтожено 800 немецких солдат и офицеров, 5 танков и несколько самоходных орудий. Захвачены трофеи и пленные.</w:t>
      </w:r>
    </w:p>
    <w:p w14:paraId="3364CF88"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вели наступательные бои. Противник подтянул крупные силы танков и на рассвете контратаковал наши части. Решительным ударом советские бойцы отбросили немцев и, продвигаясь вперёд, заняли несколько населённых пунктов. Уничтожено до 1.000 вражеских солдат и офицеров, подбито и сожжено 23 немецких танка, 16 разных орудий и уничтожено 130 пулемётов. Взято более 100 пленных. На другом участке наши части, развивая наступление, овладели рядом узлов сопротивления противника, в том числе крупной железнодорожной станцией. Противник понёс тяжёлые потери в живой силе и технике.</w:t>
      </w:r>
    </w:p>
    <w:p w14:paraId="3D7A6F98"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войска сломили ожесточённое сопротивление противника и овладели рядом крупных узлов сопротивления немцев. Особенно упорные бои происходили за один населённый пункт. Бойцы Н-ского соединения отбили до сорока контратак противника, ворвались в населённый пункт и в результате уличных боёв овладели им. Уничтожено 900 немецких солдат и офицеров, 18 танков, 3 бронемашины, 4 самоходных и 12 полевых орудий. Захвачены у противника 3 танка, 19 орудий и много других трофеев. При взятии другого опорного пункта, расположенного на высоте, советские бойцы истребили 600 гитлеровцев, захватили танк, 10 орудий, 300 велосипедов, много боеприпасов и различного военного имущества.</w:t>
      </w:r>
    </w:p>
    <w:p w14:paraId="1D1801BC"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31 немецкий самолёт.</w:t>
      </w:r>
    </w:p>
    <w:p w14:paraId="3D074D7B"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активно действовали наши усиленные разведывательные группы. На одном участке подразделения Н-ской части ворвались в траншеи противника и в рукопашной схватке уничтожили роту гитлеровцев. Пытаясь вернуть потерянные позиции, гитлеровцы бросились в контратаку, но попали под перекрёстный пулемётный огонь. Потеряв только убитыми 200 солдат и офицеров, немцы в беспорядке отступили.</w:t>
      </w:r>
    </w:p>
    <w:p w14:paraId="5C344CC3"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22 самолёта противника.</w:t>
      </w:r>
    </w:p>
    <w:p w14:paraId="5D71AFF4"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истребили 140 гитлеровцев. Сержант Иванов и красноармеец Рахинов в течение дня выследили и убили 7 немцев. Сержант Кожевников уничтожил двух вражеских снайперов. Советские артиллеристы и миномётчики разрушили 26 дзотов, 19 блиндажей и 7 наблюдательных пунктов противника.</w:t>
      </w:r>
    </w:p>
    <w:p w14:paraId="6D77F8AF"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Баренцевом море потоплен корабль охранения и повреждён транспорт противника.</w:t>
      </w:r>
    </w:p>
    <w:p w14:paraId="2E8C31A2"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Витебской области, в августе пустил под откос 5 немецких воинских эшелонов. Уничтожены 70 вагонов с боеприпасами и 4 платформы с орудиями. Партизаны этого же отряда проникли на железнодорожную станцию и взорвали три цистерны с горючим.</w:t>
      </w:r>
    </w:p>
    <w:p w14:paraId="5358E898"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чудовищном злодеянии немецко-фашистских людоедов в селе Стрелечье, Харьковской области: «В начале ноября 1941 года немцы заняли село Стрелечье. В первые же дни они разграбили продовольственные запасы Стрельченской психиатрической больницы и обрекли больных на голодную смерть. 21 ноября в больницу прибыл отряд гитлеровцев. Немецкие автоматчики выводили больных группами по 10 человек к траншеям и там расстреливали их. Тех больных, которые не могли сами передвигаться, немцы приволакивали насильно, бросали их в ямы и убивали. Два дня продолжалось кровавое злодеяние фашистских палачей над беспомощными, больными людьми. Всего гитлеровские мерзавцы убили 435 человек, из них 180 мужчин и 255 женщин. Фашистские убийцы разгромили больницу, вывезли 1.500 одеял, 3 тысячи простынь, 4 тысячи пар белья, 500 кроватей и много другого имущества». Акт подписали: главный врач больницы М.Головко, санитарки М.Шевченко, Л.Цимбул, Н. Байдукова, Е.Сарага, фельдшерицы А.Кузьменко, А.Краснова, медицинская сестра В.Калмыкова.» (14993).</w:t>
      </w:r>
    </w:p>
    <w:p w14:paraId="14DFF9C5" w14:textId="77777777" w:rsidR="00816302" w:rsidRPr="00271E51" w:rsidRDefault="00816302" w:rsidP="00271E51">
      <w:pPr>
        <w:spacing w:after="0" w:line="240" w:lineRule="auto"/>
        <w:jc w:val="both"/>
        <w:rPr>
          <w:rFonts w:ascii="Times New Roman" w:hAnsi="Times New Roman"/>
          <w:color w:val="000000" w:themeColor="text1"/>
          <w:sz w:val="16"/>
          <w:szCs w:val="16"/>
        </w:rPr>
      </w:pPr>
    </w:p>
    <w:p w14:paraId="6F7DB947" w14:textId="77777777" w:rsidR="00231E78" w:rsidRPr="00271E51" w:rsidRDefault="00231E78" w:rsidP="00271E51">
      <w:pPr>
        <w:pStyle w:val="book"/>
        <w:ind w:firstLine="0"/>
        <w:jc w:val="both"/>
        <w:rPr>
          <w:color w:val="000000" w:themeColor="text1"/>
          <w:sz w:val="16"/>
          <w:szCs w:val="16"/>
        </w:rPr>
      </w:pPr>
      <w:r w:rsidRPr="00271E51">
        <w:rPr>
          <w:color w:val="000000" w:themeColor="text1"/>
          <w:sz w:val="16"/>
          <w:szCs w:val="16"/>
        </w:rPr>
        <w:t>25 августа 1943 г. при атаке немецкой авиацией Орловского аэродрома одна из бомб АО-10 разорвалась на бруствере щели-убежища в 0.3 - 0.4 от её края. Щель была отрыта в чернозёмном грунте не имела одежды стенок и противоосколочного перекрытия. В результате взрыва бомбы в бруствере образовалась воронка диаметром 0.7 м и глубиной 0.3 м; стенка щели со стороны взрыва осыпалась на участке, равном 1.2 м. Характер разрушения щели показывает, что если бы в ней находились люди, поражение их было бы неизбежно.</w:t>
      </w:r>
    </w:p>
    <w:p w14:paraId="4539DA45" w14:textId="77777777" w:rsidR="00231E78" w:rsidRPr="00271E51" w:rsidRDefault="00231E78" w:rsidP="00271E51">
      <w:pPr>
        <w:pStyle w:val="book"/>
        <w:ind w:firstLine="0"/>
        <w:jc w:val="both"/>
        <w:rPr>
          <w:color w:val="000000" w:themeColor="text1"/>
          <w:sz w:val="16"/>
          <w:szCs w:val="16"/>
        </w:rPr>
      </w:pPr>
      <w:r w:rsidRPr="00271E51">
        <w:rPr>
          <w:color w:val="000000" w:themeColor="text1"/>
          <w:sz w:val="16"/>
          <w:szCs w:val="16"/>
        </w:rPr>
        <w:t>В другом случае осколочная 10-кг немецкая бомба попала в противоосколочное убежище-землянку, рассчитанное на укрытие 4-5 человек. Перекрытие землянки состояло из 20-мм досок и насыпного слоя земли толщиной 20-30 см; стенки имели обшивку из таких же досок. Бомба пробила перекрытие и взорвалась в момент удара, о пол из дощатого настила. Большинство осколков бомбы пробило одежду стенок из досок и лишь незначительная часть, проникнув в них на глубину в 1.5 см, застряла в досках. Полного разрушения землянки бомба не вызвала (18737).</w:t>
      </w:r>
    </w:p>
    <w:p w14:paraId="57775E1C" w14:textId="77777777" w:rsidR="00231E78" w:rsidRPr="00271E51" w:rsidRDefault="00231E78" w:rsidP="00271E51">
      <w:pPr>
        <w:pStyle w:val="book"/>
        <w:ind w:firstLine="0"/>
        <w:jc w:val="both"/>
        <w:rPr>
          <w:color w:val="000000" w:themeColor="text1"/>
          <w:sz w:val="16"/>
          <w:szCs w:val="16"/>
        </w:rPr>
      </w:pPr>
    </w:p>
    <w:p w14:paraId="1962383C" w14:textId="77777777" w:rsidR="00231E78" w:rsidRPr="00271E51" w:rsidRDefault="00231E78" w:rsidP="00271E51">
      <w:pPr>
        <w:pStyle w:val="book"/>
        <w:ind w:firstLine="0"/>
        <w:jc w:val="both"/>
        <w:rPr>
          <w:color w:val="000000" w:themeColor="text1"/>
          <w:sz w:val="16"/>
          <w:szCs w:val="16"/>
        </w:rPr>
      </w:pPr>
      <w:r w:rsidRPr="00271E51">
        <w:rPr>
          <w:color w:val="000000" w:themeColor="text1"/>
          <w:sz w:val="16"/>
          <w:szCs w:val="16"/>
        </w:rPr>
        <w:t>25 августа 1943 г. при атаке Орловского аэродрома 50-килограммовая бомба SC-50 взорвалась на расстоянии 2 м от щели убежища, имевшей противоосколочное перекрытие из 10-см жердей и насыпного слоя земли толщиной от 30 до 50 см. В результате взрыва ближайшая стенка щели осыпалась, а накат перекрытия спустился в месте осыпи на 0.5 м. Другая бомба SC-50 взорвалась в 3 м от щели убежища, отрытой в лёгком грунте и не имевшей одежды стенок и перекрытия. В результате действия взрывной волны стенка щели со стороны взрыва осыпалась на участке 0.6 - 0.7 м (18737).</w:t>
      </w:r>
    </w:p>
    <w:p w14:paraId="68140407" w14:textId="77777777" w:rsidR="00231E78" w:rsidRPr="00271E51" w:rsidRDefault="00231E78" w:rsidP="00271E51">
      <w:pPr>
        <w:pStyle w:val="book"/>
        <w:ind w:firstLine="0"/>
        <w:jc w:val="both"/>
        <w:rPr>
          <w:color w:val="000000" w:themeColor="text1"/>
          <w:sz w:val="16"/>
          <w:szCs w:val="16"/>
        </w:rPr>
      </w:pPr>
    </w:p>
    <w:p w14:paraId="62EB5D27"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августа в 1943 году началась битва за Днепр войск Центрального, Воронежского, Степного, Юго-Западного и Южного фронтов, продолжавшаяся до 22 декабря. Включала Черниговско-Припятскую, Гомельско-Речицкую, Донбасскую, Днепровскую воздушно-десантную, Киевские наступательную и оборонительную, </w:t>
      </w:r>
      <w:r w:rsidRPr="00271E51">
        <w:rPr>
          <w:rFonts w:ascii="Times New Roman" w:hAnsi="Times New Roman"/>
          <w:color w:val="000000" w:themeColor="text1"/>
          <w:sz w:val="16"/>
          <w:szCs w:val="16"/>
        </w:rPr>
        <w:lastRenderedPageBreak/>
        <w:t>Мелитопольскую и Запорожскую операции. Началась Черниговско-Припятская наступательная операция войск Центрального фронта (генерал армии К.К.Рокоссовский), продолжашаяся до 30 сентября (14993).</w:t>
      </w:r>
    </w:p>
    <w:p w14:paraId="7A618E7C" w14:textId="77777777" w:rsidR="00816302" w:rsidRPr="00271E51" w:rsidRDefault="00816302" w:rsidP="00271E51">
      <w:pPr>
        <w:spacing w:after="0" w:line="240" w:lineRule="auto"/>
        <w:jc w:val="both"/>
        <w:rPr>
          <w:rFonts w:ascii="Times New Roman" w:hAnsi="Times New Roman"/>
          <w:color w:val="000000" w:themeColor="text1"/>
          <w:sz w:val="16"/>
          <w:szCs w:val="16"/>
        </w:rPr>
      </w:pPr>
    </w:p>
    <w:p w14:paraId="0BA42B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войска ЦФ начали наступление против германских войск группы Юг (3186).</w:t>
      </w:r>
    </w:p>
    <w:p w14:paraId="343027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B67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Зам ВГК Г.К.Ж. приказал: "В период затишья на земле и в воздухе авиацию сберегать, без нужды моторесурс не расходовать. Наибольшее напряжение от авиации требовать только в период наступательных операций." (518,121).</w:t>
      </w:r>
    </w:p>
    <w:p w14:paraId="6B8F19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0E1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1A882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9D0878" w14:textId="77777777" w:rsidR="00816302" w:rsidRPr="00271E51" w:rsidRDefault="0081630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августа в 1943 году </w:t>
      </w:r>
      <w:hyperlink r:id="rId75" w:tgtFrame="_blank" w:history="1">
        <w:r w:rsidRPr="00271E51">
          <w:rPr>
            <w:rFonts w:ascii="Times New Roman" w:hAnsi="Times New Roman"/>
            <w:color w:val="000000" w:themeColor="text1"/>
            <w:sz w:val="16"/>
            <w:szCs w:val="16"/>
          </w:rPr>
          <w:t xml:space="preserve">«Do.217e-5» </w:t>
        </w:r>
      </w:hyperlink>
      <w:r w:rsidRPr="00271E51">
        <w:rPr>
          <w:rFonts w:ascii="Times New Roman" w:hAnsi="Times New Roman"/>
          <w:color w:val="000000" w:themeColor="text1"/>
          <w:sz w:val="16"/>
          <w:szCs w:val="16"/>
        </w:rPr>
        <w:t>из - II/КG.100 совершил первый боевой пуск немецкой ракеты «Нs-293А» по эсминцам союзников в Бискайском заливе. Небольшое число последних выпущенных самолетов «Do.217e» было приспособлено под носители радиоуправляемых противокорабельных ракет «Hs-293A» и получили обозначение «Do.217e-5». Они имели под консолями держатели ЕТС-2000/ХII, передатчик системы наведения ракеты "Телефункен" «FuG-203b» "Киль-III", работавший на приемник ракеты "Страсбург" «FuG-230b», и "кнюпель" - ручку управления, с помощью которой бомбардир выводил ракету на линию визирования. В крыльях было установлено оборудование для обогрева горячим воздухом ракеты, требовавшей постоянной температуры. Несколько «Do.217e-5» использовались в учебно-испытательной команде "36" в Гарце на побережье Балтийского моря. Эта часть имела задачу довести до боевого применения «НS-293» и «FХ-1400» и подготовить персонал для их использования. II/KG-100 - специальное подразделение "Люфтваффе", созданное в апреле 1943 года. Это подразделение действовало в Бискайском заливе и в Северной Атлантике на коммуникациях союзников. «Do-217E-5» потопили огромное число судов, хотя и не составили серьезной угрозы конвоям (14993).</w:t>
      </w:r>
    </w:p>
    <w:p w14:paraId="5B5A944C" w14:textId="77777777" w:rsidR="00816302" w:rsidRPr="00271E51" w:rsidRDefault="00816302" w:rsidP="00271E51">
      <w:pPr>
        <w:spacing w:after="0" w:line="240" w:lineRule="auto"/>
        <w:jc w:val="both"/>
        <w:rPr>
          <w:rFonts w:ascii="Times New Roman" w:hAnsi="Times New Roman"/>
          <w:color w:val="000000" w:themeColor="text1"/>
          <w:sz w:val="16"/>
          <w:szCs w:val="16"/>
        </w:rPr>
      </w:pPr>
    </w:p>
    <w:p w14:paraId="55DAC161"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августа 1943 самолет Люфтваффе, Dornier Do 217 из II.Gruppe / Kampfgeschwader 100, впервые в истории поражает цель с помощью управляемой ракеты, поражая корабль Королевского флота HMS Bideford в Бискайском заливе с помощью планирующей бомбы Henschel. Боевая часть планирующей бомбы HS 293 не взрывается, а урон Бидефорду минимален. В том же боевом вылете другая попытка удара Hs 293 чуть не повредила патрульное судно Королевского флота HMS Landguard (20376).</w:t>
      </w:r>
    </w:p>
    <w:p w14:paraId="4439852C" w14:textId="77777777" w:rsidR="008C5B40" w:rsidRPr="00271E51" w:rsidRDefault="008C5B40" w:rsidP="00271E51">
      <w:pPr>
        <w:spacing w:after="0" w:line="240" w:lineRule="auto"/>
        <w:jc w:val="both"/>
        <w:rPr>
          <w:rFonts w:ascii="Times New Roman" w:hAnsi="Times New Roman"/>
          <w:color w:val="0070C0"/>
          <w:sz w:val="16"/>
          <w:szCs w:val="16"/>
        </w:rPr>
      </w:pPr>
    </w:p>
    <w:p w14:paraId="3CF803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впервые был использован Не-177 с планирующими бомбами (2246,5).</w:t>
      </w:r>
    </w:p>
    <w:p w14:paraId="11BE26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6A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During August 1943 German aircraft launched first HS-293 radio-controlled glide bomb against British ship in Bay of Biscay, the beginning of guided-missile warfare (1038).</w:t>
      </w:r>
    </w:p>
    <w:p w14:paraId="4E12C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9F5D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в первый же свой боевой вылет самолеты II/KG100 повредили близкими разрывами авиабомб Hs293 два английских шлюпа из состава 40-й эскортной группы, осуществлявшей противолодочное патрулирование в районе мыса Финистерре (9524).</w:t>
      </w:r>
    </w:p>
    <w:p w14:paraId="3CC4A3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92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впервые была использована немецкая радиоуправляемая планирующая бомба HS-293 по английским кораблям в Бискайском заливе (1038).</w:t>
      </w:r>
    </w:p>
    <w:p w14:paraId="7F4FC0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E3A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американцы завершили операцию по освобождению о Новая Георгия, часть Соломоновых островов (3907,243).</w:t>
      </w:r>
    </w:p>
    <w:p w14:paraId="38757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8BE1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августа 1943 Ф. Рузвельт совершил первый официальный визит президентов США в Оттаву (4962).</w:t>
      </w:r>
    </w:p>
    <w:p w14:paraId="4F0118A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1B7D2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19D54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B04A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с целью улучшения устойчивости Ил-2 в полете и управления им приказом Наркома авиапромышленности авиазаводы №№ 1, 18 и 30 обязывались выпускать все самолеты Ил-2 АМ-38ф с амортизационными пру</w:t>
      </w:r>
      <w:r w:rsidRPr="00271E51">
        <w:rPr>
          <w:rFonts w:ascii="Times New Roman" w:hAnsi="Times New Roman"/>
          <w:color w:val="000000" w:themeColor="text1"/>
          <w:sz w:val="16"/>
          <w:szCs w:val="16"/>
        </w:rPr>
        <w:softHyphen/>
        <w:t>жинами и контрбалансиром в системе управления рулем высоты, разработан</w:t>
      </w:r>
      <w:r w:rsidRPr="00271E51">
        <w:rPr>
          <w:rFonts w:ascii="Times New Roman" w:hAnsi="Times New Roman"/>
          <w:color w:val="000000" w:themeColor="text1"/>
          <w:sz w:val="16"/>
          <w:szCs w:val="16"/>
        </w:rPr>
        <w:softHyphen/>
        <w:t>ными в ЛИИ НКАП М.Л.Милем (впос</w:t>
      </w:r>
      <w:r w:rsidRPr="00271E51">
        <w:rPr>
          <w:rFonts w:ascii="Times New Roman" w:hAnsi="Times New Roman"/>
          <w:color w:val="000000" w:themeColor="text1"/>
          <w:sz w:val="16"/>
          <w:szCs w:val="16"/>
        </w:rPr>
        <w:softHyphen/>
        <w:t>ледствии Главный конструктор вертолетов).</w:t>
      </w:r>
    </w:p>
    <w:p w14:paraId="55374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Контрбалансир уравновешивал силы инерции, возникающие от весовой ком</w:t>
      </w:r>
      <w:r w:rsidRPr="00271E51">
        <w:rPr>
          <w:rFonts w:ascii="Times New Roman" w:hAnsi="Times New Roman"/>
          <w:color w:val="000000" w:themeColor="text1"/>
          <w:sz w:val="16"/>
          <w:szCs w:val="16"/>
        </w:rPr>
        <w:softHyphen/>
        <w:t>пенсации руля высоты при криволиней</w:t>
      </w:r>
      <w:r w:rsidRPr="00271E51">
        <w:rPr>
          <w:rFonts w:ascii="Times New Roman" w:hAnsi="Times New Roman"/>
          <w:color w:val="000000" w:themeColor="text1"/>
          <w:sz w:val="16"/>
          <w:szCs w:val="16"/>
        </w:rPr>
        <w:softHyphen/>
        <w:t>ном полете. Амортизационная пружина предназначалась для повышения запа</w:t>
      </w:r>
      <w:r w:rsidRPr="00271E51">
        <w:rPr>
          <w:rFonts w:ascii="Times New Roman" w:hAnsi="Times New Roman"/>
          <w:color w:val="000000" w:themeColor="text1"/>
          <w:sz w:val="16"/>
          <w:szCs w:val="16"/>
        </w:rPr>
        <w:softHyphen/>
        <w:t>са продольной динамической устойчи</w:t>
      </w:r>
      <w:r w:rsidRPr="00271E51">
        <w:rPr>
          <w:rFonts w:ascii="Times New Roman" w:hAnsi="Times New Roman"/>
          <w:color w:val="000000" w:themeColor="text1"/>
          <w:sz w:val="16"/>
          <w:szCs w:val="16"/>
        </w:rPr>
        <w:softHyphen/>
        <w:t>вости штурмовика при полете с брошен</w:t>
      </w:r>
      <w:r w:rsidRPr="00271E51">
        <w:rPr>
          <w:rFonts w:ascii="Times New Roman" w:hAnsi="Times New Roman"/>
          <w:color w:val="000000" w:themeColor="text1"/>
          <w:sz w:val="16"/>
          <w:szCs w:val="16"/>
        </w:rPr>
        <w:softHyphen/>
        <w:t>ной ручкой управления - натяжение амортизационной пружины создавало постоянно действующую силу, возвраща</w:t>
      </w:r>
      <w:r w:rsidRPr="00271E51">
        <w:rPr>
          <w:rFonts w:ascii="Times New Roman" w:hAnsi="Times New Roman"/>
          <w:color w:val="000000" w:themeColor="text1"/>
          <w:sz w:val="16"/>
          <w:szCs w:val="16"/>
        </w:rPr>
        <w:softHyphen/>
        <w:t>ющую руль высоты в исходное положе</w:t>
      </w:r>
      <w:r w:rsidRPr="00271E51">
        <w:rPr>
          <w:rFonts w:ascii="Times New Roman" w:hAnsi="Times New Roman"/>
          <w:color w:val="000000" w:themeColor="text1"/>
          <w:sz w:val="16"/>
          <w:szCs w:val="16"/>
        </w:rPr>
        <w:softHyphen/>
        <w:t>ние при изменении режима полета са</w:t>
      </w:r>
      <w:r w:rsidRPr="00271E51">
        <w:rPr>
          <w:rFonts w:ascii="Times New Roman" w:hAnsi="Times New Roman"/>
          <w:color w:val="000000" w:themeColor="text1"/>
          <w:sz w:val="16"/>
          <w:szCs w:val="16"/>
        </w:rPr>
        <w:softHyphen/>
        <w:t>молета под действием внешних сил.</w:t>
      </w:r>
    </w:p>
    <w:p w14:paraId="456B77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недостаткам летчики относили лишь то, что амортизационная пружина на ру</w:t>
      </w:r>
      <w:r w:rsidRPr="00271E51">
        <w:rPr>
          <w:rFonts w:ascii="Times New Roman" w:hAnsi="Times New Roman"/>
          <w:color w:val="000000" w:themeColor="text1"/>
          <w:sz w:val="16"/>
          <w:szCs w:val="16"/>
        </w:rPr>
        <w:softHyphen/>
        <w:t>лении и на пробеге сильно оттягивала ручку управления от себя. В остальном же техника пилотирования Ил-2 с уста</w:t>
      </w:r>
      <w:r w:rsidRPr="00271E51">
        <w:rPr>
          <w:rFonts w:ascii="Times New Roman" w:hAnsi="Times New Roman"/>
          <w:color w:val="000000" w:themeColor="text1"/>
          <w:sz w:val="16"/>
          <w:szCs w:val="16"/>
        </w:rPr>
        <w:softHyphen/>
        <w:t>новленными в системе управления ру</w:t>
      </w:r>
      <w:r w:rsidRPr="00271E51">
        <w:rPr>
          <w:rFonts w:ascii="Times New Roman" w:hAnsi="Times New Roman"/>
          <w:color w:val="000000" w:themeColor="text1"/>
          <w:sz w:val="16"/>
          <w:szCs w:val="16"/>
        </w:rPr>
        <w:softHyphen/>
        <w:t>лем высоты контрбалансиром и амор</w:t>
      </w:r>
      <w:r w:rsidRPr="00271E51">
        <w:rPr>
          <w:rFonts w:ascii="Times New Roman" w:hAnsi="Times New Roman"/>
          <w:color w:val="000000" w:themeColor="text1"/>
          <w:sz w:val="16"/>
          <w:szCs w:val="16"/>
        </w:rPr>
        <w:softHyphen/>
        <w:t>тизационной пружиной не отличалась от техники пилотирования обычного "ильюшина" без контрбалансира и аморти</w:t>
      </w:r>
      <w:r w:rsidRPr="00271E51">
        <w:rPr>
          <w:rFonts w:ascii="Times New Roman" w:hAnsi="Times New Roman"/>
          <w:color w:val="000000" w:themeColor="text1"/>
          <w:sz w:val="16"/>
          <w:szCs w:val="16"/>
        </w:rPr>
        <w:softHyphen/>
        <w:t>зационной пружины (6467).</w:t>
      </w:r>
    </w:p>
    <w:p w14:paraId="46C288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36BEF"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26 августа 1943 г. в заключение отчета по испытаниям от указывалось:</w:t>
      </w:r>
    </w:p>
    <w:p w14:paraId="0E50840C" w14:textId="77777777" w:rsidR="00816302" w:rsidRPr="00271E51" w:rsidRDefault="00816302"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«1) Считать целесообразным применение экранной брони на самолетах ВВС КА для за</w:t>
      </w:r>
      <w:r w:rsidRPr="00271E51">
        <w:rPr>
          <w:rFonts w:ascii="Times New Roman" w:cs="Times New Roman"/>
          <w:color w:val="000000" w:themeColor="text1"/>
          <w:sz w:val="16"/>
          <w:szCs w:val="16"/>
        </w:rPr>
        <w:softHyphen/>
        <w:t>щиты от бронебойных пуль калибра 15 мм и рекомендовать конструкторам для широкого использования.</w:t>
      </w:r>
    </w:p>
    <w:p w14:paraId="41E67A21" w14:textId="77777777" w:rsidR="00816302" w:rsidRPr="00271E51" w:rsidRDefault="00816302"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 Просить НКАП обязать з-д 207 и ВИАМ:</w:t>
      </w:r>
    </w:p>
    <w:p w14:paraId="41E81F8D" w14:textId="77777777" w:rsidR="00816302" w:rsidRPr="00271E51" w:rsidRDefault="00816302" w:rsidP="00271E51">
      <w:pPr>
        <w:pStyle w:val="45"/>
        <w:shd w:val="clear" w:color="auto" w:fill="auto"/>
        <w:tabs>
          <w:tab w:val="left" w:pos="519"/>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а) отработать экранированную систему для защиты от снарядов калибра 20 мм;</w:t>
      </w:r>
    </w:p>
    <w:p w14:paraId="010F3CB8" w14:textId="77777777" w:rsidR="00816302" w:rsidRPr="00271E51" w:rsidRDefault="00816302" w:rsidP="00271E51">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б) отработать экранную броню с гомоген</w:t>
      </w:r>
      <w:r w:rsidRPr="00271E51">
        <w:rPr>
          <w:rFonts w:ascii="Times New Roman" w:cs="Times New Roman"/>
          <w:color w:val="000000" w:themeColor="text1"/>
          <w:sz w:val="16"/>
          <w:szCs w:val="16"/>
        </w:rPr>
        <w:softHyphen/>
        <w:t>ным экраном до 1 декабря 1943 г.».</w:t>
      </w:r>
    </w:p>
    <w:p w14:paraId="4098FFD0"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Исследовались экранированные системы, состоящие из хромомолибденовой цемен</w:t>
      </w:r>
      <w:r w:rsidRPr="00271E51">
        <w:rPr>
          <w:rFonts w:ascii="Times New Roman" w:cs="Times New Roman"/>
          <w:color w:val="000000" w:themeColor="text1"/>
          <w:spacing w:val="0"/>
          <w:sz w:val="16"/>
          <w:szCs w:val="16"/>
        </w:rPr>
        <w:softHyphen/>
        <w:t>тованной брони ХД(ц) - экран, и гомогенной брони марки АБ-2 и ХД валового производст</w:t>
      </w:r>
      <w:r w:rsidRPr="00271E51">
        <w:rPr>
          <w:rFonts w:ascii="Times New Roman" w:cs="Times New Roman"/>
          <w:color w:val="000000" w:themeColor="text1"/>
          <w:spacing w:val="0"/>
          <w:sz w:val="16"/>
          <w:szCs w:val="16"/>
        </w:rPr>
        <w:softHyphen/>
        <w:t>ва разных толщин. Обстрел велся из немецкой пушки МС151 калибра 15 и 20 мм с дистанции 200 м по нормали и со 100 м под углом к нор</w:t>
      </w:r>
      <w:r w:rsidRPr="00271E51">
        <w:rPr>
          <w:rFonts w:ascii="Times New Roman" w:cs="Times New Roman"/>
          <w:color w:val="000000" w:themeColor="text1"/>
          <w:spacing w:val="0"/>
          <w:sz w:val="16"/>
          <w:szCs w:val="16"/>
        </w:rPr>
        <w:softHyphen/>
        <w:t>мали до 40°.</w:t>
      </w:r>
    </w:p>
    <w:p w14:paraId="489AA568"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Испытания обстрелом проводились в</w:t>
      </w:r>
      <w:r w:rsidRPr="00271E51">
        <w:rPr>
          <w:rStyle w:val="0pt1"/>
          <w:rFonts w:eastAsia="Arial Narrow"/>
          <w:b w:val="0"/>
          <w:color w:val="000000" w:themeColor="text1"/>
          <w:spacing w:val="0"/>
          <w:sz w:val="16"/>
          <w:szCs w:val="16"/>
        </w:rPr>
        <w:t xml:space="preserve"> пол</w:t>
      </w:r>
      <w:r w:rsidRPr="00271E51">
        <w:rPr>
          <w:rStyle w:val="0pt1"/>
          <w:rFonts w:eastAsia="Arial Narrow"/>
          <w:b w:val="0"/>
          <w:color w:val="000000" w:themeColor="text1"/>
          <w:spacing w:val="0"/>
          <w:sz w:val="16"/>
          <w:szCs w:val="16"/>
        </w:rPr>
        <w:softHyphen/>
      </w:r>
      <w:r w:rsidRPr="00271E51">
        <w:rPr>
          <w:rFonts w:ascii="Times New Roman" w:cs="Times New Roman"/>
          <w:color w:val="000000" w:themeColor="text1"/>
          <w:spacing w:val="0"/>
          <w:sz w:val="16"/>
          <w:szCs w:val="16"/>
        </w:rPr>
        <w:t>ном соответствии с утвержденной</w:t>
      </w:r>
      <w:r w:rsidRPr="00271E51">
        <w:rPr>
          <w:rStyle w:val="0pt1"/>
          <w:rFonts w:eastAsia="Arial Narrow"/>
          <w:b w:val="0"/>
          <w:color w:val="000000" w:themeColor="text1"/>
          <w:spacing w:val="0"/>
          <w:sz w:val="16"/>
          <w:szCs w:val="16"/>
        </w:rPr>
        <w:t xml:space="preserve"> методикой </w:t>
      </w:r>
      <w:r w:rsidRPr="00271E51">
        <w:rPr>
          <w:rFonts w:ascii="Times New Roman" w:cs="Times New Roman"/>
          <w:color w:val="000000" w:themeColor="text1"/>
          <w:spacing w:val="0"/>
          <w:sz w:val="16"/>
          <w:szCs w:val="16"/>
        </w:rPr>
        <w:t>полигонных испытаний авиационной</w:t>
      </w:r>
      <w:r w:rsidRPr="00271E51">
        <w:rPr>
          <w:rStyle w:val="0pt1"/>
          <w:rFonts w:eastAsia="Arial Narrow"/>
          <w:b w:val="0"/>
          <w:color w:val="000000" w:themeColor="text1"/>
          <w:spacing w:val="0"/>
          <w:sz w:val="16"/>
          <w:szCs w:val="16"/>
        </w:rPr>
        <w:t xml:space="preserve"> брони. </w:t>
      </w:r>
      <w:r w:rsidRPr="00271E51">
        <w:rPr>
          <w:rFonts w:ascii="Times New Roman" w:cs="Times New Roman"/>
          <w:color w:val="000000" w:themeColor="text1"/>
          <w:spacing w:val="0"/>
          <w:sz w:val="16"/>
          <w:szCs w:val="16"/>
        </w:rPr>
        <w:t>При стрельбе по нормали учитывались</w:t>
      </w:r>
      <w:r w:rsidRPr="00271E51">
        <w:rPr>
          <w:rStyle w:val="0pt1"/>
          <w:rFonts w:eastAsia="Arial Narrow"/>
          <w:b w:val="0"/>
          <w:color w:val="000000" w:themeColor="text1"/>
          <w:spacing w:val="0"/>
          <w:sz w:val="16"/>
          <w:szCs w:val="16"/>
        </w:rPr>
        <w:t xml:space="preserve"> лишь </w:t>
      </w:r>
      <w:r w:rsidRPr="00271E51">
        <w:rPr>
          <w:rFonts w:ascii="Times New Roman" w:cs="Times New Roman"/>
          <w:color w:val="000000" w:themeColor="text1"/>
          <w:spacing w:val="0"/>
          <w:sz w:val="16"/>
          <w:szCs w:val="16"/>
        </w:rPr>
        <w:t>те попадания, которые укладывались в</w:t>
      </w:r>
      <w:r w:rsidRPr="00271E51">
        <w:rPr>
          <w:rStyle w:val="0pt1"/>
          <w:rFonts w:eastAsia="Arial Narrow"/>
          <w:b w:val="0"/>
          <w:color w:val="000000" w:themeColor="text1"/>
          <w:spacing w:val="0"/>
          <w:sz w:val="16"/>
          <w:szCs w:val="16"/>
        </w:rPr>
        <w:t xml:space="preserve"> полосу </w:t>
      </w:r>
      <w:r w:rsidRPr="00271E51">
        <w:rPr>
          <w:rFonts w:ascii="Times New Roman" w:cs="Times New Roman"/>
          <w:color w:val="000000" w:themeColor="text1"/>
          <w:spacing w:val="0"/>
          <w:sz w:val="16"/>
          <w:szCs w:val="16"/>
        </w:rPr>
        <w:t>шириной 100 мм, что обеспечивало</w:t>
      </w:r>
      <w:r w:rsidRPr="00271E51">
        <w:rPr>
          <w:rStyle w:val="0pt1"/>
          <w:rFonts w:eastAsia="Arial Narrow"/>
          <w:b w:val="0"/>
          <w:color w:val="000000" w:themeColor="text1"/>
          <w:spacing w:val="0"/>
          <w:sz w:val="16"/>
          <w:szCs w:val="16"/>
        </w:rPr>
        <w:t xml:space="preserve"> точность </w:t>
      </w:r>
      <w:r w:rsidRPr="00271E51">
        <w:rPr>
          <w:rFonts w:ascii="Times New Roman" w:cs="Times New Roman"/>
          <w:color w:val="000000" w:themeColor="text1"/>
          <w:spacing w:val="0"/>
          <w:sz w:val="16"/>
          <w:szCs w:val="16"/>
        </w:rPr>
        <w:t>измерения угла встречи боеприпаса</w:t>
      </w:r>
      <w:r w:rsidRPr="00271E51">
        <w:rPr>
          <w:rStyle w:val="0pt1"/>
          <w:rFonts w:eastAsia="Arial Narrow"/>
          <w:b w:val="0"/>
          <w:color w:val="000000" w:themeColor="text1"/>
          <w:spacing w:val="0"/>
          <w:sz w:val="16"/>
          <w:szCs w:val="16"/>
        </w:rPr>
        <w:t xml:space="preserve"> с броней </w:t>
      </w:r>
      <w:r w:rsidRPr="00271E51">
        <w:rPr>
          <w:rFonts w:ascii="Times New Roman" w:cs="Times New Roman"/>
          <w:color w:val="000000" w:themeColor="text1"/>
          <w:spacing w:val="0"/>
          <w:sz w:val="16"/>
          <w:szCs w:val="16"/>
        </w:rPr>
        <w:t>в пределах 5° при обстреле под углами, отлич</w:t>
      </w:r>
      <w:r w:rsidRPr="00271E51">
        <w:rPr>
          <w:rFonts w:ascii="Times New Roman" w:cs="Times New Roman"/>
          <w:color w:val="000000" w:themeColor="text1"/>
          <w:spacing w:val="0"/>
          <w:sz w:val="16"/>
          <w:szCs w:val="16"/>
        </w:rPr>
        <w:softHyphen/>
        <w:t xml:space="preserve">ными от нормали. Угол встречи отсчитывался </w:t>
      </w:r>
      <w:r w:rsidRPr="00271E51">
        <w:rPr>
          <w:rStyle w:val="aff6"/>
          <w:rFonts w:ascii="Times New Roman" w:eastAsia="Arial Narrow" w:hAnsi="Times New Roman" w:cs="Times New Roman"/>
          <w:i w:val="0"/>
          <w:color w:val="000000" w:themeColor="text1"/>
          <w:spacing w:val="0"/>
        </w:rPr>
        <w:t>«между линией прицеливания и нормалью к поверхности детали, наклон которой осу</w:t>
      </w:r>
      <w:r w:rsidRPr="00271E51">
        <w:rPr>
          <w:rStyle w:val="aff6"/>
          <w:rFonts w:ascii="Times New Roman" w:eastAsia="Arial Narrow" w:hAnsi="Times New Roman" w:cs="Times New Roman"/>
          <w:i w:val="0"/>
          <w:color w:val="000000" w:themeColor="text1"/>
          <w:spacing w:val="0"/>
        </w:rPr>
        <w:softHyphen/>
        <w:t>ществлялся в вертикальной плоскости».</w:t>
      </w:r>
    </w:p>
    <w:p w14:paraId="6FC859B9"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ходе испытаний было установлено, что гомогенная броня марки ХД, применяемая в качестве основной (твердость 2,8-2,9 по Бринеллю), давала трещины и обладала понижен</w:t>
      </w:r>
      <w:r w:rsidRPr="00271E51">
        <w:rPr>
          <w:rFonts w:ascii="Times New Roman" w:cs="Times New Roman"/>
          <w:color w:val="000000" w:themeColor="text1"/>
          <w:spacing w:val="0"/>
          <w:sz w:val="16"/>
          <w:szCs w:val="16"/>
        </w:rPr>
        <w:softHyphen/>
        <w:t>ной стойкостью по сравнению с гомогенной броней АБ-2 с более низкой твердостью (2,9- 3,1 по Бринеллю). То же самое наблюдалось и при использовании АБ-2 в качестве основной брони.</w:t>
      </w:r>
    </w:p>
    <w:p w14:paraId="74271154"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Делался вывод, что</w:t>
      </w:r>
      <w:r w:rsidRPr="00271E51">
        <w:rPr>
          <w:rStyle w:val="aff6"/>
          <w:rFonts w:ascii="Times New Roman" w:eastAsia="Arial Narrow" w:hAnsi="Times New Roman" w:cs="Times New Roman"/>
          <w:i w:val="0"/>
          <w:color w:val="000000" w:themeColor="text1"/>
          <w:spacing w:val="0"/>
        </w:rPr>
        <w:t xml:space="preserve"> «решающим фактором в экранированной системе является прочность основной брони и во вторую очередь - марка брони».</w:t>
      </w:r>
      <w:r w:rsidRPr="00271E51">
        <w:rPr>
          <w:rFonts w:ascii="Times New Roman" w:cs="Times New Roman"/>
          <w:color w:val="000000" w:themeColor="text1"/>
          <w:spacing w:val="0"/>
          <w:sz w:val="16"/>
          <w:szCs w:val="16"/>
        </w:rPr>
        <w:t xml:space="preserve"> При этом хромомолибденовая сталь в силу сравнительно высокого содержания в ней хрома (до 2,8%) не могла обеспечить необхо</w:t>
      </w:r>
      <w:r w:rsidRPr="00271E51">
        <w:rPr>
          <w:rFonts w:ascii="Times New Roman" w:cs="Times New Roman"/>
          <w:color w:val="000000" w:themeColor="text1"/>
          <w:spacing w:val="0"/>
          <w:sz w:val="16"/>
          <w:szCs w:val="16"/>
        </w:rPr>
        <w:softHyphen/>
        <w:t>димую вязкость при одновременной достаточ</w:t>
      </w:r>
      <w:r w:rsidRPr="00271E51">
        <w:rPr>
          <w:rFonts w:ascii="Times New Roman" w:cs="Times New Roman"/>
          <w:color w:val="000000" w:themeColor="text1"/>
          <w:spacing w:val="0"/>
          <w:sz w:val="16"/>
          <w:szCs w:val="16"/>
        </w:rPr>
        <w:softHyphen/>
        <w:t>ной прочности. Как следствие, имели место хрупкие разрушения брони. С этой точки зре</w:t>
      </w:r>
      <w:r w:rsidRPr="00271E51">
        <w:rPr>
          <w:rFonts w:ascii="Times New Roman" w:cs="Times New Roman"/>
          <w:color w:val="000000" w:themeColor="text1"/>
          <w:spacing w:val="0"/>
          <w:sz w:val="16"/>
          <w:szCs w:val="16"/>
        </w:rPr>
        <w:softHyphen/>
        <w:t>ния для основной брони весьма желательна была бы АБ-1 с содержанием никеля до 4,5%, но ее уже два года как сняли с производства. Броневая система валового производства в качестве экранированной обладала весьма высокой живучестью при обстреле пулями ка</w:t>
      </w:r>
      <w:r w:rsidRPr="00271E51">
        <w:rPr>
          <w:rFonts w:ascii="Times New Roman" w:cs="Times New Roman"/>
          <w:color w:val="000000" w:themeColor="text1"/>
          <w:spacing w:val="0"/>
          <w:sz w:val="16"/>
          <w:szCs w:val="16"/>
        </w:rPr>
        <w:softHyphen/>
        <w:t>либра 15 мм. Несмотря на большое количество (до 20) поражений 15-мм пулями бронеспинок, на них не обнаружили ни одного случая хруп</w:t>
      </w:r>
      <w:r w:rsidRPr="00271E51">
        <w:rPr>
          <w:rFonts w:ascii="Times New Roman" w:cs="Times New Roman"/>
          <w:color w:val="000000" w:themeColor="text1"/>
          <w:spacing w:val="0"/>
          <w:sz w:val="16"/>
          <w:szCs w:val="16"/>
        </w:rPr>
        <w:softHyphen/>
        <w:t>ких разрушений, т.е. трещин.</w:t>
      </w:r>
    </w:p>
    <w:p w14:paraId="19D0BEED"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Как отмечалось в отчете, при увеличении расстояния между экраном и основной броней до 800-850 мм и выше бронестойкость экран</w:t>
      </w:r>
      <w:r w:rsidRPr="00271E51">
        <w:rPr>
          <w:rFonts w:ascii="Times New Roman" w:cs="Times New Roman"/>
          <w:color w:val="000000" w:themeColor="text1"/>
          <w:spacing w:val="0"/>
          <w:sz w:val="16"/>
          <w:szCs w:val="16"/>
        </w:rPr>
        <w:softHyphen/>
        <w:t>ной системы резко возрастала,</w:t>
      </w:r>
      <w:r w:rsidRPr="00271E51">
        <w:rPr>
          <w:rStyle w:val="aff6"/>
          <w:rFonts w:ascii="Times New Roman" w:eastAsia="Arial Narrow" w:hAnsi="Times New Roman" w:cs="Times New Roman"/>
          <w:i w:val="0"/>
          <w:color w:val="000000" w:themeColor="text1"/>
          <w:spacing w:val="0"/>
        </w:rPr>
        <w:t xml:space="preserve"> «причем коле</w:t>
      </w:r>
      <w:r w:rsidRPr="00271E51">
        <w:rPr>
          <w:rStyle w:val="aff6"/>
          <w:rFonts w:ascii="Times New Roman" w:eastAsia="Arial Narrow" w:hAnsi="Times New Roman" w:cs="Times New Roman"/>
          <w:i w:val="0"/>
          <w:color w:val="000000" w:themeColor="text1"/>
          <w:spacing w:val="0"/>
        </w:rPr>
        <w:softHyphen/>
        <w:t>бания расстояния до этих пределов практиче</w:t>
      </w:r>
      <w:r w:rsidRPr="00271E51">
        <w:rPr>
          <w:rStyle w:val="aff6"/>
          <w:rFonts w:ascii="Times New Roman" w:eastAsia="Arial Narrow" w:hAnsi="Times New Roman" w:cs="Times New Roman"/>
          <w:i w:val="0"/>
          <w:color w:val="000000" w:themeColor="text1"/>
          <w:spacing w:val="0"/>
        </w:rPr>
        <w:softHyphen/>
        <w:t>ски не влияют на изменение бронестойкости экранированной брони».</w:t>
      </w:r>
      <w:r w:rsidRPr="00271E51">
        <w:rPr>
          <w:rFonts w:ascii="Times New Roman" w:cs="Times New Roman"/>
          <w:color w:val="000000" w:themeColor="text1"/>
          <w:spacing w:val="0"/>
          <w:sz w:val="16"/>
          <w:szCs w:val="16"/>
        </w:rPr>
        <w:t xml:space="preserve"> Однако применять на боевых самолетах такой вариант экраниро</w:t>
      </w:r>
      <w:r w:rsidRPr="00271E51">
        <w:rPr>
          <w:rFonts w:ascii="Times New Roman" w:cs="Times New Roman"/>
          <w:color w:val="000000" w:themeColor="text1"/>
          <w:spacing w:val="0"/>
          <w:sz w:val="16"/>
          <w:szCs w:val="16"/>
        </w:rPr>
        <w:softHyphen/>
        <w:t>ванной брони практически было невозможно. Целесообразным считалось устанавливать экран на расстоянии от основной брони</w:t>
      </w:r>
      <w:r w:rsidRPr="00271E51">
        <w:rPr>
          <w:rStyle w:val="aff6"/>
          <w:rFonts w:ascii="Times New Roman" w:eastAsia="Arial Narrow" w:hAnsi="Times New Roman" w:cs="Times New Roman"/>
          <w:i w:val="0"/>
          <w:color w:val="000000" w:themeColor="text1"/>
          <w:spacing w:val="0"/>
        </w:rPr>
        <w:t xml:space="preserve"> «около 1,5 калибра пули для свободного прохождения осколков между ними».</w:t>
      </w:r>
    </w:p>
    <w:p w14:paraId="783943DD"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Наилучшие результаты с точки зрения бро</w:t>
      </w:r>
      <w:r w:rsidRPr="00271E51">
        <w:rPr>
          <w:rFonts w:ascii="Times New Roman" w:cs="Times New Roman"/>
          <w:color w:val="000000" w:themeColor="text1"/>
          <w:spacing w:val="0"/>
          <w:sz w:val="16"/>
          <w:szCs w:val="16"/>
        </w:rPr>
        <w:softHyphen/>
        <w:t>нестойкости и веса показала экранированная система в составе 8-мм экрана из цементован</w:t>
      </w:r>
      <w:r w:rsidRPr="00271E51">
        <w:rPr>
          <w:rFonts w:ascii="Times New Roman" w:cs="Times New Roman"/>
          <w:color w:val="000000" w:themeColor="text1"/>
          <w:spacing w:val="0"/>
          <w:sz w:val="16"/>
          <w:szCs w:val="16"/>
        </w:rPr>
        <w:softHyphen/>
        <w:t>ной брони валового производства марки ХД(ц) и 8-мм основной гомогенной брони марки АБ-2 (твердость 2,9-3,1 по Бринеллю). Такая система не пробивалась 15-мм бронебойной пулей с 200 м по нормали и со 100 м - под углом</w:t>
      </w:r>
      <w:r w:rsidRPr="00271E51">
        <w:rPr>
          <w:rStyle w:val="aff6"/>
          <w:rFonts w:ascii="Times New Roman" w:eastAsia="Arial Narrow" w:hAnsi="Times New Roman" w:cs="Times New Roman"/>
          <w:i w:val="0"/>
          <w:color w:val="000000" w:themeColor="text1"/>
          <w:spacing w:val="0"/>
        </w:rPr>
        <w:t xml:space="preserve"> 20-25° от</w:t>
      </w:r>
      <w:r w:rsidRPr="00271E51">
        <w:rPr>
          <w:rFonts w:ascii="Times New Roman" w:cs="Times New Roman"/>
          <w:color w:val="000000" w:themeColor="text1"/>
          <w:spacing w:val="0"/>
          <w:sz w:val="16"/>
          <w:szCs w:val="16"/>
        </w:rPr>
        <w:t xml:space="preserve"> нормали, а бронебойно-осга</w:t>
      </w:r>
      <w:r w:rsidRPr="00271E51">
        <w:rPr>
          <w:rFonts w:ascii="Times New Roman" w:cs="Times New Roman"/>
          <w:color w:val="000000" w:themeColor="text1"/>
          <w:spacing w:val="0"/>
          <w:sz w:val="16"/>
          <w:szCs w:val="16"/>
        </w:rPr>
        <w:softHyphen/>
        <w:t>лочный снаряд калибра 20 мм удерживался при стрельбе с 50 м по нормали.</w:t>
      </w:r>
    </w:p>
    <w:p w14:paraId="47ED7736" w14:textId="77777777" w:rsidR="00816302" w:rsidRPr="00271E51" w:rsidRDefault="00816302" w:rsidP="00271E51">
      <w:pPr>
        <w:pStyle w:val="45"/>
        <w:shd w:val="clear" w:color="auto" w:fill="auto"/>
        <w:spacing w:before="0" w:line="240" w:lineRule="auto"/>
        <w:jc w:val="both"/>
        <w:rPr>
          <w:rStyle w:val="aff6"/>
          <w:rFonts w:ascii="Times New Roman" w:eastAsia="Arial Narrow" w:hAnsi="Times New Roman" w:cs="Times New Roman"/>
          <w:i w:val="0"/>
          <w:color w:val="000000" w:themeColor="text1"/>
        </w:rPr>
      </w:pPr>
      <w:r w:rsidRPr="00271E51">
        <w:rPr>
          <w:rFonts w:ascii="Times New Roman" w:cs="Times New Roman"/>
          <w:color w:val="000000" w:themeColor="text1"/>
          <w:sz w:val="16"/>
          <w:szCs w:val="16"/>
        </w:rPr>
        <w:t>При условии равной бронестойкости с це</w:t>
      </w:r>
      <w:r w:rsidRPr="00271E51">
        <w:rPr>
          <w:rFonts w:ascii="Times New Roman" w:cs="Times New Roman"/>
          <w:color w:val="000000" w:themeColor="text1"/>
          <w:sz w:val="16"/>
          <w:szCs w:val="16"/>
        </w:rPr>
        <w:softHyphen/>
        <w:t>ментованной и гомогенной броней экраниро</w:t>
      </w:r>
      <w:r w:rsidRPr="00271E51">
        <w:rPr>
          <w:rFonts w:ascii="Times New Roman" w:cs="Times New Roman"/>
          <w:color w:val="000000" w:themeColor="text1"/>
          <w:sz w:val="16"/>
          <w:szCs w:val="16"/>
        </w:rPr>
        <w:softHyphen/>
        <w:t xml:space="preserve">ванная броня позволяла получить некоторую экономию веса. Например, цементованная броня с дистанции 200 м «держала» 15-мм бронебойную пулю только при толщине 20 мм (поданным завода №125 и ВИАМ е при 25 мм), а гомогенная </w:t>
      </w:r>
      <w:r w:rsidRPr="00271E51">
        <w:rPr>
          <w:rFonts w:ascii="Times New Roman" w:cs="Times New Roman"/>
          <w:color w:val="000000" w:themeColor="text1"/>
          <w:sz w:val="16"/>
          <w:szCs w:val="16"/>
        </w:rPr>
        <w:lastRenderedPageBreak/>
        <w:t>броня - при толщине 23-24 мм (по данным НИИ-48 в 1942 г. - при 30 мм). По</w:t>
      </w:r>
      <w:r w:rsidRPr="00271E51">
        <w:rPr>
          <w:rFonts w:ascii="Times New Roman" w:cs="Times New Roman"/>
          <w:color w:val="000000" w:themeColor="text1"/>
          <w:sz w:val="16"/>
          <w:szCs w:val="16"/>
        </w:rPr>
        <w:softHyphen/>
        <w:t xml:space="preserve">вышение защищенности экипажа серийных самолетов рекомендовалось обеспечивать </w:t>
      </w:r>
      <w:r w:rsidRPr="00271E51">
        <w:rPr>
          <w:rStyle w:val="aff6"/>
          <w:rFonts w:ascii="Times New Roman" w:eastAsia="Arial Narrow" w:hAnsi="Times New Roman" w:cs="Times New Roman"/>
          <w:i w:val="0"/>
          <w:color w:val="000000" w:themeColor="text1"/>
        </w:rPr>
        <w:t>«путем установки позади летчика второй ана</w:t>
      </w:r>
      <w:r w:rsidRPr="00271E51">
        <w:rPr>
          <w:rStyle w:val="aff6"/>
          <w:rFonts w:ascii="Times New Roman" w:eastAsia="Arial Narrow" w:hAnsi="Times New Roman" w:cs="Times New Roman"/>
          <w:i w:val="0"/>
          <w:color w:val="000000" w:themeColor="text1"/>
        </w:rPr>
        <w:softHyphen/>
        <w:t>логичной спинки, изготовленной из гомоген</w:t>
      </w:r>
      <w:r w:rsidRPr="00271E51">
        <w:rPr>
          <w:rStyle w:val="aff6"/>
          <w:rFonts w:ascii="Times New Roman" w:eastAsia="Arial Narrow" w:hAnsi="Times New Roman" w:cs="Times New Roman"/>
          <w:i w:val="0"/>
          <w:color w:val="000000" w:themeColor="text1"/>
        </w:rPr>
        <w:softHyphen/>
        <w:t>ной брони марки АБ-2».</w:t>
      </w:r>
    </w:p>
    <w:p w14:paraId="7C032B41" w14:textId="77777777" w:rsidR="00816302" w:rsidRPr="00271E51" w:rsidRDefault="00816302" w:rsidP="00271E51">
      <w:pPr>
        <w:pStyle w:val="45"/>
        <w:shd w:val="clear" w:color="auto" w:fill="auto"/>
        <w:spacing w:before="0" w:line="240" w:lineRule="auto"/>
        <w:jc w:val="both"/>
        <w:rPr>
          <w:rFonts w:ascii="Times New Roman" w:cs="Times New Roman"/>
          <w:color w:val="000000" w:themeColor="text1"/>
          <w:sz w:val="16"/>
          <w:szCs w:val="16"/>
        </w:rPr>
      </w:pPr>
      <w:r w:rsidRPr="00271E51">
        <w:rPr>
          <w:rStyle w:val="4f0"/>
          <w:rFonts w:ascii="Times New Roman" w:hAnsi="Times New Roman" w:cs="Times New Roman"/>
          <w:i w:val="0"/>
          <w:color w:val="000000" w:themeColor="text1"/>
          <w:sz w:val="16"/>
          <w:szCs w:val="16"/>
        </w:rPr>
        <w:t>Включение в программу отработку экрани</w:t>
      </w:r>
      <w:r w:rsidRPr="00271E51">
        <w:rPr>
          <w:rStyle w:val="4f0"/>
          <w:rFonts w:ascii="Times New Roman" w:hAnsi="Times New Roman" w:cs="Times New Roman"/>
          <w:i w:val="0"/>
          <w:color w:val="000000" w:themeColor="text1"/>
          <w:sz w:val="16"/>
          <w:szCs w:val="16"/>
        </w:rPr>
        <w:softHyphen/>
        <w:t>рованной системы с гомогенным экраном объ</w:t>
      </w:r>
      <w:r w:rsidRPr="00271E51">
        <w:rPr>
          <w:rStyle w:val="4f0"/>
          <w:rFonts w:ascii="Times New Roman" w:hAnsi="Times New Roman" w:cs="Times New Roman"/>
          <w:i w:val="0"/>
          <w:color w:val="000000" w:themeColor="text1"/>
          <w:sz w:val="16"/>
          <w:szCs w:val="16"/>
        </w:rPr>
        <w:softHyphen/>
        <w:t>яснялось возможной</w:t>
      </w:r>
      <w:r w:rsidRPr="00271E51">
        <w:rPr>
          <w:rFonts w:ascii="Times New Roman" w:cs="Times New Roman"/>
          <w:color w:val="000000" w:themeColor="text1"/>
          <w:sz w:val="16"/>
          <w:szCs w:val="16"/>
        </w:rPr>
        <w:t xml:space="preserve"> «перспективой отказа от цементации деталей как наиболее энергоем</w:t>
      </w:r>
      <w:r w:rsidRPr="00271E51">
        <w:rPr>
          <w:rFonts w:ascii="Times New Roman" w:cs="Times New Roman"/>
          <w:color w:val="000000" w:themeColor="text1"/>
          <w:sz w:val="16"/>
          <w:szCs w:val="16"/>
        </w:rPr>
        <w:softHyphen/>
        <w:t>кой технологической операции в случае незна</w:t>
      </w:r>
      <w:r w:rsidRPr="00271E51">
        <w:rPr>
          <w:rFonts w:ascii="Times New Roman" w:cs="Times New Roman"/>
          <w:color w:val="000000" w:themeColor="text1"/>
          <w:sz w:val="16"/>
          <w:szCs w:val="16"/>
        </w:rPr>
        <w:softHyphen/>
        <w:t>чительного снижения бронестойкости, против цементованного экрана».</w:t>
      </w:r>
      <w:r w:rsidRPr="00271E51">
        <w:rPr>
          <w:rStyle w:val="4f0"/>
          <w:rFonts w:ascii="Times New Roman" w:hAnsi="Times New Roman" w:cs="Times New Roman"/>
          <w:i w:val="0"/>
          <w:color w:val="000000" w:themeColor="text1"/>
          <w:sz w:val="16"/>
          <w:szCs w:val="16"/>
        </w:rPr>
        <w:t xml:space="preserve"> Кроме того, пред</w:t>
      </w:r>
      <w:r w:rsidRPr="00271E51">
        <w:rPr>
          <w:rStyle w:val="4f0"/>
          <w:rFonts w:ascii="Times New Roman" w:hAnsi="Times New Roman" w:cs="Times New Roman"/>
          <w:i w:val="0"/>
          <w:color w:val="000000" w:themeColor="text1"/>
          <w:sz w:val="16"/>
          <w:szCs w:val="16"/>
        </w:rPr>
        <w:softHyphen/>
        <w:t>лагалось</w:t>
      </w:r>
      <w:r w:rsidRPr="00271E51">
        <w:rPr>
          <w:rFonts w:ascii="Times New Roman" w:cs="Times New Roman"/>
          <w:color w:val="000000" w:themeColor="text1"/>
          <w:sz w:val="16"/>
          <w:szCs w:val="16"/>
        </w:rPr>
        <w:t xml:space="preserve"> «изучить весь комплекс проблем, связанных с разработкой экранной брони, что отнюдь не предполагает необходимостинемедленного его принятия для использова</w:t>
      </w:r>
      <w:r w:rsidRPr="00271E51">
        <w:rPr>
          <w:rFonts w:ascii="Times New Roman" w:cs="Times New Roman"/>
          <w:color w:val="000000" w:themeColor="text1"/>
          <w:sz w:val="16"/>
          <w:szCs w:val="16"/>
        </w:rPr>
        <w:softHyphen/>
        <w:t>ния на самолетах».</w:t>
      </w:r>
    </w:p>
    <w:p w14:paraId="209F583F" w14:textId="77777777" w:rsidR="00816302" w:rsidRPr="00271E51" w:rsidRDefault="00816302"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Генерал-полковник А.К. Репин весьма тща</w:t>
      </w:r>
      <w:r w:rsidRPr="00271E51">
        <w:rPr>
          <w:rFonts w:ascii="Times New Roman" w:cs="Times New Roman"/>
          <w:color w:val="000000" w:themeColor="text1"/>
          <w:spacing w:val="0"/>
          <w:sz w:val="16"/>
          <w:szCs w:val="16"/>
        </w:rPr>
        <w:softHyphen/>
        <w:t>тельно подошел к вопросу утверждения ма</w:t>
      </w:r>
      <w:r w:rsidRPr="00271E51">
        <w:rPr>
          <w:rFonts w:ascii="Times New Roman" w:cs="Times New Roman"/>
          <w:color w:val="000000" w:themeColor="text1"/>
          <w:spacing w:val="0"/>
          <w:sz w:val="16"/>
          <w:szCs w:val="16"/>
        </w:rPr>
        <w:softHyphen/>
        <w:t>териалов отчета. Свою подпись он поставил лишь спустя месяц - 24 сентября 1943 г., после нескольких итераций согласования как самих результатов испытаний, так и</w:t>
      </w:r>
      <w:r w:rsidRPr="00271E51">
        <w:rPr>
          <w:rStyle w:val="aff6"/>
          <w:rFonts w:ascii="Times New Roman" w:eastAsia="Arial Narrow" w:hAnsi="Times New Roman" w:cs="Times New Roman"/>
          <w:i w:val="0"/>
          <w:color w:val="000000" w:themeColor="text1"/>
          <w:spacing w:val="0"/>
        </w:rPr>
        <w:t xml:space="preserve"> их</w:t>
      </w:r>
      <w:r w:rsidRPr="00271E51">
        <w:rPr>
          <w:rFonts w:ascii="Times New Roman" w:cs="Times New Roman"/>
          <w:color w:val="000000" w:themeColor="text1"/>
          <w:spacing w:val="0"/>
          <w:sz w:val="16"/>
          <w:szCs w:val="16"/>
        </w:rPr>
        <w:t xml:space="preserve"> трактовки. Несмотря на положительное заключение НИИ ВВС, Наркомат авиационной промышленности «взял паузу» (15778).</w:t>
      </w:r>
    </w:p>
    <w:p w14:paraId="1C0937A4" w14:textId="77777777" w:rsidR="00816302" w:rsidRPr="00271E51" w:rsidRDefault="00816302" w:rsidP="00271E51">
      <w:pPr>
        <w:spacing w:after="0" w:line="240" w:lineRule="auto"/>
        <w:jc w:val="both"/>
        <w:rPr>
          <w:rFonts w:ascii="Times New Roman" w:hAnsi="Times New Roman"/>
          <w:color w:val="000000" w:themeColor="text1"/>
          <w:sz w:val="16"/>
          <w:szCs w:val="16"/>
        </w:rPr>
      </w:pPr>
    </w:p>
    <w:p w14:paraId="28A83E62"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26 августа 1943 г. начальник 2-го отдела оперативного управления штаба ВВС КА пол</w:t>
      </w:r>
      <w:r w:rsidRPr="00271E51">
        <w:rPr>
          <w:rFonts w:ascii="Times New Roman" w:hAnsi="Times New Roman"/>
          <w:color w:val="000000" w:themeColor="text1"/>
          <w:sz w:val="16"/>
          <w:szCs w:val="16"/>
        </w:rPr>
        <w:softHyphen/>
        <w:t>ковник Васильев и старший помощник началь</w:t>
      </w:r>
      <w:r w:rsidRPr="00271E51">
        <w:rPr>
          <w:rFonts w:ascii="Times New Roman" w:hAnsi="Times New Roman"/>
          <w:color w:val="000000" w:themeColor="text1"/>
          <w:sz w:val="16"/>
          <w:szCs w:val="16"/>
        </w:rPr>
        <w:softHyphen/>
        <w:t>ника отдела инженер-майор Пименов подго</w:t>
      </w:r>
      <w:r w:rsidRPr="00271E51">
        <w:rPr>
          <w:rFonts w:ascii="Times New Roman" w:hAnsi="Times New Roman"/>
          <w:color w:val="000000" w:themeColor="text1"/>
          <w:sz w:val="16"/>
          <w:szCs w:val="16"/>
        </w:rPr>
        <w:softHyphen/>
        <w:t>товили «Выводы из предварительного анали</w:t>
      </w:r>
      <w:r w:rsidRPr="00271E51">
        <w:rPr>
          <w:rFonts w:ascii="Times New Roman" w:hAnsi="Times New Roman"/>
          <w:color w:val="000000" w:themeColor="text1"/>
          <w:sz w:val="16"/>
          <w:szCs w:val="16"/>
        </w:rPr>
        <w:softHyphen/>
        <w:t>за потерь авиации» за период с июня 1941 г. по март 1943 г. включительно.</w:t>
      </w:r>
    </w:p>
    <w:p w14:paraId="596E0B18"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потерь показал, что основные поте</w:t>
      </w:r>
      <w:r w:rsidRPr="00271E51">
        <w:rPr>
          <w:rFonts w:ascii="Times New Roman" w:hAnsi="Times New Roman"/>
          <w:color w:val="000000" w:themeColor="text1"/>
          <w:sz w:val="16"/>
          <w:szCs w:val="16"/>
        </w:rPr>
        <w:softHyphen/>
        <w:t>ри ВВС КА понесли в воздушных боях; значи</w:t>
      </w:r>
      <w:r w:rsidRPr="00271E51">
        <w:rPr>
          <w:rFonts w:ascii="Times New Roman" w:hAnsi="Times New Roman"/>
          <w:color w:val="000000" w:themeColor="text1"/>
          <w:sz w:val="16"/>
          <w:szCs w:val="16"/>
        </w:rPr>
        <w:softHyphen/>
        <w:t>тельно меньше - от огня зенитной артиллерии, зенитных пулеметов и совсем «ничтожные по</w:t>
      </w:r>
      <w:r w:rsidRPr="00271E51">
        <w:rPr>
          <w:rFonts w:ascii="Times New Roman" w:hAnsi="Times New Roman"/>
          <w:color w:val="000000" w:themeColor="text1"/>
          <w:sz w:val="16"/>
          <w:szCs w:val="16"/>
        </w:rPr>
        <w:softHyphen/>
        <w:t>тери в результате нападения авиации против</w:t>
      </w:r>
      <w:r w:rsidRPr="00271E51">
        <w:rPr>
          <w:rFonts w:ascii="Times New Roman" w:hAnsi="Times New Roman"/>
          <w:color w:val="000000" w:themeColor="text1"/>
          <w:sz w:val="16"/>
          <w:szCs w:val="16"/>
        </w:rPr>
        <w:softHyphen/>
        <w:t>ника на аэродромы». Так, из числа потерь, при</w:t>
      </w:r>
      <w:r w:rsidRPr="00271E51">
        <w:rPr>
          <w:rFonts w:ascii="Times New Roman" w:hAnsi="Times New Roman"/>
          <w:color w:val="000000" w:themeColor="text1"/>
          <w:sz w:val="16"/>
          <w:szCs w:val="16"/>
        </w:rPr>
        <w:softHyphen/>
        <w:t>ходящихся на 138183 боевых самолетовылетов всех родов авиации, 47,9% составили поте</w:t>
      </w:r>
      <w:r w:rsidRPr="00271E51">
        <w:rPr>
          <w:rFonts w:ascii="Times New Roman" w:hAnsi="Times New Roman"/>
          <w:color w:val="000000" w:themeColor="text1"/>
          <w:sz w:val="16"/>
          <w:szCs w:val="16"/>
        </w:rPr>
        <w:softHyphen/>
        <w:t>ри в воздушных боях, 19,5% - от огня зенит</w:t>
      </w:r>
      <w:r w:rsidRPr="00271E51">
        <w:rPr>
          <w:rFonts w:ascii="Times New Roman" w:hAnsi="Times New Roman"/>
          <w:color w:val="000000" w:themeColor="text1"/>
          <w:sz w:val="16"/>
          <w:szCs w:val="16"/>
        </w:rPr>
        <w:softHyphen/>
        <w:t>ных средств и только 3% - от бомбоштурмовых ударов по аэродромам.</w:t>
      </w:r>
    </w:p>
    <w:p w14:paraId="6DAC7B39"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Довольно значительным являлся процент потерь по невыясненным причинам, которые обычно классифицировались как «не вернув</w:t>
      </w:r>
      <w:r w:rsidRPr="00271E51">
        <w:rPr>
          <w:rFonts w:ascii="Times New Roman" w:hAnsi="Times New Roman"/>
          <w:color w:val="000000" w:themeColor="text1"/>
          <w:sz w:val="16"/>
          <w:szCs w:val="16"/>
        </w:rPr>
        <w:softHyphen/>
        <w:t>шиеся с боевого задания». У одноместных са</w:t>
      </w:r>
      <w:r w:rsidRPr="00271E51">
        <w:rPr>
          <w:rFonts w:ascii="Times New Roman" w:hAnsi="Times New Roman"/>
          <w:color w:val="000000" w:themeColor="text1"/>
          <w:sz w:val="16"/>
          <w:szCs w:val="16"/>
        </w:rPr>
        <w:softHyphen/>
        <w:t>молетов (истребители и штурмовики) эти по</w:t>
      </w:r>
      <w:r w:rsidRPr="00271E51">
        <w:rPr>
          <w:rFonts w:ascii="Times New Roman" w:hAnsi="Times New Roman"/>
          <w:color w:val="000000" w:themeColor="text1"/>
          <w:sz w:val="16"/>
          <w:szCs w:val="16"/>
        </w:rPr>
        <w:softHyphen/>
        <w:t>тери были больше, чем у многоместных, и осо</w:t>
      </w:r>
      <w:r w:rsidRPr="00271E51">
        <w:rPr>
          <w:rFonts w:ascii="Times New Roman" w:hAnsi="Times New Roman"/>
          <w:color w:val="000000" w:themeColor="text1"/>
          <w:sz w:val="16"/>
          <w:szCs w:val="16"/>
        </w:rPr>
        <w:softHyphen/>
        <w:t>бенно высокие - у ночных бомбардировщиков У-2 и Р-5. По видам авиации потери по невыяс</w:t>
      </w:r>
      <w:r w:rsidRPr="00271E51">
        <w:rPr>
          <w:rFonts w:ascii="Times New Roman" w:hAnsi="Times New Roman"/>
          <w:color w:val="000000" w:themeColor="text1"/>
          <w:sz w:val="16"/>
          <w:szCs w:val="16"/>
        </w:rPr>
        <w:softHyphen/>
        <w:t>ненным причинам достигали: у ночных бомбар</w:t>
      </w:r>
      <w:r w:rsidRPr="00271E51">
        <w:rPr>
          <w:rFonts w:ascii="Times New Roman" w:hAnsi="Times New Roman"/>
          <w:color w:val="000000" w:themeColor="text1"/>
          <w:sz w:val="16"/>
          <w:szCs w:val="16"/>
        </w:rPr>
        <w:softHyphen/>
        <w:t>дировщиков - 54%, штурмовиков - 29,7%, ис</w:t>
      </w:r>
      <w:r w:rsidRPr="00271E51">
        <w:rPr>
          <w:rFonts w:ascii="Times New Roman" w:hAnsi="Times New Roman"/>
          <w:color w:val="000000" w:themeColor="text1"/>
          <w:sz w:val="16"/>
          <w:szCs w:val="16"/>
        </w:rPr>
        <w:softHyphen/>
        <w:t>требителей - 29%, дневных бомбардировщи</w:t>
      </w:r>
      <w:r w:rsidRPr="00271E51">
        <w:rPr>
          <w:rFonts w:ascii="Times New Roman" w:hAnsi="Times New Roman"/>
          <w:color w:val="000000" w:themeColor="text1"/>
          <w:sz w:val="16"/>
          <w:szCs w:val="16"/>
        </w:rPr>
        <w:softHyphen/>
        <w:t>ков - 26%. Усреднение по всем видам авиации дает 29,6% не вернувшихся с боевого задания от общего числа боевых потерь.</w:t>
      </w:r>
    </w:p>
    <w:p w14:paraId="0D001BF1"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Столь большие потери по невыясненным причинам считались следст</w:t>
      </w:r>
      <w:r w:rsidRPr="00271E51">
        <w:rPr>
          <w:rFonts w:ascii="Times New Roman" w:hAnsi="Times New Roman"/>
          <w:color w:val="000000" w:themeColor="text1"/>
          <w:sz w:val="16"/>
          <w:szCs w:val="16"/>
        </w:rPr>
        <w:softHyphen/>
        <w:t>вием плохой осмотрительно</w:t>
      </w:r>
      <w:r w:rsidRPr="00271E51">
        <w:rPr>
          <w:rFonts w:ascii="Times New Roman" w:hAnsi="Times New Roman"/>
          <w:color w:val="000000" w:themeColor="text1"/>
          <w:sz w:val="16"/>
          <w:szCs w:val="16"/>
        </w:rPr>
        <w:softHyphen/>
        <w:t>сти летчиков при полете в со</w:t>
      </w:r>
      <w:r w:rsidRPr="00271E51">
        <w:rPr>
          <w:rFonts w:ascii="Times New Roman" w:hAnsi="Times New Roman"/>
          <w:color w:val="000000" w:themeColor="text1"/>
          <w:sz w:val="16"/>
          <w:szCs w:val="16"/>
        </w:rPr>
        <w:softHyphen/>
        <w:t>ставе группы и недостаточной сколоченности самих групп, особенно у штурмовиков и бомбардировщиков, а также объяснялись «отвлечением внимания летчика на пилоти</w:t>
      </w:r>
      <w:r w:rsidRPr="00271E51">
        <w:rPr>
          <w:rFonts w:ascii="Times New Roman" w:hAnsi="Times New Roman"/>
          <w:color w:val="000000" w:themeColor="text1"/>
          <w:sz w:val="16"/>
          <w:szCs w:val="16"/>
        </w:rPr>
        <w:softHyphen/>
        <w:t>рование самолета и ориенти</w:t>
      </w:r>
      <w:r w:rsidRPr="00271E51">
        <w:rPr>
          <w:rFonts w:ascii="Times New Roman" w:hAnsi="Times New Roman"/>
          <w:color w:val="000000" w:themeColor="text1"/>
          <w:sz w:val="16"/>
          <w:szCs w:val="16"/>
        </w:rPr>
        <w:softHyphen/>
        <w:t>ровку, вследствие чего он не может непрерывно наблюдать за соседями». Все это вместе взятое в воздушном бою при</w:t>
      </w:r>
      <w:r w:rsidRPr="00271E51">
        <w:rPr>
          <w:rFonts w:ascii="Times New Roman" w:hAnsi="Times New Roman"/>
          <w:color w:val="000000" w:themeColor="text1"/>
          <w:sz w:val="16"/>
          <w:szCs w:val="16"/>
        </w:rPr>
        <w:softHyphen/>
        <w:t>водило к растянутости боево</w:t>
      </w:r>
      <w:r w:rsidRPr="00271E51">
        <w:rPr>
          <w:rFonts w:ascii="Times New Roman" w:hAnsi="Times New Roman"/>
          <w:color w:val="000000" w:themeColor="text1"/>
          <w:sz w:val="16"/>
          <w:szCs w:val="16"/>
        </w:rPr>
        <w:softHyphen/>
        <w:t>го порядка, к отставанию или отрыву отдель</w:t>
      </w:r>
      <w:r w:rsidRPr="00271E51">
        <w:rPr>
          <w:rFonts w:ascii="Times New Roman" w:hAnsi="Times New Roman"/>
          <w:color w:val="000000" w:themeColor="text1"/>
          <w:sz w:val="16"/>
          <w:szCs w:val="16"/>
        </w:rPr>
        <w:softHyphen/>
        <w:t>ных самолетов от общего боевого порядка группы. Как следует из документов, отставание и отрыв отдельных самолетов являлись одной из главных причин сбития бомбардировщиков и штурмовиков истребителями противника. В том случае, когда это происходило вне наблю</w:t>
      </w:r>
      <w:r w:rsidRPr="00271E51">
        <w:rPr>
          <w:rFonts w:ascii="Times New Roman" w:hAnsi="Times New Roman"/>
          <w:color w:val="000000" w:themeColor="text1"/>
          <w:sz w:val="16"/>
          <w:szCs w:val="16"/>
        </w:rPr>
        <w:softHyphen/>
        <w:t>дения с земли или с соседних самолетов, поте</w:t>
      </w:r>
      <w:r w:rsidRPr="00271E51">
        <w:rPr>
          <w:rFonts w:ascii="Times New Roman" w:hAnsi="Times New Roman"/>
          <w:color w:val="000000" w:themeColor="text1"/>
          <w:sz w:val="16"/>
          <w:szCs w:val="16"/>
        </w:rPr>
        <w:softHyphen/>
        <w:t>ри обычно зачислялись в группу не вернувших</w:t>
      </w:r>
      <w:r w:rsidRPr="00271E51">
        <w:rPr>
          <w:rFonts w:ascii="Times New Roman" w:hAnsi="Times New Roman"/>
          <w:color w:val="000000" w:themeColor="text1"/>
          <w:sz w:val="16"/>
          <w:szCs w:val="16"/>
        </w:rPr>
        <w:softHyphen/>
        <w:t>ся с боевого задания.</w:t>
      </w:r>
    </w:p>
    <w:p w14:paraId="583CA51F"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налета на одну боевую потерю са</w:t>
      </w:r>
      <w:r w:rsidRPr="00271E51">
        <w:rPr>
          <w:rFonts w:ascii="Times New Roman" w:hAnsi="Times New Roman"/>
          <w:color w:val="000000" w:themeColor="text1"/>
          <w:sz w:val="16"/>
          <w:szCs w:val="16"/>
        </w:rPr>
        <w:softHyphen/>
        <w:t>молета за указанный период показывает, что наибольшую продолжительность боевой служ</w:t>
      </w:r>
      <w:r w:rsidRPr="00271E51">
        <w:rPr>
          <w:rFonts w:ascii="Times New Roman" w:hAnsi="Times New Roman"/>
          <w:color w:val="000000" w:themeColor="text1"/>
          <w:sz w:val="16"/>
          <w:szCs w:val="16"/>
        </w:rPr>
        <w:softHyphen/>
        <w:t>бы, выраженной в самолетовылетах и в часах боевого налета, имели ближние ночные бом</w:t>
      </w:r>
      <w:r w:rsidRPr="00271E51">
        <w:rPr>
          <w:rFonts w:ascii="Times New Roman" w:hAnsi="Times New Roman"/>
          <w:color w:val="000000" w:themeColor="text1"/>
          <w:sz w:val="16"/>
          <w:szCs w:val="16"/>
        </w:rPr>
        <w:softHyphen/>
        <w:t>бардировщики. На одну боевую потерю у них приходилось 476 самолетовылетов и 503 ч бо</w:t>
      </w:r>
      <w:r w:rsidRPr="00271E51">
        <w:rPr>
          <w:rFonts w:ascii="Times New Roman" w:hAnsi="Times New Roman"/>
          <w:color w:val="000000" w:themeColor="text1"/>
          <w:sz w:val="16"/>
          <w:szCs w:val="16"/>
        </w:rPr>
        <w:softHyphen/>
        <w:t>евого налета, в то время как у истребителей - 69 самолетовылетов и 60 ч, у дневных бом</w:t>
      </w:r>
      <w:r w:rsidRPr="00271E51">
        <w:rPr>
          <w:rFonts w:ascii="Times New Roman" w:hAnsi="Times New Roman"/>
          <w:color w:val="000000" w:themeColor="text1"/>
          <w:sz w:val="16"/>
          <w:szCs w:val="16"/>
        </w:rPr>
        <w:softHyphen/>
        <w:t>бардировщиков - 48 самолетовылетов и 63 ч, у штурмовиков - 26 самолетовылетов и 27 ч на</w:t>
      </w:r>
      <w:r w:rsidRPr="00271E51">
        <w:rPr>
          <w:rFonts w:ascii="Times New Roman" w:hAnsi="Times New Roman"/>
          <w:color w:val="000000" w:themeColor="text1"/>
          <w:sz w:val="16"/>
          <w:szCs w:val="16"/>
        </w:rPr>
        <w:softHyphen/>
        <w:t>лета соответственно.</w:t>
      </w:r>
    </w:p>
    <w:p w14:paraId="2997756C"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продолжительность боевой служ</w:t>
      </w:r>
      <w:r w:rsidRPr="00271E51">
        <w:rPr>
          <w:rFonts w:ascii="Times New Roman" w:hAnsi="Times New Roman"/>
          <w:color w:val="000000" w:themeColor="text1"/>
          <w:sz w:val="16"/>
          <w:szCs w:val="16"/>
        </w:rPr>
        <w:softHyphen/>
        <w:t>бы ночных бомбардировщиков в основном определялась низкой эффективностью огня малокалиберной зенитной артиллерии (МЗА) и зенитных пулеметных установок (ЗПУ), при</w:t>
      </w:r>
      <w:r w:rsidRPr="00271E51">
        <w:rPr>
          <w:rFonts w:ascii="Times New Roman" w:hAnsi="Times New Roman"/>
          <w:color w:val="000000" w:themeColor="text1"/>
          <w:sz w:val="16"/>
          <w:szCs w:val="16"/>
        </w:rPr>
        <w:softHyphen/>
        <w:t>крывающих войска и объекты войскового тыла противника, по которым преимуществен</w:t>
      </w:r>
      <w:r w:rsidRPr="00271E51">
        <w:rPr>
          <w:rFonts w:ascii="Times New Roman" w:hAnsi="Times New Roman"/>
          <w:color w:val="000000" w:themeColor="text1"/>
          <w:sz w:val="16"/>
          <w:szCs w:val="16"/>
        </w:rPr>
        <w:softHyphen/>
        <w:t>но действовали самолеты У-2 и Р-5, даже при стрельбе по самолетам, действующим на вы</w:t>
      </w:r>
      <w:r w:rsidRPr="00271E51">
        <w:rPr>
          <w:rFonts w:ascii="Times New Roman" w:hAnsi="Times New Roman"/>
          <w:color w:val="000000" w:themeColor="text1"/>
          <w:sz w:val="16"/>
          <w:szCs w:val="16"/>
        </w:rPr>
        <w:softHyphen/>
        <w:t>сотах от 1200 до 300м.</w:t>
      </w:r>
    </w:p>
    <w:p w14:paraId="32807DF0"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МЗА и ЗПУ не имели при</w:t>
      </w:r>
      <w:r w:rsidRPr="00271E51">
        <w:rPr>
          <w:rFonts w:ascii="Times New Roman" w:hAnsi="Times New Roman"/>
          <w:color w:val="000000" w:themeColor="text1"/>
          <w:sz w:val="16"/>
          <w:szCs w:val="16"/>
        </w:rPr>
        <w:softHyphen/>
        <w:t>боров управления огнем, работающих на прин</w:t>
      </w:r>
      <w:r w:rsidRPr="00271E51">
        <w:rPr>
          <w:rFonts w:ascii="Times New Roman" w:hAnsi="Times New Roman"/>
          <w:color w:val="000000" w:themeColor="text1"/>
          <w:sz w:val="16"/>
          <w:szCs w:val="16"/>
        </w:rPr>
        <w:softHyphen/>
        <w:t>ципе определения местоположения самолета по звуку, поэтому могли вести стрельбу на по</w:t>
      </w:r>
      <w:r w:rsidRPr="00271E51">
        <w:rPr>
          <w:rFonts w:ascii="Times New Roman" w:hAnsi="Times New Roman"/>
          <w:color w:val="000000" w:themeColor="text1"/>
          <w:sz w:val="16"/>
          <w:szCs w:val="16"/>
        </w:rPr>
        <w:softHyphen/>
        <w:t>ражение только «по зрячему». Кроме того, не</w:t>
      </w:r>
      <w:r w:rsidRPr="00271E51">
        <w:rPr>
          <w:rFonts w:ascii="Times New Roman" w:hAnsi="Times New Roman"/>
          <w:color w:val="000000" w:themeColor="text1"/>
          <w:sz w:val="16"/>
          <w:szCs w:val="16"/>
        </w:rPr>
        <w:softHyphen/>
        <w:t>большая мощность моторов и скорость само</w:t>
      </w:r>
      <w:r w:rsidRPr="00271E51">
        <w:rPr>
          <w:rFonts w:ascii="Times New Roman" w:hAnsi="Times New Roman"/>
          <w:color w:val="000000" w:themeColor="text1"/>
          <w:sz w:val="16"/>
          <w:szCs w:val="16"/>
        </w:rPr>
        <w:softHyphen/>
        <w:t>летов этого типа позволяли подходить к про</w:t>
      </w:r>
      <w:r w:rsidRPr="00271E51">
        <w:rPr>
          <w:rFonts w:ascii="Times New Roman" w:hAnsi="Times New Roman"/>
          <w:color w:val="000000" w:themeColor="text1"/>
          <w:sz w:val="16"/>
          <w:szCs w:val="16"/>
        </w:rPr>
        <w:softHyphen/>
        <w:t>тивнику ночью внезапно. Звук мотора, особен</w:t>
      </w:r>
      <w:r w:rsidRPr="00271E51">
        <w:rPr>
          <w:rFonts w:ascii="Times New Roman" w:hAnsi="Times New Roman"/>
          <w:color w:val="000000" w:themeColor="text1"/>
          <w:sz w:val="16"/>
          <w:szCs w:val="16"/>
        </w:rPr>
        <w:softHyphen/>
        <w:t>но работающего в режиме малого газа, можно было услышать лишь на очень близком рассто</w:t>
      </w:r>
      <w:r w:rsidRPr="00271E51">
        <w:rPr>
          <w:rFonts w:ascii="Times New Roman" w:hAnsi="Times New Roman"/>
          <w:color w:val="000000" w:themeColor="text1"/>
          <w:sz w:val="16"/>
          <w:szCs w:val="16"/>
        </w:rPr>
        <w:softHyphen/>
        <w:t>янии. В результате подход к району цели на вы</w:t>
      </w:r>
      <w:r w:rsidRPr="00271E51">
        <w:rPr>
          <w:rFonts w:ascii="Times New Roman" w:hAnsi="Times New Roman"/>
          <w:color w:val="000000" w:themeColor="text1"/>
          <w:sz w:val="16"/>
          <w:szCs w:val="16"/>
        </w:rPr>
        <w:softHyphen/>
        <w:t>соте 1200-1800 м с последующим планирова</w:t>
      </w:r>
      <w:r w:rsidRPr="00271E51">
        <w:rPr>
          <w:rFonts w:ascii="Times New Roman" w:hAnsi="Times New Roman"/>
          <w:color w:val="000000" w:themeColor="text1"/>
          <w:sz w:val="16"/>
          <w:szCs w:val="16"/>
        </w:rPr>
        <w:softHyphen/>
        <w:t>нием до малой высоты, как правило, обеспечи</w:t>
      </w:r>
      <w:r w:rsidRPr="00271E51">
        <w:rPr>
          <w:rFonts w:ascii="Times New Roman" w:hAnsi="Times New Roman"/>
          <w:color w:val="000000" w:themeColor="text1"/>
          <w:sz w:val="16"/>
          <w:szCs w:val="16"/>
        </w:rPr>
        <w:softHyphen/>
        <w:t>вал внезапность удара.</w:t>
      </w:r>
    </w:p>
    <w:p w14:paraId="066C2187"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Небольшая скорость планирования само</w:t>
      </w:r>
      <w:r w:rsidRPr="00271E51">
        <w:rPr>
          <w:rFonts w:ascii="Times New Roman" w:hAnsi="Times New Roman"/>
          <w:color w:val="000000" w:themeColor="text1"/>
          <w:sz w:val="16"/>
          <w:szCs w:val="16"/>
        </w:rPr>
        <w:softHyphen/>
        <w:t>лета У-2 и, как следствие, отсутствие свистя</w:t>
      </w:r>
      <w:r w:rsidRPr="00271E51">
        <w:rPr>
          <w:rFonts w:ascii="Times New Roman" w:hAnsi="Times New Roman"/>
          <w:color w:val="000000" w:themeColor="text1"/>
          <w:sz w:val="16"/>
          <w:szCs w:val="16"/>
        </w:rPr>
        <w:softHyphen/>
        <w:t>щих звуков, характерных для самолетов, пи</w:t>
      </w:r>
      <w:r w:rsidRPr="00271E51">
        <w:rPr>
          <w:rFonts w:ascii="Times New Roman" w:hAnsi="Times New Roman"/>
          <w:color w:val="000000" w:themeColor="text1"/>
          <w:sz w:val="16"/>
          <w:szCs w:val="16"/>
        </w:rPr>
        <w:softHyphen/>
        <w:t>кирующих на большой скорости, позволяли использовать пулеметы и РС-82 для успешно</w:t>
      </w:r>
      <w:r w:rsidRPr="00271E51">
        <w:rPr>
          <w:rFonts w:ascii="Times New Roman" w:hAnsi="Times New Roman"/>
          <w:color w:val="000000" w:themeColor="text1"/>
          <w:sz w:val="16"/>
          <w:szCs w:val="16"/>
        </w:rPr>
        <w:softHyphen/>
        <w:t>го подавления зенитных средств противника с малых высот. Как показал опыт, такой спо</w:t>
      </w:r>
      <w:r w:rsidRPr="00271E51">
        <w:rPr>
          <w:rFonts w:ascii="Times New Roman" w:hAnsi="Times New Roman"/>
          <w:color w:val="000000" w:themeColor="text1"/>
          <w:sz w:val="16"/>
          <w:szCs w:val="16"/>
        </w:rPr>
        <w:softHyphen/>
        <w:t>соб боевых действий значительно снижал эф</w:t>
      </w:r>
      <w:r w:rsidRPr="00271E51">
        <w:rPr>
          <w:rFonts w:ascii="Times New Roman" w:hAnsi="Times New Roman"/>
          <w:color w:val="000000" w:themeColor="text1"/>
          <w:sz w:val="16"/>
          <w:szCs w:val="16"/>
        </w:rPr>
        <w:softHyphen/>
        <w:t>фективность войсковой системы ПВО войск противника ночью. Из общего незначительно</w:t>
      </w:r>
      <w:r w:rsidRPr="00271E51">
        <w:rPr>
          <w:rFonts w:ascii="Times New Roman" w:hAnsi="Times New Roman"/>
          <w:color w:val="000000" w:themeColor="text1"/>
          <w:sz w:val="16"/>
          <w:szCs w:val="16"/>
        </w:rPr>
        <w:softHyphen/>
        <w:t>го числа потерь у ночных бомбардировщиков на долю зенитных средств приходилось толь</w:t>
      </w:r>
      <w:r w:rsidRPr="00271E51">
        <w:rPr>
          <w:rFonts w:ascii="Times New Roman" w:hAnsi="Times New Roman"/>
          <w:color w:val="000000" w:themeColor="text1"/>
          <w:sz w:val="16"/>
          <w:szCs w:val="16"/>
        </w:rPr>
        <w:softHyphen/>
        <w:t>ко 14,3%.</w:t>
      </w:r>
    </w:p>
    <w:p w14:paraId="7D4EFA80"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иметь в виду, что результа</w:t>
      </w:r>
      <w:r w:rsidRPr="00271E51">
        <w:rPr>
          <w:rFonts w:ascii="Times New Roman" w:hAnsi="Times New Roman"/>
          <w:color w:val="000000" w:themeColor="text1"/>
          <w:sz w:val="16"/>
          <w:szCs w:val="16"/>
        </w:rPr>
        <w:softHyphen/>
        <w:t>ты ночного бомбометания (отсутствие на У-2 специального бомбового прицела) не всегда оправдывали целесообразность действий но</w:t>
      </w:r>
      <w:r w:rsidRPr="00271E51">
        <w:rPr>
          <w:rFonts w:ascii="Times New Roman" w:hAnsi="Times New Roman"/>
          <w:color w:val="000000" w:themeColor="text1"/>
          <w:sz w:val="16"/>
          <w:szCs w:val="16"/>
        </w:rPr>
        <w:softHyphen/>
        <w:t>чью. Для повышения эффективности ночного бомбометания до необходимого уровня требо</w:t>
      </w:r>
      <w:r w:rsidRPr="00271E51">
        <w:rPr>
          <w:rFonts w:ascii="Times New Roman" w:hAnsi="Times New Roman"/>
          <w:color w:val="000000" w:themeColor="text1"/>
          <w:sz w:val="16"/>
          <w:szCs w:val="16"/>
        </w:rPr>
        <w:softHyphen/>
        <w:t>валось значительно расширить масштабы ис</w:t>
      </w:r>
      <w:r w:rsidRPr="00271E51">
        <w:rPr>
          <w:rFonts w:ascii="Times New Roman" w:hAnsi="Times New Roman"/>
          <w:color w:val="000000" w:themeColor="text1"/>
          <w:sz w:val="16"/>
          <w:szCs w:val="16"/>
        </w:rPr>
        <w:softHyphen/>
        <w:t>пользования осветительных бомб и оснастить самолет прицелом для бомбометания ночью с высоты 1000-1200 м и более совершенным на</w:t>
      </w:r>
      <w:r w:rsidRPr="00271E51">
        <w:rPr>
          <w:rFonts w:ascii="Times New Roman" w:hAnsi="Times New Roman"/>
          <w:color w:val="000000" w:themeColor="text1"/>
          <w:sz w:val="16"/>
          <w:szCs w:val="16"/>
        </w:rPr>
        <w:softHyphen/>
        <w:t>вигационным оборудованием.</w:t>
      </w:r>
    </w:p>
    <w:p w14:paraId="59ED051F"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потери истребители (55,5% от общего числа боевых потерь) понесли в воз</w:t>
      </w:r>
      <w:r w:rsidRPr="00271E51">
        <w:rPr>
          <w:rFonts w:ascii="Times New Roman" w:hAnsi="Times New Roman"/>
          <w:color w:val="000000" w:themeColor="text1"/>
          <w:sz w:val="16"/>
          <w:szCs w:val="16"/>
        </w:rPr>
        <w:softHyphen/>
        <w:t>душных боях. От огня зенитных средств они понесли наименьшие потери по сравнению с бомбардировщиками и штурмовиками, что можно объяснить характером их боевой дея</w:t>
      </w:r>
      <w:r w:rsidRPr="00271E51">
        <w:rPr>
          <w:rFonts w:ascii="Times New Roman" w:hAnsi="Times New Roman"/>
          <w:color w:val="000000" w:themeColor="text1"/>
          <w:sz w:val="16"/>
          <w:szCs w:val="16"/>
        </w:rPr>
        <w:softHyphen/>
        <w:t>тельности и отчасти следствием высокой ско</w:t>
      </w:r>
      <w:r w:rsidRPr="00271E51">
        <w:rPr>
          <w:rFonts w:ascii="Times New Roman" w:hAnsi="Times New Roman"/>
          <w:color w:val="000000" w:themeColor="text1"/>
          <w:sz w:val="16"/>
          <w:szCs w:val="16"/>
        </w:rPr>
        <w:softHyphen/>
        <w:t>рости, скоротечности атак и хорошей верти</w:t>
      </w:r>
      <w:r w:rsidRPr="00271E51">
        <w:rPr>
          <w:rFonts w:ascii="Times New Roman" w:hAnsi="Times New Roman"/>
          <w:color w:val="000000" w:themeColor="text1"/>
          <w:sz w:val="16"/>
          <w:szCs w:val="16"/>
        </w:rPr>
        <w:softHyphen/>
        <w:t>кальной маневренности.</w:t>
      </w:r>
    </w:p>
    <w:p w14:paraId="74EA6394"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деятельность истребителей в основ</w:t>
      </w:r>
      <w:r w:rsidRPr="00271E51">
        <w:rPr>
          <w:rFonts w:ascii="Times New Roman" w:hAnsi="Times New Roman"/>
          <w:color w:val="000000" w:themeColor="text1"/>
          <w:sz w:val="16"/>
          <w:szCs w:val="16"/>
        </w:rPr>
        <w:softHyphen/>
        <w:t>ном складывалась из прикрытия войск и объек</w:t>
      </w:r>
      <w:r w:rsidRPr="00271E51">
        <w:rPr>
          <w:rFonts w:ascii="Times New Roman" w:hAnsi="Times New Roman"/>
          <w:color w:val="000000" w:themeColor="text1"/>
          <w:sz w:val="16"/>
          <w:szCs w:val="16"/>
        </w:rPr>
        <w:softHyphen/>
        <w:t>тов на своей территории, сопровождения штур</w:t>
      </w:r>
      <w:r w:rsidRPr="00271E51">
        <w:rPr>
          <w:rFonts w:ascii="Times New Roman" w:hAnsi="Times New Roman"/>
          <w:color w:val="000000" w:themeColor="text1"/>
          <w:sz w:val="16"/>
          <w:szCs w:val="16"/>
        </w:rPr>
        <w:softHyphen/>
        <w:t>мовиков и бомбардировщиков и вылетов на по</w:t>
      </w:r>
      <w:r w:rsidRPr="00271E51">
        <w:rPr>
          <w:rFonts w:ascii="Times New Roman" w:hAnsi="Times New Roman"/>
          <w:color w:val="000000" w:themeColor="text1"/>
          <w:sz w:val="16"/>
          <w:szCs w:val="16"/>
        </w:rPr>
        <w:softHyphen/>
        <w:t>иск и уничтожение самолетов противника. Зна</w:t>
      </w:r>
      <w:r w:rsidRPr="00271E51">
        <w:rPr>
          <w:rFonts w:ascii="Times New Roman" w:hAnsi="Times New Roman"/>
          <w:color w:val="000000" w:themeColor="text1"/>
          <w:sz w:val="16"/>
          <w:szCs w:val="16"/>
        </w:rPr>
        <w:softHyphen/>
        <w:t>чительно реже истребители привлекались для атаки наземных целей и разведки. Из всех пере</w:t>
      </w:r>
      <w:r w:rsidRPr="00271E51">
        <w:rPr>
          <w:rFonts w:ascii="Times New Roman" w:hAnsi="Times New Roman"/>
          <w:color w:val="000000" w:themeColor="text1"/>
          <w:sz w:val="16"/>
          <w:szCs w:val="16"/>
        </w:rPr>
        <w:softHyphen/>
        <w:t>численных случаев они подвергались обстрелу зенитным огнем, главным образом, при сопро</w:t>
      </w:r>
      <w:r w:rsidRPr="00271E51">
        <w:rPr>
          <w:rFonts w:ascii="Times New Roman" w:hAnsi="Times New Roman"/>
          <w:color w:val="000000" w:themeColor="text1"/>
          <w:sz w:val="16"/>
          <w:szCs w:val="16"/>
        </w:rPr>
        <w:softHyphen/>
        <w:t>вождении своих самолетов на территорию про</w:t>
      </w:r>
      <w:r w:rsidRPr="00271E51">
        <w:rPr>
          <w:rFonts w:ascii="Times New Roman" w:hAnsi="Times New Roman"/>
          <w:color w:val="000000" w:themeColor="text1"/>
          <w:sz w:val="16"/>
          <w:szCs w:val="16"/>
        </w:rPr>
        <w:softHyphen/>
        <w:t>тивника и при действиях по наземным целям.</w:t>
      </w:r>
    </w:p>
    <w:p w14:paraId="5EFB257E"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Дневные бомбардировщики, как и истре</w:t>
      </w:r>
      <w:r w:rsidRPr="00271E51">
        <w:rPr>
          <w:rFonts w:ascii="Times New Roman" w:hAnsi="Times New Roman"/>
          <w:color w:val="000000" w:themeColor="text1"/>
          <w:sz w:val="16"/>
          <w:szCs w:val="16"/>
        </w:rPr>
        <w:softHyphen/>
        <w:t>бители, основные потери (около 51%) несли от огня истребителей. На втором месте стоят по</w:t>
      </w:r>
      <w:r w:rsidRPr="00271E51">
        <w:rPr>
          <w:rFonts w:ascii="Times New Roman" w:hAnsi="Times New Roman"/>
          <w:color w:val="000000" w:themeColor="text1"/>
          <w:sz w:val="16"/>
          <w:szCs w:val="16"/>
        </w:rPr>
        <w:softHyphen/>
        <w:t>тери по не выясненным причинам (26%) и толь</w:t>
      </w:r>
      <w:r w:rsidRPr="00271E51">
        <w:rPr>
          <w:rFonts w:ascii="Times New Roman" w:hAnsi="Times New Roman"/>
          <w:color w:val="000000" w:themeColor="text1"/>
          <w:sz w:val="16"/>
          <w:szCs w:val="16"/>
        </w:rPr>
        <w:softHyphen/>
        <w:t>ко затем следуют потери от огня зенитной ар</w:t>
      </w:r>
      <w:r w:rsidRPr="00271E51">
        <w:rPr>
          <w:rFonts w:ascii="Times New Roman" w:hAnsi="Times New Roman"/>
          <w:color w:val="000000" w:themeColor="text1"/>
          <w:sz w:val="16"/>
          <w:szCs w:val="16"/>
        </w:rPr>
        <w:softHyphen/>
        <w:t>тиллерии (21%).</w:t>
      </w:r>
    </w:p>
    <w:p w14:paraId="63DA2F02"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Наибольшие потери пришлись на долю штурмовиков Ил-2. По сравнению сщругими типами самолетов потери Ил-2 от зенитно</w:t>
      </w:r>
      <w:r w:rsidRPr="00271E51">
        <w:rPr>
          <w:rFonts w:ascii="Times New Roman" w:hAnsi="Times New Roman"/>
          <w:color w:val="000000" w:themeColor="text1"/>
          <w:sz w:val="16"/>
          <w:szCs w:val="16"/>
        </w:rPr>
        <w:softHyphen/>
        <w:t>го огня являлись наибольшими (34,6%), хотя на систему боевой живучести самолета (бронекорпус, протектор бензобаков, система за</w:t>
      </w:r>
      <w:r w:rsidRPr="00271E51">
        <w:rPr>
          <w:rFonts w:ascii="Times New Roman" w:hAnsi="Times New Roman"/>
          <w:color w:val="000000" w:themeColor="text1"/>
          <w:sz w:val="16"/>
          <w:szCs w:val="16"/>
        </w:rPr>
        <w:softHyphen/>
        <w:t>полнения бензобаков азотом) было выделено 15,6% полетного веса, что значительно выше, чем у истребителей (1-1,8%) и бомбардиров</w:t>
      </w:r>
      <w:r w:rsidRPr="00271E51">
        <w:rPr>
          <w:rFonts w:ascii="Times New Roman" w:hAnsi="Times New Roman"/>
          <w:color w:val="000000" w:themeColor="text1"/>
          <w:sz w:val="16"/>
          <w:szCs w:val="16"/>
        </w:rPr>
        <w:softHyphen/>
        <w:t>щиков (1,7-1,9%).</w:t>
      </w:r>
    </w:p>
    <w:p w14:paraId="444A5092"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объекты атак штурмо</w:t>
      </w:r>
      <w:r w:rsidRPr="00271E51">
        <w:rPr>
          <w:rFonts w:ascii="Times New Roman" w:hAnsi="Times New Roman"/>
          <w:color w:val="000000" w:themeColor="text1"/>
          <w:sz w:val="16"/>
          <w:szCs w:val="16"/>
        </w:rPr>
        <w:softHyphen/>
        <w:t>виков в войсковом тылу противника прикры</w:t>
      </w:r>
      <w:r w:rsidRPr="00271E51">
        <w:rPr>
          <w:rFonts w:ascii="Times New Roman" w:hAnsi="Times New Roman"/>
          <w:color w:val="000000" w:themeColor="text1"/>
          <w:sz w:val="16"/>
          <w:szCs w:val="16"/>
        </w:rPr>
        <w:softHyphen/>
        <w:t>вались значительным количеством батарей МЗА и ЗПУ, огонь которых, как показывал ана</w:t>
      </w:r>
      <w:r w:rsidRPr="00271E51">
        <w:rPr>
          <w:rFonts w:ascii="Times New Roman" w:hAnsi="Times New Roman"/>
          <w:color w:val="000000" w:themeColor="text1"/>
          <w:sz w:val="16"/>
          <w:szCs w:val="16"/>
        </w:rPr>
        <w:softHyphen/>
        <w:t>лиз поражений Ил-2, оказывался весьма дей</w:t>
      </w:r>
      <w:r w:rsidRPr="00271E51">
        <w:rPr>
          <w:rFonts w:ascii="Times New Roman" w:hAnsi="Times New Roman"/>
          <w:color w:val="000000" w:themeColor="text1"/>
          <w:sz w:val="16"/>
          <w:szCs w:val="16"/>
        </w:rPr>
        <w:softHyphen/>
        <w:t>ственным на основных высотах боевой рабо</w:t>
      </w:r>
      <w:r w:rsidRPr="00271E51">
        <w:rPr>
          <w:rFonts w:ascii="Times New Roman" w:hAnsi="Times New Roman"/>
          <w:color w:val="000000" w:themeColor="text1"/>
          <w:sz w:val="16"/>
          <w:szCs w:val="16"/>
        </w:rPr>
        <w:softHyphen/>
        <w:t>ты - 600-1000 м (до бреющего полета вклю</w:t>
      </w:r>
      <w:r w:rsidRPr="00271E51">
        <w:rPr>
          <w:rFonts w:ascii="Times New Roman" w:hAnsi="Times New Roman"/>
          <w:color w:val="000000" w:themeColor="text1"/>
          <w:sz w:val="16"/>
          <w:szCs w:val="16"/>
        </w:rPr>
        <w:softHyphen/>
        <w:t>чительно).</w:t>
      </w:r>
    </w:p>
    <w:p w14:paraId="7201B9A4"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Обычно на наиболее опасных участках немцы сосредоточивали на 1 км фронта до 3-4 батарей МЗА и до 20-24 установок крупнока</w:t>
      </w:r>
      <w:r w:rsidRPr="00271E51">
        <w:rPr>
          <w:rFonts w:ascii="Times New Roman" w:hAnsi="Times New Roman"/>
          <w:color w:val="000000" w:themeColor="text1"/>
          <w:sz w:val="16"/>
          <w:szCs w:val="16"/>
        </w:rPr>
        <w:softHyphen/>
        <w:t>либерных зенитных пулеметов. Среднекали</w:t>
      </w:r>
      <w:r w:rsidRPr="00271E51">
        <w:rPr>
          <w:rFonts w:ascii="Times New Roman" w:hAnsi="Times New Roman"/>
          <w:color w:val="000000" w:themeColor="text1"/>
          <w:sz w:val="16"/>
          <w:szCs w:val="16"/>
        </w:rPr>
        <w:softHyphen/>
        <w:t>берная зенитная артиллерия располагалась из расчета в среднем одна батарея на 2 км фрон</w:t>
      </w:r>
      <w:r w:rsidRPr="00271E51">
        <w:rPr>
          <w:rFonts w:ascii="Times New Roman" w:hAnsi="Times New Roman"/>
          <w:color w:val="000000" w:themeColor="text1"/>
          <w:sz w:val="16"/>
          <w:szCs w:val="16"/>
        </w:rPr>
        <w:softHyphen/>
        <w:t>та. Кроме этого, довольно широко использова</w:t>
      </w:r>
      <w:r w:rsidRPr="00271E51">
        <w:rPr>
          <w:rFonts w:ascii="Times New Roman" w:hAnsi="Times New Roman"/>
          <w:color w:val="000000" w:themeColor="text1"/>
          <w:sz w:val="16"/>
          <w:szCs w:val="16"/>
        </w:rPr>
        <w:softHyphen/>
        <w:t>лись и так называемые «кочующие» зенитные батареи, засады и т.п., которые могли внезап</w:t>
      </w:r>
      <w:r w:rsidRPr="00271E51">
        <w:rPr>
          <w:rFonts w:ascii="Times New Roman" w:hAnsi="Times New Roman"/>
          <w:color w:val="000000" w:themeColor="text1"/>
          <w:sz w:val="16"/>
          <w:szCs w:val="16"/>
        </w:rPr>
        <w:softHyphen/>
        <w:t>но обстрелять штурмовики. Если Ил-2 подхо</w:t>
      </w:r>
      <w:r w:rsidRPr="00271E51">
        <w:rPr>
          <w:rFonts w:ascii="Times New Roman" w:hAnsi="Times New Roman"/>
          <w:color w:val="000000" w:themeColor="text1"/>
          <w:sz w:val="16"/>
          <w:szCs w:val="16"/>
        </w:rPr>
        <w:softHyphen/>
        <w:t>дили к цели на высоте порядка 800-1000 м, то уже за 3-4 км от линии фронта они могли быть обстреляны огнем среднекалиберной зенит</w:t>
      </w:r>
      <w:r w:rsidRPr="00271E51">
        <w:rPr>
          <w:rFonts w:ascii="Times New Roman" w:hAnsi="Times New Roman"/>
          <w:color w:val="000000" w:themeColor="text1"/>
          <w:sz w:val="16"/>
          <w:szCs w:val="16"/>
        </w:rPr>
        <w:softHyphen/>
        <w:t>ной артиллерии и за 1-1,5 км - огнем МЗА.</w:t>
      </w:r>
    </w:p>
    <w:p w14:paraId="473BC928"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штурмовикам уже при под</w:t>
      </w:r>
      <w:r w:rsidRPr="00271E51">
        <w:rPr>
          <w:rFonts w:ascii="Times New Roman" w:hAnsi="Times New Roman"/>
          <w:color w:val="000000" w:themeColor="text1"/>
          <w:sz w:val="16"/>
          <w:szCs w:val="16"/>
        </w:rPr>
        <w:softHyphen/>
        <w:t>ходе к целям на поле боя приходилось преодо</w:t>
      </w:r>
      <w:r w:rsidRPr="00271E51">
        <w:rPr>
          <w:rFonts w:ascii="Times New Roman" w:hAnsi="Times New Roman"/>
          <w:color w:val="000000" w:themeColor="text1"/>
          <w:sz w:val="16"/>
          <w:szCs w:val="16"/>
        </w:rPr>
        <w:softHyphen/>
        <w:t>левать сплошную стену зенитного огня. Плот</w:t>
      </w:r>
      <w:r w:rsidRPr="00271E51">
        <w:rPr>
          <w:rFonts w:ascii="Times New Roman" w:hAnsi="Times New Roman"/>
          <w:color w:val="000000" w:themeColor="text1"/>
          <w:sz w:val="16"/>
          <w:szCs w:val="16"/>
        </w:rPr>
        <w:softHyphen/>
        <w:t>ность огня на высотах боевого применения Ил-2, не считая орудий среднего калибра, доходила до трех-пятислойного огня. Как следует из документов, «МЗА обычно бьет по высотам 200-300-400-600-800-1000 м и далее...» (15763).</w:t>
      </w:r>
    </w:p>
    <w:p w14:paraId="5BA0D1AE"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Управления воздушно-стрелко- вой службы ВВС КА, во время атаки наземных целей в полосе немецкой обороны по штур</w:t>
      </w:r>
      <w:r w:rsidRPr="00271E51">
        <w:rPr>
          <w:rFonts w:ascii="Times New Roman" w:hAnsi="Times New Roman"/>
          <w:color w:val="000000" w:themeColor="text1"/>
          <w:sz w:val="16"/>
          <w:szCs w:val="16"/>
        </w:rPr>
        <w:softHyphen/>
        <w:t>мовику в секунду могло быть выпущено свыше 8000-9000 пуль крупного калибра и 200-300 малокалиберных зенитных снарядов со всеми вытекающими для Ил-2 последствиями.</w:t>
      </w:r>
    </w:p>
    <w:p w14:paraId="4398EB5C"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теперь учесть, что группы Ил-2 находи</w:t>
      </w:r>
      <w:r w:rsidRPr="00271E51">
        <w:rPr>
          <w:rFonts w:ascii="Times New Roman" w:hAnsi="Times New Roman"/>
          <w:color w:val="000000" w:themeColor="text1"/>
          <w:sz w:val="16"/>
          <w:szCs w:val="16"/>
        </w:rPr>
        <w:softHyphen/>
        <w:t>лись над полем боя в среднем по 10-15-20 мин на высотах 200-1000 м, то большие потери от зенитного огня - это вполне закономерный ре</w:t>
      </w:r>
      <w:r w:rsidRPr="00271E51">
        <w:rPr>
          <w:rFonts w:ascii="Times New Roman" w:hAnsi="Times New Roman"/>
          <w:color w:val="000000" w:themeColor="text1"/>
          <w:sz w:val="16"/>
          <w:szCs w:val="16"/>
        </w:rPr>
        <w:softHyphen/>
        <w:t>зультат. Характерно, что штурмовики понесли примерно равные потери от атак истребителей (34,9%) и огня немецких зенитчиков. Причем наметилась тенденция роста потерь от зенит</w:t>
      </w:r>
      <w:r w:rsidRPr="00271E51">
        <w:rPr>
          <w:rFonts w:ascii="Times New Roman" w:hAnsi="Times New Roman"/>
          <w:color w:val="000000" w:themeColor="text1"/>
          <w:sz w:val="16"/>
          <w:szCs w:val="16"/>
        </w:rPr>
        <w:softHyphen/>
        <w:t>ного огня при одновременном снижении по</w:t>
      </w:r>
      <w:r w:rsidRPr="00271E51">
        <w:rPr>
          <w:rFonts w:ascii="Times New Roman" w:hAnsi="Times New Roman"/>
          <w:color w:val="000000" w:themeColor="text1"/>
          <w:sz w:val="16"/>
          <w:szCs w:val="16"/>
        </w:rPr>
        <w:softHyphen/>
        <w:t>терь от действий истребителей.</w:t>
      </w:r>
    </w:p>
    <w:p w14:paraId="5C89F885"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иметь в виду, что 80% по</w:t>
      </w:r>
      <w:r w:rsidRPr="00271E51">
        <w:rPr>
          <w:rFonts w:ascii="Times New Roman" w:hAnsi="Times New Roman"/>
          <w:color w:val="000000" w:themeColor="text1"/>
          <w:sz w:val="16"/>
          <w:szCs w:val="16"/>
        </w:rPr>
        <w:softHyphen/>
        <w:t>терь Ил-2 по графе «не вернулось с боевого задания» можно в равной мере распределить между потерями от зенитного огня и истреби</w:t>
      </w:r>
      <w:r w:rsidRPr="00271E51">
        <w:rPr>
          <w:rFonts w:ascii="Times New Roman" w:hAnsi="Times New Roman"/>
          <w:color w:val="000000" w:themeColor="text1"/>
          <w:sz w:val="16"/>
          <w:szCs w:val="16"/>
        </w:rPr>
        <w:softHyphen/>
        <w:t>телей, а остальные 20% считать не вернувши</w:t>
      </w:r>
      <w:r w:rsidRPr="00271E51">
        <w:rPr>
          <w:rFonts w:ascii="Times New Roman" w:hAnsi="Times New Roman"/>
          <w:color w:val="000000" w:themeColor="text1"/>
          <w:sz w:val="16"/>
          <w:szCs w:val="16"/>
        </w:rPr>
        <w:softHyphen/>
        <w:t>мися из-за потери ориентировки. При таком допущении потери Ил-2 от истребителей со</w:t>
      </w:r>
      <w:r w:rsidRPr="00271E51">
        <w:rPr>
          <w:rFonts w:ascii="Times New Roman" w:hAnsi="Times New Roman"/>
          <w:color w:val="000000" w:themeColor="text1"/>
          <w:sz w:val="16"/>
          <w:szCs w:val="16"/>
        </w:rPr>
        <w:softHyphen/>
        <w:t>ставят 46,8%, а от зенитного огня - 46,4%.</w:t>
      </w:r>
    </w:p>
    <w:p w14:paraId="340FE6D3"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боевой службы само</w:t>
      </w:r>
      <w:r w:rsidRPr="00271E51">
        <w:rPr>
          <w:rFonts w:ascii="Times New Roman" w:hAnsi="Times New Roman"/>
          <w:color w:val="000000" w:themeColor="text1"/>
          <w:sz w:val="16"/>
          <w:szCs w:val="16"/>
        </w:rPr>
        <w:softHyphen/>
        <w:t>летов сильно зависела от степени противодей</w:t>
      </w:r>
      <w:r w:rsidRPr="00271E51">
        <w:rPr>
          <w:rFonts w:ascii="Times New Roman" w:hAnsi="Times New Roman"/>
          <w:color w:val="000000" w:themeColor="text1"/>
          <w:sz w:val="16"/>
          <w:szCs w:val="16"/>
        </w:rPr>
        <w:softHyphen/>
        <w:t>ствия противника с земли и в воздухе, что хо</w:t>
      </w:r>
      <w:r w:rsidRPr="00271E51">
        <w:rPr>
          <w:rFonts w:ascii="Times New Roman" w:hAnsi="Times New Roman"/>
          <w:color w:val="000000" w:themeColor="text1"/>
          <w:sz w:val="16"/>
          <w:szCs w:val="16"/>
        </w:rPr>
        <w:softHyphen/>
        <w:t>рошо видно из структуры потерь самолетов в разрезе операционных направлений и участии фронтов (воздушных армий).</w:t>
      </w:r>
    </w:p>
    <w:p w14:paraId="611704B1"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за первый год войны и март 1943 г. средний налет в ВВС 7-й ОА Карельского фрон</w:t>
      </w:r>
      <w:r w:rsidRPr="00271E51">
        <w:rPr>
          <w:rFonts w:ascii="Times New Roman" w:hAnsi="Times New Roman"/>
          <w:color w:val="000000" w:themeColor="text1"/>
          <w:sz w:val="16"/>
          <w:szCs w:val="16"/>
        </w:rPr>
        <w:softHyphen/>
        <w:t>та составил 152 самолетовылета на одну бое</w:t>
      </w:r>
      <w:r w:rsidRPr="00271E51">
        <w:rPr>
          <w:rFonts w:ascii="Times New Roman" w:hAnsi="Times New Roman"/>
          <w:color w:val="000000" w:themeColor="text1"/>
          <w:sz w:val="16"/>
          <w:szCs w:val="16"/>
        </w:rPr>
        <w:softHyphen/>
        <w:t>вую потерю (173 ч налета) дневного бомбар</w:t>
      </w:r>
      <w:r w:rsidRPr="00271E51">
        <w:rPr>
          <w:rFonts w:ascii="Times New Roman" w:hAnsi="Times New Roman"/>
          <w:color w:val="000000" w:themeColor="text1"/>
          <w:sz w:val="16"/>
          <w:szCs w:val="16"/>
        </w:rPr>
        <w:softHyphen/>
        <w:t>дировщика и 139 самолетовылетов (117 ч)- на одну потерю истребителя, что значительно выше средних цифр потерь авиации по I фронтам и направлениям.</w:t>
      </w:r>
    </w:p>
    <w:p w14:paraId="4B1BE48C"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потерь на Сталинградском, Донстн и Калининском фронтах за октябрь 1942 г. - январь 1943 г. показывает, что потери авт ции оказывались значительно меньше, копр ! было «сломлено сощютжление протвнш% :{ подорвано моральное состояние его частей», дезорганизована или серьезно ослаблена си</w:t>
      </w:r>
      <w:r w:rsidRPr="00271E51">
        <w:rPr>
          <w:rFonts w:ascii="Times New Roman" w:hAnsi="Times New Roman"/>
          <w:color w:val="000000" w:themeColor="text1"/>
          <w:sz w:val="16"/>
          <w:szCs w:val="16"/>
        </w:rPr>
        <w:softHyphen/>
        <w:t>стема ПВО войск и тыловых объектов, а также когда «господство в воздухе находится в на</w:t>
      </w:r>
      <w:r w:rsidRPr="00271E51">
        <w:rPr>
          <w:rFonts w:ascii="Times New Roman" w:hAnsi="Times New Roman"/>
          <w:color w:val="000000" w:themeColor="text1"/>
          <w:sz w:val="16"/>
          <w:szCs w:val="16"/>
        </w:rPr>
        <w:softHyphen/>
        <w:t>ших руках».</w:t>
      </w:r>
    </w:p>
    <w:p w14:paraId="081BBE6E"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Например, продолжительность боевой службы бомбардировщиков и штурмовиков в частях 16-й ВА и 2-го бак РВГК, действовав</w:t>
      </w:r>
      <w:r w:rsidRPr="00271E51">
        <w:rPr>
          <w:rFonts w:ascii="Times New Roman" w:hAnsi="Times New Roman"/>
          <w:color w:val="000000" w:themeColor="text1"/>
          <w:sz w:val="16"/>
          <w:szCs w:val="16"/>
        </w:rPr>
        <w:softHyphen/>
        <w:t>ших в январе 1943 г. по войскам противника в кольце окружения под Сталинградом, была в 11,4,4 и 2,3 раза выше средних цифр. Тогда как в октябре-ноябре 1942 г., до перехода на</w:t>
      </w:r>
      <w:r w:rsidRPr="00271E51">
        <w:rPr>
          <w:rFonts w:ascii="Times New Roman" w:hAnsi="Times New Roman"/>
          <w:color w:val="000000" w:themeColor="text1"/>
          <w:sz w:val="16"/>
          <w:szCs w:val="16"/>
        </w:rPr>
        <w:softHyphen/>
        <w:t>ших войск в контрнаступление на сталинград</w:t>
      </w:r>
      <w:r w:rsidRPr="00271E51">
        <w:rPr>
          <w:rFonts w:ascii="Times New Roman" w:hAnsi="Times New Roman"/>
          <w:color w:val="000000" w:themeColor="text1"/>
          <w:sz w:val="16"/>
          <w:szCs w:val="16"/>
        </w:rPr>
        <w:softHyphen/>
        <w:t>ском направлении и в первый период борьбы с окруженной группировкой, продолжитель</w:t>
      </w:r>
      <w:r w:rsidRPr="00271E51">
        <w:rPr>
          <w:rFonts w:ascii="Times New Roman" w:hAnsi="Times New Roman"/>
          <w:color w:val="000000" w:themeColor="text1"/>
          <w:sz w:val="16"/>
          <w:szCs w:val="16"/>
        </w:rPr>
        <w:softHyphen/>
        <w:t>ность службы была близка к средним цифрам, составляя 35 и 34 самолетовылетов на одну потерю бомбардировщика и штурмовика со</w:t>
      </w:r>
      <w:r w:rsidRPr="00271E51">
        <w:rPr>
          <w:rFonts w:ascii="Times New Roman" w:hAnsi="Times New Roman"/>
          <w:color w:val="000000" w:themeColor="text1"/>
          <w:sz w:val="16"/>
          <w:szCs w:val="16"/>
        </w:rPr>
        <w:softHyphen/>
        <w:t>ответственно.</w:t>
      </w:r>
    </w:p>
    <w:p w14:paraId="2B654732"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 Ил-2 (15763).</w:t>
      </w:r>
    </w:p>
    <w:p w14:paraId="67691CB5" w14:textId="77777777" w:rsidR="000A63D6" w:rsidRPr="00271E51" w:rsidRDefault="000A63D6" w:rsidP="00271E51">
      <w:pPr>
        <w:spacing w:after="0" w:line="240" w:lineRule="auto"/>
        <w:jc w:val="both"/>
        <w:rPr>
          <w:rFonts w:ascii="Times New Roman" w:hAnsi="Times New Roman"/>
          <w:color w:val="000000" w:themeColor="text1"/>
          <w:sz w:val="16"/>
          <w:szCs w:val="16"/>
        </w:rPr>
      </w:pPr>
    </w:p>
    <w:p w14:paraId="467F39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директор завода 39 Абрамов направил А.И.Ш. телефонограмму в 2:30:</w:t>
      </w:r>
    </w:p>
    <w:p w14:paraId="19DD0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на самолете Ил-6 производились доработки и устранение дефектов, выявленных в предыдущем полете и заправке по весу горючим и маслом.</w:t>
      </w:r>
    </w:p>
    <w:p w14:paraId="4F5C6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Очередной полет назначен на 8 час. утра 27 августа (1768,251).</w:t>
      </w:r>
    </w:p>
    <w:p w14:paraId="26189E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624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ГИ завода 39 Петров направил А.И.Ш. телефонограмму:</w:t>
      </w:r>
    </w:p>
    <w:p w14:paraId="4A3E36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Ил-6 25 августа сделан пятый полет продолжительностью 45 мин. на проверку работы бензопровода при переключении питания моторов с одного бака на другой.</w:t>
      </w:r>
    </w:p>
    <w:p w14:paraId="4FB89D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 при этом работали неравномерно с большой потерей высоты.</w:t>
      </w:r>
    </w:p>
    <w:p w14:paraId="78903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Завтра 26 августа 1943 при очередном полете будет уточнена причина неравномерности работы моторов (1768,271).</w:t>
      </w:r>
    </w:p>
    <w:p w14:paraId="4FE8EC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B64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С.В.И. писал А.И.Ш. письмо N 1/926с:</w:t>
      </w:r>
    </w:p>
    <w:p w14:paraId="7119F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виду того, что на самолете Ил-6:</w:t>
      </w:r>
    </w:p>
    <w:p w14:paraId="0C15B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полет на номинальной мощности одного мотора невозможен, т.к. недостаточна площадь РН</w:t>
      </w:r>
    </w:p>
    <w:p w14:paraId="3783F7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недостаточно проверена топливная система</w:t>
      </w:r>
    </w:p>
    <w:p w14:paraId="5CB455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ухудшается погода на маршруте Иркутск-Москва - перегонку летом самолета Ил-6 считаю нецелесообразным, поэтому прошу Вашего указания директору завода 39 Абрамову об упаковке и погрузке самолета для отправки по ж/д.</w:t>
      </w:r>
    </w:p>
    <w:p w14:paraId="0D3CA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прошу Вашего распоряжения о наряде ж/д вагонов 5 платформ и одного крытого вагона для отправки всего груза большой скоростью (1775,122).</w:t>
      </w:r>
    </w:p>
    <w:p w14:paraId="6B7FD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DEE2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26 августа 1943 г. в НИИ ВВС на аэродром Чкаловское прибыли два противотанковых самолета «Харрикейн» 1Ю зав. №№ КХ-171 и КХ-305. Однако из-за задержки правых пушек и боезапаса, испытания были начаты только 13 ноября и закончены 23 декабря. Акт по испытаниям утвержден главным инжене</w:t>
      </w:r>
      <w:r w:rsidRPr="00271E51">
        <w:rPr>
          <w:rFonts w:ascii="Times New Roman" w:hAnsi="Times New Roman" w:cs="Times New Roman"/>
          <w:color w:val="000000" w:themeColor="text1"/>
          <w:sz w:val="16"/>
          <w:szCs w:val="16"/>
        </w:rPr>
        <w:softHyphen/>
        <w:t>ром ВВС КА генерал-полковником А.К. Ре</w:t>
      </w:r>
      <w:r w:rsidRPr="00271E51">
        <w:rPr>
          <w:rFonts w:ascii="Times New Roman" w:hAnsi="Times New Roman" w:cs="Times New Roman"/>
          <w:color w:val="000000" w:themeColor="text1"/>
          <w:sz w:val="16"/>
          <w:szCs w:val="16"/>
        </w:rPr>
        <w:softHyphen/>
        <w:t>пиным 11 января 1944 г.</w:t>
      </w:r>
    </w:p>
    <w:p w14:paraId="7435471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завершению полетов в НИИ ВВС са</w:t>
      </w:r>
      <w:r w:rsidRPr="00271E51">
        <w:rPr>
          <w:rFonts w:ascii="Times New Roman" w:hAnsi="Times New Roman" w:cs="Times New Roman"/>
          <w:color w:val="000000" w:themeColor="text1"/>
          <w:sz w:val="16"/>
          <w:szCs w:val="16"/>
        </w:rPr>
        <w:softHyphen/>
        <w:t>молет зав. № КХ-305 в феврале 1944 г. по</w:t>
      </w:r>
      <w:r w:rsidRPr="00271E51">
        <w:rPr>
          <w:rFonts w:ascii="Times New Roman" w:hAnsi="Times New Roman" w:cs="Times New Roman"/>
          <w:color w:val="000000" w:themeColor="text1"/>
          <w:sz w:val="16"/>
          <w:szCs w:val="16"/>
        </w:rPr>
        <w:softHyphen/>
        <w:t>ступил в НИИ АВ ВВС для производства кон</w:t>
      </w:r>
      <w:r w:rsidRPr="00271E51">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3AF46AA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4DABB4A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271E51">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4F3F12EF"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41C63C9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271E51">
        <w:rPr>
          <w:rFonts w:ascii="Times New Roman" w:hAnsi="Times New Roman" w:cs="Times New Roman"/>
          <w:color w:val="000000" w:themeColor="text1"/>
          <w:sz w:val="16"/>
          <w:szCs w:val="16"/>
        </w:rPr>
        <w:softHyphen/>
        <w:t>душным и наземным целям.</w:t>
      </w:r>
    </w:p>
    <w:p w14:paraId="6D0FE1B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Судя по песчаному камуфляжу, само</w:t>
      </w:r>
      <w:r w:rsidRPr="00271E51">
        <w:rPr>
          <w:rFonts w:ascii="Times New Roman" w:hAnsi="Times New Roman" w:cs="Times New Roman"/>
          <w:color w:val="000000" w:themeColor="text1"/>
          <w:sz w:val="16"/>
          <w:szCs w:val="16"/>
        </w:rPr>
        <w:softHyphen/>
        <w:t>леты применялись в Северной Африке.</w:t>
      </w:r>
    </w:p>
    <w:p w14:paraId="155340C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35E8487D"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271E51">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2B31C07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самолете устанавливался дере</w:t>
      </w:r>
      <w:r w:rsidRPr="00271E51">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271E51">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271E51">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271E51">
        <w:rPr>
          <w:rFonts w:ascii="Times New Roman" w:hAnsi="Times New Roman" w:cs="Times New Roman"/>
          <w:color w:val="000000" w:themeColor="text1"/>
          <w:sz w:val="16"/>
          <w:szCs w:val="16"/>
        </w:rPr>
        <w:softHyphen/>
        <w:t>нов оставлен один.</w:t>
      </w:r>
    </w:p>
    <w:p w14:paraId="2EB1AC5D"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271E51">
        <w:rPr>
          <w:rFonts w:ascii="Times New Roman" w:hAnsi="Times New Roman" w:cs="Times New Roman"/>
          <w:color w:val="000000" w:themeColor="text1"/>
          <w:sz w:val="16"/>
          <w:szCs w:val="16"/>
        </w:rPr>
        <w:softHyphen/>
        <w:t>ным боекомплектом 30 снарядов и в кры</w:t>
      </w:r>
      <w:r w:rsidRPr="00271E51">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271E51">
        <w:rPr>
          <w:rFonts w:ascii="Times New Roman" w:hAnsi="Times New Roman" w:cs="Times New Roman"/>
          <w:color w:val="000000" w:themeColor="text1"/>
          <w:sz w:val="16"/>
          <w:szCs w:val="16"/>
        </w:rPr>
        <w:softHyphen/>
        <w:t>полнительных бензобаков.</w:t>
      </w:r>
    </w:p>
    <w:p w14:paraId="712E2D6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1391669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Управление огнем пушек и пулеме</w:t>
      </w:r>
      <w:r w:rsidRPr="00271E51">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271E51">
        <w:rPr>
          <w:rFonts w:ascii="Times New Roman" w:hAnsi="Times New Roman" w:cs="Times New Roman"/>
          <w:color w:val="000000" w:themeColor="text1"/>
          <w:sz w:val="16"/>
          <w:szCs w:val="16"/>
        </w:rPr>
        <w:softHyphen/>
        <w:t>кой, но смонтированной на секторе газа.</w:t>
      </w:r>
    </w:p>
    <w:p w14:paraId="4C18BCE4"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прицеливания при стрельбе ис</w:t>
      </w:r>
      <w:r w:rsidRPr="00271E51">
        <w:rPr>
          <w:rFonts w:ascii="Times New Roman" w:hAnsi="Times New Roman" w:cs="Times New Roman"/>
          <w:color w:val="000000" w:themeColor="text1"/>
          <w:sz w:val="16"/>
          <w:szCs w:val="16"/>
        </w:rPr>
        <w:softHyphen/>
        <w:t>пользовался коллиматорный прицел Реф</w:t>
      </w:r>
      <w:r w:rsidRPr="00271E51">
        <w:rPr>
          <w:rFonts w:ascii="Times New Roman" w:hAnsi="Times New Roman" w:cs="Times New Roman"/>
          <w:color w:val="000000" w:themeColor="text1"/>
          <w:sz w:val="16"/>
          <w:szCs w:val="16"/>
        </w:rPr>
        <w:softHyphen/>
        <w:t>лектор Сайт Мк.115 с электрической под</w:t>
      </w:r>
      <w:r w:rsidRPr="00271E51">
        <w:rPr>
          <w:rFonts w:ascii="Times New Roman" w:hAnsi="Times New Roman" w:cs="Times New Roman"/>
          <w:color w:val="000000" w:themeColor="text1"/>
          <w:sz w:val="16"/>
          <w:szCs w:val="16"/>
        </w:rPr>
        <w:softHyphen/>
        <w:t>светкой.</w:t>
      </w:r>
    </w:p>
    <w:p w14:paraId="6C13461A"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271E51">
        <w:rPr>
          <w:rFonts w:ascii="Times New Roman" w:hAnsi="Times New Roman" w:cs="Times New Roman"/>
          <w:color w:val="000000" w:themeColor="text1"/>
          <w:sz w:val="16"/>
          <w:szCs w:val="16"/>
        </w:rPr>
        <w:softHyphen/>
        <w:t>рийном самолете типа Мк.ПС, за исклю</w:t>
      </w:r>
      <w:r w:rsidRPr="00271E51">
        <w:rPr>
          <w:rFonts w:ascii="Times New Roman" w:hAnsi="Times New Roman" w:cs="Times New Roman"/>
          <w:color w:val="000000" w:themeColor="text1"/>
          <w:sz w:val="16"/>
          <w:szCs w:val="16"/>
        </w:rPr>
        <w:softHyphen/>
        <w:t>чением увеличенного боезапаса (лента в патронном ящике).</w:t>
      </w:r>
    </w:p>
    <w:p w14:paraId="3A753407"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помещались в специальном об</w:t>
      </w:r>
      <w:r w:rsidRPr="00271E51">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271E51">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3D59CFA1"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271E51">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271E51">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271E51">
        <w:rPr>
          <w:rFonts w:ascii="Times New Roman" w:hAnsi="Times New Roman" w:cs="Times New Roman"/>
          <w:color w:val="000000" w:themeColor="text1"/>
          <w:sz w:val="16"/>
          <w:szCs w:val="16"/>
        </w:rPr>
        <w:softHyphen/>
        <w:t>ном (в соотношении 60/40).</w:t>
      </w:r>
    </w:p>
    <w:p w14:paraId="397F1A3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271E51">
        <w:rPr>
          <w:rFonts w:ascii="Times New Roman" w:hAnsi="Times New Roman" w:cs="Times New Roman"/>
          <w:color w:val="000000" w:themeColor="text1"/>
          <w:sz w:val="16"/>
          <w:szCs w:val="16"/>
        </w:rPr>
        <w:softHyphen/>
        <w:t>лась непосредственно на самолете.</w:t>
      </w:r>
    </w:p>
    <w:p w14:paraId="5C1DC22A"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271E51">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271E51">
        <w:rPr>
          <w:rFonts w:ascii="Times New Roman" w:hAnsi="Times New Roman" w:cs="Times New Roman"/>
          <w:color w:val="000000" w:themeColor="text1"/>
          <w:sz w:val="16"/>
          <w:szCs w:val="16"/>
        </w:rPr>
        <w:softHyphen/>
        <w:t>шек и продолжить стрельбу.</w:t>
      </w:r>
    </w:p>
    <w:p w14:paraId="7CAEADB4"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271E51">
        <w:rPr>
          <w:rFonts w:ascii="Times New Roman" w:hAnsi="Times New Roman" w:cs="Times New Roman"/>
          <w:color w:val="000000" w:themeColor="text1"/>
          <w:sz w:val="16"/>
          <w:szCs w:val="16"/>
        </w:rPr>
        <w:softHyphen/>
        <w:t>ки с магазином и 15 бронебойными снаря</w:t>
      </w:r>
      <w:r w:rsidRPr="00271E51">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544ADA8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56AE954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 по 32 мм. Спереди сверху летчик защи</w:t>
      </w:r>
      <w:r w:rsidRPr="00271E51">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 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271E51">
        <w:rPr>
          <w:rFonts w:ascii="Times New Roman" w:hAnsi="Times New Roman" w:cs="Times New Roman"/>
          <w:color w:val="000000" w:themeColor="text1"/>
          <w:sz w:val="16"/>
          <w:szCs w:val="16"/>
        </w:rPr>
        <w:softHyphen/>
        <w:t>щиной 7,5 мм. Со стороны задней полу</w:t>
      </w:r>
      <w:r w:rsidRPr="00271E51">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02A0D681"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Водо- и маслорадиаторы защища</w:t>
      </w:r>
      <w:r w:rsidRPr="00271E51">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271E51">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6F51B7F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2D0AE21D"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номинальном режиме работы мо</w:t>
      </w:r>
      <w:r w:rsidRPr="00271E51">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271E51">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271E51">
        <w:rPr>
          <w:rFonts w:ascii="Times New Roman" w:hAnsi="Times New Roman" w:cs="Times New Roman"/>
          <w:color w:val="000000" w:themeColor="text1"/>
          <w:sz w:val="16"/>
          <w:szCs w:val="16"/>
        </w:rPr>
        <w:softHyphen/>
        <w:t>вом режиме работы мотора, который мож</w:t>
      </w:r>
      <w:r w:rsidRPr="00271E51">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271E51">
        <w:rPr>
          <w:rFonts w:ascii="Times New Roman" w:hAnsi="Times New Roman" w:cs="Times New Roman"/>
          <w:color w:val="000000" w:themeColor="text1"/>
          <w:sz w:val="16"/>
          <w:szCs w:val="16"/>
        </w:rPr>
        <w:softHyphen/>
        <w:t>растала на 6-8 км/ч. При этом границы вы</w:t>
      </w:r>
      <w:r w:rsidRPr="00271E51">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15912E4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Вертикальная скорость у земли состав</w:t>
      </w:r>
      <w:r w:rsidRPr="00271E51">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271E51">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7DA8448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271E51">
        <w:rPr>
          <w:rFonts w:ascii="Times New Roman" w:hAnsi="Times New Roman" w:cs="Times New Roman"/>
          <w:color w:val="000000" w:themeColor="text1"/>
          <w:sz w:val="16"/>
          <w:szCs w:val="16"/>
        </w:rPr>
        <w:softHyphen/>
        <w:t>зил при сбросе газа до скорости 0,7 макси</w:t>
      </w:r>
      <w:r w:rsidRPr="00271E51">
        <w:rPr>
          <w:rFonts w:ascii="Times New Roman" w:hAnsi="Times New Roman" w:cs="Times New Roman"/>
          <w:color w:val="000000" w:themeColor="text1"/>
          <w:sz w:val="16"/>
          <w:szCs w:val="16"/>
        </w:rPr>
        <w:softHyphen/>
        <w:t>мальной за 0,48 мин.</w:t>
      </w:r>
    </w:p>
    <w:p w14:paraId="3B5A1C34"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Скорость, скороподъемность и раз</w:t>
      </w:r>
      <w:r w:rsidRPr="00271E51">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271E51">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0AF8C80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 один боевой разворот (левый и пра</w:t>
      </w:r>
      <w:r w:rsidRPr="00271E51">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051EF69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0FE7836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271E51">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271E51">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3FA80FB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Разбег самолета при взлете находил</w:t>
      </w:r>
      <w:r w:rsidRPr="00271E51">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2D705D9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4AC234FA"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испытаний было выполнено че</w:t>
      </w:r>
      <w:r w:rsidRPr="00271E51">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271E51">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1777489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271E51">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5628A6AA"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271E51">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271E51">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271E51">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271E51">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708EB17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271E51">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271E51">
        <w:rPr>
          <w:rFonts w:ascii="Times New Roman" w:hAnsi="Times New Roman" w:cs="Times New Roman"/>
          <w:color w:val="000000" w:themeColor="text1"/>
          <w:sz w:val="16"/>
          <w:szCs w:val="16"/>
        </w:rPr>
        <w:softHyphen/>
        <w:t>жения бронебойными пулями нормально</w:t>
      </w:r>
      <w:r w:rsidRPr="00271E51">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271E51">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2D3BA0D7"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общему мнению летчиков увели</w:t>
      </w:r>
      <w:r w:rsidRPr="00271E51">
        <w:rPr>
          <w:rFonts w:ascii="Times New Roman" w:hAnsi="Times New Roman" w:cs="Times New Roman"/>
          <w:color w:val="000000" w:themeColor="text1"/>
          <w:sz w:val="16"/>
          <w:szCs w:val="16"/>
        </w:rPr>
        <w:softHyphen/>
        <w:t>чение полетного веса и ухудшение аэро</w:t>
      </w:r>
      <w:r w:rsidRPr="00271E51">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271E51">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271E51">
        <w:rPr>
          <w:rFonts w:ascii="Times New Roman" w:hAnsi="Times New Roman" w:cs="Times New Roman"/>
          <w:color w:val="000000" w:themeColor="text1"/>
          <w:sz w:val="16"/>
          <w:szCs w:val="16"/>
        </w:rPr>
        <w:softHyphen/>
        <w:t>тнее». Продольная и поперечная устойчи</w:t>
      </w:r>
      <w:r w:rsidRPr="00271E51">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271E51">
        <w:rPr>
          <w:rFonts w:ascii="Times New Roman" w:hAnsi="Times New Roman" w:cs="Times New Roman"/>
          <w:color w:val="000000" w:themeColor="text1"/>
          <w:sz w:val="16"/>
          <w:szCs w:val="16"/>
        </w:rPr>
        <w:softHyphen/>
        <w:t>тальном полете была затруднена и требо</w:t>
      </w:r>
      <w:r w:rsidRPr="00271E51">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271E51">
        <w:rPr>
          <w:rFonts w:ascii="Times New Roman" w:hAnsi="Times New Roman" w:cs="Times New Roman"/>
          <w:color w:val="000000" w:themeColor="text1"/>
          <w:sz w:val="16"/>
          <w:szCs w:val="16"/>
        </w:rPr>
        <w:softHyphen/>
        <w:t>та. На вертикальных фигурах самолет бы</w:t>
      </w:r>
      <w:r w:rsidRPr="00271E51">
        <w:rPr>
          <w:rFonts w:ascii="Times New Roman" w:hAnsi="Times New Roman" w:cs="Times New Roman"/>
          <w:color w:val="000000" w:themeColor="text1"/>
          <w:sz w:val="16"/>
          <w:szCs w:val="16"/>
        </w:rPr>
        <w:softHyphen/>
        <w:t>стро терял скорость, набор высоты на им</w:t>
      </w:r>
      <w:r w:rsidRPr="00271E51">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639613F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Проведенный 27 декабря 1943 г. учеб</w:t>
      </w:r>
      <w:r w:rsidRPr="00271E51">
        <w:rPr>
          <w:rFonts w:ascii="Times New Roman" w:hAnsi="Times New Roman" w:cs="Times New Roman"/>
          <w:color w:val="000000" w:themeColor="text1"/>
          <w:sz w:val="16"/>
          <w:szCs w:val="16"/>
        </w:rPr>
        <w:softHyphen/>
        <w:t>ный воздушный бой с трофейным истре</w:t>
      </w:r>
      <w:r w:rsidRPr="00271E51">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271E51">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271E51">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271E51">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271E51">
        <w:rPr>
          <w:rFonts w:ascii="Times New Roman" w:hAnsi="Times New Roman" w:cs="Times New Roman"/>
          <w:color w:val="000000" w:themeColor="text1"/>
          <w:sz w:val="16"/>
          <w:szCs w:val="16"/>
        </w:rPr>
        <w:softHyphen/>
        <w:t>имущество в вертикальном маневре не</w:t>
      </w:r>
      <w:r w:rsidRPr="00271E51">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271E51">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0F89165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После обмена мнениями летчика</w:t>
      </w:r>
      <w:r w:rsidRPr="00271E51">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271E51">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271E51">
        <w:rPr>
          <w:rFonts w:ascii="Times New Roman" w:hAnsi="Times New Roman" w:cs="Times New Roman"/>
          <w:color w:val="000000" w:themeColor="text1"/>
          <w:sz w:val="16"/>
          <w:szCs w:val="16"/>
        </w:rPr>
        <w:softHyphen/>
        <w:t>полняя ножницы с оттягиванием на свою территорию.</w:t>
      </w:r>
    </w:p>
    <w:p w14:paraId="1929F99E"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Вооружение самолета отстрели</w:t>
      </w:r>
      <w:r w:rsidRPr="00271E51">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271E51">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271E51">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271E51">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271E51">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271E51">
        <w:rPr>
          <w:rFonts w:ascii="Times New Roman" w:hAnsi="Times New Roman" w:cs="Times New Roman"/>
          <w:color w:val="000000" w:themeColor="text1"/>
          <w:sz w:val="16"/>
          <w:szCs w:val="16"/>
        </w:rPr>
        <w:softHyphen/>
        <w:t>рядов союзники не поставили!</w:t>
      </w:r>
    </w:p>
    <w:p w14:paraId="7A59F43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общей сложности из пушек было вы</w:t>
      </w:r>
      <w:r w:rsidRPr="00271E51">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67FAEFA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271E51">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20C95F8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271E51">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271E51">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68632AF7"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левой пушки боковое отклоне</w:t>
      </w:r>
      <w:r w:rsidRPr="00271E51">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271E51">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271E51">
        <w:rPr>
          <w:rFonts w:ascii="Times New Roman" w:hAnsi="Times New Roman" w:cs="Times New Roman"/>
          <w:color w:val="000000" w:themeColor="text1"/>
          <w:sz w:val="16"/>
          <w:szCs w:val="16"/>
        </w:rPr>
        <w:softHyphen/>
        <w:t>ное отклонения для левого пулемета рав</w:t>
      </w:r>
      <w:r w:rsidRPr="00271E51">
        <w:rPr>
          <w:rFonts w:ascii="Times New Roman" w:hAnsi="Times New Roman" w:cs="Times New Roman"/>
          <w:color w:val="000000" w:themeColor="text1"/>
          <w:sz w:val="16"/>
          <w:szCs w:val="16"/>
        </w:rPr>
        <w:softHyphen/>
        <w:t>нялись 23,6 и 26,7 см, для правого пулеме</w:t>
      </w:r>
      <w:r w:rsidRPr="00271E51">
        <w:rPr>
          <w:rFonts w:ascii="Times New Roman" w:hAnsi="Times New Roman" w:cs="Times New Roman"/>
          <w:color w:val="000000" w:themeColor="text1"/>
          <w:sz w:val="16"/>
          <w:szCs w:val="16"/>
        </w:rPr>
        <w:softHyphen/>
        <w:t>та-20,6 и 35,8 см.</w:t>
      </w:r>
    </w:p>
    <w:p w14:paraId="3F742CE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271E51">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271E51">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66EB9EB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271E51">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271E51">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7833C10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 стрельбе в воздухе пока</w:t>
      </w:r>
      <w:r w:rsidRPr="00271E51">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7481AD8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в горизонтальном поле</w:t>
      </w:r>
      <w:r w:rsidRPr="00271E51">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271E51">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271E51">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271E51">
        <w:rPr>
          <w:rFonts w:ascii="Times New Roman" w:hAnsi="Times New Roman" w:cs="Times New Roman"/>
          <w:color w:val="000000" w:themeColor="text1"/>
          <w:sz w:val="16"/>
          <w:szCs w:val="16"/>
        </w:rPr>
        <w:softHyphen/>
        <w:t>которое уменьшение угла.</w:t>
      </w:r>
    </w:p>
    <w:p w14:paraId="2DEB92BA"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271E51">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271E51">
        <w:rPr>
          <w:rFonts w:ascii="Times New Roman" w:hAnsi="Times New Roman" w:cs="Times New Roman"/>
          <w:color w:val="000000" w:themeColor="text1"/>
          <w:sz w:val="16"/>
          <w:szCs w:val="16"/>
        </w:rPr>
        <w:softHyphen/>
        <w:t>новится затруднительно», «самолет начина</w:t>
      </w:r>
      <w:r w:rsidRPr="00271E51">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4168AC55"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обеспечения более точного по</w:t>
      </w:r>
      <w:r w:rsidRPr="00271E51">
        <w:rPr>
          <w:rFonts w:ascii="Times New Roman" w:hAnsi="Times New Roman" w:cs="Times New Roman"/>
          <w:color w:val="000000" w:themeColor="text1"/>
          <w:sz w:val="16"/>
          <w:szCs w:val="16"/>
        </w:rPr>
        <w:softHyphen/>
        <w:t>ражения цели рекомендовалось произво</w:t>
      </w:r>
      <w:r w:rsidRPr="00271E51">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271E51">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67A80CA6"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271E51">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271E51">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34FA18FE"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Наиболее удобными углами пикирова</w:t>
      </w:r>
      <w:r w:rsidRPr="00271E51">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271E51">
        <w:rPr>
          <w:rFonts w:ascii="Times New Roman" w:hAnsi="Times New Roman" w:cs="Times New Roman"/>
          <w:color w:val="000000" w:themeColor="text1"/>
          <w:sz w:val="16"/>
          <w:szCs w:val="16"/>
        </w:rPr>
        <w:softHyphen/>
        <w:t>сти на пикировании, а также удобства при</w:t>
      </w:r>
      <w:r w:rsidRPr="00271E51">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271E51">
        <w:rPr>
          <w:rFonts w:ascii="Times New Roman" w:hAnsi="Times New Roman" w:cs="Times New Roman"/>
          <w:color w:val="000000" w:themeColor="text1"/>
          <w:sz w:val="16"/>
          <w:szCs w:val="16"/>
        </w:rPr>
        <w:softHyphen/>
        <w:t>вания и производства 2-3 очередей.</w:t>
      </w:r>
    </w:p>
    <w:p w14:paraId="799D963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271E51">
        <w:rPr>
          <w:rFonts w:ascii="Times New Roman" w:hAnsi="Times New Roman" w:cs="Times New Roman"/>
          <w:color w:val="000000" w:themeColor="text1"/>
          <w:sz w:val="16"/>
          <w:szCs w:val="16"/>
        </w:rPr>
        <w:softHyphen/>
        <w:t>труднено, а порой неосуществимо, на са</w:t>
      </w:r>
      <w:r w:rsidRPr="00271E51">
        <w:rPr>
          <w:rFonts w:ascii="Times New Roman" w:hAnsi="Times New Roman" w:cs="Times New Roman"/>
          <w:color w:val="000000" w:themeColor="text1"/>
          <w:sz w:val="16"/>
          <w:szCs w:val="16"/>
        </w:rPr>
        <w:softHyphen/>
        <w:t>молете Ил-2 с 37-мм пушками».</w:t>
      </w:r>
    </w:p>
    <w:p w14:paraId="2D97F8C5"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Летчикам понравилось удобное распо</w:t>
      </w:r>
      <w:r w:rsidRPr="00271E51">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271E51">
        <w:rPr>
          <w:rFonts w:ascii="Times New Roman" w:hAnsi="Times New Roman" w:cs="Times New Roman"/>
          <w:color w:val="000000" w:themeColor="text1"/>
          <w:sz w:val="16"/>
          <w:szCs w:val="16"/>
        </w:rPr>
        <w:softHyphen/>
        <w:t>ствие кнопкой на ручке управления само</w:t>
      </w:r>
      <w:r w:rsidRPr="00271E51">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3A2F7A1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271E51">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271E51">
        <w:rPr>
          <w:rFonts w:ascii="Times New Roman" w:hAnsi="Times New Roman" w:cs="Times New Roman"/>
          <w:color w:val="000000" w:themeColor="text1"/>
          <w:sz w:val="16"/>
          <w:szCs w:val="16"/>
        </w:rPr>
        <w:softHyphen/>
        <w:t>нить возможные задержки в стрельбе лет</w:t>
      </w:r>
      <w:r w:rsidRPr="00271E51">
        <w:rPr>
          <w:rFonts w:ascii="Times New Roman" w:hAnsi="Times New Roman" w:cs="Times New Roman"/>
          <w:color w:val="000000" w:themeColor="text1"/>
          <w:sz w:val="16"/>
          <w:szCs w:val="16"/>
        </w:rPr>
        <w:softHyphen/>
        <w:t>чик не мог. В полете в случае осечки лет</w:t>
      </w:r>
      <w:r w:rsidRPr="00271E51">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271E51">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4A6C1DC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Прицеливание при помощи прицела Рефлектор Сайт Мк.115 простое. Включать прицел и регулировать накал лампы под</w:t>
      </w:r>
      <w:r w:rsidRPr="00271E51">
        <w:rPr>
          <w:rFonts w:ascii="Times New Roman" w:hAnsi="Times New Roman" w:cs="Times New Roman"/>
          <w:color w:val="000000" w:themeColor="text1"/>
          <w:sz w:val="16"/>
          <w:szCs w:val="16"/>
        </w:rPr>
        <w:softHyphen/>
        <w:t>светки удобно.</w:t>
      </w:r>
    </w:p>
    <w:p w14:paraId="30BFF99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271E51">
        <w:rPr>
          <w:rFonts w:ascii="Times New Roman" w:hAnsi="Times New Roman" w:cs="Times New Roman"/>
          <w:color w:val="000000" w:themeColor="text1"/>
          <w:sz w:val="16"/>
          <w:szCs w:val="16"/>
        </w:rPr>
        <w:softHyphen/>
        <w:t>лась неудачной. Из-за низкой температу</w:t>
      </w:r>
      <w:r w:rsidRPr="00271E51">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271E51">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4FD717EE"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09BDEBE4"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271E51">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271E51">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271E51">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560F48E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Наблюдались значительные отклоне</w:t>
      </w:r>
      <w:r w:rsidRPr="00271E51">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271E51">
        <w:rPr>
          <w:rFonts w:ascii="Times New Roman" w:hAnsi="Times New Roman" w:cs="Times New Roman"/>
          <w:color w:val="000000" w:themeColor="text1"/>
          <w:sz w:val="16"/>
          <w:szCs w:val="16"/>
        </w:rPr>
        <w:softHyphen/>
        <w:t>кими очередями рассеивание центра груп</w:t>
      </w:r>
      <w:r w:rsidRPr="00271E51">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271E51">
        <w:rPr>
          <w:rFonts w:ascii="Times New Roman" w:hAnsi="Times New Roman" w:cs="Times New Roman"/>
          <w:color w:val="000000" w:themeColor="text1"/>
          <w:sz w:val="16"/>
          <w:szCs w:val="16"/>
        </w:rPr>
        <w:softHyphen/>
        <w:t>бе длинными очередями резко возраста</w:t>
      </w:r>
      <w:r w:rsidRPr="00271E51">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271E51">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236D36F7"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с увели</w:t>
      </w:r>
      <w:r w:rsidRPr="00271E51">
        <w:rPr>
          <w:rFonts w:ascii="Times New Roman" w:hAnsi="Times New Roman" w:cs="Times New Roman"/>
          <w:color w:val="000000" w:themeColor="text1"/>
          <w:sz w:val="16"/>
          <w:szCs w:val="16"/>
        </w:rPr>
        <w:softHyphen/>
        <w:t>чением длины очереди центр группирова</w:t>
      </w:r>
      <w:r w:rsidRPr="00271E51">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A907A5" w:rsidRPr="00271E51" w14:paraId="6BB74537"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FE2622C"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ADCED8E"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8922393"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96B80B8"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C35BCCD"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498F9E3"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ВЯ</w:t>
            </w:r>
          </w:p>
        </w:tc>
      </w:tr>
      <w:tr w:rsidR="00A907A5" w:rsidRPr="00271E51" w14:paraId="62E5C4B8"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0E7415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2C1C7D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F1BA5D3"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2B53DB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E0E23F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F86D6A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23</w:t>
            </w:r>
          </w:p>
        </w:tc>
      </w:tr>
      <w:tr w:rsidR="00A907A5" w:rsidRPr="00271E51" w14:paraId="63C9D526" w14:textId="77777777" w:rsidTr="00ED5B0A">
        <w:trPr>
          <w:trHeight w:val="226"/>
        </w:trPr>
        <w:tc>
          <w:tcPr>
            <w:tcW w:w="2050" w:type="dxa"/>
            <w:tcBorders>
              <w:top w:val="single" w:sz="4" w:space="0" w:color="auto"/>
              <w:left w:val="single" w:sz="4" w:space="0" w:color="auto"/>
              <w:right w:val="single" w:sz="4" w:space="0" w:color="auto"/>
            </w:tcBorders>
            <w:shd w:val="clear" w:color="auto" w:fill="FFFFFF"/>
          </w:tcPr>
          <w:p w14:paraId="23B8B0F2" w14:textId="77777777" w:rsidR="00BA7A65" w:rsidRPr="00271E51" w:rsidRDefault="00BA7A65" w:rsidP="00271E51">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7F68EF2E"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77ACAB8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363E132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06723576"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6679A55D"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Отвод газов</w:t>
            </w:r>
          </w:p>
        </w:tc>
      </w:tr>
      <w:tr w:rsidR="00A907A5" w:rsidRPr="00271E51" w14:paraId="0C599BCB" w14:textId="77777777" w:rsidTr="00ED5B0A">
        <w:trPr>
          <w:trHeight w:val="197"/>
        </w:trPr>
        <w:tc>
          <w:tcPr>
            <w:tcW w:w="2050" w:type="dxa"/>
            <w:tcBorders>
              <w:left w:val="single" w:sz="4" w:space="0" w:color="auto"/>
              <w:right w:val="single" w:sz="4" w:space="0" w:color="auto"/>
            </w:tcBorders>
            <w:shd w:val="clear" w:color="auto" w:fill="FFFFFF"/>
          </w:tcPr>
          <w:p w14:paraId="5102F00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78BEA1C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4451C88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1085DC1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7A597FB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5686CC5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из канала</w:t>
            </w:r>
          </w:p>
        </w:tc>
      </w:tr>
      <w:tr w:rsidR="00A907A5" w:rsidRPr="00271E51" w14:paraId="26B5EC08" w14:textId="77777777" w:rsidTr="00ED5B0A">
        <w:trPr>
          <w:trHeight w:val="163"/>
        </w:trPr>
        <w:tc>
          <w:tcPr>
            <w:tcW w:w="2050" w:type="dxa"/>
            <w:tcBorders>
              <w:left w:val="single" w:sz="4" w:space="0" w:color="auto"/>
              <w:bottom w:val="single" w:sz="4" w:space="0" w:color="auto"/>
              <w:right w:val="single" w:sz="4" w:space="0" w:color="auto"/>
            </w:tcBorders>
            <w:shd w:val="clear" w:color="auto" w:fill="FFFFFF"/>
          </w:tcPr>
          <w:p w14:paraId="64BA7616" w14:textId="77777777" w:rsidR="00BA7A65" w:rsidRPr="00271E51" w:rsidRDefault="00BA7A65" w:rsidP="00271E51">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605124C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23FD9B26"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5335D00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52798FF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1C954CF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ствола</w:t>
            </w:r>
          </w:p>
        </w:tc>
      </w:tr>
      <w:tr w:rsidR="00A907A5" w:rsidRPr="00271E51" w14:paraId="22C138A4"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C2CBC0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B356F0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BF1DC6D"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A21CD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E3A06E7"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327A3BD"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Зеньевое</w:t>
            </w:r>
          </w:p>
        </w:tc>
      </w:tr>
      <w:tr w:rsidR="00A907A5" w:rsidRPr="00271E51" w14:paraId="3D20930A"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9A6C12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D4CA9E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1F716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E4ECF9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07DC24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392ADC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600</w:t>
            </w:r>
          </w:p>
        </w:tc>
      </w:tr>
      <w:tr w:rsidR="00A907A5" w:rsidRPr="00271E51" w14:paraId="5DEE1CCC"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5B5BCE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81BB9D6"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AB5262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2847C3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F9EBEC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809758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915</w:t>
            </w:r>
          </w:p>
        </w:tc>
      </w:tr>
      <w:tr w:rsidR="00A907A5" w:rsidRPr="00271E51" w14:paraId="7ECFA335"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D3A1C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BF1A60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07A715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45B15E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564566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55451B7"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66</w:t>
            </w:r>
          </w:p>
        </w:tc>
      </w:tr>
      <w:tr w:rsidR="00A907A5" w:rsidRPr="00271E51" w14:paraId="45B9E4B9"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EB51E43"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556F3D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3D5508D"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9801C1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2C1B94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CEDB15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0,197</w:t>
            </w:r>
          </w:p>
        </w:tc>
      </w:tr>
      <w:tr w:rsidR="00A907A5" w:rsidRPr="00271E51" w14:paraId="237C49E7"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788600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5D7D53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1A6F9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372BC6"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0972EC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2EB99E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1,97</w:t>
            </w:r>
          </w:p>
        </w:tc>
      </w:tr>
      <w:tr w:rsidR="00A907A5" w:rsidRPr="00271E51" w14:paraId="12A684DA"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22BD69E"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6D568F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292926"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A1C409E"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8E7AE8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B1EAB8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w:t>
            </w:r>
          </w:p>
        </w:tc>
      </w:tr>
      <w:tr w:rsidR="00A907A5" w:rsidRPr="00271E51" w14:paraId="29B500E2"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94364F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84C29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52A5F3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594AA6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35B4727"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FC5936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84064</w:t>
            </w:r>
          </w:p>
        </w:tc>
      </w:tr>
      <w:tr w:rsidR="00A907A5" w:rsidRPr="00271E51" w14:paraId="3909D214"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FEF9A7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606BD0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B8F571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50BFB9F"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7C0D17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B2F84E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1274</w:t>
            </w:r>
          </w:p>
        </w:tc>
      </w:tr>
    </w:tbl>
    <w:p w14:paraId="48CD2C65"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271E51">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271E51">
        <w:rPr>
          <w:rFonts w:ascii="Times New Roman" w:hAnsi="Times New Roman" w:cs="Times New Roman"/>
          <w:color w:val="000000" w:themeColor="text1"/>
          <w:sz w:val="16"/>
          <w:szCs w:val="16"/>
        </w:rPr>
        <w:softHyphen/>
        <w:t>средственно на самолете. При двух рабо</w:t>
      </w:r>
      <w:r w:rsidRPr="00271E51">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271E51">
        <w:rPr>
          <w:rFonts w:ascii="Times New Roman" w:hAnsi="Times New Roman" w:cs="Times New Roman"/>
          <w:color w:val="000000" w:themeColor="text1"/>
          <w:sz w:val="16"/>
          <w:szCs w:val="16"/>
        </w:rPr>
        <w:softHyphen/>
        <w:t>борка, чистка и смазка пушки, зарядка ма</w:t>
      </w:r>
      <w:r w:rsidRPr="00271E51">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022D047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14105685"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271E51">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271E51">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51D3DC46"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47B63D8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356229B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11E6757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54F1A5E5"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1355456"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5F1359F"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1A2C817"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CE2DE18"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66EF9FD"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3A792C63"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55A8A4C2"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1C59BAA"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4ABFB64D"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576139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DD95F3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0725B98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D4AA0D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309588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8963FFB"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17217393"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95B9DC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1B634501" w14:textId="77777777" w:rsidTr="00ED5B0A">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7C18303"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5CBD82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830A77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D9447E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C976F6B"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89A1112"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98DB80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CD9D23E"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4A5AFED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271E51">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271E51">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1FEF894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271E51">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43711B7D"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271E51">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271E51">
        <w:rPr>
          <w:rFonts w:ascii="Times New Roman" w:hAnsi="Times New Roman" w:cs="Times New Roman"/>
          <w:color w:val="000000" w:themeColor="text1"/>
          <w:sz w:val="16"/>
          <w:szCs w:val="16"/>
        </w:rPr>
        <w:softHyphen/>
        <w:t>личие обороны задней полусферы и бом</w:t>
      </w:r>
      <w:r w:rsidRPr="00271E51">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271E51">
        <w:rPr>
          <w:rFonts w:ascii="Times New Roman" w:hAnsi="Times New Roman" w:cs="Times New Roman"/>
          <w:color w:val="000000" w:themeColor="text1"/>
          <w:sz w:val="16"/>
          <w:szCs w:val="16"/>
        </w:rPr>
        <w:softHyphen/>
        <w:t>ными.</w:t>
      </w:r>
    </w:p>
    <w:p w14:paraId="65386FF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Зато у «Харрикейна» было другое пре</w:t>
      </w:r>
      <w:r w:rsidRPr="00271E51">
        <w:rPr>
          <w:rFonts w:ascii="Times New Roman" w:hAnsi="Times New Roman" w:cs="Times New Roman"/>
          <w:color w:val="000000" w:themeColor="text1"/>
          <w:sz w:val="16"/>
          <w:szCs w:val="16"/>
        </w:rPr>
        <w:softHyphen/>
        <w:t>имущество. Рассеивание нескольких оче</w:t>
      </w:r>
      <w:r w:rsidRPr="00271E51">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271E51">
        <w:rPr>
          <w:rFonts w:ascii="Times New Roman" w:hAnsi="Times New Roman" w:cs="Times New Roman"/>
          <w:color w:val="000000" w:themeColor="text1"/>
          <w:sz w:val="16"/>
          <w:szCs w:val="16"/>
        </w:rPr>
        <w:softHyphen/>
        <w:t>мерно в 2-2,5 раза меньше, чем у само</w:t>
      </w:r>
      <w:r w:rsidRPr="00271E51">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271E51">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412B28BF"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271E51">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2FC70A1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01DA107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 xml:space="preserve">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w:t>
      </w:r>
      <w:r w:rsidRPr="00271E51">
        <w:rPr>
          <w:rFonts w:ascii="Times New Roman" w:hAnsi="Times New Roman" w:cs="Times New Roman"/>
          <w:color w:val="000000" w:themeColor="text1"/>
          <w:sz w:val="16"/>
          <w:szCs w:val="16"/>
        </w:rPr>
        <w:lastRenderedPageBreak/>
        <w:t>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25B72483"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7E0089A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75AE0197" w14:textId="77777777" w:rsidR="00BA7A65" w:rsidRPr="00271E51" w:rsidRDefault="00BA7A65" w:rsidP="00271E51">
      <w:pPr>
        <w:pStyle w:val="aff1"/>
        <w:shd w:val="clear" w:color="auto" w:fill="auto"/>
        <w:spacing w:line="240" w:lineRule="auto"/>
        <w:rPr>
          <w:rFonts w:ascii="Times New Roman" w:hAnsi="Times New Roman" w:cs="Times New Roman"/>
          <w:i w:val="0"/>
          <w:color w:val="000000" w:themeColor="text1"/>
          <w:sz w:val="16"/>
          <w:szCs w:val="16"/>
          <w:lang w:val="ru-RU"/>
        </w:rPr>
      </w:pPr>
      <w:r w:rsidRPr="00271E51">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4DCE103F"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F7FFEF5"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C64D5A5"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364F036"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72601637"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B412A93"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3E0B2723"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CE94C8B"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D2A60BD" w14:textId="77777777" w:rsidR="00BA7A65" w:rsidRPr="00271E51" w:rsidRDefault="00BA7A6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68A91F19"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755215B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9178BE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75F2450"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800F38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8B02B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3AF418A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163516E"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A37C5BA"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3F962E87" w14:textId="77777777" w:rsidTr="00ED5B0A">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B1AFA91"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50B6984"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71DBA273"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1F40A2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A35E45D"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6086A318"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82BAB5C"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E59A185" w14:textId="77777777" w:rsidR="00BA7A65" w:rsidRPr="00271E51" w:rsidRDefault="00BA7A65"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7F83C842"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271E51">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271E51">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7DA6764C"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271E51">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271E51">
        <w:rPr>
          <w:rFonts w:ascii="Times New Roman" w:hAnsi="Times New Roman" w:cs="Times New Roman"/>
          <w:color w:val="000000" w:themeColor="text1"/>
          <w:sz w:val="16"/>
          <w:szCs w:val="16"/>
        </w:rPr>
        <w:softHyphen/>
        <w:t>тически равны. В связи с появлением тря</w:t>
      </w:r>
      <w:r w:rsidRPr="00271E51">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271E51">
        <w:rPr>
          <w:rFonts w:ascii="Times New Roman" w:hAnsi="Times New Roman" w:cs="Times New Roman"/>
          <w:color w:val="000000" w:themeColor="text1"/>
          <w:sz w:val="16"/>
          <w:szCs w:val="16"/>
        </w:rPr>
        <w:softHyphen/>
        <w:t>молета «Харрикейн» НО ограничивалась 375 миль/ч (600 км/ч).</w:t>
      </w:r>
    </w:p>
    <w:p w14:paraId="76153838"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17 мая 1944 г. заместитель начальни</w:t>
      </w:r>
      <w:r w:rsidRPr="00271E51">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271E51">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271E51">
        <w:rPr>
          <w:rFonts w:ascii="Times New Roman" w:hAnsi="Times New Roman" w:cs="Times New Roman"/>
          <w:color w:val="000000" w:themeColor="text1"/>
          <w:sz w:val="16"/>
          <w:szCs w:val="16"/>
        </w:rPr>
        <w:softHyphen/>
        <w:t>можностях самолета «Харрикейн» !Ю.</w:t>
      </w:r>
    </w:p>
    <w:p w14:paraId="271AAADD"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оружия, отсут</w:t>
      </w:r>
      <w:r w:rsidRPr="00271E51">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271E51">
        <w:rPr>
          <w:rFonts w:ascii="Times New Roman" w:hAnsi="Times New Roman" w:cs="Times New Roman"/>
          <w:color w:val="000000" w:themeColor="text1"/>
          <w:sz w:val="16"/>
          <w:szCs w:val="16"/>
        </w:rPr>
        <w:softHyphen/>
        <w:t>тивно использован, как истребитель тан</w:t>
      </w:r>
      <w:r w:rsidRPr="00271E51">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271E51">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4519B721"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271E51">
        <w:rPr>
          <w:rStyle w:val="aff6"/>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271E51">
        <w:rPr>
          <w:rStyle w:val="aff6"/>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271E51">
        <w:rPr>
          <w:rStyle w:val="aff6"/>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271E51">
        <w:rPr>
          <w:rStyle w:val="aff6"/>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271E51">
        <w:rPr>
          <w:rStyle w:val="aff6"/>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271E51">
        <w:rPr>
          <w:rStyle w:val="aff6"/>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271E51">
        <w:rPr>
          <w:rStyle w:val="aff6"/>
          <w:rFonts w:ascii="Times New Roman" w:hAnsi="Times New Roman" w:cs="Times New Roman"/>
          <w:i w:val="0"/>
          <w:color w:val="000000" w:themeColor="text1"/>
        </w:rPr>
        <w:softHyphen/>
        <w:t>духе нужны снаряды осколочно-фугасного действия».</w:t>
      </w:r>
    </w:p>
    <w:p w14:paraId="06933479"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271E51">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271E51">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271E51">
        <w:rPr>
          <w:rFonts w:ascii="Times New Roman" w:hAnsi="Times New Roman" w:cs="Times New Roman"/>
          <w:color w:val="000000" w:themeColor="text1"/>
          <w:sz w:val="16"/>
          <w:szCs w:val="16"/>
        </w:rPr>
        <w:softHyphen/>
        <w:t>ного управления значительно выше, чем «Харрикейна»1Ю.</w:t>
      </w:r>
    </w:p>
    <w:p w14:paraId="5850C45F"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вооружения, от</w:t>
      </w:r>
      <w:r w:rsidRPr="00271E51">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271E51">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2D8A561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Известна резолюция генерала Худяко</w:t>
      </w:r>
      <w:r w:rsidRPr="00271E51">
        <w:rPr>
          <w:rStyle w:val="2fa"/>
          <w:rFonts w:ascii="Times New Roman" w:hAnsi="Times New Roman" w:cs="Times New Roman"/>
          <w:i w:val="0"/>
          <w:color w:val="000000" w:themeColor="text1"/>
          <w:sz w:val="16"/>
          <w:szCs w:val="16"/>
        </w:rPr>
        <w:t>ва, которую тот наложил на документ:</w:t>
      </w:r>
      <w:r w:rsidRPr="00271E51">
        <w:rPr>
          <w:rFonts w:ascii="Times New Roman" w:hAnsi="Times New Roman"/>
          <w:color w:val="000000" w:themeColor="text1"/>
          <w:sz w:val="16"/>
          <w:szCs w:val="16"/>
        </w:rPr>
        <w:t xml:space="preserve"> «ОУ. Подготовить справку такого же содержа</w:t>
      </w:r>
      <w:r w:rsidRPr="00271E51">
        <w:rPr>
          <w:rFonts w:ascii="Times New Roman" w:hAnsi="Times New Roman"/>
          <w:color w:val="000000" w:themeColor="text1"/>
          <w:sz w:val="16"/>
          <w:szCs w:val="16"/>
        </w:rPr>
        <w:softHyphen/>
        <w:t>ния главному инженеру ВВС за моей под</w:t>
      </w:r>
      <w:r w:rsidRPr="00271E51">
        <w:rPr>
          <w:rFonts w:ascii="Times New Roman" w:hAnsi="Times New Roman"/>
          <w:color w:val="000000" w:themeColor="text1"/>
          <w:sz w:val="16"/>
          <w:szCs w:val="16"/>
        </w:rPr>
        <w:softHyphen/>
        <w:t>писью».</w:t>
      </w:r>
      <w:r w:rsidRPr="00271E51">
        <w:rPr>
          <w:rStyle w:val="2fa"/>
          <w:rFonts w:ascii="Times New Roman" w:hAnsi="Times New Roman" w:cs="Times New Roman"/>
          <w:i w:val="0"/>
          <w:color w:val="000000" w:themeColor="text1"/>
          <w:sz w:val="16"/>
          <w:szCs w:val="16"/>
        </w:rPr>
        <w:t xml:space="preserve"> Уже 23 мая справка ушла в аппарат генерала Репина.</w:t>
      </w:r>
    </w:p>
    <w:p w14:paraId="2F167C1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Пока «Харрикейны» 1Ю зав. №№ КХ-171 и КХ-305 испытывались и принималось ре</w:t>
      </w:r>
      <w:r w:rsidRPr="00271E51">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271E51">
        <w:rPr>
          <w:rFonts w:ascii="Times New Roman" w:hAnsi="Times New Roman" w:cs="Times New Roman"/>
          <w:color w:val="000000" w:themeColor="text1"/>
          <w:sz w:val="16"/>
          <w:szCs w:val="16"/>
        </w:rPr>
        <w:softHyphen/>
        <w:t>ку ВВС Закавказского военного округа (г. Аджи-Кабул) (12735).</w:t>
      </w:r>
    </w:p>
    <w:p w14:paraId="0CA25060" w14:textId="77777777" w:rsidR="00BA7A65" w:rsidRPr="00271E51" w:rsidRDefault="00BA7A6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9F22F3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26 августа 1943 г. в НИИ ВВС на аэродром Чкаловское прибыли 2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 xml:space="preserve"> зав. № КХ-171 и № КХ-305 поступили в НИИ ВВС и затем в НИИ АВ ВВС, где провели все</w:t>
      </w:r>
      <w:r w:rsidRPr="00271E51">
        <w:rPr>
          <w:color w:val="000000" w:themeColor="text1"/>
          <w:sz w:val="16"/>
          <w:szCs w:val="16"/>
        </w:rPr>
        <w:softHyphen/>
        <w:t>сторонние исследования их летно-боевых качеств и вооружения. Однако из-за задерж</w:t>
      </w:r>
      <w:r w:rsidRPr="00271E51">
        <w:rPr>
          <w:color w:val="000000" w:themeColor="text1"/>
          <w:sz w:val="16"/>
          <w:szCs w:val="16"/>
        </w:rPr>
        <w:softHyphen/>
        <w:t>ки правых пушек и боезапаса испытания были на</w:t>
      </w:r>
      <w:r w:rsidRPr="00271E51">
        <w:rPr>
          <w:color w:val="000000" w:themeColor="text1"/>
          <w:sz w:val="16"/>
          <w:szCs w:val="16"/>
        </w:rPr>
        <w:softHyphen/>
        <w:t>чаты только 13 ноября и закончены 23 декабря. Акт по испытаниям утвержден главным инженером ВВС КА генерал-полковником А. К. Репиным 11 января 1944 г.</w:t>
      </w:r>
    </w:p>
    <w:p w14:paraId="6B094D1B"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271E51">
        <w:rPr>
          <w:color w:val="000000" w:themeColor="text1"/>
          <w:sz w:val="16"/>
          <w:szCs w:val="16"/>
        </w:rPr>
        <w:softHyphen/>
        <w:t>чальником НИИ АВ генерал-майором М. В. Гуреви- чем 17 марта.</w:t>
      </w:r>
    </w:p>
    <w:p w14:paraId="5EDFEAA2" w14:textId="77777777" w:rsidR="006F1C24" w:rsidRPr="00271E51" w:rsidRDefault="006F1C2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в НИИ ВВС проводились объединен</w:t>
      </w:r>
      <w:r w:rsidRPr="00271E51">
        <w:rPr>
          <w:rFonts w:ascii="Times New Roman" w:hAnsi="Times New Roman"/>
          <w:color w:val="000000" w:themeColor="text1"/>
          <w:sz w:val="16"/>
          <w:szCs w:val="16"/>
        </w:rPr>
        <w:softHyphen/>
        <w:t>ной бригадой специалистов 3-го и 4-го отделов ин</w:t>
      </w:r>
      <w:r w:rsidRPr="00271E51">
        <w:rPr>
          <w:rFonts w:ascii="Times New Roman" w:hAnsi="Times New Roman"/>
          <w:color w:val="000000" w:themeColor="text1"/>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271E51">
        <w:rPr>
          <w:rFonts w:ascii="Times New Roman" w:hAnsi="Times New Roman"/>
          <w:color w:val="000000" w:themeColor="text1"/>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4F39435C"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НИИ АВ к испытаниям при</w:t>
      </w:r>
      <w:r w:rsidRPr="00271E51">
        <w:rPr>
          <w:color w:val="000000" w:themeColor="text1"/>
          <w:sz w:val="16"/>
          <w:szCs w:val="16"/>
        </w:rPr>
        <w:softHyphen/>
        <w:t>влекались специалисты 7-го отдела института: майор В. С. Полубичен- ко — ответственный по испыта</w:t>
      </w:r>
      <w:r w:rsidRPr="00271E51">
        <w:rPr>
          <w:color w:val="000000" w:themeColor="text1"/>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62D9F996"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Всего в НИИ ВВС было выпол</w:t>
      </w:r>
      <w:r w:rsidRPr="00271E51">
        <w:rPr>
          <w:color w:val="000000" w:themeColor="text1"/>
          <w:sz w:val="16"/>
          <w:szCs w:val="16"/>
        </w:rPr>
        <w:softHyphen/>
        <w:t>нено 27 полетов с суммарным на</w:t>
      </w:r>
      <w:r w:rsidRPr="00271E51">
        <w:rPr>
          <w:color w:val="000000" w:themeColor="text1"/>
          <w:sz w:val="16"/>
          <w:szCs w:val="16"/>
        </w:rPr>
        <w:softHyphen/>
        <w:t>летом 18 ч 40 мин, в том числе на самолете зав. № КХ-305 — 16 по</w:t>
      </w:r>
      <w:r w:rsidRPr="00271E51">
        <w:rPr>
          <w:color w:val="000000" w:themeColor="text1"/>
          <w:sz w:val="16"/>
          <w:szCs w:val="16"/>
        </w:rPr>
        <w:softHyphen/>
        <w:t>летов (12 ч 10 мин), на самолете зав. № КХ-171 — 11 полетов (6 ч 30 мин).</w:t>
      </w:r>
    </w:p>
    <w:p w14:paraId="5F48CF2D"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НИИ АВ ВВС на самолете зав. № КХ-305 выполнили еще 9 кон</w:t>
      </w:r>
      <w:r w:rsidRPr="00271E51">
        <w:rPr>
          <w:color w:val="000000" w:themeColor="text1"/>
          <w:sz w:val="16"/>
          <w:szCs w:val="16"/>
        </w:rPr>
        <w:softHyphen/>
        <w:t>трольных полетов на отстрел во</w:t>
      </w:r>
      <w:r w:rsidRPr="00271E51">
        <w:rPr>
          <w:color w:val="000000" w:themeColor="text1"/>
          <w:sz w:val="16"/>
          <w:szCs w:val="16"/>
        </w:rPr>
        <w:softHyphen/>
        <w:t>оружения в воздухе по воздушным и наземным целям.</w:t>
      </w:r>
    </w:p>
    <w:p w14:paraId="0740C97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Штурмовой вариант самолета «Харрикейн» </w:t>
      </w:r>
      <w:r w:rsidRPr="00271E51">
        <w:rPr>
          <w:color w:val="000000" w:themeColor="text1"/>
          <w:sz w:val="16"/>
          <w:szCs w:val="16"/>
          <w:lang w:val="en-US"/>
        </w:rPr>
        <w:t>IID</w:t>
      </w:r>
      <w:r w:rsidRPr="00271E51">
        <w:rPr>
          <w:color w:val="000000" w:themeColor="text1"/>
          <w:sz w:val="16"/>
          <w:szCs w:val="16"/>
        </w:rPr>
        <w:t xml:space="preserve"> представлял собой серийный самолет «Харрикейн» </w:t>
      </w:r>
      <w:r w:rsidRPr="00271E51">
        <w:rPr>
          <w:color w:val="000000" w:themeColor="text1"/>
          <w:sz w:val="16"/>
          <w:szCs w:val="16"/>
          <w:lang w:val="en-US"/>
        </w:rPr>
        <w:t>IIC</w:t>
      </w:r>
      <w:r w:rsidRPr="00271E51">
        <w:rPr>
          <w:color w:val="000000" w:themeColor="text1"/>
          <w:sz w:val="16"/>
          <w:szCs w:val="16"/>
        </w:rPr>
        <w:t xml:space="preserve"> с усиленным бронированием и до</w:t>
      </w:r>
      <w:r w:rsidRPr="00271E51">
        <w:rPr>
          <w:color w:val="000000" w:themeColor="text1"/>
          <w:sz w:val="16"/>
          <w:szCs w:val="16"/>
        </w:rPr>
        <w:softHyphen/>
        <w:t>работанный под установку крупно</w:t>
      </w:r>
      <w:r w:rsidRPr="00271E51">
        <w:rPr>
          <w:color w:val="000000" w:themeColor="text1"/>
          <w:sz w:val="16"/>
          <w:szCs w:val="16"/>
        </w:rPr>
        <w:softHyphen/>
        <w:t>калиберных пушек.</w:t>
      </w:r>
    </w:p>
    <w:p w14:paraId="5B7DA51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Броней на самолете защища</w:t>
      </w:r>
      <w:r w:rsidRPr="00271E51">
        <w:rPr>
          <w:color w:val="000000" w:themeColor="text1"/>
          <w:sz w:val="16"/>
          <w:szCs w:val="16"/>
        </w:rPr>
        <w:softHyphen/>
        <w:t>лись: летчик, мотор, водо- и масло- радиаторы. Общий вес брони достигал 185 кг.</w:t>
      </w:r>
    </w:p>
    <w:p w14:paraId="7E33021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Под крылом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размещались 2 пушки Вик- керс </w:t>
      </w:r>
      <w:r w:rsidRPr="00271E51">
        <w:rPr>
          <w:color w:val="000000" w:themeColor="text1"/>
          <w:sz w:val="16"/>
          <w:szCs w:val="16"/>
          <w:lang w:val="en-US"/>
        </w:rPr>
        <w:t>S</w:t>
      </w:r>
      <w:r w:rsidRPr="00271E51">
        <w:rPr>
          <w:color w:val="000000" w:themeColor="text1"/>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271E51">
        <w:rPr>
          <w:color w:val="000000" w:themeColor="text1"/>
          <w:sz w:val="16"/>
          <w:szCs w:val="16"/>
        </w:rPr>
        <w:softHyphen/>
        <w:t>ных бензобаков.</w:t>
      </w:r>
    </w:p>
    <w:p w14:paraId="05E37EE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помещались в специальном обтекателе и крепились на 2 узлах, из которых передний яв</w:t>
      </w:r>
      <w:r w:rsidRPr="00271E51">
        <w:rPr>
          <w:color w:val="000000" w:themeColor="text1"/>
          <w:sz w:val="16"/>
          <w:szCs w:val="16"/>
        </w:rPr>
        <w:softHyphen/>
        <w:t>лялся силовым, а задний — регулировочным. При этом стволы пушек на 1080 мм выступали за перед</w:t>
      </w:r>
      <w:r w:rsidRPr="00271E51">
        <w:rPr>
          <w:color w:val="000000" w:themeColor="text1"/>
          <w:sz w:val="16"/>
          <w:szCs w:val="16"/>
        </w:rPr>
        <w:softHyphen/>
        <w:t>нюю кромку крыла.</w:t>
      </w:r>
    </w:p>
    <w:p w14:paraId="0387277A"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Автоматика пушек Виккерс </w:t>
      </w:r>
      <w:r w:rsidRPr="00271E51">
        <w:rPr>
          <w:color w:val="000000" w:themeColor="text1"/>
          <w:sz w:val="16"/>
          <w:szCs w:val="16"/>
          <w:lang w:val="en-US"/>
        </w:rPr>
        <w:t>S</w:t>
      </w:r>
      <w:r w:rsidRPr="00271E51">
        <w:rPr>
          <w:color w:val="000000" w:themeColor="text1"/>
          <w:sz w:val="16"/>
          <w:szCs w:val="16"/>
        </w:rPr>
        <w:t xml:space="preserve"> работала на прин</w:t>
      </w:r>
      <w:r w:rsidRPr="00271E51">
        <w:rPr>
          <w:color w:val="000000" w:themeColor="text1"/>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271E51">
        <w:rPr>
          <w:color w:val="000000" w:themeColor="text1"/>
          <w:sz w:val="16"/>
          <w:szCs w:val="16"/>
        </w:rPr>
        <w:softHyphen/>
        <w:t>жинами и гидравлическим тормозом. В гидротор</w:t>
      </w:r>
      <w:r w:rsidRPr="00271E51">
        <w:rPr>
          <w:color w:val="000000" w:themeColor="text1"/>
          <w:sz w:val="16"/>
          <w:szCs w:val="16"/>
        </w:rPr>
        <w:softHyphen/>
        <w:t>моз заливалось веретенное масло или смесь вере</w:t>
      </w:r>
      <w:r w:rsidRPr="00271E51">
        <w:rPr>
          <w:color w:val="000000" w:themeColor="text1"/>
          <w:sz w:val="16"/>
          <w:szCs w:val="16"/>
        </w:rPr>
        <w:softHyphen/>
        <w:t>тенного масла с техническим керосином (в соотно</w:t>
      </w:r>
      <w:r w:rsidRPr="00271E51">
        <w:rPr>
          <w:color w:val="000000" w:themeColor="text1"/>
          <w:sz w:val="16"/>
          <w:szCs w:val="16"/>
        </w:rPr>
        <w:softHyphen/>
        <w:t>шении 60/40).</w:t>
      </w:r>
    </w:p>
    <w:p w14:paraId="73022D76"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Питание пушек — магазинное. Магазин на 15 снарядов жестко крепился к пушке болтами. За</w:t>
      </w:r>
      <w:r w:rsidRPr="00271E51">
        <w:rPr>
          <w:color w:val="000000" w:themeColor="text1"/>
          <w:sz w:val="16"/>
          <w:szCs w:val="16"/>
        </w:rPr>
        <w:softHyphen/>
        <w:t>рядка магазина производилась непосредственно на самолете.</w:t>
      </w:r>
    </w:p>
    <w:p w14:paraId="35970646"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Перезарядка пушек осуществлялась вручную с помощью специальной рукоятки с цепной пере</w:t>
      </w:r>
      <w:r w:rsidRPr="00271E51">
        <w:rPr>
          <w:color w:val="000000" w:themeColor="text1"/>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271E51">
        <w:rPr>
          <w:color w:val="000000" w:themeColor="text1"/>
          <w:sz w:val="16"/>
          <w:szCs w:val="16"/>
        </w:rPr>
        <w:softHyphen/>
        <w:t>ников пушек. С ее помощью летчик в полете мог повторно взвести ударники пушек и продолжить стрельбу.</w:t>
      </w:r>
    </w:p>
    <w:p w14:paraId="7DD86F6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Длина пушки достигала 2970 мм, при высоте с магазином 533 мм (без магазина 278 мм) и ши</w:t>
      </w:r>
      <w:r w:rsidRPr="00271E51">
        <w:rPr>
          <w:color w:val="000000" w:themeColor="text1"/>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271E51">
        <w:rPr>
          <w:color w:val="000000" w:themeColor="text1"/>
          <w:sz w:val="16"/>
          <w:szCs w:val="16"/>
        </w:rPr>
        <w:softHyphen/>
        <w:t>нов — 16,0 кг, боекомплект — 22,5 кг.</w:t>
      </w:r>
    </w:p>
    <w:p w14:paraId="73361F80"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общему мнению летчиков, увеличение по</w:t>
      </w:r>
      <w:r w:rsidRPr="00271E51">
        <w:rPr>
          <w:color w:val="000000" w:themeColor="text1"/>
          <w:sz w:val="16"/>
          <w:szCs w:val="16"/>
        </w:rPr>
        <w:softHyphen/>
        <w:t xml:space="preserve">летного веса и ухудшение аэродинамики самолета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по сравнению с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IIC</w:t>
      </w:r>
      <w:r w:rsidRPr="00271E51">
        <w:rPr>
          <w:color w:val="000000" w:themeColor="text1"/>
          <w:sz w:val="16"/>
          <w:szCs w:val="16"/>
        </w:rPr>
        <w:t xml:space="preserve"> привело к заметному понижению летных данных и маневренности само</w:t>
      </w:r>
      <w:r w:rsidRPr="00271E51">
        <w:rPr>
          <w:color w:val="000000" w:themeColor="text1"/>
          <w:sz w:val="16"/>
          <w:szCs w:val="16"/>
        </w:rPr>
        <w:softHyphen/>
        <w:t>лета как в вертикальной, так и в горизонтальной плоскости. Для выполнения фигур «скорости при</w:t>
      </w:r>
      <w:r w:rsidRPr="00271E51">
        <w:rPr>
          <w:color w:val="000000" w:themeColor="text1"/>
          <w:sz w:val="16"/>
          <w:szCs w:val="16"/>
        </w:rPr>
        <w:softHyphen/>
        <w:t>ходится держать больше на 5—7 миль/ч, так как самолет тяжелее и инертнее». Продольная и по</w:t>
      </w:r>
      <w:r w:rsidRPr="00271E51">
        <w:rPr>
          <w:color w:val="000000" w:themeColor="text1"/>
          <w:sz w:val="16"/>
          <w:szCs w:val="16"/>
        </w:rPr>
        <w:softHyphen/>
        <w:t>перечная устойчивость самолета оставляла желать лучшего. Сбалансированность самолета в горизон</w:t>
      </w:r>
      <w:r w:rsidRPr="00271E51">
        <w:rPr>
          <w:color w:val="000000" w:themeColor="text1"/>
          <w:sz w:val="16"/>
          <w:szCs w:val="16"/>
        </w:rPr>
        <w:softHyphen/>
        <w:t>тальном полете была затруднена и требовала по</w:t>
      </w:r>
      <w:r w:rsidRPr="00271E51">
        <w:rPr>
          <w:color w:val="000000" w:themeColor="text1"/>
          <w:sz w:val="16"/>
          <w:szCs w:val="16"/>
        </w:rPr>
        <w:softHyphen/>
        <w:t>стоянной регулировки положения триммера при изменении скорости полета. На вертикальных фи</w:t>
      </w:r>
      <w:r w:rsidRPr="00271E51">
        <w:rPr>
          <w:color w:val="000000" w:themeColor="text1"/>
          <w:sz w:val="16"/>
          <w:szCs w:val="16"/>
        </w:rPr>
        <w:softHyphen/>
        <w:t>гурах самолет быстро терял скорость, набор высо</w:t>
      </w:r>
      <w:r w:rsidRPr="00271E51">
        <w:rPr>
          <w:color w:val="000000" w:themeColor="text1"/>
          <w:sz w:val="16"/>
          <w:szCs w:val="16"/>
        </w:rPr>
        <w:softHyphen/>
        <w:t xml:space="preserve">ты на иммельмане и боевом развороте сократился. В то же время техника пилотирования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прак</w:t>
      </w:r>
      <w:r w:rsidRPr="00271E51">
        <w:rPr>
          <w:color w:val="000000" w:themeColor="text1"/>
          <w:sz w:val="16"/>
          <w:szCs w:val="16"/>
        </w:rPr>
        <w:softHyphen/>
        <w:t xml:space="preserve">тически ничем не отличалась от самолетов «Харри- кейн» </w:t>
      </w:r>
      <w:r w:rsidRPr="00271E51">
        <w:rPr>
          <w:color w:val="000000" w:themeColor="text1"/>
          <w:sz w:val="16"/>
          <w:szCs w:val="16"/>
          <w:lang w:val="en-US"/>
        </w:rPr>
        <w:t>IIC</w:t>
      </w:r>
      <w:r w:rsidRPr="00271E51">
        <w:rPr>
          <w:color w:val="000000" w:themeColor="text1"/>
          <w:sz w:val="16"/>
          <w:szCs w:val="16"/>
        </w:rPr>
        <w:t xml:space="preserve"> или </w:t>
      </w:r>
      <w:r w:rsidRPr="00271E51">
        <w:rPr>
          <w:color w:val="000000" w:themeColor="text1"/>
          <w:sz w:val="16"/>
          <w:szCs w:val="16"/>
          <w:lang w:val="en-US"/>
        </w:rPr>
        <w:t>IIB</w:t>
      </w:r>
      <w:r w:rsidRPr="00271E51">
        <w:rPr>
          <w:color w:val="000000" w:themeColor="text1"/>
          <w:sz w:val="16"/>
          <w:szCs w:val="16"/>
        </w:rPr>
        <w:t>.</w:t>
      </w:r>
    </w:p>
    <w:p w14:paraId="7E63591F"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Вооружение самолета отстреливалось как на земле, так и в воздухе. Стрельба велась снарядами, «снаряженными стальными корпусами бронебой</w:t>
      </w:r>
      <w:r w:rsidRPr="00271E51">
        <w:rPr>
          <w:color w:val="000000" w:themeColor="text1"/>
          <w:sz w:val="16"/>
          <w:szCs w:val="16"/>
        </w:rPr>
        <w:softHyphen/>
        <w:t xml:space="preserve">ных снарядов, так как других боекомплектов для пушек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w:t>
      </w:r>
      <w:r w:rsidRPr="00271E51">
        <w:rPr>
          <w:color w:val="000000" w:themeColor="text1"/>
          <w:sz w:val="16"/>
          <w:szCs w:val="16"/>
        </w:rPr>
        <w:t xml:space="preserve"> — 40 мм в снабжающих организациях ВВС не имелось». При этом в снарядах отсутство</w:t>
      </w:r>
      <w:r w:rsidRPr="00271E51">
        <w:rPr>
          <w:color w:val="000000" w:themeColor="text1"/>
          <w:sz w:val="16"/>
          <w:szCs w:val="16"/>
        </w:rPr>
        <w:softHyphen/>
        <w:t>вали «разрывной заряд ВВ и донный взрыватель, заглушка вместо него не поставлена», так что вну</w:t>
      </w:r>
      <w:r w:rsidRPr="00271E51">
        <w:rPr>
          <w:color w:val="000000" w:themeColor="text1"/>
          <w:sz w:val="16"/>
          <w:szCs w:val="16"/>
        </w:rPr>
        <w:softHyphen/>
        <w:t>тренняя полость снаряда сообщалась с зарядной каморой патрона. То есть снаряды «не имели ни фугасного, ни зажигательного действия, а внутрен</w:t>
      </w:r>
      <w:r w:rsidRPr="00271E51">
        <w:rPr>
          <w:color w:val="000000" w:themeColor="text1"/>
          <w:sz w:val="16"/>
          <w:szCs w:val="16"/>
        </w:rPr>
        <w:softHyphen/>
        <w:t>няя и внешняя баллистика его отличается от балли</w:t>
      </w:r>
      <w:r w:rsidRPr="00271E51">
        <w:rPr>
          <w:color w:val="000000" w:themeColor="text1"/>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271E51">
        <w:rPr>
          <w:color w:val="000000" w:themeColor="text1"/>
          <w:sz w:val="16"/>
          <w:szCs w:val="16"/>
        </w:rPr>
        <w:softHyphen/>
        <w:t>гих снарядов союзники не поставили.</w:t>
      </w:r>
    </w:p>
    <w:p w14:paraId="445F028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из пушек было выполнено 620 выстрелов, в том числе 212 выстрелов на земле и 408 в воздухе.</w:t>
      </w:r>
    </w:p>
    <w:p w14:paraId="0BF1EB0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271E51">
        <w:rPr>
          <w:color w:val="000000" w:themeColor="text1"/>
          <w:sz w:val="16"/>
          <w:szCs w:val="16"/>
        </w:rPr>
        <w:softHyphen/>
        <w:t>зонтальном полете, на виражах, на наборе высо</w:t>
      </w:r>
      <w:r w:rsidRPr="00271E51">
        <w:rPr>
          <w:color w:val="000000" w:themeColor="text1"/>
          <w:sz w:val="16"/>
          <w:szCs w:val="16"/>
        </w:rPr>
        <w:softHyphen/>
        <w:t>ты, а после выполнения пилотажа и по наземной цели — с пикирования (по щитам и контуру само</w:t>
      </w:r>
      <w:r w:rsidRPr="00271E51">
        <w:rPr>
          <w:color w:val="000000" w:themeColor="text1"/>
          <w:sz w:val="16"/>
          <w:szCs w:val="16"/>
        </w:rPr>
        <w:softHyphen/>
        <w:t>лета). Кроме того, один полет был выполнен для стрельбы на большой высоте.</w:t>
      </w:r>
    </w:p>
    <w:p w14:paraId="5AD19B5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271E51">
        <w:rPr>
          <w:color w:val="000000" w:themeColor="text1"/>
          <w:sz w:val="16"/>
          <w:szCs w:val="16"/>
        </w:rPr>
        <w:softHyphen/>
        <w:t>бе из 37-мм пушек 11П на самолетах Як-9т и ЛаГГ-3. Синхронность стрельбы оценивалась как отличная.</w:t>
      </w:r>
    </w:p>
    <w:p w14:paraId="364257B7"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271E51">
        <w:rPr>
          <w:color w:val="000000" w:themeColor="text1"/>
          <w:sz w:val="16"/>
          <w:szCs w:val="16"/>
        </w:rPr>
        <w:softHyphen/>
        <w:t>мился увеличить угол пикирования и «его необхо</w:t>
      </w:r>
      <w:r w:rsidRPr="00271E51">
        <w:rPr>
          <w:color w:val="000000" w:themeColor="text1"/>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271E51">
        <w:rPr>
          <w:color w:val="000000" w:themeColor="text1"/>
          <w:sz w:val="16"/>
          <w:szCs w:val="16"/>
        </w:rPr>
        <w:softHyphen/>
        <w:t>которое уменьшение угла.</w:t>
      </w:r>
    </w:p>
    <w:p w14:paraId="2A2BD6E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Чем длиннее очередь из пушек, «тем опуска</w:t>
      </w:r>
      <w:r w:rsidRPr="00271E51">
        <w:rPr>
          <w:color w:val="000000" w:themeColor="text1"/>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271E51">
        <w:rPr>
          <w:color w:val="000000" w:themeColor="text1"/>
          <w:sz w:val="16"/>
          <w:szCs w:val="16"/>
        </w:rPr>
        <w:softHyphen/>
        <w:t>цельная стрельба становится невозможной».</w:t>
      </w:r>
    </w:p>
    <w:p w14:paraId="6EE04A6F"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обеспечения более точного поражения це</w:t>
      </w:r>
      <w:r w:rsidRPr="00271E51">
        <w:rPr>
          <w:color w:val="000000" w:themeColor="text1"/>
          <w:sz w:val="16"/>
          <w:szCs w:val="16"/>
        </w:rPr>
        <w:softHyphen/>
        <w:t>ли рекомендовалось производить стрельбу очере</w:t>
      </w:r>
      <w:r w:rsidRPr="00271E51">
        <w:rPr>
          <w:color w:val="000000" w:themeColor="text1"/>
          <w:sz w:val="16"/>
          <w:szCs w:val="16"/>
        </w:rPr>
        <w:softHyphen/>
        <w:t>дями по 2—3, максимум 4 снаряда из каждой пуш</w:t>
      </w:r>
      <w:r w:rsidRPr="00271E51">
        <w:rPr>
          <w:color w:val="000000" w:themeColor="text1"/>
          <w:sz w:val="16"/>
          <w:szCs w:val="16"/>
        </w:rPr>
        <w:softHyphen/>
        <w:t>ки. При этом короткая очередь была рациональна и с точки зрения тактического применения самоле</w:t>
      </w:r>
      <w:r w:rsidRPr="00271E51">
        <w:rPr>
          <w:color w:val="000000" w:themeColor="text1"/>
          <w:sz w:val="16"/>
          <w:szCs w:val="16"/>
        </w:rPr>
        <w:softHyphen/>
        <w:t>та (более экономного расхода небольшого боеком</w:t>
      </w:r>
      <w:r w:rsidRPr="00271E51">
        <w:rPr>
          <w:color w:val="000000" w:themeColor="text1"/>
          <w:sz w:val="16"/>
          <w:szCs w:val="16"/>
        </w:rPr>
        <w:softHyphen/>
        <w:t>плекта к пушкам).</w:t>
      </w:r>
    </w:p>
    <w:p w14:paraId="2D94817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одной пушки (правой или ле</w:t>
      </w:r>
      <w:r w:rsidRPr="00271E51">
        <w:rPr>
          <w:color w:val="000000" w:themeColor="text1"/>
          <w:sz w:val="16"/>
          <w:szCs w:val="16"/>
        </w:rPr>
        <w:softHyphen/>
        <w:t>вой) самолет разворачивался в сторону стреляю</w:t>
      </w:r>
      <w:r w:rsidRPr="00271E51">
        <w:rPr>
          <w:color w:val="000000" w:themeColor="text1"/>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color w:val="000000" w:themeColor="text1"/>
          <w:sz w:val="16"/>
          <w:szCs w:val="16"/>
        </w:rPr>
        <w:softHyphen/>
        <w:t>ков, «получается разбалтывание самолета относи</w:t>
      </w:r>
      <w:r w:rsidRPr="00271E51">
        <w:rPr>
          <w:color w:val="000000" w:themeColor="text1"/>
          <w:sz w:val="16"/>
          <w:szCs w:val="16"/>
        </w:rPr>
        <w:softHyphen/>
        <w:t>тельно вертикальной оси на линии прицеливания, что ухудшает качество стрельбы». То есть прицель</w:t>
      </w:r>
      <w:r w:rsidRPr="00271E51">
        <w:rPr>
          <w:color w:val="000000" w:themeColor="text1"/>
          <w:sz w:val="16"/>
          <w:szCs w:val="16"/>
        </w:rPr>
        <w:softHyphen/>
        <w:t>ным был только первый снаряд в очереди.</w:t>
      </w:r>
    </w:p>
    <w:p w14:paraId="3537262B" w14:textId="77777777" w:rsidR="006F1C24" w:rsidRPr="00271E51" w:rsidRDefault="006F1C2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271E51">
        <w:rPr>
          <w:rFonts w:ascii="Times New Roman" w:hAnsi="Times New Roman"/>
          <w:color w:val="000000" w:themeColor="text1"/>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1FC01019"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Важно отметить, при стрельбе в воздухе по на</w:t>
      </w:r>
      <w:r w:rsidRPr="00271E51">
        <w:rPr>
          <w:color w:val="000000" w:themeColor="text1"/>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263645B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Летчикам понравилось удобное расположение электрокнопки управления огнем из пушек на сек</w:t>
      </w:r>
      <w:r w:rsidRPr="00271E51">
        <w:rPr>
          <w:color w:val="000000" w:themeColor="text1"/>
          <w:sz w:val="16"/>
          <w:szCs w:val="16"/>
        </w:rPr>
        <w:softHyphen/>
        <w:t>торе газа под левую руку. Поскольку пулеметы при</w:t>
      </w:r>
      <w:r w:rsidRPr="00271E51">
        <w:rPr>
          <w:color w:val="000000" w:themeColor="text1"/>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0B1CF43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прицеливания при стрельбе использовал</w:t>
      </w:r>
      <w:r w:rsidRPr="00271E51">
        <w:rPr>
          <w:color w:val="000000" w:themeColor="text1"/>
          <w:sz w:val="16"/>
          <w:szCs w:val="16"/>
        </w:rPr>
        <w:softHyphen/>
        <w:t xml:space="preserve">ся коллиматорный прицел Рефлектор Сайт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IIS</w:t>
      </w:r>
      <w:r w:rsidRPr="00271E51">
        <w:rPr>
          <w:color w:val="000000" w:themeColor="text1"/>
          <w:sz w:val="16"/>
          <w:szCs w:val="16"/>
        </w:rPr>
        <w:t xml:space="preserve"> с электрической подсветкой. Пользоваться им в воздухе было удобно.</w:t>
      </w:r>
    </w:p>
    <w:p w14:paraId="70D0C18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Отмечалась простая эксплуатация пушек: «пуш</w:t>
      </w:r>
      <w:r w:rsidRPr="00271E51">
        <w:rPr>
          <w:color w:val="000000" w:themeColor="text1"/>
          <w:sz w:val="16"/>
          <w:szCs w:val="16"/>
        </w:rPr>
        <w:softHyphen/>
        <w:t>ки осваиваются техническим составом легко и бы</w:t>
      </w:r>
      <w:r w:rsidRPr="00271E51">
        <w:rPr>
          <w:color w:val="000000" w:themeColor="text1"/>
          <w:sz w:val="16"/>
          <w:szCs w:val="16"/>
        </w:rPr>
        <w:softHyphen/>
        <w:t>стро». Подходы к пушкам удобные. Зарядка мага</w:t>
      </w:r>
      <w:r w:rsidRPr="00271E51">
        <w:rPr>
          <w:color w:val="000000" w:themeColor="text1"/>
          <w:sz w:val="16"/>
          <w:szCs w:val="16"/>
        </w:rPr>
        <w:softHyphen/>
        <w:t>зина производилась непосредственно на самолете.</w:t>
      </w:r>
    </w:p>
    <w:p w14:paraId="139E68EA"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Имелись и недостатки. Пушки было трудно сна</w:t>
      </w:r>
      <w:r w:rsidRPr="00271E51">
        <w:rPr>
          <w:color w:val="000000" w:themeColor="text1"/>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271E51">
        <w:rPr>
          <w:color w:val="000000" w:themeColor="text1"/>
          <w:sz w:val="16"/>
          <w:szCs w:val="16"/>
        </w:rPr>
        <w:softHyphen/>
        <w:t>полнено неудачно — «при снятии пушки с самолета нарушается пристрелка». Легкосъемные замки кры</w:t>
      </w:r>
      <w:r w:rsidRPr="00271E51">
        <w:rPr>
          <w:color w:val="000000" w:themeColor="text1"/>
          <w:sz w:val="16"/>
          <w:szCs w:val="16"/>
        </w:rPr>
        <w:softHyphen/>
        <w:t>шек лючков пулеметов в ходе эксплуатации быстро деформировались. Как следствие, открывание и за</w:t>
      </w:r>
      <w:r w:rsidRPr="00271E51">
        <w:rPr>
          <w:color w:val="000000" w:themeColor="text1"/>
          <w:sz w:val="16"/>
          <w:szCs w:val="16"/>
        </w:rPr>
        <w:softHyphen/>
        <w:t>крывание лючков становилось затруднительным.</w:t>
      </w:r>
    </w:p>
    <w:p w14:paraId="3F2B841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Отсутствовали приспособления перезарядки пушек в воздухе. По этой причине устранить воз</w:t>
      </w:r>
      <w:r w:rsidRPr="00271E51">
        <w:rPr>
          <w:color w:val="000000" w:themeColor="text1"/>
          <w:sz w:val="16"/>
          <w:szCs w:val="16"/>
        </w:rPr>
        <w:softHyphen/>
        <w:t>можные задержки в стрельбе летчик не мог. В по</w:t>
      </w:r>
      <w:r w:rsidRPr="00271E51">
        <w:rPr>
          <w:color w:val="000000" w:themeColor="text1"/>
          <w:sz w:val="16"/>
          <w:szCs w:val="16"/>
        </w:rPr>
        <w:softHyphen/>
        <w:t>лете в случае осечки летчик мог только повторно взвести ударный механизм, «что отсутствие систе</w:t>
      </w:r>
      <w:r w:rsidRPr="00271E51">
        <w:rPr>
          <w:color w:val="000000" w:themeColor="text1"/>
          <w:sz w:val="16"/>
          <w:szCs w:val="16"/>
        </w:rPr>
        <w:softHyphen/>
        <w:t>мы перезарядки не компенсирует».</w:t>
      </w:r>
    </w:p>
    <w:p w14:paraId="0377513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271E51">
        <w:rPr>
          <w:color w:val="000000" w:themeColor="text1"/>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271E51">
        <w:rPr>
          <w:color w:val="000000" w:themeColor="text1"/>
          <w:sz w:val="16"/>
          <w:szCs w:val="16"/>
        </w:rPr>
        <w:softHyphen/>
        <w:t>мировались.</w:t>
      </w:r>
    </w:p>
    <w:p w14:paraId="1373127B"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«боекомплект 15 нарядов на пуш</w:t>
      </w:r>
      <w:r w:rsidRPr="00271E51">
        <w:rPr>
          <w:color w:val="000000" w:themeColor="text1"/>
          <w:sz w:val="16"/>
          <w:szCs w:val="16"/>
        </w:rPr>
        <w:softHyphen/>
        <w:t>ку и темп стрельбы 100—110 выстр./мин не могут удовлетворить ТТТ, предъявляемым ВВС к самоле</w:t>
      </w:r>
      <w:r w:rsidRPr="00271E51">
        <w:rPr>
          <w:color w:val="000000" w:themeColor="text1"/>
          <w:sz w:val="16"/>
          <w:szCs w:val="16"/>
        </w:rPr>
        <w:softHyphen/>
        <w:t>ту-истребителю».</w:t>
      </w:r>
    </w:p>
    <w:p w14:paraId="4098C350"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всему комплексу летно-боевых качеств «ан</w:t>
      </w:r>
      <w:r w:rsidRPr="00271E51">
        <w:rPr>
          <w:color w:val="000000" w:themeColor="text1"/>
          <w:sz w:val="16"/>
          <w:szCs w:val="16"/>
        </w:rPr>
        <w:softHyphen/>
        <w:t>гличанин» оценивался ниже не только противотан</w:t>
      </w:r>
      <w:r w:rsidRPr="00271E51">
        <w:rPr>
          <w:color w:val="000000" w:themeColor="text1"/>
          <w:sz w:val="16"/>
          <w:szCs w:val="16"/>
        </w:rPr>
        <w:softHyphen/>
        <w:t>ковых истребителей ЛаГГ-3 и Як-9т, но и штурмови</w:t>
      </w:r>
      <w:r w:rsidRPr="00271E51">
        <w:rPr>
          <w:color w:val="000000" w:themeColor="text1"/>
          <w:sz w:val="16"/>
          <w:szCs w:val="16"/>
        </w:rPr>
        <w:softHyphen/>
        <w:t>ка Ил-2 с НС-37.</w:t>
      </w:r>
    </w:p>
    <w:p w14:paraId="3F89AA9B"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Отмечалось, что «пушка Виккерс </w:t>
      </w:r>
      <w:r w:rsidRPr="00271E51">
        <w:rPr>
          <w:color w:val="000000" w:themeColor="text1"/>
          <w:sz w:val="16"/>
          <w:szCs w:val="16"/>
          <w:lang w:val="en-US"/>
        </w:rPr>
        <w:t>S</w:t>
      </w:r>
      <w:r w:rsidRPr="00271E51">
        <w:rPr>
          <w:color w:val="000000" w:themeColor="text1"/>
          <w:sz w:val="16"/>
          <w:szCs w:val="16"/>
        </w:rPr>
        <w:t xml:space="preserve"> калибра 40 мм по темпу стрельбы и начальной скорости снаряда стоит ниже современных систем авиаци</w:t>
      </w:r>
      <w:r w:rsidRPr="00271E51">
        <w:rPr>
          <w:color w:val="000000" w:themeColor="text1"/>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271E51">
        <w:rPr>
          <w:color w:val="000000" w:themeColor="text1"/>
          <w:sz w:val="16"/>
          <w:szCs w:val="16"/>
          <w:lang w:val="en-US"/>
        </w:rPr>
        <w:t>S</w:t>
      </w:r>
      <w:r w:rsidRPr="00271E51">
        <w:rPr>
          <w:color w:val="000000" w:themeColor="text1"/>
          <w:sz w:val="16"/>
          <w:szCs w:val="16"/>
        </w:rPr>
        <w:t xml:space="preserve"> в 1,35 раза меньше, чем у американской 37-мм пушки М-4, в 3,5 раза меньше, чем у НС-37, и в 4 раза меньше, чем у НС-45.</w:t>
      </w:r>
    </w:p>
    <w:p w14:paraId="1F62CE4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Несмотря на больший калибр, бронепроби- ваемость английской пушки оказалась хуже оте</w:t>
      </w:r>
      <w:r w:rsidRPr="00271E51">
        <w:rPr>
          <w:color w:val="000000" w:themeColor="text1"/>
          <w:sz w:val="16"/>
          <w:szCs w:val="16"/>
        </w:rPr>
        <w:softHyphen/>
        <w:t>чественной пушки калибра 37 мм НС-37. С дис</w:t>
      </w:r>
      <w:r w:rsidRPr="00271E51">
        <w:rPr>
          <w:color w:val="000000" w:themeColor="text1"/>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271E51">
        <w:rPr>
          <w:color w:val="000000" w:themeColor="text1"/>
          <w:sz w:val="16"/>
          <w:szCs w:val="16"/>
        </w:rPr>
        <w:softHyphen/>
        <w:t xml:space="preserve">бойный снаряд к пушке Виккерс </w:t>
      </w:r>
      <w:r w:rsidRPr="00271E51">
        <w:rPr>
          <w:color w:val="000000" w:themeColor="text1"/>
          <w:sz w:val="16"/>
          <w:szCs w:val="16"/>
          <w:lang w:val="en-US"/>
        </w:rPr>
        <w:t>S</w:t>
      </w:r>
      <w:r w:rsidRPr="00271E51">
        <w:rPr>
          <w:color w:val="000000" w:themeColor="text1"/>
          <w:sz w:val="16"/>
          <w:szCs w:val="16"/>
        </w:rPr>
        <w:t xml:space="preserve"> — только 38—41 мм, а к американской 37-мм пушке М-4 — 40—43 мм.</w:t>
      </w:r>
    </w:p>
    <w:p w14:paraId="2C906F0F"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3C015031" w14:textId="77777777" w:rsidR="006F1C24" w:rsidRPr="00271E51" w:rsidRDefault="006F1C2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Наступательное стрелково-пушечное вооруже</w:t>
      </w:r>
      <w:r w:rsidRPr="00271E51">
        <w:rPr>
          <w:rFonts w:ascii="Times New Roman" w:hAnsi="Times New Roman"/>
          <w:color w:val="000000" w:themeColor="text1"/>
          <w:sz w:val="16"/>
          <w:szCs w:val="16"/>
        </w:rPr>
        <w:softHyphen/>
        <w:t xml:space="preserve">ние Ил-2 по сравнению с оружием «Харрикейн» </w:t>
      </w:r>
      <w:r w:rsidRPr="00271E51">
        <w:rPr>
          <w:rFonts w:ascii="Times New Roman" w:hAnsi="Times New Roman"/>
          <w:color w:val="000000" w:themeColor="text1"/>
          <w:sz w:val="16"/>
          <w:szCs w:val="16"/>
          <w:lang w:val="en-US"/>
        </w:rPr>
        <w:t>IID</w:t>
      </w:r>
      <w:r w:rsidRPr="00271E51">
        <w:rPr>
          <w:rFonts w:ascii="Times New Roman" w:hAnsi="Times New Roman"/>
          <w:color w:val="000000" w:themeColor="text1"/>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271E51">
        <w:rPr>
          <w:rFonts w:ascii="Times New Roman" w:hAnsi="Times New Roman"/>
          <w:color w:val="000000" w:themeColor="text1"/>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196E350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Рассеивание нескольких очередей при стрельбе в воздухе из пушек по полотнищам, расположен</w:t>
      </w:r>
      <w:r w:rsidRPr="00271E51">
        <w:rPr>
          <w:color w:val="000000" w:themeColor="text1"/>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271E51">
        <w:rPr>
          <w:color w:val="000000" w:themeColor="text1"/>
          <w:sz w:val="16"/>
          <w:szCs w:val="16"/>
        </w:rPr>
        <w:softHyphen/>
        <w:t>водки прицела у самолета «Харрикейн» меньше, чем у Ил-2 с НС-37, примерно в 4—11 раз.</w:t>
      </w:r>
    </w:p>
    <w:p w14:paraId="33F617FA"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Рассеивание при стрельбе в воздухе из пушек у самолета «Харрикейн» </w:t>
      </w:r>
      <w:r w:rsidRPr="00271E51">
        <w:rPr>
          <w:color w:val="000000" w:themeColor="text1"/>
          <w:sz w:val="16"/>
          <w:szCs w:val="16"/>
          <w:lang w:val="en-US"/>
        </w:rPr>
        <w:t>IID</w:t>
      </w:r>
      <w:r w:rsidRPr="00271E51">
        <w:rPr>
          <w:color w:val="000000" w:themeColor="text1"/>
          <w:sz w:val="16"/>
          <w:szCs w:val="16"/>
        </w:rPr>
        <w:t>, по сравнению с рассе</w:t>
      </w:r>
      <w:r w:rsidRPr="00271E51">
        <w:rPr>
          <w:color w:val="000000" w:themeColor="text1"/>
          <w:sz w:val="16"/>
          <w:szCs w:val="16"/>
        </w:rPr>
        <w:softHyphen/>
        <w:t>иванием при стрельбе на земле, возрастало в 10— 18 раз, а у самолета Ил-2 — в 30—100 раз. Сле</w:t>
      </w:r>
      <w:r w:rsidRPr="00271E51">
        <w:rPr>
          <w:color w:val="000000" w:themeColor="text1"/>
          <w:sz w:val="16"/>
          <w:szCs w:val="16"/>
        </w:rPr>
        <w:softHyphen/>
        <w:t xml:space="preserve">довательно, ведение прицельного огня в воздухе с самолета «Харрикейн» </w:t>
      </w:r>
      <w:r w:rsidRPr="00271E51">
        <w:rPr>
          <w:color w:val="000000" w:themeColor="text1"/>
          <w:sz w:val="16"/>
          <w:szCs w:val="16"/>
          <w:lang w:val="en-US"/>
        </w:rPr>
        <w:t>IID</w:t>
      </w:r>
      <w:r w:rsidRPr="00271E51">
        <w:rPr>
          <w:color w:val="000000" w:themeColor="text1"/>
          <w:sz w:val="16"/>
          <w:szCs w:val="16"/>
        </w:rPr>
        <w:t xml:space="preserve"> «значительно удобнее и точнее, чем со сравниваемыми отечественными самолетами».</w:t>
      </w:r>
    </w:p>
    <w:p w14:paraId="0302AD0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Считалось, что такой результат англичанам уда</w:t>
      </w:r>
      <w:r w:rsidRPr="00271E51">
        <w:rPr>
          <w:color w:val="000000" w:themeColor="text1"/>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271E51">
        <w:rPr>
          <w:color w:val="000000" w:themeColor="text1"/>
          <w:sz w:val="16"/>
          <w:szCs w:val="16"/>
        </w:rPr>
        <w:softHyphen/>
        <w:t>ции прицела, обеспечивающего точность при при</w:t>
      </w:r>
      <w:r w:rsidRPr="00271E51">
        <w:rPr>
          <w:color w:val="000000" w:themeColor="text1"/>
          <w:sz w:val="16"/>
          <w:szCs w:val="16"/>
        </w:rPr>
        <w:softHyphen/>
        <w:t xml:space="preserve">целивании, и удобного расположения механизмов управления огнем оружия. То есть «Харрикейн» </w:t>
      </w:r>
      <w:r w:rsidRPr="00271E51">
        <w:rPr>
          <w:color w:val="000000" w:themeColor="text1"/>
          <w:sz w:val="16"/>
          <w:szCs w:val="16"/>
          <w:lang w:val="en-US"/>
        </w:rPr>
        <w:t>IID</w:t>
      </w:r>
      <w:r w:rsidRPr="00271E51">
        <w:rPr>
          <w:color w:val="000000" w:themeColor="text1"/>
          <w:sz w:val="16"/>
          <w:szCs w:val="16"/>
        </w:rPr>
        <w:t xml:space="preserve"> наглядно продемонстрировал возможность уста</w:t>
      </w:r>
      <w:r w:rsidRPr="00271E51">
        <w:rPr>
          <w:color w:val="000000" w:themeColor="text1"/>
          <w:sz w:val="16"/>
          <w:szCs w:val="16"/>
        </w:rPr>
        <w:softHyphen/>
        <w:t>новки крупнокалиберных авиапушек на одномо</w:t>
      </w:r>
      <w:r w:rsidRPr="00271E51">
        <w:rPr>
          <w:color w:val="000000" w:themeColor="text1"/>
          <w:sz w:val="16"/>
          <w:szCs w:val="16"/>
        </w:rPr>
        <w:softHyphen/>
        <w:t>торный самолет без снижения его летных качеств и «с достаточной точностью ведения прицельного огня».</w:t>
      </w:r>
    </w:p>
    <w:p w14:paraId="18B401B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 результатам испытаний был сделан вывод, что «по объему и качеству бронирования «Харри- кейн» </w:t>
      </w:r>
      <w:r w:rsidRPr="00271E51">
        <w:rPr>
          <w:color w:val="000000" w:themeColor="text1"/>
          <w:sz w:val="16"/>
          <w:szCs w:val="16"/>
          <w:lang w:val="en-US"/>
        </w:rPr>
        <w:t>IID</w:t>
      </w:r>
      <w:r w:rsidRPr="00271E51">
        <w:rPr>
          <w:color w:val="000000" w:themeColor="text1"/>
          <w:sz w:val="16"/>
          <w:szCs w:val="16"/>
        </w:rPr>
        <w:t xml:space="preserve"> значительно уступает Ил-2», вследствие чего «будет нести значительные потери при штур</w:t>
      </w:r>
      <w:r w:rsidRPr="00271E51">
        <w:rPr>
          <w:color w:val="000000" w:themeColor="text1"/>
          <w:sz w:val="16"/>
          <w:szCs w:val="16"/>
        </w:rPr>
        <w:softHyphen/>
        <w:t>мовых атаках». Целесообразность боевого приме</w:t>
      </w:r>
      <w:r w:rsidRPr="00271E51">
        <w:rPr>
          <w:color w:val="000000" w:themeColor="text1"/>
          <w:sz w:val="16"/>
          <w:szCs w:val="16"/>
        </w:rPr>
        <w:softHyphen/>
        <w:t>нения противотанкового «Харрикейна» была по</w:t>
      </w:r>
      <w:r w:rsidRPr="00271E51">
        <w:rPr>
          <w:color w:val="000000" w:themeColor="text1"/>
          <w:sz w:val="16"/>
          <w:szCs w:val="16"/>
        </w:rPr>
        <w:softHyphen/>
        <w:t>ставлена под сомнение.</w:t>
      </w:r>
    </w:p>
    <w:p w14:paraId="4CB38B99"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истребитель использовать его было нель</w:t>
      </w:r>
      <w:r w:rsidRPr="00271E51">
        <w:rPr>
          <w:color w:val="000000" w:themeColor="text1"/>
          <w:sz w:val="16"/>
          <w:szCs w:val="16"/>
        </w:rPr>
        <w:softHyphen/>
        <w:t xml:space="preserve">зя — он не мог догнать даже </w:t>
      </w:r>
      <w:r w:rsidRPr="00271E51">
        <w:rPr>
          <w:color w:val="000000" w:themeColor="text1"/>
          <w:sz w:val="16"/>
          <w:szCs w:val="16"/>
          <w:lang w:val="en-US"/>
        </w:rPr>
        <w:t>Ju</w:t>
      </w:r>
      <w:r w:rsidRPr="00271E51">
        <w:rPr>
          <w:color w:val="000000" w:themeColor="text1"/>
          <w:sz w:val="16"/>
          <w:szCs w:val="16"/>
        </w:rPr>
        <w:t>88, а для штурмо</w:t>
      </w:r>
      <w:r w:rsidRPr="00271E51">
        <w:rPr>
          <w:color w:val="000000" w:themeColor="text1"/>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271E51">
        <w:rPr>
          <w:color w:val="000000" w:themeColor="text1"/>
          <w:sz w:val="16"/>
          <w:szCs w:val="16"/>
          <w:lang w:val="en-US"/>
        </w:rPr>
        <w:t>IID</w:t>
      </w:r>
      <w:r w:rsidRPr="00271E51">
        <w:rPr>
          <w:color w:val="000000" w:themeColor="text1"/>
          <w:sz w:val="16"/>
          <w:szCs w:val="16"/>
        </w:rPr>
        <w:t xml:space="preserve"> не только с груп</w:t>
      </w:r>
      <w:r w:rsidRPr="00271E51">
        <w:rPr>
          <w:color w:val="000000" w:themeColor="text1"/>
          <w:sz w:val="16"/>
          <w:szCs w:val="16"/>
        </w:rPr>
        <w:softHyphen/>
        <w:t>пой, но даже и с одиночным истребителем против</w:t>
      </w:r>
      <w:r w:rsidRPr="00271E51">
        <w:rPr>
          <w:color w:val="000000" w:themeColor="text1"/>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1EFF588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результатам испытаний самолета «Харри</w:t>
      </w:r>
      <w:r w:rsidRPr="00271E51">
        <w:rPr>
          <w:color w:val="000000" w:themeColor="text1"/>
          <w:sz w:val="16"/>
          <w:szCs w:val="16"/>
        </w:rPr>
        <w:softHyphen/>
        <w:t xml:space="preserve">кейн» </w:t>
      </w:r>
      <w:r w:rsidRPr="00271E51">
        <w:rPr>
          <w:color w:val="000000" w:themeColor="text1"/>
          <w:sz w:val="16"/>
          <w:szCs w:val="16"/>
          <w:lang w:val="en-US"/>
        </w:rPr>
        <w:t>IID</w:t>
      </w:r>
      <w:r w:rsidRPr="00271E51">
        <w:rPr>
          <w:color w:val="000000" w:themeColor="text1"/>
          <w:sz w:val="16"/>
          <w:szCs w:val="16"/>
        </w:rPr>
        <w:t xml:space="preserve"> и его вооружения заместитель начальни</w:t>
      </w:r>
      <w:r w:rsidRPr="00271E51">
        <w:rPr>
          <w:color w:val="000000" w:themeColor="text1"/>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271E51">
        <w:rPr>
          <w:color w:val="000000" w:themeColor="text1"/>
          <w:sz w:val="16"/>
          <w:szCs w:val="16"/>
        </w:rPr>
        <w:softHyphen/>
        <w:t>ключение о боевых возможностях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w:t>
      </w:r>
    </w:p>
    <w:p w14:paraId="44F50F9C"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271E51">
        <w:rPr>
          <w:color w:val="000000" w:themeColor="text1"/>
          <w:sz w:val="16"/>
          <w:szCs w:val="16"/>
        </w:rPr>
        <w:softHyphen/>
        <w:t xml:space="preserve">жения и недостаточного бронирования, самолет «Харрикейн» </w:t>
      </w:r>
      <w:r w:rsidRPr="00271E51">
        <w:rPr>
          <w:color w:val="000000" w:themeColor="text1"/>
          <w:sz w:val="16"/>
          <w:szCs w:val="16"/>
          <w:lang w:val="en-US"/>
        </w:rPr>
        <w:t>IID</w:t>
      </w:r>
      <w:r w:rsidRPr="00271E51">
        <w:rPr>
          <w:color w:val="000000" w:themeColor="text1"/>
          <w:sz w:val="16"/>
          <w:szCs w:val="16"/>
        </w:rPr>
        <w:t xml:space="preserve"> не может быть эффективно исполь</w:t>
      </w:r>
      <w:r w:rsidRPr="00271E51">
        <w:rPr>
          <w:color w:val="000000" w:themeColor="text1"/>
          <w:sz w:val="16"/>
          <w:szCs w:val="16"/>
        </w:rPr>
        <w:softHyphen/>
        <w:t>зован как истребитель танков или штурмовик». Бо</w:t>
      </w:r>
      <w:r w:rsidRPr="00271E51">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271E51">
        <w:rPr>
          <w:color w:val="000000" w:themeColor="text1"/>
          <w:sz w:val="16"/>
          <w:szCs w:val="16"/>
        </w:rPr>
        <w:softHyphen/>
        <w:t xml:space="preserve">ший разрушающий эффект у цели по сравнению с боеприпасами к пушке Виккерс </w:t>
      </w:r>
      <w:r w:rsidRPr="00271E51">
        <w:rPr>
          <w:color w:val="000000" w:themeColor="text1"/>
          <w:sz w:val="16"/>
          <w:szCs w:val="16"/>
          <w:lang w:val="en-US"/>
        </w:rPr>
        <w:t>S</w:t>
      </w:r>
      <w:r w:rsidRPr="00271E51">
        <w:rPr>
          <w:color w:val="000000" w:themeColor="text1"/>
          <w:sz w:val="16"/>
          <w:szCs w:val="16"/>
        </w:rPr>
        <w:t>, а бронебой</w:t>
      </w:r>
      <w:r w:rsidRPr="00271E51">
        <w:rPr>
          <w:color w:val="000000" w:themeColor="text1"/>
          <w:sz w:val="16"/>
          <w:szCs w:val="16"/>
        </w:rPr>
        <w:softHyphen/>
        <w:t>ный снаряд пушки НС-37 обладает к тому же еще и большей бронепробиваемостью.</w:t>
      </w:r>
    </w:p>
    <w:p w14:paraId="0864AD37"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Внимание руководства обращалось на ненор</w:t>
      </w:r>
      <w:r w:rsidRPr="00271E51">
        <w:rPr>
          <w:color w:val="000000" w:themeColor="text1"/>
          <w:sz w:val="16"/>
          <w:szCs w:val="16"/>
        </w:rPr>
        <w:softHyphen/>
        <w:t>мальную ситуацию со снабжением ВВС КА снаряда</w:t>
      </w:r>
      <w:r w:rsidRPr="00271E51">
        <w:rPr>
          <w:color w:val="000000" w:themeColor="text1"/>
          <w:sz w:val="16"/>
          <w:szCs w:val="16"/>
        </w:rPr>
        <w:softHyphen/>
        <w:t xml:space="preserve">ми к пушкам Виккерс </w:t>
      </w:r>
      <w:r w:rsidRPr="00271E51">
        <w:rPr>
          <w:color w:val="000000" w:themeColor="text1"/>
          <w:sz w:val="16"/>
          <w:szCs w:val="16"/>
          <w:lang w:val="en-US"/>
        </w:rPr>
        <w:t>S</w:t>
      </w:r>
      <w:r w:rsidRPr="00271E51">
        <w:rPr>
          <w:color w:val="000000" w:themeColor="text1"/>
          <w:sz w:val="16"/>
          <w:szCs w:val="16"/>
        </w:rPr>
        <w:t>. По этому поводу в докла</w:t>
      </w:r>
      <w:r w:rsidRPr="00271E51">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271E51">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271E51">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271E51">
        <w:rPr>
          <w:color w:val="000000" w:themeColor="text1"/>
          <w:sz w:val="16"/>
          <w:szCs w:val="16"/>
        </w:rPr>
        <w:softHyphen/>
        <w:t>ния. Поэтому такие снаряды могут быть использо</w:t>
      </w:r>
      <w:r w:rsidRPr="00271E51">
        <w:rPr>
          <w:color w:val="000000" w:themeColor="text1"/>
          <w:sz w:val="16"/>
          <w:szCs w:val="16"/>
        </w:rPr>
        <w:softHyphen/>
        <w:t>ваны для учебных целей или как лафетопробные. Для поражения самолетов в воздухе нужны снаря</w:t>
      </w:r>
      <w:r w:rsidRPr="00271E51">
        <w:rPr>
          <w:color w:val="000000" w:themeColor="text1"/>
          <w:sz w:val="16"/>
          <w:szCs w:val="16"/>
        </w:rPr>
        <w:softHyphen/>
        <w:t>ды осколочно-фугасного действия».</w:t>
      </w:r>
    </w:p>
    <w:p w14:paraId="1955CCC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При сопоставимых летных данных у земли ос</w:t>
      </w:r>
      <w:r w:rsidRPr="00271E51">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271E51">
        <w:rPr>
          <w:color w:val="000000" w:themeColor="text1"/>
          <w:sz w:val="16"/>
          <w:szCs w:val="16"/>
        </w:rPr>
        <w:softHyphen/>
        <w:t>ника со стороны задней полусферы. По этим при</w:t>
      </w:r>
      <w:r w:rsidRPr="00271E51">
        <w:rPr>
          <w:color w:val="000000" w:themeColor="text1"/>
          <w:sz w:val="16"/>
          <w:szCs w:val="16"/>
        </w:rPr>
        <w:softHyphen/>
        <w:t>чинам боевые качества Ил-2 оценивались специ</w:t>
      </w:r>
      <w:r w:rsidRPr="00271E51">
        <w:rPr>
          <w:color w:val="000000" w:themeColor="text1"/>
          <w:sz w:val="16"/>
          <w:szCs w:val="16"/>
        </w:rPr>
        <w:softHyphen/>
        <w:t xml:space="preserve">алистами оперативного управления значительно выше, чем «Харрикейна» </w:t>
      </w:r>
      <w:r w:rsidRPr="00271E51">
        <w:rPr>
          <w:color w:val="000000" w:themeColor="text1"/>
          <w:sz w:val="16"/>
          <w:szCs w:val="16"/>
          <w:lang w:val="en-US"/>
        </w:rPr>
        <w:t>IID</w:t>
      </w:r>
      <w:r w:rsidRPr="00271E51">
        <w:rPr>
          <w:color w:val="000000" w:themeColor="text1"/>
          <w:sz w:val="16"/>
          <w:szCs w:val="16"/>
        </w:rPr>
        <w:t>.</w:t>
      </w:r>
    </w:p>
    <w:p w14:paraId="0B9DD82C"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271E51">
        <w:rPr>
          <w:color w:val="000000" w:themeColor="text1"/>
          <w:sz w:val="16"/>
          <w:szCs w:val="16"/>
        </w:rPr>
        <w:softHyphen/>
        <w:t>ствия бомбардировочного вооружения и слабого бронирования». Истребитель предлагалось исполь</w:t>
      </w:r>
      <w:r w:rsidRPr="00271E51">
        <w:rPr>
          <w:color w:val="000000" w:themeColor="text1"/>
          <w:sz w:val="16"/>
          <w:szCs w:val="16"/>
        </w:rPr>
        <w:softHyphen/>
        <w:t>зовать в системе ПВО страны в качестве истреби</w:t>
      </w:r>
      <w:r w:rsidRPr="00271E51">
        <w:rPr>
          <w:color w:val="000000" w:themeColor="text1"/>
          <w:sz w:val="16"/>
          <w:szCs w:val="16"/>
        </w:rPr>
        <w:softHyphen/>
        <w:t>теля-перехватчика, но при условии использования боеприпасов «осколочно-трассиру- ющего или осколочно-зажигатель- ного снаряжения».</w:t>
      </w:r>
    </w:p>
    <w:p w14:paraId="417AB659"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Известна резолюция генерала Худякова, которую тот наложил на документ: «ОУ. Подготовить справ</w:t>
      </w:r>
      <w:r w:rsidRPr="00271E51">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1BB24E2C" w14:textId="77777777" w:rsidR="006F1C24" w:rsidRPr="00271E51" w:rsidRDefault="006F1C24" w:rsidP="00271E51">
      <w:pPr>
        <w:spacing w:after="0" w:line="240" w:lineRule="auto"/>
        <w:jc w:val="both"/>
        <w:rPr>
          <w:rFonts w:ascii="Times New Roman" w:hAnsi="Times New Roman"/>
          <w:color w:val="000000" w:themeColor="text1"/>
          <w:sz w:val="16"/>
          <w:szCs w:val="16"/>
        </w:rPr>
      </w:pPr>
    </w:p>
    <w:p w14:paraId="226DBF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был первый вылет Ту-2С - 2АШ-82ФН (4,180) N 716 (1835,28).</w:t>
      </w:r>
    </w:p>
    <w:p w14:paraId="675E69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F2276"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26 августа в 1943 году первый полет бомбардировщика </w:t>
      </w:r>
      <w:hyperlink r:id="rId76" w:tgtFrame="_blank" w:history="1">
        <w:r w:rsidRPr="00271E51">
          <w:rPr>
            <w:rFonts w:ascii="Times New Roman" w:hAnsi="Times New Roman"/>
            <w:color w:val="000000" w:themeColor="text1"/>
            <w:sz w:val="16"/>
            <w:szCs w:val="16"/>
          </w:rPr>
          <w:t xml:space="preserve">«Ту-2» </w:t>
        </w:r>
      </w:hyperlink>
      <w:r w:rsidRPr="00271E51">
        <w:rPr>
          <w:rFonts w:ascii="Times New Roman" w:hAnsi="Times New Roman"/>
          <w:color w:val="000000" w:themeColor="text1"/>
          <w:sz w:val="16"/>
          <w:szCs w:val="16"/>
        </w:rPr>
        <w:t>с двигателями «М-82ФН». Самолет «Ту-2», также известный как «АНТ-58» и самолёт "103— двухдвигательный советский дневной высокоскоростной пикирующий бомбардировщик/фронтовой бомбардировщик, показал на государственных испытаниях летом 1941 г. выдающиеся данные и был рекомендован к серийному производству. Но организовать массовый выпуск этого самолета в то время не удалось в основном из-за того, что моторы «АМ-37» не выпускались серийно. Необходимо было срочно разработать новый вариант "103У" под серийные двигатели. Ими стали моторы «М-82», незадолго до этого прошедшие государственные испытания. Еще до эвакуации КБ А.Н.Туполева в основном завершило проектирование модификации самолета под эти моторы. По сравнению с «АМ-37» мотор «М-82» имел большую мощность, меньшую высотность и заметно больший мидель. Уже в ноябре 1941 г. новый фронтовой бомбардировщик "103В" был построен, и в декабре начались его летные испытания, которые показали, что максимальная скорость "103В" значительно меньше, чем у "103У", но на небольших высотах их скорости были близки. Еще во время испытаний "103В" началась подготовка к его серийному производству, которое и развернулось летом 1942 г. в Омске. А с августа 1943 года – «Ту-2» с двигателями «М-82ФН» (14994).</w:t>
      </w:r>
    </w:p>
    <w:p w14:paraId="75D9D49E" w14:textId="77777777" w:rsidR="000A63D6" w:rsidRPr="00271E51" w:rsidRDefault="000A63D6" w:rsidP="00271E51">
      <w:pPr>
        <w:spacing w:after="0" w:line="240" w:lineRule="auto"/>
        <w:jc w:val="both"/>
        <w:rPr>
          <w:rFonts w:ascii="Times New Roman" w:hAnsi="Times New Roman"/>
          <w:color w:val="000000" w:themeColor="text1"/>
          <w:sz w:val="16"/>
          <w:szCs w:val="16"/>
        </w:rPr>
      </w:pPr>
    </w:p>
    <w:p w14:paraId="47A1DA3C"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26 августа 1943 г. самолет Ту-2 №100716 совершил первый полет после пере</w:t>
      </w:r>
      <w:r w:rsidRPr="00271E51">
        <w:rPr>
          <w:rFonts w:ascii="Times New Roman" w:hAnsi="Times New Roman"/>
          <w:color w:val="0070C0"/>
          <w:sz w:val="16"/>
          <w:szCs w:val="16"/>
          <w:lang w:eastAsia="ru-RU" w:bidi="ru-RU"/>
        </w:rPr>
        <w:softHyphen/>
        <w:t>делки. Со 2 сентября (опоздав более чем на месяц от срока, заданного постанов</w:t>
      </w:r>
      <w:r w:rsidRPr="00271E51">
        <w:rPr>
          <w:rFonts w:ascii="Times New Roman" w:hAnsi="Times New Roman"/>
          <w:color w:val="0070C0"/>
          <w:sz w:val="16"/>
          <w:szCs w:val="16"/>
          <w:lang w:eastAsia="ru-RU" w:bidi="ru-RU"/>
        </w:rPr>
        <w:softHyphen/>
        <w:t>лением ГКО) машина проходила сов</w:t>
      </w:r>
      <w:r w:rsidRPr="00271E51">
        <w:rPr>
          <w:rFonts w:ascii="Times New Roman" w:hAnsi="Times New Roman"/>
          <w:color w:val="0070C0"/>
          <w:sz w:val="16"/>
          <w:szCs w:val="16"/>
          <w:lang w:eastAsia="ru-RU" w:bidi="ru-RU"/>
        </w:rPr>
        <w:softHyphen/>
        <w:t>местные (заводские и государственные) испытания в НИИ ВВС. Летали попере</w:t>
      </w:r>
      <w:r w:rsidRPr="00271E51">
        <w:rPr>
          <w:rFonts w:ascii="Times New Roman" w:hAnsi="Times New Roman"/>
          <w:color w:val="0070C0"/>
          <w:sz w:val="16"/>
          <w:szCs w:val="16"/>
          <w:lang w:eastAsia="ru-RU" w:bidi="ru-RU"/>
        </w:rPr>
        <w:softHyphen/>
        <w:t>менно два пилота - М.А. Нюхтиков и В.В. Лисицын. Бомбардировщик испыты</w:t>
      </w:r>
      <w:r w:rsidRPr="00271E51">
        <w:rPr>
          <w:rFonts w:ascii="Times New Roman" w:hAnsi="Times New Roman"/>
          <w:color w:val="0070C0"/>
          <w:sz w:val="16"/>
          <w:szCs w:val="16"/>
          <w:lang w:eastAsia="ru-RU" w:bidi="ru-RU"/>
        </w:rPr>
        <w:softHyphen/>
        <w:t>вался до 16 декабря 1943, за это время совер</w:t>
      </w:r>
      <w:r w:rsidRPr="00271E51">
        <w:rPr>
          <w:rFonts w:ascii="Times New Roman" w:hAnsi="Times New Roman"/>
          <w:color w:val="0070C0"/>
          <w:sz w:val="16"/>
          <w:szCs w:val="16"/>
          <w:lang w:eastAsia="ru-RU" w:bidi="ru-RU"/>
        </w:rPr>
        <w:softHyphen/>
        <w:t>шили 89 полетов.</w:t>
      </w:r>
    </w:p>
    <w:p w14:paraId="273E1C38"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Летные данные вполне удовлетво</w:t>
      </w:r>
      <w:r w:rsidRPr="00271E51">
        <w:rPr>
          <w:rFonts w:ascii="Times New Roman" w:hAnsi="Times New Roman"/>
          <w:color w:val="0070C0"/>
          <w:sz w:val="16"/>
          <w:szCs w:val="16"/>
          <w:lang w:eastAsia="ru-RU" w:bidi="ru-RU"/>
        </w:rPr>
        <w:softHyphen/>
        <w:t>рили испытателей, а самое главное - со</w:t>
      </w:r>
      <w:r w:rsidRPr="00271E51">
        <w:rPr>
          <w:rFonts w:ascii="Times New Roman" w:hAnsi="Times New Roman"/>
          <w:color w:val="0070C0"/>
          <w:sz w:val="16"/>
          <w:szCs w:val="16"/>
          <w:lang w:eastAsia="ru-RU" w:bidi="ru-RU"/>
        </w:rPr>
        <w:softHyphen/>
        <w:t>ответствовали требованиям постановле</w:t>
      </w:r>
      <w:r w:rsidRPr="00271E51">
        <w:rPr>
          <w:rFonts w:ascii="Times New Roman" w:hAnsi="Times New Roman"/>
          <w:color w:val="0070C0"/>
          <w:sz w:val="16"/>
          <w:szCs w:val="16"/>
          <w:lang w:eastAsia="ru-RU" w:bidi="ru-RU"/>
        </w:rPr>
        <w:softHyphen/>
        <w:t>ния ГКО. Прирост скорости по сравнению с омскими Ту-2 на разных высотах состав</w:t>
      </w:r>
      <w:r w:rsidRPr="00271E51">
        <w:rPr>
          <w:rFonts w:ascii="Times New Roman" w:hAnsi="Times New Roman"/>
          <w:color w:val="0070C0"/>
          <w:sz w:val="16"/>
          <w:szCs w:val="16"/>
          <w:lang w:eastAsia="ru-RU" w:bidi="ru-RU"/>
        </w:rPr>
        <w:softHyphen/>
        <w:t>лял 55-44 км/ч. У серийного Пе-2 Ту-2С выигрывал 25-50 км/ч, у американского А-20В - 55-55 км/ч. Значительно улучши</w:t>
      </w:r>
      <w:r w:rsidRPr="00271E51">
        <w:rPr>
          <w:rFonts w:ascii="Times New Roman" w:hAnsi="Times New Roman"/>
          <w:color w:val="0070C0"/>
          <w:sz w:val="16"/>
          <w:szCs w:val="16"/>
          <w:lang w:eastAsia="ru-RU" w:bidi="ru-RU"/>
        </w:rPr>
        <w:softHyphen/>
        <w:t>лись взлетные характеристики. Разбег со</w:t>
      </w:r>
      <w:r w:rsidRPr="00271E51">
        <w:rPr>
          <w:rFonts w:ascii="Times New Roman" w:hAnsi="Times New Roman"/>
          <w:color w:val="0070C0"/>
          <w:sz w:val="16"/>
          <w:szCs w:val="16"/>
          <w:lang w:eastAsia="ru-RU" w:bidi="ru-RU"/>
        </w:rPr>
        <w:softHyphen/>
        <w:t>кратился на 55 м и оказался меньше, чем у Пе-2 с моторами М-105ПФ, на 122 м, по сравнению с А-20В - на 155 м. Сущест</w:t>
      </w:r>
      <w:r w:rsidRPr="00271E51">
        <w:rPr>
          <w:rFonts w:ascii="Times New Roman" w:hAnsi="Times New Roman"/>
          <w:color w:val="0070C0"/>
          <w:sz w:val="16"/>
          <w:szCs w:val="16"/>
          <w:lang w:eastAsia="ru-RU" w:bidi="ru-RU"/>
        </w:rPr>
        <w:softHyphen/>
        <w:t>венно возросла скороподъемность.</w:t>
      </w:r>
    </w:p>
    <w:p w14:paraId="14CD63D1"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Взлет и посадка оставались так же просты, как и ранее. Маневренность со</w:t>
      </w:r>
      <w:r w:rsidRPr="00271E51">
        <w:rPr>
          <w:rFonts w:ascii="Times New Roman" w:hAnsi="Times New Roman"/>
          <w:color w:val="0070C0"/>
          <w:sz w:val="16"/>
          <w:szCs w:val="16"/>
          <w:lang w:eastAsia="ru-RU" w:bidi="ru-RU"/>
        </w:rPr>
        <w:softHyphen/>
        <w:t>чли удовлетворительной, хотя в отчете за</w:t>
      </w:r>
      <w:r w:rsidRPr="00271E51">
        <w:rPr>
          <w:rFonts w:ascii="Times New Roman" w:hAnsi="Times New Roman"/>
          <w:color w:val="0070C0"/>
          <w:sz w:val="16"/>
          <w:szCs w:val="16"/>
          <w:lang w:eastAsia="ru-RU" w:bidi="ru-RU"/>
        </w:rPr>
        <w:softHyphen/>
        <w:t>писали, что выполнение виража тяжелее, чем на Пе-2. Путевая устойчивость са</w:t>
      </w:r>
      <w:r w:rsidRPr="00271E51">
        <w:rPr>
          <w:rFonts w:ascii="Times New Roman" w:hAnsi="Times New Roman"/>
          <w:color w:val="0070C0"/>
          <w:sz w:val="16"/>
          <w:szCs w:val="16"/>
          <w:lang w:eastAsia="ru-RU" w:bidi="ru-RU"/>
        </w:rPr>
        <w:softHyphen/>
        <w:t>молета немного улучшилась, но остава</w:t>
      </w:r>
      <w:r w:rsidRPr="00271E51">
        <w:rPr>
          <w:rFonts w:ascii="Times New Roman" w:hAnsi="Times New Roman"/>
          <w:color w:val="0070C0"/>
          <w:sz w:val="16"/>
          <w:szCs w:val="16"/>
          <w:lang w:eastAsia="ru-RU" w:bidi="ru-RU"/>
        </w:rPr>
        <w:softHyphen/>
        <w:t>лась хуже, чем у А-20В или у Ер-2. Правда, у Пе-2 и Пе-5 устойчивость оценивалась еще ниже. Самолет неплохо летел на од</w:t>
      </w:r>
      <w:r w:rsidRPr="00271E51">
        <w:rPr>
          <w:rFonts w:ascii="Times New Roman" w:hAnsi="Times New Roman"/>
          <w:color w:val="0070C0"/>
          <w:sz w:val="16"/>
          <w:szCs w:val="16"/>
          <w:lang w:eastAsia="ru-RU" w:bidi="ru-RU"/>
        </w:rPr>
        <w:softHyphen/>
        <w:t>ном моторе, хотя усилие на ногу на пе</w:t>
      </w:r>
      <w:r w:rsidRPr="00271E51">
        <w:rPr>
          <w:rFonts w:ascii="Times New Roman" w:hAnsi="Times New Roman"/>
          <w:color w:val="0070C0"/>
          <w:sz w:val="16"/>
          <w:szCs w:val="16"/>
          <w:lang w:eastAsia="ru-RU" w:bidi="ru-RU"/>
        </w:rPr>
        <w:softHyphen/>
        <w:t>дали было при этом больше, чем на Пе-2.</w:t>
      </w:r>
    </w:p>
    <w:p w14:paraId="267B09BE"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Машина устойчиво пикировала, но при этом на испытаниях вновь выя</w:t>
      </w:r>
      <w:r w:rsidRPr="00271E51">
        <w:rPr>
          <w:rFonts w:ascii="Times New Roman" w:hAnsi="Times New Roman"/>
          <w:color w:val="0070C0"/>
          <w:sz w:val="16"/>
          <w:szCs w:val="16"/>
          <w:lang w:eastAsia="ru-RU" w:bidi="ru-RU"/>
        </w:rPr>
        <w:softHyphen/>
        <w:t>вился старый дефект - перераскрутка винтов. В одном случае это привело к вы</w:t>
      </w:r>
      <w:r w:rsidRPr="00271E51">
        <w:rPr>
          <w:rFonts w:ascii="Times New Roman" w:hAnsi="Times New Roman"/>
          <w:color w:val="0070C0"/>
          <w:sz w:val="16"/>
          <w:szCs w:val="16"/>
          <w:lang w:eastAsia="ru-RU" w:bidi="ru-RU"/>
        </w:rPr>
        <w:softHyphen/>
        <w:t>нужденной посадке - после выхода из пикирования давление масла упало и не восстановилось. Прочность хвостового колеса оказалась недостаточной - на ис</w:t>
      </w:r>
      <w:r w:rsidRPr="00271E51">
        <w:rPr>
          <w:rFonts w:ascii="Times New Roman" w:hAnsi="Times New Roman"/>
          <w:color w:val="0070C0"/>
          <w:sz w:val="16"/>
          <w:szCs w:val="16"/>
          <w:lang w:eastAsia="ru-RU" w:bidi="ru-RU"/>
        </w:rPr>
        <w:softHyphen/>
        <w:t>пытаниях оно разрушалось четыре раза.</w:t>
      </w:r>
    </w:p>
    <w:p w14:paraId="59317612"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Летчики дружно ругали тесный фо</w:t>
      </w:r>
      <w:r w:rsidRPr="00271E51">
        <w:rPr>
          <w:rFonts w:ascii="Times New Roman" w:hAnsi="Times New Roman"/>
          <w:color w:val="0070C0"/>
          <w:sz w:val="16"/>
          <w:szCs w:val="16"/>
          <w:lang w:eastAsia="ru-RU" w:bidi="ru-RU"/>
        </w:rPr>
        <w:softHyphen/>
        <w:t>нарь с плохим обзором. Испытатель П.М. Стефановский, участвовавший в об</w:t>
      </w:r>
      <w:r w:rsidRPr="00271E51">
        <w:rPr>
          <w:rFonts w:ascii="Times New Roman" w:hAnsi="Times New Roman"/>
          <w:color w:val="0070C0"/>
          <w:sz w:val="16"/>
          <w:szCs w:val="16"/>
          <w:lang w:eastAsia="ru-RU" w:bidi="ru-RU"/>
        </w:rPr>
        <w:softHyphen/>
        <w:t>лете, написал в своем отзыве: «Фонарь кабины совершенно неудовлетворителен по конструкции и требует коренной пере</w:t>
      </w:r>
      <w:r w:rsidRPr="00271E51">
        <w:rPr>
          <w:rFonts w:ascii="Times New Roman" w:hAnsi="Times New Roman"/>
          <w:color w:val="0070C0"/>
          <w:sz w:val="16"/>
          <w:szCs w:val="16"/>
          <w:lang w:eastAsia="ru-RU" w:bidi="ru-RU"/>
        </w:rPr>
        <w:softHyphen/>
        <w:t>делки». Стрелкам-радистам не понрави</w:t>
      </w:r>
      <w:r w:rsidRPr="00271E51">
        <w:rPr>
          <w:rFonts w:ascii="Times New Roman" w:hAnsi="Times New Roman"/>
          <w:color w:val="0070C0"/>
          <w:sz w:val="16"/>
          <w:szCs w:val="16"/>
          <w:lang w:eastAsia="ru-RU" w:bidi="ru-RU"/>
        </w:rPr>
        <w:softHyphen/>
        <w:t>лось размещение радиостанции. Она сто</w:t>
      </w:r>
      <w:r w:rsidRPr="00271E51">
        <w:rPr>
          <w:rFonts w:ascii="Times New Roman" w:hAnsi="Times New Roman"/>
          <w:color w:val="0070C0"/>
          <w:sz w:val="16"/>
          <w:szCs w:val="16"/>
          <w:lang w:eastAsia="ru-RU" w:bidi="ru-RU"/>
        </w:rPr>
        <w:softHyphen/>
        <w:t>яла за спиной радиста, когда он работал с пулеметом; при повороте кресло цепля</w:t>
      </w:r>
      <w:r w:rsidRPr="00271E51">
        <w:rPr>
          <w:rFonts w:ascii="Times New Roman" w:hAnsi="Times New Roman"/>
          <w:color w:val="0070C0"/>
          <w:sz w:val="16"/>
          <w:szCs w:val="16"/>
          <w:lang w:eastAsia="ru-RU" w:bidi="ru-RU"/>
        </w:rPr>
        <w:softHyphen/>
        <w:t>лось за провода.</w:t>
      </w:r>
    </w:p>
    <w:p w14:paraId="598B6548"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Во время испытаний проводились учебные бои с истребителями - совет</w:t>
      </w:r>
      <w:r w:rsidRPr="00271E51">
        <w:rPr>
          <w:rFonts w:ascii="Times New Roman" w:hAnsi="Times New Roman"/>
          <w:color w:val="0070C0"/>
          <w:sz w:val="16"/>
          <w:szCs w:val="16"/>
          <w:lang w:eastAsia="ru-RU" w:bidi="ru-RU"/>
        </w:rPr>
        <w:softHyphen/>
        <w:t xml:space="preserve">ским Ла-5 и трофейным Фокке-Вульф </w:t>
      </w:r>
      <w:r w:rsidRPr="00271E51">
        <w:rPr>
          <w:rFonts w:ascii="Times New Roman" w:hAnsi="Times New Roman"/>
          <w:color w:val="0070C0"/>
          <w:sz w:val="16"/>
          <w:szCs w:val="16"/>
          <w:lang w:val="en-US" w:bidi="en-US"/>
        </w:rPr>
        <w:t>FW</w:t>
      </w:r>
      <w:r w:rsidRPr="00271E51">
        <w:rPr>
          <w:rFonts w:ascii="Times New Roman" w:hAnsi="Times New Roman"/>
          <w:color w:val="0070C0"/>
          <w:sz w:val="16"/>
          <w:szCs w:val="16"/>
          <w:lang w:bidi="en-US"/>
        </w:rPr>
        <w:t xml:space="preserve"> </w:t>
      </w:r>
      <w:r w:rsidRPr="00271E51">
        <w:rPr>
          <w:rFonts w:ascii="Times New Roman" w:hAnsi="Times New Roman"/>
          <w:color w:val="0070C0"/>
          <w:sz w:val="16"/>
          <w:szCs w:val="16"/>
          <w:lang w:eastAsia="ru-RU" w:bidi="ru-RU"/>
        </w:rPr>
        <w:t>190А-4. У земли разница в скоростях Ту-2С и «фокке-вульфа» была невелика, но с высотой возрастала. Ла-5 свободно атаковал бомбардировщик с разных ра</w:t>
      </w:r>
      <w:r w:rsidRPr="00271E51">
        <w:rPr>
          <w:rFonts w:ascii="Times New Roman" w:hAnsi="Times New Roman"/>
          <w:color w:val="0070C0"/>
          <w:sz w:val="16"/>
          <w:szCs w:val="16"/>
          <w:lang w:eastAsia="ru-RU" w:bidi="ru-RU"/>
        </w:rPr>
        <w:softHyphen/>
        <w:t>курсов. Хотя огневая мощь Ту-2С была ве</w:t>
      </w:r>
      <w:r w:rsidRPr="00271E51">
        <w:rPr>
          <w:rFonts w:ascii="Times New Roman" w:hAnsi="Times New Roman"/>
          <w:color w:val="0070C0"/>
          <w:sz w:val="16"/>
          <w:szCs w:val="16"/>
          <w:lang w:eastAsia="ru-RU" w:bidi="ru-RU"/>
        </w:rPr>
        <w:softHyphen/>
        <w:t>лика, реальная обороноспособность сни</w:t>
      </w:r>
      <w:r w:rsidRPr="00271E51">
        <w:rPr>
          <w:rFonts w:ascii="Times New Roman" w:hAnsi="Times New Roman"/>
          <w:color w:val="0070C0"/>
          <w:sz w:val="16"/>
          <w:szCs w:val="16"/>
          <w:lang w:eastAsia="ru-RU" w:bidi="ru-RU"/>
        </w:rPr>
        <w:softHyphen/>
        <w:t>жалась из-за недостаточной подвижности и малых углов обстрела стрелковых уста</w:t>
      </w:r>
      <w:r w:rsidRPr="00271E51">
        <w:rPr>
          <w:rFonts w:ascii="Times New Roman" w:hAnsi="Times New Roman"/>
          <w:color w:val="0070C0"/>
          <w:sz w:val="16"/>
          <w:szCs w:val="16"/>
          <w:lang w:eastAsia="ru-RU" w:bidi="ru-RU"/>
        </w:rPr>
        <w:softHyphen/>
        <w:t>новок. Блистерная БУШ эффективно рабо</w:t>
      </w:r>
      <w:r w:rsidRPr="00271E51">
        <w:rPr>
          <w:rFonts w:ascii="Times New Roman" w:hAnsi="Times New Roman"/>
          <w:color w:val="0070C0"/>
          <w:sz w:val="16"/>
          <w:szCs w:val="16"/>
          <w:lang w:eastAsia="ru-RU" w:bidi="ru-RU"/>
        </w:rPr>
        <w:softHyphen/>
        <w:t>тала только между килями. У ВУБ-2 нельзя было высоко задрать ствол пулемета и простреливать верхнюю часть задней по</w:t>
      </w:r>
      <w:r w:rsidRPr="00271E51">
        <w:rPr>
          <w:rFonts w:ascii="Times New Roman" w:hAnsi="Times New Roman"/>
          <w:color w:val="0070C0"/>
          <w:sz w:val="16"/>
          <w:szCs w:val="16"/>
          <w:lang w:eastAsia="ru-RU" w:bidi="ru-RU"/>
        </w:rPr>
        <w:softHyphen/>
        <w:t>лусферы. ЛУ-УБТ имела малые углы об</w:t>
      </w:r>
      <w:r w:rsidRPr="00271E51">
        <w:rPr>
          <w:rFonts w:ascii="Times New Roman" w:hAnsi="Times New Roman"/>
          <w:color w:val="0070C0"/>
          <w:sz w:val="16"/>
          <w:szCs w:val="16"/>
          <w:lang w:eastAsia="ru-RU" w:bidi="ru-RU"/>
        </w:rPr>
        <w:softHyphen/>
        <w:t>стрела вбок.</w:t>
      </w:r>
    </w:p>
    <w:p w14:paraId="53B965B4" w14:textId="77777777" w:rsidR="008C5B40" w:rsidRPr="00271E51" w:rsidRDefault="008C5B40"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В целом самолет №100716 прошел государственные испытания удовлетво</w:t>
      </w:r>
      <w:r w:rsidRPr="00271E51">
        <w:rPr>
          <w:rFonts w:ascii="Times New Roman" w:hAnsi="Times New Roman"/>
          <w:color w:val="0070C0"/>
          <w:sz w:val="16"/>
          <w:szCs w:val="16"/>
          <w:lang w:eastAsia="ru-RU" w:bidi="ru-RU"/>
        </w:rPr>
        <w:softHyphen/>
        <w:t>рительно и был признан эталоном для се</w:t>
      </w:r>
      <w:r w:rsidRPr="00271E51">
        <w:rPr>
          <w:rFonts w:ascii="Times New Roman" w:hAnsi="Times New Roman"/>
          <w:color w:val="0070C0"/>
          <w:sz w:val="16"/>
          <w:szCs w:val="16"/>
          <w:lang w:eastAsia="ru-RU" w:bidi="ru-RU"/>
        </w:rPr>
        <w:softHyphen/>
        <w:t>рийного производства на 1945 г. Надо сказать, что обозначение Ту-2С исполь</w:t>
      </w:r>
      <w:r w:rsidRPr="00271E51">
        <w:rPr>
          <w:rFonts w:ascii="Times New Roman" w:hAnsi="Times New Roman"/>
          <w:color w:val="0070C0"/>
          <w:sz w:val="16"/>
          <w:szCs w:val="16"/>
          <w:lang w:eastAsia="ru-RU" w:bidi="ru-RU"/>
        </w:rPr>
        <w:softHyphen/>
        <w:t>зовалось только в конструкторском бюро, а в ВВС все серийные машины по-преж</w:t>
      </w:r>
      <w:r w:rsidRPr="00271E51">
        <w:rPr>
          <w:rFonts w:ascii="Times New Roman" w:hAnsi="Times New Roman"/>
          <w:color w:val="0070C0"/>
          <w:sz w:val="16"/>
          <w:szCs w:val="16"/>
          <w:lang w:eastAsia="ru-RU" w:bidi="ru-RU"/>
        </w:rPr>
        <w:softHyphen/>
        <w:t>нему именовались просто Ту-2, с уточне</w:t>
      </w:r>
      <w:r w:rsidRPr="00271E51">
        <w:rPr>
          <w:rFonts w:ascii="Times New Roman" w:hAnsi="Times New Roman"/>
          <w:color w:val="0070C0"/>
          <w:sz w:val="16"/>
          <w:szCs w:val="16"/>
          <w:lang w:eastAsia="ru-RU" w:bidi="ru-RU"/>
        </w:rPr>
        <w:softHyphen/>
        <w:t>нием завода-изготовителя и серии (21060).</w:t>
      </w:r>
    </w:p>
    <w:p w14:paraId="0A7F8F79" w14:textId="77777777" w:rsidR="008C5B40" w:rsidRPr="00271E51" w:rsidRDefault="008C5B40" w:rsidP="00271E51">
      <w:pPr>
        <w:spacing w:after="0" w:line="240" w:lineRule="auto"/>
        <w:jc w:val="both"/>
        <w:rPr>
          <w:rFonts w:ascii="Times New Roman" w:hAnsi="Times New Roman"/>
          <w:color w:val="0070C0"/>
          <w:sz w:val="16"/>
          <w:szCs w:val="16"/>
          <w:lang w:eastAsia="ru-RU" w:bidi="ru-RU"/>
        </w:rPr>
      </w:pPr>
    </w:p>
    <w:p w14:paraId="40BEA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самолет № 100716 совершил первый полет после переделки. Со 2 сентября (опоздав более чем на месяц от срока, заданного постановлением ГКО) машина проходила совместные (заводские и государственные) испытания в НИИ ВВС. Летали попеременно два пилота - М.А. Нюхтиков и В.В. Лисицын. Бомбардировщик испытывался до 16 декабря, за это время совершили 89 полетов.</w:t>
      </w:r>
    </w:p>
    <w:p w14:paraId="6C9C6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вполне удовлетворили испытателей, а самое главное - соответствовали требованиям постановления ГКО. Прирост скорости по сравнению с омскими Ту-2 на разных высотах составлял 33 - 44 км/ч. У серийного Пе-2 Ту-2С выигрывал 25 - 30 км/ч, у американского А-20В - 53 - 55 км/ч. Значительно улучшились взлетные характеристики. Разбег сократился на 35 м и оказался меньше, чем у Пе-2 с моторами М-105ПФ, на 122 м, по сравнению с А-20В - на 155 м. Существенно возросла скороподъемность.</w:t>
      </w:r>
    </w:p>
    <w:p w14:paraId="47B5EA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 и посадка оставались так же просты, как и ранее. Маневренность сочли удовлетворительной, хотя в отчете записали, что выполнение виража тяжелее, чем на Пе-2. Путевая устойчивость самолета немного улучшилась, но оставалась хуже, чем у А-20В или у Ер-2. Правда, у Пе-2 и Пе-3 устойчивость оценивалась еще ниже. Самолет неплохо летел на одном моторе, хотя усилие на ногу на педали было при этом больше, чем на Пе-2.</w:t>
      </w:r>
    </w:p>
    <w:p w14:paraId="28FBE2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устойчиво пикировала, но при этом на испытаниях вновь выявился старый дефект - перераскрутка винтов. В одном случае это привело к вынужденной посадке - после выхода из пикирования давление масла упало и не восстановилось. Прочность хвостового колеса оказалась недостаточной - на испытаниях оно разрушалось четыре раза.</w:t>
      </w:r>
    </w:p>
    <w:p w14:paraId="621B0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 дружно ругали тесный фонарь с плохим обзором. Испытатель Стефановский, участвовавший в облете, написал в своем отзыве: "Фонарь кабины совершенно неудовлетворителен по конструкции и требует коренной переделки". Стрелкам-радистам не понравилось размещение радиостанции. Она стояла за спиной радиста, когда он работал с пулеметом. При повороте кресло цеплялось за провода.</w:t>
      </w:r>
    </w:p>
    <w:p w14:paraId="40E7A1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испытаний проводились учебные бои с истребителями - советским Ла-5 и трофейным Фок- ке-Вульф FW 190. У земли разница в скоростях Ту-2С и "фокке-вульфа" была невелика, но с высотой возрастала. Ла-5" свободно атаковал бомбардировщик с разных ракурсов. Хотя огневая мощь Ту-2С была велика, реальная обороноспособность снижалась из-за недостаточной подвижности и малых углов обстрела стрелковых установок. Блистерная БУШ эффективно работала только между килями. У ВУБ-2 нельзя было высоко задрать ствол пулемета и простреливать верхнюю часть задней полусферы. ЛУ-УБТ имела малые углы обстрела вбок.</w:t>
      </w:r>
    </w:p>
    <w:p w14:paraId="1127C9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самолет № 100716 прошел государственные испытания удовлетворительно и был признан эталоном для серийного производства на 1943 г. Надо сказать, что обозначение Ту-2С использовалось только ОКБ, а все серийные машины по-прежнему именовались Ту-2, с уточнением завода- изготовителя и серии (11988).</w:t>
      </w:r>
    </w:p>
    <w:p w14:paraId="3E7A7D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63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были начаты летные испытания Як-9-1 М-105ПД с увеличенной площадью крыла (1458,333), хотя формально машина была выпущена на испытания 29 июля 1943. Поставленный ЦИАМ"ом мотор с увеличенной редукцией нагнетателя оказался с некондиционными шестернями. Во время испытаний в полетах на высоте более 11000 м происходило образование работы мотора из-за плохой регулировки смеси высотным корректором, сильное перегревание и падение давления масла в моторе. Во время испытаний производилась отработка на высоте водяной, масляной бензосистем, а также зажигания. Так как все эти работы проводились последовательно, испытания затянулись. В октябре 1943 г. на самолете был установлен второй мотор с повышенной высотностью до 9500 м на расчетном режиме (по данным ЦИАМ). До установки мотора с повышенной высотностью на самолете был произведен 21 полет (1825,208).</w:t>
      </w:r>
    </w:p>
    <w:p w14:paraId="60D90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9AF1B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26 ав</w:t>
      </w:r>
      <w:r w:rsidRPr="00271E51">
        <w:rPr>
          <w:color w:val="000000" w:themeColor="text1"/>
          <w:sz w:val="16"/>
          <w:szCs w:val="16"/>
        </w:rPr>
        <w:softHyphen/>
        <w:t>густа 1943 г. в 16 ВА (1-я гиад, 273-я иад) Централь</w:t>
      </w:r>
      <w:r w:rsidRPr="00271E51">
        <w:rPr>
          <w:color w:val="000000" w:themeColor="text1"/>
          <w:sz w:val="16"/>
          <w:szCs w:val="16"/>
        </w:rPr>
        <w:softHyphen/>
        <w:t>ного, 15 ВА (11-й сак) Брянского и 1 ВА (18-й гиап) Западного фронтов закончилисб войсковые испытания Як-9т на боевое примене</w:t>
      </w:r>
      <w:r w:rsidRPr="00271E51">
        <w:rPr>
          <w:color w:val="000000" w:themeColor="text1"/>
          <w:sz w:val="16"/>
          <w:szCs w:val="16"/>
        </w:rPr>
        <w:softHyphen/>
        <w:t>ние, которые шли с 5 июля.</w:t>
      </w:r>
    </w:p>
    <w:p w14:paraId="5338A664"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в испытаниях были задей</w:t>
      </w:r>
      <w:r w:rsidRPr="00271E51">
        <w:rPr>
          <w:color w:val="000000" w:themeColor="text1"/>
          <w:sz w:val="16"/>
          <w:szCs w:val="16"/>
        </w:rPr>
        <w:softHyphen/>
        <w:t>ствованы 10 истребительных авиаполков (53, 54, 55, 18-й гиап, 157, 347, 163, 4, 148, 293-й иап) — всего 113 самолетов Як-9т. Суммарный налет составил 1087 боевых самолето-вылетов. Проведено 378 воз</w:t>
      </w:r>
      <w:r w:rsidRPr="00271E51">
        <w:rPr>
          <w:color w:val="000000" w:themeColor="text1"/>
          <w:sz w:val="16"/>
          <w:szCs w:val="16"/>
        </w:rPr>
        <w:softHyphen/>
        <w:t>душных боев, в которых, помимо Як-9т, участвовали Як-1, Як-7б и Як-9. Потери противника, по докладам экипажей и частично наземных войск, достигли 206 самолетов противника. Еще 28 неприятельских са</w:t>
      </w:r>
      <w:r w:rsidRPr="00271E51">
        <w:rPr>
          <w:color w:val="000000" w:themeColor="text1"/>
          <w:sz w:val="16"/>
          <w:szCs w:val="16"/>
        </w:rPr>
        <w:softHyphen/>
        <w:t>молетов были уничтожены и повреждены при штур</w:t>
      </w:r>
      <w:r w:rsidRPr="00271E51">
        <w:rPr>
          <w:color w:val="000000" w:themeColor="text1"/>
          <w:sz w:val="16"/>
          <w:szCs w:val="16"/>
        </w:rPr>
        <w:softHyphen/>
        <w:t xml:space="preserve">мовых ударах по аэродромам. Свои безвозвратные потери по всем причинам были меньше — 52 Як-9т. Соответственно, живучесть «танковой </w:t>
      </w:r>
      <w:r w:rsidRPr="00271E51">
        <w:rPr>
          <w:color w:val="000000" w:themeColor="text1"/>
          <w:sz w:val="16"/>
          <w:szCs w:val="16"/>
        </w:rPr>
        <w:lastRenderedPageBreak/>
        <w:t>девятки» по всем причинам получалась около 21 самолето-вы</w:t>
      </w:r>
      <w:r w:rsidRPr="00271E51">
        <w:rPr>
          <w:color w:val="000000" w:themeColor="text1"/>
          <w:sz w:val="16"/>
          <w:szCs w:val="16"/>
        </w:rPr>
        <w:softHyphen/>
        <w:t>лета (диапазон от 13 до 57 вылетов) на одну безвоз</w:t>
      </w:r>
      <w:r w:rsidRPr="00271E51">
        <w:rPr>
          <w:color w:val="000000" w:themeColor="text1"/>
          <w:sz w:val="16"/>
          <w:szCs w:val="16"/>
        </w:rPr>
        <w:softHyphen/>
        <w:t>вратную потерю. На один сбитый самолет против</w:t>
      </w:r>
      <w:r w:rsidRPr="00271E51">
        <w:rPr>
          <w:color w:val="000000" w:themeColor="text1"/>
          <w:sz w:val="16"/>
          <w:szCs w:val="16"/>
        </w:rPr>
        <w:softHyphen/>
        <w:t>ника в среднем приходилось 29 снарядов калибра 37 мм, что было в 4—5 раз меньше, чем калибров 12,7 мм (пулемет БС) и 20 мм (пушка ШВАК).</w:t>
      </w:r>
    </w:p>
    <w:p w14:paraId="3F543627"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Анализ результатов воздушных боев показы</w:t>
      </w:r>
      <w:r w:rsidRPr="00271E51">
        <w:rPr>
          <w:color w:val="000000" w:themeColor="text1"/>
          <w:sz w:val="16"/>
          <w:szCs w:val="16"/>
        </w:rPr>
        <w:softHyphen/>
        <w:t>вает, что около 67% потерь противника составили истребители (</w:t>
      </w:r>
      <w:r w:rsidRPr="00271E51">
        <w:rPr>
          <w:color w:val="000000" w:themeColor="text1"/>
          <w:sz w:val="16"/>
          <w:szCs w:val="16"/>
          <w:lang w:val="en-US"/>
        </w:rPr>
        <w:t>Fw</w:t>
      </w:r>
      <w:r w:rsidRPr="00271E51">
        <w:rPr>
          <w:color w:val="000000" w:themeColor="text1"/>
          <w:sz w:val="16"/>
          <w:szCs w:val="16"/>
        </w:rPr>
        <w:t xml:space="preserve">190, </w:t>
      </w:r>
      <w:r w:rsidRPr="00271E51">
        <w:rPr>
          <w:color w:val="000000" w:themeColor="text1"/>
          <w:sz w:val="16"/>
          <w:szCs w:val="16"/>
          <w:lang w:val="en-US"/>
        </w:rPr>
        <w:t>Bf</w:t>
      </w:r>
      <w:r w:rsidRPr="00271E51">
        <w:rPr>
          <w:color w:val="000000" w:themeColor="text1"/>
          <w:sz w:val="16"/>
          <w:szCs w:val="16"/>
        </w:rPr>
        <w:t>109), примерно 30% — бом</w:t>
      </w:r>
      <w:r w:rsidRPr="00271E51">
        <w:rPr>
          <w:color w:val="000000" w:themeColor="text1"/>
          <w:sz w:val="16"/>
          <w:szCs w:val="16"/>
        </w:rPr>
        <w:softHyphen/>
        <w:t>бардировщики (</w:t>
      </w:r>
      <w:r w:rsidRPr="00271E51">
        <w:rPr>
          <w:color w:val="000000" w:themeColor="text1"/>
          <w:sz w:val="16"/>
          <w:szCs w:val="16"/>
          <w:lang w:val="en-US"/>
        </w:rPr>
        <w:t>Ju</w:t>
      </w:r>
      <w:r w:rsidRPr="00271E51">
        <w:rPr>
          <w:color w:val="000000" w:themeColor="text1"/>
          <w:sz w:val="16"/>
          <w:szCs w:val="16"/>
        </w:rPr>
        <w:t xml:space="preserve">87, </w:t>
      </w:r>
      <w:r w:rsidRPr="00271E51">
        <w:rPr>
          <w:color w:val="000000" w:themeColor="text1"/>
          <w:sz w:val="16"/>
          <w:szCs w:val="16"/>
          <w:lang w:val="en-US"/>
        </w:rPr>
        <w:t>Ju</w:t>
      </w:r>
      <w:r w:rsidRPr="00271E51">
        <w:rPr>
          <w:color w:val="000000" w:themeColor="text1"/>
          <w:sz w:val="16"/>
          <w:szCs w:val="16"/>
        </w:rPr>
        <w:t xml:space="preserve">88 и </w:t>
      </w:r>
      <w:r w:rsidRPr="00271E51">
        <w:rPr>
          <w:color w:val="000000" w:themeColor="text1"/>
          <w:sz w:val="16"/>
          <w:szCs w:val="16"/>
          <w:lang w:val="en-US"/>
        </w:rPr>
        <w:t>He</w:t>
      </w:r>
      <w:r w:rsidRPr="00271E51">
        <w:rPr>
          <w:color w:val="000000" w:themeColor="text1"/>
          <w:sz w:val="16"/>
          <w:szCs w:val="16"/>
        </w:rPr>
        <w:t>111), остальные по</w:t>
      </w:r>
      <w:r w:rsidRPr="00271E51">
        <w:rPr>
          <w:color w:val="000000" w:themeColor="text1"/>
          <w:sz w:val="16"/>
          <w:szCs w:val="16"/>
        </w:rPr>
        <w:softHyphen/>
        <w:t>тери пришлись на самолеты-разведчики (</w:t>
      </w:r>
      <w:r w:rsidRPr="00271E51">
        <w:rPr>
          <w:color w:val="000000" w:themeColor="text1"/>
          <w:sz w:val="16"/>
          <w:szCs w:val="16"/>
          <w:lang w:val="en-US"/>
        </w:rPr>
        <w:t>Fw</w:t>
      </w:r>
      <w:r w:rsidRPr="00271E51">
        <w:rPr>
          <w:color w:val="000000" w:themeColor="text1"/>
          <w:sz w:val="16"/>
          <w:szCs w:val="16"/>
        </w:rPr>
        <w:t xml:space="preserve">189, </w:t>
      </w:r>
      <w:r w:rsidRPr="00271E51">
        <w:rPr>
          <w:color w:val="000000" w:themeColor="text1"/>
          <w:sz w:val="16"/>
          <w:szCs w:val="16"/>
          <w:lang w:val="en-US"/>
        </w:rPr>
        <w:t>Hs</w:t>
      </w:r>
      <w:r w:rsidRPr="00271E51">
        <w:rPr>
          <w:color w:val="000000" w:themeColor="text1"/>
          <w:sz w:val="16"/>
          <w:szCs w:val="16"/>
        </w:rPr>
        <w:t>126).</w:t>
      </w:r>
    </w:p>
    <w:p w14:paraId="1CAE43B9"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сопровождение штурмовиков и бомбар</w:t>
      </w:r>
      <w:r w:rsidRPr="00271E51">
        <w:rPr>
          <w:color w:val="000000" w:themeColor="text1"/>
          <w:sz w:val="16"/>
          <w:szCs w:val="16"/>
        </w:rPr>
        <w:softHyphen/>
        <w:t>дировщиков и прикрытие войск было выполнено 88,8% вылетов, на перехват самолетов противни</w:t>
      </w:r>
      <w:r w:rsidRPr="00271E51">
        <w:rPr>
          <w:color w:val="000000" w:themeColor="text1"/>
          <w:sz w:val="16"/>
          <w:szCs w:val="16"/>
        </w:rPr>
        <w:softHyphen/>
        <w:t>ка — 4,4%, на разведку — 5,1%, на свободную «охо</w:t>
      </w:r>
      <w:r w:rsidRPr="00271E51">
        <w:rPr>
          <w:color w:val="000000" w:themeColor="text1"/>
          <w:sz w:val="16"/>
          <w:szCs w:val="16"/>
        </w:rPr>
        <w:softHyphen/>
        <w:t>ту» — 1,6%.</w:t>
      </w:r>
    </w:p>
    <w:p w14:paraId="6468C39B"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Командный и летный состав ряда полков и авиасоединений неоднократно поднимал вопрос о том, что так использовать Як-9т нецелесообраз</w:t>
      </w:r>
      <w:r w:rsidRPr="00271E51">
        <w:rPr>
          <w:color w:val="000000" w:themeColor="text1"/>
          <w:sz w:val="16"/>
          <w:szCs w:val="16"/>
        </w:rPr>
        <w:softHyphen/>
        <w:t>но: «В первых боевых вылетах Як-9т показал себя как серьезное оружие, способное решать самосто</w:t>
      </w:r>
      <w:r w:rsidRPr="00271E51">
        <w:rPr>
          <w:color w:val="000000" w:themeColor="text1"/>
          <w:sz w:val="16"/>
          <w:szCs w:val="16"/>
        </w:rPr>
        <w:softHyphen/>
        <w:t>ятельные задачи по борьбе с бомбардировщиками в воздухе, автомашинами, паровозами, авиацией на аэродромах и т.д. Однако в течение августа Як-9т на 51,7% использовались для прикрытия штурмо</w:t>
      </w:r>
      <w:r w:rsidRPr="00271E51">
        <w:rPr>
          <w:color w:val="000000" w:themeColor="text1"/>
          <w:sz w:val="16"/>
          <w:szCs w:val="16"/>
        </w:rPr>
        <w:softHyphen/>
        <w:t>виков и бомбардировщиков, то есть не в наступа</w:t>
      </w:r>
      <w:r w:rsidRPr="00271E51">
        <w:rPr>
          <w:color w:val="000000" w:themeColor="text1"/>
          <w:sz w:val="16"/>
          <w:szCs w:val="16"/>
        </w:rPr>
        <w:softHyphen/>
        <w:t>тельных целях, а в оборонительных целях».</w:t>
      </w:r>
    </w:p>
    <w:p w14:paraId="2225026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Несмотря на то что первоначальными плана</w:t>
      </w:r>
      <w:r w:rsidRPr="00271E51">
        <w:rPr>
          <w:color w:val="000000" w:themeColor="text1"/>
          <w:sz w:val="16"/>
          <w:szCs w:val="16"/>
        </w:rPr>
        <w:softHyphen/>
        <w:t>ми предполагалось непосредственное взаимодей</w:t>
      </w:r>
      <w:r w:rsidRPr="00271E51">
        <w:rPr>
          <w:color w:val="000000" w:themeColor="text1"/>
          <w:sz w:val="16"/>
          <w:szCs w:val="16"/>
        </w:rPr>
        <w:softHyphen/>
        <w:t>ствие с наступающими войсками и готовилось шта</w:t>
      </w:r>
      <w:r w:rsidRPr="00271E51">
        <w:rPr>
          <w:color w:val="000000" w:themeColor="text1"/>
          <w:sz w:val="16"/>
          <w:szCs w:val="16"/>
        </w:rPr>
        <w:softHyphen/>
        <w:t>бами, по факту такового не было.</w:t>
      </w:r>
    </w:p>
    <w:p w14:paraId="00D8FA64"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поскольку Як-9т способен решать самостоятельные задачи (например, авиадивизия или авиакорпус могут срывать ж.-д. перевозки по фронту до 60—100 км и на глубину до 60—80 км, дезорганизовать автоперевозки по основным маги</w:t>
      </w:r>
      <w:r w:rsidRPr="00271E51">
        <w:rPr>
          <w:color w:val="000000" w:themeColor="text1"/>
          <w:sz w:val="16"/>
          <w:szCs w:val="16"/>
        </w:rPr>
        <w:softHyphen/>
        <w:t>стральным коммуникациям фронта), «такое взаимо</w:t>
      </w:r>
      <w:r w:rsidRPr="00271E51">
        <w:rPr>
          <w:color w:val="000000" w:themeColor="text1"/>
          <w:sz w:val="16"/>
          <w:szCs w:val="16"/>
        </w:rPr>
        <w:softHyphen/>
        <w:t>действие позволило бы использовать Як-9т более эффективно».</w:t>
      </w:r>
    </w:p>
    <w:p w14:paraId="1F0A75D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«Само содержание этих целей предполагает на</w:t>
      </w:r>
      <w:r w:rsidRPr="00271E51">
        <w:rPr>
          <w:color w:val="000000" w:themeColor="text1"/>
          <w:sz w:val="16"/>
          <w:szCs w:val="16"/>
        </w:rPr>
        <w:softHyphen/>
        <w:t>ступательный характер применения Як-9т», то есть «самолет должен быть использован для удара по противнику, а не для обороны от его ударов».</w:t>
      </w:r>
    </w:p>
    <w:p w14:paraId="6F56A23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Например, всего в 12 самолето-вылетах (лета</w:t>
      </w:r>
      <w:r w:rsidRPr="00271E51">
        <w:rPr>
          <w:color w:val="000000" w:themeColor="text1"/>
          <w:sz w:val="16"/>
          <w:szCs w:val="16"/>
        </w:rPr>
        <w:softHyphen/>
        <w:t>ли 6 пар Як-9т) «охотников» было разбито 3 паро</w:t>
      </w:r>
      <w:r w:rsidRPr="00271E51">
        <w:rPr>
          <w:color w:val="000000" w:themeColor="text1"/>
          <w:sz w:val="16"/>
          <w:szCs w:val="16"/>
        </w:rPr>
        <w:softHyphen/>
        <w:t>воза и 17 вагонов. При этом «охотники» потерь не имели.</w:t>
      </w:r>
    </w:p>
    <w:p w14:paraId="69996A9C"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единодушному мнению командного соста</w:t>
      </w:r>
      <w:r w:rsidRPr="00271E51">
        <w:rPr>
          <w:color w:val="000000" w:themeColor="text1"/>
          <w:sz w:val="16"/>
          <w:szCs w:val="16"/>
        </w:rPr>
        <w:softHyphen/>
        <w:t>ва 11-го сак, «использование самолетов с 37-мм пушками по ж.-д. составам и автоперевозкам мо</w:t>
      </w:r>
      <w:r w:rsidRPr="00271E51">
        <w:rPr>
          <w:color w:val="000000" w:themeColor="text1"/>
          <w:sz w:val="16"/>
          <w:szCs w:val="16"/>
        </w:rPr>
        <w:softHyphen/>
        <w:t>жет принести колоссальный ущерб противнику»: «Свободная «охота» в тех масштабах, как она про</w:t>
      </w:r>
      <w:r w:rsidRPr="00271E51">
        <w:rPr>
          <w:color w:val="000000" w:themeColor="text1"/>
          <w:sz w:val="16"/>
          <w:szCs w:val="16"/>
        </w:rPr>
        <w:softHyphen/>
        <w:t>изводится в данное время, большого оперативно</w:t>
      </w:r>
      <w:r w:rsidRPr="00271E51">
        <w:rPr>
          <w:color w:val="000000" w:themeColor="text1"/>
          <w:sz w:val="16"/>
          <w:szCs w:val="16"/>
        </w:rPr>
        <w:softHyphen/>
        <w:t>го и даже тактического успеха не приносит и не принесет, а является лишь небольшим приработ</w:t>
      </w:r>
      <w:r w:rsidRPr="00271E51">
        <w:rPr>
          <w:color w:val="000000" w:themeColor="text1"/>
          <w:sz w:val="16"/>
          <w:szCs w:val="16"/>
        </w:rPr>
        <w:softHyphen/>
        <w:t>ком к общему активу боевой работы полка, если процент вылетов на охоту составляет только 0,8% к общему числу вылетов. /.../ Можно представить себе, каков бы был эффект, если бы из 1500 боевых вылетов корпуса на «охоту» было бы выполнено не 12, а 1200 вылетов (80%). Нам кажется, что это был бы выигрыш целой операции по срыву ж.-д. перевозок и много бы немцу пришлось потрудить</w:t>
      </w:r>
      <w:r w:rsidRPr="00271E51">
        <w:rPr>
          <w:color w:val="000000" w:themeColor="text1"/>
          <w:sz w:val="16"/>
          <w:szCs w:val="16"/>
        </w:rPr>
        <w:softHyphen/>
        <w:t>ся, чтобы растащить и восстановить поврежденное. Кроме того, истребитель-охотник почти всегда мо</w:t>
      </w:r>
      <w:r w:rsidRPr="00271E51">
        <w:rPr>
          <w:color w:val="000000" w:themeColor="text1"/>
          <w:sz w:val="16"/>
          <w:szCs w:val="16"/>
        </w:rPr>
        <w:softHyphen/>
        <w:t>жет «по пути» подхватить 1—2 автомашины. Зоной «охоты» считать для Як-9т полосу 25—80 км от ли</w:t>
      </w:r>
      <w:r w:rsidRPr="00271E51">
        <w:rPr>
          <w:color w:val="000000" w:themeColor="text1"/>
          <w:sz w:val="16"/>
          <w:szCs w:val="16"/>
        </w:rPr>
        <w:softHyphen/>
        <w:t>нии фронта».</w:t>
      </w:r>
    </w:p>
    <w:p w14:paraId="3D9BD071"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 как немцы базируют свои бомбардировщи</w:t>
      </w:r>
      <w:r w:rsidRPr="00271E51">
        <w:rPr>
          <w:color w:val="000000" w:themeColor="text1"/>
          <w:sz w:val="16"/>
          <w:szCs w:val="16"/>
        </w:rPr>
        <w:softHyphen/>
        <w:t>ки, как правило, на большом удалении от линии фронта, то истребитель Як-9т «для массового ис</w:t>
      </w:r>
      <w:r w:rsidRPr="00271E51">
        <w:rPr>
          <w:color w:val="000000" w:themeColor="text1"/>
          <w:sz w:val="16"/>
          <w:szCs w:val="16"/>
        </w:rPr>
        <w:softHyphen/>
        <w:t>пользования для удара по аэродромам, где базиру</w:t>
      </w:r>
      <w:r w:rsidRPr="00271E51">
        <w:rPr>
          <w:color w:val="000000" w:themeColor="text1"/>
          <w:sz w:val="16"/>
          <w:szCs w:val="16"/>
        </w:rPr>
        <w:softHyphen/>
        <w:t>ется бомбардировочная авиация противника, из-за ограниченного запаса горючего непригоден».</w:t>
      </w:r>
    </w:p>
    <w:p w14:paraId="1D985CDD"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этих целей предлагалось применять «даль</w:t>
      </w:r>
      <w:r w:rsidRPr="00271E51">
        <w:rPr>
          <w:color w:val="000000" w:themeColor="text1"/>
          <w:sz w:val="16"/>
          <w:szCs w:val="16"/>
        </w:rPr>
        <w:softHyphen/>
        <w:t>ние» Як-9д, вооруженные пушкой МП-37: «Обычно дальние аэродромы прикрываются среднекали</w:t>
      </w:r>
      <w:r w:rsidRPr="00271E51">
        <w:rPr>
          <w:color w:val="000000" w:themeColor="text1"/>
          <w:sz w:val="16"/>
          <w:szCs w:val="16"/>
        </w:rPr>
        <w:softHyphen/>
        <w:t>берной зенитной артиллерией, которые для борь</w:t>
      </w:r>
      <w:r w:rsidRPr="00271E51">
        <w:rPr>
          <w:color w:val="000000" w:themeColor="text1"/>
          <w:sz w:val="16"/>
          <w:szCs w:val="16"/>
        </w:rPr>
        <w:softHyphen/>
        <w:t>бы с истребителями малопригодны, как следствие, Як-9д с 37-мм пушкой ОКБ-16 может быть эффек</w:t>
      </w:r>
      <w:r w:rsidRPr="00271E51">
        <w:rPr>
          <w:color w:val="000000" w:themeColor="text1"/>
          <w:sz w:val="16"/>
          <w:szCs w:val="16"/>
        </w:rPr>
        <w:softHyphen/>
        <w:t>тивным».</w:t>
      </w:r>
    </w:p>
    <w:p w14:paraId="792F4DA4"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Применение Як-9т «при проведении боевых операций по уничтожению бомбардировщиков противника выявило ряд следующих замечатель</w:t>
      </w:r>
      <w:r w:rsidRPr="00271E51">
        <w:rPr>
          <w:color w:val="000000" w:themeColor="text1"/>
          <w:sz w:val="16"/>
          <w:szCs w:val="16"/>
        </w:rPr>
        <w:softHyphen/>
        <w:t>ных качеств», а именно, исключительная эффектив</w:t>
      </w:r>
      <w:r w:rsidRPr="00271E51">
        <w:rPr>
          <w:color w:val="000000" w:themeColor="text1"/>
          <w:sz w:val="16"/>
          <w:szCs w:val="16"/>
        </w:rPr>
        <w:softHyphen/>
        <w:t>ность 37-мм снаряда пушки ОКБ-16 при действии по самолетам всех типов (1—2 попаданий было достаточно для уничтожения истребителя или 2—4 попаданий для бомбардировщика). Кроме того, хорошие летные данные (скорость, маневр) Як-9т позволяли летчикам вполне успешно вести воз</w:t>
      </w:r>
      <w:r w:rsidRPr="00271E51">
        <w:rPr>
          <w:color w:val="000000" w:themeColor="text1"/>
          <w:sz w:val="16"/>
          <w:szCs w:val="16"/>
        </w:rPr>
        <w:softHyphen/>
        <w:t xml:space="preserve">душный бой с немецкими истребителями </w:t>
      </w:r>
      <w:r w:rsidRPr="00271E51">
        <w:rPr>
          <w:color w:val="000000" w:themeColor="text1"/>
          <w:sz w:val="16"/>
          <w:szCs w:val="16"/>
          <w:lang w:val="en-US"/>
        </w:rPr>
        <w:t>Bf</w:t>
      </w:r>
      <w:r w:rsidRPr="00271E51">
        <w:rPr>
          <w:color w:val="000000" w:themeColor="text1"/>
          <w:sz w:val="16"/>
          <w:szCs w:val="16"/>
        </w:rPr>
        <w:t xml:space="preserve">109 и </w:t>
      </w:r>
      <w:r w:rsidRPr="00271E51">
        <w:rPr>
          <w:color w:val="000000" w:themeColor="text1"/>
          <w:sz w:val="16"/>
          <w:szCs w:val="16"/>
          <w:lang w:val="en-US"/>
        </w:rPr>
        <w:t>Fw</w:t>
      </w:r>
      <w:r w:rsidRPr="00271E51">
        <w:rPr>
          <w:color w:val="000000" w:themeColor="text1"/>
          <w:sz w:val="16"/>
          <w:szCs w:val="16"/>
        </w:rPr>
        <w:t>190. Однако пушка ОКБ-16 оказалась все же малоэффективной «при воздушном бое с истреби</w:t>
      </w:r>
      <w:r w:rsidRPr="00271E51">
        <w:rPr>
          <w:color w:val="000000" w:themeColor="text1"/>
          <w:sz w:val="16"/>
          <w:szCs w:val="16"/>
        </w:rPr>
        <w:softHyphen/>
        <w:t>телями противника из-за низкой скорострельно</w:t>
      </w:r>
      <w:r w:rsidRPr="00271E51">
        <w:rPr>
          <w:color w:val="000000" w:themeColor="text1"/>
          <w:sz w:val="16"/>
          <w:szCs w:val="16"/>
        </w:rPr>
        <w:softHyphen/>
        <w:t>сти». Отсюда следовало, «что в группе необходимо иметь разное вооружение: ударная группа — Як-9т (ведущий) и Як-9 (ведомый)».</w:t>
      </w:r>
    </w:p>
    <w:p w14:paraId="26C29819"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5 очередей, продолжительностью по 1,5 с каждая, летчик Як-9т оставался только с одним пулеметом БС (время непрерывной стрельбы 14 с). Эффективность огня резко падала. В то же время «опыт боев показал необходимость ведения огня одновременно из всех точек оружия, чем увеличи</w:t>
      </w:r>
      <w:r w:rsidRPr="00271E51">
        <w:rPr>
          <w:color w:val="000000" w:themeColor="text1"/>
          <w:sz w:val="16"/>
          <w:szCs w:val="16"/>
        </w:rPr>
        <w:softHyphen/>
        <w:t>вается вероятность поражения цели».</w:t>
      </w:r>
    </w:p>
    <w:p w14:paraId="1251B2F4"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Отмечалось, что «сильная отдача пушки ОКБ-16 при стрельбе требует от летчиков умения прице</w:t>
      </w:r>
      <w:r w:rsidRPr="00271E51">
        <w:rPr>
          <w:color w:val="000000" w:themeColor="text1"/>
          <w:sz w:val="16"/>
          <w:szCs w:val="16"/>
        </w:rPr>
        <w:softHyphen/>
        <w:t>ливаться и вести стрельбу короткими очередями». По опыту частей 3-го иак, «хорошо подготовленные стрелки-летчики сбивают самолет противника од</w:t>
      </w:r>
      <w:r w:rsidRPr="00271E51">
        <w:rPr>
          <w:color w:val="000000" w:themeColor="text1"/>
          <w:sz w:val="16"/>
          <w:szCs w:val="16"/>
        </w:rPr>
        <w:softHyphen/>
        <w:t>ной очередью (3—4 выстрела) /.../ молодой состав расходует значительно больше».</w:t>
      </w:r>
    </w:p>
    <w:p w14:paraId="634AF322"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этим причинам для успеха в бою летчи</w:t>
      </w:r>
      <w:r w:rsidRPr="00271E51">
        <w:rPr>
          <w:color w:val="000000" w:themeColor="text1"/>
          <w:sz w:val="16"/>
          <w:szCs w:val="16"/>
        </w:rPr>
        <w:softHyphen/>
        <w:t>ки должны были иметь только отличную летную и стрелковую подготовку.</w:t>
      </w:r>
    </w:p>
    <w:p w14:paraId="4D5E5DE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Летный состав, «отмечая случаи успешных воз</w:t>
      </w:r>
      <w:r w:rsidRPr="00271E51">
        <w:rPr>
          <w:color w:val="000000" w:themeColor="text1"/>
          <w:sz w:val="16"/>
          <w:szCs w:val="16"/>
        </w:rPr>
        <w:softHyphen/>
        <w:t>душных боев Як-9т с истребителями противника, /. / приходит к единому выводу о целесообраз</w:t>
      </w:r>
      <w:r w:rsidRPr="00271E51">
        <w:rPr>
          <w:color w:val="000000" w:themeColor="text1"/>
          <w:sz w:val="16"/>
          <w:szCs w:val="16"/>
        </w:rPr>
        <w:softHyphen/>
        <w:t>ности применения самолета Як-9т в качестве тяже</w:t>
      </w:r>
      <w:r w:rsidRPr="00271E51">
        <w:rPr>
          <w:color w:val="000000" w:themeColor="text1"/>
          <w:sz w:val="16"/>
          <w:szCs w:val="16"/>
        </w:rPr>
        <w:softHyphen/>
        <w:t>лого истребителя, основным назначением которо</w:t>
      </w:r>
      <w:r w:rsidRPr="00271E51">
        <w:rPr>
          <w:color w:val="000000" w:themeColor="text1"/>
          <w:sz w:val="16"/>
          <w:szCs w:val="16"/>
        </w:rPr>
        <w:softHyphen/>
        <w:t>го должно быть уничтожение бомбардировщиков противника /.../, а также в качестве «охотника» с целью поражения танков, ж.-д. эшелонов, авто</w:t>
      </w:r>
      <w:r w:rsidRPr="00271E51">
        <w:rPr>
          <w:color w:val="000000" w:themeColor="text1"/>
          <w:sz w:val="16"/>
          <w:szCs w:val="16"/>
        </w:rPr>
        <w:softHyphen/>
        <w:t>транспорта и других наземных целей».</w:t>
      </w:r>
    </w:p>
    <w:p w14:paraId="38455F1B"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Рациональными считались совместные дей</w:t>
      </w:r>
      <w:r w:rsidRPr="00271E51">
        <w:rPr>
          <w:color w:val="000000" w:themeColor="text1"/>
          <w:sz w:val="16"/>
          <w:szCs w:val="16"/>
        </w:rPr>
        <w:softHyphen/>
        <w:t>ствия Як-9т и Ил-2 при ударах по самолетам про</w:t>
      </w:r>
      <w:r w:rsidRPr="00271E51">
        <w:rPr>
          <w:color w:val="000000" w:themeColor="text1"/>
          <w:sz w:val="16"/>
          <w:szCs w:val="16"/>
        </w:rPr>
        <w:softHyphen/>
        <w:t>тивника на аэродромах базирования, ж.-д. составам на перегонах и станциях, мотомеханизированным и танковым колоннам и т.д. При этом «танковые» Як-9т подавляли огонь малокалиберной и средне</w:t>
      </w:r>
      <w:r w:rsidRPr="00271E51">
        <w:rPr>
          <w:color w:val="000000" w:themeColor="text1"/>
          <w:sz w:val="16"/>
          <w:szCs w:val="16"/>
        </w:rPr>
        <w:softHyphen/>
        <w:t>калиберной артиллерии («так как истребители находятся выше и лучше видят, плюс мощь огня пушки ОКБ-16») и отсекали истребители против</w:t>
      </w:r>
      <w:r w:rsidRPr="00271E51">
        <w:rPr>
          <w:color w:val="000000" w:themeColor="text1"/>
          <w:sz w:val="16"/>
          <w:szCs w:val="16"/>
        </w:rPr>
        <w:softHyphen/>
        <w:t>ника при отходе штурмовиков от цели. Ставить задачи для уничтожения наземных целей на по</w:t>
      </w:r>
      <w:r w:rsidRPr="00271E51">
        <w:rPr>
          <w:color w:val="000000" w:themeColor="text1"/>
          <w:sz w:val="16"/>
          <w:szCs w:val="16"/>
        </w:rPr>
        <w:softHyphen/>
        <w:t>ле боя не следовало по причине низкой живу</w:t>
      </w:r>
      <w:r w:rsidRPr="00271E51">
        <w:rPr>
          <w:color w:val="000000" w:themeColor="text1"/>
          <w:sz w:val="16"/>
          <w:szCs w:val="16"/>
        </w:rPr>
        <w:softHyphen/>
        <w:t>чести Як-9т.</w:t>
      </w:r>
    </w:p>
    <w:p w14:paraId="585E4FC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Заметным недостатком Як-9т летчики сочли не</w:t>
      </w:r>
      <w:r w:rsidRPr="00271E51">
        <w:rPr>
          <w:color w:val="000000" w:themeColor="text1"/>
          <w:sz w:val="16"/>
          <w:szCs w:val="16"/>
        </w:rPr>
        <w:softHyphen/>
        <w:t>достаточный запас топлива, что ограничивало рай</w:t>
      </w:r>
      <w:r w:rsidRPr="00271E51">
        <w:rPr>
          <w:color w:val="000000" w:themeColor="text1"/>
          <w:sz w:val="16"/>
          <w:szCs w:val="16"/>
        </w:rPr>
        <w:softHyphen/>
        <w:t>он активных действий истребительных полков, во</w:t>
      </w:r>
      <w:r w:rsidRPr="00271E51">
        <w:rPr>
          <w:color w:val="000000" w:themeColor="text1"/>
          <w:sz w:val="16"/>
          <w:szCs w:val="16"/>
        </w:rPr>
        <w:softHyphen/>
        <w:t>оруженных этим типом самолета.</w:t>
      </w:r>
    </w:p>
    <w:p w14:paraId="352724EA"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Опыт боевого применения Як-9т показал, что по сравнению с Як-9 он имеет больший радиус и вре</w:t>
      </w:r>
      <w:r w:rsidRPr="00271E51">
        <w:rPr>
          <w:color w:val="000000" w:themeColor="text1"/>
          <w:sz w:val="16"/>
          <w:szCs w:val="16"/>
        </w:rPr>
        <w:softHyphen/>
        <w:t>мя виража (22—23 с), на 100 м меньший набор вы</w:t>
      </w:r>
      <w:r w:rsidRPr="00271E51">
        <w:rPr>
          <w:color w:val="000000" w:themeColor="text1"/>
          <w:sz w:val="16"/>
          <w:szCs w:val="16"/>
        </w:rPr>
        <w:softHyphen/>
        <w:t>соты на боевом развороте, увеличенную скорость на пикировании. При планировании с убранным газом Як-9т быстро теряет высоту, а при взлете и посадке «имеет тенденцию тянуть на нос». Раз</w:t>
      </w:r>
      <w:r w:rsidRPr="00271E51">
        <w:rPr>
          <w:color w:val="000000" w:themeColor="text1"/>
          <w:sz w:val="16"/>
          <w:szCs w:val="16"/>
        </w:rPr>
        <w:softHyphen/>
        <w:t>бег и пробег у Як-9т больше. При пробеге «во избе</w:t>
      </w:r>
      <w:r w:rsidRPr="00271E51">
        <w:rPr>
          <w:color w:val="000000" w:themeColor="text1"/>
          <w:sz w:val="16"/>
          <w:szCs w:val="16"/>
        </w:rPr>
        <w:softHyphen/>
        <w:t>жание капота самолет требует более осторожного (плавного) торможения». Путевая устойчивость са</w:t>
      </w:r>
      <w:r w:rsidRPr="00271E51">
        <w:rPr>
          <w:color w:val="000000" w:themeColor="text1"/>
          <w:sz w:val="16"/>
          <w:szCs w:val="16"/>
        </w:rPr>
        <w:softHyphen/>
        <w:t>молета хорошая, продольная управляемость «тяже</w:t>
      </w:r>
      <w:r w:rsidRPr="00271E51">
        <w:rPr>
          <w:color w:val="000000" w:themeColor="text1"/>
          <w:sz w:val="16"/>
          <w:szCs w:val="16"/>
        </w:rPr>
        <w:softHyphen/>
        <w:t>лее, чем у Як-9». В остальном по технике пилотиро</w:t>
      </w:r>
      <w:r w:rsidRPr="00271E51">
        <w:rPr>
          <w:color w:val="000000" w:themeColor="text1"/>
          <w:sz w:val="16"/>
          <w:szCs w:val="16"/>
        </w:rPr>
        <w:softHyphen/>
        <w:t>вания Як-9т не отличается от Як-9.</w:t>
      </w:r>
    </w:p>
    <w:p w14:paraId="39BFF18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 опыта воздушных боев следовало, что летчи</w:t>
      </w:r>
      <w:r w:rsidRPr="00271E51">
        <w:rPr>
          <w:color w:val="000000" w:themeColor="text1"/>
          <w:sz w:val="16"/>
          <w:szCs w:val="16"/>
        </w:rPr>
        <w:softHyphen/>
        <w:t xml:space="preserve">ки на Як-9т успешно вели воздушные бои с </w:t>
      </w:r>
      <w:r w:rsidRPr="00271E51">
        <w:rPr>
          <w:color w:val="000000" w:themeColor="text1"/>
          <w:sz w:val="16"/>
          <w:szCs w:val="16"/>
          <w:lang w:val="en-US"/>
        </w:rPr>
        <w:t>Bf</w:t>
      </w:r>
      <w:r w:rsidRPr="00271E51">
        <w:rPr>
          <w:color w:val="000000" w:themeColor="text1"/>
          <w:sz w:val="16"/>
          <w:szCs w:val="16"/>
        </w:rPr>
        <w:t>109</w:t>
      </w:r>
      <w:r w:rsidRPr="00271E51">
        <w:rPr>
          <w:color w:val="000000" w:themeColor="text1"/>
          <w:sz w:val="16"/>
          <w:szCs w:val="16"/>
          <w:lang w:val="en-US"/>
        </w:rPr>
        <w:t>G</w:t>
      </w:r>
      <w:r w:rsidRPr="00271E51">
        <w:rPr>
          <w:color w:val="000000" w:themeColor="text1"/>
          <w:sz w:val="16"/>
          <w:szCs w:val="16"/>
        </w:rPr>
        <w:t xml:space="preserve"> только до высоты 3000 м (выше — Як-9т уступал в вертикальном маневре), а с Fw190А — на всех рабочих высотах, как на вертикальном, так и гори</w:t>
      </w:r>
      <w:r w:rsidRPr="00271E51">
        <w:rPr>
          <w:color w:val="000000" w:themeColor="text1"/>
          <w:sz w:val="16"/>
          <w:szCs w:val="16"/>
        </w:rPr>
        <w:softHyphen/>
        <w:t xml:space="preserve">зонтальном маневре («имея преимущества перед </w:t>
      </w:r>
      <w:r w:rsidRPr="00271E51">
        <w:rPr>
          <w:color w:val="000000" w:themeColor="text1"/>
          <w:sz w:val="16"/>
          <w:szCs w:val="16"/>
          <w:lang w:val="en-US"/>
        </w:rPr>
        <w:t>Fw</w:t>
      </w:r>
      <w:r w:rsidRPr="00271E51">
        <w:rPr>
          <w:color w:val="000000" w:themeColor="text1"/>
          <w:sz w:val="16"/>
          <w:szCs w:val="16"/>
        </w:rPr>
        <w:t>190 в более резком переломе траектории само</w:t>
      </w:r>
      <w:r w:rsidRPr="00271E51">
        <w:rPr>
          <w:color w:val="000000" w:themeColor="text1"/>
          <w:sz w:val="16"/>
          <w:szCs w:val="16"/>
        </w:rPr>
        <w:softHyphen/>
        <w:t>лета»). На пикировании серийный Як-9т отставал от немецких машин и несколько уступал им в гори</w:t>
      </w:r>
      <w:r w:rsidRPr="00271E51">
        <w:rPr>
          <w:color w:val="000000" w:themeColor="text1"/>
          <w:sz w:val="16"/>
          <w:szCs w:val="16"/>
        </w:rPr>
        <w:softHyphen/>
        <w:t>зонтальной скорости.</w:t>
      </w:r>
    </w:p>
    <w:p w14:paraId="13A0F387"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 все же для воздушного боя с истребителя</w:t>
      </w:r>
      <w:r w:rsidRPr="00271E51">
        <w:rPr>
          <w:color w:val="000000" w:themeColor="text1"/>
          <w:sz w:val="16"/>
          <w:szCs w:val="16"/>
        </w:rPr>
        <w:softHyphen/>
        <w:t>ми Як-9т был малопригоден из-за малого темпа стрельбы пушки МП-37 и небольшого боекомп</w:t>
      </w:r>
      <w:r w:rsidRPr="00271E51">
        <w:rPr>
          <w:color w:val="000000" w:themeColor="text1"/>
          <w:sz w:val="16"/>
          <w:szCs w:val="16"/>
        </w:rPr>
        <w:softHyphen/>
        <w:t>лекта.</w:t>
      </w:r>
    </w:p>
    <w:p w14:paraId="20AB39B8"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Большая отдача пушки МП-37 при стрельбе не позволяла летчикам вести огонь на малых скоро</w:t>
      </w:r>
      <w:r w:rsidRPr="00271E51">
        <w:rPr>
          <w:color w:val="000000" w:themeColor="text1"/>
          <w:sz w:val="16"/>
          <w:szCs w:val="16"/>
        </w:rPr>
        <w:softHyphen/>
        <w:t>стях. Прицельной была стрельба только очередя</w:t>
      </w:r>
      <w:r w:rsidRPr="00271E51">
        <w:rPr>
          <w:color w:val="000000" w:themeColor="text1"/>
          <w:sz w:val="16"/>
          <w:szCs w:val="16"/>
        </w:rPr>
        <w:softHyphen/>
        <w:t>ми 1—2 снаряда. При увеличении длины очереди самолет опускал нос, сбивался с линии прицелива</w:t>
      </w:r>
      <w:r w:rsidRPr="00271E51">
        <w:rPr>
          <w:color w:val="000000" w:themeColor="text1"/>
          <w:sz w:val="16"/>
          <w:szCs w:val="16"/>
        </w:rPr>
        <w:softHyphen/>
        <w:t>ния, что вызывало недолеты при стрельбе по на</w:t>
      </w:r>
      <w:r w:rsidRPr="00271E51">
        <w:rPr>
          <w:color w:val="000000" w:themeColor="text1"/>
          <w:sz w:val="16"/>
          <w:szCs w:val="16"/>
        </w:rPr>
        <w:softHyphen/>
        <w:t>земным целям и снижение трассы — при стрельбе по воздушным целям. Для продолжения стрельбы необходимо было восстанавливать прицеливание. С увеличением скорости вплоть до максимальной (например, на пикировании) появлялась возмож</w:t>
      </w:r>
      <w:r w:rsidRPr="00271E51">
        <w:rPr>
          <w:color w:val="000000" w:themeColor="text1"/>
          <w:sz w:val="16"/>
          <w:szCs w:val="16"/>
        </w:rPr>
        <w:softHyphen/>
        <w:t>ность вести огонь как короткими очередями по 2—3 снаряда (по бомбардировщикам с 200 м — до 4 выстрелов), так и длинной очередью по 4—6—8 снарядов «без значительного отклонения на рас</w:t>
      </w:r>
      <w:r w:rsidRPr="00271E51">
        <w:rPr>
          <w:color w:val="000000" w:themeColor="text1"/>
          <w:sz w:val="16"/>
          <w:szCs w:val="16"/>
        </w:rPr>
        <w:softHyphen/>
        <w:t>сеивание».</w:t>
      </w:r>
    </w:p>
    <w:p w14:paraId="63D1F9B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Направление атаки Як-9т по бомбардировщи</w:t>
      </w:r>
      <w:r w:rsidRPr="00271E51">
        <w:rPr>
          <w:color w:val="000000" w:themeColor="text1"/>
          <w:sz w:val="16"/>
          <w:szCs w:val="16"/>
        </w:rPr>
        <w:softHyphen/>
        <w:t>кам определялось малым темпом стрельбы пушки МП-37 (240 выстр./мин). Наиболее эффективным был огонь лишь при ракурсах 0/4—2/4. При атаках истребителей ракурс стрельбы не превышал 1/4. Поскольку дистанция прицельной стрельбы состав</w:t>
      </w:r>
      <w:r w:rsidRPr="00271E51">
        <w:rPr>
          <w:color w:val="000000" w:themeColor="text1"/>
          <w:sz w:val="16"/>
          <w:szCs w:val="16"/>
        </w:rPr>
        <w:softHyphen/>
        <w:t>ляла 600 м, то дальность начала огня при стрель</w:t>
      </w:r>
      <w:r w:rsidRPr="00271E51">
        <w:rPr>
          <w:color w:val="000000" w:themeColor="text1"/>
          <w:sz w:val="16"/>
          <w:szCs w:val="16"/>
        </w:rPr>
        <w:softHyphen/>
        <w:t>бе по истребителям не превышала 200—400 м, по бомбардировщикам — 400—600 м, по наземной цели — 600—1000 м. Действительная стрельба на встречных курсах начиналась с 500—600 м, не вы</w:t>
      </w:r>
      <w:r w:rsidRPr="00271E51">
        <w:rPr>
          <w:color w:val="000000" w:themeColor="text1"/>
          <w:sz w:val="16"/>
          <w:szCs w:val="16"/>
        </w:rPr>
        <w:softHyphen/>
        <w:t>ше. При этом с целью нарушения строя бомбарди</w:t>
      </w:r>
      <w:r w:rsidRPr="00271E51">
        <w:rPr>
          <w:color w:val="000000" w:themeColor="text1"/>
          <w:sz w:val="16"/>
          <w:szCs w:val="16"/>
        </w:rPr>
        <w:softHyphen/>
        <w:t>ровщиков и подавления огня воздушных стрелков летчики вели неприцельную стрельбу с дальности 1000—1200 м.</w:t>
      </w:r>
    </w:p>
    <w:p w14:paraId="0966ED2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Атаку малых наземных целей (танки, артиллерия и минометные батареи) на Як-9т следовало выпол</w:t>
      </w:r>
      <w:r w:rsidRPr="00271E51">
        <w:rPr>
          <w:color w:val="000000" w:themeColor="text1"/>
          <w:sz w:val="16"/>
          <w:szCs w:val="16"/>
        </w:rPr>
        <w:softHyphen/>
        <w:t>нять с высоты 800—1000 м на пикировании под углом 30—45°, «которые обеспечивают наиболь</w:t>
      </w:r>
      <w:r w:rsidRPr="00271E51">
        <w:rPr>
          <w:color w:val="000000" w:themeColor="text1"/>
          <w:sz w:val="16"/>
          <w:szCs w:val="16"/>
        </w:rPr>
        <w:softHyphen/>
        <w:t>шую точность стрельбы» и производство 2—3 при</w:t>
      </w:r>
      <w:r w:rsidRPr="00271E51">
        <w:rPr>
          <w:color w:val="000000" w:themeColor="text1"/>
          <w:sz w:val="16"/>
          <w:szCs w:val="16"/>
        </w:rPr>
        <w:softHyphen/>
        <w:t>цельных очередей по 2—3 снаряда каждая. Заход на цель — на скорости 300—320 км/ч с разворотом в сторону цели под углом 40—45°. Вывод из пики</w:t>
      </w:r>
      <w:r w:rsidRPr="00271E51">
        <w:rPr>
          <w:color w:val="000000" w:themeColor="text1"/>
          <w:sz w:val="16"/>
          <w:szCs w:val="16"/>
        </w:rPr>
        <w:softHyphen/>
        <w:t>рования — на высоте 300—200 м.</w:t>
      </w:r>
    </w:p>
    <w:p w14:paraId="4CA5BA8D"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Наилучшие результаты при атаке ж.-д. эшелона получались при построении захода под углом 15— 20° к направлению движения эшелона и под углами пикирования 25—45°. В этом случае ж.-д. эшелон на перегоне выводился из строя вместе с парово</w:t>
      </w:r>
      <w:r w:rsidRPr="00271E51">
        <w:rPr>
          <w:color w:val="000000" w:themeColor="text1"/>
          <w:sz w:val="16"/>
          <w:szCs w:val="16"/>
        </w:rPr>
        <w:softHyphen/>
        <w:t>зом после штурмовки группы в составе 4—6 Як-9т.</w:t>
      </w:r>
    </w:p>
    <w:p w14:paraId="0CF29FF2"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по наземной цели наибольшую эффективность дают осколочно-зажигательные снаряды ОЗ-37. При попадании одного такого сна</w:t>
      </w:r>
      <w:r w:rsidRPr="00271E51">
        <w:rPr>
          <w:color w:val="000000" w:themeColor="text1"/>
          <w:sz w:val="16"/>
          <w:szCs w:val="16"/>
        </w:rPr>
        <w:softHyphen/>
        <w:t>ряда в моторную часть автомашин возникал пожар. Разрывы снарядов рядом с автомашиной выводили из строя ее ходовую часть. Анализ поражения па</w:t>
      </w:r>
      <w:r w:rsidRPr="00271E51">
        <w:rPr>
          <w:color w:val="000000" w:themeColor="text1"/>
          <w:sz w:val="16"/>
          <w:szCs w:val="16"/>
        </w:rPr>
        <w:softHyphen/>
        <w:t>ровозов показал, что при действии по ним 37-мм снарядов типа ОЗ-37, которые, помимо осколочно</w:t>
      </w:r>
      <w:r w:rsidRPr="00271E51">
        <w:rPr>
          <w:color w:val="000000" w:themeColor="text1"/>
          <w:sz w:val="16"/>
          <w:szCs w:val="16"/>
        </w:rPr>
        <w:softHyphen/>
        <w:t>го, имеют и значительное фугасное действие, в ре</w:t>
      </w:r>
      <w:r w:rsidRPr="00271E51">
        <w:rPr>
          <w:color w:val="000000" w:themeColor="text1"/>
          <w:sz w:val="16"/>
          <w:szCs w:val="16"/>
        </w:rPr>
        <w:softHyphen/>
        <w:t>зультате разрыва снаряда разрушается верхний кожух и асбестовая прокладка парового котла, но пробитие котла не происходит. Паровоз получает повреждения, которые достаточно быстро устраня</w:t>
      </w:r>
      <w:r w:rsidRPr="00271E51">
        <w:rPr>
          <w:color w:val="000000" w:themeColor="text1"/>
          <w:sz w:val="16"/>
          <w:szCs w:val="16"/>
        </w:rPr>
        <w:softHyphen/>
        <w:t>лись ремонтной бригадой. Значительные разруше</w:t>
      </w:r>
      <w:r w:rsidRPr="00271E51">
        <w:rPr>
          <w:color w:val="000000" w:themeColor="text1"/>
          <w:sz w:val="16"/>
          <w:szCs w:val="16"/>
        </w:rPr>
        <w:softHyphen/>
        <w:t>ния наносились приборному хозяйству и системе управления паровозом при попадании ОЗ-37 в буд</w:t>
      </w:r>
      <w:r w:rsidRPr="00271E51">
        <w:rPr>
          <w:color w:val="000000" w:themeColor="text1"/>
          <w:sz w:val="16"/>
          <w:szCs w:val="16"/>
        </w:rPr>
        <w:softHyphen/>
        <w:t>ку машиниста.</w:t>
      </w:r>
    </w:p>
    <w:p w14:paraId="52EECFE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Стрельба бронебойными снарядами БЗТ-37, как правило, сопровождается пробитием основной об</w:t>
      </w:r>
      <w:r w:rsidRPr="00271E51">
        <w:rPr>
          <w:color w:val="000000" w:themeColor="text1"/>
          <w:sz w:val="16"/>
          <w:szCs w:val="16"/>
        </w:rPr>
        <w:softHyphen/>
        <w:t>шивки котла и его взрывом. Паровоз выходит из строя на долгое время. Снаряды этого типа уверен</w:t>
      </w:r>
      <w:r w:rsidRPr="00271E51">
        <w:rPr>
          <w:color w:val="000000" w:themeColor="text1"/>
          <w:sz w:val="16"/>
          <w:szCs w:val="16"/>
        </w:rPr>
        <w:softHyphen/>
        <w:t>но поражали паровозы, легкие катера и бронетех</w:t>
      </w:r>
      <w:r w:rsidRPr="00271E51">
        <w:rPr>
          <w:color w:val="000000" w:themeColor="text1"/>
          <w:sz w:val="16"/>
          <w:szCs w:val="16"/>
        </w:rPr>
        <w:softHyphen/>
        <w:t>нику с толщиной брони до 40 мм.</w:t>
      </w:r>
    </w:p>
    <w:p w14:paraId="2EAA5AE3"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этом красная трасса снарядов БЗТ-37, хоро</w:t>
      </w:r>
      <w:r w:rsidRPr="00271E51">
        <w:rPr>
          <w:color w:val="000000" w:themeColor="text1"/>
          <w:sz w:val="16"/>
          <w:szCs w:val="16"/>
        </w:rPr>
        <w:softHyphen/>
        <w:t>шо видимая при стрельбе по наземной цели, по</w:t>
      </w:r>
      <w:r w:rsidRPr="00271E51">
        <w:rPr>
          <w:color w:val="000000" w:themeColor="text1"/>
          <w:sz w:val="16"/>
          <w:szCs w:val="16"/>
        </w:rPr>
        <w:softHyphen/>
        <w:t>зволяет уверенно корректировать огонь.</w:t>
      </w:r>
    </w:p>
    <w:p w14:paraId="586D7002"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Учитывая реальные условия воздушных боев и распределение наземных целей, считалось ра</w:t>
      </w:r>
      <w:r w:rsidRPr="00271E51">
        <w:rPr>
          <w:color w:val="000000" w:themeColor="text1"/>
          <w:sz w:val="16"/>
          <w:szCs w:val="16"/>
        </w:rPr>
        <w:softHyphen/>
        <w:t>циональным в составе боекомплекта Як-9т иметь 100% осколочно-зажигательно-трассирующих сна</w:t>
      </w:r>
      <w:r w:rsidRPr="00271E51">
        <w:rPr>
          <w:color w:val="000000" w:themeColor="text1"/>
          <w:sz w:val="16"/>
          <w:szCs w:val="16"/>
        </w:rPr>
        <w:softHyphen/>
        <w:t>рядов ОЗТ-37 или при их отсутствии — 80% ОЗ-37 и 20% БЗТ-37. Введение бронебойных боеприпасов в таком проценте обуславливалось лишь необходи</w:t>
      </w:r>
      <w:r w:rsidRPr="00271E51">
        <w:rPr>
          <w:color w:val="000000" w:themeColor="text1"/>
          <w:sz w:val="16"/>
          <w:szCs w:val="16"/>
        </w:rPr>
        <w:softHyphen/>
        <w:t>мостью иметь видимую трассу.</w:t>
      </w:r>
    </w:p>
    <w:p w14:paraId="796EE9B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действии по автомашинам, живой силе и паровозам боекомплект должен был состоять на 50% из ОЗ-37 и на 50% из БЗТ-37. В случае работы по танкам доля бронебойных снарядов возрастает до 60%. Такое соотношение снаря</w:t>
      </w:r>
      <w:r w:rsidRPr="00271E51">
        <w:rPr>
          <w:color w:val="000000" w:themeColor="text1"/>
          <w:sz w:val="16"/>
          <w:szCs w:val="16"/>
        </w:rPr>
        <w:softHyphen/>
        <w:t>дов было «пригодным и для штур</w:t>
      </w:r>
      <w:r w:rsidRPr="00271E51">
        <w:rPr>
          <w:color w:val="000000" w:themeColor="text1"/>
          <w:sz w:val="16"/>
          <w:szCs w:val="16"/>
        </w:rPr>
        <w:softHyphen/>
        <w:t>мовки небольших судов против</w:t>
      </w:r>
      <w:r w:rsidRPr="00271E51">
        <w:rPr>
          <w:color w:val="000000" w:themeColor="text1"/>
          <w:sz w:val="16"/>
          <w:szCs w:val="16"/>
        </w:rPr>
        <w:softHyphen/>
        <w:t>ника, а также переправ (понтоны, катера и т.д.)».</w:t>
      </w:r>
    </w:p>
    <w:p w14:paraId="2F0A293E"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Пристрелка на 400 м обеспечи</w:t>
      </w:r>
      <w:r w:rsidRPr="00271E51">
        <w:rPr>
          <w:color w:val="000000" w:themeColor="text1"/>
          <w:sz w:val="16"/>
          <w:szCs w:val="16"/>
        </w:rPr>
        <w:softHyphen/>
        <w:t>вает поражаемое пространство до 100 м. Понижение траектории над линией цели с учетом собственной скорости около 45,5 см, следова</w:t>
      </w:r>
      <w:r w:rsidRPr="00271E51">
        <w:rPr>
          <w:color w:val="000000" w:themeColor="text1"/>
          <w:sz w:val="16"/>
          <w:szCs w:val="16"/>
        </w:rPr>
        <w:softHyphen/>
        <w:t>тельно, можно вести огонь без по</w:t>
      </w:r>
      <w:r w:rsidRPr="00271E51">
        <w:rPr>
          <w:color w:val="000000" w:themeColor="text1"/>
          <w:sz w:val="16"/>
          <w:szCs w:val="16"/>
        </w:rPr>
        <w:softHyphen/>
        <w:t>правок на 1000 м.</w:t>
      </w:r>
    </w:p>
    <w:p w14:paraId="33DCF5E2"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Основные выводы по результа</w:t>
      </w:r>
      <w:r w:rsidRPr="00271E51">
        <w:rPr>
          <w:color w:val="000000" w:themeColor="text1"/>
          <w:sz w:val="16"/>
          <w:szCs w:val="16"/>
        </w:rPr>
        <w:softHyphen/>
        <w:t>там войсковых испытаний сводились к тому, что Як-9т «является нужным для ВВС КА истребителем». Само</w:t>
      </w:r>
      <w:r w:rsidRPr="00271E51">
        <w:rPr>
          <w:color w:val="000000" w:themeColor="text1"/>
          <w:sz w:val="16"/>
          <w:szCs w:val="16"/>
        </w:rPr>
        <w:softHyphen/>
        <w:t>лет необходимо было использовать главным образом для уничтожения бомбардировщиков в воздухе и са</w:t>
      </w:r>
      <w:r w:rsidRPr="00271E51">
        <w:rPr>
          <w:color w:val="000000" w:themeColor="text1"/>
          <w:sz w:val="16"/>
          <w:szCs w:val="16"/>
        </w:rPr>
        <w:softHyphen/>
        <w:t>молетов на аэродромах, танков, САУ и автомашин на походе и на поле боя, а также паровозов и ж.-д. эше</w:t>
      </w:r>
      <w:r w:rsidRPr="00271E51">
        <w:rPr>
          <w:color w:val="000000" w:themeColor="text1"/>
          <w:sz w:val="16"/>
          <w:szCs w:val="16"/>
        </w:rPr>
        <w:softHyphen/>
        <w:t>лонов на станциях и перегонах. При формировании частей истребитель</w:t>
      </w:r>
      <w:r w:rsidRPr="00271E51">
        <w:rPr>
          <w:color w:val="000000" w:themeColor="text1"/>
          <w:sz w:val="16"/>
          <w:szCs w:val="16"/>
        </w:rPr>
        <w:softHyphen/>
        <w:t>ной авиации полки целесообразно делать смешанными, «включающими в свой состав 30—50% самолетов Як с обычным вооружением и 70—50% самолетов с пушкой 37 мм». Полки на Як-9т необходимо комплектовать летным составом с отличной летной и стрелковой подготовкой.</w:t>
      </w:r>
    </w:p>
    <w:p w14:paraId="3ED1A815" w14:textId="77777777" w:rsidR="006F1C24" w:rsidRPr="00271E51" w:rsidRDefault="006F1C2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Требовалось каждый снаряд снабдить трас</w:t>
      </w:r>
      <w:r w:rsidRPr="00271E51">
        <w:rPr>
          <w:color w:val="000000" w:themeColor="text1"/>
          <w:sz w:val="16"/>
          <w:szCs w:val="16"/>
        </w:rPr>
        <w:softHyphen/>
        <w:t>сером, поставить самоликвидатор на дальность 1000 м, сделать пламегаситель (при стрельбе пламя пушки при первом выстреле не дает возможности видеть в прицел самолет противника) (17500).</w:t>
      </w:r>
    </w:p>
    <w:p w14:paraId="0C2A0453" w14:textId="77777777" w:rsidR="006F1C24" w:rsidRPr="00271E51" w:rsidRDefault="006F1C24" w:rsidP="00271E51">
      <w:pPr>
        <w:spacing w:after="0" w:line="240" w:lineRule="auto"/>
        <w:jc w:val="both"/>
        <w:rPr>
          <w:rFonts w:ascii="Times New Roman" w:hAnsi="Times New Roman"/>
          <w:color w:val="000000" w:themeColor="text1"/>
          <w:sz w:val="16"/>
          <w:szCs w:val="16"/>
        </w:rPr>
      </w:pPr>
    </w:p>
    <w:p w14:paraId="42F49DB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D52A2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7F8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В приказе нарком танковой промышленности В.А. Малышев обязал директора Кировского завода И.М. Зальцмана, главного инженера завода С.Н. Махонина, главного конструктора Н.Л. Духова и главного технолога С.А. Хаита немедленно сосредоточить все силы конструкторов и технологов Кировского завода на подготовке производства танка ИС (10703).</w:t>
      </w:r>
    </w:p>
    <w:p w14:paraId="4C425A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8A05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два танка Т-43 установочной партии закончили испытания на НИБТ полигоне, которые шли с 8 августа. Во время этих испытаний одновремен</w:t>
      </w:r>
      <w:r w:rsidRPr="00271E51">
        <w:rPr>
          <w:rFonts w:ascii="Times New Roman" w:hAnsi="Times New Roman"/>
          <w:color w:val="000000" w:themeColor="text1"/>
          <w:sz w:val="16"/>
          <w:szCs w:val="16"/>
        </w:rPr>
        <w:softHyphen/>
        <w:t>но был проведен длительный пробег танка Т-43 по маршруту Нижний Тагил - Челябинск и обратно, который прошел без аварий и поломок. Пробег машины показал, что по-прежнему слабым местом среднего танка оставалась низкая износостойкость резиновых бандажей опорных катков, полностью заимствованных у танка Т-34. Опорные катки не вы</w:t>
      </w:r>
      <w:r w:rsidRPr="00271E51">
        <w:rPr>
          <w:rFonts w:ascii="Times New Roman" w:hAnsi="Times New Roman"/>
          <w:color w:val="000000" w:themeColor="text1"/>
          <w:sz w:val="16"/>
          <w:szCs w:val="16"/>
        </w:rPr>
        <w:softHyphen/>
        <w:t>держивали длительных пробегов танка на высоких скоростях и выходи</w:t>
      </w:r>
      <w:r w:rsidRPr="00271E51">
        <w:rPr>
          <w:rFonts w:ascii="Times New Roman" w:hAnsi="Times New Roman"/>
          <w:color w:val="000000" w:themeColor="text1"/>
          <w:sz w:val="16"/>
          <w:szCs w:val="16"/>
        </w:rPr>
        <w:softHyphen/>
        <w:t>ли из строя до окончания гарантийного пробега. Для танка Т-43 требо</w:t>
      </w:r>
      <w:r w:rsidRPr="00271E51">
        <w:rPr>
          <w:rFonts w:ascii="Times New Roman" w:hAnsi="Times New Roman"/>
          <w:color w:val="000000" w:themeColor="text1"/>
          <w:sz w:val="16"/>
          <w:szCs w:val="16"/>
        </w:rPr>
        <w:softHyphen/>
        <w:t>вались более широкие резиновые бандажи, способные обеспечить нор- . мальную работу опорных катков при возросшей массе машины. По динамическим и эксплуатационным качествам танк Т-43 практически ни- чем не отличался от танка Т-34 и поэтому мог эксплуатироваться в войсках совместно с танками Т-34, не внося особых осложнений при их обслуживании (10703).</w:t>
      </w:r>
    </w:p>
    <w:p w14:paraId="51EFBC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1E73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были проведены испытания стрельбой из танка КВ-85 с ходу по щиту (6x12 м), которые показали, что при скорости танка 10 - 15 км/ч, вероят</w:t>
      </w:r>
      <w:r w:rsidRPr="00271E51">
        <w:rPr>
          <w:rFonts w:ascii="Times New Roman" w:hAnsi="Times New Roman"/>
          <w:color w:val="000000" w:themeColor="text1"/>
          <w:sz w:val="16"/>
          <w:szCs w:val="16"/>
        </w:rPr>
        <w:softHyphen/>
        <w:t>ность попадания составляет более 0,5. При стрельбе на дальности 100 м по броневой преграде, расположенной под углом 30° от вертика</w:t>
      </w:r>
      <w:r w:rsidRPr="00271E51">
        <w:rPr>
          <w:rFonts w:ascii="Times New Roman" w:hAnsi="Times New Roman"/>
          <w:color w:val="000000" w:themeColor="text1"/>
          <w:sz w:val="16"/>
          <w:szCs w:val="16"/>
        </w:rPr>
        <w:softHyphen/>
        <w:t>ли, бронепробиваемость бронебойного снаряда у обоих пушек состави</w:t>
      </w:r>
      <w:r w:rsidRPr="00271E51">
        <w:rPr>
          <w:rFonts w:ascii="Times New Roman" w:hAnsi="Times New Roman"/>
          <w:color w:val="000000" w:themeColor="text1"/>
          <w:sz w:val="16"/>
          <w:szCs w:val="16"/>
        </w:rPr>
        <w:softHyphen/>
        <w:t>ла 98 мм, а на 1000 м - 83 мм. По результатам сравнительных испытаний предпочтение было отда</w:t>
      </w:r>
      <w:r w:rsidRPr="00271E51">
        <w:rPr>
          <w:rFonts w:ascii="Times New Roman" w:hAnsi="Times New Roman"/>
          <w:color w:val="000000" w:themeColor="text1"/>
          <w:sz w:val="16"/>
          <w:szCs w:val="16"/>
        </w:rPr>
        <w:softHyphen/>
        <w:t>но пушке Д-5Т-85. Эта пушка имела ряд преимуществ перед пушкой С-31, прежде всего, в отсутствии уравновешивающих грузов, более сво</w:t>
      </w:r>
      <w:r w:rsidRPr="00271E51">
        <w:rPr>
          <w:rFonts w:ascii="Times New Roman" w:hAnsi="Times New Roman"/>
          <w:color w:val="000000" w:themeColor="text1"/>
          <w:sz w:val="16"/>
          <w:szCs w:val="16"/>
        </w:rPr>
        <w:softHyphen/>
        <w:t>бодного расположения членов экипажа в башне и удобстве работы (за счет более легкого и короткого гильзоулавливателя). Пушка Д-5Т-85, кроме того, имела более устойчивую кучность, меньшую величину уг</w:t>
      </w:r>
      <w:r w:rsidRPr="00271E51">
        <w:rPr>
          <w:rFonts w:ascii="Times New Roman" w:hAnsi="Times New Roman"/>
          <w:color w:val="000000" w:themeColor="text1"/>
          <w:sz w:val="16"/>
          <w:szCs w:val="16"/>
        </w:rPr>
        <w:softHyphen/>
        <w:t>лов вылета снарядов, большую надежность и прочность узлов и меха</w:t>
      </w:r>
      <w:r w:rsidRPr="00271E51">
        <w:rPr>
          <w:rFonts w:ascii="Times New Roman" w:hAnsi="Times New Roman"/>
          <w:color w:val="000000" w:themeColor="text1"/>
          <w:sz w:val="16"/>
          <w:szCs w:val="16"/>
        </w:rPr>
        <w:softHyphen/>
        <w:t>низмов (в первую очередь противооткатных устройств), была более простой и удобной в обслуживании. Эта пушка была рекомендована для принятия на вооружение Красной Армии (10703).</w:t>
      </w:r>
    </w:p>
    <w:p w14:paraId="2C4103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2BAE60" w14:textId="77777777" w:rsidR="000D7A1D" w:rsidRPr="00271E51" w:rsidRDefault="000D7A1D" w:rsidP="00271E51">
      <w:pPr>
        <w:pStyle w:val="ae"/>
        <w:spacing w:before="0" w:after="0"/>
        <w:jc w:val="both"/>
        <w:textAlignment w:val="baseline"/>
        <w:rPr>
          <w:color w:val="000000" w:themeColor="text1"/>
          <w:sz w:val="16"/>
          <w:szCs w:val="16"/>
        </w:rPr>
      </w:pPr>
      <w:r w:rsidRPr="00271E51">
        <w:rPr>
          <w:color w:val="000000" w:themeColor="text1"/>
          <w:sz w:val="16"/>
          <w:szCs w:val="16"/>
        </w:rPr>
        <w:t>К 26 августа 1943 ни одного КВ-85 ЧКЗ ещё не сдал. Сдача происходила в авральной обстановке, например, 16 танков было принято уже 31 августа. Бесследно такие трудовые «подвиги» не прошли. 31 августа в адрес ГАБТУ ушло письмо старшего военпреда на ЧКЗ. Он сообщал, что при подготовке чертежей заводское КБ допустило целый ряд ошибок, следствием которых оказалось полтора десятка дефектов: топливные баки подгонялись по месту, как и снарядные укладки с электрооборудованием, вместо фильтров «Мультициклон» на танки устанавливались более старые «Вортокс», имелись большие проблемы с прицелами. Свою лепту внёс и завод №9, не приславший с орудиями грузы для уравновешивания. Уже принятые машины в сентябре пришлось переделывать. В результате первые 5 танков удалось отгрузить лишь к 9 сентября. Всего же за сентябрь ЧКЗ отгрузил 47 танков, включая 22 августовских (17710).</w:t>
      </w:r>
    </w:p>
    <w:p w14:paraId="07CD88AC" w14:textId="77777777" w:rsidR="000D7A1D" w:rsidRPr="00271E51" w:rsidRDefault="000D7A1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300E242" w14:textId="77777777" w:rsidR="000D7A1D" w:rsidRPr="00271E51" w:rsidRDefault="000D7A1D" w:rsidP="00271E51">
      <w:pPr>
        <w:pStyle w:val="ae"/>
        <w:spacing w:before="0" w:after="0"/>
        <w:jc w:val="both"/>
        <w:textAlignment w:val="baseline"/>
        <w:rPr>
          <w:color w:val="000000" w:themeColor="text1"/>
          <w:sz w:val="16"/>
          <w:szCs w:val="16"/>
        </w:rPr>
      </w:pPr>
      <w:r w:rsidRPr="00271E51">
        <w:rPr>
          <w:color w:val="000000" w:themeColor="text1"/>
          <w:sz w:val="16"/>
          <w:szCs w:val="16"/>
        </w:rPr>
        <w:t>26 августа 1943 года две машины СУ-85 из числа собранных поступили на испытания. Планировалось произвести по 200 выстрелов из каждого орудия, но на практике из орудия №105 выстрелили 251 раз, а из орудия №11 — 300 раз. Испытания стрельбой орудия выдержали, хотя имелись претензии к подвижной бронировке, которая цеплялась за «пояс», прикрывающий карман неподвижной бронировки. Это в свою очередь увеличивало усилие на маховиках механизмов наведения. Комиссия составила список переделок, которые нужно было внести в орудия сентябрьского выпуска.</w:t>
      </w:r>
    </w:p>
    <w:p w14:paraId="03F4EB87" w14:textId="77777777" w:rsidR="000D7A1D" w:rsidRPr="00271E51" w:rsidRDefault="000D7A1D" w:rsidP="00271E51">
      <w:pPr>
        <w:pStyle w:val="ae"/>
        <w:spacing w:before="0" w:after="0"/>
        <w:jc w:val="both"/>
        <w:textAlignment w:val="baseline"/>
        <w:rPr>
          <w:color w:val="000000" w:themeColor="text1"/>
          <w:sz w:val="16"/>
          <w:szCs w:val="16"/>
        </w:rPr>
      </w:pPr>
      <w:r w:rsidRPr="00271E51">
        <w:rPr>
          <w:color w:val="000000" w:themeColor="text1"/>
          <w:sz w:val="16"/>
          <w:szCs w:val="16"/>
        </w:rPr>
        <w:t>Ходовые испытания выдержала одна машина, прошедшая 300 километров. Вторая сломалась на 235-м километре — вышла из строя водяная помпа. На обеих СУ-85 наблюдались проблемы с бандажами — этот дефект наблюдался и на Т-34, и на СУ-122.</w:t>
      </w:r>
    </w:p>
    <w:p w14:paraId="65FC3CBC" w14:textId="77777777" w:rsidR="000D7A1D" w:rsidRPr="00271E51" w:rsidRDefault="000D7A1D" w:rsidP="00271E51">
      <w:pPr>
        <w:spacing w:after="0" w:line="240" w:lineRule="auto"/>
        <w:jc w:val="both"/>
        <w:rPr>
          <w:rFonts w:ascii="Times New Roman" w:hAnsi="Times New Roman"/>
          <w:color w:val="000000" w:themeColor="text1"/>
          <w:sz w:val="16"/>
          <w:szCs w:val="16"/>
        </w:rPr>
      </w:pPr>
    </w:p>
    <w:p w14:paraId="18B2D5F6"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color w:val="000000" w:themeColor="text1"/>
          <w:sz w:val="16"/>
          <w:szCs w:val="16"/>
        </w:rPr>
        <w:t>26 августа 1943 года был подготовлен приказ наркома танковой промышленности №512. В нём инициатива Зальцмана и компании была подвергнута жёсткой, но обоснованной критике. К тому времени стало ясно, что даже ИС-85 является не более чем временным решением. Опыт сражений на Курской дуге показал, что тяжёлым танкам требуется более мощное орудие, нежели Д-5Т. Такое орудие, получившее обозначение Д-25, проектировало КБ завода №9.</w:t>
      </w:r>
    </w:p>
    <w:p w14:paraId="1FC6F3CB"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Расчёты показывали, что при установке Д-25 в ИС-85 боевая масса танка вырастала на 2 тонны, до вполне приемлемых 45–46 тонн. Совсем иначе дело обстояло с КВ-85 и его возможной модернизацией. С новой пушкой его боевая масса могла составить уже 47–48 тонн. Такая перегрузка шасси была уже чрезмерной. Инициативный проект ЧКЗ был отклонён, заводчан обязали заниматься текущей работой по освоению производства КВ-85 и ИС-1, а не прожектёрством.</w:t>
      </w:r>
    </w:p>
    <w:p w14:paraId="2E8379C8"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конце приказа отдельный пункт был адресован непосредственно заводскому руководству:</w:t>
      </w:r>
    </w:p>
    <w:p w14:paraId="04E3A8A1"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«Предупредить директора Кировского завода товарища Зальцмана И.М. и главного инженера завода товарища Махонина С.Н., чтобы впредь не допускать нарушений установленного порядка в разработке новых конструкций танков и внесения предложений об организации производства новых типов танков».</w:t>
      </w:r>
    </w:p>
    <w:p w14:paraId="2CC8DA18"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 этом самодеятельность завода по теме КВ-85, по крайней мере в 1943 году, закончилась. С ноября 1943 года начался выпуск ИС-1, а в декабре ЧКЗ сдал первые ИС-2. Освоение производства новых машин по сложности оказалось сравнимо с освоением КВ-85. Таким образом, победила точка зрения Малышева и Котина, считавших, что именно ИС должен стать основным тяжёлым танком Красной армии.</w:t>
      </w:r>
    </w:p>
    <w:p w14:paraId="306387A3" w14:textId="77777777" w:rsidR="000D7A1D" w:rsidRPr="00271E51" w:rsidRDefault="000D7A1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КВ-85 всё же модернизировали. Правда, происходило это в опытном порядке и уже не по инициативе руководства Кировского завода. Идея усилить вооружение КВ-85 родилась в Центральном артиллерийском конструкторском бюро (ЦАКБ), которое разрабатывало орудие семейства С-34. Как и в КБ завода №9, в ЦАКБ разрабатывали триплекс: на одну и ту же люльку планировалось наложить три разных ствола. Базовой моделью была система калибром 100 мм. Цифра 34 в обозначении новой пушки появилось не случайно: базировалось орудие на баллистике 100-мм морской пушки Б-34 (17722).</w:t>
      </w:r>
    </w:p>
    <w:p w14:paraId="7557458A" w14:textId="77777777" w:rsidR="000D7A1D" w:rsidRPr="00271E51" w:rsidRDefault="000D7A1D" w:rsidP="00271E51">
      <w:pPr>
        <w:spacing w:after="0" w:line="240" w:lineRule="auto"/>
        <w:jc w:val="both"/>
        <w:rPr>
          <w:rFonts w:ascii="Times New Roman" w:hAnsi="Times New Roman"/>
          <w:color w:val="000000" w:themeColor="text1"/>
          <w:sz w:val="16"/>
          <w:szCs w:val="16"/>
        </w:rPr>
      </w:pPr>
    </w:p>
    <w:p w14:paraId="3013AA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была подготовлена ДОКЛАДНАЯ ЗАПИСКА НАЧАЛЬНИКА 5-го ОТДЕЛА УБП БТ и МВ КА НАЧАЛЬНИКУ 1 -го ОТДЕЛА ТУ ГБТУ КА О ВЫЯВЛЕННЫХ НЕДОСТАТКАХ ОГНЕМЕТА АТО-42, УСТАНОВЛЕННОГО НА ТАНКЕ Т-34 №1130905</w:t>
      </w:r>
    </w:p>
    <w:p w14:paraId="7D7B3C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Сообщаю, что эксплуатация танков Т-34 в боевых условиях показала, что огнемет АТО-42, уста</w:t>
      </w:r>
      <w:r w:rsidRPr="00271E51">
        <w:rPr>
          <w:rFonts w:ascii="Times New Roman" w:hAnsi="Times New Roman"/>
          <w:color w:val="000000" w:themeColor="text1"/>
          <w:sz w:val="16"/>
          <w:szCs w:val="16"/>
        </w:rPr>
        <w:softHyphen/>
        <w:t>новленный в танке, имеет ряд недостатков.</w:t>
      </w:r>
    </w:p>
    <w:p w14:paraId="7BC153E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Огнемет установлен в отделении управления танка, что затрудняет работу механика-водителя по управлению танком. Водитель не может уделять должного внимания огнемету и его неисправ</w:t>
      </w:r>
      <w:r w:rsidRPr="00271E51">
        <w:rPr>
          <w:rFonts w:ascii="Times New Roman" w:hAnsi="Times New Roman"/>
          <w:color w:val="000000" w:themeColor="text1"/>
          <w:sz w:val="16"/>
          <w:szCs w:val="16"/>
        </w:rPr>
        <w:softHyphen/>
        <w:t>ностям при стрельбе.</w:t>
      </w:r>
    </w:p>
    <w:p w14:paraId="42BBD9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 время атаки механик-водитель успевает произвести только четыре выстрела, после чего оп должен остановить танк для перезарядки, что практически сделать не всегда удается.</w:t>
      </w:r>
    </w:p>
    <w:p w14:paraId="3B959E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Отсутствие огнеметного прицела влечет за собой неточность в наводке огнемета на цель и снижает эффективность огнеметания.</w:t>
      </w:r>
    </w:p>
    <w:p w14:paraId="75F29C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Малая емкость бака для огнесмеси (10 выстрелов).</w:t>
      </w:r>
    </w:p>
    <w:p w14:paraId="7777B9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сказанного считаю целесообразным поставить на рассмотрение вопрос по уста</w:t>
      </w:r>
      <w:r w:rsidRPr="00271E51">
        <w:rPr>
          <w:rFonts w:ascii="Times New Roman" w:hAnsi="Times New Roman"/>
          <w:color w:val="000000" w:themeColor="text1"/>
          <w:sz w:val="16"/>
          <w:szCs w:val="16"/>
        </w:rPr>
        <w:softHyphen/>
        <w:t>новке огнемета в башне танка на место пулемета ДТ, что позволит вести круговой обстрел из огне</w:t>
      </w:r>
      <w:r w:rsidRPr="00271E51">
        <w:rPr>
          <w:rFonts w:ascii="Times New Roman" w:hAnsi="Times New Roman"/>
          <w:color w:val="000000" w:themeColor="text1"/>
          <w:sz w:val="16"/>
          <w:szCs w:val="16"/>
        </w:rPr>
        <w:softHyphen/>
        <w:t>мета. Необходимо также увеличить емкость для огнесмеси.</w:t>
      </w:r>
    </w:p>
    <w:p w14:paraId="471806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5-го отдела УБП БТ и МВ КА подполковник Парчинский</w:t>
      </w:r>
    </w:p>
    <w:p w14:paraId="7FB13C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ЦАМО. Ф. 38. Оп. 11355. Д. 1370. Л. 140. Подлинник (11403).</w:t>
      </w:r>
    </w:p>
    <w:p w14:paraId="4D5E1F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E4AD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вышло Постановление ГКО № 3978 О частичном восстановлении Сулинского металлургического завода и сооружений Донбассводтреста Наркомчермета в Ростовской области.РГАНИР, Фонд ГКО, д. 146, лл. 188-191 (11012).</w:t>
      </w:r>
    </w:p>
    <w:p w14:paraId="15F28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6C6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вышло Распоряжение ГКО № 3979. Об изготовлении и поставке оборудования для обеспечения паром действующих и вводимых в действие металлургических агрегатов Челябинского металлургического заводов.РГАНИР, Фонд ГКО, д. 146, лл. 192-193, 194 (11012).</w:t>
      </w:r>
    </w:p>
    <w:p w14:paraId="174E45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7C6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вышло Распоряжение ГКО № 3980. Об уменьшении количества лесорам, мобилизуемых в Горьковской обл. для Подмосковного бассейна.РГАНИР, Фонд ГКО, д. 146, лл. 195 (11012).</w:t>
      </w:r>
    </w:p>
    <w:p w14:paraId="60E402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3710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A2356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6B735"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оперативная сводка Совинформбюро:</w:t>
      </w:r>
    </w:p>
    <w:p w14:paraId="449F6DE1"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августа наши войска, наступающие западнее Харькова, продвинулись на отдельных участках вперёд от 4 до 6 километров и заняли несколько населённых пунктов.</w:t>
      </w:r>
    </w:p>
    <w:p w14:paraId="334733B8"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вели бои по улучшению своих позиций.</w:t>
      </w:r>
    </w:p>
    <w:p w14:paraId="4D97F1A9"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w:t>
      </w:r>
    </w:p>
    <w:p w14:paraId="591EB5BD"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августа наши войска на всех фронтах подбили и уничтожили 92 немецких танка. В воздушных боях и огнём зенитной артиллерии сбито 38 самолётов противника.</w:t>
      </w:r>
    </w:p>
    <w:p w14:paraId="0A2EE93B"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продолжали наступление и заняли несколько населённых пунктов. В боях за один населённый пункт части Н-ского соединения разгромили два батальона пехоты противника. Захвачено 17 орудий, 69 пулеметов, 45 автомашин и склад боеприпасов. Взяты пленные. На другом участке советские бойцы отразили неоднократные контратаки гитлеровцев и нанесли им большой урон. Уничтожено свыше 800 немецких солдат и офицеров. Подбито и сожжено 16 танков противника. На плечах отступающих немцев наши подразделения ворвались в крупный населённый пункт, и ведут уличные бои.</w:t>
      </w:r>
    </w:p>
    <w:p w14:paraId="44B6408B"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бойцы Н-ской части в ожесточённом бою уничтожили 600 гитлеровцев, сожгли 9 танков и 2 самоходных орудия противника.</w:t>
      </w:r>
    </w:p>
    <w:p w14:paraId="1ED6F29C"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борьбе против немецких захватчиков советские бойцы показывают отвагу и высокую боевую выучку. На одном участке 16 немецких танков пытались нанести удар во фланг нашей части. Находившийся в засаде танк лейтенанта Паршина открыл огонь и уничтожил 4 немецких средних танка, шедших в голове колонны. Затем т. Паршин перенёс огонь на тяжёлые немецкие танки и подбил 3 танка типа «Тигр». Остальные вражеские машины отступили. Артиллерийская батарея гвардии майора Брылеева в одном бою уничтожила 6 немецких танков и несколько десятков гитлеровцев. Летчик-истребитель младший лейтенант Михеев за десять дней сбил 7 бомбардировщиков и 2 истребителя противника.</w:t>
      </w:r>
    </w:p>
    <w:p w14:paraId="3726038B"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вели бои по улучшению своих позиций. Противник предпринял ряд последовательных контратак, но не добился успеха. Н-ское соединение в ожесточённых боях уничтожило 1.200 немецких солдат и офицеров и взяло 120 пленных. Уничтожено 32 немецких танка, 43 орудия, в том числе 12 самоходных. Захвачено у противника 7 исправных танков, 2 железнодорожных эшелона с боеприпасами и другим военным имуществом.</w:t>
      </w:r>
    </w:p>
    <w:p w14:paraId="4862C02A"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Изюма наши войска, отражая контратаки противника, уничтожили до батальона немецкой пехоты, подбили и сожгли 16 вражеских танков, 3 самоходных орудия и 40 автомашин. На одном участке двенадцать красноармейцев под командованием лейтенанта Веселова вступили в бой с десятью немецкими танками. Наши бойцы гранатами вывели из строя четыре танка противника. Остальные немецкие танки отошли на исходные позиции.</w:t>
      </w:r>
    </w:p>
    <w:p w14:paraId="0F72EED7"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подразделения вели разведывательные действия. Бойцы Н-ской части ворвались в немецкие траншеи и в результате ожесточённой схватки овладели ими. В этом бою противник потерял убитыми более 100 солдат и офицеров.</w:t>
      </w:r>
    </w:p>
    <w:p w14:paraId="474170F1"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подразделения истребили до двух рот пехоты противника, разрушили 23 дзота и 13 землянок. Танкисты под командованием старшего лейтенанта Иваненко за три дня уничтожили 10 немецких полевых орудий, подбили 2 самоходных пушки «Фердинанд» и истребили несколько десятков вражеских пехотинцев.</w:t>
      </w:r>
    </w:p>
    <w:p w14:paraId="3496A84A"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в Финском заливе потоплены сторожевой корабль, сторожевой катер и канонерская лодка противника.</w:t>
      </w:r>
    </w:p>
    <w:p w14:paraId="12C2F773"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15 августа в одном из районов Орловской области партизанский отряд совершил смелый налёт на немецкий гарнизон, расположенный в крупном населённомпункте. Застигнув противника врасплох, партизаны истребили 40 гитлеровцев и захватили 17 пленных. Советские патриоты сожгли склад горючего, склад продовольствия и помещение немецкого штаба. Захвачено знамя воинской части, 2 орудия, 6 пулемётов и 35 винтовок. Партизаны другого отряда уничтожили охрану концентрационного лагеря и освободили находившихся в нём 130 советских граждан.</w:t>
      </w:r>
    </w:p>
    <w:p w14:paraId="5C9BC513" w14:textId="77777777" w:rsidR="000A63D6" w:rsidRPr="00271E51" w:rsidRDefault="000A63D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Взятые в плен немецкие обер-ефрейторы Вилли Рихтер, Гюнтер Фрицше и Гейнц Дате (из 255 артиллерийского полка 255 немецкой пехотной дивизии) рассказали: «В районе Борисовка наш артиллерийский полк вместе с частями других дивизий попал в окружение. Попытки прорвать кольцо остались безуспешными. Русские вскоре разгромили окружённые немецкие части. Многие солдаты сдались в плен. После провала летнего наступления немецких войск на Курск офицеры говорили нам: «Мы потерпели неудачу, и наши потери велики, но эти жертвы принесены не напрасно. Мы ослабили русских и предотвратили их наступление». Однако всё это оказалось неправдой. Русские войска перешли в наступление на широком фронте, а немецкая армия отступает» (14994).</w:t>
      </w:r>
    </w:p>
    <w:p w14:paraId="5EE462FC" w14:textId="77777777" w:rsidR="000A63D6" w:rsidRPr="00271E51" w:rsidRDefault="000A63D6" w:rsidP="00271E51">
      <w:pPr>
        <w:spacing w:after="0" w:line="240" w:lineRule="auto"/>
        <w:jc w:val="both"/>
        <w:rPr>
          <w:rFonts w:ascii="Times New Roman" w:hAnsi="Times New Roman"/>
          <w:color w:val="000000" w:themeColor="text1"/>
          <w:sz w:val="16"/>
          <w:szCs w:val="16"/>
        </w:rPr>
      </w:pPr>
    </w:p>
    <w:p w14:paraId="7AB64BC3" w14:textId="77777777" w:rsidR="00FF36BC" w:rsidRPr="00271E51" w:rsidRDefault="00FF36BC" w:rsidP="00271E51">
      <w:pPr>
        <w:pStyle w:val="ae"/>
        <w:spacing w:before="0" w:after="0"/>
        <w:jc w:val="both"/>
        <w:textAlignment w:val="baseline"/>
        <w:rPr>
          <w:color w:val="000000" w:themeColor="text1"/>
          <w:sz w:val="16"/>
          <w:szCs w:val="16"/>
        </w:rPr>
      </w:pPr>
      <w:r w:rsidRPr="00271E51">
        <w:rPr>
          <w:color w:val="000000" w:themeColor="text1"/>
          <w:sz w:val="16"/>
          <w:szCs w:val="16"/>
        </w:rPr>
        <w:t>26 августа 1943 самолет-разведчик обнаружил в районе мыса Кибергнес очередной германский конвой. По оценке летчиков, он состоял из четырех миноносцев и еще девятнадцати различных кораблей, а в воздухе поблизости барражировали истребители. Для его атаки с аэродрома Ваенга вылетели четыре Ил-2 из 46-го шап, а также три торпедоносца A-20J из 9-го гв. МТАП майора Ф. В. Костькина. Ударную группу сопровождали 16 Як-1, Р-39 и «Харрикейнов». Однако эта операция закончилась полнейшим фиаско.</w:t>
      </w:r>
    </w:p>
    <w:p w14:paraId="3E857F76" w14:textId="77777777" w:rsidR="00FF36BC" w:rsidRPr="00271E51" w:rsidRDefault="00FF36BC" w:rsidP="00271E51">
      <w:pPr>
        <w:pStyle w:val="ae"/>
        <w:spacing w:before="0" w:after="0"/>
        <w:jc w:val="both"/>
        <w:textAlignment w:val="baseline"/>
        <w:rPr>
          <w:color w:val="000000" w:themeColor="text1"/>
          <w:sz w:val="16"/>
          <w:szCs w:val="16"/>
        </w:rPr>
      </w:pPr>
      <w:r w:rsidRPr="00271E51">
        <w:rPr>
          <w:color w:val="000000" w:themeColor="text1"/>
          <w:sz w:val="16"/>
          <w:szCs w:val="16"/>
        </w:rPr>
        <w:t>В 17.03 в районе Сюльт-фьорда советские самолеты попытались выйти на «фашистские транспорты». Но уже при заходе вся группа была атакована «Мессершмиттами», сбившими десять из двадцати трех машин! Среди них были и три «горбатых». И хотя вернувшиеся пилоты сообщили о восемнадцати якобы сбитых ими в воздушном бою «стервятниках», на самом деле все Bf-109G и Bf-110F из JG5 благополучно приземлились на своих аэродромах (19522).</w:t>
      </w:r>
    </w:p>
    <w:p w14:paraId="2277A304" w14:textId="77777777" w:rsidR="00FF36BC" w:rsidRPr="00271E51" w:rsidRDefault="00FF36BC" w:rsidP="00271E51">
      <w:pPr>
        <w:pStyle w:val="ae"/>
        <w:spacing w:before="0" w:after="0"/>
        <w:jc w:val="both"/>
        <w:textAlignment w:val="baseline"/>
        <w:rPr>
          <w:color w:val="000000" w:themeColor="text1"/>
          <w:sz w:val="16"/>
          <w:szCs w:val="16"/>
        </w:rPr>
      </w:pPr>
    </w:p>
    <w:p w14:paraId="62B59F6D"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началась Черниговско-Припятьская наступательная операция войск Центрального фронта (13-я, 48, 65, 60, 61 и 70-я армии, 2-я танковая, и 16-я воздушная армии; с рубежа восточнее Севска, Рыльск, Сумы), продолжавшаяся до 30 сентября. Цель — разгромить противостоящую группировку противника (2-ю армию, часть 9-й армии группы армий «Центр» и часть сил 4-й танковой армии группы армий «Юг»). Решающий успех в операции был достигнут на вспомогательном (Конотопском) направлении 60-й армией (генерал И.Д.Черняховский), куда были перенесены основные усилия Центрального фронта с главного направления. В результате операции, завершившейся 30 сентября, войска Центрального фронта продвинулись на 300 км на запад, освободили города Конотоп, Бахмач и другие, захватили важные плацдармы на Днепре (14994).</w:t>
      </w:r>
    </w:p>
    <w:p w14:paraId="6CB203AB"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0443A69E"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во время Великой Отечественной войны началась битва за Днепр — стратегическая наступательная операция советских войск с целью освобождения Левобережной Украины, Донбасса, Киева и захвата плацдармов на Днепре. По замыслу Ставки ВГК пять фронтов имели задачу выйти к Днепру, разгромить противника в Донбассе и с ходу форсировать Днепр в среднем течении. Два фронта должны были наступать на Смоленском направлении. На фронте от Навли до Таганрога советским войскам противостояли часть сил группы армий «Центр» и основные силы группы армий «Юг». Противник создал стратегический оборонительный рубеж «Восточный вал», основной частью которого являлись укрепления по Днепру. В ходе операции советские войска разгромили группировки противника на Левобережной Украине и в Донбассе, захватили стратегический плацдарм на Днепре, освободили свыше 38 тыс. населенных пунктов, в том числе 160 городов. Создали условия для наступления в Белоруссии и полного освобождения Правобережной Украины. 2438 участников битвы за Днепр были удостоены звания Героя Советского Союза (14994).</w:t>
      </w:r>
    </w:p>
    <w:p w14:paraId="325BB9AA"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03EE86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в выводах отчета 2-го отдела Оператив</w:t>
      </w:r>
      <w:r w:rsidRPr="00271E51">
        <w:rPr>
          <w:rFonts w:ascii="Times New Roman" w:hAnsi="Times New Roman"/>
          <w:color w:val="000000" w:themeColor="text1"/>
          <w:sz w:val="16"/>
          <w:szCs w:val="16"/>
        </w:rPr>
        <w:softHyphen/>
        <w:t>ного управления штаба ВВС КА по анализу потерь авиации от</w:t>
      </w:r>
      <w:r w:rsidRPr="00271E51">
        <w:rPr>
          <w:rFonts w:ascii="Times New Roman" w:hAnsi="Times New Roman"/>
          <w:color w:val="000000" w:themeColor="text1"/>
          <w:sz w:val="16"/>
          <w:szCs w:val="16"/>
        </w:rPr>
        <w:softHyphen/>
        <w:t>мечалось, что из всех летно-технических характеристик именно маневренность самолетов оказывает решающее влияние на бое</w:t>
      </w:r>
      <w:r w:rsidRPr="00271E51">
        <w:rPr>
          <w:rFonts w:ascii="Times New Roman" w:hAnsi="Times New Roman"/>
          <w:color w:val="000000" w:themeColor="text1"/>
          <w:sz w:val="16"/>
          <w:szCs w:val="16"/>
        </w:rPr>
        <w:softHyphen/>
        <w:t>вую живучесть при действиях по наземным целям. В этой связи начальником 2-го отдела полковником А.А. Васильевым и стар</w:t>
      </w:r>
      <w:r w:rsidRPr="00271E51">
        <w:rPr>
          <w:rFonts w:ascii="Times New Roman" w:hAnsi="Times New Roman"/>
          <w:color w:val="000000" w:themeColor="text1"/>
          <w:sz w:val="16"/>
          <w:szCs w:val="16"/>
        </w:rPr>
        <w:softHyphen/>
        <w:t>шим помощником начальника 2-го отдела инженер-майором И.В. Пименовым был даже поставлен вопрос о создании опыт</w:t>
      </w:r>
      <w:r w:rsidRPr="00271E51">
        <w:rPr>
          <w:rFonts w:ascii="Times New Roman" w:hAnsi="Times New Roman"/>
          <w:color w:val="000000" w:themeColor="text1"/>
          <w:sz w:val="16"/>
          <w:szCs w:val="16"/>
        </w:rPr>
        <w:softHyphen/>
        <w:t>ного небронированного штурмовика с хорошей маневренно</w:t>
      </w:r>
      <w:r w:rsidRPr="00271E51">
        <w:rPr>
          <w:rFonts w:ascii="Times New Roman" w:hAnsi="Times New Roman"/>
          <w:color w:val="000000" w:themeColor="text1"/>
          <w:sz w:val="16"/>
          <w:szCs w:val="16"/>
        </w:rPr>
        <w:softHyphen/>
        <w:t>стью и большой скоростью «для поражения живой силы и лег</w:t>
      </w:r>
      <w:r w:rsidRPr="00271E51">
        <w:rPr>
          <w:rFonts w:ascii="Times New Roman" w:hAnsi="Times New Roman"/>
          <w:color w:val="000000" w:themeColor="text1"/>
          <w:sz w:val="16"/>
          <w:szCs w:val="16"/>
        </w:rPr>
        <w:softHyphen/>
        <w:t>кой матчасти» (11474,429).</w:t>
      </w:r>
    </w:p>
    <w:p w14:paraId="70A7CB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23C3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26 августа 1943 г. вышел ПРИКАЗ НАЧАЛЬНИКА ГБТУ КА ОБ ОРГАНИЗАЦИИ ПОСТАВОК РЕМФОНДА НА БРОНЕТАНКОВЫЕ РЕМОНТНЫЕ ЗАВОДЫ №21</w:t>
      </w:r>
    </w:p>
    <w:p w14:paraId="270358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последнее время имеют место случаи длительного простоя железнодорожного подвижного состава, прибывающего на бронетанковые ремонтные заводы с ремфондом боевых машин.</w:t>
      </w:r>
    </w:p>
    <w:p w14:paraId="466EFC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июнь-июль месяцы с.г. в результате несвоевременной переадресовки простой подвижного состава только на ремзаводе №1 выражается в 198 вагоно-часов.</w:t>
      </w:r>
    </w:p>
    <w:p w14:paraId="2AEC12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апрель-июль месяцы с.г. из 689 поданных на ремзаводы вагонов перепростояло 279 вагонов, что составило 2317 вагоно-часов простоя.</w:t>
      </w:r>
    </w:p>
    <w:p w14:paraId="3D8454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сокращения случаев переадресовок и прекращения перепростоя вагонов, прибываю</w:t>
      </w:r>
      <w:r w:rsidRPr="00271E51">
        <w:rPr>
          <w:rFonts w:ascii="Times New Roman" w:hAnsi="Times New Roman"/>
          <w:color w:val="000000" w:themeColor="text1"/>
          <w:sz w:val="16"/>
          <w:szCs w:val="16"/>
        </w:rPr>
        <w:softHyphen/>
        <w:t>щих с ремфондом на ремзаводы, ПРИКАЗЫВАЮ:</w:t>
      </w:r>
    </w:p>
    <w:p w14:paraId="18AE52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Подтвердить командующим БТ и МВ фронтов и армий необходимость направления на рем</w:t>
      </w:r>
      <w:r w:rsidRPr="00271E51">
        <w:rPr>
          <w:rFonts w:ascii="Times New Roman" w:hAnsi="Times New Roman"/>
          <w:color w:val="000000" w:themeColor="text1"/>
          <w:sz w:val="16"/>
          <w:szCs w:val="16"/>
        </w:rPr>
        <w:softHyphen/>
        <w:t>заводы только подлежащих ремонту боевых машин. Все списанные фронтами, не подлежащие вос</w:t>
      </w:r>
      <w:r w:rsidRPr="00271E51">
        <w:rPr>
          <w:rFonts w:ascii="Times New Roman" w:hAnsi="Times New Roman"/>
          <w:color w:val="000000" w:themeColor="text1"/>
          <w:sz w:val="16"/>
          <w:szCs w:val="16"/>
        </w:rPr>
        <w:softHyphen/>
        <w:t>становлению боевые машины направлять в адрес трофейных баз Главвторчермета и на корпусные заводы Наркомтанкопрома.</w:t>
      </w:r>
    </w:p>
    <w:p w14:paraId="729B93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Дать указания командующим БТ и МВ фронтов и армий, какие марки машин направлять на ремонтные заводы с тем, чтобы не было повторных случаев засылки ремфонда боевых машин, не ремонтируемых на заводах.</w:t>
      </w:r>
    </w:p>
    <w:p w14:paraId="5584F8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Установить контроль за правильностью засылки фронтами ремфонда на ремзаводы, требуя от фронтов расследования и привлечения виновных в отправке на ремзаводы не соответствующего производственному профилю завода ремфонда.</w:t>
      </w:r>
    </w:p>
    <w:p w14:paraId="693E37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Установить контроль за временем простоя железнодорожного подвижного состава, во время переадресовок не допускать случаев простоя по вине работников аппарата управления или ремзавода.</w:t>
      </w:r>
    </w:p>
    <w:p w14:paraId="12EC52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Наложить взыскания на виновников перепростоя вагонов на ремзаводе №1 в июне месяце с.г.</w:t>
      </w:r>
    </w:p>
    <w:p w14:paraId="0F363A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ГБТУ КА генерал-майор инженерно-танковой службы Павловский</w:t>
      </w:r>
    </w:p>
    <w:p w14:paraId="2E5E94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11377. Д. 2. Л. 35. Подлинник (11403).</w:t>
      </w:r>
    </w:p>
    <w:p w14:paraId="7D7631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6354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26 августа по 30 сентября 1943 была Черниговско-Припятская операция. Продвинулись на 300 км и освободили Конотоп, Бахмач и захватили плацдармы на Днепре (2443,265).</w:t>
      </w:r>
    </w:p>
    <w:p w14:paraId="0FA811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42D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26 августа 1943 началась битва за Днепр, которая шла до декабря 1943 (3398,307).</w:t>
      </w:r>
    </w:p>
    <w:p w14:paraId="5E6A67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E9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26 августа по 30 сентября 1943 была Черниговско-Припятская операция. Продвинулись на 300 км и освободили Конотоп, Бахмач и захватили плацдармы на Днепре (2443,265).</w:t>
      </w:r>
    </w:p>
    <w:p w14:paraId="384F4C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A25B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CF620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92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послы Англии и США вручили народному комиссару иностранных дел СССР полный текст “исчерпывающих условий” капитуляции Италии, состоявших из 44 статей, которые содержали не только постановления военного характера, но и политические, экономические и финансовые условия, связанные с капитуляцией Италии. 27 августа 1943 г. народный комиссар иностранных дел СССР поставил в известность послов Англии и США о том, что Советское правительство согласно с “исчерпывающими условиями” капитуляции Италии и уполномочивает генерала Эйзенхауэра подписать эти условия от имени Советского правительства, 1 сентября 1943 г. английский посол в СССР сообщил народному комиссару иностванных дел СССР, что “краткие условия”, к которым была добавлена статья 12, гласившая: “Прочие условия политического, экономического и финансового характера, на которые Италия обязана будет согласиться, будут переданы позднее”, были доведены до сведения итальянского правительства. В этой связи посол указывал, что итальянское правительство может прислать представителя, уполномоченного подписать только “краткие условия”. Он просил сообщить, относится ли согласие Советского правительства на подписание “исчерпывающих условий” капитуляции Италии также и к “кратким условиям”. 12 сентября 1943 г. Советское правительство ответило утвердительно. 3 сентября 1943 г. “краткие условия” были подписаны в Сицилии генералов Кастельяно (от Италии); и генералом Беделлом Смитом от имени Объединенных Наций. “Исчерпывающие условия” капитуляции Италии были подписаны на остроге Мальта 29 сентября 1943 г. Бадольо (от Италии) и Эйзенхауэром от имени Объединенных Наций (7430).</w:t>
      </w:r>
    </w:p>
    <w:p w14:paraId="3FCD4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85DB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года было получено:</w:t>
      </w:r>
    </w:p>
    <w:p w14:paraId="474914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РУЗВЕЛЬТ И У. ЧЕРЧИЛЛЬ И. В. СТАЛИНУ*</w:t>
      </w:r>
    </w:p>
    <w:p w14:paraId="59A44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следует решение, к которому мы пришли во время нашего только что закончившегося совещания в Квебеке, относительно военных операций, которые должны быть проведены в течение 1943 и 1944 гг. Мы будем продолжать бомбардировочное наступление против Германии с баз в Соединенном Королевстве и в Италии в быстро увеличивающемся масштабе. Цели этого воздушного наступления будут заключаться в уничтожении военно-воздушных сил Германии, в дезорганизации ее военной, экономической и промышленной системы и в подготовке вторжения через Канал. В настоящее время в Соединенном Королевстве в широких масштабах осуществляется концентрация американских вооруженных сил. Этим будет создана концентрация американских и британских дивизий для действий по ту сторону Канала. Как только на континенте будет создано предмостное укрепление, оно будет неуклонно усиливаться дополнительными американскими войсками со скоростью от трех до пяти дивизий в месяц. Эта операция будет основным американо-британским воздушным и наземным усилием против держав оси. Война на Средиземном море должна вестись энергично. В этом районе наши задач” будут заключаться в том, чтобы оторвать Италию от союза с державами оси, оккупировать ее, а также Корсику и Сардинию как базы для операций против Германии.</w:t>
      </w:r>
    </w:p>
    <w:p w14:paraId="0DAFE7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Балканах операции будут ограничены снабжением балканских партизан по воздуху и по морю, мелкими рейдами десантных отрядов и бомбардировкой стратегических объектов. На Тихом океане и в Юго-Восточной Азии мы ускорим наши операции против Японии. Наши намерения состоят в том, чтобы истощить авиационные, военно-морские и судовые ресурсы Японии, перерезать ее коммуникации и обеспечить базы, с которых можно было бы бомбардировать территорию самой Японии (7430).</w:t>
      </w:r>
    </w:p>
    <w:p w14:paraId="3044D7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1285C"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советское правительство сообщило правительствам США и Великобритании, что оно согласно с их условиями капитуляции Италии (14994).</w:t>
      </w:r>
    </w:p>
    <w:p w14:paraId="19462857"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3386600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установлены дипломатические отношения между СССР и Египтом (4962).</w:t>
      </w:r>
    </w:p>
    <w:p w14:paraId="451FD9B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F134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Советское правительство заявило о признании французского Комитета национального освобождения во главе с г Шарлем де Голем (3186).</w:t>
      </w:r>
    </w:p>
    <w:p w14:paraId="4D64C6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0D04AF"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правительства СССР, США, Великобритании и Канады заявляют о признании Французского комитета национального освобождения (ФКНО) во главе с Шарлем де Голлем (14994).</w:t>
      </w:r>
    </w:p>
    <w:p w14:paraId="44796BC4"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01280EE8" w14:textId="77777777" w:rsidR="00B442A1" w:rsidRPr="00271E51" w:rsidRDefault="00B442A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г. Комитет национального Освобождения Франции был признан союзниками (3871).</w:t>
      </w:r>
    </w:p>
    <w:p w14:paraId="78D07F71" w14:textId="77777777" w:rsidR="00B442A1" w:rsidRPr="00271E51" w:rsidRDefault="00B442A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615D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1711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B345B1"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26 августа в 1943 году катастрофа самолета </w:t>
      </w:r>
      <w:hyperlink r:id="rId77" w:tgtFrame="_blank" w:history="1">
        <w:r w:rsidRPr="00271E51">
          <w:rPr>
            <w:rFonts w:ascii="Times New Roman" w:hAnsi="Times New Roman"/>
            <w:color w:val="000000" w:themeColor="text1"/>
            <w:sz w:val="16"/>
            <w:szCs w:val="16"/>
          </w:rPr>
          <w:t xml:space="preserve">«Ar-232А-010». </w:t>
        </w:r>
      </w:hyperlink>
      <w:r w:rsidRPr="00271E51">
        <w:rPr>
          <w:rFonts w:ascii="Times New Roman" w:hAnsi="Times New Roman"/>
          <w:color w:val="000000" w:themeColor="text1"/>
          <w:sz w:val="16"/>
          <w:szCs w:val="16"/>
        </w:rPr>
        <w:t>Самолет вылетел из норвежского Банака в Бранденбург для планового ремонта и переделки в четырехдвигательный вариант. Радиоконтакт с «Ar-232А-010» был потерян почти сразу после взлета с норвежского аэродрома. Расследование аварии, унесшей жизнь командира экипажа, показало, что правый двигатель отказал еще на этапе набора высоты после взлета в низкой облачности. Для того, чтобы осуществить вынужденную посадку летчик должен был парировать возникший из-за дисбаланса тяги правый крен и разворачивать машину на обратный курс. Маневр был очень трудным, т.к. один мотор еще мог бы удержать самолет в воздухе, но набор высоты был затруднителен. Шютц решил набрать необходимую скорость на снижении, но машина стала терять высоту. "Арадо" вынырнул из облаков на высоте 150 м ниже, чем приближающиеся по курсу горы. Пытаясь перевалить через горную вершину, Шютц потерял так необходимую скорость, самолет рухнул на горный хребет и загорелся. Кроме командира, экипаж не пострадал (14994).</w:t>
      </w:r>
    </w:p>
    <w:p w14:paraId="4785659A"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639797A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1943 Уинстон Черчилль заявил, что на 4 дня уходит в отпуск для рыбалки в Канаде (4962).</w:t>
      </w:r>
    </w:p>
    <w:p w14:paraId="49A242F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F05213" w14:textId="77777777" w:rsidR="00B442A1" w:rsidRPr="00271E51" w:rsidRDefault="00B442A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августа в 1943 году американские ВВС атаковали Гонконг (14994).</w:t>
      </w:r>
    </w:p>
    <w:p w14:paraId="4E899A43" w14:textId="77777777" w:rsidR="00B442A1" w:rsidRPr="00271E51" w:rsidRDefault="00B442A1" w:rsidP="00271E51">
      <w:pPr>
        <w:spacing w:after="0" w:line="240" w:lineRule="auto"/>
        <w:jc w:val="both"/>
        <w:rPr>
          <w:rFonts w:ascii="Times New Roman" w:hAnsi="Times New Roman"/>
          <w:color w:val="000000" w:themeColor="text1"/>
          <w:sz w:val="16"/>
          <w:szCs w:val="16"/>
        </w:rPr>
      </w:pPr>
    </w:p>
    <w:p w14:paraId="0FEFE3D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Авиапромышленность:</w:t>
      </w:r>
    </w:p>
    <w:p w14:paraId="01039C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A4F519"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27 августа 1943 г. приказом по заводу № 842 завод № 18 получил утвержденный директором график производства опытного экземпляра самолета Ил-1 АМ-42, а завод № 1 такого графика еще не имел. Согласно планам 18-го завода «цех сборки сдает машину Ил-1 по техосмотру 14 октября и передает на летную станцию 15 октября». При этом по каждому цеху завода были назначены ответственные работники, лично отвечающие за выдерживание установленных сроков «по отдельным агрегатам» и качество их изготовления (17490).</w:t>
      </w:r>
    </w:p>
    <w:p w14:paraId="0D5B5F68"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Однако работы по самолету Ил-1 шли все же медленными темпами. Как отмечал в сводке по опытным работам на 1 октября помощник военпреда ГУ ИАС ВВС по опытным работам на заводе № 18 старший техник-лейтенант В. В. Никулин, «за изготовлением самолета никто не следит, и вся работа в цехах идет самотеком» (17490).</w:t>
      </w:r>
    </w:p>
    <w:p w14:paraId="0567D4EA" w14:textId="77777777" w:rsidR="00800387" w:rsidRPr="00271E51" w:rsidRDefault="00800387" w:rsidP="00271E51">
      <w:pPr>
        <w:spacing w:after="0" w:line="240" w:lineRule="auto"/>
        <w:jc w:val="both"/>
        <w:rPr>
          <w:rFonts w:ascii="Times New Roman" w:hAnsi="Times New Roman"/>
          <w:color w:val="000000" w:themeColor="text1"/>
          <w:sz w:val="16"/>
          <w:szCs w:val="16"/>
        </w:rPr>
      </w:pPr>
    </w:p>
    <w:p w14:paraId="7B5FBB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ГИ завода 39 Петров направил А.И.Ш. телефонограмму:</w:t>
      </w:r>
    </w:p>
    <w:p w14:paraId="22B0F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получения вашего приказа о разборке и отправке машины Ил-6 по ж/д ли В.К.К. отложил очередной полет.</w:t>
      </w:r>
    </w:p>
    <w:p w14:paraId="79AAFB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27 августа самолет Ил-6 разряжен и начата консервация.</w:t>
      </w:r>
    </w:p>
    <w:p w14:paraId="2F8F0B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приступили к изготовлению тары (1768,253).</w:t>
      </w:r>
    </w:p>
    <w:p w14:paraId="1DB4A4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BF8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августа по 19 сентября 1943 года в 5-ю ВА был командирован инженер-майор И.К.Четверик, который находил</w:t>
      </w:r>
      <w:r w:rsidRPr="00271E51">
        <w:rPr>
          <w:rFonts w:ascii="Times New Roman" w:hAnsi="Times New Roman"/>
          <w:color w:val="000000" w:themeColor="text1"/>
          <w:sz w:val="16"/>
          <w:szCs w:val="16"/>
        </w:rPr>
        <w:softHyphen/>
        <w:t>ся в 302 ИАД. За время пре</w:t>
      </w:r>
      <w:r w:rsidRPr="00271E51">
        <w:rPr>
          <w:rFonts w:ascii="Times New Roman" w:hAnsi="Times New Roman"/>
          <w:color w:val="000000" w:themeColor="text1"/>
          <w:sz w:val="16"/>
          <w:szCs w:val="16"/>
        </w:rPr>
        <w:softHyphen/>
        <w:t>бывания в дивизии он оказал техни</w:t>
      </w:r>
      <w:r w:rsidRPr="00271E51">
        <w:rPr>
          <w:rFonts w:ascii="Times New Roman" w:hAnsi="Times New Roman"/>
          <w:color w:val="000000" w:themeColor="text1"/>
          <w:sz w:val="16"/>
          <w:szCs w:val="16"/>
        </w:rPr>
        <w:softHyphen/>
        <w:t>ческую помощь всем трем полкам — 297-му, 240-му и 193-му ИАП. Рабо</w:t>
      </w:r>
      <w:r w:rsidRPr="00271E51">
        <w:rPr>
          <w:rFonts w:ascii="Times New Roman" w:hAnsi="Times New Roman"/>
          <w:color w:val="000000" w:themeColor="text1"/>
          <w:sz w:val="16"/>
          <w:szCs w:val="16"/>
        </w:rPr>
        <w:softHyphen/>
        <w:t>та моторов М-82ФН характеризова</w:t>
      </w:r>
      <w:r w:rsidRPr="00271E51">
        <w:rPr>
          <w:rFonts w:ascii="Times New Roman" w:hAnsi="Times New Roman"/>
          <w:color w:val="000000" w:themeColor="text1"/>
          <w:sz w:val="16"/>
          <w:szCs w:val="16"/>
        </w:rPr>
        <w:softHyphen/>
        <w:t>лась следующими данными.</w:t>
      </w:r>
    </w:p>
    <w:p w14:paraId="6A09A1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297 ИАП:</w:t>
      </w:r>
    </w:p>
    <w:p w14:paraId="0E84FA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8211093 выпуска ап</w:t>
      </w:r>
      <w:r w:rsidRPr="00271E51">
        <w:rPr>
          <w:rFonts w:ascii="Times New Roman" w:hAnsi="Times New Roman"/>
          <w:color w:val="000000" w:themeColor="text1"/>
          <w:sz w:val="16"/>
          <w:szCs w:val="16"/>
        </w:rPr>
        <w:softHyphen/>
        <w:t>реля месяца 1943 года на 31 августа наработал 55 ч 23 мин, из них в воз</w:t>
      </w:r>
      <w:r w:rsidRPr="00271E51">
        <w:rPr>
          <w:rFonts w:ascii="Times New Roman" w:hAnsi="Times New Roman"/>
          <w:color w:val="000000" w:themeColor="text1"/>
          <w:sz w:val="16"/>
          <w:szCs w:val="16"/>
        </w:rPr>
        <w:softHyphen/>
        <w:t>духе 44 ч 1 1 мин. После 1 1 часов работы мотора произведена регули</w:t>
      </w:r>
      <w:r w:rsidRPr="00271E51">
        <w:rPr>
          <w:rFonts w:ascii="Times New Roman" w:hAnsi="Times New Roman"/>
          <w:color w:val="000000" w:themeColor="text1"/>
          <w:sz w:val="16"/>
          <w:szCs w:val="16"/>
        </w:rPr>
        <w:softHyphen/>
        <w:t>ровка насоса НБ-ЗУ в сторону обед</w:t>
      </w:r>
      <w:r w:rsidRPr="00271E51">
        <w:rPr>
          <w:rFonts w:ascii="Times New Roman" w:hAnsi="Times New Roman"/>
          <w:color w:val="000000" w:themeColor="text1"/>
          <w:sz w:val="16"/>
          <w:szCs w:val="16"/>
        </w:rPr>
        <w:softHyphen/>
        <w:t>нения. После 15 часов заменены све</w:t>
      </w:r>
      <w:r w:rsidRPr="00271E51">
        <w:rPr>
          <w:rFonts w:ascii="Times New Roman" w:hAnsi="Times New Roman"/>
          <w:color w:val="000000" w:themeColor="text1"/>
          <w:sz w:val="16"/>
          <w:szCs w:val="16"/>
        </w:rPr>
        <w:softHyphen/>
        <w:t>чи передней и задней звезды. После 54 ч 23 мин заменены свечи пере</w:t>
      </w:r>
      <w:r w:rsidRPr="00271E51">
        <w:rPr>
          <w:rFonts w:ascii="Times New Roman" w:hAnsi="Times New Roman"/>
          <w:color w:val="000000" w:themeColor="text1"/>
          <w:sz w:val="16"/>
          <w:szCs w:val="16"/>
        </w:rPr>
        <w:softHyphen/>
        <w:t>дней и задней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w:t>
      </w:r>
      <w:r w:rsidRPr="00271E51">
        <w:rPr>
          <w:rFonts w:ascii="Times New Roman" w:hAnsi="Times New Roman"/>
          <w:color w:val="000000" w:themeColor="text1"/>
          <w:sz w:val="16"/>
          <w:szCs w:val="16"/>
        </w:rPr>
        <w:softHyphen/>
        <w:t>роидной коробки РС-2. После устра-</w:t>
      </w:r>
    </w:p>
    <w:p w14:paraId="1E797C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Смена мотора АШ-82ФН в полевых условиях</w:t>
      </w:r>
    </w:p>
    <w:p w14:paraId="35B186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нения указанного дефекта со сторо</w:t>
      </w:r>
      <w:r w:rsidRPr="00271E51">
        <w:rPr>
          <w:rFonts w:ascii="Times New Roman" w:hAnsi="Times New Roman"/>
          <w:color w:val="000000" w:themeColor="text1"/>
          <w:sz w:val="16"/>
          <w:szCs w:val="16"/>
        </w:rPr>
        <w:softHyphen/>
        <w:t>ны летчика и техника никаких жалоб на работу мотора нет.</w:t>
      </w:r>
    </w:p>
    <w:p w14:paraId="767F65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 1073 выпуска ап</w:t>
      </w:r>
      <w:r w:rsidRPr="00271E51">
        <w:rPr>
          <w:rFonts w:ascii="Times New Roman" w:hAnsi="Times New Roman"/>
          <w:color w:val="000000" w:themeColor="text1"/>
          <w:sz w:val="16"/>
          <w:szCs w:val="16"/>
        </w:rPr>
        <w:softHyphen/>
        <w:t>реля месяца 1943 года на 30 августа наработал 51 ч 39 мин. После 16 часов работы мотора поломались две трубки высокого давления цилиндров № 6 и 7 - трубки заменены новыми. После 17 часов обнаружена трещи</w:t>
      </w:r>
      <w:r w:rsidRPr="00271E51">
        <w:rPr>
          <w:rFonts w:ascii="Times New Roman" w:hAnsi="Times New Roman"/>
          <w:color w:val="000000" w:themeColor="text1"/>
          <w:sz w:val="16"/>
          <w:szCs w:val="16"/>
        </w:rPr>
        <w:softHyphen/>
        <w:t>на переходника насоса НБ-ЗУ - пе</w:t>
      </w:r>
      <w:r w:rsidRPr="00271E51">
        <w:rPr>
          <w:rFonts w:ascii="Times New Roman" w:hAnsi="Times New Roman"/>
          <w:color w:val="000000" w:themeColor="text1"/>
          <w:sz w:val="16"/>
          <w:szCs w:val="16"/>
        </w:rPr>
        <w:softHyphen/>
        <w:t>реходник заменен новым. Со сторо</w:t>
      </w:r>
      <w:r w:rsidRPr="00271E51">
        <w:rPr>
          <w:rFonts w:ascii="Times New Roman" w:hAnsi="Times New Roman"/>
          <w:color w:val="000000" w:themeColor="text1"/>
          <w:sz w:val="16"/>
          <w:szCs w:val="16"/>
        </w:rPr>
        <w:softHyphen/>
        <w:t>ны летчика и техника никаких жалоб на работу мотора нет, за исключени</w:t>
      </w:r>
      <w:r w:rsidRPr="00271E51">
        <w:rPr>
          <w:rFonts w:ascii="Times New Roman" w:hAnsi="Times New Roman"/>
          <w:color w:val="000000" w:themeColor="text1"/>
          <w:sz w:val="16"/>
          <w:szCs w:val="16"/>
        </w:rPr>
        <w:softHyphen/>
        <w:t>ем незначительного дымления.</w:t>
      </w:r>
    </w:p>
    <w:p w14:paraId="106038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Мотор № 821 1053 выпуска мар</w:t>
      </w:r>
      <w:r w:rsidRPr="00271E51">
        <w:rPr>
          <w:rFonts w:ascii="Times New Roman" w:hAnsi="Times New Roman"/>
          <w:color w:val="000000" w:themeColor="text1"/>
          <w:sz w:val="16"/>
          <w:szCs w:val="16"/>
        </w:rPr>
        <w:softHyphen/>
        <w:t>та месяца 1943 года на 30 августа наработал 40 часов, из них в воздухе 34 часа. После 9 ч 05 мин работы мотора заменены задние свечи пе</w:t>
      </w:r>
      <w:r w:rsidRPr="00271E51">
        <w:rPr>
          <w:rFonts w:ascii="Times New Roman" w:hAnsi="Times New Roman"/>
          <w:color w:val="000000" w:themeColor="text1"/>
          <w:sz w:val="16"/>
          <w:szCs w:val="16"/>
        </w:rPr>
        <w:softHyphen/>
        <w:t>редней и задней звезды. После 9 ч 05 мин произведена регулировка насоса НБ-ЗУ в сторону обеднения. После 19 ч 20 мин заменены пере</w:t>
      </w:r>
      <w:r w:rsidRPr="00271E51">
        <w:rPr>
          <w:rFonts w:ascii="Times New Roman" w:hAnsi="Times New Roman"/>
          <w:color w:val="000000" w:themeColor="text1"/>
          <w:sz w:val="16"/>
          <w:szCs w:val="16"/>
        </w:rPr>
        <w:softHyphen/>
        <w:t>дние свечи передней и задней звез</w:t>
      </w:r>
      <w:r w:rsidRPr="00271E51">
        <w:rPr>
          <w:rFonts w:ascii="Times New Roman" w:hAnsi="Times New Roman"/>
          <w:color w:val="000000" w:themeColor="text1"/>
          <w:sz w:val="16"/>
          <w:szCs w:val="16"/>
        </w:rPr>
        <w:softHyphen/>
        <w:t>ды. После 19 ч 20 мин вывернулись две шпильки выхлопной трубы, шпиль</w:t>
      </w:r>
      <w:r w:rsidRPr="00271E51">
        <w:rPr>
          <w:rFonts w:ascii="Times New Roman" w:hAnsi="Times New Roman"/>
          <w:color w:val="000000" w:themeColor="text1"/>
          <w:sz w:val="16"/>
          <w:szCs w:val="16"/>
        </w:rPr>
        <w:softHyphen/>
        <w:t>ки заменены новыми.</w:t>
      </w:r>
    </w:p>
    <w:p w14:paraId="566E6F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 ИАП:</w:t>
      </w:r>
    </w:p>
    <w:p w14:paraId="65B75E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8211213 на 15 сен тября 1943 года наработал 39 ча</w:t>
      </w:r>
      <w:r w:rsidRPr="00271E51">
        <w:rPr>
          <w:rFonts w:ascii="Times New Roman" w:hAnsi="Times New Roman"/>
          <w:color w:val="000000" w:themeColor="text1"/>
          <w:sz w:val="16"/>
          <w:szCs w:val="16"/>
        </w:rPr>
        <w:softHyphen/>
        <w:t>сов. После 26 ч 46 мин заменили цилиндры №№ 12 и 13, по причине прострела их из пушки во время вы</w:t>
      </w:r>
      <w:r w:rsidRPr="00271E51">
        <w:rPr>
          <w:rFonts w:ascii="Times New Roman" w:hAnsi="Times New Roman"/>
          <w:color w:val="000000" w:themeColor="text1"/>
          <w:sz w:val="16"/>
          <w:szCs w:val="16"/>
        </w:rPr>
        <w:softHyphen/>
        <w:t>полнения боевого задания. После 27 ч 20 мин заменили насос непосред</w:t>
      </w:r>
      <w:r w:rsidRPr="00271E51">
        <w:rPr>
          <w:rFonts w:ascii="Times New Roman" w:hAnsi="Times New Roman"/>
          <w:color w:val="000000" w:themeColor="text1"/>
          <w:sz w:val="16"/>
          <w:szCs w:val="16"/>
        </w:rPr>
        <w:softHyphen/>
        <w:t>ственного впрыска, по причине полом</w:t>
      </w:r>
      <w:r w:rsidRPr="00271E51">
        <w:rPr>
          <w:rFonts w:ascii="Times New Roman" w:hAnsi="Times New Roman"/>
          <w:color w:val="000000" w:themeColor="text1"/>
          <w:sz w:val="16"/>
          <w:szCs w:val="16"/>
        </w:rPr>
        <w:softHyphen/>
        <w:t>ки пружин насосного элемента. Пос</w:t>
      </w:r>
      <w:r w:rsidRPr="00271E51">
        <w:rPr>
          <w:rFonts w:ascii="Times New Roman" w:hAnsi="Times New Roman"/>
          <w:color w:val="000000" w:themeColor="text1"/>
          <w:sz w:val="16"/>
          <w:szCs w:val="16"/>
        </w:rPr>
        <w:softHyphen/>
        <w:t>ле 27 ч 20 мин заменили три цилин</w:t>
      </w:r>
      <w:r w:rsidRPr="00271E51">
        <w:rPr>
          <w:rFonts w:ascii="Times New Roman" w:hAnsi="Times New Roman"/>
          <w:color w:val="000000" w:themeColor="text1"/>
          <w:sz w:val="16"/>
          <w:szCs w:val="16"/>
        </w:rPr>
        <w:softHyphen/>
        <w:t>дра по дымлению. Во время испыта</w:t>
      </w:r>
      <w:r w:rsidRPr="00271E51">
        <w:rPr>
          <w:rFonts w:ascii="Times New Roman" w:hAnsi="Times New Roman"/>
          <w:color w:val="000000" w:themeColor="text1"/>
          <w:sz w:val="16"/>
          <w:szCs w:val="16"/>
        </w:rPr>
        <w:softHyphen/>
        <w:t>ния мотора на земле загорелся са</w:t>
      </w:r>
      <w:r w:rsidRPr="00271E51">
        <w:rPr>
          <w:rFonts w:ascii="Times New Roman" w:hAnsi="Times New Roman"/>
          <w:color w:val="000000" w:themeColor="text1"/>
          <w:sz w:val="16"/>
          <w:szCs w:val="16"/>
        </w:rPr>
        <w:softHyphen/>
        <w:t>молет с правой стороны (лонжерон самолета). Причина загорания: во время работы мотора на самолетах с моторами М-82ФН пламя нижнего выхлопного патрубка попадало в щель между капотом и лонжероном фюзе</w:t>
      </w:r>
      <w:r w:rsidRPr="00271E51">
        <w:rPr>
          <w:rFonts w:ascii="Times New Roman" w:hAnsi="Times New Roman"/>
          <w:color w:val="000000" w:themeColor="text1"/>
          <w:sz w:val="16"/>
          <w:szCs w:val="16"/>
        </w:rPr>
        <w:softHyphen/>
        <w:t>ляжа. Во время работы мотора от пла</w:t>
      </w:r>
      <w:r w:rsidRPr="00271E51">
        <w:rPr>
          <w:rFonts w:ascii="Times New Roman" w:hAnsi="Times New Roman"/>
          <w:color w:val="000000" w:themeColor="text1"/>
          <w:sz w:val="16"/>
          <w:szCs w:val="16"/>
        </w:rPr>
        <w:softHyphen/>
        <w:t>мени выхлопного патрубка лонжерон постепенно обугливался и впослед</w:t>
      </w:r>
      <w:r w:rsidRPr="00271E51">
        <w:rPr>
          <w:rFonts w:ascii="Times New Roman" w:hAnsi="Times New Roman"/>
          <w:color w:val="000000" w:themeColor="text1"/>
          <w:sz w:val="16"/>
          <w:szCs w:val="16"/>
        </w:rPr>
        <w:softHyphen/>
        <w:t>ствии вызывал загорание. После 36 ч заменили форсунку цилиндра, по причине закупорки каналов иглы фор</w:t>
      </w:r>
      <w:r w:rsidRPr="00271E51">
        <w:rPr>
          <w:rFonts w:ascii="Times New Roman" w:hAnsi="Times New Roman"/>
          <w:color w:val="000000" w:themeColor="text1"/>
          <w:sz w:val="16"/>
          <w:szCs w:val="16"/>
        </w:rPr>
        <w:softHyphen/>
        <w:t>сунки ФБ-10 (металлическая струж</w:t>
      </w:r>
      <w:r w:rsidRPr="00271E51">
        <w:rPr>
          <w:rFonts w:ascii="Times New Roman" w:hAnsi="Times New Roman"/>
          <w:color w:val="000000" w:themeColor="text1"/>
          <w:sz w:val="16"/>
          <w:szCs w:val="16"/>
        </w:rPr>
        <w:softHyphen/>
        <w:t>ка от оборванной резьбы штуцера подвода топлива, попавшая в момент сборки ФБ-10 на заводе №296). После 36 ч произведена перестановка насоса НБ-ЗУ, по причине той, что при замене насос был установлен непра</w:t>
      </w:r>
      <w:r w:rsidRPr="00271E51">
        <w:rPr>
          <w:rFonts w:ascii="Times New Roman" w:hAnsi="Times New Roman"/>
          <w:color w:val="000000" w:themeColor="text1"/>
          <w:sz w:val="16"/>
          <w:szCs w:val="16"/>
        </w:rPr>
        <w:softHyphen/>
        <w:t>вильно, в силу чего не поддавался ре</w:t>
      </w:r>
      <w:r w:rsidRPr="00271E51">
        <w:rPr>
          <w:rFonts w:ascii="Times New Roman" w:hAnsi="Times New Roman"/>
          <w:color w:val="000000" w:themeColor="text1"/>
          <w:sz w:val="16"/>
          <w:szCs w:val="16"/>
        </w:rPr>
        <w:softHyphen/>
        <w:t>гулировке. После перестановки на</w:t>
      </w:r>
      <w:r w:rsidRPr="00271E51">
        <w:rPr>
          <w:rFonts w:ascii="Times New Roman" w:hAnsi="Times New Roman"/>
          <w:color w:val="000000" w:themeColor="text1"/>
          <w:sz w:val="16"/>
          <w:szCs w:val="16"/>
        </w:rPr>
        <w:softHyphen/>
        <w:t>соса НБ-ЗУ, мотор был отрегулиро</w:t>
      </w:r>
      <w:r w:rsidRPr="00271E51">
        <w:rPr>
          <w:rFonts w:ascii="Times New Roman" w:hAnsi="Times New Roman"/>
          <w:color w:val="000000" w:themeColor="text1"/>
          <w:sz w:val="16"/>
          <w:szCs w:val="16"/>
        </w:rPr>
        <w:softHyphen/>
        <w:t>ван по расходам и после опробова</w:t>
      </w:r>
      <w:r w:rsidRPr="00271E51">
        <w:rPr>
          <w:rFonts w:ascii="Times New Roman" w:hAnsi="Times New Roman"/>
          <w:color w:val="000000" w:themeColor="text1"/>
          <w:sz w:val="16"/>
          <w:szCs w:val="16"/>
        </w:rPr>
        <w:softHyphen/>
        <w:t>ния мотора на земле и воздухе жа</w:t>
      </w:r>
      <w:r w:rsidRPr="00271E51">
        <w:rPr>
          <w:rFonts w:ascii="Times New Roman" w:hAnsi="Times New Roman"/>
          <w:color w:val="000000" w:themeColor="text1"/>
          <w:sz w:val="16"/>
          <w:szCs w:val="16"/>
        </w:rPr>
        <w:softHyphen/>
        <w:t>лоб со стороны летного и техничес</w:t>
      </w:r>
      <w:r w:rsidRPr="00271E51">
        <w:rPr>
          <w:rFonts w:ascii="Times New Roman" w:hAnsi="Times New Roman"/>
          <w:color w:val="000000" w:themeColor="text1"/>
          <w:sz w:val="16"/>
          <w:szCs w:val="16"/>
        </w:rPr>
        <w:softHyphen/>
        <w:t>кого состава нет.</w:t>
      </w:r>
    </w:p>
    <w:p w14:paraId="46B53E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8211218 на 15 сен</w:t>
      </w:r>
      <w:r w:rsidRPr="00271E51">
        <w:rPr>
          <w:rFonts w:ascii="Times New Roman" w:hAnsi="Times New Roman"/>
          <w:color w:val="000000" w:themeColor="text1"/>
          <w:sz w:val="16"/>
          <w:szCs w:val="16"/>
        </w:rPr>
        <w:softHyphen/>
        <w:t>тября 1943 года наработал 58 часов, из них в воздухе 53 ч 30 мин. После 7 ч 32 мин отказал насос НБ-ЗУ, по причине поломки трех пружин насос</w:t>
      </w:r>
      <w:r w:rsidRPr="00271E51">
        <w:rPr>
          <w:rFonts w:ascii="Times New Roman" w:hAnsi="Times New Roman"/>
          <w:color w:val="000000" w:themeColor="text1"/>
          <w:sz w:val="16"/>
          <w:szCs w:val="16"/>
        </w:rPr>
        <w:softHyphen/>
        <w:t>ного элемента и поломки штоков плун</w:t>
      </w:r>
      <w:r w:rsidRPr="00271E51">
        <w:rPr>
          <w:rFonts w:ascii="Times New Roman" w:hAnsi="Times New Roman"/>
          <w:color w:val="000000" w:themeColor="text1"/>
          <w:sz w:val="16"/>
          <w:szCs w:val="16"/>
        </w:rPr>
        <w:softHyphen/>
        <w:t>жера. Имеется незначительное под-дымливание мотора, которое не уст</w:t>
      </w:r>
      <w:r w:rsidRPr="00271E51">
        <w:rPr>
          <w:rFonts w:ascii="Times New Roman" w:hAnsi="Times New Roman"/>
          <w:color w:val="000000" w:themeColor="text1"/>
          <w:sz w:val="16"/>
          <w:szCs w:val="16"/>
        </w:rPr>
        <w:softHyphen/>
        <w:t>раняется регулировкой насоса НБ-ЗУ. Жалоб на работу мотора со сто</w:t>
      </w:r>
      <w:r w:rsidRPr="00271E51">
        <w:rPr>
          <w:rFonts w:ascii="Times New Roman" w:hAnsi="Times New Roman"/>
          <w:color w:val="000000" w:themeColor="text1"/>
          <w:sz w:val="16"/>
          <w:szCs w:val="16"/>
        </w:rPr>
        <w:softHyphen/>
        <w:t>роны летчика нет.</w:t>
      </w:r>
    </w:p>
    <w:p w14:paraId="322B4D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 ИАП:</w:t>
      </w:r>
    </w:p>
    <w:p w14:paraId="425B40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8211089 выпуска ап</w:t>
      </w:r>
      <w:r w:rsidRPr="00271E51">
        <w:rPr>
          <w:rFonts w:ascii="Times New Roman" w:hAnsi="Times New Roman"/>
          <w:color w:val="000000" w:themeColor="text1"/>
          <w:sz w:val="16"/>
          <w:szCs w:val="16"/>
        </w:rPr>
        <w:softHyphen/>
        <w:t>реля месяца 1943 года на 16 сен</w:t>
      </w:r>
      <w:r w:rsidRPr="00271E51">
        <w:rPr>
          <w:rFonts w:ascii="Times New Roman" w:hAnsi="Times New Roman"/>
          <w:color w:val="000000" w:themeColor="text1"/>
          <w:sz w:val="16"/>
          <w:szCs w:val="16"/>
        </w:rPr>
        <w:softHyphen/>
        <w:t>тября наработал 90 часов. После 79 ч ослабли болты крепления РС-2 к переходнику. После подтяжки болтов мотор работал устойчиво и со сторо</w:t>
      </w:r>
      <w:r w:rsidRPr="00271E51">
        <w:rPr>
          <w:rFonts w:ascii="Times New Roman" w:hAnsi="Times New Roman"/>
          <w:color w:val="000000" w:themeColor="text1"/>
          <w:sz w:val="16"/>
          <w:szCs w:val="16"/>
        </w:rPr>
        <w:softHyphen/>
        <w:t>ны летчика жалоб не было. Во время полета мотор понемногу дымит, регу</w:t>
      </w:r>
      <w:r w:rsidRPr="00271E51">
        <w:rPr>
          <w:rFonts w:ascii="Times New Roman" w:hAnsi="Times New Roman"/>
          <w:color w:val="000000" w:themeColor="text1"/>
          <w:sz w:val="16"/>
          <w:szCs w:val="16"/>
        </w:rPr>
        <w:softHyphen/>
        <w:t>лировкой насоса НБЗ-У устранить дымление не удалось. Мотор рабо</w:t>
      </w:r>
      <w:r w:rsidRPr="00271E51">
        <w:rPr>
          <w:rFonts w:ascii="Times New Roman" w:hAnsi="Times New Roman"/>
          <w:color w:val="000000" w:themeColor="text1"/>
          <w:sz w:val="16"/>
          <w:szCs w:val="16"/>
        </w:rPr>
        <w:softHyphen/>
        <w:t>тает хорошо и, кроме указанного де</w:t>
      </w:r>
      <w:r w:rsidRPr="00271E51">
        <w:rPr>
          <w:rFonts w:ascii="Times New Roman" w:hAnsi="Times New Roman"/>
          <w:color w:val="000000" w:themeColor="text1"/>
          <w:sz w:val="16"/>
          <w:szCs w:val="16"/>
        </w:rPr>
        <w:softHyphen/>
        <w:t>фекта, жалоб от летчика не поступало.</w:t>
      </w:r>
    </w:p>
    <w:p w14:paraId="41C13A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Аналогичные дефекты выявлялись и в других частях. Как видим, больше всего претензий по-прежнему было к работе свечей. Слюдяные свечи ВГ-12 производ</w:t>
      </w:r>
      <w:r w:rsidRPr="00271E51">
        <w:rPr>
          <w:rFonts w:ascii="Times New Roman" w:hAnsi="Times New Roman"/>
          <w:color w:val="000000" w:themeColor="text1"/>
          <w:sz w:val="16"/>
          <w:szCs w:val="16"/>
        </w:rPr>
        <w:softHyphen/>
        <w:t>ства завода №161 до войны успешно эксплуатировались на моторах М-62. В 1942 году эти же свечи на мото</w:t>
      </w:r>
      <w:r w:rsidRPr="00271E51">
        <w:rPr>
          <w:rFonts w:ascii="Times New Roman" w:hAnsi="Times New Roman"/>
          <w:color w:val="000000" w:themeColor="text1"/>
          <w:sz w:val="16"/>
          <w:szCs w:val="16"/>
        </w:rPr>
        <w:softHyphen/>
        <w:t>рах М-82 при длительных испытаниях на станке, при летных испытаниях са</w:t>
      </w:r>
      <w:r w:rsidRPr="00271E51">
        <w:rPr>
          <w:rFonts w:ascii="Times New Roman" w:hAnsi="Times New Roman"/>
          <w:color w:val="000000" w:themeColor="text1"/>
          <w:sz w:val="16"/>
          <w:szCs w:val="16"/>
        </w:rPr>
        <w:softHyphen/>
        <w:t>молетов Ту-2, Ла-5 и при боевой эксплуатации самолетов Су-2 и Ла-5 отказывали через 10-20 часов рабо</w:t>
      </w:r>
      <w:r w:rsidRPr="00271E51">
        <w:rPr>
          <w:rFonts w:ascii="Times New Roman" w:hAnsi="Times New Roman"/>
          <w:color w:val="000000" w:themeColor="text1"/>
          <w:sz w:val="16"/>
          <w:szCs w:val="16"/>
        </w:rPr>
        <w:softHyphen/>
        <w:t>ты. На М-82ФН они стали работать еще хуже. Основными дефектами их являлись разрушение слюды и отло</w:t>
      </w:r>
      <w:r w:rsidRPr="00271E51">
        <w:rPr>
          <w:rFonts w:ascii="Times New Roman" w:hAnsi="Times New Roman"/>
          <w:color w:val="000000" w:themeColor="text1"/>
          <w:sz w:val="16"/>
          <w:szCs w:val="16"/>
        </w:rPr>
        <w:softHyphen/>
        <w:t>жение свинца на нижнем конусе цен</w:t>
      </w:r>
      <w:r w:rsidRPr="00271E51">
        <w:rPr>
          <w:rFonts w:ascii="Times New Roman" w:hAnsi="Times New Roman"/>
          <w:color w:val="000000" w:themeColor="text1"/>
          <w:sz w:val="16"/>
          <w:szCs w:val="16"/>
        </w:rPr>
        <w:softHyphen/>
        <w:t>трального электрода, вследствие чего происходило замыкание на массу. НКАПу пришлось развернуть ра</w:t>
      </w:r>
      <w:r w:rsidRPr="00271E51">
        <w:rPr>
          <w:rFonts w:ascii="Times New Roman" w:hAnsi="Times New Roman"/>
          <w:color w:val="000000" w:themeColor="text1"/>
          <w:sz w:val="16"/>
          <w:szCs w:val="16"/>
        </w:rPr>
        <w:softHyphen/>
        <w:t>боты по созданию улучшенных слю</w:t>
      </w:r>
      <w:r w:rsidRPr="00271E51">
        <w:rPr>
          <w:rFonts w:ascii="Times New Roman" w:hAnsi="Times New Roman"/>
          <w:color w:val="000000" w:themeColor="text1"/>
          <w:sz w:val="16"/>
          <w:szCs w:val="16"/>
        </w:rPr>
        <w:softHyphen/>
        <w:t>дяных и керамических свечей, для чего дополнительно к ОКБ завода №161 были привлечены ОКБ заводов №306 и №476, занявшиеся разработкой керамических свечей типа СК и СД соответственно (10714).</w:t>
      </w:r>
    </w:p>
    <w:p w14:paraId="2CDEDD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5DAC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августа по 19 сентября 1943 г. инженер-майор И.К.Четверик, военпред завода № 19, находился в 302 ИАД 5-ю ВА. За время пребывания в дивизии он оказал техниче</w:t>
      </w:r>
      <w:r w:rsidRPr="00271E51">
        <w:rPr>
          <w:rFonts w:ascii="Times New Roman" w:hAnsi="Times New Roman"/>
          <w:color w:val="000000" w:themeColor="text1"/>
          <w:sz w:val="16"/>
          <w:szCs w:val="16"/>
        </w:rPr>
        <w:softHyphen/>
        <w:t>скую помощь всем трём полкам — 297-му, 240-му и 193-му ИАП. Работа моторов М-82ФН характеризовалась следующими данными.</w:t>
      </w:r>
    </w:p>
    <w:p w14:paraId="33361EEB"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Style w:val="aff9"/>
          <w:rFonts w:ascii="Times New Roman" w:hAnsi="Times New Roman" w:cs="Times New Roman"/>
          <w:b w:val="0"/>
          <w:color w:val="000000" w:themeColor="text1"/>
          <w:spacing w:val="0"/>
          <w:sz w:val="16"/>
          <w:szCs w:val="16"/>
        </w:rPr>
        <w:t>297 ИАП:</w:t>
      </w:r>
      <w:r w:rsidRPr="00271E51">
        <w:rPr>
          <w:rFonts w:ascii="Times New Roman" w:hAnsi="Times New Roman"/>
          <w:color w:val="000000" w:themeColor="text1"/>
          <w:sz w:val="16"/>
          <w:szCs w:val="16"/>
        </w:rPr>
        <w:t xml:space="preserve"> 1. Мотор № 8211093 выпуска апреля месяца 1943 г. на 31 августа нарабо</w:t>
      </w:r>
      <w:r w:rsidRPr="00271E51">
        <w:rPr>
          <w:rFonts w:ascii="Times New Roman" w:hAnsi="Times New Roman"/>
          <w:color w:val="000000" w:themeColor="text1"/>
          <w:sz w:val="16"/>
          <w:szCs w:val="16"/>
        </w:rPr>
        <w:softHyphen/>
        <w:t>тал 55 ч 23 мин, из них в воздухе 44 ч 11 мин. После 11 часов работы мотора произ</w:t>
      </w:r>
      <w:r w:rsidRPr="00271E51">
        <w:rPr>
          <w:rFonts w:ascii="Times New Roman" w:hAnsi="Times New Roman"/>
          <w:color w:val="000000" w:themeColor="text1"/>
          <w:sz w:val="16"/>
          <w:szCs w:val="16"/>
        </w:rPr>
        <w:softHyphen/>
        <w:t>ведена регулировка насоса НБ-ЗУ в сторону обеднения. После 15 часов заменены свечи передней и задней звезды. После 54 ч 23 мин заменены свечи передней и зад</w:t>
      </w:r>
      <w:r w:rsidRPr="00271E51">
        <w:rPr>
          <w:rFonts w:ascii="Times New Roman" w:hAnsi="Times New Roman"/>
          <w:color w:val="000000" w:themeColor="text1"/>
          <w:sz w:val="16"/>
          <w:szCs w:val="16"/>
        </w:rPr>
        <w:softHyphen/>
        <w:t>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анероидной коробки РС-2. После устранения указанного дефекта со стороны лётчика и техника никаких жалоб на работу мотора нет.</w:t>
      </w:r>
    </w:p>
    <w:p w14:paraId="3E4CDA23"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8211073 выпуска апреля месяца 1943 г. на 30 августа наработал 51 ч 39 мин. После 16 часов работы мотора поломались две трубки высокого давления цилин</w:t>
      </w:r>
      <w:r w:rsidRPr="00271E51">
        <w:rPr>
          <w:rFonts w:ascii="Times New Roman" w:hAnsi="Times New Roman"/>
          <w:color w:val="000000" w:themeColor="text1"/>
          <w:sz w:val="16"/>
          <w:szCs w:val="16"/>
        </w:rPr>
        <w:softHyphen/>
        <w:t>дров № 6 и 7 — трубки заменены новыми. После 17 часов обнаружена трещина переходника насоса НБ-ЗУ — переходник заменён новым. Со стороны лётчика и техника никаких жалоб на работу мотора нет, за исключением незначительного дымления.</w:t>
      </w:r>
    </w:p>
    <w:p w14:paraId="25595678"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Мотор № 8211053 выпуска марта месяца 1943 г. на 30 августа наработал 40 час, из них в воздухе 34 час. После 9 ч 05 мин работы заменены задние свечи передней и зад</w:t>
      </w:r>
      <w:r w:rsidRPr="00271E51">
        <w:rPr>
          <w:rFonts w:ascii="Times New Roman" w:hAnsi="Times New Roman"/>
          <w:color w:val="000000" w:themeColor="text1"/>
          <w:sz w:val="16"/>
          <w:szCs w:val="16"/>
        </w:rPr>
        <w:softHyphen/>
        <w:t>ней звезды. После 9 ч 05 мин произведена регулировка насоса НБ-ЗУ в сторону обед</w:t>
      </w:r>
      <w:r w:rsidRPr="00271E51">
        <w:rPr>
          <w:rFonts w:ascii="Times New Roman" w:hAnsi="Times New Roman"/>
          <w:color w:val="000000" w:themeColor="text1"/>
          <w:sz w:val="16"/>
          <w:szCs w:val="16"/>
        </w:rPr>
        <w:softHyphen/>
        <w:t>нения. После 19 ч 20 мин заменены передние свечи передней и задней звезды. После 19 ч 20 мин вывернулись две шпильки выхлопной трубы, шпильки заменены новыми.</w:t>
      </w:r>
    </w:p>
    <w:p w14:paraId="6F5706B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Style w:val="aff9"/>
          <w:rFonts w:ascii="Times New Roman" w:hAnsi="Times New Roman" w:cs="Times New Roman"/>
          <w:b w:val="0"/>
          <w:color w:val="000000" w:themeColor="text1"/>
          <w:spacing w:val="0"/>
          <w:sz w:val="16"/>
          <w:szCs w:val="16"/>
        </w:rPr>
        <w:t>193 ИАП:</w:t>
      </w:r>
      <w:r w:rsidRPr="00271E51">
        <w:rPr>
          <w:rFonts w:ascii="Times New Roman" w:hAnsi="Times New Roman"/>
          <w:color w:val="000000" w:themeColor="text1"/>
          <w:sz w:val="16"/>
          <w:szCs w:val="16"/>
        </w:rPr>
        <w:t xml:space="preserve"> 1. Мотор № 8211213 на 15 сентября 1943 г. наработал 39 час. После 26 ч 46 мин заменили цилиндры №№ 12 и 13, по причине прострела их из пушки во время выполнения боевого задания. После 27 ч 20 мин заменили насос непосредственного впрыска, по причине поломки пружин насосного элемента. После 27 ч 20 мин замени</w:t>
      </w:r>
      <w:r w:rsidRPr="00271E51">
        <w:rPr>
          <w:rFonts w:ascii="Times New Roman" w:hAnsi="Times New Roman"/>
          <w:color w:val="000000" w:themeColor="text1"/>
          <w:sz w:val="16"/>
          <w:szCs w:val="16"/>
        </w:rPr>
        <w:softHyphen/>
        <w:t>ли три цилиндра по дымлению. Во время испытания мотора на земле загорелся само</w:t>
      </w:r>
      <w:r w:rsidRPr="00271E51">
        <w:rPr>
          <w:rFonts w:ascii="Times New Roman" w:hAnsi="Times New Roman"/>
          <w:color w:val="000000" w:themeColor="text1"/>
          <w:sz w:val="16"/>
          <w:szCs w:val="16"/>
        </w:rPr>
        <w:softHyphen/>
        <w:t>лёт с правой стороны (лонжерон самолёта). Причина загорания: во время работы мотора на самолётах с моторами М-82ФН пламя нижнего выхлопного патрубка попа</w:t>
      </w:r>
      <w:r w:rsidRPr="00271E51">
        <w:rPr>
          <w:rFonts w:ascii="Times New Roman" w:hAnsi="Times New Roman"/>
          <w:color w:val="000000" w:themeColor="text1"/>
          <w:sz w:val="16"/>
          <w:szCs w:val="16"/>
        </w:rPr>
        <w:softHyphen/>
        <w:t>дало в щель между капотом и лонжероном фюзеляжа. Во время работы мотора от пла</w:t>
      </w:r>
      <w:r w:rsidRPr="00271E51">
        <w:rPr>
          <w:rFonts w:ascii="Times New Roman" w:hAnsi="Times New Roman"/>
          <w:color w:val="000000" w:themeColor="text1"/>
          <w:sz w:val="16"/>
          <w:szCs w:val="16"/>
        </w:rPr>
        <w:softHyphen/>
        <w:t>мени выхлопного патрубка лонжерон постепенно обугливался и впоследствии вызывал загорание. После 36 ч заменили форсунку цилиндра, по причине закупорки каналов иг</w:t>
      </w:r>
      <w:r w:rsidRPr="00271E51">
        <w:rPr>
          <w:rFonts w:ascii="Times New Roman" w:hAnsi="Times New Roman"/>
          <w:color w:val="000000" w:themeColor="text1"/>
          <w:sz w:val="16"/>
          <w:szCs w:val="16"/>
        </w:rPr>
        <w:softHyphen/>
        <w:t>лы форсунки ФБ-10 (металлическая стружка от оборванной резьбы штуцера подвода топлива, попавшая в момент сборки ФБ-10 на заводе № 296). После 36 ч произведе</w:t>
      </w:r>
      <w:r w:rsidRPr="00271E51">
        <w:rPr>
          <w:rFonts w:ascii="Times New Roman" w:hAnsi="Times New Roman"/>
          <w:color w:val="000000" w:themeColor="text1"/>
          <w:sz w:val="16"/>
          <w:szCs w:val="16"/>
        </w:rPr>
        <w:softHyphen/>
        <w:t>на перестановка насоса НБ-ЗУ, по причине той, что при замене насос установили не</w:t>
      </w:r>
      <w:r w:rsidRPr="00271E51">
        <w:rPr>
          <w:rFonts w:ascii="Times New Roman" w:hAnsi="Times New Roman"/>
          <w:color w:val="000000" w:themeColor="text1"/>
          <w:sz w:val="16"/>
          <w:szCs w:val="16"/>
        </w:rPr>
        <w:softHyphen/>
        <w:t>правильно, в силу чего не поддавался регулировке. После перестановки насоса НБ-ЗУ, мотор отрегулировали по расходам и после опробования мотора на земле и воздухе жалоб со стороны лётного и технического состава нет.</w:t>
      </w:r>
    </w:p>
    <w:p w14:paraId="78A8B0FA"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8211218 на 15 сентября 1943 г. наработал 58 часов, из них в воздухе 53 ч 30 мин. После 7 ч 32 мин отказал насос НБ-ЗУ, по причине поломки трёх пружин насо</w:t>
      </w:r>
      <w:r w:rsidRPr="00271E51">
        <w:rPr>
          <w:rFonts w:ascii="Times New Roman" w:hAnsi="Times New Roman"/>
          <w:color w:val="000000" w:themeColor="text1"/>
          <w:sz w:val="16"/>
          <w:szCs w:val="16"/>
        </w:rPr>
        <w:softHyphen/>
        <w:t>сного элемента и поломки штоков плунжера. Имеется незначительное поддымливание мотора, которое не устраняется регулировкой насоса НБ-ЗУ. Жалоб на работу мотора со стороны лётчика нет.</w:t>
      </w:r>
    </w:p>
    <w:p w14:paraId="7A9A709C"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Style w:val="aff9"/>
          <w:rFonts w:ascii="Times New Roman" w:hAnsi="Times New Roman" w:cs="Times New Roman"/>
          <w:b w:val="0"/>
          <w:color w:val="000000" w:themeColor="text1"/>
          <w:spacing w:val="0"/>
          <w:sz w:val="16"/>
          <w:szCs w:val="16"/>
        </w:rPr>
        <w:t>240 ИАП:</w:t>
      </w:r>
      <w:r w:rsidRPr="00271E51">
        <w:rPr>
          <w:rFonts w:ascii="Times New Roman" w:hAnsi="Times New Roman"/>
          <w:color w:val="000000" w:themeColor="text1"/>
          <w:sz w:val="16"/>
          <w:szCs w:val="16"/>
        </w:rPr>
        <w:t xml:space="preserve"> 1. Мотор № 8211089 выпуска апреля месяца 1943 г. на 16 сентября нарабо</w:t>
      </w:r>
      <w:r w:rsidRPr="00271E51">
        <w:rPr>
          <w:rFonts w:ascii="Times New Roman" w:hAnsi="Times New Roman"/>
          <w:color w:val="000000" w:themeColor="text1"/>
          <w:sz w:val="16"/>
          <w:szCs w:val="16"/>
        </w:rPr>
        <w:softHyphen/>
        <w:t>тал 90 час. После 79 ч ослабли болты крепления РС-2 к переходнику. После подтяжки болтов мотор работал устойчиво, и со стороны лётчика жалоб не было. Во время полё</w:t>
      </w:r>
      <w:r w:rsidRPr="00271E51">
        <w:rPr>
          <w:rFonts w:ascii="Times New Roman" w:hAnsi="Times New Roman"/>
          <w:color w:val="000000" w:themeColor="text1"/>
          <w:sz w:val="16"/>
          <w:szCs w:val="16"/>
        </w:rPr>
        <w:softHyphen/>
        <w:t>та мотор понемногу дымит, регулировкой насоса НБЗ-У устранить дымление не удалось. Мотор работает хорошо и, кроме указанного дефекта, жалоб от лётчика не поступало.</w:t>
      </w:r>
    </w:p>
    <w:p w14:paraId="11DF1260"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Аналогичные дефекты выявлялись и в других частях.</w:t>
      </w:r>
    </w:p>
    <w:p w14:paraId="35D0B089"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Больше всего претензий по-прежнему было к работе свечей.</w:t>
      </w:r>
    </w:p>
    <w:p w14:paraId="2211526F"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Слюдяные свечи ВГ-12 производства завода № 161 до войны успешно эксплуатирова</w:t>
      </w:r>
      <w:r w:rsidRPr="00271E51">
        <w:rPr>
          <w:rFonts w:ascii="Times New Roman" w:hAnsi="Times New Roman"/>
          <w:color w:val="000000" w:themeColor="text1"/>
          <w:sz w:val="16"/>
          <w:szCs w:val="16"/>
        </w:rPr>
        <w:softHyphen/>
        <w:t>лись на моторах М-62. В 1942 г. эти же свечи на моторах М-82 при длительных испыта</w:t>
      </w:r>
      <w:r w:rsidRPr="00271E51">
        <w:rPr>
          <w:rFonts w:ascii="Times New Roman" w:hAnsi="Times New Roman"/>
          <w:color w:val="000000" w:themeColor="text1"/>
          <w:sz w:val="16"/>
          <w:szCs w:val="16"/>
        </w:rPr>
        <w:softHyphen/>
        <w:t>ниях на станке, при лётных испытаниях Ту-2, Ла-5 и при боевой эксплуатации Су-2 и Ла-5 отказывали через 10-20 часов работы. На М-82ФН они стали работать ещё хуже. Основными дефектами их являлись разрушение слюды и отложение свинца на нижнем конусе централь</w:t>
      </w:r>
      <w:r w:rsidRPr="00271E51">
        <w:rPr>
          <w:rFonts w:ascii="Times New Roman" w:hAnsi="Times New Roman"/>
          <w:color w:val="000000" w:themeColor="text1"/>
          <w:sz w:val="16"/>
          <w:szCs w:val="16"/>
        </w:rPr>
        <w:softHyphen/>
        <w:t>ного электрода, вследствие чего происходило замыкание на массу.</w:t>
      </w:r>
    </w:p>
    <w:p w14:paraId="0D943DED"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НКАП пришлось развернуть рабо</w:t>
      </w:r>
      <w:r w:rsidRPr="00271E51">
        <w:rPr>
          <w:rFonts w:ascii="Times New Roman" w:hAnsi="Times New Roman"/>
          <w:color w:val="000000" w:themeColor="text1"/>
          <w:sz w:val="16"/>
          <w:szCs w:val="16"/>
        </w:rPr>
        <w:softHyphen/>
        <w:t>ты по созданию улучшенных слюдя</w:t>
      </w:r>
      <w:r w:rsidRPr="00271E51">
        <w:rPr>
          <w:rFonts w:ascii="Times New Roman" w:hAnsi="Times New Roman"/>
          <w:color w:val="000000" w:themeColor="text1"/>
          <w:sz w:val="16"/>
          <w:szCs w:val="16"/>
        </w:rPr>
        <w:softHyphen/>
        <w:t>ных и керамических свечей, для чего дополнительно к ОКБ завода № 161 привлекли ОКБ заводов № 306 и № 476, занявшиеся разра</w:t>
      </w:r>
      <w:r w:rsidRPr="00271E51">
        <w:rPr>
          <w:rFonts w:ascii="Times New Roman" w:hAnsi="Times New Roman"/>
          <w:color w:val="000000" w:themeColor="text1"/>
          <w:sz w:val="16"/>
          <w:szCs w:val="16"/>
        </w:rPr>
        <w:softHyphen/>
        <w:t>боткой керамических свечей типа СК и СД, соответственно.</w:t>
      </w:r>
    </w:p>
    <w:p w14:paraId="0B185929"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 дефектом М-82ФН, долго досаждавшим в эксплуатации,</w:t>
      </w:r>
      <w:r w:rsidRPr="00271E51">
        <w:rPr>
          <w:rStyle w:val="aff6"/>
          <w:rFonts w:ascii="Times New Roman" w:eastAsia="Arial Unicode MS" w:hAnsi="Times New Roman" w:cs="Times New Roman"/>
          <w:i w:val="0"/>
          <w:color w:val="000000" w:themeColor="text1"/>
        </w:rPr>
        <w:t xml:space="preserve"> стала</w:t>
      </w:r>
      <w:r w:rsidRPr="00271E51">
        <w:rPr>
          <w:rFonts w:ascii="Times New Roman" w:hAnsi="Times New Roman"/>
          <w:color w:val="000000" w:themeColor="text1"/>
          <w:sz w:val="16"/>
          <w:szCs w:val="16"/>
        </w:rPr>
        <w:t xml:space="preserve"> нестабильная работа регулятора смеси РС-2 насоса НБ-ЗУ. Установили, что автомат смеси РС-2 с серийными анероидами после 15-30 часов работы мотора самопроизвольно обога</w:t>
      </w:r>
      <w:r w:rsidRPr="00271E51">
        <w:rPr>
          <w:rFonts w:ascii="Times New Roman" w:hAnsi="Times New Roman"/>
          <w:color w:val="000000" w:themeColor="text1"/>
          <w:sz w:val="16"/>
          <w:szCs w:val="16"/>
        </w:rPr>
        <w:softHyphen/>
        <w:t>щал смесь, о чём свидетельствовало дымление мотора. Расход горючего возрастал, а скорость и дальность полёта снижались, и требовалась значительная подрегулиров</w:t>
      </w:r>
      <w:r w:rsidRPr="00271E51">
        <w:rPr>
          <w:rFonts w:ascii="Times New Roman" w:hAnsi="Times New Roman"/>
          <w:color w:val="000000" w:themeColor="text1"/>
          <w:sz w:val="16"/>
          <w:szCs w:val="16"/>
        </w:rPr>
        <w:softHyphen/>
        <w:t>ка смеси шайбой анероидов в сторону обеднения.</w:t>
      </w:r>
    </w:p>
    <w:p w14:paraId="402125E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этого дефекта ЦИАМ предложил вариант равновысотных или равно- наполненных анероидов, отличающийся от серийных тем, что в трёх газонаполненных анероидах при их запайке оставлялось остаточное давление воздуха 600-650 мм рт.ст. вместо 400-550 мм у серийных анероидов, что делало анероиды более упругими и равнонаполненными или равновысотными по отношению друг к другу-</w:t>
      </w:r>
    </w:p>
    <w:p w14:paraId="52B6F41E"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ЦЗЛ завода № 133 предложила новую конструкцию комплектов ане</w:t>
      </w:r>
      <w:r w:rsidRPr="00271E51">
        <w:rPr>
          <w:rFonts w:ascii="Times New Roman" w:hAnsi="Times New Roman"/>
          <w:color w:val="000000" w:themeColor="text1"/>
          <w:sz w:val="16"/>
          <w:szCs w:val="16"/>
        </w:rPr>
        <w:softHyphen/>
        <w:t>роидов автомата смеси РС-2 — малогабаритные анероиды (15829).</w:t>
      </w:r>
    </w:p>
    <w:p w14:paraId="4FBFF266"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11C302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вышел приказ НКАП N 516с в исполнение постановления ГКО N 3977 от 25 августа 1943:</w:t>
      </w:r>
    </w:p>
    <w:p w14:paraId="013771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387 Федину увеличить выпуск самолетов У-2 до 10 в день в сентябре 1943</w:t>
      </w:r>
    </w:p>
    <w:p w14:paraId="470497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471 Мартынову прекратить производство самолетов Як-6 и перевести завод на выпуск самолетов У-2, обеспечив начало выпуска в октябре и выпуск 3 в день в декабре 1943</w:t>
      </w:r>
    </w:p>
    <w:p w14:paraId="162D97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Директору завода 464 Перовскому прекратить производство самолетов Як-6 и организовать выпуск самолетов У-2, обеспечив начало выпуска в октябре и выпуск 3 в день в декабре 1943 (1736,4).</w:t>
      </w:r>
    </w:p>
    <w:p w14:paraId="6E09B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57D9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приказом НКАП № 516с во исполнение Постановления ГКО № 3977с от 25 августа 1943 завод № 464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38D04DC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2A453E3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3D7072D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1DF15D3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F91138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0BA68C5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ст. Долгопрудная Московской области, п/я 1078</w:t>
      </w:r>
    </w:p>
    <w:p w14:paraId="0F61BF5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33F6441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09A03919"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2BB33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BDF58B" w14:textId="77777777" w:rsidR="00800387" w:rsidRPr="00271E51" w:rsidRDefault="0080038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года была подготовлена справка:</w:t>
      </w:r>
    </w:p>
    <w:p w14:paraId="0C819B55" w14:textId="77777777" w:rsidR="00800387" w:rsidRPr="00271E51" w:rsidRDefault="0080038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ЦКАБ – начальник Грабин (9274).</w:t>
      </w:r>
    </w:p>
    <w:p w14:paraId="6330CA71" w14:textId="77777777" w:rsidR="00800387" w:rsidRPr="00271E51" w:rsidRDefault="00800387"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D344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г. вышло РАСПОРЯЖЕНИЕ НАЧАЛЬНИКА ТУ ГБТУ КА ДИРЕКТОРУ И СТАРШЕМУ ВОЕНПРЕДУ ЗАВОДА №174 О ПРОВЕДЕНИИ ИСПЫТАНИЙ КПП ТАНКА Т-34 № 36-223</w:t>
      </w:r>
    </w:p>
    <w:p w14:paraId="00FB32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программе испытаний на прочность конической пары шестерен КПП Т-34, присланной Вами, прошу внести изменения в километраж пробега, установив его в 1000 км вместо предусмотренных программой 500 км.</w:t>
      </w:r>
    </w:p>
    <w:p w14:paraId="3FBF6E6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километража пробега вызывается тем, что в связи с переходом на угол зацепления в 20° требуется проверка зубьев по прочности не только на изгиб, но и на усталость поверхностного слоя.</w:t>
      </w:r>
    </w:p>
    <w:p w14:paraId="2DFAA7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Появление усталости поверхностного слоя профиля зубьев характеризуется образованием питингов, которое может начаться примерно через 3x10</w:t>
      </w:r>
      <w:r w:rsidRPr="00271E51">
        <w:rPr>
          <w:rFonts w:ascii="Times New Roman" w:hAnsi="Times New Roman"/>
          <w:color w:val="000000" w:themeColor="text1"/>
          <w:sz w:val="16"/>
          <w:szCs w:val="16"/>
          <w:vertAlign w:val="superscript"/>
        </w:rPr>
        <w:t>6</w:t>
      </w:r>
      <w:r w:rsidRPr="00271E51">
        <w:rPr>
          <w:rFonts w:ascii="Times New Roman" w:hAnsi="Times New Roman"/>
          <w:color w:val="000000" w:themeColor="text1"/>
          <w:sz w:val="16"/>
          <w:szCs w:val="16"/>
        </w:rPr>
        <w:t xml:space="preserve"> перемен нагрузок, что соответствует 750 — 1000 км пути пробега.</w:t>
      </w:r>
    </w:p>
    <w:p w14:paraId="03FCA9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начале испытаний прошу сообщить для командирования представителя ТУ ГБТУ КА.</w:t>
      </w:r>
    </w:p>
    <w:p w14:paraId="0F0D8B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ТУ ГБТУ КА инженер-подполковник Муравич</w:t>
      </w:r>
    </w:p>
    <w:p w14:paraId="15A236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6 отдела ТУ ГБТУ КА инженер-подполковник Солонин</w:t>
      </w:r>
    </w:p>
    <w:p w14:paraId="0B1BAD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3606. Л. 94. Подлинник (11403).</w:t>
      </w:r>
    </w:p>
    <w:p w14:paraId="3FE5B9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A99C1" w14:textId="77777777" w:rsidR="00800387" w:rsidRPr="00271E51" w:rsidRDefault="00800387" w:rsidP="00271E51">
      <w:pPr>
        <w:pStyle w:val="ae"/>
        <w:shd w:val="clear" w:color="auto" w:fill="FFFFFF"/>
        <w:spacing w:before="0" w:after="0"/>
        <w:jc w:val="both"/>
        <w:rPr>
          <w:color w:val="000000" w:themeColor="text1"/>
          <w:sz w:val="16"/>
          <w:szCs w:val="16"/>
        </w:rPr>
      </w:pPr>
      <w:r w:rsidRPr="00271E51">
        <w:rPr>
          <w:color w:val="000000" w:themeColor="text1"/>
          <w:sz w:val="16"/>
          <w:szCs w:val="16"/>
        </w:rPr>
        <w:t>27 августа 1943 года в Тулу отправился эшелон №10/993 с 27 Т-80, предназначавшимися 54-му отдельному танковому полку. 54 Т-80 «основной» серии были распределены между двумя танковыми полками. Ещё 27 танков ушло эшелоном №10/235 на укомплектование 230-го танкового полка, также находившегося в Туле. Поначалу экипажам пришлось «повоевать» со своими новыми машинами. Качество их сборки оставалось довольно низким, что быстро выявилось при обучении танкистов. Ломались торсионы, выпадали шарики из погона башни, были обнаружены дефекты в бортовых передачах.</w:t>
      </w:r>
    </w:p>
    <w:p w14:paraId="76896716" w14:textId="77777777" w:rsidR="00800387" w:rsidRPr="00271E51" w:rsidRDefault="00800387"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Так сложилось, что оба полка, вооружённых Т-80, действовали совместно с кавалерийскими соединениями. 230-й танковый полк с 8 октября 1943 года действовал совместно со 2-й гвардейской кавалерийской дивизией. Его первым боевым заданием стало форсирование Днепра. К моменту введения в бой на вооружении 230-го тп имелось 10 Т-34, 18 Т-80 и 1 Т-70. 10 октября полк, взаимодействуя с кавалеристами, штурмовал Затонск. При этом отличилась 1-я танковая рота под командованием старшего лейтенанта А.В. Оганесяна, имевшая на вооружении 4 Т-34 и 3 Т-80. Танки использовались не только для поддержки кавалерии, но и как средство доставки кавалеристов до места боя. За 10 число полк потерял 1 Т-80 сгоревшим и 2 подбитыми. На следующий день танки полка выручали кавалеристов, окружённых в Сычёвке. 12 октября снова шли упорные бои за Затонск. В их ходе удалось уничтожить 3 САУ (вероятнее всего, </w:t>
      </w:r>
      <w:hyperlink r:id="rId78" w:history="1">
        <w:r w:rsidRPr="00271E51">
          <w:rPr>
            <w:rStyle w:val="a5"/>
            <w:color w:val="000000" w:themeColor="text1"/>
            <w:sz w:val="16"/>
            <w:szCs w:val="16"/>
          </w:rPr>
          <w:t>Marder</w:t>
        </w:r>
      </w:hyperlink>
      <w:r w:rsidRPr="00271E51">
        <w:rPr>
          <w:color w:val="000000" w:themeColor="text1"/>
          <w:sz w:val="16"/>
          <w:szCs w:val="16"/>
        </w:rPr>
        <w:t xml:space="preserve">), 6 </w:t>
      </w:r>
      <w:hyperlink r:id="rId79" w:history="1">
        <w:r w:rsidRPr="00271E51">
          <w:rPr>
            <w:rStyle w:val="a5"/>
            <w:color w:val="000000" w:themeColor="text1"/>
            <w:sz w:val="16"/>
            <w:szCs w:val="16"/>
          </w:rPr>
          <w:t>Pz.Kpfw.III</w:t>
        </w:r>
      </w:hyperlink>
      <w:r w:rsidRPr="00271E51">
        <w:rPr>
          <w:color w:val="000000" w:themeColor="text1"/>
          <w:sz w:val="16"/>
          <w:szCs w:val="16"/>
        </w:rPr>
        <w:t xml:space="preserve"> и </w:t>
      </w:r>
      <w:hyperlink r:id="rId80" w:history="1">
        <w:r w:rsidRPr="00271E51">
          <w:rPr>
            <w:rStyle w:val="a5"/>
            <w:color w:val="000000" w:themeColor="text1"/>
            <w:sz w:val="16"/>
            <w:szCs w:val="16"/>
          </w:rPr>
          <w:t>Pz.Kpfw.IV</w:t>
        </w:r>
      </w:hyperlink>
      <w:r w:rsidRPr="00271E51">
        <w:rPr>
          <w:color w:val="000000" w:themeColor="text1"/>
          <w:sz w:val="16"/>
          <w:szCs w:val="16"/>
        </w:rPr>
        <w:t xml:space="preserve">, 2 </w:t>
      </w:r>
      <w:hyperlink r:id="rId81" w:history="1">
        <w:r w:rsidRPr="00271E51">
          <w:rPr>
            <w:rStyle w:val="a5"/>
            <w:color w:val="000000" w:themeColor="text1"/>
            <w:sz w:val="16"/>
            <w:szCs w:val="16"/>
          </w:rPr>
          <w:t>БТР</w:t>
        </w:r>
      </w:hyperlink>
      <w:r w:rsidRPr="00271E51">
        <w:rPr>
          <w:color w:val="000000" w:themeColor="text1"/>
          <w:sz w:val="16"/>
          <w:szCs w:val="16"/>
        </w:rPr>
        <w:t xml:space="preserve">, 1 </w:t>
      </w:r>
      <w:hyperlink r:id="rId82" w:history="1">
        <w:r w:rsidRPr="00271E51">
          <w:rPr>
            <w:rStyle w:val="a5"/>
            <w:color w:val="000000" w:themeColor="text1"/>
            <w:sz w:val="16"/>
            <w:szCs w:val="16"/>
          </w:rPr>
          <w:t>бронемашину</w:t>
        </w:r>
      </w:hyperlink>
      <w:r w:rsidRPr="00271E51">
        <w:rPr>
          <w:color w:val="000000" w:themeColor="text1"/>
          <w:sz w:val="16"/>
          <w:szCs w:val="16"/>
        </w:rPr>
        <w:t xml:space="preserve"> и 3 </w:t>
      </w:r>
      <w:hyperlink r:id="rId83" w:history="1">
        <w:r w:rsidRPr="00271E51">
          <w:rPr>
            <w:rStyle w:val="a5"/>
            <w:color w:val="000000" w:themeColor="text1"/>
            <w:sz w:val="16"/>
            <w:szCs w:val="16"/>
          </w:rPr>
          <w:t>грузовика</w:t>
        </w:r>
      </w:hyperlink>
      <w:r w:rsidRPr="00271E51">
        <w:rPr>
          <w:color w:val="000000" w:themeColor="text1"/>
          <w:sz w:val="16"/>
          <w:szCs w:val="16"/>
        </w:rPr>
        <w:t>. Потери советских танкистов составили 3 сгоревших Т-80 и 2 подбитых Т-34, 5 человек убитыми и 10 ранеными. Действовавший вместе с ними 7-й гвардейский кавалерийский полк потерял 7 человек убитыми и 30 ранеными.</w:t>
      </w:r>
    </w:p>
    <w:p w14:paraId="1044BF71" w14:textId="77777777" w:rsidR="00800387" w:rsidRPr="00271E51" w:rsidRDefault="00800387" w:rsidP="00271E51">
      <w:pPr>
        <w:pStyle w:val="ae"/>
        <w:shd w:val="clear" w:color="auto" w:fill="FFFFFF"/>
        <w:spacing w:before="0" w:after="0"/>
        <w:jc w:val="both"/>
        <w:rPr>
          <w:color w:val="000000" w:themeColor="text1"/>
          <w:sz w:val="16"/>
          <w:szCs w:val="16"/>
        </w:rPr>
      </w:pPr>
      <w:r w:rsidRPr="00271E51">
        <w:rPr>
          <w:color w:val="000000" w:themeColor="text1"/>
          <w:sz w:val="16"/>
          <w:szCs w:val="16"/>
        </w:rPr>
        <w:t>Упорные бои за Затонск продолжались несколько дней. Всего в период с 10 по 20 октября 230-й тп потерял убитыми 20 человек, ранеными 28, 1 танкист пропал без вести. К 3 ноября в составе части оставалось 4 Т-34, 12 Т-80 и 1 Т-70.</w:t>
      </w:r>
    </w:p>
    <w:p w14:paraId="3870FCB0" w14:textId="77777777" w:rsidR="00800387" w:rsidRPr="00271E51" w:rsidRDefault="00800387" w:rsidP="00271E51">
      <w:pPr>
        <w:pStyle w:val="ae"/>
        <w:shd w:val="clear" w:color="auto" w:fill="FFFFFF"/>
        <w:spacing w:before="0" w:after="0"/>
        <w:jc w:val="both"/>
        <w:rPr>
          <w:color w:val="000000" w:themeColor="text1"/>
          <w:sz w:val="16"/>
          <w:szCs w:val="16"/>
        </w:rPr>
      </w:pPr>
      <w:r w:rsidRPr="00271E51">
        <w:rPr>
          <w:color w:val="000000" w:themeColor="text1"/>
          <w:sz w:val="16"/>
          <w:szCs w:val="16"/>
        </w:rPr>
        <w:t>5 ноября полк получил задачу во взаимодействии с кавалеристами атаковать Раковку и создать там опорный пункт. Действуя совместно с кавалерией, к 11 ноября танкисты вышли в район города Коростышев Житомирской области. Потери полка: 1 Т-34 сгоревшим и 1 Т-80 подбитым.</w:t>
      </w:r>
    </w:p>
    <w:p w14:paraId="619AACF9" w14:textId="77777777" w:rsidR="00800387" w:rsidRPr="00271E51" w:rsidRDefault="0080038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14 числу полк был в Житомире. На следующий день немецкие войска контратаковали, завязались тяжёлые оборонительные бои. 19 ноября погиб командир полка подполковник Д.А. Щербаков (по другим данным, здесь он был тяжело ранен, а погиб 1 апреля 1945 года). В ходе боёв за Житомир полк потерял 5 танков, 8 человек было убито, 10 ранено, без вести пропало 22. Житомир 19 ноября снова оказался в руках немецких войск, освободили его только 31 декабря. 230-й танковый полк отправился на переформирование (17712).</w:t>
      </w:r>
    </w:p>
    <w:p w14:paraId="05EAB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BD75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C0FDD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AC6006"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lastRenderedPageBreak/>
        <w:t xml:space="preserve">27 августа 1943 года Сводка Совинформбюро </w:t>
      </w:r>
    </w:p>
    <w:p w14:paraId="3AECB034"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течение 27 августа наши войска, наступающие западнее ХАРЬКОВА, продвинулись на отдельных участках вперёд от 5 до 8 километров и заняли несколько населённых пунктов. Районный центр КОТЕЛЬВА, несколько раз переходивший из рук в руки, вновь занят нашими войсками.</w:t>
      </w:r>
    </w:p>
    <w:p w14:paraId="2530958E"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районе южнее БРЯНСКА наши войска вели наступательные бои, в результате которых сломили сопротивление противника и заняли свыше 20 населённых пунктов, в том числе город СЕВСК.</w:t>
      </w:r>
    </w:p>
    <w:p w14:paraId="53E63A2F"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Донбассе, в районе юго-западнее ВОРОШИЛОВГРАДА, наши войска продолжали успешное наступление.</w:t>
      </w:r>
    </w:p>
    <w:p w14:paraId="4252EF7F"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На других участках фронта наши войска вели боевую разведку.</w:t>
      </w:r>
    </w:p>
    <w:p w14:paraId="02BAAD7D"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течение 26 августа наши войска на всех фронтах подбили и уничтожили 63 немецких танка. В воздушных боях и огнём зенитной артиллерии сбит 61 самолёт противника.</w:t>
      </w:r>
    </w:p>
    <w:p w14:paraId="4E9E396D"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Западнее Харькова наши войска, преодолевая сопротивление противника, продолжали наступление и заняли ряд населённых пунктов. В боях за эти пункты уничтожено до полка немецкой пехоты. Бойцы Н-ского соединения за три дня боёв южнее и юго-западнее г. Ахтырка истребили более 2.000 немецких солдат и офицеров, подбили и сожгли 76 танков, 13 бронемашин и 20 орудий. Захвачено у противника 16 танков, 27 бронемашин, 4 железнодорожных эшелона, 2 склада с продовольствием и другие трофеи. Южнее Харькова наши войска отражали ожесточённые контратаки танков и пехоты противника. За день боёв подбито и уничтожено 23 немецких танка и нанесён серьёзный урон живой силе противника.</w:t>
      </w:r>
    </w:p>
    <w:p w14:paraId="270DDA1A"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Советские бойцы и офицеры в борьбе против немецких захватчиков показываю тобразцы доблести и геройства. Расчёт противотанкового орудия старшего сержанта Руцкого в одном бою уничтожил 2 немецких танка и несколько десятков автоматчиков противника. Группа бойцов из подразделения капитана Данильяна подобралась к немецкому самоходному орудию «Фердинанд», обстреливавшему наши боевые порядки.Красноармейцы подорвали ходовую часть и захватили орудие. Танковый экипаж лейтенанта Дмитриева в боях за один населённый пункт уничтожил 2 немецких танка,6 автомашин и истребил до роты гитлеровцев.</w:t>
      </w:r>
    </w:p>
    <w:p w14:paraId="5974D735"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районе южнее Брянска наши войска вели наступательные бои, заняли свыше 20 населённых пунктов, в том числе город Севск.</w:t>
      </w:r>
    </w:p>
    <w:p w14:paraId="7270FC32"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Наступление на Севск советские войска начали севернее и южнее города. После мощной артиллерийской и авиационной подготовки наши части прорвали оборону немцев и, сломив их упорное сопротивление, продвинулись вперёд. В это же время бойцы Н-ского соединения атаковали город с востока. Противник не выдержал ударов нашей пехоты, артиллерии и танков. После ожесточённых боёв советские части овладели городом Севск. В боях за город уничтожено более 5.000 немецких солдат и офицеров. Взято в плен 700 гитлеровцев. Захвачены трофеи.</w:t>
      </w:r>
    </w:p>
    <w:p w14:paraId="7387F23D"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Наша авиация активно поддерживала наступление наземных войск. В течение дня наши самолёты совершили три массированных налёта на войска и позиции противника.В результате ударов авиации немцы понесли тяжёлые потери. В воздушных боях сбито 26 самолётов противника.</w:t>
      </w:r>
    </w:p>
    <w:p w14:paraId="4164F38A"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В Донбассе, юго-западнее Ворошиловграда, наши войска вели успешные боевые действия, в результате которых продвинулись вперёд. Части Н-ского соединения истребили 800 гитлеровцев и захватили 2 немецких танка, 11 орудий, 34 пулемёта и склад боеприпасов.</w:t>
      </w:r>
    </w:p>
    <w:p w14:paraId="58DFC5D4"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На одном участке Северо-Западного фронта немецкая пехота атаковала наши позиции. Советские бойцы открыли огонь и уничтожили до роты гитлеровцев. На поле боя подобраны брошенные немцами 8 пулемётов, 6 гранатомётов и другое вооружение.На другом участке наши разведчики совершили налёт на сильно укреплённый опорный пункт противника, истребили 60 немецких солдат и офицеров и захватили 11 мелкокалиберных пушек.</w:t>
      </w:r>
    </w:p>
    <w:p w14:paraId="1BB547E9"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Авиацией Краснознамённого Балтийского флота потоплены немецкий транспорт водоизмещением в 3.000 тонн и сторожевой корабль противника.</w:t>
      </w:r>
    </w:p>
    <w:p w14:paraId="14946CB8"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Немецкий самолёт «Мессершмитт-109» совершил посадку на поле прифронтового совхоза «Красная волна», Харьковской области. Бригадир совхоза Иван Семёнович Зелинский обезоружил немецкого лётчика и поручил нескольким рабочим доставить его в штаб советской части. Тем временем другой немецкий лётчик, убедившись, что в поле находятся штатские безоружные люди, также совершил посадку. Немецкий лётчик выстрелил из пистолета в Зелинского, но промахнулся. Ловким ударом советский патриот вышиб из рук гитлеровца пистолет и задержал его. Оба немецких лётчика были переданы подоспевшим красноармейцам. Самолёты в полной исправности сданы советской авиационной части.</w:t>
      </w:r>
    </w:p>
    <w:p w14:paraId="1D1B95BA"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Несколько белорусских партизанских отрядов, действующих в районах Витебской и Вилейской областей, провели успешную операцию по разрушению путей сообщения противника. Взорваны несколько железнодорожных и шоссейных мостов. На крупной железнодорожной станции партизаны уничтожили все входные и выходные стрелки, семафор и эшелон с различными военными грузами. На другой железнодорожной станции сожжены немецкие воинские склады с горючим, боеприпасами, продовольствием и фуражом. Взято в плен 147 вражеских солдат. Захвачены большие трофеи. Партизаны отряда имени Ворошилова, действующего в Полесской области, напали на охрану железнодорожной станции. Немцы были застигнуты врасплох и разбежались. Взято в плен 142 солдата и офицера противника. Советские патриоты захватили большие трофеи.</w:t>
      </w:r>
    </w:p>
    <w:p w14:paraId="464BD3F7"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Северо-восточнее Новороссийска наши подразделения разгромили штаб батальона 116 немецкого гренадерского полка.</w:t>
      </w:r>
    </w:p>
    <w:p w14:paraId="660F8AF0"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Среди захваченных штабных документов обнаружен приказ командира 116 полка —  полковника Эбб о борьбе с партизанским движением. В приказе говорится: «В лесных районах сильно возросла деятельность партизан. Ядро партизан состоит из местных жителей. Партизаны совершают многочисленные нападения на воинские команды и обозы, направляющиеся к передовой. Бесследно исчезают солдаты и офицеры немецкой армии. В соседней дивизии не возвратилась в часть команда по доставке фуража. В другом соединении 20 солдат убили своего командира и ушли к партизанам». Перепуганный немецкий полковник в этом приказе обязал свои подразделения в дальнейшем посылать обозы только под сильной охраной.</w:t>
      </w:r>
    </w:p>
    <w:p w14:paraId="7D51FBB7" w14:textId="77777777" w:rsidR="00C504D8" w:rsidRPr="00271E51" w:rsidRDefault="00C504D8" w:rsidP="00271E51">
      <w:pPr>
        <w:pStyle w:val="ae"/>
        <w:spacing w:before="0" w:after="0"/>
        <w:jc w:val="both"/>
        <w:rPr>
          <w:color w:val="000000" w:themeColor="text1"/>
          <w:sz w:val="16"/>
          <w:szCs w:val="16"/>
        </w:rPr>
      </w:pPr>
      <w:r w:rsidRPr="00271E51">
        <w:rPr>
          <w:color w:val="000000" w:themeColor="text1"/>
          <w:sz w:val="16"/>
          <w:szCs w:val="16"/>
        </w:rPr>
        <w:t>Пленный командир взвода бронемашин 19 немецкой танковой дивизии лейтенант Курт Лоттергус рассказал: «Девятнадцатая танковая дивизия считалась одной из лучших в немецкой армии. Поэтому, когда русские в районе Белгорода за несколько дней разгромили дивизию, мы все были потрясены. Жалкие остатки дивизии были спешно отведены в ближний тыл. Но и здесь нам не дали достаточно времени, чтобы привести себя в порядок, и опять бросили в бой. Восточнее Грайворона мы попали в окружение. Многие экипажи бронемашин бросили свою технику и разбежались.Дальнейшее сопротивление было бесполезно. Я приказал своим экипажам сложить оружие и сдаться в плен»</w:t>
      </w:r>
      <w:r w:rsidRPr="00271E51">
        <w:rPr>
          <w:rStyle w:val="ucoz-forum-post"/>
          <w:rFonts w:eastAsia="Times New Roman"/>
          <w:color w:val="000000" w:themeColor="text1"/>
          <w:sz w:val="16"/>
          <w:szCs w:val="16"/>
        </w:rPr>
        <w:t xml:space="preserve"> (14751)</w:t>
      </w:r>
      <w:r w:rsidRPr="00271E51">
        <w:rPr>
          <w:color w:val="000000" w:themeColor="text1"/>
          <w:sz w:val="16"/>
          <w:szCs w:val="16"/>
        </w:rPr>
        <w:t>.</w:t>
      </w:r>
    </w:p>
    <w:p w14:paraId="4D329636"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28B983D7" w14:textId="77777777" w:rsidR="00543FC4" w:rsidRPr="00271E51" w:rsidRDefault="00543FC4" w:rsidP="00271E51">
      <w:pPr>
        <w:pStyle w:val="book"/>
        <w:ind w:firstLine="0"/>
        <w:jc w:val="both"/>
        <w:rPr>
          <w:color w:val="000000" w:themeColor="text1"/>
          <w:sz w:val="16"/>
          <w:szCs w:val="16"/>
        </w:rPr>
      </w:pPr>
      <w:r w:rsidRPr="00271E51">
        <w:rPr>
          <w:color w:val="000000" w:themeColor="text1"/>
          <w:sz w:val="16"/>
          <w:szCs w:val="16"/>
        </w:rPr>
        <w:t>На 27 августа 1943 г. перед авиацией 16 воздушной армии была поставлена задача: в целях содействия наступлению наших войск нанести сильный удар по живой силе и боевой технике противника в районе Шведчиковы. Сосредоточенный удар, в котором принимало участие большое количество самолётов всех видов авиации, нанёс противнику исключительно большие потери в боевой технике и живой силе, в результате чего этот район был занят нашими войсками.</w:t>
      </w:r>
    </w:p>
    <w:p w14:paraId="700389FF" w14:textId="77777777" w:rsidR="00543FC4" w:rsidRPr="00271E51" w:rsidRDefault="00543FC4" w:rsidP="00271E51">
      <w:pPr>
        <w:pStyle w:val="book"/>
        <w:ind w:firstLine="0"/>
        <w:jc w:val="both"/>
        <w:rPr>
          <w:color w:val="000000" w:themeColor="text1"/>
          <w:sz w:val="16"/>
          <w:szCs w:val="16"/>
        </w:rPr>
      </w:pPr>
      <w:r w:rsidRPr="00271E51">
        <w:rPr>
          <w:color w:val="000000" w:themeColor="text1"/>
          <w:sz w:val="16"/>
          <w:szCs w:val="16"/>
        </w:rPr>
        <w:t>Комиссией штаба 16 воздушной армии, специально назначенной для проверки эффективности действия авиации, было установлено, что после воздушной атаки только в близлежащих деревнях противником было похоронено до 500 трупов; раненых, по заявлениям местных жителей, было еще больше. Кроме того, большое количество трупов было оставлено противником не убранным (18737).</w:t>
      </w:r>
    </w:p>
    <w:p w14:paraId="52D1F2FF" w14:textId="77777777" w:rsidR="00543FC4" w:rsidRPr="00271E51" w:rsidRDefault="00543FC4" w:rsidP="00271E51">
      <w:pPr>
        <w:pStyle w:val="book"/>
        <w:ind w:firstLine="0"/>
        <w:jc w:val="both"/>
        <w:rPr>
          <w:color w:val="000000" w:themeColor="text1"/>
          <w:sz w:val="16"/>
          <w:szCs w:val="16"/>
        </w:rPr>
      </w:pPr>
    </w:p>
    <w:p w14:paraId="5B6408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г. СООБЩЕНИЕ НАЧАЛЬНИКА ГЛАВНОГО РАЗВЕДЫВАТЕЛЬНОГО УПРАВЛЕНИЯ КА КОМАНДУЮЩЕМУ БТ и МВ КА О РЕОРГАНИЗАЦИИ РУКОВОДЯЩИХ ОРГАНОВ МОТОМЕХАНИЗИРОВАННЫХ ВОЙСК НЕМЕЦКОЙ АРМИИ №237801</w:t>
      </w:r>
    </w:p>
    <w:p w14:paraId="279814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прилагаемым документальным данным, переданным англичанами нашей Военной миссии в Лондоне, руководящие органы мотомеханизированных войск немецкой армии подвер</w:t>
      </w:r>
      <w:r w:rsidRPr="00271E51">
        <w:rPr>
          <w:rFonts w:ascii="Times New Roman" w:hAnsi="Times New Roman"/>
          <w:color w:val="000000" w:themeColor="text1"/>
          <w:sz w:val="16"/>
          <w:szCs w:val="16"/>
        </w:rPr>
        <w:softHyphen/>
        <w:t>глись весной 1943 г. реорганизации. Суть этой реорганизации сводится к следующему:</w:t>
      </w:r>
    </w:p>
    <w:p w14:paraId="105590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 1 апреля 1943 г. подвижные войска (шнелль-труппен), как род войск в немецкой армии упразднены.</w:t>
      </w:r>
    </w:p>
    <w:p w14:paraId="3D9F74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Взамен их создан новый род войск — бронетанковые войска (панцер-труппен).</w:t>
      </w:r>
    </w:p>
    <w:p w14:paraId="2953FF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состав бронетанковых войск (панцер-труппен) включены следующие части:</w:t>
      </w:r>
    </w:p>
    <w:p w14:paraId="167C00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танковые полки танковых дивизий и РГК;</w:t>
      </w:r>
    </w:p>
    <w:p w14:paraId="2E3C3A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отдельные танковые батальоны соединений и РГК;</w:t>
      </w:r>
    </w:p>
    <w:p w14:paraId="57944F6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танковые гренадерские полки (мотострелковые полки танковых дивизий);</w:t>
      </w:r>
    </w:p>
    <w:p w14:paraId="6FB79A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гренадерские и мушкетерские стрелковые полки (моторизованные полки моторизованных дивизий);</w:t>
      </w:r>
    </w:p>
    <w:p w14:paraId="71A970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противотанковые части войсковых соединений;</w:t>
      </w:r>
    </w:p>
    <w:p w14:paraId="0C581B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моторизованные отряды;</w:t>
      </w:r>
    </w:p>
    <w:p w14:paraId="2B36C4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противотанковые разведывательные отряды;</w:t>
      </w:r>
    </w:p>
    <w:p w14:paraId="6F28CB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бронепоезда.</w:t>
      </w:r>
    </w:p>
    <w:p w14:paraId="0B01D4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 состава бронетанковых войск исключены ранее входившие в подвижные войска кавале</w:t>
      </w:r>
      <w:r w:rsidRPr="00271E51">
        <w:rPr>
          <w:rFonts w:ascii="Times New Roman" w:hAnsi="Times New Roman"/>
          <w:color w:val="000000" w:themeColor="text1"/>
          <w:sz w:val="16"/>
          <w:szCs w:val="16"/>
        </w:rPr>
        <w:softHyphen/>
        <w:t>рийские и велосипедные части с переводом их в пехоту.</w:t>
      </w:r>
    </w:p>
    <w:p w14:paraId="604560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состав бронетанковых войск не включены: артиллерийские полки, саперные части и части связи танковых и моторизованных дивизий с подчинением их, по-видимому, по линии комплектова</w:t>
      </w:r>
      <w:r w:rsidRPr="00271E51">
        <w:rPr>
          <w:rFonts w:ascii="Times New Roman" w:hAnsi="Times New Roman"/>
          <w:color w:val="000000" w:themeColor="text1"/>
          <w:sz w:val="16"/>
          <w:szCs w:val="16"/>
        </w:rPr>
        <w:softHyphen/>
        <w:t>ния, обучения и снабжения соответствующими родами войск.</w:t>
      </w:r>
    </w:p>
    <w:p w14:paraId="60A237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Ликвидируется должность командующего подвижными войсками при генеральном штабе сухопутной армии.</w:t>
      </w:r>
    </w:p>
    <w:p w14:paraId="4A43D0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Взамен его при верховном командовании вооруженных сил Германии введена должность генерального инспектора бронетанковых войск, с непосредственным </w:t>
      </w:r>
      <w:r w:rsidRPr="00271E51">
        <w:rPr>
          <w:rFonts w:ascii="Times New Roman" w:hAnsi="Times New Roman"/>
          <w:color w:val="000000" w:themeColor="text1"/>
          <w:sz w:val="16"/>
          <w:szCs w:val="16"/>
        </w:rPr>
        <w:lastRenderedPageBreak/>
        <w:t>подчинением верховному главнокомандующему.</w:t>
      </w:r>
    </w:p>
    <w:p w14:paraId="269514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Генеральный инспектор бронетанковых войск является офицером данного рода войск и по положению приравнен к командующему группой армий.</w:t>
      </w:r>
    </w:p>
    <w:p w14:paraId="403B87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 функции генерального инспектора бронетанковых войск входит:</w:t>
      </w:r>
    </w:p>
    <w:p w14:paraId="46BCF3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несет ответственность перед верховным командованием за дальнейшее развитие бронетанко</w:t>
      </w:r>
      <w:r w:rsidRPr="00271E51">
        <w:rPr>
          <w:rFonts w:ascii="Times New Roman" w:hAnsi="Times New Roman"/>
          <w:color w:val="000000" w:themeColor="text1"/>
          <w:sz w:val="16"/>
          <w:szCs w:val="16"/>
        </w:rPr>
        <w:softHyphen/>
        <w:t>вых войск;</w:t>
      </w:r>
    </w:p>
    <w:p w14:paraId="59C44A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руководит боевой подготовкой бронетанковых войск;</w:t>
      </w:r>
    </w:p>
    <w:p w14:paraId="5A5DA8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отвечает за комплектование, организацию и формирование частей;</w:t>
      </w:r>
    </w:p>
    <w:p w14:paraId="561A5E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планирует и организует снабжение частей автобронетанковым вооружением;</w:t>
      </w:r>
    </w:p>
    <w:p w14:paraId="4CB4FC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ведает усовершенствованием материальной части;</w:t>
      </w:r>
    </w:p>
    <w:p w14:paraId="5642D7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инспектирует бронетанковые войска;</w:t>
      </w:r>
    </w:p>
    <w:p w14:paraId="5D4E4C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разрабатывает уставы, наставления и инструкции на основе изучения опыта войны.</w:t>
      </w:r>
    </w:p>
    <w:p w14:paraId="1FE552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Генеральному инспектору бронетанковых войск постоянно подчинены резервные и учебные части бронетанковых войск и бронетанковые училища.</w:t>
      </w:r>
    </w:p>
    <w:p w14:paraId="3B8C86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Для увязки вопросов оперативного использования бронетанковых войск при начальнике генерального штаба сухопутной армии учреждена должность офицера по бронетанковым войскам.</w:t>
      </w:r>
    </w:p>
    <w:p w14:paraId="1920B1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Для управления бронепоездами при главном командовании сухопутной армии создан штаб командующего бронепоездами.</w:t>
      </w:r>
    </w:p>
    <w:p w14:paraId="164364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имеющимся в Главном разведывательном управлении Красной Армии неподтвержденным данным, генеральным инспектором бронетанковых войск немецкой армии является генерал-пол</w:t>
      </w:r>
      <w:r w:rsidRPr="00271E51">
        <w:rPr>
          <w:rFonts w:ascii="Times New Roman" w:hAnsi="Times New Roman"/>
          <w:color w:val="000000" w:themeColor="text1"/>
          <w:sz w:val="16"/>
          <w:szCs w:val="16"/>
        </w:rPr>
        <w:softHyphen/>
        <w:t>ковник Гудериан Гейнц.</w:t>
      </w:r>
    </w:p>
    <w:p w14:paraId="326370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p>
    <w:p w14:paraId="2BDB82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Перевод с английского немецкого руководства «Реорганизация и переименование подвижных войск («Шнелль-труппен») и создание нового рода войск — бронетанковых («Панцер-труппен»)».</w:t>
      </w:r>
    </w:p>
    <w:p w14:paraId="1F2457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Перевод с английского немецкого руководства «Служебное наставление для генерального инспектора танковых войск».</w:t>
      </w:r>
    </w:p>
    <w:p w14:paraId="504C8B3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 начальника Главного разведывательного управления Красной Армии</w:t>
      </w:r>
    </w:p>
    <w:p w14:paraId="238578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генерал-лейтенант Ильичев</w:t>
      </w:r>
    </w:p>
    <w:p w14:paraId="525D3C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436. Л. 136-139. Подлинник (11403).</w:t>
      </w:r>
    </w:p>
    <w:p w14:paraId="5DF96A9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7ACA9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августа 1943 в течение трех дней самолеты Р-10 23-го ШАП предпринимали атаки немецкого конвоя в районе косы Кривая и Беглицкая, заставляя противника возвращаться в исходные пункты (11456).</w:t>
      </w:r>
    </w:p>
    <w:p w14:paraId="35BA00D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3BBFA5C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247A3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5568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августа 1943 жертвами планирующих бомб стали флагман 1-й группы поддержки британский шлюп “Эгрет”, который был потоплен и получивший тяжелейшие повреждения канадский эсминец 'Этабаскан”. Так англичане впервые столкнулись с губительным воздействием планирующих бомб. Но всего этого оказалось, по-видимому, слишком мало, чтобы в Адмиралтействе всерьез занялись поиском способов борьбы с ними (9524).</w:t>
      </w:r>
    </w:p>
    <w:p w14:paraId="5489C5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38DB7"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 августа 1943, спустя всего два дня после попытки удара по HMS Bideford управляемыми ракетами, впервые потопили корабль. Эскадрилья из восемнадцати самолетов KG 100 Dornier Do 217, запускающих планирующие бомбы Henschel Hs 293 и топят корабль Королевского флота HMS Egret в Бискайского заливе с потерей 198 жизней. В этом же ударе эсминец HMCS Athabaskan Королевского флота Канады получает тяжелые повреждения от попаданий Hs 293, в то время как эсминец Королевского флота HMS Grenville уклоняется от повреждений, переворачивая Hs 293, когда немецкие бомбардировщики запускают их по одному. Потеря Эгрет и повреждение Атабаскана привели к тому, что союзники остановили противолодочные патрули в Бискайском заливе с надводных кораблей (20376).</w:t>
      </w:r>
    </w:p>
    <w:p w14:paraId="03C066B6" w14:textId="77777777" w:rsidR="008C5B40" w:rsidRPr="00271E51" w:rsidRDefault="008C5B40" w:rsidP="00271E51">
      <w:pPr>
        <w:spacing w:after="0" w:line="240" w:lineRule="auto"/>
        <w:jc w:val="both"/>
        <w:rPr>
          <w:rFonts w:ascii="Times New Roman" w:hAnsi="Times New Roman"/>
          <w:color w:val="0070C0"/>
          <w:sz w:val="16"/>
          <w:szCs w:val="16"/>
        </w:rPr>
      </w:pPr>
    </w:p>
    <w:p w14:paraId="0730F8F3"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27–28 августа (ночь) 1943 674 британских бомбардировщика атакуют Нюрнберг, потеряв 33 самолета. Несмотря на ясное небо, очень темно, и у многих самолетов были проблемы с установками радаров H2S и со слышимостью указаний главного бомбардировщика, и поэтому результаты налета – неудовлетворительны (20376).</w:t>
      </w:r>
    </w:p>
    <w:p w14:paraId="7CCB2D2C" w14:textId="77777777" w:rsidR="008C5B40" w:rsidRPr="00271E51" w:rsidRDefault="008C5B40" w:rsidP="00271E51">
      <w:pPr>
        <w:spacing w:after="0" w:line="240" w:lineRule="auto"/>
        <w:jc w:val="both"/>
        <w:rPr>
          <w:rFonts w:ascii="Times New Roman" w:hAnsi="Times New Roman"/>
          <w:color w:val="0070C0"/>
          <w:sz w:val="16"/>
          <w:szCs w:val="16"/>
        </w:rPr>
      </w:pPr>
    </w:p>
    <w:p w14:paraId="44662E4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F0AF0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B759A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приказом по НКАП все авиазаводы, выпускающие Ил-2, были обязаны устанавливать в системе управления рулем высоты амортизаци</w:t>
      </w:r>
      <w:r w:rsidRPr="00271E51">
        <w:rPr>
          <w:rFonts w:ascii="Times New Roman" w:hAnsi="Times New Roman"/>
          <w:color w:val="000000" w:themeColor="text1"/>
          <w:sz w:val="16"/>
          <w:szCs w:val="16"/>
        </w:rPr>
        <w:softHyphen/>
        <w:t>онную пружину и контрбалансир (11215).</w:t>
      </w:r>
    </w:p>
    <w:p w14:paraId="71F60D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24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на ЛИС 39 завода произошла авария самолета N 5263904 производства 39 завода (л А.А.Холодов), который при посадке в темноте врезался в автостартер (2109).</w:t>
      </w:r>
    </w:p>
    <w:p w14:paraId="46F6C4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CAE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Приказом НКАП все заводы, выпускающие Ил-2, обязывались устанавливать амортизационную пружину и контрбалансир (12020).</w:t>
      </w:r>
    </w:p>
    <w:p w14:paraId="29EA9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41C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были подготовлены Отчетные данные о себестоимости самолетов и моторов с учетом стоимости готовых изделий, заложенных в проекте отпускных цен на 1943-й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2403"/>
        <w:gridCol w:w="1985"/>
        <w:gridCol w:w="2692"/>
      </w:tblGrid>
      <w:tr w:rsidR="00A907A5" w:rsidRPr="00271E51" w14:paraId="14D2EEA8" w14:textId="77777777" w:rsidTr="00ED5B0A">
        <w:tc>
          <w:tcPr>
            <w:tcW w:w="2235" w:type="dxa"/>
          </w:tcPr>
          <w:p w14:paraId="6C511D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изделия</w:t>
            </w:r>
          </w:p>
        </w:tc>
        <w:tc>
          <w:tcPr>
            <w:tcW w:w="1282" w:type="dxa"/>
          </w:tcPr>
          <w:p w14:paraId="7EE507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w:t>
            </w:r>
          </w:p>
        </w:tc>
        <w:tc>
          <w:tcPr>
            <w:tcW w:w="2403" w:type="dxa"/>
          </w:tcPr>
          <w:p w14:paraId="33709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Отчетная себестоимость</w:t>
            </w:r>
          </w:p>
        </w:tc>
        <w:tc>
          <w:tcPr>
            <w:tcW w:w="1985" w:type="dxa"/>
          </w:tcPr>
          <w:p w14:paraId="012373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480F7A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F3ABB2" w14:textId="77777777" w:rsidTr="00ED5B0A">
        <w:tc>
          <w:tcPr>
            <w:tcW w:w="2235" w:type="dxa"/>
          </w:tcPr>
          <w:p w14:paraId="7B1A61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2" w:type="dxa"/>
          </w:tcPr>
          <w:p w14:paraId="3E1938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отпускн.</w:t>
            </w:r>
          </w:p>
        </w:tc>
        <w:tc>
          <w:tcPr>
            <w:tcW w:w="2403" w:type="dxa"/>
          </w:tcPr>
          <w:p w14:paraId="6886D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кв.</w:t>
            </w:r>
          </w:p>
        </w:tc>
        <w:tc>
          <w:tcPr>
            <w:tcW w:w="1985" w:type="dxa"/>
          </w:tcPr>
          <w:p w14:paraId="17F239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кв.</w:t>
            </w:r>
          </w:p>
        </w:tc>
        <w:tc>
          <w:tcPr>
            <w:tcW w:w="2692" w:type="dxa"/>
          </w:tcPr>
          <w:p w14:paraId="429E10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w:t>
            </w:r>
          </w:p>
        </w:tc>
      </w:tr>
      <w:tr w:rsidR="00A907A5" w:rsidRPr="00271E51" w14:paraId="70542459" w14:textId="77777777" w:rsidTr="00ED5B0A">
        <w:tc>
          <w:tcPr>
            <w:tcW w:w="2235" w:type="dxa"/>
          </w:tcPr>
          <w:p w14:paraId="530EB1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2" w:type="dxa"/>
          </w:tcPr>
          <w:p w14:paraId="75BC02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цены НКАП</w:t>
            </w:r>
          </w:p>
        </w:tc>
        <w:tc>
          <w:tcPr>
            <w:tcW w:w="2403" w:type="dxa"/>
          </w:tcPr>
          <w:p w14:paraId="48C5EA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BC85F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0109CE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D48962" w14:textId="77777777" w:rsidTr="00ED5B0A">
        <w:tc>
          <w:tcPr>
            <w:tcW w:w="2235" w:type="dxa"/>
          </w:tcPr>
          <w:p w14:paraId="67036A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w:t>
            </w:r>
          </w:p>
        </w:tc>
        <w:tc>
          <w:tcPr>
            <w:tcW w:w="1282" w:type="dxa"/>
          </w:tcPr>
          <w:p w14:paraId="092386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03" w:type="dxa"/>
          </w:tcPr>
          <w:p w14:paraId="32EF41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FA4FC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17662C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F7130D" w14:textId="77777777" w:rsidTr="00ED5B0A">
        <w:tc>
          <w:tcPr>
            <w:tcW w:w="2235" w:type="dxa"/>
          </w:tcPr>
          <w:p w14:paraId="05A73F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w:t>
            </w:r>
          </w:p>
        </w:tc>
        <w:tc>
          <w:tcPr>
            <w:tcW w:w="1282" w:type="dxa"/>
          </w:tcPr>
          <w:p w14:paraId="7C42D0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2403" w:type="dxa"/>
          </w:tcPr>
          <w:p w14:paraId="2A3A14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116,12</w:t>
            </w:r>
          </w:p>
        </w:tc>
        <w:tc>
          <w:tcPr>
            <w:tcW w:w="1985" w:type="dxa"/>
          </w:tcPr>
          <w:p w14:paraId="112353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105,95</w:t>
            </w:r>
          </w:p>
        </w:tc>
        <w:tc>
          <w:tcPr>
            <w:tcW w:w="2692" w:type="dxa"/>
          </w:tcPr>
          <w:p w14:paraId="135514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CD9059" w14:textId="77777777" w:rsidTr="00ED5B0A">
        <w:tc>
          <w:tcPr>
            <w:tcW w:w="2235" w:type="dxa"/>
          </w:tcPr>
          <w:p w14:paraId="3EA2A2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w:t>
            </w:r>
          </w:p>
        </w:tc>
        <w:tc>
          <w:tcPr>
            <w:tcW w:w="1282" w:type="dxa"/>
          </w:tcPr>
          <w:p w14:paraId="004E69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93,0</w:t>
            </w:r>
          </w:p>
        </w:tc>
        <w:tc>
          <w:tcPr>
            <w:tcW w:w="2403" w:type="dxa"/>
          </w:tcPr>
          <w:p w14:paraId="5B3E9B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94,59</w:t>
            </w:r>
          </w:p>
        </w:tc>
        <w:tc>
          <w:tcPr>
            <w:tcW w:w="1985" w:type="dxa"/>
          </w:tcPr>
          <w:p w14:paraId="0BD96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94,17</w:t>
            </w:r>
          </w:p>
        </w:tc>
        <w:tc>
          <w:tcPr>
            <w:tcW w:w="2692" w:type="dxa"/>
          </w:tcPr>
          <w:p w14:paraId="2D4C4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113,70</w:t>
            </w:r>
          </w:p>
        </w:tc>
      </w:tr>
      <w:tr w:rsidR="00A907A5" w:rsidRPr="00271E51" w14:paraId="546A8F15" w14:textId="77777777" w:rsidTr="00ED5B0A">
        <w:tc>
          <w:tcPr>
            <w:tcW w:w="2235" w:type="dxa"/>
          </w:tcPr>
          <w:p w14:paraId="032799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w:t>
            </w:r>
          </w:p>
        </w:tc>
        <w:tc>
          <w:tcPr>
            <w:tcW w:w="1282" w:type="dxa"/>
          </w:tcPr>
          <w:p w14:paraId="2146D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2403" w:type="dxa"/>
          </w:tcPr>
          <w:p w14:paraId="36A48B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307,35</w:t>
            </w:r>
          </w:p>
        </w:tc>
        <w:tc>
          <w:tcPr>
            <w:tcW w:w="1985" w:type="dxa"/>
          </w:tcPr>
          <w:p w14:paraId="6198A9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224,24</w:t>
            </w:r>
          </w:p>
        </w:tc>
        <w:tc>
          <w:tcPr>
            <w:tcW w:w="2692" w:type="dxa"/>
          </w:tcPr>
          <w:p w14:paraId="3898A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181,13</w:t>
            </w:r>
          </w:p>
        </w:tc>
      </w:tr>
      <w:tr w:rsidR="00A907A5" w:rsidRPr="00271E51" w14:paraId="23D48F5C" w14:textId="77777777" w:rsidTr="00ED5B0A">
        <w:tc>
          <w:tcPr>
            <w:tcW w:w="2235" w:type="dxa"/>
          </w:tcPr>
          <w:p w14:paraId="16FFEF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w:t>
            </w:r>
          </w:p>
        </w:tc>
        <w:tc>
          <w:tcPr>
            <w:tcW w:w="1282" w:type="dxa"/>
          </w:tcPr>
          <w:p w14:paraId="739E3B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123,0</w:t>
            </w:r>
          </w:p>
        </w:tc>
        <w:tc>
          <w:tcPr>
            <w:tcW w:w="2403" w:type="dxa"/>
          </w:tcPr>
          <w:p w14:paraId="186DA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110,25</w:t>
            </w:r>
          </w:p>
        </w:tc>
        <w:tc>
          <w:tcPr>
            <w:tcW w:w="1985" w:type="dxa"/>
          </w:tcPr>
          <w:p w14:paraId="40C770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103,81</w:t>
            </w:r>
          </w:p>
        </w:tc>
        <w:tc>
          <w:tcPr>
            <w:tcW w:w="2692" w:type="dxa"/>
          </w:tcPr>
          <w:p w14:paraId="3E3C21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98,43</w:t>
            </w:r>
          </w:p>
        </w:tc>
      </w:tr>
      <w:tr w:rsidR="00A907A5" w:rsidRPr="00271E51" w14:paraId="42F4BD12" w14:textId="77777777" w:rsidTr="00ED5B0A">
        <w:tc>
          <w:tcPr>
            <w:tcW w:w="2235" w:type="dxa"/>
          </w:tcPr>
          <w:p w14:paraId="2C8C80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w:t>
            </w:r>
          </w:p>
        </w:tc>
        <w:tc>
          <w:tcPr>
            <w:tcW w:w="1282" w:type="dxa"/>
          </w:tcPr>
          <w:p w14:paraId="252E9F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123,0</w:t>
            </w:r>
          </w:p>
        </w:tc>
        <w:tc>
          <w:tcPr>
            <w:tcW w:w="2403" w:type="dxa"/>
          </w:tcPr>
          <w:p w14:paraId="08A574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134,93</w:t>
            </w:r>
          </w:p>
        </w:tc>
        <w:tc>
          <w:tcPr>
            <w:tcW w:w="1985" w:type="dxa"/>
          </w:tcPr>
          <w:p w14:paraId="4E62F8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127,34</w:t>
            </w:r>
          </w:p>
        </w:tc>
        <w:tc>
          <w:tcPr>
            <w:tcW w:w="2692" w:type="dxa"/>
          </w:tcPr>
          <w:p w14:paraId="45DCC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115,06</w:t>
            </w:r>
          </w:p>
        </w:tc>
      </w:tr>
      <w:tr w:rsidR="00A907A5" w:rsidRPr="00271E51" w14:paraId="6C044757" w14:textId="77777777" w:rsidTr="00ED5B0A">
        <w:tc>
          <w:tcPr>
            <w:tcW w:w="2235" w:type="dxa"/>
          </w:tcPr>
          <w:p w14:paraId="420638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У-2</w:t>
            </w:r>
          </w:p>
        </w:tc>
        <w:tc>
          <w:tcPr>
            <w:tcW w:w="1282" w:type="dxa"/>
          </w:tcPr>
          <w:p w14:paraId="03A4F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c>
          <w:tcPr>
            <w:tcW w:w="2403" w:type="dxa"/>
          </w:tcPr>
          <w:p w14:paraId="6AA96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25,95</w:t>
            </w:r>
          </w:p>
        </w:tc>
        <w:tc>
          <w:tcPr>
            <w:tcW w:w="1985" w:type="dxa"/>
          </w:tcPr>
          <w:p w14:paraId="7EFAA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24,15</w:t>
            </w:r>
          </w:p>
        </w:tc>
        <w:tc>
          <w:tcPr>
            <w:tcW w:w="2692" w:type="dxa"/>
          </w:tcPr>
          <w:p w14:paraId="70BF0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D1D855" w14:textId="77777777" w:rsidTr="00ED5B0A">
        <w:tc>
          <w:tcPr>
            <w:tcW w:w="2235" w:type="dxa"/>
          </w:tcPr>
          <w:p w14:paraId="7B31D4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УТ-2</w:t>
            </w:r>
          </w:p>
        </w:tc>
        <w:tc>
          <w:tcPr>
            <w:tcW w:w="1282" w:type="dxa"/>
          </w:tcPr>
          <w:p w14:paraId="41B25B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2403" w:type="dxa"/>
          </w:tcPr>
          <w:p w14:paraId="726BA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58,60*</w:t>
            </w:r>
          </w:p>
        </w:tc>
        <w:tc>
          <w:tcPr>
            <w:tcW w:w="1985" w:type="dxa"/>
          </w:tcPr>
          <w:p w14:paraId="281D2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692" w:type="dxa"/>
          </w:tcPr>
          <w:p w14:paraId="0111B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5FDFBE" w14:textId="77777777" w:rsidTr="00ED5B0A">
        <w:tc>
          <w:tcPr>
            <w:tcW w:w="2235" w:type="dxa"/>
          </w:tcPr>
          <w:p w14:paraId="7364ED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w:t>
            </w:r>
          </w:p>
        </w:tc>
        <w:tc>
          <w:tcPr>
            <w:tcW w:w="1282" w:type="dxa"/>
          </w:tcPr>
          <w:p w14:paraId="02077E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152,0</w:t>
            </w:r>
          </w:p>
        </w:tc>
        <w:tc>
          <w:tcPr>
            <w:tcW w:w="2403" w:type="dxa"/>
          </w:tcPr>
          <w:p w14:paraId="749303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149,38</w:t>
            </w:r>
          </w:p>
        </w:tc>
        <w:tc>
          <w:tcPr>
            <w:tcW w:w="1985" w:type="dxa"/>
          </w:tcPr>
          <w:p w14:paraId="46F6FA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147,88</w:t>
            </w:r>
          </w:p>
        </w:tc>
        <w:tc>
          <w:tcPr>
            <w:tcW w:w="2692" w:type="dxa"/>
          </w:tcPr>
          <w:p w14:paraId="0BF642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147,28</w:t>
            </w:r>
          </w:p>
        </w:tc>
      </w:tr>
      <w:tr w:rsidR="00A907A5" w:rsidRPr="00271E51" w14:paraId="1FCE1AF3" w14:textId="77777777" w:rsidTr="00ED5B0A">
        <w:tc>
          <w:tcPr>
            <w:tcW w:w="2235" w:type="dxa"/>
          </w:tcPr>
          <w:p w14:paraId="561724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w:t>
            </w:r>
          </w:p>
        </w:tc>
        <w:tc>
          <w:tcPr>
            <w:tcW w:w="1282" w:type="dxa"/>
          </w:tcPr>
          <w:p w14:paraId="50E82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162,0</w:t>
            </w:r>
          </w:p>
        </w:tc>
        <w:tc>
          <w:tcPr>
            <w:tcW w:w="2403" w:type="dxa"/>
          </w:tcPr>
          <w:p w14:paraId="74FED3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157,22</w:t>
            </w:r>
          </w:p>
        </w:tc>
        <w:tc>
          <w:tcPr>
            <w:tcW w:w="1985" w:type="dxa"/>
          </w:tcPr>
          <w:p w14:paraId="6F07D8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152,54</w:t>
            </w:r>
          </w:p>
        </w:tc>
        <w:tc>
          <w:tcPr>
            <w:tcW w:w="2692" w:type="dxa"/>
          </w:tcPr>
          <w:p w14:paraId="1AFABA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4314FB" w14:textId="77777777" w:rsidTr="00ED5B0A">
        <w:tc>
          <w:tcPr>
            <w:tcW w:w="2235" w:type="dxa"/>
          </w:tcPr>
          <w:p w14:paraId="40EC96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w:t>
            </w:r>
          </w:p>
        </w:tc>
        <w:tc>
          <w:tcPr>
            <w:tcW w:w="1282" w:type="dxa"/>
          </w:tcPr>
          <w:p w14:paraId="4F5F04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175,0</w:t>
            </w:r>
          </w:p>
        </w:tc>
        <w:tc>
          <w:tcPr>
            <w:tcW w:w="2403" w:type="dxa"/>
          </w:tcPr>
          <w:p w14:paraId="0B4660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180,92</w:t>
            </w:r>
          </w:p>
        </w:tc>
        <w:tc>
          <w:tcPr>
            <w:tcW w:w="1985" w:type="dxa"/>
          </w:tcPr>
          <w:p w14:paraId="25E6F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176,49</w:t>
            </w:r>
          </w:p>
        </w:tc>
        <w:tc>
          <w:tcPr>
            <w:tcW w:w="2692" w:type="dxa"/>
          </w:tcPr>
          <w:p w14:paraId="285A8F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0AA7C0" w14:textId="77777777" w:rsidTr="00ED5B0A">
        <w:tc>
          <w:tcPr>
            <w:tcW w:w="2235" w:type="dxa"/>
          </w:tcPr>
          <w:p w14:paraId="6988B0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282" w:type="dxa"/>
          </w:tcPr>
          <w:p w14:paraId="3BE659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tc>
        <w:tc>
          <w:tcPr>
            <w:tcW w:w="2403" w:type="dxa"/>
          </w:tcPr>
          <w:p w14:paraId="0EF480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383,96</w:t>
            </w:r>
          </w:p>
        </w:tc>
        <w:tc>
          <w:tcPr>
            <w:tcW w:w="1985" w:type="dxa"/>
          </w:tcPr>
          <w:p w14:paraId="54DF6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395,27</w:t>
            </w:r>
          </w:p>
        </w:tc>
        <w:tc>
          <w:tcPr>
            <w:tcW w:w="2692" w:type="dxa"/>
          </w:tcPr>
          <w:p w14:paraId="195DC9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94C35B" w14:textId="77777777" w:rsidTr="00ED5B0A">
        <w:tc>
          <w:tcPr>
            <w:tcW w:w="2235" w:type="dxa"/>
          </w:tcPr>
          <w:p w14:paraId="39D256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Ли-2</w:t>
            </w:r>
          </w:p>
        </w:tc>
        <w:tc>
          <w:tcPr>
            <w:tcW w:w="1282" w:type="dxa"/>
          </w:tcPr>
          <w:p w14:paraId="553C20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424,0</w:t>
            </w:r>
          </w:p>
        </w:tc>
        <w:tc>
          <w:tcPr>
            <w:tcW w:w="2403" w:type="dxa"/>
          </w:tcPr>
          <w:p w14:paraId="7EC0E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414,06</w:t>
            </w:r>
          </w:p>
        </w:tc>
        <w:tc>
          <w:tcPr>
            <w:tcW w:w="1985" w:type="dxa"/>
          </w:tcPr>
          <w:p w14:paraId="489F9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382,72</w:t>
            </w:r>
          </w:p>
        </w:tc>
        <w:tc>
          <w:tcPr>
            <w:tcW w:w="2692" w:type="dxa"/>
          </w:tcPr>
          <w:p w14:paraId="2D86AC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38E6A4" w14:textId="77777777" w:rsidTr="00ED5B0A">
        <w:tc>
          <w:tcPr>
            <w:tcW w:w="2235" w:type="dxa"/>
          </w:tcPr>
          <w:p w14:paraId="401742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1282" w:type="dxa"/>
          </w:tcPr>
          <w:p w14:paraId="575F8E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273,0</w:t>
            </w:r>
          </w:p>
        </w:tc>
        <w:tc>
          <w:tcPr>
            <w:tcW w:w="2403" w:type="dxa"/>
          </w:tcPr>
          <w:p w14:paraId="07E043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276,80</w:t>
            </w:r>
          </w:p>
        </w:tc>
        <w:tc>
          <w:tcPr>
            <w:tcW w:w="1985" w:type="dxa"/>
          </w:tcPr>
          <w:p w14:paraId="4196E00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260,03</w:t>
            </w:r>
          </w:p>
        </w:tc>
        <w:tc>
          <w:tcPr>
            <w:tcW w:w="2692" w:type="dxa"/>
          </w:tcPr>
          <w:p w14:paraId="541E29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260,93</w:t>
            </w:r>
          </w:p>
        </w:tc>
      </w:tr>
      <w:tr w:rsidR="00A907A5" w:rsidRPr="00271E51" w14:paraId="59F5F3FC" w14:textId="77777777" w:rsidTr="00ED5B0A">
        <w:tc>
          <w:tcPr>
            <w:tcW w:w="2235" w:type="dxa"/>
          </w:tcPr>
          <w:p w14:paraId="35F4F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w:t>
            </w:r>
          </w:p>
        </w:tc>
        <w:tc>
          <w:tcPr>
            <w:tcW w:w="1282" w:type="dxa"/>
          </w:tcPr>
          <w:p w14:paraId="118953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03" w:type="dxa"/>
          </w:tcPr>
          <w:p w14:paraId="5C4656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1838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7EDF5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2F6956" w14:textId="77777777" w:rsidTr="00ED5B0A">
        <w:tc>
          <w:tcPr>
            <w:tcW w:w="2235" w:type="dxa"/>
          </w:tcPr>
          <w:p w14:paraId="4B9DFA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282" w:type="dxa"/>
          </w:tcPr>
          <w:p w14:paraId="0696D5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2403" w:type="dxa"/>
          </w:tcPr>
          <w:p w14:paraId="6397B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56,47</w:t>
            </w:r>
          </w:p>
        </w:tc>
        <w:tc>
          <w:tcPr>
            <w:tcW w:w="1985" w:type="dxa"/>
          </w:tcPr>
          <w:p w14:paraId="4F548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692" w:type="dxa"/>
          </w:tcPr>
          <w:p w14:paraId="787540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9CAF01" w14:textId="77777777" w:rsidTr="00ED5B0A">
        <w:tc>
          <w:tcPr>
            <w:tcW w:w="2235" w:type="dxa"/>
          </w:tcPr>
          <w:p w14:paraId="46E8F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w:t>
            </w:r>
          </w:p>
        </w:tc>
        <w:tc>
          <w:tcPr>
            <w:tcW w:w="1282" w:type="dxa"/>
          </w:tcPr>
          <w:p w14:paraId="71C573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2403" w:type="dxa"/>
          </w:tcPr>
          <w:p w14:paraId="3EF8DF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59,59</w:t>
            </w:r>
          </w:p>
        </w:tc>
        <w:tc>
          <w:tcPr>
            <w:tcW w:w="1985" w:type="dxa"/>
          </w:tcPr>
          <w:p w14:paraId="6CA07C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53,67</w:t>
            </w:r>
          </w:p>
        </w:tc>
        <w:tc>
          <w:tcPr>
            <w:tcW w:w="2692" w:type="dxa"/>
          </w:tcPr>
          <w:p w14:paraId="63CE04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55,16</w:t>
            </w:r>
          </w:p>
        </w:tc>
      </w:tr>
      <w:tr w:rsidR="00A907A5" w:rsidRPr="00271E51" w14:paraId="6557C042" w14:textId="77777777" w:rsidTr="00ED5B0A">
        <w:tc>
          <w:tcPr>
            <w:tcW w:w="2235" w:type="dxa"/>
          </w:tcPr>
          <w:p w14:paraId="22F29F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М-82ФН</w:t>
            </w:r>
          </w:p>
        </w:tc>
        <w:tc>
          <w:tcPr>
            <w:tcW w:w="1282" w:type="dxa"/>
          </w:tcPr>
          <w:p w14:paraId="50E60E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2403" w:type="dxa"/>
          </w:tcPr>
          <w:p w14:paraId="24B858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985" w:type="dxa"/>
          </w:tcPr>
          <w:p w14:paraId="4F1BE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692" w:type="dxa"/>
          </w:tcPr>
          <w:p w14:paraId="7B9D87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69,25</w:t>
            </w:r>
          </w:p>
        </w:tc>
      </w:tr>
      <w:tr w:rsidR="00A907A5" w:rsidRPr="00271E51" w14:paraId="16A460F0" w14:textId="77777777" w:rsidTr="00ED5B0A">
        <w:tc>
          <w:tcPr>
            <w:tcW w:w="2235" w:type="dxa"/>
          </w:tcPr>
          <w:p w14:paraId="727788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1282" w:type="dxa"/>
          </w:tcPr>
          <w:p w14:paraId="6EA97B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2403" w:type="dxa"/>
          </w:tcPr>
          <w:p w14:paraId="76E0E4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53,59</w:t>
            </w:r>
          </w:p>
        </w:tc>
        <w:tc>
          <w:tcPr>
            <w:tcW w:w="1985" w:type="dxa"/>
          </w:tcPr>
          <w:p w14:paraId="2CA154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51,22</w:t>
            </w:r>
          </w:p>
        </w:tc>
        <w:tc>
          <w:tcPr>
            <w:tcW w:w="2692" w:type="dxa"/>
          </w:tcPr>
          <w:p w14:paraId="44233B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52,60</w:t>
            </w:r>
          </w:p>
        </w:tc>
      </w:tr>
      <w:tr w:rsidR="00A907A5" w:rsidRPr="00271E51" w14:paraId="21AB49BC" w14:textId="77777777" w:rsidTr="00ED5B0A">
        <w:tc>
          <w:tcPr>
            <w:tcW w:w="2235" w:type="dxa"/>
          </w:tcPr>
          <w:p w14:paraId="3B279F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282" w:type="dxa"/>
          </w:tcPr>
          <w:p w14:paraId="7A1E89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2403" w:type="dxa"/>
          </w:tcPr>
          <w:p w14:paraId="008CEB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44,15</w:t>
            </w:r>
          </w:p>
        </w:tc>
        <w:tc>
          <w:tcPr>
            <w:tcW w:w="1985" w:type="dxa"/>
          </w:tcPr>
          <w:p w14:paraId="3944D9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40,96</w:t>
            </w:r>
          </w:p>
        </w:tc>
        <w:tc>
          <w:tcPr>
            <w:tcW w:w="2692" w:type="dxa"/>
          </w:tcPr>
          <w:p w14:paraId="2153A9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42,12</w:t>
            </w:r>
          </w:p>
        </w:tc>
      </w:tr>
      <w:tr w:rsidR="00A907A5" w:rsidRPr="00271E51" w14:paraId="296B274B" w14:textId="77777777" w:rsidTr="00ED5B0A">
        <w:tc>
          <w:tcPr>
            <w:tcW w:w="2235" w:type="dxa"/>
          </w:tcPr>
          <w:p w14:paraId="43387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М-88Б</w:t>
            </w:r>
          </w:p>
        </w:tc>
        <w:tc>
          <w:tcPr>
            <w:tcW w:w="1282" w:type="dxa"/>
          </w:tcPr>
          <w:p w14:paraId="68B4E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2403" w:type="dxa"/>
          </w:tcPr>
          <w:p w14:paraId="7FE62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52,81</w:t>
            </w:r>
          </w:p>
        </w:tc>
        <w:tc>
          <w:tcPr>
            <w:tcW w:w="1985" w:type="dxa"/>
          </w:tcPr>
          <w:p w14:paraId="3B757D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44,40</w:t>
            </w:r>
          </w:p>
        </w:tc>
        <w:tc>
          <w:tcPr>
            <w:tcW w:w="2692" w:type="dxa"/>
          </w:tcPr>
          <w:p w14:paraId="255AD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46,93</w:t>
            </w:r>
          </w:p>
        </w:tc>
      </w:tr>
      <w:tr w:rsidR="00A907A5" w:rsidRPr="00271E51" w14:paraId="2B23688E" w14:textId="77777777" w:rsidTr="00ED5B0A">
        <w:tc>
          <w:tcPr>
            <w:tcW w:w="2235" w:type="dxa"/>
          </w:tcPr>
          <w:p w14:paraId="0ECF3F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М-88Ф</w:t>
            </w:r>
          </w:p>
        </w:tc>
        <w:tc>
          <w:tcPr>
            <w:tcW w:w="1282" w:type="dxa"/>
          </w:tcPr>
          <w:p w14:paraId="3FC55C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2403" w:type="dxa"/>
          </w:tcPr>
          <w:p w14:paraId="11699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52,81</w:t>
            </w:r>
          </w:p>
        </w:tc>
        <w:tc>
          <w:tcPr>
            <w:tcW w:w="1985" w:type="dxa"/>
          </w:tcPr>
          <w:p w14:paraId="1BDA0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44,40</w:t>
            </w:r>
          </w:p>
        </w:tc>
        <w:tc>
          <w:tcPr>
            <w:tcW w:w="2692" w:type="dxa"/>
          </w:tcPr>
          <w:p w14:paraId="17838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46,93</w:t>
            </w:r>
          </w:p>
        </w:tc>
      </w:tr>
      <w:tr w:rsidR="00A907A5" w:rsidRPr="00271E51" w14:paraId="731455BE" w14:textId="77777777" w:rsidTr="00ED5B0A">
        <w:tc>
          <w:tcPr>
            <w:tcW w:w="2235" w:type="dxa"/>
          </w:tcPr>
          <w:p w14:paraId="086ED7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АМ-38; 38Ф</w:t>
            </w:r>
          </w:p>
        </w:tc>
        <w:tc>
          <w:tcPr>
            <w:tcW w:w="1282" w:type="dxa"/>
          </w:tcPr>
          <w:p w14:paraId="1F406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2403" w:type="dxa"/>
          </w:tcPr>
          <w:p w14:paraId="05755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88,37</w:t>
            </w:r>
          </w:p>
        </w:tc>
        <w:tc>
          <w:tcPr>
            <w:tcW w:w="1985" w:type="dxa"/>
          </w:tcPr>
          <w:p w14:paraId="02CF81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86,34</w:t>
            </w:r>
          </w:p>
        </w:tc>
        <w:tc>
          <w:tcPr>
            <w:tcW w:w="2692" w:type="dxa"/>
          </w:tcPr>
          <w:p w14:paraId="6D9E75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77,74</w:t>
            </w:r>
          </w:p>
        </w:tc>
      </w:tr>
      <w:tr w:rsidR="00A907A5" w:rsidRPr="00271E51" w14:paraId="61CFFC72" w14:textId="77777777" w:rsidTr="00ED5B0A">
        <w:tc>
          <w:tcPr>
            <w:tcW w:w="2235" w:type="dxa"/>
          </w:tcPr>
          <w:p w14:paraId="6E2A55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М-11Д</w:t>
            </w:r>
          </w:p>
        </w:tc>
        <w:tc>
          <w:tcPr>
            <w:tcW w:w="1282" w:type="dxa"/>
          </w:tcPr>
          <w:p w14:paraId="69167D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2403" w:type="dxa"/>
          </w:tcPr>
          <w:p w14:paraId="1ED3C9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29,60</w:t>
            </w:r>
          </w:p>
        </w:tc>
        <w:tc>
          <w:tcPr>
            <w:tcW w:w="1985" w:type="dxa"/>
          </w:tcPr>
          <w:p w14:paraId="3DE8EB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28,26</w:t>
            </w:r>
          </w:p>
        </w:tc>
        <w:tc>
          <w:tcPr>
            <w:tcW w:w="2692" w:type="dxa"/>
          </w:tcPr>
          <w:p w14:paraId="2B9081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5D36B5" w14:textId="77777777" w:rsidTr="00ED5B0A">
        <w:tc>
          <w:tcPr>
            <w:tcW w:w="2235" w:type="dxa"/>
          </w:tcPr>
          <w:p w14:paraId="031487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М-11Д</w:t>
            </w:r>
          </w:p>
        </w:tc>
        <w:tc>
          <w:tcPr>
            <w:tcW w:w="1282" w:type="dxa"/>
          </w:tcPr>
          <w:p w14:paraId="45B1E8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2403" w:type="dxa"/>
          </w:tcPr>
          <w:p w14:paraId="5529A1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8,90</w:t>
            </w:r>
          </w:p>
        </w:tc>
        <w:tc>
          <w:tcPr>
            <w:tcW w:w="1985" w:type="dxa"/>
          </w:tcPr>
          <w:p w14:paraId="391EC5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8,81</w:t>
            </w:r>
          </w:p>
        </w:tc>
        <w:tc>
          <w:tcPr>
            <w:tcW w:w="2692" w:type="dxa"/>
          </w:tcPr>
          <w:p w14:paraId="6C859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04BD98" w14:textId="77777777" w:rsidTr="00ED5B0A">
        <w:tc>
          <w:tcPr>
            <w:tcW w:w="2235" w:type="dxa"/>
          </w:tcPr>
          <w:p w14:paraId="2208A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282" w:type="dxa"/>
          </w:tcPr>
          <w:p w14:paraId="417553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2403" w:type="dxa"/>
          </w:tcPr>
          <w:p w14:paraId="4D1D60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73,88</w:t>
            </w:r>
          </w:p>
        </w:tc>
        <w:tc>
          <w:tcPr>
            <w:tcW w:w="1985" w:type="dxa"/>
          </w:tcPr>
          <w:p w14:paraId="7AFCA3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72,04</w:t>
            </w:r>
          </w:p>
        </w:tc>
        <w:tc>
          <w:tcPr>
            <w:tcW w:w="2692" w:type="dxa"/>
          </w:tcPr>
          <w:p w14:paraId="4926DD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67,69</w:t>
            </w:r>
          </w:p>
        </w:tc>
      </w:tr>
    </w:tbl>
    <w:p w14:paraId="17EA5C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за март (2105,44).</w:t>
      </w:r>
    </w:p>
    <w:p w14:paraId="14E273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308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ГИ ВВС Репин писал НКАП А.И.Ш. письмо N 615376 о том, что испытания Як-7Б, проходившие в НИИ ВВС дважды показали, что на машине остались недоработки и недостатки и в основном в отношении сбрасываемой части фонаря (1779).</w:t>
      </w:r>
    </w:p>
    <w:p w14:paraId="13F65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BDD03"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28 августа </w:t>
      </w:r>
      <w:r w:rsidRPr="00271E51">
        <w:rPr>
          <w:rFonts w:ascii="Times New Roman" w:hAnsi="Times New Roman"/>
          <w:color w:val="000000" w:themeColor="text1"/>
          <w:sz w:val="16"/>
          <w:szCs w:val="16"/>
        </w:rPr>
        <w:t>в 1943 году всесоюзный рекорд - на перехватчике «И-220» (КБ А.И.Микояна) с мотором «М-39» в 1700 л.с. А.И.Жуков достиг скорости 697 км/час (14752).</w:t>
      </w:r>
    </w:p>
    <w:p w14:paraId="7B2AB9E4"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312A5F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состоялся первый полет Ер-2 с МБ-100 мощностью 2200 нр, но затем из-за возникшей тряски производилась отладка мотоустановок на земле. Установка мощнейших и чрезвычайно тяжелых моторов на самолет потребовала многочисленных переделок в конструкции планера. Впервые на Ер-2 было введено расчленение крыла на шесть отсеков. Маслорадиаторы ОП-433 размещались в носках консолей, а водорадиаторы ОП-422 - в центроплане крыла. Потребовалось увеличить площадь горизонтального и вертикального оперения. Очень непростой оказалась задача капотировки двигателя. Его вал был коротким, а мидель очень большим (ширина мотора - 1467 мм, высота - 1080 мм), поэтому аэродинамика мотогондол получилась небезупречной. Самолет изготовили в металле в 1942, но начать полеты не успели. На протяжении всего 1943 г. проводились доводочные работы и отладка систем. Цикл испытаний мотора МБ-100 на самолете Ер-2 удалось закончить только к июлю 1944 г. Ведущими инженерами от завода N 134 были Сверчевский и Казанли, пилотировал машину Герой Советского Союза полковник Алексеев. (3322,34).</w:t>
      </w:r>
    </w:p>
    <w:p w14:paraId="419066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DC4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был утвержден отчет о гос. испытаниях Ще2-2М-11Д (ТС-1) (300,20).</w:t>
      </w:r>
    </w:p>
    <w:p w14:paraId="345203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22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Госкомобороны принял решение о восстановлении ХАЗа. Цехов как таковых не было: территорию покрывали руины, горы битого кирпича, покореженные фермы, мусорные курганы. Не было и коллектива: у основных вновь созданных цехов было по десятку людей (10674).</w:t>
      </w:r>
    </w:p>
    <w:p w14:paraId="6F6270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DAFFF"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28 августа 1943 г., спустя пять дней после освобождения Харькова, на</w:t>
      </w:r>
      <w:r w:rsidRPr="00271E51">
        <w:rPr>
          <w:rFonts w:ascii="Times New Roman" w:hAnsi="Times New Roman"/>
          <w:color w:val="0070C0"/>
          <w:sz w:val="16"/>
          <w:szCs w:val="16"/>
          <w:lang w:eastAsia="ru-RU" w:bidi="ru-RU"/>
        </w:rPr>
        <w:softHyphen/>
        <w:t>чалось восстановление местного авиазавода. Работы велись в крайне тяже</w:t>
      </w:r>
      <w:r w:rsidRPr="00271E51">
        <w:rPr>
          <w:rFonts w:ascii="Times New Roman" w:hAnsi="Times New Roman"/>
          <w:color w:val="0070C0"/>
          <w:sz w:val="16"/>
          <w:szCs w:val="16"/>
          <w:lang w:eastAsia="ru-RU" w:bidi="ru-RU"/>
        </w:rPr>
        <w:softHyphen/>
        <w:t>лых условиях: было разрушено 80% производственных помещений, а из-за нехватки электроэнергии для освещения в вечернюю смену приходилось применять карбидные лампы. Восстановленное предприятие сохранило до</w:t>
      </w:r>
      <w:r w:rsidRPr="00271E51">
        <w:rPr>
          <w:rFonts w:ascii="Times New Roman" w:hAnsi="Times New Roman"/>
          <w:color w:val="0070C0"/>
          <w:sz w:val="16"/>
          <w:szCs w:val="16"/>
          <w:lang w:eastAsia="ru-RU" w:bidi="ru-RU"/>
        </w:rPr>
        <w:softHyphen/>
        <w:t>военное обозначение — завод № 135. В сентябре здесь начался ремонт по</w:t>
      </w:r>
      <w:r w:rsidRPr="00271E51">
        <w:rPr>
          <w:rFonts w:ascii="Times New Roman" w:hAnsi="Times New Roman"/>
          <w:color w:val="0070C0"/>
          <w:sz w:val="16"/>
          <w:szCs w:val="16"/>
          <w:lang w:eastAsia="ru-RU" w:bidi="ru-RU"/>
        </w:rPr>
        <w:softHyphen/>
        <w:t>врежденных самолетов различных типов, поступающих с фронта, а в декабре приступили к монтажу истребителей Як-7 и Як-9 (из машинокомплектов, поставляемых новосибирским заводом № 153). Несмотря на сложные бы</w:t>
      </w:r>
      <w:r w:rsidRPr="00271E51">
        <w:rPr>
          <w:rFonts w:ascii="Times New Roman" w:hAnsi="Times New Roman"/>
          <w:color w:val="0070C0"/>
          <w:sz w:val="16"/>
          <w:szCs w:val="16"/>
          <w:lang w:eastAsia="ru-RU" w:bidi="ru-RU"/>
        </w:rPr>
        <w:softHyphen/>
        <w:t>товые и производственные условия, коллективу Харьковского авиазавода удалось добиться высокого качества выполнения работ. Свидетельством этого может служить хотя бы то, что именно этому предприятию в феврале 1944 г. поручили укомплектовать 61 истребитель (31 Як-9 и 30 Як-9Т) для французского авиаполка «Нормандия-Неман», а в сентябре того же года начались поставки истребителей харьковской сборки для ВВС Болгарии — страны, перешедшей на сторону антигитлеровской коалиции. Всего же до сентября 1945 г. завод № 135 собрал около 2400 истребителей (23180).</w:t>
      </w:r>
    </w:p>
    <w:p w14:paraId="27259218" w14:textId="77777777" w:rsidR="008C5B40" w:rsidRPr="00271E51" w:rsidRDefault="008C5B40" w:rsidP="00271E51">
      <w:pPr>
        <w:spacing w:after="0" w:line="240" w:lineRule="auto"/>
        <w:jc w:val="both"/>
        <w:rPr>
          <w:rFonts w:ascii="Times New Roman" w:hAnsi="Times New Roman"/>
          <w:color w:val="0070C0"/>
          <w:sz w:val="16"/>
          <w:szCs w:val="16"/>
        </w:rPr>
      </w:pPr>
    </w:p>
    <w:p w14:paraId="2E922A15"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8652B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A90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была подготовлена ДОКЛАДНАЯ ЗАПИСКА НАЧАЛЬНИКА 1 -го ОТДЕЛА ТУ ГБТУ КА НАЧАЛЬНИКУ ОТДЕЛА ГЛАВНОГО ИНСПЕКТОРА НКТП ПО ВОПРОСУ ИЗГОТОВЛЕНИЯ ИДЕНТИФИКАЦИОННЫХ НОМЕРОВ ТАНКОВ № 1153372</w:t>
      </w:r>
    </w:p>
    <w:p w14:paraId="0DC81C7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Клейма номеров и шифр заводов на танках выбиваются нечетко, выбитые номера закрашива</w:t>
      </w:r>
      <w:r w:rsidRPr="00271E51">
        <w:rPr>
          <w:rFonts w:ascii="Times New Roman" w:hAnsi="Times New Roman"/>
          <w:color w:val="000000" w:themeColor="text1"/>
          <w:sz w:val="16"/>
          <w:szCs w:val="16"/>
        </w:rPr>
        <w:softHyphen/>
        <w:t>ются, вследствие чего войсковые части в нужных случаях не имеют возможности установить номера танка и завода-изготовителя.</w:t>
      </w:r>
    </w:p>
    <w:p w14:paraId="50F886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Наличие одного клейма номера на танке недостаточно, т.к. при пулевом и снарядном попадании в зону клейма номер танка установить невозможно.</w:t>
      </w:r>
    </w:p>
    <w:p w14:paraId="695D04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тем, что в танковых войсках организуется понумерной учет танков, ТУ ГБТУ КА счи</w:t>
      </w:r>
      <w:r w:rsidRPr="00271E51">
        <w:rPr>
          <w:rFonts w:ascii="Times New Roman" w:hAnsi="Times New Roman"/>
          <w:color w:val="000000" w:themeColor="text1"/>
          <w:sz w:val="16"/>
          <w:szCs w:val="16"/>
        </w:rPr>
        <w:softHyphen/>
        <w:t>тает необходимым:</w:t>
      </w:r>
    </w:p>
    <w:p w14:paraId="308054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Клейма номеров танков ставить в 3 местах: на лобовой части танка, кормовой и на башне.</w:t>
      </w:r>
    </w:p>
    <w:p w14:paraId="4641BF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Всем заводам клейма номеров танков и индекс завода ставить в строго определенных местах танка.</w:t>
      </w:r>
    </w:p>
    <w:p w14:paraId="6352A3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Номера должны быть выбиты четко и легко читаемы.</w:t>
      </w:r>
    </w:p>
    <w:p w14:paraId="74447C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затронутому вопросу прошу дать указание танковым заводам и сообщить в ТУ ГБТУ КА.</w:t>
      </w:r>
    </w:p>
    <w:p w14:paraId="02721F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 отдела ТУ ГБТУ КА инженер-подполковник Егоров</w:t>
      </w:r>
    </w:p>
    <w:p w14:paraId="6F3123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помощник начальника 1 отдела ТУ ГБТУ КА ] инженер-майор Мирошников</w:t>
      </w:r>
    </w:p>
    <w:p w14:paraId="4B276B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1414. Л. 32. Копия (11403).</w:t>
      </w:r>
    </w:p>
    <w:p w14:paraId="4254ED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5C1E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года вышел Приказ 2-го Главное управление Наркомата минометного вооружения № 7 (6840):</w:t>
      </w:r>
    </w:p>
    <w:p w14:paraId="768C50B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67 Шибаев</w:t>
      </w:r>
    </w:p>
    <w:p w14:paraId="00019D9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773 Вигдорчик (6840).</w:t>
      </w:r>
    </w:p>
    <w:p w14:paraId="5906FE9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62FB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приказом ГУЛАГа № 197с в составе производственно-технического отдела УИТК ГУЛАГа было организовано Проектно-техническое бюро, которое возглавил (по совместительству) старший инженер производственно-технического отдела УИТК ГУЛАГа Новиков Виктор Александрович. Бюро работало “на базе трудового использования высококвалифицированных работников из состава заключенных”, из 25 человек по штату лишь трое - начальник бюро, завхоз и секретарь - были вольнонаемными работниками ГУЛАГа. На Проектно-техническое бюро возлагались: разработка технических проектов по промышленному производству и капитальному строительству УИТК ГУЛАГа; обмен опытом производственной работы колоний и лагерей, входящих в систему УИТК ГУЛАГа, и работа по усовершенствованию методов производства и капитального строительства; экспериментальная работа по использованию приспособлений, заменителей дефицитных материалов и экономии топлива, материалов и инструмента; обработка рационализаторских предложений и изобретений; распространение среди предприятий и строек УИТК ГУЛАГа рациональных методов производственной работы и строительства.</w:t>
      </w:r>
    </w:p>
    <w:p w14:paraId="7C44C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Проектно-техническое бюро УИТК ГУЛАГа работало на базе находившегося на Шаболовке ИТК № 1 УИТЛК УНКВД Московской области (7560).</w:t>
      </w:r>
    </w:p>
    <w:p w14:paraId="76933E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597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3981 О мерах обеспечения дальнейшего увеличения производства боеприпасов взрывчатыми веществами и химсырьем.РГАНИР, Фонд ГКО, д. 146, лл. 196-197 (11012).</w:t>
      </w:r>
    </w:p>
    <w:p w14:paraId="7C4918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1FF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3982 Об увеличении поставки НКО 120 мм мин и 122 мм гаубичных снарядов.РГАНИР, Фонд ГКО, д. 146, лл. 198-205, 205-206 (11012).</w:t>
      </w:r>
    </w:p>
    <w:p w14:paraId="682D04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8D8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3983 Об увеличении производства патронов в III и IV кварталах 1943 года и подготовке мощностей к I кварталу 1944 г.РГАНИР, Фонд ГКО, д. 147, лл. 1-11, 12-15 (11012).</w:t>
      </w:r>
    </w:p>
    <w:p w14:paraId="48582B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5D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3984 О неотложных мерах помощи угольной промышленности для обеспечения выполнения плана добычи и отгрузки угля в августе и сентябре 1943 года.РГАНИР, Фонд ГКО, д. 147, лл. 16-26, 27-35 (11012).</w:t>
      </w:r>
    </w:p>
    <w:p w14:paraId="1EB67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20C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Распоряжение ГКО № 3985. О прикреплении школ ФЗО № 25 и 3 соответственно к заводу № 67 и опытному заводу (HИИ-1) НКМВ для производства деталей корпусов авиабомб.РГАНИР, Фонд ГКО, д. 147, лл. 36 (11012).</w:t>
      </w:r>
    </w:p>
    <w:p w14:paraId="075E98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7A6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Распоряжение ГКО № 3986. Об отгрузке материалов для строительства завода № 174 НКТП.РГАНИР, Фонд ГКО, д. 147, лл. 37 (11012).</w:t>
      </w:r>
    </w:p>
    <w:p w14:paraId="679185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6CC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28 августа 1943 вышло Постановление ГКО № 3987 Об обеспечении строительства завода № 38 Наркомтанкопрома в г. Кирове.РГАНИР, Фонд ГКО, д. 147, лл. 38-41 (11012).</w:t>
      </w:r>
    </w:p>
    <w:p w14:paraId="6995ED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7B0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Распоряжение ГКО № 3988. Об изменении конструкции автомобилей-вездеходов, выпускаемых на ГАЗ.РГАНИР, Фонд ГКО, д. 147, лл. 42 (11012).</w:t>
      </w:r>
    </w:p>
    <w:p w14:paraId="02C5A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5F5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3989 О сроке пуска в эксплуатацию колесного цеха на Челябинском кузнечно-прессовом заводе им. Сталина НКСМ.РГАНИР, Фонд ГКО, д. 147, лл. 43 (11012).</w:t>
      </w:r>
    </w:p>
    <w:p w14:paraId="1DC2A6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922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вышло Постановление ГКО № 3990 О снабжении теплыми вещами личного состава Красной Армии на зиму 1943-1944 года.РГАНИР, Фонд ГКО, д. 147, лл. 44-47, 48-60 (11012).</w:t>
      </w:r>
    </w:p>
    <w:p w14:paraId="5AFFCE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E265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E014E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377E68"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28 августа </w:t>
      </w:r>
      <w:r w:rsidRPr="00271E51">
        <w:rPr>
          <w:rFonts w:ascii="Times New Roman" w:hAnsi="Times New Roman"/>
          <w:color w:val="000000" w:themeColor="text1"/>
          <w:sz w:val="16"/>
          <w:szCs w:val="16"/>
        </w:rPr>
        <w:t>в 1943 году оперативная сводка Совинформбюро:</w:t>
      </w:r>
    </w:p>
    <w:p w14:paraId="62F94760"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августа наши войска, наступающие западнее и южнее Харькова, преодолевая сопротивление и контратаки противника, продвинулись вперёд и заняли несколько населённых пунктов.</w:t>
      </w:r>
    </w:p>
    <w:p w14:paraId="103427C9"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Брянска наши войска продолжали наступление и, продвинувшись на отдельных участках от 5 до 8 километров, заняли свыше 50 населённых пунктов.</w:t>
      </w:r>
    </w:p>
    <w:p w14:paraId="3BE711CD"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продолжали успешно развивать наступление.</w:t>
      </w:r>
    </w:p>
    <w:p w14:paraId="2AA2BFC3"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разведывательные поиски.</w:t>
      </w:r>
    </w:p>
    <w:p w14:paraId="40A370F5"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августа наши войска на всех фронтах подбили и уничтожили 90 немецких танков. В воздушных боях и огнём зенитной артиллерии сбито 75 самолётов противника.</w:t>
      </w:r>
    </w:p>
    <w:p w14:paraId="59314E07"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преодолевая сопротивление и контратаки противника, продвинулись вперёд и заняли несколько населённых пунктов. Бойцы Н-ского соединения уничтожили 600 немецких солдат и офицеров, сожгли и подбили 27 танков, уничтожили 16 орудий, в том числе 4 самоходных. В районе города Зеньков наши войска отбили несколько ожесточённых контратак противника и, развивая наступление, захватили выгодные позиции. В этих боях истреблено свыше 800 гитлеровцев, уничтожено 9 немецких танков, 18 орудий, 16 миномётов, 57 пулемётов и 40 автомашин.</w:t>
      </w:r>
    </w:p>
    <w:p w14:paraId="538B596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наши войска, в результате напряжённых боёв, отбросили противника и заняли ряд населённых пунктов. Уничтожено 10 танков, разрушено много немецких дзотов и блиндажей. Взято в плен до 100 гитлеровцев. Потери противника только убитыми составляют более тысячи солдат и офицеров. Нашими бойцами захвачено 4 исправных танка, 10 орудий и другие трофеи.</w:t>
      </w:r>
    </w:p>
    <w:p w14:paraId="23F0BB3A"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и офицеры проявляют беззаветную храбрость в борьбе с врагом. Шесть бойцов под командованием командира взвода Абулкасимова на танке ворвались в расположение противника и открыли сильный огонь из автоматов. Охваченные паникой, немцы начали разбегаться. На поле боя осталось свыше 40 вражеских трупов. Лейтенант Старостин выстрелом из пистолета убил немецкого танкиста, высунувшегося из люка. При поддержке красноармейцев т. Старостин взял в плен 4 гитлеровцев, находившихся в танке, и захватил исправный танк. Гвардии младший сержант Юмаш Байметов огнем из винтовки истребил 38 гитлеровцев.</w:t>
      </w:r>
    </w:p>
    <w:p w14:paraId="654B638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за день сбито 32 самолёта противника.</w:t>
      </w:r>
    </w:p>
    <w:p w14:paraId="183537FD"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овладев г. Севск, продолжали наступление и заняли ряд населённых пунктов. В боях за Севск уничтожены 21 немецкий танк, 105 орудий разных калибров, в том числе 8 самоходных, 20 миномётных батарей, 420 автомашин и повозок с грузами, 2 железнодорожных эшелона с боеприпасами и горючим. Захвачено у противника 11 танков, 74 орудия, 46 минометов, 263 пулемета, свыше 1.000 автоматов и винтовок, 7 радиостанций и 14 разных складов.</w:t>
      </w:r>
    </w:p>
    <w:p w14:paraId="4CB19C82"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Развивая наступление, части Н-ского соединения сегодня заняли несколько опорных пунктов противника, в боях за которые уничтожено до 2.000 гитлеровцев. Захвачено у немцев 7 орудий, 40 пулеметов, склад боеприпасов и склад медикаментов. Советские танкисты внезапным налетом разгромили батальон немецкой пехоты и захватили 18 исправных орудий.</w:t>
      </w:r>
    </w:p>
    <w:p w14:paraId="54CDF886"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13 немецких самолетов.</w:t>
      </w:r>
    </w:p>
    <w:p w14:paraId="7CC40996"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наши войска вели успешные боевые действия. Н-ское соединение, отбивая контратаки противника, уничтожило несколько танков и свыше 100 автомашин с мотопехотой. Убито до 300 немецких солдат. Захвачена артиллерийская батарея противника.</w:t>
      </w:r>
    </w:p>
    <w:p w14:paraId="07B0C8B1"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Карельском фронте отряд противника численностью в 50 человек на лодках пытался захватить небольшой остров на одном озере. Этот остров охраняли три красноармейца во главе с сержантом Кислым. Наши бойцы открыли огонь из пулеметаи автоматов и потопили три лодки. Потеряв 20 солдат убитыми, противник отступил.</w:t>
      </w:r>
    </w:p>
    <w:p w14:paraId="240FD1E5"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нашей авиацией потоплен транспорт противника водоизмещением в 6.000 тонн. Другой немецкий транспорт серьёзно повреждён. В воздушных боях морские лётчики сбили 18 самолетов противника.</w:t>
      </w:r>
    </w:p>
    <w:p w14:paraId="0DF3FC63"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Украинский партизанский отряд имени Коцюбинского 18 августа внезапно ворвался в один населённый пункт и уничтожил 32 гитлеровца. Разгромив вражеский гарнизон, партизаны взорвали склад боеприпасов и сожгли помещение полиции. Группа партизанотряда, действующего в Каменец-Подольской области, 13 августа подорвала немецкий бронепоезд. Паровоз, 4 броневагона и 2 бронеплатформы упали с высокой насыпи. Большая часть команды бронепоезда погибла.</w:t>
      </w:r>
    </w:p>
    <w:p w14:paraId="64260C4C"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5 роты 417 полка 168 немецкой пехотной дивизии Рудольф Гольц рассказал: «Август был чёрным месяцем нашей дивизии. В непрерывных боях мы понесли ужасающие потери. К 19 августа наш полк насчитывал всего лишь 40 солдат. В этот же день в полк влились остатки других разбитых и уничтоженных частей. Командир полка зачитал нам приказ Гитлера, в котором говорилось: «Харьков является основным опорным пунктом в восточной части Украины. Положение тяжёлое, но не безнадёжное. Приказываю удерживать город любой ценой». Мы в это время находились севернее Харькова. Прорвавшиеся русские части угрожали окружением. Все очень боялись, что Харьков станет для нас вторым Сталинградом. В такой обстановке солдаты меньше всего думали о том, как выполнить приказ командования. Каждый мечтал лишь о том, чтобы спасти себя» (14752).</w:t>
      </w:r>
    </w:p>
    <w:p w14:paraId="22B2B181"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3C5058F0"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28 августа 1943 г. в докладе об осмотре аэродрома Харьков-Сокольники говорилось:</w:t>
      </w:r>
    </w:p>
    <w:p w14:paraId="7170B611"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После захвата советскими войсками немецких аэродромов в районе Харькова в составе 17-й воздушной армии была сформирована специальная комиссия для их осмотра. Штабистам очень хотелось посмотреть на места, к которым им столько раз приходилось посылать штурмовики. На огромных опустевших летных полях действительно обнаружилось множество засыпанных воронок от бомб, а в окрестностях многочисленные следы разрушений: поваленные деревья, разрушенные дома и сгоревшие автомобили.</w:t>
      </w:r>
    </w:p>
    <w:p w14:paraId="0C05A3F0" w14:textId="77777777" w:rsidR="009415BB" w:rsidRPr="00271E51" w:rsidRDefault="009415BB" w:rsidP="00271E51">
      <w:pPr>
        <w:pStyle w:val="ae"/>
        <w:spacing w:before="0" w:after="0"/>
        <w:jc w:val="both"/>
        <w:textAlignment w:val="baseline"/>
        <w:rPr>
          <w:iCs/>
          <w:color w:val="000000" w:themeColor="text1"/>
          <w:sz w:val="16"/>
          <w:szCs w:val="16"/>
          <w:bdr w:val="none" w:sz="0" w:space="0" w:color="auto" w:frame="1"/>
        </w:rPr>
      </w:pPr>
      <w:r w:rsidRPr="00271E51">
        <w:rPr>
          <w:iCs/>
          <w:color w:val="000000" w:themeColor="text1"/>
          <w:sz w:val="16"/>
          <w:szCs w:val="16"/>
          <w:bdr w:val="none" w:sz="0" w:space="0" w:color="auto" w:frame="1"/>
        </w:rPr>
        <w:t>«Летное поле, район самолетных стоянок и капониров усеяны сплошными воронками бомб малого калибра. Последние в расположении летного поля и на рулежных дорожках засыпаны частью немцами и частью составом БАО, обслуживающим базирующийся истребительный полк. Воронки в тыловой части капониров, между капонирами, по границам летного поля и в капонирах, не эксплуатирующихся в данное время, до последнего времени остались незасыпанными».</w:t>
      </w:r>
    </w:p>
    <w:p w14:paraId="4F6EE81B"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 действительности же «большое количество воронок» на авиабазе, подвергавшейся налетам в течение полутора лет, еще не говорит о большой точности попаданий. К тому же при отступлении немцы, как правило, выводили летные поля и стоянки из строя методом подрыва. Так что многие воронки могли остаться и после этого.</w:t>
      </w:r>
    </w:p>
    <w:p w14:paraId="6CCB3D4E" w14:textId="77777777" w:rsidR="009415BB" w:rsidRPr="00271E51" w:rsidRDefault="009415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советским авиаторам так и не удалось в полной мере выполнить ни одного необходимого условия эффективной работы по аэродромам:</w:t>
      </w:r>
    </w:p>
    <w:p w14:paraId="4BFBCFF2"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Во-первых, неэффективно работала авиаразведка, в результате чего невозможно было точно определить число и типы стоящих на земле самолетов, места их размещения и укрытия и т. п.</w:t>
      </w:r>
    </w:p>
    <w:p w14:paraId="16656570"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Во-вторых, в советской авиации так и не появилось достаточного числа обученных командиров, способных грамотно спланировать и организовать удар по аэродрому с учетом конкретных условий. Большие потери штурмовики обычно списывали на истребители сопровождения, болтавшиеся неизвестно где, а те, наоборот, пеняли на штурмовиков, которые «неправильно летели».</w:t>
      </w:r>
    </w:p>
    <w:p w14:paraId="4AF12A17"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В-третьих, самолет Ил-2 оказался не очень подходящим самолетом для поражения точечных целей. Штурмовик фактически использовался как бронированный ближний бомбардировщик. Машина была неспособна пикировать под большими углами и эффективно штурмовать цели.</w:t>
      </w:r>
    </w:p>
    <w:p w14:paraId="20E89B3C"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В-четвертых, немецкая противовоздушная оборона, особенно крупных аэроузлов вроде Харькова, Орла или Сещинской, была очень сильной и эффективной, что сводило на нет удары небольших и разрозненных групп «горбатых».</w:t>
      </w:r>
    </w:p>
    <w:p w14:paraId="16980F56"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В-пятых, не удалось добиться более или менее точного контроля эффективности ударов. Отсутствие объективных данных о результатах атак вводило командование и самих летчиков в заблуждение, невольно создавая у них иллюзию эффективности ударов и, как следствие, стремление следовать одной и той же шаблонной тактике (19522).</w:t>
      </w:r>
    </w:p>
    <w:p w14:paraId="6291151B" w14:textId="77777777" w:rsidR="009415BB" w:rsidRPr="00271E51" w:rsidRDefault="009415BB" w:rsidP="00271E51">
      <w:pPr>
        <w:pStyle w:val="ae"/>
        <w:spacing w:before="0" w:after="0"/>
        <w:jc w:val="both"/>
        <w:textAlignment w:val="baseline"/>
        <w:rPr>
          <w:color w:val="000000" w:themeColor="text1"/>
          <w:sz w:val="16"/>
          <w:szCs w:val="16"/>
        </w:rPr>
      </w:pPr>
    </w:p>
    <w:p w14:paraId="72E39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согласно донесения командования Западного фронта командующему артиллерией Красной армии Н.Н. Воронова наркому А.И. Шахурину, с 08.40 до 10.10 противник произвел разведку г. Москва и окрестностей одним высотным разведчиком (...) Ю-86Р1 на высоте 12 000-13 ООО м... Для перехвата противника разновременно было поднято 15 истребителей &lt;...&gt;, из них: три Як-9 и два "Спитфайра"...</w:t>
      </w:r>
    </w:p>
    <w:p w14:paraId="1FF8E5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всех поднятых истребителей только один - старший лейтенант 16-го иап Семенов на "Спитфайре" (невысотном) поднялся до 11 500 м и вел огонь по противнику с кабрирования, находясь ниже противника на 500 м и сзади на 200 м.</w:t>
      </w:r>
    </w:p>
    <w:p w14:paraId="2A91CB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 Семенов израсходовал 30 снарядов и 450 пуль патронов, после чего пушка и пулеметы отказали из-за обледенения. Противник вел ответный огонь с правого борта и снизу трассирующими пулями.</w:t>
      </w:r>
    </w:p>
    <w:p w14:paraId="36290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Москвы и на обратном пути &lt;...&gt; противника преследовали летчики 12-го гвардейского иап - младший лейтенант Наливайко (Як-9), набравший только 11 000 м ..." (12046).</w:t>
      </w:r>
    </w:p>
    <w:p w14:paraId="5ED33804" w14:textId="77777777" w:rsidR="009415BB" w:rsidRPr="00271E51" w:rsidRDefault="009415BB" w:rsidP="00271E51">
      <w:pPr>
        <w:spacing w:after="0" w:line="240" w:lineRule="auto"/>
        <w:jc w:val="both"/>
        <w:rPr>
          <w:rFonts w:ascii="Times New Roman" w:hAnsi="Times New Roman"/>
          <w:color w:val="000000" w:themeColor="text1"/>
          <w:sz w:val="16"/>
          <w:szCs w:val="16"/>
        </w:rPr>
      </w:pPr>
    </w:p>
    <w:p w14:paraId="6818E2E4" w14:textId="77777777" w:rsidR="009415BB" w:rsidRPr="00271E51" w:rsidRDefault="009415B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28 августа 1943 г. в охоте за очередным разведчиком </w:t>
      </w:r>
      <w:r w:rsidRPr="00271E51">
        <w:rPr>
          <w:rFonts w:ascii="Times New Roman" w:cs="Times New Roman"/>
          <w:color w:val="000000" w:themeColor="text1"/>
          <w:spacing w:val="0"/>
          <w:lang w:val="en-US"/>
        </w:rPr>
        <w:t>Ju</w:t>
      </w:r>
      <w:r w:rsidRPr="00271E51">
        <w:rPr>
          <w:rFonts w:ascii="Times New Roman" w:cs="Times New Roman"/>
          <w:color w:val="000000" w:themeColor="text1"/>
          <w:spacing w:val="0"/>
        </w:rPr>
        <w:t xml:space="preserve"> 86Р участвовал младший лейтенант Наливайко из 12-го гв. иап. Но он сумел набрать только 11 000 м. Атаковать «немца» смог лишь старший лейтенант Семёнов на «Спитфайре»; он стрелял по нему с кабрирования, по</w:t>
      </w:r>
      <w:r w:rsidRPr="00271E51">
        <w:rPr>
          <w:rFonts w:ascii="Times New Roman" w:cs="Times New Roman"/>
          <w:color w:val="000000" w:themeColor="text1"/>
          <w:spacing w:val="0"/>
        </w:rPr>
        <w:softHyphen/>
        <w:t>ка оружие не замерзло, но сбить не сумел (19103).</w:t>
      </w:r>
    </w:p>
    <w:p w14:paraId="1DC5452F" w14:textId="77777777" w:rsidR="009415BB" w:rsidRPr="00271E51" w:rsidRDefault="009415BB" w:rsidP="00271E51">
      <w:pPr>
        <w:pStyle w:val="27"/>
        <w:shd w:val="clear" w:color="auto" w:fill="auto"/>
        <w:spacing w:after="0" w:line="240" w:lineRule="auto"/>
        <w:ind w:firstLine="0"/>
        <w:rPr>
          <w:rFonts w:ascii="Times New Roman" w:cs="Times New Roman"/>
          <w:color w:val="000000" w:themeColor="text1"/>
          <w:spacing w:val="0"/>
        </w:rPr>
      </w:pPr>
    </w:p>
    <w:p w14:paraId="33FBD55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началась Ельнинско-Дрогобычская наступательная операция советских войск (4962).</w:t>
      </w:r>
    </w:p>
    <w:p w14:paraId="5F337BE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2675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28 августа по 6 сентября 1943 была Ельнинско-Дорогобужская операция войск ЗФ - часть Смоленской операции. Продвинулись на 35-40 км (3398,310).</w:t>
      </w:r>
    </w:p>
    <w:p w14:paraId="3F699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B4339"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28 августа </w:t>
      </w:r>
      <w:r w:rsidRPr="00271E51">
        <w:rPr>
          <w:rFonts w:ascii="Times New Roman" w:hAnsi="Times New Roman"/>
          <w:color w:val="000000" w:themeColor="text1"/>
          <w:sz w:val="16"/>
          <w:szCs w:val="16"/>
        </w:rPr>
        <w:t>в 1943 году началась Ельнинско-Дорогобужская наступательная операция войск Западного фронта (10-я гвардейская, 21-я и 33-я армии, 5-й механизированный, 6-й гвардейский кавалерийский, 2-й гвардейский танковый корпуса, 1-я воздушная армия с рубежа восточнее Сафонове, восточнее Дорогобужа, Потапово, западнее Кирова - генерал армии В.Д.Соколовский), продолжавшаяся до 6 сентября. Советские войска прорвали оборону немецко-фашистских войск на фронте до 25 км и продвинулись вглубь на 6-8 км (14752).</w:t>
      </w:r>
    </w:p>
    <w:p w14:paraId="0F7EC657"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28 августа </w:t>
      </w:r>
      <w:r w:rsidRPr="00271E51">
        <w:rPr>
          <w:rFonts w:ascii="Times New Roman" w:hAnsi="Times New Roman"/>
          <w:color w:val="000000" w:themeColor="text1"/>
          <w:sz w:val="16"/>
          <w:szCs w:val="16"/>
        </w:rPr>
        <w:t>в 1943 году авиация Северного флота потопила в Перс-фьорде два транспорта и сторожевой корабль противника (14752).</w:t>
      </w:r>
    </w:p>
    <w:p w14:paraId="0D8BA8E9"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41DBBA0D" w14:textId="77777777" w:rsidR="00C504D8" w:rsidRPr="00271E51" w:rsidRDefault="00C504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28 августа </w:t>
      </w:r>
      <w:r w:rsidRPr="00271E51">
        <w:rPr>
          <w:rFonts w:ascii="Times New Roman" w:hAnsi="Times New Roman"/>
          <w:color w:val="000000" w:themeColor="text1"/>
          <w:sz w:val="16"/>
          <w:szCs w:val="16"/>
        </w:rPr>
        <w:t>в 1943 году советскими подводниками потоплена немецкая "семерка" U-639 (командир - обер-лейтенант Вальтер Вихман). Лодка возвращалась в Норвегию вокруг северной оконечности Новой Земли после постановки минного заграждения в Обской губе (немцы свято верили в оживленное судоходство на трассе СМП вплоть до ленд-лизовских поставок грузов из США). Радиоперехват обмена немецких лодок в Карском море заставил командование Северного Флота с июля 1943 развернуть в районе мыса Желания две дозорные позиции, на одну из которых 7 августа вышла С-101 (капитан 3-го ранга Е.Н.Трофимов, старший на борту КДн капитан 2-го ранга П.И.Егоров), ГАС которой в 10.00 28 числа и засекла в 8 милях восточнее северной оконечности Новой Земли подозрительный шум. В 10.30 вступивший в командование ПЛ Егоров (Трофимов чуть не упустил контакт), подобравшись на дистанцию 6 кабельтовых, атаковал идущую в позиционном положении "немку" тремя торпедами, попав одной из них. На месте гибели цели были подобраны документы, неопровержимо доказывающие факт гибели «U-639». К сожалению, нашим подводникам в годы ВОВ не удалось потопить более крупного боевого корабля противника, чем эта лодка, полным водоизмещением чуть больше 750 тонн (14752).</w:t>
      </w:r>
    </w:p>
    <w:p w14:paraId="257D6289" w14:textId="77777777" w:rsidR="00C504D8" w:rsidRPr="00271E51" w:rsidRDefault="00C504D8" w:rsidP="00271E51">
      <w:pPr>
        <w:spacing w:after="0" w:line="240" w:lineRule="auto"/>
        <w:jc w:val="both"/>
        <w:rPr>
          <w:rFonts w:ascii="Times New Roman" w:hAnsi="Times New Roman"/>
          <w:color w:val="000000" w:themeColor="text1"/>
          <w:sz w:val="16"/>
          <w:szCs w:val="16"/>
        </w:rPr>
      </w:pPr>
    </w:p>
    <w:p w14:paraId="5639E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освободили Харьков (2438,89).</w:t>
      </w:r>
    </w:p>
    <w:p w14:paraId="061808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D2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г. вечером ТКА №116 вышел из Ейска с заданием - на трассе Мариуполь-Керчь перехватить использовавшийся врагом танкер “Грозный”. Обнаружить его не удалось и 116-й ни с чем вернулся в базу (6002).</w:t>
      </w:r>
    </w:p>
    <w:p w14:paraId="260708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A1A5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E020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A62C4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заговорщиками убит царь Болгарии Борис III (4962).</w:t>
      </w:r>
    </w:p>
    <w:p w14:paraId="24FE100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B92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28, 1943: Bulgarian King Boris III dies under mysterious circumstances (3819).</w:t>
      </w:r>
    </w:p>
    <w:p w14:paraId="779191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82C6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в Болгарии скоропостижно умер царь Борис III и новым царем стал 5 летний сын Симеон 2 (3186).</w:t>
      </w:r>
    </w:p>
    <w:p w14:paraId="0205E0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F9FD1" w14:textId="77777777" w:rsidR="009415BB" w:rsidRPr="00271E51" w:rsidRDefault="009415BB"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28 августа 1943 г. в Софии при таинственных обстоятель</w:t>
      </w:r>
      <w:r w:rsidRPr="00271E51">
        <w:rPr>
          <w:rFonts w:ascii="Times New Roman" w:hAnsi="Times New Roman" w:cs="Times New Roman"/>
          <w:color w:val="000000" w:themeColor="text1"/>
          <w:sz w:val="16"/>
          <w:szCs w:val="16"/>
        </w:rPr>
        <w:softHyphen/>
        <w:t>ствах скончался царь Борис. Ряд историков подозревают от</w:t>
      </w:r>
      <w:r w:rsidRPr="00271E51">
        <w:rPr>
          <w:rFonts w:ascii="Times New Roman" w:hAnsi="Times New Roman" w:cs="Times New Roman"/>
          <w:color w:val="000000" w:themeColor="text1"/>
          <w:sz w:val="16"/>
          <w:szCs w:val="16"/>
        </w:rPr>
        <w:softHyphen/>
        <w:t>равление, а само убийство царя вроде как было организовано спецслужбами англичан. Не будем забывать, что Черчилль пла</w:t>
      </w:r>
      <w:r w:rsidRPr="00271E51">
        <w:rPr>
          <w:rFonts w:ascii="Times New Roman" w:hAnsi="Times New Roman" w:cs="Times New Roman"/>
          <w:color w:val="000000" w:themeColor="text1"/>
          <w:sz w:val="16"/>
          <w:szCs w:val="16"/>
        </w:rPr>
        <w:softHyphen/>
        <w:t>нировал после капитуляции Италии вторгнуться на Балканы. На престоле оказался сын Бориса Симеон II. А отроду новому царю было всего... 6 лет. От имени Симеона II правил регентский совет, непопулярный в стране и раздираемый внутренними противоречиями (19104).</w:t>
      </w:r>
    </w:p>
    <w:p w14:paraId="7352EEC4" w14:textId="77777777" w:rsidR="009415BB" w:rsidRPr="00271E51" w:rsidRDefault="009415BB"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p>
    <w:p w14:paraId="4F9EB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августа 1943 Дания объявила всеобщую забастовку против немецкой оккупации (3481).</w:t>
      </w:r>
    </w:p>
    <w:p w14:paraId="17E731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4E1B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264B0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E186F2" w14:textId="77777777" w:rsidR="009415BB" w:rsidRPr="00271E51" w:rsidRDefault="009415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г. командующий 8-й воздушной армией генерал-лейтенант Т.Т. Хрюкин в докладе на имя командующего ВВС КА маршала А.А. Новикова писал: «Применение авиационных гранат АГ-2 на самолетах Ил-2 для защиты нижней задней полусферы дали положительные результаты. /…/ Истребители противника атакуют Ил-2 в большинстве случаев сзади снизу. Из числа раненых и убитых воздушных стрелков до 80% от атак истребителей противника сзади снизу». В этой связи Хрюкин просил распоряжения «об установке ДАГ-10 под гранаты АГ-2 на всех вновь выпускаемых промышленностью самолетах и высылки частям для установки их на месте своими средствами». Предпринятые командованием ВВС КА шаги завершились выходом в ноябре 1943 г. специального распоряжения Государственного Комитета обороны, предусматривавшего «поставку в короткий срок увеличенного количества АГ-2», а также максимальное использование задела корпусов и элементов АГ-2, имевшегося в наличии на заводе № 11 НКБ. До конца года Наркомат боеприпасов довел объем поставки гранат АГ-2 в части ВВС КА до 269 707 единиц, а до 1 июня следующего года отгрузил еще 277 000 шт. Между тем опыт применения в войсках АГ-2 и ДАГ-10 выявил ряд опасных дефектов и недостатков, которые требовалось устранить немедленно (19775).</w:t>
      </w:r>
    </w:p>
    <w:p w14:paraId="6602AD08" w14:textId="77777777" w:rsidR="009415BB" w:rsidRPr="00271E51" w:rsidRDefault="009415BB" w:rsidP="00271E51">
      <w:pPr>
        <w:spacing w:after="0" w:line="240" w:lineRule="auto"/>
        <w:jc w:val="both"/>
        <w:rPr>
          <w:rFonts w:ascii="Times New Roman" w:hAnsi="Times New Roman"/>
          <w:color w:val="000000" w:themeColor="text1"/>
          <w:sz w:val="16"/>
          <w:szCs w:val="16"/>
        </w:rPr>
      </w:pPr>
    </w:p>
    <w:p w14:paraId="0FB4F1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на И-220 с АМ-39 А.И.М. был установлен всесоюзный рекорд скорости 697 км/час (2668).</w:t>
      </w:r>
    </w:p>
    <w:p w14:paraId="2BAD6D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48B3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г. на перехватчике И-220 (ОКБ "МиГ") с мотором М-39 в 1700 л.с. А.И.Жуков достиг скорости 697 км/час (всесоюзный рекорд) (6395).</w:t>
      </w:r>
    </w:p>
    <w:p w14:paraId="5B9E60F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B2B0A"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w:t>
      </w:r>
      <w:r w:rsidRPr="00271E51">
        <w:rPr>
          <w:rStyle w:val="ucoz-forum-post"/>
          <w:rFonts w:ascii="Times New Roman" w:eastAsia="Times New Roman" w:hAnsi="Times New Roman"/>
          <w:color w:val="000000" w:themeColor="text1"/>
          <w:sz w:val="16"/>
          <w:szCs w:val="16"/>
        </w:rPr>
        <w:t xml:space="preserve"> 1943. На перехватчике И-220 (ОКБ «МиГ») с мотором М-39 в 1700 л.с. А.И.Жуков достиг скорости 697 км/час (всесоюзный рекорд) </w:t>
      </w:r>
    </w:p>
    <w:p w14:paraId="6FAEFEC3" w14:textId="77777777" w:rsidR="009849D8" w:rsidRPr="00271E51" w:rsidRDefault="009849D8" w:rsidP="00271E51">
      <w:pPr>
        <w:spacing w:after="0" w:line="240" w:lineRule="auto"/>
        <w:jc w:val="both"/>
        <w:rPr>
          <w:rFonts w:ascii="Times New Roman" w:hAnsi="Times New Roman"/>
          <w:color w:val="000000" w:themeColor="text1"/>
          <w:sz w:val="16"/>
          <w:szCs w:val="16"/>
        </w:rPr>
      </w:pPr>
    </w:p>
    <w:p w14:paraId="277080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29 августа 1943 г. во исполнение решения ГКО о восстановлении авиационного завода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Харькове от 28.08.1943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2208B7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1945-46 г. на завод поставлено трофейное оборудование из Вены с заводов «Штейер-Дамлер-Пух» (330 единиц), «Мессершмит» и «Хейнкель» - всего 487 единиц.</w:t>
      </w:r>
    </w:p>
    <w:p w14:paraId="4381AE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611957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24356D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30B95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16929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18.07.1958 г. вышло Постановление СМ СССР о серийном производстве Ту-124.</w:t>
      </w:r>
    </w:p>
    <w:p w14:paraId="4A710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6D46F1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55AD0F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6B3B6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6231F1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0FC0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4FC81A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AA815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19.06.1986 г. вступил в строй механический цех № 54.</w:t>
      </w:r>
    </w:p>
    <w:p w14:paraId="2D4A3C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140989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4CE39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271E51">
        <w:rPr>
          <w:rFonts w:ascii="Times New Roman" w:hAnsi="Times New Roman"/>
          <w:color w:val="000000" w:themeColor="text1"/>
          <w:sz w:val="16"/>
          <w:szCs w:val="16"/>
          <w:lang w:val="en-US"/>
        </w:rPr>
        <w:t>WEB</w:t>
      </w:r>
      <w:r w:rsidRPr="00271E51">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271E51">
        <w:rPr>
          <w:rFonts w:ascii="Times New Roman" w:hAnsi="Times New Roman"/>
          <w:color w:val="000000" w:themeColor="text1"/>
          <w:sz w:val="16"/>
          <w:szCs w:val="16"/>
          <w:lang w:val="en-US"/>
        </w:rPr>
        <w:t>PR</w:t>
      </w:r>
      <w:r w:rsidRPr="00271E51">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533D4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1EB5D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(11.1940 г.)- 502 металлорежущих станков.</w:t>
      </w:r>
    </w:p>
    <w:p w14:paraId="6D7C0C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4AE8F2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Кладченко, (07.2002-07 г.)- П.О. Науменко; и.о. гендиректора (05.2007 г.-)- С. Задорожный.</w:t>
      </w:r>
    </w:p>
    <w:p w14:paraId="65B857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6BF261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Кладченко, (20.04-7.10.1996 г.)- В.П. Михнич, (10.1996-2003 г.-&gt; В.И. Заяц.</w:t>
      </w:r>
    </w:p>
    <w:p w14:paraId="4C8408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по Ан-74- С.М. Федак.</w:t>
      </w:r>
    </w:p>
    <w:p w14:paraId="0043F9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4AC069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(-12.1937 г.)- Арсон.</w:t>
      </w:r>
    </w:p>
    <w:p w14:paraId="52965B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Сивокозов.</w:t>
      </w:r>
    </w:p>
    <w:p w14:paraId="6D4B4D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технолога- В.И. Заяц.</w:t>
      </w:r>
    </w:p>
    <w:p w14:paraId="7CEF35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коммерческого департамента (2007 г.)- С. Задорожный.</w:t>
      </w:r>
    </w:p>
    <w:p w14:paraId="7FF642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московского представительства (2002 г.)- И.Н. Платоненко.</w:t>
      </w:r>
    </w:p>
    <w:p w14:paraId="255D9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130EEF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3EFAE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снабжения (11.1930 г.-)- И.И. Чуркин.</w:t>
      </w:r>
    </w:p>
    <w:p w14:paraId="3BB4DE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Руководители бригад: по приспособлениям (-1938 г.)- Гринченко.</w:t>
      </w:r>
    </w:p>
    <w:p w14:paraId="24C38F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271E51">
        <w:rPr>
          <w:rFonts w:ascii="Times New Roman" w:hAnsi="Times New Roman"/>
          <w:color w:val="000000" w:themeColor="text1"/>
          <w:sz w:val="16"/>
          <w:szCs w:val="16"/>
          <w:lang w:val="en-US"/>
        </w:rPr>
        <w:t>Z</w:t>
      </w:r>
      <w:r w:rsidRPr="00271E51">
        <w:rPr>
          <w:rFonts w:ascii="Times New Roman" w:hAnsi="Times New Roman"/>
          <w:color w:val="000000" w:themeColor="text1"/>
          <w:sz w:val="16"/>
          <w:szCs w:val="16"/>
        </w:rPr>
        <w:t xml:space="preserve"> (1934-35)- 50, ИП-1 (1936-38)- 200 (по [</w:t>
      </w:r>
      <w:r w:rsidRPr="00271E51">
        <w:rPr>
          <w:rFonts w:ascii="Times New Roman" w:hAnsi="Times New Roman"/>
          <w:color w:val="000000" w:themeColor="text1"/>
          <w:sz w:val="16"/>
          <w:szCs w:val="16"/>
          <w:lang w:val="en-US"/>
        </w:rPr>
        <w:t>www</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ksamc</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com</w:t>
      </w:r>
      <w:r w:rsidRPr="00271E51">
        <w:rPr>
          <w:rFonts w:ascii="Times New Roman" w:hAnsi="Times New Roman"/>
          <w:color w:val="000000" w:themeColor="text1"/>
          <w:sz w:val="16"/>
          <w:szCs w:val="16"/>
        </w:rPr>
        <w:t xml:space="preserve">]- 90, а 200- плановая цифра), Р-10 (1937-39)- 355, ХАИ-51 (1938)- 1, ХАИ-52 (1939), Су-2 (1939- </w:t>
      </w:r>
      <w:r w:rsidRPr="00271E51">
        <w:rPr>
          <w:rFonts w:ascii="Times New Roman" w:hAnsi="Times New Roman"/>
          <w:color w:val="000000" w:themeColor="text1"/>
          <w:sz w:val="16"/>
          <w:szCs w:val="16"/>
        </w:rPr>
        <w:lastRenderedPageBreak/>
        <w:t>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D5288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271E51">
        <w:rPr>
          <w:rFonts w:ascii="Times New Roman" w:hAnsi="Times New Roman"/>
          <w:color w:val="000000" w:themeColor="text1"/>
          <w:sz w:val="16"/>
          <w:szCs w:val="16"/>
          <w:vertAlign w:val="superscript"/>
          <w:lang w:val="en-US"/>
        </w:rPr>
        <w:t>wwwksamc</w:t>
      </w:r>
      <w:r w:rsidRPr="00271E51">
        <w:rPr>
          <w:rFonts w:ascii="Times New Roman" w:hAnsi="Times New Roman"/>
          <w:color w:val="000000" w:themeColor="text1"/>
          <w:sz w:val="16"/>
          <w:szCs w:val="16"/>
          <w:vertAlign w:val="superscript"/>
        </w:rPr>
        <w:t xml:space="preserve"> сот</w:t>
      </w:r>
    </w:p>
    <w:p w14:paraId="624FA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Заводские №: 13534 - И-</w:t>
      </w:r>
      <w:r w:rsidRPr="00271E51">
        <w:rPr>
          <w:rFonts w:ascii="Times New Roman" w:hAnsi="Times New Roman"/>
          <w:color w:val="000000" w:themeColor="text1"/>
          <w:sz w:val="16"/>
          <w:szCs w:val="16"/>
          <w:lang w:val="en-US"/>
        </w:rPr>
        <w:t>Z</w:t>
      </w:r>
      <w:r w:rsidRPr="00271E51">
        <w:rPr>
          <w:rFonts w:ascii="Times New Roman" w:hAnsi="Times New Roman"/>
          <w:color w:val="000000" w:themeColor="text1"/>
          <w:sz w:val="16"/>
          <w:szCs w:val="16"/>
        </w:rPr>
        <w:t xml:space="preserve"> (11982).</w:t>
      </w:r>
    </w:p>
    <w:p w14:paraId="23FAAE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C4FEE"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29 августа 1943 на территорию бывшего завода № 135 уже прибыла из Москвы группа кадровых работников этого завода, приступивших к расчистке развалин и организации на этой территории ремонта самолетов воинских частей. Еще через три дня, 28 августа, Государственный Комитет Обороны принял решение о восстановлении Харьковского авиационного завода. Организацию этого процесса взяла на себя приехавшая из Москвы комиссия во главе с уполномоченным Наркомата авиационной промышленности В. З. Шифриным. Именно он в качестве директора поставил свою подпись под приказом № 135 по заводу. Приказ объявлял «29 августа нормальным рабочим днем» и на всякий случай предупреждал, что неявка на работу «будет рассматриваться как нарушение трудовой дисциплины по законам военного времени» [6, с. 152]. У корпусов, которые были пригодны к восстановлению, имелись лишь стены, да и то зиявшие пробоинами. На весь завод - ни одного целого окна, ни одной двери. До войны Харьковский авиационный завод (ХАЗ) занимал 80 тыс. кв. м. производственных площадей. Теперь разместить оборудование можно было лишь на восьмой части былой площади. Еще столько же признали «условно пригодной», с тем, чтобы в ближайшее время начать восстановительные работы [Там же, с. 153]. В сентябре привезли из Саратова первые механические станки. Правда, целых среди них не было ни одного: в цех, откуда их вывезли, попала бомба, все станки обгорели и, в лучшем случае, годились бы разве что в металлолом, но выбирать не приходилось. Оборудование разместили в более-менее уцелевшем корпусе завода, который отремонтировали собственными силами [Там же, с. 156].</w:t>
      </w:r>
    </w:p>
    <w:p w14:paraId="6A634DED"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28 сентября 1943 г. родился еще один важный документ - график восстановления жилого фонда завода.</w:t>
      </w:r>
    </w:p>
    <w:p w14:paraId="7EB16F96"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Дирекция распределила между цехами ремонтные объекты, назначила сроки вселения работников ХАЗа в новое жилье. Речь шла, конечно, не об отдельных квартирах, но в 1943 г. каждый был рад и «коммуналке», и теплому бараку [Там же].</w:t>
      </w:r>
    </w:p>
    <w:p w14:paraId="7812BC4F"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Восстановление завода осуществлялось хозяйственным способом поэтапно, что обеспечивало комплексное развитие предприятия. Постановлением Государственного Комитета Обороны № 4290 с от 8 октября 1943 г. и приказа НКАП № 665с от 5 ноября 1943 г. заводу был присвоен его прежний номер 135 с отнесением к предприятиям 2-й категории. В целях приближения сборки самолетов к линии фронта совместным постановлением НКАП и Командующего ВВС за № 720/0247 от 2 декабря 1943 г. на харьковском заводе была организована сборка истребителей Як-7 и Як-9 производства заводов № 153 и № 166 с оставлением на заводе ремонта самолетов воинских частей. Кооперация более чем разумная: Харьков находился рядом с линией фронта. Сборка здесь самолетов позволяла избежать сложной и дорогостоящей перегонки боевых машин из Сибири, сберегала моторесурс двигателей, экономила время [Там же]. В декабре 1943 было собрано и передано воинским частям 150 самолетов Як-9 и в 1944 г. - 1870 машин [4, д. 2882, л. 127].</w:t>
      </w:r>
    </w:p>
    <w:p w14:paraId="01CF156B"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Осенью 1944-го были подведены первые итоги восстановления ХАЗа. Общая численность работающих выросла с 576 до 2235 человек. Из них 1335 рабочих были заняты в основном производстве. Станочный парк вырос за этот период более чем в семь с половиной раз. Общая цифра самолетов харьковской сборки за время войны - 2400 [6, с. 161].</w:t>
      </w:r>
    </w:p>
    <w:p w14:paraId="007560F3"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Весной 1945 г. Харьковский завод направил в Германию трофейные бригады для вывоза оборудования по репарациям. Эшелоны с трофейным оборудованием прибывали в Харьков до весны 1946 г. В докладе директора руководству авиационной промышленности говорилось о 1150 единицах станочно-прессового оборудования, в том числе и уникального, полученного из пригородов Вены, где располагались авиазаводы фирм «Мессершмитт» и «Хейнкель». Всего для перевозки потребовалось 185 платформ и вагонов. В одном из них находилась АТС на 300 номеров и радиоузел [Там же, с. 165-166].</w:t>
      </w:r>
    </w:p>
    <w:p w14:paraId="3214EACD"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соответствии с приказом НКАП № 208с от 14 мая 1945 г. завод начал подготовку производства двухмоторных пассажирских самолетов Як-8 с моторами М-11Ф. К весне 1946 г. удалось построить первые четыре машины [Там же, с. 167]. По приказу НКАП № 715с от 30 декабря 1945 г. завод приступил к организации переоборудования самолетов Як-9 ВК-105ПФ производства завода № 153 в бомбардировочный вариант (было переоборудовано 78 самолетов) [4, д. 2882, л. 127].</w:t>
      </w:r>
    </w:p>
    <w:p w14:paraId="67807E80"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1945-1946 гг. были характерны тем, что указанные производственные задания изменялись. Заканчиваемые освоением и налаженные в серийный выпуск изделия снимались с производства. ХАЗ находился не в лучшем положении, чем все остальные предприятия: финансирование из Москвы, мягко говоря, щедростью не отличалось. Поставки энергоносителей, то есть топлива и электричества, не выполнялись. В июле 1946 г. из-за перебоев с электроэнергией производство пришлось переводить на работу с 16 часов. В декабре 1946 г. полное отсутствие топлива стало причиной массовых простоев. В декабре 1947 г. из-за свирепых холодов прекратили работу все цеха и отделы завода [6, с. 167].</w:t>
      </w:r>
    </w:p>
    <w:p w14:paraId="4781DEDC"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сентябре 1946 г. значительная часть производственных площадей завода № 135 (11 244 кв. м.) была передана реэвакуированному в г. Харьков заводу № 296 (ныне ПО ФЭД) в соответствии с Постановлением Совета Министров СССР № 1927-812с от 29 августа 1946 г. и приказом Министерства авиационной промышленности (МАП) СССР № 512с от 9 августа 1946 г. Возникла перспектива полного перепрофилирования предприятия. В этих условиях 6 декабря 1946 г. группа кадровых работников завода обратилась с письмом к министру авиационной промышленности М. В. Хруничеву, в котором в частности говорилось:</w:t>
      </w:r>
    </w:p>
    <w:p w14:paraId="5C4F84B9"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«…считаем своим долгом просить Вас сохранить заводу № 135 самолетостроительный профиль и утвердить техническое задание на ближайшие годы» [Там же, с. 168].</w:t>
      </w:r>
    </w:p>
    <w:p w14:paraId="71A38F23"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Приказом МАП № 76с от 26 января 1947 г. перед заводом была поставлена задача организации производства учебно-тренировочных самолетов Як-18. В 1948-м завод успешно освоил серийное производство самолетов Як-18 и обеспечил планомерный выпуск этих машин. К концу 1949 г. завод достиг выпуска 2-3 самолетов в сутки.</w:t>
      </w:r>
    </w:p>
    <w:p w14:paraId="2AB71B11"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Развивалась и социальная сфера завода. На строительство и благоустройство жилья ХАЗ получил в 1947 г. 800 000 рублей. Эти деньги пошли на ремонт заводских домов. Нашлись средства даже на бесплатные путевки в санатории и дома отдыха, на эти цели МАП выделил 93 000 рублей [Там же].</w:t>
      </w:r>
    </w:p>
    <w:p w14:paraId="4D961DA3"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1949 г. удалось реконструировать котельную, сборочный цех площадью 1100 кв. м., отремонтировать два этажа административного корпуса, здание дирекции завода. Станочный парк тоже расширялся. В 1949 г. были смонтированы болто-высадочный автомат и револьверные автоматы, введены в эксплуатацию 320-тонный пресс и 150-тонный фрикционный пресс, восстановлены кривошипный 315-тонный пресс и воздушный падающий молот, заработали десятки новых металлообрабатывающих станков [Там же, с. 175].</w:t>
      </w:r>
    </w:p>
    <w:p w14:paraId="12FBD47A"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1949 г. приказом МАП № 1019сс от 29 декабря перед заводом была поставлена задача подготовки производства и освоения реактивного самолета УТИ МиГ-15 с началом выпуска этой машины в III квартале 1950 г. Согласно приказу МАП № 591сс от 1 июля 1950 г., в соответствии с Постановлением Совета Министров (ПСМ) СССР № 3157-1315сс от 14 июля 1950 г., в связи с переходом на производство двухместных учебно-тренировочных истребителей завод № 135 был переведен в первую категорию. В целях ускорения освоения в производстве УТИ МиГ-15 в 1950 г. заводом был получен задел в 10 самолетных агрегатов МиГ-15 для переделки их в 2-х местный вариант. По разнарядке министерства под новый заказ в течение 1950 г. было получено 126 единиц оборудования, в основном станочного. Соответственно, возникла необходимость в новых кадрах, а значит, и в их обучении. В 1950 г., когда на предприятиях города был острый недостаток в кадрах, ЦК КП(б) Украины счел необходимым издать Постановление о направлении на авиационный завод 500 квалифицированных рабочих [Там же, с. 183].</w:t>
      </w:r>
    </w:p>
    <w:p w14:paraId="62131320"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1951 году предприятие обеспечило выпуск 50 самолетов, предусмотренных планом. В 1952 г. выпуск составил 85 самолетов, в 1953-м - 158 самолетов, а в 1954 г. - 212, достигнув выпуска по сборке одного самолета в сутки [4, д. 2882, л. 129]. Всего ХАЗ выпустил 517 МиГ-15УТИ [6, с. 193].</w:t>
      </w:r>
    </w:p>
    <w:p w14:paraId="10D1A56B"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Постановлением Совета Министров от 11 июня 1954 г. № 1172-516сс «О создании дальнего скоростного пассажирского самолета конструкции Туполева» на завод № 135 было возложено задание приступить в 1954 г. к подготовке производства и организовать серийный выпуск этих самолетов в IV квартале 1955 г. в количестве трех единиц.</w:t>
      </w:r>
    </w:p>
    <w:p w14:paraId="55C3B7D6"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 xml:space="preserve">Переход производства от выпуска машин типа истребителя к тяжелым пассажирским машинам потребовал полной реконструкции завода [4, д. 2882, л. 129]. Таким образом, харьковским самолетостроителям потребовалось менее пяти лет, чтобы подготовить завод к выпуску пассажирских реактивных машин. Однако этого времени было недостаточно для достижения уровня, необходимого для освоения Ту-104: на заводе отсутствовали необходимые площади для создания нормального технологического цикла, в том числе отсутствовал сборочный цех [Там же, л. 131]. За неимением лучшего, под цех окончательной сборки решили приспособить один из полуразваленных довоенных ангаров рядом с заводским аэродромом. Собственно говоря, сохранился только его ферменный скелет. Размеры ангара позволили собирать в нем сразу три самолета Ту-104. Восстановить помещение силами ремонтно-восстановительного цеха оказалось непросто. Только к весне 1955 г. разрушенные стены достроили, побелили, пол залили цементом. К ангару сделали пристройку для кладовых, бытовок, цеховых служб. Однако для сборки самолетов помещение подходило разве что в летние месяцы: ворота цеха заменяло брезентовое полотнище, легкая шиферная крыша могла защитить от дождя, но не от мороза [6, с. 199]. Около года заводу менялись производственные задания. В августе 1955 г. он был определен как производитель Ту-104. После постройки в 1955 г. первой секции сборочного цеха корпуса № 45 площадью 4320 кв. м., третьей очереди корпуса № 1, литейного корпуса, достройки котельной, завод сумел начать выполнение </w:t>
      </w:r>
      <w:r w:rsidRPr="00271E51">
        <w:rPr>
          <w:rFonts w:ascii="Times New Roman" w:eastAsia="TimesNewRoman" w:hAnsi="Times New Roman"/>
          <w:color w:val="000000" w:themeColor="text1"/>
          <w:sz w:val="16"/>
          <w:szCs w:val="16"/>
        </w:rPr>
        <w:lastRenderedPageBreak/>
        <w:t>Постановления СМ СССР № 1920-1020сс от 15 ноября 1955 г. с выпуском в 1956 г. 8 самолетов [4, д. 2882, л. 131]. К 1960 году Харьковский завод изготовил 51 самолет Ту-104 (и еще два фюзеляжа для статиспытаний) [6, с. 221] (12696).</w:t>
      </w:r>
    </w:p>
    <w:p w14:paraId="50706EE6" w14:textId="77777777" w:rsidR="00BA7A65" w:rsidRPr="00271E51" w:rsidRDefault="00BA7A65" w:rsidP="00271E51">
      <w:pPr>
        <w:spacing w:after="0" w:line="240" w:lineRule="auto"/>
        <w:jc w:val="both"/>
        <w:rPr>
          <w:rFonts w:ascii="Times New Roman" w:eastAsia="TimesNewRoman" w:hAnsi="Times New Roman"/>
          <w:color w:val="000000" w:themeColor="text1"/>
          <w:sz w:val="16"/>
          <w:szCs w:val="16"/>
        </w:rPr>
      </w:pPr>
    </w:p>
    <w:p w14:paraId="045B457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C8402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696B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г. ГКО выпустил распоряжение о скорей</w:t>
      </w:r>
      <w:r w:rsidRPr="00271E51">
        <w:rPr>
          <w:rFonts w:ascii="Times New Roman" w:hAnsi="Times New Roman"/>
          <w:color w:val="000000" w:themeColor="text1"/>
          <w:sz w:val="16"/>
          <w:szCs w:val="16"/>
        </w:rPr>
        <w:softHyphen/>
        <w:t>шем созданю новых противотанковых средств для борьбы с немецкими тяжелыми танками и САУ. Поэтому в сентяб</w:t>
      </w:r>
      <w:r w:rsidRPr="00271E51">
        <w:rPr>
          <w:rFonts w:ascii="Times New Roman" w:hAnsi="Times New Roman"/>
          <w:color w:val="000000" w:themeColor="text1"/>
          <w:sz w:val="16"/>
          <w:szCs w:val="16"/>
        </w:rPr>
        <w:softHyphen/>
        <w:t>ре-октябре 1943 г. КБ Уралмашзавода с санкции Управле</w:t>
      </w:r>
      <w:r w:rsidRPr="00271E51">
        <w:rPr>
          <w:rFonts w:ascii="Times New Roman" w:hAnsi="Times New Roman"/>
          <w:color w:val="000000" w:themeColor="text1"/>
          <w:sz w:val="16"/>
          <w:szCs w:val="16"/>
        </w:rPr>
        <w:softHyphen/>
        <w:t>ния Самоходной артиллерии и Главного Артуправления Красной Армии выполнило следующие эскизные проекты:</w:t>
      </w:r>
    </w:p>
    <w:p w14:paraId="7A3B63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Средняя самоходная установка 152-мм гаубицы обр. 1943 г. (Д-15), ведущая огонь снарядом массой 40-49 кг с нач. скоростью 508 м/с в карданной рамке. Проект велся под индексом СУ-Д-15 и предлагался на замену СУ-122 при про</w:t>
      </w:r>
      <w:r w:rsidRPr="00271E51">
        <w:rPr>
          <w:rFonts w:ascii="Times New Roman" w:hAnsi="Times New Roman"/>
          <w:color w:val="000000" w:themeColor="text1"/>
          <w:sz w:val="16"/>
          <w:szCs w:val="16"/>
        </w:rPr>
        <w:softHyphen/>
        <w:t>рыве особо укрепленных полос обороны противника.</w:t>
      </w:r>
    </w:p>
    <w:p w14:paraId="535D5B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Средняя самоходная установка 122-мм пушки обр. 1943 г. (Д-25), ведущая огонь снарядом массой 25,8 кг с нач. скоростью 790 м/с в карданной рамке. Попытка быстрого пе</w:t>
      </w:r>
      <w:r w:rsidRPr="00271E51">
        <w:rPr>
          <w:rFonts w:ascii="Times New Roman" w:hAnsi="Times New Roman"/>
          <w:color w:val="000000" w:themeColor="text1"/>
          <w:sz w:val="16"/>
          <w:szCs w:val="16"/>
        </w:rPr>
        <w:softHyphen/>
        <w:t>ревооружения СУ-85 122-мм пушкой подобно тому, как танк ИС-85 был быстро конверсирован в ИС-122.</w:t>
      </w:r>
    </w:p>
    <w:p w14:paraId="3F8E6E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Средняя зенитно-противотанковая 85-мм пушка обр. 1939 г. (52К) в частично бронированной вращающейся руб</w:t>
      </w:r>
      <w:r w:rsidRPr="00271E51">
        <w:rPr>
          <w:rFonts w:ascii="Times New Roman" w:hAnsi="Times New Roman"/>
          <w:color w:val="000000" w:themeColor="text1"/>
          <w:sz w:val="16"/>
          <w:szCs w:val="16"/>
        </w:rPr>
        <w:softHyphen/>
        <w:t>ке или за щитом на открытой в бою платформе.</w:t>
      </w:r>
    </w:p>
    <w:p w14:paraId="561F6C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Зенитная самоходная установка 37-мм автоматичес</w:t>
      </w:r>
      <w:r w:rsidRPr="00271E51">
        <w:rPr>
          <w:rFonts w:ascii="Times New Roman" w:hAnsi="Times New Roman"/>
          <w:color w:val="000000" w:themeColor="text1"/>
          <w:sz w:val="16"/>
          <w:szCs w:val="16"/>
        </w:rPr>
        <w:softHyphen/>
        <w:t>кой пушки обр. 1939-41 гг. (61К) в открытой сверху башне.</w:t>
      </w:r>
    </w:p>
    <w:p w14:paraId="0EA40D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Рассмотрение проектов показало, что:</w:t>
      </w:r>
    </w:p>
    <w:p w14:paraId="46A9DC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вооружение средней САУ 152-мм гаубицей увеличива</w:t>
      </w:r>
      <w:r w:rsidRPr="00271E51">
        <w:rPr>
          <w:rFonts w:ascii="Times New Roman" w:hAnsi="Times New Roman"/>
          <w:color w:val="000000" w:themeColor="text1"/>
          <w:sz w:val="16"/>
          <w:szCs w:val="16"/>
        </w:rPr>
        <w:softHyphen/>
        <w:t>ет фугасное действие снаряда вдвое по сравнению с СУ-85 и почти на 25% по сравнению с СУ-122, но при этом масса САУ увеличивается на 1,5 тн, а для обеспечения требуемого БК нужно сократить возимый запас топлива...</w:t>
      </w:r>
    </w:p>
    <w:p w14:paraId="7D793B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установка в СУ-85122-мм пушки Д-25 требует увели</w:t>
      </w:r>
      <w:r w:rsidRPr="00271E51">
        <w:rPr>
          <w:rFonts w:ascii="Times New Roman" w:hAnsi="Times New Roman"/>
          <w:color w:val="000000" w:themeColor="text1"/>
          <w:sz w:val="16"/>
          <w:szCs w:val="16"/>
        </w:rPr>
        <w:softHyphen/>
        <w:t>чить объем рубки, что можно выполнить только с отказом от наклонного расположения бортов СУ-85... Это, а также значительная масса самого орудия, увеличивает вес СУ-Д-25 на 2,5 тонны относ. СУ-85 при том, что бронепробиваемость на дальности 1000м ожидается больше чем на 30% превыша</w:t>
      </w:r>
      <w:r w:rsidRPr="00271E51">
        <w:rPr>
          <w:rFonts w:ascii="Times New Roman" w:hAnsi="Times New Roman"/>
          <w:color w:val="000000" w:themeColor="text1"/>
          <w:sz w:val="16"/>
          <w:szCs w:val="16"/>
        </w:rPr>
        <w:softHyphen/>
        <w:t>ющей Д5-С85, но возимый БКсоставляет 30выстрелов...</w:t>
      </w:r>
    </w:p>
    <w:p w14:paraId="2EFFAB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эскизные проекты зенитных САУ не позволяют сохра</w:t>
      </w:r>
      <w:r w:rsidRPr="00271E51">
        <w:rPr>
          <w:rFonts w:ascii="Times New Roman" w:hAnsi="Times New Roman"/>
          <w:color w:val="000000" w:themeColor="text1"/>
          <w:sz w:val="16"/>
          <w:szCs w:val="16"/>
        </w:rPr>
        <w:softHyphen/>
        <w:t>нить преемственность с СУ-85 и с танком Т-34при значитель</w:t>
      </w:r>
      <w:r w:rsidRPr="00271E51">
        <w:rPr>
          <w:rFonts w:ascii="Times New Roman" w:hAnsi="Times New Roman"/>
          <w:color w:val="000000" w:themeColor="text1"/>
          <w:sz w:val="16"/>
          <w:szCs w:val="16"/>
        </w:rPr>
        <w:softHyphen/>
        <w:t>ной высоте. Разработку средних зенитных САУ прекратить...»</w:t>
      </w:r>
    </w:p>
    <w:p w14:paraId="215051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все рассмотренные эскизы были забра</w:t>
      </w:r>
      <w:r w:rsidRPr="00271E51">
        <w:rPr>
          <w:rFonts w:ascii="Times New Roman" w:hAnsi="Times New Roman"/>
          <w:color w:val="000000" w:themeColor="text1"/>
          <w:sz w:val="16"/>
          <w:szCs w:val="16"/>
        </w:rPr>
        <w:softHyphen/>
        <w:t>кованы, но проект увеличенной боевой рубки самоходно-ар-тиллерийской установки СУ-Д-15 усиленного бронирования и повышенного объема вызвал живейший интерес (11417).</w:t>
      </w:r>
    </w:p>
    <w:p w14:paraId="216108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820EC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3991 [О мобилизации 2 тыс. чел. неработающего сельского и городского населения для укомплектования военизированной охраны объектов УГМР.] (7135, 61,62-63).</w:t>
      </w:r>
    </w:p>
    <w:p w14:paraId="727E40A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846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3992 О предоставлении 2 тыс. красноармейцев Наркомбумпрому для выгрузки древесины из воды.РГАНИР, Фонд ГКО, д. 147, лл. 64 (11012).</w:t>
      </w:r>
    </w:p>
    <w:p w14:paraId="22D3B4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29CA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3993 О восстановлении производства паровых турбин и турбомашин на Невском машиностроительном заводе им. Ленина Наркомтяжмаша в г. Ленинграде. (7135, 65-73,74-84).</w:t>
      </w:r>
    </w:p>
    <w:p w14:paraId="60D1B27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B7CD8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3994 О восстановлении Тырныаузского вольфрамово-молибденового комбината HКВД СССР. (7135, 85-90,91-105).</w:t>
      </w:r>
    </w:p>
    <w:p w14:paraId="11558A0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9C95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3995 О поставке Hаркомвоенморфлоту аппаратуры типа "Спрут" для подводных лодок.РГАНИР, Фонд ГКО, д. 147, лл. 106-109, 110-116 (11012).</w:t>
      </w:r>
    </w:p>
    <w:p w14:paraId="2723AF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CCB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3996 О сроках строительства Сталинского вагоностроительного завода Hаркомсредмаша и о его материально-техническом обеспечении.РГАНИР, Фонд ГКО, д. 147, лл. 117-123, 124-128 (11012).</w:t>
      </w:r>
    </w:p>
    <w:p w14:paraId="48E0FE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9EBB6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3997 Об обеспечении строительства объекта № 32. (7135, 129-132,133-140).</w:t>
      </w:r>
    </w:p>
    <w:p w14:paraId="36884B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48D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3998. Об изменениях в плане распределения автоприцепов на III кв. 1943 г.РГАНИР, Фонд ГКО, д. 147, лл. 141, 142-144 (11012).</w:t>
      </w:r>
    </w:p>
    <w:p w14:paraId="1A9F0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F5B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3999. О выделении 500 военнообязанных, не годных к строевой службе, и дополнительных материалов НКТМ в целях обеспечения выполнения плана на III кв. 1943 г.РГАНИР, Фонд ГКО, д. 147, лл. 145-146 (11012).</w:t>
      </w:r>
    </w:p>
    <w:p w14:paraId="53B894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9CA5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4000 [О передаче HКПС от ГАУ КА 20 товарных вагонов для организации подвижной ремонтной мастерской Южного фронта.] (7135, 147).</w:t>
      </w:r>
    </w:p>
    <w:p w14:paraId="3D45134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0134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4002. О дополнительной поставке материалов на Коломенский паровозостроительный завод и завод "Красный Пролетарий" для производства паровозов.РГАНИР, Фонд ГКО, д. 147, лл. 149 (11012).</w:t>
      </w:r>
    </w:p>
    <w:p w14:paraId="2F5A3E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71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4003. О мерах по производству в промкооперации РСФСР пулеметных спаренных турельных установок МСТУ для ВМФ.РГАНИР, Фонд ГКО, д. 147, лл. 150, 151 (11012).</w:t>
      </w:r>
    </w:p>
    <w:p w14:paraId="5AC18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D964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4004 Об обеспечении дровами железных дорог с 1 июля 1943 г. до 1 июля 1944 года. (7135, 152-162,163-211).</w:t>
      </w:r>
    </w:p>
    <w:p w14:paraId="549ADE7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619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года было принято постановление ГКО "О восстановлении про</w:t>
      </w:r>
      <w:r w:rsidRPr="00271E51">
        <w:rPr>
          <w:rFonts w:ascii="Times New Roman" w:hAnsi="Times New Roman"/>
          <w:color w:val="000000" w:themeColor="text1"/>
          <w:sz w:val="16"/>
          <w:szCs w:val="16"/>
        </w:rPr>
        <w:softHyphen/>
        <w:t>изводства турбомашин на Невском машиностроительном заводе" (3898).</w:t>
      </w:r>
    </w:p>
    <w:p w14:paraId="0629D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AD6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Распоряжение ГКО № 4005. Об отгрузке материалов для строительства Орско-Халиловского металлургического комбината.РГАНИР, Фонд ГКО, д. 147, лл. 212-213 (11012).</w:t>
      </w:r>
    </w:p>
    <w:p w14:paraId="70F2A9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A37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вышло Постановление ГКО № 4006 О переводе завода № 25 НКАП из Ульяновска в Тушино, Московской обл.РГАНИР, Фонд ГКО, д. 147, лл. 214 (11012).</w:t>
      </w:r>
    </w:p>
    <w:p w14:paraId="280B3F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EEC7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A42EF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F7FE0C"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августа </w:t>
      </w:r>
      <w:r w:rsidRPr="00271E51">
        <w:rPr>
          <w:rFonts w:ascii="Times New Roman" w:hAnsi="Times New Roman"/>
          <w:color w:val="000000" w:themeColor="text1"/>
          <w:sz w:val="16"/>
          <w:szCs w:val="16"/>
        </w:rPr>
        <w:t>в 1943 году оперативная сводка Совинформбюро:</w:t>
      </w:r>
    </w:p>
    <w:p w14:paraId="58D9DE43"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августа наши войска, наступающие западнее и южнее Харькова, продвинулись вперёд от 6 до 12 километров и заняли свыше 50 населённых пунктов, в том числе город и железнодорожный узел Люботин.</w:t>
      </w:r>
    </w:p>
    <w:p w14:paraId="39308A41"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Брянска наши войска продолжали развивать наступление и, продвинувшись на отдельных участках от 7 до 15 километров, заняли свыше 40 населённых пунктов.</w:t>
      </w:r>
    </w:p>
    <w:p w14:paraId="1634B842"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в районе юго-западнее Ворошиловграда, наши войска продолжали успешное продвижение.</w:t>
      </w:r>
    </w:p>
    <w:p w14:paraId="7F8D6AE1"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наши войска вели боевую разведку.</w:t>
      </w:r>
    </w:p>
    <w:p w14:paraId="6F4A2EB3"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августа наши войска на всех фронтах подбили и уничтожили 110 немецких танков. В воздушных боях и огнём зенитной артиллерии сбито 82 самолёта противника.</w:t>
      </w:r>
    </w:p>
    <w:p w14:paraId="0BEE77B3"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Западнее Харькова наши войска продолжали наступление и заняли ряд населённых пунктов, в том числе город и железнодорожный узел Люботин. Бойцы Н-ского соединения за день боёв с противником уничтожили 600 немецких солдат и офицерови 14 вражеских танков. На другом участке советские части продвинулись вперёд на 12 километров и овладели тремя сильно укреплёнными пунктами немцев. Противник понёс большие потери в людях и технике.</w:t>
      </w:r>
    </w:p>
    <w:p w14:paraId="5672CC71"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наши войска прорвали оборону противника и, продвигаясь вперёд, заняли ряд населённых пунктов. В боях за эти пункты части Н-ского соединения истребили 1.200 гитлеровцев, подбили и сожгли 18 танков, уничтожили 24 орудия и захватили трофеи и пленных.</w:t>
      </w:r>
    </w:p>
    <w:p w14:paraId="0D19F0A8"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15 немецких самолётов.</w:t>
      </w:r>
    </w:p>
    <w:p w14:paraId="37321C32"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наступление и заняли свыше 40 населённых пунктов.</w:t>
      </w:r>
    </w:p>
    <w:p w14:paraId="187088BA"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Севека части Н-ского соединения отбили восемь следовавших одна за другой вражеских контратак. В этих боях уничтожено до 1.000 гитлеровцев. Измотав и обескровив противника, наши войска атаковали немцев, продвинулись вперёд и заняли несколько населённых пунктов. Захвачены 22 орудия, 90 пулемётов, 500 автоматов, 5 продовольственных складов и 3 склада с боеприпасами.</w:t>
      </w:r>
    </w:p>
    <w:p w14:paraId="303A03E4"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Севска советские войска продолжали развивать наступление и заняли 16 населённых пунктов. Бойцы Н-ской части после упорных боёв захватили сильно укреплённый рубеж обороны противника, в боях за который уничтожено более 400 гитлеровцев. На соседнем участке рота немцев сложила оружие и сдалась вплен.</w:t>
      </w:r>
    </w:p>
    <w:p w14:paraId="3CB3FDC5"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и зенитчики в течение дня сбили 34 самолёта противника.</w:t>
      </w:r>
    </w:p>
    <w:p w14:paraId="601B5464"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Змиева наши войска продвигались вперёд и заняли нескольконаселённых пунктов. Немцы, цепляясь за промежуточные рубежи, оказывали сильное огневое сопротивление и неоднократно переходили в контратаки. Наши части отбили контратаки противника и истребили не менее батальона гитлеровцев. Советские бронебойщики и артиллеристы подбили и сожгли 22 немецких танка и 3 бронемашины. Захвачены у противника 17 орудий и склад боеприпасов.</w:t>
      </w:r>
    </w:p>
    <w:p w14:paraId="13817AC4"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юго-западнее Ворошиловграда, части Н-ского соединения, продвигаясь вперёд, громят живую силу и технику противника. По неполным данным, советские бойцы уничтожили более 2.000 вражеских солдат и офицеров, подбили и сожгли 26 танков, уничтожили 26 орудий и 80 автомашин. Захвачено много пленных и трофеев. На одном участке наши танкисты окружили и взяли в плен 127 солдат и офицеров противника во главе с командиром батальона.</w:t>
      </w:r>
    </w:p>
    <w:p w14:paraId="694F5D09"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уничтожили до 200 гитлеровцев. Артиллерийские и миномётные подразделения разрушили 14 немецких дзотов, 3 наблюдательных пункта и несколько землянок. Разведчики Н-ской части произвели успешный ночной поиск, во время которого уничтожили несколько десятков немецких солдат и захватили пленных.</w:t>
      </w:r>
    </w:p>
    <w:p w14:paraId="24B10613"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наша авиация потопила два немецких транспорта общим водоизмещением в 8.000 тонн и сторожевой корабль противника. В воздушных боях сбито 6 немецких самолётов.</w:t>
      </w:r>
    </w:p>
    <w:p w14:paraId="3642DEA5"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советские лётчики потопили транспорт водоизмещением в 6.000 тонн и сторожевой корабль противника.</w:t>
      </w:r>
    </w:p>
    <w:p w14:paraId="3E642E51"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Азовском море наши лётчики потопили два катера, буксир и баржу противника. Трём катерам и пяти баржам причинены серьёзные повреждения.</w:t>
      </w:r>
    </w:p>
    <w:p w14:paraId="2451B31E"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из отряда «Победа», действующего в Барановичской области, 8 августа обстреляли двигавшуюся по шоссе вражескую колонну и истребили 40 гитлеровцев. Связками гранат уничтожены 6 автомашин противника. Захвачены 4 пулемёта, много винтовок и боеприпасов. Партизаны отряда «Октябрь» в течение месяца подорвали 8 немецких воинских поездов, следовавших к линии фронта. Разбиты 6 паровозов, 11 платформ с танками и 30 вагонов с солдатами.»</w:t>
      </w:r>
    </w:p>
    <w:p w14:paraId="6D5149A2"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военные власти распространяют в деревнях Гомельской области следующую листовку:</w:t>
      </w:r>
    </w:p>
    <w:p w14:paraId="6282AD7B"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«Немецкое правительство разрешает Вашей деревне поселиться в своих домах. Если Ваши планы поставок масла, мяса, яиц, а также зерна и картофеля будут регулярно выполняться, обещаем Вам спокойную жизнь, и в будущем деревня не будет подвергаться бомбардировкам».</w:t>
      </w:r>
    </w:p>
    <w:p w14:paraId="4A463B99"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Листовка подписана речицким немецким окружным комиссаром и скреплена печатью.</w:t>
      </w:r>
    </w:p>
    <w:p w14:paraId="0369365A"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захватчики подвергают воздушным бомбардировкам мирные сёлаБелоруссии. Крестьяне многих деревень, спасаясь от фашистских извергов, бросили насиженные места и скрываются в лесах. Теперь немецкие военные власти милостиво разрешили крестьянам вернуться в свои деревни, поселиться и проживать в своих собственных домах. Немецко-фашистские оккупанты обещают не подвергать деревни и сёла бомбардировкам, но взамен требуют выполнять новые поставки продовольствия. Иными словами, крестьянам предоставляется единственное право — батрачить на немцев и умирать с голоду. Однако фашистским мерзавцам не удастся запугать советских людей. В ответ на чудовищные злодеяния немцев советские патриоты с ещё большей энергией будут вести борьбу с немецкими оккупантами.» (14753).</w:t>
      </w:r>
    </w:p>
    <w:p w14:paraId="7656BF08" w14:textId="77777777" w:rsidR="009849D8" w:rsidRPr="00271E51" w:rsidRDefault="009849D8" w:rsidP="00271E51">
      <w:pPr>
        <w:spacing w:after="0" w:line="240" w:lineRule="auto"/>
        <w:jc w:val="both"/>
        <w:rPr>
          <w:rFonts w:ascii="Times New Roman" w:hAnsi="Times New Roman"/>
          <w:color w:val="000000" w:themeColor="text1"/>
          <w:sz w:val="16"/>
          <w:szCs w:val="16"/>
        </w:rPr>
      </w:pPr>
    </w:p>
    <w:p w14:paraId="78EB99C7"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Утром 29 августа 1943 в районе Новороссийска самолетами-разведчиками была обнаружена группа из семи немецких торпедных катеров, следовавших в двухкильватерной колонне со скоростью около двадцати узлов. В 7.15 для удара по ним были направлены шесть Ил-2 в сопровождении такого же числа Як-1. В 7.58 штурмовики нашли катера и атаковали их с высоты 600 метров с пологого пикирования. Всего летчики выполнили четыре захода, после которых они отчитались о «сильном повреждении» одного катера и «пожарах» на двух других. При этом ответным зенитным огнем были повреждены и сами штурмовики.</w:t>
      </w:r>
    </w:p>
    <w:p w14:paraId="01775B83"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Тем временем в 8.06 над морем появилась еще четверка Ил-2. Заметив ее, торпедные катера начали маневр уклонения, затем описанный в рапортах пилотов как «беспорядочный отход». На сей раз «черные смерти» выполнили пять заходов с высоты 700 метров под углом 20° к курсу цели. Согласно донесениям, бомбы разрывались «совсем рядом с катерами», возникли новые пожары.</w:t>
      </w:r>
    </w:p>
    <w:p w14:paraId="5AFE5993" w14:textId="77777777" w:rsidR="009415BB" w:rsidRPr="00271E51" w:rsidRDefault="009415BB" w:rsidP="00271E51">
      <w:pPr>
        <w:pStyle w:val="ae"/>
        <w:spacing w:before="0" w:after="0"/>
        <w:jc w:val="both"/>
        <w:textAlignment w:val="baseline"/>
        <w:rPr>
          <w:color w:val="000000" w:themeColor="text1"/>
          <w:sz w:val="16"/>
          <w:szCs w:val="16"/>
        </w:rPr>
      </w:pPr>
      <w:r w:rsidRPr="00271E51">
        <w:rPr>
          <w:color w:val="000000" w:themeColor="text1"/>
          <w:sz w:val="16"/>
          <w:szCs w:val="16"/>
        </w:rPr>
        <w:t>Еще через десять минут торпедные катера были атакованы уже третьей ударной группой. В нее входили четыре Ила с эскортом из Яков и «Киттихауков». Штурмовики выполнили три атаки, но прямых попаданий снова не было отмечено, что и понятно. Попасть с пологого пикирования бомбой в катер размером всего 2 на 10 метров, к тому же маневрирующий на полном ходу, было делом практически нереальным даже для пилотов Ju-87. Тем не менее рапорт начальству составили в оптимистических тонах, доложив, что «все торпедные катера оказались поврежденными, четыре из них очень сильно» (19522).</w:t>
      </w:r>
    </w:p>
    <w:p w14:paraId="6ABF43F4" w14:textId="77777777" w:rsidR="009415BB" w:rsidRPr="00271E51" w:rsidRDefault="009415BB" w:rsidP="00271E51">
      <w:pPr>
        <w:pStyle w:val="ae"/>
        <w:spacing w:before="0" w:after="0"/>
        <w:jc w:val="both"/>
        <w:textAlignment w:val="baseline"/>
        <w:rPr>
          <w:color w:val="000000" w:themeColor="text1"/>
          <w:sz w:val="16"/>
          <w:szCs w:val="16"/>
        </w:rPr>
      </w:pPr>
    </w:p>
    <w:p w14:paraId="469ECD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в 6.45 воздушной развед</w:t>
      </w:r>
      <w:r w:rsidRPr="00271E51">
        <w:rPr>
          <w:rFonts w:ascii="Times New Roman" w:hAnsi="Times New Roman"/>
          <w:color w:val="000000" w:themeColor="text1"/>
          <w:sz w:val="16"/>
          <w:szCs w:val="16"/>
        </w:rPr>
        <w:softHyphen/>
        <w:t>кой флота в 50 милях юго-восточнее Феодосии была обнаружена группа из 7 немецких ТКА, следовавших в двухкиль</w:t>
      </w:r>
      <w:r w:rsidRPr="00271E51">
        <w:rPr>
          <w:rFonts w:ascii="Times New Roman" w:hAnsi="Times New Roman"/>
          <w:color w:val="000000" w:themeColor="text1"/>
          <w:sz w:val="16"/>
          <w:szCs w:val="16"/>
        </w:rPr>
        <w:softHyphen/>
        <w:t>ватерной колонне со скоростью 20 уз</w:t>
      </w:r>
      <w:r w:rsidRPr="00271E51">
        <w:rPr>
          <w:rFonts w:ascii="Times New Roman" w:hAnsi="Times New Roman"/>
          <w:color w:val="000000" w:themeColor="text1"/>
          <w:sz w:val="16"/>
          <w:szCs w:val="16"/>
        </w:rPr>
        <w:softHyphen/>
        <w:t>лов. Уже в 7.58 катера были атакованы 6 Ил-2. Штурмовиков прикрывали 6 Як-1. "Ильюшины" с высоты 600-50 м под углом 15° к курсу катеров выполнили четыре захода с применением бомб и пулеметно-пушечного огня. Один ТКА получил серьезные повреждения, на двух других возникли пожары. Часть Ил-2 получили повреждения от зенитного огня немцев.</w:t>
      </w:r>
    </w:p>
    <w:p w14:paraId="555167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8.06 над целью появилась вторая группа Ил-2 в составе четырех самоле</w:t>
      </w:r>
      <w:r w:rsidRPr="00271E51">
        <w:rPr>
          <w:rFonts w:ascii="Times New Roman" w:hAnsi="Times New Roman"/>
          <w:color w:val="000000" w:themeColor="text1"/>
          <w:sz w:val="16"/>
          <w:szCs w:val="16"/>
        </w:rPr>
        <w:softHyphen/>
        <w:t>тов, прикрываемая 4 Як-1. Штурмовики выполнили 5 заходов с высоты 700-50 м под углом 20-30° к курсу катеров. Бом</w:t>
      </w:r>
      <w:r w:rsidRPr="00271E51">
        <w:rPr>
          <w:rFonts w:ascii="Times New Roman" w:hAnsi="Times New Roman"/>
          <w:color w:val="000000" w:themeColor="text1"/>
          <w:sz w:val="16"/>
          <w:szCs w:val="16"/>
        </w:rPr>
        <w:softHyphen/>
        <w:t>бы легли рядом с катерами, от пушеч</w:t>
      </w:r>
      <w:r w:rsidRPr="00271E51">
        <w:rPr>
          <w:rFonts w:ascii="Times New Roman" w:hAnsi="Times New Roman"/>
          <w:color w:val="000000" w:themeColor="text1"/>
          <w:sz w:val="16"/>
          <w:szCs w:val="16"/>
        </w:rPr>
        <w:softHyphen/>
        <w:t>ного огня один катер получил повреж</w:t>
      </w:r>
      <w:r w:rsidRPr="00271E51">
        <w:rPr>
          <w:rFonts w:ascii="Times New Roman" w:hAnsi="Times New Roman"/>
          <w:color w:val="000000" w:themeColor="text1"/>
          <w:sz w:val="16"/>
          <w:szCs w:val="16"/>
        </w:rPr>
        <w:softHyphen/>
        <w:t>дения, на двух других возникли пожары.</w:t>
      </w:r>
    </w:p>
    <w:p w14:paraId="2F0659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8.16 немецкие торпедные катера были вновь атакованы группой "Илов" (третьей по счету в составе 4 Ил-2, со</w:t>
      </w:r>
      <w:r w:rsidRPr="00271E51">
        <w:rPr>
          <w:rFonts w:ascii="Times New Roman" w:hAnsi="Times New Roman"/>
          <w:color w:val="000000" w:themeColor="text1"/>
          <w:sz w:val="16"/>
          <w:szCs w:val="16"/>
        </w:rPr>
        <w:softHyphen/>
        <w:t>провождаемых 4 Як-1 и 2 "Киттихауками"), которая выполнила три захода под углом 25-90° к курсу цели. Зенитный огонь противника был уже слабым. Пря</w:t>
      </w:r>
      <w:r w:rsidRPr="00271E51">
        <w:rPr>
          <w:rFonts w:ascii="Times New Roman" w:hAnsi="Times New Roman"/>
          <w:color w:val="000000" w:themeColor="text1"/>
          <w:sz w:val="16"/>
          <w:szCs w:val="16"/>
        </w:rPr>
        <w:softHyphen/>
        <w:t>мых попаданий бомб опять не наблюда</w:t>
      </w:r>
      <w:r w:rsidRPr="00271E51">
        <w:rPr>
          <w:rFonts w:ascii="Times New Roman" w:hAnsi="Times New Roman"/>
          <w:color w:val="000000" w:themeColor="text1"/>
          <w:sz w:val="16"/>
          <w:szCs w:val="16"/>
        </w:rPr>
        <w:softHyphen/>
        <w:t>лось.</w:t>
      </w:r>
    </w:p>
    <w:p w14:paraId="21986C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документы подтверждают повреждение трех ТКА из состава немец</w:t>
      </w:r>
      <w:r w:rsidRPr="00271E51">
        <w:rPr>
          <w:rFonts w:ascii="Times New Roman" w:hAnsi="Times New Roman"/>
          <w:color w:val="000000" w:themeColor="text1"/>
          <w:sz w:val="16"/>
          <w:szCs w:val="16"/>
        </w:rPr>
        <w:softHyphen/>
        <w:t>кой, флотилии I.S.-Flo, которые были трижды атакованы советскими самоле</w:t>
      </w:r>
      <w:r w:rsidRPr="00271E51">
        <w:rPr>
          <w:rFonts w:ascii="Times New Roman" w:hAnsi="Times New Roman"/>
          <w:color w:val="000000" w:themeColor="text1"/>
          <w:sz w:val="16"/>
          <w:szCs w:val="16"/>
        </w:rPr>
        <w:softHyphen/>
        <w:t>тами: в 7.15, в 8.06 и в 8.16.</w:t>
      </w:r>
    </w:p>
    <w:p w14:paraId="6F953F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достаточно успешное применение Ил-2 против немецких ТКА, первые же бои с ними выявили слабые стрелковую и тактическую подготовки летного состава штурмовых авиаполков флота и, кроме этого, показали, что наи</w:t>
      </w:r>
      <w:r w:rsidRPr="00271E51">
        <w:rPr>
          <w:rFonts w:ascii="Times New Roman" w:hAnsi="Times New Roman"/>
          <w:color w:val="000000" w:themeColor="text1"/>
          <w:sz w:val="16"/>
          <w:szCs w:val="16"/>
        </w:rPr>
        <w:softHyphen/>
        <w:t>больший успех при атаке малоразмер</w:t>
      </w:r>
      <w:r w:rsidRPr="00271E51">
        <w:rPr>
          <w:rFonts w:ascii="Times New Roman" w:hAnsi="Times New Roman"/>
          <w:color w:val="000000" w:themeColor="text1"/>
          <w:sz w:val="16"/>
          <w:szCs w:val="16"/>
        </w:rPr>
        <w:softHyphen/>
        <w:t>ных скоростных морских целей достига</w:t>
      </w:r>
      <w:r w:rsidRPr="00271E51">
        <w:rPr>
          <w:rFonts w:ascii="Times New Roman" w:hAnsi="Times New Roman"/>
          <w:color w:val="000000" w:themeColor="text1"/>
          <w:sz w:val="16"/>
          <w:szCs w:val="16"/>
        </w:rPr>
        <w:softHyphen/>
        <w:t>ется применением реактивных снарядов и пушечного огня. Необходимо было срочно вносить коррективы в учебно-боевую программу подготовки летчиков-штурмовиков флотов...(6467).</w:t>
      </w:r>
    </w:p>
    <w:p w14:paraId="4BBB0D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837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советские войска освободили Таганрог (3481).</w:t>
      </w:r>
    </w:p>
    <w:p w14:paraId="0A67AF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58CE8"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августа </w:t>
      </w:r>
      <w:r w:rsidRPr="00271E51">
        <w:rPr>
          <w:rFonts w:ascii="Times New Roman" w:hAnsi="Times New Roman"/>
          <w:color w:val="000000" w:themeColor="text1"/>
          <w:sz w:val="16"/>
          <w:szCs w:val="16"/>
        </w:rPr>
        <w:t>в 1943 году войска Степного фронта освободили Люботин (14753).</w:t>
      </w:r>
    </w:p>
    <w:p w14:paraId="23BB8955" w14:textId="77777777" w:rsidR="009849D8" w:rsidRPr="00271E51" w:rsidRDefault="009849D8" w:rsidP="00271E51">
      <w:pPr>
        <w:spacing w:after="0" w:line="240" w:lineRule="auto"/>
        <w:jc w:val="both"/>
        <w:rPr>
          <w:rFonts w:ascii="Times New Roman" w:hAnsi="Times New Roman"/>
          <w:color w:val="000000" w:themeColor="text1"/>
          <w:sz w:val="16"/>
          <w:szCs w:val="16"/>
        </w:rPr>
      </w:pPr>
    </w:p>
    <w:p w14:paraId="6C904EA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7274A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8142BB"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 августа 1943 - Do.217k-2, действовавшие в составе III/КG.100 из Марселя на Средиземном море применили первый раз в боевых условиях ракеты "Фриц-Х", всего через четыре для после дебюта ракет НS-293А (22382).</w:t>
      </w:r>
    </w:p>
    <w:p w14:paraId="2EE9DB33" w14:textId="77777777" w:rsidR="008C5B40" w:rsidRPr="00271E51" w:rsidRDefault="008C5B40" w:rsidP="00271E51">
      <w:pPr>
        <w:spacing w:after="0" w:line="240" w:lineRule="auto"/>
        <w:jc w:val="both"/>
        <w:rPr>
          <w:rFonts w:ascii="Times New Roman" w:hAnsi="Times New Roman"/>
          <w:color w:val="0070C0"/>
          <w:sz w:val="16"/>
          <w:szCs w:val="16"/>
        </w:rPr>
      </w:pPr>
    </w:p>
    <w:p w14:paraId="394F6F5E" w14:textId="77777777" w:rsidR="009849D8" w:rsidRPr="00271E51" w:rsidRDefault="00984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29 августа 1943 года</w:t>
      </w:r>
      <w:r w:rsidRPr="00271E51">
        <w:rPr>
          <w:rFonts w:ascii="Times New Roman" w:hAnsi="Times New Roman"/>
          <w:color w:val="000000" w:themeColor="text1"/>
          <w:sz w:val="16"/>
          <w:szCs w:val="16"/>
        </w:rPr>
        <w:t xml:space="preserve"> Из Рэдлетта вылетел первый настоящий серийный Handley Page Halifax В.III (14753).</w:t>
      </w:r>
    </w:p>
    <w:p w14:paraId="377042FD" w14:textId="77777777" w:rsidR="009849D8" w:rsidRPr="00271E51" w:rsidRDefault="009849D8" w:rsidP="00271E51">
      <w:pPr>
        <w:spacing w:after="0" w:line="240" w:lineRule="auto"/>
        <w:jc w:val="both"/>
        <w:rPr>
          <w:rFonts w:ascii="Times New Roman" w:hAnsi="Times New Roman"/>
          <w:color w:val="000000" w:themeColor="text1"/>
          <w:sz w:val="16"/>
          <w:szCs w:val="16"/>
        </w:rPr>
      </w:pPr>
    </w:p>
    <w:p w14:paraId="68C6B59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августа 1943 по приказу Гитлера распущены датские армия и флот, в Дании введено осадное положение (4962).</w:t>
      </w:r>
    </w:p>
    <w:p w14:paraId="2A30EE8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3B32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29 августа 1943 в Дании, формально ставшей суверенной страной, фашистские оккупанты объявили военное положение. датский флот был распущен и моряки часть </w:t>
      </w:r>
      <w:r w:rsidRPr="00271E51">
        <w:rPr>
          <w:rFonts w:ascii="Times New Roman" w:hAnsi="Times New Roman"/>
          <w:color w:val="000000" w:themeColor="text1"/>
          <w:sz w:val="16"/>
          <w:szCs w:val="16"/>
        </w:rPr>
        <w:lastRenderedPageBreak/>
        <w:t>кораблей и судов угнали в Швецию, а часть затопили у Копенгагена (3481).</w:t>
      </w:r>
    </w:p>
    <w:p w14:paraId="240ECA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1C53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5A822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1BF2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г. проходили испытания двухместного Су-6 М-71, которые проходили с 20 июня 1943. Испытания проводили веду</w:t>
      </w:r>
      <w:r w:rsidRPr="00271E51">
        <w:rPr>
          <w:rFonts w:ascii="Times New Roman" w:hAnsi="Times New Roman"/>
          <w:color w:val="000000" w:themeColor="text1"/>
          <w:sz w:val="16"/>
          <w:szCs w:val="16"/>
        </w:rPr>
        <w:softHyphen/>
        <w:t>щий инженер А.В.Синельников и ведущий летчик А.И.Кабанов, летчик облета П.М.Стефановский. Оценка самолету дана была очень высокой. В акте государствен</w:t>
      </w:r>
      <w:r w:rsidRPr="00271E51">
        <w:rPr>
          <w:rFonts w:ascii="Times New Roman" w:hAnsi="Times New Roman"/>
          <w:color w:val="000000" w:themeColor="text1"/>
          <w:sz w:val="16"/>
          <w:szCs w:val="16"/>
        </w:rPr>
        <w:softHyphen/>
        <w:t>ных испытаний отмечалось:</w:t>
      </w:r>
    </w:p>
    <w:p w14:paraId="711F5D8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5B54423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самолет Су-6 по своему бронирована и летно-боевым качествам, в первую очередь предназначен для решения штурме вых задач, но, вместе с тем, его можно успешно использовать и для борьбы с бомбардировщиками противника;</w:t>
      </w:r>
    </w:p>
    <w:p w14:paraId="4A7CEBC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...рекомендовать самолет Су-6 с моторо М-71Ф в серийное производство”.</w:t>
      </w:r>
    </w:p>
    <w:p w14:paraId="356D38A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Летчики-испытатели оценивали машину следующим образом:</w:t>
      </w:r>
    </w:p>
    <w:p w14:paraId="3A23744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А.И.Кабанов: </w:t>
      </w:r>
      <w:r w:rsidRPr="00271E51">
        <w:rPr>
          <w:rFonts w:ascii="Times New Roman" w:hAnsi="Times New Roman"/>
          <w:color w:val="000000" w:themeColor="text1"/>
          <w:sz w:val="16"/>
          <w:szCs w:val="16"/>
        </w:rPr>
        <w:t>“Кабина хороша. Рулит •хорошо. В целом самолет производит хорошее впечатление и будет грозным ору-сием как в борьбе с земными целями, так с бомбардировщиками противника”.</w:t>
      </w:r>
    </w:p>
    <w:p w14:paraId="7D317DB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П.М.Стефановский: </w:t>
      </w:r>
      <w:r w:rsidRPr="00271E51">
        <w:rPr>
          <w:rFonts w:ascii="Times New Roman" w:hAnsi="Times New Roman"/>
          <w:color w:val="000000" w:themeColor="text1"/>
          <w:sz w:val="16"/>
          <w:szCs w:val="16"/>
        </w:rPr>
        <w:t>“Самолет, как двухместный штурмовик, является актуалъной и нужной машиной, могущей заменитъ самолет Ил-2, так как обладает лучшим бронированием и значительно лучшими летными данными”.</w:t>
      </w:r>
    </w:p>
    <w:p w14:paraId="6EAFF9B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Передняя часть фюзеляжа целиком прикрывалась броней. Задняя представляла собой деревянный монокок.</w:t>
      </w:r>
    </w:p>
    <w:p w14:paraId="700AE80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 стабилизатор, рули, элероны типа “Фрайз”. Оба лонжерона крыла металлические. Киль и консоли деревянные, элероны и рули обтягивались полотном. Имелась аэродинамическая и весовая компенсация элеронов и рулей, все управляющие поверхности оборудовались триммерами. Механизация крыла была представлена предкрылками и щитками Шренка.</w:t>
      </w:r>
    </w:p>
    <w:p w14:paraId="6D73F73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Одностоечные опоры шасси с задним складывающимся подкосом убирались назад с поворотом а 90" (по типу ШБ). Уборка и выпуск — гидравлические. Для улучшения взлетно-посадочных характеристик в процессе испытаний трехлопастный винт АВ-5-4А диаметром 3,25 м заменили на четырехлопастный АВ-9-4А диаметром 3,35 м.</w:t>
      </w:r>
    </w:p>
    <w:p w14:paraId="14E0968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 самолета было самым мощным среди всех известных штурмовиков. Оно охватывало кабину летчика и грелка, бензобак, замоторный отсек, маслобак, маслорадиаторы и трубопроводы к ним, цилиндр винта. Передняя часть фюзеляжа 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55 мм прикрывал пилота от гня спереди. Кабина стрелка была выполнена в виде бронированной “капсулы” с тол</w:t>
      </w:r>
      <w:r w:rsidRPr="00271E51">
        <w:rPr>
          <w:rFonts w:ascii="Times New Roman" w:hAnsi="Times New Roman"/>
          <w:color w:val="000000" w:themeColor="text1"/>
          <w:sz w:val="16"/>
          <w:szCs w:val="16"/>
        </w:rPr>
        <w:softHyphen/>
        <w:t>щиной брони от 4 до 12 мм. Стрелок имел следующую защиту: снизу, с боков, сзади и частично сверху - бронеплиты различной толщины, а сзади сверху — прозрачную 65-м броню блистерной установки.</w:t>
      </w:r>
    </w:p>
    <w:p w14:paraId="06FBC23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прикрывались гнутым бронелистом толщиной 6 мм. Цилиндр винта спереди за</w:t>
      </w:r>
      <w:r w:rsidRPr="00271E51">
        <w:rPr>
          <w:rFonts w:ascii="Times New Roman" w:hAnsi="Times New Roman"/>
          <w:color w:val="000000" w:themeColor="text1"/>
          <w:sz w:val="16"/>
          <w:szCs w:val="16"/>
        </w:rPr>
        <w:softHyphen/>
        <w:t>щищался сферическим диском из брони толщиной 6 мм. В целом бронирование са</w:t>
      </w:r>
      <w:r w:rsidRPr="00271E51">
        <w:rPr>
          <w:rFonts w:ascii="Times New Roman" w:hAnsi="Times New Roman"/>
          <w:color w:val="000000" w:themeColor="text1"/>
          <w:sz w:val="16"/>
          <w:szCs w:val="16"/>
        </w:rPr>
        <w:softHyphen/>
        <w:t>молета обеспечивало защиту от пуль кали</w:t>
      </w:r>
      <w:r w:rsidRPr="00271E51">
        <w:rPr>
          <w:rFonts w:ascii="Times New Roman" w:hAnsi="Times New Roman"/>
          <w:color w:val="000000" w:themeColor="text1"/>
          <w:sz w:val="16"/>
          <w:szCs w:val="16"/>
        </w:rPr>
        <w:softHyphen/>
        <w:t>бра 12,7 мм. Живучесть повышалась также за счет применения наддува бензобака вы</w:t>
      </w:r>
      <w:r w:rsidRPr="00271E51">
        <w:rPr>
          <w:rFonts w:ascii="Times New Roman" w:hAnsi="Times New Roman"/>
          <w:color w:val="000000" w:themeColor="text1"/>
          <w:sz w:val="16"/>
          <w:szCs w:val="16"/>
        </w:rPr>
        <w:softHyphen/>
        <w:t>хлопными газами от мотора.</w:t>
      </w:r>
    </w:p>
    <w:p w14:paraId="0357680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Наступательное стрелково-пушечное во</w:t>
      </w:r>
      <w:r w:rsidRPr="00271E51">
        <w:rPr>
          <w:rFonts w:ascii="Times New Roman" w:hAnsi="Times New Roman"/>
          <w:color w:val="000000" w:themeColor="text1"/>
          <w:sz w:val="16"/>
          <w:szCs w:val="16"/>
        </w:rPr>
        <w:softHyphen/>
        <w:t>оружение самолета включало две пушки НС-37 и столько же пулеметов ШКАС, раз</w:t>
      </w:r>
      <w:r w:rsidRPr="00271E51">
        <w:rPr>
          <w:rFonts w:ascii="Times New Roman" w:hAnsi="Times New Roman"/>
          <w:color w:val="000000" w:themeColor="text1"/>
          <w:sz w:val="16"/>
          <w:szCs w:val="16"/>
        </w:rPr>
        <w:softHyphen/>
        <w:t>мещенных в крыле. Попутно заметим, что никаких замечаний по проблемам, связан</w:t>
      </w:r>
      <w:r w:rsidRPr="00271E51">
        <w:rPr>
          <w:rFonts w:ascii="Times New Roman" w:hAnsi="Times New Roman"/>
          <w:color w:val="000000" w:themeColor="text1"/>
          <w:sz w:val="16"/>
          <w:szCs w:val="16"/>
        </w:rPr>
        <w:softHyphen/>
        <w:t>ным со стрельбой из пушек НС-37, в отличие от самолета Ил-2 АМ-38Ф с этими орудия</w:t>
      </w:r>
      <w:r w:rsidRPr="00271E51">
        <w:rPr>
          <w:rFonts w:ascii="Times New Roman" w:hAnsi="Times New Roman"/>
          <w:color w:val="000000" w:themeColor="text1"/>
          <w:sz w:val="16"/>
          <w:szCs w:val="16"/>
        </w:rPr>
        <w:softHyphen/>
        <w:t>ми в ходе испытаний не высказывалось. Это можно объяснить прежде всего более высо</w:t>
      </w:r>
      <w:r w:rsidRPr="00271E51">
        <w:rPr>
          <w:rFonts w:ascii="Times New Roman" w:hAnsi="Times New Roman"/>
          <w:color w:val="000000" w:themeColor="text1"/>
          <w:sz w:val="16"/>
          <w:szCs w:val="16"/>
        </w:rPr>
        <w:softHyphen/>
        <w:t>кими запасами устойчивости Су-6 М-71Ф, его хорошей маневренностью, размещением пушек ближе к продольной оси самолета.</w:t>
      </w:r>
    </w:p>
    <w:p w14:paraId="4B3F253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Бомбовая нагрузка — 200 кг в перегрузку. Размещалась она внутри фюзеляжа в четырех отсеках (по бокам кабины стрелка). В исключительных случаях при базировании на хороших аэ</w:t>
      </w:r>
      <w:r w:rsidRPr="00271E51">
        <w:rPr>
          <w:rFonts w:ascii="Times New Roman" w:hAnsi="Times New Roman"/>
          <w:color w:val="000000" w:themeColor="text1"/>
          <w:sz w:val="16"/>
          <w:szCs w:val="16"/>
        </w:rPr>
        <w:softHyphen/>
        <w:t>родромах можно было подвесить внутри фюзеляжа четыре бомбы ФАБ-100ЦК, ли</w:t>
      </w:r>
      <w:r w:rsidRPr="00271E51">
        <w:rPr>
          <w:rFonts w:ascii="Times New Roman" w:hAnsi="Times New Roman"/>
          <w:color w:val="000000" w:themeColor="text1"/>
          <w:sz w:val="16"/>
          <w:szCs w:val="16"/>
        </w:rPr>
        <w:softHyphen/>
        <w:t>бо на внешней подвеске — две ФАБ-250.</w:t>
      </w:r>
    </w:p>
    <w:p w14:paraId="5083AA2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П.М.Стефановский предлагал выпус</w:t>
      </w:r>
      <w:r w:rsidRPr="00271E51">
        <w:rPr>
          <w:rFonts w:ascii="Times New Roman" w:hAnsi="Times New Roman"/>
          <w:color w:val="000000" w:themeColor="text1"/>
          <w:sz w:val="16"/>
          <w:szCs w:val="16"/>
        </w:rPr>
        <w:softHyphen/>
        <w:t>кать самолет Су-6 М-71Ф в одноместном варианте с пушками НС-37 и в двухмест</w:t>
      </w:r>
      <w:r w:rsidRPr="00271E51">
        <w:rPr>
          <w:rFonts w:ascii="Times New Roman" w:hAnsi="Times New Roman"/>
          <w:color w:val="000000" w:themeColor="text1"/>
          <w:sz w:val="16"/>
          <w:szCs w:val="16"/>
        </w:rPr>
        <w:softHyphen/>
        <w:t>ном — с пушками ВЯ. Кроме того, на двух</w:t>
      </w:r>
      <w:r w:rsidRPr="00271E51">
        <w:rPr>
          <w:rFonts w:ascii="Times New Roman" w:hAnsi="Times New Roman"/>
          <w:color w:val="000000" w:themeColor="text1"/>
          <w:sz w:val="16"/>
          <w:szCs w:val="16"/>
        </w:rPr>
        <w:softHyphen/>
        <w:t>местном самолете Су-6 он предлагал мон</w:t>
      </w:r>
      <w:r w:rsidRPr="00271E51">
        <w:rPr>
          <w:rFonts w:ascii="Times New Roman" w:hAnsi="Times New Roman"/>
          <w:color w:val="000000" w:themeColor="text1"/>
          <w:sz w:val="16"/>
          <w:szCs w:val="16"/>
        </w:rPr>
        <w:softHyphen/>
        <w:t>тировать мотор М-71Ф с изъятой второй скоростью нагнетателя и дальнейшим фор</w:t>
      </w:r>
      <w:r w:rsidRPr="00271E51">
        <w:rPr>
          <w:rFonts w:ascii="Times New Roman" w:hAnsi="Times New Roman"/>
          <w:color w:val="000000" w:themeColor="text1"/>
          <w:sz w:val="16"/>
          <w:szCs w:val="16"/>
        </w:rPr>
        <w:softHyphen/>
        <w:t>сированием его на малых высотах. Реали</w:t>
      </w:r>
      <w:r w:rsidRPr="00271E51">
        <w:rPr>
          <w:rFonts w:ascii="Times New Roman" w:hAnsi="Times New Roman"/>
          <w:color w:val="000000" w:themeColor="text1"/>
          <w:sz w:val="16"/>
          <w:szCs w:val="16"/>
        </w:rPr>
        <w:softHyphen/>
        <w:t>зация предложений П.М.Стефановского позволила бы иметь сильно вооруженный одноместный бронированный штурмовик и истребитель бомбардировщиков с летными данными, близкими к серийным истреби</w:t>
      </w:r>
      <w:r w:rsidRPr="00271E51">
        <w:rPr>
          <w:rFonts w:ascii="Times New Roman" w:hAnsi="Times New Roman"/>
          <w:color w:val="000000" w:themeColor="text1"/>
          <w:sz w:val="16"/>
          <w:szCs w:val="16"/>
        </w:rPr>
        <w:softHyphen/>
        <w:t>телям противника, а также двухместный бронированный штурмовик с еще более высокими летными данными (5011).</w:t>
      </w:r>
    </w:p>
    <w:p w14:paraId="6623D86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6FB38"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30 августа 1943 закончились госиспытания двухместного Су-6 М-71ф, которые шли с 20 июня. На Су-6 М-71ф было выполнено 42 полета (налет 23 ч 10 мин). Испытания проводили: ве</w:t>
      </w:r>
      <w:r w:rsidRPr="00271E51">
        <w:rPr>
          <w:rFonts w:ascii="Times New Roman" w:hAnsi="Times New Roman" w:cs="Times New Roman"/>
          <w:color w:val="0070C0"/>
          <w:sz w:val="16"/>
          <w:szCs w:val="16"/>
        </w:rPr>
        <w:softHyphen/>
        <w:t>дущий инженер - инженер-майор Сине</w:t>
      </w:r>
      <w:r w:rsidRPr="00271E51">
        <w:rPr>
          <w:rFonts w:ascii="Times New Roman" w:hAnsi="Times New Roman" w:cs="Times New Roman"/>
          <w:color w:val="0070C0"/>
          <w:sz w:val="16"/>
          <w:szCs w:val="16"/>
        </w:rPr>
        <w:softHyphen/>
        <w:t>льников, ведущий летчик - летчик-испытатель полковник А.И. Кабанов, летчики облета - полковник П.М. Стефановский и майор Долгов, штурманы-испытатели - капитаны Васильев и Горбунов.</w:t>
      </w:r>
    </w:p>
    <w:p w14:paraId="38205F06"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 ходе испытаний переделали кон</w:t>
      </w:r>
      <w:r w:rsidRPr="00271E51">
        <w:rPr>
          <w:rFonts w:ascii="Times New Roman" w:hAnsi="Times New Roman" w:cs="Times New Roman"/>
          <w:color w:val="0070C0"/>
          <w:sz w:val="16"/>
          <w:szCs w:val="16"/>
        </w:rPr>
        <w:softHyphen/>
        <w:t>струкцию стопора костыльного колеса («сделан по типу самолета Ил-2»), Увели</w:t>
      </w:r>
      <w:r w:rsidRPr="00271E51">
        <w:rPr>
          <w:rFonts w:ascii="Times New Roman" w:hAnsi="Times New Roman" w:cs="Times New Roman"/>
          <w:color w:val="0070C0"/>
          <w:sz w:val="16"/>
          <w:szCs w:val="16"/>
        </w:rPr>
        <w:softHyphen/>
        <w:t>чили аэродинамическую компенсацию руля высоты.</w:t>
      </w:r>
    </w:p>
    <w:p w14:paraId="4CEA2E30"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Для улучшения взлетных характери</w:t>
      </w:r>
      <w:r w:rsidRPr="00271E51">
        <w:rPr>
          <w:rFonts w:ascii="Times New Roman" w:hAnsi="Times New Roman" w:cs="Times New Roman"/>
          <w:color w:val="0070C0"/>
          <w:sz w:val="16"/>
          <w:szCs w:val="16"/>
        </w:rPr>
        <w:softHyphen/>
        <w:t>стик трехлопастный винт АВ-5-4А диаме</w:t>
      </w:r>
      <w:r w:rsidRPr="00271E51">
        <w:rPr>
          <w:rFonts w:ascii="Times New Roman" w:hAnsi="Times New Roman" w:cs="Times New Roman"/>
          <w:color w:val="0070C0"/>
          <w:sz w:val="16"/>
          <w:szCs w:val="16"/>
        </w:rPr>
        <w:softHyphen/>
        <w:t>тром 3,25 м заменили четырехлопастным АВ-9-4А диаметром 3,35 м,с которым дополнительно сняли летные данные и определили взлетно-посадочные качества. Вместо мотора М-71ф зав. №7101004 установили мотор зав. №7101007.</w:t>
      </w:r>
    </w:p>
    <w:p w14:paraId="4EFACC71"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Попытка понизить температуру масла путем установки стандартных 9-дюймо- вых радиаторов, но с увеличенным разли</w:t>
      </w:r>
      <w:r w:rsidRPr="00271E51">
        <w:rPr>
          <w:rFonts w:ascii="Times New Roman" w:hAnsi="Times New Roman" w:cs="Times New Roman"/>
          <w:color w:val="0070C0"/>
          <w:sz w:val="16"/>
          <w:szCs w:val="16"/>
        </w:rPr>
        <w:softHyphen/>
        <w:t>вом масла при входе, положительных ре</w:t>
      </w:r>
      <w:r w:rsidRPr="00271E51">
        <w:rPr>
          <w:rFonts w:ascii="Times New Roman" w:hAnsi="Times New Roman" w:cs="Times New Roman"/>
          <w:color w:val="0070C0"/>
          <w:sz w:val="16"/>
          <w:szCs w:val="16"/>
        </w:rPr>
        <w:softHyphen/>
        <w:t>зультатов не дала. Вместо них смонтиро</w:t>
      </w:r>
      <w:r w:rsidRPr="00271E51">
        <w:rPr>
          <w:rFonts w:ascii="Times New Roman" w:hAnsi="Times New Roman" w:cs="Times New Roman"/>
          <w:color w:val="0070C0"/>
          <w:sz w:val="16"/>
          <w:szCs w:val="16"/>
        </w:rPr>
        <w:softHyphen/>
        <w:t>вали опытные 9-дюймовые радиаторы с увеличенной поверхностью теплоотдачи (с трубками меньшего диаметра). Темпе</w:t>
      </w:r>
      <w:r w:rsidRPr="00271E51">
        <w:rPr>
          <w:rFonts w:ascii="Times New Roman" w:hAnsi="Times New Roman" w:cs="Times New Roman"/>
          <w:color w:val="0070C0"/>
          <w:sz w:val="16"/>
          <w:szCs w:val="16"/>
        </w:rPr>
        <w:softHyphen/>
        <w:t>ратура масла вошла в норму.</w:t>
      </w:r>
    </w:p>
    <w:p w14:paraId="0681DF33"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Доработали пушки 11П и переделали звеньеотводы пушек. Внесли изменения в пулеметную установку БЛУБ («усилена пружинная компенсация пулемета, дора</w:t>
      </w:r>
      <w:r w:rsidRPr="00271E51">
        <w:rPr>
          <w:rFonts w:ascii="Times New Roman" w:hAnsi="Times New Roman" w:cs="Times New Roman"/>
          <w:color w:val="0070C0"/>
          <w:sz w:val="16"/>
          <w:szCs w:val="16"/>
        </w:rPr>
        <w:softHyphen/>
        <w:t>ботаны магазины, изменена мушка коль</w:t>
      </w:r>
      <w:r w:rsidRPr="00271E51">
        <w:rPr>
          <w:rFonts w:ascii="Times New Roman" w:hAnsi="Times New Roman" w:cs="Times New Roman"/>
          <w:color w:val="0070C0"/>
          <w:sz w:val="16"/>
          <w:szCs w:val="16"/>
        </w:rPr>
        <w:softHyphen/>
        <w:t>цевого прицела»). Мешок для сбора стре</w:t>
      </w:r>
      <w:r w:rsidRPr="00271E51">
        <w:rPr>
          <w:rFonts w:ascii="Times New Roman" w:hAnsi="Times New Roman" w:cs="Times New Roman"/>
          <w:color w:val="0070C0"/>
          <w:sz w:val="16"/>
          <w:szCs w:val="16"/>
        </w:rPr>
        <w:softHyphen/>
        <w:t>ляных гильз и звеньев, подвешенный к пулемету УБТ и затруднявший маневриро</w:t>
      </w:r>
      <w:r w:rsidRPr="00271E51">
        <w:rPr>
          <w:rFonts w:ascii="Times New Roman" w:hAnsi="Times New Roman" w:cs="Times New Roman"/>
          <w:color w:val="0070C0"/>
          <w:sz w:val="16"/>
          <w:szCs w:val="16"/>
        </w:rPr>
        <w:softHyphen/>
        <w:t>вание пулеметом при стрельбе, заменили специальным фартуком, закрепленным в кабине. Доводилось «до ума» и бомбар</w:t>
      </w:r>
      <w:r w:rsidRPr="00271E51">
        <w:rPr>
          <w:rFonts w:ascii="Times New Roman" w:hAnsi="Times New Roman" w:cs="Times New Roman"/>
          <w:color w:val="0070C0"/>
          <w:sz w:val="16"/>
          <w:szCs w:val="16"/>
        </w:rPr>
        <w:softHyphen/>
        <w:t>дировочное вооружение («усилены ры</w:t>
      </w:r>
      <w:r w:rsidRPr="00271E51">
        <w:rPr>
          <w:rFonts w:ascii="Times New Roman" w:hAnsi="Times New Roman" w:cs="Times New Roman"/>
          <w:color w:val="0070C0"/>
          <w:sz w:val="16"/>
          <w:szCs w:val="16"/>
        </w:rPr>
        <w:softHyphen/>
        <w:t>чаги замков верхних створок бомбовых отсеков»).</w:t>
      </w:r>
    </w:p>
    <w:p w14:paraId="3F5C5A54"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Перекомпоновали и доработали все радиооборудование. Дальность и каче</w:t>
      </w:r>
      <w:r w:rsidRPr="00271E51">
        <w:rPr>
          <w:rFonts w:ascii="Times New Roman" w:hAnsi="Times New Roman" w:cs="Times New Roman"/>
          <w:color w:val="0070C0"/>
          <w:sz w:val="16"/>
          <w:szCs w:val="16"/>
        </w:rPr>
        <w:softHyphen/>
        <w:t>ство радиосвязи заметно повысились. При этом радиостанцию РСИ-4 перенесли в хвостовую часть фюзеляжа. Подстройка приемника и регулировка громкости осу</w:t>
      </w:r>
      <w:r w:rsidRPr="00271E51">
        <w:rPr>
          <w:rFonts w:ascii="Times New Roman" w:hAnsi="Times New Roman" w:cs="Times New Roman"/>
          <w:color w:val="0070C0"/>
          <w:sz w:val="16"/>
          <w:szCs w:val="16"/>
        </w:rPr>
        <w:softHyphen/>
        <w:t>ществлялась при помощи механизма ди</w:t>
      </w:r>
      <w:r w:rsidRPr="00271E51">
        <w:rPr>
          <w:rFonts w:ascii="Times New Roman" w:hAnsi="Times New Roman" w:cs="Times New Roman"/>
          <w:color w:val="0070C0"/>
          <w:sz w:val="16"/>
          <w:szCs w:val="16"/>
        </w:rPr>
        <w:softHyphen/>
        <w:t>станционного управления от электрок</w:t>
      </w:r>
      <w:r w:rsidRPr="00271E51">
        <w:rPr>
          <w:rFonts w:ascii="Times New Roman" w:hAnsi="Times New Roman" w:cs="Times New Roman"/>
          <w:color w:val="0070C0"/>
          <w:sz w:val="16"/>
          <w:szCs w:val="16"/>
        </w:rPr>
        <w:softHyphen/>
        <w:t>нопки на секторе газа.</w:t>
      </w:r>
    </w:p>
    <w:p w14:paraId="55022833"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 максимальным скоростям, ско</w:t>
      </w:r>
      <w:r w:rsidRPr="00271E51">
        <w:rPr>
          <w:rFonts w:ascii="Times New Roman" w:hAnsi="Times New Roman" w:cs="Times New Roman"/>
          <w:color w:val="0070C0"/>
          <w:sz w:val="16"/>
          <w:szCs w:val="16"/>
        </w:rPr>
        <w:softHyphen/>
        <w:t>роподъемности, маневренности, дально</w:t>
      </w:r>
      <w:r w:rsidRPr="00271E51">
        <w:rPr>
          <w:rFonts w:ascii="Times New Roman" w:hAnsi="Times New Roman" w:cs="Times New Roman"/>
          <w:color w:val="0070C0"/>
          <w:sz w:val="16"/>
          <w:szCs w:val="16"/>
        </w:rPr>
        <w:softHyphen/>
        <w:t>сти, вооружению и бронированию Су-6</w:t>
      </w:r>
    </w:p>
    <w:p w14:paraId="4ECD04A4"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М-71ф значительно превосходил находя</w:t>
      </w:r>
      <w:r w:rsidRPr="00271E51">
        <w:rPr>
          <w:rFonts w:ascii="Times New Roman" w:hAnsi="Times New Roman" w:cs="Times New Roman"/>
          <w:color w:val="0070C0"/>
          <w:sz w:val="16"/>
          <w:szCs w:val="16"/>
        </w:rPr>
        <w:softHyphen/>
        <w:t>щийся на вооружении ВВС КА двухмест</w:t>
      </w:r>
      <w:r w:rsidRPr="00271E51">
        <w:rPr>
          <w:rFonts w:ascii="Times New Roman" w:hAnsi="Times New Roman" w:cs="Times New Roman"/>
          <w:color w:val="0070C0"/>
          <w:sz w:val="16"/>
          <w:szCs w:val="16"/>
        </w:rPr>
        <w:softHyphen/>
        <w:t>ный Ил-2 АМ-38ф.</w:t>
      </w:r>
    </w:p>
    <w:p w14:paraId="2A37F8CC"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При полетном весе 5534 кг (без бомб) максимальная скорость у земли Су-6 М-71ф с винтом АВ-5-4А - 480 км/ч, по</w:t>
      </w:r>
      <w:r w:rsidRPr="00271E51">
        <w:rPr>
          <w:rFonts w:ascii="Times New Roman" w:hAnsi="Times New Roman" w:cs="Times New Roman"/>
          <w:color w:val="0070C0"/>
          <w:sz w:val="16"/>
          <w:szCs w:val="16"/>
        </w:rPr>
        <w:softHyphen/>
        <w:t>чти на 100 км/ч превосходила скорость двухместного Ил-2 АМ-38ф. На высоте 1450 м (1-я граница высотности) штур</w:t>
      </w:r>
      <w:r w:rsidRPr="00271E51">
        <w:rPr>
          <w:rFonts w:ascii="Times New Roman" w:hAnsi="Times New Roman" w:cs="Times New Roman"/>
          <w:color w:val="0070C0"/>
          <w:sz w:val="16"/>
          <w:szCs w:val="16"/>
        </w:rPr>
        <w:softHyphen/>
        <w:t>мовик развивал скорость 506 км/ч, а на 3850 м (2-я граница высотности) - 514 км/ч. Время подъема на высоту 1000 м не превышало 1,8 мин. Вертикаль</w:t>
      </w:r>
      <w:r w:rsidRPr="00271E51">
        <w:rPr>
          <w:rFonts w:ascii="Times New Roman" w:hAnsi="Times New Roman" w:cs="Times New Roman"/>
          <w:color w:val="0070C0"/>
          <w:sz w:val="16"/>
          <w:szCs w:val="16"/>
        </w:rPr>
        <w:softHyphen/>
        <w:t>ная скорость на 1150 м равнялась 9,6 м/с.</w:t>
      </w:r>
    </w:p>
    <w:p w14:paraId="40506F32"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Разбег при взлете с применением форсажа и выпущенными на 20° щит</w:t>
      </w:r>
      <w:r w:rsidRPr="00271E51">
        <w:rPr>
          <w:rFonts w:ascii="Times New Roman" w:hAnsi="Times New Roman" w:cs="Times New Roman"/>
          <w:color w:val="0070C0"/>
          <w:sz w:val="16"/>
          <w:szCs w:val="16"/>
        </w:rPr>
        <w:softHyphen/>
        <w:t>ками - 510 м (с 200 кг бомб - 540 м). Пробег со щитками, отклоненными на 55°, и использованием тормозов - 730 м.</w:t>
      </w:r>
    </w:p>
    <w:p w14:paraId="68C696C5"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Максимальная дальность полета на высоте 1000 м и скорости 349 км/ч (запас горючего 560 кг) достигала 973 км (2 ч 47 мин). Скоростная дальность полета (на скорости 448 км/ч) - 588 км (1 ч 19 мин).</w:t>
      </w:r>
    </w:p>
    <w:p w14:paraId="2592F9F4"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Поскольку 200 кг основной бомбовой нагрузки размещались внутри фюзеляжа, то максимальные скорости и дальности полета штурмовика с бомбами оставались практически теми же.</w:t>
      </w:r>
    </w:p>
    <w:p w14:paraId="128BDF2F"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 четырехлопастным винтом АВ-9-4А диаметром 3,35 м скоростные данные са</w:t>
      </w:r>
      <w:r w:rsidRPr="00271E51">
        <w:rPr>
          <w:rFonts w:ascii="Times New Roman" w:hAnsi="Times New Roman" w:cs="Times New Roman"/>
          <w:color w:val="0070C0"/>
          <w:sz w:val="16"/>
          <w:szCs w:val="16"/>
        </w:rPr>
        <w:softHyphen/>
        <w:t>молета были несколько хуже - примерно, на 3-4 км/ч (без кока винта). Однако ско</w:t>
      </w:r>
      <w:r w:rsidRPr="00271E51">
        <w:rPr>
          <w:rFonts w:ascii="Times New Roman" w:hAnsi="Times New Roman" w:cs="Times New Roman"/>
          <w:color w:val="0070C0"/>
          <w:sz w:val="16"/>
          <w:szCs w:val="16"/>
        </w:rPr>
        <w:softHyphen/>
        <w:t>роподъемность и взлетные качества за</w:t>
      </w:r>
      <w:r w:rsidRPr="00271E51">
        <w:rPr>
          <w:rFonts w:ascii="Times New Roman" w:hAnsi="Times New Roman" w:cs="Times New Roman"/>
          <w:color w:val="0070C0"/>
          <w:sz w:val="16"/>
          <w:szCs w:val="16"/>
        </w:rPr>
        <w:softHyphen/>
        <w:t>метно улучшились: вертикальная скорость у земли возросла с 9,0 до 9,5 м/с, а разбег сократился до 410 м.</w:t>
      </w:r>
    </w:p>
    <w:p w14:paraId="1AFDC3E0"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Вираж самолет выполнял на скорости 370-380 км/ч. Время виража при крене 45-50° равнялось 40-45 с. В левый ви</w:t>
      </w:r>
      <w:r w:rsidRPr="00271E51">
        <w:rPr>
          <w:rFonts w:ascii="Times New Roman" w:hAnsi="Times New Roman" w:cs="Times New Roman"/>
          <w:color w:val="0070C0"/>
          <w:sz w:val="16"/>
          <w:szCs w:val="16"/>
        </w:rPr>
        <w:softHyphen/>
        <w:t>раж «самолет идет охотнее, чем в пра</w:t>
      </w:r>
      <w:r w:rsidRPr="00271E51">
        <w:rPr>
          <w:rFonts w:ascii="Times New Roman" w:hAnsi="Times New Roman" w:cs="Times New Roman"/>
          <w:color w:val="0070C0"/>
          <w:sz w:val="16"/>
          <w:szCs w:val="16"/>
        </w:rPr>
        <w:softHyphen/>
        <w:t>вый». Выходит из виража легко. При ви</w:t>
      </w:r>
      <w:r w:rsidRPr="00271E51">
        <w:rPr>
          <w:rFonts w:ascii="Times New Roman" w:hAnsi="Times New Roman" w:cs="Times New Roman"/>
          <w:color w:val="0070C0"/>
          <w:sz w:val="16"/>
          <w:szCs w:val="16"/>
        </w:rPr>
        <w:softHyphen/>
        <w:t>раже на скорости 350 км/ч и ниже самолет стремился «сорваться в штопор с предварительным ослаблением нагрузки на руле глубины».</w:t>
      </w:r>
    </w:p>
    <w:p w14:paraId="14502BE3"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Пикировал Су-6 устойчиво. Доворачивать на цель при прицеливании и стрельбе было немного затруднительно из-за излишней путевой устойчивости.</w:t>
      </w:r>
    </w:p>
    <w:p w14:paraId="62B07031"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Самолет обладал хорошими характе</w:t>
      </w:r>
      <w:r w:rsidRPr="00271E51">
        <w:rPr>
          <w:rFonts w:ascii="Times New Roman" w:hAnsi="Times New Roman" w:cs="Times New Roman"/>
          <w:color w:val="0070C0"/>
          <w:sz w:val="16"/>
          <w:szCs w:val="16"/>
        </w:rPr>
        <w:softHyphen/>
        <w:t>ристиками устойчивости и управляемо</w:t>
      </w:r>
      <w:r w:rsidRPr="00271E51">
        <w:rPr>
          <w:rFonts w:ascii="Times New Roman" w:hAnsi="Times New Roman" w:cs="Times New Roman"/>
          <w:color w:val="0070C0"/>
          <w:sz w:val="16"/>
          <w:szCs w:val="16"/>
        </w:rPr>
        <w:softHyphen/>
        <w:t>сти, был прост и приятен в пилотировании. Наличие мощной механизации крыла (ав</w:t>
      </w:r>
      <w:r w:rsidRPr="00271E51">
        <w:rPr>
          <w:rFonts w:ascii="Times New Roman" w:hAnsi="Times New Roman" w:cs="Times New Roman"/>
          <w:color w:val="0070C0"/>
          <w:sz w:val="16"/>
          <w:szCs w:val="16"/>
        </w:rPr>
        <w:softHyphen/>
        <w:t>томатические предкрылки и щитки типа Шренк) позволяло ему устойчиво выпол</w:t>
      </w:r>
      <w:r w:rsidRPr="00271E51">
        <w:rPr>
          <w:rFonts w:ascii="Times New Roman" w:hAnsi="Times New Roman" w:cs="Times New Roman"/>
          <w:color w:val="0070C0"/>
          <w:sz w:val="16"/>
          <w:szCs w:val="16"/>
        </w:rPr>
        <w:softHyphen/>
        <w:t>нять маневры на больших углах атаки. По</w:t>
      </w:r>
      <w:r w:rsidRPr="00271E51">
        <w:rPr>
          <w:rFonts w:ascii="Times New Roman" w:hAnsi="Times New Roman" w:cs="Times New Roman"/>
          <w:color w:val="0070C0"/>
          <w:sz w:val="16"/>
          <w:szCs w:val="16"/>
        </w:rPr>
        <w:softHyphen/>
        <w:t>следнее обстоятельство являлось весьма важным для самолета поля боя, предназ</w:t>
      </w:r>
      <w:r w:rsidRPr="00271E51">
        <w:rPr>
          <w:rFonts w:ascii="Times New Roman" w:hAnsi="Times New Roman" w:cs="Times New Roman"/>
          <w:color w:val="0070C0"/>
          <w:sz w:val="16"/>
          <w:szCs w:val="16"/>
        </w:rPr>
        <w:softHyphen/>
        <w:t>наченного для действий на небольшой высоте, так как летчику необходимо было выполнять энергичное боевое маневри</w:t>
      </w:r>
      <w:r w:rsidRPr="00271E51">
        <w:rPr>
          <w:rFonts w:ascii="Times New Roman" w:hAnsi="Times New Roman" w:cs="Times New Roman"/>
          <w:color w:val="0070C0"/>
          <w:sz w:val="16"/>
          <w:szCs w:val="16"/>
        </w:rPr>
        <w:softHyphen/>
        <w:t>рование для выхода в атаку в ограничен</w:t>
      </w:r>
      <w:r w:rsidRPr="00271E51">
        <w:rPr>
          <w:rFonts w:ascii="Times New Roman" w:hAnsi="Times New Roman" w:cs="Times New Roman"/>
          <w:color w:val="0070C0"/>
          <w:sz w:val="16"/>
          <w:szCs w:val="16"/>
        </w:rPr>
        <w:softHyphen/>
        <w:t>ном пространстве над целью и преимуще</w:t>
      </w:r>
      <w:r w:rsidRPr="00271E51">
        <w:rPr>
          <w:rFonts w:ascii="Times New Roman" w:hAnsi="Times New Roman" w:cs="Times New Roman"/>
          <w:color w:val="0070C0"/>
          <w:sz w:val="16"/>
          <w:szCs w:val="16"/>
        </w:rPr>
        <w:softHyphen/>
        <w:t>ственно в вертикальной плоскости.</w:t>
      </w:r>
    </w:p>
    <w:p w14:paraId="25CCE1A4"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При посадке двухместный Су-6 был несколько сложнее одноместного Су-6 и Ил-2. По общему мнению летчиков-испы</w:t>
      </w:r>
      <w:r w:rsidRPr="00271E51">
        <w:rPr>
          <w:rFonts w:ascii="Times New Roman" w:hAnsi="Times New Roman" w:cs="Times New Roman"/>
          <w:color w:val="0070C0"/>
          <w:sz w:val="16"/>
          <w:szCs w:val="16"/>
        </w:rPr>
        <w:softHyphen/>
        <w:t xml:space="preserve">тателей, самолет доступен для освоения летчиками со средней квалификацией </w:t>
      </w:r>
      <w:r w:rsidRPr="00271E51">
        <w:rPr>
          <w:rStyle w:val="aff6"/>
          <w:rFonts w:ascii="Times New Roman" w:hAnsi="Times New Roman" w:cs="Times New Roman"/>
          <w:color w:val="0070C0"/>
        </w:rPr>
        <w:t>{«летчики должны быть подготовлены, как для пилотирования самолета Ла-5»).</w:t>
      </w:r>
    </w:p>
    <w:p w14:paraId="3FF92240"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lastRenderedPageBreak/>
        <w:t>В отличие от Ил-2 с пушками 11П или Ш-37, на Су-6 М-71ф пушки 11П разме</w:t>
      </w:r>
      <w:r w:rsidRPr="00271E51">
        <w:rPr>
          <w:rFonts w:ascii="Times New Roman" w:hAnsi="Times New Roman" w:cs="Times New Roman"/>
          <w:color w:val="0070C0"/>
          <w:sz w:val="16"/>
          <w:szCs w:val="16"/>
        </w:rPr>
        <w:softHyphen/>
        <w:t>щались ближе к оси самолета, что в со</w:t>
      </w:r>
      <w:r w:rsidRPr="00271E51">
        <w:rPr>
          <w:rFonts w:ascii="Times New Roman" w:hAnsi="Times New Roman" w:cs="Times New Roman"/>
          <w:color w:val="0070C0"/>
          <w:sz w:val="16"/>
          <w:szCs w:val="16"/>
        </w:rPr>
        <w:softHyphen/>
        <w:t>вокупности с более высоким запасом устойчивости штурмовика обеспечи</w:t>
      </w:r>
      <w:r w:rsidRPr="00271E51">
        <w:rPr>
          <w:rFonts w:ascii="Times New Roman" w:hAnsi="Times New Roman" w:cs="Times New Roman"/>
          <w:color w:val="0070C0"/>
          <w:sz w:val="16"/>
          <w:szCs w:val="16"/>
        </w:rPr>
        <w:softHyphen/>
        <w:t>вало лучшую эффективность стрельбы из пушек в воздухе, по малоразмерным це</w:t>
      </w:r>
      <w:r w:rsidRPr="00271E51">
        <w:rPr>
          <w:rFonts w:ascii="Times New Roman" w:hAnsi="Times New Roman" w:cs="Times New Roman"/>
          <w:color w:val="0070C0"/>
          <w:sz w:val="16"/>
          <w:szCs w:val="16"/>
        </w:rPr>
        <w:softHyphen/>
        <w:t>лям. В ходе полигонных испытаний Су-6 никаких нареканий, связанных с влия</w:t>
      </w:r>
      <w:r w:rsidRPr="00271E51">
        <w:rPr>
          <w:rFonts w:ascii="Times New Roman" w:hAnsi="Times New Roman" w:cs="Times New Roman"/>
          <w:color w:val="0070C0"/>
          <w:sz w:val="16"/>
          <w:szCs w:val="16"/>
        </w:rPr>
        <w:softHyphen/>
        <w:t>нием силы отдачи пушек на самолет при стрельбе в воздухе летчиками-испытате</w:t>
      </w:r>
      <w:r w:rsidRPr="00271E51">
        <w:rPr>
          <w:rFonts w:ascii="Times New Roman" w:hAnsi="Times New Roman" w:cs="Times New Roman"/>
          <w:color w:val="0070C0"/>
          <w:sz w:val="16"/>
          <w:szCs w:val="16"/>
        </w:rPr>
        <w:softHyphen/>
        <w:t>лями не высказывались:</w:t>
      </w:r>
      <w:r w:rsidRPr="00271E51">
        <w:rPr>
          <w:rStyle w:val="aff6"/>
          <w:rFonts w:ascii="Times New Roman" w:hAnsi="Times New Roman" w:cs="Times New Roman"/>
          <w:color w:val="0070C0"/>
        </w:rPr>
        <w:t xml:space="preserve"> «На пикировании при стрельбе самолет устойчив, отдача даже при стрельбе из всех точек незна</w:t>
      </w:r>
      <w:r w:rsidRPr="00271E51">
        <w:rPr>
          <w:rStyle w:val="aff6"/>
          <w:rFonts w:ascii="Times New Roman" w:hAnsi="Times New Roman" w:cs="Times New Roman"/>
          <w:color w:val="0070C0"/>
        </w:rPr>
        <w:softHyphen/>
        <w:t>чительна. Стрельба из одной пушки воз</w:t>
      </w:r>
      <w:r w:rsidRPr="00271E51">
        <w:rPr>
          <w:rStyle w:val="aff6"/>
          <w:rFonts w:ascii="Times New Roman" w:hAnsi="Times New Roman" w:cs="Times New Roman"/>
          <w:color w:val="0070C0"/>
        </w:rPr>
        <w:softHyphen/>
        <w:t>можна, явление разворачивания наблюда</w:t>
      </w:r>
      <w:r w:rsidRPr="00271E51">
        <w:rPr>
          <w:rStyle w:val="aff6"/>
          <w:rFonts w:ascii="Times New Roman" w:hAnsi="Times New Roman" w:cs="Times New Roman"/>
          <w:color w:val="0070C0"/>
        </w:rPr>
        <w:softHyphen/>
        <w:t>ется, но в меньшей степени, чем на Ил-2».</w:t>
      </w:r>
    </w:p>
    <w:p w14:paraId="53A3CAA3"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Соответственно,</w:t>
      </w:r>
      <w:r w:rsidRPr="00271E51">
        <w:rPr>
          <w:rFonts w:ascii="Times New Roman" w:hAnsi="Times New Roman"/>
          <w:color w:val="0070C0"/>
          <w:sz w:val="16"/>
          <w:szCs w:val="16"/>
        </w:rPr>
        <w:t xml:space="preserve"> «вероятность по</w:t>
      </w:r>
      <w:r w:rsidRPr="00271E51">
        <w:rPr>
          <w:rFonts w:ascii="Times New Roman" w:hAnsi="Times New Roman"/>
          <w:color w:val="0070C0"/>
          <w:sz w:val="16"/>
          <w:szCs w:val="16"/>
        </w:rPr>
        <w:softHyphen/>
        <w:t xml:space="preserve">падания при стрельбе из пушек калибра </w:t>
      </w:r>
      <w:r w:rsidRPr="00271E51">
        <w:rPr>
          <w:rStyle w:val="145"/>
          <w:rFonts w:ascii="Times New Roman" w:hAnsi="Times New Roman" w:cs="Times New Roman"/>
          <w:color w:val="0070C0"/>
          <w:sz w:val="16"/>
          <w:szCs w:val="16"/>
          <w:u w:val="none"/>
        </w:rPr>
        <w:t>57</w:t>
      </w:r>
      <w:r w:rsidRPr="00271E51">
        <w:rPr>
          <w:rFonts w:ascii="Times New Roman" w:hAnsi="Times New Roman"/>
          <w:color w:val="0070C0"/>
          <w:sz w:val="16"/>
          <w:szCs w:val="16"/>
        </w:rPr>
        <w:t xml:space="preserve"> мм с самолета Су-6 большая, чем при стрельбе из таких же пушек с самолета Ил-2, вследствие меньшего влияния силы отдачи на поведение самолета Су-6».</w:t>
      </w:r>
    </w:p>
    <w:p w14:paraId="4DA1C3CE"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Поскольку установленный на само</w:t>
      </w:r>
      <w:r w:rsidRPr="00271E51">
        <w:rPr>
          <w:rStyle w:val="145"/>
          <w:rFonts w:ascii="Times New Roman" w:hAnsi="Times New Roman" w:cs="Times New Roman"/>
          <w:color w:val="0070C0"/>
          <w:sz w:val="16"/>
          <w:szCs w:val="16"/>
          <w:u w:val="none"/>
        </w:rPr>
        <w:softHyphen/>
        <w:t>лете прицел ВВ-1</w:t>
      </w:r>
      <w:r w:rsidRPr="00271E51">
        <w:rPr>
          <w:rFonts w:ascii="Times New Roman" w:hAnsi="Times New Roman"/>
          <w:color w:val="0070C0"/>
          <w:sz w:val="16"/>
          <w:szCs w:val="16"/>
        </w:rPr>
        <w:t xml:space="preserve"> «не обеспечивает точ</w:t>
      </w:r>
      <w:r w:rsidRPr="00271E51">
        <w:rPr>
          <w:rFonts w:ascii="Times New Roman" w:hAnsi="Times New Roman"/>
          <w:color w:val="0070C0"/>
          <w:sz w:val="16"/>
          <w:szCs w:val="16"/>
        </w:rPr>
        <w:softHyphen/>
        <w:t>ность прицеливания при стрельбе из не</w:t>
      </w:r>
      <w:r w:rsidRPr="00271E51">
        <w:rPr>
          <w:rFonts w:ascii="Times New Roman" w:hAnsi="Times New Roman"/>
          <w:color w:val="0070C0"/>
          <w:sz w:val="16"/>
          <w:szCs w:val="16"/>
        </w:rPr>
        <w:softHyphen/>
        <w:t>подвижного оружия по целям ограничен</w:t>
      </w:r>
      <w:r w:rsidRPr="00271E51">
        <w:rPr>
          <w:rFonts w:ascii="Times New Roman" w:hAnsi="Times New Roman"/>
          <w:color w:val="0070C0"/>
          <w:sz w:val="16"/>
          <w:szCs w:val="16"/>
        </w:rPr>
        <w:softHyphen/>
        <w:t>ных размеров (габариты танка)»,</w:t>
      </w:r>
      <w:r w:rsidRPr="00271E51">
        <w:rPr>
          <w:rStyle w:val="145"/>
          <w:rFonts w:ascii="Times New Roman" w:hAnsi="Times New Roman" w:cs="Times New Roman"/>
          <w:color w:val="0070C0"/>
          <w:sz w:val="16"/>
          <w:szCs w:val="16"/>
          <w:u w:val="none"/>
        </w:rPr>
        <w:t>то пред</w:t>
      </w:r>
      <w:r w:rsidRPr="00271E51">
        <w:rPr>
          <w:rStyle w:val="145"/>
          <w:rFonts w:ascii="Times New Roman" w:hAnsi="Times New Roman" w:cs="Times New Roman"/>
          <w:color w:val="0070C0"/>
          <w:sz w:val="16"/>
          <w:szCs w:val="16"/>
          <w:u w:val="none"/>
        </w:rPr>
        <w:softHyphen/>
        <w:t>лагалось заменить его коллиматорным прицелом ПБП-16.</w:t>
      </w:r>
    </w:p>
    <w:p w14:paraId="51E18196"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Помощник начальника тактического отделения 4-го отдела НИИ ВВС капи</w:t>
      </w:r>
      <w:r w:rsidRPr="00271E51">
        <w:rPr>
          <w:rStyle w:val="145"/>
          <w:rFonts w:ascii="Times New Roman" w:hAnsi="Times New Roman" w:cs="Times New Roman"/>
          <w:color w:val="0070C0"/>
          <w:sz w:val="16"/>
          <w:szCs w:val="16"/>
          <w:u w:val="none"/>
        </w:rPr>
        <w:softHyphen/>
        <w:t xml:space="preserve">тан Васильев в своем донесении писал: </w:t>
      </w:r>
      <w:r w:rsidRPr="00271E51">
        <w:rPr>
          <w:rFonts w:ascii="Times New Roman" w:hAnsi="Times New Roman"/>
          <w:color w:val="0070C0"/>
          <w:sz w:val="16"/>
          <w:szCs w:val="16"/>
        </w:rPr>
        <w:t>«Кабина стрелка достаточно просторна и вполне обеспечивает нормальную ра</w:t>
      </w:r>
      <w:r w:rsidRPr="00271E51">
        <w:rPr>
          <w:rFonts w:ascii="Times New Roman" w:hAnsi="Times New Roman"/>
          <w:color w:val="0070C0"/>
          <w:sz w:val="16"/>
          <w:szCs w:val="16"/>
        </w:rPr>
        <w:softHyphen/>
        <w:t>боту. Основное положение работы с пуле</w:t>
      </w:r>
      <w:r w:rsidRPr="00271E51">
        <w:rPr>
          <w:rFonts w:ascii="Times New Roman" w:hAnsi="Times New Roman"/>
          <w:color w:val="0070C0"/>
          <w:sz w:val="16"/>
          <w:szCs w:val="16"/>
        </w:rPr>
        <w:softHyphen/>
        <w:t>метом - стоя./.../Вращение пулемета и блистера свободно./.../Углы обстрела пулемета вверх и в стороны - небольшие, но учитывая, что самолет на высотах до 3000 м имеет горизонтальные скоро</w:t>
      </w:r>
      <w:r w:rsidRPr="00271E51">
        <w:rPr>
          <w:rFonts w:ascii="Times New Roman" w:hAnsi="Times New Roman"/>
          <w:color w:val="0070C0"/>
          <w:sz w:val="16"/>
          <w:szCs w:val="16"/>
        </w:rPr>
        <w:softHyphen/>
        <w:t>сти, близкие к скоростям истребителей противника, они достаточны. Отражение атак противника сзади-сверху и сбоку, при использовании маневра самолета - вполне возможно. Установка не обеспечивает об</w:t>
      </w:r>
      <w:r w:rsidRPr="00271E51">
        <w:rPr>
          <w:rFonts w:ascii="Times New Roman" w:hAnsi="Times New Roman"/>
          <w:color w:val="0070C0"/>
          <w:sz w:val="16"/>
          <w:szCs w:val="16"/>
        </w:rPr>
        <w:softHyphen/>
        <w:t>стрел нижней части задней полусферы, огонь можно вести только выше стаби</w:t>
      </w:r>
      <w:r w:rsidRPr="00271E51">
        <w:rPr>
          <w:rFonts w:ascii="Times New Roman" w:hAnsi="Times New Roman"/>
          <w:color w:val="0070C0"/>
          <w:sz w:val="16"/>
          <w:szCs w:val="16"/>
        </w:rPr>
        <w:softHyphen/>
        <w:t>лизатора. Маневром самолета не всегда можно обеспечить необходимые углы об</w:t>
      </w:r>
      <w:r w:rsidRPr="00271E51">
        <w:rPr>
          <w:rFonts w:ascii="Times New Roman" w:hAnsi="Times New Roman"/>
          <w:color w:val="0070C0"/>
          <w:sz w:val="16"/>
          <w:szCs w:val="16"/>
        </w:rPr>
        <w:softHyphen/>
        <w:t>стрела для отражения атак самолета противника сзади-снизу. Наличие хорошей броневой защиты стрелка является зна</w:t>
      </w:r>
      <w:r w:rsidRPr="00271E51">
        <w:rPr>
          <w:rFonts w:ascii="Times New Roman" w:hAnsi="Times New Roman"/>
          <w:color w:val="0070C0"/>
          <w:sz w:val="16"/>
          <w:szCs w:val="16"/>
        </w:rPr>
        <w:softHyphen/>
        <w:t>чительным фактором живучести само</w:t>
      </w:r>
      <w:r w:rsidRPr="00271E51">
        <w:rPr>
          <w:rFonts w:ascii="Times New Roman" w:hAnsi="Times New Roman"/>
          <w:color w:val="0070C0"/>
          <w:sz w:val="16"/>
          <w:szCs w:val="16"/>
        </w:rPr>
        <w:softHyphen/>
        <w:t>лета в целом. Стрелок менее уязвим, чем на самолете Ил-2. Установка броневого экрана на пулемете стрелка является весьма целесообразным мероприятием, ко</w:t>
      </w:r>
      <w:r w:rsidRPr="00271E51">
        <w:rPr>
          <w:rFonts w:ascii="Times New Roman" w:hAnsi="Times New Roman"/>
          <w:color w:val="0070C0"/>
          <w:sz w:val="16"/>
          <w:szCs w:val="16"/>
        </w:rPr>
        <w:softHyphen/>
        <w:t>торое не только обеспечивает безопас</w:t>
      </w:r>
      <w:r w:rsidRPr="00271E51">
        <w:rPr>
          <w:rFonts w:ascii="Times New Roman" w:hAnsi="Times New Roman"/>
          <w:color w:val="0070C0"/>
          <w:sz w:val="16"/>
          <w:szCs w:val="16"/>
        </w:rPr>
        <w:softHyphen/>
        <w:t>ность стрелка, но дает возможность бо</w:t>
      </w:r>
      <w:r w:rsidRPr="00271E51">
        <w:rPr>
          <w:rFonts w:ascii="Times New Roman" w:hAnsi="Times New Roman"/>
          <w:color w:val="0070C0"/>
          <w:sz w:val="16"/>
          <w:szCs w:val="16"/>
        </w:rPr>
        <w:softHyphen/>
        <w:t>лее решительно и уверенно отражать атаки противника./.../Кабина стрелка, как по своим габаритам, так и по удоб</w:t>
      </w:r>
      <w:r w:rsidRPr="00271E51">
        <w:rPr>
          <w:rFonts w:ascii="Times New Roman" w:hAnsi="Times New Roman"/>
          <w:color w:val="0070C0"/>
          <w:sz w:val="16"/>
          <w:szCs w:val="16"/>
        </w:rPr>
        <w:softHyphen/>
        <w:t>ству работы в ней значительно лучше, чем кабина стрелка на самолете Ил-2. Хо</w:t>
      </w:r>
      <w:r w:rsidRPr="00271E51">
        <w:rPr>
          <w:rFonts w:ascii="Times New Roman" w:hAnsi="Times New Roman"/>
          <w:color w:val="0070C0"/>
          <w:sz w:val="16"/>
          <w:szCs w:val="16"/>
        </w:rPr>
        <w:softHyphen/>
        <w:t>рошее бронирование кабины обеспечивает безопасность и уверенность в работе стрелка, что в значительной степени по</w:t>
      </w:r>
      <w:r w:rsidRPr="00271E51">
        <w:rPr>
          <w:rFonts w:ascii="Times New Roman" w:hAnsi="Times New Roman"/>
          <w:color w:val="0070C0"/>
          <w:sz w:val="16"/>
          <w:szCs w:val="16"/>
        </w:rPr>
        <w:softHyphen/>
        <w:t>вышает живучесть самолета в целом».</w:t>
      </w:r>
    </w:p>
    <w:p w14:paraId="533549D5"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Штурман-испытатель капитан Гор</w:t>
      </w:r>
      <w:r w:rsidRPr="00271E51">
        <w:rPr>
          <w:rStyle w:val="145"/>
          <w:rFonts w:ascii="Times New Roman" w:hAnsi="Times New Roman" w:cs="Times New Roman"/>
          <w:color w:val="0070C0"/>
          <w:sz w:val="16"/>
          <w:szCs w:val="16"/>
          <w:u w:val="none"/>
        </w:rPr>
        <w:softHyphen/>
        <w:t>бунов докладывал:</w:t>
      </w:r>
      <w:r w:rsidRPr="00271E51">
        <w:rPr>
          <w:rFonts w:ascii="Times New Roman" w:hAnsi="Times New Roman"/>
          <w:color w:val="0070C0"/>
          <w:sz w:val="16"/>
          <w:szCs w:val="16"/>
        </w:rPr>
        <w:t xml:space="preserve"> «Запас патронов (196 шт.) для пулемета УБТ, размещенных в 4-х магазинах, достаточный. Для замены магазина и зарядки пулемета требуется 50-60 секунд./.../Подвешенный в кабине фартук обеспечивает улавливание гильз и звеньев и не мешает стрелку при работе с пулеметом».</w:t>
      </w:r>
    </w:p>
    <w:p w14:paraId="3E5E5143"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 ходе испытаний были проведены учебные воздушные бои с боевыми само</w:t>
      </w:r>
      <w:r w:rsidRPr="00271E51">
        <w:rPr>
          <w:rFonts w:ascii="Times New Roman" w:hAnsi="Times New Roman" w:cs="Times New Roman"/>
          <w:color w:val="0070C0"/>
          <w:sz w:val="16"/>
          <w:szCs w:val="16"/>
        </w:rPr>
        <w:softHyphen/>
        <w:t>летами люфтваффе, имевшимися в рас</w:t>
      </w:r>
      <w:r w:rsidRPr="00271E51">
        <w:rPr>
          <w:rFonts w:ascii="Times New Roman" w:hAnsi="Times New Roman" w:cs="Times New Roman"/>
          <w:color w:val="0070C0"/>
          <w:sz w:val="16"/>
          <w:szCs w:val="16"/>
        </w:rPr>
        <w:softHyphen/>
        <w:t xml:space="preserve">поряжении НИИ ВВС: с истребителем </w:t>
      </w:r>
      <w:r w:rsidRPr="00271E51">
        <w:rPr>
          <w:rFonts w:ascii="Times New Roman" w:hAnsi="Times New Roman" w:cs="Times New Roman"/>
          <w:color w:val="0070C0"/>
          <w:sz w:val="16"/>
          <w:szCs w:val="16"/>
          <w:lang w:val="en-US"/>
        </w:rPr>
        <w:t>Bf</w:t>
      </w:r>
      <w:r w:rsidRPr="00271E51">
        <w:rPr>
          <w:rFonts w:ascii="Times New Roman" w:hAnsi="Times New Roman" w:cs="Times New Roman"/>
          <w:color w:val="0070C0"/>
          <w:sz w:val="16"/>
          <w:szCs w:val="16"/>
        </w:rPr>
        <w:t xml:space="preserve"> 109</w:t>
      </w:r>
      <w:r w:rsidRPr="00271E51">
        <w:rPr>
          <w:rFonts w:ascii="Times New Roman" w:hAnsi="Times New Roman" w:cs="Times New Roman"/>
          <w:color w:val="0070C0"/>
          <w:sz w:val="16"/>
          <w:szCs w:val="16"/>
          <w:lang w:val="en-US"/>
        </w:rPr>
        <w:t>G</w:t>
      </w:r>
      <w:r w:rsidRPr="00271E51">
        <w:rPr>
          <w:rFonts w:ascii="Times New Roman" w:hAnsi="Times New Roman" w:cs="Times New Roman"/>
          <w:color w:val="0070C0"/>
          <w:sz w:val="16"/>
          <w:szCs w:val="16"/>
        </w:rPr>
        <w:t>-2 в трехточечном варианте и с бомбардировщиком Не 111Н-11.</w:t>
      </w:r>
    </w:p>
    <w:p w14:paraId="43604BDC"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Отмечалось, что маневрирование Су-6 в горизонтальной идем более, в верти</w:t>
      </w:r>
      <w:r w:rsidRPr="00271E51">
        <w:rPr>
          <w:rFonts w:ascii="Times New Roman" w:hAnsi="Times New Roman" w:cs="Times New Roman"/>
          <w:color w:val="0070C0"/>
          <w:sz w:val="16"/>
          <w:szCs w:val="16"/>
        </w:rPr>
        <w:softHyphen/>
        <w:t>кальной плоскости,</w:t>
      </w:r>
      <w:r w:rsidRPr="00271E51">
        <w:rPr>
          <w:rStyle w:val="aff6"/>
          <w:rFonts w:ascii="Times New Roman" w:hAnsi="Times New Roman" w:cs="Times New Roman"/>
          <w:color w:val="0070C0"/>
        </w:rPr>
        <w:t xml:space="preserve"> «не создает истре</w:t>
      </w:r>
      <w:r w:rsidRPr="00271E51">
        <w:rPr>
          <w:rStyle w:val="aff6"/>
          <w:rFonts w:ascii="Times New Roman" w:hAnsi="Times New Roman" w:cs="Times New Roman"/>
          <w:color w:val="0070C0"/>
        </w:rPr>
        <w:softHyphen/>
        <w:t>бителю противника значительных за</w:t>
      </w:r>
      <w:r w:rsidRPr="00271E51">
        <w:rPr>
          <w:rStyle w:val="aff6"/>
          <w:rFonts w:ascii="Times New Roman" w:hAnsi="Times New Roman" w:cs="Times New Roman"/>
          <w:color w:val="0070C0"/>
        </w:rPr>
        <w:softHyphen/>
        <w:t>труднений в выполнении атак».</w:t>
      </w:r>
      <w:r w:rsidRPr="00271E51">
        <w:rPr>
          <w:rFonts w:ascii="Times New Roman" w:hAnsi="Times New Roman" w:cs="Times New Roman"/>
          <w:color w:val="0070C0"/>
          <w:sz w:val="16"/>
          <w:szCs w:val="16"/>
        </w:rPr>
        <w:t xml:space="preserve"> Самолет </w:t>
      </w:r>
      <w:r w:rsidRPr="00271E51">
        <w:rPr>
          <w:rFonts w:ascii="Times New Roman" w:hAnsi="Times New Roman" w:cs="Times New Roman"/>
          <w:color w:val="0070C0"/>
          <w:sz w:val="16"/>
          <w:szCs w:val="16"/>
          <w:lang w:val="en-US"/>
        </w:rPr>
        <w:t>Bfl</w:t>
      </w:r>
      <w:r w:rsidRPr="00271E51">
        <w:rPr>
          <w:rFonts w:ascii="Times New Roman" w:hAnsi="Times New Roman" w:cs="Times New Roman"/>
          <w:color w:val="0070C0"/>
          <w:sz w:val="16"/>
          <w:szCs w:val="16"/>
        </w:rPr>
        <w:t>09</w:t>
      </w:r>
      <w:r w:rsidRPr="00271E51">
        <w:rPr>
          <w:rFonts w:ascii="Times New Roman" w:hAnsi="Times New Roman" w:cs="Times New Roman"/>
          <w:color w:val="0070C0"/>
          <w:sz w:val="16"/>
          <w:szCs w:val="16"/>
          <w:lang w:val="en-US"/>
        </w:rPr>
        <w:t>G</w:t>
      </w:r>
      <w:r w:rsidRPr="00271E51">
        <w:rPr>
          <w:rFonts w:ascii="Times New Roman" w:hAnsi="Times New Roman" w:cs="Times New Roman"/>
          <w:color w:val="0070C0"/>
          <w:sz w:val="16"/>
          <w:szCs w:val="16"/>
        </w:rPr>
        <w:t>-2 значительно превосходит Су-6 М-71ф, как по вертикальной, так и по го</w:t>
      </w:r>
      <w:r w:rsidRPr="00271E51">
        <w:rPr>
          <w:rFonts w:ascii="Times New Roman" w:hAnsi="Times New Roman" w:cs="Times New Roman"/>
          <w:color w:val="0070C0"/>
          <w:sz w:val="16"/>
          <w:szCs w:val="16"/>
        </w:rPr>
        <w:softHyphen/>
        <w:t>ризонтальной маневренности. Уже на первом вираже «мессершмитт» заходит самолету Су-6 в хвост для атаки.</w:t>
      </w:r>
    </w:p>
    <w:p w14:paraId="604B0C90"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Основной же вывод сводился к сле</w:t>
      </w:r>
      <w:r w:rsidRPr="00271E51">
        <w:rPr>
          <w:rStyle w:val="145"/>
          <w:rFonts w:ascii="Times New Roman" w:hAnsi="Times New Roman" w:cs="Times New Roman"/>
          <w:color w:val="0070C0"/>
          <w:sz w:val="16"/>
          <w:szCs w:val="16"/>
          <w:u w:val="none"/>
        </w:rPr>
        <w:softHyphen/>
        <w:t>дующему:</w:t>
      </w:r>
      <w:r w:rsidRPr="00271E51">
        <w:rPr>
          <w:rFonts w:ascii="Times New Roman" w:hAnsi="Times New Roman"/>
          <w:color w:val="0070C0"/>
          <w:sz w:val="16"/>
          <w:szCs w:val="16"/>
        </w:rPr>
        <w:t xml:space="preserve"> «Решать задачи борьбы с ис</w:t>
      </w:r>
      <w:r w:rsidRPr="00271E51">
        <w:rPr>
          <w:rFonts w:ascii="Times New Roman" w:hAnsi="Times New Roman"/>
          <w:color w:val="0070C0"/>
          <w:sz w:val="16"/>
          <w:szCs w:val="16"/>
        </w:rPr>
        <w:softHyphen/>
        <w:t>требителями противника самолет Су-6 по своим летным данным и маневренно</w:t>
      </w:r>
      <w:r w:rsidRPr="00271E51">
        <w:rPr>
          <w:rFonts w:ascii="Times New Roman" w:hAnsi="Times New Roman"/>
          <w:color w:val="0070C0"/>
          <w:sz w:val="16"/>
          <w:szCs w:val="16"/>
        </w:rPr>
        <w:softHyphen/>
        <w:t>сти НЕ МОЖЕТ (</w:t>
      </w:r>
      <w:r w:rsidRPr="00271E51">
        <w:rPr>
          <w:rStyle w:val="145"/>
          <w:rFonts w:ascii="Times New Roman" w:hAnsi="Times New Roman" w:cs="Times New Roman"/>
          <w:color w:val="0070C0"/>
          <w:sz w:val="16"/>
          <w:szCs w:val="16"/>
          <w:u w:val="none"/>
        </w:rPr>
        <w:t>так в документе</w:t>
      </w:r>
      <w:r w:rsidRPr="00271E51">
        <w:rPr>
          <w:rFonts w:ascii="Times New Roman" w:hAnsi="Times New Roman"/>
          <w:color w:val="0070C0"/>
          <w:sz w:val="16"/>
          <w:szCs w:val="16"/>
        </w:rPr>
        <w:t>). Однако сравнительно большие гори</w:t>
      </w:r>
      <w:r w:rsidRPr="00271E51">
        <w:rPr>
          <w:rFonts w:ascii="Times New Roman" w:hAnsi="Times New Roman"/>
          <w:color w:val="0070C0"/>
          <w:sz w:val="16"/>
          <w:szCs w:val="16"/>
        </w:rPr>
        <w:softHyphen/>
        <w:t>зонтальные скорости и наличие оборони</w:t>
      </w:r>
      <w:r w:rsidRPr="00271E51">
        <w:rPr>
          <w:rFonts w:ascii="Times New Roman" w:hAnsi="Times New Roman"/>
          <w:color w:val="0070C0"/>
          <w:sz w:val="16"/>
          <w:szCs w:val="16"/>
        </w:rPr>
        <w:softHyphen/>
        <w:t>тельного вооружения на двухместном са</w:t>
      </w:r>
      <w:r w:rsidRPr="00271E51">
        <w:rPr>
          <w:rFonts w:ascii="Times New Roman" w:hAnsi="Times New Roman"/>
          <w:color w:val="0070C0"/>
          <w:sz w:val="16"/>
          <w:szCs w:val="16"/>
        </w:rPr>
        <w:softHyphen/>
        <w:t>молете позволяет отражать атаки ис</w:t>
      </w:r>
      <w:r w:rsidRPr="00271E51">
        <w:rPr>
          <w:rFonts w:ascii="Times New Roman" w:hAnsi="Times New Roman"/>
          <w:color w:val="0070C0"/>
          <w:sz w:val="16"/>
          <w:szCs w:val="16"/>
        </w:rPr>
        <w:softHyphen/>
        <w:t>требителей противника».</w:t>
      </w:r>
      <w:r w:rsidRPr="00271E51">
        <w:rPr>
          <w:rStyle w:val="145"/>
          <w:rFonts w:ascii="Times New Roman" w:hAnsi="Times New Roman" w:cs="Times New Roman"/>
          <w:color w:val="0070C0"/>
          <w:sz w:val="16"/>
          <w:szCs w:val="16"/>
          <w:u w:val="none"/>
        </w:rPr>
        <w:t xml:space="preserve"> Успешный воздушный бой самолетов Су-6 с истре</w:t>
      </w:r>
      <w:r w:rsidRPr="00271E51">
        <w:rPr>
          <w:rStyle w:val="145"/>
          <w:rFonts w:ascii="Times New Roman" w:hAnsi="Times New Roman" w:cs="Times New Roman"/>
          <w:color w:val="0070C0"/>
          <w:sz w:val="16"/>
          <w:szCs w:val="16"/>
          <w:u w:val="none"/>
        </w:rPr>
        <w:softHyphen/>
        <w:t>бителями был возможен только в составе группы</w:t>
      </w:r>
      <w:r w:rsidRPr="00271E51">
        <w:rPr>
          <w:rFonts w:ascii="Times New Roman" w:hAnsi="Times New Roman"/>
          <w:color w:val="0070C0"/>
          <w:sz w:val="16"/>
          <w:szCs w:val="16"/>
        </w:rPr>
        <w:t xml:space="preserve"> («не менее 2-4 самолетов Су-6, когда они обеспечивают взаимное прикры</w:t>
      </w:r>
      <w:r w:rsidRPr="00271E51">
        <w:rPr>
          <w:rFonts w:ascii="Times New Roman" w:hAnsi="Times New Roman"/>
          <w:color w:val="0070C0"/>
          <w:sz w:val="16"/>
          <w:szCs w:val="16"/>
        </w:rPr>
        <w:softHyphen/>
        <w:t>тие»),</w:t>
      </w:r>
      <w:r w:rsidRPr="00271E51">
        <w:rPr>
          <w:rStyle w:val="145"/>
          <w:rFonts w:ascii="Times New Roman" w:hAnsi="Times New Roman" w:cs="Times New Roman"/>
          <w:color w:val="0070C0"/>
          <w:sz w:val="16"/>
          <w:szCs w:val="16"/>
          <w:u w:val="none"/>
        </w:rPr>
        <w:t xml:space="preserve"> В то же время шансы одиночного Су-6 выжить в бою с истребителями оце</w:t>
      </w:r>
      <w:r w:rsidRPr="00271E51">
        <w:rPr>
          <w:rStyle w:val="145"/>
          <w:rFonts w:ascii="Times New Roman" w:hAnsi="Times New Roman" w:cs="Times New Roman"/>
          <w:color w:val="0070C0"/>
          <w:sz w:val="16"/>
          <w:szCs w:val="16"/>
          <w:u w:val="none"/>
        </w:rPr>
        <w:softHyphen/>
        <w:t>нивались выше, чем у экипажа самолета Ил-2:</w:t>
      </w:r>
      <w:r w:rsidRPr="00271E51">
        <w:rPr>
          <w:rFonts w:ascii="Times New Roman" w:hAnsi="Times New Roman"/>
          <w:color w:val="0070C0"/>
          <w:sz w:val="16"/>
          <w:szCs w:val="16"/>
        </w:rPr>
        <w:t xml:space="preserve"> «Задняя стрелковая установка БЛУБ на самолете Су-6 в сочетании с большей скоростью и значительно лучшим бро</w:t>
      </w:r>
      <w:r w:rsidRPr="00271E51">
        <w:rPr>
          <w:rFonts w:ascii="Times New Roman" w:hAnsi="Times New Roman"/>
          <w:color w:val="0070C0"/>
          <w:sz w:val="16"/>
          <w:szCs w:val="16"/>
        </w:rPr>
        <w:softHyphen/>
        <w:t>нированием стрелка обеспечивает более надежную оборону самолета от атак ис</w:t>
      </w:r>
      <w:r w:rsidRPr="00271E51">
        <w:rPr>
          <w:rFonts w:ascii="Times New Roman" w:hAnsi="Times New Roman"/>
          <w:color w:val="0070C0"/>
          <w:sz w:val="16"/>
          <w:szCs w:val="16"/>
        </w:rPr>
        <w:softHyphen/>
        <w:t>требителей противника, чем установка ВУБ-3 на самолете Ил-2».</w:t>
      </w:r>
    </w:p>
    <w:p w14:paraId="3A2DE1C1"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Воздушный бой с немецким бомбар</w:t>
      </w:r>
      <w:r w:rsidRPr="00271E51">
        <w:rPr>
          <w:rFonts w:ascii="Times New Roman" w:hAnsi="Times New Roman" w:cs="Times New Roman"/>
          <w:color w:val="0070C0"/>
          <w:sz w:val="16"/>
          <w:szCs w:val="16"/>
        </w:rPr>
        <w:softHyphen/>
        <w:t>дировщиком Не111Н-11 показал, что са</w:t>
      </w:r>
      <w:r w:rsidRPr="00271E51">
        <w:rPr>
          <w:rFonts w:ascii="Times New Roman" w:hAnsi="Times New Roman" w:cs="Times New Roman"/>
          <w:color w:val="0070C0"/>
          <w:sz w:val="16"/>
          <w:szCs w:val="16"/>
        </w:rPr>
        <w:softHyphen/>
        <w:t>молет Су-6 может атаковать его со всех направлений на высотах до 4000 м. При догоне бомбардировщика,</w:t>
      </w:r>
      <w:r w:rsidRPr="00271E51">
        <w:rPr>
          <w:rStyle w:val="aff6"/>
          <w:rFonts w:ascii="Times New Roman" w:hAnsi="Times New Roman" w:cs="Times New Roman"/>
          <w:color w:val="0070C0"/>
        </w:rPr>
        <w:t xml:space="preserve"> «идущего по прямой на максимальной скорости и вы</w:t>
      </w:r>
      <w:r w:rsidRPr="00271E51">
        <w:rPr>
          <w:rStyle w:val="aff6"/>
          <w:rFonts w:ascii="Times New Roman" w:hAnsi="Times New Roman" w:cs="Times New Roman"/>
          <w:color w:val="0070C0"/>
        </w:rPr>
        <w:softHyphen/>
        <w:t>сотах до 4000 м, самолет Су-6 свободно атакует сзади, может обогнать и атако</w:t>
      </w:r>
      <w:r w:rsidRPr="00271E51">
        <w:rPr>
          <w:rStyle w:val="aff6"/>
          <w:rFonts w:ascii="Times New Roman" w:hAnsi="Times New Roman" w:cs="Times New Roman"/>
          <w:color w:val="0070C0"/>
        </w:rPr>
        <w:softHyphen/>
        <w:t>вать в</w:t>
      </w:r>
      <w:r w:rsidRPr="00271E51">
        <w:rPr>
          <w:rFonts w:ascii="Times New Roman" w:hAnsi="Times New Roman" w:cs="Times New Roman"/>
          <w:color w:val="0070C0"/>
          <w:sz w:val="16"/>
          <w:szCs w:val="16"/>
        </w:rPr>
        <w:t xml:space="preserve"> лоб». Уйти с набором высоты</w:t>
      </w:r>
      <w:r w:rsidRPr="00271E51">
        <w:rPr>
          <w:rStyle w:val="aff6"/>
          <w:rFonts w:ascii="Times New Roman" w:hAnsi="Times New Roman" w:cs="Times New Roman"/>
          <w:color w:val="0070C0"/>
        </w:rPr>
        <w:t xml:space="preserve"> «бом</w:t>
      </w:r>
      <w:r w:rsidRPr="00271E51">
        <w:rPr>
          <w:rStyle w:val="aff6"/>
          <w:rFonts w:ascii="Times New Roman" w:hAnsi="Times New Roman" w:cs="Times New Roman"/>
          <w:color w:val="0070C0"/>
        </w:rPr>
        <w:softHyphen/>
        <w:t>бардировщики противника типа Не-111, Фокке-Вульф-200 и Ю-87»</w:t>
      </w:r>
      <w:r w:rsidRPr="00271E51">
        <w:rPr>
          <w:rFonts w:ascii="Times New Roman" w:hAnsi="Times New Roman" w:cs="Times New Roman"/>
          <w:color w:val="0070C0"/>
          <w:sz w:val="16"/>
          <w:szCs w:val="16"/>
        </w:rPr>
        <w:t xml:space="preserve"> не могут. Под углами более 50° к линии полета бомбар</w:t>
      </w:r>
      <w:r w:rsidRPr="00271E51">
        <w:rPr>
          <w:rFonts w:ascii="Times New Roman" w:hAnsi="Times New Roman" w:cs="Times New Roman"/>
          <w:color w:val="0070C0"/>
          <w:sz w:val="16"/>
          <w:szCs w:val="16"/>
        </w:rPr>
        <w:softHyphen/>
        <w:t>дировщика атаки возможны с дистанций 400-500 м. Считалось, что</w:t>
      </w:r>
      <w:r w:rsidRPr="00271E51">
        <w:rPr>
          <w:rStyle w:val="aff6"/>
          <w:rFonts w:ascii="Times New Roman" w:hAnsi="Times New Roman" w:cs="Times New Roman"/>
          <w:color w:val="0070C0"/>
        </w:rPr>
        <w:t xml:space="preserve"> «эффектив</w:t>
      </w:r>
      <w:r w:rsidRPr="00271E51">
        <w:rPr>
          <w:rStyle w:val="aff6"/>
          <w:rFonts w:ascii="Times New Roman" w:hAnsi="Times New Roman" w:cs="Times New Roman"/>
          <w:color w:val="0070C0"/>
        </w:rPr>
        <w:softHyphen/>
        <w:t>ность атак с этих дистанций обеспечива</w:t>
      </w:r>
      <w:r w:rsidRPr="00271E51">
        <w:rPr>
          <w:rStyle w:val="aff6"/>
          <w:rFonts w:ascii="Times New Roman" w:hAnsi="Times New Roman" w:cs="Times New Roman"/>
          <w:color w:val="0070C0"/>
        </w:rPr>
        <w:softHyphen/>
        <w:t>ется мощным пушечным вооружением са</w:t>
      </w:r>
      <w:r w:rsidRPr="00271E51">
        <w:rPr>
          <w:rStyle w:val="aff6"/>
          <w:rFonts w:ascii="Times New Roman" w:hAnsi="Times New Roman" w:cs="Times New Roman"/>
          <w:color w:val="0070C0"/>
        </w:rPr>
        <w:softHyphen/>
        <w:t>молета Су-6».</w:t>
      </w:r>
      <w:r w:rsidRPr="00271E51">
        <w:rPr>
          <w:rFonts w:ascii="Times New Roman" w:hAnsi="Times New Roman" w:cs="Times New Roman"/>
          <w:color w:val="0070C0"/>
          <w:sz w:val="16"/>
          <w:szCs w:val="16"/>
        </w:rPr>
        <w:t xml:space="preserve"> При выходе из атаки в не</w:t>
      </w:r>
      <w:r w:rsidRPr="00271E51">
        <w:rPr>
          <w:rFonts w:ascii="Times New Roman" w:hAnsi="Times New Roman" w:cs="Times New Roman"/>
          <w:color w:val="0070C0"/>
          <w:sz w:val="16"/>
          <w:szCs w:val="16"/>
        </w:rPr>
        <w:softHyphen/>
        <w:t>которых случаях может использоваться пулемет стрелка.</w:t>
      </w:r>
    </w:p>
    <w:p w14:paraId="0D3A831B"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 xml:space="preserve">С учетом этого был сделан вывод, что </w:t>
      </w:r>
      <w:r w:rsidRPr="00271E51">
        <w:rPr>
          <w:rFonts w:ascii="Times New Roman" w:hAnsi="Times New Roman"/>
          <w:color w:val="0070C0"/>
          <w:sz w:val="16"/>
          <w:szCs w:val="16"/>
        </w:rPr>
        <w:t>«благодаря сочетанию большой скоро</w:t>
      </w:r>
      <w:r w:rsidRPr="00271E51">
        <w:rPr>
          <w:rFonts w:ascii="Times New Roman" w:hAnsi="Times New Roman"/>
          <w:color w:val="0070C0"/>
          <w:sz w:val="16"/>
          <w:szCs w:val="16"/>
        </w:rPr>
        <w:softHyphen/>
        <w:t>сти и мощного вооружения, самолет Су-6 может эффективно применяться для борьбы с бомбардировщиками противника (типа Не-111, Фокке-Вульф-200, Ю-87) и транспортной авиацией».</w:t>
      </w:r>
    </w:p>
    <w:p w14:paraId="18C45C0E"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Бронирование Су-6 оценивалось много выше, чем на серийном штурмо</w:t>
      </w:r>
      <w:r w:rsidRPr="00271E51">
        <w:rPr>
          <w:rFonts w:ascii="Times New Roman" w:hAnsi="Times New Roman" w:cs="Times New Roman"/>
          <w:color w:val="0070C0"/>
          <w:sz w:val="16"/>
          <w:szCs w:val="16"/>
        </w:rPr>
        <w:softHyphen/>
        <w:t>вике Ил-2. При этом благодаря более ра</w:t>
      </w:r>
      <w:r w:rsidRPr="00271E51">
        <w:rPr>
          <w:rFonts w:ascii="Times New Roman" w:hAnsi="Times New Roman" w:cs="Times New Roman"/>
          <w:color w:val="0070C0"/>
          <w:sz w:val="16"/>
          <w:szCs w:val="16"/>
        </w:rPr>
        <w:softHyphen/>
        <w:t>циональной схеме и распределению тол</w:t>
      </w:r>
      <w:r w:rsidRPr="00271E51">
        <w:rPr>
          <w:rFonts w:ascii="Times New Roman" w:hAnsi="Times New Roman" w:cs="Times New Roman"/>
          <w:color w:val="0070C0"/>
          <w:sz w:val="16"/>
          <w:szCs w:val="16"/>
        </w:rPr>
        <w:softHyphen/>
        <w:t>щин броневых листов (от 2 до 12 мм) сум</w:t>
      </w:r>
      <w:r w:rsidRPr="00271E51">
        <w:rPr>
          <w:rFonts w:ascii="Times New Roman" w:hAnsi="Times New Roman" w:cs="Times New Roman"/>
          <w:color w:val="0070C0"/>
          <w:sz w:val="16"/>
          <w:szCs w:val="16"/>
        </w:rPr>
        <w:softHyphen/>
        <w:t>марный вес брони (642,6 кг) оказался за</w:t>
      </w:r>
      <w:r w:rsidRPr="00271E51">
        <w:rPr>
          <w:rFonts w:ascii="Times New Roman" w:hAnsi="Times New Roman" w:cs="Times New Roman"/>
          <w:color w:val="0070C0"/>
          <w:sz w:val="16"/>
          <w:szCs w:val="16"/>
        </w:rPr>
        <w:softHyphen/>
        <w:t>метно меньше, чем у двухместного Ил-2 АМ-38ф (957 кг), при лучшем уровне за</w:t>
      </w:r>
      <w:r w:rsidRPr="00271E51">
        <w:rPr>
          <w:rFonts w:ascii="Times New Roman" w:hAnsi="Times New Roman" w:cs="Times New Roman"/>
          <w:color w:val="0070C0"/>
          <w:sz w:val="16"/>
          <w:szCs w:val="16"/>
        </w:rPr>
        <w:softHyphen/>
        <w:t>щищенности воздушного стрелка, летчика и жизненно важных элементов конструк</w:t>
      </w:r>
      <w:r w:rsidRPr="00271E51">
        <w:rPr>
          <w:rFonts w:ascii="Times New Roman" w:hAnsi="Times New Roman" w:cs="Times New Roman"/>
          <w:color w:val="0070C0"/>
          <w:sz w:val="16"/>
          <w:szCs w:val="16"/>
        </w:rPr>
        <w:softHyphen/>
        <w:t>ции самолета.</w:t>
      </w:r>
    </w:p>
    <w:p w14:paraId="400C563C"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Как известно, на Ил-2 наиболее уяз</w:t>
      </w:r>
      <w:r w:rsidRPr="00271E51">
        <w:rPr>
          <w:rFonts w:ascii="Times New Roman" w:hAnsi="Times New Roman" w:cs="Times New Roman"/>
          <w:color w:val="0070C0"/>
          <w:sz w:val="16"/>
          <w:szCs w:val="16"/>
        </w:rPr>
        <w:softHyphen/>
        <w:t>вимые от огня противника бронедетали оказались недостаточной толщины, а воз</w:t>
      </w:r>
      <w:r w:rsidRPr="00271E51">
        <w:rPr>
          <w:rFonts w:ascii="Times New Roman" w:hAnsi="Times New Roman" w:cs="Times New Roman"/>
          <w:color w:val="0070C0"/>
          <w:sz w:val="16"/>
          <w:szCs w:val="16"/>
        </w:rPr>
        <w:softHyphen/>
        <w:t>душный стрелок практически не имел бронезащиты.</w:t>
      </w:r>
    </w:p>
    <w:p w14:paraId="34550AC6"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 заключению специалистов НИИ ВВС бронирование Су-6 М-71ф обеспе</w:t>
      </w:r>
      <w:r w:rsidRPr="00271E51">
        <w:rPr>
          <w:rFonts w:ascii="Times New Roman" w:hAnsi="Times New Roman" w:cs="Times New Roman"/>
          <w:color w:val="0070C0"/>
          <w:sz w:val="16"/>
          <w:szCs w:val="16"/>
        </w:rPr>
        <w:softHyphen/>
        <w:t>чивает надежную защиту</w:t>
      </w:r>
      <w:r w:rsidRPr="00271E51">
        <w:rPr>
          <w:rStyle w:val="aff6"/>
          <w:rFonts w:ascii="Times New Roman" w:hAnsi="Times New Roman" w:cs="Times New Roman"/>
          <w:color w:val="0070C0"/>
        </w:rPr>
        <w:t xml:space="preserve"> «экипажа, бен</w:t>
      </w:r>
      <w:r w:rsidRPr="00271E51">
        <w:rPr>
          <w:rStyle w:val="aff6"/>
          <w:rFonts w:ascii="Times New Roman" w:hAnsi="Times New Roman" w:cs="Times New Roman"/>
          <w:color w:val="0070C0"/>
        </w:rPr>
        <w:softHyphen/>
        <w:t>зобака, маслорадиаторов и моторных аг</w:t>
      </w:r>
      <w:r w:rsidRPr="00271E51">
        <w:rPr>
          <w:rStyle w:val="aff6"/>
          <w:rFonts w:ascii="Times New Roman" w:hAnsi="Times New Roman" w:cs="Times New Roman"/>
          <w:color w:val="0070C0"/>
        </w:rPr>
        <w:softHyphen/>
        <w:t>регатов от поражения наземным ог</w:t>
      </w:r>
      <w:r w:rsidRPr="00271E51">
        <w:rPr>
          <w:rStyle w:val="aff6"/>
          <w:rFonts w:ascii="Times New Roman" w:hAnsi="Times New Roman" w:cs="Times New Roman"/>
          <w:color w:val="0070C0"/>
        </w:rPr>
        <w:softHyphen/>
        <w:t>нем и огнем самолетов противника (при стрельбе пулями калибра 7,92 мм с ди</w:t>
      </w:r>
      <w:r w:rsidRPr="00271E51">
        <w:rPr>
          <w:rStyle w:val="aff6"/>
          <w:rFonts w:ascii="Times New Roman" w:hAnsi="Times New Roman" w:cs="Times New Roman"/>
          <w:color w:val="0070C0"/>
        </w:rPr>
        <w:softHyphen/>
        <w:t>станции 100 м и калибра 15 мм с дистан</w:t>
      </w:r>
      <w:r w:rsidRPr="00271E51">
        <w:rPr>
          <w:rStyle w:val="aff6"/>
          <w:rFonts w:ascii="Times New Roman" w:hAnsi="Times New Roman" w:cs="Times New Roman"/>
          <w:color w:val="0070C0"/>
        </w:rPr>
        <w:softHyphen/>
        <w:t>ции порядка 400 м)».</w:t>
      </w:r>
      <w:r w:rsidRPr="00271E51">
        <w:rPr>
          <w:rFonts w:ascii="Times New Roman" w:hAnsi="Times New Roman" w:cs="Times New Roman"/>
          <w:color w:val="0070C0"/>
          <w:sz w:val="16"/>
          <w:szCs w:val="16"/>
        </w:rPr>
        <w:t xml:space="preserve"> Помимо этого, живу</w:t>
      </w:r>
      <w:r w:rsidRPr="00271E51">
        <w:rPr>
          <w:rFonts w:ascii="Times New Roman" w:hAnsi="Times New Roman" w:cs="Times New Roman"/>
          <w:color w:val="0070C0"/>
          <w:sz w:val="16"/>
          <w:szCs w:val="16"/>
        </w:rPr>
        <w:softHyphen/>
        <w:t>честь штурмовика повышалась примене</w:t>
      </w:r>
      <w:r w:rsidRPr="00271E51">
        <w:rPr>
          <w:rFonts w:ascii="Times New Roman" w:hAnsi="Times New Roman" w:cs="Times New Roman"/>
          <w:color w:val="0070C0"/>
          <w:sz w:val="16"/>
          <w:szCs w:val="16"/>
        </w:rPr>
        <w:softHyphen/>
        <w:t>нием мотора воздушного охлаждения, бо</w:t>
      </w:r>
      <w:r w:rsidRPr="00271E51">
        <w:rPr>
          <w:rFonts w:ascii="Times New Roman" w:hAnsi="Times New Roman" w:cs="Times New Roman"/>
          <w:color w:val="0070C0"/>
          <w:sz w:val="16"/>
          <w:szCs w:val="16"/>
        </w:rPr>
        <w:softHyphen/>
        <w:t>лее стойкого к боевым повреждениям, чем моторы с жидкостным охлаждением, наддува бензобака выхлопными газами от мотора и дублированием в системе управления рулем высоты и направления.</w:t>
      </w:r>
    </w:p>
    <w:p w14:paraId="3D8B12A4"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В выводах по результатам государст</w:t>
      </w:r>
      <w:r w:rsidRPr="00271E51">
        <w:rPr>
          <w:rStyle w:val="145"/>
          <w:rFonts w:ascii="Times New Roman" w:hAnsi="Times New Roman" w:cs="Times New Roman"/>
          <w:color w:val="0070C0"/>
          <w:sz w:val="16"/>
          <w:szCs w:val="16"/>
          <w:u w:val="none"/>
        </w:rPr>
        <w:softHyphen/>
        <w:t>венных испытаний Су-6 М-71ф отмеча</w:t>
      </w:r>
      <w:r w:rsidRPr="00271E51">
        <w:rPr>
          <w:rStyle w:val="145"/>
          <w:rFonts w:ascii="Times New Roman" w:hAnsi="Times New Roman" w:cs="Times New Roman"/>
          <w:color w:val="0070C0"/>
          <w:sz w:val="16"/>
          <w:szCs w:val="16"/>
          <w:u w:val="none"/>
        </w:rPr>
        <w:softHyphen/>
        <w:t>лось:</w:t>
      </w:r>
      <w:r w:rsidRPr="00271E51">
        <w:rPr>
          <w:rFonts w:ascii="Times New Roman" w:hAnsi="Times New Roman"/>
          <w:color w:val="0070C0"/>
          <w:sz w:val="16"/>
          <w:szCs w:val="16"/>
        </w:rPr>
        <w:t xml:space="preserve"> «По максимальным скоростям, ско</w:t>
      </w:r>
      <w:r w:rsidRPr="00271E51">
        <w:rPr>
          <w:rFonts w:ascii="Times New Roman" w:hAnsi="Times New Roman"/>
          <w:color w:val="0070C0"/>
          <w:sz w:val="16"/>
          <w:szCs w:val="16"/>
        </w:rPr>
        <w:softHyphen/>
        <w:t>роподъемности, потолку и дальности са</w:t>
      </w:r>
      <w:r w:rsidRPr="00271E51">
        <w:rPr>
          <w:rFonts w:ascii="Times New Roman" w:hAnsi="Times New Roman"/>
          <w:color w:val="0070C0"/>
          <w:sz w:val="16"/>
          <w:szCs w:val="16"/>
        </w:rPr>
        <w:softHyphen/>
        <w:t>молет Су-6 М-71ф ЗНАЧИТЕЛЬНО ПРЕ</w:t>
      </w:r>
      <w:r w:rsidRPr="00271E51">
        <w:rPr>
          <w:rFonts w:ascii="Times New Roman" w:hAnsi="Times New Roman"/>
          <w:color w:val="0070C0"/>
          <w:sz w:val="16"/>
          <w:szCs w:val="16"/>
        </w:rPr>
        <w:softHyphen/>
        <w:t>ВОСХОДИТ (так в документе - прим. авт.) находящийся на вооружении ВВС Красной Армии штурмовой самолет Ил-2 с мото</w:t>
      </w:r>
      <w:r w:rsidRPr="00271E51">
        <w:rPr>
          <w:rFonts w:ascii="Times New Roman" w:hAnsi="Times New Roman"/>
          <w:color w:val="0070C0"/>
          <w:sz w:val="16"/>
          <w:szCs w:val="16"/>
        </w:rPr>
        <w:softHyphen/>
        <w:t>ром АМ-38ф: а) По максимальной скоро</w:t>
      </w:r>
      <w:r w:rsidRPr="00271E51">
        <w:rPr>
          <w:rFonts w:ascii="Times New Roman" w:hAnsi="Times New Roman"/>
          <w:color w:val="0070C0"/>
          <w:sz w:val="16"/>
          <w:szCs w:val="16"/>
        </w:rPr>
        <w:softHyphen/>
        <w:t>сти: у земли - на 107 км/час (480 км/час вместо 373 км/час); на высоте 1000 м - на 115 км/час (499 км/час вместо 384 км/час); на высоте 4000 м - на 146 км/час (513 км/час вместо 367 км/час); б) По ско</w:t>
      </w:r>
      <w:r w:rsidRPr="00271E51">
        <w:rPr>
          <w:rFonts w:ascii="Times New Roman" w:hAnsi="Times New Roman"/>
          <w:color w:val="0070C0"/>
          <w:sz w:val="16"/>
          <w:szCs w:val="16"/>
        </w:rPr>
        <w:softHyphen/>
        <w:t>роподъемности: время набора высоты 4000 м меньше на 7,2 мин (8,2 мин вместо 15,4 мин); в) По потолку: потолок выше на 2500 м (8100 м вместо 5600 м); г) По даль</w:t>
      </w:r>
      <w:r w:rsidRPr="00271E51">
        <w:rPr>
          <w:rFonts w:ascii="Times New Roman" w:hAnsi="Times New Roman"/>
          <w:color w:val="0070C0"/>
          <w:sz w:val="16"/>
          <w:szCs w:val="16"/>
        </w:rPr>
        <w:softHyphen/>
        <w:t>ности: наибольшая дальность на высоте 1000 м больше на 353 км (973 км вместо 620 км)./.../Взлетные данные самолета Су-6 с М-71ф и Ил-2 АМ-38ф ПРАКТИЧЕ</w:t>
      </w:r>
      <w:r w:rsidRPr="00271E51">
        <w:rPr>
          <w:rFonts w:ascii="Times New Roman" w:hAnsi="Times New Roman"/>
          <w:color w:val="0070C0"/>
          <w:sz w:val="16"/>
          <w:szCs w:val="16"/>
        </w:rPr>
        <w:softHyphen/>
        <w:t>СКИ ОДИНАКОВЫЕ (так в документе): а) длина взлета у самолета Су-6 -410 м, а у самолета Ил-2 - 400 м; б) длина взлетной дистанции у самолета Су-6 - 1090 м, а у самолета Ил-2 - 1000 м».</w:t>
      </w:r>
    </w:p>
    <w:p w14:paraId="1B56E6B6"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Для повышения боевой эффективно</w:t>
      </w:r>
      <w:r w:rsidRPr="00271E51">
        <w:rPr>
          <w:rStyle w:val="145"/>
          <w:rFonts w:ascii="Times New Roman" w:hAnsi="Times New Roman" w:cs="Times New Roman"/>
          <w:color w:val="0070C0"/>
          <w:sz w:val="16"/>
          <w:szCs w:val="16"/>
          <w:u w:val="none"/>
        </w:rPr>
        <w:softHyphen/>
        <w:t>сти считалось целесообразным</w:t>
      </w:r>
      <w:r w:rsidRPr="00271E51">
        <w:rPr>
          <w:rFonts w:ascii="Times New Roman" w:hAnsi="Times New Roman"/>
          <w:color w:val="0070C0"/>
          <w:sz w:val="16"/>
          <w:szCs w:val="16"/>
        </w:rPr>
        <w:t xml:space="preserve"> «иметь штурмовые самолеты Су-6 в двухмест</w:t>
      </w:r>
      <w:r w:rsidRPr="00271E51">
        <w:rPr>
          <w:rFonts w:ascii="Times New Roman" w:hAnsi="Times New Roman"/>
          <w:color w:val="0070C0"/>
          <w:sz w:val="16"/>
          <w:szCs w:val="16"/>
        </w:rPr>
        <w:softHyphen/>
        <w:t>ном и одноместном варианте (с пушками 37 мм, с возможной заменой их на пушки калибра 23 мм, пулеметами ШКАС и бом</w:t>
      </w:r>
      <w:r w:rsidRPr="00271E51">
        <w:rPr>
          <w:rFonts w:ascii="Times New Roman" w:hAnsi="Times New Roman"/>
          <w:color w:val="0070C0"/>
          <w:sz w:val="16"/>
          <w:szCs w:val="16"/>
        </w:rPr>
        <w:softHyphen/>
        <w:t>бардировочным вооружением)».</w:t>
      </w:r>
      <w:r w:rsidRPr="00271E51">
        <w:rPr>
          <w:rStyle w:val="145"/>
          <w:rFonts w:ascii="Times New Roman" w:hAnsi="Times New Roman" w:cs="Times New Roman"/>
          <w:color w:val="0070C0"/>
          <w:sz w:val="16"/>
          <w:szCs w:val="16"/>
          <w:u w:val="none"/>
        </w:rPr>
        <w:t xml:space="preserve"> При этом </w:t>
      </w:r>
      <w:r w:rsidRPr="00271E51">
        <w:rPr>
          <w:rFonts w:ascii="Times New Roman" w:hAnsi="Times New Roman"/>
          <w:color w:val="0070C0"/>
          <w:sz w:val="16"/>
          <w:szCs w:val="16"/>
        </w:rPr>
        <w:t>«самолет Су-6 в одноместном варианте, имея меньший полетный вес на 230- 250 кг, сможет за счет этого брать боль</w:t>
      </w:r>
      <w:r w:rsidRPr="00271E51">
        <w:rPr>
          <w:rFonts w:ascii="Times New Roman" w:hAnsi="Times New Roman"/>
          <w:color w:val="0070C0"/>
          <w:sz w:val="16"/>
          <w:szCs w:val="16"/>
        </w:rPr>
        <w:softHyphen/>
        <w:t>шую бомбовую нагрузку, чем двухмест</w:t>
      </w:r>
      <w:r w:rsidRPr="00271E51">
        <w:rPr>
          <w:rFonts w:ascii="Times New Roman" w:hAnsi="Times New Roman"/>
          <w:color w:val="0070C0"/>
          <w:sz w:val="16"/>
          <w:szCs w:val="16"/>
        </w:rPr>
        <w:softHyphen/>
        <w:t>ный»,</w:t>
      </w:r>
      <w:r w:rsidRPr="00271E51">
        <w:rPr>
          <w:rStyle w:val="145"/>
          <w:rFonts w:ascii="Times New Roman" w:hAnsi="Times New Roman" w:cs="Times New Roman"/>
          <w:color w:val="0070C0"/>
          <w:sz w:val="16"/>
          <w:szCs w:val="16"/>
          <w:u w:val="none"/>
        </w:rPr>
        <w:t xml:space="preserve"> а без бомбовой нагрузки -</w:t>
      </w:r>
      <w:r w:rsidRPr="00271E51">
        <w:rPr>
          <w:rFonts w:ascii="Times New Roman" w:hAnsi="Times New Roman"/>
          <w:color w:val="0070C0"/>
          <w:sz w:val="16"/>
          <w:szCs w:val="16"/>
        </w:rPr>
        <w:t xml:space="preserve"> «со значительно большим эффектом вести борьбу против бомбардировщиков про</w:t>
      </w:r>
      <w:r w:rsidRPr="00271E51">
        <w:rPr>
          <w:rFonts w:ascii="Times New Roman" w:hAnsi="Times New Roman"/>
          <w:color w:val="0070C0"/>
          <w:sz w:val="16"/>
          <w:szCs w:val="16"/>
        </w:rPr>
        <w:softHyphen/>
        <w:t>тивника».</w:t>
      </w:r>
    </w:p>
    <w:p w14:paraId="6FDD9261"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Для улучшения взлетно-посадочных характристик и упрощения техники пило</w:t>
      </w:r>
      <w:r w:rsidRPr="00271E51">
        <w:rPr>
          <w:rFonts w:ascii="Times New Roman" w:hAnsi="Times New Roman" w:cs="Times New Roman"/>
          <w:color w:val="0070C0"/>
          <w:sz w:val="16"/>
          <w:szCs w:val="16"/>
        </w:rPr>
        <w:softHyphen/>
        <w:t>тирования предлагалось увеличить пло</w:t>
      </w:r>
      <w:r w:rsidRPr="00271E51">
        <w:rPr>
          <w:rFonts w:ascii="Times New Roman" w:hAnsi="Times New Roman" w:cs="Times New Roman"/>
          <w:color w:val="0070C0"/>
          <w:sz w:val="16"/>
          <w:szCs w:val="16"/>
        </w:rPr>
        <w:softHyphen/>
        <w:t>щадь крыла на 2-3 м2, обеспечить нор</w:t>
      </w:r>
      <w:r w:rsidRPr="00271E51">
        <w:rPr>
          <w:rFonts w:ascii="Times New Roman" w:hAnsi="Times New Roman" w:cs="Times New Roman"/>
          <w:color w:val="0070C0"/>
          <w:sz w:val="16"/>
          <w:szCs w:val="16"/>
        </w:rPr>
        <w:softHyphen/>
        <w:t>мальную работу предкрылков</w:t>
      </w:r>
      <w:r w:rsidRPr="00271E51">
        <w:rPr>
          <w:rStyle w:val="aff6"/>
          <w:rFonts w:ascii="Times New Roman" w:hAnsi="Times New Roman" w:cs="Times New Roman"/>
          <w:color w:val="0070C0"/>
        </w:rPr>
        <w:t xml:space="preserve"> («установ</w:t>
      </w:r>
      <w:r w:rsidRPr="00271E51">
        <w:rPr>
          <w:rStyle w:val="aff6"/>
          <w:rFonts w:ascii="Times New Roman" w:hAnsi="Times New Roman" w:cs="Times New Roman"/>
          <w:color w:val="0070C0"/>
        </w:rPr>
        <w:softHyphen/>
        <w:t>ленные плавающие предкрылки из-за не</w:t>
      </w:r>
      <w:r w:rsidRPr="00271E51">
        <w:rPr>
          <w:rStyle w:val="aff6"/>
          <w:rFonts w:ascii="Times New Roman" w:hAnsi="Times New Roman" w:cs="Times New Roman"/>
          <w:color w:val="0070C0"/>
        </w:rPr>
        <w:softHyphen/>
        <w:t>равномерного открытия их создают неустойчивость в поперечном направле</w:t>
      </w:r>
      <w:r w:rsidRPr="00271E51">
        <w:rPr>
          <w:rStyle w:val="aff6"/>
          <w:rFonts w:ascii="Times New Roman" w:hAnsi="Times New Roman" w:cs="Times New Roman"/>
          <w:color w:val="0070C0"/>
        </w:rPr>
        <w:softHyphen/>
        <w:t>нии»)</w:t>
      </w:r>
      <w:r w:rsidRPr="00271E51">
        <w:rPr>
          <w:rFonts w:ascii="Times New Roman" w:hAnsi="Times New Roman" w:cs="Times New Roman"/>
          <w:color w:val="0070C0"/>
          <w:sz w:val="16"/>
          <w:szCs w:val="16"/>
        </w:rPr>
        <w:t xml:space="preserve"> и уменьшить нагрузки на ручку от руля высоты и элеронов</w:t>
      </w:r>
      <w:r w:rsidRPr="00271E51">
        <w:rPr>
          <w:rStyle w:val="aff6"/>
          <w:rFonts w:ascii="Times New Roman" w:hAnsi="Times New Roman" w:cs="Times New Roman"/>
          <w:color w:val="0070C0"/>
        </w:rPr>
        <w:t xml:space="preserve"> («увеличить аэ</w:t>
      </w:r>
      <w:r w:rsidRPr="00271E51">
        <w:rPr>
          <w:rStyle w:val="aff6"/>
          <w:rFonts w:ascii="Times New Roman" w:hAnsi="Times New Roman" w:cs="Times New Roman"/>
          <w:color w:val="0070C0"/>
        </w:rPr>
        <w:softHyphen/>
        <w:t>родинамическую компенсацию руля вы</w:t>
      </w:r>
      <w:r w:rsidRPr="00271E51">
        <w:rPr>
          <w:rStyle w:val="aff6"/>
          <w:rFonts w:ascii="Times New Roman" w:hAnsi="Times New Roman" w:cs="Times New Roman"/>
          <w:color w:val="0070C0"/>
        </w:rPr>
        <w:softHyphen/>
        <w:t>соты и элеронов»).</w:t>
      </w:r>
    </w:p>
    <w:p w14:paraId="22459145"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Считалось необходимым довести амортизацию шасси и костыля («устранив явление прыжков самолета на пробеге»), костыльную установку выполнить по типу Ил-2</w:t>
      </w:r>
      <w:r w:rsidRPr="00271E51">
        <w:rPr>
          <w:rStyle w:val="aff6"/>
          <w:rFonts w:ascii="Times New Roman" w:hAnsi="Times New Roman" w:cs="Times New Roman"/>
          <w:color w:val="0070C0"/>
        </w:rPr>
        <w:t xml:space="preserve"> («связав управление стопором ко</w:t>
      </w:r>
      <w:r w:rsidRPr="00271E51">
        <w:rPr>
          <w:rStyle w:val="aff6"/>
          <w:rFonts w:ascii="Times New Roman" w:hAnsi="Times New Roman" w:cs="Times New Roman"/>
          <w:color w:val="0070C0"/>
        </w:rPr>
        <w:softHyphen/>
        <w:t>стыльного колеса с ручкой управления са</w:t>
      </w:r>
      <w:r w:rsidRPr="00271E51">
        <w:rPr>
          <w:rStyle w:val="aff6"/>
          <w:rFonts w:ascii="Times New Roman" w:hAnsi="Times New Roman" w:cs="Times New Roman"/>
          <w:color w:val="0070C0"/>
        </w:rPr>
        <w:softHyphen/>
        <w:t xml:space="preserve">молетом (по типу самолета ФВ-190)»), </w:t>
      </w:r>
      <w:r w:rsidRPr="00271E51">
        <w:rPr>
          <w:rFonts w:ascii="Times New Roman" w:hAnsi="Times New Roman" w:cs="Times New Roman"/>
          <w:color w:val="0070C0"/>
          <w:sz w:val="16"/>
          <w:szCs w:val="16"/>
        </w:rPr>
        <w:t>установить костыльное колесо больших размеров (400x150 мм).</w:t>
      </w:r>
    </w:p>
    <w:p w14:paraId="61E2CB9F"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Требовалось обеспечить возможность выпуска и уборки щитков «независимо от положения рукоятки шасси», очистку пе</w:t>
      </w:r>
      <w:r w:rsidRPr="00271E51">
        <w:rPr>
          <w:rFonts w:ascii="Times New Roman" w:hAnsi="Times New Roman" w:cs="Times New Roman"/>
          <w:color w:val="0070C0"/>
          <w:sz w:val="16"/>
          <w:szCs w:val="16"/>
        </w:rPr>
        <w:softHyphen/>
        <w:t>реднего козырька фонаря летчика от за</w:t>
      </w:r>
      <w:r w:rsidRPr="00271E51">
        <w:rPr>
          <w:rFonts w:ascii="Times New Roman" w:hAnsi="Times New Roman" w:cs="Times New Roman"/>
          <w:color w:val="0070C0"/>
          <w:sz w:val="16"/>
          <w:szCs w:val="16"/>
        </w:rPr>
        <w:softHyphen/>
        <w:t>масливания</w:t>
      </w:r>
      <w:r w:rsidRPr="00271E51">
        <w:rPr>
          <w:rStyle w:val="aff6"/>
          <w:rFonts w:ascii="Times New Roman" w:hAnsi="Times New Roman" w:cs="Times New Roman"/>
          <w:color w:val="0070C0"/>
        </w:rPr>
        <w:t xml:space="preserve"> («с помощью струи бензина по типу проверенному в НИИ ВВС Крас</w:t>
      </w:r>
      <w:r w:rsidRPr="00271E51">
        <w:rPr>
          <w:rStyle w:val="aff6"/>
          <w:rFonts w:ascii="Times New Roman" w:hAnsi="Times New Roman" w:cs="Times New Roman"/>
          <w:color w:val="0070C0"/>
        </w:rPr>
        <w:softHyphen/>
        <w:t>ной Армии на самолете Як-7»),</w:t>
      </w:r>
      <w:r w:rsidRPr="00271E51">
        <w:rPr>
          <w:rFonts w:ascii="Times New Roman" w:hAnsi="Times New Roman" w:cs="Times New Roman"/>
          <w:color w:val="0070C0"/>
          <w:sz w:val="16"/>
          <w:szCs w:val="16"/>
        </w:rPr>
        <w:t xml:space="preserve"> аварийное сбрасывание фонаря</w:t>
      </w:r>
      <w:r w:rsidRPr="00271E51">
        <w:rPr>
          <w:rStyle w:val="aff6"/>
          <w:rFonts w:ascii="Times New Roman" w:hAnsi="Times New Roman" w:cs="Times New Roman"/>
          <w:color w:val="0070C0"/>
        </w:rPr>
        <w:t xml:space="preserve"> «от одной ручки (как у летчика, так и стрелка)»,</w:t>
      </w:r>
      <w:r w:rsidRPr="00271E51">
        <w:rPr>
          <w:rFonts w:ascii="Times New Roman" w:hAnsi="Times New Roman" w:cs="Times New Roman"/>
          <w:color w:val="0070C0"/>
          <w:sz w:val="16"/>
          <w:szCs w:val="16"/>
        </w:rPr>
        <w:t xml:space="preserve"> вентиляцию кабины летчика.</w:t>
      </w:r>
    </w:p>
    <w:p w14:paraId="54AA7E82"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Кроме этого, следовало установить стандартную ручку управления самоле</w:t>
      </w:r>
      <w:r w:rsidRPr="00271E51">
        <w:rPr>
          <w:rFonts w:ascii="Times New Roman" w:hAnsi="Times New Roman" w:cs="Times New Roman"/>
          <w:color w:val="0070C0"/>
          <w:sz w:val="16"/>
          <w:szCs w:val="16"/>
        </w:rPr>
        <w:softHyphen/>
        <w:t>том (истребительного типа),</w:t>
      </w:r>
      <w:r w:rsidRPr="00271E51">
        <w:rPr>
          <w:rStyle w:val="aff6"/>
          <w:rFonts w:ascii="Times New Roman" w:hAnsi="Times New Roman" w:cs="Times New Roman"/>
          <w:color w:val="0070C0"/>
        </w:rPr>
        <w:t xml:space="preserve"> «расположить слева от летчика»</w:t>
      </w:r>
      <w:r w:rsidRPr="00271E51">
        <w:rPr>
          <w:rFonts w:ascii="Times New Roman" w:hAnsi="Times New Roman" w:cs="Times New Roman"/>
          <w:color w:val="0070C0"/>
          <w:sz w:val="16"/>
          <w:szCs w:val="16"/>
        </w:rPr>
        <w:t xml:space="preserve"> окно в бронеперегородке для связи экипажа,</w:t>
      </w:r>
      <w:r w:rsidRPr="00271E51">
        <w:rPr>
          <w:rStyle w:val="aff6"/>
          <w:rFonts w:ascii="Times New Roman" w:hAnsi="Times New Roman" w:cs="Times New Roman"/>
          <w:color w:val="0070C0"/>
        </w:rPr>
        <w:t xml:space="preserve"> «изменить рас</w:t>
      </w:r>
      <w:r w:rsidRPr="00271E51">
        <w:rPr>
          <w:rStyle w:val="aff6"/>
          <w:rFonts w:ascii="Times New Roman" w:hAnsi="Times New Roman" w:cs="Times New Roman"/>
          <w:color w:val="0070C0"/>
        </w:rPr>
        <w:softHyphen/>
        <w:t>положение агрегатов и ручек управления самолетом и мотором согласно ведомо</w:t>
      </w:r>
      <w:r w:rsidRPr="00271E51">
        <w:rPr>
          <w:rStyle w:val="aff6"/>
          <w:rFonts w:ascii="Times New Roman" w:hAnsi="Times New Roman" w:cs="Times New Roman"/>
          <w:color w:val="0070C0"/>
        </w:rPr>
        <w:softHyphen/>
        <w:t>сти дефектов»,</w:t>
      </w:r>
      <w:r w:rsidRPr="00271E51">
        <w:rPr>
          <w:rFonts w:ascii="Times New Roman" w:hAnsi="Times New Roman" w:cs="Times New Roman"/>
          <w:color w:val="0070C0"/>
          <w:sz w:val="16"/>
          <w:szCs w:val="16"/>
        </w:rPr>
        <w:t xml:space="preserve"> перекомпоновать приборы на приборной доске, сделать рычажным управление воздушным винтом и тримме</w:t>
      </w:r>
      <w:r w:rsidRPr="00271E51">
        <w:rPr>
          <w:rFonts w:ascii="Times New Roman" w:hAnsi="Times New Roman" w:cs="Times New Roman"/>
          <w:color w:val="0070C0"/>
          <w:sz w:val="16"/>
          <w:szCs w:val="16"/>
        </w:rPr>
        <w:softHyphen/>
        <w:t>ром руля высоты вместо штурвального.</w:t>
      </w:r>
    </w:p>
    <w:p w14:paraId="2BC422B6"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 заключении к акту по испытаниям указывалось:</w:t>
      </w:r>
    </w:p>
    <w:p w14:paraId="1E745FA9"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Опытный двухместный самолет Су-6 с мотором М-71ф и опытным 4-х ло</w:t>
      </w:r>
      <w:r w:rsidRPr="00271E51">
        <w:rPr>
          <w:rFonts w:ascii="Times New Roman" w:hAnsi="Times New Roman"/>
          <w:color w:val="0070C0"/>
          <w:sz w:val="16"/>
          <w:szCs w:val="16"/>
        </w:rPr>
        <w:softHyphen/>
        <w:t>пастным винтом АВ-9-4А конструкции т. Сухого, производства завода №289 госу</w:t>
      </w:r>
      <w:r w:rsidRPr="00271E51">
        <w:rPr>
          <w:rFonts w:ascii="Times New Roman" w:hAnsi="Times New Roman"/>
          <w:color w:val="0070C0"/>
          <w:sz w:val="16"/>
          <w:szCs w:val="16"/>
        </w:rPr>
        <w:softHyphen/>
        <w:t>дарственные испытания ВЫДЕРЖАЛ, пока</w:t>
      </w:r>
      <w:r w:rsidRPr="00271E51">
        <w:rPr>
          <w:rFonts w:ascii="Times New Roman" w:hAnsi="Times New Roman"/>
          <w:color w:val="0070C0"/>
          <w:sz w:val="16"/>
          <w:szCs w:val="16"/>
        </w:rPr>
        <w:softHyphen/>
        <w:t>зав хорошие летно-тактические данные.</w:t>
      </w:r>
    </w:p>
    <w:p w14:paraId="71868B11" w14:textId="77777777" w:rsidR="008C5B40" w:rsidRPr="00271E51" w:rsidRDefault="008C5B40" w:rsidP="00271E51">
      <w:pPr>
        <w:tabs>
          <w:tab w:val="left" w:pos="466"/>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Рекомендовать самолет Су-6 с мо</w:t>
      </w:r>
      <w:r w:rsidRPr="00271E51">
        <w:rPr>
          <w:rFonts w:ascii="Times New Roman" w:hAnsi="Times New Roman"/>
          <w:color w:val="0070C0"/>
          <w:sz w:val="16"/>
          <w:szCs w:val="16"/>
        </w:rPr>
        <w:softHyphen/>
        <w:t>тором М-71ф и 4-х лопастным винтом АВ-9-4А в серийное производство с обяза</w:t>
      </w:r>
      <w:r w:rsidRPr="00271E51">
        <w:rPr>
          <w:rFonts w:ascii="Times New Roman" w:hAnsi="Times New Roman"/>
          <w:color w:val="0070C0"/>
          <w:sz w:val="16"/>
          <w:szCs w:val="16"/>
        </w:rPr>
        <w:softHyphen/>
        <w:t>тельным устранением всех недостатков, указанных в выводах и ведомости дефек</w:t>
      </w:r>
      <w:r w:rsidRPr="00271E51">
        <w:rPr>
          <w:rFonts w:ascii="Times New Roman" w:hAnsi="Times New Roman"/>
          <w:color w:val="0070C0"/>
          <w:sz w:val="16"/>
          <w:szCs w:val="16"/>
        </w:rPr>
        <w:softHyphen/>
        <w:t>тов настоящего акта.</w:t>
      </w:r>
    </w:p>
    <w:p w14:paraId="5191FF9D" w14:textId="77777777" w:rsidR="008C5B40" w:rsidRPr="00271E51" w:rsidRDefault="008C5B40" w:rsidP="00271E51">
      <w:pPr>
        <w:tabs>
          <w:tab w:val="left" w:pos="457"/>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НИИ ВВС Красной Армии считает целесообразным серийные самолеты Су-6 выпускать в 2-х местном и одноместном вариантах со следующим вооружением:</w:t>
      </w:r>
    </w:p>
    <w:p w14:paraId="69080E5D" w14:textId="77777777" w:rsidR="008C5B40" w:rsidRPr="00271E51" w:rsidRDefault="008C5B40" w:rsidP="00271E51">
      <w:pPr>
        <w:tabs>
          <w:tab w:val="left" w:pos="472"/>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w:t>
      </w:r>
      <w:r w:rsidRPr="00271E51">
        <w:rPr>
          <w:rFonts w:ascii="Times New Roman" w:hAnsi="Times New Roman"/>
          <w:color w:val="0070C0"/>
          <w:sz w:val="16"/>
          <w:szCs w:val="16"/>
        </w:rPr>
        <w:tab/>
        <w:t>2 пушки ОКБ-16 калибра 57 мм с за</w:t>
      </w:r>
      <w:r w:rsidRPr="00271E51">
        <w:rPr>
          <w:rFonts w:ascii="Times New Roman" w:hAnsi="Times New Roman"/>
          <w:color w:val="0070C0"/>
          <w:sz w:val="16"/>
          <w:szCs w:val="16"/>
        </w:rPr>
        <w:softHyphen/>
        <w:t>пасом снарядов по 45 шт. на пушку с воз</w:t>
      </w:r>
      <w:r w:rsidRPr="00271E51">
        <w:rPr>
          <w:rFonts w:ascii="Times New Roman" w:hAnsi="Times New Roman"/>
          <w:color w:val="0070C0"/>
          <w:sz w:val="16"/>
          <w:szCs w:val="16"/>
        </w:rPr>
        <w:softHyphen/>
        <w:t>можностью установки взамен их 2-х пу</w:t>
      </w:r>
      <w:r w:rsidRPr="00271E51">
        <w:rPr>
          <w:rFonts w:ascii="Times New Roman" w:hAnsi="Times New Roman"/>
          <w:color w:val="0070C0"/>
          <w:sz w:val="16"/>
          <w:szCs w:val="16"/>
        </w:rPr>
        <w:softHyphen/>
        <w:t>шек ВЯ калибра 25 мм с запасом снарядов по 150 шт. на пушку;</w:t>
      </w:r>
    </w:p>
    <w:p w14:paraId="751BE7F0" w14:textId="77777777" w:rsidR="008C5B40" w:rsidRPr="00271E51" w:rsidRDefault="008C5B40" w:rsidP="00271E51">
      <w:pPr>
        <w:tabs>
          <w:tab w:val="left" w:pos="482"/>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w:t>
      </w:r>
      <w:r w:rsidRPr="00271E51">
        <w:rPr>
          <w:rFonts w:ascii="Times New Roman" w:hAnsi="Times New Roman"/>
          <w:color w:val="0070C0"/>
          <w:sz w:val="16"/>
          <w:szCs w:val="16"/>
        </w:rPr>
        <w:tab/>
        <w:t>2 пулемета ШКАС калибра 7,62 мм с запасом патронов по 700 шт. на пулемет;</w:t>
      </w:r>
    </w:p>
    <w:p w14:paraId="4A9DE071" w14:textId="77777777" w:rsidR="008C5B40" w:rsidRPr="00271E51" w:rsidRDefault="008C5B40" w:rsidP="00271E51">
      <w:pPr>
        <w:tabs>
          <w:tab w:val="left" w:pos="477"/>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в)</w:t>
      </w:r>
      <w:r w:rsidRPr="00271E51">
        <w:rPr>
          <w:rFonts w:ascii="Times New Roman" w:hAnsi="Times New Roman"/>
          <w:color w:val="0070C0"/>
          <w:sz w:val="16"/>
          <w:szCs w:val="16"/>
        </w:rPr>
        <w:tab/>
        <w:t>бомбардировочное вооружение для внутренней загрузки бомб калибра до 100 кг и наружной подвески бомб калибра до 250 кг и химвооружения;</w:t>
      </w:r>
    </w:p>
    <w:p w14:paraId="25B82B70" w14:textId="77777777" w:rsidR="008C5B40" w:rsidRPr="00271E51" w:rsidRDefault="008C5B40" w:rsidP="00271E51">
      <w:pPr>
        <w:tabs>
          <w:tab w:val="left" w:pos="453"/>
        </w:tabs>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w:t>
      </w:r>
      <w:r w:rsidRPr="00271E51">
        <w:rPr>
          <w:rFonts w:ascii="Times New Roman" w:hAnsi="Times New Roman"/>
          <w:color w:val="0070C0"/>
          <w:sz w:val="16"/>
          <w:szCs w:val="16"/>
        </w:rPr>
        <w:tab/>
        <w:t>пулемет УБТ на блистерной уста</w:t>
      </w:r>
      <w:r w:rsidRPr="00271E51">
        <w:rPr>
          <w:rFonts w:ascii="Times New Roman" w:hAnsi="Times New Roman"/>
          <w:color w:val="0070C0"/>
          <w:sz w:val="16"/>
          <w:szCs w:val="16"/>
        </w:rPr>
        <w:softHyphen/>
        <w:t>новке БЛУБ с запасом патронов 196 шт. (только для 2-х местного самолета).</w:t>
      </w:r>
    </w:p>
    <w:p w14:paraId="2567401B" w14:textId="77777777" w:rsidR="008C5B40" w:rsidRPr="00271E51" w:rsidRDefault="008C5B4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Опытный двухместный самолет Су-6 передать в 4-й отдел НИИ ВВС Крас</w:t>
      </w:r>
      <w:r w:rsidRPr="00271E51">
        <w:rPr>
          <w:rFonts w:ascii="Times New Roman" w:hAnsi="Times New Roman"/>
          <w:color w:val="0070C0"/>
          <w:sz w:val="16"/>
          <w:szCs w:val="16"/>
        </w:rPr>
        <w:softHyphen/>
        <w:t>ной Армии для отработки методики бое</w:t>
      </w:r>
      <w:r w:rsidRPr="00271E51">
        <w:rPr>
          <w:rFonts w:ascii="Times New Roman" w:hAnsi="Times New Roman"/>
          <w:color w:val="0070C0"/>
          <w:sz w:val="16"/>
          <w:szCs w:val="16"/>
        </w:rPr>
        <w:softHyphen/>
        <w:t>вого применения. Главному конструктору т. Сухому предварительно устранить де</w:t>
      </w:r>
      <w:r w:rsidRPr="00271E51">
        <w:rPr>
          <w:rFonts w:ascii="Times New Roman" w:hAnsi="Times New Roman"/>
          <w:color w:val="0070C0"/>
          <w:sz w:val="16"/>
          <w:szCs w:val="16"/>
        </w:rPr>
        <w:softHyphen/>
        <w:t>фекты бомбардировочного вооружения, указанные в настоящем акте».</w:t>
      </w:r>
    </w:p>
    <w:p w14:paraId="05130C2D" w14:textId="77777777" w:rsidR="008C5B40" w:rsidRPr="00271E51" w:rsidRDefault="008C5B40" w:rsidP="00271E51">
      <w:pPr>
        <w:pStyle w:val="234"/>
        <w:shd w:val="clear" w:color="auto" w:fill="auto"/>
        <w:spacing w:line="240" w:lineRule="auto"/>
        <w:jc w:val="both"/>
        <w:rPr>
          <w:rStyle w:val="aff6"/>
          <w:rFonts w:ascii="Times New Roman" w:hAnsi="Times New Roman" w:cs="Times New Roman"/>
          <w:i w:val="0"/>
          <w:iCs w:val="0"/>
          <w:color w:val="0070C0"/>
        </w:rPr>
      </w:pPr>
      <w:r w:rsidRPr="00271E51">
        <w:rPr>
          <w:rFonts w:ascii="Times New Roman" w:hAnsi="Times New Roman" w:cs="Times New Roman"/>
          <w:color w:val="0070C0"/>
          <w:sz w:val="16"/>
          <w:szCs w:val="16"/>
        </w:rPr>
        <w:t>Главный инженер ВВС КА генерал- полковник Репин утвердил акт 24 сентя</w:t>
      </w:r>
      <w:r w:rsidRPr="00271E51">
        <w:rPr>
          <w:rFonts w:ascii="Times New Roman" w:hAnsi="Times New Roman" w:cs="Times New Roman"/>
          <w:color w:val="0070C0"/>
          <w:sz w:val="16"/>
          <w:szCs w:val="16"/>
        </w:rPr>
        <w:softHyphen/>
        <w:t>бря с резолюцией:</w:t>
      </w:r>
      <w:r w:rsidRPr="00271E51">
        <w:rPr>
          <w:rStyle w:val="aff6"/>
          <w:rFonts w:ascii="Times New Roman" w:hAnsi="Times New Roman" w:cs="Times New Roman"/>
          <w:color w:val="0070C0"/>
        </w:rPr>
        <w:t xml:space="preserve"> «Утверждаю, за исклю</w:t>
      </w:r>
      <w:r w:rsidRPr="00271E51">
        <w:rPr>
          <w:rStyle w:val="aff6"/>
          <w:rFonts w:ascii="Times New Roman" w:hAnsi="Times New Roman" w:cs="Times New Roman"/>
          <w:color w:val="0070C0"/>
        </w:rPr>
        <w:softHyphen/>
        <w:t>чением п. 5 Заключения» (19846).</w:t>
      </w:r>
    </w:p>
    <w:p w14:paraId="46C6CEF2" w14:textId="77777777" w:rsidR="008C5B40" w:rsidRPr="00271E51" w:rsidRDefault="008C5B40" w:rsidP="00271E51">
      <w:pPr>
        <w:pStyle w:val="234"/>
        <w:shd w:val="clear" w:color="auto" w:fill="auto"/>
        <w:spacing w:line="240" w:lineRule="auto"/>
        <w:jc w:val="both"/>
        <w:rPr>
          <w:rFonts w:ascii="Times New Roman" w:hAnsi="Times New Roman" w:cs="Times New Roman"/>
          <w:color w:val="0070C0"/>
          <w:sz w:val="16"/>
          <w:szCs w:val="16"/>
        </w:rPr>
      </w:pPr>
    </w:p>
    <w:p w14:paraId="083215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закончились летные испытания двухместного Су-6 с М-71Ф, начавшиеся 29 июня 1943 (200,36).</w:t>
      </w:r>
    </w:p>
    <w:p w14:paraId="046061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они начались 20 июня 1943</w:t>
      </w:r>
    </w:p>
    <w:p w14:paraId="0099DF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A24C9"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30 августа (с 20 июня) 1943 года</w:t>
      </w:r>
      <w:r w:rsidRPr="00271E51">
        <w:rPr>
          <w:rFonts w:ascii="Times New Roman" w:hAnsi="Times New Roman"/>
          <w:color w:val="000000" w:themeColor="text1"/>
          <w:sz w:val="16"/>
          <w:szCs w:val="16"/>
        </w:rPr>
        <w:t xml:space="preserve"> В ГНИИ ВВС КА завершились Государственные испытания двухместного Су-6 М-71Ф (ведущий инженер А. В. Синельников, ведущий летчик А. И. Кабанов, летчик облета П. М. Стефановский). Всего было выполнено 42 полета с суммарным налетом 23 ч 10 мин. Су-6 М-71Ф блестяще прошел государственные испытания.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4802097D"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 (14754).</w:t>
      </w:r>
    </w:p>
    <w:p w14:paraId="1132D6EB"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666BB0B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w:t>
      </w:r>
      <w:r w:rsidRPr="00271E51">
        <w:rPr>
          <w:rFonts w:ascii="Times New Roman" w:hAnsi="Times New Roman"/>
          <w:color w:val="000000" w:themeColor="text1"/>
          <w:sz w:val="16"/>
          <w:szCs w:val="16"/>
        </w:rPr>
        <w:softHyphen/>
        <w:t>ста 1943 года самолет Су-6 («2Ас») закончил государственные испыта</w:t>
      </w:r>
      <w:r w:rsidRPr="00271E51">
        <w:rPr>
          <w:rFonts w:ascii="Times New Roman" w:hAnsi="Times New Roman"/>
          <w:color w:val="000000" w:themeColor="text1"/>
          <w:sz w:val="16"/>
          <w:szCs w:val="16"/>
        </w:rPr>
        <w:softHyphen/>
        <w:t>ния в НИИ ВВС КА, которые проходили с 20 июня. Ведущий летчик - полковник А.И.Кабанов, летчики облета - полковник П.М.Стефанов-ский и майор А.К.Долгов. За время испытаний выполнено 42 полета с общим налетом 23 часа 10 минут.</w:t>
      </w:r>
    </w:p>
    <w:p w14:paraId="4C6730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Акта по результа</w:t>
      </w:r>
      <w:r w:rsidRPr="00271E51">
        <w:rPr>
          <w:rFonts w:ascii="Times New Roman" w:hAnsi="Times New Roman"/>
          <w:color w:val="000000" w:themeColor="text1"/>
          <w:sz w:val="16"/>
          <w:szCs w:val="16"/>
        </w:rPr>
        <w:softHyphen/>
        <w:t>там государственных испытаний отмечалось, что:</w:t>
      </w:r>
    </w:p>
    <w:p w14:paraId="2DCCC2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Опытный двухместный само</w:t>
      </w:r>
      <w:r w:rsidRPr="00271E51">
        <w:rPr>
          <w:rFonts w:ascii="Times New Roman" w:hAnsi="Times New Roman"/>
          <w:color w:val="000000" w:themeColor="text1"/>
          <w:sz w:val="16"/>
          <w:szCs w:val="16"/>
        </w:rPr>
        <w:softHyphen/>
        <w:t>лет с мотором М-71Ф и опытным 4-х лопастным винтом АВ-9-4А, ..., го</w:t>
      </w:r>
      <w:r w:rsidRPr="00271E51">
        <w:rPr>
          <w:rFonts w:ascii="Times New Roman" w:hAnsi="Times New Roman"/>
          <w:color w:val="000000" w:themeColor="text1"/>
          <w:sz w:val="16"/>
          <w:szCs w:val="16"/>
        </w:rPr>
        <w:softHyphen/>
        <w:t>сударственные испытания выдер</w:t>
      </w:r>
      <w:r w:rsidRPr="00271E51">
        <w:rPr>
          <w:rFonts w:ascii="Times New Roman" w:hAnsi="Times New Roman"/>
          <w:color w:val="000000" w:themeColor="text1"/>
          <w:sz w:val="16"/>
          <w:szCs w:val="16"/>
        </w:rPr>
        <w:softHyphen/>
        <w:t>жал, показав хорошие летно-такти-ческие данные.</w:t>
      </w:r>
    </w:p>
    <w:p w14:paraId="2358F5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Рекомендовать самолет Су-6 ...в серийное производство, с обя</w:t>
      </w:r>
      <w:r w:rsidRPr="00271E51">
        <w:rPr>
          <w:rFonts w:ascii="Times New Roman" w:hAnsi="Times New Roman"/>
          <w:color w:val="000000" w:themeColor="text1"/>
          <w:sz w:val="16"/>
          <w:szCs w:val="16"/>
        </w:rPr>
        <w:softHyphen/>
        <w:t>зательным устранением всех недо</w:t>
      </w:r>
      <w:r w:rsidRPr="00271E51">
        <w:rPr>
          <w:rFonts w:ascii="Times New Roman" w:hAnsi="Times New Roman"/>
          <w:color w:val="000000" w:themeColor="text1"/>
          <w:sz w:val="16"/>
          <w:szCs w:val="16"/>
        </w:rPr>
        <w:softHyphen/>
        <w:t>статков...</w:t>
      </w:r>
    </w:p>
    <w:p w14:paraId="26C0CC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НИИ ВВС Красной Армии считает целесообразным серийные самолеты Су-6 выпускать в 2-х мес</w:t>
      </w:r>
      <w:r w:rsidRPr="00271E51">
        <w:rPr>
          <w:rFonts w:ascii="Times New Roman" w:hAnsi="Times New Roman"/>
          <w:color w:val="000000" w:themeColor="text1"/>
          <w:sz w:val="16"/>
          <w:szCs w:val="16"/>
        </w:rPr>
        <w:softHyphen/>
        <w:t>тном и одноместном вариантах со следующим вооружением:</w:t>
      </w:r>
    </w:p>
    <w:p w14:paraId="4D7613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2 пушки ОКБ-16 калибра 37 мм с запасом снарядов по 45 шт. за</w:t>
      </w:r>
      <w:r w:rsidRPr="00271E51">
        <w:rPr>
          <w:rFonts w:ascii="Times New Roman" w:hAnsi="Times New Roman"/>
          <w:color w:val="000000" w:themeColor="text1"/>
          <w:sz w:val="16"/>
          <w:szCs w:val="16"/>
        </w:rPr>
        <w:softHyphen/>
        <w:t>менить на пушку, с возможностью установки взамен их 2-х пушек «ВЯ», калибра 23 мм, с запасом снаря</w:t>
      </w:r>
      <w:r w:rsidRPr="00271E51">
        <w:rPr>
          <w:rFonts w:ascii="Times New Roman" w:hAnsi="Times New Roman"/>
          <w:color w:val="000000" w:themeColor="text1"/>
          <w:sz w:val="16"/>
          <w:szCs w:val="16"/>
        </w:rPr>
        <w:softHyphen/>
        <w:t>дов по 130 шт. на пушку;</w:t>
      </w:r>
    </w:p>
    <w:p w14:paraId="45C6A5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2 пулемета ШКАС калибра 7,62 мм с запасом патронов по 700 шт. на пулемет;</w:t>
      </w:r>
    </w:p>
    <w:p w14:paraId="70CDEB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Бомбардировочное вооруже</w:t>
      </w:r>
      <w:r w:rsidRPr="00271E51">
        <w:rPr>
          <w:rFonts w:ascii="Times New Roman" w:hAnsi="Times New Roman"/>
          <w:color w:val="000000" w:themeColor="text1"/>
          <w:sz w:val="16"/>
          <w:szCs w:val="16"/>
        </w:rPr>
        <w:softHyphen/>
        <w:t>ние для внутренней загрузки бомб калибра до 100 кг и наружной под</w:t>
      </w:r>
      <w:r w:rsidRPr="00271E51">
        <w:rPr>
          <w:rFonts w:ascii="Times New Roman" w:hAnsi="Times New Roman"/>
          <w:color w:val="000000" w:themeColor="text1"/>
          <w:sz w:val="16"/>
          <w:szCs w:val="16"/>
        </w:rPr>
        <w:softHyphen/>
        <w:t>вески бомб калибра до 250 кг и химвооружения;</w:t>
      </w:r>
    </w:p>
    <w:p w14:paraId="26C24D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Пулемет УБТ на блистерной установке БЛУБ с запасом патро</w:t>
      </w:r>
      <w:r w:rsidRPr="00271E51">
        <w:rPr>
          <w:rFonts w:ascii="Times New Roman" w:hAnsi="Times New Roman"/>
          <w:color w:val="000000" w:themeColor="text1"/>
          <w:sz w:val="16"/>
          <w:szCs w:val="16"/>
        </w:rPr>
        <w:softHyphen/>
        <w:t>нов 190 шт. (только для 2-х местно</w:t>
      </w:r>
      <w:r w:rsidRPr="00271E51">
        <w:rPr>
          <w:rFonts w:ascii="Times New Roman" w:hAnsi="Times New Roman"/>
          <w:color w:val="000000" w:themeColor="text1"/>
          <w:sz w:val="16"/>
          <w:szCs w:val="16"/>
        </w:rPr>
        <w:softHyphen/>
        <w:t>го самолета)</w:t>
      </w:r>
    </w:p>
    <w:p w14:paraId="072A7C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Опытный двухместный само</w:t>
      </w:r>
      <w:r w:rsidRPr="00271E51">
        <w:rPr>
          <w:rFonts w:ascii="Times New Roman" w:hAnsi="Times New Roman"/>
          <w:color w:val="000000" w:themeColor="text1"/>
          <w:sz w:val="16"/>
          <w:szCs w:val="16"/>
        </w:rPr>
        <w:softHyphen/>
        <w:t>лет Су-6 передать в 4-й отдел НИИ ВВС Красной Армии для отработ</w:t>
      </w:r>
      <w:r w:rsidRPr="00271E51">
        <w:rPr>
          <w:rFonts w:ascii="Times New Roman" w:hAnsi="Times New Roman"/>
          <w:color w:val="000000" w:themeColor="text1"/>
          <w:sz w:val="16"/>
          <w:szCs w:val="16"/>
        </w:rPr>
        <w:softHyphen/>
        <w:t>ки методики боевого применения...» (11845).</w:t>
      </w:r>
    </w:p>
    <w:p w14:paraId="03F908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C76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закончились госиспытания двухместного Су-6 М-71Ф, которые проходили с 20 июня 1943. Ведущий инженер А.В.Синельников, ведущий летчик А.И.Кабанов, летчик облета П.М.Стефановский. Всего было выполнено 42 полета с суммарным налетом 23 ч 10 мин.</w:t>
      </w:r>
    </w:p>
    <w:p w14:paraId="12BBC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Су-6 М-71Ф прошел государственные испытания блестяще.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4868D2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Су-б обладал прекрасными характеристиками устойчивости и управляемости, был прост и приятен в пилотировании.</w:t>
      </w:r>
    </w:p>
    <w:p w14:paraId="786A7E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ведущий летчик-испытатель А.И.Кабанов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288E36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П.М.Стефановский: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72BBF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Акте государственных испытаний отмечалось:</w:t>
      </w:r>
    </w:p>
    <w:p w14:paraId="30B867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2D592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Самолет Су-б по своему бронированию и летно- 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5134C4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Рекомендовать самолет Су-б с мотором М-71ф в серийное производство”.</w:t>
      </w:r>
    </w:p>
    <w:p w14:paraId="706BD2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Передняя часть фюзеляжа целиком состояла из брони. Задняя - деревянный монокок.</w:t>
      </w:r>
    </w:p>
    <w:p w14:paraId="738614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79D10C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63C6FE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642F6F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0ADEA0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19B08A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Маслорадиаторы располагались в носке крыла.</w:t>
      </w:r>
    </w:p>
    <w:p w14:paraId="24CE1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-64 кг, бронирование около мотора -72 кг, броня кабины летчика - 345 кг и кабины стрелка - 198 кг.</w:t>
      </w:r>
    </w:p>
    <w:p w14:paraId="114E01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7894DB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01BDAE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64E7FF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б мм. Цилиндр винта спереди защищался сферическим диском из брони толщиной 6 мм.</w:t>
      </w:r>
    </w:p>
    <w:p w14:paraId="332ED8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272DEE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2831D1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в отличие от Ил-2, на Су-б-м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1A3E27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w:t>
      </w:r>
    </w:p>
    <w:p w14:paraId="5D8A1F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-45°, вниз с бортов - 1°, вправо-влево - 30°.</w:t>
      </w:r>
    </w:p>
    <w:p w14:paraId="16D4CF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7D19A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5B6CF6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с винтом АВ-5-4А составил 4110 кг, вес полезной нагрузки (без бомб) - 1424 кг.</w:t>
      </w:r>
    </w:p>
    <w:p w14:paraId="7E3C16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Су-б была меньше, чем у Ил-2 (26 м2 против 38,5 м2), но мощность мотора - выше. Кроме того, аэродинамика суховской машины была намного чище.</w:t>
      </w:r>
    </w:p>
    <w:p w14:paraId="622BC6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результате максимальная скорость у земли Су-б М-71Ф с винтом АВ-5-4А при полетном весе 5534 кг составила 480 км/ч (на высоте 3850 м - 514 км/ч), почти на </w:t>
      </w:r>
      <w:r w:rsidRPr="00271E51">
        <w:rPr>
          <w:rFonts w:ascii="Times New Roman" w:hAnsi="Times New Roman"/>
          <w:color w:val="000000" w:themeColor="text1"/>
          <w:sz w:val="16"/>
          <w:szCs w:val="16"/>
        </w:rPr>
        <w:lastRenderedPageBreak/>
        <w:t>100 км/ч превосходила таковую для двухместного Ил-2 АМ-38Ф с более слабым пушечным вооружением (две ВЯ или две ШВАК).</w:t>
      </w:r>
    </w:p>
    <w:p w14:paraId="445A4E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5786F8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четырехлопастным винтом АВ-9-4А скорость Су-б-го уменьшалась примерно на 3-4 км/ч, однако разбег на взлете составил 410 м, а пробег - 730 м.</w:t>
      </w:r>
    </w:p>
    <w:p w14:paraId="6FF5A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3F697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Bf109G-2 в трехточечном варианте и с бомбардировщиком He111H-11.</w:t>
      </w:r>
    </w:p>
    <w:p w14:paraId="4B23EF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Учебные бои показали, что воздушные бои Су-б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He111, Fw200 и Ju87 не могли уйти от советского штурмовика набором высоты и неизбежно становились его жертвами.</w:t>
      </w:r>
    </w:p>
    <w:p w14:paraId="3CA3DB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в отчете по госиспытаниям рекомендовалось создать модификацию Су-б специально для борьбы с бомбардировочными и транспортными самолетами противника.</w:t>
      </w:r>
    </w:p>
    <w:p w14:paraId="752671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П.М.Стефановским предлагалось выпускать самолет Су-б М-71Ф в одноместном варианте с пушками НС-37 и в двухместном - с пушками ВЯ-23.</w:t>
      </w:r>
    </w:p>
    <w:p w14:paraId="5EDDAB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для двухместного самолета Су-б М-71Ф предлагалось применить мотор М-71Ф с изъятой второй скоростью нагнетателя и дальнейшим форсированием его на малых высотах.</w:t>
      </w:r>
    </w:p>
    <w:p w14:paraId="790059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Реализация предложений П. М. Стефановского позволила бы иметь мощно вооруженный одноместный брониров-нный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1D7638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штурмовике Су-б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He111 - 0,75-0,4.</w:t>
      </w:r>
    </w:p>
    <w:p w14:paraId="5B5E84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Су-б М-71Ф. Серийно он не строился (9649).</w:t>
      </w:r>
    </w:p>
    <w:p w14:paraId="5401E4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466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w:t>
      </w:r>
      <w:r w:rsidRPr="00271E51">
        <w:rPr>
          <w:rFonts w:ascii="Times New Roman" w:hAnsi="Times New Roman"/>
          <w:color w:val="000000" w:themeColor="text1"/>
          <w:sz w:val="16"/>
          <w:szCs w:val="16"/>
        </w:rPr>
        <w:softHyphen/>
        <w:t>ста 1943 блестяще завершил государственные испытания двухместный бронированный штурмовик Су-6 с мотором М-71Ф (веду</w:t>
      </w:r>
      <w:r w:rsidRPr="00271E51">
        <w:rPr>
          <w:rFonts w:ascii="Times New Roman" w:hAnsi="Times New Roman"/>
          <w:color w:val="000000" w:themeColor="text1"/>
          <w:sz w:val="16"/>
          <w:szCs w:val="16"/>
        </w:rPr>
        <w:softHyphen/>
        <w:t>щим инженером был А.В. Синельников, ведущим летчиком — А.И. Кабанов, в об</w:t>
      </w:r>
      <w:r w:rsidRPr="00271E51">
        <w:rPr>
          <w:rFonts w:ascii="Times New Roman" w:hAnsi="Times New Roman"/>
          <w:color w:val="000000" w:themeColor="text1"/>
          <w:sz w:val="16"/>
          <w:szCs w:val="16"/>
        </w:rPr>
        <w:softHyphen/>
        <w:t>лете самолета принимал участие П.М. Стефановский), которые проходили с 20 июня 1943. Несмотря на довольно боль</w:t>
      </w:r>
      <w:r w:rsidRPr="00271E51">
        <w:rPr>
          <w:rFonts w:ascii="Times New Roman" w:hAnsi="Times New Roman"/>
          <w:color w:val="000000" w:themeColor="text1"/>
          <w:sz w:val="16"/>
          <w:szCs w:val="16"/>
        </w:rPr>
        <w:softHyphen/>
        <w:t>шую нагрузку на крыло — 212,85 кг/м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эта машина, благодаря исключительно удачному сочетанию форм, габаритов и тщательной компоновке показала пре</w:t>
      </w:r>
      <w:r w:rsidRPr="00271E51">
        <w:rPr>
          <w:rFonts w:ascii="Times New Roman" w:hAnsi="Times New Roman"/>
          <w:color w:val="000000" w:themeColor="text1"/>
          <w:sz w:val="16"/>
          <w:szCs w:val="16"/>
        </w:rPr>
        <w:softHyphen/>
        <w:t>красные летные данные. По максималь</w:t>
      </w:r>
      <w:r w:rsidRPr="00271E51">
        <w:rPr>
          <w:rFonts w:ascii="Times New Roman" w:hAnsi="Times New Roman"/>
          <w:color w:val="000000" w:themeColor="text1"/>
          <w:sz w:val="16"/>
          <w:szCs w:val="16"/>
        </w:rPr>
        <w:softHyphen/>
        <w:t>ным скоростям, скороподъемности, маневренности, потолку, дальности, воору</w:t>
      </w:r>
      <w:r w:rsidRPr="00271E51">
        <w:rPr>
          <w:rFonts w:ascii="Times New Roman" w:hAnsi="Times New Roman"/>
          <w:color w:val="000000" w:themeColor="text1"/>
          <w:sz w:val="16"/>
          <w:szCs w:val="16"/>
        </w:rPr>
        <w:softHyphen/>
        <w:t>жению и бронированию двухместный «су</w:t>
      </w:r>
      <w:r w:rsidRPr="00271E51">
        <w:rPr>
          <w:rFonts w:ascii="Times New Roman" w:hAnsi="Times New Roman"/>
          <w:color w:val="000000" w:themeColor="text1"/>
          <w:sz w:val="16"/>
          <w:szCs w:val="16"/>
        </w:rPr>
        <w:softHyphen/>
        <w:t>хой» значительно превосходил состояв</w:t>
      </w:r>
      <w:r w:rsidRPr="00271E51">
        <w:rPr>
          <w:rFonts w:ascii="Times New Roman" w:hAnsi="Times New Roman"/>
          <w:color w:val="000000" w:themeColor="text1"/>
          <w:sz w:val="16"/>
          <w:szCs w:val="16"/>
        </w:rPr>
        <w:softHyphen/>
        <w:t>ший на вооружении ВВС двухместный Ил-2. Су-6 обладал отличными характе</w:t>
      </w:r>
      <w:r w:rsidRPr="00271E51">
        <w:rPr>
          <w:rFonts w:ascii="Times New Roman" w:hAnsi="Times New Roman"/>
          <w:color w:val="000000" w:themeColor="text1"/>
          <w:sz w:val="16"/>
          <w:szCs w:val="16"/>
        </w:rPr>
        <w:softHyphen/>
        <w:t>ристиками устойчивости и управляемо</w:t>
      </w:r>
      <w:r w:rsidRPr="00271E51">
        <w:rPr>
          <w:rFonts w:ascii="Times New Roman" w:hAnsi="Times New Roman"/>
          <w:color w:val="000000" w:themeColor="text1"/>
          <w:sz w:val="16"/>
          <w:szCs w:val="16"/>
        </w:rPr>
        <w:softHyphen/>
        <w:t>сти, был прост и приятен в пилотирова</w:t>
      </w:r>
      <w:r w:rsidRPr="00271E51">
        <w:rPr>
          <w:rFonts w:ascii="Times New Roman" w:hAnsi="Times New Roman"/>
          <w:color w:val="000000" w:themeColor="text1"/>
          <w:sz w:val="16"/>
          <w:szCs w:val="16"/>
        </w:rPr>
        <w:softHyphen/>
        <w:t>нии. Самолет оборудовался мощной меха</w:t>
      </w:r>
      <w:r w:rsidRPr="00271E51">
        <w:rPr>
          <w:rFonts w:ascii="Times New Roman" w:hAnsi="Times New Roman"/>
          <w:color w:val="000000" w:themeColor="text1"/>
          <w:sz w:val="16"/>
          <w:szCs w:val="16"/>
        </w:rPr>
        <w:softHyphen/>
        <w:t>низацией крыла (имел автоматические предкрылки и щитки Шренка), что позво</w:t>
      </w:r>
      <w:r w:rsidRPr="00271E51">
        <w:rPr>
          <w:rFonts w:ascii="Times New Roman" w:hAnsi="Times New Roman"/>
          <w:color w:val="000000" w:themeColor="text1"/>
          <w:sz w:val="16"/>
          <w:szCs w:val="16"/>
        </w:rPr>
        <w:softHyphen/>
        <w:t>ляло устойчиво выполнять маневры на больших углах атаки. Последнее явля</w:t>
      </w:r>
      <w:r w:rsidRPr="00271E51">
        <w:rPr>
          <w:rFonts w:ascii="Times New Roman" w:hAnsi="Times New Roman"/>
          <w:color w:val="000000" w:themeColor="text1"/>
          <w:sz w:val="16"/>
          <w:szCs w:val="16"/>
        </w:rPr>
        <w:softHyphen/>
        <w:t>лось весьма важным для самолета поля боя, предназначенного для действий на небольшой высоте. Летчику для выхода в атаку в ограниченном пространстве над целью необходимо было маневри</w:t>
      </w:r>
      <w:r w:rsidRPr="00271E51">
        <w:rPr>
          <w:rFonts w:ascii="Times New Roman" w:hAnsi="Times New Roman"/>
          <w:color w:val="000000" w:themeColor="text1"/>
          <w:sz w:val="16"/>
          <w:szCs w:val="16"/>
        </w:rPr>
        <w:softHyphen/>
        <w:t>ровать преимущественно в вертикаль</w:t>
      </w:r>
      <w:r w:rsidRPr="00271E51">
        <w:rPr>
          <w:rFonts w:ascii="Times New Roman" w:hAnsi="Times New Roman"/>
          <w:color w:val="000000" w:themeColor="text1"/>
          <w:sz w:val="16"/>
          <w:szCs w:val="16"/>
        </w:rPr>
        <w:softHyphen/>
        <w:t>ной плоскости. Значительно улучшить данные Су-6 в сравнении с Ил-2 без ухуд</w:t>
      </w:r>
      <w:r w:rsidRPr="00271E51">
        <w:rPr>
          <w:rFonts w:ascii="Times New Roman" w:hAnsi="Times New Roman"/>
          <w:color w:val="000000" w:themeColor="text1"/>
          <w:sz w:val="16"/>
          <w:szCs w:val="16"/>
        </w:rPr>
        <w:softHyphen/>
        <w:t>шения маневренности в вертикальной плоскости удалось за счет уменьшения нагрузки на мощность мотора. Так, се</w:t>
      </w:r>
      <w:r w:rsidRPr="00271E51">
        <w:rPr>
          <w:rFonts w:ascii="Times New Roman" w:hAnsi="Times New Roman"/>
          <w:color w:val="000000" w:themeColor="text1"/>
          <w:sz w:val="16"/>
          <w:szCs w:val="16"/>
        </w:rPr>
        <w:softHyphen/>
        <w:t>рийный Ил-2 с АМ-38Ф при нагрузке на крыло 159—163 кг/м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имел вертикаль</w:t>
      </w:r>
      <w:r w:rsidRPr="00271E51">
        <w:rPr>
          <w:rFonts w:ascii="Times New Roman" w:hAnsi="Times New Roman"/>
          <w:color w:val="000000" w:themeColor="text1"/>
          <w:sz w:val="16"/>
          <w:szCs w:val="16"/>
        </w:rPr>
        <w:softHyphen/>
        <w:t>ную скорость у земли около 7,2 м/с, а Су-6 при нагрузке 212,85 кг/м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 9,3 м/с. Бронирование Су-6 было значитель</w:t>
      </w:r>
      <w:r w:rsidRPr="00271E51">
        <w:rPr>
          <w:rFonts w:ascii="Times New Roman" w:hAnsi="Times New Roman"/>
          <w:color w:val="000000" w:themeColor="text1"/>
          <w:sz w:val="16"/>
          <w:szCs w:val="16"/>
        </w:rPr>
        <w:softHyphen/>
        <w:t>но совершеннее, чем у Ил-2. Благодаря более рациональному распределению толщин листов общая масса брони со</w:t>
      </w:r>
      <w:r w:rsidRPr="00271E51">
        <w:rPr>
          <w:rFonts w:ascii="Times New Roman" w:hAnsi="Times New Roman"/>
          <w:color w:val="000000" w:themeColor="text1"/>
          <w:sz w:val="16"/>
          <w:szCs w:val="16"/>
        </w:rPr>
        <w:softHyphen/>
        <w:t>ставила всего 683 кг—18,3% от веса пустого самолета. Толщины брони в ка-бине стрелка и в области винтомоторной группы выбирались явно с учетом влия</w:t>
      </w:r>
      <w:r w:rsidRPr="00271E51">
        <w:rPr>
          <w:rFonts w:ascii="Times New Roman" w:hAnsi="Times New Roman"/>
          <w:color w:val="000000" w:themeColor="text1"/>
          <w:sz w:val="16"/>
          <w:szCs w:val="16"/>
        </w:rPr>
        <w:softHyphen/>
        <w:t>ния элементов конструкции самолета (обшивка фюзеляжа, бомбоотсеки т.д.) на геометрию соударения снаряда с бро</w:t>
      </w:r>
      <w:r w:rsidRPr="00271E51">
        <w:rPr>
          <w:rFonts w:ascii="Times New Roman" w:hAnsi="Times New Roman"/>
          <w:color w:val="000000" w:themeColor="text1"/>
          <w:sz w:val="16"/>
          <w:szCs w:val="16"/>
        </w:rPr>
        <w:softHyphen/>
        <w:t>ней с наиболее вероятных направлений обстрела в реальном воздушном бою. Такой подход позволил серьезно умень</w:t>
      </w:r>
      <w:r w:rsidRPr="00271E51">
        <w:rPr>
          <w:rFonts w:ascii="Times New Roman" w:hAnsi="Times New Roman"/>
          <w:color w:val="000000" w:themeColor="text1"/>
          <w:sz w:val="16"/>
          <w:szCs w:val="16"/>
        </w:rPr>
        <w:softHyphen/>
        <w:t>шить вес брони при значительно лучшей защищенности экипажа и жизненно важ</w:t>
      </w:r>
      <w:r w:rsidRPr="00271E51">
        <w:rPr>
          <w:rFonts w:ascii="Times New Roman" w:hAnsi="Times New Roman"/>
          <w:color w:val="000000" w:themeColor="text1"/>
          <w:sz w:val="16"/>
          <w:szCs w:val="16"/>
        </w:rPr>
        <w:softHyphen/>
        <w:t>ных элементов конструкции самолета, чем у Ил-2, у которого при суммарном весе брони 957 кг воздушный стрелок практически не имел защиты, а наибо</w:t>
      </w:r>
      <w:r w:rsidRPr="00271E51">
        <w:rPr>
          <w:rFonts w:ascii="Times New Roman" w:hAnsi="Times New Roman"/>
          <w:color w:val="000000" w:themeColor="text1"/>
          <w:sz w:val="16"/>
          <w:szCs w:val="16"/>
        </w:rPr>
        <w:softHyphen/>
        <w:t>лее уязвимые от огня противника бро-недетали оказались недостаточной тол</w:t>
      </w:r>
      <w:r w:rsidRPr="00271E51">
        <w:rPr>
          <w:rFonts w:ascii="Times New Roman" w:hAnsi="Times New Roman"/>
          <w:color w:val="000000" w:themeColor="text1"/>
          <w:sz w:val="16"/>
          <w:szCs w:val="16"/>
        </w:rPr>
        <w:softHyphen/>
        <w:t>щины. Бронирование Су-6 тоже имело недостатки, но обеспечивало более эффективную защиту от пуль калибра 12,7 мм и осколков зенитных снарядов. Живучесть штурмовика повышалась так</w:t>
      </w:r>
      <w:r w:rsidRPr="00271E51">
        <w:rPr>
          <w:rFonts w:ascii="Times New Roman" w:hAnsi="Times New Roman"/>
          <w:color w:val="000000" w:themeColor="text1"/>
          <w:sz w:val="16"/>
          <w:szCs w:val="16"/>
        </w:rPr>
        <w:softHyphen/>
        <w:t>же наддувом бензобака выхлопными га</w:t>
      </w:r>
      <w:r w:rsidRPr="00271E51">
        <w:rPr>
          <w:rFonts w:ascii="Times New Roman" w:hAnsi="Times New Roman"/>
          <w:color w:val="000000" w:themeColor="text1"/>
          <w:sz w:val="16"/>
          <w:szCs w:val="16"/>
        </w:rPr>
        <w:softHyphen/>
        <w:t>зами и дублированием управления ру</w:t>
      </w:r>
      <w:r w:rsidRPr="00271E51">
        <w:rPr>
          <w:rFonts w:ascii="Times New Roman" w:hAnsi="Times New Roman"/>
          <w:color w:val="000000" w:themeColor="text1"/>
          <w:sz w:val="16"/>
          <w:szCs w:val="16"/>
        </w:rPr>
        <w:softHyphen/>
        <w:t>лями высоты и направления. Вооружение самолета включало две 37-мм пушки 11П-37 (боекомплект 90 снарядов), два пулемета ШКАС (1400 патронов), оборонительный пулемет УБТ (196 патронов в четырех магазинах) в блистерной установке БЛУБ, 200 кг бомб (в перегрузку) и шесть РС-132 или РС-82. На внешней подвеске дополни</w:t>
      </w:r>
      <w:r w:rsidRPr="00271E51">
        <w:rPr>
          <w:rFonts w:ascii="Times New Roman" w:hAnsi="Times New Roman"/>
          <w:color w:val="000000" w:themeColor="text1"/>
          <w:sz w:val="16"/>
          <w:szCs w:val="16"/>
        </w:rPr>
        <w:softHyphen/>
        <w:t>тельно могли подвешиваться две бомбы ФАБ-100 (10680).</w:t>
      </w:r>
    </w:p>
    <w:p w14:paraId="0EBE633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F118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г. закончились госиспытания двухместного Су-6 М-71Ф, который проходил государственные испытания в НИИ ВВС с 20 июня 1943. За это время было произведено 42 по</w:t>
      </w:r>
      <w:r w:rsidRPr="00271E51">
        <w:rPr>
          <w:rFonts w:ascii="Times New Roman" w:hAnsi="Times New Roman"/>
          <w:color w:val="000000" w:themeColor="text1"/>
          <w:sz w:val="16"/>
          <w:szCs w:val="16"/>
        </w:rPr>
        <w:softHyphen/>
        <w:t>лета с общим налетом 23 часа 10 минут. Испытания проводили ведущий инженер А.В. Синельников и ведущий летчик-ис</w:t>
      </w:r>
      <w:r w:rsidRPr="00271E51">
        <w:rPr>
          <w:rFonts w:ascii="Times New Roman" w:hAnsi="Times New Roman"/>
          <w:color w:val="000000" w:themeColor="text1"/>
          <w:sz w:val="16"/>
          <w:szCs w:val="16"/>
        </w:rPr>
        <w:softHyphen/>
        <w:t>пытатель А.И. Кабанов, летчики облета П.М. Стефановский и А.К. Долгов. Кабину летчика признали просторной, посадку - удобной. Обзор впереди в сто</w:t>
      </w:r>
      <w:r w:rsidRPr="00271E51">
        <w:rPr>
          <w:rFonts w:ascii="Times New Roman" w:hAnsi="Times New Roman"/>
          <w:color w:val="000000" w:themeColor="text1"/>
          <w:sz w:val="16"/>
          <w:szCs w:val="16"/>
        </w:rPr>
        <w:softHyphen/>
        <w:t>роны оценивался как хороший и несколь</w:t>
      </w:r>
      <w:r w:rsidRPr="00271E51">
        <w:rPr>
          <w:rFonts w:ascii="Times New Roman" w:hAnsi="Times New Roman"/>
          <w:color w:val="000000" w:themeColor="text1"/>
          <w:sz w:val="16"/>
          <w:szCs w:val="16"/>
        </w:rPr>
        <w:softHyphen/>
        <w:t>ко ограниченный - назад. Стало ясно, что следует перекомпоно</w:t>
      </w:r>
      <w:r w:rsidRPr="00271E51">
        <w:rPr>
          <w:rFonts w:ascii="Times New Roman" w:hAnsi="Times New Roman"/>
          <w:color w:val="000000" w:themeColor="text1"/>
          <w:sz w:val="16"/>
          <w:szCs w:val="16"/>
        </w:rPr>
        <w:softHyphen/>
        <w:t>вать приборную доску, изменить разме</w:t>
      </w:r>
      <w:r w:rsidRPr="00271E51">
        <w:rPr>
          <w:rFonts w:ascii="Times New Roman" w:hAnsi="Times New Roman"/>
          <w:color w:val="000000" w:themeColor="text1"/>
          <w:sz w:val="16"/>
          <w:szCs w:val="16"/>
        </w:rPr>
        <w:softHyphen/>
        <w:t>щение в кабине отдельных рукояток, кно</w:t>
      </w:r>
      <w:r w:rsidRPr="00271E51">
        <w:rPr>
          <w:rFonts w:ascii="Times New Roman" w:hAnsi="Times New Roman"/>
          <w:color w:val="000000" w:themeColor="text1"/>
          <w:sz w:val="16"/>
          <w:szCs w:val="16"/>
        </w:rPr>
        <w:softHyphen/>
        <w:t>пок и сделать другие мелкие доработки. Для лучшего обзора приборной доски летчики просили заменить ручку упра</w:t>
      </w:r>
      <w:r w:rsidRPr="00271E51">
        <w:rPr>
          <w:rFonts w:ascii="Times New Roman" w:hAnsi="Times New Roman"/>
          <w:color w:val="000000" w:themeColor="text1"/>
          <w:sz w:val="16"/>
          <w:szCs w:val="16"/>
        </w:rPr>
        <w:softHyphen/>
        <w:t>вления самолетом штурвального типа на стандартную - истребительного. Кабина стрелка, как по своим габари</w:t>
      </w:r>
      <w:r w:rsidRPr="00271E51">
        <w:rPr>
          <w:rFonts w:ascii="Times New Roman" w:hAnsi="Times New Roman"/>
          <w:color w:val="000000" w:themeColor="text1"/>
          <w:sz w:val="16"/>
          <w:szCs w:val="16"/>
        </w:rPr>
        <w:softHyphen/>
        <w:t>там, так и по удобству работы в ней, зна чительно превосходила кабину стрелка на самолете Ил-2. Хорошее бронирова</w:t>
      </w:r>
      <w:r w:rsidRPr="00271E51">
        <w:rPr>
          <w:rFonts w:ascii="Times New Roman" w:hAnsi="Times New Roman"/>
          <w:color w:val="000000" w:themeColor="text1"/>
          <w:sz w:val="16"/>
          <w:szCs w:val="16"/>
        </w:rPr>
        <w:softHyphen/>
        <w:t>ние кабины обеспечивало безопасность и уверенность в работе стрелка, что в значительной степени повышало живу</w:t>
      </w:r>
      <w:r w:rsidRPr="00271E51">
        <w:rPr>
          <w:rFonts w:ascii="Times New Roman" w:hAnsi="Times New Roman"/>
          <w:color w:val="000000" w:themeColor="text1"/>
          <w:sz w:val="16"/>
          <w:szCs w:val="16"/>
        </w:rPr>
        <w:softHyphen/>
        <w:t>честь самолета в целом. Стрелковая установка с пулеметом УБТ оказалась эффективной защитой задней верхней полусферы. Но обстрел задней нижней полусферы практически был не</w:t>
      </w:r>
      <w:r w:rsidRPr="00271E51">
        <w:rPr>
          <w:rFonts w:ascii="Times New Roman" w:hAnsi="Times New Roman"/>
          <w:color w:val="000000" w:themeColor="text1"/>
          <w:sz w:val="16"/>
          <w:szCs w:val="16"/>
        </w:rPr>
        <w:softHyphen/>
        <w:t>возможен. Эксплуатация Су-6, по сравнению с эк</w:t>
      </w:r>
      <w:r w:rsidRPr="00271E51">
        <w:rPr>
          <w:rFonts w:ascii="Times New Roman" w:hAnsi="Times New Roman"/>
          <w:color w:val="000000" w:themeColor="text1"/>
          <w:sz w:val="16"/>
          <w:szCs w:val="16"/>
        </w:rPr>
        <w:softHyphen/>
        <w:t>сплуатацией самолетов однотипной винтомоторной группы, затруднений не представляла. Достаточно было двух че</w:t>
      </w:r>
      <w:r w:rsidRPr="00271E51">
        <w:rPr>
          <w:rFonts w:ascii="Times New Roman" w:hAnsi="Times New Roman"/>
          <w:color w:val="000000" w:themeColor="text1"/>
          <w:sz w:val="16"/>
          <w:szCs w:val="16"/>
        </w:rPr>
        <w:softHyphen/>
        <w:t>ловек: техника и механика. Неподвижные стрелково-пушечные установки обеспечивали безотказную стрельбу пушек и пулеметов. Вероят</w:t>
      </w:r>
      <w:r w:rsidRPr="00271E51">
        <w:rPr>
          <w:rFonts w:ascii="Times New Roman" w:hAnsi="Times New Roman"/>
          <w:color w:val="000000" w:themeColor="text1"/>
          <w:sz w:val="16"/>
          <w:szCs w:val="16"/>
        </w:rPr>
        <w:softHyphen/>
        <w:t>ность попадания из 37-мм пушек с само</w:t>
      </w:r>
      <w:r w:rsidRPr="00271E51">
        <w:rPr>
          <w:rFonts w:ascii="Times New Roman" w:hAnsi="Times New Roman"/>
          <w:color w:val="000000" w:themeColor="text1"/>
          <w:sz w:val="16"/>
          <w:szCs w:val="16"/>
        </w:rPr>
        <w:softHyphen/>
        <w:t>лета Су-6 была большей, чем при стрель</w:t>
      </w:r>
      <w:r w:rsidRPr="00271E51">
        <w:rPr>
          <w:rFonts w:ascii="Times New Roman" w:hAnsi="Times New Roman"/>
          <w:color w:val="000000" w:themeColor="text1"/>
          <w:sz w:val="16"/>
          <w:szCs w:val="16"/>
        </w:rPr>
        <w:softHyphen/>
        <w:t>бе из таких же пушек с самолета Ил-2, вследствие меньшего влияния силы от</w:t>
      </w:r>
      <w:r w:rsidRPr="00271E51">
        <w:rPr>
          <w:rFonts w:ascii="Times New Roman" w:hAnsi="Times New Roman"/>
          <w:color w:val="000000" w:themeColor="text1"/>
          <w:sz w:val="16"/>
          <w:szCs w:val="16"/>
        </w:rPr>
        <w:softHyphen/>
        <w:t>дачи на поведение «Су». Это объяснялось большей его скоро</w:t>
      </w:r>
      <w:r w:rsidRPr="00271E51">
        <w:rPr>
          <w:rFonts w:ascii="Times New Roman" w:hAnsi="Times New Roman"/>
          <w:color w:val="000000" w:themeColor="text1"/>
          <w:sz w:val="16"/>
          <w:szCs w:val="16"/>
        </w:rPr>
        <w:softHyphen/>
        <w:t>стью и устойчивостью, а также лучшим расположением пушек относительно центра тяжести. Бензосистема обеспечивала нормаль</w:t>
      </w:r>
      <w:r w:rsidRPr="00271E51">
        <w:rPr>
          <w:rFonts w:ascii="Times New Roman" w:hAnsi="Times New Roman"/>
          <w:color w:val="000000" w:themeColor="text1"/>
          <w:sz w:val="16"/>
          <w:szCs w:val="16"/>
        </w:rPr>
        <w:softHyphen/>
        <w:t>ное питание горючим на всех высотах по</w:t>
      </w:r>
      <w:r w:rsidRPr="00271E51">
        <w:rPr>
          <w:rFonts w:ascii="Times New Roman" w:hAnsi="Times New Roman"/>
          <w:color w:val="000000" w:themeColor="text1"/>
          <w:sz w:val="16"/>
          <w:szCs w:val="16"/>
        </w:rPr>
        <w:softHyphen/>
        <w:t>лета самолета и режимах работы мотора. Система охлаждения мотора обеспе</w:t>
      </w:r>
      <w:r w:rsidRPr="00271E51">
        <w:rPr>
          <w:rFonts w:ascii="Times New Roman" w:hAnsi="Times New Roman"/>
          <w:color w:val="000000" w:themeColor="text1"/>
          <w:sz w:val="16"/>
          <w:szCs w:val="16"/>
        </w:rPr>
        <w:softHyphen/>
        <w:t>чивала нормальный температурный ре</w:t>
      </w:r>
      <w:r w:rsidRPr="00271E51">
        <w:rPr>
          <w:rFonts w:ascii="Times New Roman" w:hAnsi="Times New Roman"/>
          <w:color w:val="000000" w:themeColor="text1"/>
          <w:sz w:val="16"/>
          <w:szCs w:val="16"/>
        </w:rPr>
        <w:softHyphen/>
        <w:t>жим головок цилиндров при наборе вы</w:t>
      </w:r>
      <w:r w:rsidRPr="00271E51">
        <w:rPr>
          <w:rFonts w:ascii="Times New Roman" w:hAnsi="Times New Roman"/>
          <w:color w:val="000000" w:themeColor="text1"/>
          <w:sz w:val="16"/>
          <w:szCs w:val="16"/>
        </w:rPr>
        <w:softHyphen/>
        <w:t>соты и в горизонтальном полете на мак</w:t>
      </w:r>
      <w:r w:rsidRPr="00271E51">
        <w:rPr>
          <w:rFonts w:ascii="Times New Roman" w:hAnsi="Times New Roman"/>
          <w:color w:val="000000" w:themeColor="text1"/>
          <w:sz w:val="16"/>
          <w:szCs w:val="16"/>
        </w:rPr>
        <w:softHyphen/>
        <w:t>симальной скорости при температуре наружного воздуха у земли плюс 30°С. Капотирование мотора было удобным. Благодаря надежности открытия на зе</w:t>
      </w:r>
      <w:r w:rsidRPr="00271E51">
        <w:rPr>
          <w:rFonts w:ascii="Times New Roman" w:hAnsi="Times New Roman"/>
          <w:color w:val="000000" w:themeColor="text1"/>
          <w:sz w:val="16"/>
          <w:szCs w:val="16"/>
        </w:rPr>
        <w:softHyphen/>
        <w:t>мле «юбки» капотов на 90°, обеспечивал</w:t>
      </w:r>
      <w:r w:rsidRPr="00271E51">
        <w:rPr>
          <w:rFonts w:ascii="Times New Roman" w:hAnsi="Times New Roman"/>
          <w:color w:val="000000" w:themeColor="text1"/>
          <w:sz w:val="16"/>
          <w:szCs w:val="16"/>
        </w:rPr>
        <w:softHyphen/>
        <w:t>ся простой демонтаж отдельных секций выхлопного коллектора. Заправка само</w:t>
      </w:r>
      <w:r w:rsidRPr="00271E51">
        <w:rPr>
          <w:rFonts w:ascii="Times New Roman" w:hAnsi="Times New Roman"/>
          <w:color w:val="000000" w:themeColor="text1"/>
          <w:sz w:val="16"/>
          <w:szCs w:val="16"/>
        </w:rPr>
        <w:softHyphen/>
        <w:t>лета горючим и маслом позволяла ис</w:t>
      </w:r>
      <w:r w:rsidRPr="00271E51">
        <w:rPr>
          <w:rFonts w:ascii="Times New Roman" w:hAnsi="Times New Roman"/>
          <w:color w:val="000000" w:themeColor="text1"/>
          <w:sz w:val="16"/>
          <w:szCs w:val="16"/>
        </w:rPr>
        <w:softHyphen/>
        <w:t>пользовать полную мощность заправщи</w:t>
      </w:r>
      <w:r w:rsidRPr="00271E51">
        <w:rPr>
          <w:rFonts w:ascii="Times New Roman" w:hAnsi="Times New Roman"/>
          <w:color w:val="000000" w:themeColor="text1"/>
          <w:sz w:val="16"/>
          <w:szCs w:val="16"/>
        </w:rPr>
        <w:softHyphen/>
        <w:t>ков. Слив горючего и масла был про</w:t>
      </w:r>
      <w:r w:rsidRPr="00271E51">
        <w:rPr>
          <w:rFonts w:ascii="Times New Roman" w:hAnsi="Times New Roman"/>
          <w:color w:val="000000" w:themeColor="text1"/>
          <w:sz w:val="16"/>
          <w:szCs w:val="16"/>
        </w:rPr>
        <w:softHyphen/>
        <w:t>стым. Опытный четырехлопастный винт АВ-9-4А, заменивший трехлопастный АВ-5-4А такого же диаметра, значительно улучшил взлетные данные самолета, нес</w:t>
      </w:r>
      <w:r w:rsidRPr="00271E51">
        <w:rPr>
          <w:rFonts w:ascii="Times New Roman" w:hAnsi="Times New Roman"/>
          <w:color w:val="000000" w:themeColor="text1"/>
          <w:sz w:val="16"/>
          <w:szCs w:val="16"/>
        </w:rPr>
        <w:softHyphen/>
        <w:t>мотря на увеличение полетного веса на 40 кг. Длина разбега сократилась с 510 до 410 метров, взлетная дистанция умень</w:t>
      </w:r>
      <w:r w:rsidRPr="00271E51">
        <w:rPr>
          <w:rFonts w:ascii="Times New Roman" w:hAnsi="Times New Roman"/>
          <w:color w:val="000000" w:themeColor="text1"/>
          <w:sz w:val="16"/>
          <w:szCs w:val="16"/>
        </w:rPr>
        <w:softHyphen/>
        <w:t>шилась с 1280 до 1090 метров. Максимальные скорости полета с трех- и четырехлопастным винтами были практически одинаковы. В дальнейшем для улучшения взлетных данных самоле</w:t>
      </w:r>
      <w:r w:rsidRPr="00271E51">
        <w:rPr>
          <w:rFonts w:ascii="Times New Roman" w:hAnsi="Times New Roman"/>
          <w:color w:val="000000" w:themeColor="text1"/>
          <w:sz w:val="16"/>
          <w:szCs w:val="16"/>
        </w:rPr>
        <w:softHyphen/>
        <w:t>та необходимо было спроектировать специально подобранный четырехло</w:t>
      </w:r>
      <w:r w:rsidRPr="00271E51">
        <w:rPr>
          <w:rFonts w:ascii="Times New Roman" w:hAnsi="Times New Roman"/>
          <w:color w:val="000000" w:themeColor="text1"/>
          <w:sz w:val="16"/>
          <w:szCs w:val="16"/>
        </w:rPr>
        <w:softHyphen/>
        <w:t>пастный винт. Объем спецоборудования отвечал тре</w:t>
      </w:r>
      <w:r w:rsidRPr="00271E51">
        <w:rPr>
          <w:rFonts w:ascii="Times New Roman" w:hAnsi="Times New Roman"/>
          <w:color w:val="000000" w:themeColor="text1"/>
          <w:sz w:val="16"/>
          <w:szCs w:val="16"/>
        </w:rPr>
        <w:softHyphen/>
        <w:t>бованиям ВВС Красной Армии к самоле</w:t>
      </w:r>
      <w:r w:rsidRPr="00271E51">
        <w:rPr>
          <w:rFonts w:ascii="Times New Roman" w:hAnsi="Times New Roman"/>
          <w:color w:val="000000" w:themeColor="text1"/>
          <w:sz w:val="16"/>
          <w:szCs w:val="16"/>
        </w:rPr>
        <w:softHyphen/>
        <w:t>там типа «штурмовик» и обеспечивал вы</w:t>
      </w:r>
      <w:r w:rsidRPr="00271E51">
        <w:rPr>
          <w:rFonts w:ascii="Times New Roman" w:hAnsi="Times New Roman"/>
          <w:color w:val="000000" w:themeColor="text1"/>
          <w:sz w:val="16"/>
          <w:szCs w:val="16"/>
        </w:rPr>
        <w:softHyphen/>
        <w:t>полнение боевых полетов в дневное и ночное время в сложных метеоусловиях. На двухместном самолете Су-6 с мото</w:t>
      </w:r>
      <w:r w:rsidRPr="00271E51">
        <w:rPr>
          <w:rFonts w:ascii="Times New Roman" w:hAnsi="Times New Roman"/>
          <w:color w:val="000000" w:themeColor="text1"/>
          <w:sz w:val="16"/>
          <w:szCs w:val="16"/>
        </w:rPr>
        <w:softHyphen/>
        <w:t>ром М-71Ф были проведены воздушные бои с самолетами противника: истреби</w:t>
      </w:r>
      <w:r w:rsidRPr="00271E51">
        <w:rPr>
          <w:rFonts w:ascii="Times New Roman" w:hAnsi="Times New Roman"/>
          <w:color w:val="000000" w:themeColor="text1"/>
          <w:sz w:val="16"/>
          <w:szCs w:val="16"/>
        </w:rPr>
        <w:softHyphen/>
        <w:t>телем Ме-109С2 без подкрыльных пушек и бомбардировщиком Не-111 НИ в днев</w:t>
      </w:r>
      <w:r w:rsidRPr="00271E51">
        <w:rPr>
          <w:rFonts w:ascii="Times New Roman" w:hAnsi="Times New Roman"/>
          <w:color w:val="000000" w:themeColor="text1"/>
          <w:sz w:val="16"/>
          <w:szCs w:val="16"/>
        </w:rPr>
        <w:softHyphen/>
        <w:t>ных условиях (здесь и далее обозначения самолетов противника приведены по ак</w:t>
      </w:r>
      <w:r w:rsidRPr="00271E51">
        <w:rPr>
          <w:rFonts w:ascii="Times New Roman" w:hAnsi="Times New Roman"/>
          <w:color w:val="000000" w:themeColor="text1"/>
          <w:sz w:val="16"/>
          <w:szCs w:val="16"/>
        </w:rPr>
        <w:softHyphen/>
        <w:t>ту НИИ ВВС КА). На виражах Ме-10902 быстро заходил самолету Су-6 в хвост, но стрелок почти во все время атаки держал истребитель противника под прицельным огнем свое</w:t>
      </w:r>
      <w:r w:rsidRPr="00271E51">
        <w:rPr>
          <w:rFonts w:ascii="Times New Roman" w:hAnsi="Times New Roman"/>
          <w:color w:val="000000" w:themeColor="text1"/>
          <w:sz w:val="16"/>
          <w:szCs w:val="16"/>
        </w:rPr>
        <w:softHyphen/>
        <w:t>го пулемета. В горизонтальном полете на макси</w:t>
      </w:r>
      <w:r w:rsidRPr="00271E51">
        <w:rPr>
          <w:rFonts w:ascii="Times New Roman" w:hAnsi="Times New Roman"/>
          <w:color w:val="000000" w:themeColor="text1"/>
          <w:sz w:val="16"/>
          <w:szCs w:val="16"/>
        </w:rPr>
        <w:softHyphen/>
        <w:t>мальной скорости стрелок имел возмож</w:t>
      </w:r>
      <w:r w:rsidRPr="00271E51">
        <w:rPr>
          <w:rFonts w:ascii="Times New Roman" w:hAnsi="Times New Roman"/>
          <w:color w:val="000000" w:themeColor="text1"/>
          <w:sz w:val="16"/>
          <w:szCs w:val="16"/>
        </w:rPr>
        <w:softHyphen/>
        <w:t>ность вести огонь в верней части задней полусферы противника, так как (вслед</w:t>
      </w:r>
      <w:r w:rsidRPr="00271E51">
        <w:rPr>
          <w:rFonts w:ascii="Times New Roman" w:hAnsi="Times New Roman"/>
          <w:color w:val="000000" w:themeColor="text1"/>
          <w:sz w:val="16"/>
          <w:szCs w:val="16"/>
        </w:rPr>
        <w:softHyphen/>
        <w:t>ствие малого запаса скорости Ме-109О2 в сравнении с Су-6) истребитель мог производить атаки только с небольшими углами. Исключения составляли случаи, когда истребитель перед атакой имел значительное превосходство в высоте и мог атаковать Су-6 под большими угла</w:t>
      </w:r>
      <w:r w:rsidRPr="00271E51">
        <w:rPr>
          <w:rFonts w:ascii="Times New Roman" w:hAnsi="Times New Roman"/>
          <w:color w:val="000000" w:themeColor="text1"/>
          <w:sz w:val="16"/>
          <w:szCs w:val="16"/>
        </w:rPr>
        <w:softHyphen/>
        <w:t>ми. При полете бомбардировщика по ло</w:t>
      </w:r>
      <w:r w:rsidRPr="00271E51">
        <w:rPr>
          <w:rFonts w:ascii="Times New Roman" w:hAnsi="Times New Roman"/>
          <w:color w:val="000000" w:themeColor="text1"/>
          <w:sz w:val="16"/>
          <w:szCs w:val="16"/>
        </w:rPr>
        <w:softHyphen/>
        <w:t>маному маршруту на высотах до 4000 м, Су-6 мог атаковать его со всех направле</w:t>
      </w:r>
      <w:r w:rsidRPr="00271E51">
        <w:rPr>
          <w:rFonts w:ascii="Times New Roman" w:hAnsi="Times New Roman"/>
          <w:color w:val="000000" w:themeColor="text1"/>
          <w:sz w:val="16"/>
          <w:szCs w:val="16"/>
        </w:rPr>
        <w:softHyphen/>
        <w:t>ний. Под углами более 50° к линии поле</w:t>
      </w:r>
      <w:r w:rsidRPr="00271E51">
        <w:rPr>
          <w:rFonts w:ascii="Times New Roman" w:hAnsi="Times New Roman"/>
          <w:color w:val="000000" w:themeColor="text1"/>
          <w:sz w:val="16"/>
          <w:szCs w:val="16"/>
        </w:rPr>
        <w:softHyphen/>
        <w:t>та атаки были возможны с дистанций 400 - 500 метров. Эффективность атак с этих дистанций обеспечивалась мощным пушечным во</w:t>
      </w:r>
      <w:r w:rsidRPr="00271E51">
        <w:rPr>
          <w:rFonts w:ascii="Times New Roman" w:hAnsi="Times New Roman"/>
          <w:color w:val="000000" w:themeColor="text1"/>
          <w:sz w:val="16"/>
          <w:szCs w:val="16"/>
        </w:rPr>
        <w:softHyphen/>
        <w:t>оружением самолета Су-6. При наборе высоты бомбардировщи</w:t>
      </w:r>
      <w:r w:rsidRPr="00271E51">
        <w:rPr>
          <w:rFonts w:ascii="Times New Roman" w:hAnsi="Times New Roman"/>
          <w:color w:val="000000" w:themeColor="text1"/>
          <w:sz w:val="16"/>
          <w:szCs w:val="16"/>
        </w:rPr>
        <w:softHyphen/>
        <w:t>ком (с 800 до 4000 м) самолет Су-6 мог атаковать его как на догоне сзади, так и на перехвате сбоку. Уйти от Су-6 с набо</w:t>
      </w:r>
      <w:r w:rsidRPr="00271E51">
        <w:rPr>
          <w:rFonts w:ascii="Times New Roman" w:hAnsi="Times New Roman"/>
          <w:color w:val="000000" w:themeColor="text1"/>
          <w:sz w:val="16"/>
          <w:szCs w:val="16"/>
        </w:rPr>
        <w:softHyphen/>
        <w:t>ром высоты бомбардировщики против</w:t>
      </w:r>
      <w:r w:rsidRPr="00271E51">
        <w:rPr>
          <w:rFonts w:ascii="Times New Roman" w:hAnsi="Times New Roman"/>
          <w:color w:val="000000" w:themeColor="text1"/>
          <w:sz w:val="16"/>
          <w:szCs w:val="16"/>
        </w:rPr>
        <w:softHyphen/>
        <w:t>ника типа Хенкель 111, Фокке-Вульф-200 и Ю-87 не могли. Догоняя бомбардировщик, шедший по прямой на максимальной скорости и на высотах до 4000 метров, Су-6 свободно атаковал его сзади, а также мог обгонять и атаковать «в лоб».</w:t>
      </w:r>
    </w:p>
    <w:p w14:paraId="14424F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об этих полетах указыва</w:t>
      </w:r>
      <w:r w:rsidRPr="00271E51">
        <w:rPr>
          <w:rFonts w:ascii="Times New Roman" w:hAnsi="Times New Roman"/>
          <w:color w:val="000000" w:themeColor="text1"/>
          <w:sz w:val="16"/>
          <w:szCs w:val="16"/>
        </w:rPr>
        <w:softHyphen/>
        <w:t>лось:</w:t>
      </w:r>
    </w:p>
    <w:p w14:paraId="4EED2B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ведением активной мане</w:t>
      </w:r>
      <w:r w:rsidRPr="00271E51">
        <w:rPr>
          <w:rFonts w:ascii="Times New Roman" w:hAnsi="Times New Roman"/>
          <w:color w:val="000000" w:themeColor="text1"/>
          <w:sz w:val="16"/>
          <w:szCs w:val="16"/>
        </w:rPr>
        <w:softHyphen/>
        <w:t>вренной обороны при отражении атак ис</w:t>
      </w:r>
      <w:r w:rsidRPr="00271E51">
        <w:rPr>
          <w:rFonts w:ascii="Times New Roman" w:hAnsi="Times New Roman"/>
          <w:color w:val="000000" w:themeColor="text1"/>
          <w:sz w:val="16"/>
          <w:szCs w:val="16"/>
        </w:rPr>
        <w:softHyphen/>
        <w:t>требителей противника, самолет Су-6, имея большую в сравнении с самолетом Ил-2 горизонтальную скорость и защиту хвоста огнем пулемета стрелка, может обороняться от истребителей противни</w:t>
      </w:r>
      <w:r w:rsidRPr="00271E51">
        <w:rPr>
          <w:rFonts w:ascii="Times New Roman" w:hAnsi="Times New Roman"/>
          <w:color w:val="000000" w:themeColor="text1"/>
          <w:sz w:val="16"/>
          <w:szCs w:val="16"/>
        </w:rPr>
        <w:softHyphen/>
        <w:t>ка, продолжая полет на максимальной скорости (особенно на малых высотах).</w:t>
      </w:r>
    </w:p>
    <w:p w14:paraId="7BB4AF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сочетанию большой скоро</w:t>
      </w:r>
      <w:r w:rsidRPr="00271E51">
        <w:rPr>
          <w:rFonts w:ascii="Times New Roman" w:hAnsi="Times New Roman"/>
          <w:color w:val="000000" w:themeColor="text1"/>
          <w:sz w:val="16"/>
          <w:szCs w:val="16"/>
        </w:rPr>
        <w:softHyphen/>
        <w:t>сти и мощного вооружения, самолет Су-6 может быть эффективно использован для борьбы с бомбардировщиками против</w:t>
      </w:r>
      <w:r w:rsidRPr="00271E51">
        <w:rPr>
          <w:rFonts w:ascii="Times New Roman" w:hAnsi="Times New Roman"/>
          <w:color w:val="000000" w:themeColor="text1"/>
          <w:sz w:val="16"/>
          <w:szCs w:val="16"/>
        </w:rPr>
        <w:softHyphen/>
        <w:t>ника (типа Хенкель 111, Фокке-Вульф-200, Ю-87) и транспортной авиацией». По результатам всесторонних испытаний летчики-испытатели НИИ ВВС дали сле</w:t>
      </w:r>
      <w:r w:rsidRPr="00271E51">
        <w:rPr>
          <w:rFonts w:ascii="Times New Roman" w:hAnsi="Times New Roman"/>
          <w:color w:val="000000" w:themeColor="text1"/>
          <w:sz w:val="16"/>
          <w:szCs w:val="16"/>
        </w:rPr>
        <w:softHyphen/>
        <w:t xml:space="preserve">дующие </w:t>
      </w:r>
      <w:r w:rsidRPr="00271E51">
        <w:rPr>
          <w:rFonts w:ascii="Times New Roman" w:hAnsi="Times New Roman"/>
          <w:color w:val="000000" w:themeColor="text1"/>
          <w:sz w:val="16"/>
          <w:szCs w:val="16"/>
        </w:rPr>
        <w:lastRenderedPageBreak/>
        <w:t>оценки машине:</w:t>
      </w:r>
    </w:p>
    <w:p w14:paraId="5DC395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...Поведение самолета на наборе вы</w:t>
      </w:r>
      <w:r w:rsidRPr="00271E51">
        <w:rPr>
          <w:rFonts w:ascii="Times New Roman" w:hAnsi="Times New Roman"/>
          <w:color w:val="000000" w:themeColor="text1"/>
          <w:sz w:val="16"/>
          <w:szCs w:val="16"/>
        </w:rPr>
        <w:softHyphen/>
        <w:t>соты нормально - он устойчив и легко управляем... На пикировании при стрель</w:t>
      </w:r>
      <w:r w:rsidRPr="00271E51">
        <w:rPr>
          <w:rFonts w:ascii="Times New Roman" w:hAnsi="Times New Roman"/>
          <w:color w:val="000000" w:themeColor="text1"/>
          <w:sz w:val="16"/>
          <w:szCs w:val="16"/>
        </w:rPr>
        <w:softHyphen/>
        <w:t>бе самолет устойчив, отдача даже при стрельбе из всех точек незначительна. Стрельба из одной пушки возможна, яв</w:t>
      </w:r>
      <w:r w:rsidRPr="00271E51">
        <w:rPr>
          <w:rFonts w:ascii="Times New Roman" w:hAnsi="Times New Roman"/>
          <w:color w:val="000000" w:themeColor="text1"/>
          <w:sz w:val="16"/>
          <w:szCs w:val="16"/>
        </w:rPr>
        <w:softHyphen/>
        <w:t>ление разворачивания наблюдается, но в меньшей степени, чем на Ил-2. Огонь ве</w:t>
      </w:r>
      <w:r w:rsidRPr="00271E51">
        <w:rPr>
          <w:rFonts w:ascii="Times New Roman" w:hAnsi="Times New Roman"/>
          <w:color w:val="000000" w:themeColor="text1"/>
          <w:sz w:val="16"/>
          <w:szCs w:val="16"/>
        </w:rPr>
        <w:softHyphen/>
        <w:t>сти удобно.</w:t>
      </w:r>
    </w:p>
    <w:p w14:paraId="334659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самолет производит хорошее впечатление и будет грозным оружием как в борьбе с земными целями, так и с бомбардировщиками противника. Для пилотирования самолета летчики дол</w:t>
      </w:r>
      <w:r w:rsidRPr="00271E51">
        <w:rPr>
          <w:rFonts w:ascii="Times New Roman" w:hAnsi="Times New Roman"/>
          <w:color w:val="000000" w:themeColor="text1"/>
          <w:sz w:val="16"/>
          <w:szCs w:val="16"/>
        </w:rPr>
        <w:softHyphen/>
        <w:t>жны быть подготовлены как для пилоти</w:t>
      </w:r>
      <w:r w:rsidRPr="00271E51">
        <w:rPr>
          <w:rFonts w:ascii="Times New Roman" w:hAnsi="Times New Roman"/>
          <w:color w:val="000000" w:themeColor="text1"/>
          <w:sz w:val="16"/>
          <w:szCs w:val="16"/>
        </w:rPr>
        <w:softHyphen/>
        <w:t>рования самолета Ла-5.</w:t>
      </w:r>
    </w:p>
    <w:p w14:paraId="2CE50E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хорошая. Устой</w:t>
      </w:r>
      <w:r w:rsidRPr="00271E51">
        <w:rPr>
          <w:rFonts w:ascii="Times New Roman" w:hAnsi="Times New Roman"/>
          <w:color w:val="000000" w:themeColor="text1"/>
          <w:sz w:val="16"/>
          <w:szCs w:val="16"/>
        </w:rPr>
        <w:softHyphen/>
        <w:t>чивость положительная во всех трех осях, с наличием запаса ее. Управляе</w:t>
      </w:r>
      <w:r w:rsidRPr="00271E51">
        <w:rPr>
          <w:rFonts w:ascii="Times New Roman" w:hAnsi="Times New Roman"/>
          <w:color w:val="000000" w:themeColor="text1"/>
          <w:sz w:val="16"/>
          <w:szCs w:val="16"/>
        </w:rPr>
        <w:softHyphen/>
        <w:t>мость также хорошая, но немного велики нагрузки на элероны и руль глубины... Разбег и посадка по технике освоения будут напоминать самолет Пе-2 или не</w:t>
      </w:r>
      <w:r w:rsidRPr="00271E51">
        <w:rPr>
          <w:rFonts w:ascii="Times New Roman" w:hAnsi="Times New Roman"/>
          <w:color w:val="000000" w:themeColor="text1"/>
          <w:sz w:val="16"/>
          <w:szCs w:val="16"/>
        </w:rPr>
        <w:softHyphen/>
        <w:t>мецкий истребитель Фокке-Вульф-190...</w:t>
      </w:r>
    </w:p>
    <w:p w14:paraId="6A6612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как двухместный штурмовик, является актуальной и нужной машиной. Может заменить самолет Ил-2, так как обладает лучшим бронированием и зна</w:t>
      </w:r>
      <w:r w:rsidRPr="00271E51">
        <w:rPr>
          <w:rFonts w:ascii="Times New Roman" w:hAnsi="Times New Roman"/>
          <w:color w:val="000000" w:themeColor="text1"/>
          <w:sz w:val="16"/>
          <w:szCs w:val="16"/>
        </w:rPr>
        <w:softHyphen/>
        <w:t>чительно лучшими летными данными».</w:t>
      </w:r>
    </w:p>
    <w:p w14:paraId="68E77C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была действительно замечатель</w:t>
      </w:r>
      <w:r w:rsidRPr="00271E51">
        <w:rPr>
          <w:rFonts w:ascii="Times New Roman" w:hAnsi="Times New Roman"/>
          <w:color w:val="000000" w:themeColor="text1"/>
          <w:sz w:val="16"/>
          <w:szCs w:val="16"/>
        </w:rPr>
        <w:softHyphen/>
        <w:t>ная машина, блестяще прошедшая го</w:t>
      </w:r>
      <w:r w:rsidRPr="00271E51">
        <w:rPr>
          <w:rFonts w:ascii="Times New Roman" w:hAnsi="Times New Roman"/>
          <w:color w:val="000000" w:themeColor="text1"/>
          <w:sz w:val="16"/>
          <w:szCs w:val="16"/>
        </w:rPr>
        <w:softHyphen/>
        <w:t>сиспытания с очень высокой оценкой, что подтверждается выводами из акта:</w:t>
      </w:r>
    </w:p>
    <w:p w14:paraId="13AC55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максимальным скоростям, ско</w:t>
      </w:r>
      <w:r w:rsidRPr="00271E51">
        <w:rPr>
          <w:rFonts w:ascii="Times New Roman" w:hAnsi="Times New Roman"/>
          <w:color w:val="000000" w:themeColor="text1"/>
          <w:sz w:val="16"/>
          <w:szCs w:val="16"/>
        </w:rPr>
        <w:softHyphen/>
        <w:t xml:space="preserve">роподъемности, потолку и дальности </w:t>
      </w:r>
      <w:r w:rsidRPr="00271E51">
        <w:rPr>
          <w:rFonts w:ascii="Times New Roman" w:hAnsi="Times New Roman"/>
          <w:iCs/>
          <w:color w:val="000000" w:themeColor="text1"/>
          <w:sz w:val="16"/>
          <w:szCs w:val="16"/>
        </w:rPr>
        <w:t>са</w:t>
      </w:r>
      <w:r w:rsidRPr="00271E51">
        <w:rPr>
          <w:rFonts w:ascii="Times New Roman" w:hAnsi="Times New Roman"/>
          <w:color w:val="000000" w:themeColor="text1"/>
          <w:sz w:val="16"/>
          <w:szCs w:val="16"/>
        </w:rPr>
        <w:t xml:space="preserve"> молет Су-6 М-71Ф значительно превос</w:t>
      </w:r>
      <w:r w:rsidRPr="00271E51">
        <w:rPr>
          <w:rFonts w:ascii="Times New Roman" w:hAnsi="Times New Roman"/>
          <w:color w:val="000000" w:themeColor="text1"/>
          <w:sz w:val="16"/>
          <w:szCs w:val="16"/>
        </w:rPr>
        <w:softHyphen/>
        <w:t>ходит находящийся на вооружении ВВС Красной Армии штурмовой самолет Ил-2 с мотором АМ-38Ф...</w:t>
      </w:r>
    </w:p>
    <w:p w14:paraId="555678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Су-6 по своему бронирова</w:t>
      </w:r>
      <w:r w:rsidRPr="00271E51">
        <w:rPr>
          <w:rFonts w:ascii="Times New Roman" w:hAnsi="Times New Roman"/>
          <w:color w:val="000000" w:themeColor="text1"/>
          <w:sz w:val="16"/>
          <w:szCs w:val="16"/>
        </w:rPr>
        <w:softHyphen/>
        <w:t>нию и летно-боевым качествам, в первую очередь, предназначен для решения штурмовых задач, но вместе с тем его можно успешно использовать и для борь</w:t>
      </w:r>
      <w:r w:rsidRPr="00271E51">
        <w:rPr>
          <w:rFonts w:ascii="Times New Roman" w:hAnsi="Times New Roman"/>
          <w:color w:val="000000" w:themeColor="text1"/>
          <w:sz w:val="16"/>
          <w:szCs w:val="16"/>
        </w:rPr>
        <w:softHyphen/>
        <w:t>бы с бомбардировщиками противника.</w:t>
      </w:r>
    </w:p>
    <w:p w14:paraId="715FD6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Решать задачи борьбы с истребителя</w:t>
      </w:r>
      <w:r w:rsidRPr="00271E51">
        <w:rPr>
          <w:rFonts w:ascii="Times New Roman" w:hAnsi="Times New Roman"/>
          <w:color w:val="000000" w:themeColor="text1"/>
          <w:sz w:val="16"/>
          <w:szCs w:val="16"/>
        </w:rPr>
        <w:softHyphen/>
        <w:t>ми противника самолет Су-6 по своим летным данным и маневренности не мо</w:t>
      </w:r>
      <w:r w:rsidRPr="00271E51">
        <w:rPr>
          <w:rFonts w:ascii="Times New Roman" w:hAnsi="Times New Roman"/>
          <w:color w:val="000000" w:themeColor="text1"/>
          <w:sz w:val="16"/>
          <w:szCs w:val="16"/>
        </w:rPr>
        <w:softHyphen/>
        <w:t>жет. Однако, сравнительно большие го</w:t>
      </w:r>
      <w:r w:rsidRPr="00271E51">
        <w:rPr>
          <w:rFonts w:ascii="Times New Roman" w:hAnsi="Times New Roman"/>
          <w:color w:val="000000" w:themeColor="text1"/>
          <w:sz w:val="16"/>
          <w:szCs w:val="16"/>
        </w:rPr>
        <w:softHyphen/>
        <w:t>ризонтальные скорости и наличие обо</w:t>
      </w:r>
      <w:r w:rsidRPr="00271E51">
        <w:rPr>
          <w:rFonts w:ascii="Times New Roman" w:hAnsi="Times New Roman"/>
          <w:color w:val="000000" w:themeColor="text1"/>
          <w:sz w:val="16"/>
          <w:szCs w:val="16"/>
        </w:rPr>
        <w:softHyphen/>
        <w:t>ронительного вооружения на двухме</w:t>
      </w:r>
      <w:r w:rsidRPr="00271E51">
        <w:rPr>
          <w:rFonts w:ascii="Times New Roman" w:hAnsi="Times New Roman"/>
          <w:color w:val="000000" w:themeColor="text1"/>
          <w:sz w:val="16"/>
          <w:szCs w:val="16"/>
        </w:rPr>
        <w:softHyphen/>
        <w:t>стном самолете позволяет ему отражать атаки истребителей противника.</w:t>
      </w:r>
    </w:p>
    <w:p w14:paraId="04B382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большей боевой эффективности целесообразно иметь штурмовые само</w:t>
      </w:r>
      <w:r w:rsidRPr="00271E51">
        <w:rPr>
          <w:rFonts w:ascii="Times New Roman" w:hAnsi="Times New Roman"/>
          <w:color w:val="000000" w:themeColor="text1"/>
          <w:sz w:val="16"/>
          <w:szCs w:val="16"/>
        </w:rPr>
        <w:softHyphen/>
        <w:t>леты Су-6 в двухместном и одноместном вариантах (с пушками 37-мм, с возмож</w:t>
      </w:r>
      <w:r w:rsidRPr="00271E51">
        <w:rPr>
          <w:rFonts w:ascii="Times New Roman" w:hAnsi="Times New Roman"/>
          <w:color w:val="000000" w:themeColor="text1"/>
          <w:sz w:val="16"/>
          <w:szCs w:val="16"/>
        </w:rPr>
        <w:softHyphen/>
        <w:t>ной заменой их на пушки 23-мм, пулеме</w:t>
      </w:r>
      <w:r w:rsidRPr="00271E51">
        <w:rPr>
          <w:rFonts w:ascii="Times New Roman" w:hAnsi="Times New Roman"/>
          <w:color w:val="000000" w:themeColor="text1"/>
          <w:sz w:val="16"/>
          <w:szCs w:val="16"/>
        </w:rPr>
        <w:softHyphen/>
        <w:t>тами ШКАС и бомбардировочным воору</w:t>
      </w:r>
      <w:r w:rsidRPr="00271E51">
        <w:rPr>
          <w:rFonts w:ascii="Times New Roman" w:hAnsi="Times New Roman"/>
          <w:color w:val="000000" w:themeColor="text1"/>
          <w:sz w:val="16"/>
          <w:szCs w:val="16"/>
        </w:rPr>
        <w:softHyphen/>
        <w:t>жением).</w:t>
      </w:r>
    </w:p>
    <w:p w14:paraId="75AAD7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бомбовой нагрузки одноместный самолет Су-6 может со значительно большим эффектом вести борьбу против бомбардировщиков противника».</w:t>
      </w:r>
    </w:p>
    <w:p w14:paraId="362704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заключении Акта по результатам го</w:t>
      </w:r>
      <w:r w:rsidRPr="00271E51">
        <w:rPr>
          <w:rFonts w:ascii="Times New Roman" w:hAnsi="Times New Roman"/>
          <w:color w:val="000000" w:themeColor="text1"/>
          <w:sz w:val="16"/>
          <w:szCs w:val="16"/>
        </w:rPr>
        <w:softHyphen/>
        <w:t>сударственных испытаний опытного двухместного самолета Су-6 с мотором М-71Ф говорилось:</w:t>
      </w:r>
    </w:p>
    <w:p w14:paraId="11E0F7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двухместный самолет Су-6 с мотором М-71Ф и опытным 4-х лопаст</w:t>
      </w:r>
      <w:r w:rsidRPr="00271E51">
        <w:rPr>
          <w:rFonts w:ascii="Times New Roman" w:hAnsi="Times New Roman"/>
          <w:color w:val="000000" w:themeColor="text1"/>
          <w:sz w:val="16"/>
          <w:szCs w:val="16"/>
        </w:rPr>
        <w:softHyphen/>
        <w:t>ным винтом АВ-9-4А, конструкции т. Су</w:t>
      </w:r>
      <w:r w:rsidRPr="00271E51">
        <w:rPr>
          <w:rFonts w:ascii="Times New Roman" w:hAnsi="Times New Roman"/>
          <w:color w:val="000000" w:themeColor="text1"/>
          <w:sz w:val="16"/>
          <w:szCs w:val="16"/>
        </w:rPr>
        <w:softHyphen/>
        <w:t>хого, производства завода № 289, госу</w:t>
      </w:r>
      <w:r w:rsidRPr="00271E51">
        <w:rPr>
          <w:rFonts w:ascii="Times New Roman" w:hAnsi="Times New Roman"/>
          <w:color w:val="000000" w:themeColor="text1"/>
          <w:sz w:val="16"/>
          <w:szCs w:val="16"/>
        </w:rPr>
        <w:softHyphen/>
        <w:t>дарственные испытания выдержал, пока</w:t>
      </w:r>
      <w:r w:rsidRPr="00271E51">
        <w:rPr>
          <w:rFonts w:ascii="Times New Roman" w:hAnsi="Times New Roman"/>
          <w:color w:val="000000" w:themeColor="text1"/>
          <w:sz w:val="16"/>
          <w:szCs w:val="16"/>
        </w:rPr>
        <w:softHyphen/>
        <w:t>зав хорошие летно-тактические данные.</w:t>
      </w:r>
    </w:p>
    <w:p w14:paraId="7E8B79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Рекомендовать самолет Су-6 с мото</w:t>
      </w:r>
      <w:r w:rsidRPr="00271E51">
        <w:rPr>
          <w:rFonts w:ascii="Times New Roman" w:hAnsi="Times New Roman"/>
          <w:color w:val="000000" w:themeColor="text1"/>
          <w:sz w:val="16"/>
          <w:szCs w:val="16"/>
        </w:rPr>
        <w:softHyphen/>
        <w:t>ром М-71Ф и 4-х лопастным винтом АВ-9-4А в серийное производство с обяза</w:t>
      </w:r>
      <w:r w:rsidRPr="00271E51">
        <w:rPr>
          <w:rFonts w:ascii="Times New Roman" w:hAnsi="Times New Roman"/>
          <w:color w:val="000000" w:themeColor="text1"/>
          <w:sz w:val="16"/>
          <w:szCs w:val="16"/>
        </w:rPr>
        <w:softHyphen/>
        <w:t>тельным устранением всех недостатков.</w:t>
      </w:r>
    </w:p>
    <w:p w14:paraId="47CB82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 ВВС Красной Армии считает це</w:t>
      </w:r>
      <w:r w:rsidRPr="00271E51">
        <w:rPr>
          <w:rFonts w:ascii="Times New Roman" w:hAnsi="Times New Roman"/>
          <w:color w:val="000000" w:themeColor="text1"/>
          <w:sz w:val="16"/>
          <w:szCs w:val="16"/>
        </w:rPr>
        <w:softHyphen/>
        <w:t>лесообразным серийные самолеты Су-6 выпускать в двухместном и одноместном вариантах...» (10718).</w:t>
      </w:r>
    </w:p>
    <w:p w14:paraId="6556DC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77344"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30 августа 1943 на самолете Су-6 М-71ф (С2А) (Су-6 М-71ф с пушками 11П переде</w:t>
      </w:r>
      <w:r w:rsidRPr="00271E51">
        <w:rPr>
          <w:color w:val="000000" w:themeColor="text1"/>
          <w:sz w:val="16"/>
          <w:szCs w:val="16"/>
        </w:rPr>
        <w:softHyphen/>
        <w:t>лан в двухместный вариант в полном соответствии с эскизным проектом) в ходе испытаний, проходивших с 19 июня 1943, было выполнено 42 полета с суммарным налетом 23 ч 10 мин. Испытания проводили: ведущий ин</w:t>
      </w:r>
      <w:r w:rsidRPr="00271E51">
        <w:rPr>
          <w:color w:val="000000" w:themeColor="text1"/>
          <w:sz w:val="16"/>
          <w:szCs w:val="16"/>
        </w:rPr>
        <w:softHyphen/>
        <w:t>женер инженер-майор А. В. Синельников, ведущий летчик летчик-испытатель майор А. И. Кабанов, лет</w:t>
      </w:r>
      <w:r w:rsidRPr="00271E51">
        <w:rPr>
          <w:color w:val="000000" w:themeColor="text1"/>
          <w:sz w:val="16"/>
          <w:szCs w:val="16"/>
        </w:rPr>
        <w:softHyphen/>
        <w:t>чики облета П. М. Стефановский и А. К. Долгов.</w:t>
      </w:r>
    </w:p>
    <w:p w14:paraId="601DE805"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максимальным скоростям, скороподъем</w:t>
      </w:r>
      <w:r w:rsidRPr="00271E51">
        <w:rPr>
          <w:color w:val="000000" w:themeColor="text1"/>
          <w:sz w:val="16"/>
          <w:szCs w:val="16"/>
        </w:rPr>
        <w:softHyphen/>
        <w:t>ности, маневренности, потолку, дальности, воору</w:t>
      </w:r>
      <w:r w:rsidRPr="00271E51">
        <w:rPr>
          <w:color w:val="000000" w:themeColor="text1"/>
          <w:sz w:val="16"/>
          <w:szCs w:val="16"/>
        </w:rPr>
        <w:softHyphen/>
        <w:t>жению и бронированию Су-6 М-71ф значительно превосходил находящийся на вооружении ВВС КА двухместный Ил-2 АМ-38ф. Кроме этого, Су-6 обла</w:t>
      </w:r>
      <w:r w:rsidRPr="00271E51">
        <w:rPr>
          <w:color w:val="000000" w:themeColor="text1"/>
          <w:sz w:val="16"/>
          <w:szCs w:val="16"/>
        </w:rPr>
        <w:softHyphen/>
        <w:t>дал прекрасными характеристиками устойчивости и управляемости, был прост и приятен в пилотиро</w:t>
      </w:r>
      <w:r w:rsidRPr="00271E51">
        <w:rPr>
          <w:color w:val="000000" w:themeColor="text1"/>
          <w:sz w:val="16"/>
          <w:szCs w:val="16"/>
        </w:rPr>
        <w:softHyphen/>
        <w:t>вании.</w:t>
      </w:r>
    </w:p>
    <w:p w14:paraId="765AEC5E"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 ведущий летчик-испытатель А. И. 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192AC936"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Стефановский, давая летную оценку самолету, указывал: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1975E839"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Стрелково-пушечное и ракетное вооружение Су-6 М-71ф состояло из 2 крыльевых 37-мм пу</w:t>
      </w:r>
      <w:r w:rsidRPr="00271E51">
        <w:rPr>
          <w:color w:val="000000" w:themeColor="text1"/>
          <w:sz w:val="16"/>
          <w:szCs w:val="16"/>
        </w:rPr>
        <w:softHyphen/>
        <w:t>шек 11П (боекомплект 90 снарядов), 2 крыльевых пулеметов ШКАС (1400 патронов) и 6 РО-132 (или РО-82). Пушечные и пулеметные установки обеспе</w:t>
      </w:r>
      <w:r w:rsidRPr="00271E51">
        <w:rPr>
          <w:color w:val="000000" w:themeColor="text1"/>
          <w:sz w:val="16"/>
          <w:szCs w:val="16"/>
        </w:rPr>
        <w:softHyphen/>
        <w:t>чивались пневматическим пуском и электропнев</w:t>
      </w:r>
      <w:r w:rsidRPr="00271E51">
        <w:rPr>
          <w:color w:val="000000" w:themeColor="text1"/>
          <w:sz w:val="16"/>
          <w:szCs w:val="16"/>
        </w:rPr>
        <w:softHyphen/>
        <w:t>матической перезарядкой.</w:t>
      </w:r>
    </w:p>
    <w:p w14:paraId="5B5A90BF"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Бомбовое вооружение включало 2 наружных держателя с замками МДЗ-40 и 4 бомбоотсека в фю</w:t>
      </w:r>
      <w:r w:rsidRPr="00271E51">
        <w:rPr>
          <w:color w:val="000000" w:themeColor="text1"/>
          <w:sz w:val="16"/>
          <w:szCs w:val="16"/>
        </w:rPr>
        <w:softHyphen/>
        <w:t>зеляже — по 2 с каждой стороны кабины стрелка.</w:t>
      </w:r>
    </w:p>
    <w:p w14:paraId="3C6FD883"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каждый наружный замок МДЗ-40 допуска</w:t>
      </w:r>
      <w:r w:rsidRPr="00271E51">
        <w:rPr>
          <w:color w:val="000000" w:themeColor="text1"/>
          <w:sz w:val="16"/>
          <w:szCs w:val="16"/>
        </w:rPr>
        <w:softHyphen/>
        <w:t>лось подвешивать бомбы калибром 50, 100 и 250 кг, а также ВАП-200 и УХАП-250.</w:t>
      </w:r>
    </w:p>
    <w:p w14:paraId="29D1ED5D"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бомбовые отсеки загружались бомбы калибра от 100 кг и ниже. Бомбы укладывались на створки бомбоотсеков. При этом бомбы калибра 50 и 100 кг поднимались при помощи лебедки, а от 25 кг и ни</w:t>
      </w:r>
      <w:r w:rsidRPr="00271E51">
        <w:rPr>
          <w:color w:val="000000" w:themeColor="text1"/>
          <w:sz w:val="16"/>
          <w:szCs w:val="16"/>
        </w:rPr>
        <w:softHyphen/>
        <w:t>же — загружались вручную.</w:t>
      </w:r>
    </w:p>
    <w:p w14:paraId="758BBF1B"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в самолет допускалась подвеска до 600 кг бомб (в перегрузку): 4 ФАБ-50 внутри, или 4 ФАБ-50 и 2 ФАБ-50 снаружи, или 4 ФАБ-100 внутри, или 4 ФАБ-100 внутри и 2 ФАБ-100 снаружи, или 2 ФАБ-250 снаружи. Оско</w:t>
      </w:r>
      <w:r w:rsidRPr="00271E51">
        <w:rPr>
          <w:color w:val="000000" w:themeColor="text1"/>
          <w:sz w:val="16"/>
          <w:szCs w:val="16"/>
        </w:rPr>
        <w:softHyphen/>
        <w:t>лочных и зажигательных авиабомб калибром от 2,5 до 25 кг и химампул в кассетах мелких бомб — до 400 кг. Основной вариант бомбовой нагрузки со</w:t>
      </w:r>
      <w:r w:rsidRPr="00271E51">
        <w:rPr>
          <w:color w:val="000000" w:themeColor="text1"/>
          <w:sz w:val="16"/>
          <w:szCs w:val="16"/>
        </w:rPr>
        <w:softHyphen/>
        <w:t>ставлял 200 кг внутри фюзеляжа.</w:t>
      </w:r>
    </w:p>
    <w:p w14:paraId="0D2F631A"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Оборонительный пулемет УБТ (196 патронов в 4 магазинах) устанавливался в блистерной уста</w:t>
      </w:r>
      <w:r w:rsidRPr="00271E51">
        <w:rPr>
          <w:color w:val="000000" w:themeColor="text1"/>
          <w:sz w:val="16"/>
          <w:szCs w:val="16"/>
        </w:rPr>
        <w:softHyphen/>
        <w:t>новке БЛУБ.</w:t>
      </w:r>
    </w:p>
    <w:p w14:paraId="6DF98C52"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полетном весе 5534 кг (6 РС-132, пуш</w:t>
      </w:r>
      <w:r w:rsidRPr="00271E51">
        <w:rPr>
          <w:color w:val="000000" w:themeColor="text1"/>
          <w:sz w:val="16"/>
          <w:szCs w:val="16"/>
        </w:rPr>
        <w:softHyphen/>
        <w:t>ки и пулеметы с боекомплектом) максимальная скорость у земли Су-6 М-71ф с винтом АВ-5-4А — 480 км/ч, почти на 100 км/ч превосходила скорость двухместного Ил-2 АМ-38ф. На высоте 3850 м штур</w:t>
      </w:r>
      <w:r w:rsidRPr="00271E51">
        <w:rPr>
          <w:color w:val="000000" w:themeColor="text1"/>
          <w:sz w:val="16"/>
          <w:szCs w:val="16"/>
        </w:rPr>
        <w:softHyphen/>
        <w:t>мовик развивал скорость 514 км/ч.</w:t>
      </w:r>
    </w:p>
    <w:p w14:paraId="1989289E"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Время подъема на высоту 1000 м не превышало 1,8 мин, на высоту 5000 м — 10,6 мин. Максималь</w:t>
      </w:r>
      <w:r w:rsidRPr="00271E51">
        <w:rPr>
          <w:color w:val="000000" w:themeColor="text1"/>
          <w:sz w:val="16"/>
          <w:szCs w:val="16"/>
        </w:rPr>
        <w:softHyphen/>
        <w:t>ная дальность полета на высоте 1000 м и скорости 349 км/ч составила 973 км. Разбег на взлете — 510 м.</w:t>
      </w:r>
    </w:p>
    <w:p w14:paraId="3DE7EE92"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 четырехлопастным винтом АВ-9-4А диаме</w:t>
      </w:r>
      <w:r w:rsidRPr="00271E51">
        <w:rPr>
          <w:color w:val="000000" w:themeColor="text1"/>
          <w:sz w:val="16"/>
          <w:szCs w:val="16"/>
        </w:rPr>
        <w:softHyphen/>
        <w:t>тром 3,35 м скоростные данные самолета были не</w:t>
      </w:r>
      <w:r w:rsidRPr="00271E51">
        <w:rPr>
          <w:color w:val="000000" w:themeColor="text1"/>
          <w:sz w:val="16"/>
          <w:szCs w:val="16"/>
        </w:rPr>
        <w:softHyphen/>
        <w:t>сколько хуже — примерно на 3—4 км/ч (без кока винта). Однако скороподъемность и взлетные каче</w:t>
      </w:r>
      <w:r w:rsidRPr="00271E51">
        <w:rPr>
          <w:color w:val="000000" w:themeColor="text1"/>
          <w:sz w:val="16"/>
          <w:szCs w:val="16"/>
        </w:rPr>
        <w:softHyphen/>
        <w:t>ства улучшились: вертикальная скорость на высоте 1000 м увеличилась до 9,5 м/с, а разбег уменьшил</w:t>
      </w:r>
      <w:r w:rsidRPr="00271E51">
        <w:rPr>
          <w:color w:val="000000" w:themeColor="text1"/>
          <w:sz w:val="16"/>
          <w:szCs w:val="16"/>
        </w:rPr>
        <w:softHyphen/>
        <w:t>ся до 410 м.</w:t>
      </w:r>
    </w:p>
    <w:p w14:paraId="05B82139"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Поскольку вся нормальная бомбовая нагрузка (200 кг) размещалась внутри фюзеляжа, то макси</w:t>
      </w:r>
      <w:r w:rsidRPr="00271E51">
        <w:rPr>
          <w:color w:val="000000" w:themeColor="text1"/>
          <w:sz w:val="16"/>
          <w:szCs w:val="16"/>
        </w:rPr>
        <w:softHyphen/>
        <w:t>мальные скорости штурмовика с бомбами остава</w:t>
      </w:r>
      <w:r w:rsidRPr="00271E51">
        <w:rPr>
          <w:color w:val="000000" w:themeColor="text1"/>
          <w:sz w:val="16"/>
          <w:szCs w:val="16"/>
        </w:rPr>
        <w:softHyphen/>
        <w:t>лись практически теми же.</w:t>
      </w:r>
    </w:p>
    <w:p w14:paraId="03DF3471"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Значительное улучшение летных данных Су-6 в сравнении с Ил-2 АМ-38ф без ухудшения манев</w:t>
      </w:r>
      <w:r w:rsidRPr="00271E51">
        <w:rPr>
          <w:color w:val="000000" w:themeColor="text1"/>
          <w:sz w:val="16"/>
          <w:szCs w:val="16"/>
        </w:rPr>
        <w:softHyphen/>
        <w:t>ренных качеств в вертикальной плоскости обеспе</w:t>
      </w:r>
      <w:r w:rsidRPr="00271E51">
        <w:rPr>
          <w:color w:val="000000" w:themeColor="text1"/>
          <w:sz w:val="16"/>
          <w:szCs w:val="16"/>
        </w:rPr>
        <w:softHyphen/>
        <w:t>чивалось за счет меньшей нагрузки на мощность мотора, которая, собственно, и определяет верти</w:t>
      </w:r>
      <w:r w:rsidRPr="00271E51">
        <w:rPr>
          <w:color w:val="000000" w:themeColor="text1"/>
          <w:sz w:val="16"/>
          <w:szCs w:val="16"/>
        </w:rPr>
        <w:softHyphen/>
        <w:t>кальную маневренность самолета.</w:t>
      </w:r>
    </w:p>
    <w:p w14:paraId="24EB9763"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Кроме этого, «сухой» оборудовался мощной механизацией крыла (автоматические предкрылки и щитки типа «Шренк»), что позволяло ему устой</w:t>
      </w:r>
      <w:r w:rsidRPr="00271E51">
        <w:rPr>
          <w:color w:val="000000" w:themeColor="text1"/>
          <w:sz w:val="16"/>
          <w:szCs w:val="16"/>
        </w:rPr>
        <w:softHyphen/>
        <w:t>чиво выполнять маневры на больших углах атаки. Последнее являлось весьма важным для самолета поля боя, предназначенного для действий на не</w:t>
      </w:r>
      <w:r w:rsidRPr="00271E51">
        <w:rPr>
          <w:color w:val="000000" w:themeColor="text1"/>
          <w:sz w:val="16"/>
          <w:szCs w:val="16"/>
        </w:rPr>
        <w:softHyphen/>
        <w:t>большой высоте, так как летчику необходимо было выполнять энергичное боевое маневрирование для выхода в атаку в ограниченном пространстве над целью и преимущественно в вертикальной плоскости.</w:t>
      </w:r>
    </w:p>
    <w:p w14:paraId="7D1B7D9D"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отличие от Ил-2 с 11П или с Ш-37, на Су-6 пушки 11П размещались ближе к оси самолета, что в совокупности с более высоким запасом устойчи</w:t>
      </w:r>
      <w:r w:rsidRPr="00271E51">
        <w:rPr>
          <w:color w:val="000000" w:themeColor="text1"/>
          <w:sz w:val="16"/>
          <w:szCs w:val="16"/>
        </w:rPr>
        <w:softHyphen/>
        <w:t>вости штурмовика обеспечивало лучшую эффек</w:t>
      </w:r>
      <w:r w:rsidRPr="00271E51">
        <w:rPr>
          <w:color w:val="000000" w:themeColor="text1"/>
          <w:sz w:val="16"/>
          <w:szCs w:val="16"/>
        </w:rPr>
        <w:softHyphen/>
        <w:t>тивность стрельбы из пушек в воздухе по малораз</w:t>
      </w:r>
      <w:r w:rsidRPr="00271E51">
        <w:rPr>
          <w:color w:val="000000" w:themeColor="text1"/>
          <w:sz w:val="16"/>
          <w:szCs w:val="16"/>
        </w:rPr>
        <w:softHyphen/>
        <w:t>мерным наземным целям. Во время полигонных испытаний Су-6 М-71ф никаких нареканий, связан</w:t>
      </w:r>
      <w:r w:rsidRPr="00271E51">
        <w:rPr>
          <w:color w:val="000000" w:themeColor="text1"/>
          <w:sz w:val="16"/>
          <w:szCs w:val="16"/>
        </w:rPr>
        <w:softHyphen/>
        <w:t>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Стрельба из одной пуш</w:t>
      </w:r>
      <w:r w:rsidRPr="00271E51">
        <w:rPr>
          <w:color w:val="000000" w:themeColor="text1"/>
          <w:sz w:val="16"/>
          <w:szCs w:val="16"/>
        </w:rPr>
        <w:softHyphen/>
        <w:t>ки возможна, явление разворачивания наблюдает</w:t>
      </w:r>
      <w:r w:rsidRPr="00271E51">
        <w:rPr>
          <w:color w:val="000000" w:themeColor="text1"/>
          <w:sz w:val="16"/>
          <w:szCs w:val="16"/>
        </w:rPr>
        <w:softHyphen/>
        <w:t>ся, но в меньшей степени, чем на Ил-2».</w:t>
      </w:r>
    </w:p>
    <w:p w14:paraId="22AEE945"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Бронирование Су-6 было выполнено значитель</w:t>
      </w:r>
      <w:r w:rsidRPr="00271E51">
        <w:rPr>
          <w:color w:val="000000" w:themeColor="text1"/>
          <w:sz w:val="16"/>
          <w:szCs w:val="16"/>
        </w:rPr>
        <w:softHyphen/>
        <w:t>но лучше, чем на Ил-2. При этом благодаря более рациональной схеме бронирования и распределе</w:t>
      </w:r>
      <w:r w:rsidRPr="00271E51">
        <w:rPr>
          <w:color w:val="000000" w:themeColor="text1"/>
          <w:sz w:val="16"/>
          <w:szCs w:val="16"/>
        </w:rPr>
        <w:softHyphen/>
        <w:t>нию толщин бронелистов (от 2 до 13,5 мм) общая масса брони составила всего 683 кг — 18,3% веса пустого самолета.</w:t>
      </w:r>
    </w:p>
    <w:p w14:paraId="2B37D203"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целом же бронирование Су-6 М-71ф обеспечи</w:t>
      </w:r>
      <w:r w:rsidRPr="00271E51">
        <w:rPr>
          <w:color w:val="000000" w:themeColor="text1"/>
          <w:sz w:val="16"/>
          <w:szCs w:val="16"/>
        </w:rPr>
        <w:softHyphen/>
        <w:t>вало эффективную защиту от пуль калибра 12,7 мм и осколков зенитных снарядов. Помимо этого, жи</w:t>
      </w:r>
      <w:r w:rsidRPr="00271E51">
        <w:rPr>
          <w:color w:val="000000" w:themeColor="text1"/>
          <w:sz w:val="16"/>
          <w:szCs w:val="16"/>
        </w:rPr>
        <w:softHyphen/>
        <w:t>вучесть штурмовика повышалась применением мотора воздушного охлаждения, более стойкого к боевым повреждениям, чем моторы с жидкостным охлаждением, наддува бензобака выхлопными га</w:t>
      </w:r>
      <w:r w:rsidRPr="00271E51">
        <w:rPr>
          <w:color w:val="000000" w:themeColor="text1"/>
          <w:sz w:val="16"/>
          <w:szCs w:val="16"/>
        </w:rPr>
        <w:softHyphen/>
        <w:t>зами от мотора и дублированием в системе управ</w:t>
      </w:r>
      <w:r w:rsidRPr="00271E51">
        <w:rPr>
          <w:color w:val="000000" w:themeColor="text1"/>
          <w:sz w:val="16"/>
          <w:szCs w:val="16"/>
        </w:rPr>
        <w:softHyphen/>
        <w:t>ления рулем высоты и направления.</w:t>
      </w:r>
    </w:p>
    <w:p w14:paraId="17807DAE"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Стефановским предлагалось выпускать само</w:t>
      </w:r>
      <w:r w:rsidRPr="00271E51">
        <w:rPr>
          <w:color w:val="000000" w:themeColor="text1"/>
          <w:sz w:val="16"/>
          <w:szCs w:val="16"/>
        </w:rPr>
        <w:softHyphen/>
        <w:t>лет Су-6 М-71ф в одноместном варианте с пушками 11П и в двухместном — с пушками ВЯ. При этом для двухместного самолета Су-6 М-71ф предлагалось применить мотор М-71ф с изъятой 2-й скоростью нагнетателя и дальнейшим форсированием его на малых высотах.</w:t>
      </w:r>
    </w:p>
    <w:p w14:paraId="376245B7"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заключении Акта по результатам государ</w:t>
      </w:r>
      <w:r w:rsidRPr="00271E51">
        <w:rPr>
          <w:color w:val="000000" w:themeColor="text1"/>
          <w:sz w:val="16"/>
          <w:szCs w:val="16"/>
        </w:rPr>
        <w:softHyphen/>
        <w:t>ственных испытаний отмечалось: «Опытный двух</w:t>
      </w:r>
      <w:r w:rsidRPr="00271E51">
        <w:rPr>
          <w:color w:val="000000" w:themeColor="text1"/>
          <w:sz w:val="16"/>
          <w:szCs w:val="16"/>
        </w:rPr>
        <w:softHyphen/>
        <w:t>местный самолет Су-6 с мотором М-71Ф и опытным 4-лопастным винтом АВ-9-4А, конструкции т. Сухого ...государственные испытания выдержал, показав хорошие летно-тактические данные. Рекомендо</w:t>
      </w:r>
      <w:r w:rsidRPr="00271E51">
        <w:rPr>
          <w:color w:val="000000" w:themeColor="text1"/>
          <w:sz w:val="16"/>
          <w:szCs w:val="16"/>
        </w:rPr>
        <w:softHyphen/>
        <w:t>вать самолет Су-6 с мотором М-71Ф и 4-лопастным винтом АВ-9-4А в серийное производство с обяза</w:t>
      </w:r>
      <w:r w:rsidRPr="00271E51">
        <w:rPr>
          <w:color w:val="000000" w:themeColor="text1"/>
          <w:sz w:val="16"/>
          <w:szCs w:val="16"/>
        </w:rPr>
        <w:softHyphen/>
        <w:t>тельным устранением всех недостатков».</w:t>
      </w:r>
    </w:p>
    <w:p w14:paraId="50195E96"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Здесь следует сказать, что реализация пред</w:t>
      </w:r>
      <w:r w:rsidRPr="00271E51">
        <w:rPr>
          <w:color w:val="000000" w:themeColor="text1"/>
          <w:sz w:val="16"/>
          <w:szCs w:val="16"/>
        </w:rPr>
        <w:softHyphen/>
        <w:t>ложений П. М. Стефановского позволила бы иметь одноместный бронированный штурмовик с мощ</w:t>
      </w:r>
      <w:r w:rsidRPr="00271E51">
        <w:rPr>
          <w:color w:val="000000" w:themeColor="text1"/>
          <w:sz w:val="16"/>
          <w:szCs w:val="16"/>
        </w:rPr>
        <w:softHyphen/>
        <w:t>ным вооружением и истребитель бомбардиров</w:t>
      </w:r>
      <w:r w:rsidRPr="00271E51">
        <w:rPr>
          <w:color w:val="000000" w:themeColor="text1"/>
          <w:sz w:val="16"/>
          <w:szCs w:val="16"/>
        </w:rPr>
        <w:softHyphen/>
        <w:t>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784E89EA"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Простейший анализ показывает, что даже без проведения работ по перераспределению брони и экономии на этом веса пустого самолета можно было существенно поднять боевую эффективность Су-6 М-71ф почти без ухудшения летных и манев</w:t>
      </w:r>
      <w:r w:rsidRPr="00271E51">
        <w:rPr>
          <w:color w:val="000000" w:themeColor="text1"/>
          <w:sz w:val="16"/>
          <w:szCs w:val="16"/>
        </w:rPr>
        <w:softHyphen/>
        <w:t>ренных качеств самолета, только за счет оптимиза</w:t>
      </w:r>
      <w:r w:rsidRPr="00271E51">
        <w:rPr>
          <w:color w:val="000000" w:themeColor="text1"/>
          <w:sz w:val="16"/>
          <w:szCs w:val="16"/>
        </w:rPr>
        <w:softHyphen/>
        <w:t>ции состава и размера боекомплекта стрелково-пушечного вооружения.</w:t>
      </w:r>
    </w:p>
    <w:p w14:paraId="780DC5A6"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Действительно, принятый на Су-6 М-71ф бо</w:t>
      </w:r>
      <w:r w:rsidRPr="00271E51">
        <w:rPr>
          <w:color w:val="000000" w:themeColor="text1"/>
          <w:sz w:val="16"/>
          <w:szCs w:val="16"/>
        </w:rPr>
        <w:softHyphen/>
        <w:t>езапас к пушкам 11П в 90 снарядов для типовых условий боевого применения штурмовиков на фронте был излишним. Его вполне можно было уменьшить до 48—50 снарядов. Одновременно пулеметы ШКАС, как имеющие низ</w:t>
      </w:r>
      <w:r w:rsidRPr="00271E51">
        <w:rPr>
          <w:color w:val="000000" w:themeColor="text1"/>
          <w:sz w:val="16"/>
          <w:szCs w:val="16"/>
        </w:rPr>
        <w:softHyphen/>
        <w:t>кую эффективность при действии по типовым наземным целям, мож</w:t>
      </w:r>
      <w:r w:rsidRPr="00271E51">
        <w:rPr>
          <w:color w:val="000000" w:themeColor="text1"/>
          <w:sz w:val="16"/>
          <w:szCs w:val="16"/>
        </w:rPr>
        <w:softHyphen/>
        <w:t>но было снять, а вместо них уста</w:t>
      </w:r>
      <w:r w:rsidRPr="00271E51">
        <w:rPr>
          <w:color w:val="000000" w:themeColor="text1"/>
          <w:sz w:val="16"/>
          <w:szCs w:val="16"/>
        </w:rPr>
        <w:softHyphen/>
        <w:t>новить или 4 крупнокалиберных пулемета УБК (800 патронов), или 2 пушки ШВАК (250 снарядов). Если снять 11П и ШКАСы, то можно было бы установить на самолет 4 пушки ВЯ (320 снарядов) и 2 пулемета УБК (400 патронов). При этом во всех случаях нормальный полетный вес штурмовика с усиленным вооруже</w:t>
      </w:r>
      <w:r w:rsidRPr="00271E51">
        <w:rPr>
          <w:color w:val="000000" w:themeColor="text1"/>
          <w:sz w:val="16"/>
          <w:szCs w:val="16"/>
        </w:rPr>
        <w:softHyphen/>
        <w:t>нием не превысил бы полетный вес самолета с исходным вариантом вооружения, тогда как вероятность поражения наземной цели в одном заходе повышалась значительно, а боезапас к пушкам и пулеметам обеспечивал выполнение 3—4 при</w:t>
      </w:r>
      <w:r w:rsidRPr="00271E51">
        <w:rPr>
          <w:color w:val="000000" w:themeColor="text1"/>
          <w:sz w:val="16"/>
          <w:szCs w:val="16"/>
        </w:rPr>
        <w:softHyphen/>
        <w:t>цельных заходов на цель.</w:t>
      </w:r>
    </w:p>
    <w:p w14:paraId="43646405"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 всех возможных вариантов вооружения «сухого» наиболее ин</w:t>
      </w:r>
      <w:r w:rsidRPr="00271E51">
        <w:rPr>
          <w:color w:val="000000" w:themeColor="text1"/>
          <w:sz w:val="16"/>
          <w:szCs w:val="16"/>
        </w:rPr>
        <w:softHyphen/>
        <w:t>тересным с точки зрения боевой эф</w:t>
      </w:r>
      <w:r w:rsidRPr="00271E51">
        <w:rPr>
          <w:color w:val="000000" w:themeColor="text1"/>
          <w:sz w:val="16"/>
          <w:szCs w:val="16"/>
        </w:rPr>
        <w:softHyphen/>
        <w:t>фективности представляется состав, включающий 4 пушки ВЯ и 2 пуле</w:t>
      </w:r>
      <w:r w:rsidRPr="00271E51">
        <w:rPr>
          <w:color w:val="000000" w:themeColor="text1"/>
          <w:sz w:val="16"/>
          <w:szCs w:val="16"/>
        </w:rPr>
        <w:softHyphen/>
        <w:t>мета УБК. Вес боевой нагрузки ока</w:t>
      </w:r>
      <w:r w:rsidRPr="00271E51">
        <w:rPr>
          <w:color w:val="000000" w:themeColor="text1"/>
          <w:sz w:val="16"/>
          <w:szCs w:val="16"/>
        </w:rPr>
        <w:softHyphen/>
        <w:t>зывался даже несколько меньше (на 35 кг), чем в исходном варианте, но вероятность поражения легко</w:t>
      </w:r>
      <w:r w:rsidRPr="00271E51">
        <w:rPr>
          <w:color w:val="000000" w:themeColor="text1"/>
          <w:sz w:val="16"/>
          <w:szCs w:val="16"/>
        </w:rPr>
        <w:softHyphen/>
        <w:t>бронированной техники вермахта в одном заходе возрастала примерно в 5—6 раз, а небронированной техники — в 7—8 раз. Одна</w:t>
      </w:r>
      <w:r w:rsidRPr="00271E51">
        <w:rPr>
          <w:color w:val="000000" w:themeColor="text1"/>
          <w:sz w:val="16"/>
          <w:szCs w:val="16"/>
        </w:rPr>
        <w:softHyphen/>
        <w:t>ко стрельба по средним танкам была неэффек</w:t>
      </w:r>
      <w:r w:rsidRPr="00271E51">
        <w:rPr>
          <w:color w:val="000000" w:themeColor="text1"/>
          <w:sz w:val="16"/>
          <w:szCs w:val="16"/>
        </w:rPr>
        <w:softHyphen/>
        <w:t>тивной.</w:t>
      </w:r>
    </w:p>
    <w:p w14:paraId="7D5DF140"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Весьма перспективным вариантом вооружения штурмовика представляется состав из 2 пушек 11П (48 снарядов) и 2 пушек ВЯ (160 снарядов). В этом случае вес боевой нагрузки, отводимый на стрел- ково-пушечное вооружение, возрастал на 75 кг, что несколько ухудшало маневренные качества са</w:t>
      </w:r>
      <w:r w:rsidRPr="00271E51">
        <w:rPr>
          <w:color w:val="000000" w:themeColor="text1"/>
          <w:sz w:val="16"/>
          <w:szCs w:val="16"/>
        </w:rPr>
        <w:softHyphen/>
        <w:t>молета (на 1,3% увеличивалась нагрузка на крыло и на 1,2% нагрузка на единицу мощности), но с лих</w:t>
      </w:r>
      <w:r w:rsidRPr="00271E51">
        <w:rPr>
          <w:color w:val="000000" w:themeColor="text1"/>
          <w:sz w:val="16"/>
          <w:szCs w:val="16"/>
        </w:rPr>
        <w:softHyphen/>
        <w:t>вой окупалось открывающимися возможностями по поражению бронетехники и других трудноуяз</w:t>
      </w:r>
      <w:r w:rsidRPr="00271E51">
        <w:rPr>
          <w:color w:val="000000" w:themeColor="text1"/>
          <w:sz w:val="16"/>
          <w:szCs w:val="16"/>
        </w:rPr>
        <w:softHyphen/>
        <w:t>вимых малоразмерных целей. Расчеты показывают, что этот вариант вооружения в сравнении с 4 ВЯ и 2 УБК обеспечивал в 1,5—2 раза большую эффек</w:t>
      </w:r>
      <w:r w:rsidRPr="00271E51">
        <w:rPr>
          <w:color w:val="000000" w:themeColor="text1"/>
          <w:sz w:val="16"/>
          <w:szCs w:val="16"/>
        </w:rPr>
        <w:softHyphen/>
        <w:t>тивность при действии по немецким средним тан</w:t>
      </w:r>
      <w:r w:rsidRPr="00271E51">
        <w:rPr>
          <w:color w:val="000000" w:themeColor="text1"/>
          <w:sz w:val="16"/>
          <w:szCs w:val="16"/>
        </w:rPr>
        <w:softHyphen/>
        <w:t>кам и САУ на их основе.</w:t>
      </w:r>
    </w:p>
    <w:p w14:paraId="17FD1180"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Бомбовое и ракетное вооружение во всех ва</w:t>
      </w:r>
      <w:r w:rsidRPr="00271E51">
        <w:rPr>
          <w:color w:val="000000" w:themeColor="text1"/>
          <w:sz w:val="16"/>
          <w:szCs w:val="16"/>
        </w:rPr>
        <w:softHyphen/>
        <w:t>риантах стрелково-пушечного вооружения остава</w:t>
      </w:r>
      <w:r w:rsidRPr="00271E51">
        <w:rPr>
          <w:color w:val="000000" w:themeColor="text1"/>
          <w:sz w:val="16"/>
          <w:szCs w:val="16"/>
        </w:rPr>
        <w:softHyphen/>
        <w:t>лось прежним.</w:t>
      </w:r>
    </w:p>
    <w:p w14:paraId="629508AE"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Учитывая, что удельный вес артиллерии и мино</w:t>
      </w:r>
      <w:r w:rsidRPr="00271E51">
        <w:rPr>
          <w:color w:val="000000" w:themeColor="text1"/>
          <w:sz w:val="16"/>
          <w:szCs w:val="16"/>
        </w:rPr>
        <w:softHyphen/>
        <w:t>метов, огневых точек, орудий малокалиберной зе</w:t>
      </w:r>
      <w:r w:rsidRPr="00271E51">
        <w:rPr>
          <w:color w:val="000000" w:themeColor="text1"/>
          <w:sz w:val="16"/>
          <w:szCs w:val="16"/>
        </w:rPr>
        <w:softHyphen/>
        <w:t>нитной артиллерии составлял около 80—90% всех целей в тактической зоне обороны противника, а танков и САУ — 5—15%, то на каждые 10 двух</w:t>
      </w:r>
      <w:r w:rsidRPr="00271E51">
        <w:rPr>
          <w:color w:val="000000" w:themeColor="text1"/>
          <w:sz w:val="16"/>
          <w:szCs w:val="16"/>
        </w:rPr>
        <w:softHyphen/>
        <w:t>местных Су-6 М-71ф с пулеметно-пушечным соста</w:t>
      </w:r>
      <w:r w:rsidRPr="00271E51">
        <w:rPr>
          <w:color w:val="000000" w:themeColor="text1"/>
          <w:sz w:val="16"/>
          <w:szCs w:val="16"/>
        </w:rPr>
        <w:softHyphen/>
        <w:t>вом вооружения (4 ВЯ и 2 УБК) имело смысл вы</w:t>
      </w:r>
      <w:r w:rsidRPr="00271E51">
        <w:rPr>
          <w:color w:val="000000" w:themeColor="text1"/>
          <w:sz w:val="16"/>
          <w:szCs w:val="16"/>
        </w:rPr>
        <w:softHyphen/>
        <w:t>пускать один одноместный в противотанковом ва</w:t>
      </w:r>
      <w:r w:rsidRPr="00271E51">
        <w:rPr>
          <w:color w:val="000000" w:themeColor="text1"/>
          <w:sz w:val="16"/>
          <w:szCs w:val="16"/>
        </w:rPr>
        <w:softHyphen/>
        <w:t>рианте.</w:t>
      </w:r>
    </w:p>
    <w:p w14:paraId="0A7AE95C"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сожалению, в это время ни военные, ни НКАП вопросами оптимизации состава и боекомплекта стрелково-пушечного вооружения боевых самоле</w:t>
      </w:r>
      <w:r w:rsidRPr="00271E51">
        <w:rPr>
          <w:color w:val="000000" w:themeColor="text1"/>
          <w:sz w:val="16"/>
          <w:szCs w:val="16"/>
        </w:rPr>
        <w:softHyphen/>
        <w:t>тов применительно к условиям боевого примене</w:t>
      </w:r>
      <w:r w:rsidRPr="00271E51">
        <w:rPr>
          <w:color w:val="000000" w:themeColor="text1"/>
          <w:sz w:val="16"/>
          <w:szCs w:val="16"/>
        </w:rPr>
        <w:softHyphen/>
        <w:t>ния на фронте должным образом не занимались, хотя, как следует из архивных документов, все не</w:t>
      </w:r>
      <w:r w:rsidRPr="00271E51">
        <w:rPr>
          <w:color w:val="000000" w:themeColor="text1"/>
          <w:sz w:val="16"/>
          <w:szCs w:val="16"/>
        </w:rPr>
        <w:softHyphen/>
        <w:t>обходимые исходные данные для такой работы в отчетах частей и соединений имелись.</w:t>
      </w:r>
    </w:p>
    <w:p w14:paraId="28572259"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Судя по документам, НИИ ВВС и руководство ВВС КА отчетливо понимали, что Су-6 М-71ф явля</w:t>
      </w:r>
      <w:r w:rsidRPr="00271E51">
        <w:rPr>
          <w:color w:val="000000" w:themeColor="text1"/>
          <w:sz w:val="16"/>
          <w:szCs w:val="16"/>
        </w:rPr>
        <w:softHyphen/>
        <w:t>ется именно тем ударным самолетом, которого не</w:t>
      </w:r>
      <w:r w:rsidRPr="00271E51">
        <w:rPr>
          <w:color w:val="000000" w:themeColor="text1"/>
          <w:sz w:val="16"/>
          <w:szCs w:val="16"/>
        </w:rPr>
        <w:softHyphen/>
        <w:t>достает в системе вооружений ВВС, и в силу этого были полны решимости отстаивать свои интересы. По их мнению, возможности для постановки в се</w:t>
      </w:r>
      <w:r w:rsidRPr="00271E51">
        <w:rPr>
          <w:color w:val="000000" w:themeColor="text1"/>
          <w:sz w:val="16"/>
          <w:szCs w:val="16"/>
        </w:rPr>
        <w:softHyphen/>
        <w:t>рию «семьдесят первого» мотора и самолета Су-6 с ним у НКАП имелись (17500).</w:t>
      </w:r>
    </w:p>
    <w:p w14:paraId="31CD8574" w14:textId="77777777" w:rsidR="00800387" w:rsidRPr="00271E51" w:rsidRDefault="00800387" w:rsidP="00271E51">
      <w:pPr>
        <w:pStyle w:val="12a"/>
        <w:shd w:val="clear" w:color="auto" w:fill="auto"/>
        <w:spacing w:after="0" w:line="240" w:lineRule="auto"/>
        <w:jc w:val="both"/>
        <w:rPr>
          <w:color w:val="000000" w:themeColor="text1"/>
          <w:sz w:val="16"/>
          <w:szCs w:val="16"/>
        </w:rPr>
      </w:pPr>
    </w:p>
    <w:p w14:paraId="348573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вышел приказ НКАП N 521 об образовании комиссии для рассмотрения причин происшедшей 30 августа 1943 катастрофы самолета Як-7 N 1429, пилотируемого летчиком завода 84 С.А.Корзинщиковым (941,134).</w:t>
      </w:r>
    </w:p>
    <w:p w14:paraId="7EB876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F91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л завода 82 С.А.Корзинщиков совершил катастрофу на Як-7б (2109).</w:t>
      </w:r>
    </w:p>
    <w:p w14:paraId="55A4D0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D98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вышло Распоряжение ГКО № 4008. Об обеспечении ВВС КА, АДД и ВВС ВМФ авиационной гарнитурой (телефоны и ларингофоны) к шлемофонам.РГАНИР, Фонд ГКО, д. 147, лл. 225 (11012).</w:t>
      </w:r>
    </w:p>
    <w:p w14:paraId="063066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0D91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вышло Постановление ГКО № 4009 [О монтаже оборудования на ТЭЦ завода № 268 HКАП.] (7135, 226).</w:t>
      </w:r>
    </w:p>
    <w:p w14:paraId="11F4143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7DD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г. Таганрог был освобожден и уже 2 сентября начались восстановительные работы. В июле-августе фашисты уходя, взорвали основные цеха завода. Героическими усилиями тысяч авиастроителей завод, получивший №86, был в основном восстановлен к 1950 г. Но еще в годы войны и разрухи в оставшихся цехах шли ремонтные работы, а многие заводчане в составе фронтовых авиаремонтных бригад ремонтировали боевые самолеты (12044).</w:t>
      </w:r>
    </w:p>
    <w:p w14:paraId="37AA93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F39A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5834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9A26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вышло Постановление ГКО № 4007 О мерах неотложной помощи Первоуральскому динасовому заводу Наркомчермета.РГАНИР, Фонд ГКО, д. 147, лл. 215-222, 223-224 (11012).</w:t>
      </w:r>
    </w:p>
    <w:p w14:paraId="29B73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75AA3"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30 августа </w:t>
      </w:r>
      <w:r w:rsidRPr="00271E51">
        <w:rPr>
          <w:rFonts w:ascii="Times New Roman" w:hAnsi="Times New Roman"/>
          <w:color w:val="000000" w:themeColor="text1"/>
          <w:sz w:val="16"/>
          <w:szCs w:val="16"/>
        </w:rPr>
        <w:t>в 1943 году Постановления и распоряжения Государственного Комитета Обороны</w:t>
      </w:r>
    </w:p>
    <w:p w14:paraId="7EDD2688"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4007 30 августа. Постановление. О мерах неотложной помощи Первоуральскому динасовому заводу Наркомчермета.Д.147 Лл. 215-222, 223-224</w:t>
      </w:r>
    </w:p>
    <w:p w14:paraId="051C3169"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4008 30 августа. Распоряжение. Об обеспечении ВВС КА, АДД и ВВС ВМФ авиационной гарнитурой (телефоны и ларингофоны) к шлемофонам.Д.147 Лл. 225</w:t>
      </w:r>
    </w:p>
    <w:p w14:paraId="25A04251"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101CE79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года Таганрога началось восстановление ТГМЗ, который представлял из себя следующую картину: "При входе серые колонны ворот с исковерканными металлическими остовами фонарей. Контора стоит без крыши и зияет черными проемами окон. В корпусе трубосварочного цеха пусто. Из строя выведен мартеновский цех №1. В смежный с ним листопрокатный цех пройти было нельзя: все входы завалены обрушившимися обломками и кирпичом, перекрытия глубоко просели. В бандажном цехе через крышу видно осеннее небо. От мартеновского цеха №2 осталась груда нагроможденных стальных ферм, балок и кирпича" (11584).</w:t>
      </w:r>
    </w:p>
    <w:p w14:paraId="3FEDF86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75F72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Передан флоту десятый БМО. Начат аварийно-боевой ремонт одного БМО (закончен 3 сентября) (10671).</w:t>
      </w:r>
    </w:p>
    <w:p w14:paraId="13A9B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A6B51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67E2F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18DAD"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30 августа </w:t>
      </w:r>
      <w:r w:rsidRPr="00271E51">
        <w:rPr>
          <w:rFonts w:ascii="Times New Roman" w:hAnsi="Times New Roman"/>
          <w:color w:val="000000" w:themeColor="text1"/>
          <w:sz w:val="16"/>
          <w:szCs w:val="16"/>
        </w:rPr>
        <w:t>в 1943 году оперативная сводка Совинформбюро:</w:t>
      </w:r>
    </w:p>
    <w:p w14:paraId="5AD524ED"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в результате ожесточённых боёв, разгромили Таганрогскую группировку немцев и 30 августа овладели городом Таганрог. Нашими войсками занято свыше 150 населённых пунктов и в том числе районные центры Анастасиевка, Федоровка, крупные узлы сопротивления Покровское, Троицкое, Самбек, Вареновка, Николаевна, Носово, Ломакино, Весело-Во3несенка, атакже железнодорожная станция Кутейниково. Таким образом, Ростовская область полностью освобождена: от немецких захватчиков. Остатки частей разгромленной Таганрогской группировки противника окружены нашими войсками и уничтожаются.</w:t>
      </w:r>
    </w:p>
    <w:p w14:paraId="3DF67456"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продвинулись вперёд от 10 до 20 километров и заняли свыше 50 населённых пунктов.</w:t>
      </w:r>
    </w:p>
    <w:p w14:paraId="32D9D1B9"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продолжали наступлениеи заняли несколько населённых пунктов.</w:t>
      </w:r>
    </w:p>
    <w:p w14:paraId="694F6ECF"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августа наши войска на всех фронтах подбили и уничтожили 150 немецких танков. В воздушных боях и огнём зенитной артиллерии сбито 59 самолётов противника.</w:t>
      </w:r>
    </w:p>
    <w:p w14:paraId="275AFBC7"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в результате ожесточённых боёв, разгромили Таганрогскую группировку немцев и сегодня овладели городом Таганрог. Несколько дней назад наши войска, заняв город Донецко-Амвросиевка, предприняли смелый манёвр. Ломая упорное сопротивление противника, советские кавалерийские и механизированные соединения прорвались в тыл немецких войск. Наши войска, стремительно продвигаясь вперёд, заняли свыше 150 населённых пунктов, в том числе районные центры Анастасиевка и Федоровка. Овладев населённым пунктом Весело-Вознесенка, наши войска вышли на побережье Азовского моря и завершили окружение Таганрогской группировки противника. 30 августа войска Южного фронта решительным штурмомзаняли город и порт Таганрог. В результате этой победы наших войск Ростовская область полностью освобождена от немецких захватчиков. Остатки частей разгромленной Таганрогской группировки немцев уничтожаются нашими войсками.</w:t>
      </w:r>
    </w:p>
    <w:p w14:paraId="6879CF71"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продолжали наступление и заняли ряд населённых пунктов. Пытаясь приостановить продвижение советских войск, противник крупными силами танков и пехоты предпринял несколько ожесточённых контратак. Все контратаки гитлеровцев отбиты с большими для них потерями. За два дня боёв на этом участке подбито и сожжено 36 немецких танков, разбито 160 автомашин с военными грузами и уничтожено до полка пехоты противника.</w:t>
      </w:r>
    </w:p>
    <w:p w14:paraId="24180D33"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части Н-ского соединения продвинулись вперёд и заняли несколько населённых пунктов. В боях за эти пункты уничтожено свыше 1.000 немецких солдат и офицеров. Нашими частями захвачено 10 исправных немецких танков, 20 орудий, много пулемётов и другие трофеи. Взято свыше 100 пленных.</w:t>
      </w:r>
    </w:p>
    <w:p w14:paraId="49BF2DA0"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Советские зенитчики и пехотинцы наносят немецкой авиации тяжёлые потери. Зенитная батарея старшего лейтенанта Ильина в течение дня сбила 9 немецких бомбардировщиков. Зенитчики под командованием лейтенанта Козлова уничтожили 6 самолётов противника. Красноармеец Титов из противотанкового ружья сбил </w:t>
      </w:r>
      <w:r w:rsidRPr="00271E51">
        <w:rPr>
          <w:rFonts w:ascii="Times New Roman" w:hAnsi="Times New Roman"/>
          <w:color w:val="000000" w:themeColor="text1"/>
          <w:sz w:val="16"/>
          <w:szCs w:val="16"/>
        </w:rPr>
        <w:lastRenderedPageBreak/>
        <w:t>немецкийсамолёт. Лейтенант Притульский, сержант Казинский и красноармеец Романычев залпом из противотанковых ружей уничтожили пикирующий бомбардировщик противника.</w:t>
      </w:r>
    </w:p>
    <w:p w14:paraId="464633A2"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наступление.</w:t>
      </w:r>
    </w:p>
    <w:p w14:paraId="0E37A5E5"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Севска немцы спешно подтянули свежие резервы и оказывают упорное сопротивление. Части Н-ского соединения отбили семнадцать контратак противника.В этих боях уничтожено свыше 2.000 вражеских солдат и офицеров, 9 танков, 8 самоходных и 16 полевых орудий противника. Захвачены трофеи, в числе которых 15 орудий, 80 пулемётов и три склада боеприпасов. Взяты пленные. Наши танкисты,действующие на соседнем участке, уничтожили 20 немецких танков, из них 9 танков типа «Тигр», 28 орудий разных калибров, 140 автомашин и повозок с грузами.</w:t>
      </w:r>
    </w:p>
    <w:p w14:paraId="07E40615"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Севска части Н-ского соединения продвинулись вперёд от 10 до 20километров и освободили от немецких захватчиков свыше 50 населённых пунктов. Противник понёс тяжёлые потери в живой силе и технике. Захвачено у немцев 68 орудий, 250 пулемётов, 11 разных складов и другие трофеи.</w:t>
      </w:r>
    </w:p>
    <w:p w14:paraId="51C9F678"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Новороссийска артиллеристы и миномётчики Н-ской части,обстреливая оборонительные сооружения противника, разрушили 9 вражеских дзотов, уничтожили 8 артиллерийских и миномётных батарей. Истреблено до роты гитлеровцев.</w:t>
      </w:r>
    </w:p>
    <w:p w14:paraId="4C014531"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Латвийский партизанский отряд заминировал шоссе, по которому противник перебрасывал войска. На расставленных минах взорвались три автомашины. Уничтожено 24 гитлеровца. Группа партизан этого же отряда пустила под откос немецкий воинский эшелон, следовавший к линии фронта. В результате крушения разбиты паровоз, 14 вагонов с боеприпасами и 6 классных вагонов с солдатами и офицерами.</w:t>
      </w:r>
    </w:p>
    <w:p w14:paraId="67C83C58"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лейтенант 26 немецкой пехотной дивизии Иоганн Н. заявил: «Страшная сталинградская катастрофа подорвала веру в победу Германии. Нас уверяли, что немецкая армия летом 1943 года возьмёт реванш за Сталинград. Этой надеждой мы и жили последние месяцы. Однако последовавшие затем события опрокинули и разрушили все наши планы. Июльское наступление немецкой армии провалилось. Наша дивизия вела тяжёлые бои под Волховом, Орлом и Карачевом. Под нажимом советских войск мы непрерывно отступали, ежедневно неся огромные потери. В ротах осталось по 15 — 20 человек. Я долгое время был членом Союза гитлеровской молодёжи. Со школьной скамьи я верил, что немецкая армия создана для того, чтобы побеждать, и ей предстоит завоевать и покорить всю Европу. Последние бои меня многому научили. Положение безвыходное, и мы катимся в пропасть. Для Германии война уже проиграна, и пока не поздно, надо сложитьоружие. Зрело всё обдумав, я покинул расположение роты и сдался в плен» (14754).</w:t>
      </w:r>
    </w:p>
    <w:p w14:paraId="07BFEA1E"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688534D2"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30 августа </w:t>
      </w:r>
      <w:r w:rsidRPr="00271E51">
        <w:rPr>
          <w:rFonts w:ascii="Times New Roman" w:hAnsi="Times New Roman"/>
          <w:color w:val="000000" w:themeColor="text1"/>
          <w:sz w:val="16"/>
          <w:szCs w:val="16"/>
        </w:rPr>
        <w:t>в 1943 году войска Западного фронта освободили город Ельню. Войска Центрального фронта освободили город Глухов. Войска Южного фронта во взаимодействии с Азовской военной флотилией освободили город Таганрог, полностью завершив освобождение Ростовской области. Партизаны области в 1941—1944 вывели из строя около 1 тысячи солдат и офицеров противника, уничтожили 720 автомашин, 19 танков, 9 мостов и др. Войска Центрального фронта освободили города Глухов и Рыльск и вступили в Северную Украину (14754).</w:t>
      </w:r>
    </w:p>
    <w:p w14:paraId="594857C5"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475C079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года самолеты 23-го ШАП совершили в районе Таганрога 32 боевых вылета, потопили 4 баржи, 2 сторожевых катера, повредили 8 барж и один пароход (11456).</w:t>
      </w:r>
    </w:p>
    <w:p w14:paraId="309C22B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70EBBD4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советские войска завершили штурм Саур-могилы (4962).</w:t>
      </w:r>
    </w:p>
    <w:p w14:paraId="1EC9835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BFA68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советскими войсками освобождены Таганрог и Ельня (4962).</w:t>
      </w:r>
    </w:p>
    <w:p w14:paraId="5A6526D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8F17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30, 1943: Taganrog on the Sea of Azov is evacuated by German troops (3819).</w:t>
      </w:r>
    </w:p>
    <w:p w14:paraId="0D88B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30F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была освобождена Ельня (3481).</w:t>
      </w:r>
    </w:p>
    <w:p w14:paraId="0249ED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AE8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августа 1943 ЮФ с АВФ в ходе Донбасской операции разгромили таганрогскую группировку и освободили Таганрог (3398,312).</w:t>
      </w:r>
    </w:p>
    <w:p w14:paraId="485924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освобождения Таганрога от немцев нарком ВМФ адмирал Н.Г.Кузнецов внес в ЦК ВКП(б) предложение возобновить производство гидросамолетов на местном авиазаводе. Воспользовавшись помощью фирмы "Консолидейтед", можно было начать выпуск современной модификации "Каталины". Оборудование для разрушенного предприятия хотели получить по ленд-лизу. Восстановление завода начали, но уже в октябре 1944 года решение изменили в пользу обещавшего более высокие летные данные ЛЛ-143, будущего Бе-6 (3457,127).</w:t>
      </w:r>
    </w:p>
    <w:p w14:paraId="1ECF80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F762E"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30 августа </w:t>
      </w:r>
      <w:r w:rsidRPr="00271E51">
        <w:rPr>
          <w:rFonts w:ascii="Times New Roman" w:hAnsi="Times New Roman"/>
          <w:color w:val="000000" w:themeColor="text1"/>
          <w:sz w:val="16"/>
          <w:szCs w:val="16"/>
        </w:rPr>
        <w:t>в 1943 году советские войска завершают штурм Саур-могилы (14754).</w:t>
      </w:r>
    </w:p>
    <w:p w14:paraId="2FB578A9"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5FE2BCD7" w14:textId="77777777" w:rsidR="004A788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8736EF5" w14:textId="77777777" w:rsidR="004A7886" w:rsidRPr="00271E51" w:rsidRDefault="004A788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74613B"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30 августа 1943 года</w:t>
      </w:r>
      <w:r w:rsidRPr="00271E51">
        <w:rPr>
          <w:rFonts w:ascii="Times New Roman" w:hAnsi="Times New Roman"/>
          <w:color w:val="000000" w:themeColor="text1"/>
          <w:sz w:val="16"/>
          <w:szCs w:val="16"/>
        </w:rPr>
        <w:t xml:space="preserve"> Выпущен первый истребитель F4U-1C с четырьмя пушками Hispano M2 калибра 20 мм. Chance Vought F4U-1C Corsair (Чанс-Воут F4U-1C «Корсар») представлял из себя одноместный одномоторный палубный истребитель. Необычной W-образной формой крыла F4U обязан в первую очередь использованием винта диаметром около четырех метров. Это был самый большой винт из применявшихся на одномоторных истребителях. Поэтому при применении обычного крыла возникла бы необходимость существенного удлинения стоек шасси ценой снижения их прочности. В качестве альтернативы конструкторы Чанс-Воут решили использовать необычную форму крыла, которая позволяла сохранить обычную высоту стоек шасси. Конструкция была проверена в аэродинамической трубе и показала свою эффективность. Для уменьшения веса конструкции и улучшения аэродинамики была применена точечная сварка. В 1943 году серия F4U-1 получила развитие в виде модификации F4U-1C, которая отличалась от F4U-1A в первую очередь вооружением — вместо 6 пулеметов на самолет были установлены четыре 20-мм пушки. Эти истребители из-за низкой скорострельности пушек практически не применялись в маневренных воздушных боях, но использовались при штурмовке наземных целей и при ночных перехватах. Истребитель F4U-1C выпускался небольшой серией в 190 самолетов (14754).</w:t>
      </w:r>
    </w:p>
    <w:p w14:paraId="4EC2DF10"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086D99D9"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 августа 1943 летающая лодка Qantas Empire Airways PBY Catalina на «Маршруте двойного восхода солнца» из Цейлона в Перт, Австралия , выполняет самый длинный в истории беспосадочный рейс регулярной авиалинии. Время полета от швартовного буя до швартовного буя составило 31 час 51 минуту (20276).</w:t>
      </w:r>
    </w:p>
    <w:p w14:paraId="6FB3D5B2" w14:textId="77777777" w:rsidR="00A25090" w:rsidRPr="00271E51" w:rsidRDefault="00A25090" w:rsidP="00271E51">
      <w:pPr>
        <w:spacing w:after="0" w:line="240" w:lineRule="auto"/>
        <w:jc w:val="both"/>
        <w:rPr>
          <w:rFonts w:ascii="Times New Roman" w:hAnsi="Times New Roman"/>
          <w:color w:val="0070C0"/>
          <w:sz w:val="16"/>
          <w:szCs w:val="16"/>
        </w:rPr>
      </w:pPr>
    </w:p>
    <w:p w14:paraId="611A12E3"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30–31 августа (ночь) 1943 бомбардировочное командование Королевских ВВС направляет 660 бомбардировщиков для атаки Мёнхенгладбаха и Рейдта, Германия. Хорошая видимость и успешная маркировка самолетов Pathfinder приводят к успешному налету. Бомбардировочное командование начинает серию небольших ночных налётов на немецкие склады боеприпасов в лесах на севере Франции (20376).</w:t>
      </w:r>
    </w:p>
    <w:p w14:paraId="405366CE" w14:textId="77777777" w:rsidR="00A25090" w:rsidRPr="00271E51" w:rsidRDefault="00A25090" w:rsidP="00271E51">
      <w:pPr>
        <w:spacing w:after="0" w:line="240" w:lineRule="auto"/>
        <w:jc w:val="both"/>
        <w:rPr>
          <w:rFonts w:ascii="Times New Roman" w:hAnsi="Times New Roman"/>
          <w:color w:val="0070C0"/>
          <w:sz w:val="16"/>
          <w:szCs w:val="16"/>
        </w:rPr>
      </w:pPr>
    </w:p>
    <w:p w14:paraId="24F43F5B"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30 августа </w:t>
      </w:r>
      <w:r w:rsidRPr="00271E51">
        <w:rPr>
          <w:rFonts w:ascii="Times New Roman" w:hAnsi="Times New Roman"/>
          <w:color w:val="000000" w:themeColor="text1"/>
          <w:sz w:val="16"/>
          <w:szCs w:val="16"/>
        </w:rPr>
        <w:t>в 1943 году ОКБ издает секретный приказ «о формировании в Южном Тироле отрядов местной самообороны из внештатных секретных сотрудников абвера близлежащих гау, вооруженных итальянским стрелковым оружием (14754).</w:t>
      </w:r>
    </w:p>
    <w:p w14:paraId="492F5808"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3850F9C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58C37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AE5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вышел приказ НКАП N 523сс по опытным высотным машинам и в т.ч. по Ил-4 с ТК и гермокабиной (1458,332).</w:t>
      </w:r>
    </w:p>
    <w:p w14:paraId="375EC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733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ИАС ГУ ВВС писало НКАП А.И.Ш. письмо N 136864 о халатности работников завода 22, которые оставляют в Пе-2 инструменты и другие посторонние предметы, что приводит к авариям и катастрофам (1779).</w:t>
      </w:r>
    </w:p>
    <w:p w14:paraId="6E5975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D18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приказ был по различным высотным машинам и в т.ч. Як-9 с ВК-105ПД с боевой высотой 13500 м (1627,9).</w:t>
      </w:r>
    </w:p>
    <w:p w14:paraId="209BE3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EBA03" w14:textId="77777777" w:rsidR="004A7886" w:rsidRPr="00271E51" w:rsidRDefault="004A78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вышел Приказ НКАП № 523, обязывающего завод № 115 изготовить и предъявить на государственные испытания один экземпляр высотного Як-9 с мотором М-105ПД с боевой высотностью 13500 м, однако, строить такой самолёт Яко</w:t>
      </w:r>
      <w:r w:rsidRPr="00271E51">
        <w:rPr>
          <w:rFonts w:ascii="Times New Roman" w:hAnsi="Times New Roman"/>
          <w:color w:val="000000" w:themeColor="text1"/>
          <w:sz w:val="16"/>
          <w:szCs w:val="16"/>
        </w:rPr>
        <w:softHyphen/>
        <w:t>влев не стал. В своём письме на имя А.И. Шахурина в начале февраля 1944 г. он пи</w:t>
      </w:r>
      <w:r w:rsidRPr="00271E51">
        <w:rPr>
          <w:rFonts w:ascii="Times New Roman" w:hAnsi="Times New Roman"/>
          <w:color w:val="000000" w:themeColor="text1"/>
          <w:sz w:val="16"/>
          <w:szCs w:val="16"/>
        </w:rPr>
        <w:softHyphen/>
        <w:t>сал: «Изучение вопроса о возможности повышения потолка до 13,5 тыс. м показывает, что достигнутая Н=13 тыс. м для серийного самолёта Як-9 с мотором М-105ПД явля</w:t>
      </w:r>
      <w:r w:rsidRPr="00271E51">
        <w:rPr>
          <w:rFonts w:ascii="Times New Roman" w:hAnsi="Times New Roman"/>
          <w:color w:val="000000" w:themeColor="text1"/>
          <w:sz w:val="16"/>
          <w:szCs w:val="16"/>
        </w:rPr>
        <w:softHyphen/>
        <w:t xml:space="preserve">ется предельной. Задача дальнейшего повышения потолка до 13,5 тыс. м потребует весьма значительного изменения конструкции и займёт большой </w:t>
      </w:r>
      <w:r w:rsidRPr="00271E51">
        <w:rPr>
          <w:rFonts w:ascii="Times New Roman" w:hAnsi="Times New Roman"/>
          <w:color w:val="000000" w:themeColor="text1"/>
          <w:sz w:val="16"/>
          <w:szCs w:val="16"/>
        </w:rPr>
        <w:lastRenderedPageBreak/>
        <w:t>период времени на проектирование и постройку самолёта. Прошу снять с плана завода 115 изготовление высотного самолёта Як-9 с мотором М-105ПД по приказу № 523» (15830).</w:t>
      </w:r>
    </w:p>
    <w:p w14:paraId="0DE2BA4B" w14:textId="77777777" w:rsidR="004A7886" w:rsidRPr="00271E51" w:rsidRDefault="004A7886" w:rsidP="00271E51">
      <w:pPr>
        <w:spacing w:after="0" w:line="240" w:lineRule="auto"/>
        <w:jc w:val="both"/>
        <w:rPr>
          <w:rFonts w:ascii="Times New Roman" w:hAnsi="Times New Roman"/>
          <w:color w:val="000000" w:themeColor="text1"/>
          <w:sz w:val="16"/>
          <w:szCs w:val="16"/>
        </w:rPr>
      </w:pPr>
    </w:p>
    <w:p w14:paraId="4E118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Нач. ЛИИ НКАП Чесалов писал письмо N 527с НКАП А.И.Ш. по вопросу моторного оборудования Ла-5 с М-71 (1783,91).</w:t>
      </w:r>
    </w:p>
    <w:p w14:paraId="109D07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A53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года ВВС - Фалалеев, Шиманов, Репин писали письмо N 615387с Г.М.Маленкову и НКАП А.И.Шахурину.</w:t>
      </w:r>
    </w:p>
    <w:p w14:paraId="39C2AD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НИИ ВВС закончены государственные испытания опытного экземпляра транспортного самолета "ТС-1", без вооружения, с двумя моторами М-11Д, конструкции Щербакова.</w:t>
      </w:r>
    </w:p>
    <w:p w14:paraId="7C8952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"ТС-1" при нормальном полетном весе в 3400 кг с нагрузкой: экипаж - 2 чел., горючее - 300 кг, масло - 40 кг, груз - 515 кг, съемное оборудование - 150 кг, показал:</w:t>
      </w:r>
    </w:p>
    <w:p w14:paraId="3B24E1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максимальную скорость у земли - 157 км/час</w:t>
      </w:r>
    </w:p>
    <w:p w14:paraId="10F36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посадочную скорость - 74 км/час</w:t>
      </w:r>
    </w:p>
    <w:p w14:paraId="65BB35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длину разбега - 350 м</w:t>
      </w:r>
    </w:p>
    <w:p w14:paraId="59F16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взлетную дистанцию до высоты 25 м - 980 м</w:t>
      </w:r>
    </w:p>
    <w:p w14:paraId="1DECC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на высоте 100 м - 857 км</w:t>
      </w:r>
    </w:p>
    <w:p w14:paraId="1F8E70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использовании самолета "ТС-1" в санитарном варианте, можно перевозить на расстояние 500-600 км 9 человек на стандартных носилках при экипаже в 3 человека.</w:t>
      </w:r>
    </w:p>
    <w:p w14:paraId="36848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десантно-транспортном варианте, можно разместить в сидячем положении 18 человек, или отделение автоматчиков, или отделение противотанковых ружей, или 45 мм противотанковую пушку (в разобранном виде) с орудийным расчетом.</w:t>
      </w:r>
    </w:p>
    <w:p w14:paraId="15D6C6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емкость фюзеляжа обеспечивает транспортировку грузов больших габаритов и авиационных моторов всех типов.</w:t>
      </w:r>
    </w:p>
    <w:p w14:paraId="6B83CA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технике пилотирования самолет "ТС-1" прост и доступен летчикам ниже средней квалификации.</w:t>
      </w:r>
    </w:p>
    <w:p w14:paraId="3A0CBF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"ТС-1" в транспортном, десантно-транспортном и санитарном вариантах, в сравнении с самолетом Як-6, имеет преимущества:</w:t>
      </w:r>
    </w:p>
    <w:p w14:paraId="16152C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количеству перевозимых раненых в лежачем положении - 9 человек, вместо 2 человек на самолете Як-6;</w:t>
      </w:r>
    </w:p>
    <w:p w14:paraId="456B01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максимальной нагрузке - 1365 кг вместо 1072 кг у Як-6;</w:t>
      </w:r>
    </w:p>
    <w:p w14:paraId="351463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 максимально-возможной дальности полета - 1910 км, вместо 900 км у серийного самолета Як-6 и 1250 км у модернизированного самолета Як-6;</w:t>
      </w:r>
    </w:p>
    <w:p w14:paraId="6A3C26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 имеющейся возможности эффективного использования самолета - "ТС-1" в качестве летающей лаборатории для обучения штурманов и летчиков.</w:t>
      </w:r>
    </w:p>
    <w:p w14:paraId="20ACA6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согласия на запуск в серийную постройку самолета "ТС-1" взамен самолета Як-6 (1779,.</w:t>
      </w:r>
    </w:p>
    <w:p w14:paraId="1A7508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E5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по приказу № 522с разработка и производство деревянных винтов с завода № 167 (Завод № 167 НКАП, МАП /г. Химки;  г. Кунцево Московской обл.;  г. Саратов/) снято. В 02.1944 г. поручена организация производства стабилизаторов, килей и нервюр для Як-3. С 04.1944 г. завод передан из ИГУ в 1ГУНКАП.</w:t>
      </w:r>
    </w:p>
    <w:p w14:paraId="049A78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351D0E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(08.1941 г.)- Н.Д. Андреев, Лепилин, (01.1946 г.)- Белов.</w:t>
      </w:r>
    </w:p>
    <w:p w14:paraId="36CFD8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5EB92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057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по приказу № 522с деятельность ОКБ завода № 167 НКАП, ОКБ-167 НКАП /г. Саратов/ была прекращена, личный состав (6 чел.) переведен на завод № 383 и влит в состав ОКБ-383. К 1939 г. создано около 25 типов лыж и в/винтов. Далее- работы по винтам.</w:t>
      </w:r>
    </w:p>
    <w:p w14:paraId="681B21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(1941 г.)- Рыжков (11982).</w:t>
      </w:r>
    </w:p>
    <w:p w14:paraId="73E6E0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83B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по приказу № 522с на завод № 383 (ГС Завод № 383 НКАП, Завод «Вперед», Московский машиностроительный завод (ММЗ) «Вперед», ЗАО, ОАО «ММЗ «Вперед» /г. Москва;  г. Йошкар-Ола;  г. Москва пр-д Энтузиастов, 1 (1942,47 г.)/ /111024  г. Москва пр-д Энтузиастов, 15 тел. 673-44-27/) переведен личный состав (6 чел.) ликвидированного ОКБ- 167 НКАП и влит в состав ОКБ-383. По приказу № 306с/ 203пс от 24.07.1945 г. на завод № 383 переведены личный состав и оборудование завода № 162 НКАП, переданного в НКлеса.</w:t>
      </w:r>
    </w:p>
    <w:p w14:paraId="1D2B0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заводу поставлено 193 трофейных металлорежущих станка.</w:t>
      </w:r>
    </w:p>
    <w:p w14:paraId="16CFA0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15.03.1953 г. передан из 14ГУ во 2ГУ. В соответствии с пост. СМ СССР № 713-342 от 26.06.1957 г. передан в ведение СНХ РСФСР.</w:t>
      </w:r>
    </w:p>
    <w:p w14:paraId="365E43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(2005 г.): лопастей и' рулевых винтов из композиционных материалов для вертолетов; воздушных винтов; агрегатов воздушной системы для ВСУ типа «ТА»; (2006 г.) кроме того: производство ветроэнергетических комплексов.</w:t>
      </w:r>
    </w:p>
    <w:p w14:paraId="594B7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завод вошел во вновь образованную Корпорацию «Вертолеты Миля». В 2006 г. имел форму ОАО. В 05.2005 г. вошел в состав холдинга «Оборонпром».</w:t>
      </w:r>
    </w:p>
    <w:p w14:paraId="400A8C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(09.1942 г.)- Каневуский, (-09.1943-03.1944 г.-)- И.А. Шадский, (03.1946 г.)- В.П. Горин. Гендиректор (-1997-2002 г.-&gt;  Г.П. Алещенко,</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(2005 г.)- В.М. Рыбаулин, (2006 г.)- Д.Е. Пальцев.</w:t>
      </w:r>
    </w:p>
    <w:p w14:paraId="6FB1B7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(2005 г.)- Д.Е. Пальцев; по ВЭС (2002 г.)- В.М. Лебедев; по строительству (2003 г.)- В.М. Лебедев.</w:t>
      </w:r>
    </w:p>
    <w:p w14:paraId="0FDC78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(1947 г.-)-  Г.И. Кузьмин.</w:t>
      </w:r>
    </w:p>
    <w:p w14:paraId="18187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в/винты: В-8, В-530ТА-Д35 и </w:t>
      </w:r>
      <w:r w:rsidRPr="00271E51">
        <w:rPr>
          <w:rFonts w:ascii="Times New Roman" w:hAnsi="Times New Roman"/>
          <w:color w:val="000000" w:themeColor="text1"/>
          <w:sz w:val="16"/>
          <w:szCs w:val="16"/>
          <w:lang w:val="en-US"/>
        </w:rPr>
        <w:t>MTV</w:t>
      </w:r>
      <w:r w:rsidRPr="00271E51">
        <w:rPr>
          <w:rFonts w:ascii="Times New Roman" w:hAnsi="Times New Roman"/>
          <w:color w:val="000000" w:themeColor="text1"/>
          <w:sz w:val="16"/>
          <w:szCs w:val="16"/>
        </w:rPr>
        <w:t>-9 для Як-18, Як-50, Як-52, Як-54, Як-55, Су-26, Су-29, Су- 31 (2005); НВ для Ми-1, Ми-4, Ми-6, Ми-10; РВ: 8-3904-000, 246-3901-000, 246-3904-000 для Ми-8 (-2005-09-), Ми-14, Ми-24, Ми-26, «286-1» для Ми-28 (-2005-06-); ветроэнергетическая установка ВЭУ-18, автономные мобильные ветроэнергетические комплексы «ЖАВОРОНОК» и «ФОРВАРД» (2005); нагнетатель высоковязких материалов НВМ-500, электронасосные агрегаты (2005).</w:t>
      </w:r>
      <w:r w:rsidRPr="00271E51">
        <w:rPr>
          <w:rFonts w:ascii="Times New Roman" w:hAnsi="Times New Roman"/>
          <w:color w:val="000000" w:themeColor="text1"/>
          <w:sz w:val="16"/>
          <w:szCs w:val="16"/>
          <w:vertAlign w:val="superscript"/>
        </w:rPr>
        <w:t>101</w:t>
      </w:r>
    </w:p>
    <w:p w14:paraId="7D92EB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383 НКАП, ГС ОКБ-383 МАП, ГКАТ, Агрегатное КБ (АКБ) «Кристалл», А-5283, ОАО «ОКБ «Кристалл» /111024  г. Москва пр. Энтузиастов, 15 тел. 273-25-33/</w:t>
      </w:r>
    </w:p>
    <w:p w14:paraId="085E4A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при заводе № 383 образовано по приказу № 774с от 15.10.1942 г. для развития работ по деревянным ВИШ.</w:t>
      </w:r>
    </w:p>
    <w:p w14:paraId="245366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2E818A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  Г.И. Кузьмин.</w:t>
      </w:r>
    </w:p>
    <w:p w14:paraId="3A9ED5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КБ поставлено 20 трофейных металлорежущих станков.</w:t>
      </w:r>
    </w:p>
    <w:p w14:paraId="7A6466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78BF15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Принимало участие в программе создания ОК «Буран».</w:t>
      </w:r>
    </w:p>
    <w:p w14:paraId="559D2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09055C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2DC0F3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E4B2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046297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Гл. конструктор (2007 г.)- В.П. Родионов.</w:t>
      </w:r>
    </w:p>
    <w:p w14:paraId="55509E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10CE4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2CF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по приказу № 522с в состав ОКБ-383 (ОКБ завода № 383 НКАП, ГС ОКБ-383 МАП, ГКАТ, Агрегатное КБ (АКБ) «Кристалл», А-5283, ОАО «ОКБ «Кристалл» /111024  г. Москва пр. Энтузиастов, 15 тел. 273-25-33/) был переведен и влит личный состав (6 чел.) ликвидированного ОКБ-167 НКАП.</w:t>
      </w:r>
    </w:p>
    <w:p w14:paraId="64FB39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Из-за плохой организации и постановки работ (до 1946 г. не было сдано в эксплуатацию ни одного винта) Гришин был снят с должности и гл. конструктором назначен  </w:t>
      </w:r>
      <w:r w:rsidRPr="00271E51">
        <w:rPr>
          <w:rFonts w:ascii="Times New Roman" w:hAnsi="Times New Roman"/>
          <w:color w:val="000000" w:themeColor="text1"/>
          <w:sz w:val="16"/>
          <w:szCs w:val="16"/>
        </w:rPr>
        <w:lastRenderedPageBreak/>
        <w:t>Г.И. Кузьмин.</w:t>
      </w:r>
    </w:p>
    <w:p w14:paraId="14CF37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КБ поставлено 20 трофейных металлорежущих станков.</w:t>
      </w:r>
    </w:p>
    <w:p w14:paraId="6C976D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08523F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Принимало участие в программе создания ОК «Буран».</w:t>
      </w:r>
    </w:p>
    <w:p w14:paraId="56680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70C49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3FDCE5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86C55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0F10BC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Гл. конструктор (2007 г.)- В.П. Родионов.</w:t>
      </w:r>
    </w:p>
    <w:p w14:paraId="10117D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09F515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6F206"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EBF8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0AF72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 (вместо 31 июля по планам) состоялся показ тан</w:t>
      </w:r>
      <w:r w:rsidRPr="00271E51">
        <w:rPr>
          <w:rFonts w:ascii="Times New Roman" w:hAnsi="Times New Roman"/>
          <w:color w:val="000000" w:themeColor="text1"/>
          <w:sz w:val="16"/>
          <w:szCs w:val="16"/>
        </w:rPr>
        <w:softHyphen/>
        <w:t>ков ИС, КВ-85 и САУ ИСУ-152 членам правительства в Москве на Ивановской площади и многие мемуаристы ука</w:t>
      </w:r>
      <w:r w:rsidRPr="00271E51">
        <w:rPr>
          <w:rFonts w:ascii="Times New Roman" w:hAnsi="Times New Roman"/>
          <w:color w:val="000000" w:themeColor="text1"/>
          <w:sz w:val="16"/>
          <w:szCs w:val="16"/>
        </w:rPr>
        <w:softHyphen/>
        <w:t>зывают именно на этот срок, но в таком случае танки пока</w:t>
      </w:r>
      <w:r w:rsidRPr="00271E51">
        <w:rPr>
          <w:rFonts w:ascii="Times New Roman" w:hAnsi="Times New Roman"/>
          <w:color w:val="000000" w:themeColor="text1"/>
          <w:sz w:val="16"/>
          <w:szCs w:val="16"/>
        </w:rPr>
        <w:softHyphen/>
        <w:t>зывались бы до полигонных испытаний (которые начались 2 августа).</w:t>
      </w:r>
    </w:p>
    <w:p w14:paraId="33B766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осмотре новых танков участвовали В. Малышев, -Я. Федоренко, К. Ворошилов, Л. Берия, В. Молотов и И. Сталин. Все свидетели этого события отмечают, что пе</w:t>
      </w:r>
      <w:r w:rsidRPr="00271E51">
        <w:rPr>
          <w:rFonts w:ascii="Times New Roman" w:hAnsi="Times New Roman"/>
          <w:color w:val="000000" w:themeColor="text1"/>
          <w:sz w:val="16"/>
          <w:szCs w:val="16"/>
        </w:rPr>
        <w:softHyphen/>
        <w:t>ред показом из опытных машин удалили все экипажи, кро</w:t>
      </w:r>
      <w:r w:rsidRPr="00271E51">
        <w:rPr>
          <w:rFonts w:ascii="Times New Roman" w:hAnsi="Times New Roman"/>
          <w:color w:val="000000" w:themeColor="text1"/>
          <w:sz w:val="16"/>
          <w:szCs w:val="16"/>
        </w:rPr>
        <w:softHyphen/>
        <w:t>ме механиков-водителей, заменив отсутствующих одним сотрудником госбезопасности.</w:t>
      </w:r>
    </w:p>
    <w:p w14:paraId="1DF69B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Прибывшие в Кремль боевые машины вызвали живей</w:t>
      </w:r>
      <w:r w:rsidRPr="00271E51">
        <w:rPr>
          <w:rFonts w:ascii="Times New Roman" w:hAnsi="Times New Roman"/>
          <w:color w:val="000000" w:themeColor="text1"/>
          <w:sz w:val="16"/>
          <w:szCs w:val="16"/>
        </w:rPr>
        <w:softHyphen/>
        <w:t>ший интерес вождя, который немедленно вознамерился взобраться на них. Это желание оказалось совершенно неожиданным для присутствовавших, из коих никто не поза</w:t>
      </w:r>
      <w:r w:rsidRPr="00271E51">
        <w:rPr>
          <w:rFonts w:ascii="Times New Roman" w:hAnsi="Times New Roman"/>
          <w:color w:val="000000" w:themeColor="text1"/>
          <w:sz w:val="16"/>
          <w:szCs w:val="16"/>
        </w:rPr>
        <w:softHyphen/>
        <w:t>ботился запастись лесенкой для облегчения подъема на броню. Сталин решительно отстранил желание двух рети</w:t>
      </w:r>
      <w:r w:rsidRPr="00271E51">
        <w:rPr>
          <w:rFonts w:ascii="Times New Roman" w:hAnsi="Times New Roman"/>
          <w:color w:val="000000" w:themeColor="text1"/>
          <w:sz w:val="16"/>
          <w:szCs w:val="16"/>
        </w:rPr>
        <w:softHyphen/>
        <w:t>вых генералов, пытавшихся подсадить его, и самостоятель</w:t>
      </w:r>
      <w:r w:rsidRPr="00271E51">
        <w:rPr>
          <w:rFonts w:ascii="Times New Roman" w:hAnsi="Times New Roman"/>
          <w:color w:val="000000" w:themeColor="text1"/>
          <w:sz w:val="16"/>
          <w:szCs w:val="16"/>
        </w:rPr>
        <w:softHyphen/>
        <w:t>но завершил восхождение на самоходную установку ИСУ-152. Осмотрев ее снаружи, он поднял крышку люка и поинтересовался у находившегося в боевом отделении со</w:t>
      </w:r>
      <w:r w:rsidRPr="00271E51">
        <w:rPr>
          <w:rFonts w:ascii="Times New Roman" w:hAnsi="Times New Roman"/>
          <w:color w:val="000000" w:themeColor="text1"/>
          <w:sz w:val="16"/>
          <w:szCs w:val="16"/>
        </w:rPr>
        <w:softHyphen/>
        <w:t>трудника госбезопасности, как у новой машины обстоит дело с вентиляцией, так как в прошедших боях были случаи отравления экипажей пороховыми газами. Сотрудник без</w:t>
      </w:r>
      <w:r w:rsidRPr="00271E51">
        <w:rPr>
          <w:rFonts w:ascii="Times New Roman" w:hAnsi="Times New Roman"/>
          <w:color w:val="000000" w:themeColor="text1"/>
          <w:sz w:val="16"/>
          <w:szCs w:val="16"/>
        </w:rPr>
        <w:softHyphen/>
        <w:t>опасности молчал, как на допросе, но положение спас на</w:t>
      </w:r>
      <w:r w:rsidRPr="00271E51">
        <w:rPr>
          <w:rFonts w:ascii="Times New Roman" w:hAnsi="Times New Roman"/>
          <w:color w:val="000000" w:themeColor="text1"/>
          <w:sz w:val="16"/>
          <w:szCs w:val="16"/>
        </w:rPr>
        <w:softHyphen/>
        <w:t>ходчивый механик-водитель, доложивший, что в ИСУ-152 введен дополнительный вентилятор. Задав еще пару мало</w:t>
      </w:r>
      <w:r w:rsidRPr="00271E51">
        <w:rPr>
          <w:rFonts w:ascii="Times New Roman" w:hAnsi="Times New Roman"/>
          <w:color w:val="000000" w:themeColor="text1"/>
          <w:sz w:val="16"/>
          <w:szCs w:val="16"/>
        </w:rPr>
        <w:softHyphen/>
        <w:t>значительных вопросов, вождь самостоятельно спустился на землю и поздравил наркома танковой промышленности с новым достижением. 4 сентября 1943 г. постановлением ГКО № 4043сс тяжелые танки КВ-85, ИС-85 и САУ ИСУ-152 (ИС-152) были приняты на вооружение Красной Армии и поставлены в серийное производство (11135).</w:t>
      </w:r>
    </w:p>
    <w:p w14:paraId="18BE21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2357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состоялся первый показ ИС-85, КВ-85 и ИСУ-152 на Ивановской площади Кремля. По многочисленным воспомина</w:t>
      </w:r>
      <w:r w:rsidRPr="00271E51">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271E51">
        <w:rPr>
          <w:rFonts w:ascii="Times New Roman" w:hAnsi="Times New Roman"/>
          <w:color w:val="000000" w:themeColor="text1"/>
          <w:sz w:val="16"/>
          <w:szCs w:val="16"/>
        </w:rPr>
        <w:softHyphen/>
        <w:t>чальника ГАУ Н.Д. Яковлева, наркома Вооружений Д.Ф. Ус</w:t>
      </w:r>
      <w:r w:rsidRPr="00271E51">
        <w:rPr>
          <w:rFonts w:ascii="Times New Roman" w:hAnsi="Times New Roman"/>
          <w:color w:val="000000" w:themeColor="text1"/>
          <w:sz w:val="16"/>
          <w:szCs w:val="16"/>
        </w:rPr>
        <w:softHyphen/>
        <w:t>тинова, а также иных представителей ГАУ и ГБТУ.</w:t>
      </w:r>
    </w:p>
    <w:p w14:paraId="53E321F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271E51">
        <w:rPr>
          <w:rFonts w:ascii="Times New Roman" w:hAnsi="Times New Roman"/>
          <w:color w:val="000000" w:themeColor="text1"/>
          <w:sz w:val="16"/>
          <w:szCs w:val="16"/>
        </w:rPr>
        <w:softHyphen/>
        <w:t>теля, заменив отсутствовавших сотрудником госбезопаснос</w:t>
      </w:r>
      <w:r w:rsidRPr="00271E51">
        <w:rPr>
          <w:rFonts w:ascii="Times New Roman" w:hAnsi="Times New Roman"/>
          <w:color w:val="000000" w:themeColor="text1"/>
          <w:sz w:val="16"/>
          <w:szCs w:val="16"/>
        </w:rPr>
        <w:softHyphen/>
        <w:t>ти. Доставленные в Кремль машины вызвали живейший ин</w:t>
      </w:r>
      <w:r w:rsidRPr="00271E51">
        <w:rPr>
          <w:rFonts w:ascii="Times New Roman" w:hAnsi="Times New Roman"/>
          <w:color w:val="000000" w:themeColor="text1"/>
          <w:sz w:val="16"/>
          <w:szCs w:val="16"/>
        </w:rPr>
        <w:softHyphen/>
        <w:t>терес вождя, который захотел взобраться именно на ИСУ-152. Никто из присутствовавших не ожидал этого, и никакой лесенки запасено не было. Двое ретивых генералов кинулись помогать вождю, но он отстранил их и самостоя</w:t>
      </w:r>
      <w:r w:rsidRPr="00271E51">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271E51">
        <w:rPr>
          <w:rFonts w:ascii="Times New Roman" w:hAnsi="Times New Roman"/>
          <w:color w:val="000000" w:themeColor="text1"/>
          <w:sz w:val="16"/>
          <w:szCs w:val="16"/>
        </w:rPr>
        <w:softHyphen/>
        <w:t>пасности, что в новой САУ сделано для улучшения вентиля</w:t>
      </w:r>
      <w:r w:rsidRPr="00271E51">
        <w:rPr>
          <w:rFonts w:ascii="Times New Roman" w:hAnsi="Times New Roman"/>
          <w:color w:val="000000" w:themeColor="text1"/>
          <w:sz w:val="16"/>
          <w:szCs w:val="16"/>
        </w:rPr>
        <w:softHyphen/>
        <w:t>ции, так как в ходе боев на Курской дуге были случаи отрав</w:t>
      </w:r>
      <w:r w:rsidRPr="00271E51">
        <w:rPr>
          <w:rFonts w:ascii="Times New Roman" w:hAnsi="Times New Roman"/>
          <w:color w:val="000000" w:themeColor="text1"/>
          <w:sz w:val="16"/>
          <w:szCs w:val="16"/>
        </w:rPr>
        <w:softHyphen/>
        <w:t>ления экипажей пороховыми газами. Понятно, что опро</w:t>
      </w:r>
      <w:r w:rsidRPr="00271E51">
        <w:rPr>
          <w:rFonts w:ascii="Times New Roman" w:hAnsi="Times New Roman"/>
          <w:color w:val="000000" w:themeColor="text1"/>
          <w:sz w:val="16"/>
          <w:szCs w:val="16"/>
        </w:rPr>
        <w:softHyphen/>
        <w:t>шенный молчал как партизан на допросе, но положение спас находчивый водитель, доложивший вождю, что в указанной САУ введен дополнительный вентилятор боевого отделения.</w:t>
      </w:r>
    </w:p>
    <w:p w14:paraId="4B9A64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271E51">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271E51">
        <w:rPr>
          <w:rFonts w:ascii="Times New Roman" w:hAnsi="Times New Roman"/>
          <w:color w:val="000000" w:themeColor="text1"/>
          <w:sz w:val="16"/>
          <w:szCs w:val="16"/>
        </w:rPr>
        <w:softHyphen/>
        <w:t>ного производства, то с ИС-152 до этого было еще далеко (11417).</w:t>
      </w:r>
    </w:p>
    <w:p w14:paraId="7CFC71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939479" w14:textId="77777777" w:rsidR="00800387" w:rsidRPr="00271E51" w:rsidRDefault="00800387" w:rsidP="00271E51">
      <w:pPr>
        <w:pStyle w:val="ae"/>
        <w:spacing w:before="0" w:after="0"/>
        <w:jc w:val="both"/>
        <w:textAlignment w:val="baseline"/>
        <w:rPr>
          <w:color w:val="000000" w:themeColor="text1"/>
          <w:sz w:val="16"/>
          <w:szCs w:val="16"/>
        </w:rPr>
      </w:pPr>
      <w:r w:rsidRPr="00271E51">
        <w:rPr>
          <w:color w:val="000000" w:themeColor="text1"/>
          <w:sz w:val="16"/>
          <w:szCs w:val="16"/>
        </w:rPr>
        <w:t>31 августа 1943 было принято 16 танков КВ-85. Бесследно такие трудовые «подвиги» не прошли. 31 августа в адрес ГАБТУ ушло письмо старшего военпреда на ЧКЗ. Он сообщал, что при подготовке чертежей заводское КБ допустило целый ряд ошибок, следствием которых оказалось полтора десятка дефектов: топливные баки подгонялись по месту, как и снарядные укладки с электрооборудованием, вместо фильтров «Мультициклон» на танки устанавливались более старые «Вортокс», имелись большие проблемы с прицелами. Свою лепту внёс и завод №9, не приславший с орудиями грузы для уравновешивания. Уже принятые машины в сентябре пришлось переделывать. В результате первые 5 танков удалось отгрузить лишь к 9 сентября. Всего же за сентябрь ЧКЗ отгрузил 47 танков, включая 22 августовских (17710).</w:t>
      </w:r>
    </w:p>
    <w:p w14:paraId="67B3EFC0"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017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вышло Постановление ГКО № 4010 О плане распределения электроэнергии по Кемеровской энергосистеме на сентябрь 1943 года.РГАНИР, Фонд ГКО, д. 147, лл. 227, 228-229 (11012).</w:t>
      </w:r>
    </w:p>
    <w:p w14:paraId="3BCF59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A4666"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31 августа </w:t>
      </w:r>
      <w:r w:rsidRPr="00271E51">
        <w:rPr>
          <w:rFonts w:ascii="Times New Roman" w:hAnsi="Times New Roman"/>
          <w:color w:val="000000" w:themeColor="text1"/>
          <w:sz w:val="16"/>
          <w:szCs w:val="16"/>
        </w:rPr>
        <w:t>в 1943 году в Москве в доме №3 по Пыжевскому переулку начала свою деятельность Лаборатория № 2 Академии Наук СССР (с 1955 г. Институт атомной энергии, с 1992 г. — РГНЦ «Курчатовский институт») (14755).</w:t>
      </w:r>
    </w:p>
    <w:p w14:paraId="312B7459" w14:textId="77777777" w:rsidR="004674F3" w:rsidRPr="00271E51" w:rsidRDefault="004674F3" w:rsidP="00271E51">
      <w:pPr>
        <w:spacing w:after="0" w:line="240" w:lineRule="auto"/>
        <w:jc w:val="both"/>
        <w:rPr>
          <w:rFonts w:ascii="Times New Roman" w:hAnsi="Times New Roman"/>
          <w:color w:val="000000" w:themeColor="text1"/>
          <w:sz w:val="16"/>
          <w:szCs w:val="16"/>
        </w:rPr>
      </w:pPr>
    </w:p>
    <w:p w14:paraId="6B1B442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вышло Постановление ГКО № 4011 Об организации Сталинградской железной дороги. (7135, 230-231).</w:t>
      </w:r>
    </w:p>
    <w:p w14:paraId="1011C95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59A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Балтийцы заложили пятый и шестой ТЩ типа МТ-1. Передан флоту 11-й БМО (10671).</w:t>
      </w:r>
    </w:p>
    <w:p w14:paraId="75F135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8DB1A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3E543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683F5C"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31 августа </w:t>
      </w:r>
      <w:r w:rsidRPr="00271E51">
        <w:rPr>
          <w:rFonts w:ascii="Times New Roman" w:hAnsi="Times New Roman"/>
          <w:color w:val="000000" w:themeColor="text1"/>
          <w:sz w:val="16"/>
          <w:szCs w:val="16"/>
        </w:rPr>
        <w:t>в 1943 году оперативная сводка Совинформбюро:</w:t>
      </w:r>
    </w:p>
    <w:p w14:paraId="6353855C"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Западного фронта перешли в наступление на Смоленском направлении и, прорвав сильно укреплённую оборону противника протяжением по фронту более 50 километров, продвинулись вперёд от 15 до 30 километров. Вчера, 30 августа, наши войска овладели важным опорным пунктом обороны Смоленского направления — городом Ельня. Нашими войсками за 4 дня боёв занято свыше 170 населённых пунктов, в том числе железнодорожные станции Теренино, Коробец, Жегловка, Калошино, Дорогобуж (Северный), укреплённые пункты Белый Холм, Митишкино, Юшково, Бывалки, Иловец, Жабье, Каменец, Кошелево, Вараксина, Порубань, Уварова и районный центр Сафоново.</w:t>
      </w:r>
    </w:p>
    <w:p w14:paraId="16300B91"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Центрального фронта также прорвали сильно укреплённую оборонительную полосу противника в районе Севска протяжением по фронту 100 километров и, стремительно развивая наступление, продвинулись вперёд до 60 километров, вступив в пределы Северной Украины. Вчера нашими войсками заняты города Глухов и Рыльск. За 5 дней боёв наши войска освободили от немецких захватчиков свыше 200 населённых пунктов, в том числе районный центр Сумской области Червонное, районный центр Курской области Крупец, железнодорожные станции Холмовка, Эсмань, Клевень.</w:t>
      </w:r>
    </w:p>
    <w:p w14:paraId="4C3877CA"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заканчивают ликвидацию окружённых частей противника в районе Таганрога.</w:t>
      </w:r>
    </w:p>
    <w:p w14:paraId="2D58707A"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западнее и юго-западнее Харькова, снова продвинулись вперёд и заняли несколько населённых пунктов.</w:t>
      </w:r>
    </w:p>
    <w:p w14:paraId="34DFC7F8"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августа наши войска на всех фронтах подбили и уничтожили 96 немецких танков. В воздушных боях и огнём зенитной артиллерии сбито 44 самолёта противника.</w:t>
      </w:r>
    </w:p>
    <w:p w14:paraId="08075229"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днях войска Западного фронта перешли в наступление и в результате ожесточённых боёв прорвали оборону противника протяжением по фронту более 50 километров. Развивая успех, наши войска подошли к новому оборонительному рубежу немцев, оборудованному по реке Угра. Решительным ударом наши пехотные, танковые и артиллерийские части сломили сопротивление немцев и овладели важнейшим опорным пунктом обороны Смоленского направления — городом Ельня. За несколько дней боёв освобождено от немецких оккупантов свыше 170 населённых пунктов. Противник понёс огромные потери. Только сегодня за день боёв </w:t>
      </w:r>
      <w:r w:rsidRPr="00271E51">
        <w:rPr>
          <w:rFonts w:ascii="Times New Roman" w:hAnsi="Times New Roman"/>
          <w:color w:val="000000" w:themeColor="text1"/>
          <w:sz w:val="16"/>
          <w:szCs w:val="16"/>
        </w:rPr>
        <w:lastRenderedPageBreak/>
        <w:t>уничтожено не менее 5.000 немецкихсолдат и офицеров, 56 танков, 60 орудий и более 200 автомашин. Захвачены большие трофеи и пленные. Наступление наших войск продолжается.</w:t>
      </w:r>
    </w:p>
    <w:p w14:paraId="1BE792F0"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поддерживает наступление наземных войск. Советские лётчики сегодня в воздушных боях сбили 37 немецких самолётов.</w:t>
      </w:r>
    </w:p>
    <w:p w14:paraId="1DFCC2D4"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Центральном фронте наши войска, прорвав сильно укреплённую оборону противника в районе Севска, продолжали успешное наступление. Вчера наши войска заняли города Глухов и Рыльск и вступили в Северную Украину. За пять дней боёв занято свыше 200 населённых пунктов Сумской и Курской областей. Отступая под ударами советских войск, противник несёт большие потери. Только частями Н-ского соединения, действующими юго-западнее Севска, в течение дня уничтожено свыше 3.000 немецких солдат и офицеров, подбито и сожжено 28 танков и 7 самоходных орудий противника. Захвачено у немцев 8 исправных танков, 26 полевых и 4 самоходных орудия и несколько складов с боеприпасами и военным имуществом. Взято в плен 800 немецких солдат и офицеров.</w:t>
      </w:r>
    </w:p>
    <w:p w14:paraId="04CAF6FE"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Южном фронте наши войска ликвидируют остатки разгромленной Таганрогской группировки противника. Бойцы Н-ского соединения заняли несколько населённых пунктов и уничтожили до полка немецкой пехоты. Захвачены большие трофеи, в числе которых много орудий и автомашин. На другом участке советские кавалеристы стремительно атаковали большую колонну немецкой пехоты и автомашин, пытавшихся вырваться из окружения. В результате боя гитлеровцы были в большей своей части уничтожены, а остальные взяты в плен. Автомашины противника с военными грузами захвачены нашими подразделениями.</w:t>
      </w:r>
    </w:p>
    <w:p w14:paraId="797215AF"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Азовском море наши катера потопили две самоходных баржи, катер и захватили тральщик и катер противника вместе с их экипажами.</w:t>
      </w:r>
    </w:p>
    <w:p w14:paraId="28B6C93F"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части Н-ского соединения продолжали наступление и заняли несколько населённых пунктов. Уничтожено до батальона гитлеровцев, сожжено и подбито 7 немецких танков и 2 самоходных орудия.</w:t>
      </w:r>
    </w:p>
    <w:p w14:paraId="0753344E"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противник, опираясь на заранее подготовленный оборонительный рубеж, оказывает упорное сопротивление нашим наступающим войскам. В первой половине дня бойцы Н-ской части отбили несколько вражеских контратак. Измотав немцев, наши бойцы контрударом опрокинули противника, продвинулись вперёд и овладели шестью населёнными пунктами. В боях за эти пункты истреблено 600 гитлеровцев. Захвачены 2 бронемашины, 8 орудий, 39 пулемётов и склад боеприпасов.</w:t>
      </w:r>
    </w:p>
    <w:p w14:paraId="1E0A5394"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пленные.</w:t>
      </w:r>
    </w:p>
    <w:p w14:paraId="0D3513EF"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наши снайперы истребили до 200 солдат и офицеров противника. Огнём артиллерии уничтожено 8 орудий и 3 миномётных батареи противника, разрушено 42 дзота и 5 наблюдательных пунктов.</w:t>
      </w:r>
    </w:p>
    <w:p w14:paraId="484A7005"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прямыми попаданиями бомб взорвала два железнодорожных воинских эшелона и склад боеприпасов противника.</w:t>
      </w:r>
    </w:p>
    <w:p w14:paraId="6AB8527F"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Киевской области, внезапно напал на немецкий гарнизон, расположенный в районном центре. В коротком и ожесточённом бою противник был разгромлен. Немногие оставшиеся в живых немецкие солдаты разбежались.</w:t>
      </w:r>
    </w:p>
    <w:p w14:paraId="3C41B471"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уничтожили 14 автомашин, 30 тягачей и сожгли склад противника с горючим. Через несколько дней отряд разгромил в другом селе ещё один гарнизон противника. Партизаны захватили и роздали населению 200 центнеров зерна и много скота, отобранного немцами у крестьян.</w:t>
      </w:r>
    </w:p>
    <w:p w14:paraId="3FB438E1"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Германское информационное бюро передало 30 августа одно за другим следующие сообщения: «После того, как были разрушены все объекты военного значения, город Таганрог эвакуирован германскими войсками в порядке эластичной обороны...» «В ходе проведения подготовлявшихся в течение продолжительного времени мероприятий по укорочению линии фронта, прошлой ночью германскими войсками по плану эвакуирован город Таганрог».</w:t>
      </w:r>
    </w:p>
    <w:p w14:paraId="7FF6E3CE"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 этот бред как нельзя лучше свидетельствует о замешательстве гитлеровцев, потерявших голову от неудач на советско-германском фронте. До самого последнего времени немецкие войска не помышляли об уходе из Таганрога. Напротив, они с каждым днём всё более совершенствовали здесь свою оборону. Смелый манёвр частей Красной Армии, в результате которого была окружена и разгромлена Таганрогская группировка немецких войск, был проведён настолько быстро, что противник ничего не успел вывезти. Техника и военные материалы немцев, сосредоточенные на этом участке, уничтожаются либо захватываются нашими войсками. Немецкие войска, очутившиеся в кольце наших войск, действительно хотели улизнуть. Но немцам, зажатым в этом районе в тиски, некуда больше передвигаться даже в порядке «эластичной обороны», т. е. некуда бежать. Красная Армия всё теснее сжимает кольцо окружения и уничтожает остатки разгромленной Таганрогской группировки противника.</w:t>
      </w:r>
    </w:p>
    <w:p w14:paraId="3D8E4E65" w14:textId="77777777" w:rsidR="004674F3" w:rsidRPr="00271E51" w:rsidRDefault="004674F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Гитлеровцы продолжают сочинять сказки об «эластичной обороне». Однако никто уже не верит этой неуклюжей в грубой лжи битых гитлеровцев.» (14755).</w:t>
      </w:r>
    </w:p>
    <w:p w14:paraId="17625C93" w14:textId="77777777" w:rsidR="004674F3" w:rsidRPr="00271E51" w:rsidRDefault="004674F3" w:rsidP="00271E51">
      <w:pPr>
        <w:spacing w:after="0" w:line="240" w:lineRule="auto"/>
        <w:jc w:val="both"/>
        <w:rPr>
          <w:rFonts w:ascii="Times New Roman" w:hAnsi="Times New Roman"/>
          <w:color w:val="000000" w:themeColor="text1"/>
          <w:sz w:val="16"/>
          <w:szCs w:val="16"/>
        </w:rPr>
      </w:pPr>
    </w:p>
    <w:p w14:paraId="33862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w:t>
      </w:r>
    </w:p>
    <w:p w14:paraId="3D492F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907A5" w:rsidRPr="00271E51" w14:paraId="05F1B351" w14:textId="77777777" w:rsidTr="00ED5B0A">
        <w:tc>
          <w:tcPr>
            <w:tcW w:w="1601" w:type="dxa"/>
            <w:tcBorders>
              <w:top w:val="single" w:sz="12" w:space="0" w:color="auto"/>
            </w:tcBorders>
          </w:tcPr>
          <w:p w14:paraId="3B9D13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13FF2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27.06.42-18.09.42</w:t>
            </w:r>
          </w:p>
        </w:tc>
        <w:tc>
          <w:tcPr>
            <w:tcW w:w="1601" w:type="dxa"/>
            <w:tcBorders>
              <w:top w:val="single" w:sz="12" w:space="0" w:color="auto"/>
            </w:tcBorders>
          </w:tcPr>
          <w:p w14:paraId="3DF542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26.01.43-01.04.43</w:t>
            </w:r>
          </w:p>
        </w:tc>
        <w:tc>
          <w:tcPr>
            <w:tcW w:w="1601" w:type="dxa"/>
            <w:tcBorders>
              <w:top w:val="single" w:sz="12" w:space="0" w:color="auto"/>
            </w:tcBorders>
          </w:tcPr>
          <w:p w14:paraId="05002C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05.07.43-30.07.43</w:t>
            </w:r>
          </w:p>
        </w:tc>
        <w:tc>
          <w:tcPr>
            <w:tcW w:w="1601" w:type="dxa"/>
            <w:tcBorders>
              <w:top w:val="single" w:sz="12" w:space="0" w:color="auto"/>
            </w:tcBorders>
          </w:tcPr>
          <w:p w14:paraId="72AD6E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01.08.43-31.08.43 </w:t>
            </w:r>
          </w:p>
        </w:tc>
        <w:tc>
          <w:tcPr>
            <w:tcW w:w="1601" w:type="dxa"/>
            <w:tcBorders>
              <w:top w:val="single" w:sz="12" w:space="0" w:color="auto"/>
            </w:tcBorders>
          </w:tcPr>
          <w:p w14:paraId="026BB4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01.09.43-27.04.45</w:t>
            </w:r>
          </w:p>
        </w:tc>
        <w:tc>
          <w:tcPr>
            <w:tcW w:w="1601" w:type="dxa"/>
            <w:tcBorders>
              <w:top w:val="single" w:sz="12" w:space="0" w:color="auto"/>
            </w:tcBorders>
          </w:tcPr>
          <w:p w14:paraId="790668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27.06.42-27.04.45</w:t>
            </w:r>
          </w:p>
        </w:tc>
      </w:tr>
      <w:tr w:rsidR="00A907A5" w:rsidRPr="00271E51" w14:paraId="591E256F" w14:textId="77777777" w:rsidTr="00ED5B0A">
        <w:tc>
          <w:tcPr>
            <w:tcW w:w="1601" w:type="dxa"/>
          </w:tcPr>
          <w:p w14:paraId="2478EA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Общее кол-во боевых вылетов полка</w:t>
            </w:r>
          </w:p>
        </w:tc>
        <w:tc>
          <w:tcPr>
            <w:tcW w:w="1601" w:type="dxa"/>
          </w:tcPr>
          <w:p w14:paraId="4DC8A2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w:t>
            </w:r>
          </w:p>
        </w:tc>
        <w:tc>
          <w:tcPr>
            <w:tcW w:w="1601" w:type="dxa"/>
          </w:tcPr>
          <w:p w14:paraId="251CCF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w:t>
            </w:r>
          </w:p>
        </w:tc>
        <w:tc>
          <w:tcPr>
            <w:tcW w:w="1601" w:type="dxa"/>
          </w:tcPr>
          <w:p w14:paraId="5D5FAB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258</w:t>
            </w:r>
          </w:p>
        </w:tc>
        <w:tc>
          <w:tcPr>
            <w:tcW w:w="1601" w:type="dxa"/>
          </w:tcPr>
          <w:p w14:paraId="3A36BF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253</w:t>
            </w:r>
          </w:p>
        </w:tc>
        <w:tc>
          <w:tcPr>
            <w:tcW w:w="1601" w:type="dxa"/>
          </w:tcPr>
          <w:p w14:paraId="6154F0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601" w:type="dxa"/>
          </w:tcPr>
          <w:p w14:paraId="128D7D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4282</w:t>
            </w:r>
          </w:p>
        </w:tc>
      </w:tr>
      <w:tr w:rsidR="00A907A5" w:rsidRPr="00271E51" w14:paraId="39751B42" w14:textId="77777777" w:rsidTr="00ED5B0A">
        <w:tc>
          <w:tcPr>
            <w:tcW w:w="1601" w:type="dxa"/>
          </w:tcPr>
          <w:p w14:paraId="748F08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2E4F06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tc>
        <w:tc>
          <w:tcPr>
            <w:tcW w:w="1601" w:type="dxa"/>
          </w:tcPr>
          <w:p w14:paraId="28B2FC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34,9</w:t>
            </w:r>
          </w:p>
        </w:tc>
        <w:tc>
          <w:tcPr>
            <w:tcW w:w="1601" w:type="dxa"/>
          </w:tcPr>
          <w:p w14:paraId="7597B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63,3</w:t>
            </w:r>
          </w:p>
        </w:tc>
        <w:tc>
          <w:tcPr>
            <w:tcW w:w="1601" w:type="dxa"/>
          </w:tcPr>
          <w:p w14:paraId="58723F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601" w:type="dxa"/>
          </w:tcPr>
          <w:p w14:paraId="31FD2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tc>
        <w:tc>
          <w:tcPr>
            <w:tcW w:w="1601" w:type="dxa"/>
          </w:tcPr>
          <w:p w14:paraId="586518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45,6</w:t>
            </w:r>
          </w:p>
        </w:tc>
      </w:tr>
      <w:tr w:rsidR="00A907A5" w:rsidRPr="00271E51" w14:paraId="7E3DB2B5" w14:textId="77777777" w:rsidTr="00ED5B0A">
        <w:tc>
          <w:tcPr>
            <w:tcW w:w="1601" w:type="dxa"/>
          </w:tcPr>
          <w:p w14:paraId="5CA381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07BD32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601" w:type="dxa"/>
          </w:tcPr>
          <w:p w14:paraId="00416F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tc>
        <w:tc>
          <w:tcPr>
            <w:tcW w:w="1601" w:type="dxa"/>
          </w:tcPr>
          <w:p w14:paraId="696BD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w:t>
            </w:r>
          </w:p>
        </w:tc>
        <w:tc>
          <w:tcPr>
            <w:tcW w:w="1601" w:type="dxa"/>
          </w:tcPr>
          <w:p w14:paraId="69085F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42,2</w:t>
            </w:r>
          </w:p>
        </w:tc>
        <w:tc>
          <w:tcPr>
            <w:tcW w:w="1601" w:type="dxa"/>
          </w:tcPr>
          <w:p w14:paraId="0150F7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w:t>
            </w:r>
          </w:p>
        </w:tc>
        <w:tc>
          <w:tcPr>
            <w:tcW w:w="1601" w:type="dxa"/>
          </w:tcPr>
          <w:p w14:paraId="1A31A9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w:t>
            </w:r>
          </w:p>
        </w:tc>
      </w:tr>
      <w:tr w:rsidR="00A907A5" w:rsidRPr="00271E51" w14:paraId="64FED4F5" w14:textId="77777777" w:rsidTr="00ED5B0A">
        <w:tc>
          <w:tcPr>
            <w:tcW w:w="1601" w:type="dxa"/>
            <w:tcBorders>
              <w:bottom w:val="single" w:sz="12" w:space="0" w:color="auto"/>
            </w:tcBorders>
          </w:tcPr>
          <w:p w14:paraId="1FFDB5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632D20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w:t>
            </w:r>
          </w:p>
        </w:tc>
        <w:tc>
          <w:tcPr>
            <w:tcW w:w="1601" w:type="dxa"/>
            <w:tcBorders>
              <w:bottom w:val="single" w:sz="12" w:space="0" w:color="auto"/>
            </w:tcBorders>
          </w:tcPr>
          <w:p w14:paraId="555121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tc>
        <w:tc>
          <w:tcPr>
            <w:tcW w:w="1601" w:type="dxa"/>
            <w:tcBorders>
              <w:bottom w:val="single" w:sz="12" w:space="0" w:color="auto"/>
            </w:tcBorders>
          </w:tcPr>
          <w:p w14:paraId="248CBB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w:t>
            </w:r>
          </w:p>
        </w:tc>
        <w:tc>
          <w:tcPr>
            <w:tcW w:w="1601" w:type="dxa"/>
            <w:tcBorders>
              <w:bottom w:val="single" w:sz="12" w:space="0" w:color="auto"/>
            </w:tcBorders>
          </w:tcPr>
          <w:p w14:paraId="45F98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84,3</w:t>
            </w:r>
          </w:p>
        </w:tc>
        <w:tc>
          <w:tcPr>
            <w:tcW w:w="1601" w:type="dxa"/>
            <w:tcBorders>
              <w:bottom w:val="single" w:sz="12" w:space="0" w:color="auto"/>
            </w:tcBorders>
          </w:tcPr>
          <w:p w14:paraId="10024F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127,9</w:t>
            </w:r>
          </w:p>
        </w:tc>
        <w:tc>
          <w:tcPr>
            <w:tcW w:w="1601" w:type="dxa"/>
            <w:tcBorders>
              <w:bottom w:val="single" w:sz="12" w:space="0" w:color="auto"/>
            </w:tcBorders>
          </w:tcPr>
          <w:p w14:paraId="43AD28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55,9</w:t>
            </w:r>
          </w:p>
        </w:tc>
      </w:tr>
    </w:tbl>
    <w:p w14:paraId="1F3C9F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(12020).</w:t>
      </w:r>
    </w:p>
    <w:p w14:paraId="73CD81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FB0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года, в бою десятки Як-9 с немецкими Не-111 и FW-190, превосходившими их по численности почти в десять раз, пилоты "Нормандии" сбили один бомбардировщик и три FW-190. Однако и сами потеряли четыре машины и двух пилотов (12046).</w:t>
      </w:r>
    </w:p>
    <w:p w14:paraId="797EF1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866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года в приказе командующего немецкими войсками в Крыму отмечалось, что "... В последнее время отмечаются случаи, когда в тылу немецких войск выбросившиеся с парашютом советские летчики обстреливаются немцами и многие из них гибнут. Это недопустимо, ибо их нужно допросить, получить от них интересующие командование сведения. Запрещается стрелять по парашютистам кроме того и в таких случаях: а) когда видно, что спускающийся на парашюте вражеский летчик приземляется на своей территории; б) когда вражеские парашютисты приземляются в тылу наших войск и нет возможности их захватить в плен. Об этом немедленно нужно сообщить в соседние воинские части, чтобы организовать поимку. Захваченных парашютистов немедленно сдавать в разведотдел..." (3573).</w:t>
      </w:r>
    </w:p>
    <w:p w14:paraId="5B48CC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527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КА освободила Рыльск (3481).</w:t>
      </w:r>
    </w:p>
    <w:p w14:paraId="16642A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334F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AD35A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E0126" w14:textId="77777777" w:rsidR="00AA0EA4" w:rsidRPr="00271E51" w:rsidRDefault="00AA0EA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31 августа 1943 года</w:t>
      </w:r>
      <w:r w:rsidRPr="00271E51">
        <w:rPr>
          <w:rFonts w:ascii="Times New Roman" w:hAnsi="Times New Roman"/>
          <w:color w:val="000000" w:themeColor="text1"/>
          <w:sz w:val="16"/>
          <w:szCs w:val="16"/>
        </w:rPr>
        <w:t xml:space="preserve"> Заключен контракт на 358 машин BTD-1 Destroyer. В июне 1941 года по заказу Флота США компания Douglas создала два опытных образца двухместного пикирующего бомбардировщика. Обозначенный как Douglas XSB2D-1 Destroyer, опытный образец (03551) совершил свой первый полет 8 апреля 1943 года. Но в серию эта машина не пошла. Ее использовали как основу для нового самолета. Внешне этот опытный образец являлся двухместным пикирующим бомбардировщиком; у него был внутренний бомбовый отсек и первое время (пока самолет действовал с авианосцев) убирающееся трехопорное шасси с носовым </w:t>
      </w:r>
      <w:r w:rsidRPr="00271E51">
        <w:rPr>
          <w:rFonts w:ascii="Times New Roman" w:hAnsi="Times New Roman"/>
          <w:color w:val="000000" w:themeColor="text1"/>
          <w:sz w:val="16"/>
          <w:szCs w:val="16"/>
        </w:rPr>
        <w:lastRenderedPageBreak/>
        <w:t>колесом. По требованию флота одноместный торпедоносец XSB2D-1 был модифицирован путем преобразования кабины в двухместную, добавления двух установленных на крыльях 20-миллиметровых пушек, увеличения бомбового отсека и запаса топлива. Для обеспечения требуемых высоких летных данных по бокам фюзеляжа были установлены аэродинамические тормозные щитки и был оставлен большой двигатель Wright Cyclone 18 от самолета XSB2D-1 (14755).</w:t>
      </w:r>
    </w:p>
    <w:p w14:paraId="108ED085" w14:textId="77777777" w:rsidR="00AA0EA4" w:rsidRPr="00271E51" w:rsidRDefault="00AA0EA4" w:rsidP="00271E51">
      <w:pPr>
        <w:spacing w:after="0" w:line="240" w:lineRule="auto"/>
        <w:jc w:val="both"/>
        <w:rPr>
          <w:rFonts w:ascii="Times New Roman" w:hAnsi="Times New Roman"/>
          <w:color w:val="000000" w:themeColor="text1"/>
          <w:sz w:val="16"/>
          <w:szCs w:val="16"/>
        </w:rPr>
      </w:pPr>
    </w:p>
    <w:p w14:paraId="63749940"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августа - 1 сентября (ночь) 1943 бомбардировочное командование Королевских ВВС направляет 622 бомбардировщика для атаки на Берлин. В первый раз, Люфтваффе использует прожектор самолета - Junkers Ju 88s - обеспечить свет для нападения истребителей. Облачность, проблемы с H2S и жесткое сопротивление немцев заставляют самолеты Pathfinder сбрасывать свои маркеры далеко к югу от целевой области и заставляют бомбардировщики разбрасывать свои бомбы на 30 миль (48 км) назад по маршруту подхода к Берлину, предполагая, что Экипажи бомбардировочного командования рано возвращаются назад перед лицом растущих потерь. Сорок семь бомбардировщиков не возвращаются; хотя это всего 1,6 процента от общей силы, процент потерь среди Галифаксов Хэндли Пейдж составляет 11,4 процента, а среди Шорт-стирлингов - 16 процентов. Немецкие истребители сбили две трети потерянных бомбардировщиков. Несмотря на неудачу рейда, гауляйтер берлина Геббельса приказывает эвакуировать всех детей и всех взрослых, не занятых в военной работе, в сельскую местность и в города на востоке Германии, где воздушные налеты не ожидается (20376).</w:t>
      </w:r>
    </w:p>
    <w:p w14:paraId="0B2828B6" w14:textId="77777777" w:rsidR="00A25090" w:rsidRPr="00271E51" w:rsidRDefault="00A25090" w:rsidP="00271E51">
      <w:pPr>
        <w:shd w:val="clear" w:color="auto" w:fill="FFFFFF"/>
        <w:spacing w:after="0" w:line="240" w:lineRule="auto"/>
        <w:jc w:val="both"/>
        <w:rPr>
          <w:rFonts w:ascii="Times New Roman" w:hAnsi="Times New Roman"/>
          <w:color w:val="0070C0"/>
          <w:sz w:val="16"/>
          <w:szCs w:val="16"/>
        </w:rPr>
      </w:pPr>
    </w:p>
    <w:p w14:paraId="51E23D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31, 1943: Heavy RAF raid on Berlin (over 600 bombers) (3819).</w:t>
      </w:r>
    </w:p>
    <w:p w14:paraId="6F54D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BACD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Королевские ВВС совершили массированный (более 600 бомбардировщиков) налет на Берлин (3819).</w:t>
      </w:r>
    </w:p>
    <w:p w14:paraId="2D6BBB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0E19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August 31 1943 Second Strike on Marcus 1943 Task Force 15 (Rear Admiral C. A. Pownall), built around Essex, the new Yorktown and Independence launched nine strike groups in a day-long attack on Japanese installations on Marcus Island, the first strikes by Essex and Independence Class carriers, and the first combat use of the F6F Grumman Hellcat (1090).</w:t>
      </w:r>
    </w:p>
    <w:p w14:paraId="4CF9F2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9113B13"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августа 1943 служащий в ВВС США во время Второй мировой войны, американский профессиональный футболист Лен Супульски погибает вместе с семью другими мужчинами в результате крушения B-17 Flying Fortress недалеко от Кирни, штат Небраска, во время тренировочного полета (20376).</w:t>
      </w:r>
    </w:p>
    <w:p w14:paraId="651417D9" w14:textId="77777777" w:rsidR="00A25090" w:rsidRPr="00271E51" w:rsidRDefault="00A25090" w:rsidP="00271E51">
      <w:pPr>
        <w:spacing w:after="0" w:line="240" w:lineRule="auto"/>
        <w:jc w:val="both"/>
        <w:rPr>
          <w:rFonts w:ascii="Times New Roman" w:hAnsi="Times New Roman"/>
          <w:color w:val="0070C0"/>
          <w:sz w:val="16"/>
          <w:szCs w:val="16"/>
        </w:rPr>
      </w:pPr>
    </w:p>
    <w:p w14:paraId="2BD54D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был нанесен второй удар по Маркусу с американских авианосцев с использованием F6F Grumman Hellcat (1090).</w:t>
      </w:r>
    </w:p>
    <w:p w14:paraId="30FBF0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343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августа 1943 японские войска оккупировали международную еврейскую конгрегацию Sorabajo (3481).</w:t>
      </w:r>
    </w:p>
    <w:p w14:paraId="0AA0E1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4F3E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E0D0B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8B9E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w:t>
      </w:r>
      <w:r w:rsidRPr="00271E51">
        <w:rPr>
          <w:rFonts w:ascii="Times New Roman" w:hAnsi="Times New Roman"/>
          <w:color w:val="000000" w:themeColor="text1"/>
          <w:sz w:val="16"/>
          <w:szCs w:val="16"/>
        </w:rPr>
        <w:softHyphen/>
        <w:t>це августа 1943 г. Ильюшин для подстраховки предлагает военным на утверждение эскизный проект тяже</w:t>
      </w:r>
      <w:r w:rsidRPr="00271E51">
        <w:rPr>
          <w:rFonts w:ascii="Times New Roman" w:hAnsi="Times New Roman"/>
          <w:color w:val="000000" w:themeColor="text1"/>
          <w:sz w:val="16"/>
          <w:szCs w:val="16"/>
        </w:rPr>
        <w:softHyphen/>
        <w:t>лого бронированного штурмовика Ил-8 с мотором М-71 (бывший БШ М-71), дер</w:t>
      </w:r>
      <w:r w:rsidRPr="00271E51">
        <w:rPr>
          <w:rFonts w:ascii="Times New Roman" w:hAnsi="Times New Roman"/>
          <w:color w:val="000000" w:themeColor="text1"/>
          <w:sz w:val="16"/>
          <w:szCs w:val="16"/>
        </w:rPr>
        <w:softHyphen/>
        <w:t>жавшийся до сих пор «про запас», и од</w:t>
      </w:r>
      <w:r w:rsidRPr="00271E51">
        <w:rPr>
          <w:rFonts w:ascii="Times New Roman" w:hAnsi="Times New Roman"/>
          <w:color w:val="000000" w:themeColor="text1"/>
          <w:sz w:val="16"/>
          <w:szCs w:val="16"/>
        </w:rPr>
        <w:softHyphen/>
        <w:t>новременно начинает зондирование в аппарате НКАП принципиальной воз</w:t>
      </w:r>
      <w:r w:rsidRPr="00271E51">
        <w:rPr>
          <w:rFonts w:ascii="Times New Roman" w:hAnsi="Times New Roman"/>
          <w:color w:val="000000" w:themeColor="text1"/>
          <w:sz w:val="16"/>
          <w:szCs w:val="16"/>
        </w:rPr>
        <w:softHyphen/>
        <w:t>можности переделки Ил-1 в штурмовик. Руководство НИИ ВВС эскизный проект Ил-8 с М-71 не утвердило, поскольку по маневренности, скороподъемности и максимальным скоростям у земли и на высоте ильюшинский «броненосец» зна</w:t>
      </w:r>
      <w:r w:rsidRPr="00271E51">
        <w:rPr>
          <w:rFonts w:ascii="Times New Roman" w:hAnsi="Times New Roman"/>
          <w:color w:val="000000" w:themeColor="text1"/>
          <w:sz w:val="16"/>
          <w:szCs w:val="16"/>
        </w:rPr>
        <w:softHyphen/>
        <w:t>чительно уступал «сухому». Надо сказать, что Ильюшин, будучи в прошлом чиновником с большим опы</w:t>
      </w:r>
      <w:r w:rsidRPr="00271E51">
        <w:rPr>
          <w:rFonts w:ascii="Times New Roman" w:hAnsi="Times New Roman"/>
          <w:color w:val="000000" w:themeColor="text1"/>
          <w:sz w:val="16"/>
          <w:szCs w:val="16"/>
        </w:rPr>
        <w:softHyphen/>
        <w:t>том, хорошо усвоил науку аппаратного решения вопросов и «правильной» пода</w:t>
      </w:r>
      <w:r w:rsidRPr="00271E51">
        <w:rPr>
          <w:rFonts w:ascii="Times New Roman" w:hAnsi="Times New Roman"/>
          <w:color w:val="000000" w:themeColor="text1"/>
          <w:sz w:val="16"/>
          <w:szCs w:val="16"/>
        </w:rPr>
        <w:softHyphen/>
        <w:t>чи материалов в верхах. Обладая обшир</w:t>
      </w:r>
      <w:r w:rsidRPr="00271E51">
        <w:rPr>
          <w:rFonts w:ascii="Times New Roman" w:hAnsi="Times New Roman"/>
          <w:color w:val="000000" w:themeColor="text1"/>
          <w:sz w:val="16"/>
          <w:szCs w:val="16"/>
        </w:rPr>
        <w:softHyphen/>
        <w:t>ными связями в наркомате, он имел воз</w:t>
      </w:r>
      <w:r w:rsidRPr="00271E51">
        <w:rPr>
          <w:rFonts w:ascii="Times New Roman" w:hAnsi="Times New Roman"/>
          <w:color w:val="000000" w:themeColor="text1"/>
          <w:sz w:val="16"/>
          <w:szCs w:val="16"/>
        </w:rPr>
        <w:softHyphen/>
        <w:t>можность получать информацию о на</w:t>
      </w:r>
      <w:r w:rsidRPr="00271E51">
        <w:rPr>
          <w:rFonts w:ascii="Times New Roman" w:hAnsi="Times New Roman"/>
          <w:color w:val="000000" w:themeColor="text1"/>
          <w:sz w:val="16"/>
          <w:szCs w:val="16"/>
        </w:rPr>
        <w:softHyphen/>
        <w:t>строениях и планах руководства, и как следствие, всегда весьма объективно оценивал обстановку, в силу чего пред</w:t>
      </w:r>
      <w:r w:rsidRPr="00271E51">
        <w:rPr>
          <w:rFonts w:ascii="Times New Roman" w:hAnsi="Times New Roman"/>
          <w:color w:val="000000" w:themeColor="text1"/>
          <w:sz w:val="16"/>
          <w:szCs w:val="16"/>
        </w:rPr>
        <w:softHyphen/>
        <w:t>принимал вполне адекватные шаги и упорно достигал своей цели (10680).</w:t>
      </w:r>
    </w:p>
    <w:p w14:paraId="185ECA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36130" w14:textId="77777777" w:rsidR="007E57F6" w:rsidRPr="00271E51" w:rsidRDefault="007E57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Ильюшиным был представлен доработанный проект штурмовика БШ-М-71 Самолёт не строился. Вместо него был построен и в целом успешно прошел испытания самолёт Ил-8 АМ-42 без крупнокалиберных пушек. Несмотря на серьёзные усилия Ильюшина и НКАП, военные отказались от принятия «восьмерки» на вооружение ВВС КА. В серию Ил-8 не запускался (15846).</w:t>
      </w:r>
    </w:p>
    <w:p w14:paraId="56341BEB" w14:textId="77777777" w:rsidR="007E57F6" w:rsidRPr="00271E51" w:rsidRDefault="007E57F6" w:rsidP="00271E51">
      <w:pPr>
        <w:spacing w:after="0" w:line="240" w:lineRule="auto"/>
        <w:jc w:val="both"/>
        <w:rPr>
          <w:rFonts w:ascii="Times New Roman" w:hAnsi="Times New Roman"/>
          <w:color w:val="000000" w:themeColor="text1"/>
          <w:sz w:val="16"/>
          <w:szCs w:val="16"/>
        </w:rPr>
      </w:pPr>
    </w:p>
    <w:p w14:paraId="281FEA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августа 1943 один экземпляр са</w:t>
      </w:r>
      <w:r w:rsidRPr="00271E51">
        <w:rPr>
          <w:rFonts w:ascii="Times New Roman" w:hAnsi="Times New Roman"/>
          <w:color w:val="000000" w:themeColor="text1"/>
          <w:sz w:val="16"/>
          <w:szCs w:val="16"/>
        </w:rPr>
        <w:softHyphen/>
        <w:t>молета Ил-2М М-42 почти был собран, а для вто</w:t>
      </w:r>
      <w:r w:rsidRPr="00271E51">
        <w:rPr>
          <w:rFonts w:ascii="Times New Roman" w:hAnsi="Times New Roman"/>
          <w:color w:val="000000" w:themeColor="text1"/>
          <w:sz w:val="16"/>
          <w:szCs w:val="16"/>
        </w:rPr>
        <w:softHyphen/>
        <w:t>рого экземпляра изготовлены необ</w:t>
      </w:r>
      <w:r w:rsidRPr="00271E51">
        <w:rPr>
          <w:rFonts w:ascii="Times New Roman" w:hAnsi="Times New Roman"/>
          <w:color w:val="000000" w:themeColor="text1"/>
          <w:sz w:val="16"/>
          <w:szCs w:val="16"/>
        </w:rPr>
        <w:softHyphen/>
        <w:t>ходимые узлы и агрегаты, но сбор</w:t>
      </w:r>
      <w:r w:rsidRPr="00271E51">
        <w:rPr>
          <w:rFonts w:ascii="Times New Roman" w:hAnsi="Times New Roman"/>
          <w:color w:val="000000" w:themeColor="text1"/>
          <w:sz w:val="16"/>
          <w:szCs w:val="16"/>
        </w:rPr>
        <w:softHyphen/>
        <w:t>ка истребителя Ил-2-2И АМ-42 была в сентябре пркекращена (11427).</w:t>
      </w:r>
    </w:p>
    <w:p w14:paraId="6B61D8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5A4F4"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августа 1943 года двухместный Су-6 с успехом прошел государственные испытания.</w:t>
      </w:r>
    </w:p>
    <w:p w14:paraId="0A85D739"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определяющим летно-тактическим данным Су-6 М-71ф значительно превосходил серийный двухместный Ил-2 АМ-38ф: по максимальной скорости – на 107–146 км/ч, по вертикальному маневру – в 1,6–1,9 раза, по дальности – на 353 км/ч (при скорости полета 349 км/ч против 292 км/ч у Ил-2).</w:t>
      </w:r>
    </w:p>
    <w:p w14:paraId="4B9E4A1F"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обладал хорошими характеристиками устойчивости и управляемости во всем диапазоне рабочих высот и скоростей, был прост и приятен в пилотировании. Крыло Су-6 оборудовалось мощной механизацией (автоматические предкрылки и щитки типа Шренк), повышающей устойчивость самолета при маневрировании на больших углах атаки. Взлетные качества были практически одинаковыми с Ил-2. Посадка по сложности считалась выше средней. По системе живучести самолет оценивался выше Ил-2. Бронекорпус надежно защищал от пуль калибра 12,7 мм и осколков зенитных снарядов. Бронестекло на блистере и броненадголовник воздушного стрелка, что «дает возможность более решительно и уверенно отражать атаки противника». Имелась отработанная система заполнения бензобаков нейтральными газами от выхлопа мотора и дублированное управление рулем высоты и направления.</w:t>
      </w:r>
    </w:p>
    <w:p w14:paraId="128E6BBE"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Су-6 состояло из двух 37-мм пушек 11 (90 патронов), 2 ШКАС (1400 патронов), 6 РО-132 (или РО-82) и оборонительного пулемета УБТ в блистерной установке БЛУБ.</w:t>
      </w:r>
    </w:p>
    <w:p w14:paraId="7CC821C0"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 допускалась подвеска до 600 кг бомб (в перегрузку). Осколочных и зажигательных бомб калибром от 2,5 до 25 кг и химампул в кассетах мелких бомб можно было загрузить до 400 кг. Основным вариантом считалась загрузка 200-кг бомб внутри фюзеляжа.</w:t>
      </w:r>
    </w:p>
    <w:p w14:paraId="24C3B8C4"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Ил-2, на Су-6 пушки 11 П (в серии НС-37) размещались ближе к оси самолета, что в совокупности с более высоким запасом устойчивости штурмовика обеспечивало меньшее рассеивание при стрельбе в воздухе. Эффективность стрельбы по малоразмерным целям существенно повысилась.</w:t>
      </w:r>
    </w:p>
    <w:p w14:paraId="0393EDFB"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документам, НИИ ВВС и руководство ВВС КА отчетливо понимали, что Су-6 М-71ф является именно тем ударным самолетом, которого недостает в системе вооружений ВВС. По их мнению, возможности для постановки в серию мотора М-71ф и самолета Су-6 с ним у НКАП имелись.</w:t>
      </w:r>
    </w:p>
    <w:p w14:paraId="5D1D6131"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Военные предлагали снять с серийного производства на московском заводе № 30 противотанковый вариант штурмовика Ил-2 с пушками 11 П, как не оправдавшего надежд, запустив вместо него в серию Су-6 М-71ф. При этом некоторое снижение темпов поступления самолетов Ил-2 в строевые части командование ВВС КА нисколько не пугало, так как к этому времени в резерве и на базах хранения было накоплено столько Ил-2, что ими можно было восполнить любые возможные потери штурмовиков на фронте (17490).</w:t>
      </w:r>
    </w:p>
    <w:p w14:paraId="4B2678AE" w14:textId="77777777" w:rsidR="00800387" w:rsidRPr="00271E51" w:rsidRDefault="00800387" w:rsidP="00271E51">
      <w:pPr>
        <w:spacing w:after="0" w:line="240" w:lineRule="auto"/>
        <w:jc w:val="both"/>
        <w:rPr>
          <w:rFonts w:ascii="Times New Roman" w:eastAsia="Times New Roman" w:hAnsi="Times New Roman"/>
          <w:color w:val="000000" w:themeColor="text1"/>
          <w:sz w:val="16"/>
          <w:szCs w:val="16"/>
          <w:lang w:eastAsia="ru-RU"/>
        </w:rPr>
      </w:pPr>
    </w:p>
    <w:p w14:paraId="1DF089EC"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концу августа 1943 г. Су-6 М-71ф (заводское обозначение С2А) в двух</w:t>
      </w:r>
      <w:r w:rsidRPr="00271E51">
        <w:rPr>
          <w:color w:val="000000" w:themeColor="text1"/>
          <w:sz w:val="16"/>
          <w:szCs w:val="16"/>
        </w:rPr>
        <w:softHyphen/>
        <w:t>местном варианте (по опыту войны)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271E51">
        <w:rPr>
          <w:color w:val="000000" w:themeColor="text1"/>
          <w:sz w:val="16"/>
          <w:szCs w:val="16"/>
        </w:rPr>
        <w:softHyphen/>
        <w:t>стаивали, даже в ущерб планам выпуска самоле</w:t>
      </w:r>
      <w:r w:rsidRPr="00271E51">
        <w:rPr>
          <w:color w:val="000000" w:themeColor="text1"/>
          <w:sz w:val="16"/>
          <w:szCs w:val="16"/>
        </w:rPr>
        <w:softHyphen/>
        <w:t>тов Ил-2 (17500).</w:t>
      </w:r>
    </w:p>
    <w:p w14:paraId="2FE7ECFD" w14:textId="77777777" w:rsidR="00800387" w:rsidRPr="00271E51" w:rsidRDefault="00800387" w:rsidP="00271E51">
      <w:pPr>
        <w:pStyle w:val="12a"/>
        <w:shd w:val="clear" w:color="auto" w:fill="auto"/>
        <w:spacing w:after="0" w:line="240" w:lineRule="auto"/>
        <w:jc w:val="both"/>
        <w:rPr>
          <w:color w:val="000000" w:themeColor="text1"/>
          <w:sz w:val="16"/>
          <w:szCs w:val="16"/>
        </w:rPr>
      </w:pPr>
    </w:p>
    <w:p w14:paraId="6F7B7F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августа 1943 на завод № 23 поступила необходимая документация, оснастка и задел деталей и узлов Ту-2 из Омска. Задел прибыл некомплектно, кроме того, не все детали годились для Ту-2С.</w:t>
      </w:r>
    </w:p>
    <w:p w14:paraId="6FE95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обучения рабочих взяли одну машину, недоделанную заводом № 156, и три самолета из воинских частей, требовавших ремонта. Их разобрали и доработали под "стандартный тип". Первые два бомбардировщика закончили в сентябре и еще два - в октябре. В том же месяце пошла сборка самолетов из задела. Все эти машины соответствовали стандарту Ту-2С.</w:t>
      </w:r>
    </w:p>
    <w:p w14:paraId="662FD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Часть самолетов комплектовалась вместо советских колес 1100x400 мм американскими "Бендикс" немного большего размера - 1143x432 мм (45x17 дюймов). При этом весь комплект деталей под колесо был иным, поскольку у "Бендикса" был меньший внутренний диаметр подшипника.</w:t>
      </w:r>
    </w:p>
    <w:p w14:paraId="548C8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плану завод № 23 должен был выпустить первые два Ту-2 в сентябре 1943 г.</w:t>
      </w:r>
    </w:p>
    <w:p w14:paraId="2EB9AA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Бомбардировщик проектировался в расчете на массовое производство. Отсюда его основные технологические особенности: много штамповки и литья, плазово-шаблонный метод, сборка отдельными узлами, в том числе панелями, вся клепка - прессовая. Но такая технология требовала много современного оборудования. Его стали завозить из числа импортных поставок по ленд-лизу. Это позволило организовать поточные линии по изготовлению узлов, первые из них пустили к концу 1943 </w:t>
      </w:r>
      <w:r w:rsidRPr="00271E51">
        <w:rPr>
          <w:rFonts w:ascii="Times New Roman" w:hAnsi="Times New Roman"/>
          <w:color w:val="000000" w:themeColor="text1"/>
          <w:sz w:val="16"/>
          <w:szCs w:val="16"/>
        </w:rPr>
        <w:lastRenderedPageBreak/>
        <w:t>г.</w:t>
      </w:r>
    </w:p>
    <w:p w14:paraId="23C7BC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Ту-2 был гораздо сложнее, чем ранее выпускавшийся заводом самолет Ил-4. У новой машины была выше трудоемкость, было больше работ, требовавших высокой квалификации специалистов. Освоение ее выпуска поначалу связывалось с большой долей брака. Фонари кабин не открывались и не закрывались, узлы не подходили друг к другу, обшивка шла буграми, часто встречались хпопу- ны. Элероны не вписывались в дужку крыла, тем же страдали и рули. Плохо работали посадочные щитки. Клепка швов была неровной, подгонка люков - плохой, случались течи бензина и масла, окраска была непрочной, в кабины в полете задувало, самолеты страдали валежкой - в воздухе самопроизвольно качались с крыла на крыло.</w:t>
      </w:r>
    </w:p>
    <w:p w14:paraId="4099EA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Отдельной статьей выделяли неполадки с моторами. Двигатели М-82ФН поставлялись двумя предприятиями - заводом № 19 и заводом № 29. Первые отличались сравнительно неплохим качеством, хотя и из них часть отсеивалась при контроле в Москве. Зато моторы завода № 29 браковали очень часто.</w:t>
      </w:r>
    </w:p>
    <w:p w14:paraId="6BB409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М-82ФН делали с двумя вариантами редуктора - с передаточными отношениями 9/16 и 11/16. Испытания показали, что первый из них выгоднее для Ту-2. Но заводы гнали в основном "11/16", предназначенный для истребителей, а моторов с "9/16" не хватало. В результате на заводе № 23 стояли готовые Ту-2, для которых не имелось двигателей.</w:t>
      </w:r>
    </w:p>
    <w:p w14:paraId="74D1D0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20% брака было связано с погрешностями поспешно выпускавшихся чертежей. Разумеется, это не вызывало восторга у военной приемки. Машины раз за разом возвращались на доработку. Хотя к Новому году изготовили 25 Ту-2 (включая четыре фактически лишь доработанных бомбардировщика), только в декабре первые три самолета приняли для отправки в воинские части. Все машины выпуска 1943 г. собирались из задела омского завода.</w:t>
      </w:r>
    </w:p>
    <w:p w14:paraId="303D87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московского завода имели другую систему обозначений, похожую на применявшуюся заводом № 22. Номера самолета в серии и самой серии писались через дробь, например 12/5 - 12-й самолет 5-й серии.</w:t>
      </w:r>
    </w:p>
    <w:p w14:paraId="43948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Серийное производство Ту-2 в годы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A907A5" w:rsidRPr="00271E51" w14:paraId="03CB94EA" w14:textId="77777777" w:rsidTr="00ED5B0A">
        <w:tc>
          <w:tcPr>
            <w:tcW w:w="2242" w:type="dxa"/>
            <w:tcBorders>
              <w:top w:val="single" w:sz="12" w:space="0" w:color="auto"/>
            </w:tcBorders>
          </w:tcPr>
          <w:p w14:paraId="3527D0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536AF2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2242" w:type="dxa"/>
            <w:tcBorders>
              <w:top w:val="single" w:sz="12" w:space="0" w:color="auto"/>
            </w:tcBorders>
          </w:tcPr>
          <w:p w14:paraId="48EB6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2242" w:type="dxa"/>
            <w:tcBorders>
              <w:top w:val="single" w:sz="12" w:space="0" w:color="auto"/>
            </w:tcBorders>
          </w:tcPr>
          <w:p w14:paraId="0ADB2F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2242" w:type="dxa"/>
            <w:tcBorders>
              <w:top w:val="single" w:sz="12" w:space="0" w:color="auto"/>
            </w:tcBorders>
          </w:tcPr>
          <w:p w14:paraId="15AC0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w:t>
            </w:r>
          </w:p>
        </w:tc>
      </w:tr>
      <w:tr w:rsidR="00A907A5" w:rsidRPr="00271E51" w14:paraId="43CBA4FD" w14:textId="77777777" w:rsidTr="00ED5B0A">
        <w:tc>
          <w:tcPr>
            <w:tcW w:w="2242" w:type="dxa"/>
          </w:tcPr>
          <w:p w14:paraId="341C96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166 (Омск)</w:t>
            </w:r>
          </w:p>
        </w:tc>
        <w:tc>
          <w:tcPr>
            <w:tcW w:w="2242" w:type="dxa"/>
          </w:tcPr>
          <w:p w14:paraId="47CC16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tc>
        <w:tc>
          <w:tcPr>
            <w:tcW w:w="2242" w:type="dxa"/>
          </w:tcPr>
          <w:p w14:paraId="7B7F6F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12 1)</w:t>
            </w:r>
          </w:p>
        </w:tc>
        <w:tc>
          <w:tcPr>
            <w:tcW w:w="2242" w:type="dxa"/>
          </w:tcPr>
          <w:p w14:paraId="62E7FC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242" w:type="dxa"/>
          </w:tcPr>
          <w:p w14:paraId="78C8A0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AEF0174" w14:textId="77777777" w:rsidTr="00ED5B0A">
        <w:tc>
          <w:tcPr>
            <w:tcW w:w="2242" w:type="dxa"/>
            <w:tcBorders>
              <w:bottom w:val="single" w:sz="12" w:space="0" w:color="auto"/>
            </w:tcBorders>
          </w:tcPr>
          <w:p w14:paraId="768563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23 (Москва)</w:t>
            </w:r>
          </w:p>
        </w:tc>
        <w:tc>
          <w:tcPr>
            <w:tcW w:w="2242" w:type="dxa"/>
            <w:tcBorders>
              <w:bottom w:val="single" w:sz="12" w:space="0" w:color="auto"/>
            </w:tcBorders>
          </w:tcPr>
          <w:p w14:paraId="76449E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242" w:type="dxa"/>
            <w:tcBorders>
              <w:bottom w:val="single" w:sz="12" w:space="0" w:color="auto"/>
            </w:tcBorders>
          </w:tcPr>
          <w:p w14:paraId="4177B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25 3)</w:t>
            </w:r>
          </w:p>
        </w:tc>
        <w:tc>
          <w:tcPr>
            <w:tcW w:w="2242" w:type="dxa"/>
            <w:tcBorders>
              <w:bottom w:val="single" w:sz="12" w:space="0" w:color="auto"/>
            </w:tcBorders>
          </w:tcPr>
          <w:p w14:paraId="291C9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378 4)</w:t>
            </w:r>
          </w:p>
        </w:tc>
        <w:tc>
          <w:tcPr>
            <w:tcW w:w="2242" w:type="dxa"/>
            <w:tcBorders>
              <w:bottom w:val="single" w:sz="12" w:space="0" w:color="auto"/>
            </w:tcBorders>
          </w:tcPr>
          <w:p w14:paraId="481223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742 2)</w:t>
            </w:r>
          </w:p>
        </w:tc>
      </w:tr>
    </w:tbl>
    <w:p w14:paraId="3E17B1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 включая доработанные заводом № 156; 2) - сдано 736; 3) - из задела завода № 166; сдано 3; 4) - сдано 360 (11988).</w:t>
      </w:r>
    </w:p>
    <w:p w14:paraId="2DEF5D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49014" w14:textId="77777777" w:rsidR="00A25090" w:rsidRPr="00271E51" w:rsidRDefault="00A25090"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К концу августа 1943 на завод 23 поступила необходи</w:t>
      </w:r>
      <w:r w:rsidRPr="00271E51">
        <w:rPr>
          <w:rFonts w:ascii="Times New Roman" w:hAnsi="Times New Roman"/>
          <w:color w:val="0070C0"/>
          <w:sz w:val="16"/>
          <w:szCs w:val="16"/>
          <w:lang w:eastAsia="ru-RU" w:bidi="ru-RU"/>
        </w:rPr>
        <w:softHyphen/>
        <w:t>мая документация, оснастка и задел дета</w:t>
      </w:r>
      <w:r w:rsidRPr="00271E51">
        <w:rPr>
          <w:rFonts w:ascii="Times New Roman" w:hAnsi="Times New Roman"/>
          <w:color w:val="0070C0"/>
          <w:sz w:val="16"/>
          <w:szCs w:val="16"/>
          <w:lang w:eastAsia="ru-RU" w:bidi="ru-RU"/>
        </w:rPr>
        <w:softHyphen/>
        <w:t>лей и узлов Ту-2 из Омска. Задел прибыл не</w:t>
      </w:r>
      <w:r w:rsidRPr="00271E51">
        <w:rPr>
          <w:rFonts w:ascii="Times New Roman" w:hAnsi="Times New Roman"/>
          <w:color w:val="0070C0"/>
          <w:sz w:val="16"/>
          <w:szCs w:val="16"/>
          <w:lang w:eastAsia="ru-RU" w:bidi="ru-RU"/>
        </w:rPr>
        <w:softHyphen/>
        <w:t>комплектно, кроме того, не все детали го</w:t>
      </w:r>
      <w:r w:rsidRPr="00271E51">
        <w:rPr>
          <w:rFonts w:ascii="Times New Roman" w:hAnsi="Times New Roman"/>
          <w:color w:val="0070C0"/>
          <w:sz w:val="16"/>
          <w:szCs w:val="16"/>
          <w:lang w:eastAsia="ru-RU" w:bidi="ru-RU"/>
        </w:rPr>
        <w:softHyphen/>
        <w:t>дились для Ту-2С.</w:t>
      </w:r>
    </w:p>
    <w:p w14:paraId="61383398" w14:textId="77777777" w:rsidR="00A25090" w:rsidRPr="00271E51" w:rsidRDefault="00A25090"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По плану завод №23 должен был выпустить первые два Ту-2 в сентябре 1943 г., пять - в октябре, десять - в но</w:t>
      </w:r>
      <w:r w:rsidRPr="00271E51">
        <w:rPr>
          <w:rFonts w:ascii="Times New Roman" w:hAnsi="Times New Roman"/>
          <w:color w:val="0070C0"/>
          <w:sz w:val="16"/>
          <w:szCs w:val="16"/>
          <w:lang w:eastAsia="ru-RU" w:bidi="ru-RU"/>
        </w:rPr>
        <w:softHyphen/>
        <w:t>ябре и 15 - в декабре.</w:t>
      </w:r>
    </w:p>
    <w:p w14:paraId="44203060"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Для обучения рабочих взяли одну ма</w:t>
      </w:r>
      <w:r w:rsidRPr="00271E51">
        <w:rPr>
          <w:rFonts w:ascii="Times New Roman" w:hAnsi="Times New Roman"/>
          <w:color w:val="0070C0"/>
          <w:sz w:val="16"/>
          <w:szCs w:val="16"/>
          <w:lang w:eastAsia="ru-RU" w:bidi="ru-RU"/>
        </w:rPr>
        <w:softHyphen/>
        <w:t>шину, недоделанную заводом №156, и три самолета из воинских частей, требовавших ремонта. Их разобрали и доработали под «стандартный тип». Первые два бомбарди</w:t>
      </w:r>
      <w:r w:rsidRPr="00271E51">
        <w:rPr>
          <w:rFonts w:ascii="Times New Roman" w:hAnsi="Times New Roman"/>
          <w:color w:val="0070C0"/>
          <w:sz w:val="16"/>
          <w:szCs w:val="16"/>
          <w:lang w:eastAsia="ru-RU" w:bidi="ru-RU"/>
        </w:rPr>
        <w:softHyphen/>
        <w:t>ровщика закончили в сентябре и еще два - в октябре. В том же месяце пошла сборка самолетов из задела. Все эти машины соот</w:t>
      </w:r>
      <w:r w:rsidRPr="00271E51">
        <w:rPr>
          <w:rFonts w:ascii="Times New Roman" w:hAnsi="Times New Roman"/>
          <w:color w:val="0070C0"/>
          <w:sz w:val="16"/>
          <w:szCs w:val="16"/>
          <w:lang w:eastAsia="ru-RU" w:bidi="ru-RU"/>
        </w:rPr>
        <w:softHyphen/>
        <w:t>ветствовали стандарту Ту-2С.</w:t>
      </w:r>
    </w:p>
    <w:p w14:paraId="21ECAAC5"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Часть самолетов комплектовалась вместо советских колес 1100х400 мм американскими «Бендикс» немного большего размера – 1143х432 мм (45х17 дюймов). При этом весь ком</w:t>
      </w:r>
      <w:r w:rsidRPr="00271E51">
        <w:rPr>
          <w:rFonts w:ascii="Times New Roman" w:hAnsi="Times New Roman"/>
          <w:color w:val="0070C0"/>
          <w:sz w:val="16"/>
          <w:szCs w:val="16"/>
          <w:lang w:eastAsia="ru-RU" w:bidi="ru-RU"/>
        </w:rPr>
        <w:softHyphen/>
        <w:t>плект деталей под колесо был иным, по</w:t>
      </w:r>
      <w:r w:rsidRPr="00271E51">
        <w:rPr>
          <w:rFonts w:ascii="Times New Roman" w:hAnsi="Times New Roman"/>
          <w:color w:val="0070C0"/>
          <w:sz w:val="16"/>
          <w:szCs w:val="16"/>
          <w:lang w:eastAsia="ru-RU" w:bidi="ru-RU"/>
        </w:rPr>
        <w:softHyphen/>
        <w:t>скольку у «Бендикса» был меньший вну</w:t>
      </w:r>
      <w:r w:rsidRPr="00271E51">
        <w:rPr>
          <w:rFonts w:ascii="Times New Roman" w:hAnsi="Times New Roman"/>
          <w:color w:val="0070C0"/>
          <w:sz w:val="16"/>
          <w:szCs w:val="16"/>
          <w:lang w:eastAsia="ru-RU" w:bidi="ru-RU"/>
        </w:rPr>
        <w:softHyphen/>
        <w:t>тренний диаметр подшипника.</w:t>
      </w:r>
    </w:p>
    <w:p w14:paraId="0F5FFD85"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Бомбардировщик проектировался в расчете на массовое производство. От</w:t>
      </w:r>
      <w:r w:rsidRPr="00271E51">
        <w:rPr>
          <w:rFonts w:ascii="Times New Roman" w:hAnsi="Times New Roman"/>
          <w:color w:val="0070C0"/>
          <w:sz w:val="16"/>
          <w:szCs w:val="16"/>
          <w:lang w:eastAsia="ru-RU" w:bidi="ru-RU"/>
        </w:rPr>
        <w:softHyphen/>
        <w:t>сюда его основные технологические осо</w:t>
      </w:r>
      <w:r w:rsidRPr="00271E51">
        <w:rPr>
          <w:rFonts w:ascii="Times New Roman" w:hAnsi="Times New Roman"/>
          <w:color w:val="0070C0"/>
          <w:sz w:val="16"/>
          <w:szCs w:val="16"/>
          <w:lang w:eastAsia="ru-RU" w:bidi="ru-RU"/>
        </w:rPr>
        <w:softHyphen/>
        <w:t>бенности: много штамповки и литья, пла- зово-шаблонный метод, сборка отдель</w:t>
      </w:r>
      <w:r w:rsidRPr="00271E51">
        <w:rPr>
          <w:rFonts w:ascii="Times New Roman" w:hAnsi="Times New Roman"/>
          <w:color w:val="0070C0"/>
          <w:sz w:val="16"/>
          <w:szCs w:val="16"/>
          <w:lang w:eastAsia="ru-RU" w:bidi="ru-RU"/>
        </w:rPr>
        <w:softHyphen/>
        <w:t>ными узлами, в том числе панелями, вся клепка - прессовая. Но такая технология требовала много современного обору</w:t>
      </w:r>
      <w:r w:rsidRPr="00271E51">
        <w:rPr>
          <w:rFonts w:ascii="Times New Roman" w:hAnsi="Times New Roman"/>
          <w:color w:val="0070C0"/>
          <w:sz w:val="16"/>
          <w:szCs w:val="16"/>
          <w:lang w:eastAsia="ru-RU" w:bidi="ru-RU"/>
        </w:rPr>
        <w:softHyphen/>
        <w:t>дования. Его стали завозить из числа им</w:t>
      </w:r>
      <w:r w:rsidRPr="00271E51">
        <w:rPr>
          <w:rFonts w:ascii="Times New Roman" w:hAnsi="Times New Roman"/>
          <w:color w:val="0070C0"/>
          <w:sz w:val="16"/>
          <w:szCs w:val="16"/>
          <w:lang w:eastAsia="ru-RU" w:bidi="ru-RU"/>
        </w:rPr>
        <w:softHyphen/>
        <w:t>портных поставок по ленд-лизу. Это по</w:t>
      </w:r>
      <w:r w:rsidRPr="00271E51">
        <w:rPr>
          <w:rFonts w:ascii="Times New Roman" w:hAnsi="Times New Roman"/>
          <w:color w:val="0070C0"/>
          <w:sz w:val="16"/>
          <w:szCs w:val="16"/>
          <w:lang w:eastAsia="ru-RU" w:bidi="ru-RU"/>
        </w:rPr>
        <w:softHyphen/>
        <w:t>зволило организовать поточные линии по изготовлению узлов, первые из них пу</w:t>
      </w:r>
      <w:r w:rsidRPr="00271E51">
        <w:rPr>
          <w:rFonts w:ascii="Times New Roman" w:hAnsi="Times New Roman"/>
          <w:color w:val="0070C0"/>
          <w:sz w:val="16"/>
          <w:szCs w:val="16"/>
          <w:lang w:eastAsia="ru-RU" w:bidi="ru-RU"/>
        </w:rPr>
        <w:softHyphen/>
        <w:t>стили к концу 1945 г.</w:t>
      </w:r>
    </w:p>
    <w:p w14:paraId="708D8266"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Ту-2 был гораздо сложнее, чем ранее выпускавшийся заводом самолет Ил-4. У новой машины была выше трудоем</w:t>
      </w:r>
      <w:r w:rsidRPr="00271E51">
        <w:rPr>
          <w:rFonts w:ascii="Times New Roman" w:hAnsi="Times New Roman"/>
          <w:color w:val="0070C0"/>
          <w:sz w:val="16"/>
          <w:szCs w:val="16"/>
          <w:lang w:eastAsia="ru-RU" w:bidi="ru-RU"/>
        </w:rPr>
        <w:softHyphen/>
        <w:t>кость, было больше работ, требовавших высокой квалификации специалистов. Освоение ее выпуска поначалу связы</w:t>
      </w:r>
      <w:r w:rsidRPr="00271E51">
        <w:rPr>
          <w:rFonts w:ascii="Times New Roman" w:hAnsi="Times New Roman"/>
          <w:color w:val="0070C0"/>
          <w:sz w:val="16"/>
          <w:szCs w:val="16"/>
          <w:lang w:eastAsia="ru-RU" w:bidi="ru-RU"/>
        </w:rPr>
        <w:softHyphen/>
        <w:t>валось с большой долей брака. Фонари кабин не открывались и не закрыва</w:t>
      </w:r>
      <w:r w:rsidRPr="00271E51">
        <w:rPr>
          <w:rFonts w:ascii="Times New Roman" w:hAnsi="Times New Roman"/>
          <w:color w:val="0070C0"/>
          <w:sz w:val="16"/>
          <w:szCs w:val="16"/>
          <w:lang w:eastAsia="ru-RU" w:bidi="ru-RU"/>
        </w:rPr>
        <w:softHyphen/>
        <w:t>лись, узлы не подходили друг к другу, обшивка шла буграми, часто встреча</w:t>
      </w:r>
      <w:r w:rsidRPr="00271E51">
        <w:rPr>
          <w:rFonts w:ascii="Times New Roman" w:hAnsi="Times New Roman"/>
          <w:color w:val="0070C0"/>
          <w:sz w:val="16"/>
          <w:szCs w:val="16"/>
          <w:lang w:eastAsia="ru-RU" w:bidi="ru-RU"/>
        </w:rPr>
        <w:softHyphen/>
        <w:t>лись хлопуны. Элероны не вписывались в дужку крыла, тем же страдали и рули. Плохо работали посадочные щитки. Клепка швов была неровной, подгонка люков - плохой, окраска - непрочной, случались течи бензина и масла, в ка</w:t>
      </w:r>
      <w:r w:rsidRPr="00271E51">
        <w:rPr>
          <w:rFonts w:ascii="Times New Roman" w:hAnsi="Times New Roman"/>
          <w:color w:val="0070C0"/>
          <w:sz w:val="16"/>
          <w:szCs w:val="16"/>
          <w:lang w:eastAsia="ru-RU" w:bidi="ru-RU"/>
        </w:rPr>
        <w:softHyphen/>
        <w:t>бины в полете задувало, самолеты стра</w:t>
      </w:r>
      <w:r w:rsidRPr="00271E51">
        <w:rPr>
          <w:rFonts w:ascii="Times New Roman" w:hAnsi="Times New Roman"/>
          <w:color w:val="0070C0"/>
          <w:sz w:val="16"/>
          <w:szCs w:val="16"/>
          <w:lang w:eastAsia="ru-RU" w:bidi="ru-RU"/>
        </w:rPr>
        <w:softHyphen/>
        <w:t>дали валежкой - в воздухе самопроиз</w:t>
      </w:r>
      <w:r w:rsidRPr="00271E51">
        <w:rPr>
          <w:rFonts w:ascii="Times New Roman" w:hAnsi="Times New Roman"/>
          <w:color w:val="0070C0"/>
          <w:sz w:val="16"/>
          <w:szCs w:val="16"/>
          <w:lang w:eastAsia="ru-RU" w:bidi="ru-RU"/>
        </w:rPr>
        <w:softHyphen/>
        <w:t>вольно качались с крыла на крыло.</w:t>
      </w:r>
    </w:p>
    <w:p w14:paraId="7FD06DE6"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Отдельной статьей выделяли непо</w:t>
      </w:r>
      <w:r w:rsidRPr="00271E51">
        <w:rPr>
          <w:rFonts w:ascii="Times New Roman" w:hAnsi="Times New Roman"/>
          <w:color w:val="0070C0"/>
          <w:sz w:val="16"/>
          <w:szCs w:val="16"/>
          <w:lang w:eastAsia="ru-RU" w:bidi="ru-RU"/>
        </w:rPr>
        <w:softHyphen/>
        <w:t>ладки с моторами. Двигатели М-82ФН по</w:t>
      </w:r>
      <w:r w:rsidRPr="00271E51">
        <w:rPr>
          <w:rFonts w:ascii="Times New Roman" w:hAnsi="Times New Roman"/>
          <w:color w:val="0070C0"/>
          <w:sz w:val="16"/>
          <w:szCs w:val="16"/>
          <w:lang w:eastAsia="ru-RU" w:bidi="ru-RU"/>
        </w:rPr>
        <w:softHyphen/>
        <w:t>ставлялись двумя предприятиями - заво</w:t>
      </w:r>
      <w:r w:rsidRPr="00271E51">
        <w:rPr>
          <w:rFonts w:ascii="Times New Roman" w:hAnsi="Times New Roman"/>
          <w:color w:val="0070C0"/>
          <w:sz w:val="16"/>
          <w:szCs w:val="16"/>
          <w:lang w:eastAsia="ru-RU" w:bidi="ru-RU"/>
        </w:rPr>
        <w:softHyphen/>
        <w:t>дом №19 и заводом №29. Первые отли</w:t>
      </w:r>
      <w:r w:rsidRPr="00271E51">
        <w:rPr>
          <w:rFonts w:ascii="Times New Roman" w:hAnsi="Times New Roman"/>
          <w:color w:val="0070C0"/>
          <w:sz w:val="16"/>
          <w:szCs w:val="16"/>
          <w:lang w:eastAsia="ru-RU" w:bidi="ru-RU"/>
        </w:rPr>
        <w:softHyphen/>
        <w:t>чались сравнительно неплохим качест</w:t>
      </w:r>
      <w:r w:rsidRPr="00271E51">
        <w:rPr>
          <w:rFonts w:ascii="Times New Roman" w:hAnsi="Times New Roman"/>
          <w:color w:val="0070C0"/>
          <w:sz w:val="16"/>
          <w:szCs w:val="16"/>
          <w:lang w:eastAsia="ru-RU" w:bidi="ru-RU"/>
        </w:rPr>
        <w:softHyphen/>
        <w:t>вом, хотя и из них часть отсеивалась при контроле в Москве. Зато моторы завода №29 браковали очень часто.</w:t>
      </w:r>
    </w:p>
    <w:p w14:paraId="7A1511A7"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Кроме того, М-82ФН делали с двумя вариантами редуктора - с передаточ</w:t>
      </w:r>
      <w:r w:rsidRPr="00271E51">
        <w:rPr>
          <w:rFonts w:ascii="Times New Roman" w:hAnsi="Times New Roman"/>
          <w:color w:val="0070C0"/>
          <w:sz w:val="16"/>
          <w:szCs w:val="16"/>
          <w:lang w:eastAsia="ru-RU" w:bidi="ru-RU"/>
        </w:rPr>
        <w:softHyphen/>
        <w:t>ными отношениями 9/16 и 11/16. Испы</w:t>
      </w:r>
      <w:r w:rsidRPr="00271E51">
        <w:rPr>
          <w:rFonts w:ascii="Times New Roman" w:hAnsi="Times New Roman"/>
          <w:color w:val="0070C0"/>
          <w:sz w:val="16"/>
          <w:szCs w:val="16"/>
          <w:lang w:eastAsia="ru-RU" w:bidi="ru-RU"/>
        </w:rPr>
        <w:softHyphen/>
        <w:t>тания показали, что первый из них выгод</w:t>
      </w:r>
      <w:r w:rsidRPr="00271E51">
        <w:rPr>
          <w:rFonts w:ascii="Times New Roman" w:hAnsi="Times New Roman"/>
          <w:color w:val="0070C0"/>
          <w:sz w:val="16"/>
          <w:szCs w:val="16"/>
          <w:lang w:eastAsia="ru-RU" w:bidi="ru-RU"/>
        </w:rPr>
        <w:softHyphen/>
        <w:t>нее для Ту-2. Но заводы гнали в основном «11/16», предназначенный для истребите</w:t>
      </w:r>
      <w:r w:rsidRPr="00271E51">
        <w:rPr>
          <w:rFonts w:ascii="Times New Roman" w:hAnsi="Times New Roman"/>
          <w:color w:val="0070C0"/>
          <w:sz w:val="16"/>
          <w:szCs w:val="16"/>
          <w:lang w:eastAsia="ru-RU" w:bidi="ru-RU"/>
        </w:rPr>
        <w:softHyphen/>
        <w:t>лей, а моторов с «9/16» не хватало. В ре</w:t>
      </w:r>
      <w:r w:rsidRPr="00271E51">
        <w:rPr>
          <w:rFonts w:ascii="Times New Roman" w:hAnsi="Times New Roman"/>
          <w:color w:val="0070C0"/>
          <w:sz w:val="16"/>
          <w:szCs w:val="16"/>
          <w:lang w:eastAsia="ru-RU" w:bidi="ru-RU"/>
        </w:rPr>
        <w:softHyphen/>
        <w:t>зультате на заводе №23 стояли готовые Ту-2, для которых не имелось двигателей.</w:t>
      </w:r>
    </w:p>
    <w:p w14:paraId="155332AD" w14:textId="77777777" w:rsidR="00A25090" w:rsidRPr="00271E51" w:rsidRDefault="00A2509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eastAsia="ru-RU" w:bidi="ru-RU"/>
        </w:rPr>
        <w:t>До 20% брака было связано с погреш</w:t>
      </w:r>
      <w:r w:rsidRPr="00271E51">
        <w:rPr>
          <w:rFonts w:ascii="Times New Roman" w:hAnsi="Times New Roman"/>
          <w:color w:val="0070C0"/>
          <w:sz w:val="16"/>
          <w:szCs w:val="16"/>
          <w:lang w:eastAsia="ru-RU" w:bidi="ru-RU"/>
        </w:rPr>
        <w:softHyphen/>
        <w:t>ностями поспешно выпускавшихся чер</w:t>
      </w:r>
      <w:r w:rsidRPr="00271E51">
        <w:rPr>
          <w:rFonts w:ascii="Times New Roman" w:hAnsi="Times New Roman"/>
          <w:color w:val="0070C0"/>
          <w:sz w:val="16"/>
          <w:szCs w:val="16"/>
          <w:lang w:eastAsia="ru-RU" w:bidi="ru-RU"/>
        </w:rPr>
        <w:softHyphen/>
        <w:t>тежей. Разумеется, это не вызывало вос</w:t>
      </w:r>
      <w:r w:rsidRPr="00271E51">
        <w:rPr>
          <w:rFonts w:ascii="Times New Roman" w:hAnsi="Times New Roman"/>
          <w:color w:val="0070C0"/>
          <w:sz w:val="16"/>
          <w:szCs w:val="16"/>
          <w:lang w:eastAsia="ru-RU" w:bidi="ru-RU"/>
        </w:rPr>
        <w:softHyphen/>
        <w:t>торга у военной приемки. Машины раз за разом возвращались на доработку. Хотя к Новому 1944 году изготовили 25 Ту-2 (включая четыре фактически лишь до</w:t>
      </w:r>
      <w:r w:rsidRPr="00271E51">
        <w:rPr>
          <w:rFonts w:ascii="Times New Roman" w:hAnsi="Times New Roman"/>
          <w:color w:val="0070C0"/>
          <w:sz w:val="16"/>
          <w:szCs w:val="16"/>
          <w:lang w:eastAsia="ru-RU" w:bidi="ru-RU"/>
        </w:rPr>
        <w:softHyphen/>
        <w:t>работанных бомбардировщика), только в декабре первые три самолета приняли для отправки в воинские части. Все ма</w:t>
      </w:r>
      <w:r w:rsidRPr="00271E51">
        <w:rPr>
          <w:rFonts w:ascii="Times New Roman" w:hAnsi="Times New Roman"/>
          <w:color w:val="0070C0"/>
          <w:sz w:val="16"/>
          <w:szCs w:val="16"/>
          <w:lang w:eastAsia="ru-RU" w:bidi="ru-RU"/>
        </w:rPr>
        <w:softHyphen/>
        <w:t>шины выпуска 1943 г. собирались из за</w:t>
      </w:r>
      <w:r w:rsidRPr="00271E51">
        <w:rPr>
          <w:rFonts w:ascii="Times New Roman" w:hAnsi="Times New Roman"/>
          <w:color w:val="0070C0"/>
          <w:sz w:val="16"/>
          <w:szCs w:val="16"/>
          <w:lang w:eastAsia="ru-RU" w:bidi="ru-RU"/>
        </w:rPr>
        <w:softHyphen/>
        <w:t>дела омского завода.</w:t>
      </w:r>
    </w:p>
    <w:p w14:paraId="33CBC5D4" w14:textId="77777777" w:rsidR="00A25090" w:rsidRPr="00271E51" w:rsidRDefault="00A25090"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Самолеты, изготовленные в Москве, имели другую систему обозначений, по</w:t>
      </w:r>
      <w:r w:rsidRPr="00271E51">
        <w:rPr>
          <w:rFonts w:ascii="Times New Roman" w:hAnsi="Times New Roman"/>
          <w:color w:val="0070C0"/>
          <w:sz w:val="16"/>
          <w:szCs w:val="16"/>
          <w:lang w:eastAsia="ru-RU" w:bidi="ru-RU"/>
        </w:rPr>
        <w:softHyphen/>
        <w:t>хожую на применявшуюся заводом №22. Номера самолета в серии и самой серии писались через дробь, например 12/5 - 12-й самолет 5-й серии (21060).</w:t>
      </w:r>
    </w:p>
    <w:p w14:paraId="2B712B96" w14:textId="77777777" w:rsidR="00A25090" w:rsidRPr="00271E51" w:rsidRDefault="00A25090" w:rsidP="00271E51">
      <w:pPr>
        <w:spacing w:after="0" w:line="240" w:lineRule="auto"/>
        <w:jc w:val="both"/>
        <w:rPr>
          <w:rFonts w:ascii="Times New Roman" w:hAnsi="Times New Roman"/>
          <w:color w:val="0070C0"/>
          <w:sz w:val="16"/>
          <w:szCs w:val="16"/>
        </w:rPr>
      </w:pPr>
    </w:p>
    <w:p w14:paraId="52DCBFDA" w14:textId="16496753"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в ЛИИ поступил ракетный перехватчик 302П в виде планера и его изучали при полетах за Ту-2 и Б-25. С.Н.Анохин оценивал хорошо. Продували в ЦАГИ (4,289).</w:t>
      </w:r>
    </w:p>
    <w:p w14:paraId="79B8E1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33E10"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течение августа 1943 шла «утряска» про</w:t>
      </w:r>
      <w:r w:rsidRPr="00271E51">
        <w:rPr>
          <w:rFonts w:ascii="Times New Roman" w:cs="Times New Roman"/>
          <w:color w:val="000000" w:themeColor="text1"/>
          <w:spacing w:val="0"/>
        </w:rPr>
        <w:softHyphen/>
        <w:t>ектных данных самолета ТИС (МА), состава воо</w:t>
      </w:r>
      <w:r w:rsidRPr="00271E51">
        <w:rPr>
          <w:rFonts w:ascii="Times New Roman" w:cs="Times New Roman"/>
          <w:color w:val="000000" w:themeColor="text1"/>
          <w:spacing w:val="0"/>
        </w:rPr>
        <w:softHyphen/>
        <w:t>ружения, компоновочных решений и т.д. Выполнялся «демонтаж самолета под модернизацию», переделывался фюзе</w:t>
      </w:r>
      <w:r w:rsidRPr="00271E51">
        <w:rPr>
          <w:rFonts w:ascii="Times New Roman" w:cs="Times New Roman"/>
          <w:color w:val="000000" w:themeColor="text1"/>
          <w:spacing w:val="0"/>
        </w:rPr>
        <w:softHyphen/>
        <w:t>ляж, изготавливались и монтировались моторные рамы под АМ-39, новые консо</w:t>
      </w:r>
      <w:r w:rsidRPr="00271E51">
        <w:rPr>
          <w:rFonts w:ascii="Times New Roman" w:cs="Times New Roman"/>
          <w:color w:val="000000" w:themeColor="text1"/>
          <w:spacing w:val="0"/>
        </w:rPr>
        <w:softHyphen/>
        <w:t>ли, носовая батарея пушек ШВАК. Ради</w:t>
      </w:r>
      <w:r w:rsidRPr="00271E51">
        <w:rPr>
          <w:rFonts w:ascii="Times New Roman" w:cs="Times New Roman"/>
          <w:color w:val="000000" w:themeColor="text1"/>
          <w:spacing w:val="0"/>
        </w:rPr>
        <w:softHyphen/>
        <w:t>аторы водяного охлаждения из мотогон</w:t>
      </w:r>
      <w:r w:rsidRPr="00271E51">
        <w:rPr>
          <w:rFonts w:ascii="Times New Roman" w:cs="Times New Roman"/>
          <w:color w:val="000000" w:themeColor="text1"/>
          <w:spacing w:val="0"/>
        </w:rPr>
        <w:softHyphen/>
        <w:t>дол перенесли в консольную часть крыла с воздухозаборниками в передней кром</w:t>
      </w:r>
      <w:r w:rsidRPr="00271E51">
        <w:rPr>
          <w:rFonts w:ascii="Times New Roman" w:cs="Times New Roman"/>
          <w:color w:val="000000" w:themeColor="text1"/>
          <w:spacing w:val="0"/>
        </w:rPr>
        <w:softHyphen/>
        <w:t>ке и выходными управляемыми створ</w:t>
      </w:r>
      <w:r w:rsidRPr="00271E51">
        <w:rPr>
          <w:rFonts w:ascii="Times New Roman" w:cs="Times New Roman"/>
          <w:color w:val="000000" w:themeColor="text1"/>
          <w:spacing w:val="0"/>
        </w:rPr>
        <w:softHyphen/>
        <w:t>ками на нижней поверхности консоли. Форма моторных гондол стала более со</w:t>
      </w:r>
      <w:r w:rsidRPr="00271E51">
        <w:rPr>
          <w:rFonts w:ascii="Times New Roman" w:cs="Times New Roman"/>
          <w:color w:val="000000" w:themeColor="text1"/>
          <w:spacing w:val="0"/>
        </w:rPr>
        <w:softHyphen/>
        <w:t>вершенной в аэродинамическом отно</w:t>
      </w:r>
      <w:r w:rsidRPr="00271E51">
        <w:rPr>
          <w:rFonts w:ascii="Times New Roman" w:cs="Times New Roman"/>
          <w:color w:val="000000" w:themeColor="text1"/>
          <w:spacing w:val="0"/>
        </w:rPr>
        <w:softHyphen/>
        <w:t>шении. По согласованию с военными де</w:t>
      </w:r>
      <w:r w:rsidRPr="00271E51">
        <w:rPr>
          <w:rFonts w:ascii="Times New Roman" w:cs="Times New Roman"/>
          <w:color w:val="000000" w:themeColor="text1"/>
          <w:spacing w:val="0"/>
        </w:rPr>
        <w:softHyphen/>
        <w:t>монтировали за ненадобностью люковую установку КЛУ-2 с пулеметом ШКАС (15758).</w:t>
      </w:r>
    </w:p>
    <w:p w14:paraId="2B60CE58"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p>
    <w:p w14:paraId="3BD8DA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после освобождения Харькова начали восстанавливать ХАЗ и стали ремонтировать Як-1, Як-7, Як-9 и Ла-5, а с ноября собирать Як-7 и Як-9 (553,216).</w:t>
      </w:r>
    </w:p>
    <w:p w14:paraId="093D03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4E76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B1D7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F1E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на завод 112 Красное Сормово прибыл нарком В.А.Малышев и маршал бронетанковых войск Я.Н.Федоренко и сказали, что победа в Курской битве досталась слишком дорого и на Т-34 надо ставить новую пушку (2118).</w:t>
      </w:r>
    </w:p>
    <w:p w14:paraId="12081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94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на танковый завод №112 прибыли нарком танкостроения В. А. Малышев, начальник ГБТУ маршал бронетанковых войск Я. Н. Федоренко и ответственные сотрудники наркомата вооружений. На совещании с руководителями завода Малышев сказал, победа в Курской битве досталась нам дорогой ценой. Неприятельские танки вели огонь по нашим с расстояния 1500 м., наши же 76-мм танковые пушки могли поразить "Тигров", "Пантер" на дистанции 500-600 м. "Образно выражаясь, - сказал нарком, - противник имеет руки в полтора километра, а мы всего в полкилометра. Нужно немедленно установить в Т-34 более мощную пушку." Примерно в это же время аналогичная задача в отношении тяжелых танков КВ была поставлена перед конструкторами ЧКЗ (3905).</w:t>
      </w:r>
    </w:p>
    <w:p w14:paraId="56D31B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FA6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г., то есть в самый разгар подготовки производ</w:t>
      </w:r>
      <w:r w:rsidRPr="00271E51">
        <w:rPr>
          <w:rFonts w:ascii="Times New Roman" w:hAnsi="Times New Roman"/>
          <w:color w:val="000000" w:themeColor="text1"/>
          <w:sz w:val="16"/>
          <w:szCs w:val="16"/>
        </w:rPr>
        <w:softHyphen/>
        <w:t>ства танков ИС на ЧКЗ, его директор И.М. Зальцман и главный инже</w:t>
      </w:r>
      <w:r w:rsidRPr="00271E51">
        <w:rPr>
          <w:rFonts w:ascii="Times New Roman" w:hAnsi="Times New Roman"/>
          <w:color w:val="000000" w:themeColor="text1"/>
          <w:sz w:val="16"/>
          <w:szCs w:val="16"/>
        </w:rPr>
        <w:softHyphen/>
        <w:t>нер завода С.Н. Махонин представили в ГКО проект нового тяжелого танка, созданного на базе танка КВ-1С, с предложением начать его про</w:t>
      </w:r>
      <w:r w:rsidRPr="00271E51">
        <w:rPr>
          <w:rFonts w:ascii="Times New Roman" w:hAnsi="Times New Roman"/>
          <w:color w:val="000000" w:themeColor="text1"/>
          <w:sz w:val="16"/>
          <w:szCs w:val="16"/>
        </w:rPr>
        <w:softHyphen/>
        <w:t>изводство. Проектом предусматривалось увеличение до 90 мм толщины броневых листов корпуса и до 100 мм толщины стенок башни. Но так как в проекте предусматривалось полное использование агрегатов, трансмиссии и ходовой части серийного танка КБ-1С, без серьезных их улучшений, а сам проект на рассмотрение в НКТП был представлен в эскизном и недоработанном виде, то уже на первом этапе он был откло</w:t>
      </w:r>
      <w:r w:rsidRPr="00271E51">
        <w:rPr>
          <w:rFonts w:ascii="Times New Roman" w:hAnsi="Times New Roman"/>
          <w:color w:val="000000" w:themeColor="text1"/>
          <w:sz w:val="16"/>
          <w:szCs w:val="16"/>
        </w:rPr>
        <w:softHyphen/>
        <w:t>нен. В приказе от 26 августа 1943 г. нарком танковой промышленности В.А. Малышев обязал директора Кировского завода И.М. Зальцмана, главного инженера завода С.Н. Махонина, главного конструктора Н.Л. Духова и главного технолога С.А. Хаита немедленно сосредоточить все силы конструкторов и технологов Кировского завода на подготовке производства танка ИС.(10703).</w:t>
      </w:r>
    </w:p>
    <w:p w14:paraId="025E36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C325D" w14:textId="77777777" w:rsidR="00800387" w:rsidRPr="00271E51" w:rsidRDefault="00800387"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hAnsi="Times New Roman"/>
          <w:color w:val="000000" w:themeColor="text1"/>
          <w:sz w:val="16"/>
          <w:szCs w:val="16"/>
        </w:rPr>
        <w:lastRenderedPageBreak/>
        <w:t>В конце августа 1943 года, как и предписывало постановление ГКО, на УЗТМ началась сборка СУ-85. 26 числа две машины из числа собранных поступили на испытания. Планировалось произвести по 200 выстрелов из каждого орудия, но на практике из орудия №105 выстрелили 251 раз, а из орудия №11 — 300 раз. Испытания стрельбой орудия выдержали, хотя имелись претензии к подвижной бронировке (17719),</w:t>
      </w:r>
    </w:p>
    <w:p w14:paraId="4D3508FB" w14:textId="77777777" w:rsidR="00800387" w:rsidRPr="00271E51" w:rsidRDefault="00800387" w:rsidP="00271E51">
      <w:pPr>
        <w:pStyle w:val="12a"/>
        <w:shd w:val="clear" w:color="auto" w:fill="auto"/>
        <w:spacing w:after="0" w:line="240" w:lineRule="auto"/>
        <w:jc w:val="both"/>
        <w:rPr>
          <w:color w:val="000000" w:themeColor="text1"/>
          <w:sz w:val="16"/>
          <w:szCs w:val="16"/>
        </w:rPr>
      </w:pPr>
    </w:p>
    <w:p w14:paraId="06A665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г. появились первые факты боевого приме</w:t>
      </w:r>
      <w:r w:rsidRPr="00271E51">
        <w:rPr>
          <w:rFonts w:ascii="Times New Roman" w:hAnsi="Times New Roman"/>
          <w:color w:val="000000" w:themeColor="text1"/>
          <w:sz w:val="16"/>
          <w:szCs w:val="16"/>
        </w:rPr>
        <w:softHyphen/>
        <w:t>нения полка СУ-85 в составе 2-го Украинского фронта, где они впервые вступили в бои с немцами в ходе борьбы за плацдармы на Днепре (11417).</w:t>
      </w:r>
    </w:p>
    <w:p w14:paraId="387E3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7ADD6" w14:textId="77777777" w:rsidR="00657F47" w:rsidRPr="00271E51" w:rsidRDefault="0065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августа 1943 года, когда стало ясно, что </w:t>
      </w:r>
      <w:hyperlink r:id="rId84" w:history="1">
        <w:r w:rsidRPr="00271E51">
          <w:rPr>
            <w:rStyle w:val="a5"/>
            <w:rFonts w:ascii="Times New Roman" w:hAnsi="Times New Roman"/>
            <w:color w:val="000000" w:themeColor="text1"/>
            <w:sz w:val="16"/>
            <w:szCs w:val="16"/>
            <w:u w:val="none"/>
          </w:rPr>
          <w:t>Объект 237</w:t>
        </w:r>
      </w:hyperlink>
      <w:r w:rsidRPr="00271E51">
        <w:rPr>
          <w:rFonts w:ascii="Times New Roman" w:hAnsi="Times New Roman"/>
          <w:color w:val="000000" w:themeColor="text1"/>
          <w:sz w:val="16"/>
          <w:szCs w:val="16"/>
        </w:rPr>
        <w:t> получился, на заводе №100 начались работы по проектированию ИС-152. Работу по теме на заводе №100 возглавил А.С. Ермолаев, а ведущим инженером стал Г.Н. Москвин, обладавший большим опытом работ над тяжёлыми танками и САУ на их базе. В группу проектировщиков вошли конструкторы Е.П. Дедов и А.С. Шнейдман, которые, как и Москвин, работали на Кировском заводе ещё во времена проектирования танка КВ. Со стороны Уральского завода тяжёлого машиностроения (УЗТМ) проектирование установки вооружения велось под руководством К.Н. Ильина, также имевшего большой опыт разработки самоходных артиллерийских систем.</w:t>
      </w:r>
    </w:p>
    <w:p w14:paraId="1374D6F1" w14:textId="77777777" w:rsidR="00657F47" w:rsidRPr="00271E51" w:rsidRDefault="0065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разработке новой самоходной установки учитывался опыт проектирования и эксплуатации СУ-152. Боевое отделение ИС-152 удалось сделать чуть более просторным. Для этого пришлось отказаться от наклонного кормового листа рубки и изменить конфигурацию бортовых листов. Их угол наклона уменьшился с 25 до 15 градусов. Задние бортовые листы стали более длинными, что тоже позволило выкроить немного свободного места. Топливный бак перенесли с правого борта в переднюю левую часть боевого отделения, слева от механика-водителя. Решение довольно странное, но места бак стал занимать меньше. Перенос бака сделал удобнее работу командира и замкового.</w:t>
      </w:r>
    </w:p>
    <w:p w14:paraId="04669A1F" w14:textId="77777777" w:rsidR="00657F47" w:rsidRPr="00271E51" w:rsidRDefault="00657F4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индекса ИС-152, машине присвоили чертёжный индекс 241. В переписке она обозначалась и как Объект 241. К 11 сентября 1943 года были готовы чертежи 14 групп из 45, параллельно шёл отбор деталей, ранее изготовленных для танков ИС. Производство деталей для самоходной установки предполагалось закончить к 25 сентября (18171).</w:t>
      </w:r>
    </w:p>
    <w:p w14:paraId="6F333E12" w14:textId="77777777" w:rsidR="00657F47" w:rsidRPr="00271E51" w:rsidRDefault="00657F47" w:rsidP="00271E51">
      <w:pPr>
        <w:spacing w:after="0" w:line="240" w:lineRule="auto"/>
        <w:jc w:val="both"/>
        <w:rPr>
          <w:rFonts w:ascii="Times New Roman" w:hAnsi="Times New Roman"/>
          <w:color w:val="000000" w:themeColor="text1"/>
          <w:sz w:val="16"/>
          <w:szCs w:val="16"/>
        </w:rPr>
      </w:pPr>
    </w:p>
    <w:p w14:paraId="1BE13C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последние дни августа 1943 г. состоялось заседание Го</w:t>
      </w:r>
      <w:r w:rsidRPr="00271E51">
        <w:rPr>
          <w:rFonts w:ascii="Times New Roman" w:hAnsi="Times New Roman"/>
          <w:color w:val="000000" w:themeColor="text1"/>
          <w:sz w:val="16"/>
          <w:szCs w:val="16"/>
        </w:rPr>
        <w:softHyphen/>
        <w:t>сударственного комитета обороны (ГКО), которое иниции</w:t>
      </w:r>
      <w:r w:rsidRPr="00271E51">
        <w:rPr>
          <w:rFonts w:ascii="Times New Roman" w:hAnsi="Times New Roman"/>
          <w:color w:val="000000" w:themeColor="text1"/>
          <w:sz w:val="16"/>
          <w:szCs w:val="16"/>
        </w:rPr>
        <w:softHyphen/>
        <w:t>ровало процесс подведения некоторых итогов Курской бит</w:t>
      </w:r>
      <w:r w:rsidRPr="00271E51">
        <w:rPr>
          <w:rFonts w:ascii="Times New Roman" w:hAnsi="Times New Roman"/>
          <w:color w:val="000000" w:themeColor="text1"/>
          <w:sz w:val="16"/>
          <w:szCs w:val="16"/>
        </w:rPr>
        <w:softHyphen/>
        <w:t>вы. Фактически этот процесс состоял из двух больших час</w:t>
      </w:r>
      <w:r w:rsidRPr="00271E51">
        <w:rPr>
          <w:rFonts w:ascii="Times New Roman" w:hAnsi="Times New Roman"/>
          <w:color w:val="000000" w:themeColor="text1"/>
          <w:sz w:val="16"/>
          <w:szCs w:val="16"/>
        </w:rPr>
        <w:softHyphen/>
        <w:t>тей — анализа немецких новинок и рассмотрения положе</w:t>
      </w:r>
      <w:r w:rsidRPr="00271E51">
        <w:rPr>
          <w:rFonts w:ascii="Times New Roman" w:hAnsi="Times New Roman"/>
          <w:color w:val="000000" w:themeColor="text1"/>
          <w:sz w:val="16"/>
          <w:szCs w:val="16"/>
        </w:rPr>
        <w:softHyphen/>
        <w:t>ния вещей в Красной Армии, включая действия наших тан</w:t>
      </w:r>
      <w:r w:rsidRPr="00271E51">
        <w:rPr>
          <w:rFonts w:ascii="Times New Roman" w:hAnsi="Times New Roman"/>
          <w:color w:val="000000" w:themeColor="text1"/>
          <w:sz w:val="16"/>
          <w:szCs w:val="16"/>
        </w:rPr>
        <w:softHyphen/>
        <w:t>ковых и противотанковых частей и соединений.</w:t>
      </w:r>
    </w:p>
    <w:p w14:paraId="2ACEDC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Одним из главных моментов при оценке материальной части немецких танковых войск на заседании ГКО прозву</w:t>
      </w:r>
      <w:r w:rsidRPr="00271E51">
        <w:rPr>
          <w:rFonts w:ascii="Times New Roman" w:hAnsi="Times New Roman"/>
          <w:color w:val="000000" w:themeColor="text1"/>
          <w:sz w:val="16"/>
          <w:szCs w:val="16"/>
        </w:rPr>
        <w:softHyphen/>
        <w:t>чал доклад маршала Н. Воронова, кратко описавшего все не</w:t>
      </w:r>
      <w:r w:rsidRPr="00271E51">
        <w:rPr>
          <w:rFonts w:ascii="Times New Roman" w:hAnsi="Times New Roman"/>
          <w:color w:val="000000" w:themeColor="text1"/>
          <w:sz w:val="16"/>
          <w:szCs w:val="16"/>
        </w:rPr>
        <w:softHyphen/>
        <w:t>мецкие новинки, с которыми довелось встретиться в июльских боях советским артиллеристам и танковым войскам.</w:t>
      </w:r>
    </w:p>
    <w:p w14:paraId="5CFA46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Наибольшее внимание в этом докладе, как и весной, уде</w:t>
      </w:r>
      <w:r w:rsidRPr="00271E51">
        <w:rPr>
          <w:rFonts w:ascii="Times New Roman" w:hAnsi="Times New Roman"/>
          <w:color w:val="000000" w:themeColor="text1"/>
          <w:sz w:val="16"/>
          <w:szCs w:val="16"/>
        </w:rPr>
        <w:softHyphen/>
        <w:t>лялось тяжелому танку «Тигр». Но немало эмоций досталось также на долю танка «Пантера», модернизированных «троек» и «четверок», тяжелого штурмового орудия «Фердинанд» и нескольких других образцов самоходной артиллерии.</w:t>
      </w:r>
    </w:p>
    <w:p w14:paraId="087E9A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Проведенное немцами в 1942-1943 гг. перевооружение Воронов оценил очень высоко, признав при этом, что су</w:t>
      </w:r>
      <w:r w:rsidRPr="00271E51">
        <w:rPr>
          <w:rFonts w:ascii="Times New Roman" w:hAnsi="Times New Roman"/>
          <w:color w:val="000000" w:themeColor="text1"/>
          <w:sz w:val="16"/>
          <w:szCs w:val="16"/>
        </w:rPr>
        <w:softHyphen/>
        <w:t>ществующая советская противотанковая артиллерия в ос</w:t>
      </w:r>
      <w:r w:rsidRPr="00271E51">
        <w:rPr>
          <w:rFonts w:ascii="Times New Roman" w:hAnsi="Times New Roman"/>
          <w:color w:val="000000" w:themeColor="text1"/>
          <w:sz w:val="16"/>
          <w:szCs w:val="16"/>
        </w:rPr>
        <w:softHyphen/>
        <w:t>новной массе своей не способна бороться с новыми тяже</w:t>
      </w:r>
      <w:r w:rsidRPr="00271E51">
        <w:rPr>
          <w:rFonts w:ascii="Times New Roman" w:hAnsi="Times New Roman"/>
          <w:color w:val="000000" w:themeColor="text1"/>
          <w:sz w:val="16"/>
          <w:szCs w:val="16"/>
        </w:rPr>
        <w:softHyphen/>
        <w:t>лыми танками и штурмовыми орудиями на дальности дей</w:t>
      </w:r>
      <w:r w:rsidRPr="00271E51">
        <w:rPr>
          <w:rFonts w:ascii="Times New Roman" w:hAnsi="Times New Roman"/>
          <w:color w:val="000000" w:themeColor="text1"/>
          <w:sz w:val="16"/>
          <w:szCs w:val="16"/>
        </w:rPr>
        <w:softHyphen/>
        <w:t>ствительного огня (600—1200 м).</w:t>
      </w:r>
    </w:p>
    <w:p w14:paraId="7BFB16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Получивший слово нарком вооружений Д. Устинов до</w:t>
      </w:r>
      <w:r w:rsidRPr="00271E51">
        <w:rPr>
          <w:rFonts w:ascii="Times New Roman" w:hAnsi="Times New Roman"/>
          <w:color w:val="000000" w:themeColor="text1"/>
          <w:sz w:val="16"/>
          <w:szCs w:val="16"/>
        </w:rPr>
        <w:softHyphen/>
        <w:t>ложил, что для противодействия «Тигру» уже выпускается 57-мм противотанковая пушка и ее танковый вариант, а также начаты работы по освоению полевых, танковых и са</w:t>
      </w:r>
      <w:r w:rsidRPr="00271E51">
        <w:rPr>
          <w:rFonts w:ascii="Times New Roman" w:hAnsi="Times New Roman"/>
          <w:color w:val="000000" w:themeColor="text1"/>
          <w:sz w:val="16"/>
          <w:szCs w:val="16"/>
        </w:rPr>
        <w:softHyphen/>
        <w:t>моходных 85-мм орудий.</w:t>
      </w:r>
    </w:p>
    <w:p w14:paraId="6AADE1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Оценивая на том же заседании немецкие танковые и противотанковые орудия, командующий бронетанковыми войсками Красной Армии генерал-полковник Н. Федоренко отметил, что «появление на поле боя 88-мм противотанковой и штурмовой пушек обр. 1943 г. делает броневую защиту всех имеющихся в Советской армии и перспективных танков и само</w:t>
      </w:r>
      <w:r w:rsidRPr="00271E51">
        <w:rPr>
          <w:rFonts w:ascii="Times New Roman" w:hAnsi="Times New Roman"/>
          <w:color w:val="000000" w:themeColor="text1"/>
          <w:sz w:val="16"/>
          <w:szCs w:val="16"/>
        </w:rPr>
        <w:softHyphen/>
        <w:t>ходных орудий проницаемой». К сожалению, полный текст за</w:t>
      </w:r>
      <w:r w:rsidRPr="00271E51">
        <w:rPr>
          <w:rFonts w:ascii="Times New Roman" w:hAnsi="Times New Roman"/>
          <w:color w:val="000000" w:themeColor="text1"/>
          <w:sz w:val="16"/>
          <w:szCs w:val="16"/>
        </w:rPr>
        <w:softHyphen/>
        <w:t>седания автор обнаружил, а имеющиеся ссылки на его стено</w:t>
      </w:r>
      <w:r w:rsidRPr="00271E51">
        <w:rPr>
          <w:rFonts w:ascii="Times New Roman" w:hAnsi="Times New Roman"/>
          <w:color w:val="000000" w:themeColor="text1"/>
          <w:sz w:val="16"/>
          <w:szCs w:val="16"/>
        </w:rPr>
        <w:softHyphen/>
        <w:t>грамму не отражают вывода, сделанного руководством ГКО.</w:t>
      </w:r>
    </w:p>
    <w:p w14:paraId="2BC2BC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окончании заседания ГКО НКТП открыл ряд тем по изучению передовых образцов немецкой бронетанковой тех</w:t>
      </w:r>
      <w:r w:rsidRPr="00271E51">
        <w:rPr>
          <w:rFonts w:ascii="Times New Roman" w:hAnsi="Times New Roman"/>
          <w:color w:val="000000" w:themeColor="text1"/>
          <w:sz w:val="16"/>
          <w:szCs w:val="16"/>
        </w:rPr>
        <w:softHyphen/>
        <w:t>ники. Причем ОГК НКТП под руководством нового началь</w:t>
      </w:r>
      <w:r w:rsidRPr="00271E51">
        <w:rPr>
          <w:rFonts w:ascii="Times New Roman" w:hAnsi="Times New Roman"/>
          <w:color w:val="000000" w:themeColor="text1"/>
          <w:sz w:val="16"/>
          <w:szCs w:val="16"/>
        </w:rPr>
        <w:softHyphen/>
        <w:t>ника И. Бера (назначенного вместо погибшего С. Гинзбурга) совместно с НИБТполигоном ГБТУ вели изучение МТО и ходовых частей немецких танков и САУ, НИИ-48 совместно с техотделом НКБ исследовали броневую защиту и методы борьбы с нею, а техуправление НКВ совместно с НИИ-13 и ЦАКБ самым внимательным образом исследовали артилле</w:t>
      </w:r>
      <w:r w:rsidRPr="00271E51">
        <w:rPr>
          <w:rFonts w:ascii="Times New Roman" w:hAnsi="Times New Roman"/>
          <w:color w:val="000000" w:themeColor="text1"/>
          <w:sz w:val="16"/>
          <w:szCs w:val="16"/>
        </w:rPr>
        <w:softHyphen/>
        <w:t>рийское вооружение новых немецких танков и САУ (11135).</w:t>
      </w:r>
    </w:p>
    <w:p w14:paraId="68D529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Памятуя, что немецкая броня всегда отличалась высо</w:t>
      </w:r>
      <w:r w:rsidRPr="00271E51">
        <w:rPr>
          <w:rFonts w:ascii="Times New Roman" w:hAnsi="Times New Roman"/>
          <w:color w:val="000000" w:themeColor="text1"/>
          <w:sz w:val="16"/>
          <w:szCs w:val="16"/>
        </w:rPr>
        <w:softHyphen/>
        <w:t>ким качеством, сотрудники НИИ-48 внимательно иссле</w:t>
      </w:r>
      <w:r w:rsidRPr="00271E51">
        <w:rPr>
          <w:rFonts w:ascii="Times New Roman" w:hAnsi="Times New Roman"/>
          <w:color w:val="000000" w:themeColor="text1"/>
          <w:sz w:val="16"/>
          <w:szCs w:val="16"/>
        </w:rPr>
        <w:softHyphen/>
        <w:t>довали состав брони новых немецких танков и методы ее усиления у танков, прошедших модернизацию.</w:t>
      </w:r>
    </w:p>
    <w:p w14:paraId="54A525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говорилось, наибольшее внимание было уделе</w:t>
      </w:r>
      <w:r w:rsidRPr="00271E51">
        <w:rPr>
          <w:rFonts w:ascii="Times New Roman" w:hAnsi="Times New Roman"/>
          <w:color w:val="000000" w:themeColor="text1"/>
          <w:sz w:val="16"/>
          <w:szCs w:val="16"/>
        </w:rPr>
        <w:softHyphen/>
        <w:t>но .тяжелому танку «Тигр». В отчете по его обстрелу указы</w:t>
      </w:r>
      <w:r w:rsidRPr="00271E51">
        <w:rPr>
          <w:rFonts w:ascii="Times New Roman" w:hAnsi="Times New Roman"/>
          <w:color w:val="000000" w:themeColor="text1"/>
          <w:sz w:val="16"/>
          <w:szCs w:val="16"/>
        </w:rPr>
        <w:softHyphen/>
        <w:t>валось: «...в настоящее время изучению подвергнуты 5 танков типа Т-УШ «Тигр», обнаруженные на полях боев в районе Орловско-Курской дуги... Всего в броне указанных танков об</w:t>
      </w:r>
      <w:r w:rsidRPr="00271E51">
        <w:rPr>
          <w:rFonts w:ascii="Times New Roman" w:hAnsi="Times New Roman"/>
          <w:color w:val="000000" w:themeColor="text1"/>
          <w:sz w:val="16"/>
          <w:szCs w:val="16"/>
        </w:rPr>
        <w:softHyphen/>
        <w:t>наружено 8 пробоин, среди которых 3 калибра 122-мм, 3 ка</w:t>
      </w:r>
      <w:r w:rsidRPr="00271E51">
        <w:rPr>
          <w:rFonts w:ascii="Times New Roman" w:hAnsi="Times New Roman"/>
          <w:color w:val="000000" w:themeColor="text1"/>
          <w:sz w:val="16"/>
          <w:szCs w:val="16"/>
        </w:rPr>
        <w:softHyphen/>
        <w:t>либра 85-мм, одна калибра 76-мм и одна сделана снарядом не</w:t>
      </w:r>
      <w:r w:rsidRPr="00271E51">
        <w:rPr>
          <w:rFonts w:ascii="Times New Roman" w:hAnsi="Times New Roman"/>
          <w:color w:val="000000" w:themeColor="text1"/>
          <w:sz w:val="16"/>
          <w:szCs w:val="16"/>
        </w:rPr>
        <w:softHyphen/>
        <w:t>установленного калибра... При этом в лобовой части и бортах корпуса и башень танков обнаружено 39 неопасных пораже</w:t>
      </w:r>
      <w:r w:rsidRPr="00271E51">
        <w:rPr>
          <w:rFonts w:ascii="Times New Roman" w:hAnsi="Times New Roman"/>
          <w:color w:val="000000" w:themeColor="text1"/>
          <w:sz w:val="16"/>
          <w:szCs w:val="16"/>
        </w:rPr>
        <w:softHyphen/>
        <w:t>ний калибра 45 и 76-мм глубиною до 55 мм». Что позволило исследователям сделать такой вывод: «Броневая защита танка Т-УШ «Тигр» отличается высокой прочностью и прак</w:t>
      </w:r>
      <w:r w:rsidRPr="00271E51">
        <w:rPr>
          <w:rFonts w:ascii="Times New Roman" w:hAnsi="Times New Roman"/>
          <w:color w:val="000000" w:themeColor="text1"/>
          <w:sz w:val="16"/>
          <w:szCs w:val="16"/>
        </w:rPr>
        <w:softHyphen/>
        <w:t>тически неуязвима для орудий противотанковой артиллерии калибра 45-мм и 76-мм». Обстрел танка «Тигр» на полигоне продемонстрировал следующее: «Для борьбы с тяжелым танком Т-У1 «Тигр» пригодно 85-мм противотанковое орудие обр. 1941 г. или аналогичное. Огонь вести по лоб. проекции с дистанции до 800м, или в борт с диет. 1300-1500м бронебой</w:t>
      </w:r>
      <w:r w:rsidRPr="00271E51">
        <w:rPr>
          <w:rFonts w:ascii="Times New Roman" w:hAnsi="Times New Roman"/>
          <w:color w:val="000000" w:themeColor="text1"/>
          <w:sz w:val="16"/>
          <w:szCs w:val="16"/>
        </w:rPr>
        <w:softHyphen/>
        <w:t>ным остроголовым снарядом. 76-мм дивизионное и противотанковое орудие обр. 1942г., или танковую пушку обр. 1940 г. возможно применять только против бортов танка «Тигр» на дальности 50-100м бронебой</w:t>
      </w:r>
      <w:r w:rsidRPr="00271E51">
        <w:rPr>
          <w:rFonts w:ascii="Times New Roman" w:hAnsi="Times New Roman"/>
          <w:color w:val="000000" w:themeColor="text1"/>
          <w:sz w:val="16"/>
          <w:szCs w:val="16"/>
        </w:rPr>
        <w:softHyphen/>
        <w:t>ным снарядом БР-350БСП, или 76-мм бронебойным катушеч</w:t>
      </w:r>
      <w:r w:rsidRPr="00271E51">
        <w:rPr>
          <w:rFonts w:ascii="Times New Roman" w:hAnsi="Times New Roman"/>
          <w:color w:val="000000" w:themeColor="text1"/>
          <w:sz w:val="16"/>
          <w:szCs w:val="16"/>
        </w:rPr>
        <w:softHyphen/>
        <w:t>ным боеприпасам на дальности до 400м.</w:t>
      </w:r>
    </w:p>
    <w:p w14:paraId="5E99CD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Применение 57-мм противотанковой или танковой пушки обр 1943 г. возможно против бортов танка « Тигр» бронебойным снарядом на всех дальностях стрельбы; против лобовой брони катушечным боеприпасам с расстояния, по-видимому, до 600м.</w:t>
      </w:r>
    </w:p>
    <w:p w14:paraId="4D668C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45-мм противотанковую пушку обр. 1942 г. и обр 1937 г. применять только для стрельбы по бортам танка «Тигр» под-калиберным катушечным боеприпасам с диет, не свыше 300м...</w:t>
      </w:r>
    </w:p>
    <w:p w14:paraId="7237F9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Бронебойные ружья неэффективны, помогут применять</w:t>
      </w:r>
      <w:r w:rsidRPr="00271E51">
        <w:rPr>
          <w:rFonts w:ascii="Times New Roman" w:hAnsi="Times New Roman"/>
          <w:color w:val="000000" w:themeColor="text1"/>
          <w:sz w:val="16"/>
          <w:szCs w:val="16"/>
        </w:rPr>
        <w:softHyphen/>
        <w:t>ся для обстрела ствола орудия, ведения прицельного огня по приборам прицеливания, командирской башенке и пулемет</w:t>
      </w:r>
      <w:r w:rsidRPr="00271E51">
        <w:rPr>
          <w:rFonts w:ascii="Times New Roman" w:hAnsi="Times New Roman"/>
          <w:color w:val="000000" w:themeColor="text1"/>
          <w:sz w:val="16"/>
          <w:szCs w:val="16"/>
        </w:rPr>
        <w:softHyphen/>
        <w:t>ным амбразурам танка с малой дистанции..»</w:t>
      </w:r>
    </w:p>
    <w:p w14:paraId="686487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 танка «Пантера» оказалось слабее: «Представителями НИИ-48 было изучено 9 танков «Пан</w:t>
      </w:r>
      <w:r w:rsidRPr="00271E51">
        <w:rPr>
          <w:rFonts w:ascii="Times New Roman" w:hAnsi="Times New Roman"/>
          <w:color w:val="000000" w:themeColor="text1"/>
          <w:sz w:val="16"/>
          <w:szCs w:val="16"/>
        </w:rPr>
        <w:softHyphen/>
        <w:t>тера», найденных южнее Курска. Все танки имеют снарядные поражения, распределенные следующим образом: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0"/>
        <w:gridCol w:w="816"/>
        <w:gridCol w:w="413"/>
        <w:gridCol w:w="1210"/>
        <w:gridCol w:w="566"/>
        <w:gridCol w:w="816"/>
        <w:gridCol w:w="384"/>
      </w:tblGrid>
      <w:tr w:rsidR="00A907A5" w:rsidRPr="00271E51" w14:paraId="4CBB8B64" w14:textId="77777777" w:rsidTr="00ED5B0A">
        <w:trPr>
          <w:trHeight w:val="230"/>
        </w:trPr>
        <w:tc>
          <w:tcPr>
            <w:tcW w:w="960" w:type="dxa"/>
            <w:tcBorders>
              <w:top w:val="single" w:sz="12" w:space="0" w:color="auto"/>
            </w:tcBorders>
          </w:tcPr>
          <w:p w14:paraId="73A548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26D129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 лоб.</w:t>
            </w:r>
          </w:p>
        </w:tc>
        <w:tc>
          <w:tcPr>
            <w:tcW w:w="413" w:type="dxa"/>
            <w:tcBorders>
              <w:top w:val="single" w:sz="12" w:space="0" w:color="auto"/>
            </w:tcBorders>
          </w:tcPr>
          <w:p w14:paraId="4132B9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w:t>
            </w:r>
          </w:p>
        </w:tc>
        <w:tc>
          <w:tcPr>
            <w:tcW w:w="1210" w:type="dxa"/>
            <w:tcBorders>
              <w:top w:val="single" w:sz="12" w:space="0" w:color="auto"/>
            </w:tcBorders>
          </w:tcPr>
          <w:p w14:paraId="520C93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лоб. Подкрылки</w:t>
            </w:r>
          </w:p>
        </w:tc>
        <w:tc>
          <w:tcPr>
            <w:tcW w:w="566" w:type="dxa"/>
            <w:tcBorders>
              <w:top w:val="single" w:sz="12" w:space="0" w:color="auto"/>
            </w:tcBorders>
          </w:tcPr>
          <w:p w14:paraId="478286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w:t>
            </w:r>
          </w:p>
        </w:tc>
        <w:tc>
          <w:tcPr>
            <w:tcW w:w="816" w:type="dxa"/>
            <w:tcBorders>
              <w:top w:val="single" w:sz="12" w:space="0" w:color="auto"/>
            </w:tcBorders>
          </w:tcPr>
          <w:p w14:paraId="757E7F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w:t>
            </w:r>
          </w:p>
        </w:tc>
        <w:tc>
          <w:tcPr>
            <w:tcW w:w="384" w:type="dxa"/>
            <w:tcBorders>
              <w:top w:val="single" w:sz="12" w:space="0" w:color="auto"/>
            </w:tcBorders>
          </w:tcPr>
          <w:p w14:paraId="10EC1A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Ип</w:t>
            </w:r>
          </w:p>
        </w:tc>
      </w:tr>
      <w:tr w:rsidR="00A907A5" w:rsidRPr="00271E51" w14:paraId="3C602DCE" w14:textId="77777777" w:rsidTr="00ED5B0A">
        <w:trPr>
          <w:trHeight w:val="230"/>
        </w:trPr>
        <w:tc>
          <w:tcPr>
            <w:tcW w:w="960" w:type="dxa"/>
          </w:tcPr>
          <w:p w14:paraId="51DF6AF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Толщина, мм</w:t>
            </w:r>
          </w:p>
        </w:tc>
        <w:tc>
          <w:tcPr>
            <w:tcW w:w="816" w:type="dxa"/>
          </w:tcPr>
          <w:p w14:paraId="03179E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82-84</w:t>
            </w:r>
          </w:p>
        </w:tc>
        <w:tc>
          <w:tcPr>
            <w:tcW w:w="413" w:type="dxa"/>
          </w:tcPr>
          <w:p w14:paraId="3C2E88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w:t>
            </w:r>
          </w:p>
        </w:tc>
        <w:tc>
          <w:tcPr>
            <w:tcW w:w="1210" w:type="dxa"/>
          </w:tcPr>
          <w:p w14:paraId="6043A8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566" w:type="dxa"/>
          </w:tcPr>
          <w:p w14:paraId="1EA20B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816" w:type="dxa"/>
          </w:tcPr>
          <w:p w14:paraId="4993E7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384" w:type="dxa"/>
          </w:tcPr>
          <w:p w14:paraId="4A33B2D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D80861" w14:textId="77777777" w:rsidTr="00ED5B0A">
        <w:trPr>
          <w:trHeight w:val="250"/>
        </w:trPr>
        <w:tc>
          <w:tcPr>
            <w:tcW w:w="960" w:type="dxa"/>
          </w:tcPr>
          <w:p w14:paraId="50CA19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4511D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Pr>
          <w:p w14:paraId="66DDA6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05032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85-мм бронеб.</w:t>
            </w:r>
          </w:p>
        </w:tc>
        <w:tc>
          <w:tcPr>
            <w:tcW w:w="566" w:type="dxa"/>
          </w:tcPr>
          <w:p w14:paraId="7FA8C2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83687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2F0333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B109F5" w14:textId="77777777" w:rsidTr="00ED5B0A">
        <w:trPr>
          <w:trHeight w:val="230"/>
        </w:trPr>
        <w:tc>
          <w:tcPr>
            <w:tcW w:w="960" w:type="dxa"/>
          </w:tcPr>
          <w:p w14:paraId="02C644C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Попаданий</w:t>
            </w:r>
          </w:p>
        </w:tc>
        <w:tc>
          <w:tcPr>
            <w:tcW w:w="816" w:type="dxa"/>
          </w:tcPr>
          <w:p w14:paraId="0B499A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413" w:type="dxa"/>
          </w:tcPr>
          <w:p w14:paraId="21C484C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210" w:type="dxa"/>
          </w:tcPr>
          <w:p w14:paraId="0B2618F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566" w:type="dxa"/>
          </w:tcPr>
          <w:p w14:paraId="4F9817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18C4BD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4" w:type="dxa"/>
          </w:tcPr>
          <w:p w14:paraId="4EA901A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53F08E46" w14:textId="77777777" w:rsidTr="00ED5B0A">
        <w:trPr>
          <w:trHeight w:val="250"/>
        </w:trPr>
        <w:tc>
          <w:tcPr>
            <w:tcW w:w="960" w:type="dxa"/>
          </w:tcPr>
          <w:p w14:paraId="56D7CE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Пробоин</w:t>
            </w:r>
          </w:p>
        </w:tc>
        <w:tc>
          <w:tcPr>
            <w:tcW w:w="816" w:type="dxa"/>
          </w:tcPr>
          <w:p w14:paraId="30283D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3" w:type="dxa"/>
          </w:tcPr>
          <w:p w14:paraId="12BF73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210" w:type="dxa"/>
          </w:tcPr>
          <w:p w14:paraId="55C405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566" w:type="dxa"/>
          </w:tcPr>
          <w:p w14:paraId="5C258E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27E13F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4" w:type="dxa"/>
          </w:tcPr>
          <w:p w14:paraId="07549B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r>
      <w:tr w:rsidR="00A907A5" w:rsidRPr="00271E51" w14:paraId="26F2D4E5" w14:textId="77777777" w:rsidTr="00ED5B0A">
        <w:trPr>
          <w:trHeight w:val="240"/>
        </w:trPr>
        <w:tc>
          <w:tcPr>
            <w:tcW w:w="960" w:type="dxa"/>
          </w:tcPr>
          <w:p w14:paraId="4E8F061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FE8B6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Pr>
          <w:p w14:paraId="7DBEB2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7E079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76-мм бронеб.</w:t>
            </w:r>
          </w:p>
        </w:tc>
        <w:tc>
          <w:tcPr>
            <w:tcW w:w="566" w:type="dxa"/>
          </w:tcPr>
          <w:p w14:paraId="19913E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40DABC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4B84210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F9AA1A3" w14:textId="77777777" w:rsidTr="00ED5B0A">
        <w:trPr>
          <w:trHeight w:val="240"/>
        </w:trPr>
        <w:tc>
          <w:tcPr>
            <w:tcW w:w="960" w:type="dxa"/>
          </w:tcPr>
          <w:p w14:paraId="4CDE0B2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Попаданий</w:t>
            </w:r>
          </w:p>
        </w:tc>
        <w:tc>
          <w:tcPr>
            <w:tcW w:w="816" w:type="dxa"/>
          </w:tcPr>
          <w:p w14:paraId="7D5E35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413" w:type="dxa"/>
          </w:tcPr>
          <w:p w14:paraId="2238408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210" w:type="dxa"/>
          </w:tcPr>
          <w:p w14:paraId="631055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566" w:type="dxa"/>
          </w:tcPr>
          <w:p w14:paraId="04B7B23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816" w:type="dxa"/>
          </w:tcPr>
          <w:p w14:paraId="163D03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384" w:type="dxa"/>
          </w:tcPr>
          <w:p w14:paraId="3DA9367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r>
      <w:tr w:rsidR="00A907A5" w:rsidRPr="00271E51" w14:paraId="12B99B51" w14:textId="77777777" w:rsidTr="00ED5B0A">
        <w:trPr>
          <w:trHeight w:val="250"/>
        </w:trPr>
        <w:tc>
          <w:tcPr>
            <w:tcW w:w="960" w:type="dxa"/>
          </w:tcPr>
          <w:p w14:paraId="0A37A5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Пробоин</w:t>
            </w:r>
          </w:p>
        </w:tc>
        <w:tc>
          <w:tcPr>
            <w:tcW w:w="816" w:type="dxa"/>
          </w:tcPr>
          <w:p w14:paraId="13C5F42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3" w:type="dxa"/>
          </w:tcPr>
          <w:p w14:paraId="2C34FD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210" w:type="dxa"/>
          </w:tcPr>
          <w:p w14:paraId="07DB9C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566" w:type="dxa"/>
          </w:tcPr>
          <w:p w14:paraId="0F018CB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4980CD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4" w:type="dxa"/>
          </w:tcPr>
          <w:p w14:paraId="6D5C8D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r>
      <w:tr w:rsidR="00A907A5" w:rsidRPr="00271E51" w14:paraId="7E5A617E" w14:textId="77777777" w:rsidTr="00ED5B0A">
        <w:trPr>
          <w:trHeight w:val="240"/>
        </w:trPr>
        <w:tc>
          <w:tcPr>
            <w:tcW w:w="960" w:type="dxa"/>
          </w:tcPr>
          <w:p w14:paraId="758826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3455F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Pr>
          <w:p w14:paraId="175BD1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870F3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57-мм бронеб.</w:t>
            </w:r>
          </w:p>
        </w:tc>
        <w:tc>
          <w:tcPr>
            <w:tcW w:w="566" w:type="dxa"/>
          </w:tcPr>
          <w:p w14:paraId="603234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114EB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1A9918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464D7F" w14:textId="77777777" w:rsidTr="00ED5B0A">
        <w:trPr>
          <w:trHeight w:val="230"/>
        </w:trPr>
        <w:tc>
          <w:tcPr>
            <w:tcW w:w="960" w:type="dxa"/>
          </w:tcPr>
          <w:p w14:paraId="6C5B1A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Попаданий</w:t>
            </w:r>
          </w:p>
        </w:tc>
        <w:tc>
          <w:tcPr>
            <w:tcW w:w="816" w:type="dxa"/>
          </w:tcPr>
          <w:p w14:paraId="7E0F66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3" w:type="dxa"/>
          </w:tcPr>
          <w:p w14:paraId="2FDB70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210" w:type="dxa"/>
          </w:tcPr>
          <w:p w14:paraId="1086F6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566" w:type="dxa"/>
          </w:tcPr>
          <w:p w14:paraId="24BAE37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30B54D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4" w:type="dxa"/>
          </w:tcPr>
          <w:p w14:paraId="366A4E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4E43DF73" w14:textId="77777777" w:rsidTr="00ED5B0A">
        <w:trPr>
          <w:trHeight w:val="259"/>
        </w:trPr>
        <w:tc>
          <w:tcPr>
            <w:tcW w:w="960" w:type="dxa"/>
          </w:tcPr>
          <w:p w14:paraId="4F17D4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Пробоин</w:t>
            </w:r>
          </w:p>
        </w:tc>
        <w:tc>
          <w:tcPr>
            <w:tcW w:w="816" w:type="dxa"/>
          </w:tcPr>
          <w:p w14:paraId="604425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3" w:type="dxa"/>
          </w:tcPr>
          <w:p w14:paraId="315EE4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210" w:type="dxa"/>
          </w:tcPr>
          <w:p w14:paraId="206F31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566" w:type="dxa"/>
          </w:tcPr>
          <w:p w14:paraId="64C128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61390F6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84" w:type="dxa"/>
          </w:tcPr>
          <w:p w14:paraId="6510BD8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530004FC" w14:textId="77777777" w:rsidTr="00ED5B0A">
        <w:trPr>
          <w:trHeight w:val="240"/>
        </w:trPr>
        <w:tc>
          <w:tcPr>
            <w:tcW w:w="960" w:type="dxa"/>
          </w:tcPr>
          <w:p w14:paraId="1CE01E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D0BCC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Pr>
          <w:p w14:paraId="28AADB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DC127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45-мм бронеб.</w:t>
            </w:r>
          </w:p>
        </w:tc>
        <w:tc>
          <w:tcPr>
            <w:tcW w:w="566" w:type="dxa"/>
          </w:tcPr>
          <w:p w14:paraId="3615CD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D72788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2B861C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C99AB1" w14:textId="77777777" w:rsidTr="00ED5B0A">
        <w:trPr>
          <w:trHeight w:val="230"/>
        </w:trPr>
        <w:tc>
          <w:tcPr>
            <w:tcW w:w="960" w:type="dxa"/>
          </w:tcPr>
          <w:p w14:paraId="42CC11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Попаданий</w:t>
            </w:r>
          </w:p>
        </w:tc>
        <w:tc>
          <w:tcPr>
            <w:tcW w:w="816" w:type="dxa"/>
          </w:tcPr>
          <w:p w14:paraId="29B5754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413" w:type="dxa"/>
          </w:tcPr>
          <w:p w14:paraId="316139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210" w:type="dxa"/>
          </w:tcPr>
          <w:p w14:paraId="79DA598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566" w:type="dxa"/>
          </w:tcPr>
          <w:p w14:paraId="48A920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816" w:type="dxa"/>
          </w:tcPr>
          <w:p w14:paraId="1B5773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384" w:type="dxa"/>
          </w:tcPr>
          <w:p w14:paraId="04EE29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0C27E20F" w14:textId="77777777" w:rsidTr="00ED5B0A">
        <w:trPr>
          <w:trHeight w:val="230"/>
        </w:trPr>
        <w:tc>
          <w:tcPr>
            <w:tcW w:w="960" w:type="dxa"/>
            <w:tcBorders>
              <w:bottom w:val="single" w:sz="12" w:space="0" w:color="auto"/>
            </w:tcBorders>
          </w:tcPr>
          <w:p w14:paraId="34405F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Пробоин</w:t>
            </w:r>
          </w:p>
        </w:tc>
        <w:tc>
          <w:tcPr>
            <w:tcW w:w="816" w:type="dxa"/>
            <w:tcBorders>
              <w:bottom w:val="single" w:sz="12" w:space="0" w:color="auto"/>
            </w:tcBorders>
          </w:tcPr>
          <w:p w14:paraId="248D4A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413" w:type="dxa"/>
            <w:tcBorders>
              <w:bottom w:val="single" w:sz="12" w:space="0" w:color="auto"/>
            </w:tcBorders>
          </w:tcPr>
          <w:p w14:paraId="5B6B2E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210" w:type="dxa"/>
            <w:tcBorders>
              <w:bottom w:val="single" w:sz="12" w:space="0" w:color="auto"/>
            </w:tcBorders>
          </w:tcPr>
          <w:p w14:paraId="39D929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566" w:type="dxa"/>
            <w:tcBorders>
              <w:bottom w:val="single" w:sz="12" w:space="0" w:color="auto"/>
            </w:tcBorders>
          </w:tcPr>
          <w:p w14:paraId="5B1564E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Borders>
              <w:bottom w:val="single" w:sz="12" w:space="0" w:color="auto"/>
            </w:tcBorders>
          </w:tcPr>
          <w:p w14:paraId="5ECDA7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384" w:type="dxa"/>
            <w:tcBorders>
              <w:bottom w:val="single" w:sz="12" w:space="0" w:color="auto"/>
            </w:tcBorders>
          </w:tcPr>
          <w:p w14:paraId="129228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bl>
    <w:p w14:paraId="711818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Обстрел корпуса танка «Пантера» показал, что 82-мм верхний лоб. лист не пробивается ни одним типом отеч. бронеб. снаряда, вплоть до калибра 122-мм. 45-мм и </w:t>
      </w:r>
      <w:r w:rsidRPr="00271E51">
        <w:rPr>
          <w:rFonts w:ascii="Times New Roman" w:hAnsi="Times New Roman"/>
          <w:color w:val="000000" w:themeColor="text1"/>
          <w:sz w:val="16"/>
          <w:szCs w:val="16"/>
        </w:rPr>
        <w:lastRenderedPageBreak/>
        <w:t>76-мм про</w:t>
      </w:r>
      <w:r w:rsidRPr="00271E51">
        <w:rPr>
          <w:rFonts w:ascii="Times New Roman" w:hAnsi="Times New Roman"/>
          <w:color w:val="000000" w:themeColor="text1"/>
          <w:sz w:val="16"/>
          <w:szCs w:val="16"/>
        </w:rPr>
        <w:softHyphen/>
        <w:t>тивотанковая и танковая пушки способны поразить ука</w:t>
      </w:r>
      <w:r w:rsidRPr="00271E51">
        <w:rPr>
          <w:rFonts w:ascii="Times New Roman" w:hAnsi="Times New Roman"/>
          <w:color w:val="000000" w:themeColor="text1"/>
          <w:sz w:val="16"/>
          <w:szCs w:val="16"/>
        </w:rPr>
        <w:softHyphen/>
        <w:t>занный тип танка бронебойным снарядом в борт проекцию с дистанции 300— 600м...»</w:t>
      </w:r>
    </w:p>
    <w:p w14:paraId="4460FE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Традиционно большой интерес вызвал у наших специ</w:t>
      </w:r>
      <w:r w:rsidRPr="00271E51">
        <w:rPr>
          <w:rFonts w:ascii="Times New Roman" w:hAnsi="Times New Roman"/>
          <w:color w:val="000000" w:themeColor="text1"/>
          <w:sz w:val="16"/>
          <w:szCs w:val="16"/>
        </w:rPr>
        <w:softHyphen/>
        <w:t>алистов модернизированный «старый знакомый» — танк Т-4, в отношении которого говорилось так: «Средний танк Т-4 подвергся модернизации бронирования за счет утолщения лба подбашенной коробки до 80-85 мм в ряде случаев наложением дополнительного броневого листа тол</w:t>
      </w:r>
      <w:r w:rsidRPr="00271E51">
        <w:rPr>
          <w:rFonts w:ascii="Times New Roman" w:hAnsi="Times New Roman"/>
          <w:color w:val="000000" w:themeColor="text1"/>
          <w:sz w:val="16"/>
          <w:szCs w:val="16"/>
        </w:rPr>
        <w:softHyphen/>
        <w:t>щиною 25-30 мм. Однако встречены также танки, несущие монолитный лист лоб. брони толщиной 82мм, что позволяет сделать предположение, что в производство герм, промыш</w:t>
      </w:r>
      <w:r w:rsidRPr="00271E51">
        <w:rPr>
          <w:rFonts w:ascii="Times New Roman" w:hAnsi="Times New Roman"/>
          <w:color w:val="000000" w:themeColor="text1"/>
          <w:sz w:val="16"/>
          <w:szCs w:val="16"/>
        </w:rPr>
        <w:softHyphen/>
        <w:t>ленности принята новая модификация указанного танка...»</w:t>
      </w:r>
    </w:p>
    <w:p w14:paraId="58104DB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 заинтересовал специалистов Кубин</w:t>
      </w:r>
      <w:r w:rsidRPr="00271E51">
        <w:rPr>
          <w:rFonts w:ascii="Times New Roman" w:hAnsi="Times New Roman"/>
          <w:color w:val="000000" w:themeColor="text1"/>
          <w:sz w:val="16"/>
          <w:szCs w:val="16"/>
        </w:rPr>
        <w:softHyphen/>
        <w:t>ки главным образом конструкцией броневой защиты лобо</w:t>
      </w:r>
      <w:r w:rsidRPr="00271E51">
        <w:rPr>
          <w:rFonts w:ascii="Times New Roman" w:hAnsi="Times New Roman"/>
          <w:color w:val="000000" w:themeColor="text1"/>
          <w:sz w:val="16"/>
          <w:szCs w:val="16"/>
        </w:rPr>
        <w:softHyphen/>
        <w:t>вой части подбашенной коробки и башни. Поскольку листы дополнительной брони подбашенной коробки и башни были установлены со значительным зазором, конструктор НКБ А. Погодин высказал предположение, что они станут серьез</w:t>
      </w:r>
      <w:r w:rsidRPr="00271E51">
        <w:rPr>
          <w:rFonts w:ascii="Times New Roman" w:hAnsi="Times New Roman"/>
          <w:color w:val="000000" w:themeColor="text1"/>
          <w:sz w:val="16"/>
          <w:szCs w:val="16"/>
        </w:rPr>
        <w:softHyphen/>
        <w:t>ной преградой для отечественного бронебойного каморного снаряда, так как «...передний лист брони высокой твердости толщиной около 20 мм установлен со значительным зазором относительно основной брони толщиной 52 мм... Таким обра</w:t>
      </w:r>
      <w:r w:rsidRPr="00271E51">
        <w:rPr>
          <w:rFonts w:ascii="Times New Roman" w:hAnsi="Times New Roman"/>
          <w:color w:val="000000" w:themeColor="text1"/>
          <w:sz w:val="16"/>
          <w:szCs w:val="16"/>
        </w:rPr>
        <w:softHyphen/>
        <w:t>зом, передний лист будет выполнять роль «взводящей брони», от удара о которую будет частично разрушаться головная часть бронебойного снаряда и взводиться донный взрыватель так, что срабатывание ВВ может осуществиться еще до про</w:t>
      </w:r>
      <w:r w:rsidRPr="00271E51">
        <w:rPr>
          <w:rFonts w:ascii="Times New Roman" w:hAnsi="Times New Roman"/>
          <w:color w:val="000000" w:themeColor="text1"/>
          <w:sz w:val="16"/>
          <w:szCs w:val="16"/>
        </w:rPr>
        <w:softHyphen/>
        <w:t>бития основной брони подбашенной коробки... Таким образом, при суммарной толщине лобовой брони подбашенной коробки танка Т-3 в 70-75мм эта двухслойная преграда может быть непроницаема для большинства бронебойных камерных боепри</w:t>
      </w:r>
      <w:r w:rsidRPr="00271E51">
        <w:rPr>
          <w:rFonts w:ascii="Times New Roman" w:hAnsi="Times New Roman"/>
          <w:color w:val="000000" w:themeColor="text1"/>
          <w:sz w:val="16"/>
          <w:szCs w:val="16"/>
        </w:rPr>
        <w:softHyphen/>
        <w:t>пасов, снабженных взрывателем МД-2». Это подтвердилось позднее во время испытаний на Свердловском полигоне, когда из трех выстрелов 85-мм пушки обр. 1939 г. (52-К) и двух 122-мм пушки обр. 1922 г. (А-19) лобовой брони не про</w:t>
      </w:r>
      <w:r w:rsidRPr="00271E51">
        <w:rPr>
          <w:rFonts w:ascii="Times New Roman" w:hAnsi="Times New Roman"/>
          <w:color w:val="000000" w:themeColor="text1"/>
          <w:sz w:val="16"/>
          <w:szCs w:val="16"/>
        </w:rPr>
        <w:softHyphen/>
        <w:t>бил ни один, так как разрыв ВВ снарядов случался до проби</w:t>
      </w:r>
      <w:r w:rsidRPr="00271E51">
        <w:rPr>
          <w:rFonts w:ascii="Times New Roman" w:hAnsi="Times New Roman"/>
          <w:color w:val="000000" w:themeColor="text1"/>
          <w:sz w:val="16"/>
          <w:szCs w:val="16"/>
        </w:rPr>
        <w:softHyphen/>
        <w:t>тия брони подбашенной коробки, либо при прохождении эк</w:t>
      </w:r>
      <w:r w:rsidRPr="00271E51">
        <w:rPr>
          <w:rFonts w:ascii="Times New Roman" w:hAnsi="Times New Roman"/>
          <w:color w:val="000000" w:themeColor="text1"/>
          <w:sz w:val="16"/>
          <w:szCs w:val="16"/>
        </w:rPr>
        <w:softHyphen/>
        <w:t>рана и повторном ударе в броню корпуса снаряд разрушался.</w:t>
      </w:r>
    </w:p>
    <w:p w14:paraId="048332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итоговой части исследований НИИ-48 говорилось:</w:t>
      </w:r>
    </w:p>
    <w:p w14:paraId="382DFB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признать, что в производстве немецких танков и САУ основным типом брони по наст, время остается хромо-никелевая катаная броня средней и низкой твердости... содержащая 0,75-0,85%марганца, 1,8-2,3%хрома, 0,17-0,2% никеля и до 0,1-0,2% молибдена. В отличие от первого и второ</w:t>
      </w:r>
      <w:r w:rsidRPr="00271E51">
        <w:rPr>
          <w:rFonts w:ascii="Times New Roman" w:hAnsi="Times New Roman"/>
          <w:color w:val="000000" w:themeColor="text1"/>
          <w:sz w:val="16"/>
          <w:szCs w:val="16"/>
        </w:rPr>
        <w:softHyphen/>
        <w:t>го периодов войны, применение цементованных броневых листов в изготовлении средних и тяжелых танков и САУ в настоящее время сходит на нет... Видимо, немецкая промышленность на</w:t>
      </w:r>
      <w:r w:rsidRPr="00271E51">
        <w:rPr>
          <w:rFonts w:ascii="Times New Roman" w:hAnsi="Times New Roman"/>
          <w:color w:val="000000" w:themeColor="text1"/>
          <w:sz w:val="16"/>
          <w:szCs w:val="16"/>
        </w:rPr>
        <w:softHyphen/>
        <w:t>чала испытывать трудности технологического характера при производстве броневых корпусов толстобронных танков. Что</w:t>
      </w:r>
      <w:r w:rsidRPr="00271E51">
        <w:rPr>
          <w:rFonts w:ascii="Times New Roman" w:hAnsi="Times New Roman"/>
          <w:color w:val="000000" w:themeColor="text1"/>
          <w:sz w:val="16"/>
          <w:szCs w:val="16"/>
        </w:rPr>
        <w:softHyphen/>
        <w:t>бы скомпенсировать снижение стойкости бронированных лис</w:t>
      </w:r>
      <w:r w:rsidRPr="00271E51">
        <w:rPr>
          <w:rFonts w:ascii="Times New Roman" w:hAnsi="Times New Roman"/>
          <w:color w:val="000000" w:themeColor="text1"/>
          <w:sz w:val="16"/>
          <w:szCs w:val="16"/>
        </w:rPr>
        <w:softHyphen/>
        <w:t>тов своих танков, немецкие фашистские конструкторы'вы</w:t>
      </w:r>
      <w:r w:rsidRPr="00271E51">
        <w:rPr>
          <w:rFonts w:ascii="Times New Roman" w:hAnsi="Times New Roman"/>
          <w:color w:val="000000" w:themeColor="text1"/>
          <w:sz w:val="16"/>
          <w:szCs w:val="16"/>
        </w:rPr>
        <w:softHyphen/>
        <w:t>нуждены пойти на увеличение на 20—30 мм толщины лобовой брони и введение ее закалки по методу Крупа, но в отличие-от отечеств, брони глубина поверхностно закаленного слоя невели</w:t>
      </w:r>
      <w:r w:rsidRPr="00271E51">
        <w:rPr>
          <w:rFonts w:ascii="Times New Roman" w:hAnsi="Times New Roman"/>
          <w:color w:val="000000" w:themeColor="text1"/>
          <w:sz w:val="16"/>
          <w:szCs w:val="16"/>
        </w:rPr>
        <w:softHyphen/>
        <w:t>ка и составляет в среднем 0,5-1,0мм для брони средней толщи</w:t>
      </w:r>
      <w:r w:rsidRPr="00271E51">
        <w:rPr>
          <w:rFonts w:ascii="Times New Roman" w:hAnsi="Times New Roman"/>
          <w:color w:val="000000" w:themeColor="text1"/>
          <w:sz w:val="16"/>
          <w:szCs w:val="16"/>
        </w:rPr>
        <w:softHyphen/>
        <w:t>ны и 1-1,5 мм для большой. Таким образом, толщина лобовой брони танков Т-4 и Атрштурм-75 составляет в настоящее время 82-85мм и фактически неуязвима для наиболее массовых в КА бронебойных снарядов калибра 45-мм и 76-мм...»</w:t>
      </w:r>
    </w:p>
    <w:p w14:paraId="570539A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Двигатели и трансмиссия новых немецких танков так</w:t>
      </w:r>
      <w:r w:rsidRPr="00271E51">
        <w:rPr>
          <w:rFonts w:ascii="Times New Roman" w:hAnsi="Times New Roman"/>
          <w:color w:val="000000" w:themeColor="text1"/>
          <w:sz w:val="16"/>
          <w:szCs w:val="16"/>
        </w:rPr>
        <w:softHyphen/>
        <w:t>же изучались специальной комиссией ОГК НКТП. Но ни</w:t>
      </w:r>
      <w:r w:rsidRPr="00271E51">
        <w:rPr>
          <w:rFonts w:ascii="Times New Roman" w:hAnsi="Times New Roman"/>
          <w:color w:val="000000" w:themeColor="text1"/>
          <w:sz w:val="16"/>
          <w:szCs w:val="16"/>
        </w:rPr>
        <w:softHyphen/>
        <w:t>чего революционного в моторах новых немецких танков обнаружено не было. Это по прежнему были все те же ком</w:t>
      </w:r>
      <w:r w:rsidRPr="00271E51">
        <w:rPr>
          <w:rFonts w:ascii="Times New Roman" w:hAnsi="Times New Roman"/>
          <w:color w:val="000000" w:themeColor="text1"/>
          <w:sz w:val="16"/>
          <w:szCs w:val="16"/>
        </w:rPr>
        <w:softHyphen/>
        <w:t>пактные бензиновые моторы «Майбах» без всяких следов внедрения в танки дизеля. Но если в начале войны этот факт вызывал если не недоумение, то удивление, то уже в 1942 г. этому было найдено вполне здравое объяснение:</w:t>
      </w:r>
    </w:p>
    <w:p w14:paraId="7E8289C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«Применение немцами на новом танке карбюраторного двигателя, а не дизеля может быть объяснено:</w:t>
      </w:r>
    </w:p>
    <w:p w14:paraId="70EC48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спецификой топливного баланса Германии, в котором основную роль играют синтетические бензины, бензолы и спиртовые смеси, непригодные для сжигания в дизелях;</w:t>
      </w:r>
    </w:p>
    <w:p w14:paraId="339E5DA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преимуществом карбюраторного двигателя над дизель</w:t>
      </w:r>
      <w:r w:rsidRPr="00271E51">
        <w:rPr>
          <w:rFonts w:ascii="Times New Roman" w:hAnsi="Times New Roman"/>
          <w:color w:val="000000" w:themeColor="text1"/>
          <w:sz w:val="16"/>
          <w:szCs w:val="16"/>
        </w:rPr>
        <w:softHyphen/>
        <w:t>ным по таким важным для танка показателям, как мини</w:t>
      </w:r>
      <w:r w:rsidRPr="00271E51">
        <w:rPr>
          <w:rFonts w:ascii="Times New Roman" w:hAnsi="Times New Roman"/>
          <w:color w:val="000000" w:themeColor="text1"/>
          <w:sz w:val="16"/>
          <w:szCs w:val="16"/>
        </w:rPr>
        <w:softHyphen/>
        <w:t>мально возможные для данной мощности габариты, надеж</w:t>
      </w:r>
      <w:r w:rsidRPr="00271E51">
        <w:rPr>
          <w:rFonts w:ascii="Times New Roman" w:hAnsi="Times New Roman"/>
          <w:color w:val="000000" w:themeColor="text1"/>
          <w:sz w:val="16"/>
          <w:szCs w:val="16"/>
        </w:rPr>
        <w:softHyphen/>
        <w:t>ность запуска в зимнее время и простота изготовления;</w:t>
      </w:r>
    </w:p>
    <w:p w14:paraId="5D7BCB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весьма значительным в боевых условиях процентом по</w:t>
      </w:r>
      <w:r w:rsidRPr="00271E51">
        <w:rPr>
          <w:rFonts w:ascii="Times New Roman" w:hAnsi="Times New Roman"/>
          <w:color w:val="000000" w:themeColor="text1"/>
          <w:sz w:val="16"/>
          <w:szCs w:val="16"/>
        </w:rPr>
        <w:softHyphen/>
        <w:t>жаров танков с дизелями и отсутствием у них в этом отно</w:t>
      </w:r>
      <w:r w:rsidRPr="00271E51">
        <w:rPr>
          <w:rFonts w:ascii="Times New Roman" w:hAnsi="Times New Roman"/>
          <w:color w:val="000000" w:themeColor="text1"/>
          <w:sz w:val="16"/>
          <w:szCs w:val="16"/>
        </w:rPr>
        <w:softHyphen/>
        <w:t>шении значительных преимуществ перед карбюраторными двигателями, особенно при грамотной конструкции послед</w:t>
      </w:r>
      <w:r w:rsidRPr="00271E51">
        <w:rPr>
          <w:rFonts w:ascii="Times New Roman" w:hAnsi="Times New Roman"/>
          <w:color w:val="000000" w:themeColor="text1"/>
          <w:sz w:val="16"/>
          <w:szCs w:val="16"/>
        </w:rPr>
        <w:softHyphen/>
        <w:t>них и наличии надежных автоматических огнетушителей;</w:t>
      </w:r>
    </w:p>
    <w:p w14:paraId="714CF6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коротким сроком работы танковых двигателей из-за крайне низкой живучести танков в боевых условиях, из-за че</w:t>
      </w:r>
      <w:r w:rsidRPr="00271E51">
        <w:rPr>
          <w:rFonts w:ascii="Times New Roman" w:hAnsi="Times New Roman"/>
          <w:color w:val="000000" w:themeColor="text1"/>
          <w:sz w:val="16"/>
          <w:szCs w:val="16"/>
        </w:rPr>
        <w:softHyphen/>
        <w:t>го стоимость бензина, сэкономленного в случае применения на танке дизеля, не успевает оправдать необходимого для изго</w:t>
      </w:r>
      <w:r w:rsidRPr="00271E51">
        <w:rPr>
          <w:rFonts w:ascii="Times New Roman" w:hAnsi="Times New Roman"/>
          <w:color w:val="000000" w:themeColor="text1"/>
          <w:sz w:val="16"/>
          <w:szCs w:val="16"/>
        </w:rPr>
        <w:softHyphen/>
        <w:t>товления дизеля повышенного расхода легированных сталей и высококвалифицированного труда, не менее дефицитных в во</w:t>
      </w:r>
      <w:r w:rsidRPr="00271E51">
        <w:rPr>
          <w:rFonts w:ascii="Times New Roman" w:hAnsi="Times New Roman"/>
          <w:color w:val="000000" w:themeColor="text1"/>
          <w:sz w:val="16"/>
          <w:szCs w:val="16"/>
        </w:rPr>
        <w:softHyphen/>
        <w:t>енное время, чем жидкое топливо».</w:t>
      </w:r>
    </w:p>
    <w:p w14:paraId="3095E3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самом деле, при прочих равных условиях немецкие танковые моторы оказывались легче, чем дизели В-2 и В-2К, а с учетом систем питания и охлаждения преимущество и подавно оказывалось за немцами. Расположение бен</w:t>
      </w:r>
      <w:r w:rsidRPr="00271E51">
        <w:rPr>
          <w:rFonts w:ascii="Times New Roman" w:hAnsi="Times New Roman"/>
          <w:color w:val="000000" w:themeColor="text1"/>
          <w:sz w:val="16"/>
          <w:szCs w:val="16"/>
        </w:rPr>
        <w:softHyphen/>
        <w:t>зобаков за пределами обитаемой зоны за герметичной выго</w:t>
      </w:r>
      <w:r w:rsidRPr="00271E51">
        <w:rPr>
          <w:rFonts w:ascii="Times New Roman" w:hAnsi="Times New Roman"/>
          <w:color w:val="000000" w:themeColor="text1"/>
          <w:sz w:val="16"/>
          <w:szCs w:val="16"/>
        </w:rPr>
        <w:softHyphen/>
        <w:t>родкой позволяло экипажам даже при возникновении по</w:t>
      </w:r>
      <w:r w:rsidRPr="00271E51">
        <w:rPr>
          <w:rFonts w:ascii="Times New Roman" w:hAnsi="Times New Roman"/>
          <w:color w:val="000000" w:themeColor="text1"/>
          <w:sz w:val="16"/>
          <w:szCs w:val="16"/>
        </w:rPr>
        <w:softHyphen/>
        <w:t>жаров нормально покидать танк, не пострадав от огня.</w:t>
      </w:r>
    </w:p>
    <w:p w14:paraId="014B387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Изучая новые двигатели, стоявшие в «Тиграх», «Панте</w:t>
      </w:r>
      <w:r w:rsidRPr="00271E51">
        <w:rPr>
          <w:rFonts w:ascii="Times New Roman" w:hAnsi="Times New Roman"/>
          <w:color w:val="000000" w:themeColor="text1"/>
          <w:sz w:val="16"/>
          <w:szCs w:val="16"/>
        </w:rPr>
        <w:softHyphen/>
        <w:t>рах» и «Фердинандах», представители ОГК НКТП отмеча</w:t>
      </w:r>
      <w:r w:rsidRPr="00271E51">
        <w:rPr>
          <w:rFonts w:ascii="Times New Roman" w:hAnsi="Times New Roman"/>
          <w:color w:val="000000" w:themeColor="text1"/>
          <w:sz w:val="16"/>
          <w:szCs w:val="16"/>
        </w:rPr>
        <w:softHyphen/>
        <w:t>ли: «Немецкие конструкторы по прежнему делают ставку на карбюраторные танковые двигатели прежних типов... Так как их конструкция не претерпела изменений, то значитель</w:t>
      </w:r>
      <w:r w:rsidRPr="00271E51">
        <w:rPr>
          <w:rFonts w:ascii="Times New Roman" w:hAnsi="Times New Roman"/>
          <w:color w:val="000000" w:themeColor="text1"/>
          <w:sz w:val="16"/>
          <w:szCs w:val="16"/>
        </w:rPr>
        <w:softHyphen/>
        <w:t>но больший интерес в настоящее время вызывают трансмис</w:t>
      </w:r>
      <w:r w:rsidRPr="00271E51">
        <w:rPr>
          <w:rFonts w:ascii="Times New Roman" w:hAnsi="Times New Roman"/>
          <w:color w:val="000000" w:themeColor="text1"/>
          <w:sz w:val="16"/>
          <w:szCs w:val="16"/>
        </w:rPr>
        <w:softHyphen/>
        <w:t>сии немецких танков и САУ...»</w:t>
      </w:r>
    </w:p>
    <w:p w14:paraId="3DC2DD7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вот с этим вопросом поле деятельности было обшир</w:t>
      </w:r>
      <w:r w:rsidRPr="00271E51">
        <w:rPr>
          <w:rFonts w:ascii="Times New Roman" w:hAnsi="Times New Roman"/>
          <w:color w:val="000000" w:themeColor="text1"/>
          <w:sz w:val="16"/>
          <w:szCs w:val="16"/>
        </w:rPr>
        <w:softHyphen/>
        <w:t>ным. Под Курском собрались танки со всеми мыслимыми и немыслимыми трансмиссиями и широчайшей номенкла</w:t>
      </w:r>
      <w:r w:rsidRPr="00271E51">
        <w:rPr>
          <w:rFonts w:ascii="Times New Roman" w:hAnsi="Times New Roman"/>
          <w:color w:val="000000" w:themeColor="text1"/>
          <w:sz w:val="16"/>
          <w:szCs w:val="16"/>
        </w:rPr>
        <w:softHyphen/>
        <w:t>турой коробок перемены передач (КПП).</w:t>
      </w:r>
    </w:p>
    <w:p w14:paraId="77B5FD3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особо пристальный интерес представителей ОГК НКТП вызвала электротрансмиссия штурмового ору</w:t>
      </w:r>
      <w:r w:rsidRPr="00271E51">
        <w:rPr>
          <w:rFonts w:ascii="Times New Roman" w:hAnsi="Times New Roman"/>
          <w:color w:val="000000" w:themeColor="text1"/>
          <w:sz w:val="16"/>
          <w:szCs w:val="16"/>
        </w:rPr>
        <w:softHyphen/>
        <w:t>дия «Фердинанд» и безвальная КПП танка «Тигр», позво</w:t>
      </w:r>
      <w:r w:rsidRPr="00271E51">
        <w:rPr>
          <w:rFonts w:ascii="Times New Roman" w:hAnsi="Times New Roman"/>
          <w:color w:val="000000" w:themeColor="text1"/>
          <w:sz w:val="16"/>
          <w:szCs w:val="16"/>
        </w:rPr>
        <w:softHyphen/>
        <w:t xml:space="preserve">лявшие легко управлять этими тяжелыми машинами. И.о. начальника ОГК НКТП И. Бер писал: </w:t>
      </w:r>
    </w:p>
    <w:p w14:paraId="1BBFD8A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«...наибольший интерес для отечественного танкострое</w:t>
      </w:r>
      <w:r w:rsidRPr="00271E51">
        <w:rPr>
          <w:rFonts w:ascii="Times New Roman" w:hAnsi="Times New Roman"/>
          <w:color w:val="000000" w:themeColor="text1"/>
          <w:sz w:val="16"/>
          <w:szCs w:val="16"/>
        </w:rPr>
        <w:softHyphen/>
        <w:t>ния представляют КПП и механизмы поворота танка Т-6Н «Тигр» и штурмового орудия Т-6Р «Фердинанд»... Управление этими тяжелыми машинами весьма легкое и удобно по мне</w:t>
      </w:r>
      <w:r w:rsidRPr="00271E51">
        <w:rPr>
          <w:rFonts w:ascii="Times New Roman" w:hAnsi="Times New Roman"/>
          <w:color w:val="000000" w:themeColor="text1"/>
          <w:sz w:val="16"/>
          <w:szCs w:val="16"/>
        </w:rPr>
        <w:softHyphen/>
        <w:t>нию водителей-испытателей... В наст, время ОГК НКТП проводит, исследоват. работу по изучению особенностей трансмиссий нем. танков с целью возможного внедрения наи</w:t>
      </w:r>
      <w:r w:rsidRPr="00271E51">
        <w:rPr>
          <w:rFonts w:ascii="Times New Roman" w:hAnsi="Times New Roman"/>
          <w:color w:val="000000" w:themeColor="text1"/>
          <w:sz w:val="16"/>
          <w:szCs w:val="16"/>
        </w:rPr>
        <w:softHyphen/>
        <w:t>более удачных решений в отечественном танкостроении...» (11135).</w:t>
      </w:r>
    </w:p>
    <w:p w14:paraId="29E78F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обстоятельным среди прочих был отчет техуправления НКВ: «Артиллерийское вооружение новых немецких фашистских танков и самоходов». Актуальность этого отчета была столь велика, что его автор, инженер-полковник П. Соломонов, написал на основании его материалов пять статей в различные печатные издания, а также сценарий учебного фильма для отечественных танковых школ.</w:t>
      </w:r>
    </w:p>
    <w:p w14:paraId="337366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в отчете в частности говорилось, что немецкая тан</w:t>
      </w:r>
      <w:r w:rsidRPr="00271E51">
        <w:rPr>
          <w:rFonts w:ascii="Times New Roman" w:hAnsi="Times New Roman"/>
          <w:color w:val="000000" w:themeColor="text1"/>
          <w:sz w:val="16"/>
          <w:szCs w:val="16"/>
        </w:rPr>
        <w:softHyphen/>
        <w:t>ковая дивизия 1943 г. по огневым средствам стала вдвое бо</w:t>
      </w:r>
      <w:r w:rsidRPr="00271E51">
        <w:rPr>
          <w:rFonts w:ascii="Times New Roman" w:hAnsi="Times New Roman"/>
          <w:color w:val="000000" w:themeColor="text1"/>
          <w:sz w:val="16"/>
          <w:szCs w:val="16"/>
        </w:rPr>
        <w:softHyphen/>
        <w:t>лее мощной, так как если количество танков в ней уменьши</w:t>
      </w:r>
      <w:r w:rsidRPr="00271E51">
        <w:rPr>
          <w:rFonts w:ascii="Times New Roman" w:hAnsi="Times New Roman"/>
          <w:color w:val="000000" w:themeColor="text1"/>
          <w:sz w:val="16"/>
          <w:szCs w:val="16"/>
        </w:rPr>
        <w:softHyphen/>
        <w:t>лось в 2-3 раза, то количество огневых средств отданных ди</w:t>
      </w:r>
      <w:r w:rsidRPr="00271E51">
        <w:rPr>
          <w:rFonts w:ascii="Times New Roman" w:hAnsi="Times New Roman"/>
          <w:color w:val="000000" w:themeColor="text1"/>
          <w:sz w:val="16"/>
          <w:szCs w:val="16"/>
        </w:rPr>
        <w:softHyphen/>
        <w:t>визии, возросло в то же время в среднем вдвое. В состав тан</w:t>
      </w:r>
      <w:r w:rsidRPr="00271E51">
        <w:rPr>
          <w:rFonts w:ascii="Times New Roman" w:hAnsi="Times New Roman"/>
          <w:color w:val="000000" w:themeColor="text1"/>
          <w:sz w:val="16"/>
          <w:szCs w:val="16"/>
        </w:rPr>
        <w:softHyphen/>
        <w:t>ковых и моторизованных дивизий организационно была включена штурмовая и самоходная артиллерия. Новая орга</w:t>
      </w:r>
      <w:r w:rsidRPr="00271E51">
        <w:rPr>
          <w:rFonts w:ascii="Times New Roman" w:hAnsi="Times New Roman"/>
          <w:color w:val="000000" w:themeColor="text1"/>
          <w:sz w:val="16"/>
          <w:szCs w:val="16"/>
        </w:rPr>
        <w:softHyphen/>
        <w:t>низация основного танкового соединения вермахта стала больше пригодной для выполнения не только маневренных действий, но также прорыва укрепленных полос обороны (11135).</w:t>
      </w:r>
    </w:p>
    <w:p w14:paraId="6D25CC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лету 1943 г. почти повсеместно в танковых дивизиях основу танкового парка составляли средние и тяжелые тан</w:t>
      </w:r>
      <w:r w:rsidRPr="00271E51">
        <w:rPr>
          <w:rFonts w:ascii="Times New Roman" w:hAnsi="Times New Roman"/>
          <w:color w:val="000000" w:themeColor="text1"/>
          <w:sz w:val="16"/>
          <w:szCs w:val="16"/>
        </w:rPr>
        <w:softHyphen/>
        <w:t>ки, вооруженные преимущественно новыми пушками ка</w:t>
      </w:r>
      <w:r w:rsidRPr="00271E51">
        <w:rPr>
          <w:rFonts w:ascii="Times New Roman" w:hAnsi="Times New Roman"/>
          <w:color w:val="000000" w:themeColor="text1"/>
          <w:sz w:val="16"/>
          <w:szCs w:val="16"/>
        </w:rPr>
        <w:softHyphen/>
        <w:t>либра 75-мм и 88-мм, тогда как легкие, вооруженные 20-мм и 37-мм пушками, составляли теперь абсолютное меньшинство.</w:t>
      </w:r>
    </w:p>
    <w:p w14:paraId="5E32DA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«Реализованная немцами система артиллерийского воору</w:t>
      </w:r>
      <w:r w:rsidRPr="00271E51">
        <w:rPr>
          <w:rFonts w:ascii="Times New Roman" w:hAnsi="Times New Roman"/>
          <w:color w:val="000000" w:themeColor="text1"/>
          <w:sz w:val="16"/>
          <w:szCs w:val="16"/>
        </w:rPr>
        <w:softHyphen/>
        <w:t>жения бронетанковых частей лета-осени 1943 г. (по времени появления на полях битв) не является случайной и представля</w:t>
      </w:r>
      <w:r w:rsidRPr="00271E51">
        <w:rPr>
          <w:rFonts w:ascii="Times New Roman" w:hAnsi="Times New Roman"/>
          <w:color w:val="000000" w:themeColor="text1"/>
          <w:sz w:val="16"/>
          <w:szCs w:val="16"/>
        </w:rPr>
        <w:softHyphen/>
        <w:t>ет собой третью систему артвооружения танков и самоходов фашистской Германии за три года войны, в течение которых немцы конструктивно отрабатывали три идеи тактико-тех</w:t>
      </w:r>
      <w:r w:rsidRPr="00271E51">
        <w:rPr>
          <w:rFonts w:ascii="Times New Roman" w:hAnsi="Times New Roman"/>
          <w:color w:val="000000" w:themeColor="text1"/>
          <w:sz w:val="16"/>
          <w:szCs w:val="16"/>
        </w:rPr>
        <w:softHyphen/>
        <w:t>нических требований к артиллерийским танковым орудиям.</w:t>
      </w:r>
    </w:p>
    <w:p w14:paraId="5FF7B0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идея тактико-технических требований преду</w:t>
      </w:r>
      <w:r w:rsidRPr="00271E51">
        <w:rPr>
          <w:rFonts w:ascii="Times New Roman" w:hAnsi="Times New Roman"/>
          <w:color w:val="000000" w:themeColor="text1"/>
          <w:sz w:val="16"/>
          <w:szCs w:val="16"/>
        </w:rPr>
        <w:softHyphen/>
        <w:t>сматривала получение скорострельной малокалиберной пуш</w:t>
      </w:r>
      <w:r w:rsidRPr="00271E51">
        <w:rPr>
          <w:rFonts w:ascii="Times New Roman" w:hAnsi="Times New Roman"/>
          <w:color w:val="000000" w:themeColor="text1"/>
          <w:sz w:val="16"/>
          <w:szCs w:val="16"/>
        </w:rPr>
        <w:softHyphen/>
        <w:t>ки с мощным бронебойным выстрелом, что и было осуществ</w:t>
      </w:r>
      <w:r w:rsidRPr="00271E51">
        <w:rPr>
          <w:rFonts w:ascii="Times New Roman" w:hAnsi="Times New Roman"/>
          <w:color w:val="000000" w:themeColor="text1"/>
          <w:sz w:val="16"/>
          <w:szCs w:val="16"/>
        </w:rPr>
        <w:softHyphen/>
        <w:t>лено в 37-мм и 50-мм танковых пушках. Эти пушки имели малый вес и незначительные габариты, что повышало их ог</w:t>
      </w:r>
      <w:r w:rsidRPr="00271E51">
        <w:rPr>
          <w:rFonts w:ascii="Times New Roman" w:hAnsi="Times New Roman"/>
          <w:color w:val="000000" w:themeColor="text1"/>
          <w:sz w:val="16"/>
          <w:szCs w:val="16"/>
        </w:rPr>
        <w:softHyphen/>
        <w:t>невую маневренность, скорострельность и разрешало резко увеличить число патронов возимого в танке боезапаса.</w:t>
      </w:r>
    </w:p>
    <w:p w14:paraId="3C4BACD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бронебойного выстрела достигалась широким применением подкалиберного снаряда с тяжелым карбидо-вольфрамовым сердечником. Так как снаряд обладает пони</w:t>
      </w:r>
      <w:r w:rsidRPr="00271E51">
        <w:rPr>
          <w:rFonts w:ascii="Times New Roman" w:hAnsi="Times New Roman"/>
          <w:color w:val="000000" w:themeColor="text1"/>
          <w:sz w:val="16"/>
          <w:szCs w:val="16"/>
        </w:rPr>
        <w:softHyphen/>
        <w:t>женным весом, относительно нормального бронебойного сна</w:t>
      </w:r>
      <w:r w:rsidRPr="00271E51">
        <w:rPr>
          <w:rFonts w:ascii="Times New Roman" w:hAnsi="Times New Roman"/>
          <w:color w:val="000000" w:themeColor="text1"/>
          <w:sz w:val="16"/>
          <w:szCs w:val="16"/>
        </w:rPr>
        <w:softHyphen/>
        <w:t>ряда, ему может быть сообщена высокая начальная скорость без нарушения прочности орудия...</w:t>
      </w:r>
    </w:p>
    <w:p w14:paraId="3E33BE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вследствие «катушечной» формы снаряда, при его полете развивается большое сопротивление воздуха, что при</w:t>
      </w:r>
      <w:r w:rsidRPr="00271E51">
        <w:rPr>
          <w:rFonts w:ascii="Times New Roman" w:hAnsi="Times New Roman"/>
          <w:color w:val="000000" w:themeColor="text1"/>
          <w:sz w:val="16"/>
          <w:szCs w:val="16"/>
        </w:rPr>
        <w:softHyphen/>
        <w:t>водит к быстрой потере им начальной скорости и большому рассеиванию снарядов на средней и дальней дистанции. Стрельба подкалиберными снарядами такого типа на дис</w:t>
      </w:r>
      <w:r w:rsidRPr="00271E51">
        <w:rPr>
          <w:rFonts w:ascii="Times New Roman" w:hAnsi="Times New Roman"/>
          <w:color w:val="000000" w:themeColor="text1"/>
          <w:sz w:val="16"/>
          <w:szCs w:val="16"/>
        </w:rPr>
        <w:softHyphen/>
        <w:t>танции свыше 600м мало эффективна.</w:t>
      </w:r>
    </w:p>
    <w:p w14:paraId="620D01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Вторая идея тактико-технических требований являлась дальнейшим развитием первой. Ствол орудий делался цилиндро-коническим, что несколько повышает полезную работу порохо</w:t>
      </w:r>
      <w:r w:rsidRPr="00271E51">
        <w:rPr>
          <w:rFonts w:ascii="Times New Roman" w:hAnsi="Times New Roman"/>
          <w:color w:val="000000" w:themeColor="text1"/>
          <w:sz w:val="16"/>
          <w:szCs w:val="16"/>
        </w:rPr>
        <w:softHyphen/>
        <w:t>вых газов. Снаряд орудий с коническим каналом подобен подка-либерному, но обладает относительно большим весом и немного более удобообтекаемой формой, что обеспечивает лучшую куч</w:t>
      </w:r>
      <w:r w:rsidRPr="00271E51">
        <w:rPr>
          <w:rFonts w:ascii="Times New Roman" w:hAnsi="Times New Roman"/>
          <w:color w:val="000000" w:themeColor="text1"/>
          <w:sz w:val="16"/>
          <w:szCs w:val="16"/>
        </w:rPr>
        <w:softHyphen/>
        <w:t>ность стрельбы и мощность бронебойного действия на больших дистанциях... Но в танковом вооружении орудия с цилиндро-ко-ническим каналом ствола распространения не получили.</w:t>
      </w:r>
    </w:p>
    <w:p w14:paraId="280A323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Наконец, третья идея тактико-технических требова</w:t>
      </w:r>
      <w:r w:rsidRPr="00271E51">
        <w:rPr>
          <w:rFonts w:ascii="Times New Roman" w:hAnsi="Times New Roman"/>
          <w:color w:val="000000" w:themeColor="text1"/>
          <w:sz w:val="16"/>
          <w:szCs w:val="16"/>
        </w:rPr>
        <w:softHyphen/>
        <w:t>ний к танковым орудиям заключалась в получении больших начальных скоростей снарядов среднего калибра за счет зна</w:t>
      </w:r>
      <w:r w:rsidRPr="00271E51">
        <w:rPr>
          <w:rFonts w:ascii="Times New Roman" w:hAnsi="Times New Roman"/>
          <w:color w:val="000000" w:themeColor="text1"/>
          <w:sz w:val="16"/>
          <w:szCs w:val="16"/>
        </w:rPr>
        <w:softHyphen/>
        <w:t>чительного удлинения канала ствола и увеличения абсолют</w:t>
      </w:r>
      <w:r w:rsidRPr="00271E51">
        <w:rPr>
          <w:rFonts w:ascii="Times New Roman" w:hAnsi="Times New Roman"/>
          <w:color w:val="000000" w:themeColor="text1"/>
          <w:sz w:val="16"/>
          <w:szCs w:val="16"/>
        </w:rPr>
        <w:softHyphen/>
        <w:t>ного и относительного веса порохового заряда.</w:t>
      </w:r>
    </w:p>
    <w:p w14:paraId="2A3468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Танковые орудия средних калибров имеют, конечно, больший вес и габариты, чем орудия первых двух типов, но зато они разрешают применение подкалиберных снарядов удобообтекаемой формы, а осколочно-фугасные их снаряды по мощности фугасного и осколочного действия обладают рядом неоспоримых выгод...</w:t>
      </w:r>
    </w:p>
    <w:p w14:paraId="378C7E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создавая систему вооружения 1943 г., немцы отказались от одностороннего развития танковых орудий путем увеличения их бронепробивной мощности и на</w:t>
      </w:r>
      <w:r w:rsidRPr="00271E51">
        <w:rPr>
          <w:rFonts w:ascii="Times New Roman" w:hAnsi="Times New Roman"/>
          <w:color w:val="000000" w:themeColor="text1"/>
          <w:sz w:val="16"/>
          <w:szCs w:val="16"/>
        </w:rPr>
        <w:softHyphen/>
        <w:t>чали придавать значительно большее значение осколочному и фугасному действию их выстрелов.</w:t>
      </w:r>
    </w:p>
    <w:p w14:paraId="23E3A8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этом отношении система вооружения 1943 г. является наиболее гармоничной и удовлетворяющей современным бое</w:t>
      </w:r>
      <w:r w:rsidRPr="00271E51">
        <w:rPr>
          <w:rFonts w:ascii="Times New Roman" w:hAnsi="Times New Roman"/>
          <w:color w:val="000000" w:themeColor="text1"/>
          <w:sz w:val="16"/>
          <w:szCs w:val="16"/>
        </w:rPr>
        <w:softHyphen/>
        <w:t xml:space="preserve">вым требованиям. Опыт боев показывает, что </w:t>
      </w:r>
      <w:r w:rsidRPr="00271E51">
        <w:rPr>
          <w:rFonts w:ascii="Times New Roman" w:hAnsi="Times New Roman"/>
          <w:color w:val="000000" w:themeColor="text1"/>
          <w:sz w:val="16"/>
          <w:szCs w:val="16"/>
        </w:rPr>
        <w:lastRenderedPageBreak/>
        <w:t>глубокое эше</w:t>
      </w:r>
      <w:r w:rsidRPr="00271E51">
        <w:rPr>
          <w:rFonts w:ascii="Times New Roman" w:hAnsi="Times New Roman"/>
          <w:color w:val="000000" w:themeColor="text1"/>
          <w:sz w:val="16"/>
          <w:szCs w:val="16"/>
        </w:rPr>
        <w:softHyphen/>
        <w:t>лонирование современной обороны, наличие специальных про</w:t>
      </w:r>
      <w:r w:rsidRPr="00271E51">
        <w:rPr>
          <w:rFonts w:ascii="Times New Roman" w:hAnsi="Times New Roman"/>
          <w:color w:val="000000" w:themeColor="text1"/>
          <w:sz w:val="16"/>
          <w:szCs w:val="16"/>
        </w:rPr>
        <w:softHyphen/>
        <w:t>тивотанковых оборонительных районов, в основе которых лежит высокая насыщенность артиллерией, требуют от танковых орудий обеспечить наилучшие возможности веде</w:t>
      </w:r>
      <w:r w:rsidRPr="00271E51">
        <w:rPr>
          <w:rFonts w:ascii="Times New Roman" w:hAnsi="Times New Roman"/>
          <w:color w:val="000000" w:themeColor="text1"/>
          <w:sz w:val="16"/>
          <w:szCs w:val="16"/>
        </w:rPr>
        <w:softHyphen/>
        <w:t>ния дуэльной борьбы с артиллерией, расположенной в боевых порядках обороняющихся...</w:t>
      </w:r>
    </w:p>
    <w:p w14:paraId="6FBF77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новых 75-мм и 88-мм танко</w:t>
      </w:r>
      <w:r w:rsidRPr="00271E51">
        <w:rPr>
          <w:rFonts w:ascii="Times New Roman" w:hAnsi="Times New Roman"/>
          <w:color w:val="000000" w:themeColor="text1"/>
          <w:sz w:val="16"/>
          <w:szCs w:val="16"/>
        </w:rPr>
        <w:softHyphen/>
        <w:t>вых и самоходных пушек, получивших распространение в 1943 г., помещены в табл!»</w:t>
      </w:r>
    </w:p>
    <w:p w14:paraId="1F5E9A3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в отчете особо подчеркивалось, что переход пан-церваффе на вооружение танков 75-мм и 88-мм орудиями привел не только к повышению бронепробиваемости не</w:t>
      </w:r>
      <w:r w:rsidRPr="00271E51">
        <w:rPr>
          <w:rFonts w:ascii="Times New Roman" w:hAnsi="Times New Roman"/>
          <w:color w:val="000000" w:themeColor="text1"/>
          <w:sz w:val="16"/>
          <w:szCs w:val="16"/>
        </w:rPr>
        <w:softHyphen/>
        <w:t>мецкой танковой артиллерии, но и к увеличению осколоч</w:t>
      </w:r>
      <w:r w:rsidRPr="00271E51">
        <w:rPr>
          <w:rFonts w:ascii="Times New Roman" w:hAnsi="Times New Roman"/>
          <w:color w:val="000000" w:themeColor="text1"/>
          <w:sz w:val="16"/>
          <w:szCs w:val="16"/>
        </w:rPr>
        <w:softHyphen/>
        <w:t>ного и фугасного действия танковой артиллерии. В этом плане внимание обращалось также на то, что часть «старых знакомых» — танков Рг III получила короткоствольные 75-мм орудия, имеющие осколочно-фугасный снаряд, сравнимый по мощности со снарядом танка Рг IV и штур</w:t>
      </w:r>
      <w:r w:rsidRPr="00271E51">
        <w:rPr>
          <w:rFonts w:ascii="Times New Roman" w:hAnsi="Times New Roman"/>
          <w:color w:val="000000" w:themeColor="text1"/>
          <w:sz w:val="16"/>
          <w:szCs w:val="16"/>
        </w:rPr>
        <w:softHyphen/>
        <w:t>мового орудия 5шО 40. В плане же боевого применения увеличение мощности вооружения танков позволило нем</w:t>
      </w:r>
      <w:r w:rsidRPr="00271E51">
        <w:rPr>
          <w:rFonts w:ascii="Times New Roman" w:hAnsi="Times New Roman"/>
          <w:color w:val="000000" w:themeColor="text1"/>
          <w:sz w:val="16"/>
          <w:szCs w:val="16"/>
        </w:rPr>
        <w:softHyphen/>
        <w:t>цам реализовать новые тактические приемы ведения боя:</w:t>
      </w:r>
    </w:p>
    <w:p w14:paraId="0B4EE15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массирование средних и тяжелых танков и артсамоходов на направлении главного удара в наступательных операциях;</w:t>
      </w:r>
    </w:p>
    <w:p w14:paraId="6C2854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использование мощности бронирования для ведения прицельного огня с места или маневрировании на ограничен</w:t>
      </w:r>
      <w:r w:rsidRPr="00271E51">
        <w:rPr>
          <w:rFonts w:ascii="Times New Roman" w:hAnsi="Times New Roman"/>
          <w:color w:val="000000" w:themeColor="text1"/>
          <w:sz w:val="16"/>
          <w:szCs w:val="16"/>
        </w:rPr>
        <w:softHyphen/>
        <w:t>ных участках местности;</w:t>
      </w:r>
    </w:p>
    <w:p w14:paraId="6249EF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ведение эффективного огневого боя против наших тан</w:t>
      </w:r>
      <w:r w:rsidRPr="00271E51">
        <w:rPr>
          <w:rFonts w:ascii="Times New Roman" w:hAnsi="Times New Roman"/>
          <w:color w:val="000000" w:themeColor="text1"/>
          <w:sz w:val="16"/>
          <w:szCs w:val="16"/>
        </w:rPr>
        <w:softHyphen/>
        <w:t>ков, а главное — артиллерии на дистанции. 1000— 2000м, что обеспечивается мощностью бронебойного, и главное — фугас</w:t>
      </w:r>
      <w:r w:rsidRPr="00271E51">
        <w:rPr>
          <w:rFonts w:ascii="Times New Roman" w:hAnsi="Times New Roman"/>
          <w:color w:val="000000" w:themeColor="text1"/>
          <w:sz w:val="16"/>
          <w:szCs w:val="16"/>
        </w:rPr>
        <w:softHyphen/>
        <w:t>ного выстрелов».</w:t>
      </w:r>
    </w:p>
    <w:p w14:paraId="49814F4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Также в выводах по исследованию озвучивалась мысль, что немцы реализовали наиболее экономный вариант уси</w:t>
      </w:r>
      <w:r w:rsidRPr="00271E51">
        <w:rPr>
          <w:rFonts w:ascii="Times New Roman" w:hAnsi="Times New Roman"/>
          <w:color w:val="000000" w:themeColor="text1"/>
          <w:sz w:val="16"/>
          <w:szCs w:val="16"/>
        </w:rPr>
        <w:softHyphen/>
        <w:t>ления вооружения своих танков, как для пробития брони, так и для борьбы с полевыми укреплениями и огневыми точками, в ходе которого эффективная дальность стрельбы из танка увеличилась по сравнению с началом войны в 4—5 раз, а фугасное действие возросло в 2—3 раза..</w:t>
      </w:r>
    </w:p>
    <w:p w14:paraId="00CB65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сравнивая массо-габаритные данные 75-мм пушки КдуК 42, 88-мм пушки 8шК 43 и унитарных патро</w:t>
      </w:r>
      <w:r w:rsidRPr="00271E51">
        <w:rPr>
          <w:rFonts w:ascii="Times New Roman" w:hAnsi="Times New Roman"/>
          <w:color w:val="000000" w:themeColor="text1"/>
          <w:sz w:val="16"/>
          <w:szCs w:val="16"/>
        </w:rPr>
        <w:softHyphen/>
        <w:t>нов к ним, автор признавал, что 75-мм длинноствольная пушка не имеет существенных преимуществ перед новой 88-мм пушкой как с точки зрения монтажа пушки в танке, так и с точки зрения ее боевого обслуживания. При этом пушка КууК 42 была на 30% слабее по бронепробиваемости и приблизительно на 16-17% по фугасности, а по стоимос</w:t>
      </w:r>
      <w:r w:rsidRPr="00271E51">
        <w:rPr>
          <w:rFonts w:ascii="Times New Roman" w:hAnsi="Times New Roman"/>
          <w:color w:val="000000" w:themeColor="text1"/>
          <w:sz w:val="16"/>
          <w:szCs w:val="16"/>
        </w:rPr>
        <w:softHyphen/>
        <w:t>ти указанное орудие превышает 75-мм пушку «обр. 1940 г.» (Ку/К 40) почти вдвое, имея при этом оригинальный вы</w:t>
      </w:r>
      <w:r w:rsidRPr="00271E51">
        <w:rPr>
          <w:rFonts w:ascii="Times New Roman" w:hAnsi="Times New Roman"/>
          <w:color w:val="000000" w:themeColor="text1"/>
          <w:sz w:val="16"/>
          <w:szCs w:val="16"/>
        </w:rPr>
        <w:softHyphen/>
        <w:t>стрел, размеры которого затрудняют размещение внутри танка большого возимого боекомплекта.</w:t>
      </w:r>
    </w:p>
    <w:p w14:paraId="160B8C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Автор статьи счел такое разнотипие главным недо</w:t>
      </w:r>
      <w:r w:rsidRPr="00271E51">
        <w:rPr>
          <w:rFonts w:ascii="Times New Roman" w:hAnsi="Times New Roman"/>
          <w:color w:val="000000" w:themeColor="text1"/>
          <w:sz w:val="16"/>
          <w:szCs w:val="16"/>
        </w:rPr>
        <w:softHyphen/>
        <w:t>статком немецкой системы танкового вооружения и сви</w:t>
      </w:r>
      <w:r w:rsidRPr="00271E51">
        <w:rPr>
          <w:rFonts w:ascii="Times New Roman" w:hAnsi="Times New Roman"/>
          <w:color w:val="000000" w:themeColor="text1"/>
          <w:sz w:val="16"/>
          <w:szCs w:val="16"/>
        </w:rPr>
        <w:softHyphen/>
        <w:t>детельством того, что она еще не закончена, прогнозируя, что в кампании 1944 г. в немецкой армии должны были появиться танки, вооруженные 88-мм длинноствольными пушками, 105-мм танковыми пушками или орудиями еще большего калибра... (11135).</w:t>
      </w:r>
    </w:p>
    <w:p w14:paraId="54269A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3EA0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935E5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C2D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августа 1943 Толбухин освободил Таганрог (2070,96).</w:t>
      </w:r>
    </w:p>
    <w:p w14:paraId="0535E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13E49" w14:textId="77777777" w:rsidR="00633AC2" w:rsidRPr="00271E51" w:rsidRDefault="00633AC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95F6CAF" w14:textId="77777777" w:rsidR="00633AC2" w:rsidRPr="00271E51" w:rsidRDefault="00633AC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D93A49" w14:textId="77777777" w:rsidR="00633AC2" w:rsidRPr="00271E51" w:rsidRDefault="00633AC2" w:rsidP="00271E51">
      <w:pPr>
        <w:pStyle w:val="ae"/>
        <w:spacing w:before="0" w:after="0"/>
        <w:jc w:val="both"/>
        <w:rPr>
          <w:color w:val="000000" w:themeColor="text1"/>
          <w:sz w:val="16"/>
          <w:szCs w:val="16"/>
          <w:shd w:val="clear" w:color="auto" w:fill="F0FFFF"/>
        </w:rPr>
      </w:pPr>
      <w:r w:rsidRPr="00271E51">
        <w:rPr>
          <w:color w:val="000000" w:themeColor="text1"/>
          <w:sz w:val="16"/>
          <w:szCs w:val="16"/>
        </w:rPr>
        <w:t>К концу августа 1943 г. репарационная комиссия под руководством Уильяма Малкина подготовила первый официальный документ по этой теме. Автором ключевых идей был британский экономист Джон Мэйнард Кейнс (который еще в 1920-е гг. критически высказывался по вопросу репараций). По мнению комиссии, сразу после окончания войны с Германии не должны были взиматься слишком высокие репарации. Компенсация причиненного ущерба предусматривалась в трех формах: 1) в виде использования немецкой рабочей силы (с привлечением до 3 млн человек в течение трех лет); 2) за счет демонтажа части промышленного потенциала, прежде всего военного; 3) путем изъятия продукции из текущего производства в течение пяти лет. При этом точный размер германских репарационных обязательств не назывался (во внутренних документах фигурировала цифра в 4 млрд долларов США). Неудивительно, что споры относительно размеров репараций не прекращались (10850).</w:t>
      </w:r>
    </w:p>
    <w:p w14:paraId="549DCBA6" w14:textId="77777777" w:rsidR="00633AC2" w:rsidRPr="00271E51" w:rsidRDefault="00633AC2" w:rsidP="00271E51">
      <w:pPr>
        <w:pStyle w:val="ae"/>
        <w:spacing w:before="0" w:after="0"/>
        <w:jc w:val="both"/>
        <w:rPr>
          <w:color w:val="000000" w:themeColor="text1"/>
          <w:sz w:val="16"/>
          <w:szCs w:val="16"/>
          <w:shd w:val="clear" w:color="auto" w:fill="F0FFFF"/>
        </w:rPr>
      </w:pPr>
    </w:p>
    <w:p w14:paraId="449A83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6C43F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C48C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августа 1943 фран</w:t>
      </w:r>
      <w:r w:rsidRPr="00271E51">
        <w:rPr>
          <w:rFonts w:ascii="Times New Roman" w:hAnsi="Times New Roman"/>
          <w:color w:val="000000" w:themeColor="text1"/>
          <w:sz w:val="16"/>
          <w:szCs w:val="16"/>
        </w:rPr>
        <w:softHyphen/>
        <w:t>цузский полк Нормандия приступил к боевым вы</w:t>
      </w:r>
      <w:r w:rsidRPr="00271E51">
        <w:rPr>
          <w:rFonts w:ascii="Times New Roman" w:hAnsi="Times New Roman"/>
          <w:color w:val="000000" w:themeColor="text1"/>
          <w:sz w:val="16"/>
          <w:szCs w:val="16"/>
        </w:rPr>
        <w:softHyphen/>
        <w:t>летам с аэродрома Спас-Деменск и принял участие в Смоленской опера</w:t>
      </w:r>
      <w:r w:rsidRPr="00271E51">
        <w:rPr>
          <w:rFonts w:ascii="Times New Roman" w:hAnsi="Times New Roman"/>
          <w:color w:val="000000" w:themeColor="text1"/>
          <w:sz w:val="16"/>
          <w:szCs w:val="16"/>
        </w:rPr>
        <w:softHyphen/>
        <w:t>ции. Летчикам стало известно, что в Кремле Сталин принял генерала Пети и дал принципиальное согласие на раз</w:t>
      </w:r>
      <w:r w:rsidRPr="00271E51">
        <w:rPr>
          <w:rFonts w:ascii="Times New Roman" w:hAnsi="Times New Roman"/>
          <w:color w:val="000000" w:themeColor="text1"/>
          <w:sz w:val="16"/>
          <w:szCs w:val="16"/>
        </w:rPr>
        <w:softHyphen/>
        <w:t>вертывание авиаполка в смешанную французскую авиадивизию, предна</w:t>
      </w:r>
      <w:r w:rsidRPr="00271E51">
        <w:rPr>
          <w:rFonts w:ascii="Times New Roman" w:hAnsi="Times New Roman"/>
          <w:color w:val="000000" w:themeColor="text1"/>
          <w:sz w:val="16"/>
          <w:szCs w:val="16"/>
        </w:rPr>
        <w:softHyphen/>
        <w:t>значенную для советско-германского фронта. В ответ генерал Пети заметил, что “нигде сражающиеся французы не встречают такого хорошего отноше</w:t>
      </w:r>
      <w:r w:rsidRPr="00271E51">
        <w:rPr>
          <w:rFonts w:ascii="Times New Roman" w:hAnsi="Times New Roman"/>
          <w:color w:val="000000" w:themeColor="text1"/>
          <w:sz w:val="16"/>
          <w:szCs w:val="16"/>
        </w:rPr>
        <w:softHyphen/>
        <w:t>ния, как здесь”. Впрочем, несмотря на достигнутую договоренность, фран</w:t>
      </w:r>
      <w:r w:rsidRPr="00271E51">
        <w:rPr>
          <w:rFonts w:ascii="Times New Roman" w:hAnsi="Times New Roman"/>
          <w:color w:val="000000" w:themeColor="text1"/>
          <w:sz w:val="16"/>
          <w:szCs w:val="16"/>
        </w:rPr>
        <w:softHyphen/>
        <w:t>цузская авиадивизия не была сформи</w:t>
      </w:r>
      <w:r w:rsidRPr="00271E51">
        <w:rPr>
          <w:rFonts w:ascii="Times New Roman" w:hAnsi="Times New Roman"/>
          <w:color w:val="000000" w:themeColor="text1"/>
          <w:sz w:val="16"/>
          <w:szCs w:val="16"/>
        </w:rPr>
        <w:softHyphen/>
        <w:t>рована ни в 1943, ни в 1944 г (3956).</w:t>
      </w:r>
    </w:p>
    <w:p w14:paraId="4C429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B1DE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54754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853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НИИ ВВС проходил гос. испытания серийный Ил-2 18 завода N 6454 с крылом прежней стрельчатости (1864).</w:t>
      </w:r>
    </w:p>
    <w:p w14:paraId="64F0A4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CB2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месяце 1943 на фронте появились противотанковые самолеты Ил-2 с пушками НС-37: в 568-м шап 231-й шад и 801-м шап 232-й шад 2-го шак, который действовал в составе 1-й воздушной армии Западного фронта. В следующем месяце боевое применение нового штурмовика началось в частях 1 -го шак, а в октябре — ноябре Ил-2 с «большой пушкой» появился в 7-м шак, 1-й гвардейской и 227-й шад. В общей сложности в войсковых испытаниях были учтены результаты боевых выле</w:t>
      </w:r>
      <w:r w:rsidRPr="00271E51">
        <w:rPr>
          <w:rFonts w:ascii="Times New Roman" w:hAnsi="Times New Roman"/>
          <w:color w:val="000000" w:themeColor="text1"/>
          <w:sz w:val="16"/>
          <w:szCs w:val="16"/>
        </w:rPr>
        <w:softHyphen/>
        <w:t>тов 96 самолетов Ил-2 с НС-37 24-й, 25-й и 26-й серий произ</w:t>
      </w:r>
      <w:r w:rsidRPr="00271E51">
        <w:rPr>
          <w:rFonts w:ascii="Times New Roman" w:hAnsi="Times New Roman"/>
          <w:color w:val="000000" w:themeColor="text1"/>
          <w:sz w:val="16"/>
          <w:szCs w:val="16"/>
        </w:rPr>
        <w:softHyphen/>
        <w:t>водства авиазавода № 30 (11477,347).</w:t>
      </w:r>
    </w:p>
    <w:p w14:paraId="598838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E6D7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по указанию начальника УЗСиМ ВВС КА генерал-майора П.А. Алексеева на заводе № 18 был построен УИл-2 «Лидер» (зав. № 1873169) с увеличенной емкостью бензосистемы до 790—800 л. В центропланных отсеках размеша</w:t>
      </w:r>
      <w:r w:rsidRPr="00271E51">
        <w:rPr>
          <w:rFonts w:ascii="Times New Roman" w:hAnsi="Times New Roman"/>
          <w:color w:val="000000" w:themeColor="text1"/>
          <w:sz w:val="16"/>
          <w:szCs w:val="16"/>
        </w:rPr>
        <w:softHyphen/>
        <w:t>лись два дополнительных бензобака. Дальность полета возрос</w:t>
      </w:r>
      <w:r w:rsidRPr="00271E51">
        <w:rPr>
          <w:rFonts w:ascii="Times New Roman" w:hAnsi="Times New Roman"/>
          <w:color w:val="000000" w:themeColor="text1"/>
          <w:sz w:val="16"/>
          <w:szCs w:val="16"/>
        </w:rPr>
        <w:softHyphen/>
        <w:t>ла. На самолете смонтировали двойное управление тормозами. В кабине штурмана дополнительно устанавливались: компас АМ-4, «Пионер», авиагоризонт, указатель скорости, высоты, вариометр, часы. Самолет успешно прошел заводские летные испытания по специальной программе и затем был передан в 1-ю заб для ли</w:t>
      </w:r>
      <w:r w:rsidRPr="00271E51">
        <w:rPr>
          <w:rFonts w:ascii="Times New Roman" w:hAnsi="Times New Roman"/>
          <w:color w:val="000000" w:themeColor="text1"/>
          <w:sz w:val="16"/>
          <w:szCs w:val="16"/>
        </w:rPr>
        <w:softHyphen/>
        <w:t>дирования маршевых полков (11474,314).</w:t>
      </w:r>
    </w:p>
    <w:p w14:paraId="07F548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A0F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про</w:t>
      </w:r>
      <w:r w:rsidRPr="00271E51">
        <w:rPr>
          <w:rFonts w:ascii="Times New Roman" w:hAnsi="Times New Roman"/>
          <w:color w:val="000000" w:themeColor="text1"/>
          <w:sz w:val="16"/>
          <w:szCs w:val="16"/>
        </w:rPr>
        <w:softHyphen/>
        <w:t>ходил государственные испытания"Истребителя бомбардировщиков" Ил-2И с мотором АМ-38ф был постро</w:t>
      </w:r>
      <w:r w:rsidRPr="00271E51">
        <w:rPr>
          <w:rFonts w:ascii="Times New Roman" w:hAnsi="Times New Roman"/>
          <w:color w:val="000000" w:themeColor="text1"/>
          <w:sz w:val="16"/>
          <w:szCs w:val="16"/>
        </w:rPr>
        <w:softHyphen/>
        <w:t>ен в единственном экземпляре. Новый самолет был переделан в одноместный из обычного серийного двух</w:t>
      </w:r>
      <w:r w:rsidRPr="00271E51">
        <w:rPr>
          <w:rFonts w:ascii="Times New Roman" w:hAnsi="Times New Roman"/>
          <w:color w:val="000000" w:themeColor="text1"/>
          <w:sz w:val="16"/>
          <w:szCs w:val="16"/>
        </w:rPr>
        <w:softHyphen/>
        <w:t>местного Ил-2 (зав. № 7581) производ</w:t>
      </w:r>
      <w:r w:rsidRPr="00271E51">
        <w:rPr>
          <w:rFonts w:ascii="Times New Roman" w:hAnsi="Times New Roman"/>
          <w:color w:val="000000" w:themeColor="text1"/>
          <w:sz w:val="16"/>
          <w:szCs w:val="16"/>
        </w:rPr>
        <w:softHyphen/>
        <w:t>ства завода № 1. Крыло самолета было усилено за счет увеличения площади склейки и приклепки деревянной об</w:t>
      </w:r>
      <w:r w:rsidRPr="00271E51">
        <w:rPr>
          <w:rFonts w:ascii="Times New Roman" w:hAnsi="Times New Roman"/>
          <w:color w:val="000000" w:themeColor="text1"/>
          <w:sz w:val="16"/>
          <w:szCs w:val="16"/>
        </w:rPr>
        <w:softHyphen/>
        <w:t>шивки к верхним поясам лонжеронов. С самолета были сняты пулеметы ШКАС, направляющие PC и внутренние бомбо</w:t>
      </w:r>
      <w:r w:rsidRPr="00271E51">
        <w:rPr>
          <w:rFonts w:ascii="Times New Roman" w:hAnsi="Times New Roman"/>
          <w:color w:val="000000" w:themeColor="text1"/>
          <w:sz w:val="16"/>
          <w:szCs w:val="16"/>
        </w:rPr>
        <w:softHyphen/>
        <w:t>держатели. Бомболюки заделывались. Вооружение самолета составили две пушки ВЯ (150 снарядов на ствол) и две ФАБ-250 наружной подвески на замках МДЗ-42 (6467).</w:t>
      </w:r>
    </w:p>
    <w:p w14:paraId="33819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D10FD" w14:textId="77777777" w:rsidR="00E44A32" w:rsidRPr="00271E51" w:rsidRDefault="00E44A32"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августе 1943 г. проходила испытания модернизированная установка ВУБ-3м, изго</w:t>
      </w:r>
      <w:r w:rsidRPr="00271E51">
        <w:rPr>
          <w:rFonts w:ascii="Times New Roman" w:hAnsi="Times New Roman"/>
          <w:color w:val="0070C0"/>
          <w:sz w:val="16"/>
          <w:szCs w:val="16"/>
        </w:rPr>
        <w:softHyphen/>
        <w:t>товленная заводом №43. На ней установили новый механический подтяг патронной ленты конструкции Городенцева, применили ша</w:t>
      </w:r>
      <w:r w:rsidRPr="00271E51">
        <w:rPr>
          <w:rFonts w:ascii="Times New Roman" w:hAnsi="Times New Roman"/>
          <w:color w:val="0070C0"/>
          <w:sz w:val="16"/>
          <w:szCs w:val="16"/>
        </w:rPr>
        <w:softHyphen/>
        <w:t>рикоподшипники с улучшенной обоймой на каретке полукольца и увеличили прочность горловины патронного рукава. Маневренность и надежность установки повысились. Усилие перемещения каретки по кольцу (сила, приложенная к ручке управления по касательной к каретке) сократилась до 9,3-9,5 кг. Однако углы доводок все равно не отвечали требова</w:t>
      </w:r>
      <w:r w:rsidRPr="00271E51">
        <w:rPr>
          <w:rFonts w:ascii="Times New Roman" w:hAnsi="Times New Roman"/>
          <w:color w:val="0070C0"/>
          <w:sz w:val="16"/>
          <w:szCs w:val="16"/>
        </w:rPr>
        <w:softHyphen/>
        <w:t>ниям войны.</w:t>
      </w:r>
    </w:p>
    <w:p w14:paraId="00D1831F"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Доработанные варианты ВУБ-3м заво</w:t>
      </w:r>
      <w:r w:rsidRPr="00271E51">
        <w:rPr>
          <w:rFonts w:ascii="Times New Roman" w:hAnsi="Times New Roman" w:cs="Times New Roman"/>
          <w:color w:val="0070C0"/>
          <w:sz w:val="16"/>
          <w:szCs w:val="16"/>
        </w:rPr>
        <w:softHyphen/>
        <w:t>дов №32 и №43 в феврале следующего года проходили контрольные испытания в НИИ АВ ВВС, но неудачно, главным образом по при</w:t>
      </w:r>
      <w:r w:rsidRPr="00271E51">
        <w:rPr>
          <w:rFonts w:ascii="Times New Roman" w:hAnsi="Times New Roman" w:cs="Times New Roman"/>
          <w:color w:val="0070C0"/>
          <w:sz w:val="16"/>
          <w:szCs w:val="16"/>
        </w:rPr>
        <w:softHyphen/>
        <w:t>чине</w:t>
      </w:r>
      <w:r w:rsidRPr="00271E51">
        <w:rPr>
          <w:rStyle w:val="800"/>
          <w:rFonts w:ascii="Times New Roman" w:hAnsi="Times New Roman" w:cs="Times New Roman"/>
          <w:i w:val="0"/>
          <w:iCs w:val="0"/>
          <w:color w:val="0070C0"/>
          <w:w w:val="100"/>
          <w:sz w:val="16"/>
          <w:szCs w:val="16"/>
        </w:rPr>
        <w:t xml:space="preserve"> «низкой надежности работы агрегатов питания конструкции»</w:t>
      </w:r>
      <w:r w:rsidRPr="00271E51">
        <w:rPr>
          <w:rFonts w:ascii="Times New Roman" w:hAnsi="Times New Roman" w:cs="Times New Roman"/>
          <w:color w:val="0070C0"/>
          <w:sz w:val="16"/>
          <w:szCs w:val="16"/>
        </w:rPr>
        <w:t xml:space="preserve"> и их недостаточной прочности.</w:t>
      </w:r>
    </w:p>
    <w:p w14:paraId="009FDB23"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 целью устранения недостатков уста</w:t>
      </w:r>
      <w:r w:rsidRPr="00271E51">
        <w:rPr>
          <w:rFonts w:ascii="Times New Roman" w:hAnsi="Times New Roman" w:cs="Times New Roman"/>
          <w:color w:val="0070C0"/>
          <w:sz w:val="16"/>
          <w:szCs w:val="16"/>
        </w:rPr>
        <w:softHyphen/>
        <w:t>новки ВУБ-3 технический состав и специали</w:t>
      </w:r>
      <w:r w:rsidRPr="00271E51">
        <w:rPr>
          <w:rFonts w:ascii="Times New Roman" w:hAnsi="Times New Roman" w:cs="Times New Roman"/>
          <w:color w:val="0070C0"/>
          <w:sz w:val="16"/>
          <w:szCs w:val="16"/>
        </w:rPr>
        <w:softHyphen/>
        <w:t>сты по вооружению полков довольно много экспериментировали. В частности, в июне 1943 г. заместитель старшего техника по во</w:t>
      </w:r>
      <w:r w:rsidRPr="00271E51">
        <w:rPr>
          <w:rFonts w:ascii="Times New Roman" w:hAnsi="Times New Roman" w:cs="Times New Roman"/>
          <w:color w:val="0070C0"/>
          <w:sz w:val="16"/>
          <w:szCs w:val="16"/>
        </w:rPr>
        <w:softHyphen/>
        <w:t>оружению 825-го шап старший техник-лейте</w:t>
      </w:r>
      <w:r w:rsidRPr="00271E51">
        <w:rPr>
          <w:rFonts w:ascii="Times New Roman" w:hAnsi="Times New Roman" w:cs="Times New Roman"/>
          <w:color w:val="0070C0"/>
          <w:sz w:val="16"/>
          <w:szCs w:val="16"/>
        </w:rPr>
        <w:softHyphen/>
        <w:t>нант Гонин снял с установки гибкий рукав (от него остался только переходник основания), вывел ленту из центра патронного ящика вверх через трапециевидную воронку прямо в приемник и срезал угол воронки, касающийся при развороте вправо борта самолета.</w:t>
      </w:r>
    </w:p>
    <w:p w14:paraId="0FA67AE7"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Отстрел показал, что по сравнению с се</w:t>
      </w:r>
      <w:r w:rsidRPr="00271E51">
        <w:rPr>
          <w:rFonts w:ascii="Times New Roman" w:hAnsi="Times New Roman" w:cs="Times New Roman"/>
          <w:color w:val="0070C0"/>
          <w:sz w:val="16"/>
          <w:szCs w:val="16"/>
        </w:rPr>
        <w:softHyphen/>
        <w:t>рийной установкой углы возвышения и сни</w:t>
      </w:r>
      <w:r w:rsidRPr="00271E51">
        <w:rPr>
          <w:rFonts w:ascii="Times New Roman" w:hAnsi="Times New Roman" w:cs="Times New Roman"/>
          <w:color w:val="0070C0"/>
          <w:sz w:val="16"/>
          <w:szCs w:val="16"/>
        </w:rPr>
        <w:softHyphen/>
        <w:t>жения увеличились настолько,</w:t>
      </w:r>
      <w:r w:rsidRPr="00271E51">
        <w:rPr>
          <w:rStyle w:val="800"/>
          <w:rFonts w:ascii="Times New Roman" w:hAnsi="Times New Roman" w:cs="Times New Roman"/>
          <w:i w:val="0"/>
          <w:iCs w:val="0"/>
          <w:color w:val="0070C0"/>
          <w:w w:val="100"/>
          <w:sz w:val="16"/>
          <w:szCs w:val="16"/>
        </w:rPr>
        <w:t xml:space="preserve"> «насколько воздушный стрелок может высунуться из кабины».</w:t>
      </w:r>
      <w:r w:rsidRPr="00271E51">
        <w:rPr>
          <w:rFonts w:ascii="Times New Roman" w:hAnsi="Times New Roman" w:cs="Times New Roman"/>
          <w:color w:val="0070C0"/>
          <w:sz w:val="16"/>
          <w:szCs w:val="16"/>
        </w:rPr>
        <w:t xml:space="preserve"> При переводе пулемета в крайнее левое положение его задняя часть опускались ниже на 65 мм (около 8-9°). При постановке пулемета по центру углы возвышения были одинаковыми. При переводе УБТ в крайне правое положение ствол пулемета опускался </w:t>
      </w:r>
      <w:r w:rsidRPr="00271E51">
        <w:rPr>
          <w:rStyle w:val="800"/>
          <w:rFonts w:ascii="Times New Roman" w:hAnsi="Times New Roman" w:cs="Times New Roman"/>
          <w:i w:val="0"/>
          <w:iCs w:val="0"/>
          <w:color w:val="0070C0"/>
          <w:w w:val="100"/>
          <w:sz w:val="16"/>
          <w:szCs w:val="16"/>
        </w:rPr>
        <w:t>«меньше на 100 мм, но это компенсируется увеличением хода самой установки вправо на 2 зуба кольца установки».</w:t>
      </w:r>
      <w:r w:rsidRPr="00271E51">
        <w:rPr>
          <w:rFonts w:ascii="Times New Roman" w:hAnsi="Times New Roman" w:cs="Times New Roman"/>
          <w:color w:val="0070C0"/>
          <w:sz w:val="16"/>
          <w:szCs w:val="16"/>
        </w:rPr>
        <w:t xml:space="preserve"> Кроме того, время заряжания патронной ленты в пулемет сокра</w:t>
      </w:r>
      <w:r w:rsidRPr="00271E51">
        <w:rPr>
          <w:rFonts w:ascii="Times New Roman" w:hAnsi="Times New Roman" w:cs="Times New Roman"/>
          <w:color w:val="0070C0"/>
          <w:sz w:val="16"/>
          <w:szCs w:val="16"/>
        </w:rPr>
        <w:softHyphen/>
        <w:t>тилось до 30 с.</w:t>
      </w:r>
    </w:p>
    <w:p w14:paraId="00C59CD7"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lastRenderedPageBreak/>
        <w:t>Учитывая положительные результаты та</w:t>
      </w:r>
      <w:r w:rsidRPr="00271E51">
        <w:rPr>
          <w:rFonts w:ascii="Times New Roman" w:hAnsi="Times New Roman" w:cs="Times New Roman"/>
          <w:color w:val="0070C0"/>
          <w:sz w:val="16"/>
          <w:szCs w:val="16"/>
        </w:rPr>
        <w:softHyphen/>
        <w:t>кой доработки, заместитель старшего инже</w:t>
      </w:r>
      <w:r w:rsidRPr="00271E51">
        <w:rPr>
          <w:rFonts w:ascii="Times New Roman" w:hAnsi="Times New Roman" w:cs="Times New Roman"/>
          <w:color w:val="0070C0"/>
          <w:sz w:val="16"/>
          <w:szCs w:val="16"/>
        </w:rPr>
        <w:softHyphen/>
        <w:t>нера по вооружению 225-й шад инженер-ка</w:t>
      </w:r>
      <w:r w:rsidRPr="00271E51">
        <w:rPr>
          <w:rFonts w:ascii="Times New Roman" w:hAnsi="Times New Roman" w:cs="Times New Roman"/>
          <w:color w:val="0070C0"/>
          <w:sz w:val="16"/>
          <w:szCs w:val="16"/>
        </w:rPr>
        <w:softHyphen/>
        <w:t>питан Николаев в рапорте от 23 июня просил заместителя главного инженера по вооруже</w:t>
      </w:r>
      <w:r w:rsidRPr="00271E51">
        <w:rPr>
          <w:rFonts w:ascii="Times New Roman" w:hAnsi="Times New Roman" w:cs="Times New Roman"/>
          <w:color w:val="0070C0"/>
          <w:sz w:val="16"/>
          <w:szCs w:val="16"/>
        </w:rPr>
        <w:softHyphen/>
        <w:t>нию 15-й воздушной армии модифицировать подобным образом установки ВУБ-3 на само</w:t>
      </w:r>
      <w:r w:rsidRPr="00271E51">
        <w:rPr>
          <w:rFonts w:ascii="Times New Roman" w:hAnsi="Times New Roman" w:cs="Times New Roman"/>
          <w:color w:val="0070C0"/>
          <w:sz w:val="16"/>
          <w:szCs w:val="16"/>
        </w:rPr>
        <w:softHyphen/>
        <w:t>летах одного звена</w:t>
      </w:r>
      <w:r w:rsidRPr="00271E51">
        <w:rPr>
          <w:rStyle w:val="800"/>
          <w:rFonts w:ascii="Times New Roman" w:hAnsi="Times New Roman" w:cs="Times New Roman"/>
          <w:i w:val="0"/>
          <w:iCs w:val="0"/>
          <w:color w:val="0070C0"/>
          <w:w w:val="100"/>
          <w:sz w:val="16"/>
          <w:szCs w:val="16"/>
        </w:rPr>
        <w:t xml:space="preserve"> «для окончательного убеж</w:t>
      </w:r>
      <w:r w:rsidRPr="00271E51">
        <w:rPr>
          <w:rStyle w:val="800"/>
          <w:rFonts w:ascii="Times New Roman" w:hAnsi="Times New Roman" w:cs="Times New Roman"/>
          <w:i w:val="0"/>
          <w:iCs w:val="0"/>
          <w:color w:val="0070C0"/>
          <w:w w:val="100"/>
          <w:sz w:val="16"/>
          <w:szCs w:val="16"/>
        </w:rPr>
        <w:softHyphen/>
        <w:t>дения в целесообразности этого».</w:t>
      </w:r>
    </w:p>
    <w:p w14:paraId="381E8FAD"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Примерно в это же время в 775-м шап по предложению помощника командира полка по воздушно-стрелковой службе старшего техника-лейтенанта И.П. Постасюка с целью увеличения углов обстрела из пулемета УБТ был укорочен патронный ящик и перенесены ограничители на полукольце турели. Испыта</w:t>
      </w:r>
      <w:r w:rsidRPr="00271E51">
        <w:rPr>
          <w:rFonts w:ascii="Times New Roman" w:hAnsi="Times New Roman" w:cs="Times New Roman"/>
          <w:color w:val="0070C0"/>
          <w:sz w:val="16"/>
          <w:szCs w:val="16"/>
        </w:rPr>
        <w:softHyphen/>
        <w:t>ния стрельбой в воздухе показали, что углы обстрела влево и вправо увеличились до 90°. При этом автоматическая стрельба влево и вправо вверх при всех углах поворота пуле</w:t>
      </w:r>
      <w:r w:rsidRPr="00271E51">
        <w:rPr>
          <w:rFonts w:ascii="Times New Roman" w:hAnsi="Times New Roman" w:cs="Times New Roman"/>
          <w:color w:val="0070C0"/>
          <w:sz w:val="16"/>
          <w:szCs w:val="16"/>
        </w:rPr>
        <w:softHyphen/>
        <w:t>мета оказалась возможной, но прицеливаться на предельных углах поворота вправо было трудно, так как прицел располагался слева. При стрельбе влево и вправо вниз</w:t>
      </w:r>
      <w:r w:rsidRPr="00271E51">
        <w:rPr>
          <w:rStyle w:val="800"/>
          <w:rFonts w:ascii="Times New Roman" w:hAnsi="Times New Roman" w:cs="Times New Roman"/>
          <w:i w:val="0"/>
          <w:iCs w:val="0"/>
          <w:color w:val="0070C0"/>
          <w:w w:val="100"/>
          <w:sz w:val="16"/>
          <w:szCs w:val="16"/>
        </w:rPr>
        <w:t xml:space="preserve"> «с выносом затыльника пулемета на кольцо турели 93° /.../ происходил зажим подводящего рукава и неправильная подача патрона».</w:t>
      </w:r>
    </w:p>
    <w:p w14:paraId="077ABE73"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Во всех случаях прицельный огонь в сто</w:t>
      </w:r>
      <w:r w:rsidRPr="00271E51">
        <w:rPr>
          <w:rFonts w:ascii="Times New Roman" w:hAnsi="Times New Roman" w:cs="Times New Roman"/>
          <w:color w:val="0070C0"/>
          <w:sz w:val="16"/>
          <w:szCs w:val="16"/>
        </w:rPr>
        <w:softHyphen/>
        <w:t>роны допускалось вести при углах до 60°, а в диапазоне 60-90° - главным образом по трассе.</w:t>
      </w:r>
    </w:p>
    <w:p w14:paraId="0AE8F9E7" w14:textId="77777777" w:rsidR="00E44A32" w:rsidRPr="00271E51" w:rsidRDefault="00E44A32" w:rsidP="00271E51">
      <w:pPr>
        <w:pStyle w:val="11c"/>
        <w:shd w:val="clear" w:color="auto" w:fill="auto"/>
        <w:spacing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Помощник командира 2-го смешанного авиакорпуса по воздушно-стрелковой службе инженер-майор Волощенко считал целесоо</w:t>
      </w:r>
      <w:r w:rsidRPr="00271E51">
        <w:rPr>
          <w:rFonts w:ascii="Times New Roman" w:hAnsi="Times New Roman" w:cs="Times New Roman"/>
          <w:color w:val="0070C0"/>
          <w:sz w:val="16"/>
          <w:szCs w:val="16"/>
        </w:rPr>
        <w:softHyphen/>
        <w:t>бразным выполнить такую доработку на всех Ил-2, о чем и доложил специальным донесе</w:t>
      </w:r>
      <w:r w:rsidRPr="00271E51">
        <w:rPr>
          <w:rFonts w:ascii="Times New Roman" w:hAnsi="Times New Roman" w:cs="Times New Roman"/>
          <w:color w:val="0070C0"/>
          <w:sz w:val="16"/>
          <w:szCs w:val="16"/>
        </w:rPr>
        <w:softHyphen/>
        <w:t>нием от 16 июля помощнику командующего ВВС КА по воздушно-стрелковой службе гене</w:t>
      </w:r>
      <w:r w:rsidRPr="00271E51">
        <w:rPr>
          <w:rFonts w:ascii="Times New Roman" w:hAnsi="Times New Roman" w:cs="Times New Roman"/>
          <w:color w:val="0070C0"/>
          <w:sz w:val="16"/>
          <w:szCs w:val="16"/>
        </w:rPr>
        <w:softHyphen/>
        <w:t>рал-майору Рафаловичу (19879).</w:t>
      </w:r>
    </w:p>
    <w:p w14:paraId="26C7C845" w14:textId="77777777" w:rsidR="00E44A32" w:rsidRPr="00271E51" w:rsidRDefault="00E44A32" w:rsidP="00271E51">
      <w:pPr>
        <w:shd w:val="clear" w:color="auto" w:fill="FFFFFF"/>
        <w:spacing w:after="0" w:line="240" w:lineRule="auto"/>
        <w:jc w:val="both"/>
        <w:rPr>
          <w:rFonts w:ascii="Times New Roman" w:hAnsi="Times New Roman"/>
          <w:color w:val="0070C0"/>
          <w:sz w:val="16"/>
          <w:szCs w:val="16"/>
          <w:lang w:val="ru"/>
        </w:rPr>
      </w:pPr>
    </w:p>
    <w:p w14:paraId="0E524F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запоздав по ряду причин, С.В.Ильюшин представил эскизный нового штурмовика уже под обозначением Ил-8 М-71.</w:t>
      </w:r>
    </w:p>
    <w:p w14:paraId="06B66A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предполагалось забронировать экипаж, маслорадиатор, бензо- и маслобаки (толщина брони -везде б мм).</w:t>
      </w:r>
    </w:p>
    <w:p w14:paraId="1F14B8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размещался внутри броне-капота (толщина брони б мм), диск кока винта выполнялся из брони толщиной 8 мм.</w:t>
      </w:r>
    </w:p>
    <w:p w14:paraId="7905A3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 со стороны передней полусферы защищался прозрачным бронестеклом толщиной 62 мм, с боков и снизу - броней толщиной б мм, а со стороны задней полусферы - 16-мм броневым листом. На фонаре кабины пилота сверху и с боков устанавливались 6-мм бронеплиты.</w:t>
      </w:r>
    </w:p>
    <w:p w14:paraId="6852A0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 стрелка также бронировалась: сзади стрелок защищался 16-мм бронеплитой, с боков и снизу - б-мм броней. Башня турели была полностью забронирована металлической броней толщиной б мм.</w:t>
      </w:r>
    </w:p>
    <w:p w14:paraId="44F6CC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 установки пулемета на башне располагалась 62-мм прозрачная броня. Из прозрачной брони такой же толщины были выполнены и смотровые окна, расположенные по бокам башни.</w:t>
      </w:r>
    </w:p>
    <w:p w14:paraId="4AFFB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самолета должны были быть достаточно высокими. В своем заключении по проекту специалисты НИИ ВВС отметили хорошие бронирование самолета и защиту задней полусферы и сделали вывод о целесообразности его постройки. Однако руководство НИИ ВВС заключение на эскизный проект Ил-8 М-71 не утвердило.</w:t>
      </w:r>
    </w:p>
    <w:p w14:paraId="4F2769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Позже в делах НИИ ВВС отмечалось, что штурмовик строиться все-таки не будет. Одна из причин, видимо, состояла в том, что 30 августа 1943 г. успешно закончились государственные испытания двухместного варианта штурмовика Су-б с мотором М-71Ф (взлетная мощность 2200 л. с.), летные данные которого были несколько лучше, чем у Ил-8 М-71.</w:t>
      </w:r>
    </w:p>
    <w:p w14:paraId="35FAAE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маневренности, скороподъемности и максимальным скоростям у земли и на высоте “Сухой” превосходил “Ил”, хотя по бронированию и оборонительным возможностям уступал. Заметим, что при постановке на Ил-8 мотора М-71Ф максимальная скорость полета “Ила” у земли могла бы составить 528 км/ч, против 480 у Су-6 М-71Ф.</w:t>
      </w:r>
    </w:p>
    <w:p w14:paraId="6CFCA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причиной могли быть известные сложности с запуском в серийное производство в условиях войны моторов М-71 и М-71Ф, которые также решили судьбу и Су-6 М-71Ф - серийно штурмовик не строился.</w:t>
      </w:r>
    </w:p>
    <w:p w14:paraId="33733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признать, что серьезных усилий со стороны руководства НКАП по запуску 71-го мотора в серийное производство все же не предпринималось.</w:t>
      </w:r>
    </w:p>
    <w:p w14:paraId="661E15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Можно только сожалеть, что не был запущен в серию Су-6 М-71Ф (его появление на фронте благоприятно сказалось бы на эффективности действий штурмовой авиации Красной армии) и не были построены опытные экземпляры самолета Ил-8 М-71. Это способствовало бы их взаимному совершенствованию (9649).</w:t>
      </w:r>
    </w:p>
    <w:p w14:paraId="2B2568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B2B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НИИ ВВС был представлен доработанный проект двухместного штурмовика С.В.И. под мотор М-71 (уже под обозна</w:t>
      </w:r>
      <w:r w:rsidRPr="00271E51">
        <w:rPr>
          <w:rFonts w:ascii="Times New Roman" w:hAnsi="Times New Roman"/>
          <w:color w:val="000000" w:themeColor="text1"/>
          <w:sz w:val="16"/>
          <w:szCs w:val="16"/>
        </w:rPr>
        <w:softHyphen/>
        <w:t>чением Ил-8 М-71), а сама ма</w:t>
      </w:r>
      <w:r w:rsidRPr="00271E51">
        <w:rPr>
          <w:rFonts w:ascii="Times New Roman" w:hAnsi="Times New Roman"/>
          <w:color w:val="000000" w:themeColor="text1"/>
          <w:sz w:val="16"/>
          <w:szCs w:val="16"/>
        </w:rPr>
        <w:softHyphen/>
        <w:t>шина так никогда и не была постро</w:t>
      </w:r>
      <w:r w:rsidRPr="00271E51">
        <w:rPr>
          <w:rFonts w:ascii="Times New Roman" w:hAnsi="Times New Roman"/>
          <w:color w:val="000000" w:themeColor="text1"/>
          <w:sz w:val="16"/>
          <w:szCs w:val="16"/>
        </w:rPr>
        <w:softHyphen/>
        <w:t>ена. Первоначальный эскизный проект 15 сентября 1942, как следует из документов, по</w:t>
      </w:r>
      <w:r w:rsidRPr="00271E51">
        <w:rPr>
          <w:rFonts w:ascii="Times New Roman" w:hAnsi="Times New Roman"/>
          <w:color w:val="000000" w:themeColor="text1"/>
          <w:sz w:val="16"/>
          <w:szCs w:val="16"/>
        </w:rPr>
        <w:softHyphen/>
        <w:t>ступил в НИИ ВВС. После детального анализа матери</w:t>
      </w:r>
      <w:r w:rsidRPr="00271E51">
        <w:rPr>
          <w:rFonts w:ascii="Times New Roman" w:hAnsi="Times New Roman"/>
          <w:color w:val="000000" w:themeColor="text1"/>
          <w:sz w:val="16"/>
          <w:szCs w:val="16"/>
        </w:rPr>
        <w:softHyphen/>
        <w:t>алов инженер-подполковник К. А. Калилец и инженер-майор А. В. Си</w:t>
      </w:r>
      <w:r w:rsidRPr="00271E51">
        <w:rPr>
          <w:rFonts w:ascii="Times New Roman" w:hAnsi="Times New Roman"/>
          <w:color w:val="000000" w:themeColor="text1"/>
          <w:sz w:val="16"/>
          <w:szCs w:val="16"/>
        </w:rPr>
        <w:softHyphen/>
        <w:t>нельников дали отрицательное зак</w:t>
      </w:r>
      <w:r w:rsidRPr="00271E51">
        <w:rPr>
          <w:rFonts w:ascii="Times New Roman" w:hAnsi="Times New Roman"/>
          <w:color w:val="000000" w:themeColor="text1"/>
          <w:sz w:val="16"/>
          <w:szCs w:val="16"/>
        </w:rPr>
        <w:softHyphen/>
        <w:t>лючение. Вместе с этим они отмеча</w:t>
      </w:r>
      <w:r w:rsidRPr="00271E51">
        <w:rPr>
          <w:rFonts w:ascii="Times New Roman" w:hAnsi="Times New Roman"/>
          <w:color w:val="000000" w:themeColor="text1"/>
          <w:sz w:val="16"/>
          <w:szCs w:val="16"/>
        </w:rPr>
        <w:softHyphen/>
        <w:t>ли, что самолет представляет несом</w:t>
      </w:r>
      <w:r w:rsidRPr="00271E51">
        <w:rPr>
          <w:rFonts w:ascii="Times New Roman" w:hAnsi="Times New Roman"/>
          <w:color w:val="000000" w:themeColor="text1"/>
          <w:sz w:val="16"/>
          <w:szCs w:val="16"/>
        </w:rPr>
        <w:softHyphen/>
        <w:t>ненный интерес для ВВС. Ильюшину было предложено внести в проект из</w:t>
      </w:r>
      <w:r w:rsidRPr="00271E51">
        <w:rPr>
          <w:rFonts w:ascii="Times New Roman" w:hAnsi="Times New Roman"/>
          <w:color w:val="000000" w:themeColor="text1"/>
          <w:sz w:val="16"/>
          <w:szCs w:val="16"/>
        </w:rPr>
        <w:softHyphen/>
        <w:t>менения и повторно предъявить его на рассмотрение (11426).</w:t>
      </w:r>
    </w:p>
    <w:p w14:paraId="0E6DC3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F5C563" w14:textId="77777777" w:rsidR="00800387" w:rsidRPr="00271E51" w:rsidRDefault="0080038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доработанный проект самолета БШ-М71 С.В.И. (уже под обозначением Ил-8 М-71) был представлен только, а сама машина так никогда и не была построена (17490).</w:t>
      </w:r>
    </w:p>
    <w:p w14:paraId="26A223A9" w14:textId="77777777" w:rsidR="00800387" w:rsidRPr="00271E51" w:rsidRDefault="00800387" w:rsidP="00271E51">
      <w:pPr>
        <w:spacing w:after="0" w:line="240" w:lineRule="auto"/>
        <w:jc w:val="both"/>
        <w:rPr>
          <w:rFonts w:ascii="Times New Roman" w:eastAsia="Times New Roman" w:hAnsi="Times New Roman"/>
          <w:color w:val="000000" w:themeColor="text1"/>
          <w:sz w:val="16"/>
          <w:szCs w:val="16"/>
          <w:lang w:eastAsia="ru-RU"/>
        </w:rPr>
      </w:pPr>
    </w:p>
    <w:p w14:paraId="353EC2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18-й авиазавод передал опытный Ил-2М АМ-42 для доводки на московский авиазавод №240 (опытный завод ОКБ С. В. Ильюшина).</w:t>
      </w:r>
    </w:p>
    <w:p w14:paraId="43C49D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 штурмовик-бомбардировщик, получивший обозначение Ил-2М АМ-42 был приспособлен к нанесению бомбовых ударов по долговременным сооружениям укрепрайонов в условиях сильного огня зенитной артиллерии.</w:t>
      </w:r>
    </w:p>
    <w:p w14:paraId="68CD90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машина отражала концепцию тяжелого самолета-штурмовика с усиленным, по сравнению с Ил-2 АМ-38ф, бомбовым вооружением (при сохранении мощи стрелково-пушечного вооружения на прежнем уровне) и увеличенной живучестью.</w:t>
      </w:r>
    </w:p>
    <w:p w14:paraId="3136D6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Ил-2М АМ-42 были реализованы многие конструктивные изменения из числа перечисленных для первого опытного самолета.</w:t>
      </w:r>
    </w:p>
    <w:p w14:paraId="1FC99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Особенностью этого штурмовика являлась специальная стальная башня стрелка-радиста (такая же как у Ил-8 М-71), обеспечивающая как отличную защиту, так и большие углы обстрела из крупнокалиберного пулемета УБК:</w:t>
      </w:r>
    </w:p>
    <w:p w14:paraId="12D0C0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вверх - до 45° (у серийного Ил-2 АМ-38ф - до 32°), вниз с бортов - до 15° (у Ил-2 АМ-38Ф - до 11°), вправо и влево - до 120° (у Ил-2 АМ-38Ф - до 43°). Нормальная бомбовая нагрузка была увеличена до 500 кг.</w:t>
      </w:r>
    </w:p>
    <w:p w14:paraId="6D6D4D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Стальная башня, из-за плохого обзора, была снята. Сначала ее заменили обычной башенной турелью, затем - турельной установкой по типу Ил-2 АМ-38Ф.</w:t>
      </w:r>
    </w:p>
    <w:p w14:paraId="153826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испытательных полетах Ил-2М АМ-42 с воздушным винтом диаметром 4,0 м показал значительно лучшие летные данные, чем серийный Ил-2 АМ-38Ф.</w:t>
      </w:r>
    </w:p>
    <w:p w14:paraId="262E94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наблюдавшаяся при этом тряска мотора не позволяла нормально летать.</w:t>
      </w:r>
    </w:p>
    <w:p w14:paraId="6402E9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Условия полета нового штурмовика нормализовались лишь при установке винта диаметром 3,6 м. При этом летные данные машины снизились почти до уровня Ил-2 АМ-38Ф...(9649).</w:t>
      </w:r>
    </w:p>
    <w:p w14:paraId="5ECB9E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F8ED"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г. система нейтрального газа 1 -й зоны от выхлопа мотора была разработана и испытана. Первый вариант системы НГ-1 смонтировали на серийном самолете Ил-2 (зав. №1873370). К 1 сентября его передали в ЛИС завода №18 для проведения заводских испытаний.</w:t>
      </w:r>
    </w:p>
    <w:p w14:paraId="48D97BEE"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стальной трубы, участок от газозаборника до входа в крыло - из стальной трубки, а остальная часть - из дюралевых труб. Включение и отключение подачи выхлопных газов в бензобаки осуществлялось летчиком при помощи крана пробкового типа.</w:t>
      </w:r>
    </w:p>
    <w:p w14:paraId="5A743F83"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первом этапе программы испытаний планировалось выполнить три полета, во время которых предполагалось взять пробы газа из баков, замерить давление газа в баках и его температуру перед входом в фильтр-отстойник и на входе в баки. Отбор газа производился с помощью кислородных подушек.</w:t>
      </w:r>
    </w:p>
    <w:p w14:paraId="38B56D91"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Первый же полет показал несовершенство конструкции, предложенной заводом №18. Выполнить отбор газа для пробы в полете не удалось. Стрелка манометра едва отклонялась, не давая возможности произвести отсчет давления. Температура газа у входа в фильтр была зарегистрирована 50°С, у входа в бензобаки 15‘С. По словам летчика, трубки системы и кран заполнения, находящиеся в кабине были во время полета горячими. При попытке набрать газ в кислородную подушку из прямого участка магистрали, идущей от забора к фильтру, удалось за 3 мин набрать всего 1,5-2 л.</w:t>
      </w:r>
    </w:p>
    <w:p w14:paraId="23391983"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Полученные данные оказались далекими от ожидаемого результата и главное, весьма противоречивыми. В качестве основной причины отмечалось неудачное расположение трубки газозаборника, которая «своим обрезком близко расположена к клапанам» и «находится в затененном пространстве между клапанами и в нее мало поступает газа». Кроме этого, требовалось выполнить тарировку приборов - манометров и датчиков температур.</w:t>
      </w:r>
    </w:p>
    <w:p w14:paraId="60947527"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ходе второго испытательного полета установили, что температуры газов нормальные, «но газа удалось набрать в количестве, недостаточном для производства анализа». В этой связи решили изменить форму газозаборника и его местоположение в выхлопном патрубке: «..Заборная трубка изготавливается с раструбом и будет поставлена эксцентрично в выхлопном патрубке».</w:t>
      </w:r>
    </w:p>
    <w:p w14:paraId="3A5F4CB5"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этому времени было получено устное распоряжение по телефону от начальника 1-го отдела УЗСиМ ГУ НАС ВВС инженер-полковника Ковалева о срочной отправке самолета на испытания в НИИ ВВС.</w:t>
      </w:r>
    </w:p>
    <w:p w14:paraId="750E9909"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Уже к 10 октября систему доработали и выполнили очередной испытательный полет. Были взяты две пробы газа на земле при работе мотора на режиме 2050 об/мин и Ра=1200 и Ра=800-880 мм.рт.ст. и одна проба в воздухе.</w:t>
      </w:r>
    </w:p>
    <w:p w14:paraId="4C11F3F1"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Проба в полете отбиралась в течение 25 мин, спустя 15 мин после взлета при включенном заполнении баков от выхлопа. Все три пробы показали одно и то же содержание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- 2-2,5%. После этого взяли еще одну пробу непосредственно из трубки, идущей от заборника. Ее анализ показал содержание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равное 4-4,5%. Давление газа в баке во всех случаях не превышало 0,03 атм. Температура газа до фильтра составляла 18-20‘С, на входе в бак - 10-12°С, при окружающей температуре 10°С.</w:t>
      </w:r>
    </w:p>
    <w:p w14:paraId="67C84030"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Комиссия специалистов военного представительства, СКО и ЛИС завода №18 сочла, что: «система обеспечивает поступление в баки выхлопных газов, с содержанием 4-4,5%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до 70% азота, что должно обеспечить полную локализацию возможного воспламенения паров бензина при поражении баков. Ввиду низкой температуры газа у фильтра, комиссия находит нужным смонтировать газовый фильтр и проводку в капоте мотора, во избежание замерзания конденсата и нарушения работы системы».</w:t>
      </w:r>
    </w:p>
    <w:p w14:paraId="085350E6"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Систему в очередной раз доработали, после чего самолет сначала поступил в ЛИИ НКАП для прохождения предварительных испытаний с целью «получения полного заключения о пригодности данной системы для внедрения в серию» перед передачей самолета в НИИ ВВС.</w:t>
      </w:r>
    </w:p>
    <w:p w14:paraId="7F534AC3"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Специалисты ЛИИ НКАП раскритиковали систему СКО завода №18 и разработали свою собственную конструкцию. В результате самолет Ил-2 (зав. №1873370) с мотором АМ-38ф, оборудованный системой заполнения бензобаков выхлопными газами мотора - система НГ 1-й зоны, поступил в НИИ ВВС для прохождения совместных государственных испытаний лишь в апреле 1944 г. На нем испытывались две системы «нейтрального газа»: СКО завода №18 и ЛИИ НКАП.</w:t>
      </w:r>
    </w:p>
    <w:p w14:paraId="3968186C"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Испытания показали, что в системе завода №18, наряду с достаточной концентрацией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697DAB31"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271E51">
        <w:rPr>
          <w:rFonts w:ascii="Times New Roman" w:eastAsia="Times New Roman" w:hAnsi="Times New Roman"/>
          <w:color w:val="000000" w:themeColor="text1"/>
          <w:sz w:val="16"/>
          <w:szCs w:val="16"/>
          <w:shd w:val="clear" w:color="auto" w:fill="FFFFFF"/>
          <w:vertAlign w:val="superscript"/>
          <w:lang w:eastAsia="ru-RU"/>
        </w:rPr>
        <w:t>3</w:t>
      </w:r>
      <w:r w:rsidRPr="00271E51">
        <w:rPr>
          <w:rFonts w:ascii="Times New Roman" w:eastAsia="Times New Roman" w:hAnsi="Times New Roman"/>
          <w:color w:val="000000" w:themeColor="text1"/>
          <w:sz w:val="16"/>
          <w:szCs w:val="16"/>
          <w:lang w:eastAsia="ru-RU"/>
        </w:rPr>
        <w:t>. При этом концентрация е бензобаках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достигала 2-4% и 8-12% соответственно.</w:t>
      </w:r>
    </w:p>
    <w:p w14:paraId="151D6D57"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24F863B8"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68165DC3" w14:textId="77777777" w:rsidR="00800387" w:rsidRPr="00271E51" w:rsidRDefault="0080038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D17EC77" w14:textId="77777777" w:rsidR="00800387" w:rsidRPr="00271E51" w:rsidRDefault="0080038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августе меся</w:t>
      </w:r>
      <w:r w:rsidRPr="00271E51">
        <w:rPr>
          <w:color w:val="000000" w:themeColor="text1"/>
          <w:sz w:val="16"/>
          <w:szCs w:val="16"/>
        </w:rPr>
        <w:softHyphen/>
        <w:t>це 1943 противотанковые самолеты Ил-2 с пушками 11П появились на фронте: в 568-м шап 231-й шад и 801-м шап 232-й шад 2-го шак, который действовал в составе 1-й воз</w:t>
      </w:r>
      <w:r w:rsidRPr="00271E51">
        <w:rPr>
          <w:color w:val="000000" w:themeColor="text1"/>
          <w:sz w:val="16"/>
          <w:szCs w:val="16"/>
        </w:rPr>
        <w:softHyphen/>
        <w:t>душной армии Западного фронта. В следующем месяце боевое применение нового штурмовика на</w:t>
      </w:r>
      <w:r w:rsidRPr="00271E51">
        <w:rPr>
          <w:color w:val="000000" w:themeColor="text1"/>
          <w:sz w:val="16"/>
          <w:szCs w:val="16"/>
        </w:rPr>
        <w:softHyphen/>
        <w:t>чалось в частях 1-го шак, а в октябре—ноябре Ил-2 с «большой пушкой» появился в 7-м шак, 1-й гшад и 227-й шад (17500).</w:t>
      </w:r>
    </w:p>
    <w:p w14:paraId="59D756EA" w14:textId="77777777" w:rsidR="00800387" w:rsidRPr="00271E51" w:rsidRDefault="00800387" w:rsidP="00271E51">
      <w:pPr>
        <w:spacing w:after="0" w:line="240" w:lineRule="auto"/>
        <w:jc w:val="both"/>
        <w:rPr>
          <w:rFonts w:ascii="Times New Roman" w:eastAsia="Times New Roman" w:hAnsi="Times New Roman"/>
          <w:color w:val="000000" w:themeColor="text1"/>
          <w:sz w:val="16"/>
          <w:szCs w:val="16"/>
          <w:lang w:eastAsia="ru-RU"/>
        </w:rPr>
      </w:pPr>
    </w:p>
    <w:p w14:paraId="352E2600"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 1943 г. Акт НИИ ВВС Красной армии по результатам государственных испытаний модернизированного одноместного самолета Ил-2И с мотором АМ-38Ф в варианте «истребителя бомбардировщиков» (самолет изготовлен заводом № 1 НКАП, есть фотография самолета).</w:t>
      </w:r>
    </w:p>
    <w:p w14:paraId="4674A36B"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Подлинник (рассекречено).</w:t>
      </w:r>
    </w:p>
    <w:p w14:paraId="03AE1C69"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РГАЭ ф. 68, оп. 1, д. 188, лл. 3 – 4 (18959).</w:t>
      </w:r>
    </w:p>
    <w:p w14:paraId="4984A822"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0132F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были закончены государственные испытания бронированного двухместного штурмовика Су-6 М-71ф. В отчете летчик-испытатель П.М Стефановский предложил построить одноместный Су-6 в варианте бронированного истребителя с двумя 37-мм пушками. Самолет, по его мнению, можно было бы применять для борьбы с такими немецкими самолетами как He-111, FW-200 и Ju-87.</w:t>
      </w:r>
    </w:p>
    <w:p w14:paraId="1C6733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необходимости можно было применить бомбардировочное вооружение - бомбы общим весом до 200 кг. Могли подвешиваться шесть реактивных снарядов PC-82 или PC-132.</w:t>
      </w:r>
    </w:p>
    <w:p w14:paraId="3E2DCF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Протектированный бензобак помещался в фюзеляже. Маслорадиаторы размещались в центроплане.</w:t>
      </w:r>
    </w:p>
    <w:p w14:paraId="7E80DE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составляла 8,83 метров, размах крыла - 12,1 метров, площадь крыла - 22,5 м2.</w:t>
      </w:r>
    </w:p>
    <w:p w14:paraId="30E9AC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был равен 3775 кг. Взлетная мощность мотора - 2000 л. с., на расчетной высоте 5000 метров - 1670 л.с. Соответственно, удельная нагрузка на крыло составляла 164 кг/м2, удельная нагрузка на взлетную мощность - 1,89 кг/л.с., на номинальную - 2,26 кг/м2. Мощность взлетная, отнесенная к площади крыла - около 90 л.с./м2.</w:t>
      </w:r>
    </w:p>
    <w:p w14:paraId="0F92D2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принципе, тяговооруженность самолета достаточно высокая. Но летные данные получились гораздо ниже, чем у истребителя И-185 с этим же мотором. К тому же, использовалось менее эффективное вооружение. Причина кроется, во-первых, в более низкой тяговооруженности истребителя Сухого и, во-вторых, примерно в 1,3 раза большим лобовым сопротивлением.</w:t>
      </w:r>
    </w:p>
    <w:p w14:paraId="0EAFB2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Стремление использовать задел по штурмовику Су-6 привело к тому, что самолет был переразмерен для истребителя. В результате максимальная скорость у земли ожидалась 502 км/ч, а на десятиминутном форсаже - 535 км/ ч (у самолета И-185 - 600 км/ч); скорость на высоте 6000 метров - 602 км/ч (у самолета И-185 - 680 км/ч). Время набора 5000 метров - 5,1 минут (у самолета И-185 - 4,7 минут). Время выполнения виража на высоте 1000 метров у истребителя Сухого на 1-1,5 секунды меньше. Потолок практически одинаковый. Дальность полета несколько меньшая. Но взлетно-посадочные характеристики превышали показатели самолета И-185. Чуть лучшим оказалось и бронирование (6406).</w:t>
      </w:r>
    </w:p>
    <w:p w14:paraId="056AAE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CCF2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по решению ГКО на</w:t>
      </w:r>
      <w:r w:rsidRPr="00271E51">
        <w:rPr>
          <w:rFonts w:ascii="Times New Roman" w:hAnsi="Times New Roman"/>
          <w:color w:val="000000" w:themeColor="text1"/>
          <w:sz w:val="16"/>
          <w:szCs w:val="16"/>
        </w:rPr>
        <w:softHyphen/>
        <w:t>чалась реэвакуация завода №289 из г. Молотова в подмосковный г. Тушино, на территорию завода №464 (11845).</w:t>
      </w:r>
    </w:p>
    <w:p w14:paraId="2E6432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EBC9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завершилось эскизное и началось рабочее проектирова</w:t>
      </w:r>
      <w:r w:rsidRPr="00271E51">
        <w:rPr>
          <w:rFonts w:ascii="Times New Roman" w:hAnsi="Times New Roman"/>
          <w:color w:val="000000" w:themeColor="text1"/>
          <w:sz w:val="16"/>
          <w:szCs w:val="16"/>
        </w:rPr>
        <w:softHyphen/>
        <w:t>ние четырехместного ДДБШ в вариан</w:t>
      </w:r>
      <w:r w:rsidRPr="00271E51">
        <w:rPr>
          <w:rFonts w:ascii="Times New Roman" w:hAnsi="Times New Roman"/>
          <w:color w:val="000000" w:themeColor="text1"/>
          <w:sz w:val="16"/>
          <w:szCs w:val="16"/>
        </w:rPr>
        <w:softHyphen/>
        <w:t>тах бомбардировщика и высотно</w:t>
      </w:r>
      <w:r w:rsidRPr="00271E51">
        <w:rPr>
          <w:rFonts w:ascii="Times New Roman" w:hAnsi="Times New Roman"/>
          <w:color w:val="000000" w:themeColor="text1"/>
          <w:sz w:val="16"/>
          <w:szCs w:val="16"/>
        </w:rPr>
        <w:softHyphen/>
        <w:t>го разведчика, получившего в пе</w:t>
      </w:r>
      <w:r w:rsidRPr="00271E51">
        <w:rPr>
          <w:rFonts w:ascii="Times New Roman" w:hAnsi="Times New Roman"/>
          <w:color w:val="000000" w:themeColor="text1"/>
          <w:sz w:val="16"/>
          <w:szCs w:val="16"/>
        </w:rPr>
        <w:softHyphen/>
        <w:t>реписке обозначение БББ (бро</w:t>
      </w:r>
      <w:r w:rsidRPr="00271E51">
        <w:rPr>
          <w:rFonts w:ascii="Times New Roman" w:hAnsi="Times New Roman"/>
          <w:color w:val="000000" w:themeColor="text1"/>
          <w:sz w:val="16"/>
          <w:szCs w:val="16"/>
        </w:rPr>
        <w:softHyphen/>
        <w:t>нированный ближний бомбарди</w:t>
      </w:r>
      <w:r w:rsidRPr="00271E51">
        <w:rPr>
          <w:rFonts w:ascii="Times New Roman" w:hAnsi="Times New Roman"/>
          <w:color w:val="000000" w:themeColor="text1"/>
          <w:sz w:val="16"/>
          <w:szCs w:val="16"/>
        </w:rPr>
        <w:softHyphen/>
        <w:t>ровщик). 5 августа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271E51">
        <w:rPr>
          <w:rFonts w:ascii="Times New Roman" w:hAnsi="Times New Roman"/>
          <w:color w:val="000000" w:themeColor="text1"/>
          <w:sz w:val="16"/>
          <w:szCs w:val="16"/>
        </w:rPr>
        <w:softHyphen/>
        <w:t>занию НКАП СССР ОКБ прекрати</w:t>
      </w:r>
      <w:r w:rsidRPr="00271E51">
        <w:rPr>
          <w:rFonts w:ascii="Times New Roman" w:hAnsi="Times New Roman"/>
          <w:color w:val="000000" w:themeColor="text1"/>
          <w:sz w:val="16"/>
          <w:szCs w:val="16"/>
        </w:rPr>
        <w:softHyphen/>
        <w:t>ло работы по БББ с 2М-71Ф, ввиду того, что «...по своим ЛТД он не пре</w:t>
      </w:r>
      <w:r w:rsidRPr="00271E51">
        <w:rPr>
          <w:rFonts w:ascii="Times New Roman" w:hAnsi="Times New Roman"/>
          <w:color w:val="000000" w:themeColor="text1"/>
          <w:sz w:val="16"/>
          <w:szCs w:val="16"/>
        </w:rPr>
        <w:softHyphen/>
        <w:t>восходит серийный Ту-2 с 2М-82ФН».</w:t>
      </w:r>
    </w:p>
    <w:p w14:paraId="74AEB49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A907A5" w:rsidRPr="00271E51" w14:paraId="55CBA19A" w14:textId="77777777" w:rsidTr="00ED5B0A">
        <w:trPr>
          <w:trHeight w:val="485"/>
        </w:trPr>
        <w:tc>
          <w:tcPr>
            <w:tcW w:w="3184" w:type="dxa"/>
            <w:tcBorders>
              <w:top w:val="single" w:sz="12" w:space="0" w:color="auto"/>
            </w:tcBorders>
          </w:tcPr>
          <w:p w14:paraId="6D5395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3AAA48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top w:val="single" w:sz="12" w:space="0" w:color="auto"/>
            </w:tcBorders>
          </w:tcPr>
          <w:p w14:paraId="319E27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ОНВ</w:t>
            </w:r>
          </w:p>
          <w:p w14:paraId="1B5984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top w:val="single" w:sz="12" w:space="0" w:color="auto"/>
            </w:tcBorders>
          </w:tcPr>
          <w:p w14:paraId="544517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2АМ-42</w:t>
            </w:r>
          </w:p>
          <w:p w14:paraId="79942A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442578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 2М-71Ф 2ТК-3</w:t>
            </w:r>
          </w:p>
          <w:p w14:paraId="6C922F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3F4762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2М-71Ф</w:t>
            </w:r>
          </w:p>
          <w:p w14:paraId="308ABEE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6013CB" w14:textId="77777777" w:rsidTr="00ED5B0A">
        <w:trPr>
          <w:trHeight w:val="206"/>
        </w:trPr>
        <w:tc>
          <w:tcPr>
            <w:tcW w:w="3184" w:type="dxa"/>
          </w:tcPr>
          <w:p w14:paraId="000375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мм</w:t>
            </w:r>
          </w:p>
          <w:p w14:paraId="1FBCA0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25F86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45AAE4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7FF2A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2307DA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F59B9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3025E49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8C00C6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3AA90CE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D7F97B" w14:textId="77777777" w:rsidTr="00ED5B0A">
        <w:trPr>
          <w:trHeight w:val="214"/>
        </w:trPr>
        <w:tc>
          <w:tcPr>
            <w:tcW w:w="3184" w:type="dxa"/>
          </w:tcPr>
          <w:p w14:paraId="3AE4167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w:t>
            </w:r>
          </w:p>
          <w:p w14:paraId="5B3F4E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6AC5D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3D9B57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B65DD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5DF878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03C1B9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3CFC17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E24FF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5C76E91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76685B" w14:textId="77777777" w:rsidTr="00ED5B0A">
        <w:trPr>
          <w:trHeight w:val="214"/>
        </w:trPr>
        <w:tc>
          <w:tcPr>
            <w:tcW w:w="3184" w:type="dxa"/>
          </w:tcPr>
          <w:p w14:paraId="708AC8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p>
          <w:p w14:paraId="17365C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B8B43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8A1EC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6FA597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D4807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F5C181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6B1548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A7DEE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3C34ED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A1FFA5" w14:textId="77777777" w:rsidTr="00ED5B0A">
        <w:trPr>
          <w:trHeight w:val="206"/>
        </w:trPr>
        <w:tc>
          <w:tcPr>
            <w:tcW w:w="3184" w:type="dxa"/>
          </w:tcPr>
          <w:p w14:paraId="3A8E4F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самолета, кг</w:t>
            </w:r>
          </w:p>
          <w:p w14:paraId="007CEB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368B4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4DF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1658E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9FD6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A4C00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E9A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116F50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C326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32FAF7" w14:textId="77777777" w:rsidTr="00ED5B0A">
        <w:trPr>
          <w:trHeight w:val="214"/>
        </w:trPr>
        <w:tc>
          <w:tcPr>
            <w:tcW w:w="3184" w:type="dxa"/>
          </w:tcPr>
          <w:p w14:paraId="5ED912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пустого</w:t>
            </w:r>
          </w:p>
          <w:p w14:paraId="48A5470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7A39A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9168</w:t>
            </w:r>
          </w:p>
          <w:p w14:paraId="2A7B9B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2FC7A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9728</w:t>
            </w:r>
          </w:p>
          <w:p w14:paraId="0AE1CA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323D6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8407 8422</w:t>
            </w:r>
          </w:p>
          <w:p w14:paraId="60F6C8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6679C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8297 8329</w:t>
            </w:r>
          </w:p>
          <w:p w14:paraId="7FE271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A0F552" w14:textId="77777777" w:rsidTr="00ED5B0A">
        <w:trPr>
          <w:trHeight w:val="189"/>
        </w:trPr>
        <w:tc>
          <w:tcPr>
            <w:tcW w:w="3184" w:type="dxa"/>
          </w:tcPr>
          <w:p w14:paraId="17D2A7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полетная</w:t>
            </w:r>
          </w:p>
          <w:p w14:paraId="076A13F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B8BB08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12413</w:t>
            </w:r>
          </w:p>
          <w:p w14:paraId="090043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A1CD8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12774</w:t>
            </w:r>
          </w:p>
          <w:p w14:paraId="6FA2F7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9FC3C8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11250 11232</w:t>
            </w:r>
          </w:p>
          <w:p w14:paraId="3CAA54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D88815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11912 12034</w:t>
            </w:r>
          </w:p>
          <w:p w14:paraId="28D74C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443837" w14:textId="77777777" w:rsidTr="00ED5B0A">
        <w:trPr>
          <w:trHeight w:val="230"/>
        </w:trPr>
        <w:tc>
          <w:tcPr>
            <w:tcW w:w="3184" w:type="dxa"/>
          </w:tcPr>
          <w:p w14:paraId="47F02F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с перегрузкой</w:t>
            </w:r>
          </w:p>
          <w:p w14:paraId="646652E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486CDF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3381</w:t>
            </w:r>
          </w:p>
          <w:p w14:paraId="029968F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25C57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B870B1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6C259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902FB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27561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C3D006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834A291" w14:textId="77777777" w:rsidTr="00ED5B0A">
        <w:trPr>
          <w:trHeight w:val="214"/>
        </w:trPr>
        <w:tc>
          <w:tcPr>
            <w:tcW w:w="3184" w:type="dxa"/>
          </w:tcPr>
          <w:p w14:paraId="332D91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p w14:paraId="7643824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6E956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B1DA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227403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D61F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F7E40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3AE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601952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456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DA6A7B" w14:textId="77777777" w:rsidTr="00ED5B0A">
        <w:trPr>
          <w:trHeight w:val="206"/>
        </w:trPr>
        <w:tc>
          <w:tcPr>
            <w:tcW w:w="3184" w:type="dxa"/>
          </w:tcPr>
          <w:p w14:paraId="664D37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p w14:paraId="3B5D6E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A5CFE8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p w14:paraId="2C9E2F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B9AD2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p w14:paraId="0D84E5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E6CA21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483 483</w:t>
            </w:r>
          </w:p>
          <w:p w14:paraId="689286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83F91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490 490</w:t>
            </w:r>
          </w:p>
          <w:p w14:paraId="19BAFF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8E6797" w14:textId="77777777" w:rsidTr="00ED5B0A">
        <w:trPr>
          <w:trHeight w:val="206"/>
        </w:trPr>
        <w:tc>
          <w:tcPr>
            <w:tcW w:w="3184" w:type="dxa"/>
          </w:tcPr>
          <w:p w14:paraId="1733D4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м</w:t>
            </w:r>
          </w:p>
          <w:p w14:paraId="3A6017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378D9F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550/4600</w:t>
            </w:r>
          </w:p>
          <w:p w14:paraId="1E4F4A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2E516B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525/2500</w:t>
            </w:r>
          </w:p>
          <w:p w14:paraId="09A491F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981834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595/8000 595/8300</w:t>
            </w:r>
          </w:p>
          <w:p w14:paraId="489547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1E3FE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566/4600 566/4600</w:t>
            </w:r>
          </w:p>
          <w:p w14:paraId="42ABD1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5298C3" w14:textId="77777777" w:rsidTr="00ED5B0A">
        <w:trPr>
          <w:trHeight w:val="214"/>
        </w:trPr>
        <w:tc>
          <w:tcPr>
            <w:tcW w:w="3184" w:type="dxa"/>
          </w:tcPr>
          <w:p w14:paraId="7628E4A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Н, мин/м</w:t>
            </w:r>
          </w:p>
          <w:p w14:paraId="19D871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F79852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9/5000</w:t>
            </w:r>
          </w:p>
          <w:p w14:paraId="13F6653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E96ABD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8,5/4000</w:t>
            </w:r>
          </w:p>
          <w:p w14:paraId="254BAA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2C9947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10/8000 10,6/8300</w:t>
            </w:r>
          </w:p>
          <w:p w14:paraId="6A517E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35ED83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8,5/6000 8,25/4000</w:t>
            </w:r>
          </w:p>
          <w:p w14:paraId="7898FDE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8B8895" w14:textId="77777777" w:rsidTr="00ED5B0A">
        <w:trPr>
          <w:trHeight w:val="214"/>
        </w:trPr>
        <w:tc>
          <w:tcPr>
            <w:tcW w:w="3184" w:type="dxa"/>
          </w:tcPr>
          <w:p w14:paraId="1BBB29B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p w14:paraId="763BFFC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6D0A5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p w14:paraId="3D6DC7D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798FE5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p w14:paraId="03622B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81929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12000 12000</w:t>
            </w:r>
          </w:p>
          <w:p w14:paraId="2854F11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DB1AF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10300 10300</w:t>
            </w:r>
          </w:p>
          <w:p w14:paraId="0496AD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7A6611" w14:textId="77777777" w:rsidTr="00ED5B0A">
        <w:trPr>
          <w:trHeight w:val="197"/>
        </w:trPr>
        <w:tc>
          <w:tcPr>
            <w:tcW w:w="3184" w:type="dxa"/>
          </w:tcPr>
          <w:p w14:paraId="3B03779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км</w:t>
            </w:r>
          </w:p>
          <w:p w14:paraId="0F10F12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7FFDE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1607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E23CD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8127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B0A2E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B670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215C94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752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E0FFEF" w14:textId="77777777" w:rsidTr="00ED5B0A">
        <w:trPr>
          <w:trHeight w:val="222"/>
        </w:trPr>
        <w:tc>
          <w:tcPr>
            <w:tcW w:w="3184" w:type="dxa"/>
          </w:tcPr>
          <w:p w14:paraId="3DAA82B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нормальная</w:t>
            </w:r>
          </w:p>
          <w:p w14:paraId="5164F5C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935AA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p w14:paraId="0ADE076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2CF86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p w14:paraId="6E5F865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1B2BA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2000 2000</w:t>
            </w:r>
          </w:p>
          <w:p w14:paraId="20B969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417839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1500 1500</w:t>
            </w:r>
          </w:p>
          <w:p w14:paraId="1520E43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0BD1C2" w14:textId="77777777" w:rsidTr="00ED5B0A">
        <w:trPr>
          <w:trHeight w:val="206"/>
        </w:trPr>
        <w:tc>
          <w:tcPr>
            <w:tcW w:w="3184" w:type="dxa"/>
          </w:tcPr>
          <w:p w14:paraId="37C72C6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 перегрузкой</w:t>
            </w:r>
          </w:p>
          <w:p w14:paraId="6EFEFD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75D61E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648175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597748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E5E12D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A04C9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4B1EF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94BC10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A384D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C62243" w14:textId="77777777" w:rsidTr="00ED5B0A">
        <w:trPr>
          <w:trHeight w:val="214"/>
        </w:trPr>
        <w:tc>
          <w:tcPr>
            <w:tcW w:w="3184" w:type="dxa"/>
          </w:tcPr>
          <w:p w14:paraId="297AE8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p w14:paraId="6B2330B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0120D0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p w14:paraId="0F8B2A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8D7150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1E4E44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BA87F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264 265</w:t>
            </w:r>
          </w:p>
          <w:p w14:paraId="4A353C5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758FB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356 360</w:t>
            </w:r>
          </w:p>
          <w:p w14:paraId="2BBAD69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25A3F3" w14:textId="77777777" w:rsidTr="00ED5B0A">
        <w:trPr>
          <w:trHeight w:val="255"/>
        </w:trPr>
        <w:tc>
          <w:tcPr>
            <w:tcW w:w="3184" w:type="dxa"/>
            <w:tcBorders>
              <w:bottom w:val="single" w:sz="12" w:space="0" w:color="auto"/>
            </w:tcBorders>
          </w:tcPr>
          <w:p w14:paraId="011D36E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w:t>
            </w:r>
          </w:p>
          <w:p w14:paraId="58D068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bottom w:val="single" w:sz="12" w:space="0" w:color="auto"/>
            </w:tcBorders>
          </w:tcPr>
          <w:p w14:paraId="4E5635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5C530A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78BEC5A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49B23CF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55D89A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71BC6AD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645B6D6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2281FF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0F90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(11853).</w:t>
      </w:r>
    </w:p>
    <w:p w14:paraId="433A59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705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на иркутском заводе N 39 был построен опытный Ил-6. Удельные параметры бомбардировщиков при одинаковых двигателях были весьма близкими, но процесс доводки мотоустановки у ильюшинцев шел гораздо труднее и в конечном счете они отстали от ермолаевцев примерно на полгода. В первых же полетах выяснилось, что машина имеет неудовлетворительную поперечную устойчивость и не летит "в горизонте" на одном моторе. Дальнейшие испытания пришлось прекратить, самолет разобрали и отправили в Москву на завод N 240 железнодорожным транспортом. Позднее туда же отослали изготовленные агрегаты второго опытного Ил-6, Сентябрьское решение ГКО о возобновлении серийного производства Ер-2 нанесло почти смертельный удар по программе Ил-6. Дальнейшие надежды его создателей были связаны лишь с форсированным вариантом мотора М-ЗОБФ взлетной мощностью 1900 л.с. Но и ОКБ-134 могло рассчитывать на новый двигатель - это предусматривалось постановлением ГКО N 4170 от 21 сентября 1943 г. Что же касается вооружения, то и здесь перспективы Ер-2 выглядели не хуже: в варианте Ер-2БМ он должен был, как и Ил-6, получить три 20-мм пушки (3322,40).</w:t>
      </w:r>
    </w:p>
    <w:p w14:paraId="2CB8D8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9460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М-30Б испытывался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781070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6B5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М-88Б с турбонагнетателем ТК-М испытывался на Ил-4ТК (11852).</w:t>
      </w:r>
    </w:p>
    <w:p w14:paraId="7B8FC98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3EC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при обсуждении результатов гос. испытаний Ер-2 2М-30Б и в декабре 1943 г., утверждая тактико-технические требования к серийному Ер-2, представители АДД предложили ввести в состав экипажа второго пилота, посадив его рядом с командиром. В этом пожелании чувствуется влияние опыта эксплуатации американского бомбардировщика В-25, также состоявшего на вооружении АДД. Кроме того, военные настояли на замене верхней пулеметной установки на пушечную и применении колес увеличенных размеров (на основных стойках - 1325х485 мм, а костыльного - 700х300 мм). Кое-какие изменения внес сам главный конструктор. Так, длина фюзеляжа самолета за счет удлинения бомбоотсека увеличилась на 102 мм, а размах крыла - на 290 мм. В интересах обеспечения центровки моторы пришлось вынести вперед на 145 мм, увеличилась площадь рулей высоты и вертикального оперения. Эти полезные, в общем, нововведения привели к росту массы пустого самолета на 330 кг. Второй пилот дал еще 90 кг. И все это в сочетании с моторами АЧ-ЗОБ (это наименование двигателю было присвоено в знак признания заслуг его главного конструктора А.Д.Чаромского) массового производства, надежность которых оставляла желать лучшего. Между тем, командование АДД требовало, чтобы летные данные машины в серии, по крайней мере, не ухудшились. Оно снова хотело от Ермолаева чуда и прежде всего - нормальных, по тогдашним представлениям, взлетных качеств. А ведь они и так были "на пределе" даже у более легкого опытного самолета (3322,41).</w:t>
      </w:r>
    </w:p>
    <w:p w14:paraId="20F979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68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своей “августовской программе” Мясищев представил в наркомат авиапромышленности целый набор новых модификаций: Пе-2А, Пе-2Б, Пе-2В, Пе-4, Пе-4А, Пе-б (впервые наименование Пе-4, применительно к варианту с моторами М-82, и Пе-6, применительно к варианту с моторами М-107, встречается в документах, подписанных еще Петляковым в 1941 г.; этим объясняется появление нового названия Пе-8 для бомбардировщика ТБ-7 в сентябре 1942 г.).</w:t>
      </w:r>
    </w:p>
    <w:p w14:paraId="64FB89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Летно-технические данные экспериментальных самолетов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4116F7B9" w14:textId="77777777" w:rsidTr="00ED5B0A">
        <w:tc>
          <w:tcPr>
            <w:tcW w:w="1868" w:type="dxa"/>
            <w:tcBorders>
              <w:top w:val="single" w:sz="12" w:space="0" w:color="auto"/>
            </w:tcBorders>
          </w:tcPr>
          <w:p w14:paraId="20E87B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868" w:type="dxa"/>
            <w:tcBorders>
              <w:top w:val="single" w:sz="12" w:space="0" w:color="auto"/>
            </w:tcBorders>
          </w:tcPr>
          <w:p w14:paraId="11D230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Пе-2Ф</w:t>
            </w:r>
          </w:p>
        </w:tc>
        <w:tc>
          <w:tcPr>
            <w:tcW w:w="1868" w:type="dxa"/>
            <w:tcBorders>
              <w:top w:val="single" w:sz="12" w:space="0" w:color="auto"/>
            </w:tcBorders>
          </w:tcPr>
          <w:p w14:paraId="4795A6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Пе-2А</w:t>
            </w:r>
          </w:p>
        </w:tc>
        <w:tc>
          <w:tcPr>
            <w:tcW w:w="1868" w:type="dxa"/>
            <w:tcBorders>
              <w:top w:val="single" w:sz="12" w:space="0" w:color="auto"/>
            </w:tcBorders>
          </w:tcPr>
          <w:p w14:paraId="53289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Пе-2Б</w:t>
            </w:r>
          </w:p>
        </w:tc>
        <w:tc>
          <w:tcPr>
            <w:tcW w:w="1868" w:type="dxa"/>
            <w:tcBorders>
              <w:top w:val="single" w:sz="12" w:space="0" w:color="auto"/>
            </w:tcBorders>
          </w:tcPr>
          <w:p w14:paraId="5851C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Пе-2М-82</w:t>
            </w:r>
          </w:p>
        </w:tc>
        <w:tc>
          <w:tcPr>
            <w:tcW w:w="1868" w:type="dxa"/>
            <w:tcBorders>
              <w:top w:val="single" w:sz="12" w:space="0" w:color="auto"/>
            </w:tcBorders>
          </w:tcPr>
          <w:p w14:paraId="546EF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Пе-2М-1</w:t>
            </w:r>
          </w:p>
        </w:tc>
      </w:tr>
      <w:tr w:rsidR="00A907A5" w:rsidRPr="00271E51" w14:paraId="0EE2C043" w14:textId="77777777" w:rsidTr="00ED5B0A">
        <w:tc>
          <w:tcPr>
            <w:tcW w:w="1868" w:type="dxa"/>
          </w:tcPr>
          <w:p w14:paraId="292A4A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испытаний</w:t>
            </w:r>
          </w:p>
        </w:tc>
        <w:tc>
          <w:tcPr>
            <w:tcW w:w="1868" w:type="dxa"/>
          </w:tcPr>
          <w:p w14:paraId="567CB9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5.1942</w:t>
            </w:r>
          </w:p>
        </w:tc>
        <w:tc>
          <w:tcPr>
            <w:tcW w:w="1868" w:type="dxa"/>
          </w:tcPr>
          <w:p w14:paraId="09F7A9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3.1944</w:t>
            </w:r>
          </w:p>
        </w:tc>
        <w:tc>
          <w:tcPr>
            <w:tcW w:w="1868" w:type="dxa"/>
          </w:tcPr>
          <w:p w14:paraId="7D27B8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6.1944</w:t>
            </w:r>
          </w:p>
        </w:tc>
        <w:tc>
          <w:tcPr>
            <w:tcW w:w="1868" w:type="dxa"/>
          </w:tcPr>
          <w:p w14:paraId="77DE27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4.1943</w:t>
            </w:r>
          </w:p>
        </w:tc>
        <w:tc>
          <w:tcPr>
            <w:tcW w:w="1868" w:type="dxa"/>
          </w:tcPr>
          <w:p w14:paraId="209F00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2.1944</w:t>
            </w:r>
          </w:p>
        </w:tc>
      </w:tr>
      <w:tr w:rsidR="00A907A5" w:rsidRPr="00271E51" w14:paraId="2BBAE585" w14:textId="77777777" w:rsidTr="00ED5B0A">
        <w:tc>
          <w:tcPr>
            <w:tcW w:w="1868" w:type="dxa"/>
          </w:tcPr>
          <w:p w14:paraId="2BF67F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1868" w:type="dxa"/>
          </w:tcPr>
          <w:p w14:paraId="2A8D6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868" w:type="dxa"/>
          </w:tcPr>
          <w:p w14:paraId="0E0FFA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868" w:type="dxa"/>
          </w:tcPr>
          <w:p w14:paraId="15FFCD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868" w:type="dxa"/>
          </w:tcPr>
          <w:p w14:paraId="118525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868" w:type="dxa"/>
          </w:tcPr>
          <w:p w14:paraId="3BFE7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r>
      <w:tr w:rsidR="00A907A5" w:rsidRPr="00271E51" w14:paraId="20477CDB" w14:textId="77777777" w:rsidTr="00ED5B0A">
        <w:tc>
          <w:tcPr>
            <w:tcW w:w="1868" w:type="dxa"/>
          </w:tcPr>
          <w:p w14:paraId="3C03E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868" w:type="dxa"/>
          </w:tcPr>
          <w:p w14:paraId="7BF3AD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13,72</w:t>
            </w:r>
          </w:p>
        </w:tc>
        <w:tc>
          <w:tcPr>
            <w:tcW w:w="1868" w:type="dxa"/>
          </w:tcPr>
          <w:p w14:paraId="4E5FD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12,66</w:t>
            </w:r>
          </w:p>
        </w:tc>
        <w:tc>
          <w:tcPr>
            <w:tcW w:w="1868" w:type="dxa"/>
          </w:tcPr>
          <w:p w14:paraId="4D45F9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12,66</w:t>
            </w:r>
          </w:p>
        </w:tc>
        <w:tc>
          <w:tcPr>
            <w:tcW w:w="1868" w:type="dxa"/>
          </w:tcPr>
          <w:p w14:paraId="108C86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12,66</w:t>
            </w:r>
          </w:p>
        </w:tc>
        <w:tc>
          <w:tcPr>
            <w:tcW w:w="1868" w:type="dxa"/>
          </w:tcPr>
          <w:p w14:paraId="7A0B58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12,66</w:t>
            </w:r>
          </w:p>
        </w:tc>
      </w:tr>
      <w:tr w:rsidR="00A907A5" w:rsidRPr="00271E51" w14:paraId="1865573E" w14:textId="77777777" w:rsidTr="00ED5B0A">
        <w:tc>
          <w:tcPr>
            <w:tcW w:w="1868" w:type="dxa"/>
          </w:tcPr>
          <w:p w14:paraId="718DB3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64209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w:t>
            </w:r>
          </w:p>
        </w:tc>
        <w:tc>
          <w:tcPr>
            <w:tcW w:w="1868" w:type="dxa"/>
          </w:tcPr>
          <w:p w14:paraId="5232B0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w:t>
            </w:r>
          </w:p>
        </w:tc>
        <w:tc>
          <w:tcPr>
            <w:tcW w:w="1868" w:type="dxa"/>
          </w:tcPr>
          <w:p w14:paraId="7D9FB4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w:t>
            </w:r>
          </w:p>
        </w:tc>
        <w:tc>
          <w:tcPr>
            <w:tcW w:w="1868" w:type="dxa"/>
          </w:tcPr>
          <w:p w14:paraId="72EECA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w:t>
            </w:r>
          </w:p>
        </w:tc>
        <w:tc>
          <w:tcPr>
            <w:tcW w:w="1868" w:type="dxa"/>
          </w:tcPr>
          <w:p w14:paraId="4DCBA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17,13</w:t>
            </w:r>
          </w:p>
        </w:tc>
      </w:tr>
      <w:tr w:rsidR="00A907A5" w:rsidRPr="00271E51" w14:paraId="52731448" w14:textId="77777777" w:rsidTr="00ED5B0A">
        <w:tc>
          <w:tcPr>
            <w:tcW w:w="1868" w:type="dxa"/>
          </w:tcPr>
          <w:p w14:paraId="02D0AE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двигателей</w:t>
            </w:r>
          </w:p>
        </w:tc>
        <w:tc>
          <w:tcPr>
            <w:tcW w:w="1868" w:type="dxa"/>
          </w:tcPr>
          <w:p w14:paraId="1AC921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М-105Ф</w:t>
            </w:r>
          </w:p>
        </w:tc>
        <w:tc>
          <w:tcPr>
            <w:tcW w:w="1868" w:type="dxa"/>
          </w:tcPr>
          <w:p w14:paraId="310F38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868" w:type="dxa"/>
          </w:tcPr>
          <w:p w14:paraId="2FEEDA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ВК-105ПФ</w:t>
            </w:r>
          </w:p>
        </w:tc>
        <w:tc>
          <w:tcPr>
            <w:tcW w:w="1868" w:type="dxa"/>
          </w:tcPr>
          <w:p w14:paraId="7935D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1868" w:type="dxa"/>
          </w:tcPr>
          <w:p w14:paraId="20B81E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w:t>
            </w:r>
          </w:p>
        </w:tc>
      </w:tr>
      <w:tr w:rsidR="00A907A5" w:rsidRPr="00271E51" w14:paraId="4DED3F81" w14:textId="77777777" w:rsidTr="00ED5B0A">
        <w:tc>
          <w:tcPr>
            <w:tcW w:w="1868" w:type="dxa"/>
          </w:tcPr>
          <w:p w14:paraId="23DDF7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двигателей, л.с.:</w:t>
            </w:r>
          </w:p>
        </w:tc>
        <w:tc>
          <w:tcPr>
            <w:tcW w:w="1868" w:type="dxa"/>
          </w:tcPr>
          <w:p w14:paraId="156179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6DEE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7294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C116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940E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5CEA1C" w14:textId="77777777" w:rsidTr="00ED5B0A">
        <w:tc>
          <w:tcPr>
            <w:tcW w:w="1868" w:type="dxa"/>
          </w:tcPr>
          <w:p w14:paraId="21AA05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12AA0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w:t>
            </w:r>
          </w:p>
        </w:tc>
        <w:tc>
          <w:tcPr>
            <w:tcW w:w="1868" w:type="dxa"/>
          </w:tcPr>
          <w:p w14:paraId="20B82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1210</w:t>
            </w:r>
          </w:p>
        </w:tc>
        <w:tc>
          <w:tcPr>
            <w:tcW w:w="1868" w:type="dxa"/>
          </w:tcPr>
          <w:p w14:paraId="53FE13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1210</w:t>
            </w:r>
          </w:p>
        </w:tc>
        <w:tc>
          <w:tcPr>
            <w:tcW w:w="1868" w:type="dxa"/>
          </w:tcPr>
          <w:p w14:paraId="554593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1400</w:t>
            </w:r>
          </w:p>
        </w:tc>
        <w:tc>
          <w:tcPr>
            <w:tcW w:w="1868" w:type="dxa"/>
          </w:tcPr>
          <w:p w14:paraId="693CB7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5C0AAE2B" w14:textId="77777777" w:rsidTr="00ED5B0A">
        <w:tc>
          <w:tcPr>
            <w:tcW w:w="1868" w:type="dxa"/>
          </w:tcPr>
          <w:p w14:paraId="5C8E19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расчетной высоте</w:t>
            </w:r>
          </w:p>
        </w:tc>
        <w:tc>
          <w:tcPr>
            <w:tcW w:w="1868" w:type="dxa"/>
          </w:tcPr>
          <w:p w14:paraId="527426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1270</w:t>
            </w:r>
          </w:p>
        </w:tc>
        <w:tc>
          <w:tcPr>
            <w:tcW w:w="1868" w:type="dxa"/>
          </w:tcPr>
          <w:p w14:paraId="4D080D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1868" w:type="dxa"/>
          </w:tcPr>
          <w:p w14:paraId="48FAC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1868" w:type="dxa"/>
          </w:tcPr>
          <w:p w14:paraId="57F1AB9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1330</w:t>
            </w:r>
          </w:p>
        </w:tc>
        <w:tc>
          <w:tcPr>
            <w:tcW w:w="1868" w:type="dxa"/>
          </w:tcPr>
          <w:p w14:paraId="6D511E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w:t>
            </w:r>
          </w:p>
        </w:tc>
      </w:tr>
      <w:tr w:rsidR="00A907A5" w:rsidRPr="00271E51" w14:paraId="457BBF6E" w14:textId="77777777" w:rsidTr="00ED5B0A">
        <w:tc>
          <w:tcPr>
            <w:tcW w:w="1868" w:type="dxa"/>
          </w:tcPr>
          <w:p w14:paraId="20C89A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расчетная высота, м</w:t>
            </w:r>
          </w:p>
        </w:tc>
        <w:tc>
          <w:tcPr>
            <w:tcW w:w="1868" w:type="dxa"/>
          </w:tcPr>
          <w:p w14:paraId="4ACA33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868" w:type="dxa"/>
          </w:tcPr>
          <w:p w14:paraId="4A17FC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w:t>
            </w:r>
          </w:p>
        </w:tc>
        <w:tc>
          <w:tcPr>
            <w:tcW w:w="1868" w:type="dxa"/>
          </w:tcPr>
          <w:p w14:paraId="1544B5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w:t>
            </w:r>
          </w:p>
        </w:tc>
        <w:tc>
          <w:tcPr>
            <w:tcW w:w="1868" w:type="dxa"/>
          </w:tcPr>
          <w:p w14:paraId="07F06B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5400</w:t>
            </w:r>
          </w:p>
        </w:tc>
        <w:tc>
          <w:tcPr>
            <w:tcW w:w="1868" w:type="dxa"/>
          </w:tcPr>
          <w:p w14:paraId="2D4830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r>
      <w:tr w:rsidR="00A907A5" w:rsidRPr="00271E51" w14:paraId="620C7D22" w14:textId="77777777" w:rsidTr="00ED5B0A">
        <w:tc>
          <w:tcPr>
            <w:tcW w:w="1868" w:type="dxa"/>
          </w:tcPr>
          <w:p w14:paraId="376BC4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кг</w:t>
            </w:r>
          </w:p>
        </w:tc>
        <w:tc>
          <w:tcPr>
            <w:tcW w:w="1868" w:type="dxa"/>
          </w:tcPr>
          <w:p w14:paraId="3C6C2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6667</w:t>
            </w:r>
          </w:p>
        </w:tc>
        <w:tc>
          <w:tcPr>
            <w:tcW w:w="1868" w:type="dxa"/>
          </w:tcPr>
          <w:p w14:paraId="1D1397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6035</w:t>
            </w:r>
          </w:p>
        </w:tc>
        <w:tc>
          <w:tcPr>
            <w:tcW w:w="1868" w:type="dxa"/>
          </w:tcPr>
          <w:p w14:paraId="139D704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6210</w:t>
            </w:r>
          </w:p>
        </w:tc>
        <w:tc>
          <w:tcPr>
            <w:tcW w:w="1868" w:type="dxa"/>
          </w:tcPr>
          <w:p w14:paraId="19E81B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6485</w:t>
            </w:r>
          </w:p>
        </w:tc>
        <w:tc>
          <w:tcPr>
            <w:tcW w:w="1868" w:type="dxa"/>
          </w:tcPr>
          <w:p w14:paraId="7872AA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91DBD8E" w14:textId="77777777" w:rsidTr="00ED5B0A">
        <w:tc>
          <w:tcPr>
            <w:tcW w:w="1868" w:type="dxa"/>
          </w:tcPr>
          <w:p w14:paraId="14295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Полетная масса, кг</w:t>
            </w:r>
          </w:p>
        </w:tc>
        <w:tc>
          <w:tcPr>
            <w:tcW w:w="1868" w:type="dxa"/>
          </w:tcPr>
          <w:p w14:paraId="116E3A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8360</w:t>
            </w:r>
          </w:p>
        </w:tc>
        <w:tc>
          <w:tcPr>
            <w:tcW w:w="1868" w:type="dxa"/>
          </w:tcPr>
          <w:p w14:paraId="4CC8B5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8320</w:t>
            </w:r>
          </w:p>
        </w:tc>
        <w:tc>
          <w:tcPr>
            <w:tcW w:w="1868" w:type="dxa"/>
          </w:tcPr>
          <w:p w14:paraId="4AD848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8580</w:t>
            </w:r>
          </w:p>
        </w:tc>
        <w:tc>
          <w:tcPr>
            <w:tcW w:w="1868" w:type="dxa"/>
          </w:tcPr>
          <w:p w14:paraId="665B0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8525</w:t>
            </w:r>
          </w:p>
        </w:tc>
        <w:tc>
          <w:tcPr>
            <w:tcW w:w="1868" w:type="dxa"/>
          </w:tcPr>
          <w:p w14:paraId="4C872E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8460</w:t>
            </w:r>
          </w:p>
        </w:tc>
      </w:tr>
      <w:tr w:rsidR="00A907A5" w:rsidRPr="00271E51" w14:paraId="08B87C32" w14:textId="77777777" w:rsidTr="00ED5B0A">
        <w:tc>
          <w:tcPr>
            <w:tcW w:w="1868" w:type="dxa"/>
          </w:tcPr>
          <w:p w14:paraId="04FDF8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tc>
        <w:tc>
          <w:tcPr>
            <w:tcW w:w="1868" w:type="dxa"/>
          </w:tcPr>
          <w:p w14:paraId="1E3919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F932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0BA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BF7F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85A9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400335" w14:textId="77777777" w:rsidTr="00ED5B0A">
        <w:tc>
          <w:tcPr>
            <w:tcW w:w="1868" w:type="dxa"/>
          </w:tcPr>
          <w:p w14:paraId="288130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7F3DE4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468</w:t>
            </w:r>
          </w:p>
        </w:tc>
        <w:tc>
          <w:tcPr>
            <w:tcW w:w="1868" w:type="dxa"/>
          </w:tcPr>
          <w:p w14:paraId="0469B5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466V4742</w:t>
            </w:r>
          </w:p>
        </w:tc>
        <w:tc>
          <w:tcPr>
            <w:tcW w:w="1868" w:type="dxa"/>
          </w:tcPr>
          <w:p w14:paraId="665A4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472</w:t>
            </w:r>
          </w:p>
        </w:tc>
        <w:tc>
          <w:tcPr>
            <w:tcW w:w="1868" w:type="dxa"/>
          </w:tcPr>
          <w:p w14:paraId="315878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494</w:t>
            </w:r>
          </w:p>
        </w:tc>
        <w:tc>
          <w:tcPr>
            <w:tcW w:w="1868" w:type="dxa"/>
          </w:tcPr>
          <w:p w14:paraId="2A1C71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474</w:t>
            </w:r>
          </w:p>
        </w:tc>
      </w:tr>
      <w:tr w:rsidR="00A907A5" w:rsidRPr="00271E51" w14:paraId="3F158CAD" w14:textId="77777777" w:rsidTr="00ED5B0A">
        <w:tc>
          <w:tcPr>
            <w:tcW w:w="1868" w:type="dxa"/>
          </w:tcPr>
          <w:p w14:paraId="52C7DA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расчетной высоте</w:t>
            </w:r>
          </w:p>
        </w:tc>
        <w:tc>
          <w:tcPr>
            <w:tcW w:w="1868" w:type="dxa"/>
          </w:tcPr>
          <w:p w14:paraId="580E91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1868" w:type="dxa"/>
          </w:tcPr>
          <w:p w14:paraId="41FDC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528V5372</w:t>
            </w:r>
          </w:p>
        </w:tc>
        <w:tc>
          <w:tcPr>
            <w:tcW w:w="1868" w:type="dxa"/>
          </w:tcPr>
          <w:p w14:paraId="3F7ED0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534</w:t>
            </w:r>
          </w:p>
        </w:tc>
        <w:tc>
          <w:tcPr>
            <w:tcW w:w="1868" w:type="dxa"/>
          </w:tcPr>
          <w:p w14:paraId="7F240D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547</w:t>
            </w:r>
          </w:p>
        </w:tc>
        <w:tc>
          <w:tcPr>
            <w:tcW w:w="1868" w:type="dxa"/>
          </w:tcPr>
          <w:p w14:paraId="2536B6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w:t>
            </w:r>
          </w:p>
        </w:tc>
      </w:tr>
      <w:tr w:rsidR="00A907A5" w:rsidRPr="00271E51" w14:paraId="07C02831" w14:textId="77777777" w:rsidTr="00ED5B0A">
        <w:tc>
          <w:tcPr>
            <w:tcW w:w="1868" w:type="dxa"/>
          </w:tcPr>
          <w:p w14:paraId="38C2A1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1DABAE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10300</w:t>
            </w:r>
          </w:p>
        </w:tc>
        <w:tc>
          <w:tcPr>
            <w:tcW w:w="1868" w:type="dxa"/>
          </w:tcPr>
          <w:p w14:paraId="5E4B89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E154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7500</w:t>
            </w:r>
          </w:p>
        </w:tc>
        <w:tc>
          <w:tcPr>
            <w:tcW w:w="1868" w:type="dxa"/>
          </w:tcPr>
          <w:p w14:paraId="697E45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9100</w:t>
            </w:r>
          </w:p>
        </w:tc>
        <w:tc>
          <w:tcPr>
            <w:tcW w:w="1868" w:type="dxa"/>
          </w:tcPr>
          <w:p w14:paraId="2C425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AF1F076" w14:textId="77777777" w:rsidTr="00ED5B0A">
        <w:tc>
          <w:tcPr>
            <w:tcW w:w="1868" w:type="dxa"/>
          </w:tcPr>
          <w:p w14:paraId="71D2A6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1868" w:type="dxa"/>
          </w:tcPr>
          <w:p w14:paraId="3948BB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Pr>
          <w:p w14:paraId="36487E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63487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1868" w:type="dxa"/>
          </w:tcPr>
          <w:p w14:paraId="78444E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c>
          <w:tcPr>
            <w:tcW w:w="1868" w:type="dxa"/>
          </w:tcPr>
          <w:p w14:paraId="6F93FA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051E9B3" w14:textId="77777777" w:rsidTr="00ED5B0A">
        <w:tc>
          <w:tcPr>
            <w:tcW w:w="1868" w:type="dxa"/>
          </w:tcPr>
          <w:p w14:paraId="4EA29D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стрелковое</w:t>
            </w:r>
          </w:p>
        </w:tc>
        <w:tc>
          <w:tcPr>
            <w:tcW w:w="1868" w:type="dxa"/>
          </w:tcPr>
          <w:p w14:paraId="4F7E78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ЗхУБ</w:t>
            </w:r>
          </w:p>
        </w:tc>
        <w:tc>
          <w:tcPr>
            <w:tcW w:w="1868" w:type="dxa"/>
          </w:tcPr>
          <w:p w14:paraId="41E1A3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ЗхУБ</w:t>
            </w:r>
          </w:p>
        </w:tc>
        <w:tc>
          <w:tcPr>
            <w:tcW w:w="1868" w:type="dxa"/>
          </w:tcPr>
          <w:p w14:paraId="085535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ЗхУБ</w:t>
            </w:r>
          </w:p>
        </w:tc>
        <w:tc>
          <w:tcPr>
            <w:tcW w:w="1868" w:type="dxa"/>
          </w:tcPr>
          <w:p w14:paraId="47EBB3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ЗхУБ</w:t>
            </w:r>
          </w:p>
        </w:tc>
        <w:tc>
          <w:tcPr>
            <w:tcW w:w="1868" w:type="dxa"/>
          </w:tcPr>
          <w:p w14:paraId="3844BE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ЗхУБ</w:t>
            </w:r>
          </w:p>
        </w:tc>
      </w:tr>
      <w:tr w:rsidR="00A907A5" w:rsidRPr="00271E51" w14:paraId="6E8C8B68" w14:textId="77777777" w:rsidTr="00ED5B0A">
        <w:tc>
          <w:tcPr>
            <w:tcW w:w="1868" w:type="dxa"/>
          </w:tcPr>
          <w:p w14:paraId="217F4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0FE7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1x111 КАС</w:t>
            </w:r>
          </w:p>
        </w:tc>
        <w:tc>
          <w:tcPr>
            <w:tcW w:w="1868" w:type="dxa"/>
          </w:tcPr>
          <w:p w14:paraId="793E40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2хШКАС</w:t>
            </w:r>
          </w:p>
        </w:tc>
        <w:tc>
          <w:tcPr>
            <w:tcW w:w="1868" w:type="dxa"/>
          </w:tcPr>
          <w:p w14:paraId="642A4D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1хШКАС</w:t>
            </w:r>
          </w:p>
        </w:tc>
        <w:tc>
          <w:tcPr>
            <w:tcW w:w="1868" w:type="dxa"/>
          </w:tcPr>
          <w:p w14:paraId="45F905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D458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2хШКАС</w:t>
            </w:r>
          </w:p>
        </w:tc>
      </w:tr>
      <w:tr w:rsidR="00A907A5" w:rsidRPr="00271E51" w14:paraId="2439B33A" w14:textId="77777777" w:rsidTr="00ED5B0A">
        <w:tc>
          <w:tcPr>
            <w:tcW w:w="1868" w:type="dxa"/>
            <w:tcBorders>
              <w:bottom w:val="single" w:sz="12" w:space="0" w:color="auto"/>
            </w:tcBorders>
          </w:tcPr>
          <w:p w14:paraId="20CD12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Нормальная бомбовая нагрузка, кг</w:t>
            </w:r>
          </w:p>
        </w:tc>
        <w:tc>
          <w:tcPr>
            <w:tcW w:w="1868" w:type="dxa"/>
            <w:tcBorders>
              <w:bottom w:val="single" w:sz="12" w:space="0" w:color="auto"/>
            </w:tcBorders>
          </w:tcPr>
          <w:p w14:paraId="764EDD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Borders>
              <w:bottom w:val="single" w:sz="12" w:space="0" w:color="auto"/>
            </w:tcBorders>
          </w:tcPr>
          <w:p w14:paraId="4A91B6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Borders>
              <w:bottom w:val="single" w:sz="12" w:space="0" w:color="auto"/>
            </w:tcBorders>
          </w:tcPr>
          <w:p w14:paraId="5303E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Borders>
              <w:bottom w:val="single" w:sz="12" w:space="0" w:color="auto"/>
            </w:tcBorders>
          </w:tcPr>
          <w:p w14:paraId="57EAF8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1868" w:type="dxa"/>
            <w:tcBorders>
              <w:bottom w:val="single" w:sz="12" w:space="0" w:color="auto"/>
            </w:tcBorders>
          </w:tcPr>
          <w:p w14:paraId="6C4EC0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r>
    </w:tbl>
    <w:p w14:paraId="549D7B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После первого этапа улучшений</w:t>
      </w:r>
    </w:p>
    <w:p w14:paraId="389510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После второго этапа улучшений (12042).</w:t>
      </w:r>
    </w:p>
    <w:p w14:paraId="49980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C20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Пикирующий бомбардировщик Пе-2А с моторами М-105ПФ по проекту должен был иметь нормальный полетный вес 7800 кг и максимальную скорость 540 км/ч. На этом варианте “пешки” предусматривалось ввести новую стрелковую установку штурмана “ФЗ” и увеличенный фонарь кабины пилота по типу, опробованному на самолете № 7/187, а также изменить форму тоннелей водорадиаторов, установить улучшенные обтекатели выхлопных патрубков и сделать целый ряд мелких аэродинамических изменений. Бомбардировочное вооружение изменять не предполагалось. Для переделки в этот вариант Мясищев выделил самолет № 17/176 (4476).</w:t>
      </w:r>
    </w:p>
    <w:p w14:paraId="5FD0CA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5B2E4" w14:textId="77777777" w:rsidR="00C7487C" w:rsidRPr="00271E51" w:rsidRDefault="00C7487C" w:rsidP="00271E51">
      <w:pPr>
        <w:shd w:val="clear" w:color="auto" w:fill="FFFFFF"/>
        <w:spacing w:after="0" w:line="240" w:lineRule="auto"/>
        <w:jc w:val="both"/>
        <w:rPr>
          <w:rFonts w:ascii="Times New Roman" w:hAnsi="Times New Roman"/>
          <w:color w:val="0070C0"/>
          <w:sz w:val="16"/>
          <w:szCs w:val="16"/>
          <w:lang w:val="ru"/>
        </w:rPr>
      </w:pPr>
      <w:r w:rsidRPr="00271E51">
        <w:rPr>
          <w:rFonts w:ascii="Times New Roman" w:hAnsi="Times New Roman"/>
          <w:color w:val="0070C0"/>
          <w:sz w:val="16"/>
          <w:szCs w:val="16"/>
          <w:lang w:val="ru"/>
        </w:rPr>
        <w:t>В</w:t>
      </w:r>
      <w:r w:rsidRPr="00271E51">
        <w:rPr>
          <w:rFonts w:ascii="Times New Roman" w:hAnsi="Times New Roman"/>
          <w:color w:val="0070C0"/>
          <w:sz w:val="16"/>
          <w:szCs w:val="16"/>
        </w:rPr>
        <w:t xml:space="preserve"> августе 1943 г. на заводе № 22 построили первые пять Пе-2 М-82 как войсковую серию для эксплуатационных испытаний путем переделки обычных самолетов с М-105 на сборке. Головным стал Пе-4 № 1/226, затем с М-82Ф выпустили по 1-2 машины серий с 227 по 243 и большинство из 20 самолетов 244-й серии. На них постепенно внедрялись те же усовершенствования, что и на серийных Пе-2, бомбоотсеки в гондолах шасси восстановили, расширили верхний люк стрелка-радиста, что было внедрено позже и на Пе-2 2М-105. В кабине штурмана установили доработанную турель ВУБ-1, вместо груза в хвосте поставили стальную бронеплиту по шпангоуту 13, аккумулятор и кислородные баллоны сдвинули к хвосту. В серии самолет обозначили Пе-4, но в документах оказалось обычное обозначение «Пе-2», что, наверное, было правильно — самолет был скорее модификацией, чем новым типом (22828).</w:t>
      </w:r>
    </w:p>
    <w:p w14:paraId="4F3C775F" w14:textId="77777777" w:rsidR="00C7487C" w:rsidRPr="00271E51" w:rsidRDefault="00C7487C" w:rsidP="00271E51">
      <w:pPr>
        <w:shd w:val="clear" w:color="auto" w:fill="FFFFFF"/>
        <w:spacing w:after="0" w:line="240" w:lineRule="auto"/>
        <w:jc w:val="both"/>
        <w:rPr>
          <w:rFonts w:ascii="Times New Roman" w:hAnsi="Times New Roman"/>
          <w:color w:val="0070C0"/>
          <w:sz w:val="16"/>
          <w:szCs w:val="16"/>
          <w:lang w:val="ru"/>
        </w:rPr>
      </w:pPr>
    </w:p>
    <w:p w14:paraId="67EABD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двигательную установку РУ-1 смонтировали на самолете Пе-2 2М-105РА зав. № 15/185, выделенном для экспериментов.</w:t>
      </w:r>
    </w:p>
    <w:p w14:paraId="337F69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РУ-1 предусматривала подачу компонентов топлива с помощью насоса, приводящегося в действие от левого двигателя М-105РА со специальной коробкой отбора мощности. Сами баки с керосином (горючее) и азотной кислотой (окислитель) находились в фюзеляже. Здесь же, на рабочем месте стрелка-радиста, размещался инженер-экспериментатор.</w:t>
      </w:r>
    </w:p>
    <w:p w14:paraId="3A056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полеты производились без включения РУ-1 с целью определения летных характеристик машины. Затем реактивный двигатель опробовали на земле с вполне удовлетворительными результатами (4476).</w:t>
      </w:r>
    </w:p>
    <w:p w14:paraId="7C63D4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04C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1941 доработка "пешки" зав. № 15/185 была завершена, и самолет отправили вЛЭС для проведения первого этапа испытаний. В ходе отладочных наземных огневых испытаний в 1943 г. на самолете выполнили 38 пусков двигателя РД-1 на земле.</w:t>
      </w:r>
    </w:p>
    <w:p w14:paraId="63F000B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Реактивная установка РУ-1 состояла из двигателя РД-1, керосиновой, кислотной, воздушной систем и системы управления двигателем. Двигатель РД-1 (камера сгорания с агрегатами пуска и управления насосного агрегата) устанавливался в хвостовой части фюзеляжа самолета Пе-2. Горючее и окислитель обшей массой 850 кг размещались в фюзеляже в двух расположенных друг над другом баках: азотная кислота - в верхнем, а тракторный керосин - в нижнем. Находившийся в левой гондоле двигателя насосный агрегат мощностью 45 л.с., связанный с основным поршневым двигателем М-105РА трансмиссионным валом с гидромуфтой, обеспечивал подачу компонентов топлива по проложенным в нижней части фюзеляжа самолета керосиновой и азотнокислотной магистралям в камеру сгорания двигателя РД-1. Управление двигателем осуществлялось с места летчика и из кабины стрелка-радиста, причем включать двигатель мог только летчик, а отключать - и В фюзеляже Пе-2Н был летчик, и экспериментатор. Максимальная способен нести бомбу расчетная продолжительность работы РД-1 калибра 1000 кг </w:t>
      </w:r>
    </w:p>
    <w:p w14:paraId="09581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полной тяге в полете ограничивалась емкостью топливной системы и составляла около 10 минут. Общая масса РУ-1 на самолете Пе-2 была равна 1050 кг, а масса двигателя РД-1 (камера сгорания с агрегатами пуска и управления, блок дроссельных вентилей, релейная коробка и насосный агрегат) - 56 кг. Нормальная взлетная масса самолета Пе-2 с РД-1 - 8200 кг, а средняя полетная масса для определения летно-технических характеристик самолета - 7550 кг. Ресурс двигателя РД-1 составлял 45 мин.</w:t>
      </w:r>
    </w:p>
    <w:p w14:paraId="13DA76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аэродинамическому расчету, работа реактивного двигателя в течение 80-100 с должна была увеличить максимальную скорость полета самолета Пе-2 с РД-1 на 108 км/ч на высоте 7000 м, а длина разбега уменьшалась на 70 м. Вертикальная скорость самолета при отрыве от земли с работающим двигателем РД-1 могла возрасти на 30%, соответственно увеличивался возможный угол набора высоты, что было важно при взлете с небольшого полевого аэродрома, ограниченного препятствиями (12042).</w:t>
      </w:r>
    </w:p>
    <w:p w14:paraId="3F075C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5A2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 серийные Пе-2 после крупных изменений опять стали вносить усовершенствования: с 249-й серии зимой разжижали масло бензином, а на 265-й серии сменили радиостанцию РСБ-бис на РСБ-3бис, улучшив антенно-фидерную систему и резко увеличив дальность радиосвязи. На 275-й серии усилили оборону Пе-2 с хвоста - поставили гранатомет ДАГ-10 с 10 авиационными гранатами АГ-2. Установка гранатомета дала возможность стрелку "выкуривать" немцев из их любимой позиции при атаке на Пе-2 - строго сзади (3542).</w:t>
      </w:r>
    </w:p>
    <w:p w14:paraId="73DA765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B3F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серийный самолет № 19/205 с полетным весом 8550 кг на испытаниях в ЛИИ развил на высоте 3700 м максимальную скорость полета 521 км/ч; его моторы работали на винты марки ВИШ-61Б, обычные для "пешек" того времени. Между тем, по результатам испытаний самолета № 5/118 было уже известно, что из трех опробованных винтов (ВИШ-61Б диаметром 3,2 м, ВИШ-61П и ВИШ-105СВ диаметром 3 м) первый обеспечивал наихудшие скоростные показатели. Однако пушечный мотор имел иное, чем М-105РА, передаточное число редуктора, и поэтому для увеличения максимальной скорости оптимальным являлся винт ВИШ-61П. Было решено устанавливать на улучшенных машинах именно эти винты, что реализовывапось с 211-й серии. Но почти сразу же выяснилось, что винты ВИШ-61 обеих модификаций не обеспечивали горизонтального полета Пе-2 на одном моторе (в случае отказа второго).</w:t>
      </w:r>
    </w:p>
    <w:p w14:paraId="27CA6A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построенные по так называемой "обратной" схеме винты обладали другим неприятным свойством - они давали в ряде случаев раскрутку вала двигателя до неприемлемо высоких оборотов при вводе самолета в пикирование, о чем уже говорилось ранее. Поскольку для отклонения лопастей винтов на большой шаг "обратная" схема нуждалась в притоке масла, а отрицательная перегрузка при вводе самолета в пикирование приводила к его отливу, то в результате уменьшался угол установки лопастей и произвольно увеличивалось число оборотов винта и мотора. Проанализировав ситуацию, специалисты завода № 22 отметили, что винты ВИШ-105СВ, собранные по "прямой" схеме (отлив масла от втулки винта в этом случае приводил к увеличению угла установки лопастей), не давали раскрутки при пикировании, а потеря максимальной скорости по сравнению с ВИШ-61 П оказалась незначительной и составила всего 2-3 км/ч. Кроме того, со "сто пятыми" винтами Пе-2 мог идти на одном моторе без снижения на высотах до 1000 м, поэтому ВИШ-105СВ с 246-й серии стали устанавливать на самолеты во всевозрастающих количествах (12042).</w:t>
      </w:r>
    </w:p>
    <w:p w14:paraId="1B55D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8B2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В.М.М. сформулировал обширную программу совершенствования пикировщика Пе-2. Главный упор в этой программе был сделан на два основных направления: повышение скорости полета и увеличение бомбовой нагрузки. Отношения с директором завода № 22 Окуловым у Мясищева поначалу складывались трудно. Причиной тому был и властный, требовательный характер "хозяина" завода, и груз взаимоотношений его с прежним главным конструктором А.И.Путиловым, который, надо сказать, не ладил с директором. И все же Мясищев (не без помощи Наркомата авиапромышленности) "выбил" у занимающегося только серийным выпуском Окулова два цеховых пролета, рабочих и станки специально для опытного производства. Интуиция подсказала новому главному конструктору, что выбор нужной модификации пикировщика надо делать из многих вариантов. Поэтому одновременно конструкторы повели работу над модификациями Пе-2А с новой кабиной типа ФЗ, Пе-2Б с целым рядом аэродинамических усовершенствований, Пе-2В с измененным положением центроплана относительно фюзеляжа, Пе-4 и Пе-4А с моторами М-82Ф, Пе-2Д (Пе-б) с моторами М-107А (3542).</w:t>
      </w:r>
    </w:p>
    <w:p w14:paraId="10B7D3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A3F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"августовской (1943) программе" Мясишев представил в наркомат авиапромышленности целый набор новых модификаций: Пе-2А, Пе-2Б, Пе-2В. Пе-4, Пе- 4А, Пе-6 (впервые наименование Пе-4, применительно к варианту с моторами М-82, и Пе-6, применительно к варианту с моторами М-107, встречается в документах, подписанных еще Петляковым в 1941 г.; этим объясняется появление нового названия Пе-8 для бомбардировщика ТБ-7 в сентябре 1942 г.).</w:t>
      </w:r>
    </w:p>
    <w:p w14:paraId="2AC653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Пикирующий бомбардировщик Пе-2А с моторами М-105ПФ по проекту должен был иметь нормальный полетный вес 7800 кг и максимальную скорость 540 км/ч. На этом варианте "пешки" предусматривалось ввести новую стрелковую установку штурмана "ФЗ" и увеличенный фонарь кабины пилота по типу, опробованному на самолете зав. №7/187, а также изменить форму тоннелей водорадиаторов, установить улучшенные обтекатели выхлопных патрубков и сделать целый ряд мелких аэродинамических изменений. Бомбардировочное вооружение переделывать не предполагалось. Для отработки этого варианта Мясишев выделил самолет зав. № 17/176.</w:t>
      </w:r>
    </w:p>
    <w:p w14:paraId="1585D6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Пе-2Б вместо жалюзи на выходе водорадиаторов применили своеобразные регулируемые "грибки". Кабина пилота и штурмана увеличенных размеров с установкой ФЗ.</w:t>
      </w:r>
    </w:p>
    <w:p w14:paraId="4A79B9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Пе-2Б с моторами М-105ПФ создавался по типу Пе-2А с добавлением новых коков винтов, обеспечивающих лучшее сопряжение с мотогондолами, иной капотировкой моторов, аэродинамическими улучшениями по рекомендациям ЦАГИ. В частности, предусматривалась установка маслорадиаторов и всасывающих патрубков в передней кромке крыла. Носок крыла также изменялся: от передней кромки до первого лонжерона консолей профиль должен был соответствовать типу NACA-230, менее склонному к срыву потока при посадочных скоростях. По расчетам максимальная скорость полета при нормальном полетном весе 7900 кг достигала 560 км/ч, а дальность полета возрастала до 1200 км за счет введения дополнительных бензобаков. Вооружение не менялось. Для постройки этого варианта был выделен самолет зав. № 19/223.</w:t>
      </w:r>
    </w:p>
    <w:p w14:paraId="3AC208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Пе-2В с моторами М-105ПФ должен был стать еще более радикальной модификацией "пешки". Фюзеляж машины предполагалось опустить на 300 мм относительно центроплана (как у Пе-2Ф) и за счет этого значительно увеличить размеры основного бомбоотсека. Объем и количество бензобаков также планировалось изменить для повышения дальности полета до 1500 км. Силовая установка дорабатывалась по типу Пе-2Б. Из-за роста нормальной полетной массы до 8800 кг конструкторы решили увеличить диаметр колес основных стоек, а также усилить амортизаторы шасси. Расчетная максимальная скорость машины составляла 560 км/ч, нормальная бомбовая нагрузка 1000 кг, в перегрузку - 1500 кг. Внутрь фюзеляжа можно было загружать одну 500-кг или две 250 кг бомбы. Стрелковое вооружение проектировалось уменьшенным до трех крупнокалиберных пулеметов - по одному у каждого члена экипажа (12042).</w:t>
      </w:r>
    </w:p>
    <w:p w14:paraId="40D3D5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F8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22 завод выпустил 5 Пе-2 М-82-112 с ВИШ-105В. Первый - 1/266, потом по 1-2 в сериях с 227 по 243, а 244 была почти вся с М-82. Всего сделали 32, но военная приемка приняла 24 (10 - в 1944) (2205,41).</w:t>
      </w:r>
    </w:p>
    <w:p w14:paraId="7D847E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71D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завод № 22 собрал первые пять Пе-2 с М-82. Как и в случае с разведчиками и учебными самолетами, машины с моторами М-82Ф выпускались как бы внутри 20-самолетных серий. Первым был построен самолет № 1/226, затем сделали по одной-две машины в сериях с 227 по 243, а вот 244 серия почти целиком оснащалась швецовскими моторами. На этих самолетах внедрили все новинки, появившиеся к тому времени на серийных Пе-2, в том числе фонарь пилотской кабины со сдвинутой вперед мачтой радиоантенны и усовершенствованную турель у штурмана. Чуть раньше, чем на сериях с М-105ПФ, появился расширенный верхний люк. Неизменным осталось отсутствие пулеметов ШКАС у пилота и стрелка, что впоследствии подвергалось критике в строевых частях. Носовой ШКАС, например, часто использовался для пристрелки. В серии были восстановлены мотогондольные бомбоотсеки. Мясищев планировал продолжение работ по совершенствованию типа Пе-4 путем установки нового фонаря с турелью ФЗ, изменения конструкции средней секции фюзеляжа по типу Пе-2Ф и увеличения внутренней бомбовой нагрузки, но этот вариант машины, названный Пе-4А, не был построен. Из 32 изготовленных серийных Пе-2 со звездообразными двигателями военной приемке были сданы только 24. Несмотря на столь небольшое количество этих машин, они появились на фронте и участвовали в боевых действиях (3542).</w:t>
      </w:r>
    </w:p>
    <w:p w14:paraId="4941AE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5EC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завод № 22 сумел собрать только пять Пе-2 с двигателями М-82-112 и винтами ВИШ-105В. Как в случае с разведчиками и учебными вариантами "пешек", машины с М-82 выпускались как бы "внутри" обычных 20-самолетных серий. Первым стал самолет зав. №1/226, затем сделали по одной - две машины в сериях с 227-й по 243-ю, а вот 244-я серия почти целиком оснащалась "швецовскими" моторами. На этих бомбардировщиках внедрили все новинки, появившиеся к тому времени на серийных Пе-2, втом числе фонарь пилотской кабины со сдвинутой вперед мачтой радиоантенны и усовершенствованную турель ВУБ-1 у штурмана. Чуть раньше, чем на серийных машинах с М-105ПФ, появился расширенный верхний люк стрелка-радиста.</w:t>
      </w:r>
    </w:p>
    <w:p w14:paraId="7F0C91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облегчения самолета и улучшения его аэродинамики пулеметы ШКАС у пилота и стрелка-радиста были сняты, что впоследствии подвергалось критике в строевых частях. На обычных "пешках" носовой ШКАС с большим боекомплектом нередко использовали для пристрелки. Бомбоотсеки в мотогондолах на серийных Пе-2 с М-82 восстановили. От свинцового груза в хвосте отказались, заменив его железной плитой, установленной между 12-м и 13-м шпангоутами хвостовой секции в качестве дополнительной зашиты стрелка. Кроме того, аккумулятор и кислородные баллоны перенесли дальше в хвост.</w:t>
      </w:r>
    </w:p>
    <w:p w14:paraId="202A5B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Мясищев планирован продолжение работ воздухозаборника по совершенствованию типа Пе-4 путем установки нового фонаря с турелью "ФЗ", изменение конструкции средней секции фюзеляжа по типу Пе-2Ф и увеличение внутренней бомбовой нагрузки, но этот вариант машины, названный Пе-4А, так и не построили.</w:t>
      </w:r>
    </w:p>
    <w:p w14:paraId="13FFE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32 изготовленных серийных Пе-2 со звездообразными двигателями военной приемке были сданы только 24 (из них 10 - в 1944 г.). Несмотря на столь небольшое количество машин, они появились на фронте и участвовали в боевых действиях. Серийный самолет Пе-2 с М-82 испытывался в НИИ ВВС в периоде января по март 1944 г.,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5C569F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02213B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4FF270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B76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1943г. начались летные испытания РД-1 на самолете Пе-2 с реактивной уста</w:t>
      </w:r>
      <w:r w:rsidRPr="00271E51">
        <w:rPr>
          <w:rFonts w:ascii="Times New Roman" w:hAnsi="Times New Roman"/>
          <w:color w:val="000000" w:themeColor="text1"/>
          <w:sz w:val="16"/>
          <w:szCs w:val="16"/>
        </w:rPr>
        <w:softHyphen/>
        <w:t>новки РУ-1 С.П.Королева. Пер</w:t>
      </w:r>
      <w:r w:rsidRPr="00271E51">
        <w:rPr>
          <w:rFonts w:ascii="Times New Roman" w:hAnsi="Times New Roman"/>
          <w:color w:val="000000" w:themeColor="text1"/>
          <w:sz w:val="16"/>
          <w:szCs w:val="16"/>
        </w:rPr>
        <w:softHyphen/>
        <w:t>вый полет с включением РУ-1 на высо</w:t>
      </w:r>
      <w:r w:rsidRPr="00271E51">
        <w:rPr>
          <w:rFonts w:ascii="Times New Roman" w:hAnsi="Times New Roman"/>
          <w:color w:val="000000" w:themeColor="text1"/>
          <w:sz w:val="16"/>
          <w:szCs w:val="16"/>
        </w:rPr>
        <w:softHyphen/>
        <w:t>те 2760 м состоялся 1 октября 1943 г. (10668).</w:t>
      </w:r>
    </w:p>
    <w:p w14:paraId="727F518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8D40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серийный самолет Пе-2 № 19/205 с полетным весом 8550 кг на испытаниях в ЛИИ развил на высоте 3700 м максимальную скорость полета 521 км/час: его моторы работали на винты марки ВИШ-61Б, обычные для "пешек" того времени. Вскоре из частей стали поступать жалобы на раскрутку винтов при пикировании. Пришлось заменить их на ВИШ-105, с автоматикой, работающей по "прямой схеме". С этими винтами Пе-2 мог идти на одном моторе без снижения на высотах до 1000 м (3542).</w:t>
      </w:r>
    </w:p>
    <w:p w14:paraId="659B25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C1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на заводе 22 сделали Пе-8 с АШ-82ФН N 42410, рассчитанный на нагрузку в 7 т и командир 45 АД В.И.Лебедев предложил отметить ГК, присвоив этой модификации имя Незваля (1792,7).</w:t>
      </w:r>
    </w:p>
    <w:p w14:paraId="7C4338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86456" w14:textId="77777777" w:rsidR="00C7487C" w:rsidRPr="00271E51" w:rsidRDefault="00C7487C" w:rsidP="00271E51">
      <w:pPr>
        <w:shd w:val="clear" w:color="auto" w:fill="FFFFFF"/>
        <w:spacing w:after="0" w:line="240" w:lineRule="auto"/>
        <w:jc w:val="both"/>
        <w:rPr>
          <w:rFonts w:ascii="Times New Roman" w:hAnsi="Times New Roman"/>
          <w:color w:val="0070C0"/>
          <w:sz w:val="16"/>
          <w:szCs w:val="16"/>
          <w:lang w:val="ru"/>
        </w:rPr>
      </w:pPr>
      <w:r w:rsidRPr="00271E51">
        <w:rPr>
          <w:rFonts w:ascii="Times New Roman" w:hAnsi="Times New Roman"/>
          <w:color w:val="0070C0"/>
          <w:sz w:val="16"/>
          <w:szCs w:val="16"/>
        </w:rPr>
        <w:t>В августе 1943 года построили Пе-8 4М82 №42410 с улучшенной прочностью, что позволяло поднимать 7 тонн бомб. Машина прошла войсковые испытания так хорошо, что командир 45-й авиадивизии предложил считать ее новым стандартным типом, расширив серийный выпуск, и присвоить ей обозначение в честь Главного конструктора Незваля (22872).</w:t>
      </w:r>
    </w:p>
    <w:p w14:paraId="23DDF582" w14:textId="77777777" w:rsidR="00C7487C" w:rsidRPr="00271E51" w:rsidRDefault="00C7487C" w:rsidP="00271E51">
      <w:pPr>
        <w:shd w:val="clear" w:color="auto" w:fill="FFFFFF"/>
        <w:spacing w:after="0" w:line="240" w:lineRule="auto"/>
        <w:jc w:val="both"/>
        <w:rPr>
          <w:rFonts w:ascii="Times New Roman" w:hAnsi="Times New Roman"/>
          <w:color w:val="0070C0"/>
          <w:sz w:val="16"/>
          <w:szCs w:val="16"/>
          <w:lang w:val="ru"/>
        </w:rPr>
      </w:pPr>
    </w:p>
    <w:p w14:paraId="39CBFE7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эки</w:t>
      </w:r>
      <w:r w:rsidRPr="00271E51">
        <w:rPr>
          <w:rFonts w:ascii="Times New Roman" w:hAnsi="Times New Roman"/>
          <w:color w:val="000000" w:themeColor="text1"/>
          <w:sz w:val="16"/>
          <w:szCs w:val="16"/>
        </w:rPr>
        <w:softHyphen/>
        <w:t>паж В.И. Жданова выполнил на ДВБ-102 первый дальний (перегоночный) перелет по маршруту Омск — Казань — Москва. Вслед за этим на опытном заводе НИИ ВВС на са</w:t>
      </w:r>
      <w:r w:rsidRPr="00271E51">
        <w:rPr>
          <w:rFonts w:ascii="Times New Roman" w:hAnsi="Times New Roman"/>
          <w:color w:val="000000" w:themeColor="text1"/>
          <w:sz w:val="16"/>
          <w:szCs w:val="16"/>
        </w:rPr>
        <w:softHyphen/>
        <w:t>молете начали подготовку по установке форсированных дви</w:t>
      </w:r>
      <w:r w:rsidRPr="00271E51">
        <w:rPr>
          <w:rFonts w:ascii="Times New Roman" w:hAnsi="Times New Roman"/>
          <w:color w:val="000000" w:themeColor="text1"/>
          <w:sz w:val="16"/>
          <w:szCs w:val="16"/>
        </w:rPr>
        <w:softHyphen/>
        <w:t>гателей АШ-71Ф с турбокомпрессорами ТК-3, которые уда</w:t>
      </w:r>
      <w:r w:rsidRPr="00271E51">
        <w:rPr>
          <w:rFonts w:ascii="Times New Roman" w:hAnsi="Times New Roman"/>
          <w:color w:val="000000" w:themeColor="text1"/>
          <w:sz w:val="16"/>
          <w:szCs w:val="16"/>
        </w:rPr>
        <w:softHyphen/>
        <w:t>лось получить лишь в 1944 г. Одновременно с этим в соот</w:t>
      </w:r>
      <w:r w:rsidRPr="00271E51">
        <w:rPr>
          <w:rFonts w:ascii="Times New Roman" w:hAnsi="Times New Roman"/>
          <w:color w:val="000000" w:themeColor="text1"/>
          <w:sz w:val="16"/>
          <w:szCs w:val="16"/>
        </w:rPr>
        <w:softHyphen/>
        <w:t>ветствии с макетом «Дублера» переделали носовую кабину, заменив каплевидный фонарь летчика новым, занявшим практически всю ширину фюзеляжа. Это улучшило обзор и дало возможность штурману подменять летчика в длитель</w:t>
      </w:r>
      <w:r w:rsidRPr="00271E51">
        <w:rPr>
          <w:rFonts w:ascii="Times New Roman" w:hAnsi="Times New Roman"/>
          <w:color w:val="000000" w:themeColor="text1"/>
          <w:sz w:val="16"/>
          <w:szCs w:val="16"/>
        </w:rPr>
        <w:softHyphen/>
        <w:t>ном полете. В таком окончательном виде с мая 1944-го по 25 июля 1945 года самолет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271E51">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271E51">
        <w:rPr>
          <w:rFonts w:ascii="Times New Roman" w:hAnsi="Times New Roman"/>
          <w:color w:val="000000" w:themeColor="text1"/>
          <w:sz w:val="16"/>
          <w:szCs w:val="16"/>
        </w:rPr>
        <w:softHyphen/>
        <w:t>ным ходом шли работы по четырехмоторным дальним бом</w:t>
      </w:r>
      <w:r w:rsidRPr="00271E51">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271E51">
        <w:rPr>
          <w:rFonts w:ascii="Times New Roman" w:hAnsi="Times New Roman"/>
          <w:color w:val="000000" w:themeColor="text1"/>
          <w:sz w:val="16"/>
          <w:szCs w:val="16"/>
        </w:rPr>
        <w:softHyphen/>
        <w:t>ствии с июньским 1942 года приказом НКАП работы по дуб</w:t>
      </w:r>
      <w:r w:rsidRPr="00271E51">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271E51">
        <w:rPr>
          <w:rFonts w:ascii="Times New Roman" w:hAnsi="Times New Roman"/>
          <w:color w:val="000000" w:themeColor="text1"/>
          <w:sz w:val="16"/>
          <w:szCs w:val="16"/>
        </w:rPr>
        <w:softHyphen/>
        <w:t>ме имени Фрунзе, а после списали (10745,238).</w:t>
      </w:r>
    </w:p>
    <w:p w14:paraId="61EEA7F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FD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 экипаж В.И.Жданова выполнил на ДВБ-102 первый дальний перелет по маршруту Омск-Казань-Москва (аэродром Чкаловская), позволивший определить дальность машины. Доводка "102-й" машины велась под руководством Н.Г.Нурова. В Москве, а точнее - на опытном заводе НИИ ВВС в Чкаловской на </w:t>
      </w:r>
      <w:r w:rsidRPr="00271E51">
        <w:rPr>
          <w:rFonts w:ascii="Times New Roman" w:hAnsi="Times New Roman"/>
          <w:color w:val="000000" w:themeColor="text1"/>
          <w:sz w:val="16"/>
          <w:szCs w:val="16"/>
        </w:rPr>
        <w:lastRenderedPageBreak/>
        <w:t>самолете начали подготовку по установке форсированных двигателей АШ-71Ф с турбокомпрессорами ТК-3, которые удалось получить лишь в 1944 г. Одновременно с этим, в соответствии с макетом дублера, переделали носовую кабину, заменив каплевидный, смещенный к левому борту фонарь летчика на новый, занимавший практически всю ширину фюзеляжа. Это заметно улучшило обзор и дало возможность штурману подменять летчика в длительном полете (3337).</w:t>
      </w:r>
    </w:p>
    <w:p w14:paraId="42DA04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B3928"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noProof/>
          <w:color w:val="000000" w:themeColor="text1"/>
          <w:sz w:val="16"/>
          <w:szCs w:val="16"/>
        </w:rPr>
        <w:t xml:space="preserve"> ав</w:t>
      </w:r>
      <w:r w:rsidRPr="00271E51">
        <w:rPr>
          <w:rFonts w:ascii="Times New Roman" w:hAnsi="Times New Roman"/>
          <w:noProof/>
          <w:color w:val="000000" w:themeColor="text1"/>
          <w:sz w:val="16"/>
          <w:szCs w:val="16"/>
        </w:rPr>
        <w:softHyphen/>
        <w:t xml:space="preserve">густе 1943 г. </w:t>
      </w:r>
      <w:r w:rsidRPr="00271E51">
        <w:rPr>
          <w:rFonts w:ascii="Times New Roman" w:hAnsi="Times New Roman"/>
          <w:color w:val="000000" w:themeColor="text1"/>
          <w:sz w:val="16"/>
          <w:szCs w:val="16"/>
        </w:rPr>
        <w:t>п</w:t>
      </w:r>
      <w:r w:rsidRPr="00271E51">
        <w:rPr>
          <w:rFonts w:ascii="Times New Roman" w:hAnsi="Times New Roman"/>
          <w:noProof/>
          <w:color w:val="000000" w:themeColor="text1"/>
          <w:sz w:val="16"/>
          <w:szCs w:val="16"/>
        </w:rPr>
        <w:t>ервый опытный экземпляр ДВБ-102 перегнали в Москву, где его совер</w:t>
      </w:r>
      <w:r w:rsidRPr="00271E51">
        <w:rPr>
          <w:rFonts w:ascii="Times New Roman" w:hAnsi="Times New Roman"/>
          <w:noProof/>
          <w:color w:val="000000" w:themeColor="text1"/>
          <w:sz w:val="16"/>
          <w:szCs w:val="16"/>
        </w:rPr>
        <w:softHyphen/>
        <w:t>шенствование продолжилось. Была построена и смонтирована на самолете новая передняя герметическая кабина с увеличенным фонарем летчика, установлены двигатели АШ-71Ф с тур</w:t>
      </w:r>
      <w:r w:rsidRPr="00271E51">
        <w:rPr>
          <w:rFonts w:ascii="Times New Roman" w:hAnsi="Times New Roman"/>
          <w:noProof/>
          <w:color w:val="000000" w:themeColor="text1"/>
          <w:sz w:val="16"/>
          <w:szCs w:val="16"/>
        </w:rPr>
        <w:softHyphen/>
        <w:t>бокомпрессорами ТК-3. Совместные испытания доработанной машины велись в период с мая1944г. по 25 июля 1945 г</w:t>
      </w:r>
      <w:r w:rsidRPr="00271E51">
        <w:rPr>
          <w:rFonts w:ascii="Times New Roman" w:hAnsi="Times New Roman"/>
          <w:color w:val="000000" w:themeColor="text1"/>
          <w:sz w:val="16"/>
          <w:szCs w:val="16"/>
        </w:rPr>
        <w:t xml:space="preserve"> (11941)</w:t>
      </w:r>
      <w:r w:rsidRPr="00271E51">
        <w:rPr>
          <w:rFonts w:ascii="Times New Roman" w:hAnsi="Times New Roman"/>
          <w:noProof/>
          <w:color w:val="000000" w:themeColor="text1"/>
          <w:sz w:val="16"/>
          <w:szCs w:val="16"/>
        </w:rPr>
        <w:t>.</w:t>
      </w:r>
    </w:p>
    <w:p w14:paraId="00CC9D8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44C52B4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экипаж летчика-испытателя НИИ ВВС В.И. Жданова выполнил на ДВБ-102 первый большой перелет по маршруту Омск — Казань — Моск</w:t>
      </w:r>
      <w:r w:rsidRPr="00271E51">
        <w:rPr>
          <w:rFonts w:ascii="Times New Roman" w:hAnsi="Times New Roman"/>
          <w:color w:val="000000" w:themeColor="text1"/>
          <w:sz w:val="16"/>
          <w:szCs w:val="16"/>
        </w:rPr>
        <w:softHyphen/>
        <w:t>ва (аэродром Чкаловская), позволивший определить дальность машины. Доводка «102-й» машины велась под руководством Н.Г. Нурова. В Москве, точнее, на опытном заводе НИИ ВВС в подмосковной Чкаловской, на самолете начали подготовку по установке форси</w:t>
      </w:r>
      <w:r w:rsidRPr="00271E51">
        <w:rPr>
          <w:rFonts w:ascii="Times New Roman" w:hAnsi="Times New Roman"/>
          <w:color w:val="000000" w:themeColor="text1"/>
          <w:sz w:val="16"/>
          <w:szCs w:val="16"/>
        </w:rPr>
        <w:softHyphen/>
        <w:t>рованных двигателей АШ-71Ф с турбокомпрессорами ТК-3, которые удалось получить лишь в 1944 году. Од</w:t>
      </w:r>
      <w:r w:rsidRPr="00271E51">
        <w:rPr>
          <w:rFonts w:ascii="Times New Roman" w:hAnsi="Times New Roman"/>
          <w:color w:val="000000" w:themeColor="text1"/>
          <w:sz w:val="16"/>
          <w:szCs w:val="16"/>
        </w:rPr>
        <w:softHyphen/>
        <w:t>новременно с этим, в соответствии с макетом самоле</w:t>
      </w:r>
      <w:r w:rsidRPr="00271E51">
        <w:rPr>
          <w:rFonts w:ascii="Times New Roman" w:hAnsi="Times New Roman"/>
          <w:color w:val="000000" w:themeColor="text1"/>
          <w:sz w:val="16"/>
          <w:szCs w:val="16"/>
        </w:rPr>
        <w:softHyphen/>
        <w:t>та-дублера, переделали носовую кабину, заменив ка-плевидный, смещенный клевому борту фонарь летчика новым, занимавшим практически всю ширину фюзеля</w:t>
      </w:r>
      <w:r w:rsidRPr="00271E51">
        <w:rPr>
          <w:rFonts w:ascii="Times New Roman" w:hAnsi="Times New Roman"/>
          <w:color w:val="000000" w:themeColor="text1"/>
          <w:sz w:val="16"/>
          <w:szCs w:val="16"/>
        </w:rPr>
        <w:softHyphen/>
        <w:t>жа. Это заметно улучшило обзор и дало возможность штурману подменять летчика в длительном полете (11446).</w:t>
      </w:r>
    </w:p>
    <w:p w14:paraId="5B1907D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EED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проходили заводские испытания И-220 с АМ-39, начатые в июле (4,249).</w:t>
      </w:r>
    </w:p>
    <w:p w14:paraId="710276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57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начались летные испытания И-220 второго (1021,78).</w:t>
      </w:r>
    </w:p>
    <w:p w14:paraId="6B2316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59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закончились летные испытания И-220А МиГ N 1, которые шли с июля или 3 июня. В полетах участвовал П.А.Журавлев и машину потом переоборудовали АМ-39 (1084,41).</w:t>
      </w:r>
    </w:p>
    <w:p w14:paraId="6EC520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23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Шахурин поручил начальнику ЛИИ дать оценку самолету Гу-1. В своем докладе Чеса-лов сообщал: "...Рассмотрение материалов (расчетных, результатов продувок моделей и результатов работы аварийной комиссии. - Прим. авт.) позволяет отметить два основных крупных дефекта конструкции этого самолета:</w:t>
      </w:r>
    </w:p>
    <w:p w14:paraId="07019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Неудачная в аэродинамическом отношении компоновка моторного оборудования вызвала сильную вредную интерференцию, из-за чего резко ухудшились летные свойства самолета по сравнению с проектными наметками по результатам испытаний гладкой модели.</w:t>
      </w:r>
    </w:p>
    <w:p w14:paraId="623DF5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Исключительно большое перетяже-ление истребителя (около тонны) против запроектированного конструктором веса.</w:t>
      </w:r>
    </w:p>
    <w:p w14:paraId="7E08F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конструктивной компоновки выразились в следующем: значительная часть центроплана вблизи фюзеляжа испорчена большими вырезами в передней части профиля для туннеля водорадиа-тора; выход из туннеля водорадиатора осуществлен на верхней поверхности крыла вблизи фюзеляжа; заборник туннеля маслорадиатора размещен вблизи сопряжения центроплана с фюзеляжем;</w:t>
      </w:r>
    </w:p>
    <w:p w14:paraId="3838FF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зализ в сопряжении задней верхней части центроплана с фюзеляжем, по-видимому, недостаточен для такой компоновки охлаждения.</w:t>
      </w:r>
    </w:p>
    <w:p w14:paraId="7DBC59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Вышеуказанные дефекты в несколько иной форме и масштабе встречаются и на ряде других самолетов, но на них ухудшение лётных свойств почти не заметно. Например, вырезы в передней кромке профиля и выход воздуха из радиатора по верхней поверхности крыла осуществлены на самолетах Пе-2, "103", Су-2, Су-3 и новом истребителе т.Микояна.</w:t>
      </w:r>
    </w:p>
    <w:p w14:paraId="3DB65E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Конструктивная компоновка охлаждения в указанных случаях не вызвала вредной интерференции. Этого удалось достичь, благодаря большому опыту и квалификации конструкторов, а в ряде случаев, благодаря специальной отработке этих вопросов в лабораторных условиях (Пе-2 и самолет "103").</w:t>
      </w:r>
    </w:p>
    <w:p w14:paraId="1844F9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относительных вырезов в крыле в таких случаях необходимо учитывать и свойства профиля крыла. Скоростной профиль (..) 1-В-10, выбранный т.Гудко-вым, по-видимому, особенно чувствителен к разного рода надстройкам и вырезам и требует осторожного подхода.</w:t>
      </w:r>
    </w:p>
    <w:p w14:paraId="291F5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это, при другой конструктивной компоновке охладительных устройств даже при этом профиле можно было бы избежать столь сильной вредной интерференции и сохранить аэродинамические свойства самолета т. Гудкова на уровне полученных при продувке гладкой (без вырезов) модели.</w:t>
      </w:r>
    </w:p>
    <w:p w14:paraId="316152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если учесть перетяжеление самолета и в расчетные данные конструктора, опирающиеся на продувки гладкой (...) модели и, следовательно, являющиеся идеализированными, внести поправки только на вес, то летные характеристики этого самолета, как опытного, следует признать далеко не блестящими.</w:t>
      </w:r>
    </w:p>
    <w:p w14:paraId="7DB5B4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нижеследующей таблице приведены основные расчетные характеристики самолета по данным КБ тов.Гудкова для веса 4200 кг и те же характеристики, пересчитанные на вес 4600 кг (реальный вес этого самолета более 4600 кг).</w:t>
      </w:r>
    </w:p>
    <w:p w14:paraId="3ED555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A907A5" w:rsidRPr="00271E51" w14:paraId="64C2715A" w14:textId="77777777" w:rsidTr="00ED5B0A">
        <w:tc>
          <w:tcPr>
            <w:tcW w:w="2840" w:type="dxa"/>
          </w:tcPr>
          <w:p w14:paraId="1931E0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2981C5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КБ (вес 4200 кг)</w:t>
            </w:r>
          </w:p>
        </w:tc>
        <w:tc>
          <w:tcPr>
            <w:tcW w:w="2840" w:type="dxa"/>
          </w:tcPr>
          <w:p w14:paraId="7287F4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4600 кг</w:t>
            </w:r>
          </w:p>
        </w:tc>
      </w:tr>
      <w:tr w:rsidR="00A907A5" w:rsidRPr="00271E51" w14:paraId="17E5183B" w14:textId="77777777" w:rsidTr="00ED5B0A">
        <w:tc>
          <w:tcPr>
            <w:tcW w:w="2840" w:type="dxa"/>
          </w:tcPr>
          <w:p w14:paraId="1283881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км/час</w:t>
            </w:r>
          </w:p>
        </w:tc>
        <w:tc>
          <w:tcPr>
            <w:tcW w:w="2840" w:type="dxa"/>
          </w:tcPr>
          <w:p w14:paraId="5B0911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40" w:type="dxa"/>
          </w:tcPr>
          <w:p w14:paraId="05EAB3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D04132" w14:textId="77777777" w:rsidTr="00ED5B0A">
        <w:tc>
          <w:tcPr>
            <w:tcW w:w="2840" w:type="dxa"/>
          </w:tcPr>
          <w:p w14:paraId="4ADF3C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2840" w:type="dxa"/>
          </w:tcPr>
          <w:p w14:paraId="712541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2840" w:type="dxa"/>
          </w:tcPr>
          <w:p w14:paraId="3D425C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518</w:t>
            </w:r>
          </w:p>
        </w:tc>
      </w:tr>
      <w:tr w:rsidR="00A907A5" w:rsidRPr="00271E51" w14:paraId="0EE2AB80" w14:textId="77777777" w:rsidTr="00ED5B0A">
        <w:tc>
          <w:tcPr>
            <w:tcW w:w="2840" w:type="dxa"/>
          </w:tcPr>
          <w:p w14:paraId="1161E2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7500 м</w:t>
            </w:r>
          </w:p>
        </w:tc>
        <w:tc>
          <w:tcPr>
            <w:tcW w:w="2840" w:type="dxa"/>
          </w:tcPr>
          <w:p w14:paraId="734678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c>
          <w:tcPr>
            <w:tcW w:w="2840" w:type="dxa"/>
          </w:tcPr>
          <w:p w14:paraId="718824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674</w:t>
            </w:r>
          </w:p>
        </w:tc>
      </w:tr>
      <w:tr w:rsidR="00A907A5" w:rsidRPr="00271E51" w14:paraId="7BC1701C" w14:textId="77777777" w:rsidTr="00ED5B0A">
        <w:tc>
          <w:tcPr>
            <w:tcW w:w="2840" w:type="dxa"/>
          </w:tcPr>
          <w:p w14:paraId="28DA0C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2840" w:type="dxa"/>
          </w:tcPr>
          <w:p w14:paraId="5024B4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2840" w:type="dxa"/>
          </w:tcPr>
          <w:p w14:paraId="2B266A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r>
      <w:tr w:rsidR="00A907A5" w:rsidRPr="00271E51" w14:paraId="2CF331CF" w14:textId="77777777" w:rsidTr="00ED5B0A">
        <w:tc>
          <w:tcPr>
            <w:tcW w:w="2840" w:type="dxa"/>
          </w:tcPr>
          <w:p w14:paraId="46F6EE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2840" w:type="dxa"/>
          </w:tcPr>
          <w:p w14:paraId="0A2339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40" w:type="dxa"/>
          </w:tcPr>
          <w:p w14:paraId="047238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&gt;850</w:t>
            </w:r>
          </w:p>
        </w:tc>
      </w:tr>
    </w:tbl>
    <w:p w14:paraId="08CAAA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показывает, что в части максимальной скорости у земли, времени виража, времени подъема на 5000 м и длины разбега самолет тов. Гудкова уступает нашим серийным истребителям.</w:t>
      </w:r>
    </w:p>
    <w:p w14:paraId="61F4B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Снижение полетного веса этого самолета весьма затруднительно, так как ряд основных частей самолета (например, крыло) не имеют нужного запаса прочности даже при весе 4200 кг.</w:t>
      </w:r>
    </w:p>
    <w:p w14:paraId="031B7F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Принимая во внимание вышеизложенное, считаю, что самолет-истребитель конструкции тов. Гудкова типа "Аэрокобра" никакого практического интереса для нашей авиации не представляет." (7686,5)</w:t>
      </w:r>
    </w:p>
    <w:p w14:paraId="50ED33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после реэвакуации ОКБ-33 было размещено на ранее занимаемых площадях на территории завода № 315, а при заводе № 33 был организован филиал, в силу чего ОКБ было присвоено наименование ОКБ-315-33. Это наименование сохранялось до апреля 1957 года, когда филиал приказом МАП от 26 февраля 1957 года № 66сс был выделен в самостоятельное ОКБ.</w:t>
      </w:r>
    </w:p>
    <w:p w14:paraId="36CF6F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производственному назначению ОКБ было организовано как агрегатное предприятие и это свое назначение выполняет до настоящего времени. В профиле ОКБ за время его существования произошли коренные изменения, связанные с развитием авиационной техники.</w:t>
      </w:r>
    </w:p>
    <w:p w14:paraId="4EF0A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1938 года по 1948 год в тематике ОКБ преобладали работы по проектированию и изготовлению карбюраторов и другой топливной аппаратуры для поршневых двигателей. С 1948 года в тематику ОКБ включаются работы по проектированию и изготовлению систем топливопитания и регулирования различных реактивных двигателей и летательных аппаратов, в настоящее время эти работы полностью определяют профиль ОКБ.</w:t>
      </w:r>
    </w:p>
    <w:p w14:paraId="012D29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момент организации ОКБ в 1938 году производственной и экспериментальной базой его были цеха серийного производства завода № 33, а начиная с 1939 года началась организация собственной производственной и экспериментальной базы.</w:t>
      </w:r>
    </w:p>
    <w:p w14:paraId="3CAFD3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Эвакуация задержала этот период развития ОКБ.</w:t>
      </w:r>
    </w:p>
    <w:p w14:paraId="404EEF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Руководителем ОКБ с 1940 года является гл. конструктор Коротков Ф.А. (9391)</w:t>
      </w:r>
    </w:p>
    <w:p w14:paraId="2F4B38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 ЦИАМ была организована лаборатория по исследованию и разработке воздушно-реактивных двигателей во главе с А.М. Люлька. К созданию реактивных двигателей в это же время были подключены некоторые научные подразделения, в том числе возглавляемое В.В. Уваровым (9016).</w:t>
      </w:r>
    </w:p>
    <w:p w14:paraId="73BE62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D79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закончилось проектирование и постройка И-211 с М-82Ф (Б), которые начали в декабре 1942. В августе 1943 закончили и летные испытаний. Оказался хорошим и сделали десять предсерийных для войсковых испытаний на Калининском фронте. ГКО отказался от серии (1084,40).</w:t>
      </w:r>
    </w:p>
    <w:p w14:paraId="0AAF0B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E22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 из сборочного цеха в Горьком выкатили экспериментальный истребитель №39210109. Опытный глаз сразу отметил новшества. Прежде всего, всасывающий тракт перенесли с верхней части капота вниз, под обшивку; воздух в него поступал через окно сверху в переднем кольце капота. Мас- лорадиатор сдвинули назад и разместили снаружи между третьим и пятым шпангоутами. Средняя секция фонаря стала не сдвигаться назад по направляющим, а откидываться вбок, как на немецком истребителе Bf 109. Дополнительные щитки полностью закрывали убранные колёса основных стоек шасси. Кроме этого, улучшили зализы крыла с фюзеляжем, выхлопные коллекторы заменили индивидуальными патрубками по типу Ла-5ФН, доработали капот и улучшили герметизацию самолёта. </w:t>
      </w:r>
      <w:r w:rsidRPr="00271E51">
        <w:rPr>
          <w:rFonts w:ascii="Times New Roman" w:hAnsi="Times New Roman"/>
          <w:color w:val="000000" w:themeColor="text1"/>
          <w:sz w:val="16"/>
          <w:szCs w:val="16"/>
        </w:rPr>
        <w:lastRenderedPageBreak/>
        <w:t>Возросла до 20% осевая компенсация руля высоты, снизившая нагрузки на ручку управления самолётом, а прицел ПБП-1 заменили на ВВ-1. Вооружение осталось прежнее - две синхронные пушки СП-20, не изменилось и оборудование кабины.</w:t>
      </w:r>
    </w:p>
    <w:p w14:paraId="68919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таком виде самолёт поступил на государственные испытания, проходившие с 30 сентября по 18 октября 1943 г. Ведущим инженером по машине был Н.Н. Борисов. По мнению ведущих лётчиков А.Г. Кубышкина и И.М. Дзюбы, а также участвовавших в облёте нового истребителя П.М. Сте- фановского и А.Г. Прошакова, самолёт по технике пилотирования ничем не отличался от серийных машин, но обзор из кабины в стороны ухудшился (в основном, из-за потёртости плексигласа боковых подвижных створок), что усложняло посадку и взлёт с ограниченных площадок. Более того, открывавшийся вбок фонарь затруднял посадку лётчика в кабину, аварийный его сброс двумя руками оказался неудобным. Но обзор вперёд, благодаря переносу воздухозаборника двигателя вниз, улучшился, облегчив также прицеливание.</w:t>
      </w:r>
    </w:p>
    <w:p w14:paraId="33DA72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самолёта возросла до 630 км/ч, время виража сократилось на 1 - 2 с, а набор высоты за боевой разворот увеличился до 120 м. Улучшенная герметизация кабины и вентиляция позволили снизить температуру в ней до достаточно приемлемых 30°. Хотя этот вариант истребителя в серию не пошёл, многие заложенные в нём технические решения потом перекочевали на будущий Ла-7 (11986).</w:t>
      </w:r>
    </w:p>
    <w:p w14:paraId="5E6DCD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DEC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проходил испытания Ла-5 с М-82 "82-ВГ" N 2124 и испытания продолжились в ноябре 1943 (744,2).</w:t>
      </w:r>
    </w:p>
    <w:p w14:paraId="5528A5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2926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автомат 82-ВГ испытывался на с-те Ла-5 № 2124 с М-82 В ноябре 1943 испытывался во 2-м упр. НИИ ВВС удовлетворительно. В апреле 1944 проходил испытания на с-те № 39211618 на заводе 21 удовлетворительно.</w:t>
      </w:r>
    </w:p>
    <w:p w14:paraId="2D662A7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 1944 испытавался во 2у ГК НИИ ВВС на с-та Ла-5 № 1618 вновь удовлетворительно</w:t>
      </w:r>
    </w:p>
    <w:p w14:paraId="4377FCE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Отмечено, что значительно облегчает управление ВМГ</w:t>
      </w:r>
    </w:p>
    <w:p w14:paraId="6D2E3CC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1DE78B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6ECA811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АРТЦ-43 - был изготовлен в опытном экз. В 1943 заводом № 194 НКАП согласно плану опытных работ ВВС КА</w:t>
      </w:r>
    </w:p>
    <w:p w14:paraId="69C62890"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720F0FE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46E2DB5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автомат АРТЦ-43 удовлетворительно прошел войсковые испытания на Ла-5 фн и был принят на вооружение ВВС.</w:t>
      </w:r>
    </w:p>
    <w:p w14:paraId="0805E70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657D07D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08A33042"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777F03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из сборочного цеха выкатили истребитель № 39210109 и опытный глаз авиаторов сразу отметил новшества. Прежде всего, всасывающий патрубок перенесли с верхней части мотора под капот, а торчащую "бородку" маслорадиатора разместили между третьим и пятым шпангоутами. Фонарь, вместо сдвижного, стал открывающимся вбок по типу Bf 109, а дополнительные щитки полностью закрывали убранные колеса основных опор.</w:t>
      </w:r>
    </w:p>
    <w:p w14:paraId="5EAFA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улучшили зализы крыла с фюзеляжем, выхлопные коллекторы заменили индивидуальными патрубками, доработали капот и улучшили герметизацию самолета. Возросла до 20 процентов осевая компенсация руля высоты, снизившая нагрузки на ручку управления самолетом, а прицел ПБП-1 заменили на ВВ-1. Вооружение осталось прежнее - две синхронные пушки СП-20, не изменилось и оборудование кабины.</w:t>
      </w:r>
    </w:p>
    <w:p w14:paraId="137D4B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таком виде самолет поступил на государственные испытания, проходившие с 30 сентября по 18 октября 1943 г. Ведущим инженером по машине был Н.Н. Борисов. По мнению летчиков-испытателей А.Г Кубышкина и И.М. Дзюбы, П.М. Стефановского и А.Г. Прошакова, самолет по технике пилотирования ничем не отличался от серийных машин, но обзор из кабины в стороны ухудшился из-за потертости плексигласа боковых подвижных створок, что усложнило посадку и взлет с ограниченных площадок. Более того, открывавшийся вбок фонарь затруднял посадку летчика в кабину, да и аварийный его сброс двумя руками оказался неудобным. Но обзор вперед, благодаря перенесению воздухозаборника под капот, улучшился, облегчив летчику прицеливание.</w:t>
      </w:r>
    </w:p>
    <w:p w14:paraId="48B4A5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возросла до 630 км/ч скорости, время одинарного виража сократилось на 1-2 секунды, а набор высоты за боевой разворот увеличился до 120 м.</w:t>
      </w:r>
    </w:p>
    <w:p w14:paraId="554134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Лучшая герметизация кабины и вентиляция позволили снизить температуру почти до 30 градусов. Хотя истребитель в серию не пошел, многие технические решения, заложенные в нем, перекочевали на будущий Ла-7 (12032).</w:t>
      </w:r>
    </w:p>
    <w:p w14:paraId="419AFB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89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был построен первый учебно-тренировочный Ла-5 (оснащенный двигателем М-82Ф) и через месяц поступил в НИИ ВВС. На его борту над номером 07 красовалась надпись: "Подарок фронту в честь 25-летия ВЛКСМ".</w:t>
      </w:r>
    </w:p>
    <w:p w14:paraId="50B0B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Открытая (без фонаря) кабина летчика-инструктора размещалась между пятым и восьмым шпангоутами. В этом месте пришлось усилить фюзеляжный вырез верхними лонжеронами и ввести два дополнительных шпангоута. С машины сняли одну пушку СП-20, а ее место занял баллон со сжатым воздухом. Для учебного самолета ненужными стали бронеспинка и бронестекло, система нейтрального газа и бомбовое вооружение. Отказались и от радиооборудования.</w:t>
      </w:r>
    </w:p>
    <w:p w14:paraId="25ABB5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по испытаниям спарки были инженер В.И. Алексеенко, летчики А.Г. Кубышкин и Ю.А. Ангипов. Облетали самолет П.М. Стефановский, В.И. Хомяков, И.М. Дзюба и К.И. Овчинников. По их мнению, задняя кабина оказалась тесной, особенно для летчиков в зимнем обмундировании, но по технике пилотирования самолет почти не отличался от боевого Ла-5, если не считать повышенной чувствительности к перетягиванию ручки управления. В полете с открытым фонарем передней кабины, что практиковалось среди советских пилотов, сильно задувало заднюю кабину, и зимой летать без маски было невозможно.</w:t>
      </w:r>
    </w:p>
    <w:p w14:paraId="476A56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Учебно-тренировочный Ла-5 испытания прошел удовлетворительно и рекомендовался к серийной постройке, но с обязательной установкой переговорного устройства и устранением выявленных дефектов, впрочем, последних было не так много. </w:t>
      </w:r>
    </w:p>
    <w:p w14:paraId="55920F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Месяц спустя в НИИ ВВС появилась еще одна спарка и тоже завода №21, однако она испытания не выдержала, а серийному учебно-тренировочному Ла-5 было суждено появиться лишь в конце 1944 г. (12032).</w:t>
      </w:r>
    </w:p>
    <w:p w14:paraId="5F6F77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A15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ЛИИ НКАП и филиале ЦАГИ в соответствии с приказом N 915с проходили контрольные испытания серийных Як-7 N 4925 завода 153 выпуска августа, Як-9 завода 153 выпуска август, Як-1 N 28148 производства завода 292 август, Ла-5 М-82Ф N 39213718 производства завода 21 август (1783).</w:t>
      </w:r>
    </w:p>
    <w:p w14:paraId="7F2F0D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01E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инженеры серийного конструкторского бюро и отдела эксплуатации и ремонта завода № 153 В.Г. Феррейн и Ю.Б. Блезе подготовили для летчиков и механиков ВВС инструкцию под названием "Скорость", способствующую улучшению скоростных характеристик Як-9. Главный инженер ВВС КА генерал-полковник А. Репин, ознакомившись с ней, наложил резолюцию: "Всем летчикам и механикам тщательно усвоить и точно выполнять все пункты настоящей инструкции".</w:t>
      </w:r>
    </w:p>
    <w:p w14:paraId="2A457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Документ весьма впечатлителен и интересен, поэтому приведу его, с вашего позволения, полностью:</w:t>
      </w:r>
    </w:p>
    <w:p w14:paraId="454252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систематической работы над повышением скоростей серийных самолетов ЯК, завод за год внедрил ряд конструктивных изменений, давших реальный эффект. Скорость серийных самолетов увеличилась на 10%.</w:t>
      </w:r>
    </w:p>
    <w:p w14:paraId="1C5944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Вот краткий перечень этих изменений:</w:t>
      </w:r>
    </w:p>
    <w:p w14:paraId="27975D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Замена щитка костыля двухстворчатым лючком, обеспечивающим плотное и гладкое закрывание выреза при убранном костыле.</w:t>
      </w:r>
    </w:p>
    <w:p w14:paraId="74E295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Полировка носков крыла, киля и стабилизатора /передняя треть хорды/ в целях уменьшения сопротивления трения.</w:t>
      </w:r>
    </w:p>
    <w:p w14:paraId="3386BE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Обтекатели на выхлопные патрубки мотора.</w:t>
      </w:r>
    </w:p>
    <w:p w14:paraId="534FED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Уменьшение щелей между стабилизатором и рулем высоты, килем и рулем поворота.</w:t>
      </w:r>
    </w:p>
    <w:p w14:paraId="3C4E21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Улучшение обводов туннеля маслора- диатора и герметизация этого туннеля.</w:t>
      </w:r>
    </w:p>
    <w:p w14:paraId="1C6E80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Улучшение обводов входной части туннеля водорадиатора, герметизация этого туннеля и изменение хода открывания заслонки.</w:t>
      </w:r>
    </w:p>
    <w:p w14:paraId="5640BC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Установка герметизированной перегородки за кабиной летчика.</w:t>
      </w:r>
    </w:p>
    <w:p w14:paraId="0C95B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Изменение ступеньки подвижной части фонаря кабины с целью улучшения плавности его обвода, следовательно, уменьшение сопротивления.</w:t>
      </w:r>
    </w:p>
    <w:p w14:paraId="659737F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Улучшение обводов хвостового оперения.</w:t>
      </w:r>
    </w:p>
    <w:p w14:paraId="754A6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Улучшение обводов руля высоты возле руля поворота.</w:t>
      </w:r>
    </w:p>
    <w:p w14:paraId="4285AC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11. Герметизация лючков в нулевых нервюрах крыла.</w:t>
      </w:r>
    </w:p>
    <w:p w14:paraId="1D4919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продолжает работать над увеличением скоростей выпускаемых самолетов и имеет основание надеяться увеличить их в ближайшее время еще на 10-15 км/ч.</w:t>
      </w:r>
    </w:p>
    <w:p w14:paraId="186CF5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Достигнутые на заводе максимальные скорости можно обеспечить при эксплуатации в воинских частях при условии соблюдения определенных правил.</w:t>
      </w:r>
    </w:p>
    <w:p w14:paraId="27223F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одинаковой степени это зависит от механиков, обслуживающих самолет и от летчика, летающего на нем.</w:t>
      </w:r>
    </w:p>
    <w:p w14:paraId="67F11E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должен делать технический состав и за чем следит?</w:t>
      </w:r>
    </w:p>
    <w:p w14:paraId="28336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Сохранять и поддерживать в отличном состоянии внешние поверхности самолета, особенно верхние поверхности носка крыла, киля и стабилизатора, отполированные на заводе. Не забывать, что сопротивление поверхностного трения у скоростных самолетов достигает 65% от общего сопротивления.</w:t>
      </w:r>
    </w:p>
    <w:p w14:paraId="56F06C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Обеспечить такую регулировку щитков крыла, а также щитков шасси и костыля, при которой данные щитки в полете плотно прилегали бы к поверхности крыла и фюзеляжа.</w:t>
      </w:r>
    </w:p>
    <w:p w14:paraId="608DE3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Следить, чтобы мягкие окантовки кромок герметизации туннелей радиаторов всегда плотно и равномерно прилегали по всему контуру без щелей и разрывов.</w:t>
      </w:r>
    </w:p>
    <w:p w14:paraId="3E6D11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Следить за герметизацией фюзеляжа и при появлении щелей тщательно их заклеить полотном на эмалите. В случае деформации в полете заслонки перегородки герметизации /самолеты Як-7Б и Як-9/ можно рекомендовать заклеивать ее лентой на эмалите.</w:t>
      </w:r>
    </w:p>
    <w:p w14:paraId="79547D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Следить, чтобы обтекатели выхлопных патрубков мотора всегда имели ровную поверхность без вмятин и т.п. дефектов.</w:t>
      </w:r>
    </w:p>
    <w:p w14:paraId="395F3B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При съемке и установке крышек капота не допускать появления на них вмятин. Все лючки, имеющиеся на самолете, не должны "дышать" в полете.</w:t>
      </w:r>
    </w:p>
    <w:p w14:paraId="158A6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Следить за состоянием сот радиаторов, соты должны всегда быть чистыми, на них не должно быть масляной эмульсии. Масляная пленка на сотах радиаторов значительно ухудшает их теплоотдачу и приводит к перегреву мотора, что может вынудить летчика делать площадки при наборе высоты на перехвате высоко летящего противника или прекратить преследование при догоне его.</w:t>
      </w:r>
    </w:p>
    <w:p w14:paraId="794398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Не допускать вибрацию заслонки туннеля водорадиатора при работе мотора на земле, своевременно погашать люфты.</w:t>
      </w:r>
    </w:p>
    <w:p w14:paraId="314CDD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Обеспечивать регулировку мотора и управления винтом, дающую полную отдачу мощности мотора согласно действующих официальных указаний.</w:t>
      </w:r>
    </w:p>
    <w:p w14:paraId="6CDAA2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Помнить, что гарантированные летные данные самолета обеспечиваются, помимо аэродинамики, определенными данными мотора - наддувом и оборотами на данных высотах. Наддув мотора М-105ПФ должен быть отрегулирован строго в пределах 1030-1060 мм рт. ст. &lt;...&gt; при винте ВИИ1-61П на самом малом шаге (20° для данного наддува) и при числе оборотов коленчатого вала выше 1900-2000 в минуту. Регулировка наддува ниже 1030 мм рт. ст. приводит к недобору мощности мотора превосходящему допустимые 2% из расчета I мм рт. ст. - 1 л.с.</w:t>
      </w:r>
    </w:p>
    <w:p w14:paraId="1A89FC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Регулировка, допускающая превышение величины наддува 1060 мм рт. ст., недопустима по следующим соображениям:</w:t>
      </w:r>
    </w:p>
    <w:p w14:paraId="3AB68B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Возникают перегревы мотора, требующие увеличения открытия заслонок радиатора, что приводит к снижению максимальной скорости и увеличению расхода топлива.</w:t>
      </w:r>
    </w:p>
    <w:p w14:paraId="080B8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Получается снижение границы высотности из расчета 1 мм рт. ст. -10 м высотности; наддув 1000 мм рт. ст. означает снижение границы высотности с 3650 м до 3250 м. Это также приводит к уменьшению максимальной скорости (до 10 км/ч), так как в этом случае мощность в среде с большей массовой плотностью воздуха, т.е. с большим вредным сопротивлением, падает.</w:t>
      </w:r>
    </w:p>
    <w:p w14:paraId="3CF59F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Номинальные обороты мотора М-105ПФ установлены в пределах 2650-2750 об/мин. &lt;...&gt; при наименьшем угле установки лопастей ВИШ-61П в 20° (кольца ограничиьтели малого шага на диске регулятора Р-7Н не должны ограничивать указанных оборотов меньшими числами в условиях полета на боевых высотах. Важно лишь, чтобы раскрутка винта не превосходила 2800 об/мин.</w:t>
      </w:r>
    </w:p>
    <w:p w14:paraId="35F4E3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 режиме полета с максимальной скоростью ниже второй границы высотности (3650 м) указанные выше номинальные обороты 2650-2750 в минуту использовать нельзя из-за падения КПД винта и приходится ограничиваться 2550 об/мин. на полном газе, несколько затяжелив винт.</w:t>
      </w:r>
    </w:p>
    <w:p w14:paraId="0ECFD0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Регулировка управления заслонками всасывающего патрубка всегда должна обеспечивать полное открытие заслонок при убранном положении шасси.</w:t>
      </w:r>
    </w:p>
    <w:p w14:paraId="5574DD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Ставить ухваты бомбодержателей только когда они нужны. Выпускать самолет в воздух без ухватов следует, заклеив полотном на эмалите отверстия под ухваты. Установленные ухваты снижают скорость на 6-7 км/ч.</w:t>
      </w:r>
    </w:p>
    <w:p w14:paraId="7F67FE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Тщательно следить за тем, чтобы заводская установка трубки Пито не была бы сбита. При полете с трубкой Пито, поставленной косо, на указателе скорости летчик никогда не увидит данных, гарантированных заводом.</w:t>
      </w:r>
    </w:p>
    <w:p w14:paraId="538FBC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Соединения динамической и статической проводок к указателю скорости должны быть всегда герметичными. При проверке ПУСом (прибор тарировки указателя скорости. - Прим. авт.) выдержку давать на 350-400 км/ч.</w:t>
      </w:r>
    </w:p>
    <w:p w14:paraId="4C4509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должен делать летчик и за чем следить, чтобы получить максимальную скорость?</w:t>
      </w:r>
    </w:p>
    <w:p w14:paraId="0F7C8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Летать с полностью закрытым фонарем и закрытой вентиляцией кабины. Помнить, что открытый фонарь уменьшает максимальную скорость на 20 км/ч.</w:t>
      </w:r>
    </w:p>
    <w:p w14:paraId="372B3C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Полностью снимать мощность с мотора, правильно пользуясь соответствующими рычагами: ниже второй границы высотности выдерживать 2550 об/мин, а выше второй границы высотности 2700 об/мин.</w:t>
      </w:r>
    </w:p>
    <w:p w14:paraId="10BECA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Набор высоты делать только на 2700 об/мин. Скорость на наборе держать по таблице.</w:t>
      </w:r>
    </w:p>
    <w:p w14:paraId="0268DC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При полете на максимальной скорости, заслонки туннелей радиаторов обязательно поставить по потоку. Заслонки туннелей поставленные не по потоку, а отклоненные на максимальный угол уменьшают максимальную скорость на 30-40 км/ч.</w:t>
      </w:r>
    </w:p>
    <w:p w14:paraId="0BE645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Попросить соседа по звену проследить, нет ли отсоса в полете щитков крыла и &lt;...&gt; шасси, и не вибрирует ли заслонка туннеля водорадиатора. Отсос щитков уменьшает скорость на 15 км/ч.</w:t>
      </w:r>
    </w:p>
    <w:p w14:paraId="1C05B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Можно также проверить самому, нет ли отсоса в полете шитков крыла: повернуть на максимальной скорости полета ручку крана щитков на подъем - если при этом самолет станет "пухнуть", это будет свидетельствовать о наличии отсоса щитков и неправильной их регулировки" (12046).</w:t>
      </w:r>
    </w:p>
    <w:p w14:paraId="2272355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75DD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Як-1М продувался в аэродинамической трубе для поиска дополнительных мер по улучшению обводов и работы устройств охлаждения.</w:t>
      </w:r>
    </w:p>
    <w:p w14:paraId="4ECFCA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14A948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3D578F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41E08"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r w:rsidRPr="00271E51">
        <w:rPr>
          <w:rFonts w:ascii="Times New Roman" w:hAnsi="Times New Roman" w:cs="Times New Roman"/>
          <w:color w:val="0070C0"/>
          <w:sz w:val="16"/>
          <w:szCs w:val="16"/>
        </w:rPr>
        <w:t xml:space="preserve">В августе </w:t>
      </w:r>
      <w:r w:rsidRPr="00271E51">
        <w:rPr>
          <w:rFonts w:ascii="Times New Roman" w:hAnsi="Times New Roman" w:cs="Times New Roman"/>
          <w:color w:val="0070C0"/>
          <w:sz w:val="16"/>
          <w:szCs w:val="16"/>
          <w:lang w:val="ru-RU"/>
        </w:rPr>
        <w:t xml:space="preserve">1943 </w:t>
      </w:r>
      <w:r w:rsidRPr="00271E51">
        <w:rPr>
          <w:rFonts w:ascii="Times New Roman" w:hAnsi="Times New Roman" w:cs="Times New Roman"/>
          <w:color w:val="0070C0"/>
          <w:sz w:val="16"/>
          <w:szCs w:val="16"/>
        </w:rPr>
        <w:t xml:space="preserve">на первом Як-1М </w:t>
      </w:r>
      <w:r w:rsidRPr="00271E51">
        <w:rPr>
          <w:rFonts w:ascii="Times New Roman" w:hAnsi="Times New Roman" w:cs="Times New Roman"/>
          <w:color w:val="0070C0"/>
          <w:sz w:val="16"/>
          <w:szCs w:val="16"/>
          <w:lang w:val="ru-RU"/>
        </w:rPr>
        <w:t xml:space="preserve">Москит </w:t>
      </w:r>
      <w:r w:rsidRPr="00271E51">
        <w:rPr>
          <w:rFonts w:ascii="Times New Roman" w:hAnsi="Times New Roman" w:cs="Times New Roman"/>
          <w:color w:val="0070C0"/>
          <w:sz w:val="16"/>
          <w:szCs w:val="16"/>
        </w:rPr>
        <w:t>были реализованы рекомендации ЦАГИ: на все цилиндры поставили индивидуальные выхлопные патрубки, воздухозаборник ПЦН перенесли под капот, полотняную обшивку хвостовой части заменили фанерной, улучшили герметизацию и подгонку панелей, люков и створок шасси. Летные испытания доработанного самолета показали, что скорость у земли достигла 573, а на высоте 4 500 м — 653 км/ч (22751).</w:t>
      </w:r>
    </w:p>
    <w:p w14:paraId="3990EE40"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p>
    <w:p w14:paraId="6334F7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по распоряже</w:t>
      </w:r>
      <w:r w:rsidRPr="00271E51">
        <w:rPr>
          <w:rFonts w:ascii="Times New Roman" w:hAnsi="Times New Roman"/>
          <w:color w:val="000000" w:themeColor="text1"/>
          <w:sz w:val="16"/>
          <w:szCs w:val="16"/>
        </w:rPr>
        <w:softHyphen/>
        <w:t>нию заместителя наркома А.С.Яковлева ИТП (М) под</w:t>
      </w:r>
      <w:r w:rsidRPr="00271E51">
        <w:rPr>
          <w:rFonts w:ascii="Times New Roman" w:hAnsi="Times New Roman"/>
          <w:color w:val="000000" w:themeColor="text1"/>
          <w:sz w:val="16"/>
          <w:szCs w:val="16"/>
        </w:rPr>
        <w:softHyphen/>
        <w:t>вергли статическим испытаниям. Самолет их прошел успешно, выдержав 100% нагрузку, но летать на нем бы</w:t>
      </w:r>
      <w:r w:rsidRPr="00271E51">
        <w:rPr>
          <w:rFonts w:ascii="Times New Roman" w:hAnsi="Times New Roman"/>
          <w:color w:val="000000" w:themeColor="text1"/>
          <w:sz w:val="16"/>
          <w:szCs w:val="16"/>
        </w:rPr>
        <w:softHyphen/>
        <w:t>ло уже нельзя (10667).</w:t>
      </w:r>
    </w:p>
    <w:p w14:paraId="020D9A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87D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проведенные в НИИ ВВС контрольные испытания серийного Ла-5Ф № 37-18 показали снижение скорости у земли на 10 км/ч, на границе высотности на 5 км/ч и увеличение времени набора высоты 5 км на 30-40 с по сравнению с машинами головной серии. Уменьшение высотности произошло из-за непра</w:t>
      </w:r>
      <w:r w:rsidRPr="00271E51">
        <w:rPr>
          <w:rFonts w:ascii="Times New Roman" w:hAnsi="Times New Roman"/>
          <w:color w:val="000000" w:themeColor="text1"/>
          <w:sz w:val="16"/>
          <w:szCs w:val="16"/>
        </w:rPr>
        <w:softHyphen/>
        <w:t>вильной регулировки проводки управления мотором, что было по</w:t>
      </w:r>
      <w:r w:rsidRPr="00271E51">
        <w:rPr>
          <w:rFonts w:ascii="Times New Roman" w:hAnsi="Times New Roman"/>
          <w:color w:val="000000" w:themeColor="text1"/>
          <w:sz w:val="16"/>
          <w:szCs w:val="16"/>
        </w:rPr>
        <w:softHyphen/>
        <w:t>правимо. Хуже оказалось превышение нормы температуры головок цилиндров (11123).</w:t>
      </w:r>
    </w:p>
    <w:p w14:paraId="18306B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самолетостроителей требовалось не только создание новых модификаций Ла-5, но и улучшение качества серийной продукции. В войсках жаловались, что дальность Ла-5Ф меньше гарантирован</w:t>
      </w:r>
      <w:r w:rsidRPr="00271E51">
        <w:rPr>
          <w:rFonts w:ascii="Times New Roman" w:hAnsi="Times New Roman"/>
          <w:color w:val="000000" w:themeColor="text1"/>
          <w:sz w:val="16"/>
          <w:szCs w:val="16"/>
        </w:rPr>
        <w:softHyphen/>
        <w:t>ной из-за неустойчивой работы карбюратора АК-82БП, допускав</w:t>
      </w:r>
      <w:r w:rsidRPr="00271E51">
        <w:rPr>
          <w:rFonts w:ascii="Times New Roman" w:hAnsi="Times New Roman"/>
          <w:color w:val="000000" w:themeColor="text1"/>
          <w:sz w:val="16"/>
          <w:szCs w:val="16"/>
        </w:rPr>
        <w:softHyphen/>
        <w:t>шего переобогащение смеси на режиме «скоростной дальности». Контрольные испытания на дальность на наивыгоднейшем режиме на высоте 500-1000 м, проведенные на Ла-5 М-82А № 37210444 выпуска октября 1942 г., дали 970 км, самолета № 37212124, по</w:t>
      </w:r>
      <w:r w:rsidRPr="00271E51">
        <w:rPr>
          <w:rFonts w:ascii="Times New Roman" w:hAnsi="Times New Roman"/>
          <w:color w:val="000000" w:themeColor="text1"/>
          <w:sz w:val="16"/>
          <w:szCs w:val="16"/>
        </w:rPr>
        <w:softHyphen/>
        <w:t>строенного в июле 1943 г., — 820, а Ла-5Ф №37212501Ф, сданного в июне, — 580 км при одинаковой заправке в 340 л. После этого на основании приказа НКАП № 602с от 29 октября 1943 г. разработали и внедрили в серию на Ла-5 улучшенный карбюратор (11123).</w:t>
      </w:r>
    </w:p>
    <w:p w14:paraId="149C39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76B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августе 1943 отзыве по самолету Ла-5 с мо</w:t>
      </w:r>
      <w:r w:rsidRPr="00271E51">
        <w:rPr>
          <w:rFonts w:ascii="Times New Roman" w:hAnsi="Times New Roman"/>
          <w:color w:val="000000" w:themeColor="text1"/>
          <w:sz w:val="16"/>
          <w:szCs w:val="16"/>
        </w:rPr>
        <w:softHyphen/>
        <w:t>тором М-82ФН Герой Советского Со</w:t>
      </w:r>
      <w:r w:rsidRPr="00271E51">
        <w:rPr>
          <w:rFonts w:ascii="Times New Roman" w:hAnsi="Times New Roman"/>
          <w:color w:val="000000" w:themeColor="text1"/>
          <w:sz w:val="16"/>
          <w:szCs w:val="16"/>
        </w:rPr>
        <w:softHyphen/>
        <w:t>юза командир эскадрильи гв. к-н Луцкий В.В. по результатам войсковых испытаний Ла-5ФН в 32 ГИАП писал:</w:t>
      </w:r>
    </w:p>
    <w:p w14:paraId="76F7753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Ла-5 с мотором М-82ФН я сделал 55 боевых выле</w:t>
      </w:r>
      <w:r w:rsidRPr="00271E51">
        <w:rPr>
          <w:rFonts w:ascii="Times New Roman" w:hAnsi="Times New Roman"/>
          <w:color w:val="000000" w:themeColor="text1"/>
          <w:sz w:val="16"/>
          <w:szCs w:val="16"/>
        </w:rPr>
        <w:softHyphen/>
        <w:t>тов, из них - 28 воздушных боев. Самолет Ла-5 имеет некоторые пре</w:t>
      </w:r>
      <w:r w:rsidRPr="00271E51">
        <w:rPr>
          <w:rFonts w:ascii="Times New Roman" w:hAnsi="Times New Roman"/>
          <w:color w:val="000000" w:themeColor="text1"/>
          <w:sz w:val="16"/>
          <w:szCs w:val="16"/>
        </w:rPr>
        <w:softHyphen/>
        <w:t>имущества в отношении ФВ-190 в вертикальной скорости, т.е. уходит и догоняет на крутой восходящей спирали, маневреннее на виражах и имеет равную горизонтальную скорость с открытым колпаком. Все эти данные до высоты 2000-3000 м. Уступает ФВ-190 в бронирова</w:t>
      </w:r>
      <w:r w:rsidRPr="00271E51">
        <w:rPr>
          <w:rFonts w:ascii="Times New Roman" w:hAnsi="Times New Roman"/>
          <w:color w:val="000000" w:themeColor="text1"/>
          <w:sz w:val="16"/>
          <w:szCs w:val="16"/>
        </w:rPr>
        <w:softHyphen/>
        <w:t>нии, живучести машины и вооруже</w:t>
      </w:r>
      <w:r w:rsidRPr="00271E51">
        <w:rPr>
          <w:rFonts w:ascii="Times New Roman" w:hAnsi="Times New Roman"/>
          <w:color w:val="000000" w:themeColor="text1"/>
          <w:sz w:val="16"/>
          <w:szCs w:val="16"/>
        </w:rPr>
        <w:softHyphen/>
        <w:t>нии. Самолет ФВ-190 с данным во</w:t>
      </w:r>
      <w:r w:rsidRPr="00271E51">
        <w:rPr>
          <w:rFonts w:ascii="Times New Roman" w:hAnsi="Times New Roman"/>
          <w:color w:val="000000" w:themeColor="text1"/>
          <w:sz w:val="16"/>
          <w:szCs w:val="16"/>
        </w:rPr>
        <w:softHyphen/>
        <w:t>оружением на самолете Ла-5 сбить трудно, даже с полного боекомплек</w:t>
      </w:r>
      <w:r w:rsidRPr="00271E51">
        <w:rPr>
          <w:rFonts w:ascii="Times New Roman" w:hAnsi="Times New Roman"/>
          <w:color w:val="000000" w:themeColor="text1"/>
          <w:sz w:val="16"/>
          <w:szCs w:val="16"/>
        </w:rPr>
        <w:softHyphen/>
        <w:t>та (с короткой дистанции). Само</w:t>
      </w:r>
      <w:r w:rsidRPr="00271E51">
        <w:rPr>
          <w:rFonts w:ascii="Times New Roman" w:hAnsi="Times New Roman"/>
          <w:color w:val="000000" w:themeColor="text1"/>
          <w:sz w:val="16"/>
          <w:szCs w:val="16"/>
        </w:rPr>
        <w:softHyphen/>
        <w:t>лет ФВ-190 хорошо бронирован. Самолет Ме- 109Г-2 уступает намно</w:t>
      </w:r>
      <w:r w:rsidRPr="00271E51">
        <w:rPr>
          <w:rFonts w:ascii="Times New Roman" w:hAnsi="Times New Roman"/>
          <w:color w:val="000000" w:themeColor="text1"/>
          <w:sz w:val="16"/>
          <w:szCs w:val="16"/>
        </w:rPr>
        <w:softHyphen/>
        <w:t>го в маневренности и не уходит на вертикали с одинаковых скоростей... Самолет Ла-5, по сравнению с отечественными истребителями, имеет ряд преимуществ, полученных вследствие более мощного мотора. Так, в воздушном бою (учебном) с самолетом Ла-5 с М-82Ф, Ла-5 с М-82ФН, имея преимущество в мощ</w:t>
      </w:r>
      <w:r w:rsidRPr="00271E51">
        <w:rPr>
          <w:rFonts w:ascii="Times New Roman" w:hAnsi="Times New Roman"/>
          <w:color w:val="000000" w:themeColor="text1"/>
          <w:sz w:val="16"/>
          <w:szCs w:val="16"/>
        </w:rPr>
        <w:softHyphen/>
        <w:t>ности мотора, выдерживает больший крен на вираже, больше набирает высоты в единицу времени на вос</w:t>
      </w:r>
      <w:r w:rsidRPr="00271E51">
        <w:rPr>
          <w:rFonts w:ascii="Times New Roman" w:hAnsi="Times New Roman"/>
          <w:color w:val="000000" w:themeColor="text1"/>
          <w:sz w:val="16"/>
          <w:szCs w:val="16"/>
        </w:rPr>
        <w:softHyphen/>
        <w:t>ходящей спирали и отрывается пос</w:t>
      </w:r>
      <w:r w:rsidRPr="00271E51">
        <w:rPr>
          <w:rFonts w:ascii="Times New Roman" w:hAnsi="Times New Roman"/>
          <w:color w:val="000000" w:themeColor="text1"/>
          <w:sz w:val="16"/>
          <w:szCs w:val="16"/>
        </w:rPr>
        <w:softHyphen/>
        <w:t>ле пикирования на прямой с фор</w:t>
      </w:r>
      <w:r w:rsidRPr="00271E51">
        <w:rPr>
          <w:rFonts w:ascii="Times New Roman" w:hAnsi="Times New Roman"/>
          <w:color w:val="000000" w:themeColor="text1"/>
          <w:sz w:val="16"/>
          <w:szCs w:val="16"/>
        </w:rPr>
        <w:softHyphen/>
        <w:t>сажем. Особенно чувствуется это на высотах 3000-3500 м.</w:t>
      </w:r>
    </w:p>
    <w:p w14:paraId="0E57C3E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самолетами Як-7 и Як-9, Ла-5 с М-82ФН имеет большую горизонтальную скорость и менее уязвим, что особенно чув</w:t>
      </w:r>
      <w:r w:rsidRPr="00271E51">
        <w:rPr>
          <w:rFonts w:ascii="Times New Roman" w:hAnsi="Times New Roman"/>
          <w:color w:val="000000" w:themeColor="text1"/>
          <w:sz w:val="16"/>
          <w:szCs w:val="16"/>
        </w:rPr>
        <w:softHyphen/>
        <w:t>ствуется благодаря отсутствию во-доохлаждающей системы, а также наличию лобовой защиты - воз</w:t>
      </w:r>
      <w:r w:rsidRPr="00271E51">
        <w:rPr>
          <w:rFonts w:ascii="Times New Roman" w:hAnsi="Times New Roman"/>
          <w:color w:val="000000" w:themeColor="text1"/>
          <w:sz w:val="16"/>
          <w:szCs w:val="16"/>
        </w:rPr>
        <w:softHyphen/>
        <w:t>душный мотор».</w:t>
      </w:r>
    </w:p>
    <w:p w14:paraId="580231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Герой Советского Союза гв. ст. л-т Орехов В.А. о работе мотора М-82ФН отзывался так:</w:t>
      </w:r>
    </w:p>
    <w:p w14:paraId="6734E65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в полете работает хоро</w:t>
      </w:r>
      <w:r w:rsidRPr="00271E51">
        <w:rPr>
          <w:rFonts w:ascii="Times New Roman" w:hAnsi="Times New Roman"/>
          <w:color w:val="000000" w:themeColor="text1"/>
          <w:sz w:val="16"/>
          <w:szCs w:val="16"/>
        </w:rPr>
        <w:softHyphen/>
        <w:t>шо на всех режимах. При включе</w:t>
      </w:r>
      <w:r w:rsidRPr="00271E51">
        <w:rPr>
          <w:rFonts w:ascii="Times New Roman" w:hAnsi="Times New Roman"/>
          <w:color w:val="000000" w:themeColor="text1"/>
          <w:sz w:val="16"/>
          <w:szCs w:val="16"/>
        </w:rPr>
        <w:softHyphen/>
        <w:t>нии 2-й скорости нагнетателя на</w:t>
      </w:r>
      <w:r w:rsidRPr="00271E51">
        <w:rPr>
          <w:rFonts w:ascii="Times New Roman" w:hAnsi="Times New Roman"/>
          <w:color w:val="000000" w:themeColor="text1"/>
          <w:sz w:val="16"/>
          <w:szCs w:val="16"/>
        </w:rPr>
        <w:softHyphen/>
        <w:t>блюдается незначительное дымле-ние, но отклонений в работе нет. При работе на форсаже свечи ВГ-12 отказывают через 2-3 мин не</w:t>
      </w:r>
      <w:r w:rsidRPr="00271E51">
        <w:rPr>
          <w:rFonts w:ascii="Times New Roman" w:hAnsi="Times New Roman"/>
          <w:color w:val="000000" w:themeColor="text1"/>
          <w:sz w:val="16"/>
          <w:szCs w:val="16"/>
        </w:rPr>
        <w:softHyphen/>
        <w:t>прерывной работы, свечи ВГ-25 (были установлены на моем само</w:t>
      </w:r>
      <w:r w:rsidRPr="00271E51">
        <w:rPr>
          <w:rFonts w:ascii="Times New Roman" w:hAnsi="Times New Roman"/>
          <w:color w:val="000000" w:themeColor="text1"/>
          <w:sz w:val="16"/>
          <w:szCs w:val="16"/>
        </w:rPr>
        <w:softHyphen/>
        <w:t>лете) работали надежнее и на фор</w:t>
      </w:r>
      <w:r w:rsidRPr="00271E51">
        <w:rPr>
          <w:rFonts w:ascii="Times New Roman" w:hAnsi="Times New Roman"/>
          <w:color w:val="000000" w:themeColor="text1"/>
          <w:sz w:val="16"/>
          <w:szCs w:val="16"/>
        </w:rPr>
        <w:softHyphen/>
        <w:t>саже...» (10723).</w:t>
      </w:r>
    </w:p>
    <w:p w14:paraId="7376515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1AF1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по результатам войсковых испытании Ла-5ФН механик самолета Орехова - гв. т/л-т Бочкарев С.П. в отзыве о рабо</w:t>
      </w:r>
      <w:r w:rsidRPr="00271E51">
        <w:rPr>
          <w:rFonts w:ascii="Times New Roman" w:hAnsi="Times New Roman"/>
          <w:color w:val="000000" w:themeColor="text1"/>
          <w:sz w:val="16"/>
          <w:szCs w:val="16"/>
        </w:rPr>
        <w:softHyphen/>
        <w:t>те мотора М-82ФН № 8211036 на самолете Ла-5 № 39210223 указы</w:t>
      </w:r>
      <w:r w:rsidRPr="00271E51">
        <w:rPr>
          <w:rFonts w:ascii="Times New Roman" w:hAnsi="Times New Roman"/>
          <w:color w:val="000000" w:themeColor="text1"/>
          <w:sz w:val="16"/>
          <w:szCs w:val="16"/>
        </w:rPr>
        <w:softHyphen/>
        <w:t>вал:</w:t>
      </w:r>
    </w:p>
    <w:p w14:paraId="2DB5BAD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эксплоатации в бое</w:t>
      </w:r>
      <w:r w:rsidRPr="00271E51">
        <w:rPr>
          <w:rFonts w:ascii="Times New Roman" w:hAnsi="Times New Roman"/>
          <w:color w:val="000000" w:themeColor="text1"/>
          <w:sz w:val="16"/>
          <w:szCs w:val="16"/>
        </w:rPr>
        <w:softHyphen/>
        <w:t>вых условиях мотор М-82ФН рабо</w:t>
      </w:r>
      <w:r w:rsidRPr="00271E51">
        <w:rPr>
          <w:rFonts w:ascii="Times New Roman" w:hAnsi="Times New Roman"/>
          <w:color w:val="000000" w:themeColor="text1"/>
          <w:sz w:val="16"/>
          <w:szCs w:val="16"/>
        </w:rPr>
        <w:softHyphen/>
        <w:t>тал хорошо, в эксплоатации мотор прост, устойчив малый газ и быстро обеспечивается боевая готовность самолета. Запуск мотора отличный. На моторе был заменен насос НБ-ЗУ из-за поломки возвратных пружин. Замена насоса в полевых</w:t>
      </w:r>
    </w:p>
    <w:p w14:paraId="2FCD60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условиях трудности не представи</w:t>
      </w:r>
      <w:r w:rsidRPr="00271E51">
        <w:rPr>
          <w:rFonts w:ascii="Times New Roman" w:hAnsi="Times New Roman"/>
          <w:color w:val="000000" w:themeColor="text1"/>
          <w:sz w:val="16"/>
          <w:szCs w:val="16"/>
        </w:rPr>
        <w:softHyphen/>
        <w:t>ла. По мотору существенным де</w:t>
      </w:r>
      <w:r w:rsidRPr="00271E51">
        <w:rPr>
          <w:rFonts w:ascii="Times New Roman" w:hAnsi="Times New Roman"/>
          <w:color w:val="000000" w:themeColor="text1"/>
          <w:sz w:val="16"/>
          <w:szCs w:val="16"/>
        </w:rPr>
        <w:softHyphen/>
        <w:t>фектом является течь масла из вер</w:t>
      </w:r>
      <w:r w:rsidRPr="00271E51">
        <w:rPr>
          <w:rFonts w:ascii="Times New Roman" w:hAnsi="Times New Roman"/>
          <w:color w:val="000000" w:themeColor="text1"/>
          <w:sz w:val="16"/>
          <w:szCs w:val="16"/>
        </w:rPr>
        <w:softHyphen/>
        <w:t>хнего уплотнения кожухов тяг тол</w:t>
      </w:r>
      <w:r w:rsidRPr="00271E51">
        <w:rPr>
          <w:rFonts w:ascii="Times New Roman" w:hAnsi="Times New Roman"/>
          <w:color w:val="000000" w:themeColor="text1"/>
          <w:sz w:val="16"/>
          <w:szCs w:val="16"/>
        </w:rPr>
        <w:softHyphen/>
        <w:t>кателей. На моторе были замене</w:t>
      </w:r>
      <w:r w:rsidRPr="00271E51">
        <w:rPr>
          <w:rFonts w:ascii="Times New Roman" w:hAnsi="Times New Roman"/>
          <w:color w:val="000000" w:themeColor="text1"/>
          <w:sz w:val="16"/>
          <w:szCs w:val="16"/>
        </w:rPr>
        <w:softHyphen/>
        <w:t>ны резинки на 10 кожухах. Мотор с НВ обслуживать легче, меньше дефектов (в сравнении с карбюра</w:t>
      </w:r>
      <w:r w:rsidRPr="00271E51">
        <w:rPr>
          <w:rFonts w:ascii="Times New Roman" w:hAnsi="Times New Roman"/>
          <w:color w:val="000000" w:themeColor="text1"/>
          <w:sz w:val="16"/>
          <w:szCs w:val="16"/>
        </w:rPr>
        <w:softHyphen/>
        <w:t>торным мотором) и работает надеж</w:t>
      </w:r>
      <w:r w:rsidRPr="00271E51">
        <w:rPr>
          <w:rFonts w:ascii="Times New Roman" w:hAnsi="Times New Roman"/>
          <w:color w:val="000000" w:themeColor="text1"/>
          <w:sz w:val="16"/>
          <w:szCs w:val="16"/>
        </w:rPr>
        <w:softHyphen/>
        <w:t>нее. За время боевой работы, лет</w:t>
      </w:r>
      <w:r w:rsidRPr="00271E51">
        <w:rPr>
          <w:rFonts w:ascii="Times New Roman" w:hAnsi="Times New Roman"/>
          <w:color w:val="000000" w:themeColor="text1"/>
          <w:sz w:val="16"/>
          <w:szCs w:val="16"/>
        </w:rPr>
        <w:softHyphen/>
        <w:t>чик самолета Герой Советского Союза гв. ст. л-т Орехов сделал 60 боевых вылетов и мотор наработал 79 ч 30 мин, из них в воздухе 67 ч 41 мин» (10723).</w:t>
      </w:r>
    </w:p>
    <w:p w14:paraId="74F9611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0F40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начали испытывать эталонный М-82Ф с «82-ВГ», а в начале следую</w:t>
      </w:r>
      <w:r w:rsidRPr="00271E51">
        <w:rPr>
          <w:rFonts w:ascii="Times New Roman" w:hAnsi="Times New Roman"/>
          <w:color w:val="000000" w:themeColor="text1"/>
          <w:sz w:val="16"/>
          <w:szCs w:val="16"/>
        </w:rPr>
        <w:softHyphen/>
        <w:t>щего года под объединенное управление переоборудовали опыт</w:t>
      </w:r>
      <w:r w:rsidRPr="00271E51">
        <w:rPr>
          <w:rFonts w:ascii="Times New Roman" w:hAnsi="Times New Roman"/>
          <w:color w:val="000000" w:themeColor="text1"/>
          <w:sz w:val="16"/>
          <w:szCs w:val="16"/>
        </w:rPr>
        <w:softHyphen/>
        <w:t>ный М-82ФН, с которым Ла-5 № 392116161 прошел в июле Госу</w:t>
      </w:r>
      <w:r w:rsidRPr="00271E51">
        <w:rPr>
          <w:rFonts w:ascii="Times New Roman" w:hAnsi="Times New Roman"/>
          <w:color w:val="000000" w:themeColor="text1"/>
          <w:sz w:val="16"/>
          <w:szCs w:val="16"/>
        </w:rPr>
        <w:softHyphen/>
        <w:t>дарственные испытания. С августа 1944 г. агрегат «82-ВГ» внедри</w:t>
      </w:r>
      <w:r w:rsidRPr="00271E51">
        <w:rPr>
          <w:rFonts w:ascii="Times New Roman" w:hAnsi="Times New Roman"/>
          <w:color w:val="000000" w:themeColor="text1"/>
          <w:sz w:val="16"/>
          <w:szCs w:val="16"/>
        </w:rPr>
        <w:softHyphen/>
        <w:t>ли в серию (11123).</w:t>
      </w:r>
    </w:p>
    <w:p w14:paraId="4A2638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785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ОКБ-153 предложило разработать унифицированный вариант истребителя Як-9. До настоящего времени в печати, включая книгу А.Т. Степанца "Истребители ЯК периода Великой Отечественной войны" самолет преподносился как "улучшенный", однако документ, найденный в архиве ОКБ имени А.С. Яковлева под названием "Характеристика унифицированного самолета Як-9", датированный августом 1943 года, все расставил по своим местам.</w:t>
      </w:r>
    </w:p>
    <w:p w14:paraId="33B4F9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Предполагалось, что новая машина, в основу которой были положен фюзеляж и крыло Як-9Т, позволит, в зависимости от задачи, стоявшей перед военными, устанавливать стрел ково-пушечное вооружение в шести вариантах. При этом сохранялись шасси, оперение, силовая установка, пневмо-, бензо- и маслосистемы, электро- и радиооборудование, и прочее.</w:t>
      </w:r>
    </w:p>
    <w:p w14:paraId="40CE5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построили в ноябре 1943 года на опытном заводе № 115, и в следующем месяце он прошел заводские испытания.</w:t>
      </w:r>
    </w:p>
    <w:p w14:paraId="483AB2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предшественника, из-за необходимости установить маслорадиатор ОП-555, доработали центроплан крыла, сделав его по типу Як-3 с двигателем М-105ПФ. Тогда же сняли грузы весовой компенсации элеронов (7 кг), щели между элеронами и крылом закрыли полотняными перегородками и изменили нижнюю панель фюзеляжа между вторым и четвертым шпангоутом из- за установки нового водяного радиатора ОП-554, вала ручного управления самолетом и сидения пилота.</w:t>
      </w:r>
    </w:p>
    <w:p w14:paraId="0EE04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заменили козырек фонаря кабилы летчика новым - с плоскими боковыми и передним стеклами. Поскольку лобовое стекло в перспективе должно было быть бронированным, на его место временно поставили макет прозрачной брони.</w:t>
      </w:r>
    </w:p>
    <w:p w14:paraId="4D2E69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Полотняную обшивку хвостовой части фюзеляжа заменили фанерной и улучшили герметизацию фюзеляжа, отполировав передние кромки крыла, хвостового оперения и носовую часть капота. Вместо двух воздушных баллонов объемом по семь литров, предназначавшихся для запуска двигателя, поставили один восьмилитровый.</w:t>
      </w:r>
    </w:p>
    <w:p w14:paraId="0891FC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машины включало 23-миллиметровую пушку ВЯ (МП-23) с боезапасом 60 патронов и пару синхронных пулеметов УБС (по 170 патронов на ствол). При этом предусмотрели замену МП-23 на МП-20 и МП-37, причем в последнем вари- Як-9М анте снимался один из пулеметов.</w:t>
      </w:r>
    </w:p>
    <w:p w14:paraId="6392E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15ED1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441922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5A6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ЛИИ НКАП испытали Як-6, который был переоборудован по результатам исследований машины № 640101 з-да № 464 в трубе Т-101 ЦАГИ. ЦАГИ в марте 1943. Выполнены рекомендации ЦАГИ:</w:t>
      </w:r>
    </w:p>
    <w:p w14:paraId="7211AE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моторы поставили кольца Тауненда,</w:t>
      </w:r>
    </w:p>
    <w:p w14:paraId="2B5E81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установили зализы на места сопряжения с фюзеляжем,</w:t>
      </w:r>
    </w:p>
    <w:p w14:paraId="638F0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Изменили элероны и увеличили их площадь за счет увеличения размаха на 7%,</w:t>
      </w:r>
    </w:p>
    <w:p w14:paraId="00431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Уменьшили поперечное V отъемных законцовок крыла,</w:t>
      </w:r>
    </w:p>
    <w:p w14:paraId="2802FA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Ввели изменения в систему управления,</w:t>
      </w:r>
    </w:p>
    <w:p w14:paraId="154EC1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Сняли резиновую дорожку с левой стороны ЦП.</w:t>
      </w:r>
    </w:p>
    <w:p w14:paraId="097299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и л И.В.Эйнинс (4657, 18).</w:t>
      </w:r>
    </w:p>
    <w:p w14:paraId="0C77E6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306B3" w14:textId="77777777" w:rsidR="0043240E" w:rsidRPr="00271E51" w:rsidRDefault="0043240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течение августа 1943 шла «утряска» проектных дан</w:t>
      </w:r>
      <w:r w:rsidRPr="00271E51">
        <w:rPr>
          <w:color w:val="000000" w:themeColor="text1"/>
          <w:sz w:val="16"/>
          <w:szCs w:val="16"/>
        </w:rPr>
        <w:softHyphen/>
        <w:t>ных самолета ТИС (МА), состава вооружения, компоновочных решений и т.д. Выполнялся «демонтаж самолета под модернизацию», переделывался фюзеляж, из</w:t>
      </w:r>
      <w:r w:rsidRPr="00271E51">
        <w:rPr>
          <w:color w:val="000000" w:themeColor="text1"/>
          <w:sz w:val="16"/>
          <w:szCs w:val="16"/>
        </w:rPr>
        <w:softHyphen/>
        <w:t>готавливались и монтировались моторные рамы под АМ-39, новые консоли, носовая батарея пушек ШВАК. Радиаторы водяного охлаждения из мото</w:t>
      </w:r>
      <w:r w:rsidRPr="00271E51">
        <w:rPr>
          <w:color w:val="000000" w:themeColor="text1"/>
          <w:sz w:val="16"/>
          <w:szCs w:val="16"/>
        </w:rPr>
        <w:softHyphen/>
        <w:t>гондол перенесли в консольную часть крыла с воз</w:t>
      </w:r>
      <w:r w:rsidRPr="00271E51">
        <w:rPr>
          <w:color w:val="000000" w:themeColor="text1"/>
          <w:sz w:val="16"/>
          <w:szCs w:val="16"/>
        </w:rPr>
        <w:softHyphen/>
        <w:t>духозаборниками в передней кромке и выходными управляемыми створками на нижней поверхности консоли. Форма моторных гондол стала более со</w:t>
      </w:r>
      <w:r w:rsidRPr="00271E51">
        <w:rPr>
          <w:color w:val="000000" w:themeColor="text1"/>
          <w:sz w:val="16"/>
          <w:szCs w:val="16"/>
        </w:rPr>
        <w:softHyphen/>
        <w:t>вершенной в аэродинамическом отношении. По согласованию с военными демонтировали за нена</w:t>
      </w:r>
      <w:r w:rsidRPr="00271E51">
        <w:rPr>
          <w:color w:val="000000" w:themeColor="text1"/>
          <w:sz w:val="16"/>
          <w:szCs w:val="16"/>
        </w:rPr>
        <w:softHyphen/>
        <w:t>добностью люковую установку КЛУ-2 с пулеметом ШКАС (17500).</w:t>
      </w:r>
    </w:p>
    <w:p w14:paraId="4AE4F504" w14:textId="77777777" w:rsidR="0043240E" w:rsidRPr="00271E51" w:rsidRDefault="0043240E" w:rsidP="00271E51">
      <w:pPr>
        <w:spacing w:after="0" w:line="240" w:lineRule="auto"/>
        <w:jc w:val="both"/>
        <w:rPr>
          <w:rFonts w:ascii="Times New Roman" w:eastAsia="Times New Roman" w:hAnsi="Times New Roman"/>
          <w:color w:val="000000" w:themeColor="text1"/>
          <w:sz w:val="16"/>
          <w:szCs w:val="16"/>
          <w:lang w:eastAsia="ru-RU"/>
        </w:rPr>
      </w:pPr>
    </w:p>
    <w:p w14:paraId="2DD0CDFB"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rPr>
        <w:t xml:space="preserve">В августе 1943 г. трофейные истребители </w:t>
      </w:r>
      <w:r w:rsidRPr="00271E51">
        <w:rPr>
          <w:rFonts w:ascii="Times New Roman" w:hAnsi="Times New Roman" w:cs="Times New Roman"/>
          <w:color w:val="0070C0"/>
          <w:sz w:val="16"/>
          <w:szCs w:val="16"/>
          <w:lang w:val="en-US"/>
        </w:rPr>
        <w:t>Bf</w:t>
      </w:r>
      <w:r w:rsidRPr="00271E51">
        <w:rPr>
          <w:rFonts w:ascii="Times New Roman" w:hAnsi="Times New Roman" w:cs="Times New Roman"/>
          <w:color w:val="0070C0"/>
          <w:sz w:val="16"/>
          <w:szCs w:val="16"/>
          <w:lang w:val="ru-RU"/>
        </w:rPr>
        <w:t xml:space="preserve"> 109</w:t>
      </w:r>
      <w:r w:rsidRPr="00271E51">
        <w:rPr>
          <w:rFonts w:ascii="Times New Roman" w:hAnsi="Times New Roman" w:cs="Times New Roman"/>
          <w:color w:val="0070C0"/>
          <w:sz w:val="16"/>
          <w:szCs w:val="16"/>
          <w:lang w:val="en-US"/>
        </w:rPr>
        <w:t>G</w:t>
      </w:r>
      <w:r w:rsidRPr="00271E51">
        <w:rPr>
          <w:rFonts w:ascii="Times New Roman" w:hAnsi="Times New Roman" w:cs="Times New Roman"/>
          <w:color w:val="0070C0"/>
          <w:sz w:val="16"/>
          <w:szCs w:val="16"/>
          <w:lang w:val="ru-RU"/>
        </w:rPr>
        <w:t xml:space="preserve">-2 </w:t>
      </w:r>
      <w:r w:rsidRPr="00271E51">
        <w:rPr>
          <w:rFonts w:ascii="Times New Roman" w:hAnsi="Times New Roman" w:cs="Times New Roman"/>
          <w:color w:val="0070C0"/>
          <w:sz w:val="16"/>
          <w:szCs w:val="16"/>
        </w:rPr>
        <w:t xml:space="preserve">«сражались» с </w:t>
      </w:r>
      <w:r w:rsidRPr="00271E51">
        <w:rPr>
          <w:rFonts w:ascii="Times New Roman" w:hAnsi="Times New Roman" w:cs="Times New Roman"/>
          <w:color w:val="0070C0"/>
          <w:sz w:val="16"/>
          <w:szCs w:val="16"/>
          <w:lang w:val="ru-RU"/>
        </w:rPr>
        <w:t>Я</w:t>
      </w:r>
      <w:r w:rsidRPr="00271E51">
        <w:rPr>
          <w:rFonts w:ascii="Times New Roman" w:hAnsi="Times New Roman" w:cs="Times New Roman"/>
          <w:color w:val="0070C0"/>
          <w:sz w:val="16"/>
          <w:szCs w:val="16"/>
        </w:rPr>
        <w:t>к-9Д и Ла-5ФН. Первый с большим запасом горючего и большим радиусом действия мог вести бой только на виражах, второй имел преиму</w:t>
      </w:r>
      <w:r w:rsidRPr="00271E51">
        <w:rPr>
          <w:rFonts w:ascii="Times New Roman" w:hAnsi="Times New Roman" w:cs="Times New Roman"/>
          <w:color w:val="0070C0"/>
          <w:sz w:val="16"/>
          <w:szCs w:val="16"/>
          <w:lang w:val="ru-RU"/>
        </w:rPr>
        <w:t>щ</w:t>
      </w:r>
      <w:r w:rsidRPr="00271E51">
        <w:rPr>
          <w:rFonts w:ascii="Times New Roman" w:hAnsi="Times New Roman" w:cs="Times New Roman"/>
          <w:color w:val="0070C0"/>
          <w:sz w:val="16"/>
          <w:szCs w:val="16"/>
        </w:rPr>
        <w:t>ество в скорости и скороподемности до высоты 5000 м. На пикировании Ла-5ФН отставал, но на выходе настигал противника за счет меньшего радиуса траект</w:t>
      </w:r>
      <w:r w:rsidRPr="00271E51">
        <w:rPr>
          <w:rFonts w:ascii="Times New Roman" w:hAnsi="Times New Roman" w:cs="Times New Roman"/>
          <w:color w:val="0070C0"/>
          <w:sz w:val="16"/>
          <w:szCs w:val="16"/>
          <w:lang w:val="ru-RU"/>
        </w:rPr>
        <w:t>ории.</w:t>
      </w:r>
    </w:p>
    <w:p w14:paraId="3E7ADB45"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r w:rsidRPr="00271E51">
        <w:rPr>
          <w:rFonts w:ascii="Times New Roman" w:hAnsi="Times New Roman" w:cs="Times New Roman"/>
          <w:color w:val="0070C0"/>
          <w:sz w:val="16"/>
          <w:szCs w:val="16"/>
          <w:lang w:val="ru-RU"/>
        </w:rPr>
        <w:t>Позже выпустили учеб</w:t>
      </w:r>
      <w:r w:rsidRPr="00271E51">
        <w:rPr>
          <w:rFonts w:ascii="Times New Roman" w:hAnsi="Times New Roman" w:cs="Times New Roman"/>
          <w:color w:val="0070C0"/>
          <w:sz w:val="16"/>
          <w:szCs w:val="16"/>
        </w:rPr>
        <w:t xml:space="preserve">ные кинофильмы «Немецкий истребитель </w:t>
      </w:r>
      <w:r w:rsidRPr="00271E51">
        <w:rPr>
          <w:rFonts w:ascii="Times New Roman" w:hAnsi="Times New Roman" w:cs="Times New Roman"/>
          <w:color w:val="0070C0"/>
          <w:sz w:val="16"/>
          <w:szCs w:val="16"/>
          <w:lang w:val="en-US"/>
        </w:rPr>
        <w:t>Bf</w:t>
      </w:r>
      <w:r w:rsidRPr="00271E51">
        <w:rPr>
          <w:rFonts w:ascii="Times New Roman" w:hAnsi="Times New Roman" w:cs="Times New Roman"/>
          <w:color w:val="0070C0"/>
          <w:sz w:val="16"/>
          <w:szCs w:val="16"/>
          <w:lang w:val="ru-RU"/>
        </w:rPr>
        <w:t xml:space="preserve"> 109</w:t>
      </w:r>
      <w:r w:rsidRPr="00271E51">
        <w:rPr>
          <w:rFonts w:ascii="Times New Roman" w:hAnsi="Times New Roman" w:cs="Times New Roman"/>
          <w:color w:val="0070C0"/>
          <w:sz w:val="16"/>
          <w:szCs w:val="16"/>
        </w:rPr>
        <w:t>» и «Воздушный бой Ла-5 с</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lang w:val="en-US"/>
        </w:rPr>
        <w:t>Bf</w:t>
      </w:r>
      <w:r w:rsidRPr="00271E51">
        <w:rPr>
          <w:rFonts w:ascii="Times New Roman" w:hAnsi="Times New Roman" w:cs="Times New Roman"/>
          <w:color w:val="0070C0"/>
          <w:sz w:val="16"/>
          <w:szCs w:val="16"/>
          <w:lang w:val="ru-RU"/>
        </w:rPr>
        <w:t xml:space="preserve"> 109</w:t>
      </w:r>
      <w:r w:rsidRPr="00271E51">
        <w:rPr>
          <w:rFonts w:ascii="Times New Roman" w:hAnsi="Times New Roman" w:cs="Times New Roman"/>
          <w:color w:val="0070C0"/>
          <w:sz w:val="16"/>
          <w:szCs w:val="16"/>
          <w:lang w:val="en-US"/>
        </w:rPr>
        <w:t>G</w:t>
      </w:r>
      <w:r w:rsidRPr="00271E51">
        <w:rPr>
          <w:rFonts w:ascii="Times New Roman" w:hAnsi="Times New Roman" w:cs="Times New Roman"/>
          <w:color w:val="0070C0"/>
          <w:sz w:val="16"/>
          <w:szCs w:val="16"/>
        </w:rPr>
        <w:t>-2».</w:t>
      </w:r>
    </w:p>
    <w:p w14:paraId="0A3AABAE"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rPr>
        <w:t>На «трехточечном» заменили мотор, сняв его с другого трофейного самолета, но 13 сентября окончательно списали. Всего в НИИ ВВС со 2</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rPr>
        <w:t>января по 11 августа 1943 г. поступили пять</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lang w:val="en-US"/>
        </w:rPr>
        <w:t>Bf</w:t>
      </w:r>
      <w:r w:rsidRPr="00271E51">
        <w:rPr>
          <w:rFonts w:ascii="Times New Roman" w:hAnsi="Times New Roman" w:cs="Times New Roman"/>
          <w:color w:val="0070C0"/>
          <w:sz w:val="16"/>
          <w:szCs w:val="16"/>
          <w:lang w:val="ru-RU"/>
        </w:rPr>
        <w:t xml:space="preserve"> 109</w:t>
      </w:r>
      <w:r w:rsidRPr="00271E51">
        <w:rPr>
          <w:rFonts w:ascii="Times New Roman" w:hAnsi="Times New Roman" w:cs="Times New Roman"/>
          <w:color w:val="0070C0"/>
          <w:sz w:val="16"/>
          <w:szCs w:val="16"/>
          <w:lang w:val="en-US"/>
        </w:rPr>
        <w:t>G</w:t>
      </w:r>
      <w:r w:rsidRPr="00271E51">
        <w:rPr>
          <w:rFonts w:ascii="Times New Roman" w:hAnsi="Times New Roman" w:cs="Times New Roman"/>
          <w:color w:val="0070C0"/>
          <w:sz w:val="16"/>
          <w:szCs w:val="16"/>
          <w:lang w:val="ru-RU"/>
        </w:rPr>
        <w:t xml:space="preserve">-2 </w:t>
      </w:r>
      <w:r w:rsidRPr="00271E51">
        <w:rPr>
          <w:rFonts w:ascii="Times New Roman" w:hAnsi="Times New Roman" w:cs="Times New Roman"/>
          <w:color w:val="0070C0"/>
          <w:sz w:val="16"/>
          <w:szCs w:val="16"/>
        </w:rPr>
        <w:t>в различном состоянии. В</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rPr>
        <w:t>частности, из уже упоминавшейся Большой Россошки 7 июня вывезли е</w:t>
      </w:r>
      <w:r w:rsidRPr="00271E51">
        <w:rPr>
          <w:rFonts w:ascii="Times New Roman" w:hAnsi="Times New Roman" w:cs="Times New Roman"/>
          <w:color w:val="0070C0"/>
          <w:sz w:val="16"/>
          <w:szCs w:val="16"/>
          <w:lang w:val="ru-RU"/>
        </w:rPr>
        <w:t>щ</w:t>
      </w:r>
      <w:r w:rsidRPr="00271E51">
        <w:rPr>
          <w:rFonts w:ascii="Times New Roman" w:hAnsi="Times New Roman" w:cs="Times New Roman"/>
          <w:color w:val="0070C0"/>
          <w:sz w:val="16"/>
          <w:szCs w:val="16"/>
        </w:rPr>
        <w:t>е истребитель №10457, а 17-я воздушная армия передала машину №14940</w:t>
      </w:r>
      <w:r w:rsidRPr="00271E51">
        <w:rPr>
          <w:rFonts w:ascii="Times New Roman" w:hAnsi="Times New Roman" w:cs="Times New Roman"/>
          <w:color w:val="0070C0"/>
          <w:sz w:val="16"/>
          <w:szCs w:val="16"/>
          <w:lang w:val="ru-RU"/>
        </w:rPr>
        <w:t xml:space="preserve"> (23186)</w:t>
      </w:r>
      <w:r w:rsidRPr="00271E51">
        <w:rPr>
          <w:rFonts w:ascii="Times New Roman" w:hAnsi="Times New Roman" w:cs="Times New Roman"/>
          <w:color w:val="0070C0"/>
          <w:sz w:val="16"/>
          <w:szCs w:val="16"/>
        </w:rPr>
        <w:t>.</w:t>
      </w:r>
    </w:p>
    <w:p w14:paraId="07D8DBE0"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p>
    <w:p w14:paraId="4C987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состоялись испытательные полеты экспериментального вертолета поперечной схемы Омега И.П.Братухина (237,203).</w:t>
      </w:r>
    </w:p>
    <w:p w14:paraId="10BAA7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648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года закончилис испытания форсированных М-105ПФ. 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w:t>
      </w:r>
      <w:r w:rsidRPr="00271E51">
        <w:rPr>
          <w:rFonts w:ascii="Times New Roman" w:hAnsi="Times New Roman"/>
          <w:color w:val="000000" w:themeColor="text1"/>
          <w:sz w:val="16"/>
          <w:szCs w:val="16"/>
        </w:rPr>
        <w:lastRenderedPageBreak/>
        <w:t>скоростей нагнетателя закрепили в положении "Первая скорость". Они подтвердили возможность форсирования двигателя и установки его на самолеты (12047).</w:t>
      </w:r>
    </w:p>
    <w:p w14:paraId="7D3FEB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2D2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в ЦИАМ организовали лабораторию по ВРД во главе с А.М.Люлькой (173,229).</w:t>
      </w:r>
    </w:p>
    <w:p w14:paraId="56A0B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241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прошли первые испытания ЖРД Д2М Л.С.Душкина (2928,86).</w:t>
      </w:r>
    </w:p>
    <w:p w14:paraId="3EBD6B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D15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на основе У-2 А.Н.Рафаэлянц в 11 ПАМ 1 ВА сделал лимузин У-2 Л. Остался в единственном экз. (1076,724).</w:t>
      </w:r>
    </w:p>
    <w:p w14:paraId="6DB5D8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36D7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Завод 31 им. Димитрова был полностью разрушен немецко-фашистскими войсками, которые перед оставлением города подложили под его основные корпуса авиационные бомбы и подорвали их (451).</w:t>
      </w:r>
    </w:p>
    <w:p w14:paraId="7707CC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91651"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немцы перед уходом из Таганрога полностью взорвали фабричные корпуса, в которых до эвакуации в 1941 г. в Тбилиси много лет действовал старейший отечественный авиазавод № 31 им. Димитрова.</w:t>
      </w:r>
    </w:p>
    <w:p w14:paraId="6BE9D14D"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место еще долго потом пребывало в запустении, тогда как другие отраслевые предприятия, пережив разруху вражеской оккупации или прифронтового лихолетья, достаточно быстро возрождались к новой жизни (18305).</w:t>
      </w:r>
    </w:p>
    <w:p w14:paraId="040F79CD"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60C07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по решению Правительства, завод № 464 перемещен в Долгопрудную, а на территории завода № 464 в Тушино организован был завод № 289 и ОКБ Сухого П.О.</w:t>
      </w:r>
    </w:p>
    <w:p w14:paraId="51E37E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году завод № 289 был объединен с заводом № 134 и сохранен за ним № 134.</w:t>
      </w:r>
    </w:p>
    <w:p w14:paraId="1F7761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134 изготавливал опытные образцы самолетов истребителей и бомбардировщиков.</w:t>
      </w:r>
    </w:p>
    <w:p w14:paraId="41ED66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1949 году ОКБ Сухого П.О. по решению Правительства от 14 сентября 1949 года за № 5185-1930 было расформировано и завод № 134 был передан гл. конструктору ОКБ-43 Торопову И.И.</w:t>
      </w:r>
    </w:p>
    <w:p w14:paraId="4B850A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1955 года завод № 134 разрабатывал и изготавливал опытные образцы стрелково-пушечного и бомбардировочного вооружения.</w:t>
      </w:r>
    </w:p>
    <w:p w14:paraId="49E5C0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1955 году, на основании Постановления СМ за № 2543-1224 от 30 декабря 1954 года, завод переключен на новый профиль работы – разработка и изготовление реактивных снарядов системы “воздух-воздух”.</w:t>
      </w:r>
    </w:p>
    <w:p w14:paraId="0E1C13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работы завода в 1959 году:</w:t>
      </w:r>
    </w:p>
    <w:p w14:paraId="661920CE"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Разрабатываются и изготавливаются опытные образцы реактивных снарядов и проводятся лабораторные и летные испытания:</w:t>
      </w:r>
    </w:p>
    <w:p w14:paraId="6D0C6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ракеты для самоходного и реактивного комплекса для стрельбы по низколетящим целям;</w:t>
      </w:r>
    </w:p>
    <w:p w14:paraId="11110F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ракета “К-9” с радиолокационной головкой самонаведения;</w:t>
      </w:r>
    </w:p>
    <w:p w14:paraId="5694F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ракета “К-13”.</w:t>
      </w:r>
    </w:p>
    <w:p w14:paraId="2CBCDB8D"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Разрабатываются и изготавливаются опытные образцы стрелково-пушечного вооружения для самолетов гл. конструктора Туполева.</w:t>
      </w:r>
    </w:p>
    <w:p w14:paraId="643F856A"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Разрабатывается и изготавливается бомбардировочное вооружение для самолетов и вертолетов гл. конструкторов Туполева, Мясищева, Бериева, Камова и Миля.</w:t>
      </w:r>
    </w:p>
    <w:p w14:paraId="73EE2180"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Изготавливаются специзделия (пульты) по заданиям ГК авиатехники для всех самолетов, снабженных изделиями среднего машиностроения.</w:t>
      </w:r>
    </w:p>
    <w:p w14:paraId="11881E38"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Изготавливаются по заданиям ГК авиатехники малые серии изделий конструкции Торопова И.И. (9457).</w:t>
      </w:r>
    </w:p>
    <w:p w14:paraId="2DFC016B" w14:textId="77777777" w:rsidR="00BA7A65" w:rsidRPr="00271E51" w:rsidRDefault="00BA7A65"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7CF2C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немецкий летчик Густав Хеулер перелетел на советский аэродром на совершенно исправном FW 190A. Все это позволило тщательно изучить достоинства и недостатки немецкого истребителя. Кроме того, для новых советских истребителей Ла-5ФН и Як-9 были найдены эффективные способы ведения как оборонительного, так и наступательного боя с "фоккером" (9020).</w:t>
      </w:r>
    </w:p>
    <w:p w14:paraId="21F4BB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A4A6F"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августе 1943 первые опытные образцы ПТАБ-10-2,5 с взрывателем АД-А проходи</w:t>
      </w:r>
      <w:r w:rsidRPr="00271E51">
        <w:rPr>
          <w:rFonts w:ascii="Times New Roman" w:cs="Times New Roman"/>
          <w:color w:val="000000" w:themeColor="text1"/>
          <w:spacing w:val="0"/>
        </w:rPr>
        <w:softHyphen/>
        <w:t>ли заводские наземные испытания в НИИ АВ ВВС и по эффективности действия по</w:t>
      </w:r>
      <w:r w:rsidRPr="00271E51">
        <w:rPr>
          <w:rFonts w:ascii="Times New Roman" w:cs="Times New Roman"/>
          <w:color w:val="000000" w:themeColor="text1"/>
          <w:spacing w:val="0"/>
        </w:rPr>
        <w:softHyphen/>
        <w:t>казали превосходные результаты - они сво</w:t>
      </w:r>
      <w:r w:rsidRPr="00271E51">
        <w:rPr>
          <w:rFonts w:ascii="Times New Roman" w:cs="Times New Roman"/>
          <w:color w:val="000000" w:themeColor="text1"/>
          <w:spacing w:val="0"/>
        </w:rPr>
        <w:softHyphen/>
        <w:t>бодно пробивали броню немецких танков всех типов.</w:t>
      </w:r>
    </w:p>
    <w:p w14:paraId="1F9666DB"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ЦКБ-22 в авральном порядке изготови</w:t>
      </w:r>
      <w:r w:rsidRPr="00271E51">
        <w:rPr>
          <w:rFonts w:ascii="Times New Roman" w:cs="Times New Roman"/>
          <w:color w:val="000000" w:themeColor="text1"/>
          <w:spacing w:val="0"/>
        </w:rPr>
        <w:softHyphen/>
        <w:t>ло партию опытных бомб и в октябре предъ</w:t>
      </w:r>
      <w:r w:rsidRPr="00271E51">
        <w:rPr>
          <w:rFonts w:ascii="Times New Roman" w:cs="Times New Roman"/>
          <w:color w:val="000000" w:themeColor="text1"/>
          <w:spacing w:val="0"/>
        </w:rPr>
        <w:softHyphen/>
        <w:t>явило их на государственные испытания в НИИ АВ ВВС.</w:t>
      </w:r>
    </w:p>
    <w:p w14:paraId="67F4B3ED" w14:textId="77777777" w:rsidR="00BA7A65" w:rsidRPr="00271E51" w:rsidRDefault="00BA7A6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От ПТАБ-2,5-1,5 «десятка» отличалась формой, габаритами и весом боевой части.</w:t>
      </w:r>
    </w:p>
    <w:p w14:paraId="31A7792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271E51">
        <w:rPr>
          <w:rFonts w:ascii="Times New Roman" w:hAnsi="Times New Roman"/>
          <w:color w:val="000000" w:themeColor="text1"/>
          <w:sz w:val="16"/>
          <w:szCs w:val="16"/>
        </w:rPr>
        <w:softHyphen/>
        <w:t>шего действия бомбы по массивным и экра</w:t>
      </w:r>
      <w:r w:rsidRPr="00271E51">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271E51">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271E51">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 (12739).</w:t>
      </w:r>
    </w:p>
    <w:p w14:paraId="00E039F2"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351BABC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из авиабригады в Тегеран поездом была направлена инже</w:t>
      </w:r>
      <w:r w:rsidRPr="00271E51">
        <w:rPr>
          <w:rFonts w:ascii="Times New Roman" w:hAnsi="Times New Roman"/>
          <w:color w:val="000000" w:themeColor="text1"/>
          <w:sz w:val="16"/>
          <w:szCs w:val="16"/>
        </w:rPr>
        <w:softHyphen/>
        <w:t>нерно-авиационная группа обеспечения перелета, в которую входили инженер-подполковник Красильников (старший группы), опытные авиационные техники Морозов, Воронцов, Бубенин, Баранов, инженер эскадрильи Ростокин, замес</w:t>
      </w:r>
      <w:r w:rsidRPr="00271E51">
        <w:rPr>
          <w:rFonts w:ascii="Times New Roman" w:hAnsi="Times New Roman"/>
          <w:color w:val="000000" w:themeColor="text1"/>
          <w:sz w:val="16"/>
          <w:szCs w:val="16"/>
        </w:rPr>
        <w:softHyphen/>
        <w:t>титель по тылу эскадрильи Калабушкин, начальник связи авиабригады Куце</w:t>
      </w:r>
      <w:r w:rsidRPr="00271E51">
        <w:rPr>
          <w:rFonts w:ascii="Times New Roman" w:hAnsi="Times New Roman"/>
          <w:color w:val="000000" w:themeColor="text1"/>
          <w:sz w:val="16"/>
          <w:szCs w:val="16"/>
        </w:rPr>
        <w:softHyphen/>
        <w:t>мелов, начальник метеослужбы авиабригады Комолов, синоптик Смирнов и др. Задача этой группы заключалась в том, чтобы принять самолеты с советской правительственной делегацией на аэродроме в Тегеране, обслужить эти само</w:t>
      </w:r>
      <w:r w:rsidRPr="00271E51">
        <w:rPr>
          <w:rFonts w:ascii="Times New Roman" w:hAnsi="Times New Roman"/>
          <w:color w:val="000000" w:themeColor="text1"/>
          <w:sz w:val="16"/>
          <w:szCs w:val="16"/>
        </w:rPr>
        <w:softHyphen/>
        <w:t>леты, обеспечить им надежную связь и охрану, а после окончания конференции обеспечить их обратный вылет. Естественно, вся подготовка и сама работа про</w:t>
      </w:r>
      <w:r w:rsidRPr="00271E51">
        <w:rPr>
          <w:rFonts w:ascii="Times New Roman" w:hAnsi="Times New Roman"/>
          <w:color w:val="000000" w:themeColor="text1"/>
          <w:sz w:val="16"/>
          <w:szCs w:val="16"/>
        </w:rPr>
        <w:softHyphen/>
        <w:t>водилась в строжайшей тайне. Вся подготовительная работа была выполнена уже к середине октября, потянулись долгие дни ожидания.</w:t>
      </w:r>
    </w:p>
    <w:p w14:paraId="019A4B0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Получили конкретное задание: переоборудовать два новых американских транспортных самолета «Дуглас» С-47 и один наш Ли-2 под пассажирский ва</w:t>
      </w:r>
      <w:r w:rsidRPr="00271E51">
        <w:rPr>
          <w:rFonts w:ascii="Times New Roman" w:hAnsi="Times New Roman"/>
          <w:color w:val="000000" w:themeColor="text1"/>
          <w:sz w:val="16"/>
          <w:szCs w:val="16"/>
        </w:rPr>
        <w:softHyphen/>
        <w:t>риант с удобными салонами класса «люкс».</w:t>
      </w:r>
    </w:p>
    <w:p w14:paraId="173D77C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авиационных специалистов бригады во главе с подполковником М. Красильниковым взялась за переоборудование. Трудились напряженно и днем и ночью. Тем более что опыт такой работы в бригаде уже был, еще в 1941 г. пришлось переоборудовать несколько самолетов Ли-2 под пассажир</w:t>
      </w:r>
      <w:r w:rsidRPr="00271E51">
        <w:rPr>
          <w:rFonts w:ascii="Times New Roman" w:hAnsi="Times New Roman"/>
          <w:color w:val="000000" w:themeColor="text1"/>
          <w:sz w:val="16"/>
          <w:szCs w:val="16"/>
        </w:rPr>
        <w:softHyphen/>
        <w:t>ский вариант. Наконец все самолеты были переоборудованы и опробованы в воздухе. Покрашенные в светлые тона самолеты выглядели непривычно красиво и очень эффектно. Генерал И. Чупров доложил руководству об окончании работ. Специально созданной комиссией самолеты были приняты с хорошей оценкой. Два самолета С-47 экипажи правительственной авиади</w:t>
      </w:r>
      <w:r w:rsidRPr="00271E51">
        <w:rPr>
          <w:rFonts w:ascii="Times New Roman" w:hAnsi="Times New Roman"/>
          <w:color w:val="000000" w:themeColor="text1"/>
          <w:sz w:val="16"/>
          <w:szCs w:val="16"/>
        </w:rPr>
        <w:softHyphen/>
        <w:t>визии ВВС полковника В. Грачева перегнали на Центральный аэродром име</w:t>
      </w:r>
      <w:r w:rsidRPr="00271E51">
        <w:rPr>
          <w:rFonts w:ascii="Times New Roman" w:hAnsi="Times New Roman"/>
          <w:color w:val="000000" w:themeColor="text1"/>
          <w:sz w:val="16"/>
          <w:szCs w:val="16"/>
        </w:rPr>
        <w:softHyphen/>
        <w:t>ни М.В. Фрунзе. Затем в ноябре на этих самолетах экипажи ВВС улетели в Баку. Из летного состава авиабригады в состав одного из этих экипажей во</w:t>
      </w:r>
      <w:r w:rsidRPr="00271E51">
        <w:rPr>
          <w:rFonts w:ascii="Times New Roman" w:hAnsi="Times New Roman"/>
          <w:color w:val="000000" w:themeColor="text1"/>
          <w:sz w:val="16"/>
          <w:szCs w:val="16"/>
        </w:rPr>
        <w:softHyphen/>
        <w:t>шел в качестве бортового радиста начальник связи штаба авиабригады май</w:t>
      </w:r>
      <w:r w:rsidRPr="00271E51">
        <w:rPr>
          <w:rFonts w:ascii="Times New Roman" w:hAnsi="Times New Roman"/>
          <w:color w:val="000000" w:themeColor="text1"/>
          <w:sz w:val="16"/>
          <w:szCs w:val="16"/>
        </w:rPr>
        <w:softHyphen/>
        <w:t>ор В. Куцемелов в совершенстве знающий особенности радиосвязи на этом направлении.</w:t>
      </w:r>
    </w:p>
    <w:p w14:paraId="2C28741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генерал А. Аполлонов с группой офи</w:t>
      </w:r>
      <w:r w:rsidRPr="00271E51">
        <w:rPr>
          <w:rFonts w:ascii="Times New Roman" w:hAnsi="Times New Roman"/>
          <w:color w:val="000000" w:themeColor="text1"/>
          <w:sz w:val="16"/>
          <w:szCs w:val="16"/>
        </w:rPr>
        <w:softHyphen/>
        <w:t>церов на самолете Ли-2 (командир экипажа майор М. Скрыльников) прилетел в Баку. Там его уже ждал Н. Комолов, который доложил ему прогноз погоды по маршруту и в пункте посадки. Он просил Аполлонова дать разрешение на вылет группе правительственных самолетов из Баку в Тегеран, пока не за</w:t>
      </w:r>
      <w:r w:rsidRPr="00271E51">
        <w:rPr>
          <w:rFonts w:ascii="Times New Roman" w:hAnsi="Times New Roman"/>
          <w:color w:val="000000" w:themeColor="text1"/>
          <w:sz w:val="16"/>
          <w:szCs w:val="16"/>
        </w:rPr>
        <w:softHyphen/>
        <w:t>крыты горы и перевалы. Комолов утверждал, что к прилету самолетов в Теге</w:t>
      </w:r>
      <w:r w:rsidRPr="00271E51">
        <w:rPr>
          <w:rFonts w:ascii="Times New Roman" w:hAnsi="Times New Roman"/>
          <w:color w:val="000000" w:themeColor="text1"/>
          <w:sz w:val="16"/>
          <w:szCs w:val="16"/>
        </w:rPr>
        <w:softHyphen/>
        <w:t>ран аэродром там откроется. После некоторых сомнений разрешение на вылет из Баку в Тегеран было дано. Самолеты один за другим поднялись в воздух и взяли заданный курс.</w:t>
      </w:r>
    </w:p>
    <w:p w14:paraId="26FA171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перелета, командование ВВС и другие специалисты настаи</w:t>
      </w:r>
      <w:r w:rsidRPr="00271E51">
        <w:rPr>
          <w:rFonts w:ascii="Times New Roman" w:hAnsi="Times New Roman"/>
          <w:color w:val="000000" w:themeColor="text1"/>
          <w:sz w:val="16"/>
          <w:szCs w:val="16"/>
        </w:rPr>
        <w:softHyphen/>
        <w:t>вали на возвращении самолетов в Баку. Им было не понятно как можно лететь на закрытый аэродром. Комолов настаивал на том, чтобы самолеты не возвра</w:t>
      </w:r>
      <w:r w:rsidRPr="00271E51">
        <w:rPr>
          <w:rFonts w:ascii="Times New Roman" w:hAnsi="Times New Roman"/>
          <w:color w:val="000000" w:themeColor="text1"/>
          <w:sz w:val="16"/>
          <w:szCs w:val="16"/>
        </w:rPr>
        <w:softHyphen/>
        <w:t>щались. Его прогноз оправдался: за час до подхода к Тегерану туман над аэродромом рассеялся, и самолеты благополучно произвели посадку на теге</w:t>
      </w:r>
      <w:r w:rsidRPr="00271E51">
        <w:rPr>
          <w:rFonts w:ascii="Times New Roman" w:hAnsi="Times New Roman"/>
          <w:color w:val="000000" w:themeColor="text1"/>
          <w:sz w:val="16"/>
          <w:szCs w:val="16"/>
        </w:rPr>
        <w:softHyphen/>
        <w:t>ранском аэродроме. Все самолеты были взяты под охрану, а экипажи отправ</w:t>
      </w:r>
      <w:r w:rsidRPr="00271E51">
        <w:rPr>
          <w:rFonts w:ascii="Times New Roman" w:hAnsi="Times New Roman"/>
          <w:color w:val="000000" w:themeColor="text1"/>
          <w:sz w:val="16"/>
          <w:szCs w:val="16"/>
        </w:rPr>
        <w:softHyphen/>
        <w:t>лены в советское посольство. Кстати, для охраны советской правительствен</w:t>
      </w:r>
      <w:r w:rsidRPr="00271E51">
        <w:rPr>
          <w:rFonts w:ascii="Times New Roman" w:hAnsi="Times New Roman"/>
          <w:color w:val="000000" w:themeColor="text1"/>
          <w:sz w:val="16"/>
          <w:szCs w:val="16"/>
        </w:rPr>
        <w:softHyphen/>
        <w:t>ной делегации в Тегеране привлекался полнокровный полк НКВД, полностью состоящий из пограничников....</w:t>
      </w:r>
    </w:p>
    <w:p w14:paraId="6355399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менее успешно прошел вылет самолетов правительственной делегации из Тегерана в Баку, а затем и в Москву после окончания конференции глав трех великих держав.</w:t>
      </w:r>
    </w:p>
    <w:p w14:paraId="578FBE2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успешное выполнение специального правительственного задания М. Красильников был награжден орденом Красного Знамени, были отмечены высокими наградами все члены группы обеспечения. В 1946 г. полковник М. Красильников по состоянию здоровья вышел в отставку. Но неуемный ха</w:t>
      </w:r>
      <w:r w:rsidRPr="00271E51">
        <w:rPr>
          <w:rFonts w:ascii="Times New Roman" w:hAnsi="Times New Roman"/>
          <w:color w:val="000000" w:themeColor="text1"/>
          <w:sz w:val="16"/>
          <w:szCs w:val="16"/>
        </w:rPr>
        <w:softHyphen/>
        <w:t>рактер не позволял ему сидеть без работы. С 1947 по 1954 г. он трудился стар</w:t>
      </w:r>
      <w:r w:rsidRPr="00271E51">
        <w:rPr>
          <w:rFonts w:ascii="Times New Roman" w:hAnsi="Times New Roman"/>
          <w:color w:val="000000" w:themeColor="text1"/>
          <w:sz w:val="16"/>
          <w:szCs w:val="16"/>
        </w:rPr>
        <w:softHyphen/>
        <w:t>шим инженером ВНИИ ВВС № 4, затем главным механиком Ярославского тех</w:t>
      </w:r>
      <w:r w:rsidRPr="00271E51">
        <w:rPr>
          <w:rFonts w:ascii="Times New Roman" w:hAnsi="Times New Roman"/>
          <w:color w:val="000000" w:themeColor="text1"/>
          <w:sz w:val="16"/>
          <w:szCs w:val="16"/>
        </w:rPr>
        <w:softHyphen/>
        <w:t>нологического института и в других организациях. Михаил Сергеевич прини</w:t>
      </w:r>
      <w:r w:rsidRPr="00271E51">
        <w:rPr>
          <w:rFonts w:ascii="Times New Roman" w:hAnsi="Times New Roman"/>
          <w:color w:val="000000" w:themeColor="text1"/>
          <w:sz w:val="16"/>
          <w:szCs w:val="16"/>
        </w:rPr>
        <w:softHyphen/>
        <w:t>мал активное участие в общественной работе. На общественных началах рабо</w:t>
      </w:r>
      <w:r w:rsidRPr="00271E51">
        <w:rPr>
          <w:rFonts w:ascii="Times New Roman" w:hAnsi="Times New Roman"/>
          <w:color w:val="000000" w:themeColor="text1"/>
          <w:sz w:val="16"/>
          <w:szCs w:val="16"/>
        </w:rPr>
        <w:softHyphen/>
        <w:t>тал старшим инженером Кировского райисполкома, вел технический надзор за строительством зданий университета, райвоенкомата и райисполкома. На</w:t>
      </w:r>
      <w:r w:rsidRPr="00271E51">
        <w:rPr>
          <w:rFonts w:ascii="Times New Roman" w:hAnsi="Times New Roman"/>
          <w:color w:val="000000" w:themeColor="text1"/>
          <w:sz w:val="16"/>
          <w:szCs w:val="16"/>
        </w:rPr>
        <w:softHyphen/>
        <w:t>гражден двумя орденами Красного Знамени, орденами Красной Звезды, Оте</w:t>
      </w:r>
      <w:r w:rsidRPr="00271E51">
        <w:rPr>
          <w:rFonts w:ascii="Times New Roman" w:hAnsi="Times New Roman"/>
          <w:color w:val="000000" w:themeColor="text1"/>
          <w:sz w:val="16"/>
          <w:szCs w:val="16"/>
        </w:rPr>
        <w:softHyphen/>
        <w:t>чественной войны, «Знак Почета», медалями.</w:t>
      </w:r>
    </w:p>
    <w:p w14:paraId="407DFB7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 успешное выполнение правительственного задания летный и техниче</w:t>
      </w:r>
      <w:r w:rsidRPr="00271E51">
        <w:rPr>
          <w:rFonts w:ascii="Times New Roman" w:hAnsi="Times New Roman"/>
          <w:color w:val="000000" w:themeColor="text1"/>
          <w:sz w:val="16"/>
          <w:szCs w:val="16"/>
        </w:rPr>
        <w:softHyphen/>
        <w:t>ский состав авиационной бригады погранвойск, принимавший участие в обес</w:t>
      </w:r>
      <w:r w:rsidRPr="00271E51">
        <w:rPr>
          <w:rFonts w:ascii="Times New Roman" w:hAnsi="Times New Roman"/>
          <w:color w:val="000000" w:themeColor="text1"/>
          <w:sz w:val="16"/>
          <w:szCs w:val="16"/>
        </w:rPr>
        <w:softHyphen/>
        <w:t>печении Тегеранской конференции глав правительств СССР, США и Велико</w:t>
      </w:r>
      <w:r w:rsidRPr="00271E51">
        <w:rPr>
          <w:rFonts w:ascii="Times New Roman" w:hAnsi="Times New Roman"/>
          <w:color w:val="000000" w:themeColor="text1"/>
          <w:sz w:val="16"/>
          <w:szCs w:val="16"/>
        </w:rPr>
        <w:softHyphen/>
        <w:t>британии был награжден правительственными наградами, в том числе коман</w:t>
      </w:r>
      <w:r w:rsidRPr="00271E51">
        <w:rPr>
          <w:rFonts w:ascii="Times New Roman" w:hAnsi="Times New Roman"/>
          <w:color w:val="000000" w:themeColor="text1"/>
          <w:sz w:val="16"/>
          <w:szCs w:val="16"/>
        </w:rPr>
        <w:softHyphen/>
        <w:t>дир авиабригады генерал-майор И. Чупров был награжден орденом Красной Звезды (12299).</w:t>
      </w:r>
    </w:p>
    <w:p w14:paraId="3C25BBC8"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EA1CB8A" w14:textId="77777777" w:rsidR="008B4929" w:rsidRPr="00271E51" w:rsidRDefault="008B4929"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xml:space="preserve">Августом 1943 года датирован чертеж разработанного Шпитальным 45-мм патрона, главной изюминкой которого было использование технологии производства серийного патрона 37х198. В новом патроне 45х186 мм по мысли Шпитального планировалось использовать слегка доработанный фугасно-осколочный снаряд от морской пушки 21-К массой 1.065 кг, совмещенный с гильзой от 37-мм авиапушки, диаметр горловины которой путем меньшего обжима был увеличен до 45 мм, а длина наоборот, уменьшена с целью сохранения общего габарита патрона 328 мм. Такое решение позволяло путем несложной модернизации получить 45-мм версию пушки Ш-37. </w:t>
      </w:r>
      <w:r w:rsidRPr="00271E51">
        <w:rPr>
          <w:rFonts w:ascii="Times New Roman" w:eastAsia="Times New Roman" w:hAnsi="Times New Roman"/>
          <w:color w:val="000000" w:themeColor="text1"/>
          <w:sz w:val="16"/>
          <w:szCs w:val="16"/>
          <w:shd w:val="clear" w:color="auto" w:fill="FFFFFF"/>
          <w:lang w:eastAsia="ru-RU"/>
        </w:rPr>
        <w:t>К сожалению, информация о проекте Шпитального Ш-45 практически отсутствует. Известно, что Ш-45 проходила испытания на истребителях ЛаГГ-3 и Як-9Т, планировалась для установки на Ил-2, но на этом история ее завершилась, не дойдя даже до государственных испытаний</w:t>
      </w:r>
      <w:r w:rsidRPr="00271E51">
        <w:rPr>
          <w:rFonts w:ascii="Times New Roman" w:eastAsia="Times New Roman" w:hAnsi="Times New Roman"/>
          <w:color w:val="000000" w:themeColor="text1"/>
          <w:sz w:val="16"/>
          <w:szCs w:val="16"/>
          <w:lang w:eastAsia="ru-RU"/>
        </w:rPr>
        <w:t xml:space="preserve"> (19200).</w:t>
      </w:r>
    </w:p>
    <w:p w14:paraId="700A257A" w14:textId="77777777" w:rsidR="008B4929" w:rsidRPr="00271E51" w:rsidRDefault="008B4929"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504CA9F0" w14:textId="77777777" w:rsidR="008B4929" w:rsidRPr="00271E51" w:rsidRDefault="008B4929"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появился прототип 45-мм пушки 111-П-45 - НС-37, переработанной под патрон 45х186. Первоначально переработке подверглись только ствол с патронником и приемник с заново спроектированными звеньями ленты. Были также сохранены габариты орудия – длина 3630 мм при длине ствола 2305 мм. Правда, первые же испытания пушки 111-П на наземном станке, проводимые с октября 1943 года показали, что усилие отдачи пушки составляли от 7 до 7.5 тонн, что ставило под сомнение способность выдержать ее конструкцией любого носителя. В этой связи доводка пушки затянулась. Пришлось срочно вдогонку разрабатывать эффективный дульный тормоз, который появился лишь к весне 1944 года. К тому времени пушка уже получила обозначение НС-45, и решение о ее принятии на вооружение было оформлено приказом ГКО. Версия с весьма габаритным дульным тормозом первоначально обозначалась НС-45М, но ввиду того, что в ограниченную серию пошла именно она, литера «М» в обозначении обычно опускалась. Относительно размещения пушек НС-45 на Иле в стандартных подкрыльевых гондолах, используемых для монтажа пушек НС-37, на первый взгляд, особых проблем не намечалось. При установке пушек на Ил-2 стволы двух орудий висели под крылом консольно и к вибрации собственно хлипкого ствола при стрельбе добавлялись еще и колебания крыла. И, хотя на штурмовик с 45-мм пушками возлагались большие надежды, они явно не оправдались (19200).</w:t>
      </w:r>
    </w:p>
    <w:p w14:paraId="28203654" w14:textId="77777777" w:rsidR="008B4929" w:rsidRPr="00271E51" w:rsidRDefault="008B4929"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76D0FBB2"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A54CA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FA02A0"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г. испытывались ПТРД и ПТРС с прицелами ПУ и специально разработанными кронштейнами (</w:t>
      </w:r>
      <w:r w:rsidRPr="00271E51">
        <w:rPr>
          <w:rFonts w:ascii="Times New Roman" w:eastAsia="Times New Roman" w:hAnsi="Times New Roman"/>
          <w:iCs/>
          <w:color w:val="000000" w:themeColor="text1"/>
          <w:sz w:val="16"/>
          <w:szCs w:val="16"/>
          <w:lang w:eastAsia="ru-RU"/>
        </w:rPr>
        <w:t>рис. 20</w:t>
      </w:r>
      <w:r w:rsidRPr="00271E51">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271E51">
        <w:rPr>
          <w:rFonts w:ascii="Times New Roman" w:eastAsia="Times New Roman" w:hAnsi="Times New Roman"/>
          <w:color w:val="000000" w:themeColor="text1"/>
          <w:sz w:val="16"/>
          <w:szCs w:val="16"/>
          <w:vertAlign w:val="superscript"/>
          <w:lang w:eastAsia="ru-RU"/>
        </w:rPr>
        <w:t>х</w:t>
      </w:r>
      <w:r w:rsidRPr="00271E51">
        <w:rPr>
          <w:rFonts w:ascii="Times New Roman" w:eastAsia="Times New Roman" w:hAnsi="Times New Roman"/>
          <w:color w:val="000000" w:themeColor="text1"/>
          <w:sz w:val="16"/>
          <w:szCs w:val="16"/>
          <w:lang w:eastAsia="ru-RU"/>
        </w:rPr>
        <w:t xml:space="preserve"> (</w:t>
      </w:r>
      <w:r w:rsidRPr="00271E51">
        <w:rPr>
          <w:rFonts w:ascii="Times New Roman" w:eastAsia="Times New Roman" w:hAnsi="Times New Roman"/>
          <w:iCs/>
          <w:color w:val="000000" w:themeColor="text1"/>
          <w:sz w:val="16"/>
          <w:szCs w:val="16"/>
          <w:lang w:eastAsia="ru-RU"/>
        </w:rPr>
        <w:t>рис. 21</w:t>
      </w:r>
      <w:r w:rsidRPr="00271E51">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5F4378C2" w14:textId="77777777" w:rsidR="00B52A91" w:rsidRPr="00271E51" w:rsidRDefault="00B52A91" w:rsidP="00271E51">
      <w:pPr>
        <w:spacing w:after="0" w:line="240" w:lineRule="auto"/>
        <w:jc w:val="both"/>
        <w:rPr>
          <w:rFonts w:ascii="Times New Roman" w:eastAsia="Times New Roman" w:hAnsi="Times New Roman"/>
          <w:color w:val="000000" w:themeColor="text1"/>
          <w:sz w:val="16"/>
          <w:szCs w:val="16"/>
          <w:lang w:eastAsia="ru-RU"/>
        </w:rPr>
      </w:pPr>
    </w:p>
    <w:p w14:paraId="3A7C9301"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испытывались ПТРД и ПТРС с прицелами ПУ и специально разработанными кронштейнами (рис. 29).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(18638).</w:t>
      </w:r>
    </w:p>
    <w:p w14:paraId="58204FC0"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6AA050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итоги Курской битвы обсуждались на специальном заседании ГКО. Выводы были неутешительны. Новые немецкие танки не только имели толстую лобовую броню, но и оснащались превосходными орудиями, позволявшими расстреливать советские танки с самых дальних дистанций. Было решено в самые короткие сроки и без снижения выпуска танков перевооружить Т-34 более мощной пушкой калибра 85 мм (3862).</w:t>
      </w:r>
    </w:p>
    <w:p w14:paraId="232B80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DD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разработке нового орудия приняли участие три артиллерийских КБ. В Москве работало КБ Петрова, известное созданием пушки Д-5 для танков КВ-85, СУ-85 и ИС-1, и конструкторский коллектив под руководством В.Грабина. Третьим проектом, который разрабатывался на заводе № 92 в Горьком, руководил А.Савин (3862).</w:t>
      </w:r>
    </w:p>
    <w:p w14:paraId="62272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5E2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85-мм танковая пушка Д-5Т-85 стала устанавливаться на тяже</w:t>
      </w:r>
      <w:r w:rsidRPr="00271E51">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271E51">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2C7C6B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4743BE"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года были сданы последние 39 КВ-1с. Впрочем, можно сказать, что КВ-1с ушел, чтобы остаться. Поскольку новый ИС-1 (объект 237, он же ИС-85) требовал времени для запуска в серийное производство, с августа началось производство КВ-85. Во многом это был тот же КВ-1с. Всего же с августа 1942 по август 1943 года было выпущено 1086 КВ-1с, еще 15 танков на заводе подверглись капитальному ремонту (17692).</w:t>
      </w:r>
    </w:p>
    <w:p w14:paraId="14FE9569"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B69844"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августе 1943 года в серию пошёл КВ-85, который должен был выпускаться до того, как Челябинский Кировский завод (ЧКЗ) освоит производство нового тяжёлого танка ИС-85. И снова желание завода упростить себе жизнь привело к неоднозначным результатам. В прошлый раз запуск в серию КВ-1с стал для завода настоящей производственной драмой, и с КВ-85 ситуация повторилась: этот танк попил у челябинцев немало крови. Простота его освоения в производстве оказалась мнимой. Как позднее выяснилось, переход на производство принципиально новых танков ИС-85, а затем и ИС-122, оказался ненамного сложнее (17722).</w:t>
      </w:r>
    </w:p>
    <w:p w14:paraId="48FC283E"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CA0AD91"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августе 1943 года конструкторское бюро ЧКЗ разрабатывало альтернативный вариант тяжёлого танка, «идеологом» создания которого был директор завода И.М. Зальцман. На эту должность Исаак Моисеевич был вновь назначен после того, как его сняли с поста наркома танковой промышленности. Обязан этот проект своим появлением и главному инженеру завода С.Н. Махонину. Идея заводского руководства изложена в докладной записке от 22 августа 1943 года:</w:t>
      </w:r>
    </w:p>
    <w:p w14:paraId="0B2F3B64"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«Параллельно с подготовкой к испытанию танка ИС, являющегося новой конструкцией, Кировский завода поставил перед собой задачу найти решение и дать образец танка, отвечающего тем же тактико-техническим требованиям, что и танк ИС, но обладающего следующими преимуществами:</w:t>
      </w:r>
    </w:p>
    <w:p w14:paraId="2E062925"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а) Возможностью использования серийных узлов и групп танков КВ, что даёт возможность организации производства нового танка без снижения программы, а значит без потерь в выпуске танков.</w:t>
      </w:r>
    </w:p>
    <w:p w14:paraId="3D6544A9"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б) Полным сохранением на Кировском заводе и завода №200 производства артсамоходов СУ-152.</w:t>
      </w:r>
    </w:p>
    <w:p w14:paraId="7107E786" w14:textId="77777777" w:rsidR="00CF592E" w:rsidRPr="00271E51" w:rsidRDefault="00CF592E"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в) Сохранением в производстве запчастей к танкам КВ-1с и СУ-152, находящимся на вооружении в армии и не требующим переобучения личного состава, подготовленного к работе на танках КВ» (17722).</w:t>
      </w:r>
    </w:p>
    <w:p w14:paraId="574A019B"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D2C6FF3"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уже было известно, что танк ИС получился, на заводе №100 начались работы по разработке САУ на его базе — правда, речь шла об Объекте 241, то есть о будущей ИСУ-152. Данная машина находилась в более высоком приоритете — по этой причине ни летом, ни осенью 1943 года никаких работ по теме «СУ-122 с пушкой А-19 на базе танка ИС» не велось. Главными задачами завода №100 и его конструкторского коллектива на тот момент являлись постройка и успешные испытания ИС-152 (так изначально называли эту машину). Опытный образец машины прошёл заводские испытания 11-14 октября. Далее последовали испытания сначала на Гороховецком артиллерийском научно-испытательном опытном полигоне (АНИОП), а затем на НИБТ Полигоне в Кубинке. 6 ноября 1943 года ИСУ-152 приняли на вооружение Красной армии (18335).</w:t>
      </w:r>
    </w:p>
    <w:p w14:paraId="3CCF928C"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0235D377"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Август 1943 года для ЧКЗ прошёл относительно спокойно. Самоходные установки в этом месяце сдавались на сей раз не скопом в конце срока, а вполне равномерно – 28 машин к 10 числу, 36 к 15 и положенные по плану 84 штуки к 1 сентября. Правда, имелись и накладки, которые выявились уже после сдачи самоходных установок в войска. Военпред Кировского завода Шаронов принял несколько десятков СУ-152 с дефектами в орудийных масках. Отверстие для ключа к противооткатным устройствам было выполнено неправильно, что делало невозможным использования ключа для скручивания вентиля наполнения противооткатных устройств жидкостью. Дефект выявился после того, как самоходные установки отправили в Московский центр самоходной артиллерии. Устранять неисправность пришлось на месте, используя газорезное оборудование (17696).</w:t>
      </w:r>
    </w:p>
    <w:p w14:paraId="65FE1E19"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D582D1" w14:textId="77777777" w:rsidR="00CF592E" w:rsidRPr="00271E51" w:rsidRDefault="00CF592E"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За август 1943 ЧКЗ требовалось закончить оставшиеся КВ-1с и, что куда сложнее, выполнить план по выпуску 325-ти Т-34. И это не считая СУ-152, которые имели </w:t>
      </w:r>
      <w:r w:rsidRPr="00271E51">
        <w:rPr>
          <w:color w:val="000000" w:themeColor="text1"/>
          <w:sz w:val="16"/>
          <w:szCs w:val="16"/>
        </w:rPr>
        <w:lastRenderedPageBreak/>
        <w:t>на тот момент куда больший приоритет, чем КВ-85. К 26 августа ни одного КВ-85 ЧКЗ ещё не сдал. Сдача происходила в авральной обстановке, например, 16 танков было принято уже 31 августа. Бесследно такие трудовые «подвиги» не прошли. 31 августа в адрес ГАБТУ ушло письмо старшего военпреда на ЧКЗ. Он сообщал, что при подготовке чертежей заводское КБ допустило целый ряд ошибок, следствием которых оказалось полтора десятка дефектов: топливные баки подгонялись по месту, как и снарядные укладки с электрооборудованием, вместо фильтров «Мультициклон» на танки устанавливались более старые «Вортокс», имелись большие проблемы с прицелами. Свою лепту внёс и завод №9, не приславший с орудиями грузы для уравновешивания. Уже принятые машины в сентябре пришлось переделывать. В результате первые 5 танков удалось отгрузить лишь к 9 сентября. Всего же за сентябрь ЧКЗ отгрузил 47 танков, включая 22 августовских (17710).</w:t>
      </w:r>
    </w:p>
    <w:p w14:paraId="7A0885AE" w14:textId="77777777" w:rsidR="00CF592E" w:rsidRPr="00271E51" w:rsidRDefault="00CF592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3FD6AC9" w14:textId="77777777" w:rsidR="00CF592E" w:rsidRPr="00271E51" w:rsidRDefault="00CF592E"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85-мм танковая пушка Д-5Т-85 стала устанавливаться на тяже</w:t>
      </w:r>
      <w:r w:rsidRPr="00271E51">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271E51">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1BF65D31" w14:textId="77777777" w:rsidR="00CF592E" w:rsidRPr="00271E51" w:rsidRDefault="00CF592E"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1CE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конструкторским бюро завода № 183 был разработан и в сентябре 1943 г. реализован проект установки 85-мм тан пушки Д-5Т-85 в башне танка Т-43 с увеличенным до 1600 мм погоном опоры башни. Этот проект в последующем был использован ) разработке танка Т-34-85 (10703).</w:t>
      </w:r>
    </w:p>
    <w:p w14:paraId="2447A2E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17199"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доля бездефектных машин среди танков знаменитой серии Т-34, выпущенных заводом № 174 НКТанкП и принятых военпредом, составляла только 4,5%, а больше половины машин имело по 3 дефекта или более. От 10 до 20% танков после первого испытания вообще не принимались военпредами и отправлялись на переделку (18627).</w:t>
      </w:r>
    </w:p>
    <w:p w14:paraId="48AFFA2F"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221DC3C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для самообороны танка Т-34 главный конструктор завода № 455 Каракутов предложил устанавли</w:t>
      </w:r>
      <w:r w:rsidRPr="00271E51">
        <w:rPr>
          <w:rFonts w:ascii="Times New Roman" w:hAnsi="Times New Roman"/>
          <w:color w:val="000000" w:themeColor="text1"/>
          <w:sz w:val="16"/>
          <w:szCs w:val="16"/>
        </w:rPr>
        <w:softHyphen/>
        <w:t>вать 50-мм миномет или специальный гранатомет. Миномет массой 7 кг должен был устанавливаться вместо штатного пулемета ДТ, располо</w:t>
      </w:r>
      <w:r w:rsidRPr="00271E51">
        <w:rPr>
          <w:rFonts w:ascii="Times New Roman" w:hAnsi="Times New Roman"/>
          <w:color w:val="000000" w:themeColor="text1"/>
          <w:sz w:val="16"/>
          <w:szCs w:val="16"/>
        </w:rPr>
        <w:softHyphen/>
        <w:t>женного в лобовом листе корпуса танка. Огонь мог вестись штатной 50-мм миной на дальность до 400 м. Вместо миномета мог устанавли</w:t>
      </w:r>
      <w:r w:rsidRPr="00271E51">
        <w:rPr>
          <w:rFonts w:ascii="Times New Roman" w:hAnsi="Times New Roman"/>
          <w:color w:val="000000" w:themeColor="text1"/>
          <w:sz w:val="16"/>
          <w:szCs w:val="16"/>
        </w:rPr>
        <w:softHyphen/>
        <w:t>ваться 57-мм гранатомет, который осуществлял метание ручных оборо</w:t>
      </w:r>
      <w:r w:rsidRPr="00271E51">
        <w:rPr>
          <w:rFonts w:ascii="Times New Roman" w:hAnsi="Times New Roman"/>
          <w:color w:val="000000" w:themeColor="text1"/>
          <w:sz w:val="16"/>
          <w:szCs w:val="16"/>
        </w:rPr>
        <w:softHyphen/>
        <w:t>нительных гранат Ф-1 на дальность до 200 м с боевой скорострельнос</w:t>
      </w:r>
      <w:r w:rsidRPr="00271E51">
        <w:rPr>
          <w:rFonts w:ascii="Times New Roman" w:hAnsi="Times New Roman"/>
          <w:color w:val="000000" w:themeColor="text1"/>
          <w:sz w:val="16"/>
          <w:szCs w:val="16"/>
        </w:rPr>
        <w:softHyphen/>
        <w:t>тью 8-10 выстр./мин. При этом граната Ф-1 подвергалась незначи</w:t>
      </w:r>
      <w:r w:rsidRPr="00271E51">
        <w:rPr>
          <w:rFonts w:ascii="Times New Roman" w:hAnsi="Times New Roman"/>
          <w:color w:val="000000" w:themeColor="text1"/>
          <w:sz w:val="16"/>
          <w:szCs w:val="16"/>
        </w:rPr>
        <w:softHyphen/>
        <w:t>тельным изменениям. Длина как миномета, так и гранатомета составля</w:t>
      </w:r>
      <w:r w:rsidRPr="00271E51">
        <w:rPr>
          <w:rFonts w:ascii="Times New Roman" w:hAnsi="Times New Roman"/>
          <w:color w:val="000000" w:themeColor="text1"/>
          <w:sz w:val="16"/>
          <w:szCs w:val="16"/>
        </w:rPr>
        <w:softHyphen/>
        <w:t>ла 500 мм. При рассмотрении проекта установки миномета и гранатомета в Уп</w:t>
      </w:r>
      <w:r w:rsidRPr="00271E51">
        <w:rPr>
          <w:rFonts w:ascii="Times New Roman" w:hAnsi="Times New Roman"/>
          <w:color w:val="000000" w:themeColor="text1"/>
          <w:sz w:val="16"/>
          <w:szCs w:val="16"/>
        </w:rPr>
        <w:softHyphen/>
        <w:t>равлении самоходной артиллерии ГБТУ был выявлен ряд недостатков. Прежде всего, для миномета необходимо было создание специальной гранаты (мины) дистанционного действия со стабилизатором, для про</w:t>
      </w:r>
      <w:r w:rsidRPr="00271E51">
        <w:rPr>
          <w:rFonts w:ascii="Times New Roman" w:hAnsi="Times New Roman"/>
          <w:color w:val="000000" w:themeColor="text1"/>
          <w:sz w:val="16"/>
          <w:szCs w:val="16"/>
        </w:rPr>
        <w:softHyphen/>
        <w:t>верки эффективности которой, требовалось проведение специальных испытаний. Углы наведения миномета были малы и не позволяли вести огонь по закрытым целям противника. Дальнейшие работы по замене 7,62-мм пулемета ДТ 50-мм минометом или 57-мм гранатометом не по</w:t>
      </w:r>
      <w:r w:rsidRPr="00271E51">
        <w:rPr>
          <w:rFonts w:ascii="Times New Roman" w:hAnsi="Times New Roman"/>
          <w:color w:val="000000" w:themeColor="text1"/>
          <w:sz w:val="16"/>
          <w:szCs w:val="16"/>
        </w:rPr>
        <w:softHyphen/>
        <w:t xml:space="preserve">лучили дальнейшего развития и были прекращены, так как ни тот, ни другой полностью не могли решать задачи, возлагаемые на пулемет. </w:t>
      </w:r>
      <w:r w:rsidRPr="00271E51">
        <w:rPr>
          <w:rFonts w:ascii="Times New Roman" w:hAnsi="Times New Roman"/>
          <w:color w:val="000000" w:themeColor="text1"/>
          <w:sz w:val="16"/>
          <w:szCs w:val="16"/>
          <w:vertAlign w:val="subscript"/>
        </w:rPr>
        <w:t>г</w:t>
      </w:r>
      <w:r w:rsidRPr="00271E51">
        <w:rPr>
          <w:rFonts w:ascii="Times New Roman" w:hAnsi="Times New Roman"/>
          <w:color w:val="000000" w:themeColor="text1"/>
          <w:sz w:val="16"/>
          <w:szCs w:val="16"/>
        </w:rPr>
        <w:t>: Мероприятия по улучшению защищенности средних танков в годы войны, сводились, главным образом, к наращиванию толщины отдель</w:t>
      </w:r>
      <w:r w:rsidRPr="00271E51">
        <w:rPr>
          <w:rFonts w:ascii="Times New Roman" w:hAnsi="Times New Roman"/>
          <w:color w:val="000000" w:themeColor="text1"/>
          <w:sz w:val="16"/>
          <w:szCs w:val="16"/>
        </w:rPr>
        <w:softHyphen/>
        <w:t>ных броневых деталей, применению разнесенного бронирования, уста</w:t>
      </w:r>
      <w:r w:rsidRPr="00271E51">
        <w:rPr>
          <w:rFonts w:ascii="Times New Roman" w:hAnsi="Times New Roman"/>
          <w:color w:val="000000" w:themeColor="text1"/>
          <w:sz w:val="16"/>
          <w:szCs w:val="16"/>
        </w:rPr>
        <w:softHyphen/>
        <w:t>новке дополнительных броневых экранов, а также совершенствованию конструкции и улучшения технологии производства корпуса и башни (10703).</w:t>
      </w:r>
    </w:p>
    <w:p w14:paraId="6AED6A6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911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конструкторским бюро завода № 455 был разрабо</w:t>
      </w:r>
      <w:r w:rsidRPr="00271E51">
        <w:rPr>
          <w:rFonts w:ascii="Times New Roman" w:hAnsi="Times New Roman"/>
          <w:color w:val="000000" w:themeColor="text1"/>
          <w:sz w:val="16"/>
          <w:szCs w:val="16"/>
        </w:rPr>
        <w:softHyphen/>
        <w:t>тан проект установки 50-мм миномета или 57-мм гранатомета в танк Т-34-76 вместо лобового пулемета ДТ. Стрельбу из миномета предпола</w:t>
      </w:r>
      <w:r w:rsidRPr="00271E51">
        <w:rPr>
          <w:rFonts w:ascii="Times New Roman" w:hAnsi="Times New Roman"/>
          <w:color w:val="000000" w:themeColor="text1"/>
          <w:sz w:val="16"/>
          <w:szCs w:val="16"/>
        </w:rPr>
        <w:softHyphen/>
        <w:t>галось вести на дальностях до 400 м, однако вертикальные углы наводки миномета были малы и не позволяли вести огонь по закрытым целям. Гранатомет был рассчитан на метание 8-10 ручных гранат Ф-1 в мину</w:t>
      </w:r>
      <w:r w:rsidRPr="00271E51">
        <w:rPr>
          <w:rFonts w:ascii="Times New Roman" w:hAnsi="Times New Roman"/>
          <w:color w:val="000000" w:themeColor="text1"/>
          <w:sz w:val="16"/>
          <w:szCs w:val="16"/>
        </w:rPr>
        <w:softHyphen/>
        <w:t>ту на дальность до 200 м. Гранаты Ф-1 подвергались незначительным конструктивным изменениям (на них предполагалось установить ста</w:t>
      </w:r>
      <w:r w:rsidRPr="00271E51">
        <w:rPr>
          <w:rFonts w:ascii="Times New Roman" w:hAnsi="Times New Roman"/>
          <w:color w:val="000000" w:themeColor="text1"/>
          <w:sz w:val="16"/>
          <w:szCs w:val="16"/>
        </w:rPr>
        <w:softHyphen/>
        <w:t>билизаторы (оперение). Идея замены лобового пулемета минометом или гранатометом не получила дальнейшего развития, так как ни тот, ни другой не обеспечивали выполнение в полной мере огневых задач, воз</w:t>
      </w:r>
      <w:r w:rsidRPr="00271E51">
        <w:rPr>
          <w:rFonts w:ascii="Times New Roman" w:hAnsi="Times New Roman"/>
          <w:color w:val="000000" w:themeColor="text1"/>
          <w:sz w:val="16"/>
          <w:szCs w:val="16"/>
        </w:rPr>
        <w:softHyphen/>
        <w:t>лагаемых на пулемет. Дополнительное оружие в виде 50-мм казнозарядного миномёта бы</w:t>
      </w:r>
      <w:r w:rsidRPr="00271E51">
        <w:rPr>
          <w:rFonts w:ascii="Times New Roman" w:hAnsi="Times New Roman"/>
          <w:color w:val="000000" w:themeColor="text1"/>
          <w:sz w:val="16"/>
          <w:szCs w:val="16"/>
        </w:rPr>
        <w:softHyphen/>
        <w:t>ло установлено на опытном образце танке "Объект 701" № 1. Миномет позволял вести стрельбу как дымовыми (аэрозольными) гранатами, так и осколочными минами (10703). В годы Великой Отечественной войны работы по установке мино</w:t>
      </w:r>
      <w:r w:rsidRPr="00271E51">
        <w:rPr>
          <w:rFonts w:ascii="Times New Roman" w:hAnsi="Times New Roman"/>
          <w:color w:val="000000" w:themeColor="text1"/>
          <w:sz w:val="16"/>
          <w:szCs w:val="16"/>
        </w:rPr>
        <w:softHyphen/>
        <w:t>метов в танки велись и в ЦАКБ НКВ под руководством В.Г. Грабина. Были разработаны проекты установки в танк в качестве основного ору</w:t>
      </w:r>
      <w:r w:rsidRPr="00271E51">
        <w:rPr>
          <w:rFonts w:ascii="Times New Roman" w:hAnsi="Times New Roman"/>
          <w:color w:val="000000" w:themeColor="text1"/>
          <w:sz w:val="16"/>
          <w:szCs w:val="16"/>
        </w:rPr>
        <w:softHyphen/>
        <w:t>жия 107-мм миномета ЗИС-26 (1942 г.) и вспомогательного - 50-мм миномета С-И (1943 г.), которые в металле осуществлены не были (10703).</w:t>
      </w:r>
    </w:p>
    <w:p w14:paraId="29CC811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25D14" w14:textId="77777777" w:rsidR="00BA7A65" w:rsidRPr="00271E51" w:rsidRDefault="00BA7A65" w:rsidP="00271E51">
      <w:pPr>
        <w:pStyle w:val="a3"/>
        <w:rPr>
          <w:color w:val="000000" w:themeColor="text1"/>
          <w:lang w:val="ru-RU"/>
        </w:rPr>
      </w:pPr>
      <w:r w:rsidRPr="00271E51">
        <w:rPr>
          <w:color w:val="000000" w:themeColor="text1"/>
          <w:lang w:val="ru-RU"/>
        </w:rPr>
        <w:t>В августе 1943 года новым директором восстанавливающегося завода СТЗ стал Н. Т. Просвиров. Несмотря на огромные разрушения, восстановительные работы на СТЗ продвигались быстро. К 1 января 1944 года площади важнейших цехов завода составили 72800 квадратных метров(для сравнения, площади цехов Танкограда составляли тогда 405798 квадратных метров). Парк оборудования завода состоял из 1437 станков, что составляло 48% от прежнего парка станков завода. В 1944 году на заводе работало уже 10878 рабочих и служащих.</w:t>
      </w:r>
    </w:p>
    <w:p w14:paraId="15398170" w14:textId="77777777" w:rsidR="00BA7A65" w:rsidRPr="00271E51" w:rsidRDefault="00BA7A65" w:rsidP="00271E51">
      <w:pPr>
        <w:pStyle w:val="a3"/>
        <w:rPr>
          <w:color w:val="000000" w:themeColor="text1"/>
          <w:lang w:val="ru-RU"/>
        </w:rPr>
      </w:pPr>
      <w:r w:rsidRPr="00271E51">
        <w:rPr>
          <w:color w:val="000000" w:themeColor="text1"/>
          <w:lang w:val="ru-RU"/>
        </w:rPr>
        <w:t>Быстро наращиваемые производственные мощности завода использовались для решения различных задач. Первоначально завод был центром ремонта повреждённых танков, оставшихся на полях Сталинградской битвы. Но от восстановления полноценного танкового производства на заводе пришлось отказаться, поскольку быстро наладить его оказалось невозможно, а после войны завод не собирались использовать как танковый. Основным направлением работы завода вновь стало тракторостроение. Трактора были нужны и для восстанавливающегося народного хозяйства, и для Красной Армии. Для нужд танковой промышленности на заводе было организовано производство дизелей В-2, не достигавшее, впрочем, значительных масштабов. В 1943 году было произведено 40 дизелей, в 1944 году - 551 дизель, а в первом полугодии 1945 года - 482 дизеля (12290).</w:t>
      </w:r>
    </w:p>
    <w:p w14:paraId="5A276FDE" w14:textId="77777777" w:rsidR="00BA7A65" w:rsidRPr="00271E51" w:rsidRDefault="00BA7A65" w:rsidP="00271E51">
      <w:pPr>
        <w:pStyle w:val="a3"/>
        <w:rPr>
          <w:color w:val="000000" w:themeColor="text1"/>
          <w:lang w:val="ru-RU"/>
        </w:rPr>
      </w:pPr>
    </w:p>
    <w:p w14:paraId="35FB6A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прекратили выпуск танков Т-34 на "Уралмаше". Затем это предприятие стало основным по выпуску САУ на базе Т-34 (3862).</w:t>
      </w:r>
    </w:p>
    <w:p w14:paraId="093AE5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BB6D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июне 1943 завод № 112 получил два сварочных автомата Е. Патона, а в июле — первые агрегатные металлообрабатывающие станки. В августе был введен карусельный станок для изготовления зубчатых венцов большого диаметра, а также прибыло под</w:t>
      </w:r>
      <w:r w:rsidRPr="00271E51">
        <w:rPr>
          <w:rFonts w:ascii="Times New Roman" w:hAnsi="Times New Roman"/>
          <w:color w:val="000000" w:themeColor="text1"/>
          <w:sz w:val="16"/>
          <w:szCs w:val="16"/>
        </w:rPr>
        <w:softHyphen/>
        <w:t>крепление в виде группы конструкторов и технологов с УВЗ, «Уралмаша» и из Института электросварки АН СССР (11135).</w:t>
      </w:r>
    </w:p>
    <w:p w14:paraId="11F2E8C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D989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НКТП подготовил донесение “О состоянии работ по среднему танку” (7637,36).</w:t>
      </w:r>
    </w:p>
    <w:p w14:paraId="6A7E4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C1F8E" w14:textId="77777777" w:rsidR="00CF592E" w:rsidRPr="00271E51" w:rsidRDefault="00CF592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в составе "особой танковой роты 100" прибыли на фронт новые "Т-34 танки-истребители", вооруженные 57-мм пушкой. Рота имела три "танка-истребителя", входивших в первый взвод (3862).</w:t>
      </w:r>
    </w:p>
    <w:p w14:paraId="3F934495" w14:textId="77777777" w:rsidR="00CF592E" w:rsidRPr="00271E51" w:rsidRDefault="00CF592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AD2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 1943 года была подготовлена справка:</w:t>
      </w:r>
    </w:p>
    <w:p w14:paraId="0D201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350 – Новосибирск (9274)</w:t>
      </w:r>
    </w:p>
    <w:p w14:paraId="22A933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НКТП подготовил донесение “О состоянии работ по среднему танку” (7637,36).</w:t>
      </w:r>
    </w:p>
    <w:p w14:paraId="502B9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0E6AE"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августе 1943 на мытищенском заводе № 40 было сдано 40 танков. Но уже после Курской битвы руководство ГАБТУ КА пришло к выводу, что далее производить Т-70 и Т-80 нет смысла. Согласно постановлению ГКО №3964сс от 21 августа 1943 года, с 1 сентября производство Т-80 на заводе №40 прекратилось. Завод приступил к выпуску СУ-15М (СУ-76М). Общий объём выпуска Т-80 в Мытищах составил 66 танков. С учётом 8 Т-80 на ГАЗ им. Молотова, из которых, правда, не все были приняты заказчиком, а также 2 опытных Т-80, получается, что было построено 76 Т-80. При этом завод №176 успел изготовить 334 комплекта корпусов и башен. Несмотря на все проблемы, машина получилась вполне удачная. Её создатели во главе с Н.А. Астровым вполне заслуженно стали обладателями Сталинской премии второй степени за 1943 год. Они явно не были виноваты, что время лёгких танков в их традиционном понимании подошло к концу (17712).</w:t>
      </w:r>
    </w:p>
    <w:p w14:paraId="55FE653F" w14:textId="77777777" w:rsidR="00B52A91" w:rsidRPr="00271E51" w:rsidRDefault="00B52A91" w:rsidP="00271E51">
      <w:pPr>
        <w:pStyle w:val="ae"/>
        <w:shd w:val="clear" w:color="auto" w:fill="FFFFFF"/>
        <w:spacing w:before="0" w:after="0"/>
        <w:jc w:val="both"/>
        <w:rPr>
          <w:color w:val="000000" w:themeColor="text1"/>
          <w:sz w:val="16"/>
          <w:szCs w:val="16"/>
        </w:rPr>
      </w:pPr>
    </w:p>
    <w:p w14:paraId="1B7EF908"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августе 1943 года появилась идея установить на С-1 или СУ-76И командирскую башенку, которая заметно улучшала условия работы командира. Опыт боевого применения средних САУ выявил существенную проблему в работе командира. Как показала практика, одного только перископического прибора ПТК ему было недостаточно. Наряду с УЗТМ такую конструкцию стали разрабатывать и в отделе 22 завода №37. Эскизный проект модернизированной СУ-76 был подготовлен к 11 августа 1943 года. Тогда же, в августе, была построена одна самоходная установка с командирской башенкой. Сложных путей в отделе 22 искать не стали и просто взяли готовую башенку от Pz.Kpfw.III, благо что в наличии они имелись. Для установки этой башенки с правой стороны рубки пришлось сделать выступ. 6 сентября модернизированная САУ была утверждена для серийного производства. Сколько таких машин было построено неизвестно. Боевых фотографий СУ-76И почти не осталось. Но в том, что модернизированная СУ-76И выпускалась серийно, сомнений нет (18090).</w:t>
      </w:r>
    </w:p>
    <w:p w14:paraId="712464E5" w14:textId="77777777" w:rsidR="00B52A91" w:rsidRPr="00271E51" w:rsidRDefault="00B52A91" w:rsidP="00271E51">
      <w:pPr>
        <w:pStyle w:val="ae"/>
        <w:shd w:val="clear" w:color="auto" w:fill="FFFFFF"/>
        <w:spacing w:before="0" w:after="0"/>
        <w:jc w:val="both"/>
        <w:rPr>
          <w:color w:val="000000" w:themeColor="text1"/>
          <w:sz w:val="16"/>
          <w:szCs w:val="16"/>
        </w:rPr>
      </w:pPr>
    </w:p>
    <w:p w14:paraId="1C3F9FDA"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В августе 1943 года в 7-й механизированный корпус было отправлено 70 СУ-76И. Позже, в сентябре, туда же было направлено ещё 35 машин. По 35 СУ-76И получили 58-й, 84-й и 177-й отдельные танковые полки. Отправка на фронт этих частей задерживалась из-за серьёзных проблем с надёжностью машин. К 14 сентября 1943 года из 70 машин различные неисправности имели 34, то есть почти половина. Также поступали нарекания на недостаток запчастей.</w:t>
      </w:r>
    </w:p>
    <w:p w14:paraId="4FE42F02"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7-й мк уехал на фронт с двумя полками — 177-м и 84-м. При этом часть СУ-76И из него изъяли, поскольку 14 декабря 1943 года поступил тревожный сигнал из 5-й гвардейской танковой армии, где 40 из поступивших на комплектование 90 СУ-76И вышли из строя. Ломались отдельные узлы и агрегаты элементов двигателей, в семи случаях наблюдались проблемы с КПП. Ещё 33 машины числились к тому времени как безвозвратные потери.</w:t>
      </w:r>
    </w:p>
    <w:p w14:paraId="7FEC3E22"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Судя по всему, где-то в это время немцы узнали о существовании СУ-76И. Как минимум одна такая машина оказалась в составе немецкой 23-й танковой дивизии, захватили её в конце декабря 1943 года, прослужила она там как минимум до весны 1944 года.</w:t>
      </w:r>
    </w:p>
    <w:p w14:paraId="25189976"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Необычной оказалась судьба 58-го танкового полка, который не отправился на фронт вместе с двумя другими танковыми полками 7-го мк. До начала 1944 года полк находился в резерве, после чего был передан в подчинение 2-й гвардейской кавалерийской дивизии. Боевой дебют самоходок 58-го тп состоялся 26 февраля 1944 года, когда он ворвался в деревню Волнянку, поддерживая наступление 288-го стрелкового полка. В ходе боя было уничтожено два танка, пять пулемётных точек и до ста немецких солдат и офицеров. В дальнейшем полк вёл бой за Рожище, где засели немцы.</w:t>
      </w:r>
    </w:p>
    <w:p w14:paraId="3BC40821"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Интенсивная эксплуатация СУ-76И в 58-м тп продолжалась до 9 апреля 1944 года, когда полк получил приказ выйти в резерв. На вооружении полка СУ-76И находились до июня 1944 года. 58-й тп безвозвратно потерял 11 СУ-76И. Одна машина из этого числа дожила до наших дней. 3 февраля 1944 года, ещё до начала боевых действий, машина с серийным номером 3038 сорвалась с моста через реку Случь в районе города Сарны, её экипаж погиб. Спустя три десятилетия машину подняли, теперь она установлена как памятник. Ещё одна СУ-76И, восстановленная из тактического объекта, находится в экспозиции Музея Победы на Поклонной горе (18090).</w:t>
      </w:r>
    </w:p>
    <w:p w14:paraId="6A789FAB" w14:textId="77777777" w:rsidR="00B52A91" w:rsidRPr="00271E51" w:rsidRDefault="00B52A91" w:rsidP="00271E51">
      <w:pPr>
        <w:pStyle w:val="ae"/>
        <w:shd w:val="clear" w:color="auto" w:fill="FFFFFF"/>
        <w:spacing w:before="0" w:after="0"/>
        <w:jc w:val="both"/>
        <w:rPr>
          <w:color w:val="000000" w:themeColor="text1"/>
          <w:sz w:val="16"/>
          <w:szCs w:val="16"/>
        </w:rPr>
      </w:pPr>
    </w:p>
    <w:p w14:paraId="3092607A"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августа 1943 года на НИБТ Полигоне для ходовых испытаний был получен танк Пантера с башенным номером 824. Эту же машину исследовали. Танк был захвачен 17 июля 1943 года в районе деревни Новоселовка Курской области танкистами 3-го механизированного корпуса, которым командовал генерал-майор С.М. Кривошеин. К моменту, когда машина вышла на испытания, её спидометр показывал 452 километра. Для не самого надёжного танка это достаточно много.</w:t>
      </w:r>
    </w:p>
    <w:p w14:paraId="7A8BFDBC"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Оказалось, что трофейная машина может ездить на советском бензине Б-70. Ходовые испытания начались 8 августа и закончились 5 октября 1943 года. За это время машина прошла 58 километров по шоссе и 162 километра по просёлку, её двигатель отработал всего 13,9 часов. Столь небольшое расстояние, пройденное за 2 месяца испытаний, объясняется всё той же малой надёжностью. Танк три раза ломался, и его приходилось буксировать обратно на полигон. Так он «накатал» дополнительные 36 километров. И это при том, что машина ездила в сухую погоду и без боекомплекта (17729).</w:t>
      </w:r>
    </w:p>
    <w:p w14:paraId="67921832" w14:textId="77777777" w:rsidR="00B52A91" w:rsidRPr="00271E51" w:rsidRDefault="00B52A91" w:rsidP="00271E51">
      <w:pPr>
        <w:spacing w:after="0" w:line="240" w:lineRule="auto"/>
        <w:jc w:val="both"/>
        <w:rPr>
          <w:rFonts w:ascii="Times New Roman" w:hAnsi="Times New Roman"/>
          <w:color w:val="000000" w:themeColor="text1"/>
          <w:sz w:val="16"/>
          <w:szCs w:val="16"/>
        </w:rPr>
      </w:pPr>
    </w:p>
    <w:p w14:paraId="6AB71C97"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августе 1943 года на НИБТ Полигоне оказался ещё один танк модификации Valentine IX. На сей раз испытывалась исключительно ходовая часть танка, а именно — гусеничные ленты. Связано это оказалось с тем, что летом 1943 года английская промышленность наконец вспомнила о требованиях РККА по оснащению танков дополнительными грунтозацепами. В СССР стали приходить Valentine IX с траками нового образца, на каждом из которых имелись шипы. Скоро из частей и от приёмщиков начали приходить жалобы, поскольку несъёмные грунтозацепы стали создавать проблемы, в частности быстро портили асфальтовые дороги.</w:t>
      </w:r>
    </w:p>
    <w:p w14:paraId="0DD0B250"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Прошедшие в августе 1943 года испытания показали весьма противоречивые результаты. И скоростные данные, и расход горючего оказались примерно равными для танков, оборудованных траками с шипами и без них. Но после 251 километра пути шипы сточились на 8-10 миллиметров. Во время езды по асфальту шипы оставляли в полотне небольшие вмятины, а во время разворотов происходило незначительное разрушение покрытия. При проезде колонны таких танков дорогу явно пришлось бы серьёзно ремонтировать.</w:t>
      </w:r>
    </w:p>
    <w:p w14:paraId="1A55584B"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Появление такого трака говорит о том, что английские инженеры-конструкторы не учли ошибок, допущенных в прошлом при проектировании грунтозацепов для танков Matilda. Их ресурс на дорогах с твёрдым покрытием тоже был невелик.</w:t>
      </w:r>
    </w:p>
    <w:p w14:paraId="5728F5AF"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Кроме того, на летних испытаниях трака с шипами каких-то существенных изменений в проходимости танка не было замечено. Для обычного Valentine без шипов на траках предельный угол подъёма составил 30 градусов. При преодолении подъёмов Valentine IX с шипами предельный угол вырос до 32 градусов, далее гусеничные ленты теряли сцепление. Что же касается подъёмов на мягком грунте, то там предельные углы оказались одинаковыми — 30 градусов. В случае с преодолением косогоров разница также оказалась минимальной — 29 градусов для траков без шипов и 30 с шипами. Дальше происходил сброс гусеничной ленты.</w:t>
      </w:r>
    </w:p>
    <w:p w14:paraId="59661C81"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Куда более существенным оказалось влияние новых траков на поверхности, по которым танк двигался. При испытаниях, во время которых происходила погрузка танка на платформу, произошло частичное разрушение её настила, причём не только деревянных, но и металлических частей. Пострадало и асфальтовое покрытие.</w:t>
      </w:r>
    </w:p>
    <w:p w14:paraId="3D606A37"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Представители НИБТ Полигона предположили, что грунтозацепы будут более эффективны в зимних условиях. Но и здесь есть некоторые сомнения: безусловно, на покрытых льдом участках эффективность была бы выше, но в остальных случаях шипы явно проигрывали наваркам, разработанным еще в начале 1942 года. Для того, чтобы снизить порчу дороги, было предложено оставлять шипы лишь на каждом пятом траке. Было ли это предложение реализовано на практике неизвестно. По крайней мере, такой циркуляр в сентябре 1943 года был направлен представителям военной приёмки.</w:t>
      </w:r>
    </w:p>
    <w:p w14:paraId="36D7824B" w14:textId="77777777" w:rsidR="00B52A91" w:rsidRPr="00271E51" w:rsidRDefault="00B52A9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Попал на НИБТ Полигон и Valentine X. Танк с WD-номером T.123484 прибыл в СССР с конвоем JW-56A 29 января 1944 на борту транспорта Fort Slave. Изучение этого танка, впрочем, дальше составления технического описания не продвинулось. А в альбоме танков, подготовленном НИБТ Полигоном, эта машина фигурирует с описанием от Valentine IX. Появление спаренного пулемёта отразилось на объёме боекомплекта к 6-фунтовой пушке: число патронов к орудию сократилось до 44 штук. Боекомплект пулемёта BESA состоял из 1800 патронов (17709).</w:t>
      </w:r>
    </w:p>
    <w:p w14:paraId="04AE4793"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FC7B17"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ГАЗ смог нарастить производство танков, сдав 360 машин. Впрочем, уже к тому времени стало ясно, что Т-70 слабо соответствует требованиям времени. 21 августа Сталин подписал постановление ГКО №3964, согласно которому вместо Т-70 на ГАЗ им. Молотова организовывалось производств самоходных установок СУ-76М (СУ-15М) разработки КБ завода №38. Уже в октябре планировалось выпустить первые 20 машин, а в ноябре 200. При этом ожидалось, что за сентябрь-октябрь ГАЗ сдаст еще 560 Т-70Б. Так оно и произошло: в сентябре было сдано 365 танков, в октябре 209, а в ноябре заводчане построили последний легкий танк. Всего же за 1943 года ГАЗ сдал 3348 Т-70Б. Суммарно с апрель 1942 по ноябрь 1943 года был построен 8231 танк семейства Т-70 (17695).</w:t>
      </w:r>
    </w:p>
    <w:p w14:paraId="6D0AED08"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343747" w14:textId="77777777" w:rsidR="00CF592E" w:rsidRPr="00271E51" w:rsidRDefault="00CF592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Арткомом ГАУ была запущена программа по разработке тяжелой САУ открытого типа с установкой в ней 203-мм гаубицы Б-4. Одним из исполнителей заказа Арткома ГАУ являлся завод №172 (г. Пермь). который 10 октября 1943 года представил свое видение такой САУ.</w:t>
      </w:r>
    </w:p>
    <w:p w14:paraId="093983E0" w14:textId="77777777" w:rsidR="00CF592E" w:rsidRPr="00271E51" w:rsidRDefault="00CF592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 получивший заводской индекс М-22, представлял собой СУ-152 (КВ-14), с которой срезали руцбку и вместо нее установили Б-4 с щитовым прикрытием. Для снижения отката Б-4 получила развитый дульный тормоз.</w:t>
      </w:r>
    </w:p>
    <w:p w14:paraId="7E84DD1F" w14:textId="77777777" w:rsidR="00CF592E" w:rsidRPr="00271E51" w:rsidRDefault="00CF592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пермская машина, которую вел начальник ОКБ-172 Лев Михайлович Ильин (как и многие работники ОКБ-172, он был подследственный), была более грамотно скомпонована, чем С-51. Линия огня пониже, сама установка компактнее. Тем не менее, в железе воплотили грабинскую САУ (15639).</w:t>
      </w:r>
    </w:p>
    <w:p w14:paraId="4A23E9AB" w14:textId="77777777" w:rsidR="00CF592E" w:rsidRPr="00271E51" w:rsidRDefault="00CF592E" w:rsidP="00271E51">
      <w:pPr>
        <w:spacing w:after="0" w:line="240" w:lineRule="auto"/>
        <w:jc w:val="both"/>
        <w:rPr>
          <w:rFonts w:ascii="Times New Roman" w:hAnsi="Times New Roman"/>
          <w:color w:val="000000" w:themeColor="text1"/>
          <w:sz w:val="16"/>
          <w:szCs w:val="16"/>
        </w:rPr>
      </w:pPr>
    </w:p>
    <w:p w14:paraId="5EC825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был изготовлен опытный образец тан</w:t>
      </w:r>
      <w:r w:rsidRPr="00271E51">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271E51">
        <w:rPr>
          <w:rFonts w:ascii="Times New Roman" w:hAnsi="Times New Roman"/>
          <w:color w:val="000000" w:themeColor="text1"/>
          <w:sz w:val="16"/>
          <w:szCs w:val="16"/>
        </w:rPr>
        <w:softHyphen/>
        <w:t>тановке в танк 122-мм гаубицы были прекращены. Гаубица такого кали</w:t>
      </w:r>
      <w:r w:rsidRPr="00271E51">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3F4A0A2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7538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был изготовлен опытный образец тан</w:t>
      </w:r>
      <w:r w:rsidRPr="00271E51">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271E51">
        <w:rPr>
          <w:rFonts w:ascii="Times New Roman" w:hAnsi="Times New Roman"/>
          <w:color w:val="000000" w:themeColor="text1"/>
          <w:sz w:val="16"/>
          <w:szCs w:val="16"/>
        </w:rPr>
        <w:softHyphen/>
        <w:t>тановке в танк 122-мм гаубицы были прекращены. Гаубица такого кали</w:t>
      </w:r>
      <w:r w:rsidRPr="00271E51">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2A12577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B13A88"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августе 1943 ЧКЗ сдал последние 39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после чего перешел на выпуск КВ-85. По</w:t>
      </w:r>
      <w:r w:rsidRPr="00271E51">
        <w:rPr>
          <w:rFonts w:ascii="Times New Roman" w:cs="Times New Roman"/>
          <w:color w:val="000000" w:themeColor="text1"/>
          <w:spacing w:val="0"/>
        </w:rPr>
        <w:softHyphen/>
        <w:t>следние семь «скоростных» были отгружены с завода в сентябре 1943 года. Таким образом, всего за 1943 год Челябинский Кировский за</w:t>
      </w:r>
      <w:r w:rsidRPr="00271E51">
        <w:rPr>
          <w:rFonts w:ascii="Times New Roman" w:cs="Times New Roman"/>
          <w:color w:val="000000" w:themeColor="text1"/>
          <w:spacing w:val="0"/>
        </w:rPr>
        <w:softHyphen/>
        <w:t xml:space="preserve">вод изготовил 462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(считая два опыт</w:t>
      </w:r>
      <w:r w:rsidRPr="00271E51">
        <w:rPr>
          <w:rFonts w:ascii="Times New Roman" w:cs="Times New Roman"/>
          <w:color w:val="000000" w:themeColor="text1"/>
          <w:spacing w:val="0"/>
        </w:rPr>
        <w:softHyphen/>
        <w:t>ных с 85-мм пушками), а общий суммарный выпуск этих танков в 1942—1943 годах соста</w:t>
      </w:r>
      <w:r w:rsidRPr="00271E51">
        <w:rPr>
          <w:rFonts w:ascii="Times New Roman" w:cs="Times New Roman"/>
          <w:color w:val="000000" w:themeColor="text1"/>
          <w:spacing w:val="0"/>
        </w:rPr>
        <w:softHyphen/>
        <w:t>вил 1086 машин (15226).</w:t>
      </w:r>
    </w:p>
    <w:p w14:paraId="561F3AE3"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p>
    <w:p w14:paraId="0722FB3F"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августе 1943 года 122-мм системы С-41  установили в башне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- 1С. При этом, для удобства работы экипа</w:t>
      </w:r>
      <w:r w:rsidRPr="00271E51">
        <w:rPr>
          <w:rFonts w:ascii="Times New Roman" w:cs="Times New Roman"/>
          <w:color w:val="000000" w:themeColor="text1"/>
          <w:spacing w:val="0"/>
        </w:rPr>
        <w:softHyphen/>
        <w:t>жа, пришлось смонтировать на крыше башни дополнительный клиновидный выступ, заме</w:t>
      </w:r>
      <w:r w:rsidRPr="00271E51">
        <w:rPr>
          <w:rFonts w:ascii="Times New Roman" w:cs="Times New Roman"/>
          <w:color w:val="000000" w:themeColor="text1"/>
          <w:spacing w:val="0"/>
        </w:rPr>
        <w:softHyphen/>
        <w:t>нивший собой командирскую башенку. Углы горизонтального обстрела гаубицы состав</w:t>
      </w:r>
      <w:r w:rsidRPr="00271E51">
        <w:rPr>
          <w:rFonts w:ascii="Times New Roman" w:cs="Times New Roman"/>
          <w:color w:val="000000" w:themeColor="text1"/>
          <w:spacing w:val="0"/>
        </w:rPr>
        <w:softHyphen/>
        <w:t>ляли от -3 до +18 градусов, длина отката — 580 мм. Танк с установкой 122-мм системы С-41 был продемонстрирован Маршалу Со</w:t>
      </w:r>
      <w:r w:rsidRPr="00271E51">
        <w:rPr>
          <w:rFonts w:ascii="Times New Roman" w:cs="Times New Roman"/>
          <w:color w:val="000000" w:themeColor="text1"/>
          <w:spacing w:val="0"/>
        </w:rPr>
        <w:softHyphen/>
        <w:t>ветского Союза К. Ворошилову во время его посещения ЦАКБ в августе 1943 года. Даль</w:t>
      </w:r>
      <w:r w:rsidRPr="00271E51">
        <w:rPr>
          <w:rFonts w:ascii="Times New Roman" w:cs="Times New Roman"/>
          <w:color w:val="000000" w:themeColor="text1"/>
          <w:spacing w:val="0"/>
        </w:rPr>
        <w:softHyphen/>
        <w:t>нейшие работы по этой установке прекратили ввиду их неперспективности — работа в баш</w:t>
      </w:r>
      <w:r w:rsidRPr="00271E51">
        <w:rPr>
          <w:rFonts w:ascii="Times New Roman" w:cs="Times New Roman"/>
          <w:color w:val="000000" w:themeColor="text1"/>
          <w:spacing w:val="0"/>
        </w:rPr>
        <w:softHyphen/>
        <w:t>не была затруднена из-за значительных габа</w:t>
      </w:r>
      <w:r w:rsidRPr="00271E51">
        <w:rPr>
          <w:rFonts w:ascii="Times New Roman" w:cs="Times New Roman"/>
          <w:color w:val="000000" w:themeColor="text1"/>
          <w:spacing w:val="0"/>
        </w:rPr>
        <w:softHyphen/>
        <w:t>ритов казенной части гаубицы (15226).</w:t>
      </w:r>
    </w:p>
    <w:p w14:paraId="640D5F20"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p>
    <w:p w14:paraId="70073426"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Август 1943 года стал последним месяцем выпуска СУ-122. По итогам боев на Курской дуге стало ясно, что необходимо срочно запускать в серию СУ-85. В связи с выпуском новой самоходной установки в Свердловске прекращалось также производство Т-34. На август 1943 года УЗТМ получил план на выпуск 25 СУ-122, в реальности же их приняли 32 штуки. Всего же с декабря 1942 по август 1943 года в Свердловске выпустили 640 СУ-122 (17685).</w:t>
      </w:r>
    </w:p>
    <w:p w14:paraId="5F689ABA" w14:textId="77777777" w:rsidR="00B52A91" w:rsidRPr="00271E51" w:rsidRDefault="00B52A91" w:rsidP="00271E51">
      <w:pPr>
        <w:spacing w:after="0" w:line="240" w:lineRule="auto"/>
        <w:jc w:val="both"/>
        <w:rPr>
          <w:rFonts w:ascii="Times New Roman" w:eastAsia="Times New Roman" w:hAnsi="Times New Roman"/>
          <w:color w:val="000000" w:themeColor="text1"/>
          <w:sz w:val="16"/>
          <w:szCs w:val="16"/>
          <w:lang w:eastAsia="ru-RU"/>
        </w:rPr>
      </w:pPr>
    </w:p>
    <w:p w14:paraId="7055923B" w14:textId="77777777" w:rsidR="00CE2EFD" w:rsidRPr="00271E51" w:rsidRDefault="00CE2EFD" w:rsidP="00271E51">
      <w:pPr>
        <w:pStyle w:val="1151"/>
        <w:shd w:val="clear" w:color="auto" w:fill="auto"/>
        <w:spacing w:before="0" w:line="240" w:lineRule="auto"/>
        <w:rPr>
          <w:rStyle w:val="771"/>
          <w:rFonts w:ascii="Times New Roman" w:hAnsi="Times New Roman" w:cs="Times New Roman"/>
          <w:color w:val="0070C0"/>
          <w:sz w:val="16"/>
          <w:szCs w:val="16"/>
        </w:rPr>
      </w:pPr>
      <w:r w:rsidRPr="00271E51">
        <w:rPr>
          <w:rStyle w:val="771"/>
          <w:rFonts w:ascii="Times New Roman" w:hAnsi="Times New Roman" w:cs="Times New Roman"/>
          <w:color w:val="0070C0"/>
          <w:sz w:val="16"/>
          <w:szCs w:val="16"/>
          <w:lang w:val="ru-RU"/>
        </w:rPr>
        <w:t>В</w:t>
      </w:r>
      <w:r w:rsidRPr="00271E51">
        <w:rPr>
          <w:rStyle w:val="771"/>
          <w:rFonts w:ascii="Times New Roman" w:hAnsi="Times New Roman" w:cs="Times New Roman"/>
          <w:color w:val="0070C0"/>
          <w:sz w:val="16"/>
          <w:szCs w:val="16"/>
        </w:rPr>
        <w:t xml:space="preserve"> августе 1943 года самоходную установку </w:t>
      </w:r>
      <w:r w:rsidRPr="00271E51">
        <w:rPr>
          <w:rStyle w:val="771"/>
          <w:rFonts w:ascii="Times New Roman" w:hAnsi="Times New Roman" w:cs="Times New Roman"/>
          <w:color w:val="0070C0"/>
          <w:sz w:val="16"/>
          <w:szCs w:val="16"/>
          <w:lang w:val="ru-RU"/>
        </w:rPr>
        <w:t xml:space="preserve">СУ-122 </w:t>
      </w:r>
      <w:r w:rsidRPr="00271E51">
        <w:rPr>
          <w:rStyle w:val="771"/>
          <w:rFonts w:ascii="Times New Roman" w:hAnsi="Times New Roman" w:cs="Times New Roman"/>
          <w:color w:val="0070C0"/>
          <w:sz w:val="16"/>
          <w:szCs w:val="16"/>
        </w:rPr>
        <w:t>сменила на конвейере СУ-85. Причиной тому стала резко поменявшаяся концепция, согласно которой более высоким приоритетом оказа</w:t>
      </w:r>
      <w:r w:rsidRPr="00271E51">
        <w:rPr>
          <w:rStyle w:val="771"/>
          <w:rFonts w:ascii="Times New Roman" w:hAnsi="Times New Roman" w:cs="Times New Roman"/>
          <w:color w:val="0070C0"/>
          <w:sz w:val="16"/>
          <w:szCs w:val="16"/>
        </w:rPr>
        <w:softHyphen/>
        <w:t>лась борьба с немецкими танками. В силу таких обстоятельств существенных измене</w:t>
      </w:r>
      <w:r w:rsidRPr="00271E51">
        <w:rPr>
          <w:rStyle w:val="771"/>
          <w:rFonts w:ascii="Times New Roman" w:hAnsi="Times New Roman" w:cs="Times New Roman"/>
          <w:color w:val="0070C0"/>
          <w:sz w:val="16"/>
          <w:szCs w:val="16"/>
        </w:rPr>
        <w:softHyphen/>
        <w:t>ний во внешнем виде СУ-122 не претерпева</w:t>
      </w:r>
      <w:r w:rsidRPr="00271E51">
        <w:rPr>
          <w:rStyle w:val="771"/>
          <w:rFonts w:ascii="Times New Roman" w:hAnsi="Times New Roman" w:cs="Times New Roman"/>
          <w:color w:val="0070C0"/>
          <w:sz w:val="16"/>
          <w:szCs w:val="16"/>
        </w:rPr>
        <w:softHyphen/>
        <w:t>ла, особенно в сравнении с противотанковы</w:t>
      </w:r>
      <w:r w:rsidRPr="00271E51">
        <w:rPr>
          <w:rStyle w:val="771"/>
          <w:rFonts w:ascii="Times New Roman" w:hAnsi="Times New Roman" w:cs="Times New Roman"/>
          <w:color w:val="0070C0"/>
          <w:sz w:val="16"/>
          <w:szCs w:val="16"/>
        </w:rPr>
        <w:softHyphen/>
        <w:t>ми СУ-85 и СУ-100. Сравнительно небольшим оказался и объем выпуска - всего 636 машин, исключая опытные У-35, СУ-122М и СУ-122- III. Помимо смены концепции, на объем выпуска повлияло ошибочное решение о производстве одновременно на одном заво</w:t>
      </w:r>
      <w:r w:rsidRPr="00271E51">
        <w:rPr>
          <w:rStyle w:val="771"/>
          <w:rFonts w:ascii="Times New Roman" w:hAnsi="Times New Roman" w:cs="Times New Roman"/>
          <w:color w:val="0070C0"/>
          <w:sz w:val="16"/>
          <w:szCs w:val="16"/>
        </w:rPr>
        <w:softHyphen/>
        <w:t>де, и так то не выделявшимся большим про</w:t>
      </w:r>
      <w:r w:rsidRPr="00271E51">
        <w:rPr>
          <w:rStyle w:val="771"/>
          <w:rFonts w:ascii="Times New Roman" w:hAnsi="Times New Roman" w:cs="Times New Roman"/>
          <w:color w:val="0070C0"/>
          <w:sz w:val="16"/>
          <w:szCs w:val="16"/>
        </w:rPr>
        <w:softHyphen/>
        <w:t>изводственным потенциалом, сразу и танков Т-34, и САУ на их базе. Результат хорошо виден по динамике выпуска СУ-122:</w:t>
      </w:r>
    </w:p>
    <w:tbl>
      <w:tblPr>
        <w:tblW w:w="0" w:type="auto"/>
        <w:tblLayout w:type="fixed"/>
        <w:tblCellMar>
          <w:left w:w="10" w:type="dxa"/>
          <w:right w:w="10" w:type="dxa"/>
        </w:tblCellMar>
        <w:tblLook w:val="04A0" w:firstRow="1" w:lastRow="0" w:firstColumn="1" w:lastColumn="0" w:noHBand="0" w:noVBand="1"/>
      </w:tblPr>
      <w:tblGrid>
        <w:gridCol w:w="1445"/>
        <w:gridCol w:w="744"/>
        <w:gridCol w:w="763"/>
      </w:tblGrid>
      <w:tr w:rsidR="00CE2EFD" w:rsidRPr="00271E51" w14:paraId="728AAB50" w14:textId="77777777" w:rsidTr="00076D96">
        <w:trPr>
          <w:trHeight w:val="197"/>
        </w:trPr>
        <w:tc>
          <w:tcPr>
            <w:tcW w:w="1445" w:type="dxa"/>
            <w:shd w:val="clear" w:color="auto" w:fill="FFFFFF"/>
          </w:tcPr>
          <w:p w14:paraId="1DD7D7E6" w14:textId="77777777" w:rsidR="00CE2EFD" w:rsidRPr="00271E51" w:rsidRDefault="00CE2EFD" w:rsidP="00271E51">
            <w:pPr>
              <w:pStyle w:val="591"/>
              <w:shd w:val="clear" w:color="auto" w:fill="auto"/>
              <w:spacing w:line="240" w:lineRule="auto"/>
              <w:rPr>
                <w:rFonts w:ascii="Times New Roman" w:hAnsi="Times New Roman" w:cs="Times New Roman"/>
                <w:color w:val="0070C0"/>
                <w:sz w:val="16"/>
                <w:szCs w:val="16"/>
              </w:rPr>
            </w:pPr>
            <w:r w:rsidRPr="00271E51">
              <w:rPr>
                <w:rFonts w:ascii="Times New Roman" w:hAnsi="Times New Roman" w:cs="Times New Roman"/>
                <w:color w:val="0070C0"/>
                <w:sz w:val="16"/>
                <w:szCs w:val="16"/>
              </w:rPr>
              <w:t>Месяц</w:t>
            </w:r>
          </w:p>
        </w:tc>
        <w:tc>
          <w:tcPr>
            <w:tcW w:w="744" w:type="dxa"/>
            <w:shd w:val="clear" w:color="auto" w:fill="FFFFFF"/>
          </w:tcPr>
          <w:p w14:paraId="7C824CC5" w14:textId="77777777" w:rsidR="00CE2EFD" w:rsidRPr="00271E51" w:rsidRDefault="00CE2EFD" w:rsidP="00271E51">
            <w:pPr>
              <w:pStyle w:val="591"/>
              <w:shd w:val="clear" w:color="auto" w:fill="auto"/>
              <w:spacing w:line="240" w:lineRule="auto"/>
              <w:rPr>
                <w:rFonts w:ascii="Times New Roman" w:hAnsi="Times New Roman" w:cs="Times New Roman"/>
                <w:color w:val="0070C0"/>
                <w:sz w:val="16"/>
                <w:szCs w:val="16"/>
              </w:rPr>
            </w:pPr>
            <w:r w:rsidRPr="00271E51">
              <w:rPr>
                <w:rFonts w:ascii="Times New Roman" w:hAnsi="Times New Roman" w:cs="Times New Roman"/>
                <w:color w:val="0070C0"/>
                <w:sz w:val="16"/>
                <w:szCs w:val="16"/>
              </w:rPr>
              <w:t>План</w:t>
            </w:r>
          </w:p>
        </w:tc>
        <w:tc>
          <w:tcPr>
            <w:tcW w:w="763" w:type="dxa"/>
            <w:shd w:val="clear" w:color="auto" w:fill="FFFFFF"/>
          </w:tcPr>
          <w:p w14:paraId="2DC826F1" w14:textId="77777777" w:rsidR="00CE2EFD" w:rsidRPr="00271E51" w:rsidRDefault="00CE2EFD" w:rsidP="00271E51">
            <w:pPr>
              <w:pStyle w:val="591"/>
              <w:shd w:val="clear" w:color="auto" w:fill="auto"/>
              <w:spacing w:line="240" w:lineRule="auto"/>
              <w:rPr>
                <w:rFonts w:ascii="Times New Roman" w:hAnsi="Times New Roman" w:cs="Times New Roman"/>
                <w:color w:val="0070C0"/>
                <w:sz w:val="16"/>
                <w:szCs w:val="16"/>
              </w:rPr>
            </w:pPr>
            <w:r w:rsidRPr="00271E51">
              <w:rPr>
                <w:rFonts w:ascii="Times New Roman" w:hAnsi="Times New Roman" w:cs="Times New Roman"/>
                <w:color w:val="0070C0"/>
                <w:sz w:val="16"/>
                <w:szCs w:val="16"/>
              </w:rPr>
              <w:t>Сдано</w:t>
            </w:r>
          </w:p>
        </w:tc>
      </w:tr>
      <w:tr w:rsidR="00CE2EFD" w:rsidRPr="00271E51" w14:paraId="1172C0B6" w14:textId="77777777" w:rsidTr="00076D96">
        <w:trPr>
          <w:trHeight w:val="206"/>
        </w:trPr>
        <w:tc>
          <w:tcPr>
            <w:tcW w:w="1445" w:type="dxa"/>
            <w:shd w:val="clear" w:color="auto" w:fill="FFFFFF"/>
          </w:tcPr>
          <w:p w14:paraId="4CDB0C01"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Декабрь 1942</w:t>
            </w:r>
          </w:p>
        </w:tc>
        <w:tc>
          <w:tcPr>
            <w:tcW w:w="744" w:type="dxa"/>
            <w:shd w:val="clear" w:color="auto" w:fill="FFFFFF"/>
          </w:tcPr>
          <w:p w14:paraId="0A686A98"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25</w:t>
            </w:r>
          </w:p>
        </w:tc>
        <w:tc>
          <w:tcPr>
            <w:tcW w:w="763" w:type="dxa"/>
            <w:shd w:val="clear" w:color="auto" w:fill="FFFFFF"/>
          </w:tcPr>
          <w:p w14:paraId="62CDEFBB"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25</w:t>
            </w:r>
          </w:p>
        </w:tc>
      </w:tr>
      <w:tr w:rsidR="00CE2EFD" w:rsidRPr="00271E51" w14:paraId="218546DA" w14:textId="77777777" w:rsidTr="00076D96">
        <w:trPr>
          <w:trHeight w:val="202"/>
        </w:trPr>
        <w:tc>
          <w:tcPr>
            <w:tcW w:w="1445" w:type="dxa"/>
            <w:shd w:val="clear" w:color="auto" w:fill="FFFFFF"/>
          </w:tcPr>
          <w:p w14:paraId="7A57CF8B"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Январь 1943</w:t>
            </w:r>
          </w:p>
        </w:tc>
        <w:tc>
          <w:tcPr>
            <w:tcW w:w="744" w:type="dxa"/>
            <w:shd w:val="clear" w:color="auto" w:fill="FFFFFF"/>
          </w:tcPr>
          <w:p w14:paraId="15C20800"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4FB9AF42"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32</w:t>
            </w:r>
          </w:p>
        </w:tc>
      </w:tr>
      <w:tr w:rsidR="00CE2EFD" w:rsidRPr="00271E51" w14:paraId="4ABF7C40" w14:textId="77777777" w:rsidTr="00076D96">
        <w:trPr>
          <w:trHeight w:val="197"/>
        </w:trPr>
        <w:tc>
          <w:tcPr>
            <w:tcW w:w="1445" w:type="dxa"/>
            <w:shd w:val="clear" w:color="auto" w:fill="FFFFFF"/>
          </w:tcPr>
          <w:p w14:paraId="10FBE4CD"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Февраль 1943</w:t>
            </w:r>
          </w:p>
        </w:tc>
        <w:tc>
          <w:tcPr>
            <w:tcW w:w="744" w:type="dxa"/>
            <w:shd w:val="clear" w:color="auto" w:fill="FFFFFF"/>
          </w:tcPr>
          <w:p w14:paraId="2A854A84"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56886CB7"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r>
      <w:tr w:rsidR="00CE2EFD" w:rsidRPr="00271E51" w14:paraId="3E788CC1" w14:textId="77777777" w:rsidTr="00076D96">
        <w:trPr>
          <w:trHeight w:val="202"/>
        </w:trPr>
        <w:tc>
          <w:tcPr>
            <w:tcW w:w="1445" w:type="dxa"/>
            <w:shd w:val="clear" w:color="auto" w:fill="FFFFFF"/>
          </w:tcPr>
          <w:p w14:paraId="2F0E7FF0"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Март 1943</w:t>
            </w:r>
          </w:p>
        </w:tc>
        <w:tc>
          <w:tcPr>
            <w:tcW w:w="744" w:type="dxa"/>
            <w:shd w:val="clear" w:color="auto" w:fill="FFFFFF"/>
          </w:tcPr>
          <w:p w14:paraId="5A4EE81D"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202B76C8"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r>
      <w:tr w:rsidR="00CE2EFD" w:rsidRPr="00271E51" w14:paraId="0D8E3460" w14:textId="77777777" w:rsidTr="00076D96">
        <w:trPr>
          <w:trHeight w:val="202"/>
        </w:trPr>
        <w:tc>
          <w:tcPr>
            <w:tcW w:w="1445" w:type="dxa"/>
            <w:shd w:val="clear" w:color="auto" w:fill="FFFFFF"/>
          </w:tcPr>
          <w:p w14:paraId="31BCA780"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Апрель 1943</w:t>
            </w:r>
          </w:p>
        </w:tc>
        <w:tc>
          <w:tcPr>
            <w:tcW w:w="744" w:type="dxa"/>
            <w:shd w:val="clear" w:color="auto" w:fill="FFFFFF"/>
          </w:tcPr>
          <w:p w14:paraId="2D7295BE"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1FE7755D"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75</w:t>
            </w:r>
          </w:p>
        </w:tc>
      </w:tr>
      <w:tr w:rsidR="00CE2EFD" w:rsidRPr="00271E51" w14:paraId="64EBBEBB" w14:textId="77777777" w:rsidTr="00076D96">
        <w:trPr>
          <w:trHeight w:val="187"/>
        </w:trPr>
        <w:tc>
          <w:tcPr>
            <w:tcW w:w="1445" w:type="dxa"/>
            <w:shd w:val="clear" w:color="auto" w:fill="FFFFFF"/>
          </w:tcPr>
          <w:p w14:paraId="237BF435"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Май 1943</w:t>
            </w:r>
          </w:p>
        </w:tc>
        <w:tc>
          <w:tcPr>
            <w:tcW w:w="744" w:type="dxa"/>
            <w:shd w:val="clear" w:color="auto" w:fill="FFFFFF"/>
          </w:tcPr>
          <w:p w14:paraId="65546AF8"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7298A480"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r>
      <w:tr w:rsidR="00CE2EFD" w:rsidRPr="00271E51" w14:paraId="17F0B981" w14:textId="77777777" w:rsidTr="00076D96">
        <w:trPr>
          <w:trHeight w:val="202"/>
        </w:trPr>
        <w:tc>
          <w:tcPr>
            <w:tcW w:w="1445" w:type="dxa"/>
            <w:shd w:val="clear" w:color="auto" w:fill="FFFFFF"/>
          </w:tcPr>
          <w:p w14:paraId="4300EC11"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Июнь 1943</w:t>
            </w:r>
          </w:p>
        </w:tc>
        <w:tc>
          <w:tcPr>
            <w:tcW w:w="744" w:type="dxa"/>
            <w:shd w:val="clear" w:color="auto" w:fill="FFFFFF"/>
          </w:tcPr>
          <w:p w14:paraId="156D23BE"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1700E227"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r>
      <w:tr w:rsidR="00CE2EFD" w:rsidRPr="00271E51" w14:paraId="5A0FDE30" w14:textId="77777777" w:rsidTr="00076D96">
        <w:trPr>
          <w:trHeight w:val="197"/>
        </w:trPr>
        <w:tc>
          <w:tcPr>
            <w:tcW w:w="1445" w:type="dxa"/>
            <w:shd w:val="clear" w:color="auto" w:fill="FFFFFF"/>
          </w:tcPr>
          <w:p w14:paraId="09093A58"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Июль 1943</w:t>
            </w:r>
          </w:p>
        </w:tc>
        <w:tc>
          <w:tcPr>
            <w:tcW w:w="744" w:type="dxa"/>
            <w:shd w:val="clear" w:color="auto" w:fill="FFFFFF"/>
          </w:tcPr>
          <w:p w14:paraId="42100973"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100</w:t>
            </w:r>
          </w:p>
        </w:tc>
        <w:tc>
          <w:tcPr>
            <w:tcW w:w="763" w:type="dxa"/>
            <w:shd w:val="clear" w:color="auto" w:fill="FFFFFF"/>
          </w:tcPr>
          <w:p w14:paraId="7C47658D"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72</w:t>
            </w:r>
          </w:p>
        </w:tc>
      </w:tr>
      <w:tr w:rsidR="00CE2EFD" w:rsidRPr="00271E51" w14:paraId="51AD09B1" w14:textId="77777777" w:rsidTr="00076D96">
        <w:trPr>
          <w:trHeight w:val="216"/>
        </w:trPr>
        <w:tc>
          <w:tcPr>
            <w:tcW w:w="1445" w:type="dxa"/>
            <w:shd w:val="clear" w:color="auto" w:fill="FFFFFF"/>
          </w:tcPr>
          <w:p w14:paraId="2DCBBCF7"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Август 1943</w:t>
            </w:r>
          </w:p>
        </w:tc>
        <w:tc>
          <w:tcPr>
            <w:tcW w:w="744" w:type="dxa"/>
            <w:shd w:val="clear" w:color="auto" w:fill="FFFFFF"/>
          </w:tcPr>
          <w:p w14:paraId="7C1D2E49"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25</w:t>
            </w:r>
          </w:p>
        </w:tc>
        <w:tc>
          <w:tcPr>
            <w:tcW w:w="763" w:type="dxa"/>
            <w:shd w:val="clear" w:color="auto" w:fill="FFFFFF"/>
          </w:tcPr>
          <w:p w14:paraId="0685AF91"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32</w:t>
            </w:r>
          </w:p>
        </w:tc>
      </w:tr>
      <w:tr w:rsidR="00CE2EFD" w:rsidRPr="00271E51" w14:paraId="3E0BB88D" w14:textId="77777777" w:rsidTr="00076D96">
        <w:trPr>
          <w:trHeight w:val="197"/>
        </w:trPr>
        <w:tc>
          <w:tcPr>
            <w:tcW w:w="1445" w:type="dxa"/>
            <w:shd w:val="clear" w:color="auto" w:fill="FFFFFF"/>
          </w:tcPr>
          <w:p w14:paraId="7659B818"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Общее количество</w:t>
            </w:r>
          </w:p>
        </w:tc>
        <w:tc>
          <w:tcPr>
            <w:tcW w:w="744" w:type="dxa"/>
            <w:shd w:val="clear" w:color="auto" w:fill="FFFFFF"/>
          </w:tcPr>
          <w:p w14:paraId="6AF86707"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750</w:t>
            </w:r>
          </w:p>
        </w:tc>
        <w:tc>
          <w:tcPr>
            <w:tcW w:w="763" w:type="dxa"/>
            <w:shd w:val="clear" w:color="auto" w:fill="FFFFFF"/>
          </w:tcPr>
          <w:p w14:paraId="5695708D" w14:textId="77777777" w:rsidR="00CE2EFD" w:rsidRPr="00271E51" w:rsidRDefault="00CE2EFD" w:rsidP="00271E51">
            <w:pPr>
              <w:pStyle w:val="305"/>
              <w:shd w:val="clear" w:color="auto" w:fill="auto"/>
              <w:spacing w:before="0" w:after="0"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636</w:t>
            </w:r>
          </w:p>
        </w:tc>
      </w:tr>
    </w:tbl>
    <w:p w14:paraId="62B3BF34" w14:textId="77777777" w:rsidR="00CE2EFD" w:rsidRPr="00271E51" w:rsidRDefault="00CE2EFD" w:rsidP="00271E51">
      <w:pPr>
        <w:pStyle w:val="1151"/>
        <w:shd w:val="clear" w:color="auto" w:fill="auto"/>
        <w:spacing w:before="0" w:line="240" w:lineRule="auto"/>
        <w:rPr>
          <w:rStyle w:val="780"/>
          <w:rFonts w:ascii="Times New Roman" w:hAnsi="Times New Roman" w:cs="Times New Roman"/>
          <w:color w:val="0070C0"/>
          <w:sz w:val="16"/>
          <w:szCs w:val="16"/>
          <w:lang w:val="ru-RU"/>
        </w:rPr>
      </w:pPr>
      <w:r w:rsidRPr="00271E51">
        <w:rPr>
          <w:rStyle w:val="780"/>
          <w:rFonts w:ascii="Times New Roman" w:hAnsi="Times New Roman" w:cs="Times New Roman"/>
          <w:color w:val="0070C0"/>
          <w:sz w:val="16"/>
          <w:szCs w:val="16"/>
        </w:rPr>
        <w:t>Понимая сложившуюся ситуацию, к концу зимы 1943 года НКТП поставил СУ-122 в более высокий приоритет, по сравнению с танками, а окончательно «ошибку» исправи</w:t>
      </w:r>
      <w:r w:rsidRPr="00271E51">
        <w:rPr>
          <w:rStyle w:val="780"/>
          <w:rFonts w:ascii="Times New Roman" w:hAnsi="Times New Roman" w:cs="Times New Roman"/>
          <w:color w:val="0070C0"/>
          <w:sz w:val="16"/>
          <w:szCs w:val="16"/>
        </w:rPr>
        <w:softHyphen/>
        <w:t>ли при запуске в серию СУ-85. На этом фоне несколько комично выглядела позиция НКВ осенью 1942 года. Тогда в Наркомате Воору</w:t>
      </w:r>
      <w:r w:rsidRPr="00271E51">
        <w:rPr>
          <w:rStyle w:val="780"/>
          <w:rFonts w:ascii="Times New Roman" w:hAnsi="Times New Roman" w:cs="Times New Roman"/>
          <w:color w:val="0070C0"/>
          <w:sz w:val="16"/>
          <w:szCs w:val="16"/>
        </w:rPr>
        <w:softHyphen/>
        <w:t>жений на полном серьезе считали, что про</w:t>
      </w:r>
      <w:r w:rsidRPr="00271E51">
        <w:rPr>
          <w:rStyle w:val="780"/>
          <w:rFonts w:ascii="Times New Roman" w:hAnsi="Times New Roman" w:cs="Times New Roman"/>
          <w:color w:val="0070C0"/>
          <w:sz w:val="16"/>
          <w:szCs w:val="16"/>
        </w:rPr>
        <w:softHyphen/>
        <w:t>изводство самоходных установок можно организовать на любом крупном предприя</w:t>
      </w:r>
      <w:r w:rsidRPr="00271E51">
        <w:rPr>
          <w:rStyle w:val="780"/>
          <w:rFonts w:ascii="Times New Roman" w:hAnsi="Times New Roman" w:cs="Times New Roman"/>
          <w:color w:val="0070C0"/>
          <w:sz w:val="16"/>
          <w:szCs w:val="16"/>
        </w:rPr>
        <w:softHyphen/>
        <w:t>тии, где есть необходимое оборудование. Полное понимание, что такое производство самоходных артиллерийских установок, при</w:t>
      </w:r>
      <w:r w:rsidRPr="00271E51">
        <w:rPr>
          <w:rStyle w:val="780"/>
          <w:rFonts w:ascii="Times New Roman" w:hAnsi="Times New Roman" w:cs="Times New Roman"/>
          <w:color w:val="0070C0"/>
          <w:sz w:val="16"/>
          <w:szCs w:val="16"/>
        </w:rPr>
        <w:softHyphen/>
        <w:t>шло только в начале 1943 года. Можно ска</w:t>
      </w:r>
      <w:r w:rsidRPr="00271E51">
        <w:rPr>
          <w:rStyle w:val="780"/>
          <w:rFonts w:ascii="Times New Roman" w:hAnsi="Times New Roman" w:cs="Times New Roman"/>
          <w:color w:val="0070C0"/>
          <w:sz w:val="16"/>
          <w:szCs w:val="16"/>
        </w:rPr>
        <w:softHyphen/>
        <w:t>зать, что в случае с СУ-122 еще легко отдела</w:t>
      </w:r>
      <w:r w:rsidRPr="00271E51">
        <w:rPr>
          <w:rStyle w:val="780"/>
          <w:rFonts w:ascii="Times New Roman" w:hAnsi="Times New Roman" w:cs="Times New Roman"/>
          <w:color w:val="0070C0"/>
          <w:sz w:val="16"/>
          <w:szCs w:val="16"/>
        </w:rPr>
        <w:softHyphen/>
        <w:t>лись. В Челябинске выпуск другой САУ - тяжелой СУ-152 - шел еще сложнее, посколь</w:t>
      </w:r>
      <w:r w:rsidRPr="00271E51">
        <w:rPr>
          <w:rStyle w:val="780"/>
          <w:rFonts w:ascii="Times New Roman" w:hAnsi="Times New Roman" w:cs="Times New Roman"/>
          <w:color w:val="0070C0"/>
          <w:sz w:val="16"/>
          <w:szCs w:val="16"/>
        </w:rPr>
        <w:softHyphen/>
        <w:t>ку там производился не только «базовый» тяжелый танк КВ-1с, но еще и Т-34, причем, последний считался высшим приоритетом. Правда, с тяжелыми САУ было одно «но»: в СССР имелся только один производитель тяжелых танков, а потому весной 1944 года, когда с ЧКЗ сняли требование выпуска Т-34, производство самоходок семейства ИСУ сохранили. Проблему решили перенастрой</w:t>
      </w:r>
      <w:r w:rsidRPr="00271E51">
        <w:rPr>
          <w:rStyle w:val="780"/>
          <w:rFonts w:ascii="Times New Roman" w:hAnsi="Times New Roman" w:cs="Times New Roman"/>
          <w:color w:val="0070C0"/>
          <w:sz w:val="16"/>
          <w:szCs w:val="16"/>
        </w:rPr>
        <w:softHyphen/>
        <w:t>кой производства, причем, выпуск корпусов ИСУ возложили как раз на свердловский УЗТМ</w:t>
      </w:r>
      <w:r w:rsidRPr="00271E51">
        <w:rPr>
          <w:rStyle w:val="780"/>
          <w:rFonts w:ascii="Times New Roman" w:hAnsi="Times New Roman" w:cs="Times New Roman"/>
          <w:color w:val="0070C0"/>
          <w:sz w:val="16"/>
          <w:szCs w:val="16"/>
          <w:lang w:val="ru-RU"/>
        </w:rPr>
        <w:t>.</w:t>
      </w:r>
    </w:p>
    <w:p w14:paraId="24BB20C2" w14:textId="77777777" w:rsidR="00CE2EFD" w:rsidRPr="00271E51" w:rsidRDefault="00CE2EFD" w:rsidP="00271E51">
      <w:pPr>
        <w:shd w:val="clear" w:color="auto" w:fill="FFFFFF"/>
        <w:spacing w:after="0" w:line="240" w:lineRule="auto"/>
        <w:jc w:val="both"/>
        <w:rPr>
          <w:rFonts w:ascii="Times New Roman" w:hAnsi="Times New Roman"/>
          <w:color w:val="0070C0"/>
          <w:sz w:val="16"/>
          <w:szCs w:val="16"/>
        </w:rPr>
      </w:pPr>
      <w:r w:rsidRPr="00271E51">
        <w:rPr>
          <w:rStyle w:val="780"/>
          <w:rFonts w:ascii="Times New Roman" w:hAnsi="Times New Roman" w:cs="Times New Roman"/>
          <w:color w:val="0070C0"/>
          <w:sz w:val="16"/>
          <w:szCs w:val="16"/>
        </w:rPr>
        <w:t>Серийное производство СУ-35, с апреля 1943 года переименованной в СУ-122, нача</w:t>
      </w:r>
      <w:r w:rsidRPr="00271E51">
        <w:rPr>
          <w:rStyle w:val="780"/>
          <w:rFonts w:ascii="Times New Roman" w:hAnsi="Times New Roman" w:cs="Times New Roman"/>
          <w:color w:val="0070C0"/>
          <w:sz w:val="16"/>
          <w:szCs w:val="16"/>
        </w:rPr>
        <w:softHyphen/>
        <w:t>лось без изготовления второго опытного образца. Как и в случае с У-35, базировалась машина на шасси Т-34 выпуска УЗТМ, при этом, как и требовалось в задании, вмеша</w:t>
      </w:r>
      <w:r w:rsidRPr="00271E51">
        <w:rPr>
          <w:rStyle w:val="780"/>
          <w:rFonts w:ascii="Times New Roman" w:hAnsi="Times New Roman" w:cs="Times New Roman"/>
          <w:color w:val="0070C0"/>
          <w:sz w:val="16"/>
          <w:szCs w:val="16"/>
        </w:rPr>
        <w:softHyphen/>
        <w:t>тельства в базу были минимальными. Для удобства размещения боеукладок один топ</w:t>
      </w:r>
      <w:r w:rsidRPr="00271E51">
        <w:rPr>
          <w:rStyle w:val="780"/>
          <w:rFonts w:ascii="Times New Roman" w:hAnsi="Times New Roman" w:cs="Times New Roman"/>
          <w:color w:val="0070C0"/>
          <w:sz w:val="16"/>
          <w:szCs w:val="16"/>
        </w:rPr>
        <w:softHyphen/>
        <w:t>ливный бак из боевого отделения убрали и эвакуационный люк перенесли в заднюю правую часть боевого отделения. В нижнем лобовом листе появился лючок-лаз для под</w:t>
      </w:r>
      <w:r w:rsidRPr="00271E51">
        <w:rPr>
          <w:rStyle w:val="780"/>
          <w:rFonts w:ascii="Times New Roman" w:hAnsi="Times New Roman" w:cs="Times New Roman"/>
          <w:color w:val="0070C0"/>
          <w:sz w:val="16"/>
          <w:szCs w:val="16"/>
        </w:rPr>
        <w:softHyphen/>
        <w:t>тягивания правой гусеничной ленты. Вместо двух дополнительных топливных баков коробчатого типа ставились четыре цилинд</w:t>
      </w:r>
      <w:r w:rsidRPr="00271E51">
        <w:rPr>
          <w:rStyle w:val="780"/>
          <w:rFonts w:ascii="Times New Roman" w:hAnsi="Times New Roman" w:cs="Times New Roman"/>
          <w:color w:val="0070C0"/>
          <w:sz w:val="16"/>
          <w:szCs w:val="16"/>
        </w:rPr>
        <w:softHyphen/>
        <w:t>рических бака емкостью по 100 литров каж</w:t>
      </w:r>
      <w:r w:rsidRPr="00271E51">
        <w:rPr>
          <w:rStyle w:val="780"/>
          <w:rFonts w:ascii="Times New Roman" w:hAnsi="Times New Roman" w:cs="Times New Roman"/>
          <w:color w:val="0070C0"/>
          <w:sz w:val="16"/>
          <w:szCs w:val="16"/>
        </w:rPr>
        <w:softHyphen/>
        <w:t>дый - их конструкция базировалась на раз</w:t>
      </w:r>
      <w:r w:rsidRPr="00271E51">
        <w:rPr>
          <w:rStyle w:val="780"/>
          <w:rFonts w:ascii="Times New Roman" w:hAnsi="Times New Roman" w:cs="Times New Roman"/>
          <w:color w:val="0070C0"/>
          <w:sz w:val="16"/>
          <w:szCs w:val="16"/>
        </w:rPr>
        <w:softHyphen/>
        <w:t xml:space="preserve">работках ЧКЗ для КВ-1. Следует отметить, что </w:t>
      </w:r>
      <w:r w:rsidRPr="00271E51">
        <w:rPr>
          <w:rStyle w:val="790"/>
          <w:rFonts w:ascii="Times New Roman" w:hAnsi="Times New Roman" w:cs="Times New Roman"/>
          <w:color w:val="0070C0"/>
          <w:sz w:val="16"/>
          <w:szCs w:val="16"/>
        </w:rPr>
        <w:t>очень часто боевую массу СУ-122 указывают неправильно. Это связано с тем, что в пере</w:t>
      </w:r>
      <w:r w:rsidRPr="00271E51">
        <w:rPr>
          <w:rStyle w:val="790"/>
          <w:rFonts w:ascii="Times New Roman" w:hAnsi="Times New Roman" w:cs="Times New Roman"/>
          <w:color w:val="0070C0"/>
          <w:sz w:val="16"/>
          <w:szCs w:val="16"/>
        </w:rPr>
        <w:softHyphen/>
        <w:t>писке возникла путаница, и боевая масса 29,67 тонн перекочевала от прототипа У-35. На самом же деле боевая масса СУ-122 соста</w:t>
      </w:r>
      <w:r w:rsidRPr="00271E51">
        <w:rPr>
          <w:rStyle w:val="790"/>
          <w:rFonts w:ascii="Times New Roman" w:hAnsi="Times New Roman" w:cs="Times New Roman"/>
          <w:color w:val="0070C0"/>
          <w:sz w:val="16"/>
          <w:szCs w:val="16"/>
        </w:rPr>
        <w:softHyphen/>
        <w:t>вила 30,9 тонн.</w:t>
      </w:r>
    </w:p>
    <w:p w14:paraId="39E47769"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r w:rsidRPr="00271E51">
        <w:rPr>
          <w:rStyle w:val="790"/>
          <w:rFonts w:ascii="Times New Roman" w:hAnsi="Times New Roman" w:cs="Times New Roman"/>
          <w:color w:val="0070C0"/>
          <w:sz w:val="16"/>
          <w:szCs w:val="16"/>
        </w:rPr>
        <w:t>Машины первых производственных пар</w:t>
      </w:r>
      <w:r w:rsidRPr="00271E51">
        <w:rPr>
          <w:rStyle w:val="790"/>
          <w:rFonts w:ascii="Times New Roman" w:hAnsi="Times New Roman" w:cs="Times New Roman"/>
          <w:color w:val="0070C0"/>
          <w:sz w:val="16"/>
          <w:szCs w:val="16"/>
        </w:rPr>
        <w:softHyphen/>
        <w:t>тий не имели никаких отличий, правда, могли быть следы от грубой подгонки орудийных систем, поскольку их ставили в спешке. В виду некоторых отклонений от чертежей, первые СУ-35 отличались от спроектирован</w:t>
      </w:r>
      <w:r w:rsidRPr="00271E51">
        <w:rPr>
          <w:rStyle w:val="790"/>
          <w:rFonts w:ascii="Times New Roman" w:hAnsi="Times New Roman" w:cs="Times New Roman"/>
          <w:color w:val="0070C0"/>
          <w:sz w:val="16"/>
          <w:szCs w:val="16"/>
        </w:rPr>
        <w:softHyphen/>
        <w:t>ной машины по ряду характеристик. Согласно тактико-техническим требованиям, углы наводки орудия по вертикали составляли от 3 до +25 градусов, а по факту получилось от 1,3 до +23,3 градусов. Вместо 8 кг усилия на маховиках механизмов наводки составляли 14 кг. На совещании 27 декабря 1942 года было решено САУ с такими отклонениями все же принимать. Еще одной проблемой стало то, что щели между подвижной и неподвиж</w:t>
      </w:r>
      <w:r w:rsidRPr="00271E51">
        <w:rPr>
          <w:rStyle w:val="790"/>
          <w:rFonts w:ascii="Times New Roman" w:hAnsi="Times New Roman" w:cs="Times New Roman"/>
          <w:color w:val="0070C0"/>
          <w:sz w:val="16"/>
          <w:szCs w:val="16"/>
        </w:rPr>
        <w:softHyphen/>
        <w:t>ной бронировками системы оказались боль</w:t>
      </w:r>
      <w:r w:rsidRPr="00271E51">
        <w:rPr>
          <w:rStyle w:val="790"/>
          <w:rFonts w:ascii="Times New Roman" w:hAnsi="Times New Roman" w:cs="Times New Roman"/>
          <w:color w:val="0070C0"/>
          <w:sz w:val="16"/>
          <w:szCs w:val="16"/>
        </w:rPr>
        <w:softHyphen/>
        <w:t>ше указанных по техническим условиям. Этот недостаток устранили путем прикрытия щелей дополнительными щитками толщиной 10 мм. Также на совещании утвердили огне</w:t>
      </w:r>
      <w:r w:rsidRPr="00271E51">
        <w:rPr>
          <w:rStyle w:val="790"/>
          <w:rFonts w:ascii="Times New Roman" w:hAnsi="Times New Roman" w:cs="Times New Roman"/>
          <w:color w:val="0070C0"/>
          <w:sz w:val="16"/>
          <w:szCs w:val="16"/>
        </w:rPr>
        <w:softHyphen/>
        <w:t>вую подрезку контура бронировки.</w:t>
      </w:r>
    </w:p>
    <w:p w14:paraId="0CC5D52F" w14:textId="77777777" w:rsidR="00CE2EFD" w:rsidRPr="00271E51" w:rsidRDefault="00CE2EFD" w:rsidP="00271E51">
      <w:pPr>
        <w:pStyle w:val="1151"/>
        <w:shd w:val="clear" w:color="auto" w:fill="auto"/>
        <w:spacing w:before="0" w:line="240" w:lineRule="auto"/>
        <w:rPr>
          <w:rFonts w:ascii="Times New Roman" w:hAnsi="Times New Roman" w:cs="Times New Roman"/>
          <w:color w:val="0070C0"/>
          <w:sz w:val="16"/>
          <w:szCs w:val="16"/>
        </w:rPr>
      </w:pPr>
      <w:r w:rsidRPr="00271E51">
        <w:rPr>
          <w:rStyle w:val="790"/>
          <w:rFonts w:ascii="Times New Roman" w:hAnsi="Times New Roman" w:cs="Times New Roman"/>
          <w:color w:val="0070C0"/>
          <w:sz w:val="16"/>
          <w:szCs w:val="16"/>
        </w:rPr>
        <w:t>Первые, пока лишь внутренние отличия, появились с 56-й машины. Согласно утвер</w:t>
      </w:r>
      <w:r w:rsidRPr="00271E51">
        <w:rPr>
          <w:rStyle w:val="790"/>
          <w:rFonts w:ascii="Times New Roman" w:hAnsi="Times New Roman" w:cs="Times New Roman"/>
          <w:color w:val="0070C0"/>
          <w:sz w:val="16"/>
          <w:szCs w:val="16"/>
        </w:rPr>
        <w:softHyphen/>
        <w:t>жденному плану, с этой машины начиналось производство основной серии. Изменения касались орудия, а инициатором переделок выступило КБ завода №9. Среди них изменен</w:t>
      </w:r>
      <w:r w:rsidRPr="00271E51">
        <w:rPr>
          <w:rStyle w:val="790"/>
          <w:rFonts w:ascii="Times New Roman" w:hAnsi="Times New Roman" w:cs="Times New Roman"/>
          <w:color w:val="0070C0"/>
          <w:sz w:val="16"/>
          <w:szCs w:val="16"/>
        </w:rPr>
        <w:softHyphen/>
        <w:t>ная конструкция буферного устройства, упразднение отверстий и масленок в верхней коробке подъемного механизма. Данные предложения утвердили, но при этом пере</w:t>
      </w:r>
      <w:r w:rsidRPr="00271E51">
        <w:rPr>
          <w:rStyle w:val="790"/>
          <w:rFonts w:ascii="Times New Roman" w:hAnsi="Times New Roman" w:cs="Times New Roman"/>
          <w:color w:val="0070C0"/>
          <w:sz w:val="16"/>
          <w:szCs w:val="16"/>
        </w:rPr>
        <w:softHyphen/>
        <w:t>делки вводились с 56-й машины. Для освеще</w:t>
      </w:r>
      <w:r w:rsidRPr="00271E51">
        <w:rPr>
          <w:rStyle w:val="790"/>
          <w:rFonts w:ascii="Times New Roman" w:hAnsi="Times New Roman" w:cs="Times New Roman"/>
          <w:color w:val="0070C0"/>
          <w:sz w:val="16"/>
          <w:szCs w:val="16"/>
        </w:rPr>
        <w:softHyphen/>
        <w:t>ния перекрестья прицела в ночное время было решено использовать штатную установ</w:t>
      </w:r>
      <w:r w:rsidRPr="00271E51">
        <w:rPr>
          <w:rStyle w:val="790"/>
          <w:rFonts w:ascii="Times New Roman" w:hAnsi="Times New Roman" w:cs="Times New Roman"/>
          <w:color w:val="0070C0"/>
          <w:sz w:val="16"/>
          <w:szCs w:val="16"/>
        </w:rPr>
        <w:softHyphen/>
        <w:t>ку «Луч». Первые орудия с подобными изме</w:t>
      </w:r>
      <w:r w:rsidRPr="00271E51">
        <w:rPr>
          <w:rStyle w:val="790"/>
          <w:rFonts w:ascii="Times New Roman" w:hAnsi="Times New Roman" w:cs="Times New Roman"/>
          <w:color w:val="0070C0"/>
          <w:sz w:val="16"/>
          <w:szCs w:val="16"/>
        </w:rPr>
        <w:softHyphen/>
        <w:t>нениями начали ставить с февраля 1943 года</w:t>
      </w:r>
      <w:r w:rsidRPr="00271E51">
        <w:rPr>
          <w:rStyle w:val="790"/>
          <w:rFonts w:ascii="Times New Roman" w:hAnsi="Times New Roman" w:cs="Times New Roman"/>
          <w:color w:val="0070C0"/>
          <w:sz w:val="16"/>
          <w:szCs w:val="16"/>
          <w:lang w:val="ru-RU"/>
        </w:rPr>
        <w:t xml:space="preserve"> </w:t>
      </w:r>
      <w:r w:rsidRPr="00271E51">
        <w:rPr>
          <w:rStyle w:val="780"/>
          <w:rFonts w:ascii="Times New Roman" w:hAnsi="Times New Roman" w:cs="Times New Roman"/>
          <w:color w:val="0070C0"/>
          <w:sz w:val="16"/>
          <w:szCs w:val="16"/>
          <w:lang w:val="ru-RU"/>
        </w:rPr>
        <w:t>(19892)</w:t>
      </w:r>
      <w:r w:rsidRPr="00271E51">
        <w:rPr>
          <w:rStyle w:val="780"/>
          <w:rFonts w:ascii="Times New Roman" w:hAnsi="Times New Roman" w:cs="Times New Roman"/>
          <w:color w:val="0070C0"/>
          <w:sz w:val="16"/>
          <w:szCs w:val="16"/>
        </w:rPr>
        <w:t>.</w:t>
      </w:r>
    </w:p>
    <w:p w14:paraId="1C901DFB" w14:textId="77777777" w:rsidR="00CE2EFD" w:rsidRPr="00271E51" w:rsidRDefault="00CE2EFD" w:rsidP="00271E51">
      <w:pPr>
        <w:shd w:val="clear" w:color="auto" w:fill="FFFFFF"/>
        <w:spacing w:after="0" w:line="240" w:lineRule="auto"/>
        <w:jc w:val="both"/>
        <w:rPr>
          <w:rStyle w:val="641"/>
          <w:rFonts w:ascii="Times New Roman" w:hAnsi="Times New Roman" w:cs="Times New Roman"/>
          <w:color w:val="0070C0"/>
          <w:sz w:val="16"/>
          <w:szCs w:val="16"/>
          <w:lang w:val="ru"/>
        </w:rPr>
      </w:pPr>
    </w:p>
    <w:p w14:paraId="4B04B466"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августе 1943 года на смену СУ-122 в серию запустили СУ-85, в этом же месяце развернулось производство КВ-85. Тем не менее, один гаубичный КВ-1с все же построили (17694).</w:t>
      </w:r>
    </w:p>
    <w:p w14:paraId="0E899D4D" w14:textId="77777777" w:rsidR="00B52A91" w:rsidRPr="00271E51" w:rsidRDefault="00B52A91"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0644A32"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августе 1943 года 152-мм гаубипа С-41, разрабо</w:t>
      </w:r>
      <w:r w:rsidRPr="00271E51">
        <w:rPr>
          <w:rFonts w:ascii="Times New Roman" w:cs="Times New Roman"/>
          <w:color w:val="000000" w:themeColor="text1"/>
          <w:spacing w:val="0"/>
        </w:rPr>
        <w:softHyphen/>
        <w:t>танная в ЦАКБ, была установлена в КВ- 1С. Особенностью этого орудия было то, что оно представ</w:t>
      </w:r>
      <w:r w:rsidRPr="00271E51">
        <w:rPr>
          <w:rFonts w:ascii="Times New Roman" w:cs="Times New Roman"/>
          <w:color w:val="000000" w:themeColor="text1"/>
          <w:spacing w:val="0"/>
        </w:rPr>
        <w:softHyphen/>
        <w:t>ляло собой дуплекс из 122-мм и 152-мм гаубиц. Отличия заключались в трубе ствола, затворе и конструкции дульного тормоза. Правда, при размещении С-41 в танке для удобства работы экипажа при</w:t>
      </w:r>
      <w:r w:rsidRPr="00271E51">
        <w:rPr>
          <w:rFonts w:ascii="Times New Roman" w:cs="Times New Roman"/>
          <w:color w:val="000000" w:themeColor="text1"/>
          <w:spacing w:val="0"/>
        </w:rPr>
        <w:softHyphen/>
        <w:t>шлось сделать на крыше башни клино</w:t>
      </w:r>
      <w:r w:rsidRPr="00271E51">
        <w:rPr>
          <w:rFonts w:ascii="Times New Roman" w:cs="Times New Roman"/>
          <w:color w:val="000000" w:themeColor="text1"/>
          <w:spacing w:val="0"/>
        </w:rPr>
        <w:softHyphen/>
        <w:t xml:space="preserve">видный поперечный выступ. В августе 1943 года танк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 гаубицей С-41 был продемонстрирован К.Е.Ворошило</w:t>
      </w:r>
      <w:r w:rsidRPr="00271E51">
        <w:rPr>
          <w:rFonts w:ascii="Times New Roman" w:cs="Times New Roman"/>
          <w:color w:val="000000" w:themeColor="text1"/>
          <w:spacing w:val="0"/>
        </w:rPr>
        <w:softHyphen/>
        <w:t>ву во время его посещения ЦАКБ (15232).</w:t>
      </w:r>
    </w:p>
    <w:p w14:paraId="327F34FC" w14:textId="77777777" w:rsidR="007E57F6" w:rsidRPr="00271E51" w:rsidRDefault="007E57F6" w:rsidP="00271E51">
      <w:pPr>
        <w:pStyle w:val="27"/>
        <w:shd w:val="clear" w:color="auto" w:fill="auto"/>
        <w:spacing w:after="0" w:line="240" w:lineRule="auto"/>
        <w:ind w:firstLine="0"/>
        <w:rPr>
          <w:rFonts w:ascii="Times New Roman" w:cs="Times New Roman"/>
          <w:color w:val="000000" w:themeColor="text1"/>
          <w:spacing w:val="0"/>
        </w:rPr>
      </w:pPr>
    </w:p>
    <w:p w14:paraId="552072B3" w14:textId="77777777" w:rsidR="00BA7A65" w:rsidRPr="00271E51" w:rsidRDefault="00BA7A65" w:rsidP="00271E51">
      <w:pPr>
        <w:pStyle w:val="a3"/>
        <w:rPr>
          <w:color w:val="000000" w:themeColor="text1"/>
          <w:lang w:val="ru-RU"/>
        </w:rPr>
      </w:pPr>
      <w:r w:rsidRPr="00271E51">
        <w:rPr>
          <w:color w:val="000000" w:themeColor="text1"/>
          <w:lang w:val="ru-RU"/>
        </w:rPr>
        <w:t>В августе 1943 Ж. Я. Котину тогда пришла в голову идея установить на танке ИС 122-мм пушку, взяв за основу советскую корпусную пушку А-19. Казалось, что это мощное орудие раз и навсегда решит проблему уничтожения немецких танков. Вновь обратились за помощью к Ф. Ф. Петрову. Сам он как раз начал работу над использованием ствола А-19 в противотанковой пушке Д-2. Теперь он решил превратить эту пушку в танковую, используя детали от уже разработанной им 122-мм танковой гаубицы. Для того, чтобы снизить отдачу орудия, Ф. Ф. Петров установил на нём дульный тормоз. Хотя это решило проблему длины отката, но вспышка и поднимаемая пыль демаскировали танк. Другим недостатком пушки был поршневой затвор, заимствованный у А-19, снижавший скорость заряжания орудия (12290).</w:t>
      </w:r>
    </w:p>
    <w:p w14:paraId="58DD1DFC" w14:textId="77777777" w:rsidR="00BA7A65" w:rsidRPr="00271E51" w:rsidRDefault="00BA7A65" w:rsidP="00271E51">
      <w:pPr>
        <w:pStyle w:val="a3"/>
        <w:rPr>
          <w:color w:val="000000" w:themeColor="text1"/>
          <w:lang w:val="ru-RU"/>
        </w:rPr>
      </w:pPr>
    </w:p>
    <w:p w14:paraId="35D428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танк Т-80, вооруженный пушкой ВТ-43 (рабочий индекс танка Т-80-43), проходил испытания на Свердловском артполигоне и был рекомендован для приня</w:t>
      </w:r>
      <w:r w:rsidRPr="00271E51">
        <w:rPr>
          <w:rFonts w:ascii="Times New Roman" w:hAnsi="Times New Roman"/>
          <w:color w:val="000000" w:themeColor="text1"/>
          <w:sz w:val="16"/>
          <w:szCs w:val="16"/>
        </w:rPr>
        <w:softHyphen/>
        <w:t>тия на вооружение. Правда, было признано, что вести при</w:t>
      </w:r>
      <w:r w:rsidRPr="00271E51">
        <w:rPr>
          <w:rFonts w:ascii="Times New Roman" w:hAnsi="Times New Roman"/>
          <w:color w:val="000000" w:themeColor="text1"/>
          <w:sz w:val="16"/>
          <w:szCs w:val="16"/>
        </w:rPr>
        <w:softHyphen/>
        <w:t>цельный огонь по самолетам из его штатного вооружения весьма затруднительно, но точность стрельбы из пушки и пулемета по целям, расположенным на вершинах холмов, верхних этажах зданий и деревьях, была великолепной (11135).</w:t>
      </w:r>
    </w:p>
    <w:p w14:paraId="2710B2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A7E133" w14:textId="77777777" w:rsidR="007E57F6" w:rsidRPr="00271E51" w:rsidRDefault="007E57F6" w:rsidP="00271E51">
      <w:pPr>
        <w:pStyle w:val="book"/>
        <w:ind w:firstLine="0"/>
        <w:jc w:val="both"/>
        <w:rPr>
          <w:color w:val="000000" w:themeColor="text1"/>
          <w:sz w:val="16"/>
          <w:szCs w:val="16"/>
        </w:rPr>
      </w:pPr>
      <w:r w:rsidRPr="00271E51">
        <w:rPr>
          <w:color w:val="000000" w:themeColor="text1"/>
          <w:sz w:val="16"/>
          <w:szCs w:val="16"/>
        </w:rPr>
        <w:t>В августе 1943 г. в конструкторском бюро Каштанова был разработан проект замены 76-мм пушки С-1 в СУ-76И на 85-мм пушку. Но 14 сентября главный инженер завода № 37 получил от начальника технического управления Наркомата тяжелой промышленности Фрезерова письмо следующего содержания: «Разработанный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 Считаю целесообразным данную разработку временно прекратить, сохранив разработанный материал для возможного использования в дальнейшем» (15225).</w:t>
      </w:r>
    </w:p>
    <w:p w14:paraId="317737FF" w14:textId="77777777" w:rsidR="007E57F6" w:rsidRPr="00271E51" w:rsidRDefault="007E57F6" w:rsidP="00271E51">
      <w:pPr>
        <w:pStyle w:val="book"/>
        <w:ind w:firstLine="0"/>
        <w:jc w:val="both"/>
        <w:rPr>
          <w:color w:val="000000" w:themeColor="text1"/>
          <w:sz w:val="16"/>
          <w:szCs w:val="16"/>
        </w:rPr>
      </w:pPr>
    </w:p>
    <w:p w14:paraId="45ABFCA4" w14:textId="77777777" w:rsidR="007E57F6" w:rsidRPr="00271E51" w:rsidRDefault="007E57F6" w:rsidP="00271E51">
      <w:pPr>
        <w:pStyle w:val="book"/>
        <w:ind w:firstLine="0"/>
        <w:jc w:val="both"/>
        <w:rPr>
          <w:color w:val="000000" w:themeColor="text1"/>
          <w:sz w:val="16"/>
          <w:szCs w:val="16"/>
        </w:rPr>
      </w:pPr>
      <w:r w:rsidRPr="00271E51">
        <w:rPr>
          <w:color w:val="000000" w:themeColor="text1"/>
          <w:sz w:val="16"/>
          <w:szCs w:val="16"/>
        </w:rPr>
        <w:t>В августе 1943 г. было принято решение об изготовлении также специальных командирских САУ, которые оснащались командирской башенкой от Pz. Kpfw III и радиостанцией повышенной мощности при сокращенном боекомплекте (15225).</w:t>
      </w:r>
    </w:p>
    <w:p w14:paraId="7207F299" w14:textId="77777777" w:rsidR="007E57F6" w:rsidRPr="00271E51" w:rsidRDefault="007E57F6" w:rsidP="00271E51">
      <w:pPr>
        <w:pStyle w:val="book"/>
        <w:ind w:firstLine="0"/>
        <w:jc w:val="both"/>
        <w:rPr>
          <w:color w:val="000000" w:themeColor="text1"/>
          <w:sz w:val="16"/>
          <w:szCs w:val="16"/>
        </w:rPr>
      </w:pPr>
    </w:p>
    <w:p w14:paraId="35F2BB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года в конструкторском бюро А. Каштанова была сделана попытка усилить вооружение СУ-76И. Но 14 сентября главный инженер завода № 37 получил от начальника технического управления НКТП Фрезерова письмо следующего содержания: </w:t>
      </w:r>
    </w:p>
    <w:p w14:paraId="3C08BC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 xml:space="preserve">"Разработанный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 </w:t>
      </w:r>
    </w:p>
    <w:p w14:paraId="364410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Считаю целесообразным данную разработку временно прекратить, сохранив разработанный материал для возможного использования в дальнейшем" (10794).</w:t>
      </w:r>
    </w:p>
    <w:p w14:paraId="6C2AD7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4F8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августе 1943 года в конструкторском бюро А. Каштанова была сделана попытка усилить вооружение СУ-76И (9695).</w:t>
      </w:r>
    </w:p>
    <w:p w14:paraId="6818DD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3731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опытный образец СУ-76М прошел государственные испытания. Са</w:t>
      </w:r>
      <w:r w:rsidRPr="00271E51">
        <w:rPr>
          <w:rFonts w:ascii="Times New Roman" w:hAnsi="Times New Roman"/>
          <w:color w:val="000000" w:themeColor="text1"/>
          <w:sz w:val="16"/>
          <w:szCs w:val="16"/>
        </w:rPr>
        <w:softHyphen/>
        <w:t>моходная установка была принята на вооружение в июле 1943 г. до по</w:t>
      </w:r>
      <w:r w:rsidRPr="00271E51">
        <w:rPr>
          <w:rFonts w:ascii="Times New Roman" w:hAnsi="Times New Roman"/>
          <w:color w:val="000000" w:themeColor="text1"/>
          <w:sz w:val="16"/>
          <w:szCs w:val="16"/>
        </w:rPr>
        <w:softHyphen/>
        <w:t>лучения результатов вторичных полигонных испытаний. До принятия на вооружение имела наименование СУ-15. Установка предназначалась для непосредственной поддержки пехоты и была самой многочислен</w:t>
      </w:r>
      <w:r w:rsidRPr="00271E51">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з-де № 38 в г. Кирове (1665 ед. - серийное производство по июль 1944 г.) и на заводе № 40 в Мытищах (2306 ед.). Производство машины бы прекращено в 1946 г. Всего было выпущено 13 732 самоходных установки, из них во время Великой Отечественной войны - 11 494 (10703).</w:t>
      </w:r>
    </w:p>
    <w:p w14:paraId="5CC2F94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1A39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 в конструкторском бюро Каштанова был разработан проект замены 76-мм пушки С-1 в СУ-76И на 85-мм пушку. Но 14 сентября главный инженер завода № 37 получил от начальника технического управления Наркомата тяжелой промышленности Фрезерова письмо следующего содержания: «Разработанный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 Считаю целесообразным данную разработку временно прекратить, сохранив разработанный материал для возможного использования в дальнейшем». В начале 1944 г. вышло распоряжение начальника ГАБТУ Федоре 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16 марта 1943 г. в боях под Балатоном в составе 366-го гвардейского тяжелою самоходно-артиллерийского полка имелось 12 трофейных САУ и две «Пантеры». Замечу, что писать об использовании германского трофейного имущества в Красной армии в 1941—1945 гг. непросто. И дело не только в том, что значительная часть документов войны в Подольском и иных архивах до сих нор хранится под грифом «секретно». </w:t>
      </w:r>
      <w:r w:rsidRPr="00271E51">
        <w:rPr>
          <w:rStyle w:val="a7"/>
          <w:rFonts w:ascii="Times New Roman" w:hAnsi="Times New Roman"/>
          <w:b w:val="0"/>
          <w:color w:val="000000" w:themeColor="text1"/>
          <w:sz w:val="16"/>
          <w:szCs w:val="16"/>
        </w:rPr>
        <w:t>Еще хуже, что советские, равно как и германские, командиры тщательно скрывали наличие трофеев в своих частях. Причем ни у них, ни у нас это не было связано с какой-либо идеологией (12687).</w:t>
      </w:r>
    </w:p>
    <w:p w14:paraId="714D6AF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Тактико-технические характеристики самоходно-артиллерийских установок, изготовленных на трофейных шасси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8"/>
        <w:gridCol w:w="4865"/>
        <w:gridCol w:w="4865"/>
      </w:tblGrid>
      <w:tr w:rsidR="00A907A5" w:rsidRPr="00271E51" w14:paraId="0DF3A679" w14:textId="77777777" w:rsidTr="00ED5B0A">
        <w:tc>
          <w:tcPr>
            <w:tcW w:w="0" w:type="auto"/>
            <w:shd w:val="clear" w:color="auto" w:fill="auto"/>
            <w:hideMark/>
          </w:tcPr>
          <w:p w14:paraId="420D456B"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p>
        </w:tc>
        <w:tc>
          <w:tcPr>
            <w:tcW w:w="0" w:type="auto"/>
            <w:shd w:val="clear" w:color="auto" w:fill="auto"/>
            <w:hideMark/>
          </w:tcPr>
          <w:p w14:paraId="122D0300"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СГ-122</w:t>
            </w:r>
          </w:p>
        </w:tc>
        <w:tc>
          <w:tcPr>
            <w:tcW w:w="0" w:type="auto"/>
            <w:shd w:val="clear" w:color="auto" w:fill="auto"/>
            <w:hideMark/>
          </w:tcPr>
          <w:p w14:paraId="63D8C468" w14:textId="77777777" w:rsidR="00BA7A65" w:rsidRPr="00271E51" w:rsidRDefault="00BA7A65"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СУ-76И</w:t>
            </w:r>
          </w:p>
        </w:tc>
      </w:tr>
      <w:tr w:rsidR="00A907A5" w:rsidRPr="00271E51" w14:paraId="3251D488" w14:textId="77777777" w:rsidTr="00ED5B0A">
        <w:tc>
          <w:tcPr>
            <w:tcW w:w="0" w:type="auto"/>
            <w:shd w:val="clear" w:color="auto" w:fill="auto"/>
            <w:hideMark/>
          </w:tcPr>
          <w:p w14:paraId="5746178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Боевая масса,т</w:t>
            </w:r>
          </w:p>
        </w:tc>
        <w:tc>
          <w:tcPr>
            <w:tcW w:w="0" w:type="auto"/>
            <w:shd w:val="clear" w:color="auto" w:fill="auto"/>
            <w:hideMark/>
          </w:tcPr>
          <w:p w14:paraId="37011F8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23,6</w:t>
            </w:r>
          </w:p>
        </w:tc>
        <w:tc>
          <w:tcPr>
            <w:tcW w:w="0" w:type="auto"/>
            <w:shd w:val="clear" w:color="auto" w:fill="auto"/>
            <w:hideMark/>
          </w:tcPr>
          <w:p w14:paraId="41248D6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22,5</w:t>
            </w:r>
          </w:p>
        </w:tc>
      </w:tr>
      <w:tr w:rsidR="00A907A5" w:rsidRPr="00271E51" w14:paraId="0763EFE4" w14:textId="77777777" w:rsidTr="00ED5B0A">
        <w:tc>
          <w:tcPr>
            <w:tcW w:w="0" w:type="auto"/>
            <w:shd w:val="clear" w:color="auto" w:fill="auto"/>
            <w:hideMark/>
          </w:tcPr>
          <w:p w14:paraId="085321A7"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Экипаж, чел.</w:t>
            </w:r>
          </w:p>
        </w:tc>
        <w:tc>
          <w:tcPr>
            <w:tcW w:w="0" w:type="auto"/>
            <w:shd w:val="clear" w:color="auto" w:fill="auto"/>
            <w:hideMark/>
          </w:tcPr>
          <w:p w14:paraId="783EB8A4"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w:t>
            </w:r>
          </w:p>
        </w:tc>
        <w:tc>
          <w:tcPr>
            <w:tcW w:w="0" w:type="auto"/>
            <w:shd w:val="clear" w:color="auto" w:fill="auto"/>
            <w:hideMark/>
          </w:tcPr>
          <w:p w14:paraId="193E558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w:t>
            </w:r>
          </w:p>
        </w:tc>
      </w:tr>
      <w:tr w:rsidR="00A907A5" w:rsidRPr="00271E51" w14:paraId="2BDAACB0" w14:textId="77777777" w:rsidTr="00ED5B0A">
        <w:tc>
          <w:tcPr>
            <w:tcW w:w="0" w:type="auto"/>
            <w:shd w:val="clear" w:color="auto" w:fill="auto"/>
            <w:hideMark/>
          </w:tcPr>
          <w:p w14:paraId="1FF6BB1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Длина, мм</w:t>
            </w:r>
          </w:p>
        </w:tc>
        <w:tc>
          <w:tcPr>
            <w:tcW w:w="0" w:type="auto"/>
            <w:shd w:val="clear" w:color="auto" w:fill="auto"/>
            <w:hideMark/>
          </w:tcPr>
          <w:p w14:paraId="57755E11"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5850</w:t>
            </w:r>
          </w:p>
        </w:tc>
        <w:tc>
          <w:tcPr>
            <w:tcW w:w="0" w:type="auto"/>
            <w:shd w:val="clear" w:color="auto" w:fill="auto"/>
            <w:hideMark/>
          </w:tcPr>
          <w:p w14:paraId="4CA688CB"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6300</w:t>
            </w:r>
          </w:p>
        </w:tc>
      </w:tr>
      <w:tr w:rsidR="00A907A5" w:rsidRPr="00271E51" w14:paraId="27EC27AE" w14:textId="77777777" w:rsidTr="00ED5B0A">
        <w:tc>
          <w:tcPr>
            <w:tcW w:w="0" w:type="auto"/>
            <w:shd w:val="clear" w:color="auto" w:fill="auto"/>
            <w:hideMark/>
          </w:tcPr>
          <w:p w14:paraId="7F1FA6B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Ширина, мм</w:t>
            </w:r>
          </w:p>
        </w:tc>
        <w:tc>
          <w:tcPr>
            <w:tcW w:w="0" w:type="auto"/>
            <w:shd w:val="clear" w:color="auto" w:fill="auto"/>
            <w:hideMark/>
          </w:tcPr>
          <w:p w14:paraId="7C4B9EF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2910</w:t>
            </w:r>
          </w:p>
        </w:tc>
        <w:tc>
          <w:tcPr>
            <w:tcW w:w="0" w:type="auto"/>
            <w:shd w:val="clear" w:color="auto" w:fill="auto"/>
            <w:hideMark/>
          </w:tcPr>
          <w:p w14:paraId="7C1E0D2B"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2910</w:t>
            </w:r>
          </w:p>
        </w:tc>
      </w:tr>
      <w:tr w:rsidR="00A907A5" w:rsidRPr="00271E51" w14:paraId="362724AA" w14:textId="77777777" w:rsidTr="00ED5B0A">
        <w:tc>
          <w:tcPr>
            <w:tcW w:w="0" w:type="auto"/>
            <w:shd w:val="clear" w:color="auto" w:fill="auto"/>
            <w:hideMark/>
          </w:tcPr>
          <w:p w14:paraId="29BAF7D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Высота, мм</w:t>
            </w:r>
          </w:p>
        </w:tc>
        <w:tc>
          <w:tcPr>
            <w:tcW w:w="0" w:type="auto"/>
            <w:shd w:val="clear" w:color="auto" w:fill="auto"/>
            <w:hideMark/>
          </w:tcPr>
          <w:p w14:paraId="04C27402"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2250</w:t>
            </w:r>
          </w:p>
        </w:tc>
        <w:tc>
          <w:tcPr>
            <w:tcW w:w="0" w:type="auto"/>
            <w:shd w:val="clear" w:color="auto" w:fill="auto"/>
            <w:hideMark/>
          </w:tcPr>
          <w:p w14:paraId="32E92B1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2375</w:t>
            </w:r>
          </w:p>
        </w:tc>
      </w:tr>
      <w:tr w:rsidR="00A907A5" w:rsidRPr="00271E51" w14:paraId="09E0B49E" w14:textId="77777777" w:rsidTr="00ED5B0A">
        <w:tc>
          <w:tcPr>
            <w:tcW w:w="0" w:type="auto"/>
            <w:shd w:val="clear" w:color="auto" w:fill="auto"/>
            <w:hideMark/>
          </w:tcPr>
          <w:p w14:paraId="16B66BA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Клиренс, мм</w:t>
            </w:r>
          </w:p>
        </w:tc>
        <w:tc>
          <w:tcPr>
            <w:tcW w:w="0" w:type="auto"/>
            <w:shd w:val="clear" w:color="auto" w:fill="auto"/>
            <w:hideMark/>
          </w:tcPr>
          <w:p w14:paraId="6F4C634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350</w:t>
            </w:r>
          </w:p>
        </w:tc>
        <w:tc>
          <w:tcPr>
            <w:tcW w:w="0" w:type="auto"/>
            <w:shd w:val="clear" w:color="auto" w:fill="auto"/>
            <w:hideMark/>
          </w:tcPr>
          <w:p w14:paraId="60892F1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350</w:t>
            </w:r>
          </w:p>
        </w:tc>
      </w:tr>
      <w:tr w:rsidR="00A907A5" w:rsidRPr="00271E51" w14:paraId="2A4E352D" w14:textId="77777777" w:rsidTr="00ED5B0A">
        <w:tc>
          <w:tcPr>
            <w:tcW w:w="0" w:type="auto"/>
            <w:shd w:val="clear" w:color="auto" w:fill="auto"/>
            <w:hideMark/>
          </w:tcPr>
          <w:p w14:paraId="0C7DBF6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Вооружение</w:t>
            </w:r>
          </w:p>
        </w:tc>
        <w:tc>
          <w:tcPr>
            <w:tcW w:w="0" w:type="auto"/>
            <w:shd w:val="clear" w:color="auto" w:fill="auto"/>
            <w:hideMark/>
          </w:tcPr>
          <w:p w14:paraId="4F24C07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Одна 122-мм гаубица М-30 обр. 1938 года</w:t>
            </w:r>
          </w:p>
        </w:tc>
        <w:tc>
          <w:tcPr>
            <w:tcW w:w="0" w:type="auto"/>
            <w:shd w:val="clear" w:color="auto" w:fill="auto"/>
            <w:hideMark/>
          </w:tcPr>
          <w:p w14:paraId="4FF94EBB"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Одна 76-мм пушка Ф-34, 2 пистолета-пулёмета ППШ</w:t>
            </w:r>
          </w:p>
        </w:tc>
      </w:tr>
      <w:tr w:rsidR="00A907A5" w:rsidRPr="00271E51" w14:paraId="188A2466" w14:textId="77777777" w:rsidTr="00ED5B0A">
        <w:tc>
          <w:tcPr>
            <w:tcW w:w="0" w:type="auto"/>
            <w:shd w:val="clear" w:color="auto" w:fill="auto"/>
            <w:hideMark/>
          </w:tcPr>
          <w:p w14:paraId="155ABFA4"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Боекомплект, снарядов</w:t>
            </w:r>
          </w:p>
        </w:tc>
        <w:tc>
          <w:tcPr>
            <w:tcW w:w="0" w:type="auto"/>
            <w:shd w:val="clear" w:color="auto" w:fill="auto"/>
            <w:hideMark/>
          </w:tcPr>
          <w:p w14:paraId="5576A43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w:t>
            </w:r>
          </w:p>
        </w:tc>
        <w:tc>
          <w:tcPr>
            <w:tcW w:w="0" w:type="auto"/>
            <w:shd w:val="clear" w:color="auto" w:fill="auto"/>
            <w:hideMark/>
          </w:tcPr>
          <w:p w14:paraId="438676D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98</w:t>
            </w:r>
          </w:p>
        </w:tc>
      </w:tr>
      <w:tr w:rsidR="00A907A5" w:rsidRPr="00271E51" w14:paraId="6F887790" w14:textId="77777777" w:rsidTr="00ED5B0A">
        <w:tc>
          <w:tcPr>
            <w:tcW w:w="0" w:type="auto"/>
            <w:shd w:val="clear" w:color="auto" w:fill="auto"/>
            <w:hideMark/>
          </w:tcPr>
          <w:p w14:paraId="06A30E10"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Боекомплект, патронов</w:t>
            </w:r>
          </w:p>
        </w:tc>
        <w:tc>
          <w:tcPr>
            <w:tcW w:w="0" w:type="auto"/>
            <w:shd w:val="clear" w:color="auto" w:fill="auto"/>
            <w:hideMark/>
          </w:tcPr>
          <w:p w14:paraId="385F275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w:t>
            </w:r>
          </w:p>
        </w:tc>
        <w:tc>
          <w:tcPr>
            <w:tcW w:w="0" w:type="auto"/>
            <w:shd w:val="clear" w:color="auto" w:fill="auto"/>
            <w:hideMark/>
          </w:tcPr>
          <w:p w14:paraId="35754944"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710</w:t>
            </w:r>
          </w:p>
        </w:tc>
      </w:tr>
      <w:tr w:rsidR="00A907A5" w:rsidRPr="00271E51" w14:paraId="72F209E1" w14:textId="77777777" w:rsidTr="00ED5B0A">
        <w:tc>
          <w:tcPr>
            <w:tcW w:w="0" w:type="auto"/>
            <w:shd w:val="clear" w:color="auto" w:fill="auto"/>
            <w:hideMark/>
          </w:tcPr>
          <w:p w14:paraId="615FC28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Приборы прицеливания</w:t>
            </w:r>
          </w:p>
        </w:tc>
        <w:tc>
          <w:tcPr>
            <w:tcW w:w="0" w:type="auto"/>
            <w:shd w:val="clear" w:color="auto" w:fill="auto"/>
            <w:hideMark/>
          </w:tcPr>
          <w:p w14:paraId="31B7832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Панорама Герца</w:t>
            </w:r>
          </w:p>
        </w:tc>
        <w:tc>
          <w:tcPr>
            <w:tcW w:w="0" w:type="auto"/>
            <w:shd w:val="clear" w:color="auto" w:fill="auto"/>
            <w:hideMark/>
          </w:tcPr>
          <w:p w14:paraId="682F202B"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Прицел ТМФД-7, панорама Герца</w:t>
            </w:r>
          </w:p>
        </w:tc>
      </w:tr>
      <w:tr w:rsidR="00A907A5" w:rsidRPr="00271E51" w14:paraId="0A6793D9" w14:textId="77777777" w:rsidTr="00ED5B0A">
        <w:tc>
          <w:tcPr>
            <w:tcW w:w="0" w:type="auto"/>
            <w:shd w:val="clear" w:color="auto" w:fill="auto"/>
            <w:hideMark/>
          </w:tcPr>
          <w:p w14:paraId="4A71EB0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Бронирование, мм лоб</w:t>
            </w:r>
          </w:p>
        </w:tc>
        <w:tc>
          <w:tcPr>
            <w:tcW w:w="0" w:type="auto"/>
            <w:shd w:val="clear" w:color="auto" w:fill="auto"/>
            <w:hideMark/>
          </w:tcPr>
          <w:p w14:paraId="0F527A2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35–50</w:t>
            </w:r>
          </w:p>
        </w:tc>
        <w:tc>
          <w:tcPr>
            <w:tcW w:w="0" w:type="auto"/>
            <w:shd w:val="clear" w:color="auto" w:fill="auto"/>
            <w:hideMark/>
          </w:tcPr>
          <w:p w14:paraId="6A24373A"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35–50</w:t>
            </w:r>
          </w:p>
        </w:tc>
      </w:tr>
      <w:tr w:rsidR="00A907A5" w:rsidRPr="00271E51" w14:paraId="2035DB8E" w14:textId="77777777" w:rsidTr="00ED5B0A">
        <w:tc>
          <w:tcPr>
            <w:tcW w:w="0" w:type="auto"/>
            <w:shd w:val="clear" w:color="auto" w:fill="auto"/>
            <w:hideMark/>
          </w:tcPr>
          <w:p w14:paraId="429FB54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Борт</w:t>
            </w:r>
          </w:p>
        </w:tc>
        <w:tc>
          <w:tcPr>
            <w:tcW w:w="0" w:type="auto"/>
            <w:shd w:val="clear" w:color="auto" w:fill="auto"/>
            <w:hideMark/>
          </w:tcPr>
          <w:p w14:paraId="03F9A57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w:t>
            </w:r>
          </w:p>
        </w:tc>
        <w:tc>
          <w:tcPr>
            <w:tcW w:w="0" w:type="auto"/>
            <w:shd w:val="clear" w:color="auto" w:fill="auto"/>
            <w:hideMark/>
          </w:tcPr>
          <w:p w14:paraId="1B4E26DE"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w:t>
            </w:r>
          </w:p>
        </w:tc>
      </w:tr>
      <w:tr w:rsidR="00A907A5" w:rsidRPr="00271E51" w14:paraId="4AA28A81" w14:textId="77777777" w:rsidTr="00ED5B0A">
        <w:tc>
          <w:tcPr>
            <w:tcW w:w="0" w:type="auto"/>
            <w:shd w:val="clear" w:color="auto" w:fill="auto"/>
            <w:hideMark/>
          </w:tcPr>
          <w:p w14:paraId="4D34A64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Корма</w:t>
            </w:r>
          </w:p>
        </w:tc>
        <w:tc>
          <w:tcPr>
            <w:tcW w:w="0" w:type="auto"/>
            <w:shd w:val="clear" w:color="auto" w:fill="auto"/>
            <w:hideMark/>
          </w:tcPr>
          <w:p w14:paraId="77DD08BA"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w:t>
            </w:r>
          </w:p>
        </w:tc>
        <w:tc>
          <w:tcPr>
            <w:tcW w:w="0" w:type="auto"/>
            <w:shd w:val="clear" w:color="auto" w:fill="auto"/>
            <w:hideMark/>
          </w:tcPr>
          <w:p w14:paraId="75A4B437"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w:t>
            </w:r>
          </w:p>
        </w:tc>
      </w:tr>
      <w:tr w:rsidR="00A907A5" w:rsidRPr="00271E51" w14:paraId="187E17AC" w14:textId="77777777" w:rsidTr="00ED5B0A">
        <w:tc>
          <w:tcPr>
            <w:tcW w:w="0" w:type="auto"/>
            <w:shd w:val="clear" w:color="auto" w:fill="auto"/>
            <w:hideMark/>
          </w:tcPr>
          <w:p w14:paraId="58A85FB0"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Крыша и днище</w:t>
            </w:r>
          </w:p>
        </w:tc>
        <w:tc>
          <w:tcPr>
            <w:tcW w:w="0" w:type="auto"/>
            <w:shd w:val="clear" w:color="auto" w:fill="auto"/>
            <w:hideMark/>
          </w:tcPr>
          <w:p w14:paraId="4E6BC132"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10–20</w:t>
            </w:r>
          </w:p>
        </w:tc>
        <w:tc>
          <w:tcPr>
            <w:tcW w:w="0" w:type="auto"/>
            <w:shd w:val="clear" w:color="auto" w:fill="auto"/>
            <w:hideMark/>
          </w:tcPr>
          <w:p w14:paraId="16DF8856"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10–20</w:t>
            </w:r>
          </w:p>
        </w:tc>
      </w:tr>
      <w:tr w:rsidR="00A907A5" w:rsidRPr="00271E51" w14:paraId="62E570CA" w14:textId="77777777" w:rsidTr="00ED5B0A">
        <w:tc>
          <w:tcPr>
            <w:tcW w:w="0" w:type="auto"/>
            <w:shd w:val="clear" w:color="auto" w:fill="auto"/>
            <w:hideMark/>
          </w:tcPr>
          <w:p w14:paraId="385EDF7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Двигатель</w:t>
            </w:r>
          </w:p>
        </w:tc>
        <w:tc>
          <w:tcPr>
            <w:tcW w:w="0" w:type="auto"/>
            <w:shd w:val="clear" w:color="auto" w:fill="auto"/>
            <w:hideMark/>
          </w:tcPr>
          <w:p w14:paraId="2AAF20E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Maybach HL 120TRM, 12-цилиндровый, мощность 265 л.с.</w:t>
            </w:r>
          </w:p>
        </w:tc>
        <w:tc>
          <w:tcPr>
            <w:tcW w:w="0" w:type="auto"/>
            <w:shd w:val="clear" w:color="auto" w:fill="auto"/>
            <w:hideMark/>
          </w:tcPr>
          <w:p w14:paraId="1B8F48B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Maybach HL 120TRM, 12-цилиндровый, мощность 265 л.с.</w:t>
            </w:r>
          </w:p>
        </w:tc>
      </w:tr>
      <w:tr w:rsidR="00A907A5" w:rsidRPr="00271E51" w14:paraId="2B0220E6" w14:textId="77777777" w:rsidTr="00ED5B0A">
        <w:tc>
          <w:tcPr>
            <w:tcW w:w="0" w:type="auto"/>
            <w:shd w:val="clear" w:color="auto" w:fill="auto"/>
            <w:hideMark/>
          </w:tcPr>
          <w:p w14:paraId="1724ED32"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Трансмиссия</w:t>
            </w:r>
          </w:p>
        </w:tc>
        <w:tc>
          <w:tcPr>
            <w:tcW w:w="0" w:type="auto"/>
            <w:shd w:val="clear" w:color="auto" w:fill="auto"/>
            <w:hideMark/>
          </w:tcPr>
          <w:p w14:paraId="7EAC5BA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Многодисковый главный фрикцион сухого трения, шестискоростная коробка перемены передач (6+1), планетарный механизм поворота, бортовые передачи</w:t>
            </w:r>
          </w:p>
        </w:tc>
        <w:tc>
          <w:tcPr>
            <w:tcW w:w="0" w:type="auto"/>
            <w:shd w:val="clear" w:color="auto" w:fill="auto"/>
            <w:hideMark/>
          </w:tcPr>
          <w:p w14:paraId="3544C9E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Многодисковый главный фрикцион сухого трения, шестискоростная коробка перемены передач (6+1), планетарный механизм поворота, бортовые передачи</w:t>
            </w:r>
          </w:p>
        </w:tc>
      </w:tr>
      <w:tr w:rsidR="00A907A5" w:rsidRPr="00271E51" w14:paraId="2886CCB2" w14:textId="77777777" w:rsidTr="00ED5B0A">
        <w:tc>
          <w:tcPr>
            <w:tcW w:w="0" w:type="auto"/>
            <w:shd w:val="clear" w:color="auto" w:fill="auto"/>
            <w:hideMark/>
          </w:tcPr>
          <w:p w14:paraId="0BB4CEB5"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Максимальная скорость, км/ч</w:t>
            </w:r>
          </w:p>
        </w:tc>
        <w:tc>
          <w:tcPr>
            <w:tcW w:w="0" w:type="auto"/>
            <w:shd w:val="clear" w:color="auto" w:fill="auto"/>
            <w:hideMark/>
          </w:tcPr>
          <w:p w14:paraId="326A9D3E"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w:t>
            </w:r>
          </w:p>
        </w:tc>
        <w:tc>
          <w:tcPr>
            <w:tcW w:w="0" w:type="auto"/>
            <w:shd w:val="clear" w:color="auto" w:fill="auto"/>
            <w:hideMark/>
          </w:tcPr>
          <w:p w14:paraId="3F1F22C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w:t>
            </w:r>
          </w:p>
        </w:tc>
      </w:tr>
      <w:tr w:rsidR="00A907A5" w:rsidRPr="00271E51" w14:paraId="446C664B" w14:textId="77777777" w:rsidTr="00ED5B0A">
        <w:tc>
          <w:tcPr>
            <w:tcW w:w="0" w:type="auto"/>
            <w:shd w:val="clear" w:color="auto" w:fill="auto"/>
            <w:hideMark/>
          </w:tcPr>
          <w:p w14:paraId="5667814F"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Запас хода по шоссе, км</w:t>
            </w:r>
          </w:p>
        </w:tc>
        <w:tc>
          <w:tcPr>
            <w:tcW w:w="0" w:type="auto"/>
            <w:shd w:val="clear" w:color="auto" w:fill="auto"/>
            <w:hideMark/>
          </w:tcPr>
          <w:p w14:paraId="5BD899D3"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180</w:t>
            </w:r>
          </w:p>
        </w:tc>
        <w:tc>
          <w:tcPr>
            <w:tcW w:w="0" w:type="auto"/>
            <w:shd w:val="clear" w:color="auto" w:fill="auto"/>
            <w:hideMark/>
          </w:tcPr>
          <w:p w14:paraId="1F922399"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130</w:t>
            </w:r>
          </w:p>
        </w:tc>
      </w:tr>
      <w:tr w:rsidR="00A907A5" w:rsidRPr="00271E51" w14:paraId="70F6140D" w14:textId="77777777" w:rsidTr="00ED5B0A">
        <w:tc>
          <w:tcPr>
            <w:tcW w:w="0" w:type="auto"/>
            <w:shd w:val="clear" w:color="auto" w:fill="auto"/>
            <w:hideMark/>
          </w:tcPr>
          <w:p w14:paraId="0D9D308D"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Радиостанция</w:t>
            </w:r>
          </w:p>
        </w:tc>
        <w:tc>
          <w:tcPr>
            <w:tcW w:w="0" w:type="auto"/>
            <w:shd w:val="clear" w:color="auto" w:fill="auto"/>
            <w:hideMark/>
          </w:tcPr>
          <w:p w14:paraId="625C5AE0"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9Р</w:t>
            </w:r>
          </w:p>
        </w:tc>
        <w:tc>
          <w:tcPr>
            <w:tcW w:w="0" w:type="auto"/>
            <w:shd w:val="clear" w:color="auto" w:fill="auto"/>
            <w:hideMark/>
          </w:tcPr>
          <w:p w14:paraId="0C17326C"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9Р</w:t>
            </w:r>
          </w:p>
        </w:tc>
      </w:tr>
      <w:tr w:rsidR="00A907A5" w:rsidRPr="00271E51" w14:paraId="63A45B98" w14:textId="77777777" w:rsidTr="00ED5B0A">
        <w:tc>
          <w:tcPr>
            <w:tcW w:w="0" w:type="auto"/>
            <w:shd w:val="clear" w:color="auto" w:fill="auto"/>
            <w:hideMark/>
          </w:tcPr>
          <w:p w14:paraId="2B6C271E"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Переговорное устройство</w:t>
            </w:r>
          </w:p>
        </w:tc>
        <w:tc>
          <w:tcPr>
            <w:tcW w:w="0" w:type="auto"/>
            <w:shd w:val="clear" w:color="auto" w:fill="auto"/>
            <w:hideMark/>
          </w:tcPr>
          <w:p w14:paraId="6F256F0E"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ТПУ-3</w:t>
            </w:r>
          </w:p>
        </w:tc>
        <w:tc>
          <w:tcPr>
            <w:tcW w:w="0" w:type="auto"/>
            <w:shd w:val="clear" w:color="auto" w:fill="auto"/>
            <w:hideMark/>
          </w:tcPr>
          <w:p w14:paraId="0A225F08" w14:textId="77777777" w:rsidR="00BA7A65" w:rsidRPr="00271E51" w:rsidRDefault="00BA7A65"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ТПУ-4</w:t>
            </w:r>
          </w:p>
        </w:tc>
      </w:tr>
    </w:tbl>
    <w:p w14:paraId="335ABE1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(12689)</w:t>
      </w:r>
    </w:p>
    <w:p w14:paraId="3B3A88F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FA435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по результатам Государственных испытаний модернизированная Су-76 была принята на вооружение под обозначением СУ-76 (3862).</w:t>
      </w:r>
    </w:p>
    <w:p w14:paraId="6999F9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16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прошли Государственные испытания и 76-мм САУ Су-76М, доработанная ГАЗ была принята на вооружение под обозначением СУ-76. Серийное производство СУ-76 началось в октябре 1943 года (3862).</w:t>
      </w:r>
    </w:p>
    <w:p w14:paraId="5D80D6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DC6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на УЗТМ начался выпуск новой самоходной установке СУ-85 (3905).</w:t>
      </w:r>
    </w:p>
    <w:p w14:paraId="4FA890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302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на базе Т-34 на УЗТМ стали делать Су-85 с Д-5С (1031,45).</w:t>
      </w:r>
    </w:p>
    <w:p w14:paraId="3E6290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DC2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на УЗТМ начался выпуск новой самоходной установке СУ-85 (3905). Производству на Уралмашзаводе было начато вместо Су-122 и продолжалось до августа 1944 (4406).</w:t>
      </w:r>
    </w:p>
    <w:p w14:paraId="35ED98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D98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установка СУ-85 была принята на вооружение. Серийное производство было также организовано в августе 1943 г. и продолжалось до сентября 1944 г. Всего было выпущено 2339 установок, которые предназначались для унич немецких тяжелых танков "Тигр" на дальностях стрельбы 500 м (10703).</w:t>
      </w:r>
    </w:p>
    <w:p w14:paraId="5F9C33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4597C"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года начала поступать в войска в значительно количествах новая САУ СУ-85, которая быстро заменила свою предшественницу СУ-122 на поле боя (9636).</w:t>
      </w:r>
    </w:p>
    <w:p w14:paraId="52C9A17E"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C4548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УЗТМ начал выпуск самоходных установок СУ-85 вместо СУ-122.73% деталей установки были заимствованы у танка Т-34-76, 7% - у самоходной установки СУ-122 и 20% - изготовлены заново (10703).</w:t>
      </w:r>
    </w:p>
    <w:p w14:paraId="28FB15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6C99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КБ завода Уралмаш под руководством Л.Горлицкого разработало проект 100-мм САУ, но с задним расположением боевого отделения, как на СУ-76. Обосновывалось такое решение лучшей маневренностью вне дорог и лучшей защищенностью. Тем не менее проект, получивший название "Уралмаш-1", не был одобрен НКТП и был оставлен (3862).</w:t>
      </w:r>
    </w:p>
    <w:p w14:paraId="385B69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10C1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августе 1943 г. прекратилось серийное производство СУ-122. Всего было выпущено 638 самоходных установок (10703).</w:t>
      </w:r>
    </w:p>
    <w:p w14:paraId="2B6A128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554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было принято решение об изготовлении также специальных командирских САУ, которые оснащались командирской башенкой от PzKpfw III и радиостанцией повышенной мощности при сокращенном боекомплекте (9695).</w:t>
      </w:r>
    </w:p>
    <w:p w14:paraId="24917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B24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КБ А. Каштанова была сделана попыт</w:t>
      </w:r>
      <w:r w:rsidRPr="00271E51">
        <w:rPr>
          <w:rFonts w:ascii="Times New Roman" w:hAnsi="Times New Roman"/>
          <w:color w:val="000000" w:themeColor="text1"/>
          <w:sz w:val="16"/>
          <w:szCs w:val="16"/>
        </w:rPr>
        <w:softHyphen/>
        <w:t>ка усилить вооружение СУ С-1 путем установки в боевой рубке 85-мм орудия Д-5С-85. Но инициатива развития не получила по ряду причин, среди которых назывались и не</w:t>
      </w:r>
      <w:r w:rsidRPr="00271E51">
        <w:rPr>
          <w:rFonts w:ascii="Times New Roman" w:hAnsi="Times New Roman"/>
          <w:color w:val="000000" w:themeColor="text1"/>
          <w:sz w:val="16"/>
          <w:szCs w:val="16"/>
        </w:rPr>
        <w:softHyphen/>
        <w:t>хватка орудий и неясность с поставками шасси.</w:t>
      </w:r>
    </w:p>
    <w:p w14:paraId="210C862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1944 г. вышло распоряжение начальника ГБТУ Федоренко о передаче всех СУ-С-1 из боевых под</w:t>
      </w:r>
      <w:r w:rsidRPr="00271E51">
        <w:rPr>
          <w:rFonts w:ascii="Times New Roman" w:hAnsi="Times New Roman"/>
          <w:color w:val="000000" w:themeColor="text1"/>
          <w:sz w:val="16"/>
          <w:szCs w:val="16"/>
        </w:rPr>
        <w:softHyphen/>
        <w:t>разделений в учебные и о замене их на СУ-76 (СУ-15М). Но к этому времени они вряд ли где-то еще оставались.</w:t>
      </w:r>
    </w:p>
    <w:p w14:paraId="78823FA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отдельных учебных САП эти боевые машины иногда встречались до 1945 г., после чего повсеместно были сда</w:t>
      </w:r>
      <w:r w:rsidRPr="00271E51">
        <w:rPr>
          <w:rFonts w:ascii="Times New Roman" w:hAnsi="Times New Roman"/>
          <w:color w:val="000000" w:themeColor="text1"/>
          <w:sz w:val="16"/>
          <w:szCs w:val="16"/>
        </w:rPr>
        <w:softHyphen/>
        <w:t>ны на металлолом. В Кубинке действующий образец СУ-76(С-1)/СУ-76(И) просуществовал довольно долго и был списан, видимо, в 1968 г.</w:t>
      </w:r>
    </w:p>
    <w:p w14:paraId="37D1F0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Единственный сохранившийся образец этой интерес</w:t>
      </w:r>
      <w:r w:rsidRPr="00271E51">
        <w:rPr>
          <w:rFonts w:ascii="Times New Roman" w:hAnsi="Times New Roman"/>
          <w:color w:val="000000" w:themeColor="text1"/>
          <w:sz w:val="16"/>
          <w:szCs w:val="16"/>
        </w:rPr>
        <w:softHyphen/>
        <w:t>ной боевой машины находится на постаменте в г. Сарны. Он был извлечен со дна реки Случь, где пролежал без мало</w:t>
      </w:r>
      <w:r w:rsidRPr="00271E51">
        <w:rPr>
          <w:rFonts w:ascii="Times New Roman" w:hAnsi="Times New Roman"/>
          <w:color w:val="000000" w:themeColor="text1"/>
          <w:sz w:val="16"/>
          <w:szCs w:val="16"/>
        </w:rPr>
        <w:softHyphen/>
        <w:t>го 30 лет. Части подлинной рубки СУ-76(И) послужили ос</w:t>
      </w:r>
      <w:r w:rsidRPr="00271E51">
        <w:rPr>
          <w:rFonts w:ascii="Times New Roman" w:hAnsi="Times New Roman"/>
          <w:color w:val="000000" w:themeColor="text1"/>
          <w:sz w:val="16"/>
          <w:szCs w:val="16"/>
        </w:rPr>
        <w:softHyphen/>
        <w:t>новой воссоздания машины на Поклонной горе в г. Москве (11417).</w:t>
      </w:r>
    </w:p>
    <w:p w14:paraId="0BF2BD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54A06"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августе 1943 года отчету НИБТ Полигона танк Pz.Kpfw.35 S (f) № 271 числился как один танк "Сомуа", не на ходу. Оставался он там и в 1945 году. Более известна судьба башенного 273. Этот танк, по неизвестной причине лишившийся смотровой башенки, оказался на трофейной выставке в парке культуры им. Горького.</w:t>
      </w:r>
    </w:p>
    <w:p w14:paraId="759579C7"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В конце 1944 года на один SOMUA в Кубинке стало больше (22391). </w:t>
      </w:r>
    </w:p>
    <w:p w14:paraId="026DD0F1" w14:textId="77777777" w:rsidR="00CE2EFD" w:rsidRPr="00271E51" w:rsidRDefault="00CE2EFD" w:rsidP="00271E51">
      <w:pPr>
        <w:spacing w:after="0" w:line="240" w:lineRule="auto"/>
        <w:jc w:val="both"/>
        <w:rPr>
          <w:rFonts w:ascii="Times New Roman" w:hAnsi="Times New Roman"/>
          <w:color w:val="0070C0"/>
          <w:sz w:val="16"/>
          <w:szCs w:val="16"/>
        </w:rPr>
      </w:pPr>
    </w:p>
    <w:p w14:paraId="7A55DF22" w14:textId="77777777" w:rsidR="007E57F6" w:rsidRPr="00271E51" w:rsidRDefault="007E57F6"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ГАЗ собрал 100 бронемашин улучшенной конструкции БА-64Б (Постановлением Государственного Комитета Обороны производство БА-64 должно было вновь начаться с 1 сентября), а до конца года Горьковский автозавод изготовил 405 БА-64Б, из них 214 с рацией. А всего за 1943 год ГАЗ дал Красной Армии 1424 бронемашины БА-64 и БА-64Б. В 1944 году выпуск БА-64Б значительно возрос и составил 2950 БА-64Б (из них 1404 с рацией). Производство БА-64Б велось и в 1945 году (1742 броневика), а закончилось в 1946-м, когда военная приемка приняла последние 62 БА-64Б. Всего с апреля 1942-го по февраль 1946 года Горьковский автозавод изготовил 3903 броневика БА-64 и 5160 БА-64Б, а суммарный выпуск составляет 9063 бронемашины. Таким образом, БА-64 является самым массовым броневым автомобилем Красной Армии (15218).</w:t>
      </w:r>
    </w:p>
    <w:p w14:paraId="4B5E0E37" w14:textId="77777777" w:rsidR="007E57F6" w:rsidRPr="00271E51" w:rsidRDefault="007E57F6" w:rsidP="00271E51">
      <w:pPr>
        <w:widowControl w:val="0"/>
        <w:spacing w:after="0" w:line="240" w:lineRule="auto"/>
        <w:jc w:val="both"/>
        <w:rPr>
          <w:rFonts w:ascii="Times New Roman" w:hAnsi="Times New Roman"/>
          <w:color w:val="000000" w:themeColor="text1"/>
          <w:sz w:val="16"/>
          <w:szCs w:val="16"/>
        </w:rPr>
      </w:pPr>
    </w:p>
    <w:p w14:paraId="72543F5A" w14:textId="77777777" w:rsidR="007E57F6" w:rsidRPr="00271E51" w:rsidRDefault="007E57F6" w:rsidP="00271E51">
      <w:pPr>
        <w:pStyle w:val="book"/>
        <w:ind w:firstLine="0"/>
        <w:jc w:val="both"/>
        <w:rPr>
          <w:color w:val="000000" w:themeColor="text1"/>
          <w:sz w:val="16"/>
          <w:szCs w:val="16"/>
        </w:rPr>
      </w:pPr>
      <w:r w:rsidRPr="00271E51">
        <w:rPr>
          <w:color w:val="000000" w:themeColor="text1"/>
          <w:sz w:val="16"/>
          <w:szCs w:val="16"/>
        </w:rPr>
        <w:t>Начиная с августа 1943 г. ремонт трофейной техники в стационарных условиях (с эвакуацией на заводы) практически не производился, поскольку заводы были загружены ремонтом отечественной и ленд-лизовской автотехники, поступавшей нам во всё возрастающем количестве. Однако в войсках по-прежнему находилось большое количество трофейной техники, ремонт которой велся фронтовыми ремонтными базами и мастерскими. К концу войны в большинстве советских танковых и механизированных соединений значительную часть автомобильной техники составляли трофейные машины: в некоторых подразделениях их удельный вес достигал 30—40% (15225).</w:t>
      </w:r>
    </w:p>
    <w:p w14:paraId="250F44B3" w14:textId="77777777" w:rsidR="007E57F6" w:rsidRPr="00271E51" w:rsidRDefault="007E57F6" w:rsidP="00271E51">
      <w:pPr>
        <w:pStyle w:val="book"/>
        <w:ind w:firstLine="0"/>
        <w:jc w:val="both"/>
        <w:rPr>
          <w:color w:val="000000" w:themeColor="text1"/>
          <w:sz w:val="16"/>
          <w:szCs w:val="16"/>
        </w:rPr>
      </w:pPr>
    </w:p>
    <w:p w14:paraId="55CB5B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 МГ ЦНИИ-48 создается 3 отдела и несколько лабораторий, давших начало многим направлениям, действующим и поныне (9835).</w:t>
      </w:r>
    </w:p>
    <w:p w14:paraId="757580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2117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был разработан, испытан и освоен в серийном производстве гусеничный тягач Я-12 с дизельным двигателем мощностью 110 л.с. (11246).</w:t>
      </w:r>
    </w:p>
    <w:p w14:paraId="2B25C09A"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625AA5C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был запущен в производство ГАЗ-67. Первая машина сошла с конвейера 23 сентября, а в октябре уже был налажен серийный выпуск. До конца года сделали 718, а всего по 1945 год-6068 штук (до конца войны-4851) (9638).</w:t>
      </w:r>
    </w:p>
    <w:p w14:paraId="4A96378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7FDD2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был основан Челябинский машиностроительный завод автотракторных прицепов (ЧМЗАП), ОАО «Уралавтоприцеп» /454038  г. Челябинск ул. Хлебозаводская, 5 тел. (351) 724-20-10/ /Московское представительство:  г. Москва Цветной б-р, 26/. В 1976 г. завод вошел в состав Уральского объединения по производству грузовых автомобилей.</w:t>
      </w:r>
    </w:p>
    <w:p w14:paraId="617D22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(2006 г.): прицепов для МО (30 наименований) и уникальных большегрузных прицепов для народного хозяйства.</w:t>
      </w:r>
    </w:p>
    <w:p w14:paraId="18AE0A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(2006 г.)- В.И. Филатов.</w:t>
      </w:r>
    </w:p>
    <w:p w14:paraId="67D15C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прицепы:</w:t>
      </w:r>
      <w:r w:rsidRPr="00271E51">
        <w:rPr>
          <w:rFonts w:ascii="Times New Roman" w:hAnsi="Times New Roman"/>
          <w:color w:val="000000" w:themeColor="text1"/>
          <w:sz w:val="16"/>
          <w:szCs w:val="16"/>
        </w:rPr>
        <w:t xml:space="preserve"> ЧМЗАП 8988 на 200 т (1974), 8388 на 300 т (1990-), 83881 на 600 т (1990-), 703000 (2005)- 3, 83352-030, 833540-01010, 833570-010 (2006), 706000 для Индии (2007); полуприцепы для тягачей: ЧМЗАП 93853-022У, 93867-010, 99901-020, 990701 (2006).</w:t>
      </w:r>
    </w:p>
    <w:p w14:paraId="65E86A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ЧМЗАП</w:t>
      </w:r>
    </w:p>
    <w:p w14:paraId="20407F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для разработки уникальных прицепов большой грузоподъемности для МО и народного хозяйства. В 1964-68 г. создан уникальный прицеп грузоподъемностью 300 т, который использовался для перевозки трансформаторов для Колымской ГЭС, прокатных станов на Ждановский меткомбинат. В 1986 г. разработан прицеп для перевозки ОК «Буран»; в его конструкции впервые применена подруливающая подвеска с дистанционным управлением. В 1988 г. начата разработка супермодуля прицепа на 1300 т. В 1990 г. по заказу Минатома и Минэнерго созданы модули на 300 и 600 т, которые использовались для перевозки реакторов на Дзержинский «Химмаш» и в ИВТ АН, оборудования для Волгодонского Атоммаша, Нововоронежской АЭС и Бурейской ГЭС. В 2004-05 г. по заказу Казахстана разработан прицеп ЧМЭАП-703000 для перевозки корабля массой 200 т.</w:t>
      </w:r>
    </w:p>
    <w:p w14:paraId="656172D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к 2006 г. разработано более 600 моделей прицепной техники (11982).</w:t>
      </w:r>
    </w:p>
    <w:p w14:paraId="667F53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0E9C7" w14:textId="77777777" w:rsidR="00B52A91" w:rsidRPr="00271E51" w:rsidRDefault="00B52A91"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августе 1943 г. опытные образцы панцирей (по 100 шт. каждого размера - для малого (1ПЗ-ЗИФ-20) и высокого роста (ЗПЗ-ЗИФ-20)) завода № 7 передали в части Ленинградского фронта для проверки в бое</w:t>
      </w:r>
      <w:r w:rsidRPr="00271E51">
        <w:rPr>
          <w:rFonts w:ascii="Times New Roman" w:hAnsi="Times New Roman" w:cs="Times New Roman"/>
          <w:color w:val="000000" w:themeColor="text1"/>
          <w:sz w:val="16"/>
          <w:szCs w:val="16"/>
        </w:rPr>
        <w:softHyphen/>
        <w:t>вых условиях. В связи с положительными отзывами, по</w:t>
      </w:r>
      <w:r w:rsidRPr="00271E51">
        <w:rPr>
          <w:rFonts w:ascii="Times New Roman" w:hAnsi="Times New Roman" w:cs="Times New Roman"/>
          <w:color w:val="000000" w:themeColor="text1"/>
          <w:sz w:val="16"/>
          <w:szCs w:val="16"/>
        </w:rPr>
        <w:softHyphen/>
        <w:t>ступающими с фронта, горком ВКП(б) дал указание руководству завода №7 и ВНИИМ продолжить совершенствование панцирной защиты.</w:t>
      </w:r>
    </w:p>
    <w:p w14:paraId="2CD53C61" w14:textId="77777777" w:rsidR="00B52A91" w:rsidRPr="00271E51" w:rsidRDefault="00B52A91"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Эти работы привели к появлению двух дополнительных комплектов защиты с учетом антропометрических параметров военнослу</w:t>
      </w:r>
      <w:r w:rsidRPr="00271E51">
        <w:rPr>
          <w:rFonts w:ascii="Times New Roman" w:hAnsi="Times New Roman" w:cs="Times New Roman"/>
          <w:color w:val="000000" w:themeColor="text1"/>
          <w:sz w:val="16"/>
          <w:szCs w:val="16"/>
        </w:rPr>
        <w:softHyphen/>
        <w:t>жащих (по росту и телосложению): для малого (1ПЗ-ЗИФ-20) и высокого роста (ЗПЗ-ЗИФ-20). Изменениям подверглись элементы крепле</w:t>
      </w:r>
      <w:r w:rsidRPr="00271E51">
        <w:rPr>
          <w:rFonts w:ascii="Times New Roman" w:hAnsi="Times New Roman" w:cs="Times New Roman"/>
          <w:color w:val="000000" w:themeColor="text1"/>
          <w:sz w:val="16"/>
          <w:szCs w:val="16"/>
        </w:rPr>
        <w:softHyphen/>
        <w:t>ния щитков, появилась дополнительная мягкая прокладка; для всех трех ростовых размеров ввели унифицированные поясные щитки, при</w:t>
      </w:r>
      <w:r w:rsidRPr="00271E51">
        <w:rPr>
          <w:rFonts w:ascii="Times New Roman" w:hAnsi="Times New Roman" w:cs="Times New Roman"/>
          <w:color w:val="000000" w:themeColor="text1"/>
          <w:sz w:val="16"/>
          <w:szCs w:val="16"/>
        </w:rPr>
        <w:softHyphen/>
        <w:t>чем их количество сократили до двух (17746).</w:t>
      </w:r>
    </w:p>
    <w:p w14:paraId="0B7A1ADA" w14:textId="77777777" w:rsidR="00B52A91" w:rsidRPr="00271E51" w:rsidRDefault="00B52A91" w:rsidP="00271E51">
      <w:pPr>
        <w:pStyle w:val="ae"/>
        <w:shd w:val="clear" w:color="auto" w:fill="FFFFFF"/>
        <w:spacing w:before="0" w:after="0"/>
        <w:jc w:val="both"/>
        <w:rPr>
          <w:color w:val="000000" w:themeColor="text1"/>
          <w:sz w:val="16"/>
          <w:szCs w:val="16"/>
        </w:rPr>
      </w:pPr>
    </w:p>
    <w:p w14:paraId="6664C6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коллектив института (Телемеханический институт № 20 (НИИ-20) НКОП, НКВД, НКАП, НКЭП, МПСС /г. Москва/) вернулся из Барнаула в Москву.</w:t>
      </w:r>
    </w:p>
    <w:p w14:paraId="432D99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31.10.1943 г. вышло распоряжение ГКО № 4482 об изготовлении помехоустойчивой буквопечатающей аппаратуры «Алмаз». 20.03.1944 г. вышло постановление ГКО № 5425 о проектировании и изготовлении в институте образцов и опытных серий РЛС для авиации и ВМФ.</w:t>
      </w:r>
    </w:p>
    <w:p w14:paraId="475730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войны НИИ-20 был единственным разработчиком РЛС обнаружения наземного, авиационного и корабельного базирования. В конце войны начата разработка (совместно с НИИ связи) радиорелейной линии связи «ЛиС» (Липсман и Сосунов) на базе немецкой аппаратуры «Михаэль», в 1950 г. она пнв.</w:t>
      </w:r>
    </w:p>
    <w:p w14:paraId="76E2A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1940-х  г. работал Н.А. Викторов по наземной радиолокации, затем недолго работал в КБ-1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 далее - в НИИ-244. Работы по системам для «Даль».</w:t>
      </w:r>
    </w:p>
    <w:p w14:paraId="6FC9A9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институт специализировался на разработке РЛС дальнего обнаружения и наведения в сантиметровом и дециметровом диапазонах, РЛС обнаружения низколетящих целей, радиотрансляционных линий и наземных радиозапросчиков.</w:t>
      </w:r>
    </w:p>
    <w:p w14:paraId="268337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Начата разработка РЛС П-50 «Обсерватория» для систем защиты государственных объектов и П-20 «Перископ» наведения истребителей. В соответствии с ПСМ № 185-90сс от 2.02.1954 г. РЛС «Обсерватория» пнв.</w:t>
      </w:r>
    </w:p>
    <w:p w14:paraId="12F4D4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от 09.1950 г. с 1951 г. начата разработка РЖ обнаружения А-100 «Кама» для системы ПВО Москвы С-25.</w:t>
      </w:r>
    </w:p>
    <w:p w14:paraId="5597C2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НИИ-20 передан в ведение МПСС. В 1954 г. НИИ-20 переименован в ГС НИИ-244.</w:t>
      </w:r>
    </w:p>
    <w:p w14:paraId="3A0BF2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(25.09.1937-41 г.)- В.Ф. Захаров, (1941-44 г.)- В.В. Литарев, (1944 г.)- К.Л. Куракин, (1950-54 г.)- А.П. Земнорей.</w:t>
      </w:r>
    </w:p>
    <w:p w14:paraId="777506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Помощник директора по техчасти (8.09.1937 г.-)- Попов. Зам. директора (25.09.1937 г.-)- М.Е. Азбель, (1940-е)-  Г.П. Казанский.</w:t>
      </w:r>
    </w:p>
    <w:p w14:paraId="5F8A70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(25.09.1937 г.-)- М.Е. Азбель, (1940-41 г.)- Н.Л. Попов, (1941 г.-)- А.А. Фин.</w:t>
      </w:r>
      <w:r w:rsidRPr="00271E51">
        <w:rPr>
          <w:rFonts w:ascii="Times New Roman" w:hAnsi="Times New Roman"/>
          <w:color w:val="000000" w:themeColor="text1"/>
          <w:sz w:val="16"/>
          <w:szCs w:val="16"/>
          <w:vertAlign w:val="superscript"/>
        </w:rPr>
        <w:t>130</w:t>
      </w:r>
    </w:p>
    <w:p w14:paraId="5D1BE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Ленинградского филиала (8.09.1937 г.-)- Медведев.</w:t>
      </w:r>
    </w:p>
    <w:p w14:paraId="126B8B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Ленинградского филиала (8.09.1937 г.-)- Ю.А. Шаровский.</w:t>
      </w:r>
    </w:p>
    <w:p w14:paraId="42E0EA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(1940 г.)- А.Б. Слепушкин (РУС-2), (1941 г.-)- В.В. Тихомиров («Гнейс-2»), (1940-е)- Б.П. Лебедев («Гюйс-1М4»), (1949 г.)- Л.В. Леонов (П-20), С.А. Смирнов («Цепочка»), Р.Б. Улинич, А.А. Фин (КРСТБ).</w:t>
      </w:r>
    </w:p>
    <w:p w14:paraId="49820B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С.П. Заворотищев.</w:t>
      </w:r>
    </w:p>
    <w:p w14:paraId="1D073EC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Начальники отделов: антенного (-1954 г.)- А.Р. Волъпсрт, конструкторского (1947-50 г.)- С.П. Заворотищев* (-1954 г.)- П.П. Петров, (-1945 г.)- А.Б. Слепушкин.</w:t>
      </w:r>
    </w:p>
    <w:p w14:paraId="39FFF1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(-1941 г.)- А.А. Фин.</w:t>
      </w:r>
    </w:p>
    <w:p w14:paraId="2AE523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лабораторий: радиоприемных устройств (1938-54 г.)- С.Н. Гарнов; (1941-54 г.)- Л.В. Леонов, (1943- 51 г.)- Ю.А. Мантейфель, (1949 г.-)- Ю.Б. Кобзарев, (1950 г.)- Ф.П. Липсман, (-1951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Рабинович, (1938- 50 г.)- В.В. Самарин, (1938 г.-)- А.Б. Слепушкин, (1941 г.-)- В.В. Тихомиров, А.А. Фин.</w:t>
      </w:r>
    </w:p>
    <w:p w14:paraId="338AD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Создано: РЛС: РУС-2 («Редут-40», пнв 26.07.1940 г.), «Редут-41» (пнв в 1941 г.), СОН-2 (пнв 10.02.1942), СОН- 4, «Пегматит» (РУС-2с, пнв в 06.1941 г.), «Пегматит-2м» (П-2м); наведения истребителей П-3 (1944), П-20 «Перископ» (пнв в 1949 г.); самолетные «Гнейс-2 (1942, пнв 16.06.1943 г.), -2М (1943), -5М» (1944, пнв 19.04.1945 г.); корабельные «Редут-К» (1941), «Гюйс» (1944), «Гюйс-1» (1944), «Гюйс-1М» (пнв 27.01.1945 г.); П- 50 «Обсерватория» (пнв 2.02.1954 г.); аппаратура связи: для авиации «Изумруд», для морского приемного узла «Пальма-А», для партизанских отрядов «Вогезит» (ВОВ); кварцевая радиостанция сети танкового батальона КРСТБ (ВОВ); быстродействующая телеграфная радиолиния «Алмаз» (1943); радиорелейные линии: «Рубин», «Цепочка», «Диск» (1940-е), Р-400 («ЛиС», пнв в 1950 г.); самолетный прицел «Нефелин» для низковысотного торпедометания (ВОВ); автоматические электробомбосбрасыватели ЭСБР (ВОВ); запросчик НРЗ-1 (11982).</w:t>
      </w:r>
    </w:p>
    <w:p w14:paraId="71B507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49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Распоряжением ГКО ЦАГИ было предписано подготовить проект газодиффузионной установки для разделения изотопов урана под руководством С.А. Христиановича. Это же распоряжение обязывало М.Г. Первухина и С.В. Кафтанова представить в декабре 1943 года в ГКО предложение на изготовление газодиффузионной машины (10549).</w:t>
      </w:r>
    </w:p>
    <w:p w14:paraId="698850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908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М.О. Корнфельд представил И.В. Курчатову записку о возможностях получения тяжелой воды, необходимой для исследований Лаборатории No. 2. В записке отмечается, что для получения воды, слабообогащенной дейтерием, могут использоваться возможности Московского электролизного завода. Однако для получения тяжелой воды с большим содержанием дейтерия целесообразно использовать возможности Чирчикского электролизного завода (10549).</w:t>
      </w:r>
    </w:p>
    <w:p w14:paraId="174105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0BC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Нарко</w:t>
      </w:r>
      <w:r w:rsidRPr="00271E51">
        <w:rPr>
          <w:rFonts w:ascii="Times New Roman" w:hAnsi="Times New Roman"/>
          <w:color w:val="000000" w:themeColor="text1"/>
          <w:sz w:val="16"/>
          <w:szCs w:val="16"/>
        </w:rPr>
        <w:softHyphen/>
        <w:t>мат ВМФ признал нецелесообразным строительство сверхмалой подводной лодки специального типа, имевшей сравнительно низ</w:t>
      </w:r>
      <w:r w:rsidRPr="00271E51">
        <w:rPr>
          <w:rFonts w:ascii="Times New Roman" w:hAnsi="Times New Roman"/>
          <w:color w:val="000000" w:themeColor="text1"/>
          <w:sz w:val="16"/>
          <w:szCs w:val="16"/>
        </w:rPr>
        <w:softHyphen/>
        <w:t>кие "оперативно-тактические качества". Прагматизм адмиралов, желавших получить лучшее вооружение, вполне понятен. Но строи</w:t>
      </w:r>
      <w:r w:rsidRPr="00271E51">
        <w:rPr>
          <w:rFonts w:ascii="Times New Roman" w:hAnsi="Times New Roman"/>
          <w:color w:val="000000" w:themeColor="text1"/>
          <w:sz w:val="16"/>
          <w:szCs w:val="16"/>
        </w:rPr>
        <w:softHyphen/>
        <w:t>тельство опытной сверхмалой лодки, которая, кстати, могла ока</w:t>
      </w:r>
      <w:r w:rsidRPr="00271E51">
        <w:rPr>
          <w:rFonts w:ascii="Times New Roman" w:hAnsi="Times New Roman"/>
          <w:color w:val="000000" w:themeColor="text1"/>
          <w:sz w:val="16"/>
          <w:szCs w:val="16"/>
        </w:rPr>
        <w:softHyphen/>
        <w:t>заться весьма полезной в кампании 1944—1945 гг. на Балтике, по</w:t>
      </w:r>
      <w:r w:rsidRPr="00271E51">
        <w:rPr>
          <w:rFonts w:ascii="Times New Roman" w:hAnsi="Times New Roman"/>
          <w:color w:val="000000" w:themeColor="text1"/>
          <w:sz w:val="16"/>
          <w:szCs w:val="16"/>
        </w:rPr>
        <w:softHyphen/>
        <w:t>зволило бы не только проверить проектные решения, но и нако</w:t>
      </w:r>
      <w:r w:rsidRPr="00271E51">
        <w:rPr>
          <w:rFonts w:ascii="Times New Roman" w:hAnsi="Times New Roman"/>
          <w:color w:val="000000" w:themeColor="text1"/>
          <w:sz w:val="16"/>
          <w:szCs w:val="16"/>
        </w:rPr>
        <w:softHyphen/>
        <w:t>пить опыт, которого не доставало нашему флоту в использовании специальных средств борьбы на море (3898).</w:t>
      </w:r>
    </w:p>
    <w:p w14:paraId="63F3F8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84C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постройка "стотонников" началась на заводах 190 и 370. На каждом из них заложили по восемь единиц. Приме</w:t>
      </w:r>
      <w:r w:rsidRPr="00271E51">
        <w:rPr>
          <w:rFonts w:ascii="Times New Roman" w:hAnsi="Times New Roman"/>
          <w:color w:val="000000" w:themeColor="text1"/>
          <w:sz w:val="16"/>
          <w:szCs w:val="16"/>
        </w:rPr>
        <w:softHyphen/>
        <w:t>няя при сборке элементы поточного метода с крановым спуском, эти заводы строили один тральщик за 9—12 мес. До 1 декабря 1944 г. завод 370 сдал семь кораблей типа МТ-1, а завод 190 — де</w:t>
      </w:r>
      <w:r w:rsidRPr="00271E51">
        <w:rPr>
          <w:rFonts w:ascii="Times New Roman" w:hAnsi="Times New Roman"/>
          <w:color w:val="000000" w:themeColor="text1"/>
          <w:sz w:val="16"/>
          <w:szCs w:val="16"/>
        </w:rPr>
        <w:softHyphen/>
        <w:t>вять, в том числе один, переведенный для достройки с завода 370. Таким образом, вся первая серия (МТ-1) составила 34 тральщика (3898).</w:t>
      </w:r>
    </w:p>
    <w:p w14:paraId="6AB43A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17B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ГМШ выдал за</w:t>
      </w:r>
      <w:r w:rsidRPr="00271E51">
        <w:rPr>
          <w:rFonts w:ascii="Times New Roman" w:hAnsi="Times New Roman"/>
          <w:color w:val="000000" w:themeColor="text1"/>
          <w:sz w:val="16"/>
          <w:szCs w:val="16"/>
        </w:rPr>
        <w:softHyphen/>
        <w:t>дание на проектирование новых бронекатеров (двух- и однобашен</w:t>
      </w:r>
      <w:r w:rsidRPr="00271E51">
        <w:rPr>
          <w:rFonts w:ascii="Times New Roman" w:hAnsi="Times New Roman"/>
          <w:color w:val="000000" w:themeColor="text1"/>
          <w:sz w:val="16"/>
          <w:szCs w:val="16"/>
        </w:rPr>
        <w:softHyphen/>
        <w:t>ного) с 76-мм артиллерией (3898).</w:t>
      </w:r>
    </w:p>
    <w:p w14:paraId="484C6D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8B9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был одобрен пр. 123бис, реализованный в большой серии катеров (120 единиц), из которых пять было сдано заводом 639 во второй половине 1944 г. и еще 44 — в 1945 г.Часть катеров этого типа собирали и сдавали на заводе 194 в Ле</w:t>
      </w:r>
      <w:r w:rsidRPr="00271E51">
        <w:rPr>
          <w:rFonts w:ascii="Times New Roman" w:hAnsi="Times New Roman"/>
          <w:color w:val="000000" w:themeColor="text1"/>
          <w:sz w:val="16"/>
          <w:szCs w:val="16"/>
        </w:rPr>
        <w:softHyphen/>
        <w:t>нинграде. При испытаниях головного катера вьывились рыскли</w:t>
      </w:r>
      <w:r w:rsidRPr="00271E51">
        <w:rPr>
          <w:rFonts w:ascii="Times New Roman" w:hAnsi="Times New Roman"/>
          <w:color w:val="000000" w:themeColor="text1"/>
          <w:sz w:val="16"/>
          <w:szCs w:val="16"/>
        </w:rPr>
        <w:softHyphen/>
        <w:t>вость и повышенный крен на циркуляции, а также необходимость доработки гребных винтов, что было впоследствии учтено при се</w:t>
      </w:r>
      <w:r w:rsidRPr="00271E51">
        <w:rPr>
          <w:rFonts w:ascii="Times New Roman" w:hAnsi="Times New Roman"/>
          <w:color w:val="000000" w:themeColor="text1"/>
          <w:sz w:val="16"/>
          <w:szCs w:val="16"/>
        </w:rPr>
        <w:softHyphen/>
        <w:t>рийной постройке. Катера пр. 123бис (их называли еще типом "Комсомолец"), по мнению моряков, имели очевидные тактические преимущества перед Г-5. Правда, мощность заряда 450-мм торпед была ниже, чем у 533-мм, что, возможно, и проявилось при атаке ТК-131 ("Речник Ангары") немецкого эсминца Z-34, который пол</w:t>
      </w:r>
      <w:r w:rsidRPr="00271E51">
        <w:rPr>
          <w:rFonts w:ascii="Times New Roman" w:hAnsi="Times New Roman"/>
          <w:color w:val="000000" w:themeColor="text1"/>
          <w:sz w:val="16"/>
          <w:szCs w:val="16"/>
        </w:rPr>
        <w:softHyphen/>
        <w:t>учил тяжелые повреждения, но не затонул (3898).</w:t>
      </w:r>
    </w:p>
    <w:p w14:paraId="4A86B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CE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августа 1943 в Ленинграде закончен ремонт линкора "Октябрьская революция", эсминца "Славный" и 37 боевых катеров, сданы флоту 80 тралов и по заказу фронта - 2000 мин. Продолжались работы на эсминцах "Строгий", "Стройный" и "Опытный". Ждановцы заложили свой первый ТЩ типа МТ-1. Рабочие завода им. А. А. Кулакова изготовили 11112 автоматов ППС. Рабочие-балтийцы, соревнуясь, перевыполнили производственные задания (10671).</w:t>
      </w:r>
    </w:p>
    <w:p w14:paraId="77B2FC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7935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42C1C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618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противотанковые Ил-2 с НС-37 появились на фронте в составе 2-го шак. В следующем месяце их боевое применение началось в частях 1-го шак, а в октябре-ноябре - 7-го шак, 1-й гвардейской и 227-й шад. В общей сложности в войсковых испытаниях были учтены результаты боевых вылетов 96 Ил-2 с НС-37 (12020).</w:t>
      </w:r>
    </w:p>
    <w:p w14:paraId="2B305D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E8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по май 1945 г. согласно данным данные о боевой работе 211-й шад 3-й ВА дивизия выполнила 7000 самолето-вылетов. В 6500 вылетах самолеты Ил-2 получили повреждения. Из них в 6160 случаях летчикам удалось совершить благополучную посадку на свой аэродром. Еще в 11 случаях летчики вынужденно сажали самолеты вне аэродрома. Всего же убыль материальной части 211-й шад составила 260 самолетов. Силами ПАРМ-1 и технического состава полков дивизии было отремонтировано и введено в строй 6000 самолетов из числа совершивших посадки на свой аэродром и 54 Ил-2 — из числа севших вынужденно вне аэродрома. Остальные самолеты были списаны (18 Ил-2) или отправлены в тыл на ремонтные заводы (160 Ил-2) (11921).</w:t>
      </w:r>
    </w:p>
    <w:p w14:paraId="6B378C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C3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на В-25 с самолетов Ил-4 перевооружили 2-й ГБАП ДД 1-й ГБАД ДД (бывший 748-й ДБАП особого назначения 3-й БАД ДД). В этом полку на машине B-25D &lt;Олег Кошевой&gt;, приобретенной на средства, собранные молодежью Донбасса, воевал один из самых известных асов АДД, дважды Герой Советского Союза А.И. Молодчий. Одновременно бомбардировщиками В-25 вооружили 362-й БАП ДД. Некоторые самолеты В-25 служили в качестве разведчиков как в ВВС (48-и ГБАП и 118-я ОДРАЭ), так и в авиации ВМФ (15-й ОРАП КБФ и 118-й ОМРАП СФ) (3198).</w:t>
      </w:r>
    </w:p>
    <w:p w14:paraId="69331C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92D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офицеры “Нормандии” получили первые советские боевые награды: Дюпра, Дюрану и Лефевру вручили ордена Отечественной войны II степени. Тюлян и Литольф были посмертно награждены орденами Отечественной войны I степени (3956).</w:t>
      </w:r>
    </w:p>
    <w:p w14:paraId="548B0D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0DA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французские авиамеханики полка Нормандия, созданного на основе французской авиаэскадрильи 5 июля 1943, были отозваны в Северную Африку и и-т и штабной состав был заменен на советский (340,185).</w:t>
      </w:r>
    </w:p>
    <w:p w14:paraId="6B5AC3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1DC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на Черном море Б.Маслов на Бостоне спикировал на истребитель FW 190 и поджег его (3457,110).</w:t>
      </w:r>
    </w:p>
    <w:p w14:paraId="0C440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5CC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самолеты 11-го истребительного полка ЧМФ вошли в группу, наносившую удар но аэродрому в Анапе. Они не только защищали бомбардировщики и штурмовики от вражеских истребителей, по и сами обстреливали летное ноле: восемь немецких самолетов сгорело н еще шесть были серьезно повреждены. В ноябре "Кобры" висели в небе над плацдармом, захваченным десантниками под Керчью. Затем полк перебазировали ио;1 Скадовск, откуда он перехватывал транспортные самолеты, перевозившие в Крым грузы и подкрепления, а затем эвакуировавшие немцев (3457,73).</w:t>
      </w:r>
    </w:p>
    <w:p w14:paraId="6FDBC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52A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года В-25 стали поступать во 2-й гвардейский полк полковника И.Ф.Балашова. Ими вооружили 1-ю эскадрилью, которой командовал дважды Герой Советского Союза А. И. Молодчий. К февралю 1944 года в полку насчитывалось уже 20 В-25, в основном новейшей модификации J. Американские заводы освоили очередную модификацию В-25J с усиленным вооружением в 1943 году. При установке спереди па бортах фюзеляжа дополнительных пулеметных контейнеров оно доходило до 11 стволов калибра 12,7 мм. На одного человека увеличился экипаж. У нас, правда, летали с экипажем из пяти человек - функции штурмана и бомбардира по-прежнему совмещались. Хотя на модели стояли более мощные моторы R-2600-29, увеличение веса (в том числе из-за большей бомбовой нагрузки) снизило все летные характеристики самолета (3457,92).</w:t>
      </w:r>
    </w:p>
    <w:p w14:paraId="44780C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372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немцы начали применять в авиации РС 3-го поколения - 21 см 21 cv Wgr 42 Spr под обозначением WG-21 yf FW-190 A-4/R-6. В пехоте также применялись 30 см Wk 42 Spr/B 30 см Wk 4491/B. На базе 21 см потом разрабатывались послевоенные РС М-24 и М-14 (3815).</w:t>
      </w:r>
    </w:p>
    <w:p w14:paraId="03FD0E5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BF8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август 1943 над Москвой перестал летать Ju-86R-1С, который появлялся шесть раз с июля 1942 (65,122).</w:t>
      </w:r>
    </w:p>
    <w:p w14:paraId="3206BE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8B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после того, как стало окончательно ясно, что лодки в море не выйдут, командование наконец-то начало решительный поворот морской авиации в сторону моря. Впрочем, поскольку подготовка экипажей «Бостонов» всё ещё продолжалась, наличный состав сил ограничивался семью Ил-4, тремя ДБ-3Б и одним СБ. Самолеты, часть из которых эксплуатировалась с первого дня войны, использовались с максимальным напряжением. Иногда летчики успевали слетать на ночную минную постановку, а днем пара экипажей уже посылалась на поиск кораблей противника в Финский залив с торпедами (9965).</w:t>
      </w:r>
    </w:p>
    <w:p w14:paraId="79E636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7D6C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истребительно-противотанковый артиллерийский полк (ИПТАП 20 45-мм пушек), а также истребительно-проти</w:t>
      </w:r>
      <w:r w:rsidRPr="00271E51">
        <w:rPr>
          <w:rFonts w:ascii="Times New Roman" w:hAnsi="Times New Roman"/>
          <w:color w:val="000000" w:themeColor="text1"/>
          <w:sz w:val="16"/>
          <w:szCs w:val="16"/>
        </w:rPr>
        <w:softHyphen/>
        <w:t>вотанковый дивизион (12 85-мм противотанковых пушек обр. 1941 г.) танкового корпуса сменили два само-ходно-артиллерийских полка (на СУ-76 и СУ-152). В ок</w:t>
      </w:r>
      <w:r w:rsidRPr="00271E51">
        <w:rPr>
          <w:rFonts w:ascii="Times New Roman" w:hAnsi="Times New Roman"/>
          <w:color w:val="000000" w:themeColor="text1"/>
          <w:sz w:val="16"/>
          <w:szCs w:val="16"/>
        </w:rPr>
        <w:softHyphen/>
        <w:t>тябре в отдельных танковых корпусах, а в ноябре во всех остальных вместо бронеавтомобильного батальона вводит</w:t>
      </w:r>
      <w:r w:rsidRPr="00271E51">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271E51">
        <w:rPr>
          <w:rFonts w:ascii="Times New Roman" w:hAnsi="Times New Roman"/>
          <w:color w:val="000000" w:themeColor="text1"/>
          <w:sz w:val="16"/>
          <w:szCs w:val="16"/>
        </w:rPr>
        <w:softHyphen/>
        <w:t>спортеров и истребительно-противотанковой артиллерий</w:t>
      </w:r>
      <w:r w:rsidRPr="00271E51">
        <w:rPr>
          <w:rFonts w:ascii="Times New Roman" w:hAnsi="Times New Roman"/>
          <w:color w:val="000000" w:themeColor="text1"/>
          <w:sz w:val="16"/>
          <w:szCs w:val="16"/>
        </w:rPr>
        <w:softHyphen/>
        <w:t>ской батареи (45-мм пушки) (11135).</w:t>
      </w:r>
    </w:p>
    <w:p w14:paraId="6656A45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AC172"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 Сталинграде 6 км кабельной сетки 6-го батальона электризуемых заграждений убили 400 солдат и офицеров противника. ЭЗ применялись на Курской дуге, в Ясско-Кишипёвской операции, при блокировании 188-тысячной вражеской группировки под Будапештом, у озера Балатон... Там, где наша пехота стояла под прикрытием, как их называли, «огненных сеток», она жила, образно говоря, как у Христа за пазухой (15603).</w:t>
      </w:r>
    </w:p>
    <w:p w14:paraId="5D0BFC38" w14:textId="77777777" w:rsidR="008E3AD4" w:rsidRPr="00271E51" w:rsidRDefault="008E3AD4" w:rsidP="00271E51">
      <w:pPr>
        <w:spacing w:after="0" w:line="240" w:lineRule="auto"/>
        <w:jc w:val="both"/>
        <w:rPr>
          <w:rFonts w:ascii="Times New Roman" w:hAnsi="Times New Roman"/>
          <w:color w:val="000000" w:themeColor="text1"/>
          <w:sz w:val="16"/>
          <w:szCs w:val="16"/>
        </w:rPr>
      </w:pPr>
    </w:p>
    <w:p w14:paraId="2FD7C6F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3F8A4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C4357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в Автозаводском районе города Горького после длительной разработки была арестована преступная группа, занимавшаяся подделкой хлебных талонов. В нее входили механик ГАЗа К. С. Климов, заведующая магазином № 138 М. С. Андрианова, начальник спецучастка МПВО автозавода А. Попов, а также нигде не работавшие Г. Д. Давиденко и Ф. Козлов. Технология изготовления фальшивок была следующей. Андрианова добывала обрезки полей хлебных карточек, на которых имелись водяные знаки. Затем с помощью станка и типографского шрифта на них печатались поддельные карточки. Типографский шрифт «Гарт», как установило следствие, Козлов похитил еще в 1941 г., когда работал в типографии заводской газеты «Автогигант». Далее Климов через знакомых продавщиц магазинов № 10 и 138 обменивал их на бессрочные пятидневные талоны. В качестве вознаграждения они получали часть поддельных карточек себе. Приобретенные таким образом бессрочные пятидневные талоны на питание Климов продавал на рынке по цене 300 рублей за штуку. Позднее выяснилось, что только за июль — начало августа 1943 г. преступная группа изготовила поддельных талонов на две тонны хлеба. [428 — ГОПАНО, Ф. 3, Оп. 1, Д. 3398, Л. 29.]. Первым 10 августа был арестован сам Климов. При обыске у него были изъяты 25 тысяч рублей и большое количество обрезков полей хлебных карточек. 18 августа милиционеры задержали остальных участников группы: Давиденко, Козлова, Попова и Андрианову. У них изъяли: настольные тиски в виде станка, типографский шрифт, краску различных цветов, обрезки полей продовольственных карточек, деньги в сумме 15 тысяч рублей и поддельные талоны на 100 кг хлеба. И это в то время, как рабочие по карточкам получали в день 800 граммов хлеба (11741).</w:t>
      </w:r>
    </w:p>
    <w:p w14:paraId="26446DC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351B47"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2644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11A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руководители внешнеполитических ведомств США и Британии встретились повторно, избрав местом для проведения конференции Квебек (Канада). В качестве наблюдателя на эту встречу был приглашен представитель правительства Чан Кайши. Обсуждение вопроса о Бирме переросло в общую дискуссию о дальневосточной стратегии США и Британии. Именно по общим вопросам стратегии в Квебеке и был достигнут наиболее существенный прогресс. США и Великобритания согласились с тем, что разгром Японии должен быть завершен в течение 12 месяцев после окончания войны с Германией.</w:t>
      </w:r>
    </w:p>
    <w:p w14:paraId="643288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согласовать конкретные детали, касающиеся совместных действий на материке, снова не удалось. Стороны придерживались разных точек зрения на перспективы национально-освободительного процесса в Азии. Добиваясь отсрочки операций в Бирме, Британия рассчитывала осуществить ее прежде всего и в основном собственными силами - при относительно вспомогательной роли США и во всяком случае без участия Китая. Сконцентрировать необходимые для этого ресурсы Лондон мог лишь ценой переключения части своих усилий с европейского театра. До той поры британское правительство предпочитало терпеть в Бирме японское присутствие, но не рисковать потерей политического контроля над освобожденной Бирмой в случае ее оккупации соединенными контингентами Великобритании, США и Китая (3871).</w:t>
      </w:r>
    </w:p>
    <w:p w14:paraId="01B5D2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4064" w14:textId="77777777" w:rsidR="00CE2EFD" w:rsidRPr="00271E51" w:rsidRDefault="00CE2EFD" w:rsidP="00271E51">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271E51">
        <w:rPr>
          <w:rFonts w:ascii="Times New Roman" w:hAnsi="Times New Roman"/>
          <w:color w:val="000000" w:themeColor="text1"/>
          <w:sz w:val="16"/>
          <w:szCs w:val="16"/>
        </w:rPr>
        <w:t>В августе 1943 г. при Народном комиссариате иностранных дел СССР была создана специальная Комиссия по репарациям под руководством Ивана Михайловича Майского (ранее занимавшего пост посла СССР в Великобритании) 8 . В октябре 1943 г. через неофициальные каналы Советский Союз заявил о необходимости конфискации немецкой собственности за границей, демонтажа промышленных предприятий и изъятия части производимой в Германии продукции. Академик Евгений Самуилович Варга оценил общую сумму ущерба, причиненного войной СССР, от 800 млрд до 1 трлн золотых рублей [Варга, 1943; Baar, Karlsch, Matschke, 1993. S. 11—12; Laufer, 1995. S. 22ff.]. Стало ясно, что целью СССР является максимальный вывоз имущества из побежденных стран в как можно более короткий срок [Karlsch, 1993(a). S. 17] (19850).</w:t>
      </w:r>
    </w:p>
    <w:p w14:paraId="07EB2D19" w14:textId="77777777" w:rsidR="00CE2EFD" w:rsidRPr="00271E51" w:rsidRDefault="00CE2EFD" w:rsidP="00271E51">
      <w:pPr>
        <w:spacing w:after="0" w:line="240" w:lineRule="auto"/>
        <w:jc w:val="both"/>
        <w:rPr>
          <w:rFonts w:ascii="Times New Roman" w:hAnsi="Times New Roman"/>
          <w:color w:val="000000" w:themeColor="text1"/>
          <w:sz w:val="16"/>
          <w:szCs w:val="16"/>
          <w:bdr w:val="none" w:sz="0" w:space="0" w:color="auto" w:frame="1"/>
          <w:shd w:val="clear" w:color="auto" w:fill="FBFCFC"/>
        </w:rPr>
      </w:pPr>
    </w:p>
    <w:p w14:paraId="374D9FD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7F975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494FDD"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Август 1943 первый полет </w:t>
      </w:r>
      <w:r w:rsidRPr="00271E51">
        <w:rPr>
          <w:rFonts w:ascii="Times New Roman" w:hAnsi="Times New Roman"/>
          <w:color w:val="0070C0"/>
          <w:sz w:val="16"/>
          <w:szCs w:val="16"/>
          <w:lang w:val="en-US"/>
        </w:rPr>
        <w:t>Yokosuka</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P</w:t>
      </w:r>
      <w:r w:rsidRPr="00271E51">
        <w:rPr>
          <w:rFonts w:ascii="Times New Roman" w:hAnsi="Times New Roman"/>
          <w:color w:val="0070C0"/>
          <w:sz w:val="16"/>
          <w:szCs w:val="16"/>
        </w:rPr>
        <w:t>1</w:t>
      </w:r>
      <w:r w:rsidRPr="00271E51">
        <w:rPr>
          <w:rFonts w:ascii="Times New Roman" w:hAnsi="Times New Roman"/>
          <w:color w:val="0070C0"/>
          <w:sz w:val="16"/>
          <w:szCs w:val="16"/>
          <w:lang w:val="en-US"/>
        </w:rPr>
        <w:t>Y</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Ginga</w:t>
      </w:r>
      <w:r w:rsidRPr="00271E51">
        <w:rPr>
          <w:rFonts w:ascii="Times New Roman" w:hAnsi="Times New Roman"/>
          <w:color w:val="0070C0"/>
          <w:sz w:val="16"/>
          <w:szCs w:val="16"/>
        </w:rPr>
        <w:t xml:space="preserve"> («Млечный Путь»), союзное название «Фрэнсис» (20376).</w:t>
      </w:r>
    </w:p>
    <w:p w14:paraId="50899671" w14:textId="77777777" w:rsidR="00CE2EFD" w:rsidRPr="00271E51" w:rsidRDefault="00CE2EFD" w:rsidP="00271E51">
      <w:pPr>
        <w:spacing w:after="0" w:line="240" w:lineRule="auto"/>
        <w:jc w:val="both"/>
        <w:rPr>
          <w:rFonts w:ascii="Times New Roman" w:hAnsi="Times New Roman"/>
          <w:color w:val="0070C0"/>
          <w:sz w:val="16"/>
          <w:szCs w:val="16"/>
        </w:rPr>
      </w:pPr>
    </w:p>
    <w:p w14:paraId="495D5FFE"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августа 1943 года на серийных «галифаксах» Mk.III, сразу ставились моторы «Геркулес» XVI, а хвостовое колесо полностью закрывалось при уборке. По ходу выпуска самолет постоянно совершенствовался, например, увеличенные округлые законцовки крыла позволили улучшить взлетные качества и высотность. С февраля 1944 года на части самолетов стали ставить нижнюю турель «Престон-Грин» с одним 12,7-мм пулеметом. Ее доводили до ума полтора года, зато это была первая подфюзеляжная установка английской разработки, которая нормально работала. Размеры башни и резервы мощности гидроприводов позволяли прямо в частях ВВС ставить в эту башню и второй пулемет. Но малый объем выпуска турели не позволял обеспечить такой защитой снизу все самолеты. Все «галифаксы» III комплектовались радионавигационной системой «Джи», а многие еще и двумя РЛС — защиты задней полусферы «Моника» и бомбардировочно-навигационной H2S (но при ее установке нельзя было смонтировать нижнюю турель). С середины 1944 года начали выборочно ставить новую РЛС защиты хвоста «Фишпонд», отличавшуюся от «моники» улучшенным индикатором с более удобной системой отображения информации. Самолеты 35-й эскадрильи Бомбардировочного Командования имели комплект «Пасфайндер», включавший радар H2S, усовершенствованный прицел и командную радиостанцию для выдачи целеуказания ударной группе. Освоение производства «галифакса» III шло быстро. К концу 1943 года самолеты этого типа приняли четыре эскадрильи, а к февралю следующего года — уже девять. «Тройка» стала самой массовой машиной семейства — 2127 самолетов было поставлено в войска (22866).</w:t>
      </w:r>
    </w:p>
    <w:p w14:paraId="1E385F2E" w14:textId="77777777" w:rsidR="00CE2EFD" w:rsidRPr="00271E51" w:rsidRDefault="00CE2EFD" w:rsidP="00271E51">
      <w:pPr>
        <w:spacing w:after="0" w:line="240" w:lineRule="auto"/>
        <w:jc w:val="both"/>
        <w:rPr>
          <w:rFonts w:ascii="Times New Roman" w:hAnsi="Times New Roman"/>
          <w:color w:val="0070C0"/>
          <w:sz w:val="16"/>
          <w:szCs w:val="16"/>
        </w:rPr>
      </w:pPr>
    </w:p>
    <w:p w14:paraId="73A81B42"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августе 1943 разработали структурную организацию и штатное расписание спецчастей в составе двух дивизионов, один из которых был подвижным (между мысом Гри-Нэ и полуостровом Контантен на северо- западе Франции) и три стационарных в районах Ваттон, Визерн и Соттеваст. Командование сухопутных войск с такой организацией согласилось и назначило Дорнбергера специальным армейским комиссаром по бал</w:t>
      </w:r>
      <w:r w:rsidRPr="00271E51">
        <w:rPr>
          <w:rFonts w:ascii="Times New Roman" w:hAnsi="Times New Roman"/>
          <w:color w:val="0070C0"/>
          <w:sz w:val="16"/>
          <w:szCs w:val="16"/>
        </w:rPr>
        <w:softHyphen/>
        <w:t>листическим ракетам.</w:t>
      </w:r>
    </w:p>
    <w:p w14:paraId="132AB1FC"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Каждый подвижный дивизион должен был запускать 27, а стацио</w:t>
      </w:r>
      <w:r w:rsidRPr="00271E51">
        <w:rPr>
          <w:rFonts w:ascii="Times New Roman" w:hAnsi="Times New Roman"/>
          <w:color w:val="0070C0"/>
          <w:sz w:val="16"/>
          <w:szCs w:val="16"/>
        </w:rPr>
        <w:softHyphen/>
        <w:t>нарный — 54 ракеты в сутки. Защи</w:t>
      </w:r>
      <w:r w:rsidRPr="00271E51">
        <w:rPr>
          <w:rFonts w:ascii="Times New Roman" w:hAnsi="Times New Roman"/>
          <w:color w:val="0070C0"/>
          <w:sz w:val="16"/>
          <w:szCs w:val="16"/>
        </w:rPr>
        <w:softHyphen/>
        <w:t>щенная стартовая позиция явилась крупным инженерным сооружени</w:t>
      </w:r>
      <w:r w:rsidRPr="00271E51">
        <w:rPr>
          <w:rFonts w:ascii="Times New Roman" w:hAnsi="Times New Roman"/>
          <w:color w:val="0070C0"/>
          <w:sz w:val="16"/>
          <w:szCs w:val="16"/>
        </w:rPr>
        <w:softHyphen/>
        <w:t>ем с бетонным куполом, в котором оборудовали зоны сборки, обслужи</w:t>
      </w:r>
      <w:r w:rsidRPr="00271E51">
        <w:rPr>
          <w:rFonts w:ascii="Times New Roman" w:hAnsi="Times New Roman"/>
          <w:color w:val="0070C0"/>
          <w:sz w:val="16"/>
          <w:szCs w:val="16"/>
        </w:rPr>
        <w:softHyphen/>
        <w:t>вания, казарму, кухню и медпункт. Внутри позиции пролегала железно</w:t>
      </w:r>
      <w:r w:rsidRPr="00271E51">
        <w:rPr>
          <w:rFonts w:ascii="Times New Roman" w:hAnsi="Times New Roman"/>
          <w:color w:val="0070C0"/>
          <w:sz w:val="16"/>
          <w:szCs w:val="16"/>
        </w:rPr>
        <w:softHyphen/>
        <w:t>дорожная ветка, выходящая к забе</w:t>
      </w:r>
      <w:r w:rsidRPr="00271E51">
        <w:rPr>
          <w:rFonts w:ascii="Times New Roman" w:hAnsi="Times New Roman"/>
          <w:color w:val="0070C0"/>
          <w:sz w:val="16"/>
          <w:szCs w:val="16"/>
        </w:rPr>
        <w:softHyphen/>
        <w:t>тонированной стартовой площадке. На самой площадке устанавливался пусковой стол, а все необходимое для старта было размещено на авто</w:t>
      </w:r>
      <w:r w:rsidRPr="00271E51">
        <w:rPr>
          <w:rFonts w:ascii="Times New Roman" w:hAnsi="Times New Roman"/>
          <w:color w:val="0070C0"/>
          <w:sz w:val="16"/>
          <w:szCs w:val="16"/>
        </w:rPr>
        <w:softHyphen/>
        <w:t>мобилях и бронетранспортерах. Все это требовало колоссальных затрат материальных, денежных и людских ресурсов.</w:t>
      </w:r>
    </w:p>
    <w:p w14:paraId="67FABF86"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Первое учебно-боевое подразде</w:t>
      </w:r>
      <w:r w:rsidRPr="00271E51">
        <w:rPr>
          <w:rFonts w:ascii="Times New Roman" w:hAnsi="Times New Roman"/>
          <w:color w:val="0070C0"/>
          <w:sz w:val="16"/>
          <w:szCs w:val="16"/>
        </w:rPr>
        <w:softHyphen/>
        <w:t>ление ракет V-2 было сформировано в июле 1943-го (22801).</w:t>
      </w:r>
    </w:p>
    <w:p w14:paraId="1992739D" w14:textId="77777777" w:rsidR="00CE2EFD" w:rsidRPr="00271E51" w:rsidRDefault="00CE2EFD" w:rsidP="00271E51">
      <w:pPr>
        <w:spacing w:after="0" w:line="240" w:lineRule="auto"/>
        <w:jc w:val="both"/>
        <w:rPr>
          <w:rFonts w:ascii="Times New Roman" w:hAnsi="Times New Roman"/>
          <w:color w:val="0070C0"/>
          <w:sz w:val="16"/>
          <w:szCs w:val="16"/>
        </w:rPr>
      </w:pPr>
    </w:p>
    <w:p w14:paraId="782894D4" w14:textId="77777777" w:rsidR="007E57F6" w:rsidRPr="00271E51" w:rsidRDefault="007E57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1943 года Испытания, проведенные близ Либавы, продемонстрировали не только достоинства, но и довольно серьезные недостатки. "Rheintocher" R-1 могла перехватывать цели лишь на высотах до 6 км и наклонных дальностях - 10-12 км, при собственной скорости 485 м/с. Хотя программа испытаний продолжалась (до 5 января 1945 года осуществили 82 пуска), тем не менее Люфтваффе не могли удовлетворить полученные результаты, и маршал Геринг приказал доработать проект "Rheintocher" R-1 до варианта, способного перехватывать англо-американские самолеты на высоте 10 км. К январю 1945 года были произведены 6 пусков </w:t>
      </w:r>
      <w:r w:rsidRPr="00271E51">
        <w:rPr>
          <w:rFonts w:ascii="Times New Roman" w:hAnsi="Times New Roman"/>
          <w:color w:val="000000" w:themeColor="text1"/>
          <w:sz w:val="16"/>
          <w:szCs w:val="16"/>
        </w:rPr>
        <w:lastRenderedPageBreak/>
        <w:t>неуправляемых вариантов этой новой зенитной ракеты. Причем конструкторы развивали два направления: R-3F, со второй ступенью на жидком топливе, и R-3P - полностью на твердом.</w:t>
      </w:r>
    </w:p>
    <w:p w14:paraId="47E29009" w14:textId="77777777" w:rsidR="007E57F6" w:rsidRPr="00271E51" w:rsidRDefault="007E57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Конструктивно это должна была быть чрезвычайно простая двухступенчатая система, удобная в эксплуатации и дешевая в производстве. Первый вариант ЗУР "Rheintocher" R-1 при общей длине 5,7 м весил 1748 кг. Первая ступень представляла собой цилиндр из двенадцатимиллиметровой стали, закрытый двумя сферическими крышками: верхней - глухой, и нижней - с семью соплами. Центральное сопло предусматривалось как сменное. Внутри первой ступени распологались девятнадцать пороховых шашек весом 240-245 кг. Эта система полностью выгорала за 0,6 с и разгоняла ракету до 300 м/с. потом срабатывали пироболты, крепившие ступени между собой, и отработавшая ступень сбрасывалась.</w:t>
      </w:r>
    </w:p>
    <w:p w14:paraId="59BC8F65" w14:textId="77777777" w:rsidR="007E57F6" w:rsidRPr="00271E51" w:rsidRDefault="007E57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Вторая ступень "Rheintocher" R-1 имела составную конструкцию. В районе ее центра масс располагался стальной цилиндр (толшина стенок чуть более 3 мм) диаметром 510 мм, заполненный 220 кг дигликолевого пороха. Заряд горел в течение 10 с и развивал тягу 4100 кгсю Боевой заряд на "Rheintocher" R-1 размещался не спереди, как у многих других ракет, а под двигательным отсеком, и конструкторы были вынуждены обезопасить его от воздействия высоких температур реактивной струи. Такое решение имело огромное преимущество, так как 150 кг хвостовой части, из которых 22,5 кг занимала взрывчатка, прекрасно балансировали ракету, и выгорание топлива практически не скащывалось на общей балансировке в полете. Носовой отсек отводился под вспомогательное оборудование, генератор и акустический взрыватель "Краних". Кроме того, тут размещались рулевые машинки расположенных тут же подруливающих поверхностей. Таким образом, ЗУР "Rheintocher" R-1 является одним из первых проектов, реализовавших аэродинамическую схему утка.</w:t>
      </w:r>
    </w:p>
    <w:p w14:paraId="31D605A3" w14:textId="77777777" w:rsidR="007E57F6" w:rsidRPr="00271E51" w:rsidRDefault="007E57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"Rheintocher" R-3F опеспечивал досягаемость по высоте - 12 км, наклонную дальность - 20-25 км. К 20 февраля 1945 года 15 ракет "Rheintocher" R-3 поступили в ракетный центр Пенемюнде (15139).</w:t>
      </w:r>
    </w:p>
    <w:p w14:paraId="7AA2FFEC" w14:textId="77777777" w:rsidR="007E57F6" w:rsidRPr="00271E51" w:rsidRDefault="007E57F6" w:rsidP="00271E51">
      <w:pPr>
        <w:spacing w:after="0" w:line="240" w:lineRule="auto"/>
        <w:jc w:val="both"/>
        <w:rPr>
          <w:rFonts w:ascii="Times New Roman" w:hAnsi="Times New Roman"/>
          <w:color w:val="000000" w:themeColor="text1"/>
          <w:sz w:val="16"/>
          <w:szCs w:val="16"/>
        </w:rPr>
      </w:pPr>
    </w:p>
    <w:p w14:paraId="5A410C66" w14:textId="77777777" w:rsidR="007E57F6" w:rsidRPr="00271E51" w:rsidRDefault="007E57F6" w:rsidP="00271E51">
      <w:pPr>
        <w:pStyle w:val="book"/>
        <w:ind w:firstLine="0"/>
        <w:jc w:val="both"/>
        <w:rPr>
          <w:color w:val="000000" w:themeColor="text1"/>
          <w:sz w:val="16"/>
          <w:szCs w:val="16"/>
        </w:rPr>
      </w:pPr>
      <w:r w:rsidRPr="00271E51">
        <w:rPr>
          <w:color w:val="000000" w:themeColor="text1"/>
          <w:sz w:val="16"/>
          <w:szCs w:val="16"/>
        </w:rPr>
        <w:t>В августе 1943 г. вблизи Либавы на Балтийском побережье начались летные испытания ракеты «Рейнтохтер R-1P». Ракета «Рейнтохтер» разрабатывалась фирмой «Рейнметалл-Борзинг» в трех вариантах: твердотопливная ракета «Рейнтохтер R-1P» с досягаемостью 12 км; твердотопливная ракета «Рейнтохтер R-3P» с досягаемостью 12 км и жидкостная ракета «Рейнтохтер R-3F» с досягаемостью 12 км. До июня 1944 г. было сделано 34 пуска. Ракета показала досягаемость по высоте 6 км и наклонную дальность 10—12 км при скорости 485 мс. Такие летные данные (особенно по досягаемости по высоте) уже не могли удовлетворить министерство авиации, поэтому было принято решение о разработке другой ракеты с потолком не менее 10—12 км. Однако испытания и доводка ракеты «Рейнтохтер R-1P» продолжались, и всего до 5 января 1945 г. было произведено 82 пуска ракеты, из которых только 4 оказались неудачными. Разработка ракеты «Рейнтохтер R-3F» началась только в 1944 г. и велась очень быстрыми темпами. В ней полномасштабно использовались уже отработанные элементы ракеты «Рейнтохтер R-1P». До января 1945 г. было произведено 6 пусков ракет в неуправляемом варианте. Но до летных испытаний, которые планировалось провести весной 1945 г. на полигоне ракетного центра в Пенемюнде, ракету довести не успели, поскольку советские войска стремительно приближались, и ракетный центр пришлось эвакуировать. Ракета «Рейнтохтер R-3F» была скомпонована по аэродинамической схеме «утка». Она имела 4 воздушных руля в носовой части и 4 стреловидных крыла, расположенных под углом 90° в хвостовой части. Длина ракеты составляла 4900 мм, диаметр корпуса 530 мм, размах крыльев 2600 мм. Ракета была снабжена боевой частью, имевшей разрывной заряд ВВ с зажигательными элементами весом 150 кг. Вес ракеты составлял 1600 кг. Ракета оснащалась ЖРД «Конрад» и двумя стартовыми пороховыми реактивными двигателями, крепившимися на наружной поверхности корпуса ракеты. ЖРД развивал максимальную тягу около 2200 кгс в течение 5 с, а затем 1800 кгс в течение 38 с. В ЖРД использовались следующие компоненты топлива: горючее — визоль (88 кг) и окислитель — азотная кислота (335 кг). В двигателе использовалась вытеснительная система подачи компонентов топлива. Каждый из двух стартовых двигателей имел заряд динитро-диэтиленгликолевого пороха весом 150 кг и развивал тягу около 25 000 кгс в течение 0,9 с. ЗУР «Рейнтохтер», как и «Вассерфаль», наводилась на цель системой управления «Эльзас». Для запуска ракеты предполагалось использовать передвижную пусковую установку с направляющей, устанавливаемой в направлении цели под углом возвышения около 70°. В 1947 г. в СССР все работы по ракете «Рейнтохтер» были прекращены (15139).</w:t>
      </w:r>
    </w:p>
    <w:p w14:paraId="0C859513" w14:textId="77777777" w:rsidR="007E57F6" w:rsidRPr="00271E51" w:rsidRDefault="007E57F6" w:rsidP="00271E51">
      <w:pPr>
        <w:pStyle w:val="book"/>
        <w:ind w:firstLine="0"/>
        <w:jc w:val="both"/>
        <w:rPr>
          <w:color w:val="000000" w:themeColor="text1"/>
          <w:sz w:val="16"/>
          <w:szCs w:val="16"/>
        </w:rPr>
      </w:pPr>
    </w:p>
    <w:p w14:paraId="7BB4C2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после массированной бомбардировки британской авиацией немецкого испытательного ракетного центра Пеенемюнде на Балтике, в местечке Нидерзаксенверфен под г. Нордхаузеном в Тюрингии был создан специальный кон</w:t>
      </w:r>
      <w:r w:rsidRPr="00271E51">
        <w:rPr>
          <w:rFonts w:ascii="Times New Roman" w:hAnsi="Times New Roman"/>
          <w:color w:val="000000" w:themeColor="text1"/>
          <w:sz w:val="16"/>
          <w:szCs w:val="16"/>
        </w:rPr>
        <w:softHyphen/>
        <w:t>центрационный лагерь «Дора-Миттельбау». В штольнях горы Конштайн узники ла</w:t>
      </w:r>
      <w:r w:rsidRPr="00271E51">
        <w:rPr>
          <w:rFonts w:ascii="Times New Roman" w:hAnsi="Times New Roman"/>
          <w:color w:val="000000" w:themeColor="text1"/>
          <w:sz w:val="16"/>
          <w:szCs w:val="16"/>
        </w:rPr>
        <w:softHyphen/>
        <w:t>геря построили огромный подземный завод по производству боевых ракет Фау. Стройку лично курировал начальник строительного управления СС группенфюрер СС Г. Каммлер, занимавшийся по поручению Гитлера «специальными видами воо</w:t>
      </w:r>
      <w:r w:rsidRPr="00271E51">
        <w:rPr>
          <w:rFonts w:ascii="Times New Roman" w:hAnsi="Times New Roman"/>
          <w:color w:val="000000" w:themeColor="text1"/>
          <w:sz w:val="16"/>
          <w:szCs w:val="16"/>
        </w:rPr>
        <w:softHyphen/>
        <w:t>ружений». Через лагерь «Дора» до конца войны прошли 60 000 чел., из них 20 000 чел. погибли. Уже в январе 1944 г. первые 50 ракет Фау покинули заводской конвейер и поступили на вооружение ракетных частей вермахта. После запуска основных производственных мощностей подземный завод «Дора-Миттельбау» был в состоянии производить 2350 авиационных моторов «Юнкере» и 36 000 ракет Фау-1 и Фау-2 в год. О размерах завода красноречиво свидетельствуют следующие цифры: только производственные площади завода составляли 152 000 кв. метров; штольни, где собирались ракеты, достигали 160 м в длину и 24 м в высоту. По этому вопросу см: Краткая пояснительная записка о подземном заводе в г. Нордхаузен на</w:t>
      </w:r>
      <w:r w:rsidRPr="00271E51">
        <w:rPr>
          <w:rFonts w:ascii="Times New Roman" w:hAnsi="Times New Roman"/>
          <w:color w:val="000000" w:themeColor="text1"/>
          <w:sz w:val="16"/>
          <w:szCs w:val="16"/>
        </w:rPr>
        <w:softHyphen/>
        <w:t>чальника Военного сектора УСВАземли Тюрингия полковника А.К. Кортунова на</w:t>
      </w:r>
      <w:r w:rsidRPr="00271E51">
        <w:rPr>
          <w:rFonts w:ascii="Times New Roman" w:hAnsi="Times New Roman"/>
          <w:color w:val="000000" w:themeColor="text1"/>
          <w:sz w:val="16"/>
          <w:szCs w:val="16"/>
        </w:rPr>
        <w:softHyphen/>
        <w:t>чальнику Военного управления СВАГ генерал-лейтенанту Г.С. Лукьянченко от 9 февраля 1946 г. ГА РФ. Ф. Р-7317. Он. 12. Д. 69. Л. 130-131.</w:t>
      </w:r>
    </w:p>
    <w:p w14:paraId="6099AF4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75A2C"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разработали структурную организацию и штатное расписание спецчастей Фау-2 в составе двух дивизионов, один из которых был подвижным (между мысом Гри-Нэ и полуостровом Контантен на северо- западе Франции) и три стационарных в районах Ваттон, Визерн и Соттеваст. Командование сухопутных войск с такой организацией согласилось и назначило Дорнбергера специаль</w:t>
      </w:r>
      <w:r w:rsidRPr="00271E51">
        <w:rPr>
          <w:rFonts w:ascii="Times New Roman" w:hAnsi="Times New Roman"/>
          <w:color w:val="000000" w:themeColor="text1"/>
          <w:sz w:val="16"/>
          <w:szCs w:val="16"/>
        </w:rPr>
        <w:softHyphen/>
        <w:t>ным армейским комиссаром по бал</w:t>
      </w:r>
      <w:r w:rsidRPr="00271E51">
        <w:rPr>
          <w:rFonts w:ascii="Times New Roman" w:hAnsi="Times New Roman"/>
          <w:color w:val="000000" w:themeColor="text1"/>
          <w:sz w:val="16"/>
          <w:szCs w:val="16"/>
        </w:rPr>
        <w:softHyphen/>
        <w:t>листическим ракетам.   Каждый подвижный дивизион должен был запускать 27, а стацио</w:t>
      </w:r>
      <w:r w:rsidRPr="00271E51">
        <w:rPr>
          <w:rFonts w:ascii="Times New Roman" w:hAnsi="Times New Roman"/>
          <w:color w:val="000000" w:themeColor="text1"/>
          <w:sz w:val="16"/>
          <w:szCs w:val="16"/>
        </w:rPr>
        <w:softHyphen/>
        <w:t>нарный — 54 ракеты в сутки. Защи</w:t>
      </w:r>
      <w:r w:rsidRPr="00271E51">
        <w:rPr>
          <w:rFonts w:ascii="Times New Roman" w:hAnsi="Times New Roman"/>
          <w:color w:val="000000" w:themeColor="text1"/>
          <w:sz w:val="16"/>
          <w:szCs w:val="16"/>
        </w:rPr>
        <w:softHyphen/>
        <w:t>щенная стартовая позиция явилась крупным инженерным сооружени</w:t>
      </w:r>
      <w:r w:rsidRPr="00271E51">
        <w:rPr>
          <w:rFonts w:ascii="Times New Roman" w:hAnsi="Times New Roman"/>
          <w:color w:val="000000" w:themeColor="text1"/>
          <w:sz w:val="16"/>
          <w:szCs w:val="16"/>
        </w:rPr>
        <w:softHyphen/>
        <w:t>ем с бетонным куполом, в котором оборудовали зоны сборки, обслужи</w:t>
      </w:r>
      <w:r w:rsidRPr="00271E51">
        <w:rPr>
          <w:rFonts w:ascii="Times New Roman" w:hAnsi="Times New Roman"/>
          <w:color w:val="000000" w:themeColor="text1"/>
          <w:sz w:val="16"/>
          <w:szCs w:val="16"/>
        </w:rPr>
        <w:softHyphen/>
        <w:t>вания, казарму, кухню и медпункт. Внутри позиции пролегала железно</w:t>
      </w:r>
      <w:r w:rsidRPr="00271E51">
        <w:rPr>
          <w:rFonts w:ascii="Times New Roman" w:hAnsi="Times New Roman"/>
          <w:color w:val="000000" w:themeColor="text1"/>
          <w:sz w:val="16"/>
          <w:szCs w:val="16"/>
        </w:rPr>
        <w:softHyphen/>
        <w:t>дорожная ветка, выходящая к забе</w:t>
      </w:r>
      <w:r w:rsidRPr="00271E51">
        <w:rPr>
          <w:rFonts w:ascii="Times New Roman" w:hAnsi="Times New Roman"/>
          <w:color w:val="000000" w:themeColor="text1"/>
          <w:sz w:val="16"/>
          <w:szCs w:val="16"/>
        </w:rPr>
        <w:softHyphen/>
        <w:t>тонированной стартовой площадке. На самой площадке устанавливался пусковой стол, а все необходимое для старта было размещено на авто</w:t>
      </w:r>
      <w:r w:rsidRPr="00271E51">
        <w:rPr>
          <w:rFonts w:ascii="Times New Roman" w:hAnsi="Times New Roman"/>
          <w:color w:val="000000" w:themeColor="text1"/>
          <w:sz w:val="16"/>
          <w:szCs w:val="16"/>
        </w:rPr>
        <w:softHyphen/>
        <w:t>мобилях и бронетранспортерах. Все это требовало колоссальных затрат материальных, денежных и людских ресурсов (19630).</w:t>
      </w:r>
    </w:p>
    <w:p w14:paraId="007AEFC1"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074C61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г. выпускались танки Пантера модификации Pz. VA с улучшенной командирской башенкой, усиленной ходовой частью и увеличенной до 110-мм броней башни (3905).</w:t>
      </w:r>
    </w:p>
    <w:p w14:paraId="183A11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BF48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Создание Национального комитета Отечественного фронта Болгарии (7448).</w:t>
      </w:r>
    </w:p>
    <w:p w14:paraId="735149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0C10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американская авиация начала наносить удары по базам японцев на самых северных островах Курильской гряды. Эти базы прикрывались истребителями и зенитной артиллерией. Посадка в открытом море или сдача в плен японцам не сулили ничего хорошего, и поврежденные бомбардировщики стали садиться на Камчатке (3457,115).</w:t>
      </w:r>
    </w:p>
    <w:p w14:paraId="50A933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F3F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 при поддержке Японии Бирма провозгласила себя независимым государством и подписала с Японией договор о союзе (3871).</w:t>
      </w:r>
    </w:p>
    <w:p w14:paraId="77D57A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B893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25C68C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2CC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августе-сентябре 1943 г. прошли гос. испытания штурмовика-истребителя Ил-2И АМ-38ф, которые привели к отрицательным результатам (7442).</w:t>
      </w:r>
    </w:p>
    <w:p w14:paraId="4676A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BD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 октябре 1943 в 47 ГДРАП в качестве разведчиков применялись серийные Ту-2 2М-82, переоборудованные силами полка путем установки в задней части бомбоотсека одного АФА-33/50 (1835,54).</w:t>
      </w:r>
    </w:p>
    <w:p w14:paraId="541279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43A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августе-сентябре 1943 в ЛИИ проходили испытания Як-9 производства завода 153, модифицированного заводом 115. Поставили М-106ПД и ВИШ-61П диаметром 2.8 м с МПШ-20 с боезапасом 110 патронов и полетным весом 2745 кг (1783,217).</w:t>
      </w:r>
    </w:p>
    <w:p w14:paraId="7A06A9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0BC5B"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августе—сентябре 1943 г. в г. Махачкале проводились натурные испытания стабилизатора ЦАГИ на торпедах, сбрасываемых с самолета Дуглас А-20 «Бостон» на скоростях до 280 км/ч и высотах до 100 м. </w:t>
      </w:r>
    </w:p>
    <w:p w14:paraId="6D66E5D1"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Исследованию полета торпеды после сбрасывания с самолета в ЦАГИ уделялось особое внимание, так как торпедоносная авиация в годы Великой Отечественной войны показала себя одним из самых эффективных видов противокорабельного оружия. Однако постоянно растущие скорости полета самолетов и требования поднятия высоты сброса могли приводить повреждению торпеды, зарыванию ее в грунт на малых глубинах или многочисленным рикошетам от воды с потерей </w:t>
      </w:r>
      <w:r w:rsidRPr="00271E51">
        <w:rPr>
          <w:rFonts w:ascii="Times New Roman" w:hAnsi="Times New Roman"/>
          <w:color w:val="000000" w:themeColor="text1"/>
          <w:sz w:val="16"/>
          <w:szCs w:val="16"/>
        </w:rPr>
        <w:lastRenderedPageBreak/>
        <w:t>заданного курса. С помощью продувок и экспериментальных сбросов моделей торпед в гидроканале была разработана теория полета торпеды в воздухе, определены аэродинамические силы и моменты и влияние на них водяных рулей торпеды и различного рода стабилизаторов. В результате в ЦАГИ коллективом под руководством Л. И. Седова был сконструирован новый тип стабилизатора, содержащего поворотное крыло. Угол установки поворотного крыла позволял управлять углом входа торпеды в воду. Также был спроектирован новый замок, удерживающий стабилизатор на торпеде до ее входа в воду.</w:t>
      </w:r>
    </w:p>
    <w:p w14:paraId="1F8B7F62"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Стабилизатор с поворотным крылом позволил получить заданные условия входа торпеды в воду, а новые замки работают удовлетворительно. В дальнейшем скорость самолета при сбросе торпеды удалось довести до 360 км/ч, а стабилизатор ЦАГИ для торпеды был принят на вооружение. С развитием в морской авиации топмачтового способа бомбометения, когда бомба при сбросе с малых высота поражает корабль после нескольких рикошетов от водной поверхности институт проводил исследования рикошетирования авиационных бомб различного типа. Были разработаны методы модельных исследований и получены характеристики различных бомб (19727).</w:t>
      </w:r>
    </w:p>
    <w:p w14:paraId="45A2A134"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0B0F102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BEA52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EE36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августе-сентябре 1943 г. опытный образец СУ-74Б (СУ-57Б), изготовленный Горьковским автозаводом, не выдержал испытаний на НИБТ полигоне, и дальней</w:t>
      </w:r>
      <w:r w:rsidRPr="00271E51">
        <w:rPr>
          <w:rFonts w:ascii="Times New Roman" w:hAnsi="Times New Roman"/>
          <w:color w:val="000000" w:themeColor="text1"/>
          <w:sz w:val="16"/>
          <w:szCs w:val="16"/>
        </w:rPr>
        <w:softHyphen/>
        <w:t>шие работы по установке СУ-74Б были прекращены, так как завод не смог обеспечить доводку двигателя ЗИС-16Ф. Самоходная установка была создана с использованием узлов и агре</w:t>
      </w:r>
      <w:r w:rsidRPr="00271E51">
        <w:rPr>
          <w:rFonts w:ascii="Times New Roman" w:hAnsi="Times New Roman"/>
          <w:color w:val="000000" w:themeColor="text1"/>
          <w:sz w:val="16"/>
          <w:szCs w:val="16"/>
        </w:rPr>
        <w:softHyphen/>
        <w:t>гатов легкого танка Т-70. Компоновочная схема установки предусмат</w:t>
      </w:r>
      <w:r w:rsidRPr="00271E51">
        <w:rPr>
          <w:rFonts w:ascii="Times New Roman" w:hAnsi="Times New Roman"/>
          <w:color w:val="000000" w:themeColor="text1"/>
          <w:sz w:val="16"/>
          <w:szCs w:val="16"/>
        </w:rPr>
        <w:softHyphen/>
        <w:t>ривала переднее расположение совмещенных отделений управления и боевого, и заднее - моторно-трансмиссионного отделения. На крыше боевого отделения размещались три люка, закрывавшиеся броневыми крышками для посадки и выхода экипажа. В крышке люка командира машины был установлен поворотный смотровой прибор. Перед механи</w:t>
      </w:r>
      <w:r w:rsidRPr="00271E51">
        <w:rPr>
          <w:rFonts w:ascii="Times New Roman" w:hAnsi="Times New Roman"/>
          <w:color w:val="000000" w:themeColor="text1"/>
          <w:sz w:val="16"/>
          <w:szCs w:val="16"/>
        </w:rPr>
        <w:softHyphen/>
        <w:t>ком-водителем в специальном приливе на лобовом листе устанавливал</w:t>
      </w:r>
      <w:r w:rsidRPr="00271E51">
        <w:rPr>
          <w:rFonts w:ascii="Times New Roman" w:hAnsi="Times New Roman"/>
          <w:color w:val="000000" w:themeColor="text1"/>
          <w:sz w:val="16"/>
          <w:szCs w:val="16"/>
        </w:rPr>
        <w:softHyphen/>
        <w:t>ся аналогичный смотровой прибор. Для загрузки боеприпасов исполь</w:t>
      </w:r>
      <w:r w:rsidRPr="00271E51">
        <w:rPr>
          <w:rFonts w:ascii="Times New Roman" w:hAnsi="Times New Roman"/>
          <w:color w:val="000000" w:themeColor="text1"/>
          <w:sz w:val="16"/>
          <w:szCs w:val="16"/>
        </w:rPr>
        <w:softHyphen/>
        <w:t>зовался люк, располагавшийся на верхнем левом наклонном борту бро</w:t>
      </w:r>
      <w:r w:rsidRPr="00271E51">
        <w:rPr>
          <w:rFonts w:ascii="Times New Roman" w:hAnsi="Times New Roman"/>
          <w:color w:val="000000" w:themeColor="text1"/>
          <w:sz w:val="16"/>
          <w:szCs w:val="16"/>
        </w:rPr>
        <w:softHyphen/>
        <w:t>невой рубки (10703).</w:t>
      </w:r>
    </w:p>
    <w:p w14:paraId="69E65C9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7B61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 сентябре 1943 г. опытный образец СУ-74Д (СУ-76Д) с установкой американского дизеля и новой компоновкой трансмиссии, которая была создана в 1943 г. коллективом конструкторов Горьковского автозавода под руководством Н.А. Астрова, успешно прошел испытания на НИБТ полигоне, но был забракован из-за импортного двигателя, который усложнял организацию производства машины. В связи с тем, что к этому времени была принята на вооружение и поставлена на серийное производство самоходная установка СУ-76М, дальнейшие работы над СУ-76 были прекращены (10703).</w:t>
      </w:r>
    </w:p>
    <w:p w14:paraId="295E181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FDF36"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августа 1943 по октябрь 1944 года на "Уралмашзаводе" продолжалось производство СУ-85. За это время было выпущено 2644 самоходные установки (9637).</w:t>
      </w:r>
    </w:p>
    <w:p w14:paraId="56B2E9D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8C0D08B"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СУ-85 поступали на вооружение отдельных самоходно-артиллерийских полков РВГК (САП) и применялись для огневого сопровождения танков Т-34. Этими САУ вооружались также само-ходно-артиллерийские полки, вошедшие в состав некоторых истребитель-но-противотанковых бригад.</w:t>
      </w:r>
    </w:p>
    <w:p w14:paraId="080D214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Новую самоходку в войсках приняли хорошо и использовали достаточно эффективно. Вот отзыв командира 1440-го САП подполковника Шапшин-ского: "Машина отличная, оправдала себя как истребитель танков противника. Нужно только правильно применять ее. В первых боях за Днепром, когда полку пришлось применять самоходы как танки, полк потерял 5 машин. В дальнейших боевых операциях полк главным образом поддерживал атаки своих танков, следуя за их боевыми порядками на дистанции 200 - 300 м и отражая контратаки танков противника. Экипажи самоходов действуют, подставляя противнику наиболее трудно уязвимое место - лоб. Самоход СУ-85 пробивает лобовую броню танка "Тигр" с дистанции 600 - 800 м, а борт его - с 1200 - 1300 м".</w:t>
      </w:r>
    </w:p>
    <w:p w14:paraId="7AC1ED17"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хорошими отзывами с фронтов завод получал и просьбы о необходимых улучшениях и усовершенствованиях САУ. Так, командир 7-го мехкорпуса полковник Катков, оценивая машину, писал: "Самоход СУ-85 в настоящее время является наиболее эффективным средством борьбы с тяжелыми танками противника. Обладая проходимостью и маневренностью, не уступающей танку Т-34, и вооруженный 85-мм пушкой, самоход показал себя в боевых действиях хорошо. Но, используя огонь и броню своих танков "Тигр", "Пантера" и самохода "Фердинанд", противник навязывает современный бой на больших дистанциях - 1500 - 2000 м. В этих условиях мощь огня и лобовая защита СУ-85 уже недостаточны. Требуется усилить лобовую броню самохода и, самое существенное, вооружить его пушкой с увеличенной бронебойной силой, способной поражать тяжелые танки типа "Тигр" с дистанции не менее 1500 м" (9637).</w:t>
      </w:r>
    </w:p>
    <w:p w14:paraId="7CB17ED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405B14A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 декабре 1943 г. в иници</w:t>
      </w:r>
      <w:r w:rsidRPr="00271E51">
        <w:rPr>
          <w:rFonts w:ascii="Times New Roman" w:hAnsi="Times New Roman"/>
          <w:color w:val="000000" w:themeColor="text1"/>
          <w:sz w:val="16"/>
          <w:szCs w:val="16"/>
        </w:rPr>
        <w:softHyphen/>
        <w:t>ативном порядке под руководством Л.И. Горлицкого была разработа</w:t>
      </w:r>
      <w:r w:rsidRPr="00271E51">
        <w:rPr>
          <w:rFonts w:ascii="Times New Roman" w:hAnsi="Times New Roman"/>
          <w:color w:val="000000" w:themeColor="text1"/>
          <w:sz w:val="16"/>
          <w:szCs w:val="16"/>
        </w:rPr>
        <w:softHyphen/>
        <w:t>на в конструкторском бюро УЗТМ самоходная установка СУ-85БМ-1 (СУ-85БМ-Н). В декабре того же года был изготовлен опытный образец установки, который в январе — феврале 1944 г. успешно прошел заводские и полигонные испытания. Однако в связи с решением установить в серийную самоходную уста</w:t>
      </w:r>
      <w:r w:rsidRPr="00271E51">
        <w:rPr>
          <w:rFonts w:ascii="Times New Roman" w:hAnsi="Times New Roman"/>
          <w:color w:val="000000" w:themeColor="text1"/>
          <w:sz w:val="16"/>
          <w:szCs w:val="16"/>
        </w:rPr>
        <w:softHyphen/>
        <w:t>новку СУ-85 100-мм пушку Д-10С, превосходившую по огневой мощи пушку Д-5С-85БМ, работы по СУ-85БМ-1 были прекращены. Машина была создана на базе серийной самоходной установки СУ-85 и отличалась от нее вооружением. Экипаж машины состоял из четырех человек (10703).</w:t>
      </w:r>
    </w:p>
    <w:p w14:paraId="013541B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25B4AE" w14:textId="77777777" w:rsidR="00665ECA" w:rsidRPr="00271E51" w:rsidRDefault="00665ECA" w:rsidP="00271E51">
      <w:pPr>
        <w:pStyle w:val="a3"/>
        <w:rPr>
          <w:color w:val="000000" w:themeColor="text1"/>
          <w:lang w:val="ru-RU"/>
        </w:rPr>
      </w:pPr>
      <w:r w:rsidRPr="00271E51">
        <w:rPr>
          <w:color w:val="000000" w:themeColor="text1"/>
          <w:lang w:val="ru-RU"/>
        </w:rPr>
        <w:t>В августе 1943 года боекомплект СУ-152 пополнился бронебойным снарядом БР-540. Начальник УСА ГАБТУ КА инже</w:t>
      </w:r>
      <w:r w:rsidRPr="00271E51">
        <w:rPr>
          <w:color w:val="000000" w:themeColor="text1"/>
          <w:lang w:val="ru-RU"/>
        </w:rPr>
        <w:softHyphen/>
        <w:t>нер-полковник Н .Н. Алымов потребовал от ЧКЗ размещения бро</w:t>
      </w:r>
      <w:r w:rsidRPr="00271E51">
        <w:rPr>
          <w:color w:val="000000" w:themeColor="text1"/>
          <w:lang w:val="ru-RU"/>
        </w:rPr>
        <w:softHyphen/>
        <w:t>небойных и осколочно-фугасных боеприпасов в соотношении 50/50. В случае, если бронебойный снаряд требовал иной конструкции бо- еукладки, было необходимо ее в кратчайший срок переделать. Таких переделок, впрочем, не потребовалось, зато пришлось повышать качество изготовления укладок. Из-за низкого качества изготовле</w:t>
      </w:r>
      <w:r w:rsidRPr="00271E51">
        <w:rPr>
          <w:color w:val="000000" w:themeColor="text1"/>
          <w:lang w:val="ru-RU"/>
        </w:rPr>
        <w:softHyphen/>
        <w:t>ния имелись случаи, когда в укладку не влезало 4—6 снарядов. Кроме того, в частях практиковалось увеличение боекомплекта до 25 вы</w:t>
      </w:r>
      <w:r w:rsidRPr="00271E51">
        <w:rPr>
          <w:color w:val="000000" w:themeColor="text1"/>
          <w:lang w:val="ru-RU"/>
        </w:rPr>
        <w:softHyphen/>
        <w:t>стрелов. Вопрос решался за счет размещения дополнительных 5 вы</w:t>
      </w:r>
      <w:r w:rsidRPr="00271E51">
        <w:rPr>
          <w:color w:val="000000" w:themeColor="text1"/>
          <w:lang w:val="ru-RU"/>
        </w:rPr>
        <w:softHyphen/>
        <w:t>стрелов под орудием, снаряды и заряды лежали на полу, закреплен</w:t>
      </w:r>
      <w:r w:rsidRPr="00271E51">
        <w:rPr>
          <w:color w:val="000000" w:themeColor="text1"/>
          <w:lang w:val="ru-RU"/>
        </w:rPr>
        <w:softHyphen/>
        <w:t>ные деревянными колодками. Предлагалось рассмотреть вопрос об изготовлении штатных укладок для дополнительного боезапаса, но этого сделано не было (17484).</w:t>
      </w:r>
    </w:p>
    <w:p w14:paraId="08917CD0"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506DF1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августе-сентябре 1943 г. в помещение бывших мастерских НИИ-9 в Ленинграде по Яшумову пер., 9 перебазирован завод № 10 НКЭП. В 1946г., вероятно, на месте НИИ-9 основан ВНИИ телевидения (НИИ-380) (11982).</w:t>
      </w:r>
    </w:p>
    <w:p w14:paraId="24D5E5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60C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 сентябре 1944 г. завод № 515 (Завод № 515 НКБ, Завод, ОАО «Аскольд», Г-4874 /г. Арсеньев Приморского кр./) - в ведении 1ГУ НКБ.</w:t>
      </w:r>
    </w:p>
    <w:p w14:paraId="14D394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приборов для судостроения.</w:t>
      </w:r>
    </w:p>
    <w:p w14:paraId="13EA9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наименование «п/я Г-4874». По решению правительства № 22-р от 9.01.2004 г. вошло в перечень стратегических предприятий (11982).</w:t>
      </w:r>
    </w:p>
    <w:p w14:paraId="28E05F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603B6" w14:textId="77777777" w:rsidR="00CE2EFD" w:rsidRPr="00271E51" w:rsidRDefault="00CE2EF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августе-сентябре 1943  г. завод №  355 был реэвакуирован обратно в Загорск (Распоряжение ГКО № 3824 от 27 июля 1943  г.: «…для перевода первой очереди подать 60 вагонов к 5 августа и 60 вагонов к 10 августа») (22791).</w:t>
      </w:r>
    </w:p>
    <w:p w14:paraId="25595441" w14:textId="77777777" w:rsidR="00CE2EFD" w:rsidRPr="00271E51" w:rsidRDefault="00CE2EFD" w:rsidP="00271E51">
      <w:pPr>
        <w:spacing w:after="0" w:line="240" w:lineRule="auto"/>
        <w:jc w:val="both"/>
        <w:rPr>
          <w:rFonts w:ascii="Times New Roman" w:hAnsi="Times New Roman"/>
          <w:color w:val="0070C0"/>
          <w:sz w:val="16"/>
          <w:szCs w:val="16"/>
        </w:rPr>
      </w:pPr>
    </w:p>
    <w:p w14:paraId="0F03167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481BB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F2E5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августе-сентябре 1943-го в период подготовки и проведе</w:t>
      </w:r>
      <w:r w:rsidRPr="00271E51">
        <w:rPr>
          <w:rFonts w:ascii="Times New Roman" w:hAnsi="Times New Roman"/>
          <w:color w:val="000000" w:themeColor="text1"/>
          <w:sz w:val="16"/>
          <w:szCs w:val="16"/>
        </w:rPr>
        <w:softHyphen/>
        <w:t>ния войсками Северо-Кавказского фронта совместно с Черноморским флотом и Азовской флотилией Новороссийско-Таманской операции (09.09-09.10.43 г.) по ликвидации Таманского плацдарма 17-й армии вермахта, обспечивавшего ей оборону Крыма с востока и возможность наступления на Кавказ особую опасность стали представлять немецкие и итальянские тор</w:t>
      </w:r>
      <w:r w:rsidRPr="00271E51">
        <w:rPr>
          <w:rFonts w:ascii="Times New Roman" w:hAnsi="Times New Roman"/>
          <w:color w:val="000000" w:themeColor="text1"/>
          <w:sz w:val="16"/>
          <w:szCs w:val="16"/>
        </w:rPr>
        <w:softHyphen/>
        <w:t>педные катера (ТКА), снабжавшие противника по ночам (6467).</w:t>
      </w:r>
    </w:p>
    <w:p w14:paraId="244913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042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и сентябре 1943 было сбито еще по одному Пе-8. В результате до глубокой осени боевые полеты на Пе-8 4М-82 были прекращены до установки на них эффективных пламегасителей. Было разработано несколько вариантов пламегасителей, которые были установлены на войсковой Пе-8 4М-82 №42210. Наименьший выхлоп давал пламегаситель, разработанный НИИ ВВС. Однако в строю решено было ставить пламегасители типа "рыбий хвост", предложенные инженерами 45-й дивизии. Пламегаситель был аналогичен, стоявшим на Fw 200, совершившим в 1942 году вынужденную посадку в Калмыцких степях (7685).</w:t>
      </w:r>
    </w:p>
    <w:p w14:paraId="2D922A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1462C"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39DEB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F3E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августе - сентябре 1943г.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радиобатарей /г. Санкт-Петербург ул. Подольская, 14 (1901 г.); г. Петроград Тургеневский пр., 18 (1917г.), г. Ленинград пр. Володарского, 89Б (1928г.) без остановки производства был перебазирован в Яшумов пер., 9, в помещение бывших мастерских эвакуированного НИИ-9. В 1944г. завод № 10 НКЭП переименован в завод № </w:t>
      </w:r>
      <w:r w:rsidRPr="00271E51">
        <w:rPr>
          <w:rFonts w:ascii="Times New Roman" w:hAnsi="Times New Roman"/>
          <w:color w:val="000000" w:themeColor="text1"/>
          <w:sz w:val="16"/>
          <w:szCs w:val="16"/>
        </w:rPr>
        <w:lastRenderedPageBreak/>
        <w:t>130 НКЭП.</w:t>
      </w:r>
    </w:p>
    <w:p w14:paraId="52BDA8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(1916г.)- около 100 чел., (1932г.)- 365 чел. (11982).</w:t>
      </w:r>
    </w:p>
    <w:p w14:paraId="5106E384" w14:textId="77777777" w:rsidR="008E3AD4" w:rsidRPr="00271E51" w:rsidRDefault="008E3AD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53211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02A07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5DCD2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лета 1943 года на фронт начали поступать танки Т-34, оснащенные командирской смотровой башенкой. Естественно, управление командующего бронетанковых и механизированных войск Красной Армии запросило штабы фронтов о результатах использования этих машин - ведь попытки оснастить тридцатьчетверку такой башенкой начались еще в 1942 году и работы велись целый год! Но как оказалось, и с башенкой дела обстояли не так уж и гладко.</w:t>
      </w:r>
    </w:p>
    <w:p w14:paraId="7493161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в своих замечаниях по танкам Т-34 отдел эксплуатации управления командующего бронетанковых и механизированных войск 3-го Украинского фронта за декабрь 1943 года, сообщал, что командирская башенка, установленная на танке Т-34, не обеспечивает кругового обзора командиру машины «ввиду того, что смотровые щели расположены слишком высоко и при закрытом люке совершенно лишают возможности вести наблюдение из башни (зрачки глаз оказываются много ниже щелей)». Также отмечалось, что установка башенки мешает вести круговое наблюдение через перископ ПТ-4-7.</w:t>
      </w:r>
    </w:p>
    <w:p w14:paraId="49C29B6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альтернативы предлагалось в командирской башенке Т-34 установить зеркальные перископы по типу танка КВ-1с, что по мнению танкистов, дало бы возможность уменьшить размер башни и улучшить наблюдение (12217).</w:t>
      </w:r>
    </w:p>
    <w:p w14:paraId="49CFFFB4"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B9174F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640A9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ABE8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лета 1943 г. дислокация групп бомбардировщиков-носителей планирующих бомб была следующей: III/KG 100 под командованием гауптмана Бернарда Йопе входила в состав 2-й авиадивизии и базировалась на аэродроме Марсель-Истр. и II/KG100 майора Франца Холльвека, временно находились в подчинении авиационного командования “Атлантика” и действовала с аэродрома Коньяк против английских сил ппг&gt; п Рыгкяйгкпм даливе (9524).</w:t>
      </w:r>
    </w:p>
    <w:p w14:paraId="72F24F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9E808" w14:textId="77777777" w:rsidR="00FD753F" w:rsidRPr="00271E51" w:rsidRDefault="00FD753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037344D" w14:textId="77777777" w:rsidR="00FD753F" w:rsidRPr="00271E51" w:rsidRDefault="00FD753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937E3C" w14:textId="77777777" w:rsidR="00FD753F" w:rsidRPr="00271E51" w:rsidRDefault="00FD753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осени 1943 военные на основе анализа двух</w:t>
      </w:r>
      <w:r w:rsidRPr="00271E51">
        <w:rPr>
          <w:rFonts w:ascii="Times New Roman" w:hAnsi="Times New Roman" w:cs="Times New Roman"/>
          <w:color w:val="0070C0"/>
          <w:sz w:val="16"/>
          <w:szCs w:val="16"/>
        </w:rPr>
        <w:softHyphen/>
        <w:t>летнего опыта войны пришли к выводу, что из всех летно-технических характе</w:t>
      </w:r>
      <w:r w:rsidRPr="00271E51">
        <w:rPr>
          <w:rFonts w:ascii="Times New Roman" w:hAnsi="Times New Roman" w:cs="Times New Roman"/>
          <w:color w:val="0070C0"/>
          <w:sz w:val="16"/>
          <w:szCs w:val="16"/>
        </w:rPr>
        <w:softHyphen/>
        <w:t>ристик самолетов маневренность оказы</w:t>
      </w:r>
      <w:r w:rsidRPr="00271E51">
        <w:rPr>
          <w:rFonts w:ascii="Times New Roman" w:hAnsi="Times New Roman" w:cs="Times New Roman"/>
          <w:color w:val="0070C0"/>
          <w:sz w:val="16"/>
          <w:szCs w:val="16"/>
        </w:rPr>
        <w:softHyphen/>
        <w:t>вает решающее влияние на живучесть в бою при действиях по наземным целям. При этом особое внимание обращалось на оснащение перспективного самолета- штурмовика мотором воздушного охла</w:t>
      </w:r>
      <w:r w:rsidRPr="00271E51">
        <w:rPr>
          <w:rFonts w:ascii="Times New Roman" w:hAnsi="Times New Roman" w:cs="Times New Roman"/>
          <w:color w:val="0070C0"/>
          <w:sz w:val="16"/>
          <w:szCs w:val="16"/>
        </w:rPr>
        <w:softHyphen/>
        <w:t>ждения и на повышение эффективности броневой защиты при одновременном снижении доли брони в полетном весе.</w:t>
      </w:r>
    </w:p>
    <w:p w14:paraId="395EB0BE" w14:textId="50DE4D0E" w:rsidR="00FD753F" w:rsidRPr="00271E51" w:rsidRDefault="00FD753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тому же, обозначилась явная тен</w:t>
      </w:r>
      <w:r w:rsidRPr="00271E51">
        <w:rPr>
          <w:rFonts w:ascii="Times New Roman" w:hAnsi="Times New Roman" w:cs="Times New Roman"/>
          <w:color w:val="0070C0"/>
          <w:sz w:val="16"/>
          <w:szCs w:val="16"/>
        </w:rPr>
        <w:softHyphen/>
        <w:t>денция снижения интереса ВВС к самоле</w:t>
      </w:r>
      <w:r w:rsidRPr="00271E51">
        <w:rPr>
          <w:rFonts w:ascii="Times New Roman" w:hAnsi="Times New Roman" w:cs="Times New Roman"/>
          <w:color w:val="0070C0"/>
          <w:sz w:val="16"/>
          <w:szCs w:val="16"/>
        </w:rPr>
        <w:softHyphen/>
        <w:t>там многоцелевого назначения и повы</w:t>
      </w:r>
      <w:r w:rsidRPr="00271E51">
        <w:rPr>
          <w:rFonts w:ascii="Times New Roman" w:hAnsi="Times New Roman" w:cs="Times New Roman"/>
          <w:color w:val="0070C0"/>
          <w:sz w:val="16"/>
          <w:szCs w:val="16"/>
        </w:rPr>
        <w:softHyphen/>
        <w:t>шению его к маневренным штурмовикам, предназначенным исключительно для ре</w:t>
      </w:r>
      <w:r w:rsidRPr="00271E51">
        <w:rPr>
          <w:rFonts w:ascii="Times New Roman" w:hAnsi="Times New Roman" w:cs="Times New Roman"/>
          <w:color w:val="0070C0"/>
          <w:sz w:val="16"/>
          <w:szCs w:val="16"/>
        </w:rPr>
        <w:softHyphen/>
        <w:t>шения боевых задач непосредственной поддержки войск. Для такой специализа</w:t>
      </w:r>
      <w:r w:rsidRPr="00271E51">
        <w:rPr>
          <w:rFonts w:ascii="Times New Roman" w:hAnsi="Times New Roman" w:cs="Times New Roman"/>
          <w:color w:val="0070C0"/>
          <w:sz w:val="16"/>
          <w:szCs w:val="16"/>
        </w:rPr>
        <w:softHyphen/>
        <w:t>ции уже были созданы необходимые ус</w:t>
      </w:r>
      <w:r w:rsidRPr="00271E51">
        <w:rPr>
          <w:rFonts w:ascii="Times New Roman" w:hAnsi="Times New Roman" w:cs="Times New Roman"/>
          <w:color w:val="0070C0"/>
          <w:sz w:val="16"/>
          <w:szCs w:val="16"/>
        </w:rPr>
        <w:softHyphen/>
        <w:t>ловия: превосходство в воздухе на глав</w:t>
      </w:r>
      <w:r w:rsidRPr="00271E51">
        <w:rPr>
          <w:rFonts w:ascii="Times New Roman" w:hAnsi="Times New Roman" w:cs="Times New Roman"/>
          <w:color w:val="0070C0"/>
          <w:sz w:val="16"/>
          <w:szCs w:val="16"/>
        </w:rPr>
        <w:softHyphen/>
        <w:t>ных операционных направлениях в це</w:t>
      </w:r>
      <w:r w:rsidRPr="00271E51">
        <w:rPr>
          <w:rFonts w:ascii="Times New Roman" w:hAnsi="Times New Roman" w:cs="Times New Roman"/>
          <w:color w:val="0070C0"/>
          <w:sz w:val="16"/>
          <w:szCs w:val="16"/>
        </w:rPr>
        <w:softHyphen/>
        <w:t>лом было завоевано советскими ВВС, во</w:t>
      </w:r>
      <w:r w:rsidRPr="00271E51">
        <w:rPr>
          <w:rFonts w:ascii="Times New Roman" w:hAnsi="Times New Roman" w:cs="Times New Roman"/>
          <w:color w:val="0070C0"/>
          <w:sz w:val="16"/>
          <w:szCs w:val="16"/>
        </w:rPr>
        <w:softHyphen/>
        <w:t>прос о количестве самолетов в основном решен, имелась уверенность в скором на</w:t>
      </w:r>
      <w:r w:rsidRPr="00271E51">
        <w:rPr>
          <w:rFonts w:ascii="Times New Roman" w:hAnsi="Times New Roman" w:cs="Times New Roman"/>
          <w:color w:val="0070C0"/>
          <w:sz w:val="16"/>
          <w:szCs w:val="16"/>
        </w:rPr>
        <w:softHyphen/>
        <w:t>лаживании устойчивого производства весьма сильного фронтового бомбарди</w:t>
      </w:r>
      <w:r w:rsidRPr="00271E51">
        <w:rPr>
          <w:rFonts w:ascii="Times New Roman" w:hAnsi="Times New Roman" w:cs="Times New Roman"/>
          <w:color w:val="0070C0"/>
          <w:sz w:val="16"/>
          <w:szCs w:val="16"/>
        </w:rPr>
        <w:softHyphen/>
        <w:t>ровщика Ту-2, а в качестве пикировщика военных вполне устраивала проверенная в боях «Пешка». Для обеспечения каче</w:t>
      </w:r>
      <w:r w:rsidRPr="00271E51">
        <w:rPr>
          <w:rFonts w:ascii="Times New Roman" w:hAnsi="Times New Roman" w:cs="Times New Roman"/>
          <w:color w:val="0070C0"/>
          <w:sz w:val="16"/>
          <w:szCs w:val="16"/>
        </w:rPr>
        <w:softHyphen/>
        <w:t>ственного скачка ударных возможностей ВВС в кампании 1944 г. оставалось только решить вопрос о современном самолете- штурмовике.</w:t>
      </w:r>
    </w:p>
    <w:p w14:paraId="00AF46EA" w14:textId="77777777" w:rsidR="00FD753F" w:rsidRPr="00271E51" w:rsidRDefault="00FD753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Судя по документам, НИИ ВВС и руко</w:t>
      </w:r>
      <w:r w:rsidRPr="00271E51">
        <w:rPr>
          <w:rFonts w:ascii="Times New Roman" w:hAnsi="Times New Roman" w:cs="Times New Roman"/>
          <w:color w:val="0070C0"/>
          <w:sz w:val="16"/>
          <w:szCs w:val="16"/>
        </w:rPr>
        <w:softHyphen/>
        <w:t>водство ВВС КА отчетливо понимали, что Су-6 М-71ф является именно тем удар</w:t>
      </w:r>
      <w:r w:rsidRPr="00271E51">
        <w:rPr>
          <w:rFonts w:ascii="Times New Roman" w:hAnsi="Times New Roman" w:cs="Times New Roman"/>
          <w:color w:val="0070C0"/>
          <w:sz w:val="16"/>
          <w:szCs w:val="16"/>
        </w:rPr>
        <w:softHyphen/>
        <w:t>ным самолетом, которого недостает в сис</w:t>
      </w:r>
      <w:r w:rsidRPr="00271E51">
        <w:rPr>
          <w:rFonts w:ascii="Times New Roman" w:hAnsi="Times New Roman" w:cs="Times New Roman"/>
          <w:color w:val="0070C0"/>
          <w:sz w:val="16"/>
          <w:szCs w:val="16"/>
        </w:rPr>
        <w:softHyphen/>
        <w:t>теме вооружений ВВС. По их мнению, воз</w:t>
      </w:r>
      <w:r w:rsidRPr="00271E51">
        <w:rPr>
          <w:rFonts w:ascii="Times New Roman" w:hAnsi="Times New Roman" w:cs="Times New Roman"/>
          <w:color w:val="0070C0"/>
          <w:sz w:val="16"/>
          <w:szCs w:val="16"/>
        </w:rPr>
        <w:softHyphen/>
        <w:t>можности для постановки в серию мотора М-71ф и самолета Су-6 с ним у НКАП имелись.</w:t>
      </w:r>
    </w:p>
    <w:p w14:paraId="5F4022F9" w14:textId="77777777" w:rsidR="00FD753F" w:rsidRPr="00271E51" w:rsidRDefault="00FD753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Предлагалось снять с серийного про</w:t>
      </w:r>
      <w:r w:rsidRPr="00271E51">
        <w:rPr>
          <w:rFonts w:ascii="Times New Roman" w:hAnsi="Times New Roman" w:cs="Times New Roman"/>
          <w:color w:val="0070C0"/>
          <w:sz w:val="16"/>
          <w:szCs w:val="16"/>
        </w:rPr>
        <w:softHyphen/>
        <w:t>изводства на московском заводе №30 противотанковый вариант штурмовика Ил-2 с пушками 11П, как не оправдав</w:t>
      </w:r>
      <w:r w:rsidRPr="00271E51">
        <w:rPr>
          <w:rFonts w:ascii="Times New Roman" w:hAnsi="Times New Roman" w:cs="Times New Roman"/>
          <w:color w:val="0070C0"/>
          <w:sz w:val="16"/>
          <w:szCs w:val="16"/>
        </w:rPr>
        <w:softHyphen/>
        <w:t>шего надежд, запустив вместо него в се</w:t>
      </w:r>
      <w:r w:rsidRPr="00271E51">
        <w:rPr>
          <w:rFonts w:ascii="Times New Roman" w:hAnsi="Times New Roman" w:cs="Times New Roman"/>
          <w:color w:val="0070C0"/>
          <w:sz w:val="16"/>
          <w:szCs w:val="16"/>
        </w:rPr>
        <w:softHyphen/>
        <w:t>рию Су-6 М-71ф. При этом некоторое сни</w:t>
      </w:r>
      <w:r w:rsidRPr="00271E51">
        <w:rPr>
          <w:rFonts w:ascii="Times New Roman" w:hAnsi="Times New Roman" w:cs="Times New Roman"/>
          <w:color w:val="0070C0"/>
          <w:sz w:val="16"/>
          <w:szCs w:val="16"/>
        </w:rPr>
        <w:softHyphen/>
        <w:t>жение темпов поступления самолетов Ил-2 в строевые части командование ВВС КА нисколько не пугало, так как в резерве и на базах хранения было накоплено столько Ил-2, что ими можно было вос</w:t>
      </w:r>
      <w:r w:rsidRPr="00271E51">
        <w:rPr>
          <w:rFonts w:ascii="Times New Roman" w:hAnsi="Times New Roman" w:cs="Times New Roman"/>
          <w:color w:val="0070C0"/>
          <w:sz w:val="16"/>
          <w:szCs w:val="16"/>
        </w:rPr>
        <w:softHyphen/>
        <w:t>полнить любые возможные потери штур</w:t>
      </w:r>
      <w:r w:rsidRPr="00271E51">
        <w:rPr>
          <w:rFonts w:ascii="Times New Roman" w:hAnsi="Times New Roman" w:cs="Times New Roman"/>
          <w:color w:val="0070C0"/>
          <w:sz w:val="16"/>
          <w:szCs w:val="16"/>
        </w:rPr>
        <w:softHyphen/>
        <w:t>мовиков на фронте (19846).</w:t>
      </w:r>
    </w:p>
    <w:p w14:paraId="3A8A8B7E" w14:textId="77777777" w:rsidR="00FD753F" w:rsidRPr="00271E51" w:rsidRDefault="00FD753F" w:rsidP="00271E51">
      <w:pPr>
        <w:pStyle w:val="234"/>
        <w:shd w:val="clear" w:color="auto" w:fill="auto"/>
        <w:spacing w:line="240" w:lineRule="auto"/>
        <w:jc w:val="both"/>
        <w:rPr>
          <w:rFonts w:ascii="Times New Roman" w:hAnsi="Times New Roman" w:cs="Times New Roman"/>
          <w:color w:val="0070C0"/>
          <w:sz w:val="16"/>
          <w:szCs w:val="16"/>
        </w:rPr>
      </w:pPr>
    </w:p>
    <w:p w14:paraId="54D94498" w14:textId="77777777" w:rsidR="00F02AD7"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E294C5E" w14:textId="77777777" w:rsidR="00F02AD7" w:rsidRPr="00271E51" w:rsidRDefault="00F02AD7"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38121" w14:textId="77777777" w:rsidR="008B4929" w:rsidRPr="00271E51" w:rsidRDefault="008B4929" w:rsidP="00271E51">
      <w:pPr>
        <w:pStyle w:val="ae"/>
        <w:spacing w:before="0" w:after="0"/>
        <w:jc w:val="both"/>
        <w:textAlignment w:val="baseline"/>
        <w:rPr>
          <w:color w:val="000000" w:themeColor="text1"/>
          <w:sz w:val="16"/>
          <w:szCs w:val="16"/>
        </w:rPr>
      </w:pPr>
      <w:r w:rsidRPr="00271E51">
        <w:rPr>
          <w:color w:val="000000" w:themeColor="text1"/>
          <w:sz w:val="16"/>
          <w:szCs w:val="16"/>
        </w:rPr>
        <w:t>К осени 1943 года вопрос усиления брони Т-34 временно отошёл на второй план. Причиной тому стал более существенный вопрос – усиление вооружения. Первоначально планировалось поставить на Т-34 возвращённую из небытия 57-мм танковую пушку ЗИС-4 (дело дошло до того, что орудие запустили в серию). Впрочем, мощь ЗИС-4 быстро признали недостаточной, поэтому начались работы по более «пробивным» системам калибров 76 и 85 мм (18998).</w:t>
      </w:r>
    </w:p>
    <w:p w14:paraId="615D6D55" w14:textId="77777777" w:rsidR="008B4929" w:rsidRPr="00271E51" w:rsidRDefault="008B4929" w:rsidP="00271E51">
      <w:pPr>
        <w:pStyle w:val="ae"/>
        <w:spacing w:before="0" w:after="0"/>
        <w:jc w:val="both"/>
        <w:textAlignment w:val="baseline"/>
        <w:rPr>
          <w:color w:val="000000" w:themeColor="text1"/>
          <w:sz w:val="16"/>
          <w:szCs w:val="16"/>
        </w:rPr>
      </w:pPr>
    </w:p>
    <w:p w14:paraId="405418FF" w14:textId="77777777" w:rsidR="00370A2C" w:rsidRPr="00271E51" w:rsidRDefault="00370A2C"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К сентябрю 1943 года ЦАКБ (Центральное Артиллерийское КБ) работало над новой орудийной системой. Разработка была не инициативной: ее спустили сверху, причем основания выглядели разумно. Имея фактическое бронепробитие на уровне ЗИС-4, система с баллистикой 3-К обладала большим могуществом осколочно-фугасного снаряда. Если кто забыл, танк предназначен для широкого спектра задач, и одним отстрелом себе подобных они не ограничиваются. В НКВ и ГАУ КА уже посматривали на 85-мм пушку Д-5Т и даже прорабатывали ее модернизацию, но, как уже говорилось выше, башня Т-34 была маловата. Поэтому 76-мм пушка с баллистикой 3-К выглядела оптимальной.</w:t>
      </w:r>
    </w:p>
    <w:p w14:paraId="754FC134" w14:textId="77777777" w:rsidR="00370A2C" w:rsidRPr="00271E51" w:rsidRDefault="00370A2C"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76-мм орудие с баллистикой зенитной пушки 3-К получило обозначение С-54. Интересный момент: работы по этой системе запустили примерно в одно время, что и по 85-мм танковой пушке С-53. Казалось бы, зачем нужно запускать в работу заведомо более слабую систему, но не всё так просто. В случае с орудием С-54 получить необходимый результат оказывалось намного проще. Фактически С-54 представляла собой ствол с баллистикой 3-К, наложенный на люльку Ф-34. Уровень унификации этих двух орудий составил 85%. В то же время С-53 была совершенно новым орудием. В результате С-54 оказывалась более интересной в ближнесрочной перспективе. Она не требовала ни новой башни, ни существенной переделки орудийной установки. И теперь почему-то никого не волновало, что потребуется вводить боеприпас к 3-К. С грустной ухмылкой можно констатировать простой факт: решение мая 1941 года, когда отказались от ЗИС-5 в исходном виде, стало большой ошибкой. Было потеряно 2 с лишним года. Но тут снова надо отключать режим послезнания. В мае 1941 года у военных была своя правда, и никто не мог предположить, что спустя 2 года придется лихорадочно искать пути срочного повышения мощности вооружения Т-34 (22229).</w:t>
      </w:r>
    </w:p>
    <w:p w14:paraId="0FB3EE8A" w14:textId="77777777" w:rsidR="00370A2C" w:rsidRPr="00271E51" w:rsidRDefault="00370A2C" w:rsidP="00271E51">
      <w:pPr>
        <w:spacing w:after="0" w:line="240" w:lineRule="auto"/>
        <w:jc w:val="both"/>
        <w:rPr>
          <w:rFonts w:ascii="Times New Roman" w:hAnsi="Times New Roman"/>
          <w:color w:val="0070C0"/>
          <w:sz w:val="16"/>
          <w:szCs w:val="16"/>
        </w:rPr>
      </w:pPr>
    </w:p>
    <w:p w14:paraId="5838455F" w14:textId="77777777" w:rsidR="00F02AD7" w:rsidRPr="00271E51" w:rsidRDefault="00F02AD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Ближе к осени 1943 года «Валентины» с длинноствольными пушками стали поступать на фронт. Поначалу их число оказалось небольшим, поскольку весной 1943 года поставки северным путём практически прекратились. Повлияла на отправку в войска и ситуация с 6-фунтовыми пушками. Весной 1943 года в ходе учебных стрельб наблюдались дефекты, аналогичные отмеченным при испытаниях 6-фунтового орудия стрельбой: деформировалась крышка люльки, а также гнулся шток тормоза отката. Проблемы с орудиями отмечались и в июне 1943 года. Всё это привело к тому, что с боевым дебютом произошла некоторая заминка.</w:t>
      </w:r>
    </w:p>
    <w:p w14:paraId="01CA3D9C" w14:textId="77777777" w:rsidR="00F02AD7" w:rsidRPr="00271E51" w:rsidRDefault="00F02AD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Новые танки вызвали в войсках неоднозначную реакцию. Прежде всего, это было связано с отсутствием курсового пулемёта. По этой причине нередкими были случаи, когда части получали смешанный состав техники. Вместе с Valentine IX в бригады и полки поступали танки, вооружённые 2-фунтовыми пушками. Безусловно, их эффективность в бою против танков была намного хуже, зато у этих машин имелся спаренный пулемёт и казнозарядный миномёт. Впрочем, и у таких «Валентинов» осколочно-фугасных снарядов в боекомплекте не было. С лета 1943 года требования о получении осколочно-фугасных участились. А ещё в мае появилась информация о наличии таких снарядов в британской армии. Тем не менее, ни о каких поставках осколочно-фугасных снарядов из Англии ни в 1943, ни в начале 1944 года не было и речи. Между тем, как раз с конца 1943 года Valentine IX стали поставляться по-настоящему массово.</w:t>
      </w:r>
    </w:p>
    <w:p w14:paraId="46AA32F5" w14:textId="77777777" w:rsidR="00F02AD7" w:rsidRPr="00271E51" w:rsidRDefault="00F02AD7"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Помощь пришла из США. Дело в том, что с конца 1943 года в СССР начали поступать американские </w:t>
      </w:r>
      <w:hyperlink r:id="rId85" w:history="1">
        <w:r w:rsidRPr="00271E51">
          <w:rPr>
            <w:rStyle w:val="a5"/>
            <w:color w:val="000000" w:themeColor="text1"/>
            <w:sz w:val="16"/>
            <w:szCs w:val="16"/>
          </w:rPr>
          <w:t>истребители танков</w:t>
        </w:r>
      </w:hyperlink>
      <w:r w:rsidRPr="00271E51">
        <w:rPr>
          <w:color w:val="000000" w:themeColor="text1"/>
          <w:sz w:val="16"/>
          <w:szCs w:val="16"/>
        </w:rPr>
        <w:t xml:space="preserve"> GMC T48. Разрабатывались они с прицелом на поставку англичанам и оснащались 57-мм пушками M1 — американскими копиями английских противотанковых орудий. Такие же орудия поступали и в американскую армию. На отсутствие осколочно-фугасных снарядов к этой пушке американцы посмотрели с некоторым удивлением и разработали собственный боеприпас. Он-то и спас положение (17709).</w:t>
      </w:r>
    </w:p>
    <w:p w14:paraId="0A71BE12" w14:textId="77777777" w:rsidR="00F02AD7" w:rsidRPr="00271E51" w:rsidRDefault="00F02AD7" w:rsidP="00271E51">
      <w:pPr>
        <w:spacing w:after="0" w:line="240" w:lineRule="auto"/>
        <w:jc w:val="both"/>
        <w:rPr>
          <w:rFonts w:ascii="Times New Roman" w:eastAsia="Times New Roman" w:hAnsi="Times New Roman"/>
          <w:color w:val="000000" w:themeColor="text1"/>
          <w:sz w:val="16"/>
          <w:szCs w:val="16"/>
          <w:lang w:eastAsia="ru-RU"/>
        </w:rPr>
      </w:pPr>
    </w:p>
    <w:p w14:paraId="4895739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87FF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A916F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несмотря на низкие противотанковые свойства «хеншелей», их выпуск нара</w:t>
      </w:r>
      <w:r w:rsidRPr="00271E51">
        <w:rPr>
          <w:rFonts w:ascii="Times New Roman" w:hAnsi="Times New Roman"/>
          <w:color w:val="000000" w:themeColor="text1"/>
          <w:sz w:val="16"/>
          <w:szCs w:val="16"/>
        </w:rPr>
        <w:softHyphen/>
        <w:t>щивался и на восточном фронте воевало уже шесть эскадрилий Нз129В. Благодаря поставкам с завода общая численность штурмовиков Нз129В в противотанковых эскадрильях постоянно держалась на уровне 50-60 машин.</w:t>
      </w:r>
    </w:p>
    <w:p w14:paraId="01E31C2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завершились испыта</w:t>
      </w:r>
      <w:r w:rsidRPr="00271E51">
        <w:rPr>
          <w:rFonts w:ascii="Times New Roman" w:hAnsi="Times New Roman"/>
          <w:color w:val="000000" w:themeColor="text1"/>
          <w:sz w:val="16"/>
          <w:szCs w:val="16"/>
        </w:rPr>
        <w:softHyphen/>
        <w:t>ния опытного Нз129В-2, оснащенного про</w:t>
      </w:r>
      <w:r w:rsidRPr="00271E51">
        <w:rPr>
          <w:rFonts w:ascii="Times New Roman" w:hAnsi="Times New Roman"/>
          <w:color w:val="000000" w:themeColor="text1"/>
          <w:sz w:val="16"/>
          <w:szCs w:val="16"/>
        </w:rPr>
        <w:softHyphen/>
        <w:t>тивотанковой пушкой ВК 3.7 в подвесном подфюзеляжном контейнере (боекомплект 12 снарядов). Пушки М0151/20 в этом ва</w:t>
      </w:r>
      <w:r w:rsidRPr="00271E51">
        <w:rPr>
          <w:rFonts w:ascii="Times New Roman" w:hAnsi="Times New Roman"/>
          <w:color w:val="000000" w:themeColor="text1"/>
          <w:sz w:val="16"/>
          <w:szCs w:val="16"/>
        </w:rPr>
        <w:softHyphen/>
        <w:t>рианте снимались.</w:t>
      </w:r>
    </w:p>
    <w:p w14:paraId="00BC123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Пилотирование штурмовика с пушкой ВК 3.7, по сравнению с машинами со стан</w:t>
      </w:r>
      <w:r w:rsidRPr="00271E51">
        <w:rPr>
          <w:rFonts w:ascii="Times New Roman" w:hAnsi="Times New Roman"/>
          <w:color w:val="000000" w:themeColor="text1"/>
          <w:sz w:val="16"/>
          <w:szCs w:val="16"/>
        </w:rPr>
        <w:softHyphen/>
        <w:t>дартным составом вооружения, усложни</w:t>
      </w:r>
      <w:r w:rsidRPr="00271E51">
        <w:rPr>
          <w:rFonts w:ascii="Times New Roman" w:hAnsi="Times New Roman"/>
          <w:color w:val="000000" w:themeColor="text1"/>
          <w:sz w:val="16"/>
          <w:szCs w:val="16"/>
        </w:rPr>
        <w:softHyphen/>
        <w:t>лось еще более. Из-за сильной отдачи ВК 3.7 при стрельбе в воздухе и специфики размещения их на машине, Нз129В-2/ВЗ испытывал сильный пикирующий момент, возникала раскачка самолета в продоль</w:t>
      </w:r>
      <w:r w:rsidRPr="00271E51">
        <w:rPr>
          <w:rFonts w:ascii="Times New Roman" w:hAnsi="Times New Roman"/>
          <w:color w:val="000000" w:themeColor="text1"/>
          <w:sz w:val="16"/>
          <w:szCs w:val="16"/>
        </w:rPr>
        <w:softHyphen/>
        <w:t>ной плоскости. По показаниям пленных не</w:t>
      </w:r>
      <w:r w:rsidRPr="00271E51">
        <w:rPr>
          <w:rFonts w:ascii="Times New Roman" w:hAnsi="Times New Roman"/>
          <w:color w:val="000000" w:themeColor="text1"/>
          <w:sz w:val="16"/>
          <w:szCs w:val="16"/>
        </w:rPr>
        <w:softHyphen/>
        <w:t>мецких летчиков управление Нз129В-2/ВЗ оказалось настолько трудным, что точ</w:t>
      </w:r>
      <w:r w:rsidRPr="00271E51">
        <w:rPr>
          <w:rFonts w:ascii="Times New Roman" w:hAnsi="Times New Roman"/>
          <w:color w:val="000000" w:themeColor="text1"/>
          <w:sz w:val="16"/>
          <w:szCs w:val="16"/>
        </w:rPr>
        <w:softHyphen/>
        <w:t>ное прицеливание и удерживание линии визирования на цели во время стрельбы стало почти невозможным. Прицельным мог быть только первый выстрел. Пики</w:t>
      </w:r>
      <w:r w:rsidRPr="00271E51">
        <w:rPr>
          <w:rFonts w:ascii="Times New Roman" w:hAnsi="Times New Roman"/>
          <w:color w:val="000000" w:themeColor="text1"/>
          <w:sz w:val="16"/>
          <w:szCs w:val="16"/>
        </w:rPr>
        <w:softHyphen/>
        <w:t>рование под углом более 30° было невы</w:t>
      </w:r>
      <w:r w:rsidRPr="00271E51">
        <w:rPr>
          <w:rFonts w:ascii="Times New Roman" w:hAnsi="Times New Roman"/>
          <w:color w:val="000000" w:themeColor="text1"/>
          <w:sz w:val="16"/>
          <w:szCs w:val="16"/>
        </w:rPr>
        <w:softHyphen/>
        <w:t>полнимым.</w:t>
      </w:r>
    </w:p>
    <w:p w14:paraId="4A144A4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схемы бронирования советско</w:t>
      </w:r>
      <w:r w:rsidRPr="00271E51">
        <w:rPr>
          <w:rFonts w:ascii="Times New Roman" w:hAnsi="Times New Roman"/>
          <w:color w:val="000000" w:themeColor="text1"/>
          <w:sz w:val="16"/>
          <w:szCs w:val="16"/>
        </w:rPr>
        <w:softHyphen/>
        <w:t>го среднего танка Т-34-76 и возможностей немецкой пушки ВК 3.7 показывает, что при углах планирования Нз129В-2/РЗ око</w:t>
      </w:r>
      <w:r w:rsidRPr="00271E51">
        <w:rPr>
          <w:rFonts w:ascii="Times New Roman" w:hAnsi="Times New Roman"/>
          <w:color w:val="000000" w:themeColor="text1"/>
          <w:sz w:val="16"/>
          <w:szCs w:val="16"/>
        </w:rPr>
        <w:softHyphen/>
        <w:t>ло 20° подкалиберный снаряд к пушке мог пробить 52 мм броню башни «тридцатьчет</w:t>
      </w:r>
      <w:r w:rsidRPr="00271E51">
        <w:rPr>
          <w:rFonts w:ascii="Times New Roman" w:hAnsi="Times New Roman"/>
          <w:color w:val="000000" w:themeColor="text1"/>
          <w:sz w:val="16"/>
          <w:szCs w:val="16"/>
        </w:rPr>
        <w:softHyphen/>
        <w:t>верки» только при стрельбе с дистанции не более 300 м, а бортовую - с 600 м. Однако время ведения эффективной стрельбы составляло 2,8 с при стрельбе по башне и 7 сек при стрельбе в борт (минимально допустимая высота для маневра на выво</w:t>
      </w:r>
      <w:r w:rsidRPr="00271E51">
        <w:rPr>
          <w:rFonts w:ascii="Times New Roman" w:hAnsi="Times New Roman"/>
          <w:color w:val="000000" w:themeColor="text1"/>
          <w:sz w:val="16"/>
          <w:szCs w:val="16"/>
        </w:rPr>
        <w:softHyphen/>
        <w:t>де 25-20 м). То есть, «эффективным» при поражении башни мог быть лишь один сна</w:t>
      </w:r>
      <w:r w:rsidRPr="00271E51">
        <w:rPr>
          <w:rFonts w:ascii="Times New Roman" w:hAnsi="Times New Roman"/>
          <w:color w:val="000000" w:themeColor="text1"/>
          <w:sz w:val="16"/>
          <w:szCs w:val="16"/>
        </w:rPr>
        <w:softHyphen/>
        <w:t>ряд, а при поражении борта - максимум три снаряда... Стрельба по надмоторной броне и крыше башни давала рикошеты с любых дистанций.</w:t>
      </w:r>
    </w:p>
    <w:p w14:paraId="0771BB3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Нз129В-2/ВЗ с пушкой ВК 3.7 в крупную серию не запускался. По имеющимся данным было построено око</w:t>
      </w:r>
      <w:r w:rsidRPr="00271E51">
        <w:rPr>
          <w:rFonts w:ascii="Times New Roman" w:hAnsi="Times New Roman"/>
          <w:color w:val="000000" w:themeColor="text1"/>
          <w:sz w:val="16"/>
          <w:szCs w:val="16"/>
        </w:rPr>
        <w:softHyphen/>
        <w:t>ло 10-12 таких штурмовиков, но ни один из них на фронт не попал (12728).</w:t>
      </w:r>
    </w:p>
    <w:p w14:paraId="3128BDCC"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0305FC27" w14:textId="77777777" w:rsidR="00343493"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7A70AC2" w14:textId="77777777" w:rsidR="00343493" w:rsidRPr="00271E51" w:rsidRDefault="0034349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47CDB" w14:textId="77777777" w:rsidR="00343493" w:rsidRPr="00271E51" w:rsidRDefault="00343493"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 сентябрю 1943 г. реэвакуация завода № 289, в основном, завершилась (15792).</w:t>
      </w:r>
    </w:p>
    <w:p w14:paraId="0A46E03D" w14:textId="77777777" w:rsidR="00343493" w:rsidRPr="00271E51" w:rsidRDefault="00343493" w:rsidP="00271E51">
      <w:pPr>
        <w:pStyle w:val="36"/>
        <w:shd w:val="clear" w:color="auto" w:fill="auto"/>
        <w:spacing w:after="0" w:line="240" w:lineRule="auto"/>
        <w:jc w:val="both"/>
        <w:rPr>
          <w:rFonts w:ascii="Times New Roman" w:cs="Times New Roman"/>
          <w:color w:val="000000" w:themeColor="text1"/>
          <w:spacing w:val="0"/>
          <w:sz w:val="16"/>
          <w:szCs w:val="16"/>
        </w:rPr>
      </w:pPr>
    </w:p>
    <w:p w14:paraId="5C152F3E"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сентябрю 1943 года реэвакуация завода №289 в основном завершилась. В 1943 году за создание самолета Су-6 П.О. Сухой был удостоен Сталинской премии I степени, а в 1945 году за вклад в Победу в Великой Отечественной войне был награжден орденом Ленина (19769).</w:t>
      </w:r>
    </w:p>
    <w:p w14:paraId="33C2485F"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3F5F3F1A" w14:textId="77777777" w:rsidR="008B4929" w:rsidRPr="00271E51" w:rsidRDefault="008B492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4049313" w14:textId="77777777" w:rsidR="008B4929" w:rsidRPr="00271E51" w:rsidRDefault="008B492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8B1671"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сентябрю 1942 года в Нижнем Тагиле и Челябинске смогли вернуться к работам по танкам, отвергнутым в начале июня. На заводе №100 в Челябинске изготовили опытный образец КВ-13, причём в исходном виде (с двухместной башней). Что же касается завода №183, то там подход оказался иной. Согласно переписке за сентябрь 1942 года, заводское КБ учло опыт работ по улучшению Т-34, а также тактико-технические требования на Т-44. Обозначение танк нёс уже другое — Т-43. Главным отличием новой машины являлась трёхместная башня, отчасти похожая на ту, что испытывали на Т-34 летом 1942 года. Также велись работы по увеличению боекомплекта и изменению механизма ленивца. Первые наработки по Т-43 были представлены Морозовым в сентябре 1942 года, а в октябре последовал звонок от Сталина, в котором он дал указание изготовить опытный образец машины в максимально короткий срок.</w:t>
      </w:r>
    </w:p>
    <w:p w14:paraId="38E8E563"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интерес к машине на столь высоком уровне, работы по Т-43 шли не столь быстро, как это было с КВ-13. Пока в Челябинске испытывали опытный образец и одновременно меняли концепцию, работа по Т-43 шла на «бумажном» фронте. Тактико-технические требования на танк ГАБТУ КА подготовило только 23 октября, а на завод №183 они попали к 1 ноября. Эти требования стали предметом ожесточённого спора между Морозовым, ГАБТУ и НКТП. Дело в том, что требования существенно отличались от того танка, который проектировался под руководством Морозова. Для начала планировалось сделать спаренную установку орудия Ф-34 с двумя пулемётами ленточного питания, а также предусмотреть возможность установки 50-мм миномёта. Боекомплект должен был составлять 100 патронов калибра 76 мм и 3000 винтовочных патронов. Диаметр погона увеличивался с 1420 до 1600 мм. Кроме того, предполагалось иметь цевочное зацепление гусеничных лент (18420).</w:t>
      </w:r>
    </w:p>
    <w:p w14:paraId="59B4D603"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09832322" w14:textId="77777777" w:rsidR="008B4929" w:rsidRPr="00271E51" w:rsidRDefault="008B492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6E7945D" w14:textId="77777777" w:rsidR="008B4929" w:rsidRPr="00271E51" w:rsidRDefault="008B492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33726C" w14:textId="77777777" w:rsidR="008B4929" w:rsidRPr="00271E51" w:rsidRDefault="008B49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сентябрю 1943-го показатель успешных пус</w:t>
      </w:r>
      <w:r w:rsidRPr="00271E51">
        <w:rPr>
          <w:rFonts w:ascii="Times New Roman" w:hAnsi="Times New Roman"/>
          <w:color w:val="000000" w:themeColor="text1"/>
          <w:sz w:val="16"/>
          <w:szCs w:val="16"/>
        </w:rPr>
        <w:softHyphen/>
        <w:t>ков Фау-2 составлял лишь 10-20%. Ракеты взрывались на всех участках траек</w:t>
      </w:r>
      <w:r w:rsidRPr="00271E51">
        <w:rPr>
          <w:rFonts w:ascii="Times New Roman" w:hAnsi="Times New Roman"/>
          <w:color w:val="000000" w:themeColor="text1"/>
          <w:sz w:val="16"/>
          <w:szCs w:val="16"/>
        </w:rPr>
        <w:softHyphen/>
        <w:t>тории: на старте, при подъеме и при подлете к цели. Только в марте 1944- го стало ясно, что сильная вибрация ослабляла резьбовые соединения топливопроводов. Спирт испарялся и смешивался с парогазом (кислород плюс водяной пар). «Адская смесь» попадала на раскаленное сопло дви</w:t>
      </w:r>
      <w:r w:rsidRPr="00271E51">
        <w:rPr>
          <w:rFonts w:ascii="Times New Roman" w:hAnsi="Times New Roman"/>
          <w:color w:val="000000" w:themeColor="text1"/>
          <w:sz w:val="16"/>
          <w:szCs w:val="16"/>
        </w:rPr>
        <w:softHyphen/>
        <w:t>гателя, далее следовал пожар и взрыв. Вторая причина подрывов — слиш</w:t>
      </w:r>
      <w:r w:rsidRPr="00271E51">
        <w:rPr>
          <w:rFonts w:ascii="Times New Roman" w:hAnsi="Times New Roman"/>
          <w:color w:val="000000" w:themeColor="text1"/>
          <w:sz w:val="16"/>
          <w:szCs w:val="16"/>
        </w:rPr>
        <w:softHyphen/>
        <w:t>ком чувствительный импульсный детонатор (19630).</w:t>
      </w:r>
    </w:p>
    <w:p w14:paraId="39B993BE" w14:textId="77777777" w:rsidR="008B4929" w:rsidRPr="00271E51" w:rsidRDefault="008B4929" w:rsidP="00271E51">
      <w:pPr>
        <w:spacing w:after="0" w:line="240" w:lineRule="auto"/>
        <w:jc w:val="both"/>
        <w:rPr>
          <w:rFonts w:ascii="Times New Roman" w:hAnsi="Times New Roman"/>
          <w:color w:val="000000" w:themeColor="text1"/>
          <w:sz w:val="16"/>
          <w:szCs w:val="16"/>
        </w:rPr>
      </w:pPr>
    </w:p>
    <w:p w14:paraId="36CF02C8" w14:textId="77777777" w:rsidR="00370A2C" w:rsidRPr="00271E51" w:rsidRDefault="00370A2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сентябрю 1943-го показатель успешных пус</w:t>
      </w:r>
      <w:r w:rsidRPr="00271E51">
        <w:rPr>
          <w:rFonts w:ascii="Times New Roman" w:hAnsi="Times New Roman"/>
          <w:color w:val="0070C0"/>
          <w:sz w:val="16"/>
          <w:szCs w:val="16"/>
        </w:rPr>
        <w:softHyphen/>
        <w:t>ков А-4 составлял лишь 10-20%. Ракеты взрывались на всех участках траек</w:t>
      </w:r>
      <w:r w:rsidRPr="00271E51">
        <w:rPr>
          <w:rFonts w:ascii="Times New Roman" w:hAnsi="Times New Roman"/>
          <w:color w:val="0070C0"/>
          <w:sz w:val="16"/>
          <w:szCs w:val="16"/>
        </w:rPr>
        <w:softHyphen/>
        <w:t>тории: на старте, при подъеме и при подлете к цели. Только в марте 1944-го стало ясно, что сильная вибрация ослабляла резьбовые соединения топливопроводов. Спирт испарялся и смешивался с парогазом (кислород плюс водяной пар). «Адская смесь» попадала на раскаленное сопло дви</w:t>
      </w:r>
      <w:r w:rsidRPr="00271E51">
        <w:rPr>
          <w:rFonts w:ascii="Times New Roman" w:hAnsi="Times New Roman"/>
          <w:color w:val="0070C0"/>
          <w:sz w:val="16"/>
          <w:szCs w:val="16"/>
        </w:rPr>
        <w:softHyphen/>
        <w:t>гателя, далее следовал пожар и взрыв. Вторая причина подрывов — слиш</w:t>
      </w:r>
      <w:r w:rsidRPr="00271E51">
        <w:rPr>
          <w:rFonts w:ascii="Times New Roman" w:hAnsi="Times New Roman"/>
          <w:color w:val="0070C0"/>
          <w:sz w:val="16"/>
          <w:szCs w:val="16"/>
        </w:rPr>
        <w:softHyphen/>
        <w:t>ком чувствительный импульсный детонатор.</w:t>
      </w:r>
    </w:p>
    <w:p w14:paraId="3EAA76EB" w14:textId="77777777" w:rsidR="00370A2C" w:rsidRPr="00271E51" w:rsidRDefault="00370A2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 расчетам командования вер</w:t>
      </w:r>
      <w:r w:rsidRPr="00271E51">
        <w:rPr>
          <w:rFonts w:ascii="Times New Roman" w:hAnsi="Times New Roman"/>
          <w:color w:val="0070C0"/>
          <w:sz w:val="16"/>
          <w:szCs w:val="16"/>
        </w:rPr>
        <w:softHyphen/>
        <w:t>махта, по Лондону необходимо было наносить удары каждые 20 минут. Для круглосуточного обстрела тре</w:t>
      </w:r>
      <w:r w:rsidRPr="00271E51">
        <w:rPr>
          <w:rFonts w:ascii="Times New Roman" w:hAnsi="Times New Roman"/>
          <w:color w:val="0070C0"/>
          <w:sz w:val="16"/>
          <w:szCs w:val="16"/>
        </w:rPr>
        <w:softHyphen/>
        <w:t>бовалось около сотни А-4. Но чтобы обеспечить такой темп стрельбы, три ракетосборочных завода в Пенемюн</w:t>
      </w:r>
      <w:r w:rsidRPr="00271E51">
        <w:rPr>
          <w:rFonts w:ascii="Times New Roman" w:hAnsi="Times New Roman"/>
          <w:color w:val="0070C0"/>
          <w:sz w:val="16"/>
          <w:szCs w:val="16"/>
        </w:rPr>
        <w:softHyphen/>
        <w:t>де, Винер-Нойштатте и Фридрихсха</w:t>
      </w:r>
      <w:r w:rsidRPr="00271E51">
        <w:rPr>
          <w:rFonts w:ascii="Times New Roman" w:hAnsi="Times New Roman"/>
          <w:color w:val="0070C0"/>
          <w:sz w:val="16"/>
          <w:szCs w:val="16"/>
        </w:rPr>
        <w:softHyphen/>
        <w:t>фене должны отгружать около 3 ты</w:t>
      </w:r>
      <w:r w:rsidRPr="00271E51">
        <w:rPr>
          <w:rFonts w:ascii="Times New Roman" w:hAnsi="Times New Roman"/>
          <w:color w:val="0070C0"/>
          <w:sz w:val="16"/>
          <w:szCs w:val="16"/>
        </w:rPr>
        <w:softHyphen/>
        <w:t>сяч ракет в месяц (22801).</w:t>
      </w:r>
    </w:p>
    <w:p w14:paraId="2CA0DB0E" w14:textId="77777777" w:rsidR="00370A2C" w:rsidRPr="00271E51" w:rsidRDefault="00370A2C" w:rsidP="00271E51">
      <w:pPr>
        <w:spacing w:after="0" w:line="240" w:lineRule="auto"/>
        <w:jc w:val="both"/>
        <w:rPr>
          <w:rFonts w:ascii="Times New Roman" w:hAnsi="Times New Roman"/>
          <w:color w:val="0070C0"/>
          <w:sz w:val="16"/>
          <w:szCs w:val="16"/>
        </w:rPr>
      </w:pPr>
    </w:p>
    <w:p w14:paraId="1F65B94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C8125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9B55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при контрольном испытании Ил-2 завода 30 N 302304 были достигнуты скорости 392 км/час у земли и 416 к/час на границе высотности (1823,28).</w:t>
      </w:r>
    </w:p>
    <w:p w14:paraId="5F2303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23C2C" w14:textId="77777777" w:rsidR="004B72F0" w:rsidRPr="00271E51" w:rsidRDefault="004B72F0"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сентября 1943 г. Ильюшин направил главному инженеру ВВС генерал-полков</w:t>
      </w:r>
      <w:r w:rsidRPr="00271E51">
        <w:rPr>
          <w:rFonts w:ascii="Times New Roman" w:hAnsi="Times New Roman" w:cs="Times New Roman"/>
          <w:color w:val="000000" w:themeColor="text1"/>
          <w:sz w:val="16"/>
          <w:szCs w:val="16"/>
        </w:rPr>
        <w:softHyphen/>
        <w:t>нику Репину письмо, в котором извещал, что для безопасной эксплуатации двух</w:t>
      </w:r>
      <w:r w:rsidRPr="00271E51">
        <w:rPr>
          <w:rFonts w:ascii="Times New Roman" w:hAnsi="Times New Roman" w:cs="Times New Roman"/>
          <w:color w:val="000000" w:themeColor="text1"/>
          <w:sz w:val="16"/>
          <w:szCs w:val="16"/>
        </w:rPr>
        <w:softHyphen/>
        <w:t>местного самолета Ил-2 с АМ-38ф нор</w:t>
      </w:r>
      <w:r w:rsidRPr="00271E51">
        <w:rPr>
          <w:rFonts w:ascii="Times New Roman" w:hAnsi="Times New Roman" w:cs="Times New Roman"/>
          <w:color w:val="000000" w:themeColor="text1"/>
          <w:sz w:val="16"/>
          <w:szCs w:val="16"/>
        </w:rPr>
        <w:softHyphen/>
        <w:t>мальный полетный вес не должен пре</w:t>
      </w:r>
      <w:r w:rsidRPr="00271E51">
        <w:rPr>
          <w:rFonts w:ascii="Times New Roman" w:hAnsi="Times New Roman" w:cs="Times New Roman"/>
          <w:color w:val="000000" w:themeColor="text1"/>
          <w:sz w:val="16"/>
          <w:szCs w:val="16"/>
        </w:rPr>
        <w:softHyphen/>
        <w:t>вышать 6150 кг (400 кг бомб, 4 РС-82, боекомплект к пушкам и пулеметам), а максимально допустимый (перегрузоч</w:t>
      </w:r>
      <w:r w:rsidRPr="00271E51">
        <w:rPr>
          <w:rFonts w:ascii="Times New Roman" w:hAnsi="Times New Roman" w:cs="Times New Roman"/>
          <w:color w:val="000000" w:themeColor="text1"/>
          <w:sz w:val="16"/>
          <w:szCs w:val="16"/>
        </w:rPr>
        <w:softHyphen/>
        <w:t>ный)- 6250 кг (19558).</w:t>
      </w:r>
    </w:p>
    <w:p w14:paraId="510B3B5A" w14:textId="77777777" w:rsidR="004B72F0" w:rsidRPr="00271E51" w:rsidRDefault="004B72F0" w:rsidP="00271E51">
      <w:pPr>
        <w:pStyle w:val="184"/>
        <w:shd w:val="clear" w:color="auto" w:fill="auto"/>
        <w:spacing w:before="0" w:after="0" w:line="240" w:lineRule="auto"/>
        <w:rPr>
          <w:rFonts w:ascii="Times New Roman" w:hAnsi="Times New Roman" w:cs="Times New Roman"/>
          <w:color w:val="000000" w:themeColor="text1"/>
          <w:sz w:val="16"/>
          <w:szCs w:val="16"/>
        </w:rPr>
      </w:pPr>
    </w:p>
    <w:p w14:paraId="36F0BD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Репин писал А.И.Ш. письмо N 12616:</w:t>
      </w:r>
    </w:p>
    <w:p w14:paraId="4CA638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акт Комиссии, назначенной совместным приказом Вашим и Командующего ВВС, под председательством Шульговского.</w:t>
      </w:r>
    </w:p>
    <w:p w14:paraId="1FC4F2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распоряжений заводам по реализации предложений комиссии.</w:t>
      </w:r>
    </w:p>
    <w:p w14:paraId="6185E9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акт комиссии, назначенной совместным приказом Командующего ВВС и НКАП за N 64/262 от 22 июня 1943 по разработке мероприятий, обеспечивающих нормальную эксплуатацию самолетов Ил-2 в частях ВВС, докладываю, что по состоянию на 20 августа реализованы следующие предложения комиссии:</w:t>
      </w:r>
    </w:p>
    <w:p w14:paraId="69668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дополнение к ранее разосланному в части ВВС бюллетеню завода 30 17-Э по ремонту обшивки на самолетах Ил-2 мною утвержден бюллетень по дополнительному ремонту самолетов Ил-2 методом, разработанным ГК С.В.И. (был разослан в части ВВС).</w:t>
      </w:r>
    </w:p>
    <w:p w14:paraId="1D19BC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Разработана и разослана в части ВВС инструкция по ремонту лакокрасочных покрытий.</w:t>
      </w:r>
    </w:p>
    <w:p w14:paraId="7F6B12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результате совещания со специалистами ВИАМ от 5 июля 1943 ВИАМом разработана и находится на утверждении НКАП производственная инструкция по окраске и режимам сушки лакокрасочных покрытий на заводах НКАП.</w:t>
      </w:r>
    </w:p>
    <w:p w14:paraId="49A80E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инструкции предусмотрено введение алюминиевого подслоя, антисептирование самолетов. Изменены режимы сушки, изменена технология в лакокрасочном покрытии самолетов.</w:t>
      </w:r>
    </w:p>
    <w:p w14:paraId="4F4C71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Самолеты Ил-2 на заводе 30 выпускаются по вновь разработанной технологии и, надо полагать, что если технология не будет нарушаться, самолеты Ил-2 деревянной конструкции завода 30 не будут вызывать сомнения в надежности их эксплуатации.</w:t>
      </w:r>
    </w:p>
    <w:p w14:paraId="429E35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результате проверки летными испытаниями упражнений N 28, 30, 32 КБ ПША-1943 комиссией установлено, что макс. перегрузка при выполнении этих упражнений в НИИ ВВС были получены до 4 и в ЛИИ до 5.15, что не выходит за пределы и не является опасным. Поэтому утверждения о том, что упражнения 28, 30, 32 вызывают большие перегрузки - не соответствуют действительности.</w:t>
      </w:r>
    </w:p>
    <w:p w14:paraId="4A8754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Комиссия пришла к заключению, что до проведения доп. ремонта по технологии, разработанной ГК С.В.И., необходимо оставить в силе ранее данные ограничения для самолетов Ил-2 шифрограммой N 55/41 от 2 мая 1943, т.е. ограничить скорость при выводе из пикирования до 420-430 км/час и не допускать углы при пикировании более 30 гр.</w:t>
      </w:r>
    </w:p>
    <w:p w14:paraId="44B46F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w:t>
      </w:r>
    </w:p>
    <w:p w14:paraId="5936B8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30 июля 1943 комиссия назначенная совместным приказом НКАП и Командующего ВВС от 22 июня N 69/262, в составе...на предмет разработки мероприятий, обеспечивающих нормальную эксплуатацию самолетов Ил-2 в частях ВВС, начала работу:</w:t>
      </w:r>
    </w:p>
    <w:p w14:paraId="234E2B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своей работы комиссия установила:</w:t>
      </w:r>
    </w:p>
    <w:p w14:paraId="08F806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Ряд катастроф и аварий самолетов Ил-2 в частях ВВС произошло в результате недоброкачественного изготовления этих самолетов на заводе 30. Из наличного количества самолетов Ил-2, находящихся в строю, требуют ремонта 63%.</w:t>
      </w:r>
    </w:p>
    <w:p w14:paraId="2E1984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характерными причинами недоброкачественного изготовления самолетов Ил-2, и лг. образом, самолетов завода 30, послужило применение некондиционных материалов, плохое хранение авиадревесины на складах, изменение технологии лакокрасочных покрытий, нарушение установленной технологии.</w:t>
      </w:r>
    </w:p>
    <w:p w14:paraId="23FF73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Проведенные ВИАМ анализы поставляемых заводам НКАП материалов (фанера, полотно, лаки, краски, шпатлевка и др.) показали неудовлетворительное их качество.</w:t>
      </w:r>
    </w:p>
    <w:p w14:paraId="1A0025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Хранение авиадревесины и фанеры на заводе 30 не отвечает самым элементарным требованиям и не обеспечивает предохранения ее от воздействия атмосферных осадков и разрушения еще до использования в конструкции самолета (авиадревесина на разгрузочных площадках завода 30 разгружена навалом, годная с негодной, лежит под открытым небом и мокнет под дождем).</w:t>
      </w:r>
    </w:p>
    <w:p w14:paraId="12B85F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Технологический процесс лакокрасочного покрытия, который был утвержден на период военного времени и действовал с начала войны до последнего времени, имеет следующие отличия от технологии довоенного времени:</w:t>
      </w:r>
    </w:p>
    <w:p w14:paraId="46264D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Был изъят алюминиевый подслой, наносимый на шпатлевку, необходимый для водостойкости и увеличения срока службы поверхностного слоя.</w:t>
      </w:r>
    </w:p>
    <w:p w14:paraId="46744F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Клей АК-20 применялся с пониженным количеством активных растворителей (27%), что привело к снижению прочности приклейки полотна до 250 кг/м вместо требуемых 60 кг/м.</w:t>
      </w:r>
    </w:p>
    <w:p w14:paraId="770D196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Шпатлевка АШ-20 (завода 34) изготавливается по рецептуре ничего общего не имеющей с АШ-20. Чрезвычайно низкая пластичность этой шпатлевки приводила к растрескиванию ее в первые часы после высыхания.</w:t>
      </w:r>
    </w:p>
    <w:p w14:paraId="4C9471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Были...(1779,255).</w:t>
      </w:r>
    </w:p>
    <w:p w14:paraId="75E1F9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A87EA"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1 сентября 1943 Ил-2 (зав. №1873370) с первым вариантом системы НГ-1 передали в ЛИС завода №18 для проведения заводских испытаний.</w:t>
      </w:r>
    </w:p>
    <w:p w14:paraId="557D21E7"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стальной трубы, участок от газозаборника до входа в крыло - из стальной трубки, а остальная часть - из дюралевых труб. Включение и отключение подачи выхлопных газов в бензобаки осуществлялось летчиком при помощи крана пробкового типа.</w:t>
      </w:r>
    </w:p>
    <w:p w14:paraId="3C8A8B89"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первом этапе программы испытаний планировалось выполнить три полета, во время которых предполагалось взять пробы газа из баков, замерить давление газа в баках и его температуру перед входом в фильтр-отстойник и на входе в баки. Отбор газа производился с помощью кислородных подушек.</w:t>
      </w:r>
    </w:p>
    <w:p w14:paraId="2A17E0D6"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Первый же полет показал несовершенство конструкции, предложенной заводом №18. Выполнить отбор газа для пробы в полете не удалось. Стрелка манометра едва отклонялась, не давая возможности произвести отсчет давления. Температура газа у входа в фильтр была зарегистрирована 50°С, у входа в бензобаки 15‘С. По словам летчика, трубки системы и кран заполнения, находящиеся в кабине были во время полета горячими. При попытке набрать газ в кислородную подушку из прямого участка магистрали, идущей от забора к фильтру, удалось за 3 мин набрать всего 1,5-2 л.</w:t>
      </w:r>
    </w:p>
    <w:p w14:paraId="711931F4"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Полученные данные оказались далекими от ожидаемого результата и главное, весьма противоречивыми. В качестве основной причины отмечалось неудачное расположение трубки газозаборника, которая «своим обрезком близко расположена к клапанам» и «находится в затененном пространстве между клапанами и в нее мало поступает газа». Кроме этого, требовалось выполнить тарировку приборов - манометров и датчиков температур.</w:t>
      </w:r>
    </w:p>
    <w:p w14:paraId="6E9E5107"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ходе второго испытательного полета установили, что температуры газов нормальные, «но газа удалось набрать в количестве, недостаточном для производства анализа». В этой связи решили изменить форму газозаборника и его местоположение в выхлопном патрубке: «..Заборная трубка изготавливается с раструбом и будет поставлена эксцентрично в выхлопном патрубке».</w:t>
      </w:r>
    </w:p>
    <w:p w14:paraId="4A976F41"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этому времени было получено устное распоряжение по телефону от начальника 1-го отдела УЗСиМ ГУ НАС ВВС инженер-полковника Ковалева о срочной отправке самолета на испытания в НИИ ВВС.</w:t>
      </w:r>
    </w:p>
    <w:p w14:paraId="2E93F83E"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Уже к 10 октября систему доработали и выполнили очередной испытательный полет. Были взяты две пробы газа на земле при работе мотора на режиме 2050 об/мин и Ра=1200 и Ра=800-880 мм.рт.ст. и одна проба в воздухе.</w:t>
      </w:r>
    </w:p>
    <w:p w14:paraId="7DA71E03"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Проба в полете отбиралась в течение 25 мин, спустя 15 мин после взлета при включенном заполнении баков от выхлопа. Все три пробы показали одно и то же содержание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- 2-2,5%. После этого взяли еще одну пробу непосредственно из трубки, идущей от заборника. Ее анализ показал содержание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равное 4-4,5%. Давление газа в баке во всех случаях не превышало 0,03 атм. Температура газа до фильтра составляла 18-20‘С, на входе в бак - 10-12°С, при окружающей температуре 10°С.</w:t>
      </w:r>
    </w:p>
    <w:p w14:paraId="0F3761D6"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Комиссия специалистов военного представительства, СКО и ЛИС завода №18 сочла, что: «система обеспечивает поступление в баки выхлопных газов, с содержанием 4-4,5%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до 70% азота, что должно обеспечить полную локализацию возможного воспламенения паров бензина при поражении баков. Ввиду низкой температуры газа у фильтра, комиссия находит нужным смонтировать газовый фильтр и проводку в капоте мотора, во избежание замерзания конденсата и нарушения работы системы».</w:t>
      </w:r>
    </w:p>
    <w:p w14:paraId="5AB11540"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Систему в очередной раз доработали, после чего самолет сначала поступил в ЛИИ НКАП для прохождения предварительных испытаний с целью «получения полного заключения о пригодности данной системы для внедрения в серию» перед передачей самолета в НИИ ВВС.</w:t>
      </w:r>
    </w:p>
    <w:p w14:paraId="56890F2A"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Специалисты ЛИИ НКАП раскритиковали систему СКО завода №18 и разработали свою собственную конструкцию. В результате самолет Ил-2 (зав. №1873370) с мотором АМ-38ф, оборудованный системой заполнения бензобаков выхлопными газами мотора - система НГ 1-й зоны, поступил в НИИ ВВС для прохождения совместных государственных испытаний лишь в апреле 1944 г. На нем испытывались две системы «нейтрального газа»: СКО завода №18 и ЛИИ НКАП.</w:t>
      </w:r>
    </w:p>
    <w:p w14:paraId="6317B312"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Испытания показали, что в системе завода №18, наряду с достаточной концентрацией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1F3D9A33"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271E51">
        <w:rPr>
          <w:rFonts w:ascii="Times New Roman" w:eastAsia="Times New Roman" w:hAnsi="Times New Roman"/>
          <w:color w:val="000000" w:themeColor="text1"/>
          <w:sz w:val="16"/>
          <w:szCs w:val="16"/>
          <w:shd w:val="clear" w:color="auto" w:fill="FFFFFF"/>
          <w:vertAlign w:val="superscript"/>
          <w:lang w:eastAsia="ru-RU"/>
        </w:rPr>
        <w:t>3</w:t>
      </w:r>
      <w:r w:rsidRPr="00271E51">
        <w:rPr>
          <w:rFonts w:ascii="Times New Roman" w:eastAsia="Times New Roman" w:hAnsi="Times New Roman"/>
          <w:color w:val="000000" w:themeColor="text1"/>
          <w:sz w:val="16"/>
          <w:szCs w:val="16"/>
          <w:lang w:eastAsia="ru-RU"/>
        </w:rPr>
        <w:t>. При этом концентрация е бензобаках С0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и 0</w:t>
      </w:r>
      <w:r w:rsidRPr="00271E51">
        <w:rPr>
          <w:rFonts w:ascii="Times New Roman" w:eastAsia="Times New Roman" w:hAnsi="Times New Roman"/>
          <w:color w:val="000000" w:themeColor="text1"/>
          <w:sz w:val="16"/>
          <w:szCs w:val="16"/>
          <w:shd w:val="clear" w:color="auto" w:fill="FFFFFF"/>
          <w:vertAlign w:val="subscript"/>
          <w:lang w:eastAsia="ru-RU"/>
        </w:rPr>
        <w:t>2</w:t>
      </w:r>
      <w:r w:rsidRPr="00271E51">
        <w:rPr>
          <w:rFonts w:ascii="Times New Roman" w:eastAsia="Times New Roman" w:hAnsi="Times New Roman"/>
          <w:color w:val="000000" w:themeColor="text1"/>
          <w:sz w:val="16"/>
          <w:szCs w:val="16"/>
          <w:lang w:eastAsia="ru-RU"/>
        </w:rPr>
        <w:t xml:space="preserve"> достигала 2-4% и 8-12% соответственно.</w:t>
      </w:r>
    </w:p>
    <w:p w14:paraId="19515625"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60628515"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3E9866F2" w14:textId="77777777" w:rsidR="00DB187D" w:rsidRPr="00271E51" w:rsidRDefault="00DB187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B23677" w14:textId="77777777" w:rsidR="00DB187D" w:rsidRPr="00271E51" w:rsidRDefault="00DB187D"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По состоянию на 1 сентября 1943 чертежи Ил-1 были спущены в цеха, начались работы по изготовлению оснастки и шаблонов, заготовки комплекта деталей для сборки одного летного экземпляра самолета и проведения статических испытаний его основных агрегатов. Завод № 18 имел утвержденный директором график производства опытного экземпляра самолета Ил-1 АМ-42 (приказ по заводу № 842 от 27 августа 1943 г.), а завод № 1 такого графика еще не имел. Согласно планам 18-го завода «цех сборки сдает машину Ил-1 по техосмотру 14 октября и передает на летную станцию 15 октября». При этом по каждому цеху завода были назначены ответственные работники, лично отвечающие за выдерживание установленных сроков «по отдельным агрегатам» и качество их изготовления.</w:t>
      </w:r>
    </w:p>
    <w:p w14:paraId="0AE06A4C" w14:textId="77777777" w:rsidR="00DB187D" w:rsidRPr="00271E51" w:rsidRDefault="00DB187D"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Однако работы по самолету Ил-1 шли все же медленными темпами. Как отмечал в сводке по опытным работам на 1 октября помощник военпреда ГУ ИАС ВВС по опытным работам на заводе № 18 старший техник-лейтенант В. В. Никулин, «за изготовлением самолета никто не следит, и вся работа в цехах идет самотеком» (17490).</w:t>
      </w:r>
    </w:p>
    <w:p w14:paraId="5E5A8AD9" w14:textId="77777777" w:rsidR="00DB187D" w:rsidRPr="00271E51" w:rsidRDefault="00DB187D" w:rsidP="00271E51">
      <w:pPr>
        <w:spacing w:after="0" w:line="240" w:lineRule="auto"/>
        <w:jc w:val="both"/>
        <w:rPr>
          <w:rFonts w:ascii="Times New Roman" w:hAnsi="Times New Roman"/>
          <w:color w:val="000000" w:themeColor="text1"/>
          <w:sz w:val="16"/>
          <w:szCs w:val="16"/>
        </w:rPr>
      </w:pPr>
    </w:p>
    <w:p w14:paraId="528D8B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согласно журнала наблюдения за проектированием, постройкой и испытаниями высотного истребителя МиГ-1 строящийся высотный самолет отличался от МиГ-11: установлены 2ТК-2Б на мотор, редукция ).59, консоли крыла - размах увеличен на 2 м до 15 м. Тллщина профиля на концах - 10% вместо 8%.</w:t>
      </w:r>
    </w:p>
    <w:p w14:paraId="1B236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Нормальный вариант вооружения: пушка ШВАК (110 снарядов)), перегрузочный - 2хШВАК по 100 снарядов.</w:t>
      </w:r>
    </w:p>
    <w:p w14:paraId="3809E2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Расчетные данные:</w:t>
      </w:r>
    </w:p>
    <w:p w14:paraId="6E434B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- 4000 кг</w:t>
      </w:r>
    </w:p>
    <w:p w14:paraId="26B62E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 Крыла - 22.4 м2, длина - 7,55</w:t>
      </w:r>
    </w:p>
    <w:p w14:paraId="36153E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Жданова СМВ-14, д. 3,5 м, 4-х лопасный.</w:t>
      </w:r>
    </w:p>
    <w:p w14:paraId="67FA2E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Теоретический потолок - 15000 м, расчетная высота - 12500 м, Скор. у земли - 530, скорость на форсаже - 565, Скор. на 12500 - 685.</w:t>
      </w:r>
    </w:p>
    <w:p w14:paraId="03E30D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 - 5 мин., 10000 м - 12 мин., 14000 м - 22 мин.</w:t>
      </w:r>
    </w:p>
    <w:p w14:paraId="389062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Сборка задерживается отсутствием мотора АМ-39 (991,9).</w:t>
      </w:r>
    </w:p>
    <w:p w14:paraId="160FE7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385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w:t>
      </w:r>
    </w:p>
    <w:p w14:paraId="3C1179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Прейскурант отпускных цен, утверждённых 1 сентября (видимо, на IV квартал 1943 г.)1943 г. (тыс. руб.)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2906. Л. 79—80)</w:t>
      </w:r>
    </w:p>
    <w:tbl>
      <w:tblPr>
        <w:tblW w:w="0" w:type="auto"/>
        <w:tblInd w:w="8" w:type="dxa"/>
        <w:tblLayout w:type="fixed"/>
        <w:tblCellMar>
          <w:left w:w="0" w:type="dxa"/>
          <w:right w:w="0" w:type="dxa"/>
        </w:tblCellMar>
        <w:tblLook w:val="0000" w:firstRow="0" w:lastRow="0" w:firstColumn="0" w:lastColumn="0" w:noHBand="0" w:noVBand="0"/>
      </w:tblPr>
      <w:tblGrid>
        <w:gridCol w:w="1546"/>
        <w:gridCol w:w="720"/>
        <w:gridCol w:w="1416"/>
        <w:gridCol w:w="2453"/>
      </w:tblGrid>
      <w:tr w:rsidR="00A907A5" w:rsidRPr="00271E51" w14:paraId="1021D757" w14:textId="77777777" w:rsidTr="00ED5B0A">
        <w:trPr>
          <w:trHeight w:val="422"/>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05800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Tin </w:t>
            </w:r>
            <w:r w:rsidRPr="00271E51">
              <w:rPr>
                <w:rFonts w:ascii="Times New Roman" w:hAnsi="Times New Roman"/>
                <w:color w:val="000000" w:themeColor="text1"/>
                <w:sz w:val="16"/>
                <w:szCs w:val="16"/>
              </w:rPr>
              <w:t>техника</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CC10E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завода</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5606D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Ценя (для самолё</w:t>
            </w:r>
            <w:r w:rsidRPr="00271E51">
              <w:rPr>
                <w:rFonts w:ascii="Times New Roman" w:hAnsi="Times New Roman"/>
                <w:color w:val="000000" w:themeColor="text1"/>
                <w:sz w:val="16"/>
                <w:szCs w:val="16"/>
              </w:rPr>
              <w:softHyphen/>
              <w:t>тов—8«з мотора)</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F4E76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Нрямечаввя</w:t>
            </w:r>
          </w:p>
        </w:tc>
      </w:tr>
      <w:tr w:rsidR="00A907A5" w:rsidRPr="00271E51" w14:paraId="1EBE5D23"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7D4EF0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(М-82Ф)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8762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76CCC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2453" w:type="dxa"/>
            <w:tcBorders>
              <w:top w:val="single" w:sz="6" w:space="0" w:color="auto"/>
              <w:left w:val="single" w:sz="6" w:space="0" w:color="auto"/>
              <w:bottom w:val="nil"/>
              <w:right w:val="single" w:sz="6" w:space="0" w:color="auto"/>
            </w:tcBorders>
            <w:shd w:val="clear" w:color="auto" w:fill="FFFFFF"/>
          </w:tcPr>
          <w:p w14:paraId="33ECC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пушками ВЯ-23</w:t>
            </w:r>
          </w:p>
        </w:tc>
      </w:tr>
      <w:tr w:rsidR="00A907A5" w:rsidRPr="00271E51" w14:paraId="141AC444" w14:textId="77777777" w:rsidTr="00ED5B0A">
        <w:trPr>
          <w:trHeight w:val="226"/>
        </w:trPr>
        <w:tc>
          <w:tcPr>
            <w:tcW w:w="1546" w:type="dxa"/>
            <w:tcBorders>
              <w:top w:val="single" w:sz="6" w:space="0" w:color="auto"/>
              <w:left w:val="single" w:sz="6" w:space="0" w:color="auto"/>
              <w:bottom w:val="nil"/>
              <w:right w:val="single" w:sz="6" w:space="0" w:color="auto"/>
            </w:tcBorders>
            <w:shd w:val="clear" w:color="auto" w:fill="FFFFFF"/>
          </w:tcPr>
          <w:p w14:paraId="0807B8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(ЛМ-38Ф)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B4BFC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1D21E0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w:t>
            </w:r>
          </w:p>
        </w:tc>
        <w:tc>
          <w:tcPr>
            <w:tcW w:w="2453" w:type="dxa"/>
            <w:tcBorders>
              <w:top w:val="nil"/>
              <w:left w:val="single" w:sz="6" w:space="0" w:color="auto"/>
              <w:bottom w:val="nil"/>
              <w:right w:val="single" w:sz="6" w:space="0" w:color="auto"/>
            </w:tcBorders>
            <w:shd w:val="clear" w:color="auto" w:fill="FFFFFF"/>
          </w:tcPr>
          <w:p w14:paraId="37B775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4710DD" w14:textId="77777777" w:rsidTr="00ED5B0A">
        <w:trPr>
          <w:trHeight w:val="221"/>
        </w:trPr>
        <w:tc>
          <w:tcPr>
            <w:tcW w:w="1546" w:type="dxa"/>
            <w:tcBorders>
              <w:top w:val="nil"/>
              <w:left w:val="single" w:sz="6" w:space="0" w:color="auto"/>
              <w:bottom w:val="nil"/>
              <w:right w:val="single" w:sz="6" w:space="0" w:color="auto"/>
            </w:tcBorders>
            <w:shd w:val="clear" w:color="auto" w:fill="FFFFFF"/>
          </w:tcPr>
          <w:p w14:paraId="61E823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19DDB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FF0B6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w:t>
            </w:r>
          </w:p>
        </w:tc>
        <w:tc>
          <w:tcPr>
            <w:tcW w:w="2453" w:type="dxa"/>
            <w:tcBorders>
              <w:top w:val="nil"/>
              <w:left w:val="single" w:sz="6" w:space="0" w:color="auto"/>
              <w:bottom w:val="single" w:sz="6" w:space="0" w:color="auto"/>
              <w:right w:val="single" w:sz="6" w:space="0" w:color="auto"/>
            </w:tcBorders>
            <w:shd w:val="clear" w:color="auto" w:fill="FFFFFF"/>
          </w:tcPr>
          <w:p w14:paraId="10A202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A01363" w14:textId="77777777" w:rsidTr="00ED5B0A">
        <w:trPr>
          <w:trHeight w:val="226"/>
        </w:trPr>
        <w:tc>
          <w:tcPr>
            <w:tcW w:w="1546" w:type="dxa"/>
            <w:tcBorders>
              <w:top w:val="nil"/>
              <w:left w:val="single" w:sz="6" w:space="0" w:color="auto"/>
              <w:bottom w:val="single" w:sz="6" w:space="0" w:color="auto"/>
              <w:right w:val="single" w:sz="6" w:space="0" w:color="auto"/>
            </w:tcBorders>
            <w:shd w:val="clear" w:color="auto" w:fill="FFFFFF"/>
          </w:tcPr>
          <w:p w14:paraId="6B5ECD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F07DB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B8053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651E8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пушками ШВАК</w:t>
            </w:r>
          </w:p>
        </w:tc>
      </w:tr>
      <w:tr w:rsidR="00A907A5" w:rsidRPr="00271E51" w14:paraId="000DA0E2"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E14A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(2М-88Б)</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3903B6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E7664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EEDB3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EF9B00"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25E1B9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(2М-105ПФ)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F913E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622A50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C5911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8DEB63"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61A3E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Ли-2 (2М-62ИР)</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7D0CC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10523B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DC249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539126"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C8C24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УТ-2(М-11Д)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75CA1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7A36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2453" w:type="dxa"/>
            <w:tcBorders>
              <w:top w:val="single" w:sz="6" w:space="0" w:color="auto"/>
              <w:left w:val="single" w:sz="6" w:space="0" w:color="auto"/>
              <w:bottom w:val="nil"/>
              <w:right w:val="single" w:sz="6" w:space="0" w:color="auto"/>
            </w:tcBorders>
            <w:shd w:val="clear" w:color="auto" w:fill="FFFFFF"/>
          </w:tcPr>
          <w:p w14:paraId="621EB0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вооружением и эяепрофнпцмй</w:t>
            </w:r>
          </w:p>
        </w:tc>
      </w:tr>
      <w:tr w:rsidR="00A907A5" w:rsidRPr="00271E51" w14:paraId="28325213"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76F436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У-2(М-ПД)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1E60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387</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0A180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2453" w:type="dxa"/>
            <w:tcBorders>
              <w:top w:val="nil"/>
              <w:left w:val="single" w:sz="6" w:space="0" w:color="auto"/>
              <w:bottom w:val="single" w:sz="6" w:space="0" w:color="auto"/>
              <w:right w:val="single" w:sz="6" w:space="0" w:color="auto"/>
            </w:tcBorders>
            <w:shd w:val="clear" w:color="auto" w:fill="FFFFFF"/>
          </w:tcPr>
          <w:p w14:paraId="0EC149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6FAA48"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2D8359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305B3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1S3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2CD21D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3CCEB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F04094"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51E45A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0638D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6418A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B65F1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C616D0"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4BEA5A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78AC95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0FF982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20F3D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37-ым пушкой СКБ-16</w:t>
            </w:r>
          </w:p>
        </w:tc>
      </w:tr>
      <w:tr w:rsidR="00A907A5" w:rsidRPr="00271E51" w14:paraId="2803C897"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436612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3DDC3E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54BFDE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F576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57E50D"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43304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4462C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31A56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47457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8AAAF4"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CFAFE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63FB0D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14915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BD7D1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14EA2A"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FCD10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38FA4C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56336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A3E82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9F18A8"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7C6823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232417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1D0581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7447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FC502E"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0781A3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М-82ФН</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373B1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86D50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4B7C4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73A2FC" w14:textId="77777777" w:rsidTr="00ED5B0A">
        <w:trPr>
          <w:trHeight w:val="240"/>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29CD1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251A03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2178A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0C2654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04067BA" w14:textId="77777777" w:rsidR="00BA7A65" w:rsidRPr="00271E51" w:rsidRDefault="00BA7A65" w:rsidP="00271E51">
      <w:pPr>
        <w:widowControl w:val="0"/>
        <w:tabs>
          <w:tab w:val="left" w:pos="431"/>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(12011).</w:t>
      </w:r>
    </w:p>
    <w:p w14:paraId="31D81DAB" w14:textId="77777777" w:rsidR="004B72F0" w:rsidRPr="00271E51" w:rsidRDefault="004B72F0"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6ED7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г. Приказом наркома авиаци</w:t>
      </w:r>
      <w:r w:rsidRPr="00271E51">
        <w:rPr>
          <w:rFonts w:ascii="Times New Roman" w:hAnsi="Times New Roman"/>
          <w:color w:val="000000" w:themeColor="text1"/>
          <w:sz w:val="16"/>
          <w:szCs w:val="16"/>
        </w:rPr>
        <w:softHyphen/>
        <w:t>онной промышленности Шахурина бывший директор филиала завода № 468 Г.И. Байдаков был назначен директором завода №468 (потом, во время войны эту должность исполняли еще Н.И. Горьковенок и В.И. Крупнов), а А.И. Привалов остался главным конструктором завода. Тем самым как бы разделялись работы - по серийно</w:t>
      </w:r>
      <w:r w:rsidRPr="00271E51">
        <w:rPr>
          <w:rFonts w:ascii="Times New Roman" w:hAnsi="Times New Roman"/>
          <w:color w:val="000000" w:themeColor="text1"/>
          <w:sz w:val="16"/>
          <w:szCs w:val="16"/>
        </w:rPr>
        <w:softHyphen/>
        <w:t>му производству и опытно-конструк</w:t>
      </w:r>
      <w:r w:rsidRPr="00271E51">
        <w:rPr>
          <w:rFonts w:ascii="Times New Roman" w:hAnsi="Times New Roman"/>
          <w:color w:val="000000" w:themeColor="text1"/>
          <w:sz w:val="16"/>
          <w:szCs w:val="16"/>
        </w:rPr>
        <w:softHyphen/>
        <w:t>торские над новыми объектами. Но вопросы развития парашютно-десан</w:t>
      </w:r>
      <w:r w:rsidRPr="00271E51">
        <w:rPr>
          <w:rFonts w:ascii="Times New Roman" w:hAnsi="Times New Roman"/>
          <w:color w:val="000000" w:themeColor="text1"/>
          <w:sz w:val="16"/>
          <w:szCs w:val="16"/>
        </w:rPr>
        <w:softHyphen/>
        <w:t>тной техники снова оказались отодви -нуты на второй план. Тем более, что в конце 1943 - начале 1944 г. на завод" была размещена конструкторская группа во главе с полковником П.В. Цыбиным, проектировавшая де</w:t>
      </w:r>
      <w:r w:rsidRPr="00271E51">
        <w:rPr>
          <w:rFonts w:ascii="Times New Roman" w:hAnsi="Times New Roman"/>
          <w:color w:val="000000" w:themeColor="text1"/>
          <w:sz w:val="16"/>
          <w:szCs w:val="16"/>
        </w:rPr>
        <w:softHyphen/>
        <w:t>сантные планеры (11752).</w:t>
      </w:r>
    </w:p>
    <w:p w14:paraId="7E006E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EC766" w14:textId="77777777" w:rsidR="004B72F0" w:rsidRPr="00271E51" w:rsidRDefault="004B72F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сентября 1943 г. с завода 600 было вывезено в Советский Союз всё производственное и вспомогательное оборудование, все материально-технические ценности и прочее заводское имущество, имущество ОРС’а, жилищно-коммунального хозяйства, культурно-бытовых учреждений, а также имущество работников завода № 600 в Урумчи и их семей. К этому же времени были полностью эвакуированы работники завода с семьями, в числе которых совграждане принятые на месте, в количестве свыше 800 чел. Об этом в одном из документов завода говорится: «Большая работа производилась с местными кадрами, что позволило пополнить коллектив завода молодыми кадрами, получившими на заводе самые разнообразные квалификации. Эти молодые кадры, следуя примеру командированных работников, показали хорошие образцы работы /…/. Несмотря на все трудности работы с местными кадрами /…/, всё же заводу удалось создать хороший коллектив рабочих из местного населения, который своим честным трудом стремился выразить свою благодарность Правительству Советского Союза за те условия, которые были созданы им на заводе. Подтверждением этому может служить то, что основная масса работников завода из местного населения изъявила желание выехать в Советский Союз и при эвакуации была вывезена в количестве свыше 800 человек, в то время как в других Советских организациях в Синьцзяне выехали единицы». [РГАЭ Ф. 303 оп. 1 д. 100 л. 27].</w:t>
      </w:r>
    </w:p>
    <w:p w14:paraId="0D84905D" w14:textId="77777777" w:rsidR="004B72F0" w:rsidRPr="00271E51" w:rsidRDefault="004B72F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отчёту завода за 1943 год: «К моменту эвакуации завода, т.е. 1/V-43 г., кроме основных производственных цехов, расположенных на площади 7000 м кв, завод располагал литейной для чёрных и цветных металлов, кузницей, цехом покрытий, термической мастерской и др. (производствами), что позволило заводу в небольших объёмах иметь законченный цикл самолётостроения, обходясь без кооперирования со смежными производствами. Наличие при заводе большого термического хозяйства с собственной топливной базой с шахтой на ней, с производительностью в три-четыре раза превышающей потребности завода, наличие при заводе авто и гужевого транспорта, цеха ширпотреба, снабжающего местный рынок разнообразной продукцией, полукоксовой установки уподобило завод в условиях Китая небольшому промышленному комбинату. При заводе существовал рабочий посёлок с населением около 5000 человек, полностью электрифицированный, оборудованный водопроводом-канализацией, имеющий все культурно-бытовые учреждения, присущие советскому городу. Посёлок имел оборудованную больницу, школу-десятилетку, театр, сеть магазинов и буфетов, столовые, детсад, детясли, банно-прачечную, типографию, выпускающую ежедневный бюллетень сводок Совинформбюро, крупную радиостанцию, обслуживающую, кроме посёлка, и совколонию в г. Урумчи, а также и ряд пищевых предприятий (колбасная, пекарня, пивзавод, кондитерская), которые, перерабатывая продукты собственного подсобного сельского хозяйства (животноводческие, молочные, овощные и зерновые хозяйства) обеспечивали потребным не только население посёлка, но и всю совколонию в г. Урумчи. В Западном Китае такой посёлок-городок являлся единственным в своём роде и и поэтому представлял собой небольшой промышленно-культурный центр, «в котором местные организации переняли передовой технический опыт, опыт организации производства, культурно-бытового строительства, получали помощь порядке кооперирования и проч.» (19006).</w:t>
      </w:r>
    </w:p>
    <w:p w14:paraId="31A30073" w14:textId="77777777" w:rsidR="004B72F0" w:rsidRPr="00271E51" w:rsidRDefault="004B72F0" w:rsidP="00271E51">
      <w:pPr>
        <w:spacing w:after="0" w:line="240" w:lineRule="auto"/>
        <w:jc w:val="both"/>
        <w:rPr>
          <w:rFonts w:ascii="Times New Roman" w:hAnsi="Times New Roman"/>
          <w:color w:val="000000" w:themeColor="text1"/>
          <w:sz w:val="16"/>
          <w:szCs w:val="16"/>
        </w:rPr>
      </w:pPr>
    </w:p>
    <w:p w14:paraId="55550C40"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AC3D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1877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сентября 1943 г. в распоряжении Наркомата танко</w:t>
      </w:r>
      <w:r w:rsidRPr="00271E51">
        <w:rPr>
          <w:rFonts w:ascii="Times New Roman" w:hAnsi="Times New Roman"/>
          <w:color w:val="000000" w:themeColor="text1"/>
          <w:sz w:val="16"/>
          <w:szCs w:val="16"/>
        </w:rPr>
        <w:softHyphen/>
        <w:t>вой промышленности имелось 3 танка Т-43 (один - эта</w:t>
      </w:r>
      <w:r w:rsidRPr="00271E51">
        <w:rPr>
          <w:rFonts w:ascii="Times New Roman" w:hAnsi="Times New Roman"/>
          <w:color w:val="000000" w:themeColor="text1"/>
          <w:sz w:val="16"/>
          <w:szCs w:val="16"/>
        </w:rPr>
        <w:softHyphen/>
        <w:t>лонный и два — серийных), а также один танк Т-43-1 (в ис</w:t>
      </w:r>
      <w:r w:rsidRPr="00271E51">
        <w:rPr>
          <w:rFonts w:ascii="Times New Roman" w:hAnsi="Times New Roman"/>
          <w:color w:val="000000" w:themeColor="text1"/>
          <w:sz w:val="16"/>
          <w:szCs w:val="16"/>
        </w:rPr>
        <w:softHyphen/>
        <w:t>тории танкостроения на заводе № 183 указано лишь 2 изго</w:t>
      </w:r>
      <w:r w:rsidRPr="00271E51">
        <w:rPr>
          <w:rFonts w:ascii="Times New Roman" w:hAnsi="Times New Roman"/>
          <w:color w:val="000000" w:themeColor="text1"/>
          <w:sz w:val="16"/>
          <w:szCs w:val="16"/>
        </w:rPr>
        <w:softHyphen/>
        <w:t>товленных Т-43, но в отчете об опытных работах за 1943 г., предоставленном В. Малышеву, фигурирует 2 танка Т-43, 1 танк Т-43 эталонный и 1 танк Т-43 опытный).</w:t>
      </w:r>
    </w:p>
    <w:p w14:paraId="16B0EE5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один из танков Т-43 был перевоору</w:t>
      </w:r>
      <w:r w:rsidRPr="00271E51">
        <w:rPr>
          <w:rFonts w:ascii="Times New Roman" w:hAnsi="Times New Roman"/>
          <w:color w:val="000000" w:themeColor="text1"/>
          <w:sz w:val="16"/>
          <w:szCs w:val="16"/>
        </w:rPr>
        <w:softHyphen/>
        <w:t>жен 85-мм пушкой Д-5Т и показал значительно возросшую огневую мощь. Но, как уже говорилось, в сентябре 1943 г. подготовка серийного производства Т-43 была прекраще</w:t>
      </w:r>
      <w:r w:rsidRPr="00271E51">
        <w:rPr>
          <w:rFonts w:ascii="Times New Roman" w:hAnsi="Times New Roman"/>
          <w:color w:val="000000" w:themeColor="text1"/>
          <w:sz w:val="16"/>
          <w:szCs w:val="16"/>
        </w:rPr>
        <w:softHyphen/>
        <w:t>на, как остановлен и выпуск установочной серии. Так поче</w:t>
      </w:r>
      <w:r w:rsidRPr="00271E51">
        <w:rPr>
          <w:rFonts w:ascii="Times New Roman" w:hAnsi="Times New Roman"/>
          <w:color w:val="000000" w:themeColor="text1"/>
          <w:sz w:val="16"/>
          <w:szCs w:val="16"/>
        </w:rPr>
        <w:softHyphen/>
        <w:t>му же Сталин прекратил производство Т-43?</w:t>
      </w:r>
    </w:p>
    <w:p w14:paraId="1CB45D9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Большинство авторов, излагающих историю совет</w:t>
      </w:r>
      <w:r w:rsidRPr="00271E51">
        <w:rPr>
          <w:rFonts w:ascii="Times New Roman" w:hAnsi="Times New Roman"/>
          <w:color w:val="000000" w:themeColor="text1"/>
          <w:sz w:val="16"/>
          <w:szCs w:val="16"/>
        </w:rPr>
        <w:softHyphen/>
        <w:t>ского танкостроения, отвечают на этот вопрос в лоб, опе</w:t>
      </w:r>
      <w:r w:rsidRPr="00271E51">
        <w:rPr>
          <w:rFonts w:ascii="Times New Roman" w:hAnsi="Times New Roman"/>
          <w:color w:val="000000" w:themeColor="text1"/>
          <w:sz w:val="16"/>
          <w:szCs w:val="16"/>
        </w:rPr>
        <w:softHyphen/>
        <w:t>рируя теми доводами, что танк, дескать, был перетяжелен, малонадежен и чрезвычайно дорог.</w:t>
      </w:r>
    </w:p>
    <w:p w14:paraId="4E7654F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Нисколько! Почти все с точностью до наоборот. Пустой танк Т-43, вооруженный 76-мм пушкой был всего на 1,7—2,2 т. тяжелее серийного Т-34-76, выпуска осени </w:t>
      </w:r>
      <w:r w:rsidRPr="00271E51">
        <w:rPr>
          <w:rFonts w:ascii="Times New Roman" w:hAnsi="Times New Roman"/>
          <w:color w:val="000000" w:themeColor="text1"/>
          <w:sz w:val="16"/>
          <w:szCs w:val="16"/>
        </w:rPr>
        <w:lastRenderedPageBreak/>
        <w:t>1943 г. (и уж конечно легче танков, экранированных дополнитель</w:t>
      </w:r>
      <w:r w:rsidRPr="00271E51">
        <w:rPr>
          <w:rFonts w:ascii="Times New Roman" w:hAnsi="Times New Roman"/>
          <w:color w:val="000000" w:themeColor="text1"/>
          <w:sz w:val="16"/>
          <w:szCs w:val="16"/>
        </w:rPr>
        <w:softHyphen/>
        <w:t>ными листами), а развиваемая им максимальная скорость превосходила таковую у лучших «тридцатьчетверок» своего времени - 51,8-54,5 км/ч против 48,5-51,2 км/ч.</w:t>
      </w:r>
    </w:p>
    <w:p w14:paraId="2CA6B15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изготовлении танка использовались очень многие узлы от Т-34, а благодаря меньшим размерам бронекорпуса и меньшему числу сварных швов он мог оказаться даже не</w:t>
      </w:r>
      <w:r w:rsidRPr="00271E51">
        <w:rPr>
          <w:rFonts w:ascii="Times New Roman" w:hAnsi="Times New Roman"/>
          <w:color w:val="000000" w:themeColor="text1"/>
          <w:sz w:val="16"/>
          <w:szCs w:val="16"/>
        </w:rPr>
        <w:softHyphen/>
        <w:t>сколько дешевле в массовом производстве. В числе главных недостатков Т-43 называлось, пожалуй, лишь размещение топлива в баке недостаточного объема, расположенном к тому же в боевом отделении танка (слева от механика-води</w:t>
      </w:r>
      <w:r w:rsidRPr="00271E51">
        <w:rPr>
          <w:rFonts w:ascii="Times New Roman" w:hAnsi="Times New Roman"/>
          <w:color w:val="000000" w:themeColor="text1"/>
          <w:sz w:val="16"/>
          <w:szCs w:val="16"/>
        </w:rPr>
        <w:softHyphen/>
        <w:t>теля). Но во-первых, этот бак имел значительный отступ от брони, во-вторых, он был отгорожен от объема боевого отде</w:t>
      </w:r>
      <w:r w:rsidRPr="00271E51">
        <w:rPr>
          <w:rFonts w:ascii="Times New Roman" w:hAnsi="Times New Roman"/>
          <w:color w:val="000000" w:themeColor="text1"/>
          <w:sz w:val="16"/>
          <w:szCs w:val="16"/>
        </w:rPr>
        <w:softHyphen/>
        <w:t>ления герметичной выгородкой из броневой стали толщиной 6 мм, в-третьих, в танке предусматривалась система продув</w:t>
      </w:r>
      <w:r w:rsidRPr="00271E51">
        <w:rPr>
          <w:rFonts w:ascii="Times New Roman" w:hAnsi="Times New Roman"/>
          <w:color w:val="000000" w:themeColor="text1"/>
          <w:sz w:val="16"/>
          <w:szCs w:val="16"/>
        </w:rPr>
        <w:softHyphen/>
        <w:t>ки топливного бака выхлопными газами, разработанная НКАП, что в значительной степени уменьшало опасность взрыва паров дизельного топлива при пробитии лобовой брони кумулятивным боеприпасом. Недостаточный же запас хода Т-43 компенсировался системой питания дизель-мото</w:t>
      </w:r>
      <w:r w:rsidRPr="00271E51">
        <w:rPr>
          <w:rFonts w:ascii="Times New Roman" w:hAnsi="Times New Roman"/>
          <w:color w:val="000000" w:themeColor="text1"/>
          <w:sz w:val="16"/>
          <w:szCs w:val="16"/>
        </w:rPr>
        <w:softHyphen/>
        <w:t>ра от внешних подвесных баков, разработанная МВТУ им. Баумана в 1942 г. Так почему же все-таки этот танк сняли с во</w:t>
      </w:r>
      <w:r w:rsidRPr="00271E51">
        <w:rPr>
          <w:rFonts w:ascii="Times New Roman" w:hAnsi="Times New Roman"/>
          <w:color w:val="000000" w:themeColor="text1"/>
          <w:sz w:val="16"/>
          <w:szCs w:val="16"/>
        </w:rPr>
        <w:softHyphen/>
        <w:t>оружения, а коллективу КБ и завода все же дали премию?</w:t>
      </w:r>
    </w:p>
    <w:p w14:paraId="11EF45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Объяснялось это отнюдь не какими-то дефектами в конструкции танка, а все же боязнью высшего руководства переходить на выпуск принципиально новой (пусть даже в перспективе более дешевой и мощной) боевой машины, так как это могло повлечь за собой некоторое снижение объемов ее выпуска в канун планировавшихся обширных наступательных операций. В своих воспоминаниях А. Мо</w:t>
      </w:r>
      <w:r w:rsidRPr="00271E51">
        <w:rPr>
          <w:rFonts w:ascii="Times New Roman" w:hAnsi="Times New Roman"/>
          <w:color w:val="000000" w:themeColor="text1"/>
          <w:sz w:val="16"/>
          <w:szCs w:val="16"/>
        </w:rPr>
        <w:softHyphen/>
        <w:t>розов рассказал об одной из встреч со Сталиным, когда разговор коснулся Т-43. Согласно его словам, вождь заме</w:t>
      </w:r>
      <w:r w:rsidRPr="00271E51">
        <w:rPr>
          <w:rFonts w:ascii="Times New Roman" w:hAnsi="Times New Roman"/>
          <w:color w:val="000000" w:themeColor="text1"/>
          <w:sz w:val="16"/>
          <w:szCs w:val="16"/>
        </w:rPr>
        <w:softHyphen/>
        <w:t>тил примерно следующее: «Товарищ Морозов, Вы сделали очень неплохую машину. Но сегодня у нас уже есть неплохая машина — Т-34. Наша задача состоит сейчас не в том, что</w:t>
      </w:r>
      <w:r w:rsidRPr="00271E51">
        <w:rPr>
          <w:rFonts w:ascii="Times New Roman" w:hAnsi="Times New Roman"/>
          <w:color w:val="000000" w:themeColor="text1"/>
          <w:sz w:val="16"/>
          <w:szCs w:val="16"/>
        </w:rPr>
        <w:softHyphen/>
        <w:t>бы делать новые танки, а в том, чтобы повысить боевые ка</w:t>
      </w:r>
      <w:r w:rsidRPr="00271E51">
        <w:rPr>
          <w:rFonts w:ascii="Times New Roman" w:hAnsi="Times New Roman"/>
          <w:color w:val="000000" w:themeColor="text1"/>
          <w:sz w:val="16"/>
          <w:szCs w:val="16"/>
        </w:rPr>
        <w:softHyphen/>
        <w:t>чества Т-34, увеличивать их выпуск...» А. Морозову ничего не оставалось, как согласиться с доводами вождя.</w:t>
      </w:r>
    </w:p>
    <w:p w14:paraId="235C78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сказать, что не последнюю роль в решении о пре</w:t>
      </w:r>
      <w:r w:rsidRPr="00271E51">
        <w:rPr>
          <w:rFonts w:ascii="Times New Roman" w:hAnsi="Times New Roman"/>
          <w:color w:val="000000" w:themeColor="text1"/>
          <w:sz w:val="16"/>
          <w:szCs w:val="16"/>
        </w:rPr>
        <w:softHyphen/>
        <w:t>кращении производства Т-43 сыграла «ездящая лаборато</w:t>
      </w:r>
      <w:r w:rsidRPr="00271E51">
        <w:rPr>
          <w:rFonts w:ascii="Times New Roman" w:hAnsi="Times New Roman"/>
          <w:color w:val="000000" w:themeColor="text1"/>
          <w:sz w:val="16"/>
          <w:szCs w:val="16"/>
        </w:rPr>
        <w:softHyphen/>
        <w:t>рия» из корпуса Т-34 и башни Т-43 эталонного с кругом об</w:t>
      </w:r>
      <w:r w:rsidRPr="00271E51">
        <w:rPr>
          <w:rFonts w:ascii="Times New Roman" w:hAnsi="Times New Roman"/>
          <w:color w:val="000000" w:themeColor="text1"/>
          <w:sz w:val="16"/>
          <w:szCs w:val="16"/>
        </w:rPr>
        <w:softHyphen/>
        <w:t>служивания 1600 мм. Дело в том, что до его появления Т-43 рассматривался как единственно возможный кандидат на перевооружение 85-мм пушкой. Но после успешного за</w:t>
      </w:r>
      <w:r w:rsidRPr="00271E51">
        <w:rPr>
          <w:rFonts w:ascii="Times New Roman" w:hAnsi="Times New Roman"/>
          <w:color w:val="000000" w:themeColor="text1"/>
          <w:sz w:val="16"/>
          <w:szCs w:val="16"/>
        </w:rPr>
        <w:softHyphen/>
        <w:t>вершения испытаний этой машины даже самый ярый при</w:t>
      </w:r>
      <w:r w:rsidRPr="00271E51">
        <w:rPr>
          <w:rFonts w:ascii="Times New Roman" w:hAnsi="Times New Roman"/>
          <w:color w:val="000000" w:themeColor="text1"/>
          <w:sz w:val="16"/>
          <w:szCs w:val="16"/>
        </w:rPr>
        <w:softHyphen/>
        <w:t>верженец принятия нового танка на вооружение, Вячеслав Малышев, констатировал, что проще и быстрее освоить в серии только новую башню, а не целый танк. Для этого не требовалось останавливать производство и ломать устано</w:t>
      </w:r>
      <w:r w:rsidRPr="00271E51">
        <w:rPr>
          <w:rFonts w:ascii="Times New Roman" w:hAnsi="Times New Roman"/>
          <w:color w:val="000000" w:themeColor="text1"/>
          <w:sz w:val="16"/>
          <w:szCs w:val="16"/>
        </w:rPr>
        <w:softHyphen/>
        <w:t>вившуюся схему производства Т-34. Правда, приказом об освоении серийного производства Т-34-85 предусматрива</w:t>
      </w:r>
      <w:r w:rsidRPr="00271E51">
        <w:rPr>
          <w:rFonts w:ascii="Times New Roman" w:hAnsi="Times New Roman"/>
          <w:color w:val="000000" w:themeColor="text1"/>
          <w:sz w:val="16"/>
          <w:szCs w:val="16"/>
        </w:rPr>
        <w:softHyphen/>
        <w:t>лось модернизировать корпус танка, доведя толщину его лобовой брони до 60 мм. Таким образом, А. Морозов не</w:t>
      </w:r>
      <w:r w:rsidRPr="00271E51">
        <w:rPr>
          <w:rFonts w:ascii="Times New Roman" w:hAnsi="Times New Roman"/>
          <w:color w:val="000000" w:themeColor="text1"/>
          <w:sz w:val="16"/>
          <w:szCs w:val="16"/>
        </w:rPr>
        <w:softHyphen/>
        <w:t>жданно-негаданно сам стал могильщиком первой боевой машины, целиком (от замысла и эскиза) выполненной под его руководством (11135).</w:t>
      </w:r>
    </w:p>
    <w:p w14:paraId="2D76DB6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CBACE0"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сентября 1943 ЧКЗ сумел полностью изгото</w:t>
      </w:r>
      <w:r w:rsidRPr="00271E51">
        <w:rPr>
          <w:rFonts w:ascii="Times New Roman" w:hAnsi="Times New Roman"/>
          <w:color w:val="000000" w:themeColor="text1"/>
          <w:sz w:val="16"/>
          <w:szCs w:val="16"/>
        </w:rPr>
        <w:softHyphen/>
        <w:t>вить 22 единицы установочной партии танков КВ-85. Корпуса и башни для КВ-85 стали поступать на Кировский завод с завода № 200 только 23-28 августа. Артсистемы с завода № 9 поступили только 28 августа в количестве 3 шт., 17 шт. — 30 ав</w:t>
      </w:r>
      <w:r w:rsidRPr="00271E51">
        <w:rPr>
          <w:rFonts w:ascii="Times New Roman" w:hAnsi="Times New Roman"/>
          <w:color w:val="000000" w:themeColor="text1"/>
          <w:sz w:val="16"/>
          <w:szCs w:val="16"/>
        </w:rPr>
        <w:softHyphen/>
        <w:t>густа, а последние 2 системы поступили лишь утром 31 августа. При этом поступающие арт</w:t>
      </w:r>
      <w:r w:rsidRPr="00271E51">
        <w:rPr>
          <w:rFonts w:ascii="Times New Roman" w:hAnsi="Times New Roman"/>
          <w:color w:val="000000" w:themeColor="text1"/>
          <w:sz w:val="16"/>
          <w:szCs w:val="16"/>
        </w:rPr>
        <w:softHyphen/>
        <w:t>системы требовали дополнительной рабо</w:t>
      </w:r>
      <w:r w:rsidRPr="00271E51">
        <w:rPr>
          <w:rFonts w:ascii="Times New Roman" w:hAnsi="Times New Roman"/>
          <w:color w:val="000000" w:themeColor="text1"/>
          <w:sz w:val="16"/>
          <w:szCs w:val="16"/>
        </w:rPr>
        <w:softHyphen/>
        <w:t>ты по введению прокладки 35 мм под сектор подъемного механизма для полного зацепле</w:t>
      </w:r>
      <w:r w:rsidRPr="00271E51">
        <w:rPr>
          <w:rFonts w:ascii="Times New Roman" w:hAnsi="Times New Roman"/>
          <w:color w:val="000000" w:themeColor="text1"/>
          <w:sz w:val="16"/>
          <w:szCs w:val="16"/>
        </w:rPr>
        <w:softHyphen/>
        <w:t>ния зуба, и подрезания маски пушки для уве</w:t>
      </w:r>
      <w:r w:rsidRPr="00271E51">
        <w:rPr>
          <w:rFonts w:ascii="Times New Roman" w:hAnsi="Times New Roman"/>
          <w:color w:val="000000" w:themeColor="text1"/>
          <w:sz w:val="16"/>
          <w:szCs w:val="16"/>
        </w:rPr>
        <w:softHyphen/>
        <w:t>личения угла возвышения и угла снижения.</w:t>
      </w:r>
    </w:p>
    <w:p w14:paraId="77B3D886" w14:textId="77777777" w:rsidR="008E3AD4" w:rsidRPr="00271E51" w:rsidRDefault="008E3AD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Танки КВ-85 отличались от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баш</w:t>
      </w:r>
      <w:r w:rsidRPr="00271E51">
        <w:rPr>
          <w:rFonts w:ascii="Times New Roman" w:cs="Times New Roman"/>
          <w:color w:val="000000" w:themeColor="text1"/>
          <w:spacing w:val="0"/>
        </w:rPr>
        <w:softHyphen/>
        <w:t>ней с вооружением, и соответственно, пере</w:t>
      </w:r>
      <w:r w:rsidRPr="00271E51">
        <w:rPr>
          <w:rFonts w:ascii="Times New Roman" w:cs="Times New Roman"/>
          <w:color w:val="000000" w:themeColor="text1"/>
          <w:spacing w:val="0"/>
        </w:rPr>
        <w:softHyphen/>
        <w:t>делками, связанными с ее установкой. Кроме того, у КВ-85 была сокращена до четырех че</w:t>
      </w:r>
      <w:r w:rsidRPr="00271E51">
        <w:rPr>
          <w:rFonts w:ascii="Times New Roman" w:cs="Times New Roman"/>
          <w:color w:val="000000" w:themeColor="text1"/>
          <w:spacing w:val="0"/>
        </w:rPr>
        <w:softHyphen/>
        <w:t>ловек численность экипажа за счет ликвида</w:t>
      </w:r>
      <w:r w:rsidRPr="00271E51">
        <w:rPr>
          <w:rFonts w:ascii="Times New Roman" w:cs="Times New Roman"/>
          <w:color w:val="000000" w:themeColor="text1"/>
          <w:spacing w:val="0"/>
        </w:rPr>
        <w:softHyphen/>
        <w:t>ции места стрелка-радиста.</w:t>
      </w:r>
    </w:p>
    <w:p w14:paraId="49869400" w14:textId="77777777" w:rsidR="008E3AD4" w:rsidRPr="00271E51" w:rsidRDefault="008E3AD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Корпус КВ-85 отличался наличием литых подбашенных коробок, которые приварива</w:t>
      </w:r>
      <w:r w:rsidRPr="00271E51">
        <w:rPr>
          <w:rFonts w:ascii="Times New Roman" w:cs="Times New Roman"/>
          <w:color w:val="000000" w:themeColor="text1"/>
          <w:spacing w:val="0"/>
        </w:rPr>
        <w:softHyphen/>
        <w:t>лись к бортовым листам, и отсутствием люка механика-водителя. Командирская башен</w:t>
      </w:r>
      <w:r w:rsidRPr="00271E51">
        <w:rPr>
          <w:rFonts w:ascii="Times New Roman" w:cs="Times New Roman"/>
          <w:color w:val="000000" w:themeColor="text1"/>
          <w:spacing w:val="0"/>
        </w:rPr>
        <w:softHyphen/>
        <w:t xml:space="preserve">ка, в отличие от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имела двухстворча</w:t>
      </w:r>
      <w:r w:rsidRPr="00271E51">
        <w:rPr>
          <w:rFonts w:ascii="Times New Roman" w:cs="Times New Roman"/>
          <w:color w:val="000000" w:themeColor="text1"/>
          <w:spacing w:val="0"/>
        </w:rPr>
        <w:softHyphen/>
        <w:t>тый люк.</w:t>
      </w:r>
    </w:p>
    <w:p w14:paraId="4AE89FA3" w14:textId="77777777" w:rsidR="008E3AD4" w:rsidRPr="00271E51" w:rsidRDefault="008E3AD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Спусковая скоба электроспуска пушки на</w:t>
      </w:r>
      <w:r w:rsidRPr="00271E51">
        <w:rPr>
          <w:rFonts w:ascii="Times New Roman" w:cs="Times New Roman"/>
          <w:color w:val="000000" w:themeColor="text1"/>
          <w:spacing w:val="0"/>
        </w:rPr>
        <w:softHyphen/>
        <w:t>ходилась на рукоятке подъемного механиз</w:t>
      </w:r>
      <w:r w:rsidRPr="00271E51">
        <w:rPr>
          <w:rFonts w:ascii="Times New Roman" w:cs="Times New Roman"/>
          <w:color w:val="000000" w:themeColor="text1"/>
          <w:spacing w:val="0"/>
        </w:rPr>
        <w:softHyphen/>
        <w:t xml:space="preserve">ма. Подъемный и поворотный механизмы такие же, как у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Привод поворотно</w:t>
      </w:r>
      <w:r w:rsidRPr="00271E51">
        <w:rPr>
          <w:rFonts w:ascii="Times New Roman" w:cs="Times New Roman"/>
          <w:color w:val="000000" w:themeColor="text1"/>
          <w:spacing w:val="0"/>
        </w:rPr>
        <w:softHyphen/>
        <w:t>го механизма башни имел два маховика руч</w:t>
      </w:r>
      <w:r w:rsidRPr="00271E51">
        <w:rPr>
          <w:rFonts w:ascii="Times New Roman" w:cs="Times New Roman"/>
          <w:color w:val="000000" w:themeColor="text1"/>
          <w:spacing w:val="0"/>
        </w:rPr>
        <w:softHyphen/>
        <w:t>ной наводки, расположенных по обеим сто</w:t>
      </w:r>
      <w:r w:rsidRPr="00271E51">
        <w:rPr>
          <w:rFonts w:ascii="Times New Roman" w:cs="Times New Roman"/>
          <w:color w:val="000000" w:themeColor="text1"/>
          <w:spacing w:val="0"/>
        </w:rPr>
        <w:softHyphen/>
        <w:t>ронам пушки, поэтому поворот мог быть осуществлен как наводчиком, так и заряжа</w:t>
      </w:r>
      <w:r w:rsidRPr="00271E51">
        <w:rPr>
          <w:rFonts w:ascii="Times New Roman" w:cs="Times New Roman"/>
          <w:color w:val="000000" w:themeColor="text1"/>
          <w:spacing w:val="0"/>
        </w:rPr>
        <w:softHyphen/>
        <w:t xml:space="preserve">ющим. Механизм поворота башни с электромотором на КВ-85 расположен справа от пушки, а реостат электромотора - слева. На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механизм поворота, электромотор и реостат находятся слева. Скорость наведе</w:t>
      </w:r>
      <w:r w:rsidRPr="00271E51">
        <w:rPr>
          <w:rFonts w:ascii="Times New Roman" w:cs="Times New Roman"/>
          <w:color w:val="000000" w:themeColor="text1"/>
          <w:spacing w:val="0"/>
        </w:rPr>
        <w:softHyphen/>
        <w:t>ния на КВ-85 по вертикали за один поворот маховика составляла 50 минут, по горизонта</w:t>
      </w:r>
      <w:r w:rsidRPr="00271E51">
        <w:rPr>
          <w:rFonts w:ascii="Times New Roman" w:cs="Times New Roman"/>
          <w:color w:val="000000" w:themeColor="text1"/>
          <w:spacing w:val="0"/>
        </w:rPr>
        <w:softHyphen/>
        <w:t>ли — 22 минуты.</w:t>
      </w:r>
    </w:p>
    <w:p w14:paraId="59410FAC" w14:textId="77777777" w:rsidR="008E3AD4" w:rsidRPr="00271E51" w:rsidRDefault="008E3AD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Танк КВ-85 имел четыре смотровых при</w:t>
      </w:r>
      <w:r w:rsidRPr="00271E51">
        <w:rPr>
          <w:rFonts w:ascii="Times New Roman" w:cs="Times New Roman"/>
          <w:color w:val="000000" w:themeColor="text1"/>
          <w:spacing w:val="0"/>
        </w:rPr>
        <w:softHyphen/>
        <w:t xml:space="preserve">бора </w:t>
      </w:r>
      <w:r w:rsidRPr="00271E51">
        <w:rPr>
          <w:rFonts w:ascii="Times New Roman" w:cs="Times New Roman"/>
          <w:color w:val="000000" w:themeColor="text1"/>
          <w:spacing w:val="0"/>
          <w:lang w:val="en-US"/>
        </w:rPr>
        <w:t>MK</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IV</w:t>
      </w:r>
      <w:r w:rsidRPr="00271E51">
        <w:rPr>
          <w:rFonts w:ascii="Times New Roman" w:cs="Times New Roman"/>
          <w:color w:val="000000" w:themeColor="text1"/>
          <w:spacing w:val="0"/>
        </w:rPr>
        <w:t xml:space="preserve"> кругового обзора: два в отделе</w:t>
      </w:r>
      <w:r w:rsidRPr="00271E51">
        <w:rPr>
          <w:rFonts w:ascii="Times New Roman" w:cs="Times New Roman"/>
          <w:color w:val="000000" w:themeColor="text1"/>
          <w:spacing w:val="0"/>
        </w:rPr>
        <w:softHyphen/>
        <w:t>нии управления справа и слева от механи- ка-водителя, один в командирской башен</w:t>
      </w:r>
      <w:r w:rsidRPr="00271E51">
        <w:rPr>
          <w:rFonts w:ascii="Times New Roman" w:cs="Times New Roman"/>
          <w:color w:val="000000" w:themeColor="text1"/>
          <w:spacing w:val="0"/>
        </w:rPr>
        <w:softHyphen/>
        <w:t>ке и один в башне над местом заряжающего. Мертвое пространство КВ-85 составляло: вперед - 2,2 м, вправо и влево - 6 м у води</w:t>
      </w:r>
      <w:r w:rsidRPr="00271E51">
        <w:rPr>
          <w:rFonts w:ascii="Times New Roman" w:cs="Times New Roman"/>
          <w:color w:val="000000" w:themeColor="text1"/>
          <w:spacing w:val="0"/>
        </w:rPr>
        <w:softHyphen/>
        <w:t>теля, и вперед - 20 м, вправо - 14 м, влево - 13 м и назад - 9,5 м из боевого отделения (15226).</w:t>
      </w:r>
    </w:p>
    <w:p w14:paraId="3003230F" w14:textId="77777777" w:rsidR="008E3AD4" w:rsidRPr="00271E51" w:rsidRDefault="008E3AD4" w:rsidP="00271E51">
      <w:pPr>
        <w:pStyle w:val="27"/>
        <w:shd w:val="clear" w:color="auto" w:fill="auto"/>
        <w:spacing w:after="0" w:line="240" w:lineRule="auto"/>
        <w:ind w:firstLine="0"/>
        <w:rPr>
          <w:rFonts w:ascii="Times New Roman" w:cs="Times New Roman"/>
          <w:color w:val="000000" w:themeColor="text1"/>
          <w:spacing w:val="0"/>
        </w:rPr>
      </w:pPr>
    </w:p>
    <w:p w14:paraId="0364CD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сентября 1943 г. после ус</w:t>
      </w:r>
      <w:r w:rsidRPr="00271E51">
        <w:rPr>
          <w:rFonts w:ascii="Times New Roman" w:hAnsi="Times New Roman"/>
          <w:color w:val="000000" w:themeColor="text1"/>
          <w:sz w:val="16"/>
          <w:szCs w:val="16"/>
        </w:rPr>
        <w:softHyphen/>
        <w:t>пешно проведенных заводских испытаний БА-64Б бы</w:t>
      </w:r>
      <w:r w:rsidRPr="00271E51">
        <w:rPr>
          <w:rFonts w:ascii="Times New Roman" w:hAnsi="Times New Roman"/>
          <w:color w:val="000000" w:themeColor="text1"/>
          <w:sz w:val="16"/>
          <w:szCs w:val="16"/>
        </w:rPr>
        <w:softHyphen/>
        <w:t>л запущен в серийное производство на Горьковском автозаводе вместо бронеавтомобиля БА-64. Серийное производство машины продолжалось до 1946 г, а выпуск запасных частей для существующего парка машин - до 1953 г. Всего за годы Великой Отечественной войны было выпущено 4273 бронеавтомобиля БА-64Б, из них с радиостанцией - 2038 машин. Бронеавтомобиль БА-64Б был выполнен по той же компоновочной схеме, что и бронеавтомобиль БА-64 и отличался от него базовым шас</w:t>
      </w:r>
      <w:r w:rsidRPr="00271E51">
        <w:rPr>
          <w:rFonts w:ascii="Times New Roman" w:hAnsi="Times New Roman"/>
          <w:color w:val="000000" w:themeColor="text1"/>
          <w:sz w:val="16"/>
          <w:szCs w:val="16"/>
        </w:rPr>
        <w:softHyphen/>
        <w:t>си (с расширенной до 1446 мм колеей, против 1290/1245 мм - у БА-64), усиленной броневой защитой, установкой более мощного двигателя (10703).</w:t>
      </w:r>
    </w:p>
    <w:p w14:paraId="4D32DD1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583E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сентября 1943 года вышло Постановление СНК № 941 и приказы НКМВ от 29 сентября 1943 года за № 321 от 7 ноября 1943 года № 404 и от 29 февраля 1944 года № 102.согласно которому проектировался Часовой завод № 5 в Сердобске Пензенской области </w:t>
      </w:r>
    </w:p>
    <w:p w14:paraId="5B6E25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Первоначальное назначение завода – выпуск миниатюрных будильников типа Юнгана и настольных часов.</w:t>
      </w:r>
    </w:p>
    <w:p w14:paraId="2BB2AF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приказом НКВМ № 102 от 29 февраля 1944 года проектирование было приостановлено.</w:t>
      </w:r>
    </w:p>
    <w:p w14:paraId="00F7FB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44833A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7752A"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сентября 1943 г. на АНИОП доставили два стальных нагрудника СН-42 производ</w:t>
      </w:r>
      <w:r w:rsidRPr="00271E51">
        <w:rPr>
          <w:rFonts w:ascii="Times New Roman" w:hAnsi="Times New Roman" w:cs="Times New Roman"/>
          <w:color w:val="000000" w:themeColor="text1"/>
          <w:sz w:val="16"/>
          <w:szCs w:val="16"/>
        </w:rPr>
        <w:softHyphen/>
        <w:t>ства Лысьвенского металлургического завода (ЛМЗ). СН-42 состоял из двух щитков, из кото</w:t>
      </w:r>
      <w:r w:rsidRPr="00271E51">
        <w:rPr>
          <w:rFonts w:ascii="Times New Roman" w:hAnsi="Times New Roman" w:cs="Times New Roman"/>
          <w:color w:val="000000" w:themeColor="text1"/>
          <w:sz w:val="16"/>
          <w:szCs w:val="16"/>
        </w:rPr>
        <w:softHyphen/>
        <w:t>рых верхний прикрывал грудную клетку, ниж</w:t>
      </w:r>
      <w:r w:rsidRPr="00271E51">
        <w:rPr>
          <w:rFonts w:ascii="Times New Roman" w:hAnsi="Times New Roman" w:cs="Times New Roman"/>
          <w:color w:val="000000" w:themeColor="text1"/>
          <w:sz w:val="16"/>
          <w:szCs w:val="16"/>
        </w:rPr>
        <w:softHyphen/>
        <w:t>ний - брюшную полость. При толщине щитков 2-2,2 мм общая масса нагрудника составляла 3,4 кг. В отличие от ПЗ-ЗИФ-20, масса которого равномерно распределялась по всей площади обоих плеч, СН-42 навешивался только на одно левое плечо.</w:t>
      </w:r>
    </w:p>
    <w:p w14:paraId="2B36D381"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сравнительных испытаний выбрали два комплекта ПЗ-ЗИФ-20 из валовой партии августовского выпуска. Отстрел всех образцов производился из пистолета-пулемета ППД штатным патроном с дистанции от 40 до 10 м, а также из 7,62?мм винтовки обр.1891/30 г. (с оптическим прицелом) тяжелой пулей с ди</w:t>
      </w:r>
      <w:r w:rsidRPr="00271E51">
        <w:rPr>
          <w:rFonts w:ascii="Times New Roman" w:hAnsi="Times New Roman" w:cs="Times New Roman"/>
          <w:color w:val="000000" w:themeColor="text1"/>
          <w:sz w:val="16"/>
          <w:szCs w:val="16"/>
        </w:rPr>
        <w:softHyphen/>
        <w:t>станции 1000,700,600 и 500 м.</w:t>
      </w:r>
    </w:p>
    <w:p w14:paraId="715CD074"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основании результатов испытаний ру</w:t>
      </w:r>
      <w:r w:rsidRPr="00271E51">
        <w:rPr>
          <w:rFonts w:ascii="Times New Roman" w:hAnsi="Times New Roman" w:cs="Times New Roman"/>
          <w:color w:val="000000" w:themeColor="text1"/>
          <w:sz w:val="16"/>
          <w:szCs w:val="16"/>
        </w:rPr>
        <w:softHyphen/>
        <w:t>ководство полигона пришло к выводам, про</w:t>
      </w:r>
      <w:r w:rsidRPr="00271E51">
        <w:rPr>
          <w:rFonts w:ascii="Times New Roman" w:hAnsi="Times New Roman" w:cs="Times New Roman"/>
          <w:color w:val="000000" w:themeColor="text1"/>
          <w:sz w:val="16"/>
          <w:szCs w:val="16"/>
        </w:rPr>
        <w:softHyphen/>
        <w:t>тиворечащих мнению руководства ГАУ КА о высокой противопульшй стойкости СН-42. Так, при обстреле из ППД штатными патронами панцирь завода №7 обеспечивал защиту с дистанции 5-10 м, тогда как СН-42 - только с 40 м. Винтовочный выстрел ПЗ-ЗИФ-20 дер</w:t>
      </w:r>
      <w:r w:rsidRPr="00271E51">
        <w:rPr>
          <w:rFonts w:ascii="Times New Roman" w:hAnsi="Times New Roman" w:cs="Times New Roman"/>
          <w:color w:val="000000" w:themeColor="text1"/>
          <w:sz w:val="16"/>
          <w:szCs w:val="16"/>
        </w:rPr>
        <w:softHyphen/>
        <w:t>жал на дистанции 600 м,а СН-42 - 800-850 м. Расчеты стойкости в отношении действия тро</w:t>
      </w:r>
      <w:r w:rsidRPr="00271E51">
        <w:rPr>
          <w:rFonts w:ascii="Times New Roman" w:hAnsi="Times New Roman" w:cs="Times New Roman"/>
          <w:color w:val="000000" w:themeColor="text1"/>
          <w:sz w:val="16"/>
          <w:szCs w:val="16"/>
        </w:rPr>
        <w:softHyphen/>
        <w:t>фейной 7,92-мм тяжелой пули также показали преимущества ПЗ-ЗИФ-20, обеспечивавшего защиту на дистанций 650 м, против 850-900 м у нагрудника СН-42.</w:t>
      </w:r>
    </w:p>
    <w:p w14:paraId="10B5F51E" w14:textId="77777777" w:rsidR="00DB187D" w:rsidRPr="00271E51" w:rsidRDefault="00DB187D" w:rsidP="00271E51">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271E51">
        <w:rPr>
          <w:rFonts w:ascii="Times New Roman" w:hAnsi="Times New Roman" w:cs="Times New Roman"/>
          <w:i w:val="0"/>
          <w:color w:val="000000" w:themeColor="text1"/>
          <w:sz w:val="16"/>
          <w:szCs w:val="16"/>
        </w:rPr>
        <w:t>Такие результаты позволили специали</w:t>
      </w:r>
      <w:r w:rsidRPr="00271E51">
        <w:rPr>
          <w:rFonts w:ascii="Times New Roman" w:hAnsi="Times New Roman" w:cs="Times New Roman"/>
          <w:i w:val="0"/>
          <w:color w:val="000000" w:themeColor="text1"/>
          <w:sz w:val="16"/>
          <w:szCs w:val="16"/>
        </w:rPr>
        <w:softHyphen/>
        <w:t>стам полигона сформулировать осторожные предположения:</w:t>
      </w:r>
      <w:r w:rsidRPr="00271E51">
        <w:rPr>
          <w:rStyle w:val="BodytextItalic1"/>
          <w:rFonts w:ascii="Times New Roman" w:eastAsiaTheme="minorHAnsi" w:hAnsi="Times New Roman" w:cs="Times New Roman"/>
          <w:color w:val="000000" w:themeColor="text1"/>
          <w:sz w:val="16"/>
          <w:szCs w:val="16"/>
        </w:rPr>
        <w:t xml:space="preserve"> «...В заключении 5-го отдела</w:t>
      </w:r>
      <w:r w:rsidRPr="00271E51">
        <w:rPr>
          <w:rFonts w:ascii="Times New Roman" w:hAnsi="Times New Roman" w:cs="Times New Roman"/>
          <w:i w:val="0"/>
          <w:color w:val="000000" w:themeColor="text1"/>
          <w:sz w:val="16"/>
          <w:szCs w:val="16"/>
        </w:rPr>
        <w:t xml:space="preserve"> </w:t>
      </w:r>
      <w:r w:rsidRPr="00271E51">
        <w:rPr>
          <w:rStyle w:val="Bodytext2NotItalic1"/>
          <w:rFonts w:ascii="Times New Roman" w:hAnsi="Times New Roman" w:cs="Times New Roman"/>
          <w:color w:val="000000" w:themeColor="text1"/>
          <w:sz w:val="16"/>
          <w:szCs w:val="16"/>
        </w:rPr>
        <w:t>Арткома ГАУ за №828999 от</w:t>
      </w:r>
      <w:r w:rsidRPr="00271E51">
        <w:rPr>
          <w:rFonts w:ascii="Times New Roman" w:hAnsi="Times New Roman" w:cs="Times New Roman"/>
          <w:i w:val="0"/>
          <w:color w:val="000000" w:themeColor="text1"/>
          <w:sz w:val="16"/>
          <w:szCs w:val="16"/>
        </w:rPr>
        <w:t xml:space="preserve"> 17/</w:t>
      </w:r>
      <w:r w:rsidRPr="00271E51">
        <w:rPr>
          <w:rFonts w:ascii="Times New Roman" w:hAnsi="Times New Roman" w:cs="Times New Roman"/>
          <w:i w:val="0"/>
          <w:color w:val="000000" w:themeColor="text1"/>
          <w:sz w:val="16"/>
          <w:szCs w:val="16"/>
          <w:lang w:val="en-US"/>
        </w:rPr>
        <w:t>VII</w:t>
      </w:r>
      <w:r w:rsidRPr="00271E51">
        <w:rPr>
          <w:rFonts w:ascii="Times New Roman" w:hAnsi="Times New Roman" w:cs="Times New Roman"/>
          <w:i w:val="0"/>
          <w:color w:val="000000" w:themeColor="text1"/>
          <w:sz w:val="16"/>
          <w:szCs w:val="16"/>
        </w:rPr>
        <w:t>-43. г. сведе</w:t>
      </w:r>
      <w:r w:rsidRPr="00271E51">
        <w:rPr>
          <w:rFonts w:ascii="Times New Roman" w:hAnsi="Times New Roman" w:cs="Times New Roman"/>
          <w:i w:val="0"/>
          <w:color w:val="000000" w:themeColor="text1"/>
          <w:sz w:val="16"/>
          <w:szCs w:val="16"/>
        </w:rPr>
        <w:softHyphen/>
        <w:t>ния о том, что нагрудник СН-42 защищает от винтовочных пуль на дистанции 300 метров, являются или преувеличением, или постав</w:t>
      </w:r>
      <w:r w:rsidRPr="00271E51">
        <w:rPr>
          <w:rFonts w:ascii="Times New Roman" w:hAnsi="Times New Roman" w:cs="Times New Roman"/>
          <w:i w:val="0"/>
          <w:color w:val="000000" w:themeColor="text1"/>
          <w:sz w:val="16"/>
          <w:szCs w:val="16"/>
        </w:rPr>
        <w:softHyphen/>
        <w:t>ленные с 75-й Автобазы стальные нагрудники изготовлены из материала, не отвечающего требованиям ТУ».</w:t>
      </w:r>
    </w:p>
    <w:p w14:paraId="2F8946DB"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Отмеченная</w:t>
      </w:r>
      <w:r w:rsidRPr="00271E51">
        <w:rPr>
          <w:rStyle w:val="BodytextBold4"/>
          <w:rFonts w:ascii="Times New Roman" w:eastAsiaTheme="minorHAnsi" w:hAnsi="Times New Roman" w:cs="Times New Roman"/>
          <w:b w:val="0"/>
          <w:color w:val="000000" w:themeColor="text1"/>
          <w:sz w:val="16"/>
          <w:szCs w:val="16"/>
        </w:rPr>
        <w:t xml:space="preserve"> повышенная масса ПЗ-ЗИФ-20 </w:t>
      </w:r>
      <w:r w:rsidRPr="00271E51">
        <w:rPr>
          <w:rFonts w:ascii="Times New Roman" w:hAnsi="Times New Roman" w:cs="Times New Roman"/>
          <w:color w:val="000000" w:themeColor="text1"/>
          <w:sz w:val="16"/>
          <w:szCs w:val="16"/>
        </w:rPr>
        <w:t>(4,8-5 кг против</w:t>
      </w:r>
      <w:r w:rsidRPr="00271E51">
        <w:rPr>
          <w:rStyle w:val="BodytextBold4"/>
          <w:rFonts w:ascii="Times New Roman" w:eastAsiaTheme="minorHAnsi" w:hAnsi="Times New Roman" w:cs="Times New Roman"/>
          <w:b w:val="0"/>
          <w:color w:val="000000" w:themeColor="text1"/>
          <w:sz w:val="16"/>
          <w:szCs w:val="16"/>
        </w:rPr>
        <w:t xml:space="preserve"> 3,4 кг СН-42), компенсиро</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валась равномерным</w:t>
      </w:r>
      <w:r w:rsidRPr="00271E51">
        <w:rPr>
          <w:rStyle w:val="BodytextBold4"/>
          <w:rFonts w:ascii="Times New Roman" w:eastAsiaTheme="minorHAnsi" w:hAnsi="Times New Roman" w:cs="Times New Roman"/>
          <w:b w:val="0"/>
          <w:color w:val="000000" w:themeColor="text1"/>
          <w:sz w:val="16"/>
          <w:szCs w:val="16"/>
        </w:rPr>
        <w:t xml:space="preserve"> распределением на</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грузки, что уравнивало</w:t>
      </w:r>
      <w:r w:rsidRPr="00271E51">
        <w:rPr>
          <w:rStyle w:val="BodytextBold4"/>
          <w:rFonts w:ascii="Times New Roman" w:eastAsiaTheme="minorHAnsi" w:hAnsi="Times New Roman" w:cs="Times New Roman"/>
          <w:b w:val="0"/>
          <w:color w:val="000000" w:themeColor="text1"/>
          <w:sz w:val="16"/>
          <w:szCs w:val="16"/>
        </w:rPr>
        <w:t xml:space="preserve"> эксплуатационные </w:t>
      </w:r>
      <w:r w:rsidRPr="00271E51">
        <w:rPr>
          <w:rFonts w:ascii="Times New Roman" w:hAnsi="Times New Roman" w:cs="Times New Roman"/>
          <w:color w:val="000000" w:themeColor="text1"/>
          <w:sz w:val="16"/>
          <w:szCs w:val="16"/>
        </w:rPr>
        <w:t>качества испытанных образцов.</w:t>
      </w:r>
      <w:r w:rsidRPr="00271E51">
        <w:rPr>
          <w:rStyle w:val="BodytextBold4"/>
          <w:rFonts w:ascii="Times New Roman" w:eastAsiaTheme="minorHAnsi" w:hAnsi="Times New Roman" w:cs="Times New Roman"/>
          <w:b w:val="0"/>
          <w:color w:val="000000" w:themeColor="text1"/>
          <w:sz w:val="16"/>
          <w:szCs w:val="16"/>
        </w:rPr>
        <w:t xml:space="preserve"> Кроме того, </w:t>
      </w:r>
      <w:r w:rsidRPr="00271E51">
        <w:rPr>
          <w:rFonts w:ascii="Times New Roman" w:hAnsi="Times New Roman" w:cs="Times New Roman"/>
          <w:color w:val="000000" w:themeColor="text1"/>
          <w:sz w:val="16"/>
          <w:szCs w:val="16"/>
        </w:rPr>
        <w:t>возможность подбора</w:t>
      </w:r>
      <w:r w:rsidRPr="00271E51">
        <w:rPr>
          <w:rStyle w:val="BodytextBold4"/>
          <w:rFonts w:ascii="Times New Roman" w:eastAsiaTheme="minorHAnsi" w:hAnsi="Times New Roman" w:cs="Times New Roman"/>
          <w:b w:val="0"/>
          <w:color w:val="000000" w:themeColor="text1"/>
          <w:sz w:val="16"/>
          <w:szCs w:val="16"/>
        </w:rPr>
        <w:t xml:space="preserve"> панцирной защиты в </w:t>
      </w:r>
      <w:r w:rsidRPr="00271E51">
        <w:rPr>
          <w:rFonts w:ascii="Times New Roman" w:hAnsi="Times New Roman" w:cs="Times New Roman"/>
          <w:color w:val="000000" w:themeColor="text1"/>
          <w:sz w:val="16"/>
          <w:szCs w:val="16"/>
        </w:rPr>
        <w:t>зависимости от роста бойца</w:t>
      </w:r>
      <w:r w:rsidRPr="00271E51">
        <w:rPr>
          <w:rStyle w:val="BodytextBold4"/>
          <w:rFonts w:ascii="Times New Roman" w:eastAsiaTheme="minorHAnsi" w:hAnsi="Times New Roman" w:cs="Times New Roman"/>
          <w:b w:val="0"/>
          <w:color w:val="000000" w:themeColor="text1"/>
          <w:sz w:val="16"/>
          <w:szCs w:val="16"/>
        </w:rPr>
        <w:t xml:space="preserve"> также являлась </w:t>
      </w:r>
      <w:r w:rsidRPr="00271E51">
        <w:rPr>
          <w:rFonts w:ascii="Times New Roman" w:hAnsi="Times New Roman" w:cs="Times New Roman"/>
          <w:color w:val="000000" w:themeColor="text1"/>
          <w:sz w:val="16"/>
          <w:szCs w:val="16"/>
        </w:rPr>
        <w:t>неоспоримым достоинством</w:t>
      </w:r>
      <w:r w:rsidRPr="00271E51">
        <w:rPr>
          <w:rStyle w:val="BodytextBold4"/>
          <w:rFonts w:ascii="Times New Roman" w:eastAsiaTheme="minorHAnsi" w:hAnsi="Times New Roman" w:cs="Times New Roman"/>
          <w:b w:val="0"/>
          <w:color w:val="000000" w:themeColor="text1"/>
          <w:sz w:val="16"/>
          <w:szCs w:val="16"/>
        </w:rPr>
        <w:t xml:space="preserve"> конструкции за</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вода №7, а возможность одевать</w:t>
      </w:r>
      <w:r w:rsidRPr="00271E51">
        <w:rPr>
          <w:rStyle w:val="BodytextBold4"/>
          <w:rFonts w:ascii="Times New Roman" w:eastAsiaTheme="minorHAnsi" w:hAnsi="Times New Roman" w:cs="Times New Roman"/>
          <w:b w:val="0"/>
          <w:color w:val="000000" w:themeColor="text1"/>
          <w:sz w:val="16"/>
          <w:szCs w:val="16"/>
        </w:rPr>
        <w:t xml:space="preserve"> поверх гим</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настерку или зимнее обмундироиние</w:t>
      </w:r>
      <w:r w:rsidRPr="00271E51">
        <w:rPr>
          <w:rStyle w:val="BodytextBold4"/>
          <w:rFonts w:ascii="Times New Roman" w:eastAsiaTheme="minorHAnsi" w:hAnsi="Times New Roman" w:cs="Times New Roman"/>
          <w:b w:val="0"/>
          <w:color w:val="000000" w:themeColor="text1"/>
          <w:sz w:val="16"/>
          <w:szCs w:val="16"/>
        </w:rPr>
        <w:t xml:space="preserve"> (ши</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нель, ватник) исключило забивание</w:t>
      </w:r>
      <w:r w:rsidRPr="00271E51">
        <w:rPr>
          <w:rStyle w:val="BodytextBold4"/>
          <w:rFonts w:ascii="Times New Roman" w:eastAsiaTheme="minorHAnsi" w:hAnsi="Times New Roman" w:cs="Times New Roman"/>
          <w:b w:val="0"/>
          <w:color w:val="000000" w:themeColor="text1"/>
          <w:sz w:val="16"/>
          <w:szCs w:val="16"/>
        </w:rPr>
        <w:t xml:space="preserve"> грунта </w:t>
      </w:r>
      <w:r w:rsidRPr="00271E51">
        <w:rPr>
          <w:rFonts w:ascii="Times New Roman" w:hAnsi="Times New Roman" w:cs="Times New Roman"/>
          <w:color w:val="000000" w:themeColor="text1"/>
          <w:sz w:val="16"/>
          <w:szCs w:val="16"/>
        </w:rPr>
        <w:t>или снега под панцирь при движении</w:t>
      </w:r>
      <w:r w:rsidRPr="00271E51">
        <w:rPr>
          <w:rStyle w:val="BodytextBold4"/>
          <w:rFonts w:ascii="Times New Roman" w:eastAsiaTheme="minorHAnsi" w:hAnsi="Times New Roman" w:cs="Times New Roman"/>
          <w:b w:val="0"/>
          <w:color w:val="000000" w:themeColor="text1"/>
          <w:sz w:val="16"/>
          <w:szCs w:val="16"/>
        </w:rPr>
        <w:t xml:space="preserve"> по-пла</w:t>
      </w:r>
      <w:r w:rsidRPr="00271E51">
        <w:rPr>
          <w:rStyle w:val="BodytextBold4"/>
          <w:rFonts w:ascii="Times New Roman" w:eastAsiaTheme="minorHAnsi" w:hAnsi="Times New Roman" w:cs="Times New Roman"/>
          <w:b w:val="0"/>
          <w:color w:val="000000" w:themeColor="text1"/>
          <w:sz w:val="16"/>
          <w:szCs w:val="16"/>
        </w:rPr>
        <w:softHyphen/>
      </w:r>
      <w:r w:rsidRPr="00271E51">
        <w:rPr>
          <w:rFonts w:ascii="Times New Roman" w:hAnsi="Times New Roman" w:cs="Times New Roman"/>
          <w:color w:val="000000" w:themeColor="text1"/>
          <w:sz w:val="16"/>
          <w:szCs w:val="16"/>
        </w:rPr>
        <w:t>стунски, в отличие от стальных; нагрудников.</w:t>
      </w:r>
    </w:p>
    <w:p w14:paraId="407019EC"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Обсуждение результатов сравнительных испытаний ПЗ- ЗИФ-20 и СН-42 на уровне АК ГАУ и активная переписка о дальней</w:t>
      </w:r>
      <w:r w:rsidRPr="00271E51">
        <w:rPr>
          <w:rFonts w:ascii="Times New Roman" w:hAnsi="Times New Roman" w:cs="Times New Roman"/>
          <w:color w:val="000000" w:themeColor="text1"/>
          <w:sz w:val="16"/>
          <w:szCs w:val="16"/>
        </w:rPr>
        <w:softHyphen/>
        <w:t xml:space="preserve">шей судьбе конструкции завода </w:t>
      </w:r>
      <w:r w:rsidRPr="00271E51">
        <w:rPr>
          <w:rStyle w:val="BodytextBold4"/>
          <w:rFonts w:ascii="Times New Roman" w:eastAsiaTheme="minorHAnsi" w:hAnsi="Times New Roman" w:cs="Times New Roman"/>
          <w:b w:val="0"/>
          <w:color w:val="000000" w:themeColor="text1"/>
          <w:sz w:val="16"/>
          <w:szCs w:val="16"/>
        </w:rPr>
        <w:t>№7</w:t>
      </w:r>
      <w:r w:rsidRPr="00271E51">
        <w:rPr>
          <w:rFonts w:ascii="Times New Roman" w:hAnsi="Times New Roman" w:cs="Times New Roman"/>
          <w:color w:val="000000" w:themeColor="text1"/>
          <w:sz w:val="16"/>
          <w:szCs w:val="16"/>
        </w:rPr>
        <w:t xml:space="preserve"> все же привели к остановке ее производства в Ленинграде. Но в этот момент положительную роль сыграла инициатива руко</w:t>
      </w:r>
      <w:r w:rsidRPr="00271E51">
        <w:rPr>
          <w:rFonts w:ascii="Times New Roman" w:hAnsi="Times New Roman" w:cs="Times New Roman"/>
          <w:color w:val="000000" w:themeColor="text1"/>
          <w:sz w:val="16"/>
          <w:szCs w:val="16"/>
        </w:rPr>
        <w:softHyphen/>
        <w:t>водства завода, не остановив</w:t>
      </w:r>
      <w:r w:rsidRPr="00271E51">
        <w:rPr>
          <w:rFonts w:ascii="Times New Roman" w:hAnsi="Times New Roman" w:cs="Times New Roman"/>
          <w:color w:val="000000" w:themeColor="text1"/>
          <w:sz w:val="16"/>
          <w:szCs w:val="16"/>
        </w:rPr>
        <w:softHyphen/>
        <w:t>шегося на выпуске первых 100 опытных комплектов защиты, а также идейная поддержка гор</w:t>
      </w:r>
      <w:r w:rsidRPr="00271E51">
        <w:rPr>
          <w:rFonts w:ascii="Times New Roman" w:hAnsi="Times New Roman" w:cs="Times New Roman"/>
          <w:color w:val="000000" w:themeColor="text1"/>
          <w:sz w:val="16"/>
          <w:szCs w:val="16"/>
        </w:rPr>
        <w:softHyphen/>
        <w:t>кома и уверенность в надежности и необходимости разработанной конструкции.</w:t>
      </w:r>
    </w:p>
    <w:p w14:paraId="279F4ED3"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Успешное применение и по</w:t>
      </w:r>
      <w:r w:rsidRPr="00271E51">
        <w:rPr>
          <w:rFonts w:ascii="Times New Roman" w:hAnsi="Times New Roman" w:cs="Times New Roman"/>
          <w:color w:val="000000" w:themeColor="text1"/>
          <w:sz w:val="16"/>
          <w:szCs w:val="16"/>
        </w:rPr>
        <w:softHyphen/>
        <w:t>ложительные отзывы из частей Ленинградского фронта, пол"р" чивших значительное количество ПЗ-ЗИФ-20</w:t>
      </w:r>
      <w:r w:rsidRPr="00271E51">
        <w:rPr>
          <w:rFonts w:ascii="Times New Roman" w:hAnsi="Times New Roman" w:cs="Times New Roman"/>
          <w:color w:val="000000" w:themeColor="text1"/>
          <w:sz w:val="16"/>
          <w:szCs w:val="16"/>
          <w:vertAlign w:val="superscript"/>
        </w:rPr>
        <w:t>5</w:t>
      </w:r>
      <w:r w:rsidRPr="00271E51">
        <w:rPr>
          <w:rFonts w:ascii="Times New Roman" w:hAnsi="Times New Roman" w:cs="Times New Roman"/>
          <w:color w:val="000000" w:themeColor="text1"/>
          <w:sz w:val="16"/>
          <w:szCs w:val="16"/>
        </w:rPr>
        <w:t>, позволило аргумен</w:t>
      </w:r>
      <w:r w:rsidRPr="00271E51">
        <w:rPr>
          <w:rFonts w:ascii="Times New Roman" w:hAnsi="Times New Roman" w:cs="Times New Roman"/>
          <w:color w:val="000000" w:themeColor="text1"/>
          <w:sz w:val="16"/>
          <w:szCs w:val="16"/>
        </w:rPr>
        <w:softHyphen/>
        <w:t>тировано убедить руководство не препятствовать налаженному производству эффективного воо</w:t>
      </w:r>
      <w:r w:rsidRPr="00271E51">
        <w:rPr>
          <w:rFonts w:ascii="Times New Roman" w:hAnsi="Times New Roman" w:cs="Times New Roman"/>
          <w:color w:val="000000" w:themeColor="text1"/>
          <w:sz w:val="16"/>
          <w:szCs w:val="16"/>
        </w:rPr>
        <w:softHyphen/>
        <w:t>ружения в Ленинграде.</w:t>
      </w:r>
    </w:p>
    <w:p w14:paraId="259FB132" w14:textId="77777777" w:rsidR="00DB187D" w:rsidRPr="00271E51" w:rsidRDefault="00DB187D" w:rsidP="00271E51">
      <w:pPr>
        <w:pStyle w:val="Bodytext21"/>
        <w:shd w:val="clear" w:color="auto" w:fill="auto"/>
        <w:spacing w:line="240" w:lineRule="auto"/>
        <w:ind w:firstLine="0"/>
        <w:rPr>
          <w:rFonts w:ascii="Times New Roman" w:hAnsi="Times New Roman" w:cs="Times New Roman"/>
          <w:i w:val="0"/>
          <w:color w:val="000000" w:themeColor="text1"/>
          <w:sz w:val="16"/>
          <w:szCs w:val="16"/>
        </w:rPr>
      </w:pPr>
      <w:r w:rsidRPr="00271E51">
        <w:rPr>
          <w:rStyle w:val="Bodytext2NotItalic1"/>
          <w:rFonts w:ascii="Times New Roman" w:hAnsi="Times New Roman" w:cs="Times New Roman"/>
          <w:color w:val="000000" w:themeColor="text1"/>
          <w:sz w:val="16"/>
          <w:szCs w:val="16"/>
        </w:rPr>
        <w:t>Дополнительным аргументом послужили и результаты повтор</w:t>
      </w:r>
      <w:r w:rsidRPr="00271E51">
        <w:rPr>
          <w:rStyle w:val="Bodytext2NotItalic1"/>
          <w:rFonts w:ascii="Times New Roman" w:hAnsi="Times New Roman" w:cs="Times New Roman"/>
          <w:color w:val="000000" w:themeColor="text1"/>
          <w:sz w:val="16"/>
          <w:szCs w:val="16"/>
        </w:rPr>
        <w:softHyphen/>
        <w:t>ных сравнительных испытаний на пулестойкость, проведенных 22 октября по указанию замести</w:t>
      </w:r>
      <w:r w:rsidRPr="00271E51">
        <w:rPr>
          <w:rStyle w:val="Bodytext2NotItalic1"/>
          <w:rFonts w:ascii="Times New Roman" w:hAnsi="Times New Roman" w:cs="Times New Roman"/>
          <w:color w:val="000000" w:themeColor="text1"/>
          <w:sz w:val="16"/>
          <w:szCs w:val="16"/>
        </w:rPr>
        <w:softHyphen/>
        <w:t>теля командующего артиллерии Ленинградского фронта генерал- майора интендантской службы Голубева. В заключении по ре</w:t>
      </w:r>
      <w:r w:rsidRPr="00271E51">
        <w:rPr>
          <w:rStyle w:val="Bodytext2NotItalic1"/>
          <w:rFonts w:ascii="Times New Roman" w:hAnsi="Times New Roman" w:cs="Times New Roman"/>
          <w:color w:val="000000" w:themeColor="text1"/>
          <w:sz w:val="16"/>
          <w:szCs w:val="16"/>
        </w:rPr>
        <w:softHyphen/>
        <w:t>зультатам этих испытаний гово</w:t>
      </w:r>
      <w:r w:rsidRPr="00271E51">
        <w:rPr>
          <w:rStyle w:val="Bodytext2NotItalic1"/>
          <w:rFonts w:ascii="Times New Roman" w:hAnsi="Times New Roman" w:cs="Times New Roman"/>
          <w:color w:val="000000" w:themeColor="text1"/>
          <w:sz w:val="16"/>
          <w:szCs w:val="16"/>
        </w:rPr>
        <w:softHyphen/>
        <w:t>рилось:</w:t>
      </w:r>
      <w:r w:rsidRPr="00271E51">
        <w:rPr>
          <w:rFonts w:ascii="Times New Roman" w:hAnsi="Times New Roman" w:cs="Times New Roman"/>
          <w:i w:val="0"/>
          <w:color w:val="000000" w:themeColor="text1"/>
          <w:sz w:val="16"/>
          <w:szCs w:val="16"/>
        </w:rPr>
        <w:t xml:space="preserve"> «...При обстреле из 9-мм немецкого автомата М.Р. обр.38 пулями со стальным сердечником, панцирь ПЗ-ЗИФ-20 обладает значительно более высо</w:t>
      </w:r>
      <w:r w:rsidRPr="00271E51">
        <w:rPr>
          <w:rFonts w:ascii="Times New Roman" w:hAnsi="Times New Roman" w:cs="Times New Roman"/>
          <w:i w:val="0"/>
          <w:color w:val="000000" w:themeColor="text1"/>
          <w:sz w:val="16"/>
          <w:szCs w:val="16"/>
        </w:rPr>
        <w:softHyphen/>
        <w:t>кой пулестойкостью по сравнению с нагрудни</w:t>
      </w:r>
      <w:r w:rsidRPr="00271E51">
        <w:rPr>
          <w:rFonts w:ascii="Times New Roman" w:hAnsi="Times New Roman" w:cs="Times New Roman"/>
          <w:i w:val="0"/>
          <w:color w:val="000000" w:themeColor="text1"/>
          <w:sz w:val="16"/>
          <w:szCs w:val="16"/>
        </w:rPr>
        <w:softHyphen/>
        <w:t>ком СН-42, обеспечивая защиту от поражения на дистанции 15 метров и более, в то время ' как нагрудник СН-42 защищает от этих пуль лишь на дистанции свыше 80 метров».</w:t>
      </w:r>
    </w:p>
    <w:p w14:paraId="7A5D9C02" w14:textId="77777777" w:rsidR="00DB187D" w:rsidRPr="00271E51" w:rsidRDefault="00DB187D"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 xml:space="preserve">В ноябре 1943 г, приемка готовых ПЗ-ЗИФ-20 </w:t>
      </w:r>
      <w:r w:rsidRPr="00271E51">
        <w:rPr>
          <w:rStyle w:val="BodytextBold4"/>
          <w:rFonts w:ascii="Times New Roman" w:eastAsiaTheme="minorHAnsi" w:hAnsi="Times New Roman" w:cs="Times New Roman"/>
          <w:b w:val="0"/>
          <w:color w:val="000000" w:themeColor="text1"/>
          <w:sz w:val="16"/>
          <w:szCs w:val="16"/>
        </w:rPr>
        <w:t>на</w:t>
      </w:r>
      <w:r w:rsidRPr="00271E51">
        <w:rPr>
          <w:rFonts w:ascii="Times New Roman" w:hAnsi="Times New Roman" w:cs="Times New Roman"/>
          <w:color w:val="000000" w:themeColor="text1"/>
          <w:sz w:val="16"/>
          <w:szCs w:val="16"/>
        </w:rPr>
        <w:t xml:space="preserve"> заводе</w:t>
      </w:r>
      <w:r w:rsidRPr="00271E51">
        <w:rPr>
          <w:rStyle w:val="BodytextBold4"/>
          <w:rFonts w:ascii="Times New Roman" w:eastAsiaTheme="minorHAnsi" w:hAnsi="Times New Roman" w:cs="Times New Roman"/>
          <w:b w:val="0"/>
          <w:color w:val="000000" w:themeColor="text1"/>
          <w:sz w:val="16"/>
          <w:szCs w:val="16"/>
        </w:rPr>
        <w:t xml:space="preserve"> №7</w:t>
      </w:r>
      <w:r w:rsidRPr="00271E51">
        <w:rPr>
          <w:rFonts w:ascii="Times New Roman" w:hAnsi="Times New Roman" w:cs="Times New Roman"/>
          <w:color w:val="000000" w:themeColor="text1"/>
          <w:sz w:val="16"/>
          <w:szCs w:val="16"/>
        </w:rPr>
        <w:t xml:space="preserve"> возобновилась. К началу за</w:t>
      </w:r>
      <w:r w:rsidRPr="00271E51">
        <w:rPr>
          <w:rFonts w:ascii="Times New Roman" w:hAnsi="Times New Roman" w:cs="Times New Roman"/>
          <w:color w:val="000000" w:themeColor="text1"/>
          <w:sz w:val="16"/>
          <w:szCs w:val="16"/>
        </w:rPr>
        <w:softHyphen/>
        <w:t>ключительного этапа совместной опера</w:t>
      </w:r>
      <w:r w:rsidRPr="00271E51">
        <w:rPr>
          <w:rFonts w:ascii="Times New Roman" w:hAnsi="Times New Roman" w:cs="Times New Roman"/>
          <w:color w:val="000000" w:themeColor="text1"/>
          <w:sz w:val="16"/>
          <w:szCs w:val="16"/>
        </w:rPr>
        <w:softHyphen/>
      </w:r>
      <w:r w:rsidRPr="00271E51">
        <w:rPr>
          <w:rStyle w:val="BodytextBold4"/>
          <w:rFonts w:ascii="Times New Roman" w:eastAsiaTheme="minorHAnsi" w:hAnsi="Times New Roman" w:cs="Times New Roman"/>
          <w:b w:val="0"/>
          <w:color w:val="000000" w:themeColor="text1"/>
          <w:sz w:val="16"/>
          <w:szCs w:val="16"/>
        </w:rPr>
        <w:t>ции «Искра»</w:t>
      </w:r>
      <w:r w:rsidRPr="00271E51">
        <w:rPr>
          <w:rFonts w:ascii="Times New Roman" w:hAnsi="Times New Roman" w:cs="Times New Roman"/>
          <w:color w:val="000000" w:themeColor="text1"/>
          <w:sz w:val="16"/>
          <w:szCs w:val="16"/>
        </w:rPr>
        <w:t xml:space="preserve"> Ленинградского и Волховского </w:t>
      </w:r>
      <w:r w:rsidRPr="00271E51">
        <w:rPr>
          <w:rStyle w:val="BodytextBold4"/>
          <w:rFonts w:ascii="Times New Roman" w:eastAsiaTheme="minorHAnsi" w:hAnsi="Times New Roman" w:cs="Times New Roman"/>
          <w:b w:val="0"/>
          <w:color w:val="000000" w:themeColor="text1"/>
          <w:sz w:val="16"/>
          <w:szCs w:val="16"/>
        </w:rPr>
        <w:t>фронтов</w:t>
      </w:r>
      <w:r w:rsidRPr="00271E51">
        <w:rPr>
          <w:rFonts w:ascii="Times New Roman" w:hAnsi="Times New Roman" w:cs="Times New Roman"/>
          <w:color w:val="000000" w:themeColor="text1"/>
          <w:sz w:val="16"/>
          <w:szCs w:val="16"/>
        </w:rPr>
        <w:t xml:space="preserve"> для оснащения частей Красной Ар</w:t>
      </w:r>
      <w:r w:rsidRPr="00271E51">
        <w:rPr>
          <w:rFonts w:ascii="Times New Roman" w:hAnsi="Times New Roman" w:cs="Times New Roman"/>
          <w:color w:val="000000" w:themeColor="text1"/>
          <w:sz w:val="16"/>
          <w:szCs w:val="16"/>
        </w:rPr>
        <w:softHyphen/>
      </w:r>
      <w:r w:rsidRPr="00271E51">
        <w:rPr>
          <w:rStyle w:val="BodytextBold4"/>
          <w:rFonts w:ascii="Times New Roman" w:eastAsiaTheme="minorHAnsi" w:hAnsi="Times New Roman" w:cs="Times New Roman"/>
          <w:b w:val="0"/>
          <w:color w:val="000000" w:themeColor="text1"/>
          <w:sz w:val="16"/>
          <w:szCs w:val="16"/>
        </w:rPr>
        <w:t>мии изготовили</w:t>
      </w:r>
      <w:r w:rsidRPr="00271E51">
        <w:rPr>
          <w:rFonts w:ascii="Times New Roman" w:hAnsi="Times New Roman" w:cs="Times New Roman"/>
          <w:color w:val="000000" w:themeColor="text1"/>
          <w:sz w:val="16"/>
          <w:szCs w:val="16"/>
        </w:rPr>
        <w:t xml:space="preserve"> более 15 000 «ленинград</w:t>
      </w:r>
      <w:r w:rsidRPr="00271E51">
        <w:rPr>
          <w:rFonts w:ascii="Times New Roman" w:hAnsi="Times New Roman" w:cs="Times New Roman"/>
          <w:color w:val="000000" w:themeColor="text1"/>
          <w:sz w:val="16"/>
          <w:szCs w:val="16"/>
        </w:rPr>
        <w:softHyphen/>
      </w:r>
      <w:r w:rsidRPr="00271E51">
        <w:rPr>
          <w:rStyle w:val="BodytextBold4"/>
          <w:rFonts w:ascii="Times New Roman" w:eastAsiaTheme="minorHAnsi" w:hAnsi="Times New Roman" w:cs="Times New Roman"/>
          <w:b w:val="0"/>
          <w:color w:val="000000" w:themeColor="text1"/>
          <w:sz w:val="16"/>
          <w:szCs w:val="16"/>
        </w:rPr>
        <w:t>ских доспехов» (17746).</w:t>
      </w:r>
    </w:p>
    <w:p w14:paraId="7436F88D" w14:textId="77777777" w:rsidR="00DB187D" w:rsidRPr="00271E51" w:rsidRDefault="00DB187D" w:rsidP="00271E51">
      <w:pPr>
        <w:pStyle w:val="ae"/>
        <w:shd w:val="clear" w:color="auto" w:fill="FFFFFF"/>
        <w:spacing w:before="0" w:after="0"/>
        <w:jc w:val="both"/>
        <w:rPr>
          <w:color w:val="000000" w:themeColor="text1"/>
          <w:sz w:val="16"/>
          <w:szCs w:val="16"/>
        </w:rPr>
      </w:pPr>
    </w:p>
    <w:p w14:paraId="7BEA34E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4012 [О мобилизации 3,5 тыс. чел. сельского населения РСФСР и УССР для Hаркомстроя.] (7135, 232).</w:t>
      </w:r>
    </w:p>
    <w:p w14:paraId="62FD641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62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4013. О мерах по изготовлению оборудования для спеццеха Губакинского азотно-тукового завода.РГАНИР, Фонд ГКО, д. 147, лл. 233, 234-235 (11012).</w:t>
      </w:r>
    </w:p>
    <w:p w14:paraId="57DB00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84B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4014. О мерах по обеспечению НКЦМ запасными частями к автомобилям.РГАНИР, Фонд ГКО, д. 147, лл. 236 (11012).</w:t>
      </w:r>
    </w:p>
    <w:p w14:paraId="5E6AA4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644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4015. О поставках телефонной аппаратуры НКАП в III кв. 1943 г.РГАНИР, Фонд ГКО, д. 147, лл. 237, 238-239 (11012).</w:t>
      </w:r>
    </w:p>
    <w:p w14:paraId="232E02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06B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4016. О выпуске HКМП РСФСР грудных дрелей для HКАП и ГАУКА в III и IV кв. 1943 г.и выделении 65 рабочих Кировскому механическому заводу HКМП РСФСР.РГАНИР, Фонд ГКО, д. 147, лл. 240 (11012).</w:t>
      </w:r>
    </w:p>
    <w:p w14:paraId="0BECBD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F25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4017. О мерах по обеспечению выпуска термоизоляционных плит для ГАЗ.РГАНИР, Фонд ГКО, д. 147, лл. 241-242, 243-244 (11012).</w:t>
      </w:r>
    </w:p>
    <w:p w14:paraId="09EC7D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995C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Постановление ГКО № 4018 О перенесении срока восстановления производства и поставки Азнефтекомбинату подшипников.РГАНИР, Фонд ГКО, д. 147, лл. 245 (11012).</w:t>
      </w:r>
    </w:p>
    <w:p w14:paraId="2686D8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F6427"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Распоряжение ГКО № 4019 [Об изменении для НКВД плана закладки дров в госрезерв в Москве.] (7135, 246).</w:t>
      </w:r>
    </w:p>
    <w:p w14:paraId="3551FC0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3EFD9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Постановление ГКО № 4020 О мерах неотложной помощи цементной промышленности Hаркомстройматериалов СССР. (7135, 247-252,253-255).</w:t>
      </w:r>
    </w:p>
    <w:p w14:paraId="7C93BAF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793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Постановление ГКО № 4021 Об обеспечении ВВС КА подвесными баками ПЛБГ-150 к самолету Ил-2.РГАНИР, Фонд ГКО, д. 147, лл. 256, 257-259 (11012).</w:t>
      </w:r>
    </w:p>
    <w:p w14:paraId="286620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31A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вышло Постановление ГКО № 4022 О мероприятиях по восстановлению производства весов и весоизмерительных приборов на заводах Наркомминвооружения.РГАНИР, Фонд ГКО, д. 147, лл. 260-263, 264-271 (11012).</w:t>
      </w:r>
    </w:p>
    <w:p w14:paraId="393FD3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CC31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EC48FC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CDE539"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 сентября </w:t>
      </w:r>
      <w:r w:rsidRPr="00271E51">
        <w:rPr>
          <w:rFonts w:ascii="Times New Roman" w:hAnsi="Times New Roman"/>
          <w:color w:val="000000" w:themeColor="text1"/>
          <w:sz w:val="16"/>
          <w:szCs w:val="16"/>
        </w:rPr>
        <w:t>в 1943 году оперативная сводка Совинформбюро:</w:t>
      </w:r>
    </w:p>
    <w:p w14:paraId="36DF7A33"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к утру 1 сентября закончили ликвидацию окружённых частей Таганрогской группы немцев. В результате наступления наших войск и ликвидации Таганрогской группы противника разгромлены 17, 111, 294 пехотные и 15 авиаполевая немецкие дивизии. Нанесено тяжёлое поражение 304, 306, 336 пехотным и 13 танковой дивизиям противника.</w:t>
      </w:r>
    </w:p>
    <w:p w14:paraId="365FBCBC"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нашими войсками уничтожено: самолётов противника — 212, танков — 537, орудий всех калибров — 494, пулемётов —1.500, автомашин — 3.600, складов сгорючим —10, складов с боеприпасами — 29.</w:t>
      </w:r>
    </w:p>
    <w:p w14:paraId="11D859B5"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потерял только убитыми свыше 35.000 солдат и офицеров.</w:t>
      </w:r>
    </w:p>
    <w:p w14:paraId="33F62D53"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неполным данным, нашими войсками взяты следующие трофеи: танков — 95, орудий разного калибра —198, миномётов — 217, пулемётов—409, автомашин — 594, складов с боеприпасами — 22.</w:t>
      </w:r>
    </w:p>
    <w:p w14:paraId="0635A851"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Взято в плен 5.100 немецких солдат и офицеров.</w:t>
      </w:r>
    </w:p>
    <w:p w14:paraId="5386D2C3"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Продолжая наступление, войска Южного фронта в течение 1 сентября продвинулись вперёд от 6 до 10 километров, заняли свыше 30 населённых пунктов, в том числе заняли в Донбассе город Красный Луч, город Снежное, а также станцию Штеровка.</w:t>
      </w:r>
    </w:p>
    <w:p w14:paraId="76506A8A"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успешно развивать наступление и, продвинувшись вперёд от 7 до 12 километров, заняли свыше 200 населённых пунктов, в том числе город Дорогобуж.</w:t>
      </w:r>
    </w:p>
    <w:p w14:paraId="061418F6"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продвинулись на отдельных участках от 6 до 10 километров, заняли свыше 60 населённых пунктов, в том числе город Комаричи.</w:t>
      </w:r>
    </w:p>
    <w:p w14:paraId="4C0E4D57"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вели наступательные бои и на отдельных участках снова продвинулись вперёд, заняв несколько населённых пунктов.</w:t>
      </w:r>
    </w:p>
    <w:p w14:paraId="5BB9D061"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31 августа наши войска на всех фронтах подбили и уничтожили 66немецких танков. В воздушных боях и огнём зенитной артиллерии сбито 90 самолётовпротивника.</w:t>
      </w:r>
    </w:p>
    <w:p w14:paraId="027C07E9"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успешное наступление и заняли свыше 200 населённых пунктов, в том числе город Дорогобуж. Противник подтягивает резервы и с марша бросает их в контратаки. На одном участке полк немецкой пехоты при поддержке нескольких десятков танков пытался контратаковать наши наступающие части. Попав под губительный огонь советской артиллерии, немцы поспешно отступили. На поле боя остались сотни вражеских трупов и 30 сгоревших и подбитых танков противника.</w:t>
      </w:r>
    </w:p>
    <w:p w14:paraId="6B4833FC"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южнее Ельни наши войска, преодолевая сопротивление немцев, продвигались вперёд. За день боёв противник потерял убитыми свыше 3.000 солдат и офицеров. Уничтожено 48 орудий, 250 автомашин и повозок противника с грузами. Захвачено у немцев 6 танков, 23 орудия, 110 пулемётов, много автоматов и винтовок.</w:t>
      </w:r>
    </w:p>
    <w:p w14:paraId="4BFF292F"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41 самолёт противника.</w:t>
      </w:r>
    </w:p>
    <w:p w14:paraId="16DBCA5E"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с боями продвигались вперёд и освободили от немецких захватчиков свыше 60 населённых пунктов.</w:t>
      </w:r>
    </w:p>
    <w:p w14:paraId="08EF26E8"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Севска части Н-ского соединения, сломив упорное сопротивление противника, овладели городом и железнодорожной станцией Комаричи. Западнее Севска наши бойцы отбили несколько вражеских контратак. Измотав немцев, советские части стремительным ударом отбросили противника и заняли ряд населённых пунктов. Части Н-ского соединения, овладев городами Глухов и Рыльск, продолжали успешное наступление. В течение дня уничтожено 2.400 гитлеровцев, 9 немецких танков, 3 самоходных орудия. Захвачено у противника 49 орудий, 24 миномёта, 142 пулемёта, 10 радиостанций и 14 разных складов. Взято в плен 779 немецких солдат и офицеров.</w:t>
      </w:r>
    </w:p>
    <w:p w14:paraId="59B452F1"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закончив ликвидацию окружённых частей Таганрогской группы немцев, продолжали наступление. В течение 1 сентября нашими войсками занято свыше 30 населённых пунктов, в том числе заняты в Донбассе город Красный Луч, город Снежное, а также станция Штеровка.</w:t>
      </w:r>
    </w:p>
    <w:p w14:paraId="75DEDE62"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Огромные потери, которые понесли немцы в живой силе и технике в районе Таганрога, вынудили их спешно перебрасывать новые части на юг. Наша авиация наносит непрерывные удары по этим подходящий к линии фронта войскам противника. В течение дня в результате бомбардировки разбито несколько немецких железнодорожных эшелонов, уничтожено более 100 автомашин с пехотой противника. В воздушных боях наши лётчики сбили 25 немецких самолётов.</w:t>
      </w:r>
    </w:p>
    <w:p w14:paraId="020658F4"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Харькова наши войска вели наступательные бои, продвинулись вперёд и заняли несколько населённых пунктов. На одном участке противник силами танков и пехоты предпринял ряд контратак. Советские бойцы отбили все контратаки гитлеровцев и нанесли им большой урон. Наши артиллеристы, миномётчики и бронебойщики уничтожили 16 немецких танков, 5 самоходных орудий и до 100 автомашин. На поле боя осталось свыше 800 вражеских трупов.</w:t>
      </w:r>
    </w:p>
    <w:p w14:paraId="488F4C27"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части Н-ского соединения овладели несколькими сильно укреплёнными опорными пунктами противника. Уничтожено 300 немецких солдат и офицеров.</w:t>
      </w:r>
    </w:p>
    <w:p w14:paraId="3C6940E6"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боях за освобождение Украины советские бойцы проявляют беззаветную храбрость. Автоматчик Клочкин подобрался к вражеской огневой точке, уничтожил двух немецких пулемётчиков, а третьего забрал в плен и вместе с трофейным пулемётом доставил в свою часть. Командир взвода противотанковых орудий гвардии </w:t>
      </w:r>
      <w:r w:rsidRPr="00271E51">
        <w:rPr>
          <w:rFonts w:ascii="Times New Roman" w:hAnsi="Times New Roman"/>
          <w:color w:val="000000" w:themeColor="text1"/>
          <w:sz w:val="16"/>
          <w:szCs w:val="16"/>
        </w:rPr>
        <w:lastRenderedPageBreak/>
        <w:t>лейтенант Димура огнём с открытой позиции подбил 3 танка противника. Гвардии красноармеец Тятин скрытно подполз к немецкой траншее и, забросав ее гранатами, уничтожил 20 гитлеровцев. Красноармеец Тюшин огнём из противотанкового ружья сбил немецкий самолёт.</w:t>
      </w:r>
    </w:p>
    <w:p w14:paraId="2CEB8209"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потоплены две быстроходных десантных баржи, мотошхуна и сторожевой катер противника.</w:t>
      </w:r>
    </w:p>
    <w:p w14:paraId="61E85BE0"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Минский партизанский отряд имени Железняка совершил смелый налёт на немецкий гарнизон, расположенный в населённом пункте. В ожесточённом бою партизаны уничтожили 90 вражеских солдат и офицеров. Взяты в плен 48 немецких солдат и три офицера. Захвачены трофеи, в том числе орудие, 2 миномёта, 7 пулемётов, 113 автоматов и винтовок, 10 подвод с боеприпасами и радиостанция.</w:t>
      </w:r>
    </w:p>
    <w:p w14:paraId="2A197A97" w14:textId="77777777" w:rsidR="008E3AD4" w:rsidRPr="00271E51" w:rsidRDefault="008E3A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лётчик-наблюдатель 121 немецкой группы дальних разведчиков лейтенант Лотарь Губер рассказал: «Лётчики лучше пехотинцев знают положение дел на фронте. Нам приходилось ежедневно перед вылетом наносить на карту линию фронта. Мы наблюдали поспешное отступление немецких частей. Каждый понимает, что сейчас уже нельзя говорить об отдельных неудачах немецких войск в России. Никто не знает, где мы остановимся, ибо инициатива находится в руках русских. Офицеры между собой говорят: «Надо благодарить судьбу за то, что она преподнесла нам неприятный сюрприз только на Востоке. Что было бы, если бы сейчас, в такой критический для немецкой армии момент, начались действия на Западе». Все считают, что тогда катастрофа приблизилась бы очень быстро» (14756).</w:t>
      </w:r>
    </w:p>
    <w:p w14:paraId="2E80C102" w14:textId="77777777" w:rsidR="008E3AD4" w:rsidRPr="00271E51" w:rsidRDefault="008E3AD4" w:rsidP="00271E51">
      <w:pPr>
        <w:spacing w:after="0" w:line="240" w:lineRule="auto"/>
        <w:jc w:val="both"/>
        <w:rPr>
          <w:rFonts w:ascii="Times New Roman" w:hAnsi="Times New Roman"/>
          <w:color w:val="000000" w:themeColor="text1"/>
          <w:sz w:val="16"/>
          <w:szCs w:val="16"/>
        </w:rPr>
      </w:pPr>
    </w:p>
    <w:p w14:paraId="1C792E8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вышел ПРИКАЗ № 0207 частям 234 ИАД</w:t>
      </w:r>
    </w:p>
    <w:p w14:paraId="6FFA27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сентября 1943 г. в полках произвести окраску коков, нарисовать эмблемы и написать хвостовые номера самолетов:</w:t>
      </w:r>
    </w:p>
    <w:p w14:paraId="6AD16B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 ИАП. Цвет кока - черный; эмблема - по выбору летного состава, хвостовые номера 3-значные от 100 и выше;</w:t>
      </w:r>
    </w:p>
    <w:p w14:paraId="7F13CC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 ИАП. Цвет кока - голубой; эмблема - "ЧАЙКА", хвостовые номера от единицы и выше;</w:t>
      </w:r>
    </w:p>
    <w:p w14:paraId="359768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 ИАП. Цвет кока - красный; эмблема - "АКУЛА", хвостовые номера 2-значные от 50 и выше;</w:t>
      </w:r>
    </w:p>
    <w:p w14:paraId="0C8F6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Командир 234 ИАД полковник ТАТАНАШВИЛИ (11219).</w:t>
      </w:r>
    </w:p>
    <w:p w14:paraId="7567CF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A62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1 сентября по 3 октября 1943 состоялась Брянская операция БФ (М.М.Попов) против 9А по захвату плацдарма на западном берегу Десны и освобождению Брянска. С 20 сентября начали преследование противника (2438,116).</w:t>
      </w:r>
    </w:p>
    <w:p w14:paraId="7FAE8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3F308" w14:textId="77777777" w:rsidR="00B37F76" w:rsidRPr="00271E51" w:rsidRDefault="00B37F7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 сентября </w:t>
      </w:r>
      <w:r w:rsidRPr="00271E51">
        <w:rPr>
          <w:rFonts w:ascii="Times New Roman" w:hAnsi="Times New Roman"/>
          <w:color w:val="000000" w:themeColor="text1"/>
          <w:sz w:val="16"/>
          <w:szCs w:val="16"/>
        </w:rPr>
        <w:t>в 1943 году началась Брянская наступательная операция войск Брянского фронта (генерал М.М.Попов), перед которыми стояла задача разгромить противостоящие соединения 9-й армии противника, форсировать реку Десна и наступать на Гомель. В ходе операции, завершившейся 3 октября, были освобождены Брянский промышленный район и часть территории Белоруссии (14756).</w:t>
      </w:r>
    </w:p>
    <w:p w14:paraId="14FF5E8A" w14:textId="77777777" w:rsidR="00B37F76" w:rsidRPr="00271E51" w:rsidRDefault="00B37F76" w:rsidP="00271E51">
      <w:pPr>
        <w:spacing w:after="0" w:line="240" w:lineRule="auto"/>
        <w:jc w:val="both"/>
        <w:rPr>
          <w:rFonts w:ascii="Times New Roman" w:hAnsi="Times New Roman"/>
          <w:color w:val="000000" w:themeColor="text1"/>
          <w:sz w:val="16"/>
          <w:szCs w:val="16"/>
        </w:rPr>
      </w:pPr>
    </w:p>
    <w:p w14:paraId="23DA857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13DE1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1338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послом США в СССР назначен А. Гарриман (4962).</w:t>
      </w:r>
    </w:p>
    <w:p w14:paraId="7952ABC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4635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EB47C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ABACDB" w14:textId="45EA14A0" w:rsidR="00370A2C" w:rsidRPr="00271E51" w:rsidRDefault="00370A2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сентября 1943 из-за огромных расстояний с 1 января американские самолеты наземного базирования совершили всего 102 боевых вылета в центрально-тихоокеанском регионе. Самолеты ВМС США с авианосцев USS Essex , USS Yorktown и USS Independence совершили шесть ударов в общей сложности 275 самолето-вылктв по острову Маркус, уничтожив несколько японских бомбардировщиков Mitsubishi G4M (союзническое название «Бетти») на земле в обмен на потерю четырех американских самолет (20376).</w:t>
      </w:r>
    </w:p>
    <w:p w14:paraId="1E133A0F" w14:textId="77777777" w:rsidR="00370A2C" w:rsidRPr="00271E51" w:rsidRDefault="00370A2C" w:rsidP="00271E51">
      <w:pPr>
        <w:spacing w:after="0" w:line="240" w:lineRule="auto"/>
        <w:jc w:val="both"/>
        <w:rPr>
          <w:rFonts w:ascii="Times New Roman" w:hAnsi="Times New Roman"/>
          <w:color w:val="0070C0"/>
          <w:sz w:val="16"/>
          <w:szCs w:val="16"/>
        </w:rPr>
      </w:pPr>
    </w:p>
    <w:p w14:paraId="62A70586" w14:textId="77777777" w:rsidR="00370A2C" w:rsidRPr="00271E51" w:rsidRDefault="00370A2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сентября 1943 самолеты 5 армии ВВС провели крупный рейд против японского аэродрома в Маданге, Новая Гвинея (20376).</w:t>
      </w:r>
    </w:p>
    <w:p w14:paraId="3C8BC8BC" w14:textId="77777777" w:rsidR="00370A2C" w:rsidRPr="00271E51" w:rsidRDefault="00370A2C" w:rsidP="00271E51">
      <w:pPr>
        <w:spacing w:after="0" w:line="240" w:lineRule="auto"/>
        <w:jc w:val="both"/>
        <w:rPr>
          <w:rFonts w:ascii="Times New Roman" w:hAnsi="Times New Roman"/>
          <w:color w:val="0070C0"/>
          <w:sz w:val="16"/>
          <w:szCs w:val="16"/>
        </w:rPr>
      </w:pPr>
    </w:p>
    <w:p w14:paraId="59A0B314" w14:textId="77777777" w:rsidR="00370A2C" w:rsidRPr="00271E51" w:rsidRDefault="00370A2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1–11 сентября 1943 авианосцы USS Princeton и USS Belleau Wood и PV-1 Venturas ВМС США, базирующиеся на Кантон-Айленде, прикрывают беспрепятственную высадку американцев на острове Бейкер. В трех случаях, F6F Hellcats сбивают приближающейся японский Kawanishi H8k (союзной название отчетности «Эмили»). Эскадрон истребителей ВВС США прибывает на остров Бейкер 11 сентября (20376).</w:t>
      </w:r>
    </w:p>
    <w:p w14:paraId="0502FDDB" w14:textId="77777777" w:rsidR="00370A2C" w:rsidRPr="00271E51" w:rsidRDefault="00370A2C" w:rsidP="00271E51">
      <w:pPr>
        <w:spacing w:after="0" w:line="240" w:lineRule="auto"/>
        <w:jc w:val="both"/>
        <w:rPr>
          <w:rFonts w:ascii="Times New Roman" w:hAnsi="Times New Roman"/>
          <w:color w:val="0070C0"/>
          <w:sz w:val="16"/>
          <w:szCs w:val="16"/>
        </w:rPr>
      </w:pPr>
    </w:p>
    <w:p w14:paraId="0D1101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сентября 1943 Лябинот. Вторая конференция НОФА в освобожденном районе. Советы были признаны "основой политической власти албанского народа", был принят устав советов (7594).</w:t>
      </w:r>
    </w:p>
    <w:p w14:paraId="607F8E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AAFB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 сентября </w:t>
      </w:r>
      <w:r w:rsidRPr="00271E51">
        <w:rPr>
          <w:rFonts w:ascii="Times New Roman" w:hAnsi="Times New Roman"/>
          <w:color w:val="000000" w:themeColor="text1"/>
          <w:sz w:val="16"/>
          <w:szCs w:val="16"/>
        </w:rPr>
        <w:t>в 1943 году вторая конференция Национально-освободительного фронта Албании (14756).</w:t>
      </w:r>
    </w:p>
    <w:p w14:paraId="35B30101"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2F3A45D3"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9958D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7210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серий</w:t>
      </w:r>
      <w:r w:rsidRPr="00271E51">
        <w:rPr>
          <w:rFonts w:ascii="Times New Roman" w:hAnsi="Times New Roman"/>
          <w:color w:val="000000" w:themeColor="text1"/>
          <w:sz w:val="16"/>
          <w:szCs w:val="16"/>
        </w:rPr>
        <w:softHyphen/>
        <w:t>ный двухместный самолет Ил-2 зав. № 303124, который был построен на заводе № 30 с пушками НС-37 и затем переделан под установку пушек калибра 45 мм, поступил на летно-испытательную станцию завода № 240, где в течение двух недель проводился отстрел вооружения. Затем са</w:t>
      </w:r>
      <w:r w:rsidRPr="00271E51">
        <w:rPr>
          <w:rFonts w:ascii="Times New Roman" w:hAnsi="Times New Roman"/>
          <w:color w:val="000000" w:themeColor="text1"/>
          <w:sz w:val="16"/>
          <w:szCs w:val="16"/>
        </w:rPr>
        <w:softHyphen/>
        <w:t>молет доработали и к 1 ноября перегнали в НИИ АВ для завер</w:t>
      </w:r>
      <w:r w:rsidRPr="00271E51">
        <w:rPr>
          <w:rFonts w:ascii="Times New Roman" w:hAnsi="Times New Roman"/>
          <w:color w:val="000000" w:themeColor="text1"/>
          <w:sz w:val="16"/>
          <w:szCs w:val="16"/>
        </w:rPr>
        <w:softHyphen/>
        <w:t>шения заводских и проведения государственных испытаний.</w:t>
      </w:r>
    </w:p>
    <w:p w14:paraId="17FBEE5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 НС-45 как и Ш-45 не отличались высокой надежностью — доводка автоматики пушки и проведение некоторых доработок на самом самолете затянулись до 8 февраля 1944 г.</w:t>
      </w:r>
    </w:p>
    <w:p w14:paraId="36F3D70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неудовлетворительную точность стрельбы из НС-45 в воздухе — вновь из-за сильной отдачи пу</w:t>
      </w:r>
      <w:r w:rsidRPr="00271E51">
        <w:rPr>
          <w:rFonts w:ascii="Times New Roman" w:hAnsi="Times New Roman"/>
          <w:color w:val="000000" w:themeColor="text1"/>
          <w:sz w:val="16"/>
          <w:szCs w:val="16"/>
        </w:rPr>
        <w:softHyphen/>
        <w:t>шек при стрельбе. По данным НИИ АВ, максимальная сила отдачи пушки на наземном станке достигала 7000 кг при среднем значении не более 2800 кг. В то же время при настреле свыше 2000 выстрелов на каждую пушку нарушение прочности пушеч</w:t>
      </w:r>
      <w:r w:rsidRPr="00271E51">
        <w:rPr>
          <w:rFonts w:ascii="Times New Roman" w:hAnsi="Times New Roman"/>
          <w:color w:val="000000" w:themeColor="text1"/>
          <w:sz w:val="16"/>
          <w:szCs w:val="16"/>
        </w:rPr>
        <w:softHyphen/>
        <w:t>ных установок и силовых элементов крыла самолета обнаруже</w:t>
      </w:r>
      <w:r w:rsidRPr="00271E51">
        <w:rPr>
          <w:rFonts w:ascii="Times New Roman" w:hAnsi="Times New Roman"/>
          <w:color w:val="000000" w:themeColor="text1"/>
          <w:sz w:val="16"/>
          <w:szCs w:val="16"/>
        </w:rPr>
        <w:softHyphen/>
        <w:t>но не было. В выводах отчета указывалось, что пушки НС-45 на самолете Ил-2 государственные испытания выдержали. Требо</w:t>
      </w:r>
      <w:r w:rsidRPr="00271E51">
        <w:rPr>
          <w:rFonts w:ascii="Times New Roman" w:hAnsi="Times New Roman"/>
          <w:color w:val="000000" w:themeColor="text1"/>
          <w:sz w:val="16"/>
          <w:szCs w:val="16"/>
        </w:rPr>
        <w:softHyphen/>
        <w:t>валось уменьшить силу отдачи пушек и установить их ближе к оси самолета.</w:t>
      </w:r>
    </w:p>
    <w:p w14:paraId="438CE35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уже было принято окончательное реше</w:t>
      </w:r>
      <w:r w:rsidRPr="00271E51">
        <w:rPr>
          <w:rFonts w:ascii="Times New Roman" w:hAnsi="Times New Roman"/>
          <w:color w:val="000000" w:themeColor="text1"/>
          <w:sz w:val="16"/>
          <w:szCs w:val="16"/>
        </w:rPr>
        <w:softHyphen/>
        <w:t>ние о прекращении всех работ по самолетам Ил-2 с крупнока</w:t>
      </w:r>
      <w:r w:rsidRPr="00271E51">
        <w:rPr>
          <w:rFonts w:ascii="Times New Roman" w:hAnsi="Times New Roman"/>
          <w:color w:val="000000" w:themeColor="text1"/>
          <w:sz w:val="16"/>
          <w:szCs w:val="16"/>
        </w:rPr>
        <w:softHyphen/>
        <w:t>либерными пушками. В этой связи не был проявлен интерес и к модернизированным пушкам НС-37М и НС-45М, имевшим почти вдвое меньшее усилие отдачи «на крыльевой установке самолета Ил-2».</w:t>
      </w:r>
    </w:p>
    <w:p w14:paraId="0EFA32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основным средством борьбы штурмовиков Ил-2 с немецкими танками фактически стала ПТАБ-2,5-1,5. Высокую эффективность ПТАБ показывали и при действии по открытым складам боеприпасов и скоплениям боевой техни</w:t>
      </w:r>
      <w:r w:rsidRPr="00271E51">
        <w:rPr>
          <w:rFonts w:ascii="Times New Roman" w:hAnsi="Times New Roman"/>
          <w:color w:val="000000" w:themeColor="text1"/>
          <w:sz w:val="16"/>
          <w:szCs w:val="16"/>
        </w:rPr>
        <w:softHyphen/>
        <w:t>ки вследствие большого числа прямых попаданий. При этом автомашины, тягачи и бронетранспортеры, как правило, пол</w:t>
      </w:r>
      <w:r w:rsidRPr="00271E51">
        <w:rPr>
          <w:rFonts w:ascii="Times New Roman" w:hAnsi="Times New Roman"/>
          <w:color w:val="000000" w:themeColor="text1"/>
          <w:sz w:val="16"/>
          <w:szCs w:val="16"/>
        </w:rPr>
        <w:softHyphen/>
        <w:t>ностью сгорали, а боеприпасы в штабелях подрывались не только при прямом попадании ПТАБ в их корпуса, но и через укупорку. (11474,358).</w:t>
      </w:r>
    </w:p>
    <w:p w14:paraId="2F621EA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F313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вышел приказ НКАП № 528:</w:t>
      </w:r>
    </w:p>
    <w:p w14:paraId="2D4F82BD"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постановления ГКО № 4006с от 29 августа с.г.:</w:t>
      </w:r>
    </w:p>
    <w:p w14:paraId="5E57673F"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 4 ГУ Самойловичу и д-ру з-да 25 Исакову немедленно перевести з-д 25 в Тушино на з-д № 500.</w:t>
      </w:r>
    </w:p>
    <w:p w14:paraId="5A20CCE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(1736, 218).</w:t>
      </w:r>
    </w:p>
    <w:p w14:paraId="3760AA48"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2715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 по приказу № 528с в соответствии с пост. ГКО № 4006с от 29.08.1943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2234E6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628A76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74F38C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31.12.1947 г. был построен 1-й РД-500, в 10.1948 г. начат серийный выпуск двигателя.</w:t>
      </w:r>
    </w:p>
    <w:p w14:paraId="3E59D7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создан отдел систем ЧПУ.</w:t>
      </w:r>
    </w:p>
    <w:p w14:paraId="179F35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51C31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455623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271E51">
        <w:rPr>
          <w:rFonts w:ascii="Times New Roman" w:hAnsi="Times New Roman"/>
          <w:color w:val="000000" w:themeColor="text1"/>
          <w:sz w:val="16"/>
          <w:szCs w:val="16"/>
          <w:lang w:val="en-US"/>
        </w:rPr>
        <w:t>FC</w:t>
      </w:r>
      <w:r w:rsidRPr="00271E51">
        <w:rPr>
          <w:rFonts w:ascii="Times New Roman" w:hAnsi="Times New Roman"/>
          <w:color w:val="000000" w:themeColor="text1"/>
          <w:sz w:val="16"/>
          <w:szCs w:val="16"/>
        </w:rPr>
        <w:t>-1 на базе РД-33; ВК-3000; освоение выпуска РД-ЗЗМК, РД-1700.</w:t>
      </w:r>
    </w:p>
    <w:p w14:paraId="14907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045C5B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(04.1944 г.-)- В.М. Яковлев.</w:t>
      </w:r>
    </w:p>
    <w:p w14:paraId="661C31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271E51">
        <w:rPr>
          <w:rFonts w:ascii="Times New Roman" w:hAnsi="Times New Roman"/>
          <w:color w:val="000000" w:themeColor="text1"/>
          <w:sz w:val="16"/>
          <w:szCs w:val="16"/>
          <w:vertAlign w:val="superscript"/>
        </w:rPr>
        <w:t>49</w:t>
      </w:r>
      <w:r w:rsidRPr="00271E51">
        <w:rPr>
          <w:rFonts w:ascii="Times New Roman" w:hAnsi="Times New Roman"/>
          <w:color w:val="000000" w:themeColor="text1"/>
          <w:sz w:val="16"/>
          <w:szCs w:val="16"/>
        </w:rPr>
        <w:t xml:space="preserve"> (2002-04; 12.2008 г.)- А.С. Новиков, (10.2004 г.)- О.Н. Третьяков.</w:t>
      </w:r>
    </w:p>
    <w:p w14:paraId="62A774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4D21BC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(1945-47 г.)- В.В. Чернышев, (1984-97 г.)- О.Н. Третьяков.</w:t>
      </w:r>
    </w:p>
    <w:p w14:paraId="2249F4B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(1945 г.)- И.Н. Смирнов.</w:t>
      </w:r>
    </w:p>
    <w:p w14:paraId="0A3CCA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физической (1945 г.)- А.И. Маслов.</w:t>
      </w:r>
    </w:p>
    <w:p w14:paraId="59322E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техбюро (1945 г.)- П.В. Погостин.</w:t>
      </w:r>
    </w:p>
    <w:p w14:paraId="75234B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дизельные двигатели: авиационные:</w:t>
      </w:r>
      <w:r w:rsidRPr="00271E51">
        <w:rPr>
          <w:rFonts w:ascii="Times New Roman" w:hAnsi="Times New Roman"/>
          <w:color w:val="000000" w:themeColor="text1"/>
          <w:sz w:val="16"/>
          <w:szCs w:val="16"/>
        </w:rPr>
        <w:t xml:space="preserve"> АЧ-30Б (1943-46)- 900, АЧ-31 (1945-46)- 58, АЧ-30БФ, М501 (1946-53); танковый ТД-30 (1946);</w:t>
      </w:r>
      <w:r w:rsidRPr="00271E51">
        <w:rPr>
          <w:rFonts w:ascii="Times New Roman" w:hAnsi="Times New Roman"/>
          <w:iCs/>
          <w:color w:val="000000" w:themeColor="text1"/>
          <w:sz w:val="16"/>
          <w:szCs w:val="16"/>
        </w:rPr>
        <w:t xml:space="preserve"> ГТД:</w:t>
      </w:r>
      <w:r w:rsidRPr="00271E51">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271E51">
        <w:rPr>
          <w:rFonts w:ascii="Times New Roman" w:hAnsi="Times New Roman"/>
          <w:iCs/>
          <w:color w:val="000000" w:themeColor="text1"/>
          <w:sz w:val="16"/>
          <w:szCs w:val="16"/>
        </w:rPr>
        <w:t xml:space="preserve"> ЖРД </w:t>
      </w:r>
      <w:r w:rsidRPr="00271E51">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271E51">
        <w:rPr>
          <w:rFonts w:ascii="Times New Roman" w:hAnsi="Times New Roman"/>
          <w:color w:val="000000" w:themeColor="text1"/>
          <w:sz w:val="16"/>
          <w:szCs w:val="16"/>
          <w:vertAlign w:val="superscript"/>
        </w:rPr>
        <w:t xml:space="preserve">69 </w:t>
      </w:r>
      <w:r w:rsidRPr="00271E51">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660984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Специальная конструкторская группа (СКГ) при заводе № 500 МАП, п/я 010</w:t>
      </w:r>
    </w:p>
    <w:p w14:paraId="1628396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202F1F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4ACAE2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646E7EB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7DFF4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460FC3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271E51">
        <w:rPr>
          <w:rFonts w:ascii="Times New Roman" w:hAnsi="Times New Roman"/>
          <w:color w:val="000000" w:themeColor="text1"/>
          <w:sz w:val="16"/>
          <w:szCs w:val="16"/>
          <w:lang w:val="en-US"/>
        </w:rPr>
        <w:t>Jumo</w:t>
      </w:r>
      <w:r w:rsidRPr="00271E51">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65CE8C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3FE4C0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45AFC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02F90D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278AFE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1A4C61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2006 г. ТМКБ «Союз» являлось дочерним предприятием РСК «МиГ».</w:t>
      </w:r>
    </w:p>
    <w:p w14:paraId="7F4222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2731B6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271E51">
        <w:rPr>
          <w:rFonts w:ascii="Times New Roman" w:hAnsi="Times New Roman"/>
          <w:color w:val="000000" w:themeColor="text1"/>
          <w:sz w:val="16"/>
          <w:szCs w:val="16"/>
          <w:vertAlign w:val="superscript"/>
        </w:rPr>
        <w:t>49</w:t>
      </w:r>
      <w:r w:rsidRPr="00271E51">
        <w:rPr>
          <w:rFonts w:ascii="Times New Roman" w:hAnsi="Times New Roman"/>
          <w:color w:val="000000" w:themeColor="text1"/>
          <w:sz w:val="16"/>
          <w:szCs w:val="16"/>
        </w:rPr>
        <w:t xml:space="preserve"> (2005 г.-)- Л.С. Бардычев.</w:t>
      </w:r>
    </w:p>
    <w:p w14:paraId="39201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204A81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6557F6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AA4F4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ТРД:</w:t>
      </w:r>
      <w:r w:rsidRPr="00271E51">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271E51">
        <w:rPr>
          <w:rFonts w:ascii="Times New Roman" w:hAnsi="Times New Roman"/>
          <w:color w:val="000000" w:themeColor="text1"/>
          <w:sz w:val="16"/>
          <w:szCs w:val="16"/>
          <w:vertAlign w:val="superscript"/>
        </w:rPr>
        <w:t>101</w:t>
      </w:r>
    </w:p>
    <w:p w14:paraId="253A9E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завода № 500, ОКБ-500-2 МАП гл. конструктора С.С. Баландина /Тушино/</w:t>
      </w:r>
    </w:p>
    <w:p w14:paraId="54D032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522D1C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(08.1946-04.1947 г.-) - С.С. Баландин.</w:t>
      </w:r>
    </w:p>
    <w:p w14:paraId="27A88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(08.1946 г.-)-  Г.П. Зайцев, (08.1946 г.-) - К.А. Гильзин (11982).</w:t>
      </w:r>
    </w:p>
    <w:p w14:paraId="070121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72F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года начальник штаба НИИ ВВС Иващенко писал письмо N 1/00119 Шахурину.</w:t>
      </w:r>
    </w:p>
    <w:p w14:paraId="645C15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летно-тактических данных самолетов, прошедших испытания в НИИ ВВС, для включения их в альбом самолетов ВВС 1943 г.</w:t>
      </w:r>
    </w:p>
    <w:p w14:paraId="3BA317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Миг-3 с АМ-35, серийные самолеты N 4643 и N 5176 с облегчениями.</w:t>
      </w:r>
    </w:p>
    <w:p w14:paraId="7ACBA5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АТ-6 с мотором Пратт-Уитней AN-1.</w:t>
      </w:r>
    </w:p>
    <w:p w14:paraId="71A6CB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Ли-2 с 2М-62ИР N 1846310 с гусеничным шасси.</w:t>
      </w:r>
    </w:p>
    <w:p w14:paraId="26E375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Хейнкель-111 Н-11 с 2-мя моторами Юмо-211 F-1.</w:t>
      </w:r>
    </w:p>
    <w:p w14:paraId="7F0EF1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Пе-2 с 2М-105ПФ N 7/187 c улучш. обзором.</w:t>
      </w:r>
    </w:p>
    <w:p w14:paraId="7B5F43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Мессершмитт-109Г-2 с мотором ДВ-605 А/1.</w:t>
      </w:r>
    </w:p>
    <w:p w14:paraId="10AD73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Дуглас А-20В с 2-мя моторами Райт-Циклон R-2600-11.</w:t>
      </w:r>
    </w:p>
    <w:p w14:paraId="6931BB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Альбимал-1 с 2-мя моторами Бристоль "Геркулес"-ХI.</w:t>
      </w:r>
    </w:p>
    <w:p w14:paraId="33FA5D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9. Як-1М с М-105ПФ, опытный.</w:t>
      </w:r>
    </w:p>
    <w:p w14:paraId="26EB70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С-2 с М-11Д, эталон, N 940610.</w:t>
      </w:r>
    </w:p>
    <w:p w14:paraId="3148EC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Ла-5 с М-82ФН, серийный N 3921104.</w:t>
      </w:r>
    </w:p>
    <w:p w14:paraId="55B1FE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Фокке-Вульф 190 А-4 с мотором BMW-801Д.</w:t>
      </w:r>
    </w:p>
    <w:p w14:paraId="288A74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Як-9 с М-105ПФ, серийный N 03016.</w:t>
      </w:r>
    </w:p>
    <w:p w14:paraId="6292A0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Спитфайр 5В с мотором "Мерлин"-46.</w:t>
      </w:r>
    </w:p>
    <w:p w14:paraId="2E1460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Мессершмитт-109 Г-2 с под крыльевыми пушками (1783,197).</w:t>
      </w:r>
    </w:p>
    <w:p w14:paraId="5ED57F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3F4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Ту-2С - 2АШ-82ФН N 716 поступил на совместные испытания (1835,28).</w:t>
      </w:r>
    </w:p>
    <w:p w14:paraId="444D19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9B8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2 сентября 1943 (опоздав более чем на месяц от срока, заданного постановлением ГКО) самолет Ту-2 № 100716, который 26 августа 1943 г. совершил первый полет после переделки, проходила совместные (заводские и государственные) испытания в НИИ ВВС. Летали попеременно два пилота - М.А. Нюхтиков и В.В. Лисицын. Бомбардировщик испытывался до 16 декабря, за это время совершили 89 полетов.</w:t>
      </w:r>
    </w:p>
    <w:p w14:paraId="0D6360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вполне удовлетворили испытателей, а самое главное - соответствовали требованиям постановления ГКО. Прирост скорости по сравнению с омскими Ту-2 на разных высотах составлял 33 - 44 км/ч. У серийного Пе-2 Ту-2С выигрывал 25 - 30 км/ч, у американского А-20В - 53 - 55 км/ч. Значительно улучшились взлетные характеристики. Разбег сократился на 35 м и оказался меньше, чем у Пе-2 с моторами М-105ПФ, на 122 м, по сравнению с А-20В - на 155 м. Существенно возросла скороподъемность.</w:t>
      </w:r>
    </w:p>
    <w:p w14:paraId="3876E1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 и посадка оставались так же просты, как и ранее. Маневренность сочли удовлетворительной, хотя в отчете записали, что выполнение виража тяжелее, чем на Пе-2. Путевая устойчивость самолета немного улучшилась, но оставалась хуже, чем у А-20В или у Ер-2. Правда, у Пе-2 и Пе-3 устойчивость оценивалась еще ниже. Самолет неплохо летел на одном моторе, хотя усилие на ногу на педали было при этом больше, чем на Пе-2.</w:t>
      </w:r>
    </w:p>
    <w:p w14:paraId="43C17C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устойчиво пикировала, но при этом на испытаниях вновь выявился старый дефект - перераскрутка винтов. В одном случае это привело к вынужденной посадке - после выхода из пикирования давление масла упало и не восстановилось. Прочность хвостового колеса оказалась недостаточной - на испытаниях оно разрушалось четыре раза.</w:t>
      </w:r>
    </w:p>
    <w:p w14:paraId="70C374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 дружно ругали тесный фонарь с плохим обзором. Испытатель Стефановский, участвовавший в облете, написал в своем отзыве: "Фонарь кабины совершенно неудовлетворителен по конструкции и требует коренной переделки". Стрелкам-радистам не понравилось размещение радиостанции. Она стояла за спиной радиста, когда он работал с пулеметом. При повороте кресло цеплялось за провода.</w:t>
      </w:r>
    </w:p>
    <w:p w14:paraId="15553D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испытаний проводились учебные бои с истребителями - советским Ла-5 и трофейным Фок- ке-Вульф FW 190. У земли разница в скоростях Ту-2С и "фокке-вульфа" была невелика, но с высотой возрастала. Ла-5" свободно атаковал бомбардировщик с разных ракурсов. Хотя огневая мощь Ту-2С была велика, реальная обороноспособность снижалась из-за недостаточной подвижности и малых углов обстрела стрелковых установок. Блистерная БУШ эффективно работала только между килями. У ВУБ-2 нельзя было высоко задрать ствол пулемета и простреливать верхнюю часть задней полусферы. ЛУ-УБТ имела малые углы обстрела вбок.</w:t>
      </w:r>
    </w:p>
    <w:p w14:paraId="021DA1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самолет № 100716 прошел государственные испытания удовлетворительно и был признан эталоном для серийного производства на 1943 г. Надо сказать, что обозначение Ту-2С использовалось только ОКБ, а все серийные машины по-прежнему именовались Ту-2, с уточнением завода- изготовителя и серии (11988).</w:t>
      </w:r>
    </w:p>
    <w:p w14:paraId="45C9358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7D6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года начальник ЛИИ А.В. Чесалов писал письмо N 534с зам. наркома Авиапрома П.А. Воронину.</w:t>
      </w:r>
    </w:p>
    <w:p w14:paraId="547A0A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Довожу до Вашего сведения результаты контрольных испытаний серийных самолетов, проведенных ЛИИ и филиалом ЦАГИ в августе 1943 года в соответствии с приказом N 915с.</w:t>
      </w:r>
    </w:p>
    <w:p w14:paraId="68F69E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Як-7 N 4925 производства завода N 153, выпуска августа с.г.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53"/>
        <w:gridCol w:w="5103"/>
      </w:tblGrid>
      <w:tr w:rsidR="00A907A5" w:rsidRPr="00271E51" w14:paraId="3C999F87" w14:textId="77777777" w:rsidTr="00ED5B0A">
        <w:tc>
          <w:tcPr>
            <w:tcW w:w="5353" w:type="dxa"/>
          </w:tcPr>
          <w:p w14:paraId="583130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103" w:type="dxa"/>
          </w:tcPr>
          <w:p w14:paraId="721221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2990 кг</w:t>
            </w:r>
          </w:p>
        </w:tc>
      </w:tr>
      <w:tr w:rsidR="00A907A5" w:rsidRPr="00271E51" w14:paraId="485A3B47" w14:textId="77777777" w:rsidTr="00ED5B0A">
        <w:tc>
          <w:tcPr>
            <w:tcW w:w="5353" w:type="dxa"/>
          </w:tcPr>
          <w:p w14:paraId="6C89CFC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7DF558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D999A2" w14:textId="77777777" w:rsidTr="00ED5B0A">
        <w:tc>
          <w:tcPr>
            <w:tcW w:w="5353" w:type="dxa"/>
          </w:tcPr>
          <w:p w14:paraId="48A0E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5103" w:type="dxa"/>
          </w:tcPr>
          <w:p w14:paraId="60AE54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 км/час</w:t>
            </w:r>
          </w:p>
        </w:tc>
      </w:tr>
      <w:tr w:rsidR="00A907A5" w:rsidRPr="00271E51" w14:paraId="61D30A9B" w14:textId="77777777" w:rsidTr="00ED5B0A">
        <w:tc>
          <w:tcPr>
            <w:tcW w:w="5353" w:type="dxa"/>
          </w:tcPr>
          <w:p w14:paraId="28E7AB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5AAE0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ADDD80" w14:textId="77777777" w:rsidTr="00ED5B0A">
        <w:tc>
          <w:tcPr>
            <w:tcW w:w="5353" w:type="dxa"/>
          </w:tcPr>
          <w:p w14:paraId="784AC4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границе</w:t>
            </w:r>
          </w:p>
        </w:tc>
        <w:tc>
          <w:tcPr>
            <w:tcW w:w="5103" w:type="dxa"/>
          </w:tcPr>
          <w:p w14:paraId="676848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9D321B" w14:textId="77777777" w:rsidTr="00ED5B0A">
        <w:tc>
          <w:tcPr>
            <w:tcW w:w="5353" w:type="dxa"/>
          </w:tcPr>
          <w:p w14:paraId="771741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(Н=3950 м)</w:t>
            </w:r>
          </w:p>
        </w:tc>
        <w:tc>
          <w:tcPr>
            <w:tcW w:w="5103" w:type="dxa"/>
          </w:tcPr>
          <w:p w14:paraId="523F83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587 км/час</w:t>
            </w:r>
          </w:p>
        </w:tc>
      </w:tr>
      <w:tr w:rsidR="00A907A5" w:rsidRPr="00271E51" w14:paraId="059FD74F" w14:textId="77777777" w:rsidTr="00ED5B0A">
        <w:tc>
          <w:tcPr>
            <w:tcW w:w="5353" w:type="dxa"/>
          </w:tcPr>
          <w:p w14:paraId="4E982F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5103" w:type="dxa"/>
          </w:tcPr>
          <w:p w14:paraId="3F6E4D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мин.</w:t>
            </w:r>
          </w:p>
        </w:tc>
      </w:tr>
      <w:tr w:rsidR="00A907A5" w:rsidRPr="00271E51" w14:paraId="67D2788C" w14:textId="77777777" w:rsidTr="00ED5B0A">
        <w:tc>
          <w:tcPr>
            <w:tcW w:w="5353" w:type="dxa"/>
          </w:tcPr>
          <w:p w14:paraId="6013A0D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 Як-9т производства завода N 153 выпуска августа с.г.</w:t>
            </w:r>
          </w:p>
        </w:tc>
        <w:tc>
          <w:tcPr>
            <w:tcW w:w="5103" w:type="dxa"/>
          </w:tcPr>
          <w:p w14:paraId="6C0DC8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8A2CFB" w14:textId="77777777" w:rsidTr="00ED5B0A">
        <w:tc>
          <w:tcPr>
            <w:tcW w:w="5353" w:type="dxa"/>
          </w:tcPr>
          <w:p w14:paraId="106771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103" w:type="dxa"/>
          </w:tcPr>
          <w:p w14:paraId="6B855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3044 кг</w:t>
            </w:r>
          </w:p>
        </w:tc>
      </w:tr>
      <w:tr w:rsidR="00A907A5" w:rsidRPr="00271E51" w14:paraId="7F0C1A1E" w14:textId="77777777" w:rsidTr="00ED5B0A">
        <w:tc>
          <w:tcPr>
            <w:tcW w:w="5353" w:type="dxa"/>
          </w:tcPr>
          <w:p w14:paraId="50EC80F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1C1C26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BF2D66" w14:textId="77777777" w:rsidTr="00ED5B0A">
        <w:tc>
          <w:tcPr>
            <w:tcW w:w="5353" w:type="dxa"/>
          </w:tcPr>
          <w:p w14:paraId="0E52DA5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5103" w:type="dxa"/>
          </w:tcPr>
          <w:p w14:paraId="1B8E6B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 км/час</w:t>
            </w:r>
          </w:p>
        </w:tc>
      </w:tr>
      <w:tr w:rsidR="00A907A5" w:rsidRPr="00271E51" w14:paraId="1011A5E4" w14:textId="77777777" w:rsidTr="00ED5B0A">
        <w:tc>
          <w:tcPr>
            <w:tcW w:w="5353" w:type="dxa"/>
          </w:tcPr>
          <w:p w14:paraId="5E3D6D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75992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B18A0D" w14:textId="77777777" w:rsidTr="00ED5B0A">
        <w:tc>
          <w:tcPr>
            <w:tcW w:w="5353" w:type="dxa"/>
          </w:tcPr>
          <w:p w14:paraId="1015C7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границе</w:t>
            </w:r>
          </w:p>
        </w:tc>
        <w:tc>
          <w:tcPr>
            <w:tcW w:w="5103" w:type="dxa"/>
          </w:tcPr>
          <w:p w14:paraId="2E9F41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DC05A6" w14:textId="77777777" w:rsidTr="00ED5B0A">
        <w:tc>
          <w:tcPr>
            <w:tcW w:w="5353" w:type="dxa"/>
          </w:tcPr>
          <w:p w14:paraId="6C09E3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(Н=3800 м)</w:t>
            </w:r>
          </w:p>
        </w:tc>
        <w:tc>
          <w:tcPr>
            <w:tcW w:w="5103" w:type="dxa"/>
          </w:tcPr>
          <w:p w14:paraId="5276CE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 км/час</w:t>
            </w:r>
          </w:p>
        </w:tc>
      </w:tr>
      <w:tr w:rsidR="00A907A5" w:rsidRPr="00271E51" w14:paraId="75CC80E5" w14:textId="77777777" w:rsidTr="00ED5B0A">
        <w:tc>
          <w:tcPr>
            <w:tcW w:w="5353" w:type="dxa"/>
          </w:tcPr>
          <w:p w14:paraId="3DD177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5103" w:type="dxa"/>
          </w:tcPr>
          <w:p w14:paraId="27DA1E6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 мин.</w:t>
            </w:r>
          </w:p>
        </w:tc>
      </w:tr>
      <w:tr w:rsidR="00A907A5" w:rsidRPr="00271E51" w14:paraId="00D68FED" w14:textId="77777777" w:rsidTr="00ED5B0A">
        <w:tc>
          <w:tcPr>
            <w:tcW w:w="5353" w:type="dxa"/>
          </w:tcPr>
          <w:p w14:paraId="4179D5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выяснения причин ухудшения</w:t>
            </w:r>
          </w:p>
        </w:tc>
        <w:tc>
          <w:tcPr>
            <w:tcW w:w="5103" w:type="dxa"/>
          </w:tcPr>
          <w:p w14:paraId="7A03D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1B54E3" w14:textId="77777777" w:rsidTr="00ED5B0A">
        <w:tc>
          <w:tcPr>
            <w:tcW w:w="5353" w:type="dxa"/>
          </w:tcPr>
          <w:p w14:paraId="425C2F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летных данных на заводе N 153</w:t>
            </w:r>
          </w:p>
        </w:tc>
        <w:tc>
          <w:tcPr>
            <w:tcW w:w="5103" w:type="dxa"/>
          </w:tcPr>
          <w:p w14:paraId="65A911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3C1362" w14:textId="77777777" w:rsidTr="00ED5B0A">
        <w:tc>
          <w:tcPr>
            <w:tcW w:w="5353" w:type="dxa"/>
          </w:tcPr>
          <w:p w14:paraId="0D944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бригадой филиала ЦАГИ проводятся</w:t>
            </w:r>
          </w:p>
        </w:tc>
        <w:tc>
          <w:tcPr>
            <w:tcW w:w="5103" w:type="dxa"/>
          </w:tcPr>
          <w:p w14:paraId="0BE6118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900BF2" w14:textId="77777777" w:rsidTr="00ED5B0A">
        <w:tc>
          <w:tcPr>
            <w:tcW w:w="5353" w:type="dxa"/>
          </w:tcPr>
          <w:p w14:paraId="5FC063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дополнительные испытания.</w:t>
            </w:r>
          </w:p>
        </w:tc>
        <w:tc>
          <w:tcPr>
            <w:tcW w:w="5103" w:type="dxa"/>
          </w:tcPr>
          <w:p w14:paraId="72A9A7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33A70C" w14:textId="77777777" w:rsidTr="00ED5B0A">
        <w:tc>
          <w:tcPr>
            <w:tcW w:w="5353" w:type="dxa"/>
          </w:tcPr>
          <w:p w14:paraId="3E2741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Самолет Як-1 N 23148 производства завода N 292 выпуска августа с.г.</w:t>
            </w:r>
          </w:p>
        </w:tc>
        <w:tc>
          <w:tcPr>
            <w:tcW w:w="5103" w:type="dxa"/>
          </w:tcPr>
          <w:p w14:paraId="0318A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1240F0" w14:textId="77777777" w:rsidTr="00ED5B0A">
        <w:tc>
          <w:tcPr>
            <w:tcW w:w="5353" w:type="dxa"/>
          </w:tcPr>
          <w:p w14:paraId="2C9C61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103" w:type="dxa"/>
          </w:tcPr>
          <w:p w14:paraId="06621D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2882 кг</w:t>
            </w:r>
          </w:p>
        </w:tc>
      </w:tr>
      <w:tr w:rsidR="00A907A5" w:rsidRPr="00271E51" w14:paraId="54F1C09A" w14:textId="77777777" w:rsidTr="00ED5B0A">
        <w:tc>
          <w:tcPr>
            <w:tcW w:w="5353" w:type="dxa"/>
          </w:tcPr>
          <w:p w14:paraId="405233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2C7D10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945B60" w14:textId="77777777" w:rsidTr="00ED5B0A">
        <w:tc>
          <w:tcPr>
            <w:tcW w:w="5353" w:type="dxa"/>
          </w:tcPr>
          <w:p w14:paraId="5976AE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5103" w:type="dxa"/>
          </w:tcPr>
          <w:p w14:paraId="39184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516 км/час</w:t>
            </w:r>
          </w:p>
        </w:tc>
      </w:tr>
      <w:tr w:rsidR="00A907A5" w:rsidRPr="00271E51" w14:paraId="644396F6" w14:textId="77777777" w:rsidTr="00ED5B0A">
        <w:tc>
          <w:tcPr>
            <w:tcW w:w="5353" w:type="dxa"/>
          </w:tcPr>
          <w:p w14:paraId="1D826A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5103" w:type="dxa"/>
          </w:tcPr>
          <w:p w14:paraId="2F4E27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8B6D69" w14:textId="77777777" w:rsidTr="00ED5B0A">
        <w:tc>
          <w:tcPr>
            <w:tcW w:w="5353" w:type="dxa"/>
          </w:tcPr>
          <w:p w14:paraId="100352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границе</w:t>
            </w:r>
          </w:p>
        </w:tc>
        <w:tc>
          <w:tcPr>
            <w:tcW w:w="5103" w:type="dxa"/>
          </w:tcPr>
          <w:p w14:paraId="6A8990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D01C36" w14:textId="77777777" w:rsidTr="00ED5B0A">
        <w:tc>
          <w:tcPr>
            <w:tcW w:w="5353" w:type="dxa"/>
          </w:tcPr>
          <w:p w14:paraId="11F11D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(Н=3950 м)</w:t>
            </w:r>
          </w:p>
        </w:tc>
        <w:tc>
          <w:tcPr>
            <w:tcW w:w="5103" w:type="dxa"/>
          </w:tcPr>
          <w:p w14:paraId="6A0689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589 км/час</w:t>
            </w:r>
          </w:p>
        </w:tc>
      </w:tr>
      <w:tr w:rsidR="00A907A5" w:rsidRPr="00271E51" w14:paraId="1E5A9F1A" w14:textId="77777777" w:rsidTr="00ED5B0A">
        <w:tc>
          <w:tcPr>
            <w:tcW w:w="5353" w:type="dxa"/>
          </w:tcPr>
          <w:p w14:paraId="25D707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5103" w:type="dxa"/>
          </w:tcPr>
          <w:p w14:paraId="453F09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мин.</w:t>
            </w:r>
          </w:p>
        </w:tc>
      </w:tr>
    </w:tbl>
    <w:p w14:paraId="15967A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Ухудшение летных данных по сравнению с самолетами предыдущих выпусков объясняется наличием ряда производственных дефектов, из которых основными являются следующие:</w:t>
      </w:r>
    </w:p>
    <w:p w14:paraId="48F468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Вследствие плохой регулировки отсасывается в полете левый посадочный щиток на 15 мм и отстает от поверхности крыла щиток шасси (на 10 мм);</w:t>
      </w:r>
    </w:p>
    <w:p w14:paraId="636CCA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Автомат наддува на заводе отрегулирован, как и для большинства моторов, на нижний предел Рк=1020 мм рт. ст. у земли вместо Рк=1050 мм рт. ст.</w:t>
      </w:r>
    </w:p>
    <w:p w14:paraId="5F8ECA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устранения основных дефектов максимальная скорость самолета у земли достигла величины 531 км/час.</w:t>
      </w:r>
    </w:p>
    <w:p w14:paraId="040CC1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в ЛИИ проводятся дополнительные испытания самолета с целью определения летных данных после устранения всех дефектов самолета.</w:t>
      </w:r>
    </w:p>
    <w:p w14:paraId="78724E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 Ла-5 М-82 Ф N 39213718 Ф производства завода N 21 выпуска августа с.г.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361A2E17" w14:textId="77777777" w:rsidTr="00ED5B0A">
        <w:tc>
          <w:tcPr>
            <w:tcW w:w="3757" w:type="dxa"/>
          </w:tcPr>
          <w:p w14:paraId="5447C2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757" w:type="dxa"/>
          </w:tcPr>
          <w:p w14:paraId="5FED85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3230 кг</w:t>
            </w:r>
          </w:p>
        </w:tc>
      </w:tr>
      <w:tr w:rsidR="00A907A5" w:rsidRPr="00271E51" w14:paraId="3216FF3B" w14:textId="77777777" w:rsidTr="00ED5B0A">
        <w:tc>
          <w:tcPr>
            <w:tcW w:w="3757" w:type="dxa"/>
          </w:tcPr>
          <w:p w14:paraId="25670B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3757" w:type="dxa"/>
          </w:tcPr>
          <w:p w14:paraId="7D1F3A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BAF626" w14:textId="77777777" w:rsidTr="00ED5B0A">
        <w:tc>
          <w:tcPr>
            <w:tcW w:w="3757" w:type="dxa"/>
          </w:tcPr>
          <w:p w14:paraId="374A4E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3757" w:type="dxa"/>
          </w:tcPr>
          <w:p w14:paraId="38B55C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 км/час</w:t>
            </w:r>
          </w:p>
        </w:tc>
      </w:tr>
      <w:tr w:rsidR="00A907A5" w:rsidRPr="00271E51" w14:paraId="324784EC" w14:textId="77777777" w:rsidTr="00ED5B0A">
        <w:tc>
          <w:tcPr>
            <w:tcW w:w="3757" w:type="dxa"/>
          </w:tcPr>
          <w:p w14:paraId="3F81C1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3757" w:type="dxa"/>
          </w:tcPr>
          <w:p w14:paraId="6FEB55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336FBE" w14:textId="77777777" w:rsidTr="00ED5B0A">
        <w:tc>
          <w:tcPr>
            <w:tcW w:w="3757" w:type="dxa"/>
          </w:tcPr>
          <w:p w14:paraId="7CC317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границе</w:t>
            </w:r>
          </w:p>
        </w:tc>
        <w:tc>
          <w:tcPr>
            <w:tcW w:w="3757" w:type="dxa"/>
          </w:tcPr>
          <w:p w14:paraId="63691A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7FD593" w14:textId="77777777" w:rsidTr="00ED5B0A">
        <w:tc>
          <w:tcPr>
            <w:tcW w:w="3757" w:type="dxa"/>
          </w:tcPr>
          <w:p w14:paraId="1A52B6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(Н=6050 м)</w:t>
            </w:r>
          </w:p>
        </w:tc>
        <w:tc>
          <w:tcPr>
            <w:tcW w:w="3757" w:type="dxa"/>
          </w:tcPr>
          <w:p w14:paraId="723E63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 км/час</w:t>
            </w:r>
          </w:p>
        </w:tc>
      </w:tr>
      <w:tr w:rsidR="00A907A5" w:rsidRPr="00271E51" w14:paraId="7991225C" w14:textId="77777777" w:rsidTr="00ED5B0A">
        <w:tc>
          <w:tcPr>
            <w:tcW w:w="3757" w:type="dxa"/>
          </w:tcPr>
          <w:p w14:paraId="69313E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3757" w:type="dxa"/>
          </w:tcPr>
          <w:p w14:paraId="21489B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мин.</w:t>
            </w:r>
          </w:p>
        </w:tc>
      </w:tr>
    </w:tbl>
    <w:p w14:paraId="4FE02DE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Самолет имеет следующие основные дефекты:</w:t>
      </w:r>
    </w:p>
    <w:p w14:paraId="664D5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Температура головок цилиндров превышает максимально-допустимую величину. Причина дефекта выясняется.</w:t>
      </w:r>
    </w:p>
    <w:p w14:paraId="3F2C508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Вследствие неправильной регулировки тяг управления на ряде самолетов, дроссельные заслонки карбюратора открываются неполностью, что приводит к снижению границы высотности.</w:t>
      </w:r>
    </w:p>
    <w:p w14:paraId="2219D9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Испытания самолета ЛАГГ-3 на заводе N 31 еще не закончены (1783).</w:t>
      </w:r>
    </w:p>
    <w:p w14:paraId="54BA05E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03E4F" w14:textId="77777777" w:rsidR="004E13DD" w:rsidRPr="00271E51" w:rsidRDefault="004E13DD"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2 сентября (по 16 декабря) 1943 года</w:t>
      </w:r>
      <w:r w:rsidRPr="00271E51">
        <w:rPr>
          <w:rStyle w:val="ucoz-forum-post"/>
          <w:rFonts w:ascii="Times New Roman" w:eastAsia="Times New Roman" w:hAnsi="Times New Roman"/>
          <w:color w:val="000000" w:themeColor="text1"/>
          <w:sz w:val="16"/>
          <w:szCs w:val="16"/>
        </w:rPr>
        <w:t xml:space="preserve"> Начались совместные Государственные и заводские испытания самолета Ту-2 №716.</w:t>
      </w:r>
    </w:p>
    <w:p w14:paraId="75E35807" w14:textId="77777777" w:rsidR="004E13DD" w:rsidRPr="00271E51" w:rsidRDefault="004E13DD"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По постановлению ГКО №3754 от 17 июля 1 943 года Ту-2 должен был иметь максимальную скорость 550 км/ч, потолок 9000 м, дальность полета 2000 км, набирать высоту 5000 м за 10 минут. На испытаниях машина показала скорость 547 км/ч, потолок 9500 м. Время набора высоты 5000 м оказалось на полминуты меньше, чем требовалось, а дальность - на 100 км больше.</w:t>
      </w:r>
    </w:p>
    <w:p w14:paraId="2DB50426" w14:textId="77777777" w:rsidR="004E13DD" w:rsidRPr="00271E51" w:rsidRDefault="004E13DD"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По результатам испытаний НИИ ВВС сделало заключение, что самолет Ту-2 №716 имеет лучшие летно-технические данные, чем однотипные бомбардировщики как отечественные, так и заграничные, и что основные данные самолета по скорости, потолку и дальности соответствуют требованиям ВВС и постановлению ГКО. Самолет приняли в качестве эталона для серийной постройки на заводе №23 на 1943-1944 годы (14757).</w:t>
      </w:r>
    </w:p>
    <w:p w14:paraId="146CE62C" w14:textId="77777777" w:rsidR="004E13DD" w:rsidRPr="00271E51" w:rsidRDefault="004E13DD" w:rsidP="00271E51">
      <w:pPr>
        <w:spacing w:after="0" w:line="240" w:lineRule="auto"/>
        <w:jc w:val="both"/>
        <w:rPr>
          <w:rStyle w:val="ucoz-forum-post"/>
          <w:rFonts w:ascii="Times New Roman" w:eastAsia="Times New Roman" w:hAnsi="Times New Roman"/>
          <w:color w:val="000000" w:themeColor="text1"/>
          <w:sz w:val="16"/>
          <w:szCs w:val="16"/>
        </w:rPr>
      </w:pPr>
    </w:p>
    <w:p w14:paraId="30C6DA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начались восстановительные работы на Таганрогском авиазаводе. В июле-августе фашисты уходя, взорвали основные цеха завода. Героическими усилиями тысяч авиастроителей завод, получивший №86, был в основном восстановлен к 1950 г. Но еще в годы войны и разрухи в оставшихся цехах шли ремонтные работы, а многие заводчане в составе фронтовых авиаремонтных бригад ремонтировали боевые самолеты (12044).</w:t>
      </w:r>
    </w:p>
    <w:p w14:paraId="57BC73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B9CE1"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9AE5D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56F0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была подготовлена справка:</w:t>
      </w:r>
    </w:p>
    <w:p w14:paraId="0F5ABA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НАРОДНОМУ КОМИССАРУ ТАНКОВОЙ ПРОМЫШЛЕННОСТИ т. ЗАЛЬЦМАНУ</w:t>
      </w:r>
    </w:p>
    <w:p w14:paraId="26B9D0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ГБТУ КА т. ФЕДОРЕНКО</w:t>
      </w:r>
    </w:p>
    <w:p w14:paraId="4192E0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ПО РЕЗУЛЬТАТАМ ФРОНТОВЫХ ИСПЫТАНИЙ НОВЫХ ОБРАЗЦОВ ТАНКОВ</w:t>
      </w:r>
    </w:p>
    <w:p w14:paraId="3AAD65F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“ОСОБОЙ ТАНКОВОЙ РОТЫ № 100 НКТП СССР”</w:t>
      </w:r>
    </w:p>
    <w:p w14:paraId="292DD15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ТАНКАМ Т-43 СЕРИЙНЫЙ</w:t>
      </w:r>
    </w:p>
    <w:p w14:paraId="5DC475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броневой защите. Броневая защита корпуса и башни отвечают поставленным требованиям, так как обстрел взвода немецкими ПТП калибра 75-мм с дистанции 800 м, вреда танкам не произвел, в то время, как в машине № 002 обнаружено 11 снарядных отметин глубиной до 40 мм. Машина полностью исправна.</w:t>
      </w:r>
    </w:p>
    <w:p w14:paraId="54DBD4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вооружению. Вооружение танка из 7 б,2-мм танковой пушки обр. 40 на сегодняшний день недостаточно мощное. Обстрелы корпусов брошенных и подбитых вражеских танков и САУ показывают, что на дистанции 600 ми более, можно успешно вести обстрел только бортов и кормы большинства встреченных образцов немецких фашистских танков. Требуется увеличение мощности вооружения...</w:t>
      </w:r>
    </w:p>
    <w:p w14:paraId="106439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 проходимости и запасу хода. Проходимость танка находится на уровне проходимости Т-34 и практически не отличается от нее... Запас хода на внутренних баках не достаточен.</w:t>
      </w:r>
    </w:p>
    <w:p w14:paraId="6FF00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 скорости. Скоростные данные танка по дорогам находятся на уровне Т-34. Вне дорог скорость и простота управления выше всяческих похвал. Несомненно, в лице Т-43 мы имеем сегодня скоростной танк, способный вне дорог состязаться с легкими танками типа Т-70...</w:t>
      </w:r>
    </w:p>
    <w:p w14:paraId="666307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По рабочему месту командира танка. Обзор из танка хороший, но командиру танка для детальной разведки целей недостает вращающегося наблюдательного прибора с увеличением х2-х4. Наилучшее решение на наш взгляд - перископ артиллерийского разведчика, или артиллерийская стереотруба...</w:t>
      </w:r>
    </w:p>
    <w:p w14:paraId="002F5E3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Сиденье командира танка необходимо отодвинуть назад на 250-350 мм, чтобы он не мешал работе командира орудия (колени командира танка упираются в спину командира орудия)...</w:t>
      </w:r>
    </w:p>
    <w:p w14:paraId="343DA7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Крепление радиостанции перенести выше на 150-200 мм, чтобы он не мешала нормальной работе командира.</w:t>
      </w:r>
    </w:p>
    <w:p w14:paraId="3C58D6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Желательно дать возможность командиру брать управление вращением башни на себя, что в условии ее вращения электромотором нетрудно выполнить... Такое управление упростит целеуказание при ведении скоротечного боя...</w:t>
      </w:r>
    </w:p>
    <w:p w14:paraId="3716AC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 командира неуравновешен и трудно открывается/закрывается при необходимости. Необходим механизм, уравновешивающий крышку люка, или изменение ее конструкции для облегчения открывания.</w:t>
      </w:r>
    </w:p>
    <w:p w14:paraId="7BD6E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По рабочему месту командира орудия. Ноги на ножном спуске орудия и пулемета держатся неустойчиво. Считаем, что немецкий ручной спусковой механизм более удобен в эксплоатации...</w:t>
      </w:r>
    </w:p>
    <w:p w14:paraId="7D9E98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 указатель заряжания орудия, чтобы предотвратить ложные спуски при открытом орудии...</w:t>
      </w:r>
    </w:p>
    <w:p w14:paraId="483C11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По рабочему месту механика-водителя. Никаких особенностей по сравнению с работой на танке Т-34 механики-водители не высказали. Утомляемость их при управлении Т-43 меньше, чем Т-34...</w:t>
      </w:r>
    </w:p>
    <w:p w14:paraId="4381C3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РОТЫ, КАПИТАН /ВОЛОСАТОВ/</w:t>
      </w:r>
    </w:p>
    <w:p w14:paraId="642E1E9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БТУ, ИНЖ.-П.П-К /ЗАЙЦЕВ/</w:t>
      </w:r>
    </w:p>
    <w:p w14:paraId="58575F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20/lX-c.r.</w:t>
      </w:r>
    </w:p>
    <w:p w14:paraId="2B0A59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верно (подпись) (7637,37).</w:t>
      </w:r>
    </w:p>
    <w:p w14:paraId="4714C5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71155" w14:textId="77777777" w:rsidR="004E6958" w:rsidRPr="00271E51" w:rsidRDefault="004E69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сентября 1943 г. начальник танкового управления ГБТУ КА генерал-майор инженерно-танковой службы С.А. Афонин в заключении по рассмотрению предварительных результатов полигонных испытаний опытных образцов танков Т-43, в частности, отметил следующее: «Предварительное заключение комиссии по полигонным испытаниям опытных образцов танков Т-43, рекомендующее танк Т-43 на серийное производство является правильным» (21209).</w:t>
      </w:r>
    </w:p>
    <w:p w14:paraId="39B0C67E" w14:textId="77777777" w:rsidR="004E6958" w:rsidRPr="00271E51" w:rsidRDefault="004E6958" w:rsidP="00271E51">
      <w:pPr>
        <w:spacing w:after="0" w:line="240" w:lineRule="auto"/>
        <w:jc w:val="both"/>
        <w:rPr>
          <w:rFonts w:ascii="Times New Roman" w:hAnsi="Times New Roman"/>
          <w:color w:val="0070C0"/>
          <w:sz w:val="16"/>
          <w:szCs w:val="16"/>
        </w:rPr>
      </w:pPr>
    </w:p>
    <w:p w14:paraId="02DED867"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2 сентября 1943 года, когда на заводе №40 выпуск Т-80 был прекращён и началась подготовка к выпуску СУ-15М на Гороховецкий АНИОП прибыла ВТ-43, посталенная в один из Т-80 выпуска ГАЗ им. Молотова. Тем не менее, 27 сентября начались испытания, которые продолжались до 15 октября. Всего из новой пушки было произведено 850 выстрелов, из которых 309 — с использованием усиленного заряда, 319 — бронебойными снарядами при нормальном заряде, 71 — подкалиберными снарядами и 151 — осколочно-фугасными. Результаты стрельбы показали вполне удовлетворительные живучесть ствола и кучность. Некоторые замечания имелись к работе полуавтоматики. Откатные механизмы, переделанные под более мощную систему, работали нормально. Не имелось претензий и к механизмам наводки. Средняя скорострельность составила 12-13 выстрелов в минуту.</w:t>
      </w:r>
    </w:p>
    <w:p w14:paraId="3A209FD7"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целом система испытания выдержала, но она явно опоздала. Тем удивительно то, что в апреле 1944 года проводились ещё одни испытания. На сей раз изучалась возможность зенитной стрельбы из ВТ-43. Проведённые опыты показали, что эффективность использования Т-80 в качестве ЗСУ низкая. Сам факт проведения этих испытаний вызывает некоторое недоумение, поскольку их результаты вполне были предсказуемы. Да и какой смысл был в испытаниях танка, который сняли с производства ещё в конце августа 1943 года? (17712).</w:t>
      </w:r>
    </w:p>
    <w:p w14:paraId="10A0CC55" w14:textId="77777777" w:rsidR="00D56E4E" w:rsidRPr="00271E51" w:rsidRDefault="00D56E4E" w:rsidP="00271E51">
      <w:pPr>
        <w:spacing w:after="0" w:line="240" w:lineRule="auto"/>
        <w:jc w:val="both"/>
        <w:rPr>
          <w:rFonts w:ascii="Times New Roman" w:hAnsi="Times New Roman"/>
          <w:color w:val="000000" w:themeColor="text1"/>
          <w:sz w:val="16"/>
          <w:szCs w:val="16"/>
        </w:rPr>
      </w:pPr>
    </w:p>
    <w:p w14:paraId="03CB9F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года была подготовлена справка:</w:t>
      </w:r>
    </w:p>
    <w:p w14:paraId="35B14F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Правительства Ленинградский завод им. Энгельса в конце 1942 года все свое оборудование перебазировал в Коломну на завод № 819 НКМВ (производство текстильных машин и боеприпасов) (9274).</w:t>
      </w:r>
    </w:p>
    <w:p w14:paraId="6E4D69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2F51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вышло Постановление ГКО № 4023 Об общем плане перевозок народнохозяйственных и воинских грузов по железнодорожному и водному транспорту на сентябрь 1943 года. (7135, 272).</w:t>
      </w:r>
    </w:p>
    <w:p w14:paraId="7A11092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993E4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вышло Постановление ГКО № 4024 О плане перевозок народнохозяйственных грузов по железнодорожному и водному транспорту на сентябрь 1943 года. (7136, 1-6,7-205).</w:t>
      </w:r>
    </w:p>
    <w:p w14:paraId="63F67E8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215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вышло Постановление ГКО № 4025 О завозе угля в г. Москву в сентябре и октябре 1943 г.РГАНИР, Фонд ГКО, д. 149, лл. 1-4, 5-7 (11012).</w:t>
      </w:r>
    </w:p>
    <w:p w14:paraId="07D743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6DF8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Армия:</w:t>
      </w:r>
    </w:p>
    <w:p w14:paraId="1C2ABB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7413CC"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 сентября </w:t>
      </w:r>
      <w:r w:rsidRPr="00271E51">
        <w:rPr>
          <w:rFonts w:ascii="Times New Roman" w:hAnsi="Times New Roman"/>
          <w:color w:val="000000" w:themeColor="text1"/>
          <w:sz w:val="16"/>
          <w:szCs w:val="16"/>
        </w:rPr>
        <w:t>в 1943 году оперативная сводка Совинформбюро:</w:t>
      </w:r>
    </w:p>
    <w:p w14:paraId="36284EE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Воронежского фронта 2 сентября овладели важным областным центром Украины — городом Сумы.</w:t>
      </w:r>
    </w:p>
    <w:p w14:paraId="4367CCE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заняли свыше 130 населённых пунктов, в том числе овладели городом Кролевец, районным центром Сумской области Ямполь, районным центром Курской области Глушково.</w:t>
      </w:r>
    </w:p>
    <w:p w14:paraId="002DBE93"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Курская область полностью освобождена от немецко-фашистских захватчиков.</w:t>
      </w:r>
    </w:p>
    <w:p w14:paraId="75F4C765"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продолжали успешно развивать наступление и овладели городом Лисичанск, городом Ворошиловск, городом Чистяково, городом Новый Донбасс, районным центром Славяносербск и крупными населёнными пунктами Нижнее, Черкасское, Родаково, Петрово-Красно-Селье, Красный Кут.</w:t>
      </w:r>
    </w:p>
    <w:p w14:paraId="4A925E2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наступающие вдоль побережья Азовского моря, овладели городом Будённовка.</w:t>
      </w:r>
    </w:p>
    <w:p w14:paraId="6C33257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развивать наступление и, продвинувшись на отдельных участках от 6 до 10 километров, заняли свыше 100 населённых пунктов.</w:t>
      </w:r>
    </w:p>
    <w:p w14:paraId="0131D0A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преодолевая сопротивление и контратаки противника, заняли несколько населённых пунктов.</w:t>
      </w:r>
    </w:p>
    <w:p w14:paraId="6F1F5363"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сентября наши войска на всех фронтах подбили и уничтожили 108 немецких танков. В воздушных боях и огнём зенитной артиллерии сбит 51 самолёт противника.</w:t>
      </w:r>
    </w:p>
    <w:p w14:paraId="1FCEF54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Воронежского фронта в результате боёв с противником сегодня овладели городом Сумы. Важный областной центр Украинской республики освобождён от немецко-фашистских захватчиков.</w:t>
      </w:r>
    </w:p>
    <w:p w14:paraId="61A5656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Харькова наши войска, преодолевая упорное сопротивление немцев, продвинулись вперёд и заняли несколько населённых пунктов. В бою за один из этих пунктов истреблено до 600 немецких солдат и офицеров, подбито 12 танков и уничтожено 10 орудий противника. На другом участке противник бросил в контратаку 20 танков и батальон пехоты. Советские артиллеристы встретили врага мощным огнём, уничтожили 9 танков и более 200 гитлеровцев. Немцы были вынуждены поспешно отступить.</w:t>
      </w:r>
    </w:p>
    <w:p w14:paraId="21305034"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бойцы Н-ской части решительной атакой выбили противника из сильно укреплённого опорного пункта, уничтожив при этом 10 танков и несколько сот гитлеровцев. Захвачен немецкий тяжёлый танк «Тигр», 5 орудий и другие трофеи.</w:t>
      </w:r>
    </w:p>
    <w:p w14:paraId="55819350"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успешное наступление. За день боёв нашими частями занято свыше 130 населённых пунктов, в том числе город и железнодорожная станция Кролевец, районный центр и железнодорожная станция Ямполь, районный центр Глушково.</w:t>
      </w:r>
    </w:p>
    <w:p w14:paraId="66FD354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западнее Севска части Н-ского соединения, отбивая контратаки противника, уничтожили 1.200 немецких солдат и офицеров. За два дня боёв на этом участке захвачено 24 орудия, склад имущества связи, 8 складов боеприпасов, 2 продовольственных склада и другие трофеи. Взято свыше 100 пленных.</w:t>
      </w:r>
    </w:p>
    <w:p w14:paraId="1AF2077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Севска наши войска продолжали с боями продвигаться вперёд. Советские части наносят непрерывные удары потрёпанным дивизиям противника, не давая им возможности оторваться от преследования и организовать оборону. Бойцы Н-ского соединения истребили до 2.000 немецких солдат и офицеров, уничтожили 11 танков, 16 орудий и 96 автомашин противника. Захвачены большие трофеи и пленные.</w:t>
      </w:r>
    </w:p>
    <w:p w14:paraId="521520D1"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развивая наступление, заняли город Лисичанск, город Ворошиловск, город Чистякове, город Новый Донбасс, районный центр Славяносербски ряд крупных населённых пунктов.</w:t>
      </w:r>
    </w:p>
    <w:p w14:paraId="0F98E1CC"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Освобождая города и шахты Донбасса, наши войска самоотверженно бьют немецко-фашистских захватчиков. Прорвав оборону противника, части Н-ского соединения быстро продвигались вперёд и выбили немцев из ряда очень важных пунктов, упорно оборонявшихся ими в течение длительного времени. Огнём советской артиллерии разбиты многочисленные дзоты и другие оборонительные сооружения противника. Немецкие войска несут тяжёлые потери в живой силе и в технике. Захвачены большие трофеи.</w:t>
      </w:r>
    </w:p>
    <w:p w14:paraId="771B09DA"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побережье Азовского моря Н-ская часть, преследуя противника, истребила 600 гитлеровцев и захватила 9 орудий, 64 пулемёта, 40 автомашин и другие трофеи.</w:t>
      </w:r>
    </w:p>
    <w:p w14:paraId="6355D99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и заняли свыше 100 населённых пунктов. Западнее Дорогобужа немцы предприняли несколько контратак, но, потеряв только убитыми до 400 солдат и офицеров, в беспорядке отступили. Западнее и южнее Ельни противник, подбросив свежие подкрепления, оказывает упорное сопротивление. Однако все попытки гитлеровцев остановить наши наступающие части потерпели неудачу. Наши войска вновь продвинулись вперёд и заняли ряд населённых пунктов. В течение дня уничтожено до 4.000 немецких солдати офицеров, подбито и сожжено 44 танка, уничтожено 33 полевых и 12 самоходных орудий, 140 автомашин с военными грузами. Захвачено у противника 38 орудий, 14 шестиствольных миномётов, 84 пулемёта, 14 радиостанций, 8 разных складов, 15 вагонов с боеприпасами и другие трофеи. Взяты пленные.</w:t>
      </w:r>
    </w:p>
    <w:p w14:paraId="6F8A721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Барановичской области, в течение месяца вели ожесточённые бои с противником. Немцы бросили против партизан крупные силы пехоты. Советские патриоты, нанося врагу внезапные удары, убили и ранили до 2.000 гитлеровцев. Уничтожено 2 немецких танка, 2 бронемашины, 60 грузовых и легковых автомашин. За это же время барановичские партизаны пустили под откос 37 немецких воинских эшелонов.</w:t>
      </w:r>
    </w:p>
    <w:p w14:paraId="2D48BC1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на сторону Красной Армии перешли 6 солдат, служивших в 56 немецкой пехотной дивизии. Все перебежчики — французы, уроженцы Эльзаса. Марсель Л. и Жан Н. рассказали: «В январе немецкие военные власти призвали французскую молодёжь на военную службу. Мобилизация встретила решительное противодействие со стороны населения. Тысячи молодых людей уклонились от призыва и скрылись. Жестокими мерами немцы пытались сломить сопротивление эльзасцев. Многие жители арестованы. Немецкие оккупанты увезли в концентрационный лагерь больше половины жителей деревни Хагенталь. В деревне Балерсдорф гитлеровцы расстреляли двух братьев Вист, отказавшихся служить в немецкой армии. В деревне Сентлюдвиг близ Мюльгаузена немцы арестовали семью крестьянина Хениг за то, что его сын, скрываясь от мобилизации, бежал в Швейцарию. Несмотря на свирепый террор,население не покорилось немцам. В городах и сёлах Эльзаса идёт глухая борьба против ненавистных немецких оккупантов. Группы патриотов взрывают железнодорожные сооружения, поджигают военные склады, убивают немецких солдат, офицеров и гестаповцев. Мы ехали в Россию с твёрдым намерением при первой же возможности перейти на сторону Красной Армии. На фронте мы пробыли всего лишь несколько дней и перешли на сторону русских. Какое счастье, что нам удалось избавиться от службы в немецкой армии! Теперь мы готовы в любой момент с оружием в руках драться против немцев» (14757).</w:t>
      </w:r>
    </w:p>
    <w:p w14:paraId="5A63C9FE"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4148EB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 в приказе № 0192 от командующий ВВС КА маршал А.А. Новиков отмечал, что бомбардировочные соединения ВВС и Резерва Ставки ВГК "в практике боевых действий недостаточно и неуверенно применяют метод бомбометания с пикирования, чем резко снижается эффективность поражения объектов, подвергающихся нашим бомбардировочным ударам, и полностью не используются тактико-технические данные самолета Пе-2". Командующий, в частности, потребовал к 1 октября 1943 г. обучить применению с пикирования по одному полку в каждой дивизии, а к началу 1944 г. уже все части, вооруженные "пешками".</w:t>
      </w:r>
    </w:p>
    <w:p w14:paraId="2588A3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этого учебная работа в бомбардировочных дивизиях и корпусах развернулась гораздо шире, причем в частях 1-го бак она получила поистине огромный размах. Для полбинцев стало правилом при возвращении с боевого задания над своей территорией производить в целях тренировки по три- четыре пикирования с перестроением боевых порядков. В одном из приказов по соединению командир корпуса разрешил таким образом завершать выполнение боевого задания только тем летчикам, чьи самолеты в ходе вылета не получили повреждений от огня неприятельских истребителей или зениток.</w:t>
      </w:r>
    </w:p>
    <w:p w14:paraId="05E316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Поддерживая войска 7-й гв. армии на Днепровском плацдарме, группы бомбардировщиков во главе с полковниками И.С. Полбиным, Ф.И. Добышем и Г.В. Гри- бакиным в последних числах сентября 1943 г. впервые применили бомбометание с пикирования из замкнутого круга, впоследствии названного "вертушка", которое нашло широкое применение в 1-м бак, а впоследствии и в других соединениях, вооруженных самолетами Пе-2.</w:t>
      </w:r>
    </w:p>
    <w:p w14:paraId="73E5760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октябрю в 1-м бак количество экипажей, способных осуществлять бомбометание с пикирования, возросло до 126, причем 104 экипажа были готовы к групповому бомбометанию. Сброс бомб с крутого пикирования стал основным способом боевых действий; с 17 сентября по 15 октября в трех четвертях всех вылетов экипажи отказались от бомбометания с горизонтального полета. Оценивая его точность во второй половине 1943 г., штаб ВВС КА отметил значительный прогресс, которого добились подчиненные И.С. Полбина, что видно из таблицы.</w:t>
      </w:r>
    </w:p>
    <w:p w14:paraId="44EE54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Анализируя полученные данные, офицеры Генерального штаба при штабах воздушных армий отметили как лучший 1-й бак, добавив, что в этом соединении регулярно осуществляется фотоконтроль и иные формы проверки качества бомбометания. Положение, сложившееся в 1-м гв. бак, признали неудовлетворительным, а в З-.м бак бомбометание с пикирования выполняли только авиаторы 128-го бап. В других частях среди летного состава "сложились настроения, что самолет Пе-2 вовсе нельзя использовать в качестве пикировщика при сильном противодействии противника". Эти настроения, по мнению маршала А.А. Новикова, сильно мешали внедрению современных методов боевого применения бомбардировщика. За высокие результаты в обучении подчиненных командующий объявил 8 ноября 1943 г. благодарность И.С. Полбину, который незадолго до этого получил генеральское звание и благодарность командующего фронтом генерала И.С. Конева за содействие наземным войскам в срыве оборонительных мероприятий противника (12042).</w:t>
      </w:r>
    </w:p>
    <w:p w14:paraId="0636DC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AEAD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сентября 1943 успеха добился экипаж одного из лучших пилотов-охотников Балтфлота старшего лейтенанта А.И.Разгонина. Незадолго до 06:00 часов утра в </w:t>
      </w:r>
      <w:r w:rsidRPr="00271E51">
        <w:rPr>
          <w:rFonts w:ascii="Times New Roman" w:hAnsi="Times New Roman"/>
          <w:color w:val="000000" w:themeColor="text1"/>
          <w:sz w:val="16"/>
          <w:szCs w:val="16"/>
        </w:rPr>
        <w:lastRenderedPageBreak/>
        <w:t>Рижском заливе авиаторы обнаружили одиночное судно, четко сориентировались в обстановке и без промедления сбросили торпеду. Целью оказался шведский танкер «Свеа Рейтер» (1333 брт), получивший попадание в район расположенного на корме мостика. Погибло шесть шведских моряков. Интересно отметить, что судно совершало переход из Риги в Данциг и, по всей видимости, находилось в немецком фрахте. Благодаря новой постройке (танкер был спущен на воду в 1940 г.) «Свеа Рейтер» удержался на плаву и был отбуксирован немцами в Ригу (9965).</w:t>
      </w:r>
    </w:p>
    <w:p w14:paraId="15012C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2D92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советские войска освободили от фашистов Сумы, Коммунарск и Лисичанск (4962).</w:t>
      </w:r>
    </w:p>
    <w:p w14:paraId="2D52222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63D9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BA4AB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414291"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сентября 1943 г. Академик Бурденко - Молотову....в апреле месяце Вы, как Народный Комиссар Иностранных дел, опубликовали ноту Советского Правительства о разрыве отношений с Польским правительством. В ноте вы указали на ложное и провокационно возводимое на наши государственные органы обвинение в расстреле нескольких тысяч польских офицеров (9712).</w:t>
      </w:r>
    </w:p>
    <w:p w14:paraId="1DA3A299"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29A18D0B" w14:textId="77777777" w:rsidR="004E13D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5ACA115" w14:textId="77777777" w:rsidR="004E13DD" w:rsidRPr="00271E51" w:rsidRDefault="004E13D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AC846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 сентября </w:t>
      </w:r>
      <w:r w:rsidRPr="00271E51">
        <w:rPr>
          <w:rFonts w:ascii="Times New Roman" w:hAnsi="Times New Roman"/>
          <w:color w:val="000000" w:themeColor="text1"/>
          <w:sz w:val="16"/>
          <w:szCs w:val="16"/>
        </w:rPr>
        <w:t>в 1943 году указ Адольфа Гитлера о концентрации военной экономики (14757).</w:t>
      </w:r>
    </w:p>
    <w:p w14:paraId="07608B90"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0D5012E8" w14:textId="77777777" w:rsidR="00B3406E" w:rsidRPr="00271E51" w:rsidRDefault="00B3406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сентября 1943 самолет пятой армии воздушных сил США атакует аэродром и гавань в Веваке, Новая Гвинея, потопив два японских торговых корабля (20376).</w:t>
      </w:r>
    </w:p>
    <w:p w14:paraId="53F20CB2" w14:textId="77777777" w:rsidR="00B3406E" w:rsidRPr="00271E51" w:rsidRDefault="00B3406E" w:rsidP="00271E51">
      <w:pPr>
        <w:spacing w:after="0" w:line="240" w:lineRule="auto"/>
        <w:jc w:val="both"/>
        <w:rPr>
          <w:rFonts w:ascii="Times New Roman" w:hAnsi="Times New Roman"/>
          <w:color w:val="0070C0"/>
          <w:sz w:val="16"/>
          <w:szCs w:val="16"/>
        </w:rPr>
      </w:pPr>
    </w:p>
    <w:p w14:paraId="1DD6B78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14A9F7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361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М.И.Гудкова В.М.Молотову "Меня обвиняют, в перетяжеленной конструкции самолета "Аэрокобра" на 1000 кг. Это неправда, так как перетяжеления в конструкции моего самолета нет. Это видно из того, что статические испытания и расчет на прочность проводились, исходя из веса самолета в 4220 кг, что подтверждается заключением ЦАГИ по прочности машины...</w:t>
      </w:r>
    </w:p>
    <w:p w14:paraId="665B04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бы я перетяжелил машину на 1000 кг, то самолет не прошел бы статических испытаний и ЦАГИ дал бы тогда заключение, что самолет не отвечает условиям прочности, обусловленные нормами, и самолет выпускать в воздух нельзя. Но этого же не было...</w:t>
      </w:r>
    </w:p>
    <w:p w14:paraId="4CBC40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подтверждение привожу сравнительные весовые данные американской "Аэрокобры" и нашей советской "Аэрокобры", а именно: вес винтомоторной установки американской "Аэрокобры" - мотор, длинный вал, муфты и редуктор - весят 700 кг и при этом весе винтомоторной группы американцы сделали свою "Аэрокобру" с полетным весом в 3600 кг, причем металлической конструкции.</w:t>
      </w:r>
    </w:p>
    <w:p w14:paraId="6CFD05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винтомоторной установки нашей советской "Аэрокобры" (...) равен 1100 кг, то есть больше (...) американской (...) на 400 кг.</w:t>
      </w:r>
    </w:p>
    <w:p w14:paraId="41B972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Спрашивается, как же я мог проектировать самолет, имея вес винтомоторной установки на 400 кг больше, чем у американцев, и принять полетный вес в 3700 кг. Конечно, я этого сделать не мог. Если бы я так сделал, это было бы безграмотно и неправильно...</w:t>
      </w:r>
    </w:p>
    <w:p w14:paraId="026905B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я обязан был прибавить 200 кг за счет того, что машина была сделана деревянной конструкции... Следовательно, полетный вес самолета должен быть 4300 кг и с этим весом я выпускал самолет в первый полет. Под этот вес я подбирал все параметры машины и проводил все расчеты и испытания, и аэродинамику и прочность, что подтверждается документами и заключением ЦАГИ и 7-го главка, которые все проверяли и нашли, что мною все сделано правильно и после этого представили наркому т. Шахурину на подпись разрешение на первый полет, что он и подписал.</w:t>
      </w:r>
    </w:p>
    <w:p w14:paraId="120DFA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поводу аэродинамики самолета я хочу сказать, что при всех случаях, когда неясно, легче всего свалить все на темную сторону, то есть аэродинамику, строя свои выводы на предположениях и умозрительно.</w:t>
      </w:r>
    </w:p>
    <w:p w14:paraId="3D52CE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что это неправильно. Для того, чтобы пролить свет на это темное пятно, надо сделать продувки самолета (который у меня есть) в натурной аэродинамической трубе, снять поляру крыла и спектор и тогда сразу будет ясно и научно обосновано, в чем причины катастрофы, а я убежден, тогда и темное пятно станет светлым..." (7686,5).</w:t>
      </w:r>
    </w:p>
    <w:p w14:paraId="2CBE0B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D16F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по 30 сентября 1943 прошли объединенные испытания Ла-5УТИ (4,232).</w:t>
      </w:r>
    </w:p>
    <w:p w14:paraId="2AAEF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9A16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состоялся первый полет Ла-5УТИ, причем заводские испытания совмести</w:t>
      </w:r>
      <w:r w:rsidRPr="00271E51">
        <w:rPr>
          <w:rFonts w:ascii="Times New Roman" w:hAnsi="Times New Roman"/>
          <w:color w:val="000000" w:themeColor="text1"/>
          <w:sz w:val="16"/>
          <w:szCs w:val="16"/>
        </w:rPr>
        <w:softHyphen/>
        <w:t>ли с Государственными. 30 сентября был подписан Акт об их завер</w:t>
      </w:r>
      <w:r w:rsidRPr="00271E51">
        <w:rPr>
          <w:rFonts w:ascii="Times New Roman" w:hAnsi="Times New Roman"/>
          <w:color w:val="000000" w:themeColor="text1"/>
          <w:sz w:val="16"/>
          <w:szCs w:val="16"/>
        </w:rPr>
        <w:softHyphen/>
        <w:t>шении, а двумя днями ранее вышло Постановление ГКО № 4210 о переоборудовании в УТИ части серийных Ла-5. Но НКАП долго не мог решить, кому поручить такую работу. Лишь 19 октября вышел приказ № 623, определивший исполнителем завод № 163 в Иркут</w:t>
      </w:r>
      <w:r w:rsidRPr="00271E51">
        <w:rPr>
          <w:rFonts w:ascii="Times New Roman" w:hAnsi="Times New Roman"/>
          <w:color w:val="000000" w:themeColor="text1"/>
          <w:sz w:val="16"/>
          <w:szCs w:val="16"/>
        </w:rPr>
        <w:softHyphen/>
        <w:t>ске, который до конца года должен был переделать 20 Ла-5 (11123).Хотя в Акте по ГСИ было сказано, что устойчивость и управляемость Ла-5УТИ в норме, а по технике пило</w:t>
      </w:r>
      <w:r w:rsidRPr="00271E51">
        <w:rPr>
          <w:rFonts w:ascii="Times New Roman" w:hAnsi="Times New Roman"/>
          <w:color w:val="000000" w:themeColor="text1"/>
          <w:sz w:val="16"/>
          <w:szCs w:val="16"/>
        </w:rPr>
        <w:softHyphen/>
        <w:t>тирования он не отличается от одноместного самоле</w:t>
      </w:r>
      <w:r w:rsidRPr="00271E51">
        <w:rPr>
          <w:rFonts w:ascii="Times New Roman" w:hAnsi="Times New Roman"/>
          <w:color w:val="000000" w:themeColor="text1"/>
          <w:sz w:val="16"/>
          <w:szCs w:val="16"/>
        </w:rPr>
        <w:softHyphen/>
        <w:t>та, начальник ЛИИ Чесалов письмом № 676с от 12 но</w:t>
      </w:r>
      <w:r w:rsidRPr="00271E51">
        <w:rPr>
          <w:rFonts w:ascii="Times New Roman" w:hAnsi="Times New Roman"/>
          <w:color w:val="000000" w:themeColor="text1"/>
          <w:sz w:val="16"/>
          <w:szCs w:val="16"/>
        </w:rPr>
        <w:softHyphen/>
        <w:t>ября 1943 г. сообщал заместителю наркома авиапро</w:t>
      </w:r>
      <w:r w:rsidRPr="00271E51">
        <w:rPr>
          <w:rFonts w:ascii="Times New Roman" w:hAnsi="Times New Roman"/>
          <w:color w:val="000000" w:themeColor="text1"/>
          <w:sz w:val="16"/>
          <w:szCs w:val="16"/>
        </w:rPr>
        <w:softHyphen/>
        <w:t xml:space="preserve">ма Дементьеву: </w:t>
      </w:r>
      <w:r w:rsidRPr="00271E51">
        <w:rPr>
          <w:rFonts w:ascii="Times New Roman" w:hAnsi="Times New Roman"/>
          <w:iCs/>
          <w:color w:val="000000" w:themeColor="text1"/>
          <w:sz w:val="16"/>
          <w:szCs w:val="16"/>
        </w:rPr>
        <w:t xml:space="preserve">«...ни продольная, ни путевая устойчивость машины не укладываются в требуемый диапазон». </w:t>
      </w:r>
      <w:r w:rsidRPr="00271E51">
        <w:rPr>
          <w:rFonts w:ascii="Times New Roman" w:hAnsi="Times New Roman"/>
          <w:color w:val="000000" w:themeColor="text1"/>
          <w:sz w:val="16"/>
          <w:szCs w:val="16"/>
        </w:rPr>
        <w:t>5 мая 1944 г. «провалил» контрольные ис</w:t>
      </w:r>
      <w:r w:rsidRPr="00271E51">
        <w:rPr>
          <w:rFonts w:ascii="Times New Roman" w:hAnsi="Times New Roman"/>
          <w:color w:val="000000" w:themeColor="text1"/>
          <w:sz w:val="16"/>
          <w:szCs w:val="16"/>
        </w:rPr>
        <w:softHyphen/>
        <w:t>пытания Ла-5УТИ, переделанный из серийного № 37210813 в 30-х полевых авиаремонтных мастер</w:t>
      </w:r>
      <w:r w:rsidRPr="00271E51">
        <w:rPr>
          <w:rFonts w:ascii="Times New Roman" w:hAnsi="Times New Roman"/>
          <w:color w:val="000000" w:themeColor="text1"/>
          <w:sz w:val="16"/>
          <w:szCs w:val="16"/>
        </w:rPr>
        <w:softHyphen/>
        <w:t>ских 1-й воздушной армии. Лишь установка центро</w:t>
      </w:r>
      <w:r w:rsidRPr="00271E51">
        <w:rPr>
          <w:rFonts w:ascii="Times New Roman" w:hAnsi="Times New Roman"/>
          <w:color w:val="000000" w:themeColor="text1"/>
          <w:sz w:val="16"/>
          <w:szCs w:val="16"/>
        </w:rPr>
        <w:softHyphen/>
        <w:t>вочных грузов и контрбалансира (пружины, создавав</w:t>
      </w:r>
      <w:r w:rsidRPr="00271E51">
        <w:rPr>
          <w:rFonts w:ascii="Times New Roman" w:hAnsi="Times New Roman"/>
          <w:color w:val="000000" w:themeColor="text1"/>
          <w:sz w:val="16"/>
          <w:szCs w:val="16"/>
        </w:rPr>
        <w:softHyphen/>
        <w:t>шей дополнительную нагрузку на ручку управления) позволила обеспечить безопасную эксплуатацию это</w:t>
      </w:r>
      <w:r w:rsidRPr="00271E51">
        <w:rPr>
          <w:rFonts w:ascii="Times New Roman" w:hAnsi="Times New Roman"/>
          <w:color w:val="000000" w:themeColor="text1"/>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271E51">
        <w:rPr>
          <w:rFonts w:ascii="Times New Roman" w:hAnsi="Times New Roman"/>
          <w:color w:val="000000" w:themeColor="text1"/>
          <w:sz w:val="16"/>
          <w:szCs w:val="16"/>
        </w:rPr>
        <w:softHyphen/>
        <w:t>ходившие на ремонт самолеты всех основных моди</w:t>
      </w:r>
      <w:r w:rsidRPr="00271E51">
        <w:rPr>
          <w:rFonts w:ascii="Times New Roman" w:hAnsi="Times New Roman"/>
          <w:color w:val="000000" w:themeColor="text1"/>
          <w:sz w:val="16"/>
          <w:szCs w:val="16"/>
        </w:rPr>
        <w:softHyphen/>
        <w:t>фикаций, выбирая самые изношенные (11123).</w:t>
      </w:r>
    </w:p>
    <w:p w14:paraId="3361CA0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F5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по 30 сентября 1943 прошел гос. испытания лвухместный Ла-5УТИ с двигателем М-82М и был запущен в серийное производство в 1944 г., однако полевые переделки для обучения на новых тогда Ла-5 появились в ноябре 1942 г., практически сразу же, после начала поступления самолетов войска. Ла-5УТИ имел двойное управление, кабину инструктора - сзади, и облегченное вооружение (снята правая пушка). На спарки не устанавливались бронестекло фонаря, бронеспинка сидения, радиостанция, система наддува топливных баков нейтральным газом, бомбовое вооружение. Примерно такую же "перелицовку" проделали с Ла-7, получив в результате Ла-7УТИ (4707).</w:t>
      </w:r>
    </w:p>
    <w:p w14:paraId="1BF69F3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755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вышел приказ НКАП и командующего ВВС N 533с/0193:</w:t>
      </w:r>
    </w:p>
    <w:p w14:paraId="4E95C9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огневой защиты самолетов А-20-Ж и А-20-В и увеличения их бомбовой нагрузки провести отработку эталонов перевооружаемых самолетов по следующей схеме:</w:t>
      </w:r>
    </w:p>
    <w:p w14:paraId="634E096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Стрелковое вооружение:</w:t>
      </w:r>
    </w:p>
    <w:p w14:paraId="43CC8C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Носовая установка А-20-Ж - 4хИСПАНО 20 мм + 1 Кольт-Браунинг 12.7 мм</w:t>
      </w:r>
    </w:p>
    <w:p w14:paraId="193394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Носовая установка А-20-Б - один Кольт-Б 12.7 мм и один К-Б 7.62 мм (снимаемый с люковой установки).</w:t>
      </w:r>
    </w:p>
    <w:p w14:paraId="6AE705D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Верхняя установка - один К-Б 127. на УТК-1 (для обоих типов).</w:t>
      </w:r>
    </w:p>
    <w:p w14:paraId="3BD742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ЛУ - 1хК-Б 1277 мм (используется п, снимаемый с носовой установки для обоих типов).</w:t>
      </w:r>
    </w:p>
    <w:p w14:paraId="4C25A4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Бомбардировочное вооружение</w:t>
      </w:r>
    </w:p>
    <w:p w14:paraId="5B19A2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Бомбодержатели для подвески отечественных бомб:</w:t>
      </w:r>
    </w:p>
    <w:p w14:paraId="0185989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А-20-Ж 1200-1600</w:t>
      </w:r>
    </w:p>
    <w:p w14:paraId="7D3C71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А-20-В 2000 (Никитин и Дементьев) (1735,67).</w:t>
      </w:r>
    </w:p>
    <w:p w14:paraId="12EDBE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553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АДД протоколом утвердил макет новой кабины пилота и штурмана с двумя летчиками Ер-2 2хМ-30Б (1749,122).</w:t>
      </w:r>
    </w:p>
    <w:p w14:paraId="72722A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CB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командующий АДД утвердил макет Ер-2 с М-30Б и отметил в нем ряд дефектов и замечаний (11994).</w:t>
      </w:r>
    </w:p>
    <w:p w14:paraId="4EDCE7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A7AC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года по приказу № 532с НКАП во исполнение постановления ГОКО № 3919с от 18 августа 1943 года и 8 сентября 1943 года по приказу № 52с по 5-му гл. управлению НКАП о восстановлении завода № 278 и дальнейшего развития производства приборов теплотехнического контроля и электроизмерительных приборов на заводах 5-го гл. управления, завод вновь перешел на выпуск газоанализаторов.</w:t>
      </w:r>
    </w:p>
    <w:p w14:paraId="3A7F311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1944 году по приказу № 74сс 17-го гл. управления от 19 октября 1944 года (приказ НКАП № 605сс от 13 октября 1944 года) производство газоанализаторов переведено на завод № 218 НКАП.</w:t>
      </w:r>
    </w:p>
    <w:p w14:paraId="3C8AB0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57сс НКАП от 10 ноября 1945 года завод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2F9CF9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342692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544"/>
      </w:tblGrid>
      <w:tr w:rsidR="00A907A5" w:rsidRPr="00271E51" w14:paraId="6A75060A" w14:textId="77777777" w:rsidTr="00ED5B0A">
        <w:tc>
          <w:tcPr>
            <w:tcW w:w="3369" w:type="dxa"/>
          </w:tcPr>
          <w:p w14:paraId="46BF7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Периоды</w:t>
            </w:r>
          </w:p>
        </w:tc>
        <w:tc>
          <w:tcPr>
            <w:tcW w:w="3543" w:type="dxa"/>
          </w:tcPr>
          <w:p w14:paraId="3B4E094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w:t>
            </w:r>
          </w:p>
        </w:tc>
        <w:tc>
          <w:tcPr>
            <w:tcW w:w="3544" w:type="dxa"/>
          </w:tcPr>
          <w:p w14:paraId="3BC75E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w:t>
            </w:r>
          </w:p>
        </w:tc>
      </w:tr>
      <w:tr w:rsidR="00A907A5" w:rsidRPr="00271E51" w14:paraId="34AFAEC1" w14:textId="77777777" w:rsidTr="00ED5B0A">
        <w:tc>
          <w:tcPr>
            <w:tcW w:w="3369" w:type="dxa"/>
          </w:tcPr>
          <w:p w14:paraId="2675A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1931-1936 гг.</w:t>
            </w:r>
          </w:p>
        </w:tc>
        <w:tc>
          <w:tcPr>
            <w:tcW w:w="3543" w:type="dxa"/>
          </w:tcPr>
          <w:p w14:paraId="0B7DFD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Капитан Н.С.</w:t>
            </w:r>
          </w:p>
        </w:tc>
        <w:tc>
          <w:tcPr>
            <w:tcW w:w="3544" w:type="dxa"/>
          </w:tcPr>
          <w:p w14:paraId="7B7AE4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Ершов Б.Б.</w:t>
            </w:r>
          </w:p>
        </w:tc>
      </w:tr>
      <w:tr w:rsidR="00A907A5" w:rsidRPr="00271E51" w14:paraId="1B385923" w14:textId="77777777" w:rsidTr="00ED5B0A">
        <w:tc>
          <w:tcPr>
            <w:tcW w:w="3369" w:type="dxa"/>
          </w:tcPr>
          <w:p w14:paraId="52CFEA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1936-1938 гг.</w:t>
            </w:r>
          </w:p>
        </w:tc>
        <w:tc>
          <w:tcPr>
            <w:tcW w:w="3543" w:type="dxa"/>
          </w:tcPr>
          <w:p w14:paraId="0D722E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Павленко И.Н.</w:t>
            </w:r>
          </w:p>
        </w:tc>
        <w:tc>
          <w:tcPr>
            <w:tcW w:w="3544" w:type="dxa"/>
          </w:tcPr>
          <w:p w14:paraId="707A34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Ершов Б.Б.</w:t>
            </w:r>
          </w:p>
        </w:tc>
      </w:tr>
      <w:tr w:rsidR="00A907A5" w:rsidRPr="00271E51" w14:paraId="07CA2208" w14:textId="77777777" w:rsidTr="00ED5B0A">
        <w:tc>
          <w:tcPr>
            <w:tcW w:w="3369" w:type="dxa"/>
          </w:tcPr>
          <w:p w14:paraId="5BC05CC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1938-1940 гг.</w:t>
            </w:r>
          </w:p>
        </w:tc>
        <w:tc>
          <w:tcPr>
            <w:tcW w:w="3543" w:type="dxa"/>
          </w:tcPr>
          <w:p w14:paraId="7DB3CF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Зернов И.П.</w:t>
            </w:r>
          </w:p>
        </w:tc>
        <w:tc>
          <w:tcPr>
            <w:tcW w:w="3544" w:type="dxa"/>
          </w:tcPr>
          <w:p w14:paraId="7621BF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Власов В.П.</w:t>
            </w:r>
          </w:p>
        </w:tc>
      </w:tr>
      <w:tr w:rsidR="00A907A5" w:rsidRPr="00271E51" w14:paraId="23BDD4DA" w14:textId="77777777" w:rsidTr="00ED5B0A">
        <w:tc>
          <w:tcPr>
            <w:tcW w:w="3369" w:type="dxa"/>
          </w:tcPr>
          <w:p w14:paraId="70884E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1941-1942 гг.</w:t>
            </w:r>
          </w:p>
        </w:tc>
        <w:tc>
          <w:tcPr>
            <w:tcW w:w="3543" w:type="dxa"/>
          </w:tcPr>
          <w:p w14:paraId="384868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Комиссаров М.И.</w:t>
            </w:r>
          </w:p>
        </w:tc>
        <w:tc>
          <w:tcPr>
            <w:tcW w:w="3544" w:type="dxa"/>
          </w:tcPr>
          <w:p w14:paraId="4CD1B2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Власов В.П.</w:t>
            </w:r>
          </w:p>
        </w:tc>
      </w:tr>
      <w:tr w:rsidR="00A907A5" w:rsidRPr="00271E51" w14:paraId="65DCBE86" w14:textId="77777777" w:rsidTr="00ED5B0A">
        <w:tc>
          <w:tcPr>
            <w:tcW w:w="3369" w:type="dxa"/>
          </w:tcPr>
          <w:p w14:paraId="449B82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1942-1943 гг.</w:t>
            </w:r>
          </w:p>
        </w:tc>
        <w:tc>
          <w:tcPr>
            <w:tcW w:w="3543" w:type="dxa"/>
          </w:tcPr>
          <w:p w14:paraId="1CE23B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Степанов Г.С.</w:t>
            </w:r>
          </w:p>
        </w:tc>
        <w:tc>
          <w:tcPr>
            <w:tcW w:w="3544" w:type="dxa"/>
          </w:tcPr>
          <w:p w14:paraId="2E148F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Уласов</w:t>
            </w:r>
          </w:p>
        </w:tc>
      </w:tr>
      <w:tr w:rsidR="00A907A5" w:rsidRPr="00271E51" w14:paraId="0BF96711" w14:textId="77777777" w:rsidTr="00ED5B0A">
        <w:tc>
          <w:tcPr>
            <w:tcW w:w="3369" w:type="dxa"/>
          </w:tcPr>
          <w:p w14:paraId="608616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1944-1945 гг.</w:t>
            </w:r>
          </w:p>
        </w:tc>
        <w:tc>
          <w:tcPr>
            <w:tcW w:w="3543" w:type="dxa"/>
          </w:tcPr>
          <w:p w14:paraId="1326E8C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Петров А.Б.</w:t>
            </w:r>
          </w:p>
        </w:tc>
        <w:tc>
          <w:tcPr>
            <w:tcW w:w="3544" w:type="dxa"/>
          </w:tcPr>
          <w:p w14:paraId="56BC2C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Эмдин</w:t>
            </w:r>
          </w:p>
        </w:tc>
      </w:tr>
      <w:tr w:rsidR="00A907A5" w:rsidRPr="00271E51" w14:paraId="74EDA618" w14:textId="77777777" w:rsidTr="00ED5B0A">
        <w:tc>
          <w:tcPr>
            <w:tcW w:w="3369" w:type="dxa"/>
          </w:tcPr>
          <w:p w14:paraId="79F3C1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1945-1948 гг.</w:t>
            </w:r>
          </w:p>
        </w:tc>
        <w:tc>
          <w:tcPr>
            <w:tcW w:w="3543" w:type="dxa"/>
          </w:tcPr>
          <w:p w14:paraId="174AB3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Полонников И.П.</w:t>
            </w:r>
          </w:p>
        </w:tc>
        <w:tc>
          <w:tcPr>
            <w:tcW w:w="3544" w:type="dxa"/>
          </w:tcPr>
          <w:p w14:paraId="27CCBF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Карасев И.Д.</w:t>
            </w:r>
          </w:p>
        </w:tc>
      </w:tr>
      <w:tr w:rsidR="00A907A5" w:rsidRPr="00271E51" w14:paraId="19DB1EC7" w14:textId="77777777" w:rsidTr="00ED5B0A">
        <w:tc>
          <w:tcPr>
            <w:tcW w:w="3369" w:type="dxa"/>
          </w:tcPr>
          <w:p w14:paraId="5C09E3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1949-1950 гг.</w:t>
            </w:r>
          </w:p>
        </w:tc>
        <w:tc>
          <w:tcPr>
            <w:tcW w:w="3543" w:type="dxa"/>
          </w:tcPr>
          <w:p w14:paraId="026883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Аверин Н.В.</w:t>
            </w:r>
          </w:p>
        </w:tc>
        <w:tc>
          <w:tcPr>
            <w:tcW w:w="3544" w:type="dxa"/>
          </w:tcPr>
          <w:p w14:paraId="7E86F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Карасев И.Д.</w:t>
            </w:r>
          </w:p>
        </w:tc>
      </w:tr>
      <w:tr w:rsidR="00A907A5" w:rsidRPr="00271E51" w14:paraId="29CACEB5" w14:textId="77777777" w:rsidTr="00ED5B0A">
        <w:tc>
          <w:tcPr>
            <w:tcW w:w="3369" w:type="dxa"/>
          </w:tcPr>
          <w:p w14:paraId="06387D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1950-1951 гг.</w:t>
            </w:r>
          </w:p>
        </w:tc>
        <w:tc>
          <w:tcPr>
            <w:tcW w:w="3543" w:type="dxa"/>
          </w:tcPr>
          <w:p w14:paraId="403757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Андреев Л.В.</w:t>
            </w:r>
          </w:p>
        </w:tc>
        <w:tc>
          <w:tcPr>
            <w:tcW w:w="3544" w:type="dxa"/>
          </w:tcPr>
          <w:p w14:paraId="26230D8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r w:rsidR="00A907A5" w:rsidRPr="00271E51" w14:paraId="7DE59343" w14:textId="77777777" w:rsidTr="00ED5B0A">
        <w:tc>
          <w:tcPr>
            <w:tcW w:w="3369" w:type="dxa"/>
          </w:tcPr>
          <w:p w14:paraId="6468C75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 1952 – 1953 гг.</w:t>
            </w:r>
          </w:p>
        </w:tc>
        <w:tc>
          <w:tcPr>
            <w:tcW w:w="3543" w:type="dxa"/>
          </w:tcPr>
          <w:p w14:paraId="22B49A1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0589434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r w:rsidR="00A907A5" w:rsidRPr="00271E51" w14:paraId="40261918" w14:textId="77777777" w:rsidTr="00ED5B0A">
        <w:tc>
          <w:tcPr>
            <w:tcW w:w="3369" w:type="dxa"/>
          </w:tcPr>
          <w:p w14:paraId="6B4F67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 1953-1959 гг.</w:t>
            </w:r>
          </w:p>
        </w:tc>
        <w:tc>
          <w:tcPr>
            <w:tcW w:w="3543" w:type="dxa"/>
          </w:tcPr>
          <w:p w14:paraId="603705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Солодовников В.И.</w:t>
            </w:r>
          </w:p>
        </w:tc>
        <w:tc>
          <w:tcPr>
            <w:tcW w:w="3544" w:type="dxa"/>
          </w:tcPr>
          <w:p w14:paraId="39CB1D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Рыбаков В.С.</w:t>
            </w:r>
          </w:p>
        </w:tc>
      </w:tr>
    </w:tbl>
    <w:p w14:paraId="109D8F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(9484)</w:t>
      </w:r>
    </w:p>
    <w:p w14:paraId="07913D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493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года приказом НКАП за № 562с и 13 августа 1943 года Постановлением ГОКО № 3919с филиал завода 119, организованный в 1943 году на площадке бывш. завода 3 119 НКАП, стал филиалом завода № 149.</w:t>
      </w:r>
    </w:p>
    <w:p w14:paraId="01062E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Директором завода до 1 марта 1947 года был Бенедиктов П.П. и с 1 марта 1947 года Путюшкин И.М.</w:t>
      </w:r>
    </w:p>
    <w:p w14:paraId="653201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распоряжением СНК № 17703 от 1 сентября 1944 года и приказа НКАП № 570 от 20 сентября 1944 года завод получил самостоятельность с присвоением ему № 295.</w:t>
      </w:r>
    </w:p>
    <w:p w14:paraId="4A7CA6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СНК от 25 января 1946 года и приказа НКАП и НК машиностроения и приборостроения от 16 февраля 1946 года за № 63/52 был передан из системы МАП в систему Министерства машиностроения и приборостроения.</w:t>
      </w:r>
    </w:p>
    <w:p w14:paraId="2B1290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Министерства машиностроения и приборостроения от 17 мая 1946 года № 80 завод № 295 был переименован в Московский завод приборов.</w:t>
      </w:r>
    </w:p>
    <w:p w14:paraId="024779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года по 1952 год завод изготовлял щитовые электроизмерительные приборы (амперметры, вольтметры, ваттметры, частотомеры, фазометры и др.).</w:t>
      </w:r>
    </w:p>
    <w:p w14:paraId="0B075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от 9 мая 1952 года № 515сс/ОВ завод приборов Министерства машиностроения и приборостроения передан в МАП для производства автопилотов с присвоением ему № 914. Директор завода – Путюшкин И.М.</w:t>
      </w:r>
    </w:p>
    <w:p w14:paraId="32D26D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распоряжением СМ от 9 июня 1955 года № 4652с и приказом МАП от 15 июня 1955 года № 389сс/ов на базе научного комплекса НИИ-1 и завода № 914 МАП с 1 июля 1955 года был создан филиал НИИ-1, как специализированная научно-исследовательская организация по разработке и изготовлению астронавигационных систем управления, находящаяся на самостоятельном балансе, но подчиненная НИИ-1 по административной и производственно-научной деятельности. Приказом МАП за № 257/К от 13 июля 1955 года назначены:</w:t>
      </w:r>
    </w:p>
    <w:p w14:paraId="4DD198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Чачикян Р.Г. – отв. руководитель и гл. конструктор филиала</w:t>
      </w:r>
    </w:p>
    <w:p w14:paraId="7CD73A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Барбаумов Ф.П. – зам. гл. конструктора филиала</w:t>
      </w:r>
    </w:p>
    <w:p w14:paraId="67D9C8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Путюшкин И.М. – начальником филиала</w:t>
      </w:r>
    </w:p>
    <w:p w14:paraId="28F38B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МАП № 216 от 21 июля 1955 года Ежов А.В. назначен зам. гл. конструктора.</w:t>
      </w:r>
    </w:p>
    <w:p w14:paraId="22472F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мая 1956 года приказом МАП № 192/К начальником филиала назначен Прилуков А.С., а с 21 сентября 1956 года приказом МАП № 345/К Вагин И.В. назначен зам. начальника филиала.</w:t>
      </w:r>
    </w:p>
    <w:p w14:paraId="1FEAE8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письмом МАП № 132/65 от 19 декабря 1957 года и приказом по филиалу от 31 декабря № 552/К упразднена должность начальника филиала.</w:t>
      </w:r>
    </w:p>
    <w:p w14:paraId="11D83F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организацией филиала была проведена перестройка бывш. завода № 914, которая обеспечила переход с серийного на опытный характер производства.</w:t>
      </w:r>
    </w:p>
    <w:p w14:paraId="2FF813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недостатка площадей ряд отделов в настоящее время работают на территории НИИ-1. Большая часть отделов КБ размещена в доме № 22 по Уланскому переулку. Кроме того, две лаборатории размещены на площади завода № 23.</w:t>
      </w:r>
    </w:p>
    <w:p w14:paraId="5B004D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1958 год филиалу НИИ-1 утверждено к поставке заказчику систем управления (СУ) 14 комплексов и астронавигации (АН) в количестве 11 комплектов (9421).</w:t>
      </w:r>
    </w:p>
    <w:p w14:paraId="35A003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C36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приказом НКАП № 532с в соответствии с пост. ГКО № 3919с от 13.08.1943 г. на площадке эвакуированного завода № 119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(Завод № 295 НКАП, Государственный Московский завод приборов (ГМЗ приборов) ММиП /г. Москва, 6 1-й Щемиловский пер., 16 п/я 3735 «Шунт» (1948 г.)/) в системе 5ГУ НКАП для производства щитовых электроизмерительных приборов. В соответствии с пост. СНК от 25.01.1946 г. и пр. НКАП/НКМашприбора № 63/52 от 16.02.1946 г. завод № 295 с 1.12.1945 г. передан из НКАП в НКМашприбор. Приказом ММиП № 80 от 17.05.1946 г. завод № 295 переименован в ГМЗ приборов. В 1947-48 г. завод - в ведении Главлаборприбора ММиП.</w:t>
      </w:r>
    </w:p>
    <w:p w14:paraId="0D8ACD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площади на территории завода занимал Главлаборприбор.</w:t>
      </w:r>
    </w:p>
    <w:p w14:paraId="20F251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0B1CFA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355 ГМЗ приборов передан с 1.01.1952 г. в систему 5ГУ МАП и переименован в завод</w:t>
      </w:r>
    </w:p>
    <w:p w14:paraId="71C00E1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№914.</w:t>
      </w:r>
    </w:p>
    <w:p w14:paraId="6FE9C1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(1946 г.)- 414 ед., (1947 г.)- 429 ед.</w:t>
      </w:r>
    </w:p>
    <w:p w14:paraId="75B1456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территории (1947 г.)- 1,04 га; застройки (1947 г.)- 4677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производственная (1946-47 г.)- 3803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2CC0950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(1946 г.)- 739 чел., (1947 г.)- 795 чел.</w:t>
      </w:r>
    </w:p>
    <w:p w14:paraId="7321025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(1948 г.)- Путюшкин.</w:t>
      </w:r>
    </w:p>
    <w:p w14:paraId="54634ED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(03.1948 г.)- Шлеппи, Черкасский.</w:t>
      </w:r>
    </w:p>
    <w:p w14:paraId="00D497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76D42D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E8D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приказом НКАП № 532с в соответствии с пост. ГКО № 3919с от 13.08.1943 г. в 10.1943 г. организован филиал завода на площадке эвакуированного завода № 119 (1-й Щемиловский пер., 16). В соответствии с распоряжением правительства № 17703рс от 1.09.1944 г. и приказом НКАП № 570с от 20.09.1944 г. филиал преобразован в самостоятельный завод № 295 НКАП (11982).</w:t>
      </w:r>
    </w:p>
    <w:p w14:paraId="0EC6E0B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A781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на площадке филиала завода № 119 в Москве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 (11982).</w:t>
      </w:r>
    </w:p>
    <w:p w14:paraId="7B1B49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4C1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вышел Приказ НКО № 267 “Об улучшении видимости опозновательных знаков на самолетах ВВС КА.</w:t>
      </w:r>
    </w:p>
    <w:p w14:paraId="5D05F7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видимости опознавательного знака самолетов ВВС КА приказываю:</w:t>
      </w:r>
    </w:p>
    <w:p w14:paraId="48E89E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Установленный для самолетов ВВС КА опознавательный знак Красная звезда окаймлять по внешнему контуру белой полосой ширино1 5 см. с окантовкой ее красной полосой шириной в 1 см.</w:t>
      </w:r>
    </w:p>
    <w:p w14:paraId="1F1508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НКО Маршал Советского Союза И.В.С. (9834).</w:t>
      </w:r>
    </w:p>
    <w:p w14:paraId="04E601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B37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вышел ПРИКАЗ № 267 ОБ УЛУЧШЕНИИ ВИДИМОСТИ ОПОЗНАВАТЕЛЬНЫХ ЗНАКОВ НА САМОЛЕТАХ ВВС КРАСНОЙ АРМИИ</w:t>
      </w:r>
    </w:p>
    <w:p w14:paraId="22E606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видимости опознавательного знака самолетов ВВС Красной Армии приказываю:</w:t>
      </w:r>
    </w:p>
    <w:p w14:paraId="6D9CE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Установленный для самолетов ВВС Красной Армии опознавательный знак Красная Звезда окаймлять по внешнему контуру белой полосой шириной 5 см с окантовкой ее красной полоской шириной в 1 см.</w:t>
      </w:r>
    </w:p>
    <w:p w14:paraId="36808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Народный комиссар обороны</w:t>
      </w:r>
    </w:p>
    <w:p w14:paraId="7B34AC3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Маршал Советского Союза И. СТАЛИН </w:t>
      </w:r>
      <w:r w:rsidRPr="00271E51">
        <w:rPr>
          <w:rFonts w:ascii="Times New Roman" w:hAnsi="Times New Roman"/>
          <w:color w:val="000000" w:themeColor="text1"/>
          <w:sz w:val="16"/>
          <w:szCs w:val="16"/>
        </w:rPr>
        <w:t>(9844).</w:t>
      </w:r>
    </w:p>
    <w:p w14:paraId="2EBF78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200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вышел приказ "Об улучшении видимости опознавательных знаков на самолетах ВВС КА", согласно которому звезды стали рисовать с двумя окантовками: белой - шириной 5 см и красной - 1 см. Хотя и до этого вокруг звезд кое-где наносили белую кайму. После 1943 г. ни сами звезды, ни их расположение существенно не менялись до 1955 г.</w:t>
      </w:r>
    </w:p>
    <w:p w14:paraId="6A96C4D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бывает правил без исключений. Так, для ЛаГГ-3 и Як-3 завода №31 характерна звезда на киле уменьшенного размера. Иногда в строевых частях вместо белой краски звезды окантовывали алюминиевой или желтой. Согласно уже упоминавшемуся приказу НКАП и командующего ВВС от 15 марта 1944 г., на УТ-2 заводов № 116 и № 168 следовало наносить звезды с черной окантовкой. Переход на такие знаки был установлен для завода №168 - с 1 мая, №116 - с 1 июня 1944 г.</w:t>
      </w:r>
    </w:p>
    <w:p w14:paraId="350A6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войны ВВС передали часть самолетов гражданского флота. До этого они имели опознавательные знаки, состоявшие из надписи "СССР", литеры предприятия или организации владельца-и знака данного воздушного судна, состоявшего из арабских цифр. Такие знаки (например, СССР-Л804) наносились на верхней и нижней поверхностях крыла и на бортах фюзеляжа. После передачи в ВВС многие самолеты ГВФ получили довольно любопытные обозначения, скомбинированные из военных и гражданских. На фюзеляже вместо надписи "СССР" наносили красную звезду; цифровой номер, иногда вместе с литерой, оставлялся. Цифровая часть при этом становилась бортовым номером самолета.</w:t>
      </w:r>
    </w:p>
    <w:p w14:paraId="6B37C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машинах французских и польских частей, воевавших на стороне СССР, кроме красных звезд, изображались национальные эмблемы. Размер их был значительно меньше советских знаков. Таким образом, французская кокарда и польская "шаховница" в лучшем случае играли роль тактических обозначений (11989).</w:t>
      </w:r>
    </w:p>
    <w:p w14:paraId="554FBC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5E26F" w14:textId="77777777" w:rsidR="00B3406E" w:rsidRPr="00271E51" w:rsidRDefault="00B3406E" w:rsidP="00271E51">
      <w:pPr>
        <w:spacing w:after="0" w:line="240" w:lineRule="auto"/>
        <w:jc w:val="both"/>
        <w:rPr>
          <w:rFonts w:ascii="Times New Roman" w:hAnsi="Times New Roman"/>
          <w:color w:val="0070C0"/>
          <w:sz w:val="16"/>
          <w:szCs w:val="16"/>
        </w:rPr>
      </w:pPr>
      <w:r w:rsidRPr="00271E51">
        <w:rPr>
          <w:rStyle w:val="491"/>
          <w:rFonts w:ascii="Times New Roman" w:hAnsi="Times New Roman" w:cs="Times New Roman"/>
          <w:color w:val="0070C0"/>
          <w:sz w:val="16"/>
          <w:szCs w:val="16"/>
        </w:rPr>
        <w:t>3 сентября</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1943 г.</w:t>
      </w:r>
      <w:r w:rsidRPr="00271E51">
        <w:rPr>
          <w:rStyle w:val="98"/>
          <w:rFonts w:ascii="Times New Roman" w:hAnsi="Times New Roman" w:cs="Times New Roman"/>
          <w:color w:val="0070C0"/>
          <w:sz w:val="16"/>
          <w:szCs w:val="16"/>
        </w:rPr>
        <w:t xml:space="preserve"> вышел приказ Народного</w:t>
      </w:r>
      <w:r w:rsidRPr="00271E51">
        <w:rPr>
          <w:rStyle w:val="99"/>
          <w:rFonts w:ascii="Times New Roman" w:hAnsi="Times New Roman" w:cs="Times New Roman"/>
          <w:color w:val="0070C0"/>
          <w:sz w:val="16"/>
          <w:szCs w:val="16"/>
        </w:rPr>
        <w:t xml:space="preserve"> </w:t>
      </w:r>
      <w:r w:rsidRPr="00271E51">
        <w:rPr>
          <w:rStyle w:val="98"/>
          <w:rFonts w:ascii="Times New Roman" w:hAnsi="Times New Roman" w:cs="Times New Roman"/>
          <w:color w:val="0070C0"/>
          <w:sz w:val="16"/>
          <w:szCs w:val="16"/>
        </w:rPr>
        <w:t xml:space="preserve">Комиссариата Обороны </w:t>
      </w:r>
      <w:r w:rsidRPr="00271E51">
        <w:rPr>
          <w:rStyle w:val="491"/>
          <w:rFonts w:ascii="Times New Roman" w:hAnsi="Times New Roman" w:cs="Times New Roman"/>
          <w:color w:val="0070C0"/>
          <w:sz w:val="16"/>
          <w:szCs w:val="16"/>
        </w:rPr>
        <w:t>«№ 161 ПРИКАЗ ОБ УЛУЧШЕНИИ ВИДИМОСТИ ОПОЗНАВАТЕЛЬНЫХ ЗНАКОВ НА САМОЛЕТАХ ВВС КРАСНОЙ АРМИИ № 267 3 сентября</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1943 г.</w:t>
      </w:r>
    </w:p>
    <w:p w14:paraId="0E0C975E" w14:textId="77777777" w:rsidR="00B3406E" w:rsidRPr="00271E51" w:rsidRDefault="00B3406E" w:rsidP="00271E51">
      <w:pPr>
        <w:spacing w:after="0" w:line="240" w:lineRule="auto"/>
        <w:jc w:val="both"/>
        <w:rPr>
          <w:rFonts w:ascii="Times New Roman" w:hAnsi="Times New Roman"/>
          <w:color w:val="0070C0"/>
          <w:sz w:val="16"/>
          <w:szCs w:val="16"/>
        </w:rPr>
      </w:pPr>
      <w:r w:rsidRPr="00271E51">
        <w:rPr>
          <w:rStyle w:val="491"/>
          <w:rFonts w:ascii="Times New Roman" w:hAnsi="Times New Roman" w:cs="Times New Roman"/>
          <w:color w:val="0070C0"/>
          <w:sz w:val="16"/>
          <w:szCs w:val="16"/>
        </w:rPr>
        <w:t>Для улучшения видимости опознаватель</w:t>
      </w:r>
      <w:r w:rsidRPr="00271E51">
        <w:rPr>
          <w:rStyle w:val="491"/>
          <w:rFonts w:ascii="Times New Roman" w:hAnsi="Times New Roman" w:cs="Times New Roman"/>
          <w:color w:val="0070C0"/>
          <w:sz w:val="16"/>
          <w:szCs w:val="16"/>
        </w:rPr>
        <w:softHyphen/>
        <w:t>ного знака самолетов ВВС Красной Армии</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приказываю: Установленный для самолетов</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ВВС Красной Армии опознавательный знак</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Красная Звезда окаймлять по внешнему кон</w:t>
      </w:r>
      <w:r w:rsidRPr="00271E51">
        <w:rPr>
          <w:rStyle w:val="491"/>
          <w:rFonts w:ascii="Times New Roman" w:hAnsi="Times New Roman" w:cs="Times New Roman"/>
          <w:color w:val="0070C0"/>
          <w:sz w:val="16"/>
          <w:szCs w:val="16"/>
        </w:rPr>
        <w:softHyphen/>
        <w:t>туру белой полосой шириной 5 см с окантов</w:t>
      </w:r>
      <w:r w:rsidRPr="00271E51">
        <w:rPr>
          <w:rStyle w:val="491"/>
          <w:rFonts w:ascii="Times New Roman" w:hAnsi="Times New Roman" w:cs="Times New Roman"/>
          <w:color w:val="0070C0"/>
          <w:sz w:val="16"/>
          <w:szCs w:val="16"/>
        </w:rPr>
        <w:softHyphen/>
        <w:t>кой ее красной полоской шириной в 1 см.</w:t>
      </w:r>
      <w:r w:rsidRPr="00271E51">
        <w:rPr>
          <w:rStyle w:val="491"/>
          <w:rFonts w:ascii="Times New Roman" w:hAnsi="Times New Roman" w:cs="Times New Roman"/>
          <w:color w:val="0070C0"/>
          <w:sz w:val="16"/>
          <w:szCs w:val="16"/>
          <w:lang w:val="ru"/>
        </w:rPr>
        <w:t xml:space="preserve"> </w:t>
      </w:r>
      <w:r w:rsidRPr="00271E51">
        <w:rPr>
          <w:rStyle w:val="491"/>
          <w:rFonts w:ascii="Times New Roman" w:hAnsi="Times New Roman" w:cs="Times New Roman"/>
          <w:color w:val="0070C0"/>
          <w:sz w:val="16"/>
          <w:szCs w:val="16"/>
        </w:rPr>
        <w:t>Народный комиссар обороны Маршал Совет</w:t>
      </w:r>
      <w:r w:rsidRPr="00271E51">
        <w:rPr>
          <w:rStyle w:val="491"/>
          <w:rFonts w:ascii="Times New Roman" w:hAnsi="Times New Roman" w:cs="Times New Roman"/>
          <w:color w:val="0070C0"/>
          <w:sz w:val="16"/>
          <w:szCs w:val="16"/>
        </w:rPr>
        <w:softHyphen/>
        <w:t>ского Союза И. СТАЛИН»</w:t>
      </w:r>
    </w:p>
    <w:p w14:paraId="141798DD" w14:textId="77777777" w:rsidR="00B3406E" w:rsidRPr="00271E51" w:rsidRDefault="00B3406E" w:rsidP="00271E51">
      <w:pPr>
        <w:shd w:val="clear" w:color="auto" w:fill="FFFFFF"/>
        <w:spacing w:after="0" w:line="240" w:lineRule="auto"/>
        <w:jc w:val="both"/>
        <w:rPr>
          <w:rFonts w:ascii="Times New Roman" w:hAnsi="Times New Roman"/>
          <w:color w:val="0070C0"/>
          <w:sz w:val="16"/>
          <w:szCs w:val="16"/>
        </w:rPr>
      </w:pPr>
      <w:r w:rsidRPr="00271E51">
        <w:rPr>
          <w:rStyle w:val="98"/>
          <w:rFonts w:ascii="Times New Roman" w:hAnsi="Times New Roman" w:cs="Times New Roman"/>
          <w:color w:val="0070C0"/>
          <w:sz w:val="16"/>
          <w:szCs w:val="16"/>
        </w:rPr>
        <w:t>При этом общий размер ОЗ и места их</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нанесения оставались прежними. Любопыт</w:t>
      </w:r>
      <w:r w:rsidRPr="00271E51">
        <w:rPr>
          <w:rStyle w:val="98"/>
          <w:rFonts w:ascii="Times New Roman" w:hAnsi="Times New Roman" w:cs="Times New Roman"/>
          <w:color w:val="0070C0"/>
          <w:sz w:val="16"/>
          <w:szCs w:val="16"/>
        </w:rPr>
        <w:softHyphen/>
        <w:t>но, что незадолго перед очередным измене</w:t>
      </w:r>
      <w:r w:rsidRPr="00271E51">
        <w:rPr>
          <w:rStyle w:val="98"/>
          <w:rFonts w:ascii="Times New Roman" w:hAnsi="Times New Roman" w:cs="Times New Roman"/>
          <w:color w:val="0070C0"/>
          <w:sz w:val="16"/>
          <w:szCs w:val="16"/>
        </w:rPr>
        <w:softHyphen/>
        <w:t>нием регламента ОЗ изменили стандарт</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окраски верхних и боковых поверхностей</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боевых самолетов. Действовавший до сере</w:t>
      </w:r>
      <w:r w:rsidRPr="00271E51">
        <w:rPr>
          <w:rStyle w:val="98"/>
          <w:rFonts w:ascii="Times New Roman" w:hAnsi="Times New Roman" w:cs="Times New Roman"/>
          <w:color w:val="0070C0"/>
          <w:sz w:val="16"/>
          <w:szCs w:val="16"/>
        </w:rPr>
        <w:softHyphen/>
        <w:t>дины лета 1943 года для всей сухопутной</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боевой авиации стандарт на черно-зеленый</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камуфляж был отменен. Истребительная</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авиация вместо него получила двухцветный</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камуфляж из двух оттенков серого цвета. А</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штурмовая и бомбардировочная стала окра</w:t>
      </w:r>
      <w:r w:rsidRPr="00271E51">
        <w:rPr>
          <w:rStyle w:val="98"/>
          <w:rFonts w:ascii="Times New Roman" w:hAnsi="Times New Roman" w:cs="Times New Roman"/>
          <w:color w:val="0070C0"/>
          <w:sz w:val="16"/>
          <w:szCs w:val="16"/>
        </w:rPr>
        <w:softHyphen/>
        <w:t>шиваться в трехцветный камуфляж из зеле</w:t>
      </w:r>
      <w:r w:rsidRPr="00271E51">
        <w:rPr>
          <w:rStyle w:val="98"/>
          <w:rFonts w:ascii="Times New Roman" w:hAnsi="Times New Roman" w:cs="Times New Roman"/>
          <w:color w:val="0070C0"/>
          <w:sz w:val="16"/>
          <w:szCs w:val="16"/>
        </w:rPr>
        <w:softHyphen/>
        <w:t>ного, светло-коричневого (в документах тех</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лет «табачного») и темно-серого цветов (для</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Пе-8 и Ил-4 вместо темно-серого цвета</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использовался черный). Непродолжитель</w:t>
      </w:r>
      <w:r w:rsidRPr="00271E51">
        <w:rPr>
          <w:rStyle w:val="98"/>
          <w:rFonts w:ascii="Times New Roman" w:hAnsi="Times New Roman" w:cs="Times New Roman"/>
          <w:color w:val="0070C0"/>
          <w:sz w:val="16"/>
          <w:szCs w:val="16"/>
        </w:rPr>
        <w:softHyphen/>
        <w:t>ное время самолеты выходили с заводов в</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новом камуфляже, но со звездами старого</w:t>
      </w:r>
      <w:r w:rsidRPr="00271E51">
        <w:rPr>
          <w:rStyle w:val="99"/>
          <w:rFonts w:ascii="Times New Roman" w:hAnsi="Times New Roman" w:cs="Times New Roman"/>
          <w:color w:val="0070C0"/>
          <w:sz w:val="16"/>
          <w:szCs w:val="16"/>
          <w:lang w:val="ru"/>
        </w:rPr>
        <w:t xml:space="preserve"> </w:t>
      </w:r>
      <w:r w:rsidRPr="00271E51">
        <w:rPr>
          <w:rStyle w:val="98"/>
          <w:rFonts w:ascii="Times New Roman" w:hAnsi="Times New Roman" w:cs="Times New Roman"/>
          <w:color w:val="0070C0"/>
          <w:sz w:val="16"/>
          <w:szCs w:val="16"/>
        </w:rPr>
        <w:t xml:space="preserve">образца без окантовки или с тонкой черной </w:t>
      </w:r>
      <w:r w:rsidRPr="00271E51">
        <w:rPr>
          <w:rStyle w:val="1000"/>
          <w:rFonts w:ascii="Times New Roman" w:hAnsi="Times New Roman" w:cs="Times New Roman"/>
          <w:color w:val="0070C0"/>
          <w:sz w:val="16"/>
          <w:szCs w:val="16"/>
        </w:rPr>
        <w:t>окантовкой. Зато после введения нового</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стандарта ОЗ в частях на большинстве само</w:t>
      </w:r>
      <w:r w:rsidRPr="00271E51">
        <w:rPr>
          <w:rStyle w:val="1000"/>
          <w:rFonts w:ascii="Times New Roman" w:hAnsi="Times New Roman" w:cs="Times New Roman"/>
          <w:color w:val="0070C0"/>
          <w:sz w:val="16"/>
          <w:szCs w:val="16"/>
        </w:rPr>
        <w:softHyphen/>
        <w:t>летов, независимо от типа камуфляжа и вре</w:t>
      </w:r>
      <w:r w:rsidRPr="00271E51">
        <w:rPr>
          <w:rStyle w:val="1000"/>
          <w:rFonts w:ascii="Times New Roman" w:hAnsi="Times New Roman" w:cs="Times New Roman"/>
          <w:color w:val="0070C0"/>
          <w:sz w:val="16"/>
          <w:szCs w:val="16"/>
        </w:rPr>
        <w:softHyphen/>
        <w:t>мени выпуска, стали дорисовывать красно-</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белые окантовки, причем делали это по-раз</w:t>
      </w:r>
      <w:r w:rsidRPr="00271E51">
        <w:rPr>
          <w:rStyle w:val="1000"/>
          <w:rFonts w:ascii="Times New Roman" w:hAnsi="Times New Roman" w:cs="Times New Roman"/>
          <w:color w:val="0070C0"/>
          <w:sz w:val="16"/>
          <w:szCs w:val="16"/>
        </w:rPr>
        <w:softHyphen/>
        <w:t>ному. Если красно-белые обводки дорисовы</w:t>
      </w:r>
      <w:r w:rsidRPr="00271E51">
        <w:rPr>
          <w:rStyle w:val="1000"/>
          <w:rFonts w:ascii="Times New Roman" w:hAnsi="Times New Roman" w:cs="Times New Roman"/>
          <w:color w:val="0070C0"/>
          <w:sz w:val="16"/>
          <w:szCs w:val="16"/>
        </w:rPr>
        <w:softHyphen/>
        <w:t>вались «внутрь» без изменения общего габа</w:t>
      </w:r>
      <w:r w:rsidRPr="00271E51">
        <w:rPr>
          <w:rStyle w:val="1000"/>
          <w:rFonts w:ascii="Times New Roman" w:hAnsi="Times New Roman" w:cs="Times New Roman"/>
          <w:color w:val="0070C0"/>
          <w:sz w:val="16"/>
          <w:szCs w:val="16"/>
        </w:rPr>
        <w:softHyphen/>
        <w:t>рита звезды, то такой ОЗ практически не</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отличался от заводского, но из-за сложности</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разметки этот вариант встречался сравни</w:t>
      </w:r>
      <w:r w:rsidRPr="00271E51">
        <w:rPr>
          <w:rStyle w:val="1000"/>
          <w:rFonts w:ascii="Times New Roman" w:hAnsi="Times New Roman" w:cs="Times New Roman"/>
          <w:color w:val="0070C0"/>
          <w:sz w:val="16"/>
          <w:szCs w:val="16"/>
        </w:rPr>
        <w:softHyphen/>
        <w:t>тельно редко. Гораздо проще было дорисо</w:t>
      </w:r>
      <w:r w:rsidRPr="00271E51">
        <w:rPr>
          <w:rStyle w:val="1000"/>
          <w:rFonts w:ascii="Times New Roman" w:hAnsi="Times New Roman" w:cs="Times New Roman"/>
          <w:color w:val="0070C0"/>
          <w:sz w:val="16"/>
          <w:szCs w:val="16"/>
        </w:rPr>
        <w:softHyphen/>
        <w:t>вать обводки поверх звезд, что сильно уве</w:t>
      </w:r>
      <w:r w:rsidRPr="00271E51">
        <w:rPr>
          <w:rStyle w:val="1000"/>
          <w:rFonts w:ascii="Times New Roman" w:hAnsi="Times New Roman" w:cs="Times New Roman"/>
          <w:color w:val="0070C0"/>
          <w:sz w:val="16"/>
          <w:szCs w:val="16"/>
        </w:rPr>
        <w:softHyphen/>
        <w:t>личивало размер ОЗ, и зачастую звезды пере</w:t>
      </w:r>
      <w:r w:rsidRPr="00271E51">
        <w:rPr>
          <w:rStyle w:val="1000"/>
          <w:rFonts w:ascii="Times New Roman" w:hAnsi="Times New Roman" w:cs="Times New Roman"/>
          <w:color w:val="0070C0"/>
          <w:sz w:val="16"/>
          <w:szCs w:val="16"/>
        </w:rPr>
        <w:softHyphen/>
        <w:t>ставали нормально умещаться на том участке</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крыла, киля или фюзеляжа, на котором они</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изначально располагались. Подгоняя рису</w:t>
      </w:r>
      <w:r w:rsidRPr="00271E51">
        <w:rPr>
          <w:rStyle w:val="1000"/>
          <w:rFonts w:ascii="Times New Roman" w:hAnsi="Times New Roman" w:cs="Times New Roman"/>
          <w:color w:val="0070C0"/>
          <w:sz w:val="16"/>
          <w:szCs w:val="16"/>
        </w:rPr>
        <w:softHyphen/>
        <w:t>нок по месту, приходилось либо искажать</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форму звезды, округляя кончики лучей, либо</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уменьшать толщину белой обводки. В любом</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случае, это придавало звездам индивидуаль</w:t>
      </w:r>
      <w:r w:rsidRPr="00271E51">
        <w:rPr>
          <w:rStyle w:val="1000"/>
          <w:rFonts w:ascii="Times New Roman" w:hAnsi="Times New Roman" w:cs="Times New Roman"/>
          <w:color w:val="0070C0"/>
          <w:sz w:val="16"/>
          <w:szCs w:val="16"/>
        </w:rPr>
        <w:softHyphen/>
        <w:t>ную форму на каждом самолете, который</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подвергался такой доработке.</w:t>
      </w:r>
    </w:p>
    <w:p w14:paraId="68501419" w14:textId="77777777" w:rsidR="00B3406E" w:rsidRPr="00271E51" w:rsidRDefault="00B3406E" w:rsidP="00271E51">
      <w:pPr>
        <w:pStyle w:val="1511"/>
        <w:shd w:val="clear" w:color="auto" w:fill="auto"/>
        <w:spacing w:line="240" w:lineRule="auto"/>
        <w:jc w:val="both"/>
        <w:rPr>
          <w:rFonts w:ascii="Times New Roman" w:hAnsi="Times New Roman" w:cs="Times New Roman"/>
          <w:color w:val="0070C0"/>
          <w:sz w:val="16"/>
          <w:szCs w:val="16"/>
        </w:rPr>
      </w:pPr>
      <w:r w:rsidRPr="00271E51">
        <w:rPr>
          <w:rStyle w:val="1000"/>
          <w:rFonts w:ascii="Times New Roman" w:hAnsi="Times New Roman" w:cs="Times New Roman"/>
          <w:color w:val="0070C0"/>
          <w:sz w:val="16"/>
          <w:szCs w:val="16"/>
        </w:rPr>
        <w:t>Изредка вместо белой краски окаймления</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могли использовать серебрянку. Обычно это</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делалось в качестве своеобразного элемента</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декора, реже - от недостатка ремонтных</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материалов и, в целом, такая практика широ</w:t>
      </w:r>
      <w:r w:rsidRPr="00271E51">
        <w:rPr>
          <w:rStyle w:val="1000"/>
          <w:rFonts w:ascii="Times New Roman" w:hAnsi="Times New Roman" w:cs="Times New Roman"/>
          <w:color w:val="0070C0"/>
          <w:sz w:val="16"/>
          <w:szCs w:val="16"/>
        </w:rPr>
        <w:softHyphen/>
        <w:t>кого распространения не получила. Исполь</w:t>
      </w:r>
      <w:r w:rsidRPr="00271E51">
        <w:rPr>
          <w:rStyle w:val="1000"/>
          <w:rFonts w:ascii="Times New Roman" w:hAnsi="Times New Roman" w:cs="Times New Roman"/>
          <w:color w:val="0070C0"/>
          <w:sz w:val="16"/>
          <w:szCs w:val="16"/>
        </w:rPr>
        <w:softHyphen/>
        <w:t>зование еще каких-либо иных цветов окайм</w:t>
      </w:r>
      <w:r w:rsidRPr="00271E51">
        <w:rPr>
          <w:rStyle w:val="1000"/>
          <w:rFonts w:ascii="Times New Roman" w:hAnsi="Times New Roman" w:cs="Times New Roman"/>
          <w:color w:val="0070C0"/>
          <w:sz w:val="16"/>
          <w:szCs w:val="16"/>
        </w:rPr>
        <w:softHyphen/>
        <w:t>ления ОЗ вместо белого не подтверждается,</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так что обычно появление таких изображе</w:t>
      </w:r>
      <w:r w:rsidRPr="00271E51">
        <w:rPr>
          <w:rStyle w:val="1000"/>
          <w:rFonts w:ascii="Times New Roman" w:hAnsi="Times New Roman" w:cs="Times New Roman"/>
          <w:color w:val="0070C0"/>
          <w:sz w:val="16"/>
          <w:szCs w:val="16"/>
        </w:rPr>
        <w:softHyphen/>
        <w:t>ний в литературе является плодом фантазии</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не особо вникающих в «матчасть» зарубеж</w:t>
      </w:r>
      <w:r w:rsidRPr="00271E51">
        <w:rPr>
          <w:rStyle w:val="1000"/>
          <w:rFonts w:ascii="Times New Roman" w:hAnsi="Times New Roman" w:cs="Times New Roman"/>
          <w:color w:val="0070C0"/>
          <w:sz w:val="16"/>
          <w:szCs w:val="16"/>
        </w:rPr>
        <w:softHyphen/>
        <w:t>ных авторов. Очевидно, изначально на эти</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откровенные выдумки их толкала скудость</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информации о советской авиации, просачи</w:t>
      </w:r>
      <w:r w:rsidRPr="00271E51">
        <w:rPr>
          <w:rStyle w:val="1000"/>
          <w:rFonts w:ascii="Times New Roman" w:hAnsi="Times New Roman" w:cs="Times New Roman"/>
          <w:color w:val="0070C0"/>
          <w:sz w:val="16"/>
          <w:szCs w:val="16"/>
        </w:rPr>
        <w:softHyphen/>
        <w:t>вающейся через «железный занавес», а когда</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железный занавес перестал существовать, то</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халтурили уже по инерции, не найдя в себе</w:t>
      </w:r>
      <w:r w:rsidRPr="00271E51">
        <w:rPr>
          <w:rStyle w:val="1011"/>
          <w:rFonts w:ascii="Times New Roman" w:hAnsi="Times New Roman" w:cs="Times New Roman"/>
          <w:color w:val="0070C0"/>
          <w:sz w:val="16"/>
          <w:szCs w:val="16"/>
        </w:rPr>
        <w:t xml:space="preserve"> </w:t>
      </w:r>
      <w:r w:rsidRPr="00271E51">
        <w:rPr>
          <w:rStyle w:val="1000"/>
          <w:rFonts w:ascii="Times New Roman" w:hAnsi="Times New Roman" w:cs="Times New Roman"/>
          <w:color w:val="0070C0"/>
          <w:sz w:val="16"/>
          <w:szCs w:val="16"/>
        </w:rPr>
        <w:t>сил признаться в старых заблуждениях...</w:t>
      </w:r>
    </w:p>
    <w:p w14:paraId="631FFDAA" w14:textId="77777777" w:rsidR="00B3406E" w:rsidRPr="00271E51" w:rsidRDefault="00B3406E" w:rsidP="00271E51">
      <w:pPr>
        <w:shd w:val="clear" w:color="auto" w:fill="FFFFFF"/>
        <w:spacing w:after="0" w:line="240" w:lineRule="auto"/>
        <w:jc w:val="both"/>
        <w:rPr>
          <w:rStyle w:val="1021"/>
          <w:rFonts w:ascii="Times New Roman" w:hAnsi="Times New Roman" w:cs="Times New Roman"/>
          <w:color w:val="0070C0"/>
          <w:sz w:val="16"/>
          <w:szCs w:val="16"/>
        </w:rPr>
      </w:pPr>
      <w:r w:rsidRPr="00271E51">
        <w:rPr>
          <w:rStyle w:val="1000"/>
          <w:rFonts w:ascii="Times New Roman" w:hAnsi="Times New Roman" w:cs="Times New Roman"/>
          <w:color w:val="0070C0"/>
          <w:sz w:val="16"/>
          <w:szCs w:val="16"/>
        </w:rPr>
        <w:t>Новый стандарт ОЗ был «творчески» вос</w:t>
      </w:r>
      <w:r w:rsidRPr="00271E51">
        <w:rPr>
          <w:rStyle w:val="1000"/>
          <w:rFonts w:ascii="Times New Roman" w:hAnsi="Times New Roman" w:cs="Times New Roman"/>
          <w:color w:val="0070C0"/>
          <w:sz w:val="16"/>
          <w:szCs w:val="16"/>
        </w:rPr>
        <w:softHyphen/>
        <w:t>принят и на авиазаводах. Снова не обошлось</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без индивидуальных особенностей. Завод</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№31 изображал красно-белую окантовку</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только на звездах, расположенных на крыле</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и фюзеляже, а килевая звезда не только</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сохранила свой характерный мелкий размер,</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но и былое отсутствие обводки. Такая гиб</w:t>
      </w:r>
      <w:r w:rsidRPr="00271E51">
        <w:rPr>
          <w:rStyle w:val="1000"/>
          <w:rFonts w:ascii="Times New Roman" w:hAnsi="Times New Roman" w:cs="Times New Roman"/>
          <w:color w:val="0070C0"/>
          <w:sz w:val="16"/>
          <w:szCs w:val="16"/>
        </w:rPr>
        <w:softHyphen/>
        <w:t>ридная схема сохранялась на всех ЛаГГ-3 (и</w:t>
      </w:r>
      <w:r w:rsidRPr="00271E51">
        <w:rPr>
          <w:rStyle w:val="1011"/>
          <w:rFonts w:ascii="Times New Roman" w:hAnsi="Times New Roman" w:cs="Times New Roman"/>
          <w:color w:val="0070C0"/>
          <w:sz w:val="16"/>
          <w:szCs w:val="16"/>
          <w:lang w:val="ru"/>
        </w:rPr>
        <w:t xml:space="preserve"> </w:t>
      </w:r>
      <w:r w:rsidRPr="00271E51">
        <w:rPr>
          <w:rStyle w:val="1000"/>
          <w:rFonts w:ascii="Times New Roman" w:hAnsi="Times New Roman" w:cs="Times New Roman"/>
          <w:color w:val="0070C0"/>
          <w:sz w:val="16"/>
          <w:szCs w:val="16"/>
        </w:rPr>
        <w:t>немногочисленных выпущенных этим заво</w:t>
      </w:r>
      <w:r w:rsidRPr="00271E51">
        <w:rPr>
          <w:rStyle w:val="1000"/>
          <w:rFonts w:ascii="Times New Roman" w:hAnsi="Times New Roman" w:cs="Times New Roman"/>
          <w:color w:val="0070C0"/>
          <w:sz w:val="16"/>
          <w:szCs w:val="16"/>
        </w:rPr>
        <w:softHyphen/>
        <w:t xml:space="preserve">дом в 1942-43 гг. в количестве 27 шт. Ла-5) </w:t>
      </w:r>
      <w:r w:rsidRPr="00271E51">
        <w:rPr>
          <w:rStyle w:val="1021"/>
          <w:rFonts w:ascii="Times New Roman" w:hAnsi="Times New Roman" w:cs="Times New Roman"/>
          <w:color w:val="0070C0"/>
          <w:sz w:val="16"/>
          <w:szCs w:val="16"/>
        </w:rPr>
        <w:t>вплоть до завершения их выпуска в 1944</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году. Даже первый серийный Як-3 завода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№31 нес «фамильные» звезды. И только Як-3</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массовой постройки уже получили килевую</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звезду близкого к стандартному вида. Оди</w:t>
      </w:r>
      <w:r w:rsidRPr="00271E51">
        <w:rPr>
          <w:rStyle w:val="1021"/>
          <w:rFonts w:ascii="Times New Roman" w:hAnsi="Times New Roman" w:cs="Times New Roman"/>
          <w:color w:val="0070C0"/>
          <w:sz w:val="16"/>
          <w:szCs w:val="16"/>
        </w:rPr>
        <w:softHyphen/>
        <w:t>наковая толщина белой и красной обводок,</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независимо от общего размера ОЗ, делала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звезду небольшого размера необычно</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выглядевшей, так что большинство заводов</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так или иначе искажали предписанный стан</w:t>
      </w:r>
      <w:r w:rsidRPr="00271E51">
        <w:rPr>
          <w:rStyle w:val="1021"/>
          <w:rFonts w:ascii="Times New Roman" w:hAnsi="Times New Roman" w:cs="Times New Roman"/>
          <w:color w:val="0070C0"/>
          <w:sz w:val="16"/>
          <w:szCs w:val="16"/>
        </w:rPr>
        <w:softHyphen/>
        <w:t>дарт. Например, у основного производителя</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Як-9 новосибирского завода №153 толщина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белого окаймления была заметно уменьшена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в сравнении с «уставными» 50 мм, похожие</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звезды несли на киле Як-9 омского завода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№166, где белое окаймление звезды на киле</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практически сравнялось по толщине с внеш</w:t>
      </w:r>
      <w:r w:rsidRPr="00271E51">
        <w:rPr>
          <w:rStyle w:val="1021"/>
          <w:rFonts w:ascii="Times New Roman" w:hAnsi="Times New Roman" w:cs="Times New Roman"/>
          <w:color w:val="0070C0"/>
          <w:sz w:val="16"/>
          <w:szCs w:val="16"/>
        </w:rPr>
        <w:softHyphen/>
        <w:t>ним красным. Большинство авиазаводов</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пошли именно этим путем. При этом новоси</w:t>
      </w:r>
      <w:r w:rsidRPr="00271E51">
        <w:rPr>
          <w:rStyle w:val="1021"/>
          <w:rFonts w:ascii="Times New Roman" w:hAnsi="Times New Roman" w:cs="Times New Roman"/>
          <w:color w:val="0070C0"/>
          <w:sz w:val="16"/>
          <w:szCs w:val="16"/>
        </w:rPr>
        <w:softHyphen/>
        <w:t>бирские «Яки» на киле имели звезды, втис</w:t>
      </w:r>
      <w:r w:rsidRPr="00271E51">
        <w:rPr>
          <w:rStyle w:val="1021"/>
          <w:rFonts w:ascii="Times New Roman" w:hAnsi="Times New Roman" w:cs="Times New Roman"/>
          <w:color w:val="0070C0"/>
          <w:sz w:val="16"/>
          <w:szCs w:val="16"/>
        </w:rPr>
        <w:softHyphen/>
        <w:t>нутые на его неподвижную часть, а омские</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располагались почти посредине киля,</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частично заходя на руль поворота. Более</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редкое решение использовали на заводе</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№82 в Тушино, тоже строившем Як-9. Здесь,</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руководствуясь «эстетическими» соображе</w:t>
      </w:r>
      <w:r w:rsidRPr="00271E51">
        <w:rPr>
          <w:rStyle w:val="1021"/>
          <w:rFonts w:ascii="Times New Roman" w:hAnsi="Times New Roman" w:cs="Times New Roman"/>
          <w:color w:val="0070C0"/>
          <w:sz w:val="16"/>
          <w:szCs w:val="16"/>
        </w:rPr>
        <w:softHyphen/>
        <w:t>ниями, значительно был увеличен размер</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звезды, которая почти полностью заняла</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весь верх киля. Одними из немногих заводов,</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старавшимися строго придерживаться ново</w:t>
      </w:r>
      <w:r w:rsidRPr="00271E51">
        <w:rPr>
          <w:rStyle w:val="1021"/>
          <w:rFonts w:ascii="Times New Roman" w:hAnsi="Times New Roman" w:cs="Times New Roman"/>
          <w:color w:val="0070C0"/>
          <w:sz w:val="16"/>
          <w:szCs w:val="16"/>
        </w:rPr>
        <w:softHyphen/>
        <w:t>го стандарта, стали саратовский №292 и тби</w:t>
      </w:r>
      <w:r w:rsidRPr="00271E51">
        <w:rPr>
          <w:rStyle w:val="1021"/>
          <w:rFonts w:ascii="Times New Roman" w:hAnsi="Times New Roman" w:cs="Times New Roman"/>
          <w:color w:val="0070C0"/>
          <w:sz w:val="16"/>
          <w:szCs w:val="16"/>
        </w:rPr>
        <w:softHyphen/>
        <w:t>лисский №31 (с Як-3), из-за чего их «Яки»</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заметно отличались от остальных, выделяясь</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непропорционально маленькой красной</w:t>
      </w:r>
      <w:r w:rsidRPr="00271E51">
        <w:rPr>
          <w:rStyle w:val="1031"/>
          <w:rFonts w:ascii="Times New Roman" w:hAnsi="Times New Roman" w:cs="Times New Roman"/>
          <w:color w:val="0070C0"/>
          <w:sz w:val="16"/>
          <w:szCs w:val="16"/>
        </w:rPr>
        <w:t xml:space="preserve"> </w:t>
      </w:r>
      <w:r w:rsidRPr="00271E51">
        <w:rPr>
          <w:rStyle w:val="1021"/>
          <w:rFonts w:ascii="Times New Roman" w:hAnsi="Times New Roman" w:cs="Times New Roman"/>
          <w:color w:val="0070C0"/>
          <w:sz w:val="16"/>
          <w:szCs w:val="16"/>
        </w:rPr>
        <w:t>звездой на киле (19934).</w:t>
      </w:r>
    </w:p>
    <w:p w14:paraId="5D5342E4" w14:textId="77777777" w:rsidR="00B3406E" w:rsidRPr="00271E51" w:rsidRDefault="00B3406E" w:rsidP="00271E51">
      <w:pPr>
        <w:shd w:val="clear" w:color="auto" w:fill="FFFFFF"/>
        <w:spacing w:after="0" w:line="240" w:lineRule="auto"/>
        <w:jc w:val="both"/>
        <w:rPr>
          <w:rFonts w:ascii="Times New Roman" w:hAnsi="Times New Roman"/>
          <w:color w:val="0070C0"/>
          <w:sz w:val="16"/>
          <w:szCs w:val="16"/>
        </w:rPr>
      </w:pPr>
    </w:p>
    <w:p w14:paraId="5E3A0064" w14:textId="77777777" w:rsidR="00B3406E" w:rsidRPr="00271E51" w:rsidRDefault="00B3406E" w:rsidP="00271E51">
      <w:pPr>
        <w:spacing w:after="0" w:line="240" w:lineRule="auto"/>
        <w:jc w:val="both"/>
        <w:rPr>
          <w:rFonts w:ascii="Times New Roman" w:eastAsia="Times New Roman" w:hAnsi="Times New Roman"/>
          <w:color w:val="0070C0"/>
          <w:sz w:val="16"/>
          <w:szCs w:val="16"/>
          <w:shd w:val="clear" w:color="auto" w:fill="DCDCDC"/>
          <w:lang w:eastAsia="ru-RU"/>
        </w:rPr>
      </w:pPr>
      <w:r w:rsidRPr="00271E51">
        <w:rPr>
          <w:rStyle w:val="a7"/>
          <w:rFonts w:ascii="Times New Roman" w:hAnsi="Times New Roman"/>
          <w:b w:val="0"/>
          <w:bCs w:val="0"/>
          <w:color w:val="0070C0"/>
          <w:sz w:val="16"/>
          <w:szCs w:val="16"/>
          <w:shd w:val="clear" w:color="auto" w:fill="FFFFFF"/>
        </w:rPr>
        <w:t>3 сентября 1943 г.</w:t>
      </w:r>
    </w:p>
    <w:p w14:paraId="722DD4D1"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ПРИКАЗ ОБ УЛУЧШЕНИИ ВИДИМОСТИ ОПОЗНАВАТЕЛЬНЫХ ЗНАКОВ НА САМОЛЕТАХ ВВС КРАСНОЙ АРМИИ</w:t>
      </w:r>
    </w:p>
    <w:p w14:paraId="634A439E"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 267 3 сентября 1943 г.</w:t>
      </w:r>
    </w:p>
    <w:p w14:paraId="3311019B"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Для улучшения видимости опознавательного знака самолетов ВВС Красной Армии приказываю:</w:t>
      </w:r>
    </w:p>
    <w:p w14:paraId="2E775ECB"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Установленный для самолетов ВВС Красной Армии опознавательный знак Красная Звезда окаймлять по внешнему контуру белой полосой шириной 5 см с окантовкой ее красной полоской шириной в 1 см.</w:t>
      </w:r>
    </w:p>
    <w:p w14:paraId="347C502A"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Народный комиссар обороны</w:t>
      </w:r>
    </w:p>
    <w:p w14:paraId="201C1A80" w14:textId="77777777" w:rsidR="00B3406E" w:rsidRPr="00271E51" w:rsidRDefault="00B3406E" w:rsidP="00271E51">
      <w:pPr>
        <w:spacing w:after="0" w:line="240" w:lineRule="auto"/>
        <w:jc w:val="both"/>
        <w:rPr>
          <w:rStyle w:val="a7"/>
          <w:rFonts w:ascii="Times New Roman" w:hAnsi="Times New Roman"/>
          <w:b w:val="0"/>
          <w:bCs w:val="0"/>
          <w:color w:val="0070C0"/>
          <w:sz w:val="16"/>
          <w:szCs w:val="16"/>
          <w:shd w:val="clear" w:color="auto" w:fill="FFFFFF"/>
        </w:rPr>
      </w:pPr>
      <w:r w:rsidRPr="00271E51">
        <w:rPr>
          <w:rStyle w:val="a7"/>
          <w:rFonts w:ascii="Times New Roman" w:hAnsi="Times New Roman"/>
          <w:b w:val="0"/>
          <w:bCs w:val="0"/>
          <w:color w:val="0070C0"/>
          <w:sz w:val="16"/>
          <w:szCs w:val="16"/>
          <w:shd w:val="clear" w:color="auto" w:fill="FFFFFF"/>
        </w:rPr>
        <w:t>Маршал Советского Союза И. СТАЛИН</w:t>
      </w:r>
    </w:p>
    <w:p w14:paraId="71315FA9" w14:textId="77777777" w:rsidR="00B3406E" w:rsidRPr="00271E51" w:rsidRDefault="00B3406E" w:rsidP="00271E51">
      <w:pPr>
        <w:spacing w:after="0" w:line="240" w:lineRule="auto"/>
        <w:jc w:val="both"/>
        <w:rPr>
          <w:rFonts w:ascii="Times New Roman" w:eastAsia="Times New Roman" w:hAnsi="Times New Roman"/>
          <w:color w:val="0070C0"/>
          <w:sz w:val="16"/>
          <w:szCs w:val="16"/>
          <w:shd w:val="clear" w:color="auto" w:fill="DCDCDC"/>
          <w:lang w:eastAsia="ru-RU"/>
        </w:rPr>
      </w:pPr>
      <w:r w:rsidRPr="00271E51">
        <w:rPr>
          <w:rStyle w:val="a7"/>
          <w:rFonts w:ascii="Times New Roman" w:hAnsi="Times New Roman"/>
          <w:b w:val="0"/>
          <w:bCs w:val="0"/>
          <w:color w:val="0070C0"/>
          <w:sz w:val="16"/>
          <w:szCs w:val="16"/>
          <w:shd w:val="clear" w:color="auto" w:fill="FFFFFF"/>
        </w:rPr>
        <w:t>Ф. 4, оп. 12, д. 108, л. 403. Подлинник (19839).</w:t>
      </w:r>
    </w:p>
    <w:p w14:paraId="0E2FDB52" w14:textId="77777777" w:rsidR="00B3406E" w:rsidRPr="00271E51" w:rsidRDefault="00B3406E" w:rsidP="00271E51">
      <w:pPr>
        <w:spacing w:after="0" w:line="240" w:lineRule="auto"/>
        <w:jc w:val="both"/>
        <w:rPr>
          <w:rFonts w:ascii="Times New Roman" w:hAnsi="Times New Roman"/>
          <w:color w:val="0070C0"/>
          <w:sz w:val="16"/>
          <w:szCs w:val="16"/>
        </w:rPr>
      </w:pPr>
    </w:p>
    <w:p w14:paraId="6F11A1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приказом НКАП для улучшения видимости опознавательных знаков предписывал обводить звезды "по внешнему контуру белой полосой шириной 5 см с окантовкой ее красной полоской шириной 1 см" (11983).</w:t>
      </w:r>
    </w:p>
    <w:p w14:paraId="126049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92428" w14:textId="77777777" w:rsidR="00795BFA" w:rsidRPr="00271E51" w:rsidRDefault="00795BF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сентября 1943 г. по приказу у звёзд появились белые и красные окантовки. Для улучшения видимости предписывалось обводить их «по внешнему контуру белой полосой шириной 5 см с окантовкой её крас</w:t>
      </w:r>
      <w:r w:rsidRPr="00271E51">
        <w:rPr>
          <w:rFonts w:ascii="Times New Roman" w:cs="Times New Roman"/>
          <w:color w:val="000000" w:themeColor="text1"/>
          <w:spacing w:val="0"/>
        </w:rPr>
        <w:softHyphen/>
        <w:t>ной полоской шириной 1 см» (19103).</w:t>
      </w:r>
    </w:p>
    <w:p w14:paraId="151CDED0" w14:textId="77777777" w:rsidR="00795BFA" w:rsidRPr="00271E51" w:rsidRDefault="00795BFA" w:rsidP="00271E51">
      <w:pPr>
        <w:pStyle w:val="27"/>
        <w:shd w:val="clear" w:color="auto" w:fill="auto"/>
        <w:spacing w:after="0" w:line="240" w:lineRule="auto"/>
        <w:ind w:firstLine="0"/>
        <w:rPr>
          <w:rFonts w:ascii="Times New Roman" w:cs="Times New Roman"/>
          <w:color w:val="000000" w:themeColor="text1"/>
          <w:spacing w:val="0"/>
        </w:rPr>
      </w:pPr>
    </w:p>
    <w:p w14:paraId="0F9C8198"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22468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C05CC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была подготовлена СПРАВКА УСА ГБТУ КА О ХОДЕ ВЫПОЛНЕНИЯ ПОСТАНОВЛЕНИЙ ГКО ЗА АВГУСТ 1943 г. № 148705</w:t>
      </w:r>
    </w:p>
    <w:p w14:paraId="73B33B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Содержание и номера постановлений</w:t>
      </w:r>
    </w:p>
    <w:p w14:paraId="3DFD55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выполнения</w:t>
      </w:r>
    </w:p>
    <w:p w14:paraId="3AD4E9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№3892 от 8.08.1943 г.</w:t>
      </w:r>
    </w:p>
    <w:p w14:paraId="151C9B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БТ и МВ КА совместно с ГАУ КА обязаны провести испытания первых двух образцов СУ-85 с пушкой Д-5</w:t>
      </w:r>
    </w:p>
    <w:p w14:paraId="0588490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Испытания проведены в конце августа месяца на Уралмашзаводе. Результаты их удовлетворительные. Обнаружены мелкие недочеты. Материалы испытаний еще не </w:t>
      </w:r>
      <w:r w:rsidRPr="00271E51">
        <w:rPr>
          <w:rFonts w:ascii="Times New Roman" w:hAnsi="Times New Roman"/>
          <w:color w:val="000000" w:themeColor="text1"/>
          <w:sz w:val="16"/>
          <w:szCs w:val="16"/>
        </w:rPr>
        <w:lastRenderedPageBreak/>
        <w:t>получены</w:t>
      </w:r>
    </w:p>
    <w:p w14:paraId="5865DB4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№3826с от 28.07.1943 г.</w:t>
      </w:r>
    </w:p>
    <w:p w14:paraId="569AB8F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изготовлении опытных образцов стабилизаторов танковых пушек.</w:t>
      </w:r>
    </w:p>
    <w:p w14:paraId="08B6CB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Специальному конструкторскому бюро (СКВ) Наркомсудпрома:</w:t>
      </w:r>
    </w:p>
    <w:p w14:paraId="67996E9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Изготовить для ГБТУ КА опытный образец стаби</w:t>
      </w:r>
      <w:r w:rsidRPr="00271E51">
        <w:rPr>
          <w:rFonts w:ascii="Times New Roman" w:hAnsi="Times New Roman"/>
          <w:color w:val="000000" w:themeColor="text1"/>
          <w:sz w:val="16"/>
          <w:szCs w:val="16"/>
        </w:rPr>
        <w:softHyphen/>
        <w:t>лизатора 75-мм пушки танка М-ЗС и представить его на испытания к 1.09.1943 г.</w:t>
      </w:r>
    </w:p>
    <w:p w14:paraId="04349D2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Спроектировать и изготовить по тактико-техническим требованиям ГБТУ КА опытный образец стабилизатора к 76-мм пушке танка Т-34 к 15.10.1943 г. и опытный образец стабилизатора к 85-мм пушке танка ИС к 15.11.1943 г.</w:t>
      </w:r>
    </w:p>
    <w:p w14:paraId="717CC1A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Стабилизатор изготовлен и испытывается на макете. На танк будет установлен 5.09.1943 г.</w:t>
      </w:r>
    </w:p>
    <w:p w14:paraId="5A1DBBC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Тактико-технические требования отправлены 4.08.1943 г. за №148466</w:t>
      </w:r>
    </w:p>
    <w:p w14:paraId="41BA477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Чертежи стабилизатора к 76-мм пушке танка Т-34 изготовле</w:t>
      </w:r>
      <w:r w:rsidRPr="00271E51">
        <w:rPr>
          <w:rFonts w:ascii="Times New Roman" w:hAnsi="Times New Roman"/>
          <w:color w:val="000000" w:themeColor="text1"/>
          <w:sz w:val="16"/>
          <w:szCs w:val="16"/>
        </w:rPr>
        <w:softHyphen/>
        <w:t>ны. СКВ приступило к изготовлению опытного образца</w:t>
      </w:r>
    </w:p>
    <w:p w14:paraId="22548F9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УСА ГБТУ КА генерал-майор инженерно-танковой службы Алымов</w:t>
      </w:r>
    </w:p>
    <w:p w14:paraId="2114D11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Он. 11369. Д. 68. Л. 82. Копия (11403).</w:t>
      </w:r>
    </w:p>
    <w:p w14:paraId="36A665A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95982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вышло РАСПОРЯЖЕНИЕ НАЧАЛЬНИКА УЭТ ГБТУ КА НАЧАЛЬНИКУ НИБТ ПОЛИГОНА О НАКОПЛЕНИИ ОПЫТА В ОТНОШЕНИИ КАЧЕСТВА ПРИМЕНЯЕМЫХ ГСМ № 143</w:t>
      </w:r>
    </w:p>
    <w:p w14:paraId="0DFAA8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эксплуатации танков ГБТУ КА участвует в разработке государственных объединен</w:t>
      </w:r>
      <w:r w:rsidRPr="00271E51">
        <w:rPr>
          <w:rFonts w:ascii="Times New Roman" w:hAnsi="Times New Roman"/>
          <w:color w:val="000000" w:themeColor="text1"/>
          <w:sz w:val="16"/>
          <w:szCs w:val="16"/>
        </w:rPr>
        <w:softHyphen/>
        <w:t>ных стандартов и временных технических условий на горюче-смазочные материалы.</w:t>
      </w:r>
    </w:p>
    <w:p w14:paraId="641731D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сир пор систематического изучения качеств применяемых горюче-смазочных материалов в частях БТ и МВ не проводилось.</w:t>
      </w:r>
    </w:p>
    <w:p w14:paraId="68DF0055"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Поступающие сообщения по данному вопросу из войсковых частей являются случайными, а материалы, получаемые в результате проводимых испытаний, как правило, специального назначе</w:t>
      </w:r>
      <w:r w:rsidRPr="00271E51">
        <w:rPr>
          <w:rFonts w:ascii="Times New Roman" w:hAnsi="Times New Roman"/>
          <w:color w:val="000000" w:themeColor="text1"/>
          <w:sz w:val="16"/>
          <w:szCs w:val="16"/>
        </w:rPr>
        <w:softHyphen/>
        <w:t>ния, оказываются недостаточными для предъявления мотивированных требований к нефтяной про</w:t>
      </w:r>
      <w:r w:rsidRPr="00271E51">
        <w:rPr>
          <w:rFonts w:ascii="Times New Roman" w:hAnsi="Times New Roman"/>
          <w:color w:val="000000" w:themeColor="text1"/>
          <w:sz w:val="16"/>
          <w:szCs w:val="16"/>
        </w:rPr>
        <w:softHyphen/>
        <w:t>мышленности по качеству того или иного нефтепродукта.</w:t>
      </w:r>
    </w:p>
    <w:p w14:paraId="4E1C9BD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накопления опыта в отношении качества применяемых горюче-смазочных материалов прошу предусмотреть в плане научно-испытательных работ физико-химическое исследование горючих, масел и смазок, поступающих на НИ полигон ГБТУ КА для испытаний и целей хозяйствен</w:t>
      </w:r>
      <w:r w:rsidRPr="00271E51">
        <w:rPr>
          <w:rFonts w:ascii="Times New Roman" w:hAnsi="Times New Roman"/>
          <w:color w:val="000000" w:themeColor="text1"/>
          <w:sz w:val="16"/>
          <w:szCs w:val="16"/>
        </w:rPr>
        <w:softHyphen/>
        <w:t>ного обслуживания.</w:t>
      </w:r>
    </w:p>
    <w:p w14:paraId="3A9259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Образцы проб для исследований должны отбираться из каждой бочки, автоцистерны или другой емкости, поступающей с горючим или смазочным материалом в распоряжение полигона.</w:t>
      </w:r>
    </w:p>
    <w:p w14:paraId="1B88DBE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Исследование образцов необходимо производить в соответствии с показаниями ГОСТа или временного технического условия на данный сорт горючего или смазочного материала, по методам испытаний, утвержденным ГОСТами.</w:t>
      </w:r>
    </w:p>
    <w:p w14:paraId="6C693AF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анализа образцов ГСМ следует вносить в ежемесячные сводки и с соответствующи</w:t>
      </w:r>
      <w:r w:rsidRPr="00271E51">
        <w:rPr>
          <w:rFonts w:ascii="Times New Roman" w:hAnsi="Times New Roman"/>
          <w:color w:val="000000" w:themeColor="text1"/>
          <w:sz w:val="16"/>
          <w:szCs w:val="16"/>
        </w:rPr>
        <w:softHyphen/>
        <w:t>ми выводами (анализом о проделанной работе) направлять в УЭТ ГБТУ КА.</w:t>
      </w:r>
    </w:p>
    <w:p w14:paraId="1C08980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горюче-смазочные материалы, поступающие на полигон с нефтебаз, должны быть получены паспорта.</w:t>
      </w:r>
    </w:p>
    <w:p w14:paraId="10BC631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возможности следует установить происхождение сорта ГСМ, с какого завода прибыло горю</w:t>
      </w:r>
      <w:r w:rsidRPr="00271E51">
        <w:rPr>
          <w:rFonts w:ascii="Times New Roman" w:hAnsi="Times New Roman"/>
          <w:color w:val="000000" w:themeColor="text1"/>
          <w:sz w:val="16"/>
          <w:szCs w:val="16"/>
        </w:rPr>
        <w:softHyphen/>
        <w:t>чее, дата его получения, условия транспортировки, хранения и т.д.</w:t>
      </w:r>
    </w:p>
    <w:p w14:paraId="26312A9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УЭТ ГБТУ КА генерал-майор инженерно-танковой службы Печеникин</w:t>
      </w:r>
    </w:p>
    <w:p w14:paraId="473BAB2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11362. Д. 13. Л. 73. Подлинник (11403).</w:t>
      </w:r>
    </w:p>
    <w:p w14:paraId="5722289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C543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СНК СССР присвоил вновь организованному институту радиолокации наименование Всесоюзный научно-исследовательский институт № 108, подчинив его НКЭП. За этим последовало Постановление № 4072 от 8 сентября 1943 г. «О капитальном ремонте здания Всесоюзного научно-исследовательского института радиолокации». 21 декабря 1943 г. у института появился штатный начальник: приказом наркома электропромышленности им был назначен Петр Зиновьевич Стась (1906–1967) (15736).</w:t>
      </w:r>
    </w:p>
    <w:p w14:paraId="40B7ABA1"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61401D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вышло Распоряжение ГКО № 4026. О поставке и ремонте электрооборудования для пусковых объектов Ново-Тагильского металлургического завода.РГАНИР, Фонд ГКО, д. 149, лл. 8-9 (11012).</w:t>
      </w:r>
    </w:p>
    <w:p w14:paraId="73BF35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B717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вышло Постановление ГКО № 4027 О строительстве железной дороги Кант - Рыбачье в Киргизской ССР. (7137, 10-12).</w:t>
      </w:r>
    </w:p>
    <w:p w14:paraId="5FBD861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CD738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была подготовлена [Справка о выдаче удостоверения Борисову Н.А., командированному в Таганрог.] № 4028 (7137, 13).</w:t>
      </w:r>
    </w:p>
    <w:p w14:paraId="58D6AA3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4D9A9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была подготовлена [Справка о выдаче удостоверения Халютину Г.H., командированному в Таганрог.] № 4029 (7137, 13).</w:t>
      </w:r>
    </w:p>
    <w:p w14:paraId="4231323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FE56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вышло Постановление ГКО № 4030 Об отсрочке до 1 октября мобилизации рабочей силы для Кузбасса из Пензенской обл.РГАНИР, Фонд ГКО, д. 149, лл. 14 (11012).</w:t>
      </w:r>
    </w:p>
    <w:p w14:paraId="1DF1A66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A41A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5052A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3EA510"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сентября </w:t>
      </w:r>
      <w:r w:rsidRPr="00271E51">
        <w:rPr>
          <w:rFonts w:ascii="Times New Roman" w:hAnsi="Times New Roman"/>
          <w:color w:val="000000" w:themeColor="text1"/>
          <w:sz w:val="16"/>
          <w:szCs w:val="16"/>
        </w:rPr>
        <w:t>в 1943 году оперативная сводка Совинформбюро:</w:t>
      </w:r>
    </w:p>
    <w:p w14:paraId="284F2CF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сентября в Донбассе наши войска продолжали успешно развивать наступление и, продвинувшись вперёд от 15 до 20 километров, заняли свыше 150 населённых пунктов, в том числе город Пролетарск, город Верхнее, город Попасная, город Первомайск, город Ирмино, город Кадиевка, город Парижская Коммуна, город Зугрес, крупные населённые пункты Калиново, Криворожье, Брянский, Ло3овая-Павловка, Алексеево-Орловка и крупные железнодорожные станции Лоскутовка, Нырково, Камышеваха, Мануиловка, Чернухино, Рассыпная, Сердитая, Зуевка.</w:t>
      </w:r>
    </w:p>
    <w:p w14:paraId="007D6EA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продолжали успешно развивать наступление и, продвинувшись вперёд от 15 до 25 километров, заняли свыше 100 населённых пунктов, в том числе город Шостка, город Воронеж-Глухов, город Путивль, город Белополье, город и железнодорожный узел Ворожба, крупные населённые пункты Клишки, Чеплеевка, Краснополье, Ленинское, Речки и железнодорожные станции Свесса, Маково, Терещинская, Алтыновка, Ново-Еленовка.</w:t>
      </w:r>
    </w:p>
    <w:p w14:paraId="670BC65A"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и, продвинувшись на отдельных участках вперёд от 4 до 6 километров, заняли свыше 100 населённых пунктов.</w:t>
      </w:r>
    </w:p>
    <w:p w14:paraId="49C54CE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продвинулись на отдельных участках вперёд от 6 до 10 километров и заняли свыше 50 населённых пунктов.</w:t>
      </w:r>
    </w:p>
    <w:p w14:paraId="31250A6C"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преодолевая сопротивление и контратаки противника, продолжали вести наступательные бои за улучшение своих позиций.</w:t>
      </w:r>
    </w:p>
    <w:p w14:paraId="750DA16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сентября наши войска на всех фронтах подбили и уничтожили 107 немецких танков. В воздушных боях и огнём зенитной артиллерии сбито 45 самолётов противника.</w:t>
      </w:r>
    </w:p>
    <w:p w14:paraId="26F5FA4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развивали успешное наступление. Отступая под ударами советских частей, противник минирует дороги, устраивает завалы, взрывает мосты. Наши бойцы, преодолевая всевозможные препятствия, неотступно преследуют немцев и продвинулись вперёд до 20 километров. Стремительными ударами наши пехотные и танковые соединения заняли города Пролетарск, Верхнее, Попасная, Первомайск, Ирмино, Кадиевка, Парижская Коммуна, Зугрес, ряд крупных населённых пунктов и железнодорожных станций. За день боёв уничтожено свыше 4.000 солдат и офицеров противника, 54 немецких танка и более 600 автомашин. Взяты пленные. Нашими частями захвачено много артиллерийского вооружения, десятки складов с боеприпасами, инженерным имуществом и продовольствием. Захвачено также много паровозов и сотни вагонов с различными военными грузами.</w:t>
      </w:r>
    </w:p>
    <w:p w14:paraId="458E89F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ведя бои с противником, успешно продвигались вперёд. Части Н-ского соединения заняли город и железнодорожную станцию Шостка, город Воронеж-Глухов и десятки других населённых пунктов Сумской области. Только при взятии одного из пунктов захвачено 26 орудий, 15 миномётов и 80 автомашин с военными грузами. На другом участке советские войска, преследуя разгромленного противника, овладели городом Путивль. Развивая наступление, нашичасти переправились в нескольких местах через реку Сейм и в течение ночи вели ожесточённые бои с крупными силами немцев, оборонявших важный узел железных дорог — город Ворожба. Измотав противника, советские бойцы на рассвете перешли в решительную атаку и с нескольких сторон ворвались в город. После упорных боёв город Ворожба освобождён от немецко-фашистских оккупантов. Захвачены большие трофеи, которые подсчитываются. Взято много пленных. В районе одного населённого пункта сдалась в плен в полном составе рота 184 немецкого пехотного полка.</w:t>
      </w:r>
    </w:p>
    <w:p w14:paraId="084FE0B0"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Смоленском направлении наши войска продолжали наступление и заняли свыше100 населённых пунктов. Западнее Дорогобужа части Н-ского соединения выбили немцев из сильно укреплённых позиций, уничтожив при этом свыше 1.200 солдат и офицеров противника. Захвачено много стрелкового оружия и два склада боеприпасов. Западнее Ельни противник, перегруппировав свои разбитые части и подбросив крупные силы танков, в течение дня предпринял несколько контратак. Наши бойцы отбили все контратаки гитлеровцев и нанесли им тяжёлый урон. По неполным данным, наши войска за день боёв уничтожили свыше 3.000 немецких солдат и офицеров, 25 танков, 5 самоходных и 41 полевое орудие противника. Захвачены трофеи и пленные.</w:t>
      </w:r>
    </w:p>
    <w:p w14:paraId="7B6B817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14 немецких самолётов.</w:t>
      </w:r>
    </w:p>
    <w:p w14:paraId="6653E2D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наступление.</w:t>
      </w:r>
    </w:p>
    <w:p w14:paraId="3B3330B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Комаричи части Н-ского соединения продвинулись вперёд и заняли ряд населённых пунктов. Противник оказывает упорное сопротивление, но под ударами советских бойцов вынужден оставлять одну позицию за другой. В течение дня уничтожено до 1.000 немецких солдат и офицеров. Захвачены три исправных танка, 8 орудий, 3 склада боеприпасов и склад с зерном.</w:t>
      </w:r>
    </w:p>
    <w:p w14:paraId="35DFF28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Севска немцы, пытаясь задержать наши наступающие части, бросают в контратаки пехоту и танки. Советские бойцы отбили контратаки противника и истребили свыше батальона гитлеровцев. Подбито и сожжено 8 танков, уничтожено 3 самоходных орудия, 14 полевых орудий и 144 автомашины. Захвачено 13 орудий и склад боеприпасов.</w:t>
      </w:r>
    </w:p>
    <w:p w14:paraId="6B682B63"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Сумы, наши войска продолжали наступление и продвинулись вперёд от 10 до 12 километров.</w:t>
      </w:r>
    </w:p>
    <w:p w14:paraId="165568F5"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Харькова части Н-ского соединения, отбив ожесточённые контратаки противника, улучшили свои позиции. На другом участке наши бойцы уничтожили до 400 гитлеровцев, подбили и сожгли 14 вражеских танков, в том числе 10 тяжёлых танков типа «Тигр». Южнее Харькова бойцы Н-ской части истребили до 300 немецких солдат и офицеров. В бою за один населённый пункт большую помощь нашим бойцам оказал колхозник Гуренов Николай Никитич. Как только красноармейцы ворвались на окраины пункта, Гуренов убил немецкого пулемётчика. Потом он повёл танкистов к яру, где накапливались вражеские танки, самоходные орудия и автоматчики, намеревавшиеся ударить нашим подразделениям во фланг. Стремительным броском наши бойцы разгромили немцев и захватили 3 самоходных орудия. Участвовавший в этом бою тов. Гуренов уничтожил 5 гитлеровцев.</w:t>
      </w:r>
    </w:p>
    <w:p w14:paraId="65A8395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Краснознамённого Балтийского флота потопила в Балтийском море два транспорта противника общим водоизмещением в 13 тысяч тонн.</w:t>
      </w:r>
    </w:p>
    <w:p w14:paraId="01ADDE76"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Каменец-Подольской области, ночью проник в населённый пункт, огнём из автоматов и ручными гранатами уничтожил 40 немецких солдат и офицеров. Три партизанских отряда, действующие в Волынской области, за неделю подорвали 14 немецких воинских эшелонов. Разбиты 12 паровозов и 90 вагонов с различными военными грузами.» (14758).</w:t>
      </w:r>
    </w:p>
    <w:p w14:paraId="063C0C65"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48B422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старший лейтенант Ю.Э.Бунимович 1-го ГМТАП на Балтике атаковал стоявший на якоре в абосских шхерах безвестный финский транспорт и доложил о его потоплении. По всей вероятности, сильный зенитный огонь с судна и береговой батареи помешал нашему экипажу правильно прицелится и проконтролировать результаты атаки (9965).</w:t>
      </w:r>
    </w:p>
    <w:p w14:paraId="41A27F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F12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началась партизанская Рельсовая война (2990).</w:t>
      </w:r>
    </w:p>
    <w:p w14:paraId="6C470F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2A7E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B616E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DA81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года</w:t>
      </w:r>
    </w:p>
    <w:p w14:paraId="70A984E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СТРОГО СЕКРЕТНОЕ И ЛИЧНОЕ ПОСЛАНИЕ ОТ ПРЕЗИДЕНТА РУЗВЕЛЬТА И ПРЕМЬЕР-МИНИСТРА МАРШАЛУ И. В. СТАЛИНУ</w:t>
      </w:r>
    </w:p>
    <w:p w14:paraId="325D252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Мы получили сообщение от генерала Ч. о том, что итальянцы согласны и что он выезжает для подписания, но мы не знаем определенно, относится ли это заявление к кратким военным условиям, которые Вы видели, или к более полным и исчерпывающим условиям, Ваша готовность подписать которые была особо указана </w:t>
      </w:r>
      <w:r w:rsidRPr="00271E51">
        <w:rPr>
          <w:rFonts w:ascii="Times New Roman" w:hAnsi="Times New Roman"/>
          <w:color w:val="000000" w:themeColor="text1"/>
          <w:sz w:val="16"/>
          <w:szCs w:val="16"/>
          <w:vertAlign w:val="superscript"/>
        </w:rPr>
        <w:t>53</w:t>
      </w:r>
      <w:r w:rsidRPr="00271E51">
        <w:rPr>
          <w:rFonts w:ascii="Times New Roman" w:hAnsi="Times New Roman"/>
          <w:color w:val="000000" w:themeColor="text1"/>
          <w:sz w:val="16"/>
          <w:szCs w:val="16"/>
        </w:rPr>
        <w:t>.</w:t>
      </w:r>
    </w:p>
    <w:p w14:paraId="3A6643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Военное положение там одновременно критическое и обнадеживающее. Вторжение на материк начнется почти немедленно, в то время как сильный удар, называемый “Аваланш”, будет нанесен примерно на будущей неделе. Трудности, с которыми столкнутся Итальянское Правительство и народ, когда они будут вырываться из лап Гитлера, могут требовать еще более смелых шагов, и для этой цели генералу Эйзенхауэру нужна будет вся помощь со стороны итальянцев, которая может быть ими оказана. Принятие условий итальянцами в значительной степени облегчается тем, что мы отправим парашютную дивизию в Рим для того, чтобы помочь им сдержать немцев, которые собрали бронетанковые силы вблизи Рима и которые могут заменить правительство Бадольо какой-либо квислинговской администрацией, возможно во главе с Фариначчи. Мы полагаем, что, поскольку дела там развиваются столь быстро, генерал Эйзенхауэр должен иметь полномочия не откладывать урегулирования вопроса с итальянцами из-за различий, существующих между пространными и краткими условиями. Ясно, что краткие условия включены в пространные условия, что они основываются на безоговорочной капитуляции и что статья 10 кратких условий </w:t>
      </w:r>
      <w:r w:rsidRPr="00271E51">
        <w:rPr>
          <w:rFonts w:ascii="Times New Roman" w:hAnsi="Times New Roman"/>
          <w:color w:val="000000" w:themeColor="text1"/>
          <w:sz w:val="16"/>
          <w:szCs w:val="16"/>
          <w:vertAlign w:val="superscript"/>
        </w:rPr>
        <w:t>54</w:t>
      </w:r>
      <w:r w:rsidRPr="00271E51">
        <w:rPr>
          <w:rFonts w:ascii="Times New Roman" w:hAnsi="Times New Roman"/>
          <w:color w:val="000000" w:themeColor="text1"/>
          <w:sz w:val="16"/>
          <w:szCs w:val="16"/>
        </w:rPr>
        <w:t xml:space="preserve"> предоставляет право толкования Союзному Главнокомандующему.</w:t>
      </w:r>
    </w:p>
    <w:p w14:paraId="002F979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Поэтому мы полагаем, что Вы согласны с тем, чтобы генерал Эйзенхауэр подписал краткие условия от Вашего имени, если это было бы необходимо в целях избежания дальнейших поездок генерала Ч. в Рим и вызываемой этим задержки и неуверенности, которые могут повлиять на военные операции. Мы, конечно, очень хотим, чтобы итальянцы безоговорочно капитулировали перед Советской Россией, так же как перед Великобританией и Соединенными Штатами. Дата сообщения о капитуляции должна быть, конечно, приурочена к военному удару.</w:t>
      </w:r>
    </w:p>
    <w:p w14:paraId="3CD665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РУЗВЕЛЬТ</w:t>
      </w:r>
    </w:p>
    <w:p w14:paraId="0810FD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ЧЕРЧИЛЛЬ (7430).</w:t>
      </w:r>
    </w:p>
    <w:p w14:paraId="0ECDAB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8566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92731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98D51E" w14:textId="77777777" w:rsidR="004E13DD" w:rsidRPr="00271E51" w:rsidRDefault="004E13D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оберлейтенант K.-H.Lange, планерист ВДВ Германии, который еще 20 июля 1943 направил письмо в газету Das schwarze Korpe о необходимости оборудования V-1 для пилотов-смертников, обратился в Техуправление Министерства авиации Германии к Мильху с тем, что отобрал из планеристов 24 добровольца-смертника. Дело застопорил А.Гитлер, но потом согласился с условием, что применение возможно только с его личного согласия (2703,2).</w:t>
      </w:r>
    </w:p>
    <w:p w14:paraId="6534B634" w14:textId="77777777" w:rsidR="004E13DD" w:rsidRPr="00271E51" w:rsidRDefault="004E13D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EE36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итальянский генерал Кастельяло подписал по поручению Бадольо “краткие условия” капитуляции Италии (7430).</w:t>
      </w:r>
    </w:p>
    <w:p w14:paraId="31A699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0D90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сентября </w:t>
      </w:r>
      <w:r w:rsidRPr="00271E51">
        <w:rPr>
          <w:rFonts w:ascii="Times New Roman" w:hAnsi="Times New Roman"/>
          <w:color w:val="000000" w:themeColor="text1"/>
          <w:sz w:val="16"/>
          <w:szCs w:val="16"/>
        </w:rPr>
        <w:t>в 1943 году в Кассибиле (Сицилия) начальник штаба союзных войск на Средиземноморском театре военных действий американский генерал Б.Смит, действовавший от имени Объединённых Наций, и представитель правительства Италии генерал Дж.Кастеллано подписали соглашение о перемирии. Началась высадка союзных войск на юге Апеннинского п-ова (14758).</w:t>
      </w:r>
    </w:p>
    <w:p w14:paraId="3BA2B9A9"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6CB9533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сентября </w:t>
      </w:r>
      <w:r w:rsidRPr="00271E51">
        <w:rPr>
          <w:rFonts w:ascii="Times New Roman" w:hAnsi="Times New Roman"/>
          <w:color w:val="000000" w:themeColor="text1"/>
          <w:sz w:val="16"/>
          <w:szCs w:val="16"/>
        </w:rPr>
        <w:t>в 1943 году операция "Бейтаун" в Италии (до 20 сентября). Британские войска наступают в юго-западной части Апеннинского полуострова и выходят к Аулетте (19 сентября) и Потенце (20 сентября) (14758).</w:t>
      </w:r>
    </w:p>
    <w:p w14:paraId="1CBB8356"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60AA400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премьер Италии П. Бадольо подписал капитуляцию войскам союзников (4962).</w:t>
      </w:r>
    </w:p>
    <w:p w14:paraId="7E661DF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837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3, 1943: The new Italian government under Marshal Badoglio signs a ceasefire with the Allies. Troops of the British 8th Army cross the Strait of Messina and land on the Italian mainland without encountering any opposition (3819).</w:t>
      </w:r>
    </w:p>
    <w:p w14:paraId="209C51B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F8CF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на Сицилии Кастельяно подписал по поручению Бадольо военные условия капитуляции. Американский генерал Дуайт Эйзенхауэр должен был при этом дать заверения, что в Риме будет высажен десант, если итальянская сторона нейтрализует самолеты и противовоздушную оборону и будет готова сражаться с германскими войсками в районе Рима (3871).</w:t>
      </w:r>
    </w:p>
    <w:p w14:paraId="0F4997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2751C"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г. Италия подписа- перемирие с союзниками. Согласно его условиям итальянский флот, ззировавшийся на западном побежье полуострова, в Ла-Специи, должен был сдаться, прибыв на британский остров Мальта (15845).</w:t>
      </w:r>
    </w:p>
    <w:p w14:paraId="31935E1B"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7D8E0EB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lastRenderedPageBreak/>
        <w:t xml:space="preserve">3 сентября </w:t>
      </w:r>
      <w:r w:rsidRPr="00271E51">
        <w:rPr>
          <w:rFonts w:ascii="Times New Roman" w:hAnsi="Times New Roman"/>
          <w:color w:val="000000" w:themeColor="text1"/>
          <w:sz w:val="16"/>
          <w:szCs w:val="16"/>
        </w:rPr>
        <w:t>в 1943 году в Кассибиле (Сицилия) начальник штаба союзных войск на Средиземноморском театре военных действий американский генерал Б.Смит, действовавший от имени Объединённых Наций, и представитель правительства Италии генерал Дж.Кастеллано подписали соглашение о перемирии. Началась высадка союзных войск на юге Апеннинского п-ова (14758).</w:t>
      </w:r>
    </w:p>
    <w:p w14:paraId="4DD78BAC"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611635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w:t>
      </w:r>
      <w:r w:rsidRPr="00271E51">
        <w:rPr>
          <w:rFonts w:ascii="Times New Roman" w:hAnsi="Times New Roman"/>
          <w:color w:val="000000" w:themeColor="text1"/>
          <w:sz w:val="16"/>
          <w:szCs w:val="16"/>
          <w:lang w:val="en-US"/>
        </w:rPr>
        <w:t>September</w:t>
      </w:r>
      <w:r w:rsidRPr="00271E51">
        <w:rPr>
          <w:rFonts w:ascii="Times New Roman" w:hAnsi="Times New Roman"/>
          <w:color w:val="000000" w:themeColor="text1"/>
          <w:sz w:val="16"/>
          <w:szCs w:val="16"/>
        </w:rPr>
        <w:t xml:space="preserve"> 1943 </w:t>
      </w:r>
      <w:r w:rsidRPr="00271E51">
        <w:rPr>
          <w:rFonts w:ascii="Times New Roman" w:hAnsi="Times New Roman"/>
          <w:color w:val="000000" w:themeColor="text1"/>
          <w:sz w:val="16"/>
          <w:szCs w:val="16"/>
          <w:lang w:val="en-US"/>
        </w:rPr>
        <w:t>AlliedArmylandonmainlandItaly</w:t>
      </w:r>
      <w:r w:rsidRPr="00271E51">
        <w:rPr>
          <w:rFonts w:ascii="Times New Roman" w:hAnsi="Times New Roman"/>
          <w:color w:val="000000" w:themeColor="text1"/>
          <w:sz w:val="16"/>
          <w:szCs w:val="16"/>
        </w:rPr>
        <w:t xml:space="preserve"> (270).</w:t>
      </w:r>
    </w:p>
    <w:p w14:paraId="2C1ADE0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48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союзники высадились на материковую Италию (270) в Мессине (2262). Операция шла до 6 октября 1943 (2443,283).</w:t>
      </w:r>
    </w:p>
    <w:p w14:paraId="16EBAD0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5AA928" w14:textId="77777777" w:rsidR="004E13DD" w:rsidRPr="00271E51" w:rsidRDefault="004E13DD"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сентября 1943 войска союзников захватили Реджио (Италия) (4962).</w:t>
      </w:r>
    </w:p>
    <w:p w14:paraId="331850C7" w14:textId="77777777" w:rsidR="004E13DD" w:rsidRPr="00271E51" w:rsidRDefault="004E13DD"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FB5B0"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сентября </w:t>
      </w:r>
      <w:r w:rsidRPr="00271E51">
        <w:rPr>
          <w:rFonts w:ascii="Times New Roman" w:hAnsi="Times New Roman"/>
          <w:color w:val="000000" w:themeColor="text1"/>
          <w:sz w:val="16"/>
          <w:szCs w:val="16"/>
        </w:rPr>
        <w:t>в 1943 году высадка английских войск в Южной Италии в районе Реджо-ди-Калабрия. Бежавшее под защиту союзников правительство Бадольо подписывает капитуляцию (генерал Эйзенхауэр сообщит об этом 8 сентября), а вскоре объявит войну Германии (14758).</w:t>
      </w:r>
    </w:p>
    <w:p w14:paraId="0F4A0126"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71D92986" w14:textId="77777777" w:rsidR="00B3406E" w:rsidRPr="00271E51" w:rsidRDefault="00B3406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 сентября (ночь) 1943 316 британских Ланкастеров атакуют Берлин, в то время как четыре de Havilland Mosquitos сбрасывают «ложные» ракеты, чтобы отвлечь от себя немецких ночных истребителей, но 22 Ланкастера (почти 7 процентов), тем не менее, потеряны. Налет поражает жилые районы и несколько заводов (20376).</w:t>
      </w:r>
    </w:p>
    <w:p w14:paraId="331AE25B" w14:textId="77777777" w:rsidR="00B3406E" w:rsidRPr="00271E51" w:rsidRDefault="00B3406E" w:rsidP="00271E51">
      <w:pPr>
        <w:spacing w:after="0" w:line="240" w:lineRule="auto"/>
        <w:jc w:val="both"/>
        <w:rPr>
          <w:rFonts w:ascii="Times New Roman" w:hAnsi="Times New Roman"/>
          <w:color w:val="0070C0"/>
          <w:sz w:val="16"/>
          <w:szCs w:val="16"/>
        </w:rPr>
      </w:pPr>
    </w:p>
    <w:p w14:paraId="251ACAF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сентября </w:t>
      </w:r>
      <w:r w:rsidRPr="00271E51">
        <w:rPr>
          <w:rFonts w:ascii="Times New Roman" w:hAnsi="Times New Roman"/>
          <w:color w:val="000000" w:themeColor="text1"/>
          <w:sz w:val="16"/>
          <w:szCs w:val="16"/>
        </w:rPr>
        <w:t>в 1943 году премьер-министр Финляндии Э.Линкомиес заявил в парламенте о продолжении Финляндией войны в союзе с Германией (14758).</w:t>
      </w:r>
    </w:p>
    <w:p w14:paraId="0FE986D4"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0CE63ABA"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7679E8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397A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4 сентября по 16 декабря 1943 проходили совместные испытания Ту-2С - 2АШ-82ФН N 716, который поступил на совместные испытания 2 сентября (1835,28).</w:t>
      </w:r>
    </w:p>
    <w:p w14:paraId="011502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C7311"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4771A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382FF6" w14:textId="77777777" w:rsidR="004E13DD" w:rsidRPr="00271E51" w:rsidRDefault="00BA7A65" w:rsidP="00271E51">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w:t>
      </w:r>
    </w:p>
    <w:p w14:paraId="0E94AC77" w14:textId="77777777" w:rsidR="00BA7A65" w:rsidRPr="00271E51" w:rsidRDefault="00BA7A65" w:rsidP="00271E51">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новой технологической схеме производства олеума на заводе №580 </w:t>
      </w:r>
    </w:p>
    <w:p w14:paraId="78A8F8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докладной записки Красноярского крайкома ВКП (б) в ЦК ВКП (б)</w:t>
      </w:r>
    </w:p>
    <w:p w14:paraId="05493AE6" w14:textId="77777777" w:rsidR="00BA7A65" w:rsidRPr="00271E51" w:rsidRDefault="00BA7A65" w:rsidP="00271E51">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г.Красноярск 4 сентября 1943 г.</w:t>
      </w:r>
    </w:p>
    <w:p w14:paraId="65653623" w14:textId="77777777" w:rsidR="00BA7A65" w:rsidRPr="00271E51" w:rsidRDefault="00BA7A65" w:rsidP="00271E51">
      <w:pPr>
        <w:tabs>
          <w:tab w:val="left" w:pos="684"/>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Совершенно секретно </w:t>
      </w:r>
    </w:p>
    <w:p w14:paraId="76DAB9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Центрального Комитета ВКП (б) товарищу Маленкову Г.М.</w:t>
      </w:r>
    </w:p>
    <w:p w14:paraId="400A52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состав строящегося в г. Красноярске завода №580 НКБ включено производство олеума. В качестве основного оборудования предполагалось использовать оборудование олеумового производства завода №9 (г. Шостка, Сумской области), эвакуированного в Красноярск IV квартале 1941 года. </w:t>
      </w:r>
    </w:p>
    <w:p w14:paraId="6700DA2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разработке технического проекта и точного учета эвакуированных ценностей было установлено, что основное технологическое оборудование олеумного производства с завода №9 не было эвакуировано.[…] В целях преодоления создавшихся затруднений руководство завода совместно с бригадой ГСПИ-6 приняли решение упростить общепринятую технологическую схему производства олеума, базируя его на техническую серу вместо серного колчедана. </w:t>
      </w:r>
    </w:p>
    <w:p w14:paraId="26BED4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25 мая 1943 года олеумное производство было пущено в эксплуатацию и в течение 3-х месяцев работает вполне удовлетворительно. Надёжность работы производства по новой схеме и ряд дополнительных, положительно показавших себя в процессе производства факторов позволили заводу в первые месяцы работы в 2 раза перекрыть проектную мощность, устранив тем самым необходимость в строительстве второй очереди. Количество производственных рабочих по сравнению с заводами, работающими по старой схеме, сокращено в два раза (65 человек вместо 130-140).</w:t>
      </w:r>
    </w:p>
    <w:p w14:paraId="01DDB3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 сырья на тонну готовой продукции составляет 0,39 тонны технической серы, вместо 0,87 тонны серного колчедана по старой схеме. Таким образом, экономия в перевозках составляет 750 вагонов в год.</w:t>
      </w:r>
    </w:p>
    <w:p w14:paraId="314BC0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Наркома Боеприпасов тов. Хруничев и гл[авный] инженер 3-го Главного Управления НКБ тов. Франкфурт ознакомившись на месте с производством олеума по новой схеме дали ему положительную оценку.</w:t>
      </w:r>
    </w:p>
    <w:p w14:paraId="421259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Оценивая полученные результаты от внедрения новой технологической схемы производства олеума, как весьма положительные, крайком ВКП (б) считает необходимым использование опыта завода №580 в строительстве новых серно-кислотных заводов.</w:t>
      </w:r>
    </w:p>
    <w:p w14:paraId="5500AAF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Красноярского крайкома ВКП (б) подпись И. Голубев</w:t>
      </w:r>
    </w:p>
    <w:p w14:paraId="15AB9E4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ГАКК. Ф.П-26. Оп.4. Д.2. Л.4-6. Подпись. Машинопись (11836).</w:t>
      </w:r>
    </w:p>
    <w:p w14:paraId="73E49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498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4031 О плане производства танков, самоходных установок, дизелей, запасных частей к ним и о ремонте танков, самоходных установок и дизелей на сентябрь 1943 года.РГАНИР, Фонд ГКО, д. 149, лл. 15-26, 27-28 (11012).</w:t>
      </w:r>
    </w:p>
    <w:p w14:paraId="7C7616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705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4032 О плане производства и поставок артиллерийского и стрелкового вооружения и военных приборов на сентябрь 1943 года.РГАНИР, Фонд ГКО, д. 149, лл. 29-41, 42-53 (11012).</w:t>
      </w:r>
    </w:p>
    <w:p w14:paraId="2EDF75E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B3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4033 О плане производства минометного вооружения на сентябрь 1943 года.РГАНИР, Фонд ГКО, д. 149, лл. 54-58, 59-70 (11012).</w:t>
      </w:r>
    </w:p>
    <w:p w14:paraId="22C4AA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CCAD1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4034 О плане производства и поставок пулеметов-пистолетов Шпагина и ПП-43 в сентябре 1943 г.РГАНИР, Фонд ГКО, д. 149, лл. 71-78, 79-89 (11012).</w:t>
      </w:r>
    </w:p>
    <w:p w14:paraId="60190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2F0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4035 О плане производства и поставок патронов и звеньев Наркоматом вооружения в сентябре 1943 г.РГАНИР, Фонд ГКО, д. 149, лл. 90-97, 98-104 (11012).</w:t>
      </w:r>
    </w:p>
    <w:p w14:paraId="0F2153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324D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4036 О поставке НКО и НКВМФ боеприпасов в сентябре 1943 г.РГАНИР, Фонд ГКО, д. 149, лл. 105-114, 115-140 (11012).</w:t>
      </w:r>
    </w:p>
    <w:p w14:paraId="1E298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0C6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4037 О добыче нефти и выработке нефтепродуктов в сентябре 1943 года.РГАНИР, Фонд ГКО, д. 149, лл. 141-145, 146-147 (11012).</w:t>
      </w:r>
    </w:p>
    <w:p w14:paraId="020C543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06D4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4038 О плане добычи угля по Наркомуглю на сентябрь 1943 года.РГАНИР, Фонд ГКО, д. 149, лл. 148-149 (11012).</w:t>
      </w:r>
    </w:p>
    <w:p w14:paraId="5724B0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83BF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Распоряжение ГКО № 4039. Об изготовлении мостов для электрокранов Ново-Тагильского металлургического завода.РГАНИР, Фонд ГКО, д. 149, лл. 150, 151 (11012).</w:t>
      </w:r>
    </w:p>
    <w:p w14:paraId="467054D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43A4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4040 О принятии на вооружение 76 мм полковой пушки образца 1943 года ОБ-25.РГАНИР, Фонд ГКО, д. 149, лл. 152 (11012).</w:t>
      </w:r>
    </w:p>
    <w:p w14:paraId="2BEBFA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80C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Распоряжение ГКО № 4041. О производстве котла для Кизеловской ГРЭС.РГАНИР, Фонд ГКО, д. 149, лл. 153 (11012).</w:t>
      </w:r>
    </w:p>
    <w:p w14:paraId="2AC545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B0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Распоряжение ГКО № 4042. О выделении 2,5 тыс. военнообязанных старших возрастов в распоряжение Иркутского облисполкома на 15 дней для работ на лесосплаве.РГАНИР, Фонд ГКО, д. 149, лл. 154 (11012).</w:t>
      </w:r>
    </w:p>
    <w:p w14:paraId="40FAA3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D5F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на заседании ГКО обсуждали вопросы дальнейшего развития бронетанкового вооружения КА исходя из опыта применения танков в Курской битве - решили, что нужны более мощные танки (3093,32).</w:t>
      </w:r>
    </w:p>
    <w:p w14:paraId="00FC5C7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5362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года вышел приказ № 535с НКТП</w:t>
      </w:r>
    </w:p>
    <w:p w14:paraId="67AB2A9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распоряжения Совнаркома за № 17016рс от 2 сентября 1943 года:</w:t>
      </w:r>
    </w:p>
    <w:p w14:paraId="2C8EDA79"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Организовать на базе бывших заводов № 183 и 75 НКТП в Харькове ремонтный завод по ремонту танков Т-34 и дизелей В-2 (6138, 183).</w:t>
      </w:r>
    </w:p>
    <w:p w14:paraId="7F601D1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8B9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постановлением ГОКО N 4043сс на вооружение и в серию приняли тяжелые танки КВ-95, ИС-85, САУ ИС-152 (2453,13).</w:t>
      </w:r>
    </w:p>
    <w:p w14:paraId="7205E0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283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года постановлением ГКО № 4043сс тяжелый танк ИС-85 приняли на вооружение Красной Армии. Этим же постановлением Опытный завод №100 обязывали спроектировать, изготовить и испытать совместно с Техуправлением ГБТУ до 15 октября 1943 года танк ИС, вооруженный пушкой калибра 122 мм, а до 1 ноября артсамоход на его базе (ИСУ-152). (3862).</w:t>
      </w:r>
    </w:p>
    <w:p w14:paraId="37F1950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DF2AC" w14:textId="77777777" w:rsidR="00BA7A65" w:rsidRPr="00271E51" w:rsidRDefault="00BA7A65" w:rsidP="00271E51">
      <w:pPr>
        <w:pStyle w:val="a3"/>
        <w:rPr>
          <w:color w:val="000000" w:themeColor="text1"/>
          <w:lang w:val="ru-RU"/>
        </w:rPr>
      </w:pPr>
      <w:r w:rsidRPr="00271E51">
        <w:rPr>
          <w:color w:val="000000" w:themeColor="text1"/>
          <w:lang w:val="ru-RU"/>
        </w:rPr>
        <w:t>4 сентября 1943 года танк ИС был принят на вооружение. 8 сентября танки были показаны высшему руководству страны в Кремле. И. В. Сталин постоянно требовал скорейшего запуска танка ИС в производство. 7 августа 1943 года между ним и В. А. Малышевым состоялась беседа, о которой последний записал следующее: «Был у т. Сталина. Опять т. Сталин интересовался новыми танками. Сказал, чтобы танк ИС поставить на производство в течение полутора месяцев. Когда я сказал, что в такой срок это сделать невозможно, тов. Сталин сказал, что к концу войны нам этот танк не нужен. «Надо, чтобы танк повоевал ещё до зимы». Впервые слышу от т. Сталина о конце войны. В конце концов тов. Сталин дал срок 2 месяца» («Пройдёт десяток лет, и этих встреч не восстановишь уже в памяти»//Источник. №5. 1997. С. 122.). Танкостроители выполнили задачу И. В. Сталина почти в срок, начав производство танков в конце октября 1943 года. Но до зимы, как хотел И. В. Сталин, танк повоевать не успел. Боевое крещение нового танка состоялось уже в феврале 1944 года в ходе Корсунь- Шевченковской операции. В боях тогда приняло участие два полка танков ИС: 8-й и 13-й отдельные гвардейские тяжелые танковые полки. При этом из их состава, несмотря на ожесточённость боёв, было безвозвратно потеряно всего 5 танков. Всего за время войны было изготовлено 107 танков ИС с 85</w:t>
      </w:r>
      <w:r w:rsidRPr="00271E51">
        <w:rPr>
          <w:color w:val="000000" w:themeColor="text1"/>
          <w:lang w:val="ru-RU"/>
        </w:rPr>
        <w:softHyphen/>
        <w:t>мм пушкой. 100 из них поступило на вооружение боевых частей. Из них к концу войны 36 оставалось в строю, 37 было подбито, и столько же было списано по причине износа механизмов. Это был превосходный результат с точки зрения живучести и надёжности машины (12290).</w:t>
      </w:r>
    </w:p>
    <w:p w14:paraId="488389E0" w14:textId="77777777" w:rsidR="00BA7A65" w:rsidRPr="00271E51" w:rsidRDefault="00BA7A65" w:rsidP="00271E51">
      <w:pPr>
        <w:pStyle w:val="a3"/>
        <w:rPr>
          <w:color w:val="000000" w:themeColor="text1"/>
          <w:lang w:val="ru-RU"/>
        </w:rPr>
      </w:pPr>
    </w:p>
    <w:p w14:paraId="51081ADE" w14:textId="77777777" w:rsidR="00B3406E" w:rsidRPr="00271E51" w:rsidRDefault="00B3406E" w:rsidP="00271E51">
      <w:pPr>
        <w:pStyle w:val="1162"/>
        <w:shd w:val="clear" w:color="auto" w:fill="auto"/>
        <w:spacing w:after="0" w:line="240" w:lineRule="auto"/>
        <w:ind w:firstLine="0"/>
        <w:jc w:val="both"/>
        <w:rPr>
          <w:rFonts w:ascii="Times New Roman" w:hAnsi="Times New Roman" w:cs="Times New Roman"/>
          <w:color w:val="0070C0"/>
          <w:sz w:val="16"/>
          <w:szCs w:val="16"/>
        </w:rPr>
      </w:pPr>
      <w:r w:rsidRPr="00271E51">
        <w:rPr>
          <w:rStyle w:val="950"/>
          <w:rFonts w:ascii="Times New Roman" w:hAnsi="Times New Roman" w:cs="Times New Roman"/>
          <w:color w:val="0070C0"/>
          <w:sz w:val="16"/>
          <w:szCs w:val="16"/>
        </w:rPr>
        <w:t>4 сентяб</w:t>
      </w:r>
      <w:r w:rsidRPr="00271E51">
        <w:rPr>
          <w:rStyle w:val="950"/>
          <w:rFonts w:ascii="Times New Roman" w:hAnsi="Times New Roman" w:cs="Times New Roman"/>
          <w:color w:val="0070C0"/>
          <w:sz w:val="16"/>
          <w:szCs w:val="16"/>
        </w:rPr>
        <w:softHyphen/>
        <w:t>ря 1943 года Сталин подписал постановление ГКО № 4043 «О производстве танков ИС». Со</w:t>
      </w:r>
      <w:r w:rsidRPr="00271E51">
        <w:rPr>
          <w:rStyle w:val="950"/>
          <w:rFonts w:ascii="Times New Roman" w:hAnsi="Times New Roman" w:cs="Times New Roman"/>
          <w:color w:val="0070C0"/>
          <w:sz w:val="16"/>
          <w:szCs w:val="16"/>
        </w:rPr>
        <w:softHyphen/>
        <w:t>гласно ему, в ноябре 1943 года ожидался вы</w:t>
      </w:r>
      <w:r w:rsidRPr="00271E51">
        <w:rPr>
          <w:rStyle w:val="950"/>
          <w:rFonts w:ascii="Times New Roman" w:hAnsi="Times New Roman" w:cs="Times New Roman"/>
          <w:color w:val="0070C0"/>
          <w:sz w:val="16"/>
          <w:szCs w:val="16"/>
        </w:rPr>
        <w:softHyphen/>
        <w:t>пуск первых 25 танков данного типа</w:t>
      </w:r>
      <w:r w:rsidRPr="00271E51">
        <w:rPr>
          <w:rStyle w:val="950"/>
          <w:rFonts w:ascii="Times New Roman" w:hAnsi="Times New Roman" w:cs="Times New Roman"/>
          <w:color w:val="0070C0"/>
          <w:sz w:val="16"/>
          <w:szCs w:val="16"/>
          <w:lang w:val="ru-RU"/>
        </w:rPr>
        <w:t xml:space="preserve"> (19872)</w:t>
      </w:r>
      <w:r w:rsidRPr="00271E51">
        <w:rPr>
          <w:rStyle w:val="950"/>
          <w:rFonts w:ascii="Times New Roman" w:hAnsi="Times New Roman" w:cs="Times New Roman"/>
          <w:color w:val="0070C0"/>
          <w:sz w:val="16"/>
          <w:szCs w:val="16"/>
        </w:rPr>
        <w:t>.</w:t>
      </w:r>
    </w:p>
    <w:p w14:paraId="3EFB8F10" w14:textId="77777777" w:rsidR="00B3406E" w:rsidRPr="00271E51" w:rsidRDefault="00B3406E" w:rsidP="00271E51">
      <w:pPr>
        <w:pStyle w:val="1162"/>
        <w:shd w:val="clear" w:color="auto" w:fill="auto"/>
        <w:spacing w:after="0" w:line="240" w:lineRule="auto"/>
        <w:ind w:firstLine="0"/>
        <w:jc w:val="both"/>
        <w:rPr>
          <w:rFonts w:ascii="Times New Roman" w:hAnsi="Times New Roman" w:cs="Times New Roman"/>
          <w:color w:val="0070C0"/>
          <w:sz w:val="16"/>
          <w:szCs w:val="16"/>
        </w:rPr>
      </w:pPr>
    </w:p>
    <w:p w14:paraId="794D2499" w14:textId="77777777" w:rsidR="00BA7A65" w:rsidRPr="00271E51" w:rsidRDefault="00BA7A65" w:rsidP="00271E51">
      <w:pPr>
        <w:pStyle w:val="a3"/>
        <w:rPr>
          <w:color w:val="000000" w:themeColor="text1"/>
          <w:lang w:val="ru-RU"/>
        </w:rPr>
      </w:pPr>
      <w:r w:rsidRPr="00271E51">
        <w:rPr>
          <w:color w:val="000000" w:themeColor="text1"/>
          <w:lang w:val="ru-RU"/>
        </w:rPr>
        <w:t>4 сентября 1943 года в постановление №4043сс «О принятии на вооружение танка ИС» меры по расширению производственных мощностей завода № 200. ГКО поручило Госплану найти для завода на других предприятиях 5 карусельных станков с диаметром 3 -4 метра, спроектировать и изготовить до конца года 14 специальных станков для обработки погонов. Кировскому заводу, заводам № 100 и № 200 выделялись металлорежущие станки отечественного производства (158 штук) и закупаемые за границей (106 штук).</w:t>
      </w:r>
    </w:p>
    <w:p w14:paraId="1F81F3B3" w14:textId="77777777" w:rsidR="00BA7A65" w:rsidRPr="00271E51" w:rsidRDefault="00BA7A65" w:rsidP="00271E51">
      <w:pPr>
        <w:pStyle w:val="a3"/>
        <w:rPr>
          <w:color w:val="000000" w:themeColor="text1"/>
          <w:lang w:val="ru-RU"/>
        </w:rPr>
      </w:pPr>
      <w:r w:rsidRPr="00271E51">
        <w:rPr>
          <w:color w:val="000000" w:themeColor="text1"/>
          <w:lang w:val="ru-RU"/>
        </w:rPr>
        <w:t>Организация массового производства новых бронекорпусов на заводе № 200 потребовала полной перестройки работы завода. Этой перестройке помогло тесное взаимодействие между конструкторами завода № 100 и технологами и производственниками завода № 200. Их целью было разработать такой техпроцесс и так организовать производство, чтобы добиться разбивки сборочных работ на возможно большее число отдельных узлов и этапов, причём так, чтобы их можно было осуществлять параллельно. Тем самым достигалось сокращение цикла производства, создавалась возможность организации поточных линий, возникала возможность применения узкоквалифицированной рабочей силой. Реализация этого плана потребовала значительно увеличить количество приспособлений. С 660, применяемых для изготовления корпуса КВ-1С, оно увеличилось до 1086 штук. Самым оригинальным стало закладочное приспособление. Благодаря этой остроумной идее заводских инженеров удалось решить целый комплекс проблем: сократить время сборки (процесс закладки сократился до 8 часов), добиться точного размещения технологических отверстий, собирать корпус без измерительного инструмента, избежать применения кувалд и ломов. Другое остроумное технологическое решение - приспособление для установки блоков нижней подвески, которое позволяет монтировать их все одновременно. Это не только убыстряет процесс сборки, но и решает проблему соблюдений точной дистанции между вырезаемых для установки блоков отверстий.</w:t>
      </w:r>
    </w:p>
    <w:p w14:paraId="576EE614" w14:textId="77777777" w:rsidR="00BA7A65" w:rsidRPr="00271E51" w:rsidRDefault="00BA7A65" w:rsidP="00271E51">
      <w:pPr>
        <w:pStyle w:val="a3"/>
        <w:rPr>
          <w:color w:val="000000" w:themeColor="text1"/>
          <w:lang w:val="ru-RU"/>
        </w:rPr>
      </w:pPr>
      <w:r w:rsidRPr="00271E51">
        <w:rPr>
          <w:color w:val="000000" w:themeColor="text1"/>
          <w:lang w:val="ru-RU"/>
        </w:rPr>
        <w:t>В результате всех этих мер производственный цикл корпуса танка ИС сократился со 123 до 86 часов. Трудоёмкость мехобработки корпуса танка ИС составила всего 343 станкочаса, в то время как трудоёмкость мехобработки корпуса КВ-1С достигала 396 станкочасов.</w:t>
      </w:r>
    </w:p>
    <w:p w14:paraId="547D751E" w14:textId="77777777" w:rsidR="00BA7A65" w:rsidRPr="00271E51" w:rsidRDefault="00BA7A65" w:rsidP="00271E51">
      <w:pPr>
        <w:pStyle w:val="a3"/>
        <w:rPr>
          <w:color w:val="000000" w:themeColor="text1"/>
          <w:lang w:val="ru-RU"/>
        </w:rPr>
      </w:pPr>
      <w:r w:rsidRPr="00271E51">
        <w:rPr>
          <w:color w:val="000000" w:themeColor="text1"/>
          <w:lang w:val="ru-RU"/>
        </w:rPr>
        <w:t>Благодаря помощи наркомата и остроумным технологическим решениям в конце концов удалось достичь требуемого уровня объёмов производства. Освоение танка ИС свидетельствует о возросших возможностях советского танкостроения, о высоких организаторских способностях руководства танковой промышленности. Особенно большой вклад в этот успех внёс директор Кировского завода И. М. Зальцман. Работая в тесном контакте с конструкторами, он добился блестящих результатов с точки зрения сроков разработки и организации производства нового танка.</w:t>
      </w:r>
    </w:p>
    <w:p w14:paraId="6C02D04B" w14:textId="77777777" w:rsidR="00BA7A65" w:rsidRPr="00271E51" w:rsidRDefault="00BA7A65" w:rsidP="00271E51">
      <w:pPr>
        <w:pStyle w:val="a3"/>
        <w:rPr>
          <w:color w:val="000000" w:themeColor="text1"/>
          <w:lang w:val="ru-RU"/>
        </w:rPr>
      </w:pPr>
      <w:r w:rsidRPr="00271E51">
        <w:rPr>
          <w:color w:val="000000" w:themeColor="text1"/>
          <w:lang w:val="ru-RU"/>
        </w:rPr>
        <w:t>Быстрота создания и освоения производства танка ИС показала высокую эффективность разработанного Ж. Я. Котиным метода скоростного проектирования. Это был комплекс мер, состоявший, с одной стороны, из упрощения процедуры разработки машины (использование стандартизированных деталей, отказ от некоторых стадий разработки), и, с другой стороны, из усиления связей конструктора с производством, что позволяло быстрее организовывать выпуск новой техники. Ж. Я. Котин писал: «В нашей практике принято, что конструктор сам выпускает узел, сам же следит за изготовлением его, сборкой, установкой на машине и в дальнейшем несёт ответственность за его работу. ... Конструктор не должен ограничиваться выпуском только рабочего чертежа и продолжать сидеть за чертёжным столом. Творчество конструктора должно быть продолжено в производственных цехах. Конструктор в момент создания машины должен, по существу, превратиться в мастера - организатора на производстве и в этом - залог скорейшего создания образца» (12290).</w:t>
      </w:r>
    </w:p>
    <w:p w14:paraId="42FDC9A1" w14:textId="77777777" w:rsidR="00BA7A65" w:rsidRPr="00271E51" w:rsidRDefault="00BA7A65" w:rsidP="00271E51">
      <w:pPr>
        <w:pStyle w:val="3a"/>
        <w:shd w:val="clear" w:color="auto" w:fill="auto"/>
        <w:spacing w:before="0" w:after="0" w:line="240" w:lineRule="auto"/>
        <w:jc w:val="both"/>
        <w:rPr>
          <w:color w:val="000000" w:themeColor="text1"/>
          <w:spacing w:val="0"/>
          <w:sz w:val="16"/>
          <w:szCs w:val="16"/>
        </w:rPr>
      </w:pPr>
    </w:p>
    <w:p w14:paraId="1D2CED0C" w14:textId="77777777" w:rsidR="00D56E4E" w:rsidRPr="00271E51" w:rsidRDefault="00D56E4E" w:rsidP="00271E51">
      <w:pPr>
        <w:pStyle w:val="ae"/>
        <w:shd w:val="clear" w:color="auto" w:fill="FFFFFF"/>
        <w:spacing w:before="0" w:after="0"/>
        <w:jc w:val="both"/>
        <w:rPr>
          <w:iCs/>
          <w:color w:val="000000" w:themeColor="text1"/>
          <w:sz w:val="16"/>
          <w:szCs w:val="16"/>
        </w:rPr>
      </w:pPr>
      <w:r w:rsidRPr="00271E51">
        <w:rPr>
          <w:iCs/>
          <w:color w:val="000000" w:themeColor="text1"/>
          <w:sz w:val="16"/>
          <w:szCs w:val="16"/>
        </w:rPr>
        <w:t xml:space="preserve">4 сентября 1943 года Иосиф Сталин подписал постановление ГКО №4043 «О производстве танков ИС». Так закончилась долгая история создания нового тяжёлого танка, который должен был заменить в производстве КВ-1. За время его разработки в Челябинске успели освоить производство сначала </w:t>
      </w:r>
      <w:hyperlink r:id="rId86" w:history="1">
        <w:r w:rsidRPr="00271E51">
          <w:rPr>
            <w:rStyle w:val="a5"/>
            <w:iCs/>
            <w:color w:val="000000" w:themeColor="text1"/>
            <w:sz w:val="16"/>
            <w:szCs w:val="16"/>
          </w:rPr>
          <w:t>КВ-1с</w:t>
        </w:r>
      </w:hyperlink>
      <w:r w:rsidRPr="00271E51">
        <w:rPr>
          <w:iCs/>
          <w:color w:val="000000" w:themeColor="text1"/>
          <w:sz w:val="16"/>
          <w:szCs w:val="16"/>
        </w:rPr>
        <w:t xml:space="preserve">, а затем </w:t>
      </w:r>
      <w:hyperlink r:id="rId87" w:history="1">
        <w:r w:rsidRPr="00271E51">
          <w:rPr>
            <w:rStyle w:val="a5"/>
            <w:iCs/>
            <w:color w:val="000000" w:themeColor="text1"/>
            <w:sz w:val="16"/>
            <w:szCs w:val="16"/>
          </w:rPr>
          <w:t>КВ-85</w:t>
        </w:r>
      </w:hyperlink>
      <w:r w:rsidRPr="00271E51">
        <w:rPr>
          <w:iCs/>
          <w:color w:val="000000" w:themeColor="text1"/>
          <w:sz w:val="16"/>
          <w:szCs w:val="16"/>
        </w:rPr>
        <w:t xml:space="preserve">. Столь долгий путь не оказался напрасным: Красная армия получила принципиально новую машину, которая по совокупности характеристик являлась одним из лучших тяжёлых танков в мире. Но век </w:t>
      </w:r>
      <w:r w:rsidRPr="00271E51">
        <w:rPr>
          <w:bCs/>
          <w:iCs/>
          <w:color w:val="000000" w:themeColor="text1"/>
          <w:sz w:val="16"/>
          <w:szCs w:val="16"/>
        </w:rPr>
        <w:t>ИС-1</w:t>
      </w:r>
      <w:r w:rsidRPr="00271E51">
        <w:rPr>
          <w:iCs/>
          <w:color w:val="000000" w:themeColor="text1"/>
          <w:sz w:val="16"/>
          <w:szCs w:val="16"/>
        </w:rPr>
        <w:t xml:space="preserve"> (или </w:t>
      </w:r>
      <w:r w:rsidRPr="00271E51">
        <w:rPr>
          <w:bCs/>
          <w:iCs/>
          <w:color w:val="000000" w:themeColor="text1"/>
          <w:sz w:val="16"/>
          <w:szCs w:val="16"/>
        </w:rPr>
        <w:t>ИС-85</w:t>
      </w:r>
      <w:r w:rsidRPr="00271E51">
        <w:rPr>
          <w:iCs/>
          <w:color w:val="000000" w:themeColor="text1"/>
          <w:sz w:val="16"/>
          <w:szCs w:val="16"/>
        </w:rPr>
        <w:t>) оказался недолгим, совсем скоро он уступил место своему прямому «потомку» ИС-2 — лучшему советскому тяжёлому танку Великой Отечественной войны.</w:t>
      </w:r>
    </w:p>
    <w:p w14:paraId="5F8EAABE"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Первым этапом запуска ИС-85 в серийное производство стало освоение производства КВ-85. Дело в том, что оба танка использовали одинаковые башни. С башней и вооружением КВ-85 возник ряд проблем, неизбежных при организации производства принципиально новой конструкции. Было очевидно, что запуск в серию шасси нового танка окажется ещё более сложным заданием. По этой причине в тексте постановления ГКО №4043 указывались на первый взгляд не особо жёсткие сроки. Первые 25 танков предписывалось сдать в ноябре 1943 года, ещё 75 должно было быть сдано в декабре. КВ-85 планировалось выпускать до ноября, а СУ-152 — до декабря 1943 года.</w:t>
      </w:r>
    </w:p>
    <w:p w14:paraId="7F391C80"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 и эти сроки на практике оказались очень жёсткими. Дело в том, что многие элементы и агрегаты этого танка были совершено новыми, в том числе и корпус с большой долей литых деталей. Такого большого количества литых элементов в конструкции корпусов отечественных машин до того момента не применялось (если не считать опытных конструкций цельнолитых корпусов для КВ-1).</w:t>
      </w:r>
    </w:p>
    <w:p w14:paraId="4D0766C4"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Проблемой было и то, что толщина брони по сравнению с КВ-1с и КВ-85 выросла. На заводе №200, производившем корпуса и башни, столкнулись с этой проблемой в ходе литья башен для КВ-85 и </w:t>
      </w:r>
      <w:hyperlink r:id="rId88" w:history="1">
        <w:r w:rsidRPr="00271E51">
          <w:rPr>
            <w:rStyle w:val="a5"/>
            <w:color w:val="000000" w:themeColor="text1"/>
            <w:sz w:val="16"/>
            <w:szCs w:val="16"/>
          </w:rPr>
          <w:t>Объекта 237</w:t>
        </w:r>
      </w:hyperlink>
      <w:r w:rsidRPr="00271E51">
        <w:rPr>
          <w:color w:val="000000" w:themeColor="text1"/>
          <w:sz w:val="16"/>
          <w:szCs w:val="16"/>
        </w:rPr>
        <w:t>. На фотографиях некоторых танков можно заметить характерные швы на башнях. Таким образом заводчане «лечили» трещины, которые образовывались при литье. Чтобы подстраховаться, ещё в начале октября 1943 года завод №200 заложил 5 корпусов для ИС-85 при плане в 2 корпуса.</w:t>
      </w:r>
    </w:p>
    <w:p w14:paraId="2FFE483E"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 итогам испытаний опытных ИС был составлен список замечаний и исправлений, которые требовалось внести в конструкцию перед запуском танка в серию. Некоторые из них требовалось внести немедленно, но часть модернизаций по объективным причинам отходила на среднесрочную перспективу. К подобным улучшениям относился, например, двигатель. Комиссия, отмечая надёжность работы двигателя В2-ИС, посчитала необходимым разработать для танка более мощный (600 лошадиных сил) мотор. Необходимость подобного улучшения была отражена и в постановлении ГКО №4043. Также требовалось переделать место механика-водителя, улучшив условия его работы. Для этого, в частности, приподнимался люк-пробка.</w:t>
      </w:r>
    </w:p>
    <w:p w14:paraId="49264099"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Также требовалось переделать выхлопную систему. Патрубки по типу Т-34 были признаны неудачными, поскольку выхлопные газы из них попадали в воздухоприток на крыше моторно-трансмиссионного отделения. Различных доработок требовала конструкция элементов трансмиссии, системы охлаждения и ряда других систем. В </w:t>
      </w:r>
      <w:r w:rsidRPr="00271E51">
        <w:rPr>
          <w:color w:val="000000" w:themeColor="text1"/>
          <w:sz w:val="16"/>
          <w:szCs w:val="16"/>
        </w:rPr>
        <w:lastRenderedPageBreak/>
        <w:t xml:space="preserve">«наследство» от КВ-85 танку достались проблемы с боевым отделением, в частности — неполадки механизмов наведения орудия </w:t>
      </w:r>
      <w:r w:rsidRPr="00271E51">
        <w:rPr>
          <w:iCs/>
          <w:color w:val="000000" w:themeColor="text1"/>
          <w:sz w:val="16"/>
          <w:szCs w:val="16"/>
        </w:rPr>
        <w:t xml:space="preserve">(17715). </w:t>
      </w:r>
    </w:p>
    <w:p w14:paraId="5B8911C3" w14:textId="77777777" w:rsidR="00D56E4E" w:rsidRPr="00271E51" w:rsidRDefault="00D56E4E" w:rsidP="00271E51">
      <w:pPr>
        <w:pStyle w:val="ae"/>
        <w:shd w:val="clear" w:color="auto" w:fill="FFFFFF"/>
        <w:spacing w:before="0" w:after="0"/>
        <w:jc w:val="both"/>
        <w:rPr>
          <w:color w:val="000000" w:themeColor="text1"/>
          <w:sz w:val="16"/>
          <w:szCs w:val="16"/>
        </w:rPr>
      </w:pPr>
    </w:p>
    <w:p w14:paraId="347B3A0F"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 постановлением ГКО № 4043сс тяжелые танки КВ-85, ИС-85 и ИС-152 (будущая ИСУ-152) были приняты на во</w:t>
      </w:r>
      <w:r w:rsidRPr="00271E51">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271E51">
        <w:rPr>
          <w:rFonts w:ascii="Times New Roman" w:hAnsi="Times New Roman"/>
          <w:color w:val="000000" w:themeColor="text1"/>
          <w:sz w:val="16"/>
          <w:szCs w:val="16"/>
        </w:rPr>
        <w:softHyphen/>
        <w:t>ного производства, то с ИС-152 до этого было еще далеко (11417).</w:t>
      </w:r>
    </w:p>
    <w:p w14:paraId="766F319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CDFCB2" w14:textId="77777777" w:rsidR="000D2AC1" w:rsidRPr="00271E51" w:rsidRDefault="000D2AC1" w:rsidP="00271E51">
      <w:pPr>
        <w:spacing w:after="0" w:line="240" w:lineRule="auto"/>
        <w:jc w:val="both"/>
        <w:rPr>
          <w:rFonts w:ascii="Times New Roman" w:hAnsi="Times New Roman"/>
          <w:color w:val="000000" w:themeColor="text1"/>
          <w:sz w:val="16"/>
          <w:szCs w:val="16"/>
          <w:lang w:eastAsia="ru-RU"/>
        </w:rPr>
      </w:pPr>
      <w:r w:rsidRPr="00271E51">
        <w:rPr>
          <w:rFonts w:ascii="Times New Roman" w:hAnsi="Times New Roman"/>
          <w:color w:val="000000" w:themeColor="text1"/>
          <w:sz w:val="16"/>
          <w:szCs w:val="16"/>
        </w:rPr>
        <w:t>4 сентября 1943 года на вооружение Красной Армии принимается новый тяжелый танк ИС-85 (ИС-1). В тот же день на заседании Государственного Комитета Обороны обсуждались перспективы дальнейшего развития тяжелых танков на основе опыта летних боев на Курской дуге. Выступавший по этому вопросу командующий бронетанковыми и механизированными войсками Красной Армии генерал-полковник Я. Федоренко сообщил следующее:</w:t>
      </w:r>
    </w:p>
    <w:p w14:paraId="5363EAF1"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на Орловском, Курском, Белгородском и Харьковском направлениях противник применил новые типы танков и самоходно-артиллерийских установок («Тигр», «Пантера», «Фердинанд») с пушками калибра 75 и 88-мм и начальной скоростью снаряда 830-1050 м/с и с повышенной толщиной брони, рассчитанной на защиту от поражения 76,2-мм пушек отечественных танков со всех дистанций. Поэтому для успешной борьбы с этими танками и САУ необходимо иметь на вооружении Красной Армии тяжелые танки с более мощным вооружением и броней, защищающей от огня 75 и 88-мм пушек на всех дистанциях».</w:t>
      </w:r>
    </w:p>
    <w:p w14:paraId="3B38F4D2"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этого заседания было принято решение об установке на танк ИС 122-мм пушки, в результате чего 31 октября 1943 года на вооружение Красной Армии был принят танк ИС-2.</w:t>
      </w:r>
    </w:p>
    <w:p w14:paraId="1314EAE4"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с этим решено было начать проектирование тяжелых танков с более мощным вооружением и более толстой броней.</w:t>
      </w:r>
    </w:p>
    <w:p w14:paraId="2483F510"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года ГБТУ КА утвердило тактико-технические требования на разработку перспективного тяжелого танка со следующими характеристиками: масса — 55 т, бронирование — лоб корпуса 200 мм, башня и борт корпуса 160 мм, корма 120 мм, вооружение — 122-мм пушка или 152-мм пушка-гаубица, экипаж — пять человек, двигатель мощностью 800-1000 л.с., максимальная скорость — 35 км/ч.</w:t>
      </w:r>
    </w:p>
    <w:p w14:paraId="755D1E2E"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Требованиями предусматривалось исключить размещение топливных баков в боевом отделении (их требовалось расположить изолированно от двигателя в нижней части корпуса). Также предполагался вариант машины с электротрансмиссией.</w:t>
      </w:r>
    </w:p>
    <w:p w14:paraId="105BD3D5"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В начале 1944 года по этим требованиям группа конструкторов завода № 100 под руководством Н.Ф. Шашмурина выполнила эскизный проект машины, которую иногда называют ИС-2М.</w:t>
      </w:r>
    </w:p>
    <w:p w14:paraId="2DDA5571"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По компоновке это был танк с задним расположением боевого отделения. Это не только позволило повысить защищенность машины, но и исключало возможность утыкания ствола орудия в грунт при преодолении препятствий (этого опасались военные). Механик-водитель размещался в передней части корпуса, двигатель — в середине, трансмиссия — в корме. В ходовой части использовались опорные катки большого диаметра без поддерживающих роликов. Двигатель соединялся с трансмиссией карданным валом, проходящим под полом боевого отделения.</w:t>
      </w:r>
    </w:p>
    <w:p w14:paraId="2C0C9955"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Несмотря на оригинальность проекта, дальнейшего развития он не получил.</w:t>
      </w:r>
    </w:p>
    <w:p w14:paraId="7A631E14"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21 марта 1944 года были уточнены тактико-технические требования для разработки перспективного тяжелого танка. Это было сделано на основе результатов первого боевого применения танков ИС-85 в боевых действиях в районе Корсунь-Шевченковского. Основное внимание теперь уделялось усилению броневой защиты. Так, теперь требовалось обеспечить:</w:t>
      </w:r>
    </w:p>
    <w:p w14:paraId="4785DB0E"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«Защита лобовой части корпуса и башни и бортовой брони подбашеной коробки должны защищать со всех дистанций от пушек «Тигра», «Пантеры» и «Фердинанда». Борт башни и низ корпуса не должны пробиваться с дистанции 500 м и выше».</w:t>
      </w:r>
    </w:p>
    <w:p w14:paraId="7531703D"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Кроем того, планировалось установить на танк новую 122-мм пушку с клиновым затвором, увеличить до 2000 мм диаметр погона башни для удобства работы экипажа, и увеличить максимальную скорость движения до 40 км/ч. Также предусматривалось использование в новом тяжелом танке двух вариантов трансмиссии — механической и электрической.</w:t>
      </w:r>
    </w:p>
    <w:p w14:paraId="04ABD14B"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На основе этих уточненных тактико-технических требований конструкторы опытного завода № 100 совместно с инженерами ЦНИИ-48 (этот научно-исследовательский институт, входивший в состав наркомата танковой промышленности, занимался вопросами броневой защиты танков) разработали несколько эскизных проектов. Одним из наиболее любопытных был вариант с литыми элементами корпуса (спереди последний напоминал летающую тарелку) на опорных катках большого диаметра без поддерживающих роликов. Кроме того, предлагался аналогичный вариант машины, но со сварным корпусом из катаной брони.</w:t>
      </w:r>
    </w:p>
    <w:p w14:paraId="4E88EAE9"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Работая над дальнейшим совершенствованием этого варианта, конструкторы опытного завода № 100 в мае 1944 года подготовили проект танка, получившего индекс ИС-6.</w:t>
      </w:r>
    </w:p>
    <w:p w14:paraId="75A8BD1D" w14:textId="77777777" w:rsidR="000D2AC1" w:rsidRPr="00271E51" w:rsidRDefault="000D2AC1" w:rsidP="00271E51">
      <w:pPr>
        <w:pStyle w:val="ae"/>
        <w:spacing w:before="0" w:after="0"/>
        <w:jc w:val="both"/>
        <w:rPr>
          <w:color w:val="000000" w:themeColor="text1"/>
          <w:sz w:val="16"/>
          <w:szCs w:val="16"/>
        </w:rPr>
      </w:pPr>
      <w:r w:rsidRPr="00271E51">
        <w:rPr>
          <w:color w:val="000000" w:themeColor="text1"/>
          <w:sz w:val="16"/>
          <w:szCs w:val="16"/>
        </w:rPr>
        <w:t>Первоначально в проекте ИС-6 основной упор делался на усиление бронирования. Однако в ходе проектирования внесли изменения и в конструкцию самой машины. В результате, появилось два варианта ИС-6 — «объект 252» и «объект 253», отличавшиеся типом трансмиссии: на первом механическая, а на втором электромеханическая.</w:t>
      </w:r>
    </w:p>
    <w:p w14:paraId="656C04E2"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проекты проигрывали опытному танку «объект 701» Кировского завода, но по бронированию значительно превосходили серийный ИС-2. Поэтому предполагалось использовать решения, предложенные в корпусе ИС-6 в танке ИС-2 при модернизации последнего. Кроме того, определенный интерес представляло использование электротрансмиссии на тяжелой боевой машине.</w:t>
      </w:r>
    </w:p>
    <w:p w14:paraId="7C043BF9"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нашей стране первая попытка использовать электротрансмиссию на танке была предпринята в Военной академии механизации и моторизации в 1935–1936 годах. Тогда трансмиссию для легкого танка Т-26 собрали из троллейбусных агрегатов. Однако дальнейшие работы прекратили, масса трансмиссии составила 1800 кг, к тому же она не обеспечивала необходимых тяговых характеристик. В 1941–1943 годах проводились эксперименты по применению электромеханической трансмиссии на тяжелом танке КВ. Трансмиссия создавалась в сотрудничестве ВАММ, завода «Динамо» и ЧКЗ. Однако работы также завершись неудачно — агрегат занимал значительный объем не только моторно-трансмиссионного, но и «залезал» в боевое отделение.</w:t>
      </w:r>
    </w:p>
    <w:p w14:paraId="497DB28C"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Захват Красной Армией в 1943 году немецких самоходных орудий «Фердинанд», оснащенных электротрансмиссией, дал новый импульс поискам в этом направлении. 31 мая 1944 года наркомат танковой промышленности утверждает техническое задание на разработку электротрансмиссии для опытного танка ИС-6 завода № 100.</w:t>
      </w:r>
    </w:p>
    <w:p w14:paraId="76377EB2"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июля 1944 года нарком В. Малышев утвердил техзадание на разработку двух образцов ИС-6 — с механической и электрической трансмиссиями. При этом масса первого определялась в 48 т, а второго — в 50 т. Бронирование машин должно было обеспечить защиту от 88-мм снарядов с начальной скоростью 1300 м/с. Вооружение танков предполагалось из 122-мм пушки с раздельным заряжанием, начальной скоростью снаряда 850–900 м/с и скорострельностью четыре-шесть выстрелов в минуту.</w:t>
      </w:r>
    </w:p>
    <w:p w14:paraId="4A046AB3" w14:textId="77777777" w:rsidR="000D2AC1" w:rsidRPr="00271E51" w:rsidRDefault="000D2AC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ИС-6 предполагалась установка дизельного двигателя В-11У или В-12 (форсированные варианты В-2), которые должны были обеспечить максимальную скорость не менее 40 км/ч. Также заданием предусматривалась установка огнетушителя автоматического действия и оборудования для преодоления водных преград по дну. Чтобы сократить сроки проектирования и изготовления новых машин, на ИС-6 предполагалось широкое использование узлов и агрегатов серийного ИС-2 (17434).</w:t>
      </w:r>
    </w:p>
    <w:p w14:paraId="267E2E92" w14:textId="77777777" w:rsidR="000D2AC1" w:rsidRPr="00271E51" w:rsidRDefault="000D2AC1" w:rsidP="00271E51">
      <w:pPr>
        <w:spacing w:after="0" w:line="240" w:lineRule="auto"/>
        <w:jc w:val="both"/>
        <w:rPr>
          <w:rFonts w:ascii="Times New Roman" w:hAnsi="Times New Roman"/>
          <w:color w:val="000000" w:themeColor="text1"/>
          <w:sz w:val="16"/>
          <w:szCs w:val="16"/>
        </w:rPr>
      </w:pPr>
    </w:p>
    <w:p w14:paraId="51CD4C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сентября 1943 года Постановление Государственного Комитета обороны № 4043сс предписывало Опытному заводу № 100 в Челябинске совместно с техническим управлением Главного бронетанкового управления Красной Армии до 1 ноября 1943 года спроектировать, изготовить и испытать артсамоход ИС-152 на базе танка ИС. </w:t>
      </w:r>
    </w:p>
    <w:p w14:paraId="4C0997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разработке установка получила заводское обозначение «объект 241». Ведущим конструктором был назначен Г.Н.Москвин. Опытный образец изготовили в октябре. В течение нескольких недель САУ проходила испытания на НИБТПолигоне в Кубинке и АНИОПе в Гороховце. 6 ноября 1943 года постановлением ГКО новую машину приняли на вооружение под обозначением ИСУ-152, а в декабре началось ее серийное производство. </w:t>
      </w:r>
    </w:p>
    <w:p w14:paraId="270A55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Компоновка ИСУ-152 принципиальными новшествами не отличалась. Боевая рубка, изготовленная из катаных броневых листов, устанавливалась в передней части корпуса, объединяя в один объем отделения управления и боевое. Мотор-но-трансмиссионное отделение находилось в кормовой части корпуса. Носовая часть корпуса на установках первых выпусков изготавливалась литой, на машинах последних выпусков имела сварную конструкцию. Количество и размещение членов экипажа были такими же, как и у СУ-152. Если экипаж состоял из четырех человек, то обязанности заряжающего выполнял замковый. Для посадки экипажа в крыше рубки имелись два круглых люка в передней части и один прямоугольный в кормовой. Все люки закрывались двухстворчатыми крышками, в верхних створках которых были установлены приборы наблюдения МК-4. В лобовом листе рубки располагался смотровой лючок механика-водителя, закрывавшийся броневой пробкой со стеклоблоком и смотровой щелью. </w:t>
      </w:r>
    </w:p>
    <w:p w14:paraId="527086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Сама по себе конструкция боевой рубки принципиальным изменениям не подверглась. Из-за меньшей ширины танка ИС, по сравнению с KB, пришлось уменьшить наклон бортовых листов с 25° до 15° к вертикали, а наклон кормового листа ликвидировать совсем. Толщина брони при этом возросла с 75 до 90 мм у лобового листа рубки и с 60 до 75 мм у бортовых. Маска пушки имела толщину 60 мм, а впоследствии была доведена до 100 мм. </w:t>
      </w:r>
    </w:p>
    <w:p w14:paraId="41E354E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рубки состояла из двух частей. Передняя часть крыши приваривалась к передним, скуловым и бортовым листам. В ней, помимо двух круглых люков, делалось отверстие для установки вентилятора боевого отделения (посередине), которое снаружи закрывалось броневым колпаком, и также предусматривались лючок для доступа к заливной горловине левого переднего топливного бака (слева) и отверстие антенного ввода (справа). Задний лист крыши выполнялся съемным и крепился </w:t>
      </w:r>
      <w:r w:rsidRPr="00271E51">
        <w:rPr>
          <w:rFonts w:ascii="Times New Roman" w:hAnsi="Times New Roman"/>
          <w:color w:val="000000" w:themeColor="text1"/>
          <w:sz w:val="16"/>
          <w:szCs w:val="16"/>
        </w:rPr>
        <w:lastRenderedPageBreak/>
        <w:t xml:space="preserve">болтами. Следует отметить, что установка вытяжного вентилятора стала существенным достоинством ИСУ-152, по сравнению с СУ-152, в которой вытяжной принудительной вентиляции не было вообще и члены экипажа во время боя порой теряли сознание от скапливавшихся пороховых газов. Впрочем, по воспоминаниям самоходчиков, и на новой машине вентиляция оставляла желать лучшего — при открывании затвора после выстрела лавина густого порохового дыма, похожая на сметану, струилась из ствола орудия и медленно растекалась по полу боевого отделения. </w:t>
      </w:r>
    </w:p>
    <w:p w14:paraId="493CFB4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над моторно-трансмиссионным отделением состояла из съемного листа над двигателем, сеток над окнами воздухопритока к двигателю и броневых решеток над жалюзи. В съемном листе имелся люк для доступа к узлам и агрегатам двигателя, закрывавшийся откидной крышкой. В задней части листа располагались два лючка для доступа к заправочным горловинам топливного и масляного баков. Средний кормовой лист корпуса в боевом положении привинчивался болтами, при ремонте он мог быть откинут на петлях. Для доступа к агрегатам трансмиссии в нем имелись два круглых люка, закрывавшихся откидными броневыми крышками. Днище корпуса было сварено из трех броневых листов и имело лючки и отверстия, закрывавшиеся броневыми крышками и пробками. </w:t>
      </w:r>
    </w:p>
    <w:p w14:paraId="4381D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152-мм гаубица-пушка МЛ-20С обр. 1937/43 г. монтировалась в литой рамке, игравшей роль верхнего станка орудия, и защищалась литой же броневой маской, заимствованной у СУ-152. Качающаяся часть самоходной гаубицы-пушки имела незначительные отличия, по сравнению с полевой: были установлены откидной лоток для облегчения заряжания и дополнительная тяга к спусковому механизму, ручки маховиков подъемного и поворотного механизмов находились у наводчика слева по ходу машины, цапфы были вынесены вперед для естественного уравновешивания. Вертикальные углы наведения колебались в пределах от -3° до +20°, горизонтальные — в секторе 10°. Высота линии огня составляла 1800 мм. Для стрельбы прямой наводкой применялся телескопический прицел СТ-10 с полунезависимой линией прицеливания, для ведения огня с закрытых огневых позиций служила панорама Герца с удлинителем, объектив которой выходил из рубки через открытый левый верхний люк. При стрельбе в ночных условиях шкалы прицела и панорамы, а также прицельная и орудийная стрелки подсвечивались электрическими лампочками прибора «Луч 5». Дальность стрельбы прямой наводкой составляла 3800 м, наибольшая — 6200 м. Скорострельность — 2 — 3 выстр./мин. Орудие имело электрический и механический (ручной) спуски. Гашетка электроспуска находилась на ручке маховика подъемного механизма. На орудиях первых выпусков использовался механический (ручной) спуск. Подъемный и поворотный механизмы секторного типа крепились на кронштейнах к левой щеке рамки. </w:t>
      </w:r>
    </w:p>
    <w:p w14:paraId="66ABF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Боекомплект состоял из 21 выстрела раздельного гильзового заряжания с бронебойно-трассирующими остроголовыми снарядами БР-540, осколочно-фугасными пушечными и стальными гаубичными гранатами ОФ-540 и ОФ-530, осколочными гаубичными гранатами из сталистого чугуна О-530А. Бронебойно-трассирующие снаряды находились в нише боевой рубки с левой стороны в специальных рамках, осколочно-фугасные гранаты — там же, гильзы с боевыми зарядами в нише рубки в специальных рамках и в хомутиковой укладке. Часть гильз с боевыми зарядами размещалась на днище под орудием. Начальная скорость бронебойного снаряда при массе 48,78 кг составляла 600 м/с, на дальности 1000 м он пробивал броню толщиной 123 мм. </w:t>
      </w:r>
    </w:p>
    <w:p w14:paraId="6E29D52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части машин с октября 1944 года на вращающемся погоне командирского люка стала устанавливаться зенитная турель с 12,7-мм пулеметом ДШК обр. 1938 г. Боекомплект к пулемету составлял 250 патронов. Кроме того, в боевом отделении укладывались два пистолета-пулемета ППШ (позже — ППС) с боекомплектом 1491 патрон и 20 ручных гранат Ф-1. </w:t>
      </w:r>
    </w:p>
    <w:p w14:paraId="55E3D9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Силовая установка и трансмиссия были заимствованы у танка ИС-1 (ИС-2). На ИСУ-152 устанавливался 12-цилиндровый четырехтактный дизель В-2ИС (В-2-10) мощностью 520 л.с. при 2000 об/мин. Цилиндры располагались V-образно под углом 60°. Степень сжатия 14 — 15. Масса двигателя 1000 кг. </w:t>
      </w:r>
    </w:p>
    <w:p w14:paraId="2129EE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Общая емкость трех топливных баков составляла 520 л. Еще 300 л перевозилось в трех наружных баках, не подключенных к системе питания. Подача топлива принудительная, с помощью двенадцатиплунжерного топливного насоса высокого давления НК1. </w:t>
      </w:r>
    </w:p>
    <w:p w14:paraId="60A59D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смазки — циркуляционная, под давлением. В бак встроен циркуляционный бачок, обеспечивавший быстрый прогрев масла и возможность пользоваться методом разжижения масла бензином. </w:t>
      </w:r>
    </w:p>
    <w:p w14:paraId="4C8A0EA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охлаждения — жидкостная, закрытая, с принудительной циркуляцией. Радиаторов — два, пластинчато-трубчатых, подковообразной формы, установленных над центробежным вентилятором. </w:t>
      </w:r>
    </w:p>
    <w:p w14:paraId="6761B6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очистки воздуха, поступающего в цилиндры двигателя, на танке устанавли¬вались два воздухоочистителя марки ВТ-5 типа «мультициклон». В головки воз¬духоочистителей были встроены форсун¬ки и запальные свечи для подогрева всасываемого воздуха зимой. Кроме того, для подогрева охлаждающей жидкости в системе охлаждения двигателя использовались фитильные обогреватели, работавшие на дизельном топливе. Эти же обогреватели обеспечивали и обогрев боевого отделения машины на длительных стоянках. Пуск двигателя осуществлялся инерционным стартером, имевшим ручной и электрический приводы, или с помощью баллонов со сжатым воздухом. </w:t>
      </w:r>
    </w:p>
    <w:p w14:paraId="2AB07E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Трансмиссия САУ включала в себя многодисковый главный фрикцион сухого трения (сталь по ферродо), четырехступенчатую восьмискоростную коробку передач с демультипликатором, двухступенчатые планетарные механизмы поворота с многодисковым блокировочным фрикционом и двухступенчатые бортовые передачи с планетарным рядом. Ходовая часть САУ применительно к одному борту состояла из шести сдвоенных литых опорных катков диаметром 550 мм и трех поддерживающих катков. Ведущие колеса заднего расположения имели два съемных зубчатых венца с 14-ю зубьями каждый. Направляющие колеса — литые, с кривошипным механизмом натяжения гусениц, взаимозаменяемые с опорными катками. Подвеска — индивидуальная торсионная. Гусеницы стальные, мелкозвенчатые, из 86 одно-гребневых траков каждая. Траки штампованные, шириной 650 мм и шагом 162 мм. Зацепление цевочное. </w:t>
      </w:r>
    </w:p>
    <w:p w14:paraId="5001E0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внешней радиосвязи на машинах устанавливалась радиостанция ЮР или 10РК, для внутренней — переговорное устройство ТПУ-4-бисФ. Для связи с десантом на корме имелась кнопка звуковой сигнализации (11638).</w:t>
      </w:r>
    </w:p>
    <w:p w14:paraId="7305D4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B71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4043 О производстве танков ИС.РГАНИР, Фонд ГКО, д. 149, лл. 155-162, 163-173 (11012).</w:t>
      </w:r>
    </w:p>
    <w:p w14:paraId="4EEC88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7472C"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4 сен</w:t>
      </w:r>
      <w:r w:rsidRPr="00271E51">
        <w:rPr>
          <w:rFonts w:ascii="Times New Roman" w:hAnsi="Times New Roman"/>
          <w:noProof/>
          <w:color w:val="000000" w:themeColor="text1"/>
          <w:sz w:val="16"/>
          <w:szCs w:val="16"/>
        </w:rPr>
        <w:softHyphen/>
        <w:t>тября 1943 г. Постановлением ГКО №4043сс танки КВ-85 и ИС-85 были при</w:t>
      </w:r>
      <w:r w:rsidRPr="00271E51">
        <w:rPr>
          <w:rFonts w:ascii="Times New Roman" w:hAnsi="Times New Roman"/>
          <w:noProof/>
          <w:color w:val="000000" w:themeColor="text1"/>
          <w:sz w:val="16"/>
          <w:szCs w:val="16"/>
        </w:rPr>
        <w:softHyphen/>
        <w:t>няты на вооружение Красной Армии. Этим же постановлением Опытный завод №100 обязывали спроектировать, изготовить и испытать совместно с Техуправлением ГБТУ до 15 октября 1943 г. танк ИС, вооруженный пушкой калибра 122 мм, а до 1 ноября - артсамоход ИС-152 на его базе.</w:t>
      </w:r>
    </w:p>
    <w:p w14:paraId="5AB24D75"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Предусмотренный постановлени</w:t>
      </w:r>
      <w:r w:rsidRPr="00271E51">
        <w:rPr>
          <w:rFonts w:ascii="Times New Roman" w:hAnsi="Times New Roman"/>
          <w:noProof/>
          <w:color w:val="000000" w:themeColor="text1"/>
          <w:sz w:val="16"/>
          <w:szCs w:val="16"/>
        </w:rPr>
        <w:softHyphen/>
        <w:t>ем ГКО срок был по нынешним мер</w:t>
      </w:r>
      <w:r w:rsidRPr="00271E51">
        <w:rPr>
          <w:rFonts w:ascii="Times New Roman" w:hAnsi="Times New Roman"/>
          <w:noProof/>
          <w:color w:val="000000" w:themeColor="text1"/>
          <w:sz w:val="16"/>
          <w:szCs w:val="16"/>
        </w:rPr>
        <w:softHyphen/>
        <w:t>кам нереально коротким - менее 1,5 месяцев. Поэтому все последующие события развивались с немалой долей авантюризма и отчаянного риска.</w:t>
      </w:r>
    </w:p>
    <w:p w14:paraId="05525F9E"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Готовой 122-мм пушки в танковом варианте в то время еще не было. Од</w:t>
      </w:r>
      <w:r w:rsidRPr="00271E51">
        <w:rPr>
          <w:rFonts w:ascii="Times New Roman" w:hAnsi="Times New Roman"/>
          <w:noProof/>
          <w:color w:val="000000" w:themeColor="text1"/>
          <w:sz w:val="16"/>
          <w:szCs w:val="16"/>
        </w:rPr>
        <w:softHyphen/>
        <w:t>нако существовала 122-мм корпусная пушка А-19 обр. 1931/37 г., успешно боров</w:t>
      </w:r>
      <w:r w:rsidRPr="00271E51">
        <w:rPr>
          <w:rFonts w:ascii="Times New Roman" w:hAnsi="Times New Roman"/>
          <w:noProof/>
          <w:color w:val="000000" w:themeColor="text1"/>
          <w:sz w:val="16"/>
          <w:szCs w:val="16"/>
        </w:rPr>
        <w:softHyphen/>
        <w:t>шаяся с «тиграми». Использование этой пуш</w:t>
      </w:r>
      <w:r w:rsidRPr="00271E51">
        <w:rPr>
          <w:rFonts w:ascii="Times New Roman" w:hAnsi="Times New Roman"/>
          <w:noProof/>
          <w:color w:val="000000" w:themeColor="text1"/>
          <w:sz w:val="16"/>
          <w:szCs w:val="16"/>
        </w:rPr>
        <w:softHyphen/>
        <w:t>ки в качестве танковой требовало ее серьез</w:t>
      </w:r>
      <w:r w:rsidRPr="00271E51">
        <w:rPr>
          <w:rFonts w:ascii="Times New Roman" w:hAnsi="Times New Roman"/>
          <w:noProof/>
          <w:color w:val="000000" w:themeColor="text1"/>
          <w:sz w:val="16"/>
          <w:szCs w:val="16"/>
        </w:rPr>
        <w:softHyphen/>
        <w:t>ной переделки - разработки новой (круглой) люльки, противооткатных устройств, дульно</w:t>
      </w:r>
      <w:r w:rsidRPr="00271E51">
        <w:rPr>
          <w:rFonts w:ascii="Times New Roman" w:hAnsi="Times New Roman"/>
          <w:noProof/>
          <w:color w:val="000000" w:themeColor="text1"/>
          <w:sz w:val="16"/>
          <w:szCs w:val="16"/>
        </w:rPr>
        <w:softHyphen/>
        <w:t>го тормоза, подъемного механизма.</w:t>
      </w:r>
    </w:p>
    <w:p w14:paraId="442AE945"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С целью ускоренного выполнения этих работ артиллерийскому КБ завода №9 была по указанию Ж.Я. Котина направлена с опыт</w:t>
      </w:r>
      <w:r w:rsidRPr="00271E51">
        <w:rPr>
          <w:rFonts w:ascii="Times New Roman" w:hAnsi="Times New Roman"/>
          <w:noProof/>
          <w:color w:val="000000" w:themeColor="text1"/>
          <w:sz w:val="16"/>
          <w:szCs w:val="16"/>
        </w:rPr>
        <w:softHyphen/>
        <w:t>ного завода №100 конструкторская докумен</w:t>
      </w:r>
      <w:r w:rsidRPr="00271E51">
        <w:rPr>
          <w:rFonts w:ascii="Times New Roman" w:hAnsi="Times New Roman"/>
          <w:noProof/>
          <w:color w:val="000000" w:themeColor="text1"/>
          <w:sz w:val="16"/>
          <w:szCs w:val="16"/>
        </w:rPr>
        <w:softHyphen/>
        <w:t>тация на башню танка ИС-85. Конструкторы завода №9 выполнили эскизный проект ус</w:t>
      </w:r>
      <w:r w:rsidRPr="00271E51">
        <w:rPr>
          <w:rFonts w:ascii="Times New Roman" w:hAnsi="Times New Roman"/>
          <w:noProof/>
          <w:color w:val="000000" w:themeColor="text1"/>
          <w:sz w:val="16"/>
          <w:szCs w:val="16"/>
        </w:rPr>
        <w:softHyphen/>
        <w:t>тановки в эту башню еще не существовав</w:t>
      </w:r>
      <w:r w:rsidRPr="00271E51">
        <w:rPr>
          <w:rFonts w:ascii="Times New Roman" w:hAnsi="Times New Roman"/>
          <w:noProof/>
          <w:color w:val="000000" w:themeColor="text1"/>
          <w:sz w:val="16"/>
          <w:szCs w:val="16"/>
        </w:rPr>
        <w:softHyphen/>
        <w:t>шего танкового варианта пушки А-19.</w:t>
      </w:r>
    </w:p>
    <w:p w14:paraId="3D43D0BC"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Подхватив эти эскизные материалы, Ж.Я. Котин повез их в Москву наркому тан</w:t>
      </w:r>
      <w:r w:rsidRPr="00271E51">
        <w:rPr>
          <w:rFonts w:ascii="Times New Roman" w:hAnsi="Times New Roman"/>
          <w:noProof/>
          <w:color w:val="000000" w:themeColor="text1"/>
          <w:sz w:val="16"/>
          <w:szCs w:val="16"/>
        </w:rPr>
        <w:softHyphen/>
        <w:t>ковой промышленности В.А. Малышеву. Материалы очень понравились наркому, были немедленно доложены И.В. Сталину и одобрены им.</w:t>
      </w:r>
    </w:p>
    <w:p w14:paraId="6DAB9FE0"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И тогда случилось невероятное. По бу</w:t>
      </w:r>
      <w:r w:rsidRPr="00271E51">
        <w:rPr>
          <w:rFonts w:ascii="Times New Roman" w:hAnsi="Times New Roman"/>
          <w:noProof/>
          <w:color w:val="000000" w:themeColor="text1"/>
          <w:sz w:val="16"/>
          <w:szCs w:val="16"/>
        </w:rPr>
        <w:softHyphen/>
        <w:t>мажным эскизным проработкам, без какой- либо минимальной опытной проверки танк ИС со 122-мм пушкой был постановлением ГКО №4479сс от 31 октября 1943 г. принят на вооружение Красной Армии!</w:t>
      </w:r>
    </w:p>
    <w:p w14:paraId="6C213D92" w14:textId="77777777" w:rsidR="00BA7A65" w:rsidRPr="00271E51" w:rsidRDefault="00BA7A65"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Получив такой огромный аванс, Котин решил назначить ведущим конструктором проекта именно Н.Ф. Шашму</w:t>
      </w:r>
      <w:r w:rsidRPr="00271E51">
        <w:rPr>
          <w:rFonts w:ascii="Times New Roman" w:hAnsi="Times New Roman"/>
          <w:noProof/>
          <w:color w:val="000000" w:themeColor="text1"/>
          <w:sz w:val="16"/>
          <w:szCs w:val="16"/>
        </w:rPr>
        <w:softHyphen/>
        <w:t>рина, к тому времени одного из сильнейших танковых кон</w:t>
      </w:r>
      <w:r w:rsidRPr="00271E51">
        <w:rPr>
          <w:rFonts w:ascii="Times New Roman" w:hAnsi="Times New Roman"/>
          <w:noProof/>
          <w:color w:val="000000" w:themeColor="text1"/>
          <w:sz w:val="16"/>
          <w:szCs w:val="16"/>
        </w:rPr>
        <w:softHyphen/>
        <w:t>структоров завода №100. По</w:t>
      </w:r>
      <w:r w:rsidRPr="00271E51">
        <w:rPr>
          <w:rFonts w:ascii="Times New Roman" w:hAnsi="Times New Roman"/>
          <w:noProof/>
          <w:color w:val="000000" w:themeColor="text1"/>
          <w:sz w:val="16"/>
          <w:szCs w:val="16"/>
        </w:rPr>
        <w:softHyphen/>
        <w:t>требовались все те исключи</w:t>
      </w:r>
      <w:r w:rsidRPr="00271E51">
        <w:rPr>
          <w:rFonts w:ascii="Times New Roman" w:hAnsi="Times New Roman"/>
          <w:noProof/>
          <w:color w:val="000000" w:themeColor="text1"/>
          <w:sz w:val="16"/>
          <w:szCs w:val="16"/>
        </w:rPr>
        <w:softHyphen/>
        <w:t>тельные качества, которые были присущи Шашмурину как руководителю работ - его неуемная энергия, высочай</w:t>
      </w:r>
      <w:r w:rsidRPr="00271E51">
        <w:rPr>
          <w:rFonts w:ascii="Times New Roman" w:hAnsi="Times New Roman"/>
          <w:noProof/>
          <w:color w:val="000000" w:themeColor="text1"/>
          <w:sz w:val="16"/>
          <w:szCs w:val="16"/>
        </w:rPr>
        <w:softHyphen/>
        <w:t>шая техническая грамотность, способность «заразить» своим энтузиазмом всех соисполни</w:t>
      </w:r>
      <w:r w:rsidRPr="00271E51">
        <w:rPr>
          <w:rFonts w:ascii="Times New Roman" w:hAnsi="Times New Roman"/>
          <w:noProof/>
          <w:color w:val="000000" w:themeColor="text1"/>
          <w:sz w:val="16"/>
          <w:szCs w:val="16"/>
        </w:rPr>
        <w:softHyphen/>
        <w:t>телей, распознать и поддер</w:t>
      </w:r>
      <w:r w:rsidRPr="00271E51">
        <w:rPr>
          <w:rFonts w:ascii="Times New Roman" w:hAnsi="Times New Roman"/>
          <w:noProof/>
          <w:color w:val="000000" w:themeColor="text1"/>
          <w:sz w:val="16"/>
          <w:szCs w:val="16"/>
        </w:rPr>
        <w:softHyphen/>
        <w:t>жать их наиболее талантливые конструктор</w:t>
      </w:r>
      <w:r w:rsidRPr="00271E51">
        <w:rPr>
          <w:rFonts w:ascii="Times New Roman" w:hAnsi="Times New Roman"/>
          <w:noProof/>
          <w:color w:val="000000" w:themeColor="text1"/>
          <w:sz w:val="16"/>
          <w:szCs w:val="16"/>
        </w:rPr>
        <w:softHyphen/>
        <w:t>ские решения</w:t>
      </w:r>
      <w:r w:rsidRPr="00271E51">
        <w:rPr>
          <w:rFonts w:ascii="Times New Roman" w:hAnsi="Times New Roman"/>
          <w:color w:val="000000" w:themeColor="text1"/>
          <w:sz w:val="16"/>
          <w:szCs w:val="16"/>
        </w:rPr>
        <w:t xml:space="preserve"> (11897)</w:t>
      </w:r>
      <w:r w:rsidRPr="00271E51">
        <w:rPr>
          <w:rFonts w:ascii="Times New Roman" w:hAnsi="Times New Roman"/>
          <w:noProof/>
          <w:color w:val="000000" w:themeColor="text1"/>
          <w:sz w:val="16"/>
          <w:szCs w:val="16"/>
        </w:rPr>
        <w:t>.</w:t>
      </w:r>
    </w:p>
    <w:p w14:paraId="52440B24" w14:textId="77777777" w:rsidR="00BA7A65" w:rsidRPr="00271E51" w:rsidRDefault="00BA7A65" w:rsidP="00271E51">
      <w:pPr>
        <w:autoSpaceDE w:val="0"/>
        <w:autoSpaceDN w:val="0"/>
        <w:adjustRightInd w:val="0"/>
        <w:spacing w:after="0" w:line="240" w:lineRule="auto"/>
        <w:jc w:val="both"/>
        <w:rPr>
          <w:rFonts w:ascii="Times New Roman" w:hAnsi="Times New Roman"/>
          <w:color w:val="000000" w:themeColor="text1"/>
          <w:sz w:val="16"/>
          <w:szCs w:val="16"/>
        </w:rPr>
      </w:pPr>
    </w:p>
    <w:p w14:paraId="176C3CB9"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года в постановлении ГКО №4043, которым ИС-85 принимался на вооружение, значилась и разработка САУ на его базе. Построить опытный образец намечалось к 15 октября, а к 1 ноября планировалось провести испытания. Первые пять машин, обозначенных как ИС-152, предполагалось сдать в ноябре, ещё 30 — в декабре. Такие сжатые сроки объясняются тем, что машина проектировалась на уже готовом шасси ИС-85, которое не планировалось существенно переделывать.</w:t>
      </w:r>
    </w:p>
    <w:p w14:paraId="2E62341D"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работ по ИС-152 постановление ГКО №4043 являлось не более чем официальной отмашкой. Первые работы по этой теме начались на опытном заводе №100 ещё в августе 1943 года. Более того, впервые «самоходная установка СУ-152 на базе танка ИС» всплыла в переписке ещё в начале мая 1943 года. Тогда речь шла о машине на базе танка ИС-1, который также часто ошибочно называют Объектом 233. Машина должна была иметь боевую массу 44–45 тонн, толщину лобового листа башенной коробки 100 мм и двигатель В-2К. В связи с тем, что танк ИС после этого подвергся существенным метаморфозам, постановление ГКО «Об усилении средств борьбы с немецкими тяжёлыми танками» с такой САУ в 3-м пункте осталось на стадии проекта. Одновременно застопорилась и работа по самой САУ (17171).</w:t>
      </w:r>
    </w:p>
    <w:p w14:paraId="08760B23"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4E55C230" w14:textId="77777777" w:rsidR="00B3406E" w:rsidRPr="00271E51" w:rsidRDefault="00B3406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4 сентября 1943 г. в заключении по полигонным испытаниям танка "Т-43", подписанным Е.А. Кульчицким, было сказано, что установка артсистемы Д-5 в башне танка Т-43 с погоном 1600 мм возможна, а также, что условия работы трех человек в башне танка Т-43, после установки Д-5, лучше чем в башне с погоном 1420 мм танка Т-34, при двух человеках и штатной пушке Ф-34 (21209).</w:t>
      </w:r>
    </w:p>
    <w:p w14:paraId="4B0793BD" w14:textId="77777777" w:rsidR="00B3406E" w:rsidRPr="00271E51" w:rsidRDefault="00B3406E" w:rsidP="00271E51">
      <w:pPr>
        <w:spacing w:after="0" w:line="240" w:lineRule="auto"/>
        <w:jc w:val="both"/>
        <w:rPr>
          <w:rFonts w:ascii="Times New Roman" w:hAnsi="Times New Roman"/>
          <w:color w:val="0070C0"/>
          <w:sz w:val="16"/>
          <w:szCs w:val="16"/>
        </w:rPr>
      </w:pPr>
    </w:p>
    <w:p w14:paraId="339605F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вышло Постановление ГКО № 4044 Об организации городского комитета обороны в г. Таганроге.РГАНИР, Фонд ГКО, д. 149, лл. 174 (11012).</w:t>
      </w:r>
    </w:p>
    <w:p w14:paraId="1D6EF2A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FAD0F"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57F01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71F7E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сентября 4 сентября </w:t>
      </w:r>
      <w:r w:rsidRPr="00271E51">
        <w:rPr>
          <w:rFonts w:ascii="Times New Roman" w:hAnsi="Times New Roman"/>
          <w:color w:val="000000" w:themeColor="text1"/>
          <w:sz w:val="16"/>
          <w:szCs w:val="16"/>
        </w:rPr>
        <w:t>в 1943 году оперативная сводка Совинформбюро:</w:t>
      </w:r>
    </w:p>
    <w:p w14:paraId="7340A073"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сентября наши войска в Донбассе продолжали успешно развивать наступление и, продвинувшись вперёд от 15 до 25 километров, заняли свыше 90 населённых пунктов, в том числе город и крупный железнодорожный узел Дебальцево, город Енакиево, город и железнодорожный узел Горловка, город и крупный железнодорожный узел Никитовка, город и крупный железнодорожный узел Иловайск, город Калининск, районный центр Сталинской области Яма, крупные населённые пункты Серебрянка, Резниковка, Троицкое, Луганское, Хацапетовка, Ольховатка и крупные железнодорожные станции Соль, Пшеничная, Натальевка, Алмазная, Баржановка. Ворошиловградская область полностью освобождена от немецко-фашистских захватчиков.</w:t>
      </w:r>
    </w:p>
    <w:p w14:paraId="115850D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продолжали успешно развивать наступление и, продвинувшись на отдельных участках вперёд от 15 до 17 километров, заняли свыше 150 населённых пунктов, в том числе районный центр Черниговской области город Короп, районные центры Сумской области Ульяновка и Штеповка.</w:t>
      </w:r>
    </w:p>
    <w:p w14:paraId="0421314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западнее и юго-западнее Харькова, заняли несколько населённых пунктов, в том числе город и железнодорожный узел Мерефа.</w:t>
      </w:r>
    </w:p>
    <w:p w14:paraId="086C31FC"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Брянска наши войска продолжали наступление и, продвинувшись вперёд от 6 до 10 километров, заняли свыше 50 населённых пунктов.</w:t>
      </w:r>
    </w:p>
    <w:p w14:paraId="39C64513"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и заняли несколько населённых пунктов.</w:t>
      </w:r>
    </w:p>
    <w:p w14:paraId="0654AA0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сентября наши войска на всех фронтах подбили и уничтожили 90 немецких танков. В воздушных боях и огнём зенитной артиллерии сбит 31 самолёт противника.</w:t>
      </w:r>
    </w:p>
    <w:p w14:paraId="790C2E0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продолжали успешное наступление и заняли город и крупный железнодорожный узел Дебальцево, город Енакиево, город и железнодорожный узел Горловка, город и крупный железнодорожный узел Никитовка, город и крупный железнодорожный узел Иловайск, город Калининск и десятки других крупных населённых пунктов и железнодорожных станций. Советские части вклиниваются в расположение немецких войск и стремительными ударами срывают попытки противника организовать оборону. За день боёв наши войска уничтожили более 2.500 немецких солдат и офицеров, 44 танка и бронемашины. По неполным данным, захвачено 39 орудий, 22 миномёта, 165 пулемётов, 4 склада боеприпасов и другие трофеи. Взяты пленные. На другом участке Н-ское соединение истребило до полка гитлеровцев, уничтожило 22 танка и 3 самоходных орудия. Захвачено у немцев 17 орудий, 2 исправных тяжёлых танка, более 200 автомашин, крупный склад боеприпасов и несколько складов вещевого имущества.</w:t>
      </w:r>
    </w:p>
    <w:p w14:paraId="634FA28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успешно развивали наступление. Наши войска не дают врагу передышки и наносят ему непрерывные удары. Ломая сопротивление и отбрасывая противника, части Н-ского соединения заняли свыше 50 населённых пунктов, в том числе районный центр Черниговской области город Корон. В течение дня уничтожено свыше 1.000 гитлеровцев. Захвачено значительное число пленных.</w:t>
      </w:r>
    </w:p>
    <w:p w14:paraId="011C08E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районе наши бойцы освободили 3 тысячи советских граждан, томившихся в концентрационном лагере.</w:t>
      </w:r>
    </w:p>
    <w:p w14:paraId="2B8EBEF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уничтожили на Конотопском аэродроме 10 немецких самолётов.</w:t>
      </w:r>
    </w:p>
    <w:p w14:paraId="1E41E2C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Сумы наши войска продолжали развивать наступление, заняли несколько населённых пунктов, в том числе районные центры Ульяновка и Штеповка. В боях за эти пункты уничтожено до двух батальонов немецкой пехоты, подбито и сожжено 11 танков противника. Захвачены большие трофеи, в числе которых 10 складов с боеприпасами.</w:t>
      </w:r>
    </w:p>
    <w:p w14:paraId="60A5BCBA"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отбили контратаку противника и улучшили свои позиции. На поле боя осталось свыше 200 вражеских трупов.</w:t>
      </w:r>
    </w:p>
    <w:p w14:paraId="51461841"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бойцы Н-ского соединения после ожесточённых уличных боёв заняли город и железнодорожный узел Мерефа. В боях за город противник понёс тяжёлые потери в живой силе.</w:t>
      </w:r>
    </w:p>
    <w:p w14:paraId="091D4E55"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наступление.</w:t>
      </w:r>
    </w:p>
    <w:p w14:paraId="4452C8C1"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Комаричи противник закрепился на выгодном рубеже и пытался задержать наступающие советские войска. Наши части обошли этот рубеж с юга и штурмом взяли крупный опорный пункт немцев. Захвачены 2 артиллерийских батареи, 2 самоходных орудия и несколько складов. На другом участке Н-ская часть, преодолев болота, зашла противнику во фланг и вынудила его поспешно отступить. Преследуя немцев, наши войска заняли 20 населённых пунктов. Уничтожено более 500 немецких солдат и офицеров.</w:t>
      </w:r>
    </w:p>
    <w:p w14:paraId="36EC5E9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Севска наши войска продвинулись до 10 километров и заняли свыше 30 населённых пунктов. Противник предпринял несколько контратак, но был отброшен с большими для него потерями. Уничтожено более 800 гитлеровцев. Захвачены 4 танка,16 орудий и другие трофеи.</w:t>
      </w:r>
    </w:p>
    <w:p w14:paraId="24F5B5D4"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Западнее Дорогобужа наши части, преодолевая упорное сопротивление противника, продвинулись от 6 до 8 километров и выбили немцев из нескольких населённых пунктов. Западнее и юго-западнее Ельни немцы, вводя в бой крупные силы танков и пехоты, пытаются контратаками остановить наступление советских войск. Наши войска перемалывают живую силу и технику противника и продвигаются вперёд. Втечение дня, по неполным данным, захвачено у немцев 2 самолёта, 21 орудие, 10 радиостанций, склад авиабомб, склад мин и патронов и 16 складов с различным военным имуществом.</w:t>
      </w:r>
    </w:p>
    <w:p w14:paraId="014D39D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Баренцевом море потоплен транспорт противника водоизмещением в 8.000 тонн. Другому немецкому транспорту нанесены значительные повреждения.</w:t>
      </w:r>
    </w:p>
    <w:p w14:paraId="0AB1C7C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«За победу», действующий на Украине, ночью совершил налёт на немецкий гарнизон в одном населённом пункте. Уничтожив часовых, партизаны забросали гранатами казарму и истребили 70 немецких солдат и офицеров. Партизаны отряда, действующего в Черниговской области, пустили под откос немецкий эшелон с боеприпасами. В результате происшедшего взрыва уничтожено 35 вагонов.</w:t>
      </w:r>
    </w:p>
    <w:p w14:paraId="614AC84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штабной роты 460 полка 260 немецкой пехотной дивизии Вильгельм Латке рассказал: «На Восточный фронт я попал в мае. До этого служил во Франции в 748 пехотном полку. Мы несли охрану мостов, побережья, гавани искладов в Бордо и его окрестностях. Лучшие немецкие войска посланы на Восточныйфронт. Во Франции остались главным образом части, укомплектованные солдатами, ограниченно годными к военной службе. Я хорошо знаком с укреплениями, построенными на побережье в районе Бордо. Это, как правило, — блиндажи. Позади этой линии никаких укреплений нет. Многочисленные официальные заявления немецкого командования, а также высказывания газет о неприступности «атлантического вала» вызывали негодование солдат. Они говорили: «Пусть те, кто так много шумит об «атлантическом вале», сами защищают западную границу в случае вторжения англо-американских войск» (14759).</w:t>
      </w:r>
    </w:p>
    <w:p w14:paraId="0CF16794"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241F61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 в СССР прибыли первые "Харрикейны" IID, серийные номера КХ165, 173, 294, 296, 298, 7 сентября - КХ302, 12 сентября - КХ177, 230, 303, 13 сентября - КХ299, 21 сентября - КХ175, 181, 225, 250, 301, 423, 463, 466, 866, 25 сентября - КХ166. 172, 865, 27 сентября - КХ248, 418. 465. Последним в 1943 г. оказался КХ232, прилетевший 31 октября 1943 г. Поскольку инструкторы 11-го ЗБАП не имели опыта подготовки на "Харрикейны", вскоре все полученные машины были переданы в 25-й ЗИАП (запасной истребительный авиаполк) (3187).</w:t>
      </w:r>
    </w:p>
    <w:p w14:paraId="62EFF35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71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4 сентября 1943 после безуспешного поиска в Ботническом заливе старший лейтенант П.А.Колесник сбросил торпеду по плавучему маяку у финского порта Раума. По донесению летчика, маяк утонул, но, возможно, финны и сами на время убрали его из опасного места. Остальные атаки, произведенные в течение месяца экипажами А.П.Чернышева (02, 10, 20.09), И.Г.Шаманова (03, 14.09), Г.Д.Васильева (04, 20.09) и П.А.Колесника (30.09), пока ещё подтверждений не получили (9965).</w:t>
      </w:r>
    </w:p>
    <w:p w14:paraId="6969729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E437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44F8EB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23C65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состоялась встреча И.В.С. с митрополитами Сергием, Алексием и Николаем и договорились об активизации деятельности РПЦ (3398,319).</w:t>
      </w:r>
    </w:p>
    <w:p w14:paraId="167C13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0D9B8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Сталин принял митрополита Сергия, одобрив избрание того патриархом (4962).</w:t>
      </w:r>
    </w:p>
    <w:p w14:paraId="7214D638"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B216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сентября </w:t>
      </w:r>
      <w:r w:rsidRPr="00271E51">
        <w:rPr>
          <w:rFonts w:ascii="Times New Roman" w:hAnsi="Times New Roman"/>
          <w:color w:val="000000" w:themeColor="text1"/>
          <w:sz w:val="16"/>
          <w:szCs w:val="16"/>
        </w:rPr>
        <w:t xml:space="preserve">в 1943 году впервые после Октябрьской революции иерархи православной церкви приглашены на встречу с советским руководством. Аудиенции у И.В.Сталина удостоены митрополиты Киевский, Ленинградский и Московский. Этому в немалой степени способствовала патриотическая деятельность русской церкви во время войны, возглавляемая Сергием, митрополитом Московским, патриаршим местоблюстителем. Собранные верующими средства в Фонд обороны, </w:t>
      </w:r>
      <w:r w:rsidRPr="00271E51">
        <w:rPr>
          <w:rFonts w:ascii="Times New Roman" w:hAnsi="Times New Roman"/>
          <w:color w:val="000000" w:themeColor="text1"/>
          <w:sz w:val="16"/>
          <w:szCs w:val="16"/>
        </w:rPr>
        <w:lastRenderedPageBreak/>
        <w:t>созданные на них танковые части и госпитали, как видно, стали лучшим аргументом в пользу того, что религия не только опиум для народа. Результатом встречи станет разрешение на открытие ряда семинарий и проведение выборов патриарха всея Руси (14759).</w:t>
      </w:r>
    </w:p>
    <w:p w14:paraId="3CEE0879"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12C7D470"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Утром на даче Сталин в присутствии Маленкова и Берии обсудил положение дел в Русской Православной Церкви с полковников госбезопасности Г. Г. Карповым, долгое время работавшим в Комиссии по делам культов при ВЦИКе.</w:t>
      </w:r>
    </w:p>
    <w:p w14:paraId="172D954C"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Несколькими часами позже в Кремле состоялась беседа Сталина с патриаршим местоблюстителем митрополитом Сергием, ленинградским митрополитом Алексием и экзархом Украины митрополитом Николаем. Во время беседы митрополит Сергий довел до сведения председателя Совнаркома, что в руководящих кругах Православной Церкви имеется намерение в ближайшее время созвать собор епископов для избрания патриарха Московского и всея Руси и образования при патриархе Священного Синода. И. В. Сталин сочувственно отнесся к этим предложениям и заявил, что со сторонытгравитель-ства не будет к этому препятствий. На предложение митрополита Сергия созвать архиерейских собор через месяц, Сталин: заявил: "А нельзя ли проявить большевисткие темпы" Он предложил созвать собор через три дня и отдал распоряжение привлечь авиацию для сбора епископов. В конце встречи Сталин представил иерархам Г. Г. Карпова, как руководителя создаваемого Совета по делам РПЦ (18693).</w:t>
      </w:r>
    </w:p>
    <w:p w14:paraId="4AC53876"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0B13D50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2DFE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7815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года было получено:</w:t>
      </w:r>
    </w:p>
    <w:p w14:paraId="43CC278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СЕКРЕТНОЕ И ЛИЧНОЕ ПОСЛАНИЕ ОТ ПРЕЗИДЕНТА И ПРЕМЬЕР-МИНИСТРА МАРШАЛУ СТАЛИНУ</w:t>
      </w:r>
    </w:p>
    <w:p w14:paraId="0A1457E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Генерал Чарли заявил, что итальянцы согласны в что он выезжает для подписания, но мы не знаем определенно, относится ли это заявление к кратким военным условиям, которые Вы видели, или к более полным и исчерпывающим условиям, Ваша готовность подписать которые была особо указана </w:t>
      </w:r>
      <w:r w:rsidRPr="00271E51">
        <w:rPr>
          <w:rFonts w:ascii="Times New Roman" w:hAnsi="Times New Roman"/>
          <w:color w:val="000000" w:themeColor="text1"/>
          <w:sz w:val="16"/>
          <w:szCs w:val="16"/>
          <w:vertAlign w:val="superscript"/>
        </w:rPr>
        <w:t>39</w:t>
      </w:r>
      <w:r w:rsidRPr="00271E51">
        <w:rPr>
          <w:rFonts w:ascii="Times New Roman" w:hAnsi="Times New Roman"/>
          <w:color w:val="000000" w:themeColor="text1"/>
          <w:sz w:val="16"/>
          <w:szCs w:val="16"/>
        </w:rPr>
        <w:t>.</w:t>
      </w:r>
    </w:p>
    <w:p w14:paraId="497D23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Военное положение там одновременно критическое и обнадеживающее. Вторжение на материк начнется почти немедленно, в то время как сильный удар, называемый “Аваланш” , будет нанесен примерно на будущей неделе. Трудности, с которыми столкнутся Итальянское Правительство и народ, когда они будут вырываться из лап Гитлера, могут требовать еще более смелых шагов, и для этой цели генералу Эйзенхауэру нужна будет вся помощь со стороны итальянцев, которая может быть ими оказана. Принятие условий итальянцами в значительной степени облегчается тем, что мы отправим парашютную дивизию в Рим для того, чтобы помочь им сдержать немцев, которые собрали бронетанковые силы вблизи Рима и которые могут заменить правительство Бадольо какой-либо квислинговской администрацией, возможно во главе с Фариначчи. Мы полагаем, что, поскольку дела там развиваются столь быстро, генерал Эйзенхауэр должен иметь полномочия не откладывать урегулирования вопроса с итальянцами из-за различий, существующих между пространными и краткими условиями. Ясно, что краткие условия включены в пространные условия, что они основываются на безоговорочной капитуляции и что статья 10 кратких условий</w:t>
      </w:r>
      <w:r w:rsidRPr="00271E51">
        <w:rPr>
          <w:rFonts w:ascii="Times New Roman" w:hAnsi="Times New Roman"/>
          <w:color w:val="000000" w:themeColor="text1"/>
          <w:sz w:val="16"/>
          <w:szCs w:val="16"/>
          <w:vertAlign w:val="superscript"/>
        </w:rPr>
        <w:t>40</w:t>
      </w:r>
      <w:r w:rsidRPr="00271E51">
        <w:rPr>
          <w:rFonts w:ascii="Times New Roman" w:hAnsi="Times New Roman"/>
          <w:color w:val="000000" w:themeColor="text1"/>
          <w:sz w:val="16"/>
          <w:szCs w:val="16"/>
        </w:rPr>
        <w:t xml:space="preserve"> предоставляет право толкования Союзному Главнокомандующему.</w:t>
      </w:r>
    </w:p>
    <w:p w14:paraId="60BAF1D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мы полагаем, что Вы согласны с тем, чтобы генерал Эйзенхауэр подписал краткие условия от Вашего имени, если это было бы необходимо в целях избежания дальнейших поездок генерала Чарли в Рим и вызываемой этим задержки и неуверенности, которые могут повлиять на военные операции.</w:t>
      </w:r>
    </w:p>
    <w:p w14:paraId="7EDC173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конечно, очень хотим, чтобы итальянцы безоговорочно капитулировали перед Советским Союзом, так же как перед Соединенными Штатами и Британией. Дата сообщения о капитуляции должна быть, конечно, приурочена к военному, удару.</w:t>
      </w:r>
    </w:p>
    <w:p w14:paraId="5C74C5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РУЗВЕЛЬТ</w:t>
      </w:r>
    </w:p>
    <w:p w14:paraId="06D4EA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ЧЕРЧИЛЛЬ (7430).</w:t>
      </w:r>
    </w:p>
    <w:p w14:paraId="3146E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848E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6B1D3A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9E8C59" w14:textId="77777777" w:rsidR="00A35B4B" w:rsidRPr="00271E51" w:rsidRDefault="00A35B4B" w:rsidP="00271E51">
      <w:pPr>
        <w:pStyle w:val="1162"/>
        <w:shd w:val="clear" w:color="auto" w:fill="auto"/>
        <w:spacing w:after="0"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lang w:val="ru-RU"/>
        </w:rPr>
        <w:t>С</w:t>
      </w:r>
      <w:r w:rsidRPr="00271E51">
        <w:rPr>
          <w:rFonts w:ascii="Times New Roman" w:hAnsi="Times New Roman" w:cs="Times New Roman"/>
          <w:color w:val="0070C0"/>
          <w:sz w:val="16"/>
          <w:szCs w:val="16"/>
        </w:rPr>
        <w:t xml:space="preserve"> 4 сентября 1943 года начались поставки в войска B-17G-1-BO</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rPr>
        <w:t>с завода «Боинг» в Сиэтле в штате Вашингтон, а затем и с калифорнийских заводов «Локхид — Вега» в Бербанке и «Дуглас» в городе Лонг-Бич. Их продукция обозначалась соответственно B-17G-BO, B-17G-VE и B-17G-DL</w:t>
      </w:r>
      <w:r w:rsidRPr="00271E51">
        <w:rPr>
          <w:rFonts w:ascii="Times New Roman" w:hAnsi="Times New Roman" w:cs="Times New Roman"/>
          <w:color w:val="0070C0"/>
          <w:sz w:val="16"/>
          <w:szCs w:val="16"/>
          <w:lang w:val="ru-RU"/>
        </w:rPr>
        <w:t xml:space="preserve"> (22895)</w:t>
      </w:r>
      <w:r w:rsidRPr="00271E51">
        <w:rPr>
          <w:rFonts w:ascii="Times New Roman" w:hAnsi="Times New Roman" w:cs="Times New Roman"/>
          <w:color w:val="0070C0"/>
          <w:sz w:val="16"/>
          <w:szCs w:val="16"/>
        </w:rPr>
        <w:t>.</w:t>
      </w:r>
    </w:p>
    <w:p w14:paraId="1F7AFB17" w14:textId="77777777" w:rsidR="00A35B4B" w:rsidRPr="00271E51" w:rsidRDefault="00A35B4B" w:rsidP="00271E51">
      <w:pPr>
        <w:pStyle w:val="1162"/>
        <w:shd w:val="clear" w:color="auto" w:fill="auto"/>
        <w:spacing w:after="0" w:line="240" w:lineRule="auto"/>
        <w:ind w:firstLine="0"/>
        <w:jc w:val="both"/>
        <w:rPr>
          <w:rFonts w:ascii="Times New Roman" w:hAnsi="Times New Roman" w:cs="Times New Roman"/>
          <w:color w:val="0070C0"/>
          <w:sz w:val="16"/>
          <w:szCs w:val="16"/>
        </w:rPr>
      </w:pPr>
    </w:p>
    <w:p w14:paraId="3D636A3B" w14:textId="77777777" w:rsidR="00A35B4B" w:rsidRPr="00271E51" w:rsidRDefault="00A35B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сентября 1943 наличие красного цвета в национальных знаках отличия, принятых в июне 1943 года для их военных самолетов, могло вызвать путаницу с японскими знаками во время боя и Соединенные Штаты принимают новую маркировку, состоящую из белой звезды в центре синего круга, окруженного белыми прямоугольниками, со всеми знаками отличия. обведеными синим цветом . Новая маркировка будет использоваться до января 1947 года (20375).</w:t>
      </w:r>
    </w:p>
    <w:p w14:paraId="29EF227E" w14:textId="77777777" w:rsidR="00A35B4B" w:rsidRPr="00271E51" w:rsidRDefault="00A35B4B" w:rsidP="00271E51">
      <w:pPr>
        <w:spacing w:after="0" w:line="240" w:lineRule="auto"/>
        <w:jc w:val="both"/>
        <w:rPr>
          <w:rFonts w:ascii="Times New Roman" w:hAnsi="Times New Roman"/>
          <w:color w:val="0070C0"/>
          <w:sz w:val="16"/>
          <w:szCs w:val="16"/>
        </w:rPr>
      </w:pPr>
    </w:p>
    <w:p w14:paraId="0F12AD8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сентября </w:t>
      </w:r>
      <w:r w:rsidRPr="00271E51">
        <w:rPr>
          <w:rFonts w:ascii="Times New Roman" w:hAnsi="Times New Roman"/>
          <w:color w:val="000000" w:themeColor="text1"/>
          <w:sz w:val="16"/>
          <w:szCs w:val="16"/>
        </w:rPr>
        <w:t>в 1943 году (4-6 сентября) немецкие войска медленно отступают из Калабрии, а британские двигаются за ними, не вступая в боестолкновения (14759).</w:t>
      </w:r>
    </w:p>
    <w:p w14:paraId="5A97DC6C"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060D73E4" w14:textId="77777777" w:rsidR="00A35B4B" w:rsidRPr="00271E51" w:rsidRDefault="00A35B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сентября 1943 союзные войска высаживаются в Лаэ, Новая Гвинея. Небольшой налет девяти японских самолетов уничтожает десант у Лаэ. Позже японцы нанесли удар 80 самолетами; после того, как воздушные силы США P-38 Lightning сбили 23, остальные атаковали корабли союзников у берегов Лаэ, повредив два десантных корабля (20376).</w:t>
      </w:r>
    </w:p>
    <w:p w14:paraId="4D23ACB9" w14:textId="77777777" w:rsidR="00A35B4B" w:rsidRPr="00271E51" w:rsidRDefault="00A35B4B" w:rsidP="00271E51">
      <w:pPr>
        <w:spacing w:after="0" w:line="240" w:lineRule="auto"/>
        <w:jc w:val="both"/>
        <w:rPr>
          <w:rFonts w:ascii="Times New Roman" w:hAnsi="Times New Roman"/>
          <w:color w:val="0070C0"/>
          <w:sz w:val="16"/>
          <w:szCs w:val="16"/>
        </w:rPr>
      </w:pPr>
    </w:p>
    <w:p w14:paraId="0EF006E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сентября </w:t>
      </w:r>
      <w:r w:rsidRPr="00271E51">
        <w:rPr>
          <w:rFonts w:ascii="Times New Roman" w:hAnsi="Times New Roman"/>
          <w:color w:val="000000" w:themeColor="text1"/>
          <w:sz w:val="16"/>
          <w:szCs w:val="16"/>
        </w:rPr>
        <w:t>в 1943 году второй этап операции "Колесо" в юго-западной части Тихого океана (до 23 марта) (14759).</w:t>
      </w:r>
    </w:p>
    <w:p w14:paraId="2945CCCC"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75CE71C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сентября 1943 - 23 марта 1944 был второй этап операции Колесо в западной части Тихого океана и высадились на северо-востоке Новой Гвинеи (3907,243).</w:t>
      </w:r>
    </w:p>
    <w:p w14:paraId="0BEF6D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3E422D"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E7DBF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7DFCB" w14:textId="77777777" w:rsidR="00D56E4E" w:rsidRPr="00271E51" w:rsidRDefault="00D56E4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 сентября 1943 года в черновике доклада генерал-майора Федоренко Сталину есть предложение усилить защиту ИС, увеличив его боевую массу до 55–60 тонн. Это предложение было вычеркнуто, но свято место пусто не бывает (17756).</w:t>
      </w:r>
    </w:p>
    <w:p w14:paraId="03F148D0" w14:textId="77777777" w:rsidR="00D56E4E" w:rsidRPr="00271E51" w:rsidRDefault="00D56E4E" w:rsidP="00271E51">
      <w:pPr>
        <w:pStyle w:val="ae"/>
        <w:shd w:val="clear" w:color="auto" w:fill="FFFFFF"/>
        <w:spacing w:before="0" w:after="0"/>
        <w:jc w:val="both"/>
        <w:rPr>
          <w:color w:val="000000" w:themeColor="text1"/>
          <w:sz w:val="16"/>
          <w:szCs w:val="16"/>
        </w:rPr>
      </w:pPr>
    </w:p>
    <w:p w14:paraId="5A8313C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w:t>
      </w:r>
      <w:r w:rsidRPr="00271E51">
        <w:rPr>
          <w:rFonts w:ascii="Times New Roman" w:hAnsi="Times New Roman"/>
          <w:color w:val="000000" w:themeColor="text1"/>
          <w:sz w:val="16"/>
          <w:szCs w:val="16"/>
        </w:rPr>
        <w:softHyphen/>
        <w:t>тября 1943, согласно докладу командира «особой танковой роты № 100», рота вернулась в распоряжение НКТП. На фронте рота активностью не отличалась и нахо</w:t>
      </w:r>
      <w:r w:rsidRPr="00271E51">
        <w:rPr>
          <w:rFonts w:ascii="Times New Roman" w:hAnsi="Times New Roman"/>
          <w:color w:val="000000" w:themeColor="text1"/>
          <w:sz w:val="16"/>
          <w:szCs w:val="16"/>
        </w:rPr>
        <w:softHyphen/>
        <w:t>дилась большей частью в резерве Центрального фронта. Но, несмотря на тесную опеку, роте все-таки довелось участвовать в нескольких боевых столкновениях с немец</w:t>
      </w:r>
      <w:r w:rsidRPr="00271E51">
        <w:rPr>
          <w:rFonts w:ascii="Times New Roman" w:hAnsi="Times New Roman"/>
          <w:color w:val="000000" w:themeColor="text1"/>
          <w:sz w:val="16"/>
          <w:szCs w:val="16"/>
        </w:rPr>
        <w:softHyphen/>
        <w:t>кими войсками. Так, экипаж Т-43 младшего лейтенанта Мажорова был награжден орденами и медалями (они унич</w:t>
      </w:r>
      <w:r w:rsidRPr="00271E51">
        <w:rPr>
          <w:rFonts w:ascii="Times New Roman" w:hAnsi="Times New Roman"/>
          <w:color w:val="000000" w:themeColor="text1"/>
          <w:sz w:val="16"/>
          <w:szCs w:val="16"/>
        </w:rPr>
        <w:softHyphen/>
        <w:t>тожили три немецких противотанковых орудия и 2 БТР или БА). От ответного огня немецких войск почти все тан</w:t>
      </w:r>
      <w:r w:rsidRPr="00271E51">
        <w:rPr>
          <w:rFonts w:ascii="Times New Roman" w:hAnsi="Times New Roman"/>
          <w:color w:val="000000" w:themeColor="text1"/>
          <w:sz w:val="16"/>
          <w:szCs w:val="16"/>
        </w:rPr>
        <w:softHyphen/>
        <w:t>ки роты получили от 1 до 11 (!) попаданий, но броня их кор</w:t>
      </w:r>
      <w:r w:rsidRPr="00271E51">
        <w:rPr>
          <w:rFonts w:ascii="Times New Roman" w:hAnsi="Times New Roman"/>
          <w:color w:val="000000" w:themeColor="text1"/>
          <w:sz w:val="16"/>
          <w:szCs w:val="16"/>
        </w:rPr>
        <w:softHyphen/>
        <w:t>пусов пробита не была. По возвращении роты ее командир, капитан Волосатое, дал танкам Т-43, танкам-истребителям Т-34/57 и командирскому танку самый благожелательный отзыв, отметив лишь вооружение танков Т-43 76-мм пуш</w:t>
      </w:r>
      <w:r w:rsidRPr="00271E51">
        <w:rPr>
          <w:rFonts w:ascii="Times New Roman" w:hAnsi="Times New Roman"/>
          <w:color w:val="000000" w:themeColor="text1"/>
          <w:sz w:val="16"/>
          <w:szCs w:val="16"/>
        </w:rPr>
        <w:softHyphen/>
        <w:t>кой недостаточным (11135).</w:t>
      </w:r>
    </w:p>
    <w:p w14:paraId="719A865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FC72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вышло Постановление ГКО № 4045 Об отпуске продовольственных, госпитальных и фуражных пайков для Красной Армии, Военно-Морского Флота и войск HКВД в сентябре 1943 года.РГАНИР, Фонд ГКО, д. 149, лл. 175-176, 177-178 (11012).</w:t>
      </w:r>
    </w:p>
    <w:p w14:paraId="6E2771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3F87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вышло Постановление ГКО № 4046 О плане снабжения горюче-смазочными материалами Красной Армии и Военно-Морского Флота на сентябрь 1943 года. (7137, 179-183,184-238).</w:t>
      </w:r>
    </w:p>
    <w:p w14:paraId="36CFA966"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2827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закончились фронтовые испытания двух Т-43 в составе “особой танковой роты № 100”, которые проходили с 19 августа 1943. Участвовали в нескольких огневых контактах. Экипаж ил.л Мажорова уничтожил 3 ПТО и 2 БТР. Получили от 1 до 11 попаданий. Командир роты Волосатов дал положительный отзыв, отметив недостаточность 76 мм пушки. В сентябре на один поставили 85мм Д-5Т. Тем не менее, выпуск остановили и подготовку к серии на заводе № 183 (хотели с конца августа) - прекратили (7637,33)..</w:t>
      </w:r>
    </w:p>
    <w:p w14:paraId="1075372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Начат аварийно-боевой ремонт БМО (завершен 20 сентября) (10671).</w:t>
      </w:r>
    </w:p>
    <w:p w14:paraId="7BD288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D3C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г. по приказу НКС № 191 в Харькове образованы ремонтные мастерские. Ремонт коммутаторов, телефонных аппаратов, кабельных ящиков, телефонных станций. По приказу Минсвязи № 151 от 24.02.1950 г. Подсобные мастерские переданы заводу № 11 Управления подсобных предприятий Минсвязи. Ремонт радио</w:t>
      </w:r>
      <w:r w:rsidRPr="00271E51">
        <w:rPr>
          <w:rFonts w:ascii="Times New Roman" w:hAnsi="Times New Roman"/>
          <w:color w:val="000000" w:themeColor="text1"/>
          <w:sz w:val="16"/>
          <w:szCs w:val="16"/>
        </w:rPr>
        <w:softHyphen/>
        <w:t xml:space="preserve">телефонной аппаратуры, изготовление инструментов для завода № 11, освоение производства часов-счетчиков для международных переговоров, </w:t>
      </w:r>
      <w:r w:rsidRPr="00271E51">
        <w:rPr>
          <w:rFonts w:ascii="Times New Roman" w:hAnsi="Times New Roman"/>
          <w:color w:val="000000" w:themeColor="text1"/>
          <w:sz w:val="16"/>
          <w:szCs w:val="16"/>
        </w:rPr>
        <w:lastRenderedPageBreak/>
        <w:t>индикаторов высокого напряжения.</w:t>
      </w:r>
    </w:p>
    <w:p w14:paraId="1A95D1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Минсвязи № 167 от 04.04.1958г. Харьковские подсобные мастерские ликвидированы, основные средства, документация и материалы переданы Харьковскому заводу № 10 Минсвязи (11982).</w:t>
      </w:r>
    </w:p>
    <w:p w14:paraId="00831E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3F5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вышло Распоряжение ГКО № 4047. Об учреждении дополнительно двух переходящих Красных знамен ГКО для заводов НКТП, производящих САУ и бронекорпуса.РГАНИР, Фонд ГКО, д. 150, лл. 1 (11012).</w:t>
      </w:r>
    </w:p>
    <w:p w14:paraId="354C5B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7DD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вышло Постановление ГКО № 4048 Об организации производства колес Гриффина на заводе № 183 Hаркомтанкопрома и о перенесении производства ФАБ-100 с завода № 183 на завод № 48РГАНИР, Фонд ГКО, д. 150, лл. 2-4 (11012).</w:t>
      </w:r>
    </w:p>
    <w:p w14:paraId="24A7F17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7A7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вышло Постановление ГКО № 4049 О плане сдачи свежих картофеля и овощей Красной Армии, Военно-Морскому Флоту и войскам НКВД СССР из урожая 1943 года.РГАНИР, Фонд ГКО, д. 150, лл. 5-13, 14-20 (11012).</w:t>
      </w:r>
    </w:p>
    <w:p w14:paraId="271536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D921B"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63B0A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ED5F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5 сентября </w:t>
      </w:r>
      <w:r w:rsidRPr="00271E51">
        <w:rPr>
          <w:rFonts w:ascii="Times New Roman" w:hAnsi="Times New Roman"/>
          <w:color w:val="000000" w:themeColor="text1"/>
          <w:sz w:val="16"/>
          <w:szCs w:val="16"/>
        </w:rPr>
        <w:t>в 1943 году оперативная сводка Совинформбюро:</w:t>
      </w:r>
    </w:p>
    <w:p w14:paraId="2403B44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сентября в Донбассе наши войска продолжали успешно развивать наступление и, продвинувшись вперёд от 10 до 15 километров, заняли свыше 120 населённых пунктов, в том числе город Артёмовск, город Дзержинск, город Комсомольск, город Харцызск, город Моспино, крупные населённые пункты Красное, Карловка, Имени Кирова, Железное, Новоясиноватая, Пантелеймоновка, Корсунь, Верхняя и Нижняя Кринка и железнодорожные станции Алебастровая, Майорская, Скотоватая, Щебенка, Монахово, Нижняя Кринка.</w:t>
      </w:r>
    </w:p>
    <w:p w14:paraId="3D280DB1"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Брянска наши войска продолжали успешное наступление и, продвинувшись на отдельных участках вперёд от 8 до 14 километров, заняли свыше 50 населённых пунктов и среди них крупный железнодорожный узел Хутор Михайловский, районные центры Орловской области Локоть и Суземка, районный центр Сумской области Середина-Буда.</w:t>
      </w:r>
    </w:p>
    <w:p w14:paraId="44A2097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продолжали наступление и,продвинувшись вперёд от 6 до 10 километров, заняли свыше 100 населённых пунктов,в том числе крупные населённые пункты Нехаевка, Октябрьское, Атюша, Пролетарское, Духановка, Гвинтовое, Клепалы, Терны, Деркачёвка.</w:t>
      </w:r>
    </w:p>
    <w:p w14:paraId="175286C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западнее и юго-западнее Харькова, заняли несколько населённых пунктов, значительно улучшив свои позиции.</w:t>
      </w:r>
    </w:p>
    <w:p w14:paraId="54096AFD"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и заняли несколько населённых пунктов.</w:t>
      </w:r>
    </w:p>
    <w:p w14:paraId="085A5EE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сентября наши войска на всех фронтах подбили и уничтожили 92 немецких танка. В воздушных боях и огнём зенитной артиллерии сбито 70 самолётов противника.</w:t>
      </w:r>
    </w:p>
    <w:p w14:paraId="0DF87CF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продолжали успешное наступление. Части Н-ского соединения, преодолевая сопротивление немцев, продвинулись на 15 километров и заняли свыше 40 населённых пунктов. Овладев населёнными пунктами севернее и южнее Артёмовска, советские войска создали непосредственную угрозу войскам противника, отброшенным к городу Артёмовск. Немцы упорно защищали город, создали на подступах к нему широкие минные поля и противотанковые препятствия. Наши передовые части ночью прорвались к Артёмовску и завязали уличные бои. К утру советские войска разгромили врага и полностью овладели городом Артёмовск. На другом участке части Н-ского соединения с боями продвигались вперёд и занялис выше 80 населённых пунктов. Уничтожено не менее 2.000 немецких солдат и офицеров, 26 танков, 6 самоходных и 42 полевых орудия и 200 автомашин противника. Советские войска захватили трофеи, в числе которых 36 орудий разного калибра, несколько складов боеприпасов и крупные склады с различным военным имуществом. Взяты пленные.</w:t>
      </w:r>
    </w:p>
    <w:p w14:paraId="10DF0BE4"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Горловку отличился горловский шахтёр танкист Александр Негурицын, уничтоживший одно самоходное и 5 полевых орудий, 2 миномётных батареи и 5 пулемётов противника.</w:t>
      </w:r>
    </w:p>
    <w:p w14:paraId="57D7DC7B"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развивая успешное наступление, овладели крупным железнодорожным узлом Хутор Михайловский и несколькими десятками других населённых пунктов.</w:t>
      </w:r>
    </w:p>
    <w:p w14:paraId="0F322C6F"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Комаричи советские части, преодолевая сопротивление противника, продвигались вперёд. Располагая выгодным рубежом у районного центра Локоть, немцы рассчитывали здесь задержать наступающие советские части. Наши бойцы стремительным ударом заняли крупный населённый пункт Брасово и завязали бои на подступах к Локоть. Гитлеровцы бросили в контратаку танки и самоходные орудия, но понесли большие потери и в беспорядке отступили. Преследуя противника по пятам, бойцы Н-ской части ворвались в районный центр Локоть и заняли его. В этом бою уничтожено 800 немецких солдат и офицеров, 11 танков и 7 самоходныхорудий. Захвачено 17 орудий, склад боеприпасов и другие трофеи.</w:t>
      </w:r>
    </w:p>
    <w:p w14:paraId="12DF585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Севска шли ожесточённые бои. К исходу дня советские бойцы выбили немцев из укреплений и штурмом заняли железнодорожную станцию и районный центр Сумской области город Середина-Буда. На другом участке наши части овладелижелезнодорожной станцией и районным центром Орловской области Суземка. Уничтоженбатальон гитлеровцев. Захвачено 9 танков, танкетка, 6 орудий и 55 пулемётов.</w:t>
      </w:r>
    </w:p>
    <w:p w14:paraId="1D4C0BE5"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бойцы, преследуя противника, освободили свыше 5 тысяч мирных советских граждан, которых гитлеровцы насильно угоняли на фашистскую каторгу.</w:t>
      </w:r>
    </w:p>
    <w:p w14:paraId="09711C52"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Конотопском направлении наши войска продолжали наступление. Противник в течение дня предпринимал контратаки, но не смог задержать наступающие советские части. Отбивая контратаки и отбрасывая немцев, наши войска заняли более ста населённых пунктов. Уничтожено до 1.500 вражеских солдат и офицеров. Захвачены трофеи, в том числе 170 железнодорожных вагонов с различными военными грузами, 5 крупных складов с боеприпасами, продовольствием и горючих. Взяты пленные.</w:t>
      </w:r>
    </w:p>
    <w:p w14:paraId="53583E3E"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Н-ское соединение в последних боях истребило свыше 1.000 солдат и офицеров противника, уничтожило 44 немецких танка, 3 бронемашины, 26 орудий и 104 пулемёта. Н-ская часть сломила сопротивление противника и овладела тремя населёнными пунктами, уничтожив при этом роту немецких автоматчиков.</w:t>
      </w:r>
    </w:p>
    <w:p w14:paraId="7B58C329"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Харькова наши войска, овладев городом Мерефа, продолжали продвигаться вперёд и улучшили свои позиции, В упорных боях уничтожено до 600 немецких солдат и офицеров, 8 танков, 6 орудий, из них два самоходных.</w:t>
      </w:r>
    </w:p>
    <w:p w14:paraId="1743F8A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Западнее Дорогобужа Н-ская часть, преодолевая упорное сопротивление противника, продвинулась вперёд и заняла несколько населённых пунктов. Западнее июго-западнее Ельни наши войска отразили ряд контратак немцев. На одном участке противник, стремясь во что бы то ни стало задержать наступление наших частей,бросил в контратаку до полка пехоты. Гитлеровцы ещё на исходной позиции были накрыты огнём советской артиллерии. Приблизившись к нашим позициям, они попали под перекрёстный огонь пулемётчиков и миномётчиков. Потеряв не менее половины своего состава, гитлеровцы откатились. Не дав противнику притти в себя, бойцыН-ской части нанесли ответный удар и выбили немцев из сильно укреплённого опорного пункта. Захвачено 18 орудий, 134 пулемёта, 35 миномётов и другие трофеи.</w:t>
      </w:r>
    </w:p>
    <w:p w14:paraId="25A6E2C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33 немецких самолёта. Кроме того, огнём зенитной артиллерии уничтожено 14 самолётов противника.</w:t>
      </w:r>
    </w:p>
    <w:p w14:paraId="0E56CA68"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потопили в Баренцевом море танкер противника водоизмещением в 10 тысяч тонн.</w:t>
      </w:r>
    </w:p>
    <w:p w14:paraId="329FB0A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Краснознамённого Балтийского флота потопили в Балтийском море транспорт противника водоизмещением в 3 тысячи тонн.</w:t>
      </w:r>
    </w:p>
    <w:p w14:paraId="3348CB57" w14:textId="77777777" w:rsidR="004E13DD" w:rsidRPr="00271E51" w:rsidRDefault="004E13D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Партизанский отряд, действующий в одном из районов Гомельской области, за один день взорвал 4 моста на шоссе, по которому происходило усиленное передвижение войск противника. В бою с охраной мостов истреблено более 80 гитлеровцев. Партизаны другого гомельского отряда пустили под откос бронепоезд противника. Разбит паровоз и две бронеплощадки.». </w:t>
      </w:r>
    </w:p>
    <w:p w14:paraId="0AAD85D3" w14:textId="77777777" w:rsidR="004E13DD" w:rsidRPr="00271E51" w:rsidRDefault="004E13DD" w:rsidP="00271E51">
      <w:pPr>
        <w:spacing w:after="0" w:line="240" w:lineRule="auto"/>
        <w:jc w:val="both"/>
        <w:rPr>
          <w:rFonts w:ascii="Times New Roman" w:hAnsi="Times New Roman"/>
          <w:color w:val="000000" w:themeColor="text1"/>
          <w:sz w:val="16"/>
          <w:szCs w:val="16"/>
        </w:rPr>
      </w:pPr>
    </w:p>
    <w:p w14:paraId="3DF3B2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Разгонин на Ил-4 сбросил торпеду по одиночному мелкому транспорту или траулеру (по донесению водоизмещением 3000 т) в районе мыса Колкасрагс и, вроде бы, наблюдал его потопление (9965).</w:t>
      </w:r>
    </w:p>
    <w:p w14:paraId="4913402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0CA6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7B06C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B3A4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года</w:t>
      </w:r>
    </w:p>
    <w:p w14:paraId="5F07E1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4C5DC27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 военной комиссии.</w:t>
      </w:r>
    </w:p>
    <w:p w14:paraId="43F9C2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обсуждал с Президентом Ваше предложение о военно-политической комиссии, которая состояла бы из представителей наших трех стран. Президент посылает Вам изложение своей точки зрения.</w:t>
      </w:r>
    </w:p>
    <w:p w14:paraId="5FA73A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Если должна быть создана официальная комиссия, то в отношении ее структуры и компетенции я вношу следующие предложения, с которыми, как я полагаю, Президент не был бы не согласен. Но он телеграфирует отдельно.</w:t>
      </w:r>
    </w:p>
    <w:p w14:paraId="2D72D1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Что касается ее местопребывания — я согласен на Сицилию, если Вы так решили. Но я полагаю, что либо Тунис, либо Алжир, которые являются местами пребывания главной квартиры союзников, были бы более удобными. Не было бы вреда попробовать и то и другое.</w:t>
      </w:r>
    </w:p>
    <w:p w14:paraId="28E333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Я предлагаю, чтобы членами комиссии были политические представители, назначенные тремя правительствами, каждый из которых будет докладывать непосредственно своему правительству. Комиссия, конечно, не могла бы подменить или превысить полномочия заинтересованных правительств. Возможно, что представителям потребуется помощь военных советников. Политические представители должны быть информированы своими правительствами о военных и политических событиях, влияющих на их работу, и в свою очередь должны информировать свои правительства о событиях на месте. Они могли бы делать совместные представления своим правительствам, но они не имели бы полномочий для принятия окончательных решений. Они, конечно, не вмешивались бы в военные функции Союзного Главнокомандующего.</w:t>
      </w:r>
    </w:p>
    <w:p w14:paraId="2F365C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Я был рад узнать, что Вы согласились с включением французского представителя. Президент, которому я изложил эту мысль, также как будто бы был склонен согласиться с этим с некоторыми оговорками. Мы должны помнить, что скоро французы, вероятно, будут иметь десять или более полностью оснащенных дивизий, которые, конечно, потребуются для операций.</w:t>
      </w:r>
    </w:p>
    <w:p w14:paraId="537D67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Имеются и другие, а именно: греки и югославы, которые непосредственно заинтересованы, и я предлагаю, чтобы мы выработали процедуру привлечения их для консультаций, -когда будут рассматриваться вопросы, непосредственно их касающиеся.</w:t>
      </w:r>
    </w:p>
    <w:p w14:paraId="0D0217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Насколько я понимаю, комиссия в первую очередь занималась бы только итальянским вопросом. Когда возникнут другие вопросы, опыт покажет, будет ли тот или иной орган наиболее подходящим средством для согласования наших точек зрения и планов.</w:t>
      </w:r>
    </w:p>
    <w:p w14:paraId="244E5E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Президент делает Вам другое предложение, а именно о том, что, может быть, Вы сочли бы достаточным командировать офицера в штаб генерала Эйзенхауэра. Принимая во внимание, что эта комиссия, если она будет создана, собралась бы почти одновременно с конференцией министров иностранных дел, может быть, Вы согласитесь с тем, что план Президента решает вопрос.</w:t>
      </w:r>
    </w:p>
    <w:p w14:paraId="6D7EE7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В случае, если будет решено создать комиссию, я был бы признателен за сообщение о том, согласитесь ли Вы с предложениями, которые я сделал выше. Комиссия, если это желательно, должна начать свою работу в этом месяце, но смотрите мою телеграмму, непосредственно следующую за этой (7430).</w:t>
      </w:r>
    </w:p>
    <w:p w14:paraId="38849BA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33FE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1943 года</w:t>
      </w:r>
    </w:p>
    <w:p w14:paraId="5EC6BD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096005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Смотрите мою телеграмму, непосредственно предшествующую этой. Секретно. Лично. Оперативный вопрос.</w:t>
      </w:r>
    </w:p>
    <w:p w14:paraId="43C3D0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Генерал “К”</w:t>
      </w:r>
      <w:r w:rsidRPr="00271E51">
        <w:rPr>
          <w:rFonts w:ascii="Times New Roman" w:hAnsi="Times New Roman"/>
          <w:color w:val="000000" w:themeColor="text1"/>
          <w:sz w:val="16"/>
          <w:szCs w:val="16"/>
          <w:vertAlign w:val="superscript"/>
        </w:rPr>
        <w:t>44</w:t>
      </w:r>
      <w:r w:rsidRPr="00271E51">
        <w:rPr>
          <w:rFonts w:ascii="Times New Roman" w:hAnsi="Times New Roman"/>
          <w:color w:val="000000" w:themeColor="text1"/>
          <w:sz w:val="16"/>
          <w:szCs w:val="16"/>
        </w:rPr>
        <w:t xml:space="preserve"> после длительной борьбы подписал краткие условия вчера, 3 сентября, вечером, и он сейчас разрабатывает вместе с генералами Эйзенхауэром и Александером лучший способ их осуществления. Это, конечно, приведет к немедленным боям между итальянскими и германскими войсками, и мы собираемся помочь итальянцам в любом возможном пункте настолько эффективно, насколько мы сможем. На следующей неделе произойдут сенсационные события. Вторжение на носок сапога было успешным, и оно энергично проводится, а операция “Аваланш” и парашютная операция предстоят в самое ближайшее время. Хотя, как я полагаю, мы высадимся на берег в “Аваланше” крупными силами, я не могу предвидеть того, что произойдет в Риме или по всей Италии. Главная цель должна состоять в том, чтобы убивать немцев и заставить итальянцев убивать немцев на этом театре в возможно большем количестве.</w:t>
      </w:r>
    </w:p>
    <w:p w14:paraId="4A29F7C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задержусь по эту сторону Атлантического океана, пока не прояснится это дело. Тем временем примите мои самые горячие поздравления по случаю Ваших новых побед и продвижения на Вашем главном фронте (7430).</w:t>
      </w:r>
    </w:p>
    <w:p w14:paraId="4713998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6DDF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сентября в 1943 году при Народном Комиссариате Иностранных Дел созданы Комиссия по вопросам мирных договоров и послевоенного устройства (председатель М.М.Литвинов) и Комиссия по вопросам перемирия (предcедатель К.Е.Ворошилов) (14760).</w:t>
      </w:r>
    </w:p>
    <w:p w14:paraId="7AAF00FB"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570DC77B" w14:textId="7E790255" w:rsidR="00A35B4B" w:rsidRPr="00271E51" w:rsidRDefault="00A35B4B"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1CCA00BD" w14:textId="77777777" w:rsidR="00A35B4B" w:rsidRPr="00271E51" w:rsidRDefault="00A35B4B"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35B6195" w14:textId="77777777" w:rsidR="00A35B4B" w:rsidRPr="00271E51" w:rsidRDefault="00A35B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сентября 1943в первом союзном парашютном десанте в Тихоокеанской войне 1700 человеклюдей из 503 - го парашютного пехотного полка армии Соединенных Штатов сбрасываются на японский аэродром Nadzab, Новая Гвинея, легко захватив его. В течение следующих нескольких дней произойдет переброска еще нескольких тысяч солдат союзников на аэродром (20376).</w:t>
      </w:r>
    </w:p>
    <w:p w14:paraId="63BB376A" w14:textId="77777777" w:rsidR="00A35B4B" w:rsidRPr="00271E51" w:rsidRDefault="00A35B4B" w:rsidP="00271E51">
      <w:pPr>
        <w:spacing w:after="0" w:line="240" w:lineRule="auto"/>
        <w:jc w:val="both"/>
        <w:rPr>
          <w:rFonts w:ascii="Times New Roman" w:hAnsi="Times New Roman"/>
          <w:color w:val="0070C0"/>
          <w:sz w:val="16"/>
          <w:szCs w:val="16"/>
        </w:rPr>
      </w:pPr>
    </w:p>
    <w:p w14:paraId="2049D6BE" w14:textId="77777777" w:rsidR="00A35B4B" w:rsidRPr="00271E51" w:rsidRDefault="00A35B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5–6 сентября (ночь) 1943 605 британских бомбардировщиков совершают очень успешную атаку на Мангейм и Людвигсхафен, Германия, но теряют 34 (5,6 процента) от своего числа (20376).</w:t>
      </w:r>
    </w:p>
    <w:p w14:paraId="4BC00CD1" w14:textId="77777777" w:rsidR="00A35B4B" w:rsidRPr="00271E51" w:rsidRDefault="00A35B4B" w:rsidP="00271E51">
      <w:pPr>
        <w:spacing w:after="0" w:line="240" w:lineRule="auto"/>
        <w:jc w:val="both"/>
        <w:rPr>
          <w:rFonts w:ascii="Times New Roman" w:hAnsi="Times New Roman"/>
          <w:color w:val="0070C0"/>
          <w:sz w:val="16"/>
          <w:szCs w:val="16"/>
        </w:rPr>
      </w:pPr>
    </w:p>
    <w:p w14:paraId="26C5A7BA" w14:textId="46AAAD5F"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7C05ED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042B6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самолет Ил-2 «крыло со стрелкой» (зав. № 6767), доведение которого до летно</w:t>
      </w:r>
      <w:r w:rsidRPr="00271E51">
        <w:rPr>
          <w:rFonts w:ascii="Times New Roman" w:hAnsi="Times New Roman"/>
          <w:color w:val="000000" w:themeColor="text1"/>
          <w:sz w:val="16"/>
          <w:szCs w:val="16"/>
        </w:rPr>
        <w:softHyphen/>
        <w:t>го состояния и отладка вооружения заняла почти месяц, был официально передан в НИИ ВВС для прохождения государ</w:t>
      </w:r>
      <w:r w:rsidRPr="00271E51">
        <w:rPr>
          <w:rFonts w:ascii="Times New Roman" w:hAnsi="Times New Roman"/>
          <w:color w:val="000000" w:themeColor="text1"/>
          <w:sz w:val="16"/>
          <w:szCs w:val="16"/>
        </w:rPr>
        <w:softHyphen/>
        <w:t>ственных испытаний.</w:t>
      </w:r>
    </w:p>
    <w:p w14:paraId="0D014C6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установки нового цельно</w:t>
      </w:r>
      <w:r w:rsidRPr="00271E51">
        <w:rPr>
          <w:rFonts w:ascii="Times New Roman" w:hAnsi="Times New Roman"/>
          <w:color w:val="000000" w:themeColor="text1"/>
          <w:sz w:val="16"/>
          <w:szCs w:val="16"/>
        </w:rPr>
        <w:softHyphen/>
        <w:t>металлического крыла, контрбаланси</w:t>
      </w:r>
      <w:r w:rsidRPr="00271E51">
        <w:rPr>
          <w:rFonts w:ascii="Times New Roman" w:hAnsi="Times New Roman"/>
          <w:color w:val="000000" w:themeColor="text1"/>
          <w:sz w:val="16"/>
          <w:szCs w:val="16"/>
        </w:rPr>
        <w:softHyphen/>
        <w:t>ра и амортизационной пружины, на самолете были реализованы все отра</w:t>
      </w:r>
      <w:r w:rsidRPr="00271E51">
        <w:rPr>
          <w:rFonts w:ascii="Times New Roman" w:hAnsi="Times New Roman"/>
          <w:color w:val="000000" w:themeColor="text1"/>
          <w:sz w:val="16"/>
          <w:szCs w:val="16"/>
        </w:rPr>
        <w:softHyphen/>
        <w:t>ботанные к этому времени мероприя</w:t>
      </w:r>
      <w:r w:rsidRPr="00271E51">
        <w:rPr>
          <w:rFonts w:ascii="Times New Roman" w:hAnsi="Times New Roman"/>
          <w:color w:val="000000" w:themeColor="text1"/>
          <w:sz w:val="16"/>
          <w:szCs w:val="16"/>
        </w:rPr>
        <w:softHyphen/>
        <w:t>тия по улучшению аэродинамики (клепка впотай, расположение листов встык и т.д.) и сделаны некоторые дру</w:t>
      </w:r>
      <w:r w:rsidRPr="00271E51">
        <w:rPr>
          <w:rFonts w:ascii="Times New Roman" w:hAnsi="Times New Roman"/>
          <w:color w:val="000000" w:themeColor="text1"/>
          <w:sz w:val="16"/>
          <w:szCs w:val="16"/>
        </w:rPr>
        <w:softHyphen/>
        <w:t>гие изменения.</w:t>
      </w:r>
    </w:p>
    <w:p w14:paraId="05DD0AB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был установлен жест</w:t>
      </w:r>
      <w:r w:rsidRPr="00271E51">
        <w:rPr>
          <w:rFonts w:ascii="Times New Roman" w:hAnsi="Times New Roman"/>
          <w:color w:val="000000" w:themeColor="text1"/>
          <w:sz w:val="16"/>
          <w:szCs w:val="16"/>
        </w:rPr>
        <w:softHyphen/>
        <w:t>кий обтекатель костыля хвостового колеса шасси. Установлены обтекате</w:t>
      </w:r>
      <w:r w:rsidRPr="00271E51">
        <w:rPr>
          <w:rFonts w:ascii="Times New Roman" w:hAnsi="Times New Roman"/>
          <w:color w:val="000000" w:themeColor="text1"/>
          <w:sz w:val="16"/>
          <w:szCs w:val="16"/>
        </w:rPr>
        <w:softHyphen/>
        <w:t>ли на рельсы фонаря кабины пилота и улучшено его сопряжение с броне-корпусом. Уменьшены щели между эле</w:t>
      </w:r>
      <w:r w:rsidRPr="00271E51">
        <w:rPr>
          <w:rFonts w:ascii="Times New Roman" w:hAnsi="Times New Roman"/>
          <w:color w:val="000000" w:themeColor="text1"/>
          <w:sz w:val="16"/>
          <w:szCs w:val="16"/>
        </w:rPr>
        <w:softHyphen/>
        <w:t>ронами и кромкой крыла и вырез над узлами навески элеронов. Стык дере</w:t>
      </w:r>
      <w:r w:rsidRPr="00271E51">
        <w:rPr>
          <w:rFonts w:ascii="Times New Roman" w:hAnsi="Times New Roman"/>
          <w:color w:val="000000" w:themeColor="text1"/>
          <w:sz w:val="16"/>
          <w:szCs w:val="16"/>
        </w:rPr>
        <w:softHyphen/>
        <w:t>вянного хвоста к бронекорпусу вы</w:t>
      </w:r>
      <w:r w:rsidRPr="00271E51">
        <w:rPr>
          <w:rFonts w:ascii="Times New Roman" w:hAnsi="Times New Roman"/>
          <w:color w:val="000000" w:themeColor="text1"/>
          <w:sz w:val="16"/>
          <w:szCs w:val="16"/>
        </w:rPr>
        <w:softHyphen/>
        <w:t xml:space="preserve">полнялся впотай «зо </w:t>
      </w:r>
      <w:r w:rsidRPr="00271E51">
        <w:rPr>
          <w:rFonts w:ascii="Times New Roman" w:hAnsi="Times New Roman"/>
          <w:iCs/>
          <w:color w:val="000000" w:themeColor="text1"/>
          <w:sz w:val="16"/>
          <w:szCs w:val="16"/>
        </w:rPr>
        <w:t xml:space="preserve">счет увеличения толщины ленты, стоящей на хвосте, и последующей зенковки, как ленты, так и брони». </w:t>
      </w:r>
      <w:r w:rsidRPr="00271E51">
        <w:rPr>
          <w:rFonts w:ascii="Times New Roman" w:hAnsi="Times New Roman"/>
          <w:color w:val="000000" w:themeColor="text1"/>
          <w:sz w:val="16"/>
          <w:szCs w:val="16"/>
        </w:rPr>
        <w:t>Места стыка брони с хвостом снизу фюзеляжа закрывались дюралевым листом. На крышке капота над мо</w:t>
      </w:r>
      <w:r w:rsidRPr="00271E51">
        <w:rPr>
          <w:rFonts w:ascii="Times New Roman" w:hAnsi="Times New Roman"/>
          <w:color w:val="000000" w:themeColor="text1"/>
          <w:sz w:val="16"/>
          <w:szCs w:val="16"/>
        </w:rPr>
        <w:softHyphen/>
        <w:t>тором отсутствовали «жабры». Был снят маслоотражатель на верхней части бро-некапота. «Скруглено» переднее ребро входа в тоннель водорадиатора. «Убра</w:t>
      </w:r>
      <w:r w:rsidRPr="00271E51">
        <w:rPr>
          <w:rFonts w:ascii="Times New Roman" w:hAnsi="Times New Roman"/>
          <w:color w:val="000000" w:themeColor="text1"/>
          <w:sz w:val="16"/>
          <w:szCs w:val="16"/>
        </w:rPr>
        <w:softHyphen/>
        <w:t>ны» выступы на обтекателе шасси за счет объединения их с основным обтекате</w:t>
      </w:r>
      <w:r w:rsidRPr="00271E51">
        <w:rPr>
          <w:rFonts w:ascii="Times New Roman" w:hAnsi="Times New Roman"/>
          <w:color w:val="000000" w:themeColor="text1"/>
          <w:sz w:val="16"/>
          <w:szCs w:val="16"/>
        </w:rPr>
        <w:softHyphen/>
        <w:t>лем. Установлены обтекатели ракетных орудий. Изменен с -1° до -1°20" уста</w:t>
      </w:r>
      <w:r w:rsidRPr="00271E51">
        <w:rPr>
          <w:rFonts w:ascii="Times New Roman" w:hAnsi="Times New Roman"/>
          <w:color w:val="000000" w:themeColor="text1"/>
          <w:sz w:val="16"/>
          <w:szCs w:val="16"/>
        </w:rPr>
        <w:softHyphen/>
        <w:t>новочный угол стабилизатора.</w:t>
      </w:r>
    </w:p>
    <w:p w14:paraId="0BF125F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других видимых изменений сто</w:t>
      </w:r>
      <w:r w:rsidRPr="00271E51">
        <w:rPr>
          <w:rFonts w:ascii="Times New Roman" w:hAnsi="Times New Roman"/>
          <w:color w:val="000000" w:themeColor="text1"/>
          <w:sz w:val="16"/>
          <w:szCs w:val="16"/>
        </w:rPr>
        <w:softHyphen/>
        <w:t>ит отметить более длинные, чем на се</w:t>
      </w:r>
      <w:r w:rsidRPr="00271E51">
        <w:rPr>
          <w:rFonts w:ascii="Times New Roman" w:hAnsi="Times New Roman"/>
          <w:color w:val="000000" w:themeColor="text1"/>
          <w:sz w:val="16"/>
          <w:szCs w:val="16"/>
        </w:rPr>
        <w:softHyphen/>
        <w:t>рийных Ил-2, штангу трубки «Пито» и мачту радиоантенны, а также легкосъ</w:t>
      </w:r>
      <w:r w:rsidRPr="00271E51">
        <w:rPr>
          <w:rFonts w:ascii="Times New Roman" w:hAnsi="Times New Roman"/>
          <w:color w:val="000000" w:themeColor="text1"/>
          <w:sz w:val="16"/>
          <w:szCs w:val="16"/>
        </w:rPr>
        <w:softHyphen/>
        <w:t>емный кок винта без храповика.</w:t>
      </w:r>
    </w:p>
    <w:p w14:paraId="3D4B190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крыла с увеличенной стрельчатостью прак</w:t>
      </w:r>
      <w:r w:rsidRPr="00271E51">
        <w:rPr>
          <w:rFonts w:ascii="Times New Roman" w:hAnsi="Times New Roman"/>
          <w:color w:val="000000" w:themeColor="text1"/>
          <w:sz w:val="16"/>
          <w:szCs w:val="16"/>
        </w:rPr>
        <w:softHyphen/>
        <w:t>тически ничем, за исключением отдельных элементов, не от</w:t>
      </w:r>
      <w:r w:rsidRPr="00271E51">
        <w:rPr>
          <w:rFonts w:ascii="Times New Roman" w:hAnsi="Times New Roman"/>
          <w:color w:val="000000" w:themeColor="text1"/>
          <w:sz w:val="16"/>
          <w:szCs w:val="16"/>
        </w:rPr>
        <w:softHyphen/>
        <w:t>личалась от «старого» крыла. Щиток консоли крыла «врезан» в крыло, в связи с чем изменилась концевая кромка крыла. Изменены установочные размеры промежуточных качалок управления элеронами. Все листы обшивки крыла располага</w:t>
      </w:r>
      <w:r w:rsidRPr="00271E51">
        <w:rPr>
          <w:rFonts w:ascii="Times New Roman" w:hAnsi="Times New Roman"/>
          <w:color w:val="000000" w:themeColor="text1"/>
          <w:sz w:val="16"/>
          <w:szCs w:val="16"/>
        </w:rPr>
        <w:softHyphen/>
        <w:t>лись встык и клепались впотай. Были введены новые стыко</w:t>
      </w:r>
      <w:r w:rsidRPr="00271E51">
        <w:rPr>
          <w:rFonts w:ascii="Times New Roman" w:hAnsi="Times New Roman"/>
          <w:color w:val="000000" w:themeColor="text1"/>
          <w:sz w:val="16"/>
          <w:szCs w:val="16"/>
        </w:rPr>
        <w:softHyphen/>
        <w:t>вочные гребенки на консольную часть крыла и центроплан. Усилены задний лонжерон и нервюра № 5 центроплана, так как нагрузки на задний лонжерон возросли. По этой причине консоли увеличенной стреловидности запрещалось устанав</w:t>
      </w:r>
      <w:r w:rsidRPr="00271E51">
        <w:rPr>
          <w:rFonts w:ascii="Times New Roman" w:hAnsi="Times New Roman"/>
          <w:color w:val="000000" w:themeColor="text1"/>
          <w:sz w:val="16"/>
          <w:szCs w:val="16"/>
        </w:rPr>
        <w:softHyphen/>
        <w:t>ливать на центропланы самолетов прежних выпусков. «Об</w:t>
      </w:r>
      <w:r w:rsidRPr="00271E51">
        <w:rPr>
          <w:rFonts w:ascii="Times New Roman" w:hAnsi="Times New Roman"/>
          <w:color w:val="000000" w:themeColor="text1"/>
          <w:sz w:val="16"/>
          <w:szCs w:val="16"/>
        </w:rPr>
        <w:softHyphen/>
        <w:t>ратная» процедура, то есть установка на центропланы моди</w:t>
      </w:r>
      <w:r w:rsidRPr="00271E51">
        <w:rPr>
          <w:rFonts w:ascii="Times New Roman" w:hAnsi="Times New Roman"/>
          <w:color w:val="000000" w:themeColor="text1"/>
          <w:sz w:val="16"/>
          <w:szCs w:val="16"/>
        </w:rPr>
        <w:softHyphen/>
        <w:t>фицированных самолетов старых консолей, допускалась. Для этого требовалось иметь (или изготовить) специальные сты</w:t>
      </w:r>
      <w:r w:rsidRPr="00271E51">
        <w:rPr>
          <w:rFonts w:ascii="Times New Roman" w:hAnsi="Times New Roman"/>
          <w:color w:val="000000" w:themeColor="text1"/>
          <w:sz w:val="16"/>
          <w:szCs w:val="16"/>
        </w:rPr>
        <w:softHyphen/>
        <w:t>ковочные гребенки центроплана.</w:t>
      </w:r>
    </w:p>
    <w:p w14:paraId="050BEB4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изменением наклона заднего лонжерона крыла из</w:t>
      </w:r>
      <w:r w:rsidRPr="00271E51">
        <w:rPr>
          <w:rFonts w:ascii="Times New Roman" w:hAnsi="Times New Roman"/>
          <w:color w:val="000000" w:themeColor="text1"/>
          <w:sz w:val="16"/>
          <w:szCs w:val="16"/>
        </w:rPr>
        <w:softHyphen/>
        <w:t>менилась длина тяги спуска пушки ВЯ-23. Розетки питания ракетных орудий располагались теперь за задним лонжероном крыла. Подход к ним осуществлялся через специальные люч</w:t>
      </w:r>
      <w:r w:rsidRPr="00271E51">
        <w:rPr>
          <w:rFonts w:ascii="Times New Roman" w:hAnsi="Times New Roman"/>
          <w:color w:val="000000" w:themeColor="text1"/>
          <w:sz w:val="16"/>
          <w:szCs w:val="16"/>
        </w:rPr>
        <w:softHyphen/>
        <w:t>ки. Шнуры к пиропистолетам стали длиннее, и они оказались невзаимозаменяемыми со шнурами пиропистолетов от «старо</w:t>
      </w:r>
      <w:r w:rsidRPr="00271E51">
        <w:rPr>
          <w:rFonts w:ascii="Times New Roman" w:hAnsi="Times New Roman"/>
          <w:color w:val="000000" w:themeColor="text1"/>
          <w:sz w:val="16"/>
          <w:szCs w:val="16"/>
        </w:rPr>
        <w:softHyphen/>
        <w:t>го» крыла (11215).</w:t>
      </w:r>
    </w:p>
    <w:p w14:paraId="354DAC1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CF585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г. летчик-испытатель НИИ ВВС КА полковник Стефановский, ведущий инженер НИИ ВВС КА инженер-полковник Лазарев и летчик-испытатель завода № 51 НКАП Логинов направили письмо И.В.Ста</w:t>
      </w:r>
      <w:r w:rsidRPr="00271E51">
        <w:rPr>
          <w:rFonts w:ascii="Times New Roman" w:hAnsi="Times New Roman"/>
          <w:color w:val="000000" w:themeColor="text1"/>
          <w:sz w:val="16"/>
          <w:szCs w:val="16"/>
        </w:rPr>
        <w:softHyphen/>
        <w:t>лину:</w:t>
      </w:r>
    </w:p>
    <w:p w14:paraId="507C58E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«Дорогой Иосиф Виссарионович!</w:t>
      </w:r>
    </w:p>
    <w:p w14:paraId="4D6C177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испытатели истребителя И-185 конструкции Н.Н.Поликарпова, вынуждены обратиться к Вам, Ио</w:t>
      </w:r>
      <w:r w:rsidRPr="00271E51">
        <w:rPr>
          <w:rFonts w:ascii="Times New Roman" w:hAnsi="Times New Roman"/>
          <w:color w:val="000000" w:themeColor="text1"/>
          <w:sz w:val="16"/>
          <w:szCs w:val="16"/>
        </w:rPr>
        <w:softHyphen/>
        <w:t>сиф Виссарионович, со следующим:</w:t>
      </w:r>
    </w:p>
    <w:p w14:paraId="46CC55B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Истребитель И-185 прошел заводские, а затем и го</w:t>
      </w:r>
      <w:r w:rsidRPr="00271E51">
        <w:rPr>
          <w:rFonts w:ascii="Times New Roman" w:hAnsi="Times New Roman"/>
          <w:color w:val="000000" w:themeColor="text1"/>
          <w:sz w:val="16"/>
          <w:szCs w:val="16"/>
        </w:rPr>
        <w:softHyphen/>
        <w:t>сударственные испытания в НИИ ВВС КА. Заводские испытания проводил летчик тов. Логинов, а в НИИ ВВС КА - летчик тов. Стефановский. В результате испыта</w:t>
      </w:r>
      <w:r w:rsidRPr="00271E51">
        <w:rPr>
          <w:rFonts w:ascii="Times New Roman" w:hAnsi="Times New Roman"/>
          <w:color w:val="000000" w:themeColor="text1"/>
          <w:sz w:val="16"/>
          <w:szCs w:val="16"/>
        </w:rPr>
        <w:softHyphen/>
        <w:t>ний получены следующие данные:</w:t>
      </w:r>
    </w:p>
    <w:p w14:paraId="28013D8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Максимальная скорость у земли... 600 км/ч.</w:t>
      </w:r>
    </w:p>
    <w:p w14:paraId="52A1202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 на высоте Н=6100 м... 680 км/ч.</w:t>
      </w:r>
    </w:p>
    <w:p w14:paraId="0A5C65E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Скороподъемность на 5000... 4,7 мин.</w:t>
      </w:r>
    </w:p>
    <w:p w14:paraId="15BDCC3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Среднее время выполнения виража на Н=1000 м.... 22-23 сек.</w:t>
      </w:r>
    </w:p>
    <w:p w14:paraId="2D506BD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 Истребитель имеет мощный фронтальный огонь - установлено 3 пушки калибра 20 мм с боевым запасом 600 снарядов.</w:t>
      </w:r>
    </w:p>
    <w:p w14:paraId="0146F03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В управлении истребитель доступен для летчиков средней квалификации, что подтверждают летавшие на нем летчики (12 человек, из них 4 рядовых летчика гвар</w:t>
      </w:r>
      <w:r w:rsidRPr="00271E51">
        <w:rPr>
          <w:rFonts w:ascii="Times New Roman" w:hAnsi="Times New Roman"/>
          <w:color w:val="000000" w:themeColor="text1"/>
          <w:sz w:val="16"/>
          <w:szCs w:val="16"/>
        </w:rPr>
        <w:softHyphen/>
        <w:t>дейского полка). Самолет является наиболее легко изу</w:t>
      </w:r>
      <w:r w:rsidRPr="00271E51">
        <w:rPr>
          <w:rFonts w:ascii="Times New Roman" w:hAnsi="Times New Roman"/>
          <w:color w:val="000000" w:themeColor="text1"/>
          <w:sz w:val="16"/>
          <w:szCs w:val="16"/>
        </w:rPr>
        <w:softHyphen/>
        <w:t>чаемым для большинства летчиков нашей страны.</w:t>
      </w:r>
    </w:p>
    <w:p w14:paraId="197AACF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В эксплуатации истребитель прост. Его агрегаты легко доступны для ремонта в полевых условиях.</w:t>
      </w:r>
    </w:p>
    <w:p w14:paraId="124AA660"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Нам известно, что тов. Поликарпов Н.Н. имеет проект модификации истребителя И-185, осуществле</w:t>
      </w:r>
      <w:r w:rsidRPr="00271E51">
        <w:rPr>
          <w:rFonts w:ascii="Times New Roman" w:hAnsi="Times New Roman"/>
          <w:color w:val="000000" w:themeColor="text1"/>
          <w:sz w:val="16"/>
          <w:szCs w:val="16"/>
        </w:rPr>
        <w:softHyphen/>
        <w:t>ние которого даст следующие летные данные:</w:t>
      </w:r>
    </w:p>
    <w:p w14:paraId="54DD6EA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Максимальная скорость у земли... 650 км/ч.</w:t>
      </w:r>
    </w:p>
    <w:p w14:paraId="4DEAE096"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 на высоте Н=6250 м... 710 км/ч.</w:t>
      </w:r>
    </w:p>
    <w:p w14:paraId="46B6A97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Набор высоты 5000 м... 4,2 мин.</w:t>
      </w:r>
    </w:p>
    <w:p w14:paraId="6890254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Мощность фронтального огня может быть увели</w:t>
      </w:r>
      <w:r w:rsidRPr="00271E51">
        <w:rPr>
          <w:rFonts w:ascii="Times New Roman" w:hAnsi="Times New Roman"/>
          <w:color w:val="000000" w:themeColor="text1"/>
          <w:sz w:val="16"/>
          <w:szCs w:val="16"/>
        </w:rPr>
        <w:softHyphen/>
        <w:t>чена до 4-х пушек калибра 20 мм.</w:t>
      </w:r>
    </w:p>
    <w:p w14:paraId="7CF3EA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своим летно-тактическим данным самолет И-185 является одним из лучших в настоящее время, поэтому обращаемся к Вам с просьбой о разрешении постройки войсковой серии и испытании самолета в боевых усло</w:t>
      </w:r>
      <w:r w:rsidRPr="00271E51">
        <w:rPr>
          <w:rFonts w:ascii="Times New Roman" w:hAnsi="Times New Roman"/>
          <w:color w:val="000000" w:themeColor="text1"/>
          <w:sz w:val="16"/>
          <w:szCs w:val="16"/>
        </w:rPr>
        <w:softHyphen/>
        <w:t>виях на фронте».(10667).</w:t>
      </w:r>
    </w:p>
    <w:p w14:paraId="3476BBD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11BE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года приказом НКАП за № 538сс от ОКБ-250 Добрынина для расширения производственной базы с целью ускорения изготовления двигателя и его доводки было переведено в город Рыбинск на завод № 36 (на площади занимаемые в корпусах №№ 43 и 44 до эвакуации ОКБ завода № 26).</w:t>
      </w:r>
    </w:p>
    <w:p w14:paraId="25CC4E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приказом МАП за № 139сс от 19 марта 1945 года были значительно увеличены штаты, производственные площади и количество оборудования ОКБ, что позволило довести двигатель М-250 до 50 часового ресурса в первом полугодии 1946 года.</w:t>
      </w:r>
    </w:p>
    <w:p w14:paraId="29DE48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4F7E91B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двигатель имел максимальную мощность равную 3500 л.с. ………….</w:t>
      </w:r>
    </w:p>
    <w:p w14:paraId="45A9949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был построен и доведен в сравнительно короткие сроки.</w:t>
      </w:r>
    </w:p>
    <w:p w14:paraId="15B54C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673746F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4EAA4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747B64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образец двигателя был собран в январе 1950 года.</w:t>
      </w:r>
    </w:p>
    <w:p w14:paraId="3CD3DE9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феврале 1951 года двигатель прошел государственные 100 часовые стендовые испытания и был рекомендован для запуска в малую серию.</w:t>
      </w:r>
    </w:p>
    <w:p w14:paraId="270EB7C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госиспытаний двигателю М-253К был присвоен индекс ВД-4К.</w:t>
      </w:r>
    </w:p>
    <w:p w14:paraId="7AADD3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79938BB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2C63534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797EB15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0C67568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1954 года ОКБ занималось созданием следующих двигателей:</w:t>
      </w:r>
    </w:p>
    <w:p w14:paraId="736FBB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2078453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4104E9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748B84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27732A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0823221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46E0268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2033A0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779982D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573D35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624A3AA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A1BE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года для ускорения работ по доводке мотора М-250 приказом НКАП № 538сс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02CD15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10C2A6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168CFC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39CFBF6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 завода:</w:t>
      </w:r>
    </w:p>
    <w:p w14:paraId="71EDB75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Сова С.М. – с 1942 года по 1944 год</w:t>
      </w:r>
    </w:p>
    <w:p w14:paraId="479E78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Григорьев Г.М. – с 1944 года по 1947 год</w:t>
      </w:r>
    </w:p>
    <w:p w14:paraId="257E5A3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Петров А.П. – с 1947 года по 1949 год</w:t>
      </w:r>
    </w:p>
    <w:p w14:paraId="7B56E1E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Субботин М.И. – с 1949 года по 1956 год</w:t>
      </w:r>
    </w:p>
    <w:p w14:paraId="4F25BF3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Смирнов А.Д. – с 1956 года</w:t>
      </w:r>
    </w:p>
    <w:p w14:paraId="7625D9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Должность гл. конструктора с 1943 года занимает Добрынин В.А.</w:t>
      </w:r>
    </w:p>
    <w:p w14:paraId="250B790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Смирнов</w:t>
      </w:r>
    </w:p>
    <w:p w14:paraId="442E34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Рыбинск, п/я 20</w:t>
      </w:r>
    </w:p>
    <w:p w14:paraId="3B9330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авиационный моторостроительный завод (9825).</w:t>
      </w:r>
    </w:p>
    <w:p w14:paraId="18C8EA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6CF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г. по приказу НКАП № 538с ОКБ-250 в полном составе с 1.09.1943 г. переведено в Рыбинск на завод № 36 НКАП для обеспечения доводки двигателя М-250. Размещение шло в 10.1943 г. на площадях бывшего ОКБ завода № 26. По приказу № 13с от 5.01.1944 г. ОКБ введено в состав завода № 36.</w:t>
      </w:r>
    </w:p>
    <w:p w14:paraId="27C4181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25.06.1946 г.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28DDAF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Пост, правительства от 1.04.1952 г. ОКБ выдано задание на разработку ВД-5. Пост, от 6.07.1952 г. выдано задание на разработку ВД-7. Пост. СМ СССР от 30.07.1954 </w:t>
      </w:r>
      <w:r w:rsidRPr="00271E51">
        <w:rPr>
          <w:rFonts w:ascii="Times New Roman" w:hAnsi="Times New Roman"/>
          <w:color w:val="000000" w:themeColor="text1"/>
          <w:sz w:val="16"/>
          <w:szCs w:val="16"/>
        </w:rPr>
        <w:lastRenderedPageBreak/>
        <w:t>г. задавалось создание на базе ВД-5 двигателей ВД-5М и ВД-5Ф, пост, от 07.1955 г. их разработка прекращена в пользу ВД-7.</w:t>
      </w:r>
    </w:p>
    <w:p w14:paraId="5BA79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481627F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1508308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7639B5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1EFF893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w:t>
      </w:r>
      <w:r w:rsidRPr="00271E51">
        <w:rPr>
          <w:rFonts w:ascii="Times New Roman" w:hAnsi="Times New Roman"/>
          <w:color w:val="000000" w:themeColor="text1"/>
          <w:sz w:val="16"/>
          <w:szCs w:val="16"/>
          <w:lang w:val="en-US"/>
        </w:rPr>
        <w:t>PM</w:t>
      </w:r>
      <w:r w:rsidRPr="00271E51">
        <w:rPr>
          <w:rFonts w:ascii="Times New Roman" w:hAnsi="Times New Roman"/>
          <w:color w:val="000000" w:themeColor="text1"/>
          <w:sz w:val="16"/>
          <w:szCs w:val="16"/>
        </w:rPr>
        <w:t>3-320; ТРДЦ для БПЛА 36, 36МТ (2001); судовой дизель Д65А-С, дизели для экскаваторов Д65П, Д75П; маломощный авиационный дизель ДН-200 (1991) (11982).</w:t>
      </w:r>
    </w:p>
    <w:p w14:paraId="4C4072A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C334F"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AC93D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3931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г. была подготовлена ДОКЛАДНАЯ ЗАПИСКА НКВТ И КОМАНДУЮЩЕГО БТ и МВ КА ЧЛЕНУ ГКО Л.П. БЕРИИ О ТАНКОВОЙ 76-мм ПУШКЕ</w:t>
      </w:r>
    </w:p>
    <w:p w14:paraId="0E22A623"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наиболее массовом танке Т-34 устанавливается пушка Ф-34, калибра 76-мм, с начальной скоростью снаряда 660-680 м/с. Эта пушка устанавливается на танки Т-34 и КБ с начала 1941 г. До этого на танках Т-34 устанавливалась пушка Ф-32, а на танках КВ-1 пушка Д-11 с начальной скоростями 610-630 м/с.</w:t>
      </w:r>
    </w:p>
    <w:p w14:paraId="624C504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в течение почти 2 лет основная танковая пушка калибра 76-мм не претерпела сколько-нибудь серьезных улучшений в части баллистики.</w:t>
      </w:r>
    </w:p>
    <w:p w14:paraId="24B16DAB"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увеличение толщины брони и усиление огневой мощи немецких танков, а также увеличение огневой мощи немецкой противотанковой артиллерии настоятельно требуют установки катанки Т-34 более мощной пушки, чем Ф-34.</w:t>
      </w:r>
    </w:p>
    <w:p w14:paraId="45C90ED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мощная пушка калибра 85 мм не устанавливается в танк Т-34 по своим габаритам.</w:t>
      </w:r>
    </w:p>
    <w:p w14:paraId="4D4B2027"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Следовательно, необходимо модернизировать пушку Ф-34, увеличив у нее начальную скорость снаряда до 800-850 м/с.</w:t>
      </w:r>
    </w:p>
    <w:p w14:paraId="561D4E0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пушка дала бы возможность нашим танкам успешно состязаться с современными немец</w:t>
      </w:r>
      <w:r w:rsidRPr="00271E51">
        <w:rPr>
          <w:rFonts w:ascii="Times New Roman" w:hAnsi="Times New Roman"/>
          <w:color w:val="000000" w:themeColor="text1"/>
          <w:sz w:val="16"/>
          <w:szCs w:val="16"/>
        </w:rPr>
        <w:softHyphen/>
        <w:t>кими танками и противотанковыми пушками калибра 88 и 75 мм и повысила бы дистанцию пробития немецких танков.</w:t>
      </w:r>
    </w:p>
    <w:p w14:paraId="3D478F41"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Просим Ваших указаний Наркомату вооружения и заводу №92 в возможно короткие сроки про</w:t>
      </w:r>
      <w:r w:rsidRPr="00271E51">
        <w:rPr>
          <w:rFonts w:ascii="Times New Roman" w:hAnsi="Times New Roman"/>
          <w:color w:val="000000" w:themeColor="text1"/>
          <w:sz w:val="16"/>
          <w:szCs w:val="16"/>
        </w:rPr>
        <w:softHyphen/>
        <w:t>вести модернизацию системы Ф-34 с целью повышения начальной скорости снаряда до 800-850 м/с, а Наркомату боеприпасов — разработать конструкцию патрона с бронебойным и фугано-осколоч-ным снарядом для модернизированной танковой пушки калибра 76 мм.</w:t>
      </w:r>
    </w:p>
    <w:p w14:paraId="7D4F7E3C"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Малышев</w:t>
      </w:r>
    </w:p>
    <w:p w14:paraId="6DAACAE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Федоренко</w:t>
      </w:r>
    </w:p>
    <w:p w14:paraId="4C3679D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1403. Л. 30. Копия (11403).</w:t>
      </w:r>
    </w:p>
    <w:p w14:paraId="60ED5EC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92C05"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сентября 1943 года результаты испытаний опытных образцов улучшенного Т-43 были направлены в Москву. За это время произошло два важных события. Во-первых, в июле 1943 года состоялась </w:t>
      </w:r>
      <w:hyperlink r:id="rId89" w:history="1">
        <w:r w:rsidRPr="00271E51">
          <w:rPr>
            <w:rStyle w:val="a5"/>
            <w:rFonts w:ascii="Times New Roman" w:hAnsi="Times New Roman"/>
            <w:color w:val="000000" w:themeColor="text1"/>
            <w:sz w:val="16"/>
            <w:szCs w:val="16"/>
            <w:u w:val="none"/>
          </w:rPr>
          <w:t>битва на Курской дуге</w:t>
        </w:r>
      </w:hyperlink>
      <w:r w:rsidRPr="00271E51">
        <w:rPr>
          <w:rFonts w:ascii="Times New Roman" w:hAnsi="Times New Roman"/>
          <w:color w:val="000000" w:themeColor="text1"/>
          <w:sz w:val="16"/>
          <w:szCs w:val="16"/>
        </w:rPr>
        <w:t>, ставшая одной из ключевых вех в истории советского танкостроения. Стало ясно, что Советский Союз сильно отстал от Германии в области танкостроения, и ряд программ по созданию перспективных образцов бронетанковой техники форсировали. Во-вторых, 8 августа 1943 года на вооружение Красной армии приняли самоходную установку </w:t>
      </w:r>
      <w:hyperlink r:id="rId90" w:history="1">
        <w:r w:rsidRPr="00271E51">
          <w:rPr>
            <w:rStyle w:val="a5"/>
            <w:rFonts w:ascii="Times New Roman" w:hAnsi="Times New Roman"/>
            <w:color w:val="000000" w:themeColor="text1"/>
            <w:sz w:val="16"/>
            <w:szCs w:val="16"/>
          </w:rPr>
          <w:t>СУ-85</w:t>
        </w:r>
      </w:hyperlink>
      <w:r w:rsidRPr="00271E51">
        <w:rPr>
          <w:rFonts w:ascii="Times New Roman" w:hAnsi="Times New Roman"/>
          <w:color w:val="000000" w:themeColor="text1"/>
          <w:sz w:val="16"/>
          <w:szCs w:val="16"/>
        </w:rPr>
        <w:t> и тяжёлый танк КВ-85. Они были вооружены 85-мм пушкой Д-5, разработанной КБ завода №9. Это же орудие стало рассматриваться и как вооружение для средних танков.</w:t>
      </w:r>
    </w:p>
    <w:p w14:paraId="30FA72BD"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Д-5Т упоминалось и в заключении комиссии по испытаниям Т-43. Пунктом 4 комиссия фактически утверждала 85-мм орудие для вооружения серийного Т-43. В начале сентября макет этой системы установили в башне Т-43. Выяснилось, что внутренних объёмов башни вполне хватает для размещения пушки, расчёт башни чувствовал себя лучше, чем в Т-34 с орудием Ф-34. Усложнялась работа заряжающего, поскольку унитарные патроны Д-5 были длиннее и тяжелее. Комиссия, осмотревшая установку макета орудия, предлагала в кратчайшие сроки поставить в башню Т-43 полноценное орудие и испытать его (18587).</w:t>
      </w:r>
    </w:p>
    <w:p w14:paraId="13109BF9"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7F3C54BA"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макет Д-5 установили в башне Т-43. Выяснилось, что внутренних объёмов башни вполне хватает для размещения пушки, расчёт башни чувствовал себя лучше, чем в Т-34 с орудием Ф-34. Усложнялась работа заряжающего, поскольку унитарные патроны Д-5 были длиннее и тяжелее. Комиссия, осмотревшая установку макета орудия, предлагала в кратчайшие сроки поставить в башню Т-43 полноценное орудие и испытать его (18587).</w:t>
      </w:r>
    </w:p>
    <w:p w14:paraId="488B6964"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27570B0E" w14:textId="77777777" w:rsidR="00A94230" w:rsidRPr="00271E51" w:rsidRDefault="00A94230" w:rsidP="00271E51">
      <w:pPr>
        <w:pStyle w:val="ae"/>
        <w:spacing w:before="0" w:after="0"/>
        <w:jc w:val="both"/>
        <w:textAlignment w:val="baseline"/>
        <w:rPr>
          <w:color w:val="000000" w:themeColor="text1"/>
          <w:sz w:val="16"/>
          <w:szCs w:val="16"/>
        </w:rPr>
      </w:pPr>
      <w:r w:rsidRPr="00271E51">
        <w:rPr>
          <w:color w:val="000000" w:themeColor="text1"/>
          <w:sz w:val="16"/>
          <w:szCs w:val="16"/>
        </w:rPr>
        <w:t>В начале сентября 1943 года макет Д-5Т установили в башню опытного танка </w:t>
      </w:r>
      <w:hyperlink r:id="rId91" w:history="1">
        <w:r w:rsidRPr="00271E51">
          <w:rPr>
            <w:rStyle w:val="a5"/>
            <w:bCs/>
            <w:iCs/>
            <w:color w:val="000000" w:themeColor="text1"/>
            <w:sz w:val="16"/>
            <w:szCs w:val="16"/>
            <w:bdr w:val="none" w:sz="0" w:space="0" w:color="auto" w:frame="1"/>
          </w:rPr>
          <w:t>Т-43</w:t>
        </w:r>
      </w:hyperlink>
      <w:r w:rsidRPr="00271E51">
        <w:rPr>
          <w:color w:val="000000" w:themeColor="text1"/>
          <w:sz w:val="16"/>
          <w:szCs w:val="16"/>
        </w:rPr>
        <w:t>, а позже началась работа по созданию новой башни для Т-34. После удачных испытаний 15 декабря 1943 года Сталин подписал постановление ГКО №4776сс «О производстве танков Т-34-85 с 85-мм пушкой на заводе №112 Наркомата танковой промышленности». Данный танк стал промежуточным. Во-первых, машина оснащалась башней с расширенным до 1600 мм погоном и 85-мм орудием, но её расчёт составлял 2 человека. Во-вторых, Центральное Артиллерийское КБ смогло создать более удачное орудие, получившее индекс С-53 и принятое на вооружение Красной армии постановлением ГКО №4873сс от 1 января 1944 года. Первоначально планировалось ставить эти пушки в обычные башни Т-34, но позже планы поменялись. КБ-520 завода №183 разработало новую, трёхместную башню с диаметром погона 1600 мм (18998).</w:t>
      </w:r>
    </w:p>
    <w:p w14:paraId="514FD6E0" w14:textId="77777777" w:rsidR="00A94230" w:rsidRPr="00271E51" w:rsidRDefault="00A94230" w:rsidP="00271E51">
      <w:pPr>
        <w:pStyle w:val="ae"/>
        <w:spacing w:before="0" w:after="0"/>
        <w:jc w:val="both"/>
        <w:textAlignment w:val="baseline"/>
        <w:rPr>
          <w:color w:val="000000" w:themeColor="text1"/>
          <w:sz w:val="16"/>
          <w:szCs w:val="16"/>
        </w:rPr>
      </w:pPr>
    </w:p>
    <w:p w14:paraId="7EF33174"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6 сентября 1943 модернизированная САУ С-1 или СУ-76и была утверждена для серийного производства. Сколько таких машин было построено неизвестно. Боевых фотографий СУ-76И почти не осталось. Но в том, что модернизированная СУ-76И выпускалась серийно, сомнений нет (18090).</w:t>
      </w:r>
    </w:p>
    <w:p w14:paraId="52BD266D" w14:textId="77777777" w:rsidR="00D56E4E" w:rsidRPr="00271E51" w:rsidRDefault="00D56E4E" w:rsidP="00271E51">
      <w:pPr>
        <w:pStyle w:val="ae"/>
        <w:shd w:val="clear" w:color="auto" w:fill="FFFFFF"/>
        <w:spacing w:before="0" w:after="0"/>
        <w:jc w:val="both"/>
        <w:rPr>
          <w:color w:val="000000" w:themeColor="text1"/>
          <w:sz w:val="16"/>
          <w:szCs w:val="16"/>
        </w:rPr>
      </w:pPr>
    </w:p>
    <w:p w14:paraId="3D7804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вышло Распоряжение ГКО № 4050. Об организации в составе НКЧМ Главного управления по восстановлению предприятий черной металлургии Юга.РГАНИР, Фонд ГКО, д. 150, лл. 21 (11012).</w:t>
      </w:r>
    </w:p>
    <w:p w14:paraId="403F77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AA0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вышло Распоряжение ГКО № 4051. О мерах по ликвидации аварии кислородной установки КМК.РГАНИР, Фонд ГКО, д. 150, лл. 22 (11012).</w:t>
      </w:r>
    </w:p>
    <w:p w14:paraId="0D1040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8C4F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из состава УльЗИС выделился Ульяновский завод малолитражных двигателей (3050).</w:t>
      </w:r>
    </w:p>
    <w:p w14:paraId="78D6D57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7D5C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160F8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3985F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в 1943 году оперативная сводка Совинформбюро:</w:t>
      </w:r>
    </w:p>
    <w:p w14:paraId="19D44818"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сентября в Донбассе наши войска продолжали успешно развивать наступление и, продвинувшись вперёд от 15 до 25 километров, заняли свыше 100 населённых пунктов, в том числе город Макеевка, город Константиновка, город и железнодорожный узел Краматорская, город и железнодорожный узел Славянок, город Дружковка, город Часов Яр, крупные населённые пункты Николаевка, Рай Александровка, Алексеево-Дружковка, Никифоровка, Щербиновка, Петровка, Ново-Бахмутовка, Новосёловка, Ханженково и крупные железнодорожные станции Вальяновка, Веролюбовка, Дылеевка, Кривой Торец, Фенольная.</w:t>
      </w:r>
    </w:p>
    <w:p w14:paraId="7FDE7684"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Бахмачском направлении наши войска продолжали успешное наступление и, продвинувшись вперёд от 10 до 20 километров, заняли свыше 100 населённых пунктов, в том числе город и крупный железнодорожный узел Конотоп, крупные населённые пункты Новые Млыны, Бочечки, Казацкое, Вязовое, Грузское, Попова Слобода, Михайловка и железнодорожные станции Мельня, Дубовязовка, Грузское.</w:t>
      </w:r>
    </w:p>
    <w:p w14:paraId="14758FD4"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продвинулись вперёд от 15 до 20 километров и заняли свыше 90 населённых пунктов, в том числе крупные населённы епункты Ружное, Клинское, Борщово, Шемякино, Новая Погощь, Старая Гута, Стегайловка, Рудня, Жихов, Степное, Вовна, Шатрищи, Антоновка.</w:t>
      </w:r>
    </w:p>
    <w:p w14:paraId="7D1B84D0"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вели наступательные бои, в ходе которых заняли несколько населённых пунктов, значительно улучшив свои позиции.</w:t>
      </w:r>
    </w:p>
    <w:p w14:paraId="23C326B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бои по улучшению занимаемых позиций.</w:t>
      </w:r>
    </w:p>
    <w:p w14:paraId="10B1C7D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сентября наши войска на всех фронтах подбили и уничтожили 119 немецких танков. В воздушных боях и огнём зенитной артиллерии сбито 92 самолёта противника.</w:t>
      </w:r>
    </w:p>
    <w:p w14:paraId="0F4CA99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Донбассе наши войска продолжали успешное наступление. Бойцы Н-ского соединения наносили непрерывные удары по войскам противника и продвигались вперёд. Овладев гор. Артёмовск, наши части устремились к городу Константиновка. Танки и пехота противника, оборонявшие этот город, предприняли контратаку. Ожесточённый бой закончился новой победой советских войск. Решительным ударом наших бойцов город Константиновка освобождён от немецко-фашистских захватчиков. На поле боя осталось много разбитой вражеской техники и сотни трупов немецких солдат и офицеров. Развивая наступление, наши войска заняли также город и железнодорожный узел Краматорская, город и железнодорожный узел Славянск. Части другого нашего соединения, преодолевая сопротивление противника, ворвались в город Макеевку. В результате ожесточённых уличных боёв к исходу дня Макеевка была очищена от немцев. За день боёв уничтожено свыше 3.000 солдат и офицеров противника. Подбито и сожжено 49 немецких танков, уничтожено 62 полевых и 14 самоходных орудий. Захвачены трофеи. Взято значительное число пленных.</w:t>
      </w:r>
    </w:p>
    <w:p w14:paraId="0B131D4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Бахманском направлении наши войска продолжали успешно развивать наступление и заняли свыше ста населённых пунктов. Противник спешно подтянул в район прорыва крупные силы пехоты и танков. Ожесточённые бои происходили за переправы через реку Сейм. Несмотря на все попытки немцев задержаться на этом рубеже, наступающие советские войска овладели переправами. Продвигаясь вперёд, наши бойцы заняли ряд населённых пунктов и завязали бои на подступах к Конотопу. К исходу дня остатки разгромленных немецких частей были выбиты из города. Овладев городом и крупным железнодорожным узлом Конотоп, советские войска продолжают преследовать противника.</w:t>
      </w:r>
    </w:p>
    <w:p w14:paraId="7757570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южнее Брянска, в течение дня заняли свыше 90 населённых пунктов. Северо-западнее Комаричи бойцы Н-ского соединения, действуя в лесной и болотистой местности, фланговыми ударами вынуждают немцев к отступлению. Особенно упорные бои сегодня происходили в районе одного населённого пункта, сильно укреплённого противником. Наши подвижные отряды обошли этот пункт с юга, переправились через водный рубеж и с тыла атаковали немцев. Противник не выдержал удара и в беспорядке отступил. Уничтожено 800 немецких солдат и офицеров. Захвачено 7 орудий, 4 танка, 64 автомашины, большие склады с боеприпасами, инженерным имуществом и 4 склада с продовольствием и фуражом.</w:t>
      </w:r>
    </w:p>
    <w:p w14:paraId="6CB29BC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Заняв Хутор Михайловский, наши войска продолжали преследовать противника и продвинулись вперёд до 20 километров. За день боёв на этом участке уничтожено до1.000 немецких солдат и офицеров. Захвачено 16 орудий, 43 миномета, из них 6 шестиствольных, более 500 автоматов и винтовок, два склада боеприпасов и вещевой склад противника. Взяты пленные.</w:t>
      </w:r>
    </w:p>
    <w:p w14:paraId="1B0E30D4"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части Н-ского соединения, преодолевая сопротивление немцев, заняли несколько населённых пунктов. Противник бросает в контратаки крупные силы танков. За день боёв подбито и уничтожено 35 немецких танков и самоходных орудий. Большая часть этих вражеских танков была уничтожена огнём нашей артиллерии.</w:t>
      </w:r>
    </w:p>
    <w:p w14:paraId="0A73F648"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продолжали наступление, продвинулись вперёд и значительно улучшили свои позиции. Части Н-ского соединения, овладев одним крупным населённым пунктом, уничтожили свыше 500 немецких солдат и офицеров. В этом бою орудийный расчёт старшего сержанта Рюмшина уничтожил тяжёлый немецкий танк «Тигр», а затем прямым попаданием перебил гусеницу другого танка противника. Гвардии сержант Смирнов подполз к зданию, в котором засел вражеский пулемётчик, и уничтожил его гранатой. Продвинувшись вперёд, Смирнов ворвался в немецкую траншею и огнём из автомата уничтожил ещё 5 гитлеровцев.</w:t>
      </w:r>
    </w:p>
    <w:p w14:paraId="1DBBE3A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22 немецких самолёта.</w:t>
      </w:r>
    </w:p>
    <w:p w14:paraId="4C1939AF"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бои по улучшению своих позиций. Западнее Дорогобужа советские части, отразив ожесточённую контратаку танков и пехоты противника, продвинулись вперёд и заняли два сильно укреплённых пункта. Юго-западнее Ельни немцы предприняли ряд контратак, но успеха не добились. Измотав врага, советские бойцы во второй половине дня нанесли немцам сильный удар и выбили их из нескольких населённых пунктов. В этих боях убито не менее 400 вражеских солдат и офицеров. Захвачены самолёт, 11 орудий, 14 миномётов, склад боеприпасов и другие трофеи.</w:t>
      </w:r>
    </w:p>
    <w:p w14:paraId="7EC6DB5E"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в воздушных боях наши лётчики сбили 49 самолётов противника.</w:t>
      </w:r>
    </w:p>
    <w:p w14:paraId="2DDA9B76"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Краснознамённого Балтийского флота потопили в Финском заливе тральщик противника. Наши лётчики потопили транспорт водоизмещением в 3.000 тонн, два тральщика и быстроходную баржу противника.</w:t>
      </w:r>
    </w:p>
    <w:p w14:paraId="368AD084"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Калининской области, совершил внезапный налёт на деревню, в которой расположилось немецкое подразделение. Противник был застигнут врасплох. Партизаны истребили 58 вражеских солдат и офицеров, уничтожили 4 грузовых и одну легковую автомашины и захватили трофеи. Партизаны другого отряда разгромили на шоссейной дороге немецкую колонну. В завязавшемся бою убито и ранено 80 гитлеровцев. Оставшиеся в живых немцы побросали оружие и разбежались. Советские патриоты захватили 5 автоматов, 112 винтовок и много патронов.» (14761).</w:t>
      </w:r>
    </w:p>
    <w:p w14:paraId="066E18D8"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48BBD57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в 1943 году войска Западного фронта приостановили наступление в районе Ельни. Завершилась Ельнинско-Дорогобужская операция: войска фронта продвинулись на 35-40 км, сковали значительные силы врага (14761).</w:t>
      </w:r>
    </w:p>
    <w:p w14:paraId="68F9C6AB"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5147790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6, 1943: The Red Army succeeds in separating Heeresgruppe Mitte (von Kluge) from Heeresgruppe Sued (von Manstein) (3819).</w:t>
      </w:r>
    </w:p>
    <w:p w14:paraId="3DFB7C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E61A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КА добилась разделения Группы Центр (фон Клюге0 и Группы Юг (фон Манштейн) (3819).</w:t>
      </w:r>
    </w:p>
    <w:p w14:paraId="5D83E1A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3F8A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4 МБР-2 (к Бойченко) потопили подводную лодку в прибрежной зоне Батуми-Поти - это единственный случай потопления подложки в Черном море за ВОВ (1049,44). В 17:25 один сбросил две глубинные бомбы и повредил, а потом - 4 - добили (7424, 12).</w:t>
      </w:r>
    </w:p>
    <w:p w14:paraId="27177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D327C" w14:textId="77777777" w:rsidR="003524C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8D6A10E"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ED600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в 1943 году решение Ученого совета о введении в новом учебном году впервые за годы войны твердой цифры приема в Московский университет (1100). До этого времени прием в университет происходит круглый год (14761).</w:t>
      </w:r>
    </w:p>
    <w:p w14:paraId="698A442F"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7866B648"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76BE7F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F8FD59"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сентября 1943 первый полет Northrop XP-56 Black Bullet (20376).</w:t>
      </w:r>
    </w:p>
    <w:p w14:paraId="521BF129" w14:textId="77777777" w:rsidR="00EA65E0" w:rsidRPr="00271E51" w:rsidRDefault="00EA65E0" w:rsidP="00271E51">
      <w:pPr>
        <w:spacing w:after="0" w:line="240" w:lineRule="auto"/>
        <w:jc w:val="both"/>
        <w:rPr>
          <w:rFonts w:ascii="Times New Roman" w:hAnsi="Times New Roman"/>
          <w:color w:val="0070C0"/>
          <w:sz w:val="16"/>
          <w:szCs w:val="16"/>
        </w:rPr>
      </w:pPr>
    </w:p>
    <w:p w14:paraId="6E867001"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6–7 сентября (ночь) 1943 180 самолетов оси атакуют конвой союзников, стоящий на якоре в гавани в Бизерте, Тунис , но дымовая завеса не позволяет им достичь прицельных попаданий (20376).</w:t>
      </w:r>
    </w:p>
    <w:p w14:paraId="3683C568" w14:textId="77777777" w:rsidR="00EA65E0" w:rsidRPr="00271E51" w:rsidRDefault="00EA65E0" w:rsidP="00271E51">
      <w:pPr>
        <w:spacing w:after="0" w:line="240" w:lineRule="auto"/>
        <w:jc w:val="both"/>
        <w:rPr>
          <w:rFonts w:ascii="Times New Roman" w:hAnsi="Times New Roman"/>
          <w:color w:val="0070C0"/>
          <w:sz w:val="16"/>
          <w:szCs w:val="16"/>
        </w:rPr>
      </w:pPr>
    </w:p>
    <w:p w14:paraId="7839081C"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6–7 сентября (ночь) 1943 404 британских бомбардировщика атакуют Мюнхен, но неприцельно из-за облачности. Шестнадцать бомбардировщиков (4 процента) не возвращаются (20376).</w:t>
      </w:r>
    </w:p>
    <w:p w14:paraId="3EF91880" w14:textId="77777777" w:rsidR="00EA65E0" w:rsidRPr="00271E51" w:rsidRDefault="00EA65E0" w:rsidP="00271E51">
      <w:pPr>
        <w:spacing w:after="0" w:line="240" w:lineRule="auto"/>
        <w:jc w:val="both"/>
        <w:rPr>
          <w:rFonts w:ascii="Times New Roman" w:hAnsi="Times New Roman"/>
          <w:color w:val="0070C0"/>
          <w:sz w:val="16"/>
          <w:szCs w:val="16"/>
        </w:rPr>
      </w:pPr>
    </w:p>
    <w:p w14:paraId="21AF83E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английское командование в Индокитае призвало правительство Чан Кайши объединить усилия с коммунистами Китая для борьбы против Японии (4962).</w:t>
      </w:r>
    </w:p>
    <w:p w14:paraId="6563976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3E82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1943 выступая в Гарвардском университете У. Черчилль заявил, что в будущем жители США и Англии будут иметь единое государство (4962).</w:t>
      </w:r>
    </w:p>
    <w:p w14:paraId="68DE715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0026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 сентября пл 27 октября 1943 американские и австралийские войска высадились на островах Lae, Новая Гвинея и Mono, Соломоновы острова (2246,5).</w:t>
      </w:r>
    </w:p>
    <w:p w14:paraId="53583E4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9C0A5"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D40632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836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в НИИ ВВС для прохождения госиспытаний поступил Ил-2 "со стрельчатым крылом".</w:t>
      </w:r>
    </w:p>
    <w:p w14:paraId="23CBC87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установки нового цельнометаллического крыла, контрбалансира и амортизационной пружины, на самолете были реализованы все отработанные к этому времени мероприятия по улучшению аэродинамики (клепка впотай, расположение листов встык и т.д.) и сделаны некоторые другие изменения.</w:t>
      </w:r>
    </w:p>
    <w:p w14:paraId="5BD7581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частности, был установлен жесткий обтекатель костыля хвостового колеса шасси. Установлены обтекатели на рельсы фонаря кабины пилота и улучшено его сопряжение с бронекорпусом. Уменьшены щели между элеронами и кромкой крыла и вырез над узлами навески элеронов. Стык деревянного хвоста к бронекорпусу </w:t>
      </w:r>
      <w:r w:rsidRPr="00271E51">
        <w:rPr>
          <w:rFonts w:ascii="Times New Roman" w:hAnsi="Times New Roman"/>
          <w:color w:val="000000" w:themeColor="text1"/>
          <w:sz w:val="16"/>
          <w:szCs w:val="16"/>
        </w:rPr>
        <w:lastRenderedPageBreak/>
        <w:t>выполнялся впотай "за счет увеличения толщины ленты, стоящей на хвосте, и последующей зенковки, как ленты, так и брони". Места стыка брони с хвостом снизу фюзеляжа закрывались дюралевым листом. На крышке капота над мотором отсутствовали "жабры". На верхней части бронекапота снят маслоотражатель. "Скруглено" переднее ребро входа в тоннель водорадиатора. "Убраны" выступы на обтекателе шасси за счет объединения их с основным обтекателем. Установлены обтекатели ракетных орудий. Изменен установочный угол стабилизатора - с -Г до - Г20*.</w:t>
      </w:r>
    </w:p>
    <w:p w14:paraId="6F5AA39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Взамен патронной коробки под снаряды к пушке ВЯ-23, ранее устанавливавшейся в специальный отсек крыла, введен патронный ящик, представлявший собой часть конструкции консоли крыла. Для укладки снарядов в этот ящик в верхней обшивке крыла над ящиком прорезаны два люка, закрывающиеся крышками, снабженными замками.</w:t>
      </w:r>
    </w:p>
    <w:p w14:paraId="0343F8F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других видимых изменений стоит отметить более длинные, чем на серийных Ил-2, штангу трубки "Пито" и мачту радиоантенны, а также легкосъемный кок винта без храповика (12020).</w:t>
      </w:r>
    </w:p>
    <w:p w14:paraId="61B39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21D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г. в первых же “горячих” полетах Пе-2 2М-105РА № 15/185 с РУ-1 выявилось самопроизвольное выключение РУ-1. Проведенное расследование выявило причину: отказ свечи зажигания, выходившей из строя через несколько десятков секунд работы в полете. Двигатель отправили на завод № 16 для доработки, поэтому испытания возобновились только в январе 1944 г. (4476).</w:t>
      </w:r>
    </w:p>
    <w:p w14:paraId="0362BA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F834A"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самолеты Д1, ДЗ, Д4 и Д6 пере</w:t>
      </w:r>
      <w:r w:rsidRPr="00271E51">
        <w:rPr>
          <w:rFonts w:ascii="Times New Roman" w:hAnsi="Times New Roman"/>
          <w:color w:val="000000" w:themeColor="text1"/>
          <w:sz w:val="16"/>
          <w:szCs w:val="16"/>
        </w:rPr>
        <w:softHyphen/>
        <w:t>дали в высотную эскадрилью 12-го гв. иап. На них летали ст. лейтенанты Л.Самохвалов, И.Бочаров, Л.Даубе и лейтенант Н.Штучкин. Самолет Д5, про</w:t>
      </w:r>
      <w:r w:rsidRPr="00271E51">
        <w:rPr>
          <w:rFonts w:ascii="Times New Roman" w:hAnsi="Times New Roman"/>
          <w:color w:val="000000" w:themeColor="text1"/>
          <w:sz w:val="16"/>
          <w:szCs w:val="16"/>
        </w:rPr>
        <w:softHyphen/>
        <w:t>шедший ремонт из-за течи маслорадиатора, 20 октя</w:t>
      </w:r>
      <w:r w:rsidRPr="00271E51">
        <w:rPr>
          <w:rFonts w:ascii="Times New Roman" w:hAnsi="Times New Roman"/>
          <w:color w:val="000000" w:themeColor="text1"/>
          <w:sz w:val="16"/>
          <w:szCs w:val="16"/>
        </w:rPr>
        <w:softHyphen/>
        <w:t>бря был принят 177-м иап, а Д2 после смены мотора направили в НИИ ВВС. Летчик-испытатель Герой Советского Союза А.А.Щербаков, в то время лейтенант в 12-м гв. иап, облетал самолет Д6 и отметил: «машина излишне об</w:t>
      </w:r>
      <w:r w:rsidRPr="00271E51">
        <w:rPr>
          <w:rFonts w:ascii="Times New Roman" w:hAnsi="Times New Roman"/>
          <w:color w:val="000000" w:themeColor="text1"/>
          <w:sz w:val="16"/>
          <w:szCs w:val="16"/>
        </w:rPr>
        <w:softHyphen/>
        <w:t>легчена» (имеется в виду, что снято многое необходи</w:t>
      </w:r>
      <w:r w:rsidRPr="00271E51">
        <w:rPr>
          <w:rFonts w:ascii="Times New Roman" w:hAnsi="Times New Roman"/>
          <w:color w:val="000000" w:themeColor="text1"/>
          <w:sz w:val="16"/>
          <w:szCs w:val="16"/>
        </w:rPr>
        <w:softHyphen/>
        <w:t>мое для истребителя оборудование), трудна на посад</w:t>
      </w:r>
      <w:r w:rsidRPr="00271E51">
        <w:rPr>
          <w:rFonts w:ascii="Times New Roman" w:hAnsi="Times New Roman"/>
          <w:color w:val="000000" w:themeColor="text1"/>
          <w:sz w:val="16"/>
          <w:szCs w:val="16"/>
        </w:rPr>
        <w:softHyphen/>
        <w:t>ке (в частности, при приземлении истребитель сильно «козлил»), а пилотаж на ней получается «размытым». Впрочем, имевшиеся в полку высотные Як—9ПД так</w:t>
      </w:r>
      <w:r w:rsidRPr="00271E51">
        <w:rPr>
          <w:rFonts w:ascii="Times New Roman" w:hAnsi="Times New Roman"/>
          <w:color w:val="000000" w:themeColor="text1"/>
          <w:sz w:val="16"/>
          <w:szCs w:val="16"/>
        </w:rPr>
        <w:softHyphen/>
        <w:t>же не были лишены серьезных недостатков (9984).</w:t>
      </w:r>
    </w:p>
    <w:p w14:paraId="6B7C99E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A16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согласно журнала наблюдения за проектированием, постройкой и испытаниями МиГ-3 МиГ-3 Д-1 вернулся из НИИ ВВС. 6 с-тов облетаны представителями 12 гиап гвл Журавлевым и осмотрены техсоставом. С-ты 01, 03, 04 и 06 приняты полком. На с-те 02 и 05 будут заменены моторы (они ожидаются с завода № 24). Оди ин с-тов будет отправлен в НИИ ВВС на повторные испытания (992,10).</w:t>
      </w:r>
    </w:p>
    <w:p w14:paraId="37B1F56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F3F23"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6C604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AEF87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года НИИ-48 получил от технической инспекции наркомата танковой промышленности материалы по поражаемости танков Т-34 и КВ в операциях под Орлом с 5 июля по 8 августа 1943 года. Эти материалы были собраны непосредственно в районе боев и являлись более определенными и достоверными, чем материалы, полученные на заводе № 180.</w:t>
      </w:r>
    </w:p>
    <w:p w14:paraId="347F5C0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в операции участвовало 1036 танков Т-34 и КВ (тридцатьчетверок до 90%), из которых вышло из строя 553 машины, что свидетельствовало о «чрезвычайно высоком проценте выхода танков Т-34 и КВ из строя, что говорит о явно недостаточной живучести этих танков в боевых операциях».</w:t>
      </w:r>
    </w:p>
    <w:p w14:paraId="14FA4E1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сравнении материалов, полученных под Орлом, с материалами НИИ-48 по Сталинграду видно, что основной причиной выхода танков из строя был и остается огонь танковой и противотанковой артиллерии противника.</w:t>
      </w:r>
    </w:p>
    <w:p w14:paraId="619372A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лету 1943 года 88 и 75-мм орудия составляли основную массу немецкой танковой и противотанковой артиллерии - на их долю пришлось около 80% всех подбитых советских танков. При сравнении распределения танков, вышедших от опасных снарядных поражений брони (по частям и деталям) в боях под Сталинградом и Орлом получится следующая картина (см. таблицу).</w:t>
      </w:r>
    </w:p>
    <w:p w14:paraId="70A2020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танках Т-34, участвовавших в боя под Сталинградом, еще чувствовалась некоторая разница в стойкости отдельных деталей под огнем танковой и противотанковой артиллерии немцев того периода, и эта разница в стойкости оказала некоторое влияние на распределение вышедших из строя от опасных поражений брони танков по пораженным деталям. Однако в боях под Орлом под огнем 75 и 88-мм орудий противника - Т-34 оказались «равностойкими» машинами, то есть машинами, бронезащита которых на реальных боевых дистанциях практически совершенно одинаково не выдерживает попадания снарядами с любой стороны и по любой детали:</w:t>
      </w:r>
    </w:p>
    <w:p w14:paraId="12358BF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в боях под Сталинградом танки Т-34 имели еще некоторое преимущество в стойкости лобовой стороны корпуса по сравнению с вертикальной частью борта корпуса, то для периода боев под Орлом можно с уверенностью считать, что это преимущество для танков Т-34 уже полностью утрачено. В связи с этим то изменение соотношения между этими двумя группами потерь, т.е. переход примерно 10% потерь с нижнего борта на лобовую сторону корпуса, которое получилось для танков в боях под Орлом, по сравнению с танками в боях под Сталинградом, является вполне логичным».</w:t>
      </w:r>
    </w:p>
    <w:p w14:paraId="2B470AC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по поражаемости танков Т-34 в боях под Орлом представители технической инспекции наркомата танковой промышленности писали следующее:</w:t>
      </w:r>
    </w:p>
    <w:p w14:paraId="5F742BE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«Стойкость брони танка Т-34 под огнем немецкой артиллерии периода боев под Орлом совершенно неудовлетворительна. Некоторая разница в стойкости отдельных деталей, которая еще чувствуется по материалам боев под Сталинградом должна совершенно исчезнуть под огнем более мощной артиллерии периода боев под Орлом. Замена танка Т-34 другим более надежно забронированным танком, а также модернизация самого танка Т-34 путем усиления броневой защиты наиболее ответственных деталей стала совершенно необходимой.</w:t>
      </w:r>
    </w:p>
    <w:p w14:paraId="06C654E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Предложения.</w:t>
      </w:r>
    </w:p>
    <w:p w14:paraId="01B3FD0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Пересмотреть весовую нагрузку танка с целью изыскания возможности освобождения веса для дополнительного его бронирования за счет некоторого облегчения неброневых деталей и броневых деталей кормы корпуса и кормы башни.</w:t>
      </w:r>
    </w:p>
    <w:p w14:paraId="70FEF0F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случае освобождения веса для дополнительного бронирования не менее 1,5 т разработать, опробовать и сравнить следующие два варианта танка с усиленным бронированием отдельных деталей:</w:t>
      </w:r>
    </w:p>
    <w:p w14:paraId="7F6E7A5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вариант.</w:t>
      </w:r>
    </w:p>
    <w:p w14:paraId="4C5820E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усиление бронирования лобовой части башни до полной неуязвимости немецкими снарядами калибров 75 и 88 мм.</w:t>
      </w:r>
    </w:p>
    <w:p w14:paraId="6BF38B9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усиление бронирования бортов башни до неуязвимости их теми же снарядами в пределах курсовых углов примерно 0-45 град.</w:t>
      </w:r>
    </w:p>
    <w:p w14:paraId="793F373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вариант.</w:t>
      </w:r>
    </w:p>
    <w:p w14:paraId="0935E92A"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Усиление бронирования лобовой части башни и лобовой детали корпуса до полной их неуязвимости теми же снарядами» (12217).</w:t>
      </w:r>
    </w:p>
    <w:p w14:paraId="743E9BF0"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20F1426C"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начале сентября 1943 в от</w:t>
      </w:r>
      <w:r w:rsidRPr="00271E51">
        <w:rPr>
          <w:rFonts w:ascii="Times New Roman" w:cs="Times New Roman"/>
          <w:color w:val="000000" w:themeColor="text1"/>
          <w:spacing w:val="0"/>
        </w:rPr>
        <w:softHyphen/>
        <w:t>чете о работе ЧКЗ за август 1943 года гово</w:t>
      </w:r>
      <w:r w:rsidRPr="00271E51">
        <w:rPr>
          <w:rFonts w:ascii="Times New Roman" w:cs="Times New Roman"/>
          <w:color w:val="000000" w:themeColor="text1"/>
          <w:spacing w:val="0"/>
        </w:rPr>
        <w:softHyphen/>
        <w:t>рилось:</w:t>
      </w:r>
    </w:p>
    <w:p w14:paraId="628DE30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успешно справился с задачей вы</w:t>
      </w:r>
      <w:r w:rsidRPr="00271E51">
        <w:rPr>
          <w:rFonts w:ascii="Times New Roman" w:hAnsi="Times New Roman"/>
          <w:color w:val="000000" w:themeColor="text1"/>
          <w:sz w:val="16"/>
          <w:szCs w:val="16"/>
        </w:rPr>
        <w:softHyphen/>
        <w:t>пуска установочной партии танков КВ-85, и 1 сентября сумел полностью изгото</w:t>
      </w:r>
      <w:r w:rsidRPr="00271E51">
        <w:rPr>
          <w:rFonts w:ascii="Times New Roman" w:hAnsi="Times New Roman"/>
          <w:color w:val="000000" w:themeColor="text1"/>
          <w:sz w:val="16"/>
          <w:szCs w:val="16"/>
        </w:rPr>
        <w:softHyphen/>
        <w:t>вить 22 единицы. Эту работу завода следу</w:t>
      </w:r>
      <w:r w:rsidRPr="00271E51">
        <w:rPr>
          <w:rFonts w:ascii="Times New Roman" w:hAnsi="Times New Roman"/>
          <w:color w:val="000000" w:themeColor="text1"/>
          <w:sz w:val="16"/>
          <w:szCs w:val="16"/>
        </w:rPr>
        <w:softHyphen/>
        <w:t>ет отметить особо, так как корпуса и башни для КВ-85 стали поступать на Кировский завод с завода № 200 только 23-28 августа. Артсистемы с завода № 9 поступили только 28 августа в количестве 3 шт., 17 шт. — 30 ав</w:t>
      </w:r>
      <w:r w:rsidRPr="00271E51">
        <w:rPr>
          <w:rFonts w:ascii="Times New Roman" w:hAnsi="Times New Roman"/>
          <w:color w:val="000000" w:themeColor="text1"/>
          <w:sz w:val="16"/>
          <w:szCs w:val="16"/>
        </w:rPr>
        <w:softHyphen/>
        <w:t>густа, а последние 2 системы поступили лишь утром 31 августа. При этом поступающие арт</w:t>
      </w:r>
      <w:r w:rsidRPr="00271E51">
        <w:rPr>
          <w:rFonts w:ascii="Times New Roman" w:hAnsi="Times New Roman"/>
          <w:color w:val="000000" w:themeColor="text1"/>
          <w:sz w:val="16"/>
          <w:szCs w:val="16"/>
        </w:rPr>
        <w:softHyphen/>
        <w:t>системы требовали дополнительной рабо</w:t>
      </w:r>
      <w:r w:rsidRPr="00271E51">
        <w:rPr>
          <w:rFonts w:ascii="Times New Roman" w:hAnsi="Times New Roman"/>
          <w:color w:val="000000" w:themeColor="text1"/>
          <w:sz w:val="16"/>
          <w:szCs w:val="16"/>
        </w:rPr>
        <w:softHyphen/>
        <w:t>ты по введению прокладки 35 мм под сектор подъемного механизма для полного зацепле</w:t>
      </w:r>
      <w:r w:rsidRPr="00271E51">
        <w:rPr>
          <w:rFonts w:ascii="Times New Roman" w:hAnsi="Times New Roman"/>
          <w:color w:val="000000" w:themeColor="text1"/>
          <w:sz w:val="16"/>
          <w:szCs w:val="16"/>
        </w:rPr>
        <w:softHyphen/>
        <w:t>ния зуба, и подрезания маски пушки для уве</w:t>
      </w:r>
      <w:r w:rsidRPr="00271E51">
        <w:rPr>
          <w:rFonts w:ascii="Times New Roman" w:hAnsi="Times New Roman"/>
          <w:color w:val="000000" w:themeColor="text1"/>
          <w:sz w:val="16"/>
          <w:szCs w:val="16"/>
        </w:rPr>
        <w:softHyphen/>
        <w:t>личения угла возвышения и угла снижения.</w:t>
      </w:r>
    </w:p>
    <w:p w14:paraId="784A78EC"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Все же, несмотря на эти трудности, маши</w:t>
      </w:r>
      <w:r w:rsidRPr="00271E51">
        <w:rPr>
          <w:rFonts w:ascii="Times New Roman" w:cs="Times New Roman"/>
          <w:color w:val="000000" w:themeColor="text1"/>
          <w:spacing w:val="0"/>
        </w:rPr>
        <w:softHyphen/>
        <w:t>ны были изготовлены и предъявлены к сдаче до 1 сентября, и нами приняты до конца ме</w:t>
      </w:r>
      <w:r w:rsidRPr="00271E51">
        <w:rPr>
          <w:rFonts w:ascii="Times New Roman" w:cs="Times New Roman"/>
          <w:color w:val="000000" w:themeColor="text1"/>
          <w:spacing w:val="0"/>
        </w:rPr>
        <w:softHyphen/>
        <w:t>сяца с незначительными доделками, выяв</w:t>
      </w:r>
      <w:r w:rsidRPr="00271E51">
        <w:rPr>
          <w:rFonts w:ascii="Times New Roman" w:cs="Times New Roman"/>
          <w:color w:val="000000" w:themeColor="text1"/>
          <w:spacing w:val="0"/>
        </w:rPr>
        <w:softHyphen/>
        <w:t>ленными в процессе военпредовских пробе</w:t>
      </w:r>
      <w:r w:rsidRPr="00271E51">
        <w:rPr>
          <w:rFonts w:ascii="Times New Roman" w:cs="Times New Roman"/>
          <w:color w:val="000000" w:themeColor="text1"/>
          <w:spacing w:val="0"/>
        </w:rPr>
        <w:softHyphen/>
        <w:t>гов. Трудности для завода и военной приемки по машине КВ-85 увеличивались еще и тем, что чертежи по машине были недостаточ</w:t>
      </w:r>
      <w:r w:rsidRPr="00271E51">
        <w:rPr>
          <w:rFonts w:ascii="Times New Roman" w:cs="Times New Roman"/>
          <w:color w:val="000000" w:themeColor="text1"/>
          <w:spacing w:val="0"/>
        </w:rPr>
        <w:softHyphen/>
        <w:t>но отработаны, и поэтому в процессе сборки требовали уточнений и изменений».</w:t>
      </w:r>
    </w:p>
    <w:p w14:paraId="5C0DF496"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Согласно донесения старшего военпреда на Кировском заводе инженер-подполков- ника Маркина, из-за неточности чертежей пришлось переделывать следующее:</w:t>
      </w:r>
    </w:p>
    <w:p w14:paraId="1E6D0C44"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Нельзя установить дождевик на башне из-за ошибки в форме качающейся брони</w:t>
      </w:r>
      <w:r w:rsidRPr="00271E51">
        <w:rPr>
          <w:rFonts w:ascii="Times New Roman" w:cs="Times New Roman"/>
          <w:color w:val="000000" w:themeColor="text1"/>
          <w:spacing w:val="0"/>
        </w:rPr>
        <w:softHyphen/>
        <w:t>ровки - в верхней части бронировка была срезана по всей ширине;</w:t>
      </w:r>
    </w:p>
    <w:p w14:paraId="587C4426"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Из-за ошибки в чертежах укладки для артиллерийских выстрелов крепились по месту;</w:t>
      </w:r>
    </w:p>
    <w:p w14:paraId="324F4F88"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Установка топливных баков производилась их подгонкой;</w:t>
      </w:r>
    </w:p>
    <w:p w14:paraId="27AAD333"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Из-за того, что завод № 9 не прислал к артсистемами уравновешивающих грузов, при</w:t>
      </w:r>
      <w:r w:rsidRPr="00271E51">
        <w:rPr>
          <w:rFonts w:ascii="Times New Roman" w:cs="Times New Roman"/>
          <w:color w:val="000000" w:themeColor="text1"/>
          <w:spacing w:val="0"/>
        </w:rPr>
        <w:softHyphen/>
        <w:t>шлось использовать грузы от старых орудий (15226).</w:t>
      </w:r>
    </w:p>
    <w:p w14:paraId="5F75073E" w14:textId="77777777" w:rsidR="003524CF" w:rsidRPr="00271E51" w:rsidRDefault="003524CF" w:rsidP="00271E51">
      <w:pPr>
        <w:pStyle w:val="27"/>
        <w:shd w:val="clear" w:color="auto" w:fill="auto"/>
        <w:spacing w:after="0" w:line="240" w:lineRule="auto"/>
        <w:ind w:firstLine="0"/>
        <w:rPr>
          <w:rFonts w:ascii="Times New Roman" w:cs="Times New Roman"/>
          <w:color w:val="000000" w:themeColor="text1"/>
          <w:spacing w:val="0"/>
        </w:rPr>
      </w:pPr>
    </w:p>
    <w:p w14:paraId="51501D14"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начале сентября 1943 г. комиссия под руководством гвардии полковника Е.А. Кульчицкого в предельно сжатые сроки составила «Отчет по полигонным испытаниям танка "Т-43"». В заключительной части отчета, подписанного Е.А. Кульчицким 4 сентября 1943 г., к уже перечисленным ранее пунктам были добавлены еще два:</w:t>
      </w:r>
    </w:p>
    <w:p w14:paraId="09786136"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«Принцип, положенный в основу проектирования Т-43 и заключающийся в создании нового по характеристике танка на базе серийных, освоенных заводом и проверенных в эксплоатации механизмов, является в военное время правильным и дает возможность освоить танк в производстве в короткие сроки».</w:t>
      </w:r>
    </w:p>
    <w:p w14:paraId="6A35F908"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«Агрегаты танка Т-43, как серийные, так и новые, за исключением [опорных] катков, в основном обеспечивают надежную работу танка в пределах 1000–1300 км и при устранении, выявленных в процессе испытаний дефектов, обеспечат более длительный срок эксплоатации танка».</w:t>
      </w:r>
    </w:p>
    <w:p w14:paraId="339F8C63"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[ЦАМО. Ф. 38. Оп. 11355. Д. 1648. Л. 66]</w:t>
      </w:r>
    </w:p>
    <w:p w14:paraId="0AD97BB3"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составления отчета по испытанию танков Т-43 комиссией под председательством Е.А. Кульчицкого на заводе № 183 также был рассмотрен макет установки 85-мм пушки Д-5 в танке Т-43 с башней с увеличенным диаметром шариковой опоры с 1420 до 1600 мм. В заключении, подписанным Е.А. Кульчицким 4 сентября 1943 г., было сказано, что установка артсистемы Д-5 в башне танка Т-43 с погоном 1600 мм возможна, а также, что условия работы трех человек в башне танка Т-43, после установки Д-5, лучше чем в башне с погоном 1420 мм танка Т-34, при двух человеках и штатной пушке Ф-34 (21209).</w:t>
      </w:r>
    </w:p>
    <w:p w14:paraId="546B2B50" w14:textId="77777777" w:rsidR="00EA65E0" w:rsidRPr="00271E51" w:rsidRDefault="00EA65E0" w:rsidP="00271E51">
      <w:pPr>
        <w:spacing w:after="0" w:line="240" w:lineRule="auto"/>
        <w:jc w:val="both"/>
        <w:rPr>
          <w:rFonts w:ascii="Times New Roman" w:hAnsi="Times New Roman"/>
          <w:color w:val="0070C0"/>
          <w:sz w:val="16"/>
          <w:szCs w:val="16"/>
        </w:rPr>
      </w:pPr>
    </w:p>
    <w:p w14:paraId="27A3CCD0"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начале сентября 1943 года в адрес Сталина ушло письмо за подписью начальника ГБТУ КА генерал-лейтенанта Федоренко. В связи с появлением новых образцов немецкой бронетехники он предлагал начать разработку перспективных танков и самоходных орудий.</w:t>
      </w:r>
    </w:p>
    <w:p w14:paraId="51F501A2"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Прямым следствием появления «Фердинанда» стало начало разработки тяжёлого танка Объект 701, будущего ИС-4. Кроме того, ускорились работы по 122-мм пушке Д-25Т, начатые ещё в мае 1943 года. Больше того, ей на замену предполагалось выпустить ещё более мощное орудие с начальной скоростью снаряда до 1000 м/с. Начались работы по созданию более мощных орудий калибра 85 и 152 мм. Наконец, снова на повестке дня появился вопрос о разработке 100-мм орудия с баллистикой морской пушки. Так началась история Д-10С, основного вооружения самоходной установки СУ-100.</w:t>
      </w:r>
    </w:p>
    <w:p w14:paraId="3F4C74ED"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Всё это – лишь часть активностей, которые были запущены либо перезапущены в связи с появлением «Фердинанда». Благодаря немецкой тяжёлой САУ была «воскрешена» и советская программа по созданию электрической трансмиссии. Ею в СССР занимались ещё с начала 30-х годов, такую трансмиссию предполагалось использовать и на </w:t>
      </w:r>
      <w:hyperlink r:id="rId92" w:history="1">
        <w:r w:rsidRPr="00271E51">
          <w:rPr>
            <w:rStyle w:val="a5"/>
            <w:color w:val="000000" w:themeColor="text1"/>
            <w:sz w:val="16"/>
            <w:szCs w:val="16"/>
          </w:rPr>
          <w:t>КВ-3</w:t>
        </w:r>
      </w:hyperlink>
      <w:r w:rsidRPr="00271E51">
        <w:rPr>
          <w:color w:val="000000" w:themeColor="text1"/>
          <w:sz w:val="16"/>
          <w:szCs w:val="16"/>
        </w:rPr>
        <w:t>. Серийная немецкая тяжёлая машина с электротрансмиссией заставила советских специалистов вновь вернуться к этим работам. Впрочем, наши инженеры не копировали немецкие разработки. Программа, к которой имел отношение известный писатель-фантаст Казанцев (а по совместительству военинженер 3-го ранга и главный инженер завода №627), развивалась самостоятельно.</w:t>
      </w:r>
    </w:p>
    <w:p w14:paraId="732E701A"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Большой интерес в СССР вызвала конструкция немецкой машины. Корпус и рубку изучали в НИИ-48 — ведущем предприятии, занимавшимся вопросами брони. По итогам изучения было подготовлено несколько отчётов. Инженеры НИИ-48 создавали броню и корпус оптимальной формы — с хорошей защитой и относительно небольшим весом. Результатом этих работ стала более рациональная форма корпусов и башен, которую стали внедрять со второй половины 1944 года сначала на тяжёлых, а позже и на средних танках.</w:t>
      </w:r>
    </w:p>
    <w:p w14:paraId="578F84A3"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Повлияло на эти разработки и изучение орудия, установленного на «Фердинанде». На 1944 год создание броневой защиты, способной противостоять этой пушке, стало приоритетной задачей для советских конструкторов. И справились они с ней гораздо лучше, чем немецкие коллеги. Уже к концу 1944 года появились первые опытные танки, защита которых позволяла уверенно противостоять немецкому орудию. Танки ИС-3 и Т-54 «выросли» как раз из таких наработок.</w:t>
      </w:r>
    </w:p>
    <w:p w14:paraId="37E05056"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Изучались и другие элементы «Фердинанда», например — подвеска. В советской промышленности эта разработка применения не нашла, но определенный интерес вызвала. Отчёт об изучении подвески Порше был составлен по просьбе англичан.</w:t>
      </w:r>
    </w:p>
    <w:p w14:paraId="3376B508" w14:textId="77777777" w:rsidR="00D56E4E" w:rsidRPr="00271E51" w:rsidRDefault="00D56E4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Наиболее важным результатом изучения немецкой машины стало появление средств для эффективной борьбы с ней. На вооружение Красной армии были приняты тяжёлый танк ИС-2 и самоходная установка ИСУ-122. Известно как минимум о двух случаях столкновения ИС-2 с «Элефантом» летом 1944 года. В обоих случаях экипаж ИС-2 под командованием лейтенанта Б.Н. Слюняева вышел победителем. Наиболее примечательным оказался бой 22 июля 1944 года: колонна 71-го гвардейского тяжёлого танкового полка шла по направлению к Магерову, когда по тяжёлым танкам из засады был открыт огонь. Танк Слюняева под прикрытием второй машины выдвинулся к перекрестку дорог. Понаблюдав 10-15 минут за засадой, ИС-2 приблизился к ней на дистанцию 1000 метров и открыл ответный огонь. В результате был уничтожен «Элефант», 2 противотанковые пушки и бронетранспортёр (17707).</w:t>
      </w:r>
    </w:p>
    <w:p w14:paraId="6C0BB9D0" w14:textId="77777777" w:rsidR="00D56E4E" w:rsidRPr="00271E51" w:rsidRDefault="00D56E4E" w:rsidP="00271E51">
      <w:pPr>
        <w:spacing w:after="0" w:line="240" w:lineRule="auto"/>
        <w:jc w:val="both"/>
        <w:rPr>
          <w:rFonts w:ascii="Times New Roman" w:hAnsi="Times New Roman"/>
          <w:color w:val="000000" w:themeColor="text1"/>
          <w:sz w:val="16"/>
          <w:szCs w:val="16"/>
        </w:rPr>
      </w:pPr>
    </w:p>
    <w:p w14:paraId="18E44C7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95613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47226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1-й иап "Варшава" получил три первые машины Як-1. Обучение, как и у французов, началось с полетов на УТ-2 и Як-7В. Первых два летчика вылетели самостоятельно 30 сентября. К 20 февраля 1944 г. была подготовлена первая эскадрилья, а к 28 мая весь полк стал полностью бо- еготовым. 3 июня в составе 43 машин 1-й иап "Варшава" перебазировался на аэродром Гостомель под Киевом. В ходе непосредственной подготовки к боевым действиям 7 июня полк получил еще 15 Як-1, а в конце июля сдал такое же количество выработавших ресурс самолетов.</w:t>
      </w:r>
    </w:p>
    <w:p w14:paraId="31FF58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июля 1944 г. полк выполнил первое задание: пара "Яков" сопровождала Л и-2. Чтобы помочь составу "Варшавы" освоиться в боевой обстановке 22 июля к ним прибыли 10 советских летчиков из 233-го иап "Минск", которые вылетали на задания вместе с поляками. Первый боевой вылет состоялся 23 августа 1944 г. Для сопровождения и прикрытия двух штурмовиков Ил-2 из польского 3-го шап вылетели две пары 1-го и одна пара 233-го иап. К этому времени 1-й иап Архив Л. Угрюмова "Варшава" состоял из трех эскадрилий по 12 самолетов, трех машин управления полка и двух запасных. Всего 41 самолет Як-1.</w:t>
      </w:r>
    </w:p>
    <w:p w14:paraId="2BF22D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боевых действий польские летчики выполняли задания по прикрытию штурмовиков, атаке наземных целей, ведению воздушной разведки. В связи с малой активностью немецкой авиации полку "Варшава" практически не приходилось вести воздушных боев. Единственным сбитым Як-1 немецким самолетом был FW. 189 (отличился капитан М. Конечный). До 22 января 1945 г. (когда полк начал переучиваться на Як-9) на истребителях Як-1 было выполнено 620 боевых вылетов, в том числе: на прикрытие штурмовиков - 275, на разведку - 125, на прикрытие войск и переправ - 139, на фоторазведку (для этого на некоторых самолетах установили АФА-1М) - 54, на другие задания - 27 вылетов. Свои потери составили шесть машин, из которых одна сгорела в учебном полете при пожаре в воздухе, две были сбиты зенитной артиллерией, а остальные подбиты ею и разбиты при вынужденных посадках. Последний боевой вылет на Як-1 зафиксирован 3 мая 1945 г. К этому времени в полку оставалось 23 самолета такого типа. После войны они постепенно списывались по износу или сдавались в ремонтные части. Во второй половине 1946 г. часть из них возвратилась из ремонта, но вскоре их заменили новыми Як-9М и Як-9Т.</w:t>
      </w:r>
    </w:p>
    <w:p w14:paraId="04D0A6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Непродолжительное время Як-1 находился на вооружении других польских авиационных частей. В конце сентября - начале октября 1944 г. такие самолеты получили сформированные на основе советских 248-го и 246-го иап польские 9-й и 10-й иап (13 и 25 самолетов соответственно). Но меньше чем через месяц эти полки перевооружили самолетами Як-9. С января по май 1945 г. один Як-1 числился в управлении польского 1-го смешанного авиационного корпуса и до 24 машин находилось в составе 15-го отдельного зап, сформированного на базе советского 18-го утап. От 10 до 15 машин было в октябре 1945 г. в военном авиационном училище. С октября 1945 г. по февраль 1946 г. один Як-1 находился в 1-м смешанном утап, а в 1946 г. по одному Як-1 было в управлениях польских авиационных дивизий: 1-й бад, 2-й шад, 3-й над. 4-й сад. Один из списанных в январе 1946 г. самолетов Як-1 (№ 01189) несколько лет экспонировался в Музее Войска Польского (12048).</w:t>
      </w:r>
    </w:p>
    <w:p w14:paraId="539C51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08B53" w14:textId="77777777" w:rsidR="00BA7A65" w:rsidRPr="00271E51" w:rsidRDefault="00BA7A65"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bCs/>
          <w:color w:val="000000" w:themeColor="text1"/>
          <w:sz w:val="16"/>
          <w:szCs w:val="16"/>
        </w:rPr>
        <w:t>В первых числах сентября 1943 И.В. Сталин получил со Сталинградского фронта докладную записку, которую подписали заместитель Верховного Главнокомандующего генерал армии Г.К. Жуков, секретарь ЦК ВКП(б) Г.М. Маленков и командующий ВВС РККА генерал-лейтенант А.А. Новиков: «Наши истребители даже в тех случаях, когда их в несколько раз больше, чем истребителей противника, в бой с последними не вступают. В тех случаях, когда наши истребители выполняют задачу прикрытия штурмовиков, они также в бой с истребителями противника не вступают и последние безнаказанно атакуют штурмовиков, сбивают их, а наши истребители летают в стороне, а часто и просто уходят на свои аэродромы… Такое позорное поведение истребителей наши войска наблюдают ежедневно» (12623).</w:t>
      </w:r>
    </w:p>
    <w:p w14:paraId="5D1DBC7A" w14:textId="77777777" w:rsidR="00BA7A65" w:rsidRPr="00271E51" w:rsidRDefault="00BA7A65" w:rsidP="00271E51">
      <w:pPr>
        <w:spacing w:after="0" w:line="240" w:lineRule="auto"/>
        <w:jc w:val="both"/>
        <w:rPr>
          <w:rFonts w:ascii="Times New Roman" w:hAnsi="Times New Roman"/>
          <w:bCs/>
          <w:color w:val="000000" w:themeColor="text1"/>
          <w:sz w:val="16"/>
          <w:szCs w:val="16"/>
        </w:rPr>
      </w:pPr>
    </w:p>
    <w:p w14:paraId="58D47F8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сентября 1943 7-й механизированный корпус имел в своем составе 105 СУ-76И! Каждая из трех мехбригад этого корпуса имела в своём составе полк самоходной артиллерии (в документах именовались именно так) — 35 машин СУ-76И.</w:t>
      </w:r>
    </w:p>
    <w:p w14:paraId="6B2DCE8F"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Небезынтересно привести сведения о том, как части корпуса готовились к боевым действиям.</w:t>
      </w:r>
    </w:p>
    <w:p w14:paraId="575A46B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года начальник 1-го отдела УСА ГБТУ КА инженер-подполковник Демьяненко, помощник военпреда завода № 37 инженер-капитан Шитов и главный инженер завода Козырев, проверили состояние матчасти в 58 и 84-м полках 7-го мехкорпуса, имевших в своем составе по 35 СУ-76И.</w:t>
      </w:r>
    </w:p>
    <w:p w14:paraId="3D57198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84-м полку (командир гвардии подполковник Левченко, формирование началось с 13 августа 1943 года) оказалось, что 4 машины имеют ресурс до 10 моточасов, 12 — до 15-ти, 13 — 20–25 часов и 6 — 30–35 часов. На момент осмотра в ремонте находилось шесть самоходок, а всего за месяц эксплуатации было 11 случаев аварий и поломок. Комиссия отмечала, что причиной этого являлась низкая подготовка технического состава и механиков-водителей, которые не знали матчасти. Кроме того, после получения СУ-76И полк сразу же начал проводить учебные выезды на большом количестве самоходок (10–12 штук одновременно). В результате, большое число машин вышло из строя.</w:t>
      </w:r>
    </w:p>
    <w:p w14:paraId="517ACAA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14 сентября механики-водители имели следующее количество моточасов практики: 2 моточаса — 9 человек, 3–5 часов — 17 человек, 6–10 часов — 7 человек, 15 часов — 2 человека.</w:t>
      </w:r>
    </w:p>
    <w:p w14:paraId="6EBD192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начала сентября командование полка стало принимать меры по улучшению подготовки личного состава. Так, 11 человек отправили на завод № 37 (на пять дней) для изучения матчасти, а в самом полку инженеры завода № 37 Морозов и Доронченков в течение восьми дней вели практические занятия с экипажами самоходок.</w:t>
      </w:r>
    </w:p>
    <w:p w14:paraId="677A8E4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по проверке 84-го полка говорилось:</w:t>
      </w:r>
    </w:p>
    <w:p w14:paraId="63B16B7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Техническое состояние машин 84-го полка самоходной артиллерии — удовлетворительное.</w:t>
      </w:r>
    </w:p>
    <w:p w14:paraId="2873E7F5"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Подготовка личного состава по знанию материальной части СУ-76И — плохая.</w:t>
      </w:r>
    </w:p>
    <w:p w14:paraId="019658E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этому вопросу уделить особенно серьезное внимание».</w:t>
      </w:r>
    </w:p>
    <w:p w14:paraId="7FDE5B6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58-м полку самоходной артиллерии (командир подполковник Пряхин) ситуация оказалась несколько другой. Дело в том, что эта часть начала формироваться еще в мае 1943 года, и в течение трех месяцев экипажи с машинами передавались несколько раз: сначала в 991-й самоходно-ар-тиллерийский полк, затем в 229-й танковый, после этого в 177-й танковый и только 31 августа — в 58-й полк самоходной артиллерии. В результате таких перетасовок моторесурс самоходок оказался почти полностью исчерпан. Кроме того, технический состав, который изначально готовился на СУ-76И (помощники командиров рот по техчасти), остался в 991-м самоходно-артиллерийском полку.</w:t>
      </w:r>
    </w:p>
    <w:p w14:paraId="1065806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14 сентября из 35 СУ-76И 15 машин находились в ремонте, при этом у трех самоходок велась замена моторов. Остальные имели большое количество дефектов — стук распределительного механизма, износ цилиндров и поршней, выход из строя гидротормоза управления. В целом же отмечалось, что большинство машин требует повторного ремонта на заводе.</w:t>
      </w:r>
    </w:p>
    <w:p w14:paraId="20FC73F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вот с подготовкой механиков-водителей дела обстояли лучше. Только двое имели практику вождения 3–4 часа, трое — 10–15 часов, четверо — 15–30 часов, двое — 30–50 часов, шестнадцать — 50–75 часов и шестеро — 75–100 часов.</w:t>
      </w:r>
    </w:p>
    <w:p w14:paraId="0FF8D40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по осмотру полка говорилось:</w:t>
      </w:r>
    </w:p>
    <w:p w14:paraId="57EB8EA0"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Техническое состояние и содержание машин 58-го полка самоходной артиллерии — плохое (материальная часть не боеспособна).</w:t>
      </w:r>
    </w:p>
    <w:p w14:paraId="02CB67C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Технический учёт и отчетность — неудовлетворительные.</w:t>
      </w:r>
    </w:p>
    <w:p w14:paraId="50599E2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Водители машин по вождению СУ-76И подготовлены удовлетворительно».</w:t>
      </w:r>
    </w:p>
    <w:p w14:paraId="19151BF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предложений о приведении полков в боевую готовность рекомендовалось вернуть в свои роты из 991-го самоходно-артиллерийского полка помощников командиров рот по техчасти, отправить на завод № 37 для повторного капремонта самоходки, отработавшие свой срок, заменив их другими СУ-76И, а также прислать заводские бригады для приведения машин в порядок непосредственно в полках. Также требовалось к 22 сентября привести в порядок отчётность, провести сборы и принять зачеты по знанию матчасти и её эксплуатации у техсостава полка и экипажей машин.</w:t>
      </w:r>
    </w:p>
    <w:p w14:paraId="59DF468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и 14 сентября в расположение 7-го мехкорпуса выехали две бригады рабочих завода № 37, со всеми необходимыми для ремонта СУ-76И запчастями.</w:t>
      </w:r>
    </w:p>
    <w:p w14:paraId="65A244F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177-й полк самоходной артиллерии 64-й мехбригады не проверялся, так как он получил матчасть с завода № 37 только 6 сентября 1943 года.</w:t>
      </w:r>
    </w:p>
    <w:p w14:paraId="1D3BDAD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 убыл на Юго-Западный фронт в конце сентября 1943 года, участвовал в боях в Запорожье. Причем любопытное свидетельство о СУ-76И есть в документах противостоящих корпусу немецких частей. Так, 25 октября 1943 года штаб 1-й танковой армии вермахта направил в управление «Иностранные армии — Восток» армейской разведки «Абвер» донесение следующего содержания:</w:t>
      </w:r>
    </w:p>
    <w:p w14:paraId="1C467B24"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177-м танковом полку 64-й механизированной бригады (она входила в состав 7-го механизированного корпуса Красной Армии) имеется четыре роты по 11 танков в каждой. Эти танки изготовлены на шасси немецкого танка Panzer III с двигателем Maybach. Новая рубка имеет толщину брони в лобовой части 3–4 см, на бортах — 1–1,5 см. Рубка открыта сверху. Орудие имеет углы горизонтальной наводки 15 градусов в каждую сторону и вертикальной наводки — плюс-минус 7 градусов».</w:t>
      </w:r>
    </w:p>
    <w:p w14:paraId="56EEC72E"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заслуживает внимание упоминание об отсутствии крыши — скорее всего, немцы осматривали машины, у которых при детонации боекомплекта сорвало крышу рубки.</w:t>
      </w:r>
    </w:p>
    <w:p w14:paraId="215C04E8"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Самоходные установки СУ-76И использовались в Действующей Армии до лета 1944 года, а в учебных частях — до конца войны. В музейной коллекции бронеединиц на полигоне в подмосковной Кубинке действующий образец СУ-76И просуществовал довольно долго, и был списан только в 1968 году.</w:t>
      </w:r>
    </w:p>
    <w:p w14:paraId="6234FFE9"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наших дней уцелел единственный образец СУ-76И. Почти 30 лет он пролежал на дне реки Случь, затем был поднят и установлен как памятник в городе Сарны Ровенской области на Украине, где и находится до сих пор.</w:t>
      </w:r>
    </w:p>
    <w:p w14:paraId="264A805D"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Ещё один образец СУ-76И, находящейся в экспозиции музея Великой Отечественной войны на Поклонной горе в Москве является новоделом с ходовой частью Pz. III и грубо сделанной рубкой (12688).</w:t>
      </w:r>
    </w:p>
    <w:p w14:paraId="132B26C9"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797BACEE" w14:textId="77777777" w:rsidR="003524C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8A62458"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CFD7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1943 года, сразу после сокрушительной бомбардировки  </w:t>
      </w:r>
      <w:hyperlink r:id="rId93" w:history="1">
        <w:r w:rsidRPr="00271E51">
          <w:rPr>
            <w:rFonts w:ascii="Times New Roman" w:hAnsi="Times New Roman"/>
            <w:color w:val="000000" w:themeColor="text1"/>
            <w:sz w:val="16"/>
            <w:szCs w:val="16"/>
          </w:rPr>
          <w:t>полигона "Панемюнде"</w:t>
        </w:r>
      </w:hyperlink>
      <w:r w:rsidRPr="00271E51">
        <w:rPr>
          <w:rFonts w:ascii="Times New Roman" w:hAnsi="Times New Roman"/>
          <w:color w:val="000000" w:themeColor="text1"/>
          <w:sz w:val="16"/>
          <w:szCs w:val="16"/>
        </w:rPr>
        <w:t xml:space="preserve"> английской авиацией, группа разработчиков </w:t>
      </w:r>
      <w:hyperlink r:id="rId94" w:history="1">
        <w:r w:rsidRPr="00271E51">
          <w:rPr>
            <w:rFonts w:ascii="Times New Roman" w:hAnsi="Times New Roman"/>
            <w:color w:val="000000" w:themeColor="text1"/>
            <w:sz w:val="16"/>
            <w:szCs w:val="16"/>
          </w:rPr>
          <w:t>V-2 / A-4</w:t>
        </w:r>
      </w:hyperlink>
      <w:r w:rsidRPr="00271E51">
        <w:rPr>
          <w:rFonts w:ascii="Times New Roman" w:hAnsi="Times New Roman"/>
          <w:color w:val="000000" w:themeColor="text1"/>
          <w:sz w:val="16"/>
          <w:szCs w:val="16"/>
        </w:rPr>
        <w:t xml:space="preserve"> была была объединена в группу "Юг" (Gruppe Süd) под командованием майора Вольфганга Вебера, и эвакуирована из Панемюнде на исследовательский полигон в Близне.</w:t>
      </w:r>
    </w:p>
    <w:p w14:paraId="2B2397BE"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общей сложности, в новые испытательные центры, были переведны 6306 человек персонала и 1592 единиц техники, которые должны были продолжать доработку ракет в двух новообразованых ракетных единицах, получивших название - "Батарея 836" (Art. Abt. 836) и "Батарея 444" (Abt. 444), одна из которых задумывалась как мобильная часть наземного старта, а другая как учебная батарея, на которой планировалось отрабатывать практические навыки ракетчиков, поступающих из учебного центра.</w:t>
      </w:r>
    </w:p>
    <w:p w14:paraId="0F8116A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судьба иногда преподносит сюрпризы. Дислокация испытательного полигона в Панемюнде, имела очевидное преимущество - все ракеты во время тестовых запусков, запускались в Балтийское море, однако как быть с испытаниями в густонаселенной континентальной части?.. Во втором испытательном центре в Близне ударными темпами шли работы по доработкам телеметрической системы наведения ракеты (15500).</w:t>
      </w:r>
    </w:p>
    <w:p w14:paraId="664E310C"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60BC7E49"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A45AA0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99DE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эталонный самолет Ил-2 с мотором АМ-38Ф и винтом АВ-5Л-158 (самолет N 302804 производства 30 завода сентября 1943) прибыл на гос. испытания в НИИ ВВС. Испытания проходили с 20 сентября по 6 октября 1943. С 8 по 20 не испытывался по причине отсутствия бензина (1863).</w:t>
      </w:r>
    </w:p>
    <w:p w14:paraId="3302B19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462F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с целью продолже</w:t>
      </w:r>
      <w:r w:rsidRPr="00271E51">
        <w:rPr>
          <w:rFonts w:ascii="Times New Roman" w:hAnsi="Times New Roman"/>
          <w:color w:val="000000" w:themeColor="text1"/>
          <w:sz w:val="16"/>
          <w:szCs w:val="16"/>
        </w:rPr>
        <w:softHyphen/>
        <w:t>ния лётных испытаний, в Горький на завод № 21 вылетел лётчик-испытатель ЛИИ Г.М. Шиянов, не успев даже закончить испытания другого самолёта - Як-9Д № 01-29 с мотором М-105ПД (15830).</w:t>
      </w:r>
    </w:p>
    <w:p w14:paraId="6B34BD5F"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6151CF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КБ, возглавляемое А.Н.Туполевым, получило задание на разработку эскизного проекта 4-х моторного высотного бомбардировщика, способного транспортировать внутри бомбоотсека две 5-тонные бомбы. С двигателями М-71 этот самолет должен был развивать на высоте 10 км максимальную скорость 500 км/ч и обладать дальностью полета не менее 5000 км. Новый бомбардировщик создавался под обозначением "самолет 64" ("64"), его взлетный вес превышал вес Пе-8 более чем в два раза. Проект "64" разрабатывался до середины 1945 г. Затем высшее руководство решило задачу упростить и скопировать американский Б-29. Так появился стратегический бомбардировщик Ту-4 (12025).</w:t>
      </w:r>
    </w:p>
    <w:p w14:paraId="1A82564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34F97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заместитель народного комиссара авиационной промышленности СССР А. С. Яковлев направил Главному конструктору завода № 156 А. Н. Туполеву письмо следующего содержания:</w:t>
      </w:r>
    </w:p>
    <w:p w14:paraId="2C527CD5"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согласованным с УВВС КА проектом плана опытного самолетостроения на 1943 г. Вам поручается разработать эскизный проект и построить макет тяжелого высотного 4-моторного бомбардировщика с моторами М-71 с ТК-М, герметическими кабинами и пушечной защитой со следующими данными: максимальной скоростью на высоте 10000 м — 500 км/ч, дальностью полета на скорости 400 км/ч при полной бомбовой нагрузке — 5000 км, при бомбовой нагрузке 7000— 8000 кг — 6000 км, бомбовой емкостью внутри фюзеляжа — 2 бомбы по 5000 кг. Эскизный проект самолета для рассмотрения экспертной комиссией НКАП представьте 1.10.43 г.» (15568).</w:t>
      </w:r>
    </w:p>
    <w:p w14:paraId="738BB8DD"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523FED0C"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постановлением ГКО «О материально-техническом обеспечении Наркомавиапрома в четвертом квартале 1943 г.» вводился первоочередной порядок поставок Наркомавиапрому. Все наркоматы-поставщики были обязаны – под личный контроль наркомов - производить «стопроцентную отгрузку НКАП металлов» и оборудования «не позднее 20 числа каждого месяца, т.е. «впереди всех других наркоматов, в том числе оборонных». Комиссиям СНК по рассмотрению планов распределения, а также всем наркоматам и ведомствам запрещалось вносить какие-либо изменения в утвержденный план материально-технического обеспечения НКАП в IV квартале 1943 г.</w:t>
      </w:r>
    </w:p>
    <w:p w14:paraId="7975BB7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внимание уделялось снабжению НКАП металлом, в том числе предписывалось «выделять НКАП ежеквартально авансовый фонд по качественному металлу, трубам и метизам, с поставкой с производства, в размере 100 % фондов предыдущего квартала». Ввиду того, что Гурьевский металлургический завод, Белорецкий сталепроволочный завод и завод «Серп и молот» Наркомчермета в III квартале срывали поставки металлоизделий НКАП, руководство Наркомчермета (И.Тевосян) обязывались «обеспечивать отгрузку заготовок и подката вышеперечисленным заводам для выполнения заказов НКАП не позднее 10 числа каждого месяца» (12290).</w:t>
      </w:r>
    </w:p>
    <w:p w14:paraId="34A51FAB"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документах ГКО отмечалось, что на протяжении 1942 и первого полугодия 1943 г. наркоматы-поставщики авиационной промышленности значительно ухудшили качество поставляемых материалов. К примеру, Уральский алюминиевый завод в течение 5 месяцев 1943 г. допускал поставку заводам НКАП алюминия 3 и 4 сортов до 20 %. В связи с этим наркому цветной металлургии П.Ф.Ломако предписывалось «поставку алюминия заводам НКАП… производить только первого и второго сорта, допуская в отдельных случаях отгрузку алюминия 3 сорта по согласованию с НКАП, но не более 15 % от общей поставки».</w:t>
      </w:r>
    </w:p>
    <w:p w14:paraId="3DBCA462"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Уралмашзавода Музруков был предупрежден о персональной ответственности перед ГКО «за своевременное изготовление и поставку НКАП поковок и литья для запчастей металлургического оборудования».</w:t>
      </w:r>
    </w:p>
    <w:p w14:paraId="08FB2576"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снабжения НКАП станками нарком станкостроения А.И.Ефремов обязывался «при всех условиях поставить заводам НКАП в IV квартале 1943 г. 193 специальных станка»; «обеспечить подготовку к изготовлению в течение 1943 г. для НКАП 800 специальных станков»; нарком по внешней торговле А.И.Микоян обязывался «принять меры к заказу в США 300 тыс. шт. поковок гильз цилиндров», металлорежущих станков, кузнечно-прессового оборудования, приборов и др.</w:t>
      </w:r>
    </w:p>
    <w:p w14:paraId="25D8DBE3"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увеличением выпуска боевых самолетов авиационный завод № 21 освобождался с 1 октября 1943 г. от производства корпусов снарядов.</w:t>
      </w:r>
    </w:p>
    <w:p w14:paraId="0B7859E7" w14:textId="77777777" w:rsidR="00BA7A65" w:rsidRPr="00271E51" w:rsidRDefault="00BA7A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Применялись и формы «морального воздействия»: постановление предписывало «не допускать при подведении итогов Всесоюзного социалистического соревнования присуждение Красного Знамени Государственного Комитета Обороны, а также вторых и третьих мест предприятиям, не выполнившим поставки Наркомавиапрому» (дело в том, что Наркомтанкопром представил к присуждению знамени ГКО Кировский завод, «неоднократно срывавший заказы авиапромышленности»). Н.М.Швернику было поручено «установить контроль за неуклонным выполнением этого условия во Всесоюзном социалистическом соревновании промышленных предприятий» (12291).</w:t>
      </w:r>
    </w:p>
    <w:p w14:paraId="231D9C81" w14:textId="77777777" w:rsidR="00BA7A65" w:rsidRPr="00271E51" w:rsidRDefault="00BA7A65" w:rsidP="00271E51">
      <w:pPr>
        <w:spacing w:after="0" w:line="240" w:lineRule="auto"/>
        <w:jc w:val="both"/>
        <w:rPr>
          <w:rFonts w:ascii="Times New Roman" w:hAnsi="Times New Roman"/>
          <w:color w:val="000000" w:themeColor="text1"/>
          <w:sz w:val="16"/>
          <w:szCs w:val="16"/>
        </w:rPr>
      </w:pPr>
    </w:p>
    <w:p w14:paraId="4209D36F"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E01299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A608C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вышел приказ НКТП Малышева N 540, который обязал директора завода 100 Котина спроектировать и построить до 1 октября 1943 опытный образец танка ИС с пушкой 122 мм Д-25 конструкции завода 9 НКВ и до 15 октября произвести совместно с ГБТУ КА и ГАУ КА испытательный пробег на 500 км (8093).</w:t>
      </w:r>
    </w:p>
    <w:p w14:paraId="45ACBD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CACD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вышел приказ НКТП № 530, согласно которому, всего от промышленностью должно было быть от</w:t>
      </w:r>
      <w:r w:rsidRPr="00271E51">
        <w:rPr>
          <w:rFonts w:ascii="Times New Roman" w:hAnsi="Times New Roman"/>
          <w:color w:val="000000" w:themeColor="text1"/>
          <w:sz w:val="16"/>
          <w:szCs w:val="16"/>
        </w:rPr>
        <w:softHyphen/>
        <w:t>гружено 63 КВ-85 в сентябре и 63 в октябре, после чего их выпуск планировалось прекратить в пользу танка ИС. Но по отчету наркомата заказчику было сдано 148 танков КВ-85, выпускавшихся параллельно с КВ-1С. Лишь в декабре вы</w:t>
      </w:r>
      <w:r w:rsidRPr="00271E51">
        <w:rPr>
          <w:rFonts w:ascii="Times New Roman" w:hAnsi="Times New Roman"/>
          <w:color w:val="000000" w:themeColor="text1"/>
          <w:sz w:val="16"/>
          <w:szCs w:val="16"/>
        </w:rPr>
        <w:softHyphen/>
        <w:t>пуск последних танков семейства КВ был прекращен. Итогом напряженной работы завода № 100 были два новых опытных танка ИС («Объект 237»), которые внешне напоминали своего предшественника — танк КВ-1С, но с большой башней. Правда, сходство было только внешнее. В отличие от предшественника, указанные танки при не</w:t>
      </w:r>
      <w:r w:rsidRPr="00271E51">
        <w:rPr>
          <w:rFonts w:ascii="Times New Roman" w:hAnsi="Times New Roman"/>
          <w:color w:val="000000" w:themeColor="text1"/>
          <w:sz w:val="16"/>
          <w:szCs w:val="16"/>
        </w:rPr>
        <w:softHyphen/>
        <w:t>сколько меньшей массе несли более мощное бронирова</w:t>
      </w:r>
      <w:r w:rsidRPr="00271E51">
        <w:rPr>
          <w:rFonts w:ascii="Times New Roman" w:hAnsi="Times New Roman"/>
          <w:color w:val="000000" w:themeColor="text1"/>
          <w:sz w:val="16"/>
          <w:szCs w:val="16"/>
        </w:rPr>
        <w:softHyphen/>
        <w:t>ние, а погон диаметром 1700 мм позволял оперировать эки</w:t>
      </w:r>
      <w:r w:rsidRPr="00271E51">
        <w:rPr>
          <w:rFonts w:ascii="Times New Roman" w:hAnsi="Times New Roman"/>
          <w:color w:val="000000" w:themeColor="text1"/>
          <w:sz w:val="16"/>
          <w:szCs w:val="16"/>
        </w:rPr>
        <w:softHyphen/>
        <w:t>пажу в башне с большим удобством. Вторым главным отли</w:t>
      </w:r>
      <w:r w:rsidRPr="00271E51">
        <w:rPr>
          <w:rFonts w:ascii="Times New Roman" w:hAnsi="Times New Roman"/>
          <w:color w:val="000000" w:themeColor="text1"/>
          <w:sz w:val="16"/>
          <w:szCs w:val="16"/>
        </w:rPr>
        <w:softHyphen/>
        <w:t>чием был новый двигатель В-2ИС, отличавшийся от анало</w:t>
      </w:r>
      <w:r w:rsidRPr="00271E51">
        <w:rPr>
          <w:rFonts w:ascii="Times New Roman" w:hAnsi="Times New Roman"/>
          <w:color w:val="000000" w:themeColor="text1"/>
          <w:sz w:val="16"/>
          <w:szCs w:val="16"/>
        </w:rPr>
        <w:softHyphen/>
        <w:t>гов более плотной компоновкой, за счет чего он был пони</w:t>
      </w:r>
      <w:r w:rsidRPr="00271E51">
        <w:rPr>
          <w:rFonts w:ascii="Times New Roman" w:hAnsi="Times New Roman"/>
          <w:color w:val="000000" w:themeColor="text1"/>
          <w:sz w:val="16"/>
          <w:szCs w:val="16"/>
        </w:rPr>
        <w:softHyphen/>
        <w:t>жен на 200 мм. Этот двигатель был дополнен всережимным регулятором числа оборотов и инерционным стартером. Двигатель мог развивать мощность до 650 л.с., но при 1900 об/мин и эксплуатационной мощности 520 — 540 л.с. его ресурс достиг 300 моточасов, расход топлива — 188 г/л.с.ч. (для примера расход топлива КВ-1С составлял не менее 195 г/л.с-.ч). Новая система охлаждения и воздухоочиститель «Мультициклон» должны были быть более эффективными при эксплуатации танка летом. Были изменены также под-моторная рама и бортовые редукторы. Третьим важным от</w:t>
      </w:r>
      <w:r w:rsidRPr="00271E51">
        <w:rPr>
          <w:rFonts w:ascii="Times New Roman" w:hAnsi="Times New Roman"/>
          <w:color w:val="000000" w:themeColor="text1"/>
          <w:sz w:val="16"/>
          <w:szCs w:val="16"/>
        </w:rPr>
        <w:softHyphen/>
        <w:t>личием было то, что в танке был применен планетарный механизм поворота (ПМП), с которым улучшилась манев</w:t>
      </w:r>
      <w:r w:rsidRPr="00271E51">
        <w:rPr>
          <w:rFonts w:ascii="Times New Roman" w:hAnsi="Times New Roman"/>
          <w:color w:val="000000" w:themeColor="text1"/>
          <w:sz w:val="16"/>
          <w:szCs w:val="16"/>
        </w:rPr>
        <w:softHyphen/>
        <w:t>ренность танка на ходу. Кроме того, приводы управления были дополнены сервомеханизмом и мостиком управле</w:t>
      </w:r>
      <w:r w:rsidRPr="00271E51">
        <w:rPr>
          <w:rFonts w:ascii="Times New Roman" w:hAnsi="Times New Roman"/>
          <w:color w:val="000000" w:themeColor="text1"/>
          <w:sz w:val="16"/>
          <w:szCs w:val="16"/>
        </w:rPr>
        <w:softHyphen/>
        <w:t>ния тормозом. Ну и, конечно, отличало новый танк боевое отделение, на которое могла устанавливаться башня с кру</w:t>
      </w:r>
      <w:r w:rsidRPr="00271E51">
        <w:rPr>
          <w:rFonts w:ascii="Times New Roman" w:hAnsi="Times New Roman"/>
          <w:color w:val="000000" w:themeColor="text1"/>
          <w:sz w:val="16"/>
          <w:szCs w:val="16"/>
        </w:rPr>
        <w:softHyphen/>
        <w:t>гом обслуживания до 1850 мм (11135).</w:t>
      </w:r>
    </w:p>
    <w:p w14:paraId="28B043B9"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2D4D8"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был издан приказ НКТП, в четвертом пункте которого было записано: "Обязать гл. конст</w:t>
      </w:r>
      <w:r w:rsidRPr="00271E51">
        <w:rPr>
          <w:rFonts w:ascii="Times New Roman" w:hAnsi="Times New Roman"/>
          <w:color w:val="000000" w:themeColor="text1"/>
          <w:sz w:val="16"/>
          <w:szCs w:val="16"/>
        </w:rPr>
        <w:softHyphen/>
        <w:t>руктора ОКБ и директора завода № 100 тов. Котина спроектировать и изготовить до 1.10.43 г. опытный образец танка ИС со 122-мм пушкой Д-25 конструкции завода № 9 НКВ и до 15.10.43 г. произвести совмест</w:t>
      </w:r>
      <w:r w:rsidRPr="00271E51">
        <w:rPr>
          <w:rFonts w:ascii="Times New Roman" w:hAnsi="Times New Roman"/>
          <w:color w:val="000000" w:themeColor="text1"/>
          <w:sz w:val="16"/>
          <w:szCs w:val="16"/>
        </w:rPr>
        <w:softHyphen/>
        <w:t>но с ГБТУ и ГАУ РККА испытательный пробег танка на 500 километ</w:t>
      </w:r>
      <w:r w:rsidRPr="00271E51">
        <w:rPr>
          <w:rFonts w:ascii="Times New Roman" w:hAnsi="Times New Roman"/>
          <w:color w:val="000000" w:themeColor="text1"/>
          <w:sz w:val="16"/>
          <w:szCs w:val="16"/>
        </w:rPr>
        <w:softHyphen/>
        <w:t>ров и отстрел пушки". В приложении к этому приказу были указаны боевые и технические характеристики танка ИС-85 (ИС-1) (такое обозначение получил танк "Объект 237"). На Кировском заводе одновременно с переоборудовани</w:t>
      </w:r>
      <w:r w:rsidRPr="00271E51">
        <w:rPr>
          <w:rFonts w:ascii="Times New Roman" w:hAnsi="Times New Roman"/>
          <w:color w:val="000000" w:themeColor="text1"/>
          <w:sz w:val="16"/>
          <w:szCs w:val="16"/>
        </w:rPr>
        <w:softHyphen/>
        <w:t>ем шло изготовление установочной партии в количестве 25 машин. Проводилась отработка технологии изготовления, в конструкцию вно</w:t>
      </w:r>
      <w:r w:rsidRPr="00271E51">
        <w:rPr>
          <w:rFonts w:ascii="Times New Roman" w:hAnsi="Times New Roman"/>
          <w:color w:val="000000" w:themeColor="text1"/>
          <w:sz w:val="16"/>
          <w:szCs w:val="16"/>
        </w:rPr>
        <w:softHyphen/>
        <w:t>сились сотни изменений, облегчавших и упрощавших производство. Ус</w:t>
      </w:r>
      <w:r w:rsidRPr="00271E51">
        <w:rPr>
          <w:rFonts w:ascii="Times New Roman" w:hAnsi="Times New Roman"/>
          <w:color w:val="000000" w:themeColor="text1"/>
          <w:sz w:val="16"/>
          <w:szCs w:val="16"/>
        </w:rPr>
        <w:softHyphen/>
        <w:t>тановочная партия танков была изготовлена по временной технологии и поэтому первые машины не отличались высоким качеством (10703).</w:t>
      </w:r>
    </w:p>
    <w:p w14:paraId="0C4C24A2"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261D3D"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был издан приказ НКТП, в четвертом пункте которого было записано: "Обязать гл. конст</w:t>
      </w:r>
      <w:r w:rsidRPr="00271E51">
        <w:rPr>
          <w:rFonts w:ascii="Times New Roman" w:hAnsi="Times New Roman"/>
          <w:color w:val="000000" w:themeColor="text1"/>
          <w:sz w:val="16"/>
          <w:szCs w:val="16"/>
        </w:rPr>
        <w:softHyphen/>
        <w:t>руктора ОКБ и директора завода № 100 тов. Котина спроектировать и изготовить до 1.10.43 г. опытный образец танка ИС со 122-мм пушкой Д-25 конструкции завода № 9 НКВ и до 15.10.43 г. произвести совмест</w:t>
      </w:r>
      <w:r w:rsidRPr="00271E51">
        <w:rPr>
          <w:rFonts w:ascii="Times New Roman" w:hAnsi="Times New Roman"/>
          <w:color w:val="000000" w:themeColor="text1"/>
          <w:sz w:val="16"/>
          <w:szCs w:val="16"/>
        </w:rPr>
        <w:softHyphen/>
        <w:t>но с ГБТУ и ГАУ РККА испытательный пробег танка на 500 километ</w:t>
      </w:r>
      <w:r w:rsidRPr="00271E51">
        <w:rPr>
          <w:rFonts w:ascii="Times New Roman" w:hAnsi="Times New Roman"/>
          <w:color w:val="000000" w:themeColor="text1"/>
          <w:sz w:val="16"/>
          <w:szCs w:val="16"/>
        </w:rPr>
        <w:softHyphen/>
        <w:t>ров и отстрел пушки". В приложении к этому приказу были указаны боевые и технические характеристики танка ИС-85 (ИС-1) (такое обозначение получил танк "Объект 237"). На Кировском заводе одновременно с переоборудовани</w:t>
      </w:r>
      <w:r w:rsidRPr="00271E51">
        <w:rPr>
          <w:rFonts w:ascii="Times New Roman" w:hAnsi="Times New Roman"/>
          <w:color w:val="000000" w:themeColor="text1"/>
          <w:sz w:val="16"/>
          <w:szCs w:val="16"/>
        </w:rPr>
        <w:softHyphen/>
        <w:t>ем шло изготовление установочной партии в количестве 25 машин. Проводилась отработка технологии изготовления, в конструкцию вно</w:t>
      </w:r>
      <w:r w:rsidRPr="00271E51">
        <w:rPr>
          <w:rFonts w:ascii="Times New Roman" w:hAnsi="Times New Roman"/>
          <w:color w:val="000000" w:themeColor="text1"/>
          <w:sz w:val="16"/>
          <w:szCs w:val="16"/>
        </w:rPr>
        <w:softHyphen/>
        <w:t>сились сотни изменений, облегчавших и упрощавших производство. Ус</w:t>
      </w:r>
      <w:r w:rsidRPr="00271E51">
        <w:rPr>
          <w:rFonts w:ascii="Times New Roman" w:hAnsi="Times New Roman"/>
          <w:color w:val="000000" w:themeColor="text1"/>
          <w:sz w:val="16"/>
          <w:szCs w:val="16"/>
        </w:rPr>
        <w:softHyphen/>
        <w:t>тановочная партия танков была изготовлена по временной технологии и поэтому первые машины не отличались высоким качеством (10703).</w:t>
      </w:r>
    </w:p>
    <w:p w14:paraId="313C8474"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2211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 Приказом Наркома танковой промышленности N586 МГ ЦНИИ-48преобразуется в Московский филиал ЦНИИ-48 (МФ ЦНИИ-48). Руководитель - Делле В.А. Ларин А.Т. направляется в Мариуполь на восстановление металлургического завода (9835).</w:t>
      </w:r>
    </w:p>
    <w:p w14:paraId="41AB7B9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137C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Распоряжение ГКО № 4052. О распространении действия распоряжения ГКО № 3698 от 8 июля 1943 г. на офицеров, работающих в системе НКгосконтроля СССР.РГАНИР, Фонд ГКО, д. 150, лл. 23 (11012).</w:t>
      </w:r>
    </w:p>
    <w:p w14:paraId="2BB5CB0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A77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Распоряжение ГКО № 4053. О мерах по увеличению выпуска буры технической и борной кислоты на Буйском заводе НКМП РСФСР.РГАНИР, Фонд ГКО, д. 150, лл. 24 (11012).</w:t>
      </w:r>
    </w:p>
    <w:p w14:paraId="75F7023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C206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4054 О создании собственной продовольственной базы Красногорской ТЭЦ Наркомэлектростанций.РГАНИР, Фонд ГКО, д. 150, лл. 25-26, 27-28 (11012).</w:t>
      </w:r>
    </w:p>
    <w:p w14:paraId="7213694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AB78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4055 Об организации из числа учащихся ремесленных училищ и школ ФЗО бригад государственных трудовых резервов по восстановлению и монтажу энергетических и металлургических предприятий Донбасса.РГАНИР, Фонд ГКО, д. 150, лл. 29-31 (11012).</w:t>
      </w:r>
    </w:p>
    <w:p w14:paraId="2F1FEE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0FF6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4056 О мерах помощи НКПС по подготовке подвижного состава и путевого хозяйства к зиме 1943/44 гг. (7138, 32-36,37-40).</w:t>
      </w:r>
    </w:p>
    <w:p w14:paraId="622214F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8C055A"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4057 О мероприятиях по обеспечению бесперебойной работы Ново-Лялинского комбината Наркомбумпрома в зимний период 1943/44 гг. (7138, 41-43).</w:t>
      </w:r>
    </w:p>
    <w:p w14:paraId="26B62690"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2262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4058 О плане отгрузки проката черных металлов на сентябрь 1943 г.РГАНИР, Фонд ГКО, д. 150, лл. 44, 45-47 (11012).</w:t>
      </w:r>
    </w:p>
    <w:p w14:paraId="48AD5B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9F6A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4059 О снабжении топливом электростанции г. Йошкар-Ола.РГАНИР, Фонд ГКО, д. 150, лл. 48-49, 50-51 (11012).</w:t>
      </w:r>
    </w:p>
    <w:p w14:paraId="3C67C4C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3C50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4060 Об увеличении мощностей кордной промышленности Наркомтекстиля СССР. (7138, 52-56,57-58).</w:t>
      </w:r>
    </w:p>
    <w:p w14:paraId="69DB729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C8EAA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4061 О восстановлении Воронежского завода синтетического каучука Наркомрезинпрома.РГАНИР, Фонд ГКО, д. 150, лл. 59 (11012).</w:t>
      </w:r>
    </w:p>
    <w:p w14:paraId="10DE8E3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2986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Распоряжение ГКО № 4062 [О передаче НКлесом СССР в III кв. 1943 г. НКВМФ и НКРФ по 5 полуглиссеров типа НКЛ-27.] (7138, 60).</w:t>
      </w:r>
    </w:p>
    <w:p w14:paraId="0F9D07F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46C4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Постановление ГКО № 4063 О поставке шпульной и оберточной бумаги Наркомтекстилю СССР в III квартале 1943 г.РГАНИР, Фонд ГКО, д. 150, лл. 61 (11012).</w:t>
      </w:r>
    </w:p>
    <w:p w14:paraId="33DB16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3199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Распоряжение ГКО № 4064 [О мерах по выполнению плана производства автоприцепов на заводах НКСМ.] (7138, 62).</w:t>
      </w:r>
    </w:p>
    <w:p w14:paraId="4CFA592D"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BF594"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вышло Распоряжение ГКО № 4065 [О поставке HКВД материалов, вещевого довольствия, снаряжения и хозинвентаря в IV кв. 1943 г.] (7138, 63,64-65).</w:t>
      </w:r>
    </w:p>
    <w:p w14:paraId="06490DA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9C8B51"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F99743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0D7C3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в 1943 году оперативная сводка Совинформбюро:</w:t>
      </w:r>
    </w:p>
    <w:p w14:paraId="4963100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сентября в Донбассе наши войска продолжали развивать наступление и, продвинувшись вперёд от 10 до 20 километров, заняли свыше 90 населённых пунктов, в том числе крупные населённые пункты Былбасовка, Ясная Горка, Красноторка, Сергеевна, Ново-Александровка, Ново-Райское, Артёмовна, Октябрьское, Ульяновка, Александровка и крупные железнодорожные станции Очеретино, Щегловка.</w:t>
      </w:r>
    </w:p>
    <w:p w14:paraId="786B231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Бахмачском направлении наши войска продолжали успешно развивать наступление и, продвинувшись вперёд от 10 до 15 километров, заняли свыше 150 населённых пунктов, в том числе районный центр Черниговской области Батурин, районный центр Сумской области Дубовязовка, районный центр Сумской области Бурынь, крупные населённые пункты Высокое, Шаповаловка, Городище, Митченки, Красное, Поповна, Подлипное, Семяновка, Успенка, Вознесенка и железнодорожныестанции Дочь, Чесноковка, Калиновка.</w:t>
      </w:r>
    </w:p>
    <w:p w14:paraId="412E839F"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вели успешное наступление и, продвинувшись на отдельных участках от 10 до 15 километров, заняли свыше 50 населённых пунктов, в том числе районный центр Орловской области и железнодорожный узел Навля, районный центр Сумской области Знобь-Новгородская, крупные населённые пункты Будре, Шешуевка, Теребушка, Чернь, Ново-Васильевский, Мефёдовка, Кренидовка, Журавка, Кривоносовка, Уралово и железнодорожные станции Борщёво, Святое, Алтухово, Кокоревка, Холмечи, Нерусса.</w:t>
      </w:r>
    </w:p>
    <w:p w14:paraId="307C493F"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западнее и юго-западнее Харькова, продвинулись на отдельных участках вперёд от 4 до 7 километров и заняли ряд населённых пунктов, в том числе населённые пункты Большая Павловка, Тарасовка, Власовка, Шиловка,Огульцы, Черёмушная, Одрынка, Ракитное, Малая Лиховка, Бахметьевка и железнодорожную станцию Борки. Город Зеньков, неоднократно переходивший из рук в руки, вновь занят нашими войсками.</w:t>
      </w:r>
    </w:p>
    <w:p w14:paraId="2B12D19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наступательные бои по улучшению занимаемых позиций.</w:t>
      </w:r>
    </w:p>
    <w:p w14:paraId="0BFFC10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сентября наши войска на всех фронтах подбили и уничтожили 116 немецких танков. В воздушных боях и огнём зенитной артиллерии сбито 115 самолётов противника.</w:t>
      </w:r>
    </w:p>
    <w:p w14:paraId="6D9C4F2D"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продолжали наступление.</w:t>
      </w:r>
    </w:p>
    <w:p w14:paraId="20966F4E"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Константиновка, части Н-ского соединения продвигались вперёд, отбрасывая противника на запад. Немцы оказывают ожесточённое сопротивление и переходят в контратаки. В упорных боях наши бойцы истребили до 2.000 гитлеровцев, захватили трофеи и пленных. Пытаясь остановить наступление советских войск, немцы бросают в бой крупные силы танков. Наши танкисты и артиллеристы нанесли противнику тяжёлый урон. В течение дня, по неполным данным, подбито и сожжено 59 немецких танков и много самоходных орудий. Уничтожив значительное число техники противника, и сломив сопротивление его пехотных частей, наши войска заняли свыше 90 населённых пунктов и несколько железнодорожных станций.</w:t>
      </w:r>
    </w:p>
    <w:p w14:paraId="4638C3D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42 самолёта противника. Советская авиация совершила налёты на аэродромы, на которых было замечено большое скопление немецких самолётов. В результате этих налётов уничтожено на аэродромах свыше 20 самолётов противника.</w:t>
      </w:r>
    </w:p>
    <w:p w14:paraId="0ABE44B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Бахмачском направлении наши войска продолжали успешное наступление и заняли свыше 150 населённых пунктов.</w:t>
      </w:r>
    </w:p>
    <w:p w14:paraId="405F9F2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Бахмач Н-ская часть переправилась через реку Сейм и в результате ожесточённых уличных боёв заняла районный центр Черниговской области город Батурин. На другом участке бойцами Н-ского соединения взят районный центр Сумской области Дубовязовка. Противник оказывает упорное сопротивление, но под ударами наших частей вынужден оставлять один населённый пункт за другим. За день боёв частями Н-ского соединения уничтожено до 1.500 немецких солдат и офицеров. Захвачено много брошенного немцами стрелкового и артиллерийского вооружения, боеприпасов и разного военного имущества. Пленные немецкие солдаты рассказывают,что немецкие войска на Бахмачском направлении понесли исключительно тяжёлые потери. Не только в ротах, но часто даже в батальонах оставалось по 20—30 солдат.</w:t>
      </w:r>
    </w:p>
    <w:p w14:paraId="2F69D0F2"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успешное наступление. Северо-западнее Комаричи части Н-ского соединения продвинулись до 15 километров и заняли ряд населённых пунктов. Бойцы Н-ской части сломили упорное сопротивление гитлеровцеви овладели крупным населённым пунктом и железнодорожной станцией Алтухово. Другие части обходным манёвром поставили немцев под угрозу окружения и овладели железнодорожным узлом Навля. В этих боях уничтожено до полка немецкой пехоты. Захвачено 26 орудий, несколько складов с боеприпасами, продовольствием и различным военным имуществом. Взято свыше 200 пленных.</w:t>
      </w:r>
    </w:p>
    <w:p w14:paraId="0981A0B8"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бойцы совместно с партизанами освободили свыше 15.000 советских граждан, которых немцы угоняли на каторгу в Германию.</w:t>
      </w:r>
    </w:p>
    <w:p w14:paraId="4CFF6D4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части Н-ского соединения, в результате ожесточённых боёв с танками и пехотой противника, прорвали оборону немцев и заняли несколько населённых пунктов. В этих боях уничтожено более 500 вражеских солдат и офицеров, 26 немецких танков и 120 автомашин.</w:t>
      </w:r>
    </w:p>
    <w:p w14:paraId="7E107D6E"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преодолевая сопротивление противника, продолжали наступление. Выбив немцев из сильно укреплённых опорных пунктов, бойцы Н-ского соединения истребили свыше батальона гитлеровцев, уничтожили 6 танков и 4 самоходных орудия. Захвачены 9 орудий и 60 пулемётов. На другом участке отбито несколько контратак противника. На подступах к советским позициям осталось до 400 трупов немецких солдат и офицеров, 10 подбитых танков и 2 самоходных орудия.</w:t>
      </w:r>
    </w:p>
    <w:p w14:paraId="59A8E516"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активные боевые действия по улучшению своих позиций. Западнее Дорогобужа советские бойцы отразили контратаку противника, уничтожив при этом свыше 200 гитлеровцев. Юго-западнее Ельни части Н-ского соединения преодолели большой лесной заболоченный массив и выбили немцев из нескольких опорных пунктов. В результате умелого манёвра наши подразделения окружили свыше батальона гитлеровцев и ведут бой по их уничтожению. Взяты пленные.</w:t>
      </w:r>
    </w:p>
    <w:p w14:paraId="3F696E36"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и огнём зенитной артиллерии за день сбито 49 самолётов противника.</w:t>
      </w:r>
    </w:p>
    <w:p w14:paraId="4AB5D2B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корабли в Финском заливе потопили два немецких тральщика.</w:t>
      </w:r>
    </w:p>
    <w:p w14:paraId="3C610900"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флота в Чёрном море потоплены два катера, буксир и баржа противника.</w:t>
      </w:r>
    </w:p>
    <w:p w14:paraId="71A31505"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ночью напал на крупный гарнизон противника, расположенный в населённом пункте. Партизаны уничтожили 93 немецких солдата и офицера, взорвали 3 грузовых автомашины и 19 повозок с боеприпасами. Группа партизан другого ленинградского отряда взорвала два железнодорожных моста и уничтожила телефонно-телеграфную линию связи протяжением в 10 километров.»</w:t>
      </w:r>
    </w:p>
    <w:p w14:paraId="186A60B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немецко-фашистских войск на советско-германском фронте за время с 5 июля по 5 сентября:</w:t>
      </w:r>
    </w:p>
    <w:p w14:paraId="440D4F15"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два месяца летних боёв, с 5 июля по 5 сентября с. г., наши войска на всех участках фронта уничтожили: самолётов противника — 5.729, танков — 8.400, орудий— 5.192, автомашин — более 28.000.</w:t>
      </w:r>
    </w:p>
    <w:p w14:paraId="4D9FA31B"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противника убитыми составляют более 420.000 солдат и офицеров. Всего же в боях с 5 июля по 5 сентября выбыло из строя (убитыми и ранеными) не менее 1.500.000 немецких солдат и офицеров.</w:t>
      </w:r>
    </w:p>
    <w:p w14:paraId="004131C8"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наши войска захватили: танков — 1.041, орудий разного калибра, в том числе самоходных — 2.018, пулемётов — 5.382, автомашин —7.853.</w:t>
      </w:r>
    </w:p>
    <w:p w14:paraId="601F798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Взято в плен 38.600 немецких солдат и офицеров.» (14762).</w:t>
      </w:r>
    </w:p>
    <w:p w14:paraId="32853E61"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3CB6E26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в 1943 году Г.Гиммлер издает приказ по СС об уничтожении промышленности Донбасса при отступлении. В приказе руководству войск СС и полиции на Украине (подписан Г.Гиммлером) поставлена задача тотального разрушения оставляемых вермахтом районов (14762).</w:t>
      </w:r>
    </w:p>
    <w:p w14:paraId="4F18A172"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7EF6814E"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Гиммлер издал приказ по СС об уничтожении промышленности Донбасса при отступлении (4962).</w:t>
      </w:r>
    </w:p>
    <w:p w14:paraId="51CB86F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4C44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7, 1943: 17. Armee begins the evacuation of the Kuban bridgehead across the Strait of Kerch to the Crimea (3819).</w:t>
      </w:r>
    </w:p>
    <w:p w14:paraId="39EA09B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83A7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17А начала отступление из районов Кубани и Керченского пролива в Крым (3819).</w:t>
      </w:r>
    </w:p>
    <w:p w14:paraId="6FB7AA1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52D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Г.Гимлер и Г.Геринг приказали эвакуировать войска из Украины (2262).</w:t>
      </w:r>
    </w:p>
    <w:p w14:paraId="05AA301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48E9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в 1943 году войска Центрального фронта форсировали в ряде мест реку Десну, прорвали оборону противника на стыке групп армий "Центр" и "Юг" (14762).</w:t>
      </w:r>
    </w:p>
    <w:p w14:paraId="62DF30B0"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275BB744"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049271B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1203972"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7 September 1943 V weapon sites are bombed by Allies (270).</w:t>
      </w:r>
    </w:p>
    <w:p w14:paraId="4C4868FC"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F06996"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союзники вновь бомбили немецкие ракетные базы (270).</w:t>
      </w:r>
    </w:p>
    <w:p w14:paraId="720F5CDB" w14:textId="77777777" w:rsidR="003524CF" w:rsidRPr="00271E51" w:rsidRDefault="003524C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A34B2"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на Корсике началось антифашистское восстание (4962).</w:t>
      </w:r>
    </w:p>
    <w:p w14:paraId="4F74634F"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2B4F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сентября 1943 штаб KG100 приступил к разработке секретной операции против итальянского флота в гавани Специи (9524).</w:t>
      </w:r>
    </w:p>
    <w:p w14:paraId="4BB4B3A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D04A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сентября в 1943 году Италия капитулировала перед союзными войсками </w:t>
      </w:r>
    </w:p>
    <w:p w14:paraId="01886598"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68AE337C"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DFA0FE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055B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8/10 сентября 1943 вышел приказ АДД и НКАП N 0198/546с "О продлении ресурса мотора М-88Б самолетов Ил-4"</w:t>
      </w:r>
    </w:p>
    <w:p w14:paraId="2825878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Моторам М-88б, эксплуатируемым в боевых частях и школах АДД на самолетах Ил-4 установить срок службы между ремонтами (моторесурс) в 200 час. (Голлованов/Дементьев) (1750,4).</w:t>
      </w:r>
    </w:p>
    <w:p w14:paraId="42CD207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3F1B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завод 300 подал заводу 155 один АМ-39А с водо-воздушным радиатором и именно с этим мотором машина потерпела аварию (1824,19).</w:t>
      </w:r>
    </w:p>
    <w:p w14:paraId="5F3DBE7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FECA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своим приказом №00243 НКВМФ Н.Г. Кузнецов распорядился провести испытания самолета "Бостон" с РЛС на базе Летно-испытательного института ВВС ВМФ в г. Баку в период 25.9- 25.10.1943. 23 ноября появился приказ №00296, подводивший итоги испытаний и утверждавший реальные ТТХ станции: дальность обнаружения корабля водоизмещением более 1000 т при высоте полета 100-200 м - 7-9 км, ширина просматриваемой полосы - 8-10 км. Очевидно, результаты испытаний не вполне удовлетворили флотское руководство, поскольку в период с 16.12.1943 по 7.1.1944 их провели повторно. Станция испытыеалась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03E5FF2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297A887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2C68D" w14:textId="77777777" w:rsidR="00E16DD7" w:rsidRPr="00271E51" w:rsidRDefault="00E16DD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сентября 1943 г. начальник ГУЗ ВВС генерал-лей</w:t>
      </w:r>
      <w:r w:rsidRPr="00271E51">
        <w:rPr>
          <w:color w:val="000000" w:themeColor="text1"/>
          <w:sz w:val="16"/>
          <w:szCs w:val="16"/>
        </w:rPr>
        <w:softHyphen/>
        <w:t>тенант Н. П. Селезнев обратился к наркому вооружения Д. Ф. Устинову с просьбой дать «указания срочно подобрать соответствую</w:t>
      </w:r>
      <w:r w:rsidRPr="00271E51">
        <w:rPr>
          <w:color w:val="000000" w:themeColor="text1"/>
          <w:sz w:val="16"/>
          <w:szCs w:val="16"/>
        </w:rPr>
        <w:softHyphen/>
        <w:t>щую жидкость для гидротормоза, обеспечивавшую надежную работу» пушки 11П при температуре окружающего воздуха до 50°</w:t>
      </w:r>
      <w:r w:rsidRPr="00271E51">
        <w:rPr>
          <w:color w:val="000000" w:themeColor="text1"/>
          <w:sz w:val="16"/>
          <w:szCs w:val="16"/>
          <w:lang w:val="en-US"/>
        </w:rPr>
        <w:t>C</w:t>
      </w:r>
      <w:r w:rsidRPr="00271E51">
        <w:rPr>
          <w:color w:val="000000" w:themeColor="text1"/>
          <w:sz w:val="16"/>
          <w:szCs w:val="16"/>
        </w:rPr>
        <w:t>. Требовалось «со</w:t>
      </w:r>
      <w:r w:rsidRPr="00271E51">
        <w:rPr>
          <w:color w:val="000000" w:themeColor="text1"/>
          <w:sz w:val="16"/>
          <w:szCs w:val="16"/>
        </w:rPr>
        <w:softHyphen/>
        <w:t>ставить бюллетень для замены жидкости в пушки в строевых частях» и дать указания «директору завода № 74 о подготовке бригады для отправки в войска для замены летней жидкости на зимнюю». Всю работу необходимо было завершить к 1 октя</w:t>
      </w:r>
      <w:r w:rsidRPr="00271E51">
        <w:rPr>
          <w:color w:val="000000" w:themeColor="text1"/>
          <w:sz w:val="16"/>
          <w:szCs w:val="16"/>
        </w:rPr>
        <w:softHyphen/>
        <w:t>бря 1943 г.</w:t>
      </w:r>
    </w:p>
    <w:p w14:paraId="1D17F055" w14:textId="77777777" w:rsidR="00E16DD7" w:rsidRPr="00271E51" w:rsidRDefault="00E16DD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следует из документов, по ряду объектив</w:t>
      </w:r>
      <w:r w:rsidRPr="00271E51">
        <w:rPr>
          <w:color w:val="000000" w:themeColor="text1"/>
          <w:sz w:val="16"/>
          <w:szCs w:val="16"/>
        </w:rPr>
        <w:softHyphen/>
        <w:t>ных и субъективных причин наркоматом воору</w:t>
      </w:r>
      <w:r w:rsidRPr="00271E51">
        <w:rPr>
          <w:color w:val="000000" w:themeColor="text1"/>
          <w:sz w:val="16"/>
          <w:szCs w:val="16"/>
        </w:rPr>
        <w:softHyphen/>
        <w:t>жения и заводом № 74 ничего в этом направлении сделано не было. Только после того, как из строе</w:t>
      </w:r>
      <w:r w:rsidRPr="00271E51">
        <w:rPr>
          <w:color w:val="000000" w:themeColor="text1"/>
          <w:sz w:val="16"/>
          <w:szCs w:val="16"/>
        </w:rPr>
        <w:softHyphen/>
        <w:t>вых частей посыпались донесения об отказах в ра</w:t>
      </w:r>
      <w:r w:rsidRPr="00271E51">
        <w:rPr>
          <w:color w:val="000000" w:themeColor="text1"/>
          <w:sz w:val="16"/>
          <w:szCs w:val="16"/>
        </w:rPr>
        <w:softHyphen/>
        <w:t>боте пушек 11П в бою при низких температурах, на заводе № 74 развернулись работы по определению состава зимней смеси для гидротормоза (17500).</w:t>
      </w:r>
    </w:p>
    <w:p w14:paraId="3A6BAFF1" w14:textId="77777777" w:rsidR="00E16DD7" w:rsidRPr="00271E51" w:rsidRDefault="00E16DD7" w:rsidP="00271E51">
      <w:pPr>
        <w:spacing w:after="0" w:line="240" w:lineRule="auto"/>
        <w:jc w:val="both"/>
        <w:rPr>
          <w:rFonts w:ascii="Times New Roman" w:hAnsi="Times New Roman"/>
          <w:color w:val="000000" w:themeColor="text1"/>
          <w:sz w:val="16"/>
          <w:szCs w:val="16"/>
        </w:rPr>
      </w:pPr>
    </w:p>
    <w:p w14:paraId="504979D4" w14:textId="77777777" w:rsidR="00BA7A6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DD3AC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09F8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Вечером 8 сентября 1943 г. состоялся показ новых образцов техни</w:t>
      </w:r>
      <w:r w:rsidRPr="00271E51">
        <w:rPr>
          <w:rFonts w:ascii="Times New Roman" w:hAnsi="Times New Roman"/>
          <w:color w:val="000000" w:themeColor="text1"/>
          <w:sz w:val="16"/>
          <w:szCs w:val="16"/>
        </w:rPr>
        <w:softHyphen/>
        <w:t>ки. На территории Московского Кремля члены Политбюро и ЦК ВКП(б), ГКО, наркомы, маршалы и генералы детально знакомились с новыми тяжелыми танками ИС. Произведя хорошее впечатление на всех участников показа, танки ИС - № 1 и № 2 ("Объект 237") были отправлены обратно на Урал и 20 сентября 1943 г. прибыли на завод № 100. 21 сентября 1943 г. на обоих образцах танков ИС был произведен демонтаж КП, ПМП и кулисы с це</w:t>
      </w:r>
      <w:r w:rsidRPr="00271E51">
        <w:rPr>
          <w:rFonts w:ascii="Times New Roman" w:hAnsi="Times New Roman"/>
          <w:color w:val="000000" w:themeColor="text1"/>
          <w:sz w:val="16"/>
          <w:szCs w:val="16"/>
        </w:rPr>
        <w:softHyphen/>
        <w:t>лью устранения замечаний комиссии. Дополнительно на танке ИС № 2 была демонтирована 85-мм пушка С-31 для установки в него 122-мм пушки Д-25. Танковая 122-мм пушка Д-25 была спроектирована и скомпонована в башне танка "Объект 237" в инициативном порядке совместными уси</w:t>
      </w:r>
      <w:r w:rsidRPr="00271E51">
        <w:rPr>
          <w:rFonts w:ascii="Times New Roman" w:hAnsi="Times New Roman"/>
          <w:color w:val="000000" w:themeColor="text1"/>
          <w:sz w:val="16"/>
          <w:szCs w:val="16"/>
        </w:rPr>
        <w:softHyphen/>
        <w:t>лиями КБ завода № 9 и опытного завода № 100 НКТП (10703).</w:t>
      </w:r>
    </w:p>
    <w:p w14:paraId="4345D2BE" w14:textId="77777777" w:rsidR="00BA7A65" w:rsidRPr="00271E51" w:rsidRDefault="00BA7A65"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B299CA" w14:textId="77777777" w:rsidR="00BA7A65" w:rsidRPr="00271E51" w:rsidRDefault="00BA7A65" w:rsidP="00271E51">
      <w:pPr>
        <w:pStyle w:val="a3"/>
        <w:rPr>
          <w:color w:val="000000" w:themeColor="text1"/>
          <w:lang w:val="ru-RU"/>
        </w:rPr>
      </w:pPr>
      <w:r w:rsidRPr="00271E51">
        <w:rPr>
          <w:color w:val="000000" w:themeColor="text1"/>
          <w:lang w:val="ru-RU"/>
        </w:rPr>
        <w:t>8 сентября 1943 танки ИС были показаны высшему руководству страны в Кремле. И. В. Сталин постоянно требовал скорейшего запуска танка ИС в производство. 7 августа 1943 года между ним и В. А. Малышевым состоялась беседа, о которой последний записал следующее: «Был у т. Сталина. Опять т. Сталин интересовался новыми танками. Сказал, чтобы танк ИС поставить на производство в течение полутора месяцев. Когда я сказал, что в такой срок это сделать невозможно, тов. Сталин сказал, что к концу войны нам этот танк не нужен. «Надо, чтобы танк повоевал ещё до зимы». Впервые слышу от т. Сталина о конце войны. В конце концов тов. Сталин дал срок 2 месяца» («Пройдёт десяток лет, и этих встреч не восстановишь уже в памяти»//Источник. №5. 1997. С. 122.). Танкостроители выполнили задачу И. В. Сталина почти в срок, начав производство танков в конце октября 1943 года. Но до зимы, как хотел И. В. Сталин, танк повоевать не успел. Боевое крещение нового танка состоялось уже в феврале 1944 года в ходе Корсунь- Шевченковской операции. В боях тогда приняло участие два полка танков ИС: 8-й и 13-й отдельные гвардейские тяжелые танковые полки. При этом из их состава, несмотря на ожесточённость боёв, было безвозвратно потеряно всего 5 танков. Всего за время войны было изготовлено 107 танков ИС с 85</w:t>
      </w:r>
      <w:r w:rsidRPr="00271E51">
        <w:rPr>
          <w:color w:val="000000" w:themeColor="text1"/>
          <w:lang w:val="ru-RU"/>
        </w:rPr>
        <w:softHyphen/>
        <w:t>мм пушкой. 100 из них поступило на вооружение боевых частей. Из них к концу войны 36 оставалось в строю, 37 было подбито, и столько же было списано по причине износа механизмов. Это был превосходный результат с точки зрения живучести и надёжности машины (12290).</w:t>
      </w:r>
    </w:p>
    <w:p w14:paraId="26C2C143" w14:textId="77777777" w:rsidR="00BA7A65" w:rsidRPr="00271E51" w:rsidRDefault="00BA7A65" w:rsidP="00271E51">
      <w:pPr>
        <w:pStyle w:val="a3"/>
        <w:rPr>
          <w:color w:val="000000" w:themeColor="text1"/>
          <w:lang w:val="ru-RU"/>
        </w:rPr>
      </w:pPr>
    </w:p>
    <w:p w14:paraId="187CE9E1" w14:textId="77777777" w:rsidR="00665ECA" w:rsidRPr="00271E51" w:rsidRDefault="00665ECA" w:rsidP="00271E51">
      <w:pPr>
        <w:pStyle w:val="a3"/>
        <w:rPr>
          <w:color w:val="000000" w:themeColor="text1"/>
          <w:lang w:val="ru-RU"/>
        </w:rPr>
      </w:pPr>
      <w:r w:rsidRPr="00271E51">
        <w:rPr>
          <w:color w:val="000000" w:themeColor="text1"/>
          <w:lang w:val="ru-RU"/>
        </w:rPr>
        <w:t>8 сентября 1943, скогласно Н.С. Попову и В.И. Петрову в книге «Без тайн и секретов»:</w:t>
      </w:r>
    </w:p>
    <w:p w14:paraId="0B251B9B" w14:textId="77777777" w:rsidR="00665ECA" w:rsidRPr="00271E51" w:rsidRDefault="00665ECA" w:rsidP="00271E51">
      <w:pPr>
        <w:pStyle w:val="Bodytext141"/>
        <w:shd w:val="clear" w:color="auto" w:fill="auto"/>
        <w:spacing w:line="240" w:lineRule="auto"/>
        <w:ind w:firstLine="0"/>
        <w:jc w:val="both"/>
        <w:rPr>
          <w:rStyle w:val="Bodytext145"/>
          <w:i w:val="0"/>
          <w:iCs w:val="0"/>
          <w:color w:val="000000" w:themeColor="text1"/>
          <w:sz w:val="16"/>
          <w:szCs w:val="16"/>
        </w:rPr>
      </w:pPr>
      <w:r w:rsidRPr="00271E51">
        <w:rPr>
          <w:rStyle w:val="Bodytext145"/>
          <w:i w:val="0"/>
          <w:iCs w:val="0"/>
          <w:color w:val="000000" w:themeColor="text1"/>
          <w:sz w:val="16"/>
          <w:szCs w:val="16"/>
        </w:rPr>
        <w:t>«Прибывшую в Москву бронетанковую технику разместили на стан</w:t>
      </w:r>
      <w:r w:rsidRPr="00271E51">
        <w:rPr>
          <w:rStyle w:val="Bodytext145"/>
          <w:i w:val="0"/>
          <w:iCs w:val="0"/>
          <w:color w:val="000000" w:themeColor="text1"/>
          <w:sz w:val="16"/>
          <w:szCs w:val="16"/>
        </w:rPr>
        <w:softHyphen/>
        <w:t>ции Черкизово в цехах эвакуированного на Восток завода. Отсюда киров- цы наблюдали первый победный салют в честь победы на Курской дуге, прогремевший 5 августа 1943 года. А 8 августа опытные танки своим хо</w:t>
      </w:r>
      <w:r w:rsidRPr="00271E51">
        <w:rPr>
          <w:rStyle w:val="Bodytext145"/>
          <w:i w:val="0"/>
          <w:iCs w:val="0"/>
          <w:color w:val="000000" w:themeColor="text1"/>
          <w:sz w:val="16"/>
          <w:szCs w:val="16"/>
        </w:rPr>
        <w:softHyphen/>
        <w:t>дом были отправлены в Кремль для показа членам правительства. Их раз</w:t>
      </w:r>
      <w:r w:rsidRPr="00271E51">
        <w:rPr>
          <w:rStyle w:val="Bodytext145"/>
          <w:i w:val="0"/>
          <w:iCs w:val="0"/>
          <w:color w:val="000000" w:themeColor="text1"/>
          <w:sz w:val="16"/>
          <w:szCs w:val="16"/>
        </w:rPr>
        <w:softHyphen/>
        <w:t>местили неподалеку от Царь-Пушки лицом к зданию Верховного Совета. Вскоре на площадь вышли члены Государственного Комитета Обороны во главе со Сталиным. Здесь же были нарком танковой промышленности В.А. Малышев, командующий бронетанковыми войсками генерал-полков</w:t>
      </w:r>
      <w:r w:rsidRPr="00271E51">
        <w:rPr>
          <w:rStyle w:val="Bodytext145"/>
          <w:i w:val="0"/>
          <w:iCs w:val="0"/>
          <w:color w:val="000000" w:themeColor="text1"/>
          <w:sz w:val="16"/>
          <w:szCs w:val="16"/>
        </w:rPr>
        <w:softHyphen/>
        <w:t>ник Я.Н. Федоренко. На пояснения Малышева о боевых возможностях ма</w:t>
      </w:r>
      <w:r w:rsidRPr="00271E51">
        <w:rPr>
          <w:rStyle w:val="Bodytext145"/>
          <w:i w:val="0"/>
          <w:iCs w:val="0"/>
          <w:color w:val="000000" w:themeColor="text1"/>
          <w:sz w:val="16"/>
          <w:szCs w:val="16"/>
        </w:rPr>
        <w:softHyphen/>
        <w:t>шин Сталин, указывая пальцем на пушку 122-мм калибра, заметил, чтоорудие вполне внушительное и подходит для тяжелого танка.</w:t>
      </w:r>
    </w:p>
    <w:p w14:paraId="29A0CBFF"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lastRenderedPageBreak/>
        <w:t>Разговор происходил у правофлангового танка ИС-2. Затем Верховный Главнокомандующий подошел к самоходной артиллерийской установке ИСУ-152. Ему, видимо, было известно, что самоходные орудия, назван</w:t>
      </w:r>
      <w:r w:rsidRPr="00271E51">
        <w:rPr>
          <w:rStyle w:val="Bodytext145"/>
          <w:i w:val="0"/>
          <w:iCs w:val="0"/>
          <w:color w:val="000000" w:themeColor="text1"/>
          <w:sz w:val="16"/>
          <w:szCs w:val="16"/>
        </w:rPr>
        <w:softHyphen/>
        <w:t>ные в Курской битве «зверобоями», хорошо показали себя в боях. Подойдя к машине, он неожиданно вскарабкался на корпус самоходки, на которой не было никаких вспомогательных трапов, и, заглянув в открытый ко</w:t>
      </w:r>
      <w:r w:rsidRPr="00271E51">
        <w:rPr>
          <w:rStyle w:val="Bodytext145"/>
          <w:i w:val="0"/>
          <w:iCs w:val="0"/>
          <w:color w:val="000000" w:themeColor="text1"/>
          <w:sz w:val="16"/>
          <w:szCs w:val="16"/>
        </w:rPr>
        <w:softHyphen/>
        <w:t>мандирский люк, спросил, как обстоят дела с вентиляцией боевой рубки. Видимо, кто-то ему докладывал, что экипажи на машинах первых выпу</w:t>
      </w:r>
      <w:r w:rsidRPr="00271E51">
        <w:rPr>
          <w:rStyle w:val="Bodytext145"/>
          <w:i w:val="0"/>
          <w:iCs w:val="0"/>
          <w:color w:val="000000" w:themeColor="text1"/>
          <w:sz w:val="16"/>
          <w:szCs w:val="16"/>
        </w:rPr>
        <w:softHyphen/>
        <w:t>сков угорали. Водитель-испытатель К.Е. Егоров спокойно ответил ему: «действительно, выхлопные газы попадают внутрь машины, но для этих самоходок отработана улучшенная вентиляция, она в три раза больше пропускает через себя воздуха и опасность задымления или загазовывания башни пороховыми газами полностью устранена».</w:t>
      </w:r>
    </w:p>
    <w:p w14:paraId="18BEC271"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Сталин, полностью удовлетворенный компетентным ответом ме</w:t>
      </w:r>
      <w:r w:rsidRPr="00271E51">
        <w:rPr>
          <w:rStyle w:val="Bodytext145"/>
          <w:i w:val="0"/>
          <w:iCs w:val="0"/>
          <w:color w:val="000000" w:themeColor="text1"/>
          <w:sz w:val="16"/>
          <w:szCs w:val="16"/>
        </w:rPr>
        <w:softHyphen/>
        <w:t>ханика-водителя, больше никому из инженеров по этому поводу вопро</w:t>
      </w:r>
      <w:r w:rsidRPr="00271E51">
        <w:rPr>
          <w:rStyle w:val="Bodytext145"/>
          <w:i w:val="0"/>
          <w:iCs w:val="0"/>
          <w:color w:val="000000" w:themeColor="text1"/>
          <w:sz w:val="16"/>
          <w:szCs w:val="16"/>
        </w:rPr>
        <w:softHyphen/>
        <w:t>сов не задавал».</w:t>
      </w:r>
    </w:p>
    <w:p w14:paraId="6936237E" w14:textId="77777777" w:rsidR="00665ECA" w:rsidRPr="00271E51" w:rsidRDefault="00665EC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сожалению, данное повествование, на которое многие ссылаются, грешит целым рядом неточностей. Для начала, 8 августа 1943 года ни ИС-2, ни ИСУ-152 на Красной площади быть не могли никак. Первый опытный образец ИСУ-152 поступил на испытания в октябре 1943 года, тогда же начались испытания ИС-2 (ИС-122). Комментарии Сталина насчет пушки Д-25 — не более чем художественный вымысел авторов. На самом деле в показе участвовали серийная СУ-152 августовского выпуска, опытный образец КВ-85 (объект 239), опытный образец ИС с 85-мм пушкой Д-5Т (объект 240), СУ-85 и СУ-76М (СУ-15М). Пере</w:t>
      </w:r>
      <w:r w:rsidRPr="00271E51">
        <w:rPr>
          <w:rFonts w:ascii="Times New Roman" w:cs="Times New Roman"/>
          <w:color w:val="000000" w:themeColor="text1"/>
          <w:spacing w:val="0"/>
        </w:rPr>
        <w:softHyphen/>
        <w:t>путаны не только типы показанных образцов бронетанковой техники, но и дата демонстрации (17484).</w:t>
      </w:r>
    </w:p>
    <w:p w14:paraId="5CFC8CB0" w14:textId="77777777" w:rsidR="00665ECA" w:rsidRPr="00271E51" w:rsidRDefault="00665ECA" w:rsidP="00271E51">
      <w:pPr>
        <w:pStyle w:val="27"/>
        <w:shd w:val="clear" w:color="auto" w:fill="auto"/>
        <w:spacing w:after="0" w:line="240" w:lineRule="auto"/>
        <w:ind w:firstLine="0"/>
        <w:rPr>
          <w:rFonts w:ascii="Times New Roman" w:cs="Times New Roman"/>
          <w:color w:val="000000" w:themeColor="text1"/>
          <w:spacing w:val="0"/>
        </w:rPr>
      </w:pPr>
    </w:p>
    <w:p w14:paraId="5FAE15B3" w14:textId="77777777" w:rsidR="00665ECA" w:rsidRPr="00271E51" w:rsidRDefault="00665ECA" w:rsidP="00271E51">
      <w:pPr>
        <w:pStyle w:val="a3"/>
        <w:rPr>
          <w:color w:val="000000" w:themeColor="text1"/>
          <w:lang w:val="ru-RU"/>
        </w:rPr>
      </w:pPr>
      <w:r w:rsidRPr="00271E51">
        <w:rPr>
          <w:color w:val="000000" w:themeColor="text1"/>
          <w:lang w:val="ru-RU"/>
        </w:rPr>
        <w:t>8 сентября 1943:</w:t>
      </w:r>
    </w:p>
    <w:p w14:paraId="34836518" w14:textId="77777777" w:rsidR="00665ECA" w:rsidRPr="00271E51" w:rsidRDefault="00665ECA" w:rsidP="00271E51">
      <w:pPr>
        <w:pStyle w:val="a3"/>
        <w:rPr>
          <w:color w:val="000000" w:themeColor="text1"/>
          <w:lang w:val="ru-RU"/>
        </w:rPr>
      </w:pPr>
      <w:r w:rsidRPr="00271E51">
        <w:rPr>
          <w:color w:val="000000" w:themeColor="text1"/>
          <w:lang w:val="ru-RU"/>
        </w:rPr>
        <w:t>В своем днев</w:t>
      </w:r>
      <w:r w:rsidRPr="00271E51">
        <w:rPr>
          <w:color w:val="000000" w:themeColor="text1"/>
          <w:lang w:val="ru-RU"/>
        </w:rPr>
        <w:softHyphen/>
        <w:t>нике нарком танковой промышленности Малышев пишет:</w:t>
      </w:r>
    </w:p>
    <w:p w14:paraId="2FCA273B"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«8 сентября 1943 г.</w:t>
      </w:r>
    </w:p>
    <w:p w14:paraId="794FD048"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Сегодня тт. Сталин, Молотов, Ворошилов, Берия, Щербаков ос</w:t>
      </w:r>
      <w:r w:rsidRPr="00271E51">
        <w:rPr>
          <w:rStyle w:val="Bodytext145"/>
          <w:i w:val="0"/>
          <w:iCs w:val="0"/>
          <w:color w:val="000000" w:themeColor="text1"/>
          <w:sz w:val="16"/>
          <w:szCs w:val="16"/>
        </w:rPr>
        <w:softHyphen/>
        <w:t>матривали в Кремле новые танки и артсамоходы ИС, КВ-85, СУ-152, СУ-85, С-76.</w:t>
      </w:r>
    </w:p>
    <w:p w14:paraId="05F64FCC"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Тов. Сталин сам залезал на танк ИС, СУ-152 и СУ-85 (впервые тов. Сталин залез на танки). Внимательно расспрашивал о преимуществах новых танков, особенно ИС и СУ-85.</w:t>
      </w:r>
    </w:p>
    <w:p w14:paraId="555FFF7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Сделал упрек, что на самоходе СУ-152 не поставлен вентилятор в бое</w:t>
      </w:r>
      <w:r w:rsidRPr="00271E51">
        <w:rPr>
          <w:rStyle w:val="Bodytext145"/>
          <w:i w:val="0"/>
          <w:iCs w:val="0"/>
          <w:color w:val="000000" w:themeColor="text1"/>
          <w:sz w:val="16"/>
          <w:szCs w:val="16"/>
        </w:rPr>
        <w:softHyphen/>
        <w:t>вом отделении. Я обещал, что через 7 дней будем ставить.</w:t>
      </w:r>
    </w:p>
    <w:p w14:paraId="5ED8D844"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 xml:space="preserve">Расспрашивал, почему при более толстой броне и более мощной пушке вес танка ИС не более </w:t>
      </w:r>
      <w:r w:rsidRPr="00271E51">
        <w:rPr>
          <w:rStyle w:val="Bodytext145"/>
          <w:i w:val="0"/>
          <w:iCs w:val="0"/>
          <w:color w:val="000000" w:themeColor="text1"/>
          <w:sz w:val="16"/>
          <w:szCs w:val="16"/>
          <w:lang w:val="en-US"/>
        </w:rPr>
        <w:t>KB</w:t>
      </w:r>
      <w:r w:rsidRPr="00271E51">
        <w:rPr>
          <w:rStyle w:val="Bodytext145"/>
          <w:i w:val="0"/>
          <w:iCs w:val="0"/>
          <w:color w:val="000000" w:themeColor="text1"/>
          <w:sz w:val="16"/>
          <w:szCs w:val="16"/>
        </w:rPr>
        <w:t xml:space="preserve">, я показал тов. Сталину на оба танка и обратил его внимание на то, что габариты танка ИС меньше, чем </w:t>
      </w:r>
      <w:r w:rsidRPr="00271E51">
        <w:rPr>
          <w:rStyle w:val="Bodytext145"/>
          <w:i w:val="0"/>
          <w:iCs w:val="0"/>
          <w:color w:val="000000" w:themeColor="text1"/>
          <w:sz w:val="16"/>
          <w:szCs w:val="16"/>
          <w:lang w:val="en-US"/>
        </w:rPr>
        <w:t>KB</w:t>
      </w:r>
      <w:r w:rsidRPr="00271E51">
        <w:rPr>
          <w:rStyle w:val="Bodytext145"/>
          <w:i w:val="0"/>
          <w:iCs w:val="0"/>
          <w:color w:val="000000" w:themeColor="text1"/>
          <w:sz w:val="16"/>
          <w:szCs w:val="16"/>
        </w:rPr>
        <w:t>, и сказал, что за счет этого удалось снизить вес. Тов. Сталин сказал: «Это хорошо».</w:t>
      </w:r>
    </w:p>
    <w:p w14:paraId="3FED8697"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Про машину СУ-85 сказал, что нам надо больше таких машин. «Она легкая, подвижная машина, хорошо прыгает и будет хорошо бить немец</w:t>
      </w:r>
      <w:r w:rsidRPr="00271E51">
        <w:rPr>
          <w:rStyle w:val="Bodytext145"/>
          <w:i w:val="0"/>
          <w:iCs w:val="0"/>
          <w:color w:val="000000" w:themeColor="text1"/>
          <w:sz w:val="16"/>
          <w:szCs w:val="16"/>
        </w:rPr>
        <w:softHyphen/>
        <w:t>ких Тигров и Фердинандов», — сказал тов. Сталин.</w:t>
      </w:r>
    </w:p>
    <w:p w14:paraId="16511930"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Меня поразило то, что тов. Сталин в свои годы так легко залезал на танки без посторонней помощи. Расспрашивал водителей и артиллери</w:t>
      </w:r>
      <w:r w:rsidRPr="00271E51">
        <w:rPr>
          <w:rStyle w:val="Bodytext145"/>
          <w:i w:val="0"/>
          <w:iCs w:val="0"/>
          <w:color w:val="000000" w:themeColor="text1"/>
          <w:sz w:val="16"/>
          <w:szCs w:val="16"/>
        </w:rPr>
        <w:softHyphen/>
        <w:t>стов, удобно ли работать, не тесно ли, не душат ли газы и т.д.» (17484).</w:t>
      </w:r>
    </w:p>
    <w:p w14:paraId="4040011B"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72774B43" w14:textId="77777777" w:rsidR="00E16DD7" w:rsidRPr="00271E51" w:rsidRDefault="00E16DD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 сентября 1943 года в ходе показа в Кремле новых образцов бронетанковой техники лично Сталин поднял вопрос о решении проблемы загазованности. В соответствии с его распоряжением, с 23 сентября на крыше боевого отделения СУ-152 стали устанавливать 2 вентилятора. Всего до конца сентября были сданы 84 машины (17696).</w:t>
      </w:r>
    </w:p>
    <w:p w14:paraId="658F3D1A" w14:textId="77777777" w:rsidR="00E16DD7" w:rsidRPr="00271E51" w:rsidRDefault="00E16DD7" w:rsidP="00271E51">
      <w:pPr>
        <w:pStyle w:val="12a"/>
        <w:shd w:val="clear" w:color="auto" w:fill="auto"/>
        <w:spacing w:after="0" w:line="240" w:lineRule="auto"/>
        <w:jc w:val="both"/>
        <w:rPr>
          <w:color w:val="000000" w:themeColor="text1"/>
          <w:sz w:val="16"/>
          <w:szCs w:val="16"/>
        </w:rPr>
      </w:pPr>
    </w:p>
    <w:p w14:paraId="432800B6" w14:textId="77777777" w:rsidR="00665ECA" w:rsidRPr="00271E51" w:rsidRDefault="00665ECA" w:rsidP="00271E51">
      <w:pPr>
        <w:pStyle w:val="a3"/>
        <w:rPr>
          <w:color w:val="000000" w:themeColor="text1"/>
          <w:lang w:val="ru-RU"/>
        </w:rPr>
      </w:pPr>
      <w:r w:rsidRPr="00271E51">
        <w:rPr>
          <w:color w:val="000000" w:themeColor="text1"/>
          <w:lang w:val="ru-RU"/>
        </w:rPr>
        <w:t>8 сентября 1943 года, шла речь о передаче конструкторскому бюро материалов по проектам самоходных установок на базе Т-34, разрабо</w:t>
      </w:r>
      <w:r w:rsidRPr="00271E51">
        <w:rPr>
          <w:color w:val="000000" w:themeColor="text1"/>
          <w:lang w:val="ru-RU"/>
        </w:rPr>
        <w:softHyphen/>
        <w:t>танных еще в начале 1942 года заводом №221. Тогда БР-ЗЗП и БР-ЗЗГ забраковали как не соответствующие требованиям к истребителям ДОТов. Комичность ситуации заключается в том, что полтора года спу</w:t>
      </w:r>
      <w:r w:rsidRPr="00271E51">
        <w:rPr>
          <w:color w:val="000000" w:themeColor="text1"/>
          <w:lang w:val="ru-RU"/>
        </w:rPr>
        <w:softHyphen/>
        <w:t>стя формулировка кардинально поменялась:</w:t>
      </w:r>
    </w:p>
    <w:p w14:paraId="70B02007"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«ЦАКБ НКВ обратилось в Артиллерийский Комитет ГАУ Красной Ар</w:t>
      </w:r>
      <w:r w:rsidRPr="00271E51">
        <w:rPr>
          <w:i w:val="0"/>
          <w:color w:val="000000" w:themeColor="text1"/>
          <w:sz w:val="16"/>
          <w:szCs w:val="16"/>
        </w:rPr>
        <w:softHyphen/>
        <w:t>мии с просьбой о предоставлении материалов, находящихся в делах Арт</w:t>
      </w:r>
      <w:r w:rsidRPr="00271E51">
        <w:rPr>
          <w:i w:val="0"/>
          <w:color w:val="000000" w:themeColor="text1"/>
          <w:sz w:val="16"/>
          <w:szCs w:val="16"/>
        </w:rPr>
        <w:softHyphen/>
        <w:t>кома, по проектам 152-мм и 203-мм самоходных установок, разработан</w:t>
      </w:r>
      <w:r w:rsidRPr="00271E51">
        <w:rPr>
          <w:i w:val="0"/>
          <w:color w:val="000000" w:themeColor="text1"/>
          <w:sz w:val="16"/>
          <w:szCs w:val="16"/>
        </w:rPr>
        <w:softHyphen/>
        <w:t>ных заводом №221.</w:t>
      </w:r>
    </w:p>
    <w:p w14:paraId="2FC9AB8C"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начале 1942 года заводом №221 были представлены на заключение Артиллерийского Комитета проекты 152-мм и 203-мм самоходных ар</w:t>
      </w:r>
      <w:r w:rsidRPr="00271E51">
        <w:rPr>
          <w:i w:val="0"/>
          <w:color w:val="000000" w:themeColor="text1"/>
          <w:sz w:val="16"/>
          <w:szCs w:val="16"/>
        </w:rPr>
        <w:softHyphen/>
        <w:t>тиллерийских установок на шасси из агрегатов танка "Т-34".</w:t>
      </w:r>
    </w:p>
    <w:p w14:paraId="66C6EF33"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проекты Артиллерийским Комитетом были одобрены, но в силу создавшегося в то время положения осуществить их не представлялось возможным.</w:t>
      </w:r>
    </w:p>
    <w:p w14:paraId="78D37375"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Считая целесообразным и своевременным приступить к разработке новых тяжелых артиллерийских самоходных установок и как один из ва</w:t>
      </w:r>
      <w:r w:rsidRPr="00271E51">
        <w:rPr>
          <w:i w:val="0"/>
          <w:color w:val="000000" w:themeColor="text1"/>
          <w:sz w:val="16"/>
          <w:szCs w:val="16"/>
        </w:rPr>
        <w:softHyphen/>
        <w:t>риантов по схеме, выполненной заводом №221, которую и в настоящее время Артиллерийский Комитет одобряет, прошу вас выдать соответ</w:t>
      </w:r>
      <w:r w:rsidRPr="00271E51">
        <w:rPr>
          <w:i w:val="0"/>
          <w:color w:val="000000" w:themeColor="text1"/>
          <w:sz w:val="16"/>
          <w:szCs w:val="16"/>
        </w:rPr>
        <w:softHyphen/>
        <w:t>ствующее задание ЦАКБ НКВ на выполнение этой работы» (17484).</w:t>
      </w:r>
    </w:p>
    <w:p w14:paraId="630139FA"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411A0A0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4067 [Об уполномоченных ГКО по заготовкам хлеба.] (7138, 67).</w:t>
      </w:r>
    </w:p>
    <w:p w14:paraId="1EFEAE9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7BC1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4068 Об обеспечении оборудованием электростанций, восстанавливаемых в Донбассе и других освобождаемых районах.РГАНИР, Фонд ГКО, д. 150, лл. 68-75, 76-110 (11012).</w:t>
      </w:r>
    </w:p>
    <w:p w14:paraId="45B08BA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AB8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4069 О частичном восстановлении электростанций гор. Харькова.РГАНИР, Фонд ГКО, д. 150, лл. 111-116 (11012).</w:t>
      </w:r>
    </w:p>
    <w:p w14:paraId="67A4770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6EB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Распоряжение ГКО № 4071. О мобилизации 700 чел. в селах и городах Ярославской обл. и направлении 300 военнообязанных, не годных к строевой службе, для работы на Ярославском шинном заводе.РГАНИР, Фонд ГКО, д. 150, лл. 118 (11012).</w:t>
      </w:r>
    </w:p>
    <w:p w14:paraId="1FDEF8D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FBFBFC"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4072 О капитальном ремонте здания Всесоюзного научно-исследовательского института радиолокации. (7138, 119-120).</w:t>
      </w:r>
    </w:p>
    <w:p w14:paraId="28FEC3C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93282"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6038C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58A3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оперативная сводка Совинформбюро:</w:t>
      </w:r>
    </w:p>
    <w:p w14:paraId="28344117"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сентября в Донбассе наши войска продолжали успешно развивать наступление и, продвинувшись вперёд от 15 до 20 километров, овладели областным центром Донбасса — городом Сталино, городом и железнодорожным узлом Красноармейское, городом и крупным железнодорожным узлом Ясиноватая, городом Ново-Экономическое, районным центром Авдеевка, районным центром Селидовка, а также заняли свыше 150 других населённых пунктов, в том числе крупные населённые пункты Малая Камышеваха, Явленская, Золотой Колодезь, Владимировка, Красное, Гришино, Николаевка, Гродовка, Ясиновка, Александро-Григорьевка и железнодорожные станции Мерцалово, Гродовка, Желанное, Галушкино.</w:t>
      </w:r>
    </w:p>
    <w:p w14:paraId="77B1D26A"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Бахмачском направлении наши войска продолжали наступление и, продвинувшись вперёд от 10 до 12 километров, заняли свыше 60 населённых пунктов, в том числе город Черниговской области Борзна и крупные населённые пункты Ятуды, Коношевка, Шаповаловка, Сосновка, Гиревка, Чернече, Бижевка.</w:t>
      </w:r>
    </w:p>
    <w:p w14:paraId="7BE21C26"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продвинулись вперед до 10 километров и заняли несколько населённых пунктов.</w:t>
      </w:r>
    </w:p>
    <w:p w14:paraId="2C5ED085"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Харькова наши войска продолжали наступление и, продвинувшись на отдельных участках вперёд от 5 до 6 километров, заняли несколько населённых пунктов.</w:t>
      </w:r>
    </w:p>
    <w:p w14:paraId="4C725BC0"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вести бои по улучшению занимаемых позиций.</w:t>
      </w:r>
    </w:p>
    <w:p w14:paraId="5A36C1FF"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сентября на всех фронтах наши войска подбили и уничтожили 93 немецких танка. В воздушных боях и огнём зенитной артиллерии сбито 118 самолётов противника.</w:t>
      </w:r>
    </w:p>
    <w:p w14:paraId="01BD270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Донбассе наши войска, развивая успешное наступление, овладели центромДонбасса — городом Сталине, городом и железнодорожным узлом Красноармейское, городом и крупным узлом железных дорог Ясиноватая, городом Ново-Экономическое, районными центрами Авдеевка, Селидовка, а также заняли свыше 150 других населённых пунктов. Донецкий бассейн — важнейший угольный и промышленный центр советской страны — освобождён от немецких оккупантов. Прошлой ночью и сегодня утром наши войска вели ожесточённые бои на подступах к городу Сталино. Противник оказывал упорное сопротивление. Советские войска совершили умелый манёвр, стремительно продвинулись севернее и южнее Сталино, а затем штурмом ворвались в город. В ожесточённых уличных боях наши бойцы разгромили противника и полностью очистили от немецко-фашистских захватчиков город Сталино. Нашими войсками захвачены трофеи, в числе которых много орудий, миномётов, крупные склады боеприпасов и различных военных материалов.</w:t>
      </w:r>
    </w:p>
    <w:p w14:paraId="508F3E1D"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Наши войска, действующие юго-западнее Константиновки, быстро продвигаясь вперёд, вышли к городу Красноармейское. Противник пытался задержаться на этом рубеже, но был разгромлен и выбит из города нашими танкистами. На аэродроме в городе Красноармейское захвачено 19 немецких самолётов. Захвачены также несколько железнодорожных составов с военной техникой противника.</w:t>
      </w:r>
    </w:p>
    <w:p w14:paraId="224EC112"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воздушных боях сбили 25 немецких самолётов. Наша авиация наносила удары по вражеским аэродромам. Сброшенными бомбами, а также пушечным и пулемётным огнём разбито и сожжено более 40 самолётов противника.</w:t>
      </w:r>
    </w:p>
    <w:p w14:paraId="4251948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Бахмачском направлении наши войска, тесня противника и уничтожая его живую силу и технику, заняли несколько населённых пунктов, в том числе районный центр Черниговской области город Борзна. В бою за один пункт, упорно оборонявшийся противником, истреблено свыше 1.000 немецких солдат и офицеров и взято 150 пленных. Захвачены крупные продовольственные склады и большое количество боеприпасов. На другом участке частями Н-ского соединения полностью уничтожен батальон гитлеровцев, пытавшихся задержаться на выгодных позициях. Наши бойцы обошли, а затем стремительным ударом разгромили противника. Захвачено всё вооружение разбитого батальона гитлеровцев.</w:t>
      </w:r>
    </w:p>
    <w:p w14:paraId="4EBCA3DD"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наступление. Бойцы Н-ского соединения, овладев городом Навля, действуя в сплошных лесных массивах, проникают на фланги и в тылы противника и наносят ему тяжёлые удары. За день боёв уничтожено 1.200 немецких солдат и офицеров. Захвачены 25 орудий и другие трофеи. Западнее Хутор Михайловский наши войска, преследуя противника, продвигались вперёд и заняли несколько населённых пунктов. Истреблено до батальона немецкой пехоты. Захвачены 6 орудий, 26 пулемётов и склад с горючим.</w:t>
      </w:r>
    </w:p>
    <w:p w14:paraId="35E7296E"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Харькова наши войска продолжали наступление и заняли несколько населённых пунктов. Противник бросил в контратаки танковые части. В ожесточённыхбоях нашими танкистами и артиллерийским огнём подбито и сожжено 32 немецких танка, 9 самоходных орудий и уничтожено до 800 гитлеровцев.</w:t>
      </w:r>
    </w:p>
    <w:p w14:paraId="002D3A2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преодолевая сопротивление немцев, продвинулись вперёд и овладели рядом опорных пунктов. Бойцы Н-ской части истребили 400 гитлеровцев, захватили 7 орудий, 30 пулемётов, 2 радиостанции и вещевой склад.</w:t>
      </w:r>
    </w:p>
    <w:p w14:paraId="621BBD4F"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веди активные боевые действия. ЗападнееДорогобужа батальон немецкой пехоты при поддержке танков предпринял контратаку против Н-ской части, овладевшей накануне высотой, имеющей важное значение. Пехота и танки противника были встречены сильным огнём нашей противотанковой артиллерии и пехоты. Потеряв три танка и более 200 солдат и офицеров убитыми, немцы отошли на исходные позиции. Юго-западнее Ельни наши войска заняли несколько высот и выгодных рубежей. Истреблено до 600 немецких солдат и офицеров. Захвачены трофеи, в числе которых 6 орудий и склад боеприпасов. Взяты пленные.</w:t>
      </w:r>
    </w:p>
    <w:p w14:paraId="5D3A57D1"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Баренцевом море потопила два немецких транспорта общим водоизмещением в 10.000 тонн. Третьему транспорту противника нанесены серьёзные повреждения. Караван немецких транспортов прикрывался большим числом самолётов. Наши лётчики в воздушных боях сбили 10 самолётов противника. Наши потери — 2 самолёта.</w:t>
      </w:r>
    </w:p>
    <w:p w14:paraId="2247C62B"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Краснознамённого Балтийского флота в Финском заливе потопила сторожевой корабль и минный заградитель противника. В воздушных боях сбито 7 немецких самолётов.</w:t>
      </w:r>
    </w:p>
    <w:p w14:paraId="368A1FE9"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партизан отряда имени Лазо, действующего в Орловской области, пустила под откос немецкий воинский эшелон. В результате крушения разбит паровоз, 13 платформ с танками и орудиями и 4 вагона с солдатами и офицерами. Движение поездов на этом участке железной дороги прервано. Партизаны отряда имени Жданова взорвали 3 немецких автомашины. Убито 20 гитлеровцев.</w:t>
      </w:r>
    </w:p>
    <w:p w14:paraId="6BF701A3"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4 роты 317 полка 211 немецкой пехотной дивизии лейтенант Ганс Розенбаум рассказал: «В середине августа на собрании офицеров 317 полка выступил с речью командир полка подполковник Флинцер. Он заявил, что получен приказ Гитлера, в котором предлагается во что бы то ни стало удерживать позиции. Далее Флинцер говорил, что Восточный фронт по-прежнему остаётся решающим фронтом, и категорически потребовал рассеять вздорные слухи об отводе дивизии на отдых во Францию. Он подчеркнул, что в такой критический для немецкой армии момент не может быть и речи об отдыхе. Напротив, мы получаем, и впредь будем получать пополнения из запасных частей, расквартированных в оккупированных странах. В конце собрания был зачитан приказ командующего 2-й армией. В приказе были названы фамилии пяти офицеров, присуждённых к расстрелу за трусость и недостойное поведение в бою, и 15 офицеров, приговорённых к тюремному заключению на длительные сроки за пораженческие взгляды» (14763).</w:t>
      </w:r>
    </w:p>
    <w:p w14:paraId="7E06BBCD"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635FB5C2"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приказом наркома обороны СССР в списки 1-й роты 254-го гвардейского стрелкового полка навечно зачислен Герой Советского Союза гвардии рядовой А.М.Матросов. Это был первый в истории Отечественной войны приказ о зачислении навечно в списки частей воинов, совершивших выдающиеся подвиги (14763).</w:t>
      </w:r>
    </w:p>
    <w:p w14:paraId="69CCD147"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7185900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 Командир корпуса для решения этой уничтежения моста через Днепр у Днепропетровска приказал выделить две эскадрильи - подразделение 82-го гв. бап должен был вести ст. лейтенант Скоробогатов, 854-го бап - подполковник А.А. Новиков. Все 18 экипажей считались хорошо подготовленными, имели достаточную практику действий с пикирования по объектам ограниченных размеров. В отчете отмечалось, что, учитывая важность поставленной задачи и сложность ее выполнения, были продуманы многие вопросы, начиная с тактики нападения и заканчивая отдыхом авиаторов.</w:t>
      </w:r>
    </w:p>
    <w:p w14:paraId="2BF2F9F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отработки четкого перестроения в кильватерную колонну для действий с пикирования по одному и парой, а также быстрого пристраивания к группе после вывода машин в горизонтальный полет полковник И.С. Полбин провел 28 августа учение, состоящее из теоретических занятий и практических полетов. Он добивался от подчиненных строгого соблюдения заданных режимов полета, умения набирать высоту на режиме максимальной скороподъемности, выдерживания строя на 5000 м и выше. Кроме того, отрабатывались перестроения боевых порядков "пешек" для действий с пикирования, сбор группы в условиях сильного противодействия истребителей противника, навыки по выполнению противозенитного маневра, было проверено управление группой по радио.</w:t>
      </w:r>
    </w:p>
    <w:p w14:paraId="236D479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разбора учения командир корпуса 5 сентября лично выполнил показательный полете четырьмя ведомыми, включая Скоро- богатова и Новикова. На следующий день в штаб корпуса поступил приказ из штаба 5-й ВА с постановкой боевой задачи по уничтожению двух важных мостов. В документе указывалось, чтоЗОЛа-5 из 4-го иак должны обеспечить сопровождение бомбардировщиков, а от штурмовиков и легких ночных бомбардировщиков требовалось ударами по выявленным неприятельским аэродромам сковать силы Люфтваффе на данном направлении. Истребители заблаговременно перелетели на аэродром подскока около Харькова, а материальная часть самолетов Пе-2 была тщательно проверена на земле и в воздухе.</w:t>
      </w:r>
    </w:p>
    <w:p w14:paraId="326015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8 сентября группа вылетела на задание. Пройдя линию фронта и выйдя к Днепропетровску, пикировщики, сопровождаемые сильным эскортом, внезапно для неприятеля появились в районе цели. Как на полигоне они выполнили атаку с пикирования под углом 60° и доложили: достигнуто шесть прямых попаданий. После дешифрирования снимков офицеры штаба установили только два попадания в юго-восточный мост, который, однако, получил лишь незначительные повреждения, в то время как северо-западный мост вовсе не пострадал.</w:t>
      </w:r>
    </w:p>
    <w:p w14:paraId="2B31C1F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"Мессершмитты" патрулировали значительно ниже нашей группы и не успели ее обнаружить, а зенитки открыли огонь с большим опозданием. Все наши самолеты благополучно вернулись на аэродромы, ни один из них не получил повреждений. По мнению командования, тщательность и всесторонняя подготовка вылета заслуживали всяческого поощрения, этот опыт надлежало внедрять во все части Военно-воздушных сил.</w:t>
      </w:r>
    </w:p>
    <w:p w14:paraId="2EEB5F8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Впрочем, результаты вылета могли быть гораздо более весомыми, если бы не серьезные просчеты при его тыловом обеспечении. Отсутствие запаса отечественных бомб крупного калибра в батальонах аэродромного обслуживания района авиационного базирования, обеспечивавшего 1-й бак, вынудил вместо трех ФАБ-250 подвесить на каждый самолет по две трофейные авиабомбы SD250. Последние пришлось срочно оснастить взрывателями от отечественных ФАБ-100. Как удалось установить, 8 сентября многие сброшенные бомбы не взорвались (12042).</w:t>
      </w:r>
    </w:p>
    <w:p w14:paraId="16BB7683"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советские войска освободили Сталино (Донецк) (4962).</w:t>
      </w:r>
    </w:p>
    <w:p w14:paraId="30BE3E3B"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6319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КА полностью освободила Донецкий бассейн (2262) и Сталино (Донецк) (3481).</w:t>
      </w:r>
    </w:p>
    <w:p w14:paraId="2488D3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7312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 вышел ПРИКАЗ О ПРЕМИРОВАНИИ ЛИЧНОГО СОСТАВА ВОЙСКОВЫХ ТРАКТОРНО-РЕМОНТНЫХ ЧАСТЕЙ И ПОДРАЗДЕЛЕНИЙ ЗА БЫСТРЫЙ И КАЧЕСТВЕННЫЙ РЕМОНТ ТРАКТОРОВ № 272</w:t>
      </w:r>
    </w:p>
    <w:p w14:paraId="5065308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ускорения и повышения качества ремонта тракторного парка фронтов в войсковых, армейских и фронтовых ремонтно-восстановительных частях и подразделениях приказываю:</w:t>
      </w:r>
    </w:p>
    <w:p w14:paraId="5504A8C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Ввести с 1 сентября 1943 г. систему премирования денежной наградой личного состава врйсковых, армейских и фронтовых ремонтно-восстановительных частей и подразделений за качественное производство текущих, средних и капитальных ремонтов тракторов в установленные вышестоящим командованием сроки:</w:t>
      </w:r>
    </w:p>
    <w:p w14:paraId="2ECCAB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Текущий ремонт Средний ремонт Капитальный ремонт</w:t>
      </w:r>
    </w:p>
    <w:p w14:paraId="7CEC42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За каждый отремонтированный трактор “Ворошиловец” и иностранной марки 150 руб 400 руб </w:t>
      </w:r>
    </w:p>
    <w:p w14:paraId="0EB9F9F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каждый отремонтированный трактор ЧТЗ-60, ЧТЗ-65 “Коминтерн” 100 ” 300 ” 600руб.</w:t>
      </w:r>
    </w:p>
    <w:p w14:paraId="0FB85ED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За каждый отремонтированный трактор СТЗ-3, СТЗ-5 75 ” 200 ” 400 ”</w:t>
      </w:r>
    </w:p>
    <w:p w14:paraId="2F1A2DB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каждый отремонтированный трофейный трактор 100 ” 300 ” 500 ”</w:t>
      </w:r>
    </w:p>
    <w:p w14:paraId="1A58FC15"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Денежные награды выдавать один раз в месяц по представлении отчета и утверждении его вышестоящим начальником.</w:t>
      </w:r>
    </w:p>
    <w:p w14:paraId="62CB7E5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Денежные награды распределяются:</w:t>
      </w:r>
    </w:p>
    <w:p w14:paraId="33BB42E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 менее 70 % общей суммы — для награждения личного состава ремонтной части или подразделения, непосредственно производившего ремонт, а также трактористов, участвовавших в ремонте тракторов;</w:t>
      </w:r>
    </w:p>
    <w:p w14:paraId="3202433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 более 5 % общей суммы — для награждения начальника ремонтной части (подразделения).</w:t>
      </w:r>
    </w:p>
    <w:p w14:paraId="1BD9E17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 награды начальнику ремонтной части (подразделения) определяется командующим артиллерией фронта (армии) и оформляется его приказом;</w:t>
      </w:r>
    </w:p>
    <w:p w14:paraId="10AB3A1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25 % суммы премии распределяется начальником ремонтной части среди остального офицерского, сержантского и рядового состава части.</w:t>
      </w:r>
    </w:p>
    <w:p w14:paraId="13E076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Определение лиц, которым выдается вознаграждение, и его размер производится начальником ремонтной части в зависимости от участия в работе по ремонту тракторов и качества ремонта. Премированные лица объявляются приказом по части.</w:t>
      </w:r>
    </w:p>
    <w:p w14:paraId="252DCBF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Расходы по премированию относить на средства сметы НКО, предназначенные на ремонт тракторов (§21, статья 78 или § 22 статья 39, в зависимости от места ремонта).</w:t>
      </w:r>
    </w:p>
    <w:p w14:paraId="68F570B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За особые успехи в деле восстановления тракторов, кроме денежной награды, личный состав ремонтных частей и подразделений, проявивший себя при выполнении заданий, представляется к правительственной награде.</w:t>
      </w:r>
    </w:p>
    <w:p w14:paraId="2AF1A44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Объявить настоящий приказ всему личному составу войсковых частей и ремонтных органов фронтов.</w:t>
      </w:r>
    </w:p>
    <w:p w14:paraId="1337E71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обороны Маршал Советского Союза И. СТАЛИН (10691).</w:t>
      </w:r>
    </w:p>
    <w:p w14:paraId="62A88EF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20D2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4070 О формировании для истребительной авиации противовоздушной обороны Красной Армии сорока двух аэродромно-технических рот.РГАНИР, Фонд ГКО, д. 150, лл. 117 (11012).</w:t>
      </w:r>
    </w:p>
    <w:p w14:paraId="534030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5085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Вечером 8 сентября 1943 пассажирский пароход «Карл Либкнехт» достиг пристани Черный Яр, где Гудович получил приказ взять под борт большую порожнюю деревянную баржу и дотянуть ее до Сталинграда. Когда уже начало темнеть, корабль отправился дальше вверх по течению. Ночью погода испортилась, подул сильный ветер, а небо почти слилось с рекой. Бакенов, обозначавших фарватер своими тусклыми лампочками, почти не было видно. Управление судном сильно ухудшилось, т.к. прицепленная с борта баржа не имела рулевого пера, а длина ее в полтора раза превышала габариты «Карла Либкнехта». «Дали же нагрузочку!' — нервничал капитан. – Урод, а не судно!». В конце августа 1943 пассажирский пароход «Карл Либкнехт», ведомый капитаном Леонидом Гудовичем, завершив очередной рейс, прибыл в Астрахань. После высадки пассажиров команда узнала, что их судно встает на размагничивание. Пароход отошел в район Дурновского острова, где его с помощью носового и кормового якорей поставили чуть ли не поперек реки, строго по компасу, осью в направлении с севера на юг. По распоряжению инженеров члены команды погрузили в судовую лодку огромную бухту медного провода и опоясали им корпус. Подвесили провод на пеньковые веревки у каждого иллюминатора и пустили по нему электрический ток. По команде провод одновременно погружали и вынимали из воды. Инженеры то и дело включали какие-то переносные приборы, а затем снова и снова заставляли погружать провод в воду, поднимать над поверхностью на единую высоту по всей почти 200-метровой длине. Эта томительная, тяжелая работа заняла шесть часов. После чего капитану сказали, что отныне судно застраховано от мин. Затем «Карл Либкнехт» вернулся в порт, где взял на борт около 500 пассажиров, и отправился в путь вверх по Волге. Так, медленно перекатываясь с волны на волну, пароход сквозь туман шел к Сталинграду. Пассажиры в основном отдыхали в каютах, матросы курили на палубах, и периодически мутную воду освещали падающие в нее окурки. Пароход миновал Крымский перекат, как его вдруг сотряс страшной силы взрыв. Один из членов судовой команды потом вспоминал: «Долго не мог я уснуть, невольно прислушиваясь к натужному реву перегруженных дизелей, к свисту ветра и плеску воды за окном, под бортом. Только, кажется, забылся, как теплоход встряхнуло с невообразимым треском и грохотом. Вместе с обломками каюты сколько-то времени летел я во тьме и наконец упал в студеную воду».  Корабль стал быстро крениться на левый борт, на нем рухнули носовые надстройки, над почти невидимой во тьме рубкой поднимались клубы пара и дыма. Успевшие выбраться на палубу пассажиры тут же начали прыгать за борт в темную волжскую воду. Пароход тем временем быстро погружался, но вскоре сел на дно, затонув по верхний тент.  К счастью, в момент катастрофы в нескольких километрах от тонущего судна оказался пароход «Манычстрой». Сразу же после взрыва капитан Шитов отдал буксир своего каравана и поспешил к месту происшествия. Команде удалось спасти около 100 пассажиров, находившихся на полузатонувшей деревянной барже. Еще несколько десятков людей сумели сами вплавь добраться до берега. Тем не менее около 350 человек утонули, погибла почти вся машинная команда, многие из палубных матросов. Капитан Гудович получил тяжелые ранения [194] . Трупы извлекались из реки еще в течение десяти дней после трагедии. Комиссия по расследованию гибели судна сделала вывод, что причиной гибели «Карла Либкнехта», флагмана волжского пассажирского флота, стала акустическая мина с кратным взрывателем. Это была последняя жатва, собранная «адскими машинами» Люфтваффе на Волге. Тем не менее и в последующие годы все речники с опаской проходили участок Саратов – Астрахань.</w:t>
      </w:r>
    </w:p>
    <w:p w14:paraId="506ECD1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00956"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332F1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62AE25"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вышло Постановление ГКО № 4066 [Об увеличении мощности ламп в светомаскировочном освещении Москвы до 25 вт.] (7138, 66).</w:t>
      </w:r>
    </w:p>
    <w:p w14:paraId="58BF72D1" w14:textId="77777777" w:rsidR="00BA7A65" w:rsidRPr="00271E51" w:rsidRDefault="00BA7A65"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A4B0A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Архиерейский собор РПЦ избрал новым патриархом Московским и всея Руси митрополита Сергия. Это было первое после смерти Тихона избрание патриарха (3186).</w:t>
      </w:r>
    </w:p>
    <w:p w14:paraId="201A437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A56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митрополит Алексий (Симанский) выступил в Москве на соборе епископов со словом Долг христианина перед Церковью и Родиной в эпоху АОВ и его избрали ПВР (3398,322).</w:t>
      </w:r>
    </w:p>
    <w:p w14:paraId="7DF5C13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2752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было выступление митрополита Алексия о долге христианина в войне (2990).</w:t>
      </w:r>
    </w:p>
    <w:p w14:paraId="71565F0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81F95"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в этот день митрополит Алексий (Симанский) выступил в Москве на соборе епископов со словом «Долг христианина перед Церковью и Родиной в эпоху Отечественной войны». На этом соборе митрополит Сергий (Страгородский) избран патриархом Московским и Всея Руси. Собор также постановил: "Всякий виновный в измене церковному делу и перешедший на сторону фашизма, как противник Креста Господня" (14763).</w:t>
      </w:r>
    </w:p>
    <w:p w14:paraId="163045D0"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54F2F64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8 и 14 сентября 1943. Из протокола заседания Политбюро N 41, 1943 г.</w:t>
      </w:r>
    </w:p>
    <w:p w14:paraId="07DE1693"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приеме детей 7-летнего возраста в школы </w:t>
      </w:r>
    </w:p>
    <w:p w14:paraId="6E14BBA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Ввести повсеместно с 1944-45 учебного года обязательное обучение детей семилетнего возраста в начальных, неполных средних и средних школах (11652).</w:t>
      </w:r>
    </w:p>
    <w:p w14:paraId="2C6FBCA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42090"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482175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C74FE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года</w:t>
      </w:r>
    </w:p>
    <w:p w14:paraId="4252550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ПОСЛАНИЕ ОТ ПРЕМЬЕР-МИНИСТРА г-на УИНСТОНА ЧЕРЧИЛЛЯ МАРШАЛУ И. В. СТАЛИНУ</w:t>
      </w:r>
    </w:p>
    <w:p w14:paraId="6B95834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Сообщения, полученные от генерала Эйзенхауэра, показывают, что итальянцы имеют основание полагать, что немцы могут прибегнуть к газовой войне против Италии, если она отойдет от держав оси.</w:t>
      </w:r>
    </w:p>
    <w:p w14:paraId="61DB07EC"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Президент и я согласились с тем, что генерал Эйзенхауэр должен сделать специальное предупреждение немцам в отношении ответных мер, которых они могут ожидать, если они позволят себе эту форму ведения войны.</w:t>
      </w:r>
    </w:p>
    <w:p w14:paraId="2ACBD8C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Ввиду срочности этого вопроса не было времени посоветоваться с Вами заранее, но, принимая во внимание Вашу позицию в предшествующем случае, мы уверены, что Вы согласитесь (7430).</w:t>
      </w:r>
    </w:p>
    <w:p w14:paraId="69472CC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E48E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года</w:t>
      </w:r>
    </w:p>
    <w:p w14:paraId="6F909C7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ПРЕМЬЕРА И. В. СТАЛИНА ПРЕМЬЕР-МИНИСТРУ г. У. ЧЕРЧИЛЛЮ</w:t>
      </w:r>
    </w:p>
    <w:p w14:paraId="19D052E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Получил Ваше послание от 8 сентября, в котором Вы сообщаете о данных Вами и Президентом указаниях генералу Эйзенхауэру сделать предупреждение немцам об ответных мерах, которые они могут ожидать, если они позволят себе прибегнуть к газовой войне против Италии.</w:t>
      </w:r>
    </w:p>
    <w:p w14:paraId="680A6779"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Со своей стороны я также считаю эти указания правильными и не имею возражений против того, что Вами и Президентом уже даны соответствующие указания (7430).</w:t>
      </w:r>
    </w:p>
    <w:p w14:paraId="7230863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8DB9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 Япония и подтвердила свои обязательства по "Тройственному пакту", она одновременно дала разъяснения Советскому Союзу относительно своей приверженности советско-японскому пакту о нейтралитете 1941 г. Одновременно по настоянию СССР Япония согласилась начать обсуждение практических вопросов, связанных с ликвидацией ее концессий на Северном Сахалине и пересмотром условий советско-японской рыболовной конвенции с учетом новых условий, выдвинутых Советским Союзом.</w:t>
      </w:r>
    </w:p>
    <w:p w14:paraId="652D2F4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СССР не намеревался обострять свои отношения с Токио. Москва не была готова к войне против Японии и не собиралась в нее втягиваться. В этом вопросе между США и СССР не было единства (3871).</w:t>
      </w:r>
    </w:p>
    <w:p w14:paraId="117CC26B"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B38BE" w14:textId="77777777" w:rsidR="00BA7A6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CFCC1DD"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93EC86"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сентября 1943 первый полет Дорнье До 317 (20376).</w:t>
      </w:r>
    </w:p>
    <w:p w14:paraId="28E5B72F" w14:textId="77777777" w:rsidR="00EA65E0" w:rsidRPr="00271E51" w:rsidRDefault="00EA65E0" w:rsidP="00271E51">
      <w:pPr>
        <w:spacing w:after="0" w:line="240" w:lineRule="auto"/>
        <w:jc w:val="both"/>
        <w:rPr>
          <w:rFonts w:ascii="Times New Roman" w:hAnsi="Times New Roman"/>
          <w:color w:val="0070C0"/>
          <w:sz w:val="16"/>
          <w:szCs w:val="16"/>
        </w:rPr>
      </w:pPr>
    </w:p>
    <w:p w14:paraId="3896DED9"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сентября 1943 немецкая авиация атакует конвои союзников к югу от Сицилии, потопив десантный корабль и повредив другие корабли (20376).</w:t>
      </w:r>
    </w:p>
    <w:p w14:paraId="0EEFFB62" w14:textId="77777777" w:rsidR="00EA65E0" w:rsidRPr="00271E51" w:rsidRDefault="00EA65E0" w:rsidP="00271E51">
      <w:pPr>
        <w:spacing w:after="0" w:line="240" w:lineRule="auto"/>
        <w:jc w:val="both"/>
        <w:rPr>
          <w:rFonts w:ascii="Times New Roman" w:hAnsi="Times New Roman"/>
          <w:color w:val="0070C0"/>
          <w:sz w:val="16"/>
          <w:szCs w:val="16"/>
        </w:rPr>
      </w:pPr>
    </w:p>
    <w:p w14:paraId="278B9C32"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сентября 1943 131 B-17 Летающие Крепости провели бомбежку штаба фельдмаршал Альберта Кессельринга в Фраскати, Италия, погибли 485 мирных жителей. Провозглашается капитуляция Италии перед союзниками (29376).</w:t>
      </w:r>
    </w:p>
    <w:p w14:paraId="31F3E97B" w14:textId="77777777" w:rsidR="00EA65E0" w:rsidRPr="00271E51" w:rsidRDefault="00EA65E0" w:rsidP="00271E51">
      <w:pPr>
        <w:spacing w:after="0" w:line="240" w:lineRule="auto"/>
        <w:jc w:val="both"/>
        <w:rPr>
          <w:rFonts w:ascii="Times New Roman" w:hAnsi="Times New Roman"/>
          <w:color w:val="0070C0"/>
          <w:sz w:val="16"/>
          <w:szCs w:val="16"/>
        </w:rPr>
      </w:pPr>
    </w:p>
    <w:p w14:paraId="7550D9D0"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8–9 сентября (ночь) 1943 американские самолеты впервые участвуют в ночном налете бомбардировочного командования Великобритании, когда пять B-17 «Летающих крепостей» ВВС США вместе с 257 британскими бомбардировщиками атакуют немецкую артиллерийскую позицию дальнего действия в Булони, Франция. Орудия не повреждено. Все бомбардировщики благополучно возвращаются (20376).</w:t>
      </w:r>
    </w:p>
    <w:p w14:paraId="39C1015D" w14:textId="77777777" w:rsidR="00EA65E0" w:rsidRPr="00271E51" w:rsidRDefault="00EA65E0" w:rsidP="00271E51">
      <w:pPr>
        <w:spacing w:after="0" w:line="240" w:lineRule="auto"/>
        <w:jc w:val="both"/>
        <w:rPr>
          <w:rFonts w:ascii="Times New Roman" w:hAnsi="Times New Roman"/>
          <w:color w:val="0070C0"/>
          <w:sz w:val="16"/>
          <w:szCs w:val="16"/>
        </w:rPr>
      </w:pPr>
    </w:p>
    <w:p w14:paraId="17A62A68"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фашистами казнен чешский журналист Юлиус Фучик (14763).</w:t>
      </w:r>
    </w:p>
    <w:p w14:paraId="5CB59991"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3DD13BF3" w14:textId="77777777" w:rsidR="003524CF" w:rsidRPr="00271E51" w:rsidRDefault="003524C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фашистами казнен чешский журналист Ю. Фучик (4962).</w:t>
      </w:r>
    </w:p>
    <w:p w14:paraId="1EF59ED0" w14:textId="77777777" w:rsidR="003524CF" w:rsidRPr="00271E51" w:rsidRDefault="003524C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A5A9E"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был казнен Юлиус Фучик (3263,500).</w:t>
      </w:r>
    </w:p>
    <w:p w14:paraId="06D33D10"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A443C"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генерал Эйзенхауэр сообщает о безоговорочной капитуляции Италии (3 сентября) (14763).</w:t>
      </w:r>
    </w:p>
    <w:p w14:paraId="00789F32"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2E7FFC22"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итальянцы передали, что они не могут даже объявить о капитуляции ввиду присутствия германских войск под Римом.</w:t>
      </w:r>
    </w:p>
    <w:p w14:paraId="7EF87C51"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 Эйзенхауэр отговорок больше слушать не пожелал. Он объявил о капитуляции Италии. Большая часть итальянского флота отправилась сдаваться на Мальту, неся при этом тяжелые потери от атак германской авиации (3871).</w:t>
      </w:r>
    </w:p>
    <w:p w14:paraId="1DC61E36"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1B35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September 1943 Italy surrenders unconditionally (270).</w:t>
      </w:r>
    </w:p>
    <w:p w14:paraId="0EC9F3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FB96F"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8 сентября 1943 Италия безоговорочно сдалась (270) и армия была разоружена (2246,5). КапитуляциябылаобъявленаЭезенхауэроми</w:t>
      </w:r>
      <w:r w:rsidRPr="00271E51">
        <w:rPr>
          <w:rFonts w:ascii="Times New Roman" w:hAnsi="Times New Roman"/>
          <w:color w:val="000000" w:themeColor="text1"/>
          <w:sz w:val="16"/>
          <w:szCs w:val="16"/>
          <w:lang w:val="en-US"/>
        </w:rPr>
        <w:t xml:space="preserve"> Badoglio (2262).</w:t>
      </w:r>
    </w:p>
    <w:p w14:paraId="48C9D727"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4FC884"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8, 1943: German reserves are rushed to Italy in the wake of the ceasefire between the Badoglio government and the Allies (3819).</w:t>
      </w:r>
    </w:p>
    <w:p w14:paraId="49CC1F28"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D42C02"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корсиканский комитет Национального Фронта Франции отдал приказ о начале вооруженного восстания (14763).</w:t>
      </w:r>
    </w:p>
    <w:p w14:paraId="04A9177B"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65F6797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итальянское правительство маршала Бадольо заключило перемирие с союзниками. В тот же день немецкие войска оккупировали Рим, а Бадольо бежал на юг Италии. Освобожденный ими Муссолини возглавляет марионеточную республику на севере страны. Начинается партизанское движение против оккупантов и итальянских фашистов (14763).</w:t>
      </w:r>
    </w:p>
    <w:p w14:paraId="3B9F85E7"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71E0D26C"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немцы оккупировали Италию (3481).</w:t>
      </w:r>
    </w:p>
    <w:p w14:paraId="58F55B77"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2C32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г., вслед за сообщением о перемирии по радио, командующий флотом адмирал Бергамини получил приказ немедленно следовать в Ла-Маддалену и ожидать там “дополнительных указаний”. Выход задержался до 03:00 9 сентября. К 15:10 корабельное соединение в составе трёх линкоров, шести крейсеров. 14 эсминцев и миноносцев находилось уже вблизи пролива Бонифачо. Первый удар по кораблям бывшего союзника нанесли обычные германские бомбардировщики, которые безрезультатно сбросили бомбы с высоты 5000 - 6000 м. Появление еще одной группы самолетов. шедших на большой высоте, не вызвало особого беспокойства у итальянских моряков. Однако то, что произошло дальше, превзошло самые плохие предположения... А 15:40 самолнт командира группы м Йопе атаковал и добился попадания корму линкора “Рома”. Тяжелая бронебойная бомба прошила корабль насквозь и взорвалась под ним в районе котельных отделений №7 и №8, что существенно снизило ход итальянского корабля. Однотипный с “Ромой” линкор “Италия” также получил прямое попадание. Бомба, прошив две броневые палубы и обшивку противоположного борта, также взорвалась уже в воде. Через пробоину внутрь поступило несколько тысяч тонн воды, но корабль лишь незначительно осел на нос и впоследствии смог своим ходом дойти до Мальты. Спустя десять минут последовало еще одно попадание - з среднюю часть корпуса линкора “Рома”. Бомба разорвалась в нижней средней части носового машинного отделения и стала гибельной для итальянского флагмана. Была разрушена броневая защита погреба боезапаса 6-дюймовых снарядов, который тут же сдетсниро-вал. Этот взрыв в свою очередь вызвыл детонацию артпогребов носовых башен главного калибра. Корабль окончательно потерял ход и стал стремительно заполняться водой. Отчаянные усилия экипажа в борьбе за живучесть не дали результатов. Корпус -Ромы” переломился. В 16:18 линкор затонул, увлекая с собой на дно адмирала Бергамини и 1250 членов экипажа. Так всего лишь одинадцати бомбардировщикам Do217 удалось добиться крупнейшего успеха, выпавшего на долю Люфтваффе во Второй Мировой войне. Конечно, здесь присутствовал немалый элемент везения (состоявшаяся вечеоом атака второй ударной волны из семи Do217 прошла безрезультатно), сыграло, безусловно, свою роль высокое мастерство штурмана унтер-офицера Ойгена Дегана из экипажа обер-фельдфебеля Курта Штайнборна, нанесшего роковой удар итальянскому флагманскому линкору. Но главное состояло в конструкции самих авиабомб - планирующих и управляемых с самолета-носителя по радио (9524).</w:t>
      </w:r>
    </w:p>
    <w:p w14:paraId="65C6016A" w14:textId="77777777" w:rsidR="00BA7A65" w:rsidRPr="00271E51" w:rsidRDefault="00BA7A6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13392"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погиб в фашистском концлагере Яков Иосифович Джугашвили (родился 19 марта 1907), старший сын И.В.Сталина (14763).</w:t>
      </w:r>
    </w:p>
    <w:p w14:paraId="12944FBE"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5EC3EE7C" w14:textId="77777777" w:rsidR="003524CF" w:rsidRPr="00271E51" w:rsidRDefault="00352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в 1943 году рейд германской боевой группы на Шпицберген (14763).</w:t>
      </w:r>
    </w:p>
    <w:p w14:paraId="1DA0E94F" w14:textId="77777777" w:rsidR="003524CF" w:rsidRPr="00271E51" w:rsidRDefault="003524CF" w:rsidP="00271E51">
      <w:pPr>
        <w:spacing w:after="0" w:line="240" w:lineRule="auto"/>
        <w:jc w:val="both"/>
        <w:rPr>
          <w:rFonts w:ascii="Times New Roman" w:hAnsi="Times New Roman"/>
          <w:color w:val="000000" w:themeColor="text1"/>
          <w:sz w:val="16"/>
          <w:szCs w:val="16"/>
        </w:rPr>
      </w:pPr>
    </w:p>
    <w:p w14:paraId="41234282"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сентября 1943 в проливе Босфор на яхте, принадлежавшей британскому посольству в Турции, состоялась се</w:t>
      </w:r>
      <w:r w:rsidRPr="00271E51">
        <w:rPr>
          <w:rFonts w:ascii="Times New Roman" w:hAnsi="Times New Roman"/>
          <w:color w:val="000000" w:themeColor="text1"/>
          <w:sz w:val="16"/>
          <w:szCs w:val="16"/>
        </w:rPr>
        <w:softHyphen/>
        <w:t>кретная встреча венгерского генерального консула в Стамбуле Дёжо Уйваря с английским послом сэром Хуго Киахбулл-Хагсоном. На этой встрече, помимо прочего, была достигнута устная договоренность о том, что самолеты союзников не будут бомбить объекты на терри</w:t>
      </w:r>
      <w:r w:rsidRPr="00271E51">
        <w:rPr>
          <w:rFonts w:ascii="Times New Roman" w:hAnsi="Times New Roman"/>
          <w:color w:val="000000" w:themeColor="text1"/>
          <w:sz w:val="16"/>
          <w:szCs w:val="16"/>
        </w:rPr>
        <w:softHyphen/>
        <w:t>тории Венгрии, а венгерские истребители, в свою очередь, не станут препятствовать их пролету через венгерское воздушное пространство</w:t>
      </w:r>
    </w:p>
    <w:p w14:paraId="00BB41A8"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2AD2880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9B823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4206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ГКО № 4078 Об освобождении завода № 183 Наркомтанкопрома от поставки Наркомавиапрому бронекорпусов и бронедеталей для самолетов.РГАНИР, Фонд ГКО, д. 150, лл. 134 (11012).</w:t>
      </w:r>
    </w:p>
    <w:p w14:paraId="77F257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BC9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9 сентября 1943 г. в соответствии с пост. ГКО № 4078 завод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освобожден от выпуска бронекорпусов самолетов (11982).</w:t>
      </w:r>
    </w:p>
    <w:p w14:paraId="701381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82A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9 сентября по 16 декабря 1943 проходили объединенные испытания Ту-2С - 2АШ-82ФН. С начала 1944 стал поступать в части (4,180).</w:t>
      </w:r>
    </w:p>
    <w:p w14:paraId="4C6A1C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777FD"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после переделки винтомоторной группы, состоялся пробный по</w:t>
      </w:r>
      <w:r w:rsidRPr="00271E51">
        <w:rPr>
          <w:rFonts w:ascii="Times New Roman" w:hAnsi="Times New Roman"/>
          <w:color w:val="000000" w:themeColor="text1"/>
          <w:sz w:val="16"/>
          <w:szCs w:val="16"/>
        </w:rPr>
        <w:softHyphen/>
        <w:t>лёт второго варианта Ла-5 с М-82ФН (винт ВИШ-105В) и двумя ТК-3 (в некоторых документах он называется «ФТК»). На следующий день в полёте на высоту при работе мотора на первой скорости ПЦН с включёнными турбокомпрессорами сделали горизонтальную площадку на высоте 11650 м, которая являлась потолком, так как вертикальная скорость оказалась равной нулю. 11 сентября при попытке определить потолок при работе мотора на второй ско</w:t>
      </w:r>
      <w:r w:rsidRPr="00271E51">
        <w:rPr>
          <w:rFonts w:ascii="Times New Roman" w:hAnsi="Times New Roman"/>
          <w:color w:val="000000" w:themeColor="text1"/>
          <w:sz w:val="16"/>
          <w:szCs w:val="16"/>
        </w:rPr>
        <w:softHyphen/>
        <w:t>рости ПЦН и включенных ТК-3, полёт пришлось прекратить на высоте 11750 м, так как температура головки первого цилиндра возросла до 280°С, а температура масла на входе в мотор — до 90°С. С той же целью 16 сентября состоялся ещё один полёт, который снова пришлось прекратить из-за повышения температуры головки первого цилиндра до 270°С, только на этот раз уже на высоте 12500 м. Температура масла на входе в мотор возросла до 88°С. После полёта в маслосистеме мотора обнаружили металлическую стружку, образовавшуюся в результате разрушения дисков нагнетателя.</w:t>
      </w:r>
    </w:p>
    <w:p w14:paraId="0852DAA3"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Ла-5 с мотором М-82ФН и двумя турбокомпрессорами ТК-3 совершили 17 полётов, в том числе пять на высоту более 9000 м. При этом удалось отработать пер</w:t>
      </w:r>
      <w:r w:rsidRPr="00271E51">
        <w:rPr>
          <w:rFonts w:ascii="Times New Roman" w:hAnsi="Times New Roman"/>
          <w:color w:val="000000" w:themeColor="text1"/>
          <w:sz w:val="16"/>
          <w:szCs w:val="16"/>
        </w:rPr>
        <w:softHyphen/>
        <w:t>вую скорость нагнетателя, потолок на которой составил 11600 м. На второй скорости на</w:t>
      </w:r>
      <w:r w:rsidRPr="00271E51">
        <w:rPr>
          <w:rFonts w:ascii="Times New Roman" w:hAnsi="Times New Roman"/>
          <w:color w:val="000000" w:themeColor="text1"/>
          <w:sz w:val="16"/>
          <w:szCs w:val="16"/>
        </w:rPr>
        <w:softHyphen/>
        <w:t>гнетателя в последнем полёте достигли высоты 12500 м по прибору и на ней сделали кратковременную горизонтальную площадку. Причём высота 12500 м ещё не являлась потолком, и самолёт сохранял возможность горизонтального и вертикального манев</w:t>
      </w:r>
      <w:r w:rsidRPr="00271E51">
        <w:rPr>
          <w:rFonts w:ascii="Times New Roman" w:hAnsi="Times New Roman"/>
          <w:color w:val="000000" w:themeColor="text1"/>
          <w:sz w:val="16"/>
          <w:szCs w:val="16"/>
        </w:rPr>
        <w:softHyphen/>
        <w:t>ров. Претензий к компоновке винтомоторной группы в целом, и к турбокомпрессорам, в частности, не было. Основные замечания относились к системе воздушного охлажде</w:t>
      </w:r>
      <w:r w:rsidRPr="00271E51">
        <w:rPr>
          <w:rFonts w:ascii="Times New Roman" w:hAnsi="Times New Roman"/>
          <w:color w:val="000000" w:themeColor="text1"/>
          <w:sz w:val="16"/>
          <w:szCs w:val="16"/>
        </w:rPr>
        <w:softHyphen/>
        <w:t>ния мотора, не обеспечивавшей допустимого уровня температур головок цилиндров при полётах на больших высотах и при наборе высоты на режиме максимальной скорости, а также к винту ВИШ-105В, не позволяющему получить удовлетворительные значения КПД на высотах 11000-13000 м. НИИ ВВС в качестве своих рекомендаций заводу № 21 предложил для охлаждения мотора применить впрыск воды во всасывающую систему мотора, заменить винт ВИШ-105В другим или подобрать к нему другие лопасти, уста</w:t>
      </w:r>
      <w:r w:rsidRPr="00271E51">
        <w:rPr>
          <w:rFonts w:ascii="Times New Roman" w:hAnsi="Times New Roman"/>
          <w:color w:val="000000" w:themeColor="text1"/>
          <w:sz w:val="16"/>
          <w:szCs w:val="16"/>
        </w:rPr>
        <w:softHyphen/>
        <w:t>новить увеличенный маслорадиатор, а также разработать и испытать в полёте радиатор для охлаждения воздуха после турбокомпрессора. ЦИАМ, в рамках работ по определе</w:t>
      </w:r>
      <w:r w:rsidRPr="00271E51">
        <w:rPr>
          <w:rFonts w:ascii="Times New Roman" w:hAnsi="Times New Roman"/>
          <w:color w:val="000000" w:themeColor="text1"/>
          <w:sz w:val="16"/>
          <w:szCs w:val="16"/>
        </w:rPr>
        <w:softHyphen/>
        <w:t>нию оптимальных способов снижения температуры головки цилиндров на больших вы</w:t>
      </w:r>
      <w:r w:rsidRPr="00271E51">
        <w:rPr>
          <w:rFonts w:ascii="Times New Roman" w:hAnsi="Times New Roman"/>
          <w:color w:val="000000" w:themeColor="text1"/>
          <w:sz w:val="16"/>
          <w:szCs w:val="16"/>
        </w:rPr>
        <w:softHyphen/>
        <w:t>сотах, провёл экспериментальные исследования: по дополнительному обогащению смеси, впрыску воды и по работе на спирто-бензиновых смесях топлива.</w:t>
      </w:r>
    </w:p>
    <w:p w14:paraId="6D9A5BC1"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самолёт поставили в цех для замены мотора, установки нового увеличен</w:t>
      </w:r>
      <w:r w:rsidRPr="00271E51">
        <w:rPr>
          <w:rFonts w:ascii="Times New Roman" w:hAnsi="Times New Roman"/>
          <w:color w:val="000000" w:themeColor="text1"/>
          <w:sz w:val="16"/>
          <w:szCs w:val="16"/>
        </w:rPr>
        <w:softHyphen/>
        <w:t>ного масляного радиатора и выполнения рекомендаций НИИ ВВС по применению сис</w:t>
      </w:r>
      <w:r w:rsidRPr="00271E51">
        <w:rPr>
          <w:rFonts w:ascii="Times New Roman" w:hAnsi="Times New Roman"/>
          <w:color w:val="000000" w:themeColor="text1"/>
          <w:sz w:val="16"/>
          <w:szCs w:val="16"/>
        </w:rPr>
        <w:softHyphen/>
        <w:t xml:space="preserve">темы впрыска воды в цилиндры мотора для снижения температур их головок. Заодно на машину поставили дополнительный бензобак на 60 кг, маслопомпу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 xml:space="preserve">-1 заменили на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-5, что в свою очередь потребовало переделки маслопровода. Все доводочные ра</w:t>
      </w:r>
      <w:r w:rsidRPr="00271E51">
        <w:rPr>
          <w:rFonts w:ascii="Times New Roman" w:hAnsi="Times New Roman"/>
          <w:color w:val="000000" w:themeColor="text1"/>
          <w:sz w:val="16"/>
          <w:szCs w:val="16"/>
        </w:rPr>
        <w:softHyphen/>
        <w:t>боты завершили в начале октября, и седьмого числа этого месяца, с целью продолже</w:t>
      </w:r>
      <w:r w:rsidRPr="00271E51">
        <w:rPr>
          <w:rFonts w:ascii="Times New Roman" w:hAnsi="Times New Roman"/>
          <w:color w:val="000000" w:themeColor="text1"/>
          <w:sz w:val="16"/>
          <w:szCs w:val="16"/>
        </w:rPr>
        <w:softHyphen/>
        <w:t>ния лётных испытаний, в Горький вылетел лётчик-испытатель ЛИИ Г.М. Шиянов, не успев даже закончить испытания другого самолёта (15830).</w:t>
      </w:r>
    </w:p>
    <w:p w14:paraId="55BEF253"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19633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был готов Як-1М Дублер - будущий Як-3 ВК-105ПФ2 (65,169).</w:t>
      </w:r>
    </w:p>
    <w:p w14:paraId="0DC2E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CA952"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сентября (по другим данным — 17-го) 1943 г. «дублер Москита» (третий летный образце Як-1М) сдали в руки ведущего инженера ОКБ-115 по испытаниям Канукова, и 20-го числа Федрови его облетал.</w:t>
      </w:r>
    </w:p>
    <w:p w14:paraId="18989957"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«дублере Москита» (третьем летном образце Як-1М) успели учесть многие замечания, которые выставили испытатели к первой машине. Теперь сразу поставили М-105ПФ2 с облегченным винтом ВИШ-105СВ-01, который за счет высокого КПД компенсировал потерю мощности по сравнению с М-106П. Кроме того, этот винт имел масляную автоматику управления шагом «прямой» схемы — для увеличения угла установки лопастей требовалось уменьшить подачу масла в цилиндры приводов, а не увеличивать, как раньше. Это позволяло избежать раскрутки при вводе в пике, что часто приводило к отказу мотора в бою. Летчики оценили систему объединенного управления газом и шагом винта ВГ и автомат регулирования температуры мотора АРТ-41, который вместе с новыми радиаторами исключил и перегрев мотора и его переохлаждение на пикировании. Аэродинамику улучшили по очередным рекомендациям ЦАГИ: полотно на фюзеляже заменили фанерой, исключили отсос щитков шасси и т. д. Заменив пушку ШВАК облегченной ША-20М с боекомплектом 110 снарядов вместо 120, поставили второй синхронный пулемет УБ (по 150 патронов на ствол, а раньше на одном было 200), примитивный кольцевой прицел уступил место стандартному колиматорному ПБП-1а. Гнутая бронеспинка теперь защищала и бока летчика, бронестекло за ним крепили в новой раме, исключив перекосы и появление микротрещин (так называемого «серебра») и потерю прозрачности. Баки были увеличены, полностью протектированы и заполнялись охлажденными выхлопными газами. Фонарь кабины получил систему аварийного сброса. Сделано было много, а вес самолета увеличился всего на несколько кило, поскольку весь планер и все системы снова тщательно «подчистили», убрав все лишнее.</w:t>
      </w:r>
    </w:p>
    <w:p w14:paraId="313F5D52"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После декады полетов и недели доработок 6 ноября машину приняли на Госиспытания летчик НИИ ВВС Прошаков и ведущий инженер Седов, а уже 23 октября Главный инженер ВВС Репин утвердил Акт по результатам испытаний. Замечания были оперативно устранены, что подтвердили дополнительные полеты летчика Кочеткова и контрольный облет, который выполнил П. М. Стефановский (22751).</w:t>
      </w:r>
    </w:p>
    <w:p w14:paraId="66EBEDE6" w14:textId="77777777" w:rsidR="00EA65E0" w:rsidRPr="00271E51" w:rsidRDefault="00EA65E0" w:rsidP="00271E51">
      <w:pPr>
        <w:spacing w:after="0" w:line="240" w:lineRule="auto"/>
        <w:jc w:val="both"/>
        <w:rPr>
          <w:rFonts w:ascii="Times New Roman" w:hAnsi="Times New Roman"/>
          <w:color w:val="0070C0"/>
          <w:sz w:val="16"/>
          <w:szCs w:val="16"/>
        </w:rPr>
      </w:pPr>
    </w:p>
    <w:p w14:paraId="09833D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Поликарпов подписал эскизный проект НБ с моторами М-82ФНВ и четырехлопастными винтами ЗСМВ-14 диаметром 3,8 м. Полетный вес дости</w:t>
      </w:r>
      <w:r w:rsidRPr="00271E51">
        <w:rPr>
          <w:rFonts w:ascii="Times New Roman" w:hAnsi="Times New Roman"/>
          <w:color w:val="000000" w:themeColor="text1"/>
          <w:sz w:val="16"/>
          <w:szCs w:val="16"/>
        </w:rPr>
        <w:softHyphen/>
        <w:t>гал 12460 кг, в перегрузку 14350 кг, вес пустого самолета равнялся 7455 кг, размах 21,5 м, длина 15,3 м. Фюзеляж представлял собой деревянный полумонокок из шпона с очень большим бомбоотсеком. Профиль крыла серии НАСА-230. Полки главного лонжерона -мощные тавры из стали 30ХГСА, стенки двойные, дюра</w:t>
      </w:r>
      <w:r w:rsidRPr="00271E51">
        <w:rPr>
          <w:rFonts w:ascii="Times New Roman" w:hAnsi="Times New Roman"/>
          <w:color w:val="000000" w:themeColor="text1"/>
          <w:sz w:val="16"/>
          <w:szCs w:val="16"/>
        </w:rPr>
        <w:softHyphen/>
        <w:t>люминиевые. Центроплан обшивался дюралем, консо</w:t>
      </w:r>
      <w:r w:rsidRPr="00271E51">
        <w:rPr>
          <w:rFonts w:ascii="Times New Roman" w:hAnsi="Times New Roman"/>
          <w:color w:val="000000" w:themeColor="text1"/>
          <w:sz w:val="16"/>
          <w:szCs w:val="16"/>
        </w:rPr>
        <w:softHyphen/>
        <w:t>ли - фанерой. Автоматические предкрылки и щитки -цельнометаллические. Конструкция стабилизатора и килей была из дюраля, их обшивка - фанерная. «Конструкция НБ была смешанной, хорошо приспо</w:t>
      </w:r>
      <w:r w:rsidRPr="00271E51">
        <w:rPr>
          <w:rFonts w:ascii="Times New Roman" w:hAnsi="Times New Roman"/>
          <w:color w:val="000000" w:themeColor="text1"/>
          <w:sz w:val="16"/>
          <w:szCs w:val="16"/>
        </w:rPr>
        <w:softHyphen/>
        <w:t>собленной к массовому производству в условиях военно</w:t>
      </w:r>
      <w:r w:rsidRPr="00271E51">
        <w:rPr>
          <w:rFonts w:ascii="Times New Roman" w:hAnsi="Times New Roman"/>
          <w:color w:val="000000" w:themeColor="text1"/>
          <w:sz w:val="16"/>
          <w:szCs w:val="16"/>
        </w:rPr>
        <w:softHyphen/>
        <w:t>го времени. Вся компоновка самолета с точки зрения целесообразного размещения грузов может считаться об</w:t>
      </w:r>
      <w:r w:rsidRPr="00271E51">
        <w:rPr>
          <w:rFonts w:ascii="Times New Roman" w:hAnsi="Times New Roman"/>
          <w:color w:val="000000" w:themeColor="text1"/>
          <w:sz w:val="16"/>
          <w:szCs w:val="16"/>
        </w:rPr>
        <w:softHyphen/>
        <w:t>разцовой», - отмечал авиаконструктор В.Б.Шавров. Большой бомбоотсек допускал подвеску 3-4 т бомб различных калибров, в перегрузку - 5 т, включая подве</w:t>
      </w:r>
      <w:r w:rsidRPr="00271E51">
        <w:rPr>
          <w:rFonts w:ascii="Times New Roman" w:hAnsi="Times New Roman"/>
          <w:color w:val="000000" w:themeColor="text1"/>
          <w:sz w:val="16"/>
          <w:szCs w:val="16"/>
        </w:rPr>
        <w:softHyphen/>
        <w:t>ску одной бомбы весом 2000 кг или 5000 кг. Оборони</w:t>
      </w:r>
      <w:r w:rsidRPr="00271E51">
        <w:rPr>
          <w:rFonts w:ascii="Times New Roman" w:hAnsi="Times New Roman"/>
          <w:color w:val="000000" w:themeColor="text1"/>
          <w:sz w:val="16"/>
          <w:szCs w:val="16"/>
        </w:rPr>
        <w:softHyphen/>
        <w:t>тельное вооружение состояло из трех подвижных крупнокалиберных пулеметов УБ на носовой, нижней люковой и верхней турельной установках. Верхняя ту</w:t>
      </w:r>
      <w:r w:rsidRPr="00271E51">
        <w:rPr>
          <w:rFonts w:ascii="Times New Roman" w:hAnsi="Times New Roman"/>
          <w:color w:val="000000" w:themeColor="text1"/>
          <w:sz w:val="16"/>
          <w:szCs w:val="16"/>
        </w:rPr>
        <w:softHyphen/>
        <w:t>рель должна была иметь шарнирное устройство, позво</w:t>
      </w:r>
      <w:r w:rsidRPr="00271E51">
        <w:rPr>
          <w:rFonts w:ascii="Times New Roman" w:hAnsi="Times New Roman"/>
          <w:color w:val="000000" w:themeColor="text1"/>
          <w:sz w:val="16"/>
          <w:szCs w:val="16"/>
        </w:rPr>
        <w:softHyphen/>
        <w:t>ляющее немного «утапливать» ее в фюзеляже для снижения сопротивления, когда турель не использова</w:t>
      </w:r>
      <w:r w:rsidRPr="00271E51">
        <w:rPr>
          <w:rFonts w:ascii="Times New Roman" w:hAnsi="Times New Roman"/>
          <w:color w:val="000000" w:themeColor="text1"/>
          <w:sz w:val="16"/>
          <w:szCs w:val="16"/>
        </w:rPr>
        <w:softHyphen/>
        <w:t>лась (10667).</w:t>
      </w:r>
    </w:p>
    <w:p w14:paraId="0AE46E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99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И.д. Нач. ГРУ КА Ильичев подготовил Информационную сводку N 7 по английским и американским самолетам (1780,116).</w:t>
      </w:r>
    </w:p>
    <w:p w14:paraId="6B6C93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47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года Воронин писал письмо N Н-34/3671 командующему воздушно-десантными войсками гвардии генерал-майору Капитохину.</w:t>
      </w:r>
    </w:p>
    <w:p w14:paraId="0CE5DF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полученными указаниями об организации второго завода по изготовлению десантных планеров, просим Вас сообщить какой из трех типов планеров, работающих в частях ВДВК, т.е. А-7, Г-11 и КУ-20 может быть поставлен на производство нового завода.</w:t>
      </w:r>
    </w:p>
    <w:p w14:paraId="69B6E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решении вопроса необходимо учесть, что организация и постановка производства (подготовка, освоение) десантного планера на новом заводе потребуют не меньше 3-4 месяцев и доведения выпуска до требуемого количества еще большего времени.</w:t>
      </w:r>
    </w:p>
    <w:p w14:paraId="284760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Применяемый и рекомендуемый промышленности для изготовления десантный планер должен, таким образом, удовлетворять ВДВКА в течение значительного времени.</w:t>
      </w:r>
    </w:p>
    <w:p w14:paraId="553E52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Просьба ответ не задерживать (1779).</w:t>
      </w:r>
    </w:p>
    <w:p w14:paraId="530068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803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года в Киеве в Шевченковском районе, по ул. Мельника, д. 12 и Глубочице, 1 на площадке бывш. завода № 455 им. Артема НКАП эвакуированного в 1941 году в Куйбышев, сразу после освобождения Киева от оккупации была организована мастерская НКАП, реорганизованная как завод под № 485 решением ГОКО 9 января 1944 года (директор Власов).</w:t>
      </w:r>
    </w:p>
    <w:p w14:paraId="013F21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Первой продукцией мастерских, организованных как уже сказано 9 сентября 1943 года были детали и крепеж для восстанавливаемых (взорванных немцами) днепровских мостов Киева, а затем со второго квартала 1944 года по 1947 год завод (первоначально мастерские) организовалпроизводство агрегатов бомбардировочного вооружения для самолетов: счетчик остатка патронов УСБ-1, балочный держатель БД2-45, электромеханический привод и др. С 1948 года завод приступил к изготовлению более сложных агрегатов бомбардировочного вооружения для самолета ТУ-14. Адрес: Киев, п/я 50 (9856).</w:t>
      </w:r>
    </w:p>
    <w:p w14:paraId="6DF173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0B5E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1B01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1300B5" w14:textId="77777777" w:rsidR="00E16DD7" w:rsidRPr="00271E51" w:rsidRDefault="00E16DD7" w:rsidP="00271E51">
      <w:pPr>
        <w:pStyle w:val="ae"/>
        <w:spacing w:before="0" w:after="0"/>
        <w:jc w:val="both"/>
        <w:textAlignment w:val="baseline"/>
        <w:rPr>
          <w:color w:val="000000" w:themeColor="text1"/>
          <w:sz w:val="16"/>
          <w:szCs w:val="16"/>
        </w:rPr>
      </w:pPr>
      <w:r w:rsidRPr="00271E51">
        <w:rPr>
          <w:color w:val="000000" w:themeColor="text1"/>
          <w:sz w:val="16"/>
          <w:szCs w:val="16"/>
        </w:rPr>
        <w:lastRenderedPageBreak/>
        <w:t>К 9 сентября 1943 удалось отгрузить с ЧКЗ первые 5 танков КВ-85. Всего же за сентябрь ЧКЗ отгрузил 47 танков, включая 22 августовских.</w:t>
      </w:r>
    </w:p>
    <w:p w14:paraId="630EF266" w14:textId="77777777" w:rsidR="00E16DD7" w:rsidRPr="00271E51" w:rsidRDefault="00E16DD7" w:rsidP="00271E51">
      <w:pPr>
        <w:pStyle w:val="ae"/>
        <w:spacing w:before="0" w:after="0"/>
        <w:jc w:val="both"/>
        <w:textAlignment w:val="baseline"/>
        <w:rPr>
          <w:color w:val="000000" w:themeColor="text1"/>
          <w:sz w:val="16"/>
          <w:szCs w:val="16"/>
        </w:rPr>
      </w:pPr>
      <w:r w:rsidRPr="00271E51">
        <w:rPr>
          <w:color w:val="000000" w:themeColor="text1"/>
          <w:sz w:val="16"/>
          <w:szCs w:val="16"/>
        </w:rPr>
        <w:t>Проблемы с выпуском первых серийных КВ-85 оказались в значительной степени результатом не самой добросовестной работы смежников. Завод №200 стал поставлять корпуса и башни только с 23 августа. Отличился и завод №9, подавший первые 3 пушки 28 августа, ещё 17 штук 30-го и последние две утром 31-го числа. Помимо упомянутых проблем с грузами имелись и другие недочёты, так что системы пришлось дорабатывать. В сентябре ситуация повторилась. По состоянию на 19 сентября было сдано всего 6 танков, а к 24 сентября их число выросло до 13. Заводу снова пришлось в авральном порядке заканчивать месячную программу в последние дни. Тем не менее план в 63 машины ЧКЗ всё же выполнил, хотя и не без проблем. Были обнаружены неполадки с механизмами наведения орудия (17710).</w:t>
      </w:r>
    </w:p>
    <w:p w14:paraId="4F761A4E" w14:textId="77777777" w:rsidR="00E16DD7" w:rsidRPr="00271E51" w:rsidRDefault="00E16DD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0DC07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на территории бывшей шпагатной фабрики (работавшей с 1921 г.) был образован «Бронетанковый ремонтный завод № 121» Бронетанкового Управления ВС СССР (Бронетанковый ремонтный завод № 121 НКО, Орловская шпагатная фабрика, Орловский комбинат металлоизделий № 8 ГС ВС СССР, Завод «Трансмаш», Завод тракторных запасных частей, Орловский завод шестерен, ОАО «Автосельмаш» /302016  г. Орёл ул. Линейная, 141/).</w:t>
      </w:r>
    </w:p>
    <w:p w14:paraId="1420C8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завод № 121 был преобразован в Орловский комбинат металлоизделий № 8 Главстроя ВС СССР. Затем, с 1949 г. - в завод «Трансмаш», с 1957 г. - в завод тракторных запасных частей, с 1970  г. - в «Орловский завод шестерён» Министерства тракторного и сельскохозяйственного машиностроения СССР - завод всесоюзного значения.</w:t>
      </w:r>
    </w:p>
    <w:p w14:paraId="48A978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1992 г. «Орловский завод шестерён» преобразован в ОАО «Автосельмаш».</w:t>
      </w:r>
    </w:p>
    <w:p w14:paraId="287B9B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(2000-е  г.): зубчатые колёса (шестерни), шлицевые валы, прокладки головок блока, трубки высокого давления, шкворни, втулки для тракторов: Т-130, Т-170 (ЧТЗ), Т-150, Т-150К, ТЛТ-100 (ОТЗ), ДТ- 75; автомобилей: КАМАЗ, МАЗ, ЗИЛ-130, ГАЗ-53, ГАЗ-24; автобусов: «ИКАРУС», ЛИАЗ; комплектующие для роторной косилки КРН-2.1, для комбайнов «Дон», «Енисей», «Орёл» (11982).</w:t>
      </w:r>
    </w:p>
    <w:p w14:paraId="28FE1560"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6C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ГКО № 4073 О продлении срока работы городского населения и служащих, мобилизованных на торфопредприятия Наркомэлектростанций для проведения сушки и уборки торфа.РГАНИР, Фонд ГКО, д. 150, лл. 121 (11012).</w:t>
      </w:r>
    </w:p>
    <w:p w14:paraId="6B2EB2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6C1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Распоряжение ГКО № 4074. Об обеспечении рабочей силой строительства Hово-Тагильского металлургического завода.РГАНИР, Фонд ГКО, д. 150, лл. 122-123, 124-125 (11012).</w:t>
      </w:r>
    </w:p>
    <w:p w14:paraId="41B244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C26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ГКО№ 4076 Об установке вентиляторов на артсамоходах СУ-152.РГАНИР, Фонд ГКО, д. 150, лл. 130 (11012).</w:t>
      </w:r>
    </w:p>
    <w:p w14:paraId="747D14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CE5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ГКО № 4077 О преимущественном обеспечении коксом азотных заводов Наркомхимпрома.РГАНИР, Фонд ГКО, д. 150, лл. 131-133 (11012).</w:t>
      </w:r>
    </w:p>
    <w:p w14:paraId="214607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9FAA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2022C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634500"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оперативная сводка Совинформбюро:</w:t>
      </w:r>
    </w:p>
    <w:p w14:paraId="135B037E"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сентября на Нежинском направлении наши войска в результате ожесточённых боёв сломили сопротивление противника и штурмом овладели городом и крупным железнодорожным узлом Бахмач.</w:t>
      </w:r>
    </w:p>
    <w:p w14:paraId="25A1C13B"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города Сталино (Донбасс) наши войска продолжали успешное наступление и, продвинувшись вперёд от 10 до 15 километров, заняли свыше 180 населённых пунктов, в том числе районные центры Сталинской области ДОБРОПОЛЬЕ и Старо-Бешево, крупные населённые пункты Вернополье, Ново-Дмитровка, Приволье, Петровка, Ново-Павловка, Александровка, Hobo-Берёзовка, Сергеевка, Ново-Подгороднее, Муравьёвка, Красное, Петровский, Андреевка, Большая Каракуба, Старая Игнатьевка, Старая Карань и железнодорожные станции Черкасская, Бантышево, Гусаровка, Доброполье, Удачная, Солёная, Цукуриха, Мандрыкино, Доля, Караванная, Ларино, Менчугово.</w:t>
      </w:r>
    </w:p>
    <w:p w14:paraId="497EC0B6"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вели успешное наступление и, продвинувшись вперёд от 8 до 10 километров, заняли свыше 80 населённых пунктов, в том числе районные центры Сумской области Смелое, Недригайлов, Синёвка и крупные населённые пункты Шпотовка, Курманы, Сакуниха, Семяновка, Капустинцы, Подставки, Вел. Будище, Плешивец.</w:t>
      </w:r>
    </w:p>
    <w:p w14:paraId="1EB3DC83"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вели успешное наступление и, продвинувшись вперёд от 6 до 12 километров, заняли свыше 40 населённых пунктов, в том числе: Масёевка, Лбы, Озеро, Андреевский Хутор, Алёшенка, Зелепуговка, Ворки, Салтановка.</w:t>
      </w:r>
    </w:p>
    <w:p w14:paraId="751F519F"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заняли город Людиново.</w:t>
      </w:r>
    </w:p>
    <w:p w14:paraId="4D8B3E44"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Харькова наши войска вели наступательные бои, в ходе которых улучшили свои позиции.</w:t>
      </w:r>
    </w:p>
    <w:p w14:paraId="71E09A21"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вести бои по улучшению занимаемых позиций.</w:t>
      </w:r>
    </w:p>
    <w:p w14:paraId="5085E59D"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сентября наши войска на всех фронтах подбили и уничтожили 27 немецких танков. В воздушных боях и огнём зенитной артиллерии сбито 30 самолётов противника.</w:t>
      </w:r>
    </w:p>
    <w:p w14:paraId="3BC69B2A"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после ожесточённых боёв штурмом овладели городом Бахмач. На подступах к городу и в самом городе в течение двух дней происходили ожесточённые бои. Немцы всеми силами пытались удержать этот важнейший железнодорожный узел. Они непрерывно бросали в контратаки танки и пехоту. Наши войска сломили сопротивление противника, овладели укреплениями, прикрывавшими Бахмач, и устремились в город. Уличные бои, в ходе которых отдельные кварталы по нескольку раз переходили из рук в руки, завершились разгромом немцев и новой победой советских войск. Город и крупный железнодорожный узел Бахмач освобождён от немецко-фашистских захватчиков. Захвачены большие трофеи, в числе которых много складов, танков, орудий и различного военного имущества.</w:t>
      </w:r>
    </w:p>
    <w:p w14:paraId="4D3B8003"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освободившие город Сталино, преследовали разгромленного противника и заняли свыше 180 населённых пунктов, в том числе районные центры Доброполье и Старо-Бешево. За день боёв западнее Сталино уничтожено свыше 1.500 немецких солдат и офицеров. Взяты пленные. Уничтожено и захвачено много техники и военных материалов противника. Части Н-ского соединения, заняв город Красноармейское, продолжали наступление, не давая противнику закрепиться на промежуточных рубежах.</w:t>
      </w:r>
    </w:p>
    <w:p w14:paraId="7EAAC030"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бомбила и штурмовала пути отхода немцев. Советские лётчики уничтожили и повредили 18 паровозов, 11 немецких воинских эшелонов, более 80 автомашин и взорвали несколько железнодорожных мостов. В воздушных боях за день сбито 10 немецких самолётов. Броне того, на одном из аэродромов разбито и сожжено свыше 20 самолётов противника.</w:t>
      </w:r>
    </w:p>
    <w:p w14:paraId="779BEE1D"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успешное наступление. Севернее Навля бойцы Н-ского соединения заняли несколько населённых пунктов, в боях за которые уничтожили 600 гитлеровцев. Захвачено у немцев 32 орудия, 15 миномётов, 110 пулемётов, 33 вагона с различными грузами и другие трофеи. На другом участке наши разведывательные отряды проникли в тыл противника. Внезапным ударом разведчики разгромили немецкую автоколонну и уничтожили 3 немецких танка и 50 автомашин.</w:t>
      </w:r>
    </w:p>
    <w:p w14:paraId="340AD854"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после мощного артиллерийского обстрела вражеских позиций атаковали противника. Сломив сопротивление немцев, наши бойцы стремительным ударом с севера и юга овладели городом Людиново. В бою за город уничтожено свыше 1.200 гитлеровцев. Захвачено 300 пленных и большие трофеи.</w:t>
      </w:r>
    </w:p>
    <w:p w14:paraId="1F19E9DB"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вели наступательные бои. Части, Н-ского соединения, преодолевая сопротивление противника, овладели несколькими опорными пунктами, немцев и улучшили свои позиции. За день боёв уничтожено свыше 800 солдат и офицеров противника, 11 немецких танков и 80 автомашин. Захвачено 3 исправных танка, 9 орудий, 11 миномётов и другие трофеи.</w:t>
      </w:r>
    </w:p>
    <w:p w14:paraId="402D3A25"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снайперы Н-ской части за два дня истребили более 100 гитлеровцев. Советские лётчики сбили в прифронтовой полосе самолёт противника.Через час немцы выслали самолёт «Физелер-156» на розыски экипажа сбитого самолёта. Расчёт орудия сержанта Шахманова меткими выстрелами сбил второй вражеский самолёт. Два лётчика взяты в плен. Спустя некоторое время в этом же районе появились два немецких истребителя «Фокке-Вульф-190» и стали кружить над сбитыми самолётами. Наши зенитчики открыли огонь. Оба истребителя противника были сбиты расчётами сержанта Воробьёва и младшего сержанта Дорохова. Таким образом, в течение дня на этом участке сбито 4 немецких самолёта.</w:t>
      </w:r>
    </w:p>
    <w:p w14:paraId="221C7123"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Черниговской области, с 28 августа по 3 сентября пустили под откос 12 железнодорожных эшелонов противника. Разбиты 9 паровозов и свыше 100 вагонов. Кроме того, партизаны на протяжении километра взорвали железнодорожное полотно, сожгли два моста и тем самым приостановили движение поездов на этом участке железной дороги. При налёте на железнодорожную станцию партизанские отряды «За Родину» и имени Молотова истребили 110 мадьяр и подожгли склады противника с боеприпасами и военным имуществом.</w:t>
      </w:r>
    </w:p>
    <w:p w14:paraId="382D216F"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Немецко-фашистские мерзавцы угнали на каторгу в Германию многих жителей города Славянска. Двум девушкам — Анне Чекашёвой и Евдокии Потаповой удалось бежать из фашистской неволи. Они рассказали: «В октябре прошлого года нас угнали в Берлин и поместили в лагерь № 46 на улице Шенвальдер. В этом лагере находилось 700 советских граждан. Загнали нас в холодные бараки, указали место на двухэтажных нарах и под конвоем погнали на завод. Работать заставляли по 14 часов в сутки. Над нами издевались и в бараке и на заводе. Били мастера, били и полицейские. Очень часто сажали в карцер. В карцере заключённым выдавали в сутки 80 граммов хлеба и кружку воды. Голодали мы все. Многие умерли от истощения и побоев. В каждом бараке находились десятки девушек и парней, опухших от голода и больных. Они даже не могли передвигаться. В нашем лагере была одна очень смела ядевушка Маруся. Она призывала нас протестовать против каторжного и голодного режима. Через некоторое время Марусю увезли из лагеря, и гитлеровские людоеды повесили её.</w:t>
      </w:r>
    </w:p>
    <w:p w14:paraId="3668715F"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после этого из бараков изъяли тяжело больных и непригодных к работе. Нам говорили, что они отправлены обратно на родину. Однако впоследствии выяснилось, что немцы их умертвили» (14764).</w:t>
      </w:r>
    </w:p>
    <w:p w14:paraId="5FD21F61"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1B0AAC39"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во время Великой Отечественной войны началась Новороссийско-Таманская наступательная операция войск Северо-Кавказского фронта (генерал И.Е.Петров), сил Черноморского флота (вице-адмирал Л.А Владимирский) и Азовской военной флотилии (контр-адмирал С.Г.Горшков). 9 октября операция завершилась. Таманский полуостров был полностью очищен от противника (14764).</w:t>
      </w:r>
    </w:p>
    <w:p w14:paraId="037DD456"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0D47A1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ГКО № 4075 О боевом применении 173-го авиаполка и формировании 45-го полка на самолетах А-20-Ж, вооруженных аппаратурой "Гнейс-2".РГАНИР, Фонд ГКО, д. 150, лл. 126, 127-129 (11012).</w:t>
      </w:r>
    </w:p>
    <w:p w14:paraId="100FCA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CED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вышло постановление о том, что командиры и части, первыми преодолевшие крупные водные преграды, станут ГСС (2070,96).</w:t>
      </w:r>
    </w:p>
    <w:p w14:paraId="5E87D3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70C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9 сентября по 9 октября 1943 была Новороссийско-Таманская операция войск СКФ (И.Е.Петров), ЧМФ и АВФ (Л.А.Владимирский). 16 сентября освободили Новороссийск) (3398,323).</w:t>
      </w:r>
    </w:p>
    <w:p w14:paraId="24155C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3B2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операции на поддержку и прикрытие сухопутных войск ВВС флота выделяли от 20 до 35% самолетовылетов (518,183).</w:t>
      </w:r>
    </w:p>
    <w:p w14:paraId="5730CB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8E7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9 по 16 сентября 1943 была Новороссийская десантная операция — составная часть Новороссийско-Таманской операции. </w:t>
      </w:r>
    </w:p>
    <w:p w14:paraId="38D79C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началу наступления войск Северо-Кавказского фронта на Таманском п-ове ключевым объектом обороны всего кубанского плацдарма являлась оккупированная фашистами часть Новороссийска. На подступах к нему были созданы пять линий траншей и семь рядов проволочных заграждений, система дотов и дзотов, противотанковые и противопехотные минные поля. В черте города было построено более 500 оборонительных сооружений, установлено до 30 тыс. мин и фугасов. Подходы с моря прикрывались береговой артиллерией, минометными и пулеметными точками. Вход в порт преграждали боносетевые и минные заграждения. В городе было сосредоточено 5 дивизий и несколько отдельных частей противника. </w:t>
      </w:r>
    </w:p>
    <w:p w14:paraId="429264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планом операции, утвержденным Ставкой ВГК, предусматривалось нанести внезапный удар по Новороссийску с трех сторон: с моря высадить десант в порт, на суше осуществить наступление с востока (со стороны Туапсинского шоссе) и с запада (с Малой земли). Общее руководство операцией возлагалось на командующего Северо-Кавказским фронтом генерал-полковника И. Е. Петрова. Основная роль отводилась 18-й армии (3 стрелковые дивизии и 4 стрелковые бригады) под командованием генерал-лейтенанта К. Н. Леселидзе. Десантной операцией руководил командующий ЧФ вице-адмирал Л. А. Владимирский, командиром высадки был назначен командир Новороссийской ВМБ контр-адмирал Г. Н. Холостяков. </w:t>
      </w:r>
    </w:p>
    <w:p w14:paraId="053491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Успех операции во многом зависел от выполнения задачи морским десантом, в состав которого вошли 255-я морская стрелковая бригада, 393-й отдельный батальон морской пехоты и два стрелковых полка (всего 6480 человек). Для высадки десанта и его обеспечения было выделено около 150 кораблей, катеров, судов и плавсредств. Артиллерийскую поддержку и прикрытие десанта осуществляла артиллерия 18-й армии (161 орудие) и Новороссийской ВМБ (47 орудий). Для поддержки десанта с воздуха была создана авиагруппа (150 самолетов ВВС ЧФ и 4-й воздушной армии). Высадка десанта в порт должна была производиться двумя эшелонами. Для перевозки и высадки первого эшелона были созданы три отряда: отряд обеспечения высадки, состоявший из групп прорыва, атаки берега, атаки порта и прикрытия высадки с моря; отряд кораблей артиллерийской поддержки (в десантной операции не участвовал) и отряд санитарных катеров. </w:t>
      </w:r>
    </w:p>
    <w:p w14:paraId="4CB0A2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Особое внимание уделялось подбору личного состава десанта. В десантные отряды входило 60–70% коммунистов и комсомольцев, каждый второй уже участвовал в десантах. В период подготовки к операции в ряды партии вступило до 1500 человек. </w:t>
      </w:r>
    </w:p>
    <w:p w14:paraId="2F4AE7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ночь на 10.9 корабли и суда с десантом вышли из Геленджика в район высадки десанта. В 2 ч 44 мин началась мощная артиллерийская подготовка. С подходом к порту торпедных катеров отряда обеспечения высадки огонь был перенесен в глубину обороны. Авиация нанесла удары по объектам противника. В 2 ч 45 мин катера группы прорыва атаковали торпедами огневые точки противника на молах, подорвали боносетевые заграждения, высадили на молы штурмовые группы. Торпедные катера группы атаки берега атаковали торпедами огневые точки на побережье бухты. В 2 ч 56 мин в порт ворвались торпедные катера группы атаки порта и атаковали торпедами причалы и места высадки. Все действия отряда обеспечения высадки проходили под интенсивным артиллерийско-минометным и пулеметным огнем врага. </w:t>
      </w:r>
    </w:p>
    <w:p w14:paraId="679842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3 ч в порт устремились торпедные и сторожевые катера, мотоботы и мотобаркасы с частями первого эшелона десанта. Высадка производилась под непрерывным огнем противника с 3 ч 9 мин до 4 ч 55 мин. Из состава второго эшелона десанта с санитарных катеров удалось высадить только 370 человек в район цементного завода «Пролетарий». </w:t>
      </w:r>
    </w:p>
    <w:p w14:paraId="574E27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Героическими усилиями десантники удержали захваченные плацдармы и обеспечили условия для успешного наступления 18-й армии на суше. </w:t>
      </w:r>
    </w:p>
    <w:p w14:paraId="6C54A3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Высадка основных сил второго эшелона десанта была произведена в ночь на 11.9. К утру противник был выбит с территории цементного завода «Пролетарий». Войска восточной группы, наступая из района цементного завода «Красный Октябрь», прорвали оборону противника и, соединившись с частями десанта, начали продвигаться к пос. Мефодиевский. На северо-западном побережье Цемесской бухты 393-й отдельный батальон морской пехоты, выдержав ожесточенные атаки врага, 14.9 при поддержке авиации и артиллерии перешел в наступление и, соединившись с подразделениями 1339-го стрелкового полка и восточной группы войск 18-й армии, завязал бои в городе. </w:t>
      </w:r>
    </w:p>
    <w:p w14:paraId="060FC5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ночь на 16.9 войска западной группы 18-й армии, наступая с Малой земли, прорвали оборону противника в районе Станички и начали уличные бои в городе. </w:t>
      </w:r>
    </w:p>
    <w:p w14:paraId="261D6A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результате совместных действий 18-й армии и морского десанта к 10 ч 16.9 город и порт Новороссийск были полностью освобождены. Наши войска, развивая успех, развернули наступление в тыл вражеской группировке, оборонявшейся на рубеже Голубая линия. </w:t>
      </w:r>
    </w:p>
    <w:p w14:paraId="518620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пять дней кровопролитных боев войска 18-й армии и силы ЧФ разгромили крупную группировку противника. Новороссийская операция положила начало освобождению Таманского п-ова. Моряки-черноморцы показали образцы мужества и отваги. Особенно отличились в операции катерники капитана 2 ранга В. Т. Проценко, капитанов 3 ранга П. И. Державина, Д. А. Глухова, Н. И. Сипягина, десантники капитан-лейтенанта В. А. Ботылева и другие. За успешные действия по освобождению Новороссийска 30 соединениям Северо-Кавказского фронта и 8 частям и соединениям ЧФ было присвоено наименование Новороссийских (11712).</w:t>
      </w:r>
    </w:p>
    <w:p w14:paraId="2189F5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CBB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9 сентября по 9 октября 1943 была Новороссийско-Таманская наступательная операция. Окончание битвы за Кавказ. </w:t>
      </w:r>
    </w:p>
    <w:p w14:paraId="318FAF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началу операции 17-я немецкая армия (16 пехотных дивизий) и 5 резервных дивизий в Крыму (всего более 440 тыс. человек), занимавшие кубанский плацдарм, создали мощную, глубоко эшелонированную оборону. Глубина главной полосы обороны — Голубой линии достигала 5–6 км. Высоты и населенные пункты были превращены в узлы сопротивления, передний край обороны прикрывался минными полями, проволочными заграждениями и завалами. </w:t>
      </w:r>
    </w:p>
    <w:p w14:paraId="705CA2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Северо-Кавказского фронта (18 стрелковых дивизий, 4 стрелковые бригады и 2 танковых полка, командующий генерал-полковник И. Е. Петров) превосходили противника по численности в 1,5 раза. Авиа-циюннсе обеспечение осуществлялось авиагруппой 4-й воздушной армии и ЧФ (всего 150 самолетов). К операции было привлечено до 150 кораблей и судов ЧФ и АВФ. </w:t>
      </w:r>
    </w:p>
    <w:p w14:paraId="2CE39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ходе Новороссийско-Таманской наступательной операции войска 18-й армии и силы ЧФ 9–16.9 провели Новороссийскую десантную операцию, в результате которой был освобожден Новороссийск и созданы благоприятные условия для наступательных действий 9-й и 56-й армий в западном направлении. 18-я армия развивала наступление на север — во фланг и тыл противнику. Начался второй этап операции — освобождение Таманского п-ова. </w:t>
      </w:r>
    </w:p>
    <w:p w14:paraId="336A51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21.9 части 18-й армии освободили Анапу и вышли на южное побережье Таманского п-ова. Для содействия наступлению с кораблей ЧФ в тыл врага были высажены десанты (83-я бригада морской пехоты с частями усиления) в районах Благовещенской (25–27.9) и оз. Соленое (26–27.9). 26.9 войска 18-й армии во взаимодействии с десантом освободили Благовещенскую, .3.10 — Тамань. 6.10 был высажен десант на косу Тузла, [328] после трехдневных боев очистивший ее от противника. Под ударами наших войск немецкое командование было вынуждено ускорить эвакуацию войск с Таманского п-ова в Крым. Корабли ЧФ и АВФ, а также авиация ЧФ и 4-й воздушной армии успешно действовали на морских сообщениях противника, срывая планомерную эвакуацию войск и техники. </w:t>
      </w:r>
    </w:p>
    <w:p w14:paraId="10BA2D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Наступление успешно развивалось. 9-я армия при содействии десанта, высаженного АВФ 25.9 в районах Чайкино и Голубицкой, 27.9 освободила Темрюк. К утру </w:t>
      </w:r>
      <w:r w:rsidRPr="00271E51">
        <w:rPr>
          <w:rFonts w:ascii="Times New Roman" w:hAnsi="Times New Roman"/>
          <w:color w:val="000000" w:themeColor="text1"/>
          <w:sz w:val="16"/>
          <w:szCs w:val="16"/>
        </w:rPr>
        <w:lastRenderedPageBreak/>
        <w:t>9.10 56-я армия очистила северную часть Таманского п-ова и косу Чушка. К 10.10 был освобожден весь Таманский п-ов. Оперативный плацдарм противника в низовьях Кубани был ликвидирован. 17-я немецкая армия потерпела серьезное поражение. Наши войска разгромили 10 немецких и румынских дивизий, еще 4 дивизии противника понесли тяжелые потери. Силами ЧФ и АВФ было потоплено 96 кораблей и судов. Противник был вынужден вывести из Азовского моря свои корабли и суда. В результате освобождения Новороссийска и портов Таманского п-ова улучшилось базирование кораблей ЧФ и создались благоприятные условия для ударов по вражеской группировке в Крыму с моря и через Керченский пролив (11712).</w:t>
      </w:r>
    </w:p>
    <w:p w14:paraId="516035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D81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командующим штурмовой авиацией был назначен оберст-лейтенант Э.Купфер (9084).</w:t>
      </w:r>
    </w:p>
    <w:p w14:paraId="1C9906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217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года утверждена и Директивой ГУКР "Смерш" №49519 от 9 сентября 1943 года объявлена "Инструкция по организации розыска агентуры разведки противника" (8983).</w:t>
      </w:r>
    </w:p>
    <w:p w14:paraId="408DF7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A15C7"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войска Центрального фронта освободили Бахмач (14764).</w:t>
      </w:r>
    </w:p>
    <w:p w14:paraId="7DD233E1"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041D2E9C"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Президиум Верховного Совета СССР принял Указ об установлении воинских званий: Главный маршал артиллерии, Главный маршал авиации, Главный маршал бронетанковых войск, маршал войск связи, Главный маршал войск связи, маршал инженерных войск, Главный маршал инженерных войск (14764).</w:t>
      </w:r>
    </w:p>
    <w:p w14:paraId="6E91D17D"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6B1E98C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FD8DB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C41ED6"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сентября 1943 британские авианосцы HMS Illustrious , HMS Formidable и HMS Unicorn, а также авианосцы сопровождения HMS Attacker , HMS Battler , HMS Hunter и HMS Stalker прикрывают войска в операции союзных сил в Салерно и Таранто, Италия, соответственно. В Салерно появились новшества: «Мустанги» ВВС США P-51 из 111-й истребительной эскадрильи присоединились к более уязвимым гидросамолётам американских лёгких крейсеров ВМС США в обнаружении огня для морской артиллерийской стрельбы по немецким войскам на берегу. Немецкие люфтваффе оказывают лишь незначительное сопротивление высадке, и в течение дня поступает только четыре предупреждения о воздушном налете (20376).</w:t>
      </w:r>
    </w:p>
    <w:p w14:paraId="16DFF0AE" w14:textId="77777777" w:rsidR="00EA65E0" w:rsidRPr="00271E51" w:rsidRDefault="00EA65E0" w:rsidP="00271E51">
      <w:pPr>
        <w:spacing w:after="0" w:line="240" w:lineRule="auto"/>
        <w:jc w:val="both"/>
        <w:rPr>
          <w:rFonts w:ascii="Times New Roman" w:hAnsi="Times New Roman"/>
          <w:color w:val="0070C0"/>
          <w:sz w:val="16"/>
          <w:szCs w:val="16"/>
        </w:rPr>
      </w:pPr>
    </w:p>
    <w:p w14:paraId="2820FD48"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сентября 1943 через несколько недель после первоначального развертывания бомб Henschel Hs 293 с ракетными двигателями бомбардировщики Luftwaffe Dornier Do 217 из Kampfgeschwader 100 потопили итальянский линкор Roma к западу от Корсики двумя радиоуправляемыми планирующими бомбами Fritz X - первое документально подтвержденное успешное использование "свободного падения" ", устройство боеприпасов PGM без двигателя в истории военной авиации; 1253 человек из 1849 на борту – погибли (20376).</w:t>
      </w:r>
    </w:p>
    <w:p w14:paraId="14A1843B" w14:textId="77777777" w:rsidR="00EA65E0" w:rsidRPr="00271E51" w:rsidRDefault="00EA65E0" w:rsidP="00271E51">
      <w:pPr>
        <w:spacing w:after="0" w:line="240" w:lineRule="auto"/>
        <w:jc w:val="both"/>
        <w:rPr>
          <w:rFonts w:ascii="Times New Roman" w:hAnsi="Times New Roman"/>
          <w:color w:val="0070C0"/>
          <w:sz w:val="16"/>
          <w:szCs w:val="16"/>
        </w:rPr>
      </w:pPr>
    </w:p>
    <w:p w14:paraId="135A9371"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сентября 1943 - Итальянский линкор «Рома» потоплен двумя радиоуправляемыми планерными бомбами Fritz X (FX-1400).</w:t>
      </w:r>
    </w:p>
    <w:p w14:paraId="14D71EE2"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Атаковать флот своих недавних союзнков немцев вынудила подписанная 3 сентября капитуляция Италии и последовавший за ней приказ флоту идти на Мальту, чтобы там сдаться англичанам. Разумеется, гитлеровцы горели желанием расправиться с "предателями", а заодно и не допустить попадания в руки англичан мощных боевых кораблей.</w:t>
      </w:r>
    </w:p>
    <w:p w14:paraId="1BC88CDC" w14:textId="77777777" w:rsidR="00EA65E0" w:rsidRPr="00271E51" w:rsidRDefault="00EA65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операции были выделены 11 бомбардировщиков "Дорнье" Do-217, каждый из которых нёс по две полуторатонные бомбы FX-1400. Самолёты обнаружили итальянскую эскадру в проливе Бонифачо между Сардинией и Корсикой. Атака производилась с высоты более 6000 метров, на которой экипажи могли не опасаться стрельбы корабельных зениток. В качестве первоочерёдных целей вполне закономерно были выбраны крупнейшие корабли эскадры - линкоры "Рома", "Италия" и "Витторио Венето" (22370).</w:t>
      </w:r>
    </w:p>
    <w:p w14:paraId="77D095B5" w14:textId="77777777" w:rsidR="00EA65E0" w:rsidRPr="00271E51" w:rsidRDefault="00EA65E0" w:rsidP="00271E51">
      <w:pPr>
        <w:spacing w:after="0" w:line="240" w:lineRule="auto"/>
        <w:jc w:val="both"/>
        <w:rPr>
          <w:rFonts w:ascii="Times New Roman" w:hAnsi="Times New Roman"/>
          <w:color w:val="0070C0"/>
          <w:sz w:val="16"/>
          <w:szCs w:val="16"/>
        </w:rPr>
      </w:pPr>
    </w:p>
    <w:p w14:paraId="0D7C924B"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1924 года в США был выдан патент номер 1508317 на имя Г. Крокко и А. Гвидони и патент номер 1818708 от 11 августа 1931 года на имя Гаммонда на конструкцию планирующих боевых радиоуправ</w:t>
      </w:r>
      <w:r w:rsidRPr="00271E51">
        <w:rPr>
          <w:rFonts w:ascii="Times New Roman" w:hAnsi="Times New Roman"/>
          <w:color w:val="000000" w:themeColor="text1"/>
          <w:sz w:val="16"/>
          <w:szCs w:val="16"/>
        </w:rPr>
        <w:softHyphen/>
        <w:t>ляемых средств поражения кораблей (15845).</w:t>
      </w:r>
    </w:p>
    <w:p w14:paraId="7F04F3C0"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7C0808E7"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года германские бомбардировщики До-217, вооруженные новым радиоупяравляемым оружием — планирующими бомбами FX-1400 поднялись с аэродрома в Южной Франции. В результате их атаки линкор ''Рома" получил попадание, загорелся и взорвался, а линкор "Италия" был серьезно поврежден... (10223).</w:t>
      </w:r>
    </w:p>
    <w:p w14:paraId="5B4A855F"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B664D"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Германия впервые применила против флота своего бывшего союзника - Италии планирующие управляемые бомбы. Германские бомбардировщики поднялись с аэродрома в Южной Франции, вооруженные новым радиоуправляемым оружием - планирующими бомбами FX-1400. В результате их атаки линкор "Рома" получил попадание, загорелся и взорвался, а линкор "Италия" был серьезно поврежден. (3861).</w:t>
      </w:r>
    </w:p>
    <w:p w14:paraId="65C07B2D" w14:textId="77777777" w:rsidR="002D558F" w:rsidRPr="00271E51" w:rsidRDefault="002D558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25A12"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первый случай гибели крупного боевого корабля от управляемого оружия. Выход Италии из войны сопровождался планируемой сдачей боевого состава флота Англии и, понятно, немецким противодействием этому. Находящийся на переходе морем итальянский линкор "Рома" поражен двумя радиоуправляемыми авиабомбами "Фриц Х" калибром 1400 кг, произошла детонация погребов ГК, корабль погиб в течении нескольких минут, погибло около 1300 человек. Бомбы сброшены самолетами «Dо 217К2» эскадрильи KG100. Всего в истории только пять линейных кораблей были уничтожены авиацией в открытом море: британские "Рипалс" и "Принс оф Уэллс" в декабре 1941, японские "Мусаши" осенью 1944 и "Ямато" весной 1945, и вот этот, "Рома". Но только последний был потоплен без применения авиаторпед. Собственно, это был самый крупный единовременный успех Люфтваффе за всю Вторую Мировую войну (14764).</w:t>
      </w:r>
    </w:p>
    <w:p w14:paraId="20862D85"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568D1E02"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года в 2:30 утра эскадра боевых заблей ВМФ Италии под командованием адмирала Карло Бергамини йшла в последний поход. В составе кадры были два линкора: «Италия» и «Рома». Последнему не повезло: его пото</w:t>
      </w:r>
      <w:r w:rsidRPr="00271E51">
        <w:rPr>
          <w:rFonts w:ascii="Times New Roman" w:hAnsi="Times New Roman"/>
          <w:color w:val="000000" w:themeColor="text1"/>
          <w:sz w:val="16"/>
          <w:szCs w:val="16"/>
        </w:rPr>
        <w:softHyphen/>
        <w:t>пи с помощью новейшего немецкого оружия - тяжёлых радиоуправляемых плаирующих авиабомб типа «</w:t>
      </w:r>
      <w:r w:rsidRPr="00271E51">
        <w:rPr>
          <w:rFonts w:ascii="Times New Roman" w:hAnsi="Times New Roman"/>
          <w:color w:val="000000" w:themeColor="text1"/>
          <w:sz w:val="16"/>
          <w:szCs w:val="16"/>
          <w:lang w:val="en-US"/>
        </w:rPr>
        <w:t>Fritz</w:t>
      </w:r>
      <w:r w:rsidRPr="00271E51">
        <w:rPr>
          <w:rFonts w:ascii="Times New Roman" w:hAnsi="Times New Roman"/>
          <w:color w:val="000000" w:themeColor="text1"/>
          <w:sz w:val="16"/>
          <w:szCs w:val="16"/>
        </w:rPr>
        <w:t>- запущенных с самолётов Дорнье 217 из 3-й группы 100-й бомбардировочной эскадры. Бомбы навели на линкор по радиокомандам. В «Рому» попали два «</w:t>
      </w:r>
      <w:r w:rsidRPr="00271E51">
        <w:rPr>
          <w:rFonts w:ascii="Times New Roman" w:hAnsi="Times New Roman"/>
          <w:color w:val="000000" w:themeColor="text1"/>
          <w:sz w:val="16"/>
          <w:szCs w:val="16"/>
          <w:lang w:val="en-US"/>
        </w:rPr>
        <w:t>Fritz</w:t>
      </w:r>
      <w:r w:rsidRPr="00271E51">
        <w:rPr>
          <w:rFonts w:ascii="Times New Roman" w:hAnsi="Times New Roman"/>
          <w:color w:val="000000" w:themeColor="text1"/>
          <w:sz w:val="16"/>
          <w:szCs w:val="16"/>
        </w:rPr>
        <w:t>-Х», после чего он переломился попо</w:t>
      </w:r>
      <w:r w:rsidRPr="00271E51">
        <w:rPr>
          <w:rFonts w:ascii="Times New Roman" w:hAnsi="Times New Roman"/>
          <w:color w:val="000000" w:themeColor="text1"/>
          <w:sz w:val="16"/>
          <w:szCs w:val="16"/>
        </w:rPr>
        <w:softHyphen/>
        <w:t>лам и ушёл на дно. Так эффектно была ознаменована новая эра в развитии авиационного вооружения - радиоуправляемого оружия (15845).</w:t>
      </w:r>
    </w:p>
    <w:p w14:paraId="7EC512A2"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6968BDD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итальянская эскадра К. Бергамини подверглась нападению немецкой авиации с высоты 5000 м. Вероятность прямого попадания составила 0,3. Самолет-носитель во время полета бомбы находился над нею вне зоны корабельной ПВО.</w:t>
      </w:r>
    </w:p>
    <w:p w14:paraId="7248F8F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момент капитуляции Италии все боеспособные корабли направились сдаваться на Мальту. Командующий флотом адмирал К. Бергамини избрал в качестве флагмана совершенно новый линкор серии «Рома». Этот корабль ни разу не участвовал ни в одной боевой операции. И первый же поход линкора стал для него последним. 9 сентября отряд атаковали 11 бомбардировщиков Do217 бывшего союзника — Германии, применившие свое новое оружие. Каждый бомбардировщик нес по две управляемых бомбы. Управляемая по радио планирующая бомба весом свыше тонны пробила насквозь борт и палубу «Ромы» (суммарная толщина бронепалуб – 232 мм) и взорвалась под днищем. Уже одного этого было бы достаточно для полного выхода линкора из строя. Но второе попадание стало еще более разрушительным. От него сдетонировали передние погреба, и флагман пошел ко дну, унося с собой адмирала и 1522 человек команды. Шедшую следующей в строю «Италию» также пронзила насквозь еще одна такая же бомба, по счастью, разорвавшаяся уже за противоположным бортом. В «Литто рио» бомба не попала, хотя близкий разрыв Фрица вызвал незначительное повреждение рулевого управления. Ремонт позволил кораблю благополучно дойти до Мальты и сдаться англичанам, воссоединившись с «Витторио Венето». Эти же бомбы серьезно повредили английский линкор «Ворспайт», утопили крейсер «Спартан» и повредили крейсеры «Саванна» и «Уганда».</w:t>
      </w:r>
    </w:p>
    <w:p w14:paraId="748302B9"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Планирующая бомба FX1400 (FritzX, SD1400X, X1) стала первой успешно испытанной и запущенной в производство управляемой бомбой. Всего было произведено приблизительно 1400 таких бомб.</w:t>
      </w:r>
    </w:p>
    <w:p w14:paraId="610C770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была 1400-килограммовая бронебойная бомба, оснащенная четырьмя крестообразными крыльями и хвостовым кольцом с приводом управления. Бомбы несли специально оборудованные бомбардировщики Do217 или He177. Оператор самолета-носителя наводил бомбу на цель с помощью радиокомандной системы управления.</w:t>
      </w:r>
    </w:p>
    <w:p w14:paraId="363E4EA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визуального наведения и наблюдения в бомбе типа FritzX в хвостовую часть устанавливался дымный трассер.</w:t>
      </w:r>
    </w:p>
    <w:p w14:paraId="0F5D69F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Рихард Фогт начал разработку управляемой бомбы, способной заменить FX1400. Обозначение планирующей бомбы BV.226 было изменено на BV.246 Hagelkorn (Хагелькорн – градина) (11686).</w:t>
      </w:r>
    </w:p>
    <w:p w14:paraId="0DB5F84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1902785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9 сентября 1943 войска союзников высадились в Салерно и Таранто (4962).</w:t>
      </w:r>
    </w:p>
    <w:p w14:paraId="0ECF4C1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A6E7D2"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высадка 4 англо-американских дивизий (5-я армия) в Салернском заливе (14764).</w:t>
      </w:r>
    </w:p>
    <w:p w14:paraId="3B18387C"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2B3BB4AE"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сентября в 1943 году в Италии начинается операция "Лавина" (до 19 сентября). Американские и британские части высаживаются в Салернском заливе. Немецкие войска отходят на линию Густава, перекрывающую полуостров сесернее Неаполя. В тот же день 1-я британская воздушно-десантная дивизия была высажена в Таранто и захватила аэродром в Фоджиа </w:t>
      </w:r>
    </w:p>
    <w:p w14:paraId="2C8F439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FC8AD"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начинается операция "Хлопушка" в Италии (до 30 ноября). Англичане высаживают свои войска в районе города Таранто (на "каблуке" Апеннинского полуострова) и начинают наступление вдоль побережья в направлении немецкой обороны по линии Густава (14764).</w:t>
      </w:r>
    </w:p>
    <w:p w14:paraId="516254C3"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445A945B"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войска союзников высаживаются в Салерно и Таранто, Италия (14764).</w:t>
      </w:r>
    </w:p>
    <w:p w14:paraId="61FA46E4"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597E7E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9 1943 Allied landings at Salerno and Taranto (1050).</w:t>
      </w:r>
    </w:p>
    <w:p w14:paraId="64D666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2F40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союзники высадились в Салерно и Таранто (2262;1050) и началась операция Хлопушка, которая шла до 30 ноября (3907,243).</w:t>
      </w:r>
    </w:p>
    <w:p w14:paraId="7FC321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BDA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итальянский флот отплыл из Таранто и Специи (2246,5).</w:t>
      </w:r>
    </w:p>
    <w:p w14:paraId="07F84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A43F0"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итальянский флот уходит из Специи на Мальту. Флагманский корабль «Рома» потоплен при этом управляемой авиационной бомбой (14764).</w:t>
      </w:r>
    </w:p>
    <w:p w14:paraId="16BD288E"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71C9854F" w14:textId="77777777" w:rsidR="008C20FA" w:rsidRPr="00271E51" w:rsidRDefault="008C20FA"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застрелился бывший начальник генштаба итальянской армии генерал Уго Кавальеро (4962).</w:t>
      </w:r>
    </w:p>
    <w:p w14:paraId="5B0C0A9A" w14:textId="77777777" w:rsidR="008C20FA" w:rsidRPr="00271E51" w:rsidRDefault="008C20FA" w:rsidP="00271E51">
      <w:pPr>
        <w:spacing w:after="0" w:line="240" w:lineRule="auto"/>
        <w:jc w:val="both"/>
        <w:rPr>
          <w:rFonts w:ascii="Times New Roman" w:hAnsi="Times New Roman"/>
          <w:color w:val="000000" w:themeColor="text1"/>
          <w:sz w:val="16"/>
          <w:szCs w:val="16"/>
        </w:rPr>
      </w:pPr>
    </w:p>
    <w:p w14:paraId="77FFAD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9, 1943: All Italian forces within the German-controlled areas of Italy, southern France, Yugoslavia, Albania and Greece are disarmed without opposition and made prisoners of war. The US Fifth Army (Clark) carries out a landing at Salerno in southern Italy. The Italian fleet sails to Malta where it surrenders to the Royal Navy. Formation of an anti-Badoglio, German-allied Italian government, the Republican Fascist Government of Salo, in northern Italy. Iran, under pressure from the Allies who occupy the country, declares war on Germany (3819).</w:t>
      </w:r>
    </w:p>
    <w:p w14:paraId="26A2B0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6CFB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итальянские части были разоружены без сопротивления и объявлены пленными. 5А США (Кларк) высадилась в Салерно в Южной Италии. Итальянский флот совершил переход на Мальту и там сдался Королевскому ВМФ. В Сало в северной Италии было сформировано новое правительство. Иран под давлением союзников объявил войну Германии (3819).</w:t>
      </w:r>
    </w:p>
    <w:p w14:paraId="520BA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92D3A" w14:textId="77777777" w:rsidR="002D558F" w:rsidRPr="00271E51" w:rsidRDefault="002D558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в Германии сформировано “национальное фашистское правительство Италии” (4962).</w:t>
      </w:r>
    </w:p>
    <w:p w14:paraId="4958C1D1" w14:textId="77777777" w:rsidR="002D558F" w:rsidRPr="00271E51" w:rsidRDefault="002D558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104E28"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создание в Италии Комитета национального освобождения — руководящего органа итальянского движения Сопротивления (14764).</w:t>
      </w:r>
    </w:p>
    <w:p w14:paraId="25934F91"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1F602B0B"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 Италии создан руководящий орган движения Сопротивления - Комитет национального освобождения. Немецко-фашистские войска оккупировали Северную и Центральную Италию (14764).</w:t>
      </w:r>
    </w:p>
    <w:p w14:paraId="476015C5"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4C2FF9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9-10 September 1943 German occupation of Rome (270) и это была авиадесантная операция Киссельринга (2246,5).</w:t>
      </w:r>
    </w:p>
    <w:p w14:paraId="6772B4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51D3F"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оккупация немецкими войсками Северной и Центральной Италии (14764).</w:t>
      </w:r>
    </w:p>
    <w:p w14:paraId="45EFC9C3"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1B1C097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Иран объявил войну Германии (4962).</w:t>
      </w:r>
    </w:p>
    <w:p w14:paraId="1DA3187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E03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г. Иран формально объявил Германии войну (3871).</w:t>
      </w:r>
    </w:p>
    <w:p w14:paraId="0A001B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ACDA5"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Хорватия присоединяет отошедшие от нее в 1941 году к Италии области (14764).</w:t>
      </w:r>
    </w:p>
    <w:p w14:paraId="222000DE"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40CE1AE4"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восставшие французские патриотические силы на Корсике заняли Аяччо. Две итальянские дивизии перешли на сторону восставших (14764).</w:t>
      </w:r>
    </w:p>
    <w:p w14:paraId="3DEA794A"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673BEB44"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(9 сентября - 4 октября) освобождение острова Корсика партизанами совместно с частями движения «Сражающаяся Франция» (14764).</w:t>
      </w:r>
    </w:p>
    <w:p w14:paraId="00BD7250"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7ED71C09" w14:textId="77777777" w:rsidR="002D558F" w:rsidRPr="00271E51" w:rsidRDefault="002D558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в 1943 году после смерти царя Бориса в Болгарии создан Регентский Совет, а премьер-министром назначен беспартийный П.Димитров (14764).</w:t>
      </w:r>
    </w:p>
    <w:p w14:paraId="1D5B6F39" w14:textId="77777777" w:rsidR="002D558F" w:rsidRPr="00271E51" w:rsidRDefault="002D558F" w:rsidP="00271E51">
      <w:pPr>
        <w:spacing w:after="0" w:line="240" w:lineRule="auto"/>
        <w:jc w:val="both"/>
        <w:rPr>
          <w:rFonts w:ascii="Times New Roman" w:hAnsi="Times New Roman"/>
          <w:color w:val="000000" w:themeColor="text1"/>
          <w:sz w:val="16"/>
          <w:szCs w:val="16"/>
        </w:rPr>
      </w:pPr>
    </w:p>
    <w:p w14:paraId="57C69694" w14:textId="77777777" w:rsidR="002D558F" w:rsidRPr="00271E51" w:rsidRDefault="002D558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1943 немецкий диверсионный отряд высадился на Шпицбергене и взорвал военные склады союзников (4962).</w:t>
      </w:r>
    </w:p>
    <w:p w14:paraId="788B806E" w14:textId="77777777" w:rsidR="002D558F" w:rsidRPr="00271E51" w:rsidRDefault="002D558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B05E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9AE5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A3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г. опытный экземп</w:t>
      </w:r>
      <w:r w:rsidRPr="00271E51">
        <w:rPr>
          <w:rFonts w:ascii="Times New Roman" w:hAnsi="Times New Roman"/>
          <w:color w:val="000000" w:themeColor="text1"/>
          <w:sz w:val="16"/>
          <w:szCs w:val="16"/>
        </w:rPr>
        <w:softHyphen/>
        <w:t>ляр самолета Ил-2 АМ-38ф с двумя крыльевыми пушками А.Э.Нудельмана и А.С.Суранова НС-45 с боезапасом по 50 снарядов на ствол был предъявлен на государственные испытания в НИИ ВВС КА.</w:t>
      </w:r>
    </w:p>
    <w:p w14:paraId="5ACA1C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сложностей с доводкой авто</w:t>
      </w:r>
      <w:r w:rsidRPr="00271E51">
        <w:rPr>
          <w:rFonts w:ascii="Times New Roman" w:hAnsi="Times New Roman"/>
          <w:color w:val="000000" w:themeColor="text1"/>
          <w:sz w:val="16"/>
          <w:szCs w:val="16"/>
        </w:rPr>
        <w:softHyphen/>
        <w:t>матики пушки и проведения некоторых доработок на самолете испытания но</w:t>
      </w:r>
      <w:r w:rsidRPr="00271E51">
        <w:rPr>
          <w:rFonts w:ascii="Times New Roman" w:hAnsi="Times New Roman"/>
          <w:color w:val="000000" w:themeColor="text1"/>
          <w:sz w:val="16"/>
          <w:szCs w:val="16"/>
        </w:rPr>
        <w:softHyphen/>
        <w:t>вой машины затянулись до 8 февраля</w:t>
      </w:r>
    </w:p>
    <w:p w14:paraId="16BAC1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Полигонные испытания Ил-2 с НС-45 показали неудовлетворительную эф</w:t>
      </w:r>
      <w:r w:rsidRPr="00271E51">
        <w:rPr>
          <w:rFonts w:ascii="Times New Roman" w:hAnsi="Times New Roman"/>
          <w:color w:val="000000" w:themeColor="text1"/>
          <w:sz w:val="16"/>
          <w:szCs w:val="16"/>
        </w:rPr>
        <w:softHyphen/>
        <w:t>фективность стрельбы из них в воздухе по малоразмерным целям. Главным об</w:t>
      </w:r>
      <w:r w:rsidRPr="00271E51">
        <w:rPr>
          <w:rFonts w:ascii="Times New Roman" w:hAnsi="Times New Roman"/>
          <w:color w:val="000000" w:themeColor="text1"/>
          <w:sz w:val="16"/>
          <w:szCs w:val="16"/>
        </w:rPr>
        <w:softHyphen/>
        <w:t>разом из-за сильной отдачи пушек при стрельбе - максимальная сила отдачи авиапушки на наземном станке дости</w:t>
      </w:r>
      <w:r w:rsidRPr="00271E51">
        <w:rPr>
          <w:rFonts w:ascii="Times New Roman" w:hAnsi="Times New Roman"/>
          <w:color w:val="000000" w:themeColor="text1"/>
          <w:sz w:val="16"/>
          <w:szCs w:val="16"/>
        </w:rPr>
        <w:softHyphen/>
        <w:t>гала 7000 кг.</w:t>
      </w:r>
    </w:p>
    <w:p w14:paraId="159111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было принято решение машину в серию не запускать. Необхо</w:t>
      </w:r>
      <w:r w:rsidRPr="00271E51">
        <w:rPr>
          <w:rFonts w:ascii="Times New Roman" w:hAnsi="Times New Roman"/>
          <w:color w:val="000000" w:themeColor="text1"/>
          <w:sz w:val="16"/>
          <w:szCs w:val="16"/>
        </w:rPr>
        <w:softHyphen/>
        <w:t>димо было уменьшить силу отдачи пу</w:t>
      </w:r>
      <w:r w:rsidRPr="00271E51">
        <w:rPr>
          <w:rFonts w:ascii="Times New Roman" w:hAnsi="Times New Roman"/>
          <w:color w:val="000000" w:themeColor="text1"/>
          <w:sz w:val="16"/>
          <w:szCs w:val="16"/>
        </w:rPr>
        <w:softHyphen/>
        <w:t>шек, по крайней мере, до 4000 кг.</w:t>
      </w:r>
    </w:p>
    <w:p w14:paraId="79499F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Позже для уменьшения отдачи при стрельбе ствол НС-45 был снабжен мощным дульным тормозом, поглощав</w:t>
      </w:r>
      <w:r w:rsidRPr="00271E51">
        <w:rPr>
          <w:rFonts w:ascii="Times New Roman" w:hAnsi="Times New Roman"/>
          <w:color w:val="000000" w:themeColor="text1"/>
          <w:sz w:val="16"/>
          <w:szCs w:val="16"/>
        </w:rPr>
        <w:softHyphen/>
        <w:t>шим до 85% энергии отдачи пушки (мо</w:t>
      </w:r>
      <w:r w:rsidRPr="00271E51">
        <w:rPr>
          <w:rFonts w:ascii="Times New Roman" w:hAnsi="Times New Roman"/>
          <w:color w:val="000000" w:themeColor="text1"/>
          <w:sz w:val="16"/>
          <w:szCs w:val="16"/>
        </w:rPr>
        <w:softHyphen/>
        <w:t>дификация НС-45М). Был установлен дульный тормоз и на пушку НС-37 (ва</w:t>
      </w:r>
      <w:r w:rsidRPr="00271E51">
        <w:rPr>
          <w:rFonts w:ascii="Times New Roman" w:hAnsi="Times New Roman"/>
          <w:color w:val="000000" w:themeColor="text1"/>
          <w:sz w:val="16"/>
          <w:szCs w:val="16"/>
        </w:rPr>
        <w:softHyphen/>
        <w:t>риант НС-37М). Энергия отдачи погло</w:t>
      </w:r>
      <w:r w:rsidRPr="00271E51">
        <w:rPr>
          <w:rFonts w:ascii="Times New Roman" w:hAnsi="Times New Roman"/>
          <w:color w:val="000000" w:themeColor="text1"/>
          <w:sz w:val="16"/>
          <w:szCs w:val="16"/>
        </w:rPr>
        <w:softHyphen/>
        <w:t>щалась на 40%. Однако попыток уста</w:t>
      </w:r>
      <w:r w:rsidRPr="00271E51">
        <w:rPr>
          <w:rFonts w:ascii="Times New Roman" w:hAnsi="Times New Roman"/>
          <w:color w:val="000000" w:themeColor="text1"/>
          <w:sz w:val="16"/>
          <w:szCs w:val="16"/>
        </w:rPr>
        <w:softHyphen/>
        <w:t>новки таких пушек на Ил-2 не делалось.</w:t>
      </w:r>
    </w:p>
    <w:p w14:paraId="187263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НС-45, на Ил-2 АМ-38ф пла</w:t>
      </w:r>
      <w:r w:rsidRPr="00271E51">
        <w:rPr>
          <w:rFonts w:ascii="Times New Roman" w:hAnsi="Times New Roman"/>
          <w:color w:val="000000" w:themeColor="text1"/>
          <w:sz w:val="16"/>
          <w:szCs w:val="16"/>
        </w:rPr>
        <w:softHyphen/>
        <w:t>нировалась установка 45-мм пушек 0КБ-15 конструкции Б.Г.Шпитального - Ш-45. Последние испытывались на Як-9Т. Но поскольку испытания Ил-2 с НС-45 дали отрицательный результат, пушки Ш-45 на Ил-2 устанавливать не стали...</w:t>
      </w:r>
    </w:p>
    <w:p w14:paraId="774D29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признать, такое, скажем, невни</w:t>
      </w:r>
      <w:r w:rsidRPr="00271E51">
        <w:rPr>
          <w:rFonts w:ascii="Times New Roman" w:hAnsi="Times New Roman"/>
          <w:color w:val="000000" w:themeColor="text1"/>
          <w:sz w:val="16"/>
          <w:szCs w:val="16"/>
        </w:rPr>
        <w:softHyphen/>
        <w:t>мательное отношение ВВС КА к боевым свойствам как 37-мм пушки Б.Г.Шпи</w:t>
      </w:r>
      <w:r w:rsidRPr="00271E51">
        <w:rPr>
          <w:rFonts w:ascii="Times New Roman" w:hAnsi="Times New Roman"/>
          <w:color w:val="000000" w:themeColor="text1"/>
          <w:sz w:val="16"/>
          <w:szCs w:val="16"/>
        </w:rPr>
        <w:softHyphen/>
        <w:t>тального Ш-37, имевшей значительно меньшую отдачу при стрельбе, чем НС-37, так и модернизированных пушек НС-37М и НС-45М является грубейшей ошибкой, не позволившей в течение вой</w:t>
      </w:r>
      <w:r w:rsidRPr="00271E51">
        <w:rPr>
          <w:rFonts w:ascii="Times New Roman" w:hAnsi="Times New Roman"/>
          <w:color w:val="000000" w:themeColor="text1"/>
          <w:sz w:val="16"/>
          <w:szCs w:val="16"/>
        </w:rPr>
        <w:softHyphen/>
        <w:t>ны обеспечить необходимые противо</w:t>
      </w:r>
      <w:r w:rsidRPr="00271E51">
        <w:rPr>
          <w:rFonts w:ascii="Times New Roman" w:hAnsi="Times New Roman"/>
          <w:color w:val="000000" w:themeColor="text1"/>
          <w:sz w:val="16"/>
          <w:szCs w:val="16"/>
        </w:rPr>
        <w:softHyphen/>
        <w:t>танковые свойства советской авиации.. (6467).</w:t>
      </w:r>
    </w:p>
    <w:p w14:paraId="664000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5FF61" w14:textId="77777777" w:rsidR="00A94230" w:rsidRPr="00271E51" w:rsidRDefault="00A94230"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 сентября 1943 г. опытный экземпляр самолета Ил-2 АМ-38Ф с двумя крыльевыми пушками НС-45 с боезапасом по 50 патронов на ствол был предъявлен на государственные испытания в НИИ ВВС.</w:t>
      </w:r>
    </w:p>
    <w:p w14:paraId="2402F79E" w14:textId="77777777" w:rsidR="00A94230" w:rsidRPr="00271E51" w:rsidRDefault="00A94230"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Полигонные испытания Ила с 2хНС-45 проводились вплоть до 8 февраля 1944 года. Прицельная стрельба по наземным целям оказалась невозможным из-за сильной вибрации пушки. Аналогичная ситуация, хотя и в меньшей степени, складывалась и 37-мм версией Ила, к тому времени снятого с производства, поэтому работа по оснащению штурмовика 45-мм пушками потеряла всякий смысл (19200).</w:t>
      </w:r>
    </w:p>
    <w:p w14:paraId="20E237E6" w14:textId="77777777" w:rsidR="00A94230" w:rsidRPr="00271E51" w:rsidRDefault="00A94230"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18741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 сентября 1943 г. опытный экземпляр самолета Ил-2 АМ-38ф с двумя крыльевыми пушками А.Э. Нудельмана и А.С. Суранова НС-45 с боезапасом по 50 снарядов </w:t>
      </w:r>
      <w:r w:rsidRPr="00271E51">
        <w:rPr>
          <w:rFonts w:ascii="Times New Roman" w:hAnsi="Times New Roman"/>
          <w:color w:val="000000" w:themeColor="text1"/>
          <w:sz w:val="16"/>
          <w:szCs w:val="16"/>
        </w:rPr>
        <w:lastRenderedPageBreak/>
        <w:t>на ствол был предъявлен на го</w:t>
      </w:r>
      <w:r w:rsidRPr="00271E51">
        <w:rPr>
          <w:rFonts w:ascii="Times New Roman" w:hAnsi="Times New Roman"/>
          <w:color w:val="000000" w:themeColor="text1"/>
          <w:sz w:val="16"/>
          <w:szCs w:val="16"/>
        </w:rPr>
        <w:softHyphen/>
        <w:t>сударственные испытания в НИИ ВВС КА. Ввиду сложностей с доводкой автоматики пушки и проведения некоторых доработок на самолете испытания новой машины затя</w:t>
      </w:r>
      <w:r w:rsidRPr="00271E51">
        <w:rPr>
          <w:rFonts w:ascii="Times New Roman" w:hAnsi="Times New Roman"/>
          <w:color w:val="000000" w:themeColor="text1"/>
          <w:sz w:val="16"/>
          <w:szCs w:val="16"/>
        </w:rPr>
        <w:softHyphen/>
        <w:t>нулись до 8 февраля 1944 г. Полигонные испытания Ил-2 с НС-45 показали неудовлетвори</w:t>
      </w:r>
      <w:r w:rsidRPr="00271E51">
        <w:rPr>
          <w:rFonts w:ascii="Times New Roman" w:hAnsi="Times New Roman"/>
          <w:color w:val="000000" w:themeColor="text1"/>
          <w:sz w:val="16"/>
          <w:szCs w:val="16"/>
        </w:rPr>
        <w:softHyphen/>
        <w:t>тельную эффективность стрельбы из них в воздухе по малоразмер</w:t>
      </w:r>
      <w:r w:rsidRPr="00271E51">
        <w:rPr>
          <w:rFonts w:ascii="Times New Roman" w:hAnsi="Times New Roman"/>
          <w:color w:val="000000" w:themeColor="text1"/>
          <w:sz w:val="16"/>
          <w:szCs w:val="16"/>
        </w:rPr>
        <w:softHyphen/>
        <w:t>ным целям. Главным образом из-за сильной отдачи пушек при стрельбе — максимальная сила отдачи авиапушки на наземном станке достигала 7000 кг. В результате было принято решение ма</w:t>
      </w:r>
      <w:r w:rsidRPr="00271E51">
        <w:rPr>
          <w:rFonts w:ascii="Times New Roman" w:hAnsi="Times New Roman"/>
          <w:color w:val="000000" w:themeColor="text1"/>
          <w:sz w:val="16"/>
          <w:szCs w:val="16"/>
        </w:rPr>
        <w:softHyphen/>
        <w:t>шину в серию не запускать. Необходимо было уменьшить силу от</w:t>
      </w:r>
      <w:r w:rsidRPr="00271E51">
        <w:rPr>
          <w:rFonts w:ascii="Times New Roman" w:hAnsi="Times New Roman"/>
          <w:color w:val="000000" w:themeColor="text1"/>
          <w:sz w:val="16"/>
          <w:szCs w:val="16"/>
        </w:rPr>
        <w:softHyphen/>
        <w:t>дачи пушек, по крайней мере, до 4000 кг. Позже для уменьшения отдачи при стрельбе ствол НС-45 был снабжен мощным дульным тормозом, поглощавшим до 85% энер</w:t>
      </w:r>
      <w:r w:rsidRPr="00271E51">
        <w:rPr>
          <w:rFonts w:ascii="Times New Roman" w:hAnsi="Times New Roman"/>
          <w:color w:val="000000" w:themeColor="text1"/>
          <w:sz w:val="16"/>
          <w:szCs w:val="16"/>
        </w:rPr>
        <w:softHyphen/>
        <w:t>гии отдачи пушки (модификация НС-45М). Был установлен дуль</w:t>
      </w:r>
      <w:r w:rsidRPr="00271E51">
        <w:rPr>
          <w:rFonts w:ascii="Times New Roman" w:hAnsi="Times New Roman"/>
          <w:color w:val="000000" w:themeColor="text1"/>
          <w:sz w:val="16"/>
          <w:szCs w:val="16"/>
        </w:rPr>
        <w:softHyphen/>
        <w:t>ный тормоз и на пушку НС-37 (вариант НС-37М). Энергия отдачи поглощалась на 40%. Однако попыток установки таких пушек на Ил-2 не делалось (10695).</w:t>
      </w:r>
    </w:p>
    <w:p w14:paraId="5CEF82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BF2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года вышел приказ № 545с НКТП</w:t>
      </w:r>
    </w:p>
    <w:p w14:paraId="0D1ED49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постановления ГКО № 4078 от 9 сентября 1943 года:</w:t>
      </w:r>
    </w:p>
    <w:p w14:paraId="72CE027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 183 Максареву с сентября 1943 года прекратить изготовление и поставку НКАП бронекорпусов самолетов ИЛ-2 (6138, 245).</w:t>
      </w:r>
    </w:p>
    <w:p w14:paraId="64415AC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43A1EA"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 полёте на высоту второго варианта Ла-5 с М-82ФН (винт ВИШ-105В) и двумя ТК-3 (в некоторых документах он называется «ФТК») при работе мотора на первой скорости ПЦН с включёнными турбокомпрессорами сделали горизонтальную площадку на высоте 11650 м, которая являлась потолком, так как вертикальная скорость оказалась равной нулю. 11 сентября при попытке определить потолок при работе мотора на второй ско</w:t>
      </w:r>
      <w:r w:rsidRPr="00271E51">
        <w:rPr>
          <w:rFonts w:ascii="Times New Roman" w:hAnsi="Times New Roman"/>
          <w:color w:val="000000" w:themeColor="text1"/>
          <w:sz w:val="16"/>
          <w:szCs w:val="16"/>
        </w:rPr>
        <w:softHyphen/>
        <w:t>рости ПЦН и включенных ТК-3, полёт пришлось прекратить на высоте 11750 м, так как температура головки первого цилиндра возросла до 280°С, а температура масла на входе в мотор — до 90°С. С той же целью 16 сентября состоялся ещё один полёт, который снова пришлось прекратить из-за повышения температуры головки первого цилиндра до 270°С, только на этот раз уже на высоте 12500 м. Температура масла на входе в мотор возросла до 88°С. После полёта в маслосистеме мотора обнаружили металлическую стружку, образовавшуюся в результате разрушения дисков нагнетателя.</w:t>
      </w:r>
    </w:p>
    <w:p w14:paraId="4FA754E4"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Ла-5 с мотором М-82ФН и двумя турбокомпрессорами ТК-3 совершили 17 полётов, в том числе пять на высоту более 9000 м. При этом удалось отработать пер</w:t>
      </w:r>
      <w:r w:rsidRPr="00271E51">
        <w:rPr>
          <w:rFonts w:ascii="Times New Roman" w:hAnsi="Times New Roman"/>
          <w:color w:val="000000" w:themeColor="text1"/>
          <w:sz w:val="16"/>
          <w:szCs w:val="16"/>
        </w:rPr>
        <w:softHyphen/>
        <w:t>вую скорость нагнетателя, потолок на которой составил 11600 м. На второй скорости на</w:t>
      </w:r>
      <w:r w:rsidRPr="00271E51">
        <w:rPr>
          <w:rFonts w:ascii="Times New Roman" w:hAnsi="Times New Roman"/>
          <w:color w:val="000000" w:themeColor="text1"/>
          <w:sz w:val="16"/>
          <w:szCs w:val="16"/>
        </w:rPr>
        <w:softHyphen/>
        <w:t>гнетателя в последнем полёте достигли высоты 12500 м по прибору и на ней сделали кратковременную горизонтальную площадку. Причём высота 12500 м ещё не являлась потолком, и самолёт сохранял возможность горизонтального и вертикального манев</w:t>
      </w:r>
      <w:r w:rsidRPr="00271E51">
        <w:rPr>
          <w:rFonts w:ascii="Times New Roman" w:hAnsi="Times New Roman"/>
          <w:color w:val="000000" w:themeColor="text1"/>
          <w:sz w:val="16"/>
          <w:szCs w:val="16"/>
        </w:rPr>
        <w:softHyphen/>
        <w:t>ров. Претензий к компоновке винтомоторной группы в целом, и к турбокомпрессорам, в частности, не было. Основные замечания относились к системе воздушного охлажде</w:t>
      </w:r>
      <w:r w:rsidRPr="00271E51">
        <w:rPr>
          <w:rFonts w:ascii="Times New Roman" w:hAnsi="Times New Roman"/>
          <w:color w:val="000000" w:themeColor="text1"/>
          <w:sz w:val="16"/>
          <w:szCs w:val="16"/>
        </w:rPr>
        <w:softHyphen/>
        <w:t>ния мотора, не обеспечивавшей допустимого уровня температур головок цилиндров при полётах на больших высотах и при наборе высоты на режиме максимальной скорости, а также к винту ВИШ-105В, не позволяющему получить удовлетворительные значения КПД на высотах 11000-13000 м. НИИ ВВС в качестве своих рекомендаций заводу № 21 предложил для охлаждения мотора применить впрыск воды во всасывающую систему мотора, заменить винт ВИШ-105В другим или подобрать к нему другие лопасти, уста</w:t>
      </w:r>
      <w:r w:rsidRPr="00271E51">
        <w:rPr>
          <w:rFonts w:ascii="Times New Roman" w:hAnsi="Times New Roman"/>
          <w:color w:val="000000" w:themeColor="text1"/>
          <w:sz w:val="16"/>
          <w:szCs w:val="16"/>
        </w:rPr>
        <w:softHyphen/>
        <w:t>новить увеличенный маслорадиатор, а также разработать и испытать в полёте радиатор для охлаждения воздуха после турбокомпрессора. ЦИАМ, в рамках работ по определе</w:t>
      </w:r>
      <w:r w:rsidRPr="00271E51">
        <w:rPr>
          <w:rFonts w:ascii="Times New Roman" w:hAnsi="Times New Roman"/>
          <w:color w:val="000000" w:themeColor="text1"/>
          <w:sz w:val="16"/>
          <w:szCs w:val="16"/>
        </w:rPr>
        <w:softHyphen/>
        <w:t>нию оптимальных способов снижения температуры головки цилиндров на больших вы</w:t>
      </w:r>
      <w:r w:rsidRPr="00271E51">
        <w:rPr>
          <w:rFonts w:ascii="Times New Roman" w:hAnsi="Times New Roman"/>
          <w:color w:val="000000" w:themeColor="text1"/>
          <w:sz w:val="16"/>
          <w:szCs w:val="16"/>
        </w:rPr>
        <w:softHyphen/>
        <w:t>сотах, провёл экспериментальные исследования: по дополнительному обогащению смеси, впрыску воды и по работе на спирто-бензиновых смесях топлива.</w:t>
      </w:r>
    </w:p>
    <w:p w14:paraId="61708239"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самолёт поставили в цех для замены мотора, установки нового увеличен</w:t>
      </w:r>
      <w:r w:rsidRPr="00271E51">
        <w:rPr>
          <w:rFonts w:ascii="Times New Roman" w:hAnsi="Times New Roman"/>
          <w:color w:val="000000" w:themeColor="text1"/>
          <w:sz w:val="16"/>
          <w:szCs w:val="16"/>
        </w:rPr>
        <w:softHyphen/>
        <w:t>ного масляного радиатора и выполнения рекомендаций НИИ ВВС по применению сис</w:t>
      </w:r>
      <w:r w:rsidRPr="00271E51">
        <w:rPr>
          <w:rFonts w:ascii="Times New Roman" w:hAnsi="Times New Roman"/>
          <w:color w:val="000000" w:themeColor="text1"/>
          <w:sz w:val="16"/>
          <w:szCs w:val="16"/>
        </w:rPr>
        <w:softHyphen/>
        <w:t xml:space="preserve">темы впрыска воды в цилиндры мотора для снижения температур их головок. Заодно на машину поставили дополнительный бензобак на 60 кг, маслопомпу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 xml:space="preserve">-1 заменили на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-5, что в свою очередь потребовало переделки маслопровода. Все доводочные ра</w:t>
      </w:r>
      <w:r w:rsidRPr="00271E51">
        <w:rPr>
          <w:rFonts w:ascii="Times New Roman" w:hAnsi="Times New Roman"/>
          <w:color w:val="000000" w:themeColor="text1"/>
          <w:sz w:val="16"/>
          <w:szCs w:val="16"/>
        </w:rPr>
        <w:softHyphen/>
        <w:t>боты завершили в начале октября, и седьмого числа этого месяца, с целью продолже</w:t>
      </w:r>
      <w:r w:rsidRPr="00271E51">
        <w:rPr>
          <w:rFonts w:ascii="Times New Roman" w:hAnsi="Times New Roman"/>
          <w:color w:val="000000" w:themeColor="text1"/>
          <w:sz w:val="16"/>
          <w:szCs w:val="16"/>
        </w:rPr>
        <w:softHyphen/>
        <w:t>ния лётных испытаний, в Горький вылетел лётчик-испытатель ЛИИ Г.М. Шиянов, не успев даже закончить испытания другого самолёта (15830).</w:t>
      </w:r>
    </w:p>
    <w:p w14:paraId="3440A4EA" w14:textId="77777777" w:rsidR="008C20FA" w:rsidRPr="00271E51" w:rsidRDefault="008C20FA" w:rsidP="00271E51">
      <w:pPr>
        <w:spacing w:after="0" w:line="240" w:lineRule="auto"/>
        <w:jc w:val="both"/>
        <w:rPr>
          <w:rFonts w:ascii="Times New Roman" w:hAnsi="Times New Roman"/>
          <w:color w:val="000000" w:themeColor="text1"/>
          <w:sz w:val="16"/>
          <w:szCs w:val="16"/>
        </w:rPr>
      </w:pPr>
    </w:p>
    <w:p w14:paraId="3904C3C4"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На 10 сентября 1943 г. в различных частях и учреждениях советских ВВС насчитывалось 54 </w:t>
      </w:r>
      <w:r w:rsidRPr="00271E51">
        <w:rPr>
          <w:rFonts w:ascii="Times New Roman" w:hAnsi="Times New Roman"/>
          <w:color w:val="0070C0"/>
          <w:sz w:val="16"/>
          <w:szCs w:val="16"/>
          <w:lang w:val="en-US"/>
        </w:rPr>
        <w:t>Bf</w:t>
      </w:r>
      <w:r w:rsidRPr="00271E51">
        <w:rPr>
          <w:rFonts w:ascii="Times New Roman" w:hAnsi="Times New Roman"/>
          <w:color w:val="0070C0"/>
          <w:sz w:val="16"/>
          <w:szCs w:val="16"/>
        </w:rPr>
        <w:t xml:space="preserve"> 109, но только восемь из них были исправными. Нелетающие машины использовали как учебные пособия, образцы для ознакомления или устанавливали как временные памятники для демонстрации успехов Красной армии. По постановлению ГКО от 7 мая 1943 г. для выставки в парке им. Горького в Москве выделили по четыре </w:t>
      </w:r>
      <w:r w:rsidRPr="00271E51">
        <w:rPr>
          <w:rFonts w:ascii="Times New Roman" w:hAnsi="Times New Roman"/>
          <w:color w:val="0070C0"/>
          <w:sz w:val="16"/>
          <w:szCs w:val="16"/>
          <w:lang w:val="en-US"/>
        </w:rPr>
        <w:t>Bf</w:t>
      </w:r>
      <w:r w:rsidRPr="00271E51">
        <w:rPr>
          <w:rFonts w:ascii="Times New Roman" w:hAnsi="Times New Roman"/>
          <w:color w:val="0070C0"/>
          <w:sz w:val="16"/>
          <w:szCs w:val="16"/>
        </w:rPr>
        <w:t xml:space="preserve"> 109</w:t>
      </w:r>
      <w:r w:rsidRPr="00271E51">
        <w:rPr>
          <w:rFonts w:ascii="Times New Roman" w:hAnsi="Times New Roman"/>
          <w:color w:val="0070C0"/>
          <w:sz w:val="16"/>
          <w:szCs w:val="16"/>
          <w:lang w:val="en-US"/>
        </w:rPr>
        <w:t>E</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F</w:t>
      </w:r>
      <w:r w:rsidRPr="00271E51">
        <w:rPr>
          <w:rFonts w:ascii="Times New Roman" w:hAnsi="Times New Roman"/>
          <w:color w:val="0070C0"/>
          <w:sz w:val="16"/>
          <w:szCs w:val="16"/>
        </w:rPr>
        <w:t xml:space="preserve"> и </w:t>
      </w:r>
      <w:r w:rsidRPr="00271E51">
        <w:rPr>
          <w:rFonts w:ascii="Times New Roman" w:hAnsi="Times New Roman"/>
          <w:color w:val="0070C0"/>
          <w:sz w:val="16"/>
          <w:szCs w:val="16"/>
          <w:lang w:val="en-US"/>
        </w:rPr>
        <w:t>G</w:t>
      </w:r>
      <w:r w:rsidRPr="00271E51">
        <w:rPr>
          <w:rFonts w:ascii="Times New Roman" w:hAnsi="Times New Roman"/>
          <w:color w:val="0070C0"/>
          <w:sz w:val="16"/>
          <w:szCs w:val="16"/>
        </w:rPr>
        <w:t>-2 (23186)</w:t>
      </w:r>
    </w:p>
    <w:p w14:paraId="06D6FBAA" w14:textId="77777777" w:rsidR="00560783" w:rsidRPr="00271E51" w:rsidRDefault="00560783" w:rsidP="00271E51">
      <w:pPr>
        <w:spacing w:after="0" w:line="240" w:lineRule="auto"/>
        <w:jc w:val="both"/>
        <w:rPr>
          <w:rFonts w:ascii="Times New Roman" w:hAnsi="Times New Roman"/>
          <w:color w:val="0070C0"/>
          <w:sz w:val="16"/>
          <w:szCs w:val="16"/>
        </w:rPr>
      </w:pPr>
    </w:p>
    <w:p w14:paraId="2F038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Ком. ВДВ КА Капитохин и Чл. Военсовета Громов писали письмо N 293245с НКАП А.И.Ш.:</w:t>
      </w:r>
    </w:p>
    <w:p w14:paraId="35738D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"Сообщаем, что руководство проектированием и постройкой тяжелого десантного планера на заводе 468 НКАП мы согласны, как и было договорено, возложить на инженера-полковника П.В.Цыбина без освобождения его от работы в опытно-испытательном отделе ВДВ КА." (1780).</w:t>
      </w:r>
    </w:p>
    <w:p w14:paraId="2D0855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7955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AB9C3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94110D" w14:textId="77777777" w:rsidR="00665ECA" w:rsidRPr="00271E51" w:rsidRDefault="00665ECA" w:rsidP="00271E51">
      <w:pPr>
        <w:pStyle w:val="a3"/>
        <w:rPr>
          <w:color w:val="000000" w:themeColor="text1"/>
          <w:lang w:val="ru-RU"/>
        </w:rPr>
      </w:pPr>
      <w:r w:rsidRPr="00271E51">
        <w:rPr>
          <w:color w:val="000000" w:themeColor="text1"/>
          <w:lang w:val="ru-RU"/>
        </w:rPr>
        <w:t>10 сентября 1943 года в Челябинск, на имя старшего военпреда УСА ГБТУ КА инженера-полковника Марки</w:t>
      </w:r>
      <w:r w:rsidRPr="00271E51">
        <w:rPr>
          <w:color w:val="000000" w:themeColor="text1"/>
          <w:lang w:val="ru-RU"/>
        </w:rPr>
        <w:softHyphen/>
        <w:t>на, пришло письмо за подписью Алымова:</w:t>
      </w:r>
    </w:p>
    <w:p w14:paraId="325ECD5B"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«Довожу до Вашего сведения, что с 23 сентября 1943 года на всех выпу</w:t>
      </w:r>
      <w:r w:rsidRPr="00271E51">
        <w:rPr>
          <w:rStyle w:val="Bodytext145"/>
          <w:i w:val="0"/>
          <w:iCs w:val="0"/>
          <w:color w:val="000000" w:themeColor="text1"/>
          <w:sz w:val="16"/>
          <w:szCs w:val="16"/>
        </w:rPr>
        <w:softHyphen/>
        <w:t>скаемых самоходных артустановках СУ-152 должны быть установлены отсасывающие вентиляторы.</w:t>
      </w:r>
    </w:p>
    <w:p w14:paraId="79F8E749"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Об исполнении доложите.</w:t>
      </w:r>
    </w:p>
    <w:p w14:paraId="5CCDC372"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Дирекция завода о вышеуказанном получит распоряжение от Нарком- танкопрома»'.</w:t>
      </w:r>
    </w:p>
    <w:p w14:paraId="5CCFC3DB"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Можно с уверенностью говорить о том, что срочное задание было выполнено в срок. Вентиляторы на крыше получили самые последние машины сентябрьского выпуска, в такой же комплектации самоход</w:t>
      </w:r>
      <w:r w:rsidRPr="00271E51">
        <w:rPr>
          <w:rFonts w:ascii="Times New Roman" w:hAnsi="Times New Roman"/>
          <w:color w:val="000000" w:themeColor="text1"/>
          <w:sz w:val="16"/>
          <w:szCs w:val="16"/>
        </w:rPr>
        <w:softHyphen/>
        <w:t>ные установки выпускались до конца производства (17484).</w:t>
      </w:r>
    </w:p>
    <w:p w14:paraId="2999816D"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0106F66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вышло Постановление ГКО № 4079 [О прекращении с 12 сентября 1943 г. мобилизации в КА рабочих металлургических заводов, угольных шахт и электростанций Донбасса.] (7138, 135).</w:t>
      </w:r>
    </w:p>
    <w:p w14:paraId="0327DC6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3E64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вышло Распоряжение ГКО № 4080. О выделении 5 тыс. чел. для работы на ГАЗ.РГАНИР, Фонд ГКО, д. 150, лл. 136 (11012).</w:t>
      </w:r>
    </w:p>
    <w:p w14:paraId="13B3E9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854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вышло Распоряжение ГКО № 4081. О мерах по обеспечению поставок металла подшипниковым заводам НКСМ.РГАНИР, Фонд ГКО, д. 150, лл. 137 (11012).</w:t>
      </w:r>
    </w:p>
    <w:p w14:paraId="5879E8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AAC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вышло Распоряжение ГКО № 4082. О мерах по развертыванию работ на строительстве Ульяновского автозавода им. Сталина НКСМ.РГАНИР, Фонд ГКО, д. 150, лл. 138 (11012).</w:t>
      </w:r>
    </w:p>
    <w:p w14:paraId="154B6F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0A4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вышло Постановление ГКО № 4083 О мероприятиях по расширению и окончанию строительства основных объектов Алтайского тракторного завода Наркомсредмаша.РГАНИР, Фонд ГКО, д. 150, лл. 139-146, 147-152 (11012).</w:t>
      </w:r>
    </w:p>
    <w:p w14:paraId="3B9687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280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года была подготовлена справка:</w:t>
      </w:r>
    </w:p>
    <w:p w14:paraId="5E90DB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13 НКВ – Усть-Катав</w:t>
      </w:r>
    </w:p>
    <w:p w14:paraId="7635E3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66 НКВ – Златоуст</w:t>
      </w:r>
    </w:p>
    <w:p w14:paraId="0C5669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631 НК электропромышленности (9274).</w:t>
      </w:r>
    </w:p>
    <w:p w14:paraId="6A2427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BFBD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EC862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689633"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в 1943 году оперативная сводка Совинформбюро:</w:t>
      </w:r>
    </w:p>
    <w:p w14:paraId="5F570E0C"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сентября наши войска вели успешное наступление на Павлоградском направлении и, продвинувшись вперёд от 20 до 40 километров, овладели городом Барвенково, городом и железнодорожным узлом Чаплино, районным центром Харьковской области Петровская, районными центрами Днепропетровской области Петропавловка и Межевая, а также заняли свыше 140 других населённых пунктов, в том числе крупные населённые пункты Верхний Бишкин, Шебелинка, Чепель, Протопоповка, Великая Камышеваха, Запаромарьевка, Андреевка, Степановка, Славянка, Вознесенка, Преображенка, Троицкое, Николаевка, Фёдоровка, Подгороднее, Ново-Павловка и железнодорожные станции Брагиновка, Фурсово, Кирпичёво, Демурино, Просяная.</w:t>
      </w:r>
    </w:p>
    <w:p w14:paraId="29C2D560"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западнее и юго-западнее Сталино (Донбасс) наши войска, продолжая успешно развивать наступление, продвинулись вперёд от 10 до 20 километров и заняли город и железнодорожный узел ВолновахА, город КрасногоровкА, районный центр МарьинкА, крупные населённые пункты Александровка, Александринка, Ново-Троицкое, Николаевка, Бугас, Платоновка, Дмитриевка и железнодорожные станции Еленовский Карьер, Старо-Михайловка.</w:t>
      </w:r>
    </w:p>
    <w:p w14:paraId="328096BF"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вдоль побережья Азовского моря, сломили упорное сопротивление противника и овладели городом и портом Мариуполь.</w:t>
      </w:r>
    </w:p>
    <w:p w14:paraId="0A23F32F"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преодолевая сопротивление противника, продвинулись вперёд от 5 до 10 километров и заняли более 80 населённых пунктов, в том числе Немеричи, Гуличи, Манино, Усохи, Савино, Вербежичи, Сукремль, Куява,Сурь, Улемль.</w:t>
      </w:r>
    </w:p>
    <w:p w14:paraId="203504BA"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форсировали реку Десну, заняли на западном берегу Десны населённые пункты Камень, Крымский Бугор, Розовка и ведут бой за город Новгород-Северский.</w:t>
      </w:r>
    </w:p>
    <w:p w14:paraId="2D032552"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наступление и, продвинувшись вперёд от 10 до 15 километров, заняли свыше 80 населённых пунктов, в том числе районный центр Сумской области Липовая Долина.</w:t>
      </w:r>
    </w:p>
    <w:p w14:paraId="6CBB74C8"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Харькова наши войска вели наступательные бои, в ходе которых улучшили свои позиции.</w:t>
      </w:r>
    </w:p>
    <w:p w14:paraId="6E7C0D1F"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вести бои по улучшению занимаемых позиций.</w:t>
      </w:r>
    </w:p>
    <w:p w14:paraId="281050D4"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сентября наши войска на всех фронтах подбили и уничтожили 76 немецких танков. В воздушных боях и огнём зенитной артиллерии сбито 24 самолёта противника.</w:t>
      </w:r>
    </w:p>
    <w:p w14:paraId="14F9A484"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продолжая успешное наступление, овладели городом Барвенково, городом и железнодорожным узлом Чаплино (Днепропетровская область), районным центром Харьковской области Петровская, районными центрами Днепропетровской области Петропавловка и Межевая. На перегоне железной дороги Славянок — Барвенково наши войска захватили до 600 вагонов, из них 400 вагонов с зерном и продовольствием, десятки вагонов с боеприпасами, медикаментами, обмундированием и заводским оборудованием. Кроме того, захвачены12 паровозов, склад боеприпасов, склад с горючим, склад с инженерным имуществом, большое количество снарядов, мин, гранат и патронов.</w:t>
      </w:r>
    </w:p>
    <w:p w14:paraId="48292B14"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танкисты, преследуя разгромленного противника, наносят ему тяжёлые потери. По неполным данным, за день боёв наши части истребили более двух тысяч немцев, подбили 30 танков и 8 самоходных орудий противника. Взято значительное число пленных.</w:t>
      </w:r>
    </w:p>
    <w:p w14:paraId="6E6670E9"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сломили упорное сопротивление немцев на реке Кальмиус и после ожесточённых боёв заняли город и порт Мариуполь.</w:t>
      </w:r>
    </w:p>
    <w:p w14:paraId="6B0681E5"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Сталино части Н-ского соединения, развивая наступление, стремительным ударом овладели городом и железнодорожным узлом Волноваха. Нашими войсками заняты город Красногоровка, а также ряд других населённых пунктов и железнодорожных станций. За день боёв уничтожено до 2.500 немецких солдат и офицеров, 8 тяжёлых танков, 38 орудий и свыше 200 пулемётов. Нашими войсками только в районе одной железнодорожной станции захвачено 14 немецких танков, 74 орудия разных калибров, 160 пулемётов, более 1.500 винтовоки автоматов, 70 автомашин, склад боеприпасов, склад зерна и 146 вагонов с разными военными грузами. Взято в плен 300 солдат и офицеров противника.</w:t>
      </w:r>
    </w:p>
    <w:p w14:paraId="73B213B7"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продолжали наступление и заняли более 80 населённых пунктов. Продвигаясь вперёд, части Н-ского соединения истребили до1.000 гитлеровцев и захватили 23 танка, 31 орудие, 62 вагона с военными грузами и несколько цистерн с горючим. Наступление советских войск было настолько стремительным, что на отдельных участках немцы даже не успели поставить мин. Наши бойцы захватили у дорог много штабелей мин.</w:t>
      </w:r>
    </w:p>
    <w:p w14:paraId="11AB587B"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вели бои за переправы и форсировали реку Десна. Захватив плацдарм на западном берегу реки, наши войска заняли несколько населённых пунктов и ведут бой за город Новгород-Северский. Бойцы Н-ской части, овладев одним опорным пунктом противника, истребили две роты гитлеровцев. Наши подразделения вылавливают и берут в плен мелкие группы немецких солдат, рассеянных в лесах.</w:t>
      </w:r>
    </w:p>
    <w:p w14:paraId="756E2A0B"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наступление. Противник спешно подбрасывает свежие резервы и контратаками пытается задержать продвижение советских частей. Бойцы Н-ского соединения отбили несколько вражеских контратак, а затем решительным ударом опрокинули немцев и заняли ряд населённых пунктов. На поле боя осталось до 600 вражеских трупов и 5 сгоревших танков. На другом участке наши подвижные отряды неотступно преследуют противника, не давая ему возможности закрепиться. Танкисты Н-ской бригады вышли в тыл отступающей немецкой колонне и разгромили батальон гитлеровцев. Захвачены трофеи и пленные.</w:t>
      </w:r>
    </w:p>
    <w:p w14:paraId="1E4FCD27"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вели наступательные бои и заняли ряд опорных пунктов. Бойцы Н-ского соединения отбили несколько ожесточённых контратак танков и мотопехоты противника. На поле боя осталось свыше 300 вражеских трупов, 12 разбитых ненецких танков и 60 автомашин.</w:t>
      </w:r>
    </w:p>
    <w:p w14:paraId="767E0D08"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Могилёвской области, ночью напал на крупный гарнизон противника. В ожесточённом бою партизаны убили и ранили свыше 200 немецких солдат и офицеров. В числе убитых — командир немецкого полка. Взяты пленные. Захвачены документы штаба полка, 18 пулемётов, много винтовок и автоматов. Партизаны этого же отряда разгромили автоколонну противника. Разбито10 автомашин с боеприпасами и продовольствием.</w:t>
      </w:r>
    </w:p>
    <w:p w14:paraId="5CC6F121"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168 полка 82 немецкой пехотной дивизии подполковник Вильгельм Матцмор рассказал: «Мой полк разгромлен и разбит. За несколько дней он потерял убитыми и ранеными 900 человек. Свыше 400 солдат и офицеров попали в плен. В августе я был в Берлине. Здесь я встретил полковника, моего друга и сослуживца. Он служил во Франции и недавно вместе с группой офицеров был отозван и получил назначение на Восточный фронт. Полковник заявил, что полный провал летней кампании на Востоке и успешное наступление русской армии вызвали растерянность и замешательство среди немецких офицеров. Некоторые офицеры берлинского гарнизона, с которыми мне пришлось беседовать, считают, что Германия зашла в тупик» (14765).</w:t>
      </w:r>
    </w:p>
    <w:p w14:paraId="571D5754" w14:textId="77777777" w:rsidR="008C20FA" w:rsidRPr="00271E51" w:rsidRDefault="008C20FA" w:rsidP="00271E51">
      <w:pPr>
        <w:spacing w:after="0" w:line="240" w:lineRule="auto"/>
        <w:jc w:val="both"/>
        <w:rPr>
          <w:rFonts w:ascii="Times New Roman" w:hAnsi="Times New Roman"/>
          <w:color w:val="000000" w:themeColor="text1"/>
          <w:sz w:val="16"/>
          <w:szCs w:val="16"/>
        </w:rPr>
      </w:pPr>
    </w:p>
    <w:p w14:paraId="1BAC1147" w14:textId="77777777" w:rsidR="008C20FA" w:rsidRPr="00271E51" w:rsidRDefault="008C20F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в 1943 году начало Новороссийской операции войск Северо-Кавказского фронта и Черноморского флота. Руководит всеми наземными войсками командующий 18-й армией генерал-лейтенант К.Н.Леселидзе, десантной операцией — командующий Черноморским флотом вице-адмирал Л.А.Владимирский, а начальником высадки - командир Новороссийской военно-морской базы контр-адмирал Г.Н.Холостяков. После артподготовки и бомбовых ударов авиации в дело вступают торпедные катера, которые атакуют торпедами огневые точки на молах, боно-сетевые заграждения и доты на берегу Цемесской бухты. Затем в действие вступит морская пехота 255-й Краснознаменной бригады и батальоны 1339-го стрелкового полка. После успешной высадки десанта в бой будут введены свежие силы и утром 16 сентября город и порт Новороссийск будет освобожден. В изданной в начале 60-х шеститомной "Истории Великой Отечественной войны Советского Союза" удостоился упоминания и начальник политотдела 18-й армии полковник Л.И.Брежнев, который провел специальные совещания с командным и политическим составом, проверил, как идет подготовка к операции, в чем нуждаются войска, а также вручил партийные билеты и кандидатские карточки воинам, принятым в ряды Коммунистической партии, пожелал им быть мужественными и стойкими в бою, оправдать доверие партии, высокое звание коммуниста. (Леонид Ильич уже был с 1960 председателем Президиума Верховного Совета СССР.) Его боевые заслуги еще дважды были отмечены на почти четырех тысячах страниц. В первом случае он назван душой поистине героической обороны "Малой земли" под тем же Новороссийском, а в последнем отмечена хорошо поставленная пропаганда героических подвигов воинов армии уже генерал-майором Брежневым, когда за четыре месяца 1945 только в одном полку было выпущено 76 листовок "Слава Героям!" Вряд ли стоит сомневаться в личном мужестве полковника Брежнева во время войны, но кто из нас не помнит, что в недалекие времена вся история великой войны состояла из обороны "Малой земли" и прочих сражений (14765).</w:t>
      </w:r>
    </w:p>
    <w:p w14:paraId="331F8984" w14:textId="77777777" w:rsidR="008C20FA" w:rsidRPr="00271E51" w:rsidRDefault="008C20FA" w:rsidP="00271E51">
      <w:pPr>
        <w:spacing w:after="0" w:line="240" w:lineRule="auto"/>
        <w:jc w:val="both"/>
        <w:rPr>
          <w:rFonts w:ascii="Times New Roman" w:hAnsi="Times New Roman"/>
          <w:color w:val="000000" w:themeColor="text1"/>
          <w:sz w:val="16"/>
          <w:szCs w:val="16"/>
        </w:rPr>
      </w:pPr>
    </w:p>
    <w:p w14:paraId="5BEB53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10, 1943: Soviet marines supported by naval units of the Red Fleet recapture the Black Sea port of Novorossisk (3819).</w:t>
      </w:r>
    </w:p>
    <w:p w14:paraId="6DF64C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DDA7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морской десант, поддерживаемый ВМФ, захватил Новороссийск (3819).</w:t>
      </w:r>
    </w:p>
    <w:p w14:paraId="7E61F2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E20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 десантной операции 13 катеров группы атаки берега выпустили 23 торпеда по берегу и 4 по молам Новороссийска. Взорвалось - 18. Потом группа атаки порта выстрелила по молам еще 8 торпедами (6002).</w:t>
      </w:r>
    </w:p>
    <w:p w14:paraId="7D7161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EFAD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советские войска освободили от фашистов Мариуполь и Новороссийск (4962).</w:t>
      </w:r>
    </w:p>
    <w:p w14:paraId="16A9845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6B19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3187A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1C74E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 Москве состоялась премьера кантаты-симфонии А. Штогаренко “Украина моя ” (4962).</w:t>
      </w:r>
    </w:p>
    <w:p w14:paraId="57BD554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C4CD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C9CD7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F407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года</w:t>
      </w:r>
    </w:p>
    <w:p w14:paraId="37D3DF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563FB0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Ваше послание от 8 сентября получил. Президент сообщает мне, что он телеграфирует Вам отдельно. Правительство Его Величества согласно на немедленное создание военно-политической комиссии трех держав с местом пребывания в Сицилии или в Алжире. Мы согласны, чтобы представитель Французского Национального Комитета Освобождения был четвертым членом комиссии. Я полагаю, что Президент Рузвельт также согласится с этим. Правительство Его Величества назначает г-на Гарольда Макмиллана, моего личного представителя при штабе генерала Эйзенхауэра в Алжире, причем он будет продолжать выполнять эти обязанности. Г-н Макмиллан является членом парламента и королевским министром и полностью осведомлен о положении на Средиземном море. Он пользуется полным доверием Министерства Иностранных Дел и правом постоянного доступа ко мне.</w:t>
      </w:r>
    </w:p>
    <w:p w14:paraId="64688C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не предполагаю назначать военного представителя, так как г-н Макмиллан будет находиться в тесном контакте с англо-американским штабом. Однако я прикомандирую к нему квалифицированного штабного офицера в ранге бригадира. Мне кажется, что американский представитель будет находиться почти в таком же положении, хотя я не знаю, каковы будут планы американцев. Мы, конечно, вполне понимаем, что Вашему представителю, находящемуся далеко от своей страны, возможно, потребуется более сильное военное представительство.</w:t>
      </w:r>
    </w:p>
    <w:p w14:paraId="19F031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Правительство Его Величества представляет себе, что функции комиссии должны быть следующими. Всем ее членам немедленно предоставлялась бы полная информация, имеющаяся в распоряжении трех правительств и Французского Национального Комитета Освобождения, о нынешних и будущих отношениях с Итальянским Правительством или с какими-либо другими правительствами противника, которые в будущем могут оказаться в аналогичном положении. Они встречались бы для обсуждения этих дел так часто, как они этого пожелали бы. Они поддерживали бы постоянную связь со своими правительствами и могли бы давать им советы коллективно или индивидуально. Они получали бы указания от своих правительств в отношении линии, которой они должны придерживаться, но их поощряли бы к проявлению инициативы. Все вышеизложенное не затрагивает окончательной верховной ответственности трех заинтересованных правительств. Не может быть речи о том, чтобы комиссия сама решала что-либо и предпринимала бы действия во исполнение этого. В Великобритании верховным органом является парламент, и он никогда не согласился бы на то, чтобы он был лишен в какой бы то ни было степени своих полномочий. Это было ясно сказано в моей предыдущей телеграмме.</w:t>
      </w:r>
    </w:p>
    <w:p w14:paraId="2EAEB9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отношении встречи представителей министерств иностранных дел мы уступаем Вашему желанию, чтобы Москва была местом встречи. В соответствии с этим наш Министр Иностранных Дел г-н Идеи отправится туда в начале октября. Его будут сопровождать соответствующие сотрудники.</w:t>
      </w:r>
    </w:p>
    <w:p w14:paraId="0015F7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Повестка дня. Правительство Его Величества заявляет о своей готовности обсудить любой и всякий вопрос со своими русским и американским союзниками. Через несколько дней мы представим Вам наши соображения. Но мы особенно хотели бы узнать, какие главные вопросы Вы имеете в виду.</w:t>
      </w:r>
    </w:p>
    <w:p w14:paraId="65B328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Эта встреча представителей министерств иностранных дел расценивается мной как чрезвычайно важная и необходимая предпосылка для- встречи трех глав правительств. Я доволен и с облегчением чувствую, что имеются хорошие перспективы того, что эта встреча состоится между 15 ноября и 15 декабря. Некоторое время тому назад я сообщал Вам, что я отправлюсь ради такой встречи в любой пункт, в любое время, с каким бы риском это ни было связано. Поэтому я готов отправиться в Тегеран, если Вы не считаете, что в Иране имеется более подходящее место. Я предпочел бы Кипр или Хартум, но я уступаю Вашим желаниям, Маршал Сталин. Я хочу сказать Вам, что от этой встречи нас троих, столь сильно желаемой всеми Объединенными Нациями, может зависеть не только наилучший метод скорейшего окончания войны, но и те хорошие мероприятия для будущности мира, которые позволят британской, американской и русской нациям оказать человечеству услугу на долгие годы.</w:t>
      </w:r>
    </w:p>
    <w:p w14:paraId="252A74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Благодарю Вас за Ваши поздравления. Бадольо, кажется, действовал искренне. Сообщают, что итальянский военно-морской флот отплывает в наши порты. Сообщения из Салерно пока что хорошие. Мы высадили на берег значительные силы и ведем бои с немцами (7430).</w:t>
      </w:r>
    </w:p>
    <w:p w14:paraId="68D14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198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года было получено:</w:t>
      </w:r>
    </w:p>
    <w:p w14:paraId="35764A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РУЗВЕЛЬТ и У. ЧЕРЧИЛЛЬ И. В. СТАЛИНУ *</w:t>
      </w:r>
    </w:p>
    <w:p w14:paraId="162217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рады сообщить Вам, что генерал Эйзенхауэр принял безоговорочную капитуляцию Италии, условия которой были одобрены Соединенными Штатами, Советскими Республиками и Соединенным Королевством.</w:t>
      </w:r>
    </w:p>
    <w:p w14:paraId="34F65E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союзников высадились около Неаполя и в настоящее время находятся в боевом соприкосновении с германскими войсками. Войска союзников также достигли хороших успехов в южной оконечности итальянского полуострова (7430).</w:t>
      </w:r>
    </w:p>
    <w:p w14:paraId="6A9E77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FD03F"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в 1943 году немецкий представитель в Стокгольме Кляйст доложил о предложениях Москвы, требовавшей отставки рейхсминистра восточных оккупированных территорий Розенберга или рейхсминистра иностранных дел фон Риббентропа (со своей стороны, Москва собиралась предпринять весьма решительный шаг: руководителем сепаратных переговоров с советской стороны был назначен заместитель наркома иностранных дел СССР Владимир Деканозов - доверенное лицо Лаврентия Берия и бывший советский посол в Берлине) Риббентропу. Министр был глубоко оскорблен, узнав, что Кремль требует его отставки. Он даже стал сомневаться в серьезности советского зондажа, но как раз в то время, когда Риббентроп и Кляйст обсуждали перспективы переговоров, вышел пресс-атташе МИДа и доложил, что московское радио сообщило о назначении Деканозова послом Советского Союза в Софии. Направление столь влиятельной персоны в Болгарию, которая являлась единственной союзницей Германии в Европе, сохранившей дипломатические отношения с СССР, свидетельствовало о самом серьезном отношении Сталина к идее сепаратных переговоров. Вечером Риббентроп поспешил в «Вольфшанце», чтобы обсудить с Гитлером предложения Москвы. Фюрер вроде бы заинтересовался информацией из Стокгольма. Он подошел к карте и стал показывать демаркационную линию, на которой можно было бы договориться со Сталиным. Однако на следующий день Гитлер вновь отложил решение этого вопроса, заявив, что должен поглубже над ним подумать (14765).</w:t>
      </w:r>
    </w:p>
    <w:p w14:paraId="62C4F7A5"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395D7153"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в 1943 году японский посол в Москве Сато заявил наркому иностранных дел СССР Молотову о предложении японского правительства направить в Москву «высокопоставленное лицо, представляющее непосредственно японское правительство», для выполнения посреднической миссии в организации советско-германских переговоров. Однако, к тому времени Кремль уже отказался от идеи сепаратного мира с Германией. Советский МИД решительно отклонил предложения японцев (14765).</w:t>
      </w:r>
    </w:p>
    <w:p w14:paraId="50D144B5"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0745BF8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9D072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B78B8"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10–12 сентября 1943 союзные войска зафиксировали только 158 самолето-пролетов немецких люфтваффе на плацдарм Салерно. Истребители союзников отражают большую часть немецких атак еще до того, как самолеты достигают плацдарма (20376).</w:t>
      </w:r>
    </w:p>
    <w:p w14:paraId="3DE31278" w14:textId="77777777" w:rsidR="00560783" w:rsidRPr="00271E51" w:rsidRDefault="00560783" w:rsidP="00271E51">
      <w:pPr>
        <w:spacing w:after="0" w:line="240" w:lineRule="auto"/>
        <w:jc w:val="both"/>
        <w:rPr>
          <w:rFonts w:ascii="Times New Roman" w:hAnsi="Times New Roman"/>
          <w:color w:val="0070C0"/>
          <w:sz w:val="16"/>
          <w:szCs w:val="16"/>
        </w:rPr>
      </w:pPr>
    </w:p>
    <w:p w14:paraId="6CD7ED15" w14:textId="77777777" w:rsidR="0052569F" w:rsidRPr="00271E51" w:rsidRDefault="0052569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немцами впервые применена вакуумная бомба - в Средиземном море с ее помощью потоплен итальянский линкор “Рома”, шедший сдаваться союзникам (4962).</w:t>
      </w:r>
    </w:p>
    <w:p w14:paraId="32AF4008" w14:textId="77777777" w:rsidR="0052569F" w:rsidRPr="00271E51" w:rsidRDefault="0052569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8410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 Средиземном море союзникам капитулировал итальянский флот (4962).</w:t>
      </w:r>
    </w:p>
    <w:p w14:paraId="7124A13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A4AE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вслед за известием о капитуляции Италии немецкие войска оккупировали Рим (4962).</w:t>
      </w:r>
    </w:p>
    <w:p w14:paraId="2E2813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8B71F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немецкие войска эвакуированы из Сардинии (4962).</w:t>
      </w:r>
    </w:p>
    <w:p w14:paraId="4A9EEA5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8FEF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11 1943 Germans occupy Rome (1050).</w:t>
      </w:r>
    </w:p>
    <w:p w14:paraId="25D0E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656A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10-11 </w:t>
      </w:r>
      <w:r w:rsidRPr="00271E51">
        <w:rPr>
          <w:rFonts w:ascii="Times New Roman" w:hAnsi="Times New Roman"/>
          <w:color w:val="000000" w:themeColor="text1"/>
          <w:sz w:val="16"/>
          <w:szCs w:val="16"/>
        </w:rPr>
        <w:t>сентября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немцыоккупировалиРим</w:t>
      </w:r>
      <w:r w:rsidRPr="00271E51">
        <w:rPr>
          <w:rFonts w:ascii="Times New Roman" w:hAnsi="Times New Roman"/>
          <w:color w:val="000000" w:themeColor="text1"/>
          <w:sz w:val="16"/>
          <w:szCs w:val="16"/>
          <w:lang w:val="en-US"/>
        </w:rPr>
        <w:t xml:space="preserve"> (270;1050).</w:t>
      </w:r>
    </w:p>
    <w:p w14:paraId="22C65B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C182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1943 немцы заняли Рим (2262).</w:t>
      </w:r>
    </w:p>
    <w:p w14:paraId="50AA80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7545F"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сентября в 1943 году Чан Кай-ши официально вступил в должность главы Национального Правительства Китайской Республики (14765).</w:t>
      </w:r>
    </w:p>
    <w:p w14:paraId="0C3C85AD"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08E0E41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69A05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DA176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1-я декада сентября 1943 г. из СПРАВКИ ЗАМЕСТИТЕЛЯ ЗАВЕДУЮЩЕГО ОТДЕЛОМ ПРОМЫШЛЕННОСТИ БОЕПРИПАСОВ ОБКОМА ВКП(б) С.А. ПАНОВА О РАБОТЕ ПРОМЫШЛЕННОСТИ БОЕПРИПАСОВ НОВОСИБИРСКОЙ ОБЛАСТИ ЗА 1941-1943 гг.</w:t>
      </w:r>
    </w:p>
    <w:p w14:paraId="42C0565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территории области расположены 14 действующих предприятий, 13 из которых производят различные боеприпасы и одно — спецтару. Большинство из них эвакуированы из западных областей ... Из расположенных в Новосибирской области предприятий боеприпасов 10 входят в систему Наркомата боеприпасов - заводы №№ 65, 136, 325, 386, 556, 564, 635, 677, «Большевик» и комбинат № 179. Два завода входят в систему НКПС - завод «Метрострой» № 2 и литейно-механические мастерские (снарядное производство Мичуринского ПРЗ), один в систему НКСтроя — завод № 10 и один в систему НКВД - НТК № 5 (завод «Чекист»). В результате ввода в строй эвакуированных с запада предприятий, ввода в действие и освоения мощностей крупнейшего предприятия области комбината № 179, строительства и пуска новых заводов промышленность боеприпасов области уже с начала 1942 года становится одной из крупнейших, ведущих отраслей промышленности и сейчас занимает по товарному выпуску продукции одно из первых мест в области. К концу 1943 года месячный выпуск товарной продукции промышленности боеприпасов достигает 140 млн. рублей, а номенклатура насчитывает свыше 40 боевых изделий, причем многие виды боеприпасов производятся в совершенно законченном виде и идут непосредственно на снабжение фронта. Кроме того, завод № 564 НКБ имеет в своем составе действующее производство радиостанций, выпускающее станции «А-7», и завод № 677 имеет действующее производство взрывателей КТМ-1.</w:t>
      </w:r>
    </w:p>
    <w:p w14:paraId="67BCD02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Восстановление мощностей и их наращивание</w:t>
      </w:r>
    </w:p>
    <w:p w14:paraId="518A106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Промышленность боеприпасов в области особенно быстро начала развиваться с конца второго полугодия 1941 года, в связи с прибытием эвакуированных из западных областей заводов и их восстановлением. Характеристику наращивания мощностей дает квартальная динамика их развития за период с начала войны до 1 сентября 1943 года. Таким образом, за 2 1/4 года Отечественной войны промышленность боеприпасов области выросла почти в 9 раз против июля 1941 года. Особенно быстрый темп наращивания мощностей относится к периодам IV квартала 1941 года и первого полугодия 1942 года, т.е. в течение 7—8 месяцев все эвакуированные заводы были пущены в эксплуатацию и уже к июлю 1942 года мощность промышленности достигает 140 млн. рублей против 21 млн. рублей в июле 1941 года. Дальнейшее освоение и улучшение технологии производства боеприпасов, а также ввод в эксплуатацию новых цехов способствовали дальнейшему наращиванию мощностей, и к сентябрю 1943 года промышленность боеприпасов выросла еще на 32 процента против июля 1942 года и достигла мощности в 185 млн. рублей в неизменных ценах. Характерно отметить быстрое наращивание мощностей по отдельным предприятиям промышленности боеприпасов области. Так, единственный в области снаряжательный завод № 635 НКБ прибыл в область в ноябре 1941 года, а к марту 1942 года его мощность определилась в 3,6 млн. рублей, к июлю 1942 года - 6,0 млн. рублей и к сентябрю 1943 года - уже 10 млн. рублей. Комбинат № 179, занимающий в области 60% удельного веса всего выпуска корпусов снарядов и мин и 33% всей промышленности боеприпасов, в декабре 1941 года достиг мощности 45 млн. рублей, а к сентябрю 1943 года — уже 62 млн. рублей, или дал рост на 38%. Если сравнить выпуск второго полугодия 1941 года с выпуском соответствующего периода 1942 года, то рост выпуска определяется в 6,3 раза и в дальнейшем стабилизируется. Необходимо отметить, что промышленность боеприпасов области имеет огромные резервы мощностей, до сих пор еще не использованные. Это ярко видно хотя бы из того, что среднемесячный выпуск валовой продукции в третьем квартале 1943 года равен только 131 млн. рублей в неизменных ценах, в то время как достигнутая мощность в сентябре 1943 года равна 185 млн. рублей, или имеющиеся производственные мощности использованы лишь на 71%. Характерно отметить, что в Новосибирской области в третьем квартале 1943 года обеспечивается снаряжение 100 % выпуска 76 мм снарядов, 100 % выпуска 122 [мм] снарядов, 60 % выпуска 152 [мм] снарядов, а по снаряжению 82 и 120 мм мин обслуживается ряд заводов, расположенных в других областях Союза. Кроме того, в области производится снаряжение целого ряда новых изделий, в частности снаряжение 57 мм ОФ снарядов, ФАБ-50, сухопутных мин ЯМ-5, а также снаряжение химических шашек ЯФУ и ЯМ-21, причем корпуса для последних производятся также на заводах области.</w:t>
      </w:r>
    </w:p>
    <w:p w14:paraId="38A42E0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Производительность труда</w:t>
      </w:r>
    </w:p>
    <w:p w14:paraId="0D8606D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Валовой выпуск продукции промышленности боеприпасов области в первом полугодии 1942 года по сравнению со вторым полугодием 1941 года увеличился в 6,3 раза, в то время как численность рабочих за этот же период увеличилась только в 3,4 раза. Эти данные ярко характеризуют тот резкий рост производительности труда, которого добились заводы боеприпасов за этот период. Бели во втором полугодии 1941 года выработка на одного рабочего составляла 10,9 тысячи рублей, то в первом полугодии 1943 года она достигает 18,7 тысячи рублей, или рост на 72%. Во втором полугодии 1943 года производительность труда продолжает расти и средняя месячная выработка на одного рабочего в третьем квартале 1943 года определяется в 3,3 тысячи против среднемесячной выработки на одного рабочего во втором полугодии 1,8 тысячи, или рост на 83%. Следует отметить, что значительному росту производительности труда в промышленности способствовало быстрое освоение рабочими норм выработки. Это характеризуется резким падением численности рабочих, не выполняющих норм выработки. Так, если во втором полугодии 1941 года рабочих, не выполняющих норм, было 4 376 человек, что составляло 38,5% к общей численности рабочих, то в III квартале 1943 года численность рабочих, не выполняющих норм, доходит до 2 905 человек, или 7,4% к общей численности рабочих, причем в основной своей массе это контингент учеников, недавно перешедших в группу рабочих. Следует отметить значительный рост производительности труда по отдельным предприятиям области. По заводу № 635 выработка на одного рабочего в первом полугодии 1943 года выросла по сравнению с первым полугодием 1942 года на 156%, а в III квартале 1943 года - на 274%. По комбинату № 179 выработка на одного рабочего в первом полугодии 1943 года достигает 18,5 тысяч рублей, или на 105% выше второго полугодия 1941 года, а в III квартале 1943 года выше на 140% против этого периода 1941 года.</w:t>
      </w:r>
    </w:p>
    <w:p w14:paraId="69C0AF6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Кадры промышленности</w:t>
      </w:r>
    </w:p>
    <w:p w14:paraId="2016120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Кадры промышленности боеприпасов комплектовались из прибывших вместе с заводами людей, а также прибывающих в порядке мобилизации в основном из районов Новосибирской области и частично из районов других областей. За период со второго полугодия 1941 года по третий квартал 1943 года в промышленность прибыло в порядке мобилизации 27 222 человека, из них — 24 777 человек только из районов Новосибирской области. Таким образом, 70 % всего состава рабочих, или 56 % всей численности работающих, составляют трудящиеся, мобилизованные в Новосибирской области. Кроме указанного контингента в промышленности боеприпасов применяется труд заключенных. Так, во втором полугодии 1942 года в промышленности было занято 8 986 человек заключенных, или 21,5 % общей численности рабочих. В первом полугодии 1943 года численность заключенных снижается до 4 300 человек. За время Отечественной войны в промышленности боеприпасов значительно вырос удельный вес женщин-рабочих. Так, если во втором полугодии 1941 года удельный вес женщин-рабочих в общей численности рабочих составлял 20%, то в третьем квартале 1943 года этот процент достигает 52%. На заводах боеприпасов получили широкое развитие многообразные формы социалистического соревнования, а также применение новых форм труда, выдвинувшие значительное число лучших людей, передовиков производства. Число стахановцев выросло до 11 716 человек в третьем квартале 1943 года, что составляет 30 % к общей численности рабочих, против 15 % во втором полугодии 1942 года. Развитие движения за многостаночное обслуживание увеличило число многостаночников в промышленности. В третьем квартале 1943 года промышленность насчитывает 514 человек стахановцев, обслуживающих по нескольку станков одновременно. На заводах боеприпасов родилось движение тысячников Сибири, инициатором которого является инструментальщик комбината № 179 тов. Ширшов.</w:t>
      </w:r>
    </w:p>
    <w:p w14:paraId="09BF84C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Трудовая дисциплина</w:t>
      </w:r>
    </w:p>
    <w:p w14:paraId="1356343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Трудовая дисциплина в промышленности боеприпасов в течение всего периода войны и сейчас находится на крайне низком уровне и является совершенно неудовлетворительной. Число дезертиров ежегодно растет. Если в первом полугодии 1941 года с заводов дезертировало 141 человек, то в первом полугодии 1943 года число дезертиров увеличилось до 6 080 человек, что составляет 11,4% всех работающих. Всего за период Отечественной войны с заводов боеприпасов выбыло рабочих 31 872 человека, из них дезертировало 16 278 человек, ушло в армию 4 637 человек.</w:t>
      </w:r>
    </w:p>
    <w:p w14:paraId="6D1D0A7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работы промышленности</w:t>
      </w:r>
    </w:p>
    <w:p w14:paraId="0E27B98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годы Отечественной войны промышленность значительно снизила себестоимость продукции, в результате чего накопление от выполнения техпромфинплана за отчетный период выразилось в размере 112,8 млн. рублей.</w:t>
      </w:r>
    </w:p>
    <w:p w14:paraId="2504FD0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Материальво-бытовое обслуживание трудящихся и продовольственная база. Жилстроительство</w:t>
      </w:r>
    </w:p>
    <w:p w14:paraId="4B6AF97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годы Отечественной войны жилищный фонд промышленности вырос на 31%. Если в первом полугодии 1941 года общий жилфонд определялся в 209 814 кв. метров с проживающими в нем 59 495 чел., то в третьем квартале 1943 года жилфонд составляет 274 560 кв. метров с проживающими в нем 79 178 чел., или в среднем 3,5 кв. метра на человека.</w:t>
      </w:r>
    </w:p>
    <w:p w14:paraId="61F1057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Продовольственная база</w:t>
      </w:r>
    </w:p>
    <w:p w14:paraId="766CCCF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Широкое развитие коллективного и индивидуального огородничества и подсобных хозяйств заводов оказало промышленности боеприпасов огромную помощь в решении вопроса продовольственного обеспечения рабочих. Посевная площадь подсобных хозяйств заводов увеличилась в 1943 году против второго полугодия 1941 года в 2,9 раза [и] достигла 11 155 га. Посевная площадь индивидуальных огородов составила в первом полугодии 1943 года 742 га. Такой рост посевных площадей обеспечил резко увеличенный сбор овощей. В 1943 году собрано 17 494 тонны овощей и картофеля против 507 тонн в 1941 году. Резко увеличилось, поголовье рогатого и прочего скота. Если во втором полугодии 1941 года промышленность имела 1957 голов рогатого скота и 832 головы прочего скота, то в 1943 году промышленность имеет рогатого скота 7 898 голов и прочего скота 6 696 [голов], т.е. увеличение в 5,2 раза.</w:t>
      </w:r>
    </w:p>
    <w:p w14:paraId="4700659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зав. отделом промышленности боеприпасов обкома ВКП(б) С. Панов</w:t>
      </w:r>
    </w:p>
    <w:p w14:paraId="75472D4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II - 4. Оп. 6. Д. 471. Л. 244-250. Копия. Экземпляр машинописной закладки (12160).</w:t>
      </w:r>
    </w:p>
    <w:p w14:paraId="46A1A0B7"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19F59B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9423F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7EEF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вышел приказ ГУ ВВС КА, который предписывал на всех самолетах окаймлять звезды двумя полосами - белой - 50 мм и красной - 10 мм (198,122).</w:t>
      </w:r>
    </w:p>
    <w:p w14:paraId="29BBA9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47FA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B1FE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828C4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 Из постановления бюро Башкирского обкома ВКП(б) об увеличении производства мин и гаубичных снарядов</w:t>
      </w:r>
    </w:p>
    <w:p w14:paraId="754D650C"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ГКО № 8182сс от 28 августа 1943 года «Об увеличении поставок НКО 120 мм мин и 122 мм гаубичных снарядов» бюро обкома ВКП(б) постановляет:</w:t>
      </w:r>
    </w:p>
    <w:p w14:paraId="352A7FF6"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директоров заводов — паровозоремонтного тов. Черемухина, завода № 154 [имени] КИМ тов. Дановича обеспечить в сентябре и октябре 1943 года производство и отгрузку снаряжательным заводам НКБ, а директора завода горного оборудования тов. Потапова производство и и отгрузку заводу № 154 и заводу № 1 Метростроя в количествах и по срокам: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04"/>
        <w:gridCol w:w="1262"/>
        <w:gridCol w:w="528"/>
        <w:gridCol w:w="494"/>
        <w:gridCol w:w="514"/>
        <w:gridCol w:w="514"/>
        <w:gridCol w:w="523"/>
        <w:gridCol w:w="1042"/>
      </w:tblGrid>
      <w:tr w:rsidR="00A907A5" w:rsidRPr="00271E51" w14:paraId="0EA83EF1" w14:textId="77777777" w:rsidTr="008668D9">
        <w:trPr>
          <w:trHeight w:hRule="exact" w:val="312"/>
        </w:trPr>
        <w:tc>
          <w:tcPr>
            <w:tcW w:w="1104" w:type="dxa"/>
            <w:vMerge w:val="restart"/>
            <w:shd w:val="clear" w:color="auto" w:fill="FFFFFF"/>
            <w:vAlign w:val="center"/>
          </w:tcPr>
          <w:p w14:paraId="3A7BCAEC"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w:t>
            </w:r>
          </w:p>
          <w:p w14:paraId="3A248F4F"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предприятий</w:t>
            </w:r>
          </w:p>
        </w:tc>
        <w:tc>
          <w:tcPr>
            <w:tcW w:w="1262" w:type="dxa"/>
            <w:vMerge w:val="restart"/>
            <w:shd w:val="clear" w:color="auto" w:fill="FFFFFF"/>
            <w:vAlign w:val="center"/>
          </w:tcPr>
          <w:p w14:paraId="279A9FC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w:t>
            </w:r>
          </w:p>
          <w:p w14:paraId="71F0FD4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изделий</w:t>
            </w:r>
          </w:p>
        </w:tc>
        <w:tc>
          <w:tcPr>
            <w:tcW w:w="528" w:type="dxa"/>
            <w:shd w:val="clear" w:color="auto" w:fill="FFFFFF"/>
          </w:tcPr>
          <w:p w14:paraId="453127B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08" w:type="dxa"/>
            <w:gridSpan w:val="2"/>
            <w:shd w:val="clear" w:color="auto" w:fill="FFFFFF"/>
            <w:vAlign w:val="center"/>
          </w:tcPr>
          <w:p w14:paraId="09CC933C"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Колнчество</w:t>
            </w:r>
          </w:p>
        </w:tc>
        <w:tc>
          <w:tcPr>
            <w:tcW w:w="514" w:type="dxa"/>
            <w:shd w:val="clear" w:color="auto" w:fill="FFFFFF"/>
            <w:vAlign w:val="center"/>
          </w:tcPr>
          <w:p w14:paraId="083927C9"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13B80C56"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16BDE934"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6CA51543" w14:textId="77777777" w:rsidTr="008668D9">
        <w:trPr>
          <w:trHeight w:hRule="exact" w:val="317"/>
        </w:trPr>
        <w:tc>
          <w:tcPr>
            <w:tcW w:w="1104" w:type="dxa"/>
            <w:vMerge/>
            <w:shd w:val="clear" w:color="auto" w:fill="FFFFFF"/>
            <w:vAlign w:val="center"/>
          </w:tcPr>
          <w:p w14:paraId="67836F3A"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262" w:type="dxa"/>
            <w:vMerge/>
            <w:shd w:val="clear" w:color="auto" w:fill="FFFFFF"/>
            <w:vAlign w:val="center"/>
          </w:tcPr>
          <w:p w14:paraId="384EEF7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2050" w:type="dxa"/>
            <w:gridSpan w:val="4"/>
            <w:shd w:val="clear" w:color="auto" w:fill="FFFFFF"/>
            <w:vAlign w:val="center"/>
          </w:tcPr>
          <w:p w14:paraId="4744A70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w:t>
            </w:r>
          </w:p>
        </w:tc>
        <w:tc>
          <w:tcPr>
            <w:tcW w:w="523" w:type="dxa"/>
            <w:shd w:val="clear" w:color="auto" w:fill="FFFFFF"/>
            <w:vAlign w:val="center"/>
          </w:tcPr>
          <w:p w14:paraId="2FC9983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w:t>
            </w:r>
          </w:p>
        </w:tc>
        <w:tc>
          <w:tcPr>
            <w:tcW w:w="1042" w:type="dxa"/>
            <w:vMerge w:val="restart"/>
            <w:shd w:val="clear" w:color="auto" w:fill="FFFFFF"/>
          </w:tcPr>
          <w:p w14:paraId="63E1E899"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5119BFC0" w14:textId="77777777" w:rsidTr="008668D9">
        <w:trPr>
          <w:trHeight w:hRule="exact" w:val="466"/>
        </w:trPr>
        <w:tc>
          <w:tcPr>
            <w:tcW w:w="1104" w:type="dxa"/>
            <w:vMerge/>
            <w:shd w:val="clear" w:color="auto" w:fill="FFFFFF"/>
            <w:vAlign w:val="center"/>
          </w:tcPr>
          <w:p w14:paraId="142DA9D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262" w:type="dxa"/>
            <w:vMerge/>
            <w:shd w:val="clear" w:color="auto" w:fill="FFFFFF"/>
            <w:vAlign w:val="center"/>
          </w:tcPr>
          <w:p w14:paraId="36D8A825"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8" w:type="dxa"/>
            <w:shd w:val="clear" w:color="auto" w:fill="FFFFFF"/>
            <w:vAlign w:val="center"/>
          </w:tcPr>
          <w:p w14:paraId="30B75887"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tc>
        <w:tc>
          <w:tcPr>
            <w:tcW w:w="494" w:type="dxa"/>
            <w:shd w:val="clear" w:color="auto" w:fill="FFFFFF"/>
            <w:vAlign w:val="center"/>
          </w:tcPr>
          <w:p w14:paraId="04CBF8A8"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1-я</w:t>
            </w:r>
          </w:p>
          <w:p w14:paraId="200EEEB2"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декаде*</w:t>
            </w:r>
          </w:p>
        </w:tc>
        <w:tc>
          <w:tcPr>
            <w:tcW w:w="514" w:type="dxa"/>
            <w:shd w:val="clear" w:color="auto" w:fill="FFFFFF"/>
            <w:vAlign w:val="center"/>
          </w:tcPr>
          <w:p w14:paraId="77E7D5D6"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И-я</w:t>
            </w:r>
          </w:p>
          <w:p w14:paraId="1403754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декада</w:t>
            </w:r>
          </w:p>
        </w:tc>
        <w:tc>
          <w:tcPr>
            <w:tcW w:w="514" w:type="dxa"/>
            <w:shd w:val="clear" w:color="auto" w:fill="FFFFFF"/>
            <w:vAlign w:val="center"/>
          </w:tcPr>
          <w:p w14:paraId="63B69BBA"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Ш-я</w:t>
            </w:r>
          </w:p>
          <w:p w14:paraId="6F81093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декада</w:t>
            </w:r>
          </w:p>
        </w:tc>
        <w:tc>
          <w:tcPr>
            <w:tcW w:w="523" w:type="dxa"/>
            <w:shd w:val="clear" w:color="auto" w:fill="FFFFFF"/>
            <w:vAlign w:val="center"/>
          </w:tcPr>
          <w:p w14:paraId="444C146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tc>
        <w:tc>
          <w:tcPr>
            <w:tcW w:w="1042" w:type="dxa"/>
            <w:vMerge/>
            <w:shd w:val="clear" w:color="auto" w:fill="FFFFFF"/>
          </w:tcPr>
          <w:p w14:paraId="35B73930"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5E25C804" w14:textId="77777777" w:rsidTr="008668D9">
        <w:trPr>
          <w:trHeight w:hRule="exact" w:val="202"/>
        </w:trPr>
        <w:tc>
          <w:tcPr>
            <w:tcW w:w="1104" w:type="dxa"/>
            <w:shd w:val="clear" w:color="auto" w:fill="FFFFFF"/>
            <w:vAlign w:val="bottom"/>
          </w:tcPr>
          <w:p w14:paraId="63DE165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Паровозо-</w:t>
            </w:r>
          </w:p>
        </w:tc>
        <w:tc>
          <w:tcPr>
            <w:tcW w:w="1262" w:type="dxa"/>
            <w:shd w:val="clear" w:color="auto" w:fill="FFFFFF"/>
            <w:vAlign w:val="bottom"/>
          </w:tcPr>
          <w:p w14:paraId="5A0D0A62"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Корпуса 122 мм</w:t>
            </w:r>
          </w:p>
        </w:tc>
        <w:tc>
          <w:tcPr>
            <w:tcW w:w="528" w:type="dxa"/>
            <w:shd w:val="clear" w:color="auto" w:fill="FFFFFF"/>
            <w:vAlign w:val="bottom"/>
          </w:tcPr>
          <w:p w14:paraId="41544391"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494" w:type="dxa"/>
            <w:shd w:val="clear" w:color="auto" w:fill="FFFFFF"/>
            <w:vAlign w:val="bottom"/>
          </w:tcPr>
          <w:p w14:paraId="58B0F61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зоод</w:t>
            </w:r>
          </w:p>
        </w:tc>
        <w:tc>
          <w:tcPr>
            <w:tcW w:w="514" w:type="dxa"/>
            <w:shd w:val="clear" w:color="auto" w:fill="FFFFFF"/>
            <w:vAlign w:val="bottom"/>
          </w:tcPr>
          <w:p w14:paraId="17DD466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514" w:type="dxa"/>
            <w:shd w:val="clear" w:color="auto" w:fill="FFFFFF"/>
            <w:vAlign w:val="bottom"/>
          </w:tcPr>
          <w:p w14:paraId="1EE23E1A"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523" w:type="dxa"/>
            <w:shd w:val="clear" w:color="auto" w:fill="FFFFFF"/>
            <w:vAlign w:val="bottom"/>
          </w:tcPr>
          <w:p w14:paraId="687521C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1042" w:type="dxa"/>
            <w:shd w:val="clear" w:color="auto" w:fill="FFFFFF"/>
            <w:vAlign w:val="bottom"/>
          </w:tcPr>
          <w:p w14:paraId="709D507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w:t>
            </w:r>
          </w:p>
        </w:tc>
      </w:tr>
      <w:tr w:rsidR="00A907A5" w:rsidRPr="00271E51" w14:paraId="17CA341D" w14:textId="77777777" w:rsidTr="008668D9">
        <w:trPr>
          <w:trHeight w:hRule="exact" w:val="192"/>
        </w:trPr>
        <w:tc>
          <w:tcPr>
            <w:tcW w:w="1104" w:type="dxa"/>
            <w:shd w:val="clear" w:color="auto" w:fill="FFFFFF"/>
          </w:tcPr>
          <w:p w14:paraId="6A771DF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ремонтный</w:t>
            </w:r>
          </w:p>
        </w:tc>
        <w:tc>
          <w:tcPr>
            <w:tcW w:w="1262" w:type="dxa"/>
            <w:shd w:val="clear" w:color="auto" w:fill="FFFFFF"/>
          </w:tcPr>
          <w:p w14:paraId="76C65942"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осколоч</w:t>
            </w:r>
          </w:p>
        </w:tc>
        <w:tc>
          <w:tcPr>
            <w:tcW w:w="528" w:type="dxa"/>
            <w:shd w:val="clear" w:color="auto" w:fill="FFFFFF"/>
          </w:tcPr>
          <w:p w14:paraId="325B3DD3"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715FA370"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7D0DED14"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1A4D1FF7"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1BCFF869"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14799808"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161 НКБ</w:t>
            </w:r>
          </w:p>
        </w:tc>
      </w:tr>
      <w:tr w:rsidR="00A907A5" w:rsidRPr="00271E51" w14:paraId="568CFC65" w14:textId="77777777" w:rsidTr="008668D9">
        <w:trPr>
          <w:trHeight w:hRule="exact" w:val="178"/>
        </w:trPr>
        <w:tc>
          <w:tcPr>
            <w:tcW w:w="1104" w:type="dxa"/>
            <w:shd w:val="clear" w:color="auto" w:fill="FFFFFF"/>
          </w:tcPr>
          <w:p w14:paraId="433E01C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w:t>
            </w:r>
          </w:p>
        </w:tc>
        <w:tc>
          <w:tcPr>
            <w:tcW w:w="1262" w:type="dxa"/>
            <w:shd w:val="clear" w:color="auto" w:fill="FFFFFF"/>
          </w:tcPr>
          <w:p w14:paraId="3CD6B61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ных снарядов</w:t>
            </w:r>
          </w:p>
        </w:tc>
        <w:tc>
          <w:tcPr>
            <w:tcW w:w="528" w:type="dxa"/>
            <w:shd w:val="clear" w:color="auto" w:fill="FFFFFF"/>
          </w:tcPr>
          <w:p w14:paraId="14153E5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0E0483B8"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5E3DD899"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05AB4C9D"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17A6CD26"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7518E16D"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636C97AC" w14:textId="77777777" w:rsidTr="008668D9">
        <w:trPr>
          <w:trHeight w:hRule="exact" w:val="178"/>
        </w:trPr>
        <w:tc>
          <w:tcPr>
            <w:tcW w:w="1104" w:type="dxa"/>
            <w:shd w:val="clear" w:color="auto" w:fill="FFFFFF"/>
          </w:tcPr>
          <w:p w14:paraId="79BB9ACF"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154</w:t>
            </w:r>
          </w:p>
        </w:tc>
        <w:tc>
          <w:tcPr>
            <w:tcW w:w="1262" w:type="dxa"/>
            <w:shd w:val="clear" w:color="auto" w:fill="FFFFFF"/>
          </w:tcPr>
          <w:p w14:paraId="2D2EFB86"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Корпуса</w:t>
            </w:r>
          </w:p>
        </w:tc>
        <w:tc>
          <w:tcPr>
            <w:tcW w:w="528" w:type="dxa"/>
            <w:shd w:val="clear" w:color="auto" w:fill="FFFFFF"/>
            <w:vAlign w:val="bottom"/>
          </w:tcPr>
          <w:p w14:paraId="7E741520"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494" w:type="dxa"/>
            <w:shd w:val="clear" w:color="auto" w:fill="FFFFFF"/>
          </w:tcPr>
          <w:p w14:paraId="465B5779"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14" w:type="dxa"/>
            <w:shd w:val="clear" w:color="auto" w:fill="FFFFFF"/>
          </w:tcPr>
          <w:p w14:paraId="393797B2"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14" w:type="dxa"/>
            <w:shd w:val="clear" w:color="auto" w:fill="FFFFFF"/>
            <w:vAlign w:val="bottom"/>
          </w:tcPr>
          <w:p w14:paraId="24C3603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523" w:type="dxa"/>
            <w:shd w:val="clear" w:color="auto" w:fill="FFFFFF"/>
            <w:vAlign w:val="bottom"/>
          </w:tcPr>
          <w:p w14:paraId="764F85B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042" w:type="dxa"/>
            <w:shd w:val="clear" w:color="auto" w:fill="FFFFFF"/>
          </w:tcPr>
          <w:p w14:paraId="63CA500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w:t>
            </w:r>
          </w:p>
        </w:tc>
      </w:tr>
      <w:tr w:rsidR="00A907A5" w:rsidRPr="00271E51" w14:paraId="1111399D" w14:textId="77777777" w:rsidTr="008668D9">
        <w:trPr>
          <w:trHeight w:hRule="exact" w:val="178"/>
        </w:trPr>
        <w:tc>
          <w:tcPr>
            <w:tcW w:w="1104" w:type="dxa"/>
            <w:shd w:val="clear" w:color="auto" w:fill="FFFFFF"/>
            <w:vAlign w:val="bottom"/>
          </w:tcPr>
          <w:p w14:paraId="580382B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[имени]</w:t>
            </w:r>
          </w:p>
        </w:tc>
        <w:tc>
          <w:tcPr>
            <w:tcW w:w="1262" w:type="dxa"/>
            <w:shd w:val="clear" w:color="auto" w:fill="FFFFFF"/>
            <w:vAlign w:val="bottom"/>
          </w:tcPr>
          <w:p w14:paraId="19BB8406"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 мм* мин</w:t>
            </w:r>
          </w:p>
        </w:tc>
        <w:tc>
          <w:tcPr>
            <w:tcW w:w="528" w:type="dxa"/>
            <w:shd w:val="clear" w:color="auto" w:fill="FFFFFF"/>
          </w:tcPr>
          <w:p w14:paraId="49C49B38"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1683804C"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4DDDABFD"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4C1BF495"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6782D2A4"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vAlign w:val="bottom"/>
          </w:tcPr>
          <w:p w14:paraId="20D7C79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15 НКБ</w:t>
            </w:r>
          </w:p>
        </w:tc>
      </w:tr>
      <w:tr w:rsidR="00A907A5" w:rsidRPr="00271E51" w14:paraId="5F1A4A53" w14:textId="77777777" w:rsidTr="008668D9">
        <w:trPr>
          <w:trHeight w:hRule="exact" w:val="182"/>
        </w:trPr>
        <w:tc>
          <w:tcPr>
            <w:tcW w:w="1104" w:type="dxa"/>
            <w:shd w:val="clear" w:color="auto" w:fill="FFFFFF"/>
          </w:tcPr>
          <w:p w14:paraId="5CDBE74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КИМ</w:t>
            </w:r>
          </w:p>
        </w:tc>
        <w:tc>
          <w:tcPr>
            <w:tcW w:w="1262" w:type="dxa"/>
            <w:shd w:val="clear" w:color="auto" w:fill="FFFFFF"/>
          </w:tcPr>
          <w:p w14:paraId="7B44147C"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8" w:type="dxa"/>
            <w:shd w:val="clear" w:color="auto" w:fill="FFFFFF"/>
          </w:tcPr>
          <w:p w14:paraId="7DD2D1C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1BC5CAEF"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0E06E30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393F6F56"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519F0524"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5C951A2E"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753EA238" w14:textId="77777777" w:rsidTr="008668D9">
        <w:trPr>
          <w:trHeight w:hRule="exact" w:val="197"/>
        </w:trPr>
        <w:tc>
          <w:tcPr>
            <w:tcW w:w="1104" w:type="dxa"/>
            <w:shd w:val="clear" w:color="auto" w:fill="FFFFFF"/>
            <w:vAlign w:val="bottom"/>
          </w:tcPr>
          <w:p w14:paraId="0EA23669"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горно</w:t>
            </w:r>
          </w:p>
        </w:tc>
        <w:tc>
          <w:tcPr>
            <w:tcW w:w="1262" w:type="dxa"/>
            <w:shd w:val="clear" w:color="auto" w:fill="FFFFFF"/>
            <w:vAlign w:val="bottom"/>
          </w:tcPr>
          <w:p w14:paraId="000E0EF9"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Литье корпу</w:t>
            </w:r>
          </w:p>
        </w:tc>
        <w:tc>
          <w:tcPr>
            <w:tcW w:w="528" w:type="dxa"/>
            <w:shd w:val="clear" w:color="auto" w:fill="FFFFFF"/>
            <w:vAlign w:val="bottom"/>
          </w:tcPr>
          <w:p w14:paraId="36611C1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494" w:type="dxa"/>
            <w:shd w:val="clear" w:color="auto" w:fill="FFFFFF"/>
            <w:vAlign w:val="bottom"/>
          </w:tcPr>
          <w:p w14:paraId="468013BF"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514" w:type="dxa"/>
            <w:shd w:val="clear" w:color="auto" w:fill="FFFFFF"/>
            <w:vAlign w:val="bottom"/>
          </w:tcPr>
          <w:p w14:paraId="3A8268F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514" w:type="dxa"/>
            <w:shd w:val="clear" w:color="auto" w:fill="FFFFFF"/>
            <w:vAlign w:val="center"/>
          </w:tcPr>
          <w:p w14:paraId="3802B39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23" w:type="dxa"/>
            <w:shd w:val="clear" w:color="auto" w:fill="FFFFFF"/>
            <w:vAlign w:val="bottom"/>
          </w:tcPr>
          <w:p w14:paraId="5AB1519F"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042" w:type="dxa"/>
            <w:shd w:val="clear" w:color="auto" w:fill="FFFFFF"/>
            <w:vAlign w:val="bottom"/>
          </w:tcPr>
          <w:p w14:paraId="5F95147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3-ду № 1</w:t>
            </w:r>
          </w:p>
        </w:tc>
      </w:tr>
      <w:tr w:rsidR="00A907A5" w:rsidRPr="00271E51" w14:paraId="322D4C93" w14:textId="77777777" w:rsidTr="008668D9">
        <w:trPr>
          <w:trHeight w:hRule="exact" w:val="192"/>
        </w:trPr>
        <w:tc>
          <w:tcPr>
            <w:tcW w:w="1104" w:type="dxa"/>
            <w:shd w:val="clear" w:color="auto" w:fill="FFFFFF"/>
          </w:tcPr>
          <w:p w14:paraId="7EE236C0"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 оборудо</w:t>
            </w:r>
          </w:p>
        </w:tc>
        <w:tc>
          <w:tcPr>
            <w:tcW w:w="1262" w:type="dxa"/>
            <w:shd w:val="clear" w:color="auto" w:fill="FFFFFF"/>
          </w:tcPr>
          <w:p w14:paraId="475B600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 120 мм</w:t>
            </w:r>
          </w:p>
        </w:tc>
        <w:tc>
          <w:tcPr>
            <w:tcW w:w="528" w:type="dxa"/>
            <w:shd w:val="clear" w:color="auto" w:fill="FFFFFF"/>
          </w:tcPr>
          <w:p w14:paraId="1780E01D"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4622890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35EEEEB7"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2A48A5EB"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4011EE2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0AE945F4"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Метр остр оя</w:t>
            </w:r>
          </w:p>
        </w:tc>
      </w:tr>
      <w:tr w:rsidR="00A907A5" w:rsidRPr="00271E51" w14:paraId="4DB3A620" w14:textId="77777777" w:rsidTr="008668D9">
        <w:trPr>
          <w:trHeight w:hRule="exact" w:val="158"/>
        </w:trPr>
        <w:tc>
          <w:tcPr>
            <w:tcW w:w="1104" w:type="dxa"/>
            <w:shd w:val="clear" w:color="auto" w:fill="FFFFFF"/>
          </w:tcPr>
          <w:p w14:paraId="0EDF8051"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вания</w:t>
            </w:r>
          </w:p>
        </w:tc>
        <w:tc>
          <w:tcPr>
            <w:tcW w:w="1262" w:type="dxa"/>
            <w:shd w:val="clear" w:color="auto" w:fill="FFFFFF"/>
          </w:tcPr>
          <w:p w14:paraId="2F4A5FE5"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w:t>
            </w:r>
          </w:p>
        </w:tc>
        <w:tc>
          <w:tcPr>
            <w:tcW w:w="528" w:type="dxa"/>
            <w:shd w:val="clear" w:color="auto" w:fill="FFFFFF"/>
          </w:tcPr>
          <w:p w14:paraId="534D9E1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494" w:type="dxa"/>
            <w:shd w:val="clear" w:color="auto" w:fill="FFFFFF"/>
          </w:tcPr>
          <w:p w14:paraId="63B5F61F"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56AFFE7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14" w:type="dxa"/>
            <w:shd w:val="clear" w:color="auto" w:fill="FFFFFF"/>
          </w:tcPr>
          <w:p w14:paraId="38C12691"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3" w:type="dxa"/>
            <w:shd w:val="clear" w:color="auto" w:fill="FFFFFF"/>
          </w:tcPr>
          <w:p w14:paraId="64F169A2"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042" w:type="dxa"/>
            <w:shd w:val="clear" w:color="auto" w:fill="FFFFFF"/>
          </w:tcPr>
          <w:p w14:paraId="1C6E4757"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r>
      <w:tr w:rsidR="00A907A5" w:rsidRPr="00271E51" w14:paraId="7BF1B89D" w14:textId="77777777" w:rsidTr="008668D9">
        <w:trPr>
          <w:trHeight w:hRule="exact" w:val="360"/>
        </w:trPr>
        <w:tc>
          <w:tcPr>
            <w:tcW w:w="1104" w:type="dxa"/>
            <w:shd w:val="clear" w:color="auto" w:fill="FFFFFF"/>
          </w:tcPr>
          <w:p w14:paraId="7FF90B70"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1262" w:type="dxa"/>
            <w:shd w:val="clear" w:color="auto" w:fill="FFFFFF"/>
          </w:tcPr>
          <w:p w14:paraId="1038C485" w14:textId="77777777" w:rsidR="00A76817" w:rsidRPr="00271E51" w:rsidRDefault="00A76817" w:rsidP="00271E51">
            <w:pPr>
              <w:spacing w:after="0" w:line="240" w:lineRule="auto"/>
              <w:jc w:val="both"/>
              <w:rPr>
                <w:rFonts w:ascii="Times New Roman" w:hAnsi="Times New Roman"/>
                <w:color w:val="000000" w:themeColor="text1"/>
                <w:sz w:val="16"/>
                <w:szCs w:val="16"/>
              </w:rPr>
            </w:pPr>
          </w:p>
        </w:tc>
        <w:tc>
          <w:tcPr>
            <w:tcW w:w="528" w:type="dxa"/>
            <w:shd w:val="clear" w:color="auto" w:fill="FFFFFF"/>
          </w:tcPr>
          <w:p w14:paraId="6CD7ED78"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494" w:type="dxa"/>
            <w:shd w:val="clear" w:color="auto" w:fill="FFFFFF"/>
          </w:tcPr>
          <w:p w14:paraId="32BDF58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514" w:type="dxa"/>
            <w:shd w:val="clear" w:color="auto" w:fill="FFFFFF"/>
          </w:tcPr>
          <w:p w14:paraId="3C81FDDC"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514" w:type="dxa"/>
            <w:shd w:val="clear" w:color="auto" w:fill="FFFFFF"/>
            <w:vAlign w:val="center"/>
          </w:tcPr>
          <w:p w14:paraId="61F4C061"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523" w:type="dxa"/>
            <w:shd w:val="clear" w:color="auto" w:fill="FFFFFF"/>
          </w:tcPr>
          <w:p w14:paraId="058532D1"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1042" w:type="dxa"/>
            <w:shd w:val="clear" w:color="auto" w:fill="FFFFFF"/>
          </w:tcPr>
          <w:p w14:paraId="61FB2CC7"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3-ду № 1</w:t>
            </w:r>
          </w:p>
        </w:tc>
      </w:tr>
    </w:tbl>
    <w:p w14:paraId="03445593"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(17279).</w:t>
      </w:r>
    </w:p>
    <w:p w14:paraId="6F93A9AA"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Предложить тов. Черемухину, т. Потапову и тов. Да- новичу полностью укомплектовать цеха, производящие корпуса 120 мм мин, 122 мм гаубичных снарядов, рабочей силой, в случае необходимости за счет рабочих других цехов и служащих завода.</w:t>
      </w:r>
    </w:p>
    <w:p w14:paraId="0EE0C09F"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Предупредить т. Черемухина, т. Потапова и т. Дано- вича, что они за невыполнение плана по производству и своевременной отгрузке корпусов 120 мм мин и 122 мм гаубичных снарядов будут привлечены к строгой ответственности.</w:t>
      </w:r>
    </w:p>
    <w:p w14:paraId="5F4A407E"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тов. Генералова — начальника 4-го отделения движения Куйбышевской железной дороги подавать порожняк в течение сентября и октября 1943 года под погрузку готовых корпусов 120 мм мин и 122 мм снарядов и литья для них не позже чем через 10 часов после заявки директоров заводов в заявленных количествах независимо от плана, а также подачи вагонов по другим заданиям и срочности перевозки грузов. Загруженные вагоны прицеплять к первым проходящим маршрутным поездам.</w:t>
      </w:r>
    </w:p>
    <w:p w14:paraId="3E990C79"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секретарей райкомов ВКП(б): Молотовского тов. Кузнецова, Кировского тов. Ломакина, Ленинского тов. Желяк взять под контроль выполнение заводами суточных заданий по производству и отгрузке корпусов 120 мм мин и 122 мм гаубичных снарядов и оказать заводам необходимую помощь...</w:t>
      </w:r>
    </w:p>
    <w:p w14:paraId="10804A9D"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обкома ВКП(б)</w:t>
      </w:r>
      <w:r w:rsidRPr="00271E51">
        <w:rPr>
          <w:rFonts w:ascii="Times New Roman" w:hAnsi="Times New Roman"/>
          <w:color w:val="000000" w:themeColor="text1"/>
          <w:sz w:val="16"/>
          <w:szCs w:val="16"/>
        </w:rPr>
        <w:tab/>
        <w:t>Игнатьев</w:t>
      </w:r>
    </w:p>
    <w:p w14:paraId="24BB158B" w14:textId="77777777" w:rsidR="00A76817" w:rsidRPr="00271E51" w:rsidRDefault="00A7681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ЦГАОО РБ. Ф. 122. Оп. 23. Д. 100а. Лл. 76—78. Подлинник (17279).</w:t>
      </w:r>
    </w:p>
    <w:p w14:paraId="38364B4A" w14:textId="77777777" w:rsidR="00A76817" w:rsidRPr="00271E51" w:rsidRDefault="00A76817" w:rsidP="00271E51">
      <w:pPr>
        <w:spacing w:after="0" w:line="240" w:lineRule="auto"/>
        <w:jc w:val="both"/>
        <w:rPr>
          <w:rFonts w:ascii="Times New Roman" w:hAnsi="Times New Roman"/>
          <w:color w:val="000000" w:themeColor="text1"/>
          <w:sz w:val="16"/>
          <w:szCs w:val="16"/>
        </w:rPr>
      </w:pPr>
    </w:p>
    <w:p w14:paraId="15F32E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 заказ на проведение работ по новым САУ был выдан лишь ЦАКБ, которое в установ</w:t>
      </w:r>
      <w:r w:rsidRPr="00271E51">
        <w:rPr>
          <w:rFonts w:ascii="Times New Roman" w:hAnsi="Times New Roman"/>
          <w:color w:val="000000" w:themeColor="text1"/>
          <w:sz w:val="16"/>
          <w:szCs w:val="16"/>
        </w:rPr>
        <w:softHyphen/>
        <w:t>ленные сроки не представило ни эскизного проекта, ни рас</w:t>
      </w:r>
      <w:r w:rsidRPr="00271E51">
        <w:rPr>
          <w:rFonts w:ascii="Times New Roman" w:hAnsi="Times New Roman"/>
          <w:color w:val="000000" w:themeColor="text1"/>
          <w:sz w:val="16"/>
          <w:szCs w:val="16"/>
        </w:rPr>
        <w:softHyphen/>
        <w:t>четов. Конкурс был завершен, так и не начавшись. Начальник ЦАКБ В.Г. Грабин сам выдвинул себе раз</w:t>
      </w:r>
      <w:r w:rsidRPr="00271E51">
        <w:rPr>
          <w:rFonts w:ascii="Times New Roman" w:hAnsi="Times New Roman"/>
          <w:color w:val="000000" w:themeColor="text1"/>
          <w:sz w:val="16"/>
          <w:szCs w:val="16"/>
        </w:rPr>
        <w:softHyphen/>
        <w:t>вернутые ТТТ к САУ на основании общих требований ар-туправления. Работы над данной САУ велись в ЦАКБ под индексом С-51 и были выполнены довольно быстро. Но уже на этапе расчетов оказалось, что выбранное решение в виде одного шасси танка КВ-1 С (как и У-19) имеет не</w:t>
      </w:r>
      <w:r w:rsidRPr="00271E51">
        <w:rPr>
          <w:rFonts w:ascii="Times New Roman" w:hAnsi="Times New Roman"/>
          <w:color w:val="000000" w:themeColor="text1"/>
          <w:sz w:val="16"/>
          <w:szCs w:val="16"/>
        </w:rPr>
        <w:softHyphen/>
        <w:t>достаточную длину опорной поверхности. А только ради ограниченного выпуска САУ НКТП, не справлявшийся с объемом выпуска тяжелых танков, не мог осваивать в се</w:t>
      </w:r>
      <w:r w:rsidRPr="00271E51">
        <w:rPr>
          <w:rFonts w:ascii="Times New Roman" w:hAnsi="Times New Roman"/>
          <w:color w:val="000000" w:themeColor="text1"/>
          <w:sz w:val="16"/>
          <w:szCs w:val="16"/>
        </w:rPr>
        <w:softHyphen/>
        <w:t>рийном производстве специальное удлиненное шасси (с 7—8 парами опорных катков). Поэтому руководство ЦАКБ приняло решение продолжать работы по С-51 на шасси танка КВ-1 С с минимальными переделками (11417).</w:t>
      </w:r>
    </w:p>
    <w:p w14:paraId="2D5AFF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10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вышло Распоряжение ГКО № 4084. О мерах по обеспечению своевременного пуска доменной печи № 1, коксовой батареи №1 и ТЭЦ Челябинского металлургического завода.РГАНИР, Фонд ГКО, д. 150, лл. 153, 154-156 (11012).</w:t>
      </w:r>
    </w:p>
    <w:p w14:paraId="1E693F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872A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вышло Распоряжение ГКО № 4085 [О мерах по обеспечению своевременного пуска доменной печи № 1, коксовой батареи № 1 и первой очереди химических цехов Челябинского металлургического завода.] (7138, 157,158).</w:t>
      </w:r>
    </w:p>
    <w:p w14:paraId="12E41F4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91BF9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вышло Распоряжение ГКО № 4086 [О передаче HИИ стекла и опытного стекольного завода в HКПСМ и подчинении лаборатории стекловолокна HКЛП СССР.] (7138, 159).</w:t>
      </w:r>
    </w:p>
    <w:p w14:paraId="7670C06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92FF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вышло Постановление ГКО № 4087 О восстановлении Харьковского электромеханического завода им. Сталина.РГАНИР, Фонд ГКО, д. 150, лл. 160-162 (11012).</w:t>
      </w:r>
    </w:p>
    <w:p w14:paraId="4873B0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1A5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 в соответствии с пост. ГКО № 4087 начато восстановление ХЭМЗ им. Сталина НКЭП (Русско-Балтийский электротехнический завод, Российская электрическая компания "</w:t>
      </w:r>
      <w:r w:rsidRPr="00271E51">
        <w:rPr>
          <w:rFonts w:ascii="Times New Roman" w:hAnsi="Times New Roman"/>
          <w:color w:val="000000" w:themeColor="text1"/>
          <w:sz w:val="16"/>
          <w:szCs w:val="16"/>
          <w:lang w:val="en-US"/>
        </w:rPr>
        <w:t>Union</w:t>
      </w:r>
      <w:r w:rsidRPr="00271E51">
        <w:rPr>
          <w:rFonts w:ascii="Times New Roman" w:hAnsi="Times New Roman"/>
          <w:color w:val="000000" w:themeColor="text1"/>
          <w:sz w:val="16"/>
          <w:szCs w:val="16"/>
        </w:rPr>
        <w:t>", Российское АО «Всеобщая компания электричества "</w:t>
      </w:r>
      <w:r w:rsidRPr="00271E51">
        <w:rPr>
          <w:rFonts w:ascii="Times New Roman" w:hAnsi="Times New Roman"/>
          <w:color w:val="000000" w:themeColor="text1"/>
          <w:sz w:val="16"/>
          <w:szCs w:val="16"/>
          <w:lang w:val="en-US"/>
        </w:rPr>
        <w:t>Union</w:t>
      </w:r>
      <w:r w:rsidRPr="00271E51">
        <w:rPr>
          <w:rFonts w:ascii="Times New Roman" w:hAnsi="Times New Roman"/>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C4CA5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5379C5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1976 г. завод преобразован в НПО «ЭМЗ». В 1990-е  г. преобразован в ОАО «ХЭМЗ».</w:t>
      </w:r>
    </w:p>
    <w:p w14:paraId="01A1A2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30D14C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(1937 г.)- Шевченко.</w:t>
      </w:r>
    </w:p>
    <w:p w14:paraId="6869A9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(1960-е  г.)- М.Н. Курочкин.</w:t>
      </w:r>
    </w:p>
    <w:p w14:paraId="389C46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Шевченко.</w:t>
      </w:r>
    </w:p>
    <w:p w14:paraId="5E507F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(08.1938 г.)-Л.И. Шнее.</w:t>
      </w:r>
    </w:p>
    <w:p w14:paraId="5139B4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электрооборудование для командно-дальномерного поста КДП</w:t>
      </w:r>
      <w:r w:rsidRPr="00271E51">
        <w:rPr>
          <w:rFonts w:ascii="Times New Roman" w:hAnsi="Times New Roman"/>
          <w:color w:val="000000" w:themeColor="text1"/>
          <w:sz w:val="16"/>
          <w:szCs w:val="16"/>
          <w:vertAlign w:val="subscript"/>
        </w:rPr>
        <w:t>3</w:t>
      </w:r>
      <w:r w:rsidRPr="00271E51">
        <w:rPr>
          <w:rFonts w:ascii="Times New Roman" w:hAnsi="Times New Roman"/>
          <w:color w:val="000000" w:themeColor="text1"/>
          <w:sz w:val="16"/>
          <w:szCs w:val="16"/>
        </w:rPr>
        <w:t>-6 крейсера «Киров»; электродвигатели: УТ, постоянного тока ПН-20, -32 (1938);</w:t>
      </w:r>
      <w:r w:rsidRPr="00271E51">
        <w:rPr>
          <w:rFonts w:ascii="Times New Roman" w:hAnsi="Times New Roman"/>
          <w:color w:val="000000" w:themeColor="text1"/>
          <w:sz w:val="16"/>
          <w:szCs w:val="16"/>
          <w:vertAlign w:val="superscript"/>
        </w:rPr>
        <w:t>139</w:t>
      </w:r>
      <w:r w:rsidRPr="00271E51">
        <w:rPr>
          <w:rFonts w:ascii="Times New Roman" w:hAnsi="Times New Roman"/>
          <w:color w:val="000000" w:themeColor="text1"/>
          <w:sz w:val="16"/>
          <w:szCs w:val="16"/>
        </w:rPr>
        <w:t xml:space="preserve"> ГТЗА ТВ-7 (1940-е).</w:t>
      </w:r>
    </w:p>
    <w:p w14:paraId="2DCB13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Харьковский турбинный, турбогенераторный завод им. Кирова НКТМ /г. Харьков/</w:t>
      </w:r>
    </w:p>
    <w:p w14:paraId="62C4BD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соответствии с пост. СТО от 11.07.1933 г. завод переориентирован на выпуск судовых энергетических установок.</w:t>
      </w:r>
      <w:r w:rsidRPr="00271E51">
        <w:rPr>
          <w:rFonts w:ascii="Times New Roman" w:hAnsi="Times New Roman"/>
          <w:color w:val="000000" w:themeColor="text1"/>
          <w:sz w:val="16"/>
          <w:szCs w:val="16"/>
          <w:vertAlign w:val="superscript"/>
        </w:rPr>
        <w:t>92</w:t>
      </w:r>
      <w:r w:rsidRPr="00271E51">
        <w:rPr>
          <w:rFonts w:ascii="Times New Roman" w:hAnsi="Times New Roman"/>
          <w:color w:val="000000" w:themeColor="text1"/>
          <w:sz w:val="16"/>
          <w:szCs w:val="16"/>
        </w:rPr>
        <w:t xml:space="preserve"> В конце 1930-х  г. строились самые мощные в мире главные механизмы для линкоров пр. 23.</w:t>
      </w:r>
    </w:p>
    <w:p w14:paraId="30AA94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1AFD13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01.1937 г. завод влит в состав ХЭМЗ, объединенный завод получил название ХЭТЗ.</w:t>
      </w:r>
    </w:p>
    <w:p w14:paraId="79E107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48F29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1EA527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40DE5D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(-01.1936 г.)- Шибакин (снят), (01.1936 г.-)- Ицхакин.</w:t>
      </w:r>
    </w:p>
    <w:p w14:paraId="2DB2B6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(1936 г.-)- Девьятков (репрессирован), (1936 г.-)- Флаум.</w:t>
      </w:r>
    </w:p>
    <w:p w14:paraId="3BFEE4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(-1937 г.)- Зак.</w:t>
      </w:r>
      <w:r w:rsidRPr="00271E51">
        <w:rPr>
          <w:rFonts w:ascii="Times New Roman" w:hAnsi="Times New Roman"/>
          <w:color w:val="000000" w:themeColor="text1"/>
          <w:sz w:val="16"/>
          <w:szCs w:val="16"/>
          <w:vertAlign w:val="superscript"/>
        </w:rPr>
        <w:t>139</w:t>
      </w:r>
    </w:p>
    <w:p w14:paraId="3CA1D1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26F602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Октябрьский завод низковольтной аппаратуры /Башкирия  г. Октябрьский/</w:t>
      </w:r>
    </w:p>
    <w:p w14:paraId="46BCD1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54B2A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7425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408A4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431FC"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в 1943 году оперативная сводка Совинформбюро:</w:t>
      </w:r>
    </w:p>
    <w:p w14:paraId="181E762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сентября на Павлоградском направлении наши войска, продолжая развивать наступление, продвинулись вперёд от 10 до 12 километров и заняли свыше 70 населённых пунктов, в том числе крупные населённые пункты Михайловка, Кисели, Гусаровка, Асеевка, Шевелёвка, Волвенково, Лозовенька.</w:t>
      </w:r>
    </w:p>
    <w:p w14:paraId="63A77555"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города Сталино (Донбасс) наши войска, преодолевая сопротивление противника, продвинулись вперёд от 10 до 15 километров, заняли свыше 40 населённых пунктов, в том числе Успеновка, Елизаветовка, Екатериновка, Константиновка, Ново-Михайловка, Валеряновка, Ивановка, Октябрьское, Красновка, Чердаклы и железнодорожные станции Велико Анадоль, Кальчик.</w:t>
      </w:r>
    </w:p>
    <w:p w14:paraId="2A4D1C71"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на отдельных участках продвинулись вперёд от 6 до 10 километров и заняли свыше 20 населённых пунктов, в том числе крупные населённые пункты Стрельники, Великая Загоровка, Карабутово, Юрьевка, Пикари и железнодорожную станцию Плиски.</w:t>
      </w:r>
    </w:p>
    <w:p w14:paraId="6B48D75E"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преодолевая сопротивление противника, продвинулись вперёд от 5 до 10 километров и заняли свыше 60 населённых пунктов, в том числе Старое и Новое Хотмирово, Матрёновка, Ивановичи, Бытош, Большая и Малая Жуковка, Романовна, Коробино.</w:t>
      </w:r>
    </w:p>
    <w:p w14:paraId="647B137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заняли несколько населённых пунктов и среди них Фроловка, Гаврилково, Пролысово, Сытенки.</w:t>
      </w:r>
    </w:p>
    <w:p w14:paraId="60A62EF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продвинулись вперёд от 5 до 8 километров и заняли несколько населённых пунктов.</w:t>
      </w:r>
    </w:p>
    <w:p w14:paraId="6264B429"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вести бои по улучшению занимаемых позиций.</w:t>
      </w:r>
    </w:p>
    <w:p w14:paraId="4C60817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сентября наши войска на всех фронтах подбили и уничтожили 46 немецких танков. В воздушных боях и огнём зенитной артиллерии сбито 49 самолётов противника.</w:t>
      </w:r>
    </w:p>
    <w:p w14:paraId="2D5322F2"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успешное наступление и заняли свыше 70 населённых пунктов. Противник оказывает сопротивление, цепляясь за высоты и укреплённые населённые пункты. Наши подвижные отряды, проникая на фланги немцев, наносят им стремительные удары. Под угрозой окружения гитлеровцы в беспорядке отступают. На одном участке наши бойцы уничтожили свыше 600 солдат и офицеров противника, 12 орудий и 42 автомашины с различными грузами. Захвачены 200 тонн горючего, крупный продовольственный склад и другие трофеи. На другом участке части Н-ского соединения уничтожили 11 немецких танков. Захвачены полностью исправный тяжёлый немецкий танк, 10 орудий и другие трофеи. Взяты пленные.</w:t>
      </w:r>
    </w:p>
    <w:p w14:paraId="697075A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Южного фронта продвинулись вперёд до 15 километров и заняли свыше 40 населённых пунктов. Наши кавалеристы и моторизованная пехота перехватывают пути отхода противника, уничтожают его живую силу и технику. На одной из станций захвачено до 1.000 железнодорожных вагонов, часть из которых с военными грузами. Батальон немецкой пехоты, оборонявший станцию, уничтожен. Его остатки взяты вплен. Бойцы Н-ской кавалерийской части перехватили в степи немецкую автоколонну. Захвачено 35 автомашин с боеприпасами.</w:t>
      </w:r>
    </w:p>
    <w:p w14:paraId="1A5E7C69"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продолжали наступление. Бойцы Н-ского соединения, преодолевая возросшее сопротивление немцев, продвигались вперёд, заняли несколько населённых пунктов и железнодорожную станцию Плиски. В бою за станцию Плиски уничтожено до батальона немецкой пехоты. Части другого нашего соединения отбили контратаку противника и уничтожили свыше 300 немецких солдат и офицеров, 6 танков и 2 самоходных орудия типа «Фердинанд». Захвачены у немцев 9 орудий и склад боеприпасов.</w:t>
      </w:r>
    </w:p>
    <w:p w14:paraId="35D77B79"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Брянска наши войска развивали наступление и заняли свыше 60 населённых пунктов, в том числе рабочий посёлок Бытош. Немцы подтянули подкрепления с других участков и упорно защищали этот посёлок. Наши части обошли Бытош с двух сторон и стремительным ударом опрокинули противника. На поле боя осталось до 700 трупов немцев. Захвачено 5 орудий, 41 пулемёт и другиетрофеи.</w:t>
      </w:r>
    </w:p>
    <w:p w14:paraId="26A894B2"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вели наступательные бои. Противник подтянул свежие части и контратаками пытался задержать продвижение наших войск. На одном участке в течение дня гитлеровцы предприняли четырнадцать следовавших одна за другой контратак. Бойцы Н-ского соединения отбили все контратаки немцев. Противник потерял только убитыми 800 солдат и офицеров. На другом участке наши пехотинцы и танкисты выбили противника из нескольких населённых пунктов, в боях за которые уничтожено свыше 400 гитлеровцев.</w:t>
      </w:r>
    </w:p>
    <w:p w14:paraId="2C5D2BEF"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бои за улучшение своих позиций. Юго-западнее Ельни подразделения Н-ской части овладели сильно укреплённым опорным пунктом немцев. Не дав противнику опомниться, наши бойцы переправились через водный рубеж и заняли три населённых пункта. В этом бою уничтожено более двух рот гитлеровцев. Захвачена артиллерийская батарея, 54 пулемёта и другие трофеи.</w:t>
      </w:r>
    </w:p>
    <w:p w14:paraId="0D6B3D4E"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потоплен транспорт противника водоизмещением в 5 тысяч тонн.</w:t>
      </w:r>
    </w:p>
    <w:p w14:paraId="661B85C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Литовский партизанский отряд взорвал 4 моста на шоссейной дороге, по которой немцы перебрасывали войска и боеприпасы. Кроме того, партизаны взорвали 5автомашин противника и разрушили несколько километров телефонно-телеграфнойлинии связи. Партизаны другого литовского отряда пустили под откос два немецких воинских эшелона. В результате крушения разбиты 60 вагонов и платформ. Движение поездов на этом участке железной дороги было прекращено на несколько суток.</w:t>
      </w:r>
    </w:p>
    <w:p w14:paraId="48E7A56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фельдфебель 11 роты 21 полка 17 немецкой пехотной дивизии Гергарт Рейнер рассказал: «Наш полк стоял в Таганроге. Мы непрерывно совершенствовал истарые укрепления и строили новые. Солдат заставляли работать по 12—14 часов в сутки. Когда стало известно о том, что русские войска заняли Орёл и Белгород и приближаются к Харькову, все приуныли. Вскоре наступила и наша очередь. Русские нанесли нам удар там, где мы его меньше всего ожидали. Они зашли с тыла. Воспользовавшись замешательством в наших рядах, русские быстро сомкнули кольцо, и мы оказались в ловушке. Сопротивляться было бессмысленно, и мы сдались в плен».</w:t>
      </w:r>
    </w:p>
    <w:p w14:paraId="79C0CA76"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военнопленный заявил: «Во время войны я получил отпуск по болезни. Отпуск проводил в небольшом городке Швейгерн. В прошлом году ещё многие мои земляки мечтали о приобретении плодородных украинских земель. Некоторые собирались ехать «осваивать Русланд». Теперь на них смотрят, как на сумасшедших. Сейчас только и говорят о новом потоке траурных извещений. За июль в наш небольшой городок поступило с Восточного фронта свыше 350 извещений о гибели солдат и офицеров» (14766).</w:t>
      </w:r>
    </w:p>
    <w:p w14:paraId="7424089A"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256ADF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года четыре В-25 сели на аэродроме Клизово под Петропавловском после налета американской авиации на Парамушир. Все эти машины принадлежали 77-й эскадрилье ВВС армии США. Еще один бомбардировщик добавился через год, 17 сентября 1944 года. Всего на Камчатке приземлились 12 В-25. Последний из них, B-25J Р.Уолбринка, сильно поврежденный японскими зенитчиками, сел на брюхо 10 июня 1945 года.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101F4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DEDB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7C475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EF712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создан государственный украинский хор имени Г. Веревки (4962).</w:t>
      </w:r>
    </w:p>
    <w:p w14:paraId="4AD5DEB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CE90C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Внешняя политика:</w:t>
      </w:r>
    </w:p>
    <w:p w14:paraId="54955B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E791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года было получено:</w:t>
      </w:r>
    </w:p>
    <w:p w14:paraId="4EBC96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МАРШАЛУ СТАЛИНУ ОТ ПРЕЗИДЕНТА РУЗВЕЛЬТА</w:t>
      </w:r>
    </w:p>
    <w:p w14:paraId="33DDDA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Благодарю Вас за Ваше послание, которое я получил сегодня.</w:t>
      </w:r>
    </w:p>
    <w:p w14:paraId="6117AC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согласен на немедленную организацию военно-политической комиссии, но полагаю, что Алжир подходил бы больше, чем Сицилия, хотя бы по соображениям поддержания связи, и поэтому предлагаю, чтобы она собралась в Алжире во вторник, 21 сентября. Конечно, будет предоставлена полная информация относительно хода текущих и будущих переговоров, но члены комиссии не должны иметь неограниченных полномочий. До принятия окончательных решений полномочия на таковые должны быть испрошены у правительств.</w:t>
      </w:r>
    </w:p>
    <w:p w14:paraId="642F1B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полностью согласен иметь французского представителя в этой комиссии. Для всех нас важно, чтобы сохранялась полная секретность всей ее работы.</w:t>
      </w:r>
    </w:p>
    <w:p w14:paraId="7E3ED5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встречи наших трех представителей, то я с радостью соглашусь с тем, чтобы местом встречи была Москва, а датой — начало октября, например 4-го, в понедельник. Я пошлю Вам через два-три дня предполагаемый неофициальный список подлежащих обсуждению вопросов, но я полагаю, что три участника после того, как они познакомятся друг с другом, почувствуют себя непринужденно и обсудят любые другие вопросы, которые могут возникнуть.</w:t>
      </w:r>
    </w:p>
    <w:p w14:paraId="4B95D9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весьма обрадован Вашей готовностью одобрить третье предложение, а время — приблизительно в конце ноября — было бы подходящим. Я вполне понимаю, что военные события могут изменить обстановку для Вас, для г-на Черчилля и для меня самого. Тем временем мы можем исходить из вышеупомянутого. Что касается меня лично, то у меня имеются сомнения лишь в отношении места и только потому, что оно расположено несколько дальше от Вашингтона, чем я рассчитывал. В это время мой Конгресс будет заседать, и согласно нашей конституции я должен принимать решения в отношении законодательных актов в течение десяти дней. Другими словами, я должен принимать документы и возвращать их Конгрессу в течение десяти дней, а Тегеран подвергает это серьезному риску, если будет плохая летная погода. Если нельзя будет воспользоваться азореким маршрутом, то это означает, что придется следовать.через Бразилию и через Южную Атлантику. По этим причинам я надеюсь, что Вы подумаете о каком-либо районе Египта, который также является нейтральным государством и где могут быть приняты все меры для нашего удобства.</w:t>
      </w:r>
    </w:p>
    <w:p w14:paraId="4EBC57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что у нас всех троих в действительности есть успехи (7430).</w:t>
      </w:r>
    </w:p>
    <w:p w14:paraId="2A8013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2E2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9EB81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3538F" w14:textId="77777777" w:rsidR="0052569F" w:rsidRPr="00271E51" w:rsidRDefault="0052569F" w:rsidP="00271E51">
      <w:pPr>
        <w:pStyle w:val="book"/>
        <w:ind w:firstLine="0"/>
        <w:jc w:val="both"/>
        <w:rPr>
          <w:color w:val="000000" w:themeColor="text1"/>
          <w:sz w:val="16"/>
          <w:szCs w:val="16"/>
        </w:rPr>
      </w:pPr>
      <w:r w:rsidRPr="00271E51">
        <w:rPr>
          <w:color w:val="000000" w:themeColor="text1"/>
          <w:sz w:val="16"/>
          <w:szCs w:val="16"/>
        </w:rPr>
        <w:t>11 сентября 1943 г. соединение германских самолетов Do 217 нанесло удар по порту Салерно в Италии, где базировалось много кораблей союзников. Бомбы «Фриц-Х» сбрасывались с высоты 5,5 км. На такой высоте из всех союзных истребителей могли действовать только «Лайтинги». Первыми были сильно повреждены американские крейсера «Филадельфия» и «Саванна»</w:t>
      </w:r>
      <w:bookmarkStart w:id="3" w:name="r16"/>
      <w:bookmarkEnd w:id="3"/>
      <w:r w:rsidRPr="00271E51">
        <w:rPr>
          <w:color w:val="000000" w:themeColor="text1"/>
          <w:sz w:val="16"/>
          <w:szCs w:val="16"/>
        </w:rPr>
        <w:t>. По «Филадельфии» немцы «промазали», и бомба взорвалась у его борта, в результате чего крейсер получил небольшие повреждения. «Саванне» повезло куда меньше — бомба попала в крышу третьей 152-мм башни и взорвалась в погребе, и только быстрое поступление воды предотвратило взрыв боеприпасов. На корабле погибло 197 человек. Кое-как «Саванна» была отбуксирована на Мальту, а после частичного ремонта отправлена в США. Там ее чинили до сентября 1944 г., причем после этого крейсер в боевых действиях не участвовал, а использовался в учебных целях. В конце того же дня, 11 сентября, воздушная торпеда попала в английский крейсер «Уганда»</w:t>
      </w:r>
      <w:bookmarkStart w:id="4" w:name="r17"/>
      <w:bookmarkEnd w:id="4"/>
      <w:r w:rsidRPr="00271E51">
        <w:rPr>
          <w:color w:val="000000" w:themeColor="text1"/>
          <w:sz w:val="16"/>
          <w:szCs w:val="16"/>
        </w:rPr>
        <w:t xml:space="preserve"> (15225).</w:t>
      </w:r>
    </w:p>
    <w:p w14:paraId="3E096A38" w14:textId="77777777" w:rsidR="0052569F" w:rsidRPr="00271E51" w:rsidRDefault="0052569F" w:rsidP="00271E51">
      <w:pPr>
        <w:pStyle w:val="book"/>
        <w:ind w:firstLine="0"/>
        <w:jc w:val="both"/>
        <w:rPr>
          <w:color w:val="000000" w:themeColor="text1"/>
          <w:sz w:val="16"/>
          <w:szCs w:val="16"/>
        </w:rPr>
      </w:pPr>
    </w:p>
    <w:p w14:paraId="02200532"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сентября 1943 бомбардировщика Люфтваффе Dornier Do 217 сильно повреждает легкий крейсер USS Savannah ВМС США с с использованием Fritz X в Салерно, Италия, что выводит его из эксплуатации на год (20376).</w:t>
      </w:r>
    </w:p>
    <w:p w14:paraId="2173F754" w14:textId="77777777" w:rsidR="00560783" w:rsidRPr="00271E51" w:rsidRDefault="00560783" w:rsidP="00271E51">
      <w:pPr>
        <w:spacing w:after="0" w:line="240" w:lineRule="auto"/>
        <w:jc w:val="both"/>
        <w:rPr>
          <w:rFonts w:ascii="Times New Roman" w:hAnsi="Times New Roman"/>
          <w:color w:val="0070C0"/>
          <w:sz w:val="16"/>
          <w:szCs w:val="16"/>
        </w:rPr>
      </w:pPr>
    </w:p>
    <w:p w14:paraId="0A3CB4F2" w14:textId="77777777" w:rsidR="0052569F" w:rsidRPr="00271E51" w:rsidRDefault="0052569F"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11 сентября в 1943 году крейсер «Саванна» получает попадание радиоуправляемой бомбы «FX-1400». Погибли</w:t>
      </w:r>
      <w:r w:rsidRPr="00271E51">
        <w:rPr>
          <w:rFonts w:ascii="Times New Roman" w:hAnsi="Times New Roman"/>
          <w:color w:val="000000" w:themeColor="text1"/>
          <w:sz w:val="16"/>
          <w:szCs w:val="16"/>
          <w:lang w:val="en-US"/>
        </w:rPr>
        <w:t xml:space="preserve"> 197 </w:t>
      </w:r>
      <w:r w:rsidRPr="00271E51">
        <w:rPr>
          <w:rFonts w:ascii="Times New Roman" w:hAnsi="Times New Roman"/>
          <w:color w:val="000000" w:themeColor="text1"/>
          <w:sz w:val="16"/>
          <w:szCs w:val="16"/>
        </w:rPr>
        <w:t>человек</w:t>
      </w:r>
      <w:r w:rsidRPr="00271E51">
        <w:rPr>
          <w:rFonts w:ascii="Times New Roman" w:hAnsi="Times New Roman"/>
          <w:color w:val="000000" w:themeColor="text1"/>
          <w:sz w:val="16"/>
          <w:szCs w:val="16"/>
          <w:lang w:val="en-US"/>
        </w:rPr>
        <w:t xml:space="preserve"> (14766).</w:t>
      </w:r>
    </w:p>
    <w:p w14:paraId="55F67025" w14:textId="77777777" w:rsidR="0052569F" w:rsidRPr="00271E51" w:rsidRDefault="0052569F" w:rsidP="00271E51">
      <w:pPr>
        <w:spacing w:after="0" w:line="240" w:lineRule="auto"/>
        <w:jc w:val="both"/>
        <w:rPr>
          <w:rFonts w:ascii="Times New Roman" w:hAnsi="Times New Roman"/>
          <w:color w:val="000000" w:themeColor="text1"/>
          <w:sz w:val="16"/>
          <w:szCs w:val="16"/>
          <w:lang w:val="en-US"/>
        </w:rPr>
      </w:pPr>
    </w:p>
    <w:p w14:paraId="247F7D9A"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сентября 1943 французский ас Пьер Ле Глоан (18 побед) погиб в авиакатастрофе (20376).</w:t>
      </w:r>
    </w:p>
    <w:p w14:paraId="4A024CBE" w14:textId="77777777" w:rsidR="00560783" w:rsidRPr="00271E51" w:rsidRDefault="00560783" w:rsidP="00271E51">
      <w:pPr>
        <w:spacing w:after="0" w:line="240" w:lineRule="auto"/>
        <w:jc w:val="both"/>
        <w:rPr>
          <w:rFonts w:ascii="Times New Roman" w:hAnsi="Times New Roman"/>
          <w:color w:val="0070C0"/>
          <w:sz w:val="16"/>
          <w:szCs w:val="16"/>
        </w:rPr>
      </w:pPr>
    </w:p>
    <w:p w14:paraId="6A39192D" w14:textId="0E1C9290"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Рим</w:t>
      </w:r>
      <w:r w:rsidR="00560783"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rPr>
        <w:t>взят</w:t>
      </w:r>
      <w:r w:rsidR="00560783"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rPr>
        <w:t>немецкими</w:t>
      </w:r>
      <w:r w:rsidR="00560783"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rPr>
        <w:t>войсками (4962).</w:t>
      </w:r>
    </w:p>
    <w:p w14:paraId="2B87B61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61EC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11 Sat. 1943 Italian Fleet surrenders to the Allies (1064).</w:t>
      </w:r>
    </w:p>
    <w:p w14:paraId="17C330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2A65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итальянский флот сдался союзникам (1064).</w:t>
      </w:r>
    </w:p>
    <w:p w14:paraId="138B1F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FA4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11, 1943: British 8th Army occupies Brindisi in southern Italy. German officers captured by the Red Army form an anti-Hitler association, the "Bund deutscher Offiziere" (3819).</w:t>
      </w:r>
    </w:p>
    <w:p w14:paraId="195F44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CC9431"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в 1943 году английские войска заняли Салерно (14766).</w:t>
      </w:r>
    </w:p>
    <w:p w14:paraId="215E018E"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2E6E71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британская 8А заняла Бриндизи в южной Италии (3819).</w:t>
      </w:r>
    </w:p>
    <w:p w14:paraId="5E1202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9CB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германские офицеры, захваченные в плен, сформировали антифашистский Союз Офицеров (3819).</w:t>
      </w:r>
    </w:p>
    <w:p w14:paraId="36DD39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A0A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1943 вооруженные формирования Свободной Франции освободили Корсику (3481).</w:t>
      </w:r>
    </w:p>
    <w:p w14:paraId="167923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1C980"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сентября 1943 11 армия военно - воздушных сил начинает третий рейд против японских баз на Курильских островах - семь B-24 освободителей и 12 B-25 Mitchells сбрасывают 12 тонн (12 000 кг) бомбы на Парамушире и Shumushu. Во время 50-минутного воздушного боя с участием 60 японских истребителей три бомбардировщика были сбиты, а семь получили настолько серьезные повреждения, что потерпели крушение в нейтральном Советском Союзе , где их интернировали. Неся самые большие потери в любой отдельной миссии, 11-я авиационная армия теряет половину своей дальнобойной ударной мощи во время налета и не предпринимает дальнейших бомбардировок Курил в 1943 году (20376).</w:t>
      </w:r>
    </w:p>
    <w:p w14:paraId="0E4BF4FE" w14:textId="77777777" w:rsidR="00560783" w:rsidRPr="00271E51" w:rsidRDefault="00560783" w:rsidP="00271E51">
      <w:pPr>
        <w:spacing w:after="0" w:line="240" w:lineRule="auto"/>
        <w:jc w:val="both"/>
        <w:rPr>
          <w:rFonts w:ascii="Times New Roman" w:hAnsi="Times New Roman"/>
          <w:color w:val="0070C0"/>
          <w:sz w:val="16"/>
          <w:szCs w:val="16"/>
        </w:rPr>
      </w:pPr>
    </w:p>
    <w:p w14:paraId="4058D6F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B3AB4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2270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12 сентября по 18 ноября 1943 г. в ЦАГИ по за</w:t>
      </w:r>
      <w:r w:rsidRPr="00271E51">
        <w:rPr>
          <w:rFonts w:ascii="Times New Roman" w:hAnsi="Times New Roman"/>
          <w:color w:val="000000" w:themeColor="text1"/>
          <w:sz w:val="16"/>
          <w:szCs w:val="16"/>
        </w:rPr>
        <w:softHyphen/>
        <w:t>данию наркомавиапрома проводились специальные летные испытания самолета Ил-2 АМ-38ф на вибрацию. Инициато</w:t>
      </w:r>
      <w:r w:rsidRPr="00271E51">
        <w:rPr>
          <w:rFonts w:ascii="Times New Roman" w:hAnsi="Times New Roman"/>
          <w:color w:val="000000" w:themeColor="text1"/>
          <w:sz w:val="16"/>
          <w:szCs w:val="16"/>
        </w:rPr>
        <w:softHyphen/>
        <w:t>ром этих исследований был винтовой завод № 35.</w:t>
      </w:r>
    </w:p>
    <w:p w14:paraId="725398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сказать, что военпреды на заводе № 30 в ию</w:t>
      </w:r>
      <w:r w:rsidRPr="00271E51">
        <w:rPr>
          <w:rFonts w:ascii="Times New Roman" w:hAnsi="Times New Roman"/>
          <w:color w:val="000000" w:themeColor="text1"/>
          <w:sz w:val="16"/>
          <w:szCs w:val="16"/>
        </w:rPr>
        <w:softHyphen/>
        <w:t>ле — августе отбраковали по этой причине довольно много са</w:t>
      </w:r>
      <w:r w:rsidRPr="00271E51">
        <w:rPr>
          <w:rFonts w:ascii="Times New Roman" w:hAnsi="Times New Roman"/>
          <w:color w:val="000000" w:themeColor="text1"/>
          <w:sz w:val="16"/>
          <w:szCs w:val="16"/>
        </w:rPr>
        <w:softHyphen/>
        <w:t>молетов. Ни самолетостроители, ни моторный завод, ни вин</w:t>
      </w:r>
      <w:r w:rsidRPr="00271E51">
        <w:rPr>
          <w:rFonts w:ascii="Times New Roman" w:hAnsi="Times New Roman"/>
          <w:color w:val="000000" w:themeColor="text1"/>
          <w:sz w:val="16"/>
          <w:szCs w:val="16"/>
        </w:rPr>
        <w:softHyphen/>
        <w:t>товой своей вины не признавали. Это и послужило поводом для проведения детальных исследований причин возникнове</w:t>
      </w:r>
      <w:r w:rsidRPr="00271E51">
        <w:rPr>
          <w:rFonts w:ascii="Times New Roman" w:hAnsi="Times New Roman"/>
          <w:color w:val="000000" w:themeColor="text1"/>
          <w:sz w:val="16"/>
          <w:szCs w:val="16"/>
        </w:rPr>
        <w:softHyphen/>
        <w:t>ния сильных вибраций на самолетах Ил-2 и разработки меро</w:t>
      </w:r>
      <w:r w:rsidRPr="00271E51">
        <w:rPr>
          <w:rFonts w:ascii="Times New Roman" w:hAnsi="Times New Roman"/>
          <w:color w:val="000000" w:themeColor="text1"/>
          <w:sz w:val="16"/>
          <w:szCs w:val="16"/>
        </w:rPr>
        <w:softHyphen/>
        <w:t>приятий для их устранения.</w:t>
      </w:r>
    </w:p>
    <w:p w14:paraId="0BFC33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Руководил работами начальник 2-го отдела лаборатории № 3 института профессор М.В. Келдыш. В состав группы вхо</w:t>
      </w:r>
      <w:r w:rsidRPr="00271E51">
        <w:rPr>
          <w:rFonts w:ascii="Times New Roman" w:hAnsi="Times New Roman"/>
          <w:color w:val="000000" w:themeColor="text1"/>
          <w:sz w:val="16"/>
          <w:szCs w:val="16"/>
        </w:rPr>
        <w:softHyphen/>
        <w:t>дили: начальник группы вибраций С.П. Стрелков, Н.Н. Чер</w:t>
      </w:r>
      <w:r w:rsidRPr="00271E51">
        <w:rPr>
          <w:rFonts w:ascii="Times New Roman" w:hAnsi="Times New Roman"/>
          <w:color w:val="000000" w:themeColor="text1"/>
          <w:sz w:val="16"/>
          <w:szCs w:val="16"/>
        </w:rPr>
        <w:softHyphen/>
        <w:t>нышев и А.И. Панкратов.</w:t>
      </w:r>
    </w:p>
    <w:p w14:paraId="655102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проводились на самолете Ил-2 зав. № 302786 с мотором АМ-38ф зав. № 4591698 и винтом АВ-5л-158 зав. № 063675. Этот самолет вследствие интенсивных вибраций от винтомоторной группы военной приемкой завода № 30 был признан не подлежащим сдаче по бою, естественно, и оплате.</w:t>
      </w:r>
    </w:p>
    <w:p w14:paraId="6FE846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имевшие место на всех режимах полета са</w:t>
      </w:r>
      <w:r w:rsidRPr="00271E51">
        <w:rPr>
          <w:rFonts w:ascii="Times New Roman" w:hAnsi="Times New Roman"/>
          <w:color w:val="000000" w:themeColor="text1"/>
          <w:sz w:val="16"/>
          <w:szCs w:val="16"/>
        </w:rPr>
        <w:softHyphen/>
        <w:t>молета сильные вибрации имеют частоту, совпадающую с час</w:t>
      </w:r>
      <w:r w:rsidRPr="00271E51">
        <w:rPr>
          <w:rFonts w:ascii="Times New Roman" w:hAnsi="Times New Roman"/>
          <w:color w:val="000000" w:themeColor="text1"/>
          <w:sz w:val="16"/>
          <w:szCs w:val="16"/>
        </w:rPr>
        <w:softHyphen/>
        <w:t>тотой оборотов винта. При этом периодические вибрации с частотой оборотов винта, вызываемые винтомоторной груп</w:t>
      </w:r>
      <w:r w:rsidRPr="00271E51">
        <w:rPr>
          <w:rFonts w:ascii="Times New Roman" w:hAnsi="Times New Roman"/>
          <w:color w:val="000000" w:themeColor="text1"/>
          <w:sz w:val="16"/>
          <w:szCs w:val="16"/>
        </w:rPr>
        <w:softHyphen/>
        <w:t>пой, усиливались в интервале 1850—1950 об/мин коленчатого _вала мотора. Эти вибрации носили резонансный характер, наиболее резко выраженный в диапазоне частот, в котором ле</w:t>
      </w:r>
      <w:r w:rsidRPr="00271E51">
        <w:rPr>
          <w:rFonts w:ascii="Times New Roman" w:hAnsi="Times New Roman"/>
          <w:color w:val="000000" w:themeColor="text1"/>
          <w:sz w:val="16"/>
          <w:szCs w:val="16"/>
        </w:rPr>
        <w:softHyphen/>
        <w:t>жат три собственные частоты моторной установки.</w:t>
      </w:r>
    </w:p>
    <w:p w14:paraId="3CF326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Рабочая группа ЛИИ сделала вывод, что одним из основных &gt;, источников возникновения вибрации винтомоторной группы, передающейся затем на весь самолет, является винт. Однако даже «если статическая балансировка винта будет выдержана, то все-таки могут появиться резонансные вибрации (значительно меньших амплитуд), возбуждаемые винтом на режимах работы |мотора порядка 1800—2000 об/мин».</w:t>
      </w:r>
    </w:p>
    <w:p w14:paraId="571C19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Проверка статической балансировки винта зав. № 063675 Доказала, что он имеет статическую разбалансировку, почти в 6 раз превышающую норму. После </w:t>
      </w:r>
      <w:r w:rsidRPr="00271E51">
        <w:rPr>
          <w:rFonts w:ascii="Times New Roman" w:hAnsi="Times New Roman"/>
          <w:color w:val="000000" w:themeColor="text1"/>
          <w:sz w:val="16"/>
          <w:szCs w:val="16"/>
        </w:rPr>
        <w:lastRenderedPageBreak/>
        <w:t>балансировки винта интенсивность вибрации значительно уменьшилась, но полностью не исчезла. Дополнительные полеты этого самолета с другим том зав. № 0237443, имеющим нормальную балансировку, эдтвердили полученные результаты.</w:t>
      </w:r>
    </w:p>
    <w:p w14:paraId="6BF978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Выборочная проверка балансировки еще двух винтов АВ-5л-158 зав. № 083648 и № 083682, взятых наугад из сбороч</w:t>
      </w:r>
      <w:r w:rsidRPr="00271E51">
        <w:rPr>
          <w:rFonts w:ascii="Times New Roman" w:hAnsi="Times New Roman"/>
          <w:color w:val="000000" w:themeColor="text1"/>
          <w:sz w:val="16"/>
          <w:szCs w:val="16"/>
        </w:rPr>
        <w:softHyphen/>
        <w:t>ного цеха завода № 30, показала, что эти винты имеют разба-лансировку в 4—5 раз выше нормы. То есть наличие значи</w:t>
      </w:r>
      <w:r w:rsidRPr="00271E51">
        <w:rPr>
          <w:rFonts w:ascii="Times New Roman" w:hAnsi="Times New Roman"/>
          <w:color w:val="000000" w:themeColor="text1"/>
          <w:sz w:val="16"/>
          <w:szCs w:val="16"/>
        </w:rPr>
        <w:softHyphen/>
        <w:t>тельного количества случаев вибраций на серийных самолетах завода № 30 вызвано недостаточным входным контролем ба</w:t>
      </w:r>
      <w:r w:rsidRPr="00271E51">
        <w:rPr>
          <w:rFonts w:ascii="Times New Roman" w:hAnsi="Times New Roman"/>
          <w:color w:val="000000" w:themeColor="text1"/>
          <w:sz w:val="16"/>
          <w:szCs w:val="16"/>
        </w:rPr>
        <w:softHyphen/>
        <w:t>лансировки винтов.</w:t>
      </w:r>
    </w:p>
    <w:p w14:paraId="5C93F8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для устранения резонансных колебаний при сбалансированном винте и уменьшения вибраций всего само</w:t>
      </w:r>
      <w:r w:rsidRPr="00271E51">
        <w:rPr>
          <w:rFonts w:ascii="Times New Roman" w:hAnsi="Times New Roman"/>
          <w:color w:val="000000" w:themeColor="text1"/>
          <w:sz w:val="16"/>
          <w:szCs w:val="16"/>
        </w:rPr>
        <w:softHyphen/>
        <w:t>лета группа ЛИИ НКАП разработала простейшую схему амор</w:t>
      </w:r>
      <w:r w:rsidRPr="00271E51">
        <w:rPr>
          <w:rFonts w:ascii="Times New Roman" w:hAnsi="Times New Roman"/>
          <w:color w:val="000000" w:themeColor="text1"/>
          <w:sz w:val="16"/>
          <w:szCs w:val="16"/>
        </w:rPr>
        <w:softHyphen/>
        <w:t>тизации самолета, обеспечивавшую «ослабление передачи пе</w:t>
      </w:r>
      <w:r w:rsidRPr="00271E51">
        <w:rPr>
          <w:rFonts w:ascii="Times New Roman" w:hAnsi="Times New Roman"/>
          <w:color w:val="000000" w:themeColor="text1"/>
          <w:sz w:val="16"/>
          <w:szCs w:val="16"/>
        </w:rPr>
        <w:softHyphen/>
        <w:t>риодических сил винта и мотора на планер самолета и пони</w:t>
      </w:r>
      <w:r w:rsidRPr="00271E51">
        <w:rPr>
          <w:rFonts w:ascii="Times New Roman" w:hAnsi="Times New Roman"/>
          <w:color w:val="000000" w:themeColor="text1"/>
          <w:sz w:val="16"/>
          <w:szCs w:val="16"/>
        </w:rPr>
        <w:softHyphen/>
        <w:t>жение собственных частот моторной установки».</w:t>
      </w:r>
    </w:p>
    <w:p w14:paraId="33A476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Предложенная схема амортизации состояла из резиновых прокладок, установленных между лапой мотора и моторной ра</w:t>
      </w:r>
      <w:r w:rsidRPr="00271E51">
        <w:rPr>
          <w:rFonts w:ascii="Times New Roman" w:hAnsi="Times New Roman"/>
          <w:color w:val="000000" w:themeColor="text1"/>
          <w:sz w:val="16"/>
          <w:szCs w:val="16"/>
        </w:rPr>
        <w:softHyphen/>
        <w:t>мой, резиновых шайб, которые кладутся под затяжную гайку болта крепления мотора и резиновых втулок, надеваемых на бол</w:t>
      </w:r>
      <w:r w:rsidRPr="00271E51">
        <w:rPr>
          <w:rFonts w:ascii="Times New Roman" w:hAnsi="Times New Roman"/>
          <w:color w:val="000000" w:themeColor="text1"/>
          <w:sz w:val="16"/>
          <w:szCs w:val="16"/>
        </w:rPr>
        <w:softHyphen/>
        <w:t>ты крепления мотора. Резиновые прокладки являлись основны</w:t>
      </w:r>
      <w:r w:rsidRPr="00271E51">
        <w:rPr>
          <w:rFonts w:ascii="Times New Roman" w:hAnsi="Times New Roman"/>
          <w:color w:val="000000" w:themeColor="text1"/>
          <w:sz w:val="16"/>
          <w:szCs w:val="16"/>
        </w:rPr>
        <w:softHyphen/>
        <w:t>ми упругими элементами амортизации. Резина работала на сжа</w:t>
      </w:r>
      <w:r w:rsidRPr="00271E51">
        <w:rPr>
          <w:rFonts w:ascii="Times New Roman" w:hAnsi="Times New Roman"/>
          <w:color w:val="000000" w:themeColor="text1"/>
          <w:sz w:val="16"/>
          <w:szCs w:val="16"/>
        </w:rPr>
        <w:softHyphen/>
        <w:t>тие при вертикальных и на сдвиг при поперечных перемещениях мотора. При этом диаметр отверстий под болты крепления мото</w:t>
      </w:r>
      <w:r w:rsidRPr="00271E51">
        <w:rPr>
          <w:rFonts w:ascii="Times New Roman" w:hAnsi="Times New Roman"/>
          <w:color w:val="000000" w:themeColor="text1"/>
          <w:sz w:val="16"/>
          <w:szCs w:val="16"/>
        </w:rPr>
        <w:softHyphen/>
        <w:t>ра увеличивался на 2 мм, вследствие чего они получили возмож</w:t>
      </w:r>
      <w:r w:rsidRPr="00271E51">
        <w:rPr>
          <w:rFonts w:ascii="Times New Roman" w:hAnsi="Times New Roman"/>
          <w:color w:val="000000" w:themeColor="text1"/>
          <w:sz w:val="16"/>
          <w:szCs w:val="16"/>
        </w:rPr>
        <w:softHyphen/>
        <w:t>ность перемещаться в поперечном направлении.</w:t>
      </w:r>
    </w:p>
    <w:p w14:paraId="475717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Амплитуда колебаний мотора значительно уменьшилась, а верхняя граница зоны резонансных колебаний мотора понизи</w:t>
      </w:r>
      <w:r w:rsidRPr="00271E51">
        <w:rPr>
          <w:rFonts w:ascii="Times New Roman" w:hAnsi="Times New Roman"/>
          <w:color w:val="000000" w:themeColor="text1"/>
          <w:sz w:val="16"/>
          <w:szCs w:val="16"/>
        </w:rPr>
        <w:softHyphen/>
        <w:t>лась до 1700 об/мин. Особенно сильное влияние мотора оказа</w:t>
      </w:r>
      <w:r w:rsidRPr="00271E51">
        <w:rPr>
          <w:rFonts w:ascii="Times New Roman" w:hAnsi="Times New Roman"/>
          <w:color w:val="000000" w:themeColor="text1"/>
          <w:sz w:val="16"/>
          <w:szCs w:val="16"/>
        </w:rPr>
        <w:softHyphen/>
        <w:t>лось на вибрации капота мотора, на котором совершенно ис</w:t>
      </w:r>
      <w:r w:rsidRPr="00271E51">
        <w:rPr>
          <w:rFonts w:ascii="Times New Roman" w:hAnsi="Times New Roman"/>
          <w:color w:val="000000" w:themeColor="text1"/>
          <w:sz w:val="16"/>
          <w:szCs w:val="16"/>
        </w:rPr>
        <w:softHyphen/>
        <w:t>чезли вибрации, возбуждаемые винтом, несмотря на то, что они имели место на моторе.</w:t>
      </w:r>
    </w:p>
    <w:p w14:paraId="73222B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заводам рекомендовалось усилить кон</w:t>
      </w:r>
      <w:r w:rsidRPr="00271E51">
        <w:rPr>
          <w:rFonts w:ascii="Times New Roman" w:hAnsi="Times New Roman"/>
          <w:color w:val="000000" w:themeColor="text1"/>
          <w:sz w:val="16"/>
          <w:szCs w:val="16"/>
        </w:rPr>
        <w:softHyphen/>
        <w:t>троль статической балансировки винтов и установить мотор на резиновые амортизаторы (11474,373).</w:t>
      </w:r>
    </w:p>
    <w:p w14:paraId="00DFAF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04E6F"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12 сентября по 18 ноября ЦАГИ по заданию НКАП 54 Штурмовик Ил-2 № 302114 в аэродинамической трубе Т-101 провел специальные летные испытания самолета Ил-2 на вибрацию. Руководил работами начальник 2-го отдела лаборатории № 3 института профессор М. В. Келдыш (19727).</w:t>
      </w:r>
    </w:p>
    <w:p w14:paraId="29ADC79A"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0ACF24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 НИИ ВВС закончились гос. испытания модернизированного самолета Ил-2И с мотором АМ-38Ф в варианте "истребителя бомбардировщиков" (самолет N 7581 - 1877581 - производства завода 1, сделанный июле 1943), которые проходили с 9 августа 1943 и было подписано Заключение (1862).</w:t>
      </w:r>
    </w:p>
    <w:p w14:paraId="47BE7B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1780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4B741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4A174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Постановление ГКО № 4088 О бесперебойном снабжении спиртом заводов синтетического каучука Hаркомрезинпрома и мерах помощи спиртовой промышленности Hаркомпищепрома СССР. (7138, 163-170,171-186).</w:t>
      </w:r>
    </w:p>
    <w:p w14:paraId="766CEB7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9236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Распоряжение ГКО № 4089. О мерах по обеспечению отгрузки крепежного леса для НКУП в сентябре и октябре 1943 г.РГАНИР, Фонд ГКО, д. 150, лл. 187-193, 194-196 (11012).</w:t>
      </w:r>
    </w:p>
    <w:p w14:paraId="433475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FEE4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Постановление ГКО № 4090 О мерах по обеспечению нормальной работы ТЭЦ Hово-Тагильского металлургического завода в зиму 1943-44 гг. (7138, 197-199,200).</w:t>
      </w:r>
    </w:p>
    <w:p w14:paraId="1CE4023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5C03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Постановление ГКО № 4091 О мероприятиях по обеспечению бесперебойной работы шлюза № 10 (у г. Углича) и шлюза № 11 (у г. Рыбинска). (7138, 201-205,206-212).</w:t>
      </w:r>
    </w:p>
    <w:p w14:paraId="131BB55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9208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Постановление ГКО № 4092 О производстве снарядов М-13, М-20, 122 мм гаубичных и 120 мм мин в сентябре и IV кв. 1943 г. на предприятиях ленинградской промышленности. (7138, 213,214-217).</w:t>
      </w:r>
    </w:p>
    <w:p w14:paraId="5E31A4E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90CF5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Постановление ГКО № 4093 О переделке катапульт, установленных на кораблях Военно-Морского Флота, под самолеты типа "Спитфайр" и Бе-4. (7138, 218-219,220-221).</w:t>
      </w:r>
    </w:p>
    <w:p w14:paraId="1B6E519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D98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w:t>
      </w:r>
      <w:r w:rsidRPr="00271E51">
        <w:rPr>
          <w:rFonts w:ascii="Times New Roman" w:hAnsi="Times New Roman"/>
          <w:color w:val="000000" w:themeColor="text1"/>
          <w:sz w:val="16"/>
          <w:szCs w:val="16"/>
        </w:rPr>
        <w:softHyphen/>
        <w:t>тября 1943 г. вышло решение ГКО №4093, согласно которому на крейсере «Мо</w:t>
      </w:r>
      <w:r w:rsidRPr="00271E51">
        <w:rPr>
          <w:rFonts w:ascii="Times New Roman" w:hAnsi="Times New Roman"/>
          <w:color w:val="000000" w:themeColor="text1"/>
          <w:sz w:val="16"/>
          <w:szCs w:val="16"/>
        </w:rPr>
        <w:softHyphen/>
        <w:t>лотов» должны были установить модернизирован</w:t>
      </w:r>
      <w:r w:rsidRPr="00271E51">
        <w:rPr>
          <w:rFonts w:ascii="Times New Roman" w:hAnsi="Times New Roman"/>
          <w:color w:val="000000" w:themeColor="text1"/>
          <w:sz w:val="16"/>
          <w:szCs w:val="16"/>
        </w:rPr>
        <w:softHyphen/>
        <w:t>ную катапульту ЗК-1А (10685).</w:t>
      </w:r>
    </w:p>
    <w:p w14:paraId="401CB7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CB7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Распоряжение ГКО № 4094. Об улучшении условий работы Центрального артиллерийского конструкторского бюро Наркомата вооружения.РГАНИР, Фонд ГКО, д. 150, лл. 222-225, 226 (11012).</w:t>
      </w:r>
    </w:p>
    <w:p w14:paraId="6AD131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7B5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вышло Распоряжение ГКО № 4095. О передаче освобождаемых из лагерей НКВД 1000 чел. на постоянную работу на Сталиногорский химкомбинат и Уралхимпромстрой с отсрочкой от призыва.РГАНИР, Фонд ГКО, д. 150, лл. 227 (11012).</w:t>
      </w:r>
    </w:p>
    <w:p w14:paraId="1DCBA4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3447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345C2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4EEFD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сентябряв 1943 году оперативная сводка Совинформбюро:</w:t>
      </w:r>
    </w:p>
    <w:p w14:paraId="3D53DBE2"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сентября западнее и юго-западнее города Сталино (Донбасс) нашивойска продолжали наступление и, продвинувшись вперёд от 10 до 30 километров, заняли свыше 50 населённых пунктов, в том числе районный центр Сталинской области Старый Керменчик и крупные населённые пункты Алексеевка, Богатырь, Hobo-Украинка, Павловка, Евгеновка, Ново-Петриковка, Ново-Каракуба, Малая Янисаль.</w:t>
      </w:r>
    </w:p>
    <w:p w14:paraId="5527303D"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преодолевая сопротивление противника, продвинулись на отдельных участках вперёд от 8 до 20 километров и заняли свыше 70 населённых пунктов, в том числе город Гадяч и крупные населённые пункты Ющенковка, Андреевка, Герасимовка, Старый, Погарщина, Розбишевка, Красно-Знаменка, Середняки, Петривка, Малая Будища.</w:t>
      </w:r>
    </w:p>
    <w:p w14:paraId="5B726468"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продолжали наступление и, продвинувшись вперёд от 10 до 12 километров, заняли свыше 20 населённых пунктов и среди них крупные населённые пункты Берестовец, Прохоры, Сиволож, Хорошее Озеро, Ивангород, Хвастовцы, Григоровка, Курень.</w:t>
      </w:r>
    </w:p>
    <w:p w14:paraId="4E82D83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преодолевая сопротивлениепротивника, продвинулись вперёд от 6 до 8 километров и заняли свыше 60 населённых пунктов, в том числе Березовка, Садулина, Логачёво, Ведёрники,Ветитное, Покровское, Заболовка, Кожаны, Лазинки.</w:t>
      </w:r>
    </w:p>
    <w:p w14:paraId="0CADF8DF"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вели наступление и, продвинувшись на отдельных участках от 4 до 6 километров, заняли свыше 40 населённых пунктов, втом числе крупные населённые пункты Ольшаница, Пупково, Березина, Пастушье, Малое Полпино и железнодорожные станции Верещеевка, Стекляная Радица. Белыеберега (20 километров восточнее Брянска).</w:t>
      </w:r>
    </w:p>
    <w:p w14:paraId="093147A6"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преодолевая сопротивление противника, продвинулись вперёд на 3—4 километра и заняли несколько населённых пунктов, в том числе крупные населённые пункты Левандаловка, Костев, Литвиновка.</w:t>
      </w:r>
    </w:p>
    <w:p w14:paraId="42966D7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наши войска вели боевую разведку и артиллерийско-миномётную перестрелку с противником.</w:t>
      </w:r>
    </w:p>
    <w:p w14:paraId="1FF256FC"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сентября наши войска на всех фронтах подбили и уничтожили 64 немецких танка. В воздушных боях и огнём зенитной артиллерии сбито 28 самолётов противника.</w:t>
      </w:r>
    </w:p>
    <w:p w14:paraId="2EFFB27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города Сталино наши войска, развивая наступление, заняли свыше 50 населённых пунктов. Противник, опираясь на заранее подготовленные оборонительные рубежи, пытался задержать продвижение советских частей. Наши бойцы стремительным ударом прорвали в ряде мест оборону противникаи продолжают продвигаться на запад. Н-ская часть отразила несколько вражеских контратак и уничтожила 30 немецких танков, в том числе 10 танков типа «Тигр». На другом участке части Н-ского соединения, с боями продвигаясь вперёд, уничтожили более 1.500 немецких солдат и офицеров, 14 танков, 45 орудий, 86 пулемётов и 90 автомашин. Захвачены трофеи, в числе которых 9 танков, 24 орудия, 142 пулемёта,13 паровозов, 600 вагонов и 4 склада с разными военными материалами. Взято 250 пленных.</w:t>
      </w:r>
    </w:p>
    <w:p w14:paraId="226EBD40"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Н-ское кавалерийское соединение, преследуя противника, овладело районным центром Старый Керменчик. Захвачено 80 автомашин, 11 орудий, склад боеприпасов и склад с продовольствием.</w:t>
      </w:r>
    </w:p>
    <w:p w14:paraId="0D5F0C4E"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мотопехота и кавалеристы освободили 4.000 советских граждан, которых немцы угоняли на каторгу в Германию.</w:t>
      </w:r>
    </w:p>
    <w:p w14:paraId="1267CDD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Прилукском направлении наши войска продолжали успешное наступление. Бойцы Н-ского соединения переправились через реку Псёл и после ожесточённых боев овладели городом Гадяч. Части другого соединения, сломив сопротивление противника, заняли ряд населённых пунктов. В этих боях уничтожено до 1.000 немецких солдат и офицеров. Захвачены трофеи, среди которых 11 немецких танков.</w:t>
      </w:r>
    </w:p>
    <w:p w14:paraId="334FE80D"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части Н-ского соединения, преодолевая упорное сопротивление и отбивая контратаки противника, продолжали наступление и заняли свыше 20 населённых пунктов. В бою за один из населённых пунктов истреблено 400 гитлеровцев, захвачено 6 орудий, 27 пулемётов и два склада боеприпасов. На другом участке наши бойцы отбили контратаку противника и уничтожили 8 танков и 200 гитлеровцев.</w:t>
      </w:r>
    </w:p>
    <w:p w14:paraId="1B8610BE"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Бойцы Н-скогосоединения, преодолевая лесные завалы и минные поля противника, с боями продвигались вперёд. Немцы оказывают упорное сопротивление, но под ударами наших частей вынуждены оставлять одну позицию за другой. Восточнее Брянска советские бойцы заняли железнодорожную станцию Белые Берега. Контратаки противника отбитыс большими для него потерями. Уничтожено свыше 600 вражеских солдат и офицеров, 12 орудий и 30 автомашин. Захвачено у противника 9 орудий, 7 миномётов, 36 пулемётов и 3 паровоза. Взято 190 пленных.</w:t>
      </w:r>
    </w:p>
    <w:p w14:paraId="013D1096"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с боями продвигались вперёд и заняли несколько населённых пунктов. Части Н-ского соединения сломили сопротивление противника и овладели сильно укреплённым узлом немецкой обороны. Захвачено 3немецких танка, 12 орудий, 39 пулемётов и склад боеприпасов.</w:t>
      </w:r>
    </w:p>
    <w:p w14:paraId="1EB1E98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Партизанские отряды имени Чапаева, имени Пархоменко и имени Суворова, действующие в Черниговской области, за семь дней пустили под откос 14 немецких воинских эшелонов. Разбиты 12 паровозов и свыше 100 вагонов и платформ. Партизаны отряда, действующего в Запорожской области, взорвали железнодорожный мост. Движение поездов на этом участке железной дороги прервано на длительный срок.</w:t>
      </w:r>
    </w:p>
    <w:p w14:paraId="2A582813"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сторону Красной Армии перешла группа солдат 113 немецкой пехотной дивизии. Перебежчик Рудольф Д. рассказал: «113 дивизия зимой была уничтожена под Сталинградом. Весной во Франции была сформирована новая дивизия, которой присвоили тот же номер. Девятнадцатого июля дивизия выехала из Франции. Наш полк прибыл на станцию Ярцево и вскоре был брошен в бой. В первых же боях мы понесли тяжёлые потери. Солдаты говорят: «Мы унаследовали не только номер злополучной дивизии, но и её судьбу». Перебежчик солдат того же полка Отто Р. сообщил: «Офицеры говорили, что наша дивизия, укомплектованная молодыми необстрелянными солдатами, будет занимать спокойный участок фронта. Они нас обманули. За один день от артиллерийского огня русских моя рота потеряла 60 человек убитыми и ранеными. За три дня боёв рота фактически перестала существовать» (14767).</w:t>
      </w:r>
    </w:p>
    <w:p w14:paraId="13062BF2"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6ED0A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И-16 посадили под Петропавловском Камчатским Б-25 и Б-24 (1808,42).</w:t>
      </w:r>
    </w:p>
    <w:p w14:paraId="558640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AF1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у нас сели сразу два B-24D. Один нашел аэродром Елизово под Петропавловском сам. Пилот Р.Памман посадил машину с поврежденным двигателем. Второй бомбардировщик, К.Вагнера, привел наш И-16. Одни из этих самолетов, N 41-23891, в последствии стал первым "Либерейтором" советской дальнебомбардировочной авиации. Номер второго в документах дивизии записан как 02355, что явно ошибочно. Бомбардировщик N 41-23891 представлял собой B-24D-10, изготовленный заводом в Сан-Диего и прошедший доработку в модификационном центре в Оклахоме - в носовой части поставили вторую турель А-6, такую же, как в хвосте. С Камчатки в Кратово самолет перегонялся экипажем из 1-й перегоночной дивизии: В роли первого пилота выступал командир 2-го полка А.П.Мельников (3457,116).</w:t>
      </w:r>
    </w:p>
    <w:p w14:paraId="13B7FE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675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г. И-16 посадили под Петропавловском В-25 и В-24, а 12 июня 1944 г. отбили от японских истребителей американскую "Вентуру" и привели се на свой аэродром. Известны случаи, когда и американцы поддерживали И-16 в схватках с японскими истребителями.</w:t>
      </w:r>
    </w:p>
    <w:p w14:paraId="51030E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Активность в воздухе в районе Камчатки не ослабевала до конца войны. Сажать американские самолеты летчикам 888 полка доводилось вплоть до 1945 года. И з известных случаев - посадки В-24 25 сентября 1944 г. и 11 мая 1945 г. (12015).</w:t>
      </w:r>
    </w:p>
    <w:p w14:paraId="7D4C24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BDE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12-го сентября 1943 Бунимович из 1-го ГМТАП сбросил торпеду по одиночному пароходу в районе латвийского маяка Паппензее. Контрольный снимок засвидетельствовал поражение цели, однако зарубежных данных, подтверждающих это событие, до сих пор нет (9965).</w:t>
      </w:r>
    </w:p>
    <w:p w14:paraId="612BF3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E68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г. английские пи</w:t>
      </w:r>
      <w:r w:rsidRPr="00271E51">
        <w:rPr>
          <w:rFonts w:ascii="Times New Roman" w:hAnsi="Times New Roman"/>
          <w:color w:val="000000" w:themeColor="text1"/>
          <w:sz w:val="16"/>
          <w:szCs w:val="16"/>
        </w:rPr>
        <w:softHyphen/>
        <w:t>лоты дважды пытались пробиться к месту стоянки линкора, но погода сры</w:t>
      </w:r>
      <w:r w:rsidRPr="00271E51">
        <w:rPr>
          <w:rFonts w:ascii="Times New Roman" w:hAnsi="Times New Roman"/>
          <w:color w:val="000000" w:themeColor="text1"/>
          <w:sz w:val="16"/>
          <w:szCs w:val="16"/>
        </w:rPr>
        <w:softHyphen/>
        <w:t>вала их планы. Один из лучших раз</w:t>
      </w:r>
      <w:r w:rsidRPr="00271E51">
        <w:rPr>
          <w:rFonts w:ascii="Times New Roman" w:hAnsi="Times New Roman"/>
          <w:color w:val="000000" w:themeColor="text1"/>
          <w:sz w:val="16"/>
          <w:szCs w:val="16"/>
        </w:rPr>
        <w:softHyphen/>
        <w:t>ведчиков Северного флота, капитан Л.Елькин (впоследствии Герой Советс</w:t>
      </w:r>
      <w:r w:rsidRPr="00271E51">
        <w:rPr>
          <w:rFonts w:ascii="Times New Roman" w:hAnsi="Times New Roman"/>
          <w:color w:val="000000" w:themeColor="text1"/>
          <w:sz w:val="16"/>
          <w:szCs w:val="16"/>
        </w:rPr>
        <w:softHyphen/>
        <w:t>кого Союза), пробрался к немецкой базе в густой облачности. Первый за</w:t>
      </w:r>
      <w:r w:rsidRPr="00271E51">
        <w:rPr>
          <w:rFonts w:ascii="Times New Roman" w:hAnsi="Times New Roman"/>
          <w:color w:val="000000" w:themeColor="text1"/>
          <w:sz w:val="16"/>
          <w:szCs w:val="16"/>
        </w:rPr>
        <w:softHyphen/>
        <w:t>ход он сделал под дождем на высоте всего около 50 м. Летчик выждал пол</w:t>
      </w:r>
      <w:r w:rsidRPr="00271E51">
        <w:rPr>
          <w:rFonts w:ascii="Times New Roman" w:hAnsi="Times New Roman"/>
          <w:color w:val="000000" w:themeColor="text1"/>
          <w:sz w:val="16"/>
          <w:szCs w:val="16"/>
        </w:rPr>
        <w:softHyphen/>
        <w:t>часа, и видимость немного улучшилась. Тогда он трижды прошел над немец</w:t>
      </w:r>
      <w:r w:rsidRPr="00271E51">
        <w:rPr>
          <w:rFonts w:ascii="Times New Roman" w:hAnsi="Times New Roman"/>
          <w:color w:val="000000" w:themeColor="text1"/>
          <w:sz w:val="16"/>
          <w:szCs w:val="16"/>
        </w:rPr>
        <w:softHyphen/>
        <w:t>кой базой, сфотографировав все, сто</w:t>
      </w:r>
      <w:r w:rsidRPr="00271E51">
        <w:rPr>
          <w:rFonts w:ascii="Times New Roman" w:hAnsi="Times New Roman"/>
          <w:color w:val="000000" w:themeColor="text1"/>
          <w:sz w:val="16"/>
          <w:szCs w:val="16"/>
        </w:rPr>
        <w:softHyphen/>
        <w:t>ившее внимания. Пробыв в воздухе шесть часов, его "Спитфайр" благопо</w:t>
      </w:r>
      <w:r w:rsidRPr="00271E51">
        <w:rPr>
          <w:rFonts w:ascii="Times New Roman" w:hAnsi="Times New Roman"/>
          <w:color w:val="000000" w:themeColor="text1"/>
          <w:sz w:val="16"/>
          <w:szCs w:val="16"/>
        </w:rPr>
        <w:softHyphen/>
        <w:t>лучно приземлился. Елькин был удос</w:t>
      </w:r>
      <w:r w:rsidRPr="00271E51">
        <w:rPr>
          <w:rFonts w:ascii="Times New Roman" w:hAnsi="Times New Roman"/>
          <w:color w:val="000000" w:themeColor="text1"/>
          <w:sz w:val="16"/>
          <w:szCs w:val="16"/>
        </w:rPr>
        <w:softHyphen/>
        <w:t>тоен ордена Британской империи (10790).</w:t>
      </w:r>
    </w:p>
    <w:p w14:paraId="056F41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2D9AB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28940C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A619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года</w:t>
      </w:r>
    </w:p>
    <w:p w14:paraId="4929B3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ПРЕМЬЕРА И. В. СТАЛИНА ПРЕЗИДЕНТУ г-ну Ф. Д. РУЗВЕЛЬТУ И ПРЕМЬЕР-МИНИСТРУ г-ну У. ЧЕРЧИЛЛЮ</w:t>
      </w:r>
    </w:p>
    <w:p w14:paraId="5FCAA9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отношении военно-политической комиссии можно считать вопрос в основном разрешенным. Советским Полномочным Представителем нами назначен Заместитель Председателя Совета Народных Комиссаров и Заместитель Народного Комиссара Иностранных Дел Вышинский А. Я., который Вам известен. Заместителем его назначен Богомолов А. Е., Посол СССР при союзных правительствах в Лондоне. С ними командируется группа ответственных военных и политических экспертов и небольшой технический аппарат.</w:t>
      </w:r>
    </w:p>
    <w:p w14:paraId="7CC6EE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думаю, что начало работ военно-политической комиссии можно приурочить к 25—30 сентября. Не возражаю против того, чтобы комиссия начала свою работу в Алжире, с тем чтобы в дальнейшем она сама установила целесообразность выезда в Сицилию или в какое-либо другое место в Италии.</w:t>
      </w:r>
    </w:p>
    <w:p w14:paraId="76C498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нахожу правильными соображения Премьер-Министра относительно функций комиссии, но считаю, что через некоторое время, с учетом первого опыта работы комиссии, мы сможем уточнить эти функции как в отношении Италии, так соответственно и в отношении других стран.</w:t>
      </w:r>
    </w:p>
    <w:p w14:paraId="6F1FFD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вопросу о встрече трех наших представителей предлагаю считать согласованным место встречи — Москва, а также время встречи — 4 октября, как это предложил Президент.</w:t>
      </w:r>
    </w:p>
    <w:p w14:paraId="3955AD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все же считаю, что в интересах успеха этого совещания необходимо заранее знать те предложения, которые имеются у Английского и Американского Правительств для рассмотрения на совещании трех представителей, о чем я уже писал ранее. При этом, однако, я не предлагаю каких-либо ограничений в отношении порядка дня.</w:t>
      </w:r>
    </w:p>
    <w:p w14:paraId="26DC95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Что касается встречи трех глав правительств, то я не возражаю против Тегерана как места встречи, что мне представляется более подходящим, чем Египет, где у Советского Союза все еще нет своего представительства (7430).</w:t>
      </w:r>
    </w:p>
    <w:p w14:paraId="776132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C0F43"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СЕНТЯБРЯ 1943 г.</w:t>
      </w:r>
    </w:p>
    <w:p w14:paraId="30A22880"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ЗАПИСЬ БЕСЕДЫ ПЕРВОГО ЗАМЕСТИТЕЛЯ НАРОДНОГО КОМИССАРА ИНОСТРАННЫХ ДЕЛ СССР А.Я. ВЫШИНСКОГО С ВРЕМЕННЫМ ПОВЕРЕННЫМ В ДЕЛАХ США В СССР М. ГАМИЛЬТОНОМ О ВЫНУЖДЕННОЙ ПОСАДКЕ СЕМИ АМЕРИКАНСКИХ САМОЛЕТОВ НА КАМЧАТКЕ 12 СЕНТЯБРЯ 1943 г.</w:t>
      </w:r>
    </w:p>
    <w:p w14:paraId="57F881F4"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сентября 1943г.</w:t>
      </w:r>
      <w:r w:rsidRPr="00271E51">
        <w:rPr>
          <w:rFonts w:ascii="Times New Roman" w:hAnsi="Times New Roman"/>
          <w:color w:val="0070C0"/>
          <w:sz w:val="16"/>
          <w:szCs w:val="16"/>
        </w:rPr>
        <w:tab/>
        <w:t>Разослано:</w:t>
      </w:r>
    </w:p>
    <w:p w14:paraId="739E441B"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r w:rsidRPr="00271E51">
        <w:rPr>
          <w:rFonts w:ascii="Times New Roman" w:hAnsi="Times New Roman"/>
          <w:color w:val="0070C0"/>
          <w:sz w:val="16"/>
          <w:szCs w:val="16"/>
        </w:rPr>
        <w:tab/>
        <w:t>Молотову</w:t>
      </w:r>
    </w:p>
    <w:p w14:paraId="19A7B12E"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Деканозову</w:t>
      </w:r>
    </w:p>
    <w:p w14:paraId="5144DE71"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Сегодня в 20 ч. я принял Гамильтона, явившегося по моему вызову. Гамильтон пришел в сопровождении 2-го секретаря посольства Стивенса.</w:t>
      </w:r>
    </w:p>
    <w:p w14:paraId="5A167FBF"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Я сделал Гамильтону следующее устное заявление:</w:t>
      </w:r>
    </w:p>
    <w:p w14:paraId="2C2FB567"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«Народный Комиссариат Иностранных Дел считает нужным сообщить Посольству США в СССР нижеследующее:</w:t>
      </w:r>
    </w:p>
    <w:p w14:paraId="3D4F034A"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По полученным донесениям выяснилось, что 12 сентября сего года на территории Камчатки приземлились три американских самолета вследствие неисправности моторов. Несколько позже в тот же день над территорией Камчатки появилось еще четыре американских самолета, которые, после того как поднялись в воздух советские самолеты, были вынуждены приземлиться на советской территории. </w:t>
      </w:r>
    </w:p>
    <w:p w14:paraId="1B3E03AE"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соответствии с общепринятыми международными нормами все вышеуказанные самолеты вместе с их командами были интернированы местными военными властями.</w:t>
      </w:r>
    </w:p>
    <w:p w14:paraId="351FDCDD"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Советское Правительство обращает внимание Правительства США на то, что это уже не первый случай посадки американских самолетов на территории советского Дальнего Востока. Советское Правительство выражает пожелание, чтобы Правительство США приняло меры к неповторению подобного рода фактов в будущем.</w:t>
      </w:r>
    </w:p>
    <w:p w14:paraId="2268DC09"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Имена и фамилии членов команд будут переданы Посольству США, как только списки будут получены от соответствующих военных властей».</w:t>
      </w:r>
    </w:p>
    <w:p w14:paraId="2BCDFF44"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Выслушав мое сообщение, Гамильтон спросил, какие самолеты приземлились на Камчатке — военно-армейские или военно-морские.</w:t>
      </w:r>
    </w:p>
    <w:p w14:paraId="18C69DCF"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Я ответил, что мы еще не располагаем какими-либо сведениями об этом, так же как и сведениями об именах и фамилиях членов команд приземлившихся самолетов.</w:t>
      </w:r>
    </w:p>
    <w:p w14:paraId="16A0DA54"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Гамильтон, выслушав это, поблагодарил за сообщение и обещал заявление немедленно передать Правительству США.</w:t>
      </w:r>
    </w:p>
    <w:p w14:paraId="33E490F9"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Пользуясь представившимся случаем встречи с Гамильтоном, я спросил его, не знает ли он, кто именно будет представлять США на Конференции представителей трех государств.</w:t>
      </w:r>
    </w:p>
    <w:p w14:paraId="629A6CBB"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Гамильтон ответил, что ему это неизвестно, и вновь поинтересовался, когда можно будет рассчитывать на получение от Советского Правительства предложений по повестке дня конференции иностранных представителей.</w:t>
      </w:r>
    </w:p>
    <w:p w14:paraId="594A3EB0"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Я напомнил Гамильтону, что ответ на аналогичный вопрос я ему дал уже накануне, и добавил, что, в сущности говоря, никаких предложений, кроме предложения по п. 1-му, Правительство США не представило.</w:t>
      </w:r>
    </w:p>
    <w:p w14:paraId="1053D057"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конце беседы Гамильтон спросил, скоро ли я намерен выехать в Африку.</w:t>
      </w:r>
    </w:p>
    <w:p w14:paraId="7A6C4A61"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Я сказал, что готовлюсь к отъезду, но хотел бы знать, кто назначен представителем США. Гамильтон и на этот вопрос никакого ответа не дал, сославшись на отсутствие у него сведений.</w:t>
      </w:r>
    </w:p>
    <w:p w14:paraId="276E74F5"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ходе беседы Гамильтон упомянул, что едущий в СССР председатель Военнопроизводственного совета США Нельсон находится сейчас в Лондоне, где он пробудет 2-3 дня, откуда он проследует в Африку, а из Африки через Тегеран в Советский Союз.</w:t>
      </w:r>
    </w:p>
    <w:p w14:paraId="5389AF72"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Беседа с Гамильтоном продолжалась 20 минут. На беседе присутствовал старший] референт т. Тимофеев.</w:t>
      </w:r>
    </w:p>
    <w:p w14:paraId="641C9D73"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ВЫШИНСКИЙ</w:t>
      </w:r>
    </w:p>
    <w:p w14:paraId="38D13A57"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АВП РФ. Ф. 06. On. 5. П. 4. Д. 39. Л. 29-31. Подлинник (20900).</w:t>
      </w:r>
    </w:p>
    <w:p w14:paraId="4DB7F538" w14:textId="77777777" w:rsidR="00560783" w:rsidRPr="00271E51" w:rsidRDefault="00560783" w:rsidP="00271E51">
      <w:pPr>
        <w:spacing w:after="0" w:line="240" w:lineRule="auto"/>
        <w:jc w:val="both"/>
        <w:rPr>
          <w:rFonts w:ascii="Times New Roman" w:hAnsi="Times New Roman"/>
          <w:color w:val="0070C0"/>
          <w:sz w:val="16"/>
          <w:szCs w:val="16"/>
        </w:rPr>
      </w:pPr>
    </w:p>
    <w:p w14:paraId="66E1565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DB9EC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3402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12 сентября 1943 Б. Муссолини выкраден из плена СС-овцами и привезен в Германию </w:t>
      </w:r>
      <w:r w:rsidRPr="00271E51">
        <w:rPr>
          <w:rFonts w:ascii="Times New Roman" w:hAnsi="Times New Roman"/>
          <w:color w:val="000000" w:themeColor="text1"/>
          <w:sz w:val="16"/>
          <w:szCs w:val="16"/>
          <w:lang w:val="en-US"/>
        </w:rPr>
        <w:t>(4962).</w:t>
      </w:r>
    </w:p>
    <w:p w14:paraId="61E1776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1ADA2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12, 1943: Mussolini, held prisoner by the Badoglio government on the Gran Sasso, is rescued by German paratroopers who land in gliders on top of the mountain. SS major Otto Skorzeny, the leader of the mission, becomes an instant celebrity in Germany (3819).</w:t>
      </w:r>
    </w:p>
    <w:p w14:paraId="1D344F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E72E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12 September 1943 Mussolini released from prison by the Nazis (270).</w:t>
      </w:r>
    </w:p>
    <w:p w14:paraId="11F22D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BAAE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 1943 Б.Муссолини в результате операции Дуб в горной области в Абруцци (3481) был освобожден из заключения (270). Это были парашютисты и планеристы Отто Скорцени (2246,5). вывезли в Мюнхен и он через 3 дня сформировал правительство Итальянской республики Салона на севере Италии (3481).</w:t>
      </w:r>
    </w:p>
    <w:p w14:paraId="1EC13D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76A95"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сентябряв 1943 году в Италии начинается операция "Дуб". В горной области Абруцци группа немецких десантников под руководством Отто Скорцени освобождает из-под стражи бывшего премьер-министра Бенито Муссолини. Десантники высаживаются в горах с помощью планеров и вывозят Муссолини в Мюнхен, который через три дня сформирует там правительство так называемой Итальянской республики Сало на оккупированной гитлеровцами территории Северной Италии (14767).</w:t>
      </w:r>
    </w:p>
    <w:p w14:paraId="12A0C806"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31DF421B" w14:textId="77777777"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сентября 1943 в ходе воздушной операции 26 эсесовцев и 82 Fallschirmjäger (десантников) под командованием гауптштурмфюрером Отто Скорцени, прибывающих в Кампо Императоре в массива Гран - Сассо, высоко в Апеннинах с участием десяти планеров ДФС 230 на буксире за Henschel Hs освобождают Бенито Муссолини из заключения в Imperatore гостинице Кампо без выстрелов, и Муссолини улетает на 156C-3 / Trop Storch Fieseler Fi STOL самолете, несущего Stammkennzeichen код «SJ + LL» на военный аэродром Пратика - ди - Маре, недалеко от Рима. Затем Муссолини садится в Heinkel He 111 и летит в Вену (20376).</w:t>
      </w:r>
    </w:p>
    <w:p w14:paraId="5CF7D35C" w14:textId="77777777" w:rsidR="00560783" w:rsidRPr="00271E51" w:rsidRDefault="00560783" w:rsidP="00271E51">
      <w:pPr>
        <w:spacing w:after="0" w:line="240" w:lineRule="auto"/>
        <w:jc w:val="both"/>
        <w:rPr>
          <w:rFonts w:ascii="Times New Roman" w:hAnsi="Times New Roman"/>
          <w:color w:val="0070C0"/>
          <w:sz w:val="16"/>
          <w:szCs w:val="16"/>
        </w:rPr>
      </w:pPr>
    </w:p>
    <w:p w14:paraId="2A744A30" w14:textId="15C41AC4" w:rsidR="00560783" w:rsidRPr="00271E51" w:rsidRDefault="0056078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сентября 1943 британские эскортные авианосцы Атакующие, Боец , Хантер , и Stalker выпускают 26 Seafires работать с аэродрома Пестумом в Салерно, а затем перелететь в Палермо, Сицилия, для дозаправки (20376).</w:t>
      </w:r>
    </w:p>
    <w:p w14:paraId="4A4EDE24" w14:textId="77777777" w:rsidR="00560783" w:rsidRPr="00271E51" w:rsidRDefault="00560783" w:rsidP="00271E51">
      <w:pPr>
        <w:spacing w:after="0" w:line="240" w:lineRule="auto"/>
        <w:jc w:val="both"/>
        <w:rPr>
          <w:rFonts w:ascii="Times New Roman" w:hAnsi="Times New Roman"/>
          <w:color w:val="0070C0"/>
          <w:sz w:val="16"/>
          <w:szCs w:val="16"/>
        </w:rPr>
      </w:pPr>
    </w:p>
    <w:p w14:paraId="3D26454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03B95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2FC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ОКБ С.В.И. сдало на гос. испытания Ил-2, вооруженный 45 мм пушками ОКБ-16 НКВ (1784,42).</w:t>
      </w:r>
    </w:p>
    <w:p w14:paraId="06FECD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2F0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Нач. ЛИИ Чесалов писал письмо N 633с в сопровождении отчета об основных работах, выполненных ЛИИ в сентябре 1943:</w:t>
      </w:r>
    </w:p>
    <w:p w14:paraId="6F8234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1A96E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41CA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2685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года Федоренко направил в НКТП следующее письмо:</w:t>
      </w:r>
    </w:p>
    <w:p w14:paraId="57DB043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 поддержать предложение завода № 183 и изготовить по одному опытному образцу установки Д-5 в Т-43 и Т-34 и представить их на испытание» (12217).</w:t>
      </w:r>
    </w:p>
    <w:p w14:paraId="083C931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6E27653" w14:textId="77777777" w:rsidR="0050572A" w:rsidRPr="00271E51" w:rsidRDefault="0050572A" w:rsidP="00271E51">
      <w:pPr>
        <w:pStyle w:val="ae"/>
        <w:shd w:val="clear" w:color="auto" w:fill="FFFFFF"/>
        <w:spacing w:before="0" w:after="0"/>
        <w:jc w:val="both"/>
        <w:rPr>
          <w:color w:val="000000" w:themeColor="text1"/>
          <w:sz w:val="16"/>
          <w:szCs w:val="16"/>
        </w:rPr>
      </w:pPr>
      <w:r w:rsidRPr="00271E51">
        <w:rPr>
          <w:color w:val="000000" w:themeColor="text1"/>
          <w:sz w:val="16"/>
          <w:szCs w:val="16"/>
        </w:rPr>
        <w:t>13 сентября 1943 состоялось совещание, на котором были расставлены приоритеты в списке необходимых исправлений и улучшений. Вместо рекомендованного комиссией трубчатого подковообразного радиатора с трубками из цветного металла в серию запускался стальной пластинчатый радиатор. Форсированный до 600 лошадиных сил двигатель В-2 «уехал» на 1 января 1944 года. Забегая вперед, стоит сказать, что никакого форсированного В-2 ни ИС-85, ни ИС-122 (ИС-2) так и не дождались.</w:t>
      </w:r>
    </w:p>
    <w:p w14:paraId="08E219C2" w14:textId="77777777" w:rsidR="0050572A" w:rsidRPr="00271E51" w:rsidRDefault="0050572A"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Из 19 пунктов требований в серию сразу вводилось 2, к 1 декабря 1943 года испытывалось ещё 12. Ещё в сентябре 1943 года предлагалось увеличить количество запасных траков до 10 и разместить их на носовой части корпуса, но внедрено это предложение было гораздо позже — летом 1944 года. В декабре 1943 года планировалось оснастить ИС передними брызговиками по образцу английского танка </w:t>
      </w:r>
      <w:hyperlink r:id="rId95" w:history="1">
        <w:r w:rsidRPr="00271E51">
          <w:rPr>
            <w:rStyle w:val="a5"/>
            <w:color w:val="000000" w:themeColor="text1"/>
            <w:sz w:val="16"/>
            <w:szCs w:val="16"/>
            <w:u w:val="none"/>
          </w:rPr>
          <w:t>Valentine</w:t>
        </w:r>
      </w:hyperlink>
      <w:r w:rsidRPr="00271E51">
        <w:rPr>
          <w:color w:val="000000" w:themeColor="text1"/>
          <w:sz w:val="16"/>
          <w:szCs w:val="16"/>
        </w:rPr>
        <w:t>, но в середине декабря от этой идеи отказались, поскольку резиновые брызговики оказались сложными в производстве, а резина всё ещё являлась дефицитным материалом.</w:t>
      </w:r>
    </w:p>
    <w:p w14:paraId="6502E584" w14:textId="77777777" w:rsidR="0050572A" w:rsidRPr="00271E51" w:rsidRDefault="0050572A"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Среди изменений, которые планировалось вводить в конструкцию танка с 1 декабря 1943 года, значилась замена половинчатых траков на цельные траки без гребней. Это произошло, но половинчатые траки продолжали ставить и на ИС-122, и на ИСУ-152, и на ИСУ-122. Более того, фотографии свидетельствуют, что даже машины одного типа комплектовались по-разному. Например, ИС-85 выпуска ноября 1943 года, который испытывался на НИБТ Полигоне, имел гусеничные ленты с чередованием траков с гребнем и без него. В то же время другой ИС-85, который находился на НИБТ Полигоне летом 1944 года, имел гусеничные ленты, полностью собранные из траков с гребнями.</w:t>
      </w:r>
    </w:p>
    <w:p w14:paraId="3B2BE214" w14:textId="77777777" w:rsidR="0050572A" w:rsidRPr="00271E51" w:rsidRDefault="0050572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hAnsi="Times New Roman"/>
          <w:color w:val="000000" w:themeColor="text1"/>
          <w:sz w:val="16"/>
          <w:szCs w:val="16"/>
        </w:rPr>
        <w:t>Параллельно с запуском ИС-85 в серию велись работы по улучшению траков (17715).</w:t>
      </w:r>
    </w:p>
    <w:p w14:paraId="1D8CED0A" w14:textId="77777777" w:rsidR="0050572A" w:rsidRPr="00271E51" w:rsidRDefault="0050572A" w:rsidP="00271E51">
      <w:pPr>
        <w:pStyle w:val="12a"/>
        <w:shd w:val="clear" w:color="auto" w:fill="auto"/>
        <w:spacing w:after="0" w:line="240" w:lineRule="auto"/>
        <w:jc w:val="both"/>
        <w:rPr>
          <w:color w:val="000000" w:themeColor="text1"/>
          <w:sz w:val="16"/>
          <w:szCs w:val="16"/>
        </w:rPr>
      </w:pPr>
    </w:p>
    <w:p w14:paraId="426E4EF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Распоряжение ГКО № 4096 [О поставке в госрезерв 3 тыс. т газетной бумаги и 500 тыс. тетрадей в III кв.1943 г.] (7139, 1).</w:t>
      </w:r>
    </w:p>
    <w:p w14:paraId="1CD7DAE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6B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Распоряжение ГКО № 4097. О бесперебойном снабжении электроэнергией Уральского алюминиевого, Соликамского и Березниковского магниевых заводов НКЦМ.РГАНИР, Фонд ГКО, д. 151, лл. 2 (11012).</w:t>
      </w:r>
    </w:p>
    <w:p w14:paraId="56327F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5FAD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Распоряжение ГКО № 4098 [О выделении филиалов № 1 и 2 УЗТМ в самостоятельный завод № 50.] (7139, 3).</w:t>
      </w:r>
    </w:p>
    <w:p w14:paraId="7392E95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FBC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Постановление ГКО № 4099 Об организации подвижных ремонтных заводов.РГАНИР, Фонд ГКО, д. 151, лл. 4-5 (11012).</w:t>
      </w:r>
    </w:p>
    <w:p w14:paraId="04CCBA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93E3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Постановление ГКО № 4100 О восстановлении и организации движения на железных дорогах Донбасса. (7139, 6-12).</w:t>
      </w:r>
    </w:p>
    <w:p w14:paraId="7244E24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AA9C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Постановление ГКО № 4101 Об организации ремонтного завода для ремонта танковых дизелей в г. Орле.РГАНИР, Фонд ГКО, д. 151, лл. 13-14, 15-16 (11012).</w:t>
      </w:r>
    </w:p>
    <w:p w14:paraId="474C90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CBA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Распоряжение ГКО № 4102. О распространении норм продовольственного снабжения HКЧМ на ИТР и рабочих, занятых на тяжелых работах и горячих операциях в прокатном цехе завода № 330 HКЭП.РГАНИР, Фонд ГКО, д. 151, лл. 17 (11012).</w:t>
      </w:r>
    </w:p>
    <w:p w14:paraId="035994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F28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вышло Постановление ГКО № 4103 О мобилизации рабочей силы в освобожденных районах УССР для промышленных предприятий других районов СССР.РГАНИР, Фонд ГКО, д. 151, лл. 18-19 (11012).</w:t>
      </w:r>
    </w:p>
    <w:p w14:paraId="5AF11E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C51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г. СТК ДД отправили по железной дороге нз Баку в Поти (10675).</w:t>
      </w:r>
    </w:p>
    <w:p w14:paraId="7809A8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A1ED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49D03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D3673"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оперативная сводка Совинформбюро:</w:t>
      </w:r>
    </w:p>
    <w:p w14:paraId="483E9C8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сентября западнее города Сталино (Донбасс) наши войска продолжали развивать наступление и, продвинувшись вперёд от 6 до 15 километров, заняли свыше 90 населённых пунктов, в том числе районный центр Сталинской области Большая Янисоль и крупные населённые пункты Комарь, Времьёвка, Новодаровка, Санжаровский, Ворошиловка, Зачатьевка.</w:t>
      </w:r>
    </w:p>
    <w:p w14:paraId="25082DE8"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преодолевая сопротивление противника, продолжали успешное наступление и, продвинувшись вперёд от 10 до 17 километров, заняли свыше 40 населённых пунктов, в том числе районный центр Черниговской области Комаровка, крупные населённые пункты Воловица, Степановка, Британы, Евлашовка, Бурковка, Печи, Малый Самбур, Великий Самбур, Тиница, Голёнки, Гайворон, Дептовка, Кошары, Галка и железнодорожные станции Круты, Варваровский.</w:t>
      </w:r>
    </w:p>
    <w:p w14:paraId="45D5D39B"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развивать наступление и, продвинувшись вперёд от 10 до 12 километров, заняли свыше 140 населённых пунктов, в том числе крупные населённые пункты Хмелёв, Коровницы, Герасимовка, Бобрик, Ручки, Крутьки, Харьковцы и железнодорожные станции Андреяшевка, Юсковцы.</w:t>
      </w:r>
    </w:p>
    <w:p w14:paraId="3723AF3C"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преодолевая сопротивление противника, продвинулись вперёд от 4 до 6 километров и заняли свыше 40 населённых пунктов.</w:t>
      </w:r>
    </w:p>
    <w:p w14:paraId="6F066709"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успешное наступление и, продвинувшись вперёд от 10 до 15 километров, заняли свыше 30 населённых пунктов, в том числе крупные населённые пункты Ивот, Цементный, Крыловка, Самара-Радица, Большое Полпино, а также железнодорожные станции Бело-Бережская, Снежетьская, Свень и железнодорожные узлы Брянск-1 и Брянск-II (на восточном берегу реки Десна). Таким образом, наши войска вплотную подошли к городу Брянску.</w:t>
      </w:r>
    </w:p>
    <w:p w14:paraId="63ABC718"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сентября наши войска на всех фронтах подбили и уничтожили 14 немецких танков. В воздушных боях и огнём зенитной артиллерии сбито 18 самолётов противника.</w:t>
      </w:r>
    </w:p>
    <w:p w14:paraId="5001C340"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города Сталино наши войска продолжали наступление. Преодолевая сильное огневое сопротивление противника и его минные заграждения, бойцы Н-ского соединения заняли десятки населённых пунктов. В боях за эти пункты уничтожено до 1.500 немецких солдат и офицеров. Захвачено 4 танка, 7 бронетранспортёров, 13 орудий, 96 пулемётов и много автомашин с боеприпасами. На другом участке советские моторизованные и кавалерийские части продолжали преследовать разгромленные войска противника. За истекший день наши кавалеристы и мотопехота истребили десятки разрозненных групп гитлеровцев. Захвачены трофеи и пленные.</w:t>
      </w:r>
    </w:p>
    <w:p w14:paraId="6EAC5EC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продолжали успешное наступление и заняли свыше 40 населённых пунктов, в том числе районный центр Черниговской области Комаровка. Южнее города Бахмач наши войска окружили и полностью разгромили остатки частей четырёх немецких пехотных дивизий. Захвачены большие трофеи и значительное число пленных. На другом участке части Н-ского соединения ворвались на железнодорожную станцию Круты и заняли её. Удар наших бойцов был настолько стремительным, что прибывшие на эту станцию немецкие подкрепления не успели даже выгрузиться из вагонов. Большая часть гитлеровцев, находившихся в вагонах, была уничтожена, а остальные захвачены в плен.</w:t>
      </w:r>
    </w:p>
    <w:p w14:paraId="65BD64D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развивать наступление и заняли свыше 140 населённых пунктов. Противник, пытаясь дезорганизовать наступление советских частей, бросил в контратаку на узком участке фронта крупные силы пехоты и танков. Наши бойцы встретили немцев огнём из всех видов оружия. Потеряв 12 танков и несколько сот солдат и офицеров, противник отступил. В этом бою наводчик орудия красноармеец Краснов уничтожил 3 немецких танка, в том числе тяжёлый танк «Тигр». Нашими бойцами захвачено 6 танков, 4 самоходных и 13 полевых орудий.</w:t>
      </w:r>
    </w:p>
    <w:p w14:paraId="2DD276E1"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успешное наступление. Противник, опираясь на речные рубежи и инженерные заграждения, сооружённые в лесных массивах, оказывал упорное сопротивление. Части Н-ского соединения прорвали оборону немцев и, быстро продвинувшись вперёд, ворвались в посёлок имени Фокина и овладели им. Не дав врагу опомниться, советские бойцы перешли в решительную атаку и заняли сильно укреплённый железнодорожный узел Брянск-II. Другие наши соединения выбили немцев из посёлков имени Урицкого, имени Володарского, имени Толстого и овладели железнодорожным узлом Брянск-I. В этих боях уничтожено свыше 2.000 немецких солдат и офицеров. Захвачены трофеи и пленные.</w:t>
      </w:r>
    </w:p>
    <w:p w14:paraId="7E27695B"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части Н-ского соединения, преодолевая сопротивление противника, продвинулись вперёд и заняли два населённых пункта. В бою за эти пункты уничтожено до 400 немецких солдат и офицеров. Захвачено 3 орудия. 20 пулемётов и два склада боеприпасов.</w:t>
      </w:r>
    </w:p>
    <w:p w14:paraId="4901BD2C"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Краснознамённого Балтийского флота потопила немецкий транспорт водоизмещением в 6 тысяч тонн. Потоплен также сторожевой корабль противника.</w:t>
      </w:r>
    </w:p>
    <w:p w14:paraId="62C3173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Азовском море потопили два торпедных катера и две десантных баржи противника.</w:t>
      </w:r>
    </w:p>
    <w:p w14:paraId="715EE887"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Партизанские отряды Белоруссии за последние пять дней нанесли ряд серьёзных ударов по путям сообщения противника. Партизаны пустили под откос 75 немецких железнодорожных эшелонов. Большинство эшелонов следовало к линии фронта с двойной тягой. В результате крушений разбито или повреждено до 100 паровозов и свыше 1.000 вагонов и платформ. За это же время советские патриоты уничтожили 160 автомашин, сожгли 4 крупных склада, взорвали один железнодорожный и 38 шоссейных мостов.</w:t>
      </w:r>
    </w:p>
    <w:p w14:paraId="610B88CA"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ранце убитого солдата второго батальона 81 полка 15 немецкой пехотной дивизии Альфреда Зейделя найдено письмо от матери, проживающей в Саарской области. В письме от 21 августа она пишет: «Тотальная мобилизация забрала у нас последних калек... Неужели эти ни на что не способные люди смогут удержать фронт? У вас там снова большие бои. Откуда только русские берут столько танков и самолётов? Если верить нашим сводкам, то у русских уже не может быть ни одного танка и ни одного самолёта» (14768).</w:t>
      </w:r>
    </w:p>
    <w:p w14:paraId="128B9011"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0F22981F"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указом Президиума Верховного Совета СССР посмертно присвоены звания Героя Советского Союза руководителям подпольной комсомольской организации «Молодая гвардия» У.М.Громовой, И.А.Земнухову, О.В.Кошевому, С.Г.Тюленину, Л.Г.Шевцовой; орденами награждены 44 других молодогвардейца (14768).</w:t>
      </w:r>
    </w:p>
    <w:p w14:paraId="3D329CBA"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59B35FA3"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украинский ШПД отдал приказ о создании специальных партизанских отрядов для захвата и удержания до подхода частей Красной Армии районов переправ через Днепр, Припять и Десну (14768).</w:t>
      </w:r>
    </w:p>
    <w:p w14:paraId="5168E8C6"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40B6D7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г. самолет Ли-2 101-го полка АДД (командир В. Д. Асавин) с 10 эвакуированными детьми на борту возвращался с партизанской площадки Лужица. Пара "Мессершмиттов" атаковала Ли-2 в предрассветной мгле, что позволило советскому экипажу достаточно четко видеть противника, но и не дало возможности уйти от него. Истребители вели огонь прежде всего по оборонительным точкам корабля, и вскоре стрелок И. И. Дробышев, радист В. Ф. Монахов были убиты, а заменивший последнего у шкворневого пулемета борт-техник Белоконь - тяжело ранен. Погиб и второй пилот И. В. Кульников. Ли-2 был здорово искалечен и держался в воздухе главным образом на желании командира спасти натерпевшихся в оккупации маленьких пассажиров. Асавину удалось перетянуть линию фронта и успешно посадить горящую машину на первое попавшееся поле. Никто из детей не пострадал. Своим спасением они были обязаны мужеству экипажа и высокой живучести Ли-2 (3772).</w:t>
      </w:r>
    </w:p>
    <w:p w14:paraId="417F1F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691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командир и эск. А.Подгорецкий с напарником л Семеновым, сопровождая в бою ш, был подбит. Горячий антифриз залил глаза и он потерял зрение о чем сообщил ведомому. Тот стал подавать команды по радио, привел на свой аэродром и посадил. Зрение вернули (438,884).</w:t>
      </w:r>
    </w:p>
    <w:p w14:paraId="7685D3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C739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3BBE2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FE0506"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Записка И. В. Сталина И. Г. Большакову о сценарии второй серии фильма "Иван Грозный": "Сценарий получился неплохой. Т. Эйзенштейн справился с задачей. Иван Грозный, как прогрессивная сила своего времени, и опричнина, как его целесообразный инструмент, вышли неплохо. Следовало бы поскорее пустить в дело сценарий" (18693).</w:t>
      </w:r>
    </w:p>
    <w:p w14:paraId="0113B058"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6B60C86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руководителям “Молодой гвардии” присвоены звания Героя Советского Союза (4962).</w:t>
      </w:r>
    </w:p>
    <w:p w14:paraId="7AF6011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4F911" w14:textId="77777777" w:rsidR="0052569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023EB0C" w14:textId="77777777" w:rsidR="0052569F" w:rsidRPr="00271E51" w:rsidRDefault="0052569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D1E74" w14:textId="77777777" w:rsidR="0052569F" w:rsidRPr="00271E51" w:rsidRDefault="005256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СССР, США и Великобритания подписали в Москве декларацию о признании Италии «совместно воюющей страной» (14768).</w:t>
      </w:r>
    </w:p>
    <w:p w14:paraId="6585FB9D" w14:textId="77777777" w:rsidR="0052569F" w:rsidRPr="00271E51" w:rsidRDefault="0052569F" w:rsidP="00271E51">
      <w:pPr>
        <w:spacing w:after="0" w:line="240" w:lineRule="auto"/>
        <w:jc w:val="both"/>
        <w:rPr>
          <w:rFonts w:ascii="Times New Roman" w:hAnsi="Times New Roman"/>
          <w:color w:val="000000" w:themeColor="text1"/>
          <w:sz w:val="16"/>
          <w:szCs w:val="16"/>
        </w:rPr>
      </w:pPr>
    </w:p>
    <w:p w14:paraId="6012AE1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7ACC1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895B0" w14:textId="77777777" w:rsidR="0052569F" w:rsidRPr="00271E51" w:rsidRDefault="0052569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г. бомба FX1400 попала в английский крейсер "Югэнда" прежде, чем на нем успели объявить воздушную тревогу! Пронзив шесть палуб, она разорвалась под днищем. Крейсер принял около 1300 тонн воды и полностью лишился хода (2524).</w:t>
      </w:r>
    </w:p>
    <w:p w14:paraId="7DB34CB0" w14:textId="77777777" w:rsidR="0052569F" w:rsidRPr="00271E51" w:rsidRDefault="0052569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1EE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13 по 26 сентября 1943 в ходе боев между итальянской и немецкой армиями у Koproe все 7000 тыс. итальянцев погибли (2246,5).</w:t>
      </w:r>
    </w:p>
    <w:p w14:paraId="136EFA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8ABBD"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сентября 1943 у Salerno, американский легкий крейсер USS Филадельфия уходит от дву немецких Fritz X – управляемых планирующих бомб, но Fritz X сильно повреждает британский легкий крейсер HMS Уганда, и Henschel Hs 293 фатально повреждает британское госпитальное судно HMHS Ньюфаундленда, которое затонуло на следующий день (20376).</w:t>
      </w:r>
    </w:p>
    <w:p w14:paraId="3B611387" w14:textId="77777777" w:rsidR="00356A35" w:rsidRPr="00271E51" w:rsidRDefault="00356A35" w:rsidP="00271E51">
      <w:pPr>
        <w:spacing w:after="0" w:line="240" w:lineRule="auto"/>
        <w:jc w:val="both"/>
        <w:rPr>
          <w:rFonts w:ascii="Times New Roman" w:hAnsi="Times New Roman"/>
          <w:color w:val="0070C0"/>
          <w:sz w:val="16"/>
          <w:szCs w:val="16"/>
        </w:rPr>
      </w:pPr>
    </w:p>
    <w:p w14:paraId="1636FFC8"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сентября 1943 вечером 82 C-47 Skytrains и C-53 Skytroopers летящие из Сицилии сбросили 600 десантников 82nd воздушно - десантной дивизии армии Соединенных Штатов за линией фронта на плацдарме в Салерно (20376).</w:t>
      </w:r>
    </w:p>
    <w:p w14:paraId="56FF580C" w14:textId="77777777" w:rsidR="00356A35" w:rsidRPr="00271E51" w:rsidRDefault="00356A35" w:rsidP="00271E51">
      <w:pPr>
        <w:spacing w:after="0" w:line="240" w:lineRule="auto"/>
        <w:jc w:val="both"/>
        <w:rPr>
          <w:rFonts w:ascii="Times New Roman" w:hAnsi="Times New Roman"/>
          <w:color w:val="0070C0"/>
          <w:sz w:val="16"/>
          <w:szCs w:val="16"/>
        </w:rPr>
      </w:pPr>
    </w:p>
    <w:p w14:paraId="2399531C"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(13-16 сентября) немецкие войска перешли в наступление в районе Салерно и потеснили англо-американские войска (14768).</w:t>
      </w:r>
    </w:p>
    <w:p w14:paraId="4C162693"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08D2A1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13, 1943: Beginning of a German counterattack against the US Fifth Army's (Clark) bridgehead at Salerno (3819).</w:t>
      </w:r>
    </w:p>
    <w:p w14:paraId="13802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739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немцы оттеснили 5 армию США назад к Салерно (2262).</w:t>
      </w:r>
    </w:p>
    <w:p w14:paraId="0A8E81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A00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13 September 1943 Chiang Kai-shek becomes the President of China (270).</w:t>
      </w:r>
    </w:p>
    <w:p w14:paraId="388AD9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D628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сентября 1943 Чан Кай Ши стал президентом Китая (270).</w:t>
      </w:r>
    </w:p>
    <w:p w14:paraId="4FD95E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196E39"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сентября </w:t>
      </w:r>
      <w:r w:rsidRPr="00271E51">
        <w:rPr>
          <w:rFonts w:ascii="Times New Roman" w:hAnsi="Times New Roman"/>
          <w:color w:val="000000" w:themeColor="text1"/>
          <w:sz w:val="16"/>
          <w:szCs w:val="16"/>
        </w:rPr>
        <w:t>в 1943 году англо-американские войска высадили десанты на острова Кос, Лерос, Самос, однако закрепиться им не удалось (14768).</w:t>
      </w:r>
    </w:p>
    <w:p w14:paraId="27A6590D"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33B3011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53EBA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981C49" w14:textId="77777777" w:rsidR="00A94230" w:rsidRPr="00271E51" w:rsidRDefault="00A94230" w:rsidP="00271E51">
      <w:pPr>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14 сентября 1943</w:t>
      </w:r>
    </w:p>
    <w:p w14:paraId="2081BB9E" w14:textId="77777777" w:rsidR="00A94230" w:rsidRPr="00271E51" w:rsidRDefault="00A94230" w:rsidP="00271E51">
      <w:pPr>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Начальник производства завода № 1 им. Сталина Скарбов А.А.</w:t>
      </w:r>
    </w:p>
    <w:p w14:paraId="2C075E7D" w14:textId="77777777" w:rsidR="00A94230" w:rsidRPr="00271E51" w:rsidRDefault="00A94230" w:rsidP="00271E51">
      <w:pPr>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Начальник ПДО завода № 1 им. Сталина Городецкий М.В.</w:t>
      </w:r>
    </w:p>
    <w:p w14:paraId="31C0B3D5" w14:textId="77777777" w:rsidR="00A94230" w:rsidRPr="00271E51" w:rsidRDefault="00A94230" w:rsidP="00271E51">
      <w:pPr>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подготовили для Обкорма ВКП(б)</w:t>
      </w:r>
    </w:p>
    <w:p w14:paraId="48BFC4BA"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ОТЧЕТ о Ходе выполнения плана постройки истребительных вариантов ИЛ-2.</w:t>
      </w:r>
    </w:p>
    <w:p w14:paraId="7FEADEF2" w14:textId="77777777" w:rsidR="00A94230" w:rsidRPr="00271E51" w:rsidRDefault="00A94230" w:rsidP="00271E51">
      <w:pPr>
        <w:tabs>
          <w:tab w:val="left" w:pos="980"/>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СЕКРЕТАРЮ КУЙБЫШЕВСКОГО ОБЛАСТНОГО КОМИТЕТА ВКП/б/ - тов. Мосалову (поступил 14 сентября 1943)</w:t>
      </w:r>
    </w:p>
    <w:p w14:paraId="7077DFC6" w14:textId="77777777" w:rsidR="00A94230" w:rsidRPr="00271E51" w:rsidRDefault="00A94230" w:rsidP="00271E51">
      <w:pPr>
        <w:tabs>
          <w:tab w:val="left" w:pos="980"/>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1. Задание по истребительному варианту ИЛ-2 "ИК" произ</w:t>
      </w:r>
      <w:r w:rsidRPr="00271E51">
        <w:rPr>
          <w:rFonts w:ascii="Times New Roman" w:eastAsia="Gungsuh" w:hAnsi="Times New Roman"/>
          <w:color w:val="000000" w:themeColor="text1"/>
          <w:sz w:val="16"/>
          <w:szCs w:val="16"/>
          <w:lang w:eastAsia="ru-RU"/>
        </w:rPr>
        <w:softHyphen/>
        <w:t>водством закончен.</w:t>
      </w:r>
    </w:p>
    <w:p w14:paraId="41D0A47E"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Все самолеты отправлены в войсковые части.</w:t>
      </w:r>
    </w:p>
    <w:p w14:paraId="7C434F76" w14:textId="77777777" w:rsidR="00A94230" w:rsidRPr="00271E51" w:rsidRDefault="00A94230" w:rsidP="00271E51">
      <w:pPr>
        <w:tabs>
          <w:tab w:val="left" w:pos="999"/>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2. Истребительный вариант ИЛ-2 "2И" с мотором "АМ-38"</w:t>
      </w:r>
      <w:r w:rsidRPr="00271E51">
        <w:rPr>
          <w:rFonts w:ascii="Times New Roman" w:eastAsia="Gungsuh" w:hAnsi="Times New Roman"/>
          <w:color w:val="000000" w:themeColor="text1"/>
          <w:sz w:val="16"/>
          <w:szCs w:val="16"/>
          <w:vertAlign w:val="superscript"/>
          <w:lang w:eastAsia="ru-RU"/>
        </w:rPr>
        <w:t xml:space="preserve"> </w:t>
      </w:r>
      <w:r w:rsidRPr="00271E51">
        <w:rPr>
          <w:rFonts w:ascii="Times New Roman" w:eastAsia="Gungsuh" w:hAnsi="Times New Roman"/>
          <w:color w:val="000000" w:themeColor="text1"/>
          <w:sz w:val="16"/>
          <w:szCs w:val="16"/>
          <w:lang w:eastAsia="ru-RU"/>
        </w:rPr>
        <w:t>отдельным распоряжением Зам. Народного Комиссара Авиационной Промышленности с производства на завэде снят.</w:t>
      </w:r>
    </w:p>
    <w:p w14:paraId="3D4C4BF7" w14:textId="77777777" w:rsidR="00A94230" w:rsidRPr="00271E51" w:rsidRDefault="00A94230" w:rsidP="00271E51">
      <w:pPr>
        <w:tabs>
          <w:tab w:val="left" w:pos="1004"/>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 xml:space="preserve">3. Истребительный вариант ИЛ-2 </w:t>
      </w:r>
      <w:r w:rsidRPr="00271E51">
        <w:rPr>
          <w:rFonts w:ascii="Times New Roman" w:eastAsia="Gungsuh" w:hAnsi="Times New Roman"/>
          <w:color w:val="000000" w:themeColor="text1"/>
          <w:sz w:val="16"/>
          <w:szCs w:val="16"/>
          <w:vertAlign w:val="superscript"/>
          <w:lang w:eastAsia="ru-RU"/>
        </w:rPr>
        <w:t>и</w:t>
      </w:r>
      <w:r w:rsidRPr="00271E51">
        <w:rPr>
          <w:rFonts w:ascii="Times New Roman" w:eastAsia="Gungsuh" w:hAnsi="Times New Roman"/>
          <w:color w:val="000000" w:themeColor="text1"/>
          <w:sz w:val="16"/>
          <w:szCs w:val="16"/>
          <w:lang w:eastAsia="ru-RU"/>
        </w:rPr>
        <w:t>2И" с мотором "АМ-42" находится в производстве и имеет следующее состояние:</w:t>
      </w:r>
    </w:p>
    <w:p w14:paraId="330B245D"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а) Собран бронефюзеляж и состыкован с хвостовым отсе</w:t>
      </w:r>
      <w:r w:rsidRPr="00271E51">
        <w:rPr>
          <w:rFonts w:ascii="Times New Roman" w:eastAsia="Gungsuh" w:hAnsi="Times New Roman"/>
          <w:color w:val="000000" w:themeColor="text1"/>
          <w:sz w:val="16"/>
          <w:szCs w:val="16"/>
          <w:lang w:eastAsia="ru-RU"/>
        </w:rPr>
        <w:softHyphen/>
        <w:t>ком и центропланом.</w:t>
      </w:r>
    </w:p>
    <w:p w14:paraId="4D7ED143"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Все работы цехом № 15 закончены, самолет передан на сборку цеха № 12.</w:t>
      </w:r>
    </w:p>
    <w:p w14:paraId="152ECA23"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Дальнейшая работа провддиться не может из-за отсут</w:t>
      </w:r>
      <w:r w:rsidRPr="00271E51">
        <w:rPr>
          <w:rFonts w:ascii="Times New Roman" w:eastAsia="Gungsuh" w:hAnsi="Times New Roman"/>
          <w:color w:val="000000" w:themeColor="text1"/>
          <w:sz w:val="16"/>
          <w:szCs w:val="16"/>
          <w:lang w:eastAsia="ru-RU"/>
        </w:rPr>
        <w:softHyphen/>
        <w:t>ствия ряда агрегатов.</w:t>
      </w:r>
    </w:p>
    <w:p w14:paraId="3F0D6F8A" w14:textId="77777777" w:rsidR="00A94230" w:rsidRPr="00271E51" w:rsidRDefault="00A94230" w:rsidP="00271E51">
      <w:pPr>
        <w:tabs>
          <w:tab w:val="left" w:pos="1407"/>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 xml:space="preserve">1. Отсутствует мотор </w:t>
      </w:r>
      <w:r w:rsidRPr="00271E51">
        <w:rPr>
          <w:rFonts w:ascii="Times New Roman" w:eastAsia="Gungsuh" w:hAnsi="Times New Roman"/>
          <w:color w:val="000000" w:themeColor="text1"/>
          <w:sz w:val="16"/>
          <w:szCs w:val="16"/>
        </w:rPr>
        <w:t>"</w:t>
      </w:r>
      <w:r w:rsidRPr="00271E51">
        <w:rPr>
          <w:rFonts w:ascii="Times New Roman" w:eastAsia="Gungsuh" w:hAnsi="Times New Roman"/>
          <w:color w:val="000000" w:themeColor="text1"/>
          <w:sz w:val="16"/>
          <w:szCs w:val="16"/>
          <w:lang w:val="en-US"/>
        </w:rPr>
        <w:t>AM</w:t>
      </w:r>
      <w:r w:rsidRPr="00271E51">
        <w:rPr>
          <w:rFonts w:ascii="Times New Roman" w:eastAsia="Gungsuh" w:hAnsi="Times New Roman"/>
          <w:color w:val="000000" w:themeColor="text1"/>
          <w:sz w:val="16"/>
          <w:szCs w:val="16"/>
        </w:rPr>
        <w:t xml:space="preserve">-42 </w:t>
      </w:r>
      <w:r w:rsidRPr="00271E51">
        <w:rPr>
          <w:rFonts w:ascii="Times New Roman" w:eastAsia="Gungsuh" w:hAnsi="Times New Roman"/>
          <w:color w:val="000000" w:themeColor="text1"/>
          <w:sz w:val="16"/>
          <w:szCs w:val="16"/>
          <w:lang w:eastAsia="ru-RU"/>
        </w:rPr>
        <w:t>с завода № 24,до настоя</w:t>
      </w:r>
      <w:r w:rsidRPr="00271E51">
        <w:rPr>
          <w:rFonts w:ascii="Times New Roman" w:eastAsia="Gungsuh" w:hAnsi="Times New Roman"/>
          <w:color w:val="000000" w:themeColor="text1"/>
          <w:sz w:val="16"/>
          <w:szCs w:val="16"/>
          <w:lang w:eastAsia="ru-RU"/>
        </w:rPr>
        <w:softHyphen/>
        <w:t>щего времени неизвестны сроки на его поставку.</w:t>
      </w:r>
    </w:p>
    <w:p w14:paraId="017CDE46" w14:textId="77777777" w:rsidR="00A94230" w:rsidRPr="00271E51" w:rsidRDefault="00A94230" w:rsidP="00271E51">
      <w:pPr>
        <w:tabs>
          <w:tab w:val="left" w:pos="1408"/>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2. Отсутствует винт с завода № 35.</w:t>
      </w:r>
    </w:p>
    <w:p w14:paraId="2E67CE71" w14:textId="77777777" w:rsidR="00A94230" w:rsidRPr="00271E51" w:rsidRDefault="00A94230" w:rsidP="00271E51">
      <w:pPr>
        <w:tabs>
          <w:tab w:val="left" w:pos="1407"/>
        </w:tabs>
        <w:spacing w:after="0" w:line="240" w:lineRule="auto"/>
        <w:jc w:val="both"/>
        <w:rPr>
          <w:rFonts w:ascii="Times New Roman" w:eastAsia="Gungsuh"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3. Не получен и не оттарирован бензиномер заводом - поставщиком.</w:t>
      </w:r>
    </w:p>
    <w:p w14:paraId="5F678291"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Недоработаны крылья в связи с конструктивным измене</w:t>
      </w:r>
      <w:r w:rsidRPr="00271E51">
        <w:rPr>
          <w:rFonts w:ascii="Times New Roman" w:eastAsia="Gungsuh" w:hAnsi="Times New Roman"/>
          <w:color w:val="000000" w:themeColor="text1"/>
          <w:sz w:val="16"/>
          <w:szCs w:val="16"/>
          <w:lang w:eastAsia="ru-RU"/>
        </w:rPr>
        <w:softHyphen/>
        <w:t>нием чертежей. Будут готовы крылья 16-17 сентября.</w:t>
      </w:r>
    </w:p>
    <w:p w14:paraId="2108DEE4"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Состояние производства по самолету ИЛ-1.</w:t>
      </w:r>
    </w:p>
    <w:p w14:paraId="6C5B8354" w14:textId="77777777" w:rsidR="00A94230" w:rsidRPr="00271E51" w:rsidRDefault="00A94230"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Gungsuh" w:hAnsi="Times New Roman"/>
          <w:color w:val="000000" w:themeColor="text1"/>
          <w:sz w:val="16"/>
          <w:szCs w:val="16"/>
          <w:lang w:eastAsia="ru-RU"/>
        </w:rPr>
        <w:t>1. Разработан график запуска и выпуска самолета ИЛ-1 и доведен до цехов 5/1X.</w:t>
      </w:r>
    </w:p>
    <w:p w14:paraId="0DCA17B1"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настоящее время идет разработка технологии и простейшей оснастки для производства 2-х опытных образцов (19789).</w:t>
      </w:r>
    </w:p>
    <w:p w14:paraId="1CFBA39D"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7CC08E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произошла авария ДБ-3С N 2017 2 М-82 (л Хлястач, н Болошко и Ветказов).</w:t>
      </w:r>
    </w:p>
    <w:p w14:paraId="02222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DA3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года начальник штаба НИИ ВВС Иващенко писал письмо N 1/00131 Шахурину.</w:t>
      </w:r>
    </w:p>
    <w:p w14:paraId="475E49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летно-тактических данных самолетов, прошедших испытания в НИИ ВВС, для включения их в альбом самолетов ВВС 1943 года:</w:t>
      </w:r>
    </w:p>
    <w:p w14:paraId="072715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"Аэрокобра" Р-39L-1-ВЕ с мотором Аллисон Е-6.</w:t>
      </w:r>
    </w:p>
    <w:p w14:paraId="017786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Як-1 с М-105Ф, улучшенные, N 31139 и N 46139.</w:t>
      </w:r>
    </w:p>
    <w:p w14:paraId="6174C7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Ил-2 с АМ-38Ф, с пушками кал. 37 мм, N 30349.</w:t>
      </w:r>
    </w:p>
    <w:p w14:paraId="580ABA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Як-7Б с М-105Ф, серийный, N 821217.</w:t>
      </w:r>
    </w:p>
    <w:p w14:paraId="2EB131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Ла-5 с М-82Ф, серийный, N 39213050.</w:t>
      </w:r>
    </w:p>
    <w:p w14:paraId="5EBB0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УТ-2М с М-11Д, N 1680236.</w:t>
      </w:r>
    </w:p>
    <w:p w14:paraId="47BB6C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Ер-2 с 2 М-30В, модифицированный.</w:t>
      </w:r>
    </w:p>
    <w:p w14:paraId="7C4117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Ли-2 с 2М-62ИР, эталон 1943 г (1783,198).</w:t>
      </w:r>
    </w:p>
    <w:p w14:paraId="6825AF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C3174"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C91E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4AA6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14 по 19 октября 1943 опытный образец машины Т-34 с пушкой С 54 прошел испытания на ГАНИОПе. По результатам проведенных испытаний, комиссией было сделано за</w:t>
      </w:r>
      <w:r w:rsidRPr="00271E51">
        <w:rPr>
          <w:rFonts w:ascii="Times New Roman" w:hAnsi="Times New Roman"/>
          <w:color w:val="000000" w:themeColor="text1"/>
          <w:sz w:val="16"/>
          <w:szCs w:val="16"/>
        </w:rPr>
        <w:softHyphen/>
        <w:t>ключение о необходимости, после устранения недостатков, принятия пушки С-54 па вооружение для танка Т-34 в качестве временной меры до принятия на вооружение более мощной 85-мм танковой пушки (10703).</w:t>
      </w:r>
    </w:p>
    <w:p w14:paraId="3BE547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ECE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сентября 1943 главный инженер завода № 37 получил от начальника технического управления НКТП Фрезерова письмо следующего содержания: </w:t>
      </w:r>
    </w:p>
    <w:p w14:paraId="4C3431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w:t>
      </w:r>
    </w:p>
    <w:p w14:paraId="095A28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целесообразным данную разработку временно прекратить, сохранив разработанный материал для возможного использования в дальнейшем".</w:t>
      </w:r>
    </w:p>
    <w:p w14:paraId="62DFDF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этом проекте закончились разработки отечественных САУ на трофейных шасси (9695).</w:t>
      </w:r>
    </w:p>
    <w:p w14:paraId="41981E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1F6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главный инженер завода № 37 получил от начальника технического управления НКТП Фрезерова письмо:</w:t>
      </w:r>
    </w:p>
    <w:p w14:paraId="28F903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w:t>
      </w:r>
    </w:p>
    <w:p w14:paraId="7413EF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Считаю целесообразным данную разработку временно прекратить, сохранив разработанный материал для возможного использования в дальнейшем" (10794).</w:t>
      </w:r>
    </w:p>
    <w:p w14:paraId="3BD89A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AE204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сентября 1943 главный инженер завода № 37 получил от начальника технического управления Наркомата тяжелой промышленности Фрезерова письмо следующего содержания: «Разработанный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 Считаю целесообразным данную разработку временно прекратить, сохранив разработанный материал для возможного использования в дальнейшем». В начале 1944 г. вышло распоряжение начальника ГАБТУ Федоре нко о передаче всех СУ-76И из боевых подразделений в учебные и о замене их на СУ-76М. В учебных подразделениях эти боевые машины встречались до конца 1945 г., после чего были сданы на металлолом. На полигоне в Кубинке действующий образец СУ-76И просуществовал довольно долго и был списан в 1968 г. До наших дней уцелели лишь два экземпляра СУ-76И. Первый почти 30 лет пролежал на дне реки Случь, затем был поднят и установлен как памятник в городе Сарны Ровенской области на Украине, а второй находится в музее Великой Отечественной войны на Поклонной горе в Москве. 16 марта 1943 г. в боях под Балатоном в составе 366-го гвардейского тяжелою самоходно-артиллерийского полка имелось 12 трофейных САУ и две «Пантеры». Замечу, что писать об использовании германского трофейного имущества в Красной армии в 1941—1945 гг. непросто. И дело не только в том, что значительная часть документов войны в Подольском и иных архивах до сих нор хранится под грифом «секретно». </w:t>
      </w:r>
      <w:r w:rsidRPr="00271E51">
        <w:rPr>
          <w:rStyle w:val="a7"/>
          <w:rFonts w:ascii="Times New Roman" w:hAnsi="Times New Roman"/>
          <w:b w:val="0"/>
          <w:color w:val="000000" w:themeColor="text1"/>
          <w:sz w:val="16"/>
          <w:szCs w:val="16"/>
        </w:rPr>
        <w:t>Еще хуже, что советские, равно как и германские, командиры тщательно скрывали наличие трофеев в своих частях. Причем ни у них, ни у нас это не было связано с какой-либо идеологией (12687).</w:t>
      </w:r>
    </w:p>
    <w:p w14:paraId="561A7806"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07B6BC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главный инженер завода № 37 получил от начальника технического управления НКХП Фрезерова письмо следующего содержания: «Разработанный вами проект установки 85-мм пушки Д-5 на базу Т-III (СУ-85И) в настоящее время реализован быть не может из-за отсутствия в достаточном количестве пушек Д-5 и неясностью вопроса с дальнейшей доставкой танков Т— III.</w:t>
      </w:r>
    </w:p>
    <w:p w14:paraId="29E3675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целесообразным данную разработку временно прекратить, сохранив разработанный материал для возможного использования в дальнейшем». На этом проекте закончились разработки отечественных самоходок на трофейных шасси (12688).</w:t>
      </w:r>
    </w:p>
    <w:p w14:paraId="14008CF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42B913A" w14:textId="77777777" w:rsidR="00E40F8E" w:rsidRPr="00271E51" w:rsidRDefault="00E40F8E" w:rsidP="00271E51">
      <w:pPr>
        <w:pStyle w:val="book"/>
        <w:ind w:firstLine="0"/>
        <w:jc w:val="both"/>
        <w:rPr>
          <w:color w:val="000000" w:themeColor="text1"/>
          <w:sz w:val="16"/>
          <w:szCs w:val="16"/>
        </w:rPr>
      </w:pPr>
      <w:r w:rsidRPr="00271E51">
        <w:rPr>
          <w:color w:val="000000" w:themeColor="text1"/>
          <w:sz w:val="16"/>
          <w:szCs w:val="16"/>
        </w:rPr>
        <w:t>14 сентября 1943 главный инженер завода № 37 получил от начальника технического управления Наркомата тяжелой промышленности Фрезерова письмо следующего содержания: «Разработанный вами проект установки 85 мм пушки Д-5-С-85 на базу Т-3 (СУ-85И) в настоящее время реализован быть не может из-за отсутствия в достаточном количестве пушек Д-5 и неясностью вопроса с дальнейшей доставкой танков Pz III. Считаю целесообразным данную разработку временно прекратить, сохранив разработанный материал для возможного использования в дальнейшем» (15225).</w:t>
      </w:r>
    </w:p>
    <w:p w14:paraId="466F4732" w14:textId="77777777" w:rsidR="00E40F8E" w:rsidRPr="00271E51" w:rsidRDefault="00E40F8E" w:rsidP="00271E51">
      <w:pPr>
        <w:pStyle w:val="book"/>
        <w:ind w:firstLine="0"/>
        <w:jc w:val="both"/>
        <w:rPr>
          <w:color w:val="000000" w:themeColor="text1"/>
          <w:sz w:val="16"/>
          <w:szCs w:val="16"/>
        </w:rPr>
      </w:pPr>
    </w:p>
    <w:p w14:paraId="360B1D0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4104 Об отмене налоговых льгот работникам расформированных военно-эксплуатационных отделений желдорог. (7139, 20).</w:t>
      </w:r>
    </w:p>
    <w:p w14:paraId="6364B96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8AE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4105. О восстановлении базы по изготовлению тяжелого крекингового оборудования и нефтеаппаратуры в г. Сталинграде.РГАНИР, Фонд ГКО, д. 151, лл. 21 (11012).</w:t>
      </w:r>
    </w:p>
    <w:p w14:paraId="75B7A2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DFB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4106. О сокращении плана НКТМ по изготовлению конвейерных рештаков для НКУП в III кв. 1943 г.РГАНИР, Фонд ГКО, д. 151, лл. 22 (11012).</w:t>
      </w:r>
    </w:p>
    <w:p w14:paraId="7F1930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616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4107. О льготах для работников Воткинского мехлесопункта НКлеса Удмуртской АССР, занятых на дровозаготовках для завода № 235 НКВ.РГАНИР, Фонд ГКО, д. 151, лл. 23 (11012).</w:t>
      </w:r>
    </w:p>
    <w:p w14:paraId="5B87BB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7E0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4108. О преодолении срока работ мобилизованных на лесозаготовки до 1 апреля 1944 г. и дополнительной мобилизации 1 тыс. чел. в КФ ССР.РГАНИР, Фонд ГКО, д. 151, лл. 24 (11012).</w:t>
      </w:r>
    </w:p>
    <w:p w14:paraId="579FC9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9AC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4109. О передаче Тугулымского совхоза Свердловской обл. Верх-Исетскому заводу НКЧМ.РГАНИР, Фонд ГКО, д. 151, лл. 25 (11012).</w:t>
      </w:r>
    </w:p>
    <w:p w14:paraId="304AF6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E41D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4110 О переводе в Москву Государственного института по проектированию металлургических заводов - Гипромез и передаче Hаркомчермету для размещения Гипромеза неиспользуемой площади Полиграфического комбината им. Молотова В.М. (7139, 26).</w:t>
      </w:r>
    </w:p>
    <w:p w14:paraId="578FE22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44D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4111. О мобилизации в Тульской и Смоленской обл. 2 тыс. чел. для работы санитарами в эвакогоспиталях Смоленской обл.РГАНИР, Фонд ГКО, д. 151, лл. 27 (11012).</w:t>
      </w:r>
    </w:p>
    <w:p w14:paraId="626C1B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F7C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4112. О поставке 7 тыс. т сульфата натрия комбинатам HКБП СССР.РГАНИР, Фонд ГКО, д. 151, лл. 28 (11012).</w:t>
      </w:r>
    </w:p>
    <w:p w14:paraId="17FB44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B5B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4113. О выделении тресту "Сахалиннефтестрой" 800 военнообязанных, не годных к службе в армии.РГАНИР, Фонд ГКО, д. 151, лл. 29 (11012).</w:t>
      </w:r>
    </w:p>
    <w:p w14:paraId="064B57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21E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4114. О поставках материалов и оборудования для строительства Стерлитамакского содового завода HКХП.РГАНИР, Фонд ГКО, д. 151, лл. 30, 31-33 (11012).</w:t>
      </w:r>
    </w:p>
    <w:p w14:paraId="1C05B5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3818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4115 [О переводе на строительство Челябинского металлургического завода 3 тыс. физически здоровых заключенных и улучшении их питания; о льготах для рабочих, ИТР и служащих, занятых на этой стройке.] (7139, 34-35).</w:t>
      </w:r>
    </w:p>
    <w:p w14:paraId="7B8D8C4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C923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4116 Об улучшении качества гальванических батарей. (7139, 36-37,38).</w:t>
      </w:r>
    </w:p>
    <w:p w14:paraId="1492D20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9116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4117 О мероприятиях по улучшению работы Краснокамской бумажной фабрики Гознака Наркомфина СССР.РГАНИР, Фонд ГКО, д. 151, лл. 39-40, 41-43 (11012).</w:t>
      </w:r>
    </w:p>
    <w:p w14:paraId="5C2411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200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4118 О строительстве Ереванского завода "Поливинилацетат" Наркомхимпрома.РГАНИР, Фонд ГКО, д. 151, лл. 44-47, 48-56 (11012).</w:t>
      </w:r>
    </w:p>
    <w:p w14:paraId="0976A5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B8DD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4119 О подготовке рабочих кадров для строек и предприятий Главвоенпромстроя при СНК СССР.РГАНИР, Фонд ГКО, д. 151, лл. 57-61, 62-64 (11012).</w:t>
      </w:r>
    </w:p>
    <w:p w14:paraId="7A1EC6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24F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сентября 1943 вышло Распоряжение ГКО № 4120. О продлении срока работы 9 тыс. красноармейцев на торфопредприятиях НКЭС.РГАНИР, Фонд ГКО, д. 151, лл. </w:t>
      </w:r>
      <w:r w:rsidRPr="00271E51">
        <w:rPr>
          <w:rFonts w:ascii="Times New Roman" w:hAnsi="Times New Roman"/>
          <w:color w:val="000000" w:themeColor="text1"/>
          <w:sz w:val="16"/>
          <w:szCs w:val="16"/>
        </w:rPr>
        <w:lastRenderedPageBreak/>
        <w:t>65 (11012).</w:t>
      </w:r>
    </w:p>
    <w:p w14:paraId="32E0FC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FFC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4121 О т.т. Корниец Л.Р., Мартыненко И.М., Найденове П.А., Колупаеве И.Е., Сердюк З.Т., Кальченко Н.Т., Бурцеве А.К., Гузий В.Г., Мухине А.В. и Сосновикове В.В.РГАНИР, Фонд ГКО, д. 151, лл. 66 (11012).</w:t>
      </w:r>
    </w:p>
    <w:p w14:paraId="3DBEB3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038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4122 О т.т. Рязанове А.П. и Мирошникове П.В.РГАНИР, Фонд ГКО, д. 151, лл. 67 (11012).</w:t>
      </w:r>
    </w:p>
    <w:p w14:paraId="35C00F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BB0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4123 Об учреждении дополнительно переходящего Красного знамени ГКО для завода НКТП - победителя во Всесоюзном соцсоревновании.РГАНИР, Фонд ГКО, д. 151, лл. 68 (11012).</w:t>
      </w:r>
    </w:p>
    <w:p w14:paraId="555755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7A63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4124 О снятии взыскания с директора завода № 112 тов. Рубинчика.РГАНИР, Фонд ГКО, д. 151, лл. 69 (11012).</w:t>
      </w:r>
    </w:p>
    <w:p w14:paraId="7C4939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5FFC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4125 О восстановлении завода № 65 НКБ в г. Таганроге. (7139, 70-72).</w:t>
      </w:r>
    </w:p>
    <w:p w14:paraId="52A1769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F52C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Распоряжение ГКО № 4126 [О дополнительных поставках НКВД автомобильных шин и запчастей.] (7139, 73).</w:t>
      </w:r>
    </w:p>
    <w:p w14:paraId="5927608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AFED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4127 О дополнительном выделении проката черных металлов для строительства предприятий черной металлургии.РГАНИР, Фонд ГКО, д. 151, лл. 74-75 (11012).</w:t>
      </w:r>
    </w:p>
    <w:p w14:paraId="362E4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8DFD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вышло Постановление ГКО № 4128 О приемке в эксплуатацию новой железнодорожной магистрали Свияжск-Сталинград. (7139, 76-77).</w:t>
      </w:r>
    </w:p>
    <w:p w14:paraId="5A61242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605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На Адмиралтейском заводе закончены испытания и передан флоту ТК типа Г-5 (10671).</w:t>
      </w:r>
    </w:p>
    <w:p w14:paraId="70FB05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ED25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2D83A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72A5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сентября </w:t>
      </w:r>
      <w:r w:rsidRPr="00271E51">
        <w:rPr>
          <w:rFonts w:ascii="Times New Roman" w:hAnsi="Times New Roman"/>
          <w:color w:val="000000" w:themeColor="text1"/>
          <w:sz w:val="16"/>
          <w:szCs w:val="16"/>
        </w:rPr>
        <w:t>в 1943 году оперативная сводка Совинформбюро:</w:t>
      </w:r>
    </w:p>
    <w:p w14:paraId="3B60E30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сентября западнее города Сталино (Донбасс) наши войска продолжали успешно развивать наступление и, продвинувшись вперёд от 20 до 25 километров, заняли свыше 150 населённых пунктов и среди них крупные населённые пункты Ивановка, Гавриловка, Малая Михайловка, Большая Михайловка, Алексеевка, Успеновка, Туркеновка, Фёдоровка.</w:t>
      </w:r>
    </w:p>
    <w:p w14:paraId="0EF1D0E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вдоль побережья Азовского моря, продвинулись вперёддо 15 километров и заняли свыше 20 населённых пунктов, в том числе районные центры Сталинской области Володарское, Мангуш и крупные населённые пункты Ново-Романовка, Ново-Григорьевка, Ялта, Мелекино, Белосарайка.</w:t>
      </w:r>
    </w:p>
    <w:p w14:paraId="6DE79CC2"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продолжая наступление, продвинулись вперёд от 6 до 10 километров и заняли свыше 70 населённых пунктов, в том числе районный центр Харьковской области Алексеевское, крупные населённые пункты Петровский, Семёновка, Новониколаевка, Большая Андреевка, Цыглеровка и железнодорожные станции Беляевка, Гавриловка, Дубово.</w:t>
      </w:r>
    </w:p>
    <w:p w14:paraId="6975A7D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наступление и, продвинувшисьна отдельных участках до 15 километров, заняли свыше 70 населённых пунктов, в том числе город Лохвица и крупные населённые пункты Засулье, Перекоповка,Свиридовка, Лука, Степуки, Луценки, Яхники, Безсалы, Заподинцы.</w:t>
      </w:r>
    </w:p>
    <w:p w14:paraId="61B4327A"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продолжали наступление и, продвинувшись вперёд от 5 до 8 километров, заняли свыше 20 населённых пунктов, в том числе районный центр Черниговской области Дмитриевка и крупные населённые пункты Хибаловка, Кладьковка, Большая Кошелёвка, Березанка, Кунашевка (5 километров восточнее Нежина), Рубанка.</w:t>
      </w:r>
    </w:p>
    <w:p w14:paraId="59015094"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Харькова наши войска вели наступательные бои и, продвинувшись на отдельных участках от 3 до 8 километров, заняли несколько населённых пунктов.</w:t>
      </w:r>
    </w:p>
    <w:p w14:paraId="227D2AF0"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и Брянском направлениях наши войска вели наступательные бои и заняли несколько населённых пунктов.</w:t>
      </w:r>
    </w:p>
    <w:p w14:paraId="36E5059E"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сентября наши войска на всех фронтах подбили и уничтожили 92 немецких танка. В воздушных боях и огнём зенитной артиллерии сбито 13 самолётов противника.</w:t>
      </w:r>
    </w:p>
    <w:p w14:paraId="0B153C5E"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города Сталино наши войска продолжали успешное наступление и заняли свыше 150 населённых пунктов. В результате стремительных ударов наших войск противник несёт большие потери в людях и технике. За день боёв уничтожено более 2.000 немецких солдат и офицеров, 29 танков, 40 орудий разных калибров и 160 автомашин. Захвачено у противника 37 орудий, из них 2 самоходных типа «Фердинанд», 23 миномёта, полтора миллиона снарядов, 5 тонн взрывчатых веществ, 600 тонн зерна, 369 железнодорожных вагонов и другие трофеи.</w:t>
      </w:r>
    </w:p>
    <w:p w14:paraId="48B99DF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Десантная группа моряков под командованием лейтенанта Ольшанского ночью высадилась на берегу Азовского моря и оседлала дорогу, по которой отступали немецкие войска. Наши бойцы внезапно напали на колонну противника и истребили до 600 вражеских солдат и офицеров. Другая десантная группа под руководством капитан-лейтенанта Немченко истребила 200 гитлеровцев. Уничтожено 17 орудий, несколько тракторов-тягачей, 60 автомашин и повозок с военными грузами. Моряками захвачены трофеи.</w:t>
      </w:r>
    </w:p>
    <w:p w14:paraId="13ECFE72"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наступление. Опираясь на выгодные рубежи и широкие минные поля, противник пытается задержать продвижение советских частей. Наши войска стремительными ударами наносят врагу тяжёлый урони принуждают его к беспорядочному отступлению. Неотступно преследуя немцев, части Н-ского соединения сегодня овладели городом Лохвица и освободили от немецких захватчиков десятки других населённых пунктов. Уничтожено более 1.000 немецких солдат и офицеров. Сапёрные подразделения успешно обезвреживают вражеские минные поля и расчищают путь советским войскам. Командир взвода старший лейтенант Чичков с 14 сапёрами обезвредил тысячу мин. Взвод бойцов из подразделения лейтенанта Иванова снял 2.300 немецких мин. Командир отделения сержант Чесноков под огнём противника лично снял 85 мин. Увлечённые примером своего командира, сапёры отделения сержанта Чеснокова обезвредили более 1.500 немецких мин.</w:t>
      </w:r>
    </w:p>
    <w:p w14:paraId="05EA115E"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Нежинском направлении наши войска продолжали наступление. Части Н-ского соединения, сломив упорное сопротивление противника, заняли несколько населённых пунктов и перерезали железную дорогу Нежин—Чернигов. Уничтожено свыше батальона немецкой пехоты. Захвачены 2 самоходных орудия, 9 миномётов и 41 пулемёт. Южнее города Бахмач при ликвидации остатков частей четырёх немецких пехотных дивизий уничтожено несколько тысяч солдат и офицеров противника. Нашими войсками подбито и сожжено 26 немецких танков, а также уничтожено много другой военной техники противника. По неполным данным, захвачено 4, исправных танка, 54 орудия разных калибров, 200 пулемётов, 163 автомашины с боеприпасами, 440 лошадей и повозок. Взято в плен более 1.000 солдат и офицеров противника.</w:t>
      </w:r>
    </w:p>
    <w:p w14:paraId="7FA8EE3B"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вели наступательные бои. На одном участке бойцы Н-ского соединения потеснили противника и заняли несколько населённых пунктов. В боях за эти пункты уничтожено до 300 немецких солдат и офицеров, 7 танков и 5 орудий. На другом участке наши войска отбили две ожесточённых контратаки противника. Артиллеристы Н-ской части подбили и уничтожили 22 немецких танка, 4 бронетранспортёра и 2 самоходных орудия. Контрударом наши танкисты и пехотинцы овладели одной сильно укреплённой немцами высотой, на которой захватили 14 орудий и много другого вооружения.</w:t>
      </w:r>
    </w:p>
    <w:p w14:paraId="0EC83849"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продолжали наступление и заняли несколько населённых пунктов. Противник оказывает отчаянное сопротивление, бросает в бой строительные батальоны, хозяйственные подразделения и команды. На одном участке наши подвижные части обходным манёвром полуокружили группу противника, навязали ей бой и истребили батальон вражеской пехоты. Наши гвардейцы-кавалеристы в лесном бою разгромили немецкую колонну и уничтожили 200 гитлеровцев. Противник сделал попытку отрезать гвардейцев-кавалеристов, но сам попал под удары наших войск и отступает с большими для него потерями.</w:t>
      </w:r>
    </w:p>
    <w:p w14:paraId="3223FCE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советских аэродромов на юге приземлились 2 немецких самолёта. Лётчики заявили, что они не хотят жертвовать своей жизнью за Гитлера и поэтому перелетели на сторону Красной Армии. Оба самолёта оказались в полной исправности.</w:t>
      </w:r>
    </w:p>
    <w:p w14:paraId="29A9B5C2"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кораблями в Баренцевом море потоплен транспорт противника водоизмещением в 7 тысяч тонн.</w:t>
      </w:r>
    </w:p>
    <w:p w14:paraId="6EAEA1C6"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Житомирский партизанский отряд в начале сентября разгромил вражеские гарнизоны, расположенные в трёх населённых пунктах. Советские патриоты взорвали также семь шоссейных мостов. Группа партизан отряда имени Фурманова в течение трёх дней пустила под откос 3 немецких воинских эшелона. Разбито 2 паровоза, 18 вагонов и платформ с боеприпасами и автомашинами.» (14769).</w:t>
      </w:r>
    </w:p>
    <w:p w14:paraId="3C812204"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4102BB4F"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lastRenderedPageBreak/>
        <w:t xml:space="preserve">14 сентября </w:t>
      </w:r>
      <w:r w:rsidRPr="00271E51">
        <w:rPr>
          <w:rFonts w:ascii="Times New Roman" w:hAnsi="Times New Roman"/>
          <w:color w:val="000000" w:themeColor="text1"/>
          <w:sz w:val="16"/>
          <w:szCs w:val="16"/>
        </w:rPr>
        <w:t>в 1943 году началась Духовщинско-Демидовская наступательная операция войск Калининского фронта (генерал армии А.И.Еременко), продолжавшаяся до 2 октября (14769).</w:t>
      </w:r>
    </w:p>
    <w:p w14:paraId="20D8A6F5"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3289D60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сентября </w:t>
      </w:r>
      <w:r w:rsidRPr="00271E51">
        <w:rPr>
          <w:rFonts w:ascii="Times New Roman" w:hAnsi="Times New Roman"/>
          <w:color w:val="000000" w:themeColor="text1"/>
          <w:sz w:val="16"/>
          <w:szCs w:val="16"/>
        </w:rPr>
        <w:t>в 1943 году два торпедных катера Онежской флотилии потопили реактивными снарядами вражеский корабль. Первое в истории боевое применение реактивных снарядов в ВМФ (14769).</w:t>
      </w:r>
    </w:p>
    <w:p w14:paraId="6CE3A566"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744D2D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 сентября 1943 22 Ил-2 (командир группы Г.В.Павлов) вместе с 18 истребителями, катера и пл участвовали в разгроме конвоя из 22 кораблей. Ил-2 потопили два транспорта и повредили два сторожевика. Потеряли пять Ил-2 и три Р-39, а всего - 13 (1085,152).</w:t>
      </w:r>
    </w:p>
    <w:p w14:paraId="4FD25D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BBF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было первое применение РС на ВМФ (2990).</w:t>
      </w:r>
    </w:p>
    <w:p w14:paraId="449C55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373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3 торпедных катера Онежской военной флотилии потопили РС корабль противника (3398,329).</w:t>
      </w:r>
    </w:p>
    <w:p w14:paraId="7FB78F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35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сентября по 2 октября 1943 состоялась Духовщинско-Демидовская операция Калининского фронта с целью наступления на Рудню и Витебск. Разгромили 6 дивизий (2438,222).</w:t>
      </w:r>
    </w:p>
    <w:p w14:paraId="413327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2FFA7" w14:textId="77777777" w:rsidR="00E40F8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0C691BE" w14:textId="77777777" w:rsidR="00E40F8E" w:rsidRPr="00271E51" w:rsidRDefault="00E40F8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D20B54"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сентября </w:t>
      </w:r>
      <w:r w:rsidRPr="00271E51">
        <w:rPr>
          <w:rFonts w:ascii="Times New Roman" w:hAnsi="Times New Roman"/>
          <w:color w:val="000000" w:themeColor="text1"/>
          <w:sz w:val="16"/>
          <w:szCs w:val="16"/>
        </w:rPr>
        <w:t>в 1943 году в ответ на поступившее в Стокгольмское посольство СССР предложение японского дипломата продолжить переговоры ТАСС официально заявил, что вопрос о мире с Германией не подлежит обсуждению (14769).</w:t>
      </w:r>
    </w:p>
    <w:p w14:paraId="71095F2B"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0F94E3A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DEED2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E9453" w14:textId="77777777" w:rsidR="00E40F8E" w:rsidRPr="00271E51" w:rsidRDefault="00E40F8E" w:rsidP="00271E51">
      <w:pPr>
        <w:spacing w:after="0" w:line="240" w:lineRule="auto"/>
        <w:jc w:val="both"/>
        <w:rPr>
          <w:rFonts w:ascii="Times New Roman" w:hAnsi="Times New Roman"/>
          <w:color w:val="000000" w:themeColor="text1"/>
          <w:sz w:val="16"/>
          <w:szCs w:val="16"/>
          <w:lang w:val="en-US"/>
        </w:rPr>
      </w:pPr>
      <w:r w:rsidRPr="00271E51">
        <w:rPr>
          <w:rStyle w:val="ucoz-forum-post"/>
          <w:rFonts w:ascii="Times New Roman" w:eastAsia="Times New Roman" w:hAnsi="Times New Roman"/>
          <w:bCs/>
          <w:color w:val="000000" w:themeColor="text1"/>
          <w:sz w:val="16"/>
          <w:szCs w:val="16"/>
        </w:rPr>
        <w:t xml:space="preserve">14 сентября </w:t>
      </w:r>
      <w:r w:rsidRPr="00271E51">
        <w:rPr>
          <w:rFonts w:ascii="Times New Roman" w:hAnsi="Times New Roman"/>
          <w:color w:val="000000" w:themeColor="text1"/>
          <w:sz w:val="16"/>
          <w:szCs w:val="16"/>
        </w:rPr>
        <w:t xml:space="preserve">в 1943 году во время встречи Адольфа Гитлера с Бенито Муссолини, освобожденным из итальянской тюрьмы специальной группой эсесовцев во главе с Отто Скорцени, фюрер заявил, что «изучает возможность договориться с Россией». Присутствовавший на приеме Риббентроп на следующий день поспешил к Гитлеру за конкретными указаниями, но тот вновь отказался дать разрешение на серьезные переговоры. «Знаете ли, Риббентроп, - сказал фюрер, - если я сегодня и договорюсь с Россией, то завтра снова схвачусь с ней, это неизбежно!» </w:t>
      </w:r>
      <w:r w:rsidRPr="00271E51">
        <w:rPr>
          <w:rFonts w:ascii="Times New Roman" w:hAnsi="Times New Roman"/>
          <w:color w:val="000000" w:themeColor="text1"/>
          <w:sz w:val="16"/>
          <w:szCs w:val="16"/>
          <w:lang w:val="en-US"/>
        </w:rPr>
        <w:t>(14769).</w:t>
      </w:r>
    </w:p>
    <w:p w14:paraId="1A8CF112" w14:textId="77777777" w:rsidR="00E40F8E" w:rsidRPr="00271E51" w:rsidRDefault="00E40F8E" w:rsidP="00271E51">
      <w:pPr>
        <w:spacing w:after="0" w:line="240" w:lineRule="auto"/>
        <w:jc w:val="both"/>
        <w:rPr>
          <w:rFonts w:ascii="Times New Roman" w:hAnsi="Times New Roman"/>
          <w:color w:val="000000" w:themeColor="text1"/>
          <w:sz w:val="16"/>
          <w:szCs w:val="16"/>
          <w:lang w:val="en-US"/>
        </w:rPr>
      </w:pPr>
    </w:p>
    <w:p w14:paraId="4CF13605"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сентября 1943 ВВС Северо-Западной Африки союзников наносят крупные удары по немецким сухопутным войскам в районе плацдарма Салерно. У Салерно корабль American Liberty потерян после того, как в него попала немецкая управляемая бомба (20376).</w:t>
      </w:r>
    </w:p>
    <w:p w14:paraId="5CB23914" w14:textId="77777777" w:rsidR="00356A35" w:rsidRPr="00271E51" w:rsidRDefault="00356A35" w:rsidP="00271E51">
      <w:pPr>
        <w:spacing w:after="0" w:line="240" w:lineRule="auto"/>
        <w:jc w:val="both"/>
        <w:rPr>
          <w:rFonts w:ascii="Times New Roman" w:hAnsi="Times New Roman"/>
          <w:color w:val="0070C0"/>
          <w:sz w:val="16"/>
          <w:szCs w:val="16"/>
        </w:rPr>
      </w:pPr>
    </w:p>
    <w:p w14:paraId="3C44973F"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14–15 сентября (ночь) 1943 г. Транспортные самолеты ВВС США сбрасывают еще 1900 десантников 82-й воздушно-десантной дивизии США на плацдарм Салерно (29376).</w:t>
      </w:r>
    </w:p>
    <w:p w14:paraId="2E6B23B4" w14:textId="77777777" w:rsidR="00356A35" w:rsidRPr="00271E51" w:rsidRDefault="00356A35" w:rsidP="00271E51">
      <w:pPr>
        <w:spacing w:after="0" w:line="240" w:lineRule="auto"/>
        <w:jc w:val="both"/>
        <w:rPr>
          <w:rFonts w:ascii="Times New Roman" w:hAnsi="Times New Roman"/>
          <w:color w:val="0070C0"/>
          <w:sz w:val="16"/>
          <w:szCs w:val="16"/>
        </w:rPr>
      </w:pPr>
    </w:p>
    <w:p w14:paraId="2C090C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14, 1943: British troops occupy the Greek island of Leros in the Mediterranean (3819).</w:t>
      </w:r>
    </w:p>
    <w:p w14:paraId="723F65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52603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сентября 1943 британские части заняли греческий остров Лерос (3819).</w:t>
      </w:r>
    </w:p>
    <w:p w14:paraId="1E593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14F0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330DE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C999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года НКВМФ Кузнецов писал письмо N 1100 Сталину.</w:t>
      </w:r>
    </w:p>
    <w:p w14:paraId="150C11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имеющимся сведениям за границей применяется самолет, специально приспособленный для обнаружения минированных участков на морских путях и для подрыва магнитных мин. Такой самолет получил название - "самолет-тральщик".</w:t>
      </w:r>
    </w:p>
    <w:p w14:paraId="0B1930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Самолет-тральщик представляет собой обычный самолет, на котором снизу подвешивается электромагнит, в виде металлического кольца диаметром до 16 метров. Размещенная внутри самолета электростанция (двигатель, генератор постоянного тока и необходимая аппаратура) питает током электромагнит, вокруг которого образуется мощное магнитное поле. Пролетая на бреющем полете над заминированным участком, самолет-тральщик воздействует своим магнитным полем на магнитные мины и подрывает их, как это делает морской тральщик. При этом самолет-тральщик, обладая большой скоростью, проделывает ту же работу во много раз скорее, чем морской тральщик.</w:t>
      </w:r>
    </w:p>
    <w:p w14:paraId="60536D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Англичане переоборудовали под тральщик свой двухмоторный бомбардировщик "Веллингтон". немцы переоборудовали под тральщик трехмоторный транспортный самолет "Юнкерс-52".</w:t>
      </w:r>
    </w:p>
    <w:p w14:paraId="7BAE10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Наркомвоенморфлот обратился в Наркомат авиационной промышленности с предложением создать отечественный самолет-тральщик. На основании тактико-технических требований НКВМФ конструкторским бюро завода N 456 Наркомавиапрома разработан проект переоборудования под самолет-тральщик двухмоторного транспортного самолета Ли-2. На этом самолете внутри фюзеляжа будет установлен авиамотор типа М-105 или МВ-6 для привода в движение электрогенератора.</w:t>
      </w:r>
    </w:p>
    <w:p w14:paraId="5FB9A0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Ли-2 может быть переоборудован в самолет-тральщик на заводе N 456 в конце первого квартала 1944 года и передан на испытание НКВМФ.</w:t>
      </w:r>
    </w:p>
    <w:p w14:paraId="6F61A6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расчетным данным магнитное поле, создаваемое кольцеобразным электромагнитом, будет достаточным для подрыва имеющихся в воде магнитных и индукционных мин при полете над заминированным участком на высоте до 10 до 30 метров, что вполне осуществимо.</w:t>
      </w:r>
    </w:p>
    <w:p w14:paraId="104177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Просим утвердить прилагаемый проект постановления ГОКО, согласованный со всеми заинтересованными наркоматами (1825,29).</w:t>
      </w:r>
    </w:p>
    <w:p w14:paraId="3AA397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года.</w:t>
      </w:r>
    </w:p>
    <w:p w14:paraId="310AC8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ГКО</w:t>
      </w:r>
    </w:p>
    <w:p w14:paraId="05BFD5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самолете-тральщике.</w:t>
      </w:r>
    </w:p>
    <w:p w14:paraId="2B602A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ГКО постановляет:</w:t>
      </w:r>
    </w:p>
    <w:p w14:paraId="234B76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Наркомавиапром - Шахурина:</w:t>
      </w:r>
    </w:p>
    <w:p w14:paraId="211570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переоборудовать на заводе N 456 НКАП один самолет Ли-2 в самолет-тральщик и к 31 марта 1944 года передать его на испытания Наркомату ВМФ. Разработку технического проекта переоборудования самолета Ли-2 в самолет-тральщик возложить на гл. конструктора Голубкова;</w:t>
      </w:r>
    </w:p>
    <w:p w14:paraId="4E9205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выделить заводу N 456 для переоборудования в самолет-тральщик один самолет Ли-2 за счет декабрьского плана производства и 2 кондиционных мотора МВ-6 из числа имеющихся на заводе N 16, с соединительными муфтами к электрогенератору;</w:t>
      </w:r>
    </w:p>
    <w:p w14:paraId="52E81F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переделать на заводе N 16 НКАП по тактико-техническим требованиям НКВМФ два мотора М-105 и к 15 января 1944 года поставить их заводу N 456 в комплекте с соединительными муфтами к электрогенератору.</w:t>
      </w:r>
    </w:p>
    <w:p w14:paraId="2E070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Наркомвоенморфлот - Кузнецова к 15 мая 1944 года провести испытания самолета-тральщика; результаты испытаний и предложения представить ГОКО к 1 июня 1944 года (1825,31).</w:t>
      </w:r>
    </w:p>
    <w:p w14:paraId="5F4464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ГОСУДАРСТВЕННОГО КОМИТЕТА ОБОРОНЫ</w:t>
      </w:r>
    </w:p>
    <w:p w14:paraId="5DC356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самолете-тральщике.</w:t>
      </w:r>
    </w:p>
    <w:p w14:paraId="29CE02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5F3055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Обязать Наркомавиапром - т. Шахурина: переоборудовать на заводе № 456 НКАП один самолет </w:t>
      </w:r>
      <w:r w:rsidRPr="00271E51">
        <w:rPr>
          <w:rFonts w:ascii="Times New Roman" w:hAnsi="Times New Roman"/>
          <w:color w:val="000000" w:themeColor="text1"/>
          <w:sz w:val="16"/>
          <w:szCs w:val="16"/>
          <w:vertAlign w:val="superscript"/>
        </w:rPr>
        <w:t>;</w:t>
      </w:r>
      <w:r w:rsidRPr="00271E51">
        <w:rPr>
          <w:rFonts w:ascii="Times New Roman" w:hAnsi="Times New Roman"/>
          <w:color w:val="000000" w:themeColor="text1"/>
          <w:sz w:val="16"/>
          <w:szCs w:val="16"/>
        </w:rPr>
        <w:t>самолет-тральщик и к 31 марта 1944 года передать его испытания Наркомату Военно-Морского Флота. Разработку технического проекта переоборудования самолета Ли-2 в самолет-ттралыцик возложить на главного конструктора т.Голубкова</w:t>
      </w:r>
    </w:p>
    <w:p w14:paraId="5C4B22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выделить заводу № 456 для переоборудования в самолет</w:t>
      </w:r>
      <w:r w:rsidRPr="00271E51">
        <w:rPr>
          <w:rFonts w:ascii="Times New Roman" w:hAnsi="Times New Roman"/>
          <w:color w:val="000000" w:themeColor="text1"/>
          <w:sz w:val="16"/>
          <w:szCs w:val="16"/>
        </w:rPr>
        <w:softHyphen/>
        <w:t>-тральщик один самолет Ли-2 за счет декабрьского плана производства и 2 кондиционных мотора МВ-6 из числа имеющихся на заводе № 16 с соединительными муфтами к электрогенератору;</w:t>
      </w:r>
    </w:p>
    <w:p w14:paraId="497B31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переделать на заводе № 16 НКАП по тактико-техническим требованиям НКВМФ два мотора М-105 и к 15 января 1944 года поставить их заводу № 456 в комплекте с соединительными муфтами к электрогенератору;</w:t>
      </w:r>
    </w:p>
    <w:p w14:paraId="1619A2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г)выделить заводу № 456 за счет перераспределения з токарно-винтореезных станка, 1 ковочный кузнечный молот, 1 компрессор высокогсо давления и 1 трактор-</w:t>
      </w:r>
      <w:r w:rsidRPr="00271E51">
        <w:rPr>
          <w:rFonts w:ascii="Times New Roman" w:hAnsi="Times New Roman"/>
          <w:color w:val="000000" w:themeColor="text1"/>
          <w:sz w:val="16"/>
          <w:szCs w:val="16"/>
        </w:rPr>
        <w:lastRenderedPageBreak/>
        <w:t>тягач.</w:t>
      </w:r>
    </w:p>
    <w:p w14:paraId="708563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Наркомэлектропром - т. Кабанова и директора завода № 627 - т.Иосифьяна:</w:t>
      </w:r>
    </w:p>
    <w:p w14:paraId="484F0D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 15 января 1944 года разработать технический проект монтажа электрооборудования самолета-тральщика и к 15 марта 1944 г. произвести все электромонтажные работы на самолете.</w:t>
      </w:r>
    </w:p>
    <w:p w14:paraId="1BBDB7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Проектирование вести согласованно с главным конструктором самоле-тральщика т. Голубковым, на основе тактико-технических требований НКВМФ;</w:t>
      </w:r>
    </w:p>
    <w:p w14:paraId="5835D8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 15 марта 1944 года разработать технический проект мощной центральной электростанции на самолете и йзизготовить образец облегченного генератора мощностьго не менее 150 кв.</w:t>
      </w:r>
    </w:p>
    <w:p w14:paraId="24AF80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 15 января 1944 г. поставить заводу № 456 НКАП для оборудования самолета-тралыцика два генератора типа ПСТ-3 и 5 тыс. метров алюминиевого кабеля сечением 1х 95кв.мм в облегченной изоляций.</w:t>
      </w:r>
    </w:p>
    <w:p w14:paraId="7BCEB9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Наркомвоенморфлот - т. Кузнецова к 15 мая 1944 г. провести испытания самолета-тральщика; результаты испытаний и предложения представить ГОКО к 1 июня 1944 года.</w:t>
      </w:r>
    </w:p>
    <w:p w14:paraId="44B019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Наркомцветмет - т. Ломако к 20 декабря с.г. поставить заводу № 330 НКЭП для изготовления алюминиевого кабеля 10 тонн алюминия в вайербарсах, за счет фондов Наркомэлектропрома.</w:t>
      </w:r>
    </w:p>
    <w:p w14:paraId="32D408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НаркомфинСССР - т. Зверева выделить из резервного фонда СНК Союза ССР на проведение работ по самолету-тральщику: Наркомавиапрому 2000 тыс.рублей и Наркомэлектропрому - 750 тыс.руб., в том числе для премирования отличившихся в этом работников: Наркомавиапрому - 200 тыс.рублей и Наркомэлектропрому - 100 тыс.рублей (1585).</w:t>
      </w:r>
    </w:p>
    <w:p w14:paraId="0B48E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9E4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Дир. и ГК завода 115 А.С.Я. писал письмо N 376с Нач. НИИ ВВС КА Лосюкову:</w:t>
      </w:r>
    </w:p>
    <w:p w14:paraId="55E914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Вам самолет Як-9-37 для проведения гос. испытаний универсальной установки взаимозаменяемых пушек МП-20, МП-23, МП-37 и МП-45, а также пылеулавливающего фильтра и нового варианта сбрасываемого в полете фонаря." (1782,122).</w:t>
      </w:r>
    </w:p>
    <w:p w14:paraId="69CEDA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EBE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Нач. ЦИАМ Поликовский писал А.И.Ш. письмо N 1131с</w:t>
      </w:r>
    </w:p>
    <w:p w14:paraId="2DD8B8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высотных самолетов:</w:t>
      </w:r>
    </w:p>
    <w:p w14:paraId="6E2F82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Настоящим докладываю, что во исполнение Вашего приказа N 523сс от 31 августа с.г. по выпуску высотных самолетов, моторов и агрегатов к ним ЦИАМ выполняет след. работы:</w:t>
      </w:r>
    </w:p>
    <w:p w14:paraId="2FB51B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высотному истребителю Ла-5 М-82ФН и ТК-3</w:t>
      </w:r>
    </w:p>
    <w:p w14:paraId="51F303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высотному истребителю Як-9 с М-105ПД</w:t>
      </w:r>
    </w:p>
    <w:p w14:paraId="72CBCF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 высотному истребителю МиГ с Ам-39 ТК-2Б</w:t>
      </w:r>
    </w:p>
    <w:p w14:paraId="0FE6F1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 высотному бомбардировщику Ил-4 с М-88Б и ТК</w:t>
      </w:r>
    </w:p>
    <w:p w14:paraId="29DBDB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ЦИАМ должен был подать один агрегат ТК-М (резервный) к 15 сентября с.г. Работа выполнена и агрегат поставлен 15 сентября с.г. (1783,112).</w:t>
      </w:r>
    </w:p>
    <w:p w14:paraId="7280A5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9FDD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36BC8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FB3E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приказами НКБ № 877 и 880сс в соответствии с пост. ГКО № 4125сс от 14.09.1943 г. начато восстановление завода на площадке эвакуированного завода № 65. По приказу № 903 от 22.09.1943 г. он получил наименование «завод № 81 НКБ» (Завод № 81 НКБ, Таганрогский комбайновый завод НКСХМ, МСХМ, ПО, АООТ, ОАО «Таганрогский комбайновый завод» /347923  г. Таганрог Ростовской обл. ул. Инструментальная, 2/).</w:t>
      </w:r>
    </w:p>
    <w:p w14:paraId="699948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Боеприпасное производство. В 08.1943-09.1944 г. - в ведении 4ГУ,</w:t>
      </w:r>
      <w:r w:rsidRPr="00271E51">
        <w:rPr>
          <w:rFonts w:ascii="Times New Roman" w:hAnsi="Times New Roman"/>
          <w:color w:val="000000" w:themeColor="text1"/>
          <w:sz w:val="16"/>
          <w:szCs w:val="16"/>
          <w:vertAlign w:val="superscript"/>
        </w:rPr>
        <w:t>Ш</w:t>
      </w:r>
      <w:r w:rsidRPr="00271E51">
        <w:rPr>
          <w:rFonts w:ascii="Times New Roman" w:hAnsi="Times New Roman"/>
          <w:color w:val="000000" w:themeColor="text1"/>
          <w:sz w:val="16"/>
          <w:szCs w:val="16"/>
        </w:rPr>
        <w:t xml:space="preserve"> был в 1945 г. В 1945 г. завод передан в ведение НКСХМ, затем МСХМ. В 1948 г. он получил название Таганрогский комбайновый завод.</w:t>
      </w:r>
    </w:p>
    <w:p w14:paraId="3879AA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Сначала выпускал запчасти к машинам, культиваторы, жатки-лоборейки, с 1947 г.- выпуск комбайнов.</w:t>
      </w:r>
    </w:p>
    <w:p w14:paraId="2E7E34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  г. построены новые корпуса: уникальный кузнечно-прессовый цех, сборочный цех комбайнов, механосборочный корпус цехов мостового производства, цех раскроя металла, холодных штампов. Построены новые мощности по выпуску мостов ведущих колес для комбайновой промышленности всей страны- корпуса сборки и окраски мостов, коробок передач.</w:t>
      </w:r>
    </w:p>
    <w:p w14:paraId="3AA95D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1986 г. на базе завода создано ПО «Таганрогский комбайновый завод», в составе которого: завод мостов, комбайновое производство, завод СИиТО, кузнечно-литейный завод, ГСКБ по зерновым машинам, ремонтно- строительное управление. 11.03.1993 г. ПО преобразовано в АООТ, а 29.04.1997 г.- в ОАО «Таганрогский комбайновый завод». Были сохранены комбайновое и мостовое производства.</w:t>
      </w:r>
    </w:p>
    <w:p w14:paraId="0E84C2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г.)- 3511 чел.</w:t>
      </w:r>
    </w:p>
    <w:p w14:paraId="161684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w:t>
      </w:r>
      <w:r w:rsidRPr="00271E51">
        <w:rPr>
          <w:rFonts w:ascii="Times New Roman" w:hAnsi="Times New Roman"/>
          <w:color w:val="000000" w:themeColor="text1"/>
          <w:sz w:val="16"/>
          <w:szCs w:val="16"/>
          <w:lang w:val="en-US"/>
        </w:rPr>
        <w:t>BOB</w:t>
      </w:r>
      <w:r w:rsidRPr="00271E51">
        <w:rPr>
          <w:rFonts w:ascii="Times New Roman" w:hAnsi="Times New Roman"/>
          <w:color w:val="000000" w:themeColor="text1"/>
          <w:sz w:val="16"/>
          <w:szCs w:val="16"/>
        </w:rPr>
        <w:t>)- Н.А. Абелев.</w:t>
      </w:r>
    </w:p>
    <w:p w14:paraId="78F68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(ВОВ)- В.Д. Лаврентьев.</w:t>
      </w:r>
    </w:p>
    <w:p w14:paraId="25C4CD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комбайны</w:t>
      </w:r>
      <w:r w:rsidRPr="00271E51">
        <w:rPr>
          <w:rFonts w:ascii="Times New Roman" w:hAnsi="Times New Roman"/>
          <w:color w:val="000000" w:themeColor="text1"/>
          <w:sz w:val="16"/>
          <w:szCs w:val="16"/>
        </w:rPr>
        <w:t>: С-4 (1947-), СК-3, СК-4, «Колос» (1971-86)- более 170 тыс., «Дон-Ротор», МПУ- 150, ПВ-6; автотрак ТАС-25; мосты для комбайнов «Нива», «Дон-1500» (2007) (11982).</w:t>
      </w:r>
    </w:p>
    <w:p w14:paraId="0A074A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338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была подготовлена ДОКЛАДНАЯ ЗАПИСКА НАЧАЛЬНИКА ТАНКОВОГО УПРАВЛЕНИЯ ГБТУ КА ЗАМЕСТИТЕЛЮ НАЧАЛЬНИКА ИНЖЕНЕРНОГО УПРАВЛЕНИЯ НКВТ СССР О НЕДОСТАТКАХ ТАНКОВ М4А2 № 1153606</w:t>
      </w:r>
    </w:p>
    <w:p w14:paraId="7A9959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боевого применения американских танков М4А2 показал, что они имеют ряд конструк</w:t>
      </w:r>
      <w:r w:rsidRPr="00271E51">
        <w:rPr>
          <w:rFonts w:ascii="Times New Roman" w:hAnsi="Times New Roman"/>
          <w:color w:val="000000" w:themeColor="text1"/>
          <w:sz w:val="16"/>
          <w:szCs w:val="16"/>
        </w:rPr>
        <w:softHyphen/>
        <w:t>тивных недостатков, значительно снижающих их тактико-техническую характеристику.</w:t>
      </w:r>
    </w:p>
    <w:p w14:paraId="680DDD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Радиаторы системы охлаждения двигателей легко уязвимы осколками от гранат или авиабомб при разрыве их вблизи кормы танка, так как карман для выхода воздуха из моторного отделения снизу не имеет броневой защиты.</w:t>
      </w:r>
    </w:p>
    <w:p w14:paraId="76E434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избежание повреждения радиаторов необходимо произвести установку козырьков из броне-листов в той части кормы, где радиаторы не защищены, либо опустить ниже задний броневой лист.</w:t>
      </w:r>
    </w:p>
    <w:p w14:paraId="2BB445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Нижние бортовые листы брони корпуса имеют недостаточную толщину и уязвимы от проти</w:t>
      </w:r>
      <w:r w:rsidRPr="00271E51">
        <w:rPr>
          <w:rFonts w:ascii="Times New Roman" w:hAnsi="Times New Roman"/>
          <w:color w:val="000000" w:themeColor="text1"/>
          <w:sz w:val="16"/>
          <w:szCs w:val="16"/>
        </w:rPr>
        <w:softHyphen/>
        <w:t>вотанкового ружья. Вследствие этого необходимо произвести экранировку бортов корпуса путем навешивания бронелистов толщиной 5-10 мм.</w:t>
      </w:r>
    </w:p>
    <w:p w14:paraId="3DE599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Необходимо предусмотреть фиксаторы для закрепления люков отделения управления в верти</w:t>
      </w:r>
      <w:r w:rsidRPr="00271E51">
        <w:rPr>
          <w:rFonts w:ascii="Times New Roman" w:hAnsi="Times New Roman"/>
          <w:color w:val="000000" w:themeColor="text1"/>
          <w:sz w:val="16"/>
          <w:szCs w:val="16"/>
        </w:rPr>
        <w:softHyphen/>
        <w:t>кальном положении при их открытии. В настоящее время люки отделения управления открываются опрокидыванием их на 180°, закрытие люков в боевых условиях небезопасно, так как закрывающий должен приподниматься над люком, подвергаясь обстрелу.</w:t>
      </w:r>
    </w:p>
    <w:p w14:paraId="2C3D50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Имеющуюся решетку в боевом отделении надо удалить, так как она мешает вынимать боеком</w:t>
      </w:r>
      <w:r w:rsidRPr="00271E51">
        <w:rPr>
          <w:rFonts w:ascii="Times New Roman" w:hAnsi="Times New Roman"/>
          <w:color w:val="000000" w:themeColor="text1"/>
          <w:sz w:val="16"/>
          <w:szCs w:val="16"/>
        </w:rPr>
        <w:softHyphen/>
        <w:t>плект, уложенный в нишах корпуса танка, и препятствует выходу всего экипажа через аварийный люк, который расположен в отделении управления.</w:t>
      </w:r>
    </w:p>
    <w:p w14:paraId="474942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Рацию № 19 надо перенести из боевого отделения в отделение управления, установив ее в нише, справа по ходу танка (в то же время не лишая командира возможности иметь связь по радио), чтобы этим создать командиру лучшие условия для командования танком и наблюдения за полем боя.</w:t>
      </w:r>
    </w:p>
    <w:p w14:paraId="608D5C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Гребни гусениц непрочные; при движении танка продолжительное время на кренах 5-10°, наружные гребни гусеницы со стороны, более нагруженной, сминаются катками.</w:t>
      </w:r>
    </w:p>
    <w:p w14:paraId="2A2BF1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Необходимо улучшить крепление соединительного пальца вилок карданного сочленения, так как при существующем креплении палец произвольно смещается и срезается.</w:t>
      </w:r>
    </w:p>
    <w:p w14:paraId="72E89E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Главные фрикционы в эксплуатации не надежны и являются самым слабым местом танка. Фрикционы выходят из строя главным образом из-за быстрого износа ферродо ведомого диска.</w:t>
      </w:r>
    </w:p>
    <w:p w14:paraId="6102D7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На глушители необходимо установить отводные трубы с выводом вверх и загнутыми концами назад под углом 45°. При существующем выводе выхлопных газов с дороги поднимается значитель</w:t>
      </w:r>
      <w:r w:rsidRPr="00271E51">
        <w:rPr>
          <w:rFonts w:ascii="Times New Roman" w:hAnsi="Times New Roman"/>
          <w:color w:val="000000" w:themeColor="text1"/>
          <w:sz w:val="16"/>
          <w:szCs w:val="16"/>
        </w:rPr>
        <w:softHyphen/>
        <w:t>ное количество пыли, затрудняющей вождение танков в колонне.</w:t>
      </w:r>
    </w:p>
    <w:p w14:paraId="4500A7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Проходимость танка на заболоченных участках местности низкая вследствие большого удельного давления и недостаточного сцепления с грунтом.</w:t>
      </w:r>
    </w:p>
    <w:p w14:paraId="4534FE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всех вышеуказанных недостатках танков М4А2 прошу поставить в известность американцев через наших представителей в США.</w:t>
      </w:r>
    </w:p>
    <w:p w14:paraId="1D2415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0C67F5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5-го отдела ТУ ГБТУ КА инженер-майор Билеткин</w:t>
      </w:r>
    </w:p>
    <w:p w14:paraId="0B3133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1720. Л. 47. Копия (11403).</w:t>
      </w:r>
    </w:p>
    <w:p w14:paraId="7995EE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8A206"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года председателем Артиллерийского комитета ГАУ КА генерал-майором Хохловым была санкционирована разработка 122-мм орудия с начальной скоростью снаряда 1000 м/с. В результате были созданы орудия ОБМ-50 (ОКБ-172), С-26 (ЦАКБ) и М-21 (КБ завода №172). Разрабатывались они ещё для СУ-152, но реальные образцы поставили уже на шасси ИСУ. Шасси для установки ОБМ-50 было готово ещё в конце января 1944 года, машина получила индекс Объект 243, но орудие пришлось ждать гораздо дольше, чем планировалось.</w:t>
      </w:r>
    </w:p>
    <w:p w14:paraId="686C73A7"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переписке, одним из инициаторов запуска серийного производства Объекта 242 стал лично Сталин. Он внёс правки в проект постановления ГКО об увеличении производства тяжёлых танков и САУ. В результате постановление ГКО №5378сс «Об увеличении производства тяжёлых танков, артиллерийских самоходных установок ИС, мощных танковых пушек и 122-152 мм снарядов» от 12 марта 1944 года вышло в свет в изменённом виде. В нём новая САУ фигурировала как ИСУ-122, под этим индексом она и пошла в серийное производство. Согласно планам, первые 70 машин данного типа выпускались в апреле 1944 года, 100 — в мае, 120 — в июне, 175 — в июле и 200 — в августе. Одновременно снижался выпуск ИСУ-152: с 170 в марте до 75 в августе. К моменту подписания постановления первые результаты применения ИС-2 ещё не пришли, но было очевидно, что орудие Д-25 является лучшим средством борьбы с немецким «зверинцем» (18335).</w:t>
      </w:r>
    </w:p>
    <w:p w14:paraId="239DC5B5"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76B663C7" w14:textId="77777777" w:rsidR="00E40F8E" w:rsidRPr="00271E51" w:rsidRDefault="00E40F8E" w:rsidP="00271E51">
      <w:pPr>
        <w:pStyle w:val="ae"/>
        <w:shd w:val="clear" w:color="auto" w:fill="FFFFFF"/>
        <w:spacing w:before="0" w:after="0"/>
        <w:jc w:val="both"/>
        <w:rPr>
          <w:color w:val="000000" w:themeColor="text1"/>
          <w:sz w:val="16"/>
          <w:szCs w:val="16"/>
        </w:rPr>
      </w:pPr>
      <w:r w:rsidRPr="00271E51">
        <w:rPr>
          <w:color w:val="000000" w:themeColor="text1"/>
          <w:sz w:val="16"/>
          <w:szCs w:val="16"/>
        </w:rPr>
        <w:t>15 сентября 1943 года был подготовлен список работ по танковой, противотанковой и самоходной артиллерии, в котором вновь появилась М75. Одной из причин возвращения заброшенного в 1942 году проекта было то, что базировалось орудие на лафете пушки-гаубицы МЛ-20. Идея вооружения пушкой М75 самоходной установки, похороненная ещё летом 1941 года, спустя два года получила шанс на возвращение, тем более что для неё наконец появились достойные цели.</w:t>
      </w:r>
    </w:p>
    <w:p w14:paraId="4E1EBDE1" w14:textId="77777777" w:rsidR="00E40F8E" w:rsidRPr="00271E51" w:rsidRDefault="00E40F8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возврат к теме 107-мм противотанковой пушки оказался крайне недолгим. В том же самом письме, где упоминалась М75, председатель Артиллерийского Комитета ГАУ КА генерал-майор Хохлов предлагал отказаться от ряда проектов, заменив их на более перспективные 122-мм пушки с начальной скоростью снаряда 1000 м/с (17108).</w:t>
      </w:r>
    </w:p>
    <w:p w14:paraId="0C6752DC" w14:textId="77777777" w:rsidR="00E40F8E" w:rsidRPr="00271E51" w:rsidRDefault="00E40F8E" w:rsidP="00271E51">
      <w:pPr>
        <w:shd w:val="clear" w:color="auto" w:fill="FFFFFF"/>
        <w:spacing w:after="0" w:line="240" w:lineRule="auto"/>
        <w:jc w:val="both"/>
        <w:rPr>
          <w:rFonts w:ascii="Times New Roman" w:hAnsi="Times New Roman"/>
          <w:b/>
          <w:bCs/>
          <w:color w:val="000000" w:themeColor="text1"/>
          <w:sz w:val="16"/>
          <w:szCs w:val="16"/>
        </w:rPr>
      </w:pPr>
    </w:p>
    <w:p w14:paraId="19629351" w14:textId="77777777" w:rsidR="00356A35" w:rsidRPr="00271E51" w:rsidRDefault="00356A35"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15 сентября 1943 года в списке работ по танковой, противотанковой и самоходной артиллерии, датированном, вновь появилась 107-мм противотанковая пушка М75. Правда, совсем ненадолго. Председатель Артиллерийского комитета ГАУ КА генерал-майор Хохлов предложил отказаться от ряда проектов, заменив их на более перспективные. В их числе значилась 122-мм самоходная пушка с начальной скоростью снаряда 1000 м/с. Вот как раз эта тема стала не просто перспективной, а породила целый рад проектов, часть из которых даже воплотили в металле.</w:t>
      </w:r>
    </w:p>
    <w:p w14:paraId="75BA4E9C" w14:textId="77777777" w:rsidR="00356A35" w:rsidRPr="00271E51" w:rsidRDefault="00356A35"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Работы шли силами сразу нескольких КБ. В КБ завода №172 начали работу над системой М21, эскизный проект которой был готов к 9 октября 1943 года. Работа велась под руководством начальника артиллерийского КБ завода №172 В.А. Ильина. Длина ствола составляла 7747 мм (63,5 калибра). По расчётам, М21 на дистанции в 1000 метров должна была пробивать броню толщиной 208,4 мм, а при наклоне бронеплиты в 30 градусов — 169,8 мм. Одновременно ОКБ-172 ("шарашка" на территории завода №172) шла работа над дуплексом, в который входили 122-мм орудие ОБМ-50 и 152-мм орудие ОБМ-53. Руководил работами главный конструктор ОКБ-172 по сухопутной артиллерии М.Ю. Цирульников. Как и другие работники «шарашки», он был заключённым, но к моменту начала работ его уже досрочно освободили и сняли судимость. ОБМ-50 была разработана ОКБ-172 в трёх вариантах, все они имели одинаковую начальную скорость — 1000 м/с. Первый вариант пушки (в документах проходит как «вариант А»), имел длину ствола 8566 мм (70,2 калибра). По конструкции данная версия максимально приближалась к 122-мм пушке А-19. 28 октября в дополнение к нему было представлено ещё два варианта ОБМ-50, которые указываются в документах как «вариант I и II». Вариант I отличался укорочением ствола до 8390 мм (68,7 калибров), при этом длина каморы увеличилась до 990 мм. Длина ствола варианта II уменьшилась до 7430 мм (60,9 калибров), длина каморы также стала 990 мм. Увеличение давления потребовало спроектировать новую казённую часть, которая получила клиновой затвор. В отличие от М21, данный проект, получивший обозначение БЛ-9, изготовили в металле. Наконец, в ЦАКБ, под руководством В.Г. Грабина разработали 122-мм орудие С-26-1. Но Василий Гаврилович явно о чем-то догадывался. Одновременно с С-26-1 начальник ЦАКБ смог протолкнуть идею создания 130-мм танковой и самоходной пушки на основе баллистики корабельного орудия Б-13. Из всех "дыроколов" эта система была наиболее успешной (20289).</w:t>
      </w:r>
    </w:p>
    <w:p w14:paraId="07669BC1" w14:textId="77777777" w:rsidR="00356A35" w:rsidRPr="00271E51" w:rsidRDefault="00356A35"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72E26788" w14:textId="77777777" w:rsidR="00665ECA" w:rsidRPr="00271E51" w:rsidRDefault="00665ECA" w:rsidP="00271E51">
      <w:pPr>
        <w:pStyle w:val="a3"/>
        <w:rPr>
          <w:color w:val="000000" w:themeColor="text1"/>
          <w:lang w:val="ru-RU"/>
        </w:rPr>
      </w:pPr>
      <w:r w:rsidRPr="00271E51">
        <w:rPr>
          <w:color w:val="000000" w:themeColor="text1"/>
          <w:lang w:val="ru-RU"/>
        </w:rPr>
        <w:t>15 сентября 1943 года среди списка работ по танковой, противотанковой и самоходной артиллерии вновь появилась 107-мм противотанковая пушка М75. Одной из причин возвращения заброшенного в 1942 году проекта было то, что базировалось орудие на лафете пушки-гаубицы МЛ-20. Теоретически могло получиться так, что идея установки М75 в самоходную установку, похороненная летом 1941 года, спустя два года имела шансы на возвращение, тем более что для нее появились достойные цели. Впрочем, возврат к теме 107-мм противотанковой пушки оказался крайне недолгим. В том же самом письме, где упоминалась М75, председатель Артиллерийского комите</w:t>
      </w:r>
      <w:r w:rsidRPr="00271E51">
        <w:rPr>
          <w:color w:val="000000" w:themeColor="text1"/>
          <w:lang w:val="ru-RU"/>
        </w:rPr>
        <w:softHyphen/>
        <w:t>та ГАУ КА генерал-майор Хохлов предлагал отказаться от ряда проек</w:t>
      </w:r>
      <w:r w:rsidRPr="00271E51">
        <w:rPr>
          <w:color w:val="000000" w:themeColor="text1"/>
          <w:lang w:val="ru-RU"/>
        </w:rPr>
        <w:softHyphen/>
        <w:t>тов, заменив их на более перспективные:</w:t>
      </w:r>
    </w:p>
    <w:p w14:paraId="72AAD3A6" w14:textId="77777777" w:rsidR="00665ECA" w:rsidRPr="00271E51" w:rsidRDefault="00665ECA" w:rsidP="00271E51">
      <w:pPr>
        <w:pStyle w:val="Bodytext620"/>
        <w:shd w:val="clear" w:color="auto" w:fill="auto"/>
        <w:spacing w:before="0"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«&lt;„.&gt;</w:t>
      </w:r>
    </w:p>
    <w:p w14:paraId="1E868244"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Работу над другими проектами этой группы следует прекратить по следующим соображениям:</w:t>
      </w:r>
    </w:p>
    <w:p w14:paraId="29402107" w14:textId="77777777" w:rsidR="00665ECA" w:rsidRPr="00271E51" w:rsidRDefault="00665ECA" w:rsidP="00271E51">
      <w:pPr>
        <w:pStyle w:val="Bodytext141"/>
        <w:shd w:val="clear" w:color="auto" w:fill="auto"/>
        <w:tabs>
          <w:tab w:val="left" w:pos="1412"/>
        </w:tabs>
        <w:spacing w:line="240" w:lineRule="auto"/>
        <w:ind w:firstLine="0"/>
        <w:jc w:val="both"/>
        <w:rPr>
          <w:i w:val="0"/>
          <w:color w:val="000000" w:themeColor="text1"/>
          <w:sz w:val="16"/>
          <w:szCs w:val="16"/>
        </w:rPr>
      </w:pPr>
      <w:r w:rsidRPr="00271E51">
        <w:rPr>
          <w:i w:val="0"/>
          <w:color w:val="000000" w:themeColor="text1"/>
          <w:sz w:val="16"/>
          <w:szCs w:val="16"/>
        </w:rPr>
        <w:t>1. 76-мм противотанковая пушка ЗИС-З с начальной скоростью 850м/сек. практически ничем не будет отличаться по бронебойному действию от 57-мм противотанковой пушки ЗИС-2.</w:t>
      </w:r>
    </w:p>
    <w:p w14:paraId="1C3FD779" w14:textId="77777777" w:rsidR="00665ECA" w:rsidRPr="00271E51" w:rsidRDefault="00665ECA" w:rsidP="00271E51">
      <w:pPr>
        <w:pStyle w:val="Bodytext141"/>
        <w:shd w:val="clear" w:color="auto" w:fill="auto"/>
        <w:tabs>
          <w:tab w:val="left" w:pos="1326"/>
        </w:tabs>
        <w:spacing w:line="240" w:lineRule="auto"/>
        <w:ind w:firstLine="0"/>
        <w:jc w:val="both"/>
        <w:rPr>
          <w:i w:val="0"/>
          <w:color w:val="000000" w:themeColor="text1"/>
          <w:sz w:val="16"/>
          <w:szCs w:val="16"/>
        </w:rPr>
      </w:pPr>
      <w:r w:rsidRPr="00271E51">
        <w:rPr>
          <w:i w:val="0"/>
          <w:color w:val="000000" w:themeColor="text1"/>
          <w:sz w:val="16"/>
          <w:szCs w:val="16"/>
        </w:rPr>
        <w:t>2. Модернизация Ф-34 под начальную скорость 850м/сек. требует но</w:t>
      </w:r>
      <w:r w:rsidRPr="00271E51">
        <w:rPr>
          <w:i w:val="0"/>
          <w:color w:val="000000" w:themeColor="text1"/>
          <w:sz w:val="16"/>
          <w:szCs w:val="16"/>
        </w:rPr>
        <w:softHyphen/>
        <w:t>вой танковой башни. Новая танковая башня позволяет поставить 85-мм танковую пушку, более мощную, чем 76-мм модернизирован</w:t>
      </w:r>
      <w:r w:rsidRPr="00271E51">
        <w:rPr>
          <w:i w:val="0"/>
          <w:color w:val="000000" w:themeColor="text1"/>
          <w:sz w:val="16"/>
          <w:szCs w:val="16"/>
        </w:rPr>
        <w:softHyphen/>
        <w:t>ная Ф-34.</w:t>
      </w:r>
    </w:p>
    <w:p w14:paraId="5839ECD6" w14:textId="77777777" w:rsidR="00665ECA" w:rsidRPr="00271E51" w:rsidRDefault="00665ECA" w:rsidP="00271E51">
      <w:pPr>
        <w:pStyle w:val="Bodytext141"/>
        <w:shd w:val="clear" w:color="auto" w:fill="auto"/>
        <w:tabs>
          <w:tab w:val="left" w:pos="1326"/>
        </w:tabs>
        <w:spacing w:line="240" w:lineRule="auto"/>
        <w:ind w:firstLine="0"/>
        <w:jc w:val="both"/>
        <w:rPr>
          <w:i w:val="0"/>
          <w:color w:val="000000" w:themeColor="text1"/>
          <w:sz w:val="16"/>
          <w:szCs w:val="16"/>
        </w:rPr>
      </w:pPr>
      <w:r w:rsidRPr="00271E51">
        <w:rPr>
          <w:i w:val="0"/>
          <w:color w:val="000000" w:themeColor="text1"/>
          <w:sz w:val="16"/>
          <w:szCs w:val="16"/>
        </w:rPr>
        <w:t>3. 85-мм пушка с начальной скоростью 1000— 1050м/сек. по бронебойно</w:t>
      </w:r>
      <w:r w:rsidRPr="00271E51">
        <w:rPr>
          <w:i w:val="0"/>
          <w:color w:val="000000" w:themeColor="text1"/>
          <w:sz w:val="16"/>
          <w:szCs w:val="16"/>
        </w:rPr>
        <w:softHyphen/>
        <w:t>му действию будет практически одинакова со 122-мм пушкой Д-25. Последнюю пушку выгоднее ставить в виду возможности более бы</w:t>
      </w:r>
      <w:r w:rsidRPr="00271E51">
        <w:rPr>
          <w:i w:val="0"/>
          <w:color w:val="000000" w:themeColor="text1"/>
          <w:sz w:val="16"/>
          <w:szCs w:val="16"/>
        </w:rPr>
        <w:softHyphen/>
        <w:t>строго решения этого вопроса в производстве и ввиду большей пер</w:t>
      </w:r>
      <w:r w:rsidRPr="00271E51">
        <w:rPr>
          <w:i w:val="0"/>
          <w:color w:val="000000" w:themeColor="text1"/>
          <w:sz w:val="16"/>
          <w:szCs w:val="16"/>
        </w:rPr>
        <w:softHyphen/>
        <w:t>спективы на повышение мощности 122-мм пушки. Кроме того, 85-мм снаряд с такой скоростью и по действию по толстой броне будет ме</w:t>
      </w:r>
      <w:r w:rsidRPr="00271E51">
        <w:rPr>
          <w:i w:val="0"/>
          <w:color w:val="000000" w:themeColor="text1"/>
          <w:sz w:val="16"/>
          <w:szCs w:val="16"/>
        </w:rPr>
        <w:softHyphen/>
        <w:t>нее эффективен и прочен, чем 122-мм снаряд при такой же скорости.</w:t>
      </w:r>
    </w:p>
    <w:p w14:paraId="413FAA34" w14:textId="77777777" w:rsidR="00665ECA" w:rsidRPr="00271E51" w:rsidRDefault="00665ECA" w:rsidP="00271E51">
      <w:pPr>
        <w:pStyle w:val="Bodytext141"/>
        <w:shd w:val="clear" w:color="auto" w:fill="auto"/>
        <w:tabs>
          <w:tab w:val="left" w:pos="1417"/>
        </w:tabs>
        <w:spacing w:line="240" w:lineRule="auto"/>
        <w:ind w:firstLine="0"/>
        <w:jc w:val="both"/>
        <w:rPr>
          <w:i w:val="0"/>
          <w:color w:val="000000" w:themeColor="text1"/>
          <w:sz w:val="16"/>
          <w:szCs w:val="16"/>
        </w:rPr>
      </w:pPr>
      <w:r w:rsidRPr="00271E51">
        <w:rPr>
          <w:i w:val="0"/>
          <w:color w:val="000000" w:themeColor="text1"/>
          <w:sz w:val="16"/>
          <w:szCs w:val="16"/>
        </w:rPr>
        <w:t>4. Ввиду того, что 107-мм пушка М75 с начальной скоростью 1020 м/сек. совершенно недоработана, а также отсутствует про</w:t>
      </w:r>
      <w:r w:rsidRPr="00271E51">
        <w:rPr>
          <w:i w:val="0"/>
          <w:color w:val="000000" w:themeColor="text1"/>
          <w:sz w:val="16"/>
          <w:szCs w:val="16"/>
        </w:rPr>
        <w:softHyphen/>
        <w:t>изводство боеприпасов к ней, выгоднее вести работы над более мощ</w:t>
      </w:r>
      <w:r w:rsidRPr="00271E51">
        <w:rPr>
          <w:i w:val="0"/>
          <w:color w:val="000000" w:themeColor="text1"/>
          <w:sz w:val="16"/>
          <w:szCs w:val="16"/>
        </w:rPr>
        <w:softHyphen/>
        <w:t>ной 122-мм пушкой с начальной скоростью в 1000м/сек.</w:t>
      </w:r>
    </w:p>
    <w:p w14:paraId="42716C46" w14:textId="77777777" w:rsidR="00665ECA" w:rsidRPr="00271E51" w:rsidRDefault="00665ECA" w:rsidP="00271E51">
      <w:pPr>
        <w:pStyle w:val="Bodytext630"/>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&lt;...&gt;</w:t>
      </w:r>
    </w:p>
    <w:p w14:paraId="14539C0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Артиллерийский Комитет подчеркивает, что из всех одобренных им работ следует выделить как первоочередные следующие работы:</w:t>
      </w:r>
    </w:p>
    <w:p w14:paraId="6695E09B" w14:textId="77777777" w:rsidR="00665ECA" w:rsidRPr="00271E51" w:rsidRDefault="00665ECA" w:rsidP="00271E51">
      <w:pPr>
        <w:pStyle w:val="Bodytext141"/>
        <w:shd w:val="clear" w:color="auto" w:fill="auto"/>
        <w:tabs>
          <w:tab w:val="left" w:pos="1330"/>
        </w:tabs>
        <w:spacing w:line="240" w:lineRule="auto"/>
        <w:ind w:firstLine="0"/>
        <w:jc w:val="both"/>
        <w:rPr>
          <w:i w:val="0"/>
          <w:color w:val="000000" w:themeColor="text1"/>
          <w:sz w:val="16"/>
          <w:szCs w:val="16"/>
        </w:rPr>
      </w:pPr>
      <w:r w:rsidRPr="00271E51">
        <w:rPr>
          <w:i w:val="0"/>
          <w:color w:val="000000" w:themeColor="text1"/>
          <w:sz w:val="16"/>
          <w:szCs w:val="16"/>
        </w:rPr>
        <w:t>1. Модернизация 76-мм танковой пушки Ф-34 под патрон 76-мм зе</w:t>
      </w:r>
      <w:r w:rsidRPr="00271E51">
        <w:rPr>
          <w:i w:val="0"/>
          <w:color w:val="000000" w:themeColor="text1"/>
          <w:sz w:val="16"/>
          <w:szCs w:val="16"/>
        </w:rPr>
        <w:softHyphen/>
        <w:t>нитной пушки обр. 1931 года.</w:t>
      </w:r>
    </w:p>
    <w:p w14:paraId="1ED68442" w14:textId="77777777" w:rsidR="00665ECA" w:rsidRPr="00271E51" w:rsidRDefault="00665ECA" w:rsidP="00271E51">
      <w:pPr>
        <w:pStyle w:val="Bodytext141"/>
        <w:shd w:val="clear" w:color="auto" w:fill="auto"/>
        <w:tabs>
          <w:tab w:val="left" w:pos="1326"/>
        </w:tabs>
        <w:spacing w:line="240" w:lineRule="auto"/>
        <w:ind w:firstLine="0"/>
        <w:jc w:val="both"/>
        <w:rPr>
          <w:i w:val="0"/>
          <w:color w:val="000000" w:themeColor="text1"/>
          <w:sz w:val="16"/>
          <w:szCs w:val="16"/>
        </w:rPr>
      </w:pPr>
      <w:r w:rsidRPr="00271E51">
        <w:rPr>
          <w:i w:val="0"/>
          <w:color w:val="000000" w:themeColor="text1"/>
          <w:sz w:val="16"/>
          <w:szCs w:val="16"/>
        </w:rPr>
        <w:t>2. Модернизация 85-мм танковой пушки Д-5 с целью получения началь</w:t>
      </w:r>
      <w:r w:rsidRPr="00271E51">
        <w:rPr>
          <w:i w:val="0"/>
          <w:color w:val="000000" w:themeColor="text1"/>
          <w:sz w:val="16"/>
          <w:szCs w:val="16"/>
        </w:rPr>
        <w:softHyphen/>
        <w:t>ной скорости 900м/сек.</w:t>
      </w:r>
    </w:p>
    <w:p w14:paraId="269CABAC" w14:textId="77777777" w:rsidR="00665ECA" w:rsidRPr="00271E51" w:rsidRDefault="00665ECA" w:rsidP="00271E51">
      <w:pPr>
        <w:pStyle w:val="Bodytext141"/>
        <w:shd w:val="clear" w:color="auto" w:fill="auto"/>
        <w:tabs>
          <w:tab w:val="left" w:pos="1302"/>
        </w:tabs>
        <w:spacing w:line="240" w:lineRule="auto"/>
        <w:ind w:firstLine="0"/>
        <w:jc w:val="both"/>
        <w:rPr>
          <w:i w:val="0"/>
          <w:color w:val="000000" w:themeColor="text1"/>
          <w:sz w:val="16"/>
          <w:szCs w:val="16"/>
        </w:rPr>
      </w:pPr>
      <w:r w:rsidRPr="00271E51">
        <w:rPr>
          <w:i w:val="0"/>
          <w:color w:val="000000" w:themeColor="text1"/>
          <w:sz w:val="16"/>
          <w:szCs w:val="16"/>
        </w:rPr>
        <w:t>3. Доработка 85-мм зенитной пушки КС-1.</w:t>
      </w:r>
    </w:p>
    <w:p w14:paraId="6372BB33" w14:textId="77777777" w:rsidR="00665ECA" w:rsidRPr="00271E51" w:rsidRDefault="00665ECA" w:rsidP="00271E51">
      <w:pPr>
        <w:pStyle w:val="Bodytext141"/>
        <w:shd w:val="clear" w:color="auto" w:fill="auto"/>
        <w:tabs>
          <w:tab w:val="left" w:pos="1292"/>
        </w:tabs>
        <w:spacing w:line="240" w:lineRule="auto"/>
        <w:ind w:firstLine="0"/>
        <w:jc w:val="both"/>
        <w:rPr>
          <w:i w:val="0"/>
          <w:color w:val="000000" w:themeColor="text1"/>
          <w:sz w:val="16"/>
          <w:szCs w:val="16"/>
        </w:rPr>
      </w:pPr>
      <w:r w:rsidRPr="00271E51">
        <w:rPr>
          <w:i w:val="0"/>
          <w:color w:val="000000" w:themeColor="text1"/>
          <w:sz w:val="16"/>
          <w:szCs w:val="16"/>
        </w:rPr>
        <w:t>4. Доработка 122-мм танковой пушки Д-25.</w:t>
      </w:r>
    </w:p>
    <w:p w14:paraId="43848BF0" w14:textId="77777777" w:rsidR="00665ECA" w:rsidRPr="00271E51" w:rsidRDefault="00665E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пушки могут быть быстро освоены в производстве и подымают наши танковые орудия до уровня аналогичных пушек, имеющихся у про</w:t>
      </w:r>
      <w:r w:rsidRPr="00271E51">
        <w:rPr>
          <w:rFonts w:ascii="Times New Roman" w:hAnsi="Times New Roman"/>
          <w:color w:val="000000" w:themeColor="text1"/>
          <w:sz w:val="16"/>
          <w:szCs w:val="16"/>
        </w:rPr>
        <w:softHyphen/>
        <w:t>тивника.</w:t>
      </w:r>
    </w:p>
    <w:p w14:paraId="4EF94C0E"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Остальные работы являются второстепенными и работа над ними не должна идти в ущерб указанных выше первоочередных работ.</w:t>
      </w:r>
    </w:p>
    <w:p w14:paraId="4CE79512"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Вместе с тем Артиллерийский Комитет считает также первосте</w:t>
      </w:r>
      <w:r w:rsidRPr="00271E51">
        <w:rPr>
          <w:i w:val="0"/>
          <w:color w:val="000000" w:themeColor="text1"/>
          <w:sz w:val="16"/>
          <w:szCs w:val="16"/>
        </w:rPr>
        <w:softHyphen/>
        <w:t>пенной работой, не упоминаемую Техсоветом НКВ, — доработку наложе</w:t>
      </w:r>
      <w:r w:rsidRPr="00271E51">
        <w:rPr>
          <w:i w:val="0"/>
          <w:color w:val="000000" w:themeColor="text1"/>
          <w:sz w:val="16"/>
          <w:szCs w:val="16"/>
        </w:rPr>
        <w:softHyphen/>
        <w:t>ния 122-мм пушки обр. 1931 года на лафет 122-мм гаубицы М-30, прово</w:t>
      </w:r>
      <w:r w:rsidRPr="00271E51">
        <w:rPr>
          <w:i w:val="0"/>
          <w:color w:val="000000" w:themeColor="text1"/>
          <w:sz w:val="16"/>
          <w:szCs w:val="16"/>
        </w:rPr>
        <w:softHyphen/>
        <w:t>дящейся на заводе №9 под индексом Д-2.</w:t>
      </w:r>
    </w:p>
    <w:p w14:paraId="6B4EA12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Артиллерийский комитет, со своей стороны, выдвигает как первооче</w:t>
      </w:r>
      <w:r w:rsidRPr="00271E51">
        <w:rPr>
          <w:i w:val="0"/>
          <w:color w:val="000000" w:themeColor="text1"/>
          <w:sz w:val="16"/>
          <w:szCs w:val="16"/>
        </w:rPr>
        <w:softHyphen/>
        <w:t>редные работы:</w:t>
      </w:r>
    </w:p>
    <w:p w14:paraId="4289A8FE" w14:textId="77777777" w:rsidR="00665ECA" w:rsidRPr="00271E51" w:rsidRDefault="00665ECA" w:rsidP="00271E51">
      <w:pPr>
        <w:pStyle w:val="Bodytext141"/>
        <w:shd w:val="clear" w:color="auto" w:fill="auto"/>
        <w:tabs>
          <w:tab w:val="left" w:pos="2904"/>
        </w:tabs>
        <w:spacing w:line="240" w:lineRule="auto"/>
        <w:ind w:firstLine="0"/>
        <w:jc w:val="both"/>
        <w:rPr>
          <w:i w:val="0"/>
          <w:color w:val="000000" w:themeColor="text1"/>
          <w:sz w:val="16"/>
          <w:szCs w:val="16"/>
        </w:rPr>
      </w:pPr>
      <w:r w:rsidRPr="00271E51">
        <w:rPr>
          <w:i w:val="0"/>
          <w:color w:val="000000" w:themeColor="text1"/>
          <w:sz w:val="16"/>
          <w:szCs w:val="16"/>
        </w:rPr>
        <w:t>1. Изготовление 122-мм самоходной пушки с начальной скоростью 1000м/сек. при весе снаряда 25 кг, с бронепробиваемостью в 200 мм на дистанции 1000м.</w:t>
      </w:r>
    </w:p>
    <w:p w14:paraId="3624DEEF" w14:textId="77777777" w:rsidR="00665ECA" w:rsidRPr="00271E51" w:rsidRDefault="00665ECA" w:rsidP="00271E51">
      <w:pPr>
        <w:pStyle w:val="Bodytext141"/>
        <w:shd w:val="clear" w:color="auto" w:fill="auto"/>
        <w:tabs>
          <w:tab w:val="left" w:pos="2899"/>
        </w:tabs>
        <w:spacing w:line="240" w:lineRule="auto"/>
        <w:ind w:firstLine="0"/>
        <w:jc w:val="both"/>
        <w:rPr>
          <w:i w:val="0"/>
          <w:color w:val="000000" w:themeColor="text1"/>
          <w:sz w:val="16"/>
          <w:szCs w:val="16"/>
        </w:rPr>
      </w:pPr>
      <w:r w:rsidRPr="00271E51">
        <w:rPr>
          <w:i w:val="0"/>
          <w:color w:val="000000" w:themeColor="text1"/>
          <w:sz w:val="16"/>
          <w:szCs w:val="16"/>
        </w:rPr>
        <w:t>2. Изготовление 122-мм танковой пушки Д-25 с клиновым затвором как пушки, более удовлетворяющей танковые войска.</w:t>
      </w:r>
    </w:p>
    <w:p w14:paraId="3F893551" w14:textId="77777777" w:rsidR="00665ECA" w:rsidRPr="00271E51" w:rsidRDefault="00665ECA" w:rsidP="00271E51">
      <w:pPr>
        <w:pStyle w:val="Bodytext141"/>
        <w:shd w:val="clear" w:color="auto" w:fill="auto"/>
        <w:tabs>
          <w:tab w:val="left" w:pos="2904"/>
        </w:tabs>
        <w:spacing w:line="240" w:lineRule="auto"/>
        <w:ind w:firstLine="0"/>
        <w:jc w:val="both"/>
        <w:rPr>
          <w:i w:val="0"/>
          <w:color w:val="000000" w:themeColor="text1"/>
          <w:sz w:val="16"/>
          <w:szCs w:val="16"/>
        </w:rPr>
      </w:pPr>
      <w:r w:rsidRPr="00271E51">
        <w:rPr>
          <w:i w:val="0"/>
          <w:color w:val="000000" w:themeColor="text1"/>
          <w:sz w:val="16"/>
          <w:szCs w:val="16"/>
        </w:rPr>
        <w:t>3. Доработка 25-мм противотанковой пушки Арт. Академии кон</w:t>
      </w:r>
      <w:r w:rsidRPr="00271E51">
        <w:rPr>
          <w:i w:val="0"/>
          <w:color w:val="000000" w:themeColor="text1"/>
          <w:sz w:val="16"/>
          <w:szCs w:val="16"/>
        </w:rPr>
        <w:softHyphen/>
        <w:t>струкции т. Сидоренко и 37-мм противотанковой пушки ЧК, как мощных противотанковых пушек.</w:t>
      </w:r>
    </w:p>
    <w:p w14:paraId="0DCF2AA3" w14:textId="77777777" w:rsidR="00665ECA" w:rsidRPr="00271E51" w:rsidRDefault="00665ECA" w:rsidP="00271E51">
      <w:pPr>
        <w:pStyle w:val="Bodytext141"/>
        <w:shd w:val="clear" w:color="auto" w:fill="auto"/>
        <w:tabs>
          <w:tab w:val="left" w:pos="2875"/>
        </w:tabs>
        <w:spacing w:line="240" w:lineRule="auto"/>
        <w:ind w:firstLine="0"/>
        <w:jc w:val="both"/>
        <w:rPr>
          <w:i w:val="0"/>
          <w:color w:val="000000" w:themeColor="text1"/>
          <w:sz w:val="16"/>
          <w:szCs w:val="16"/>
        </w:rPr>
      </w:pPr>
      <w:r w:rsidRPr="00271E51">
        <w:rPr>
          <w:i w:val="0"/>
          <w:color w:val="000000" w:themeColor="text1"/>
          <w:sz w:val="16"/>
          <w:szCs w:val="16"/>
        </w:rPr>
        <w:t>4. Изготовление 37-мм автоматической зенитной пушки, поставлен</w:t>
      </w:r>
      <w:r w:rsidRPr="00271E51">
        <w:rPr>
          <w:i w:val="0"/>
          <w:color w:val="000000" w:themeColor="text1"/>
          <w:sz w:val="16"/>
          <w:szCs w:val="16"/>
        </w:rPr>
        <w:softHyphen/>
        <w:t>ной на самоход «СУ- 76, как подвижного орудия противовоздушной обороны танковых и механизированных войск»'.</w:t>
      </w:r>
    </w:p>
    <w:p w14:paraId="5FA36A42" w14:textId="77777777" w:rsidR="00665ECA" w:rsidRPr="00271E51" w:rsidRDefault="00665ECA" w:rsidP="00271E51">
      <w:pPr>
        <w:pStyle w:val="a3"/>
        <w:rPr>
          <w:color w:val="000000" w:themeColor="text1"/>
          <w:lang w:val="ru-RU"/>
        </w:rPr>
      </w:pPr>
      <w:r w:rsidRPr="00271E51">
        <w:rPr>
          <w:color w:val="000000" w:themeColor="text1"/>
          <w:lang w:val="ru-RU"/>
        </w:rPr>
        <w:t>Таким образом, вместо возвращения к идее использования 107-мм противотанковой пушки было решено разрабатывать новое орудие на базе 122-мм пушки А-19. Это же было утверждено на совещании Тех</w:t>
      </w:r>
      <w:r w:rsidRPr="00271E51">
        <w:rPr>
          <w:color w:val="000000" w:themeColor="text1"/>
          <w:lang w:val="ru-RU"/>
        </w:rPr>
        <w:softHyphen/>
        <w:t>нического совета НКВ и Артиллерийского комитета ГАУ КА, прошед</w:t>
      </w:r>
      <w:r w:rsidRPr="00271E51">
        <w:rPr>
          <w:color w:val="000000" w:themeColor="text1"/>
          <w:lang w:val="ru-RU"/>
        </w:rPr>
        <w:softHyphen/>
        <w:t>шего в тот же день — 15 сентября 1943 года (17484).</w:t>
      </w:r>
    </w:p>
    <w:p w14:paraId="1B3044EA"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25D07DCE" w14:textId="77777777" w:rsidR="00665ECA" w:rsidRPr="00271E51" w:rsidRDefault="00665ECA" w:rsidP="00271E51">
      <w:pPr>
        <w:pStyle w:val="a3"/>
        <w:rPr>
          <w:color w:val="000000" w:themeColor="text1"/>
          <w:lang w:val="ru-RU"/>
        </w:rPr>
      </w:pPr>
      <w:r w:rsidRPr="00271E51">
        <w:rPr>
          <w:color w:val="000000" w:themeColor="text1"/>
          <w:lang w:val="ru-RU"/>
        </w:rPr>
        <w:t>По состоянию на 15 сентября 1943 года, когда принималось реше</w:t>
      </w:r>
      <w:r w:rsidRPr="00271E51">
        <w:rPr>
          <w:color w:val="000000" w:themeColor="text1"/>
          <w:lang w:val="ru-RU"/>
        </w:rPr>
        <w:softHyphen/>
        <w:t>ние о дальнейших работах по танковой, буксируемой и самоходной артиллерии, ЦАКБ являлось единственным бюро, занимавшимся те</w:t>
      </w:r>
      <w:r w:rsidRPr="00271E51">
        <w:rPr>
          <w:color w:val="000000" w:themeColor="text1"/>
          <w:lang w:val="ru-RU"/>
        </w:rPr>
        <w:softHyphen/>
        <w:t>мой САУ с Б-4 и БР-2. Согласно документам, данная тема не являлась первоочередной. Тем не менее уже 8 октября народный комиссар во</w:t>
      </w:r>
      <w:r w:rsidRPr="00271E51">
        <w:rPr>
          <w:color w:val="000000" w:themeColor="text1"/>
          <w:lang w:val="ru-RU"/>
        </w:rPr>
        <w:softHyphen/>
        <w:t>оружения Устинов доложил Берии о готовности новых проектов само</w:t>
      </w:r>
      <w:r w:rsidRPr="00271E51">
        <w:rPr>
          <w:color w:val="000000" w:themeColor="text1"/>
          <w:lang w:val="ru-RU"/>
        </w:rPr>
        <w:softHyphen/>
        <w:t>ходных установок от ЦАКБ:</w:t>
      </w:r>
    </w:p>
    <w:p w14:paraId="4A771589"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Центральном Артиллерийском Конструкторском Бюро НКВ раз</w:t>
      </w:r>
      <w:r w:rsidRPr="00271E51">
        <w:rPr>
          <w:i w:val="0"/>
          <w:color w:val="000000" w:themeColor="text1"/>
          <w:sz w:val="16"/>
          <w:szCs w:val="16"/>
        </w:rPr>
        <w:softHyphen/>
        <w:t>работаны проекты самоходных установок полуоткрытого типа, с лег</w:t>
      </w:r>
      <w:r w:rsidRPr="00271E51">
        <w:rPr>
          <w:i w:val="0"/>
          <w:color w:val="000000" w:themeColor="text1"/>
          <w:sz w:val="16"/>
          <w:szCs w:val="16"/>
        </w:rPr>
        <w:softHyphen/>
        <w:t>кой бронировкой, для 152-мм пушки БР-2 и 203-мм гаубицы Б-4, а также проект самоходной установки закрытого, штурмового типа для 152-мм пушки с баллистикой БР-2 и для 203-мм гаубицы с баллистикой Б-4.</w:t>
      </w:r>
    </w:p>
    <w:p w14:paraId="55821078"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 xml:space="preserve">Для изготовления в ЦАКБ опытных образцов самоходов необходимо получение от Наркомтанкопрома двух танков типа </w:t>
      </w:r>
      <w:r w:rsidRPr="00271E51">
        <w:rPr>
          <w:i w:val="0"/>
          <w:color w:val="000000" w:themeColor="text1"/>
          <w:sz w:val="16"/>
          <w:szCs w:val="16"/>
          <w:lang w:val="en-US"/>
        </w:rPr>
        <w:t>KB</w:t>
      </w:r>
      <w:r w:rsidRPr="00271E51">
        <w:rPr>
          <w:i w:val="0"/>
          <w:color w:val="000000" w:themeColor="text1"/>
          <w:sz w:val="16"/>
          <w:szCs w:val="16"/>
        </w:rPr>
        <w:t>-1С или ИС, без артиллерийского вооружения и без башни, одного самохода СУ-152 без ар</w:t>
      </w:r>
      <w:r w:rsidRPr="00271E51">
        <w:rPr>
          <w:i w:val="0"/>
          <w:color w:val="000000" w:themeColor="text1"/>
          <w:sz w:val="16"/>
          <w:szCs w:val="16"/>
        </w:rPr>
        <w:softHyphen/>
        <w:t xml:space="preserve">тиллерийского вооружения, и чертежей корпусов и общих видов танков </w:t>
      </w:r>
      <w:r w:rsidRPr="00271E51">
        <w:rPr>
          <w:i w:val="0"/>
          <w:color w:val="000000" w:themeColor="text1"/>
          <w:sz w:val="16"/>
          <w:szCs w:val="16"/>
          <w:lang w:val="en-US"/>
        </w:rPr>
        <w:t>KB</w:t>
      </w:r>
      <w:r w:rsidRPr="00271E51">
        <w:rPr>
          <w:i w:val="0"/>
          <w:color w:val="000000" w:themeColor="text1"/>
          <w:sz w:val="16"/>
          <w:szCs w:val="16"/>
        </w:rPr>
        <w:t>- 1С и И С и самохода СУ-152.</w:t>
      </w:r>
    </w:p>
    <w:p w14:paraId="79BEB46A" w14:textId="77777777" w:rsidR="00665ECA" w:rsidRPr="00271E51" w:rsidRDefault="00665ECA"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Прошу Вашего соответствующего распоряжения Наркомтанкопрому (т. Малышеву)» (17484).</w:t>
      </w:r>
    </w:p>
    <w:p w14:paraId="241C4B22" w14:textId="77777777" w:rsidR="00665ECA" w:rsidRPr="00271E51" w:rsidRDefault="00665ECA" w:rsidP="00271E51">
      <w:pPr>
        <w:spacing w:after="0" w:line="240" w:lineRule="auto"/>
        <w:jc w:val="both"/>
        <w:rPr>
          <w:rFonts w:ascii="Times New Roman" w:hAnsi="Times New Roman"/>
          <w:color w:val="000000" w:themeColor="text1"/>
          <w:sz w:val="16"/>
          <w:szCs w:val="16"/>
        </w:rPr>
      </w:pPr>
    </w:p>
    <w:p w14:paraId="6C7B1E4E"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15 сентября 1943 года был датирован список работ по танковой, противотанковой и самоходной артиллерии, в котором вновь появилась 107-мм противотанковая пушка М75. Одной из причин возвращения заброшенного в 1942 году проекта было то, что базировалось это орудие на лафете пушки-гаубицы МЛ-20. Идея установки М75 на самоходную базу, похороненная летом 1941 года, спустя два года имела шансы на возвращение, тем более что для неё появились достойные цели.</w:t>
      </w:r>
    </w:p>
    <w:p w14:paraId="4A469710"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Впрочем, возврат к теме 107-мм противотанковой пушки оказался крайне недолгим. В том же самом письме, в котором упоминалась М75, председатель Артиллерийского комитета ГАУ КА генерал-майор Хохлов предлагал отказаться от ряда проектов, заменив их на более перспективные. В их числе значилась 122-мм самоходная пушка с начальной скоростью снаряда 1000 м/с. В тот же день прошло совещание Технического совета Народного комиссариата вооружения (НКВ) и Артиллерийского комитета ГАУ КА, на котором работы по удлинённой 122-мм пушке были утверждены (17716).</w:t>
      </w:r>
    </w:p>
    <w:p w14:paraId="111E1D0D" w14:textId="77777777" w:rsidR="0050572A" w:rsidRPr="00271E51" w:rsidRDefault="0050572A" w:rsidP="00271E51">
      <w:pPr>
        <w:pStyle w:val="12a"/>
        <w:shd w:val="clear" w:color="auto" w:fill="auto"/>
        <w:spacing w:after="0" w:line="240" w:lineRule="auto"/>
        <w:jc w:val="both"/>
        <w:rPr>
          <w:color w:val="000000" w:themeColor="text1"/>
          <w:sz w:val="16"/>
          <w:szCs w:val="16"/>
        </w:rPr>
      </w:pPr>
    </w:p>
    <w:p w14:paraId="4B4D4633"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К 15 сентября 1943 года Первый опытный образец системы Д-25 был готов. С 16 по 23 сентября он прошёл этап заводских испытаний из 96 выстрелов. Сама система испытания выдержала, но не её дульный тормоз. Инженер-полковник Абрамов, исполнявший обязанности военпреда на заводе №9, в докладной записке сообщал, что в ходе испытаний произошла деформация дульного тормоза. 25 сентября систему отправили в Челябинск, а на заводе №9 закипела работа по проектированию нового дульного тормоза (17717).</w:t>
      </w:r>
    </w:p>
    <w:p w14:paraId="6E8B017E" w14:textId="77777777" w:rsidR="0050572A" w:rsidRPr="00271E51" w:rsidRDefault="0050572A" w:rsidP="00271E51">
      <w:pPr>
        <w:pStyle w:val="12a"/>
        <w:shd w:val="clear" w:color="auto" w:fill="auto"/>
        <w:spacing w:after="0" w:line="240" w:lineRule="auto"/>
        <w:jc w:val="both"/>
        <w:rPr>
          <w:color w:val="000000" w:themeColor="text1"/>
          <w:sz w:val="16"/>
          <w:szCs w:val="16"/>
        </w:rPr>
      </w:pPr>
    </w:p>
    <w:p w14:paraId="65C53F5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Постановление ГКО № 4129 Об усилении местной противовоздушной обороны на ж.-д. транспорте и ускорении ликвидации разрушений, возникающих в результате налетов вражеской авиации. (7139, 78-80).</w:t>
      </w:r>
    </w:p>
    <w:p w14:paraId="5B1C2DD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17A29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Распоряжение ГКО № 4130 [Об изменении марок никеля, выпускаемых комбинатом "Североникель".] (7139, 81).</w:t>
      </w:r>
    </w:p>
    <w:p w14:paraId="1CC6578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1783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Распоряжение ГКО № 4131. О направлении 1500 военнообязанных, не годных к строевой службе, на Северо-Уральские бокситовые рудники НКЦМ.РГАНИР, Фонд ГКО, д. 151, лл. 82 (11012).</w:t>
      </w:r>
    </w:p>
    <w:p w14:paraId="212228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B0F6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Постановление ГКО № 4132 О неотложных мерах помощи строительству Ново-Тагильского металлургического комбината, осуществляемого НКВД СССР. (7139, 83-104,105-156).</w:t>
      </w:r>
    </w:p>
    <w:p w14:paraId="0FDBEC2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FFF51B"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секретарь Горьковского обкома партии Родионов в письме зампреду СНК отмечал: «Горьковский мотозавод «Серп и Молот», организованный […] на базе эвакуированных Ленинградского и Харьковского заводов, систематически не выполняет государственной программы. Основными причинами, тормозящими выполнение плана, являются:</w:t>
      </w:r>
    </w:p>
    <w:p w14:paraId="306ACB3A"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Недостаток производственных площадей;</w:t>
      </w:r>
    </w:p>
    <w:p w14:paraId="0C032F51"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Дефицит в рабочей силе и невозможность набора ее вследствие отсутствия жилплощадей; </w:t>
      </w:r>
    </w:p>
    <w:p w14:paraId="713AE63A"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Отсутствие комплектного оборудования для основных и вспомогательных цехов завода.</w:t>
      </w:r>
    </w:p>
    <w:p w14:paraId="7B9F3AEC"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Если вопрос комплектации оборудования в настоящее время решается путем реализации постановления ГКО […] и есть основания полагать, что этот вопрос будет разрешен в ближайшее время, то вопросы производственного и жилищного строительства и пополнения рабо чих кадров завод не в состоянии решить собственными силами. Постановлением ГКО от 16 марта 1942 г. и 19 марта 1943 г. промышленное строительство было возложено на Наркомстрой, однако трест Стройгаз № 2 порученных ему строительных работ не выполнил, а в июне месяце 1943 г. в связи с восстановительными работами на автозаводе им. Молотова полностью их законсервировал». Задача восстановления автозавода, серьезно пострадавшего при немецкой бомбардировке, была приоритетной, поэтому только в IV квартале «Стройгаз № 2» получил возможность вести строительные работы на мотоциклетном заводе. В этой же связи обеспечение работников завода жильем даже в бараках было проблемой. В годы войны, надо отдать должное, на трудности смотрели с пониманием, но с ее окончанием проблемы ГМЗ проявились как никогда рельефно. 26 августа 1948 г. на ГМЗ прошло закрытое (завод был режимным военным объектом) партсобрание, на котором обсуждали положение дел на предприятии. По итогам партсобрания глава заводской парторганизации Покровский направил секретарю ЦК Маленкову письмо: «Постановлением ЦК ВКП(б) и СНК СССР от 19 марта 1941 г. была начата организация производства мотоциклов М-72 на Московском велосипедном, Ленинградском мотоциклетном и Харьковском заводе сельхозмашиностроения. В 1941 г. часть мотоциклетных заводов были эвакуированы в Горький, где разместились на площади вновь выстроенного корпуса завода «Красная Этна». В сентябре 1941 года почти все оборудование и люди с завода, прибывшие из Ленинграда, были переданы ГАЗ им. Молотова. Привезенные из Харькова оборудование и людской состав не были комплектным и поэтому ГМЗ не мог дать фронту требуемого количества мотоциклов. Постановлением ГКО от 10 ноября 1943 г. Тюменьский мотозавод был воссоединен с Горьковским. После этого начинается настоящая организация завода. Создаются новые цеха по изготовлению моторов и коробок передач, а также литейный и кузнечный цехи. Уже в 1944 году завод справился с заданием ГКО по поставке мотоциклов М-72 для фронта. […] К настоящему времени завод имеет комплектное оборудование, на котором изготовляются все детали мотоцикла и только заготовки 23 деталей и мотоколяску завод получает со стороны. По разработанному проекту ГМЗ на выпуск 15 тыс. мотоциклов в год требуется производственных и вспомогательных площадей 25 384 кв. мтр., имеется в наличии 18 058 кв. мтр. Оборудования требуется 1191 единица, имеется 826 единиц. Завод за истекший период спроектировал и изготовил 4 спортивных мотоцикла. Обращает на себя внимание конструкция дорожного мотоцикла М-35, который при сравнительных испытаниях показал лучшие качества, чем все советские и заграничные марки мотоциклов этого класса. По улучшению серийного мотоцикла М-72 ГМЗ разработал 5 элементов модернизации, Ведущее конструкторское бюро ИМЗ — 3, ЦКБ Главмотвелпрома — 0. Все 8 элементов введены в серию и в значительной степени повышают качество серийных мотоциклов, особенно в тяжелых условиях эксплоатации. Министерство ответственные задания по изготовлению мотоциклов М-72, предназначенные на заграничные выставки, для участия в заграничных спортивных выступлениях, военные парады на Красной площади, поручает нашему заводу, с которыми коллектив завода всегда успешно справляется. По окончании войны ветераны мотоциклетного производства потянулись на родину. Этому способствовали тяжелые материально-бытовые и жилищные условия рабочих и ИТР. В 1946 году закончилось обновление состава завода. Компенсировать ушедших не удалось по следующим причинам: недостаточное количество жилищной площади, которая после войны сократилась на 60 %. Существующая схема должностных окладов ниже, чем на соседних заводах нашего министерства. Так, например: на заводе «Красная Этна» схема окладов выше, чем на нашем заводе на 35–40 %, в то время как изделия на заводе (гвозди, проволока, автонормали, прокат) изготовляются по 2 классу точности. В этом заключается первая трудность. Вторая трудность заключается в отсутствии помощи со стороны Министерства. Так, например, министр т. Акопов посетил наш завод в 1946 и 1948 гг., но основные вопросы остались нерешенными на заводе и после его посещений. Наоборот, в 1947 г. решением Министерства завод закрывается и только благодаря протесту ГБТУ ВС завод был оставлен. Возбуждаемые заводом вопросы перед главком и Министерством не находят разрешения. Партбюро просит Вас, товарищ Маленков, помочь нашему заводу стать на ноги. Для этого требуются Ваши указания Министерству: </w:t>
      </w:r>
    </w:p>
    <w:p w14:paraId="26A479AE"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Рассмотреть в кратчайший срок проект ГМЗ на выпуск 15 тыс. мотоциклов и выделить материальное обеспечение на его осуществление. </w:t>
      </w:r>
    </w:p>
    <w:p w14:paraId="0EDCCB20"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Поднять зарплату ИТР и руководящим работникам до уровня зарплат соседних заводов нашего министерства. </w:t>
      </w:r>
    </w:p>
    <w:p w14:paraId="476945F8"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Обеспечить производственную и хозяйственную деятельность завода нормальным снабжением материалами, изделиями кооперированных заводов и особенно мотоколясками.</w:t>
      </w:r>
    </w:p>
    <w:p w14:paraId="2CAE0F8A" w14:textId="77777777" w:rsidR="00A94230" w:rsidRPr="00271E51" w:rsidRDefault="00A9423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Освободить завод от выполнения заказов-заданий, не связанных с основной программой по мотоциклам. За 7 месяцев текущего года завод программу выполнил по валу на 106,5 %. При решении поставленных вопросов коллектив завода способен дать лучшие количественные и качественные показатели». К сожалению, ГМЗ, размещенный во время войны на площадях бывшего инструментального цеха завода «Красная Этна», располагал недостаточной территорией, ограниченной с одной стороны указанным заводом и жилыми зданиями с другой. Производственные возможности завода по заготовительным цехам составляли до 2000 мотоциклов, а по обрабатывающим — до 3000 мотоциклов в год, что не соответствовало условиям организации массового производства, вследствие чего себестоимость мотоциклов ГМЗ была чрезвычайно высока. Рассмотрев комплекс документов по ситуации на ГМЗ в Правительстве приняли решение о ликвидации завода, что было оформлено 11 сентября 1948 г. постановлением Совмина «О переводе Горьковского мотоциклетного завода в г. Ирбит на площади Ирбитского мотоциклетного завода». Помимо плана перевода производства ГМЗ в Ирбит на ИМЗ имелся и проект перевода на Радзивилишский завод в Литве. С началом мирного строительства руководство социалистической Литвы обратило внимание на простаивающий снарядный снаряжательный завод. В ноябре 1948 г. Председатель Совмина Литовской СССР Гедвилас и секретарь ЦК КП Литвы Снечкус обратились в Совмин СССР с предложением об организации мотоциклетного завода на площадях бывшего Радзивилишского завода боеприпасов, принадлежащего Министерству Вооруженных Сил СССР с передачей завода в ведение союзного Минавтопрома. Радзивилишский завод был построен в 1938 г. и после войны не использовался по прямому назначению. Между тем, на нем имелись механический, инструментальный, кузнечный и литейный цеха. Завод занимал два производственных корпуса площадью 17 тыс. кв. м. Рядом имелось 5 больших жилых домов со всеми удобствами, включая канализацию и отопление. В городе (в 6 км от завода) и близлежащих населенных пунктах проживали бывшие работники завода, «люди высокой </w:t>
      </w:r>
      <w:r w:rsidRPr="00271E51">
        <w:rPr>
          <w:rFonts w:ascii="Times New Roman" w:hAnsi="Times New Roman"/>
          <w:color w:val="000000" w:themeColor="text1"/>
          <w:sz w:val="16"/>
          <w:szCs w:val="16"/>
        </w:rPr>
        <w:lastRenderedPageBreak/>
        <w:t>квалификации, которые, в случае организации мотоциклетного завода, смогут быть использованы по специальности». Руководство республики и представители союзного Минавтопрома посетили завод и установили, что на нем хранится лишь незначительное количество боеприпасов. Казалось, бывшему ГМЗ подыскали превосходное место, и Управделами Совмина запросил мнение военных. Ответ поступил 27 ноября 1948 г. письмом № 1039867с. Заместитель Министра вооруженных сил маршал артиллерии Яковлев уведомил Совмин о том, что по данным Прибалтийского военного округа на территории завода находится окружной склад № 616, на котором хранится 1100 вагонов боеприпасов. Ввиду разноречивых данных с мест, маршал Яковлев откомандировал на место доверенного сотрудника ГАУ, которому было поручено лично обследовать помещения бывшего снаряжательного завода. 4 декабря маршал Яковлев вновь писал в Совмин: «…Обследованием на месте установлено: 1. Помещения бывшего завода занимает артиллерийский склад боеприпасов ПрибВО. 2. Все корпуса и складские помещения бывшего завода полностью загружены боеприпасами. Кроме того, в период 1946–1947 гг. ПрибВО на средства МВС построил на этой территории еще 8 хранилищ, которые тоже загружены боеприпасами. Представители… были на складе и видели лишь один корпус, занимаемый мастерской склада. Истинного положения с загруженностью бывшего завода эти представители не видели. Командующий войсками округа и ГАУ категорически возражает против передачи помещений, занимаемых складом…». Рассмотрев пожелания литовских товарищей и сообщения военных, а также различные материалы с мест, в Совмине приняли решение поддержать идею создания мотовелопроизводства в республике, организовав в Шауляе завод мощностью 45–50 тыс. велосипедов в год, а план перевода ГМЗ на бывший снарядный завод остался в истории как курьез. Еще одним изготовителем мотоциклов могли стать авиационные заводы № 32 и № 481. По программе послевоенной конверсии эти два завода получили задание освоить выпуск мотоциклов для продажи населению. Реализацию мотоциклов должно было осуществлять всесоюзное объединение Глававтотракторосбыт. В 1946 г. Глававтотракторосбыт наметил к реализации 425 мотоциклов, однако фактически не получил ни одного. В следующем году программу сократили до 300 мотоциклов. Отсутствие опыта производства, не налаженная кооперация с заводами-поставщиками мотоциклетных комплектующих (19776).</w:t>
      </w:r>
    </w:p>
    <w:p w14:paraId="2C96EFCF" w14:textId="77777777" w:rsidR="00A94230" w:rsidRPr="00271E51" w:rsidRDefault="00A94230" w:rsidP="00271E51">
      <w:pPr>
        <w:spacing w:after="0" w:line="240" w:lineRule="auto"/>
        <w:jc w:val="both"/>
        <w:rPr>
          <w:rFonts w:ascii="Times New Roman" w:hAnsi="Times New Roman"/>
          <w:color w:val="000000" w:themeColor="text1"/>
          <w:sz w:val="16"/>
          <w:szCs w:val="16"/>
        </w:rPr>
      </w:pPr>
    </w:p>
    <w:p w14:paraId="357AA7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Постановление ГКО № 4133 О коренном улучшении работы заводов Второго Главного управления Наркомсудпрома, изготовляющих торпедно-минно-тральное вооружение.РГАНИР, Фонд ГКО, д. 151, лл. 157-167, 168-185 (11012).</w:t>
      </w:r>
    </w:p>
    <w:p w14:paraId="3D74CD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2FC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в соответствии с постановлениями ГКО № 4133 и № 5126 от 7 февраля 1944 г. образован НИИ морского оружия и морских боеприпасов, получивший название НИИ-400 НКСП (предполагалось организовать его в Москве, но из-за отсутствия помещения разместили в Ленинграде).</w:t>
      </w:r>
      <w:r w:rsidRPr="00271E51">
        <w:rPr>
          <w:rFonts w:ascii="Times New Roman" w:hAnsi="Times New Roman"/>
          <w:color w:val="000000" w:themeColor="text1"/>
          <w:sz w:val="16"/>
          <w:szCs w:val="16"/>
          <w:vertAlign w:val="superscript"/>
        </w:rPr>
        <w:t>61</w:t>
      </w:r>
      <w:r w:rsidRPr="00271E51">
        <w:rPr>
          <w:rFonts w:ascii="Times New Roman" w:hAnsi="Times New Roman"/>
          <w:color w:val="000000" w:themeColor="text1"/>
          <w:sz w:val="16"/>
          <w:szCs w:val="16"/>
        </w:rPr>
        <w:t xml:space="preserve"> Разместился на площадях бывшего опытного завода № 231 НКСП и катерного ЦКБ-36 НКСП. Основу коллектива составили специалисты бывшего Остехбюро, ЦКБ-36, ЦКБ-39 (возможно, завод № 231 НКСП реэвакуирован из Уральска и влит в состав НИИ- 400). Работы по модернизации и разработке новых образцов торпедного, минного и противоминного оружия.</w:t>
      </w:r>
    </w:p>
    <w:p w14:paraId="1E9409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на территории института создано (дочернее предприятие) ЦКБ-145 для обеспечения серийного производства минно-трального оружия. В 1948 г. образован филиал института в  г. Ломоносове для разработки торпед с тепловыми двигателями.</w:t>
      </w:r>
    </w:p>
    <w:p w14:paraId="302A38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1945 г. начата разработка первой реактивной скоростной торпеды РТ-45-2 с ЖРД (В.А. Калитаев, Ф.Л. Якайтис), испытана в 1948-51 г. На ее базе создана авиационная реактивная торпеда РАТ-52.</w:t>
      </w:r>
    </w:p>
    <w:p w14:paraId="5EC50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 г. создана первая отечественная протвокорабельная самонаводящаяся торпеда САЭТ-50; в 1955 г. сюда переданы из НИМТИ работы по противолодочной торпеде САЭТ-53. Создана первая в мире реактивно- всплывающая мина «Камбала». Велись работы в области поисковых систем на телевизионном, электромагнитном принципах.</w:t>
      </w:r>
    </w:p>
    <w:p w14:paraId="4725F5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1395-627сс от 9.07.1954 г. мина ТУМ пнв и запущена в серию; пост. № 32-16сс от 10.01.1955 г. мина АПМ пнв; пост. № 35-16 от 14.01.1957 г. мины КАМ и ГМ пнв; пост. № 150-81 от 13.02.1957 г. мина КСМ пнв; пост. № 151-82 от 13.02.1957 г. пнв мина «Серпей»; пост. № 152-83 от 13.02.1957 г. пнв мина КРМ.</w:t>
      </w:r>
    </w:p>
    <w:p w14:paraId="163FF3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49-17 от 21.01.1961 г. мина УДМ пнв, мины АМД-2М и АБМ сняты с вооружения, и прекращено производство мин ИГДМ и «Серпей».</w:t>
      </w:r>
    </w:p>
    <w:p w14:paraId="2E5FB5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1950-х  г. институт имел мощное опытное производство, флот опытовых судов. Были созданы филиалы: в  г. Уральске (1972 г.), «Касатка» в  г. Гагры (1974 г.), в  г. Ломоносове; отделы в  г. Каспийске, Петропавловске, Феодосии и Пржевальске.</w:t>
      </w:r>
    </w:p>
    <w:p w14:paraId="28BFC8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1954 г. - в подчинении МТиТМ, в 1956 г.- МСП, с 1958 г.- ГКС. В 1966 г. НИИ-400 переименован в НИИ «Гидроприбор», к нему в качестве опытного производства присоединен завод «Двигатель». В 1969 г. в состав института включено ЦКБ-145, и он преобразован в ЦНИИ «Гидроприбор». В 1973 г. на базе ЦНИИ (головной) создано НПО «Уран».</w:t>
      </w:r>
    </w:p>
    <w:p w14:paraId="606A70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1970-е-80-е  г. создано новое поколение подводного оружия: самая мощная в мире дальноходная торпеда калибра 650 мм; минно-ракетные комплексы; буксируемые и самоходные подводные аппараты с поисковыми системами; комплексы гидроакустического противодействия подводному оружию. Конверсионные разработки: системы: контроля и освещения подводной обстановки; поиска и разработки полезных ископаемых на морском дне; обеспечения безопасности буровых платформ, нефтепроводов.</w:t>
      </w:r>
    </w:p>
    <w:p w14:paraId="6E5A11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1991 г. ЦНИИ вышел из состава НПО и стал самостоятельным. В соответствии с Указом Президента РФ № 939 от 22.06.1993 г. и пост. Правительства № 649 от 5.06.1994 г. институту присвоен статус ГНЦ РФ. По указу Президента РФ № 133 от 3.02.2004 г. на базе ЦНИИ «Гидроприбор» образован Концерн «Морское подводное оружие-Гидроприбор».</w:t>
      </w:r>
    </w:p>
    <w:p w14:paraId="106790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различного подводного вооружения, средств наблюдения и обнаружения. К 2005 г. создано 180 образцов подводного оружия.</w:t>
      </w:r>
    </w:p>
    <w:p w14:paraId="701F3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(1943-; 1945-46 г.)- А.П. Алехин, (1944-45; 1951-72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Борушко, (1946-51 г.)- К.В. Грудницкий, (1972-83 г.)- Р.В. Исаков, (1983-91 г.)-  Г.П. Корсаков. Гендиректор (1991-96 г.)- А.С. Захарченко, (1996-2005 г.)- С. Г. Прошкин; и.о. директора (2005 г.)- С. Г. Прошкин; (2005 г.-)- В.А. Осипов.</w:t>
      </w:r>
    </w:p>
    <w:p w14:paraId="7873CD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(2005 г.)- С. Г. Прошкин.</w:t>
      </w:r>
    </w:p>
    <w:p w14:paraId="0DB259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директора (-07.2006 г.)- А. Шадрин. Зам. директора по технологии- А.А. Зыков.</w:t>
      </w:r>
    </w:p>
    <w:p w14:paraId="0E2CB1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А.Т. Скоробогатов.</w:t>
      </w:r>
    </w:p>
    <w:p w14:paraId="639B5D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отделения (2002 г.)-  Г. Тихонов.</w:t>
      </w:r>
    </w:p>
    <w:p w14:paraId="5A4E63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(1955 г.)- В.А. Поликарпов (САЭТ-53), Л.П. Матвеев, В.М. Павлов; направления (2002 г.)- А. Кабанов.</w:t>
      </w:r>
    </w:p>
    <w:p w14:paraId="0C5BE2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(1946-51 г.)-  Г.В. Петров.</w:t>
      </w:r>
    </w:p>
    <w:p w14:paraId="3C1971D3" w14:textId="77777777" w:rsidR="00E40F8E"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торпеды:</w:t>
      </w:r>
      <w:r w:rsidRPr="00271E51">
        <w:rPr>
          <w:rFonts w:ascii="Times New Roman" w:hAnsi="Times New Roman"/>
          <w:color w:val="000000" w:themeColor="text1"/>
          <w:sz w:val="16"/>
          <w:szCs w:val="16"/>
        </w:rPr>
        <w:t xml:space="preserve"> реактивная РТ-45-2 (1948); авиационные: противокорабельная САЭТ-50 (1950), экспериментальная «АСТ», противолодочная СЭТ-53 (пнв в 1958 г.), СЭТ-53М (пнв в 1964 г.); телеуправляемая ТЭСТ-71, ТЭ-2-02; корабельная 65-76 «Кит»;</w:t>
      </w:r>
      <w:r w:rsidRPr="00271E51">
        <w:rPr>
          <w:rFonts w:ascii="Times New Roman" w:hAnsi="Times New Roman"/>
          <w:iCs/>
          <w:color w:val="000000" w:themeColor="text1"/>
          <w:sz w:val="16"/>
          <w:szCs w:val="16"/>
        </w:rPr>
        <w:t xml:space="preserve"> мины:</w:t>
      </w:r>
      <w:r w:rsidRPr="00271E51">
        <w:rPr>
          <w:rFonts w:ascii="Times New Roman" w:hAnsi="Times New Roman"/>
          <w:color w:val="000000" w:themeColor="text1"/>
          <w:sz w:val="16"/>
          <w:szCs w:val="16"/>
        </w:rPr>
        <w:t xml:space="preserve"> донные неконтактные: АМД-2 (1945), АМД-2М (1954), АМД-4, авиационная «Серпей» (пнв 13.02.1957 г.), ИГДМ (1954), ИГДМ-500 (пнв в 1957 г.), трубная МДТ (пнв в 1959 г.), УДМ (пнв 21.01.1961 г.), УДМ-500 (1965), УДМ-2 (1979), ДМ-1, УДМ-3, АПДМ; якорные: КРАБ-М, ПДМ-ЗЯ, ТУМ (пнв 9.07.1954 г.), «Лира», КПМ, корабельная акустическая КАМ (пнв 14.01.1957 г.), корабельная глубоководная ГМ (пнв 14.01.1957 г.), акустическая ПМ-1 (пнв в 1959 г.), УГМ, УКСМ; антенные противолодочные: неконтактная средняя КСМ (пнв 13.02.1957 г.), ПМ-2 пнв в 1965 г.); плавающие: ПЛТ-5, авиационная АПМ (пнв 10.01.1955 г.), ПЛТ-4М, МНП; реактивно-всплывающие: КРМ (пнв 13.02.1957 г.), РМ-1 (1961), РМ-2 (1963), ПРМ (1968), «Камбала»; диверсионные: МКМ-100, ПКМ-25, МНП; лодочная ПЛТ-6; самотранспортирующиеся МДС, СМДМ-1, СМДМ-2;</w:t>
      </w:r>
      <w:r w:rsidRPr="00271E51">
        <w:rPr>
          <w:rFonts w:ascii="Times New Roman" w:hAnsi="Times New Roman"/>
          <w:iCs/>
          <w:color w:val="000000" w:themeColor="text1"/>
          <w:sz w:val="16"/>
          <w:szCs w:val="16"/>
        </w:rPr>
        <w:t xml:space="preserve"> комплексы:</w:t>
      </w:r>
      <w:r w:rsidRPr="00271E51">
        <w:rPr>
          <w:rFonts w:ascii="Times New Roman" w:hAnsi="Times New Roman"/>
          <w:color w:val="000000" w:themeColor="text1"/>
          <w:sz w:val="16"/>
          <w:szCs w:val="16"/>
        </w:rPr>
        <w:t xml:space="preserve"> минно-ракетные ПМР-1, ПМР-2 (1970-е), ПМР- 2М, МРПК-1; минно-торпедные: ПМТ-1, МТПК-1, МТТТК-2;</w:t>
      </w:r>
      <w:r w:rsidRPr="00271E51">
        <w:rPr>
          <w:rFonts w:ascii="Times New Roman" w:hAnsi="Times New Roman"/>
          <w:iCs/>
          <w:color w:val="000000" w:themeColor="text1"/>
          <w:sz w:val="16"/>
          <w:szCs w:val="16"/>
        </w:rPr>
        <w:t xml:space="preserve"> тралы:</w:t>
      </w:r>
      <w:r w:rsidRPr="00271E51">
        <w:rPr>
          <w:rFonts w:ascii="Times New Roman" w:hAnsi="Times New Roman"/>
          <w:color w:val="000000" w:themeColor="text1"/>
          <w:sz w:val="16"/>
          <w:szCs w:val="16"/>
        </w:rPr>
        <w:t xml:space="preserve"> контактные МТ, БКТ, глубоководный ГКТ- ЗМ; неконтактные ПЭМТ-4, СЭМТ-1, БГАТ, АТ-2; охранители кораблей БОКА-ДУ, шнуровые заряды ШЗ-1 (пнв в 1956 г.), ШЗ-2;</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взрыватели: неконтактные: акустический «КБ» (1944), торпедный НИВ-36 (1945);</w:t>
      </w:r>
      <w:r w:rsidRPr="00271E51">
        <w:rPr>
          <w:rFonts w:ascii="Times New Roman" w:hAnsi="Times New Roman"/>
          <w:color w:val="000000" w:themeColor="text1"/>
          <w:sz w:val="16"/>
          <w:szCs w:val="16"/>
          <w:vertAlign w:val="superscript"/>
        </w:rPr>
        <w:t>61</w:t>
      </w:r>
      <w:r w:rsidRPr="00271E51">
        <w:rPr>
          <w:rFonts w:ascii="Times New Roman" w:hAnsi="Times New Roman"/>
          <w:iCs/>
          <w:color w:val="000000" w:themeColor="text1"/>
          <w:sz w:val="16"/>
          <w:szCs w:val="16"/>
        </w:rPr>
        <w:t xml:space="preserve"> искатели мин:</w:t>
      </w:r>
      <w:r w:rsidRPr="00271E51">
        <w:rPr>
          <w:rFonts w:ascii="Times New Roman" w:hAnsi="Times New Roman"/>
          <w:color w:val="000000" w:themeColor="text1"/>
          <w:sz w:val="16"/>
          <w:szCs w:val="16"/>
        </w:rPr>
        <w:t xml:space="preserve"> обозначители: телевизионные ИТ-1, ИТ-3 (пнв в 1957 г.), электромагнитный И-2 (пнв в 1966 г.); электромагнитный уничтожитель ИУ-1 (пнв в 1959 г.); приборы гидроакустического противодействия МГ-74, МГ- 74МЭ; аппаратурно-приборный модуль для модернизации донных мин АПМ; акустический концентратор рыбы МАКР; устройство для бездоковой очистки подводной части судов «Ёж».</w:t>
      </w:r>
    </w:p>
    <w:p w14:paraId="373075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НПО «Уран»</w:t>
      </w:r>
    </w:p>
    <w:p w14:paraId="59253F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15.10.1973 г. на базе ЦНИИ «Гидроприбор». В него вошли также филиалы института и завод «Двигатель». В 1991 г. НПО распалось на самостоятельные предприятия.</w:t>
      </w:r>
      <w:r w:rsidRPr="00271E51">
        <w:rPr>
          <w:rFonts w:ascii="Times New Roman" w:hAnsi="Times New Roman"/>
          <w:color w:val="000000" w:themeColor="text1"/>
          <w:sz w:val="16"/>
          <w:szCs w:val="16"/>
          <w:vertAlign w:val="superscript"/>
        </w:rPr>
        <w:t>101</w:t>
      </w:r>
    </w:p>
    <w:p w14:paraId="0500EF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Создана малогабаритная самонаводящаяся торпеда (гл. конструктор- В.А. Осипов).</w:t>
      </w:r>
    </w:p>
    <w:p w14:paraId="0FF6C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(1973 г.-)- Р.В. Исаков.</w:t>
      </w:r>
    </w:p>
    <w:p w14:paraId="0A172873" w14:textId="77777777" w:rsidR="00E40F8E"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В.А. Левин.</w:t>
      </w:r>
    </w:p>
    <w:p w14:paraId="357773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НИИ «Гидроприбор» МСП, ФГУП, ОАО «НИИ Морской теплотехники» /188512 (189510)  г. Санкт-Петербург  г. Ломоносов Верхний парк, 1 тел. 422-45-64/</w:t>
      </w:r>
    </w:p>
    <w:p w14:paraId="428B91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НИИ-400 образован в 1948 г. для разработки торпед с тепловыми двигателями (парогазовых).</w:t>
      </w:r>
    </w:p>
    <w:p w14:paraId="7F50D5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1970-80 г. разработаны энергосиловые установки (ЭСУ) торпед на перспективных жидких, твердых и пастообразных топливах, в т.ч. гидрореагирующих.</w:t>
      </w:r>
    </w:p>
    <w:p w14:paraId="5B276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Разрабатывалось также полигонное оборудование для испытания торпед. Были созданы стационарные полигоны с ГАК «Сигнал» на Черном море и «Сигнал-2» на оз. Иссык-Куль. Позднее создан мобильный гидроакустический полигон (МГП) для контроля и записи траектории движения торпед.</w:t>
      </w:r>
    </w:p>
    <w:p w14:paraId="128A63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1991 г. филиал ЦНИИ «Гидроприбор» вышел из состава НПО «Уран» и преобразован в самостоятельный НИИ мортеплотехники. По Указу Президента РФ № 1009 от 4.08.2004 г. вошло в число стратегических оборонных предприятий.</w:t>
      </w:r>
    </w:p>
    <w:p w14:paraId="622ABA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института (2005 г.) испытательный комплекс с имитацией натурных тректорий движения.</w:t>
      </w:r>
    </w:p>
    <w:p w14:paraId="1C53C9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2007 г. предприятие акционировано и вошло в состав концерна «Морское подводное оружие».</w:t>
      </w:r>
    </w:p>
    <w:p w14:paraId="55542B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(1948-70 г.)- М.П. Максимов, (1970-86 г.)- А.А. Панов, (1987-2001 г.)- Л.М. Жуков, (2002-05 г.-&gt;</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Четко,</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(2007 г.)- А. Кабанов.</w:t>
      </w:r>
    </w:p>
    <w:p w14:paraId="190DD1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(2000 г.)- Б. Новиков.</w:t>
      </w:r>
    </w:p>
    <w:p w14:paraId="423C8B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(2000 г.)- Ю. Санников; направления (2000 г.)- Б. Новиков.</w:t>
      </w:r>
    </w:p>
    <w:p w14:paraId="27C2A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маркетинга (2000 г.)- С. Чекулаев; (2000 г.)- 3. Залманов.</w:t>
      </w:r>
    </w:p>
    <w:p w14:paraId="70B985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торпеды:</w:t>
      </w:r>
      <w:r w:rsidRPr="00271E51">
        <w:rPr>
          <w:rFonts w:ascii="Times New Roman" w:hAnsi="Times New Roman"/>
          <w:color w:val="000000" w:themeColor="text1"/>
          <w:sz w:val="16"/>
          <w:szCs w:val="16"/>
        </w:rPr>
        <w:t xml:space="preserve"> тепловые противокорабельные 53-57 (пнв в 1957 г.), 53-61 (пнв в 1961 г.), 53-65 (пнв в 1965 г.), 53-65М (1969), 53-65А (1973); универсальная глубоководная самонаводящаяся УГСТ (2002), УГСТ-М; малогабаритная ПЛ калибра 324 мм с поршневым двигателем на жидком топливе;</w:t>
      </w:r>
      <w:r w:rsidRPr="00271E51">
        <w:rPr>
          <w:rFonts w:ascii="Times New Roman" w:hAnsi="Times New Roman"/>
          <w:iCs/>
          <w:color w:val="000000" w:themeColor="text1"/>
          <w:sz w:val="16"/>
          <w:szCs w:val="16"/>
        </w:rPr>
        <w:t xml:space="preserve"> торпедные двигатели: </w:t>
      </w:r>
      <w:r w:rsidRPr="00271E51">
        <w:rPr>
          <w:rFonts w:ascii="Times New Roman" w:hAnsi="Times New Roman"/>
          <w:color w:val="000000" w:themeColor="text1"/>
          <w:sz w:val="16"/>
          <w:szCs w:val="16"/>
        </w:rPr>
        <w:t>турбинные: Т для 53-57, 2ТФ для 53-61, 2ДТ для 53-65 (1963), экспериментальные ЗДТ (1967), 5ДТ (1970), 7ДТ (1976), 8ДТ (1977), 14ДТ (1980), 16ДТ (1984), 18ДТ (1993); 19ДТ для УГСТ-М; аксиально-поршневой АПД для УГСТ (1995); малогабаритная автоматизированная котельная установка АМКУ.</w:t>
      </w:r>
    </w:p>
    <w:p w14:paraId="1841C5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«Концерн «Морское подводное оружие-Гидроприбор» /194044  г. Санкт-Петербург Б. Сампсониевский пр., 24 тел. 542-96-59/</w:t>
      </w:r>
    </w:p>
    <w:p w14:paraId="2E52E8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Концерн образован по Указу Президента РФ № 133 от 3.02.2004 г. на базе ЦНИИ «Гидроприбор». По Указу Президента РФ № 1009 от 4.08.2004 г. вошло в число стратегических оборонных предприятий. В его состав входили (2007 г.): ЦНИИ «Гидроприбор», «Уралэлемент», Завод «Двигатель», НИИ морской теплотехники, «Дагдизель».</w:t>
      </w:r>
    </w:p>
    <w:p w14:paraId="3DB3C9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(2007 г.)- В.А. Осипов.</w:t>
      </w:r>
    </w:p>
    <w:p w14:paraId="354E98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(2007 г.)- С. Прошкин (11982).</w:t>
      </w:r>
    </w:p>
    <w:p w14:paraId="233D15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545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произошел разлив жидкого хлора на территории московского завода № 93 (в последующем - ГосНИИхлорпроект), массовое отравление людей на заводе и прилегающей территории города (9067).</w:t>
      </w:r>
    </w:p>
    <w:p w14:paraId="3D2D75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050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года, за семь дней до подписания приемного акта на головной катер, адмиралом Л. М. Галлером был утвержден окончательный технический проект. К это</w:t>
      </w:r>
      <w:r w:rsidRPr="00271E51">
        <w:rPr>
          <w:rFonts w:ascii="Times New Roman" w:hAnsi="Times New Roman"/>
          <w:color w:val="000000" w:themeColor="text1"/>
          <w:sz w:val="16"/>
          <w:szCs w:val="16"/>
        </w:rPr>
        <w:softHyphen/>
        <w:t>му времени в постройке находилась вся серия, вскоре доведенная до 20 единиц. Последний морской бронекатер пр. 161 вступил в строй 30 октября 1944 г. Таким образом, построив головной катер за 11 мес., завод завершил создание всех 20 катеров в срок немно</w:t>
      </w:r>
      <w:r w:rsidRPr="00271E51">
        <w:rPr>
          <w:rFonts w:ascii="Times New Roman" w:hAnsi="Times New Roman"/>
          <w:color w:val="000000" w:themeColor="text1"/>
          <w:sz w:val="16"/>
          <w:szCs w:val="16"/>
        </w:rPr>
        <w:softHyphen/>
        <w:t>гим более 2 лет, отдельные серийные морские бронекатера строи</w:t>
      </w:r>
      <w:r w:rsidRPr="00271E51">
        <w:rPr>
          <w:rFonts w:ascii="Times New Roman" w:hAnsi="Times New Roman"/>
          <w:color w:val="000000" w:themeColor="text1"/>
          <w:sz w:val="16"/>
          <w:szCs w:val="16"/>
        </w:rPr>
        <w:softHyphen/>
        <w:t>лись за 3—6 мес. Для постройки этих бронекатеров в условиях бло</w:t>
      </w:r>
      <w:r w:rsidRPr="00271E51">
        <w:rPr>
          <w:rFonts w:ascii="Times New Roman" w:hAnsi="Times New Roman"/>
          <w:color w:val="000000" w:themeColor="text1"/>
          <w:sz w:val="16"/>
          <w:szCs w:val="16"/>
        </w:rPr>
        <w:softHyphen/>
        <w:t>кады пришлось организовать "местную" кооперацию предприятий: насосы на завод 194 поставлял завод им. Второй пятилетки, сцеп</w:t>
      </w:r>
      <w:r w:rsidRPr="00271E51">
        <w:rPr>
          <w:rFonts w:ascii="Times New Roman" w:hAnsi="Times New Roman"/>
          <w:color w:val="000000" w:themeColor="text1"/>
          <w:sz w:val="16"/>
          <w:szCs w:val="16"/>
        </w:rPr>
        <w:softHyphen/>
        <w:t>ные муфты — завод им. Воскова, машинные телеграфы и венти</w:t>
      </w:r>
      <w:r w:rsidRPr="00271E51">
        <w:rPr>
          <w:rFonts w:ascii="Times New Roman" w:hAnsi="Times New Roman"/>
          <w:color w:val="000000" w:themeColor="text1"/>
          <w:sz w:val="16"/>
          <w:szCs w:val="16"/>
        </w:rPr>
        <w:softHyphen/>
        <w:t>ли — мастерские Электротехнического института связи им. Бонч-Бруевича, броню — Ижорский завод, где был создан специальный цех (3898).</w:t>
      </w:r>
    </w:p>
    <w:p w14:paraId="055AD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EF62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4508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D957F"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в 1943 году оперативная сводка Совинформбюро:</w:t>
      </w:r>
    </w:p>
    <w:p w14:paraId="053D0334"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на Киевском направлении наши войска после двухдневных ожесточённых боёв овладели крупным железнодорожным узлом и городом Нежин.</w:t>
      </w:r>
    </w:p>
    <w:p w14:paraId="10B0A21B"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развивали успешное наступление и, продвинувшись вперёд на 10—15 километров, овладели городом Гуляйполе, районным центром Днепропетровской области Покровское, районным центром Запорожской области и станцией Куйбышево, а также заняли свыше 60 других населённых пунктов, в том числе крупные населённые пункты Коломийцы, Равнополь, Вербовое, Новосёлова, Решетиловка, Гайчул, Благовещенка, Белоцерковка, Захарьевка, Стародубовка, Урзуф.</w:t>
      </w:r>
    </w:p>
    <w:p w14:paraId="6347B2D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развивать наступление и, продвинувшись вперёд от 10 до 15 километров, заняли свыше 120 населённых пунктови среди них крупные населённые пункты Ново-Николаевка, Закутневка, Ново-Петровка, Князево, Рождественское, Надеждино, Старые Близнецы, Барбалатово, Николаевка, Александровка, Доброволье, Александрополь и железнодорожные станции Раздолье, Краснопавловка, Близнецы.</w:t>
      </w:r>
    </w:p>
    <w:p w14:paraId="50A48B17"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наши войска, продолжая наступление, овладели городом Дятьково и крупным населённым пунктом Лубохна.</w:t>
      </w:r>
    </w:p>
    <w:p w14:paraId="5378D8E8"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юго-западнее Харькова, продвинулись вперёд от 5 до 8 километров и заняли свыше 20 населённых пунктов, в том числе районный центр Харьковской области Новая Водолага и крупные населённые пункты Старая Водолага, Княжное, Охочае, Мелиховка, Парасковея, Берестовая, Ефремовка.</w:t>
      </w:r>
    </w:p>
    <w:p w14:paraId="5E26172B"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продолжая наступление, заняли несколько населённых пунктов, в том числе районный центр Полтавской области Сенча.</w:t>
      </w:r>
    </w:p>
    <w:p w14:paraId="7653B31F"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продолжая наступление, заняли несколько населённых пунктов.</w:t>
      </w:r>
    </w:p>
    <w:p w14:paraId="040B98B0"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сентября наши войска на всех фронтах подбили и уничтожили 59 немецких танков. В воздушных боях и огнём зенитной артиллерии сбито 80 самолётов противника.</w:t>
      </w:r>
    </w:p>
    <w:p w14:paraId="4BED451E"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овладели крупным железнодорожным узлом и городом Нежин. На подступах к городу немцы создали сильный оборонительный рубежи подтянули сюда свежие части. В течение двух дней происходили ожесточённые бои. На рассвете 15 сентября наши войска овладели железнодорожным узлом и городом Нежин — важнейшим опорным пунктом обороны немцев на пути к Киеву. В результате этой победы советских войск противник лишился последней железнодорожной рокадной магистрали на левобережье Днепра. В бою за Нежин истреблено до 3.000 немецких солдат и офицеров. Захвачены большие трофеи и много пленных.</w:t>
      </w:r>
    </w:p>
    <w:p w14:paraId="68817E0A"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развивали успешное наступление и овладели городом Гуляй Поле, районным центром Днепропетровской области Покровское, районным центром Запорожской области и станцией Куйбышево, а также заняли свыше 60 других населённых пунктов. Попытки немцев контратаками задержать стремительное наступление советских войск закончились разгромом многих пехотных и танковых подразделений противника. За день боёв немцы потеряли только убитыми свыше 2.000 солдат и офицеров. Уничтожено 16 немецких танков и бронетранспортёров, 5 самоходных и 44 полевых орудия. По неполным данным, захвачены 4 исправных танка, 40 орудий разных калибров, 5 складов боеприпасов, 7 складов с продовольствием и военным имуществом. Взято более 300 пленных.</w:t>
      </w:r>
    </w:p>
    <w:p w14:paraId="4ACD4649"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днём и ночью наносила удары по войскам и технике противника. В течение дня советские лётчики в воздушных боях сбили 34 немецких самолёта.</w:t>
      </w:r>
    </w:p>
    <w:p w14:paraId="400E33A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наступление и заняли свыше 120 населённых пунктов. Отряды немецкой пехоты, усиленные танками и самоходными орудиями, опираясь на укреплённые населённые пункты, оказывают упорное сопротивление. Наши бойцы прорываются в тылы противника, дезорганизуют вражескую оборону и истребляют немецкие отряды и гарнизоны. Части Н-ского соединения, отбрасывая противника, уничтожили свыше 1.000 немецких солдат и офицеров. Захвачены большие трофеи, в числе которых 24 орудия, 2 бронетранспортёра, много пулемётов и винтовок.</w:t>
      </w:r>
    </w:p>
    <w:p w14:paraId="7BDFDB3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сломав упорное сопротивление противника, продвинулись вперёд и заняли свыше 20 населённых пунктов. Бойцы Н-ского соединения ворвались в районный центр Харьковской области Новая Водолага и после ожесточённых уличных боёв овладели им. В боях за Новую Водолагу уничтожено до 800 гитлеровцев, подбито и сожжено 12 танков и 5 самоходных орудий. На улицахосталось много брошенного немцами разного вооружения и боеприпасов.</w:t>
      </w:r>
    </w:p>
    <w:p w14:paraId="55EAA9FF"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Прилукском направлении наши войска продолжали продвигаться вперёд. Советские бойцы в ряде мест переправились через реку Сула и тем самым сорвали попытки немцев закрепиться на этом водном рубеже. Части Н-ского соединения на западном берегу реки заняли районный центр Полтавской области Сенча и несколько других населённых пунктов. Захвачены 13 орудий, 2 радиостанции, склад боеприпасов и другие трофеи. Танкисты Н-ской части ворвались в расположение противника и раздавили гусеницами 15 противотанковых орудий.</w:t>
      </w:r>
    </w:p>
    <w:p w14:paraId="268878C6"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фронте наши войска продолжали наступление. Части Н-ского соединения в результате упорных боёв заняли город Дятьково, а также ряд других населённых пунктов. В этих боях уничтожено свыше батальона гитлеровцев. Захвачено много вооружения и боеприпасов. Советские кавалеристы в лесном бою разгромили подразделение противника.</w:t>
      </w:r>
    </w:p>
    <w:p w14:paraId="5C8E154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вели наступательные бои. Севернее Варшавского шоссе части Н-ского соединения, продвигаясь вперёд, подошли к реке Десна. На другом участке наши подразделения заняли два сильно укреплённых опорных пункта противника. В этих боях уничтожено до 400 немецких солдат и офицеров.</w:t>
      </w:r>
    </w:p>
    <w:p w14:paraId="51D40EDA"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крупными силами произвела два налёта на большой аэродром противника. В результате бомбардировок уничтожено и повреждено до 50 немецких самолётов. В воздушных боях над аэродромом сбито 9 немецких истребителей.</w:t>
      </w:r>
    </w:p>
    <w:p w14:paraId="4F4A9FE7"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корабли в Баренцевом море потопили два транспорта противника водоизмещением по 6 тысяч тонн каждый.</w:t>
      </w:r>
    </w:p>
    <w:p w14:paraId="7CE55188"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Краснознамённого Балтийского флота потопили транспорт и повредили тральщик противника.</w:t>
      </w:r>
    </w:p>
    <w:p w14:paraId="0475CED6"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Партизанский отряд, действующий в одном из районов Орловской области, ночью напал на расположение немецкого подразделения. В ожесточённом бою партизаны истребили до роты гитлеровцев, сожгли 60 бочек с бензином, 47 автомашин и 26 мотоциклов. Захвачены трофеи, в том числе 9 пулемётов, 50 винтовок и много различного военного имущества.» (14770).</w:t>
      </w:r>
    </w:p>
    <w:p w14:paraId="368CA81B"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4D19EEC5" w14:textId="77777777" w:rsidR="00A94230" w:rsidRPr="00271E51" w:rsidRDefault="00A94230" w:rsidP="00271E51">
      <w:pPr>
        <w:pStyle w:val="book"/>
        <w:ind w:firstLine="0"/>
        <w:jc w:val="both"/>
        <w:rPr>
          <w:color w:val="000000" w:themeColor="text1"/>
          <w:sz w:val="16"/>
          <w:szCs w:val="16"/>
        </w:rPr>
      </w:pPr>
      <w:r w:rsidRPr="00271E51">
        <w:rPr>
          <w:color w:val="000000" w:themeColor="text1"/>
          <w:sz w:val="16"/>
          <w:szCs w:val="16"/>
        </w:rPr>
        <w:t>15 и 16 сентября 1943 г. в результате действий наших штурмовиков в районе населенного пункта Славянка (35 км западнее Красноармейское) было уничтожено 12 танков и 16 автомашин с войсками; при этом потери противника в живой силе только убитыми достигали 500 человек. Создавшаяся при налёте штурмовиков паника в рядах противника способствовала увеличению потерь; она позволила нашим самолётам безнаказанно производить по нескольку заходов на цель до полного израсходовался боеприпасов (18737).</w:t>
      </w:r>
    </w:p>
    <w:p w14:paraId="76E9E909" w14:textId="77777777" w:rsidR="00A94230" w:rsidRPr="00271E51" w:rsidRDefault="00A94230" w:rsidP="00271E51">
      <w:pPr>
        <w:pStyle w:val="book"/>
        <w:ind w:firstLine="0"/>
        <w:jc w:val="both"/>
        <w:rPr>
          <w:color w:val="000000" w:themeColor="text1"/>
          <w:sz w:val="16"/>
          <w:szCs w:val="16"/>
        </w:rPr>
      </w:pPr>
    </w:p>
    <w:p w14:paraId="069DE69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в 1943 году войска Центрального фронта освободили город Нежин. Началась Смоленско-Рославльская наступательная операция войск Западного фронта (генерал-полковник В.Д.Соколовский), продолжавшаяся до 2 октября. Германское командование отдало приказ об общем отводе войск группы армий «Юг» на линию Мелитополь, река Днепр (оборонительный рубеж «Восточный вал») (14770).</w:t>
      </w:r>
    </w:p>
    <w:p w14:paraId="72A342E2"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7C49BBC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в 1943 году приказ немецкого командования об общем отводе войск группы армий «Юг» на оборонительный рубеж — Восточный вал (14770).</w:t>
      </w:r>
    </w:p>
    <w:p w14:paraId="33B4CB6F"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39ED1F97"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в 1943 году впервые плацдарм под Новороссийском называется "Малой Землей" (14770).</w:t>
      </w:r>
    </w:p>
    <w:p w14:paraId="58E1BB85"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66E3CB1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впервые плацдарм под Новороссийском назван “Малой Землей” (4962).</w:t>
      </w:r>
    </w:p>
    <w:p w14:paraId="4BF2E8C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D9EA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сентября по 2 октября 1943 состоялась Смоленско-Рославльская операция как часть Смоленской операции. Продвинулись на 135-145 км и завершили освобождение Смоленской области (2443,130).</w:t>
      </w:r>
    </w:p>
    <w:p w14:paraId="02FA65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DB6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г. принимается постановление “Об усилении МПВО на ж/д транспорте угрожаемой зоны”, согласно которому при НКПС СССР было организовано самостоятельное управление МПВО НКПС со штатом 55 человек; в управлениях 35 дорог создавались службы МПВО (от 9 до 40 человек), в каждом отделении движения – участки (их всего было 169), на узлах и крупных станциях – штабы МПВО (всего 552 штаба). В результате общая численность формирований МПВО НКПС увеличилась с 76282 до 149360 чел. В 1943 г. на станциях и перегонах было обезврежено 215 авиабомб и 194 артснаряда, лежащих под рельсами. Всего за 1944 год вражеская авиация подвергла бомбардировкам 340 ж/д узлов и станций и 1260 отдельных объектов. Однако, перерывы в движении не превышали 6 часов (9453).</w:t>
      </w:r>
    </w:p>
    <w:p w14:paraId="381F6A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382B3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DDFB1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A773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Постановление ГКО № 4134 [О командировании в Иран группы руководящих работников для ускорения вывоза транзитных грузов для СССР.] (7139, 186,187).</w:t>
      </w:r>
    </w:p>
    <w:p w14:paraId="7BAD27E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1242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вышло Постановление ГКО № 4135 [О назначении Каргина И.В. начальником Советского транспортного управления в Иране.] (7139, 188).</w:t>
      </w:r>
    </w:p>
    <w:p w14:paraId="2434FEF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25AA1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FFBDB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B1BD9"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сентября 1943 немецкая управляемая бомба поражает другой корабль American Liberty у Салерно и он тонет (20376).</w:t>
      </w:r>
    </w:p>
    <w:p w14:paraId="59880489" w14:textId="77777777" w:rsidR="00356A35" w:rsidRPr="00271E51" w:rsidRDefault="00356A35" w:rsidP="00271E51">
      <w:pPr>
        <w:spacing w:after="0" w:line="240" w:lineRule="auto"/>
        <w:jc w:val="both"/>
        <w:rPr>
          <w:rFonts w:ascii="Times New Roman" w:hAnsi="Times New Roman"/>
          <w:color w:val="0070C0"/>
          <w:sz w:val="16"/>
          <w:szCs w:val="16"/>
        </w:rPr>
      </w:pPr>
    </w:p>
    <w:p w14:paraId="5222D828"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15–16 сентября (ночь) 1943 369 британских бомбардировщиков и пять самолетов B-17 Flying Fortress ВВС США совершили успешную атаку на завод Dunlop Rubber в Монлюсоне, Франция, поразив все здания и вызвав большой пожар. Три британских бомбардировщика потеряны (20376).</w:t>
      </w:r>
    </w:p>
    <w:p w14:paraId="1DCB5A6A" w14:textId="77777777" w:rsidR="00356A35" w:rsidRPr="00271E51" w:rsidRDefault="00356A35" w:rsidP="00271E51">
      <w:pPr>
        <w:spacing w:after="0" w:line="240" w:lineRule="auto"/>
        <w:jc w:val="both"/>
        <w:rPr>
          <w:rFonts w:ascii="Times New Roman" w:hAnsi="Times New Roman"/>
          <w:color w:val="0070C0"/>
          <w:sz w:val="16"/>
          <w:szCs w:val="16"/>
        </w:rPr>
      </w:pPr>
    </w:p>
    <w:p w14:paraId="1D584CDB" w14:textId="77777777" w:rsidR="00356A35" w:rsidRPr="00271E51" w:rsidRDefault="00356A3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15–16 сентября (ночь) 1943 восемь Lancasters из No. 617 Squadron сбросили новые HC-класс бомбы весом по 12000 фунтов (5,400 кг). Эту „высокпроизводительную“ бомбу - не следует путать с бомбой „ комод “ 12000 фунтов (5400 кг), которая впервые была применена в 1944 году во время рейда на малой высоте на берегу канала Дортмунд-Эмс недалеко от Ладбергена, Германия. Пять Ланкастеров потеряны, и Королевские военно-воздушные силы прекращают рейды тяжелых бомбардировщиков на малой высоте до конца Второй мировой войны (20376).</w:t>
      </w:r>
    </w:p>
    <w:p w14:paraId="5F8937D0" w14:textId="77777777" w:rsidR="00356A35" w:rsidRPr="00271E51" w:rsidRDefault="00356A35" w:rsidP="00271E51">
      <w:pPr>
        <w:spacing w:after="0" w:line="240" w:lineRule="auto"/>
        <w:jc w:val="both"/>
        <w:rPr>
          <w:rFonts w:ascii="Times New Roman" w:hAnsi="Times New Roman"/>
          <w:color w:val="0070C0"/>
          <w:sz w:val="16"/>
          <w:szCs w:val="16"/>
        </w:rPr>
      </w:pPr>
    </w:p>
    <w:p w14:paraId="5C1AC3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сентября 1943 Б.Муссолини, освобожденный планеристами Скорцени из Гран-Соссо, сформировал новое итальянское правительство, действовавшее на территории Италии, оккупированной немецкими войсками (3186) со столицей в Сало на о Гарда (3481).</w:t>
      </w:r>
    </w:p>
    <w:p w14:paraId="09D424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35DC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28073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86721" w14:textId="77777777" w:rsidR="00A911F6" w:rsidRPr="00271E51" w:rsidRDefault="00A911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сентября 1943 г. на УВЗ была остановлена окончательная сборка бронекорпусов Ил-2. Всего в 1942 г. было выпущено 2 017 бронекорпусов, а в 1943 - еще 1 865. Бронедетали для других самолетов продолжали выпускаться до конца сентября 1943 г., после чего вся оснастка была либо законсервирована и отправлена на склады или другие заводы (18250).</w:t>
      </w:r>
    </w:p>
    <w:p w14:paraId="22C93209" w14:textId="77777777" w:rsidR="00A911F6" w:rsidRPr="00271E51" w:rsidRDefault="00A911F6" w:rsidP="00271E51">
      <w:pPr>
        <w:spacing w:after="0" w:line="240" w:lineRule="auto"/>
        <w:jc w:val="both"/>
        <w:rPr>
          <w:rFonts w:ascii="Times New Roman" w:hAnsi="Times New Roman"/>
          <w:color w:val="000000" w:themeColor="text1"/>
          <w:sz w:val="16"/>
          <w:szCs w:val="16"/>
        </w:rPr>
      </w:pPr>
    </w:p>
    <w:p w14:paraId="1B913CF8" w14:textId="77777777" w:rsidR="00A911F6" w:rsidRPr="00271E51" w:rsidRDefault="00A911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сентября 1943 г. была остановлена окончательная сборка бронекорпусов Ил-2 на УВЗ. Всего в 1942 г. было выпущено 2 017 бронекорпусов, а в 1943 - еще 1 865. Бронедетали для других самолетов продолжали выпускаться до конца сентября 1943 г., после чего вся остнастка была либо за- консервирована и отправлена на склады или другие заводы (19535).</w:t>
      </w:r>
    </w:p>
    <w:p w14:paraId="2DDCA453" w14:textId="77777777" w:rsidR="00A911F6" w:rsidRPr="00271E51" w:rsidRDefault="00A911F6" w:rsidP="00271E51">
      <w:pPr>
        <w:spacing w:after="0" w:line="240" w:lineRule="auto"/>
        <w:jc w:val="both"/>
        <w:rPr>
          <w:rFonts w:ascii="Times New Roman" w:hAnsi="Times New Roman"/>
          <w:color w:val="000000" w:themeColor="text1"/>
          <w:sz w:val="16"/>
          <w:szCs w:val="16"/>
        </w:rPr>
      </w:pPr>
    </w:p>
    <w:p w14:paraId="0498E0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сентября 1943 г. испытания «Омеги» пришлось прервать в связи с реэвакуацией МАИ в Москву. По возвращении в столицу И.П.Братухину вновь пришлось восстанавливать ОКБ-3 и опытную машину, но перспективы дальнейшего развития отечественного вертолетостроения в условиях учебного заведения были ограничены. Это понимали не только конструкторы. К началу 1944 г. ВВС Советской Армии были уже хорошо оснащены всей необходимой боевой техникой основных классов. Поэтому командование ВВС и руководство авиационной промышленности СССР смогли обратить внимание и на освоение принципиально новых видов авиационной техники. Руководство Наркомата авиационной промышленности решило принять ОКБ-3 в свою систему и разместить его на «Территории №2» бывшей мебельной фабрики между 2-й и 3-й Рыбинскими улицами (11242).</w:t>
      </w:r>
    </w:p>
    <w:p w14:paraId="77F386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EAD42" w14:textId="77777777" w:rsidR="0050572A"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4F99937" w14:textId="77777777" w:rsidR="0050572A" w:rsidRPr="00271E51" w:rsidRDefault="0050572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779D75" w14:textId="77777777" w:rsidR="0050572A" w:rsidRPr="00271E51" w:rsidRDefault="0050572A"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 середине сентября 1943 года под руководством Талейсника была разработана самоходная установка СУ-85И. Создавалась она на основе СУ-76И с командирской башенкой. Изображений СУ-85И не сохранилось, но описания вполне достаточно для того, чтобы представить её конструкцию. Вместо системы С-1 она вооружалась пушкой Д-5С-85, причём бронировка системы оставалась максимально похожей на бронировку у </w:t>
      </w:r>
      <w:hyperlink r:id="rId96" w:history="1">
        <w:r w:rsidRPr="00271E51">
          <w:rPr>
            <w:rStyle w:val="a5"/>
            <w:color w:val="000000" w:themeColor="text1"/>
            <w:sz w:val="16"/>
            <w:szCs w:val="16"/>
            <w:u w:val="none"/>
          </w:rPr>
          <w:t>СУ-85</w:t>
        </w:r>
      </w:hyperlink>
      <w:r w:rsidRPr="00271E51">
        <w:rPr>
          <w:color w:val="000000" w:themeColor="text1"/>
          <w:sz w:val="16"/>
          <w:szCs w:val="16"/>
        </w:rPr>
        <w:t>. Командирскую башенку конструкторы сместили назад на 145 мм. Самое интересное, что боевая масса СУ-85И, согласно расчётам, должна была составить 21,98 тонн, то есть меньше, чем у СУ-76И. Этот парадокс объясняется просто: масса С-1 с бронировками составляла 2900 кг, а Д-5С-85 — 2100 кг. Меньше весил и боекомплект из 58 патронов калибра 85 мм. Проект выглядел весьма привлекательно, но дальше эскизов работа над ним не продвинулась (18090).</w:t>
      </w:r>
    </w:p>
    <w:p w14:paraId="15E0807A" w14:textId="77777777" w:rsidR="0050572A" w:rsidRPr="00271E51" w:rsidRDefault="0050572A" w:rsidP="00271E51">
      <w:pPr>
        <w:shd w:val="clear" w:color="auto" w:fill="FFFFFF"/>
        <w:spacing w:after="0" w:line="240" w:lineRule="auto"/>
        <w:jc w:val="both"/>
        <w:rPr>
          <w:rFonts w:ascii="Times New Roman" w:hAnsi="Times New Roman"/>
          <w:noProof/>
          <w:color w:val="000000" w:themeColor="text1"/>
          <w:sz w:val="16"/>
          <w:szCs w:val="16"/>
          <w:lang w:eastAsia="ru-RU"/>
        </w:rPr>
      </w:pPr>
    </w:p>
    <w:p w14:paraId="60AD7C2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A8172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046D80"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 16 сентября 1943 г. самолет Ил-2 с АМ-38 с пушками Ш-45 ОКБ-15 находился в НИИ АВ ВВС на совместных заводских испытаниях. Однако ис</w:t>
      </w:r>
      <w:r w:rsidRPr="00271E51">
        <w:rPr>
          <w:color w:val="000000" w:themeColor="text1"/>
          <w:sz w:val="16"/>
          <w:szCs w:val="16"/>
        </w:rPr>
        <w:softHyphen/>
        <w:t>пытания затянулись по причине низкой живучести пушки, особенно ее затвора.</w:t>
      </w:r>
    </w:p>
    <w:p w14:paraId="6BE997BF"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Тем временем пушка Ш-45 в моторном варианте исполнения (МПШ-45) была установлена на серий</w:t>
      </w:r>
      <w:r w:rsidRPr="00271E51">
        <w:rPr>
          <w:color w:val="000000" w:themeColor="text1"/>
          <w:sz w:val="16"/>
          <w:szCs w:val="16"/>
        </w:rPr>
        <w:softHyphen/>
        <w:t>ный самолет Як-9т зав. № 01-64 производства заво</w:t>
      </w:r>
      <w:r w:rsidRPr="00271E51">
        <w:rPr>
          <w:color w:val="000000" w:themeColor="text1"/>
          <w:sz w:val="16"/>
          <w:szCs w:val="16"/>
        </w:rPr>
        <w:softHyphen/>
        <w:t>да № 153 и проходила государственные испытания в НИИ АВ. Ответственным исполнителем по испы таниям был старший техник-лейтенант Л. А. Гурьев. Акт по результатам испытаний утвержден началь</w:t>
      </w:r>
      <w:r w:rsidRPr="00271E51">
        <w:rPr>
          <w:color w:val="000000" w:themeColor="text1"/>
          <w:sz w:val="16"/>
          <w:szCs w:val="16"/>
        </w:rPr>
        <w:softHyphen/>
        <w:t>ником института генерал-майором М. В. Гуревичем 15 декабря.</w:t>
      </w:r>
    </w:p>
    <w:p w14:paraId="7B6F68D4"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Боекомплект к пушке включал 20 снарядов. Для снижения веса ствол пушки был сделан более тон</w:t>
      </w:r>
      <w:r w:rsidRPr="00271E51">
        <w:rPr>
          <w:color w:val="000000" w:themeColor="text1"/>
          <w:sz w:val="16"/>
          <w:szCs w:val="16"/>
        </w:rPr>
        <w:softHyphen/>
        <w:t>ким, изъят дульный тормоз, на 11,8 кг уменьшен вес ствольной коробки. Радиальный зазор между стволом пушки и внутренней стенкой вала мотора составлял всего лишь 0,91 мм. Вес пушки с проти</w:t>
      </w:r>
      <w:r w:rsidRPr="00271E51">
        <w:rPr>
          <w:color w:val="000000" w:themeColor="text1"/>
          <w:sz w:val="16"/>
          <w:szCs w:val="16"/>
        </w:rPr>
        <w:softHyphen/>
        <w:t>вооткатным механизмом равнялся 190,5 кг, без не</w:t>
      </w:r>
      <w:r w:rsidRPr="00271E51">
        <w:rPr>
          <w:color w:val="000000" w:themeColor="text1"/>
          <w:sz w:val="16"/>
          <w:szCs w:val="16"/>
        </w:rPr>
        <w:softHyphen/>
        <w:t>го — 158,5 кг. Средний темп стрельбы составлял 227 выстр./мин.</w:t>
      </w:r>
    </w:p>
    <w:p w14:paraId="7C158353"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Акте указывалось, что пушка Ш-45 испытания не выдержала ввиду недостаточной надежности ав</w:t>
      </w:r>
      <w:r w:rsidRPr="00271E51">
        <w:rPr>
          <w:color w:val="000000" w:themeColor="text1"/>
          <w:sz w:val="16"/>
          <w:szCs w:val="16"/>
        </w:rPr>
        <w:softHyphen/>
        <w:t>томатики и низкой живучести деталей пушки, осо</w:t>
      </w:r>
      <w:r w:rsidRPr="00271E51">
        <w:rPr>
          <w:color w:val="000000" w:themeColor="text1"/>
          <w:sz w:val="16"/>
          <w:szCs w:val="16"/>
        </w:rPr>
        <w:softHyphen/>
        <w:t>бенно ее затвора. Рекомендовалось доработанный образец пушки установить на самолет Ил-2 и на нем провести государственные испытания.</w:t>
      </w:r>
    </w:p>
    <w:p w14:paraId="605C0029"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Одновременно с пушкой Ш-45 на самолете Як-9т зав. № 01-64 проходили государственные испыта</w:t>
      </w:r>
      <w:r w:rsidRPr="00271E51">
        <w:rPr>
          <w:color w:val="000000" w:themeColor="text1"/>
          <w:sz w:val="16"/>
          <w:szCs w:val="16"/>
        </w:rPr>
        <w:softHyphen/>
        <w:t>ния и опытные снаряды БТ-45 и ОЗТ-45.</w:t>
      </w:r>
    </w:p>
    <w:p w14:paraId="447F0C38"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Оказалось, что разрушительное и зажигатель</w:t>
      </w:r>
      <w:r w:rsidRPr="00271E51">
        <w:rPr>
          <w:color w:val="000000" w:themeColor="text1"/>
          <w:sz w:val="16"/>
          <w:szCs w:val="16"/>
        </w:rPr>
        <w:softHyphen/>
        <w:t>ное действие 45-мм снаряда ОЗТ-45 в 1,5—2 раза выше по сравнению с эффектом, который давал снаряд калибра 37 мм этого типа. Стреляли по пло</w:t>
      </w:r>
      <w:r w:rsidRPr="00271E51">
        <w:rPr>
          <w:color w:val="000000" w:themeColor="text1"/>
          <w:sz w:val="16"/>
          <w:szCs w:val="16"/>
        </w:rPr>
        <w:softHyphen/>
        <w:t>скостям, бензобакам и моторам немецких самоле</w:t>
      </w:r>
      <w:r w:rsidRPr="00271E51">
        <w:rPr>
          <w:color w:val="000000" w:themeColor="text1"/>
          <w:sz w:val="16"/>
          <w:szCs w:val="16"/>
        </w:rPr>
        <w:softHyphen/>
        <w:t xml:space="preserve">тов </w:t>
      </w:r>
      <w:r w:rsidRPr="00271E51">
        <w:rPr>
          <w:color w:val="000000" w:themeColor="text1"/>
          <w:sz w:val="16"/>
          <w:szCs w:val="16"/>
          <w:lang w:val="en-US"/>
        </w:rPr>
        <w:t>Ju</w:t>
      </w:r>
      <w:r w:rsidRPr="00271E51">
        <w:rPr>
          <w:color w:val="000000" w:themeColor="text1"/>
          <w:sz w:val="16"/>
          <w:szCs w:val="16"/>
        </w:rPr>
        <w:t xml:space="preserve">87 и </w:t>
      </w:r>
      <w:r w:rsidRPr="00271E51">
        <w:rPr>
          <w:color w:val="000000" w:themeColor="text1"/>
          <w:sz w:val="16"/>
          <w:szCs w:val="16"/>
          <w:lang w:val="en-US"/>
        </w:rPr>
        <w:t>Bf</w:t>
      </w:r>
      <w:r w:rsidRPr="00271E51">
        <w:rPr>
          <w:color w:val="000000" w:themeColor="text1"/>
          <w:sz w:val="16"/>
          <w:szCs w:val="16"/>
        </w:rPr>
        <w:t>109. При попадании ОЗТ-45 в протек- тированные баки, наполовину заполненные бен</w:t>
      </w:r>
      <w:r w:rsidRPr="00271E51">
        <w:rPr>
          <w:color w:val="000000" w:themeColor="text1"/>
          <w:sz w:val="16"/>
          <w:szCs w:val="16"/>
        </w:rPr>
        <w:softHyphen/>
        <w:t>зином, они легко воспламенялись или взрывались. Попадание такого снаряда в мотор во всех случаях выводило его из строя без возможности восстанов</w:t>
      </w:r>
      <w:r w:rsidRPr="00271E51">
        <w:rPr>
          <w:color w:val="000000" w:themeColor="text1"/>
          <w:sz w:val="16"/>
          <w:szCs w:val="16"/>
        </w:rPr>
        <w:softHyphen/>
        <w:t>ления. Площадь разрушения при попадании в кры</w:t>
      </w:r>
      <w:r w:rsidRPr="00271E51">
        <w:rPr>
          <w:color w:val="000000" w:themeColor="text1"/>
          <w:sz w:val="16"/>
          <w:szCs w:val="16"/>
        </w:rPr>
        <w:softHyphen/>
        <w:t>ло самолета достигала 0,8—1,0 м</w:t>
      </w:r>
      <w:r w:rsidRPr="00271E51">
        <w:rPr>
          <w:color w:val="000000" w:themeColor="text1"/>
          <w:sz w:val="16"/>
          <w:szCs w:val="16"/>
          <w:vertAlign w:val="superscript"/>
        </w:rPr>
        <w:t>2</w:t>
      </w:r>
      <w:r w:rsidRPr="00271E51">
        <w:rPr>
          <w:color w:val="000000" w:themeColor="text1"/>
          <w:sz w:val="16"/>
          <w:szCs w:val="16"/>
        </w:rPr>
        <w:t>.</w:t>
      </w:r>
    </w:p>
    <w:p w14:paraId="5904ACB0"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бронебойный снаряд БТ-45 с дис</w:t>
      </w:r>
      <w:r w:rsidRPr="00271E51">
        <w:rPr>
          <w:color w:val="000000" w:themeColor="text1"/>
          <w:sz w:val="16"/>
          <w:szCs w:val="16"/>
        </w:rPr>
        <w:softHyphen/>
        <w:t>танции 400 м не пробивал 30-мм немецкую танко</w:t>
      </w:r>
      <w:r w:rsidRPr="00271E51">
        <w:rPr>
          <w:color w:val="000000" w:themeColor="text1"/>
          <w:sz w:val="16"/>
          <w:szCs w:val="16"/>
        </w:rPr>
        <w:softHyphen/>
        <w:t>вую броню при угле встречи 30—40°, тогда 37-мм бронебойный снаряд к пушке Ш-37 в этих же усло</w:t>
      </w:r>
      <w:r w:rsidRPr="00271E51">
        <w:rPr>
          <w:color w:val="000000" w:themeColor="text1"/>
          <w:sz w:val="16"/>
          <w:szCs w:val="16"/>
        </w:rPr>
        <w:softHyphen/>
        <w:t>виях такую броню пробивал. Начальная скорость БТ-45 составляла 806—820 м/с, а БТ-37 — 880 м/с.</w:t>
      </w:r>
    </w:p>
    <w:p w14:paraId="2361CECE"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основании результатов стрельб был сделан вывод, что авиационный бронебойный снаряд БТ-45 калибра 45 мм государственные испытания не прошел, в то время как осколочно-зажигатель- но-трассирующий снаряд ОЗТ-45 их выдержал (17500).</w:t>
      </w:r>
    </w:p>
    <w:p w14:paraId="7A4779C4" w14:textId="77777777" w:rsidR="0050572A" w:rsidRPr="00271E51" w:rsidRDefault="0050572A" w:rsidP="00271E51">
      <w:pPr>
        <w:spacing w:after="0" w:line="240" w:lineRule="auto"/>
        <w:jc w:val="both"/>
        <w:rPr>
          <w:rFonts w:ascii="Times New Roman" w:hAnsi="Times New Roman"/>
          <w:color w:val="000000" w:themeColor="text1"/>
          <w:sz w:val="16"/>
          <w:szCs w:val="16"/>
        </w:rPr>
      </w:pPr>
    </w:p>
    <w:p w14:paraId="231758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г. совместным приказом Наркома авиапромышленности А.И.Шахурина и Главного инженера ВВС КА А.К.Репина № 551/0200 была назначена Государственная комиссия для проведения испытаний мотора АМ-42 (9649).</w:t>
      </w:r>
    </w:p>
    <w:p w14:paraId="51AEE4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того, что в АМ-42 были внесены существенные конструктивные изменения по сравнению с мотором, первоначально предъявленным на государственные испытания, Госкомиссия посчитала необходимым вначале провести по специально разработанной программе предварительные длительные испытания тех конструктивных узлов мотора, которые переделывались заново (например, всасывающая система, поршневая группа и т. д.), и длительные внутризаводские испытания самого мотора на надежность с новыми деталями и только после этого допустить мотор к государственным испытаниям уже по нормальной программе.</w:t>
      </w:r>
    </w:p>
    <w:p w14:paraId="3D78A4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Сточасовые внутризаводские испытания АМ-42 успешно закончились лишь 23 декабря 1943 г. В этой связи первый опытный штурмовик Ил-8 с мотором АМ-42 был передан на государственные испытания только в феврале 1944 г. (9649).</w:t>
      </w:r>
    </w:p>
    <w:p w14:paraId="584316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17C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г. в письме на имя Г. М. Маленкова и А. И. Шахурина командующий ВВС Красной Армии маршал А. А. Новиков указы</w:t>
      </w:r>
      <w:r w:rsidRPr="00271E51">
        <w:rPr>
          <w:rFonts w:ascii="Times New Roman" w:hAnsi="Times New Roman"/>
          <w:color w:val="000000" w:themeColor="text1"/>
          <w:sz w:val="16"/>
          <w:szCs w:val="16"/>
        </w:rPr>
        <w:softHyphen/>
        <w:t>вал: "...Считаем необходимым, запу</w:t>
      </w:r>
      <w:r w:rsidRPr="00271E51">
        <w:rPr>
          <w:rFonts w:ascii="Times New Roman" w:hAnsi="Times New Roman"/>
          <w:color w:val="000000" w:themeColor="text1"/>
          <w:sz w:val="16"/>
          <w:szCs w:val="16"/>
        </w:rPr>
        <w:softHyphen/>
        <w:t>стить в серийное производство са</w:t>
      </w:r>
      <w:r w:rsidRPr="00271E51">
        <w:rPr>
          <w:rFonts w:ascii="Times New Roman" w:hAnsi="Times New Roman"/>
          <w:color w:val="000000" w:themeColor="text1"/>
          <w:sz w:val="16"/>
          <w:szCs w:val="16"/>
        </w:rPr>
        <w:softHyphen/>
        <w:t>молет Су-6 на одном из заводов НКАП (завод № 30), взамен само</w:t>
      </w:r>
      <w:r w:rsidRPr="00271E51">
        <w:rPr>
          <w:rFonts w:ascii="Times New Roman" w:hAnsi="Times New Roman"/>
          <w:color w:val="000000" w:themeColor="text1"/>
          <w:sz w:val="16"/>
          <w:szCs w:val="16"/>
        </w:rPr>
        <w:softHyphen/>
        <w:t>лета Ил-2 АМ-38ф, одновременно форсировать внедрение в серию мотора М-71ф. До выхода серийных моторов М-71ф, возможно выпускать самолет с мотором М-71" (11427).</w:t>
      </w:r>
    </w:p>
    <w:p w14:paraId="1FA0F3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9E2EF4" w14:textId="77777777" w:rsidR="00060D5D" w:rsidRPr="00271E51" w:rsidRDefault="00060D5D" w:rsidP="00271E51">
      <w:pPr>
        <w:spacing w:after="0" w:line="240" w:lineRule="auto"/>
        <w:jc w:val="both"/>
        <w:rPr>
          <w:rFonts w:ascii="Times New Roman" w:hAnsi="Times New Roman"/>
          <w:i/>
          <w:iCs/>
          <w:strike/>
          <w:color w:val="0070C0"/>
          <w:sz w:val="16"/>
          <w:szCs w:val="16"/>
        </w:rPr>
      </w:pPr>
      <w:r w:rsidRPr="00271E51">
        <w:rPr>
          <w:rStyle w:val="145"/>
          <w:rFonts w:ascii="Times New Roman" w:hAnsi="Times New Roman" w:cs="Times New Roman"/>
          <w:i w:val="0"/>
          <w:iCs w:val="0"/>
          <w:strike w:val="0"/>
          <w:color w:val="0070C0"/>
          <w:sz w:val="16"/>
          <w:szCs w:val="16"/>
          <w:u w:val="none"/>
        </w:rPr>
        <w:t>16 сентября 1943 г. в письме на имя секретаря ЦК ВКП(б) Маленкова и наркома авиапромышлен</w:t>
      </w:r>
      <w:r w:rsidRPr="00271E51">
        <w:rPr>
          <w:rStyle w:val="145"/>
          <w:rFonts w:ascii="Times New Roman" w:hAnsi="Times New Roman" w:cs="Times New Roman"/>
          <w:i w:val="0"/>
          <w:iCs w:val="0"/>
          <w:strike w:val="0"/>
          <w:color w:val="0070C0"/>
          <w:sz w:val="16"/>
          <w:szCs w:val="16"/>
          <w:u w:val="none"/>
        </w:rPr>
        <w:softHyphen/>
        <w:t>ности Шахурина от за подписью командующего ВВС КА мар</w:t>
      </w:r>
      <w:r w:rsidRPr="00271E51">
        <w:rPr>
          <w:rStyle w:val="145"/>
          <w:rFonts w:ascii="Times New Roman" w:hAnsi="Times New Roman" w:cs="Times New Roman"/>
          <w:i w:val="0"/>
          <w:iCs w:val="0"/>
          <w:strike w:val="0"/>
          <w:color w:val="0070C0"/>
          <w:sz w:val="16"/>
          <w:szCs w:val="16"/>
          <w:u w:val="none"/>
        </w:rPr>
        <w:softHyphen/>
        <w:t>шала Новикова, члена Военного Со</w:t>
      </w:r>
      <w:r w:rsidRPr="00271E51">
        <w:rPr>
          <w:rStyle w:val="145"/>
          <w:rFonts w:ascii="Times New Roman" w:hAnsi="Times New Roman" w:cs="Times New Roman"/>
          <w:i w:val="0"/>
          <w:iCs w:val="0"/>
          <w:strike w:val="0"/>
          <w:color w:val="0070C0"/>
          <w:sz w:val="16"/>
          <w:szCs w:val="16"/>
          <w:u w:val="none"/>
        </w:rPr>
        <w:softHyphen/>
        <w:t>вета ВВС генерал-лейтенанта Шиманова (он же начальник авиационного отдела ЦК ВКП(б)) и главного инженера ВВС генерал-полковника Репина указывалось:</w:t>
      </w:r>
      <w:r w:rsidRPr="00271E51">
        <w:rPr>
          <w:rStyle w:val="145"/>
          <w:rFonts w:ascii="Times New Roman" w:hAnsi="Times New Roman" w:cs="Times New Roman"/>
          <w:color w:val="0070C0"/>
          <w:sz w:val="16"/>
          <w:szCs w:val="16"/>
          <w:u w:val="none"/>
        </w:rPr>
        <w:t xml:space="preserve"> </w:t>
      </w:r>
      <w:r w:rsidRPr="00271E51">
        <w:rPr>
          <w:rFonts w:ascii="Times New Roman" w:hAnsi="Times New Roman"/>
          <w:color w:val="0070C0"/>
          <w:sz w:val="16"/>
          <w:szCs w:val="16"/>
        </w:rPr>
        <w:t>«В НИИ ВВС КА успешно прошел государ</w:t>
      </w:r>
      <w:r w:rsidRPr="00271E51">
        <w:rPr>
          <w:rFonts w:ascii="Times New Roman" w:hAnsi="Times New Roman"/>
          <w:color w:val="0070C0"/>
          <w:sz w:val="16"/>
          <w:szCs w:val="16"/>
        </w:rPr>
        <w:softHyphen/>
        <w:t>ственные испытания опытный двухмест</w:t>
      </w:r>
      <w:r w:rsidRPr="00271E51">
        <w:rPr>
          <w:rFonts w:ascii="Times New Roman" w:hAnsi="Times New Roman"/>
          <w:color w:val="0070C0"/>
          <w:sz w:val="16"/>
          <w:szCs w:val="16"/>
        </w:rPr>
        <w:softHyphen/>
        <w:t>ный бронированный штурмовик Су-6 с мо</w:t>
      </w:r>
      <w:r w:rsidRPr="00271E51">
        <w:rPr>
          <w:rFonts w:ascii="Times New Roman" w:hAnsi="Times New Roman"/>
          <w:color w:val="0070C0"/>
          <w:sz w:val="16"/>
          <w:szCs w:val="16"/>
        </w:rPr>
        <w:softHyphen/>
        <w:t>тором М-71ф конструкции тов. Сухого. Самолет Су-6 смешанной конструкции: центроплан и стабилизатор металличе</w:t>
      </w:r>
      <w:r w:rsidRPr="00271E51">
        <w:rPr>
          <w:rFonts w:ascii="Times New Roman" w:hAnsi="Times New Roman"/>
          <w:color w:val="0070C0"/>
          <w:sz w:val="16"/>
          <w:szCs w:val="16"/>
        </w:rPr>
        <w:softHyphen/>
        <w:t>ские, хвостовая часть фюзеляжа, киль и консоли крыла, за исключением лонжеро</w:t>
      </w:r>
      <w:r w:rsidRPr="00271E51">
        <w:rPr>
          <w:rFonts w:ascii="Times New Roman" w:hAnsi="Times New Roman"/>
          <w:color w:val="0070C0"/>
          <w:sz w:val="16"/>
          <w:szCs w:val="16"/>
        </w:rPr>
        <w:softHyphen/>
        <w:t>нов, - деревянные. На самолете брониро</w:t>
      </w:r>
      <w:r w:rsidRPr="00271E51">
        <w:rPr>
          <w:rFonts w:ascii="Times New Roman" w:hAnsi="Times New Roman"/>
          <w:color w:val="0070C0"/>
          <w:sz w:val="16"/>
          <w:szCs w:val="16"/>
        </w:rPr>
        <w:softHyphen/>
        <w:t>ваны: кабины летчика и стрелка, бензобак, агрегаты мотора, маслобак и маслорадиаторы./.../ По летным данным самолет Су-6 значительно превосходит находя</w:t>
      </w:r>
      <w:r w:rsidRPr="00271E51">
        <w:rPr>
          <w:rFonts w:ascii="Times New Roman" w:hAnsi="Times New Roman"/>
          <w:color w:val="0070C0"/>
          <w:sz w:val="16"/>
          <w:szCs w:val="16"/>
        </w:rPr>
        <w:softHyphen/>
        <w:t>щийся на вооружении штурмовой самолет Ил-2 с мотором АМ-58ф./.../ Взлетные данные самолета Су-6 с М-71ф практически одинаковы с самолетом Ил-2 с АМ-38ф. Тактические испытания самолета Су-6 по</w:t>
      </w:r>
      <w:r w:rsidRPr="00271E51">
        <w:rPr>
          <w:rFonts w:ascii="Times New Roman" w:hAnsi="Times New Roman"/>
          <w:color w:val="0070C0"/>
          <w:sz w:val="16"/>
          <w:szCs w:val="16"/>
        </w:rPr>
        <w:softHyphen/>
        <w:t>казали, что сравнительно большие гори</w:t>
      </w:r>
      <w:r w:rsidRPr="00271E51">
        <w:rPr>
          <w:rFonts w:ascii="Times New Roman" w:hAnsi="Times New Roman"/>
          <w:color w:val="0070C0"/>
          <w:sz w:val="16"/>
          <w:szCs w:val="16"/>
        </w:rPr>
        <w:softHyphen/>
        <w:t>зонтальные скорости, оборонительное вооружение и бронирование экипажа по</w:t>
      </w:r>
      <w:r w:rsidRPr="00271E51">
        <w:rPr>
          <w:rFonts w:ascii="Times New Roman" w:hAnsi="Times New Roman"/>
          <w:color w:val="0070C0"/>
          <w:sz w:val="16"/>
          <w:szCs w:val="16"/>
        </w:rPr>
        <w:softHyphen/>
        <w:t>зволяют ему лучше в сравнении с самоле</w:t>
      </w:r>
      <w:r w:rsidRPr="00271E51">
        <w:rPr>
          <w:rFonts w:ascii="Times New Roman" w:hAnsi="Times New Roman"/>
          <w:color w:val="0070C0"/>
          <w:sz w:val="16"/>
          <w:szCs w:val="16"/>
        </w:rPr>
        <w:softHyphen/>
        <w:t>том Ил-2, защищаться от атак истреби</w:t>
      </w:r>
      <w:r w:rsidRPr="00271E51">
        <w:rPr>
          <w:rFonts w:ascii="Times New Roman" w:hAnsi="Times New Roman"/>
          <w:color w:val="0070C0"/>
          <w:sz w:val="16"/>
          <w:szCs w:val="16"/>
        </w:rPr>
        <w:softHyphen/>
        <w:t>телей противника. В эксплоатации само</w:t>
      </w:r>
      <w:r w:rsidRPr="00271E51">
        <w:rPr>
          <w:rFonts w:ascii="Times New Roman" w:hAnsi="Times New Roman"/>
          <w:color w:val="0070C0"/>
          <w:sz w:val="16"/>
          <w:szCs w:val="16"/>
        </w:rPr>
        <w:softHyphen/>
        <w:t>лет Су-6 несложен, по технике пилотиро</w:t>
      </w:r>
      <w:r w:rsidRPr="00271E51">
        <w:rPr>
          <w:rFonts w:ascii="Times New Roman" w:hAnsi="Times New Roman"/>
          <w:color w:val="0070C0"/>
          <w:sz w:val="16"/>
          <w:szCs w:val="16"/>
        </w:rPr>
        <w:softHyphen/>
        <w:t>вания приближается к истребителю типа Ла-5. Считаем необходимым, запустить в серийное производство самолет Су-6 на одном из заводов НКАП (завод №50), вза</w:t>
      </w:r>
      <w:r w:rsidRPr="00271E51">
        <w:rPr>
          <w:rFonts w:ascii="Times New Roman" w:hAnsi="Times New Roman"/>
          <w:color w:val="0070C0"/>
          <w:sz w:val="16"/>
          <w:szCs w:val="16"/>
        </w:rPr>
        <w:softHyphen/>
        <w:t>мен самолета Ил-2 АМ-58ф, одновре</w:t>
      </w:r>
      <w:r w:rsidRPr="00271E51">
        <w:rPr>
          <w:rFonts w:ascii="Times New Roman" w:hAnsi="Times New Roman"/>
          <w:color w:val="0070C0"/>
          <w:sz w:val="16"/>
          <w:szCs w:val="16"/>
        </w:rPr>
        <w:softHyphen/>
        <w:t>менно форсировав внедрение в серию мо</w:t>
      </w:r>
      <w:r w:rsidRPr="00271E51">
        <w:rPr>
          <w:rFonts w:ascii="Times New Roman" w:hAnsi="Times New Roman"/>
          <w:color w:val="0070C0"/>
          <w:sz w:val="16"/>
          <w:szCs w:val="16"/>
        </w:rPr>
        <w:softHyphen/>
        <w:t>тора М-71ф.До выхода серийных мото</w:t>
      </w:r>
      <w:r w:rsidRPr="00271E51">
        <w:rPr>
          <w:rFonts w:ascii="Times New Roman" w:hAnsi="Times New Roman"/>
          <w:color w:val="0070C0"/>
          <w:sz w:val="16"/>
          <w:szCs w:val="16"/>
        </w:rPr>
        <w:softHyphen/>
        <w:t>ров М-71ф, считаем возможным самолет Су-6 выпускать с мотором М-71. Просим рассмотреть наше предложение».</w:t>
      </w:r>
      <w:r w:rsidRPr="00271E51">
        <w:rPr>
          <w:rStyle w:val="145"/>
          <w:rFonts w:ascii="Times New Roman" w:hAnsi="Times New Roman" w:cs="Times New Roman"/>
          <w:color w:val="0070C0"/>
          <w:sz w:val="16"/>
          <w:szCs w:val="16"/>
          <w:u w:val="none"/>
        </w:rPr>
        <w:t xml:space="preserve"> </w:t>
      </w:r>
      <w:r w:rsidRPr="00271E51">
        <w:rPr>
          <w:rStyle w:val="145"/>
          <w:rFonts w:ascii="Times New Roman" w:hAnsi="Times New Roman" w:cs="Times New Roman"/>
          <w:i w:val="0"/>
          <w:iCs w:val="0"/>
          <w:strike w:val="0"/>
          <w:color w:val="0070C0"/>
          <w:sz w:val="16"/>
          <w:szCs w:val="16"/>
          <w:u w:val="none"/>
        </w:rPr>
        <w:t>Как из</w:t>
      </w:r>
      <w:r w:rsidRPr="00271E51">
        <w:rPr>
          <w:rStyle w:val="145"/>
          <w:rFonts w:ascii="Times New Roman" w:hAnsi="Times New Roman" w:cs="Times New Roman"/>
          <w:i w:val="0"/>
          <w:iCs w:val="0"/>
          <w:strike w:val="0"/>
          <w:color w:val="0070C0"/>
          <w:sz w:val="16"/>
          <w:szCs w:val="16"/>
          <w:u w:val="none"/>
        </w:rPr>
        <w:softHyphen/>
        <w:t>вестно, никаких решений по нему не по</w:t>
      </w:r>
      <w:r w:rsidRPr="00271E51">
        <w:rPr>
          <w:rStyle w:val="145"/>
          <w:rFonts w:ascii="Times New Roman" w:hAnsi="Times New Roman" w:cs="Times New Roman"/>
          <w:i w:val="0"/>
          <w:iCs w:val="0"/>
          <w:strike w:val="0"/>
          <w:color w:val="0070C0"/>
          <w:sz w:val="16"/>
          <w:szCs w:val="16"/>
          <w:u w:val="none"/>
        </w:rPr>
        <w:softHyphen/>
        <w:t>следовало.</w:t>
      </w:r>
    </w:p>
    <w:p w14:paraId="537C1AB6" w14:textId="77777777" w:rsidR="00060D5D" w:rsidRPr="00271E51" w:rsidRDefault="00060D5D"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Получив отчет по результатам госу</w:t>
      </w:r>
      <w:r w:rsidRPr="00271E51">
        <w:rPr>
          <w:rFonts w:ascii="Times New Roman" w:hAnsi="Times New Roman" w:cs="Times New Roman"/>
          <w:color w:val="0070C0"/>
          <w:sz w:val="16"/>
          <w:szCs w:val="16"/>
        </w:rPr>
        <w:softHyphen/>
        <w:t>дарственных испытаний Су-6 М-71ф и хо</w:t>
      </w:r>
      <w:r w:rsidRPr="00271E51">
        <w:rPr>
          <w:rFonts w:ascii="Times New Roman" w:hAnsi="Times New Roman" w:cs="Times New Roman"/>
          <w:color w:val="0070C0"/>
          <w:sz w:val="16"/>
          <w:szCs w:val="16"/>
        </w:rPr>
        <w:softHyphen/>
        <w:t>датайство командования ВВС, Наркомат авиапромышленности, как и прежде, за</w:t>
      </w:r>
      <w:r w:rsidRPr="00271E51">
        <w:rPr>
          <w:rFonts w:ascii="Times New Roman" w:hAnsi="Times New Roman" w:cs="Times New Roman"/>
          <w:color w:val="0070C0"/>
          <w:sz w:val="16"/>
          <w:szCs w:val="16"/>
        </w:rPr>
        <w:softHyphen/>
        <w:t>нял пассивную позицию (19846).</w:t>
      </w:r>
    </w:p>
    <w:p w14:paraId="5B198A50" w14:textId="77777777" w:rsidR="00060D5D" w:rsidRPr="00271E51" w:rsidRDefault="00060D5D" w:rsidP="00271E51">
      <w:pPr>
        <w:pStyle w:val="234"/>
        <w:shd w:val="clear" w:color="auto" w:fill="auto"/>
        <w:spacing w:line="240" w:lineRule="auto"/>
        <w:jc w:val="both"/>
        <w:rPr>
          <w:rFonts w:ascii="Times New Roman" w:hAnsi="Times New Roman" w:cs="Times New Roman"/>
          <w:color w:val="0070C0"/>
          <w:sz w:val="16"/>
          <w:szCs w:val="16"/>
        </w:rPr>
      </w:pPr>
    </w:p>
    <w:p w14:paraId="7CA711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г. главкомом ВВС на имя Г.М. Маленкова и А.И. Шахурина бы</w:t>
      </w:r>
      <w:r w:rsidRPr="00271E51">
        <w:rPr>
          <w:rFonts w:ascii="Times New Roman" w:hAnsi="Times New Roman"/>
          <w:color w:val="000000" w:themeColor="text1"/>
          <w:sz w:val="16"/>
          <w:szCs w:val="16"/>
        </w:rPr>
        <w:softHyphen/>
        <w:t>ло отправлено письмо, в котором сообщалось об успешном прохождении госу</w:t>
      </w:r>
      <w:r w:rsidRPr="00271E51">
        <w:rPr>
          <w:rFonts w:ascii="Times New Roman" w:hAnsi="Times New Roman"/>
          <w:color w:val="000000" w:themeColor="text1"/>
          <w:sz w:val="16"/>
          <w:szCs w:val="16"/>
        </w:rPr>
        <w:softHyphen/>
        <w:t>дарственных испытаний бронированным штурмовиком Су-6 с М-71Ф конструкции П.О. Сухого. Там же излагались сведения о летно-технических данных самолета и на основании этого выражалось общее мнение:</w:t>
      </w:r>
    </w:p>
    <w:p w14:paraId="3068C5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...Тактические испытания самолета Су-6 показали, что сравнительно боль</w:t>
      </w:r>
      <w:r w:rsidRPr="00271E51">
        <w:rPr>
          <w:rFonts w:ascii="Times New Roman" w:hAnsi="Times New Roman"/>
          <w:color w:val="000000" w:themeColor="text1"/>
          <w:sz w:val="16"/>
          <w:szCs w:val="16"/>
        </w:rPr>
        <w:softHyphen/>
        <w:t>шие горизонтальные скорости, оборони</w:t>
      </w:r>
      <w:r w:rsidRPr="00271E51">
        <w:rPr>
          <w:rFonts w:ascii="Times New Roman" w:hAnsi="Times New Roman"/>
          <w:color w:val="000000" w:themeColor="text1"/>
          <w:sz w:val="16"/>
          <w:szCs w:val="16"/>
        </w:rPr>
        <w:softHyphen/>
        <w:t>тельное вооружение и бронирование экипажа позволяет ему лучше, по срав</w:t>
      </w:r>
      <w:r w:rsidRPr="00271E51">
        <w:rPr>
          <w:rFonts w:ascii="Times New Roman" w:hAnsi="Times New Roman"/>
          <w:color w:val="000000" w:themeColor="text1"/>
          <w:sz w:val="16"/>
          <w:szCs w:val="16"/>
        </w:rPr>
        <w:softHyphen/>
        <w:t>нению с самолетом Ил-2, защищаться от атак истребителей противника.</w:t>
      </w:r>
    </w:p>
    <w:p w14:paraId="3E788B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эксплуатации самолет Су-6 не сло</w:t>
      </w:r>
      <w:r w:rsidRPr="00271E51">
        <w:rPr>
          <w:rFonts w:ascii="Times New Roman" w:hAnsi="Times New Roman"/>
          <w:color w:val="000000" w:themeColor="text1"/>
          <w:sz w:val="16"/>
          <w:szCs w:val="16"/>
        </w:rPr>
        <w:softHyphen/>
        <w:t>жен, по технике пилотирования прибли</w:t>
      </w:r>
      <w:r w:rsidRPr="00271E51">
        <w:rPr>
          <w:rFonts w:ascii="Times New Roman" w:hAnsi="Times New Roman"/>
          <w:color w:val="000000" w:themeColor="text1"/>
          <w:sz w:val="16"/>
          <w:szCs w:val="16"/>
        </w:rPr>
        <w:softHyphen/>
        <w:t>жается к истребителю Ла-5.</w:t>
      </w:r>
    </w:p>
    <w:p w14:paraId="318CCB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Считаем необходимым запустить в се</w:t>
      </w:r>
      <w:r w:rsidRPr="00271E51">
        <w:rPr>
          <w:rFonts w:ascii="Times New Roman" w:hAnsi="Times New Roman"/>
          <w:color w:val="000000" w:themeColor="text1"/>
          <w:sz w:val="16"/>
          <w:szCs w:val="16"/>
        </w:rPr>
        <w:softHyphen/>
        <w:t>рийное производство самолет Су-6 на одном из заводов НКАП (завод № 30), взамен самолета Ил-2 с АМ-38Ф, одно</w:t>
      </w:r>
      <w:r w:rsidRPr="00271E51">
        <w:rPr>
          <w:rFonts w:ascii="Times New Roman" w:hAnsi="Times New Roman"/>
          <w:color w:val="000000" w:themeColor="text1"/>
          <w:sz w:val="16"/>
          <w:szCs w:val="16"/>
        </w:rPr>
        <w:softHyphen/>
        <w:t>временно форсировать внедрение в се</w:t>
      </w:r>
      <w:r w:rsidRPr="00271E51">
        <w:rPr>
          <w:rFonts w:ascii="Times New Roman" w:hAnsi="Times New Roman"/>
          <w:color w:val="000000" w:themeColor="text1"/>
          <w:sz w:val="16"/>
          <w:szCs w:val="16"/>
        </w:rPr>
        <w:softHyphen/>
        <w:t>рию мотора М-71Ф. До выхода серийных моторов М-71Ф, возможно самолет Су-6 выпускать с мотором М-71» (10718).</w:t>
      </w:r>
    </w:p>
    <w:p w14:paraId="017150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1EB15B" w14:textId="77777777" w:rsidR="00B95E55" w:rsidRPr="00271E51" w:rsidRDefault="00B95E55" w:rsidP="00271E51">
      <w:pPr>
        <w:pStyle w:val="45"/>
        <w:shd w:val="clear" w:color="auto" w:fill="auto"/>
        <w:spacing w:before="0" w:line="240" w:lineRule="auto"/>
        <w:jc w:val="both"/>
        <w:rPr>
          <w:rFonts w:ascii="Times New Roman" w:cs="Times New Roman"/>
          <w:color w:val="000000" w:themeColor="text1"/>
          <w:sz w:val="16"/>
          <w:szCs w:val="16"/>
        </w:rPr>
      </w:pPr>
      <w:r w:rsidRPr="00271E51">
        <w:rPr>
          <w:rStyle w:val="4f0"/>
          <w:rFonts w:ascii="Times New Roman" w:hAnsi="Times New Roman" w:cs="Times New Roman"/>
          <w:i w:val="0"/>
          <w:color w:val="000000" w:themeColor="text1"/>
          <w:sz w:val="16"/>
          <w:szCs w:val="16"/>
        </w:rPr>
        <w:t>16 сентября 1943 г. в письме от на имя Г.М. Маленкова и А.И. Шахурина командующий ВВС Красной Армии маршал А.А. Новиков ука</w:t>
      </w:r>
      <w:r w:rsidRPr="00271E51">
        <w:rPr>
          <w:rStyle w:val="4f0"/>
          <w:rFonts w:ascii="Times New Roman" w:hAnsi="Times New Roman" w:cs="Times New Roman"/>
          <w:i w:val="0"/>
          <w:color w:val="000000" w:themeColor="text1"/>
          <w:sz w:val="16"/>
          <w:szCs w:val="16"/>
        </w:rPr>
        <w:softHyphen/>
        <w:t>зывал:</w:t>
      </w:r>
      <w:r w:rsidRPr="00271E51">
        <w:rPr>
          <w:rFonts w:ascii="Times New Roman" w:cs="Times New Roman"/>
          <w:color w:val="000000" w:themeColor="text1"/>
          <w:sz w:val="16"/>
          <w:szCs w:val="16"/>
        </w:rPr>
        <w:t xml:space="preserve"> «Считаем необходимым запустить в се</w:t>
      </w:r>
      <w:r w:rsidRPr="00271E51">
        <w:rPr>
          <w:rFonts w:ascii="Times New Roman" w:cs="Times New Roman"/>
          <w:color w:val="000000" w:themeColor="text1"/>
          <w:sz w:val="16"/>
          <w:szCs w:val="16"/>
        </w:rPr>
        <w:softHyphen/>
        <w:t>рийное производство самолет Су-6 на одном из заводов НКАП (завод №30), взамен самоле</w:t>
      </w:r>
      <w:r w:rsidRPr="00271E51">
        <w:rPr>
          <w:rFonts w:ascii="Times New Roman" w:cs="Times New Roman"/>
          <w:color w:val="000000" w:themeColor="text1"/>
          <w:sz w:val="16"/>
          <w:szCs w:val="16"/>
        </w:rPr>
        <w:softHyphen/>
        <w:t>та Ил-2 АМ-38ф, одновременно форсировать внедрение</w:t>
      </w:r>
      <w:r w:rsidRPr="00271E51">
        <w:rPr>
          <w:rStyle w:val="4f0"/>
          <w:rFonts w:ascii="Times New Roman" w:hAnsi="Times New Roman" w:cs="Times New Roman"/>
          <w:i w:val="0"/>
          <w:color w:val="000000" w:themeColor="text1"/>
          <w:sz w:val="16"/>
          <w:szCs w:val="16"/>
        </w:rPr>
        <w:t xml:space="preserve"> в</w:t>
      </w:r>
      <w:r w:rsidRPr="00271E51">
        <w:rPr>
          <w:rFonts w:ascii="Times New Roman" w:cs="Times New Roman"/>
          <w:color w:val="000000" w:themeColor="text1"/>
          <w:sz w:val="16"/>
          <w:szCs w:val="16"/>
        </w:rPr>
        <w:t xml:space="preserve"> серию</w:t>
      </w:r>
      <w:r w:rsidRPr="00271E51">
        <w:rPr>
          <w:rStyle w:val="4f0"/>
          <w:rFonts w:ascii="Times New Roman" w:hAnsi="Times New Roman" w:cs="Times New Roman"/>
          <w:i w:val="0"/>
          <w:color w:val="000000" w:themeColor="text1"/>
          <w:sz w:val="16"/>
          <w:szCs w:val="16"/>
        </w:rPr>
        <w:t xml:space="preserve"> мотора</w:t>
      </w:r>
      <w:r w:rsidRPr="00271E51">
        <w:rPr>
          <w:rFonts w:ascii="Times New Roman" w:cs="Times New Roman"/>
          <w:color w:val="000000" w:themeColor="text1"/>
          <w:sz w:val="16"/>
          <w:szCs w:val="16"/>
        </w:rPr>
        <w:t xml:space="preserve"> М-71ф. До</w:t>
      </w:r>
      <w:r w:rsidRPr="00271E51">
        <w:rPr>
          <w:rStyle w:val="4f0"/>
          <w:rFonts w:ascii="Times New Roman" w:hAnsi="Times New Roman" w:cs="Times New Roman"/>
          <w:i w:val="0"/>
          <w:color w:val="000000" w:themeColor="text1"/>
          <w:sz w:val="16"/>
          <w:szCs w:val="16"/>
        </w:rPr>
        <w:t xml:space="preserve"> выхода </w:t>
      </w:r>
      <w:r w:rsidRPr="00271E51">
        <w:rPr>
          <w:rFonts w:ascii="Times New Roman" w:cs="Times New Roman"/>
          <w:color w:val="000000" w:themeColor="text1"/>
          <w:sz w:val="16"/>
          <w:szCs w:val="16"/>
        </w:rPr>
        <w:t>серийных моторов М-71ф, возможно выпус</w:t>
      </w:r>
      <w:r w:rsidRPr="00271E51">
        <w:rPr>
          <w:rFonts w:ascii="Times New Roman" w:cs="Times New Roman"/>
          <w:color w:val="000000" w:themeColor="text1"/>
          <w:sz w:val="16"/>
          <w:szCs w:val="16"/>
        </w:rPr>
        <w:softHyphen/>
        <w:t>кать самолет с мотором М-71».</w:t>
      </w:r>
    </w:p>
    <w:p w14:paraId="7B86E16C"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Однако руководство НКАП приняло ре</w:t>
      </w:r>
      <w:r w:rsidRPr="00271E51">
        <w:rPr>
          <w:rFonts w:ascii="Times New Roman" w:cs="Times New Roman"/>
          <w:color w:val="000000" w:themeColor="text1"/>
          <w:spacing w:val="0"/>
        </w:rPr>
        <w:softHyphen/>
        <w:t>шение разрешить Ильюшину постройку штур</w:t>
      </w:r>
      <w:r w:rsidRPr="00271E51">
        <w:rPr>
          <w:rFonts w:ascii="Times New Roman" w:cs="Times New Roman"/>
          <w:color w:val="000000" w:themeColor="text1"/>
          <w:spacing w:val="0"/>
        </w:rPr>
        <w:softHyphen/>
        <w:t>мовика на базе бронированного истребителя Ил-1 АМ-42 (будущий Ил-10) и форсировать работы по доводке опытного Ил-АМ-42 в ва</w:t>
      </w:r>
      <w:r w:rsidRPr="00271E51">
        <w:rPr>
          <w:rFonts w:ascii="Times New Roman" w:cs="Times New Roman"/>
          <w:color w:val="000000" w:themeColor="text1"/>
          <w:spacing w:val="0"/>
        </w:rPr>
        <w:softHyphen/>
        <w:t>рианте штурмовика для предъявления его на государственные испытания. Считалось, что эти самолеты имеют лучшие перспективы по запуску в серийное производство в сравне</w:t>
      </w:r>
      <w:r w:rsidRPr="00271E51">
        <w:rPr>
          <w:rFonts w:ascii="Times New Roman" w:cs="Times New Roman"/>
          <w:color w:val="000000" w:themeColor="text1"/>
          <w:spacing w:val="0"/>
        </w:rPr>
        <w:softHyphen/>
        <w:t>нии с Су-6 М-71ф. Одновременно вопрос о запуске в серию мотора М-71ф и Су-6 с ним был «замотан» в кабинетах наркомата и затем по-тихому «задвинут» до проведения сравни</w:t>
      </w:r>
      <w:r w:rsidRPr="00271E51">
        <w:rPr>
          <w:rFonts w:ascii="Times New Roman" w:cs="Times New Roman"/>
          <w:color w:val="000000" w:themeColor="text1"/>
          <w:spacing w:val="0"/>
        </w:rPr>
        <w:softHyphen/>
        <w:t>тельных испытаний опытных образцов и выбо</w:t>
      </w:r>
      <w:r w:rsidRPr="00271E51">
        <w:rPr>
          <w:rFonts w:ascii="Times New Roman" w:cs="Times New Roman"/>
          <w:color w:val="000000" w:themeColor="text1"/>
          <w:spacing w:val="0"/>
        </w:rPr>
        <w:softHyphen/>
        <w:t>ра лучшего из них (17478).</w:t>
      </w:r>
    </w:p>
    <w:p w14:paraId="0082F13C"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3A6D4E28" w14:textId="77777777" w:rsidR="0050572A" w:rsidRPr="00271E51" w:rsidRDefault="0050572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года в письме на имя секретаря ЦК ВКП(б) Г. М. Маленкова и наркомавиапрома А. И. Шахурина от за подписью командующего ВВС КА маршала А. А. Новикова, члена Военного совета ВВС генерал-лейтенанта Н. С. Шиманова (он же начальник авиационного отдела ЦК ВКП(б) и главного инженера ВВС генерал-полковника А. К. Репина указывалось: «Считаем необходимым запустить в серийное производство самолет Су-6 на одном из заводов НКАП (завод № 30) взамен самолета Ил-2 АМ-38 ф, одновременно форсировав внедрение в серию мотора М-71ф. До выхода серийных моторов М-71ф возможно выпускать самолет с мотором М-71». Как известно, никаких решений по нему не последовало (17490).</w:t>
      </w:r>
    </w:p>
    <w:p w14:paraId="0E5C39B0" w14:textId="77777777" w:rsidR="0050572A" w:rsidRPr="00271E51" w:rsidRDefault="0050572A" w:rsidP="00271E51">
      <w:pPr>
        <w:spacing w:after="0" w:line="240" w:lineRule="auto"/>
        <w:jc w:val="both"/>
        <w:rPr>
          <w:rFonts w:ascii="Times New Roman" w:eastAsia="Times New Roman" w:hAnsi="Times New Roman"/>
          <w:color w:val="000000" w:themeColor="text1"/>
          <w:sz w:val="16"/>
          <w:szCs w:val="16"/>
          <w:lang w:eastAsia="ru-RU"/>
        </w:rPr>
      </w:pPr>
    </w:p>
    <w:p w14:paraId="031DDC20"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16 сентября 1943 г. в письме на имя Г. М. Маленкова и А. И. Шахурина командующий ВВС Красной Армии маршал А. А. Новиков указывал: «...Считаем необходимым запустить в серийное производство самолет Су-6 на одном из заводов НКАП (завод № 30) взамен самолета Ил-2 АМ-38ф, одновременно форсировать внедрение в серию мотора М-71ф. До выхода серийных моторов М-71ф возможно выпускать самолет с мотором М-71».</w:t>
      </w:r>
    </w:p>
    <w:p w14:paraId="2B925A2B"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Получив отчет по результатам государственных испытаний Су-6 М-71ф и ходатайство командования ВВС, руководство НКАП, как и прежде, заняло пас</w:t>
      </w:r>
      <w:r w:rsidRPr="00271E51">
        <w:rPr>
          <w:color w:val="000000" w:themeColor="text1"/>
          <w:sz w:val="16"/>
          <w:szCs w:val="16"/>
        </w:rPr>
        <w:softHyphen/>
        <w:t>сивную позицию в вопросе организации выпуска моторов М-71ф.</w:t>
      </w:r>
    </w:p>
    <w:p w14:paraId="2899F359"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Дело в том, что в это время в ОКБ С. В. Илью</w:t>
      </w:r>
      <w:r w:rsidRPr="00271E51">
        <w:rPr>
          <w:color w:val="000000" w:themeColor="text1"/>
          <w:sz w:val="16"/>
          <w:szCs w:val="16"/>
        </w:rPr>
        <w:softHyphen/>
        <w:t>шина уже были построены 2 экземпляра самоле</w:t>
      </w:r>
      <w:r w:rsidRPr="00271E51">
        <w:rPr>
          <w:color w:val="000000" w:themeColor="text1"/>
          <w:sz w:val="16"/>
          <w:szCs w:val="16"/>
        </w:rPr>
        <w:softHyphen/>
        <w:t>та Ил-АМ-42 с мотором жидкостного охлаждения АМ-42 в вариантах штурмовика и разведчика-кор</w:t>
      </w:r>
      <w:r w:rsidRPr="00271E51">
        <w:rPr>
          <w:color w:val="000000" w:themeColor="text1"/>
          <w:sz w:val="16"/>
          <w:szCs w:val="16"/>
        </w:rPr>
        <w:softHyphen/>
        <w:t>ректировщика, а на заводе № 18 находился в ста</w:t>
      </w:r>
      <w:r w:rsidRPr="00271E51">
        <w:rPr>
          <w:color w:val="000000" w:themeColor="text1"/>
          <w:sz w:val="16"/>
          <w:szCs w:val="16"/>
        </w:rPr>
        <w:softHyphen/>
        <w:t>дии завершения работ по сборке штурмовик С-42 (эталон для серии) с этим же мотором. Все эти са</w:t>
      </w:r>
      <w:r w:rsidRPr="00271E51">
        <w:rPr>
          <w:color w:val="000000" w:themeColor="text1"/>
          <w:sz w:val="16"/>
          <w:szCs w:val="16"/>
        </w:rPr>
        <w:softHyphen/>
        <w:t>молеты базировались на технологии производства самолета Ил-2, уже давно отлаженной на серийных заводах. И главное, мотор АМ-42 также базиро</w:t>
      </w:r>
      <w:r w:rsidRPr="00271E51">
        <w:rPr>
          <w:color w:val="000000" w:themeColor="text1"/>
          <w:sz w:val="16"/>
          <w:szCs w:val="16"/>
        </w:rPr>
        <w:softHyphen/>
        <w:t>вался на уже освоенной технологии производства серийного мотора АМ-38ф, поскольку являлся его глубокой модификацией. К тому же С. В. Ильюшин выступил с инициативой переделать бронирован</w:t>
      </w:r>
      <w:r w:rsidRPr="00271E51">
        <w:rPr>
          <w:color w:val="000000" w:themeColor="text1"/>
          <w:sz w:val="16"/>
          <w:szCs w:val="16"/>
        </w:rPr>
        <w:softHyphen/>
        <w:t>ный истребитель Ил-1 с АМ-42 в двухместный штур</w:t>
      </w:r>
      <w:r w:rsidRPr="00271E51">
        <w:rPr>
          <w:color w:val="000000" w:themeColor="text1"/>
          <w:sz w:val="16"/>
          <w:szCs w:val="16"/>
        </w:rPr>
        <w:softHyphen/>
        <w:t>мовик с высокими летными и боевыми данными. Самолет должен был иметь вооружение, не уступа</w:t>
      </w:r>
      <w:r w:rsidRPr="00271E51">
        <w:rPr>
          <w:color w:val="000000" w:themeColor="text1"/>
          <w:sz w:val="16"/>
          <w:szCs w:val="16"/>
        </w:rPr>
        <w:softHyphen/>
        <w:t xml:space="preserve">ющее Су-6 М-71ф, — 2 37-мм пушки 11П, 2 пушки ШВАК, 4 РО-82 и 400 кг бомб (в перегрузку 600 кг), и скорость полета у земли 480—490 </w:t>
      </w:r>
      <w:r w:rsidRPr="00271E51">
        <w:rPr>
          <w:color w:val="000000" w:themeColor="text1"/>
          <w:sz w:val="16"/>
          <w:szCs w:val="16"/>
        </w:rPr>
        <w:lastRenderedPageBreak/>
        <w:t>км/ч. Посколь ку Ил-1 строился на серийных заводах № 1 и № 18, то ориентировался на их технологию изготовления, что снижало технические риски и сокращало сроки при организации серийного выпуска.</w:t>
      </w:r>
    </w:p>
    <w:p w14:paraId="35197201" w14:textId="77777777" w:rsidR="0050572A" w:rsidRPr="00271E51" w:rsidRDefault="0050572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Другими словами, все самолеты Ильюшина имели лучшие перспективы по запуску в массовое производство. По этой причине руководство НКАП принимает решение разрешить Ильюшину по</w:t>
      </w:r>
      <w:r w:rsidRPr="00271E51">
        <w:rPr>
          <w:color w:val="000000" w:themeColor="text1"/>
          <w:sz w:val="16"/>
          <w:szCs w:val="16"/>
        </w:rPr>
        <w:softHyphen/>
        <w:t>стройку бронированного штурмовика на базе Ил-1 и форсировать работы по доводке Ил-АМ-42 в ва</w:t>
      </w:r>
      <w:r w:rsidRPr="00271E51">
        <w:rPr>
          <w:color w:val="000000" w:themeColor="text1"/>
          <w:sz w:val="16"/>
          <w:szCs w:val="16"/>
        </w:rPr>
        <w:softHyphen/>
        <w:t>рианте штурмовика для предъявления его на госу</w:t>
      </w:r>
      <w:r w:rsidRPr="00271E51">
        <w:rPr>
          <w:color w:val="000000" w:themeColor="text1"/>
          <w:sz w:val="16"/>
          <w:szCs w:val="16"/>
        </w:rPr>
        <w:softHyphen/>
        <w:t>дарственные испытания. Вопрос о запуске в серию мотора М-71ф и Су-6 с ним был «замотан» в каби</w:t>
      </w:r>
      <w:r w:rsidRPr="00271E51">
        <w:rPr>
          <w:color w:val="000000" w:themeColor="text1"/>
          <w:sz w:val="16"/>
          <w:szCs w:val="16"/>
        </w:rPr>
        <w:softHyphen/>
        <w:t>нетах наркомата и затем по-тихому «задвинут» до проведения сравнительных испытаний опытных самолетов и выбора лучшего из них (17500).</w:t>
      </w:r>
    </w:p>
    <w:p w14:paraId="2C374D95" w14:textId="77777777" w:rsidR="0050572A" w:rsidRPr="00271E51" w:rsidRDefault="0050572A" w:rsidP="00271E51">
      <w:pPr>
        <w:spacing w:after="0" w:line="240" w:lineRule="auto"/>
        <w:jc w:val="both"/>
        <w:rPr>
          <w:rFonts w:ascii="Times New Roman" w:eastAsia="Times New Roman" w:hAnsi="Times New Roman"/>
          <w:color w:val="000000" w:themeColor="text1"/>
          <w:sz w:val="16"/>
          <w:szCs w:val="16"/>
          <w:lang w:eastAsia="ru-RU"/>
        </w:rPr>
      </w:pPr>
    </w:p>
    <w:p w14:paraId="60A80F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Ил-4 с ТК-М выполнил первый высотный полет до 7500 м на 1-й скорости нагнетателя и имел значительный запас устойчивости (1783,143). Обнаружилась раскрутка винта ВИШ-23. На земле произвели опробование высотных винтов: трехлопастного ВИШ-61П (раскручивался на земле), четырехлопастный АВ-9 (недодавал оборотов (1458,242).</w:t>
      </w:r>
    </w:p>
    <w:p w14:paraId="2A795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741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состоялся первый полет Ил-4ТК с более совершенным нагнетателям ТК-М. Подня</w:t>
      </w:r>
      <w:r w:rsidRPr="00271E51">
        <w:rPr>
          <w:rFonts w:ascii="Times New Roman" w:hAnsi="Times New Roman"/>
          <w:color w:val="000000" w:themeColor="text1"/>
          <w:sz w:val="16"/>
          <w:szCs w:val="16"/>
        </w:rPr>
        <w:softHyphen/>
        <w:t>лись на 7500 м. Моторы работали неус</w:t>
      </w:r>
      <w:r w:rsidRPr="00271E51">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271E51">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271E51">
        <w:rPr>
          <w:rFonts w:ascii="Times New Roman" w:hAnsi="Times New Roman"/>
          <w:color w:val="000000" w:themeColor="text1"/>
          <w:sz w:val="16"/>
          <w:szCs w:val="16"/>
        </w:rPr>
        <w:softHyphen/>
        <w:t>дился прекратить работы по Ил-4ТК (10734,87).</w:t>
      </w:r>
    </w:p>
    <w:p w14:paraId="61CB90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7A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второй Ил-4ТК, но уже с более совершенным нагнетателям ТК-М, совершил рервый полет.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7793EC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43865"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сентября 1943 на Ил-4 с герметичной кабиной и двигателями М-88Б, оснащенными турбо</w:t>
      </w:r>
      <w:r w:rsidRPr="00271E51">
        <w:rPr>
          <w:rFonts w:ascii="Times New Roman" w:hAnsi="Times New Roman"/>
          <w:color w:val="0070C0"/>
          <w:sz w:val="16"/>
          <w:szCs w:val="16"/>
        </w:rPr>
        <w:softHyphen/>
        <w:t>компрессорами ТК-М, был выполнен полет на высо</w:t>
      </w:r>
      <w:r w:rsidRPr="00271E51">
        <w:rPr>
          <w:rFonts w:ascii="Times New Roman" w:hAnsi="Times New Roman"/>
          <w:color w:val="0070C0"/>
          <w:sz w:val="16"/>
          <w:szCs w:val="16"/>
        </w:rPr>
        <w:softHyphen/>
        <w:t>те 7500 метров, в котором обнаружилась раскрутка ВИШ-23. Испытания приостановили (23188).</w:t>
      </w:r>
    </w:p>
    <w:p w14:paraId="35445368" w14:textId="77777777" w:rsidR="00060D5D" w:rsidRPr="00271E51" w:rsidRDefault="00060D5D" w:rsidP="00271E51">
      <w:pPr>
        <w:spacing w:after="0" w:line="240" w:lineRule="auto"/>
        <w:jc w:val="both"/>
        <w:rPr>
          <w:rFonts w:ascii="Times New Roman" w:hAnsi="Times New Roman"/>
          <w:color w:val="0070C0"/>
          <w:sz w:val="16"/>
          <w:szCs w:val="16"/>
        </w:rPr>
      </w:pPr>
    </w:p>
    <w:p w14:paraId="19409905"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сен</w:t>
      </w:r>
      <w:r w:rsidRPr="00271E51">
        <w:rPr>
          <w:rFonts w:ascii="Times New Roman" w:hAnsi="Times New Roman"/>
          <w:color w:val="0070C0"/>
          <w:sz w:val="16"/>
          <w:szCs w:val="16"/>
        </w:rPr>
        <w:softHyphen/>
        <w:t>тября 1943 г. по причине изношенности борт И443 – бывшую Родину - списали, после чего следы его затерялись. (22285).</w:t>
      </w:r>
    </w:p>
    <w:p w14:paraId="5E3B1F4B" w14:textId="77777777" w:rsidR="00060D5D" w:rsidRPr="00271E51" w:rsidRDefault="00060D5D" w:rsidP="00271E51">
      <w:pPr>
        <w:spacing w:after="0" w:line="240" w:lineRule="auto"/>
        <w:jc w:val="both"/>
        <w:rPr>
          <w:rFonts w:ascii="Times New Roman" w:hAnsi="Times New Roman"/>
          <w:color w:val="0070C0"/>
          <w:sz w:val="16"/>
          <w:szCs w:val="16"/>
        </w:rPr>
      </w:pPr>
    </w:p>
    <w:p w14:paraId="00DDE70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состоялся ещё один полёт второго варианта Ла-5 с М-82ФН (винт ВИШ-105В) и двумя ТК-3 (в некоторых документах он называется «ФТК»), который снова пришлось прекратить из-за повышения температуры головки первого цилиндра до 270°С, только на этот раз уже на высоте 12500 м. Температура масла на входе в мотор возросла до 88°С. После полёта в маслосистеме мотора обнаружили металлическую стружку, образовавшуюся в результате разрушения дисков нагнетателя.</w:t>
      </w:r>
    </w:p>
    <w:p w14:paraId="5BF5888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Ла-5 с мотором М-82ФН и двумя турбокомпрессорами ТК-3 совершили 17 полётов, в том числе пять на высоту более 9000 м. При этом удалось отработать пер</w:t>
      </w:r>
      <w:r w:rsidRPr="00271E51">
        <w:rPr>
          <w:rFonts w:ascii="Times New Roman" w:hAnsi="Times New Roman"/>
          <w:color w:val="000000" w:themeColor="text1"/>
          <w:sz w:val="16"/>
          <w:szCs w:val="16"/>
        </w:rPr>
        <w:softHyphen/>
        <w:t>вую скорость нагнетателя, потолок на которой составил 11600 м. На второй скорости на</w:t>
      </w:r>
      <w:r w:rsidRPr="00271E51">
        <w:rPr>
          <w:rFonts w:ascii="Times New Roman" w:hAnsi="Times New Roman"/>
          <w:color w:val="000000" w:themeColor="text1"/>
          <w:sz w:val="16"/>
          <w:szCs w:val="16"/>
        </w:rPr>
        <w:softHyphen/>
        <w:t>гнетателя в последнем полёте достигли высоты 12500 м по прибору и на ней сделали кратковременную горизонтальную площадку. Причём высота 12500 м ещё не являлась потолком, и самолёт сохранял возможность горизонтального и вертикального манев</w:t>
      </w:r>
      <w:r w:rsidRPr="00271E51">
        <w:rPr>
          <w:rFonts w:ascii="Times New Roman" w:hAnsi="Times New Roman"/>
          <w:color w:val="000000" w:themeColor="text1"/>
          <w:sz w:val="16"/>
          <w:szCs w:val="16"/>
        </w:rPr>
        <w:softHyphen/>
        <w:t>ров. Претензий к компоновке винтомоторной группы в целом, и к турбокомпрессорам, в частности, не было. Основные замечания относились к системе воздушного охлажде</w:t>
      </w:r>
      <w:r w:rsidRPr="00271E51">
        <w:rPr>
          <w:rFonts w:ascii="Times New Roman" w:hAnsi="Times New Roman"/>
          <w:color w:val="000000" w:themeColor="text1"/>
          <w:sz w:val="16"/>
          <w:szCs w:val="16"/>
        </w:rPr>
        <w:softHyphen/>
        <w:t>ния мотора, не обеспечивавшей допустимого уровня температур головок цилиндров при полётах на больших высотах и при наборе высоты на режиме максимальной скорости, а также к винту ВИШ-105В, не позволяющему получить удовлетворительные значения КПД на высотах 11000-13000 м. НИИ ВВС в качестве своих рекомендаций заводу № 21 предложил для охлаждения мотора применить впрыск воды во всасывающую систему мотора, заменить винт ВИШ-105В другим или подобрать к нему другие лопасти, уста</w:t>
      </w:r>
      <w:r w:rsidRPr="00271E51">
        <w:rPr>
          <w:rFonts w:ascii="Times New Roman" w:hAnsi="Times New Roman"/>
          <w:color w:val="000000" w:themeColor="text1"/>
          <w:sz w:val="16"/>
          <w:szCs w:val="16"/>
        </w:rPr>
        <w:softHyphen/>
        <w:t>новить увеличенный маслорадиатор, а также разработать и испытать в полёте радиатор для охлаждения воздуха после турбокомпрессора. ЦИАМ, в рамках работ по определе</w:t>
      </w:r>
      <w:r w:rsidRPr="00271E51">
        <w:rPr>
          <w:rFonts w:ascii="Times New Roman" w:hAnsi="Times New Roman"/>
          <w:color w:val="000000" w:themeColor="text1"/>
          <w:sz w:val="16"/>
          <w:szCs w:val="16"/>
        </w:rPr>
        <w:softHyphen/>
        <w:t>нию оптимальных способов снижения температуры головки цилиндров на больших вы</w:t>
      </w:r>
      <w:r w:rsidRPr="00271E51">
        <w:rPr>
          <w:rFonts w:ascii="Times New Roman" w:hAnsi="Times New Roman"/>
          <w:color w:val="000000" w:themeColor="text1"/>
          <w:sz w:val="16"/>
          <w:szCs w:val="16"/>
        </w:rPr>
        <w:softHyphen/>
        <w:t>сотах, провёл экспериментальные исследования: по дополнительному обогащению смеси, впрыску воды и по работе на спирто-бензиновых смесях топлива.</w:t>
      </w:r>
    </w:p>
    <w:p w14:paraId="7582B23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самолёт поставили в цех для замены мотора, установки нового увеличен</w:t>
      </w:r>
      <w:r w:rsidRPr="00271E51">
        <w:rPr>
          <w:rFonts w:ascii="Times New Roman" w:hAnsi="Times New Roman"/>
          <w:color w:val="000000" w:themeColor="text1"/>
          <w:sz w:val="16"/>
          <w:szCs w:val="16"/>
        </w:rPr>
        <w:softHyphen/>
        <w:t>ного масляного радиатора и выполнения рекомендаций НИИ ВВС по применению сис</w:t>
      </w:r>
      <w:r w:rsidRPr="00271E51">
        <w:rPr>
          <w:rFonts w:ascii="Times New Roman" w:hAnsi="Times New Roman"/>
          <w:color w:val="000000" w:themeColor="text1"/>
          <w:sz w:val="16"/>
          <w:szCs w:val="16"/>
        </w:rPr>
        <w:softHyphen/>
        <w:t xml:space="preserve">темы впрыска воды в цилиндры мотора для снижения температур их головок. Заодно на машину поставили дополнительный бензобак на 60 кг, маслопомпу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 xml:space="preserve">-1 заменили на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-5, что в свою очередь потребовало переделки маслопровода. Все доводочные ра</w:t>
      </w:r>
      <w:r w:rsidRPr="00271E51">
        <w:rPr>
          <w:rFonts w:ascii="Times New Roman" w:hAnsi="Times New Roman"/>
          <w:color w:val="000000" w:themeColor="text1"/>
          <w:sz w:val="16"/>
          <w:szCs w:val="16"/>
        </w:rPr>
        <w:softHyphen/>
        <w:t>боты завершили в начале октября, и седьмого числа этого месяца, с целью продолже</w:t>
      </w:r>
      <w:r w:rsidRPr="00271E51">
        <w:rPr>
          <w:rFonts w:ascii="Times New Roman" w:hAnsi="Times New Roman"/>
          <w:color w:val="000000" w:themeColor="text1"/>
          <w:sz w:val="16"/>
          <w:szCs w:val="16"/>
        </w:rPr>
        <w:softHyphen/>
        <w:t>ния лётных испытаний, в Горький вылетел лётчик-испытатель ЛИИ Г.М. Шиянов, не успев даже закончить испытания другого самолёта (15830).</w:t>
      </w:r>
    </w:p>
    <w:p w14:paraId="31FB4511"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0F955E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НКАП П.Дементьев писал письмо Зам. Нач. ГВХУ А.П.Лебедеву:</w:t>
      </w:r>
    </w:p>
    <w:p w14:paraId="7054D0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ГКО N 3792сс от 23 июля 1943 завод 382 НКАП обязан изготовить и поставить ГВХУ КА в 3 кв. 1943 300 тыс. шт. зажигательных ампул ГИА-2.</w:t>
      </w:r>
    </w:p>
    <w:p w14:paraId="00D146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же постановлением НКЭП обязан передать заводу 382 помещения завода МЭИЗ для организации в нем производства зажигательных ампул.</w:t>
      </w:r>
    </w:p>
    <w:p w14:paraId="7798EC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НКЭП задерживает передачу завода МЭИЗ...(1780).</w:t>
      </w:r>
    </w:p>
    <w:p w14:paraId="40AC03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ACF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закончились испытания второго ТИС с АМ-38ФС, которые проходили с 1 июня 1943 (125,20).</w:t>
      </w:r>
    </w:p>
    <w:p w14:paraId="79A3B1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428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вышел совместный приказ НКАП и Командующего ВВС КА N 551/200 об образовании комиссии для проведения гос. испытаний АМ-42 конструкции 24 завода (942,66).</w:t>
      </w:r>
    </w:p>
    <w:p w14:paraId="412212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B048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45A33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84B0A8"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С 16 по 23 сентября 1943 первый опытный образец системы Д-25  прошёл этап заводских испытаний из 96 выстрелов. Сама система испытания выдержала, но не её дульный тормоз. Инженер-полковник Абрамов, исполнявший обязанности военпреда на заводе №9, в докладной записке сообщал, что в ходе испытаний произошла деформация дульного тормоза. 25 сентября систему отправили в Челябинск, а на заводе №9 закипела работа по проектированию нового дульного тормоза (17717).</w:t>
      </w:r>
    </w:p>
    <w:p w14:paraId="1479CAD1" w14:textId="77777777" w:rsidR="0050572A" w:rsidRPr="00271E51" w:rsidRDefault="0050572A" w:rsidP="00271E51">
      <w:pPr>
        <w:pStyle w:val="12a"/>
        <w:shd w:val="clear" w:color="auto" w:fill="auto"/>
        <w:spacing w:after="0" w:line="240" w:lineRule="auto"/>
        <w:jc w:val="both"/>
        <w:rPr>
          <w:color w:val="000000" w:themeColor="text1"/>
          <w:sz w:val="16"/>
          <w:szCs w:val="16"/>
        </w:rPr>
      </w:pPr>
    </w:p>
    <w:p w14:paraId="1F6666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Распоряжение ГКО № 4136. О поставках угля Ново-Тагильскому заводу НКЧМ и заводам НКХП.РГАНИР, Фонд ГКО, д. 151, лл. 189 (11012).</w:t>
      </w:r>
    </w:p>
    <w:p w14:paraId="367FCD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20E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Постановление ГКО № 4138 [О передаче тылом КА грузовых и легковых автомашин для СHК УССР, предприятий HКУП и HКЧМ Донбасса и о мобилизации в Москве легковых автомашин для СHК УССР.] (7139, 191).</w:t>
      </w:r>
    </w:p>
    <w:p w14:paraId="642BE6C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41987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Постановление ГКО № 4139 Об увеличении количества переходящих знамен для железнодорожного транспорта во Всесоюзном соревновании. (7139, 192-193,194-196).</w:t>
      </w:r>
    </w:p>
    <w:p w14:paraId="0682F93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9F0FE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Постановление ГКО № 4140 Об организации дополнительных 50 паровозных колонн. (7139, 197).</w:t>
      </w:r>
    </w:p>
    <w:p w14:paraId="1632748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ADBC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Постановление ГКО № 4141 О дополнительных мероприятиях по строительству передвижных электростанций.РГАНИР, Фонд ГКО, д. 151, лл. 198-202, 203-208 (11012).</w:t>
      </w:r>
    </w:p>
    <w:p w14:paraId="2C1DE4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4948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мариупольский порт принял первые после освобождения корабли (4962).</w:t>
      </w:r>
    </w:p>
    <w:p w14:paraId="09236BA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E64A6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3C200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8BC53C"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16 сентября </w:t>
      </w:r>
      <w:r w:rsidRPr="00271E51">
        <w:rPr>
          <w:rFonts w:ascii="Times New Roman" w:hAnsi="Times New Roman"/>
          <w:color w:val="000000" w:themeColor="text1"/>
          <w:sz w:val="16"/>
          <w:szCs w:val="16"/>
        </w:rPr>
        <w:t>в 1943 году оперативная сводка Совинформбюро:</w:t>
      </w:r>
    </w:p>
    <w:p w14:paraId="111A6112"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войска Северо-Кавказского фронта во взаимодействии с Черноморским флотом после пятидневных ожесточённых боёв овладели городом и портом Новороссийск.</w:t>
      </w:r>
    </w:p>
    <w:p w14:paraId="3C0AB3F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Киевском направлении наши войска продолжали развивать наступление и, продвинувшись на отдельных участках вперёд от 6 до 15 километров, овладели городом Ромны, районными центрами Черниговской области Носовка, Ичня, районными центрами Сумской области Талалаевка, Глинск, а также заняли свыше 90 других населённых пунктов.</w:t>
      </w:r>
    </w:p>
    <w:p w14:paraId="01A644E7"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развивать успешное наступление и, продвинувшись вперёд от 10 до 15 километров, заняли свыше 100 населённых пунктов, в том числе город и крупный железнодорожный узел Лозовая и крупные населённые пункты Олейники, Тарасовка, Панютина, Домаха, Осадчий, Хорошее, Кохановка.</w:t>
      </w:r>
    </w:p>
    <w:p w14:paraId="62ADFA4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успешное наступление и, продвинувшись вперёд от 10 до 18 километров, заняли свыше 40 населённых пунктов, в том числе районный центр Запорожской области Осипенко (14 километров севернее города Осипенко) и крупные населённые пункты Романки, Екатериновка, Хвалибоговка, Варваровка, Чапаевка, Конские Раздоры, Гусарка, Бельманка, Берестовое, Выбоево, Троицкое, Николаевка, Старо-Петровск, Ново-Петровка.</w:t>
      </w:r>
    </w:p>
    <w:p w14:paraId="4768588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юго-западнее Харькова, овладели городом Валки, а также заняли крупные населённые пункты Минковка, Гавриловка, Евдокимовка, Караван, Староверовка, Логвины, Власовка, Шляховая.</w:t>
      </w:r>
    </w:p>
    <w:p w14:paraId="09182DD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 западном берегу реки Десна наши войска, продолжая вести успешные бои по расширению плацдармов, овладели городом Новгород-Северский.</w:t>
      </w:r>
    </w:p>
    <w:p w14:paraId="7FA2ACC6"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и Брянском направлениях наши войска продолжали наступление и заняли несколько населённых пунктов.</w:t>
      </w:r>
    </w:p>
    <w:p w14:paraId="1ECB1FD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сентября наши войска на всех фронтах подбили и уничтожили 64 немецких танка. В воздушных боях и огнём зенитной артиллерии сбито 94 самолёта противника.</w:t>
      </w:r>
    </w:p>
    <w:p w14:paraId="71906060"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Северо-Кавказского фронта во взаимодействии с Черноморским флотом сегодня штурмом овладели городом и портом Новороссийск. Несколько дней тому назад наши войска прорвали мощные бетонированные укрепления противника, ворвались в город Новороссийск и завязали уличные бои. В это же время корабли Черноморского флота высадили десант в порту и тем самым нанесли удар противнику со стороны моря. После пятидневных ожесточённых боёв город Новороссийск освобождён от немецко-фашистских оккупантов. В боях за Новороссийск наши войска разгромили 73 немецкую пехотную дивизию, 4 и 101 немецкие горнострелковые дивизии, 4 румынскую горнострелковую дивизию и портовые команды морской пехоты немцев. Захвачены крупные вещевые и продовольственные склады и склады боеприпасов.</w:t>
      </w:r>
    </w:p>
    <w:p w14:paraId="4ACE3FB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на днях в нескольких местах форсировали реку Десну и завязали бои севернее и южнее города Новгород-Северский. По западному берегу Десны немцы заранее создали оборонительную линию, которой присвоили название «немецкий восточный вал». Многочисленные опорные пункты, расположенные на рубеже этой реки, и особенно город Новгород-Северский обороняли крупные силы противника. Немцы предпринимали отчаянные попытки сбросить переправившиеся советские соединения с западного берега реки Десна. Бойцы Н-ской части только за вчерашний день отбили двадцать семь ожесточённых контратак противника и уничтожили до 1.500 гитлеровцев, 15 танков и 6 самоходных орудий. Советские войска, создав прочные плацдармы на западном берегу Десны, сегодня перешли в решительное наступление и с боем овладели городом Новгород-Северский. Противник понёс тяжёлые потери. Нашими войсками захвачено большое количество вооружения и различных военных материалов.</w:t>
      </w:r>
    </w:p>
    <w:p w14:paraId="656ECDE8"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развивать наступление. Противник пытается задержать наши наступающие части, но стремительными ударами советских войск отбрасывается на запад и юго-запад. Бойцы Н-ского соединения сегодня решительной атакой заняли город Ромны. Другие наши части овладели районными центрами Носовка, Ичня, Талалаевка, Глинск, а также заняли свыше 90 других населённых пунктов. За день боёв подбито и сожжено 20 немецких танков.</w:t>
      </w:r>
    </w:p>
    <w:p w14:paraId="66DE1E3D"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городом Нежин, советские части захватили 14 танков, 60 орудий, из них 12 дальнобойных, большое количество миномётов, пулемётов, автоматов и винтовок. Захвачены также крупные склады с боеприпасами, продовольствием и различным военным имуществом.</w:t>
      </w:r>
    </w:p>
    <w:p w14:paraId="723AE5A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успешное наступление.Сломив сопротивление немцев и преследуя противника, части Н-ского соединения овладели крупным железнодорожным узлом и городом Лозовая. Захвачены большие склады с боеприпасами. Другое наше соединение окружило полк пехоты противника и за день истребило свыше 1.000 немецких солдат и офицеров. На поле боя найден труп командира немецкого полка. Захвачены трофеи и значительное числопленных.</w:t>
      </w:r>
    </w:p>
    <w:p w14:paraId="5888E2D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успешное наступление. Части Н-ского соединения прорвали промежуточный оборонительный рубеж противника и, продвигаясь вперёд, уничтожили 800 вражеских солдат и офицеров, 11 танков и 10 орудий. На другом участке бойцы Н-ской части нанесли внезапные фланговые удары по численно превосходящим силам противника и выбили немцев из крупного населённого пункта. Советские моторизованные и кавалерийские части перерезают противнику пути отхода и наносят ему большой урон. Пленные немецкие офицеры сообщили, что 17 немецкая танковая дивизия в последних боях потеряла убитыми и ранеными 6.500 солдат и офицеров. В дивизии осталось всего лишь 16 танков.</w:t>
      </w:r>
    </w:p>
    <w:p w14:paraId="1672AA79"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Харькова наши войска, с боями продвигаясь вперёд, овладели городом Валки. Противник, выбитый с сильно укреплённого рубежа, отходит, прикрываясь крупными отрядами пехоты с танками и самоходными орудиями. Бойцы Н-ского соединения, неотступно преследуя врага, уничтожили 400 немецких солдат и офицеров, подбили и сожгли 14 танков и 6 самоходных орудий. Захвачено 2 тяжёлых танка, бронетранспортер, 22 орудия и другие трофеи. Взяты пленные.</w:t>
      </w:r>
    </w:p>
    <w:p w14:paraId="48029410"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Брянском направлении части Н-ского соединения, овладев городом Дятьково, продолжали преследовать противника и заняли несколько населённых пунктов. В лесных боях немцы понесли тяжёлые потери. Только на территории, занятой вчера нашими частями, подсчитано до 2.000 трупов солдат и офицеров противника. Захвачено у немцев 36 орудий разных калибров, 22 миномёта, 65 пулеметов, 9 артиллерийских и 5 продовольственных складов. Взято 150 пленных.</w:t>
      </w:r>
    </w:p>
    <w:p w14:paraId="25F6F4D1"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Киркенеса группа наших самолётов атаковала немецкий конвой в составе двух танкеров, трёх транспортов и 22 кораблей охранения, следовавших под прикрытием 20 самолётов-истребителей.</w:t>
      </w:r>
    </w:p>
    <w:p w14:paraId="0E1AC8F3"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атаки нашей авиацией было потоплено 2 немецких танкера, 2 корабля охранения и сбито 13 самолётов противника. При этом наша авиация потеряла 4 самолёта.</w:t>
      </w:r>
    </w:p>
    <w:p w14:paraId="349BCFA5"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конвой был атакован нашими кораблями, которые потопили ещё два транспорта.</w:t>
      </w:r>
    </w:p>
    <w:p w14:paraId="5879BDB7"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Разгром конвоя продолжался вплоть до прибытия его в порт Киркенес, где наша авиация ночными действиями нанесла повреждения ещё нескольким судам противника.</w:t>
      </w:r>
    </w:p>
    <w:p w14:paraId="516FE7FA"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Кировоградской области, произвёл смелый налёт на вражеский гарнизон, охранявший железнодорожный мост через реку. Партизаны частью уничтожили, а частью разогнали охрану, состоявшую из мадьяр. Мост был взорван. Взбешенные немецкие власти расстреляли всех мадьяр, спасшихся бегством от партизан.» (14771).</w:t>
      </w:r>
    </w:p>
    <w:p w14:paraId="4D233B22"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5BA074F8"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16 сентября </w:t>
      </w:r>
      <w:r w:rsidRPr="00271E51">
        <w:rPr>
          <w:rFonts w:ascii="Times New Roman" w:hAnsi="Times New Roman"/>
          <w:color w:val="000000" w:themeColor="text1"/>
          <w:sz w:val="16"/>
          <w:szCs w:val="16"/>
        </w:rPr>
        <w:t>в 1943 году мариупольский порт принимает первые после освобождения корабли (14771).</w:t>
      </w:r>
    </w:p>
    <w:p w14:paraId="35B44455"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5FAE3C7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Новороссийск освобожден от фашистов (4962).</w:t>
      </w:r>
    </w:p>
    <w:p w14:paraId="3A531F1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DC78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года был освобожден Новороссийск (2691).</w:t>
      </w:r>
    </w:p>
    <w:p w14:paraId="21F8EA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F7E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16-го сентября 1943 точно нацеленная торпеда отправила на дно финский сторожевой корабль «Уиско» (бывший рыболовный траулер тоннажем 219 брт). События развивались в следующей последовательности: совершая полет в западной части Финского залива, в 17:05 Разгонин обнаружил севернее острова Найссар «однотрубный двухмачтовый транспорт водоизмещением 2500 - 3000 т, высота борта 2,5 м, судя по осадке - груженый». Из-за низкой облачности «Ильюшин» Александра шел на небольшой высоте, вследствие чего его атака оказалась для финнов совершенно внезапной. Остановившийся для гидроакустического поиска сторожевик не успел ни дать ход, ни открыть зенитный огонь, и получил торпедное попадание в центр корпуса. Ничто не помешало Разгони-ну сделать два круга и пронаблюдать агонию своей жертвы, которая спустя 8 - 10 минут полностью скрылась под водой. Вместе с кораблем погибло 19 моряков, включая командира лейтенанта Сандхольма, спасся только один. В последующие дни месяца экипаж Разгонина успехов не имел, хотя несколько раз и вылетал в крейсерские полеты (9965).</w:t>
      </w:r>
    </w:p>
    <w:p w14:paraId="35C099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F36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вышло Постановление ГКО № 4137 О сформировании восьми зенитных дивизий РГК.РГАНИР, Фонд ГКО, д. 151, лл. 190 (11012).</w:t>
      </w:r>
    </w:p>
    <w:p w14:paraId="1AA8BF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8748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D5C4E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308923" w14:textId="77777777" w:rsidR="00E40F8E" w:rsidRPr="00271E51" w:rsidRDefault="00E40F8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тяжелые повреждения в результате попадания бронебойной планирующей бомбы в машинное отделение и близких разрывов двух других УАБ, очевидно, фугасных, получил ветеран боёв на Средиземном море линейный корабль “Уорспайт" (2524).</w:t>
      </w:r>
    </w:p>
    <w:p w14:paraId="3609EDBD" w14:textId="77777777" w:rsidR="00E40F8E" w:rsidRPr="00271E51" w:rsidRDefault="00E40F8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24653" w14:textId="77777777" w:rsidR="00E40F8E" w:rsidRPr="00271E51" w:rsidRDefault="00E40F8E" w:rsidP="00271E51">
      <w:pPr>
        <w:pStyle w:val="book"/>
        <w:ind w:firstLine="0"/>
        <w:jc w:val="both"/>
        <w:rPr>
          <w:color w:val="000000" w:themeColor="text1"/>
          <w:sz w:val="16"/>
          <w:szCs w:val="16"/>
        </w:rPr>
      </w:pPr>
      <w:r w:rsidRPr="00271E51">
        <w:rPr>
          <w:color w:val="000000" w:themeColor="text1"/>
          <w:sz w:val="16"/>
          <w:szCs w:val="16"/>
        </w:rPr>
        <w:t>16 сентября 1943 у берегов Италии английский линкор «Уорспайт» получил попадание телеуправляемой бомбы SD-1400 «Фриц-Х». Бомба пробила все броневые палубы и взорвалась в машинном отделении. Линкор потерял ход. Через пробоину в днище размером 6,1 х 4,8 м внутрь корабля хлынул поток воды. Корабль погрузился в воду по верхнюю палубу. Лишь отчаянные усилия экипажа и подход американских и английских спасательных буксиров позволили удержать «Уорспайт» на плаву. С большим трудом его 19 сентября отбуксировали на Мальту, там подлатали и 1 ноября 1943 г. отправили в Гибралтар на ремонт, затем 9 марта 1944 г. линкор отправили на ремонт в Англию. Лишь 27 апреля 1944 г. он вновь принял участие в боевых действиях. Однако линкор так и остался инвалидом — не действовали одна из 381-мм башен и 4-е котельное отделение (15225).</w:t>
      </w:r>
    </w:p>
    <w:p w14:paraId="2A80AFC0" w14:textId="77777777" w:rsidR="00E40F8E" w:rsidRPr="00271E51" w:rsidRDefault="00E40F8E" w:rsidP="00271E51">
      <w:pPr>
        <w:pStyle w:val="book"/>
        <w:ind w:firstLine="0"/>
        <w:jc w:val="both"/>
        <w:rPr>
          <w:color w:val="000000" w:themeColor="text1"/>
          <w:sz w:val="16"/>
          <w:szCs w:val="16"/>
        </w:rPr>
      </w:pPr>
    </w:p>
    <w:p w14:paraId="78A63FE5"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сентября 1943 британский линкор HMS Warspting сильно поврежден двумя попаданиями немецких управляемых бомб у Салерно. Он не используется до середины 1944 года (20376).</w:t>
      </w:r>
    </w:p>
    <w:p w14:paraId="1CEE214B" w14:textId="77777777" w:rsidR="00060D5D" w:rsidRPr="00271E51" w:rsidRDefault="00060D5D" w:rsidP="00271E51">
      <w:pPr>
        <w:spacing w:after="0" w:line="240" w:lineRule="auto"/>
        <w:jc w:val="both"/>
        <w:rPr>
          <w:rFonts w:ascii="Times New Roman" w:hAnsi="Times New Roman"/>
          <w:color w:val="0070C0"/>
          <w:sz w:val="16"/>
          <w:szCs w:val="16"/>
        </w:rPr>
      </w:pPr>
    </w:p>
    <w:p w14:paraId="767FF06B" w14:textId="0E35EECD"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16–17 сентября 1943 340 британских бомбардировщиков и пять «Летающих крепостей B-17» ВВС США атакуют железнодорожные станции в Модане, Франция, в попытке перерезать железнодорожное сообщение между Францией и Италией. Рейд оказался неудачным из-за неточной бомбардировки, три британских бомбардировщика потеряны (20376).</w:t>
      </w:r>
    </w:p>
    <w:p w14:paraId="25371F3A" w14:textId="77777777" w:rsidR="00060D5D" w:rsidRPr="00271E51" w:rsidRDefault="00060D5D" w:rsidP="00271E51">
      <w:pPr>
        <w:spacing w:after="0" w:line="240" w:lineRule="auto"/>
        <w:jc w:val="both"/>
        <w:rPr>
          <w:rFonts w:ascii="Times New Roman" w:hAnsi="Times New Roman"/>
          <w:color w:val="0070C0"/>
          <w:sz w:val="16"/>
          <w:szCs w:val="16"/>
        </w:rPr>
      </w:pPr>
    </w:p>
    <w:p w14:paraId="25E32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16, 1943: German counterattacks against the US bridgehead at Salerno are halted (3819).</w:t>
      </w:r>
    </w:p>
    <w:p w14:paraId="16FC09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FECD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сентября 1943 немецкие контратаки на плацдармы армии США у Салерно были остановлены (3819).</w:t>
      </w:r>
    </w:p>
    <w:p w14:paraId="13152C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81372" w14:textId="77777777" w:rsidR="00E40F8E" w:rsidRPr="00271E51" w:rsidRDefault="00E40F8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16 сентября </w:t>
      </w:r>
      <w:r w:rsidRPr="00271E51">
        <w:rPr>
          <w:rFonts w:ascii="Times New Roman" w:hAnsi="Times New Roman"/>
          <w:color w:val="000000" w:themeColor="text1"/>
          <w:sz w:val="16"/>
          <w:szCs w:val="16"/>
        </w:rPr>
        <w:t>в 1943 году в Дании создан национальный центр движения Сопротивления - Совет Свободы (14771).</w:t>
      </w:r>
    </w:p>
    <w:p w14:paraId="03EECF10" w14:textId="77777777" w:rsidR="00E40F8E" w:rsidRPr="00271E51" w:rsidRDefault="00E40F8E" w:rsidP="00271E51">
      <w:pPr>
        <w:spacing w:after="0" w:line="240" w:lineRule="auto"/>
        <w:jc w:val="both"/>
        <w:rPr>
          <w:rFonts w:ascii="Times New Roman" w:hAnsi="Times New Roman"/>
          <w:color w:val="000000" w:themeColor="text1"/>
          <w:sz w:val="16"/>
          <w:szCs w:val="16"/>
        </w:rPr>
      </w:pPr>
    </w:p>
    <w:p w14:paraId="7B8A59B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5A00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2F1F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был готов второй Як-1М и с 20 по 30 сентября проходили заводские испытания (198,54).</w:t>
      </w:r>
    </w:p>
    <w:p w14:paraId="72D77D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B5E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 на основе результатов продувок Як-1М в аэродинамической трубе ЦАГИ для поиска дополнительных мер по улучшению обводов и работы устройств охлаждения в августе,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138406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4AE8A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5DB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Зам. Нач. НИИ ВВС Федоров утвердил Отчет по результатам испытаний фонаря кабины пилота с аварийным сбрасыванием в ремонтном варианте , установленном заводом 381 на Ла-5 N 3810302Ф (1783,161).</w:t>
      </w:r>
    </w:p>
    <w:p w14:paraId="5372ED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002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сентября 1943 были прекращены испытания Ла-5 </w:t>
      </w:r>
      <w:r w:rsidR="002E07F8" w:rsidRPr="00271E51">
        <w:rPr>
          <w:rFonts w:ascii="Times New Roman" w:hAnsi="Times New Roman"/>
          <w:color w:val="000000" w:themeColor="text1"/>
          <w:sz w:val="16"/>
          <w:szCs w:val="16"/>
        </w:rPr>
        <w:t>М</w:t>
      </w:r>
      <w:r w:rsidRPr="00271E51">
        <w:rPr>
          <w:rFonts w:ascii="Times New Roman" w:hAnsi="Times New Roman"/>
          <w:color w:val="000000" w:themeColor="text1"/>
          <w:sz w:val="16"/>
          <w:szCs w:val="16"/>
        </w:rPr>
        <w:t>-82ФН 2ТК-3 на заводе 21. Обнаружили стружку и меняли мотор. ТК работали хорошо. Достигли 12500 м (1458,239).</w:t>
      </w:r>
    </w:p>
    <w:p w14:paraId="4A6137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DE09F"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второй вариант Ла-5 с М-82ФН (винт ВИШ-105В) и двумя ТК-3 (в некоторых документах он называется «ФТК») поставили в цех для замены мотора, установки нового увеличен</w:t>
      </w:r>
      <w:r w:rsidRPr="00271E51">
        <w:rPr>
          <w:rFonts w:ascii="Times New Roman" w:hAnsi="Times New Roman"/>
          <w:color w:val="000000" w:themeColor="text1"/>
          <w:sz w:val="16"/>
          <w:szCs w:val="16"/>
        </w:rPr>
        <w:softHyphen/>
        <w:t>ного масляного радиатора и выполнения рекомендаций НИИ ВВС по применению сис</w:t>
      </w:r>
      <w:r w:rsidRPr="00271E51">
        <w:rPr>
          <w:rFonts w:ascii="Times New Roman" w:hAnsi="Times New Roman"/>
          <w:color w:val="000000" w:themeColor="text1"/>
          <w:sz w:val="16"/>
          <w:szCs w:val="16"/>
        </w:rPr>
        <w:softHyphen/>
        <w:t xml:space="preserve">темы впрыска воды в цилиндры мотора для снижения температур их головок. Заодно на машину поставили дополнительный бензобак на 60 кг, маслопомпу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 xml:space="preserve">-1 заменили на </w:t>
      </w:r>
      <w:r w:rsidRPr="00271E51">
        <w:rPr>
          <w:rFonts w:ascii="Times New Roman" w:hAnsi="Times New Roman"/>
          <w:color w:val="000000" w:themeColor="text1"/>
          <w:sz w:val="16"/>
          <w:szCs w:val="16"/>
          <w:lang w:val="en-US"/>
        </w:rPr>
        <w:t>MLU</w:t>
      </w:r>
      <w:r w:rsidRPr="00271E51">
        <w:rPr>
          <w:rFonts w:ascii="Times New Roman" w:hAnsi="Times New Roman"/>
          <w:color w:val="000000" w:themeColor="text1"/>
          <w:sz w:val="16"/>
          <w:szCs w:val="16"/>
        </w:rPr>
        <w:t>-5, что в свою очередь потребовало переделки маслопровода. Все доводочные ра</w:t>
      </w:r>
      <w:r w:rsidRPr="00271E51">
        <w:rPr>
          <w:rFonts w:ascii="Times New Roman" w:hAnsi="Times New Roman"/>
          <w:color w:val="000000" w:themeColor="text1"/>
          <w:sz w:val="16"/>
          <w:szCs w:val="16"/>
        </w:rPr>
        <w:softHyphen/>
        <w:t>боты завершили в начале октября, и седьмого числа этого месяца, с целью продолже</w:t>
      </w:r>
      <w:r w:rsidRPr="00271E51">
        <w:rPr>
          <w:rFonts w:ascii="Times New Roman" w:hAnsi="Times New Roman"/>
          <w:color w:val="000000" w:themeColor="text1"/>
          <w:sz w:val="16"/>
          <w:szCs w:val="16"/>
        </w:rPr>
        <w:softHyphen/>
        <w:t>ния лётных испытаний, в Горький вылетел лётчик-испытатель ЛИИ Г.М. Шиянов, не успев даже закончить испытания другого самолёта (15830).</w:t>
      </w:r>
    </w:p>
    <w:p w14:paraId="3F8EE2F8" w14:textId="77777777" w:rsidR="00BC511E" w:rsidRPr="00271E51" w:rsidRDefault="00BC511E" w:rsidP="00271E51">
      <w:pPr>
        <w:spacing w:after="0" w:line="240" w:lineRule="auto"/>
        <w:jc w:val="both"/>
        <w:rPr>
          <w:rFonts w:ascii="Times New Roman" w:hAnsi="Times New Roman"/>
          <w:color w:val="000000" w:themeColor="text1"/>
          <w:sz w:val="16"/>
          <w:szCs w:val="16"/>
        </w:rPr>
      </w:pPr>
    </w:p>
    <w:p w14:paraId="67A608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вышел приказ НКАП N 557 о повышении классности ли:</w:t>
      </w:r>
    </w:p>
    <w:p w14:paraId="67959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3 в 1 А.В.Большакова (21).</w:t>
      </w:r>
    </w:p>
    <w:p w14:paraId="6FE88C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2 в 1 А.Н.Гринчика</w:t>
      </w:r>
    </w:p>
    <w:p w14:paraId="4758AE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5 в 4 Н.В.Адамовича</w:t>
      </w:r>
    </w:p>
    <w:p w14:paraId="3029EE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сохранить:</w:t>
      </w:r>
    </w:p>
    <w:p w14:paraId="53C124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М.П.Галлай, Н.С.Рыбко</w:t>
      </w:r>
    </w:p>
    <w:p w14:paraId="33944B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А.А.Ефимову... (942,127).</w:t>
      </w:r>
    </w:p>
    <w:p w14:paraId="5B241F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19D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4153 О проектировании и изготовлении мощных авиационных пушек.РГАНИР, Фонд ГКО, д. 152, лл. 54-57, 58-63 (11012).</w:t>
      </w:r>
    </w:p>
    <w:p w14:paraId="5154BE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61B64"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4153 О проектировании и изготовлении мощных авиационных пушек</w:t>
      </w:r>
    </w:p>
    <w:p w14:paraId="5A25AFBB" w14:textId="77777777" w:rsidR="002E07F8" w:rsidRPr="00271E51" w:rsidRDefault="002E07F8"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целях создания новой конструкции авиационных пу</w:t>
      </w:r>
      <w:r w:rsidRPr="00271E51">
        <w:rPr>
          <w:rFonts w:ascii="Times New Roman" w:hAnsi="Times New Roman" w:cs="Times New Roman"/>
          <w:color w:val="000000" w:themeColor="text1"/>
          <w:sz w:val="16"/>
          <w:szCs w:val="16"/>
        </w:rPr>
        <w:softHyphen/>
        <w:t>шек большой мощности, могущих вести борьбу с самолетами и танками противника не дальностях 120О-150О к., для воо</w:t>
      </w:r>
      <w:r w:rsidRPr="00271E51">
        <w:rPr>
          <w:rFonts w:ascii="Times New Roman" w:hAnsi="Times New Roman" w:cs="Times New Roman"/>
          <w:color w:val="000000" w:themeColor="text1"/>
          <w:sz w:val="16"/>
          <w:szCs w:val="16"/>
        </w:rPr>
        <w:softHyphen/>
        <w:t>ружения</w:t>
      </w:r>
      <w:r w:rsidRPr="00271E51">
        <w:rPr>
          <w:rStyle w:val="-1pt"/>
          <w:rFonts w:ascii="Times New Roman" w:hAnsi="Times New Roman" w:cs="Times New Roman"/>
          <w:color w:val="000000" w:themeColor="text1"/>
          <w:spacing w:val="0"/>
          <w:sz w:val="16"/>
          <w:szCs w:val="16"/>
        </w:rPr>
        <w:t>и ими</w:t>
      </w:r>
      <w:r w:rsidRPr="00271E51">
        <w:rPr>
          <w:rFonts w:ascii="Times New Roman" w:hAnsi="Times New Roman" w:cs="Times New Roman"/>
          <w:color w:val="000000" w:themeColor="text1"/>
          <w:sz w:val="16"/>
          <w:szCs w:val="16"/>
        </w:rPr>
        <w:t xml:space="preserve"> двухмоторных самолетов истребителей и штур</w:t>
      </w:r>
      <w:r w:rsidRPr="00271E51">
        <w:rPr>
          <w:rFonts w:ascii="Times New Roman" w:hAnsi="Times New Roman" w:cs="Times New Roman"/>
          <w:color w:val="000000" w:themeColor="text1"/>
          <w:sz w:val="16"/>
          <w:szCs w:val="16"/>
        </w:rPr>
        <w:softHyphen/>
        <w:t>мовиков, Государственный Комитет Обороны постановляет:</w:t>
      </w:r>
    </w:p>
    <w:p w14:paraId="72D3820E" w14:textId="77777777" w:rsidR="002E07F8" w:rsidRPr="00271E51" w:rsidRDefault="002E07F8"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Обязать Наркомат Вооружения (т.Устинова Д.Ф.):</w:t>
      </w:r>
    </w:p>
    <w:p w14:paraId="37314D38" w14:textId="77777777" w:rsidR="002E07F8" w:rsidRPr="00271E51" w:rsidRDefault="002E07F8" w:rsidP="00271E51">
      <w:pPr>
        <w:pStyle w:val="47"/>
        <w:shd w:val="clear" w:color="auto" w:fill="auto"/>
        <w:tabs>
          <w:tab w:val="left" w:pos="1078"/>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 изготовить в СКБ-15 НКВ (т.Шпитального), ОКБ-16 НКВ (т.Дорохина Г.Д.) и в ЦАКБ НКВ (т.Грабина В.Г.) к 1 января 1944 г. и пред"явить Нвучно-испытательному ин</w:t>
      </w:r>
      <w:r w:rsidRPr="00271E51">
        <w:rPr>
          <w:rFonts w:ascii="Times New Roman" w:hAnsi="Times New Roman" w:cs="Times New Roman"/>
          <w:color w:val="000000" w:themeColor="text1"/>
          <w:sz w:val="16"/>
          <w:szCs w:val="16"/>
        </w:rPr>
        <w:softHyphen/>
        <w:t>ституту авиационного вооружения ВВС Красной Армии для про</w:t>
      </w:r>
      <w:r w:rsidRPr="00271E51">
        <w:rPr>
          <w:rFonts w:ascii="Times New Roman" w:hAnsi="Times New Roman" w:cs="Times New Roman"/>
          <w:color w:val="000000" w:themeColor="text1"/>
          <w:sz w:val="16"/>
          <w:szCs w:val="16"/>
        </w:rPr>
        <w:softHyphen/>
        <w:t>ведения полигонных наземных испытаний по одной авиационной пушке калибра 57мм с начальной скоростью 720-750м/сек. и со сменным стволом под калибр 45 мм с начальной скоро</w:t>
      </w:r>
      <w:r w:rsidRPr="00271E51">
        <w:rPr>
          <w:rFonts w:ascii="Times New Roman" w:hAnsi="Times New Roman" w:cs="Times New Roman"/>
          <w:color w:val="000000" w:themeColor="text1"/>
          <w:sz w:val="16"/>
          <w:szCs w:val="16"/>
        </w:rPr>
        <w:softHyphen/>
        <w:t xml:space="preserve">сть» не ниже 960 м/сек. и со сменными деталями питания. Остальные данные пушки в соответствии с тактико-техническими требованиями (приложение № </w:t>
      </w:r>
      <w:r w:rsidRPr="00271E51">
        <w:rPr>
          <w:rStyle w:val="1pt"/>
          <w:rFonts w:ascii="Times New Roman" w:hAnsi="Times New Roman" w:cs="Times New Roman"/>
          <w:color w:val="000000" w:themeColor="text1"/>
          <w:spacing w:val="0"/>
          <w:sz w:val="16"/>
          <w:szCs w:val="16"/>
        </w:rPr>
        <w:t>1);</w:t>
      </w:r>
    </w:p>
    <w:p w14:paraId="796C3A2D"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изготовить в ОКБЛ-46 НКВ (т.Чарнко Е.В.) к 1 ян</w:t>
      </w:r>
      <w:r w:rsidRPr="00271E51">
        <w:rPr>
          <w:rFonts w:ascii="Times New Roman" w:hAnsi="Times New Roman"/>
          <w:color w:val="000000" w:themeColor="text1"/>
          <w:sz w:val="16"/>
          <w:szCs w:val="16"/>
        </w:rPr>
        <w:softHyphen/>
        <w:t>варя 1944 г. и пред"явить Научно-испытательному институ</w:t>
      </w:r>
      <w:r w:rsidRPr="00271E51">
        <w:rPr>
          <w:rFonts w:ascii="Times New Roman" w:hAnsi="Times New Roman"/>
          <w:color w:val="000000" w:themeColor="text1"/>
          <w:sz w:val="16"/>
          <w:szCs w:val="16"/>
        </w:rPr>
        <w:softHyphen/>
        <w:t>ту авиационного вооружения ВВС Красной Армии для прове</w:t>
      </w:r>
      <w:r w:rsidRPr="00271E51">
        <w:rPr>
          <w:rFonts w:ascii="Times New Roman" w:hAnsi="Times New Roman"/>
          <w:color w:val="000000" w:themeColor="text1"/>
          <w:sz w:val="16"/>
          <w:szCs w:val="16"/>
        </w:rPr>
        <w:softHyphen/>
        <w:t>дения наземных полигонных испытаний одну авиационную пуш</w:t>
      </w:r>
      <w:r w:rsidRPr="00271E51">
        <w:rPr>
          <w:rFonts w:ascii="Times New Roman" w:hAnsi="Times New Roman"/>
          <w:color w:val="000000" w:themeColor="text1"/>
          <w:sz w:val="16"/>
          <w:szCs w:val="16"/>
        </w:rPr>
        <w:softHyphen/>
        <w:t>ку калибра 57 мм с начальной скоростью не ниже 1000 м/сек. Остальные данные пушки в соответствии с тактико-техниче</w:t>
      </w:r>
      <w:r w:rsidRPr="00271E51">
        <w:rPr>
          <w:rFonts w:ascii="Times New Roman" w:hAnsi="Times New Roman"/>
          <w:color w:val="000000" w:themeColor="text1"/>
          <w:sz w:val="16"/>
          <w:szCs w:val="16"/>
        </w:rPr>
        <w:softHyphen/>
        <w:t>скими требованиями (приложение</w:t>
      </w:r>
      <w:r w:rsidRPr="00271E51">
        <w:rPr>
          <w:rStyle w:val="0pt2"/>
          <w:rFonts w:ascii="Times New Roman" w:hAnsi="Times New Roman" w:cs="Times New Roman"/>
          <w:color w:val="000000" w:themeColor="text1"/>
          <w:spacing w:val="0"/>
          <w:sz w:val="16"/>
          <w:szCs w:val="16"/>
        </w:rPr>
        <w:t xml:space="preserve"> 2)</w:t>
      </w:r>
    </w:p>
    <w:p w14:paraId="4800D293"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 подать в Научно-испытательный институт авиа</w:t>
      </w:r>
      <w:r w:rsidRPr="00271E51">
        <w:rPr>
          <w:rFonts w:ascii="Times New Roman" w:hAnsi="Times New Roman"/>
          <w:color w:val="000000" w:themeColor="text1"/>
          <w:sz w:val="16"/>
          <w:szCs w:val="16"/>
        </w:rPr>
        <w:softHyphen/>
        <w:t>ционного вооружения ВВС Красной Армии со станками для отстрела на земле и с необходимой технической документацией;</w:t>
      </w:r>
    </w:p>
    <w:p w14:paraId="629B1F8D" w14:textId="77777777" w:rsidR="002E07F8" w:rsidRPr="00271E51" w:rsidRDefault="002E07F8" w:rsidP="00271E51">
      <w:pPr>
        <w:tabs>
          <w:tab w:val="left" w:pos="95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подать Наркомату Боеприпасов к 15 ноября 1943 г. по одному баллистическому стволу калибра 57 мм и 45 мм для отстрела боеприпасов, подлежащих отработке;</w:t>
      </w:r>
    </w:p>
    <w:p w14:paraId="74164F5E" w14:textId="77777777" w:rsidR="002E07F8" w:rsidRPr="00271E51" w:rsidRDefault="002E07F8" w:rsidP="00271E51">
      <w:pPr>
        <w:tabs>
          <w:tab w:val="left" w:pos="95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представить в 3-х дневный срок Наркомату Боепри</w:t>
      </w:r>
      <w:r w:rsidRPr="00271E51">
        <w:rPr>
          <w:rFonts w:ascii="Times New Roman" w:hAnsi="Times New Roman"/>
          <w:color w:val="000000" w:themeColor="text1"/>
          <w:sz w:val="16"/>
          <w:szCs w:val="16"/>
        </w:rPr>
        <w:softHyphen/>
        <w:t>пасов для согласования и учета при проектировании бое</w:t>
      </w:r>
      <w:r w:rsidRPr="00271E51">
        <w:rPr>
          <w:rFonts w:ascii="Times New Roman" w:hAnsi="Times New Roman"/>
          <w:color w:val="000000" w:themeColor="text1"/>
          <w:sz w:val="16"/>
          <w:szCs w:val="16"/>
        </w:rPr>
        <w:softHyphen/>
        <w:t>припасов величины средних и максимальных давлений, от</w:t>
      </w:r>
      <w:r w:rsidRPr="00271E51">
        <w:rPr>
          <w:rFonts w:ascii="Times New Roman" w:hAnsi="Times New Roman"/>
          <w:color w:val="000000" w:themeColor="text1"/>
          <w:sz w:val="16"/>
          <w:szCs w:val="16"/>
        </w:rPr>
        <w:softHyphen/>
        <w:t>дельно для каждой проектируемой системы.</w:t>
      </w:r>
    </w:p>
    <w:p w14:paraId="16EFBF9D" w14:textId="77777777" w:rsidR="002E07F8" w:rsidRPr="00271E51" w:rsidRDefault="002E07F8" w:rsidP="00271E51">
      <w:pPr>
        <w:tabs>
          <w:tab w:val="left" w:pos="95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конструкторов Наркомата Вооружения вести отработку авивпушек применительно к габаритам, допускающим их установку на существующие самолеты.</w:t>
      </w:r>
    </w:p>
    <w:p w14:paraId="0696A442" w14:textId="77777777" w:rsidR="002E07F8" w:rsidRPr="00271E51" w:rsidRDefault="002E07F8" w:rsidP="00271E51">
      <w:pPr>
        <w:tabs>
          <w:tab w:val="left" w:pos="95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конструкторские бюро Наркомата Вооруже</w:t>
      </w:r>
      <w:r w:rsidRPr="00271E51">
        <w:rPr>
          <w:rFonts w:ascii="Times New Roman" w:hAnsi="Times New Roman"/>
          <w:color w:val="000000" w:themeColor="text1"/>
          <w:sz w:val="16"/>
          <w:szCs w:val="16"/>
        </w:rPr>
        <w:softHyphen/>
        <w:t>ния (т.т. Шпитального, Дорохина, Грабина и Чарнко) не позднее 1 ноября 1943 г. представить Наркомату Авиационной Промышленности габаритные чертежи пушек, с указанием точек крепления, элементов питания и управления огнем, в Наркомату Авиационной Промышленности в 20-ти дневный срок рассмотреть их и дать заключение о возможности установки на серийные самолеты.</w:t>
      </w:r>
    </w:p>
    <w:p w14:paraId="5C28309F" w14:textId="77777777" w:rsidR="002E07F8" w:rsidRPr="00271E51" w:rsidRDefault="002E07F8" w:rsidP="00271E51">
      <w:pPr>
        <w:tabs>
          <w:tab w:val="left" w:pos="97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4. Обязать ВВС Крвсной Армии (т.Репина А.К.) к 1 февраля 1944 г. провести наземные испытания новых конструкций мощных авиапушек калибра 57 мм и 45 мм и представить в Государственный Комитет Обороны отчет о результатах испытаний.</w:t>
      </w:r>
    </w:p>
    <w:p w14:paraId="0CDE29E4" w14:textId="77777777" w:rsidR="002E07F8" w:rsidRPr="00271E51" w:rsidRDefault="002E07F8" w:rsidP="00271E51">
      <w:pPr>
        <w:tabs>
          <w:tab w:val="left" w:pos="95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целях обеспечения быстрого разрешения вопросов выбора новых материалов и установления обработки стволов и других деталей авиационных пушек, обеспечивающих снижение их весе и необходимую живучесть, разрешить Наркомату Вооружения (т.Устинову Д.Ф.) организовать в Москве филиал Научно-Исследовательского 'Института № 13 НКВ.</w:t>
      </w:r>
    </w:p>
    <w:p w14:paraId="41F9D968" w14:textId="77777777" w:rsidR="002E07F8" w:rsidRPr="00271E51" w:rsidRDefault="002E07F8" w:rsidP="00271E51">
      <w:pPr>
        <w:pStyle w:val="27"/>
        <w:shd w:val="clear" w:color="auto" w:fill="auto"/>
        <w:tabs>
          <w:tab w:val="left" w:pos="95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 Обязать Наркомат Вооружения (т.Устинова Д.Ф.) и директоров заводов № 92 НКВ (т.Елян А.С.) и № 172 (т.Быховского А.И.):</w:t>
      </w:r>
    </w:p>
    <w:p w14:paraId="291652DC" w14:textId="77777777" w:rsidR="002E07F8" w:rsidRPr="00271E51" w:rsidRDefault="002E07F8" w:rsidP="00271E51">
      <w:pPr>
        <w:pStyle w:val="27"/>
        <w:shd w:val="clear" w:color="auto" w:fill="auto"/>
        <w:tabs>
          <w:tab w:val="left" w:pos="9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а) изготовить на заводе № 92 НКВ и подать ЦАКБ НКВ, ОКБ-15 НКВ, ОКБЛ-46 НКВ и ОКБ-16 НКВ к 25 октября 1943г. обработанные стволы и к 15 октября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 литье и поков</w:t>
      </w:r>
      <w:r w:rsidRPr="00271E51">
        <w:rPr>
          <w:rFonts w:ascii="Times New Roman" w:cs="Times New Roman"/>
          <w:color w:val="000000" w:themeColor="text1"/>
          <w:spacing w:val="0"/>
        </w:rPr>
        <w:softHyphen/>
        <w:t>ки для 57мм авиационных пушек по чертежам, техническим условиям и спецификациям ЦАКБ НКВ, ОКБ-15, ОКБЛ-46 и ОКБ-16, утвержденным Наркоматом Вооружения;</w:t>
      </w:r>
    </w:p>
    <w:p w14:paraId="587580DC" w14:textId="77777777" w:rsidR="002E07F8" w:rsidRPr="00271E51" w:rsidRDefault="002E07F8" w:rsidP="00271E51">
      <w:pPr>
        <w:pStyle w:val="27"/>
        <w:shd w:val="clear" w:color="auto" w:fill="auto"/>
        <w:tabs>
          <w:tab w:val="left" w:pos="9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б) изготовить на заводе № </w:t>
      </w:r>
      <w:r w:rsidRPr="00271E51">
        <w:rPr>
          <w:rStyle w:val="0pt"/>
          <w:rFonts w:ascii="Times New Roman" w:cs="Times New Roman"/>
          <w:color w:val="000000" w:themeColor="text1"/>
          <w:spacing w:val="0"/>
          <w:sz w:val="16"/>
          <w:szCs w:val="16"/>
        </w:rPr>
        <w:t>172</w:t>
      </w:r>
      <w:r w:rsidRPr="00271E51">
        <w:rPr>
          <w:rFonts w:ascii="Times New Roman" w:cs="Times New Roman"/>
          <w:color w:val="000000" w:themeColor="text1"/>
          <w:spacing w:val="0"/>
        </w:rPr>
        <w:t xml:space="preserve"> НКВ и подать ЦАКБ НКВ, ОКБ-15 НКВ и ОКБ-16 НКЗ к 25 октября 1943г. обработанные стволы для 45 мм авиационных пушек и к 15 октября 1843г. литье и поковки для 45 мм авиационных пушек по чертогам, техническим условиям и спецификациям ЦАКБ НКВ и ОКБ-16 НКЗ, утвержденным Наркоматом Вооружения.</w:t>
      </w:r>
    </w:p>
    <w:p w14:paraId="2EDD67F1" w14:textId="77777777" w:rsidR="002E07F8" w:rsidRPr="00271E51" w:rsidRDefault="002E07F8" w:rsidP="00271E51">
      <w:pPr>
        <w:pStyle w:val="27"/>
        <w:shd w:val="clear" w:color="auto" w:fill="auto"/>
        <w:tabs>
          <w:tab w:val="left" w:pos="95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7. Обязать Наркомвт Боеприпасов (т.Ванникова</w:t>
      </w:r>
      <w:r w:rsidRPr="00271E51">
        <w:rPr>
          <w:rStyle w:val="Calibri12pt0pt"/>
          <w:rFonts w:ascii="Times New Roman" w:hAnsi="Times New Roman" w:cs="Times New Roman"/>
          <w:color w:val="000000" w:themeColor="text1"/>
          <w:sz w:val="16"/>
          <w:szCs w:val="16"/>
        </w:rPr>
        <w:t xml:space="preserve"> </w:t>
      </w:r>
      <w:r w:rsidRPr="00271E51">
        <w:rPr>
          <w:rStyle w:val="Calibri12pt0pt"/>
          <w:rFonts w:ascii="Times New Roman" w:hAnsi="Times New Roman" w:cs="Times New Roman"/>
          <w:b w:val="0"/>
          <w:color w:val="000000" w:themeColor="text1"/>
          <w:sz w:val="16"/>
          <w:szCs w:val="16"/>
        </w:rPr>
        <w:t>Б</w:t>
      </w:r>
      <w:r w:rsidRPr="00271E51">
        <w:rPr>
          <w:rStyle w:val="0pt"/>
          <w:rFonts w:ascii="Times New Roman" w:cs="Times New Roman"/>
          <w:color w:val="000000" w:themeColor="text1"/>
          <w:spacing w:val="0"/>
          <w:sz w:val="16"/>
          <w:szCs w:val="16"/>
        </w:rPr>
        <w:t xml:space="preserve">.Л«) </w:t>
      </w:r>
      <w:r w:rsidRPr="00271E51">
        <w:rPr>
          <w:rFonts w:ascii="Times New Roman" w:cs="Times New Roman"/>
          <w:color w:val="000000" w:themeColor="text1"/>
          <w:spacing w:val="0"/>
        </w:rPr>
        <w:t>отработать боеприпасы для пушек, перечисленных в п.1-м настоящего постановления, в соответствии с тактико-техни</w:t>
      </w:r>
      <w:r w:rsidRPr="00271E51">
        <w:rPr>
          <w:rFonts w:ascii="Times New Roman" w:cs="Times New Roman"/>
          <w:color w:val="000000" w:themeColor="text1"/>
          <w:spacing w:val="0"/>
        </w:rPr>
        <w:softHyphen/>
        <w:t>ческими требованиями (приложения № 1 и 2) и подать их:</w:t>
      </w:r>
    </w:p>
    <w:p w14:paraId="7EE9513A"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а) ОКБ-15 -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штук для 57мм пушки к 1 декабря 1943г.</w:t>
      </w:r>
    </w:p>
    <w:p w14:paraId="57DE259D"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ab/>
        <w:t>2000 - 45</w:t>
      </w:r>
    </w:p>
    <w:p w14:paraId="0055E882" w14:textId="77777777" w:rsidR="002E07F8" w:rsidRPr="00271E51" w:rsidRDefault="002E07F8" w:rsidP="00271E51">
      <w:pPr>
        <w:pStyle w:val="27"/>
        <w:shd w:val="clear" w:color="auto" w:fill="auto"/>
        <w:tabs>
          <w:tab w:val="left" w:pos="95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б) ОКБ-16 -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штук для 57мм пушки к 1 декабря 1943г.</w:t>
      </w:r>
    </w:p>
    <w:p w14:paraId="7AC568FD"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ab/>
        <w:t>2000 - 45</w:t>
      </w:r>
    </w:p>
    <w:p w14:paraId="0259A0BC"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ЦАКБ -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штук для 57мм пушки к 1 декабря 1943г.</w:t>
      </w:r>
    </w:p>
    <w:p w14:paraId="437800AC"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ab/>
        <w:t>2000 - 45</w:t>
      </w:r>
    </w:p>
    <w:p w14:paraId="6DBE9F0D" w14:textId="77777777" w:rsidR="002E07F8" w:rsidRPr="00271E51" w:rsidRDefault="002E07F8" w:rsidP="00271E51">
      <w:pPr>
        <w:pStyle w:val="27"/>
        <w:shd w:val="clear" w:color="auto" w:fill="auto"/>
        <w:tabs>
          <w:tab w:val="left" w:pos="3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г) ОКБ-43 -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штук для 57мм пушки к 1 декабря 1943г.</w:t>
      </w:r>
    </w:p>
    <w:p w14:paraId="44E89B07"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 общего количества подаваемых Конструкторским Бю</w:t>
      </w:r>
      <w:r w:rsidRPr="00271E51">
        <w:rPr>
          <w:rFonts w:ascii="Times New Roman" w:cs="Times New Roman"/>
          <w:color w:val="000000" w:themeColor="text1"/>
          <w:spacing w:val="0"/>
        </w:rPr>
        <w:softHyphen/>
        <w:t>ро боеприпасов подать каждого квлибра каждому Конструктор</w:t>
      </w:r>
      <w:r w:rsidRPr="00271E51">
        <w:rPr>
          <w:rFonts w:ascii="Times New Roman" w:cs="Times New Roman"/>
          <w:color w:val="000000" w:themeColor="text1"/>
          <w:spacing w:val="0"/>
        </w:rPr>
        <w:softHyphen/>
        <w:t xml:space="preserve">скому Бюро по </w:t>
      </w:r>
      <w:r w:rsidRPr="00271E51">
        <w:rPr>
          <w:rStyle w:val="0pt"/>
          <w:rFonts w:ascii="Times New Roman" w:cs="Times New Roman"/>
          <w:color w:val="000000" w:themeColor="text1"/>
          <w:spacing w:val="0"/>
          <w:sz w:val="16"/>
          <w:szCs w:val="16"/>
        </w:rPr>
        <w:t>500</w:t>
      </w:r>
      <w:r w:rsidRPr="00271E51">
        <w:rPr>
          <w:rFonts w:ascii="Times New Roman" w:cs="Times New Roman"/>
          <w:color w:val="000000" w:themeColor="text1"/>
          <w:spacing w:val="0"/>
        </w:rPr>
        <w:t xml:space="preserve"> штук боевых, а прочие лафетопробные;</w:t>
      </w:r>
    </w:p>
    <w:p w14:paraId="2A902533"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д) ВВС КА - на проведение полигонных испытаний - </w:t>
      </w:r>
      <w:r w:rsidRPr="00271E51">
        <w:rPr>
          <w:rStyle w:val="0pt"/>
          <w:rFonts w:ascii="Times New Roman" w:cs="Times New Roman"/>
          <w:color w:val="000000" w:themeColor="text1"/>
          <w:spacing w:val="0"/>
          <w:sz w:val="16"/>
          <w:szCs w:val="16"/>
        </w:rPr>
        <w:t>8000</w:t>
      </w:r>
      <w:r w:rsidRPr="00271E51">
        <w:rPr>
          <w:rFonts w:ascii="Times New Roman" w:cs="Times New Roman"/>
          <w:color w:val="000000" w:themeColor="text1"/>
          <w:spacing w:val="0"/>
        </w:rPr>
        <w:t xml:space="preserve"> штук для 57мм пушек и </w:t>
      </w:r>
      <w:r w:rsidRPr="00271E51">
        <w:rPr>
          <w:rStyle w:val="0pt"/>
          <w:rFonts w:ascii="Times New Roman" w:cs="Times New Roman"/>
          <w:color w:val="000000" w:themeColor="text1"/>
          <w:spacing w:val="0"/>
          <w:sz w:val="16"/>
          <w:szCs w:val="16"/>
        </w:rPr>
        <w:t>6000</w:t>
      </w:r>
      <w:r w:rsidRPr="00271E51">
        <w:rPr>
          <w:rFonts w:ascii="Times New Roman" w:cs="Times New Roman"/>
          <w:color w:val="000000" w:themeColor="text1"/>
          <w:spacing w:val="0"/>
        </w:rPr>
        <w:t xml:space="preserve"> штук для 45мм пушек к 15 декэбря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rPr>
        <w:t xml:space="preserve"> г. (из них по </w:t>
      </w:r>
      <w:r w:rsidRPr="00271E51">
        <w:rPr>
          <w:rStyle w:val="0pt"/>
          <w:rFonts w:ascii="Times New Roman" w:cs="Times New Roman"/>
          <w:color w:val="000000" w:themeColor="text1"/>
          <w:spacing w:val="0"/>
          <w:sz w:val="16"/>
          <w:szCs w:val="16"/>
        </w:rPr>
        <w:t>500</w:t>
      </w:r>
      <w:r w:rsidRPr="00271E51">
        <w:rPr>
          <w:rFonts w:ascii="Times New Roman" w:cs="Times New Roman"/>
          <w:color w:val="000000" w:themeColor="text1"/>
          <w:spacing w:val="0"/>
        </w:rPr>
        <w:t xml:space="preserve"> шт. баллистических каждого калибра).</w:t>
      </w:r>
    </w:p>
    <w:p w14:paraId="76EFDE34" w14:textId="77777777" w:rsidR="002E07F8" w:rsidRPr="00271E51" w:rsidRDefault="002E07F8" w:rsidP="00271E51">
      <w:pPr>
        <w:tabs>
          <w:tab w:val="left" w:pos="9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Наркомфин СССР (т.Зверева Д.Г.) выделить</w:t>
      </w:r>
    </w:p>
    <w:p w14:paraId="6B2C786F" w14:textId="77777777" w:rsidR="002E07F8" w:rsidRPr="00271E51" w:rsidRDefault="002E07F8" w:rsidP="00271E51">
      <w:pPr>
        <w:tabs>
          <w:tab w:val="left" w:pos="94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Наркомату Вооружения СССР специальные ассигнова</w:t>
      </w:r>
      <w:r w:rsidRPr="00271E51">
        <w:rPr>
          <w:rFonts w:ascii="Times New Roman" w:hAnsi="Times New Roman"/>
          <w:color w:val="000000" w:themeColor="text1"/>
          <w:sz w:val="16"/>
          <w:szCs w:val="16"/>
        </w:rPr>
        <w:softHyphen/>
        <w:t>ния в размере 5 млн.рублей на проведение проектных работ, а также работ по изготовлению опытных образцов новыхавиационных пушек;</w:t>
      </w:r>
    </w:p>
    <w:p w14:paraId="24152ACB" w14:textId="77777777" w:rsidR="002E07F8" w:rsidRPr="00271E51" w:rsidRDefault="002E07F8" w:rsidP="00271E51">
      <w:pPr>
        <w:tabs>
          <w:tab w:val="left" w:pos="94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Наркомату Боеприпасов СССР специальные ассигно</w:t>
      </w:r>
      <w:r w:rsidRPr="00271E51">
        <w:rPr>
          <w:rFonts w:ascii="Times New Roman" w:hAnsi="Times New Roman"/>
          <w:color w:val="000000" w:themeColor="text1"/>
          <w:sz w:val="16"/>
          <w:szCs w:val="16"/>
        </w:rPr>
        <w:softHyphen/>
        <w:t>вания в размере 3 млн.рублей на разработку проектов и опытных перий боеприпасов к новым авиационным пушкам;</w:t>
      </w:r>
    </w:p>
    <w:p w14:paraId="5B1779F2" w14:textId="77777777" w:rsidR="002E07F8" w:rsidRPr="00271E51" w:rsidRDefault="002E07F8" w:rsidP="00271E51">
      <w:pPr>
        <w:tabs>
          <w:tab w:val="left" w:pos="94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Наркомату Авиационной Промышленности СССР - 3,5 млн.рублей для постройки 5-ти самолетов Як-9 и 2-х самолетоз Ил-2 с пушками калибра 45 мм, в соответствии с решениями ГОКО №№ 3948с, 3949с и 3950с от 18 августа 1943 </w:t>
      </w:r>
      <w:r w:rsidRPr="00271E51">
        <w:rPr>
          <w:rStyle w:val="2pt0"/>
          <w:rFonts w:ascii="Times New Roman" w:eastAsia="Calibri" w:hAnsi="Times New Roman" w:cs="Times New Roman"/>
          <w:color w:val="000000" w:themeColor="text1"/>
          <w:spacing w:val="0"/>
          <w:sz w:val="16"/>
          <w:szCs w:val="16"/>
        </w:rPr>
        <w:t>г.,</w:t>
      </w:r>
      <w:r w:rsidRPr="00271E51">
        <w:rPr>
          <w:rFonts w:ascii="Times New Roman" w:hAnsi="Times New Roman"/>
          <w:color w:val="000000" w:themeColor="text1"/>
          <w:sz w:val="16"/>
          <w:szCs w:val="16"/>
        </w:rPr>
        <w:t xml:space="preserve"> в том числе:</w:t>
      </w:r>
    </w:p>
    <w:p w14:paraId="2EAE2EB4"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 № 115 2.700.000 рублей</w:t>
      </w:r>
    </w:p>
    <w:p w14:paraId="6B42778B"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 № 240 - 800.000 рублей.</w:t>
      </w:r>
    </w:p>
    <w:p w14:paraId="6FF10CA0" w14:textId="77777777" w:rsidR="002E07F8" w:rsidRPr="00271E51" w:rsidRDefault="002E07F8" w:rsidP="00271E51">
      <w:pPr>
        <w:tabs>
          <w:tab w:val="left" w:pos="95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Установить для коллективов конструкторов Наркома та Вооружения, Наркома та Боеприпасов по одной денежной премии для каждого наркомата в размере 50 тыс.рублей каждая за лучшие образцы пушек и боеприпасов к ним, по</w:t>
      </w:r>
      <w:r w:rsidRPr="00271E51">
        <w:rPr>
          <w:rFonts w:ascii="Times New Roman" w:hAnsi="Times New Roman"/>
          <w:color w:val="000000" w:themeColor="text1"/>
          <w:sz w:val="16"/>
          <w:szCs w:val="16"/>
        </w:rPr>
        <w:softHyphen/>
        <w:t>денные в установленные настоящим постановлением сроки и выдержавшие полигонные наземные испытания. Премии подлежат выдаче в распоряжение начальников соответствующих конструкторских бюро Нвркоматов Вооружения и Боеприпасов для премирования отличившихся работников (19419).</w:t>
      </w:r>
    </w:p>
    <w:p w14:paraId="0D7E3D28" w14:textId="77777777" w:rsidR="00191C64" w:rsidRPr="00271E51" w:rsidRDefault="00191C6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CD1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4154 О проектировании и изготовлении 76 мм авиационных пушек.РГАНИР, Фонд ГКО, д. 152, лл. 64-66, 67-70 (11012).</w:t>
      </w:r>
    </w:p>
    <w:p w14:paraId="04063D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FB100"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4154 О проектировании и изготовлении 76 мм авиационных пушек</w:t>
      </w:r>
    </w:p>
    <w:p w14:paraId="1DE63980"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целях создания новых конструкций авиационных пушек большой мощности, могущих вести борьбу с само</w:t>
      </w:r>
      <w:r w:rsidRPr="00271E51">
        <w:rPr>
          <w:rFonts w:ascii="Times New Roman" w:cs="Times New Roman"/>
          <w:color w:val="000000" w:themeColor="text1"/>
          <w:spacing w:val="0"/>
        </w:rPr>
        <w:softHyphen/>
        <w:t>летами противника на дальностях до 800 метров, и вооружения ими самолетов, Государственный Комитет Обороны постановляет:</w:t>
      </w:r>
    </w:p>
    <w:p w14:paraId="24389794"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 Обязать Наркомат Вооружения (т.Устинова Д.Ф.):</w:t>
      </w:r>
    </w:p>
    <w:p w14:paraId="2A1BC576" w14:textId="77777777" w:rsidR="002E07F8" w:rsidRPr="00271E51" w:rsidRDefault="002E07F8" w:rsidP="00271E51">
      <w:pPr>
        <w:pStyle w:val="27"/>
        <w:shd w:val="clear" w:color="auto" w:fill="auto"/>
        <w:tabs>
          <w:tab w:val="left" w:pos="143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изготовить в ОКБ-15 НКВ (т.Шпитального Б.Г.), в ЦАКБ НКВ (т.Грабина В.Г.) к 15 января 1944г. и пред"явить ВВС Красной Армии для проведения полигон</w:t>
      </w:r>
      <w:r w:rsidRPr="00271E51">
        <w:rPr>
          <w:rFonts w:ascii="Times New Roman" w:cs="Times New Roman"/>
          <w:color w:val="000000" w:themeColor="text1"/>
          <w:spacing w:val="0"/>
        </w:rPr>
        <w:softHyphen/>
        <w:t>ных наземных испытаний по одной 76 мм автоматической авиационной пушке, с применением принципа ДРП, в со</w:t>
      </w:r>
      <w:r w:rsidRPr="00271E51">
        <w:rPr>
          <w:rFonts w:ascii="Times New Roman" w:cs="Times New Roman"/>
          <w:color w:val="000000" w:themeColor="text1"/>
          <w:spacing w:val="0"/>
        </w:rPr>
        <w:softHyphen/>
        <w:t>ответствии с тактико-техническими требованиями (при</w:t>
      </w:r>
      <w:r w:rsidRPr="00271E51">
        <w:rPr>
          <w:rFonts w:ascii="Times New Roman" w:cs="Times New Roman"/>
          <w:color w:val="000000" w:themeColor="text1"/>
          <w:spacing w:val="0"/>
        </w:rPr>
        <w:softHyphen/>
        <w:t>ложение № 1);</w:t>
      </w:r>
    </w:p>
    <w:p w14:paraId="0672F84B" w14:textId="77777777" w:rsidR="002E07F8" w:rsidRPr="00271E51" w:rsidRDefault="002E07F8" w:rsidP="00271E51">
      <w:pPr>
        <w:pStyle w:val="27"/>
        <w:shd w:val="clear" w:color="auto" w:fill="auto"/>
        <w:tabs>
          <w:tab w:val="left" w:pos="142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возобновить опытно-конструкторские работы по применению принципа динамически-реактивных пушек (ДРП), для чего организовать в ЦАКБ НКВ Отдел динами</w:t>
      </w:r>
      <w:r w:rsidRPr="00271E51">
        <w:rPr>
          <w:rFonts w:ascii="Times New Roman" w:cs="Times New Roman"/>
          <w:color w:val="000000" w:themeColor="text1"/>
          <w:spacing w:val="0"/>
        </w:rPr>
        <w:softHyphen/>
        <w:t>чески-реактивных пушек.</w:t>
      </w:r>
    </w:p>
    <w:p w14:paraId="03AC001C"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руководства этой работой привлечь инженер- полковника т.Глухарева К.К.</w:t>
      </w:r>
    </w:p>
    <w:p w14:paraId="788CE1C0"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отдел ДРП в ЦАКБ НКЕ перевести конструкторов, согласно списка в приложении № 2, ранее работавших над системами ДРП;</w:t>
      </w:r>
    </w:p>
    <w:p w14:paraId="4FBD69B3" w14:textId="77777777" w:rsidR="002E07F8" w:rsidRPr="00271E51" w:rsidRDefault="002E07F8" w:rsidP="00271E51">
      <w:pPr>
        <w:pStyle w:val="27"/>
        <w:shd w:val="clear" w:color="auto" w:fill="auto"/>
        <w:tabs>
          <w:tab w:val="left" w:pos="141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подать до 15 ноября 1943г. Наркомату Боепри</w:t>
      </w:r>
      <w:r w:rsidRPr="00271E51">
        <w:rPr>
          <w:rFonts w:ascii="Times New Roman" w:cs="Times New Roman"/>
          <w:color w:val="000000" w:themeColor="text1"/>
          <w:spacing w:val="0"/>
        </w:rPr>
        <w:softHyphen/>
        <w:t>пасов один 76 мм баллистический ствол для отстрела и отработки боеприпасов.</w:t>
      </w:r>
    </w:p>
    <w:p w14:paraId="308CE80C" w14:textId="77777777" w:rsidR="002E07F8" w:rsidRPr="00271E51" w:rsidRDefault="002E07F8" w:rsidP="00271E51">
      <w:pPr>
        <w:pStyle w:val="27"/>
        <w:shd w:val="clear" w:color="auto" w:fill="auto"/>
        <w:tabs>
          <w:tab w:val="left" w:pos="9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Обязать Конструкторские Бюро НКВ (т.т.Грабина, Шпитального) не позднее 15 ноября 1943г. представить Наркомату Авиационной промышленности габаритные черте</w:t>
      </w:r>
      <w:r w:rsidRPr="00271E51">
        <w:rPr>
          <w:rFonts w:ascii="Times New Roman" w:cs="Times New Roman"/>
          <w:color w:val="000000" w:themeColor="text1"/>
          <w:spacing w:val="0"/>
        </w:rPr>
        <w:softHyphen/>
        <w:t>жи с указанием точек крепления, элементов питания и управления огнем вышеуказанных пушек, а Наркомату Авиационной промышленности в 20-дневный срок рассмот</w:t>
      </w:r>
      <w:r w:rsidRPr="00271E51">
        <w:rPr>
          <w:rFonts w:ascii="Times New Roman" w:cs="Times New Roman"/>
          <w:color w:val="000000" w:themeColor="text1"/>
          <w:spacing w:val="0"/>
        </w:rPr>
        <w:softHyphen/>
        <w:t>реть их и дать заключение о возможности установки на серийные самолеты.</w:t>
      </w:r>
    </w:p>
    <w:p w14:paraId="28AEDD0B" w14:textId="77777777" w:rsidR="002E07F8" w:rsidRPr="00271E51" w:rsidRDefault="002E07F8" w:rsidP="00271E51">
      <w:pPr>
        <w:pStyle w:val="27"/>
        <w:shd w:val="clear" w:color="auto" w:fill="auto"/>
        <w:tabs>
          <w:tab w:val="left" w:pos="95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3. Обязать Наркомат Вооружения (т.Устинова Д.Ф.) и директоров заводов № 92 НКВ (т.Елян А.С.) и №- </w:t>
      </w:r>
      <w:r w:rsidRPr="00271E51">
        <w:rPr>
          <w:rStyle w:val="0pt"/>
          <w:rFonts w:ascii="Times New Roman" w:cs="Times New Roman"/>
          <w:color w:val="000000" w:themeColor="text1"/>
          <w:spacing w:val="0"/>
          <w:sz w:val="16"/>
          <w:szCs w:val="16"/>
        </w:rPr>
        <w:t xml:space="preserve">172 </w:t>
      </w:r>
      <w:r w:rsidRPr="00271E51">
        <w:rPr>
          <w:rFonts w:ascii="Times New Roman" w:cs="Times New Roman"/>
          <w:color w:val="000000" w:themeColor="text1"/>
          <w:spacing w:val="0"/>
        </w:rPr>
        <w:t>(т.Быховского А.И.) изготовить на заводе № 92 НКВ и подать ЦАКБ НКВ, ОКБ-15 НКВ к 15 ноября 1943г. обрабо</w:t>
      </w:r>
      <w:r w:rsidRPr="00271E51">
        <w:rPr>
          <w:rFonts w:ascii="Times New Roman" w:cs="Times New Roman"/>
          <w:color w:val="000000" w:themeColor="text1"/>
          <w:spacing w:val="0"/>
        </w:rPr>
        <w:softHyphen/>
        <w:t>танные стволы, литье и поковки для 76 мм авиационных пушек по чертежам, техническим условиям и специфика</w:t>
      </w:r>
      <w:r w:rsidRPr="00271E51">
        <w:rPr>
          <w:rFonts w:ascii="Times New Roman" w:cs="Times New Roman"/>
          <w:color w:val="000000" w:themeColor="text1"/>
          <w:spacing w:val="0"/>
        </w:rPr>
        <w:softHyphen/>
        <w:t>циям ЦАКБ НКВ, ОКБ-15 НКВ, утвержденным Наркоматом Вооружения.</w:t>
      </w:r>
    </w:p>
    <w:p w14:paraId="5762A9D0" w14:textId="77777777" w:rsidR="002E07F8" w:rsidRPr="00271E51" w:rsidRDefault="002E07F8" w:rsidP="00271E51">
      <w:pPr>
        <w:pStyle w:val="27"/>
        <w:shd w:val="clear" w:color="auto" w:fill="auto"/>
        <w:tabs>
          <w:tab w:val="left" w:pos="96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 Обязать Наркомат Боеприпасов (т.Банникова Б.Л.), по согласованным с Наркоматом Вооружения техническим условиям, отработать боеприпасы для 76 мм пушек и по</w:t>
      </w:r>
      <w:r w:rsidRPr="00271E51">
        <w:rPr>
          <w:rFonts w:ascii="Times New Roman" w:cs="Times New Roman"/>
          <w:color w:val="000000" w:themeColor="text1"/>
          <w:spacing w:val="0"/>
        </w:rPr>
        <w:softHyphen/>
        <w:t>дать их:</w:t>
      </w:r>
    </w:p>
    <w:p w14:paraId="7F1980F4" w14:textId="77777777" w:rsidR="002E07F8" w:rsidRPr="00271E51" w:rsidRDefault="002E07F8" w:rsidP="00271E51">
      <w:pPr>
        <w:pStyle w:val="27"/>
        <w:shd w:val="clear" w:color="auto" w:fill="auto"/>
        <w:tabs>
          <w:tab w:val="left" w:pos="9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а) ОКБ-15 -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 для 76мм пушки к 1 декабря 1943г.</w:t>
      </w:r>
    </w:p>
    <w:p w14:paraId="1074FC2A" w14:textId="77777777" w:rsidR="002E07F8" w:rsidRPr="00271E51" w:rsidRDefault="002E07F8" w:rsidP="00271E51">
      <w:pPr>
        <w:pStyle w:val="27"/>
        <w:shd w:val="clear" w:color="auto" w:fill="auto"/>
        <w:tabs>
          <w:tab w:val="left" w:pos="93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б) ЦАКБ -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 для 76мм</w:t>
      </w:r>
    </w:p>
    <w:p w14:paraId="72FAA3E8" w14:textId="77777777" w:rsidR="002E07F8" w:rsidRPr="00271E51" w:rsidRDefault="002E07F8" w:rsidP="00271E51">
      <w:pPr>
        <w:pStyle w:val="27"/>
        <w:shd w:val="clear" w:color="auto" w:fill="auto"/>
        <w:tabs>
          <w:tab w:val="left" w:pos="93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в) ВВС КА - на проведение полигонных испытаний </w:t>
      </w:r>
      <w:r w:rsidRPr="00271E51">
        <w:rPr>
          <w:rStyle w:val="0pt"/>
          <w:rFonts w:ascii="Times New Roman" w:cs="Times New Roman"/>
          <w:color w:val="000000" w:themeColor="text1"/>
          <w:spacing w:val="0"/>
          <w:sz w:val="16"/>
          <w:szCs w:val="16"/>
        </w:rPr>
        <w:t>2000</w:t>
      </w:r>
      <w:r w:rsidRPr="00271E51">
        <w:rPr>
          <w:rFonts w:ascii="Times New Roman" w:cs="Times New Roman"/>
          <w:color w:val="000000" w:themeColor="text1"/>
          <w:spacing w:val="0"/>
        </w:rPr>
        <w:t xml:space="preserve"> шт. к 76мм пушкам к 1 декабря </w:t>
      </w:r>
      <w:r w:rsidRPr="00271E51">
        <w:rPr>
          <w:rStyle w:val="0pt"/>
          <w:rFonts w:ascii="Times New Roman" w:cs="Times New Roman"/>
          <w:color w:val="000000" w:themeColor="text1"/>
          <w:spacing w:val="0"/>
          <w:sz w:val="16"/>
          <w:szCs w:val="16"/>
        </w:rPr>
        <w:t>1943</w:t>
      </w:r>
    </w:p>
    <w:p w14:paraId="146EF485"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 общего количества подаваемых КБ НКВ и ВВС КА выстрелов, подать по каждой системе и каждому Конструк</w:t>
      </w:r>
      <w:r w:rsidRPr="00271E51">
        <w:rPr>
          <w:rFonts w:ascii="Times New Roman" w:cs="Times New Roman"/>
          <w:color w:val="000000" w:themeColor="text1"/>
          <w:spacing w:val="0"/>
        </w:rPr>
        <w:softHyphen/>
        <w:t xml:space="preserve">торскому Бюро по </w:t>
      </w:r>
      <w:r w:rsidRPr="00271E51">
        <w:rPr>
          <w:rStyle w:val="0pt"/>
          <w:rFonts w:ascii="Times New Roman" w:cs="Times New Roman"/>
          <w:color w:val="000000" w:themeColor="text1"/>
          <w:spacing w:val="0"/>
          <w:sz w:val="16"/>
          <w:szCs w:val="16"/>
        </w:rPr>
        <w:t>500</w:t>
      </w:r>
      <w:r w:rsidRPr="00271E51">
        <w:rPr>
          <w:rFonts w:ascii="Times New Roman" w:cs="Times New Roman"/>
          <w:color w:val="000000" w:themeColor="text1"/>
          <w:spacing w:val="0"/>
        </w:rPr>
        <w:t xml:space="preserve"> выстрелов боевых, а прочие лафетопробные.</w:t>
      </w:r>
    </w:p>
    <w:p w14:paraId="7FA741E4" w14:textId="77777777" w:rsidR="002E07F8" w:rsidRPr="00271E51" w:rsidRDefault="002E07F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Обязать ВВС Красной Армии (т.Репина А.К.) к 15 фев</w:t>
      </w:r>
      <w:r w:rsidRPr="00271E51">
        <w:rPr>
          <w:rFonts w:ascii="Times New Roman" w:cs="Times New Roman"/>
          <w:color w:val="000000" w:themeColor="text1"/>
          <w:spacing w:val="0"/>
        </w:rPr>
        <w:softHyphen/>
        <w:t>раля 1944г. провеетк наземные испытания новых конструк</w:t>
      </w:r>
      <w:r w:rsidRPr="00271E51">
        <w:rPr>
          <w:rFonts w:ascii="Times New Roman" w:cs="Times New Roman"/>
          <w:color w:val="000000" w:themeColor="text1"/>
          <w:spacing w:val="0"/>
        </w:rPr>
        <w:softHyphen/>
        <w:t>ций авиационных пушек калибра 76 мм и представить в Государственный Комитет Обороны отчет о результатах испытаний.</w:t>
      </w:r>
    </w:p>
    <w:p w14:paraId="4E97D524"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Установить для коллективов конструкторов Нар</w:t>
      </w:r>
      <w:r w:rsidRPr="00271E51">
        <w:rPr>
          <w:rFonts w:ascii="Times New Roman" w:hAnsi="Times New Roman"/>
          <w:color w:val="000000" w:themeColor="text1"/>
          <w:sz w:val="16"/>
          <w:szCs w:val="16"/>
        </w:rPr>
        <w:softHyphen/>
        <w:t>комата Вооружения, Наркомата Боеприпасов по одной де</w:t>
      </w:r>
      <w:r w:rsidRPr="00271E51">
        <w:rPr>
          <w:rFonts w:ascii="Times New Roman" w:hAnsi="Times New Roman"/>
          <w:color w:val="000000" w:themeColor="text1"/>
          <w:sz w:val="16"/>
          <w:szCs w:val="16"/>
        </w:rPr>
        <w:softHyphen/>
        <w:t xml:space="preserve">нежной премии для каждого наркомата в размере 50 тыс. рублей каждая </w:t>
      </w:r>
      <w:r w:rsidRPr="00271E51">
        <w:rPr>
          <w:rFonts w:ascii="Times New Roman" w:hAnsi="Times New Roman"/>
          <w:color w:val="000000" w:themeColor="text1"/>
          <w:sz w:val="16"/>
          <w:szCs w:val="16"/>
          <w:lang w:val="en-US"/>
        </w:rPr>
        <w:t>sa</w:t>
      </w:r>
      <w:r w:rsidRPr="00271E51">
        <w:rPr>
          <w:rFonts w:ascii="Times New Roman" w:hAnsi="Times New Roman"/>
          <w:color w:val="000000" w:themeColor="text1"/>
          <w:sz w:val="16"/>
          <w:szCs w:val="16"/>
        </w:rPr>
        <w:t xml:space="preserve"> представление в установленный срок лучших образцов 76 мм авиационных пушек и за лучшие боеприпасы к этим пушкам.</w:t>
      </w:r>
    </w:p>
    <w:p w14:paraId="31D8B619" w14:textId="77777777" w:rsidR="002E07F8" w:rsidRPr="00271E51" w:rsidRDefault="002E07F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Премии подлежат выдаче в распоряжение начальников соответствующих конструкторских бюро Наркоматов Вооружения и Боеприпасов для премирования отличившихся работников(19420).</w:t>
      </w:r>
    </w:p>
    <w:p w14:paraId="61CEA5C3" w14:textId="77777777" w:rsidR="002E07F8" w:rsidRPr="00271E51" w:rsidRDefault="002E07F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0B0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1454 и ОКБ-43 Кондакова обязывалось изготовить 76 мм автоматическаю авиапушку ДРП-76. Стреляла унитарными выстрелами по 8.75 кг, в т.ч. снаряд 4.6 кг. Скорострельность 80 выстрелов/мин. Скрость 530 м/с. Заводские испытания состоялись только в 1949 (3696, 110).</w:t>
      </w:r>
    </w:p>
    <w:p w14:paraId="2F45AF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F6FC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B4FF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EC3E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года было письмо директора завода № 37 Зеликсона начальнику ГБТУ КА Федоренко. Оно хорошо иллюстрирует, в каком состоянии доставляли трофейную матчастьдля переделки в СУ-76И:</w:t>
      </w:r>
    </w:p>
    <w:p w14:paraId="2CAEC1E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«Сообщаю, что Ваш приказ № 055 от 27 мая 1943 года не выполняется. До сих пор трофейные машины Т-3 на завод № 37 с целого ряда СПАМов и фронтовых трофейных бригад прибывают с большим количеством боеприпасов и было четыре прибытия машин с остатками человеческих тел.</w:t>
      </w:r>
    </w:p>
    <w:p w14:paraId="4752536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силу того, что завод № 37 не имеет ни склада, ни каких других условий для хранения боеприпасов, вынужден просить Вашего категорического распоряжения направлять на завод № 37 машины Т-3 и „Артштурм“ только полностью очищенные от боеприпасов и остатков человеческих тел» (12688).</w:t>
      </w:r>
    </w:p>
    <w:p w14:paraId="3C555F25"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22FDD0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4142 Об организации производства ферросплавов в Узбекской ССР. (7140, 1-2).</w:t>
      </w:r>
    </w:p>
    <w:p w14:paraId="713FB73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6509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4143 [О направлении 200 заключенных на строительство вагоностроительного завода им. Урицкого в Энгельсе.] (7140, 3).</w:t>
      </w:r>
    </w:p>
    <w:p w14:paraId="233606A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AA98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4144. О дополнительных мерах по обеспечению оборудованием электростанций, восстанавливаемых в Донбассе.РГАНИР, Фонд ГКО, д. 152, лл. 4, 5-6 (11012).</w:t>
      </w:r>
    </w:p>
    <w:p w14:paraId="2D961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6F04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4145 О материально-техническом обеспечении производства артиллерийских тягачей на Ярославском автомобильном заводе Наркомсредмаша. (7140, 7-9,10-18).</w:t>
      </w:r>
    </w:p>
    <w:p w14:paraId="77FDF8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8370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4146 Об организации ремонта импортных автомобилей и моторов к ним для Красной Армии. (7140, 19-24,25-39).</w:t>
      </w:r>
    </w:p>
    <w:p w14:paraId="52D3509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8B8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4147. О направлении по окончании строительства на ГАЗ одной бригады разграждения на строительство завода № 507 НКРП.РГАНИР, Фонд ГКО, д. 152, лл. 40 (11012).</w:t>
      </w:r>
    </w:p>
    <w:p w14:paraId="224CB8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3DEAC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4148 [О передаче НКзагу и НКУП одной трофейной электростанции, кабеля, подвижного состава узкой колеи с трофейных складов и пунктов.] (7140, 41).</w:t>
      </w:r>
    </w:p>
    <w:p w14:paraId="066460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E2A5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4149 Об утверждении т. Натарова П.Ф. помощником члена ГКО т. Маленкова по черной металлургии.РГАНИР, Фонд ГКО, д. 152, лл. 42 (11012).</w:t>
      </w:r>
    </w:p>
    <w:p w14:paraId="38F660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84A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4150 О мероприятиях по улучшению строительства, осуществляемого Главвоенпромстроем при Совнаркоме СССР для НКО.РГАНИР, Фонд ГКО, д. 152, лл. 43-46, 47 (11012).</w:t>
      </w:r>
    </w:p>
    <w:p w14:paraId="2ABE41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142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4151 Об организации Всесоюзного социалистического соревнования работников шахтного строительства, жилищного строительства и лесозаготовок Наркомугля.РГАНИР, Фонд ГКО, д. 152, лл. 48, 49-51 (11012).</w:t>
      </w:r>
    </w:p>
    <w:p w14:paraId="458D4D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29BB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4152 [Об организации 7 ремесленных училищ и 3 школ ФЗО металлургического производства в Сталинской, Ворошиловградской и Ростовской обл.] (7140, 52-53).</w:t>
      </w:r>
    </w:p>
    <w:p w14:paraId="22AC45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E26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4155. О восстановлении производственных зданий и жилых помещений электростанций и сетей Ярэнерго.РГАНИР, Фонд ГКО, д. 152, лл. 71-72, 73-74 (11012).</w:t>
      </w:r>
    </w:p>
    <w:p w14:paraId="5C45FA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7ED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4156 Об обеспечении автомобильных заводов Наркомсредмаша пиломатериалами для автостроения.РГАНИР, Фонд ГКО, д. 152, лл. 75-78, 79-82 (11012).</w:t>
      </w:r>
    </w:p>
    <w:p w14:paraId="422C8D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D8C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4157 О строительстве Барнаульской ТЭЦ.РГАНИР, Фонд ГКО, д. 152, лл. 83-87 (11012).</w:t>
      </w:r>
    </w:p>
    <w:p w14:paraId="341D58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6FE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Распоряжение ГКО № 4158. О мерах по вводу в действие в 1943 г. теплоэлектроцентрали, доменной печи № 1 и коксовой батареи N1 на Челябинском металлургическом заводе.РГАНИР, Фонд ГКО, д. 152, лл. 88-89, 90-92 (11012).</w:t>
      </w:r>
    </w:p>
    <w:p w14:paraId="26E21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4AE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4159 О восстановлении Таганрогского завода "Красный котельщик" Наркомтяжмаша.РГАНИР, Фонд ГКО, д. 152, лл. 93-94, 95 (11012).</w:t>
      </w:r>
    </w:p>
    <w:p w14:paraId="4AD565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3B0A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4160 О мероприятиях по завершению лесосплава в навигацию 1943 года. (7140, 96-102,103-104).</w:t>
      </w:r>
    </w:p>
    <w:p w14:paraId="438DC18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471C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вышло Постановление ГКО № 4161 Об обеспечении производства противогазов БСС.РГАНИР, Фонд ГКО, д. 152, лл. 105-115, 116-133 (11012).</w:t>
      </w:r>
    </w:p>
    <w:p w14:paraId="332AE7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4BA7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AA140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33B60"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17 сентября </w:t>
      </w:r>
      <w:r w:rsidRPr="00271E51">
        <w:rPr>
          <w:rFonts w:ascii="Times New Roman" w:hAnsi="Times New Roman"/>
          <w:color w:val="000000" w:themeColor="text1"/>
          <w:sz w:val="16"/>
          <w:szCs w:val="16"/>
        </w:rPr>
        <w:t>в 1943 году оперативная сводка Совинформбюро:</w:t>
      </w:r>
    </w:p>
    <w:p w14:paraId="4949B5D4"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войска Брянского фронта успешно форсировали реку Десна и, сломив сопротивление противника, овладели городами Брянск и Бежица.</w:t>
      </w:r>
    </w:p>
    <w:p w14:paraId="2BD16BB2"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вдоль побережья Азовского моря, овладели городом и портом Осипенко (Бердянск).</w:t>
      </w:r>
    </w:p>
    <w:p w14:paraId="1C1D51CD"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развивать наступление и, продвинувшись на отдельных участках от 6 до 12 километров, заняли свыше 60 населённых пунктов, в том числе крупные населённые пункты Григорьевка, Рождественское, Воздвиженка, Верхний Токмак, Алексеевка, Ново-Троицкое, Ново-Васильевск, Луначарское и железнодорожные станции Мечетная, Гайчур, Бельманка.</w:t>
      </w:r>
    </w:p>
    <w:p w14:paraId="2BD7D98D"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наступление и, продвинувшись вперёд от 6 до 15 километров, заняли свыше 60 населённых пунктов, в том числе крупные населённые пункты Новая Парафиевка, Ворошиловка, Лиговка, Жемчужное, Артельное, Фёдоровка, Лукашёвка, Ново-Александровка, Кондратовка, Новая Дача, Терновка, Богдановка, Дмитриевка, Васильковка и железнодорожные станции Страстной, Орельки, Самойловка.</w:t>
      </w:r>
    </w:p>
    <w:p w14:paraId="12C1B2EB"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и Красноградском направлениях наши войска вели успешное наступление и, продвинувшись вперёд от 8 до 12 километров, заняли свыше 70 населённых пунктов, в том числе районный центр Харьковской области Кегичевка и крупные населённые пункты Покровка, Снежков Кут, Александровка, Малая Губщина, Камышеватое, Еленовка, Кирилловка, Берестовенька, Циглеровка.</w:t>
      </w:r>
    </w:p>
    <w:p w14:paraId="2BF999CB"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продолжая развивать наступление, заняли свыше 130 населённых пунктов, в том числе районный центр Черниговской области Лосиновка, районный центр Полтавской области Чернухи и крупные населённые пункты Лихачёво, Мрин, Монастырище, Заудайка, Ярошовка, Сильченково, Карпиловка, Савинцы, Дащенки, Белоцерковцы, Яцины, Жданы, Тишки.</w:t>
      </w:r>
    </w:p>
    <w:p w14:paraId="218DD1F8"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Брянска наши войска продолжали вести успешные бои и заняли несколько населённых пунктов.</w:t>
      </w:r>
    </w:p>
    <w:p w14:paraId="58BCED09"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продолжали вести наступательные боии, продвинувшись на отдельных участках вперёд от 4 до 6 километров, заняли свыше 40 населённых пунктов.</w:t>
      </w:r>
    </w:p>
    <w:p w14:paraId="62DE5938"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сентября наши войска на всех фронтах подбили и уничтожили 32 немецких танка. В воздушных боях и огнём зенитной артиллерии сбито 8 самолётов противника.</w:t>
      </w:r>
    </w:p>
    <w:p w14:paraId="0711A937"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Брянского фронта сегодня решительным ударом сломили сопротивлениепротивника и овладели крупными промышленными городами Брянск и Бежица. Наши соединения, действовавшие восточнее Брянска, в ночь с 16 на 17 сентября под прикрытием артиллерийского и минометного огня в нескольких местах форсировали реку Десна. Наши войска успешно справились с задачей переправы на западный крутой и высокий берег реки Десна, сильно укреплённый немцами. Советские бойцы ворвались в город и завязали уличные бои. Одновременно наши части, действуя с севера, нанесли удар противнику, оборонявшему Бежицу. После ожесточённых боёв </w:t>
      </w:r>
      <w:r w:rsidRPr="00271E51">
        <w:rPr>
          <w:rFonts w:ascii="Times New Roman" w:hAnsi="Times New Roman"/>
          <w:color w:val="000000" w:themeColor="text1"/>
          <w:sz w:val="16"/>
          <w:szCs w:val="16"/>
        </w:rPr>
        <w:lastRenderedPageBreak/>
        <w:t>города Брянск и Бежица освобождены от немецко-фашистских захватчиков. В этих боях наши войска разгромили 95, 110, 134, 299, 339 и 707 немецкие пехотныед ивизии. Взято много пленных. Захвачены большие трофеи, которые подсчитываются.</w:t>
      </w:r>
    </w:p>
    <w:p w14:paraId="4B955DB9"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побережье Азовского моря наши войска овладели городом и портом Осипенко (Бердянск).</w:t>
      </w:r>
    </w:p>
    <w:p w14:paraId="3C396BA2"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развивать наступление, заняли свыше 60 населённых пунктов и несколько железнодорожных станций. Немцы, опираясь на укреплённые ими населённые пункты, контратаками пытались задержать наступающие советские войска. Наши бойцы отбили контратаки противника и вновь отбросили его на запад. За день боёв уничтожено до 1.000 немецких солдат и офицеров, 4 танка и 18 орудий разных калибров. На одном участке разгромлена крупная вражеская автоколонна. Захвачены трофеи и пленные.</w:t>
      </w:r>
    </w:p>
    <w:p w14:paraId="01E2EF23"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Павлоградском направлении наши войска продолжали наступление и освободили от немецко-фашистских захватчиков свыше 60 населённых пунктов. Бойцы Н-ской гвардейской части, совершив обходный манёвр, нанесли внезапный удар противнику. На поле боя осталось свыше 600 вражеских трупов. Захвачено 10 орудий, из них 3 самоходных орудия типа «Фердинанд», 26 миномётов, 60 пулемётов, 40 автомашин и крупный склад боеприпасов. Пытаясь закрепиться на выгодных рубежах, немцы предпринимают ожесточённые контратаки. Однако все попытки гитлеровце взадержаться на том или другом рубеже терпят неудачу. Под ударами наших танкистов, пехотинцев и артиллеристов противник вынужден оставлять одну позицию за другой, неся при этом большие потери в живой силе и технике.</w:t>
      </w:r>
    </w:p>
    <w:p w14:paraId="79FCB78D"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и Красноградском направлениях наши войска вели успешное наступление, заняли районный центр Харьковской области Кегичёвка и свыше 70 других населённых пунктов. Бойцы Н-ского соединения отбили несколько контратак противника, а затем контрударом опрокинули гитлеровцев и отбросили их на 12 километров. В этом бою уничтожено до двух батальонов немецкой пехоты, подбито 6 танков и захвачено 15 орудий. На другом участке наши бойцы разгромили несколько вражеских подразделений и захватили 60 пленных.</w:t>
      </w:r>
    </w:p>
    <w:p w14:paraId="6F1A9202"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продолжая развивать наступление, занялисвыше 130 населённых пунктов, в том числе районный центр Черниговской области Лосиновка и районный центр Полтавской области Чернухи. Части Н-ского соединения, отбрасывая немцев на запад и юго-запад, уничтожили до 2.000 вражеских солдат и офицеров. Захвачено у противника 24 орудия, 128 пулемётов, 23 миномёта, два склада боеприпасов, большие запасы хлеба, муки, фуража, склад с горючим и смазочными материалами. На одной железнодорожной станции захвачено 53 паровоза и много вагонов. Наши войска, заняв город Ромны, продолжали развивать наступление. Н-ская танковая часть ворвалась в один населённый пункт, истребила до 300 гитлеровцев и захватила более 100 пленных.</w:t>
      </w:r>
    </w:p>
    <w:p w14:paraId="69605C52"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овладевшие городом Новгород-Северский, продолжали наступление и заняли несколько населённых пунктов. Уничтожено до 600 солдат и офицеров противника. Захвачено 16 орудий и 3 склада с боеприпасами. Взяты пленные. На другом участке наши бойцы отбили несколько вражеских контратак и уничтожили 5 танков и свыше роты немецких автоматчиков.</w:t>
      </w:r>
    </w:p>
    <w:p w14:paraId="30C2B0E6"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в Финском заливе потоплен транспорт противника водоизмещением в 3 тысячи тонн.</w:t>
      </w:r>
    </w:p>
    <w:p w14:paraId="38092BBE" w14:textId="77777777" w:rsidR="00BC511E" w:rsidRPr="00271E51" w:rsidRDefault="00BC51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военные власти в Витебской области направили в деревни специальные команды для реквизиции и вывоза зерна нового урожая. Партизаны развернули ожесточённую борьбу против фашистских грабителей. Один партизанский отряд в двухдневных боях истребил 56 немецких солдат и офицеров. Свыше 70 гитлеровцев получили тяжёлые ранения. Уничтожено 6 автомашин и танкетка. Другой отряд витебских партизан разгромил крупное подразделение противника. Немцы потеряли убитыми и ранеными свыше 200 человек и в беспорядке отступили.» (14772).</w:t>
      </w:r>
    </w:p>
    <w:p w14:paraId="52DFD6BD" w14:textId="77777777" w:rsidR="00BC511E" w:rsidRPr="00271E51" w:rsidRDefault="00BC511E" w:rsidP="00271E51">
      <w:pPr>
        <w:spacing w:after="0" w:line="240" w:lineRule="auto"/>
        <w:jc w:val="both"/>
        <w:rPr>
          <w:rFonts w:ascii="Times New Roman" w:hAnsi="Times New Roman"/>
          <w:color w:val="000000" w:themeColor="text1"/>
          <w:sz w:val="16"/>
          <w:szCs w:val="16"/>
        </w:rPr>
      </w:pPr>
    </w:p>
    <w:p w14:paraId="703DEB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СКФ (И.Е.Петров) и ЧФ (Л.А.Владимирский) освободили Новороссийск (3398,332).</w:t>
      </w:r>
    </w:p>
    <w:p w14:paraId="128ADF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BF33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w:t>
      </w:r>
      <w:r w:rsidRPr="00271E51">
        <w:rPr>
          <w:rFonts w:ascii="Times New Roman" w:hAnsi="Times New Roman"/>
          <w:color w:val="000000" w:themeColor="text1"/>
          <w:sz w:val="16"/>
          <w:szCs w:val="16"/>
        </w:rPr>
        <w:softHyphen/>
        <w:t>тября 1943 пару финских ДБ-3 привлекли к удару по Лавенсаари. За это время три ДБ-3 по</w:t>
      </w:r>
      <w:r w:rsidRPr="00271E51">
        <w:rPr>
          <w:rFonts w:ascii="Times New Roman" w:hAnsi="Times New Roman"/>
          <w:color w:val="000000" w:themeColor="text1"/>
          <w:sz w:val="16"/>
          <w:szCs w:val="16"/>
        </w:rPr>
        <w:softHyphen/>
        <w:t>теряли в авариях (10734,87).</w:t>
      </w:r>
    </w:p>
    <w:p w14:paraId="662B03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EF8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л А.М.Ковязин, сбитый в 1941, убежал их плена из Риги на Шторьхе, который захватил с помощью военнопленного. Летел 3 часа (438,884).</w:t>
      </w:r>
    </w:p>
    <w:p w14:paraId="74008E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55C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БФ (М.М.Попов) освободил Брянск (1103,228).</w:t>
      </w:r>
    </w:p>
    <w:p w14:paraId="356B48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BD03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ED105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DB98D4" w14:textId="77777777" w:rsidR="00BD5D40" w:rsidRPr="00271E51" w:rsidRDefault="00BD5D40"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17 сентября </w:t>
      </w:r>
      <w:r w:rsidRPr="00271E51">
        <w:rPr>
          <w:rFonts w:ascii="Times New Roman" w:hAnsi="Times New Roman"/>
          <w:color w:val="000000" w:themeColor="text1"/>
          <w:sz w:val="16"/>
          <w:szCs w:val="16"/>
        </w:rPr>
        <w:t>в 1943 году высадка американского десанта на остров Сардиния (14772).</w:t>
      </w:r>
    </w:p>
    <w:p w14:paraId="6A82BBCE" w14:textId="77777777" w:rsidR="00BD5D40" w:rsidRPr="00271E51" w:rsidRDefault="00BD5D40" w:rsidP="00271E51">
      <w:pPr>
        <w:spacing w:after="0" w:line="240" w:lineRule="auto"/>
        <w:jc w:val="both"/>
        <w:rPr>
          <w:rFonts w:ascii="Times New Roman" w:hAnsi="Times New Roman"/>
          <w:color w:val="000000" w:themeColor="text1"/>
          <w:sz w:val="16"/>
          <w:szCs w:val="16"/>
        </w:rPr>
      </w:pPr>
    </w:p>
    <w:p w14:paraId="346BAFEB" w14:textId="77777777" w:rsidR="00BD5D40" w:rsidRPr="00271E51" w:rsidRDefault="00BD5D40"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17 сентября </w:t>
      </w:r>
      <w:r w:rsidRPr="00271E51">
        <w:rPr>
          <w:rFonts w:ascii="Times New Roman" w:hAnsi="Times New Roman"/>
          <w:color w:val="000000" w:themeColor="text1"/>
          <w:sz w:val="16"/>
          <w:szCs w:val="16"/>
        </w:rPr>
        <w:t>в 1943 году англичане сбрасывают на парашюте в Югославии Фицроя Маклина с поручением в штаб Тито координировать помощь союзников югославским партизанам (14772).</w:t>
      </w:r>
    </w:p>
    <w:p w14:paraId="22489B4C" w14:textId="77777777" w:rsidR="00BD5D40" w:rsidRPr="00271E51" w:rsidRDefault="00BD5D40" w:rsidP="00271E51">
      <w:pPr>
        <w:spacing w:after="0" w:line="240" w:lineRule="auto"/>
        <w:jc w:val="both"/>
        <w:rPr>
          <w:rFonts w:ascii="Times New Roman" w:hAnsi="Times New Roman"/>
          <w:color w:val="000000" w:themeColor="text1"/>
          <w:sz w:val="16"/>
          <w:szCs w:val="16"/>
        </w:rPr>
      </w:pPr>
    </w:p>
    <w:p w14:paraId="567A6C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англичане сбросили в Югославию Фрицроя Маклина с поручением в штаб Тито для координации помощи союзников партизанам (3481).</w:t>
      </w:r>
    </w:p>
    <w:p w14:paraId="31A820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B58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17, 1943: The Red Army recaptures Brjansk. In Italy, the British 8th Army joins forces with US troops in the Salerno bridgehead (3819).</w:t>
      </w:r>
    </w:p>
    <w:p w14:paraId="74AFFB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5E89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британская 8А соединилась с частями армии США у Салерно (3819).</w:t>
      </w:r>
    </w:p>
    <w:p w14:paraId="2BBF9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BCDD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4253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08D6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Зам. НКАП А.Кузнецов писал письмо N Н-30/3784 Зам. Нач. ВИАМ Амбарцумяну:</w:t>
      </w:r>
    </w:p>
    <w:p w14:paraId="48233E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отбора эталонов прозрачной бронезащиты Ил-2, Як и Ла-5 Вам надлежит выделить специалиста и командировать его в Дзержинск для проведения этой работы на заводе 148 НКАП совместно с представителями УЗС ВВС КА..." (1783,114).</w:t>
      </w:r>
    </w:p>
    <w:p w14:paraId="0B2151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4DA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был утвержден акт о государственных испытани</w:t>
      </w:r>
      <w:r w:rsidRPr="00271E51">
        <w:rPr>
          <w:rFonts w:ascii="Times New Roman" w:hAnsi="Times New Roman"/>
          <w:color w:val="000000" w:themeColor="text1"/>
          <w:sz w:val="16"/>
          <w:szCs w:val="16"/>
        </w:rPr>
        <w:softHyphen/>
        <w:t>ях, в котором указывалось, что:</w:t>
      </w:r>
    </w:p>
    <w:p w14:paraId="3EBB03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"...2) Летные данные Ил-2И в срав</w:t>
      </w:r>
      <w:r w:rsidRPr="00271E51">
        <w:rPr>
          <w:rFonts w:ascii="Times New Roman" w:hAnsi="Times New Roman"/>
          <w:iCs/>
          <w:color w:val="000000" w:themeColor="text1"/>
          <w:sz w:val="16"/>
          <w:szCs w:val="16"/>
        </w:rPr>
        <w:softHyphen/>
        <w:t>нении с двухместным Ил-2 улучшены:</w:t>
      </w:r>
    </w:p>
    <w:p w14:paraId="277E55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максимальная скорость у земли на 6 км/ ч больше (401 км/ч вместо 395 км/ч), на границе высотности на 10 км/ч; пото</w:t>
      </w:r>
      <w:r w:rsidRPr="00271E51">
        <w:rPr>
          <w:rFonts w:ascii="Times New Roman" w:hAnsi="Times New Roman"/>
          <w:iCs/>
          <w:color w:val="000000" w:themeColor="text1"/>
          <w:sz w:val="16"/>
          <w:szCs w:val="16"/>
        </w:rPr>
        <w:softHyphen/>
        <w:t>лок на 1200 м (6500 м вместо 5300 м);</w:t>
      </w:r>
    </w:p>
    <w:p w14:paraId="34B007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разбег на 115м (275 м вместо 390 м).</w:t>
      </w:r>
    </w:p>
    <w:p w14:paraId="60215B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3) Улучшение летных данных про</w:t>
      </w:r>
      <w:r w:rsidRPr="00271E51">
        <w:rPr>
          <w:rFonts w:ascii="Times New Roman" w:hAnsi="Times New Roman"/>
          <w:iCs/>
          <w:color w:val="000000" w:themeColor="text1"/>
          <w:sz w:val="16"/>
          <w:szCs w:val="16"/>
        </w:rPr>
        <w:softHyphen/>
        <w:t>изошло за счет снижения веса на 760 кг.</w:t>
      </w:r>
    </w:p>
    <w:p w14:paraId="7ACF20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4) По технике пилотирования самолет Ил-2И аналогичен самолетам выпус</w:t>
      </w:r>
      <w:r w:rsidRPr="00271E51">
        <w:rPr>
          <w:rFonts w:ascii="Times New Roman" w:hAnsi="Times New Roman"/>
          <w:iCs/>
          <w:color w:val="000000" w:themeColor="text1"/>
          <w:sz w:val="16"/>
          <w:szCs w:val="16"/>
        </w:rPr>
        <w:softHyphen/>
        <w:t>ка 1941-42 г. г.</w:t>
      </w:r>
    </w:p>
    <w:p w14:paraId="772682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5) Снятие PC, LUKAC и внутренних бомбодержателей для подвески мелких авиабомб и химампул снизило боевую ценность самолета как штурмовика и исключило возможность его использо</w:t>
      </w:r>
      <w:r w:rsidRPr="00271E51">
        <w:rPr>
          <w:rFonts w:ascii="Times New Roman" w:hAnsi="Times New Roman"/>
          <w:iCs/>
          <w:color w:val="000000" w:themeColor="text1"/>
          <w:sz w:val="16"/>
          <w:szCs w:val="16"/>
        </w:rPr>
        <w:softHyphen/>
        <w:t>вания для уничтожения живой силы про</w:t>
      </w:r>
      <w:r w:rsidRPr="00271E51">
        <w:rPr>
          <w:rFonts w:ascii="Times New Roman" w:hAnsi="Times New Roman"/>
          <w:iCs/>
          <w:color w:val="000000" w:themeColor="text1"/>
          <w:sz w:val="16"/>
          <w:szCs w:val="16"/>
        </w:rPr>
        <w:softHyphen/>
        <w:t>тивника...</w:t>
      </w:r>
    </w:p>
    <w:p w14:paraId="1B613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6) Самолеты Ил-2И могут быть ис</w:t>
      </w:r>
      <w:r w:rsidRPr="00271E51">
        <w:rPr>
          <w:rFonts w:ascii="Times New Roman" w:hAnsi="Times New Roman"/>
          <w:iCs/>
          <w:color w:val="000000" w:themeColor="text1"/>
          <w:sz w:val="16"/>
          <w:szCs w:val="16"/>
        </w:rPr>
        <w:softHyphen/>
        <w:t>пользованы для борьбы только с неко</w:t>
      </w:r>
      <w:r w:rsidRPr="00271E51">
        <w:rPr>
          <w:rFonts w:ascii="Times New Roman" w:hAnsi="Times New Roman"/>
          <w:iCs/>
          <w:color w:val="000000" w:themeColor="text1"/>
          <w:sz w:val="16"/>
          <w:szCs w:val="16"/>
        </w:rPr>
        <w:softHyphen/>
        <w:t>торыми типами бомбардировочных и транспортных самолетов противника, имеющих сравнительно небольшие ско</w:t>
      </w:r>
      <w:r w:rsidRPr="00271E51">
        <w:rPr>
          <w:rFonts w:ascii="Times New Roman" w:hAnsi="Times New Roman"/>
          <w:iCs/>
          <w:color w:val="000000" w:themeColor="text1"/>
          <w:sz w:val="16"/>
          <w:szCs w:val="16"/>
        </w:rPr>
        <w:softHyphen/>
        <w:t>рости (Не-111,Fw-200, Ju-87, Ju-52) на высотах ниже 4000 м, однако самолеты Fw-200 могут уходить от атак Ил-2И на</w:t>
      </w:r>
      <w:r w:rsidRPr="00271E51">
        <w:rPr>
          <w:rFonts w:ascii="Times New Roman" w:hAnsi="Times New Roman"/>
          <w:iCs/>
          <w:color w:val="000000" w:themeColor="text1"/>
          <w:sz w:val="16"/>
          <w:szCs w:val="16"/>
        </w:rPr>
        <w:softHyphen/>
        <w:t>бором высоты за счет лучшей скоро</w:t>
      </w:r>
      <w:r w:rsidRPr="00271E51">
        <w:rPr>
          <w:rFonts w:ascii="Times New Roman" w:hAnsi="Times New Roman"/>
          <w:iCs/>
          <w:color w:val="000000" w:themeColor="text1"/>
          <w:sz w:val="16"/>
          <w:szCs w:val="16"/>
        </w:rPr>
        <w:softHyphen/>
        <w:t>подъемности. Ил-2И может атаковать более скоростные бомбардировщики Ju-88 и Do-215 только случайно, так как последние, за счет большей скорости, всегда имеют возможность уйти от Ил-2И.</w:t>
      </w:r>
    </w:p>
    <w:p w14:paraId="7B65B9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7) Вести активную борьбу с истре</w:t>
      </w:r>
      <w:r w:rsidRPr="00271E51">
        <w:rPr>
          <w:rFonts w:ascii="Times New Roman" w:hAnsi="Times New Roman"/>
          <w:iCs/>
          <w:color w:val="000000" w:themeColor="text1"/>
          <w:sz w:val="16"/>
          <w:szCs w:val="16"/>
        </w:rPr>
        <w:softHyphen/>
        <w:t>бителями противника самолет Ил-2И не может..."</w:t>
      </w:r>
    </w:p>
    <w:p w14:paraId="08826C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Ил-2И как истребитель бом</w:t>
      </w:r>
      <w:r w:rsidRPr="00271E51">
        <w:rPr>
          <w:rFonts w:ascii="Times New Roman" w:hAnsi="Times New Roman"/>
          <w:color w:val="000000" w:themeColor="text1"/>
          <w:sz w:val="16"/>
          <w:szCs w:val="16"/>
        </w:rPr>
        <w:softHyphen/>
        <w:t>бардировщиков и транспортных само</w:t>
      </w:r>
      <w:r w:rsidRPr="00271E51">
        <w:rPr>
          <w:rFonts w:ascii="Times New Roman" w:hAnsi="Times New Roman"/>
          <w:color w:val="000000" w:themeColor="text1"/>
          <w:sz w:val="16"/>
          <w:szCs w:val="16"/>
        </w:rPr>
        <w:softHyphen/>
        <w:t>летов явно не состоялся, а все главные качества чистого штурмовика - потерял.</w:t>
      </w:r>
    </w:p>
    <w:p w14:paraId="0E84A2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в акте утверждения от</w:t>
      </w:r>
      <w:r w:rsidRPr="00271E51">
        <w:rPr>
          <w:rFonts w:ascii="Times New Roman" w:hAnsi="Times New Roman"/>
          <w:color w:val="000000" w:themeColor="text1"/>
          <w:sz w:val="16"/>
          <w:szCs w:val="16"/>
        </w:rPr>
        <w:softHyphen/>
        <w:t>чета по государственным испытаниям Ил-2И Главнокомандующий ВВС КА А.А.Новиков наложил резолюцию:</w:t>
      </w:r>
    </w:p>
    <w:p w14:paraId="114A8E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"...считать, что дальнейшая постройка Ил-2И в варианте истребителя и уста</w:t>
      </w:r>
      <w:r w:rsidRPr="00271E51">
        <w:rPr>
          <w:rFonts w:ascii="Times New Roman" w:hAnsi="Times New Roman"/>
          <w:iCs/>
          <w:color w:val="000000" w:themeColor="text1"/>
          <w:sz w:val="16"/>
          <w:szCs w:val="16"/>
        </w:rPr>
        <w:softHyphen/>
        <w:t>новка мотора АМ-42 (Постановление ГКО No 3336 от 17.05.43 г.) на истре</w:t>
      </w:r>
      <w:r w:rsidRPr="00271E51">
        <w:rPr>
          <w:rFonts w:ascii="Times New Roman" w:hAnsi="Times New Roman"/>
          <w:iCs/>
          <w:color w:val="000000" w:themeColor="text1"/>
          <w:sz w:val="16"/>
          <w:szCs w:val="16"/>
        </w:rPr>
        <w:softHyphen/>
        <w:t xml:space="preserve">бительный вариант Ил-2 нецелесообразна" </w:t>
      </w:r>
      <w:r w:rsidRPr="00271E51">
        <w:rPr>
          <w:rFonts w:ascii="Times New Roman" w:hAnsi="Times New Roman"/>
          <w:color w:val="000000" w:themeColor="text1"/>
          <w:sz w:val="16"/>
          <w:szCs w:val="16"/>
        </w:rPr>
        <w:t>(6467).</w:t>
      </w:r>
    </w:p>
    <w:p w14:paraId="7453C3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47F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года были подготовлены Выводы</w:t>
      </w:r>
    </w:p>
    <w:p w14:paraId="2C3CE0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дополнительной эксплуатации в боевых условиях самолетов ИЛ-4 с глушителями - пламягасителями "ГАМ-9" можно сделать следующие выводы:</w:t>
      </w:r>
    </w:p>
    <w:p w14:paraId="36885E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ГАМ-9 в боевых условиях показали себя с хорошей стороны.</w:t>
      </w:r>
    </w:p>
    <w:p w14:paraId="28A8D7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пламени выхлопа самолет ИЛ-4 не обнаруживается в воздухе истребителями противника, а также с земли системой ПВО противника.</w:t>
      </w:r>
    </w:p>
    <w:p w14:paraId="705B6A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 своему устройству глушитель-пламягаситель "ГАМ-9" в эксплуатации прост, предусмотрен для длительной эксплуатации, изготовлен хорошо и прочно, прост в монтаже.</w:t>
      </w:r>
    </w:p>
    <w:p w14:paraId="7E2397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4. Доступ к мотору из-за "ГАМ-9" не затруднен. Работа мотора от пламягасителя-глушителя не ухудшается, моторы вырабатывают ресурс полностью и работают по звуку мягко.</w:t>
      </w:r>
    </w:p>
    <w:p w14:paraId="3687D4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Нагрузка самолета, оборудованного "ГАМ-9", не уменьшается по сравнению с самолетом без глушителей-пламягасителей "ГАМ-9". Ухудшения аэродинамических свойств самолета не обнаружено.</w:t>
      </w:r>
    </w:p>
    <w:p w14:paraId="13F14E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Самолеты, оборудованные "ГАМ-9", пользуются у летного состава авторитетом, охотно на них летает. Большая часть летного состава просит командование о установке на их самолеты глушителей пламягасителей "ГАМ-9".</w:t>
      </w:r>
    </w:p>
    <w:p w14:paraId="2B530B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Необходимо как можно быстрее оборудовать остальные самолеты глушителями-пламягасителями "ГАМ-9". (Кор. 19 ГАП Герой Сов. Союза гв. подполковник Шапошников, ст. инж. 19 ГАП гв. инж. капитан Меликсатов).</w:t>
      </w:r>
    </w:p>
    <w:p w14:paraId="2BF472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5BD858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эксплуатации в боевых условиях самолетов ИЛ-4, оборудованных глушителями-пламягасителями "ГАМ-9", можно сделать следующие выводы:</w:t>
      </w:r>
    </w:p>
    <w:p w14:paraId="15C38B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Глушитель-пламягаситель "ГАМ-9" в боевых условиях показал себя только с положительной стороны. Вследствие гашения пламени выхлопа и заглушения шума моторов "ГАМ-9" облегчил работу летного состава.</w:t>
      </w:r>
    </w:p>
    <w:p w14:paraId="09DC0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 ИЛ-4, оборудованный "ГАМ-9", не обнаруживается по пламени выхлопа, как в воздухе истребителями противника, так и с земли системой ПВО. Пламя выхлопа мотора полностью гасится.</w:t>
      </w:r>
    </w:p>
    <w:p w14:paraId="59B684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Конструкция глушителя-пламягасителя "ГАМ-9" проработана хорошо, предусмотрена для длительной эксплуатации, проста в монтаже и хорошо изготовлена.</w:t>
      </w:r>
    </w:p>
    <w:p w14:paraId="49FDE7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Глушитель-пламягаситель "ГАМ-9" не затрудняет подход к мотору и агрегатам.</w:t>
      </w:r>
    </w:p>
    <w:p w14:paraId="2C9B3A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моторов из-за установки "ГАМ-9" не ухудшается. Моторы полностью отрабатывают свой ресурс.</w:t>
      </w:r>
    </w:p>
    <w:p w14:paraId="5A245D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Звук мотора делается мягким, хлопков при переходе из одного режима на другой нет. Выброс с мотора масла и прочее, экипажем не просматривался, вследствие чего "ГАМ-9" создает нормальные условия полета экипажу.</w:t>
      </w:r>
    </w:p>
    <w:p w14:paraId="402491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"ГАМ-9" не изменяют бомбовую нагрузку самолетов по сравнению с самолетами, не оборудованными глушителями-пламягасителями.</w:t>
      </w:r>
    </w:p>
    <w:p w14:paraId="55FE3B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Существенных изменений аэродинамики самолета по взлету, скороподъемности и т.д. не замечено.</w:t>
      </w:r>
    </w:p>
    <w:p w14:paraId="154D30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Самолеты ИЛ-4, оборудованные глушителями-пламягасителями в авиаполку пользуются авторитетом у экипажей самолетов. Летный состав, не имеющий на самолетах "ГАМ-9", вызывает пожелание о установке их на свои самолеты.</w:t>
      </w:r>
    </w:p>
    <w:p w14:paraId="4D3E73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Необходимо на все самолеты устанавливать глушители пламягасители "ГАМ-9".</w:t>
      </w:r>
    </w:p>
    <w:p w14:paraId="6FDE52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С выводами инженера согласны, за исключением пункта 7. (Командир 8 ГАП ДД гв. подполковник Смитиенко, ст. инж. 8 ГАП ДД гв. инж. капитан Рымалов).</w:t>
      </w:r>
    </w:p>
    <w:p w14:paraId="3EFE54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(Серпухов, 18/VIII-43 г.).</w:t>
      </w:r>
    </w:p>
    <w:p w14:paraId="3DED36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Мы, нижеподписавшиеся, составили настоящий акт в том, что с 25/VII по 17/VIII-43 г. в соединениях 2-го Гв. корпуса АДД, находились на войсковых эксплуатационных испытаниях самолеты ИЛ-4, оборудованные глушителями-пламягасителями ГАМ-9. За этот период, выполняя боевые задания, самолеты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843"/>
        <w:gridCol w:w="2058"/>
        <w:gridCol w:w="3044"/>
      </w:tblGrid>
      <w:tr w:rsidR="00A907A5" w:rsidRPr="00271E51" w14:paraId="30EEF34E" w14:textId="77777777" w:rsidTr="00ED5B0A">
        <w:tc>
          <w:tcPr>
            <w:tcW w:w="3652" w:type="dxa"/>
          </w:tcPr>
          <w:p w14:paraId="50582E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оборудованные ГАМ-9, налетали:</w:t>
            </w:r>
          </w:p>
        </w:tc>
        <w:tc>
          <w:tcPr>
            <w:tcW w:w="1843" w:type="dxa"/>
          </w:tcPr>
          <w:p w14:paraId="620CC8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8" w:type="dxa"/>
          </w:tcPr>
          <w:p w14:paraId="1F76F1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44" w:type="dxa"/>
          </w:tcPr>
          <w:p w14:paraId="312D46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77C5BF" w14:textId="77777777" w:rsidTr="00ED5B0A">
        <w:tc>
          <w:tcPr>
            <w:tcW w:w="3652" w:type="dxa"/>
          </w:tcPr>
          <w:p w14:paraId="59F8D0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8-й Гв. Ав. полк АДД</w:t>
            </w:r>
          </w:p>
        </w:tc>
        <w:tc>
          <w:tcPr>
            <w:tcW w:w="1843" w:type="dxa"/>
          </w:tcPr>
          <w:p w14:paraId="3960BE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8" w:type="dxa"/>
          </w:tcPr>
          <w:p w14:paraId="4F71DF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19-й Гв. Ав. полк АДД</w:t>
            </w:r>
          </w:p>
        </w:tc>
        <w:tc>
          <w:tcPr>
            <w:tcW w:w="3044" w:type="dxa"/>
          </w:tcPr>
          <w:p w14:paraId="5E9057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E832E5" w14:textId="77777777" w:rsidTr="00ED5B0A">
        <w:tc>
          <w:tcPr>
            <w:tcW w:w="3652" w:type="dxa"/>
          </w:tcPr>
          <w:p w14:paraId="27EA0A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NN с-тов</w:t>
            </w:r>
          </w:p>
        </w:tc>
        <w:tc>
          <w:tcPr>
            <w:tcW w:w="1843" w:type="dxa"/>
          </w:tcPr>
          <w:p w14:paraId="58A584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w:t>
            </w:r>
          </w:p>
        </w:tc>
        <w:tc>
          <w:tcPr>
            <w:tcW w:w="2058" w:type="dxa"/>
          </w:tcPr>
          <w:p w14:paraId="60C977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NN с-тов</w:t>
            </w:r>
          </w:p>
        </w:tc>
        <w:tc>
          <w:tcPr>
            <w:tcW w:w="3044" w:type="dxa"/>
          </w:tcPr>
          <w:p w14:paraId="2C084F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w:t>
            </w:r>
          </w:p>
        </w:tc>
      </w:tr>
      <w:tr w:rsidR="00A907A5" w:rsidRPr="00271E51" w14:paraId="5AC0C15F" w14:textId="77777777" w:rsidTr="00ED5B0A">
        <w:tc>
          <w:tcPr>
            <w:tcW w:w="3652" w:type="dxa"/>
          </w:tcPr>
          <w:p w14:paraId="47F553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86E8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часов</w:t>
            </w:r>
          </w:p>
        </w:tc>
        <w:tc>
          <w:tcPr>
            <w:tcW w:w="2058" w:type="dxa"/>
          </w:tcPr>
          <w:p w14:paraId="37994A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44" w:type="dxa"/>
          </w:tcPr>
          <w:p w14:paraId="0ED69F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часов</w:t>
            </w:r>
          </w:p>
        </w:tc>
      </w:tr>
      <w:tr w:rsidR="00A907A5" w:rsidRPr="00271E51" w14:paraId="54226E2C" w14:textId="77777777" w:rsidTr="00ED5B0A">
        <w:tc>
          <w:tcPr>
            <w:tcW w:w="3652" w:type="dxa"/>
          </w:tcPr>
          <w:p w14:paraId="2FC747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B14D2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налета</w:t>
            </w:r>
          </w:p>
        </w:tc>
        <w:tc>
          <w:tcPr>
            <w:tcW w:w="2058" w:type="dxa"/>
          </w:tcPr>
          <w:p w14:paraId="38D568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44" w:type="dxa"/>
          </w:tcPr>
          <w:p w14:paraId="6E2673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налета</w:t>
            </w:r>
          </w:p>
        </w:tc>
      </w:tr>
      <w:tr w:rsidR="00A907A5" w:rsidRPr="00271E51" w14:paraId="0E2CFB33" w14:textId="77777777" w:rsidTr="00ED5B0A">
        <w:tc>
          <w:tcPr>
            <w:tcW w:w="3652" w:type="dxa"/>
          </w:tcPr>
          <w:p w14:paraId="47E96B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172316</w:t>
            </w:r>
          </w:p>
        </w:tc>
        <w:tc>
          <w:tcPr>
            <w:tcW w:w="1843" w:type="dxa"/>
          </w:tcPr>
          <w:p w14:paraId="60BF55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 час.</w:t>
            </w:r>
          </w:p>
        </w:tc>
        <w:tc>
          <w:tcPr>
            <w:tcW w:w="2058" w:type="dxa"/>
          </w:tcPr>
          <w:p w14:paraId="27450B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162316</w:t>
            </w:r>
          </w:p>
        </w:tc>
        <w:tc>
          <w:tcPr>
            <w:tcW w:w="3044" w:type="dxa"/>
          </w:tcPr>
          <w:p w14:paraId="1EDFE3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 час.</w:t>
            </w:r>
          </w:p>
        </w:tc>
      </w:tr>
      <w:tr w:rsidR="00A907A5" w:rsidRPr="00271E51" w14:paraId="4819DD83" w14:textId="77777777" w:rsidTr="00ED5B0A">
        <w:tc>
          <w:tcPr>
            <w:tcW w:w="3652" w:type="dxa"/>
          </w:tcPr>
          <w:p w14:paraId="6EAD87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192316</w:t>
            </w:r>
          </w:p>
        </w:tc>
        <w:tc>
          <w:tcPr>
            <w:tcW w:w="1843" w:type="dxa"/>
          </w:tcPr>
          <w:p w14:paraId="1229A2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 час.</w:t>
            </w:r>
          </w:p>
        </w:tc>
        <w:tc>
          <w:tcPr>
            <w:tcW w:w="2058" w:type="dxa"/>
          </w:tcPr>
          <w:p w14:paraId="625187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172315</w:t>
            </w:r>
          </w:p>
        </w:tc>
        <w:tc>
          <w:tcPr>
            <w:tcW w:w="3044" w:type="dxa"/>
          </w:tcPr>
          <w:p w14:paraId="6CC477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час.</w:t>
            </w:r>
          </w:p>
        </w:tc>
      </w:tr>
      <w:tr w:rsidR="00A907A5" w:rsidRPr="00271E51" w14:paraId="4510C1E2" w14:textId="77777777" w:rsidTr="00ED5B0A">
        <w:tc>
          <w:tcPr>
            <w:tcW w:w="3652" w:type="dxa"/>
          </w:tcPr>
          <w:p w14:paraId="2353C5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192314</w:t>
            </w:r>
          </w:p>
        </w:tc>
        <w:tc>
          <w:tcPr>
            <w:tcW w:w="1843" w:type="dxa"/>
          </w:tcPr>
          <w:p w14:paraId="5FDCFF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час.</w:t>
            </w:r>
          </w:p>
        </w:tc>
        <w:tc>
          <w:tcPr>
            <w:tcW w:w="2058" w:type="dxa"/>
          </w:tcPr>
          <w:p w14:paraId="3C3143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002312</w:t>
            </w:r>
          </w:p>
        </w:tc>
        <w:tc>
          <w:tcPr>
            <w:tcW w:w="3044" w:type="dxa"/>
          </w:tcPr>
          <w:p w14:paraId="48E645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 час.</w:t>
            </w:r>
          </w:p>
        </w:tc>
      </w:tr>
      <w:tr w:rsidR="00A907A5" w:rsidRPr="00271E51" w14:paraId="390C935C" w14:textId="77777777" w:rsidTr="00ED5B0A">
        <w:tc>
          <w:tcPr>
            <w:tcW w:w="3652" w:type="dxa"/>
          </w:tcPr>
          <w:p w14:paraId="2EEAD0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202302</w:t>
            </w:r>
          </w:p>
        </w:tc>
        <w:tc>
          <w:tcPr>
            <w:tcW w:w="1843" w:type="dxa"/>
          </w:tcPr>
          <w:p w14:paraId="015F9A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час.</w:t>
            </w:r>
          </w:p>
        </w:tc>
        <w:tc>
          <w:tcPr>
            <w:tcW w:w="2058" w:type="dxa"/>
          </w:tcPr>
          <w:p w14:paraId="4BA6BE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7311</w:t>
            </w:r>
          </w:p>
        </w:tc>
        <w:tc>
          <w:tcPr>
            <w:tcW w:w="3044" w:type="dxa"/>
          </w:tcPr>
          <w:p w14:paraId="56F611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 час.</w:t>
            </w:r>
          </w:p>
        </w:tc>
      </w:tr>
      <w:tr w:rsidR="00A907A5" w:rsidRPr="00271E51" w14:paraId="61EF0DD7" w14:textId="77777777" w:rsidTr="00ED5B0A">
        <w:tc>
          <w:tcPr>
            <w:tcW w:w="3652" w:type="dxa"/>
          </w:tcPr>
          <w:p w14:paraId="327E06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7C424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8" w:type="dxa"/>
          </w:tcPr>
          <w:p w14:paraId="2AC726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202316</w:t>
            </w:r>
          </w:p>
        </w:tc>
        <w:tc>
          <w:tcPr>
            <w:tcW w:w="3044" w:type="dxa"/>
          </w:tcPr>
          <w:p w14:paraId="35142C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час.</w:t>
            </w:r>
          </w:p>
        </w:tc>
      </w:tr>
      <w:tr w:rsidR="00A907A5" w:rsidRPr="00271E51" w14:paraId="4D60CA32" w14:textId="77777777" w:rsidTr="00ED5B0A">
        <w:tc>
          <w:tcPr>
            <w:tcW w:w="3652" w:type="dxa"/>
          </w:tcPr>
          <w:p w14:paraId="2AF2CE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FFBB0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8" w:type="dxa"/>
          </w:tcPr>
          <w:p w14:paraId="35B2E4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202314</w:t>
            </w:r>
          </w:p>
        </w:tc>
        <w:tc>
          <w:tcPr>
            <w:tcW w:w="3044" w:type="dxa"/>
          </w:tcPr>
          <w:p w14:paraId="2B072D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час.</w:t>
            </w:r>
          </w:p>
        </w:tc>
      </w:tr>
    </w:tbl>
    <w:p w14:paraId="1539AB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эксплуатации самолетов ИЛ-4 с ГАМ-9 в боевых условиях установлено, что оборудованные самолеты практически своих технических качеств не изменили. Постановка на самолет ИЛ-4, глушителя-пламягасителя, на взлет самолета, набор высоты, грузоподъемность и скорость существенного отрицательного влияния не оказала. В эксплуатации ГАм-9 никаких осложнений и неудобств не вызывают, как с точки зрения прочности конструкции, а также монтажа и демонтажа в условиях боевого аэродрома.</w:t>
      </w:r>
    </w:p>
    <w:p w14:paraId="608802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ИЛ-4, оборудованные ГАМ-9, по сравнению с необорудованными самолетами приобретают существенные тактические преимущества. Оборудованные самолеты не обнаруживаются в воздухе вражескими ночными истребителями; посты наблюдения зенитных баз противника не обнаруживают самолетов по факелу выхлопных газов. Штурманы самолетов получили возможность нормально просматривать цель; пламя выхлопных газов, благодаря наличию ГАМ-9, их не ослепляет.</w:t>
      </w:r>
    </w:p>
    <w:p w14:paraId="5CC9FB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Вышеизложенное позволяет сделать заключение о том, что конструкция ГАМ-9 вполне пригодна. Для массовой эксплуатации в частях АДД это значительно уменьшит потери в летном составе и в материальной части, улучшит условия работы летному составу. Особо напряженные условия работы имеющие место при выполнении боевых заданий летным составом АДД заставляют требовать от промышленности быстрейшего выполнения заказа по изготовлению ГАМ-9 для соединений АДД.</w:t>
      </w:r>
    </w:p>
    <w:p w14:paraId="4BB30F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Выводы и отзывы</w:t>
      </w:r>
    </w:p>
    <w:p w14:paraId="2F6E3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командующего 2-й Гв. корпусом по ИАС - гв. инж. подполковник - Петросьян. Представит. НИИ ВВС инж. капитан - Гордон. Представит. ЦИАМ - ст. инж. - Цепов.).</w:t>
      </w:r>
    </w:p>
    <w:p w14:paraId="336104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w:t>
      </w:r>
    </w:p>
    <w:p w14:paraId="2BF3A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командования 1-й АДД о глушителях-пламягасителях</w:t>
      </w:r>
    </w:p>
    <w:p w14:paraId="3D1F6D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"ГАМ-10", установленных на самолете ЛИ-2 с 2М-62ИР.</w:t>
      </w:r>
    </w:p>
    <w:p w14:paraId="79C6BA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1-й авиационной дивизии АДД, с 26.4 по 30.4.1943 г. испытывается и в настоящее время находится в эксплуатации глушитель-пламягаситель "ГАМ-10", конструкции ЦИАМ.</w:t>
      </w:r>
    </w:p>
    <w:p w14:paraId="57FB62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испытаний, нормальной эксплуатации самолета и при выполнении боевых заданий, летно-техническим составом установлено, что самолет ЛИ-2 N 1842606, оборудованный глушителями-пламягасителями, имеет существенные тактические преимущества, по сравнению с необорудованным самолетом.</w:t>
      </w:r>
    </w:p>
    <w:p w14:paraId="61F584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Пламя выхлопных газов при наблюдении в непосредственной близости за работающими моторами на всех режимах на земле и при полетах самолета на различных высотах и на различных режимах совершенно не видно.</w:t>
      </w:r>
    </w:p>
    <w:p w14:paraId="22DC72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Шум самолета становится меньше, что позволяет скрыто подходить самолету к цели.</w:t>
      </w:r>
    </w:p>
    <w:p w14:paraId="7E0FAC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 никаких сомнений, что оборудование самолетов ЛИ-2, выполняющих боевые операции в ночных условиях, глушителями-пламягасителями, уменьшит потери в материальной части и облегчит условия работы летному составу. Считаю, что для улучшения тактических свойств самолетов, все самолеты ЛИ-2, необходимо возможно быстрее оборудовать глушителями-пламягасителями "ГАМ-10". (Командир 1-й дивизии АДД, генерал-майор Нестерцов, зам. командира по ИАС 1-й дивизии АДД инж.-полковник Пономаренко).</w:t>
      </w:r>
    </w:p>
    <w:p w14:paraId="3A4FB2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 летного состава 8 ГАП</w:t>
      </w:r>
    </w:p>
    <w:p w14:paraId="1E8821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эксплуатации глушителя-пламягасителя ГАм-9 последний показал себя только с положительной стороны.</w:t>
      </w:r>
    </w:p>
    <w:p w14:paraId="67847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полете заглушается шум мотора и гасит пламя выхлопа, что облегчает работу экипажа, а также не обнаруживается истребителями противника и противовоздушной системой П.В.О.</w:t>
      </w:r>
    </w:p>
    <w:p w14:paraId="5FB3C7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мотора из-за установки пламягасителя не ухудшается, моторы полностью отрабатывают ресурс.</w:t>
      </w:r>
    </w:p>
    <w:p w14:paraId="0EE9C3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Звук мотора делается мягким, хлопков при переходе из одного режима на другой нет.</w:t>
      </w:r>
    </w:p>
    <w:p w14:paraId="38EBBF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на все самолеты устанавливать глушители пламягасители "ГАМ-9". (Л-к ст. лейтенант Коростылев, гв. мл. лейтенант Инешин, гв. лейтенант Фурс) (1783,148).</w:t>
      </w:r>
    </w:p>
    <w:p w14:paraId="471227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586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Зам. нач. 7 ГУ Алексеев и Фирсаев составили сравнительные данные ДБ в справке N 4820: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984"/>
        <w:gridCol w:w="1140"/>
        <w:gridCol w:w="1837"/>
        <w:gridCol w:w="2977"/>
      </w:tblGrid>
      <w:tr w:rsidR="00A907A5" w:rsidRPr="00271E51" w14:paraId="1FDF1A35" w14:textId="77777777" w:rsidTr="00ED5B0A">
        <w:tc>
          <w:tcPr>
            <w:tcW w:w="2660" w:type="dxa"/>
          </w:tcPr>
          <w:p w14:paraId="1DAA03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1E508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w:t>
            </w:r>
          </w:p>
        </w:tc>
        <w:tc>
          <w:tcPr>
            <w:tcW w:w="1140" w:type="dxa"/>
          </w:tcPr>
          <w:p w14:paraId="12E086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ДВБ-102</w:t>
            </w:r>
          </w:p>
        </w:tc>
        <w:tc>
          <w:tcPr>
            <w:tcW w:w="1837" w:type="dxa"/>
          </w:tcPr>
          <w:p w14:paraId="4A942A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ДББ-102</w:t>
            </w:r>
          </w:p>
        </w:tc>
        <w:tc>
          <w:tcPr>
            <w:tcW w:w="2977" w:type="dxa"/>
          </w:tcPr>
          <w:p w14:paraId="31302A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Ил-6</w:t>
            </w:r>
          </w:p>
        </w:tc>
      </w:tr>
      <w:tr w:rsidR="00A907A5" w:rsidRPr="00271E51" w14:paraId="2789B643" w14:textId="77777777" w:rsidTr="00ED5B0A">
        <w:tc>
          <w:tcPr>
            <w:tcW w:w="2660" w:type="dxa"/>
          </w:tcPr>
          <w:p w14:paraId="4CFD28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71856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2М-30Б</w:t>
            </w:r>
          </w:p>
        </w:tc>
        <w:tc>
          <w:tcPr>
            <w:tcW w:w="1140" w:type="dxa"/>
          </w:tcPr>
          <w:p w14:paraId="6BAEF8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2М-71</w:t>
            </w:r>
          </w:p>
        </w:tc>
        <w:tc>
          <w:tcPr>
            <w:tcW w:w="1837" w:type="dxa"/>
          </w:tcPr>
          <w:p w14:paraId="3271E6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2М-120ТК</w:t>
            </w:r>
          </w:p>
        </w:tc>
        <w:tc>
          <w:tcPr>
            <w:tcW w:w="2977" w:type="dxa"/>
          </w:tcPr>
          <w:p w14:paraId="56A589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2М-30Б</w:t>
            </w:r>
          </w:p>
        </w:tc>
      </w:tr>
      <w:tr w:rsidR="00A907A5" w:rsidRPr="00271E51" w14:paraId="58B9EA65" w14:textId="77777777" w:rsidTr="00ED5B0A">
        <w:tc>
          <w:tcPr>
            <w:tcW w:w="2660" w:type="dxa"/>
          </w:tcPr>
          <w:p w14:paraId="6921F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норм./пер.</w:t>
            </w:r>
          </w:p>
        </w:tc>
        <w:tc>
          <w:tcPr>
            <w:tcW w:w="1984" w:type="dxa"/>
          </w:tcPr>
          <w:p w14:paraId="586434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14190/16190</w:t>
            </w:r>
          </w:p>
        </w:tc>
        <w:tc>
          <w:tcPr>
            <w:tcW w:w="1140" w:type="dxa"/>
          </w:tcPr>
          <w:p w14:paraId="1735D0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15100</w:t>
            </w:r>
          </w:p>
        </w:tc>
        <w:tc>
          <w:tcPr>
            <w:tcW w:w="1837" w:type="dxa"/>
          </w:tcPr>
          <w:p w14:paraId="0683D0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14908/17056</w:t>
            </w:r>
          </w:p>
        </w:tc>
        <w:tc>
          <w:tcPr>
            <w:tcW w:w="2977" w:type="dxa"/>
          </w:tcPr>
          <w:p w14:paraId="09DF5B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14950/18700</w:t>
            </w:r>
          </w:p>
        </w:tc>
      </w:tr>
      <w:tr w:rsidR="00A907A5" w:rsidRPr="00271E51" w14:paraId="140946F7" w14:textId="77777777" w:rsidTr="00ED5B0A">
        <w:tc>
          <w:tcPr>
            <w:tcW w:w="2660" w:type="dxa"/>
          </w:tcPr>
          <w:p w14:paraId="6F621A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19049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17650 с подв.</w:t>
            </w:r>
          </w:p>
        </w:tc>
        <w:tc>
          <w:tcPr>
            <w:tcW w:w="1140" w:type="dxa"/>
          </w:tcPr>
          <w:p w14:paraId="376005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79C27E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35803F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7D72DE" w14:textId="77777777" w:rsidTr="00ED5B0A">
        <w:tc>
          <w:tcPr>
            <w:tcW w:w="2660" w:type="dxa"/>
          </w:tcPr>
          <w:p w14:paraId="42F42A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C2189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Баками</w:t>
            </w:r>
          </w:p>
        </w:tc>
        <w:tc>
          <w:tcPr>
            <w:tcW w:w="1140" w:type="dxa"/>
          </w:tcPr>
          <w:p w14:paraId="1DB6BE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06A67D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3C1FC9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B28896" w14:textId="77777777" w:rsidTr="00ED5B0A">
        <w:tc>
          <w:tcPr>
            <w:tcW w:w="2660" w:type="dxa"/>
          </w:tcPr>
          <w:p w14:paraId="29AC86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w:t>
            </w:r>
          </w:p>
        </w:tc>
        <w:tc>
          <w:tcPr>
            <w:tcW w:w="1984" w:type="dxa"/>
          </w:tcPr>
          <w:p w14:paraId="5AA998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0" w:type="dxa"/>
          </w:tcPr>
          <w:p w14:paraId="375901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6C8F78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701A2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0F2845" w14:textId="77777777" w:rsidTr="00ED5B0A">
        <w:tc>
          <w:tcPr>
            <w:tcW w:w="2660" w:type="dxa"/>
          </w:tcPr>
          <w:p w14:paraId="002EE7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984" w:type="dxa"/>
          </w:tcPr>
          <w:p w14:paraId="227C2F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373</w:t>
            </w:r>
          </w:p>
        </w:tc>
        <w:tc>
          <w:tcPr>
            <w:tcW w:w="1140" w:type="dxa"/>
          </w:tcPr>
          <w:p w14:paraId="11436B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w:t>
            </w:r>
          </w:p>
        </w:tc>
        <w:tc>
          <w:tcPr>
            <w:tcW w:w="1837" w:type="dxa"/>
          </w:tcPr>
          <w:p w14:paraId="626E98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2977" w:type="dxa"/>
          </w:tcPr>
          <w:p w14:paraId="47E9E5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w:t>
            </w:r>
          </w:p>
        </w:tc>
      </w:tr>
      <w:tr w:rsidR="00A907A5" w:rsidRPr="00271E51" w14:paraId="0DFF6F45" w14:textId="77777777" w:rsidTr="00ED5B0A">
        <w:tc>
          <w:tcPr>
            <w:tcW w:w="2660" w:type="dxa"/>
          </w:tcPr>
          <w:p w14:paraId="2788C2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w:t>
            </w:r>
          </w:p>
        </w:tc>
        <w:tc>
          <w:tcPr>
            <w:tcW w:w="1984" w:type="dxa"/>
          </w:tcPr>
          <w:p w14:paraId="44A2FD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429/6000</w:t>
            </w:r>
          </w:p>
        </w:tc>
        <w:tc>
          <w:tcPr>
            <w:tcW w:w="1140" w:type="dxa"/>
          </w:tcPr>
          <w:p w14:paraId="3BD6F2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535/5600</w:t>
            </w:r>
          </w:p>
        </w:tc>
        <w:tc>
          <w:tcPr>
            <w:tcW w:w="1837" w:type="dxa"/>
          </w:tcPr>
          <w:p w14:paraId="401FF6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540/6250</w:t>
            </w:r>
          </w:p>
        </w:tc>
        <w:tc>
          <w:tcPr>
            <w:tcW w:w="2977" w:type="dxa"/>
          </w:tcPr>
          <w:p w14:paraId="253F71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445/6000</w:t>
            </w:r>
          </w:p>
        </w:tc>
      </w:tr>
      <w:tr w:rsidR="00A907A5" w:rsidRPr="00271E51" w14:paraId="2580539C" w14:textId="77777777" w:rsidTr="00ED5B0A">
        <w:tc>
          <w:tcPr>
            <w:tcW w:w="2660" w:type="dxa"/>
          </w:tcPr>
          <w:p w14:paraId="1B5C70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1984" w:type="dxa"/>
          </w:tcPr>
          <w:p w14:paraId="4465E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w:t>
            </w:r>
          </w:p>
        </w:tc>
        <w:tc>
          <w:tcPr>
            <w:tcW w:w="1140" w:type="dxa"/>
          </w:tcPr>
          <w:p w14:paraId="155BBF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w:t>
            </w:r>
          </w:p>
        </w:tc>
        <w:tc>
          <w:tcPr>
            <w:tcW w:w="1837" w:type="dxa"/>
          </w:tcPr>
          <w:p w14:paraId="7BD5CB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w:t>
            </w:r>
          </w:p>
        </w:tc>
        <w:tc>
          <w:tcPr>
            <w:tcW w:w="2977" w:type="dxa"/>
          </w:tcPr>
          <w:p w14:paraId="53F97E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r>
      <w:tr w:rsidR="00A907A5" w:rsidRPr="00271E51" w14:paraId="5FE67EEC" w14:textId="77777777" w:rsidTr="00ED5B0A">
        <w:tc>
          <w:tcPr>
            <w:tcW w:w="2660" w:type="dxa"/>
          </w:tcPr>
          <w:p w14:paraId="471442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 дальность</w:t>
            </w:r>
          </w:p>
        </w:tc>
        <w:tc>
          <w:tcPr>
            <w:tcW w:w="1984" w:type="dxa"/>
          </w:tcPr>
          <w:p w14:paraId="6F4A85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5320/340</w:t>
            </w:r>
          </w:p>
        </w:tc>
        <w:tc>
          <w:tcPr>
            <w:tcW w:w="1140" w:type="dxa"/>
          </w:tcPr>
          <w:p w14:paraId="18F6FE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4000/400</w:t>
            </w:r>
          </w:p>
        </w:tc>
        <w:tc>
          <w:tcPr>
            <w:tcW w:w="1837" w:type="dxa"/>
          </w:tcPr>
          <w:p w14:paraId="569D17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3400/400</w:t>
            </w:r>
          </w:p>
        </w:tc>
        <w:tc>
          <w:tcPr>
            <w:tcW w:w="2977" w:type="dxa"/>
          </w:tcPr>
          <w:p w14:paraId="63982C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5500/300</w:t>
            </w:r>
          </w:p>
        </w:tc>
      </w:tr>
      <w:tr w:rsidR="00A907A5" w:rsidRPr="00271E51" w14:paraId="30340441" w14:textId="77777777" w:rsidTr="00ED5B0A">
        <w:tc>
          <w:tcPr>
            <w:tcW w:w="2660" w:type="dxa"/>
          </w:tcPr>
          <w:p w14:paraId="289FFE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1000 бомб и</w:t>
            </w:r>
          </w:p>
        </w:tc>
        <w:tc>
          <w:tcPr>
            <w:tcW w:w="1984" w:type="dxa"/>
          </w:tcPr>
          <w:p w14:paraId="1CE9A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6000</w:t>
            </w:r>
          </w:p>
        </w:tc>
        <w:tc>
          <w:tcPr>
            <w:tcW w:w="1140" w:type="dxa"/>
          </w:tcPr>
          <w:p w14:paraId="49CEE5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5000</w:t>
            </w:r>
          </w:p>
        </w:tc>
        <w:tc>
          <w:tcPr>
            <w:tcW w:w="1837" w:type="dxa"/>
          </w:tcPr>
          <w:p w14:paraId="213FD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5000</w:t>
            </w:r>
          </w:p>
        </w:tc>
        <w:tc>
          <w:tcPr>
            <w:tcW w:w="2977" w:type="dxa"/>
          </w:tcPr>
          <w:p w14:paraId="29800B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6000</w:t>
            </w:r>
          </w:p>
        </w:tc>
      </w:tr>
      <w:tr w:rsidR="00A907A5" w:rsidRPr="00271E51" w14:paraId="64934E73" w14:textId="77777777" w:rsidTr="00ED5B0A">
        <w:tc>
          <w:tcPr>
            <w:tcW w:w="2660" w:type="dxa"/>
          </w:tcPr>
          <w:p w14:paraId="5693FC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запасе горючего</w:t>
            </w:r>
          </w:p>
        </w:tc>
        <w:tc>
          <w:tcPr>
            <w:tcW w:w="1984" w:type="dxa"/>
          </w:tcPr>
          <w:p w14:paraId="065D6B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0" w:type="dxa"/>
          </w:tcPr>
          <w:p w14:paraId="48FC5A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14179D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90AF6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114552" w14:textId="77777777" w:rsidTr="00ED5B0A">
        <w:tc>
          <w:tcPr>
            <w:tcW w:w="2660" w:type="dxa"/>
          </w:tcPr>
          <w:p w14:paraId="023588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w:t>
            </w:r>
          </w:p>
        </w:tc>
        <w:tc>
          <w:tcPr>
            <w:tcW w:w="1984" w:type="dxa"/>
          </w:tcPr>
          <w:p w14:paraId="5ACC8B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 пер.</w:t>
            </w:r>
          </w:p>
        </w:tc>
        <w:tc>
          <w:tcPr>
            <w:tcW w:w="1140" w:type="dxa"/>
          </w:tcPr>
          <w:p w14:paraId="741A99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 норм.</w:t>
            </w:r>
          </w:p>
        </w:tc>
        <w:tc>
          <w:tcPr>
            <w:tcW w:w="1837" w:type="dxa"/>
          </w:tcPr>
          <w:p w14:paraId="3B7BBB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 норм.</w:t>
            </w:r>
          </w:p>
        </w:tc>
        <w:tc>
          <w:tcPr>
            <w:tcW w:w="2977" w:type="dxa"/>
          </w:tcPr>
          <w:p w14:paraId="14D777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 пер.</w:t>
            </w:r>
          </w:p>
        </w:tc>
      </w:tr>
      <w:tr w:rsidR="00A907A5" w:rsidRPr="00271E51" w14:paraId="0D679F8A" w14:textId="77777777" w:rsidTr="00ED5B0A">
        <w:tc>
          <w:tcPr>
            <w:tcW w:w="2660" w:type="dxa"/>
          </w:tcPr>
          <w:p w14:paraId="169D15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1984" w:type="dxa"/>
          </w:tcPr>
          <w:p w14:paraId="233BCC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0" w:type="dxa"/>
          </w:tcPr>
          <w:p w14:paraId="482A2E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1543D5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65607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85C5BC" w14:textId="77777777" w:rsidTr="00ED5B0A">
        <w:tc>
          <w:tcPr>
            <w:tcW w:w="2660" w:type="dxa"/>
          </w:tcPr>
          <w:p w14:paraId="5B603A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носовая</w:t>
            </w:r>
          </w:p>
        </w:tc>
        <w:tc>
          <w:tcPr>
            <w:tcW w:w="1984" w:type="dxa"/>
          </w:tcPr>
          <w:p w14:paraId="15BC20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1х12.7мм/220</w:t>
            </w:r>
          </w:p>
        </w:tc>
        <w:tc>
          <w:tcPr>
            <w:tcW w:w="1140" w:type="dxa"/>
          </w:tcPr>
          <w:p w14:paraId="6D26E6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1х20мм/160</w:t>
            </w:r>
          </w:p>
        </w:tc>
        <w:tc>
          <w:tcPr>
            <w:tcW w:w="1837" w:type="dxa"/>
          </w:tcPr>
          <w:p w14:paraId="08788E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1х20мм/160</w:t>
            </w:r>
          </w:p>
        </w:tc>
        <w:tc>
          <w:tcPr>
            <w:tcW w:w="2977" w:type="dxa"/>
          </w:tcPr>
          <w:p w14:paraId="1405FB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1х12.7мм/200</w:t>
            </w:r>
          </w:p>
        </w:tc>
      </w:tr>
      <w:tr w:rsidR="00A907A5" w:rsidRPr="00271E51" w14:paraId="5175F7CF" w14:textId="77777777" w:rsidTr="00ED5B0A">
        <w:tc>
          <w:tcPr>
            <w:tcW w:w="2660" w:type="dxa"/>
          </w:tcPr>
          <w:p w14:paraId="5AFF89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бортовая</w:t>
            </w:r>
          </w:p>
        </w:tc>
        <w:tc>
          <w:tcPr>
            <w:tcW w:w="1984" w:type="dxa"/>
          </w:tcPr>
          <w:p w14:paraId="183F43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c>
          <w:tcPr>
            <w:tcW w:w="1140" w:type="dxa"/>
          </w:tcPr>
          <w:p w14:paraId="4E0B1E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c>
          <w:tcPr>
            <w:tcW w:w="1837" w:type="dxa"/>
          </w:tcPr>
          <w:p w14:paraId="1BA541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c>
          <w:tcPr>
            <w:tcW w:w="2977" w:type="dxa"/>
          </w:tcPr>
          <w:p w14:paraId="2DD14C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2х12.7/400</w:t>
            </w:r>
          </w:p>
        </w:tc>
      </w:tr>
      <w:tr w:rsidR="00A907A5" w:rsidRPr="00271E51" w14:paraId="348B7F79" w14:textId="77777777" w:rsidTr="00ED5B0A">
        <w:tc>
          <w:tcPr>
            <w:tcW w:w="2660" w:type="dxa"/>
          </w:tcPr>
          <w:p w14:paraId="35B09D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турельная</w:t>
            </w:r>
          </w:p>
        </w:tc>
        <w:tc>
          <w:tcPr>
            <w:tcW w:w="1984" w:type="dxa"/>
          </w:tcPr>
          <w:p w14:paraId="53A7BC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1х12.7мм/300</w:t>
            </w:r>
          </w:p>
        </w:tc>
        <w:tc>
          <w:tcPr>
            <w:tcW w:w="1140" w:type="dxa"/>
          </w:tcPr>
          <w:p w14:paraId="64FA63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2х12.7мм/800</w:t>
            </w:r>
          </w:p>
        </w:tc>
        <w:tc>
          <w:tcPr>
            <w:tcW w:w="1837" w:type="dxa"/>
          </w:tcPr>
          <w:p w14:paraId="74B658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2х7.62мм/1425</w:t>
            </w:r>
          </w:p>
        </w:tc>
        <w:tc>
          <w:tcPr>
            <w:tcW w:w="2977" w:type="dxa"/>
          </w:tcPr>
          <w:p w14:paraId="1267D6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1х12.7мм/300</w:t>
            </w:r>
          </w:p>
        </w:tc>
      </w:tr>
      <w:tr w:rsidR="00A907A5" w:rsidRPr="00271E51" w14:paraId="42DC5965" w14:textId="77777777" w:rsidTr="00ED5B0A">
        <w:tc>
          <w:tcPr>
            <w:tcW w:w="2660" w:type="dxa"/>
          </w:tcPr>
          <w:p w14:paraId="66A61B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D6B70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0" w:type="dxa"/>
          </w:tcPr>
          <w:p w14:paraId="6DB912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7003DB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1х12.7мм/625</w:t>
            </w:r>
          </w:p>
        </w:tc>
        <w:tc>
          <w:tcPr>
            <w:tcW w:w="2977" w:type="dxa"/>
          </w:tcPr>
          <w:p w14:paraId="5F0E4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70273C" w14:textId="77777777" w:rsidTr="00ED5B0A">
        <w:tc>
          <w:tcPr>
            <w:tcW w:w="2660" w:type="dxa"/>
          </w:tcPr>
          <w:p w14:paraId="1A5E4C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люковая</w:t>
            </w:r>
          </w:p>
        </w:tc>
        <w:tc>
          <w:tcPr>
            <w:tcW w:w="1984" w:type="dxa"/>
          </w:tcPr>
          <w:p w14:paraId="2EA449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1х12.7мм/260</w:t>
            </w:r>
          </w:p>
        </w:tc>
        <w:tc>
          <w:tcPr>
            <w:tcW w:w="1140" w:type="dxa"/>
          </w:tcPr>
          <w:p w14:paraId="6F916E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1х12.7мм/300</w:t>
            </w:r>
          </w:p>
        </w:tc>
        <w:tc>
          <w:tcPr>
            <w:tcW w:w="1837" w:type="dxa"/>
          </w:tcPr>
          <w:p w14:paraId="393D75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1х12.7мм/300</w:t>
            </w:r>
          </w:p>
        </w:tc>
        <w:tc>
          <w:tcPr>
            <w:tcW w:w="2977" w:type="dxa"/>
          </w:tcPr>
          <w:p w14:paraId="05C88A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1х12.7мм/300</w:t>
            </w:r>
          </w:p>
        </w:tc>
      </w:tr>
      <w:tr w:rsidR="00A907A5" w:rsidRPr="00271E51" w14:paraId="14998D69" w14:textId="77777777" w:rsidTr="00ED5B0A">
        <w:tc>
          <w:tcPr>
            <w:tcW w:w="2660" w:type="dxa"/>
          </w:tcPr>
          <w:p w14:paraId="5E9E1D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w:t>
            </w:r>
          </w:p>
        </w:tc>
        <w:tc>
          <w:tcPr>
            <w:tcW w:w="1984" w:type="dxa"/>
          </w:tcPr>
          <w:p w14:paraId="72E88A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0" w:type="dxa"/>
          </w:tcPr>
          <w:p w14:paraId="5E0892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09DB74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4300E6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BEC78D" w14:textId="77777777" w:rsidTr="00ED5B0A">
        <w:tc>
          <w:tcPr>
            <w:tcW w:w="2660" w:type="dxa"/>
          </w:tcPr>
          <w:p w14:paraId="61D2B4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 внутр.</w:t>
            </w:r>
          </w:p>
        </w:tc>
        <w:tc>
          <w:tcPr>
            <w:tcW w:w="1984" w:type="dxa"/>
          </w:tcPr>
          <w:p w14:paraId="6B75F8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1140" w:type="dxa"/>
          </w:tcPr>
          <w:p w14:paraId="27BB94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1837" w:type="dxa"/>
          </w:tcPr>
          <w:p w14:paraId="624370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2977" w:type="dxa"/>
          </w:tcPr>
          <w:p w14:paraId="503881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3EFD8447" w14:textId="77777777" w:rsidTr="00ED5B0A">
        <w:tc>
          <w:tcPr>
            <w:tcW w:w="2660" w:type="dxa"/>
          </w:tcPr>
          <w:p w14:paraId="0BFA29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внутр.</w:t>
            </w:r>
          </w:p>
        </w:tc>
        <w:tc>
          <w:tcPr>
            <w:tcW w:w="1984" w:type="dxa"/>
          </w:tcPr>
          <w:p w14:paraId="171D3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140" w:type="dxa"/>
          </w:tcPr>
          <w:p w14:paraId="56C09A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837" w:type="dxa"/>
          </w:tcPr>
          <w:p w14:paraId="36025D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2977" w:type="dxa"/>
          </w:tcPr>
          <w:p w14:paraId="13B918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r>
      <w:tr w:rsidR="00A907A5" w:rsidRPr="00271E51" w14:paraId="4493006B" w14:textId="77777777" w:rsidTr="00ED5B0A">
        <w:tc>
          <w:tcPr>
            <w:tcW w:w="2660" w:type="dxa"/>
          </w:tcPr>
          <w:p w14:paraId="1EC86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наружн.</w:t>
            </w:r>
          </w:p>
        </w:tc>
        <w:tc>
          <w:tcPr>
            <w:tcW w:w="1984" w:type="dxa"/>
          </w:tcPr>
          <w:p w14:paraId="08E1DA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140" w:type="dxa"/>
          </w:tcPr>
          <w:p w14:paraId="5B961F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837" w:type="dxa"/>
          </w:tcPr>
          <w:p w14:paraId="293452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2977" w:type="dxa"/>
          </w:tcPr>
          <w:p w14:paraId="574672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7F9D7C69" w14:textId="77777777" w:rsidTr="00ED5B0A">
        <w:tc>
          <w:tcPr>
            <w:tcW w:w="2660" w:type="dxa"/>
          </w:tcPr>
          <w:p w14:paraId="5683E7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Источник данных</w:t>
            </w:r>
          </w:p>
        </w:tc>
        <w:tc>
          <w:tcPr>
            <w:tcW w:w="1984" w:type="dxa"/>
          </w:tcPr>
          <w:p w14:paraId="1D5809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НИИ ВВС</w:t>
            </w:r>
          </w:p>
        </w:tc>
        <w:tc>
          <w:tcPr>
            <w:tcW w:w="1140" w:type="dxa"/>
          </w:tcPr>
          <w:p w14:paraId="556CCE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Расчетные</w:t>
            </w:r>
          </w:p>
        </w:tc>
        <w:tc>
          <w:tcPr>
            <w:tcW w:w="1837" w:type="dxa"/>
          </w:tcPr>
          <w:p w14:paraId="4A4136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НИИ ВВС</w:t>
            </w:r>
          </w:p>
        </w:tc>
        <w:tc>
          <w:tcPr>
            <w:tcW w:w="2977" w:type="dxa"/>
          </w:tcPr>
          <w:p w14:paraId="42CE4E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Расчетные данные</w:t>
            </w:r>
          </w:p>
        </w:tc>
      </w:tr>
      <w:tr w:rsidR="00A907A5" w:rsidRPr="00271E51" w14:paraId="54424E04" w14:textId="77777777" w:rsidTr="00ED5B0A">
        <w:tc>
          <w:tcPr>
            <w:tcW w:w="2660" w:type="dxa"/>
          </w:tcPr>
          <w:p w14:paraId="57BAD6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5B2D8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гос. испыт.</w:t>
            </w:r>
          </w:p>
        </w:tc>
        <w:tc>
          <w:tcPr>
            <w:tcW w:w="1140" w:type="dxa"/>
          </w:tcPr>
          <w:p w14:paraId="292801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37" w:type="dxa"/>
          </w:tcPr>
          <w:p w14:paraId="7ECDD6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гос. испыт.</w:t>
            </w:r>
          </w:p>
        </w:tc>
        <w:tc>
          <w:tcPr>
            <w:tcW w:w="2977" w:type="dxa"/>
          </w:tcPr>
          <w:p w14:paraId="39A04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(1785,148)</w:t>
            </w:r>
          </w:p>
        </w:tc>
      </w:tr>
    </w:tbl>
    <w:p w14:paraId="0EB7CB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F430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вышел приказ НКАП N 556 об образовании комиссии для детального обследования качества производства и прочности конструкции Ла-5 завода 21 и представить результаты 27 сентября (942,119).</w:t>
      </w:r>
    </w:p>
    <w:p w14:paraId="22067B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2F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на Як-9 М-105ПД достигли высоты 12500 м (1458,240).</w:t>
      </w:r>
    </w:p>
    <w:p w14:paraId="05B02B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E666F"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Як-9Д № 01-29 с мотором М-105ПД на испытаниях, проходивших в ЛИИ НКАП, достиг высоты 12500 м, однако на высотах 11500-12000 м и у него наблюдались перебои в работе М-105ПД. Из-за сильного перегрева и падения да</w:t>
      </w:r>
      <w:r w:rsidRPr="00271E51">
        <w:rPr>
          <w:rFonts w:ascii="Times New Roman" w:hAnsi="Times New Roman"/>
          <w:color w:val="000000" w:themeColor="text1"/>
          <w:sz w:val="16"/>
          <w:szCs w:val="16"/>
        </w:rPr>
        <w:softHyphen/>
        <w:t>вления масла в моторе полёты на высотах более 12500 м не производились. 3 октября из ЦИАМ получили новый мотор с повышенной высотностью, уменьшенной теплоотда</w:t>
      </w:r>
      <w:r w:rsidRPr="00271E51">
        <w:rPr>
          <w:rFonts w:ascii="Times New Roman" w:hAnsi="Times New Roman"/>
          <w:color w:val="000000" w:themeColor="text1"/>
          <w:sz w:val="16"/>
          <w:szCs w:val="16"/>
        </w:rPr>
        <w:softHyphen/>
        <w:t>чей в масло и без водо-водяного радиатора. Тем не менее, пояаилось решение, что до тех пор, пока на этом самолёте не будет отработана винтомоторная группа, работы по Як-9 с М-105ПД с ещё большей площадью крыла приостановить. Всего Як-9 совершил 21 полёт (15830).</w:t>
      </w:r>
    </w:p>
    <w:p w14:paraId="562CA3DD" w14:textId="77777777" w:rsidR="00147B86" w:rsidRPr="00271E51" w:rsidRDefault="00147B86" w:rsidP="00271E51">
      <w:pPr>
        <w:spacing w:after="0" w:line="240" w:lineRule="auto"/>
        <w:jc w:val="both"/>
        <w:rPr>
          <w:rFonts w:ascii="Times New Roman" w:hAnsi="Times New Roman"/>
          <w:color w:val="000000" w:themeColor="text1"/>
          <w:sz w:val="16"/>
          <w:szCs w:val="16"/>
        </w:rPr>
      </w:pPr>
    </w:p>
    <w:p w14:paraId="099732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 18 гв. иап и 20 иап закончились войсковые испытания Як-9ДС, которые проводились с 17 августа (65,119). В 18 гв. иап (командир ГСС пп А.Е.Голубов) - 3 машины, в т.ч. 1 с объединенным управлением винтом и газом, которые выполнили 58 полетов налетав 66:37 и провели 7 боев и в 20иап (командир - п А.К.Перовец). Оказалось, что дальность не требовалась, так как другие истребители ее не имели (65,119).</w:t>
      </w:r>
    </w:p>
    <w:p w14:paraId="087BEA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A33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Шахурин назначил комиссию по детально</w:t>
      </w:r>
      <w:r w:rsidRPr="00271E51">
        <w:rPr>
          <w:rFonts w:ascii="Times New Roman" w:hAnsi="Times New Roman"/>
          <w:color w:val="000000" w:themeColor="text1"/>
          <w:sz w:val="16"/>
          <w:szCs w:val="16"/>
        </w:rPr>
        <w:softHyphen/>
        <w:t>му обследованию качества продукции этого предприятия, которая выявила много недостатков. Состоялся «разбор полетов», после чего ситуация стала улучшаться. На очередных контрольных испы</w:t>
      </w:r>
      <w:r w:rsidRPr="00271E51">
        <w:rPr>
          <w:rFonts w:ascii="Times New Roman" w:hAnsi="Times New Roman"/>
          <w:color w:val="000000" w:themeColor="text1"/>
          <w:sz w:val="16"/>
          <w:szCs w:val="16"/>
        </w:rPr>
        <w:softHyphen/>
        <w:t>таниях Ла-5ФН сер. №№0531 и 0540, выпущенные этим заводом в октябре 1943 г., показали скорость у земли 572 и 570 км/ч, а на II границе высотности 625 и 636 км/ч, что было в пределах допуска в 3%. Характерными дефектами этих машин были выпадание хвосто</w:t>
      </w:r>
      <w:r w:rsidRPr="00271E51">
        <w:rPr>
          <w:rFonts w:ascii="Times New Roman" w:hAnsi="Times New Roman"/>
          <w:color w:val="000000" w:themeColor="text1"/>
          <w:sz w:val="16"/>
          <w:szCs w:val="16"/>
        </w:rPr>
        <w:softHyphen/>
        <w:t>вого колеса после уборки и по-прежнему обгорание и преждевре</w:t>
      </w:r>
      <w:r w:rsidRPr="00271E51">
        <w:rPr>
          <w:rFonts w:ascii="Times New Roman" w:hAnsi="Times New Roman"/>
          <w:color w:val="000000" w:themeColor="text1"/>
          <w:sz w:val="16"/>
          <w:szCs w:val="16"/>
        </w:rPr>
        <w:softHyphen/>
        <w:t>менный выход из строя свечей ВГ-12 (11123).</w:t>
      </w:r>
    </w:p>
    <w:p w14:paraId="120890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E5A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вышел приказ НКАП N 562 о выпуске с 15 октября на заводах 82, 153, 166, 292 Як-1, Як-7, Як-9 с аварийным сбрасыванием подвижной части фонаря пилота (943,16).</w:t>
      </w:r>
    </w:p>
    <w:p w14:paraId="6F0E1B5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летно-тактических и эксплуатационных качеств самолетов-истребителей ПРИКАЗЫВАЮ:</w:t>
      </w:r>
    </w:p>
    <w:p w14:paraId="0B3B297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Директорам заводов № 82, 153, 166, 292 выпускать с 15 октября 1943 с-ты Як-1, Як-7, Як-9 с аварийно сбрасываемой в полете подвижной частью фонаря пилота по чертежам завода № 115 (943,16)</w:t>
      </w:r>
    </w:p>
    <w:p w14:paraId="77B2FD9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28B692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вышло Постановление ГКО № 4164 О производстве моторов М-88. - РГАНИР, Фонд ГКО, д. 152, лл. 136 (11012).</w:t>
      </w:r>
    </w:p>
    <w:p w14:paraId="7F107F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D0D30" w14:textId="77777777" w:rsidR="00D66D65" w:rsidRPr="00271E51" w:rsidRDefault="00D66D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вышло Постановление ГКО № 4164 О производстве моторов М-88</w:t>
      </w:r>
    </w:p>
    <w:p w14:paraId="3F1FCADF" w14:textId="77777777" w:rsidR="00D66D65" w:rsidRPr="00271E51" w:rsidRDefault="00D66D65" w:rsidP="00271E51">
      <w:pPr>
        <w:pStyle w:val="5f0"/>
        <w:shd w:val="clear" w:color="auto" w:fill="auto"/>
        <w:tabs>
          <w:tab w:val="left" w:pos="940"/>
        </w:tabs>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В изменение решения ГОКО по заводу № 29 обязать Наркомавиапром и директора завода 29 тов.Борисова сохра</w:t>
      </w:r>
      <w:r w:rsidRPr="00271E51">
        <w:rPr>
          <w:rFonts w:ascii="Times New Roman" w:hAnsi="Times New Roman" w:cs="Times New Roman"/>
          <w:color w:val="000000" w:themeColor="text1"/>
          <w:sz w:val="16"/>
          <w:szCs w:val="16"/>
        </w:rPr>
        <w:softHyphen/>
        <w:t>нить производство моторов М-88 на уровне выпуска 12 моторов в день в течение октября, ноября, декабря 1943 года.</w:t>
      </w:r>
    </w:p>
    <w:p w14:paraId="41B69E16" w14:textId="77777777" w:rsidR="00D66D65" w:rsidRPr="00271E51" w:rsidRDefault="00D66D6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связи с указанным За</w:t>
      </w:r>
      <w:r w:rsidRPr="00271E51">
        <w:rPr>
          <w:rFonts w:ascii="Times New Roman" w:hAnsi="Times New Roman"/>
          <w:color w:val="000000" w:themeColor="text1"/>
          <w:sz w:val="16"/>
          <w:szCs w:val="16"/>
        </w:rPr>
        <w:softHyphen/>
        <w:t>воду 29 по мотору М-82ФН в октябре, ноябре и декабре 1943 года, сохранив задание на октябрь в 25 моторов М-82ФН, на ноябрь в 50 моторов М-82ФН и на декабрь в 75 моторов М-82ФН (19421).</w:t>
      </w:r>
    </w:p>
    <w:p w14:paraId="15DB7A00" w14:textId="77777777" w:rsidR="002E07F8" w:rsidRPr="00271E51" w:rsidRDefault="002E07F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41A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 согласно докладной записке С.П.К. от 18 октября, был проведен первый огневой пуск РД-1 на самолете на земле, а 1 октября 1943 г. состоялся первый полет на высоте 2760 м с включенным в воздухе РД-1; продолжительность работы ЖРД составила 2 мин. За это время приборная скорость самолета возросла с 340 до 420 км/ч. Первый этап заводских летных испытаний самолета проводили летчики-испытате- ли А.Г. Васильченко и А.С. Пальчиков при участии в полетах в качестве инженеров-экспериментаторов С. П. Королева и Д.Д. Севрука.</w:t>
      </w:r>
    </w:p>
    <w:p w14:paraId="0CE626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Реактивная установка РУ-1 состояла из двигателя РД-1, керосиновой, кислотной, воздушной систем и системы управления двигателем. Двигатель РД-1 (камера сгорания с агрегатами пуска и управления насосного агрегата) устанавливался в хвостовой части фюзеляжа самолета Пе-2. Горючее и окислитель обшей массой 850 кг размещались в фюзеляже в двух расположенных друг над другом баках: азотная кислота - в верхнем, а тракторный керосин - в нижнем. Находившийся в левой гондоле двигателя насосный агрегат мощностью 45 л.с., связанный с основным поршневым двигателем М-105РА трансмиссионным валом с гидромуфтой, обеспечивал подачу компонентов топлива по проложенным в нижней части фюзеляжа самолета керосиновой и азотнокислотной магистралям в камеру сгорания двигателя РД-1. Управление двигателем осуществлялось с места летчика и из кабины стрелка-радиста, причем включать двигатель мог только летчик, а отключать - и В фюзеляже Пе-2Н был летчик, и экспериментатор. Максимальная способен нести бомбу расчетная продолжительность работы РД-1 калибра 1000 кг </w:t>
      </w:r>
    </w:p>
    <w:p w14:paraId="7451CE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полной тяге в полете ограничивалась емкостью топливной системы и составляла около 10 минут. Общая масса РУ-1 на самолете Пе-2 была равна 1050 кг, а масса двигателя РД-1 (камера сгорания с агрегатами пуска и управления, блок дроссельных вентилей, релейная коробка и насосный агрегат) - 56 кг. Нормальная взлетная масса самолета Пе-2 с РД-1 - 8200 кг, а средняя полетная масса для определения летно-технических характеристик самолета - 7550 кг. Ресурс двигателя РД-1 составлял 45 мин.</w:t>
      </w:r>
    </w:p>
    <w:p w14:paraId="016BF0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аэродинамическому расчету, работа реактивного двигателя в течение 80-100 с должна была увеличить максимальную скорость полета самолета Пе-2 с РД-1 на 108 км/ч на высоте 7000 м, а длина разбега уменьшалась на 70 м. Вертикальная скорость самолета при отрыве от земли с работающим двигателем РД-1 могла возрасти на 30%, соответственно увеличивался возможный угол набора высоты, что было важно при взлете с небольшого полевого аэродрома, ограниченного препятствиями.</w:t>
      </w:r>
    </w:p>
    <w:p w14:paraId="2500A1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Включение РД-1 на взлете и в воздухе в основном подтвердило ожидаемое улучшение летно-технических данных самолета Пе-2 в диапазоне высот от земли до расчетной, но максимальная скорость самолета увеличилась только на 46-68 км/ч. На больших высотах запуск двигателя не удавался. Время набора высоты 5000 м </w:t>
      </w:r>
      <w:r w:rsidRPr="00271E51">
        <w:rPr>
          <w:rFonts w:ascii="Times New Roman" w:hAnsi="Times New Roman"/>
          <w:color w:val="000000" w:themeColor="text1"/>
          <w:sz w:val="16"/>
          <w:szCs w:val="16"/>
        </w:rPr>
        <w:lastRenderedPageBreak/>
        <w:t>сократилось с 10 до 7 минут. Летчики-испытатели отметили, что работа дополнительного двигателя не усложнила пилотирование самолета.</w:t>
      </w:r>
    </w:p>
    <w:p w14:paraId="2441FB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отработки зажигания было выполнено 24 полета самолета Пе-2 на высотах до 7000 м, в ходе которых РД-1 запускался 11 раз. Наибольшая длительность непрерывной работы ЖРД на режиме полной тяги в полете составляла 10 минут и определялась емкостью топливных баков (12042).</w:t>
      </w:r>
    </w:p>
    <w:p w14:paraId="124D12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E55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 на площадке эвакуированного завода № 258, по распоряжению СНК № 22124-рс был создан завод № 139 (Завод № 139 НКБ /г. Осипенко Днепропетровской обл./), в 08.1943-09.1944 г. - в ведении 2ГУ НКБ. 6.11.1943 г. вышло постановление ГКО № 4505 о мобилизации на завод 300 рабочих.</w:t>
      </w:r>
    </w:p>
    <w:p w14:paraId="53C050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в 1950 г. Имел отношение к заводу № 586.</w:t>
      </w:r>
    </w:p>
    <w:p w14:paraId="13CE6E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г.)- 257 чел. (11982).</w:t>
      </w:r>
    </w:p>
    <w:p w14:paraId="717C51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E2E8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D2BF2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C4C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сентября 1943 года Павлоград был освобожден от немецко-фашистских оккупантов , а уже 23 сентября в освобожденный город прибыл начальник полигона Д.Я. Сергеев для восстановления полигона. </w:t>
      </w:r>
    </w:p>
    <w:p w14:paraId="24F1C0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1944 году на Павлоградском полигоне были продолжены испытания боеприпасов для фронта.</w:t>
      </w:r>
    </w:p>
    <w:p w14:paraId="69656D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году в Павлоград была перебазирована из Крыма летно-испытательная станция (ЛИС), оснащенная самолетами ТУ-2, ПЕ-2, ИЛ-10, ПО-2 и начались испытания практическим бомбометанием фугасных авиабомб ФАБ-25, ФАБ-50, ФАБ-100, ФАБ-250,ФАБ-500 и ФАБ-1000, осветительных авиабомб, спускаемых на парашютах, зажигательных авиабомб ОЗАБ-500, различных типов взрывателей для авиабомб. Бомбометание осуществлялось с минимальной высоты 300 м и максимальной-12000 м.</w:t>
      </w:r>
    </w:p>
    <w:p w14:paraId="73356F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Испытывались прототипы кассетных авиабомб, снаряженных АО-10, АО-1сч, ПТАБ-2,5.На ЛИСе начинал свою карьеру Фунтиков А.Г.- впоследствии заместитель командующего РВСН СССР.</w:t>
      </w:r>
    </w:p>
    <w:p w14:paraId="6403CA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послевоенные годы на полигоне продолжаются испытания взрывателей , снарядов и зарядов к 203 мм гаубице Б-4, испытания из 240 мм миномета М-240, реактивных снарядов РС-21 для авиации, образцов реактивных снарядов к установке БМ-21 "Град", а также реактивных глубинных бомб РГБ-250, размещаемых на кораблях военно-морского флота для борьбы с подводными лодками. </w:t>
      </w:r>
    </w:p>
    <w:p w14:paraId="007ACA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Минобщемаша СССР ? 250 от 07 сентября 1956 года Павлоградский артиллерийский полигон передается НИИ-24(НИМИ) для комплексной отработки артиллерийских выстрелов и организуется СКБ-10.</w:t>
      </w:r>
    </w:p>
    <w:p w14:paraId="01BCAA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1956 года по 1961 год на полигоне проводятся испытания выстрелов с кумулятивными снарядами:</w:t>
      </w:r>
    </w:p>
    <w:p w14:paraId="3DF06C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76-мм горной пушке М-99;</w:t>
      </w:r>
    </w:p>
    <w:p w14:paraId="4B8A2D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85-мм пушкам Д-44 и ЗИС-53;</w:t>
      </w:r>
    </w:p>
    <w:p w14:paraId="0F0DD2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152-мм гаубице-пушке образца 1937 года и гаубице образца 1943 года;</w:t>
      </w:r>
    </w:p>
    <w:p w14:paraId="2059C4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115-мм танковой пушке У-5ТС;</w:t>
      </w:r>
    </w:p>
    <w:p w14:paraId="2ED311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100-мм противотанковой пушке Т-12 и дивизионной пушке БС-3;</w:t>
      </w:r>
    </w:p>
    <w:p w14:paraId="72514B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боеприпасы были сданы и приняты на вооружение.</w:t>
      </w:r>
    </w:p>
    <w:p w14:paraId="33BD2A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сданных на вооружение образцов кумулятивных снарядов, два были боеприпасами нового поколения - это снаряды к гладкоствольным пушкам: танковой У-5ТС ("Молот") и противотанковой Т-12 ("Рапира"). </w:t>
      </w:r>
    </w:p>
    <w:p w14:paraId="7B0DA8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1961 году на базе СКБ-10 разворачивается филиал ?2 ОКБ-586 для разработки тем НИР и ОКР, по разработке ракетных двигателей, затем в 1963 году, филиал ?2 ОКБ-586 преобразовывается в специализированный производственный объект СПО-8 и в 1966 году СПО-8 переименовывается в Павлоградский механический завод (ПМЗ), относящийся к Министерству общего машиностроения. В структуре ПМЗ артиллерийский полигон выделяется в состав отдельного подразделения (цех), выполняющего артиллерийские испытания, сборку арт. выстрелов и авиабомб по заказам Министерства Машиностроения [1]. </w:t>
      </w:r>
    </w:p>
    <w:p w14:paraId="5604AF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Быстрыми темпами под руководством бессменного директора завода В.М.Шкуренко (1965-1995годы) развивается производство ракет и социальной инфраструктуры предприятия. Жилая площадь поселка достигла свыше 292 тыс. кв. метров, построено 14 точек общественного питания, комплекс магазинов, прачечная, дворец культуры машиностроителей, спортивный зал с гимнастическим и игровым залом, стадион, крытый плавательный бассейн, больница, четыре общежития, гостиница , музыкальная школа, профилакторий, детский оздоровительный лагерь "Лесной", семь детских комбинатов, две новые школы на 1296 мест каждая.</w:t>
      </w:r>
    </w:p>
    <w:p w14:paraId="0CD92B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строительства новых цехов были выделены необходимые площади на боевом поле полигона, которые застроили цехами , сооружениями и стендами для испытания двигателей на твердом топливе для межконтинентальных баллистических ракет. Последним достижением ракетной науки и техники в СССР явилось создание ракетного комплекса РТ-23 УТТХ ( по американской терминологии SS-24 'Scalpel'), стационарного ( шахтного) базирования(15Ж60) и железнодорожного(БЖРК) базирования(15Ж61), собираемого на ПМЗ. Укомплектованные БЖРК выезжали за ворота завода и направлялись на боевое дежурство , стуча колесами по стыкам рельс необъятной паутины железных дорог СССР. Не имеющий аналогов в отечественном и мировом ракетостроении, ракетный комплекс характеризовался высокой боевой эффективностью и выживаемостью за счет мобильности, наличия автономной системы навигации, постоянной готовности к боевому применению. Эта тема освещена в книге, выпущенной в 2001 году[2]. </w:t>
      </w:r>
    </w:p>
    <w:p w14:paraId="027634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развалом СССР часть ракетных комплексов была передана России, где они еще стоят на боевом дежурстве: три ракетных дивизии (на станции Василёк под Костромой, на станции Гладкая близ Красноярска и станции Бершеть Пермской области) в составе 12 полков-поездов , оснащенных 36 ракетными комплексами с ракетами РС-22В, каждая с десятью боезарядами мощностью по 550 кт.</w:t>
      </w:r>
    </w:p>
    <w:p w14:paraId="0BC34F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истечением гарантийного срока хранения предполагается начать ликвидацию ракет и пусковых установок на базе утилизации в Брянске.</w:t>
      </w:r>
    </w:p>
    <w:p w14:paraId="5EBD0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договором СНВ-2, на Украине уже проведена утилизация ракетных комплексов РТ-23 УТТХ , ракеты разобраны на составные части. По иронии судьбы, работа по разборке ракет производилась с участием американских наблюдателей , для их страны в первую очередь и создавались эти изделия. Американские представители , контролировавшие уничтожение ракетных комплексов как боевых единиц, выполнили свою работу и вернулись в США, оставив город один на один с топливом, утилизировать которое как, предполагалось ранее, они не решились 'из-за технических рисков'. </w:t>
      </w:r>
    </w:p>
    <w:p w14:paraId="14E914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'Sic transit gloria mundi'-' Так проходит слава мира'. Останки некогда грозных 'Скальпелей', предназначенных для вспарывания систем ракетной обороны и органов управления потенциального противника , в виде 56 ступеней взрывопожароопасного и токсичного хлама общей массой 5000 тонн хранятся на территории г. Павлограда.</w:t>
      </w:r>
    </w:p>
    <w:p w14:paraId="4CC35C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Вечный вопрос 'Что делать?' и 'Кто виноват?', не дает спокойно спать жителям г. Павлограда , несмотря на бодрые увещевания представителей власти.</w:t>
      </w:r>
    </w:p>
    <w:p w14:paraId="7DB1D5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Но это отдельная история. </w:t>
      </w:r>
    </w:p>
    <w:p w14:paraId="2A679A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1964 году испытательную площадку полигона перенесли вперед ,на значительное удаление от жилого поселка , производственных цехов и испытательных стендов , где проводилась сборка и испытания ракетных комплексов. Позднее на испытательной площадке были построены защитные сооружения (траверсы) с оборудованными огневыми позициями, бронетир для испытания бронеплит и бронебойных снарядов, и все необходимые здания и сооружения для проведения артиллерийских испытаний. Вместе с тем , трасса полигона была значительно уменьшена, что уже не позволяло проводить испытания боеприпасов нового поколения стрельбой на максимальную дальность. </w:t>
      </w:r>
    </w:p>
    <w:p w14:paraId="63A747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Период с 1970-го года по 1990-й год был одним из самых "урожайных" периодов для развития артиллерийской науки и техники по количеству сданных на вооружение Советской Армии образцов артиллерии и боеприпасов: </w:t>
      </w:r>
    </w:p>
    <w:p w14:paraId="236759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вооружение поступают новые орудия, такие как противотанковая 100 мм Т-12, танковые 115мм У-5ТС и Д68, 125 мм 2А26 и 2А46,полевые орудия 152 мм Д20, 152мм 2А36 и 2А65 и др. , боеприпасы к которым испытываются на Павлоградском полигоне. Осваиваются новые виды испытаний инженерных боеприпасов УЗП-77 и УЗП-83,отрабатываются образцы систем динамической и активной защиты бронетехники и многое другое. Проводятся испытания по темам НИР и ОКР ведущих институтов разработчиков боеприпасов и артиллерийских систем : НИМИ , НИИстали , НИИТрансмаш , ОКБ-9 ("Уралмаш"), ОАО "Мотовилихинские заводы", ФУГП "НИИ Поиск"(НИИ-22), НПО "Базальт" (ГСКБ - 47), ФГУП КНИИМ, ГУП ГНПП "Сплав" (НИИ-7), и др. Поддерживаются тесные связи с НИИ "Геодезия", НТИИМ, НОЗИП, ЧОЗИП, в/ч 33491, испытываются боеприпасы основных заводов -изготовителей : Донецкого ПО "Точмаш" и ДЗРХИ.</w:t>
      </w:r>
    </w:p>
    <w:p w14:paraId="4EE509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1970 по 1990 год непосредственное руководство полигоном осуществляли: Замураев Г.В., Цималый Т.М., Любивый В.И , Иванов А.А. , Бессиный В.А.</w:t>
      </w:r>
    </w:p>
    <w:p w14:paraId="43A60D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Растет сборка кассетных авиабомб, выбрасывающих зарядов для торпедных аппаратов, выстрелов к 100 мм морскому автомату АК-100 (ЗИФ-91).</w:t>
      </w:r>
    </w:p>
    <w:p w14:paraId="546A89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Казалось бы, что этому процессу развития систем вооружений не будет конца.</w:t>
      </w:r>
    </w:p>
    <w:p w14:paraId="162796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1991 году "трое ( Кравчук, Ельцин и Шушкевич) вышли из леса", принеся всем весть о расчленение сверхдержавы СССР на отдельные удельные княжества, где каждый из них стал сам "царь, бог и воинский начальник" и в один миг рухнул "колосс на глиняных ногах", который все годы прочно стоял в лидерах гонки по производству и продаже вооружений, устоял против фашистской агрессии , но не смог выдержать политических игр.</w:t>
      </w:r>
    </w:p>
    <w:p w14:paraId="07BA47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За годы независимости Украины , на Павлоградском полигоне производились испытания 125 мм танковых пушек КБА3 (аналог советской 2А46 ) , предназначенных для комплектации танков украинского производства Т-80УД и различных боеприпасов. </w:t>
      </w:r>
    </w:p>
    <w:p w14:paraId="104832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Список литературы : </w:t>
      </w:r>
    </w:p>
    <w:p w14:paraId="3CCFE7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1.Статья " К 55-летию Великой Победы. Главный артиллерийский полигон", авторы: Владимир Окрепилов, Эдуард Борейша, Рем Михайлов </w:t>
      </w:r>
    </w:p>
    <w:p w14:paraId="0EF343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2."Павлоградскому механическому заводу 70 лет. Краткие очерки по истории Павлоградского механического завода производственного объединения "ГП Южный машиностроительный завод имени А.М.Макарова.", составитель В.М.Льняной ,издательство " Пороги", г.Днепропетровск, 2001 год, ББК 63.3(2)7-24, П-12 </w:t>
      </w:r>
    </w:p>
    <w:p w14:paraId="257CC3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"НАУЧНО-ИССЛЕДОВАТЕЛЬСКИЙ МАШИНОСТРОИТЕЛЬНЫЙ ИНСТИТУТ( Н И М И ).СТРАНИЦЫ ИСТОРИИ,СОБЫТИЯ, ЛЮДИ.(1932 - 2002 гг.)"Автор - доктор технических наук, профессор Анатолий Анатольевич Каллистов. г.МОСКВА, 2002 год.УДК 061.5:93199.ББК 63.3 (2) 7-24.Т,021</w:t>
      </w:r>
    </w:p>
    <w:p w14:paraId="3E6C74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4279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года вышел приказ № 545с НКТП</w:t>
      </w:r>
    </w:p>
    <w:p w14:paraId="3D2F04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распоряжения ГКО от 13 сентября 1943 года за № 4098с:</w:t>
      </w:r>
    </w:p>
    <w:p w14:paraId="4FC7A5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Выделить из состава Уралмашзавода филиалы №№ 1 и 2 в самостоятельный завод, присвоив ему № 50 (6139, 3-1).</w:t>
      </w:r>
    </w:p>
    <w:p w14:paraId="392F810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76038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года вышел приказ НКВ № 481с</w:t>
      </w:r>
    </w:p>
    <w:p w14:paraId="4071E99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распоряжением СНК № 17393-рс от 8 сентября 1943 года о переводе ЦКБ № 14 из Златоуста в Тулу на прежнюю производственную базу (6417, 20).</w:t>
      </w:r>
    </w:p>
    <w:p w14:paraId="6D1A61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1689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вышло Распоряжение ГКО № 4162. О передаче 300 военнообязанных, не годных к военной службе, Челябинскому абразивному заводу НКСС.РГАНИР, Фонд ГКО, д. 152, лл. 134 (11012).</w:t>
      </w:r>
    </w:p>
    <w:p w14:paraId="03B23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7E6C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2DC3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3CED7"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18 сентября </w:t>
      </w:r>
      <w:r w:rsidRPr="00271E51">
        <w:rPr>
          <w:rFonts w:ascii="Times New Roman" w:hAnsi="Times New Roman"/>
          <w:color w:val="000000" w:themeColor="text1"/>
          <w:sz w:val="16"/>
          <w:szCs w:val="16"/>
        </w:rPr>
        <w:t>в 1943 году оперативная сводка Совинформбюро:</w:t>
      </w:r>
    </w:p>
    <w:p w14:paraId="0812E70D"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сентября на Киевском направлении наши войска продолжали развивать успешное наступление и, продвинувшись вперёд от 15 до 20 километров, заняли свыше 230 населённых пунктов, в том числе город Миргород, город и железнодорожный узел Ромодан, железнодорожный узел Кобыжча, районные центры Черниговской области Куликовка, Бобровица, Малая Девица, Иваница, Сребное, Варва и крупные населённые пункты Вибли (10 километров восточнее Чернигова), Бакланова Муравейка, Буда, Слобода, Смолянка, Олишевка, Хрещатое, Патюта, Даневка,Степановка, Сальное, Галица, Полова, Ольшана, Ряшки, Калюженцы, Подол, Дегтяры, Светличное, Приходьки, Макиевка, Сухоносовка, Мелихи, Волчек, Поповка, Малые Сорочинцы, Великие Сорочинцы.</w:t>
      </w:r>
    </w:p>
    <w:p w14:paraId="58368223"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преодолевая сопротивление противника, продолжали успешное наступление и, продвинувшись вперёд от 10 до 15 километров, заняли свыше 110 населённых пунктов, в том числе город и крупный железнодорожный узел Пологи, город Ногайск, железнодорожный узел Верхний Токмак, районные центры Запорожской области Ново-Николаевка, Черниговка, крупные населённые пункты Заливное, Воскресенка, Любицкое, Егоровка, Ново-Григорьевка, Ново-Полтавка, Токмачанск, Нельговка, Юрьевка, Вячеславка, Партизаны, Борисовка, Обиточное и железнодорожные станции Кирилловка, Нельговка, Елизаветовка, Трояны.</w:t>
      </w:r>
    </w:p>
    <w:p w14:paraId="3E2B5D32"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продолжая наступление, продвинулись вперед от 6 до 10 километров, овладели городом и крупным железнодорожным узлом Павлоград, а также заняли свыше 150 населённых пунктов, в том числе районный центр Харьковской области Сахновщина, районный центр Днепропетровской области Юрьевка и крупные населённые пункты Дар Надежды, Огиевка, Черноглазовка, Ново-Ивановский, Вербоватово, Павлоградские Хутора, Богуслав, Александровна, Преображенка.</w:t>
      </w:r>
    </w:p>
    <w:p w14:paraId="20A310E5"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и КрасноградскоМ направлениях наши войска продолжали наступление и, продвинувшись вперед от 4 до 6 километров, заняли свыше 100 населённых пунктов, в том числе районный центр Харьковской области Коломак.</w:t>
      </w:r>
    </w:p>
    <w:p w14:paraId="2ACBF0D8"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юго-западнее Новгород-Северский, продвинулись вперёдот 15 до 20 километров и заняли западнее реки Десна свыше 50 населённых пунктов, в том числе районные центры Черниговской области Покорница, Сосница и крупные населённые пункты Блистава, Авдеевка, Хлопяники, Рудня, Чернотичи, Кудровка, Волынка, Ольшаное.</w:t>
      </w:r>
    </w:p>
    <w:p w14:paraId="6CE3452A"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Брянска наши войска продолжали развивать наступление и заняли районный центр Орловской области и станцию Жуковка, крупные населённые пункты Речица, Госама, Чимодурово, Ново-Архангельск, Паниковица (22 километра юго-западнее Брянска), Козловка, Барачевка, Лопушь.</w:t>
      </w:r>
    </w:p>
    <w:p w14:paraId="65E14D06"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и Рославльском направлениях наши войска продолжали наступление и, продвинувшись на отдельных участках вперёд на 5—6 километров, заняли свыше 50 населённых пунктов.</w:t>
      </w:r>
    </w:p>
    <w:p w14:paraId="0F54C742"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на Кубани и западнее Новороссийска, с боями овладели сильными узлами сопротивления противника Киевское, Молдаванское, Неберджаевская, Батарейный, Гладковская, Ново-Крымский, Нижне-Баканская, Гайдук, Владимировка, Глебовка, Южная Озерейка, Абрау-Дюрсо.</w:t>
      </w:r>
    </w:p>
    <w:p w14:paraId="426CEDEB"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сентября наши войска на всех фронтах подбили и уничтожили 16 немецких танков. В воздушных боях и огнём зенитной артиллерии сбито 37 самолётов противника.</w:t>
      </w:r>
    </w:p>
    <w:p w14:paraId="67F01A06"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успешное наступление и заняли свыше 230 населённых пунктов, в том числе город Миргород, город и железнодорожный узел Ромодан. Части Н-ского соединения, овладев рядом населённых пунктов, уничтожили свыше 1.000 немецких солдат и офицеров. Захвачено 3 танка, 36 орудий, 3 радиостанции, 600 лошадей, крупные склады с зерном и продовольствием. На другом участке наши бойцы, наступающие вдоль железной дороги Нежин — Киев, овладели железнодорожным узлом Кобыжча. Захвачено 5 немецких танков, 6 орудий, 32 автомашины, склад боеприпасов и склад различного военного имущества. Взято более 200 пленных.</w:t>
      </w:r>
    </w:p>
    <w:p w14:paraId="0123473A"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наступление. Противник предпринял несколько контратак, но успеха не добился. Советские подвижные отряды обходят узлы сопротивления немцев и стремительно продвигаются вперёд. Следующие за ними части ликвидируют вражеские опорные пункты. Сегодня нашими войсками заняты важные железнодорожные узлы Пологи и Верхний Токмак, город Ногайск, а также свыше 110 других населённых пунктов. Н-ское соединение, овладев районным центром Запорожской области Черниговка, уничтожило 800 немецких солдат и офицеров, 5 танков и 14 орудий. Преследуя разгромленные части противника, наши войска захватывают большие трофеи и значительное число пленных.</w:t>
      </w:r>
    </w:p>
    <w:p w14:paraId="417036E4"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Бойцы Н-ского соединения, сломив сопротивление немцев на рубеже рек Самара и Волчья, вклинились в боевые порядки противника и вышли на подступы к городу Павлоград. В результате ожесточённых уличных боёв наши войска очистили город и крупный железнодорожный узел Павлоград от немецко-фашистских захватчиков. В бою за Павлоград уничтожено до полка немецкой пехоты.</w:t>
      </w:r>
    </w:p>
    <w:p w14:paraId="08F692DD"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Другие наши соединения за день боёв, нанося непрерывные удары и преследуя противника, заняли свыше 150 населённых пунктов.</w:t>
      </w:r>
    </w:p>
    <w:p w14:paraId="766CD28B"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и Красноградском направлениях наши войска, преодолевая сопротивление противника, продолжали наступление и заняли районный центр Харьковской области Коломак и десятки других населённых пунктов. Н-ское танковое соединение на одном участке встретило сильное огневое сопротивление противника. Наши танкисты ударом с фланга уничтожили 22 немецких орудия и свыше 400 гитлеровцев. Части другого нашего соединения с боями продвигались вперёд, ворвались на окраины крупного населённого пункта и завязали там уличные бои.</w:t>
      </w:r>
    </w:p>
    <w:p w14:paraId="47D6096B"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Брянского фронта, овладев городами Брянск и Бежица, продолжали развивать наступление. Противник бросает в бой строительные, транспортные и различные хозяйственные батальоны и команды и стремится выиграть время, чтобы привести в порядок свои разгромленные дивизии. На одном участке два полка немецкой пехоты попали в окружение и пытались пробиться на запад. На заранее подготовленном рубеже, около переправы через реку, наши войска разгромили эти части противника. Убито и ранено до двух тысяч гитлеровцев. Захвачена вся артиллерия и вооружение двух полков противника. Взято более 300 пленных. В городе Бежица, по неполным данным, захвачено 25 орудий, в том числе 2 самоходных, 160 пулемётов, 150 вагонов, большое количество снарядов, патронов, гранат, противопехотных и противотанковых мин.</w:t>
      </w:r>
    </w:p>
    <w:p w14:paraId="79342F80"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Северо-Кавказского фронта, овладев городом и портом Новороссийск, продолжали наступление и заняли несколько населённых пунктов. В ожесточённых боях с противником уничтожено до 1.500 гитлеровцев, 12 немецких танков, 40 орудий и 53 миномёта. На Кубани наши войска ночью прорвали мощную оборонительную линию немцев. Противник соорудил здесь многочисленные бетонированные укрепления, проволочные заграждения и минные поля. Немцы считали эти позиции неприступными. Сломив сопротивление врага, наши войска заняли ряд сильно укреплённых узлов обороны немцев. Уничтожено несколько тысяч вражеских солдат и офицеров. По неполным данным, захвачено 30 танков и самоходных орудий, 68 полевых орудий, 10 паровозов, 100 вагонов, несколько складов с военным имуществом и другие трофеи. Взято значительное количество пленных.</w:t>
      </w:r>
    </w:p>
    <w:p w14:paraId="620F3556"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 в Чёрном море транспорт противника водоизмещением в 3 тысячи тонн.</w:t>
      </w:r>
    </w:p>
    <w:p w14:paraId="7C7E1D8C"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Партизанский отряд, действующий в одном из районов Орловской области, за 20 дней взорвал 3 немецких танка и 23 автомашины с военными грузами. Из засад на шоссе убито 86 немецких солдат и офицеров.</w:t>
      </w:r>
    </w:p>
    <w:p w14:paraId="0D4086FD" w14:textId="77777777" w:rsidR="00147B86" w:rsidRPr="00271E51" w:rsidRDefault="00147B8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 сообщение о чудовищных злодеяниях немецко-фашистских мерзавцев в Витебской области. Гитлеровцы уничтожили и сравняли с землей 158 населённых пунктов Освейского района. Немцы сожгли дотла районный центр Освею, местечко Кохановичи, деревни Городиловичи, Королёво, Борисово, Беляны и другие. Огнём уничтожено около четырёх тысяч домов, свыше 100 школ, 6 больниц и 9 клубов. Гитлеровские бандиты зверски замучили несколько тысяч мирных советских граждан.» (14773).</w:t>
      </w:r>
    </w:p>
    <w:p w14:paraId="7F874696" w14:textId="77777777" w:rsidR="00147B86" w:rsidRPr="00271E51" w:rsidRDefault="00147B86" w:rsidP="00271E51">
      <w:pPr>
        <w:spacing w:after="0" w:line="240" w:lineRule="auto"/>
        <w:jc w:val="both"/>
        <w:rPr>
          <w:rFonts w:ascii="Times New Roman" w:hAnsi="Times New Roman"/>
          <w:color w:val="000000" w:themeColor="text1"/>
          <w:sz w:val="16"/>
          <w:szCs w:val="16"/>
        </w:rPr>
      </w:pPr>
    </w:p>
    <w:p w14:paraId="03ABEE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 наиболее отличившийся при выполнении боевых заданий 746-й ап приказом НКО Союза ССР № 274 был преобразован в 25-й Гвардейский авиационный полк Дальнего Действия. В 1944 г. за активную и успешную боевую деятельность в период Курской битвы полк получил почетное наименование "Орловский" (12025).</w:t>
      </w:r>
    </w:p>
    <w:p w14:paraId="75F95B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1BF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года в приказе по 6-й армии № 96 от говорилось:</w:t>
      </w:r>
    </w:p>
    <w:p w14:paraId="4754AB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6-ой Гв. Армии в боях на Белгородском направлении батальон уничтожил собаками-истребителями 15 танков противника” (10697).</w:t>
      </w:r>
    </w:p>
    <w:p w14:paraId="165119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5A2D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вышло Постановление ГКО № 4163 О сформировании трех зенитных дивизий РГК.РГАНИР, Фонд ГКО, д. 152, лл. 135 (11012).</w:t>
      </w:r>
    </w:p>
    <w:p w14:paraId="5E8D3E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5C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сентября 1943 вышел приказ НКО N 274 о переименовании 62 дивизии, 3, 21 и 746 полка Пе-8 (ТБ-7) в гвардейские и 747 стал 25 гвардейским (1103,128).</w:t>
      </w:r>
    </w:p>
    <w:p w14:paraId="510B84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7DEF" w14:textId="77777777" w:rsidR="000621D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24B202E" w14:textId="77777777" w:rsidR="000621D5" w:rsidRPr="00271E51" w:rsidRDefault="000621D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A86B3C"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18–19 сентября 1943 самолеты ВМС США с авианосцев USS Lexington, USS Princeton и USS Belleau Wood наносят семь ударов по атоллу Тарава, уничтожая девять японских самолетов на земле, потопив торговое судно в лагуне и оставив объекты на атолле в огне и много погибших японцев. Они также фотографируют потенциальные пляжи высадки на острове Бетио. Четыре американских самолета потеряны (20376).</w:t>
      </w:r>
    </w:p>
    <w:p w14:paraId="4926907F" w14:textId="77777777" w:rsidR="00060D5D" w:rsidRPr="00271E51" w:rsidRDefault="00060D5D" w:rsidP="00271E51">
      <w:pPr>
        <w:spacing w:after="0" w:line="240" w:lineRule="auto"/>
        <w:jc w:val="both"/>
        <w:rPr>
          <w:rFonts w:ascii="Times New Roman" w:hAnsi="Times New Roman"/>
          <w:color w:val="0070C0"/>
          <w:sz w:val="16"/>
          <w:szCs w:val="16"/>
        </w:rPr>
      </w:pPr>
    </w:p>
    <w:p w14:paraId="171E3CD6"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18 сентября </w:t>
      </w:r>
      <w:r w:rsidRPr="00271E51">
        <w:rPr>
          <w:rFonts w:ascii="Times New Roman" w:hAnsi="Times New Roman"/>
          <w:color w:val="000000" w:themeColor="text1"/>
          <w:sz w:val="16"/>
          <w:szCs w:val="16"/>
        </w:rPr>
        <w:t>в 1943 году образование в Италии республиканско-фашистского государства – Итальянской Социальной Республики во главе с Муссолини со столицей в Салоне (14773).</w:t>
      </w:r>
    </w:p>
    <w:p w14:paraId="7E109317"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5CE7D6C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527B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066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г. было подписано заключение авторитетной комиссии под председательством начальника ЦАГИ С.Н. Шишкина в составе начальника ЛИИ А.В. Чесалова, главных конструкторов С.В. Ильюшина, Н.Н. Поликарпова и А.И. Микояна, которая ознакомилась с работами ОКБ Гудкова в период с 1940 г. по 1943 г. По новому сверхскоростному самолету т. Гудкова с реактивным двигателем т. Люлька комиссия констатировала: "Постановка вопроса о постройке самолета с двигателем конструкции т. Люлька преждевременна, так как указанного двигателя ещё нет. Имеется только незаконченный технический проект и построены отдельные агрегаты двигателя меньшей мощности". В выводах Гудкова обвинили в несолидности и низкой квалификации. Можно только сожалеть, что под этим документом поставили свои подписи Н.Н. Поликарпов, С.В. Ильюшин и др. (9016).</w:t>
      </w:r>
    </w:p>
    <w:p w14:paraId="300E6F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EF5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года в 5-ю ВА закончилась командировка инженер-майора И.К.Четверика, который находил</w:t>
      </w:r>
      <w:r w:rsidRPr="00271E51">
        <w:rPr>
          <w:rFonts w:ascii="Times New Roman" w:hAnsi="Times New Roman"/>
          <w:color w:val="000000" w:themeColor="text1"/>
          <w:sz w:val="16"/>
          <w:szCs w:val="16"/>
        </w:rPr>
        <w:softHyphen/>
        <w:t>ся в 302 ИАД с 27 августа. За время пре</w:t>
      </w:r>
      <w:r w:rsidRPr="00271E51">
        <w:rPr>
          <w:rFonts w:ascii="Times New Roman" w:hAnsi="Times New Roman"/>
          <w:color w:val="000000" w:themeColor="text1"/>
          <w:sz w:val="16"/>
          <w:szCs w:val="16"/>
        </w:rPr>
        <w:softHyphen/>
        <w:t>бывания в дивизии он оказал техни</w:t>
      </w:r>
      <w:r w:rsidRPr="00271E51">
        <w:rPr>
          <w:rFonts w:ascii="Times New Roman" w:hAnsi="Times New Roman"/>
          <w:color w:val="000000" w:themeColor="text1"/>
          <w:sz w:val="16"/>
          <w:szCs w:val="16"/>
        </w:rPr>
        <w:softHyphen/>
        <w:t>ческую помощь всем трем полкам — 297-му, 240-му и 193-му ИАП. Рабо</w:t>
      </w:r>
      <w:r w:rsidRPr="00271E51">
        <w:rPr>
          <w:rFonts w:ascii="Times New Roman" w:hAnsi="Times New Roman"/>
          <w:color w:val="000000" w:themeColor="text1"/>
          <w:sz w:val="16"/>
          <w:szCs w:val="16"/>
        </w:rPr>
        <w:softHyphen/>
        <w:t>та моторов М-82ФН характеризова</w:t>
      </w:r>
      <w:r w:rsidRPr="00271E51">
        <w:rPr>
          <w:rFonts w:ascii="Times New Roman" w:hAnsi="Times New Roman"/>
          <w:color w:val="000000" w:themeColor="text1"/>
          <w:sz w:val="16"/>
          <w:szCs w:val="16"/>
        </w:rPr>
        <w:softHyphen/>
        <w:t>лась следующими данными.</w:t>
      </w:r>
    </w:p>
    <w:p w14:paraId="687165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297 ИАП:</w:t>
      </w:r>
    </w:p>
    <w:p w14:paraId="615337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8211093 выпуска ап</w:t>
      </w:r>
      <w:r w:rsidRPr="00271E51">
        <w:rPr>
          <w:rFonts w:ascii="Times New Roman" w:hAnsi="Times New Roman"/>
          <w:color w:val="000000" w:themeColor="text1"/>
          <w:sz w:val="16"/>
          <w:szCs w:val="16"/>
        </w:rPr>
        <w:softHyphen/>
        <w:t>реля месяца 1943 года на 31 августа наработал 55 ч 23 мин, из них в воз</w:t>
      </w:r>
      <w:r w:rsidRPr="00271E51">
        <w:rPr>
          <w:rFonts w:ascii="Times New Roman" w:hAnsi="Times New Roman"/>
          <w:color w:val="000000" w:themeColor="text1"/>
          <w:sz w:val="16"/>
          <w:szCs w:val="16"/>
        </w:rPr>
        <w:softHyphen/>
        <w:t>духе 44 ч 1 1 мин. После 1 1 часов работы мотора произведена регули</w:t>
      </w:r>
      <w:r w:rsidRPr="00271E51">
        <w:rPr>
          <w:rFonts w:ascii="Times New Roman" w:hAnsi="Times New Roman"/>
          <w:color w:val="000000" w:themeColor="text1"/>
          <w:sz w:val="16"/>
          <w:szCs w:val="16"/>
        </w:rPr>
        <w:softHyphen/>
        <w:t>ровка насоса НБ-ЗУ в сторону обед</w:t>
      </w:r>
      <w:r w:rsidRPr="00271E51">
        <w:rPr>
          <w:rFonts w:ascii="Times New Roman" w:hAnsi="Times New Roman"/>
          <w:color w:val="000000" w:themeColor="text1"/>
          <w:sz w:val="16"/>
          <w:szCs w:val="16"/>
        </w:rPr>
        <w:softHyphen/>
        <w:t>нения. После 15 часов заменены све</w:t>
      </w:r>
      <w:r w:rsidRPr="00271E51">
        <w:rPr>
          <w:rFonts w:ascii="Times New Roman" w:hAnsi="Times New Roman"/>
          <w:color w:val="000000" w:themeColor="text1"/>
          <w:sz w:val="16"/>
          <w:szCs w:val="16"/>
        </w:rPr>
        <w:softHyphen/>
        <w:t>чи передней и задней звезды. После 54 ч 23 мин заменены свечи пере</w:t>
      </w:r>
      <w:r w:rsidRPr="00271E51">
        <w:rPr>
          <w:rFonts w:ascii="Times New Roman" w:hAnsi="Times New Roman"/>
          <w:color w:val="000000" w:themeColor="text1"/>
          <w:sz w:val="16"/>
          <w:szCs w:val="16"/>
        </w:rPr>
        <w:softHyphen/>
        <w:t>дней и задней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w:t>
      </w:r>
      <w:r w:rsidRPr="00271E51">
        <w:rPr>
          <w:rFonts w:ascii="Times New Roman" w:hAnsi="Times New Roman"/>
          <w:color w:val="000000" w:themeColor="text1"/>
          <w:sz w:val="16"/>
          <w:szCs w:val="16"/>
        </w:rPr>
        <w:softHyphen/>
        <w:t>роидной коробки РС-2. После устра-</w:t>
      </w:r>
    </w:p>
    <w:p w14:paraId="507DA9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Смена мотора АШ-82ФН в полевых условиях</w:t>
      </w:r>
    </w:p>
    <w:p w14:paraId="7FD462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нения указанного дефекта со сторо</w:t>
      </w:r>
      <w:r w:rsidRPr="00271E51">
        <w:rPr>
          <w:rFonts w:ascii="Times New Roman" w:hAnsi="Times New Roman"/>
          <w:color w:val="000000" w:themeColor="text1"/>
          <w:sz w:val="16"/>
          <w:szCs w:val="16"/>
        </w:rPr>
        <w:softHyphen/>
        <w:t>ны летчика и техника никаких жалоб на работу мотора нет.</w:t>
      </w:r>
    </w:p>
    <w:p w14:paraId="11DAB5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 1073 выпуска ап</w:t>
      </w:r>
      <w:r w:rsidRPr="00271E51">
        <w:rPr>
          <w:rFonts w:ascii="Times New Roman" w:hAnsi="Times New Roman"/>
          <w:color w:val="000000" w:themeColor="text1"/>
          <w:sz w:val="16"/>
          <w:szCs w:val="16"/>
        </w:rPr>
        <w:softHyphen/>
        <w:t>реля месяца 1943 года на 30 августа наработал 51 ч 39 мин. После 16 часов работы мотора поломались две трубки высокого давления цилиндров № 6 и 7 - трубки заменены новыми. После 17 часов обнаружена трещи</w:t>
      </w:r>
      <w:r w:rsidRPr="00271E51">
        <w:rPr>
          <w:rFonts w:ascii="Times New Roman" w:hAnsi="Times New Roman"/>
          <w:color w:val="000000" w:themeColor="text1"/>
          <w:sz w:val="16"/>
          <w:szCs w:val="16"/>
        </w:rPr>
        <w:softHyphen/>
        <w:t>на переходника насоса НБ-ЗУ - пе</w:t>
      </w:r>
      <w:r w:rsidRPr="00271E51">
        <w:rPr>
          <w:rFonts w:ascii="Times New Roman" w:hAnsi="Times New Roman"/>
          <w:color w:val="000000" w:themeColor="text1"/>
          <w:sz w:val="16"/>
          <w:szCs w:val="16"/>
        </w:rPr>
        <w:softHyphen/>
        <w:t>реходник заменен новым. Со сторо</w:t>
      </w:r>
      <w:r w:rsidRPr="00271E51">
        <w:rPr>
          <w:rFonts w:ascii="Times New Roman" w:hAnsi="Times New Roman"/>
          <w:color w:val="000000" w:themeColor="text1"/>
          <w:sz w:val="16"/>
          <w:szCs w:val="16"/>
        </w:rPr>
        <w:softHyphen/>
        <w:t>ны летчика и техника никаких жалоб на работу мотора нет, за исключени</w:t>
      </w:r>
      <w:r w:rsidRPr="00271E51">
        <w:rPr>
          <w:rFonts w:ascii="Times New Roman" w:hAnsi="Times New Roman"/>
          <w:color w:val="000000" w:themeColor="text1"/>
          <w:sz w:val="16"/>
          <w:szCs w:val="16"/>
        </w:rPr>
        <w:softHyphen/>
        <w:t>ем незначительного дымления.</w:t>
      </w:r>
    </w:p>
    <w:p w14:paraId="0E71FF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Мотор № 821 1053 выпуска мар</w:t>
      </w:r>
      <w:r w:rsidRPr="00271E51">
        <w:rPr>
          <w:rFonts w:ascii="Times New Roman" w:hAnsi="Times New Roman"/>
          <w:color w:val="000000" w:themeColor="text1"/>
          <w:sz w:val="16"/>
          <w:szCs w:val="16"/>
        </w:rPr>
        <w:softHyphen/>
        <w:t>та месяца 1943 года на 30 августа наработал 40 часов, из них в воздухе 34 часа. После 9 ч 05 мин работы мотора заменены задние свечи пе</w:t>
      </w:r>
      <w:r w:rsidRPr="00271E51">
        <w:rPr>
          <w:rFonts w:ascii="Times New Roman" w:hAnsi="Times New Roman"/>
          <w:color w:val="000000" w:themeColor="text1"/>
          <w:sz w:val="16"/>
          <w:szCs w:val="16"/>
        </w:rPr>
        <w:softHyphen/>
        <w:t>редней и задней звезды. После 9 ч 05 мин произведена регулировка насоса НБ-ЗУ в сторону обеднения. После 19 ч 20 мин заменены пере</w:t>
      </w:r>
      <w:r w:rsidRPr="00271E51">
        <w:rPr>
          <w:rFonts w:ascii="Times New Roman" w:hAnsi="Times New Roman"/>
          <w:color w:val="000000" w:themeColor="text1"/>
          <w:sz w:val="16"/>
          <w:szCs w:val="16"/>
        </w:rPr>
        <w:softHyphen/>
        <w:t>дние свечи передней и задней звез</w:t>
      </w:r>
      <w:r w:rsidRPr="00271E51">
        <w:rPr>
          <w:rFonts w:ascii="Times New Roman" w:hAnsi="Times New Roman"/>
          <w:color w:val="000000" w:themeColor="text1"/>
          <w:sz w:val="16"/>
          <w:szCs w:val="16"/>
        </w:rPr>
        <w:softHyphen/>
        <w:t>ды. После 19 ч 20 мин вывернулись две шпильки выхлопной трубы, шпиль</w:t>
      </w:r>
      <w:r w:rsidRPr="00271E51">
        <w:rPr>
          <w:rFonts w:ascii="Times New Roman" w:hAnsi="Times New Roman"/>
          <w:color w:val="000000" w:themeColor="text1"/>
          <w:sz w:val="16"/>
          <w:szCs w:val="16"/>
        </w:rPr>
        <w:softHyphen/>
        <w:t>ки заменены новыми.</w:t>
      </w:r>
    </w:p>
    <w:p w14:paraId="465B83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 ИАП:</w:t>
      </w:r>
    </w:p>
    <w:p w14:paraId="3FC3AE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8211213 на 15 сен тября 1943 года наработал 39 ча</w:t>
      </w:r>
      <w:r w:rsidRPr="00271E51">
        <w:rPr>
          <w:rFonts w:ascii="Times New Roman" w:hAnsi="Times New Roman"/>
          <w:color w:val="000000" w:themeColor="text1"/>
          <w:sz w:val="16"/>
          <w:szCs w:val="16"/>
        </w:rPr>
        <w:softHyphen/>
        <w:t>сов. После 26 ч 46 мин заменили цилиндры №№ 12 и 13, по причине прострела их из пушки во время вы</w:t>
      </w:r>
      <w:r w:rsidRPr="00271E51">
        <w:rPr>
          <w:rFonts w:ascii="Times New Roman" w:hAnsi="Times New Roman"/>
          <w:color w:val="000000" w:themeColor="text1"/>
          <w:sz w:val="16"/>
          <w:szCs w:val="16"/>
        </w:rPr>
        <w:softHyphen/>
        <w:t>полнения боевого задания. После 27 ч 20 мин заменили насос непосред</w:t>
      </w:r>
      <w:r w:rsidRPr="00271E51">
        <w:rPr>
          <w:rFonts w:ascii="Times New Roman" w:hAnsi="Times New Roman"/>
          <w:color w:val="000000" w:themeColor="text1"/>
          <w:sz w:val="16"/>
          <w:szCs w:val="16"/>
        </w:rPr>
        <w:softHyphen/>
        <w:t>ственного впрыска, по причине полом</w:t>
      </w:r>
      <w:r w:rsidRPr="00271E51">
        <w:rPr>
          <w:rFonts w:ascii="Times New Roman" w:hAnsi="Times New Roman"/>
          <w:color w:val="000000" w:themeColor="text1"/>
          <w:sz w:val="16"/>
          <w:szCs w:val="16"/>
        </w:rPr>
        <w:softHyphen/>
        <w:t>ки пружин насосного элемента. Пос</w:t>
      </w:r>
      <w:r w:rsidRPr="00271E51">
        <w:rPr>
          <w:rFonts w:ascii="Times New Roman" w:hAnsi="Times New Roman"/>
          <w:color w:val="000000" w:themeColor="text1"/>
          <w:sz w:val="16"/>
          <w:szCs w:val="16"/>
        </w:rPr>
        <w:softHyphen/>
        <w:t>ле 27 ч 20 мин заменили три цилин</w:t>
      </w:r>
      <w:r w:rsidRPr="00271E51">
        <w:rPr>
          <w:rFonts w:ascii="Times New Roman" w:hAnsi="Times New Roman"/>
          <w:color w:val="000000" w:themeColor="text1"/>
          <w:sz w:val="16"/>
          <w:szCs w:val="16"/>
        </w:rPr>
        <w:softHyphen/>
        <w:t>дра по дымлению. Во время испыта</w:t>
      </w:r>
      <w:r w:rsidRPr="00271E51">
        <w:rPr>
          <w:rFonts w:ascii="Times New Roman" w:hAnsi="Times New Roman"/>
          <w:color w:val="000000" w:themeColor="text1"/>
          <w:sz w:val="16"/>
          <w:szCs w:val="16"/>
        </w:rPr>
        <w:softHyphen/>
        <w:t>ния мотора на земле загорелся са</w:t>
      </w:r>
      <w:r w:rsidRPr="00271E51">
        <w:rPr>
          <w:rFonts w:ascii="Times New Roman" w:hAnsi="Times New Roman"/>
          <w:color w:val="000000" w:themeColor="text1"/>
          <w:sz w:val="16"/>
          <w:szCs w:val="16"/>
        </w:rPr>
        <w:softHyphen/>
        <w:t>молет с правой стороны (лонжерон самолета). Причина загорания: во время работы мотора на самолетах с моторами М-82ФН пламя нижнего выхлопного патрубка попадало в щель между капотом и лонжероном фюзе</w:t>
      </w:r>
      <w:r w:rsidRPr="00271E51">
        <w:rPr>
          <w:rFonts w:ascii="Times New Roman" w:hAnsi="Times New Roman"/>
          <w:color w:val="000000" w:themeColor="text1"/>
          <w:sz w:val="16"/>
          <w:szCs w:val="16"/>
        </w:rPr>
        <w:softHyphen/>
        <w:t>ляжа. Во время работы мотора от пла</w:t>
      </w:r>
      <w:r w:rsidRPr="00271E51">
        <w:rPr>
          <w:rFonts w:ascii="Times New Roman" w:hAnsi="Times New Roman"/>
          <w:color w:val="000000" w:themeColor="text1"/>
          <w:sz w:val="16"/>
          <w:szCs w:val="16"/>
        </w:rPr>
        <w:softHyphen/>
        <w:t>мени выхлопного патрубка лонжерон постепенно обугливался и впослед</w:t>
      </w:r>
      <w:r w:rsidRPr="00271E51">
        <w:rPr>
          <w:rFonts w:ascii="Times New Roman" w:hAnsi="Times New Roman"/>
          <w:color w:val="000000" w:themeColor="text1"/>
          <w:sz w:val="16"/>
          <w:szCs w:val="16"/>
        </w:rPr>
        <w:softHyphen/>
        <w:t>ствии вызывал загорание. После 36 ч заменили форсунку цилиндра, по причине закупорки каналов иглы фор</w:t>
      </w:r>
      <w:r w:rsidRPr="00271E51">
        <w:rPr>
          <w:rFonts w:ascii="Times New Roman" w:hAnsi="Times New Roman"/>
          <w:color w:val="000000" w:themeColor="text1"/>
          <w:sz w:val="16"/>
          <w:szCs w:val="16"/>
        </w:rPr>
        <w:softHyphen/>
        <w:t>сунки ФБ-10 (металлическая струж</w:t>
      </w:r>
      <w:r w:rsidRPr="00271E51">
        <w:rPr>
          <w:rFonts w:ascii="Times New Roman" w:hAnsi="Times New Roman"/>
          <w:color w:val="000000" w:themeColor="text1"/>
          <w:sz w:val="16"/>
          <w:szCs w:val="16"/>
        </w:rPr>
        <w:softHyphen/>
        <w:t>ка от оборванной резьбы штуцера подвода топлива, попавшая в момент сборки ФБ-10 на заводе №296). После 36 ч произведена перестановка насоса НБ-ЗУ, по причине той, что при замене насос был установлен непра</w:t>
      </w:r>
      <w:r w:rsidRPr="00271E51">
        <w:rPr>
          <w:rFonts w:ascii="Times New Roman" w:hAnsi="Times New Roman"/>
          <w:color w:val="000000" w:themeColor="text1"/>
          <w:sz w:val="16"/>
          <w:szCs w:val="16"/>
        </w:rPr>
        <w:softHyphen/>
        <w:t>вильно, в силу чего не поддавался ре</w:t>
      </w:r>
      <w:r w:rsidRPr="00271E51">
        <w:rPr>
          <w:rFonts w:ascii="Times New Roman" w:hAnsi="Times New Roman"/>
          <w:color w:val="000000" w:themeColor="text1"/>
          <w:sz w:val="16"/>
          <w:szCs w:val="16"/>
        </w:rPr>
        <w:softHyphen/>
        <w:t>гулировке. После перестановки на</w:t>
      </w:r>
      <w:r w:rsidRPr="00271E51">
        <w:rPr>
          <w:rFonts w:ascii="Times New Roman" w:hAnsi="Times New Roman"/>
          <w:color w:val="000000" w:themeColor="text1"/>
          <w:sz w:val="16"/>
          <w:szCs w:val="16"/>
        </w:rPr>
        <w:softHyphen/>
        <w:t>соса НБ-ЗУ, мотор был отрегулиро</w:t>
      </w:r>
      <w:r w:rsidRPr="00271E51">
        <w:rPr>
          <w:rFonts w:ascii="Times New Roman" w:hAnsi="Times New Roman"/>
          <w:color w:val="000000" w:themeColor="text1"/>
          <w:sz w:val="16"/>
          <w:szCs w:val="16"/>
        </w:rPr>
        <w:softHyphen/>
        <w:t>ван по расходам и после опробова</w:t>
      </w:r>
      <w:r w:rsidRPr="00271E51">
        <w:rPr>
          <w:rFonts w:ascii="Times New Roman" w:hAnsi="Times New Roman"/>
          <w:color w:val="000000" w:themeColor="text1"/>
          <w:sz w:val="16"/>
          <w:szCs w:val="16"/>
        </w:rPr>
        <w:softHyphen/>
        <w:t>ния мотора на земле и воздухе жа</w:t>
      </w:r>
      <w:r w:rsidRPr="00271E51">
        <w:rPr>
          <w:rFonts w:ascii="Times New Roman" w:hAnsi="Times New Roman"/>
          <w:color w:val="000000" w:themeColor="text1"/>
          <w:sz w:val="16"/>
          <w:szCs w:val="16"/>
        </w:rPr>
        <w:softHyphen/>
        <w:t>лоб со стороны летного и техничес</w:t>
      </w:r>
      <w:r w:rsidRPr="00271E51">
        <w:rPr>
          <w:rFonts w:ascii="Times New Roman" w:hAnsi="Times New Roman"/>
          <w:color w:val="000000" w:themeColor="text1"/>
          <w:sz w:val="16"/>
          <w:szCs w:val="16"/>
        </w:rPr>
        <w:softHyphen/>
        <w:t>кого состава нет.</w:t>
      </w:r>
    </w:p>
    <w:p w14:paraId="5108B4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 8211218 на 15 сен</w:t>
      </w:r>
      <w:r w:rsidRPr="00271E51">
        <w:rPr>
          <w:rFonts w:ascii="Times New Roman" w:hAnsi="Times New Roman"/>
          <w:color w:val="000000" w:themeColor="text1"/>
          <w:sz w:val="16"/>
          <w:szCs w:val="16"/>
        </w:rPr>
        <w:softHyphen/>
        <w:t>тября 1943 года наработал 58 часов, из них в воздухе 53 ч 30 мин. После 7 ч 32 мин отказал насос НБ-ЗУ, по причине поломки трех пружин насос</w:t>
      </w:r>
      <w:r w:rsidRPr="00271E51">
        <w:rPr>
          <w:rFonts w:ascii="Times New Roman" w:hAnsi="Times New Roman"/>
          <w:color w:val="000000" w:themeColor="text1"/>
          <w:sz w:val="16"/>
          <w:szCs w:val="16"/>
        </w:rPr>
        <w:softHyphen/>
        <w:t>ного элемента и поломки штоков плун</w:t>
      </w:r>
      <w:r w:rsidRPr="00271E51">
        <w:rPr>
          <w:rFonts w:ascii="Times New Roman" w:hAnsi="Times New Roman"/>
          <w:color w:val="000000" w:themeColor="text1"/>
          <w:sz w:val="16"/>
          <w:szCs w:val="16"/>
        </w:rPr>
        <w:softHyphen/>
        <w:t>жера. Имеется незначительное под-дымливание мотора, которое не уст</w:t>
      </w:r>
      <w:r w:rsidRPr="00271E51">
        <w:rPr>
          <w:rFonts w:ascii="Times New Roman" w:hAnsi="Times New Roman"/>
          <w:color w:val="000000" w:themeColor="text1"/>
          <w:sz w:val="16"/>
          <w:szCs w:val="16"/>
        </w:rPr>
        <w:softHyphen/>
        <w:t>раняется регулировкой насоса НБ-ЗУ. Жалоб на работу мотора со сто</w:t>
      </w:r>
      <w:r w:rsidRPr="00271E51">
        <w:rPr>
          <w:rFonts w:ascii="Times New Roman" w:hAnsi="Times New Roman"/>
          <w:color w:val="000000" w:themeColor="text1"/>
          <w:sz w:val="16"/>
          <w:szCs w:val="16"/>
        </w:rPr>
        <w:softHyphen/>
        <w:t>роны летчика нет.</w:t>
      </w:r>
    </w:p>
    <w:p w14:paraId="55F969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 ИАП:</w:t>
      </w:r>
    </w:p>
    <w:p w14:paraId="5C4D6B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Мотор № 8211089 выпуска ап</w:t>
      </w:r>
      <w:r w:rsidRPr="00271E51">
        <w:rPr>
          <w:rFonts w:ascii="Times New Roman" w:hAnsi="Times New Roman"/>
          <w:color w:val="000000" w:themeColor="text1"/>
          <w:sz w:val="16"/>
          <w:szCs w:val="16"/>
        </w:rPr>
        <w:softHyphen/>
        <w:t>реля месяца 1943 года на 16 сен</w:t>
      </w:r>
      <w:r w:rsidRPr="00271E51">
        <w:rPr>
          <w:rFonts w:ascii="Times New Roman" w:hAnsi="Times New Roman"/>
          <w:color w:val="000000" w:themeColor="text1"/>
          <w:sz w:val="16"/>
          <w:szCs w:val="16"/>
        </w:rPr>
        <w:softHyphen/>
        <w:t>тября наработал 90 часов. После 79 ч ослабли болты крепления РС-2 к переходнику. После подтяжки болтов мотор работал устойчиво и со сторо</w:t>
      </w:r>
      <w:r w:rsidRPr="00271E51">
        <w:rPr>
          <w:rFonts w:ascii="Times New Roman" w:hAnsi="Times New Roman"/>
          <w:color w:val="000000" w:themeColor="text1"/>
          <w:sz w:val="16"/>
          <w:szCs w:val="16"/>
        </w:rPr>
        <w:softHyphen/>
        <w:t>ны летчика жалоб не было. Во время полета мотор понемногу дымит, регу</w:t>
      </w:r>
      <w:r w:rsidRPr="00271E51">
        <w:rPr>
          <w:rFonts w:ascii="Times New Roman" w:hAnsi="Times New Roman"/>
          <w:color w:val="000000" w:themeColor="text1"/>
          <w:sz w:val="16"/>
          <w:szCs w:val="16"/>
        </w:rPr>
        <w:softHyphen/>
        <w:t>лировкой насоса НБЗ-У устранить дымление не удалось. Мотор рабо</w:t>
      </w:r>
      <w:r w:rsidRPr="00271E51">
        <w:rPr>
          <w:rFonts w:ascii="Times New Roman" w:hAnsi="Times New Roman"/>
          <w:color w:val="000000" w:themeColor="text1"/>
          <w:sz w:val="16"/>
          <w:szCs w:val="16"/>
        </w:rPr>
        <w:softHyphen/>
        <w:t>тает хорошо и, кроме указанного де</w:t>
      </w:r>
      <w:r w:rsidRPr="00271E51">
        <w:rPr>
          <w:rFonts w:ascii="Times New Roman" w:hAnsi="Times New Roman"/>
          <w:color w:val="000000" w:themeColor="text1"/>
          <w:sz w:val="16"/>
          <w:szCs w:val="16"/>
        </w:rPr>
        <w:softHyphen/>
        <w:t>фекта, жалоб от летчика не поступало.</w:t>
      </w:r>
    </w:p>
    <w:p w14:paraId="2115D0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Аналогичные дефекты выявлялись и в других частях. Как видим, больше всего претензий по-прежнему было к работе свечей. Слюдяные свечи ВГ-12 производ</w:t>
      </w:r>
      <w:r w:rsidRPr="00271E51">
        <w:rPr>
          <w:rFonts w:ascii="Times New Roman" w:hAnsi="Times New Roman"/>
          <w:color w:val="000000" w:themeColor="text1"/>
          <w:sz w:val="16"/>
          <w:szCs w:val="16"/>
        </w:rPr>
        <w:softHyphen/>
        <w:t>ства завода №161 до войны успешно эксплуатировались на моторах М-62. В 1942 году эти же свечи на мото</w:t>
      </w:r>
      <w:r w:rsidRPr="00271E51">
        <w:rPr>
          <w:rFonts w:ascii="Times New Roman" w:hAnsi="Times New Roman"/>
          <w:color w:val="000000" w:themeColor="text1"/>
          <w:sz w:val="16"/>
          <w:szCs w:val="16"/>
        </w:rPr>
        <w:softHyphen/>
        <w:t>рах М-82 при длительных испытаниях на станке, при летных испытаниях са</w:t>
      </w:r>
      <w:r w:rsidRPr="00271E51">
        <w:rPr>
          <w:rFonts w:ascii="Times New Roman" w:hAnsi="Times New Roman"/>
          <w:color w:val="000000" w:themeColor="text1"/>
          <w:sz w:val="16"/>
          <w:szCs w:val="16"/>
        </w:rPr>
        <w:softHyphen/>
        <w:t>молетов Ту-2, Ла-5 и при боевой эксплуатации самолетов Су-2 и Ла-5 отказывали через 10-20 часов рабо</w:t>
      </w:r>
      <w:r w:rsidRPr="00271E51">
        <w:rPr>
          <w:rFonts w:ascii="Times New Roman" w:hAnsi="Times New Roman"/>
          <w:color w:val="000000" w:themeColor="text1"/>
          <w:sz w:val="16"/>
          <w:szCs w:val="16"/>
        </w:rPr>
        <w:softHyphen/>
        <w:t>ты. На М-82ФН они стали работать еще хуже. Основными дефектами их являлись разрушение слюды и отло</w:t>
      </w:r>
      <w:r w:rsidRPr="00271E51">
        <w:rPr>
          <w:rFonts w:ascii="Times New Roman" w:hAnsi="Times New Roman"/>
          <w:color w:val="000000" w:themeColor="text1"/>
          <w:sz w:val="16"/>
          <w:szCs w:val="16"/>
        </w:rPr>
        <w:softHyphen/>
        <w:t>жение свинца на нижнем конусе цен</w:t>
      </w:r>
      <w:r w:rsidRPr="00271E51">
        <w:rPr>
          <w:rFonts w:ascii="Times New Roman" w:hAnsi="Times New Roman"/>
          <w:color w:val="000000" w:themeColor="text1"/>
          <w:sz w:val="16"/>
          <w:szCs w:val="16"/>
        </w:rPr>
        <w:softHyphen/>
        <w:t>трального электрода, вследствие чего происходило замыкание на массу. НКАПу пришлось развернуть ра</w:t>
      </w:r>
      <w:r w:rsidRPr="00271E51">
        <w:rPr>
          <w:rFonts w:ascii="Times New Roman" w:hAnsi="Times New Roman"/>
          <w:color w:val="000000" w:themeColor="text1"/>
          <w:sz w:val="16"/>
          <w:szCs w:val="16"/>
        </w:rPr>
        <w:softHyphen/>
        <w:t>боты по созданию улучшенных слю</w:t>
      </w:r>
      <w:r w:rsidRPr="00271E51">
        <w:rPr>
          <w:rFonts w:ascii="Times New Roman" w:hAnsi="Times New Roman"/>
          <w:color w:val="000000" w:themeColor="text1"/>
          <w:sz w:val="16"/>
          <w:szCs w:val="16"/>
        </w:rPr>
        <w:softHyphen/>
        <w:t>дяных и керамических свечей, для чего дополнительно к ОКБ завода №161 были привлечены ОКБ заводов №306 и №476, занявшиеся разработкой керамических свечей типа СК и СД соответственно (10714).</w:t>
      </w:r>
    </w:p>
    <w:p w14:paraId="5CFDE3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11A94" w14:textId="77777777" w:rsidR="00A911F6" w:rsidRPr="00271E51" w:rsidRDefault="00A911F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 сентября 1943 г. начальник ЦАГИ С. Н. Шишкина подписал заключение комиссии (начальник ЛИИ А. В. Чесалов, главные конструктора С. В. Ильюшин, Н. Н. Поликарпов и А. И. Микоян), которая ознако - милась с работами ОКБ М. И. Гудкова в период с 1940 г. по 1943 г. по «сверхскоростному самолету с реактивным двигателем конструкции А. М. Люлька» (РТД-1). Комиссия констатировала: «Постановка вопроса о постройке самолета с двигателем конструкции т. Люлька преждевременна, так как указанного двигателя еще нет. Имеется только незаконченный технический проект и построены отдельные агрегаты двигателя меньшей мощности». Тем не менее, коллегия НКАП согласилась с предложением С. А. Чаплыгина и 19 ноября 1943 г. в ЦАГИ был образован отдел реактивных систем под руководством Г. Н. Абрамовича. В состав отдела вошло и КБ ЦАГИ. В 1943 г. ЦАГИ (В. А. Кузнецов) провел работу по анализу возможных схем, летных </w:t>
      </w:r>
      <w:r w:rsidRPr="00271E51">
        <w:rPr>
          <w:rFonts w:ascii="Times New Roman" w:hAnsi="Times New Roman"/>
          <w:color w:val="000000" w:themeColor="text1"/>
          <w:sz w:val="16"/>
          <w:szCs w:val="16"/>
        </w:rPr>
        <w:lastRenderedPageBreak/>
        <w:t>характеристик и тактического использования самолетов в ВРДК. Особенности этого двигателя предопределили назна - чение самолета: истребитель, «предназначенный для коротких, стремительных атак, обладающий способностью в течение небольшого времени развить скорость, вначительно превосходящую скорость самолета противника». Для решения вопроса о наиболее рациональном использовании ВРДК с учетом возможности скорейшей реализации был рассмотрен ряд схем с оценкой их летных и тактических качеств. Наиболее простой задачей представлялась сначала установка ВРДК «в качестве дополнительного, форсажного двигателя» на существующий самолет. Был просмотрен ряд схем установки ВРДК на серийном истребителе Як-9. В феврале 1943 г. появился проект, для реализации которого решили использовать уже испытанный ранее мотор М-105 РЕН, аналогичный штатному М-105Ф, но имеющий дополни - тельный редуктор на 250 л. с. Этот мотор А. Д. Нади - радзе использовал на бомбардировщике Пе-2, оборудованном шасси на воздушной подушке. Война остановила эту работу и мотор М-105РЕН с полностью доведенной системой редукторов и механизмов их включения остался невостребованным. Результаты расчетов и конструкторской проработки показала возможность увеличения скорости на 70—100 км/ч. Однако в конструктивном отношении установка получалась весьма сложной и требовала существенных переделок самолета. Прорабатывалась также возможность установки ВРДК на истребителе Ла-5. В дальнейшем рассматривались только схемы новых самолетов. Среди них истребители С-1ВРДК-1 и С-2ВРДК-1 (март 1943 г.), два варианта истребителя с мотором АМ-39Ф и высотный фоторазведчик с дизельным двигателем АЧ-30Б (октябрь 1943 г.). Проведенные исследования позволили сделать вывод, что при существующих типах моторов можно построить самолет с максимальной скоростью более 800 км/ч. Наиболее рациональным признали использование ВРДК в качестве дополнительного двигателя. С переходом Г. Н. Абрамовича в НИИ-1, тематика ВРДК в ЦАГИ была закрыта. Однако работы по самолетам с ВРДК продолжились, идеи ЦАГИ и ЦИАМ воплотились в жизнь. П. О. Сухого обязали спроектировать экспериментальный самолет с мотором ВК-107А и дополнительным ВРДК. Он получил обозначение И-107 (Су-5). 17 сентября построили и направили в ЦАГИ планер для статических испытаний. Первый полет состоялся 6 апреля 1945 г. Заводские испытания продолжались до конца октября, полученная максимальная скорость оказалась на 18—20% ниже расчетной. Испытания осложнялись неудовлетворительной работой ВРДК. Причина крылась в неудачной конфигурации воздуховодного канала, из-за кривизны которого было большое аэродинамическое сопротивление на входе в компрессор. Компрессор не мог обеспечить расчетный режим работы реактивного двигателя, «брыкался» и ломал вал трансмиссии. Все это удалось выяснить, когда самолет установили в натурной аэродинамической трубе Т-104 и провели эксперимент с включением комбинированной силовой установки. 4 апреля 1945 г. совершил первый полет опытный экземпляр истребителя И-250, также снабженного ВРДК. Одинаковая силовая установка предопределила схожесть аэродинамической компоновки с самолетом И-107, но испытания прошли более гладко и в 1945 г. была построена малая серия истребителей, получивших обозначение МиГ-13. Они состояли на вооружении авиации Северного и Балтийского флотов вплоть до 1950 г. Постановлением ГКО № 5201 от 18 февраля 1944 г. Институту реактивной техники НИИ-1, переданному в состав НКАП, поручили заниматься реактивными двигателями. Возглавил НИИ-1 бывший начальник НИИ ВВС П. И. Федоров, а его замести - телем стал В. Ф. Болховитинов. Кроме основных работ по ЖРД и ТРД, решили строить экспериментальный самолет. Задание было утверждено 18-ым Главным Управлением НКАП, отвечавшим за реактивную технику. Предполагалось построить два варианта: один с двигателем Исаева («4302»), другой — с двигателем Душкина («4303»). Полеты проводились в 1947 г., но дальнейшего развития эта тема не получила. В мае того же года были приняты постановления ГКО № 5945 и № 5946 о создании реактивных двигателей и самолетов к ним. ОКБ А. С. Яковлева поручили построить два экспериментальных самолета на базе истребителя Як-9 с двигателями РД-1 и РД-3 конструкции Глушко. Они должны были играть роль ускорителей для кратковременного улучшения характеристик. Первые проработки начались в июле-августе 1944 г. Они показали, что дополнительный ЖРД тягой 300 кгс не сможет разогнать истребитель Як-9 до заданной скорости — 780 км/ч. Приняли решение модернизировать под установку ЖРД серийный самолет Як-3 № 1820. Заводские испытания продолжались с декабря 1944 г. по май 1945 г. Аналогичные работы проводили в ОКБ А. С. Лавочкина (Ла-7) и П. О. Су хого (Су-7). КБ Н. Н. Поликарпова осенью 1943 г. получило задание на разработку высотного перехватчика с ЖРД. ЦАГИ начал исследования модели самолета в аэродинамической трубе Т-106, их прекратили после смерти Н. Н. Поликарпова. Весной 1945 г. ОКБ С. А. Лавочкина спроектировало легкий истребитель «150» первоначально с двигателем С-18, а затем с ЮМО-004.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В апреле предварительное проектирование было закончено, приступили к изготовлению рабочих чертежей и макета самолета, а также моделей для продувок в трубах ЦАГИ (19727).</w:t>
      </w:r>
    </w:p>
    <w:p w14:paraId="2C656274" w14:textId="77777777" w:rsidR="00A911F6" w:rsidRPr="00271E51" w:rsidRDefault="00A911F6" w:rsidP="00271E51">
      <w:pPr>
        <w:spacing w:after="0" w:line="240" w:lineRule="auto"/>
        <w:jc w:val="both"/>
        <w:rPr>
          <w:rFonts w:ascii="Times New Roman" w:hAnsi="Times New Roman"/>
          <w:color w:val="000000" w:themeColor="text1"/>
          <w:sz w:val="16"/>
          <w:szCs w:val="16"/>
        </w:rPr>
      </w:pPr>
    </w:p>
    <w:p w14:paraId="487EC8F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2EFA6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CDE4F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вышло Распоряжение ГКО № 4165 [О мобилизации 2500 человек в Кировской и Тамбовской обл. и Чувашской АССР на строительство спеццехов заводов № 103 и 395 НКХП.] (7140, 137).</w:t>
      </w:r>
    </w:p>
    <w:p w14:paraId="3BD5FE3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869B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вышло Постановление ГКО № 4166 О мероприятиях по обеспечению выполнения планов производства спецукупорки предприятиями Наркомлеса СССР.РГАНИР, Фонд ГКО, д. 152, лл. 138-140, 141-143 (11012).</w:t>
      </w:r>
    </w:p>
    <w:p w14:paraId="160AA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B16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Спущен на воду 8-й МБК, строившийся адмиралтейцами (10671).</w:t>
      </w:r>
    </w:p>
    <w:p w14:paraId="22D147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B9D3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58A63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11510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сентября </w:t>
      </w:r>
      <w:r w:rsidRPr="00271E51">
        <w:rPr>
          <w:rFonts w:ascii="Times New Roman" w:hAnsi="Times New Roman"/>
          <w:color w:val="000000" w:themeColor="text1"/>
          <w:sz w:val="16"/>
          <w:szCs w:val="16"/>
        </w:rPr>
        <w:t>в 1943 году оперативная сводка Совинформбюро:</w:t>
      </w:r>
    </w:p>
    <w:p w14:paraId="385E4645"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войска Калининского фронта в результате четырёхдневных ожесточённых боёв прорвали сильно укреплённую долговременную оборонительную полосу немцев и штурмом овладели важнейшим опорным пунктом врага на путях к Смоленску — городом Духовщина.</w:t>
      </w:r>
    </w:p>
    <w:p w14:paraId="13BA9EE9"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Западного фронта после упорных боёв сломили сопротивление противника и овладели важным опорным пунктом обороны немцев на подступах к Смоленску —городом и железнодорожной станцией Ярцево.</w:t>
      </w:r>
    </w:p>
    <w:p w14:paraId="796EFBF3"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развивать успешное наступлениеи, продвинувшись вперёд от 15 до 20 километров, овладели городами Прилуки, Пирятин, Лубны, Хорол, а также заняли свыше 180 населённых пунктов, среди которых крупные населённые пункты Анисово (6 километров юго-восточнее Чернигова), Яновка, Красное, Топчеевка, Красиловка, Церковище, Чемер, Лемеши, Лихолетки, Конёвщина, Ковтуновка, Давыдовка, Тарасовка, Губское, Новаки, Солоница, Покровская Богачка, Штампелёвка и железнодорожные станции Звездиловка, Линовицы, Грабаровка, Лазорский, Солоницкая, Терновщина, Беев, Кибинцы, Малашенков, Гоголево, Шишаки.</w:t>
      </w:r>
    </w:p>
    <w:p w14:paraId="31C49908"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продолжая развивать наступление, продвинулись вперёд от 10 до 15 километров и заняли свыше 170 населённых пунктов, в том числе город и железнодорожную станцию Орехов, крупные населённые пункты Павловка, Богдановка, Подгорный. Ново-Ивановка, Славный,Жеребец, Ново-Даниловка, Вербовое, Скеливата, Кайкулак, Ореховка, Воскресенка, Степановна, Инзовка, Орловка, Преслав и железнодорожные станции Малая Токмачка, Новокарловка, Челюскин, Стульнево.</w:t>
      </w:r>
    </w:p>
    <w:p w14:paraId="5E2F9634"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и, продвинувшись на отдельных участках вперёд от 10 до 18 километров, заняли свыше 80 населённых пунктов, в том числе крупные населённые пункты Лукашовка, Богатая Чернещина, Кирносовка, Левенцовка, Михайловна, Попасное, Хандалеевка, Вязовок, Вербовка, Писаревка.</w:t>
      </w:r>
    </w:p>
    <w:p w14:paraId="62A241F9"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наши войска, преодолевая сопротивление противника, продвинулись вперёд от 10 до 15 километров и овладели городом и крупным железнодорожным узлом Красноград, а также заняли свыше 250 населённых пунктов,среди которых крупные населённые пункты Отрада, Искровка, Очеретово, Белуховка, Варваровка, Тишинковка, Марьяновка, Лебяжье.</w:t>
      </w:r>
    </w:p>
    <w:p w14:paraId="05C9DBA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западнее и юго-западнее Новгород-Северский, продвинулись вперёд от 20 до 30 километров и заняли свыше 100 населённых пунктов, в том числе районные центры Черниговской области Холмы, Мена, Берёзна и крупные населённые пункты Машево, Поповка, Орловка, Нозиловка, Рейментаровка, Бендеровка, Домашлин, Киселёвка, Синявка, Городище, Волосновцы, Стольное, Лоснистое, Бегач.</w:t>
      </w:r>
    </w:p>
    <w:p w14:paraId="2BFD5D1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Брянска наши войска продолжали успешно развивать наступление и, продвинувшись вперёд от 15 до 20 километров, овладели городом Трубчевск, а также заняли 300 населённых пунктов, среди которых крупные населённые пункты Летошники, Белоголовль, Столбы, Шапкино (34 километра западнее Брянска), Старшевичи, Савлуково, Красное, Сосновое Болото, Сдесловка, Щуклино, Катлякова, Мосточная, Семячки, Кветунь, Селец.</w:t>
      </w:r>
    </w:p>
    <w:p w14:paraId="31E9A5CF"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успешно форсировав реку Десна, продвинулись вперёд от 5 до 15 километров и заняли свыше 100 населённых пунктов, в том числе районный центр Смоленской области Екимовичи, районный центр Орловской области Дубровка и крупные населённые пункты Богданово, Большие Гусарки, Антоновка, Суборово, Петровское, Клейчетово, Пеклина.</w:t>
      </w:r>
    </w:p>
    <w:p w14:paraId="6B8AB73C"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преодолевая сопротивление противника, заняли перевал Волчьи Ворота, а также свыше 20 населённых пунктов, в том числе районный центр Верхне-Баканский.</w:t>
      </w:r>
    </w:p>
    <w:p w14:paraId="43A46C1D"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18 сентября наши войска на всех фронтах подбили и уничтожили 33 немецких танка. В воздушных боях и огнём зенитной артиллерии сбито 36 самолётов противника.</w:t>
      </w:r>
    </w:p>
    <w:p w14:paraId="15D45CF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войска Калининского фронта в результате четырёхдневных ожесточённых боёв прорвали сильно укреплённую оборонительную полосу противника. Эта оборонительная полоса, укреплявшаяся немцами в течение двух лет, состояла из шести рубежей с долговременными опорными пунктами, многочисленными дзотами, бронированными колпаками и другими сооружениями, прикрытыми сплошными минными полями. Преодолевая упорное сопротивление противника, непрерывно бросавшего в контратаки крупные силы пехоты и танков, наши войска штурмом овладели городом Духовщина. В этих боях разгромлено несколько немецких дивизий. Советские войска уничтожили 72 немецких танка, 204 орудия, более 100 миномётов, 376 пулемётов и 34 склада с боеприпасами. Захвачено у противника 26 танков, 200 орудий разных калибров, свыше 300 миномётов, 570 пулеметов, много автоматов, винтовок, 22 склада с боеприпасами и другие трофеи. Взято свыше 600 пленных.</w:t>
      </w:r>
    </w:p>
    <w:p w14:paraId="0F00488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Западного фронта после упорных боёв сломили сопротивление противника и овладели важным пунктом обороны немцев на подступах к Смоленску — городом и железнодорожной станцией Ярцево.</w:t>
      </w:r>
    </w:p>
    <w:p w14:paraId="18EC1F9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успешное наступление. Части Н-ского соединения, преодолевая сопротивление противника, вышли к реке Десна юго-восточнее города Чернигова. Бойцы другого нашего соединения вели ожесточённый бой за город Прилуки. К исходу дня наши войска полностью очистили от немецко-фашистских захватчиков железнодорожный узел и город Прилуки. В боях за город уничтожено свыше 1.000 гитлеровцев. Захвачены трофеи и пленные.</w:t>
      </w:r>
    </w:p>
    <w:p w14:paraId="3585B46F"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танковые части за последние два дня нанесли ряд тяжёлых ударов войскам противника, пытавшимся закрепиться на выгодных рубежах в излучине реки Удай. В пробитую танкистами брешь двинулись наши пехотинцы, которые, уничтожая разрозненные группы немцев, переправились через реку Удай и с боем овладели городом Пирятин. Другие наши части овладели городом Дубны.</w:t>
      </w:r>
    </w:p>
    <w:p w14:paraId="6567DD7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наши войска продолжали наступление. Части Н-ского соединения продвинулись на 15 километров и вплотную подошли к городу Красноград. Под покровом ночи наши бойцы переправились через реку Берестовая и штурмом овладели городом Красноград. Противник понёс большие потери в людях и технике. Захвачено несколько железнодорожных составов с военными грузами, склад зернофуража, склад горючего, много вооружения и боеприпасов.</w:t>
      </w:r>
    </w:p>
    <w:p w14:paraId="5CA80195"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Новгород-Северский части противника, усиленные миномётами и артиллерией, оказывали упорное сопротивление, стремясь задержать наступающие советские войска. Бойцы Н-ского соединения, не давая врагу передышки, неотступно преследуют и громят немцев. По неполным данным, за день уничтожено 700 гитлеровцев, 4 танка и бронемашины, 2 самоходных и 9 полевых орудий. Захвачено 3 исправных танка, 4 радиостанции, 200 лошадей, несколько разных складов и другие трофеи. Советские бойцы внезапно ворвались в город Менаи овладели им. Захвачено 350 пленных и много трофеев. В населённых пунктах Бугриновка и Стахорщина наши части освободили 4.000 местных жителей, которых немцы угоняли на каторгу в Германию.</w:t>
      </w:r>
    </w:p>
    <w:p w14:paraId="3451ABCA"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Брянска наши войска продолжали успешно развивать наступление. Части Н-ского соединения, отразив несколько контратак противника, штурмом заняли город Трубчевск. В бою за Трубчевск уничтожено до полка немецкой пехоты, 9 танков, много орудий, миномётов и пулемётов. По неполным данным, захвачено 17 орудий, 24 миномёта, склады со снарядами и патронами, железнодорожный эшелон с боеприпасами, 20 тонн телефонного провода и другие трофеи. Взято значительное число пленных.</w:t>
      </w:r>
    </w:p>
    <w:p w14:paraId="3C38251F"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продвигались вперёд и заняли свыше 20 населённых пунктов, в том числе районный центр Верхне-Баканский. За день боёв уничтожено 1.200 немецких солдат и офицеров. Захвачено 28 орудий, 1.150 автоматов и винтовок, 27.000 снарядов и мин. Взято более 200 пленных.</w:t>
      </w:r>
    </w:p>
    <w:p w14:paraId="50F4EDB4"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Чапаева, действующий в одном из районов Киевской области, 11 сентября напал на немецких сапёров, сооружавших переправу через водный рубеж. Партизаны истребили 56 гитлеровцев и взорвали переправу. Партизаны этого же отряда сорвали попытку немцев отнять у крестьян урожай и отправить его в Германию. Советские патриоты уничтожили свыше 80 немецких солдат и полицейских, пытавшихся увезти награбленное у крестьян зерно.» (14774).</w:t>
      </w:r>
    </w:p>
    <w:p w14:paraId="5F4FEB41"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180106CA"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сентября </w:t>
      </w:r>
      <w:r w:rsidRPr="00271E51">
        <w:rPr>
          <w:rFonts w:ascii="Times New Roman" w:hAnsi="Times New Roman"/>
          <w:color w:val="000000" w:themeColor="text1"/>
          <w:sz w:val="16"/>
          <w:szCs w:val="16"/>
        </w:rPr>
        <w:t>в 1943 году (19 сентября - декабрь) второй этап операции советских партизан по разрушению железнодорожных коммуникаций («Концерт»), продолжение "Рельсовой войны". В операции участвовало 193 партизанское формирование (свыше 120 000 человек) Карелии, Прибалтики, Ленинградской и Калининской области, Белоруссии, Крыма. Протяженность операции — около 900 км по фронту (без учета Карелии и Крыма) и свыше. 400 км в глубину. В ходе операции подорвано 148 557 рельсов (только белорусские партизаны подорвали около 90 тысяч рельсов, 1041 эшелон, 72 железнодорожных моста, разгромили 58 гарнизонов); пропускная способность на железных дорогах в тылу противника снизилась на 35-40%. Операция была прекращена из-за отсутствия взрывчатки (14774).</w:t>
      </w:r>
    </w:p>
    <w:p w14:paraId="7A6E359E"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710BDE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сентября 1943 началась крупнейшая в ходе ВОВ операция партизан под названием Концерт по выводу из строя ж/д. Проводилась по плану и под руководством ЦШПД при СВГК и увязывалась с предстоящим наступлением на смоленском и гомельском направлениях и формированием Днепра. Привлекли 200 отрядов и закончили в конце октября 1943 (3398,335).</w:t>
      </w:r>
    </w:p>
    <w:p w14:paraId="6F54F8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075CA" w14:textId="77777777" w:rsidR="000621D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77391D6" w14:textId="77777777" w:rsidR="000621D5" w:rsidRPr="00271E51" w:rsidRDefault="000621D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AE953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сентября </w:t>
      </w:r>
      <w:r w:rsidRPr="00271E51">
        <w:rPr>
          <w:rFonts w:ascii="Times New Roman" w:hAnsi="Times New Roman"/>
          <w:color w:val="000000" w:themeColor="text1"/>
          <w:sz w:val="16"/>
          <w:szCs w:val="16"/>
        </w:rPr>
        <w:t>в 1943 году Испания и Ватикан отказались признать Итальянскую Социальную Республику (14774).</w:t>
      </w:r>
    </w:p>
    <w:p w14:paraId="4F9F039F"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225ABDC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E2F8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1CF7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сентября по 9 октября 1943 в НИИ ВВС проходили гос. испытания на устойчивость и управляемость самолет Ил-2 с мотором АМ-38Ф, винтом АВ-5Л-158 и крылом повышенной стрельчатости (самолет 6767 завода 18, выпущенный в сентябре 1943). Прибыл в НИИ ВВС 6 сентября 1943. Ви и-м П.Т.Аброщенко, вл пп А.К.Долгов (1864).</w:t>
      </w:r>
    </w:p>
    <w:p w14:paraId="0258E0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C37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сентября по 6 октября 1943 в НИИ ВВС проходили гос. испытания эталонного самолета Ил-2 с мотором АМ-38Ф и винтом АВ-5Л-158" (самолет N 302804 производства 30 завода сентября 1943). 7 сентября 1943 машина прибыла на гос. испытания в НИИ ВВС. С 8 по 20 не испытывался по причине отсутствия бензина. Ви и-м В.С.Холопов, вл и-м А.В.Синельников. Выполнили 22 полета с общим налетом 11:45. Цель испытаний:</w:t>
      </w:r>
    </w:p>
    <w:p w14:paraId="521747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Определить ЛТД самолета</w:t>
      </w:r>
    </w:p>
    <w:p w14:paraId="620F2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Проверить стрелково-пушечное и бомбардировочное вооружение</w:t>
      </w:r>
    </w:p>
    <w:p w14:paraId="79EDD4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Оценить работу ВМГ и спец. оборудования</w:t>
      </w:r>
    </w:p>
    <w:p w14:paraId="33F7A6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Оценить производственное выполнение.</w:t>
      </w:r>
    </w:p>
    <w:p w14:paraId="3EAC42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была доработана, в т.ч. большой патронный люк заменили на два малых, добавили дренажные отверстия в крыле, увеличили мачту антенны с 350 мм до 800 мм.</w:t>
      </w:r>
    </w:p>
    <w:p w14:paraId="71909E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- 392, на границе высотности - 416 км/час (1863).</w:t>
      </w:r>
    </w:p>
    <w:p w14:paraId="542109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85D7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20 сентября по 9 октября 1943-го в НИИ ВВС КА проходил конт</w:t>
      </w:r>
      <w:r w:rsidRPr="00271E51">
        <w:rPr>
          <w:rFonts w:ascii="Times New Roman" w:hAnsi="Times New Roman"/>
          <w:color w:val="000000" w:themeColor="text1"/>
          <w:sz w:val="16"/>
          <w:szCs w:val="16"/>
        </w:rPr>
        <w:softHyphen/>
        <w:t>рольные испытания серийный "Ил" (зав. № 186767) производства 18-го авиаза</w:t>
      </w:r>
      <w:r w:rsidRPr="00271E51">
        <w:rPr>
          <w:rFonts w:ascii="Times New Roman" w:hAnsi="Times New Roman"/>
          <w:color w:val="000000" w:themeColor="text1"/>
          <w:sz w:val="16"/>
          <w:szCs w:val="16"/>
        </w:rPr>
        <w:softHyphen/>
        <w:t>вода, в конструкцию которого был вклю</w:t>
      </w:r>
      <w:r w:rsidRPr="00271E51">
        <w:rPr>
          <w:rFonts w:ascii="Times New Roman" w:hAnsi="Times New Roman"/>
          <w:color w:val="000000" w:themeColor="text1"/>
          <w:sz w:val="16"/>
          <w:szCs w:val="16"/>
        </w:rPr>
        <w:softHyphen/>
        <w:t>чен дополнительный контур управления рулем высоты (6467).</w:t>
      </w:r>
    </w:p>
    <w:p w14:paraId="33A0C2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D68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сентября по 9 октября 1943 проходили летные испытания Ил-2 «крыло со стрелкой» (зав. № 6767). Всего было выполнено 14 полетов с об</w:t>
      </w:r>
      <w:r w:rsidRPr="00271E51">
        <w:rPr>
          <w:rFonts w:ascii="Times New Roman" w:hAnsi="Times New Roman"/>
          <w:color w:val="000000" w:themeColor="text1"/>
          <w:sz w:val="16"/>
          <w:szCs w:val="16"/>
        </w:rPr>
        <w:softHyphen/>
        <w:t>щим налетом 11 ч 15 мин. Летал летчик-испытатель подполковник А.К. Долгов.</w:t>
      </w:r>
    </w:p>
    <w:p w14:paraId="69AE63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испытаний моди</w:t>
      </w:r>
      <w:r w:rsidRPr="00271E51">
        <w:rPr>
          <w:rFonts w:ascii="Times New Roman" w:hAnsi="Times New Roman"/>
          <w:color w:val="000000" w:themeColor="text1"/>
          <w:sz w:val="16"/>
          <w:szCs w:val="16"/>
        </w:rPr>
        <w:softHyphen/>
        <w:t>фицированного Ил-2 особенно тща</w:t>
      </w:r>
      <w:r w:rsidRPr="00271E51">
        <w:rPr>
          <w:rFonts w:ascii="Times New Roman" w:hAnsi="Times New Roman"/>
          <w:color w:val="000000" w:themeColor="text1"/>
          <w:sz w:val="16"/>
          <w:szCs w:val="16"/>
        </w:rPr>
        <w:softHyphen/>
        <w:t>тельно анализировались статическая и динамическая продольная и боковая устойчивости штурмовика. Исследова</w:t>
      </w:r>
      <w:r w:rsidRPr="00271E51">
        <w:rPr>
          <w:rFonts w:ascii="Times New Roman" w:hAnsi="Times New Roman"/>
          <w:color w:val="000000" w:themeColor="text1"/>
          <w:sz w:val="16"/>
          <w:szCs w:val="16"/>
        </w:rPr>
        <w:softHyphen/>
        <w:t>лись балансировка самолета, эффек</w:t>
      </w:r>
      <w:r w:rsidRPr="00271E51">
        <w:rPr>
          <w:rFonts w:ascii="Times New Roman" w:hAnsi="Times New Roman"/>
          <w:color w:val="000000" w:themeColor="text1"/>
          <w:sz w:val="16"/>
          <w:szCs w:val="16"/>
        </w:rPr>
        <w:softHyphen/>
        <w:t>тивность органов управления и осо</w:t>
      </w:r>
      <w:r w:rsidRPr="00271E51">
        <w:rPr>
          <w:rFonts w:ascii="Times New Roman" w:hAnsi="Times New Roman"/>
          <w:color w:val="000000" w:themeColor="text1"/>
          <w:sz w:val="16"/>
          <w:szCs w:val="16"/>
        </w:rPr>
        <w:softHyphen/>
        <w:t>бенности управления самолетом при выполнении фигурных полетов.</w:t>
      </w:r>
    </w:p>
    <w:p w14:paraId="621F47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определения характеристик продольной статической устойчивости было выполнено два полета при пре</w:t>
      </w:r>
      <w:r w:rsidRPr="00271E51">
        <w:rPr>
          <w:rFonts w:ascii="Times New Roman" w:hAnsi="Times New Roman"/>
          <w:color w:val="000000" w:themeColor="text1"/>
          <w:sz w:val="16"/>
          <w:szCs w:val="16"/>
        </w:rPr>
        <w:softHyphen/>
        <w:t>дельно передней и задней центровках - 26,0% и 30,7% САХ, соответственно.</w:t>
      </w:r>
    </w:p>
    <w:p w14:paraId="650EB1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боковой статичес</w:t>
      </w:r>
      <w:r w:rsidRPr="00271E51">
        <w:rPr>
          <w:rFonts w:ascii="Times New Roman" w:hAnsi="Times New Roman"/>
          <w:color w:val="000000" w:themeColor="text1"/>
          <w:sz w:val="16"/>
          <w:szCs w:val="16"/>
        </w:rPr>
        <w:softHyphen/>
        <w:t>кой устойчивости определялись на ус</w:t>
      </w:r>
      <w:r w:rsidRPr="00271E51">
        <w:rPr>
          <w:rFonts w:ascii="Times New Roman" w:hAnsi="Times New Roman"/>
          <w:color w:val="000000" w:themeColor="text1"/>
          <w:sz w:val="16"/>
          <w:szCs w:val="16"/>
        </w:rPr>
        <w:softHyphen/>
        <w:t>тановившихся (координированных) скольжениях с горизонтального поле</w:t>
      </w:r>
      <w:r w:rsidRPr="00271E51">
        <w:rPr>
          <w:rFonts w:ascii="Times New Roman" w:hAnsi="Times New Roman"/>
          <w:color w:val="000000" w:themeColor="text1"/>
          <w:sz w:val="16"/>
          <w:szCs w:val="16"/>
        </w:rPr>
        <w:softHyphen/>
        <w:t>та (один полет). Динамическая про</w:t>
      </w:r>
      <w:r w:rsidRPr="00271E51">
        <w:rPr>
          <w:rFonts w:ascii="Times New Roman" w:hAnsi="Times New Roman"/>
          <w:color w:val="000000" w:themeColor="text1"/>
          <w:sz w:val="16"/>
          <w:szCs w:val="16"/>
        </w:rPr>
        <w:softHyphen/>
        <w:t>дольная и боковая устойчивости обсле</w:t>
      </w:r>
      <w:r w:rsidRPr="00271E51">
        <w:rPr>
          <w:rFonts w:ascii="Times New Roman" w:hAnsi="Times New Roman"/>
          <w:color w:val="000000" w:themeColor="text1"/>
          <w:sz w:val="16"/>
          <w:szCs w:val="16"/>
        </w:rPr>
        <w:softHyphen/>
        <w:t>довались качественно методом импульсов разными летчиками (три полета).</w:t>
      </w:r>
    </w:p>
    <w:p w14:paraId="7FBBCD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один полет был выпол</w:t>
      </w:r>
      <w:r w:rsidRPr="00271E51">
        <w:rPr>
          <w:rFonts w:ascii="Times New Roman" w:hAnsi="Times New Roman"/>
          <w:color w:val="000000" w:themeColor="text1"/>
          <w:sz w:val="16"/>
          <w:szCs w:val="16"/>
        </w:rPr>
        <w:softHyphen/>
        <w:t>нен для определения балансировоч</w:t>
      </w:r>
      <w:r w:rsidRPr="00271E51">
        <w:rPr>
          <w:rFonts w:ascii="Times New Roman" w:hAnsi="Times New Roman"/>
          <w:color w:val="000000" w:themeColor="text1"/>
          <w:sz w:val="16"/>
          <w:szCs w:val="16"/>
        </w:rPr>
        <w:softHyphen/>
        <w:t>ных кривых при установке в системе управления рулем высоты контрбалан</w:t>
      </w:r>
      <w:r w:rsidRPr="00271E51">
        <w:rPr>
          <w:rFonts w:ascii="Times New Roman" w:hAnsi="Times New Roman"/>
          <w:color w:val="000000" w:themeColor="text1"/>
          <w:sz w:val="16"/>
          <w:szCs w:val="16"/>
        </w:rPr>
        <w:softHyphen/>
        <w:t>сира и амортизационной пружины.</w:t>
      </w:r>
    </w:p>
    <w:p w14:paraId="62D5A6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Центровка самолета, соответствую</w:t>
      </w:r>
      <w:r w:rsidRPr="00271E51">
        <w:rPr>
          <w:rFonts w:ascii="Times New Roman" w:hAnsi="Times New Roman"/>
          <w:color w:val="000000" w:themeColor="text1"/>
          <w:sz w:val="16"/>
          <w:szCs w:val="16"/>
        </w:rPr>
        <w:softHyphen/>
        <w:t>щая нормальному начальному полет</w:t>
      </w:r>
      <w:r w:rsidRPr="00271E51">
        <w:rPr>
          <w:rFonts w:ascii="Times New Roman" w:hAnsi="Times New Roman"/>
          <w:color w:val="000000" w:themeColor="text1"/>
          <w:sz w:val="16"/>
          <w:szCs w:val="16"/>
        </w:rPr>
        <w:softHyphen/>
        <w:t>ному весу, составляла 28,4% САХ (при выпущенном шасси).</w:t>
      </w:r>
    </w:p>
    <w:p w14:paraId="3951EF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Испытания показали, что по летным данным Ил-2 </w:t>
      </w:r>
      <w:r w:rsidRPr="00271E51">
        <w:rPr>
          <w:rFonts w:ascii="Times New Roman" w:hAnsi="Times New Roman"/>
          <w:iCs/>
          <w:color w:val="000000" w:themeColor="text1"/>
          <w:sz w:val="16"/>
          <w:szCs w:val="16"/>
        </w:rPr>
        <w:t xml:space="preserve">«со стрельчатым крылом» </w:t>
      </w:r>
      <w:r w:rsidRPr="00271E51">
        <w:rPr>
          <w:rFonts w:ascii="Times New Roman" w:hAnsi="Times New Roman"/>
          <w:color w:val="000000" w:themeColor="text1"/>
          <w:sz w:val="16"/>
          <w:szCs w:val="16"/>
        </w:rPr>
        <w:t>практически не отличался от самолета с обычным крылом. В то же время пи</w:t>
      </w:r>
      <w:r w:rsidRPr="00271E51">
        <w:rPr>
          <w:rFonts w:ascii="Times New Roman" w:hAnsi="Times New Roman"/>
          <w:color w:val="000000" w:themeColor="text1"/>
          <w:sz w:val="16"/>
          <w:szCs w:val="16"/>
        </w:rPr>
        <w:softHyphen/>
        <w:t xml:space="preserve">лотажные </w:t>
      </w:r>
      <w:r w:rsidRPr="00271E51">
        <w:rPr>
          <w:rFonts w:ascii="Times New Roman" w:hAnsi="Times New Roman"/>
          <w:color w:val="000000" w:themeColor="text1"/>
          <w:sz w:val="16"/>
          <w:szCs w:val="16"/>
        </w:rPr>
        <w:lastRenderedPageBreak/>
        <w:t>качества кардинально улуч</w:t>
      </w:r>
      <w:r w:rsidRPr="00271E51">
        <w:rPr>
          <w:rFonts w:ascii="Times New Roman" w:hAnsi="Times New Roman"/>
          <w:color w:val="000000" w:themeColor="text1"/>
          <w:sz w:val="16"/>
          <w:szCs w:val="16"/>
        </w:rPr>
        <w:softHyphen/>
        <w:t>шились. На всех возможных режимах полета штурмовик был устойчивым, простым и приятным в пилотирова</w:t>
      </w:r>
      <w:r w:rsidRPr="00271E51">
        <w:rPr>
          <w:rFonts w:ascii="Times New Roman" w:hAnsi="Times New Roman"/>
          <w:color w:val="000000" w:themeColor="text1"/>
          <w:sz w:val="16"/>
          <w:szCs w:val="16"/>
        </w:rPr>
        <w:softHyphen/>
        <w:t>нии. Допускался полет с брошенной ручкой управления в течение 2-3 мин. Управление стало более легким и тре</w:t>
      </w:r>
      <w:r w:rsidRPr="00271E51">
        <w:rPr>
          <w:rFonts w:ascii="Times New Roman" w:hAnsi="Times New Roman"/>
          <w:color w:val="000000" w:themeColor="text1"/>
          <w:sz w:val="16"/>
          <w:szCs w:val="16"/>
        </w:rPr>
        <w:softHyphen/>
        <w:t>бовало от летчиков существенно мень</w:t>
      </w:r>
      <w:r w:rsidRPr="00271E51">
        <w:rPr>
          <w:rFonts w:ascii="Times New Roman" w:hAnsi="Times New Roman"/>
          <w:color w:val="000000" w:themeColor="text1"/>
          <w:sz w:val="16"/>
          <w:szCs w:val="16"/>
        </w:rPr>
        <w:softHyphen/>
        <w:t>ших усилий на всех режимах полета. По управляемости и эффективности элеронов, рулей высоты и направле</w:t>
      </w:r>
      <w:r w:rsidRPr="00271E51">
        <w:rPr>
          <w:rFonts w:ascii="Times New Roman" w:hAnsi="Times New Roman"/>
          <w:color w:val="000000" w:themeColor="text1"/>
          <w:sz w:val="16"/>
          <w:szCs w:val="16"/>
        </w:rPr>
        <w:softHyphen/>
        <w:t>ния штурмовик оказался близким к та</w:t>
      </w:r>
      <w:r w:rsidRPr="00271E51">
        <w:rPr>
          <w:rFonts w:ascii="Times New Roman" w:hAnsi="Times New Roman"/>
          <w:color w:val="000000" w:themeColor="text1"/>
          <w:sz w:val="16"/>
          <w:szCs w:val="16"/>
        </w:rPr>
        <w:softHyphen/>
        <w:t xml:space="preserve">ким самолетам, как Як-7б, Як-9 и Вт"110, </w:t>
      </w:r>
      <w:r w:rsidRPr="00271E51">
        <w:rPr>
          <w:rFonts w:ascii="Times New Roman" w:hAnsi="Times New Roman"/>
          <w:iCs/>
          <w:color w:val="000000" w:themeColor="text1"/>
          <w:sz w:val="16"/>
          <w:szCs w:val="16"/>
        </w:rPr>
        <w:t>«имеющим хорошую оценку управляе</w:t>
      </w:r>
      <w:r w:rsidRPr="00271E51">
        <w:rPr>
          <w:rFonts w:ascii="Times New Roman" w:hAnsi="Times New Roman"/>
          <w:iCs/>
          <w:color w:val="000000" w:themeColor="text1"/>
          <w:sz w:val="16"/>
          <w:szCs w:val="16"/>
        </w:rPr>
        <w:softHyphen/>
        <w:t xml:space="preserve">мости». </w:t>
      </w:r>
      <w:r w:rsidRPr="00271E51">
        <w:rPr>
          <w:rFonts w:ascii="Times New Roman" w:hAnsi="Times New Roman"/>
          <w:color w:val="000000" w:themeColor="text1"/>
          <w:sz w:val="16"/>
          <w:szCs w:val="16"/>
        </w:rPr>
        <w:t>В качестве недостатка отмечал</w:t>
      </w:r>
      <w:r w:rsidRPr="00271E51">
        <w:rPr>
          <w:rFonts w:ascii="Times New Roman" w:hAnsi="Times New Roman"/>
          <w:color w:val="000000" w:themeColor="text1"/>
          <w:sz w:val="16"/>
          <w:szCs w:val="16"/>
        </w:rPr>
        <w:softHyphen/>
        <w:t>ся лишь небольшой кабрирующий мо</w:t>
      </w:r>
      <w:r w:rsidRPr="00271E51">
        <w:rPr>
          <w:rFonts w:ascii="Times New Roman" w:hAnsi="Times New Roman"/>
          <w:color w:val="000000" w:themeColor="text1"/>
          <w:sz w:val="16"/>
          <w:szCs w:val="16"/>
        </w:rPr>
        <w:softHyphen/>
        <w:t>мент, который возникал при даче газа и выпуске щитков и шасси:</w:t>
      </w:r>
    </w:p>
    <w:p w14:paraId="174B2F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Давая летную оценку самолету, под-полковник А. К. Долгов отмечал: </w:t>
      </w:r>
      <w:r w:rsidRPr="00271E51">
        <w:rPr>
          <w:rFonts w:ascii="Times New Roman" w:hAnsi="Times New Roman"/>
          <w:iCs/>
          <w:color w:val="000000" w:themeColor="text1"/>
          <w:sz w:val="16"/>
          <w:szCs w:val="16"/>
        </w:rPr>
        <w:t>«Штурмовик в продольном отношении стал значительно устойчивее, чем обычные серийные двухместные само</w:t>
      </w:r>
      <w:r w:rsidRPr="00271E51">
        <w:rPr>
          <w:rFonts w:ascii="Times New Roman" w:hAnsi="Times New Roman"/>
          <w:iCs/>
          <w:color w:val="000000" w:themeColor="text1"/>
          <w:sz w:val="16"/>
          <w:szCs w:val="16"/>
        </w:rPr>
        <w:softHyphen/>
        <w:t>леты Ил-2. Увеличение стреловиднос</w:t>
      </w:r>
      <w:r w:rsidRPr="00271E51">
        <w:rPr>
          <w:rFonts w:ascii="Times New Roman" w:hAnsi="Times New Roman"/>
          <w:iCs/>
          <w:color w:val="000000" w:themeColor="text1"/>
          <w:sz w:val="16"/>
          <w:szCs w:val="16"/>
        </w:rPr>
        <w:softHyphen/>
        <w:t>ти крыла упростило технику пилоти</w:t>
      </w:r>
      <w:r w:rsidRPr="00271E51">
        <w:rPr>
          <w:rFonts w:ascii="Times New Roman" w:hAnsi="Times New Roman"/>
          <w:iCs/>
          <w:color w:val="000000" w:themeColor="text1"/>
          <w:sz w:val="16"/>
          <w:szCs w:val="16"/>
        </w:rPr>
        <w:softHyphen/>
        <w:t>рования двухместного самолета на всех режимах полета, и особенно на вира</w:t>
      </w:r>
      <w:r w:rsidRPr="00271E51">
        <w:rPr>
          <w:rFonts w:ascii="Times New Roman" w:hAnsi="Times New Roman"/>
          <w:iCs/>
          <w:color w:val="000000" w:themeColor="text1"/>
          <w:sz w:val="16"/>
          <w:szCs w:val="16"/>
        </w:rPr>
        <w:softHyphen/>
        <w:t>жах. Вираж самолет выполняет устой</w:t>
      </w:r>
      <w:r w:rsidRPr="00271E51">
        <w:rPr>
          <w:rFonts w:ascii="Times New Roman" w:hAnsi="Times New Roman"/>
          <w:iCs/>
          <w:color w:val="000000" w:themeColor="text1"/>
          <w:sz w:val="16"/>
          <w:szCs w:val="16"/>
        </w:rPr>
        <w:softHyphen/>
        <w:t>чиво, явление колебаний около продоль</w:t>
      </w:r>
      <w:r w:rsidRPr="00271E51">
        <w:rPr>
          <w:rFonts w:ascii="Times New Roman" w:hAnsi="Times New Roman"/>
          <w:iCs/>
          <w:color w:val="000000" w:themeColor="text1"/>
          <w:sz w:val="16"/>
          <w:szCs w:val="16"/>
        </w:rPr>
        <w:softHyphen/>
        <w:t>ной оси отсутствует. В горизонталь</w:t>
      </w:r>
      <w:r w:rsidRPr="00271E51">
        <w:rPr>
          <w:rFonts w:ascii="Times New Roman" w:hAnsi="Times New Roman"/>
          <w:iCs/>
          <w:color w:val="000000" w:themeColor="text1"/>
          <w:sz w:val="16"/>
          <w:szCs w:val="16"/>
        </w:rPr>
        <w:softHyphen/>
        <w:t>ном полете самолет позволяет полет с брошенным управлением при соот</w:t>
      </w:r>
      <w:r w:rsidRPr="00271E51">
        <w:rPr>
          <w:rFonts w:ascii="Times New Roman" w:hAnsi="Times New Roman"/>
          <w:iCs/>
          <w:color w:val="000000" w:themeColor="text1"/>
          <w:sz w:val="16"/>
          <w:szCs w:val="16"/>
        </w:rPr>
        <w:softHyphen/>
        <w:t>ветствующей регулировке триммером, что совершенно исключено на обычных серийных самолетах. Практически про</w:t>
      </w:r>
      <w:r w:rsidRPr="00271E51">
        <w:rPr>
          <w:rFonts w:ascii="Times New Roman" w:hAnsi="Times New Roman"/>
          <w:iCs/>
          <w:color w:val="000000" w:themeColor="text1"/>
          <w:sz w:val="16"/>
          <w:szCs w:val="16"/>
        </w:rPr>
        <w:softHyphen/>
        <w:t>дольная устойчивость близка к нейт</w:t>
      </w:r>
      <w:r w:rsidRPr="00271E51">
        <w:rPr>
          <w:rFonts w:ascii="Times New Roman" w:hAnsi="Times New Roman"/>
          <w:iCs/>
          <w:color w:val="000000" w:themeColor="text1"/>
          <w:sz w:val="16"/>
          <w:szCs w:val="16"/>
        </w:rPr>
        <w:softHyphen/>
        <w:t>ральной. Устойчивость пути хорошая, устойчивость поперечная имеет не</w:t>
      </w:r>
      <w:r w:rsidRPr="00271E51">
        <w:rPr>
          <w:rFonts w:ascii="Times New Roman" w:hAnsi="Times New Roman"/>
          <w:iCs/>
          <w:color w:val="000000" w:themeColor="text1"/>
          <w:sz w:val="16"/>
          <w:szCs w:val="16"/>
        </w:rPr>
        <w:softHyphen/>
        <w:t>большой запас и близка к нейтральной. ... Пикирование самолет выполняет ус</w:t>
      </w:r>
      <w:r w:rsidRPr="00271E51">
        <w:rPr>
          <w:rFonts w:ascii="Times New Roman" w:hAnsi="Times New Roman"/>
          <w:iCs/>
          <w:color w:val="000000" w:themeColor="text1"/>
          <w:sz w:val="16"/>
          <w:szCs w:val="16"/>
        </w:rPr>
        <w:softHyphen/>
        <w:t>тойчиво, явления затягивания в пики</w:t>
      </w:r>
      <w:r w:rsidRPr="00271E51">
        <w:rPr>
          <w:rFonts w:ascii="Times New Roman" w:hAnsi="Times New Roman"/>
          <w:iCs/>
          <w:color w:val="000000" w:themeColor="text1"/>
          <w:sz w:val="16"/>
          <w:szCs w:val="16"/>
        </w:rPr>
        <w:softHyphen/>
        <w:t>рование не наблюдается. На посадке самолет хорошо садится на 3 точки, запас рулей достаточный, даже при центровке 26% САХ».</w:t>
      </w:r>
    </w:p>
    <w:p w14:paraId="3A67C4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выяснилось, что улучшение продольной устойчивости самолета за счет введения в систему управления рулем высоты контрбалан</w:t>
      </w:r>
      <w:r w:rsidRPr="00271E51">
        <w:rPr>
          <w:rFonts w:ascii="Times New Roman" w:hAnsi="Times New Roman"/>
          <w:color w:val="000000" w:themeColor="text1"/>
          <w:sz w:val="16"/>
          <w:szCs w:val="16"/>
        </w:rPr>
        <w:softHyphen/>
        <w:t>сира и пружины незначительно в срав</w:t>
      </w:r>
      <w:r w:rsidRPr="00271E51">
        <w:rPr>
          <w:rFonts w:ascii="Times New Roman" w:hAnsi="Times New Roman"/>
          <w:color w:val="000000" w:themeColor="text1"/>
          <w:sz w:val="16"/>
          <w:szCs w:val="16"/>
        </w:rPr>
        <w:softHyphen/>
        <w:t>нении с эффектом от установки крыла увеличенной стреловидности.</w:t>
      </w:r>
    </w:p>
    <w:p w14:paraId="39E4F4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решено в серии отказаться от установки на Ил-2 «со стрельчатым крылом» контрбалансира и пружины, оставив их только на самолетах с обыч</w:t>
      </w:r>
      <w:r w:rsidRPr="00271E51">
        <w:rPr>
          <w:rFonts w:ascii="Times New Roman" w:hAnsi="Times New Roman"/>
          <w:color w:val="000000" w:themeColor="text1"/>
          <w:sz w:val="16"/>
          <w:szCs w:val="16"/>
        </w:rPr>
        <w:softHyphen/>
        <w:t>ным крылом.</w:t>
      </w:r>
    </w:p>
    <w:p w14:paraId="1F75A5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отчета НИИ ВВС опыт</w:t>
      </w:r>
      <w:r w:rsidRPr="00271E51">
        <w:rPr>
          <w:rFonts w:ascii="Times New Roman" w:hAnsi="Times New Roman"/>
          <w:color w:val="000000" w:themeColor="text1"/>
          <w:sz w:val="16"/>
          <w:szCs w:val="16"/>
        </w:rPr>
        <w:softHyphen/>
        <w:t xml:space="preserve">ный Ил-2 </w:t>
      </w:r>
      <w:r w:rsidRPr="00271E51">
        <w:rPr>
          <w:rFonts w:ascii="Times New Roman" w:hAnsi="Times New Roman"/>
          <w:iCs/>
          <w:color w:val="000000" w:themeColor="text1"/>
          <w:sz w:val="16"/>
          <w:szCs w:val="16"/>
        </w:rPr>
        <w:t>«сувеличенной стрельчато-стью крыла и улучшенной аэродинами</w:t>
      </w:r>
      <w:r w:rsidRPr="00271E51">
        <w:rPr>
          <w:rFonts w:ascii="Times New Roman" w:hAnsi="Times New Roman"/>
          <w:iCs/>
          <w:color w:val="000000" w:themeColor="text1"/>
          <w:sz w:val="16"/>
          <w:szCs w:val="16"/>
        </w:rPr>
        <w:softHyphen/>
        <w:t xml:space="preserve">кой» </w:t>
      </w:r>
      <w:r w:rsidRPr="00271E51">
        <w:rPr>
          <w:rFonts w:ascii="Times New Roman" w:hAnsi="Times New Roman"/>
          <w:color w:val="000000" w:themeColor="text1"/>
          <w:sz w:val="16"/>
          <w:szCs w:val="16"/>
        </w:rPr>
        <w:t>рекомендовался в серийное про</w:t>
      </w:r>
      <w:r w:rsidRPr="00271E51">
        <w:rPr>
          <w:rFonts w:ascii="Times New Roman" w:hAnsi="Times New Roman"/>
          <w:color w:val="000000" w:themeColor="text1"/>
          <w:sz w:val="16"/>
          <w:szCs w:val="16"/>
        </w:rPr>
        <w:softHyphen/>
        <w:t xml:space="preserve">изводство, но отмечалось, что: </w:t>
      </w:r>
      <w:r w:rsidRPr="00271E51">
        <w:rPr>
          <w:rFonts w:ascii="Times New Roman" w:hAnsi="Times New Roman"/>
          <w:iCs/>
          <w:color w:val="000000" w:themeColor="text1"/>
          <w:sz w:val="16"/>
          <w:szCs w:val="16"/>
        </w:rPr>
        <w:t>«Мероп</w:t>
      </w:r>
      <w:r w:rsidRPr="00271E51">
        <w:rPr>
          <w:rFonts w:ascii="Times New Roman" w:hAnsi="Times New Roman"/>
          <w:iCs/>
          <w:color w:val="000000" w:themeColor="text1"/>
          <w:sz w:val="16"/>
          <w:szCs w:val="16"/>
        </w:rPr>
        <w:softHyphen/>
        <w:t>риятия, проведенные Главным конст</w:t>
      </w:r>
      <w:r w:rsidRPr="00271E51">
        <w:rPr>
          <w:rFonts w:ascii="Times New Roman" w:hAnsi="Times New Roman"/>
          <w:iCs/>
          <w:color w:val="000000" w:themeColor="text1"/>
          <w:sz w:val="16"/>
          <w:szCs w:val="16"/>
        </w:rPr>
        <w:softHyphen/>
        <w:t>руктором самолета по улучшению про</w:t>
      </w:r>
      <w:r w:rsidRPr="00271E51">
        <w:rPr>
          <w:rFonts w:ascii="Times New Roman" w:hAnsi="Times New Roman"/>
          <w:iCs/>
          <w:color w:val="000000" w:themeColor="text1"/>
          <w:sz w:val="16"/>
          <w:szCs w:val="16"/>
        </w:rPr>
        <w:softHyphen/>
        <w:t>дольной устойчивости, хотя и значи</w:t>
      </w:r>
      <w:r w:rsidRPr="00271E51">
        <w:rPr>
          <w:rFonts w:ascii="Times New Roman" w:hAnsi="Times New Roman"/>
          <w:iCs/>
          <w:color w:val="000000" w:themeColor="text1"/>
          <w:sz w:val="16"/>
          <w:szCs w:val="16"/>
        </w:rPr>
        <w:softHyphen/>
        <w:t>тельно улучшили устойчивость и уп</w:t>
      </w:r>
      <w:r w:rsidRPr="00271E51">
        <w:rPr>
          <w:rFonts w:ascii="Times New Roman" w:hAnsi="Times New Roman"/>
          <w:iCs/>
          <w:color w:val="000000" w:themeColor="text1"/>
          <w:sz w:val="16"/>
          <w:szCs w:val="16"/>
        </w:rPr>
        <w:softHyphen/>
        <w:t xml:space="preserve">равляемость самолета, но являются еще недостаточными». </w:t>
      </w:r>
      <w:r w:rsidRPr="00271E51">
        <w:rPr>
          <w:rFonts w:ascii="Times New Roman" w:hAnsi="Times New Roman"/>
          <w:color w:val="000000" w:themeColor="text1"/>
          <w:sz w:val="16"/>
          <w:szCs w:val="16"/>
        </w:rPr>
        <w:t xml:space="preserve">Специалисты института предлагали </w:t>
      </w:r>
      <w:r w:rsidRPr="00271E51">
        <w:rPr>
          <w:rFonts w:ascii="Times New Roman" w:hAnsi="Times New Roman"/>
          <w:iCs/>
          <w:color w:val="000000" w:themeColor="text1"/>
          <w:sz w:val="16"/>
          <w:szCs w:val="16"/>
        </w:rPr>
        <w:t>«...сдвинуть центровку вперед еще на 2-3%САХ».</w:t>
      </w:r>
    </w:p>
    <w:p w14:paraId="7F5047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Сразу же по окончании государ</w:t>
      </w:r>
      <w:r w:rsidRPr="00271E51">
        <w:rPr>
          <w:rFonts w:ascii="Times New Roman" w:hAnsi="Times New Roman"/>
          <w:color w:val="000000" w:themeColor="text1"/>
          <w:sz w:val="16"/>
          <w:szCs w:val="16"/>
        </w:rPr>
        <w:softHyphen/>
        <w:t>ственных испытаний модифицирован</w:t>
      </w:r>
      <w:r w:rsidRPr="00271E51">
        <w:rPr>
          <w:rFonts w:ascii="Times New Roman" w:hAnsi="Times New Roman"/>
          <w:color w:val="000000" w:themeColor="text1"/>
          <w:sz w:val="16"/>
          <w:szCs w:val="16"/>
        </w:rPr>
        <w:softHyphen/>
        <w:t>ного Ил-2 руководство ВВС КА обра</w:t>
      </w:r>
      <w:r w:rsidRPr="00271E51">
        <w:rPr>
          <w:rFonts w:ascii="Times New Roman" w:hAnsi="Times New Roman"/>
          <w:color w:val="000000" w:themeColor="text1"/>
          <w:sz w:val="16"/>
          <w:szCs w:val="16"/>
        </w:rPr>
        <w:softHyphen/>
        <w:t>тилось в НКАП с просьбой о незамед</w:t>
      </w:r>
      <w:r w:rsidRPr="00271E51">
        <w:rPr>
          <w:rFonts w:ascii="Times New Roman" w:hAnsi="Times New Roman"/>
          <w:color w:val="000000" w:themeColor="text1"/>
          <w:sz w:val="16"/>
          <w:szCs w:val="16"/>
        </w:rPr>
        <w:softHyphen/>
        <w:t>лительном внедрении этого самолета в серийное производство.</w:t>
      </w:r>
    </w:p>
    <w:p w14:paraId="45CF65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Военных поддержал и Главный кон</w:t>
      </w:r>
      <w:r w:rsidRPr="00271E51">
        <w:rPr>
          <w:rFonts w:ascii="Times New Roman" w:hAnsi="Times New Roman"/>
          <w:color w:val="000000" w:themeColor="text1"/>
          <w:sz w:val="16"/>
          <w:szCs w:val="16"/>
        </w:rPr>
        <w:softHyphen/>
        <w:t>структор самолета. Уже 9 ноября нар-комавиапрома своим приказом обязал заводы внедрить новое крыло в серий</w:t>
      </w:r>
      <w:r w:rsidRPr="00271E51">
        <w:rPr>
          <w:rFonts w:ascii="Times New Roman" w:hAnsi="Times New Roman"/>
          <w:color w:val="000000" w:themeColor="text1"/>
          <w:sz w:val="16"/>
          <w:szCs w:val="16"/>
        </w:rPr>
        <w:softHyphen/>
        <w:t>ное производство и наладить выпуск штурмовиков Ил-2 с таким крылом по образцу прошедшего государственные испытания самолета.</w:t>
      </w:r>
    </w:p>
    <w:p w14:paraId="4087E6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продольной устойчиво</w:t>
      </w:r>
      <w:r w:rsidRPr="00271E51">
        <w:rPr>
          <w:rFonts w:ascii="Times New Roman" w:hAnsi="Times New Roman"/>
          <w:color w:val="000000" w:themeColor="text1"/>
          <w:sz w:val="16"/>
          <w:szCs w:val="16"/>
        </w:rPr>
        <w:softHyphen/>
        <w:t>сти Ил-2 повышало его боевые каче</w:t>
      </w:r>
      <w:r w:rsidRPr="00271E51">
        <w:rPr>
          <w:rFonts w:ascii="Times New Roman" w:hAnsi="Times New Roman"/>
          <w:color w:val="000000" w:themeColor="text1"/>
          <w:sz w:val="16"/>
          <w:szCs w:val="16"/>
        </w:rPr>
        <w:softHyphen/>
        <w:t>ства и облегчало освоение самолета молодыми летчиками. Нормальная бом</w:t>
      </w:r>
      <w:r w:rsidRPr="00271E51">
        <w:rPr>
          <w:rFonts w:ascii="Times New Roman" w:hAnsi="Times New Roman"/>
          <w:color w:val="000000" w:themeColor="text1"/>
          <w:sz w:val="16"/>
          <w:szCs w:val="16"/>
        </w:rPr>
        <w:softHyphen/>
        <w:t>бовая нагрузка была поднята до 400 кг, а максимальная - до 600 кг. Прице</w:t>
      </w:r>
      <w:r w:rsidRPr="00271E51">
        <w:rPr>
          <w:rFonts w:ascii="Times New Roman" w:hAnsi="Times New Roman"/>
          <w:color w:val="000000" w:themeColor="text1"/>
          <w:sz w:val="16"/>
          <w:szCs w:val="16"/>
        </w:rPr>
        <w:softHyphen/>
        <w:t>ливаться, вводить поправки в прице</w:t>
      </w:r>
      <w:r w:rsidRPr="00271E51">
        <w:rPr>
          <w:rFonts w:ascii="Times New Roman" w:hAnsi="Times New Roman"/>
          <w:color w:val="000000" w:themeColor="text1"/>
          <w:sz w:val="16"/>
          <w:szCs w:val="16"/>
        </w:rPr>
        <w:softHyphen/>
        <w:t>ливание и вести стрельбу летчикам ста</w:t>
      </w:r>
      <w:r w:rsidRPr="00271E51">
        <w:rPr>
          <w:rFonts w:ascii="Times New Roman" w:hAnsi="Times New Roman"/>
          <w:color w:val="000000" w:themeColor="text1"/>
          <w:sz w:val="16"/>
          <w:szCs w:val="16"/>
        </w:rPr>
        <w:softHyphen/>
        <w:t>ло легче. Установка металлического крыла повышала боевую живучесть и улучшала ремонтно-эксплуатацион-ные качества самолета.</w:t>
      </w:r>
    </w:p>
    <w:p w14:paraId="38A3F0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серийное производство модифицированного штурмовика раз</w:t>
      </w:r>
      <w:r w:rsidRPr="00271E51">
        <w:rPr>
          <w:rFonts w:ascii="Times New Roman" w:hAnsi="Times New Roman"/>
          <w:color w:val="000000" w:themeColor="text1"/>
          <w:sz w:val="16"/>
          <w:szCs w:val="16"/>
        </w:rPr>
        <w:softHyphen/>
        <w:t>ворачивалось заводчанами крайне медленно. Ни в ноябре, ни в декабре не было собрано ни одного Ил-2 с ме</w:t>
      </w:r>
      <w:r w:rsidRPr="00271E51">
        <w:rPr>
          <w:rFonts w:ascii="Times New Roman" w:hAnsi="Times New Roman"/>
          <w:color w:val="000000" w:themeColor="text1"/>
          <w:sz w:val="16"/>
          <w:szCs w:val="16"/>
        </w:rPr>
        <w:softHyphen/>
        <w:t>таллическим крылом «стрельчатой конструкции». Дело в том, что авиаза</w:t>
      </w:r>
      <w:r w:rsidRPr="00271E51">
        <w:rPr>
          <w:rFonts w:ascii="Times New Roman" w:hAnsi="Times New Roman"/>
          <w:color w:val="000000" w:themeColor="text1"/>
          <w:sz w:val="16"/>
          <w:szCs w:val="16"/>
        </w:rPr>
        <w:softHyphen/>
        <w:t>воды производили до этого самолеты с деревянным крылом, в силу чего ис</w:t>
      </w:r>
      <w:r w:rsidRPr="00271E51">
        <w:rPr>
          <w:rFonts w:ascii="Times New Roman" w:hAnsi="Times New Roman"/>
          <w:color w:val="000000" w:themeColor="text1"/>
          <w:sz w:val="16"/>
          <w:szCs w:val="16"/>
        </w:rPr>
        <w:softHyphen/>
        <w:t>пытывали затруднения при переходе к металлическому крылу (11217).</w:t>
      </w:r>
    </w:p>
    <w:p w14:paraId="045CE3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2E2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сентября по 9 октября 1943 проходили летные испытания Ил-2 стрелка в НИИ ВВС.</w:t>
      </w:r>
    </w:p>
    <w:p w14:paraId="0A381D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установки нового цельнометаллического крыла, контрбалансира и амортизационной пружины, на самолете были реализованы все отработанные к этому времени мероприятия по улучшению аэродинамики (клепка впотай, расположение листов встык и т.д.) и сделаны некоторые другие изменения.</w:t>
      </w:r>
    </w:p>
    <w:p w14:paraId="25C0FE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был установлен жесткий обтекатель костыля хвостового колеса шасси. Установлены обтекатели на рельсы фонаря кабины пилота и улучшено его сопряжение с бронекорпусом. Уменьшены щели между элеронами и кромкой крыла и вырез над узлами навески элеронов. Стык деревянного хвоста к бронекорпусу выполнялся впотай "за счет увеличения толщины ленты, стоящей на хвосте, и последующей зенковки, как ленты, так и брони". Места стыка брони с хвостом снизу фюзеляжа закрывались дюралевым листом. На крышке капота над мотором отсутствовали "жабры". На верхней части бронекапота снят маслоотражатель. "Скруглено" переднее ребро входа в тоннель водорадиатора. "Убраны" выступы на обтекателе шасси за счет объединения их с основным обтекателем. Установлены обтекатели ракетных орудий. Изменен установочный угол стабилизатора - с -Г до - Г20*.</w:t>
      </w:r>
    </w:p>
    <w:p w14:paraId="77ECA9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Взамен патронной коробки под снаряды к пушке ВЯ-23, ранее устанавливавшейся в специальный отсек крыла, введен патронный ящик, представлявший собой часть конструкции консоли крыла. Для укладки снарядов в этот ящик в верхней обшивке крыла над ящиком прорезаны два люка, закрывающиеся крышками, снабженными замками.</w:t>
      </w:r>
    </w:p>
    <w:p w14:paraId="4D375A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других видимых изменений стоит отметить более длинные, чем на серийных Ил-2, штангу трубки "Пито" и мачту радиоантенны, а также легкосъемный кок винта без храповика.</w:t>
      </w:r>
    </w:p>
    <w:p w14:paraId="5FAAC5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было выполнено 14 полетов с общим налетом 11 ч 15 мин.</w:t>
      </w:r>
    </w:p>
    <w:p w14:paraId="355B0F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испытаний модифицированного Ил-2 особенно тщательно анализировались статическая и динамическая продольная и боковая устойчивости штурмовика. Исследовались балансировка самолета, эффективность органов управления и особенности управления самолетом при выполнении фигурных полетов.</w:t>
      </w:r>
    </w:p>
    <w:p w14:paraId="016834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определения характеристик продольной статической устойчивости было выполнено два полета при предельных передней и задней центровках - 26,0% и 30,7% САХ, соответственно.</w:t>
      </w:r>
    </w:p>
    <w:p w14:paraId="15BB9F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боковой статической устойчивости определялись на установившихся (координированных) скольжениях с горизонтального полета. Динамическая продольная и боковая устойчивости обследовались качественно методом импульсов разными летчиками.</w:t>
      </w:r>
    </w:p>
    <w:p w14:paraId="59DA73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один полет был выполнен для определения балансировочных кривых при установке в системе управления рулем высоты контрбалансира и амортизационной пружины.</w:t>
      </w:r>
    </w:p>
    <w:p w14:paraId="2C910C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Центровка самолета, соответствующая нормальному начальному полетному весу, составляла 28,4% САХ (при выпушенном шасси).</w:t>
      </w:r>
    </w:p>
    <w:p w14:paraId="538967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по летным данным Ил-2 "крыло со стрелкой" практически не отличался от самолета с обычным крылом, но пилотажные качества кардинально улучшились. На всех возможных режимах полета самолет был устойчивым, простым и приятным в пилотировании. Допускался полет с брошенной ручкой управления в течение 2-3 мин. Управление стало более легким и требовало от летчиков существенно меньших усилий на всех режимах полета. По отзывам летчиков облета нагрузки на ножных педалях управления при полетах с креном и скольжением были невелики. Усилия на ручке управления легко снимались триммером руля высоты. По управляемости и эффективности элеронов, рулей высоты и направления штурмовик оказался близким к таким самолетам, как Як-7б, Як-9 и Bf 110, "имеющих хорошую оценку управляемости". В качестве недостатка отмечался лишь небольшой кабрирующий момент, который возникал при даче газа и выпуске щитков и шасси: "...По ТТТ при выпуске щитков кабрирующий момент не допускается".</w:t>
      </w:r>
    </w:p>
    <w:p w14:paraId="596126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Давая летную оценку самолету, летчик- испытатель подполковник А. К. Долгов отмечал: "Штурмовик в продольном отношении стал значительно устойчивее, чем обычные серийные двухместные самолеты Ил-2. Увеличение стреловидности крыла упростило технику пилотирования двухместного самолета на всех режимах полета, и особенно на виражах. Вираж самолет выполняет устойчиво, явление колебаний около продольной оси отсутствует. В горизонтальном полете самолет позволяет полет с брошенным управлением при соответствующей регулировке триммером, что совершенно исключено на обычных серийных самолетах. Практически продольная устойчивость близка к нейтральной. Устойчивость пути хорошая, устойчивость поперечная имеет небольшой запас и близка к нейтральной. ...Пикирование самолет выполняет устойчиво, явления затягивания в пикирование не наблюдается. На посадке самолет хорошо садится на 3 точки, запас рулей достаточный, даже при центровке 26% САХ".</w:t>
      </w:r>
    </w:p>
    <w:p w14:paraId="7F1F36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выяснилось, что улучшение продольной устойчивости самолета за счет введения в систему управления рулем высоты контрбалансира и пружины незначительно в сравнении с эффектом от установки крыла увеличенной стреловидности. В то же время сопутствующие этому недостатки воспринимались летчиками неприятно. Было решено в серии отказаться от установки на Ил-2 "со стрельчатым крылом" контрбалансира и пружины, оставив их только на самолетах с обычным крылом.</w:t>
      </w:r>
    </w:p>
    <w:p w14:paraId="6B6976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НИИ ВВС опытный Ил-2 "с увеличенной стрельчатостью крыла и улучшенной аэродинамикой" рекомендовался в серийное производство, но отмечалось, что: "Мероприятия, проведенные Главным конструктором самолета по улучшению продольной устойчивости, хотя и значительно улучшили устойчивость и управляемость самолета, но являются еще недостаточными". Специалисты института предлагали "...для получения положительных запасов продольной устойчивости сдвинуть центровку вперед еще на 2-3% САХ" (12020).</w:t>
      </w:r>
    </w:p>
    <w:p w14:paraId="47F01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DC2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30 сентября 1943 П.Я.Федрови и и А.Н.Кануков проводили заводские испытания Як-1М Дублера - будущего Як-2 ВК-105ПФ2 (65,169).</w:t>
      </w:r>
    </w:p>
    <w:p w14:paraId="568F9A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Полотняную обшивку хвоста заменили фанерной (560,7).</w:t>
      </w:r>
    </w:p>
    <w:p w14:paraId="5E1BE4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FCF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20 по 30 сентября 1943 г. Як-1М дублер, выпущенный 17 сентября 1943, успешно прошел заводские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w:t>
      </w:r>
      <w:r w:rsidRPr="00271E51">
        <w:rPr>
          <w:rFonts w:ascii="Times New Roman" w:hAnsi="Times New Roman"/>
          <w:color w:val="000000" w:themeColor="text1"/>
          <w:sz w:val="16"/>
          <w:szCs w:val="16"/>
        </w:rPr>
        <w:lastRenderedPageBreak/>
        <w:t>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w:t>
      </w:r>
    </w:p>
    <w:p w14:paraId="325922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 на основе результатов продувок Як-1М в аэродинамической трубе ЦАГИ для поиска дополнительных мер по улучшению обводов и работы устройств охлаждения в августе,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 (12048).</w:t>
      </w:r>
    </w:p>
    <w:p w14:paraId="20A018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341D7"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20-го сентября 1943 Федрови облетал «дублер Москита» (третий летный образце Як-1М).</w:t>
      </w:r>
    </w:p>
    <w:p w14:paraId="34B1BC6F"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«дублере Москита» (третьем летном образце Як-1М) успели учесть многие замечания, которые выставили испытатели к первой машине. Теперь сразу поставили М-105ПФ2 с облегченным винтом ВИШ-105СВ-01, который за счет высокого КПД компенсировал потерю мощности по сравнению с М-106П. Кроме того, этот винт имел масляную автоматику управления шагом «прямой» схемы — для увеличения угла установки лопастей требовалось уменьшить подачу масла в цилиндры приводов, а не увеличивать, как раньше. Это позволяло избежать раскрутки при вводе в пике, что часто приводило к отказу мотора в бою. Летчики оценили систему объединенного управления газом и шагом винта ВГ и автомат регулирования температуры мотора АРТ-41, который вместе с новыми радиаторами исключил и перегрев мотора и его переохлаждение на пикировании. Аэродинамику улучшили по очередным рекомендациям ЦАГИ: полотно на фюзеляже заменили фанерой, исключили отсос щитков шасси и т. д. Заменив пушку ШВАК облегченной ША-20М с боекомплектом 110 снарядов вместо 120, поставили второй синхронный пулемет УБ (по 150 патронов на ствол, а раньше на одном было 200), примитивный кольцевой прицел уступил место стандартному колиматорному ПБП-1а. Гнутая бронеспинка теперь защищала и бока летчика, бронестекло за ним крепили в новой раме, исключив перекосы и появление микротрещин (так называемого «серебра») и потерю прозрачности. Баки были увеличены, полностью протектированы и заполнялись охлажденными выхлопными газами. Фонарь кабины получил систему аварийного сброса. Сделано было много, а вес самолета увеличился всего на несколько кило, поскольку весь планер и все системы снова тщательно «подчистили», убрав все лишнее.</w:t>
      </w:r>
    </w:p>
    <w:p w14:paraId="2196B44F"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После декады полетов и недели доработок 6 ноября машину приняли на Госиспытания летчик НИИ ВВС Прошаков и ведущий инженер Седов, а уже 23 октября Главный инженер ВВС Репин утвердил Акт по результатам испытаний. Замечания были оперативно устранены, что подтвердили дополнительные полеты летчика Кочеткова и контрольный облет, который выполнил П. М. Стефановский (22751).</w:t>
      </w:r>
    </w:p>
    <w:p w14:paraId="2D900734" w14:textId="77777777" w:rsidR="00060D5D" w:rsidRPr="00271E51" w:rsidRDefault="00060D5D" w:rsidP="00271E51">
      <w:pPr>
        <w:spacing w:after="0" w:line="240" w:lineRule="auto"/>
        <w:jc w:val="both"/>
        <w:rPr>
          <w:rFonts w:ascii="Times New Roman" w:hAnsi="Times New Roman"/>
          <w:color w:val="0070C0"/>
          <w:sz w:val="16"/>
          <w:szCs w:val="16"/>
        </w:rPr>
      </w:pPr>
    </w:p>
    <w:p w14:paraId="38CD69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1943 согласно журнала наблюдения за проектированием, постройкой и испытаниями МиГ-3 моторов на МиГ-3 Д-2 и Д-5 - нет Ожидаются 25 сентября 1943 (992,10).</w:t>
      </w:r>
    </w:p>
    <w:p w14:paraId="3B680C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CA159"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C8697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6128A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1943 г. из ПРОТОКОЛА ЗАСЕДАНИЯ БЮРО НОВОСИБИРСКОГО ОБКОМА ВКП(б) «О ХОДЕ ВЫПОЛНЕНИЯ ПОСТАНОВЛЕНИЯ ГКО ОТ 28 АВГУСТА 1943 г.»</w:t>
      </w:r>
    </w:p>
    <w:p w14:paraId="5462649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Особая папка</w:t>
      </w:r>
    </w:p>
    <w:p w14:paraId="5DB8E1D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Бюро обкома ВКП(б) устанавливает, что, несмотря на специальное указание ГОКО об особой важности для фронта, особенно сейчас, 120 мм мин, 122 мм гаубичных снарядов и взрывателей к ним, руководители заводов №№ 677, 65 и комбината № 179 не приняли решительных мер для безусловного выполнения задания ГОКО по этим изделиям. За 19 дней сентября комбинат № 179 по литью корпусов 120 мм мин и запальных стаканов к ним план выполнил только на 52 процента, завод № 65 по производству корпусов 122 мм гаубичных снарядов - на 61 процент, завод № 677 по производству взрывателей ГВМЗ - на 58 процентов. </w:t>
      </w:r>
    </w:p>
    <w:p w14:paraId="18BD0D2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Бюро обкома ВКЩб) ПОСТАНОВЛЯЕТ:</w:t>
      </w:r>
    </w:p>
    <w:p w14:paraId="27ADC03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руководителей комбината № 179 (т. Саханицкого), заводов № 65 (т. Курушина), № 635 (т. Савосина), № 677 (т. Брук) считать производство 120 мм мин, 122 мм гаубичных снарядов, а также взрывателей к ним особым заданием для фронта, а эти изделия — главнейшими для завода. Обеспечить выполнение программы, утвержденной ГОКО, за счет любых средств, укомплектовав цеха и участки, производящие эти изделия, рабочей силой и оборудованием за счет внутренних ресурсов, установив систему преимущественного снабжения этих цехов и первоочередного обеспечения рабочего коллектива продуктами питания и промтоварами; представить в отдел боеприпасов обкома ВКП(б) к 28 сентября 1943 года на утверждение план оргтехмероприятий, обеспечивающих выполнение задания ГОКО.</w:t>
      </w:r>
    </w:p>
    <w:p w14:paraId="4FB5042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Поручить Кировскому и Центральному райкомам ВКП(б) (т. Асланову и т. Сущиковой) совместно с парторгами ЦК ВКП(б) и руководителями предприятий: срочно провести специальные меры по устранению отставания производства этих важнейших для фронта изделий. ...</w:t>
      </w:r>
    </w:p>
    <w:p w14:paraId="6E6C5E9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директора завода № 65 т. Курушина и директора завода № 635 т. Савосина отгрузить к 1 октября 1943 года по назначению находящиеся на заводе № 635 полностью готовые к отправке на фронт 30 тысяч 120 мм мин, обеспечив их необходимым количеством спец-укупорки.</w:t>
      </w:r>
    </w:p>
    <w:p w14:paraId="4E76E48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Ввиду скопления в настоящее время на заводе № 677 свыше 300 тысяч изготовленных взрывателей ГВМЗ, задержанных отправкой по причине отставания снаряжательного цеха, обязать директора и парторга ЦК ВКП(б) завода № 677, а также главного инженера в течение ближайшей декады расшить это узкое место, обеспечить снаряжение наибольшего количества взрывателей за счет организации работы в две смены; в случае необходимости мобилизовать для этой цели рабочих с производственных участков других изделий.</w:t>
      </w:r>
    </w:p>
    <w:p w14:paraId="422A2F7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Предложить отделу боеприпасов обкома, горкому и райкомам ВКП(б) установить повседневный контроль и руководство производством указанных изделий, прикрепить к каждому из цехов, производящих эти изделия, одного из работников обкома, горкома и райкома, на которых возложить персональную ответственность перед обкомом ВКП(б) за выполнение на его участке этого боевого задания для фронта.</w:t>
      </w:r>
    </w:p>
    <w:p w14:paraId="676BBDF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Признавая нетерпимым положение, создавшееся в литейном цехе комбината № 179, бюро обкома ВКП(б) требует от т. Саханицкого, т. Лаврентьева и т. Жидкова безотлагательно заняться наведением там порядка, обеспечить строгое выполнение технологического процесса изготовления изделий, ликвидировать громадный брак в производстве, доходящий до 70—75 процентов, а также в течение месяца решить вопрос о внедрении литья 120 мм мин.</w:t>
      </w:r>
    </w:p>
    <w:p w14:paraId="2B62E55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Довести до сведения Государственного Комитета Обороны, что директором КМК т. Беланом не выполняется постановление ГОКО № 3982 о бесперебойной поставке металла и ферросилиция для производства мин и снарядов, а Магнитогорским калибровочным заводом — о поставке автоматной стали для взрывателей ГВМЗ.</w:t>
      </w:r>
    </w:p>
    <w:p w14:paraId="0C04770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Новосибирского обкома ВКЩб) М. Кулагин</w:t>
      </w:r>
    </w:p>
    <w:p w14:paraId="2256DAC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33. Д. 736«а.. Л. 111-114. Подлинник.</w:t>
      </w:r>
    </w:p>
    <w:p w14:paraId="7914B81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М. Кулагина. Документ приводится в сокращении. Опущены пункты, касающиеся Томска и др. (12193).</w:t>
      </w:r>
    </w:p>
    <w:p w14:paraId="2AE777D1"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0CEC53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1943 г. танки ИС - № 1 и № 2 прибыли на завод № 100. 21 сентября 1943 г. на обоих образцах танков ИС был произведен демонтаж КП, ПМП и кулисы с це</w:t>
      </w:r>
      <w:r w:rsidRPr="00271E51">
        <w:rPr>
          <w:rFonts w:ascii="Times New Roman" w:hAnsi="Times New Roman"/>
          <w:color w:val="000000" w:themeColor="text1"/>
          <w:sz w:val="16"/>
          <w:szCs w:val="16"/>
        </w:rPr>
        <w:softHyphen/>
        <w:t>лью устранения замечаний комиссии. Дополнительно на танке ИС № 2 была демонтирована 85-мм пушка С-31 для установки в него 122-мм пушки Д-25. Танковая 122-мм пушка Д-25 была спроектирована и скомпонована в башне танка "Объект 237" в инициативном порядке совместными уси</w:t>
      </w:r>
      <w:r w:rsidRPr="00271E51">
        <w:rPr>
          <w:rFonts w:ascii="Times New Roman" w:hAnsi="Times New Roman"/>
          <w:color w:val="000000" w:themeColor="text1"/>
          <w:sz w:val="16"/>
          <w:szCs w:val="16"/>
        </w:rPr>
        <w:softHyphen/>
        <w:t>лиями КБ завода № 9 и опытного завода № 100 НКТП (10703).</w:t>
      </w:r>
    </w:p>
    <w:p w14:paraId="614F5F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20C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1943 г. распоряжением СНК от на базе ЦКБ-4 создано ЦКБ стандартизации (ЦКБС-4) НКСП. Работы по проектам линкора и авианосца переданы в ЦКБ-17.</w:t>
      </w:r>
    </w:p>
    <w:p w14:paraId="5E5029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и внедрение в судостроение государственных и общесоюзных стандартов, ведомственных нормалей с целью сокращения сроков проектирования и постройки судов.</w:t>
      </w:r>
    </w:p>
    <w:p w14:paraId="4455B2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(-08-09.1938 г.-)- Б. Г. Чиликин.</w:t>
      </w:r>
    </w:p>
    <w:p w14:paraId="26A420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(1930-е)- С.Ф. Степанов, (-08.1938-39 г.-)- Я.М. Мацкин.</w:t>
      </w:r>
    </w:p>
    <w:p w14:paraId="017C29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(1936 г.)- Б. Г. Чиликин, (1930-е)- Л.С. Грауэрман, (1945 г.)- Л.В. Тагеев.</w:t>
      </w:r>
    </w:p>
    <w:p w14:paraId="135E2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Заведующие отделами: корпусным (1930-е)- Б. Г. Чиликин. Начальники отделов: 2-го (08.1938 г.)-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 Тагеев; 4-го (01.1939 г.)- А.Я. Барсуков; (1930-е)- В.В. Ашик, (1930-е)- В.Н. Гнесин, (1930-е)- Б.А. Горшенин.</w:t>
      </w:r>
    </w:p>
    <w:p w14:paraId="1EAAF9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1-го (08.1938 г.)- Неганов.</w:t>
      </w:r>
    </w:p>
    <w:p w14:paraId="203074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Гл. конструкторы: (1936-43 г.-)- Б. Г. Чиликин (пр. 23).</w:t>
      </w:r>
    </w:p>
    <w:p w14:paraId="7DE5B7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секций: 1-й 2-го отдела (08.1938 г.)- </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 Кузьмичев; 3-й 2-го отдела (08.1938 г.)- И.Л. Зеликсон; (08.1938 г.)- Трошков.</w:t>
      </w:r>
      <w:r w:rsidRPr="00271E51">
        <w:rPr>
          <w:rFonts w:ascii="Times New Roman" w:hAnsi="Times New Roman"/>
          <w:color w:val="000000" w:themeColor="text1"/>
          <w:sz w:val="16"/>
          <w:szCs w:val="16"/>
          <w:vertAlign w:val="superscript"/>
        </w:rPr>
        <w:t>139</w:t>
      </w:r>
    </w:p>
    <w:p w14:paraId="70C926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проекты линкоров пр. 23 (1939), пр. 23-НУ (1940), пр. 24 (1940); проект бронекатера пр. 161 (1942); проект авианосца пр. 72 (1943); монитор пр. 161 (1943) (11982).</w:t>
      </w:r>
    </w:p>
    <w:p w14:paraId="6FDD8B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084B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8FF1F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F954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оперативная сводка Совинформбюро:</w:t>
      </w:r>
    </w:p>
    <w:p w14:paraId="79BEA5AC"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сентября на Запорожском и Мелитопольском направлениях наши войска, продолжая успешно развивать наступление, продвинулись вперёд от 10 до 25 километров и заняли свыше 70 населённых пунктов, в том числе город Большой Токмак, районные центры Запорожской области Ново-Васильевка, Приазовское и крупные населённые пункты Камышуваха, Юльевка, Щербаковка, Копани, Сладкая Балка, Роскошный, Ботьево, Гамовка, Ново-Ивановка (13 километров юго-восточнее Мелитополя).</w:t>
      </w:r>
    </w:p>
    <w:p w14:paraId="21E6B25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и, продвинувшись на отдельных участках вперед от 6 до 18 километров, заняли свыше 60 населённых пунктов, в том числе районный центр Харьковской области Зачепиловка и крупные населённые пункты Александровка, Красный Октябрь, Кочерёжки, Булаковка, Межеричи, Карабиновка, Лиманское, Водяна, Раздоры, Славгород.</w:t>
      </w:r>
    </w:p>
    <w:p w14:paraId="2A5595C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наши войска, продолжая наступление, заняли свыше 60 населённых пунктов и среди них районные центры Полтавской области Чутово, Карловка, железнодорожные станции Скороходово и Кочубеевка.</w:t>
      </w:r>
    </w:p>
    <w:p w14:paraId="306057D3"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развивать успешное наступление и, продвинувшись вперёд от 15 до 25 километров, овладели городом и крупным железнодорожным узлом Гребенка, городом Козелец, районным центром Черниговской области Яблуновка, а также заняли свыше 200 других населённых пунктов и среди них крупные населённые пункты Тополи, Мостище, Марковцы, Ярославка, Щастновка, Вороньки, Макеевка, Погребы, Лозовой Яр, Малютинцы, Кулаженцы, Яблонево, Исковцы, Березняки, железнодорожные станции Марьяновка, Баярский, Вилы.</w:t>
      </w:r>
    </w:p>
    <w:p w14:paraId="7B1613A3"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Новгород-Северский наши войска продолжали развивать успешное наступление и, продвинувшись вперёд от 15 до 20 километров, заняли свыше 90 населённых пунктов, в том числе районный центр Черниговской области Корюковка и крупные населённые пункты Жадов, Погорельцы, Охрамеевичи.</w:t>
      </w:r>
    </w:p>
    <w:p w14:paraId="18FC5A30"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Брянска наши войска, продолжая развивать успешное наступление, продвинулись вперёд от 15 до 25 километров и заняли свыше 250 населённых пунктов, в том числе районные центры Орловской области Клетня, Жирятино, районный центр Черниговской области Гремяч.</w:t>
      </w:r>
    </w:p>
    <w:p w14:paraId="241CB496"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и Рославльском направлениях наши войска продолжали развивать успешное наступление и, продвинувшись вперёд от 10 до 18 километров, заняли свыше 350 населённых пунктов, в том числе крупные населённые пункты Холм, Топорово, Велюжина, Корнилова, Слотово, Ляхово, Строгино, Сергеево, Михайловка, Луги, Хохловка, Аселье, Хорошково, Теребынь, Сеща и железнодорожную станцию Сещинская.</w:t>
      </w:r>
    </w:p>
    <w:p w14:paraId="7C48AD7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Смоленска наши войска, сломив сопротивление противника, овладели городом Велиж и заняли свыше 50 других населённых пунктов.</w:t>
      </w:r>
    </w:p>
    <w:p w14:paraId="0B33994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сентября наши войска на всех фронтах подбили и уничтожили 38 немецких танков. В воздушных боях и огнём зенитной артиллерии сбито 47 самолётов противника.</w:t>
      </w:r>
    </w:p>
    <w:p w14:paraId="558D0E8A"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преодолевая сопротивление немцев на промежуточных рубежах, продолжали успешно продвигаться вперёд. Бойцы Н-ской части смелым манёвром разгромили сильно укреплённый опорный пункт противника, уничтожив при этом до 600 гитлеровцев. Захвачено 10 орудий, 2 танка, 75 автомашин, штабной автобус и большое количество боеприпасов. На одной из железнодорожных станций наши войска захватили 50 вагонов с вооружением, склады с горючим, боеприпасами и зерном. Наши танкисты стремительной атакой овладели железнодорожной станцией Славгород и тем самым перерезали железную дорогу Синельниково — Запорожье.</w:t>
      </w:r>
    </w:p>
    <w:p w14:paraId="1F73AFB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совершили налёт на один крупный аэродром противника. В результате бомбардировки уничтожено на земле 8 четырёхмоторных и 3 двухмоторныхсамолёта. Не менее 10 немецким самолётам нанесены серьёзные повреждения. Кроме того, в воздушных боях советские лётчики сбили 13 самолётов противника.</w:t>
      </w:r>
    </w:p>
    <w:p w14:paraId="34296C7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части Н-ского соединения, уничтожая узлы сопротивления противника, вышли на восточный берег реки Орчик. Советские передовые отряды переправились через реку и ворвались в районный центр Полтавской области Карловка. Подошедшие вслед за передовыми отрядами наши части нанесли противнику удары с флангов и выбили его из Карловки. Захвачено у немцев 12 танков, 5 самоходных орудий, 47 автомашин, 10 вагонов с боеприпасами, 5 складов с военным имуществом и другие трофеи.</w:t>
      </w:r>
    </w:p>
    <w:p w14:paraId="34337277"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Н-ской части отбили у немцев 16 тысяч мирных советских граждан, которых гитлеровцы насильно угоняли на каторгу в Германию.</w:t>
      </w:r>
    </w:p>
    <w:p w14:paraId="34BB1985"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действующие вдоль шоссе Чернигов — Киев, преодолевая сопротивление немцев, вышли к городу Козелец. Противник стянул к этому городу крупные силы и непрерывно переходил в контратаки. В результате двухдневных ожесточённых боёв советские войска разгромили немцев и овладели городом Козелец. Уничтожено до полка немецкой пехоты. Захвачены трофеи, в числе которых несколько танков, самоходных и полевых орудий. Южнее города Пирятин наши войска стремительным ударом танковых и пехотных частей обрушились на одно из соединений противника и смяли его. Развивая удар, наши бойцы овладели городом и крупным железнодорожным узлом Гребёнка. На путях железнодорожного узла захвачено много вагонов и платформ с военной техникой и боеприпасами. В числе трофеев имеется несколько исправных танков, десятки автомашин, 500 ящиков с гранатами, 20.000 артиллерийских снарядов. Взято более 100 пленных.</w:t>
      </w:r>
    </w:p>
    <w:p w14:paraId="08CED870"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Новгород-Северский наши войска продолжали успешное наступление и наносили непрерывные удары по отступающим войскам противника. Передовые отряды, сломив сопротивление врага, вышли на рубеж реки Снов. За день боёв истреблено 1.200 немецких солдат и офицеров. Захвачено у противника 5 танков, 8 орудий, 50 автомашин, 300 лошадей, 130 повозок с грузами, понтонныйпарк, 3 артиллерийских склада, 150 километров электропровода и много других трофеев. Взято более 500 пленных. К исходу дня наши части с боями форсировали реку Снов и, отбивая контратаки немцев, вновь продвинулись вперёд.</w:t>
      </w:r>
    </w:p>
    <w:p w14:paraId="0252015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Брянска противник, прикрываясь сильными отрядами, пытался вывести из-под удара свои основные силы, выиграть время, чтобы закрепиться на промежуточном оборонительном рубеже в районе Клетни. Наши войска стремительным ударом сорвали этот замысел немцев. Части Н-ского соединения за ночь продвинулись на запад на 25 километров, блокировали, а затем штурмом заняли районный центр Орловской области Клетня. Противник понёс большие потери в людях и технике. Разгромленные и рассеянные подразделения немцев по частям уничтожаются нашими войсками.</w:t>
      </w:r>
    </w:p>
    <w:p w14:paraId="1F0AAA2C"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и Рославльском направлениях наши войска продолжали развивать успешное наступление. Части Н-ского соединения, ломая сопротивление немцев, заняли ряд узлов вражеской обороны, в том числе крупный населённый пункт Холм. В этом районе большой отряд немцев на автомашинах пытался прорваться на большак и выйти из окружения. Наши бойцы неотступно преследовали противника и полностью уничтожили этот отряд гитлеровцев. За день боёв освобождено от немецких захватчиков свыше 350 населённых пунктов. По неполным данным, уничтожено не менее 3.000 немецких солдат и офицеров. Захвачены пленные и трофеи.</w:t>
      </w:r>
    </w:p>
    <w:p w14:paraId="772F109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Смоленска наши войска после трёхдневных ожесточённых боёв прорвали сильно укреплённую оборонительную полосу противника и штурмом овладели городом Велиж.</w:t>
      </w:r>
    </w:p>
    <w:p w14:paraId="639D0B1C"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Черноморского флота обнаружили у южного побережья Тамани самоходные десантные баржи с немецкими войсками. Наша авиация атаковала противника, потопила тральщик и три немецких десантных баржи. На четвёртой барже возник пожар. Наши лётчики наблюдали, как в результате пожара произошёл сильный взрыв и баржа была полностью уничтожена.</w:t>
      </w:r>
    </w:p>
    <w:p w14:paraId="1AC0144E"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Партизанскими отрядами, действующими в Литовской республике, за последнюю неделю пущено под откос 6 немецких воинских эшелонов. Разбито 2 паровоза и 60 вагонов. Из засад на дорогах партизаны истребили 80 немецких солдат и офицеров.» (14775).</w:t>
      </w:r>
    </w:p>
    <w:p w14:paraId="55D7B3B9"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4F16B3AC"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авиация Северного флота нанесла бомбовый удар по аэродрому противника в Луостари (уничтожено 20 самолетов, потоплены транспорт и сторожевой корабль) (14775).</w:t>
      </w:r>
    </w:p>
    <w:p w14:paraId="34F7A3CE"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1B53D2E8"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 xml:space="preserve">в 1943 году "Черный понедельник" минно-торпедной авиации Северного Флота - попытка атаки немецкого конвоя в районе Конгс-фьорда, Северная Норвегия. В ударную группу были выделены 6 торпедоносцев «А-20», 6 истребителей «Р-39», 6 «Як-1» и 4 «Як-9», командовал ударом командир 9-го гвардейского минно-торпедного авиационного полка майор Костькин, и эти шесть торпедоносных экипажей были наиболее подготовленными. В результате ряда ошибок, допущенных как при планировании, так и осуществлении операции, а также благодаря хорошей работе радиоразведки немцев ударную группу над целью ожидали около 30 «Bf-109G» и «Fw190A» из состава JG5. В последовавшем бою группа «Яков» потеряла и свои самолеты, и цели, и немцы ценой размена 1 "мессера" на 1 "кобру" сбили при помощи зенитной артиллерии кораблей конвоя 5 из 6 торпедоносцев, шестой самолет был сильно поврежден и разбился при посадке. Торпеды были сброшены в дальности около 3000 метров до цели, от них легко уклонились и никаких потерь конвой не понес. Но гибель пяти опытных экипажей, в том числе </w:t>
      </w:r>
      <w:r w:rsidRPr="00271E51">
        <w:rPr>
          <w:rFonts w:ascii="Times New Roman" w:hAnsi="Times New Roman"/>
          <w:color w:val="000000" w:themeColor="text1"/>
          <w:sz w:val="16"/>
          <w:szCs w:val="16"/>
        </w:rPr>
        <w:lastRenderedPageBreak/>
        <w:t>командира полка, сделала часть, основную ударную силу МТА Северного Флота, фактически небоеготовой. 7 октября 1943 года в 9-й гвардейский минно-торпедный авиационный полк будет назначен новый командир - майор Сыромятников, который в 1944 тоже погибнет в бою с немецким конвоем. Слава, память и укор современникам - воевать, что бы там не говорили, надо умеючи (14775).</w:t>
      </w:r>
    </w:p>
    <w:p w14:paraId="79CEC32D"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0C229E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20, 1943: Heeresgruppe Sud begins its withdrawal to the Melitopol-Zaporoshe line. The British 8th Army occupies Bari in southern Italy. German troops evacuate the island of Sardinia (3819).</w:t>
      </w:r>
    </w:p>
    <w:p w14:paraId="272EC4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2968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сентября 1943 Группа Юг начала отход на линию Милитополь-Запорожье. Британская 8А заняла Бари в южной Италии. Германские войска эвакуировались с Сардинии (3819).</w:t>
      </w:r>
    </w:p>
    <w:p w14:paraId="778BF1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F15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20 по 30 сентября 1943 состоялась Кременчугская операция и 23 сентября освободили Полтаву, а 29 - Кременчуг, захватив плацдарм за Днепром (2438,331).</w:t>
      </w:r>
    </w:p>
    <w:p w14:paraId="7966AE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6C8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20 - 23 сентября 1943 года при преследовании отходящего противника, когда группа из шести СУ-76И 1902 САП уничтожила три танка противника.</w:t>
      </w:r>
    </w:p>
    <w:p w14:paraId="7D86F1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Обычно во время атак или преследования противника САУ следовали непосредственно вслед за танками, причем в отчете командира САП отмечалось, что если бы "танки и САУ использовались более массированно, потери полка были бы существенно снижены".</w:t>
      </w:r>
    </w:p>
    <w:p w14:paraId="3CF25A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 участвовал в боевых операциях до конца ноября. 25 ноября 1943 года 1902-ой Кременчугский самоходно-артиллерийский полк, потерявший все свои машины, убыл на переформирование отечественной матчастью.</w:t>
      </w:r>
    </w:p>
    <w:p w14:paraId="3889CC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1902-го, самоходными установками СУ-76И оснащались 1901 и 1903-ий полки, которые также использовались в августе - сентябре при проведении Белгородско-Харьковской операции (9695).</w:t>
      </w:r>
    </w:p>
    <w:p w14:paraId="19821F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D9A96" w14:textId="77777777" w:rsidR="000621D5" w:rsidRPr="00271E51" w:rsidRDefault="000621D5"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20 сентября 1943 года</w:t>
      </w:r>
      <w:r w:rsidRPr="00271E51">
        <w:rPr>
          <w:rStyle w:val="ucoz-forum-post"/>
          <w:rFonts w:ascii="Times New Roman" w:eastAsia="Times New Roman" w:hAnsi="Times New Roman"/>
          <w:color w:val="000000" w:themeColor="text1"/>
          <w:sz w:val="16"/>
          <w:szCs w:val="16"/>
        </w:rPr>
        <w:t xml:space="preserve"> Немецкий ас лейтенант Эрик Хартман в 309м воздушном бою одержал свою 100ю победу, сбив советский истребитель Аэрокобра (р-н г. Днепро-Южный). В этот день он сбил 4 наших истребителя (Аэрокобра и 3хЛа-5). К этому времени советским лётчикам уже стал знаком позывной «Карайа-1», а командование Советской Армии назначило за голову удачливого немецкого аса цену в 10.000 рублей. Этот пример говорит о том, что наше командование прекрасно знало о наличии в Германии немецких асов, у которых было за плечами 100 и более побед. Но в целях пропаганды сознательно об этом умалчивали, вещая о «самых лучших асах войны» Покрышкине и Кожедубе, у которых было к концу войны соответственно 59 и 62 победы. Однако это были самые лучшие СОВЕТСКИЕ асы. У Германии к тому времени было более 200 лётчиков, имевших на своём счету 50 и более побед. Ниже 50 сбитых в боях самолётов противника в Люфтваффе асами (экспертами) не признавались. Некоторое время Э. Хартманн летал на самолётах с элементом окраски «Чёрный тюльпан» (многолучевая звезда, накрашенная на кок винта и вокруг капота). Советские пилоты начали узнавать характерную раскраску и избегать любых встреч с Э. Хартманом, уходя из районов, где появлялся этот самолёт. Из-за чего Эрих давал полетать на своём истребителе неопытным лётчикам (для их же безопасности), а сам пересаживался на Ме-109 с обычной раскраской. Теперь только пронзённое стрелой сердце с подписью «Урсула» было единственным отличием (14775).</w:t>
      </w:r>
    </w:p>
    <w:p w14:paraId="14F0278A" w14:textId="77777777" w:rsidR="000621D5" w:rsidRPr="00271E51" w:rsidRDefault="000621D5" w:rsidP="00271E51">
      <w:pPr>
        <w:spacing w:after="0" w:line="240" w:lineRule="auto"/>
        <w:jc w:val="both"/>
        <w:rPr>
          <w:rStyle w:val="ucoz-forum-post"/>
          <w:rFonts w:ascii="Times New Roman" w:eastAsia="Times New Roman" w:hAnsi="Times New Roman"/>
          <w:color w:val="000000" w:themeColor="text1"/>
          <w:sz w:val="16"/>
          <w:szCs w:val="16"/>
        </w:rPr>
      </w:pPr>
    </w:p>
    <w:p w14:paraId="5C2991B4" w14:textId="77777777" w:rsidR="000621D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2E96275" w14:textId="77777777" w:rsidR="003D48DC" w:rsidRPr="00271E51" w:rsidRDefault="003D48DC" w:rsidP="00271E51">
      <w:pPr>
        <w:spacing w:after="0" w:line="240" w:lineRule="auto"/>
        <w:jc w:val="both"/>
        <w:rPr>
          <w:rFonts w:ascii="Times New Roman" w:hAnsi="Times New Roman"/>
          <w:color w:val="0070C0"/>
          <w:sz w:val="16"/>
          <w:szCs w:val="16"/>
        </w:rPr>
      </w:pPr>
    </w:p>
    <w:p w14:paraId="099C4B18" w14:textId="7E44727F"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сентября 1943 первый полет прототипа De Havilland Vampire LZ548 (20376).</w:t>
      </w:r>
    </w:p>
    <w:p w14:paraId="4BF99589" w14:textId="77777777" w:rsidR="00060D5D" w:rsidRPr="00271E51" w:rsidRDefault="00060D5D" w:rsidP="00271E51">
      <w:pPr>
        <w:spacing w:after="0" w:line="240" w:lineRule="auto"/>
        <w:jc w:val="both"/>
        <w:rPr>
          <w:rFonts w:ascii="Times New Roman" w:hAnsi="Times New Roman"/>
          <w:color w:val="0070C0"/>
          <w:sz w:val="16"/>
          <w:szCs w:val="16"/>
        </w:rPr>
      </w:pPr>
    </w:p>
    <w:p w14:paraId="40EA7CFD"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сентября 1943 - Первый полет нового истребителя DH.100 Vampire. Пилот Джеффри де Хэвилленд-младший. Полет продолжался около 30 минут, и самолет превысил 400 миль в час (644 километров в час) (22359).</w:t>
      </w:r>
    </w:p>
    <w:p w14:paraId="7EC9D60A" w14:textId="77777777" w:rsidR="00060D5D" w:rsidRPr="00271E51" w:rsidRDefault="00060D5D" w:rsidP="00271E51">
      <w:pPr>
        <w:spacing w:after="0" w:line="240" w:lineRule="auto"/>
        <w:jc w:val="both"/>
        <w:rPr>
          <w:rFonts w:ascii="Times New Roman" w:hAnsi="Times New Roman"/>
          <w:color w:val="0070C0"/>
          <w:sz w:val="16"/>
          <w:szCs w:val="16"/>
        </w:rPr>
      </w:pPr>
    </w:p>
    <w:p w14:paraId="20253F90"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20 сентября 1943 г. совершил первый полет Новый тяжелый морской бомбардировщик PB4Y-2 «Прайветир». </w:t>
      </w:r>
    </w:p>
    <w:p w14:paraId="50042997"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Самолет проектировался как модификация В-24 (Консолидейтед Модель 32), но изменений было так много, что он получил новое обозначение Модель 100. Заметнее всего был большой центральный киль, улучшивший устойчивость, кроме того, удлинили носовую часть, разместив там бортинженера, а в хвосте оборудовали место 2-го радиста.</w:t>
      </w:r>
    </w:p>
    <w:p w14:paraId="4ABC5B20"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Проведя первый этап испытаний на трех XPB4Y-2, фирма начала сборку серийных машин, но обилие замечаний и дефектов вынудило отдать на дополнительные испытания два первых серийных «прайветира». Сдача самолетов заводом в Сан-Диего началась в мае 1944 г. Самолеты поступали в эскадрильи, уже освоившие PB4Y-1, новые не формировались.</w:t>
      </w:r>
    </w:p>
    <w:p w14:paraId="3700A93A" w14:textId="77777777" w:rsidR="00060D5D" w:rsidRPr="00271E51" w:rsidRDefault="00060D5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Всего было построено 642 серийных бомбардировщика PB4Y-2, в т.ч. 537 — до конца войны, а последний самолет вышел из сборочного цеха в Сан-Диего 31 октября 1945 г., чтобы сразу отправиться на базу хранения, где он был законсервирован 3 декабря и больше не летал (23002).</w:t>
      </w:r>
    </w:p>
    <w:p w14:paraId="2F68DE4D" w14:textId="77777777" w:rsidR="00060D5D" w:rsidRPr="00271E51" w:rsidRDefault="00060D5D" w:rsidP="00271E51">
      <w:pPr>
        <w:spacing w:after="0" w:line="240" w:lineRule="auto"/>
        <w:jc w:val="both"/>
        <w:rPr>
          <w:rFonts w:ascii="Times New Roman" w:hAnsi="Times New Roman"/>
          <w:color w:val="0070C0"/>
          <w:sz w:val="16"/>
          <w:szCs w:val="16"/>
        </w:rPr>
      </w:pPr>
    </w:p>
    <w:p w14:paraId="1E5B3FED"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три малые британские подлодки атаковали флагман немецкого флота , линкор "Тирпиц" в одном из портов Норвегии. "Тирпиц" получил серёзне повреждения и был выведен из строя почти на пол года (14775).</w:t>
      </w:r>
    </w:p>
    <w:p w14:paraId="2DB02870"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5A0C1326"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(20–23 сентября) 22 германские подводные лодки атакуют новыми самонаводящимися акустическими торпедами конвой ON-202 — ONS-18 и топят 4 корабля сопровождения и 6 судов, потеряв 2 подлодки (14775).</w:t>
      </w:r>
    </w:p>
    <w:p w14:paraId="1C477711"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7CAF8DFB"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в Милане начало функционировать военное командование партизанскими отрядами итальянской компартии во главе с Л.Лонго. Также активно проявили себя отряды новой левой Партии действия во главе с Ф.Пари (14775).</w:t>
      </w:r>
    </w:p>
    <w:p w14:paraId="6E72E0C4" w14:textId="77777777" w:rsidR="003D48DC" w:rsidRPr="00271E51" w:rsidRDefault="003D48D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25BD3B" w14:textId="77777777" w:rsidR="003D48DC" w:rsidRPr="00271E51" w:rsidRDefault="003D48D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20–21 сентября (ночь) 1943 чтобы сорвать немецкую эвакуацию с Корсики, бомбардировщики ВВС Северо-Западной Африки союзников Веллингтон , Митчелл и Либератор наносят удары по аэродромам, судам и портовым объектам в Бастии, Корсике, а также в Ливорно и Пизе, Италия (20376).</w:t>
      </w:r>
    </w:p>
    <w:p w14:paraId="6AD96E5A" w14:textId="77777777" w:rsidR="003D48DC" w:rsidRPr="00271E51" w:rsidRDefault="003D48DC" w:rsidP="00271E51">
      <w:pPr>
        <w:spacing w:after="0" w:line="240" w:lineRule="auto"/>
        <w:jc w:val="both"/>
        <w:rPr>
          <w:rFonts w:ascii="Times New Roman" w:hAnsi="Times New Roman"/>
          <w:color w:val="0070C0"/>
          <w:sz w:val="16"/>
          <w:szCs w:val="16"/>
        </w:rPr>
      </w:pPr>
    </w:p>
    <w:p w14:paraId="31B8DCCA" w14:textId="77777777" w:rsidR="000621D5" w:rsidRPr="00271E51" w:rsidRDefault="000621D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сентября </w:t>
      </w:r>
      <w:r w:rsidRPr="00271E51">
        <w:rPr>
          <w:rFonts w:ascii="Times New Roman" w:hAnsi="Times New Roman"/>
          <w:color w:val="000000" w:themeColor="text1"/>
          <w:sz w:val="16"/>
          <w:szCs w:val="16"/>
        </w:rPr>
        <w:t>в 1943 году (20-27 сентября) сессия Национально-Политического Совета Китая в Чунцине (14775).</w:t>
      </w:r>
    </w:p>
    <w:p w14:paraId="1BFAED41" w14:textId="77777777" w:rsidR="000621D5" w:rsidRPr="00271E51" w:rsidRDefault="000621D5" w:rsidP="00271E51">
      <w:pPr>
        <w:spacing w:after="0" w:line="240" w:lineRule="auto"/>
        <w:jc w:val="both"/>
        <w:rPr>
          <w:rFonts w:ascii="Times New Roman" w:hAnsi="Times New Roman"/>
          <w:color w:val="000000" w:themeColor="text1"/>
          <w:sz w:val="16"/>
          <w:szCs w:val="16"/>
        </w:rPr>
      </w:pPr>
    </w:p>
    <w:p w14:paraId="046C8F1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3BAFD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96AA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постановление ГКО N 4170сс о производстве Ер-2 на 39 заводе (1749,122). Производство Ил-4 не прекращалось (2391,11).</w:t>
      </w:r>
    </w:p>
    <w:p w14:paraId="7A1BE3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8AA33" w14:textId="77777777" w:rsidR="00CE5AB0" w:rsidRPr="00271E51" w:rsidRDefault="00CE5AB0"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21-го сентября 1943 года Постановлением Государственного Комитета Обороны и последующим приказом НКАП № 570сс от 23-го сентября, бомбардировщик Ер-2 с М-30Б был вновь рекомендован к серийной остройке на заводе № 39 по образцу прошедшему Государственные испытания, но с устранением замечаний, отмеченных в акте НИИ ВВС. При этом заводу № 39 в декабре 1943 года необходимо было сдать по сборке две машины (15223).</w:t>
      </w:r>
    </w:p>
    <w:p w14:paraId="50A6332E" w14:textId="77777777" w:rsidR="00CE5AB0" w:rsidRPr="00271E51" w:rsidRDefault="00CE5AB0" w:rsidP="00271E51">
      <w:pPr>
        <w:shd w:val="clear" w:color="auto" w:fill="FFFFFF"/>
        <w:spacing w:after="0" w:line="240" w:lineRule="auto"/>
        <w:jc w:val="both"/>
        <w:rPr>
          <w:rFonts w:ascii="Times New Roman" w:hAnsi="Times New Roman"/>
          <w:color w:val="000000" w:themeColor="text1"/>
          <w:sz w:val="16"/>
          <w:szCs w:val="16"/>
        </w:rPr>
      </w:pPr>
    </w:p>
    <w:p w14:paraId="13063E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Постановление ГКО № 4170 О поставке серийного производства самолетов Ер-2 с дизельмоторами М-30Б.РГАНИР, Фонд ГКО, д. 152, лл. 155-158 (11012).</w:t>
      </w:r>
    </w:p>
    <w:p w14:paraId="719BAF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8C9BF"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Постановление ГКО № 4170 О поставке серийного производства самолетов Ер-2 с дизельмоторами М-30Б</w:t>
      </w:r>
    </w:p>
    <w:p w14:paraId="58209C7F" w14:textId="77777777" w:rsidR="001B4FA5" w:rsidRPr="00271E51" w:rsidRDefault="001B4FA5"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Государственный Комитет Обороны постановляет:</w:t>
      </w:r>
    </w:p>
    <w:p w14:paraId="76209491" w14:textId="77777777" w:rsidR="001B4FA5" w:rsidRPr="00271E51" w:rsidRDefault="001B4FA5" w:rsidP="00271E51">
      <w:pPr>
        <w:pStyle w:val="36"/>
        <w:shd w:val="clear" w:color="auto" w:fill="auto"/>
        <w:tabs>
          <w:tab w:val="left" w:pos="98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 Обязать Наркомавиапром - т.Шахурина, директора завода № 39 - т.Абрамова и глазного конструктора т.Ермо</w:t>
      </w:r>
      <w:r w:rsidRPr="00271E51">
        <w:rPr>
          <w:rFonts w:ascii="Times New Roman" w:cs="Times New Roman"/>
          <w:color w:val="000000" w:themeColor="text1"/>
          <w:spacing w:val="0"/>
          <w:sz w:val="16"/>
          <w:szCs w:val="16"/>
        </w:rPr>
        <w:softHyphen/>
        <w:t>лаева организовать на заводе 39 (в Иркутске) серийное производство дальних бомбардировщиков Ер-2 с двумя дизельмоторами М-ЗОБ по образцу самолета, прошедшего госу</w:t>
      </w:r>
      <w:r w:rsidRPr="00271E51">
        <w:rPr>
          <w:rFonts w:ascii="Times New Roman" w:cs="Times New Roman"/>
          <w:color w:val="000000" w:themeColor="text1"/>
          <w:spacing w:val="0"/>
          <w:sz w:val="16"/>
          <w:szCs w:val="16"/>
        </w:rPr>
        <w:softHyphen/>
        <w:t>дарственные испытания, согласно акта НИИ ВВС от 23 июня 1943 года со следующими изменениягли:</w:t>
      </w:r>
    </w:p>
    <w:p w14:paraId="5AF0761C" w14:textId="77777777" w:rsidR="001B4FA5" w:rsidRPr="00271E51" w:rsidRDefault="001B4FA5" w:rsidP="00271E51">
      <w:pPr>
        <w:pStyle w:val="36"/>
        <w:shd w:val="clear" w:color="auto" w:fill="auto"/>
        <w:tabs>
          <w:tab w:val="left" w:pos="98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а) новая кабина пилота и штурмана с двумя летчика</w:t>
      </w:r>
      <w:r w:rsidRPr="00271E51">
        <w:rPr>
          <w:rFonts w:ascii="Times New Roman" w:cs="Times New Roman"/>
          <w:color w:val="000000" w:themeColor="text1"/>
          <w:spacing w:val="0"/>
          <w:sz w:val="16"/>
          <w:szCs w:val="16"/>
        </w:rPr>
        <w:softHyphen/>
        <w:t>ми в соответствии с макетом, утвержденным АДЦ протоколом от 3.1Х.1943 года;</w:t>
      </w:r>
    </w:p>
    <w:p w14:paraId="55EFFEB1" w14:textId="77777777" w:rsidR="001B4FA5" w:rsidRPr="00271E51" w:rsidRDefault="001B4FA5" w:rsidP="00271E51">
      <w:pPr>
        <w:pStyle w:val="36"/>
        <w:shd w:val="clear" w:color="auto" w:fill="auto"/>
        <w:tabs>
          <w:tab w:val="left" w:pos="99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 верхняя стрелковая турельная установка с пушкой Швак калибра 20 мм вместо пулемета Березина.</w:t>
      </w:r>
    </w:p>
    <w:p w14:paraId="730AA311" w14:textId="77777777" w:rsidR="001B4FA5" w:rsidRPr="00271E51" w:rsidRDefault="001B4FA5" w:rsidP="00271E51">
      <w:pPr>
        <w:pStyle w:val="36"/>
        <w:shd w:val="clear" w:color="auto" w:fill="auto"/>
        <w:tabs>
          <w:tab w:val="left" w:pos="96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 Установить для самолетов Ер-2 с двумя моторами М-ЗОБ с указанными в пункте первом изменениями следующие летно-технические донные:</w:t>
      </w:r>
    </w:p>
    <w:p w14:paraId="7A1EAA0D" w14:textId="77777777" w:rsidR="001B4FA5" w:rsidRPr="00271E51" w:rsidRDefault="001B4FA5"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lastRenderedPageBreak/>
        <w:t>Максимальная скорость при полетном</w:t>
      </w:r>
    </w:p>
    <w:p w14:paraId="056E9DB3" w14:textId="77777777" w:rsidR="001B4FA5" w:rsidRPr="00271E51" w:rsidRDefault="001B4FA5" w:rsidP="00271E51">
      <w:pPr>
        <w:pStyle w:val="36"/>
        <w:shd w:val="clear" w:color="auto" w:fill="auto"/>
        <w:tabs>
          <w:tab w:val="left" w:pos="480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весе 14200 кг: у земли - 360 км/час</w:t>
      </w:r>
    </w:p>
    <w:p w14:paraId="7FA4A1EF" w14:textId="77777777" w:rsidR="001B4FA5" w:rsidRPr="00271E51" w:rsidRDefault="001B4FA5"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 высоте 6000 мт - 420 км/час</w:t>
      </w:r>
    </w:p>
    <w:p w14:paraId="69E539B8" w14:textId="77777777" w:rsidR="001B4FA5" w:rsidRPr="00271E51" w:rsidRDefault="001B4FA5"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Время под"ема на высоту 5000 мт - 26,6 минуты</w:t>
      </w:r>
    </w:p>
    <w:p w14:paraId="19E43744" w14:textId="77777777" w:rsidR="001B4FA5" w:rsidRPr="00271E51" w:rsidRDefault="001B4FA5" w:rsidP="00271E51">
      <w:pPr>
        <w:pStyle w:val="36"/>
        <w:shd w:val="clear" w:color="auto" w:fill="auto"/>
        <w:tabs>
          <w:tab w:val="left" w:pos="481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Практический потолок - 8300 мт</w:t>
      </w:r>
    </w:p>
    <w:p w14:paraId="6328E300" w14:textId="77777777" w:rsidR="001B4FA5" w:rsidRPr="00271E51" w:rsidRDefault="001B4FA5" w:rsidP="00271E51">
      <w:pPr>
        <w:pStyle w:val="36"/>
        <w:shd w:val="clear" w:color="auto" w:fill="auto"/>
        <w:tabs>
          <w:tab w:val="left" w:pos="481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Максимальная дальность с бомбовой нагрузкой 1000 кг при средней ско</w:t>
      </w:r>
      <w:r w:rsidRPr="00271E51">
        <w:rPr>
          <w:rFonts w:ascii="Times New Roman" w:cs="Times New Roman"/>
          <w:color w:val="000000" w:themeColor="text1"/>
          <w:spacing w:val="0"/>
          <w:sz w:val="16"/>
          <w:szCs w:val="16"/>
        </w:rPr>
        <w:softHyphen/>
        <w:t>рости 336 км/ча</w:t>
      </w:r>
      <w:r w:rsidRPr="00271E51">
        <w:rPr>
          <w:rStyle w:val="TrebuchetMS9pt0pt"/>
          <w:rFonts w:ascii="Times New Roman" w:hAnsi="Times New Roman" w:cs="Times New Roman"/>
          <w:color w:val="000000" w:themeColor="text1"/>
          <w:spacing w:val="0"/>
          <w:sz w:val="16"/>
          <w:szCs w:val="16"/>
        </w:rPr>
        <w:t>с на высоте</w:t>
      </w:r>
      <w:r w:rsidRPr="00271E51">
        <w:rPr>
          <w:rFonts w:ascii="Times New Roman" w:cs="Times New Roman"/>
          <w:color w:val="000000" w:themeColor="text1"/>
          <w:spacing w:val="0"/>
          <w:sz w:val="16"/>
          <w:szCs w:val="16"/>
        </w:rPr>
        <w:t xml:space="preserve"> 4000 мт при полетном весе 17650 кг - 5000 км</w:t>
      </w:r>
    </w:p>
    <w:p w14:paraId="329952CA"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 нагрузкой в 2 тонны - 4000 км</w:t>
      </w:r>
    </w:p>
    <w:p w14:paraId="3F09D66A"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 нагрузкой</w:t>
      </w:r>
    </w:p>
    <w:p w14:paraId="777381D6" w14:textId="77777777" w:rsidR="001B4FA5" w:rsidRPr="00271E51" w:rsidRDefault="001B4FA5" w:rsidP="00271E51">
      <w:pPr>
        <w:tabs>
          <w:tab w:val="left" w:pos="450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3 тонны - 3000 км</w:t>
      </w:r>
    </w:p>
    <w:p w14:paraId="2548ED13"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 нагрузкой в 4 тонны</w:t>
      </w:r>
      <w:r w:rsidRPr="00271E51">
        <w:rPr>
          <w:rFonts w:ascii="Times New Roman" w:hAnsi="Times New Roman"/>
          <w:color w:val="000000" w:themeColor="text1"/>
          <w:sz w:val="16"/>
          <w:szCs w:val="16"/>
        </w:rPr>
        <w:tab/>
        <w:t>- 2000 км</w:t>
      </w:r>
    </w:p>
    <w:p w14:paraId="79BBAEF7"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бомбовая нагрузка - 5000 кг из них:</w:t>
      </w:r>
    </w:p>
    <w:p w14:paraId="30343B5C" w14:textId="77777777" w:rsidR="001B4FA5" w:rsidRPr="00271E51" w:rsidRDefault="001B4FA5" w:rsidP="00271E51">
      <w:pPr>
        <w:tabs>
          <w:tab w:val="left" w:pos="452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внутри фюзеляка - 2000 кг</w:t>
      </w:r>
    </w:p>
    <w:p w14:paraId="5ED5F530"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 500 кг, или 8 по 250 кг.или 20 по 100 кг)</w:t>
      </w:r>
    </w:p>
    <w:p w14:paraId="512C1830"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снаружи 3 бомбы по 1000 кг или 2 бомбы по 2000 кг.</w:t>
      </w:r>
    </w:p>
    <w:p w14:paraId="23A8DCE7"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202F603D"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 - носовая установка с 1 пулеметом Березина калибра 12,7</w:t>
      </w:r>
      <w:r w:rsidRPr="00271E51">
        <w:rPr>
          <w:rStyle w:val="Garamond12pt"/>
          <w:rFonts w:ascii="Times New Roman" w:hAnsi="Times New Roman" w:cs="Times New Roman"/>
          <w:color w:val="000000" w:themeColor="text1"/>
          <w:sz w:val="16"/>
          <w:szCs w:val="16"/>
        </w:rPr>
        <w:t xml:space="preserve"> мм-</w:t>
      </w:r>
      <w:r w:rsidRPr="00271E51">
        <w:rPr>
          <w:rFonts w:ascii="Times New Roman" w:hAnsi="Times New Roman"/>
          <w:color w:val="000000" w:themeColor="text1"/>
          <w:sz w:val="16"/>
          <w:szCs w:val="16"/>
        </w:rPr>
        <w:t xml:space="preserve"> с боезапасом 185 патрон</w:t>
      </w:r>
    </w:p>
    <w:p w14:paraId="548BC13A"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вниз - 1 пулемет Березина калибра 12,7 мм на люковой установке с боезапасом 250 патрон</w:t>
      </w:r>
    </w:p>
    <w:p w14:paraId="1080A956"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вверх - турельная установка с 1 пушкой Швак калибра 20 мм с боезапасом 200 снарядов.</w:t>
      </w:r>
    </w:p>
    <w:p w14:paraId="32ED04DC" w14:textId="77777777" w:rsidR="001B4FA5" w:rsidRPr="00271E51" w:rsidRDefault="001B4FA5" w:rsidP="00271E51">
      <w:pPr>
        <w:tabs>
          <w:tab w:val="left" w:pos="95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Установить программу выпуска самолетов Ер-2 на заводе № 39: в декабре 1943 года - 2 самолета, в январе 1944 года - 5 самолетов, в феврале 1944 года - 10 самолетов, в марте 1944 года - 25 самолетов и в мае 1944 года обеспечить выпуск двух самолетов в сутки.</w:t>
      </w:r>
    </w:p>
    <w:p w14:paraId="49E043BD"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самолетов Ил-4 ограничить в октябре до 50 самолетов, в ноябре до 40 самолетов, в декабре до 30 само</w:t>
      </w:r>
      <w:r w:rsidRPr="00271E51">
        <w:rPr>
          <w:rFonts w:ascii="Times New Roman" w:hAnsi="Times New Roman"/>
          <w:color w:val="000000" w:themeColor="text1"/>
          <w:sz w:val="16"/>
          <w:szCs w:val="16"/>
        </w:rPr>
        <w:softHyphen/>
        <w:t>летов, а в дальнейшем выпуск самолетов Ил-4 на заводе № 39 вести без ущерба для разворота производства самолета Ер-2.</w:t>
      </w:r>
    </w:p>
    <w:p w14:paraId="3B937F01" w14:textId="77777777" w:rsidR="001B4FA5" w:rsidRPr="00271E51" w:rsidRDefault="001B4FA5" w:rsidP="00271E51">
      <w:pPr>
        <w:tabs>
          <w:tab w:val="left" w:pos="93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директора завода № 39 т.Абрамова прекратить все работы по самолету Ил-6.</w:t>
      </w:r>
    </w:p>
    <w:p w14:paraId="247C1EEF" w14:textId="77777777" w:rsidR="001B4FA5" w:rsidRPr="00271E51" w:rsidRDefault="001B4FA5" w:rsidP="00271E51">
      <w:pPr>
        <w:tabs>
          <w:tab w:val="left" w:pos="97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главного конструктора т.Ермолэева:</w:t>
      </w:r>
    </w:p>
    <w:p w14:paraId="48BB7AEF"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передать чертежи, спецификацию к техническую до</w:t>
      </w:r>
      <w:r w:rsidRPr="00271E51">
        <w:rPr>
          <w:rFonts w:ascii="Times New Roman" w:hAnsi="Times New Roman"/>
          <w:color w:val="000000" w:themeColor="text1"/>
          <w:sz w:val="16"/>
          <w:szCs w:val="16"/>
        </w:rPr>
        <w:softHyphen/>
        <w:t>кументацию по самолету Ер-2 заведу № 39 к 25 сентября 1943 года</w:t>
      </w:r>
    </w:p>
    <w:p w14:paraId="5B6800EF" w14:textId="77777777" w:rsidR="001B4FA5" w:rsidRPr="00271E51" w:rsidRDefault="001B4FA5" w:rsidP="00271E51">
      <w:pPr>
        <w:tabs>
          <w:tab w:val="left" w:pos="97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командировать не позже 1 октября 1943 года на завод № </w:t>
      </w:r>
      <w:r w:rsidRPr="00271E51">
        <w:rPr>
          <w:rStyle w:val="2pt0"/>
          <w:rFonts w:ascii="Times New Roman" w:hAnsi="Times New Roman" w:cs="Times New Roman"/>
          <w:color w:val="000000" w:themeColor="text1"/>
          <w:spacing w:val="0"/>
          <w:sz w:val="16"/>
          <w:szCs w:val="16"/>
        </w:rPr>
        <w:t>39-70</w:t>
      </w:r>
      <w:r w:rsidRPr="00271E51">
        <w:rPr>
          <w:rFonts w:ascii="Times New Roman" w:hAnsi="Times New Roman"/>
          <w:color w:val="000000" w:themeColor="text1"/>
          <w:sz w:val="16"/>
          <w:szCs w:val="16"/>
        </w:rPr>
        <w:t xml:space="preserve"> человек конструкторов и ИТР на срок до полного освоения в серийном производстве самолетов Ер-2;</w:t>
      </w:r>
    </w:p>
    <w:p w14:paraId="3FF8B00F" w14:textId="77777777" w:rsidR="001B4FA5" w:rsidRPr="00271E51" w:rsidRDefault="001B4FA5"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обеспечить техническую помощь в освоении заводом № 39 производства самолетов Ер-2 и контроле за соответ</w:t>
      </w:r>
      <w:r w:rsidRPr="00271E51">
        <w:rPr>
          <w:rFonts w:ascii="Times New Roman" w:hAnsi="Times New Roman"/>
          <w:color w:val="000000" w:themeColor="text1"/>
          <w:sz w:val="16"/>
          <w:szCs w:val="16"/>
        </w:rPr>
        <w:softHyphen/>
        <w:t>ствием выпускаемых заводом самолетов эталону, прошедшему испытания, и чертежам.</w:t>
      </w:r>
    </w:p>
    <w:p w14:paraId="4287041E"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Наркомчермет - т.Тевосяна организовать к 15 октября 1943 г. производство хромансилевых толстостенных труб для самолета Ер-2 по спецификации, техническим условиям и заявкам НКАП.</w:t>
      </w:r>
    </w:p>
    <w:p w14:paraId="50B5D67A"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Госплан СССР - т.Вознесенского выделить для изготовления оснастки целевым назначением в октябре месяце 1943 годэ 600 тонн сортового металла заводу № 39 по его спецификации, а Нвркомчермет - т.Тевосяна отгрузить 600 тонн сортового металла заводу № 39 не позднее октября месяца 1943 годэ.</w:t>
      </w:r>
    </w:p>
    <w:p w14:paraId="6AF1EF84" w14:textId="77777777" w:rsidR="001B4FA5" w:rsidRPr="00271E51" w:rsidRDefault="001B4FA5" w:rsidP="00271E51">
      <w:pPr>
        <w:tabs>
          <w:tab w:val="left" w:pos="96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Наркомсредмаш - т.Акопове принять заказ от Наркомавиапрома на 14 наименований авиаштамповок для самолетов ЕР-2 с поставкой заводу № 39 первых 50 комплектов к 1 декабря 1943 года.</w:t>
      </w:r>
    </w:p>
    <w:p w14:paraId="5E7E9C0E" w14:textId="77777777" w:rsidR="001B4FA5" w:rsidRPr="00271E51" w:rsidRDefault="001B4FA5" w:rsidP="00271E51">
      <w:pPr>
        <w:tabs>
          <w:tab w:val="left" w:pos="97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Наркомрезинпром - т.Митрохина к 1-му декабря 1943 года организовать серийный выпуск покрышек и камер для авиаколес размера 1325 х 485 мм по техническим услозиям и в количествах, согласно заявки НКАП.</w:t>
      </w:r>
    </w:p>
    <w:p w14:paraId="3A359DBA" w14:textId="77777777" w:rsidR="001B4FA5" w:rsidRPr="00271E51" w:rsidRDefault="001B4FA5" w:rsidP="00271E51">
      <w:pPr>
        <w:tabs>
          <w:tab w:val="left" w:pos="109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Наркомфин СССР выделить из резервного фонда СНК СССР:</w:t>
      </w:r>
    </w:p>
    <w:p w14:paraId="35F0BDD7" w14:textId="77777777" w:rsidR="001B4FA5" w:rsidRPr="00271E51" w:rsidRDefault="001B4FA5"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заводу № 39 на постановку производства самолета Ер-2 пять миллионов рублей;</w:t>
      </w:r>
    </w:p>
    <w:p w14:paraId="6FAFAFB4" w14:textId="77777777" w:rsidR="001B4FA5" w:rsidRPr="00271E51" w:rsidRDefault="001B4FA5" w:rsidP="00271E51">
      <w:pPr>
        <w:tabs>
          <w:tab w:val="left" w:pos="95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распоряжение главного конструктора т.Ермолаева 250 тыс.рублей для премирования работников конструкторского бюро и опытного завода, участвовавших в проектировании, постройке и испытании самолета Ер-2 2М-30Б.</w:t>
      </w:r>
    </w:p>
    <w:p w14:paraId="41F47AFC"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Обязать Наркомавиапром к главного конструктора т.Ермолаева пред"явить АДД на государственные испытания самолет Ер-2 с турельной установкой, с пушкой Волкова- Ярцева калибром 23 мм к 1 декабря 1943 года (19422).</w:t>
      </w:r>
    </w:p>
    <w:p w14:paraId="5B1EF348" w14:textId="77777777" w:rsidR="001B4FA5" w:rsidRPr="00271E51" w:rsidRDefault="001B4FA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7F3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г. по решению ГКО от Ер-2 с М-30Б запустили в серию на заводе № 39 по образцу, прошедшему госиспытания, но с устранением отмеченных в нем дефектов и замечаний по макету, утвержденному командующим АДД 3 сентября (11994).</w:t>
      </w:r>
    </w:p>
    <w:p w14:paraId="28051A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68B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г. постановление ГКО предписывало развернуть серийное строительство Ер-2 на заводе N° 39 в Иркутске, не снимая с него программы выпуска бомбардировщиков Ил-4.</w:t>
      </w:r>
    </w:p>
    <w:p w14:paraId="357252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выборе сказался тот факт, что ОКБ-240 еще в конце 1941 г. было эвакуировано на берега Ангары во главе с В.Г. Ермолаевым. Часть персонала завода № 240 оказалась, в соответствии с приказом НКАП N" 1050сс от 8 октября 1941 г., в Казани, где ее вл ил и в состав за вода № 124 для проведе - ния работ по ремонту самолетов Ер-2 и помощи казанцам в их собственных планах. Из-за невозможности размещения в Казани всех сотрудников завода № 240, доводка Ер-2 была организована в Свердловске, куда эвакуировали в свое время НИИ ВВС.</w:t>
      </w:r>
    </w:p>
    <w:p w14:paraId="7DDBDE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1941 г. часть оборудования и материалов завода № 240 передали в состав вновь образованного в Москве завода № 30. Фактически базой для возобновления выпуска Ер-2 мог стать только Иркутск, поскольку здесь работал главный конструктор самолета и его ближайшие помощники. Кроме того, высокая мобильность иркутских авиастроителей была хорошо известна в Наркомате, а выросший производственный потенциал позволял строить эту сложную машину.</w:t>
      </w:r>
    </w:p>
    <w:p w14:paraId="76FEE0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Ил-4, самолет Ер-2 имел довольно сложную конструкцию. Цельнометаллический фюзеляж типа монокок делился на четыре части: носовая часть (с 1 по 8 шпангоут), среднюю (с 8 но 15 шпангоут), хвоетовую(с 15 по 37 шпангоут) и хвостовой обтекатель.</w:t>
      </w:r>
    </w:p>
    <w:p w14:paraId="2B087D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носовой части фюзеляжа находилась кабины летчика и штурмана. На кольце 1-го шпангоута фюзеляжа монтировалась носовая стрелковая установка.</w:t>
      </w:r>
    </w:p>
    <w:p w14:paraId="7FC767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8-м и 10-м шпангоутами были установлены четыре бензобака, из которых два подвешивались в верхней части фюзеляжа, а два крепились к специальным лекалам на правом и левом бортах. Бомбовый отсек находился между 10-ми 15-м шпангоутами фюзеляжа. Люк разделялся центральной балкой на правую и левую половины. Над бомбовым отсеком, в верхней части фюзеляжа, подвешивались два бензобака.</w:t>
      </w:r>
    </w:p>
    <w:p w14:paraId="1FCBD2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хвостовой части фюзеляжа помешался стрелок-радист. Его сиденье располагалось палевом борту, между 15-м и 16-м шпангоутами фюзеляжа. На правом борту стояла радиостанция.</w:t>
      </w:r>
    </w:p>
    <w:p w14:paraId="695741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Каркас фюзеляжа состоял из сорока шпангоутов и 36 неразрезных стрингеров. Кроме стрингеров, вдоль фюзеляжа проходили четыре лонжерона: два - внизу между 8-м и 24-м шпангоутами, а еще два - по бортам фюзеляжа между 10-ми 27-м шпангоутами.</w:t>
      </w:r>
    </w:p>
    <w:p w14:paraId="538641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Шпангоуты (за исключением 1-го, 10-го и 15-го), лонжероны и стрингеры выполнялись из дюралевых профилей различного сечения.</w:t>
      </w:r>
    </w:p>
    <w:p w14:paraId="60946E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Силовые шпангоуты № 10 и № 15, к узлам которых крепилось крыло, по конструкции были однотипны, их рамы сваривались из стальных хромансилсвых труб сечением 80x72 мм и 75x72 мм и подвергались после сварки термической обработке.</w:t>
      </w:r>
    </w:p>
    <w:p w14:paraId="3955E2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Шпангоут № 15 зашивался дюралевой стенкой, в середине которой был вырез для прохода внутри фюзеляжа.</w:t>
      </w:r>
    </w:p>
    <w:p w14:paraId="2EE67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Усиленные контурные шпангоуты выполнялись из двух дюралевых швеллеров, соединенных между собой лентой.</w:t>
      </w:r>
    </w:p>
    <w:p w14:paraId="59EB94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Шпангоуты 33, 35 и 37 изготавливались из набора прессованных профилей, соединенных дюралевой стенкой. Контурные шпангоуты по конструкции были аналогичны усиленным.</w:t>
      </w:r>
    </w:p>
    <w:p w14:paraId="3D9EA0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указанных трех типов шпангоутов, соединенных с обшивкой фюзеляжа непосредственно своим ободом, шпангоуты неконтурные соединялись со стрингерами, приклепанными к обшивке, с помощью дюралевых уголков.</w:t>
      </w:r>
    </w:p>
    <w:p w14:paraId="098A2C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Каркас верхней половины носовой части фюзеляжа между шпангоутами 1 -4 был сварен из стальных труб и прикреплен болтами</w:t>
      </w:r>
    </w:p>
    <w:p w14:paraId="14D87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ободу.</w:t>
      </w:r>
    </w:p>
    <w:p w14:paraId="4FBE78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Образованный сварным каркасом фонарь штурмана остеклялся плексигласом. Плексиглас укреплялся винтами между наружной дюралевой окантовкой и специальными прижимами, одетыми на стержни каркаса фонаря. С целью создания гладкой поверхности фонаря - стекла по контуру были отфрезерованы на толщину окантовки.</w:t>
      </w:r>
    </w:p>
    <w:p w14:paraId="59242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 как крышка люка и нижний отсек носовой части фюзеляжа застеклялись, то при стрельбе из носовой установки люки, нижние окна закрывались специальным </w:t>
      </w:r>
      <w:r w:rsidRPr="00271E51">
        <w:rPr>
          <w:rFonts w:ascii="Times New Roman" w:hAnsi="Times New Roman"/>
          <w:color w:val="000000" w:themeColor="text1"/>
          <w:sz w:val="16"/>
          <w:szCs w:val="16"/>
        </w:rPr>
        <w:lastRenderedPageBreak/>
        <w:t>деревянным настилом с матрасом.</w:t>
      </w:r>
    </w:p>
    <w:p w14:paraId="5B25DD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Бомбовый отсек фюзеляжа имел каркас, набранный из усиленных шпангоутов и стрингеров. Центральный люк, занимающий нижнюю часть отсека, окантовывался по бортам дюралевыми профилями и разделялся на две половины мостом, соединяющим понизу 10-й и 15-й шпангоуты. Мост был склепан из трех дюралевых лонжеронов П-образного сечения, соединенных диафрагмами, и обшивался дюралем.</w:t>
      </w:r>
    </w:p>
    <w:p w14:paraId="56A0F6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Фюзеляж Ер-2 обшивался дюралевыми листами толщиной 1 мм. На участке между шпангоутами 14-21 и стрингерами 10-16 толщина листов обшивки равнялась 1,2 мм. Между шпангоутами 14-17 и стрингерами 10-14 сверху основной обшивки накладывались усиливающие дюралевые листы толщиной 1,5 мм. Вся обшивка фюзеляжа проклепана впотай.</w:t>
      </w:r>
    </w:p>
    <w:p w14:paraId="782B0E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Нижний задний люк фюзеляжа предназначался для входа и выхода экипажа из самолета, а также для установки в рабочее положение люковой стрелковой установки ЛУ-МВ и ведения огня из нее. В верхнем хвостовом люке фюзеляжа монтировалась средняя стрелковая установка, турель которой устанавливалась на окаймляющее кольцо.</w:t>
      </w:r>
    </w:p>
    <w:p w14:paraId="26D4F7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1942-1945 гг. бомбардировщики Ер-2 оснащалисьтурельными установками ТУМ-5 и ТУМ-5М с одиночными 20-мм пушками LLIBAK. Турель устанавливалась сверху в хвостовой части фюзеляжа. Наведение пушки на цель производилось вручную. Углы наведения по вертикали лежали в диапазоне углов от -30° до +70°, а в горизонтальной плоскости турель вращалась вкруговую. Пушечная установка ТУМ-5 имела прицел К-8Т и боекомплект в 200 снарядов. Ее в снаряженном состоянии достигала 185 кг.</w:t>
      </w:r>
    </w:p>
    <w:p w14:paraId="5316F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конструкции Ер-2 был заметно сложнее Ил-4 и требовал большего объема сварочных работ. Технологическая подготовка производства к выпуску этого дальнего бомбардировщика происходила в Иркутске на базе внедрения поточных методов изготовления деталей и сборки агрегатов. В то внедрение поточных методов являлось единственным средством наращивания выпуска самолетов, поскольку все мощности работали на пределе. Перспективное организационно-техническое мероприятие находилось под пристальным контролем Наркомата, и, как всегда, в светлое будущее загоняли путем немилосердных взысканий. Каждый директор отчитывался о количестве внедренных поточных линий, и оплошавший или отставший подвергался безжалостной критике.</w:t>
      </w:r>
    </w:p>
    <w:p w14:paraId="3269F8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Иркутск не был в этом плане исключением, хотя за за период последних месяцев 1943 г. и всего 1944 г. на заводе было внедрено 19 поточных линий, а за первую половину 1945 г. до момента снятия с производства Ер-2 дополнительно внедрили еще десять, доведя их число за весь период изготовления самолета этого типа до 29. Шесть из них были механизированы.</w:t>
      </w:r>
    </w:p>
    <w:p w14:paraId="265DCC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Удельный вес трудоемкости работ, переведенных на поток, составлял 9,4% от общей трудоемкости работ на единицу изделия. Трудоемкость деталей, переведенных на поток, сократилась на 33, 2%, путь прохождения деталей сократился на 65,5%. Количество производственных рабочих на работах, переведенных на заводе № 39 на поток сократилось на 22,7%.</w:t>
      </w:r>
    </w:p>
    <w:p w14:paraId="777E63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тому, что значительная часть работников ОКБ-240 переехала в Иркутск и работала в тесном сотрудничестве с заводскими конструкторами, удалось достаточно быстро создать самолет-эталон для серии. Но производственники оказались в тяжелой ситуации. Нужно было, не прекращая параллельного выпуска Ил-4, поставить на поток новый, технологически более сложный самолет. Ведь только для внедрения сварочного производства, обеспечивающего конструктивно-технические требования, пришлось изменить структуру завода (12037).</w:t>
      </w:r>
    </w:p>
    <w:p w14:paraId="46B6F4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596DA" w14:textId="77777777" w:rsidR="00DB2929" w:rsidRPr="00271E51" w:rsidRDefault="00DB292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shd w:val="clear" w:color="auto" w:fill="FFFFFF"/>
        </w:rPr>
        <w:t>С 21 сентября 1943 "Аэрофлот" возобновил регулярное движение на ряде воздушных линий. Ю-52 работали на трассах Свердловск- Красноярск и Куйбышев - Ташкент - Алма-Ата (21550).</w:t>
      </w:r>
    </w:p>
    <w:p w14:paraId="7BD8FCA9" w14:textId="77777777" w:rsidR="00DB2929" w:rsidRPr="00271E51" w:rsidRDefault="00DB2929" w:rsidP="00271E51">
      <w:pPr>
        <w:spacing w:after="0" w:line="240" w:lineRule="auto"/>
        <w:jc w:val="both"/>
        <w:rPr>
          <w:rFonts w:ascii="Times New Roman" w:hAnsi="Times New Roman"/>
          <w:color w:val="0070C0"/>
          <w:sz w:val="16"/>
          <w:szCs w:val="16"/>
        </w:rPr>
      </w:pPr>
    </w:p>
    <w:p w14:paraId="73DEF1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закончилось боевое патрулирование двух КОР-2 (Бе-4) №№ 28811 и 28812, которые в конце июля 1943 решили использовать в районе о Диксон в связи с появлением немецких кораблей и 11 ноября 1943 получили опозновательные знаки УПА СССР-Н330 (л В.В.Мальков) и СССР-Н331 (л М.В.Тейман). Машины выполнили 12 боевых вылетов. Н330 налетал 35:15 и Н331 31:20. Летали с ПЛАБ-100. Боестолкновений - не было. Вылетели из Красноярска 2 августа и отбыли в Красноярск - 21 сентября (9079).</w:t>
      </w:r>
    </w:p>
    <w:p w14:paraId="4AE782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516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зам. НКАП Воронин писал письмо N Н-30/3814 Нач. ЛИИ НКАП:</w:t>
      </w:r>
    </w:p>
    <w:p w14:paraId="5CDF79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определения ЛХ 12-14 местного планера А-7М (модернизированного), прошу срочно произвести испытания представленного Вам заводом 499 планера А-7М и дать заключение." (1783,115).</w:t>
      </w:r>
    </w:p>
    <w:p w14:paraId="04350D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806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21 сентября по 10 октября 1943 л А.Г.Прошаков и и Г.А.Седов проводили гос. испытания Як-9Р с АФА-ИМ N 05-017, сделанном на 166 заводе в Омске и собранном на 301 заводе в Москве (65,128).</w:t>
      </w:r>
    </w:p>
    <w:p w14:paraId="203197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B24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Распоряжение ГКО № 4169. О мерах по строительству цеха сборки ФАБ-100 на заводе № 48 HКБ.РГАНИР, Фонд ГКО, д. 152, лл. 153, 154 (11012).</w:t>
      </w:r>
    </w:p>
    <w:p w14:paraId="7441E3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F1F86" w14:textId="77777777" w:rsidR="00892107" w:rsidRPr="00271E51" w:rsidRDefault="00892107"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С 21 сентября 1943 года «Аэрофлот» возобновил регулярное движение на ряде воздушных линий. Ю-52 работали на трассах Свердловск – Красноярск и Куйбышев – Ташкент – Алма-Ата.</w:t>
      </w:r>
    </w:p>
    <w:p w14:paraId="25291772"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К зиме «юнкерсы» поставили на лыжи. Лыжи были разные: и от Ли-2 (их ставила база №405), и от ТБ-1, и специальные. Последние разработали в НИИ ГВФ. Впервые их смонтировали на самолёте Л-23 в октябре 1943 года (19686).</w:t>
      </w:r>
    </w:p>
    <w:p w14:paraId="347539FF"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103EAD5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F8D14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D7A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21 сентября по 23 октября 1943 на ИС (объект 237) поставили 122-мм пушку Д-25 и 31 октября 1943 машину приняли на вооружение (3093,32).</w:t>
      </w:r>
    </w:p>
    <w:p w14:paraId="073F85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8B8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г. на обоих образцах танков ИС был произведен демонтаж КП, ПМП и кулисы с це</w:t>
      </w:r>
      <w:r w:rsidRPr="00271E51">
        <w:rPr>
          <w:rFonts w:ascii="Times New Roman" w:hAnsi="Times New Roman"/>
          <w:color w:val="000000" w:themeColor="text1"/>
          <w:sz w:val="16"/>
          <w:szCs w:val="16"/>
        </w:rPr>
        <w:softHyphen/>
        <w:t>лью устранения замечаний комиссии. Дополнительно на танке ИС № 2 была демонтирована 85-мм пушка С-31 для установки в него 122-мм пушки Д-25. Танковая 122-мм пушка Д-25 была спроектирована и скомпонована в башне танка "Объект 237" в инициативном порядке совместными уси</w:t>
      </w:r>
      <w:r w:rsidRPr="00271E51">
        <w:rPr>
          <w:rFonts w:ascii="Times New Roman" w:hAnsi="Times New Roman"/>
          <w:color w:val="000000" w:themeColor="text1"/>
          <w:sz w:val="16"/>
          <w:szCs w:val="16"/>
        </w:rPr>
        <w:softHyphen/>
        <w:t>лиями КБ завода № 9 и опытного завода № 100 НКТП (10703).</w:t>
      </w:r>
    </w:p>
    <w:p w14:paraId="22CFF6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C93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создана ЦНИЛ стекловолокна, в будущем ВНИИСПВ (стеклопластика и волокна). Разработка материалов и технологий для изготовления радиопрозрачных обтекателей ракет. Принимал участие в программе создания ОК «Буран».</w:t>
      </w:r>
    </w:p>
    <w:p w14:paraId="71E825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(1960-е)- Г.А. Дмитренко, С.А. Куманькова, В.В. Скворцов, Л.Е. Курилова, И.В. Пугачева, Г.А. Оськин, Е.С. Панов, В.С. Зименков, В.В. Павлов, В.Н. Поташова, В.Н. Булгаков, Р.В. Райков, Н.В. Кожухова.</w:t>
      </w:r>
    </w:p>
    <w:p w14:paraId="71F689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Б.И. Баскаков.</w:t>
      </w:r>
    </w:p>
    <w:p w14:paraId="1A1886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Рувинов.</w:t>
      </w:r>
    </w:p>
    <w:p w14:paraId="39DB84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В.В. Улыбышев.</w:t>
      </w:r>
    </w:p>
    <w:p w14:paraId="3569A7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НПО «Стеклопластик»</w:t>
      </w:r>
    </w:p>
    <w:p w14:paraId="314909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Н.Н. Трофимов.</w:t>
      </w:r>
    </w:p>
    <w:p w14:paraId="5A0F3A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Н.В. Доброскокин, А.П. Бабуров.</w:t>
      </w:r>
    </w:p>
    <w:p w14:paraId="153EFD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ВНИИСПВ (стеклопластика и волокна)</w:t>
      </w:r>
    </w:p>
    <w:p w14:paraId="2C8FA0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141551 г. Крюково Московской обл. (10776).</w:t>
      </w:r>
    </w:p>
    <w:p w14:paraId="1D0714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A216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21-27 сентября 1943 г. из СПРАВКИ О СОСТОЯНИИ ЖИЛИЩНО-БЫТОВЫХ УСЛОВИЙ МОЛОДЕЖИ НА ЗАВОДЕ № 69 ПО РЕЗУЛЬТАТАМ ОБСЛЕДОВАНИЯ ЧЛЕНОМ ПРЕЗИДИУМА ОБКОМА СОЮЗА С.Н. ГУЩИНЫМ</w:t>
      </w:r>
    </w:p>
    <w:p w14:paraId="3AFF3F1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заводу Х° 69 имеется пять общежитий.</w:t>
      </w:r>
    </w:p>
    <w:p w14:paraId="6D24E9D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Общежитие молодежи - Сухарная улица, дом 142 г. Общежитие помещается в получердачном помещении барака - одна комната, в которой проживает 35 человек. Барак к зиме подготовлен, произведен ремонт крыши, вставлены стекла, исправлены печи и произведена побелка. Общежитие оборудовано железными кроватями с постельными принадлежностями, табуретками, имеется радио. Подготавливается помещение для открытия красного уголка. Общежитие смешанное - Трухановская роща. Общежитие барачного типа, комнатной системы, в которых проживают 80 человек, барак к зиме подготовлен, произведено остекление, отремонтированы печи, </w:t>
      </w:r>
      <w:r w:rsidRPr="00271E51">
        <w:rPr>
          <w:rFonts w:ascii="Times New Roman" w:hAnsi="Times New Roman"/>
          <w:color w:val="000000" w:themeColor="text1"/>
          <w:sz w:val="16"/>
          <w:szCs w:val="16"/>
        </w:rPr>
        <w:lastRenderedPageBreak/>
        <w:t>двери, произведено земляное утепление. В общежитии установлен куб для кипячения воды. В каждой комнате имеются бачки с кипяченой водой, имеется камера хранения, красный уголок. Производится регулярное посещение бани и смена белья один раз в декаду. Общежитие охраны завода. Общежитие помещается в новых домах, в котором проживает 200 человек, помещение к зиме подготовлено, инвентарем и вспомогательным инвентарем обеспечено. Общежитие пожарной охраны. В общежитии проживает 50 человек, помещение к зиме подготовлено, инвентарем обеспечено. Общежитие молодежи ремесленного училища. Общежитие помещается в аэропорту в деревянном доме, в 4 комнатах, в которых проживает 50 человек. Помещение новое, к зиме подготовлено, кроме этого приготовляется помещение в домах для молодежи РУ на 100 человек. Помещения общежитий завода № 69 в основном к зиме подготовлены. Необходимо общежития пополнить жестким инвентарем, как-то: табуретками, столами. Ускорить открытие красных уголков, которые обеспечить газетами, настольными играми и т.д. По заявлению председателя завкома и ЖКО - общежития топливом будут обеспечены.</w:t>
      </w:r>
    </w:p>
    <w:p w14:paraId="3C2BC0B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 президиума обкома союза Гущин</w:t>
      </w:r>
    </w:p>
    <w:p w14:paraId="758BE2D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ГЛНО. Ф. П-4. Оп. 7. Д. 531. Л. 71. Подлинник.</w:t>
      </w:r>
    </w:p>
    <w:p w14:paraId="128A808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 Гущина машинописью, за него подпись-росчерк зам. председателя обкома союза (12193).</w:t>
      </w:r>
    </w:p>
    <w:p w14:paraId="6672029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ED9B67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Распоряжение ГКО № 4167 [О выделении Сталинградскому облисполкому имущества с трофейных складов.] (7140, 144,145).</w:t>
      </w:r>
    </w:p>
    <w:p w14:paraId="4138DC4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65C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Постановление ГКО № 4168 О восстановлении Ново-Краматорского завода имени Сталина и Старо-Краматорского завода имени Орджоникидзе в Донбассе.РГАНИР, Фонд ГКО, д. 152, лл. 146-152 (11012).</w:t>
      </w:r>
    </w:p>
    <w:p w14:paraId="1B056D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3614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вышло Постановление ГКО № 4171 О мерах неотложной помощи строительству Челябинского металлургического завода, осуществляемому НКВД СССР. (7140, 159-169,170-182).</w:t>
      </w:r>
    </w:p>
    <w:p w14:paraId="45F7147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D809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г. приказом Наркомата легкой промышленности СССР была создана Центральная научно-исследовательская лаборатория стеклянного волокна (ЦНИЛ). Приказом Министерства легкой промышленности СССР от 20 июня 1946 г. на базе лаборатории создан ВНИИСВ.</w:t>
      </w:r>
    </w:p>
    <w:p w14:paraId="24EC3E95" w14:textId="77777777" w:rsidR="00CE5AB0" w:rsidRPr="00271E51" w:rsidRDefault="00CE5AB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298F0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360E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F067F"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в 1943 году оперативная сводка Совинформбюро:</w:t>
      </w:r>
    </w:p>
    <w:p w14:paraId="75090B7A"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войска Центрального фронта, успешно форсировав реку Десна, после трёхдневных ожесточённых боёв овладели областным центром Украины — городом Чернигов.</w:t>
      </w:r>
    </w:p>
    <w:p w14:paraId="770A4340"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продолжали наступление и, продвинувшись вперёд от 10 до15 километров, заняли узлы обороны противника районный центр Варениковская и крупные населённые пункты Курчанская, Натухаевская, Раевская.</w:t>
      </w:r>
    </w:p>
    <w:p w14:paraId="5FC2D8DF"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продолжали наступление и, продвинувшись на отдельных участках вперёд от 5 до 15 километров, заняли более 70 населённых пунктов, среди которых крупные населённые пункты Максимовка, Ново-Миргородка, Михайлово-Лукашёво, Куприяновка, Ворошиловка, Молочанск, Астраханка, Ново-Филипповка, Мордвиновка (5 километров южнее Мелитополя), Надеждино, Тирсовка, Дунаевка, Александровка, Степановка.</w:t>
      </w:r>
    </w:p>
    <w:p w14:paraId="5106CF22"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развивать успешное наступление и, продвинувшись вперёд от 10 до 15 километров, овладели городом и крупным железнодорожным узлом Синельниково, районными центрами Днепропетровской области Котовка и Перещепино, а также заняли свыше 80 других населённых пунктов, среди которых крупные населённые пункты Колпаковка, Лычково, Виноградовка, Ново-Петровка, Герасимовка, Ново-Степановка, Ивано-Михайловка, Хощеватка, Знаменка, Дерезоватка, Хорошево, Средне-Раевка, Весёлая, Цыгановка, Августиновка и железнодорожные станции Бузовка, Перещепино, Мизково, Домаха, Зайцево.</w:t>
      </w:r>
    </w:p>
    <w:p w14:paraId="0D452951"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наши войска продолжали развивать успешное наступление и, продвинувшись вперёд от 10 до 25 километров, заняли свыше 250 населённых пунктов, в том числе районные центры Полтавской области Великаябогачка, Машевка, Нехвороща, крупные населённые пункты Милорадово, Глыбовка, Марьевка, Терентьевка, Ковалёвка, Кривой Берег, Курелихивка, Базылевщина, Щербани, Кусталово Суходолка, Вольная Степь, Михайловка, Свистуновка, Малая Нехвороща и железнодорожные станции Божков, Свинковка, Селещина, Тагамлык, Сухой.</w:t>
      </w:r>
    </w:p>
    <w:p w14:paraId="314EB35C"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наступление и, продвинувшись на отдельных участках вперёд от 10 до 20 километров, заняли свыше 240 населённых пунктов, в том числе районный центр Полтавской области Яготин, крупные населенные пункты Святое, Калита, Заворичи, Новый Быков, Петровка, Красное, Згуровка, Жуковка, Студеники, Ничипоровка, Бирлова Слобода, Белоусовка, Онишки, Бурьбино и железнодорожные станции Заворичи, Переяславская, Черняховский.</w:t>
      </w:r>
    </w:p>
    <w:p w14:paraId="3343AD56"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развивать наступление и, продвинувшись вперёд от 10 до 20 километров, заняли свыше 270 населённых пунктов, среди которых город Щорс (Сновск), районный центр Черниговской области Семёновка, районный центр Орловской области Погар и крупные населённые пункты Тереховка, Седнев, Макишин, Малый Дырчин, Кучиновка, Тихоновичи, Перелюб, Блешня, Хотеевка, Курковичи, Демьянки, Понуровка, Кистер, Гринёво, Голяшовка, Баклань, Юрковка, Витовка, Доманичи, Осколково, Акуличи, Лутна и железнодорожные станции Костобобр, Семёновка Черниговская, Карповичи, Низковка, Паниковка, Судость, Погар.</w:t>
      </w:r>
    </w:p>
    <w:p w14:paraId="465D78B6"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продолжали наступление и, продвинувшись вперёд до 10 километров, заняли свыше 130 населённых пунктов, в том числе крупные населённые пункты Шумаево, Шиловка, Медведовка, Новая Даниловка, Крутец, Любовка (9 километров северо-восточнее Рославля), Пригоры, Старый Крупец, Старый Кочев, Грабовка и железнодорожные станции Узкое, Пригорье.</w:t>
      </w:r>
    </w:p>
    <w:p w14:paraId="0AECA800"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северо-западнее Смоленска, заняли свыше 100 населённых пунктов, в том числе крупные населённые пункты Дятлово, Рацковины,Осиновицы, Добрина, Исаково, Дедова, Чернявка, Избична, Сельцо.</w:t>
      </w:r>
    </w:p>
    <w:p w14:paraId="33F5BF39"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сентября наши войска на всех фронтах подбили и уничтожили 48 немецких танков. В воздушных боях и огнём зенитной артиллерии сбито 33 самолёта противника.</w:t>
      </w:r>
    </w:p>
    <w:p w14:paraId="75B5C286"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успешно переправились через реку Десна и умелым обходным манёвром вышли на южную и восточную окраины города Чернигова. Противник стянул в Чернигов крупные силы и несколько раз переходил в контратаки. В результате трёхдневных ожесточённых боёв советские войска разгромили немцев и штурмом овладели городом Чернигов. Противник понёс большие потери в людях и технике. Захвачено много трофеев, в числе которых 25 исправных танков, 60 орудий, много автомашин, склады с боеприпасами, продовольствием и военным имуществом.</w:t>
      </w:r>
    </w:p>
    <w:p w14:paraId="58F48032"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продолжали наступление. Особенно ожесточённые бои происходили у районного центра Варениковская. Немцы опоясали этот крупный населённый пункт проволочными заграждениями, сплошными минными полями и сосредоточили здесь много огневых средств. Советские бойцы, преодолев заграждения, сегодня ворвались в Варениковскую и в результате уличных боёв заняли её. Уничтожено свыше 800 гитлеровцев, захвачено много орудий, пулемётов, склад боеприпасов и склад военного имущества.</w:t>
      </w:r>
    </w:p>
    <w:p w14:paraId="36E6DF32"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и Мелитопольском направлениях наши войска, отбрасывая противника на запад, заняли более 70 населённых пунктов. Под ударами советских войск противник оставляет одну позицию за другой, бросая на пути военную технику, боеприпасы и военное имущество. В одном из населённых пунктов нашими частями захвачено 500.000 артиллерийских снарядов. В другом пункте взято 9 исправных танков, 27 орудий и 60 автомашин. За день боёв нашими войсками уничтожено до 2.000 солдат и офицеров противника. Взято значительное число пленных.</w:t>
      </w:r>
    </w:p>
    <w:p w14:paraId="520D639E"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подвижные отряды прорываются в тылы противника, захватывают важные опорные пункты и удерживают их до подхода основных сил. На одном участке советская мотопехота и танки отбили контратаку вражеской пехоты, поддержанной 30 танками. Советские бойцы уничтожили 17 танков и истребили до батальона гитлеровцев. Решительной атакой наши войска заняли город и крупный железнодорожный узел Синельниково. Захвачено много паровозов, железнодорожных вагонов и платформ.</w:t>
      </w:r>
    </w:p>
    <w:p w14:paraId="66B39829"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совершили повторный налёт на вражеский аэродром и уничтожили на земле 6 немецких самолётов. В воздушных боях сбито 14 самолётов противника. Наша авиация наносила удары по скоплениям немецких войск и техники противника у переправ и мостов через реку Днепр.</w:t>
      </w:r>
    </w:p>
    <w:p w14:paraId="12E14F17"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противник артиллерийским огнём и контратаками пытался задержать наступление наших войск. Преодолев заболоченную водную преграду, части Н-ского соединения внезапным ударом выбили немцев из сильно укреплённого населённого пункта. На поле боя осталось до 600 вражеских трупов. На другом участке части Н-ского танкового соединения во взаимодействии с гвардейскими стрелковыми частями стремительно продвигались вперёд и истребили свыше 1.000 немецких солдат и офицеров. Захвачено 15 танков, 22 орудия, 225 вагонов с военными грузами.</w:t>
      </w:r>
    </w:p>
    <w:p w14:paraId="68A3D1F0"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Нашими войсками освобождено до 20 тысяч советских граждан, которых немцы угоняли на каторжные работы.</w:t>
      </w:r>
    </w:p>
    <w:p w14:paraId="6FB9C0F2"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части Н-ского соединения ночью переправились через реку Судость и на рассвете атаковали немцев, оборонявших город Погар. В ожесточённой схватке советские бойцы разгромили вражеский гарнизон и овладели городом. Уничтожено до 1.500 немецких солдат и офицеров. Захвачены 25 орудий, более 100 пулемётов, два вещевых, два инженерных, артиллерийский и продовольственный склады.</w:t>
      </w:r>
    </w:p>
    <w:p w14:paraId="442BFF2C"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лесах в районе Клетни и восточнее Погар наши войска освободили около 100.000 советских граждан, которых немцы угоняли на каторгу в Германию.</w:t>
      </w:r>
    </w:p>
    <w:p w14:paraId="66E90D2E"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потопили в Баренцевом море сторожевой корабль и повредили 3 транспорта противника. В воздушном бою сбито 6 немецких самолётов.</w:t>
      </w:r>
    </w:p>
    <w:p w14:paraId="15AB8185"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в Финском заливе потоплены два немецких транспорта общим водоизмещением в 7.500 тонн.</w:t>
      </w:r>
    </w:p>
    <w:p w14:paraId="6F947CB1"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Черноморского флота уничтожили 6 и повредили 12 быстроходных десантных барж противника. В воздушном бою сбиты 10 немецких самолётов.</w:t>
      </w:r>
    </w:p>
    <w:p w14:paraId="2E80870A"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Латвийский партизанский отряд пустил под откос немецкий воинский эшелон, шедший с двойной тягой. В результате крушения разбиты 2 паровоза, 41 вагон с боеприпасами и несколько платформ с автомашинами. Движение на этом участке железной дороги было прервано на три дня. Другой отряд латвийских партизан подорвал на минах поезд с войсками противника. Разбиты 16 вагонов и паровоз. Под обломками вагонов погибло много гитлеровцев.</w:t>
      </w:r>
    </w:p>
    <w:p w14:paraId="13C9647A" w14:textId="77777777" w:rsidR="00CE5AB0" w:rsidRPr="00271E51" w:rsidRDefault="00CE5AB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Смоленска на сторону Красной Армии перешёл капитан 52 немецкой пехотной дивизии Ганс Шмидт. Перебежчик рассказал: «В конце августа я вместе с группой офицеров из резерва был направлен на Восточный фронт. По независящим от меня причинам я задержался на несколько дней в Минске. Шестого сентября неизвестные взорвали офицерскую столовую-казино. После взрыва я лично осматривал разрушения, которые произошли. Из-под развалин было извлечено 30 убитых и 50 тяжело раненых немецких офицеров. Многие офицеры получили контузии и лёгкие ранения» (14776).</w:t>
      </w:r>
    </w:p>
    <w:p w14:paraId="302047A1" w14:textId="77777777" w:rsidR="00CE5AB0" w:rsidRPr="00271E51" w:rsidRDefault="00CE5AB0" w:rsidP="00271E51">
      <w:pPr>
        <w:spacing w:after="0" w:line="240" w:lineRule="auto"/>
        <w:jc w:val="both"/>
        <w:rPr>
          <w:rFonts w:ascii="Times New Roman" w:hAnsi="Times New Roman"/>
          <w:color w:val="000000" w:themeColor="text1"/>
          <w:sz w:val="16"/>
          <w:szCs w:val="16"/>
        </w:rPr>
      </w:pPr>
    </w:p>
    <w:p w14:paraId="6168C4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мост через Днепр у Кременчуга атаковали 17 Пе-2, добив</w:t>
      </w:r>
      <w:r w:rsidRPr="00271E51">
        <w:rPr>
          <w:rFonts w:ascii="Times New Roman" w:hAnsi="Times New Roman"/>
          <w:color w:val="000000" w:themeColor="text1"/>
          <w:sz w:val="16"/>
          <w:szCs w:val="16"/>
        </w:rPr>
        <w:softHyphen/>
        <w:t>шиеся двух прямых попаданий в шоссейный мост и разрушившие его пролёт. Попавшая в железнодорожный мост бомба пробила настил и взорвалась в воде, не причинив су</w:t>
      </w:r>
      <w:r w:rsidRPr="00271E51">
        <w:rPr>
          <w:rFonts w:ascii="Times New Roman" w:hAnsi="Times New Roman"/>
          <w:color w:val="000000" w:themeColor="text1"/>
          <w:sz w:val="16"/>
          <w:szCs w:val="16"/>
        </w:rPr>
        <w:softHyphen/>
        <w:t>щественных повреждений. Повторным налё</w:t>
      </w:r>
      <w:r w:rsidRPr="00271E51">
        <w:rPr>
          <w:rFonts w:ascii="Times New Roman" w:hAnsi="Times New Roman"/>
          <w:color w:val="000000" w:themeColor="text1"/>
          <w:sz w:val="16"/>
          <w:szCs w:val="16"/>
        </w:rPr>
        <w:softHyphen/>
        <w:t>том 34 бомбардировщиков 24 сентября шос</w:t>
      </w:r>
      <w:r w:rsidRPr="00271E51">
        <w:rPr>
          <w:rFonts w:ascii="Times New Roman" w:hAnsi="Times New Roman"/>
          <w:color w:val="000000" w:themeColor="text1"/>
          <w:sz w:val="16"/>
          <w:szCs w:val="16"/>
        </w:rPr>
        <w:softHyphen/>
        <w:t>сейный мост «добили» четырьмя прямыми попаданиями, а железнодорожный мост вы</w:t>
      </w:r>
      <w:r w:rsidRPr="00271E51">
        <w:rPr>
          <w:rFonts w:ascii="Times New Roman" w:hAnsi="Times New Roman"/>
          <w:color w:val="000000" w:themeColor="text1"/>
          <w:sz w:val="16"/>
          <w:szCs w:val="16"/>
        </w:rPr>
        <w:softHyphen/>
        <w:t>вели из строя двумя авиабомбами. После освобождения города результаты налётов подтвердились, когда начальство 1-го бак во главе с генерал-майором И.С.Полбиным оценивало эффективность действия своих бомбардировщиков (11392).</w:t>
      </w:r>
    </w:p>
    <w:p w14:paraId="0B55B9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CC047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советские войска начали форсирование Днепра, освободив Чернигов (4962).</w:t>
      </w:r>
    </w:p>
    <w:p w14:paraId="17D4D50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FD28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21 сентября 1943 г. передовые части 3-й гвардейской танковой армии Воронежского фронта, а позже и часть сил 40-й и 47-й армий, сходу форсировали Днепр и закрепились на захваченных плацдармах в районе Великого Букрина. Успехом завершились крупные бои на участке Степного фронта при форсировании Днепра частями 7-й гвардейской армии в районах Днепровокаменки и Домоткани, а также 37-й армией в районе юго-восточнее Кременчуга.</w:t>
      </w:r>
    </w:p>
    <w:p w14:paraId="3CFC82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Мощнейший оборонительный рубеж вермахта оказался под угрозой прорыва. Стремясь сбросить красноармейцев в Днепр, немецкое командование бросило в бой почти всю наличную авиацию. На поле боя, помимо "хеншелей", "восемьдесят седьмых" и ударных "фоккеров", отмечалась "работа" с низких высот и с бреющего полета двухмоторных бомбардировщиков Ju88 и Не 111, которые обстреливали и бомбили боевые порядки советских частей. Почти как ВВС КА в первые месяцы войны, но в условиях более благоприятных для боевого применения, так как переправившиеся советские части поначалу не имели сильного зенитного и истребительного прикрытия. С усилением советской ПВО от подобных действий немцам пришлось вскоре отказаться, но потери штурмовых авиагрупп продолжали расти и к концу года достигли угрожающих размеров...(9084).</w:t>
      </w:r>
    </w:p>
    <w:p w14:paraId="3E16E0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7DC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21, 1943: The Red Army forces a crossing of the Dnepr at Dnepropetrovsk, breaking into the German defensive lines of the Panther-Stellung (3819).</w:t>
      </w:r>
    </w:p>
    <w:p w14:paraId="58B60A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AB249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подразделение 60 армии Черняховского прорвалось к Днепру (2070,96).</w:t>
      </w:r>
    </w:p>
    <w:p w14:paraId="04C060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546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войска ЦФ (К.К.Рокосовский) освободили Чернигов и с ходу форсировали Днепр (3398,337).</w:t>
      </w:r>
    </w:p>
    <w:p w14:paraId="73ABED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619C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606F5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09E6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21 сентября 1943 г “Аэрофлот” возобновил регулярное движение на ряде воздушных линий. Ю-52 работали на трассах Свердловск -Красноярск и Куйбышев - Ташкент - Алма-Ата. К зиме “юнкерсы” поставили на лыжи. Лыжи были разные: и от Ли-2 (их ставила база № 405), и от ТБ-1, и специальные (6393).</w:t>
      </w:r>
    </w:p>
    <w:p w14:paraId="6AD3D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9AA8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E30BB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8CE3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года</w:t>
      </w:r>
    </w:p>
    <w:p w14:paraId="7E03E1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75DDE8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Теперь, когда Муссолини поставлен немцами в качестве главы так называемого республиканского фашистского правительства, важно парировать этот шаг, сделав все, что мы сможем, для {усиления власти Короля и Бадольо, которые подписали с нами перемирие и с тех пор, насколько они это могли, верно выполняли его и выдали большую часть своего флота. Кроме того, исходя из военных соображений, мы должны мобилизовать и сконцентрировать в Италии все силы, которые желают бороться или по крайней мере оказывать сопротивление немцам. Они уже активно действуют.</w:t>
      </w:r>
    </w:p>
    <w:p w14:paraId="5D1EC7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предлагаю поэтому рекомендовать Королю обратиться по радио к итальянскому народу с призывом сплотиться вокруг правительства Бадольо и объявить о своем намерении создать антифашистское коалиционное правительство на широкой основе, причем подразумевается, что не будет предпринято ничего такого, что могло бы помешать итальянскому народу решить, какую форму демократического правительства он будет иметь после войны.</w:t>
      </w:r>
    </w:p>
    <w:p w14:paraId="00E5C0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Должно быть также сказано, что полезные услуги армии Итальянского Правительства и народа, направленные против врага, будут приняты во внимание при разработке и осуществлении перемирия; но что, хотя Итальянскому Правительству предоставляется свобода в отношении объявления войны Германии, это не сделает Италию союзником, а сделает ее лишь совместно воюющей стороной.</w:t>
      </w:r>
    </w:p>
    <w:p w14:paraId="092615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я хочу настоять на подписании исчерпывающих условий перемирия, которые все еще не осуществлены, хотя некоторые из этих условий не могут вступить в силу в настоящий момент. Взамен Бадольо было бы обещано, что союзные правительства намерены передать Сицилию и Сардинию и исторический материк Италии, как только он будет освобожден от противника, под управление Итальянского Правительства под наблюдением Союзной Контрольной Комиссии.</w:t>
      </w:r>
    </w:p>
    <w:p w14:paraId="1502FB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выдвигаю эти предложения также перед Президентом Рузвельтом, и я надеюсь, что могу рассчитывать на Ваше одобрение. Как Вы, конечно, поймете, этот вопрос является крайне срочным по военным причинам. Например, итальянцы уже изгнали немцев из Сардинии, и имеется много островов и ключевых позиций, которые они все еще удерживают и которые мы можем получить (7430).</w:t>
      </w:r>
    </w:p>
    <w:p w14:paraId="2E651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610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1943 СССР установил дипотношения с Исландией (3398,337).</w:t>
      </w:r>
    </w:p>
    <w:p w14:paraId="2489DC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B2116"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в 1943 году установлены дипломатические отношения между СССР и Республикой Исландией. В декабре 1991 г. Российская Федерация признана правопреемницей СССР (14776).</w:t>
      </w:r>
    </w:p>
    <w:p w14:paraId="0C9125C2"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37623202" w14:textId="77777777" w:rsidR="007A3BB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D2548D9"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19F095" w14:textId="77777777" w:rsidR="00DB2929" w:rsidRPr="00271E51" w:rsidRDefault="00DB292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21–22 сентября (ночь) 1943 налет ВВС Северо-Западной Африки на Бастию повредил порт, и это замедлило эвакуацию немцев с Корсики (20376).</w:t>
      </w:r>
    </w:p>
    <w:p w14:paraId="772F6CF3" w14:textId="77777777" w:rsidR="00DB2929" w:rsidRPr="00271E51" w:rsidRDefault="00DB2929" w:rsidP="00271E51">
      <w:pPr>
        <w:spacing w:after="0" w:line="240" w:lineRule="auto"/>
        <w:jc w:val="both"/>
        <w:rPr>
          <w:rFonts w:ascii="Times New Roman" w:hAnsi="Times New Roman"/>
          <w:color w:val="0070C0"/>
          <w:sz w:val="16"/>
          <w:szCs w:val="16"/>
        </w:rPr>
      </w:pPr>
    </w:p>
    <w:p w14:paraId="2A6889AB"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в 1943 году англо-американское командование поставило перед войсками задачу к концу года занять Центральную Италию и Рим (14776).</w:t>
      </w:r>
    </w:p>
    <w:p w14:paraId="077640FD"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588E430D" w14:textId="77777777" w:rsidR="00DB2929" w:rsidRPr="00271E51" w:rsidRDefault="00DB292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сентября 1943 Джон Уильям Ditter, член Соединенных Штатов Палаты представителей, представляющий штат Пенсильвания, 17 избирательный округ погибает вместе с другим человеком в пожаре в результате аварии самолета ВМС США в сильный дождь близ Колумбии , штат Пенсильвания (20376).</w:t>
      </w:r>
    </w:p>
    <w:p w14:paraId="64AF3D30" w14:textId="77777777" w:rsidR="00DB2929" w:rsidRPr="00271E51" w:rsidRDefault="00DB2929" w:rsidP="00271E51">
      <w:pPr>
        <w:spacing w:after="0" w:line="240" w:lineRule="auto"/>
        <w:jc w:val="both"/>
        <w:rPr>
          <w:rFonts w:ascii="Times New Roman" w:hAnsi="Times New Roman"/>
          <w:color w:val="0070C0"/>
          <w:sz w:val="16"/>
          <w:szCs w:val="16"/>
        </w:rPr>
      </w:pPr>
    </w:p>
    <w:p w14:paraId="5EA7D18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71EC5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7B1B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22 сентября 1943 ГУЗ ВВС КА писало письмо N 557201 НКАП А.И.Ш. о том, что 31 марта 1943 вышло Постановление ГКО N 3101, согласно которому с мая 1943 завод 381 должен перейти полностью на выпуск облегченных Ла-5 М-82 с металлическими лонжеронами. Не выполнили (1779,237).</w:t>
      </w:r>
    </w:p>
    <w:p w14:paraId="67E966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DF5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года начальник ЦИАМ Поликовский В.И. и врио начальника лаборатории N 11 Карновский М.И. писали письмо N 1130с Шахурину.</w:t>
      </w:r>
    </w:p>
    <w:p w14:paraId="328552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 о разработке звуковой приставки для авиабомбы (воющая бомба ЦИАМ).</w:t>
      </w:r>
    </w:p>
    <w:p w14:paraId="3FB87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ЦИАМ"ом разработана звуковая приставка (сирена) к авиабомбе ФАБ-250, создающая при падении авиабомбы мощный воющий звук.</w:t>
      </w:r>
    </w:p>
    <w:p w14:paraId="23DA37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Воющая авиабомба ЦИАМ успешно прошла официальные испытания в НИИ Авиавооружения ВВС.</w:t>
      </w:r>
    </w:p>
    <w:p w14:paraId="0588DC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Воющие авиабомбы приобретают, по сравнению с обычными авиабомбами, существенные тактические преимущества. Воющая авиабомба ЦИАМ при своем падении создает пронизывающий звук, слышимый в радиусе 5-7 км. В районе слышимости этого звука создается впечатление о падении бомбы поблизости; это подавляюще действует на моральное состояние противника, парализуя его активность и способствуя созданию смятения и паники в его рядах.</w:t>
      </w:r>
    </w:p>
    <w:p w14:paraId="6E704B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значение для подрыва морального состояния тыла противника приобретает применение воющих авиабомб при бомбардировках вражеских городов.</w:t>
      </w:r>
    </w:p>
    <w:p w14:paraId="64FA27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Внешний вид сирены и ее крепление к авиабомбе представлены на прилагаемых рисунках.</w:t>
      </w:r>
    </w:p>
    <w:p w14:paraId="6BC568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Приводим выдержку из заключения НИИ АВ ВВС:</w:t>
      </w:r>
    </w:p>
    <w:p w14:paraId="0F50E7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 3. Рекомендовать применение ФАБ-250 с большими сиренами при бомбометании по населенным пунктам и по переднему краю обороны противника. Комплектование ФАБ-250 сиренами целесообразно производить в размере 25% от общего количества изготовленных ФАБ-250".</w:t>
      </w:r>
    </w:p>
    <w:p w14:paraId="2DC7E1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разработке сирен для воющих авиабомб отличился коллектив лаборатории N 11 и, в особенности, руководитель работы д.т.н. Карновский М.И., который явился инициатором этой работы, разработал конструкцию сирены для воющих авиабомб и разработал теорию действия и расчет сирен, инж.-конструктор Рысев М.Н., отработавший конструкцию, а также начальник лаборатории N 11 Шапиро Б.К., проведший большую организационную работу по обеспечению данной темы.</w:t>
      </w:r>
    </w:p>
    <w:p w14:paraId="68109D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отметить, что сирены ЦИАМ, используемые для воющих авиабомб, по принципу работы и по конструкции, отличны от обычных сирен; авторами сирен ЦИАМ являются сотрудники лаборатории N 11 Карновский М.И. и Родман М.И. (1783,203).</w:t>
      </w:r>
    </w:p>
    <w:p w14:paraId="606463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1061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945B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E9D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 по приказу НКБ № 903с на месте эвакуированного завода № 144 НКБ был создан Снаряжательный завод № 107 НКБ (Сталино). Выпускал БЧ к снарядам М-13. 6.11.1943 г. вышло постановление ГКО № 4505 о мобилизации на завод 1500 рабочих. 1.07.1944 г. вышло постановление ГКО № 6123 об организации снаряжения боеприпасов на заводе.</w:t>
      </w:r>
    </w:p>
    <w:p w14:paraId="5166F7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09.1943-09.1944 г. - в ведении 1ГУ.</w:t>
      </w:r>
    </w:p>
    <w:p w14:paraId="7638CFAF" w14:textId="77777777" w:rsidR="007A3BB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г.)- 487 чел.</w:t>
      </w:r>
    </w:p>
    <w:p w14:paraId="7C8467FA"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5E8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 сразу после освобождения Донбасса от фашистов в 09.1943 г. на месте эвакуированного завода № 73 НКБ по приказу НКБ № 903с начато восстановление завода, который получил наименование завод № 110 НКБ (Завод № 110 НКБ, Донецкий казенный завод химических изделий /г. Сталино,  г. Донецк/ /Украина 83013  г. Донецк ул. Софийская, 1 тел. (0622) 52-73-78/), в 08.1943-09.1944 г. - в ведении 4ГУ. 6.11.1943 г. вышло постановление ГКО № 4505 о мобилизации на завод 1000 рабочих. Уже в 01.1944 г. начат выпуск боеприпасов, в т.ч. авиабомб.</w:t>
      </w:r>
    </w:p>
    <w:p w14:paraId="57FE47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10.1946 г. пущен в эксплуатацию цех по производству аммонитов для угольной промышленности, а также граммонитов. С 1964 г. на линиях патронирования ВВ начали устанавливаться автоматы Коростылева, в 1970 г. установлен автомат пакетирования, а в 1980 г.- линия нумерации.</w:t>
      </w:r>
    </w:p>
    <w:p w14:paraId="50F910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Наибольший объем производства боеприпасов- в 1980-е  г. В 1991 г. изготовлен последний артиллерийский снаряд.</w:t>
      </w:r>
    </w:p>
    <w:p w14:paraId="7DF4F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при заводе создано СКТБ.</w:t>
      </w:r>
    </w:p>
    <w:p w14:paraId="38BBA4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(1990-е-2000-е  г.): производство промышленных ВВ - граммониты, аммониты, тротиловые шашки, детонаторы (1996 г.- 4 тыс. т, 2000 г.- 16 тыс. т); утилизация боеприпасов: расснаряжение артиллерийских боеприпасов малого, среднего и крупного калибров раздельно-шашечного и тротилового снаряжения, противотанковых мин, обезвреживание взрывателей, гексогенсодержащих боеприпасов с применением новых технологий. Создано производство по изготовлению кумулятивных зарядов для перфорации нефтегазовых скважин.</w:t>
      </w:r>
    </w:p>
    <w:p w14:paraId="11A9B8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(11.1943г.)- 2018 чел.</w:t>
      </w:r>
      <w:r w:rsidRPr="00271E51">
        <w:rPr>
          <w:rFonts w:ascii="Times New Roman" w:hAnsi="Times New Roman"/>
          <w:color w:val="000000" w:themeColor="text1"/>
          <w:sz w:val="16"/>
          <w:szCs w:val="16"/>
          <w:vertAlign w:val="superscript"/>
        </w:rPr>
        <w:t>132</w:t>
      </w:r>
    </w:p>
    <w:p w14:paraId="37120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(1943г.)- Н.А.Саркисов, (1952г.)- Ю.Т. Коломиец. Гендиректор (1996-2001г.)- Н.В. Потапчук.</w:t>
      </w:r>
    </w:p>
    <w:p w14:paraId="48E1BC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(1982г.)- А.Н. Мнускин.</w:t>
      </w:r>
    </w:p>
    <w:p w14:paraId="17051E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(1952г.)- А.А. Осин. Гл. механик- П.А. Осыченко.</w:t>
      </w:r>
    </w:p>
    <w:p w14:paraId="3A6FC3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(1972г.)- Б.М. Кожевников, П.А. Осыченко.</w:t>
      </w:r>
    </w:p>
    <w:p w14:paraId="6CB0DA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СКТБ завода</w:t>
      </w:r>
    </w:p>
    <w:p w14:paraId="57CE2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в 1965г. Отработка и освоение новых технологий, агрегатов.</w:t>
      </w:r>
    </w:p>
    <w:p w14:paraId="1A5B47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(1965г.-)- П.А. Осыченко (11982).</w:t>
      </w:r>
    </w:p>
    <w:p w14:paraId="3ADE3C45"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AF0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 по приказу НКБ № 903 завод № 65 в Таганроге, восстановление которого началось в соответствии с пост. ГКО № 4125сс от 14.09.1943 г., получил №81.</w:t>
      </w:r>
    </w:p>
    <w:p w14:paraId="70B376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(1943 г.): производственная- 29373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вспомогательная- 21088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2FE564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(1917 г.)- около 8000 чел., (1938 г.)- 10259 чел. (рабочих), (1939 г.)- 10842 чел. (рабочих), (1940 г.)- 10405 чел. (рабочих), (09.1941 г.)- 13557 чел., (12.1942 г.)- 5563 чел.</w:t>
      </w:r>
      <w:r w:rsidRPr="00271E51">
        <w:rPr>
          <w:rFonts w:ascii="Times New Roman" w:hAnsi="Times New Roman"/>
          <w:color w:val="000000" w:themeColor="text1"/>
          <w:sz w:val="16"/>
          <w:szCs w:val="16"/>
          <w:vertAlign w:val="superscript"/>
        </w:rPr>
        <w:t>132</w:t>
      </w:r>
    </w:p>
    <w:p w14:paraId="0E56AB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(31.12.1936 г.-)- Р.И. Шестопалов. Директор (1.02-8.10.1937 г.)- П.И. Муравьев, (8.10.1937 г.-)- К.А. Агапов, (04.1943 г.)- Парфенов. Гендиректор (-2003 г.)- В.И. Ткачук, (2003-07 г.-)- Е.А. Струков.</w:t>
      </w:r>
    </w:p>
    <w:p w14:paraId="2DF8B6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(06.1937 г.)- Р.И. Шестопалов. Помощник директора по найму и увольнению (14.08.1938 г.-)- А.И. Васильев.</w:t>
      </w:r>
    </w:p>
    <w:p w14:paraId="39728A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(-1936-2.02.1938 г.)- Р.И. Шестопалов (снят), (04.1943 г.)- Шевелев.</w:t>
      </w:r>
    </w:p>
    <w:p w14:paraId="7A44F2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мобилизационно-планового (04.1943 г.)- Бугаенко.</w:t>
      </w:r>
    </w:p>
    <w:p w14:paraId="4207EE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клапанные тарелки моторов АМ-34, М-100 (1937); пружины для мин (1939); снаряды 45-мм, 122-мм; мины 120-мм (1943); взрыватели: РГМ (-1941), КТМ-1 (1943) (11982).</w:t>
      </w:r>
    </w:p>
    <w:p w14:paraId="454C6A10"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DCC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 по приказу НКБ № 903с возвратившемуся из эвакуации заводу (ГС завод № 73 им. Коваля НКОП, НКБ /г. Сталино/) присвоен № 110.</w:t>
      </w:r>
    </w:p>
    <w:p w14:paraId="1DFD01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(1938 г.)- 7130 чел. (рабочих), (1939 г.)- 7254 чел. (рабочих), (1940 г.)- 8079 чел. (рабочих), (09.1941 г.)- 9600 чел.</w:t>
      </w:r>
      <w:r w:rsidRPr="00271E51">
        <w:rPr>
          <w:rFonts w:ascii="Times New Roman" w:hAnsi="Times New Roman"/>
          <w:color w:val="000000" w:themeColor="text1"/>
          <w:sz w:val="16"/>
          <w:szCs w:val="16"/>
          <w:vertAlign w:val="superscript"/>
        </w:rPr>
        <w:t>132</w:t>
      </w:r>
    </w:p>
    <w:p w14:paraId="0E3B59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(-01-22.11.1937 г.)- К.А. Фрондт (снят); и.о. (11.1937 г.)- Мендельбаум; (29.11.1937-2.02.1938 г.)-  Г.Д. Тырышкин, (9.04.1938 г.-)- М.Д. Горшунов.</w:t>
      </w:r>
    </w:p>
    <w:p w14:paraId="15E4CA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(06.1937 г.)- С.А. Кушпель.</w:t>
      </w:r>
    </w:p>
    <w:p w14:paraId="0538A1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(-01-06.1937 г.-&gt; С.А. Кушпель, (19.07.1938 г.-)- Ф.Ф. Кучеренко.</w:t>
      </w:r>
    </w:p>
    <w:p w14:paraId="68A25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(01.1937 г.)- Н.А. Сперанский.</w:t>
      </w:r>
    </w:p>
    <w:p w14:paraId="3702F8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цилиндры авиационного мотора М-22 (1937) (11982).</w:t>
      </w:r>
    </w:p>
    <w:p w14:paraId="081298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101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вышло Распоряжение ГКО № 4172. О порядке отгрузки крепежного леса НКЧМ.РГАНИР, Фонд ГКО, д. 152, лл. 183 (11012).</w:t>
      </w:r>
    </w:p>
    <w:p w14:paraId="2663A7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ABD4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вышло Распоряжение ГКО № 4173 [О сохранении Архангельской обл. плана заготовки, вывозки и поставки дров железнодорожному транспорту и разрешении уменьшить план мобилизации рабочей силы.] (7140, 184).</w:t>
      </w:r>
    </w:p>
    <w:p w14:paraId="2F0B7C6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B00C5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вышло Постановление ГКО № 4174 О передаче судов и полуглиссеров НКО (ГВИУ КА) от Наркомвоенморфлота и Союзосвода. (7140, 185).</w:t>
      </w:r>
    </w:p>
    <w:p w14:paraId="0AD6B4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D6C0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года был подписан приемный акт на головной катер. К это</w:t>
      </w:r>
      <w:r w:rsidRPr="00271E51">
        <w:rPr>
          <w:rFonts w:ascii="Times New Roman" w:hAnsi="Times New Roman"/>
          <w:color w:val="000000" w:themeColor="text1"/>
          <w:sz w:val="16"/>
          <w:szCs w:val="16"/>
        </w:rPr>
        <w:softHyphen/>
        <w:t>му времени в постройке находилась вся серия, вскоре доведенная до 20 единиц. Последний морской бронекатер пр. 161 вступил в строй 30 октября 1944 г. Таким образом, построив головной катер за 11 мес., завод завершил создание всех 20 катеров в срок немно</w:t>
      </w:r>
      <w:r w:rsidRPr="00271E51">
        <w:rPr>
          <w:rFonts w:ascii="Times New Roman" w:hAnsi="Times New Roman"/>
          <w:color w:val="000000" w:themeColor="text1"/>
          <w:sz w:val="16"/>
          <w:szCs w:val="16"/>
        </w:rPr>
        <w:softHyphen/>
        <w:t>гим более 2 лет, отдельные серийные морские бронекатера строи</w:t>
      </w:r>
      <w:r w:rsidRPr="00271E51">
        <w:rPr>
          <w:rFonts w:ascii="Times New Roman" w:hAnsi="Times New Roman"/>
          <w:color w:val="000000" w:themeColor="text1"/>
          <w:sz w:val="16"/>
          <w:szCs w:val="16"/>
        </w:rPr>
        <w:softHyphen/>
        <w:t>лись за 3—6 мес. Для постройки этих бронекатеров в условиях бло</w:t>
      </w:r>
      <w:r w:rsidRPr="00271E51">
        <w:rPr>
          <w:rFonts w:ascii="Times New Roman" w:hAnsi="Times New Roman"/>
          <w:color w:val="000000" w:themeColor="text1"/>
          <w:sz w:val="16"/>
          <w:szCs w:val="16"/>
        </w:rPr>
        <w:softHyphen/>
        <w:t xml:space="preserve">кады пришлось организовать </w:t>
      </w:r>
      <w:r w:rsidRPr="00271E51">
        <w:rPr>
          <w:rFonts w:ascii="Times New Roman" w:hAnsi="Times New Roman"/>
          <w:color w:val="000000" w:themeColor="text1"/>
          <w:sz w:val="16"/>
          <w:szCs w:val="16"/>
        </w:rPr>
        <w:lastRenderedPageBreak/>
        <w:t>"местную" кооперацию предприятий: насосы на завод 194 поставлял завод им. Второй пятилетки, сцеп</w:t>
      </w:r>
      <w:r w:rsidRPr="00271E51">
        <w:rPr>
          <w:rFonts w:ascii="Times New Roman" w:hAnsi="Times New Roman"/>
          <w:color w:val="000000" w:themeColor="text1"/>
          <w:sz w:val="16"/>
          <w:szCs w:val="16"/>
        </w:rPr>
        <w:softHyphen/>
        <w:t>ные муфты — завод им. Воскова, машинные телеграфы и венти</w:t>
      </w:r>
      <w:r w:rsidRPr="00271E51">
        <w:rPr>
          <w:rFonts w:ascii="Times New Roman" w:hAnsi="Times New Roman"/>
          <w:color w:val="000000" w:themeColor="text1"/>
          <w:sz w:val="16"/>
          <w:szCs w:val="16"/>
        </w:rPr>
        <w:softHyphen/>
        <w:t>ли — мастерские Электротехнического института связи им. Бонч-Бруевича, броню — Ижорский завод, где был создан специальный цех (3898).</w:t>
      </w:r>
    </w:p>
    <w:p w14:paraId="6E93A0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4E58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5670F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C26526"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оперативная сводка Совинформбюро:</w:t>
      </w:r>
    </w:p>
    <w:p w14:paraId="75AF1F92"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Новороссийска наши войска после упорных боёв овладели городоми портом Анапа, а также заняли крупные населённые пункты Супсех, Алексеевка, Анапская.</w:t>
      </w:r>
    </w:p>
    <w:p w14:paraId="5A5B09CA"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направлении наши войска, продолжая наступление, продвинулись вперёд от 5 до 10 километров, заняли 40 населённых пунктов и среди них крупные населённые пункты Терновка, Первозвановка, Новогуполовка, Любимовка, Васильевка, Павловский, Ново-Украинка (13 километров северо-восточнее Запорожья), Тарасовка и железнодорожные станции Софиевка, Яйцево, Кирпотино.</w:t>
      </w:r>
    </w:p>
    <w:p w14:paraId="71937DF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развивать успешное наступление и, продвинувшись вперёд от 10 до 20 километров, овладели городом Новомосковск, а также заняли свыше 90 других населённых пунктов, в том числе крупные населённые пункты Маячка, Дмухайловка, Водяное, Еленовка, Андреевка, Казначеевка, Николаевка, Вольное, Орловщина, Песчанка, Одиноковка, Лозоватка, Афанасьевна, Варваровка и железнодорожные станции Губиниха, Орловщина.</w:t>
      </w:r>
    </w:p>
    <w:p w14:paraId="425583E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наши войска продолжали развивать наступление и, продвинувшись вперёд от 10 до 18 километров, заняли более 150 населённыхпунктов, в том числе районные центры Полтавской области Шишаки, Диканька и крупные населённые пункты Большая Бузова, Балясное, Васильевка, Стасовцы, Петровка, Безручки, Головач, Малое Перещепино, Драбиновна, Верхние Пологи,Чапаево, Ливенское.</w:t>
      </w:r>
    </w:p>
    <w:p w14:paraId="65B19D2A"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продолжая развивать успешное наступление, продвинулись вперед от 15 до 20 километров и овладели городом Остер, городом Переяслав, городом 3Олотоноша, а также заняли свыше 180 других населённых пунктов и среди них районный центр Полтавской области ДРАБОВ, районный центр Черниговской области Новая Басань, районный центр Киевской области Березань и крупные населённые пункты Карпиловка, Евминки, Крихаево, Летки, Семиполки, Ядловка, Остролучье, Семёновна, Войтовцы, Ерковцы, Вининцы, Великий Хутор, Благовещенск, Вознесенск.</w:t>
      </w:r>
    </w:p>
    <w:p w14:paraId="69E73E3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успешное наступление и, продвинувшись вперёд от 10 до 25 километров, овладели городом Почеп, городом Мглин, городом Стародуб, а также заняли свыше 260 других населённых пунктов, в том числе крупные населённые пункты Болотня, Николаевка, Шумарово, Дивовка, Долматово, Выстриково, Картушино, Болдовка, Приваловка, Воронок, Лужки, Каменский Хутор, Елино, Масаны, Куйбышев, Андреевка.</w:t>
      </w:r>
    </w:p>
    <w:p w14:paraId="674A4AF2"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Рославльском направлении наши войска продолжали наступление и, продвинувшись вперёд от 3 до 4 километров, заняли свыше 80 населённыхпунктов.</w:t>
      </w:r>
    </w:p>
    <w:p w14:paraId="282A21F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продолжали наступление и, продвинувшись на отдельных участках вперёд от 3 до 4 километров, заняли свыше 30 населённых пунктов.</w:t>
      </w:r>
    </w:p>
    <w:p w14:paraId="736705AE"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Смоленска наши войска после упорных боёв овладели городом Демидов, а также заняли свыше 50 населённых пунктов, в том числе крупные населённые пункты Савостье, Борки, Скугрева, Никонцы, Фошня, Большое Аретово, Новый Починок, Лобоново, Акатова, Спасск-Липки.</w:t>
      </w:r>
    </w:p>
    <w:p w14:paraId="5251E071"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сентября наши войска на всех фронтах подбили и уничтожили 24 немецких танка. В воздушных боях и огнём зенитной артиллерии сбито 40 самолётов противника.</w:t>
      </w:r>
    </w:p>
    <w:p w14:paraId="2A1C2F2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Новороссийска противник, прикрываясь высотами, оказывает упорное сопротивление. Наши войска, уничтожая узлы сопротивления немцев, подошли к городу Анапа и в результате ожесточённого боя овладели им. Захвачено 49 орудий, 180 пулемётов, 77 миномётов, 4.000 винтовок и автоматов, 40 различных складов, 200 тысяч патронов, 25 тысяч снарядов, 100 километров телефонного кабеля и другие трофеи. Взято свыше 200 пленных. На другом участке наши войска заняли несколько населённых пунктов, в боях за которые уничтожено 1.200 вражеских солдат и офицеров.</w:t>
      </w:r>
    </w:p>
    <w:p w14:paraId="164AF9A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войск противника. В районе одного населённого пункта лётчики Н-ской части уничтожили до двух батальонов немцев, разбили 120 автомашин и 15 полевых орудий.</w:t>
      </w:r>
    </w:p>
    <w:p w14:paraId="5557BAB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с боями продвигались вперёд. Бойцы Н-ского гвардейского соединения, форсировав реку Самара и продвигаясь вдоль неё на юг, вышли на подступы к городу Ново-Московск. Рано утром к городу также подошли советские части, наступающие по железной дороге от станции Орловщина. К исходу дня наши бойцы-гвардейцы решительной атакой овладели железнодорожным узлом и городом Ново-Московск. Противник понёс большие потери. Захвачено много трофеев и пленных. На другом участке части Н-ского соединения, преследуя немцев, захватили 23 орудия, 80 пулемётов, 4 склада боеприпасов, 7 складов с продовольствием и 5 складов с горючим.</w:t>
      </w:r>
    </w:p>
    <w:p w14:paraId="21A27916"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Полтавском направлении части Н-ского соединения форсировали в двух местах водный рубеж и завязали бои на подступах к крупному населённому пункту. На другом участке советские бойцы, с боями продвигаясь вперёд, уничтожили свыше 1.000 немецких солдат и офицеров. Захвачено 6 танков «Тигр», 8 самоходных орудий «Фердинанд», 31 полевое орудие, 2 склада боеприпасов и склад с большим количеством зерна.</w:t>
      </w:r>
    </w:p>
    <w:p w14:paraId="710C17D5"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успешное наступление. За день боёв уничтожено до 2.000 немецких солдат и офицеров, подбито и сожжено 16 танков противника. Советские танкисты, стремительно продвигаясь вперёд, овладели городом Переяслав, Киевской области. Части Н-ского гвардейского соединения в результате ожесточённого боя заняли город и железнодорожный узел: Золотоноша. Захвачены большие трофеи, в числе которых десятки орудий, много автомашин, крупные склады боеприпасов и военного имущества. Взято значительное число пленных.</w:t>
      </w:r>
    </w:p>
    <w:p w14:paraId="77FB3439"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успешно продвигались вперёд и освободили от немецко-фашистских захватчиков свыше 260 населённых пунктов. Противник, опираясь на укреплённые пункты по реке Снов, оказывал упорное сопротивление. Части Н-ского соединения переправились через реку Снов и овладели несколькими узлами немецкой обороны. Уничтожено 700 немецких солдат и офицеров. Взято до 200 пленных. Части другого нашего соединения ночью продвинулись на 25 километров и ворвались в город Стародуб. В течение дня советские бойцы врезультате ожесточённого боя овладели городом. Наши войска продолжают преследовать разгромленные части противника, захватывая много трофеев и пленных.</w:t>
      </w:r>
    </w:p>
    <w:p w14:paraId="7B0F53A2"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Смоленска наши войска овладели важнейшим опорным пунктом немцев — городом Демидов. Противник оказывал упорное сопротивление, стремясь любой ценой удержать город в своих руках. Только в течение одного дня немцы предприняли двенадцать контратак, но не смогли сдержать наступательного порыва советских бойцов. В боях за Демидов разгромлены 256 немецкая пехотная дивизия и другие части противника. Уничтожено свыше 8.000 вражеских солдат и офицеров. Взято 300 пленных и много трофеев. В другом районе наши войска окружили и полностью уничтожили 5 немецкий егерский батальон и разгромили 1 батальон 187 немецкого полка. Захвачены трофеи, в числе которых 25 орудий разного калибра, два самоходных орудия «Фердинанд», 23 миномёта, много боеприпасов и различного военного имущества.</w:t>
      </w:r>
    </w:p>
    <w:p w14:paraId="16086178"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Береговые батареи Северного флота обстреляли транспорт противника водоизмещением в 8 тысяч тонн и нанесли ему повреждения. Высланный затем торпедный катер атаковал транспорт и потопил его.</w:t>
      </w:r>
    </w:p>
    <w:p w14:paraId="5A8FF68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северного побережья Норвегии советские самолёты-торпедоносцы атаковали караван судов противника, шедший в сопровождении кораблей охранения и самолётов-истребителей. Потоплен немецкий транспорт водоизмещением в 12.000 тонни два сторожевых корабля. В воздушном бою сбито 9 самолётов противника.</w:t>
      </w:r>
    </w:p>
    <w:p w14:paraId="5FF2AE1B"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Лётчики-штурмовики и истребители Черноморского флота совершили налёт на один из портов Таманского полуострова и потопили две быстроходных десантных баржи противника. В воздушном бою сбито 6 немецких самолётов.</w:t>
      </w:r>
    </w:p>
    <w:p w14:paraId="7C0E19B2"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Вилейской области, 13 сентября разгромил немецкий гарнизон, расположенный в крупном населённом пункте. Партизаны сожгли танк, бронемашину и взорвали склад боеприпасов противника. В ожесточённом бою истреблено 80 гитлеровцев. Захвачены 12 пулемётов и 90 винтовок. Группа вилейских партизанских отрядов за три недели пустила под откос 23 немецких воинских эшелона, следовавших к линии фронта. В результате крушений разбито 14 паровозов, 140 вагонов и платформ.» (14777).</w:t>
      </w:r>
    </w:p>
    <w:p w14:paraId="43FCC457"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53050F0D"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вслед за Центральным фронтом к Днепру выходят и войска Воронежского фронта. Уже на рассвете 22 сентября начинается переправа подразделений через Днепр и захват плацдармов на его правом берегу. Всего к концу сентября усилиями войск Центрального, Воронежского, Степного и Эго-Западного фронтов будут захвачены 23 плацдарма. За успешное форсирование Днепра 2438 человек будут удостоены звания Героя Советского Союза (14777).</w:t>
      </w:r>
    </w:p>
    <w:p w14:paraId="041F5093"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4062CBA1"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во время Великой Отечественной войны силами Центрального (командующий генерал армии К.К.Рокоссовский), Воронежского (командующий генерал армии Н.Ф.Ватутин), Юго-Западного (командующий генерал армии Р.Я.Малиновский) и Степного (командующий генерал армии И.С.Конев) фронтов начался второй этап битвы за Днепр. В ходе боев, продлившихся до 22 декабря, советские войска форсировали на ряде участков Днепр и, развивая наступление, двинулись в юго-западном направлении. В итоге советские войска нанесли тяжелое поражение группе армий "Юг" (командующий генерал-фельдмаршал Э.Манштейн) и части сил группы армий "Центр" (командующий генерал-фельдмаршал Г.Клюге), освободили всю левобережную и часть Правобережной Украины, создали стратегические предпосылки для наступления в Белоруссии (14777).</w:t>
      </w:r>
    </w:p>
    <w:p w14:paraId="292AAA1E"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64CD1770"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завершилась Донбасская стратегическая наступательная операция Юго-Западного (командующий генерал армии Р.Я.Малиновский) и Южного (командующий генерал-полковник Ф.И.Толбухин) фронтов при поддержке Азовской флотилии (началась 13 августа) (14777).</w:t>
      </w:r>
    </w:p>
    <w:p w14:paraId="2B091C06"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1784E115"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части 13-й армии Центрального фронта форсировали реку Днепр на участке Мнево, устье реки Припять и захватили плацдарм на правом берегу (25 км по фронту и от 2 до 10 км в глубину). Войска Воронежского фронта захватили плацдарм на правом берегу реки Днепр в районах населённых пунктов Ржищев и Великий Букрин (Букринский плацдарм). Завершилась Донбасская операция войск Юго-Западного и Южного фронтов (продвинулись на запад до 300 км и завершили освобождение Донбасса, вышли на рубеж рек Днепр и Молочная) (14777).</w:t>
      </w:r>
    </w:p>
    <w:p w14:paraId="5FBBA05E"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3C0429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незадолго до освобож</w:t>
      </w:r>
      <w:r w:rsidRPr="00271E51">
        <w:rPr>
          <w:rFonts w:ascii="Times New Roman" w:hAnsi="Times New Roman"/>
          <w:color w:val="000000" w:themeColor="text1"/>
          <w:sz w:val="16"/>
          <w:szCs w:val="16"/>
        </w:rPr>
        <w:softHyphen/>
        <w:t>дения Смоленска, летчикам “Норман</w:t>
      </w:r>
      <w:r w:rsidRPr="00271E51">
        <w:rPr>
          <w:rFonts w:ascii="Times New Roman" w:hAnsi="Times New Roman"/>
          <w:color w:val="000000" w:themeColor="text1"/>
          <w:sz w:val="16"/>
          <w:szCs w:val="16"/>
        </w:rPr>
        <w:softHyphen/>
        <w:t>дии” удалось провести очень удачный бой. Вскоре после полудня они пере</w:t>
      </w:r>
      <w:r w:rsidRPr="00271E51">
        <w:rPr>
          <w:rFonts w:ascii="Times New Roman" w:hAnsi="Times New Roman"/>
          <w:color w:val="000000" w:themeColor="text1"/>
          <w:sz w:val="16"/>
          <w:szCs w:val="16"/>
        </w:rPr>
        <w:softHyphen/>
        <w:t>хватили группу Ju87, прикрытую FW190, и заявили об уничтожении шес</w:t>
      </w:r>
      <w:r w:rsidRPr="00271E51">
        <w:rPr>
          <w:rFonts w:ascii="Times New Roman" w:hAnsi="Times New Roman"/>
          <w:color w:val="000000" w:themeColor="text1"/>
          <w:sz w:val="16"/>
          <w:szCs w:val="16"/>
        </w:rPr>
        <w:softHyphen/>
        <w:t>ти пикирующих бомбардировщиков и трех истребителей, потеряв со своей стороны машину младшего лейтенанта Г.Фуко, спасшегося на парашюте. Две победы записал на свой счет младший лейтенант Ж.Риссо. По немецким дан</w:t>
      </w:r>
      <w:r w:rsidRPr="00271E51">
        <w:rPr>
          <w:rFonts w:ascii="Times New Roman" w:hAnsi="Times New Roman"/>
          <w:color w:val="000000" w:themeColor="text1"/>
          <w:sz w:val="16"/>
          <w:szCs w:val="16"/>
        </w:rPr>
        <w:softHyphen/>
        <w:t>ным, атаке со стороны “Яков” подвер</w:t>
      </w:r>
      <w:r w:rsidRPr="00271E51">
        <w:rPr>
          <w:rFonts w:ascii="Times New Roman" w:hAnsi="Times New Roman"/>
          <w:color w:val="000000" w:themeColor="text1"/>
          <w:sz w:val="16"/>
          <w:szCs w:val="16"/>
        </w:rPr>
        <w:softHyphen/>
        <w:t>глась группа ll/StG1, потерявшая три Ju87D (зав. №№ 131247, 130882, 130767). Из шести членов экипажа, вы</w:t>
      </w:r>
      <w:r w:rsidRPr="00271E51">
        <w:rPr>
          <w:rFonts w:ascii="Times New Roman" w:hAnsi="Times New Roman"/>
          <w:color w:val="000000" w:themeColor="text1"/>
          <w:sz w:val="16"/>
          <w:szCs w:val="16"/>
        </w:rPr>
        <w:softHyphen/>
        <w:t>прыгнувших с парашютами, трое по</w:t>
      </w:r>
      <w:r w:rsidRPr="00271E51">
        <w:rPr>
          <w:rFonts w:ascii="Times New Roman" w:hAnsi="Times New Roman"/>
          <w:color w:val="000000" w:themeColor="text1"/>
          <w:sz w:val="16"/>
          <w:szCs w:val="16"/>
        </w:rPr>
        <w:softHyphen/>
        <w:t>гибли. К концу октября на счету “Нор</w:t>
      </w:r>
      <w:r w:rsidRPr="00271E51">
        <w:rPr>
          <w:rFonts w:ascii="Times New Roman" w:hAnsi="Times New Roman"/>
          <w:color w:val="000000" w:themeColor="text1"/>
          <w:sz w:val="16"/>
          <w:szCs w:val="16"/>
        </w:rPr>
        <w:softHyphen/>
        <w:t>мандии” было уже 72 (по французским данным - 77) сбитых самолетов про</w:t>
      </w:r>
      <w:r w:rsidRPr="00271E51">
        <w:rPr>
          <w:rFonts w:ascii="Times New Roman" w:hAnsi="Times New Roman"/>
          <w:color w:val="000000" w:themeColor="text1"/>
          <w:sz w:val="16"/>
          <w:szCs w:val="16"/>
        </w:rPr>
        <w:softHyphen/>
        <w:t>тивника при 20 потерянных летчиках. Из первой группы, прибывшей в СССР в ноябре 1942 г., уцелело всего пятеро (3956).</w:t>
      </w:r>
    </w:p>
    <w:p w14:paraId="06C30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42D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22 сентября 1943 г. 21 МБР-2 119 авиаполка и 18И-15бис 62-го иап бомбардировали порт Тамань. Докладывалось об уничтожении 2 катеров, склада боеприпасов, нескольких прожекторов. В 1943 г. боевая деятельность И-15бис на Черноморском флоте закончилась. В 1944 г. самолеты ограниченно использовались для тренировочных полетов (12014).</w:t>
      </w:r>
    </w:p>
    <w:p w14:paraId="26D1F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58E2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22 сентября 1943 г. 21 МБР-2 119-го авиа</w:t>
      </w:r>
      <w:r w:rsidRPr="00271E51">
        <w:rPr>
          <w:rFonts w:ascii="Times New Roman" w:hAnsi="Times New Roman"/>
          <w:color w:val="000000" w:themeColor="text1"/>
          <w:sz w:val="16"/>
          <w:szCs w:val="16"/>
        </w:rPr>
        <w:softHyphen/>
        <w:t>полка и 18 И-15бис 62-го иап бомбарди</w:t>
      </w:r>
      <w:r w:rsidRPr="00271E51">
        <w:rPr>
          <w:rFonts w:ascii="Times New Roman" w:hAnsi="Times New Roman"/>
          <w:color w:val="000000" w:themeColor="text1"/>
          <w:sz w:val="16"/>
          <w:szCs w:val="16"/>
        </w:rPr>
        <w:softHyphen/>
        <w:t>ровали порт Тамань. Докладывалось об уничтожении двух катеров, склада бое</w:t>
      </w:r>
      <w:r w:rsidRPr="00271E51">
        <w:rPr>
          <w:rFonts w:ascii="Times New Roman" w:hAnsi="Times New Roman"/>
          <w:color w:val="000000" w:themeColor="text1"/>
          <w:sz w:val="16"/>
          <w:szCs w:val="16"/>
        </w:rPr>
        <w:softHyphen/>
        <w:t>припасов и нескольких прожекторов (12294).</w:t>
      </w:r>
    </w:p>
    <w:p w14:paraId="4D3C8D0C"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6FBD5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начался второй этап битвы за Днепр (2990).</w:t>
      </w:r>
    </w:p>
    <w:p w14:paraId="2635EA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4433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завершена Донбасская наступательная операция, в ходе которой Донбасс был освобожден от фашистов (4962).</w:t>
      </w:r>
    </w:p>
    <w:p w14:paraId="0A74650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4D7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КА освободила Полтаву и первая часть формировала Днепр (2262).</w:t>
      </w:r>
    </w:p>
    <w:p w14:paraId="07CBAE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C59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переправившиеся через Днепр на подручных средствах передовые части захватили небольшой плацдарм в районе села Великий Букрин, где по данным разведки противник не располагал большими силами. Однако наращиванию успеха препятствовала задержка с наведением понтонных переправ. В этих условиях, как пишет в своих мемуарах маршал авиации Н. С. Скрипко, представитель Ставки Г К. Жуков и командующий Воронежским фронтом Н. Ф. Ватутин приняли решение выбросить на плацдарм воздушный десант в составе трех бригад под командованием генерала Капитохина. Это была вторая крупная десантная операция за время ВОВ во время сражения за Киев. Для этого задействовались Ли-2 из 1 -и, 53-й и 62-й дивизий АДД, а также частей ГВФ. Выброску решили проводить ночью, т. к. экипажи имели незначительный опыт действий днем, а в строю не летали почти два года. К тому же возникли большие сложности с истребительным прикрытием столь масштабной операции (3772).</w:t>
      </w:r>
    </w:p>
    <w:p w14:paraId="25410C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76B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член партизанской подпольной группы Е.Г.Мазаник установил мину замедленного действия и ее взрывом был убит палач белорусского народа Кубе (3398,338).</w:t>
      </w:r>
    </w:p>
    <w:p w14:paraId="0AFE39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5741A"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в 00-40 в спальне генерального комиссара Белоруссии гауляйтера Вильгельма Кубе взорвалась бомба, заложенная прислугой Еленой Мазаник. Палач белорусского народа погиб на месте (14777).</w:t>
      </w:r>
    </w:p>
    <w:p w14:paraId="5EA3FF15"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547DA93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3D15B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B4EF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года</w:t>
      </w:r>
    </w:p>
    <w:p w14:paraId="554B5A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ПРЕМЬЕРА И. В. СТАЛИНА ПРЕМЬЕР-МИНИСТРУ г-ну У. ЧЕРЧИЛЛЮ</w:t>
      </w:r>
    </w:p>
    <w:p w14:paraId="46D2D1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Ваше послание от 21 сентября получил.</w:t>
      </w:r>
    </w:p>
    <w:p w14:paraId="20C56D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 согласен с Вашим предложением в отношении обращения по радио итальянского Короля к народу. Но я считаю совершенно необходимым, чтобы в обращении Короля было ясно заявлено, что Италия, капитулировавшая перед Великобританией, Соединенными Штатами и Советским Союзом, будет сражаться против Германии вместе с Великобританией, Соединенными Штатами и Советским Союзом.</w:t>
      </w:r>
    </w:p>
    <w:p w14:paraId="510944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согласен также с Вашим предложением о необходимости подписания исчерпывающих условий перемирия. Что касается Вашей оговорки о том, что некоторые из этих условий не могут войти в силу в настоящий момент, то я понимаю эту оговорку лишь в том смысле, что эти условия сейчас не могут быть осуществлены на территории, которая пока находится под властью немцев. Во всяком случае я хотел бы получить от Вас по этому вопросу подтверждение или необходимые разъяснения (7430).</w:t>
      </w:r>
    </w:p>
    <w:p w14:paraId="6B852B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A3E9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B708C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93753"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сентября1943 первый полет DFS 228 (20376).</w:t>
      </w:r>
    </w:p>
    <w:p w14:paraId="236C3E1A" w14:textId="77777777" w:rsidR="00CC32B5" w:rsidRPr="00271E51" w:rsidRDefault="00CC32B5" w:rsidP="00271E51">
      <w:pPr>
        <w:spacing w:after="0" w:line="240" w:lineRule="auto"/>
        <w:jc w:val="both"/>
        <w:rPr>
          <w:rFonts w:ascii="Times New Roman" w:hAnsi="Times New Roman"/>
          <w:color w:val="0070C0"/>
          <w:sz w:val="16"/>
          <w:szCs w:val="16"/>
        </w:rPr>
      </w:pPr>
    </w:p>
    <w:p w14:paraId="05FCDD58"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22–24 сентября 1943 Эрнст Яхманн пролетает на своем одноместном планере в течение 55 часов 51 минуту в термике (20376).</w:t>
      </w:r>
    </w:p>
    <w:p w14:paraId="50C43297" w14:textId="77777777" w:rsidR="00CC32B5" w:rsidRPr="00271E51" w:rsidRDefault="00CC32B5" w:rsidP="00271E51">
      <w:pPr>
        <w:spacing w:after="0" w:line="240" w:lineRule="auto"/>
        <w:jc w:val="both"/>
        <w:rPr>
          <w:rFonts w:ascii="Times New Roman" w:hAnsi="Times New Roman"/>
          <w:color w:val="0070C0"/>
          <w:sz w:val="16"/>
          <w:szCs w:val="16"/>
        </w:rPr>
      </w:pPr>
    </w:p>
    <w:p w14:paraId="11D5987C"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22–23 сентября (ночь) 1943 711 британских бомбардировщиков и 5 самолетов B-17 Flying Fortress ВВС США совершают первый за два года налет на Ганновер, Германия, в первую очередь из серии из четырех бомбардировок южных и юго-восточных районов. Это первый ночной налет американских бомбардировщиков на Германию. Двадцать шесть британских самолетов (3,7 процента сил) потеряны (20376).</w:t>
      </w:r>
    </w:p>
    <w:p w14:paraId="4A47876A" w14:textId="77777777" w:rsidR="00CC32B5" w:rsidRPr="00271E51" w:rsidRDefault="00CC32B5" w:rsidP="00271E51">
      <w:pPr>
        <w:spacing w:after="0" w:line="240" w:lineRule="auto"/>
        <w:jc w:val="both"/>
        <w:rPr>
          <w:rFonts w:ascii="Times New Roman" w:hAnsi="Times New Roman"/>
          <w:color w:val="0070C0"/>
          <w:sz w:val="16"/>
          <w:szCs w:val="16"/>
        </w:rPr>
      </w:pPr>
    </w:p>
    <w:p w14:paraId="17C58D5A"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английская мини субмарины повредили Тирпиц в Алтенфьорде (2262). Шло 6 лодок серии ХЕ. 4 прорвались в Альтафиорд. Две погибли, а две прорвались в Каафиорд. Противоторпедные сети раздвинули для прохода судна снабжения.. Взорвали оба заряда по 4 т и тяжело повредили судно. Не было дока и ремонт с помощью кессонов занял полгода. Из 24 участников атаки 10 погибли, 6 попали в плен и 8 вернулись (3961, 70).</w:t>
      </w:r>
    </w:p>
    <w:p w14:paraId="10CC66B4"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CB2ED"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в 1943 году британские сверхмалые субмарины X6 и X7 во фьорде Альта подорвали под днищем линкора «Тирпиц» 4 двухтонные мины (14777).</w:t>
      </w:r>
    </w:p>
    <w:p w14:paraId="0CB8F608"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331E31E8"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сентября 1943 союзные войска высадились в Финшхафене, Новая Гвинея (20376).</w:t>
      </w:r>
    </w:p>
    <w:p w14:paraId="286D6E1F" w14:textId="77777777" w:rsidR="00CC32B5" w:rsidRPr="00271E51" w:rsidRDefault="00CC32B5" w:rsidP="00271E51">
      <w:pPr>
        <w:spacing w:after="0" w:line="240" w:lineRule="auto"/>
        <w:jc w:val="both"/>
        <w:rPr>
          <w:rFonts w:ascii="Times New Roman" w:hAnsi="Times New Roman"/>
          <w:color w:val="0070C0"/>
          <w:sz w:val="16"/>
          <w:szCs w:val="16"/>
        </w:rPr>
      </w:pPr>
    </w:p>
    <w:p w14:paraId="2EC352C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Гитлер отверг план Геббельса заключить мир со Сталиным или Черчиллем, чтобы избежать войны на два фронта (4962).</w:t>
      </w:r>
    </w:p>
    <w:p w14:paraId="164B1C7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F02D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итальянские войска в Греции капитулировали немцам (4962).</w:t>
      </w:r>
    </w:p>
    <w:p w14:paraId="3B6C487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417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сентября 1943 союзники высадились в Бари (2262).</w:t>
      </w:r>
    </w:p>
    <w:p w14:paraId="37A869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E737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0D0B8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49CF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АМ-42 в первый раз представили на госиспытания, с которых его сняли из-за прогара поршней. В ходе доводки опытного дви</w:t>
      </w:r>
      <w:r w:rsidRPr="00271E51">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271E51">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64A043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73561E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49D1EF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15DB4B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18FA55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объем 46,66 л;</w:t>
      </w:r>
    </w:p>
    <w:p w14:paraId="56B383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степень сжатия 5,5; </w:t>
      </w:r>
      <w:r w:rsidRPr="00271E51">
        <w:rPr>
          <w:rFonts w:ascii="Times New Roman" w:hAnsi="Times New Roman"/>
          <w:color w:val="000000" w:themeColor="text1"/>
          <w:sz w:val="16"/>
          <w:szCs w:val="16"/>
          <w:vertAlign w:val="subscript"/>
        </w:rPr>
        <w:t>4</w:t>
      </w:r>
    </w:p>
    <w:p w14:paraId="3FCECE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и вес в зависимости от модификации;</w:t>
      </w:r>
    </w:p>
    <w:p w14:paraId="7BD4D1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запуск сжатым воздухом. Известны модификации:</w:t>
      </w:r>
    </w:p>
    <w:p w14:paraId="2E7F97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АМ-42, единственный вариант, находившийся в массовом производ</w:t>
      </w:r>
      <w:r w:rsidRPr="00271E51">
        <w:rPr>
          <w:rFonts w:ascii="Times New Roman" w:hAnsi="Times New Roman"/>
          <w:color w:val="000000" w:themeColor="text1"/>
          <w:sz w:val="16"/>
          <w:szCs w:val="16"/>
        </w:rPr>
        <w:softHyphen/>
        <w:t>стве, 1750/2000 л.с., вес 980 кг (поздние серии 996 кг).</w:t>
      </w:r>
    </w:p>
    <w:p w14:paraId="6FD0DC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3AAFA8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271E51">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7FF252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271E51">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271E51">
        <w:rPr>
          <w:rFonts w:ascii="Times New Roman" w:hAnsi="Times New Roman"/>
          <w:color w:val="000000" w:themeColor="text1"/>
          <w:sz w:val="16"/>
          <w:szCs w:val="16"/>
        </w:rPr>
        <w:softHyphen/>
        <w:t>ектом Ту-8Б (11852).</w:t>
      </w:r>
    </w:p>
    <w:p w14:paraId="0E5A27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6D7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22A4AE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22C435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5C55DD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6519A3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23941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0325CF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5C8A6B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80E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года была подготовлена Таблица летно-технических характеристик самолета ДВБ-102 с различными моторами: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881"/>
        <w:gridCol w:w="1174"/>
        <w:gridCol w:w="1402"/>
        <w:gridCol w:w="1962"/>
        <w:gridCol w:w="890"/>
        <w:gridCol w:w="2059"/>
      </w:tblGrid>
      <w:tr w:rsidR="00A907A5" w:rsidRPr="00271E51" w14:paraId="3BCD2AC1" w14:textId="77777777" w:rsidTr="00ED5B0A">
        <w:tc>
          <w:tcPr>
            <w:tcW w:w="2093" w:type="dxa"/>
          </w:tcPr>
          <w:p w14:paraId="1287E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1" w:type="dxa"/>
          </w:tcPr>
          <w:p w14:paraId="02766C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Моторы</w:t>
            </w:r>
          </w:p>
        </w:tc>
        <w:tc>
          <w:tcPr>
            <w:tcW w:w="1174" w:type="dxa"/>
          </w:tcPr>
          <w:p w14:paraId="1426F3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2хМ120</w:t>
            </w:r>
          </w:p>
        </w:tc>
        <w:tc>
          <w:tcPr>
            <w:tcW w:w="1402" w:type="dxa"/>
          </w:tcPr>
          <w:p w14:paraId="3553F6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2хМ71ТК</w:t>
            </w:r>
          </w:p>
        </w:tc>
        <w:tc>
          <w:tcPr>
            <w:tcW w:w="1962" w:type="dxa"/>
          </w:tcPr>
          <w:p w14:paraId="711646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2хМ82ТК</w:t>
            </w:r>
          </w:p>
        </w:tc>
        <w:tc>
          <w:tcPr>
            <w:tcW w:w="890" w:type="dxa"/>
          </w:tcPr>
          <w:p w14:paraId="7EA229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2хМ30Б</w:t>
            </w:r>
          </w:p>
        </w:tc>
        <w:tc>
          <w:tcPr>
            <w:tcW w:w="2059" w:type="dxa"/>
          </w:tcPr>
          <w:p w14:paraId="2E2E28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w:t>
            </w:r>
          </w:p>
        </w:tc>
      </w:tr>
      <w:tr w:rsidR="00A907A5" w:rsidRPr="00271E51" w14:paraId="0D04986B" w14:textId="77777777" w:rsidTr="00ED5B0A">
        <w:tc>
          <w:tcPr>
            <w:tcW w:w="2093" w:type="dxa"/>
          </w:tcPr>
          <w:p w14:paraId="48EDEF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881" w:type="dxa"/>
          </w:tcPr>
          <w:p w14:paraId="6B0DB7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1174" w:type="dxa"/>
          </w:tcPr>
          <w:p w14:paraId="083F80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7443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2" w:type="dxa"/>
          </w:tcPr>
          <w:p w14:paraId="5E2A8D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219591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01F41C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Стрелковое вооружение:</w:t>
            </w:r>
          </w:p>
        </w:tc>
      </w:tr>
      <w:tr w:rsidR="00A907A5" w:rsidRPr="00271E51" w14:paraId="69C59519" w14:textId="77777777" w:rsidTr="00ED5B0A">
        <w:tc>
          <w:tcPr>
            <w:tcW w:w="2093" w:type="dxa"/>
          </w:tcPr>
          <w:p w14:paraId="0457E8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w:t>
            </w:r>
          </w:p>
        </w:tc>
        <w:tc>
          <w:tcPr>
            <w:tcW w:w="881" w:type="dxa"/>
          </w:tcPr>
          <w:p w14:paraId="3B8297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174" w:type="dxa"/>
          </w:tcPr>
          <w:p w14:paraId="1BF347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540/6000</w:t>
            </w:r>
          </w:p>
        </w:tc>
        <w:tc>
          <w:tcPr>
            <w:tcW w:w="1402" w:type="dxa"/>
          </w:tcPr>
          <w:p w14:paraId="5F0088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560/8400</w:t>
            </w:r>
          </w:p>
        </w:tc>
        <w:tc>
          <w:tcPr>
            <w:tcW w:w="1962" w:type="dxa"/>
          </w:tcPr>
          <w:p w14:paraId="328985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530/8700</w:t>
            </w:r>
          </w:p>
        </w:tc>
        <w:tc>
          <w:tcPr>
            <w:tcW w:w="890" w:type="dxa"/>
          </w:tcPr>
          <w:p w14:paraId="60D877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510/7000</w:t>
            </w:r>
          </w:p>
        </w:tc>
        <w:tc>
          <w:tcPr>
            <w:tcW w:w="2059" w:type="dxa"/>
          </w:tcPr>
          <w:p w14:paraId="6B745A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пушка Швак 20 мм</w:t>
            </w:r>
          </w:p>
        </w:tc>
      </w:tr>
      <w:tr w:rsidR="00A907A5" w:rsidRPr="00271E51" w14:paraId="23294438" w14:textId="77777777" w:rsidTr="00ED5B0A">
        <w:tc>
          <w:tcPr>
            <w:tcW w:w="2093" w:type="dxa"/>
          </w:tcPr>
          <w:p w14:paraId="5BF5C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наибольшая</w:t>
            </w:r>
          </w:p>
        </w:tc>
        <w:tc>
          <w:tcPr>
            <w:tcW w:w="881" w:type="dxa"/>
          </w:tcPr>
          <w:p w14:paraId="7FAD84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3EC484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14134F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2" w:type="dxa"/>
          </w:tcPr>
          <w:p w14:paraId="43D0E1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3F5519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3EBAE6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пулем. Березина 12,7 мм</w:t>
            </w:r>
          </w:p>
        </w:tc>
      </w:tr>
      <w:tr w:rsidR="00A907A5" w:rsidRPr="00271E51" w14:paraId="17B39E2E" w14:textId="77777777" w:rsidTr="00ED5B0A">
        <w:tc>
          <w:tcPr>
            <w:tcW w:w="2093" w:type="dxa"/>
          </w:tcPr>
          <w:p w14:paraId="012AE7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1000 кг бомб</w:t>
            </w:r>
          </w:p>
        </w:tc>
        <w:tc>
          <w:tcPr>
            <w:tcW w:w="881" w:type="dxa"/>
          </w:tcPr>
          <w:p w14:paraId="65ED7A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w:t>
            </w:r>
          </w:p>
        </w:tc>
        <w:tc>
          <w:tcPr>
            <w:tcW w:w="1174" w:type="dxa"/>
          </w:tcPr>
          <w:p w14:paraId="626EC5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3400</w:t>
            </w:r>
          </w:p>
        </w:tc>
        <w:tc>
          <w:tcPr>
            <w:tcW w:w="1402" w:type="dxa"/>
          </w:tcPr>
          <w:p w14:paraId="4E8B0B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w:t>
            </w:r>
          </w:p>
        </w:tc>
        <w:tc>
          <w:tcPr>
            <w:tcW w:w="1962" w:type="dxa"/>
          </w:tcPr>
          <w:p w14:paraId="474F6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90" w:type="dxa"/>
          </w:tcPr>
          <w:p w14:paraId="4B7B0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2059" w:type="dxa"/>
          </w:tcPr>
          <w:p w14:paraId="49BDF6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пулем. Шкас - 7,62 мм</w:t>
            </w:r>
          </w:p>
        </w:tc>
      </w:tr>
      <w:tr w:rsidR="00A907A5" w:rsidRPr="00271E51" w14:paraId="34010C40" w14:textId="77777777" w:rsidTr="00ED5B0A">
        <w:tc>
          <w:tcPr>
            <w:tcW w:w="2093" w:type="dxa"/>
          </w:tcPr>
          <w:p w14:paraId="60C7F8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2000 кг бомб</w:t>
            </w:r>
          </w:p>
        </w:tc>
        <w:tc>
          <w:tcPr>
            <w:tcW w:w="881" w:type="dxa"/>
          </w:tcPr>
          <w:p w14:paraId="72A05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w:t>
            </w:r>
          </w:p>
        </w:tc>
        <w:tc>
          <w:tcPr>
            <w:tcW w:w="1174" w:type="dxa"/>
          </w:tcPr>
          <w:p w14:paraId="0B86C8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3300</w:t>
            </w:r>
          </w:p>
        </w:tc>
        <w:tc>
          <w:tcPr>
            <w:tcW w:w="1402" w:type="dxa"/>
          </w:tcPr>
          <w:p w14:paraId="4CC424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tc>
        <w:tc>
          <w:tcPr>
            <w:tcW w:w="1962" w:type="dxa"/>
          </w:tcPr>
          <w:p w14:paraId="1BA671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w:t>
            </w:r>
          </w:p>
        </w:tc>
        <w:tc>
          <w:tcPr>
            <w:tcW w:w="890" w:type="dxa"/>
          </w:tcPr>
          <w:p w14:paraId="5B5120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w:t>
            </w:r>
          </w:p>
        </w:tc>
        <w:tc>
          <w:tcPr>
            <w:tcW w:w="2059" w:type="dxa"/>
          </w:tcPr>
          <w:p w14:paraId="524820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возможна установка на</w:t>
            </w:r>
          </w:p>
        </w:tc>
      </w:tr>
      <w:tr w:rsidR="00A907A5" w:rsidRPr="00271E51" w14:paraId="62F5CD98" w14:textId="77777777" w:rsidTr="00ED5B0A">
        <w:tc>
          <w:tcPr>
            <w:tcW w:w="2093" w:type="dxa"/>
          </w:tcPr>
          <w:p w14:paraId="273FC2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 с нормальным</w:t>
            </w:r>
          </w:p>
        </w:tc>
        <w:tc>
          <w:tcPr>
            <w:tcW w:w="881" w:type="dxa"/>
          </w:tcPr>
          <w:p w14:paraId="540530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6610C1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2BC927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2" w:type="dxa"/>
          </w:tcPr>
          <w:p w14:paraId="5EF35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37F34C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0BB968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турелях более крупного</w:t>
            </w:r>
          </w:p>
        </w:tc>
      </w:tr>
      <w:tr w:rsidR="00A907A5" w:rsidRPr="00271E51" w14:paraId="63822849" w14:textId="77777777" w:rsidTr="00ED5B0A">
        <w:tc>
          <w:tcPr>
            <w:tcW w:w="2093" w:type="dxa"/>
          </w:tcPr>
          <w:p w14:paraId="0ADD33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полетным весом</w:t>
            </w:r>
          </w:p>
        </w:tc>
        <w:tc>
          <w:tcPr>
            <w:tcW w:w="881" w:type="dxa"/>
          </w:tcPr>
          <w:p w14:paraId="6311B7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174" w:type="dxa"/>
          </w:tcPr>
          <w:p w14:paraId="39A722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tc>
        <w:tc>
          <w:tcPr>
            <w:tcW w:w="1402" w:type="dxa"/>
          </w:tcPr>
          <w:p w14:paraId="5BDE4B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1962" w:type="dxa"/>
          </w:tcPr>
          <w:p w14:paraId="79F17E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890" w:type="dxa"/>
          </w:tcPr>
          <w:p w14:paraId="409937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2059" w:type="dxa"/>
          </w:tcPr>
          <w:p w14:paraId="5105B8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калибра.</w:t>
            </w:r>
          </w:p>
        </w:tc>
      </w:tr>
      <w:tr w:rsidR="00A907A5" w:rsidRPr="00271E51" w14:paraId="654F607D" w14:textId="77777777" w:rsidTr="00ED5B0A">
        <w:tc>
          <w:tcPr>
            <w:tcW w:w="2093" w:type="dxa"/>
          </w:tcPr>
          <w:p w14:paraId="135052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практический</w:t>
            </w:r>
          </w:p>
        </w:tc>
        <w:tc>
          <w:tcPr>
            <w:tcW w:w="881" w:type="dxa"/>
          </w:tcPr>
          <w:p w14:paraId="0B85A4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1174" w:type="dxa"/>
          </w:tcPr>
          <w:p w14:paraId="20FD9E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w:t>
            </w:r>
          </w:p>
        </w:tc>
        <w:tc>
          <w:tcPr>
            <w:tcW w:w="1402" w:type="dxa"/>
          </w:tcPr>
          <w:p w14:paraId="3CB498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11000</w:t>
            </w:r>
          </w:p>
        </w:tc>
        <w:tc>
          <w:tcPr>
            <w:tcW w:w="1962" w:type="dxa"/>
          </w:tcPr>
          <w:p w14:paraId="774F9C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10600</w:t>
            </w:r>
          </w:p>
        </w:tc>
        <w:tc>
          <w:tcPr>
            <w:tcW w:w="890" w:type="dxa"/>
          </w:tcPr>
          <w:p w14:paraId="442155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2059" w:type="dxa"/>
          </w:tcPr>
          <w:p w14:paraId="4DDE54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Бомбовое вооружение:</w:t>
            </w:r>
          </w:p>
        </w:tc>
      </w:tr>
      <w:tr w:rsidR="00A907A5" w:rsidRPr="00271E51" w14:paraId="7B813A6B" w14:textId="77777777" w:rsidTr="00ED5B0A">
        <w:tc>
          <w:tcPr>
            <w:tcW w:w="2093" w:type="dxa"/>
          </w:tcPr>
          <w:p w14:paraId="313593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881" w:type="dxa"/>
          </w:tcPr>
          <w:p w14:paraId="6F57F6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1C967C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543736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2" w:type="dxa"/>
          </w:tcPr>
          <w:p w14:paraId="65377C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1CB6EF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311E89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кг внутри для всех</w:t>
            </w:r>
          </w:p>
        </w:tc>
      </w:tr>
      <w:tr w:rsidR="00A907A5" w:rsidRPr="00271E51" w14:paraId="447FDDE1" w14:textId="77777777" w:rsidTr="00ED5B0A">
        <w:tc>
          <w:tcPr>
            <w:tcW w:w="2093" w:type="dxa"/>
          </w:tcPr>
          <w:p w14:paraId="27AB08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нормальный/перегрузочн.</w:t>
            </w:r>
          </w:p>
        </w:tc>
        <w:tc>
          <w:tcPr>
            <w:tcW w:w="881" w:type="dxa"/>
          </w:tcPr>
          <w:p w14:paraId="67633A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1174" w:type="dxa"/>
          </w:tcPr>
          <w:p w14:paraId="64C5EF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15000/18500</w:t>
            </w:r>
          </w:p>
        </w:tc>
        <w:tc>
          <w:tcPr>
            <w:tcW w:w="1402" w:type="dxa"/>
          </w:tcPr>
          <w:p w14:paraId="18762B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16000/1900</w:t>
            </w:r>
          </w:p>
        </w:tc>
        <w:tc>
          <w:tcPr>
            <w:tcW w:w="1962" w:type="dxa"/>
          </w:tcPr>
          <w:p w14:paraId="086DD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15000/19000</w:t>
            </w:r>
          </w:p>
        </w:tc>
        <w:tc>
          <w:tcPr>
            <w:tcW w:w="890" w:type="dxa"/>
          </w:tcPr>
          <w:p w14:paraId="78C189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14300/18900</w:t>
            </w:r>
          </w:p>
        </w:tc>
        <w:tc>
          <w:tcPr>
            <w:tcW w:w="2059" w:type="dxa"/>
          </w:tcPr>
          <w:p w14:paraId="33B1BB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калибров и 2000 кг снаружи.</w:t>
            </w:r>
          </w:p>
        </w:tc>
      </w:tr>
      <w:tr w:rsidR="00A907A5" w:rsidRPr="00271E51" w14:paraId="6AAF6D61" w14:textId="77777777" w:rsidTr="00ED5B0A">
        <w:tc>
          <w:tcPr>
            <w:tcW w:w="2093" w:type="dxa"/>
          </w:tcPr>
          <w:p w14:paraId="786FD2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1" w:type="dxa"/>
          </w:tcPr>
          <w:p w14:paraId="74DC60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455DB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66F99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w:t>
            </w:r>
          </w:p>
        </w:tc>
        <w:tc>
          <w:tcPr>
            <w:tcW w:w="1962" w:type="dxa"/>
          </w:tcPr>
          <w:p w14:paraId="726186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расчетным данным.</w:t>
            </w:r>
          </w:p>
        </w:tc>
        <w:tc>
          <w:tcPr>
            <w:tcW w:w="890" w:type="dxa"/>
          </w:tcPr>
          <w:p w14:paraId="227531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04FFF6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герметические кабины.</w:t>
            </w:r>
          </w:p>
        </w:tc>
      </w:tr>
      <w:tr w:rsidR="00A907A5" w:rsidRPr="00271E51" w14:paraId="1FEF770F" w14:textId="77777777" w:rsidTr="00ED5B0A">
        <w:tc>
          <w:tcPr>
            <w:tcW w:w="2093" w:type="dxa"/>
          </w:tcPr>
          <w:p w14:paraId="67041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1" w:type="dxa"/>
          </w:tcPr>
          <w:p w14:paraId="234B6A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1F418D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30EEF7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 испытаний</w:t>
            </w:r>
          </w:p>
        </w:tc>
        <w:tc>
          <w:tcPr>
            <w:tcW w:w="1962" w:type="dxa"/>
          </w:tcPr>
          <w:p w14:paraId="5A8940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5E8CF1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6007A2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3-х колесное шасси.</w:t>
            </w:r>
          </w:p>
        </w:tc>
      </w:tr>
      <w:tr w:rsidR="00A907A5" w:rsidRPr="00271E51" w14:paraId="462B7616" w14:textId="77777777" w:rsidTr="00ED5B0A">
        <w:tc>
          <w:tcPr>
            <w:tcW w:w="2093" w:type="dxa"/>
          </w:tcPr>
          <w:p w14:paraId="40B742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1" w:type="dxa"/>
          </w:tcPr>
          <w:p w14:paraId="5171C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4" w:type="dxa"/>
          </w:tcPr>
          <w:p w14:paraId="15A643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2675DF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года.</w:t>
            </w:r>
          </w:p>
        </w:tc>
        <w:tc>
          <w:tcPr>
            <w:tcW w:w="1962" w:type="dxa"/>
          </w:tcPr>
          <w:p w14:paraId="131E4D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0" w:type="dxa"/>
          </w:tcPr>
          <w:p w14:paraId="0C9C16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59" w:type="dxa"/>
          </w:tcPr>
          <w:p w14:paraId="5B0ABE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C5DFB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Мясищев) (1783,117).</w:t>
      </w:r>
    </w:p>
    <w:p w14:paraId="0C9521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CF7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вышел приказ НКАП N 570с в исполнение постановления ГКО N 4170сс от 21 сентября 1943:</w:t>
      </w:r>
    </w:p>
    <w:p w14:paraId="4DF781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10 ГУ Тарасевичу, директору завода 39 Абрамову, ГК Ермолаеву организовать на заводе 39 серийное производство самолетов Ер-2 с 2хМ-30Б по образцу, прошедшему гос. испытания, согласно акта НИИ ВВС от 23 июня 1943 со след. изменениями:</w:t>
      </w:r>
    </w:p>
    <w:p w14:paraId="2B26F5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новая кабина пилота и штурмана с двумя летчиками в соответствии с макетом, утвержденным АДД протоколом от 3 сентября 1943</w:t>
      </w:r>
    </w:p>
    <w:p w14:paraId="10A439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верхняя стрелковая турельная установка с пушкой ШВАК 20 мм вместо УБ</w:t>
      </w:r>
    </w:p>
    <w:p w14:paraId="072FE7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Установить для самолетов Ер-2 с 2хМ-30Б с указанными в п. 1 изменениями след. ЛТД:</w:t>
      </w:r>
    </w:p>
    <w:p w14:paraId="53D79F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при весе 14200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A907A5" w:rsidRPr="00271E51" w14:paraId="7B0B318C" w14:textId="77777777" w:rsidTr="00ED5B0A">
        <w:tc>
          <w:tcPr>
            <w:tcW w:w="2254" w:type="dxa"/>
          </w:tcPr>
          <w:p w14:paraId="11FCBE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2254" w:type="dxa"/>
          </w:tcPr>
          <w:p w14:paraId="283101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365</w:t>
            </w:r>
          </w:p>
        </w:tc>
      </w:tr>
      <w:tr w:rsidR="00A907A5" w:rsidRPr="00271E51" w14:paraId="75893BC9" w14:textId="77777777" w:rsidTr="00ED5B0A">
        <w:tc>
          <w:tcPr>
            <w:tcW w:w="2254" w:type="dxa"/>
          </w:tcPr>
          <w:p w14:paraId="7778B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6000 м</w:t>
            </w:r>
          </w:p>
        </w:tc>
        <w:tc>
          <w:tcPr>
            <w:tcW w:w="2254" w:type="dxa"/>
          </w:tcPr>
          <w:p w14:paraId="6CB1A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w:t>
            </w:r>
          </w:p>
        </w:tc>
      </w:tr>
      <w:tr w:rsidR="00A907A5" w:rsidRPr="00271E51" w14:paraId="648DFDF0" w14:textId="77777777" w:rsidTr="00ED5B0A">
        <w:tc>
          <w:tcPr>
            <w:tcW w:w="2254" w:type="dxa"/>
          </w:tcPr>
          <w:p w14:paraId="2CC792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 Подъема на 5000</w:t>
            </w:r>
          </w:p>
        </w:tc>
        <w:tc>
          <w:tcPr>
            <w:tcW w:w="2254" w:type="dxa"/>
          </w:tcPr>
          <w:p w14:paraId="7F546A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r>
      <w:tr w:rsidR="00A907A5" w:rsidRPr="00271E51" w14:paraId="5D6FD54F" w14:textId="77777777" w:rsidTr="00ED5B0A">
        <w:tc>
          <w:tcPr>
            <w:tcW w:w="2254" w:type="dxa"/>
          </w:tcPr>
          <w:p w14:paraId="3653C0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2254" w:type="dxa"/>
          </w:tcPr>
          <w:p w14:paraId="461CE4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w:t>
            </w:r>
          </w:p>
        </w:tc>
      </w:tr>
      <w:tr w:rsidR="00A907A5" w:rsidRPr="00271E51" w14:paraId="61FE5CE0" w14:textId="77777777" w:rsidTr="00ED5B0A">
        <w:tc>
          <w:tcPr>
            <w:tcW w:w="2254" w:type="dxa"/>
          </w:tcPr>
          <w:p w14:paraId="265728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Дальн. с 1000 кг</w:t>
            </w:r>
          </w:p>
        </w:tc>
        <w:tc>
          <w:tcPr>
            <w:tcW w:w="2254" w:type="dxa"/>
          </w:tcPr>
          <w:p w14:paraId="78B565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071428" w14:textId="77777777" w:rsidTr="00ED5B0A">
        <w:tc>
          <w:tcPr>
            <w:tcW w:w="2254" w:type="dxa"/>
          </w:tcPr>
          <w:p w14:paraId="763DF1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335 км/час при весе 17650</w:t>
            </w:r>
          </w:p>
        </w:tc>
        <w:tc>
          <w:tcPr>
            <w:tcW w:w="2254" w:type="dxa"/>
          </w:tcPr>
          <w:p w14:paraId="415E7D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r>
      <w:tr w:rsidR="00A907A5" w:rsidRPr="00271E51" w14:paraId="6EA62AC4" w14:textId="77777777" w:rsidTr="00ED5B0A">
        <w:tc>
          <w:tcPr>
            <w:tcW w:w="2254" w:type="dxa"/>
          </w:tcPr>
          <w:p w14:paraId="679D2D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2000</w:t>
            </w:r>
          </w:p>
        </w:tc>
        <w:tc>
          <w:tcPr>
            <w:tcW w:w="2254" w:type="dxa"/>
          </w:tcPr>
          <w:p w14:paraId="13F9BB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r>
      <w:tr w:rsidR="00A907A5" w:rsidRPr="00271E51" w14:paraId="081947EB" w14:textId="77777777" w:rsidTr="00ED5B0A">
        <w:tc>
          <w:tcPr>
            <w:tcW w:w="2254" w:type="dxa"/>
          </w:tcPr>
          <w:p w14:paraId="77C3A1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3000</w:t>
            </w:r>
          </w:p>
        </w:tc>
        <w:tc>
          <w:tcPr>
            <w:tcW w:w="2254" w:type="dxa"/>
          </w:tcPr>
          <w:p w14:paraId="270865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r>
      <w:tr w:rsidR="00A907A5" w:rsidRPr="00271E51" w14:paraId="6D04DE3B" w14:textId="77777777" w:rsidTr="00ED5B0A">
        <w:tc>
          <w:tcPr>
            <w:tcW w:w="2254" w:type="dxa"/>
          </w:tcPr>
          <w:p w14:paraId="4CE8A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4000</w:t>
            </w:r>
          </w:p>
        </w:tc>
        <w:tc>
          <w:tcPr>
            <w:tcW w:w="2254" w:type="dxa"/>
          </w:tcPr>
          <w:p w14:paraId="150B49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6A1EBCA9" w14:textId="77777777" w:rsidTr="00ED5B0A">
        <w:tc>
          <w:tcPr>
            <w:tcW w:w="2254" w:type="dxa"/>
          </w:tcPr>
          <w:p w14:paraId="6ECE65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нагр.</w:t>
            </w:r>
          </w:p>
        </w:tc>
        <w:tc>
          <w:tcPr>
            <w:tcW w:w="2254" w:type="dxa"/>
          </w:tcPr>
          <w:p w14:paraId="7F07D2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кг (в т.ч. 4х500 внутри)</w:t>
            </w:r>
          </w:p>
        </w:tc>
      </w:tr>
      <w:tr w:rsidR="00A907A5" w:rsidRPr="00271E51" w14:paraId="13C1D10F" w14:textId="77777777" w:rsidTr="00ED5B0A">
        <w:tc>
          <w:tcPr>
            <w:tcW w:w="2254" w:type="dxa"/>
          </w:tcPr>
          <w:p w14:paraId="38388F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CD71E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снаружи - 3х1000</w:t>
            </w:r>
          </w:p>
        </w:tc>
      </w:tr>
      <w:tr w:rsidR="00A907A5" w:rsidRPr="00271E51" w14:paraId="085EFC20" w14:textId="77777777" w:rsidTr="00ED5B0A">
        <w:tc>
          <w:tcPr>
            <w:tcW w:w="2254" w:type="dxa"/>
          </w:tcPr>
          <w:p w14:paraId="0D7DF5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2254" w:type="dxa"/>
          </w:tcPr>
          <w:p w14:paraId="342EF4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120307" w14:textId="77777777" w:rsidTr="00ED5B0A">
        <w:tc>
          <w:tcPr>
            <w:tcW w:w="2254" w:type="dxa"/>
          </w:tcPr>
          <w:p w14:paraId="3EFB1C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w:t>
            </w:r>
          </w:p>
        </w:tc>
        <w:tc>
          <w:tcPr>
            <w:tcW w:w="2254" w:type="dxa"/>
          </w:tcPr>
          <w:p w14:paraId="427DB8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w:t>
            </w:r>
          </w:p>
        </w:tc>
      </w:tr>
      <w:tr w:rsidR="00A907A5" w:rsidRPr="00271E51" w14:paraId="01E19356" w14:textId="77777777" w:rsidTr="00ED5B0A">
        <w:tc>
          <w:tcPr>
            <w:tcW w:w="2254" w:type="dxa"/>
          </w:tcPr>
          <w:p w14:paraId="0A0B21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вниз</w:t>
            </w:r>
          </w:p>
        </w:tc>
        <w:tc>
          <w:tcPr>
            <w:tcW w:w="2254" w:type="dxa"/>
          </w:tcPr>
          <w:p w14:paraId="68222B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w:t>
            </w:r>
          </w:p>
        </w:tc>
      </w:tr>
      <w:tr w:rsidR="00A907A5" w:rsidRPr="00271E51" w14:paraId="5FC8F972" w14:textId="77777777" w:rsidTr="00ED5B0A">
        <w:tc>
          <w:tcPr>
            <w:tcW w:w="2254" w:type="dxa"/>
          </w:tcPr>
          <w:p w14:paraId="45DE0B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вверх</w:t>
            </w:r>
          </w:p>
        </w:tc>
        <w:tc>
          <w:tcPr>
            <w:tcW w:w="2254" w:type="dxa"/>
          </w:tcPr>
          <w:p w14:paraId="726675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1х20</w:t>
            </w:r>
          </w:p>
        </w:tc>
      </w:tr>
    </w:tbl>
    <w:p w14:paraId="3C166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Установить программу выпуска самолетов Ер-2 на 39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A907A5" w:rsidRPr="00271E51" w14:paraId="4779D203" w14:textId="77777777" w:rsidTr="00ED5B0A">
        <w:tc>
          <w:tcPr>
            <w:tcW w:w="2254" w:type="dxa"/>
          </w:tcPr>
          <w:p w14:paraId="437553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w:t>
            </w:r>
          </w:p>
        </w:tc>
        <w:tc>
          <w:tcPr>
            <w:tcW w:w="2254" w:type="dxa"/>
          </w:tcPr>
          <w:p w14:paraId="07078B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3B49B5BF" w14:textId="77777777" w:rsidTr="00ED5B0A">
        <w:tc>
          <w:tcPr>
            <w:tcW w:w="2254" w:type="dxa"/>
          </w:tcPr>
          <w:p w14:paraId="277AA0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w:t>
            </w:r>
          </w:p>
        </w:tc>
        <w:tc>
          <w:tcPr>
            <w:tcW w:w="2254" w:type="dxa"/>
          </w:tcPr>
          <w:p w14:paraId="266CE9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2795EB5E" w14:textId="77777777" w:rsidTr="00ED5B0A">
        <w:tc>
          <w:tcPr>
            <w:tcW w:w="2254" w:type="dxa"/>
          </w:tcPr>
          <w:p w14:paraId="15CE38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феврале</w:t>
            </w:r>
          </w:p>
        </w:tc>
        <w:tc>
          <w:tcPr>
            <w:tcW w:w="2254" w:type="dxa"/>
          </w:tcPr>
          <w:p w14:paraId="234EF8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r>
      <w:tr w:rsidR="00A907A5" w:rsidRPr="00271E51" w14:paraId="2AAD663A" w14:textId="77777777" w:rsidTr="00ED5B0A">
        <w:tc>
          <w:tcPr>
            <w:tcW w:w="2254" w:type="dxa"/>
          </w:tcPr>
          <w:p w14:paraId="3D7339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марте</w:t>
            </w:r>
          </w:p>
        </w:tc>
        <w:tc>
          <w:tcPr>
            <w:tcW w:w="2254" w:type="dxa"/>
          </w:tcPr>
          <w:p w14:paraId="086877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r>
      <w:tr w:rsidR="00A907A5" w:rsidRPr="00271E51" w14:paraId="583C165C" w14:textId="77777777" w:rsidTr="00ED5B0A">
        <w:tc>
          <w:tcPr>
            <w:tcW w:w="2254" w:type="dxa"/>
          </w:tcPr>
          <w:p w14:paraId="593793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мая</w:t>
            </w:r>
          </w:p>
        </w:tc>
        <w:tc>
          <w:tcPr>
            <w:tcW w:w="2254" w:type="dxa"/>
          </w:tcPr>
          <w:p w14:paraId="442B9D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2 в день</w:t>
            </w:r>
          </w:p>
        </w:tc>
      </w:tr>
      <w:tr w:rsidR="00A907A5" w:rsidRPr="00271E51" w14:paraId="5DED982A" w14:textId="77777777" w:rsidTr="00ED5B0A">
        <w:tc>
          <w:tcPr>
            <w:tcW w:w="2254" w:type="dxa"/>
          </w:tcPr>
          <w:p w14:paraId="1432A2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ил-4 ограничить</w:t>
            </w:r>
          </w:p>
        </w:tc>
        <w:tc>
          <w:tcPr>
            <w:tcW w:w="2254" w:type="dxa"/>
          </w:tcPr>
          <w:p w14:paraId="7583D7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4400CD" w14:textId="77777777" w:rsidTr="00ED5B0A">
        <w:tc>
          <w:tcPr>
            <w:tcW w:w="2254" w:type="dxa"/>
          </w:tcPr>
          <w:p w14:paraId="7EF37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w:t>
            </w:r>
          </w:p>
        </w:tc>
        <w:tc>
          <w:tcPr>
            <w:tcW w:w="2254" w:type="dxa"/>
          </w:tcPr>
          <w:p w14:paraId="5DF8E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r>
      <w:tr w:rsidR="00A907A5" w:rsidRPr="00271E51" w14:paraId="73FEC00A" w14:textId="77777777" w:rsidTr="00ED5B0A">
        <w:tc>
          <w:tcPr>
            <w:tcW w:w="2254" w:type="dxa"/>
          </w:tcPr>
          <w:p w14:paraId="3BDF89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w:t>
            </w:r>
          </w:p>
        </w:tc>
        <w:tc>
          <w:tcPr>
            <w:tcW w:w="2254" w:type="dxa"/>
          </w:tcPr>
          <w:p w14:paraId="09B807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r>
      <w:tr w:rsidR="00A907A5" w:rsidRPr="00271E51" w14:paraId="48088083" w14:textId="77777777" w:rsidTr="00ED5B0A">
        <w:tc>
          <w:tcPr>
            <w:tcW w:w="2254" w:type="dxa"/>
          </w:tcPr>
          <w:p w14:paraId="0F1A30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w:t>
            </w:r>
          </w:p>
        </w:tc>
        <w:tc>
          <w:tcPr>
            <w:tcW w:w="2254" w:type="dxa"/>
          </w:tcPr>
          <w:p w14:paraId="7AB9E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r>
      <w:tr w:rsidR="00A907A5" w:rsidRPr="00271E51" w14:paraId="691584BB" w14:textId="77777777" w:rsidTr="00ED5B0A">
        <w:tc>
          <w:tcPr>
            <w:tcW w:w="2254" w:type="dxa"/>
          </w:tcPr>
          <w:p w14:paraId="0936EA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потом без ущерба для Ер-2</w:t>
            </w:r>
          </w:p>
        </w:tc>
        <w:tc>
          <w:tcPr>
            <w:tcW w:w="2254" w:type="dxa"/>
          </w:tcPr>
          <w:p w14:paraId="1AD499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991E7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Директору завода 39 Абрамову к 1 октября 1943 законсервировать изготовление второго экз. Ил-6 и отгрузить в Москву на завод 240, после чего работы по Ил-6 прекратить (1749,122).</w:t>
      </w:r>
    </w:p>
    <w:p w14:paraId="6D6462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0F6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23 сентября по 12 октября 1943 в 48 гв. полку дальних разведчиков ГК КА на Степном фронте с аэродрома Основа (Харьков) и Полтава проводились войсковые испытания Як-9Р. Ставили и АФА-3С/50. Оказался хуже Пе-2 (65,129).</w:t>
      </w:r>
    </w:p>
    <w:p w14:paraId="547BB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BBA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23-25 сентября 1943 в Лаборатории 1 ЦАГИ состоялись сравнительным испытаниям Ла-5 с М-71 N 39210204 и с М-82 N 3720405 в трубе Т-101 (507).</w:t>
      </w:r>
    </w:p>
    <w:p w14:paraId="794B5B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4A6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года ГКО решил запустить этот самолет Ще-2 в серийное производство. Этим же решением был снят с серийного производства самолет ЯК-6, как уступающий ЩЕ-2 (8981).</w:t>
      </w:r>
    </w:p>
    <w:p w14:paraId="42430D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750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по приказу № 586с в состав ОКБ завода 219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794E31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47CE6A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54D39B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гл. конструктор (1942-46 г.)- П.В. Флеров.</w:t>
      </w:r>
    </w:p>
    <w:p w14:paraId="54F001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(09.1943 г.-)- Н.И. Жохов (11982).</w:t>
      </w:r>
    </w:p>
    <w:p w14:paraId="167E81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ECCA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начальник ЦКБ ГСДП Андреев, начальник цеха опытных конструкций ЦКБ ГСДП Тирман и представитель заказчика Михайлов составили акт о передаче двух опытных прожекторных установок ПП-4-5-3, смонтированных на аэросанях НКЛ-16 выпуска 1943 г. и НКЛ-26. Установка на НКЛ-16 была признана удовлетворяющей техническим требованиям, и заказчик разрешил изготовление партии. 30 октября 1943 г. ЦКБ ГСДП сдало 18 комплектов деталей монтажного оборудования прожекторных установок для аэросаней НКЛ-16. Прожекторные установки ПП-4-5-3 использовались для патрульной и охранной службы.</w:t>
      </w:r>
    </w:p>
    <w:p w14:paraId="1A3E2F7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требованию Ленинградского и Карельского фронтов для использования на аэросанях была приспособлена прожекторная установка ПП-4,5 гужевой тяги. Работы были выполнены ЦКБ ГСДП согласно договору №4-7-330.</w:t>
      </w:r>
    </w:p>
    <w:p w14:paraId="5EAF80F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Походная прожекторная установка, смонтированная на аэросанях, предназначалась для работы в ночное время с огневыми средствами, патрульной службы и сигнализации, а также для групповой зарядки 10-12 аккумуляторов. Прожекторная станция, обслуживаемая водителем машины и прожектористом, включала прожектор с лирой, силовой агрегат (двигатель с динамо постоянного тока), треногу с подъемным механизмом, катушку с кабелем питания, кабельс балластным сопротивлением, ящик с запасными деталями и инструментами, запасные бидоны для масла и бензина, вольтметр и переносную лампу.</w:t>
      </w:r>
    </w:p>
    <w:p w14:paraId="0DF30E9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аэросанях НКЛ-16 для установки элементов прожекторной станции были введены дополнительные узлы крепления. Агрегаты прожекторной станции размещались внутри корпуса машины с таким расчетом, чтобы обеспечить удобство работы команды во время движения, на стоянке, а также с земли. При снятии агрегатов прожекторной станции аэросани могли использоваться по своему прямому назначению.</w:t>
      </w:r>
    </w:p>
    <w:p w14:paraId="4083C40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Прожекторная установка ПП-4-5-3, смонтированная на аэросанях НКЛ-16-41, в походном положении.</w:t>
      </w:r>
    </w:p>
    <w:p w14:paraId="1A03D5C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Прожекторная установка ПП-4-5-3, смонтированная на аэросанях НКЛ-16-41.</w:t>
      </w:r>
    </w:p>
    <w:p w14:paraId="202BE9B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Подъемный механизм прожектора крепился на корпусе аэросаней между 7-м и 9-м шпангоутами. Тренога прожектора монтировалась между 9-м и 11 -м шпангоутами. В рабочем положении прожектор мог поворачиваться на 180". Управление и наводка луча на объект производились из кабины машины. В транспортном положении прожектор закрывался чехлом.</w:t>
      </w:r>
    </w:p>
    <w:p w14:paraId="4FB2B9F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Силовой агрегат, смонтированный в блоке на специальной тележке, устанавливался между 11 -м и 13-м шпангоутами на постаменте из четырех поперечных и двух продольных брусьев. Отработанные газы от двигателя из корпуса машины выводились через выхлопную трубу с глушителем. Кабель с балластными сопротивлениями, муфтами и выключателем крепился к 9-му шпангоуту на специальных скобах с правой стороны корпуса. Ящик для инструмента и запасных частей, бидоны для масла и бензина размещались на полу корпуса. Инструментальный ящик мог служить и как дополнительное сиденье для бойца.</w:t>
      </w:r>
    </w:p>
    <w:p w14:paraId="169555C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необходимости работы с земли на расстоянии до 50 м от аэросаней (катушка с кабелем питания устанавливалась на полу между 7-ми 8-м шпангоутами) прожектор можно было снимать и выставлять на треноге. На развертывание и свертывание прожекторной станции нормативно затрачивалось время от 2 до 3 мин. (12304).</w:t>
      </w:r>
    </w:p>
    <w:p w14:paraId="7A08A8B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93CF36F"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253AE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5997A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с конвейера ГАЗ сошел первый ГАЗ-67, а в октябре уже был налажен серийный выпуск. До конца года сделали 718, а всего по 1945 год-6068 штук (до конца войны-4851) (9638).</w:t>
      </w:r>
    </w:p>
    <w:p w14:paraId="7B1AA12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47A623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4175. Об обеспечении паром от Орской ТЭЦ завода металлургического оборудования Наркомтяжмаша.РГАНИР, Фонд ГКО, д. 152, лл. 186 (11012).</w:t>
      </w:r>
    </w:p>
    <w:p w14:paraId="4BA12C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4B8D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4176 [О мерах по увеличению производства низковольтных фарфоровых изоляторов.] (7140, 187).</w:t>
      </w:r>
    </w:p>
    <w:p w14:paraId="78D48F3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87D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4177. О передаче Сталинским облисполкомом 2 тыс. куб.м лесоматериалов Енакиевскому и Красногоровскому заводам НКЧМ.РГАНИР, Фонд ГКО, д. 152, лл. 188 (11012).</w:t>
      </w:r>
    </w:p>
    <w:p w14:paraId="30416C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1A8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4178. О создании при Артиллерийском научно-исследовательском морском институте научно-технической лаборатории взрывчатых веществ и порохов.РГАНИР, Фонд ГКО, д. 152, лл. 189 (11012).</w:t>
      </w:r>
    </w:p>
    <w:p w14:paraId="64123E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20C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23 сентября 1943 вышло Распоряжение ГКО № 4179. О поставках стройматериалов на восстанавливаемые предприятия Донбасса.РГАНИР, Фонд ГКО, д. 152, лл. 190 (11012).</w:t>
      </w:r>
    </w:p>
    <w:p w14:paraId="22E4E4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C68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4181. О мерах по восстановлению заводов и № 53 и 9 НКБ.РГАНИР, Фонд ГКО, д. 152, лл. 203-204, 205 (11012).</w:t>
      </w:r>
    </w:p>
    <w:p w14:paraId="56D6E3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F46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по распоряжению ГКО № 4181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НКБ.</w:t>
      </w:r>
      <w:r w:rsidRPr="00271E51">
        <w:rPr>
          <w:rFonts w:ascii="Times New Roman" w:hAnsi="Times New Roman"/>
          <w:color w:val="000000" w:themeColor="text1"/>
          <w:sz w:val="16"/>
          <w:szCs w:val="16"/>
          <w:vertAlign w:val="superscript"/>
        </w:rPr>
        <w:t>т</w:t>
      </w:r>
    </w:p>
    <w:p w14:paraId="6CAA2D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(1771 г.)- 51 чел., (1775г.)- 155 чел., (1860-е)- более 300 чел., (1938г.)- 5377 чел. (рабочих), (1939г.)- 6297 чел. (рабочих), (1940 г.)- 5976 чел. (рабочих), (07.1941 г.)- 7860 чел., (11.1943г.)- 2100 чел.</w:t>
      </w:r>
    </w:p>
    <w:p w14:paraId="57A0B4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(1771 г.-)- м Рудометов. Директор (начальник) (-03-9.08.1937г.)- М.Г. Нефедов (снят), (9.08- 09.1937г.-)- В.Л. Ивченков, (- 02.1941 г.)- А.П. Якушев.</w:t>
      </w:r>
    </w:p>
    <w:p w14:paraId="4B36E8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хозчасти (7.09.1938г.-)- Н.А. Беляев; по обще-административным делам и охране (7.09.1938г.-)- Б.М. Кучеренко; (22.10.1938г.-)- Л.П. Иванов. Помощник директора по найму и увольнению (06.1937; -5.03.1938г.)- Д.Б. Книжник (снят), (-13.11.1937г.)- Л.Я. Белицкий, (8.03.1938г.-)- В.В. Егупов.</w:t>
      </w:r>
    </w:p>
    <w:p w14:paraId="148FED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(-06-09.1937г.-)- Г.Е. Коршин, (22.10.1938г.-)- Л.П. Иванов.</w:t>
      </w:r>
    </w:p>
    <w:p w14:paraId="70A78B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 2 (-09.1937г.)- Левицкий.</w:t>
      </w:r>
    </w:p>
    <w:p w14:paraId="6692C3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 2 (09.1937г.-)- Левицкий.</w:t>
      </w:r>
    </w:p>
    <w:p w14:paraId="2773CD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технического и.о. (09.1937г.)- Жук-Романец.</w:t>
      </w:r>
    </w:p>
    <w:p w14:paraId="20AAA5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групп: (06.1938г.)- А.О. Ниссенман (11982).</w:t>
      </w:r>
    </w:p>
    <w:p w14:paraId="4D8A1E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7E1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Постановление ГКО № 4182 Об электроснабжении основных объектов первой категории гор. Владивостока.РГАНИР, Фонд ГКО, д. 152, лл. 206-207, 208-209 (11012).</w:t>
      </w:r>
    </w:p>
    <w:p w14:paraId="17634F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960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Постановление ГКО № 4183 О мероприятиях по увеличению производственных мощностей по выпуску водорода для противовоздушной обороны.РГАНИР, Фонд ГКО, д. 152, лл. 210-213, 214-218 (11012).</w:t>
      </w:r>
    </w:p>
    <w:p w14:paraId="2F216E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3903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Постановление ГКО № 4183 О мероприятиях по увеличению производственных мощностей по выпуску водорода для противовоздушной обороны. (7140, 210-213,214-218).</w:t>
      </w:r>
    </w:p>
    <w:p w14:paraId="0DE0C2F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A317B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4184 [О мерах по обеспечению Главного политического управления КА радиопередвижками для проведения политической работы на фронте.] (7140, 219-221).</w:t>
      </w:r>
    </w:p>
    <w:p w14:paraId="45D115C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3E494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4185 [О разрешении HКРП организовать в Ярославле производство вентилей для автомобильных, авиационных и других камер.] (7140, 222).</w:t>
      </w:r>
    </w:p>
    <w:p w14:paraId="4D8DA6D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690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4186. О приравнении электростанции и электросети в Сталинабаде по всем видам материально-технического, продовольственного снабжения и зарплате к электростанциям I категории, а станции в г. Ленинабаде и ГЭС в Хороге - к электростанциям II категории.РГАНИР, Фонд ГКО, д. 152, лл. 223 (11012).</w:t>
      </w:r>
    </w:p>
    <w:p w14:paraId="04338F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3DC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4187. О выделении денежных средств на индивидуальное жилищное строительство работников Челябинского трубопрокатного завода, Челябинского и Белкинского рудуправлений НКЧМ.РГАНИР, Фонд ГКО, д. 152, лл. 224 (11012).</w:t>
      </w:r>
    </w:p>
    <w:p w14:paraId="1A0259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523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Постановление ГКО № 4188 О дополнительных мероприятиях по восстановлению средств связи в районах, освобожденных и освобождаемых от немецкой оккупации.РГАНИР, Фонд ГКО, д. 153, лл. 1-7, 8-15 (11012).</w:t>
      </w:r>
    </w:p>
    <w:p w14:paraId="16D424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1E8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Постановление ГКО № 4189 О производстве специальных электронных приборов в электровакуумном институте № 160 Наркомэлектропрома и его опытном заводе № 747. (7096, 16-21,22-44).</w:t>
      </w:r>
    </w:p>
    <w:p w14:paraId="09C4559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4B4A2"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вышло Постановление № 4189 «О производстве специальных электронных приборов в электровакуумном институте № 160 Наркомэлектропрома и его опытном заводе № 747» (15736).</w:t>
      </w:r>
    </w:p>
    <w:p w14:paraId="516293D3"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4DCDF1D9"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 решением ГКО СССР перед ленинградскими заводами была поставлена задача изготовить радиопередвижки для Главного Политического Управления РККА. Головным предприятием был избран завод № 619, которому другие заводы города поставляли необходимые комплектующие (заводы № 616, 186 и др.).</w:t>
      </w:r>
    </w:p>
    <w:p w14:paraId="70C3F6C2"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619 и после снятия блокады продолжал серийный выпуск радиоизделий для фронта. В 1944 г. в массовом количестве изготавливался переносной радиоприемник ЛП-1, разработанный в 1943 г.</w:t>
      </w:r>
    </w:p>
    <w:p w14:paraId="28DE6405"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слухового приема телефонных и телеграфных передач, а также для записи принятых сигналов на звукозаписывающий аппарат был разработан переносной УКВ приемник типа ЛП-У, выпущенный в 1944 г. значительной партией в 150 комплектов (18297).</w:t>
      </w:r>
    </w:p>
    <w:p w14:paraId="76AFCAE3"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510753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вышло Распоряжение ГКО № 4190. О мерах по обеспечению цинковыми белилами заводов НКРП.РГАНИР, Фонд ГКО, д. 153, лл. 45-47 (11012).</w:t>
      </w:r>
    </w:p>
    <w:p w14:paraId="212340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7481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года нарком нефтяной промышленности И. Седин писал письмо № ПР-752 зам. председателя Совнаркома Берия Л.П.</w:t>
      </w:r>
    </w:p>
    <w:p w14:paraId="709A65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Нефтяная промышленность, после изъятия в 1941 году Подольского завода им. Орджоникидзе, осталась без собственной производственной базы по изготовлению нефтеаппаратуры и паровых котлов. ……………. Таким образом, производство нефтеаппаратуры на отечественных заводах прекратилось.</w:t>
      </w:r>
    </w:p>
    <w:p w14:paraId="6E31B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Бывший завод им. Орджоникидзе в Подольске в настоящее время разделенный на две части: одна часть с нефтеаппаратурным цехом принадлежит Таганрогскому заводу “Красный котельщик” НКТМ и вторая часть – заводу № 125 НКАП используется всего только на 25-30% своей мощности. ………….</w:t>
      </w:r>
    </w:p>
    <w:p w14:paraId="040724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Вернуть завод Наркомнефти (8916).</w:t>
      </w:r>
    </w:p>
    <w:p w14:paraId="21189D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8D9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Устранялись боевые повреждения БМО (ремонт завершен 26 сентября) (10671).</w:t>
      </w:r>
    </w:p>
    <w:p w14:paraId="795C4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705B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24231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B02B8"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сентября </w:t>
      </w:r>
      <w:r w:rsidRPr="00271E51">
        <w:rPr>
          <w:rFonts w:ascii="Times New Roman" w:hAnsi="Times New Roman"/>
          <w:color w:val="000000" w:themeColor="text1"/>
          <w:sz w:val="16"/>
          <w:szCs w:val="16"/>
        </w:rPr>
        <w:t>в 1943 году оперативная сводка Совинформбюро:</w:t>
      </w:r>
    </w:p>
    <w:p w14:paraId="2A24054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Степного фронта, успешно форсировав реку Ворскла, после трёхдневных упорных боёв 23 сентября овладели областным центром Украины—городом Полтава.</w:t>
      </w:r>
    </w:p>
    <w:p w14:paraId="42EAD2ED"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Брянского фронта, продолжая стремительное наступление, с боем овладели важнейшим железнодорожным узлом и городом Унеча.</w:t>
      </w:r>
    </w:p>
    <w:p w14:paraId="45AAA40A"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и, продвинувшись вперёд от 5 до 10 километров, заняли свыше 30 населённых пунктов, в том числе крупные населённые пункты Бабайковка, Преображенка, Топчино, Магдалиновка, Очеретоватое, Кулебовка, Илларионово, Петровка, Веселый.</w:t>
      </w:r>
    </w:p>
    <w:p w14:paraId="3E63FA96"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вели успешное наступление и, продвинувшись вперёд от 10 до 15 километров, заняли свыше 140 населённых пунктов, среди которых крупные населённые пункты Большие Липняги, Ялосовецке,Трубайцы, Семионовка, Степановна, Дзюбовщина, Белоцерковка, Бирки, Лобачи, Братешки, Антонцы, Бугаевка, Войтовка и железнодорожные станции УМАНЦЕВКА, Решетиловка, Братешки, Сагайдак.</w:t>
      </w:r>
    </w:p>
    <w:p w14:paraId="1C911600"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Киевском направлении наши войска продолжали развивать успешное наступлениеи, продвинувшись вперёд от 10 до 15 километров, заняли свыше 200 населённых пунктов, в том числе районный центр Полтавской области Глемязово, крупные населённые пункты Рожны, Рожевка, Богдановка, Большая Дымерка, Гоголев, Красиловка, Требухово, Дударково, Старое, Вергуны-Пологи, Хоцки, Песчаное и железнодорожные станции Бобрик, Дымерка, Барышевка.</w:t>
      </w:r>
    </w:p>
    <w:p w14:paraId="0505B8B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продолжая развивать успешное наступление, продвинулись вперёд от 10 до 20 километров, заняли свыше 300 населённых пунктов, среди которых крупные населённые пункты Васильевка, Марьинская, Цынка, Луговец, Лопазна, Великая Дуброва, Красновичи, Старая Гута, Найтоповичи, Дареевичи, Истобки, Карповичи, Соловьёвка, Шумиловка, Петровка, Дубровное, Куликовка, Петрушин, Полуботки, Карховка, Видельцы.</w:t>
      </w:r>
    </w:p>
    <w:p w14:paraId="478D3A73"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вели успешное наступление и, продвинувшись вперёд от 10 до 15 километров, овладели городом Починок, а также заняли свыше 150 населённых пунктов, среди которых крупные населённые пункты Перфилова, Понасково, Пузаново (15 километров северо-восточнее Смоленска), Лаптево, Вернибисово, Путятинка, Пищалово, Салова, Лучеса, Хмара, Мочулы и железнодорожные станции Пересна, Панская, Рябцево, Приднепровская, Кардымово, Пересветово.</w:t>
      </w:r>
    </w:p>
    <w:p w14:paraId="1008170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северо-западнее Смоленска, продвинулись вперёд от 5 до 7 километров и заняли свыше 40 населённых пунктов, среди которых крупные населённые пункты Дрозды, Тарасенки, Мартиново, Попары, Осиповка, Скубятино, Сирицы, Макунино, Чачина, Сыролипки.</w:t>
      </w:r>
    </w:p>
    <w:p w14:paraId="216966A7"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сентября наши войска на всех фронтах подбили и уничтожили 28 немецких танков. В воздушных боях и огнём зенитной артиллерии сбито 62 самолёта противника.</w:t>
      </w:r>
    </w:p>
    <w:p w14:paraId="6393E417"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Степного фронта, развивая наступление, переправились через реку Ворскла и завязали бои на подступах к Полтаве. Противник упорно защищал город и непрерывно бросал в контратаки пехоту, поддержанную танками и артиллерией. Сломив сопротивление немцев, советские бойцы ворвались в город. В результате трёхдневных ожесточённых боёв, неоднократно переходивших в рукопашные схватки, областной центр Украины, важнейший узел железных дорог — город Полтава освобождён от немецко-фашистских захватчиков. В боях за город противник понёс тяжёлые потери. Захвачено большое количество военной техники, склады с боеприпасами, продовольствием и различным военным имуществом.</w:t>
      </w:r>
    </w:p>
    <w:p w14:paraId="3BA234E0"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вели успешное наступление и заняли свыше 300 населённых пунктов.</w:t>
      </w:r>
    </w:p>
    <w:p w14:paraId="58D34C24"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Брянского фронта, продолжая стремительное наступление, продвинулись вперёд до 20 километров и с боем овладели железнодорожным узлом и сильным опорным пунктом обороны немцев — городом Унеча. Наши танковые и моторизованные подразделения, преследуя противника, уничтожили свыше 1.500 солдат и офицеров противника. Захвачено 22 орудия, 82 пулемёта, 70 автомашин с военными грузами. Взято 150 пленных.</w:t>
      </w:r>
    </w:p>
    <w:p w14:paraId="3D1CE7F5"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лесах юго-восточнее населённого пункта Соловьёвка части Н-ского соединения удачным манёвром отрезали пути отхода полку немецкой пехоты. Действиями наших подвижных отрядов противник был разъединён, а затем по частям полностью разгромлен. Взято большое число пленных, вся артиллерия, боеприпасы, вооружение и имущество разгромленного немецкого полка.</w:t>
      </w:r>
    </w:p>
    <w:p w14:paraId="18FB648B"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Противник ввёл в бой резервные части, только что прибывшие на фронт, и оказывал упорное сопротивление на промежуточных рубежах. Сломив сопротивление гитлеровцев, наши войска заняли свыше 30 населённых пунктов. В боях за эти населённые пункты подбито и сожжено 8 немецких танков и уничтожено более 800 солдат и офицеров противника.</w:t>
      </w:r>
    </w:p>
    <w:p w14:paraId="7F4CE75B"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вести успешные наступательные бои. Части Н-ского соединения, преодолевая сопротивление немцев, заняли районный центр Полтавской области Глемязово, а также многие другие населённые пункты. Под ударами наших войск противник отступает, бросая орудия, огромное число снарядов, мин и патронов. На одном участке нашими бойцами захвачены 6 полностью исправных немецких танков вместе с их экипажами. Наши части сегодня вели упорные бои за станцию Бобрик на железной дороге Нежин — Киев. К исходу дня ударами с востока и с севера противник был отброшен. Уничтожено до 1.000 немецких солдат и офицеров. Захвачено 20 орудий и другие трофеи.</w:t>
      </w:r>
    </w:p>
    <w:p w14:paraId="44549D79"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Смоленском направлении наши войска, отражая многочисленные контратаки противника, продолжали продвигаться вперёд и заняли свыше 150 населённых пунктов. Бойцы Н-ского соединения, овладев городом Починок, перерезали железную дорогу Рославль—Смоленск. За день боёв уничтожено до 2.000 немецких солдат и офицеров. Захвачены большие трофеи и, свыше 100 пленных.</w:t>
      </w:r>
    </w:p>
    <w:p w14:paraId="7D29F7E8"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Смоленска противник, пытаясь приостановить наступление советских войск, предпринял свыше двадцати контратак. Наши части отбили все вражеские контратаки и после ожесточённого боя форсировали реку Каспля. Развивая успех, наши части отбросили противника и заняли ряд населённых пунктов.</w:t>
      </w:r>
    </w:p>
    <w:p w14:paraId="4E186E06"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Черноморского флота потопили шесть самоходных барж с немецкими войсками. Кроме того, повреждены пять барж и три сторожевых катера противника. В воздушных боях сбито шесть немецких самолётов.</w:t>
      </w:r>
    </w:p>
    <w:p w14:paraId="1A41C801"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Украинский партизанский отряд имени Коцюбинского напал на немецкий гарнизон, расположенный в крупном населённом пункте. В ожесточённой схватке партизаны уничтожили многих гитлеровцев, а остальных обратили в бегство. Вскоре на помощь разгромленному гарнизону прибыл батальон вражеской пехоты. Партизаны встретили немцев сосредоточенным ружейно-пулемётным огнём. Противник, потеряв 110 солдат и офицеров убитыми, в беспорядке отступил. Партизаны захватили трофеи.</w:t>
      </w:r>
    </w:p>
    <w:p w14:paraId="68A29073"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2 батареи 430 немецкого тяжёлого артиллерийского дивизиона лейтенант Гельмут Болумель рассказал: «В середине августа 1943 года я окончил офицерскую школу в городе Реймсе. Летние поражения немецких войск на Восточном фронте породили среди учащихся панические слухи. Чтобы разрядить напряжённую атмосферу, начальник школы генерал-майор Эвеминг прочитал нам лекцию на тему «Неудача немецкого наступления на Курск». Генерал заявил: «Мы просчитались. Никто не ожидал, что мощные соединения танков «Тигр» встретят такой отпор. Немецкая армия вынуждена была отступить и оставить значительную территорию, но теперь наступление русских остановлено».</w:t>
      </w:r>
    </w:p>
    <w:p w14:paraId="3F8C6D8F"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Прибыв на фронт, я убедился, что расчёты генерала Эвеминга, а также инемецкого командования построены на песке. Русские прорвали оборонительные рубежи, которые мы ещё недавно считали неприступными. Немецкая армия отступает и несёт такие колоссальные потери, каких она не имела за все годы войны» (14778).</w:t>
      </w:r>
    </w:p>
    <w:p w14:paraId="0953E25E"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721FD45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советские войска освободили от фашистов Полтаву (4962).</w:t>
      </w:r>
    </w:p>
    <w:p w14:paraId="4A21DD2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F03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23, 1943: The Red Army recaptures Poltava in the Ukraine (3819).</w:t>
      </w:r>
    </w:p>
    <w:p w14:paraId="76B784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53B8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СтепФ (И.С.Конев) и ВФ (Н.Ф.Ватутин) освободили Полтаву (3398,339).</w:t>
      </w:r>
    </w:p>
    <w:p w14:paraId="1BE67F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BDB2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23-го сентября 1943 пилот Бунимович доложил о новой успешной атаке примерно в районе латвийского маяка Паппензее. Нападению подвергся небольшой конвой, включавший 6000-тонный транспорт. Но на этот раз зенитки помешали сбросить торпеду точно - в документах противника результат этой атаки не зафиксирован (9965).</w:t>
      </w:r>
    </w:p>
    <w:p w14:paraId="2C643C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D07B2" w14:textId="77777777" w:rsidR="007A3BB4" w:rsidRPr="00271E51" w:rsidRDefault="007A3BB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фашисты уничтожили еврейское гетто в Вильнюсе, оставшиеся в живых евреи отправлены в Майданек (4962).</w:t>
      </w:r>
    </w:p>
    <w:p w14:paraId="039D0A3D" w14:textId="77777777" w:rsidR="007A3BB4" w:rsidRPr="00271E51" w:rsidRDefault="007A3BB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9E8015"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было ликвидировано вильнюсское гетто (3481).</w:t>
      </w:r>
    </w:p>
    <w:p w14:paraId="6DA468C3" w14:textId="77777777" w:rsidR="007A3BB4" w:rsidRPr="00271E51" w:rsidRDefault="007A3B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3F77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B48E5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4B474"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23–24 сентября (ночь) 1943 628 британских бомбардировщиков и 5 самолетов ВВС США B-17 «Летающие крепости» наносят удар по Мангейму, Германия, в ходе успешного налета, который также повреждает часть соседнего Людвигсхафена. Тридцать два британских самолета (5,1 процента сил) потеряны (20376).</w:t>
      </w:r>
    </w:p>
    <w:p w14:paraId="2FEB8CE0" w14:textId="77777777" w:rsidR="00CC32B5" w:rsidRPr="00271E51" w:rsidRDefault="00CC32B5" w:rsidP="00271E51">
      <w:pPr>
        <w:spacing w:after="0" w:line="240" w:lineRule="auto"/>
        <w:jc w:val="both"/>
        <w:rPr>
          <w:rFonts w:ascii="Times New Roman" w:hAnsi="Times New Roman"/>
          <w:color w:val="0070C0"/>
          <w:sz w:val="16"/>
          <w:szCs w:val="16"/>
        </w:rPr>
      </w:pPr>
    </w:p>
    <w:p w14:paraId="7A8832D5"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23–24 сентября (ночь) 1943 налет 29 других британских бомбардировщиков на соседний Дармштадт нанес значительный ущерб (20376).</w:t>
      </w:r>
    </w:p>
    <w:p w14:paraId="5612FDD4" w14:textId="77777777" w:rsidR="00CC32B5" w:rsidRPr="00271E51" w:rsidRDefault="00CC32B5" w:rsidP="00271E51">
      <w:pPr>
        <w:spacing w:after="0" w:line="240" w:lineRule="auto"/>
        <w:jc w:val="both"/>
        <w:rPr>
          <w:rFonts w:ascii="Times New Roman" w:hAnsi="Times New Roman"/>
          <w:color w:val="0070C0"/>
          <w:sz w:val="16"/>
          <w:szCs w:val="16"/>
        </w:rPr>
      </w:pPr>
    </w:p>
    <w:p w14:paraId="46916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в дневнике Гебельса есть запись беседы с А.Г., который сказал, что война на два фронта трудна, но он бы предпочел переговоры с И.В.С. (3304,152).</w:t>
      </w:r>
    </w:p>
    <w:p w14:paraId="53D128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536A7"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сентября </w:t>
      </w:r>
      <w:r w:rsidRPr="00271E51">
        <w:rPr>
          <w:rFonts w:ascii="Times New Roman" w:hAnsi="Times New Roman"/>
          <w:color w:val="000000" w:themeColor="text1"/>
          <w:sz w:val="16"/>
          <w:szCs w:val="16"/>
        </w:rPr>
        <w:t>в 1943 году обсуждая вопрос о возможности соглашения Германии с одной из воюющих сторон, Адольф Гитлер отметил, что он предпочел бы начать переговоры с И.В.Сталиным, однако сомневается в их успехе (14778).</w:t>
      </w:r>
    </w:p>
    <w:p w14:paraId="3ADE6389"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009D417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французские войска Шарля де Голля высадились на Корсике (4962).</w:t>
      </w:r>
    </w:p>
    <w:p w14:paraId="2BE4F24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307B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lastRenderedPageBreak/>
        <w:t>September 23 1943 Mussolini re-establishes Fascist government (1050).</w:t>
      </w:r>
    </w:p>
    <w:p w14:paraId="23F113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285B1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сентября 1943 Б.Муссолини восстановил фашистское правительство (1050).</w:t>
      </w:r>
    </w:p>
    <w:p w14:paraId="0DEB4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196FE"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сентября </w:t>
      </w:r>
      <w:r w:rsidRPr="00271E51">
        <w:rPr>
          <w:rFonts w:ascii="Times New Roman" w:hAnsi="Times New Roman"/>
          <w:color w:val="000000" w:themeColor="text1"/>
          <w:sz w:val="16"/>
          <w:szCs w:val="16"/>
        </w:rPr>
        <w:t>в 1943 году в 00-40 в спальне генерального комиссара Белоруссии гауляйтера Вильгельма Кубе взорвалась бомба, заложенная прислугой Еленой Мазаник. Палач белорусского народа погиб на месте. За этот подвиг Мазаник присвоено звание Героя Советского (14778).</w:t>
      </w:r>
    </w:p>
    <w:p w14:paraId="1EBA4FEA"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6C987BFA" w14:textId="77777777" w:rsidR="007A3BB4" w:rsidRPr="00271E51" w:rsidRDefault="007A3BB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сентября </w:t>
      </w:r>
      <w:r w:rsidRPr="00271E51">
        <w:rPr>
          <w:rFonts w:ascii="Times New Roman" w:hAnsi="Times New Roman"/>
          <w:color w:val="000000" w:themeColor="text1"/>
          <w:sz w:val="16"/>
          <w:szCs w:val="16"/>
        </w:rPr>
        <w:t>в 1943 году от огня британских эсминцев «HMS Eclipse» и «HMS Fury» получило тяжелые повреждения, опрокинулось и затонуло за несколько секунд итальянское грузопассажирское дизельное судно "Gaetano Donizetti" (1928 года постройки, 2424 брт, 12 узлов). 22 сентября 1943 судно вышло с Родоса, имея на борту 1576 итальянских военнопленных (захваченных немцами после капитуляции Италии) и 220 членов экипажа и охранников. Охранение - 600-тонный миноносец ТА-10 (бывший французский "La Pomone", затем - итальянский «FR-42»). В 1:10 23 сентября конвой был перехвачен в 10 милях юго-западнее Родоса британскими ВМС. Спасшихся с него не было. Миноносец был также тяжело поврежден, позже отбуксирован к Родосу и не восстанавливался (14778).</w:t>
      </w:r>
    </w:p>
    <w:p w14:paraId="30D919F6"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13C5BAD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39CFC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A00CDA"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24 сентября 1943 г., после нескольких итераций согласования как самих результатов испытаний, так и</w:t>
      </w:r>
      <w:r w:rsidRPr="00271E51">
        <w:rPr>
          <w:rStyle w:val="aff6"/>
          <w:rFonts w:ascii="Times New Roman" w:eastAsia="Arial Narrow" w:hAnsi="Times New Roman" w:cs="Times New Roman"/>
          <w:i w:val="0"/>
          <w:color w:val="000000" w:themeColor="text1"/>
          <w:spacing w:val="0"/>
        </w:rPr>
        <w:t xml:space="preserve"> их</w:t>
      </w:r>
      <w:r w:rsidRPr="00271E51">
        <w:rPr>
          <w:rFonts w:ascii="Times New Roman" w:cs="Times New Roman"/>
          <w:color w:val="000000" w:themeColor="text1"/>
          <w:spacing w:val="0"/>
          <w:sz w:val="16"/>
          <w:szCs w:val="16"/>
        </w:rPr>
        <w:t xml:space="preserve"> трактовки Генерал-полковник А.К. Репин, который весьма тща</w:t>
      </w:r>
      <w:r w:rsidRPr="00271E51">
        <w:rPr>
          <w:rFonts w:ascii="Times New Roman" w:cs="Times New Roman"/>
          <w:color w:val="000000" w:themeColor="text1"/>
          <w:spacing w:val="0"/>
          <w:sz w:val="16"/>
          <w:szCs w:val="16"/>
        </w:rPr>
        <w:softHyphen/>
        <w:t>тельно подошел к вопросу утверждения ма</w:t>
      </w:r>
      <w:r w:rsidRPr="00271E51">
        <w:rPr>
          <w:rFonts w:ascii="Times New Roman" w:cs="Times New Roman"/>
          <w:color w:val="000000" w:themeColor="text1"/>
          <w:spacing w:val="0"/>
          <w:sz w:val="16"/>
          <w:szCs w:val="16"/>
        </w:rPr>
        <w:softHyphen/>
        <w:t>териалов отчета, поставил свою подпись.</w:t>
      </w:r>
    </w:p>
    <w:p w14:paraId="0F19F199"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26 августа 1943 г. в заключение отчета по испытаниям от указывалось:</w:t>
      </w:r>
    </w:p>
    <w:p w14:paraId="71562B5C" w14:textId="77777777" w:rsidR="007A3BB4" w:rsidRPr="00271E51" w:rsidRDefault="007A3BB4"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«1) Считать целесообразным применение экранной брони на самолетах ВВС КА для за</w:t>
      </w:r>
      <w:r w:rsidRPr="00271E51">
        <w:rPr>
          <w:rFonts w:ascii="Times New Roman" w:cs="Times New Roman"/>
          <w:color w:val="000000" w:themeColor="text1"/>
          <w:sz w:val="16"/>
          <w:szCs w:val="16"/>
        </w:rPr>
        <w:softHyphen/>
        <w:t>щиты от бронебойных пуль калибра 15 мм и рекомендовать конструкторам для широкого использования.</w:t>
      </w:r>
    </w:p>
    <w:p w14:paraId="11CA4BC8" w14:textId="77777777" w:rsidR="007A3BB4" w:rsidRPr="00271E51" w:rsidRDefault="007A3BB4"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 Просить НКАП обязать з-д 207 и ВИАМ:</w:t>
      </w:r>
    </w:p>
    <w:p w14:paraId="18C9E5BD" w14:textId="77777777" w:rsidR="007A3BB4" w:rsidRPr="00271E51" w:rsidRDefault="007A3BB4" w:rsidP="00271E51">
      <w:pPr>
        <w:pStyle w:val="45"/>
        <w:shd w:val="clear" w:color="auto" w:fill="auto"/>
        <w:tabs>
          <w:tab w:val="left" w:pos="519"/>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а) отработать экранированную систему для защиты от снарядов калибра 20 мм;</w:t>
      </w:r>
    </w:p>
    <w:p w14:paraId="147F5256" w14:textId="77777777" w:rsidR="007A3BB4" w:rsidRPr="00271E51" w:rsidRDefault="007A3BB4" w:rsidP="00271E51">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б) отработать экранную броню с гомоген</w:t>
      </w:r>
      <w:r w:rsidRPr="00271E51">
        <w:rPr>
          <w:rFonts w:ascii="Times New Roman" w:cs="Times New Roman"/>
          <w:color w:val="000000" w:themeColor="text1"/>
          <w:sz w:val="16"/>
          <w:szCs w:val="16"/>
        </w:rPr>
        <w:softHyphen/>
        <w:t>ным экраном до 1 декабря 1943 г.».</w:t>
      </w:r>
    </w:p>
    <w:p w14:paraId="73867C70"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Исследовались экранированные системы, состоящие из хромомолибденовой цемен</w:t>
      </w:r>
      <w:r w:rsidRPr="00271E51">
        <w:rPr>
          <w:rFonts w:ascii="Times New Roman" w:cs="Times New Roman"/>
          <w:color w:val="000000" w:themeColor="text1"/>
          <w:spacing w:val="0"/>
          <w:sz w:val="16"/>
          <w:szCs w:val="16"/>
        </w:rPr>
        <w:softHyphen/>
        <w:t>тованной брони ХД(ц) - экран, и гомогенной брони марки АБ-2 и ХД валового производст</w:t>
      </w:r>
      <w:r w:rsidRPr="00271E51">
        <w:rPr>
          <w:rFonts w:ascii="Times New Roman" w:cs="Times New Roman"/>
          <w:color w:val="000000" w:themeColor="text1"/>
          <w:spacing w:val="0"/>
          <w:sz w:val="16"/>
          <w:szCs w:val="16"/>
        </w:rPr>
        <w:softHyphen/>
        <w:t>ва разных толщин. Обстрел велся из немецкой пушки МС151 калибра 15 и 20 мм с дистанции 200 м по нормали и со 100 м под углом к нор</w:t>
      </w:r>
      <w:r w:rsidRPr="00271E51">
        <w:rPr>
          <w:rFonts w:ascii="Times New Roman" w:cs="Times New Roman"/>
          <w:color w:val="000000" w:themeColor="text1"/>
          <w:spacing w:val="0"/>
          <w:sz w:val="16"/>
          <w:szCs w:val="16"/>
        </w:rPr>
        <w:softHyphen/>
        <w:t>мали до 40°.</w:t>
      </w:r>
    </w:p>
    <w:p w14:paraId="0960D4AB"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Испытания обстрелом проводились в</w:t>
      </w:r>
      <w:r w:rsidRPr="00271E51">
        <w:rPr>
          <w:rStyle w:val="0pt1"/>
          <w:rFonts w:eastAsia="Arial Narrow"/>
          <w:b w:val="0"/>
          <w:color w:val="000000" w:themeColor="text1"/>
          <w:spacing w:val="0"/>
          <w:sz w:val="16"/>
          <w:szCs w:val="16"/>
        </w:rPr>
        <w:t xml:space="preserve"> пол</w:t>
      </w:r>
      <w:r w:rsidRPr="00271E51">
        <w:rPr>
          <w:rStyle w:val="0pt1"/>
          <w:rFonts w:eastAsia="Arial Narrow"/>
          <w:b w:val="0"/>
          <w:color w:val="000000" w:themeColor="text1"/>
          <w:spacing w:val="0"/>
          <w:sz w:val="16"/>
          <w:szCs w:val="16"/>
        </w:rPr>
        <w:softHyphen/>
      </w:r>
      <w:r w:rsidRPr="00271E51">
        <w:rPr>
          <w:rFonts w:ascii="Times New Roman" w:cs="Times New Roman"/>
          <w:color w:val="000000" w:themeColor="text1"/>
          <w:spacing w:val="0"/>
          <w:sz w:val="16"/>
          <w:szCs w:val="16"/>
        </w:rPr>
        <w:t>ном соответствии с утвержденной</w:t>
      </w:r>
      <w:r w:rsidRPr="00271E51">
        <w:rPr>
          <w:rStyle w:val="0pt1"/>
          <w:rFonts w:eastAsia="Arial Narrow"/>
          <w:b w:val="0"/>
          <w:color w:val="000000" w:themeColor="text1"/>
          <w:spacing w:val="0"/>
          <w:sz w:val="16"/>
          <w:szCs w:val="16"/>
        </w:rPr>
        <w:t xml:space="preserve"> методикой </w:t>
      </w:r>
      <w:r w:rsidRPr="00271E51">
        <w:rPr>
          <w:rFonts w:ascii="Times New Roman" w:cs="Times New Roman"/>
          <w:color w:val="000000" w:themeColor="text1"/>
          <w:spacing w:val="0"/>
          <w:sz w:val="16"/>
          <w:szCs w:val="16"/>
        </w:rPr>
        <w:t>полигонных испытаний авиационной</w:t>
      </w:r>
      <w:r w:rsidRPr="00271E51">
        <w:rPr>
          <w:rStyle w:val="0pt1"/>
          <w:rFonts w:eastAsia="Arial Narrow"/>
          <w:b w:val="0"/>
          <w:color w:val="000000" w:themeColor="text1"/>
          <w:spacing w:val="0"/>
          <w:sz w:val="16"/>
          <w:szCs w:val="16"/>
        </w:rPr>
        <w:t xml:space="preserve"> брони. </w:t>
      </w:r>
      <w:r w:rsidRPr="00271E51">
        <w:rPr>
          <w:rFonts w:ascii="Times New Roman" w:cs="Times New Roman"/>
          <w:color w:val="000000" w:themeColor="text1"/>
          <w:spacing w:val="0"/>
          <w:sz w:val="16"/>
          <w:szCs w:val="16"/>
        </w:rPr>
        <w:t>При стрельбе по нормали учитывались</w:t>
      </w:r>
      <w:r w:rsidRPr="00271E51">
        <w:rPr>
          <w:rStyle w:val="0pt1"/>
          <w:rFonts w:eastAsia="Arial Narrow"/>
          <w:b w:val="0"/>
          <w:color w:val="000000" w:themeColor="text1"/>
          <w:spacing w:val="0"/>
          <w:sz w:val="16"/>
          <w:szCs w:val="16"/>
        </w:rPr>
        <w:t xml:space="preserve"> лишь </w:t>
      </w:r>
      <w:r w:rsidRPr="00271E51">
        <w:rPr>
          <w:rFonts w:ascii="Times New Roman" w:cs="Times New Roman"/>
          <w:color w:val="000000" w:themeColor="text1"/>
          <w:spacing w:val="0"/>
          <w:sz w:val="16"/>
          <w:szCs w:val="16"/>
        </w:rPr>
        <w:t>те попадания, которые укладывались в</w:t>
      </w:r>
      <w:r w:rsidRPr="00271E51">
        <w:rPr>
          <w:rStyle w:val="0pt1"/>
          <w:rFonts w:eastAsia="Arial Narrow"/>
          <w:b w:val="0"/>
          <w:color w:val="000000" w:themeColor="text1"/>
          <w:spacing w:val="0"/>
          <w:sz w:val="16"/>
          <w:szCs w:val="16"/>
        </w:rPr>
        <w:t xml:space="preserve"> полосу </w:t>
      </w:r>
      <w:r w:rsidRPr="00271E51">
        <w:rPr>
          <w:rFonts w:ascii="Times New Roman" w:cs="Times New Roman"/>
          <w:color w:val="000000" w:themeColor="text1"/>
          <w:spacing w:val="0"/>
          <w:sz w:val="16"/>
          <w:szCs w:val="16"/>
        </w:rPr>
        <w:t>шириной 100 мм, что обеспечивало</w:t>
      </w:r>
      <w:r w:rsidRPr="00271E51">
        <w:rPr>
          <w:rStyle w:val="0pt1"/>
          <w:rFonts w:eastAsia="Arial Narrow"/>
          <w:b w:val="0"/>
          <w:color w:val="000000" w:themeColor="text1"/>
          <w:spacing w:val="0"/>
          <w:sz w:val="16"/>
          <w:szCs w:val="16"/>
        </w:rPr>
        <w:t xml:space="preserve"> точность </w:t>
      </w:r>
      <w:r w:rsidRPr="00271E51">
        <w:rPr>
          <w:rFonts w:ascii="Times New Roman" w:cs="Times New Roman"/>
          <w:color w:val="000000" w:themeColor="text1"/>
          <w:spacing w:val="0"/>
          <w:sz w:val="16"/>
          <w:szCs w:val="16"/>
        </w:rPr>
        <w:t>измерения угла встречи боеприпаса</w:t>
      </w:r>
      <w:r w:rsidRPr="00271E51">
        <w:rPr>
          <w:rStyle w:val="0pt1"/>
          <w:rFonts w:eastAsia="Arial Narrow"/>
          <w:b w:val="0"/>
          <w:color w:val="000000" w:themeColor="text1"/>
          <w:spacing w:val="0"/>
          <w:sz w:val="16"/>
          <w:szCs w:val="16"/>
        </w:rPr>
        <w:t xml:space="preserve"> с броней </w:t>
      </w:r>
      <w:r w:rsidRPr="00271E51">
        <w:rPr>
          <w:rFonts w:ascii="Times New Roman" w:cs="Times New Roman"/>
          <w:color w:val="000000" w:themeColor="text1"/>
          <w:spacing w:val="0"/>
          <w:sz w:val="16"/>
          <w:szCs w:val="16"/>
        </w:rPr>
        <w:t>в пределах 5° при обстреле под углами, отлич</w:t>
      </w:r>
      <w:r w:rsidRPr="00271E51">
        <w:rPr>
          <w:rFonts w:ascii="Times New Roman" w:cs="Times New Roman"/>
          <w:color w:val="000000" w:themeColor="text1"/>
          <w:spacing w:val="0"/>
          <w:sz w:val="16"/>
          <w:szCs w:val="16"/>
        </w:rPr>
        <w:softHyphen/>
        <w:t xml:space="preserve">ными от нормали. Угол встречи отсчитывался </w:t>
      </w:r>
      <w:r w:rsidRPr="00271E51">
        <w:rPr>
          <w:rStyle w:val="aff6"/>
          <w:rFonts w:ascii="Times New Roman" w:eastAsia="Arial Narrow" w:hAnsi="Times New Roman" w:cs="Times New Roman"/>
          <w:i w:val="0"/>
          <w:color w:val="000000" w:themeColor="text1"/>
          <w:spacing w:val="0"/>
        </w:rPr>
        <w:t>«между линией прицеливания и нормалью к поверхности детали, наклон которой осу</w:t>
      </w:r>
      <w:r w:rsidRPr="00271E51">
        <w:rPr>
          <w:rStyle w:val="aff6"/>
          <w:rFonts w:ascii="Times New Roman" w:eastAsia="Arial Narrow" w:hAnsi="Times New Roman" w:cs="Times New Roman"/>
          <w:i w:val="0"/>
          <w:color w:val="000000" w:themeColor="text1"/>
          <w:spacing w:val="0"/>
        </w:rPr>
        <w:softHyphen/>
        <w:t>ществлялся в вертикальной плоскости».</w:t>
      </w:r>
    </w:p>
    <w:p w14:paraId="62CB60E3"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ходе испытаний было установлено, что гомогенная броня марки ХД, применяемая в качестве основной (твердость 2,8-2,9 по Бринеллю), давала трещины и обладала понижен</w:t>
      </w:r>
      <w:r w:rsidRPr="00271E51">
        <w:rPr>
          <w:rFonts w:ascii="Times New Roman" w:cs="Times New Roman"/>
          <w:color w:val="000000" w:themeColor="text1"/>
          <w:spacing w:val="0"/>
          <w:sz w:val="16"/>
          <w:szCs w:val="16"/>
        </w:rPr>
        <w:softHyphen/>
        <w:t>ной стойкостью по сравнению с гомогенной броней АБ-2 с более низкой твердостью (2,9- 3,1 по Бринеллю). То же самое наблюдалось и при использовании АБ-2 в качестве основной брони.</w:t>
      </w:r>
    </w:p>
    <w:p w14:paraId="2F50CA38"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Делался вывод, что</w:t>
      </w:r>
      <w:r w:rsidRPr="00271E51">
        <w:rPr>
          <w:rStyle w:val="aff6"/>
          <w:rFonts w:ascii="Times New Roman" w:eastAsia="Arial Narrow" w:hAnsi="Times New Roman" w:cs="Times New Roman"/>
          <w:i w:val="0"/>
          <w:color w:val="000000" w:themeColor="text1"/>
          <w:spacing w:val="0"/>
        </w:rPr>
        <w:t xml:space="preserve"> «решающим фактором в экранированной системе является прочность основной брони и во вторую очередь - марка брони».</w:t>
      </w:r>
      <w:r w:rsidRPr="00271E51">
        <w:rPr>
          <w:rFonts w:ascii="Times New Roman" w:cs="Times New Roman"/>
          <w:color w:val="000000" w:themeColor="text1"/>
          <w:spacing w:val="0"/>
          <w:sz w:val="16"/>
          <w:szCs w:val="16"/>
        </w:rPr>
        <w:t xml:space="preserve"> При этом хромомолибденовая сталь в силу сравнительно высокого содержания в ней хрома (до 2,8%) не могла обеспечить необхо</w:t>
      </w:r>
      <w:r w:rsidRPr="00271E51">
        <w:rPr>
          <w:rFonts w:ascii="Times New Roman" w:cs="Times New Roman"/>
          <w:color w:val="000000" w:themeColor="text1"/>
          <w:spacing w:val="0"/>
          <w:sz w:val="16"/>
          <w:szCs w:val="16"/>
        </w:rPr>
        <w:softHyphen/>
        <w:t>димую вязкость при одновременной достаточ</w:t>
      </w:r>
      <w:r w:rsidRPr="00271E51">
        <w:rPr>
          <w:rFonts w:ascii="Times New Roman" w:cs="Times New Roman"/>
          <w:color w:val="000000" w:themeColor="text1"/>
          <w:spacing w:val="0"/>
          <w:sz w:val="16"/>
          <w:szCs w:val="16"/>
        </w:rPr>
        <w:softHyphen/>
        <w:t>ной прочности. Как следствие, имели место хрупкие разрушения брони. С этой точки зре</w:t>
      </w:r>
      <w:r w:rsidRPr="00271E51">
        <w:rPr>
          <w:rFonts w:ascii="Times New Roman" w:cs="Times New Roman"/>
          <w:color w:val="000000" w:themeColor="text1"/>
          <w:spacing w:val="0"/>
          <w:sz w:val="16"/>
          <w:szCs w:val="16"/>
        </w:rPr>
        <w:softHyphen/>
        <w:t>ния для основной брони весьма желательна была бы АБ-1 с содержанием никеля до 4,5%, но ее уже два года как сняли с производства. Броневая система валового производства в качестве экранированной обладала весьма высокой живучестью при обстреле пулями ка</w:t>
      </w:r>
      <w:r w:rsidRPr="00271E51">
        <w:rPr>
          <w:rFonts w:ascii="Times New Roman" w:cs="Times New Roman"/>
          <w:color w:val="000000" w:themeColor="text1"/>
          <w:spacing w:val="0"/>
          <w:sz w:val="16"/>
          <w:szCs w:val="16"/>
        </w:rPr>
        <w:softHyphen/>
        <w:t>либра 15 мм. Несмотря на большое количество (до 20) поражений 15-мм пулями бронеспинок, на них не обнаружили ни одного случая хруп</w:t>
      </w:r>
      <w:r w:rsidRPr="00271E51">
        <w:rPr>
          <w:rFonts w:ascii="Times New Roman" w:cs="Times New Roman"/>
          <w:color w:val="000000" w:themeColor="text1"/>
          <w:spacing w:val="0"/>
          <w:sz w:val="16"/>
          <w:szCs w:val="16"/>
        </w:rPr>
        <w:softHyphen/>
        <w:t>ких разрушений, т.е. трещин.</w:t>
      </w:r>
    </w:p>
    <w:p w14:paraId="496A9372"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Как отмечалось в отчете, при увеличении расстояния между экраном и основной броней до 800-850 мм и выше бронестойкость экран</w:t>
      </w:r>
      <w:r w:rsidRPr="00271E51">
        <w:rPr>
          <w:rFonts w:ascii="Times New Roman" w:cs="Times New Roman"/>
          <w:color w:val="000000" w:themeColor="text1"/>
          <w:spacing w:val="0"/>
          <w:sz w:val="16"/>
          <w:szCs w:val="16"/>
        </w:rPr>
        <w:softHyphen/>
        <w:t>ной системы резко возрастала,</w:t>
      </w:r>
      <w:r w:rsidRPr="00271E51">
        <w:rPr>
          <w:rStyle w:val="aff6"/>
          <w:rFonts w:ascii="Times New Roman" w:eastAsia="Arial Narrow" w:hAnsi="Times New Roman" w:cs="Times New Roman"/>
          <w:i w:val="0"/>
          <w:color w:val="000000" w:themeColor="text1"/>
          <w:spacing w:val="0"/>
        </w:rPr>
        <w:t xml:space="preserve"> «причем коле</w:t>
      </w:r>
      <w:r w:rsidRPr="00271E51">
        <w:rPr>
          <w:rStyle w:val="aff6"/>
          <w:rFonts w:ascii="Times New Roman" w:eastAsia="Arial Narrow" w:hAnsi="Times New Roman" w:cs="Times New Roman"/>
          <w:i w:val="0"/>
          <w:color w:val="000000" w:themeColor="text1"/>
          <w:spacing w:val="0"/>
        </w:rPr>
        <w:softHyphen/>
        <w:t>бания расстояния до этих пределов практиче</w:t>
      </w:r>
      <w:r w:rsidRPr="00271E51">
        <w:rPr>
          <w:rStyle w:val="aff6"/>
          <w:rFonts w:ascii="Times New Roman" w:eastAsia="Arial Narrow" w:hAnsi="Times New Roman" w:cs="Times New Roman"/>
          <w:i w:val="0"/>
          <w:color w:val="000000" w:themeColor="text1"/>
          <w:spacing w:val="0"/>
        </w:rPr>
        <w:softHyphen/>
        <w:t>ски не влияют на изменение бронестойкости экранированной брони».</w:t>
      </w:r>
      <w:r w:rsidRPr="00271E51">
        <w:rPr>
          <w:rFonts w:ascii="Times New Roman" w:cs="Times New Roman"/>
          <w:color w:val="000000" w:themeColor="text1"/>
          <w:spacing w:val="0"/>
          <w:sz w:val="16"/>
          <w:szCs w:val="16"/>
        </w:rPr>
        <w:t xml:space="preserve"> Однако применять на боевых самолетах такой вариант экраниро</w:t>
      </w:r>
      <w:r w:rsidRPr="00271E51">
        <w:rPr>
          <w:rFonts w:ascii="Times New Roman" w:cs="Times New Roman"/>
          <w:color w:val="000000" w:themeColor="text1"/>
          <w:spacing w:val="0"/>
          <w:sz w:val="16"/>
          <w:szCs w:val="16"/>
        </w:rPr>
        <w:softHyphen/>
        <w:t>ванной брони практически было невозможно. Целесообразным считалось устанавливать экран на расстоянии от основной брони</w:t>
      </w:r>
      <w:r w:rsidRPr="00271E51">
        <w:rPr>
          <w:rStyle w:val="aff6"/>
          <w:rFonts w:ascii="Times New Roman" w:eastAsia="Arial Narrow" w:hAnsi="Times New Roman" w:cs="Times New Roman"/>
          <w:i w:val="0"/>
          <w:color w:val="000000" w:themeColor="text1"/>
          <w:spacing w:val="0"/>
        </w:rPr>
        <w:t xml:space="preserve"> «около 1,5 калибра пули для свободного прохождения осколков между ними».</w:t>
      </w:r>
    </w:p>
    <w:p w14:paraId="18A752BC"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Наилучшие результаты с точки зрения бро</w:t>
      </w:r>
      <w:r w:rsidRPr="00271E51">
        <w:rPr>
          <w:rFonts w:ascii="Times New Roman" w:cs="Times New Roman"/>
          <w:color w:val="000000" w:themeColor="text1"/>
          <w:spacing w:val="0"/>
          <w:sz w:val="16"/>
          <w:szCs w:val="16"/>
        </w:rPr>
        <w:softHyphen/>
        <w:t>нестойкости и веса показала экранированная система в составе 8-мм экрана из цементован</w:t>
      </w:r>
      <w:r w:rsidRPr="00271E51">
        <w:rPr>
          <w:rFonts w:ascii="Times New Roman" w:cs="Times New Roman"/>
          <w:color w:val="000000" w:themeColor="text1"/>
          <w:spacing w:val="0"/>
          <w:sz w:val="16"/>
          <w:szCs w:val="16"/>
        </w:rPr>
        <w:softHyphen/>
        <w:t>ной брони валового производства марки ХД(ц) и 8-мм основной гомогенной брони марки АБ-2 (твердость 2,9-3,1 по Бринеллю). Такая система не пробивалась 15-мм бронебойной пулей с 200 м по нормали и со 100 м - под углом</w:t>
      </w:r>
      <w:r w:rsidRPr="00271E51">
        <w:rPr>
          <w:rStyle w:val="aff6"/>
          <w:rFonts w:ascii="Times New Roman" w:eastAsia="Arial Narrow" w:hAnsi="Times New Roman" w:cs="Times New Roman"/>
          <w:i w:val="0"/>
          <w:color w:val="000000" w:themeColor="text1"/>
          <w:spacing w:val="0"/>
        </w:rPr>
        <w:t xml:space="preserve"> 20-25° от</w:t>
      </w:r>
      <w:r w:rsidRPr="00271E51">
        <w:rPr>
          <w:rFonts w:ascii="Times New Roman" w:cs="Times New Roman"/>
          <w:color w:val="000000" w:themeColor="text1"/>
          <w:spacing w:val="0"/>
          <w:sz w:val="16"/>
          <w:szCs w:val="16"/>
        </w:rPr>
        <w:t xml:space="preserve"> нормали, а бронебойно-осга</w:t>
      </w:r>
      <w:r w:rsidRPr="00271E51">
        <w:rPr>
          <w:rFonts w:ascii="Times New Roman" w:cs="Times New Roman"/>
          <w:color w:val="000000" w:themeColor="text1"/>
          <w:spacing w:val="0"/>
          <w:sz w:val="16"/>
          <w:szCs w:val="16"/>
        </w:rPr>
        <w:softHyphen/>
        <w:t>лочный снаряд калибра 20 мм удерживался при стрельбе с 50 м по нормали.</w:t>
      </w:r>
    </w:p>
    <w:p w14:paraId="661DB35D" w14:textId="77777777" w:rsidR="007A3BB4" w:rsidRPr="00271E51" w:rsidRDefault="007A3BB4" w:rsidP="00271E51">
      <w:pPr>
        <w:pStyle w:val="45"/>
        <w:shd w:val="clear" w:color="auto" w:fill="auto"/>
        <w:spacing w:before="0" w:line="240" w:lineRule="auto"/>
        <w:jc w:val="both"/>
        <w:rPr>
          <w:rStyle w:val="aff6"/>
          <w:rFonts w:ascii="Times New Roman" w:eastAsia="Arial Narrow" w:hAnsi="Times New Roman" w:cs="Times New Roman"/>
          <w:i w:val="0"/>
          <w:color w:val="000000" w:themeColor="text1"/>
        </w:rPr>
      </w:pPr>
      <w:r w:rsidRPr="00271E51">
        <w:rPr>
          <w:rFonts w:ascii="Times New Roman" w:cs="Times New Roman"/>
          <w:color w:val="000000" w:themeColor="text1"/>
          <w:sz w:val="16"/>
          <w:szCs w:val="16"/>
        </w:rPr>
        <w:t>При условии равной бронестойкости с це</w:t>
      </w:r>
      <w:r w:rsidRPr="00271E51">
        <w:rPr>
          <w:rFonts w:ascii="Times New Roman" w:cs="Times New Roman"/>
          <w:color w:val="000000" w:themeColor="text1"/>
          <w:sz w:val="16"/>
          <w:szCs w:val="16"/>
        </w:rPr>
        <w:softHyphen/>
        <w:t>ментованной и гомогенной броней экраниро</w:t>
      </w:r>
      <w:r w:rsidRPr="00271E51">
        <w:rPr>
          <w:rFonts w:ascii="Times New Roman" w:cs="Times New Roman"/>
          <w:color w:val="000000" w:themeColor="text1"/>
          <w:sz w:val="16"/>
          <w:szCs w:val="16"/>
        </w:rPr>
        <w:softHyphen/>
        <w:t>ванная броня позволяла получить некоторую экономию веса. Например, цементованная броня с дистанции 200 м «держала» 15-мм бронебойную пулю только при толщине 20 мм (поданным завода №125 и ВИАМ е при 25 мм), а гомогенная броня - при толщине 23-24 мм (по данным НИИ-48 в 1942 г. - при 30 мм). По</w:t>
      </w:r>
      <w:r w:rsidRPr="00271E51">
        <w:rPr>
          <w:rFonts w:ascii="Times New Roman" w:cs="Times New Roman"/>
          <w:color w:val="000000" w:themeColor="text1"/>
          <w:sz w:val="16"/>
          <w:szCs w:val="16"/>
        </w:rPr>
        <w:softHyphen/>
        <w:t xml:space="preserve">вышение защищенности экипажа серийных самолетов рекомендовалось обеспечивать </w:t>
      </w:r>
      <w:r w:rsidRPr="00271E51">
        <w:rPr>
          <w:rStyle w:val="aff6"/>
          <w:rFonts w:ascii="Times New Roman" w:eastAsia="Arial Narrow" w:hAnsi="Times New Roman" w:cs="Times New Roman"/>
          <w:i w:val="0"/>
          <w:color w:val="000000" w:themeColor="text1"/>
        </w:rPr>
        <w:t>«путем установки позади летчика второй ана</w:t>
      </w:r>
      <w:r w:rsidRPr="00271E51">
        <w:rPr>
          <w:rStyle w:val="aff6"/>
          <w:rFonts w:ascii="Times New Roman" w:eastAsia="Arial Narrow" w:hAnsi="Times New Roman" w:cs="Times New Roman"/>
          <w:i w:val="0"/>
          <w:color w:val="000000" w:themeColor="text1"/>
        </w:rPr>
        <w:softHyphen/>
        <w:t>логичной спинки, изготовленной из гомоген</w:t>
      </w:r>
      <w:r w:rsidRPr="00271E51">
        <w:rPr>
          <w:rStyle w:val="aff6"/>
          <w:rFonts w:ascii="Times New Roman" w:eastAsia="Arial Narrow" w:hAnsi="Times New Roman" w:cs="Times New Roman"/>
          <w:i w:val="0"/>
          <w:color w:val="000000" w:themeColor="text1"/>
        </w:rPr>
        <w:softHyphen/>
        <w:t>ной брони марки АБ-2».</w:t>
      </w:r>
    </w:p>
    <w:p w14:paraId="1C76D20D" w14:textId="77777777" w:rsidR="007A3BB4" w:rsidRPr="00271E51" w:rsidRDefault="007A3BB4" w:rsidP="00271E51">
      <w:pPr>
        <w:pStyle w:val="45"/>
        <w:shd w:val="clear" w:color="auto" w:fill="auto"/>
        <w:spacing w:before="0" w:line="240" w:lineRule="auto"/>
        <w:jc w:val="both"/>
        <w:rPr>
          <w:rFonts w:ascii="Times New Roman" w:cs="Times New Roman"/>
          <w:color w:val="000000" w:themeColor="text1"/>
          <w:sz w:val="16"/>
          <w:szCs w:val="16"/>
        </w:rPr>
      </w:pPr>
      <w:r w:rsidRPr="00271E51">
        <w:rPr>
          <w:rStyle w:val="4f0"/>
          <w:rFonts w:ascii="Times New Roman" w:hAnsi="Times New Roman" w:cs="Times New Roman"/>
          <w:i w:val="0"/>
          <w:color w:val="000000" w:themeColor="text1"/>
          <w:sz w:val="16"/>
          <w:szCs w:val="16"/>
        </w:rPr>
        <w:t>Включение в программу отработку экрани</w:t>
      </w:r>
      <w:r w:rsidRPr="00271E51">
        <w:rPr>
          <w:rStyle w:val="4f0"/>
          <w:rFonts w:ascii="Times New Roman" w:hAnsi="Times New Roman" w:cs="Times New Roman"/>
          <w:i w:val="0"/>
          <w:color w:val="000000" w:themeColor="text1"/>
          <w:sz w:val="16"/>
          <w:szCs w:val="16"/>
        </w:rPr>
        <w:softHyphen/>
        <w:t>рованной системы с гомогенным экраном объ</w:t>
      </w:r>
      <w:r w:rsidRPr="00271E51">
        <w:rPr>
          <w:rStyle w:val="4f0"/>
          <w:rFonts w:ascii="Times New Roman" w:hAnsi="Times New Roman" w:cs="Times New Roman"/>
          <w:i w:val="0"/>
          <w:color w:val="000000" w:themeColor="text1"/>
          <w:sz w:val="16"/>
          <w:szCs w:val="16"/>
        </w:rPr>
        <w:softHyphen/>
        <w:t>яснялось возможной</w:t>
      </w:r>
      <w:r w:rsidRPr="00271E51">
        <w:rPr>
          <w:rFonts w:ascii="Times New Roman" w:cs="Times New Roman"/>
          <w:color w:val="000000" w:themeColor="text1"/>
          <w:sz w:val="16"/>
          <w:szCs w:val="16"/>
        </w:rPr>
        <w:t xml:space="preserve"> «перспективой отказа от цементации деталей как наиболее энергоем</w:t>
      </w:r>
      <w:r w:rsidRPr="00271E51">
        <w:rPr>
          <w:rFonts w:ascii="Times New Roman" w:cs="Times New Roman"/>
          <w:color w:val="000000" w:themeColor="text1"/>
          <w:sz w:val="16"/>
          <w:szCs w:val="16"/>
        </w:rPr>
        <w:softHyphen/>
        <w:t>кой технологической операции в случае незна</w:t>
      </w:r>
      <w:r w:rsidRPr="00271E51">
        <w:rPr>
          <w:rFonts w:ascii="Times New Roman" w:cs="Times New Roman"/>
          <w:color w:val="000000" w:themeColor="text1"/>
          <w:sz w:val="16"/>
          <w:szCs w:val="16"/>
        </w:rPr>
        <w:softHyphen/>
        <w:t>чительного снижения бронестойкости, против цементованного экрана».</w:t>
      </w:r>
      <w:r w:rsidRPr="00271E51">
        <w:rPr>
          <w:rStyle w:val="4f0"/>
          <w:rFonts w:ascii="Times New Roman" w:hAnsi="Times New Roman" w:cs="Times New Roman"/>
          <w:i w:val="0"/>
          <w:color w:val="000000" w:themeColor="text1"/>
          <w:sz w:val="16"/>
          <w:szCs w:val="16"/>
        </w:rPr>
        <w:t xml:space="preserve"> Кроме того, пред</w:t>
      </w:r>
      <w:r w:rsidRPr="00271E51">
        <w:rPr>
          <w:rStyle w:val="4f0"/>
          <w:rFonts w:ascii="Times New Roman" w:hAnsi="Times New Roman" w:cs="Times New Roman"/>
          <w:i w:val="0"/>
          <w:color w:val="000000" w:themeColor="text1"/>
          <w:sz w:val="16"/>
          <w:szCs w:val="16"/>
        </w:rPr>
        <w:softHyphen/>
        <w:t>лагалось</w:t>
      </w:r>
      <w:r w:rsidRPr="00271E51">
        <w:rPr>
          <w:rFonts w:ascii="Times New Roman" w:cs="Times New Roman"/>
          <w:color w:val="000000" w:themeColor="text1"/>
          <w:sz w:val="16"/>
          <w:szCs w:val="16"/>
        </w:rPr>
        <w:t xml:space="preserve"> «изучить весь комплекс проблем, связанных с разработкой экранной брони, что отнюдь не предполагает необходимостинемедленного его принятия для использова</w:t>
      </w:r>
      <w:r w:rsidRPr="00271E51">
        <w:rPr>
          <w:rFonts w:ascii="Times New Roman" w:cs="Times New Roman"/>
          <w:color w:val="000000" w:themeColor="text1"/>
          <w:sz w:val="16"/>
          <w:szCs w:val="16"/>
        </w:rPr>
        <w:softHyphen/>
        <w:t>ния на самолетах».</w:t>
      </w:r>
    </w:p>
    <w:p w14:paraId="1564F958" w14:textId="77777777" w:rsidR="007A3BB4" w:rsidRPr="00271E51" w:rsidRDefault="007A3BB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Несмотря на положительное заключение НИИ ВВС, Наркомат авиационной промышленности «взял паузу» (15778).</w:t>
      </w:r>
    </w:p>
    <w:p w14:paraId="5DBE566C" w14:textId="77777777" w:rsidR="007A3BB4" w:rsidRPr="00271E51" w:rsidRDefault="007A3BB4" w:rsidP="00271E51">
      <w:pPr>
        <w:spacing w:after="0" w:line="240" w:lineRule="auto"/>
        <w:jc w:val="both"/>
        <w:rPr>
          <w:rFonts w:ascii="Times New Roman" w:hAnsi="Times New Roman"/>
          <w:color w:val="000000" w:themeColor="text1"/>
          <w:sz w:val="16"/>
          <w:szCs w:val="16"/>
        </w:rPr>
      </w:pPr>
    </w:p>
    <w:p w14:paraId="6A0642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г. в соответствии с постановлением ГКО № 4194с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 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 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 А.Я. Щербаков работал в ВВА им. Жуковского, с 1947 г. он - зам. С.П. Королёва. Гл. конструктор (1943-46 г.)- А.Я. Щербаков (10776).</w:t>
      </w:r>
    </w:p>
    <w:p w14:paraId="0D34FD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790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N 4194 об организации на заводе 47 производства самолетов А.Я.Щербакова с 2 М-11Д по типу самолета, прошедшего гос. испытания (943,160).</w:t>
      </w:r>
    </w:p>
    <w:p w14:paraId="0299AA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A80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4194 О постановке серийного производства транспортных самолетов конструкции т. Щербакова.РГАНИР, Фонд ГКО, д. 153, лл. 51-52 (11012).</w:t>
      </w:r>
    </w:p>
    <w:p w14:paraId="4B5007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3176D6"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4194 О постановке серийного производства транспортных самолетов конструкции т. Щербакова</w:t>
      </w:r>
    </w:p>
    <w:p w14:paraId="7CA8CFDF"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733B9FEF"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Принять к сведению сообщение Наркомавиапрома т.Ша</w:t>
      </w:r>
      <w:r w:rsidRPr="00271E51">
        <w:rPr>
          <w:rFonts w:ascii="Times New Roman" w:hAnsi="Times New Roman"/>
          <w:color w:val="000000" w:themeColor="text1"/>
          <w:sz w:val="16"/>
          <w:szCs w:val="16"/>
        </w:rPr>
        <w:softHyphen/>
        <w:t>хурина и командующего ВВС КА т.Новикова, что опытный транс</w:t>
      </w:r>
      <w:r w:rsidRPr="00271E51">
        <w:rPr>
          <w:rFonts w:ascii="Times New Roman" w:hAnsi="Times New Roman"/>
          <w:color w:val="000000" w:themeColor="text1"/>
          <w:sz w:val="16"/>
          <w:szCs w:val="16"/>
        </w:rPr>
        <w:softHyphen/>
        <w:t>портный самолет конструкции т.Щербакова, согласно акта НИИ ВВС КА от 28 августа 1943 года в транспортно-пассажирском, санитарном и десантно-транспортном вариантах государственные испытания выдержал и показал следующие данные:</w:t>
      </w:r>
    </w:p>
    <w:p w14:paraId="517392D4"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при 1750 оборотах в минуту мотора - 157</w:t>
      </w:r>
    </w:p>
    <w:p w14:paraId="59D4A45C"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- 74</w:t>
      </w:r>
    </w:p>
    <w:p w14:paraId="4DB232FD" w14:textId="77777777" w:rsidR="001B4FA5" w:rsidRPr="00271E51" w:rsidRDefault="001B4FA5" w:rsidP="00271E51">
      <w:pPr>
        <w:tabs>
          <w:tab w:val="left" w:pos="377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скоропод"емность у земли - 1.55 м/сек.</w:t>
      </w:r>
    </w:p>
    <w:p w14:paraId="485AFE62" w14:textId="77777777" w:rsidR="001B4FA5" w:rsidRPr="00271E51" w:rsidRDefault="001B4FA5" w:rsidP="00271E51">
      <w:pPr>
        <w:tabs>
          <w:tab w:val="left" w:pos="472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- 350 мт</w:t>
      </w:r>
    </w:p>
    <w:p w14:paraId="65DDD3B6" w14:textId="77777777" w:rsidR="001B4FA5" w:rsidRPr="00271E51" w:rsidRDefault="001B4FA5" w:rsidP="00271E51">
      <w:pPr>
        <w:tabs>
          <w:tab w:val="left" w:pos="472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- 160 мт.</w:t>
      </w:r>
    </w:p>
    <w:p w14:paraId="0A0FCC5B" w14:textId="77777777" w:rsidR="001B4FA5" w:rsidRPr="00271E51" w:rsidRDefault="001B4FA5" w:rsidP="00271E51">
      <w:pPr>
        <w:tabs>
          <w:tab w:val="left" w:pos="471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нормальный полетный вес - 3400 кг.</w:t>
      </w:r>
    </w:p>
    <w:p w14:paraId="1B1F6D5E"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при экипаже в 2 человека и полетном весе 3600кг. может перевезти:</w:t>
      </w:r>
    </w:p>
    <w:p w14:paraId="1FB36C5E"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транспортно-пассажирском варианте - 10. человек пассажиров или 800 кг. груза на расстоя</w:t>
      </w:r>
      <w:r w:rsidRPr="00271E51">
        <w:rPr>
          <w:rFonts w:ascii="Times New Roman" w:hAnsi="Times New Roman"/>
          <w:color w:val="000000" w:themeColor="text1"/>
          <w:sz w:val="16"/>
          <w:szCs w:val="16"/>
        </w:rPr>
        <w:softHyphen/>
        <w:t>нии 900 км</w:t>
      </w:r>
    </w:p>
    <w:p w14:paraId="415114FC"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6 человек пассажиров или 500 кг. грува на расстоянии 1900 км.</w:t>
      </w:r>
    </w:p>
    <w:p w14:paraId="5E9EE249"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санитарном варианте</w:t>
      </w:r>
    </w:p>
    <w:p w14:paraId="105BE317"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человек лежащих на носил</w:t>
      </w:r>
      <w:r w:rsidRPr="00271E51">
        <w:rPr>
          <w:rFonts w:ascii="Times New Roman" w:hAnsi="Times New Roman"/>
          <w:color w:val="000000" w:themeColor="text1"/>
          <w:sz w:val="16"/>
          <w:szCs w:val="16"/>
        </w:rPr>
        <w:softHyphen/>
        <w:t>ках раненых и врача на рас</w:t>
      </w:r>
      <w:r w:rsidRPr="00271E51">
        <w:rPr>
          <w:rFonts w:ascii="Times New Roman" w:hAnsi="Times New Roman"/>
          <w:color w:val="000000" w:themeColor="text1"/>
          <w:sz w:val="16"/>
          <w:szCs w:val="16"/>
        </w:rPr>
        <w:softHyphen/>
        <w:t>стоянии 500 км</w:t>
      </w:r>
    </w:p>
    <w:p w14:paraId="3023914B"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обеспечивает парашютную подготовку воздушно- десантных войск и перевозку крупно-габаритных грузов: 45 мм противотанковую пушку, мотоциклы, авиамоторы.</w:t>
      </w:r>
    </w:p>
    <w:p w14:paraId="5F89BCF7" w14:textId="77777777" w:rsidR="001B4FA5" w:rsidRPr="00271E51" w:rsidRDefault="001B4FA5" w:rsidP="00271E51">
      <w:pPr>
        <w:pStyle w:val="27"/>
        <w:shd w:val="clear" w:color="auto" w:fill="auto"/>
        <w:tabs>
          <w:tab w:val="left" w:pos="99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Обяэать Наркомавиапром - т.Шахурина и директора вавода № 47 - т.Котова органивовать на ваводе № 47 (г.Чка</w:t>
      </w:r>
      <w:r w:rsidRPr="00271E51">
        <w:rPr>
          <w:rFonts w:ascii="Times New Roman" w:cs="Times New Roman"/>
          <w:color w:val="000000" w:themeColor="text1"/>
          <w:spacing w:val="0"/>
        </w:rPr>
        <w:softHyphen/>
        <w:t>лов) серийное производство транспортных самолетов конструк</w:t>
      </w:r>
      <w:r w:rsidRPr="00271E51">
        <w:rPr>
          <w:rFonts w:ascii="Times New Roman" w:cs="Times New Roman"/>
          <w:color w:val="000000" w:themeColor="text1"/>
          <w:spacing w:val="0"/>
        </w:rPr>
        <w:softHyphen/>
        <w:t>ции т.Щербакова с двумя моторами М-11Д по образцу само</w:t>
      </w:r>
      <w:r w:rsidRPr="00271E51">
        <w:rPr>
          <w:rFonts w:ascii="Times New Roman" w:cs="Times New Roman"/>
          <w:color w:val="000000" w:themeColor="text1"/>
          <w:spacing w:val="0"/>
        </w:rPr>
        <w:softHyphen/>
        <w:t>лета, прошедшего государственные испытания, и обеспечить выпуск в декабре 1945 года - 5 самолетов, в январе 1944 го</w:t>
      </w:r>
      <w:r w:rsidRPr="00271E51">
        <w:rPr>
          <w:rFonts w:ascii="Times New Roman" w:cs="Times New Roman"/>
          <w:color w:val="000000" w:themeColor="text1"/>
          <w:spacing w:val="0"/>
        </w:rPr>
        <w:softHyphen/>
        <w:t>да - 10 самолетов, в феврале - 20 самолетов и в марте -</w:t>
      </w:r>
    </w:p>
    <w:p w14:paraId="42233DF3" w14:textId="77777777" w:rsidR="001B4FA5" w:rsidRPr="00271E51" w:rsidRDefault="001B4FA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30 самолетов в месяц.</w:t>
      </w:r>
    </w:p>
    <w:p w14:paraId="5D0C7488" w14:textId="77777777" w:rsidR="001B4FA5" w:rsidRPr="00271E51" w:rsidRDefault="001B4FA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Производство самолетов Як-б на эаводе № 47 прекра</w:t>
      </w:r>
      <w:r w:rsidRPr="00271E51">
        <w:rPr>
          <w:rFonts w:ascii="Times New Roman" w:cs="Times New Roman"/>
          <w:color w:val="000000" w:themeColor="text1"/>
          <w:spacing w:val="0"/>
        </w:rPr>
        <w:softHyphen/>
        <w:t>тить.</w:t>
      </w:r>
    </w:p>
    <w:p w14:paraId="41DF7CC4" w14:textId="77777777" w:rsidR="001B4FA5" w:rsidRPr="00271E51" w:rsidRDefault="001B4FA5" w:rsidP="00271E51">
      <w:pPr>
        <w:pStyle w:val="27"/>
        <w:shd w:val="clear" w:color="auto" w:fill="auto"/>
        <w:tabs>
          <w:tab w:val="left" w:pos="98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Утвердить главным конструктором вавода № 47 НКАП т.Щербакова. Перевести на завод № 47 опытно-конструктор- ское бюро т.Щербакова.</w:t>
      </w:r>
    </w:p>
    <w:p w14:paraId="35C2529B" w14:textId="77777777" w:rsidR="001B4FA5" w:rsidRPr="00271E51" w:rsidRDefault="001B4FA5" w:rsidP="00271E51">
      <w:pPr>
        <w:pStyle w:val="27"/>
        <w:shd w:val="clear" w:color="auto" w:fill="auto"/>
        <w:tabs>
          <w:tab w:val="left" w:pos="98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Обявать Наркомфин СССР - т.Зверева выделить Нарком- авиапрому ив ревервного фонда СНК СССР:</w:t>
      </w:r>
    </w:p>
    <w:p w14:paraId="7AE7D142" w14:textId="77777777" w:rsidR="001B4FA5" w:rsidRPr="00271E51" w:rsidRDefault="001B4FA5" w:rsidP="00271E51">
      <w:pPr>
        <w:pStyle w:val="27"/>
        <w:shd w:val="clear" w:color="auto" w:fill="auto"/>
        <w:tabs>
          <w:tab w:val="left" w:pos="98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на постановку серийного производства транспортных самолетов на ваводе № 47 НКАП -</w:t>
      </w:r>
      <w:r w:rsidRPr="00271E51">
        <w:rPr>
          <w:rStyle w:val="CenturySchoolbook105pt"/>
          <w:rFonts w:ascii="Times New Roman" w:hAnsi="Times New Roman" w:cs="Times New Roman"/>
          <w:color w:val="000000" w:themeColor="text1"/>
          <w:sz w:val="16"/>
          <w:szCs w:val="16"/>
        </w:rPr>
        <w:t xml:space="preserve"> 1</w:t>
      </w:r>
      <w:r w:rsidRPr="00271E51">
        <w:rPr>
          <w:rFonts w:ascii="Times New Roman" w:cs="Times New Roman"/>
          <w:color w:val="000000" w:themeColor="text1"/>
          <w:spacing w:val="0"/>
        </w:rPr>
        <w:t>,5 млн. рублей;</w:t>
      </w:r>
    </w:p>
    <w:p w14:paraId="2A53BFB9" w14:textId="77777777" w:rsidR="001B4FA5" w:rsidRPr="00271E51" w:rsidRDefault="001B4FA5" w:rsidP="00271E51">
      <w:pPr>
        <w:pStyle w:val="27"/>
        <w:shd w:val="clear" w:color="auto" w:fill="auto"/>
        <w:tabs>
          <w:tab w:val="left" w:pos="99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в распоряжение главного конструктора т.Щербакова 80 тыс.рублей для премирования работников, участвовавших в постройке самолета.</w:t>
      </w:r>
    </w:p>
    <w:p w14:paraId="69EEE1AA" w14:textId="77777777" w:rsidR="001B4FA5" w:rsidRPr="00271E51" w:rsidRDefault="001B4FA5" w:rsidP="00271E51">
      <w:pPr>
        <w:pStyle w:val="27"/>
        <w:shd w:val="clear" w:color="auto" w:fill="auto"/>
        <w:tabs>
          <w:tab w:val="left" w:pos="98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Самолет впредь именовать Ще-2 (Щербаков-2) (19423).</w:t>
      </w:r>
    </w:p>
    <w:p w14:paraId="0C541F36" w14:textId="77777777" w:rsidR="001B4FA5" w:rsidRPr="00271E51" w:rsidRDefault="001B4FA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E16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ЦИАМ писал письмо N 1166с НКАП А.И.Ш. (копия Зам. НКАП В.П.Кузнецову) по ходу работы над ви Як-9 М-105ПД (1783).</w:t>
      </w:r>
    </w:p>
    <w:p w14:paraId="72E032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52E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ЦИАМ писал письмо N 1167с НКАП А.И.Ш. (копия Зам. НКАП В.П.Кузнецову) по ходу работы над ви Ла-5 М-82ФН и ТК-3 (1783).</w:t>
      </w:r>
    </w:p>
    <w:p w14:paraId="47C777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585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ЦИАМ писал письмо N 1168с НКАП А.И.Ш. (копия Зам. НКАП В.П.Кузнецову) по ходу работы над ви МиГ- с АМ-39 и ТК-2Б (1783).</w:t>
      </w:r>
    </w:p>
    <w:p w14:paraId="6816BF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1C92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E7F2E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2B4AFE"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24 сентября 1943 в адрес начальника Центрального артиллерийского конструкторского бюро (ЦАКБ) генерал-майора В.Г. Грабина ушло письмо от председателя Технического совета НКВ. Аналогичное письмо в тот же день было отправлено директору завода №172 А.И Неховскому и начальнику ОКБ-172 подполковнику НКВД Н.А. Иванову:</w:t>
      </w:r>
    </w:p>
    <w:p w14:paraId="47E8E118" w14:textId="77777777" w:rsidR="0050572A" w:rsidRPr="00271E51" w:rsidRDefault="0050572A"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«Согласно решению Народного Комиссара Вооружения и Начальника ГАУ КА, Вам необходимо приступить к разработке 122-мм танковой и самоходной пушки, имеющей начальную скорость 1000 м/сек. при весе снаряда 25 кгр.</w:t>
      </w:r>
    </w:p>
    <w:p w14:paraId="4C102212" w14:textId="77777777" w:rsidR="0050572A" w:rsidRPr="00271E51" w:rsidRDefault="0050572A"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Прошу к 10-му октября сего года представить эскизный проект такой пушки, обратив особое внимание на разработку баллистического решения и ствола пушки.</w:t>
      </w:r>
    </w:p>
    <w:p w14:paraId="21F7E9E7" w14:textId="77777777" w:rsidR="0050572A" w:rsidRPr="00271E51" w:rsidRDefault="0050572A"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Одновременно с представлением эскизного проекта — направьте в НКВ и Артиллерийский Комитет Ваш проект тактико-технических требований к данной пушке.</w:t>
      </w:r>
    </w:p>
    <w:p w14:paraId="3ED502D5" w14:textId="77777777" w:rsidR="0050572A" w:rsidRPr="00271E51" w:rsidRDefault="0050572A"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Указанная мощная 122-мм пушка мыслится с установкой на шасси 152-мм самоходной пушки СУ-152, а также на шасси танка Т-34; в последнем случае это будет самоходная пушка со сравнительно слабой бронировкой, открытой сверху. Как танковая, рассматриваемая 122-мм пушка — мыслится в установке её на танк “ИС”, с особо расширенной бронёй. Эскизный проект должен выяснить пока ещё неясные вопросы о предполагаемой возможности установки этой пушки на перечисленных шасси».</w:t>
      </w:r>
    </w:p>
    <w:p w14:paraId="0CDA7CE6" w14:textId="77777777" w:rsidR="0050572A" w:rsidRPr="00271E51" w:rsidRDefault="0050572A" w:rsidP="00271E51">
      <w:pPr>
        <w:pStyle w:val="ae"/>
        <w:spacing w:before="0" w:after="0"/>
        <w:jc w:val="both"/>
        <w:textAlignment w:val="baseline"/>
        <w:rPr>
          <w:color w:val="000000" w:themeColor="text1"/>
          <w:sz w:val="16"/>
          <w:szCs w:val="16"/>
        </w:rPr>
      </w:pPr>
      <w:r w:rsidRPr="00271E51">
        <w:rPr>
          <w:color w:val="000000" w:themeColor="text1"/>
          <w:sz w:val="16"/>
          <w:szCs w:val="16"/>
        </w:rPr>
        <w:t>Спустя 3 дня Артком ГАУ КА утвердил тактико-технические требования. Орудие предполагалось в двух вариантах — для установки в танки и для установки в САУ. Скорострельность должна была составлять 6-7 выстрелов в минуту. От конструкторов требовалось получить пробитие, позволяющее успешно поражать броню толщиной 200 мм, что прямо намекает на потенциальную цель для такой пушки. Осколочно-фугасный снаряд для неё брался от А-19 (17716).</w:t>
      </w:r>
    </w:p>
    <w:p w14:paraId="34F63D07" w14:textId="77777777" w:rsidR="0050572A" w:rsidRPr="00271E51" w:rsidRDefault="0050572A" w:rsidP="00271E51">
      <w:pPr>
        <w:spacing w:after="0" w:line="240" w:lineRule="auto"/>
        <w:jc w:val="both"/>
        <w:rPr>
          <w:rFonts w:ascii="Times New Roman" w:eastAsia="Times New Roman" w:hAnsi="Times New Roman"/>
          <w:color w:val="000000" w:themeColor="text1"/>
          <w:sz w:val="16"/>
          <w:szCs w:val="16"/>
          <w:lang w:eastAsia="ru-RU"/>
        </w:rPr>
      </w:pPr>
    </w:p>
    <w:p w14:paraId="658FF53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года начальник УСА Алымов сообщал начальнику управления военного издательства наркомата обороны:</w:t>
      </w:r>
    </w:p>
    <w:p w14:paraId="5EBFC16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пособия войскам для изучения СУ-76И высылается „Краткое руководство по использованию трофейного немецкого танка Т-3“, изданное в начале 1943 года. В настоящее время этих руководств нет, так как запас их исчерпан. Сданное же в печать „Руководство службы по самоходной артустановке СУ-76И“ еще не вышло. Прошу ускорить его выпуск или срочно допечатать руководство по Т-3».</w:t>
      </w:r>
    </w:p>
    <w:p w14:paraId="7D6B9EF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отметить, что руководство на СУ-76И было издано только в начале 1944 года (12688).</w:t>
      </w:r>
    </w:p>
    <w:p w14:paraId="24BEC1C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51BB000" w14:textId="77777777" w:rsidR="00B95E55" w:rsidRPr="00271E51" w:rsidRDefault="00B95E55" w:rsidP="00271E51">
      <w:pPr>
        <w:pStyle w:val="a3"/>
        <w:rPr>
          <w:color w:val="000000" w:themeColor="text1"/>
          <w:lang w:val="ru-RU"/>
        </w:rPr>
      </w:pPr>
      <w:r w:rsidRPr="00271E51">
        <w:rPr>
          <w:color w:val="000000" w:themeColor="text1"/>
          <w:lang w:val="ru-RU"/>
        </w:rPr>
        <w:t>24 сентября 1943 в адрес начальника ЦАКБ генерал-майора В.Г. Грабина ушло письмо от председателя Технического совета НКВ:</w:t>
      </w:r>
    </w:p>
    <w:p w14:paraId="523BD441"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«Согласно решения Народного Комиссара Вооружения и Начальника ГАУ КА, Вам необходимо приступить к разработке 122-мм танковой и самоходной пушки, имеющей начальную скорость 1000 м/сек. при весе снаряда 25 кг.</w:t>
      </w:r>
    </w:p>
    <w:p w14:paraId="5C4A9CCD"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Прошу к 10-му октября сего года представить эскизный проект такой пушки, обратив особое внимание на разработку баллистического решения и ствола пушки.</w:t>
      </w:r>
    </w:p>
    <w:p w14:paraId="356E407C"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Одновременно с представлением эскизного проекта — направьте в НКВ и Артиллерийский Комитет Ваш проект тактико-технических требова</w:t>
      </w:r>
      <w:r w:rsidRPr="00271E51">
        <w:rPr>
          <w:i w:val="0"/>
          <w:color w:val="000000" w:themeColor="text1"/>
          <w:sz w:val="16"/>
          <w:szCs w:val="16"/>
        </w:rPr>
        <w:softHyphen/>
        <w:t>ний к данной пушке.</w:t>
      </w:r>
    </w:p>
    <w:p w14:paraId="61ACB0FB"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Указанная мощная 122-мм пушка мыслится с установкой на шасси 122-мм самоходной пушки СУ-152, а также на шасси танка Т-34; в по</w:t>
      </w:r>
      <w:r w:rsidRPr="00271E51">
        <w:rPr>
          <w:i w:val="0"/>
          <w:color w:val="000000" w:themeColor="text1"/>
          <w:sz w:val="16"/>
          <w:szCs w:val="16"/>
        </w:rPr>
        <w:softHyphen/>
        <w:t>следнем случае это будет самоходная пушка со сравнительно слабой брони</w:t>
      </w:r>
      <w:r w:rsidRPr="00271E51">
        <w:rPr>
          <w:i w:val="0"/>
          <w:color w:val="000000" w:themeColor="text1"/>
          <w:sz w:val="16"/>
          <w:szCs w:val="16"/>
        </w:rPr>
        <w:softHyphen/>
        <w:t>ровкой, открытой сверху. Как танковая, рассматриваемая 122-мм пуш</w:t>
      </w:r>
      <w:r w:rsidRPr="00271E51">
        <w:rPr>
          <w:i w:val="0"/>
          <w:color w:val="000000" w:themeColor="text1"/>
          <w:sz w:val="16"/>
          <w:szCs w:val="16"/>
        </w:rPr>
        <w:softHyphen/>
        <w:t>ка — мыслится в установке ее на танк «ИС», с особо расширенной броней. Эскизный проект должен выяснить пока еще неясные вопросы о предпо</w:t>
      </w:r>
      <w:r w:rsidRPr="00271E51">
        <w:rPr>
          <w:i w:val="0"/>
          <w:color w:val="000000" w:themeColor="text1"/>
          <w:sz w:val="16"/>
          <w:szCs w:val="16"/>
        </w:rPr>
        <w:softHyphen/>
        <w:t>лагаемой возможности установки этой пушки на перечисленных шасси».</w:t>
      </w:r>
    </w:p>
    <w:p w14:paraId="390E8884" w14:textId="77777777" w:rsidR="00B95E55" w:rsidRPr="00271E51" w:rsidRDefault="00B95E55" w:rsidP="00271E51">
      <w:pPr>
        <w:pStyle w:val="a3"/>
        <w:rPr>
          <w:color w:val="000000" w:themeColor="text1"/>
          <w:lang w:val="ru-RU"/>
        </w:rPr>
      </w:pPr>
      <w:r w:rsidRPr="00271E51">
        <w:rPr>
          <w:color w:val="000000" w:themeColor="text1"/>
          <w:lang w:val="ru-RU"/>
        </w:rPr>
        <w:t>В тот же день аналогичное по содержанию письмо ушло в адрес директора завода №172 А.И. Неховского и начальника ОКБ-172 под</w:t>
      </w:r>
      <w:r w:rsidRPr="00271E51">
        <w:rPr>
          <w:color w:val="000000" w:themeColor="text1"/>
          <w:lang w:val="ru-RU"/>
        </w:rPr>
        <w:softHyphen/>
        <w:t>полковника НКВД Н.А. Иванова. Разработку пушки с аналогичными характеристиками указывалось провести совместными усилиями КБ завода №172 и ОКБ-172, эскизный проект ожидалось получить к 20 ок</w:t>
      </w:r>
      <w:r w:rsidRPr="00271E51">
        <w:rPr>
          <w:color w:val="000000" w:themeColor="text1"/>
          <w:lang w:val="ru-RU"/>
        </w:rPr>
        <w:softHyphen/>
        <w:t>тября. Спустя 3 дня были подготовлены тактико-технические требова</w:t>
      </w:r>
      <w:r w:rsidRPr="00271E51">
        <w:rPr>
          <w:color w:val="000000" w:themeColor="text1"/>
          <w:lang w:val="ru-RU"/>
        </w:rPr>
        <w:softHyphen/>
        <w:t>ния на проектирование пушки, утвержденные 4 октября начальником Артиллерийского комитета ГАУ КА:</w:t>
      </w:r>
    </w:p>
    <w:p w14:paraId="7D98090A"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 Назначение и задачи.</w:t>
      </w:r>
    </w:p>
    <w:p w14:paraId="4C9FC3B6" w14:textId="77777777" w:rsidR="00B95E55" w:rsidRPr="00271E51" w:rsidRDefault="00B95E55" w:rsidP="00271E51">
      <w:pPr>
        <w:pStyle w:val="Bodytext141"/>
        <w:shd w:val="clear" w:color="auto" w:fill="auto"/>
        <w:tabs>
          <w:tab w:val="left" w:pos="836"/>
        </w:tabs>
        <w:spacing w:line="240" w:lineRule="auto"/>
        <w:ind w:firstLine="0"/>
        <w:jc w:val="both"/>
        <w:rPr>
          <w:i w:val="0"/>
          <w:color w:val="000000" w:themeColor="text1"/>
          <w:sz w:val="16"/>
          <w:szCs w:val="16"/>
        </w:rPr>
      </w:pPr>
      <w:r w:rsidRPr="00271E51">
        <w:rPr>
          <w:i w:val="0"/>
          <w:color w:val="000000" w:themeColor="text1"/>
          <w:sz w:val="16"/>
          <w:szCs w:val="16"/>
        </w:rPr>
        <w:t>1. 122-мм танковая и самоходная пушка большой мощности предна</w:t>
      </w:r>
      <w:r w:rsidRPr="00271E51">
        <w:rPr>
          <w:i w:val="0"/>
          <w:color w:val="000000" w:themeColor="text1"/>
          <w:sz w:val="16"/>
          <w:szCs w:val="16"/>
        </w:rPr>
        <w:softHyphen/>
        <w:t>значается для вооружения тяжелых танков (типа «ИС» ) и ар</w:t>
      </w:r>
      <w:r w:rsidRPr="00271E51">
        <w:rPr>
          <w:i w:val="0"/>
          <w:color w:val="000000" w:themeColor="text1"/>
          <w:sz w:val="16"/>
          <w:szCs w:val="16"/>
        </w:rPr>
        <w:softHyphen/>
        <w:t>тиллерийских самоходных орудий, изготовленных из агрегатов шасси тяжелых танков.</w:t>
      </w:r>
    </w:p>
    <w:p w14:paraId="2823F95B" w14:textId="77777777" w:rsidR="00B95E55" w:rsidRPr="00271E51" w:rsidRDefault="00B95E55" w:rsidP="00271E51">
      <w:pPr>
        <w:pStyle w:val="Bodytext141"/>
        <w:shd w:val="clear" w:color="auto" w:fill="auto"/>
        <w:tabs>
          <w:tab w:val="left" w:pos="860"/>
        </w:tabs>
        <w:spacing w:line="240" w:lineRule="auto"/>
        <w:ind w:firstLine="0"/>
        <w:jc w:val="both"/>
        <w:rPr>
          <w:i w:val="0"/>
          <w:color w:val="000000" w:themeColor="text1"/>
          <w:sz w:val="16"/>
          <w:szCs w:val="16"/>
        </w:rPr>
      </w:pPr>
      <w:r w:rsidRPr="00271E51">
        <w:rPr>
          <w:i w:val="0"/>
          <w:color w:val="000000" w:themeColor="text1"/>
          <w:sz w:val="16"/>
          <w:szCs w:val="16"/>
        </w:rPr>
        <w:t>2. Главной огневой задачей 122-мм пушки большой мощности явля</w:t>
      </w:r>
      <w:r w:rsidRPr="00271E51">
        <w:rPr>
          <w:i w:val="0"/>
          <w:color w:val="000000" w:themeColor="text1"/>
          <w:sz w:val="16"/>
          <w:szCs w:val="16"/>
        </w:rPr>
        <w:softHyphen/>
        <w:t>ется уничтожение тяжелых танков и самоходных орудий про</w:t>
      </w:r>
      <w:r w:rsidRPr="00271E51">
        <w:rPr>
          <w:i w:val="0"/>
          <w:color w:val="000000" w:themeColor="text1"/>
          <w:sz w:val="16"/>
          <w:szCs w:val="16"/>
        </w:rPr>
        <w:softHyphen/>
        <w:t>тивника (брони до 200 мм) на дистанциях 1000—1500 метров и разрушение бронеколпаков ДОТ-ов и бронированных амбразур.</w:t>
      </w:r>
    </w:p>
    <w:p w14:paraId="0721E28B"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Кроме того, пушка предназначается для уничтожения живой силы и артиллерии противника.</w:t>
      </w:r>
    </w:p>
    <w:p w14:paraId="39FC90BD"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II. Баллистические данные.</w:t>
      </w:r>
    </w:p>
    <w:p w14:paraId="29497CE0" w14:textId="77777777" w:rsidR="00B95E55" w:rsidRPr="00271E51" w:rsidRDefault="00B95E55" w:rsidP="00271E51">
      <w:pPr>
        <w:pStyle w:val="Bodytext141"/>
        <w:shd w:val="clear" w:color="auto" w:fill="auto"/>
        <w:tabs>
          <w:tab w:val="left" w:pos="879"/>
        </w:tabs>
        <w:spacing w:line="240" w:lineRule="auto"/>
        <w:ind w:firstLine="0"/>
        <w:jc w:val="both"/>
        <w:rPr>
          <w:i w:val="0"/>
          <w:color w:val="000000" w:themeColor="text1"/>
          <w:sz w:val="16"/>
          <w:szCs w:val="16"/>
        </w:rPr>
      </w:pPr>
      <w:r w:rsidRPr="00271E51">
        <w:rPr>
          <w:i w:val="0"/>
          <w:color w:val="000000" w:themeColor="text1"/>
          <w:sz w:val="16"/>
          <w:szCs w:val="16"/>
        </w:rPr>
        <w:t>1. 122-мм танковая и самоходная пушка должна иметь следующую баллистику:</w:t>
      </w:r>
    </w:p>
    <w:p w14:paraId="03486B87" w14:textId="77777777" w:rsidR="00B95E55" w:rsidRPr="00271E51" w:rsidRDefault="00B95E55" w:rsidP="00271E51">
      <w:pPr>
        <w:pStyle w:val="Bodytext141"/>
        <w:shd w:val="clear" w:color="auto" w:fill="auto"/>
        <w:tabs>
          <w:tab w:val="left" w:pos="378"/>
        </w:tabs>
        <w:spacing w:line="240" w:lineRule="auto"/>
        <w:ind w:firstLine="0"/>
        <w:jc w:val="both"/>
        <w:rPr>
          <w:i w:val="0"/>
          <w:color w:val="000000" w:themeColor="text1"/>
          <w:sz w:val="16"/>
          <w:szCs w:val="16"/>
        </w:rPr>
      </w:pPr>
      <w:r w:rsidRPr="00271E51">
        <w:rPr>
          <w:i w:val="0"/>
          <w:color w:val="000000" w:themeColor="text1"/>
          <w:sz w:val="16"/>
          <w:szCs w:val="16"/>
        </w:rPr>
        <w:t>а. калибр</w:t>
      </w:r>
      <w:r w:rsidRPr="00271E51">
        <w:rPr>
          <w:i w:val="0"/>
          <w:color w:val="000000" w:themeColor="text1"/>
          <w:sz w:val="16"/>
          <w:szCs w:val="16"/>
        </w:rPr>
        <w:tab/>
        <w:t>122 мм</w:t>
      </w:r>
    </w:p>
    <w:p w14:paraId="0C51DED5" w14:textId="77777777" w:rsidR="00B95E55" w:rsidRPr="00271E51" w:rsidRDefault="00B95E55" w:rsidP="00271E51">
      <w:pPr>
        <w:pStyle w:val="Bodytext141"/>
        <w:shd w:val="clear" w:color="auto" w:fill="auto"/>
        <w:tabs>
          <w:tab w:val="left" w:pos="369"/>
        </w:tabs>
        <w:spacing w:line="240" w:lineRule="auto"/>
        <w:ind w:firstLine="0"/>
        <w:jc w:val="both"/>
        <w:rPr>
          <w:i w:val="0"/>
          <w:color w:val="000000" w:themeColor="text1"/>
          <w:sz w:val="16"/>
          <w:szCs w:val="16"/>
        </w:rPr>
      </w:pPr>
      <w:r w:rsidRPr="00271E51">
        <w:rPr>
          <w:i w:val="0"/>
          <w:color w:val="000000" w:themeColor="text1"/>
          <w:sz w:val="16"/>
          <w:szCs w:val="16"/>
        </w:rPr>
        <w:t>б. вес снаряда</w:t>
      </w:r>
      <w:r w:rsidRPr="00271E51">
        <w:rPr>
          <w:i w:val="0"/>
          <w:color w:val="000000" w:themeColor="text1"/>
          <w:sz w:val="16"/>
          <w:szCs w:val="16"/>
        </w:rPr>
        <w:tab/>
        <w:t>25 кгр.</w:t>
      </w:r>
    </w:p>
    <w:p w14:paraId="3BDE3B1E" w14:textId="77777777" w:rsidR="00B95E55" w:rsidRPr="00271E51" w:rsidRDefault="00B95E55" w:rsidP="00271E51">
      <w:pPr>
        <w:pStyle w:val="Bodytext141"/>
        <w:shd w:val="clear" w:color="auto" w:fill="auto"/>
        <w:tabs>
          <w:tab w:val="left" w:pos="369"/>
        </w:tabs>
        <w:spacing w:line="240" w:lineRule="auto"/>
        <w:ind w:firstLine="0"/>
        <w:jc w:val="both"/>
        <w:rPr>
          <w:i w:val="0"/>
          <w:color w:val="000000" w:themeColor="text1"/>
          <w:sz w:val="16"/>
          <w:szCs w:val="16"/>
        </w:rPr>
      </w:pPr>
      <w:r w:rsidRPr="00271E51">
        <w:rPr>
          <w:i w:val="0"/>
          <w:color w:val="000000" w:themeColor="text1"/>
          <w:sz w:val="16"/>
          <w:szCs w:val="16"/>
        </w:rPr>
        <w:t>в. нач. скорость (для бронебойного заряда)</w:t>
      </w:r>
      <w:r w:rsidRPr="00271E51">
        <w:rPr>
          <w:i w:val="0"/>
          <w:color w:val="000000" w:themeColor="text1"/>
          <w:sz w:val="16"/>
          <w:szCs w:val="16"/>
        </w:rPr>
        <w:tab/>
        <w:t>1000м/сек</w:t>
      </w:r>
    </w:p>
    <w:p w14:paraId="578EBF09" w14:textId="77777777" w:rsidR="00B95E55" w:rsidRPr="00271E51" w:rsidRDefault="00B95E55" w:rsidP="00271E51">
      <w:pPr>
        <w:pStyle w:val="Bodytext141"/>
        <w:shd w:val="clear" w:color="auto" w:fill="auto"/>
        <w:tabs>
          <w:tab w:val="left" w:pos="354"/>
        </w:tabs>
        <w:spacing w:line="240" w:lineRule="auto"/>
        <w:ind w:firstLine="0"/>
        <w:jc w:val="both"/>
        <w:rPr>
          <w:i w:val="0"/>
          <w:color w:val="000000" w:themeColor="text1"/>
          <w:sz w:val="16"/>
          <w:szCs w:val="16"/>
        </w:rPr>
      </w:pPr>
      <w:r w:rsidRPr="00271E51">
        <w:rPr>
          <w:i w:val="0"/>
          <w:color w:val="000000" w:themeColor="text1"/>
          <w:sz w:val="16"/>
          <w:szCs w:val="16"/>
        </w:rPr>
        <w:t>г. плотность заряжания</w:t>
      </w:r>
      <w:r w:rsidRPr="00271E51">
        <w:rPr>
          <w:i w:val="0"/>
          <w:color w:val="000000" w:themeColor="text1"/>
          <w:sz w:val="16"/>
          <w:szCs w:val="16"/>
        </w:rPr>
        <w:tab/>
        <w:t>не более 0,75</w:t>
      </w:r>
    </w:p>
    <w:p w14:paraId="1A43A253" w14:textId="77777777" w:rsidR="00B95E55" w:rsidRPr="00271E51" w:rsidRDefault="00B95E55" w:rsidP="00271E51">
      <w:pPr>
        <w:pStyle w:val="Bodytext141"/>
        <w:shd w:val="clear" w:color="auto" w:fill="auto"/>
        <w:tabs>
          <w:tab w:val="left" w:pos="359"/>
        </w:tabs>
        <w:spacing w:line="240" w:lineRule="auto"/>
        <w:ind w:firstLine="0"/>
        <w:jc w:val="both"/>
        <w:rPr>
          <w:i w:val="0"/>
          <w:color w:val="000000" w:themeColor="text1"/>
          <w:sz w:val="16"/>
          <w:szCs w:val="16"/>
        </w:rPr>
      </w:pPr>
      <w:r w:rsidRPr="00271E51">
        <w:rPr>
          <w:i w:val="0"/>
          <w:color w:val="000000" w:themeColor="text1"/>
          <w:sz w:val="16"/>
          <w:szCs w:val="16"/>
        </w:rPr>
        <w:t>д. марка пороха</w:t>
      </w:r>
      <w:r w:rsidRPr="00271E51">
        <w:rPr>
          <w:i w:val="0"/>
          <w:color w:val="000000" w:themeColor="text1"/>
          <w:sz w:val="16"/>
          <w:szCs w:val="16"/>
        </w:rPr>
        <w:tab/>
        <w:t>не более 0,75 22/1 или 24/1</w:t>
      </w:r>
    </w:p>
    <w:p w14:paraId="2FB70CC4" w14:textId="77777777" w:rsidR="00B95E55" w:rsidRPr="00271E51" w:rsidRDefault="00B95E55" w:rsidP="00271E51">
      <w:pPr>
        <w:pStyle w:val="Bodytext141"/>
        <w:shd w:val="clear" w:color="auto" w:fill="auto"/>
        <w:tabs>
          <w:tab w:val="left" w:pos="359"/>
        </w:tabs>
        <w:spacing w:line="240" w:lineRule="auto"/>
        <w:ind w:firstLine="0"/>
        <w:jc w:val="both"/>
        <w:rPr>
          <w:i w:val="0"/>
          <w:color w:val="000000" w:themeColor="text1"/>
          <w:sz w:val="16"/>
          <w:szCs w:val="16"/>
        </w:rPr>
      </w:pPr>
      <w:r w:rsidRPr="00271E51">
        <w:rPr>
          <w:i w:val="0"/>
          <w:color w:val="000000" w:themeColor="text1"/>
          <w:sz w:val="16"/>
          <w:szCs w:val="16"/>
        </w:rPr>
        <w:t>е. наибольшее давление</w:t>
      </w:r>
      <w:r w:rsidRPr="00271E51">
        <w:rPr>
          <w:i w:val="0"/>
          <w:color w:val="000000" w:themeColor="text1"/>
          <w:sz w:val="16"/>
          <w:szCs w:val="16"/>
        </w:rPr>
        <w:tab/>
        <w:t>около 3200 кг/см</w:t>
      </w:r>
      <w:r w:rsidRPr="00271E51">
        <w:rPr>
          <w:i w:val="0"/>
          <w:color w:val="000000" w:themeColor="text1"/>
          <w:sz w:val="16"/>
          <w:szCs w:val="16"/>
          <w:vertAlign w:val="superscript"/>
        </w:rPr>
        <w:t>2</w:t>
      </w:r>
    </w:p>
    <w:p w14:paraId="1C71810A"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Кроме того, в боекомплекте пушки должна быть осколочно-фугасная граната, штатная для пушки А-19. Начальная скорость осколочно-фу</w:t>
      </w:r>
      <w:r w:rsidRPr="00271E51">
        <w:rPr>
          <w:i w:val="0"/>
          <w:color w:val="000000" w:themeColor="text1"/>
          <w:sz w:val="16"/>
          <w:szCs w:val="16"/>
        </w:rPr>
        <w:softHyphen/>
        <w:t>гасной гранаты должна быть ниже, чем 1000 м/сек., с целью повышения живучести ствола и получение больших углов падения снаряда.</w:t>
      </w:r>
    </w:p>
    <w:p w14:paraId="49701B33"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III. Тактические требования.</w:t>
      </w:r>
    </w:p>
    <w:p w14:paraId="6CD040B3"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4. Пушка должна иметь следующие характеристики:</w:t>
      </w:r>
    </w:p>
    <w:p w14:paraId="0C4F16AE" w14:textId="77777777" w:rsidR="00B95E55" w:rsidRPr="00271E51" w:rsidRDefault="00B95E55" w:rsidP="00271E51">
      <w:pPr>
        <w:pStyle w:val="Bodytext141"/>
        <w:shd w:val="clear" w:color="auto" w:fill="auto"/>
        <w:tabs>
          <w:tab w:val="left" w:pos="278"/>
        </w:tabs>
        <w:spacing w:line="240" w:lineRule="auto"/>
        <w:ind w:firstLine="0"/>
        <w:jc w:val="both"/>
        <w:rPr>
          <w:i w:val="0"/>
          <w:color w:val="000000" w:themeColor="text1"/>
          <w:sz w:val="16"/>
          <w:szCs w:val="16"/>
        </w:rPr>
      </w:pPr>
      <w:r w:rsidRPr="00271E51">
        <w:rPr>
          <w:i w:val="0"/>
          <w:color w:val="000000" w:themeColor="text1"/>
          <w:sz w:val="16"/>
          <w:szCs w:val="16"/>
        </w:rPr>
        <w:t>а. скорострельность</w:t>
      </w:r>
      <w:r w:rsidRPr="00271E51">
        <w:rPr>
          <w:i w:val="0"/>
          <w:color w:val="000000" w:themeColor="text1"/>
          <w:sz w:val="16"/>
          <w:szCs w:val="16"/>
        </w:rPr>
        <w:tab/>
        <w:t>6—</w:t>
      </w:r>
      <w:r w:rsidRPr="00271E51">
        <w:rPr>
          <w:rStyle w:val="Bodytext14Tahoma1"/>
          <w:rFonts w:ascii="Times New Roman" w:hAnsi="Times New Roman" w:cs="Times New Roman"/>
          <w:i w:val="0"/>
          <w:iCs w:val="0"/>
          <w:color w:val="000000" w:themeColor="text1"/>
          <w:sz w:val="16"/>
          <w:szCs w:val="16"/>
        </w:rPr>
        <w:t xml:space="preserve"> 7</w:t>
      </w:r>
      <w:r w:rsidRPr="00271E51">
        <w:rPr>
          <w:i w:val="0"/>
          <w:color w:val="000000" w:themeColor="text1"/>
          <w:sz w:val="16"/>
          <w:szCs w:val="16"/>
        </w:rPr>
        <w:t xml:space="preserve"> выстр./мин.</w:t>
      </w:r>
    </w:p>
    <w:p w14:paraId="5125CA3B" w14:textId="77777777" w:rsidR="00B95E55" w:rsidRPr="00271E51" w:rsidRDefault="00B95E55" w:rsidP="00271E51">
      <w:pPr>
        <w:pStyle w:val="Bodytext141"/>
        <w:shd w:val="clear" w:color="auto" w:fill="auto"/>
        <w:tabs>
          <w:tab w:val="left" w:pos="264"/>
        </w:tabs>
        <w:spacing w:line="240" w:lineRule="auto"/>
        <w:ind w:firstLine="0"/>
        <w:jc w:val="both"/>
        <w:rPr>
          <w:i w:val="0"/>
          <w:color w:val="000000" w:themeColor="text1"/>
          <w:sz w:val="16"/>
          <w:szCs w:val="16"/>
        </w:rPr>
      </w:pPr>
      <w:r w:rsidRPr="00271E51">
        <w:rPr>
          <w:i w:val="0"/>
          <w:color w:val="000000" w:themeColor="text1"/>
          <w:sz w:val="16"/>
          <w:szCs w:val="16"/>
        </w:rPr>
        <w:t>б. кучность стрельбы на дистанцию 1000м</w:t>
      </w:r>
      <w:r w:rsidRPr="00271E51">
        <w:rPr>
          <w:i w:val="0"/>
          <w:color w:val="000000" w:themeColor="text1"/>
          <w:sz w:val="16"/>
          <w:szCs w:val="16"/>
        </w:rPr>
        <w:tab/>
        <w:t>0,15 мю</w:t>
      </w:r>
    </w:p>
    <w:p w14:paraId="31CC1C0A"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усилия на маховиках механизмов наведения при страгивании с места при установившемся движении</w:t>
      </w:r>
    </w:p>
    <w:p w14:paraId="7E5C86F8" w14:textId="77777777" w:rsidR="00B95E55" w:rsidRPr="00271E51" w:rsidRDefault="00B95E55" w:rsidP="00271E51">
      <w:pPr>
        <w:pStyle w:val="Bodytext141"/>
        <w:shd w:val="clear" w:color="auto" w:fill="auto"/>
        <w:tabs>
          <w:tab w:val="left" w:pos="235"/>
        </w:tabs>
        <w:spacing w:line="240" w:lineRule="auto"/>
        <w:ind w:firstLine="0"/>
        <w:jc w:val="both"/>
        <w:rPr>
          <w:i w:val="0"/>
          <w:color w:val="000000" w:themeColor="text1"/>
          <w:sz w:val="16"/>
          <w:szCs w:val="16"/>
        </w:rPr>
      </w:pPr>
      <w:r w:rsidRPr="00271E51">
        <w:rPr>
          <w:i w:val="0"/>
          <w:color w:val="000000" w:themeColor="text1"/>
          <w:sz w:val="16"/>
          <w:szCs w:val="16"/>
        </w:rPr>
        <w:t>г. мертвые хода на маховиках механизмов наведения не более</w:t>
      </w:r>
    </w:p>
    <w:p w14:paraId="3EB2C20B" w14:textId="77777777" w:rsidR="00B95E55" w:rsidRPr="00271E51" w:rsidRDefault="00B95E55" w:rsidP="00271E51">
      <w:pPr>
        <w:pStyle w:val="Bodytext141"/>
        <w:shd w:val="clear" w:color="auto" w:fill="auto"/>
        <w:tabs>
          <w:tab w:val="left" w:pos="254"/>
        </w:tabs>
        <w:spacing w:line="240" w:lineRule="auto"/>
        <w:ind w:firstLine="0"/>
        <w:jc w:val="both"/>
        <w:rPr>
          <w:i w:val="0"/>
          <w:color w:val="000000" w:themeColor="text1"/>
          <w:sz w:val="16"/>
          <w:szCs w:val="16"/>
        </w:rPr>
      </w:pPr>
      <w:r w:rsidRPr="00271E51">
        <w:rPr>
          <w:i w:val="0"/>
          <w:color w:val="000000" w:themeColor="text1"/>
          <w:sz w:val="16"/>
          <w:szCs w:val="16"/>
        </w:rPr>
        <w:t>д. усилие на механическом спусковом механизме</w:t>
      </w:r>
    </w:p>
    <w:p w14:paraId="6ACAF3D7"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е. вертикальный сектор обстрела от —5° до +20°</w:t>
      </w:r>
    </w:p>
    <w:p w14:paraId="06F962C4"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Пушка должна иметь раздельное заряжание.</w:t>
      </w:r>
    </w:p>
    <w:p w14:paraId="284E9CCC" w14:textId="77777777" w:rsidR="00B95E55" w:rsidRPr="00271E51" w:rsidRDefault="00B95E55" w:rsidP="00271E51">
      <w:pPr>
        <w:pStyle w:val="Bodytext141"/>
        <w:shd w:val="clear" w:color="auto" w:fill="auto"/>
        <w:tabs>
          <w:tab w:val="left" w:pos="1620"/>
        </w:tabs>
        <w:spacing w:line="240" w:lineRule="auto"/>
        <w:ind w:firstLine="0"/>
        <w:jc w:val="both"/>
        <w:rPr>
          <w:i w:val="0"/>
          <w:color w:val="000000" w:themeColor="text1"/>
          <w:sz w:val="16"/>
          <w:szCs w:val="16"/>
        </w:rPr>
      </w:pPr>
      <w:r w:rsidRPr="00271E51">
        <w:rPr>
          <w:i w:val="0"/>
          <w:color w:val="000000" w:themeColor="text1"/>
          <w:sz w:val="16"/>
          <w:szCs w:val="16"/>
        </w:rPr>
        <w:t>6 Основным прицелом пушки является ломающийся телескопиче</w:t>
      </w:r>
      <w:r w:rsidRPr="00271E51">
        <w:rPr>
          <w:i w:val="0"/>
          <w:color w:val="000000" w:themeColor="text1"/>
          <w:sz w:val="16"/>
          <w:szCs w:val="16"/>
        </w:rPr>
        <w:softHyphen/>
        <w:t>ский прицел. Для дублирования в танке ставится обычный теле</w:t>
      </w:r>
      <w:r w:rsidRPr="00271E51">
        <w:rPr>
          <w:i w:val="0"/>
          <w:color w:val="000000" w:themeColor="text1"/>
          <w:sz w:val="16"/>
          <w:szCs w:val="16"/>
        </w:rPr>
        <w:softHyphen/>
        <w:t>скопический прицел.</w:t>
      </w:r>
    </w:p>
    <w:p w14:paraId="6AE1FC4C" w14:textId="77777777" w:rsidR="00B95E55" w:rsidRPr="00271E51" w:rsidRDefault="00B95E55" w:rsidP="00271E51">
      <w:pPr>
        <w:pStyle w:val="Bodytext141"/>
        <w:shd w:val="clear" w:color="auto" w:fill="auto"/>
        <w:tabs>
          <w:tab w:val="left" w:pos="1610"/>
        </w:tabs>
        <w:spacing w:line="240" w:lineRule="auto"/>
        <w:ind w:firstLine="0"/>
        <w:jc w:val="both"/>
        <w:rPr>
          <w:i w:val="0"/>
          <w:color w:val="000000" w:themeColor="text1"/>
          <w:sz w:val="16"/>
          <w:szCs w:val="16"/>
        </w:rPr>
      </w:pPr>
      <w:r w:rsidRPr="00271E51">
        <w:rPr>
          <w:i w:val="0"/>
          <w:color w:val="000000" w:themeColor="text1"/>
          <w:sz w:val="16"/>
          <w:szCs w:val="16"/>
        </w:rPr>
        <w:t>7. Для стрельбы с закрытых позиций танковая пушка должна иметь боковой уровень. Самоходная пушка — полевой прицел типа «ЗИС-З».</w:t>
      </w:r>
    </w:p>
    <w:p w14:paraId="7A98E6AB" w14:textId="77777777" w:rsidR="00B95E55" w:rsidRPr="00271E51" w:rsidRDefault="00B95E55" w:rsidP="00271E51">
      <w:pPr>
        <w:pStyle w:val="Bodytext141"/>
        <w:shd w:val="clear" w:color="auto" w:fill="auto"/>
        <w:tabs>
          <w:tab w:val="left" w:pos="1615"/>
        </w:tabs>
        <w:spacing w:line="240" w:lineRule="auto"/>
        <w:ind w:firstLine="0"/>
        <w:jc w:val="both"/>
        <w:rPr>
          <w:i w:val="0"/>
          <w:color w:val="000000" w:themeColor="text1"/>
          <w:sz w:val="16"/>
          <w:szCs w:val="16"/>
        </w:rPr>
      </w:pPr>
      <w:r w:rsidRPr="00271E51">
        <w:rPr>
          <w:i w:val="0"/>
          <w:color w:val="000000" w:themeColor="text1"/>
          <w:sz w:val="16"/>
          <w:szCs w:val="16"/>
        </w:rPr>
        <w:t>8. Пушка обслуживается при стрельбе расчетом из трех человек: наводчик и два заряжающих.</w:t>
      </w:r>
    </w:p>
    <w:p w14:paraId="56D62016" w14:textId="77777777" w:rsidR="00B95E55" w:rsidRPr="00271E51" w:rsidRDefault="00B95E55" w:rsidP="00271E51">
      <w:pPr>
        <w:pStyle w:val="Bodytext141"/>
        <w:shd w:val="clear" w:color="auto" w:fill="auto"/>
        <w:tabs>
          <w:tab w:val="left" w:pos="1601"/>
        </w:tabs>
        <w:spacing w:line="240" w:lineRule="auto"/>
        <w:ind w:firstLine="0"/>
        <w:jc w:val="both"/>
        <w:rPr>
          <w:i w:val="0"/>
          <w:color w:val="000000" w:themeColor="text1"/>
          <w:sz w:val="16"/>
          <w:szCs w:val="16"/>
        </w:rPr>
      </w:pPr>
      <w:r w:rsidRPr="00271E51">
        <w:rPr>
          <w:i w:val="0"/>
          <w:color w:val="000000" w:themeColor="text1"/>
          <w:sz w:val="16"/>
          <w:szCs w:val="16"/>
        </w:rPr>
        <w:t>9. Пушка должна быть спарена с пулеметом.</w:t>
      </w:r>
    </w:p>
    <w:p w14:paraId="6F99D078"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IV. Общие конструктивные требования.</w:t>
      </w:r>
    </w:p>
    <w:p w14:paraId="7ADF7BAF" w14:textId="77777777" w:rsidR="00B95E55" w:rsidRPr="00271E51" w:rsidRDefault="00B95E55" w:rsidP="00271E51">
      <w:pPr>
        <w:pStyle w:val="Bodytext141"/>
        <w:shd w:val="clear" w:color="auto" w:fill="auto"/>
        <w:tabs>
          <w:tab w:val="left" w:pos="1754"/>
        </w:tabs>
        <w:spacing w:line="240" w:lineRule="auto"/>
        <w:ind w:firstLine="0"/>
        <w:jc w:val="both"/>
        <w:rPr>
          <w:i w:val="0"/>
          <w:color w:val="000000" w:themeColor="text1"/>
          <w:sz w:val="16"/>
          <w:szCs w:val="16"/>
        </w:rPr>
      </w:pPr>
      <w:r w:rsidRPr="00271E51">
        <w:rPr>
          <w:i w:val="0"/>
          <w:color w:val="000000" w:themeColor="text1"/>
          <w:sz w:val="16"/>
          <w:szCs w:val="16"/>
        </w:rPr>
        <w:t>10. Качающаяся часть 122-мм пушки большой мощности долж</w:t>
      </w:r>
      <w:r w:rsidRPr="00271E51">
        <w:rPr>
          <w:i w:val="0"/>
          <w:color w:val="000000" w:themeColor="text1"/>
          <w:sz w:val="16"/>
          <w:szCs w:val="16"/>
        </w:rPr>
        <w:softHyphen/>
        <w:t>на быть унифицирована для установки во вращающейся башне танка и в корпусе артсамохода.</w:t>
      </w:r>
    </w:p>
    <w:p w14:paraId="6A98DE96"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11. Общая компоновка пушки должна обеспечивать при ее установ</w:t>
      </w:r>
      <w:r w:rsidRPr="00271E51">
        <w:rPr>
          <w:i w:val="0"/>
          <w:color w:val="000000" w:themeColor="text1"/>
          <w:sz w:val="16"/>
          <w:szCs w:val="16"/>
        </w:rPr>
        <w:softHyphen/>
        <w:t>ке наименьшую высоту линии огня и наивыгоднейший уровень за</w:t>
      </w:r>
      <w:r w:rsidRPr="00271E51">
        <w:rPr>
          <w:i w:val="0"/>
          <w:color w:val="000000" w:themeColor="text1"/>
          <w:sz w:val="16"/>
          <w:szCs w:val="16"/>
        </w:rPr>
        <w:softHyphen/>
        <w:t>ряжания.</w:t>
      </w:r>
    </w:p>
    <w:p w14:paraId="059FFDA2" w14:textId="77777777" w:rsidR="00B95E55" w:rsidRPr="00271E51" w:rsidRDefault="00B95E55" w:rsidP="00271E51">
      <w:pPr>
        <w:pStyle w:val="Bodytext141"/>
        <w:shd w:val="clear" w:color="auto" w:fill="auto"/>
        <w:tabs>
          <w:tab w:val="left" w:pos="1692"/>
        </w:tabs>
        <w:spacing w:line="240" w:lineRule="auto"/>
        <w:ind w:firstLine="0"/>
        <w:jc w:val="both"/>
        <w:rPr>
          <w:i w:val="0"/>
          <w:color w:val="000000" w:themeColor="text1"/>
          <w:sz w:val="16"/>
          <w:szCs w:val="16"/>
        </w:rPr>
      </w:pPr>
      <w:r w:rsidRPr="00271E51">
        <w:rPr>
          <w:i w:val="0"/>
          <w:color w:val="000000" w:themeColor="text1"/>
          <w:sz w:val="16"/>
          <w:szCs w:val="16"/>
        </w:rPr>
        <w:t>12. Вес орудия без бронирования должен быть не более 3500 кгр., при этом вес откатных частей должен быть в пределах 2700 кгр.</w:t>
      </w:r>
    </w:p>
    <w:p w14:paraId="65D1DADC" w14:textId="77777777" w:rsidR="00B95E55" w:rsidRPr="00271E51" w:rsidRDefault="00B95E55" w:rsidP="00271E51">
      <w:pPr>
        <w:pStyle w:val="Bodytext141"/>
        <w:shd w:val="clear" w:color="auto" w:fill="auto"/>
        <w:tabs>
          <w:tab w:val="left" w:pos="1730"/>
        </w:tabs>
        <w:spacing w:line="240" w:lineRule="auto"/>
        <w:ind w:firstLine="0"/>
        <w:jc w:val="both"/>
        <w:rPr>
          <w:i w:val="0"/>
          <w:color w:val="000000" w:themeColor="text1"/>
          <w:sz w:val="16"/>
          <w:szCs w:val="16"/>
        </w:rPr>
      </w:pPr>
      <w:r w:rsidRPr="00271E51">
        <w:rPr>
          <w:i w:val="0"/>
          <w:color w:val="000000" w:themeColor="text1"/>
          <w:sz w:val="16"/>
          <w:szCs w:val="16"/>
        </w:rPr>
        <w:t>13. Габариты пушки при установке ее в башню танка с погоном 1800мм должен обеспечивать удобную работу расчета.</w:t>
      </w:r>
    </w:p>
    <w:p w14:paraId="3EC60DCD" w14:textId="77777777" w:rsidR="00B95E55" w:rsidRPr="00271E51" w:rsidRDefault="00B95E55" w:rsidP="00271E51">
      <w:pPr>
        <w:pStyle w:val="Bodytext141"/>
        <w:shd w:val="clear" w:color="auto" w:fill="auto"/>
        <w:tabs>
          <w:tab w:val="left" w:pos="1711"/>
        </w:tabs>
        <w:spacing w:line="240" w:lineRule="auto"/>
        <w:ind w:firstLine="0"/>
        <w:jc w:val="both"/>
        <w:rPr>
          <w:i w:val="0"/>
          <w:color w:val="000000" w:themeColor="text1"/>
          <w:sz w:val="16"/>
          <w:szCs w:val="16"/>
        </w:rPr>
      </w:pPr>
      <w:r w:rsidRPr="00271E51">
        <w:rPr>
          <w:i w:val="0"/>
          <w:color w:val="000000" w:themeColor="text1"/>
          <w:sz w:val="16"/>
          <w:szCs w:val="16"/>
        </w:rPr>
        <w:t>14. Желательно иметь естественное уравновешивание пушки, од</w:t>
      </w:r>
      <w:r w:rsidRPr="00271E51">
        <w:rPr>
          <w:i w:val="0"/>
          <w:color w:val="000000" w:themeColor="text1"/>
          <w:sz w:val="16"/>
          <w:szCs w:val="16"/>
        </w:rPr>
        <w:softHyphen/>
        <w:t>нако применение уравновешивающих механизмов допускается.</w:t>
      </w:r>
    </w:p>
    <w:p w14:paraId="4F0C502E"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15. Габариты откатывающихся частей должны быть ограждены.</w:t>
      </w:r>
    </w:p>
    <w:p w14:paraId="266CE554" w14:textId="77777777" w:rsidR="00B95E55" w:rsidRPr="00271E51" w:rsidRDefault="00B95E55" w:rsidP="00271E51">
      <w:pPr>
        <w:pStyle w:val="Bodytext141"/>
        <w:shd w:val="clear" w:color="auto" w:fill="auto"/>
        <w:tabs>
          <w:tab w:val="left" w:pos="1687"/>
        </w:tabs>
        <w:spacing w:line="240" w:lineRule="auto"/>
        <w:ind w:firstLine="0"/>
        <w:jc w:val="both"/>
        <w:rPr>
          <w:i w:val="0"/>
          <w:color w:val="000000" w:themeColor="text1"/>
          <w:sz w:val="16"/>
          <w:szCs w:val="16"/>
        </w:rPr>
      </w:pPr>
      <w:r w:rsidRPr="00271E51">
        <w:rPr>
          <w:i w:val="0"/>
          <w:color w:val="000000" w:themeColor="text1"/>
          <w:sz w:val="16"/>
          <w:szCs w:val="16"/>
        </w:rPr>
        <w:t>16. Запасы прочности частей пушки должны обеспечивать возмож</w:t>
      </w:r>
      <w:r w:rsidRPr="00271E51">
        <w:rPr>
          <w:i w:val="0"/>
          <w:color w:val="000000" w:themeColor="text1"/>
          <w:sz w:val="16"/>
          <w:szCs w:val="16"/>
        </w:rPr>
        <w:softHyphen/>
        <w:t>ность дальнейшего повышения баллистики и наложения 152-мм ствола с баллистикой БР-2.</w:t>
      </w:r>
    </w:p>
    <w:p w14:paraId="3AA6A195" w14:textId="77777777" w:rsidR="00B95E55" w:rsidRPr="00271E51" w:rsidRDefault="00B95E55" w:rsidP="00271E51">
      <w:pPr>
        <w:pStyle w:val="Bodytext141"/>
        <w:shd w:val="clear" w:color="auto" w:fill="auto"/>
        <w:tabs>
          <w:tab w:val="left" w:pos="1730"/>
        </w:tabs>
        <w:spacing w:line="240" w:lineRule="auto"/>
        <w:ind w:firstLine="0"/>
        <w:jc w:val="both"/>
        <w:rPr>
          <w:i w:val="0"/>
          <w:color w:val="000000" w:themeColor="text1"/>
          <w:sz w:val="16"/>
          <w:szCs w:val="16"/>
        </w:rPr>
      </w:pPr>
      <w:r w:rsidRPr="00271E51">
        <w:rPr>
          <w:i w:val="0"/>
          <w:color w:val="000000" w:themeColor="text1"/>
          <w:sz w:val="16"/>
          <w:szCs w:val="16"/>
        </w:rPr>
        <w:t>17. Материалы, применяемые для изготовления пушки, должны быть освоены отечественными заводами. Применение высоко</w:t>
      </w:r>
      <w:r w:rsidRPr="00271E51">
        <w:rPr>
          <w:i w:val="0"/>
          <w:color w:val="000000" w:themeColor="text1"/>
          <w:sz w:val="16"/>
          <w:szCs w:val="16"/>
        </w:rPr>
        <w:softHyphen/>
        <w:t>легированных сталей и цветных металлов необходимо довести до минимума.</w:t>
      </w:r>
    </w:p>
    <w:p w14:paraId="25919158"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18. Технологически пушка должна быть простой и опираться на уже существующие технологические процессы. Должна быть соблю</w:t>
      </w:r>
      <w:r w:rsidRPr="00271E51">
        <w:rPr>
          <w:i w:val="0"/>
          <w:color w:val="000000" w:themeColor="text1"/>
          <w:sz w:val="16"/>
          <w:szCs w:val="16"/>
        </w:rPr>
        <w:softHyphen/>
        <w:t>дена развернутая унификация крепежных деталей, резьб (по их размерностям, классам точности и типам), отверстий и гнезд.</w:t>
      </w:r>
    </w:p>
    <w:p w14:paraId="5C81A9FE" w14:textId="77777777" w:rsidR="00B95E55" w:rsidRPr="00271E51" w:rsidRDefault="00B95E55" w:rsidP="00271E51">
      <w:pPr>
        <w:pStyle w:val="Bodytext141"/>
        <w:shd w:val="clear" w:color="auto" w:fill="auto"/>
        <w:tabs>
          <w:tab w:val="left" w:pos="1740"/>
        </w:tabs>
        <w:spacing w:line="240" w:lineRule="auto"/>
        <w:ind w:firstLine="0"/>
        <w:jc w:val="both"/>
        <w:rPr>
          <w:i w:val="0"/>
          <w:color w:val="000000" w:themeColor="text1"/>
          <w:sz w:val="16"/>
          <w:szCs w:val="16"/>
        </w:rPr>
      </w:pPr>
      <w:r w:rsidRPr="00271E51">
        <w:rPr>
          <w:i w:val="0"/>
          <w:color w:val="000000" w:themeColor="text1"/>
          <w:sz w:val="16"/>
          <w:szCs w:val="16"/>
        </w:rPr>
        <w:t>19. Общая конструкция пушки должна предусматривать отсут</w:t>
      </w:r>
      <w:r w:rsidRPr="00271E51">
        <w:rPr>
          <w:i w:val="0"/>
          <w:color w:val="000000" w:themeColor="text1"/>
          <w:sz w:val="16"/>
          <w:szCs w:val="16"/>
        </w:rPr>
        <w:softHyphen/>
        <w:t>ствие регулирующихся в войсковых частях механизмов».</w:t>
      </w:r>
    </w:p>
    <w:p w14:paraId="75636AFC"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Ситуация с проектом ЦАКБ пошла по нестандартному сценарию. Согласно переписке, требования бюро получило и с 25 сентября начало работы. Проект длинноствольной 122-мм пушки получил заводской ин</w:t>
      </w:r>
      <w:r w:rsidRPr="00271E51">
        <w:rPr>
          <w:rFonts w:ascii="Times New Roman" w:cs="Times New Roman"/>
          <w:color w:val="000000" w:themeColor="text1"/>
          <w:spacing w:val="0"/>
        </w:rPr>
        <w:softHyphen/>
        <w:t>декс С-26-1, впрочем, Грабин решил пойти своим путем. Одновремен</w:t>
      </w:r>
      <w:r w:rsidRPr="00271E51">
        <w:rPr>
          <w:rFonts w:ascii="Times New Roman" w:cs="Times New Roman"/>
          <w:color w:val="000000" w:themeColor="text1"/>
          <w:spacing w:val="0"/>
        </w:rPr>
        <w:softHyphen/>
        <w:t>но с С-26-1 начальник ЦАКБ смог протолкнуть идею создания 130-мм танковой и самоходной пушки, которая создавалась на основе баллисти</w:t>
      </w:r>
      <w:r w:rsidRPr="00271E51">
        <w:rPr>
          <w:rFonts w:ascii="Times New Roman" w:cs="Times New Roman"/>
          <w:color w:val="000000" w:themeColor="text1"/>
          <w:spacing w:val="0"/>
        </w:rPr>
        <w:softHyphen/>
        <w:t>ки корабельного орудия Б-13. Разработка проекта, получившего индекс цдмо</w:t>
      </w:r>
      <w:r w:rsidRPr="00271E51">
        <w:rPr>
          <w:rStyle w:val="BodytextTahoma1"/>
          <w:rFonts w:ascii="Times New Roman" w:hAnsi="Times New Roman" w:cs="Times New Roman"/>
          <w:color w:val="000000" w:themeColor="text1"/>
        </w:rPr>
        <w:t xml:space="preserve"> рф фон </w:t>
      </w:r>
      <w:r w:rsidRPr="00271E51">
        <w:rPr>
          <w:rStyle w:val="BodytextTahoma1"/>
          <w:rFonts w:ascii="Times New Roman" w:hAnsi="Times New Roman" w:cs="Times New Roman"/>
          <w:color w:val="000000" w:themeColor="text1"/>
          <w:lang w:val="en-US"/>
        </w:rPr>
        <w:t>isi</w:t>
      </w:r>
      <w:r w:rsidRPr="00271E51">
        <w:rPr>
          <w:rStyle w:val="BodytextTahoma1"/>
          <w:rFonts w:ascii="Times New Roman" w:hAnsi="Times New Roman" w:cs="Times New Roman"/>
          <w:color w:val="000000" w:themeColor="text1"/>
        </w:rPr>
        <w:t xml:space="preserve"> от </w:t>
      </w:r>
      <w:r w:rsidRPr="00271E51">
        <w:rPr>
          <w:rFonts w:ascii="Times New Roman" w:cs="Times New Roman"/>
          <w:color w:val="000000" w:themeColor="text1"/>
          <w:spacing w:val="0"/>
        </w:rPr>
        <w:t>С-26, затянулась, утвердили его в начале 1944 года, когда СУ-152 была  уже не актуальной. По этой причине базой для С-26 и С-26-1 в конце 1943 года стала выступать самоходная установка ИСУ-152 (17484).</w:t>
      </w:r>
    </w:p>
    <w:p w14:paraId="020C2D1A"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282AF31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Распоряжение ГКО № 4191 [О передаче Трофейным комитетом при ГКО железнодорожного оборудования для восстановления шахт комбината "Ростовуголь".] (7096, 48).</w:t>
      </w:r>
    </w:p>
    <w:p w14:paraId="12BDBA5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A270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Распоряжение ГКО № 4192. О создании особого фонда специальной научно-технической литературы по радиолокации.РГАНИР, Фонд ГКО, д. 153, лл. 49 (11012).</w:t>
      </w:r>
    </w:p>
    <w:p w14:paraId="59BFD0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836B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4193 Об обеспечении действующей Красной Армии телеграфной проволокой, крючьями и изоляторами. (7096, 50).</w:t>
      </w:r>
    </w:p>
    <w:p w14:paraId="6C17993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EB10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4195 Об организации производства авиабомб из трофейных артиллерийских снарядов. (7096, 53-55).</w:t>
      </w:r>
    </w:p>
    <w:p w14:paraId="2BBAE4D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8D6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4196 Об изготовлении 152 мм и 356 мм дальнобойных снарядов.РГАНИР, Фонд ГКО, д. 153, лл. 56 (11012).</w:t>
      </w:r>
    </w:p>
    <w:p w14:paraId="6E67BB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0ACA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4197 [О снижении плана вывоза зерна автотранспортом Центрального фронта из Сумской, Черниговской, Курской, Орловской обл. и задании по вывозу зерна автотранспортом РВГК.] (7096, 57).</w:t>
      </w:r>
    </w:p>
    <w:p w14:paraId="5B0CD9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061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вышло Постановление ГКО № 4198 Вопросы Главупраформа.РГАНИР, Фонд ГКО, д. 153, лл. 58 (11012).</w:t>
      </w:r>
    </w:p>
    <w:p w14:paraId="049D1A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12C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Ждановцы после капитального ремонта закончили испытания СКР "Тайфун" и передали его флоту (10671).</w:t>
      </w:r>
    </w:p>
    <w:p w14:paraId="1FDF66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5014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EFB2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A295CE"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От Советского Информбюро</w:t>
      </w:r>
    </w:p>
    <w:p w14:paraId="4359E8F6"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КУБАНИ и северо-западнее НОВОРОССИЙСКА наши войска, продолжая наступление, продвинулись вперёд от 4 до 8 километров и заняли несколько населённых пунктов, среди которых крупные населённые пункты ЧЕКОН, ГАСТАГАЕВСКАЯ, ОЛЬХОВКА, БЛАГОВЕЩЕНСКОЕ. </w:t>
      </w:r>
    </w:p>
    <w:p w14:paraId="6B4AF922"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ДНЕПРОПЕТРОВСКОМ направлении наши войска продолжали наступление и, продвинувшись на отдельных участках вперёд от 5 до 20 километров, заняли свыше 90 населённых пунктов, в том числе районный центр Днепропетровской области ЦАРИЧАНКА, районный центр Полтавской области КИШЕНЬКИ и крупные населённые пункты КРАСНОЕ, ХАНДЕЛЕЕВКА, КАКУРОВКА, КРАВЦОВКА, КИТАЙ-ГОРОД, МОГИЛЁВ 1-й и 2-й, НОВО-ПОДКРЯЖ, ПРЯДОВКА, ШЕВЧЕНКОВО, ПЕРВОЕ МАЯ, ТАРАСОВКА, СПАССКОЕ, ПОПОВА-БАЛОВКА. </w:t>
      </w:r>
    </w:p>
    <w:p w14:paraId="36449067"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КРЕМЕНЧУГСКОМ направлении наши войска продолжали развивать успешное наступление и, продвинувшись вперёд от 10 до 20 километров, заняли более 100 населённых пунктов, в том числе районные центры Полтавской области РЕШЕТИЛОВКА, НОВЫЕ СЕНЖАРЫ, крупные населённые пункты ТОЛСТАЯ, ТРОЙНИКИ, РАДИОНОВКА, МОСТОВИВЩИНА, БАЛАКЛИЯ, ДЕМИДОВКА, МАЧУХИ, СТАРЫЕ СЕНЖАРЫ, ДМИТРЕНКИ, СУДОВКА, ЛЕЛЮХОВКА, БОЯРКА, БЕЛИКИ и железнодорожные станции АБАЗОВКА, МАЛАЯ ПЕРЕЩЕПИНСКАЯ, НОВЫЕ СЕНЖАРЫ, ЛЕЩИНОВА. </w:t>
      </w:r>
    </w:p>
    <w:p w14:paraId="7F648D6A"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КИЕВСКОМ направлении наши войска, продолжая развивать наступление, продвинулись вперёд от 10 до 20 километров и заняли свыше 50 населённых пунктов, в том числе город БОРИСПОЛЬ, районный центр Киевской области ВЫСШАЯ ДУБЕЧНЯ и крупные населённые пункты НИЗШАЯ ДУБЕЧНЯ, ПУХОВКА, МАРТУСОВКА, ИВАНЬКОВО, ГЛУБОКОЕ, РОГОЗОВ, ЛЮБОРЦЫ, СОШНИКОВ, НОВАЛИН, ДМИТРОВКА, КРАПИВНА, ЧАПАЕВКА. </w:t>
      </w:r>
    </w:p>
    <w:p w14:paraId="4F921F15"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ГОМЕЛЬСКОМ направлении наши войска продолжали развивать успешное наступление и, продвинувшись на отдельных участках вперёд от 10 до 20 километров, заняли свыше 160 населённых пунктов, среди которых районный центр Орловской области КЛИМОВО, районные центры Черниговской области ГОРОДНЯ, ТУПИЧЕВ, крупные населённые пункты ДЕГТЯРЁВКА, НИВНОЕ, ЛЯЛИЧИ, ГЛУХОВКА, ЛЫЩИЧИ, ПАВЛИЧИ, ХАЛЕЕВИЧИ, ДУШКИНО, МЕДВЕДОВО, НИЖНЕЕ, НУРОЗНОВО, СЫТАЯ БУДА, СТАРЫЙ и НОВЫЙ РОПСК, ГЕТМАНСКАЯ БУДА, КУРШАНОВИЧИ, ВИШНЕВКА, МОГУНИЩЕ, ХРЕНОВКА, МОЩЁНКА, ХРИПОВКА, БОЛЬШОЙ ЛИСТВЕН, ВЫХВОСТОВО, ЗВЕНИЧЕВ, ОСНЯКИ, ХМЕЛЬНИЦА, РУДКА, ШЕБЕРИНОВКА, ПЛЕХОВО и железнодорожные станции НОВОРОПСК, КАМКА, ГОРОДНЯ. </w:t>
      </w:r>
    </w:p>
    <w:p w14:paraId="33BF40F8"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СМОЛЕНСКОМ направлении наши войска продолжали наступление и, продвинувшись на отдельных участках вперёд от 4 до 5 километров, заняли свыше 50 населённых пунктов, среди которых крупные населённые пункты КОРЕЛЛЫ (11 километров северо-восточнее СМОЛЕНСКА), ИЛЬИНА, ЛАВРОВА, МОКШЕЕВО, МИ-ТЮШИНО, СЛОБОДА. </w:t>
      </w:r>
    </w:p>
    <w:p w14:paraId="4B2C49DA"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Наши войска, наступающие северо-западнее СМОЛЕНСКА, на отдельных участках продвинулись вперёд от 4 до 5 километров и заняли более 20 населённых пунктов, среди которых крупные населённые пункты МАЛАХИ, МАРЧЕНКИ, ВОЛОТЫ, МИХАЛКОВА, СОСЕНКА, ЗАХАРЬИНО, ШИТНИКИ, ЗЫКОЛИНО. </w:t>
      </w:r>
    </w:p>
    <w:p w14:paraId="7D1A0F47"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течение 23 сентября наши войска на всех фронтах подбили и уничтожили 49 немецких танков. В воздушных боях и огнём зенитной артиллерии сбито 38 самолётов противника. </w:t>
      </w:r>
    </w:p>
    <w:p w14:paraId="6BC903E3"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Северо-западнее Новороссийска наши войска продолжали наступление, преодолевая сильное огневое сопротивление противника. Бойцы Н-ского соединения, отбрасывая немцев, вышли к лиману Витязевский. В другом районе наши части в результате ожесточённых боёв овладели крупным населённым пунктом Гастагаевская. В бою за этот пункт уничтожено более батальона немецкой пехоты. </w:t>
      </w:r>
    </w:p>
    <w:p w14:paraId="19A7074A"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Днепропетровском направлении части Н-ского соединения, сломив сопротивление противника, ворвались в крупный населённый пункт Спасское и заняли его. Пытаясь вернуть этот пункт, прикрывающий подступы к Нижнеднепровску, немцы предприняли несколько ожесточённых контратак. Наши бойцы отбили все контратаки гитлеровцев. Уничтожено 8 немецких танков, самоходное орудие и свыше 300 солдат и офицеров противника. Другое наше соединение, преследуя немцев, продвинулось вперёд до 15 километров. Уничтожено свыше 800 немецких солдат и офицеров. Захвачено 18 орудий, 5 миномётов, 66 пулемётов и 40 автомашин с различными грузами. </w:t>
      </w:r>
    </w:p>
    <w:p w14:paraId="37CF640C"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На Кременчугском направлении пехота противника, усиленная танками и самоходными орудиями, пыталась задержать продвижение наших наступающих частей. Ломая сопротивление врага, наши войска успешно продвигались вперёд и заняли более 100 населённых пунктов. Отступая, немцы бросают артиллерийское и пехотное вооружение, боеприпасы и различное военное имущество. Только одна наша часть захватила 28 орудий, 77 пулемётов и 3 склада боеприпасов. Танкисты Н-ского соединения прорвались в тылы противника, истребили более 500 немецких солдат и офицеров, захватили 15 орудий, крупный склад с горючим и склад вооружения. Взяты пленные. </w:t>
      </w:r>
    </w:p>
    <w:p w14:paraId="2A3DE2BF"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Нашими частями освобождены десятки тысяч мирных граждан, которых немцы угоняли на каторгу в Германию. </w:t>
      </w:r>
    </w:p>
    <w:p w14:paraId="233090AE"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Киевском направлении наши войска продолжали развивать наступление. Бойцы Н-ского соединения в результате стремительной атаки заняли город Борисполь, Киевской области. Противник предпринял несколько контратак, но, потеряв свыше 400 солдат и офицеров убитыми, был вынужден откатиться назад. На другом участке наши войска, развивая наступление, очистили от немецко-фашистских захватчиков ряд населённых пунктов. В боях за эти пункты истреблено свыше 1.000 гитлеровцев, подбито и сожжено 16 немецких танков. Захвачены трофеи и пленные. </w:t>
      </w:r>
    </w:p>
    <w:p w14:paraId="192B2E24"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Гомельском направлении противник пытался закрепиться на заранее подготовленном оборонительном рубеже по реке Ипуть. В результате ожесточённого боя советские войска сбили немцев с этого рубежа, переправились через реку и заняли ряд населённых пунктов. Только в бою около одной из переправ уничтожено до батальона немецкой пехоты. Захвачено 8 орудий, 6 бронемашин и много боеприпасов. На другом участке наши войска, продвигаясь вперёд, заняли Климово — районный центр Орловской области. Захвачены склады с военным имуществом и другие трофеи. </w:t>
      </w:r>
    </w:p>
    <w:p w14:paraId="2895E722"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Смоленском направлении наши войска продолжали наступление. Противник оказывает упорное сопротивление, но под ударами советских частей вынужден оставлять одну позицию за другой. Части Н-ского соединения заняли ряд населённых пунктов, в том числе крупный населенный пункт Кореллы, в 11 километрах северо-восточнее Смоленска. На другом участке наши подразделения, овладев населённым пунктом Пищалово, перехватили шоссе Рославль — Смоленск. </w:t>
      </w:r>
    </w:p>
    <w:p w14:paraId="19D0C4D7"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Авиацией Краснознамённого Балтийского флота потоплен в Балтийском море немецкий транспорт водоизмещением в 6.000 тонн. В Финском заливе повреждён сторожевой катер противника. В воздушном бою советские лётчики сбили 4 немецких самолёта. </w:t>
      </w:r>
    </w:p>
    <w:p w14:paraId="791C3C80"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Авиация Черноморского флота потопила в Чёрном море транспорт противника водоизмещением в 3.000 тонн, семь десантных барж, два самоходных понтона и баржу. Наши лётчики наносили удары по войскам противника на Таманском полуострове и уничтожили до 200 автомашин, 3 бензовоза, два прожектора, взорвали два склада боеприпасов и склад с горючим. В воздушных боях за день сбито 14 немецких самолётов. </w:t>
      </w:r>
    </w:p>
    <w:p w14:paraId="4B49F6E1"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Несколько партизанских отрядов, действующих в Волынской области, в начале сентября пустили под откос 4 немецких воинских эшелона. Разбито 4 паровоза, 17 платформ с танками и автомашинами, 2 цистерны с горючим и 58 вагонов с различными грузами. </w:t>
      </w:r>
    </w:p>
    <w:p w14:paraId="6F9103A8" w14:textId="77777777" w:rsidR="00D9247A" w:rsidRPr="00271E51" w:rsidRDefault="00D924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солдат 348 полка 216 немецкой пехотной дивизии Альфред Л. рассказал: «Наш полк отступал в беспорядке и нёс огромные потери. Все роты перемешались. В штабе царила полная неразбериха. Приказы часто менялись и противоречили один другому. Например, командир роты приказал занять оборону восточнее села Н. Вдруг пришёл приказ — немедленно отступить дальше. Едва мы отошли на 10 километров, вдогонку прислали новый приказ — возвратиться в Н. и занять оборону. Недавно к нам приезжал командир дивизии генерал-лейтенант фон Гильза. Он обратился к солдатам с речью, в которой сказал: «Солдаты! Пора прекратить позорное отступление. Мы не пустим русских за Десну. Части Тодта построили на Десне сильно укреплённую линию, которую русские не смогут прорвать». После этого прошло лишь несколько дней. Русские не только прорвали наши оборонительные рубежи на реке, но и нанесли немецким войскам снова тяжёлый урон» (14779).</w:t>
      </w:r>
    </w:p>
    <w:p w14:paraId="29462FC8" w14:textId="77777777" w:rsidR="00D9247A" w:rsidRPr="00271E51" w:rsidRDefault="00D9247A" w:rsidP="00271E51">
      <w:pPr>
        <w:spacing w:after="0" w:line="240" w:lineRule="auto"/>
        <w:jc w:val="both"/>
        <w:rPr>
          <w:rFonts w:ascii="Times New Roman" w:hAnsi="Times New Roman"/>
          <w:color w:val="000000" w:themeColor="text1"/>
          <w:sz w:val="16"/>
          <w:szCs w:val="16"/>
        </w:rPr>
      </w:pPr>
    </w:p>
    <w:p w14:paraId="04A3C6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24 1943 Germans evacuate Smolensk and Roslavl (1037).</w:t>
      </w:r>
    </w:p>
    <w:p w14:paraId="1A133F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7ABD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немцы оставили Смоленск и Рославль (1037).</w:t>
      </w:r>
    </w:p>
    <w:p w14:paraId="52B91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185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был форсирован Днепр севернее Киева (3481).</w:t>
      </w:r>
    </w:p>
    <w:p w14:paraId="5DF80D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462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24 сентября 1943 состоялась Днепровская воздушно-десантная операция и выбросили первый эшелон 5 и 5 ДА для содействия войскам Воронежского фронта в форсировании Днепра. Часть десантников приземлилась в немецких боевых порядках и десантирование прекратили. 13 ноября участвовали в форсировании (2438,213).</w:t>
      </w:r>
    </w:p>
    <w:p w14:paraId="44B899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A03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24 на 25 сентября 1943 подготовка к высадке воздушного десанта на правый берег Днепра в ходе битвы за Киев завершилась. На левом берегу на- со против плацдарма был выложен коридор из костров, по которому экипажам Ли-2 следовало установить точное направление полета. После пересечения линии правого берега Днепра самолетам предстояло идти до района выброски в течение 2 минут. Высота десантирования была определена в 600 м, а скорость полета - 190-200 км/ч. От выдерживания этих параметров зависело точное приземление парашютистов на выбранные площадки. "В ту пору ночи стояли темные, безлунные, - пишет Скрипко. - Вдруг возникшая густая дымка ухудшила видимость у земли. Целесообразно было отменить десантирование, перенести его на другое число, но Жуков еще вечером принял решение - выбрасывать десант. Спешно звоню с аэродрома на ВПУ Воронежского фронта и прошу соединить меня с ним. Из штаба отвечают, что Жуков вместе с Ватутиным уехал в войска. Приказа заместителя Верховного Главнокомандующего я отменить не мог..." со Из рассказов участников тех событий следует, что передовые авиагруппы взлетели при нормальной погоде и костры на левом берегу видели отчетливо. Они успешно выполнили задачу, причем почти не встретили огня с земли. Однако вскоре немцы опомнились, и накатывавшиеся на правый берег волны воздушных кораблей попали под интенсивный обстрел. Экипажи стали маневрировать, менять скорость, а некоторые выбрасывать десант раньше расчетного времени. Положение усугубило и то, что многим бойцам предстояло выполнить первый прыжок... В итоге парашютисты оказались рассеяны на большой площади, а часть их вообще попала в Днепр. На земле разрозненным группам десантников пришлось сразу вступать в жестокий бой со свежими силами противника. Десант понес тяжелые потери, и только через 10 дней его остатки собрались в Каневском лесу, откуда смогли установить связь со штабом и партизанами. Провал этой операции заставил командование АДД и ВДВ перед следующей крупной высадкой провести ученья, которые показали неготовность и авиаторов, и десантников к подобным акциям. Потребовались дополнительные тренировки, а пока они шли, необходимость в десанте отпала (3772).</w:t>
      </w:r>
    </w:p>
    <w:p w14:paraId="5ECFE9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61E9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24 - 25 сентября 1943 г. советские планёры один-единствен</w:t>
      </w:r>
      <w:r w:rsidRPr="00271E51">
        <w:rPr>
          <w:rFonts w:ascii="Times New Roman" w:hAnsi="Times New Roman"/>
          <w:color w:val="000000" w:themeColor="text1"/>
          <w:sz w:val="16"/>
          <w:szCs w:val="16"/>
        </w:rPr>
        <w:softHyphen/>
        <w:t>ный раз участвовали в крупном воз</w:t>
      </w:r>
      <w:r w:rsidRPr="00271E51">
        <w:rPr>
          <w:rFonts w:ascii="Times New Roman" w:hAnsi="Times New Roman"/>
          <w:color w:val="000000" w:themeColor="text1"/>
          <w:sz w:val="16"/>
          <w:szCs w:val="16"/>
        </w:rPr>
        <w:softHyphen/>
        <w:t>душном десанте - высадке на правом берегу Днепра. Планом предусматривалось в тече</w:t>
      </w:r>
      <w:r w:rsidRPr="00271E51">
        <w:rPr>
          <w:rFonts w:ascii="Times New Roman" w:hAnsi="Times New Roman"/>
          <w:color w:val="000000" w:themeColor="text1"/>
          <w:sz w:val="16"/>
          <w:szCs w:val="16"/>
        </w:rPr>
        <w:softHyphen/>
        <w:t>ние двух дней провести тактический десант в районе Букрина и Канева в тылу у немецких войск. Целью опера</w:t>
      </w:r>
      <w:r w:rsidRPr="00271E51">
        <w:rPr>
          <w:rFonts w:ascii="Times New Roman" w:hAnsi="Times New Roman"/>
          <w:color w:val="000000" w:themeColor="text1"/>
          <w:sz w:val="16"/>
          <w:szCs w:val="16"/>
        </w:rPr>
        <w:softHyphen/>
        <w:t>ции была дезорганизация тыла про</w:t>
      </w:r>
      <w:r w:rsidRPr="00271E51">
        <w:rPr>
          <w:rFonts w:ascii="Times New Roman" w:hAnsi="Times New Roman"/>
          <w:color w:val="000000" w:themeColor="text1"/>
          <w:sz w:val="16"/>
          <w:szCs w:val="16"/>
        </w:rPr>
        <w:softHyphen/>
        <w:t>тивника, оттягивание на себя войск с фронта, облегчая тем самым форси</w:t>
      </w:r>
      <w:r w:rsidRPr="00271E51">
        <w:rPr>
          <w:rFonts w:ascii="Times New Roman" w:hAnsi="Times New Roman"/>
          <w:color w:val="000000" w:themeColor="text1"/>
          <w:sz w:val="16"/>
          <w:szCs w:val="16"/>
        </w:rPr>
        <w:softHyphen/>
        <w:t>рование Днепра частями Красной Ар</w:t>
      </w:r>
      <w:r w:rsidRPr="00271E51">
        <w:rPr>
          <w:rFonts w:ascii="Times New Roman" w:hAnsi="Times New Roman"/>
          <w:color w:val="000000" w:themeColor="text1"/>
          <w:sz w:val="16"/>
          <w:szCs w:val="16"/>
        </w:rPr>
        <w:softHyphen/>
        <w:t>мии.</w:t>
      </w:r>
    </w:p>
    <w:p w14:paraId="420FA20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выброски воздушного десанта выделили 150 бомбардировщиков Ил-4 и В-25, 180 транспортных Ли-2 и С-47. Авиация ВДВ использовала 10 Ил-4 (для выброски снаряжения, лёгких ору</w:t>
      </w:r>
      <w:r w:rsidRPr="00271E51">
        <w:rPr>
          <w:rFonts w:ascii="Times New Roman" w:hAnsi="Times New Roman"/>
          <w:color w:val="000000" w:themeColor="text1"/>
          <w:sz w:val="16"/>
          <w:szCs w:val="16"/>
        </w:rPr>
        <w:softHyphen/>
        <w:t>дий и буксировки планёров), а также 35 планёров А-7 и Г-11. Задействовали в операции в основном лётчиков-букси</w:t>
      </w:r>
      <w:r w:rsidRPr="00271E51">
        <w:rPr>
          <w:rFonts w:ascii="Times New Roman" w:hAnsi="Times New Roman"/>
          <w:color w:val="000000" w:themeColor="text1"/>
          <w:sz w:val="16"/>
          <w:szCs w:val="16"/>
        </w:rPr>
        <w:softHyphen/>
        <w:t>ровщиков и планеристов 1-го оапп, но были и прикомандированные из других подразделений.</w:t>
      </w:r>
    </w:p>
    <w:p w14:paraId="6CC6C77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Базами являлись четыре аэродрома— Лебедин, Смородино, Богодухов и Кра</w:t>
      </w:r>
      <w:r w:rsidRPr="00271E51">
        <w:rPr>
          <w:rFonts w:ascii="Times New Roman" w:hAnsi="Times New Roman"/>
          <w:color w:val="000000" w:themeColor="text1"/>
          <w:sz w:val="16"/>
          <w:szCs w:val="16"/>
        </w:rPr>
        <w:softHyphen/>
        <w:t>пивное, находившиеся на удалении примерно 200 км от района выброски. Это позволяло в течение одной ночи производить два-три вылета. Посадка планёров с артиллерией на борту наме</w:t>
      </w:r>
      <w:r w:rsidRPr="00271E51">
        <w:rPr>
          <w:rFonts w:ascii="Times New Roman" w:hAnsi="Times New Roman"/>
          <w:color w:val="000000" w:themeColor="text1"/>
          <w:sz w:val="16"/>
          <w:szCs w:val="16"/>
        </w:rPr>
        <w:softHyphen/>
        <w:t>чалась в промежутках между сбросом парашютистов.</w:t>
      </w:r>
    </w:p>
    <w:p w14:paraId="20DF2EE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Операцию подготовили из рук вон плохо, к этому добавилась постоян</w:t>
      </w:r>
      <w:r w:rsidRPr="00271E51">
        <w:rPr>
          <w:rFonts w:ascii="Times New Roman" w:hAnsi="Times New Roman"/>
          <w:color w:val="000000" w:themeColor="text1"/>
          <w:sz w:val="16"/>
          <w:szCs w:val="16"/>
        </w:rPr>
        <w:softHyphen/>
        <w:t>ная спешка. Вместо запланированных 6598 парашютистов сбросили только 4575 человек, из них 230 - над своей территорией. Пилоты не имели опыта десантирования, подогнём противника они сбрасывали их с высоты 2000 м вместо 600 м. Из-за навигационных ошибок часть бойцов приземлилась прямо на немецкие позиции, а осталь</w:t>
      </w:r>
      <w:r w:rsidRPr="00271E51">
        <w:rPr>
          <w:rFonts w:ascii="Times New Roman" w:hAnsi="Times New Roman"/>
          <w:color w:val="000000" w:themeColor="text1"/>
          <w:sz w:val="16"/>
          <w:szCs w:val="16"/>
        </w:rPr>
        <w:softHyphen/>
        <w:t>ные рассеялись в полосе длиной 100 км. Естественно, что десантники не смогли собраться в единое целое, и в дальней</w:t>
      </w:r>
      <w:r w:rsidRPr="00271E51">
        <w:rPr>
          <w:rFonts w:ascii="Times New Roman" w:hAnsi="Times New Roman"/>
          <w:color w:val="000000" w:themeColor="text1"/>
          <w:sz w:val="16"/>
          <w:szCs w:val="16"/>
        </w:rPr>
        <w:softHyphen/>
        <w:t>шем вынуждены были действовать раз</w:t>
      </w:r>
      <w:r w:rsidRPr="00271E51">
        <w:rPr>
          <w:rFonts w:ascii="Times New Roman" w:hAnsi="Times New Roman"/>
          <w:color w:val="000000" w:themeColor="text1"/>
          <w:sz w:val="16"/>
          <w:szCs w:val="16"/>
        </w:rPr>
        <w:softHyphen/>
        <w:t>розненными группами. Всё это привело к большим потерям.</w:t>
      </w:r>
    </w:p>
    <w:p w14:paraId="2D16DB0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действий планёров в этой операции, то сохранился рассказ одного из участников - А. Бурашнико- ва. Его Г-11 был отбуксирован на аэ</w:t>
      </w:r>
      <w:r w:rsidRPr="00271E51">
        <w:rPr>
          <w:rFonts w:ascii="Times New Roman" w:hAnsi="Times New Roman"/>
          <w:color w:val="000000" w:themeColor="text1"/>
          <w:sz w:val="16"/>
          <w:szCs w:val="16"/>
        </w:rPr>
        <w:softHyphen/>
        <w:t>родром подскока Крапивное экипажем лётчика Агапова. Там в него загрузили пушку (по-видимому, 45-мм) вместе с расчётом. Когда настало время вылета, планёр подцепили к другому самолё</w:t>
      </w:r>
      <w:r w:rsidRPr="00271E51">
        <w:rPr>
          <w:rFonts w:ascii="Times New Roman" w:hAnsi="Times New Roman"/>
          <w:color w:val="000000" w:themeColor="text1"/>
          <w:sz w:val="16"/>
          <w:szCs w:val="16"/>
        </w:rPr>
        <w:softHyphen/>
        <w:t>ту. Его лётчика спросили: «А раньше вы с планёрами летали?» В ответ ус</w:t>
      </w:r>
      <w:r w:rsidRPr="00271E51">
        <w:rPr>
          <w:rFonts w:ascii="Times New Roman" w:hAnsi="Times New Roman"/>
          <w:color w:val="000000" w:themeColor="text1"/>
          <w:sz w:val="16"/>
          <w:szCs w:val="16"/>
        </w:rPr>
        <w:softHyphen/>
        <w:t>лышали: «Подумаешь, невидаль! Я с бомбами летал, а уж вас как-нибудь дотащу».</w:t>
      </w:r>
    </w:p>
    <w:p w14:paraId="60DDCBE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Погода была очень ветреная, с поры</w:t>
      </w:r>
      <w:r w:rsidRPr="00271E51">
        <w:rPr>
          <w:rFonts w:ascii="Times New Roman" w:hAnsi="Times New Roman"/>
          <w:color w:val="000000" w:themeColor="text1"/>
          <w:sz w:val="16"/>
          <w:szCs w:val="16"/>
        </w:rPr>
        <w:softHyphen/>
        <w:t>вами. Лётчику буксировщика, видимо, надоела болтанка, и он, решив поско</w:t>
      </w:r>
      <w:r w:rsidRPr="00271E51">
        <w:rPr>
          <w:rFonts w:ascii="Times New Roman" w:hAnsi="Times New Roman"/>
          <w:color w:val="000000" w:themeColor="text1"/>
          <w:sz w:val="16"/>
          <w:szCs w:val="16"/>
        </w:rPr>
        <w:softHyphen/>
        <w:t>рее добраться до места, увеличил ско</w:t>
      </w:r>
      <w:r w:rsidRPr="00271E51">
        <w:rPr>
          <w:rFonts w:ascii="Times New Roman" w:hAnsi="Times New Roman"/>
          <w:color w:val="000000" w:themeColor="text1"/>
          <w:sz w:val="16"/>
          <w:szCs w:val="16"/>
        </w:rPr>
        <w:softHyphen/>
        <w:t>рость. Планер её не выдержал. У Г-11 сначала отлетел элерон, потом крыло, а затем весь он развалился... Сам Бу- рашников получил тяжёлые травмы, но остался жив.</w:t>
      </w:r>
    </w:p>
    <w:p w14:paraId="37E50CE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последующие дни планёры исполь</w:t>
      </w:r>
      <w:r w:rsidRPr="00271E51">
        <w:rPr>
          <w:rFonts w:ascii="Times New Roman" w:hAnsi="Times New Roman"/>
          <w:color w:val="000000" w:themeColor="text1"/>
          <w:sz w:val="16"/>
          <w:szCs w:val="16"/>
        </w:rPr>
        <w:softHyphen/>
        <w:t>зовались для доставки снаряжения и медикаментов некоторым подразделе</w:t>
      </w:r>
      <w:r w:rsidRPr="00271E51">
        <w:rPr>
          <w:rFonts w:ascii="Times New Roman" w:hAnsi="Times New Roman"/>
          <w:color w:val="000000" w:themeColor="text1"/>
          <w:sz w:val="16"/>
          <w:szCs w:val="16"/>
        </w:rPr>
        <w:softHyphen/>
        <w:t>ниям десантников. Пересекали Днепр ночью, а потом садились в просеки или прямо на лес. Немногие планёры попа</w:t>
      </w:r>
      <w:r w:rsidRPr="00271E51">
        <w:rPr>
          <w:rFonts w:ascii="Times New Roman" w:hAnsi="Times New Roman"/>
          <w:color w:val="000000" w:themeColor="text1"/>
          <w:sz w:val="16"/>
          <w:szCs w:val="16"/>
        </w:rPr>
        <w:softHyphen/>
        <w:t>дали на поляны, некоторые разламы</w:t>
      </w:r>
      <w:r w:rsidRPr="00271E51">
        <w:rPr>
          <w:rFonts w:ascii="Times New Roman" w:hAnsi="Times New Roman"/>
          <w:color w:val="000000" w:themeColor="text1"/>
          <w:sz w:val="16"/>
          <w:szCs w:val="16"/>
        </w:rPr>
        <w:softHyphen/>
        <w:t>вались при посадке и из них высыпал</w:t>
      </w:r>
      <w:r w:rsidRPr="00271E51">
        <w:rPr>
          <w:rFonts w:ascii="Times New Roman" w:hAnsi="Times New Roman"/>
          <w:color w:val="000000" w:themeColor="text1"/>
          <w:sz w:val="16"/>
          <w:szCs w:val="16"/>
        </w:rPr>
        <w:softHyphen/>
        <w:t>ся драгоценный груз, гибли люди, как, например, пилот Агеев, придавленный миномётом. Благополучно приземли</w:t>
      </w:r>
      <w:r w:rsidRPr="00271E51">
        <w:rPr>
          <w:rFonts w:ascii="Times New Roman" w:hAnsi="Times New Roman"/>
          <w:color w:val="000000" w:themeColor="text1"/>
          <w:sz w:val="16"/>
          <w:szCs w:val="16"/>
        </w:rPr>
        <w:softHyphen/>
        <w:t>лись Ю. Никашев, М. Куров, В. Выгонов. К сожалению, многие имена героев, пилотов-планеристов, участвовавших в Днепровской операции, остались неизвестны. В дальнейшем вплоть до победы над Германией Красная Армия не проводила воздушно-десантных операций (12266).</w:t>
      </w:r>
    </w:p>
    <w:p w14:paraId="692CD08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7CA1149"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24 сентября 1943 г. над Москвой пронёсся ещё один ураган. Боевой расчёт поста № 10 3-й дивизии АЗ (командир — младший сержант Т. Хлупина) шесть часов боролся за спасение аэростата, но очередной удар шторма разорвал крепления и поднял аэростат в воздух вместе с мотористом старшим сержантом З.К. Евдоки</w:t>
      </w:r>
      <w:r w:rsidRPr="00271E51">
        <w:rPr>
          <w:rFonts w:ascii="Times New Roman" w:hAnsi="Times New Roman"/>
          <w:color w:val="0070C0"/>
          <w:sz w:val="16"/>
          <w:szCs w:val="16"/>
        </w:rPr>
        <w:softHyphen/>
        <w:t>мовой и красноармейцем А.Л. Окорочковой. Зоя Евдокимова и Александра Окорочкова погибли. Посмертно их наградили орденом Отечествен</w:t>
      </w:r>
      <w:r w:rsidRPr="00271E51">
        <w:rPr>
          <w:rFonts w:ascii="Times New Roman" w:hAnsi="Times New Roman"/>
          <w:color w:val="0070C0"/>
          <w:sz w:val="16"/>
          <w:szCs w:val="16"/>
        </w:rPr>
        <w:softHyphen/>
        <w:t>ной войны II степени (20120).</w:t>
      </w:r>
    </w:p>
    <w:p w14:paraId="1E061269" w14:textId="77777777" w:rsidR="00CC32B5" w:rsidRPr="00271E51" w:rsidRDefault="00CC32B5" w:rsidP="00271E51">
      <w:pPr>
        <w:spacing w:after="0" w:line="240" w:lineRule="auto"/>
        <w:jc w:val="both"/>
        <w:rPr>
          <w:rFonts w:ascii="Times New Roman" w:hAnsi="Times New Roman"/>
          <w:color w:val="0070C0"/>
          <w:sz w:val="16"/>
          <w:szCs w:val="16"/>
        </w:rPr>
      </w:pPr>
    </w:p>
    <w:p w14:paraId="7748F0B5" w14:textId="77777777" w:rsidR="00892107" w:rsidRPr="00271E51" w:rsidRDefault="00892107"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44740E5" w14:textId="77777777" w:rsidR="00892107" w:rsidRPr="00271E51" w:rsidRDefault="00892107"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175D1"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сентября 1943. Открылся для посетителей Политехнический музей (18693).</w:t>
      </w:r>
    </w:p>
    <w:p w14:paraId="7361D0F4"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0A9A0E9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32D6F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25C105" w14:textId="77777777" w:rsidR="00180E5C" w:rsidRPr="00271E51" w:rsidRDefault="00180E5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была сводка по опытному самолетостроению, согласно которой С-42 еще находился в состоянии сборки. Не был собран самолет и к 1 декабря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авиазаводе старшего техника-лейтенанта В. В. Никулина, «общий объем работы» по С-42 для приведения его в летное состояние оставался всего на «2–3 дня, но завод совершенно не занимается самолетом» (17490).</w:t>
      </w:r>
    </w:p>
    <w:p w14:paraId="706A983B"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445F11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года была подготовлена Справка по выполнению приказа наркома за N 523сс от 31/VIII-43 года по высотным самолетам. Состояние работ на 30/IX-43 года.</w:t>
      </w:r>
    </w:p>
    <w:p w14:paraId="0E240F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высотному истребителю Ла-5 с М-82ФН и ТК-3.</w:t>
      </w:r>
    </w:p>
    <w:p w14:paraId="1866D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Ла-5 с М-82ФН и 2ТК-3 проходит летные заводские испытания на заводе N 21.</w:t>
      </w:r>
    </w:p>
    <w:p w14:paraId="3CDB76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Отработана первая скорость нагнетателя с включением турбокомпрессора. При этом, достигнута высота на первой скорости 11600 м.</w:t>
      </w:r>
    </w:p>
    <w:p w14:paraId="4A4C52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скорости с включенным турбокомпрессором достигнута высота 12500 м. Эта высота не является потолком самолета, по заключению летчика, на этой высоте самолет сохраняет способность горизонтального и вертикального маневров при наддуве Рк=800мм. При этом, давление масла, давление бензина и система зажигания находятся в норме Т.У.</w:t>
      </w:r>
    </w:p>
    <w:p w14:paraId="6D069F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12500 м обнаружен перегрев головки цилиндра N 1 и перегрев масла.</w:t>
      </w:r>
    </w:p>
    <w:p w14:paraId="3232C2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сентября летные испытания самолета были прерваны по причине появления в моторе стружки (разрушение дисков привода нагнетателя). Произведена замена мотора и установка нового увеличенного масляного радиатора. Для понижения температуры головки цилиндра вновь установленный мотор оборудован системой водяного впрыска, испытанной на серийном самолете Ла-5 в НИИ ВВС. В ЦИАМ"е ведутся работы по снижению температуры головок цилиндра за счет дополнительного обогащения смеси и за счет работы на спирто-бензиновой смеси топлива.</w:t>
      </w:r>
    </w:p>
    <w:p w14:paraId="6058F2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всех испытаний - турбокомпрессоры работали без дефектов.</w:t>
      </w:r>
    </w:p>
    <w:p w14:paraId="4F54B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данное время из НИИ ВВС передаются на завод N 21 форсунки для впрыска воды и после их установки летные испытания самолета продолжатся.</w:t>
      </w:r>
    </w:p>
    <w:p w14:paraId="00A759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приказу, ЦИАМ обязан был поставить три комплекта турбокомпрессоров ТК-3, из них: первый экземпляр 3/IX, второй 5/X и третий - 25/X-43 года.</w:t>
      </w:r>
    </w:p>
    <w:p w14:paraId="2F0F5B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 комплект турбокомпрессора ТК-3 заводу N 21 ЦИАМ"ом был поставлен 3/IX, два остальные комплекта будут поставлены в сроки, установленные приказом.</w:t>
      </w:r>
    </w:p>
    <w:p w14:paraId="7B2B99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Ла-5 с М-82ФН и ТК-3 с боевой высотностью 13500 м - разработан эскизный проект, предусматривающий увеличение площади крыла и оперения.</w:t>
      </w:r>
    </w:p>
    <w:p w14:paraId="52A55D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Проводится работа по изготовлению конструктивных чертежей и одновременно в цеху производится постройка агрегатов: крыла, центроплана, фюзеляжа и т.д. Разрабатывается компоновка на установку воздухо-воздушных радиаторов.</w:t>
      </w:r>
    </w:p>
    <w:p w14:paraId="2D0E56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составлен график постройки самолета из расчета мощности опытного производства.</w:t>
      </w:r>
    </w:p>
    <w:p w14:paraId="1A27B1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стороны серийного производства помощь выражается в подаче серийных агрегатов, не подвергающихся изменению.</w:t>
      </w:r>
    </w:p>
    <w:p w14:paraId="7FD846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выпуска самолета в срок, главный конструктор Лавочкин просит помощь в производственных рабочих в количестве 100 человек.</w:t>
      </w:r>
    </w:p>
    <w:p w14:paraId="2703C1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По высотному истребителю Як-9 с М-105ПД.</w:t>
      </w:r>
    </w:p>
    <w:p w14:paraId="562AE8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Для обеспечения эксплуатации высотных истребителей Як-9 с М-105ПД в частях ПВО, ЦИАМ обязан был подать пять моторов: первый экземпляр 5/IX, второй 10/IX, третий 15/IX, четвертый 20/IX, пятый - 10/Х и два резервных мотора к 25 ноября.</w:t>
      </w:r>
    </w:p>
    <w:p w14:paraId="472F66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пять моторов ЦИАМ"ом были переданы заводу N 115 раньше сроков, установленных приказом.</w:t>
      </w:r>
    </w:p>
    <w:p w14:paraId="006A5D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 Як-9 с М-105ПД проходит летные испытания в ЛИИ НКАП. Испытания не закончены из-за встретившихся трудностей доводки винтомоторной группы. В настоящее время эти трудности устранены. 18 сентября в полете достигнута высота 12500 м.</w:t>
      </w:r>
    </w:p>
    <w:p w14:paraId="0B83B0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полетах на большой высоте происходит сильное перегревание масла, система питания горючим и зажигание работают удовлетворительно.</w:t>
      </w:r>
    </w:p>
    <w:p w14:paraId="56160A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и доводка продолжаются.</w:t>
      </w:r>
    </w:p>
    <w:p w14:paraId="26AF9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выпуска высотного истребителя с высотностью 13500 м, ЦИАМ обязан был подать два мотора М-105ПД с высотностью 9500 м с водо-воздушными радиаторами. Поставка заводу N 115 мотора М-105ПД с высотностью 9500 м задерживается из-за отсутствия кондиционных водовоздушных радиаторов. Завод N 124 до сих пор не отработал водо-воздушные радиаторы. Радиаторы текут и имеют сопротивление вдвое больше, чем установленное техническими условиями, что снижает высотность на 500 м.</w:t>
      </w:r>
    </w:p>
    <w:p w14:paraId="39799A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27/IX заводом N 124 поданы два радиатора с усиленной пайкой, которые данное время монтируются ЦИАМ"ом на испытательном стенде.</w:t>
      </w:r>
    </w:p>
    <w:p w14:paraId="092F99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будет передан заводу N 115 к 4 октября.</w:t>
      </w:r>
    </w:p>
    <w:p w14:paraId="0215B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большой работы, проведенной в ЦИАМ, отработан мотор М-105ПД с повышением к.п.д. нагнетателя на 20% и соответственно повышающий высотность, т.е. с 8500 до 9500 м. Ввиду задержек поставок радиаторов с завода N 124, в ЦИАМ"е готовится к 30/IX дополнительный мотор без охлаждения воздуха, с повышенной высотностью и пониженной теплоотдачей в масло.</w:t>
      </w:r>
    </w:p>
    <w:p w14:paraId="1770C4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неподачи кондиционных радиаторов, ЦИАМ"ом направлены докладные записки наркому и его заместителям Кузнецову и Яковлеву.</w:t>
      </w:r>
    </w:p>
    <w:p w14:paraId="5C41C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Работы по самолету Як-9 с М-105ПД с боевой высотой 13500 м на заводе N 115 не производятся ввиду недоведенности винтомоторной группы. Работа приостановлена на конструкторских работах в ОКБ по крылу с увеличенной площадью.</w:t>
      </w:r>
    </w:p>
    <w:p w14:paraId="61B7A6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По высотному истребителю МИГ-9 с АМ-39 и ТК-2Б.</w:t>
      </w:r>
    </w:p>
    <w:p w14:paraId="5D77E3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выпуска высотного истребителя МИГ-9 с Ам-39 и ТК-2Б, завод N 300 обязан был поставить: один мотор для ЦИАМ 3 сентября и один мотор для завода N 155 - 15 сентября.</w:t>
      </w:r>
    </w:p>
    <w:p w14:paraId="5B60CC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Завод N 300 сдал ЦИАМ"у неукомплектованный мотор АМ-39 - 5 сентября.</w:t>
      </w:r>
    </w:p>
    <w:p w14:paraId="2BA51E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установке мотора в ЦИАМ"е выяснилась необходимость переделки подмоторной рамы, поданной ЦИАМ"у заводом N 155.</w:t>
      </w:r>
    </w:p>
    <w:p w14:paraId="788BAE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АМ-39 был поставлен на испытания 8-го сентября. 12 сентября испытания были прекращены по причине течи водо-воздушного радиатора. Радиатор был передан в ремонт заводу N 300 и возвращен 27/IX.</w:t>
      </w:r>
    </w:p>
    <w:p w14:paraId="21AAC7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25-часовые испытания мотора ЦИАМ"ом будут закончены 15 октября.</w:t>
      </w:r>
    </w:p>
    <w:p w14:paraId="2FA983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Второй экземпляр мотора АМ-39, предназначенный для подачи заводу N 155 для установки на самолет заводом N 300 был поставлен на стендовые испытания 20/IX и 22/IX мотор с испытаний был снят по причине появления бронзовой стружки в фильтре.</w:t>
      </w:r>
    </w:p>
    <w:p w14:paraId="15376A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Поставка мотора АМ-39 заводу N 155 - задерживается. Мотор будет поставлен заводу N 155 - 2/Х-43 г.</w:t>
      </w:r>
    </w:p>
    <w:p w14:paraId="0A0901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Самолет для монтажа мотора подготовлен. Дальнейшие работы задерживаются из-за отсутствия мотора.</w:t>
      </w:r>
    </w:p>
    <w:p w14:paraId="1688B3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Завод N 35 обязан был подать заводу N 155 четырехлопастные винты к 15 сентября. Винты зав. N 35 переданы в срок.</w:t>
      </w:r>
    </w:p>
    <w:p w14:paraId="155453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ЦИАМ обязан был подать заводу N 155 один комплект турбокомпрессора ТК-2Б - 10/IX, один комплект ТК-2Б ЦИАМ"ом передан 11/IX.</w:t>
      </w:r>
    </w:p>
    <w:p w14:paraId="5F0A2E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По высотному бомбардировщику Ил-4 с 2М-88Б и ТК-М с герметической кабиной.</w:t>
      </w:r>
    </w:p>
    <w:p w14:paraId="24961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Для обеспечения самолета Ил-4 турбокомпрессором, ЦИАМ обязан был подать один комплект ТК-М - 15 сентября; ЦИАМ"ом комплект ТК-М передан заводу N 240 в срок.</w:t>
      </w:r>
    </w:p>
    <w:p w14:paraId="2C64A6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 Ил-4 с 2М-88Б и ТК-М совершил 16/IX полет на высоту до 7500 м. На этой высоте обнаружилась раскрутка винта ВИШ-23. Произведено опробование на земле на самолете Ил-4 высотных винтов: трехлопастного ВИШ-61П и четырехлопастного - АВ-9. Винт ВИШ-61П раскручивался на земле, а АВ-9 не додавал числа оборотов.</w:t>
      </w:r>
    </w:p>
    <w:p w14:paraId="2C59DD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Представителями винтовых заводов проводятся работы по устранению дефектов винтов.</w:t>
      </w:r>
    </w:p>
    <w:p w14:paraId="0E854F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По высотному двухмоторному истребителю Пе-2 с 2М-105ПД с герметическими кабинами.</w:t>
      </w:r>
    </w:p>
    <w:p w14:paraId="2B41D5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сообщению главного конструктора Мясищева, работы по подготовке самолета к перелету в Москву закончены.</w:t>
      </w:r>
    </w:p>
    <w:p w14:paraId="17AF77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Предложения.</w:t>
      </w:r>
    </w:p>
    <w:p w14:paraId="4198F2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самолету Ла-5 с М-82ФН с ТК-3.</w:t>
      </w:r>
    </w:p>
    <w:p w14:paraId="238CA6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Заводу N 21 закончить заводские летные испытания и к 1 ноября снять летные характеристики самолета с участием в испытаниях представителя НИИ ВВС.</w:t>
      </w:r>
    </w:p>
    <w:p w14:paraId="65EE0B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директора завода N 21 Агаджанова построить до 1 января 1944 года 10 самолетов Ла-5 с М-82ФН и ТК-3, из них:</w:t>
      </w:r>
    </w:p>
    <w:p w14:paraId="783089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самолета - к 30 октября</w:t>
      </w:r>
    </w:p>
    <w:p w14:paraId="791ADB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самолета - к 30 ноября</w:t>
      </w:r>
    </w:p>
    <w:p w14:paraId="166CCD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самолета - к 30 декабря.</w:t>
      </w:r>
    </w:p>
    <w:p w14:paraId="67250F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начальнику ЦИАМ Поликовскому и начальнику ЦАГИ Шишкину к 5 октября т.г. дать рекомендации по снижению температуры головки цилиндра N 1.</w:t>
      </w:r>
    </w:p>
    <w:p w14:paraId="13CDE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Для обеспечения выпуска 10 самолетов Ла-5 с М-82ФН и ТК-3:</w:t>
      </w:r>
    </w:p>
    <w:p w14:paraId="5CE460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ЦИАМ"у поставить заводу N 21 (в дополнение к приказу N 523) - 2 шт. турбокомпрессоров ТК-3 к 25 октября с.г.;</w:t>
      </w:r>
    </w:p>
    <w:p w14:paraId="406527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директору завода N 19 Солдатову изготовить 10 комплектов холодной части турбокомпрессоров ТК-3, из них:</w:t>
      </w:r>
    </w:p>
    <w:p w14:paraId="039CAC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комплекта - к 20 октября</w:t>
      </w:r>
    </w:p>
    <w:p w14:paraId="2CA040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комплекта - к 20 ноября</w:t>
      </w:r>
    </w:p>
    <w:p w14:paraId="1ADCFA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комплекта - к 20 декабря;</w:t>
      </w:r>
    </w:p>
    <w:p w14:paraId="2A752F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директору завода N 300 Тихомирову изготовить 10 комплектов горячей части турбокомпрессоров ТК-3 в те же сроки, что и по заводу N 19. Кроме того, в декабре изготовить 10 полных комплектов турбокомпрессоров ТК-3 и произвести их сборку и сдачу;</w:t>
      </w:r>
    </w:p>
    <w:p w14:paraId="6C9D44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начальнику ЦИАМ Поликовскому произвести сборку 10 комплектов турбокомпрессоров ТК-3, изготовленных заводами N 19 и N 300 и сдать заводу N 21:</w:t>
      </w:r>
    </w:p>
    <w:p w14:paraId="686A0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комплекта - 30 октября</w:t>
      </w:r>
    </w:p>
    <w:p w14:paraId="46816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комплекта - 25 ноября</w:t>
      </w:r>
    </w:p>
    <w:p w14:paraId="6DC8B5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комплекта - 25 декабря;</w:t>
      </w:r>
    </w:p>
    <w:p w14:paraId="47DE85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директору заводу N 19 Солдатову подать 12 моторов, оборудованных высотными агрегатами бензосистемы, маслосистемы и зажигания в следующие сроки:</w:t>
      </w:r>
    </w:p>
    <w:p w14:paraId="3EC21D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мотора - к 15 октября</w:t>
      </w:r>
    </w:p>
    <w:p w14:paraId="37F32D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мотора - 1 ноября</w:t>
      </w:r>
    </w:p>
    <w:p w14:paraId="0727DA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моторов - к 15 ноября.</w:t>
      </w:r>
    </w:p>
    <w:p w14:paraId="1EFB53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По самолету Як-9 с М-105ПД.</w:t>
      </w:r>
    </w:p>
    <w:p w14:paraId="2AB441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Начальнику ЦИАМ Поликовскому к 30/IX поставить заводу N 115 один мотор М-105ПД с повышенной высотностью до 9500 м с пониженной теплоотдачей в масло (без водо-воздушных радиаторов) и к 15/Х поставить второй мотор с водо-воздушными радиаторами.</w:t>
      </w:r>
    </w:p>
    <w:p w14:paraId="60310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Начальнику ЛИИ Чесалову к 10 октября провести летные испытания самолета Як-9 с М-105ПД без водовоздушного радиатора для определения потолка самолета.</w:t>
      </w:r>
    </w:p>
    <w:p w14:paraId="54A952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Главному конструктору завода N 124 довести и подать ЦИАМ"у к 1 ноября 6 комплектов водо-воздушных радиаторов (кроме количества, указанного в приказе N 523).</w:t>
      </w:r>
    </w:p>
    <w:p w14:paraId="7ECDEB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случае получения удовлетворительных результатов моторов М-105ПД с повышенной высотностью, на всех моторах М-105ПД, находящихся в эксплуатации ПВО, ЦИАМ"у произвести к 1 декабря переделку моторов для повышения их высотности до 9500 м.</w:t>
      </w:r>
    </w:p>
    <w:p w14:paraId="3CDB53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наркома Завитаеву обеспечить на московских заводах изготовление деталей нагнетателя к М-105ПД и поставить их ЦИАМ в течение ноября т.г.</w:t>
      </w:r>
    </w:p>
    <w:p w14:paraId="45142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По самолету МИГ-9 с АМ-39.</w:t>
      </w:r>
    </w:p>
    <w:p w14:paraId="32032F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начальнику ЦИАМ Поликовскому закончить к 15 октября 25-часовые стендовые испытания мотора АМ-39 и представить отчет о проведенных испытаниях.</w:t>
      </w:r>
    </w:p>
    <w:p w14:paraId="3F38D0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Главному конструктору завода N 300 Микулину поставить заводу N 115 моторы АМ-39 в следующие сроки:</w:t>
      </w:r>
    </w:p>
    <w:p w14:paraId="0198B4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 мотор - 2 октября</w:t>
      </w:r>
    </w:p>
    <w:p w14:paraId="5A567E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 резервн. мотор - 10 октября (1458,239).</w:t>
      </w:r>
    </w:p>
    <w:p w14:paraId="434D16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430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Нач. ЦИАМ Поликовский писал А.И.Ш. и Кузнецову письмо N 1170с</w:t>
      </w:r>
    </w:p>
    <w:p w14:paraId="5BE277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высотного бомбардировщика Ил-4 с ТК-М:</w:t>
      </w:r>
    </w:p>
    <w:p w14:paraId="1A0D84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Настоящим докладываю, что во исполнение Вашего приказа N 523сс от 31 августа с.г. по выпуску высотных самолетов, моторов и агрегатов к ним ЦИАМ выполняет след. работы:</w:t>
      </w:r>
    </w:p>
    <w:p w14:paraId="13AB35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приказу ЦИАМ обязан был подать один агрегат ТК-М (резервный) к 15 сентября с.г. Работа выполнена и агрегат поставлен 15 сентября с.г. (1783,112).</w:t>
      </w:r>
    </w:p>
    <w:p w14:paraId="2A1F62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 исполнение постановления ГОКО о поднятии боевой высотности самолета Ил-4, в конце 1942 и в 1 кв. 1943 два самолета Ил-4 были оборудованы ТК.</w:t>
      </w:r>
    </w:p>
    <w:p w14:paraId="111F4B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располагая более мощным ТК, удовлетворяющим поставленным требованиям, был установлен ТК-3 и, одновременно, в срочном порядке спроектирован, изготовлено 6 шт. и испытан более мощный ТК - ТК-М. Турбокомпрессоры ТК-М были поданы для установки на самолет заводу 240 19 мая с.г.</w:t>
      </w:r>
    </w:p>
    <w:p w14:paraId="78AC3A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 завод 240 ввиду задержек по самолету (герметическая кабина), приступил к летным испытаниям только в сентябре и сделал только 4 полета, то задача окончательной отработки ВМГ с ТК в полете отстает по срокам по не зависящим от ЦИАМ причинам.</w:t>
      </w:r>
    </w:p>
    <w:p w14:paraId="024D86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высотный полет с ТК-М был проведен 16 сентября до высоты 7500 м на 1 скорости. На этой высоте ТК-М еще обеспечивал номинальный наддув, имея еще значительный запас по высотности. Была отмечена неустойчивая работа моторов - заброс оборотов винта. Дефектов в работе агрегатов ТК-М не обнаружено.</w:t>
      </w:r>
    </w:p>
    <w:p w14:paraId="7320B3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Ожидаемая высотность моторов с ТК-М на 1 ск. - 10000 м, на 2-й - 11200-11500 м.</w:t>
      </w:r>
    </w:p>
    <w:p w14:paraId="488C6E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Постановка более мощного ТУ ТК-М по всем данным должна увеличить высотность еще на 1500 м, т.е. до 11500 м." (1783,143).</w:t>
      </w:r>
    </w:p>
    <w:p w14:paraId="4E7B75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865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 ЛИИ закончились испытания Як-9 с М-107А, которые проходили с 31 июля 1941. Машины N 51, 53, 54 поступили с 31 июля по 2 августа, а N 128 - 25 августа для испытаний с целью доводки ВМГ. На всех машинах выполнили 34 полета и налетали 27:08. Много недостатков и недоработок (1783,208).</w:t>
      </w:r>
    </w:p>
    <w:p w14:paraId="4D0266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56D5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вышел приказ НКАП № 568с:</w:t>
      </w:r>
    </w:p>
    <w:p w14:paraId="4CB0B1B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объединения КБ по взлетно-посадочным устройствам:</w:t>
      </w:r>
    </w:p>
    <w:p w14:paraId="319EB749"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Объединить КБ П.В.Флерова по колесам и Н.И.Жохова по лыжам. Объединенное КБ разместить на территории з-да 219.</w:t>
      </w:r>
    </w:p>
    <w:p w14:paraId="30EA446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Яковлев (1749, 106).</w:t>
      </w:r>
    </w:p>
    <w:p w14:paraId="264E4DC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250A8D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вышел приказ НКАП N 573 в исполнение постановления ГКО N 4194 от 24 сентября об организации на заводе 47 производства самолетов А.Я.Щербакова с 2 М-11Д по типу самолета, прошедшего гос. испытания согласно акту НИИ ВВС от 28 августа 1943 и обеспечить в декабре 1943 - 5, в январе 1944 - 10, в феврале - 20, а производство Як-6 прекратить. А.Я.Щербакова утвердить ГК 47 завода. Самолет впредь именовать Ще-2 (943,160).</w:t>
      </w:r>
    </w:p>
    <w:p w14:paraId="20E463C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 47 т. Котову организовать на заводе производство транспортных самолетов конструкции т. Щербакова с двумя моторами М-11Д по образцу с-та, прошедшего госиспытания согласно акта НИИ ВВС от 28 августа 1943 г. - 5 в текущем году, 10 в 1944. Производство самолетов Як-6 на заводе № 47 прекратить.</w:t>
      </w:r>
    </w:p>
    <w:p w14:paraId="74D4030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Утвердить ГК завода № 47 т. Щербакова А.Я. Самолет впредь именовать Ще-2 (943,160).</w:t>
      </w:r>
    </w:p>
    <w:p w14:paraId="0484556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3CCCC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по приказу НКАП № 573с в соответствии с постановлением ГКО № 4194с от 24.09.1943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 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 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 А.Я. Щербаков работал в ВВА им. Жуковского, с 1947 г. он - зам. С.П. Королёва. Гл. конструктор (1943-46 г.)- А.Я. Щербаков (10776).</w:t>
      </w:r>
    </w:p>
    <w:p w14:paraId="42C659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0C1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гл.к. завода № 47 был утвержден А.Я.Щербаков (приказ №573). Тем же приказом был переведен с завода №482 на новое место коллектив КБ А.Я.Щербакова. Здесь образовано ОКБ-47. Это КБ действовало в период с 1943 г. по 1946 г. В эти годы доработан и пущен в производство на заводе транспортный самолет Ще-2, проведена его модернизация в пассажирский, санитарный и с/х варианты (в 1944 г.). Был проект (1946 г.) истребителя "ВСИ" с 2-мя поворотными ТРД. Велись работы по гермокабинам первых самолетов с ТРД (1946 г.). С .3.46 г. по приказу НКАП №93 от 6.3.46 г. ОКБ-47 ликвидировано, а часть штата была объединена с ОКБ завода №30 НКАП (г.Москва) (10777).</w:t>
      </w:r>
    </w:p>
    <w:p w14:paraId="56C7C09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483563DC"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сентября 1943 вышел приказ НКАП N 573 в исполнение постановления ГКО N 4194 от 24 сентября </w:t>
      </w:r>
    </w:p>
    <w:p w14:paraId="4344CF6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Директору завода № 47 Котову организовать на заводе производство транспортных самолетов конструкций т. Щербакова с двумя моторами М-11Д по образцу самолета, прошедшего государственные испытания согласно акту НИИ ВВС КА от 28 августа 1943 года, и обеспечить выпуск: в декабре 1943 года - 5 самолетов, в январе 1944-го - 10, в феврале 1944-го - 20 самолетов, в марте 1944-го - 30 самолетов. </w:t>
      </w:r>
    </w:p>
    <w:p w14:paraId="41D6870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Утвердить главным конструктором завода № 47 т. Щербакова Алексея Яковлевича. </w:t>
      </w:r>
    </w:p>
    <w:p w14:paraId="5E05F53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Главному конструктору завода № 47 т. Щербакову передать на производство всю необходимую техническую документацию по самолету ЩЕ-2... </w:t>
      </w:r>
    </w:p>
    <w:p w14:paraId="259E617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Директору завода № 482 т. Каневскому Я. М. не позднее 1 октября с. г.: </w:t>
      </w:r>
    </w:p>
    <w:p w14:paraId="480D8AB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перевезти на завод № 47 личный состав опытно-конструкторского бюро т. Щербакова; </w:t>
      </w:r>
    </w:p>
    <w:p w14:paraId="4A90483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передать и отгрузить на завод № 47 все конструкторское оборудование, чертежные принадлежности, архив чертежей, документы, планы, шаблоны, приспособления, принадлежащие СКВ т. Щербакова; </w:t>
      </w:r>
    </w:p>
    <w:p w14:paraId="1C2EE10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отремонтировать и передать заводу № 47 самолет ЩЕ-2 за № 01, прошедший государственные испытания от 23 августа 1943 года... </w:t>
      </w:r>
    </w:p>
    <w:p w14:paraId="4D7BF08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9. Самолет впредь именовать ЩЕ-2 (Щербаков-2)". </w:t>
      </w:r>
    </w:p>
    <w:p w14:paraId="26C873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color w:val="000000" w:themeColor="text1"/>
          <w:sz w:val="16"/>
          <w:szCs w:val="16"/>
        </w:rPr>
        <w:t>Приказ подписал нарком авиапромышленности А. Шахурин (11494).</w:t>
      </w:r>
    </w:p>
    <w:p w14:paraId="72F33A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0CAD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по приказу № 573с в соответствии с пост. ГКО № 4194с от 24.09.1943 г. А.Я. Щербаков назначен гл. конструктором завода № 47 (до этого- гл. конструктор ОКБ на заводе № 482). Тем же приказе личный состав (48 чел.), оборудование, документация и опытный образец Ще-2 № 01 к 10.1943 г. бш переведены с завода № 482 на новое место для налаживания серии.</w:t>
      </w:r>
    </w:p>
    <w:p w14:paraId="1963A5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сопровождению серии, модернизации самолета Ще-2; по гермокабинам первых реактивны самолетов (1946 г.); проект истребителя «ВСИ» (1946 г.) с двумя поворотными ТРД</w:t>
      </w:r>
    </w:p>
    <w:p w14:paraId="1EE120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93с от 6.03.1946 г. А.Я. Щербаков освобожден от должности гл. конструктора «аса несостоятельный конструктор», ОКБ-47 ликвидировано. Часть личного состава вошла в состав ОКБ завода № 30</w:t>
      </w:r>
    </w:p>
    <w:p w14:paraId="3D9C6F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А.Я. Щербаков работал в ВВА им. Жуковского, с 1947 г. он - зам. С.П. Королёва.</w:t>
      </w:r>
    </w:p>
    <w:p w14:paraId="35709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(1943-46 г.)- А.Я. Щербаков (11982).</w:t>
      </w:r>
    </w:p>
    <w:p w14:paraId="3C0BC7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B5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приказом № 573с в соответствии с пост. ГКО № 4194с от 24.09.1943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 (11982).</w:t>
      </w:r>
    </w:p>
    <w:p w14:paraId="07C73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25D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сентября по 25 октября 1943 Летно-испытательный институт ВВС ВМФ в г. Баку в соответствии с приказом НКВМФ №00243 от 8 сентября 1943 прошли испытания Бостона с РЛС. 23 ноября появился приказ №00296, подводивший итоги испытаний и утверждавший реальные ТТХ станции: дальность обнаружения корабля водоизмещением более 1000 т при высоте полета 100-200 м - 7-9 км, ширина просматриваемой полосы - 8-10 км. Очевидно, результаты испытаний не вполне удовлетворили флотское руководство, поскольку в период с 16.12.1943 по 7.1.1944 их провели повторно. Станция испытыеалась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5B9237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1357C7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E04D9"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85CAF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51E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установка танковой пушки Д-25 в танк "Объект 237" № 2 была за</w:t>
      </w:r>
      <w:r w:rsidRPr="00271E51">
        <w:rPr>
          <w:rFonts w:ascii="Times New Roman" w:hAnsi="Times New Roman"/>
          <w:color w:val="000000" w:themeColor="text1"/>
          <w:sz w:val="16"/>
          <w:szCs w:val="16"/>
        </w:rPr>
        <w:softHyphen/>
        <w:t>кончена и до 30 сентября 1943 г. танк прошел заводские ис</w:t>
      </w:r>
      <w:r w:rsidRPr="00271E51">
        <w:rPr>
          <w:rFonts w:ascii="Times New Roman" w:hAnsi="Times New Roman"/>
          <w:color w:val="000000" w:themeColor="text1"/>
          <w:sz w:val="16"/>
          <w:szCs w:val="16"/>
        </w:rPr>
        <w:softHyphen/>
        <w:t>пытания. Во время стрельбы была обнаружена трещина на дульном тор</w:t>
      </w:r>
      <w:r w:rsidRPr="00271E51">
        <w:rPr>
          <w:rFonts w:ascii="Times New Roman" w:hAnsi="Times New Roman"/>
          <w:color w:val="000000" w:themeColor="text1"/>
          <w:sz w:val="16"/>
          <w:szCs w:val="16"/>
        </w:rPr>
        <w:softHyphen/>
        <w:t>мозе и выявлена недостаточная надежность его крепления к стволу. Т-образный литой дульный тормоз был заменен на новый, по внешнему виду, несколько напоминавший дульный тормоз немецкого тяжелого танка Т-VI "Тигр I". С 1 по 6 октября танк прошел Государственные хо</w:t>
      </w:r>
      <w:r w:rsidRPr="00271E51">
        <w:rPr>
          <w:rFonts w:ascii="Times New Roman" w:hAnsi="Times New Roman"/>
          <w:color w:val="000000" w:themeColor="text1"/>
          <w:sz w:val="16"/>
          <w:szCs w:val="16"/>
        </w:rPr>
        <w:softHyphen/>
        <w:t>довые (500 км) испытания по маршруту Челябинск - Златоуст — Челя</w:t>
      </w:r>
      <w:r w:rsidRPr="00271E51">
        <w:rPr>
          <w:rFonts w:ascii="Times New Roman" w:hAnsi="Times New Roman"/>
          <w:color w:val="000000" w:themeColor="text1"/>
          <w:sz w:val="16"/>
          <w:szCs w:val="16"/>
        </w:rPr>
        <w:softHyphen/>
        <w:t>бинск. Председатель комиссии по испытаниям танка ИС начальник ТУ ГБТУ генерал-майор С.А. Афонин, и главный конструктор ЧКЗ гене</w:t>
      </w:r>
      <w:r w:rsidRPr="00271E51">
        <w:rPr>
          <w:rFonts w:ascii="Times New Roman" w:hAnsi="Times New Roman"/>
          <w:color w:val="000000" w:themeColor="text1"/>
          <w:sz w:val="16"/>
          <w:szCs w:val="16"/>
        </w:rPr>
        <w:softHyphen/>
        <w:t>рал-майор Ж.Я. Котин отметили безотказную работу узлов, агрегатов и элементов трансмиссии и ходовой части, что на испытаниях случалось нечасто (10703).</w:t>
      </w:r>
    </w:p>
    <w:p w14:paraId="58F304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5DE67" w14:textId="77777777" w:rsidR="00CC32B5" w:rsidRPr="00271E51" w:rsidRDefault="00CC32B5" w:rsidP="00271E51">
      <w:pPr>
        <w:shd w:val="clear" w:color="auto" w:fill="FFFFFF"/>
        <w:spacing w:after="0" w:line="240" w:lineRule="auto"/>
        <w:jc w:val="both"/>
        <w:rPr>
          <w:rFonts w:ascii="Times New Roman" w:hAnsi="Times New Roman"/>
          <w:color w:val="0070C0"/>
          <w:sz w:val="16"/>
          <w:szCs w:val="16"/>
        </w:rPr>
      </w:pPr>
      <w:r w:rsidRPr="00271E51">
        <w:rPr>
          <w:rStyle w:val="651"/>
          <w:rFonts w:ascii="Times New Roman" w:hAnsi="Times New Roman" w:cs="Times New Roman"/>
          <w:color w:val="0070C0"/>
          <w:sz w:val="16"/>
          <w:szCs w:val="16"/>
        </w:rPr>
        <w:t>25 сентября 1943 Д-25Т доста</w:t>
      </w:r>
      <w:r w:rsidRPr="00271E51">
        <w:rPr>
          <w:rStyle w:val="651"/>
          <w:rFonts w:ascii="Times New Roman" w:hAnsi="Times New Roman" w:cs="Times New Roman"/>
          <w:color w:val="0070C0"/>
          <w:sz w:val="16"/>
          <w:szCs w:val="16"/>
        </w:rPr>
        <w:softHyphen/>
        <w:t>вили на завод № 100. К 30 сентября орудие смонтировали в танке, при этом про дефор</w:t>
      </w:r>
      <w:r w:rsidRPr="00271E51">
        <w:rPr>
          <w:rStyle w:val="651"/>
          <w:rFonts w:ascii="Times New Roman" w:hAnsi="Times New Roman" w:cs="Times New Roman"/>
          <w:color w:val="0070C0"/>
          <w:sz w:val="16"/>
          <w:szCs w:val="16"/>
        </w:rPr>
        <w:softHyphen/>
        <w:t>мацию дульного тормоза в Челябинске не знали. Считанные дни танк побыл с индексом ИС-3, но в основном его упоминали как «Объ</w:t>
      </w:r>
      <w:r w:rsidRPr="00271E51">
        <w:rPr>
          <w:rStyle w:val="651"/>
          <w:rFonts w:ascii="Times New Roman" w:hAnsi="Times New Roman" w:cs="Times New Roman"/>
          <w:color w:val="0070C0"/>
          <w:sz w:val="16"/>
          <w:szCs w:val="16"/>
        </w:rPr>
        <w:softHyphen/>
        <w:t>ект 240». Согласно расчетам, боевая масса машины возрастала до 46 тонн, а боеком</w:t>
      </w:r>
      <w:r w:rsidRPr="00271E51">
        <w:rPr>
          <w:rStyle w:val="651"/>
          <w:rFonts w:ascii="Times New Roman" w:hAnsi="Times New Roman" w:cs="Times New Roman"/>
          <w:color w:val="0070C0"/>
          <w:sz w:val="16"/>
          <w:szCs w:val="16"/>
        </w:rPr>
        <w:softHyphen/>
        <w:t>плект снижался до 25-30 выстрелов (по ито</w:t>
      </w:r>
      <w:r w:rsidRPr="00271E51">
        <w:rPr>
          <w:rStyle w:val="651"/>
          <w:rFonts w:ascii="Times New Roman" w:hAnsi="Times New Roman" w:cs="Times New Roman"/>
          <w:color w:val="0070C0"/>
          <w:sz w:val="16"/>
          <w:szCs w:val="16"/>
        </w:rPr>
        <w:softHyphen/>
        <w:t>гам получилось 28 выстрелов). В связи с тем, что пороховых газов после стрельбы образо</w:t>
      </w:r>
      <w:r w:rsidRPr="00271E51">
        <w:rPr>
          <w:rStyle w:val="651"/>
          <w:rFonts w:ascii="Times New Roman" w:hAnsi="Times New Roman" w:cs="Times New Roman"/>
          <w:color w:val="0070C0"/>
          <w:sz w:val="16"/>
          <w:szCs w:val="16"/>
        </w:rPr>
        <w:softHyphen/>
        <w:t>вывалось больше, чем раньше, в крыше башни установили более мощный вентиля</w:t>
      </w:r>
      <w:r w:rsidRPr="00271E51">
        <w:rPr>
          <w:rStyle w:val="651"/>
          <w:rFonts w:ascii="Times New Roman" w:hAnsi="Times New Roman" w:cs="Times New Roman"/>
          <w:color w:val="0070C0"/>
          <w:sz w:val="16"/>
          <w:szCs w:val="16"/>
        </w:rPr>
        <w:softHyphen/>
        <w:t>тор. Также был убран кормовой пулемет, а ра</w:t>
      </w:r>
      <w:r w:rsidRPr="00271E51">
        <w:rPr>
          <w:rStyle w:val="651"/>
          <w:rFonts w:ascii="Times New Roman" w:hAnsi="Times New Roman" w:cs="Times New Roman"/>
          <w:color w:val="0070C0"/>
          <w:sz w:val="16"/>
          <w:szCs w:val="16"/>
        </w:rPr>
        <w:softHyphen/>
        <w:t>диостанцию сместили в нишу башни, по</w:t>
      </w:r>
      <w:r w:rsidRPr="00271E51">
        <w:rPr>
          <w:rStyle w:val="651"/>
          <w:rFonts w:ascii="Times New Roman" w:hAnsi="Times New Roman" w:cs="Times New Roman"/>
          <w:color w:val="0070C0"/>
          <w:sz w:val="16"/>
          <w:szCs w:val="16"/>
        </w:rPr>
        <w:softHyphen/>
        <w:t>скольку гильзоулавливатель Д-25Т занимал больше места, чем у Д-5Т-85 (19874).</w:t>
      </w:r>
    </w:p>
    <w:p w14:paraId="5671E7FD" w14:textId="77777777" w:rsidR="00CC32B5" w:rsidRPr="00271E51" w:rsidRDefault="00CC32B5" w:rsidP="00271E51">
      <w:pPr>
        <w:shd w:val="clear" w:color="auto" w:fill="FFFFFF"/>
        <w:spacing w:after="0" w:line="240" w:lineRule="auto"/>
        <w:jc w:val="both"/>
        <w:rPr>
          <w:rFonts w:ascii="Times New Roman" w:hAnsi="Times New Roman"/>
          <w:color w:val="0070C0"/>
          <w:sz w:val="16"/>
          <w:szCs w:val="16"/>
        </w:rPr>
      </w:pPr>
    </w:p>
    <w:p w14:paraId="7E065A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Нарком танковой про</w:t>
      </w:r>
      <w:r w:rsidRPr="00271E51">
        <w:rPr>
          <w:rFonts w:ascii="Times New Roman" w:hAnsi="Times New Roman"/>
          <w:color w:val="000000" w:themeColor="text1"/>
          <w:sz w:val="16"/>
          <w:szCs w:val="16"/>
        </w:rPr>
        <w:softHyphen/>
        <w:t>мышленности В. Малышев проводил заседание, посвя</w:t>
      </w:r>
      <w:r w:rsidRPr="00271E51">
        <w:rPr>
          <w:rFonts w:ascii="Times New Roman" w:hAnsi="Times New Roman"/>
          <w:color w:val="000000" w:themeColor="text1"/>
          <w:sz w:val="16"/>
          <w:szCs w:val="16"/>
        </w:rPr>
        <w:softHyphen/>
        <w:t>щенное рассмотрению положения дел с новой боевой тех</w:t>
      </w:r>
      <w:r w:rsidRPr="00271E51">
        <w:rPr>
          <w:rFonts w:ascii="Times New Roman" w:hAnsi="Times New Roman"/>
          <w:color w:val="000000" w:themeColor="text1"/>
          <w:sz w:val="16"/>
          <w:szCs w:val="16"/>
        </w:rPr>
        <w:softHyphen/>
        <w:t>никой. Второй вопрос был посвящен как раз деятельности «Особой танковой роты 100»:</w:t>
      </w:r>
    </w:p>
    <w:p w14:paraId="54D925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Слушали: Доклад командира ос. Танк, роты «100» тов. Волосатова Г. П. о результатах боевого применения танков роты в боях 21 августа — 5 сентября с.г.</w:t>
      </w:r>
    </w:p>
    <w:p w14:paraId="299009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роты:</w:t>
      </w:r>
    </w:p>
    <w:p w14:paraId="15D1F3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Командирская машина: Танк Т-34 с увелич. башней на погоне 1600мм и р/ст 9-РСв башне и РСБ-Ф в корпусе с двиг. Бриггс-Страттон и доп. щелочн. аккумулят.</w:t>
      </w:r>
    </w:p>
    <w:p w14:paraId="326D87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взвод: Танки Т-34 с увеличенной башней на погоне 1600мм и командирской башенкой — 2 шт.</w:t>
      </w:r>
    </w:p>
    <w:p w14:paraId="2EE430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взвод: Танки-истребители Т-34/57, вооруж. 57-мм танко</w:t>
      </w:r>
      <w:r w:rsidRPr="00271E51">
        <w:rPr>
          <w:rFonts w:ascii="Times New Roman" w:hAnsi="Times New Roman"/>
          <w:color w:val="000000" w:themeColor="text1"/>
          <w:sz w:val="16"/>
          <w:szCs w:val="16"/>
        </w:rPr>
        <w:softHyphen/>
        <w:t>вой пушкой обр 1941/43 г.—З шт.</w:t>
      </w:r>
    </w:p>
    <w:p w14:paraId="03298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взвод: Танки Т-43 с башней на увелич. и норм погоне — 3 шт. 4взвод:Танки Т-34 завода 112 с огнеметн. установкой — 2шт.» Согласно докладу командира рота была отправлена на фронт 19 августа, а вернулась в распоряжение НКТП 5 сен</w:t>
      </w:r>
      <w:r w:rsidRPr="00271E51">
        <w:rPr>
          <w:rFonts w:ascii="Times New Roman" w:hAnsi="Times New Roman"/>
          <w:color w:val="000000" w:themeColor="text1"/>
          <w:sz w:val="16"/>
          <w:szCs w:val="16"/>
        </w:rPr>
        <w:softHyphen/>
        <w:t>тября. На фронте рота активностью не отличалась и нахо</w:t>
      </w:r>
      <w:r w:rsidRPr="00271E51">
        <w:rPr>
          <w:rFonts w:ascii="Times New Roman" w:hAnsi="Times New Roman"/>
          <w:color w:val="000000" w:themeColor="text1"/>
          <w:sz w:val="16"/>
          <w:szCs w:val="16"/>
        </w:rPr>
        <w:softHyphen/>
        <w:t>дилась большей частью в резерве Центрального фронта. Но, несмотря на тесную опеку, роте все-таки довелось участвовать в нескольких боевых столкновениях с немец</w:t>
      </w:r>
      <w:r w:rsidRPr="00271E51">
        <w:rPr>
          <w:rFonts w:ascii="Times New Roman" w:hAnsi="Times New Roman"/>
          <w:color w:val="000000" w:themeColor="text1"/>
          <w:sz w:val="16"/>
          <w:szCs w:val="16"/>
        </w:rPr>
        <w:softHyphen/>
        <w:t>кими войсками. Так, экипаж Т-43 младшего лейтенанта Мажорова был награжден орденами и медалями (они унич</w:t>
      </w:r>
      <w:r w:rsidRPr="00271E51">
        <w:rPr>
          <w:rFonts w:ascii="Times New Roman" w:hAnsi="Times New Roman"/>
          <w:color w:val="000000" w:themeColor="text1"/>
          <w:sz w:val="16"/>
          <w:szCs w:val="16"/>
        </w:rPr>
        <w:softHyphen/>
        <w:t>тожили три немецких противотанковых орудия и 2 БТР или БА). От ответного огня немецких войск почти все тан</w:t>
      </w:r>
      <w:r w:rsidRPr="00271E51">
        <w:rPr>
          <w:rFonts w:ascii="Times New Roman" w:hAnsi="Times New Roman"/>
          <w:color w:val="000000" w:themeColor="text1"/>
          <w:sz w:val="16"/>
          <w:szCs w:val="16"/>
        </w:rPr>
        <w:softHyphen/>
        <w:t>ки роты получили от 1 до 11 (!) попаданий, но броня их кор</w:t>
      </w:r>
      <w:r w:rsidRPr="00271E51">
        <w:rPr>
          <w:rFonts w:ascii="Times New Roman" w:hAnsi="Times New Roman"/>
          <w:color w:val="000000" w:themeColor="text1"/>
          <w:sz w:val="16"/>
          <w:szCs w:val="16"/>
        </w:rPr>
        <w:softHyphen/>
        <w:t>пусов пробита не была. По возвращении роты ее командир, капитан Волосатое, дал танкам Т-43, танкам-истребителям Т-34/57 и командирскому танку самый благожелательный отзыв, отметив лишь вооружение танков Т-43 76-мм пуш</w:t>
      </w:r>
      <w:r w:rsidRPr="00271E51">
        <w:rPr>
          <w:rFonts w:ascii="Times New Roman" w:hAnsi="Times New Roman"/>
          <w:color w:val="000000" w:themeColor="text1"/>
          <w:sz w:val="16"/>
          <w:szCs w:val="16"/>
        </w:rPr>
        <w:softHyphen/>
        <w:t>кой недостаточным (11135).</w:t>
      </w:r>
    </w:p>
    <w:p w14:paraId="6C23E7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2A728"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xml:space="preserve">25 сентября 1943 года результаты боевого применения экранированных Т-34 были сведены в отчёт. Его составители предлагали НКТП разработать более надёжную защиту для бортов. Но на тот момент даже тяжёлые танки не имели надёжной защиты от Pak 43. Участие в боях опытной партии Т-34, построенной заводом №112, </w:t>
      </w:r>
      <w:r w:rsidRPr="00271E51">
        <w:rPr>
          <w:rFonts w:ascii="Times New Roman" w:eastAsia="Times New Roman" w:hAnsi="Times New Roman"/>
          <w:color w:val="000000" w:themeColor="text1"/>
          <w:sz w:val="16"/>
          <w:szCs w:val="16"/>
          <w:lang w:eastAsia="ru-RU"/>
        </w:rPr>
        <w:lastRenderedPageBreak/>
        <w:t>оказалось последним случаем массового применения экранированных танков Красной армией. Работы по экранировке танков не остановились, но они уже не выходили за рамки изготовления опытных образцов (18883).</w:t>
      </w:r>
    </w:p>
    <w:p w14:paraId="2183707E" w14:textId="77777777" w:rsidR="00A60F16" w:rsidRPr="00271E51" w:rsidRDefault="00A60F16" w:rsidP="00271E51">
      <w:pPr>
        <w:spacing w:after="0" w:line="240" w:lineRule="auto"/>
        <w:jc w:val="both"/>
        <w:rPr>
          <w:rFonts w:ascii="Times New Roman" w:eastAsia="Times New Roman" w:hAnsi="Times New Roman"/>
          <w:color w:val="000000" w:themeColor="text1"/>
          <w:sz w:val="16"/>
          <w:szCs w:val="16"/>
          <w:lang w:eastAsia="ru-RU"/>
        </w:rPr>
      </w:pPr>
    </w:p>
    <w:p w14:paraId="4A7F45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 было утверждено ЗАКЛЮЧЕНИЕ 6-го ОТДЕЛА ТУ ГБТУ КА ПО АНГЛИЙСКОМУ МИННОМУ ТРАЛУ «СКОРПИОН»</w:t>
      </w:r>
    </w:p>
    <w:p w14:paraId="0FA499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«Утверждаю»</w:t>
      </w:r>
    </w:p>
    <w:p w14:paraId="388F11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ТУ ГБТУ КА инженер-подполковник Муравич</w:t>
      </w:r>
    </w:p>
    <w:p w14:paraId="6399C7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Минный трал «Скорпион» представляет собой упрощенную конструкцию трала «Барон», уста</w:t>
      </w:r>
      <w:r w:rsidRPr="00271E51">
        <w:rPr>
          <w:rFonts w:ascii="Times New Roman" w:hAnsi="Times New Roman"/>
          <w:color w:val="000000" w:themeColor="text1"/>
          <w:sz w:val="16"/>
          <w:szCs w:val="16"/>
        </w:rPr>
        <w:softHyphen/>
        <w:t>навливаемого на танке «Матильда».</w:t>
      </w:r>
    </w:p>
    <w:p w14:paraId="1D7E7B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Минный трал «Скорпион» имеет ряд существенных недостатков, ставящих под сомнение надежность его работы:</w:t>
      </w:r>
    </w:p>
    <w:p w14:paraId="1855E5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Трал «Скорпион» не копирует рельефа местности, так как ротор, на котором монтируются цепи, всегда находится на одном уровне от земли. Поэтому при прохождении танка через неболь</w:t>
      </w:r>
      <w:r w:rsidRPr="00271E51">
        <w:rPr>
          <w:rFonts w:ascii="Times New Roman" w:hAnsi="Times New Roman"/>
          <w:color w:val="000000" w:themeColor="text1"/>
          <w:sz w:val="16"/>
          <w:szCs w:val="16"/>
        </w:rPr>
        <w:softHyphen/>
        <w:t>шую воронку с миной цепь не взорвет мину и танк подорвется.</w:t>
      </w:r>
    </w:p>
    <w:p w14:paraId="32560C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 исключена возможность забрасывания цепями мин на танк и подрыв его.</w:t>
      </w:r>
    </w:p>
    <w:p w14:paraId="2A2D5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Цепи сильно забрасывают смотровые и прицельные приборы грязью и пылью, поэтому танк становится слепым и не боеспособным. Установка стеклоочистителя не решает вопроса, так как очи</w:t>
      </w:r>
      <w:r w:rsidRPr="00271E51">
        <w:rPr>
          <w:rFonts w:ascii="Times New Roman" w:hAnsi="Times New Roman"/>
          <w:color w:val="000000" w:themeColor="text1"/>
          <w:sz w:val="16"/>
          <w:szCs w:val="16"/>
        </w:rPr>
        <w:softHyphen/>
        <w:t>ститель легко может быть поврежден пулями.</w:t>
      </w:r>
    </w:p>
    <w:p w14:paraId="284D9A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Трал «Скорпион» сложен, так как требует установки двигателя 95 л.с. при 2400 об/мин, короб</w:t>
      </w:r>
      <w:r w:rsidRPr="00271E51">
        <w:rPr>
          <w:rFonts w:ascii="Times New Roman" w:hAnsi="Times New Roman"/>
          <w:color w:val="000000" w:themeColor="text1"/>
          <w:sz w:val="16"/>
          <w:szCs w:val="16"/>
        </w:rPr>
        <w:softHyphen/>
        <w:t>ки ПП и карданной передачи для вращения ротора с цепями.</w:t>
      </w:r>
    </w:p>
    <w:p w14:paraId="4423BC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Установленный снаружи танка двигатель слабо защищен от поражений (14 мм броня), поэто</w:t>
      </w:r>
      <w:r w:rsidRPr="00271E51">
        <w:rPr>
          <w:rFonts w:ascii="Times New Roman" w:hAnsi="Times New Roman"/>
          <w:color w:val="000000" w:themeColor="text1"/>
          <w:sz w:val="16"/>
          <w:szCs w:val="16"/>
        </w:rPr>
        <w:softHyphen/>
        <w:t>му быстро будет выведен из строя и трал потеряет свою способность взрывать мины.</w:t>
      </w:r>
    </w:p>
    <w:p w14:paraId="29F9E1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вышеизложенного ТУ ГБТУ КА считает изготовление опытного образца трала «Скорпион» не целесообразным.</w:t>
      </w:r>
    </w:p>
    <w:p w14:paraId="723E8E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6 отдела ТУ ГБТУ КА инженер-подполковник Солонин</w:t>
      </w:r>
    </w:p>
    <w:p w14:paraId="64F9F4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 начальника 6 отдела ТУ ГБТУ КА инженер-майор Осипов</w:t>
      </w:r>
    </w:p>
    <w:p w14:paraId="641F9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1380. Л. 167. Подлинник (11403).</w:t>
      </w:r>
    </w:p>
    <w:p w14:paraId="2AE657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F711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года вышел приказ НКВ № 493сс</w:t>
      </w:r>
    </w:p>
    <w:p w14:paraId="0861DA3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Приступить к подготовительным работам по восстановлению артиллерийского завода НКВ в Брянске, временно присвоив ему номер 13-ф (6417, 72).</w:t>
      </w:r>
    </w:p>
    <w:p w14:paraId="2CFC600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D62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вышло Распоряжение ГКО № 4199. Об оставлении в распоряжении НКАП СССР локомобиля мощностью 225 л.с.РГАНИР, Фонд ГКО, д. 153, лл. 59 (11012).</w:t>
      </w:r>
    </w:p>
    <w:p w14:paraId="5BB701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44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вышло Постановление ГКО № 4200 О т.т. Пономареве И.М. и Деньгине С.А.РГАНИР, Фонд ГКО, д. 153, лл. 60 (11012).</w:t>
      </w:r>
    </w:p>
    <w:p w14:paraId="4ED04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C1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вышло Постановление ГКО № 4201 О тов. Щаденко Е.А.РГАНИР, Фонд ГКО, д. 153, лл. 61 (11012).</w:t>
      </w:r>
    </w:p>
    <w:p w14:paraId="01BDF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389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Поднят флаг ВМФ СССР на шестом МБК адмиралтейцев (10671).</w:t>
      </w:r>
    </w:p>
    <w:p w14:paraId="1B70B8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A1BF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1EE9D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DE34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в 1943 году оперативная сводка Совинформбюро:</w:t>
      </w:r>
    </w:p>
    <w:p w14:paraId="31D43BB6"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Западного фронта, продолжая развивать наступление, успешно форсировали реку Днепр и после упорных боёв 25 сентября штурмом овладели областным центром —городом Смоленск. Сегодня же войска Западного фронта после двухдневных боёв сломили сопротивление противника и овладели городом и крупным железнодорожным узлом Рославль.</w:t>
      </w:r>
    </w:p>
    <w:p w14:paraId="36037BB3"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и овладели районным центром Днепропетровской области Петриковка, а также заняли крупные населённые пункты Продановка, Галушковка, Лобойковка. Колхо3овка, Елизаветовка.</w:t>
      </w:r>
    </w:p>
    <w:p w14:paraId="3EAD5FEA"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продолжая развивать успешное наступление, продвинулись вперёд от 15 до 20 километров и овладели городом Кобеляки, районными центрами Полтавской области Оболонь, Семёновна, а также заняли свыше 120 других населённых пунктов, в том числе крупные населённые пункты Биляки, Радоловка, Зубани, Подгорье, Остапье, Сухорабовка, Михневка, Горб, Шамраевка, Попово, Маряновка, Марковка, Бригадировка, Касьяны, Бережновка, Песиголовцы, Гарбузовка и железнодорожные станции Весёлый Подол, Кобеляки.</w:t>
      </w:r>
    </w:p>
    <w:p w14:paraId="1C455E5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сломив сопротивление противника, овладели городом Бровары.</w:t>
      </w:r>
    </w:p>
    <w:p w14:paraId="2C40EA4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развивать успешное наступление и, продвинувшись вперёд от 15 до 20 километров, овладели городом Клинцы, а также заняли свыше 350 других населённых пунктов, среди которых крупные населённые пункты Овчинец, Жемердеевка, Кулаги, Гнилуша, Тулуковщина, Чертовицы, Займище, Белый Колодезь, Манюки, Замышево, Рыловичи, Деменка, Дубровка, Большие Щербиничи, Петрятинки, Чуровичи, Старые Юрковичи, Ленино, Круговец, Лемешовка, Андреевка, Хотивля, Дроздовицы, Лютеж, Невкля, Буровка, Буянки, Голубичи, Суличёвка, Павловка, Мекшуновка.</w:t>
      </w:r>
    </w:p>
    <w:p w14:paraId="516861E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наступающие северо-западнее Смоленска, продвинулись вперёд от 4до 6 километров и заняли свыше 60 населенных пунктов, в том числе крупныенаселённые пункты Дубровка, Сухоняты, Язвище, Холм, Берестянка, Бабни, Пениснар, Рогулино.</w:t>
      </w:r>
    </w:p>
    <w:p w14:paraId="2C800ED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сентября наши войска на всех фронтах подбили и уничтожили 58 немецких танков. В воздушных боях и огнём зенитной артиллерии сбито 49 самолётов противника.</w:t>
      </w:r>
    </w:p>
    <w:p w14:paraId="47C7267A"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Западного фронта выбили противника из укреплений, прикрывавших подступы к Смоленску, и вчера ворвались на северные окраины города. Завязались ожесточённые уличные бои. Очищая от гитлеровцев квартал за кварталом, советские бойцы заняли всю северную часть города. Ночью наши войска овладели переправами, форсировали реку Днепр и штурмом овладели Смоленском: Таким образом, важнейший стратегический узел обороны противника на Западном направлении — город Смоленск освобождён от немецко-фашистских захватчиков.</w:t>
      </w:r>
    </w:p>
    <w:p w14:paraId="3E1BE94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же наши войска после двухдневных боёв сломили сопротивление немцев иовладели городом и крупным железнодорожным узлом Рославль.</w:t>
      </w:r>
    </w:p>
    <w:p w14:paraId="4FD0B27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город Смоленск и город Рославль разгромлены крупные силы противника. Захвачены большие трофеи, в числе которых 60 самолётов, много орудий, крупные военные склады и большое число железнодорожных составов.</w:t>
      </w:r>
    </w:p>
    <w:p w14:paraId="145B542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преследуя разгромленного противника, заняли ряд населённых пунктов западнее Смоленска и Рославля.</w:t>
      </w:r>
    </w:p>
    <w:p w14:paraId="0EB721C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продолжали наступление. Противник, опираясь на заранее укреплённые позиции, предпринимает ожесточённые контратаки. Бойцы Н-ской части отбили пятнадцать вражеских контратак и уничтожили 800 гитлеровцев. Подбито и сожжено 11 танков и бронемашин и 2 самоходных орудия. На другом участке части Н-ского соединения, отбрасывая врага на запад, истребили более 400 немецких солдат и офицеров, уничтожили 17 танков, 3 самоходных орудия и 6 бронемашин. Захвачены трофеи и пленные.</w:t>
      </w:r>
    </w:p>
    <w:p w14:paraId="2296793A"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продолжали успешно продвигаться вперёд. Преодолевая сопротивление и отражая контратаки немцев, части Н-ского соединения овладели городом Кобеляки.</w:t>
      </w:r>
    </w:p>
    <w:p w14:paraId="01B55B93"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поле боя осталось несколько сот вражеских трупов. Отступающий в беспорядке противник бросил много оружия, в том числе 4 исправных танка, 2 самоходных орудия и 5 бронетранспортёров. Бойцы подразделения, где командиром тов. Юрков, удачным манёвром выбили противника из сильно укреплённого опорного пункта, уничтожив при этом 200 немецких солдат и офицеров. Захвачено две артиллерийских батареи, несколько автомашин с боеприпасами и продовольствием.</w:t>
      </w:r>
    </w:p>
    <w:p w14:paraId="2586BE0B"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преодолевая сопротивление немцев, продолжали продвигаться вперёд. В результате ожесточённого боя, закончившегося разгромом немцев, наши войска заняли районный центр Киевской области —город Бровары. В этом бою уничтожено до 1.000 немецких солдат и офицеров, 8 танков, 3 самоходных орудия и 2 бронемашины. Захвачены 6 танков, 37 орудий и другие трофеи. Взято более 100 пленных. Н-ское соединение, продвигаясь вперёд, за последние два дня захватило у противника 20 орудий, 12 радиостанций, более 500 лошадей, несколько складов с боеприпасами и военным имуществом.</w:t>
      </w:r>
    </w:p>
    <w:p w14:paraId="3D3562D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развивать, успешное наступление, овладели городом Клинцы и освободили от немецких захватчиков свыше 350 других населённых пунктов. Части Н-ского соединения в бою за город Клинцы уничтожили до полка немецкой пехоты. Захвачено много вооружения, боеприпасов и военных материалов.</w:t>
      </w:r>
    </w:p>
    <w:p w14:paraId="441DE7D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бойцами в течение дня освобождено несколько тысяч советских граждан, которых гитлеровцы угоняли на каторжные работы в Германию.</w:t>
      </w:r>
    </w:p>
    <w:p w14:paraId="4A52ED4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Северо-западнее Смоленска наши войска вели наступательные бои и заняли свыше 60 населённых пунктов. Уничтожено более 600 немецких солдат и офицеров. Одна наша часть, преследуя противника, захватила 14 орудий, 44 пулемёта, 200 винтовок и автоматов и два склада с боеприпасами. На сторону Красной Армии с оружием в руках перешли 65 вражеских солдат и офицеров.</w:t>
      </w:r>
    </w:p>
    <w:p w14:paraId="6A64B685"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Смоленской области, совершил нападение на роту немцев. Партизаны истребили более 100 вражеских солдат и офицеров и захватили всё вооружение роты. Взято 13 пленных. Группа смоленских партизан ночью внезапно напала на концентрационный лагерь, перебила немецкую охрану и освободила 80 советских граждан, томившихся в лагере. В эту же ночь вторая группа партизан уничтожила немецкий конвой, угонявший мирных жителей на каторгу в Германию, и освободила большое количество советских граждан.</w:t>
      </w:r>
    </w:p>
    <w:p w14:paraId="34BAF95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унтер-офицер 6 роты 266 полка 72 немецкой пехотной дивизии Алоиз Шомбара рассказал: «Наш батальон получил приказ — любой ценой удержать одну деревню. Русские перешли в атаку и начали нас обходить. Солдаты самовольно оставили позиции и разбежались. Офицеры пытались остановить бегущих. Они носились, как сумасшедшие, кричали, угрожали расстрелом, но солдаты их не слушали. Позднее мы узнали, что так же бежал и весь наш полк, потеряв половину своего состава» (14780).</w:t>
      </w:r>
    </w:p>
    <w:p w14:paraId="03FC3D1A"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7EC0AE4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советские войска освободили от фашистов Смоленск (4962).</w:t>
      </w:r>
    </w:p>
    <w:p w14:paraId="40EB2E4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BAB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КА (ЗФ - В.Д.Соколовский) освободила Смоленск (2262).</w:t>
      </w:r>
    </w:p>
    <w:p w14:paraId="6CDB50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C29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25, 1943: Soviet forces succeed in establishing a bridgehead across the Dnepr at Dnepropetrovsk (3819).</w:t>
      </w:r>
    </w:p>
    <w:p w14:paraId="65F853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97EF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1943 КА заняла плацдармы на другом берегу Днепра у Днепропетровска (3819).</w:t>
      </w:r>
    </w:p>
    <w:p w14:paraId="19D359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8FB05" w14:textId="77777777" w:rsidR="00D708C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B32CEBA" w14:textId="77777777" w:rsidR="00D708CE" w:rsidRPr="00271E51" w:rsidRDefault="00D708C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BBD5F1"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25–26 сентября 1943 авиация союзников атакует аэродромы на Корсике и паромное сообщение между Корсикой и Италией и сбивает четыре немецких транспортных самолета (20376).</w:t>
      </w:r>
    </w:p>
    <w:p w14:paraId="250B4EBA" w14:textId="77777777" w:rsidR="00CC32B5" w:rsidRPr="00271E51" w:rsidRDefault="00CC32B5" w:rsidP="00271E51">
      <w:pPr>
        <w:spacing w:after="0" w:line="240" w:lineRule="auto"/>
        <w:jc w:val="both"/>
        <w:rPr>
          <w:rFonts w:ascii="Times New Roman" w:hAnsi="Times New Roman"/>
          <w:color w:val="0070C0"/>
          <w:sz w:val="16"/>
          <w:szCs w:val="16"/>
        </w:rPr>
      </w:pPr>
    </w:p>
    <w:p w14:paraId="57317C3A"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сентября в 1943 году английские войска заняли Фоджу (14780).</w:t>
      </w:r>
    </w:p>
    <w:p w14:paraId="2077A1ED"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288BC74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569DC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4643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1943 была подготовлена:</w:t>
      </w:r>
    </w:p>
    <w:p w14:paraId="37A9ED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 Р А В К А</w:t>
      </w:r>
    </w:p>
    <w:p w14:paraId="0CFC31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применении воздушно-реактивных двигателей за границей</w:t>
      </w:r>
    </w:p>
    <w:p w14:paraId="42156B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протяжении последних 4-5 в Англии интенсивно ведут</w:t>
      </w:r>
      <w:r w:rsidRPr="00271E51">
        <w:rPr>
          <w:rFonts w:ascii="Times New Roman" w:hAnsi="Times New Roman"/>
          <w:color w:val="000000" w:themeColor="text1"/>
          <w:sz w:val="16"/>
          <w:szCs w:val="16"/>
        </w:rPr>
        <w:softHyphen/>
        <w:t>ся исследовательские и опытные работы по воздушно-реакгивным авиационные двигателям. Имеются сведения, что свыше 3 фирм в той или иной степени приобщены к этим работам. К числу наиболее крупных фирм, занимающихся ВРД и продвинув</w:t>
      </w:r>
      <w:r w:rsidRPr="00271E51">
        <w:rPr>
          <w:rFonts w:ascii="Times New Roman" w:hAnsi="Times New Roman"/>
          <w:color w:val="000000" w:themeColor="text1"/>
          <w:sz w:val="16"/>
          <w:szCs w:val="16"/>
        </w:rPr>
        <w:softHyphen/>
        <w:t>шихся сравнительно далеко в своих опытных- работах относятся фирмы Метро-Виккерс, Роллс-Ройс, Армстронг- Сиддлей и др.</w:t>
      </w:r>
    </w:p>
    <w:p w14:paraId="4AD1C1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США рабогы по ВРД также получили некоторое развитие, но сведения о них весьма ограничены, при чем можно лишь скааать, что такая крупная американская фирма, как Дженерал Электрик Компани работает в настоящее время над авиационной воадушно-реакгивной установкой. Английские специалисты консуль тировали некоторые работы в Америке по ВРД, в. чазтности по конструкциям камер сгорания.</w:t>
      </w:r>
    </w:p>
    <w:p w14:paraId="6BEE39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типом ВРД, над котором работают в Англии и Америке, являегся установка, состоящая из газовой турбины, воздушного компрессора, камеры сгорания и реакгивного сопла</w:t>
      </w:r>
    </w:p>
    <w:p w14:paraId="2D16C6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выполнены по схемам Уайтл (Англия) и Метро-Виккерс прошли предваригельнле типовые испытания и поставлены на вамолегы для доводочных испытания. Одна из моделей Уайтл испытывалась на опытном, одноместном самолете (высота самолета около 2 м., размах крыльев примерно 4,6 м.) с расположением ВРД в фюзеляже. Полеты происходили до высоты 10.000 м.</w:t>
      </w:r>
    </w:p>
    <w:p w14:paraId="5DC377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Многие опытные усгановки, выполненные по упомянутым двум схемам проработали на станках по несколько десятков часов, некоторые из них имеюг до 10 часов легных испытаний.</w:t>
      </w:r>
    </w:p>
    <w:p w14:paraId="2EC7AF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установок схе</w:t>
      </w:r>
      <w:r w:rsidRPr="00271E51">
        <w:rPr>
          <w:rFonts w:ascii="Times New Roman" w:hAnsi="Times New Roman"/>
          <w:color w:val="000000" w:themeColor="text1"/>
          <w:sz w:val="16"/>
          <w:szCs w:val="16"/>
          <w:vertAlign w:val="subscript"/>
        </w:rPr>
        <w:t>(</w:t>
      </w:r>
      <w:r w:rsidRPr="00271E51">
        <w:rPr>
          <w:rFonts w:ascii="Times New Roman" w:hAnsi="Times New Roman"/>
          <w:color w:val="000000" w:themeColor="text1"/>
          <w:sz w:val="16"/>
          <w:szCs w:val="16"/>
        </w:rPr>
        <w:t>мы Уайтл и ФирмыМетро-Виккерс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907A5" w:rsidRPr="00271E51" w14:paraId="04089C31" w14:textId="77777777" w:rsidTr="00ED5B0A">
        <w:tc>
          <w:tcPr>
            <w:tcW w:w="2394" w:type="dxa"/>
            <w:tcBorders>
              <w:top w:val="single" w:sz="12" w:space="0" w:color="auto"/>
            </w:tcBorders>
          </w:tcPr>
          <w:p w14:paraId="3DA5F8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p w14:paraId="2346CF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top w:val="single" w:sz="12" w:space="0" w:color="auto"/>
            </w:tcBorders>
          </w:tcPr>
          <w:p w14:paraId="6E83F1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Тяга, кг</w:t>
            </w:r>
          </w:p>
        </w:tc>
        <w:tc>
          <w:tcPr>
            <w:tcW w:w="2394" w:type="dxa"/>
            <w:tcBorders>
              <w:top w:val="single" w:sz="12" w:space="0" w:color="auto"/>
            </w:tcBorders>
          </w:tcPr>
          <w:p w14:paraId="56CA6E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 топлива кг/тяг.</w:t>
            </w:r>
          </w:p>
        </w:tc>
        <w:tc>
          <w:tcPr>
            <w:tcW w:w="2394" w:type="dxa"/>
            <w:tcBorders>
              <w:top w:val="single" w:sz="12" w:space="0" w:color="auto"/>
            </w:tcBorders>
          </w:tcPr>
          <w:p w14:paraId="2EEAE2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Число оборотов компрессора об./мин</w:t>
            </w:r>
          </w:p>
        </w:tc>
      </w:tr>
      <w:tr w:rsidR="00A907A5" w:rsidRPr="00271E51" w14:paraId="00C02B52" w14:textId="77777777" w:rsidTr="00ED5B0A">
        <w:tc>
          <w:tcPr>
            <w:tcW w:w="2394" w:type="dxa"/>
          </w:tcPr>
          <w:p w14:paraId="595CB4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Уайтл 2В</w:t>
            </w:r>
          </w:p>
        </w:tc>
        <w:tc>
          <w:tcPr>
            <w:tcW w:w="2394" w:type="dxa"/>
          </w:tcPr>
          <w:p w14:paraId="547735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743</w:t>
            </w:r>
          </w:p>
        </w:tc>
        <w:tc>
          <w:tcPr>
            <w:tcW w:w="2394" w:type="dxa"/>
          </w:tcPr>
          <w:p w14:paraId="7C5B7F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2394" w:type="dxa"/>
          </w:tcPr>
          <w:p w14:paraId="5D2C1F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16500</w:t>
            </w:r>
          </w:p>
        </w:tc>
      </w:tr>
      <w:tr w:rsidR="00A907A5" w:rsidRPr="00271E51" w14:paraId="18553D77" w14:textId="77777777" w:rsidTr="00ED5B0A">
        <w:tc>
          <w:tcPr>
            <w:tcW w:w="2394" w:type="dxa"/>
            <w:tcBorders>
              <w:bottom w:val="single" w:sz="12" w:space="0" w:color="auto"/>
            </w:tcBorders>
          </w:tcPr>
          <w:p w14:paraId="674A8B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Метро-Виккерс</w:t>
            </w:r>
          </w:p>
        </w:tc>
        <w:tc>
          <w:tcPr>
            <w:tcW w:w="2394" w:type="dxa"/>
            <w:tcBorders>
              <w:bottom w:val="single" w:sz="12" w:space="0" w:color="auto"/>
            </w:tcBorders>
          </w:tcPr>
          <w:p w14:paraId="31D2EB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957</w:t>
            </w:r>
          </w:p>
        </w:tc>
        <w:tc>
          <w:tcPr>
            <w:tcW w:w="2394" w:type="dxa"/>
            <w:tcBorders>
              <w:bottom w:val="single" w:sz="12" w:space="0" w:color="auto"/>
            </w:tcBorders>
          </w:tcPr>
          <w:p w14:paraId="03A06C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1,043</w:t>
            </w:r>
          </w:p>
        </w:tc>
        <w:tc>
          <w:tcPr>
            <w:tcW w:w="2394" w:type="dxa"/>
            <w:tcBorders>
              <w:bottom w:val="single" w:sz="12" w:space="0" w:color="auto"/>
            </w:tcBorders>
          </w:tcPr>
          <w:p w14:paraId="3C68B7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7160</w:t>
            </w:r>
          </w:p>
        </w:tc>
      </w:tr>
    </w:tbl>
    <w:p w14:paraId="1923B1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качесгве -топлива применяется парафин.</w:t>
      </w:r>
    </w:p>
    <w:p w14:paraId="094B5F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Уайтл имеег приводной центробежный нагнетатель с двойным входом, приводимый в действие от односту</w:t>
      </w:r>
      <w:r w:rsidRPr="00271E51">
        <w:rPr>
          <w:rFonts w:ascii="Times New Roman" w:hAnsi="Times New Roman"/>
          <w:color w:val="000000" w:themeColor="text1"/>
          <w:sz w:val="16"/>
          <w:szCs w:val="16"/>
        </w:rPr>
        <w:softHyphen/>
        <w:t>пенчатой газовой турбины. Камера сгорания имеег двойную циркуляции воздуха и 2 зоны сгорания (предварительную- и окончательную). Для получения совершенного сгорания и уве</w:t>
      </w:r>
      <w:r w:rsidRPr="00271E51">
        <w:rPr>
          <w:rFonts w:ascii="Times New Roman" w:hAnsi="Times New Roman"/>
          <w:color w:val="000000" w:themeColor="text1"/>
          <w:sz w:val="16"/>
          <w:szCs w:val="16"/>
        </w:rPr>
        <w:softHyphen/>
        <w:t>личения геплос'ема с единицы об"ема камеры.</w:t>
      </w:r>
    </w:p>
    <w:p w14:paraId="2B9EFB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установке Метро-Виккерс используется 9-ступенчатый осевой компрессор, который приводится в действие от двух</w:t>
      </w:r>
      <w:r w:rsidRPr="00271E51">
        <w:rPr>
          <w:rFonts w:ascii="Times New Roman" w:hAnsi="Times New Roman"/>
          <w:color w:val="000000" w:themeColor="text1"/>
          <w:sz w:val="16"/>
          <w:szCs w:val="16"/>
        </w:rPr>
        <w:softHyphen/>
        <w:t>ступенчатой турбины. В начале эта камера сгорания давала пониженные качества сгорания и, следовательно, меньшую •, экономичность, чем -камера Уайтл. Одной из. причин ухудше</w:t>
      </w:r>
      <w:r w:rsidRPr="00271E51">
        <w:rPr>
          <w:rFonts w:ascii="Times New Roman" w:hAnsi="Times New Roman"/>
          <w:color w:val="000000" w:themeColor="text1"/>
          <w:sz w:val="16"/>
          <w:szCs w:val="16"/>
        </w:rPr>
        <w:softHyphen/>
        <w:t>ния экономичности камеры Метро-Виккерс являлась значи</w:t>
      </w:r>
      <w:r w:rsidRPr="00271E51">
        <w:rPr>
          <w:rFonts w:ascii="Times New Roman" w:hAnsi="Times New Roman"/>
          <w:color w:val="000000" w:themeColor="text1"/>
          <w:sz w:val="16"/>
          <w:szCs w:val="16"/>
        </w:rPr>
        <w:softHyphen/>
        <w:t>тельная потеря напора в камере из-за устройсгва для полу</w:t>
      </w:r>
      <w:r w:rsidRPr="00271E51">
        <w:rPr>
          <w:rFonts w:ascii="Times New Roman" w:hAnsi="Times New Roman"/>
          <w:color w:val="000000" w:themeColor="text1"/>
          <w:sz w:val="16"/>
          <w:szCs w:val="16"/>
        </w:rPr>
        <w:softHyphen/>
        <w:t>чения однородной смеси.</w:t>
      </w:r>
    </w:p>
    <w:p w14:paraId="0D354A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Впоследсгвии, главным образом, за счет качества распыливания гоплива, оба типа камеры по своим качествам почти выравнились.</w:t>
      </w:r>
    </w:p>
    <w:p w14:paraId="5070A4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числу недосгагков установки Метро-Виккерс- относят</w:t>
      </w:r>
      <w:r w:rsidRPr="00271E51">
        <w:rPr>
          <w:rFonts w:ascii="Times New Roman" w:hAnsi="Times New Roman"/>
          <w:color w:val="000000" w:themeColor="text1"/>
          <w:sz w:val="16"/>
          <w:szCs w:val="16"/>
        </w:rPr>
        <w:softHyphen/>
        <w:t>ся зарруднения при запуске, связанные с неустойчивым режи</w:t>
      </w:r>
      <w:r w:rsidRPr="00271E51">
        <w:rPr>
          <w:rFonts w:ascii="Times New Roman" w:hAnsi="Times New Roman"/>
          <w:color w:val="000000" w:themeColor="text1"/>
          <w:sz w:val="16"/>
          <w:szCs w:val="16"/>
        </w:rPr>
        <w:softHyphen/>
        <w:t>мом работы компрессора при низкихоборотах.</w:t>
      </w:r>
    </w:p>
    <w:p w14:paraId="0C560B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имеющимся сведениям газовые турбины не создают сколько-нибудь значительных затруднений в рабоге установок, но имеют некоторые констрктиыные недостагки, устраняемые в процессе доводки ВРД.</w:t>
      </w:r>
    </w:p>
    <w:p w14:paraId="5C00B1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Прадметом особого внимания фирм, занимающих ВРД является камера сгорания. Работы над камерой заключаются в том, чтобы свести до минимума потери давления в камере, увеличить теплос”ем, сведя до минимума потери при сгорании, и сохранить. приемлемые для авиационной установки веса и габариты камеры.</w:t>
      </w:r>
    </w:p>
    <w:p w14:paraId="21A787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качесгве средства для форсирования работы воздушно-реактивного двигателя, особенна на взлете, заслуживает внимания применение амиака. Амиак подается через форсунки, .установленные вокруг выходного отверстия в компрессоре. Вследствие испарения амиака перед колесом компрессо</w:t>
      </w:r>
      <w:r w:rsidRPr="00271E51">
        <w:rPr>
          <w:rFonts w:ascii="Times New Roman" w:hAnsi="Times New Roman"/>
          <w:color w:val="000000" w:themeColor="text1"/>
          <w:sz w:val="16"/>
          <w:szCs w:val="16"/>
        </w:rPr>
        <w:softHyphen/>
        <w:t>ра поступающий воздух охлаждаегся, вес его возрастает и возрастает степень поджатия воздуха в колесе. При сухом воздухе впрыск амиака в количестве, павном по весу 4.3% от веса воздуха, увеличивает тягу на 33%. При применении амиава наблюдалось снижение расхода парафина, вследствие сгорания амиака в камере (1458,337).</w:t>
      </w:r>
    </w:p>
    <w:p w14:paraId="33172B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C61C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39FDC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885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1943 вышло Постановление ГКО № 4202 О восстановлении второй очереди завода № 91 Hаркомхимпрома в г. Сталинграде.РГАНИР, Фонд ГКО, д. 153, лл. 62-66, 67-72 (11012).</w:t>
      </w:r>
    </w:p>
    <w:p w14:paraId="05BC4F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A85EF" w14:textId="77777777" w:rsidR="00D708CE" w:rsidRPr="00271E51" w:rsidRDefault="00D708CE"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bCs/>
          <w:iCs/>
          <w:color w:val="000000" w:themeColor="text1"/>
          <w:sz w:val="16"/>
          <w:szCs w:val="16"/>
        </w:rPr>
        <w:t>26 сентября 1943 г.</w:t>
      </w:r>
      <w:r w:rsidRPr="00271E51">
        <w:rPr>
          <w:rFonts w:ascii="Times New Roman" w:hAnsi="Times New Roman"/>
          <w:color w:val="000000" w:themeColor="text1"/>
          <w:sz w:val="16"/>
          <w:szCs w:val="16"/>
        </w:rPr>
        <w:t xml:space="preserve"> Постановление ГОКО о восстановлении цеха № 2 на заводе № 91 (г.Сталинград) с обеспечением мобилизационной мощности по выпуску иприта 13 500 тонн в год (17133).</w:t>
      </w:r>
    </w:p>
    <w:p w14:paraId="5A00D79F" w14:textId="77777777" w:rsidR="00D708CE" w:rsidRPr="00271E51" w:rsidRDefault="00D708CE" w:rsidP="00271E51">
      <w:pPr>
        <w:shd w:val="clear" w:color="auto" w:fill="FFFFFF"/>
        <w:spacing w:after="0" w:line="240" w:lineRule="auto"/>
        <w:jc w:val="both"/>
        <w:rPr>
          <w:rFonts w:ascii="Times New Roman" w:hAnsi="Times New Roman"/>
          <w:color w:val="000000" w:themeColor="text1"/>
          <w:sz w:val="16"/>
          <w:szCs w:val="16"/>
        </w:rPr>
      </w:pPr>
    </w:p>
    <w:p w14:paraId="6D5CD8A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1943 вышло Постановление ГКО № 4203 О мерах по дальнейшему увеличению добычи угля в Подмосковном бассейне для обеспечения потребности в угле промышленности и транспорта г. Москвы и центральных областей СССР. (7096, 73-88,89-115).</w:t>
      </w:r>
    </w:p>
    <w:p w14:paraId="1DEFB1F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8A446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66E82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E136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26 сентября в 1943 году оперативная сводка Совинформбюро:</w:t>
      </w:r>
    </w:p>
    <w:p w14:paraId="37BAB18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сентября на Кубани наши войска, продолжая наступление, овладели населёнными пунктами Пиленково, Джигинское, Суворовско-Черкесский Аул, Благовещенская.</w:t>
      </w:r>
    </w:p>
    <w:p w14:paraId="103A605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преодолевая сопротивление противника, продолжали наступление и на отдельных участках вышли к реке Днепр.</w:t>
      </w:r>
    </w:p>
    <w:p w14:paraId="2A8EB596"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продолжая наступление, продвинулись вперёд от 10 до 15 километров, заняли более 70 населённых пунктов, среди которых крупные населённые пункты Горошино, Большая Буромка, Большие и Малые Крынки, Глушково, Верхняя И Нижняя Мануйловка, Ченакаливка, Ненадиха-Павловка, Лутовиновка и на отдельных участках вышли к реке Днепр.</w:t>
      </w:r>
    </w:p>
    <w:p w14:paraId="3FD8F603"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продолжая вести наступательные бои, вышли на отдельных участках к реке Днепр.</w:t>
      </w:r>
    </w:p>
    <w:p w14:paraId="0162A59D"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продолжая развивать успешное наступление, продвинулись вперёд от 12 до 18 километров и овладели городом Сураж, городом и железнодорожным узлом Ново3ыбков, городом Злынка, районным центром Черниговской области Репки, а также заняли свыше 300 других населённых пунктов, среди которых крупные населённые пункты Ботаево, Селецкое, Душатин, Гудовка, Графовка, Даниловка, Фёдоровка, Чёрноручей, Великий Бор, Гута-Корецкая, Веприн, Внуковичи, Шеломы, Новое Место, Малый Вышков, Денисовичи, Лысые, Плутовка, Деревины, Перепис, Ильмовка, Владимировка, Александровка, Анновка, Даничи, Убежичи, Петруши, Зубахи, Духовщина.</w:t>
      </w:r>
    </w:p>
    <w:p w14:paraId="4078275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развивать успешное наступление и, продвинувшись вперёд от 15 до 25 километров, овладели районными центрами Смоленской области Монастырщина, Стодолище, Ершичи, районным центром Могилёвской области Хотимск, а также заняли свыше 250 других населённых пунктов, среди которых крупные населённые пункты Милявица, Литвиновка, Тростянка, Слобода, Щемиловка, Власково, Цыгановка, (20 километров западнее Рославля), Гневково, Пустосел, Криволес, Дубровка, Пустая Буда, Ломня, Старина, Васильевка.</w:t>
      </w:r>
    </w:p>
    <w:p w14:paraId="5C89198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наступательные бои и, продвинувшись на отдельных участках вперёд от 6 до 11 километров, овладели районным центром Смоленской области Каспля, а также заняли свыше 200 других населённых пунктов, среди которых крупные населённые пункты Даровая, Биляты, Холмы 1-Е, Будница, Пунищи, Семёново, Большие и Малые Жары,</w:t>
      </w:r>
    </w:p>
    <w:p w14:paraId="12A44F5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Агапоново, Каменка, Мамленки, Шеломец, Гнездово, Софьино, Бублевщина, Ледохово, Домарацкий, Усохи, Кузнецово.</w:t>
      </w:r>
    </w:p>
    <w:p w14:paraId="4483AE0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сентября наши войска на всех фронтах подбили и уничтожили 40 немецких танков. В воздушных боях и огнём зенитной артиллерии сбито 28 самолетов противника.</w:t>
      </w:r>
    </w:p>
    <w:p w14:paraId="0AB7B64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продолжали наступление. Противник сильным огнём и контратаками пытался задержать наши наступающие части, но потерпел неудачу. Советские войска, подавив огневые точки противника, продвинулись вперёд иовладели несколькими населёнными пунктами. Бойцы Н-ской части, овладев одним населённым пунктом, уничтожили 200 гитлеровцев и захватили 9 орудий, 46 пулемётов, 30 автомашин и большое количество боеприпасов. На другом участке Н-ская часть совместно с подразделениями морской пехоты после упорных боёв овладела крупным населённым пунктом Благовещенская. В бою за этот пункт уничтожено до батальона гитлеровцев. Захвачены большие трофеи, в числе которых 12 немецких танков.</w:t>
      </w:r>
    </w:p>
    <w:p w14:paraId="44D7BD8B"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Черноморского флота потопила одиннадцать быстроходных десантных барж, три сухогрузных баржи и пять понтонов противника. В воздушных боях за день сбито10 немецких самолётов.</w:t>
      </w:r>
    </w:p>
    <w:p w14:paraId="238F66D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противник, опираясь на развитую систему инженерных сооружений, оказывал упорное сопротивление. Части Н-ского соединенияпрорвали оборону немцев и овладели рядом сильно укреплённых позиций. Гитлеровцы, пытаясь вернуть эти позиции, предприняли одну за другой свыше десяти контратак, переходивших в рукопашные схватки. Наши бойцы истребили свыше 1.000 вражеских солдат и офицеров, подбили 8 немецких танков и отбросили противника.</w:t>
      </w:r>
    </w:p>
    <w:p w14:paraId="4F695525"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продолжали наступление и заняли свыше 70 населённых пунктов. Бойцы Н-ского соединения, сломив сопротивление немцев, сбросили в Днепр остатки разбитых частей противника. На поле боя осталось свыше 600 трупов солдат и офицеров. Кроме того, большое количество немцев утонуло в реке. Захвачено 14 орудий и много другого вооружения, брошенного немцами при поспешном отступлении.</w:t>
      </w:r>
    </w:p>
    <w:p w14:paraId="16F43CC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противник в течение дня бросал в бой крупные силы пехоты и танков, пытаясь вернуть утерянные им вчера позиции в районе города Бровары. Части Н-ского соединения отбили все контратаки немцев и вновь продвинулись вперёд. За день боёв уничтожено более 800 немецких солдат и офицеров, подбито и сожжено 5 танков. Южнее Переяслава наши войска, продвигаясь к Днепру, встретили сопротивление группы войск противника. Части Н-ского соединения разгромили вражескую группу, а её остатки прижали к реке. В ожесточённой схватке наши бойцы уничтожили сопротивлявшихся гитлеровцев, а более 200 немцев, сложивших оружие, взяли в плен.</w:t>
      </w:r>
    </w:p>
    <w:p w14:paraId="32CBFA4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решительной атакой заняли город и железнодорожный узел Новозыбков. Не давая противнику опомниться, советские бойцы стремительно продвинулись вперёд и овладели городом Злынка — районным центром Орловской области. В этих боях наши войска уничтожали 1.800 немецких солдат и офицеров. Захвачено много вооружения, 4 склада боеприпасов, 2 склада с зерном, 2 склада с продовольствием, склады с обувью, горючим и смазочными материалами и 2 железнодорожных эшелона с военной техникой. На другом участке части Н-ского соединения, ломая сопротивление противника, продвигались вперёд и заняли районный центр Черниговской области Репки, а также многие другие населённые пункты.</w:t>
      </w:r>
    </w:p>
    <w:p w14:paraId="564C5B4A"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Могилевском направлении наши войска, развивая успешное наступление, вступили в пределы Белорусской республики. Части Н-ского соединения овладели городом Хотимск — районным центром Могилевской области. На другом участке наши войска заняли город Сураж — районный центр Орловской области. В этих боях подбито и сожжено 17 немецких танков и уничтожено до полка пехоты противника. Нашими частями захвачено у немцев 20 орудий, 6 шестиствольных миномётов, несколько складов с боеприпасами и 7 железнодорожных эшелонов с военным имуществом. Взято 80 пленных.</w:t>
      </w:r>
    </w:p>
    <w:p w14:paraId="4A57114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наступательные бои, в ходе которых освободили от немецко-фашистских захватчиков свыше 200 населённых пунктов. Части Н-ского соединения с боем форсировали реву Вихра. Бойцы другой нашей части вышли к реке Остёр, переправились на её западный берег и заняли несколько населённых пунктов. Северо-западнее Смоленска части Н-ского соединения заняли районный центр Смоленской области — Каспля, в боях за который уничтожено до батальона гитлеровцев. Захвачено у противника 16 орудий, 37 автомашин и несколько складов с военными материалами. Взяты пленные.</w:t>
      </w:r>
    </w:p>
    <w:p w14:paraId="093DCF9F"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Барановичской области, за последние пять дней пустил под откос три немецких воинских эшелона, в том числе один эшелон с танками. В результате крушения разбито 3 паровоза, 37 вагонов и 13 платформ. Группа партизан другого отряда проникла на крупную железнодорожную станцию и взорвала депо и два паровоза.</w:t>
      </w:r>
    </w:p>
    <w:p w14:paraId="2352B48C"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ефрейтор 4 румынской горнострелковой дивизии Георге Т. рассказал: «В середине августа нашу дивизию перебросили из Крыма в район Новороссийска. Двести солдат из разных рот и батальонов категорически отказались переправляться через Керченский пролив. Они заявили: «Делайте с нами что хотите, но мы воевать больше не будем». Как только немецкое командование узнало о волнениях в дивизии, оно предложило румынским офицерам принять крутые меры против «бунтовщиков». Вскоре в наше расположение прибыл отряд немецких автоматчиков и начал вылавливать солдат, отказавшихся ехать наТаманский полуостров. Многих солдат и некоторых румынских офицеров немцы арестовали и увезли в неизвестном направлении» (14781).</w:t>
      </w:r>
    </w:p>
    <w:p w14:paraId="36E511A9"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0CE36015"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в 1943 году войска Брянского фронта начали освобождение Белоруссии (14781).</w:t>
      </w:r>
    </w:p>
    <w:p w14:paraId="09E9B763"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662CF57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в 1943 году войска Воронежского фронта форсировали реку Днепр в 20 км севернее Киева и захватили плацдарм на правом берегу (14781).</w:t>
      </w:r>
    </w:p>
    <w:p w14:paraId="65D14E96"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29C0BC7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в 1943 году началась Мелитопольская операция Южного (с 20 октября 4-го Украинский фронт, Ф.И.Толбухин). В результате операции фронт продвинулся на запад и юго-запад на 50 - 320 километров, освободил Мелитополь и Северную Таврию и блокировал с суши крымскую группировку противника. В ходе операции было уничтожено свыше 85 тысяч и взято в плен более 22 тысяч человек. Операция завершилась 5 ноября выходом советских частей к Днепру и к крымским перешейкам (14781).</w:t>
      </w:r>
    </w:p>
    <w:p w14:paraId="620AF141"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58D624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26 сентября по 5 ноября 1943 состоялась Мелитопольская операция ЮФ (с 10 октября - 4У Ф.И.Толбухина). Продвинулись на 50-320 км и вышли к Днепру и Крымским перешейкам (2438,402).</w:t>
      </w:r>
    </w:p>
    <w:p w14:paraId="2A35C8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3286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1943 началась Мелитопольская наступательная операция советских войск (4962).</w:t>
      </w:r>
    </w:p>
    <w:p w14:paraId="4D41510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F5FE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79FD8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4BD6F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1943 ЦК КП(б)У постановил завезти в Донбасс свиней и овец (4962).</w:t>
      </w:r>
    </w:p>
    <w:p w14:paraId="5A82434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5CDA0E" w14:textId="77777777" w:rsidR="00D708C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F26394E" w14:textId="77777777" w:rsidR="00D708CE" w:rsidRPr="00271E51" w:rsidRDefault="00D708C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71469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сентября в 1943 году первый полет опытного образца самолета «Дэ Хэвилленд D.H. 100» "Вампир" с турбореактивным двигателем. Он мог нести два сбрасываемых в полете бака емкостью либо 455 л, либо по 910 л. Взлетный вес самолета возрос с 4750 до 5450 кг. Максимальная скорость самолета составляла 865 км/час на высоте 5300 м, а дальность полета 2230 км на высоте 9000 м.</w:t>
      </w:r>
    </w:p>
    <w:p w14:paraId="7CAE0636" w14:textId="77777777" w:rsidR="00D708CE" w:rsidRPr="00271E51" w:rsidRDefault="00D708CE"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Первый из трех опытных образцов самолетов D.H.100, первоначально именовавшийся "Спайд Крэб", совершил первый полет 26 сентября 1943 г. На этом самолете был установлен турбореактивный двигатель Де Хэвилленд "Гоблин" D.Gn.l с тягой 1230 кг. Первый серийный образец самолета, получивший название "Вампир" F.I, совершил первый полет в апреле 1945 г. Его серийное производство было начато на заводе фирмы "Инглиш электрик" в Престоне. В начале выпуска на самолетах "Вампир" F.1 устанавливался тот же двигатель, что и на опытных образцах. Но начиная с 41 самолета, двигатель был заменен на "Гоблин" D.Gn.2 с тягой 1410 кг. На первых 50 самолетах кабина летчика не была герметической; на последующих же самолетах кабина герметизировалась и запас топлива в их основных топлива баках был увеличен с 915 до 1475 л; кроме того, они оборудовались подвесными, сбрасываемыми в полете баками.</w:t>
      </w:r>
    </w:p>
    <w:p w14:paraId="3B315362" w14:textId="77777777" w:rsidR="00D708CE" w:rsidRPr="00271E51" w:rsidRDefault="00D708CE"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Следующим серийным образцом был истребитель дальнего действия "Вампир" F.З. Самолет "Вампир" F.3, имевший модифицированное хвостовое оперение совершил первый полет 4 ноября 1946 г. Он мог нести два сбрасываемых в полете бака емкостью либо 455 л, либо по 910 л. Взлетный вес самолета возрос с 4750 до 5450 кг. Максимальная скорость самолета составляла 865 км/час на высоте 5300 м, а дальность полета 2230 км на высоте 9000 м (14781).</w:t>
      </w:r>
    </w:p>
    <w:p w14:paraId="6E58A38D" w14:textId="77777777" w:rsidR="00D708CE" w:rsidRPr="00271E51" w:rsidRDefault="00D708CE" w:rsidP="00271E51">
      <w:pPr>
        <w:spacing w:after="0" w:line="240" w:lineRule="auto"/>
        <w:jc w:val="both"/>
        <w:rPr>
          <w:rStyle w:val="ucoz-forum-post"/>
          <w:rFonts w:ascii="Times New Roman" w:eastAsia="Times New Roman" w:hAnsi="Times New Roman"/>
          <w:color w:val="000000" w:themeColor="text1"/>
          <w:sz w:val="16"/>
          <w:szCs w:val="16"/>
        </w:rPr>
      </w:pPr>
    </w:p>
    <w:p w14:paraId="473F2687"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сентября 1943 - Первый полёт многоцелевого истребителя Дэ Хэвилленд D.H.100 Vampire. Первый из трех опытных образцов самолётов D.H.100, первоначально именовавшийся "Спайд Крэб", совершил первый полёт 26 сентября 1943 г. На этом самолёте был установлен турбореактивный двигатель Де Хэвилленд "Гоблин" D.Gn.l с тягой 1230 кг. Первый серийный образец самолёта, получивший название "Вампир" F.I, совершил первый полёт в апреле 1945 г. Его серийное производство было начато на заводе фирмы "Инглиш электрик" в Престоне (22354).</w:t>
      </w:r>
    </w:p>
    <w:p w14:paraId="5CB5EF65" w14:textId="77777777" w:rsidR="00CC32B5" w:rsidRPr="00271E51" w:rsidRDefault="00CC32B5" w:rsidP="00271E51">
      <w:pPr>
        <w:spacing w:after="0" w:line="240" w:lineRule="auto"/>
        <w:jc w:val="both"/>
        <w:rPr>
          <w:rFonts w:ascii="Times New Roman" w:hAnsi="Times New Roman"/>
          <w:color w:val="0070C0"/>
          <w:sz w:val="16"/>
          <w:szCs w:val="16"/>
        </w:rPr>
      </w:pPr>
    </w:p>
    <w:p w14:paraId="4AADD42D"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сентября 1943 один из Ar 234 был показан высшему руководству. Самолет произвел самое благоприятное впечатление, после чего Люфтваффе стали требовать скорейшего начала серийного производства и, мало того, захотели получить на базе разведчика бомбардировщик, истребитель и даже штурмовик. В серию пошла модификация Ar 234В, оснащенная убираемым шасси и двумя фотоаппаратами. На модификации В-1 появился автопилот и стала возможной подвеска топливных баков. Основной серийной модификацией стала В-2, приспособленная для подвески 1 500 кг бомб. Таким образом, Ar 234В-2 мог использоваться в качестве разведчика, самолета-лидера и бомбардировщика. Финальной модификацией должен был стать полноценный бомбардировщик Аr 234В-3, но от него отказались в пользу 4-двигательного Ar 234С, совершившего первый полет 30 сентября 1944 г. На этом конструкторы не остановились и продолжили работу над Ar 234D с ТРД HeS 011, Ar 234F, Е и Р. Последний был проектом 3-местного ночного истребителя и по расчетным данным лишь немного уступал Me 262В-2 (22776).</w:t>
      </w:r>
    </w:p>
    <w:p w14:paraId="09B19E10" w14:textId="77777777" w:rsidR="00CC32B5" w:rsidRPr="00271E51" w:rsidRDefault="00CC32B5" w:rsidP="00271E51">
      <w:pPr>
        <w:spacing w:after="0" w:line="240" w:lineRule="auto"/>
        <w:jc w:val="both"/>
        <w:rPr>
          <w:rFonts w:ascii="Times New Roman" w:hAnsi="Times New Roman"/>
          <w:color w:val="0070C0"/>
          <w:sz w:val="16"/>
          <w:szCs w:val="16"/>
        </w:rPr>
      </w:pPr>
    </w:p>
    <w:p w14:paraId="598746F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5BA5D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A3D2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вышел приказ НКАП N 574с об испытании винтов на 103-В А.Н.Т. в ЛИИ (1835,28).</w:t>
      </w:r>
    </w:p>
    <w:p w14:paraId="2CD5F2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BF6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было дано указание заменить на И-220 № 01 опытный мотор АМ-39 на серийный АМ-38Ф (5669).</w:t>
      </w:r>
    </w:p>
    <w:p w14:paraId="13DDA7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DDCB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6B92E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3C8BED"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27 сентября 1943 дня Артком ГАУ КА утвердил тактико-технические требования на 122 мм пушку для САУ и танков. Орудие предполагалось в двух вариантах — для установки в танки и для установки в САУ. Скорострельность должна была составлять 6-7 выстрелов в минуту. От конструкторов требовалось получить пробитие, позволяющее успешно поражать броню толщиной 200 мм, что прямо намекает на потенциальную цель для такой пушки. Осколочно-фугасный снаряд для неё брался от А-19.</w:t>
      </w:r>
    </w:p>
    <w:p w14:paraId="32D0EABA"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Ситуация с проектом ЦАКБ развивалась по нестандартному сценарию. Согласно переписке, требования бюро получило и с 25 сентября начало работы. Проекту длинноствольной 122-мм пушки был присвоен заводской индекс С-26-1. Впрочем, Грабин решил пойти своим путём. Одновременно с С-26-1 начальник ЦАКБ смог протолкнуть идею создания 130-мм танковой и самоходной пушки на основе баллистики корабельного орудия Б-13. Разработка проекта, получившего индекс С-26, затянулась, утвердили его уже в начале 1944 года. По этой причине базой для С-26 и С-26-1 уже в конце 1943 года стала выступать новая самоходная установка ИСУ-152.</w:t>
      </w:r>
    </w:p>
    <w:p w14:paraId="13C99D11"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Арктом ГАУ КА полагал, что находившиеся на заводе №172 конструкторские бюро будут разрабатывать «длинную руку» для СУ-152 сообща. Но вместо этого КБ завода №172 и ОКБ-172 начали разрабатывать конкурирующие проекты. Первыми с важным заданием справились в ОКБ-172, которое смогло подготовить документацию в рекордно короткие сроки — менее чем за 2 недели. Руководил работами главный конструктор ОКБ-172 по сухопутной артиллерии М.Ю. Цирульников. Как и другие работники «шарашки», он был заключённым, но к моменту начала работ Михаила Юрьевича уже досрочно освободили постановлением ГКО №3612 от 18 июня 1943 года за работу над 45-мм противотанковой пушкой М42. О его освобождении, кстати, ходатайствовал Берия (17716).</w:t>
      </w:r>
    </w:p>
    <w:p w14:paraId="389B5132" w14:textId="77777777" w:rsidR="00180E5C" w:rsidRPr="00271E51" w:rsidRDefault="00180E5C" w:rsidP="00271E51">
      <w:pPr>
        <w:spacing w:after="0" w:line="240" w:lineRule="auto"/>
        <w:jc w:val="both"/>
        <w:rPr>
          <w:rFonts w:ascii="Times New Roman" w:eastAsia="Times New Roman" w:hAnsi="Times New Roman"/>
          <w:color w:val="000000" w:themeColor="text1"/>
          <w:sz w:val="16"/>
          <w:szCs w:val="16"/>
          <w:lang w:eastAsia="ru-RU"/>
        </w:rPr>
      </w:pPr>
    </w:p>
    <w:p w14:paraId="3986B1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вышло Постановление ГКО № 4204 О приемке в эксплуатацию мощной радиовещательной станции в районе города Куйбышева. (7096, 116-118).</w:t>
      </w:r>
    </w:p>
    <w:p w14:paraId="7F580A8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98D5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27-29 сентября 1943 И.В. Курчатов и А.И. Алиханов были выбраны в действительные члены АН СССР на общем собрании Академии по Отделению физико-математических наук (академик-секретарь отделения - А.Ф. Иоффе) (10549).</w:t>
      </w:r>
    </w:p>
    <w:p w14:paraId="5555B8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A66C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C9515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72B7A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в 1943 году оперативная сводка Совинформбюро:</w:t>
      </w:r>
    </w:p>
    <w:p w14:paraId="71FBB158"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наши войска, сломив сопротивление противника, овладели городом Темрюк.</w:t>
      </w:r>
    </w:p>
    <w:p w14:paraId="5FCF619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продолжая наступление, на левом берегу реки Днепра овладели пригородом города Днепропетровск— Нижнеднепровск, а также заняли крупные населённые пункты Новый и Старый Орлик, Карпенки, Шульговка, Паньковка, Куриловка, Николаевка, Кировский, Фрунзенский, Подгородное, Осиповка, Красноармейский, Огрень, Чапли, Любимовка, Васильевка, Ясеноватый, Ульяновка.</w:t>
      </w:r>
    </w:p>
    <w:p w14:paraId="31E00253"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продолжая развивать наступление, овладели районным центром Полтавской области Козельщина, а также заняли свыше 200 других населённых пунктов, в том числе крупные населённые пункты Лащевка, Демьяновка, Липовое, Буромка, Лысовка, Пузиково, Фрунзовка, Манжелия, Книшевка, Василивка, Кривая Руда, Пришиб, Колеберда, Солошино, Переволочная.</w:t>
      </w:r>
    </w:p>
    <w:p w14:paraId="79C5F886"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наступление и заняли более 30 населённых пунктов, в том числе районные центры Полтавской области Чернобай, Ирклеев.</w:t>
      </w:r>
    </w:p>
    <w:p w14:paraId="3ADC2CBC"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продолжая развивать успешное наступление, продвинулись вперёд от 12 до 15 километров и заняли более 230 населённых пунктов, среди которых районный центр Гомельской области и железнодорожная станция Тереховка, районные центры Черниговской области Добрянка, Любечь и крупные населённые пункты Белынковичи, Бароньки, Мошевое, Вишенки, Струговская Буда, Гордеевка, Перетин, Кожаны, Верещаки, Старый Вышков,Очеса-Рудня, Крупец, Жгуны, Носовичи, Гордуны, Маковье, Марковичи, Грабово, Радуль, Мысы, Редьковка, Губичи, Дымарка, Неданчичи.</w:t>
      </w:r>
    </w:p>
    <w:p w14:paraId="2BACEC1C"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продолжая развивать наступление, продвинулись вперёд от 10 до 15 километров и овладели районными центрами Смоленской области Хиславичи, Шумячи, а также заняли свыше 350 других населённых пунктов, среди которых крупные населённые пункты Сусловичи, Досугово, Боссианы, Глобково, Заступово, Шевердино, Зальково, Слобода, Дербино, Михайловка, Гоголевка, Замошье, Александровка, Старая Буда, Захарьино, Первомайский, Петровичи, Косачёвка, Загустино, Микуличи, Палицкая, Савка, Пислятин, Хотимча, Малая и Большая Муховка.</w:t>
      </w:r>
    </w:p>
    <w:p w14:paraId="23EAB06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и, продвинувшисьна отдельных участках вперёд от 5 до 15 километров, заняли свыше 290 населённых пунктов, среди которых крупные населённые пункты Силуяново, Фощево, Сельцо, Ясеновики, Лойна, Степанюги, Волоковая, Желуды. Тишино, Архиповка, Михайловка, Волково, Ржавка, Буяново, Храпово и железнодорожные станции Гнездово, Катынь, Уприно.</w:t>
      </w:r>
    </w:p>
    <w:p w14:paraId="7D7E757F"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26 сентября наши войска на всех фронтах подбили и уничтожили 59 немецких танков. В воздушных боях и огнём зенитной артиллерии сбит 51 самолёт противника.</w:t>
      </w:r>
    </w:p>
    <w:p w14:paraId="776E82AB"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Кубани противник, выбитый нашими войсками с рубежа в районе Курчанской, пытался укрепиться на высотах, лежащих на пути к городу Темрюк. Западнее Темрюка наши войска высадили морской десант и перерезали немцам пути отхода. Одновременно бойцы Н-ской части форсировали Курчанский Лиман и смелым обходным манёвром ударили во фланг немецкой группировке. Этот внезапный удар из плавней дезорганизовал оборону противника. Советские бойцы ворвались в расположение немцев и после ожесточённого боя заняли город и порт Темрюк. Захвачено много трофеев и 400 пленных. На другом участке наши части, продвигаясь вперёд, уничтожили более 600 солдат и офицеров противника. Захвачено 30 орудий и миномётов, 160 пулемётов, 400 автоматов, 6 радиостанций и 6 складов боеприпасов.</w:t>
      </w:r>
    </w:p>
    <w:p w14:paraId="6597CBEF"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непрерывно штурмовала немецкие войска и уничтожила более 100 автомашин, несколько танков и до батальона гитлеровцев.</w:t>
      </w:r>
    </w:p>
    <w:p w14:paraId="0B778CBC"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Днепропетровском направлении наши войска овладели пригородом города Днепропетровска — Нижнеднепровск (на левом берегу реки Днепр). Противник особенно упорно оборонял железнодорожную станцию Нижнеднепровск и предпринимал неоднократные контратаки. Бойцы Н-ского соединения сегодня после ожесточённых уличных боёв, переходивших в рукопашные схватки, очистили Нижнеднепровск от немецко-фашистских захватчиков. Захвачено много вооружения и военных материалов, которые немцы не успели переправить через Днепр. На другом участке мотопехота и танки противника при поддержке большого количества самолётов перешли в контратаку. К исходу дня после упорного боя гитлеровцы были отброшены. Советские части уничтожили более 800 солдат и офицеров противника, сожгли и подбили 37 немецких танков и 2 самоходных орудия «Фердинанд».</w:t>
      </w:r>
    </w:p>
    <w:p w14:paraId="045EB3E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21 немецкий самолёт.</w:t>
      </w:r>
    </w:p>
    <w:p w14:paraId="40289A2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успешно продвигаясь вперёд, заняли свыше 200 населённых пунктов. Советские войска наносят противнику непрерывные удары и гонят его к Днепру. В течение дня уничтожено не менее двух батальонов гитлеровцев. Захвачены две артиллерийских батареи, обоз с боеприпасами и другие трофеи. На отдельных участках наши части, выйдя к Днепру, уничтожили и пленили разрозненные группы немцев на левом берегу реки.</w:t>
      </w:r>
    </w:p>
    <w:p w14:paraId="70AFBAD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преодолевая сопротивление противника, успешно продвигались вперёд. Части Н-ского соединения выбили немцев из районного центра Гомельской области Тереховка и уничтожили до 1.000 вражеских солдат и офицеров. Подбито и сожжено 11 немецких танков. Захвачено 16 орудий, 2 склада боеприпасов, 2 склада с продовольствием, и большой гурт скота. Взято свыше 150 пленных.</w:t>
      </w:r>
    </w:p>
    <w:p w14:paraId="209EB12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развивать наступление и освободили от немецких захватчиков свыше 350 населённых пунктов. Отступая под ударами советских войск, немцы несут большие потери и бросают оружие, боеприпасы и военные материалы. За день боёв уничтожено до 2.000 солдат и офицеров противника и взято значительное число пленных. Нашими частями захвачено 32 танкетки, 6 бронемашин, 25 орудий, 28 тракторов-тягачей, 240 автомашин, 25 паровозов, 40 платформ, более 100 вагонов и цистерн, 5 складов и другие трофеи.</w:t>
      </w:r>
    </w:p>
    <w:p w14:paraId="02FFEFA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Стремительно продвигаясь вперёд, наши части срывают попытки немцев насильно угнать мирных жителей. В одном районе наши бойцы освободили несколько больших групп советских граждан, общей численностью в 25 тысяч человек, которых немцы угоняли на каторжные работы в Германию.</w:t>
      </w:r>
    </w:p>
    <w:p w14:paraId="2F9AA20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и, продвигаясь вперёд, заняли свыше 290 населённых пунктов. Бойцы Н-ского соединения уничтожили 700 гитлеровцев и захватили 15 орудий, 40 пулемётов, 2 склада боеприпасов и различное военное имущество. Западнее Смоленска противник, опираясь на выгодные естественные рубежи: реки, овраги и высоты, оказывал упорное сопротивление. Наши войска, отбрасывая немцев на запад, продвинулись вперёд до 15 километров, овладели многими населёнными пунктами и несколькими железнодорожными станциями.</w:t>
      </w:r>
    </w:p>
    <w:p w14:paraId="5A45D84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Краснознамённого Балтийского флота потопили в Балтийском моретранспорт противника водоизмещением в 8 тысяч тонн.</w:t>
      </w:r>
    </w:p>
    <w:p w14:paraId="448628EE"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Каменец-Подольскойобласти, 11 сентября взорвал следовавший на запад немецкий поезд с награбленным у населения зерном. В это время к месту крушения подошёл встречный эшелон свойсками и с хода врезался в обломки взорванного товарного состава. Полностью разбиты 2 паровоза, 15 вагонов с хлебом и 29 классных вагонов. Двое суток немцы расчищали и восстанавливали пути. Партизанская разведка установила, что из-под обломков вагонов было извлечено много убитых и раненых гитлеровцев.» (14782).</w:t>
      </w:r>
    </w:p>
    <w:p w14:paraId="69DCFAD7"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5D8FF5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года девяносто самолетов из 1-й ГСАД (7-я Воздушная Армия) и нескольких североморских авиаполков совершили массированный налет н аэродром Луостари. Советские источники утверждают, что немцы были застигнуты врасплох и не успели поднять в воздух ни одного самолета. Потеряв 5 машин, советская авиация уничтожила на земле 20 немецких самолетов. Немецкие источники утверждают, что в тот день потери составили только 12 машин (2691).</w:t>
      </w:r>
    </w:p>
    <w:p w14:paraId="76D4AD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CA1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по приказу наркома ВМФ Н.Кузнецова была проведена очередная воздушная операция против Констанцы. Участвовали в ней летчики 36-го МТАП, которым командовал Герой Советского Союза п/п-к А.Ефремов. Для выполнения задания он отобрал шесть наиболее подготовленных экипажей и выделил еще один для последующего о фотоконтроля результатов рейда. Возглавил группу зам. командира полка п/п-к Ш.Бидзинашвили, который начал войну во главе 1-го МТАП на Балтике, уже в 1941 г. был удостоен двух орденов Красного Знамени, но по до сих пор не выясненным причинам через два года оказался на другом флоте и на более низкой должности. Согласно выписке из журнала боевых действий 36го МТАП, в 11.00 с аэродрома Геленджик поднялись семь торпедоносцев А-20. В экипаж Ш.Бидзинашвили входили штурман полка гв. к-н Ш.Кордонский, стрелок мл. с-т П.Бородин И и радист с-т А.Кузнецов. Известен состав и других экипажей: "командир м-р А.Фокин, штурман кн Г.Писарев, стрелок радист ст.л-т В.Андреев; командир кн В.Левашов, штурман лт В.Ярыгин, стрелок-радист мл.с-т М.Еремеев; командир ст. л-т В.Рукавицын, штурман мл.лт П.Поярков, стрелок-радист старшина Г.Вертюков; командир с-т. лт А.Рыхлов, штурман ст. л-т А.Клюшин, стрелок радист В.Степашко; командир мл. л-т М.Дюков, штурман л-т И.Недужко, стрелок радист с-т П.Миронов. Седьмой машиной командовал л-т Б.Маслов, а его штурманом был л-т М.Жосан. Большая часть летчиков имела на своем счету по 150-170 боевых вылетов, причем Фокин участвовал в налетах на Берлин в августе 1941 г. Кордонский в июле-августе того же года отличился при налетах на Плоешти (2694). Операция была задумана очень дерзко. Самолетам предстояло пройти над морем более 800 км без истребительного прикрытия и нанести удар по хорошо защищенному объекту. Поэтому ставка делалась на внезапность. Для обеспечения скрытности экипажи на маршруте радиообмен не вели. Торпедоносцы первое время шли на высоте 500-600 м, а затем еще более снизились. Так как предполагалась возможность радиолокационного обнаружения, самолеты несколько раз меняли курс, имитируя атаку на болгарский порт Бургас, затем отвернули на север и пошли на реальную цель. Однако трагический исход рейда предопределила неожиданная встреча на подлете к Констанце с немецкой летающей лодкой. Противник был оповещен о приближении советских самолетов и успел задействовать все имеющиеся силы для отражения налета. Выйдя к порту, "Бостоны" натолкнулись на сильный зенитный огонь береговых батарей и кораблей, а в воздухе их атаковали новейшие румынские истребители YАR 80 из 53-й эскадрильи (2694). Оценки итогов этого налета по советским данным и данным румын и немцев расходятся кардинально. В боевом донесении штаба 36-го МТАП говорится, что экипажи Бидзинашвили и Фокина потопили по транспорту, а Рукавицына и Рыхлова по миноносцу. Источники противной стороны не подтверждают какие-либо потери плавсредств и боевых кораблей. Много неясного и в оценке потерь торпедоносцев. По официальным советским данным, над целью погибли самолеты Бидзинашвили и Дюкова, а машина В.Левашова была подбита и ушла в сторону моря, но над Крымом ее уничтожили немецкие истребители. Во всяком случае, на свою базу вернулся только один самолет, и еще один смог дотянуть до другого кавказского аэродрома, где совершил вынужденную посадку, имея более 300 пробоин. Румыны претендуют на то, что в районе базы их истребители сбили три Ил-4 (!?), а зенитки два таких же самолета. Еще один торпедоносец был подбит и сел на вынужденную, причем летчик и штурман застрелились, а стрелок попал в плен (имеется в виду экипаж Дюкова) (2694).</w:t>
      </w:r>
    </w:p>
    <w:p w14:paraId="5D7A4F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EDE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27, 1943: General withdrawal of all German forces in the Ukraine to positions on the west bank of the Dnepr river (3819).</w:t>
      </w:r>
    </w:p>
    <w:p w14:paraId="44CC51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65DF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все немецкие силы были отведены за Днепр (3819).</w:t>
      </w:r>
    </w:p>
    <w:p w14:paraId="784929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3367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10E0B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C35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года было получено:</w:t>
      </w:r>
    </w:p>
    <w:p w14:paraId="7F2354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СТАЛИНУ</w:t>
      </w:r>
    </w:p>
    <w:p w14:paraId="09764F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Я обдумывал нашу встречу глав правительств в Тегерана Должны быть проведены надежные подготовительные мероприятия для обеспечения безопасности в этом до некоторой степени слабо контролируемом районе. Поэтому я вношу на Ваше рассмотрение предложение, чтобы я провел в Каире приготовления в отношении размещения, безопасности и т. д., которые обязательно будут замечены, несмотря на все явные усилия сохранить их в тайне. Потом, возможно лишь за два или за три дня до нашей встречи, мы бросим британскую и русскую бригады вокруг подходящего района в Тегеране, включая аэродром, и будем держать этот район абсолютно закрытым до тех пор, пока мы не закончим наших бесед. Мы не будем ставить в известность Иранское Правительство и не будем делать никаких приготовлений для нашего размещения, пока не наступит этот момент. Нам, конечно, будет необходимо контролировать абсолютно все исходящие сообщения. Таким образом, мы будем, </w:t>
      </w:r>
      <w:r w:rsidRPr="00271E51">
        <w:rPr>
          <w:rFonts w:ascii="Times New Roman" w:hAnsi="Times New Roman"/>
          <w:color w:val="000000" w:themeColor="text1"/>
          <w:sz w:val="16"/>
          <w:szCs w:val="16"/>
        </w:rPr>
        <w:lastRenderedPageBreak/>
        <w:t>иметь эффективную ширму от мировой прессы, а также от каких-либо неприятных людей, которым, мы не так нравимся, как должны были бы нравиться.</w:t>
      </w:r>
    </w:p>
    <w:p w14:paraId="1AC7F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 предлагаю- также, чтобы во всей будущей переписке по этому вопросу мы пользовались выражением “Каир-Три” вместо Тегерана, который должен быть похоронен, а также, что условным обозначением для этой операции должно быть слово “Эврика”, являющееся, как ж полагаю, древнегреческим. Если у Вас имеются другие соображения, дайте мне знать, и мы тогда сможем изложить их Президенту. Я еще ничего не сообщил ему по этому вопросу (7430).</w:t>
      </w:r>
    </w:p>
    <w:p w14:paraId="048851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7B6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вышло Постановление ГКО О№ 4205 заключении договора на техническую помощь с американской фирмой "Дженерал Электрик".РГАНИР, Фонд ГКО, д. 153, лл. 119 (11012).</w:t>
      </w:r>
    </w:p>
    <w:p w14:paraId="491912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5DC0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30073C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42441CD"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 сентября 1943 ВМС США официально прекращают свою программу создания планеров- амфибий, придя к выводу, что планеры нецелесообразны для высадки сил Корпуса морской пехоты США на плацдармы (20376).</w:t>
      </w:r>
    </w:p>
    <w:p w14:paraId="1DFD0DAC" w14:textId="77777777" w:rsidR="002877BD" w:rsidRPr="00271E51" w:rsidRDefault="002877BD" w:rsidP="00271E51">
      <w:pPr>
        <w:spacing w:after="0" w:line="240" w:lineRule="auto"/>
        <w:jc w:val="both"/>
        <w:rPr>
          <w:rFonts w:ascii="Times New Roman" w:hAnsi="Times New Roman"/>
          <w:color w:val="0070C0"/>
          <w:sz w:val="16"/>
          <w:szCs w:val="16"/>
        </w:rPr>
      </w:pPr>
    </w:p>
    <w:p w14:paraId="10023BCE"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27–28 сентября (ночь) 1943 678 британских бомбардировщиков и 5 "Летающих крепостей" B-17 ВВС США наносят удар по Ганноверу, Германия, в основном поражая открытые сельские районы и деревни к северу от города. Тридцать восемь британских самолетов (5,6 процента сил) и один B-17 потеряны (20376).</w:t>
      </w:r>
    </w:p>
    <w:p w14:paraId="40BD09C7" w14:textId="77777777" w:rsidR="002877BD" w:rsidRPr="00271E51" w:rsidRDefault="002877BD" w:rsidP="00271E51">
      <w:pPr>
        <w:spacing w:after="0" w:line="240" w:lineRule="auto"/>
        <w:jc w:val="both"/>
        <w:rPr>
          <w:rFonts w:ascii="Times New Roman" w:hAnsi="Times New Roman"/>
          <w:color w:val="0070C0"/>
          <w:sz w:val="16"/>
          <w:szCs w:val="16"/>
        </w:rPr>
      </w:pPr>
    </w:p>
    <w:p w14:paraId="2F2CFD1F"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27–28 сентября (ночь) 1943 налет 27 других британских бомбардировщиков на Брауншвейг проразил 218 человек при потере одного Ланкастера (20376).</w:t>
      </w:r>
    </w:p>
    <w:p w14:paraId="6BF76254" w14:textId="77777777" w:rsidR="002877BD" w:rsidRPr="00271E51" w:rsidRDefault="002877BD" w:rsidP="00271E51">
      <w:pPr>
        <w:spacing w:after="0" w:line="240" w:lineRule="auto"/>
        <w:jc w:val="both"/>
        <w:rPr>
          <w:rFonts w:ascii="Times New Roman" w:hAnsi="Times New Roman"/>
          <w:color w:val="0070C0"/>
          <w:sz w:val="16"/>
          <w:szCs w:val="16"/>
        </w:rPr>
      </w:pPr>
    </w:p>
    <w:p w14:paraId="0C842914"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27–28 сентября (ночь) 1943 немецкий ас ночных истребителей гауптман Ханс-Дитер Франк погиб в столкновении с другим ночным истребителем над Ганновером поздно вечером 27-го; его счет составляет 55 побед на момент его смерти (20376).</w:t>
      </w:r>
    </w:p>
    <w:p w14:paraId="4528A1C8" w14:textId="77777777" w:rsidR="002877BD" w:rsidRPr="00271E51" w:rsidRDefault="002877BD" w:rsidP="00271E51">
      <w:pPr>
        <w:spacing w:after="0" w:line="240" w:lineRule="auto"/>
        <w:jc w:val="both"/>
        <w:rPr>
          <w:rFonts w:ascii="Times New Roman" w:hAnsi="Times New Roman"/>
          <w:color w:val="0070C0"/>
          <w:sz w:val="16"/>
          <w:szCs w:val="16"/>
        </w:rPr>
      </w:pPr>
    </w:p>
    <w:p w14:paraId="2099B4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September 27, 1943. P-47s with belly tanks go the whole distance with Eighth Air Force bombers for a raid on Emden, Germany (1089).</w:t>
      </w:r>
    </w:p>
    <w:p w14:paraId="43B9B9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0FF5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Р-47 с подвесными баками сопровождали английские бомбардировщики в ходе всей операции по бомбежке Эмдена в Германии (1089).</w:t>
      </w:r>
    </w:p>
    <w:p w14:paraId="4A4E8C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B76B8"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в 1943 году после выхода из войны Италии Германия и Япония опубликовали декларацию, в которой подтверждалась верность двух держав Тройственному Пакту (14782).</w:t>
      </w:r>
    </w:p>
    <w:p w14:paraId="2FB64DC2"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7FD1C7F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в 1943 году (27 сентября – 9 октября) 22 немецкие подводные лодки неудачно атаковали англо-американские конвои в Северной Атлантике. Было потеряно 7 лодок и потоплен эскадренный миноносец (14782).</w:t>
      </w:r>
    </w:p>
    <w:p w14:paraId="2DF058CB"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788B4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началось антигитлеровское сопротивление в Неаполе (3481).</w:t>
      </w:r>
    </w:p>
    <w:p w14:paraId="115BEE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7281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по приказу Чан Кайши казнен Мао Цземинь, брат Мао Цзедуна (4962).</w:t>
      </w:r>
    </w:p>
    <w:p w14:paraId="6F2AA9D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C1832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4D05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DF82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г. вышел акт по государственным испытаниям Ил-2И (зав. № 7581) производства завода № 1, в котором отмечалось, что: &lt;&lt; Самолеты Ил-2И могут быть использованы для борьбы только с некоторыми типами бомбардировочных и транспортных самолетов противника, имеющих сравнительно небольшие скорости (He-111, Fw-200, Ju-87, Ju-52) на высотах ниже 4000 м, однако самолеты Fw-200 могут уходить от атак Ил-2И набором высоты за счет лучшей скороподъемности. Ил-2И может атаковать более скоростные бомбардировщики Ju-88 и Do-215 только случайно, так как последние, за счет большей скорости, всегда имеют возможность уйти от Ил-2И. Вести активную борьбу с истребителями противника самолет Ил-2И не может" (7442).</w:t>
      </w:r>
    </w:p>
    <w:p w14:paraId="449F94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Ил-2И как истребитель бомбардировщиков и транспортных самолетов явно не состоялся, а все главные качества чистого штурмовика - потерял (7442).</w:t>
      </w:r>
    </w:p>
    <w:p w14:paraId="390D8D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к этому времени немцы практически не применяли на восточном фронте современные бомбардировщики с высокими летными данными и мощным оборонительным вооружением (главным образом модификации Ju88), сделав упор на использовании истребителей-бомбардировщиков Fwl90G и истребителей-штурмовиков Fwl90F, для борьбы с которыми вполне подходили стоявшие на вооружении "лавочкины" и "Яковлевы", то интерес военных к бронированному истребителю фактически исчез. В акте утверждения отчета по государственным испытаниям Ил-2И Главнокомандующий ВВС КА А.А.Новиков наложил резолюцию: м Считать, что дальнейшая постройка Ил-2И в варианте истребителя и установка мотора АМ-42 (Постановление ГКО № 3336 от 17,05.43 г.) на истребительный вариант Ил-2 нецелесообразна" (7442).</w:t>
      </w:r>
    </w:p>
    <w:p w14:paraId="580430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312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С.В.Ильюшин понял, что работу по Ил-1 АМ-42 следует доворачивать под создание нового маневренно-скорост-ного двухместного бронированного штурмовика (7442).</w:t>
      </w:r>
    </w:p>
    <w:p w14:paraId="436D59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С.В.Ильюшин предложил имеющийся задел по Ил-2 АМ-42 использовать для постройки штурмовика в варианте артиллерийского разведчика и корректировщика, дополнительно оборудовав его серийной турель-ной фотоустановкой с двумя АФА, и в таком виде предъявить на госиспытания. Однако решения руководства не последовало, и самолет в этом виде не доводился (7442).</w:t>
      </w:r>
    </w:p>
    <w:p w14:paraId="55147D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от разработки одноместного варианта штурмовика с мотором АМ-42 мог быть не совсем оправданным (7442).</w:t>
      </w:r>
    </w:p>
    <w:p w14:paraId="0E1BEB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C3C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N 4210 об организации переоборудования Ла-5 в учебные двухместные с двойным управлением (945,166).</w:t>
      </w:r>
    </w:p>
    <w:p w14:paraId="1C1D14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942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28 сентября 1943 г закончили статические испытания опытной моторамы, разработанной на авиарембазе № 405 для замены BMW-132 на М-62ИР на трофейных Ю-52. В октябре-ноябре велась переделка одного “юнкерса” под пару М-62ИР, но неизвестно, была ли она завершена. По-видимому, в связи с увеличением количества трофейных двигателей и освоением у нас производства запчастей к ним интерес к подобной модификации угас (6393).</w:t>
      </w:r>
    </w:p>
    <w:p w14:paraId="382DD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0A6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состоялось заседание коллегии НКАП о поточных методах производства (1739).</w:t>
      </w:r>
    </w:p>
    <w:p w14:paraId="09BE07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F95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года вышел приказ № 462 НКАП</w:t>
      </w:r>
    </w:p>
    <w:p w14:paraId="08C729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ЦИАМ из Уфы перевести в Москву (8924).</w:t>
      </w:r>
    </w:p>
    <w:p w14:paraId="5B7F63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8609D"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96F2D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163C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года вышел приказ НКВ № 499с</w:t>
      </w:r>
    </w:p>
    <w:p w14:paraId="1C9D367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Приступить к подготовительным работам по восстановлению завода оптического стекла в Изюме, временно присвоив ему № 354ф (6417, 101).</w:t>
      </w:r>
    </w:p>
    <w:p w14:paraId="56401C8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A1AD33"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28 сентября 1943  г. выходит Приказ НКВ №  499с о реэвакуации ЗОС: «Приступить к подготовительным работам по восстановлению завода оптического стекла в Изюме, временно присвоив ему № 354ф.</w:t>
      </w:r>
    </w:p>
    <w:p w14:paraId="1E7E5F29" w14:textId="77777777" w:rsidR="00CC32B5" w:rsidRPr="00271E51" w:rsidRDefault="00CC32B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Возобновить в ноябре 1943  г. производство оптического стекла на базе бывш. завода №  354 в Ленинграде с присвоением этому заводу № 586 (22791)».</w:t>
      </w:r>
    </w:p>
    <w:p w14:paraId="7115755E" w14:textId="77777777" w:rsidR="00CC32B5" w:rsidRPr="00271E51" w:rsidRDefault="00CC32B5" w:rsidP="00271E51">
      <w:pPr>
        <w:spacing w:after="0" w:line="240" w:lineRule="auto"/>
        <w:jc w:val="both"/>
        <w:rPr>
          <w:rFonts w:ascii="Times New Roman" w:hAnsi="Times New Roman"/>
          <w:color w:val="0070C0"/>
          <w:sz w:val="16"/>
          <w:szCs w:val="16"/>
        </w:rPr>
      </w:pPr>
    </w:p>
    <w:p w14:paraId="7493F71B" w14:textId="77777777" w:rsidR="00180E5C" w:rsidRPr="00271E51" w:rsidRDefault="00180E5C"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28 сентября 1943 года завод № 627 предложил проект тяжёлого танка ТЭТ с электрической трансмиссией. Первый его вариант имел боевую массу 50–52 тонны, толщина лобового листа корпуса составляла 150 мм, а максимальная скорость — 35 км/ч. В качестве вооружения предполагалось использовать пушку А-19 (здесь подразумевалась Д-25Т). Второй вариант был ещё более монструозным: его боевая масса составляла 64–66 тонн, а толщина лба корпуса и башни — 180 мм (17756).</w:t>
      </w:r>
    </w:p>
    <w:p w14:paraId="6B7BB540" w14:textId="77777777" w:rsidR="00180E5C" w:rsidRPr="00271E51" w:rsidRDefault="00180E5C" w:rsidP="00271E51">
      <w:pPr>
        <w:spacing w:after="0" w:line="240" w:lineRule="auto"/>
        <w:jc w:val="both"/>
        <w:rPr>
          <w:rFonts w:ascii="Times New Roman" w:eastAsia="Times New Roman" w:hAnsi="Times New Roman"/>
          <w:color w:val="000000" w:themeColor="text1"/>
          <w:sz w:val="16"/>
          <w:szCs w:val="16"/>
          <w:lang w:eastAsia="ru-RU"/>
        </w:rPr>
      </w:pPr>
    </w:p>
    <w:p w14:paraId="03E54E9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28 сентября 1943 вышло Распоряжение ГКО № 4206 [О мерах по обеспечению своевременного пуска в 1943 г. коксовой батареи № 1 Челябинского металлургического завода.] (7096, 120-121).</w:t>
      </w:r>
    </w:p>
    <w:p w14:paraId="0F03BCF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74EA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г. вышло Постановление ГКО № 4208 «О восстановлении и строительстве новых объектов научно-испытательного полигона ГБТУ КА» (Д. 216. Л. 192–194).</w:t>
      </w:r>
    </w:p>
    <w:p w14:paraId="294BA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574E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4209 О плане и сроках восстановления освобожденных участков железных дорог. (7096, 127-133).</w:t>
      </w:r>
    </w:p>
    <w:p w14:paraId="2A62601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E1A1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4211 [О продлении движения городского транспорта и населения в Москве до 1 часа ночи.] (7096, 135).</w:t>
      </w:r>
    </w:p>
    <w:p w14:paraId="070BD13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674F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4214 Об образовании Донбасского корпусного, Смоленского дивизионного районов ПВО и о разукрупнении Воронежского корпусного и Ряжско-Тамбовского дивизионных районов Западного фронта ПВО. (7096, 139-140).</w:t>
      </w:r>
    </w:p>
    <w:p w14:paraId="54A2DC5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EC96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Сдан флоту двенадцатый БМО (10671).</w:t>
      </w:r>
    </w:p>
    <w:p w14:paraId="3D4943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08D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СТК ДД зачислили в состав Черноморского флота, но из-за конструктивных недостатков катер в боевых действиях участвовал, а в 1946 г. был исключен из состава флота (10675).</w:t>
      </w:r>
    </w:p>
    <w:p w14:paraId="305E32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69F5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6DBD5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7840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28 сентября </w:t>
      </w:r>
      <w:r w:rsidRPr="00271E51">
        <w:rPr>
          <w:rFonts w:ascii="Times New Roman" w:hAnsi="Times New Roman"/>
          <w:color w:val="000000" w:themeColor="text1"/>
          <w:sz w:val="16"/>
          <w:szCs w:val="16"/>
        </w:rPr>
        <w:t>в 1943 году оперативная сводка Совинформбюро:</w:t>
      </w:r>
    </w:p>
    <w:p w14:paraId="41AFBFD4"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сентября на Кременчугском направлении наши войска продолжали развивать наступление и, продвинувшись вперёд от 15 до 20 километров, овладели районными центрами Полтавской области Глобино, Градижск, а также заняли свыше120 других населённых пунктов, среди которых крупные населённые пункты Васютинцы, Москаленки, Матвеевка, Еремеевка, Гусиное, Жовнин, Лялинцы, Николаевка, Пугачёвка, Морозовка, Пронозовка, Борисы, Твердохлебы, Погребы, Доновка, Миловидовка, Омельник, Запсилля, Дмитривка, 3олотнище и железнодорожные станции Глобино, Рублёвка, Голещина, Потоки.</w:t>
      </w:r>
    </w:p>
    <w:p w14:paraId="0E5EFAF7"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продолжали вести наступательные бои и заняли на левом берегу реки Днепр крупные населённые пункты Навозы, Сивки, Сорокошичи, Ново-Глыбов, Старо-Глыбов, Окуниново, Ошитки, Новосёлки, Чернин, Тарасовичи, Сваромье, Староселье, Осещино, Погребы, Бортничи, Гнедынь, Рудяков, Гусенцы, Яшники, Пидсинне, Андруши, Козинцы, Вьюнище, Цыбли, Городище, Комаровка, Решётки, Лепляво, Калеберда, Прохоровка, Бубновская Слободка, Бубново, Домантов, Коробовка, Красное, Самовицы, Мутыхи.</w:t>
      </w:r>
    </w:p>
    <w:p w14:paraId="6CCE8C2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продолжая развивать наступление, продвинулись вперёд от 10 до 15 километров и овладели районным центром Орловскойобласти Красная Гора, а также заняли свыше 200 других населённых пунктов, среди которых крупные населённые пункты Белая Дубрава, Клиевичи, Батуровка, Любовша, Верхличи, Яловка, Неглюбка, Святский, Ириновка, Демьянки, Носовичи, Терюха, Гута, Новые Ярыловичи, Клубовка, Александровка 2-я, Сусловка и железнодорожные станции Закопытье, Зябровка, Терюха.</w:t>
      </w:r>
    </w:p>
    <w:p w14:paraId="4AE2A2E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развивать наступление и, продвинувшись вперёд от 10 до 25 километров, овладели городом Мстиславль, городом Климовичи, городом Костюковичи, а также заняли более 500 других населённых пунктов, среди которых крупные населённые пункты Староселье, Городец, Самсоны, Кадино, Мигновичи, Железники, Кодоино, Платкова, Каськова, Осетище, Дубровка, Надейковичи, Студенец, Короблёво, Кулишовка, Полошково, Осмоловичи, Автуховка, Антоновка, Червонная Слобода и железнодорожные станции Осва, Шестеровка, Коммунары, Осмоловичи, Климовичи.</w:t>
      </w:r>
    </w:p>
    <w:p w14:paraId="738F8A4C"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продолжая развивать наступление, продвинулись вперёд от 10 до 20 километров и заняли свыше 300 населённых пунктов, в том числе районный центр Смоленской области Красное, крупные населённые пункты Боярщина, Ракитня, Заики, Тубольцы, Лоси, Заозерье, Архиповка, Заложье, Лобы, Голынки, Анцыпорово, Большая Добрая, Буяново, Речицы, Полянки и железнодорожные станции Лелеквинская, Ухабное, Плоская, Башутка, Гусино.</w:t>
      </w:r>
    </w:p>
    <w:p w14:paraId="64B9696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сентября наши войска на всех фронтах подбили и уничтожили 39немецких танков. В воздушных боях и огнём зенитной артиллерии сбит 71 самолёт противника.</w:t>
      </w:r>
    </w:p>
    <w:p w14:paraId="380DDF4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Кременчугском направлении наши войска продолжали наступление. Немцы, стремясь задержать продвижение советских войск, переходили в контратаки. Отбрасывая противника, наши бойцы продвинулись вперёд до 20 километров и заняли свыше 120 населённых пунктов. Части Н-ского соединения уничтожили 900 немецких солдат и офицеров, сожгли и подбили 11 танков и самоходных орудий противника. На другом участке наши подразделения, стремительно преследуя немцев, вышли к Днепру. Гитлеровцы не успели переправиться на правый берег реки. Часть из них уничтожена, а остальные сдались в плен.</w:t>
      </w:r>
    </w:p>
    <w:p w14:paraId="073A68A1"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подвергла бомбардировке скопления немецких войск и техники противника на правом берегу Днепра. Уничтожено несколько танков и до 200 автомашин противника с войсками и грузами. В воздушных боях советские лётчики сбили 41 немецкий самолёт.</w:t>
      </w:r>
    </w:p>
    <w:p w14:paraId="66CC9BD0"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части Н-ского соединения, овладев лесным массивом, вышли к реке Беседь. Сломив сопротивление противника, советские бойцы переправились через реку и овладели рядом укреплённых пунктов. На другом участке наша подвижная группа вырвалась далеко вперёд и дезорганизовала оборону противника. Подошедшие основные силы Н-ского соединения нанесли немцам сильные удары и выбили их из многих населённых пунктов. Уничтожено свыше 1.000 вражеских солдат и офицеров. Захвачено 16 орудий, 7 миномётов, 120 пулемётов, 400 автоматов и несколько складов с военным имуществом. Взяты пленные</w:t>
      </w:r>
    </w:p>
    <w:p w14:paraId="528264A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противник пытается закрепиться на выгодных рубежах, но под натиском наших войск вынужден оставлять одну позицию за другой. Развивая наступление, наши войска в течение дня заняли более 500 населённых пунктов, в том числе город Мстиславль, город Климовичи, город Костюковичи. Бойцы Н-ского соединения, стремительно продвигаясь вперёд, разгромили полк немецкой пехоты. Захвачены большие трофеи, в числе которых 26 орудий, склад боеприпасов, склады с зерном и военным имуществом. На другом участке наши подвижные отряды обходным манёвром окружили и разгромили отступающую колонну войск противника. Захвачены пленные и трофеи.</w:t>
      </w:r>
    </w:p>
    <w:p w14:paraId="6F5C8906"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противник, отступая под ударами наших войск, минирует дороги, уничтожает переправы и взрывает мосты. Советские войска, преодолевая сопротивление противника, успешно продвигались вперёд и заняли свыше 300 населённых пунктов и несколько железнодорожных станций. Бойцы Н-ского соединения уничтожили до батальона гитлеровцев и захватили 12 орудий, 43 пулемёта, склад с зерном и другие трофеи.</w:t>
      </w:r>
    </w:p>
    <w:p w14:paraId="4C019F05"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Черноморского флота наносила удары по скоплениям немецких войск на Таманском полуострове и плавсредствам противника в Керченском проливе. Потоплены две сухогрузных, одна нефтеналивная и несколько десантных барж. Уничтожено до батальона гитлеровцев и не менее 100 автомашин противника. В воздушных боях сбито 10 немецких самолётов.</w:t>
      </w:r>
    </w:p>
    <w:p w14:paraId="753E55C2"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Разведчики партизанского отряда имени Кутузова, действующего в одном израйонов Минской области, установили, что немцы угоняют на каторгу в Германию большую группу советских граждан. Партизаны устроили у дороги засаду и напали на конвой. 38 гитлеровцев были у биты, а остальные разбежались. Освобождено свыше 900 мирных советских жителей.</w:t>
      </w:r>
    </w:p>
    <w:p w14:paraId="736CF699"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захватчики творят неслыханные злодеяния над мирными жителями сёл и деревень Украины.</w:t>
      </w:r>
    </w:p>
    <w:p w14:paraId="363D46FD"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отступая из населённых пунктов Рублёвка, Луковщина, Ежокивка, Чутовка и других сёл Полтавской области, немцы самым бесчеловечным образом выгнали всех жителей. Они перестреляли из автоматов принадлежащий колхозникам скот, а все сёла сожгли.</w:t>
      </w:r>
    </w:p>
    <w:p w14:paraId="67D9380B" w14:textId="77777777" w:rsidR="00D708CE" w:rsidRPr="00271E51" w:rsidRDefault="00D708C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конвоем гитлеровцы гнали жителей до совхоза Стеховка, Гробиновского сельсовета, Полтавского района. В этом совхозе фашистские бандиты облили бензином и сожгли все повозки с имуществом колхозников. Затем немцы загнали свыше 400 человек мужчин, женщин и детей в помещение школы. Гитлеровские изверги в течение часа стреляли в окна школы из автоматов и бросали гранаты. Фашистские палачи не обращали внимания на душераздирающие крики и вопли женщин и детей. Учинив эту зверскую расправу над беззащитным и ни в чём не повинным населением, фашистские убийцы облили здание школы бензином и подожгли его. Оставшиеся в живых взрослые и дети выбрасывались из окон горящего здания. Почти все они были расстреляны. Удалось спастись только двум колхозникам: Литовченко П.М. и Потапенко Г.П.» (14783).</w:t>
      </w:r>
    </w:p>
    <w:p w14:paraId="1347D990" w14:textId="77777777" w:rsidR="00D708CE" w:rsidRPr="00271E51" w:rsidRDefault="00D708CE" w:rsidP="00271E51">
      <w:pPr>
        <w:spacing w:after="0" w:line="240" w:lineRule="auto"/>
        <w:jc w:val="both"/>
        <w:rPr>
          <w:rFonts w:ascii="Times New Roman" w:hAnsi="Times New Roman"/>
          <w:color w:val="000000" w:themeColor="text1"/>
          <w:sz w:val="16"/>
          <w:szCs w:val="16"/>
        </w:rPr>
      </w:pPr>
    </w:p>
    <w:p w14:paraId="46721B7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4210 [О мерах по повышению эффективности использования авиации.] (7096, 134-134об.).</w:t>
      </w:r>
    </w:p>
    <w:p w14:paraId="2293856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0D772"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4210</w:t>
      </w:r>
    </w:p>
    <w:p w14:paraId="5405F7E5" w14:textId="77777777" w:rsidR="001B4FA5" w:rsidRPr="00271E51" w:rsidRDefault="001B4FA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целях повышения эффективности использования авиации, Государственный Комитет Обороны постановляет:</w:t>
      </w:r>
    </w:p>
    <w:p w14:paraId="0403F0F9" w14:textId="77777777" w:rsidR="001B4FA5" w:rsidRPr="00271E51" w:rsidRDefault="001B4FA5" w:rsidP="00271E51">
      <w:pPr>
        <w:pStyle w:val="47"/>
        <w:shd w:val="clear" w:color="auto" w:fill="auto"/>
        <w:tabs>
          <w:tab w:val="left" w:pos="1468"/>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1. Довести состав авиационных полков, имеющих на воору</w:t>
      </w:r>
      <w:r w:rsidRPr="00271E51">
        <w:rPr>
          <w:rFonts w:ascii="Times New Roman" w:hAnsi="Times New Roman" w:cs="Times New Roman"/>
          <w:color w:val="000000" w:themeColor="text1"/>
          <w:sz w:val="16"/>
          <w:szCs w:val="16"/>
        </w:rPr>
        <w:softHyphen/>
        <w:t>жении одномоторные (истребители и штурмовики) самолеты, до 40 самолетов, имея в каждом авиаполку 3 эскадрильи, состоящие каждая из трех звеньев по четыре самолета (2 пары) и звено командира авиаполка в составе 4 самолетов.</w:t>
      </w:r>
    </w:p>
    <w:p w14:paraId="26403FB3" w14:textId="77777777" w:rsidR="001B4FA5" w:rsidRPr="00271E51" w:rsidRDefault="001B4FA5"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Кроме того, в каждом авиаполку на одномоторных самоле</w:t>
      </w:r>
      <w:r w:rsidRPr="00271E51">
        <w:rPr>
          <w:rFonts w:ascii="Times New Roman" w:hAnsi="Times New Roman" w:cs="Times New Roman"/>
          <w:color w:val="000000" w:themeColor="text1"/>
          <w:sz w:val="16"/>
          <w:szCs w:val="16"/>
        </w:rPr>
        <w:softHyphen/>
        <w:t>тах иметь по одному учебно-тренировочному самолету с двойным управлением для поверки техники пилотирования и тренировки летного состава и по одному самолету связи типа У-2.</w:t>
      </w:r>
    </w:p>
    <w:p w14:paraId="09D87532" w14:textId="77777777" w:rsidR="001B4FA5" w:rsidRPr="00271E51" w:rsidRDefault="001B4FA5" w:rsidP="00271E51">
      <w:pPr>
        <w:pStyle w:val="47"/>
        <w:shd w:val="clear" w:color="auto" w:fill="auto"/>
        <w:tabs>
          <w:tab w:val="left" w:pos="1445"/>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 В авиаполках, вооруженных самолетами Як-9. иметь по одной авиаэскадрильи самолетов Як-9 с 37 мм пушкой и 2 эс</w:t>
      </w:r>
      <w:r w:rsidRPr="00271E51">
        <w:rPr>
          <w:rFonts w:ascii="Times New Roman" w:hAnsi="Times New Roman" w:cs="Times New Roman"/>
          <w:color w:val="000000" w:themeColor="text1"/>
          <w:sz w:val="16"/>
          <w:szCs w:val="16"/>
        </w:rPr>
        <w:softHyphen/>
        <w:t>кадрильи самолетов Як-9 обычного типа или Як-7 и Як-1.</w:t>
      </w:r>
    </w:p>
    <w:p w14:paraId="5014B75C" w14:textId="77777777" w:rsidR="001B4FA5" w:rsidRPr="00271E51" w:rsidRDefault="001B4FA5" w:rsidP="00271E51">
      <w:pPr>
        <w:pStyle w:val="47"/>
        <w:shd w:val="clear" w:color="auto" w:fill="auto"/>
        <w:tabs>
          <w:tab w:val="left" w:pos="1558"/>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3. Обязать Командующего ВВС Красной Армии (т.Новикова) по мере вывода авиаполков в резервен на пополнение, доукомп</w:t>
      </w:r>
      <w:r w:rsidRPr="00271E51">
        <w:rPr>
          <w:rFonts w:ascii="Times New Roman" w:hAnsi="Times New Roman" w:cs="Times New Roman"/>
          <w:color w:val="000000" w:themeColor="text1"/>
          <w:sz w:val="16"/>
          <w:szCs w:val="16"/>
        </w:rPr>
        <w:softHyphen/>
        <w:t>лектовывать их до 40 самолетов каждый.</w:t>
      </w:r>
    </w:p>
    <w:p w14:paraId="45CB271A" w14:textId="77777777" w:rsidR="001B4FA5" w:rsidRPr="00271E51" w:rsidRDefault="001B4FA5" w:rsidP="00271E51">
      <w:pPr>
        <w:pStyle w:val="47"/>
        <w:shd w:val="clear" w:color="auto" w:fill="auto"/>
        <w:tabs>
          <w:tab w:val="left" w:pos="1453"/>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 Обязать НКАП (т.Шахурина) обеспечить выпуск боевых самолетов с двойным управлением для поверки техники пилоти</w:t>
      </w:r>
      <w:r w:rsidRPr="00271E51">
        <w:rPr>
          <w:rFonts w:ascii="Times New Roman" w:hAnsi="Times New Roman" w:cs="Times New Roman"/>
          <w:color w:val="000000" w:themeColor="text1"/>
          <w:sz w:val="16"/>
          <w:szCs w:val="16"/>
        </w:rPr>
        <w:softHyphen/>
        <w:t>рования и тренировки летного состава. Количество самолетов с двойным управлением, подлежащих выпуску с заводов НКАП по месяцам, установить совместно с Командующим ВВС Красной Армии.</w:t>
      </w:r>
    </w:p>
    <w:p w14:paraId="1DA7F2C1" w14:textId="77777777" w:rsidR="001B4FA5" w:rsidRPr="00271E51" w:rsidRDefault="001B4FA5" w:rsidP="00271E51">
      <w:pPr>
        <w:pStyle w:val="47"/>
        <w:shd w:val="clear" w:color="auto" w:fill="auto"/>
        <w:tabs>
          <w:tab w:val="left" w:pos="1453"/>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5. Для обнаружения воздушного противника и заблаговре</w:t>
      </w:r>
      <w:r w:rsidRPr="00271E51">
        <w:rPr>
          <w:rFonts w:ascii="Times New Roman" w:hAnsi="Times New Roman" w:cs="Times New Roman"/>
          <w:color w:val="000000" w:themeColor="text1"/>
          <w:sz w:val="16"/>
          <w:szCs w:val="16"/>
        </w:rPr>
        <w:softHyphen/>
        <w:t>менного предупреждения истребительной авиации ввести в состав действующих воздушных армий по две радиоустановки типа "Редут" и дополнительно по две радиостанции РСБ для сети наведения.</w:t>
      </w:r>
    </w:p>
    <w:p w14:paraId="4F189594" w14:textId="77777777" w:rsidR="001B4FA5" w:rsidRPr="00271E51" w:rsidRDefault="001B4FA5" w:rsidP="00271E51">
      <w:pPr>
        <w:pStyle w:val="47"/>
        <w:shd w:val="clear" w:color="auto" w:fill="auto"/>
        <w:tabs>
          <w:tab w:val="left" w:pos="146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6. Обязать т.Воронова для укомплектования воздушных ар</w:t>
      </w:r>
      <w:r w:rsidRPr="00271E51">
        <w:rPr>
          <w:rFonts w:ascii="Times New Roman" w:hAnsi="Times New Roman" w:cs="Times New Roman"/>
          <w:color w:val="000000" w:themeColor="text1"/>
          <w:sz w:val="16"/>
          <w:szCs w:val="16"/>
        </w:rPr>
        <w:softHyphen/>
        <w:t>мий радиоустановками типа "Редут" выделить ВВС Красной Армии до 1 января 1944 года 16 радиоустановок.</w:t>
      </w:r>
    </w:p>
    <w:p w14:paraId="7D2F22D5" w14:textId="77777777" w:rsidR="001B4FA5" w:rsidRPr="00271E51" w:rsidRDefault="001B4FA5" w:rsidP="00271E51">
      <w:pPr>
        <w:pStyle w:val="47"/>
        <w:shd w:val="clear" w:color="auto" w:fill="auto"/>
        <w:tabs>
          <w:tab w:val="left" w:pos="146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7. Обяэать начальника связи Красной Агамии (т.Пересыпнина в срок до 1 декабря 1943 года выделить для ВВС Красной Асмни 6&lt;</w:t>
      </w:r>
      <w:r w:rsidRPr="00271E51">
        <w:rPr>
          <w:rFonts w:ascii="Times New Roman" w:hAnsi="Times New Roman" w:cs="Times New Roman"/>
          <w:color w:val="000000" w:themeColor="text1"/>
          <w:sz w:val="16"/>
          <w:szCs w:val="16"/>
          <w:lang w:val="en-US"/>
        </w:rPr>
        <w:t>Z</w:t>
      </w:r>
      <w:r w:rsidRPr="00271E51">
        <w:rPr>
          <w:rFonts w:ascii="Times New Roman" w:hAnsi="Times New Roman" w:cs="Times New Roman"/>
          <w:color w:val="000000" w:themeColor="text1"/>
          <w:sz w:val="16"/>
          <w:szCs w:val="16"/>
        </w:rPr>
        <w:t xml:space="preserve"> радиостанции типа РСБ на автомашинах типа "Виллис" с под</w:t>
      </w:r>
      <w:r w:rsidRPr="00271E51">
        <w:rPr>
          <w:rFonts w:ascii="Times New Roman" w:hAnsi="Times New Roman" w:cs="Times New Roman"/>
          <w:color w:val="000000" w:themeColor="text1"/>
          <w:sz w:val="16"/>
          <w:szCs w:val="16"/>
        </w:rPr>
        <w:softHyphen/>
        <w:t>готовленным личным составом для их обслуживания.</w:t>
      </w:r>
    </w:p>
    <w:p w14:paraId="14583DF1" w14:textId="77777777" w:rsidR="001B4FA5" w:rsidRPr="00271E51" w:rsidRDefault="001B4FA5" w:rsidP="00271E51">
      <w:pPr>
        <w:pStyle w:val="47"/>
        <w:shd w:val="clear" w:color="auto" w:fill="auto"/>
        <w:tabs>
          <w:tab w:val="left" w:pos="146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8. Обязать Командующего ВВС Красной Армии (т.Новикова) разработать и представить на утверждение Народного Комиссара Обороны штат авиаполков 40 самолетного состава.</w:t>
      </w:r>
    </w:p>
    <w:p w14:paraId="184D0412"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начальника Генерального Штаба Красной Армии совместно с Командующим ВВС Красной Армии отдать необходимые организационные указания во исполнение настоящего постановления.</w:t>
      </w:r>
    </w:p>
    <w:p w14:paraId="5DA1DEE2" w14:textId="77777777" w:rsidR="001B4FA5" w:rsidRPr="00271E51" w:rsidRDefault="001B4FA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Контроль исполнения за т.Маленковым (19434).</w:t>
      </w:r>
    </w:p>
    <w:p w14:paraId="25F074B8" w14:textId="77777777" w:rsidR="0034357B" w:rsidRPr="00271E51" w:rsidRDefault="0034357B"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BA90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4212 О сформировании одной гвардейской пушечной артиллерийской дивизии РГК, одной гвардейской гаубичной артиллерийской бригады РГК и одной истребительно-противотанковой артиллерийской бригады РГК на Западном фронте.РГАНИР, Фонд ГКО, д. 153, лл. 136 (11012).</w:t>
      </w:r>
    </w:p>
    <w:p w14:paraId="5455FA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596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Постановление ГКО № 4213 О сформировании одной пушечной артиллерийской дивизии РГК на Калининском фронте.РГАНИР, Фонд ГКО, д. 153, лл. 137-138 (11012).</w:t>
      </w:r>
    </w:p>
    <w:p w14:paraId="7CFCB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D5C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28 сентября по 6 октября 1943 состоялась Ельнинско-Дорогобужская операция - часть Смоленской операции Западного фронта. Продвинулись на 35-40 км захватив Ельню и Дорогобуж (2438,228).</w:t>
      </w:r>
    </w:p>
    <w:p w14:paraId="2F793F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D45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согласно сообщению Совинформбюро а подвергла бомбардировке скопление войск и техники на правом берегу Днепра, уничтожив несколько т и 200 а/м, а в воздушных боях было сбито 41 с (438,885).</w:t>
      </w:r>
    </w:p>
    <w:p w14:paraId="35EEC6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95B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группа торпедоносцев во главе с п Бардзинашвили совершила дерзкий налет на Констанцу, прорвались в порт под огнем ЗА и сбросили торпеды с 20 м, торпедировав миноносец и транспорт (438,885).</w:t>
      </w:r>
    </w:p>
    <w:p w14:paraId="2D38D6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50A3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22E615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F20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на территории Украины, освобожденной от немцев, возобновлена работа школ (4962).</w:t>
      </w:r>
    </w:p>
    <w:p w14:paraId="7831D30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792E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сентября 1943 вышло Распоряжение ГКО № 4207. О приравнивании коммунальных электростанций и электросети в Азербайджане по материально-техническому и продовольственному снабжению и зарплате к категориям, установленным для городских электростанций и сетей в РСФСР.РГАНИР, Фонд ГКО, д. 153 (11012).</w:t>
      </w:r>
    </w:p>
    <w:p w14:paraId="05F4DE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24B55"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28 сентября </w:t>
      </w:r>
      <w:r w:rsidRPr="00271E51">
        <w:rPr>
          <w:rFonts w:ascii="Times New Roman" w:hAnsi="Times New Roman"/>
          <w:color w:val="000000" w:themeColor="text1"/>
          <w:sz w:val="16"/>
          <w:szCs w:val="16"/>
        </w:rPr>
        <w:t>в 1943 году самое большое количество осадков за сутки (350 мм) на территории бывшего СССР было отмечено в Ланчхути, Грузия (14783).</w:t>
      </w:r>
    </w:p>
    <w:p w14:paraId="5910B74C"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7154BA05" w14:textId="77777777" w:rsidR="009376F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A7142BB" w14:textId="77777777" w:rsidR="009376F4" w:rsidRPr="00271E51" w:rsidRDefault="009376F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19F5F2"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28 сентября </w:t>
      </w:r>
      <w:r w:rsidRPr="00271E51">
        <w:rPr>
          <w:rFonts w:ascii="Times New Roman" w:hAnsi="Times New Roman"/>
          <w:color w:val="000000" w:themeColor="text1"/>
          <w:sz w:val="16"/>
          <w:szCs w:val="16"/>
        </w:rPr>
        <w:t>в 1943 году (28 сентября – 2 октября) переброска большей части япронских войск с Соломоновых островов на Бугенвиль (14783).</w:t>
      </w:r>
    </w:p>
    <w:p w14:paraId="6CFD21F9"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460D3E3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518F8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0CF5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w:t>
      </w:r>
      <w:r w:rsidRPr="00271E51">
        <w:rPr>
          <w:rFonts w:ascii="Times New Roman" w:hAnsi="Times New Roman"/>
          <w:color w:val="000000" w:themeColor="text1"/>
          <w:sz w:val="16"/>
          <w:szCs w:val="16"/>
        </w:rPr>
        <w:softHyphen/>
        <w:t>од с 29 сентября по 10 октября 1943 г. третьи по счету испытания оказа</w:t>
      </w:r>
      <w:r w:rsidRPr="00271E51">
        <w:rPr>
          <w:rFonts w:ascii="Times New Roman" w:hAnsi="Times New Roman"/>
          <w:color w:val="000000" w:themeColor="text1"/>
          <w:sz w:val="16"/>
          <w:szCs w:val="16"/>
        </w:rPr>
        <w:softHyphen/>
        <w:t>лись успешными: испытывались два Ил-2 - один с двумя ПЛБГ-150, второй - с двумя металлическими подвесными ба</w:t>
      </w:r>
      <w:r w:rsidRPr="00271E51">
        <w:rPr>
          <w:rFonts w:ascii="Times New Roman" w:hAnsi="Times New Roman"/>
          <w:color w:val="000000" w:themeColor="text1"/>
          <w:sz w:val="16"/>
          <w:szCs w:val="16"/>
        </w:rPr>
        <w:softHyphen/>
        <w:t>ками емкостью по 175 л. По результатам испытаний в серий</w:t>
      </w:r>
      <w:r w:rsidRPr="00271E51">
        <w:rPr>
          <w:rFonts w:ascii="Times New Roman" w:hAnsi="Times New Roman"/>
          <w:color w:val="000000" w:themeColor="text1"/>
          <w:sz w:val="16"/>
          <w:szCs w:val="16"/>
        </w:rPr>
        <w:softHyphen/>
        <w:t>ное производство был внедрен вариант с ПЛБГ-150 (6467).</w:t>
      </w:r>
    </w:p>
    <w:p w14:paraId="4E44A8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B6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военные представители на обоих куйбышевских авиазаводах докладывали, что рабочие чертежи Ил-1 находятся в цехах авиазавода № 1, а другое предприятие по плану первый экземпляр самолета должно предъявить к 15 октября. Но производственники опять не успели. Сроки снова перенес</w:t>
      </w:r>
      <w:r w:rsidRPr="00271E51">
        <w:rPr>
          <w:rFonts w:ascii="Times New Roman" w:hAnsi="Times New Roman"/>
          <w:color w:val="000000" w:themeColor="text1"/>
          <w:sz w:val="16"/>
          <w:szCs w:val="16"/>
        </w:rPr>
        <w:softHyphen/>
        <w:t>ли: приказом по НКАП от 11 октября за</w:t>
      </w:r>
      <w:r w:rsidRPr="00271E51">
        <w:rPr>
          <w:rFonts w:ascii="Times New Roman" w:hAnsi="Times New Roman"/>
          <w:color w:val="000000" w:themeColor="text1"/>
          <w:sz w:val="16"/>
          <w:szCs w:val="16"/>
        </w:rPr>
        <w:softHyphen/>
        <w:t>вод № 18 обязывали построить двухме</w:t>
      </w:r>
      <w:r w:rsidRPr="00271E51">
        <w:rPr>
          <w:rFonts w:ascii="Times New Roman" w:hAnsi="Times New Roman"/>
          <w:color w:val="000000" w:themeColor="text1"/>
          <w:sz w:val="16"/>
          <w:szCs w:val="16"/>
        </w:rPr>
        <w:softHyphen/>
        <w:t>стный Ил-1 к 10 декабря, а одномест</w:t>
      </w:r>
      <w:r w:rsidRPr="00271E51">
        <w:rPr>
          <w:rFonts w:ascii="Times New Roman" w:hAnsi="Times New Roman"/>
          <w:color w:val="000000" w:themeColor="text1"/>
          <w:sz w:val="16"/>
          <w:szCs w:val="16"/>
        </w:rPr>
        <w:softHyphen/>
        <w:t>ный — к 20 декабря (10680).</w:t>
      </w:r>
    </w:p>
    <w:p w14:paraId="72E9F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990D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DF64D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FEF6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г. была подготовлена ДОКЛАДНАЯ ЗАПИСКА ЗАМЕСТИТЕЛЯ НАЧАЛЬНИКА ГБТУ КА НАЧАЛЬНИКУ ГУФ и БП КА О ПРИМЕНЕНИИ СРЕДСТВ ОБОГРЕВА НА ТАНКАХ И САМОХОДНЫХ АРТИЛЛЕРИЙСКИХ УСТАНОВКАХ № 1153788</w:t>
      </w:r>
    </w:p>
    <w:p w14:paraId="3C3AF4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приказов командующего БТ и МВ Красной Армии за № 164 от 25 августа и НКТП за №443 от 28 июля с.г. танки и самоходные артиллерийские установки укомплектовываются средствами обогрева и средствами, облегчающими запуск двигателей при эксплуатации их в зимних условиях.</w:t>
      </w:r>
    </w:p>
    <w:p w14:paraId="3CB1BD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Прибывающие с заводов на формирование войсковых частей маршевыми ротами экипажи слабо знают применение средств обогрева и запуска двигателей танков и самоходных артиллерий</w:t>
      </w:r>
      <w:r w:rsidRPr="00271E51">
        <w:rPr>
          <w:rFonts w:ascii="Times New Roman" w:hAnsi="Times New Roman"/>
          <w:color w:val="000000" w:themeColor="text1"/>
          <w:sz w:val="16"/>
          <w:szCs w:val="16"/>
        </w:rPr>
        <w:softHyphen/>
        <w:t>ских установок.</w:t>
      </w:r>
    </w:p>
    <w:p w14:paraId="09BA71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Ряд экипажей танков Т-34 и СУ-122 совершенно не знает применение маслоперепускного устройства и калорифера.</w:t>
      </w:r>
    </w:p>
    <w:p w14:paraId="509E37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указания командирам соответствующих учебных танковых бригад и начальни</w:t>
      </w:r>
      <w:r w:rsidRPr="00271E51">
        <w:rPr>
          <w:rFonts w:ascii="Times New Roman" w:hAnsi="Times New Roman"/>
          <w:color w:val="000000" w:themeColor="text1"/>
          <w:sz w:val="16"/>
          <w:szCs w:val="16"/>
        </w:rPr>
        <w:softHyphen/>
        <w:t>кам училищ принять срочные меры по обучению экипажей непосредственно на материальной части правильному применению существующих на танках и самоходных артиллерийских установках средств обогрева.</w:t>
      </w:r>
    </w:p>
    <w:p w14:paraId="60D20E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принятых Вами решениях прошу поставить меня в известность.</w:t>
      </w:r>
    </w:p>
    <w:p w14:paraId="757975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ГБТУ КА генерал-лейтенант инженерно-танковой службы Лебедев</w:t>
      </w:r>
    </w:p>
    <w:p w14:paraId="4F9CCD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ТУ ГБТУ КА инженер-подполковник Муравич</w:t>
      </w:r>
    </w:p>
    <w:p w14:paraId="4D8164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1414. Л. 37. Копия (11403).</w:t>
      </w:r>
    </w:p>
    <w:p w14:paraId="780117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E68FA7"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29 сентября 1943 года была подписана Программа испытания обстрелом корпуса «Фердинанда». Но к самим испытаниям удалось приступить только 1 декабря. За это время была расширена номенклатура вооружения, которым планировалось обстреливать трофей. Помимо отечественных, немецких артиллерийских систем и пушек союзников использовалась и противотанковая граната НИИ-6, позже принятая на вооружение как РПГ-6. Как показали испытания, кумулятивная граната уверенно пробила борт самоходной установки, после чего струя пробила щит из дюймовых досок, установленный внутри корпуса.</w:t>
      </w:r>
    </w:p>
    <w:p w14:paraId="1421CE91"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Следующей в списке оказалась 45-мм пушка, установленная в танке Т-70. Её бронебойный снаряд не пробил немецкую машину на дистанции 100 метров, что оказалось вполне ожидаемо. Зато подкалиберный снаряд на той же дистанции справился и с бортом корпуса, и с бортом рубки. На дистанции 200 метров подкалиберным снарядом удалось пробить борт, рубка оказалась прочнее.</w:t>
      </w:r>
    </w:p>
    <w:p w14:paraId="6FFE3C6E"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Пробить борт немецкой самоходной установки оказалось по силам и 57-мм танковой пушке, установленной в танке Churchill. С дистанции 500 метров броня толщиной 80 (85) мм пробивалась уверенно. Огонь вёлся из 43-калиберной версии орудия, Valentine XI/X и Churchill III/IV поставок 1943 года имели более длинноствольные орудия.</w:t>
      </w:r>
    </w:p>
    <w:p w14:paraId="07614B2A"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Хуже дела обстояли с обстрелом немецкой самоходной установки из 75-мм пушки M3, установленной в американском среднем танке M4A2. Бронебойный снаряд M61 не смог пробить борт рубки даже с дистанции 100 метров. Правда, два попадания по сварному шву, соединяющему лобовой и левый бортовой лист рубки, привели к его растрескиванию. Впрочем, тот же снаряд пробивал борт корпуса «Фердинанда» уже на дистанции 500 метров. Ещё хуже вёл себя бронебойный снаряд советской 76-мм танковой пушки Ф-34, что, впрочем, не было новостью.</w:t>
      </w:r>
    </w:p>
    <w:p w14:paraId="3A8D3FD5"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Не удивили и результаты стрельбы по борту немецкой самоходной установки из пушки Д-5С, установленной в </w:t>
      </w:r>
      <w:hyperlink r:id="rId97" w:history="1">
        <w:r w:rsidRPr="00271E51">
          <w:rPr>
            <w:rStyle w:val="a5"/>
            <w:color w:val="000000" w:themeColor="text1"/>
            <w:sz w:val="16"/>
            <w:szCs w:val="16"/>
          </w:rPr>
          <w:t>СУ-85</w:t>
        </w:r>
      </w:hyperlink>
      <w:r w:rsidRPr="00271E51">
        <w:rPr>
          <w:color w:val="000000" w:themeColor="text1"/>
          <w:sz w:val="16"/>
          <w:szCs w:val="16"/>
        </w:rPr>
        <w:t>. На дистанции в 900 метров ею были уверенно пробиты и борт корпуса, и борт рубки. При попадании снаряда с внутренней стороны листа происходил откол брони, осколки не оставляли расчёту боевого отделения шансов на выживание. Впрочем, к моменту появления на фронте СУ-85, а затем и других советских боевых машин, оснащенных 85-мм пушками, шансы встретиться с «Фердинандом» на поле боя заметно снизились.</w:t>
      </w:r>
    </w:p>
    <w:p w14:paraId="57D6A359"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Все перечисленные выше системы не использовались для обстрела самоходной установки с лобовой части, что и понятно: броню в 200 мм с их помощью вряд ли бы удалось пробить. Первым орудием, которое использовали для стрельбы по лобовому листу корпуса, стала 122-мм пушка Д-25, установленная в опытном образце танка ИС-2. Первый снаряд, выпущенный с расстояния 1400 метров по лобовому листу корпуса, пробил экран и срикошетировал. Второй снаряд, выпущенный на той же дистанции в рубку, оставил вмятину глубиной 100 мм и размером 210×200 мм. Третий снаряд застрял в броне, но всё же частично вошел в неё. Пробитие не зачли, но на практике такое поражение вывело бы расчёт орудия из строя. На более коротких дистанциях стрельбу в этот раз не проводили, но, как показали дальнейшие события, попадания на дистанции 1200 метров и меньше заканчивались пробитием. Испытатели же предельной дистанцией для пробития посчитали дистанцию 1000 метров.</w:t>
      </w:r>
    </w:p>
    <w:p w14:paraId="6045666C"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Далее последовал обстрел из 75-мм пушки KwK 42 L/71, установленной на немецком танке Pz.Kpfw.Panther Ausf.D. На дистанции 100 метров лоб корпуса удалось пробить. А вот рубку с 200 метров пробить не удалось.</w:t>
      </w:r>
    </w:p>
    <w:p w14:paraId="617715F3"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Самым же страшным испытанием стал обстрел из 152-мм гаубицы-пушки МЛ-20, установленной в опытном образце ИСУ-152. Второе попадание в лобовую часть корпуса привело к тому, что и экран, и лист были сломаны пополам. Не в последнюю очередь такой результат был получен из-за незаваренной амбразуры курсового пулемёта, который вновь установили на Elefant.</w:t>
      </w:r>
    </w:p>
    <w:p w14:paraId="3091E784" w14:textId="77777777" w:rsidR="00180E5C" w:rsidRPr="00271E51" w:rsidRDefault="00180E5C"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 этом испытания обстрелом было решено прекратить. МЛ-20 превратила «Фердинанд» в груду обломков. Предполагалось отправить расстрелянную машину на трофейную выставку в Москву, но позже решение изменили. Для демонстрации была взята другая машина, которую также обстреливали (вполне вероятно, это был «Фердинанд», который обстреляли летом 1943 года). В паре к ней на выставку отправилась и целая самоходная установка. Машина с бортовым номером 501 осталась на НИБТ Полигоне (17707).</w:t>
      </w:r>
    </w:p>
    <w:p w14:paraId="686B7D6E"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7EB7D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вышло Постановление ГКО № 4215 О передаче Главгазтоппрому при СНК СССР машиностроительных заводов.РГАНИР, Фонд ГКО, д. 153, лл. 141 (11012).</w:t>
      </w:r>
    </w:p>
    <w:p w14:paraId="6D4A2B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A59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вышло Распоряжение ГКО № 4216 [Об освобождении Ростовского облисполкома от мобилизации 2 тыс. чел. на строительство и о мобилизации 1200 человек на восстановительные работы в Ростовской обл., промышленное строительство в Красноярске и на Таганрогский металлургический завод.] (7096, 142).</w:t>
      </w:r>
    </w:p>
    <w:p w14:paraId="5DDB76D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BAC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года общее собрание АН СССР утвердило произведенные Отделением физико-математических наук выборы в члены-корреспонденты Академии наук А.П. Александрова и И.К. Кикоина, основных помощников И.В. Курчатова в реализации первых стадий атомного проекта (10549).</w:t>
      </w:r>
    </w:p>
    <w:p w14:paraId="08D84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436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29 сентября 1943 года вышел приказ № 321, 7 ноября 1943 года вышел приказ № 404 и 29 февраля 1944 года вышел приказ № 102 во исполнение Постановление СНК № 941 от 1 сентября 1943 года согласно которым проектировался Часовой завод № 5 в Сердобске Пензенской области </w:t>
      </w:r>
    </w:p>
    <w:p w14:paraId="64496A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Первоначальное назначение завода – выпуск миниатюрных будильников типа Юнгана и настольных часов.</w:t>
      </w:r>
    </w:p>
    <w:p w14:paraId="6F9721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приказом НКВМ № 102 от 29 февраля 1944 года проектирование было приостановлено.</w:t>
      </w:r>
    </w:p>
    <w:p w14:paraId="13E614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7CBB46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0D7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w:t>
      </w:r>
      <w:r w:rsidRPr="00271E51">
        <w:rPr>
          <w:rFonts w:ascii="Times New Roman" w:hAnsi="Times New Roman"/>
          <w:color w:val="000000" w:themeColor="text1"/>
          <w:sz w:val="16"/>
          <w:szCs w:val="16"/>
        </w:rPr>
        <w:softHyphen/>
        <w:t>ря 1943 г. второй тральщик "Васи</w:t>
      </w:r>
      <w:r w:rsidRPr="00271E51">
        <w:rPr>
          <w:rFonts w:ascii="Times New Roman" w:hAnsi="Times New Roman"/>
          <w:color w:val="000000" w:themeColor="text1"/>
          <w:sz w:val="16"/>
          <w:szCs w:val="16"/>
        </w:rPr>
        <w:softHyphen/>
        <w:t>лий Громов" (главный строитель Б. В. Плисов) был сдан ВМФ (3898).</w:t>
      </w:r>
    </w:p>
    <w:p w14:paraId="4A9C4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004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Петрозавод сдал флоту турбинный ЭТЩ "Василий Гро-мов", а адмиралтейцы - седьмой МБК (10671).</w:t>
      </w:r>
    </w:p>
    <w:p w14:paraId="5AE3E0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1F55E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430AB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391328"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сентября </w:t>
      </w:r>
      <w:r w:rsidRPr="00271E51">
        <w:rPr>
          <w:rFonts w:ascii="Times New Roman" w:hAnsi="Times New Roman"/>
          <w:color w:val="000000" w:themeColor="text1"/>
          <w:sz w:val="16"/>
          <w:szCs w:val="16"/>
        </w:rPr>
        <w:t>в 1943 году оперативная сводка Совинформбюро:</w:t>
      </w:r>
    </w:p>
    <w:p w14:paraId="6AA0A06C"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Степного фронта после трёхдневных ожесточённых боёв сломили сопротивление противника на предмостных укреплениях левого берега реки Днепр и 29 сентября штурмом овладели городом Кременчуг.</w:t>
      </w:r>
    </w:p>
    <w:p w14:paraId="2F37469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в результате ожесточённых боёв сломили сопротивление противника на предмостных укреплениях в районе Дарницы и, отбросив немцев на правый берег реки Днепр, овладели железнодорожным узлом Дарница и сильно укреплёнными опорными пунктами противника на левом берегу реки —Троещина, Выгуровщина, Труханов Остров, Предмостная Слобода, Поздняки, Осокорки.</w:t>
      </w:r>
    </w:p>
    <w:p w14:paraId="769C1C9E"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продолжая развивать наступление, продвинулись на отдельных участках вперёд от 6 до 10 километров и овладели районным центром Гомельской области городом ВЕТКА, а также заняли свыше 170 других населённых пунктов, в том числе крупные населённые пункты Самотевичи, Папоротная, Вяжновка, Заборье, Макаричи, Ширки, Казацкие Болсуны, Перелевка, Большие и Малые Немки, Столбун, Громыки, Бартоломеевка, Беседь, Новосёлки, Радуги, Хальч, Дубовый Лог, Леонтьево, Тарасовка.</w:t>
      </w:r>
    </w:p>
    <w:p w14:paraId="5E02CCB6"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наступление и, продвинувшись вперёд от 5 до 10 километров, заняли свыше 370 населённых пунктов, в том числе крупные населённые пункты Горская Слобода, Волынцево, Горы, Шамово, Нестерово, Бель, Ларияново, Селец, Коренец, Березовка, Красовичи, Малоезабычанье, Норкино, Галачёвка, Ветухна, Красница, Ревенск.</w:t>
      </w:r>
    </w:p>
    <w:p w14:paraId="2C7450F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сломив сопротивление противника, овладели городом и железнодорожной станцией Рудня, а также заняли более 120 населённых пунктов, среди которых районный центр Смоленской области Понизовье и крупные населенные пункты Микулино, Бутрово, Сутоки, Хлыстовка, Ляды.</w:t>
      </w:r>
    </w:p>
    <w:p w14:paraId="0551D378"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сентября наши войска на всех фронтах подбили и уничтожили 46 немецких танков. В воздушных боях и огнём зенитной артиллерии сбито 52 самолёта противника.</w:t>
      </w:r>
    </w:p>
    <w:p w14:paraId="2F2A52A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Степного фронта сегодня штурмом овладели городом Кременчуг. Противник подбросил в этот район резервы и всеми мерами старался удержать предмостные укрепления левого берега реки Днепр. После трёхдневных ожесточённых боёв наши войска сломили сопротивление немцев и заняли город Кременчуг. Остатки разгромленных немецких войск отброшены за реку Днепр. Захвачено много трофеев.</w:t>
      </w:r>
    </w:p>
    <w:p w14:paraId="05B0882A"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Киевском направлении наши войска, сломив упорное сопротивление противника, овладели железнодорожным узлом Дарница и рядом сильно укреплённых опорных пунктов на левом берегу реки Днепр. Наши войска, заняв предмостные укрепления противника в этом районе, вышли непосредственно к реке Днепр перед городом Киев. Остатки разбитых немецких войск отброшены на правый берег реки. За несколько дней ожесточённых боёв по ликвидации предмостных укреплений противника в районе Дарницы наши войска уничтожили более 6.000 вражеских солдат и офицеров, 69 танков и 78 орудий. Захвачено много орудий, боеприпасов и автомашин. Взяты пленные.</w:t>
      </w:r>
    </w:p>
    <w:p w14:paraId="6064640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наступление и заняли свыше 170 населённых пунктов. Советские стрелковые части, поддержанные танками, стремительно продвинулись вперёд и овладели городом Ветка (северо-восточнее Гомеля). В бою за город противник потерял убитыми не менее 600 солдат и офицеров. Захвачены трофеи, в числе которых 15 орудий разных калибров. На другом участке бойцы Н-ского соединения, с боями продвигаясь вперёд, вышли к реке Сож и заняли ряд населённых пунктов. Уничтожено свыше батальона гитлеровцев. Взяты пленные. Захвачены 10 бронемашин, 44 пулемёта, 600 винтовок и автоматов, склад боеприпасов и два склада с зерном.</w:t>
      </w:r>
    </w:p>
    <w:p w14:paraId="065E90A1"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Могилёвском направлении наши войска продолжали наступление и заняли свыше 370 населённых пунктов. Части Н-ского соединения в ряде мест переправились через реку Вихра. Противник пытался закрепиться на новом оборонительном рубеже, но был разгромлен и отброшен нашими подвижными отрядами. В этих боях уничтожено до 2.000 немецких солдат и офицеров. Взято более 200 пленных. Только подразделения одной нашей части захватили 13 орудий, 124 пулемёта, 300 винтовок, 12 тракторов-тягачей и 25 автомашин.</w:t>
      </w:r>
    </w:p>
    <w:p w14:paraId="74DF1E6B"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преодолевая сопротивление противника, продолжали наступление. Части Н-ского соединения сегодня овладели городом и железнодорожной станцией Рудня, а также заняли многие другие крупные населённые пункты. За день боёв уничтожено свыше 1.000 немецких солдат и офицеров. Захвачены трофеи, среди которых 12 орудий и два склада боеприпасов. Части другого нашего соединения, несмотря на дожди, испортившие дороги, продолжали отбрасывать врага на запад и продвинулись от 10 до 15 километров. Умелыми обходными манёврами наши бойцы выбивают немцев из укреплённых рубежей. Бойцы Н-ской части переправились через реку Березина (в Смоленской области) и овладели рядом населённых пунктов. На поле боя осталось свыше 400 вражеских трупов. Захвачены две немецких артиллерийских батареи, 7 миномётов, 11 противотанковых ружей и 32 автомашины с боеприпасами. Взято более 50 пленных.</w:t>
      </w:r>
    </w:p>
    <w:p w14:paraId="2E9ED5F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Северного флота совершили успешный налёт на аэродром противника и уничтожили на земле до 20 немецких самолётов.</w:t>
      </w:r>
    </w:p>
    <w:p w14:paraId="1E8388E7"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 транспорт противника водоизмещением в 8.000 тонн, 5 самоходных барж и 2 катера.</w:t>
      </w:r>
    </w:p>
    <w:p w14:paraId="3727B86C"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одновременно напал на охрану двух железнодорожных разъездов. Партизаны истребили немецкую охрану, взорвали 6 мостов, 4 военных склада и разрушили 12 тысяч метров телеграфно-телефонной линии связи. Партизаны другого Ленинградского отряда ночью ворвались на территорию железнодорожной станции и сожгли стоявший на путях воинский эшелон противника. В ожесточённой схватке советские патриоты уничтожили на станции до роты гитлеровцев.</w:t>
      </w:r>
    </w:p>
    <w:p w14:paraId="09DACB0C"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рассказ гражданки Кодановой Матрёны Ивановны, жительницы деревни Колошичи, Брасовского района, Орловской области, о чудовищном преступлении немецко-фашистских извергов: «Когда части Красной Армии стали приближаться к нашей деревне, немцы приказали всем жителям под угрозой расстрела немедленно эвакуироваться на запад. Мы группой в 30 человек тайком ушли в лес, спрятались там от немцев и ждали прихода Красной Армии. Несколько дней спустя немецкие солдаты обнаружили нас. Немецкие бандиты открыли пулемётный огонь по беззащитным женщинам, детям и старикам.</w:t>
      </w:r>
    </w:p>
    <w:p w14:paraId="29AC4D9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упала и притворилась мёртвой. От рук гитлеровцев погибли Чабанова Мотя — 5 дет, Кодановы Нина — 6 дет и Мария— 3 лет, Гуров Василий — 7 лет, Туров Александр — 8 лет, Гурова Вера — 12 лет, Гурова Наталья—17 дет, Гуров Иван — 80лет и другие жители деревни» (14784).</w:t>
      </w:r>
    </w:p>
    <w:p w14:paraId="5229AFF0"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244F5D5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советские войска освободили Кременчуг (4962).</w:t>
      </w:r>
    </w:p>
    <w:p w14:paraId="13BD5D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C1711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сентября </w:t>
      </w:r>
      <w:r w:rsidRPr="00271E51">
        <w:rPr>
          <w:rFonts w:ascii="Times New Roman" w:hAnsi="Times New Roman"/>
          <w:color w:val="000000" w:themeColor="text1"/>
          <w:sz w:val="16"/>
          <w:szCs w:val="16"/>
        </w:rPr>
        <w:t>в 1943 году за освобождение города Рудни (Смоленская область) 19–я гвардейская дивизия, сформированная в городе Томске, получила наименование Рудненская (1943 г.). 5 июня 1981 в городе Томске улица Лесопитомник была переименована в улицу 19-й гвардейской дивизии (14784).</w:t>
      </w:r>
    </w:p>
    <w:p w14:paraId="321CC5B1"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14D8E99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08570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45AF2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на английском линкоре “Нельсон” у Мальты Италия подписала перемирие с союзниками (4962).</w:t>
      </w:r>
    </w:p>
    <w:p w14:paraId="5E5E6CD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1B0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г. на Мальте был подписан окончательный документ о капитуляции Италии (3871).</w:t>
      </w:r>
    </w:p>
    <w:p w14:paraId="756C1D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6F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29 September 1943 Allied Army enters Naples as German resistance crumbles (270).</w:t>
      </w:r>
    </w:p>
    <w:p w14:paraId="3E4328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71D9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армия союзников вошла в Неаполь (270).</w:t>
      </w:r>
    </w:p>
    <w:p w14:paraId="77BA74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AFD5D"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29–30 сентября (ночь) 1943 352 британских бомбардировщика совершили точный и успешный налет на Бохум, Германия. Девять британских самолетов (2,6 процента сил) потеряны (20376).</w:t>
      </w:r>
    </w:p>
    <w:p w14:paraId="12A6CE80" w14:textId="77777777" w:rsidR="002877BD" w:rsidRPr="00271E51" w:rsidRDefault="002877BD" w:rsidP="00271E51">
      <w:pPr>
        <w:spacing w:after="0" w:line="240" w:lineRule="auto"/>
        <w:jc w:val="both"/>
        <w:rPr>
          <w:rFonts w:ascii="Times New Roman" w:hAnsi="Times New Roman"/>
          <w:color w:val="0070C0"/>
          <w:sz w:val="16"/>
          <w:szCs w:val="16"/>
        </w:rPr>
      </w:pPr>
    </w:p>
    <w:p w14:paraId="4702515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Токийский суд приговорил русского разведчика Рихарда Зорге к казни (4962).</w:t>
      </w:r>
    </w:p>
    <w:p w14:paraId="3EF748F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684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сентября 1943 в США была впервые опубликована книга А.Гитлера Mein Kampf (2100).</w:t>
      </w:r>
    </w:p>
    <w:p w14:paraId="07F383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1898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A06B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EF03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Командующий ВВС Новиков и чл. ВС ВВС Шиманов утвердили подписанный Репиным 28 сентября 1943 "Акт утверждения результатов гос. испытаний модернизированного самолета Ил-2И с мотором АМ-38Ф в варианте "истребителя бомбардировщиков" (самолет N 7581 производства завода 1 в июле 1943)". Летные данные по сравнению с двухместным самолетом улучшились незначительно: максимальная скорость увеличилась на 14 км/час у земли и на 18 км/час на границе высотности, а практический потолок вырос с 5300 до 6500 м. Самолет может использоваться для борьбы только с некоторыми типами бомбардировщиков и транспортных самолетов со сравнительно небольшими скоростями (Не-111, ФВ-200, Ю-87, Ю-52) на высотах не выше 4000 м и ФВ могут уходить за счет лучшей скороподъемности. Более скоростные бомбардировщики типа Ю-88 и До-215 Ил-2И может атаковать лишь случайно из-за большой скорости. Снятие ШКАС, РО и ликвидация бомбоотсеков резко снизили качества самолета как штурмовика. Считать, что дальнейшая постройка самолета Ил-2И в варианте истребителя и установка АМ-42 (постановление ГОКО N 3386сс от 15 мая 1943) на истребительный вариант Ил-2 - нецелесообразны. Испытанный опытный винт АВ-5Л-158В д. 3.4 м, дающий увеличение макс. скорости на 8 км/час рекомендовать для установки на ранее выпущенные Ил-2И". (1862).</w:t>
      </w:r>
    </w:p>
    <w:p w14:paraId="527573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F63C"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i w:val="0"/>
          <w:iCs w:val="0"/>
          <w:strike w:val="0"/>
          <w:color w:val="0070C0"/>
          <w:sz w:val="16"/>
          <w:szCs w:val="16"/>
          <w:u w:val="none"/>
        </w:rPr>
        <w:t>30 сен</w:t>
      </w:r>
      <w:r w:rsidRPr="00271E51">
        <w:rPr>
          <w:rStyle w:val="145"/>
          <w:rFonts w:ascii="Times New Roman" w:hAnsi="Times New Roman" w:cs="Times New Roman"/>
          <w:i w:val="0"/>
          <w:iCs w:val="0"/>
          <w:strike w:val="0"/>
          <w:color w:val="0070C0"/>
          <w:sz w:val="16"/>
          <w:szCs w:val="16"/>
          <w:u w:val="none"/>
        </w:rPr>
        <w:softHyphen/>
        <w:t>тября 1943 г. в акте НИИ ВВС по результатам государствен</w:t>
      </w:r>
      <w:r w:rsidRPr="00271E51">
        <w:rPr>
          <w:rStyle w:val="145"/>
          <w:rFonts w:ascii="Times New Roman" w:hAnsi="Times New Roman" w:cs="Times New Roman"/>
          <w:i w:val="0"/>
          <w:iCs w:val="0"/>
          <w:strike w:val="0"/>
          <w:color w:val="0070C0"/>
          <w:sz w:val="16"/>
          <w:szCs w:val="16"/>
          <w:u w:val="none"/>
        </w:rPr>
        <w:softHyphen/>
        <w:t>ных испытаний серийного Ил-2-И зав. №7581 констатировалось:</w:t>
      </w:r>
      <w:r w:rsidRPr="00271E51">
        <w:rPr>
          <w:rFonts w:ascii="Times New Roman" w:hAnsi="Times New Roman"/>
          <w:color w:val="0070C0"/>
          <w:sz w:val="16"/>
          <w:szCs w:val="16"/>
        </w:rPr>
        <w:t xml:space="preserve"> «СЧИТАТЬ, что как дальнейшая постройка Ил-2И в варианте истребителя, так и установка мотора АМ-42 (Постановление ГКО № 3386сс от 17.5.43 г.) на истребительный вариант Ил-2 - НЕЦЕЛЕСООБРАЗНЫ</w:t>
      </w:r>
      <w:r w:rsidRPr="00271E51">
        <w:rPr>
          <w:rStyle w:val="145"/>
          <w:rFonts w:ascii="Times New Roman" w:hAnsi="Times New Roman" w:cs="Times New Roman"/>
          <w:color w:val="0070C0"/>
          <w:sz w:val="16"/>
          <w:szCs w:val="16"/>
          <w:u w:val="none"/>
        </w:rPr>
        <w:t xml:space="preserve"> </w:t>
      </w:r>
      <w:r w:rsidRPr="00271E51">
        <w:rPr>
          <w:rStyle w:val="145"/>
          <w:rFonts w:ascii="Times New Roman" w:hAnsi="Times New Roman" w:cs="Times New Roman"/>
          <w:i w:val="0"/>
          <w:iCs w:val="0"/>
          <w:strike w:val="0"/>
          <w:color w:val="0070C0"/>
          <w:sz w:val="16"/>
          <w:szCs w:val="16"/>
          <w:u w:val="none"/>
        </w:rPr>
        <w:t>(так в документе</w:t>
      </w:r>
      <w:r w:rsidRPr="00271E51">
        <w:rPr>
          <w:rFonts w:ascii="Times New Roman" w:hAnsi="Times New Roman"/>
          <w:i/>
          <w:iCs/>
          <w:strike/>
          <w:color w:val="0070C0"/>
          <w:sz w:val="16"/>
          <w:szCs w:val="16"/>
        </w:rPr>
        <w:t>)</w:t>
      </w:r>
      <w:r w:rsidRPr="00271E51">
        <w:rPr>
          <w:rFonts w:ascii="Times New Roman" w:hAnsi="Times New Roman"/>
          <w:color w:val="0070C0"/>
          <w:sz w:val="16"/>
          <w:szCs w:val="16"/>
        </w:rPr>
        <w:t>».</w:t>
      </w:r>
    </w:p>
    <w:p w14:paraId="50983C14" w14:textId="77777777" w:rsidR="002877BD" w:rsidRPr="00271E51" w:rsidRDefault="002877BD"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Командование ВВС КА незамедли</w:t>
      </w:r>
      <w:r w:rsidRPr="00271E51">
        <w:rPr>
          <w:rFonts w:ascii="Times New Roman" w:hAnsi="Times New Roman" w:cs="Times New Roman"/>
          <w:color w:val="0070C0"/>
          <w:sz w:val="16"/>
          <w:szCs w:val="16"/>
        </w:rPr>
        <w:softHyphen/>
        <w:t>тельно обратилось в ГКО с предложением прекратить все работы и по истребителю Ил-2-2И с АМ-42 (19846).</w:t>
      </w:r>
    </w:p>
    <w:p w14:paraId="7B45B4C3" w14:textId="77777777" w:rsidR="002877BD" w:rsidRPr="00271E51" w:rsidRDefault="002877BD" w:rsidP="00271E51">
      <w:pPr>
        <w:pStyle w:val="234"/>
        <w:shd w:val="clear" w:color="auto" w:fill="auto"/>
        <w:spacing w:line="240" w:lineRule="auto"/>
        <w:jc w:val="both"/>
        <w:rPr>
          <w:rFonts w:ascii="Times New Roman" w:hAnsi="Times New Roman" w:cs="Times New Roman"/>
          <w:color w:val="0070C0"/>
          <w:sz w:val="16"/>
          <w:szCs w:val="16"/>
        </w:rPr>
      </w:pPr>
    </w:p>
    <w:p w14:paraId="7EED6872" w14:textId="77777777" w:rsidR="00180E5C" w:rsidRPr="00271E51" w:rsidRDefault="00180E5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года в акте по результатам испытаний Ил-2И констатировалось: «СЧИТАТЬ, что как дальнейшая постройка Ил-2И в варианте истребителя, так и установка мотора АМ-42 (Постановление ГКО № 3336сс от 17.5.43 г.) на истребительный вариант Ил-2 – НЕЦЕЛЕСООБРАЗНЫ», – (17490).</w:t>
      </w:r>
    </w:p>
    <w:p w14:paraId="74CCC855"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6F2E6C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года начальник 1 отдела НИИ ВВС Рудинцев писал письмо N 1/00142 Шахурину.</w:t>
      </w:r>
    </w:p>
    <w:p w14:paraId="63139A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летно-технических данных самолетов, прошедших испытания в НИИ ВВС, для включения их в альбом самолетов ВВС 1943 года:</w:t>
      </w:r>
    </w:p>
    <w:p w14:paraId="022B4F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Пе-2 с 2М-105ПФ N 7/196.</w:t>
      </w:r>
    </w:p>
    <w:p w14:paraId="52A67B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Пе-2 с 2М-105ПФ N 12/206.</w:t>
      </w:r>
    </w:p>
    <w:p w14:paraId="57EA80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ТС-1 с 2М-11Д.</w:t>
      </w:r>
    </w:p>
    <w:p w14:paraId="5A4962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"Харрикейн" Пе с мотором Роллс-Ройс "Мерлин" ХХ.</w:t>
      </w:r>
    </w:p>
    <w:p w14:paraId="4C4C99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Юнкерс Ju-87 D-3trop c мот. Jumo-211.</w:t>
      </w:r>
    </w:p>
    <w:p w14:paraId="31BA32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"Аэрокобра" Р-39 N-0-ВЕ с мотором Аллисон V-1710-85.</w:t>
      </w:r>
    </w:p>
    <w:p w14:paraId="4F3504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Ил-4 с 2М-88Б N 50803 (1783,199).</w:t>
      </w:r>
    </w:p>
    <w:p w14:paraId="400B12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CC6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30 сентября по 18 октября 1943 г. проходили государственные испытания Ла-5 №39210109. Всасывающий тракт перенесли с верхней части капота вниз, под обшивку; воздух в него поступал через окно сверху в переднем кольце капота. Мас- лорадиатор сдвинули назад и разместили снаружи между третьим и пятым шпангоутами. Средняя секция фонаря стала не сдвигаться назад по направляющим, а откидываться вбок, как на немецком истребителе Bf 109. Дополнительные щитки полностью закрывали убранные колёса основных стоек шасси. Кроме этого, улучшили зализы крыла с фюзеляжем, выхлопные коллекторы заменили индивидуальными патрубками по типу Ла-5ФН, доработали капот и улучшили герметизацию самолёта. Возросла до 20% осевая компенсация руля высоты, снизившая нагрузки на ручку управления самолётом, а прицел ПБП-1 заменили на ВВ-1. Вооружение осталось прежнее - две синхронные пушки СП-20, не изменилось и </w:t>
      </w:r>
      <w:r w:rsidRPr="00271E51">
        <w:rPr>
          <w:rFonts w:ascii="Times New Roman" w:hAnsi="Times New Roman"/>
          <w:color w:val="000000" w:themeColor="text1"/>
          <w:sz w:val="16"/>
          <w:szCs w:val="16"/>
        </w:rPr>
        <w:lastRenderedPageBreak/>
        <w:t>оборудование кабины. Ведущим инженером по машине был Н.Н. Борисов. По мнению ведущих лётчиков А.Г. Кубышкина и И.М. Дзюбы, а также участвовавших в облёте нового истребителя П.М. Сте- фановского и А.Г. Прошакова, самолёт по технике пилотирования ничем не отличался от серийных машин, но обзор из кабины в стороны ухудшился (в основном, из-за потёртости плексигласа боковых подвижных створок), что усложняло посадку и взлёт с ограниченных площадок. Более того, открывавшийся вбок фонарь затруднял посадку лётчика в кабину, аварийный его сброс двумя руками оказался неудобным. Но обзор вперёд, благодаря переносу воздухозаборника двигателя вниз, улучшился, облегчив также прицеливание. Максимальная скорость самолёта возросла до 630 км/ч, время виража сократилось на 1 - 2 с, а набор высоты за боевой разворот увеличился до 120 м. Улучшенная герметизация кабины и вентиляция позволили снизить температуру в ней до достаточно приемлемых 30°. Хотя этот вариант истребителя в серию не пошёл, многие заложенные в нём технические решения потом перекочевали на будущий Ла-7 (11986).</w:t>
      </w:r>
    </w:p>
    <w:p w14:paraId="61ED4C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43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30 сентября по 18 октября 1943 г. проходили государственные испытания Ла-5 № 39210109. Всасывающий патрубок перенесли с верхней части мотора под капот, а торчащую "бородку" маслорадиатора разместили между третьим и пятым шпангоутами. Фонарь, вместо сдвижного, стал открывающимся вбок по типу Bf 109, а дополнительные щитки полностью закрывали убранные колеса основных опор.</w:t>
      </w:r>
    </w:p>
    <w:p w14:paraId="3DF4C4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улучшили зализы крыла с фюзеляжем, выхлопные коллекторы заменили индивидуальными патрубками, доработали капот и улучшили герметизацию самолета. Возросла до 20 процентов осевая компенсация руля высоты, снизившая нагрузки на ручку управления самолетом, а прицел ПБП-1 заменили на ВВ-1. Вооружение осталось прежнее - две синхронные пушки СП-20, не изменилось и оборудование кабины.</w:t>
      </w:r>
    </w:p>
    <w:p w14:paraId="723553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 инженером по машине был Н.Н. Борисов. По мнению летчиков-испытателей А.Г Кубышкина и И.М. Дзюбы, П.М. Стефановского и А.Г. Прошакова, самолет по технике пилотирования ничем не отличался от серийных машин, но обзор из кабины в стороны ухудшился из-за потертости плексигласа боковых подвижных створок, что усложнило посадку и взлет с ограниченных площадок. Более того, открывавшийся вбок фонарь затруднял посадку летчика в кабину, да и аварийный его сброс двумя руками оказался неудобным. Но обзор вперед, благодаря перенесению воздухозаборника под капот, улучшился, облегчив летчику прицеливание.</w:t>
      </w:r>
    </w:p>
    <w:p w14:paraId="02DA0D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возросла до 630 км/ч скорости, время одинарного виража сократилось на 1-2 секунды, а набор высоты за боевой разворот увеличился до 120 м.</w:t>
      </w:r>
    </w:p>
    <w:p w14:paraId="024560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Лучшая герметизация кабины и вентиляция позволили снизить температуру почти до 30 градусов. Хотя истребитель в серию не пошел, многие технические решения, заложенные в нем, перекочевали на будущий Ла-7 (12032).</w:t>
      </w:r>
    </w:p>
    <w:p w14:paraId="3A8226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06C0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закончились объединенные испытания Ла-5УТИ, которые велись с 3 сентября 1843 (4,232).</w:t>
      </w:r>
    </w:p>
    <w:p w14:paraId="5417D2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20B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закончились гос. испытания лвухместного Ла-5УТИ с двигателем М-82М, которые проходили с 3 сентября и самолет был запущен в серийное производство в 1944 г. Полевые переделки для обучения на новых тогда Ла-5 появились в ноябре 1942 г., практически сразу же, после начала поступления самолетов войска. Ла-5УТИ имел двойное управление, кабину инструктора - сзади, и облегченное вооружение (снята правая пушка). На спарки не устанавливались бронестекло фонаря, бронеспинка сидения, радиостанция, система наддува топливных баков нейтральным газом, бомбовое вооружение. Примерно такую же "перелицовку" проделали с Ла-7, получив в результате Ла-7УТИ (4707).</w:t>
      </w:r>
    </w:p>
    <w:p w14:paraId="6AD097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B4A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был подписан Акт о завер</w:t>
      </w:r>
      <w:r w:rsidRPr="00271E51">
        <w:rPr>
          <w:rFonts w:ascii="Times New Roman" w:hAnsi="Times New Roman"/>
          <w:color w:val="000000" w:themeColor="text1"/>
          <w:sz w:val="16"/>
          <w:szCs w:val="16"/>
        </w:rPr>
        <w:softHyphen/>
        <w:t>шении испытаний Ла-5УТИ, а двумя днями ранее вышло Постановление ГКО № 4210 о переоборудовании в УТИ части серийных Ла-5. Но НКАП долго не мог решить, кому поручить такую работу. Лишь 19 октября вышел приказ № 623, определивший исполнителем завод № 163 в Иркут</w:t>
      </w:r>
      <w:r w:rsidRPr="00271E51">
        <w:rPr>
          <w:rFonts w:ascii="Times New Roman" w:hAnsi="Times New Roman"/>
          <w:color w:val="000000" w:themeColor="text1"/>
          <w:sz w:val="16"/>
          <w:szCs w:val="16"/>
        </w:rPr>
        <w:softHyphen/>
        <w:t>ске, который до конца года должен был переделать 20 Ла-5 (11123).Хотя в Акте по ГСИ было сказано, что устойчивость и управляемость Ла-5УТИ в норме, а по технике пило</w:t>
      </w:r>
      <w:r w:rsidRPr="00271E51">
        <w:rPr>
          <w:rFonts w:ascii="Times New Roman" w:hAnsi="Times New Roman"/>
          <w:color w:val="000000" w:themeColor="text1"/>
          <w:sz w:val="16"/>
          <w:szCs w:val="16"/>
        </w:rPr>
        <w:softHyphen/>
        <w:t>тирования он не отличается от одноместного самоле</w:t>
      </w:r>
      <w:r w:rsidRPr="00271E51">
        <w:rPr>
          <w:rFonts w:ascii="Times New Roman" w:hAnsi="Times New Roman"/>
          <w:color w:val="000000" w:themeColor="text1"/>
          <w:sz w:val="16"/>
          <w:szCs w:val="16"/>
        </w:rPr>
        <w:softHyphen/>
        <w:t>та, начальник ЛИИ Чесалов письмом № 676с от 12 но</w:t>
      </w:r>
      <w:r w:rsidRPr="00271E51">
        <w:rPr>
          <w:rFonts w:ascii="Times New Roman" w:hAnsi="Times New Roman"/>
          <w:color w:val="000000" w:themeColor="text1"/>
          <w:sz w:val="16"/>
          <w:szCs w:val="16"/>
        </w:rPr>
        <w:softHyphen/>
        <w:t>ября 1943 г. сообщал заместителю наркома авиапро</w:t>
      </w:r>
      <w:r w:rsidRPr="00271E51">
        <w:rPr>
          <w:rFonts w:ascii="Times New Roman" w:hAnsi="Times New Roman"/>
          <w:color w:val="000000" w:themeColor="text1"/>
          <w:sz w:val="16"/>
          <w:szCs w:val="16"/>
        </w:rPr>
        <w:softHyphen/>
        <w:t xml:space="preserve">ма Дементьеву: </w:t>
      </w:r>
      <w:r w:rsidRPr="00271E51">
        <w:rPr>
          <w:rFonts w:ascii="Times New Roman" w:hAnsi="Times New Roman"/>
          <w:iCs/>
          <w:color w:val="000000" w:themeColor="text1"/>
          <w:sz w:val="16"/>
          <w:szCs w:val="16"/>
        </w:rPr>
        <w:t xml:space="preserve">«...ни продольная, ни путевая устойчивость машины не укладываются в требуемый диапазон». </w:t>
      </w:r>
      <w:r w:rsidRPr="00271E51">
        <w:rPr>
          <w:rFonts w:ascii="Times New Roman" w:hAnsi="Times New Roman"/>
          <w:color w:val="000000" w:themeColor="text1"/>
          <w:sz w:val="16"/>
          <w:szCs w:val="16"/>
        </w:rPr>
        <w:t>5 мая 1944 г. «провалил» контрольные ис</w:t>
      </w:r>
      <w:r w:rsidRPr="00271E51">
        <w:rPr>
          <w:rFonts w:ascii="Times New Roman" w:hAnsi="Times New Roman"/>
          <w:color w:val="000000" w:themeColor="text1"/>
          <w:sz w:val="16"/>
          <w:szCs w:val="16"/>
        </w:rPr>
        <w:softHyphen/>
        <w:t>пытания Ла-5УТИ, переделанный из серийного № 37210813 в 30-х полевых авиаремонтных мастер</w:t>
      </w:r>
      <w:r w:rsidRPr="00271E51">
        <w:rPr>
          <w:rFonts w:ascii="Times New Roman" w:hAnsi="Times New Roman"/>
          <w:color w:val="000000" w:themeColor="text1"/>
          <w:sz w:val="16"/>
          <w:szCs w:val="16"/>
        </w:rPr>
        <w:softHyphen/>
        <w:t>ских 1-й воздушной армии. Лишь установка центро</w:t>
      </w:r>
      <w:r w:rsidRPr="00271E51">
        <w:rPr>
          <w:rFonts w:ascii="Times New Roman" w:hAnsi="Times New Roman"/>
          <w:color w:val="000000" w:themeColor="text1"/>
          <w:sz w:val="16"/>
          <w:szCs w:val="16"/>
        </w:rPr>
        <w:softHyphen/>
        <w:t>вочных грузов и контрбалансира (пружины, создавав</w:t>
      </w:r>
      <w:r w:rsidRPr="00271E51">
        <w:rPr>
          <w:rFonts w:ascii="Times New Roman" w:hAnsi="Times New Roman"/>
          <w:color w:val="000000" w:themeColor="text1"/>
          <w:sz w:val="16"/>
          <w:szCs w:val="16"/>
        </w:rPr>
        <w:softHyphen/>
        <w:t>шей дополнительную нагрузку на ручку управления) позволила обеспечить безопасную эксплуатацию это</w:t>
      </w:r>
      <w:r w:rsidRPr="00271E51">
        <w:rPr>
          <w:rFonts w:ascii="Times New Roman" w:hAnsi="Times New Roman"/>
          <w:color w:val="000000" w:themeColor="text1"/>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271E51">
        <w:rPr>
          <w:rFonts w:ascii="Times New Roman" w:hAnsi="Times New Roman"/>
          <w:color w:val="000000" w:themeColor="text1"/>
          <w:sz w:val="16"/>
          <w:szCs w:val="16"/>
        </w:rPr>
        <w:softHyphen/>
        <w:t>ходившие на ремонт самолеты всех основных моди</w:t>
      </w:r>
      <w:r w:rsidRPr="00271E51">
        <w:rPr>
          <w:rFonts w:ascii="Times New Roman" w:hAnsi="Times New Roman"/>
          <w:color w:val="000000" w:themeColor="text1"/>
          <w:sz w:val="16"/>
          <w:szCs w:val="16"/>
        </w:rPr>
        <w:softHyphen/>
        <w:t>фикаций, выбирая самые изношенные (11123).</w:t>
      </w:r>
    </w:p>
    <w:p w14:paraId="4C4C3D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BF2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закончились заводские испытания Як-1М дублера, которые начались 20 сентября 1943 (65,169).</w:t>
      </w:r>
    </w:p>
    <w:p w14:paraId="47FE9B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564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 Як-1М дублер, выпущенный 17 сентября 1943, успешно прошел заводские ( которые шли с 20 сентября)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w:t>
      </w:r>
    </w:p>
    <w:p w14:paraId="1D141D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 на основе результатов продувок Як-1М в аэродинамической трубе ЦАГИ для поиска дополнительных мер по улучшению обводов и работы устройств охлаждения в августе,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 (12048).</w:t>
      </w:r>
    </w:p>
    <w:p w14:paraId="27CF1D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BA4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согласно журнала наблюдения за проектированием, постройкой и испытаниями МиГ-3 на МиГ-3 Д-2 устанавливались удлиненные консоли (992,10).</w:t>
      </w:r>
    </w:p>
    <w:p w14:paraId="6C990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FEC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МП Н.Н.П. поступил в НИИ ВВС на гос. испытания, который шли с 4 октября по 6 ноября 1943 (94,111).</w:t>
      </w:r>
    </w:p>
    <w:p w14:paraId="51C569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C8A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года Д. Устинов писал письмо № М-9/7209 зам. председателя СНК Берия Л.П.</w:t>
      </w:r>
    </w:p>
    <w:p w14:paraId="4DCAD0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начала ВОВ в авиасоединениях КА непосредственно на фронте работают бригады отладчиков-механиков заводов НКВ. Эти бригады занимаются отладкой вооружения на самолетах и ликвидацией возникающих дефектов; восстановлением вооружения и использованием его с самолетов вышедших из строя; обучением летного состава авиасоединений, а также техников-вооруженцев по эксплуатации вооружения и его ремонту в условиях боевой обстановки (9274).</w:t>
      </w:r>
    </w:p>
    <w:p w14:paraId="78A7D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BFD8E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F0DC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3F58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 танк Объект 237 № 2 прошел заводские ис</w:t>
      </w:r>
      <w:r w:rsidRPr="00271E51">
        <w:rPr>
          <w:rFonts w:ascii="Times New Roman" w:hAnsi="Times New Roman"/>
          <w:color w:val="000000" w:themeColor="text1"/>
          <w:sz w:val="16"/>
          <w:szCs w:val="16"/>
        </w:rPr>
        <w:softHyphen/>
        <w:t>пытания. Во время стрельбы была обнаружена трещина на дульном тор</w:t>
      </w:r>
      <w:r w:rsidRPr="00271E51">
        <w:rPr>
          <w:rFonts w:ascii="Times New Roman" w:hAnsi="Times New Roman"/>
          <w:color w:val="000000" w:themeColor="text1"/>
          <w:sz w:val="16"/>
          <w:szCs w:val="16"/>
        </w:rPr>
        <w:softHyphen/>
        <w:t>мозе и выявлена недостаточная надежность его крепления к стволу. Т-образный литой дульный тормоз был заменен на новый, по внешнему виду, несколько напоминавший дульный тормоз немецкого тяжелого танка Т-VI "Тигр I". С 1 по 6 октября танк прошел Государственные хо</w:t>
      </w:r>
      <w:r w:rsidRPr="00271E51">
        <w:rPr>
          <w:rFonts w:ascii="Times New Roman" w:hAnsi="Times New Roman"/>
          <w:color w:val="000000" w:themeColor="text1"/>
          <w:sz w:val="16"/>
          <w:szCs w:val="16"/>
        </w:rPr>
        <w:softHyphen/>
        <w:t>довые (500 км) испытания по маршруту Челябинск - Златоуст — Челя</w:t>
      </w:r>
      <w:r w:rsidRPr="00271E51">
        <w:rPr>
          <w:rFonts w:ascii="Times New Roman" w:hAnsi="Times New Roman"/>
          <w:color w:val="000000" w:themeColor="text1"/>
          <w:sz w:val="16"/>
          <w:szCs w:val="16"/>
        </w:rPr>
        <w:softHyphen/>
        <w:t>бинск. Председатель комиссии по испытаниям танка ИС начальник ТУ ГБТУ генерал-майор С.А. Афонин, и главный конструктор ЧКЗ гене</w:t>
      </w:r>
      <w:r w:rsidRPr="00271E51">
        <w:rPr>
          <w:rFonts w:ascii="Times New Roman" w:hAnsi="Times New Roman"/>
          <w:color w:val="000000" w:themeColor="text1"/>
          <w:sz w:val="16"/>
          <w:szCs w:val="16"/>
        </w:rPr>
        <w:softHyphen/>
        <w:t>рал-майор Ж.Я. Котин отметили безотказную работу узлов, агрегатов и элементов трансмиссии и ходовой части, что на испытаниях случалось нечасто (10703).</w:t>
      </w:r>
    </w:p>
    <w:p w14:paraId="0C3D7A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E0628E" w14:textId="77777777" w:rsidR="002877BD" w:rsidRPr="00271E51" w:rsidRDefault="002877BD" w:rsidP="00271E51">
      <w:pPr>
        <w:shd w:val="clear" w:color="auto" w:fill="FFFFFF"/>
        <w:spacing w:after="0" w:line="240" w:lineRule="auto"/>
        <w:jc w:val="both"/>
        <w:rPr>
          <w:rStyle w:val="651"/>
          <w:rFonts w:ascii="Times New Roman" w:hAnsi="Times New Roman" w:cs="Times New Roman"/>
          <w:color w:val="0070C0"/>
          <w:sz w:val="16"/>
          <w:szCs w:val="16"/>
        </w:rPr>
      </w:pPr>
      <w:r w:rsidRPr="00271E51">
        <w:rPr>
          <w:rStyle w:val="651"/>
          <w:rFonts w:ascii="Times New Roman" w:hAnsi="Times New Roman" w:cs="Times New Roman"/>
          <w:color w:val="0070C0"/>
          <w:sz w:val="16"/>
          <w:szCs w:val="16"/>
        </w:rPr>
        <w:t>30 сентября 1943 прошли опытные стрельбы «Объ</w:t>
      </w:r>
      <w:r w:rsidRPr="00271E51">
        <w:rPr>
          <w:rStyle w:val="651"/>
          <w:rFonts w:ascii="Times New Roman" w:hAnsi="Times New Roman" w:cs="Times New Roman"/>
          <w:color w:val="0070C0"/>
          <w:sz w:val="16"/>
          <w:szCs w:val="16"/>
        </w:rPr>
        <w:softHyphen/>
        <w:t>екта 240», которые чуть не закончились трагически для П.К. Ворошилова, одного из кураторов про</w:t>
      </w:r>
      <w:r w:rsidRPr="00271E51">
        <w:rPr>
          <w:rStyle w:val="651"/>
          <w:rFonts w:ascii="Times New Roman" w:hAnsi="Times New Roman" w:cs="Times New Roman"/>
          <w:color w:val="0070C0"/>
          <w:sz w:val="16"/>
          <w:szCs w:val="16"/>
        </w:rPr>
        <w:softHyphen/>
        <w:t>граммы ИС. На 15-м выстреле дульный тор</w:t>
      </w:r>
      <w:r w:rsidRPr="00271E51">
        <w:rPr>
          <w:rStyle w:val="651"/>
          <w:rFonts w:ascii="Times New Roman" w:hAnsi="Times New Roman" w:cs="Times New Roman"/>
          <w:color w:val="0070C0"/>
          <w:sz w:val="16"/>
          <w:szCs w:val="16"/>
        </w:rPr>
        <w:softHyphen/>
        <w:t>моз разорвало, один из осколков чуть не попал в Ворошилова. Поэтому огневые испы</w:t>
      </w:r>
      <w:r w:rsidRPr="00271E51">
        <w:rPr>
          <w:rStyle w:val="651"/>
          <w:rFonts w:ascii="Times New Roman" w:hAnsi="Times New Roman" w:cs="Times New Roman"/>
          <w:color w:val="0070C0"/>
          <w:sz w:val="16"/>
          <w:szCs w:val="16"/>
        </w:rPr>
        <w:softHyphen/>
        <w:t>тания Д-25 временно прекратились, а ствол орудия прикрыли чехлом. В таком виде танк отправился на ходовые испытания. Средняя скорость по шоссе оказалась чуть ниже, чем у «Объекта 237», но на проселке они сравня</w:t>
      </w:r>
      <w:r w:rsidRPr="00271E51">
        <w:rPr>
          <w:rStyle w:val="651"/>
          <w:rFonts w:ascii="Times New Roman" w:hAnsi="Times New Roman" w:cs="Times New Roman"/>
          <w:color w:val="0070C0"/>
          <w:sz w:val="16"/>
          <w:szCs w:val="16"/>
        </w:rPr>
        <w:softHyphen/>
        <w:t>лись друг с другом. В это время завод № 9 ли</w:t>
      </w:r>
      <w:r w:rsidRPr="00271E51">
        <w:rPr>
          <w:rStyle w:val="651"/>
          <w:rFonts w:ascii="Times New Roman" w:hAnsi="Times New Roman" w:cs="Times New Roman"/>
          <w:color w:val="0070C0"/>
          <w:sz w:val="16"/>
          <w:szCs w:val="16"/>
        </w:rPr>
        <w:softHyphen/>
        <w:t>хорадочно работал над дульным тормозом улучшенного типа. Его часто называют «не</w:t>
      </w:r>
      <w:r w:rsidRPr="00271E51">
        <w:rPr>
          <w:rStyle w:val="651"/>
          <w:rFonts w:ascii="Times New Roman" w:hAnsi="Times New Roman" w:cs="Times New Roman"/>
          <w:color w:val="0070C0"/>
          <w:sz w:val="16"/>
          <w:szCs w:val="16"/>
        </w:rPr>
        <w:softHyphen/>
        <w:t>мецкого типа», но на заводе № 9 конкретизи</w:t>
      </w:r>
      <w:r w:rsidRPr="00271E51">
        <w:rPr>
          <w:rStyle w:val="651"/>
          <w:rFonts w:ascii="Times New Roman" w:hAnsi="Times New Roman" w:cs="Times New Roman"/>
          <w:color w:val="0070C0"/>
          <w:sz w:val="16"/>
          <w:szCs w:val="16"/>
        </w:rPr>
        <w:softHyphen/>
        <w:t>ровали прародителя - дульный тормоз «типа Фердинанд». Новый дульный тормоз изгото</w:t>
      </w:r>
      <w:r w:rsidRPr="00271E51">
        <w:rPr>
          <w:rStyle w:val="651"/>
          <w:rFonts w:ascii="Times New Roman" w:hAnsi="Times New Roman" w:cs="Times New Roman"/>
          <w:color w:val="0070C0"/>
          <w:sz w:val="16"/>
          <w:szCs w:val="16"/>
        </w:rPr>
        <w:softHyphen/>
        <w:t>вили 10 октября, а 11 числа танк уехал на Гороховецкий АНИОП. Поэтому дульный тормоз пришлось высылать туда. На испытаниях вы</w:t>
      </w:r>
      <w:r w:rsidRPr="00271E51">
        <w:rPr>
          <w:rStyle w:val="651"/>
          <w:rFonts w:ascii="Times New Roman" w:hAnsi="Times New Roman" w:cs="Times New Roman"/>
          <w:color w:val="0070C0"/>
          <w:sz w:val="16"/>
          <w:szCs w:val="16"/>
        </w:rPr>
        <w:softHyphen/>
        <w:t>яснилось, что скорострельность Д-25Т со</w:t>
      </w:r>
      <w:r w:rsidRPr="00271E51">
        <w:rPr>
          <w:rStyle w:val="651"/>
          <w:rFonts w:ascii="Times New Roman" w:hAnsi="Times New Roman" w:cs="Times New Roman"/>
          <w:color w:val="0070C0"/>
          <w:sz w:val="16"/>
          <w:szCs w:val="16"/>
        </w:rPr>
        <w:softHyphen/>
        <w:t>ставляет 1-2 выстрела в минуту, а боевое от</w:t>
      </w:r>
      <w:r w:rsidRPr="00271E51">
        <w:rPr>
          <w:rStyle w:val="651"/>
          <w:rFonts w:ascii="Times New Roman" w:hAnsi="Times New Roman" w:cs="Times New Roman"/>
          <w:color w:val="0070C0"/>
          <w:sz w:val="16"/>
          <w:szCs w:val="16"/>
        </w:rPr>
        <w:softHyphen/>
        <w:t>деление тесновато. Особенно тесно было на месте командира. На испытаниях новый дульный тормоз треснул, поэтому требова</w:t>
      </w:r>
      <w:r w:rsidRPr="00271E51">
        <w:rPr>
          <w:rStyle w:val="651"/>
          <w:rFonts w:ascii="Times New Roman" w:hAnsi="Times New Roman" w:cs="Times New Roman"/>
          <w:color w:val="0070C0"/>
          <w:sz w:val="16"/>
          <w:szCs w:val="16"/>
        </w:rPr>
        <w:softHyphen/>
        <w:t>лось его улучшить. Вместе с тем, сама идея перевооружения танк на более мощное ору</w:t>
      </w:r>
      <w:r w:rsidRPr="00271E51">
        <w:rPr>
          <w:rStyle w:val="651"/>
          <w:rFonts w:ascii="Times New Roman" w:hAnsi="Times New Roman" w:cs="Times New Roman"/>
          <w:color w:val="0070C0"/>
          <w:sz w:val="16"/>
          <w:szCs w:val="16"/>
        </w:rPr>
        <w:softHyphen/>
        <w:t>дие была признана верной. 31 октября Ста</w:t>
      </w:r>
      <w:r w:rsidRPr="00271E51">
        <w:rPr>
          <w:rStyle w:val="651"/>
          <w:rFonts w:ascii="Times New Roman" w:hAnsi="Times New Roman" w:cs="Times New Roman"/>
          <w:color w:val="0070C0"/>
          <w:sz w:val="16"/>
          <w:szCs w:val="16"/>
        </w:rPr>
        <w:softHyphen/>
        <w:t>лин подписал постановление ГКО №4479сс «О тяжелом танке ИС-2 со 122 мм пушкой». Наконец-то советский тяжелый танк суще</w:t>
      </w:r>
      <w:r w:rsidRPr="00271E51">
        <w:rPr>
          <w:rStyle w:val="651"/>
          <w:rFonts w:ascii="Times New Roman" w:hAnsi="Times New Roman" w:cs="Times New Roman"/>
          <w:color w:val="0070C0"/>
          <w:sz w:val="16"/>
          <w:szCs w:val="16"/>
        </w:rPr>
        <w:softHyphen/>
        <w:t>ственно превзошел танки среднего класса по огневой мощи (19874).</w:t>
      </w:r>
    </w:p>
    <w:p w14:paraId="7E3197FB" w14:textId="77777777" w:rsidR="002877BD" w:rsidRPr="00271E51" w:rsidRDefault="002877BD" w:rsidP="00271E51">
      <w:pPr>
        <w:shd w:val="clear" w:color="auto" w:fill="FFFFFF"/>
        <w:spacing w:after="0" w:line="240" w:lineRule="auto"/>
        <w:jc w:val="both"/>
        <w:rPr>
          <w:rFonts w:ascii="Times New Roman" w:hAnsi="Times New Roman"/>
          <w:color w:val="0070C0"/>
          <w:sz w:val="16"/>
          <w:szCs w:val="16"/>
        </w:rPr>
      </w:pPr>
    </w:p>
    <w:p w14:paraId="2D9605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30 сентября 1943 танк ИС со 122-мм танковой пушкой Д-25, получивший индекс «Объект 240», был готов и прошел за</w:t>
      </w:r>
      <w:r w:rsidRPr="00271E51">
        <w:rPr>
          <w:rFonts w:ascii="Times New Roman" w:hAnsi="Times New Roman"/>
          <w:color w:val="000000" w:themeColor="text1"/>
          <w:sz w:val="16"/>
          <w:szCs w:val="16"/>
        </w:rPr>
        <w:softHyphen/>
        <w:t>водские испытания пробегом на расстояние 50 км с засто</w:t>
      </w:r>
      <w:r w:rsidRPr="00271E51">
        <w:rPr>
          <w:rFonts w:ascii="Times New Roman" w:hAnsi="Times New Roman"/>
          <w:color w:val="000000" w:themeColor="text1"/>
          <w:sz w:val="16"/>
          <w:szCs w:val="16"/>
        </w:rPr>
        <w:softHyphen/>
        <w:t>поренным и расстопоренным орудием, а также стрельбой серии из 15 выстрелов. Стрельбы прошли успешно, но не без неожиданностей. Конструктор Н. Шашмурин с каким-то упоением рассказы</w:t>
      </w:r>
      <w:r w:rsidRPr="00271E51">
        <w:rPr>
          <w:rFonts w:ascii="Times New Roman" w:hAnsi="Times New Roman"/>
          <w:color w:val="000000" w:themeColor="text1"/>
          <w:sz w:val="16"/>
          <w:szCs w:val="16"/>
        </w:rPr>
        <w:softHyphen/>
        <w:t>вал, как во время первого же выстрела литой Т-образный дульный тормоз пушки разорвало и разлетевшимися оскол</w:t>
      </w:r>
      <w:r w:rsidRPr="00271E51">
        <w:rPr>
          <w:rFonts w:ascii="Times New Roman" w:hAnsi="Times New Roman"/>
          <w:color w:val="000000" w:themeColor="text1"/>
          <w:sz w:val="16"/>
          <w:szCs w:val="16"/>
        </w:rPr>
        <w:softHyphen/>
        <w:t>ками едва не задело присутствовавшего здесь К. Ворошило</w:t>
      </w:r>
      <w:r w:rsidRPr="00271E51">
        <w:rPr>
          <w:rFonts w:ascii="Times New Roman" w:hAnsi="Times New Roman"/>
          <w:color w:val="000000" w:themeColor="text1"/>
          <w:sz w:val="16"/>
          <w:szCs w:val="16"/>
        </w:rPr>
        <w:softHyphen/>
        <w:t>ва. В отчете же по испытаниям нет ни слова о разрыве тормо</w:t>
      </w:r>
      <w:r w:rsidRPr="00271E51">
        <w:rPr>
          <w:rFonts w:ascii="Times New Roman" w:hAnsi="Times New Roman"/>
          <w:color w:val="000000" w:themeColor="text1"/>
          <w:sz w:val="16"/>
          <w:szCs w:val="16"/>
        </w:rPr>
        <w:softHyphen/>
        <w:t>за, хотя сказано, что дульный тормоз был снят с испытаний по причине «ненадежного крепления и появления трещин»...(11135).</w:t>
      </w:r>
    </w:p>
    <w:p w14:paraId="6F645E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2FE9C"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 сентября 1943 г. в Москве гвардии полковник Е.А. Кульчицкий участвовал в работе совместного совещания ТУ ГБТУ КА и НКТП по рассмотрению «Отчета по полигонным испытаниям танка "Т-43"» (21209).</w:t>
      </w:r>
    </w:p>
    <w:p w14:paraId="595E8F32" w14:textId="77777777" w:rsidR="002877BD" w:rsidRPr="00271E51" w:rsidRDefault="002877BD" w:rsidP="00271E51">
      <w:pPr>
        <w:spacing w:after="0" w:line="240" w:lineRule="auto"/>
        <w:jc w:val="both"/>
        <w:rPr>
          <w:rFonts w:ascii="Times New Roman" w:hAnsi="Times New Roman"/>
          <w:color w:val="0070C0"/>
          <w:sz w:val="16"/>
          <w:szCs w:val="16"/>
        </w:rPr>
      </w:pPr>
    </w:p>
    <w:p w14:paraId="787C6FEE"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К 30 сентября 1943 года был закончен монтаж Д-25 в Объект 240. На опытной машине пришлось отказаться от кормового пулемёта, сама же пулемётная установка осталась на месте. Боевая масса танка выросла до 45,5-46 тонн, при этом ожидалось серьёзное ухудшение динамических характеристик. Например, вместо 37 км/ч максимальная скорость должна была составить меньше 32,5 км/ч. Уменьшился и боекомплект — до 28 выстрелов. В связи с установкой более мощной системы вытяжной вентилятор на крыше башни был заменён на более мощный.</w:t>
      </w:r>
    </w:p>
    <w:p w14:paraId="58DEEA2E"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После завершения монтажа системы были проведены заводские испытания. В ходе них танк проехал до заводского тира и обратно на завод №100, всего 13 километров. Испытания стрельбой чуть не закончились трагедией. Деформированный дульный тормоз при стрельбе разорвало. Одним из осколков чуть не убило присутствовавшего на испытаниях Петра Ворошилова, приёмного сына Климента Ворошилова, который играл важную роль в программе создания тяжёлых танков КВ и ИС. На этом огневые испытания временно прекратились. Кстати, для Петра Климентьевича это был уже второй подобный случай — до того рядом с его головой пролетала крышка ствола с КВ-2 У-4.</w:t>
      </w:r>
    </w:p>
    <w:p w14:paraId="7ACAD620"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Следом за заводскими испытаниями последовали испытания государственные. Для их проведения в Челябинск прибыла комиссия, которую возглавил Афонин, к тому моменту получивший звание генерал-майора инженерно-танковой службы. Помимо него и уже упомянутого Петра Ворошилова, в комиссию вошли Котин, директор Челябинского Кировского завода (ЧКЗ) И.М. Зальцман, начальник ОКБ завода №100 А.С. Ермолаев, представители Народного комиссариата танковой промышленности (НКТП) и ГБТУ КА.</w:t>
      </w:r>
    </w:p>
    <w:p w14:paraId="52858DA6"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Эти испытания фактически стали продолжением первого этапа, по итогам которого Объект 237 был принят на вооружение Красной армии. К моменту начала нового этапа Объект 240, он же бывший Объект 237 №2, прошёл 355 километров. Вместе с ним на второй этап вышел и первый образец, к тому моменту прошедший 750 километров.</w:t>
      </w:r>
    </w:p>
    <w:p w14:paraId="6897F53D"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Любопытный факт: в отчёте по государственным испытаниям первый образец упоминается как ИС, а второй — как ИС-3. Это был уже второй раз, когда индекс «ИС-3» использовали в отношении танков семейства ИС.</w:t>
      </w:r>
    </w:p>
    <w:p w14:paraId="28A8207E"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На сей раз испытания выглядели весьма необычно. Первым участком стало преодоление маршрута Челябинск-Златоуст-Челябинск. В ходе пробега, начавшегося 1 октября у ворот завода №100 и там же закончившегося 4 числа, танки прошли 345 километров, из них 178 по шоссе. Средняя скорость чистого движения для Объекта 240 составила 18,1 км/ч, а Объекта 237 — 21,5 км/ч. С технической скоростью ситуация оказалась противоположной: для Объекта 237 она составила 10,7 км/ч, а для Объекта 240 — 15,8 км/ч. Первый танк неоднократно останавливался из-за различных неисправностей (17717).</w:t>
      </w:r>
    </w:p>
    <w:p w14:paraId="54F35ADD"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16F1A90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 из ПИСЬМА-ЖАЛОБЫ РАБОЧИХ И СЛУЖАЩИХ ЗАВОДА № 644</w:t>
      </w:r>
    </w:p>
    <w:p w14:paraId="4FED413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Народному комиссару внутренних дел Союза ССР т. Берия Лаврентию Павловичу</w:t>
      </w:r>
    </w:p>
    <w:p w14:paraId="5BEC8BA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Новосибирского областного комитета ВКП(б) т. Кулагину Михаилу Васильевичу</w:t>
      </w:r>
    </w:p>
    <w:p w14:paraId="1CB5DB3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областного управления НКВД по Новосибирской области комиссару госбезопасности т. Петровскому</w:t>
      </w:r>
    </w:p>
    <w:p w14:paraId="07A6744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Крайняя нужда и невозможность больше терпеть заставляет нас обратиться лично к Вам. Мы, старые кадровые рабочие бывшего Московского государственного союзного прожекторного завода имени Кагановича, обращаемся к Вам с большой просьбой. Проработавши много лет на вышеуказанном заводе — детище первой Пятилетки, мы жили в Москве в великолепных условиях, в новых домах, в хороших квартирах, ибо наша Партия и Правительство проявляло о нас, старых кадровиках, большую заботу. По решению Правительства в 1941 году в октябре месяце мы были вместе с заводом эвакуированы в город Новосибирск, где прилагаем все свои усилия к тому, чтобы построить здесь, в Новосибирске, такой же прекрасный завод, которым могла бы гордиться наша Страна, и одновременно строить, давать нашей Красной Армии и нашим советским пунктам и узлам мощное прожекторное агрегатное вооружение. Нечего говорить, что тех условий, которые мы имели в Москве, мы, конечно, здесь не нашли и руководители нашего завода и города Новосибирска нам их не предоставили. Мы понимаем обстановку, мы понимаем все трудности, но то дикое положение, в котором мы оказались благодаря бездеятельности соответствующих органов, подведомственных Вам, заставляет нас обратиться к Вам. Мы привезли с собой самое крайне необходимое: белье, постельные принадлежности и мало чего из одежды. Много наших вещей, оставленных в Москве, нажиты нами честным трудом в течение многих лет, и там они разворованы и растасканы мародерами, оставшимися видно для этой цели в Москве 15 октября 1941 года. Но на это мы не жалуемся. Хуже то, что здесь, в городе Новосибирске, то последнее, крайне необходимое, привезенное нами и частично благодаря заботам Правительства приобретенное нами здесь, преступно разворовывается у нас теми преступниками, которыми кишит город Новосибирск. Около 180 человек оказались обворованными вчистую, без белья, без постельных принадлежностей, без верхней одежды остались многие из нас. Уходя на работу, оставляя квартиру одну или с малыми детьми, мы не можем работать спокойно, не будучи уверенными в том, что все то, что мы имеем, не будет вчистую разворовано. Вот несколько фактов: председатель завкома т. Малышев ушел на работу вместе с женой. Придя домой с работы, он нашел квартиру очищенной вплоть до последнего белья. Мастер цеха отвез жену в родильный дом и привез, как полагается, ее вещи домой. После этого сам ушел на работу. Придя после смены домой, он нашел квартиру абсолютно очищенной. Привезти жену с малым ребенком обратно к себе было абсолютно не в чем. Только с помощью завода он с большими трудностями мог выйти из этого положения. Обворовывают нас днем, ночью, причем нахальство и дерзость вследствие безнаказанности этих воровских элементов доходит до того, что наличие нас ночью в своих жилищах не является препятствием для очищения наших квартир. К сожалению, мы не знаем ни одного случая, чтобы вещи нам возвращались, чтобы виновники были обнаружены. Хуже того, когда мы сами принимаем меры и даже наводим на след, где имеется уже достаточно улик, все равно последствия те же -виновные не наказываются, вещи не возвращаются. Когда была обворована сапожная мастерская завода, когда собака-ищейка навела на след и вор был обнаружен, он сумел убежать с 3-го этажа Областной милиции г. Новосибирска и ушел также от наказания. Мы не говорим уже о том, что абсолютно нет возможности проехать в трамвае - сотнями похищены хлебные и продовольственные карточки. Те же преступные элементы, организованные в шайки, похищают во время езды в трамвае из карманов хлебные и продовольственные карточки, партийные билеты, документы. Многие из нас буквально сотнями оказались жертвами этих бандитов и, оказавшись без хлебных и продовольственных карточек, вынуждены, несмотря на громадное производственное напряжение, работать без хлеба, многие без обеда и ужина, а приходя домой, видеть своих членов семей также голодными без хлеба, без продуктов, которые нам полагалось отоварить по этим похищенным карточкам. Мы могли бы привести еще много фактов, но и этих достаточно, и просим Вас раз и навсегда оградить нас от этих злодейских, бандитских действий, широко применяемых в городе. Мы Вас убедительно просим об одном — помогите нам принять меры, дайте нам возможность, чтобы мы, уходя на работу, вместе с женами и членами наших семей были уверены в полной сохранности нашего мизерного, оставшегося у нас имущества, крайне нам необходимого, чтобы, находясь на работе, думали только о производстве и отдавали все свои силы и возможности на службу фронту и оснащение нашей доблестной Красной Армии и Флота. Мы просим Вас заставить все местные милицейские власти, которые в настоящее время абсолютно бездействуют, принять все меры к ликвидации этих элементов. Мы просим Вас, считая, что зло, которое они делают, вредит всему нашему делу, принять все меры к тому, чтобы выловить эти элементы и, для прекращения в дальнейшем таких действий, присудить самых злостных из них к расстрелу. Мы просим для спокойствия всего города принять меры к очищению города Новосибирска от всех этих уголовных элементов, ибо мы знаем, что в городе Москве, где мы жили десятки лет, и в ряде других городов Советского Союза такие факты абсолютно не наблюдаются, и только Ваши решительные, самые беспощадные меры могут город Новосибирск привести в ряд безопасных городов Советского Союза. К сему подписываемся: рабочие, ИТР и служащие завода X» 644 города Новосибирска, пострадавшие от бандитских и воровских действий уголовных элементов города Новосибирска.</w:t>
      </w:r>
    </w:p>
    <w:p w14:paraId="17C8090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7. Д. 490. Л. 250-255. Подлинник.</w:t>
      </w:r>
    </w:p>
    <w:p w14:paraId="700F630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Документ составлен на бланке завода № 644. В левом верхнем углу - штамп с датой 30.IX 1943 г. Экземпляр машинописной закладки, плохо читаемый текст. Под документом - 38 подписей-автографов с указанием должностей и фамилий (12193).</w:t>
      </w:r>
    </w:p>
    <w:p w14:paraId="1957E03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B404B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вышло Распоряжение ГКО № 4217. О мобилизации 1 тыс. человек и 2 тыс. лошадей в Сумской и Черниговской обл. для подвозки боеприпасов на ЦФ.РГАНИР, Фонд ГКО, д. 153, лл. 143 (11012).</w:t>
      </w:r>
    </w:p>
    <w:p w14:paraId="4CA34B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2A4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вышло Постановление ГКО № 4218 О плане ремонта кораблей и оборудования береговых установок Военно-Морского Флота на IV квартал 1943 года и мероприятиях по его обеспечению.РГАНИР, Фонд ГКО, д. 153, лл. 144-152, 153-168 (11012).</w:t>
      </w:r>
    </w:p>
    <w:p w14:paraId="41F796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26EF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вышло Постановление ГКО № 4219 О плане поставок военно-полевых средств и имущества связи на IV квартал 1943 г. (7096, 169-171,172-204).</w:t>
      </w:r>
    </w:p>
    <w:p w14:paraId="3F771F3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570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вышло Постановление ГКО № 4220 О мероприятиях по обеспечению строительства завода "Красный Профинтерн" Наркомтяжмаша в г. Красноярске. (7096, 205-210,211).</w:t>
      </w:r>
    </w:p>
    <w:p w14:paraId="7DFCD5A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E5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года была подготовлена справка:</w:t>
      </w:r>
    </w:p>
    <w:p w14:paraId="403EC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 НКВ – Красноярск (9274).</w:t>
      </w:r>
    </w:p>
    <w:p w14:paraId="4469D7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307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На Балтийском заводе в различных стадиях постройки находились 12 ТЩ типа МТ-1. Сданы флоту 13-й и 14-й БМО (10671).</w:t>
      </w:r>
    </w:p>
    <w:p w14:paraId="76F804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Катеростроители сдали флоту 11 боевых катеров (10671).</w:t>
      </w:r>
    </w:p>
    <w:p w14:paraId="23D837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C09A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69A69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E19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30 сентября </w:t>
      </w:r>
      <w:r w:rsidRPr="00271E51">
        <w:rPr>
          <w:rFonts w:ascii="Times New Roman" w:hAnsi="Times New Roman"/>
          <w:color w:val="000000" w:themeColor="text1"/>
          <w:sz w:val="16"/>
          <w:szCs w:val="16"/>
        </w:rPr>
        <w:t>в 1943 году оперативная сводка Совинформбюро:</w:t>
      </w:r>
    </w:p>
    <w:p w14:paraId="63DEA59D"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сентября на Могилёвском направлении наши войска, продолжая развивать успешное наступление, продвинулись вперёд от 12 до 20 километров и, форсировав реку Сож, с боем овладели городом и железнодорожным узлом Иричев, а также заняли более 170 других населённых пунктов, среди которых крупные населенные пункты Луки, Микулено, Лебедево, Никодимово, Кледневичи, Никольское, Ярцевка, Есковка, Картыжи, Асмоловичи, Ширки, Туровка, Лобковичи, Дубровка, Ивановка, Вороново, Лобжа, Клины, Антоновка, Горно, Козельская Буда, Загоренье и железнодорожные станции Тёмный Лес, Ходосы.</w:t>
      </w:r>
    </w:p>
    <w:p w14:paraId="6F845BC3"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наступление и, продвинувшись на отдельных участках вперёд от 10 до 12 километров, овладели районным центром Гомельской области Светиловичи, а также заняли свыше 60 других населённых пунктов, среди которых крупные населённые пункты Курбаки, Дерновая, Горы, Стайки, Кибирщина, Моро3овка, Лотаки, Ивановка, Палужская Рудня, Летяхи, Шелуховка, Глуховка, Нестеровка, Гарусты, Гута,</w:t>
      </w:r>
    </w:p>
    <w:p w14:paraId="43C13EFA"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преодолевая сопротивление противника, продолжали наступление и заняли более 30 населённых пунктов, среди которых крупные населённые пункты Трошки, Шерьково, Баево, Сысоево.</w:t>
      </w:r>
    </w:p>
    <w:p w14:paraId="6799CF77"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сентября наши войска на всех фронтах подбили и уничтожили 95 немецких танков. В воздушных боях и огнём зенитной артиллерии сбито 36 самолётов противника.</w:t>
      </w:r>
    </w:p>
    <w:p w14:paraId="12B8EF7C"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развивали успешное наступление. Части Н-ского соединения переправились через реку Сож и после ожесточённых боёв овладели важным узлом железных и грунтовых дорог — городом Кричев. В боях загород Кричев противник потерял только убитыми свыше 1.200 солдат и офицеров. Захвачены железнодорожные составы, военные склады противника и много вооружения. Севернее Кричева наши войска выбили немцев из Лобковичи и ряда других сильно укреплённых населённых пунктов. Всего за день боёв освобождено от немецко-фашистских захватчиков свыше 170 населённых пунктов. Захвачено у немцев 28 орудий, 2 крупных склада боеприпасов и склад с продовольствием. Взяты пленные.</w:t>
      </w:r>
    </w:p>
    <w:p w14:paraId="5BC8270F"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наших самолётов-штурмовиков под командованием старшего лейтенанта Максимова, возвращаясь с боевого задания, встретила 6 транспортных самолёто впротивника типа «Ю-52». Наши лётчики атаковали противника и сбили 5 немецких самолётов.</w:t>
      </w:r>
    </w:p>
    <w:p w14:paraId="288F617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форсировали реку Беседь и, продвигаясь вперёд, овладели районным центром Гомельской области Светиловичи и другими населёнными пунктами. За день боёв уничтожено свыше 1.000 немецких солдат и офицеров. Захвачено 3 самоходных и 14 полевых орудий, 60 автомашин и другие трофеи. Советские подвижные подразделения, продолжая очищать от противника район между реками Беседь и Сож, захватили значительное число пленных.</w:t>
      </w:r>
    </w:p>
    <w:p w14:paraId="1F99CA4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сведения, что в результате налёта нашей авиации на железнодорожный узел Гомель в ночь на 27 сентября взорвано несколько складов с боеприпасами и горючим, уничтожено 4 железнодорожных эшелона и сожжено до 200 автомашин противника.</w:t>
      </w:r>
    </w:p>
    <w:p w14:paraId="69F0B471"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и заняли более 30 населённых пунктов. Части Н-ского соединения отбили две контратаки противника и, совершив удачный обходный манёвр, уничтожили два батальона пехоты и два артиллерийских дивизиона немцев. Преследуя дезорганизованного противника, советские бойцы захватили трофеи, в числе которых 3 паровоза, 22 вагона и 8 исправных танков. В другом районе подразделения Н-ской части разгромили штаб 1 батальона 268 немецкого пехотного полка. Взяты пленные.</w:t>
      </w:r>
    </w:p>
    <w:p w14:paraId="52473FEC"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потоплен в Балтийском море немецкий транспорт водоизмещением в 5 тысяч тонн.</w:t>
      </w:r>
    </w:p>
    <w:p w14:paraId="126C17A8"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молдавских партизан взорвал два железнодорожных эшелона противника. Врезультате крушения разбиты 2 паровоза и 23 вагона. Разведчики-партизаны выяснили, что восстановительная команда извлекла из-под обломков вагонов 120 убитых и тяжело раненых немецких солдат и офицеров. Партизанский отряд, действующий в Киевской области, совершил нападение на автоколонну противника. Огнём из противотанковых ружей партизаны уничтожили две бронемашины и 8 автомашин. Убито несколько десятков гитлеровцев. Партизаны захватили 3 пулемёта, 30 автоматов и много патронов.</w:t>
      </w:r>
    </w:p>
    <w:p w14:paraId="57D4301E"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оккупации города Славянска немецко-фашистские изверги замучили и убили несколько тысяч мирных советских жителей. Только в декабре 1941 года фашистские палачи вырезали и расстреляли 420 семейств. Особенно неистовствовал инемцы накануне отступления. Ниже публикуется акт о разрушениях, произведённых немецко-фашистскими мерзавцами в городе Славянск:</w:t>
      </w:r>
    </w:p>
    <w:p w14:paraId="0246CF8F"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полностью разрушили все 25 заводов и фабрик города. Среди них: «Коксохиммонтаж», содовый завод «Красный химик», новосодовый, силикатный, толевый и авторемонтный заводы, изоляторный завод имени Артёма, керамическийзавод имени Крупской, завод кислотоупорной керамики, заводы «Красный металлист», «Красный литейщик», железнодорожное депо и мастерские станции Славянск, макаронная, карандашная и мебельная фабрики, фабрика школьного оборудования и другие. Специальные немецкие команды подожгли и взорвали здания и оборудование электроподстанции, водокачки, узла связи, хлебозавода, мельницы и два моста через реку Торец. Особые команды «факельщиков» сожгли здания и инвентарь 23 средних и неполных средних школ, школы глухонемых, педагогического училища, химического и железнодорожного техникумов. Разрушены и сожжены городской театр имени Ленина на 900 мест, краеведческий музей, городская библиотека, пионерский клуб, железнодорожные больницы и родильные дома, все шесть поликлиник города, две аптеки, две медицинских лаборатории и станция скорой помощи.</w:t>
      </w:r>
    </w:p>
    <w:p w14:paraId="7195609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Фашистские варвары уничтожили лечебные учреждения славянского курорта. Они разрушили травматологический и бальнео-физио-терапевтический институты, грязелечебницу и все 8 санаториев курорта с десятками подсобных зданий. Парк и старинный сосновый бор курорта немцы вырубили. Кроме того, гитлеровские бандиты сожгли в городе 1082 жилых дома».</w:t>
      </w:r>
    </w:p>
    <w:p w14:paraId="0AA65653"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Настоящий акт подписали: рабочий содового завода «Красный химик» Ф.Глушаков, врач городской поликлиники С.Золотухин, педагог 3-й школы А.Людвиченко,протоиерей Константин Ружицкий, врач родильного дома А.Петренко, майор Н.Атаров и другие.» (14785).</w:t>
      </w:r>
    </w:p>
    <w:p w14:paraId="2A4A68D3"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03A422C0"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30 сентября </w:t>
      </w:r>
      <w:r w:rsidRPr="00271E51">
        <w:rPr>
          <w:rFonts w:ascii="Times New Roman" w:hAnsi="Times New Roman"/>
          <w:color w:val="000000" w:themeColor="text1"/>
          <w:sz w:val="16"/>
          <w:szCs w:val="16"/>
        </w:rPr>
        <w:t>в 1943 году завершилась Черниговско-Припятская операция: войска Центрального фронта продвинулись до 300 км, захватили несколько плацдармов на правом берегу Днепра в районе г. Чернобыля и устья реки Тетерев. Сотни воинов, отличившихся при форсировании Днепра, были удостоены звания Героя Советского Союза; многие части и соединения получили почетные наименования. В ходе общего наступления войск Центрального, Воронежского Степного, Юго-Западного и Южного фронтов, проходившего на фронте протяженностью 750 км, от г. Лоев до г. Запорожье, почти полностью освобождена вся Левобережная Украина. Сорваны планы германского командования по стабилизации фронта на Днепре (14785).</w:t>
      </w:r>
    </w:p>
    <w:p w14:paraId="4AD5C6CA"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0637F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 вышло ПОЛОЖЕНИЕ О НАГРАДАХ И ПРЕМИЯХ ДЛЯ ЛИЧНОГО СОСТАВА ВОЕННЫХ ВОЗДУШНЫХ СИЛ КРАСНОЙ АРМИИ, АВИАЦИИ ДАЛЬНЕГО ДЕЙСТВИЯ, ИСТРЕБИТЕЛЬНОЙ АВИАЦИИ ПВО, ВВС ВОЕННО-МОРСКОГО ФЛОТА ЗА БОЕВУЮ ДЕЯТЕЛЬНОСТЬ И СОХРАНЕНИЕ МАТЕРИАЛЬНОЙ ЧАСТИ</w:t>
      </w:r>
    </w:p>
    <w:p w14:paraId="2D468D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Истребительная авиация</w:t>
      </w:r>
    </w:p>
    <w:p w14:paraId="06B1AA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Летчики истребительной авиации представляются к правительственным наградам:</w:t>
      </w:r>
    </w:p>
    <w:p w14:paraId="68D66F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лично уничтоженные самолеты противника в воздушных боях или на аэродромах:</w:t>
      </w:r>
    </w:p>
    <w:p w14:paraId="058BB7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3 лично сбитых бомбардировщика (разведчика) или за 4 лично сбитых самолета других типов, или за 6 самолетов, уничтоженных на земле;</w:t>
      </w:r>
    </w:p>
    <w:p w14:paraId="5C012F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4 лично сбитых самолета-бомбардировщика (разведчика) или 5 лично сбитых самолетов других типов, или 6 самолетов, уничтоженных на земле;</w:t>
      </w:r>
    </w:p>
    <w:p w14:paraId="347F45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10 лично сбитых самолетов-бомбардировщиков (разведчиков) или за 15 лично сбитых самолетов других типов;</w:t>
      </w:r>
    </w:p>
    <w:p w14:paraId="11AA8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дважды Героя Советского Союза — за 30 лично сбитых самолетов всех типов;</w:t>
      </w:r>
    </w:p>
    <w:p w14:paraId="566851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 высшей награде — званию трижды Героя Советского Союза — за 50 лично сбитых самолетов всех типов.</w:t>
      </w:r>
    </w:p>
    <w:p w14:paraId="7AFB44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подвижного состава железнодорожного транспорта и дезорганизацию железнодорожных перевозок на территории противника:</w:t>
      </w:r>
    </w:p>
    <w:p w14:paraId="1483CE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уничтоженных паровозов или за 4 крушения поездов, вызванных атакой самолета;</w:t>
      </w:r>
    </w:p>
    <w:p w14:paraId="1F8541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8 уничтоженных паровозов или за 6 крушений поездов, вызванных атакой самолетов.</w:t>
      </w:r>
    </w:p>
    <w:p w14:paraId="562B2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боевые вылеты на сопровождение штурмовиков, бомбардировщиков, минно-торпедной авиации, разведчиков и корректировщиков, а также за боевые вылеты на прикрытие боевых порядков наземных войск на поле боя, морских баз, коммуникаций и других объектов:</w:t>
      </w:r>
    </w:p>
    <w:p w14:paraId="518968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30 успешных боевых вылетов;</w:t>
      </w:r>
    </w:p>
    <w:p w14:paraId="1F6D16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30 успешных боевых вылетов.</w:t>
      </w:r>
    </w:p>
    <w:p w14:paraId="36FC7C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боевые вылеты на штурмовые действия и разведку войск противника: к первой награде — за 20 успешных боевых вылетов; к последующим наградам — за каждые следующие 30 успешных боевых вылетов.</w:t>
      </w:r>
    </w:p>
    <w:p w14:paraId="0F4245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Летчики истребительной авиации за лично уничтоженные самолеты противника во время ночных действий к правительственным наградам представляются согласно пункта 1а 1 раздела настоящего Положения, при этом требуемое число сбитых самолетов сокращается в два раза.</w:t>
      </w:r>
    </w:p>
    <w:p w14:paraId="7C832F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Представление к правительственной награде командира пары, за лично сбитые им самолеты в воздушных боях, дает право на представление к награде и летчика ведомого им самолета, если он своими действиями обеспечил успех в бою своего командира пары.</w:t>
      </w:r>
    </w:p>
    <w:p w14:paraId="4FCBF8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Командиры подразделений, частей и соединений помимо наград, получаемых за личные подвиги, к правительственным наградам представляются:</w:t>
      </w:r>
    </w:p>
    <w:p w14:paraId="5EFD84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или соединениями, действия которых способствовали успешному разгрому противника в бою или операции наземных войск или флота;</w:t>
      </w:r>
    </w:p>
    <w:p w14:paraId="3ECC84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(в том числе и отдельной), под командованием которого эскадрилья уничтожила в воздушных боях и на аэродромах противника 25 самолетов, имея при этом потери не более 5 своих самолетов;</w:t>
      </w:r>
    </w:p>
    <w:p w14:paraId="4711B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уничтожил в воздушных боях и на аэродромах противника 60 самолетов, имея при этом потери не более 10 своих самолетов.</w:t>
      </w:r>
    </w:p>
    <w:p w14:paraId="0E896A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1. Боевым вылетом для истребительной авиации, засчитываемым для награждения, считается каждый полет, связанный со встречей с воздушным противником, или полет, протекавший в зоне зенитного огня противника или над боевыми порядками противника.</w:t>
      </w:r>
    </w:p>
    <w:p w14:paraId="48D1FA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Сбитые самолеты в групповом воздушном бою, если нельзя установить, кто лично его сбил, или если они сбиты одновременной атакой 2—3-х и более летчиков, делятся равномерно и засчитываются как часть сбитого самолета для каждого отдельного летчика, участника этого группового боя.</w:t>
      </w:r>
    </w:p>
    <w:p w14:paraId="3A927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Штурмовая авиация</w:t>
      </w:r>
    </w:p>
    <w:p w14:paraId="2024F2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Летчики*и воздушные стрелки (на двухместных самолетах) штурмовой авиации представляются к правительственным наградам:</w:t>
      </w:r>
    </w:p>
    <w:p w14:paraId="447267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для атаки наземных и морских объектов противника: к первой награде — за 10 успешных боевых вылетов; к последующим наградам — за каждые следующие 20 успешных боевых вылетов.</w:t>
      </w:r>
    </w:p>
    <w:p w14:paraId="73FC36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самолетов противника на земле и за сбитые самолеты в воздушных боях:</w:t>
      </w:r>
    </w:p>
    <w:p w14:paraId="2DB2D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самолетов, уничтоженных на земле или 2 лично сбитых самолета в воздушных боях;</w:t>
      </w:r>
    </w:p>
    <w:p w14:paraId="420DC0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10 уничтоженных самолетов на земле или 4 лично сбитых самолета в воздушных боях.</w:t>
      </w:r>
    </w:p>
    <w:p w14:paraId="248E2C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уничтожение подвижного железнодорожного транспорта и дезорганизацию железнодорожного движения противника:</w:t>
      </w:r>
    </w:p>
    <w:p w14:paraId="7D4F4D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уничтоженных паровозов или за 4 крушения поездов, вызванных атакой самолета;</w:t>
      </w:r>
    </w:p>
    <w:p w14:paraId="666B5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8 уничтоженных паровозов или за 6 крушений поездов, вызванных атакой самолета;</w:t>
      </w:r>
    </w:p>
    <w:p w14:paraId="3EE25B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правительственной награде — званию Героя Советского Союза — за 80 успешных боевых вылетов или за 10 лично сбитых в воздушных боях самолетов противника.</w:t>
      </w:r>
    </w:p>
    <w:p w14:paraId="0CD625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Представление к правительственной награде экипажа самолета командира пары за сбитые самолеты противника в воздушных боях дает право на представление к награде и экипажа ведомого самолета, если он своими действиями обеспечил успех в бою экипажа самолета командира пары.</w:t>
      </w:r>
    </w:p>
    <w:p w14:paraId="0E58D3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Командиры подразделений, частей и соединений, помимо наград, получаемых за личные подвиги, к правительственным наградам представляются:</w:t>
      </w:r>
    </w:p>
    <w:p w14:paraId="00B94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или соединениями, действия которых способствовали успешному разгрому противника в бою или операции наземных войск или флота;</w:t>
      </w:r>
    </w:p>
    <w:p w14:paraId="5FA84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под командованием которого эскадрилья совершила 150 успешных боевых самолето-вылетов, имея при этом потери не более 5 своих самолетов;</w:t>
      </w:r>
    </w:p>
    <w:p w14:paraId="567A2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совершил 350 успешных боевых самолето-вылетов, имея при этом потери не более 12 своих самолетов.</w:t>
      </w:r>
    </w:p>
    <w:p w14:paraId="26F7CD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Ближнебомбардировочная и ночная авиация</w:t>
      </w:r>
    </w:p>
    <w:p w14:paraId="0B91BA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Летчики, штурманы (стрелки-бомбардиры), воздушные стрелки и воздушные стрелки-радисты ближнебомбардировочной и ночной авиации представляются к правительственным наградам за совершение боевых вылетов и за уничтожение самолетов противника в воздушных боях:</w:t>
      </w:r>
    </w:p>
    <w:p w14:paraId="70A209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каждое лицо, входящее в состав экипажа, за 25 успешных боевых вылетов днем или 40 успешных боевых вылетов ночью, или за 2 самолета, лично сбитых в воздушных боях.</w:t>
      </w:r>
    </w:p>
    <w:p w14:paraId="135EE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за 10 успешных боевых вылетов днем или 60 успешных боевых вылетов ночью;</w:t>
      </w:r>
    </w:p>
    <w:p w14:paraId="3B28CA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каждое лицо, входящее в состав экипажа, за каждые следующие 40 успешных боевых вылетов днем или 60 успешных боевых вылетов ночью, или за каждые следующие 2 самолета, лично сбитых в воздушных боях.</w:t>
      </w:r>
    </w:p>
    <w:p w14:paraId="26F7D0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за каждые следующие 20 успешных боевых вылетов днем или 150 успешных боевых вылетов ночью;</w:t>
      </w:r>
    </w:p>
    <w:p w14:paraId="0BFF8A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каждое лицо, входящее в состав экипажа, при наличии не менее 160 успешных боевых вылетов днем или 250 ночью, или за 10 самолетов противника, лично сбитых в воздушных боях.</w:t>
      </w:r>
    </w:p>
    <w:p w14:paraId="65797F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пикирующих бомбардировщиков — каждое лицо, входящее в состав экипажа, за 80 успешных боевых вылетов с пикированием, а при бомбометании с горизонтального полета за 160 успешных боевых вылетов.</w:t>
      </w:r>
    </w:p>
    <w:p w14:paraId="01279A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каждое лицо, входящее в состав экипажа, за 50 успешных боевых вылетов днем или 500 успешных боевых вылетов ночью.</w:t>
      </w:r>
    </w:p>
    <w:p w14:paraId="677177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Командиры подразделений, частей и соединений помимо наград, получаемых за личные подвиги, к правительственным наградам представляются:</w:t>
      </w:r>
    </w:p>
    <w:p w14:paraId="06F064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 соединениями, действия которых способствовали успешному разгрому противника в боях и операциях наземных войск или флота;</w:t>
      </w:r>
    </w:p>
    <w:p w14:paraId="4F52D5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под командованием которого эскадрилья совершила 250 успешных боевых самолето-вылетов днем, имея при этом потери не более 5 своих самолетов, или 350 успешных самолето-вылетов ночью, имея при этом потери не более 5 своих самолетов.</w:t>
      </w:r>
    </w:p>
    <w:p w14:paraId="37D95A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75 успешных боевых самолето-вылетов днем или 500 успешных самолето-вылетов ночью, имея при этом потери своих самолетов не более 2 ночью и 5 днем;</w:t>
      </w:r>
    </w:p>
    <w:p w14:paraId="287F1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совершил 500 успешных боевых самолето-вылетов днем, имея при этом потери не более 10 своих самолетов, или 700 успешных боевых вылетов ночью, имея при этом потери не более 10 своих самолетов.</w:t>
      </w:r>
    </w:p>
    <w:p w14:paraId="2DDD66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150 успешных боевых самолето-вылетов днем, имея при этом потери не более 10 своих самолетов, или 1000 успешных боевых самолетовылетов ночью, имея при этом потери не более 7 своих самолетов.</w:t>
      </w:r>
    </w:p>
    <w:p w14:paraId="21A23E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Авиация дальнего действия</w:t>
      </w:r>
    </w:p>
    <w:p w14:paraId="6837F2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Летный состав, входящий в расчет экипажей авиации дальнего действия, представляется к правительственным наградам за успешное выполнение боевых заданий на бомбардировку политических центров, промышленных объектов и военных объектов противника:</w:t>
      </w:r>
    </w:p>
    <w:p w14:paraId="455395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бомбардировках политического центра (столицы)ф противника: к первой награде — за первые 3 успешно выполненные бомбардировки; ко второй награде — за следующие 3 успешно выполненные бомбардировки; к третьей награде — за следующие 4 успешно выполненные бомбардировки; к высшей награде — званию Героя Советского Союза — за следующие 5 успешно выполненных бомбардировок.</w:t>
      </w:r>
    </w:p>
    <w:p w14:paraId="3288E2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бомбардировках военных и промышленных объектов на собственной территории противника:</w:t>
      </w:r>
    </w:p>
    <w:p w14:paraId="486F6B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5 успешно выполненных бомбардировок;</w:t>
      </w:r>
    </w:p>
    <w:p w14:paraId="757C6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7 успешно выполненных бомбардировок;</w:t>
      </w:r>
    </w:p>
    <w:p w14:paraId="419FBD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 третьей награде — за следующие 8 успешно выполненных бомбардировок;</w:t>
      </w:r>
    </w:p>
    <w:p w14:paraId="283060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10 успешно выполненных бомбардировок.</w:t>
      </w:r>
    </w:p>
    <w:p w14:paraId="62ECD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бомбардировках военных объектов в тылу противника в пределах временно оккупированной территории Союза ССР:</w:t>
      </w:r>
    </w:p>
    <w:p w14:paraId="32C1BF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20 успешно выполненных бомбардировок;</w:t>
      </w:r>
    </w:p>
    <w:p w14:paraId="4DD007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25 успешно выполненных бомбардировок;</w:t>
      </w:r>
    </w:p>
    <w:p w14:paraId="40B2FD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третьей награде — за следующие 35 успешно выполенных бомбардировок;</w:t>
      </w:r>
    </w:p>
    <w:p w14:paraId="2DABCD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40 успешно выполненных бомбардировок.</w:t>
      </w:r>
    </w:p>
    <w:p w14:paraId="330914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бомбардировках военных объектов противника на переднем крае обороны или в пределах армейских и фронтовых тылов:</w:t>
      </w:r>
    </w:p>
    <w:p w14:paraId="7E582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30 успешно выполненных бомбардировок;</w:t>
      </w:r>
    </w:p>
    <w:p w14:paraId="164ED4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50 успешно выполненных бомбардировок;</w:t>
      </w:r>
    </w:p>
    <w:p w14:paraId="693668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третьей награде — за следующие 70 успешно выполненных бомбардировок;</w:t>
      </w:r>
    </w:p>
    <w:p w14:paraId="676238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100 успешно выполненных бомбардировок.</w:t>
      </w:r>
    </w:p>
    <w:p w14:paraId="3E2B2C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Минно-торпедная авиация</w:t>
      </w:r>
    </w:p>
    <w:p w14:paraId="196863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Летный состав, входящий в расчет экипажей минно-торпедной авиации, представляется к правительственным наградам за успешное выполнение минных постановок:</w:t>
      </w:r>
    </w:p>
    <w:p w14:paraId="54CBB2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10 успешно выполненных минных постановок у баз противника и на фарватерах, прикрытых сильными средствами ПВО, или 20 постановок на открытых фарватерах;</w:t>
      </w:r>
    </w:p>
    <w:p w14:paraId="259A58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каждый член экипажа за каждые следующие 20 успешно выполненных минных постановок у баз противника и на фарватерах, прикрытых сильными средствами ПВО, или 40 постановок на открытых фарватерах;</w:t>
      </w:r>
    </w:p>
    <w:p w14:paraId="2D395C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каждый член экипажа за 60 успешно выполненных минных постановок у баз противника и на фарватерах, прикрытых сильными средствами ПВО, или 120 постановок на открытых фарватерах.</w:t>
      </w:r>
    </w:p>
    <w:p w14:paraId="0CAE0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 Разведывательная авиация</w:t>
      </w:r>
    </w:p>
    <w:p w14:paraId="0AE403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Летный состав разведывательной авиации представляется к правительственным наградам:</w:t>
      </w:r>
    </w:p>
    <w:p w14:paraId="6859B4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на разведку днем и ночью:</w:t>
      </w:r>
    </w:p>
    <w:p w14:paraId="547BE6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каждое лицо, входящее в состав экипажа, за 5 успешных боевых вылетов на дальнюю разведку или за 10 успешных боевых вылетов на ближнюю разведку;</w:t>
      </w:r>
    </w:p>
    <w:p w14:paraId="303A94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каждое лицо, входящее в состав экипажа, за последующие 10 успешных боевых вылетов на дальнюю разведку или 15 успешных вылетов на ближнюю разведку;</w:t>
      </w:r>
    </w:p>
    <w:p w14:paraId="526D72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каждое лицо, входящее в состав экипажа, за 75 успешных боевых вылетов на дальнюю разведку или 100 успешных боевых вылетов на ближнюю разведку.</w:t>
      </w:r>
    </w:p>
    <w:p w14:paraId="4BBEE9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самолетов противника в воздушных боях и на земле — лица, входящие в состав экипажей разведывательной авиации, представляются к наградам в порядке, установленном настоящим Положением для ближне-бомбардировочной авиации.</w:t>
      </w:r>
    </w:p>
    <w:p w14:paraId="760036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Командиры подразделений и частей, помимо наград, получаемых за личные подвиги, к правительственным наградам представляются:</w:t>
      </w:r>
    </w:p>
    <w:p w14:paraId="01255F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командир эскадрильи, под командованием которого эскадрилья совершила 100 успешных боевых самолето-вылетов, имея при этом потери не более 5 своих самолетов;</w:t>
      </w:r>
    </w:p>
    <w:p w14:paraId="11DC94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полка, под командованием которого полк совершил 200 успешных боевых самолето-вылетов, имея при этом потери не более 10 своих самолетов.</w:t>
      </w:r>
    </w:p>
    <w:p w14:paraId="592154C3" w14:textId="77777777" w:rsidR="004E18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Для экипажей морской разведывательной авиации, несущих разведку в открытом море и при малой вероятности встречи с воздушным противником, количество успешных боевых вылетов увеличить в 3 раза, а для награждения командиров АЭ и АП — в 4 раза.</w:t>
      </w:r>
    </w:p>
    <w:p w14:paraId="56306711" w14:textId="481E9AB1"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 Корректировочно-разведывательная авиация</w:t>
      </w:r>
    </w:p>
    <w:p w14:paraId="19EEDA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Летчики и летчики-наблюдатели (штурманы) корректировочно-разведывательной авиации представляются к правительственным наградам:</w:t>
      </w:r>
    </w:p>
    <w:p w14:paraId="7B385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на корректирование артогня, визуальную и фотографическую разведку:</w:t>
      </w:r>
    </w:p>
    <w:p w14:paraId="3B9C22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15 успешных боевых вылетов;</w:t>
      </w:r>
    </w:p>
    <w:p w14:paraId="6FE25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30 успешных боевых вылетов;</w:t>
      </w:r>
    </w:p>
    <w:p w14:paraId="59267D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80 успешных боевых вылетов.</w:t>
      </w:r>
    </w:p>
    <w:p w14:paraId="349682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Лица, входящие в состав экипажей корректировочно-разведывательной авиации, к наградам представляются за уничтожение самолетов противника в воздушных боях и на земле — в порядке, установленном настоящим Положением для штурмовой авиации.</w:t>
      </w:r>
    </w:p>
    <w:p w14:paraId="0D149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Командиры подразделений и частей помимо наград, получаемых за личные подвиги, к правительственным наградам представляются:</w:t>
      </w:r>
    </w:p>
    <w:p w14:paraId="69CF85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командир эскадрильи, под командованием которого эскадрилья совершила по 10 боевых успешных вылетов на каждый самолет, имея при этом потери не более 2 своих самолетов;</w:t>
      </w:r>
    </w:p>
    <w:p w14:paraId="59532D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полка, под командованием которого полк совершил 100 успешных боевых самолето-вылетов, имея при этом потери не более 5 своих самолетов.</w:t>
      </w:r>
    </w:p>
    <w:p w14:paraId="670ECA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VIII. Авиация всех видов</w:t>
      </w:r>
    </w:p>
    <w:p w14:paraId="3D6D5A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Летный состав экипажей всех видов авиации за потопление морских судов к правительственным наградам представляется:</w:t>
      </w:r>
    </w:p>
    <w:p w14:paraId="273DC2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потопление одного боевого корабля класса не менее миноносца или подводной лодки, или трех малых боевых кораблей, или двух транспортов по 2000—5000 тонн, или одного транспорта свыше 5000 тонн водоизмещением;</w:t>
      </w:r>
    </w:p>
    <w:p w14:paraId="0750D0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каждый член экипажа за потопление каждого следующего одного боевого корабля класса не менее миноносца или подлодки, или следующих трех малых кораблей (боевых), или двух транспортов по 2000—5000 тонн, или одного следующего транспорта свыше 5000 тонн водоизмещением;</w:t>
      </w:r>
    </w:p>
    <w:p w14:paraId="42686A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потопление 3 боевых кораблей класса не менее миноносца или подлодки, или 9 малых боевых кораблей, или 6 транспортов по 2000-5000 тонн, или 3 транспортов свыше 5000 тонн водоизмещением каждый.</w:t>
      </w:r>
    </w:p>
    <w:p w14:paraId="3ABEF2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IX. Транспортная авиация</w:t>
      </w:r>
    </w:p>
    <w:p w14:paraId="4A759F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Летный состав транспортной и других видов авиации, привлекаемых к выполнению заданий по транспортировке, к правительственным наградам представляется за успешное выполнение вылетов для сбрасывания грузов войскам, или партизанам, действующим в тылу противника, за высадку в тылу противника и вывозку войск (в том числе раненых) из расположения частей, действующих в тылу противника:</w:t>
      </w:r>
    </w:p>
    <w:p w14:paraId="1D6A5E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10 дневных или 20 ночных успешных вылетов с посадкой в тылу противника с целью высадки войск или эвакуации раненых, или за 15 дневных или 30 ночных успешных вылетов для сбрасывания грузов в расположение войск или партизанских отрядов, действующих в тылу противника;</w:t>
      </w:r>
    </w:p>
    <w:p w14:paraId="14B6F8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и третьей наградам — каждый член экипажа за каждые следующие 15 дневных или 25 ночных успешных вылетов с посадкой в тылу противника с целью высадки войск или эвакуации раненых, или за каждые следующие 30 дневных или 50 ночных успешных вылетов для сбрасывания грузов в расположении войск или партизанских отрядов, действующих в тылу противника;</w:t>
      </w:r>
    </w:p>
    <w:p w14:paraId="4A7127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каждый член экипажа за следующие 50 дневных или 75 ночных успешных вылетов с посадкой в тылу противника, с целью высадки войск или эвакуации раненых, или за 100 дневных, или 150 ночных успешных вылетов для сбрасывания грузов в расположении войск или партизанских отрядов, действующих в тылу противника.</w:t>
      </w:r>
    </w:p>
    <w:p w14:paraId="720B05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Летный состав экипажей транспортной авиации при выполнении заданий, возлагаемых на другие виды авиации, к правительственным наградам представляется в порядке, установленном настоящим Положением для соответствующего вида авиации.</w:t>
      </w:r>
    </w:p>
    <w:p w14:paraId="7B1F194F" w14:textId="77777777" w:rsidR="004E18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Вылет для сбрасывания грузов считается успешно выполненным в том случае, если сброшенный груз подобран нашими войсками или партизанами.</w:t>
      </w:r>
    </w:p>
    <w:p w14:paraId="2BF09578" w14:textId="6EBD9C39"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 Авиация связи</w:t>
      </w:r>
    </w:p>
    <w:p w14:paraId="47A2F4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Летный состав экипажей связи к правительственным наградам представляется за успешное выполнение полетов с целью поддержания связи со своими войсками в прифронтовой полосе глубиной до 50 километров от линии фронта при условии, если полеты проводились под воздействием авиации или зенитного огня противника, при этом экипажем были проявлены находчивость и героизм.</w:t>
      </w:r>
    </w:p>
    <w:p w14:paraId="5178D6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Представление к наградам производится начальником войск связи фронта (армии, флота) или начальником связи воздушной армии с приложением описания условий воздушной и наземной обстановки, в которых производились полеты, и героизма, проявленного экипажем при этих полетах, ходатайство о награждении утверждается начальником штаба или командующим воздушной армии (командующим ВВС фронта).</w:t>
      </w:r>
    </w:p>
    <w:p w14:paraId="23BBC0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Летный состав экипажей авиации связи за успешное выполнение заданий по связи с войсками или партизанами, действующими в тылу противника, к правительственным наградам представляется в каждом отдельном случае с учетом сложности и важности выполненного задания.</w:t>
      </w:r>
    </w:p>
    <w:p w14:paraId="74D5BD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 Сбитие в воздушном бою или уничтожение на земле самолетов, а также нанесенный ущерб противнику засчитывать при одном из следующих показателей:</w:t>
      </w:r>
    </w:p>
    <w:p w14:paraId="46CB3C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наличии письменного подтверждения от наземных войск, кораблей, партизанских отрядов или донесений агентуры;</w:t>
      </w:r>
    </w:p>
    <w:p w14:paraId="7DDD40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наличии письменного подтверждения от местного населения, заверенного местными органами власти;</w:t>
      </w:r>
    </w:p>
    <w:p w14:paraId="2C0D24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наличии фотоснимков, подтверждающих сбитие самолета или нанесенный другой ущерб противнику;</w:t>
      </w:r>
    </w:p>
    <w:p w14:paraId="0F2B72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наличии подтверждения от постов ВНОС и других систем наведения и оповещения;</w:t>
      </w:r>
    </w:p>
    <w:p w14:paraId="10C1BE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при наличии письменного подтверждения двух и более экипажей самолетов, действовавших в данной группе, или экипажа, высылаемого с целью контролирования успешного бомбометания при условии невозможности получить другого вида подтверждения;</w:t>
      </w:r>
    </w:p>
    <w:p w14:paraId="73BBAC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личный рапорт одиночного охотника-истребителя или штурмовика-торпедоносца по утверждении его командиром авиаполка.</w:t>
      </w:r>
    </w:p>
    <w:p w14:paraId="01E17E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XII. Представление к правительственным наградам частей и соединений всех видов авиации</w:t>
      </w:r>
    </w:p>
    <w:p w14:paraId="42BE03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Части и соединения всех видов авиации к правительственным наградам представляются за успешную боевую работу, в результате которой противнику нанесен материальный ущерб в живой силе и технике, или же боевые действия авиачасти (соединения) способствовали успешному выполнению различных операций войск.</w:t>
      </w:r>
    </w:p>
    <w:p w14:paraId="0E8B10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Представление к правительственной награде частей и соединений авиации осуществляется решением военного совета фронта (флота, отдельной армии), командующего ВВС Красной Армии, ИА ПВО, АДД, ВВС НКВМФ.</w:t>
      </w:r>
    </w:p>
    <w:p w14:paraId="07F219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XIII. Денежные премии летному составу экипажей всех видов (кроме авиации ДД) за успешные боевые действия</w:t>
      </w:r>
    </w:p>
    <w:p w14:paraId="6DD10D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Летному составу экипажей всех видов авиации (кроме авиации ДД) за успешные боевые действия вне зависимости от представления к правительственным наградам выплачиваются денежные премии:</w:t>
      </w:r>
    </w:p>
    <w:p w14:paraId="080730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Летчику и штурману, входящим в состав экипажа:</w:t>
      </w:r>
    </w:p>
    <w:p w14:paraId="16DA43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30 успешных боевых вылетов................ 2000 руб.</w:t>
      </w:r>
    </w:p>
    <w:p w14:paraId="4E634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50 успешных боевых вылетов................ 3000 ”</w:t>
      </w:r>
    </w:p>
    <w:p w14:paraId="50E31C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80 успешных боевых вылетов................ 4000 ”</w:t>
      </w:r>
    </w:p>
    <w:p w14:paraId="33BB95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120 успешных боевых вылетов............... 5000 ”</w:t>
      </w:r>
    </w:p>
    <w:p w14:paraId="3E59A1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Всем остальным членам экипажа по 30% каждому от суммы, полученной командиром экипажа.</w:t>
      </w:r>
    </w:p>
    <w:p w14:paraId="0FA7B2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Члену экипажа, лично сбившему самолет противника: За каждый сбитый самолет типа бомбардировщик, разведчик или транспортный.................. 1500 руб.</w:t>
      </w:r>
    </w:p>
    <w:p w14:paraId="2F7BEC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каждый сбитый самолет прочих типов.......... 1000 ”</w:t>
      </w:r>
    </w:p>
    <w:p w14:paraId="403679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Летчику и штурману, входящим в состав экипажа: За каждый уничтоженный паровоз или вызванное крушение поезда противника каждому по.......... 750 руб.</w:t>
      </w:r>
    </w:p>
    <w:p w14:paraId="04CE2E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Всем остальным членам экипажа каждому по....... 500 ”</w:t>
      </w:r>
    </w:p>
    <w:p w14:paraId="74E280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потопление миноносца или подводной лодки противника:</w:t>
      </w:r>
    </w:p>
    <w:p w14:paraId="30671D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10 000 руб.</w:t>
      </w:r>
    </w:p>
    <w:p w14:paraId="7ED976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10000 ”</w:t>
      </w:r>
    </w:p>
    <w:p w14:paraId="779339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2 500 ”</w:t>
      </w:r>
    </w:p>
    <w:p w14:paraId="662110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За потопление транспорта противника:</w:t>
      </w:r>
    </w:p>
    <w:p w14:paraId="1D8610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3000 ”</w:t>
      </w:r>
    </w:p>
    <w:p w14:paraId="3B4144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3000 ”</w:t>
      </w:r>
    </w:p>
    <w:p w14:paraId="51E149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1000 ”</w:t>
      </w:r>
    </w:p>
    <w:p w14:paraId="4ABBE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За потопление сторожевого корабля или тральщика противника:</w:t>
      </w:r>
    </w:p>
    <w:p w14:paraId="253B6F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2000 руб.</w:t>
      </w:r>
    </w:p>
    <w:p w14:paraId="742410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2000 ”</w:t>
      </w:r>
    </w:p>
    <w:p w14:paraId="26877C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500 ”</w:t>
      </w:r>
    </w:p>
    <w:p w14:paraId="36BBC3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За потопление баржи, буксира или вооруженной шхуны противника:</w:t>
      </w:r>
    </w:p>
    <w:p w14:paraId="5C45D2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1000 руб.</w:t>
      </w:r>
    </w:p>
    <w:p w14:paraId="7DA248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1000 ”</w:t>
      </w:r>
    </w:p>
    <w:p w14:paraId="55C2CB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300 ”</w:t>
      </w:r>
    </w:p>
    <w:p w14:paraId="2CFE53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XIV. Денежные премии летному составу экипажей авиации дальнего действия за успешные боевые действия</w:t>
      </w:r>
    </w:p>
    <w:p w14:paraId="33DC82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каждую успешно выполненную бомбардировку политического центра (столицы) противника:</w:t>
      </w:r>
    </w:p>
    <w:p w14:paraId="2D9722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корабля, штурман корабля, борттехник,</w:t>
      </w:r>
    </w:p>
    <w:p w14:paraId="1A22AD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(бортмеханик) по......................... 2000 руб.</w:t>
      </w:r>
    </w:p>
    <w:p w14:paraId="3F74EF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1000 ”</w:t>
      </w:r>
    </w:p>
    <w:p w14:paraId="040556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каждую успешно выполненную бомбардировку объектов промышленного и оборонного значения на собственной территории противника: Командир корабля, штурман корабля, борттехник (бортмеханик) по......................... 750 руб.</w:t>
      </w:r>
    </w:p>
    <w:p w14:paraId="5BD6D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350 ”</w:t>
      </w:r>
    </w:p>
    <w:p w14:paraId="5B73A2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каждые 10 успешно выполненных бомбардировок военных объектов в тылу противника в пределах временно оккупированной территории Союза ССР: Командир корабля, штурман корабля и борттехник (бортмеханик) по......................... 1000 руб.</w:t>
      </w:r>
    </w:p>
    <w:p w14:paraId="7E276D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500 ”</w:t>
      </w:r>
    </w:p>
    <w:p w14:paraId="499D9A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каждые 10 успешно выполненных бомбардировок военных объектов на переднем крае или в пределах армейских и фронтовых тылов противника:</w:t>
      </w:r>
    </w:p>
    <w:p w14:paraId="3E31B2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корабля, штурман корабля и борттехник (бортмеханик) по......................... 500 руб.</w:t>
      </w:r>
    </w:p>
    <w:p w14:paraId="139226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250 ”</w:t>
      </w:r>
    </w:p>
    <w:p w14:paraId="68C92C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Основанием для выплаты денежных наград служит приказ авиадивизии со ссылкой на документы, перечисленные в разделе XI настоящего Положения.</w:t>
      </w:r>
    </w:p>
    <w:p w14:paraId="08BB8F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Выплата денежных премий за успешные полеты, совершаемые летным составом АДД для связи с партизанами, выброски грузов, листовок и десантов производится в порядке, установленном настоящим разделом.</w:t>
      </w:r>
    </w:p>
    <w:p w14:paraId="1E8B32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Денежные премии за сбитые самолеты и потопление морских судов противника экипажами самолетов АДД выплачиваются в порядке, установленном разделом XIII, п. 20 настоящего Положения.</w:t>
      </w:r>
    </w:p>
    <w:p w14:paraId="5D1001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XV. Награды и денежные премии инженерно-техническому составу ВВС Красной Армии, авиации дальнего действия, истребительной авиации ПВО и ВВС Военно-Морского Флота</w:t>
      </w:r>
    </w:p>
    <w:p w14:paraId="4A1DE9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Механик (техник) и моторист авиационный, непосредственно работающие на самолете, представляются к правительственным наградам:</w:t>
      </w:r>
    </w:p>
    <w:p w14:paraId="788DD3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отличную подготовку и выпуск самолетов на выполнение боевых заданий в установленные командованием сроки:</w:t>
      </w:r>
    </w:p>
    <w:p w14:paraId="73F5AD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100 самолето-выпусков, а при обслуживании самолетов типа У-2, Р-5 и МБР-2 за 250 самолето-выпусков;</w:t>
      </w:r>
    </w:p>
    <w:p w14:paraId="3312E5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100 самолето-выпусков, а при обслуживании самолетов типа У-2, Р-5 и МБР-2 за каждые следующие 250 самолето-выпусков.</w:t>
      </w:r>
    </w:p>
    <w:p w14:paraId="76E870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Механики и мастера спецслужб и вооружения представляются к первой и последующим правительственным наградам, если обслуживаемые ими самолеты (по их специальностям) совершили следующее количество боевых вылетов:</w:t>
      </w:r>
    </w:p>
    <w:p w14:paraId="4E39FB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истребительных и штурмовых самолетов —750 самолето-вылетов;</w:t>
      </w:r>
    </w:p>
    <w:p w14:paraId="218156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ближних бомбардировщиков и ближней разведки — 400 самолетовылетов;</w:t>
      </w:r>
    </w:p>
    <w:p w14:paraId="79D23D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для тяжелых и дальних бомбардировщиков и дальней разведки — 300 самолето-вылетов;</w:t>
      </w:r>
    </w:p>
    <w:p w14:paraId="1186A2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для самолетов типа У-2, Р-5, МБР-2 — 1500 самолето-вылетов.</w:t>
      </w:r>
    </w:p>
    <w:p w14:paraId="7521F3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Руководящий инженерно-технический состав авиачастей к правительственным наградам представляется:</w:t>
      </w:r>
    </w:p>
    <w:p w14:paraId="327F27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 авиационный звена — за 200 самолето-вылетов;ст. техник (инженер) авиаэскадрильи и его заместители по вооружению и спецслужбам — за 750 самолето-вылетов;</w:t>
      </w:r>
    </w:p>
    <w:p w14:paraId="532B01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инженер авиаполка и его заместители по вооружению и спецслужбам — ш 1500 самолето-вылетов.</w:t>
      </w:r>
    </w:p>
    <w:p w14:paraId="33D89B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 Инженерно-техническому составу авиачастей за отличное содержание, уход и сбережение материальной части, кроме правительственных наград, выплачиваются </w:t>
      </w:r>
      <w:r w:rsidRPr="00271E51">
        <w:rPr>
          <w:rFonts w:ascii="Times New Roman" w:hAnsi="Times New Roman"/>
          <w:color w:val="000000" w:themeColor="text1"/>
          <w:sz w:val="16"/>
          <w:szCs w:val="16"/>
        </w:rPr>
        <w:lastRenderedPageBreak/>
        <w:t>денежные премии:</w:t>
      </w:r>
    </w:p>
    <w:p w14:paraId="17C6BF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каждые 100 самолето-вылетов:</w:t>
      </w:r>
    </w:p>
    <w:p w14:paraId="3EAAB8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механику (технику) авиационному самолета........ 1000 руб.</w:t>
      </w:r>
    </w:p>
    <w:p w14:paraId="368342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мотористу авиационному.................... 400 ”</w:t>
      </w:r>
    </w:p>
    <w:p w14:paraId="64886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остальному техническому составу (службы вооружения, авиаприборов, электро-радиоспецоборудования)........................ 600 ”</w:t>
      </w:r>
    </w:p>
    <w:p w14:paraId="60264F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Денежная премия в сумме 600 рублей, подлежащая выплате “остальному техническому составу”, распределяется командованием части с учетом объема работы каждого специалиста, надежности и безотказности работы вооружения, приборов и агрегатов, обслуживаемых каждым специалистом в отдельности.</w:t>
      </w:r>
    </w:p>
    <w:p w14:paraId="38D080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Если 75% механиков (техников) авиационных в звене (эскадрилье) премированы, руководящий инженерно-технический состав звена, эскадрильи получает денежную премию:</w:t>
      </w:r>
    </w:p>
    <w:p w14:paraId="31DBD9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 авиационный звена................... 1500 руб.</w:t>
      </w:r>
    </w:p>
    <w:p w14:paraId="5A3B64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техник (инженер) эскадрильи............... 2000 ”</w:t>
      </w:r>
    </w:p>
    <w:p w14:paraId="338846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заместители инженера (ст. техника) эскадрильи по вооружению и спецслужбам каждый... 1500 ” в) Если 50% механиков (техников) авиационных в авиаполку премированы, руководящий инженерно-технический состав авиаполка получает денежную премию:</w:t>
      </w:r>
    </w:p>
    <w:p w14:paraId="0DF7DB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инженер авиаполка...................... 2500 руб.</w:t>
      </w:r>
    </w:p>
    <w:p w14:paraId="789F15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заместители ст. инженера по вооружению и спецслужбам каждый....................... 2000 ”</w:t>
      </w:r>
    </w:p>
    <w:p w14:paraId="09FF06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1. При выходе самолета из строя по причинам, не зависящим от технического состава (сбитие самолета в воздухе, уничтожение на земле противником или в результате стихийного бедствия, а также при перемене материальной части, в результате перемещений личного состава или перевооружения на новую материальную часть) прежние полеты самолета засчитываются в норму, установленную настоящим Положением.</w:t>
      </w:r>
    </w:p>
    <w:p w14:paraId="17B981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Выдачу денежных премий за сбережение материальной части и безаварийность личному составу военных учебных заведений, учебно-тренировочных и запасных частей ВВС Красной Армии, АДД и ВВС Военно-Морского Флота производить по особому положению.</w:t>
      </w:r>
    </w:p>
    <w:p w14:paraId="42A7D9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Награждение и выдача денежных премий техническому составу ремор-ганов (ПАРМ-1, 3, 10 ПАМ, САМ) за качественный ремонт материальной части производится по особому положению.</w:t>
      </w:r>
    </w:p>
    <w:p w14:paraId="3C61B3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Военными воздушными силами Красной Армии маршал авиации НОВИКОВ (9844).</w:t>
      </w:r>
    </w:p>
    <w:p w14:paraId="0B349A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755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состоялось еще одно потопление на этой же коммуникации. В 08:00 западнее маяка Ужава Бунимович обнаружил и торпедировал «8000-тонный танкер». Фотография, сделанная за мгновение до взрыва торпеды, украсила исторический журнал полка. Правда, на дно отправился не танкер, а сходный по силуэту лихтер «Зульхоф 17» (397 брт) (9965).</w:t>
      </w:r>
    </w:p>
    <w:p w14:paraId="0C1A2B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B9D3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9CAE6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8E5C06" w14:textId="77777777" w:rsidR="002877BD" w:rsidRPr="00271E51" w:rsidRDefault="002877B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30 сентября 1943 первый полет Northrop XP-56 Black Bullet (20376).</w:t>
      </w:r>
    </w:p>
    <w:p w14:paraId="126D0330" w14:textId="77777777" w:rsidR="002877BD" w:rsidRPr="00271E51" w:rsidRDefault="002877BD" w:rsidP="00271E51">
      <w:pPr>
        <w:spacing w:after="0" w:line="240" w:lineRule="auto"/>
        <w:jc w:val="both"/>
        <w:rPr>
          <w:rFonts w:ascii="Times New Roman" w:hAnsi="Times New Roman"/>
          <w:color w:val="0070C0"/>
          <w:sz w:val="16"/>
          <w:szCs w:val="16"/>
        </w:rPr>
      </w:pPr>
    </w:p>
    <w:p w14:paraId="27FD6E73" w14:textId="77777777" w:rsidR="009376F4" w:rsidRPr="00271E51" w:rsidRDefault="009376F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французский разведчик Андре Комп выкрал чертежи пусковых установок ФАУ-1 с тем, чтобы отправить их в Лондон (4962).</w:t>
      </w:r>
    </w:p>
    <w:p w14:paraId="4082F6B6" w14:textId="77777777" w:rsidR="009376F4" w:rsidRPr="00271E51" w:rsidRDefault="009376F4"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F822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фашистами жестоко подавлено восстание в Неаполе (4962).</w:t>
      </w:r>
    </w:p>
    <w:p w14:paraId="4E70EA6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E7D4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ночью рыбаками переправлены в Швецию около 7 тысяч датских евреев, приготовленных фашистами для отправки в концлагерь (среди них был Нобелевский лауреат Нильс Бор) (4962).</w:t>
      </w:r>
    </w:p>
    <w:p w14:paraId="5E78647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B3A72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подпольная газета французского Сопротивления “Дефенс де ля Франс” впервые опубликовала фотографии немецких концлагерей (4962).</w:t>
      </w:r>
    </w:p>
    <w:p w14:paraId="4620BFF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721C8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1BE77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878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последней декаде сентября 1943 на территории завода № 135 в Харькове начался ремонт самолетов, прибывавших из летных частей – Як-1, Як-2, Як-3, Як-9, Ла-5, Ла-7, Ил-2 (10674).</w:t>
      </w:r>
    </w:p>
    <w:p w14:paraId="6B6921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79B0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F43E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734A99"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конца сентября 1943 г. на УВЗ продолжали выпускаться бронедетали для других самолетов, после чего вся оснастка была либо законсервирована и отправлена на склады или другие заводы (18250).</w:t>
      </w:r>
    </w:p>
    <w:p w14:paraId="2101AD52"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5862DF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сентября 1943 г. подготовили проект «дублера» Ла-5ТК, рассчитанный на боевую высоту 13500 м. Самолет имел много от</w:t>
      </w:r>
      <w:r w:rsidRPr="00271E51">
        <w:rPr>
          <w:rFonts w:ascii="Times New Roman" w:hAnsi="Times New Roman"/>
          <w:color w:val="000000" w:themeColor="text1"/>
          <w:sz w:val="16"/>
          <w:szCs w:val="16"/>
        </w:rPr>
        <w:softHyphen/>
        <w:t>личий: увеличенный размах крыла и стабилизатора, двигатель М-82ФН с двумя ТК-3 новой серии, водо-воздушный радиатор в магистрали наддува. Кабину спроектировали герметичной венти</w:t>
      </w:r>
      <w:r w:rsidRPr="00271E51">
        <w:rPr>
          <w:rFonts w:ascii="Times New Roman" w:hAnsi="Times New Roman"/>
          <w:color w:val="000000" w:themeColor="text1"/>
          <w:sz w:val="16"/>
          <w:szCs w:val="16"/>
        </w:rPr>
        <w:softHyphen/>
        <w:t>ляционного типа, а летчик получил новую кислородную маску, рас</w:t>
      </w:r>
      <w:r w:rsidRPr="00271E51">
        <w:rPr>
          <w:rFonts w:ascii="Times New Roman" w:hAnsi="Times New Roman"/>
          <w:color w:val="000000" w:themeColor="text1"/>
          <w:sz w:val="16"/>
          <w:szCs w:val="16"/>
        </w:rPr>
        <w:softHyphen/>
        <w:t>считанную на высоту до 14 км. НКАП предложил сделать опытную серию Ла-5ТК, представив 2 первых самолета на испытания к 30 октября, а 4 последних — к 30 декабря 1944 г. На это Лавочкин про</w:t>
      </w:r>
      <w:r w:rsidRPr="00271E51">
        <w:rPr>
          <w:rFonts w:ascii="Times New Roman" w:hAnsi="Times New Roman"/>
          <w:color w:val="000000" w:themeColor="text1"/>
          <w:sz w:val="16"/>
          <w:szCs w:val="16"/>
        </w:rPr>
        <w:softHyphen/>
        <w:t>сил 100 квалифицированных рабочих, содействие ЦИАМ, завода № 289 и КБ по гермокабинам А.Я. Щербакова, а также моторных заводов № 19 и № 300. Все это было предоставлено, а сверх того на 21-й завод направили специалистов ОКБ Мясищева, имевших большой опыт, полученный во время работы над гермокабинами бомбардировщика «102» (11123).</w:t>
      </w:r>
    </w:p>
    <w:p w14:paraId="6418D0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63541" w14:textId="77777777" w:rsidR="00180E5C" w:rsidRPr="00271E51" w:rsidRDefault="00180E5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концу сентября 1943 отработали вариант установки на ТИС 2 45-мм пушек 111П (НС-45) конструкции ОКБ-16 (17500).</w:t>
      </w:r>
    </w:p>
    <w:p w14:paraId="1A05D30F"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6C7EB51F"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3F75B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8A87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сентября 1943 г. на заводе № 100 на базе второго опытного образца танка "Объект 237" был изготовлен танк "Объект 240", который являлся дальнейшим развитием опытного танка "Объект 237" в отношении повышения его огневой мощи. Опытный об</w:t>
      </w:r>
      <w:r w:rsidRPr="00271E51">
        <w:rPr>
          <w:rFonts w:ascii="Times New Roman" w:hAnsi="Times New Roman"/>
          <w:color w:val="000000" w:themeColor="text1"/>
          <w:sz w:val="16"/>
          <w:szCs w:val="16"/>
        </w:rPr>
        <w:softHyphen/>
        <w:t>разец танка и в период с 1 по 23 октября 1943 г. успешно прошел ходовые и артиллерийские испытания, по результатам которых был рекомендован (с учетом устранения от</w:t>
      </w:r>
      <w:r w:rsidRPr="00271E51">
        <w:rPr>
          <w:rFonts w:ascii="Times New Roman" w:hAnsi="Times New Roman"/>
          <w:color w:val="000000" w:themeColor="text1"/>
          <w:sz w:val="16"/>
          <w:szCs w:val="16"/>
        </w:rPr>
        <w:softHyphen/>
        <w:t>дельных недостатков) к принятию на вооружение РККА под маркой "ИС-2" (10703).</w:t>
      </w:r>
    </w:p>
    <w:p w14:paraId="0476FE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62105"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С конца сентября 1943 года начались по-настоящему крупные поставки КВ-85 в войска. 23 числа в Костерево отправился эшелон для комплектования 27-го гвардейского танкового полка. Машины строились на деньги сельских тружеников Чувашии, и танки отправились на фронт в составе колонны «Колхозник Чувашии». Также КВ-85 поступили на комплектование 7-го, 14-го, 28-го, 30-го и 34-го гвардейских танковых полков. Структурно эти части ничем не отличались от тех, которые до того вооружались КВ-1с. Штатная структура предполагала наличие в полку 21 танка, подобный состав оставался неизменным до конца Великой Отечественной войны. С начала 1944 года полки, вооружённые тяжёлыми танками, стали именовать гвардейскими тяжёлыми танковыми полками.</w:t>
      </w:r>
    </w:p>
    <w:p w14:paraId="3FFDB0A8"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Освоение новых машин шло по-разному. Проще всего было тем частям, которые до того воевали на КВ-1с. С технической точки зрения разница между КВ-85 и этим танком была небольшой. Но попадали КВ-85 и в части, которые до того использовали другие танки. Например, 34-й гвардейский тяжёлый танковый полк, куда 22 октября 1943 года был направлен 21 танк. Полк, к тому моменту находившийся в Тульском учебном лагере, до КВ-85 воевал на </w:t>
      </w:r>
      <w:hyperlink r:id="rId98" w:history="1">
        <w:r w:rsidRPr="00271E51">
          <w:rPr>
            <w:rStyle w:val="a5"/>
            <w:bCs/>
            <w:iCs/>
            <w:color w:val="000000" w:themeColor="text1"/>
            <w:sz w:val="16"/>
            <w:szCs w:val="16"/>
            <w:bdr w:val="none" w:sz="0" w:space="0" w:color="auto" w:frame="1"/>
          </w:rPr>
          <w:t>Churchill IV</w:t>
        </w:r>
      </w:hyperlink>
      <w:r w:rsidRPr="00271E51">
        <w:rPr>
          <w:color w:val="000000" w:themeColor="text1"/>
          <w:sz w:val="16"/>
          <w:szCs w:val="16"/>
        </w:rPr>
        <w:t>. У танкистов этой части имелись проблемы с эксплуатацией новых танков, например, наблюдались утыкания длинного ствола Д-5Т в стволы деревьев. 34-й гвардейский тяжёлый танковый полк стал первым, который использовал КВ-85 на фронте (17710).</w:t>
      </w:r>
    </w:p>
    <w:p w14:paraId="026EEFD5"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74F366D6"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В конце сентября 1943 возглавляемый Горлицким Отдел главного конструктора (ОГК) УЗТМ разработал вариант СУ-85 с расширенным боевым отделением. Но дальше эскизного проекта дело не продвинулось: СУ-85 пошла в производство, мало отличаясь от СУ-85-II.</w:t>
      </w:r>
    </w:p>
    <w:p w14:paraId="38BD233F"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Переделки коснулись орудийной установки, которую срочно доработали в КБ завода №9, а также подвижной и неподвижной бронировок. Также были доработаны </w:t>
      </w:r>
      <w:r w:rsidRPr="00271E51">
        <w:rPr>
          <w:color w:val="000000" w:themeColor="text1"/>
          <w:sz w:val="16"/>
          <w:szCs w:val="16"/>
        </w:rPr>
        <w:lastRenderedPageBreak/>
        <w:t>топливная система и электрооборудование, люк панорамы расширили на 100 мм вправо и на 150 мм назад. Появилась экранировка колпака на месте командира, а панорама на ней сместилась на 30 мм вперёд и на 100 мм вправо. Амбразуру под орудие в лобовом листе доработали по типу СУ-122М, пистолетный порт в правом борту рубки сместился. Наконец, экипаж серийной СУ-85 состоял из 4 человек.</w:t>
      </w:r>
    </w:p>
    <w:p w14:paraId="4AFDE9E6"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Следует отметить, что слово «серия» в отношении СУ-85 употреблялось крайне редко. Первые машины считались установочной партией, в дальнейшем доработанные машины на серии не разбивались. Кроме того, Горлицкий всё ещё полагал, что позже в серию пойдёт модернизированная машина, чего так и не произошло.</w:t>
      </w:r>
    </w:p>
    <w:p w14:paraId="0A02F75F" w14:textId="77777777" w:rsidR="00180E5C" w:rsidRPr="00271E51" w:rsidRDefault="00180E5C" w:rsidP="00271E51">
      <w:pPr>
        <w:pStyle w:val="ae"/>
        <w:spacing w:before="0" w:after="0"/>
        <w:jc w:val="both"/>
        <w:textAlignment w:val="baseline"/>
        <w:rPr>
          <w:color w:val="000000" w:themeColor="text1"/>
          <w:sz w:val="16"/>
          <w:szCs w:val="16"/>
        </w:rPr>
      </w:pPr>
      <w:r w:rsidRPr="00271E51">
        <w:rPr>
          <w:color w:val="000000" w:themeColor="text1"/>
          <w:sz w:val="16"/>
          <w:szCs w:val="16"/>
        </w:rPr>
        <w:t>Решение запустить производство СУ-85 без серьёзных переделок позволило сократить время. На пользу пошло и решение прекратить, наконец, параллельное изготовление Т-34. С планом завод справился — к 1 сентябрю 1943 года было сдано 100 СУ-85. Цена установки оказалась такой же, как у СУ-122 — 166500 рублей (17719).</w:t>
      </w:r>
    </w:p>
    <w:p w14:paraId="2ED8B0AF" w14:textId="77777777" w:rsidR="00180E5C" w:rsidRPr="00271E51" w:rsidRDefault="00180E5C" w:rsidP="00271E51">
      <w:pPr>
        <w:spacing w:after="0" w:line="240" w:lineRule="auto"/>
        <w:jc w:val="both"/>
        <w:rPr>
          <w:rFonts w:ascii="Times New Roman" w:hAnsi="Times New Roman"/>
          <w:color w:val="000000" w:themeColor="text1"/>
          <w:sz w:val="16"/>
          <w:szCs w:val="16"/>
        </w:rPr>
      </w:pPr>
    </w:p>
    <w:p w14:paraId="49FEF3C1" w14:textId="77777777" w:rsidR="009F69D2" w:rsidRPr="00271E51" w:rsidRDefault="009F69D2" w:rsidP="00271E51">
      <w:pPr>
        <w:pStyle w:val="ae"/>
        <w:spacing w:before="0" w:after="0"/>
        <w:jc w:val="both"/>
        <w:textAlignment w:val="baseline"/>
        <w:rPr>
          <w:color w:val="000000" w:themeColor="text1"/>
          <w:sz w:val="16"/>
          <w:szCs w:val="16"/>
        </w:rPr>
      </w:pPr>
      <w:r w:rsidRPr="00271E51">
        <w:rPr>
          <w:color w:val="000000" w:themeColor="text1"/>
          <w:sz w:val="16"/>
          <w:szCs w:val="16"/>
        </w:rPr>
        <w:t>В сентябре 1943 года СУ-85 с номером У309274 прошла в ходе испытаний 1000 километров со средней скоростью по шоссе 29,1 км/ч, а по просёлку — 17,9 км/ч. После пробега оказалось, что моторно-трансмиссионная группа машины вполне пригодна для дальнейшей эксплуатации. Единственным слабым местом оставались опорные катки, один из которых вышел из строя из-за разрушения внешнего шарикового подшипника. У другого катка разрушился резиновый бандаж. Похожие дефекты катков наблюдались и на других заводах. В целом же СУ-85 на тот период оказалась самой надёжной советской САУ (17719).</w:t>
      </w:r>
    </w:p>
    <w:p w14:paraId="54DA0635" w14:textId="77777777" w:rsidR="009F69D2" w:rsidRPr="00271E51" w:rsidRDefault="009F69D2" w:rsidP="00271E51">
      <w:pPr>
        <w:spacing w:after="0" w:line="240" w:lineRule="auto"/>
        <w:jc w:val="both"/>
        <w:rPr>
          <w:rFonts w:ascii="Times New Roman" w:hAnsi="Times New Roman"/>
          <w:color w:val="000000" w:themeColor="text1"/>
          <w:sz w:val="16"/>
          <w:szCs w:val="16"/>
        </w:rPr>
      </w:pPr>
    </w:p>
    <w:p w14:paraId="4B2D09F4" w14:textId="77777777" w:rsidR="00B95E55" w:rsidRPr="00271E51" w:rsidRDefault="00B95E55" w:rsidP="00271E51">
      <w:pPr>
        <w:pStyle w:val="a3"/>
        <w:rPr>
          <w:color w:val="000000" w:themeColor="text1"/>
          <w:lang w:val="ru-RU"/>
        </w:rPr>
      </w:pPr>
      <w:r w:rsidRPr="00271E51">
        <w:rPr>
          <w:color w:val="000000" w:themeColor="text1"/>
          <w:lang w:val="ru-RU"/>
        </w:rPr>
        <w:t>К концу сентября 1943 СУ-152 претерпела очередные, на сей раз послед</w:t>
      </w:r>
      <w:r w:rsidRPr="00271E51">
        <w:rPr>
          <w:color w:val="000000" w:themeColor="text1"/>
          <w:lang w:val="ru-RU"/>
        </w:rPr>
        <w:softHyphen/>
        <w:t>ние в производственном цикле изменения. Вокруг пистолетного порта в кормовом листе рубки появилась окантовка. Куда более значитель</w:t>
      </w:r>
      <w:r w:rsidRPr="00271E51">
        <w:rPr>
          <w:color w:val="000000" w:themeColor="text1"/>
          <w:lang w:val="ru-RU"/>
        </w:rPr>
        <w:softHyphen/>
        <w:t>ные изменения претерпела крыша рубки, и эти метаморфозы до сих пор вызывают ряд споров.</w:t>
      </w:r>
    </w:p>
    <w:p w14:paraId="19E3A24B" w14:textId="77777777" w:rsidR="00B95E55" w:rsidRPr="00271E51" w:rsidRDefault="00B95E55" w:rsidP="00271E51">
      <w:pPr>
        <w:pStyle w:val="a3"/>
        <w:rPr>
          <w:color w:val="000000" w:themeColor="text1"/>
          <w:lang w:val="ru-RU"/>
        </w:rPr>
      </w:pPr>
      <w:r w:rsidRPr="00271E51">
        <w:rPr>
          <w:color w:val="000000" w:themeColor="text1"/>
          <w:lang w:val="ru-RU"/>
        </w:rPr>
        <w:t>По результатам боевого применения СУ-152 на фронте стало извест</w:t>
      </w:r>
      <w:r w:rsidRPr="00271E51">
        <w:rPr>
          <w:color w:val="000000" w:themeColor="text1"/>
          <w:lang w:val="ru-RU"/>
        </w:rPr>
        <w:softHyphen/>
        <w:t>но, что при стрельбе внутри боевого отделения скапливался большой объем пороховых газов, что вызывало «угорание» экипажа. Об этом стало известно не только в ГАБТУ, но и на самом высшем уровне. Во</w:t>
      </w:r>
      <w:r w:rsidRPr="00271E51">
        <w:rPr>
          <w:color w:val="000000" w:themeColor="text1"/>
          <w:lang w:val="ru-RU"/>
        </w:rPr>
        <w:softHyphen/>
        <w:t>прос о решении проблемы поднял лично Сталин, произошло это в ходе показа в Кремле новых образцов бронетанковой техники. Этот эпизод описали Н.С. Попов и В.И. Петров в книге «Без тайн и секретов»:</w:t>
      </w:r>
    </w:p>
    <w:p w14:paraId="4CD5EA1E" w14:textId="77777777" w:rsidR="00B95E55" w:rsidRPr="00271E51" w:rsidRDefault="00B95E55" w:rsidP="00271E51">
      <w:pPr>
        <w:pStyle w:val="Bodytext141"/>
        <w:shd w:val="clear" w:color="auto" w:fill="auto"/>
        <w:spacing w:line="240" w:lineRule="auto"/>
        <w:ind w:firstLine="0"/>
        <w:jc w:val="both"/>
        <w:rPr>
          <w:rStyle w:val="Bodytext145"/>
          <w:i w:val="0"/>
          <w:iCs w:val="0"/>
          <w:color w:val="000000" w:themeColor="text1"/>
          <w:sz w:val="16"/>
          <w:szCs w:val="16"/>
        </w:rPr>
      </w:pPr>
      <w:r w:rsidRPr="00271E51">
        <w:rPr>
          <w:rStyle w:val="Bodytext145"/>
          <w:i w:val="0"/>
          <w:iCs w:val="0"/>
          <w:color w:val="000000" w:themeColor="text1"/>
          <w:sz w:val="16"/>
          <w:szCs w:val="16"/>
        </w:rPr>
        <w:t>«Прибывшую в Москву бронетанковую технику разместили на стан</w:t>
      </w:r>
      <w:r w:rsidRPr="00271E51">
        <w:rPr>
          <w:rStyle w:val="Bodytext145"/>
          <w:i w:val="0"/>
          <w:iCs w:val="0"/>
          <w:color w:val="000000" w:themeColor="text1"/>
          <w:sz w:val="16"/>
          <w:szCs w:val="16"/>
        </w:rPr>
        <w:softHyphen/>
        <w:t>ции Черкизово в цехах эвакуированного на Восток завода. Отсюда киров- цы наблюдали первый победный салют в честь победы на Курской дуге, прогремевший 5 августа 1943 года. А 8 августа опытные танки своим хо</w:t>
      </w:r>
      <w:r w:rsidRPr="00271E51">
        <w:rPr>
          <w:rStyle w:val="Bodytext145"/>
          <w:i w:val="0"/>
          <w:iCs w:val="0"/>
          <w:color w:val="000000" w:themeColor="text1"/>
          <w:sz w:val="16"/>
          <w:szCs w:val="16"/>
        </w:rPr>
        <w:softHyphen/>
        <w:t>дом были отправлены в Кремль для показа членам правительства. Их раз</w:t>
      </w:r>
      <w:r w:rsidRPr="00271E51">
        <w:rPr>
          <w:rStyle w:val="Bodytext145"/>
          <w:i w:val="0"/>
          <w:iCs w:val="0"/>
          <w:color w:val="000000" w:themeColor="text1"/>
          <w:sz w:val="16"/>
          <w:szCs w:val="16"/>
        </w:rPr>
        <w:softHyphen/>
        <w:t>местили неподалеку от Царь-Пушки лицом к зданию Верховного Совета. Вскоре на площадь вышли члены Государственного Комитета Обороны во главе со Сталиным. Здесь же были нарком танковой промышленности В.А. Малышев, командующий бронетанковыми войсками генерал-полков</w:t>
      </w:r>
      <w:r w:rsidRPr="00271E51">
        <w:rPr>
          <w:rStyle w:val="Bodytext145"/>
          <w:i w:val="0"/>
          <w:iCs w:val="0"/>
          <w:color w:val="000000" w:themeColor="text1"/>
          <w:sz w:val="16"/>
          <w:szCs w:val="16"/>
        </w:rPr>
        <w:softHyphen/>
        <w:t>ник Я.Н. Федоренко. На пояснения Малышева о боевых возможностях ма</w:t>
      </w:r>
      <w:r w:rsidRPr="00271E51">
        <w:rPr>
          <w:rStyle w:val="Bodytext145"/>
          <w:i w:val="0"/>
          <w:iCs w:val="0"/>
          <w:color w:val="000000" w:themeColor="text1"/>
          <w:sz w:val="16"/>
          <w:szCs w:val="16"/>
        </w:rPr>
        <w:softHyphen/>
        <w:t>шин Сталин, указывая пальцем на пушку 122-мм калибра, заметил, чтоорудие вполне внушительное и подходит для тяжелого танка.</w:t>
      </w:r>
    </w:p>
    <w:p w14:paraId="458356B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Разговор происходил у правофлангового танка ИС-2. Затем Верховный Главнокомандующий подошел к самоходной артиллерийской установке ИСУ-152. Ему, видимо, было известно, что самоходные орудия, назван</w:t>
      </w:r>
      <w:r w:rsidRPr="00271E51">
        <w:rPr>
          <w:rStyle w:val="Bodytext145"/>
          <w:i w:val="0"/>
          <w:iCs w:val="0"/>
          <w:color w:val="000000" w:themeColor="text1"/>
          <w:sz w:val="16"/>
          <w:szCs w:val="16"/>
        </w:rPr>
        <w:softHyphen/>
        <w:t>ные в Курской битве «зверобоями», хорошо показали себя в боях. Подойдя к машине, он неожиданно вскарабкался на корпус самоходки, на которой не было никаких вспомогательных трапов, и, заглянув в открытый ко</w:t>
      </w:r>
      <w:r w:rsidRPr="00271E51">
        <w:rPr>
          <w:rStyle w:val="Bodytext145"/>
          <w:i w:val="0"/>
          <w:iCs w:val="0"/>
          <w:color w:val="000000" w:themeColor="text1"/>
          <w:sz w:val="16"/>
          <w:szCs w:val="16"/>
        </w:rPr>
        <w:softHyphen/>
        <w:t>мандирский люк, спросил, как обстоят дела с вентиляцией боевой рубки. Видимо, кто-то ему докладывал, что экипажи на машинах первых выпу</w:t>
      </w:r>
      <w:r w:rsidRPr="00271E51">
        <w:rPr>
          <w:rStyle w:val="Bodytext145"/>
          <w:i w:val="0"/>
          <w:iCs w:val="0"/>
          <w:color w:val="000000" w:themeColor="text1"/>
          <w:sz w:val="16"/>
          <w:szCs w:val="16"/>
        </w:rPr>
        <w:softHyphen/>
        <w:t>сков угорали. Водитель-испытатель К.Е. Егоров спокойно ответил ему: «действительно, выхлопные газы попадают внутрь машины, но для этих самоходок отработана улучшенная вентиляция, она в три раза больше пропускает через себя воздуха и опасность задымления или загазовывания башни пороховыми газами полностью устранена».</w:t>
      </w:r>
    </w:p>
    <w:p w14:paraId="5AA19D5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Сталин, полностью удовлетворенный компетентным ответом ме</w:t>
      </w:r>
      <w:r w:rsidRPr="00271E51">
        <w:rPr>
          <w:rStyle w:val="Bodytext145"/>
          <w:i w:val="0"/>
          <w:iCs w:val="0"/>
          <w:color w:val="000000" w:themeColor="text1"/>
          <w:sz w:val="16"/>
          <w:szCs w:val="16"/>
        </w:rPr>
        <w:softHyphen/>
        <w:t>ханика-водителя, больше никому из инженеров по этому поводу вопро</w:t>
      </w:r>
      <w:r w:rsidRPr="00271E51">
        <w:rPr>
          <w:rStyle w:val="Bodytext145"/>
          <w:i w:val="0"/>
          <w:iCs w:val="0"/>
          <w:color w:val="000000" w:themeColor="text1"/>
          <w:sz w:val="16"/>
          <w:szCs w:val="16"/>
        </w:rPr>
        <w:softHyphen/>
        <w:t>сов не задавал».</w:t>
      </w:r>
    </w:p>
    <w:p w14:paraId="051CFE2D"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сожалению, данное повествование, на которое многие ссылаются, грешит целым рядом неточностей. Для начала, 8 августа 1943 года ни ИС-2, ни ИСУ-152 на Красной площади быть не могли никак. Первый опытный образец ИСУ-152 поступил на испытания в октябре 1943 года, тогда же начались испытания ИС-2 (ИС-122). Комментарии Сталина насчет пушки Д-25 — не более чем художественный вымысел авторов. На самом деле в показе участвовали серийная СУ-152 августовского выпуска, опытный образец КВ-85 (объект 239), опытный образец ИС с 85-мм пушкой Д-5Т (объект 240), СУ-85 и СУ-76М (СУ-15М). Пере</w:t>
      </w:r>
      <w:r w:rsidRPr="00271E51">
        <w:rPr>
          <w:rFonts w:ascii="Times New Roman" w:cs="Times New Roman"/>
          <w:color w:val="000000" w:themeColor="text1"/>
          <w:spacing w:val="0"/>
        </w:rPr>
        <w:softHyphen/>
        <w:t>путаны не только типы показанных образцов бронетанковой техники, но и дата демонстрации (17484).</w:t>
      </w:r>
    </w:p>
    <w:p w14:paraId="444FBE58"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42460013" w14:textId="77777777" w:rsidR="009F69D2" w:rsidRPr="00271E51" w:rsidRDefault="009F69D2"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концу сентября 1943 конструкция СУ-152 претерпела последние из вносимых в процессе производства изменения. Вокруг пистолетного порта в кормовом листе рубки появилась окантовка. Кроме того, по результатам боевого применения СУ-152 на фронте стало известно, что при стрельбе внутри боевого отделения скапливался большой объем пороховых газов, что вызывало «угорание» экипажа. Об этом стало известно не только в ГАБТУ, но и на самом высшем уровне. Вопрос о решении этой проблемы 8 сентября 1943 года в ходе показа в Кремле новых образцов бронетанковой техники поднял лично Сталин. В соответствии с его распоряжением, с 23 сентября на крыше боевого отделения СУ-152 стали устанавливать 2 вентилятора. Всего до конца сентября были сданы 84 машины (17696).</w:t>
      </w:r>
    </w:p>
    <w:p w14:paraId="127DA508" w14:textId="77777777" w:rsidR="009F69D2" w:rsidRPr="00271E51" w:rsidRDefault="009F69D2" w:rsidP="00271E51">
      <w:pPr>
        <w:pStyle w:val="12a"/>
        <w:shd w:val="clear" w:color="auto" w:fill="auto"/>
        <w:spacing w:after="0" w:line="240" w:lineRule="auto"/>
        <w:jc w:val="both"/>
        <w:rPr>
          <w:color w:val="000000" w:themeColor="text1"/>
          <w:sz w:val="16"/>
          <w:szCs w:val="16"/>
        </w:rPr>
      </w:pPr>
    </w:p>
    <w:p w14:paraId="7930EC5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4E878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52D4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сентября 1943 в ходе развития битвы за Днепр семерка Ил-2 под командованием л Долгова за один вылет уничтожила 14 эшелонов - 460 вагонов (60 с боеприпасами) и был награжден орденом Суворова 3-й степени (3044,140).</w:t>
      </w:r>
    </w:p>
    <w:p w14:paraId="15A979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4F6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сентября 1943 ТБ-3 участвовали в высадке десанта по Букринском плацдарме под Киевом (1854,19).</w:t>
      </w:r>
    </w:p>
    <w:p w14:paraId="6ACD20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58A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сентября 1943 численность зенитных орудий Волжской военной флотилии, войск ПВО страны, оперативной группы ПВО транспортной службы Волжского бассейна достигла 427, пулеметов – 1320, прожекторных станций – 189. Управлялись все эти силы с флагманского командного пункта на штабном корабле «Железнодорожник» стоявшего около Сталинграда. Туда поступали данные об обстановке во всей операционной зоне от Астрахани до Саратова, включая сообщения о немецких самолетах, замеченных в районе Волги. Но все эти «великие достижения» были уже не нужны. Единственной серьезной проблемой были донные мины, в т.ч. оставшиеся с 1942 г.  Во второй половине лета тральщики ВВФ провели контрольное траление бывших минных банок, затем повторное траление этих же районов с помощью магнитно-акустических тралов-баржи глубинных бомб. Личным составом дивизионов тральщиков, постов ВНОС было обследовано все побережье Волги. Траление проводилось с большим напряжением на всех боевых участках. Рабочий день экипажей судов составлял 14—17 часов. В июле – августе, когда велась полная ликвидация минных банок на фарватерах, непосредственно на тралении были заняты более 170 тральщиков. Всего до конца навигации они протралили на 15 импульсов площадь в 112 кв. км, прошли со всеми видами тралов 176 761 км. По данным флотилии, с помощью тралов были уничтожены 67 донных мин, взрывами глубинных бомб – 22 мины. Еще 12 мин, обнаруженных на обмелевших участках реки, обезвредили саперы. Большая часть мин – 242 штуки – была «нейтрализована», но еще 20 обнаружить так и не удалось. Учитывая же, что посты наблюдения фиксировали не все падения мин в реку, последних, вероятно, было еще больше. Одновременно с этим проводилось размагничивание всех речных судов.  Все эти масштабные меры дали результаты, потери стали редкими. Но корабли продолжали подрываться. Так, в конце июля недалеко от Сталинграда подорвался и затонул буксирный пароход «Таджикистан». Всего, по официальным советским данным, с апреля по сентябрь 1943 г. в бассейне Нижней Волги на донных минах подорвались 13 судов, т.е. 0,2% от всех прошедших кораблей. Но эта статистика, видимо, касается лишь нефтеналивных судов. В целом же минирование немцами Волги свою задачу выполнило, сильно затруднив судоходство и в особенности перевозки нефтепродуктов. В июле по участку Астрахань – Саратов были перевезены 1100 000 т нефти, в августе – 1155 500 т, а в сентябре – только 965 000 т. Все это не шло ни в какое сравнение не только с довоенными показателями, но даже с достижениями первой половины 1942 г.  В конце навигации Волжская военная флотилия утратила тактическое значение. Часть бронекатеров, тральщиков и сторожевых судов была отправлена на Днепр, Азовское море и Чудское озеро.  На другие флоты и флотилии вместе с кораблями убыли 2560 матросов, старшин и офицеров, 1200тразличныхгрузов. По решению ГКО были разоружены и возвращены речному транспортному и промысловому флоту 75 ранее изъятых судов. И все же полностью расформировать флотилию в 1943 г. не решились. К18 октября в ее составе еще оставались шесть канонерских лодок, 80 тральщиков, 13 сторожевых катеров, пять минометных катеров, 35 полуглиссеров, две плавбатареи, пять штабных кораблей и 30 буксировщиков тралов-барж. 3-я и 4-я бригады речных кораблей были расформированы, а 1-ю и 2-ю бригады траления сократили. Были созданы отдельный дивизион канонерских лодок, отдельный отряд полуглиссеров, 291-й и 292-й отдельные зенитные артдивизионы. Затем после 1 ноября для разных нужд изъяли у флотилии еще часть судов (11742).</w:t>
      </w:r>
    </w:p>
    <w:p w14:paraId="6A5ABE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6A0A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45D18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D1D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НИИ ВВС проходил контрольные испытания самолет Ил-2 N 2768 30 завода, а одновременно испытывался улучшенный эталон N 302804 (1863).</w:t>
      </w:r>
    </w:p>
    <w:p w14:paraId="44E37B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C3A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НИИ ВВС были проведены гос. испытания самолета Ил-2И АМ-38Ф (N 7581 завода 1) Испытаниями было выявлено, что:</w:t>
      </w:r>
    </w:p>
    <w:p w14:paraId="7E1B99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 летные данные Ил-2И в сравнении с двухместным самолетом улучшены незначительно. Максимальная скорость у земли увеличилась на 14_км/час и на границе высотности - на 15 км/час, а практический потолок увеличился с 5300 до 6500_м.</w:t>
      </w:r>
    </w:p>
    <w:p w14:paraId="03DEA3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самолет Ил-2И может быть использован для борьбы с некоторыми типами самолетов, как например, He 111, FW 200, Ju 87 и Ju 52 на высотах до 4000_м.</w:t>
      </w:r>
    </w:p>
    <w:p w14:paraId="0F23A6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Снятие пулеметов ШКАСС и УБТ, РО, бомб...резко снизили качество самолета как бомбардировщика-штурмовика.</w:t>
      </w:r>
    </w:p>
    <w:p w14:paraId="65BF69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Считать, что дальнейшая постройка Ил-2И в варианте истребителя и установка мотора АМ-42 (в соответствии с Постановлением ГКО N 3380 от 17 мая 1943 г.) на истребительный вариант Ил-2 нецелесообразна (462,42).</w:t>
      </w:r>
    </w:p>
    <w:p w14:paraId="7B4089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88F99" w14:textId="77777777" w:rsidR="0015200D" w:rsidRPr="00271E51" w:rsidRDefault="0015200D"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 xml:space="preserve">В сентябре 1943 г. госиспытания Ил-2И завершились </w:t>
      </w:r>
      <w:r w:rsidRPr="00271E51">
        <w:rPr>
          <w:rStyle w:val="1pt2"/>
          <w:rFonts w:ascii="Times New Roman" w:hAnsi="Times New Roman" w:cs="Times New Roman"/>
          <w:i w:val="0"/>
          <w:iCs w:val="0"/>
          <w:color w:val="0070C0"/>
          <w:spacing w:val="0"/>
          <w:sz w:val="16"/>
          <w:szCs w:val="16"/>
        </w:rPr>
        <w:t>«Вести активную борьбу с истребителями противника самолет Ил-2И не может...», —</w:t>
      </w:r>
      <w:r w:rsidRPr="00271E51">
        <w:rPr>
          <w:rFonts w:ascii="Times New Roman" w:cs="Times New Roman"/>
          <w:color w:val="0070C0"/>
          <w:spacing w:val="0"/>
          <w:sz w:val="16"/>
          <w:szCs w:val="16"/>
        </w:rPr>
        <w:t xml:space="preserve"> было отмечено в Акте по их результатам. Да и с бомбардировщиками ему было непросто тягаться. Например, на высоте 1300 м Ил-2И смог разогнаться всего до 415 км/ч, что лишь на 10 км/ч превосходило скорость серийного штурмовика. Резолюция командующего ВВС А.А. Новикова на упомянутом Акте была категоричной:</w:t>
      </w:r>
      <w:r w:rsidRPr="00271E51">
        <w:rPr>
          <w:rStyle w:val="1pt2"/>
          <w:rFonts w:ascii="Times New Roman" w:hAnsi="Times New Roman" w:cs="Times New Roman"/>
          <w:i w:val="0"/>
          <w:iCs w:val="0"/>
          <w:color w:val="0070C0"/>
          <w:spacing w:val="0"/>
          <w:sz w:val="16"/>
          <w:szCs w:val="16"/>
        </w:rPr>
        <w:t xml:space="preserve"> «...считать, что дальней</w:t>
      </w:r>
      <w:r w:rsidRPr="00271E51">
        <w:rPr>
          <w:rStyle w:val="1pt2"/>
          <w:rFonts w:ascii="Times New Roman" w:hAnsi="Times New Roman" w:cs="Times New Roman"/>
          <w:i w:val="0"/>
          <w:iCs w:val="0"/>
          <w:color w:val="0070C0"/>
          <w:spacing w:val="0"/>
          <w:sz w:val="16"/>
          <w:szCs w:val="16"/>
        </w:rPr>
        <w:softHyphen/>
        <w:t>шая постройка Ил-2И в варианте истребителя и установка мо</w:t>
      </w:r>
      <w:r w:rsidRPr="00271E51">
        <w:rPr>
          <w:rStyle w:val="1pt2"/>
          <w:rFonts w:ascii="Times New Roman" w:hAnsi="Times New Roman" w:cs="Times New Roman"/>
          <w:i w:val="0"/>
          <w:iCs w:val="0"/>
          <w:color w:val="0070C0"/>
          <w:spacing w:val="0"/>
          <w:sz w:val="16"/>
          <w:szCs w:val="16"/>
        </w:rPr>
        <w:softHyphen/>
        <w:t>тора АМ-42... на истребительный вариант Ил-2 нецелесообраз</w:t>
      </w:r>
      <w:r w:rsidRPr="00271E51">
        <w:rPr>
          <w:rStyle w:val="1pt2"/>
          <w:rFonts w:ascii="Times New Roman" w:hAnsi="Times New Roman" w:cs="Times New Roman"/>
          <w:i w:val="0"/>
          <w:iCs w:val="0"/>
          <w:color w:val="0070C0"/>
          <w:spacing w:val="0"/>
          <w:sz w:val="16"/>
          <w:szCs w:val="16"/>
        </w:rPr>
        <w:softHyphen/>
        <w:t>на».</w:t>
      </w:r>
      <w:r w:rsidRPr="00271E51">
        <w:rPr>
          <w:rFonts w:ascii="Times New Roman" w:cs="Times New Roman"/>
          <w:color w:val="0070C0"/>
          <w:spacing w:val="0"/>
          <w:sz w:val="16"/>
          <w:szCs w:val="16"/>
        </w:rPr>
        <w:t xml:space="preserve"> В результате были прекращены работы не только по Ил-2И АМ-38Ф, но и по Ил-2-2И АМ-42, хотя на заводе № 1 к тому вре</w:t>
      </w:r>
      <w:r w:rsidRPr="00271E51">
        <w:rPr>
          <w:rFonts w:ascii="Times New Roman" w:cs="Times New Roman"/>
          <w:color w:val="0070C0"/>
          <w:spacing w:val="0"/>
          <w:sz w:val="16"/>
          <w:szCs w:val="16"/>
        </w:rPr>
        <w:softHyphen/>
        <w:t>мени уже почти построили его первый экземпляр (19854).</w:t>
      </w:r>
    </w:p>
    <w:p w14:paraId="29E9B2DB" w14:textId="77777777" w:rsidR="0015200D" w:rsidRPr="00271E51" w:rsidRDefault="0015200D" w:rsidP="00271E51">
      <w:pPr>
        <w:pStyle w:val="36"/>
        <w:shd w:val="clear" w:color="auto" w:fill="auto"/>
        <w:spacing w:after="0" w:line="240" w:lineRule="auto"/>
        <w:jc w:val="both"/>
        <w:rPr>
          <w:rFonts w:ascii="Times New Roman" w:cs="Times New Roman"/>
          <w:color w:val="0070C0"/>
          <w:spacing w:val="0"/>
          <w:sz w:val="16"/>
          <w:szCs w:val="16"/>
        </w:rPr>
      </w:pPr>
    </w:p>
    <w:p w14:paraId="75E05BAF" w14:textId="77777777" w:rsidR="00EE69CE" w:rsidRPr="00271E51" w:rsidRDefault="00EE69C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сентябре 1943 на испытания в НИИ ВВС был предъ</w:t>
      </w:r>
      <w:r w:rsidRPr="00271E51">
        <w:rPr>
          <w:color w:val="000000" w:themeColor="text1"/>
          <w:sz w:val="16"/>
          <w:szCs w:val="16"/>
        </w:rPr>
        <w:softHyphen/>
        <w:t>явлен серийный самолет Ил-2 зав. № 302635 с вкла</w:t>
      </w:r>
      <w:r w:rsidRPr="00271E51">
        <w:rPr>
          <w:color w:val="000000" w:themeColor="text1"/>
          <w:sz w:val="16"/>
          <w:szCs w:val="16"/>
        </w:rPr>
        <w:softHyphen/>
        <w:t>дышем в горловине приемного рукава конструкции ОКБ-240. Испытаниями была установлена полная непригодность этого вкладыша. По этой причи</w:t>
      </w:r>
      <w:r w:rsidRPr="00271E51">
        <w:rPr>
          <w:color w:val="000000" w:themeColor="text1"/>
          <w:sz w:val="16"/>
          <w:szCs w:val="16"/>
        </w:rPr>
        <w:softHyphen/>
        <w:t>не «работники НИИ АВ снова подготовили ранее предложенный вкладыш, который показал удовлет</w:t>
      </w:r>
      <w:r w:rsidRPr="00271E51">
        <w:rPr>
          <w:color w:val="000000" w:themeColor="text1"/>
          <w:sz w:val="16"/>
          <w:szCs w:val="16"/>
        </w:rPr>
        <w:softHyphen/>
        <w:t>ворительные результаты». Лишь после этого «вкла</w:t>
      </w:r>
      <w:r w:rsidRPr="00271E51">
        <w:rPr>
          <w:color w:val="000000" w:themeColor="text1"/>
          <w:sz w:val="16"/>
          <w:szCs w:val="16"/>
        </w:rPr>
        <w:softHyphen/>
        <w:t>дыш НИИ АВ был взят на завод № 30, с него сняты эскизы и изготовлены опытные образцы». При этом изготовленные заводом вкладыши «отличались от оригинала НИИ АВ, и их пришлось во время испы</w:t>
      </w:r>
      <w:r w:rsidRPr="00271E51">
        <w:rPr>
          <w:color w:val="000000" w:themeColor="text1"/>
          <w:sz w:val="16"/>
          <w:szCs w:val="16"/>
        </w:rPr>
        <w:softHyphen/>
        <w:t>таний доводить и переделывать».</w:t>
      </w:r>
    </w:p>
    <w:p w14:paraId="3B2A4D93" w14:textId="77777777" w:rsidR="00EE69CE" w:rsidRPr="00271E51" w:rsidRDefault="00EE69C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Указывалось, что «надежная работа 37-мм пу</w:t>
      </w:r>
      <w:r w:rsidRPr="00271E51">
        <w:rPr>
          <w:color w:val="000000" w:themeColor="text1"/>
          <w:sz w:val="16"/>
          <w:szCs w:val="16"/>
        </w:rPr>
        <w:softHyphen/>
        <w:t>шек ОКБ-16 на Ил-2 возможна лишь при условии устранения всех дефектов в установках, выявлен</w:t>
      </w:r>
      <w:r w:rsidRPr="00271E51">
        <w:rPr>
          <w:color w:val="000000" w:themeColor="text1"/>
          <w:sz w:val="16"/>
          <w:szCs w:val="16"/>
        </w:rPr>
        <w:softHyphen/>
        <w:t>ных при испытании, и при звене с увеличенным из</w:t>
      </w:r>
      <w:r w:rsidRPr="00271E51">
        <w:rPr>
          <w:color w:val="000000" w:themeColor="text1"/>
          <w:sz w:val="16"/>
          <w:szCs w:val="16"/>
        </w:rPr>
        <w:softHyphen/>
        <w:t>влекающим усилием (80—110 кг)» (17500).</w:t>
      </w:r>
    </w:p>
    <w:p w14:paraId="60EEC3C3" w14:textId="77777777" w:rsidR="00EE69CE" w:rsidRPr="00271E51" w:rsidRDefault="00EE69CE" w:rsidP="00271E51">
      <w:pPr>
        <w:spacing w:after="0" w:line="240" w:lineRule="auto"/>
        <w:jc w:val="both"/>
        <w:rPr>
          <w:rFonts w:ascii="Times New Roman" w:hAnsi="Times New Roman"/>
          <w:color w:val="000000" w:themeColor="text1"/>
          <w:sz w:val="16"/>
          <w:szCs w:val="16"/>
        </w:rPr>
      </w:pPr>
    </w:p>
    <w:p w14:paraId="42D8F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выполняя решение Государственного Комитета Обороны, ОКБ С.В.Ильюшина представило на государственные испытания двухместный Ил-2 АМ-38Ф, вооруженный еще более мощными 45-мм пушками НС-45 с боезапасом по 50 снарядов на ствол. Разрушающее действие снаряда этой пушки было вдвое выше по сравнению с НС-37. Из-за сложностей с доводкой автоматики пушек НС-45 госиспытания самолета затянулись до февраля 1944 г. Результаты стрельбы с Ил-2 по наземным целям из этих пушек оказались неудовлетворительными из-за большой отдачи, достигавшей 7000 кгс. Требовалось установить на пушку мощный дульный тормоз. Такую работу выполнили, но к тому времени уже, видимо, не было потребности в этих самолетах, и НС-45 с дульным тормозом на Ил-2 не устанавливали (9528).</w:t>
      </w:r>
    </w:p>
    <w:p w14:paraId="183B96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3F1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один серийный Ил-2 был покрашен в единый камуфляж для лета и зимы — в светло- и темно-серый цвета, используемый для истребителей с июля 1943 г. и наносимые на авиазаводах, и представлен на утверждение Главному инженеру ВВС КА генерал-полковнику А. К. Репину. Однако он отклонил инициативу завода № 30, заявив его директору, что «потеря скорости, вызываемая меловой краской, не имеет значения для самолета Ил-2».</w:t>
      </w:r>
    </w:p>
    <w:p w14:paraId="4F670A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этому поводу С.В. Ильюшин писал наркому авиапро</w:t>
      </w:r>
      <w:r w:rsidRPr="00271E51">
        <w:rPr>
          <w:rFonts w:ascii="Times New Roman" w:hAnsi="Times New Roman"/>
          <w:color w:val="000000" w:themeColor="text1"/>
          <w:sz w:val="16"/>
          <w:szCs w:val="16"/>
        </w:rPr>
        <w:softHyphen/>
        <w:t>мышленности А.И. Шахурину: «Считаю своим долгом доло</w:t>
      </w:r>
      <w:r w:rsidRPr="00271E51">
        <w:rPr>
          <w:rFonts w:ascii="Times New Roman" w:hAnsi="Times New Roman"/>
          <w:color w:val="000000" w:themeColor="text1"/>
          <w:sz w:val="16"/>
          <w:szCs w:val="16"/>
        </w:rPr>
        <w:softHyphen/>
        <w:t>жить Вам свое несогласие с окраской самолета Ил-2 меловой краской. Заводы авиационной промышленности производят большую работу по улучшению производства самолета Ил-2 с тем, чтобы увеличить максимальную скорость самолета, при</w:t>
      </w:r>
      <w:r w:rsidRPr="00271E51">
        <w:rPr>
          <w:rFonts w:ascii="Times New Roman" w:hAnsi="Times New Roman"/>
          <w:color w:val="000000" w:themeColor="text1"/>
          <w:sz w:val="16"/>
          <w:szCs w:val="16"/>
        </w:rPr>
        <w:softHyphen/>
        <w:t>чем улучшения, производимые заводами, стоят больших уси</w:t>
      </w:r>
      <w:r w:rsidRPr="00271E51">
        <w:rPr>
          <w:rFonts w:ascii="Times New Roman" w:hAnsi="Times New Roman"/>
          <w:color w:val="000000" w:themeColor="text1"/>
          <w:sz w:val="16"/>
          <w:szCs w:val="16"/>
        </w:rPr>
        <w:softHyphen/>
        <w:t>лий и трудов. Тем не менее, невзирая на это, тут же на заводе, после того как поверхность самолета хорошо отделана, само</w:t>
      </w:r>
      <w:r w:rsidRPr="00271E51">
        <w:rPr>
          <w:rFonts w:ascii="Times New Roman" w:hAnsi="Times New Roman"/>
          <w:color w:val="000000" w:themeColor="text1"/>
          <w:sz w:val="16"/>
          <w:szCs w:val="16"/>
        </w:rPr>
        <w:softHyphen/>
        <w:t>лет размалевывается как самый обыкновенный забор. Конеч</w:t>
      </w:r>
      <w:r w:rsidRPr="00271E51">
        <w:rPr>
          <w:rFonts w:ascii="Times New Roman" w:hAnsi="Times New Roman"/>
          <w:color w:val="000000" w:themeColor="text1"/>
          <w:sz w:val="16"/>
          <w:szCs w:val="16"/>
        </w:rPr>
        <w:softHyphen/>
        <w:t>но, никакого желания у работников заводов вести работу по улучшению аэродинамики самолета Ил-2 не будет, так как все эти труды тут же уничтожаются. Прошу Вас поставить этот во</w:t>
      </w:r>
      <w:r w:rsidRPr="00271E51">
        <w:rPr>
          <w:rFonts w:ascii="Times New Roman" w:hAnsi="Times New Roman"/>
          <w:color w:val="000000" w:themeColor="text1"/>
          <w:sz w:val="16"/>
          <w:szCs w:val="16"/>
        </w:rPr>
        <w:softHyphen/>
        <w:t>прос перед секретарем ЦК ВКП(б) тов. Маленковым об отме</w:t>
      </w:r>
      <w:r w:rsidRPr="00271E51">
        <w:rPr>
          <w:rFonts w:ascii="Times New Roman" w:hAnsi="Times New Roman"/>
          <w:color w:val="000000" w:themeColor="text1"/>
          <w:sz w:val="16"/>
          <w:szCs w:val="16"/>
        </w:rPr>
        <w:softHyphen/>
        <w:t>не покраски самолетов Ил-2 в белый камуфляж и утвердить единую окраску по типу истребителей...»</w:t>
      </w:r>
    </w:p>
    <w:p w14:paraId="3F0F20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сказать, требование внедрить на Ил-2 единый серый ка</w:t>
      </w:r>
      <w:r w:rsidRPr="00271E51">
        <w:rPr>
          <w:rFonts w:ascii="Times New Roman" w:hAnsi="Times New Roman"/>
          <w:color w:val="000000" w:themeColor="text1"/>
          <w:sz w:val="16"/>
          <w:szCs w:val="16"/>
        </w:rPr>
        <w:softHyphen/>
        <w:t>муфляж по типу истребителей, на котором настаивал С.В. Илью</w:t>
      </w:r>
      <w:r w:rsidRPr="00271E51">
        <w:rPr>
          <w:rFonts w:ascii="Times New Roman" w:hAnsi="Times New Roman"/>
          <w:color w:val="000000" w:themeColor="text1"/>
          <w:sz w:val="16"/>
          <w:szCs w:val="16"/>
        </w:rPr>
        <w:softHyphen/>
        <w:t>шин и заводчане, все же нельзя признать правильным.</w:t>
      </w:r>
    </w:p>
    <w:p w14:paraId="425D89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в том, что на фоне средней скорости полета в строю серийных самолетов всего 300—320 км/ч и максимальных ско</w:t>
      </w:r>
      <w:r w:rsidRPr="00271E51">
        <w:rPr>
          <w:rFonts w:ascii="Times New Roman" w:hAnsi="Times New Roman"/>
          <w:color w:val="000000" w:themeColor="text1"/>
          <w:sz w:val="16"/>
          <w:szCs w:val="16"/>
        </w:rPr>
        <w:softHyphen/>
        <w:t>ростей 380—401 км/ч выигрыш в скорости за счет перехода к заводской окраске в 6—7 км/ч каких-либо преимуществ в бою не давал. Немецкие истребители имели подавляющее преиму</w:t>
      </w:r>
      <w:r w:rsidRPr="00271E51">
        <w:rPr>
          <w:rFonts w:ascii="Times New Roman" w:hAnsi="Times New Roman"/>
          <w:color w:val="000000" w:themeColor="text1"/>
          <w:sz w:val="16"/>
          <w:szCs w:val="16"/>
        </w:rPr>
        <w:softHyphen/>
        <w:t>щество в скорости — что позволяло им занимать выгодную по</w:t>
      </w:r>
      <w:r w:rsidRPr="00271E51">
        <w:rPr>
          <w:rFonts w:ascii="Times New Roman" w:hAnsi="Times New Roman"/>
          <w:color w:val="000000" w:themeColor="text1"/>
          <w:sz w:val="16"/>
          <w:szCs w:val="16"/>
        </w:rPr>
        <w:softHyphen/>
        <w:t>зицию для выполнения атаки при любых условиях встречи. Для радикального изменения условий воздушного боя требо</w:t>
      </w:r>
      <w:r w:rsidRPr="00271E51">
        <w:rPr>
          <w:rFonts w:ascii="Times New Roman" w:hAnsi="Times New Roman"/>
          <w:color w:val="000000" w:themeColor="text1"/>
          <w:sz w:val="16"/>
          <w:szCs w:val="16"/>
        </w:rPr>
        <w:softHyphen/>
        <w:t>валось увеличить скорость Ил-2 как минимум на 100 км/ч, что было совершенно нереально с мотором АМ-38ф.</w:t>
      </w:r>
    </w:p>
    <w:p w14:paraId="198291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серый камуфляж в типовых условиях воздуш</w:t>
      </w:r>
      <w:r w:rsidRPr="00271E51">
        <w:rPr>
          <w:rFonts w:ascii="Times New Roman" w:hAnsi="Times New Roman"/>
          <w:color w:val="000000" w:themeColor="text1"/>
          <w:sz w:val="16"/>
          <w:szCs w:val="16"/>
        </w:rPr>
        <w:softHyphen/>
        <w:t>ных боев с истребителями противника, то есть на фоне земли и на небольших дистанциях наблюдения, был менее эффекти</w:t>
      </w:r>
      <w:r w:rsidRPr="00271E51">
        <w:rPr>
          <w:rFonts w:ascii="Times New Roman" w:hAnsi="Times New Roman"/>
          <w:color w:val="000000" w:themeColor="text1"/>
          <w:sz w:val="16"/>
          <w:szCs w:val="16"/>
        </w:rPr>
        <w:softHyphen/>
        <w:t>вен, чем камуфляж, включающий пятна зеленого цвета. На больших дистанциях наблюдения, характерных при проведе</w:t>
      </w:r>
      <w:r w:rsidRPr="00271E51">
        <w:rPr>
          <w:rFonts w:ascii="Times New Roman" w:hAnsi="Times New Roman"/>
          <w:color w:val="000000" w:themeColor="text1"/>
          <w:sz w:val="16"/>
          <w:szCs w:val="16"/>
        </w:rPr>
        <w:softHyphen/>
        <w:t>нии противником воздушной разведки стоящих на земле штурмовиков, зеленый цвет изменял свой оттенок так же, как и цвет фона (11474,367).</w:t>
      </w:r>
    </w:p>
    <w:p w14:paraId="41170A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EA16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неудачно закончились госу</w:t>
      </w:r>
      <w:r w:rsidRPr="00271E51">
        <w:rPr>
          <w:rFonts w:ascii="Times New Roman" w:hAnsi="Times New Roman"/>
          <w:color w:val="000000" w:themeColor="text1"/>
          <w:sz w:val="16"/>
          <w:szCs w:val="16"/>
        </w:rPr>
        <w:softHyphen/>
        <w:t>дарственные испытания штурмовика-истребителя Ил-2И с мотором АМ-38Ф. В акте утверждения результатов испытаний отмечалось: «...Самолеты Ил-2И могут быть исполь</w:t>
      </w:r>
      <w:r w:rsidRPr="00271E51">
        <w:rPr>
          <w:rFonts w:ascii="Times New Roman" w:hAnsi="Times New Roman"/>
          <w:color w:val="000000" w:themeColor="text1"/>
          <w:sz w:val="16"/>
          <w:szCs w:val="16"/>
        </w:rPr>
        <w:softHyphen/>
        <w:t>зованы для борьбы только с некоторы</w:t>
      </w:r>
      <w:r w:rsidRPr="00271E51">
        <w:rPr>
          <w:rFonts w:ascii="Times New Roman" w:hAnsi="Times New Roman"/>
          <w:color w:val="000000" w:themeColor="text1"/>
          <w:sz w:val="16"/>
          <w:szCs w:val="16"/>
        </w:rPr>
        <w:softHyphen/>
        <w:t>ми типами бомбардировочных и транс</w:t>
      </w:r>
      <w:r w:rsidRPr="00271E51">
        <w:rPr>
          <w:rFonts w:ascii="Times New Roman" w:hAnsi="Times New Roman"/>
          <w:color w:val="000000" w:themeColor="text1"/>
          <w:sz w:val="16"/>
          <w:szCs w:val="16"/>
        </w:rPr>
        <w:softHyphen/>
        <w:t>портных самолетов противника, имею</w:t>
      </w:r>
      <w:r w:rsidRPr="00271E51">
        <w:rPr>
          <w:rFonts w:ascii="Times New Roman" w:hAnsi="Times New Roman"/>
          <w:color w:val="000000" w:themeColor="text1"/>
          <w:sz w:val="16"/>
          <w:szCs w:val="16"/>
        </w:rPr>
        <w:softHyphen/>
        <w:t>щих сравнительно небольшие скорости (Не-111, FW-200, Ju-87, Ju-52) на высо</w:t>
      </w:r>
      <w:r w:rsidRPr="00271E51">
        <w:rPr>
          <w:rFonts w:ascii="Times New Roman" w:hAnsi="Times New Roman"/>
          <w:color w:val="000000" w:themeColor="text1"/>
          <w:sz w:val="16"/>
          <w:szCs w:val="16"/>
        </w:rPr>
        <w:softHyphen/>
        <w:t>тах ниже 4000 м, однако самолеты FW-200 могут уходить от атак Ил-2И набо</w:t>
      </w:r>
      <w:r w:rsidRPr="00271E51">
        <w:rPr>
          <w:rFonts w:ascii="Times New Roman" w:hAnsi="Times New Roman"/>
          <w:color w:val="000000" w:themeColor="text1"/>
          <w:sz w:val="16"/>
          <w:szCs w:val="16"/>
        </w:rPr>
        <w:softHyphen/>
        <w:t>ром высоты за счет лучшей скороподъ</w:t>
      </w:r>
      <w:r w:rsidRPr="00271E51">
        <w:rPr>
          <w:rFonts w:ascii="Times New Roman" w:hAnsi="Times New Roman"/>
          <w:color w:val="000000" w:themeColor="text1"/>
          <w:sz w:val="16"/>
          <w:szCs w:val="16"/>
        </w:rPr>
        <w:softHyphen/>
        <w:t>емности. Ил-2И может атаковать более скоростные бомбардировщики Ju-88 и Dо-215 только случайно, так как после</w:t>
      </w:r>
      <w:r w:rsidRPr="00271E51">
        <w:rPr>
          <w:rFonts w:ascii="Times New Roman" w:hAnsi="Times New Roman"/>
          <w:color w:val="000000" w:themeColor="text1"/>
          <w:sz w:val="16"/>
          <w:szCs w:val="16"/>
        </w:rPr>
        <w:softHyphen/>
        <w:t>дние, за счет большей скорости, всегда имеют возможность уйти от Ил-2И....Ве</w:t>
      </w:r>
      <w:r w:rsidRPr="00271E51">
        <w:rPr>
          <w:rFonts w:ascii="Times New Roman" w:hAnsi="Times New Roman"/>
          <w:color w:val="000000" w:themeColor="text1"/>
          <w:sz w:val="16"/>
          <w:szCs w:val="16"/>
        </w:rPr>
        <w:softHyphen/>
        <w:t>сти активную борьбу с истребителями противника самолет Ил-2И не может...» Из этого следовало, что Ил-2И в каче</w:t>
      </w:r>
      <w:r w:rsidRPr="00271E51">
        <w:rPr>
          <w:rFonts w:ascii="Times New Roman" w:hAnsi="Times New Roman"/>
          <w:color w:val="000000" w:themeColor="text1"/>
          <w:sz w:val="16"/>
          <w:szCs w:val="16"/>
        </w:rPr>
        <w:softHyphen/>
        <w:t>стве истребителя бомбардировщиков и транспортных самолетов явно не состо</w:t>
      </w:r>
      <w:r w:rsidRPr="00271E51">
        <w:rPr>
          <w:rFonts w:ascii="Times New Roman" w:hAnsi="Times New Roman"/>
          <w:color w:val="000000" w:themeColor="text1"/>
          <w:sz w:val="16"/>
          <w:szCs w:val="16"/>
        </w:rPr>
        <w:softHyphen/>
        <w:t>ялся, а все главные достоинства «чисто</w:t>
      </w:r>
      <w:r w:rsidRPr="00271E51">
        <w:rPr>
          <w:rFonts w:ascii="Times New Roman" w:hAnsi="Times New Roman"/>
          <w:color w:val="000000" w:themeColor="text1"/>
          <w:sz w:val="16"/>
          <w:szCs w:val="16"/>
        </w:rPr>
        <w:softHyphen/>
        <w:t>го» штурмовика — потерял. Командующий ВВС маршал А.А. Новиков наложил на акт резолюцию: «...считать, что дальнейшая постройка Ил-2И в варианте истребителя и уста</w:t>
      </w:r>
      <w:r w:rsidRPr="00271E51">
        <w:rPr>
          <w:rFonts w:ascii="Times New Roman" w:hAnsi="Times New Roman"/>
          <w:color w:val="000000" w:themeColor="text1"/>
          <w:sz w:val="16"/>
          <w:szCs w:val="16"/>
        </w:rPr>
        <w:softHyphen/>
        <w:t>новка мотора АМ-42 (Постановление ГКО № 3336 от 17.05.43 г.) на истреби</w:t>
      </w:r>
      <w:r w:rsidRPr="00271E51">
        <w:rPr>
          <w:rFonts w:ascii="Times New Roman" w:hAnsi="Times New Roman"/>
          <w:color w:val="000000" w:themeColor="text1"/>
          <w:sz w:val="16"/>
          <w:szCs w:val="16"/>
        </w:rPr>
        <w:softHyphen/>
        <w:t>тельный вариант Ил-2 нецелесообраз</w:t>
      </w:r>
      <w:r w:rsidRPr="00271E51">
        <w:rPr>
          <w:rFonts w:ascii="Times New Roman" w:hAnsi="Times New Roman"/>
          <w:color w:val="000000" w:themeColor="text1"/>
          <w:sz w:val="16"/>
          <w:szCs w:val="16"/>
        </w:rPr>
        <w:softHyphen/>
        <w:t>на». Этот вердикт практически закрыл дальнейшую работу по одноместному истребителю-штурмовику (10680).</w:t>
      </w:r>
    </w:p>
    <w:p w14:paraId="4E675A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4CD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w:t>
      </w:r>
      <w:r w:rsidRPr="00271E51">
        <w:rPr>
          <w:rFonts w:ascii="Times New Roman" w:hAnsi="Times New Roman"/>
          <w:color w:val="000000" w:themeColor="text1"/>
          <w:sz w:val="16"/>
          <w:szCs w:val="16"/>
        </w:rPr>
        <w:softHyphen/>
        <w:t>тябре 1943 неудачно закончились госу</w:t>
      </w:r>
      <w:r w:rsidRPr="00271E51">
        <w:rPr>
          <w:rFonts w:ascii="Times New Roman" w:hAnsi="Times New Roman"/>
          <w:color w:val="000000" w:themeColor="text1"/>
          <w:sz w:val="16"/>
          <w:szCs w:val="16"/>
        </w:rPr>
        <w:softHyphen/>
        <w:t>дарственные испытания штурмовика-ис</w:t>
      </w:r>
      <w:r w:rsidRPr="00271E51">
        <w:rPr>
          <w:rFonts w:ascii="Times New Roman" w:hAnsi="Times New Roman"/>
          <w:color w:val="000000" w:themeColor="text1"/>
          <w:sz w:val="16"/>
          <w:szCs w:val="16"/>
        </w:rPr>
        <w:softHyphen/>
        <w:t>требителя Ил-2-И с мотором АМ-38ф. "Вести активную борьбу с истреби</w:t>
      </w:r>
      <w:r w:rsidRPr="00271E51">
        <w:rPr>
          <w:rFonts w:ascii="Times New Roman" w:hAnsi="Times New Roman"/>
          <w:color w:val="000000" w:themeColor="text1"/>
          <w:sz w:val="16"/>
          <w:szCs w:val="16"/>
        </w:rPr>
        <w:softHyphen/>
        <w:t>телями противника самолет Ил-2И не может...", - указывалось в акте ут</w:t>
      </w:r>
      <w:r w:rsidRPr="00271E51">
        <w:rPr>
          <w:rFonts w:ascii="Times New Roman" w:hAnsi="Times New Roman"/>
          <w:color w:val="000000" w:themeColor="text1"/>
          <w:sz w:val="16"/>
          <w:szCs w:val="16"/>
        </w:rPr>
        <w:softHyphen/>
        <w:t>верждения результатов испытаний. То есть Ил-2-И как истребитель бомбар</w:t>
      </w:r>
      <w:r w:rsidRPr="00271E51">
        <w:rPr>
          <w:rFonts w:ascii="Times New Roman" w:hAnsi="Times New Roman"/>
          <w:color w:val="000000" w:themeColor="text1"/>
          <w:sz w:val="16"/>
          <w:szCs w:val="16"/>
        </w:rPr>
        <w:softHyphen/>
        <w:t>дировщиков и транспортных самоле</w:t>
      </w:r>
      <w:r w:rsidRPr="00271E51">
        <w:rPr>
          <w:rFonts w:ascii="Times New Roman" w:hAnsi="Times New Roman"/>
          <w:color w:val="000000" w:themeColor="text1"/>
          <w:sz w:val="16"/>
          <w:szCs w:val="16"/>
        </w:rPr>
        <w:softHyphen/>
        <w:t>тов явно не состоялся, а все главные качества "чистого" штурмовика -потерял. Командующий ВВС маршал А.А. Новиков наложил на акт резо</w:t>
      </w:r>
      <w:r w:rsidRPr="00271E51">
        <w:rPr>
          <w:rFonts w:ascii="Times New Roman" w:hAnsi="Times New Roman"/>
          <w:color w:val="000000" w:themeColor="text1"/>
          <w:sz w:val="16"/>
          <w:szCs w:val="16"/>
        </w:rPr>
        <w:softHyphen/>
        <w:t>люцию: "...считать, что дальнейшая постройка Ил-2И в варианте истре</w:t>
      </w:r>
      <w:r w:rsidRPr="00271E51">
        <w:rPr>
          <w:rFonts w:ascii="Times New Roman" w:hAnsi="Times New Roman"/>
          <w:color w:val="000000" w:themeColor="text1"/>
          <w:sz w:val="16"/>
          <w:szCs w:val="16"/>
        </w:rPr>
        <w:softHyphen/>
        <w:t>бителя и установка мотора АМ-42 (Постановление ГКО № 3336 от 17.05.43 г.) на истребительный ва</w:t>
      </w:r>
      <w:r w:rsidRPr="00271E51">
        <w:rPr>
          <w:rFonts w:ascii="Times New Roman" w:hAnsi="Times New Roman"/>
          <w:color w:val="000000" w:themeColor="text1"/>
          <w:sz w:val="16"/>
          <w:szCs w:val="16"/>
        </w:rPr>
        <w:softHyphen/>
        <w:t>риант Ил-2 нецелесообразна". В результате была прекращена сбор</w:t>
      </w:r>
      <w:r w:rsidRPr="00271E51">
        <w:rPr>
          <w:rFonts w:ascii="Times New Roman" w:hAnsi="Times New Roman"/>
          <w:color w:val="000000" w:themeColor="text1"/>
          <w:sz w:val="16"/>
          <w:szCs w:val="16"/>
        </w:rPr>
        <w:softHyphen/>
        <w:t>ка истребителя Ил-2-2И АМ-42, хотя к концу августа один экземпляр са</w:t>
      </w:r>
      <w:r w:rsidRPr="00271E51">
        <w:rPr>
          <w:rFonts w:ascii="Times New Roman" w:hAnsi="Times New Roman"/>
          <w:color w:val="000000" w:themeColor="text1"/>
          <w:sz w:val="16"/>
          <w:szCs w:val="16"/>
        </w:rPr>
        <w:softHyphen/>
        <w:t>молета почти был собран, а для вто</w:t>
      </w:r>
      <w:r w:rsidRPr="00271E51">
        <w:rPr>
          <w:rFonts w:ascii="Times New Roman" w:hAnsi="Times New Roman"/>
          <w:color w:val="000000" w:themeColor="text1"/>
          <w:sz w:val="16"/>
          <w:szCs w:val="16"/>
        </w:rPr>
        <w:softHyphen/>
        <w:t>рого экземпляра изготовлены необ</w:t>
      </w:r>
      <w:r w:rsidRPr="00271E51">
        <w:rPr>
          <w:rFonts w:ascii="Times New Roman" w:hAnsi="Times New Roman"/>
          <w:color w:val="000000" w:themeColor="text1"/>
          <w:sz w:val="16"/>
          <w:szCs w:val="16"/>
        </w:rPr>
        <w:softHyphen/>
        <w:t>ходимые узлы и агрегаты.</w:t>
      </w:r>
    </w:p>
    <w:p w14:paraId="493E5A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сроки подачи на ис</w:t>
      </w:r>
      <w:r w:rsidRPr="00271E51">
        <w:rPr>
          <w:rFonts w:ascii="Times New Roman" w:hAnsi="Times New Roman"/>
          <w:color w:val="000000" w:themeColor="text1"/>
          <w:sz w:val="16"/>
          <w:szCs w:val="16"/>
        </w:rPr>
        <w:softHyphen/>
        <w:t>пытания бронированного истребите</w:t>
      </w:r>
      <w:r w:rsidRPr="00271E51">
        <w:rPr>
          <w:rFonts w:ascii="Times New Roman" w:hAnsi="Times New Roman"/>
          <w:color w:val="000000" w:themeColor="text1"/>
          <w:sz w:val="16"/>
          <w:szCs w:val="16"/>
        </w:rPr>
        <w:softHyphen/>
        <w:t>ля Ил-1 АМ-42 с лучшими летными данными не выполнялись с завидным постоянством: они трижды перено</w:t>
      </w:r>
      <w:r w:rsidRPr="00271E51">
        <w:rPr>
          <w:rFonts w:ascii="Times New Roman" w:hAnsi="Times New Roman"/>
          <w:color w:val="000000" w:themeColor="text1"/>
          <w:sz w:val="16"/>
          <w:szCs w:val="16"/>
        </w:rPr>
        <w:softHyphen/>
        <w:t>сились и трижды срывались.</w:t>
      </w:r>
    </w:p>
    <w:p w14:paraId="781F25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Очевидно, что такое положение дел не могло устроить ни ВВС, ни более высокие инстанции. В очеред</w:t>
      </w:r>
      <w:r w:rsidRPr="00271E51">
        <w:rPr>
          <w:rFonts w:ascii="Times New Roman" w:hAnsi="Times New Roman"/>
          <w:color w:val="000000" w:themeColor="text1"/>
          <w:sz w:val="16"/>
          <w:szCs w:val="16"/>
        </w:rPr>
        <w:softHyphen/>
        <w:t>ной сводке о ходе работ по опытно</w:t>
      </w:r>
      <w:r w:rsidRPr="00271E51">
        <w:rPr>
          <w:rFonts w:ascii="Times New Roman" w:hAnsi="Times New Roman"/>
          <w:color w:val="000000" w:themeColor="text1"/>
          <w:sz w:val="16"/>
          <w:szCs w:val="16"/>
        </w:rPr>
        <w:softHyphen/>
        <w:t>му самолетостроению от 25 октяб</w:t>
      </w:r>
      <w:r w:rsidRPr="00271E51">
        <w:rPr>
          <w:rFonts w:ascii="Times New Roman" w:hAnsi="Times New Roman"/>
          <w:color w:val="000000" w:themeColor="text1"/>
          <w:sz w:val="16"/>
          <w:szCs w:val="16"/>
        </w:rPr>
        <w:softHyphen/>
        <w:t>ря прямо указывалось, что работы по опытным самолетам ОКБ и заво</w:t>
      </w:r>
      <w:r w:rsidRPr="00271E51">
        <w:rPr>
          <w:rFonts w:ascii="Times New Roman" w:hAnsi="Times New Roman"/>
          <w:color w:val="000000" w:themeColor="text1"/>
          <w:sz w:val="16"/>
          <w:szCs w:val="16"/>
        </w:rPr>
        <w:softHyphen/>
        <w:t>дами ведутся крайне медленными темпами, что "недопустимо в усло</w:t>
      </w:r>
      <w:r w:rsidRPr="00271E51">
        <w:rPr>
          <w:rFonts w:ascii="Times New Roman" w:hAnsi="Times New Roman"/>
          <w:color w:val="000000" w:themeColor="text1"/>
          <w:sz w:val="16"/>
          <w:szCs w:val="16"/>
        </w:rPr>
        <w:softHyphen/>
        <w:t>виях военного времени". Видимо, по этой причине 26 октября вышло По</w:t>
      </w:r>
      <w:r w:rsidRPr="00271E51">
        <w:rPr>
          <w:rFonts w:ascii="Times New Roman" w:hAnsi="Times New Roman"/>
          <w:color w:val="000000" w:themeColor="text1"/>
          <w:sz w:val="16"/>
          <w:szCs w:val="16"/>
        </w:rPr>
        <w:softHyphen/>
        <w:t>становление ГОКО, которое требо</w:t>
      </w:r>
      <w:r w:rsidRPr="00271E51">
        <w:rPr>
          <w:rFonts w:ascii="Times New Roman" w:hAnsi="Times New Roman"/>
          <w:color w:val="000000" w:themeColor="text1"/>
          <w:sz w:val="16"/>
          <w:szCs w:val="16"/>
        </w:rPr>
        <w:softHyphen/>
        <w:t>вало не позднее 15 ноября предъя</w:t>
      </w:r>
      <w:r w:rsidRPr="00271E51">
        <w:rPr>
          <w:rFonts w:ascii="Times New Roman" w:hAnsi="Times New Roman"/>
          <w:color w:val="000000" w:themeColor="text1"/>
          <w:sz w:val="16"/>
          <w:szCs w:val="16"/>
        </w:rPr>
        <w:softHyphen/>
        <w:t>вить на государственные испытания истребитель Ил-1 АМ-42 в одномес</w:t>
      </w:r>
      <w:r w:rsidRPr="00271E51">
        <w:rPr>
          <w:rFonts w:ascii="Times New Roman" w:hAnsi="Times New Roman"/>
          <w:color w:val="000000" w:themeColor="text1"/>
          <w:sz w:val="16"/>
          <w:szCs w:val="16"/>
        </w:rPr>
        <w:softHyphen/>
        <w:t>тном и двухместном варианте и са</w:t>
      </w:r>
      <w:r w:rsidRPr="00271E51">
        <w:rPr>
          <w:rFonts w:ascii="Times New Roman" w:hAnsi="Times New Roman"/>
          <w:color w:val="000000" w:themeColor="text1"/>
          <w:sz w:val="16"/>
          <w:szCs w:val="16"/>
        </w:rPr>
        <w:softHyphen/>
        <w:t>молеты Ил-2 АМ-42 в вариантах штурмовика и разведчика-корректи</w:t>
      </w:r>
      <w:r w:rsidRPr="00271E51">
        <w:rPr>
          <w:rFonts w:ascii="Times New Roman" w:hAnsi="Times New Roman"/>
          <w:color w:val="000000" w:themeColor="text1"/>
          <w:sz w:val="16"/>
          <w:szCs w:val="16"/>
        </w:rPr>
        <w:softHyphen/>
        <w:t>ровщика.</w:t>
      </w:r>
    </w:p>
    <w:p w14:paraId="5DEF1B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необходимо добавить, что военные на основе анализа двухлет</w:t>
      </w:r>
      <w:r w:rsidRPr="00271E51">
        <w:rPr>
          <w:rFonts w:ascii="Times New Roman" w:hAnsi="Times New Roman"/>
          <w:color w:val="000000" w:themeColor="text1"/>
          <w:sz w:val="16"/>
          <w:szCs w:val="16"/>
        </w:rPr>
        <w:softHyphen/>
        <w:t>него опыта войны пришли к выводу, что из всех летно-технических харак</w:t>
      </w:r>
      <w:r w:rsidRPr="00271E51">
        <w:rPr>
          <w:rFonts w:ascii="Times New Roman" w:hAnsi="Times New Roman"/>
          <w:color w:val="000000" w:themeColor="text1"/>
          <w:sz w:val="16"/>
          <w:szCs w:val="16"/>
        </w:rPr>
        <w:softHyphen/>
        <w:t>теристик самолетов маневренность оказывает решающее влияние на жи</w:t>
      </w:r>
      <w:r w:rsidRPr="00271E51">
        <w:rPr>
          <w:rFonts w:ascii="Times New Roman" w:hAnsi="Times New Roman"/>
          <w:color w:val="000000" w:themeColor="text1"/>
          <w:sz w:val="16"/>
          <w:szCs w:val="16"/>
        </w:rPr>
        <w:softHyphen/>
        <w:t>вучесть в бою при действиях по на</w:t>
      </w:r>
      <w:r w:rsidRPr="00271E51">
        <w:rPr>
          <w:rFonts w:ascii="Times New Roman" w:hAnsi="Times New Roman"/>
          <w:color w:val="000000" w:themeColor="text1"/>
          <w:sz w:val="16"/>
          <w:szCs w:val="16"/>
        </w:rPr>
        <w:softHyphen/>
        <w:t>земным целям. При этом особое вни</w:t>
      </w:r>
      <w:r w:rsidRPr="00271E51">
        <w:rPr>
          <w:rFonts w:ascii="Times New Roman" w:hAnsi="Times New Roman"/>
          <w:color w:val="000000" w:themeColor="text1"/>
          <w:sz w:val="16"/>
          <w:szCs w:val="16"/>
        </w:rPr>
        <w:softHyphen/>
        <w:t>мание обращалось на оснащение перспективного самолета-штурмови</w:t>
      </w:r>
      <w:r w:rsidRPr="00271E51">
        <w:rPr>
          <w:rFonts w:ascii="Times New Roman" w:hAnsi="Times New Roman"/>
          <w:color w:val="000000" w:themeColor="text1"/>
          <w:sz w:val="16"/>
          <w:szCs w:val="16"/>
        </w:rPr>
        <w:softHyphen/>
        <w:t>ка мотором воздушного охлаждения и на повышение эффективности бро</w:t>
      </w:r>
      <w:r w:rsidRPr="00271E51">
        <w:rPr>
          <w:rFonts w:ascii="Times New Roman" w:hAnsi="Times New Roman"/>
          <w:color w:val="000000" w:themeColor="text1"/>
          <w:sz w:val="16"/>
          <w:szCs w:val="16"/>
        </w:rPr>
        <w:softHyphen/>
        <w:t>невой защиты при одновременном снижении доли брони в полетном весе.</w:t>
      </w:r>
    </w:p>
    <w:p w14:paraId="3906D8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наметилась явная тенденция к снижению интереса ВВС к самолетам многоцелевого назна</w:t>
      </w:r>
      <w:r w:rsidRPr="00271E51">
        <w:rPr>
          <w:rFonts w:ascii="Times New Roman" w:hAnsi="Times New Roman"/>
          <w:color w:val="000000" w:themeColor="text1"/>
          <w:sz w:val="16"/>
          <w:szCs w:val="16"/>
        </w:rPr>
        <w:softHyphen/>
        <w:t>чения и повышению его к маневрен</w:t>
      </w:r>
      <w:r w:rsidRPr="00271E51">
        <w:rPr>
          <w:rFonts w:ascii="Times New Roman" w:hAnsi="Times New Roman"/>
          <w:color w:val="000000" w:themeColor="text1"/>
          <w:sz w:val="16"/>
          <w:szCs w:val="16"/>
        </w:rPr>
        <w:softHyphen/>
        <w:t>ным штурмовикам,предназначенным исключительно для решения боевых задач непосредственной поддержки войск. Для такой специализации уже были созданы необходимые условия: превосходство в воздухе на главных операционных направлениях в целом завоевано советскими ВВС, вопрос о количестве самолетов в основном решен, имелась уверенность в ско</w:t>
      </w:r>
      <w:r w:rsidRPr="00271E51">
        <w:rPr>
          <w:rFonts w:ascii="Times New Roman" w:hAnsi="Times New Roman"/>
          <w:color w:val="000000" w:themeColor="text1"/>
          <w:sz w:val="16"/>
          <w:szCs w:val="16"/>
        </w:rPr>
        <w:softHyphen/>
        <w:t>ром налаживании устойчивого про</w:t>
      </w:r>
      <w:r w:rsidRPr="00271E51">
        <w:rPr>
          <w:rFonts w:ascii="Times New Roman" w:hAnsi="Times New Roman"/>
          <w:color w:val="000000" w:themeColor="text1"/>
          <w:sz w:val="16"/>
          <w:szCs w:val="16"/>
        </w:rPr>
        <w:softHyphen/>
        <w:t>изводства весьма сильного фронто</w:t>
      </w:r>
      <w:r w:rsidRPr="00271E51">
        <w:rPr>
          <w:rFonts w:ascii="Times New Roman" w:hAnsi="Times New Roman"/>
          <w:color w:val="000000" w:themeColor="text1"/>
          <w:sz w:val="16"/>
          <w:szCs w:val="16"/>
        </w:rPr>
        <w:softHyphen/>
        <w:t>вого бомбардировщика Ту-2, а в качестве пикировщика военных впол</w:t>
      </w:r>
      <w:r w:rsidRPr="00271E51">
        <w:rPr>
          <w:rFonts w:ascii="Times New Roman" w:hAnsi="Times New Roman"/>
          <w:color w:val="000000" w:themeColor="text1"/>
          <w:sz w:val="16"/>
          <w:szCs w:val="16"/>
        </w:rPr>
        <w:softHyphen/>
        <w:t>не устраивала проверенная в боях "пешка". Для обеспечения качествен</w:t>
      </w:r>
      <w:r w:rsidRPr="00271E51">
        <w:rPr>
          <w:rFonts w:ascii="Times New Roman" w:hAnsi="Times New Roman"/>
          <w:color w:val="000000" w:themeColor="text1"/>
          <w:sz w:val="16"/>
          <w:szCs w:val="16"/>
        </w:rPr>
        <w:softHyphen/>
        <w:t>ного скачка ударных возможностей ВВС в кампании 1944 г. оставалось только решить вопрос о современ</w:t>
      </w:r>
      <w:r w:rsidRPr="00271E51">
        <w:rPr>
          <w:rFonts w:ascii="Times New Roman" w:hAnsi="Times New Roman"/>
          <w:color w:val="000000" w:themeColor="text1"/>
          <w:sz w:val="16"/>
          <w:szCs w:val="16"/>
        </w:rPr>
        <w:softHyphen/>
        <w:t>ном самолете-штурмовике.</w:t>
      </w:r>
    </w:p>
    <w:p w14:paraId="56A025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документам, НИИ ВВС и руководство ВВС КА отчетливо по</w:t>
      </w:r>
      <w:r w:rsidRPr="00271E51">
        <w:rPr>
          <w:rFonts w:ascii="Times New Roman" w:hAnsi="Times New Roman"/>
          <w:color w:val="000000" w:themeColor="text1"/>
          <w:sz w:val="16"/>
          <w:szCs w:val="16"/>
        </w:rPr>
        <w:softHyphen/>
        <w:t>нимали, что Су-6 М-71ф является именно тем ударным самолетом, ко</w:t>
      </w:r>
      <w:r w:rsidRPr="00271E51">
        <w:rPr>
          <w:rFonts w:ascii="Times New Roman" w:hAnsi="Times New Roman"/>
          <w:color w:val="000000" w:themeColor="text1"/>
          <w:sz w:val="16"/>
          <w:szCs w:val="16"/>
        </w:rPr>
        <w:softHyphen/>
        <w:t>торого недостает в системе воору</w:t>
      </w:r>
      <w:r w:rsidRPr="00271E51">
        <w:rPr>
          <w:rFonts w:ascii="Times New Roman" w:hAnsi="Times New Roman"/>
          <w:color w:val="000000" w:themeColor="text1"/>
          <w:sz w:val="16"/>
          <w:szCs w:val="16"/>
        </w:rPr>
        <w:softHyphen/>
        <w:t>жений ВВС, и в силу этого были пол</w:t>
      </w:r>
      <w:r w:rsidRPr="00271E51">
        <w:rPr>
          <w:rFonts w:ascii="Times New Roman" w:hAnsi="Times New Roman"/>
          <w:color w:val="000000" w:themeColor="text1"/>
          <w:sz w:val="16"/>
          <w:szCs w:val="16"/>
        </w:rPr>
        <w:softHyphen/>
        <w:t>ны решимости, отстаивать свои ин</w:t>
      </w:r>
      <w:r w:rsidRPr="00271E51">
        <w:rPr>
          <w:rFonts w:ascii="Times New Roman" w:hAnsi="Times New Roman"/>
          <w:color w:val="000000" w:themeColor="text1"/>
          <w:sz w:val="16"/>
          <w:szCs w:val="16"/>
        </w:rPr>
        <w:softHyphen/>
        <w:t>тересы. По их мнению, возможности для постановки в серию "семьдесят первого" мотора и самолета Су-6 с ним у НКАП имелись (11427).</w:t>
      </w:r>
    </w:p>
    <w:p w14:paraId="58DE4D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4F10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неудачно закончились госиспытания истребителя Ил-2-И. Максимальная скорость у земли в сравнении с двухместным Ил-2 оказалась выше всего на 6 км/ч, а на границе высотности - на 10 км/ч.</w:t>
      </w:r>
    </w:p>
    <w:p w14:paraId="6B423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Ил-2И могут быть использованы для борьбы только с некоторыми типами ...самолетов противника, имеющих сравнительно небольшие скорости (Не 111, Fw 200, Ju 87, Ju 52) на высотах ниже 4000 м, однако ...Fw 200 могут уходить от атак Ил-2 И набором высоты за счет лучшей скороподъемности. Ил-2И может атаковать более скоростные бомбардировщики Ju 88 и Do 215 только случайно, так как последние, за счет большей скорости, всегда имеют возможность уйти от Ил-2 И. ...Вести активную борьбу с истребителями ...Ил-2И не может", - констатировалось в Акте испытаний. В тоже время вооружение Ил-2-И состояло только из двух пушек ВЯ-23.</w:t>
      </w:r>
    </w:p>
    <w:p w14:paraId="6659A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Ил-2-И как истребитель бомбардировщиков и транспортных самолетов не состоялся, а все качества "чистого" штурмовика - потерял. Командующий ВВС маршал Новиков наложил на Акт резолюцию: "...считать, что дальнейшая постройка Ил-2И в варианте истребителя и установка мотора АМ-42 ...на истребительный вариант Ил-2 нецелесообразна".</w:t>
      </w:r>
    </w:p>
    <w:p w14:paraId="184C3F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истребителю Ил-2-2И были прекращены, хотя к концу августа один экземпляр самолета почти собрали, а для второго экземпляра изготовлены необходимые узлы и агрегаты (12020).</w:t>
      </w:r>
    </w:p>
    <w:p w14:paraId="4027C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EB5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вы</w:t>
      </w:r>
      <w:r w:rsidRPr="00271E51">
        <w:rPr>
          <w:rFonts w:ascii="Times New Roman" w:hAnsi="Times New Roman"/>
          <w:color w:val="000000" w:themeColor="text1"/>
          <w:sz w:val="16"/>
          <w:szCs w:val="16"/>
        </w:rPr>
        <w:softHyphen/>
        <w:t>водах отчета 2-го отдела Оперативного управления штаба ВВС по анализу по</w:t>
      </w:r>
      <w:r w:rsidRPr="00271E51">
        <w:rPr>
          <w:rFonts w:ascii="Times New Roman" w:hAnsi="Times New Roman"/>
          <w:color w:val="000000" w:themeColor="text1"/>
          <w:sz w:val="16"/>
          <w:szCs w:val="16"/>
        </w:rPr>
        <w:softHyphen/>
        <w:t>терь авиации (август 1943 г.) отмечалось, что из всех летно-технических характе</w:t>
      </w:r>
      <w:r w:rsidRPr="00271E51">
        <w:rPr>
          <w:rFonts w:ascii="Times New Roman" w:hAnsi="Times New Roman"/>
          <w:color w:val="000000" w:themeColor="text1"/>
          <w:sz w:val="16"/>
          <w:szCs w:val="16"/>
        </w:rPr>
        <w:softHyphen/>
        <w:t>ристик именно маневренность оказыва</w:t>
      </w:r>
      <w:r w:rsidRPr="00271E51">
        <w:rPr>
          <w:rFonts w:ascii="Times New Roman" w:hAnsi="Times New Roman"/>
          <w:color w:val="000000" w:themeColor="text1"/>
          <w:sz w:val="16"/>
          <w:szCs w:val="16"/>
        </w:rPr>
        <w:softHyphen/>
        <w:t>ет решающее влияние на боевую живу</w:t>
      </w:r>
      <w:r w:rsidRPr="00271E51">
        <w:rPr>
          <w:rFonts w:ascii="Times New Roman" w:hAnsi="Times New Roman"/>
          <w:color w:val="000000" w:themeColor="text1"/>
          <w:sz w:val="16"/>
          <w:szCs w:val="16"/>
        </w:rPr>
        <w:softHyphen/>
        <w:t>честь при действиях по наземным целям. Аналогичные требования выдвигали и специалисты НИИ ВВС. Особое внима</w:t>
      </w:r>
      <w:r w:rsidRPr="00271E51">
        <w:rPr>
          <w:rFonts w:ascii="Times New Roman" w:hAnsi="Times New Roman"/>
          <w:color w:val="000000" w:themeColor="text1"/>
          <w:sz w:val="16"/>
          <w:szCs w:val="16"/>
        </w:rPr>
        <w:softHyphen/>
        <w:t>ние они обращали на горизонтальную и вертикальную маневренность перспек</w:t>
      </w:r>
      <w:r w:rsidRPr="00271E51">
        <w:rPr>
          <w:rFonts w:ascii="Times New Roman" w:hAnsi="Times New Roman"/>
          <w:color w:val="000000" w:themeColor="text1"/>
          <w:sz w:val="16"/>
          <w:szCs w:val="16"/>
        </w:rPr>
        <w:softHyphen/>
        <w:t>тивного штурмовика, оснащение его мо</w:t>
      </w:r>
      <w:r w:rsidRPr="00271E51">
        <w:rPr>
          <w:rFonts w:ascii="Times New Roman" w:hAnsi="Times New Roman"/>
          <w:color w:val="000000" w:themeColor="text1"/>
          <w:sz w:val="16"/>
          <w:szCs w:val="16"/>
        </w:rPr>
        <w:softHyphen/>
        <w:t>тором воздушного охлаждения, а также на повышение эффективности броневой защиты при одновременном снижении доли брони в полетном весе. Особенно остро проблема «лучшей матчасти для штурмовых действий» встала после сражения на Курской дуге, когда опыт боев, помимо серьезных не</w:t>
      </w:r>
      <w:r w:rsidRPr="00271E51">
        <w:rPr>
          <w:rFonts w:ascii="Times New Roman" w:hAnsi="Times New Roman"/>
          <w:color w:val="000000" w:themeColor="text1"/>
          <w:sz w:val="16"/>
          <w:szCs w:val="16"/>
        </w:rPr>
        <w:softHyphen/>
        <w:t>достатков в вопросах управления и орга</w:t>
      </w:r>
      <w:r w:rsidRPr="00271E51">
        <w:rPr>
          <w:rFonts w:ascii="Times New Roman" w:hAnsi="Times New Roman"/>
          <w:color w:val="000000" w:themeColor="text1"/>
          <w:sz w:val="16"/>
          <w:szCs w:val="16"/>
        </w:rPr>
        <w:softHyphen/>
        <w:t>низации боевых действий ВВС, а также подготовки летного состава, выявил яв</w:t>
      </w:r>
      <w:r w:rsidRPr="00271E51">
        <w:rPr>
          <w:rFonts w:ascii="Times New Roman" w:hAnsi="Times New Roman"/>
          <w:color w:val="000000" w:themeColor="text1"/>
          <w:sz w:val="16"/>
          <w:szCs w:val="16"/>
        </w:rPr>
        <w:softHyphen/>
        <w:t>ное несоответствие летно-боевых ка</w:t>
      </w:r>
      <w:r w:rsidRPr="00271E51">
        <w:rPr>
          <w:rFonts w:ascii="Times New Roman" w:hAnsi="Times New Roman"/>
          <w:color w:val="000000" w:themeColor="text1"/>
          <w:sz w:val="16"/>
          <w:szCs w:val="16"/>
        </w:rPr>
        <w:softHyphen/>
        <w:t>честв Ил-2 требованиям боевого приме</w:t>
      </w:r>
      <w:r w:rsidRPr="00271E51">
        <w:rPr>
          <w:rFonts w:ascii="Times New Roman" w:hAnsi="Times New Roman"/>
          <w:color w:val="000000" w:themeColor="text1"/>
          <w:sz w:val="16"/>
          <w:szCs w:val="16"/>
        </w:rPr>
        <w:softHyphen/>
        <w:t>нения в условиях, характеризующихся высочайшей динамикой и массирован</w:t>
      </w:r>
      <w:r w:rsidRPr="00271E51">
        <w:rPr>
          <w:rFonts w:ascii="Times New Roman" w:hAnsi="Times New Roman"/>
          <w:color w:val="000000" w:themeColor="text1"/>
          <w:sz w:val="16"/>
          <w:szCs w:val="16"/>
        </w:rPr>
        <w:softHyphen/>
        <w:t>ным применением противником огневых средств войсковой ПВО и истребитель</w:t>
      </w:r>
      <w:r w:rsidRPr="00271E51">
        <w:rPr>
          <w:rFonts w:ascii="Times New Roman" w:hAnsi="Times New Roman"/>
          <w:color w:val="000000" w:themeColor="text1"/>
          <w:sz w:val="16"/>
          <w:szCs w:val="16"/>
        </w:rPr>
        <w:softHyphen/>
        <w:t>ной авиации. В отчетных документах ряда соедине</w:t>
      </w:r>
      <w:r w:rsidRPr="00271E51">
        <w:rPr>
          <w:rFonts w:ascii="Times New Roman" w:hAnsi="Times New Roman"/>
          <w:color w:val="000000" w:themeColor="text1"/>
          <w:sz w:val="16"/>
          <w:szCs w:val="16"/>
        </w:rPr>
        <w:softHyphen/>
        <w:t>ний по опыту боевого применения Ил-2 в районе Курского выступа отмечалось, что в отдельных частях потери в Ил-2 от зенитного огня доходили до 60 — 65% всех боевых потерь. Противником номер один для самолетов штурмовой авиации становились огневые средства войско</w:t>
      </w:r>
      <w:r w:rsidRPr="00271E51">
        <w:rPr>
          <w:rFonts w:ascii="Times New Roman" w:hAnsi="Times New Roman"/>
          <w:color w:val="000000" w:themeColor="text1"/>
          <w:sz w:val="16"/>
          <w:szCs w:val="16"/>
        </w:rPr>
        <w:softHyphen/>
        <w:t>вой ПВО противника и прежде всего ма</w:t>
      </w:r>
      <w:r w:rsidRPr="00271E51">
        <w:rPr>
          <w:rFonts w:ascii="Times New Roman" w:hAnsi="Times New Roman"/>
          <w:color w:val="000000" w:themeColor="text1"/>
          <w:sz w:val="16"/>
          <w:szCs w:val="16"/>
        </w:rPr>
        <w:softHyphen/>
        <w:t>локалиберная зенитная артиллерия (МЗА, 20 — 37 мм) и крупнокалиберные зенит</w:t>
      </w:r>
      <w:r w:rsidRPr="00271E51">
        <w:rPr>
          <w:rFonts w:ascii="Times New Roman" w:hAnsi="Times New Roman"/>
          <w:color w:val="000000" w:themeColor="text1"/>
          <w:sz w:val="16"/>
          <w:szCs w:val="16"/>
        </w:rPr>
        <w:softHyphen/>
        <w:t>ные пулеметы (12 — 13 мм), огонь кото</w:t>
      </w:r>
      <w:r w:rsidRPr="00271E51">
        <w:rPr>
          <w:rFonts w:ascii="Times New Roman" w:hAnsi="Times New Roman"/>
          <w:color w:val="000000" w:themeColor="text1"/>
          <w:sz w:val="16"/>
          <w:szCs w:val="16"/>
        </w:rPr>
        <w:softHyphen/>
        <w:t>рых был наиболее эффективен на основ</w:t>
      </w:r>
      <w:r w:rsidRPr="00271E51">
        <w:rPr>
          <w:rFonts w:ascii="Times New Roman" w:hAnsi="Times New Roman"/>
          <w:color w:val="000000" w:themeColor="text1"/>
          <w:sz w:val="16"/>
          <w:szCs w:val="16"/>
        </w:rPr>
        <w:softHyphen/>
        <w:t>ных высотах боевого применения штур</w:t>
      </w:r>
      <w:r w:rsidRPr="00271E51">
        <w:rPr>
          <w:rFonts w:ascii="Times New Roman" w:hAnsi="Times New Roman"/>
          <w:color w:val="000000" w:themeColor="text1"/>
          <w:sz w:val="16"/>
          <w:szCs w:val="16"/>
        </w:rPr>
        <w:softHyphen/>
        <w:t>мовиков. Поскольку орудия МЗА обладали высокой скоростью горизон</w:t>
      </w:r>
      <w:r w:rsidRPr="00271E51">
        <w:rPr>
          <w:rFonts w:ascii="Times New Roman" w:hAnsi="Times New Roman"/>
          <w:color w:val="000000" w:themeColor="text1"/>
          <w:sz w:val="16"/>
          <w:szCs w:val="16"/>
        </w:rPr>
        <w:softHyphen/>
        <w:t>тальной и вертикальной наводки и, кро</w:t>
      </w:r>
      <w:r w:rsidRPr="00271E51">
        <w:rPr>
          <w:rFonts w:ascii="Times New Roman" w:hAnsi="Times New Roman"/>
          <w:color w:val="000000" w:themeColor="text1"/>
          <w:sz w:val="16"/>
          <w:szCs w:val="16"/>
        </w:rPr>
        <w:softHyphen/>
        <w:t>ме этого, корректировка стрельбы зенит</w:t>
      </w:r>
      <w:r w:rsidRPr="00271E51">
        <w:rPr>
          <w:rFonts w:ascii="Times New Roman" w:hAnsi="Times New Roman"/>
          <w:color w:val="000000" w:themeColor="text1"/>
          <w:sz w:val="16"/>
          <w:szCs w:val="16"/>
        </w:rPr>
        <w:softHyphen/>
        <w:t>ными расчетами велась по трассе, а не по разрывам снарядов, то наиболее эф</w:t>
      </w:r>
      <w:r w:rsidRPr="00271E51">
        <w:rPr>
          <w:rFonts w:ascii="Times New Roman" w:hAnsi="Times New Roman"/>
          <w:color w:val="000000" w:themeColor="text1"/>
          <w:sz w:val="16"/>
          <w:szCs w:val="16"/>
        </w:rPr>
        <w:softHyphen/>
        <w:t>фективное противодействие их огню штурмовики могли обеспечить путем резкого и одновременного изменения курса, высоты и скорости. Наилучшим видом противозенитного маневра при выполнении атаки цели, как показал опыт войны, являлся боевой порядок «круг самолетов». «Круг» затруд</w:t>
      </w:r>
      <w:r w:rsidRPr="00271E51">
        <w:rPr>
          <w:rFonts w:ascii="Times New Roman" w:hAnsi="Times New Roman"/>
          <w:color w:val="000000" w:themeColor="text1"/>
          <w:sz w:val="16"/>
          <w:szCs w:val="16"/>
        </w:rPr>
        <w:softHyphen/>
        <w:t>нял установку на прицелах курса, скоро</w:t>
      </w:r>
      <w:r w:rsidRPr="00271E51">
        <w:rPr>
          <w:rFonts w:ascii="Times New Roman" w:hAnsi="Times New Roman"/>
          <w:color w:val="000000" w:themeColor="text1"/>
          <w:sz w:val="16"/>
          <w:szCs w:val="16"/>
        </w:rPr>
        <w:softHyphen/>
        <w:t>сти и дальности, а также лишал против</w:t>
      </w:r>
      <w:r w:rsidRPr="00271E51">
        <w:rPr>
          <w:rFonts w:ascii="Times New Roman" w:hAnsi="Times New Roman"/>
          <w:color w:val="000000" w:themeColor="text1"/>
          <w:sz w:val="16"/>
          <w:szCs w:val="16"/>
        </w:rPr>
        <w:softHyphen/>
        <w:t>ника возможности вносить правильные поправки в данные для стрельбы. И чем меньше был радиус «круга» в проекции, тем больше были ошибки зенитчиков. К тому же, меньшее количество зенитных расчетов могло участвовать в оказании противодействия, то есть вероятность поражения самолета уменьшалась. Наименьшего противодействия со стороны зенитчиков штурмовики могли достигнуть путем построения «круга» не в горизонтальной плоскости, а в наклон</w:t>
      </w:r>
      <w:r w:rsidRPr="00271E51">
        <w:rPr>
          <w:rFonts w:ascii="Times New Roman" w:hAnsi="Times New Roman"/>
          <w:color w:val="000000" w:themeColor="text1"/>
          <w:sz w:val="16"/>
          <w:szCs w:val="16"/>
        </w:rPr>
        <w:softHyphen/>
        <w:t>ной, приближающейся, в предельном случае, к вертикали. Однако для пост</w:t>
      </w:r>
      <w:r w:rsidRPr="00271E51">
        <w:rPr>
          <w:rFonts w:ascii="Times New Roman" w:hAnsi="Times New Roman"/>
          <w:color w:val="000000" w:themeColor="text1"/>
          <w:sz w:val="16"/>
          <w:szCs w:val="16"/>
        </w:rPr>
        <w:softHyphen/>
        <w:t>роения оптимального, с точки зрения минимизации вероятности поражения самолета (угол наклона приблизительно 50 — 40°, угол пикирования — 40 — 45°), «круга» Ил-2 не обладал необходимой вертикальной маневренностью. Кроме того, эффективное подавление малоразмерных целей в условиях быст</w:t>
      </w:r>
      <w:r w:rsidRPr="00271E51">
        <w:rPr>
          <w:rFonts w:ascii="Times New Roman" w:hAnsi="Times New Roman"/>
          <w:color w:val="000000" w:themeColor="text1"/>
          <w:sz w:val="16"/>
          <w:szCs w:val="16"/>
        </w:rPr>
        <w:softHyphen/>
        <w:t>ро меняющейся наземной обстановки и сильного насыщения поля боя различной боевой техникой было возможно лишь при условии построения энергичного маневра для атаки в весьма ограничен</w:t>
      </w:r>
      <w:r w:rsidRPr="00271E51">
        <w:rPr>
          <w:rFonts w:ascii="Times New Roman" w:hAnsi="Times New Roman"/>
          <w:color w:val="000000" w:themeColor="text1"/>
          <w:sz w:val="16"/>
          <w:szCs w:val="16"/>
        </w:rPr>
        <w:softHyphen/>
        <w:t>ном пространстве. Требовалось сразу же после обнаружения и распознавания цели занять выгодную исходную пози</w:t>
      </w:r>
      <w:r w:rsidRPr="00271E51">
        <w:rPr>
          <w:rFonts w:ascii="Times New Roman" w:hAnsi="Times New Roman"/>
          <w:color w:val="000000" w:themeColor="text1"/>
          <w:sz w:val="16"/>
          <w:szCs w:val="16"/>
        </w:rPr>
        <w:softHyphen/>
        <w:t>цию, атаковать противника, а при повтор</w:t>
      </w:r>
      <w:r w:rsidRPr="00271E51">
        <w:rPr>
          <w:rFonts w:ascii="Times New Roman" w:hAnsi="Times New Roman"/>
          <w:color w:val="000000" w:themeColor="text1"/>
          <w:sz w:val="16"/>
          <w:szCs w:val="16"/>
        </w:rPr>
        <w:softHyphen/>
        <w:t>ных заходах находиться в «круге», сохра</w:t>
      </w:r>
      <w:r w:rsidRPr="00271E51">
        <w:rPr>
          <w:rFonts w:ascii="Times New Roman" w:hAnsi="Times New Roman"/>
          <w:color w:val="000000" w:themeColor="text1"/>
          <w:sz w:val="16"/>
          <w:szCs w:val="16"/>
        </w:rPr>
        <w:softHyphen/>
        <w:t>няя с целью визуальный контакт. В то же время воздушные бои над Курской дугой со всей очевидностью по</w:t>
      </w:r>
      <w:r w:rsidRPr="00271E51">
        <w:rPr>
          <w:rFonts w:ascii="Times New Roman" w:hAnsi="Times New Roman"/>
          <w:color w:val="000000" w:themeColor="text1"/>
          <w:sz w:val="16"/>
          <w:szCs w:val="16"/>
        </w:rPr>
        <w:softHyphen/>
        <w:t>казали, что целостность боевого поряд</w:t>
      </w:r>
      <w:r w:rsidRPr="00271E51">
        <w:rPr>
          <w:rFonts w:ascii="Times New Roman" w:hAnsi="Times New Roman"/>
          <w:color w:val="000000" w:themeColor="text1"/>
          <w:sz w:val="16"/>
          <w:szCs w:val="16"/>
        </w:rPr>
        <w:softHyphen/>
        <w:t>ка штурмовиков в составе группы и не</w:t>
      </w:r>
      <w:r w:rsidRPr="00271E51">
        <w:rPr>
          <w:rFonts w:ascii="Times New Roman" w:hAnsi="Times New Roman"/>
          <w:color w:val="000000" w:themeColor="text1"/>
          <w:sz w:val="16"/>
          <w:szCs w:val="16"/>
        </w:rPr>
        <w:softHyphen/>
        <w:t>прерывное огневое взаимодействие между экипажами являются важнейши</w:t>
      </w:r>
      <w:r w:rsidRPr="00271E51">
        <w:rPr>
          <w:rFonts w:ascii="Times New Roman" w:hAnsi="Times New Roman"/>
          <w:color w:val="000000" w:themeColor="text1"/>
          <w:sz w:val="16"/>
          <w:szCs w:val="16"/>
        </w:rPr>
        <w:softHyphen/>
        <w:t>ми средствами снижения потерь от авиа</w:t>
      </w:r>
      <w:r w:rsidRPr="00271E51">
        <w:rPr>
          <w:rFonts w:ascii="Times New Roman" w:hAnsi="Times New Roman"/>
          <w:color w:val="000000" w:themeColor="text1"/>
          <w:sz w:val="16"/>
          <w:szCs w:val="16"/>
        </w:rPr>
        <w:softHyphen/>
        <w:t>ции противника. Для многих командиров и летчиков стало ясно, что уйти от атак истребителей только за счет одной скорости практически невозможно — «мессершмитты» и «фокке-вульфы» превосхо</w:t>
      </w:r>
      <w:r w:rsidRPr="00271E51">
        <w:rPr>
          <w:rFonts w:ascii="Times New Roman" w:hAnsi="Times New Roman"/>
          <w:color w:val="000000" w:themeColor="text1"/>
          <w:sz w:val="16"/>
          <w:szCs w:val="16"/>
        </w:rPr>
        <w:softHyphen/>
        <w:t>дили Ил-2 по скорости на всех основных высотах боевого применения и имели возможность практически при любых ус</w:t>
      </w:r>
      <w:r w:rsidRPr="00271E51">
        <w:rPr>
          <w:rFonts w:ascii="Times New Roman" w:hAnsi="Times New Roman"/>
          <w:color w:val="000000" w:themeColor="text1"/>
          <w:sz w:val="16"/>
          <w:szCs w:val="16"/>
        </w:rPr>
        <w:softHyphen/>
        <w:t>ловиях быстро произвести необходимый маневр для занятия выгодного исходно</w:t>
      </w:r>
      <w:r w:rsidRPr="00271E51">
        <w:rPr>
          <w:rFonts w:ascii="Times New Roman" w:hAnsi="Times New Roman"/>
          <w:color w:val="000000" w:themeColor="text1"/>
          <w:sz w:val="16"/>
          <w:szCs w:val="16"/>
        </w:rPr>
        <w:softHyphen/>
        <w:t>го положения и эффективно выполнить атаку. К тому же пилоты Люфтваффе весьма искусно применяли тактику уда</w:t>
      </w:r>
      <w:r w:rsidRPr="00271E51">
        <w:rPr>
          <w:rFonts w:ascii="Times New Roman" w:hAnsi="Times New Roman"/>
          <w:color w:val="000000" w:themeColor="text1"/>
          <w:sz w:val="16"/>
          <w:szCs w:val="16"/>
        </w:rPr>
        <w:softHyphen/>
        <w:t>ров "из-за угла" (в основном по крайним штурмовикам в группе), нападая неожи</w:t>
      </w:r>
      <w:r w:rsidRPr="00271E51">
        <w:rPr>
          <w:rFonts w:ascii="Times New Roman" w:hAnsi="Times New Roman"/>
          <w:color w:val="000000" w:themeColor="text1"/>
          <w:sz w:val="16"/>
          <w:szCs w:val="16"/>
        </w:rPr>
        <w:softHyphen/>
        <w:t>данно и на большой скорости со сторо</w:t>
      </w:r>
      <w:r w:rsidRPr="00271E51">
        <w:rPr>
          <w:rFonts w:ascii="Times New Roman" w:hAnsi="Times New Roman"/>
          <w:color w:val="000000" w:themeColor="text1"/>
          <w:sz w:val="16"/>
          <w:szCs w:val="16"/>
        </w:rPr>
        <w:softHyphen/>
        <w:t>ны солнца или из облачности. Расчет строился на внезапность, высокую точ</w:t>
      </w:r>
      <w:r w:rsidRPr="00271E51">
        <w:rPr>
          <w:rFonts w:ascii="Times New Roman" w:hAnsi="Times New Roman"/>
          <w:color w:val="000000" w:themeColor="text1"/>
          <w:sz w:val="16"/>
          <w:szCs w:val="16"/>
        </w:rPr>
        <w:softHyphen/>
        <w:t>ность и мощь огня. Никакое бронирова</w:t>
      </w:r>
      <w:r w:rsidRPr="00271E51">
        <w:rPr>
          <w:rFonts w:ascii="Times New Roman" w:hAnsi="Times New Roman"/>
          <w:color w:val="000000" w:themeColor="text1"/>
          <w:sz w:val="16"/>
          <w:szCs w:val="16"/>
        </w:rPr>
        <w:softHyphen/>
        <w:t>ние не спасало штурмовик от фатальных поражений. Летчики и стрелки получали ранения или погибали (стрелки в 2,3 раза чаще, чем летчики), деревянные плос</w:t>
      </w:r>
      <w:r w:rsidRPr="00271E51">
        <w:rPr>
          <w:rFonts w:ascii="Times New Roman" w:hAnsi="Times New Roman"/>
          <w:color w:val="000000" w:themeColor="text1"/>
          <w:sz w:val="16"/>
          <w:szCs w:val="16"/>
        </w:rPr>
        <w:softHyphen/>
        <w:t>кости и фюзеляжи Ил-2 превращались в щепу, перебивались тросы и тяги систе</w:t>
      </w:r>
      <w:r w:rsidRPr="00271E51">
        <w:rPr>
          <w:rFonts w:ascii="Times New Roman" w:hAnsi="Times New Roman"/>
          <w:color w:val="000000" w:themeColor="text1"/>
          <w:sz w:val="16"/>
          <w:szCs w:val="16"/>
        </w:rPr>
        <w:softHyphen/>
        <w:t>мы управления и т.д. — штурмовик па</w:t>
      </w:r>
      <w:r w:rsidRPr="00271E51">
        <w:rPr>
          <w:rFonts w:ascii="Times New Roman" w:hAnsi="Times New Roman"/>
          <w:color w:val="000000" w:themeColor="text1"/>
          <w:sz w:val="16"/>
          <w:szCs w:val="16"/>
        </w:rPr>
        <w:softHyphen/>
        <w:t>дал, шел на вынужденную посадку или выходил из строя в результате повреж</w:t>
      </w:r>
      <w:r w:rsidRPr="00271E51">
        <w:rPr>
          <w:rFonts w:ascii="Times New Roman" w:hAnsi="Times New Roman"/>
          <w:color w:val="000000" w:themeColor="text1"/>
          <w:sz w:val="16"/>
          <w:szCs w:val="16"/>
        </w:rPr>
        <w:softHyphen/>
        <w:t>дений. От самолета непосредственной под</w:t>
      </w:r>
      <w:r w:rsidRPr="00271E51">
        <w:rPr>
          <w:rFonts w:ascii="Times New Roman" w:hAnsi="Times New Roman"/>
          <w:color w:val="000000" w:themeColor="text1"/>
          <w:sz w:val="16"/>
          <w:szCs w:val="16"/>
        </w:rPr>
        <w:softHyphen/>
        <w:t>держки войск требовались уже не столько большая горизонтальная ско</w:t>
      </w:r>
      <w:r w:rsidRPr="00271E51">
        <w:rPr>
          <w:rFonts w:ascii="Times New Roman" w:hAnsi="Times New Roman"/>
          <w:color w:val="000000" w:themeColor="text1"/>
          <w:sz w:val="16"/>
          <w:szCs w:val="16"/>
        </w:rPr>
        <w:softHyphen/>
        <w:t>рость полета и сильное бронирование, сколько высокие маневренность (в гори</w:t>
      </w:r>
      <w:r w:rsidRPr="00271E51">
        <w:rPr>
          <w:rFonts w:ascii="Times New Roman" w:hAnsi="Times New Roman"/>
          <w:color w:val="000000" w:themeColor="text1"/>
          <w:sz w:val="16"/>
          <w:szCs w:val="16"/>
        </w:rPr>
        <w:softHyphen/>
        <w:t>зонтальной и в вертикальной плоско</w:t>
      </w:r>
      <w:r w:rsidRPr="00271E51">
        <w:rPr>
          <w:rFonts w:ascii="Times New Roman" w:hAnsi="Times New Roman"/>
          <w:color w:val="000000" w:themeColor="text1"/>
          <w:sz w:val="16"/>
          <w:szCs w:val="16"/>
        </w:rPr>
        <w:softHyphen/>
        <w:t>стях) и управляемость во всем диапазо</w:t>
      </w:r>
      <w:r w:rsidRPr="00271E51">
        <w:rPr>
          <w:rFonts w:ascii="Times New Roman" w:hAnsi="Times New Roman"/>
          <w:color w:val="000000" w:themeColor="text1"/>
          <w:sz w:val="16"/>
          <w:szCs w:val="16"/>
        </w:rPr>
        <w:softHyphen/>
        <w:t>не рабочих высот (то есть от земли и до 1000 —1500 м) и скоростей от мини</w:t>
      </w:r>
      <w:r w:rsidRPr="00271E51">
        <w:rPr>
          <w:rFonts w:ascii="Times New Roman" w:hAnsi="Times New Roman"/>
          <w:color w:val="000000" w:themeColor="text1"/>
          <w:sz w:val="16"/>
          <w:szCs w:val="16"/>
        </w:rPr>
        <w:softHyphen/>
        <w:t>мальной (скорость сваливания) до мак</w:t>
      </w:r>
      <w:r w:rsidRPr="00271E51">
        <w:rPr>
          <w:rFonts w:ascii="Times New Roman" w:hAnsi="Times New Roman"/>
          <w:color w:val="000000" w:themeColor="text1"/>
          <w:sz w:val="16"/>
          <w:szCs w:val="16"/>
        </w:rPr>
        <w:softHyphen/>
        <w:t>симальной. Летный и командный состав боевых частей и соединений на конфе</w:t>
      </w:r>
      <w:r w:rsidRPr="00271E51">
        <w:rPr>
          <w:rFonts w:ascii="Times New Roman" w:hAnsi="Times New Roman"/>
          <w:color w:val="000000" w:themeColor="text1"/>
          <w:sz w:val="16"/>
          <w:szCs w:val="16"/>
        </w:rPr>
        <w:softHyphen/>
        <w:t>ренциях и в отчетах высказывал поже</w:t>
      </w:r>
      <w:r w:rsidRPr="00271E51">
        <w:rPr>
          <w:rFonts w:ascii="Times New Roman" w:hAnsi="Times New Roman"/>
          <w:color w:val="000000" w:themeColor="text1"/>
          <w:sz w:val="16"/>
          <w:szCs w:val="16"/>
        </w:rPr>
        <w:softHyphen/>
        <w:t>лания повысить летно-боевые данные самолета Ил-2 или заменить его более совершенным самолетом, наилучшим образом отвечающим современным тре</w:t>
      </w:r>
      <w:r w:rsidRPr="00271E51">
        <w:rPr>
          <w:rFonts w:ascii="Times New Roman" w:hAnsi="Times New Roman"/>
          <w:color w:val="000000" w:themeColor="text1"/>
          <w:sz w:val="16"/>
          <w:szCs w:val="16"/>
        </w:rPr>
        <w:softHyphen/>
        <w:t>бованиям войны. Эффективность огня пушек ВЯ-23 и ШВАК при действии по немецкой броне-технике оказалась совершенно недоста</w:t>
      </w:r>
      <w:r w:rsidRPr="00271E51">
        <w:rPr>
          <w:rFonts w:ascii="Times New Roman" w:hAnsi="Times New Roman"/>
          <w:color w:val="000000" w:themeColor="text1"/>
          <w:sz w:val="16"/>
          <w:szCs w:val="16"/>
        </w:rPr>
        <w:softHyphen/>
        <w:t>точной. Дело в том, что легких танков у противника на Восточном фронте к это</w:t>
      </w:r>
      <w:r w:rsidRPr="00271E51">
        <w:rPr>
          <w:rFonts w:ascii="Times New Roman" w:hAnsi="Times New Roman"/>
          <w:color w:val="000000" w:themeColor="text1"/>
          <w:sz w:val="16"/>
          <w:szCs w:val="16"/>
        </w:rPr>
        <w:softHyphen/>
        <w:t>му времени уже почти не осталось. Их вытеснили средние и тяжелые танки, против которых ШВАК или ВЯ-23 были практически бессильны. Недостаточной признавалась бомбо</w:t>
      </w:r>
      <w:r w:rsidRPr="00271E51">
        <w:rPr>
          <w:rFonts w:ascii="Times New Roman" w:hAnsi="Times New Roman"/>
          <w:color w:val="000000" w:themeColor="text1"/>
          <w:sz w:val="16"/>
          <w:szCs w:val="16"/>
        </w:rPr>
        <w:softHyphen/>
        <w:t>вая нагрузка Ил-2, ограниченная в то время до 300 кг. В строевых частях при взлете и посадке на неровных полевых аэродромах при полной загрузке само</w:t>
      </w:r>
      <w:r w:rsidRPr="00271E51">
        <w:rPr>
          <w:rFonts w:ascii="Times New Roman" w:hAnsi="Times New Roman"/>
          <w:color w:val="000000" w:themeColor="text1"/>
          <w:sz w:val="16"/>
          <w:szCs w:val="16"/>
        </w:rPr>
        <w:softHyphen/>
        <w:t>лета часто разрушался фюзеляж. Кроме того, при переходе от одноместного ва</w:t>
      </w:r>
      <w:r w:rsidRPr="00271E51">
        <w:rPr>
          <w:rFonts w:ascii="Times New Roman" w:hAnsi="Times New Roman"/>
          <w:color w:val="000000" w:themeColor="text1"/>
          <w:sz w:val="16"/>
          <w:szCs w:val="16"/>
        </w:rPr>
        <w:softHyphen/>
        <w:t>рианта Ил-2 к двухместному центровка сместилась назад и при полной загрузке устойчивость и управляемость машины, «хромавшей» в этом отношении с самого рождения, становились совсем неудов</w:t>
      </w:r>
      <w:r w:rsidRPr="00271E51">
        <w:rPr>
          <w:rFonts w:ascii="Times New Roman" w:hAnsi="Times New Roman"/>
          <w:color w:val="000000" w:themeColor="text1"/>
          <w:sz w:val="16"/>
          <w:szCs w:val="16"/>
        </w:rPr>
        <w:softHyphen/>
        <w:t>летворительными. С той же целью коли</w:t>
      </w:r>
      <w:r w:rsidRPr="00271E51">
        <w:rPr>
          <w:rFonts w:ascii="Times New Roman" w:hAnsi="Times New Roman"/>
          <w:color w:val="000000" w:themeColor="text1"/>
          <w:sz w:val="16"/>
          <w:szCs w:val="16"/>
        </w:rPr>
        <w:softHyphen/>
        <w:t>чество ракетных орудий на Ил-2 было уменьшено вдвое, с восьми до четырех. При этом боевые возможности основно</w:t>
      </w:r>
      <w:r w:rsidRPr="00271E51">
        <w:rPr>
          <w:rFonts w:ascii="Times New Roman" w:hAnsi="Times New Roman"/>
          <w:color w:val="000000" w:themeColor="text1"/>
          <w:sz w:val="16"/>
          <w:szCs w:val="16"/>
        </w:rPr>
        <w:softHyphen/>
        <w:t>го ударного самолета ВВС Красной Ар</w:t>
      </w:r>
      <w:r w:rsidRPr="00271E51">
        <w:rPr>
          <w:rFonts w:ascii="Times New Roman" w:hAnsi="Times New Roman"/>
          <w:color w:val="000000" w:themeColor="text1"/>
          <w:sz w:val="16"/>
          <w:szCs w:val="16"/>
        </w:rPr>
        <w:softHyphen/>
        <w:t>мии были серьезно снижены (10680).</w:t>
      </w:r>
    </w:p>
    <w:p w14:paraId="1F3F4A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DD9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Командующий ВВС КА маршал А.А. Новиков потребовал запустить в серийное производст</w:t>
      </w:r>
      <w:r w:rsidRPr="00271E51">
        <w:rPr>
          <w:rFonts w:ascii="Times New Roman" w:hAnsi="Times New Roman"/>
          <w:color w:val="000000" w:themeColor="text1"/>
          <w:sz w:val="16"/>
          <w:szCs w:val="16"/>
        </w:rPr>
        <w:softHyphen/>
        <w:t>во Су-6 на московском авиазаводе № 30 взамен производяще</w:t>
      </w:r>
      <w:r w:rsidRPr="00271E51">
        <w:rPr>
          <w:rFonts w:ascii="Times New Roman" w:hAnsi="Times New Roman"/>
          <w:color w:val="000000" w:themeColor="text1"/>
          <w:sz w:val="16"/>
          <w:szCs w:val="16"/>
        </w:rPr>
        <w:softHyphen/>
        <w:t>гося там самолета Ил-2 АМ-38ф. Одновременно предлагалось форсировать серийный выпуск мотора М-71ф (11474,486).</w:t>
      </w:r>
    </w:p>
    <w:p w14:paraId="605231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3369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вышел отчет о работах ЛИИ в сентябре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6662"/>
      </w:tblGrid>
      <w:tr w:rsidR="00A907A5" w:rsidRPr="00271E51" w14:paraId="78B4B8E1" w14:textId="77777777" w:rsidTr="00ED5B0A">
        <w:tc>
          <w:tcPr>
            <w:tcW w:w="3936" w:type="dxa"/>
          </w:tcPr>
          <w:p w14:paraId="6B735F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tc>
        <w:tc>
          <w:tcPr>
            <w:tcW w:w="6662" w:type="dxa"/>
          </w:tcPr>
          <w:p w14:paraId="44291F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C16433" w14:textId="77777777" w:rsidTr="00ED5B0A">
        <w:tc>
          <w:tcPr>
            <w:tcW w:w="3936" w:type="dxa"/>
          </w:tcPr>
          <w:p w14:paraId="48259A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Подбор рационального режима зарядки</w:t>
            </w:r>
          </w:p>
        </w:tc>
        <w:tc>
          <w:tcPr>
            <w:tcW w:w="6662" w:type="dxa"/>
          </w:tcPr>
          <w:p w14:paraId="65AAEF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Проведено летные испытания амортизатора хвостового</w:t>
            </w:r>
          </w:p>
        </w:tc>
      </w:tr>
      <w:tr w:rsidR="00A907A5" w:rsidRPr="00271E51" w14:paraId="4306417A" w14:textId="77777777" w:rsidTr="00ED5B0A">
        <w:tc>
          <w:tcPr>
            <w:tcW w:w="3936" w:type="dxa"/>
          </w:tcPr>
          <w:p w14:paraId="3B2DF4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амортизатора хвостового колеса Ил-2</w:t>
            </w:r>
          </w:p>
        </w:tc>
        <w:tc>
          <w:tcPr>
            <w:tcW w:w="6662" w:type="dxa"/>
          </w:tcPr>
          <w:p w14:paraId="6CF9B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колеса на самолете Ил-2. Испытанием установлено,</w:t>
            </w:r>
          </w:p>
        </w:tc>
      </w:tr>
      <w:tr w:rsidR="00A907A5" w:rsidRPr="00271E51" w14:paraId="5930C3D1" w14:textId="77777777" w:rsidTr="00ED5B0A">
        <w:tc>
          <w:tcPr>
            <w:tcW w:w="3936" w:type="dxa"/>
          </w:tcPr>
          <w:p w14:paraId="620AC2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51DE53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серийной зарядке амортизатора (давление 35 атм.,</w:t>
            </w:r>
          </w:p>
        </w:tc>
      </w:tr>
      <w:tr w:rsidR="00A907A5" w:rsidRPr="00271E51" w14:paraId="6FBB9578" w14:textId="77777777" w:rsidTr="00ED5B0A">
        <w:tc>
          <w:tcPr>
            <w:tcW w:w="3936" w:type="dxa"/>
          </w:tcPr>
          <w:p w14:paraId="3ED509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0DCC3F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жидкости - 320 см куб.) имели место случаи</w:t>
            </w:r>
          </w:p>
        </w:tc>
      </w:tr>
      <w:tr w:rsidR="00A907A5" w:rsidRPr="00271E51" w14:paraId="25C68B61" w14:textId="77777777" w:rsidTr="00ED5B0A">
        <w:tc>
          <w:tcPr>
            <w:tcW w:w="3936" w:type="dxa"/>
          </w:tcPr>
          <w:p w14:paraId="0A620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E3FEF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полного обжатия амортизатора, в результате чего вертикальные перегрузки</w:t>
            </w:r>
          </w:p>
        </w:tc>
      </w:tr>
      <w:tr w:rsidR="00A907A5" w:rsidRPr="00271E51" w14:paraId="7BF405DF" w14:textId="77777777" w:rsidTr="00ED5B0A">
        <w:tc>
          <w:tcPr>
            <w:tcW w:w="3936" w:type="dxa"/>
          </w:tcPr>
          <w:p w14:paraId="4CDDC4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72C49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хвостовой части фюзеляжа повысились до 3.8-4 ж.</w:t>
            </w:r>
          </w:p>
        </w:tc>
      </w:tr>
      <w:tr w:rsidR="00A907A5" w:rsidRPr="00271E51" w14:paraId="267EBC55" w14:textId="77777777" w:rsidTr="00ED5B0A">
        <w:tc>
          <w:tcPr>
            <w:tcW w:w="3936" w:type="dxa"/>
          </w:tcPr>
          <w:p w14:paraId="5B9235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1325A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рекомендованы следующие</w:t>
            </w:r>
          </w:p>
        </w:tc>
      </w:tr>
      <w:tr w:rsidR="00A907A5" w:rsidRPr="00271E51" w14:paraId="209E7557" w14:textId="77777777" w:rsidTr="00ED5B0A">
        <w:tc>
          <w:tcPr>
            <w:tcW w:w="3936" w:type="dxa"/>
          </w:tcPr>
          <w:p w14:paraId="670BD9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C958F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режимы зарядки:</w:t>
            </w:r>
          </w:p>
        </w:tc>
      </w:tr>
      <w:tr w:rsidR="00A907A5" w:rsidRPr="00271E51" w14:paraId="1BCA8567" w14:textId="77777777" w:rsidTr="00ED5B0A">
        <w:tc>
          <w:tcPr>
            <w:tcW w:w="3936" w:type="dxa"/>
          </w:tcPr>
          <w:p w14:paraId="7A084F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BD4BF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Начальное давление зарядки - 40 атм.</w:t>
            </w:r>
          </w:p>
        </w:tc>
      </w:tr>
      <w:tr w:rsidR="00A907A5" w:rsidRPr="00271E51" w14:paraId="32A1043A" w14:textId="77777777" w:rsidTr="00ED5B0A">
        <w:tc>
          <w:tcPr>
            <w:tcW w:w="3936" w:type="dxa"/>
          </w:tcPr>
          <w:p w14:paraId="436C78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35082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Количество жидкости - 350 см куб.</w:t>
            </w:r>
          </w:p>
        </w:tc>
      </w:tr>
      <w:tr w:rsidR="00A907A5" w:rsidRPr="00271E51" w14:paraId="0816D77E" w14:textId="77777777" w:rsidTr="00ED5B0A">
        <w:tc>
          <w:tcPr>
            <w:tcW w:w="3936" w:type="dxa"/>
          </w:tcPr>
          <w:p w14:paraId="662BE3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CB1B2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Начальное давление зарядки пневматики - 3.5 атм.</w:t>
            </w:r>
          </w:p>
        </w:tc>
      </w:tr>
      <w:tr w:rsidR="00A907A5" w:rsidRPr="00271E51" w14:paraId="7A0ED596" w14:textId="77777777" w:rsidTr="00ED5B0A">
        <w:tc>
          <w:tcPr>
            <w:tcW w:w="3936" w:type="dxa"/>
          </w:tcPr>
          <w:p w14:paraId="6F55B2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5B634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сообщены 10 и 7 ГУ и ГК ОКБ-240 (1783,178)</w:t>
            </w:r>
          </w:p>
        </w:tc>
      </w:tr>
      <w:tr w:rsidR="00A907A5" w:rsidRPr="00271E51" w14:paraId="411FD01D" w14:textId="77777777" w:rsidTr="00ED5B0A">
        <w:tc>
          <w:tcPr>
            <w:tcW w:w="3936" w:type="dxa"/>
          </w:tcPr>
          <w:p w14:paraId="2624E3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Уточнение режима зарядки</w:t>
            </w:r>
          </w:p>
        </w:tc>
        <w:tc>
          <w:tcPr>
            <w:tcW w:w="6662" w:type="dxa"/>
          </w:tcPr>
          <w:p w14:paraId="703520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проведенных испытаний рекомендован режим</w:t>
            </w:r>
          </w:p>
        </w:tc>
      </w:tr>
      <w:tr w:rsidR="00A907A5" w:rsidRPr="00271E51" w14:paraId="4EC17ED3" w14:textId="77777777" w:rsidTr="00ED5B0A">
        <w:tc>
          <w:tcPr>
            <w:tcW w:w="3936" w:type="dxa"/>
          </w:tcPr>
          <w:p w14:paraId="7C7FAE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амортизатора шасси самолета Ил-2</w:t>
            </w:r>
          </w:p>
        </w:tc>
        <w:tc>
          <w:tcPr>
            <w:tcW w:w="6662" w:type="dxa"/>
          </w:tcPr>
          <w:p w14:paraId="496550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зарядки амортизаторов шасси самолета Ил-2</w:t>
            </w:r>
          </w:p>
        </w:tc>
      </w:tr>
      <w:tr w:rsidR="00A907A5" w:rsidRPr="00271E51" w14:paraId="6E5E14AF" w14:textId="77777777" w:rsidTr="00ED5B0A">
        <w:tc>
          <w:tcPr>
            <w:tcW w:w="3936" w:type="dxa"/>
          </w:tcPr>
          <w:p w14:paraId="702B52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908B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Количество жидкости на каждую стойку - 580 см куб.</w:t>
            </w:r>
          </w:p>
        </w:tc>
      </w:tr>
      <w:tr w:rsidR="00A907A5" w:rsidRPr="00271E51" w14:paraId="74E16FDF" w14:textId="77777777" w:rsidTr="00ED5B0A">
        <w:tc>
          <w:tcPr>
            <w:tcW w:w="3936" w:type="dxa"/>
          </w:tcPr>
          <w:p w14:paraId="2A4C6A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508E0E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Начальное давление зарядки - 20 атм.</w:t>
            </w:r>
          </w:p>
        </w:tc>
      </w:tr>
      <w:tr w:rsidR="00A907A5" w:rsidRPr="00271E51" w14:paraId="55C0ADB6" w14:textId="77777777" w:rsidTr="00ED5B0A">
        <w:tc>
          <w:tcPr>
            <w:tcW w:w="3936" w:type="dxa"/>
          </w:tcPr>
          <w:p w14:paraId="078DC3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484CD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Начальное давление зарядки пневматики - 3.5 атм.</w:t>
            </w:r>
          </w:p>
        </w:tc>
      </w:tr>
      <w:tr w:rsidR="00A907A5" w:rsidRPr="00271E51" w14:paraId="64A5891D" w14:textId="77777777" w:rsidTr="00ED5B0A">
        <w:tc>
          <w:tcPr>
            <w:tcW w:w="3936" w:type="dxa"/>
          </w:tcPr>
          <w:p w14:paraId="5BD501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15B891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сообщены 10 и 7 ГУ и ГК ОКБ-240 (1783,178)</w:t>
            </w:r>
          </w:p>
        </w:tc>
      </w:tr>
      <w:tr w:rsidR="00A907A5" w:rsidRPr="00271E51" w14:paraId="23CFB899" w14:textId="77777777" w:rsidTr="00ED5B0A">
        <w:tc>
          <w:tcPr>
            <w:tcW w:w="3936" w:type="dxa"/>
          </w:tcPr>
          <w:p w14:paraId="3D8A1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Ил-4</w:t>
            </w:r>
          </w:p>
        </w:tc>
        <w:tc>
          <w:tcPr>
            <w:tcW w:w="6662" w:type="dxa"/>
          </w:tcPr>
          <w:p w14:paraId="75E315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4F9A2D" w14:textId="77777777" w:rsidTr="00ED5B0A">
        <w:tc>
          <w:tcPr>
            <w:tcW w:w="3936" w:type="dxa"/>
          </w:tcPr>
          <w:p w14:paraId="72E97A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Испытание самолета Ил-4</w:t>
            </w:r>
          </w:p>
        </w:tc>
        <w:tc>
          <w:tcPr>
            <w:tcW w:w="6662" w:type="dxa"/>
          </w:tcPr>
          <w:p w14:paraId="021B03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полетов по программе испытаний агрегатов</w:t>
            </w:r>
          </w:p>
        </w:tc>
      </w:tr>
      <w:tr w:rsidR="00A907A5" w:rsidRPr="00271E51" w14:paraId="1F3B6A5A" w14:textId="77777777" w:rsidTr="00ED5B0A">
        <w:tc>
          <w:tcPr>
            <w:tcW w:w="3936" w:type="dxa"/>
          </w:tcPr>
          <w:p w14:paraId="45DA95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316 с ТК-3</w:t>
            </w:r>
          </w:p>
        </w:tc>
        <w:tc>
          <w:tcPr>
            <w:tcW w:w="6662" w:type="dxa"/>
          </w:tcPr>
          <w:p w14:paraId="6DA648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ТК-3 установлено:</w:t>
            </w:r>
          </w:p>
        </w:tc>
      </w:tr>
      <w:tr w:rsidR="00A907A5" w:rsidRPr="00271E51" w14:paraId="38434A7D" w14:textId="77777777" w:rsidTr="00ED5B0A">
        <w:tc>
          <w:tcPr>
            <w:tcW w:w="3936" w:type="dxa"/>
          </w:tcPr>
          <w:p w14:paraId="456BB9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50BE86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заборных воздушных патрубках отсутствует скоростной</w:t>
            </w:r>
          </w:p>
        </w:tc>
      </w:tr>
      <w:tr w:rsidR="00A907A5" w:rsidRPr="00271E51" w14:paraId="46C25A62" w14:textId="77777777" w:rsidTr="00ED5B0A">
        <w:tc>
          <w:tcPr>
            <w:tcW w:w="3936" w:type="dxa"/>
          </w:tcPr>
          <w:p w14:paraId="088D6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44499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напор и создается разряжение, доходящее в гор. полете</w:t>
            </w:r>
          </w:p>
        </w:tc>
      </w:tr>
      <w:tr w:rsidR="00A907A5" w:rsidRPr="00271E51" w14:paraId="3EB0B5E1" w14:textId="77777777" w:rsidTr="00ED5B0A">
        <w:tc>
          <w:tcPr>
            <w:tcW w:w="3936" w:type="dxa"/>
          </w:tcPr>
          <w:p w14:paraId="29123D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BE0EB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7000 м до 9 мм рт. столба. Следствием этого</w:t>
            </w:r>
          </w:p>
        </w:tc>
      </w:tr>
      <w:tr w:rsidR="00A907A5" w:rsidRPr="00271E51" w14:paraId="7C46DB6F" w14:textId="77777777" w:rsidTr="00ED5B0A">
        <w:tc>
          <w:tcPr>
            <w:tcW w:w="3936" w:type="dxa"/>
          </w:tcPr>
          <w:p w14:paraId="1C3E5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1E1DE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является потеря высотности моторов порядка 400-500 м</w:t>
            </w:r>
          </w:p>
        </w:tc>
      </w:tr>
      <w:tr w:rsidR="00A907A5" w:rsidRPr="00271E51" w14:paraId="3A4BE37D" w14:textId="77777777" w:rsidTr="00ED5B0A">
        <w:tc>
          <w:tcPr>
            <w:tcW w:w="3936" w:type="dxa"/>
          </w:tcPr>
          <w:p w14:paraId="455D2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25BE4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Граница высотности правого мотора при работе с включенным</w:t>
            </w:r>
          </w:p>
        </w:tc>
      </w:tr>
      <w:tr w:rsidR="00A907A5" w:rsidRPr="00271E51" w14:paraId="5C6FE1D6" w14:textId="77777777" w:rsidTr="00ED5B0A">
        <w:tc>
          <w:tcPr>
            <w:tcW w:w="3936" w:type="dxa"/>
          </w:tcPr>
          <w:p w14:paraId="0C6304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DC01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ТК-3 равна 6600-6700 м (расчетная граница - 8000 м).</w:t>
            </w:r>
          </w:p>
        </w:tc>
      </w:tr>
      <w:tr w:rsidR="00A907A5" w:rsidRPr="00271E51" w14:paraId="6E67AF6C" w14:textId="77777777" w:rsidTr="00ED5B0A">
        <w:tc>
          <w:tcPr>
            <w:tcW w:w="3936" w:type="dxa"/>
          </w:tcPr>
          <w:p w14:paraId="4B37C4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58C9C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Граница высотности левого мотора не определялась, в связи с</w:t>
            </w:r>
          </w:p>
        </w:tc>
      </w:tr>
      <w:tr w:rsidR="00A907A5" w:rsidRPr="00271E51" w14:paraId="795E605B" w14:textId="77777777" w:rsidTr="00ED5B0A">
        <w:tc>
          <w:tcPr>
            <w:tcW w:w="3936" w:type="dxa"/>
          </w:tcPr>
          <w:p w14:paraId="1AC1AB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12D7BC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большой разницей в наддувах моторов, достигающей на высоте</w:t>
            </w:r>
          </w:p>
        </w:tc>
      </w:tr>
      <w:tr w:rsidR="00A907A5" w:rsidRPr="00271E51" w14:paraId="71426EBF" w14:textId="77777777" w:rsidTr="00ED5B0A">
        <w:tc>
          <w:tcPr>
            <w:tcW w:w="3936" w:type="dxa"/>
          </w:tcPr>
          <w:p w14:paraId="34A373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7D884E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6600 м 100 мм рт. столба. Потеря высотности и разница</w:t>
            </w:r>
          </w:p>
        </w:tc>
      </w:tr>
      <w:tr w:rsidR="00A907A5" w:rsidRPr="00271E51" w14:paraId="68D3774B" w14:textId="77777777" w:rsidTr="00ED5B0A">
        <w:tc>
          <w:tcPr>
            <w:tcW w:w="3936" w:type="dxa"/>
          </w:tcPr>
          <w:p w14:paraId="1C9F82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E5AB4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высотности обоих моторов является следствием</w:t>
            </w:r>
          </w:p>
        </w:tc>
      </w:tr>
      <w:tr w:rsidR="00A907A5" w:rsidRPr="00271E51" w14:paraId="32F4451E" w14:textId="77777777" w:rsidTr="00ED5B0A">
        <w:tc>
          <w:tcPr>
            <w:tcW w:w="3936" w:type="dxa"/>
          </w:tcPr>
          <w:p w14:paraId="139455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CA221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неудовлетворительной конструкции заборного патрубка.</w:t>
            </w:r>
          </w:p>
        </w:tc>
      </w:tr>
      <w:tr w:rsidR="00A907A5" w:rsidRPr="00271E51" w14:paraId="4D482111" w14:textId="77777777" w:rsidTr="00ED5B0A">
        <w:tc>
          <w:tcPr>
            <w:tcW w:w="3936" w:type="dxa"/>
          </w:tcPr>
          <w:p w14:paraId="600C6F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5818DF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высотах порядка 6000 м, при полном наддуве мотора</w:t>
            </w:r>
          </w:p>
        </w:tc>
      </w:tr>
      <w:tr w:rsidR="00A907A5" w:rsidRPr="00271E51" w14:paraId="77EC3EF5" w14:textId="77777777" w:rsidTr="00ED5B0A">
        <w:tc>
          <w:tcPr>
            <w:tcW w:w="3936" w:type="dxa"/>
          </w:tcPr>
          <w:p w14:paraId="632973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840C5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вертикальная скорость равна 0.9-1 м/сек, что объясняется</w:t>
            </w:r>
          </w:p>
        </w:tc>
      </w:tr>
      <w:tr w:rsidR="00A907A5" w:rsidRPr="00271E51" w14:paraId="17FD0F21" w14:textId="77777777" w:rsidTr="00ED5B0A">
        <w:tc>
          <w:tcPr>
            <w:tcW w:w="3936" w:type="dxa"/>
          </w:tcPr>
          <w:p w14:paraId="3D3837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0ADD6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неудачным подбором винтов (ВИШ-23) к ММ-88Б с ТК-3 (1783,178)</w:t>
            </w:r>
          </w:p>
        </w:tc>
      </w:tr>
      <w:tr w:rsidR="00A907A5" w:rsidRPr="00271E51" w14:paraId="0ED6E577" w14:textId="77777777" w:rsidTr="00ED5B0A">
        <w:tc>
          <w:tcPr>
            <w:tcW w:w="3936" w:type="dxa"/>
          </w:tcPr>
          <w:p w14:paraId="623A15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95C23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самолете Ил-4 N 316 в полете возникают прогрессирующие</w:t>
            </w:r>
          </w:p>
        </w:tc>
      </w:tr>
      <w:tr w:rsidR="00A907A5" w:rsidRPr="00271E51" w14:paraId="0FD010BB" w14:textId="77777777" w:rsidTr="00ED5B0A">
        <w:tc>
          <w:tcPr>
            <w:tcW w:w="3936" w:type="dxa"/>
          </w:tcPr>
          <w:p w14:paraId="652DC6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81A30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полета к полету вибрации хвостового оперения и обшивки</w:t>
            </w:r>
          </w:p>
        </w:tc>
      </w:tr>
      <w:tr w:rsidR="00A907A5" w:rsidRPr="00271E51" w14:paraId="05CD72F3" w14:textId="77777777" w:rsidTr="00ED5B0A">
        <w:tc>
          <w:tcPr>
            <w:tcW w:w="3936" w:type="dxa"/>
          </w:tcPr>
          <w:p w14:paraId="3C1E95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7C6D3D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фюзеляжа.</w:t>
            </w:r>
          </w:p>
        </w:tc>
      </w:tr>
      <w:tr w:rsidR="00A907A5" w:rsidRPr="00271E51" w14:paraId="724A9962" w14:textId="77777777" w:rsidTr="00ED5B0A">
        <w:tc>
          <w:tcPr>
            <w:tcW w:w="3936" w:type="dxa"/>
          </w:tcPr>
          <w:p w14:paraId="35BF94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11BBF2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Проводятся исследования в полете причин и характера вибрации.</w:t>
            </w:r>
          </w:p>
        </w:tc>
      </w:tr>
      <w:tr w:rsidR="00A907A5" w:rsidRPr="00271E51" w14:paraId="43139825" w14:textId="77777777" w:rsidTr="00ED5B0A">
        <w:tc>
          <w:tcPr>
            <w:tcW w:w="3936" w:type="dxa"/>
          </w:tcPr>
          <w:p w14:paraId="32EB2D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механизма винтов</w:t>
            </w:r>
          </w:p>
        </w:tc>
        <w:tc>
          <w:tcPr>
            <w:tcW w:w="6662" w:type="dxa"/>
          </w:tcPr>
          <w:p w14:paraId="03432C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механизма винтов ВИШ-23Д-82 и</w:t>
            </w:r>
          </w:p>
        </w:tc>
      </w:tr>
      <w:tr w:rsidR="00A907A5" w:rsidRPr="00271E51" w14:paraId="06FB54AA" w14:textId="77777777" w:rsidTr="00ED5B0A">
        <w:tc>
          <w:tcPr>
            <w:tcW w:w="3936" w:type="dxa"/>
          </w:tcPr>
          <w:p w14:paraId="61C088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ВИШ-23Д-82 завода 383 на</w:t>
            </w:r>
          </w:p>
        </w:tc>
        <w:tc>
          <w:tcPr>
            <w:tcW w:w="6662" w:type="dxa"/>
          </w:tcPr>
          <w:p w14:paraId="324B1F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проверена возможность полета самолета на одном моторе с этими</w:t>
            </w:r>
          </w:p>
        </w:tc>
      </w:tr>
      <w:tr w:rsidR="00A907A5" w:rsidRPr="00271E51" w14:paraId="748D1A93" w14:textId="77777777" w:rsidTr="00ED5B0A">
        <w:tc>
          <w:tcPr>
            <w:tcW w:w="3936" w:type="dxa"/>
          </w:tcPr>
          <w:p w14:paraId="72EBB2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самолете Ил-4 с М-88Б</w:t>
            </w:r>
          </w:p>
        </w:tc>
        <w:tc>
          <w:tcPr>
            <w:tcW w:w="6662" w:type="dxa"/>
          </w:tcPr>
          <w:p w14:paraId="573A5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винтами.</w:t>
            </w:r>
          </w:p>
        </w:tc>
      </w:tr>
      <w:tr w:rsidR="00A907A5" w:rsidRPr="00271E51" w14:paraId="434E993C" w14:textId="77777777" w:rsidTr="00ED5B0A">
        <w:tc>
          <w:tcPr>
            <w:tcW w:w="3936" w:type="dxa"/>
          </w:tcPr>
          <w:p w14:paraId="644176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E61A6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при даче газа винты</w:t>
            </w:r>
          </w:p>
        </w:tc>
      </w:tr>
      <w:tr w:rsidR="00A907A5" w:rsidRPr="00271E51" w14:paraId="18E94974" w14:textId="77777777" w:rsidTr="00ED5B0A">
        <w:tc>
          <w:tcPr>
            <w:tcW w:w="3936" w:type="dxa"/>
          </w:tcPr>
          <w:p w14:paraId="39596E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6E8B8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дают заброс оборотов на 200 об./мин. больше, чем заброс у</w:t>
            </w:r>
          </w:p>
        </w:tc>
      </w:tr>
      <w:tr w:rsidR="00A907A5" w:rsidRPr="00271E51" w14:paraId="1380FBDA" w14:textId="77777777" w:rsidTr="00ED5B0A">
        <w:tc>
          <w:tcPr>
            <w:tcW w:w="3936" w:type="dxa"/>
          </w:tcPr>
          <w:p w14:paraId="48B397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CBE16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серийных винтов ВИШ-23. При уборке газа винты не дают заброса</w:t>
            </w:r>
          </w:p>
        </w:tc>
      </w:tr>
      <w:tr w:rsidR="00A907A5" w:rsidRPr="00271E51" w14:paraId="0C985E7E" w14:textId="77777777" w:rsidTr="00ED5B0A">
        <w:tc>
          <w:tcPr>
            <w:tcW w:w="3936" w:type="dxa"/>
          </w:tcPr>
          <w:p w14:paraId="564A97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06A540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оборотов.</w:t>
            </w:r>
          </w:p>
        </w:tc>
      </w:tr>
      <w:tr w:rsidR="00A907A5" w:rsidRPr="00271E51" w14:paraId="4C0DECE4" w14:textId="77777777" w:rsidTr="00ED5B0A">
        <w:tc>
          <w:tcPr>
            <w:tcW w:w="3936" w:type="dxa"/>
          </w:tcPr>
          <w:p w14:paraId="4C6DBA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8A138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на одном моторе без снижения возможен только на скорости</w:t>
            </w:r>
          </w:p>
        </w:tc>
      </w:tr>
      <w:tr w:rsidR="00A907A5" w:rsidRPr="00271E51" w14:paraId="3F297AE9" w14:textId="77777777" w:rsidTr="00ED5B0A">
        <w:tc>
          <w:tcPr>
            <w:tcW w:w="3936" w:type="dxa"/>
          </w:tcPr>
          <w:p w14:paraId="4D45B2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05DB0A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 км/час по прибору, в то время как с серийными винтами ВИШ-23</w:t>
            </w:r>
          </w:p>
        </w:tc>
      </w:tr>
      <w:tr w:rsidR="00A907A5" w:rsidRPr="00271E51" w14:paraId="43C13F17" w14:textId="77777777" w:rsidTr="00ED5B0A">
        <w:tc>
          <w:tcPr>
            <w:tcW w:w="3936" w:type="dxa"/>
          </w:tcPr>
          <w:p w14:paraId="355D1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E4B8F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на одном моторе возможен в диапазоне скоростей 170-200 км/час</w:t>
            </w:r>
          </w:p>
        </w:tc>
      </w:tr>
      <w:tr w:rsidR="00A907A5" w:rsidRPr="00271E51" w14:paraId="7CF9AA60" w14:textId="77777777" w:rsidTr="00ED5B0A">
        <w:tc>
          <w:tcPr>
            <w:tcW w:w="3936" w:type="dxa"/>
          </w:tcPr>
          <w:p w14:paraId="679E2B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9FB69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прибору.</w:t>
            </w:r>
          </w:p>
        </w:tc>
      </w:tr>
      <w:tr w:rsidR="00A907A5" w:rsidRPr="00271E51" w14:paraId="2845D2C9" w14:textId="77777777" w:rsidTr="00ED5B0A">
        <w:tc>
          <w:tcPr>
            <w:tcW w:w="3936" w:type="dxa"/>
          </w:tcPr>
          <w:p w14:paraId="110A2D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E8D92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самолета с винтом ВИШ-23Д-82 уменьшается на</w:t>
            </w:r>
          </w:p>
        </w:tc>
      </w:tr>
      <w:tr w:rsidR="00A907A5" w:rsidRPr="00271E51" w14:paraId="754F8C92" w14:textId="77777777" w:rsidTr="00ED5B0A">
        <w:tc>
          <w:tcPr>
            <w:tcW w:w="3936" w:type="dxa"/>
          </w:tcPr>
          <w:p w14:paraId="19B43C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28A0E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 км/час по сравнению с винтами ВИШ-23, время набора высоты</w:t>
            </w:r>
          </w:p>
        </w:tc>
      </w:tr>
      <w:tr w:rsidR="00A907A5" w:rsidRPr="00271E51" w14:paraId="2723BC17" w14:textId="77777777" w:rsidTr="00ED5B0A">
        <w:tc>
          <w:tcPr>
            <w:tcW w:w="3936" w:type="dxa"/>
          </w:tcPr>
          <w:p w14:paraId="07D0B9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D606C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 увеличивается на 174 мин., разбег уменьшается на 80-90 м.</w:t>
            </w:r>
          </w:p>
        </w:tc>
      </w:tr>
      <w:tr w:rsidR="00A907A5" w:rsidRPr="00271E51" w14:paraId="2F5B57E2" w14:textId="77777777" w:rsidTr="00ED5B0A">
        <w:tc>
          <w:tcPr>
            <w:tcW w:w="3936" w:type="dxa"/>
          </w:tcPr>
          <w:p w14:paraId="20F39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3BF48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Вследствие недопустимого заброса оборотов при даче газа и</w:t>
            </w:r>
          </w:p>
        </w:tc>
      </w:tr>
      <w:tr w:rsidR="00A907A5" w:rsidRPr="00271E51" w14:paraId="603C64CA" w14:textId="77777777" w:rsidTr="00ED5B0A">
        <w:tc>
          <w:tcPr>
            <w:tcW w:w="3936" w:type="dxa"/>
          </w:tcPr>
          <w:p w14:paraId="5E4741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EA237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ухудшения летн. качеств самолета, особенно при полете на одном</w:t>
            </w:r>
          </w:p>
        </w:tc>
      </w:tr>
      <w:tr w:rsidR="00A907A5" w:rsidRPr="00271E51" w14:paraId="7DC822E2" w14:textId="77777777" w:rsidTr="00ED5B0A">
        <w:tc>
          <w:tcPr>
            <w:tcW w:w="3936" w:type="dxa"/>
          </w:tcPr>
          <w:p w14:paraId="07F382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3EE08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моторе, винты ВИШ-23Д-82 рекомендованы не могут быть для</w:t>
            </w:r>
          </w:p>
        </w:tc>
      </w:tr>
      <w:tr w:rsidR="00A907A5" w:rsidRPr="00271E51" w14:paraId="1F2FD952" w14:textId="77777777" w:rsidTr="00ED5B0A">
        <w:tc>
          <w:tcPr>
            <w:tcW w:w="3936" w:type="dxa"/>
          </w:tcPr>
          <w:p w14:paraId="01EF2D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FC04B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запуска в серию боевых самолетов.</w:t>
            </w:r>
          </w:p>
        </w:tc>
      </w:tr>
      <w:tr w:rsidR="00A907A5" w:rsidRPr="00271E51" w14:paraId="571B05A7" w14:textId="77777777" w:rsidTr="00ED5B0A">
        <w:tc>
          <w:tcPr>
            <w:tcW w:w="3936" w:type="dxa"/>
          </w:tcPr>
          <w:p w14:paraId="09B0CF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Улучшение управляемости самолета</w:t>
            </w:r>
          </w:p>
        </w:tc>
        <w:tc>
          <w:tcPr>
            <w:tcW w:w="6662" w:type="dxa"/>
          </w:tcPr>
          <w:p w14:paraId="5F2630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Разработаны мероприятия по улучшению управляемости</w:t>
            </w:r>
          </w:p>
        </w:tc>
      </w:tr>
      <w:tr w:rsidR="00A907A5" w:rsidRPr="00271E51" w14:paraId="1A4E73DC" w14:textId="77777777" w:rsidTr="00ED5B0A">
        <w:tc>
          <w:tcPr>
            <w:tcW w:w="3936" w:type="dxa"/>
          </w:tcPr>
          <w:p w14:paraId="42B4C0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М-88Б с винтами ВИШ-23</w:t>
            </w:r>
          </w:p>
        </w:tc>
        <w:tc>
          <w:tcPr>
            <w:tcW w:w="6662" w:type="dxa"/>
          </w:tcPr>
          <w:p w14:paraId="2B4F3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 Ил-4 при полете на одном моторе. В результате</w:t>
            </w:r>
          </w:p>
        </w:tc>
      </w:tr>
      <w:tr w:rsidR="00A907A5" w:rsidRPr="00271E51" w14:paraId="1A0C8D76" w14:textId="77777777" w:rsidTr="00ED5B0A">
        <w:tc>
          <w:tcPr>
            <w:tcW w:w="3936" w:type="dxa"/>
          </w:tcPr>
          <w:p w14:paraId="4EBF8C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полете на одном моторе</w:t>
            </w:r>
          </w:p>
        </w:tc>
        <w:tc>
          <w:tcPr>
            <w:tcW w:w="6662" w:type="dxa"/>
          </w:tcPr>
          <w:p w14:paraId="256E78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испытаний рекомендовано увеличить до 40% площадь триммера РН</w:t>
            </w:r>
          </w:p>
        </w:tc>
      </w:tr>
      <w:tr w:rsidR="00A907A5" w:rsidRPr="00271E51" w14:paraId="04F36A7F" w14:textId="77777777" w:rsidTr="00ED5B0A">
        <w:tc>
          <w:tcPr>
            <w:tcW w:w="3936" w:type="dxa"/>
          </w:tcPr>
          <w:p w14:paraId="6E9B9D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62E84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уменьшения нагрузок на педали при полете на одном моторе</w:t>
            </w:r>
          </w:p>
        </w:tc>
      </w:tr>
      <w:tr w:rsidR="00A907A5" w:rsidRPr="00271E51" w14:paraId="477E4BA2" w14:textId="77777777" w:rsidTr="00ED5B0A">
        <w:tc>
          <w:tcPr>
            <w:tcW w:w="3936" w:type="dxa"/>
          </w:tcPr>
          <w:p w14:paraId="094948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5B7F8E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(наклепки по длине триммера пластинки шириной 50 мм)</w:t>
            </w:r>
          </w:p>
        </w:tc>
      </w:tr>
      <w:tr w:rsidR="00A907A5" w:rsidRPr="00271E51" w14:paraId="3170C23A" w14:textId="77777777" w:rsidTr="00ED5B0A">
        <w:tc>
          <w:tcPr>
            <w:tcW w:w="3936" w:type="dxa"/>
          </w:tcPr>
          <w:p w14:paraId="532866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4FE8CF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полном отклонении увеличенного триммера и крене 3-5 гр. в</w:t>
            </w:r>
          </w:p>
        </w:tc>
      </w:tr>
      <w:tr w:rsidR="00A907A5" w:rsidRPr="00271E51" w14:paraId="5E7787A2" w14:textId="77777777" w:rsidTr="00ED5B0A">
        <w:tc>
          <w:tcPr>
            <w:tcW w:w="3936" w:type="dxa"/>
          </w:tcPr>
          <w:p w14:paraId="4DD7F3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70B4A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сторону работающего мотора нагрузки с педалей при полете</w:t>
            </w:r>
          </w:p>
        </w:tc>
      </w:tr>
      <w:tr w:rsidR="00A907A5" w:rsidRPr="00271E51" w14:paraId="3B311CBB" w14:textId="77777777" w:rsidTr="00ED5B0A">
        <w:tc>
          <w:tcPr>
            <w:tcW w:w="3936" w:type="dxa"/>
          </w:tcPr>
          <w:p w14:paraId="2A9B3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0B0D6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моторе полностью снимаются и возможен длительный</w:t>
            </w:r>
          </w:p>
        </w:tc>
      </w:tr>
      <w:tr w:rsidR="00A907A5" w:rsidRPr="00271E51" w14:paraId="097834AB" w14:textId="77777777" w:rsidTr="00ED5B0A">
        <w:tc>
          <w:tcPr>
            <w:tcW w:w="3936" w:type="dxa"/>
          </w:tcPr>
          <w:p w14:paraId="662810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62" w:type="dxa"/>
          </w:tcPr>
          <w:p w14:paraId="2A07D4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(1783,178)</w:t>
            </w:r>
          </w:p>
        </w:tc>
      </w:tr>
    </w:tbl>
    <w:p w14:paraId="638942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5E6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сентября 1943 г. проводились испытания самолета Су-6 в варианте истребителя бомбардировщиков. Было выполнено несколько полетов, но из-за постоянных отказов шасси и дефектов двигателя приняли решение испытания прекратить, а самолет передать на за</w:t>
      </w:r>
      <w:r w:rsidRPr="00271E51">
        <w:rPr>
          <w:rFonts w:ascii="Times New Roman" w:hAnsi="Times New Roman"/>
          <w:color w:val="000000" w:themeColor="text1"/>
          <w:sz w:val="16"/>
          <w:szCs w:val="16"/>
        </w:rPr>
        <w:softHyphen/>
        <w:t>вод № 289 для доработок гидросис</w:t>
      </w:r>
      <w:r w:rsidRPr="00271E51">
        <w:rPr>
          <w:rFonts w:ascii="Times New Roman" w:hAnsi="Times New Roman"/>
          <w:color w:val="000000" w:themeColor="text1"/>
          <w:sz w:val="16"/>
          <w:szCs w:val="16"/>
        </w:rPr>
        <w:softHyphen/>
        <w:t>темы шасси. Впоследствии испытания в варианте истребителя не возобнов</w:t>
      </w:r>
      <w:r w:rsidRPr="00271E51">
        <w:rPr>
          <w:rFonts w:ascii="Times New Roman" w:hAnsi="Times New Roman"/>
          <w:color w:val="000000" w:themeColor="text1"/>
          <w:sz w:val="16"/>
          <w:szCs w:val="16"/>
        </w:rPr>
        <w:softHyphen/>
        <w:t>лялись (10668).</w:t>
      </w:r>
    </w:p>
    <w:p w14:paraId="600634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1CD8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мотор АМ-42 впервые предъявили на государственные испыта</w:t>
      </w:r>
      <w:r w:rsidRPr="00271E51">
        <w:rPr>
          <w:rFonts w:ascii="Times New Roman" w:hAnsi="Times New Roman"/>
          <w:color w:val="000000" w:themeColor="text1"/>
          <w:sz w:val="16"/>
          <w:szCs w:val="16"/>
        </w:rPr>
        <w:softHyphen/>
        <w:t>ния, но пройти их не удалось — прого</w:t>
      </w:r>
      <w:r w:rsidRPr="00271E51">
        <w:rPr>
          <w:rFonts w:ascii="Times New Roman" w:hAnsi="Times New Roman"/>
          <w:color w:val="000000" w:themeColor="text1"/>
          <w:sz w:val="16"/>
          <w:szCs w:val="16"/>
        </w:rPr>
        <w:softHyphen/>
        <w:t>рели поршни. Пришлось прибегнуть к изменению их конструкции. Одновремен</w:t>
      </w:r>
      <w:r w:rsidRPr="00271E51">
        <w:rPr>
          <w:rFonts w:ascii="Times New Roman" w:hAnsi="Times New Roman"/>
          <w:color w:val="000000" w:themeColor="text1"/>
          <w:sz w:val="16"/>
          <w:szCs w:val="16"/>
        </w:rPr>
        <w:softHyphen/>
        <w:t>но были утолщены стенки гильз цилиндров и силовые шпильки блоков. Много возни вызвал карбюратор К-42БПА — пока добились его удовлетворительной работы на разных режимах (10680).</w:t>
      </w:r>
    </w:p>
    <w:p w14:paraId="129772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21FD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сентября 1943 испытывали Су-6, построенный в 1942. Гос. испытания были только в 1944 (155,23).</w:t>
      </w:r>
    </w:p>
    <w:p w14:paraId="4E0B5D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9466D"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изучив представленные материалы, военные специалисты достаточно объективно оценили и вполне справедливо поставив ли под сомнение возможность постройки 15000 «Пегасов» в течение года, главным образом, ввиду необеспеченности программы моторами М-11, которых необходимо было изго</w:t>
      </w:r>
      <w:r w:rsidRPr="00271E51">
        <w:rPr>
          <w:rFonts w:ascii="Times New Roman" w:hAnsi="Times New Roman"/>
          <w:color w:val="000000" w:themeColor="text1"/>
          <w:sz w:val="16"/>
          <w:szCs w:val="16"/>
        </w:rPr>
        <w:softHyphen/>
        <w:t>товить не менее 30000 единиц, а с учётом передачи некото</w:t>
      </w:r>
      <w:r w:rsidRPr="00271E51">
        <w:rPr>
          <w:rFonts w:ascii="Times New Roman" w:hAnsi="Times New Roman"/>
          <w:color w:val="000000" w:themeColor="text1"/>
          <w:sz w:val="16"/>
          <w:szCs w:val="16"/>
        </w:rPr>
        <w:softHyphen/>
        <w:t>рого количества в оборотный ремонтный фонд, и того боль</w:t>
      </w:r>
      <w:r w:rsidRPr="00271E51">
        <w:rPr>
          <w:rFonts w:ascii="Times New Roman" w:hAnsi="Times New Roman"/>
          <w:color w:val="000000" w:themeColor="text1"/>
          <w:sz w:val="16"/>
          <w:szCs w:val="16"/>
        </w:rPr>
        <w:softHyphen/>
        <w:t>ше. Для этого в системе НКАП требовалось создать новый мощный моторный завод, что было совершенно нереальным в условиях войны.</w:t>
      </w:r>
    </w:p>
    <w:p w14:paraId="6FDF7952"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виделись ипрактически непреодолимые в</w:t>
      </w:r>
      <w:r w:rsidRPr="00271E51">
        <w:rPr>
          <w:rStyle w:val="75pt"/>
          <w:rFonts w:ascii="Times New Roman" w:hAnsi="Times New Roman" w:cs="Times New Roman"/>
          <w:color w:val="000000" w:themeColor="text1"/>
          <w:sz w:val="16"/>
          <w:szCs w:val="16"/>
        </w:rPr>
        <w:t xml:space="preserve"> условиях войны трудности при формировании и боевом </w:t>
      </w:r>
      <w:r w:rsidRPr="00271E51">
        <w:rPr>
          <w:rFonts w:ascii="Times New Roman" w:hAnsi="Times New Roman"/>
          <w:color w:val="000000" w:themeColor="text1"/>
          <w:sz w:val="16"/>
          <w:szCs w:val="16"/>
        </w:rPr>
        <w:t>применении специальной про</w:t>
      </w:r>
      <w:bookmarkStart w:id="5" w:name="bookmark92"/>
      <w:r w:rsidRPr="00271E51">
        <w:rPr>
          <w:rFonts w:ascii="Times New Roman" w:hAnsi="Times New Roman"/>
          <w:color w:val="000000" w:themeColor="text1"/>
          <w:sz w:val="16"/>
          <w:szCs w:val="16"/>
        </w:rPr>
        <w:t>тивотанковой воздушной ар</w:t>
      </w:r>
      <w:r w:rsidRPr="00271E51">
        <w:rPr>
          <w:rFonts w:ascii="Times New Roman" w:hAnsi="Times New Roman"/>
          <w:color w:val="000000" w:themeColor="text1"/>
          <w:sz w:val="16"/>
          <w:szCs w:val="16"/>
        </w:rPr>
        <w:softHyphen/>
        <w:t>мии. Причём на первый план</w:t>
      </w:r>
      <w:bookmarkEnd w:id="5"/>
      <w:r w:rsidRPr="00271E51">
        <w:rPr>
          <w:rFonts w:ascii="Times New Roman" w:hAnsi="Times New Roman"/>
          <w:color w:val="000000" w:themeColor="text1"/>
          <w:sz w:val="16"/>
          <w:szCs w:val="16"/>
        </w:rPr>
        <w:t xml:space="preserve"> выходили даже не технические и организационные проблемы, связанные с насыщением но</w:t>
      </w:r>
      <w:r w:rsidRPr="00271E51">
        <w:rPr>
          <w:rFonts w:ascii="Times New Roman" w:hAnsi="Times New Roman"/>
          <w:color w:val="000000" w:themeColor="text1"/>
          <w:sz w:val="16"/>
          <w:szCs w:val="16"/>
        </w:rPr>
        <w:softHyphen/>
        <w:t>вого формирования матери</w:t>
      </w:r>
      <w:r w:rsidRPr="00271E51">
        <w:rPr>
          <w:rFonts w:ascii="Times New Roman" w:hAnsi="Times New Roman"/>
          <w:color w:val="000000" w:themeColor="text1"/>
          <w:sz w:val="16"/>
          <w:szCs w:val="16"/>
        </w:rPr>
        <w:softHyphen/>
        <w:t>альной частью и обеспечением поддержания такой огромной массы самолётов в боеготовом состоянии, а проблемы ком</w:t>
      </w:r>
      <w:r w:rsidRPr="00271E51">
        <w:rPr>
          <w:rFonts w:ascii="Times New Roman" w:hAnsi="Times New Roman"/>
          <w:color w:val="000000" w:themeColor="text1"/>
          <w:sz w:val="16"/>
          <w:szCs w:val="16"/>
        </w:rPr>
        <w:softHyphen/>
        <w:t>плектования и подготовки лич</w:t>
      </w:r>
      <w:r w:rsidRPr="00271E51">
        <w:rPr>
          <w:rFonts w:ascii="Times New Roman" w:hAnsi="Times New Roman"/>
          <w:color w:val="000000" w:themeColor="text1"/>
          <w:sz w:val="16"/>
          <w:szCs w:val="16"/>
        </w:rPr>
        <w:softHyphen/>
        <w:t>ного состава.</w:t>
      </w:r>
    </w:p>
    <w:p w14:paraId="6B3E21B1"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15000 са</w:t>
      </w:r>
      <w:r w:rsidRPr="00271E51">
        <w:rPr>
          <w:rFonts w:ascii="Times New Roman" w:hAnsi="Times New Roman"/>
          <w:color w:val="000000" w:themeColor="text1"/>
          <w:sz w:val="16"/>
          <w:szCs w:val="16"/>
        </w:rPr>
        <w:softHyphen/>
        <w:t>молётов при 32-самолётном составе авиаполков (штат № 015/282) - это свыше 60000 (!) человек личного состава.</w:t>
      </w:r>
    </w:p>
    <w:p w14:paraId="499F7A83" w14:textId="77777777" w:rsidR="009376F4" w:rsidRPr="00271E51" w:rsidRDefault="009376F4" w:rsidP="00271E51">
      <w:pPr>
        <w:pStyle w:val="170"/>
        <w:framePr w:w="77" w:h="180" w:wrap="around" w:hAnchor="margin" w:x="4547" w:y="10744"/>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Я</w:t>
      </w:r>
    </w:p>
    <w:p w14:paraId="062BCD22"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Причём требовалось ото</w:t>
      </w:r>
      <w:r w:rsidRPr="00271E51">
        <w:rPr>
          <w:rFonts w:ascii="Times New Roman" w:hAnsi="Times New Roman"/>
          <w:color w:val="000000" w:themeColor="text1"/>
          <w:sz w:val="16"/>
          <w:szCs w:val="16"/>
        </w:rPr>
        <w:softHyphen/>
        <w:t>брать и обучить (хорошую стрелковую и тактическую под</w:t>
      </w:r>
      <w:r w:rsidRPr="00271E51">
        <w:rPr>
          <w:rFonts w:ascii="Times New Roman" w:hAnsi="Times New Roman"/>
          <w:color w:val="000000" w:themeColor="text1"/>
          <w:sz w:val="16"/>
          <w:szCs w:val="16"/>
        </w:rPr>
        <w:softHyphen/>
        <w:t>готовку никто не отменял вне зависимости от типа самолёта) не только 15000 лётчиков, но и командиров и штабы полков и дивизий, а на уровне штабов ВВС, воздушных армий и фрон</w:t>
      </w:r>
      <w:r w:rsidRPr="00271E51">
        <w:rPr>
          <w:rFonts w:ascii="Times New Roman" w:hAnsi="Times New Roman"/>
          <w:color w:val="000000" w:themeColor="text1"/>
          <w:sz w:val="16"/>
          <w:szCs w:val="16"/>
        </w:rPr>
        <w:softHyphen/>
        <w:t>тов проработать все вопросы взаимодействия армии проти</w:t>
      </w:r>
      <w:r w:rsidRPr="00271E51">
        <w:rPr>
          <w:rFonts w:ascii="Times New Roman" w:hAnsi="Times New Roman"/>
          <w:color w:val="000000" w:themeColor="text1"/>
          <w:sz w:val="16"/>
          <w:szCs w:val="16"/>
        </w:rPr>
        <w:softHyphen/>
        <w:t>вотанковых «Пегасов».</w:t>
      </w:r>
    </w:p>
    <w:p w14:paraId="59694726" w14:textId="7E0F8CA0" w:rsidR="009376F4" w:rsidRPr="00271E51" w:rsidRDefault="009376F4" w:rsidP="00271E51">
      <w:pPr>
        <w:spacing w:after="0" w:line="240" w:lineRule="auto"/>
        <w:jc w:val="both"/>
        <w:rPr>
          <w:rStyle w:val="aff9"/>
          <w:rFonts w:ascii="Times New Roman" w:hAnsi="Times New Roman" w:cs="Times New Roman"/>
          <w:b w:val="0"/>
          <w:color w:val="000000" w:themeColor="text1"/>
          <w:spacing w:val="0"/>
          <w:sz w:val="16"/>
          <w:szCs w:val="16"/>
        </w:rPr>
      </w:pPr>
      <w:r w:rsidRPr="00271E51">
        <w:rPr>
          <w:rFonts w:ascii="Times New Roman" w:hAnsi="Times New Roman"/>
          <w:color w:val="000000" w:themeColor="text1"/>
          <w:sz w:val="16"/>
          <w:szCs w:val="16"/>
        </w:rPr>
        <w:t>И главное, подготовку та</w:t>
      </w:r>
      <w:r w:rsidRPr="00271E51">
        <w:rPr>
          <w:rFonts w:ascii="Times New Roman" w:hAnsi="Times New Roman"/>
          <w:color w:val="000000" w:themeColor="text1"/>
          <w:sz w:val="16"/>
          <w:szCs w:val="16"/>
        </w:rPr>
        <w:softHyphen/>
        <w:t>кого количества лётно-технического и командного состава следовало обеспечить дополнительно к существующим планам ВВС КА формирования и комплектования боевой авиации стоящими на вооружении</w:t>
      </w:r>
      <w:r w:rsidRPr="00271E51">
        <w:rPr>
          <w:rStyle w:val="aff6"/>
          <w:rFonts w:ascii="Times New Roman" w:eastAsia="Arial Unicode MS" w:hAnsi="Times New Roman" w:cs="Times New Roman"/>
          <w:i w:val="0"/>
          <w:color w:val="000000" w:themeColor="text1"/>
        </w:rPr>
        <w:t xml:space="preserve"> самолётами или</w:t>
      </w:r>
      <w:r w:rsidRPr="00271E51">
        <w:rPr>
          <w:rFonts w:ascii="Times New Roman" w:hAnsi="Times New Roman"/>
          <w:color w:val="000000" w:themeColor="text1"/>
          <w:sz w:val="16"/>
          <w:szCs w:val="16"/>
        </w:rPr>
        <w:t xml:space="preserve"> серьезно от</w:t>
      </w:r>
      <w:r w:rsidRPr="00271E51">
        <w:rPr>
          <w:rFonts w:ascii="Times New Roman" w:hAnsi="Times New Roman"/>
          <w:color w:val="000000" w:themeColor="text1"/>
          <w:sz w:val="16"/>
          <w:szCs w:val="16"/>
        </w:rPr>
        <w:softHyphen/>
        <w:t>корректировать последние в сторону их сокращения. В условиях войны этот шаг казался весьма рискованным.</w:t>
      </w:r>
    </w:p>
    <w:p w14:paraId="36DB66AE"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Вызывала сомнение и заявленная в проекте высокая боевая эффективность противотан</w:t>
      </w:r>
      <w:r w:rsidRPr="00271E51">
        <w:rPr>
          <w:rFonts w:ascii="Times New Roman" w:hAnsi="Times New Roman"/>
          <w:color w:val="000000" w:themeColor="text1"/>
          <w:sz w:val="16"/>
          <w:szCs w:val="16"/>
        </w:rPr>
        <w:softHyphen/>
        <w:t>кового самолёта. Небольшая скорость полёта повышала не только вероятность поражения бронетехники противника, но и самого самолёта огнем с земли. Бронекорпус более ско</w:t>
      </w:r>
      <w:r w:rsidRPr="00271E51">
        <w:rPr>
          <w:rFonts w:ascii="Times New Roman" w:hAnsi="Times New Roman"/>
          <w:color w:val="000000" w:themeColor="text1"/>
          <w:sz w:val="16"/>
          <w:szCs w:val="16"/>
        </w:rPr>
        <w:softHyphen/>
        <w:t>ростного штурмовика Ил-2 с толщиной брони 6-12 мм успешно пробивался бронебойными малокалиберными снарядами и крупнокалиберными пулями немецких зенитных и авиацион</w:t>
      </w:r>
      <w:r w:rsidRPr="00271E51">
        <w:rPr>
          <w:rFonts w:ascii="Times New Roman" w:hAnsi="Times New Roman"/>
          <w:color w:val="000000" w:themeColor="text1"/>
          <w:sz w:val="16"/>
          <w:szCs w:val="16"/>
        </w:rPr>
        <w:softHyphen/>
        <w:t>ных автоматов. Между тем бронирование кабины лётчика на самолёте «Пегас» принципи</w:t>
      </w:r>
      <w:r w:rsidRPr="00271E51">
        <w:rPr>
          <w:rFonts w:ascii="Times New Roman" w:hAnsi="Times New Roman"/>
          <w:color w:val="000000" w:themeColor="text1"/>
          <w:sz w:val="16"/>
          <w:szCs w:val="16"/>
        </w:rPr>
        <w:softHyphen/>
        <w:t>ально ненамного отличалось от</w:t>
      </w:r>
      <w:r w:rsidRPr="00271E51">
        <w:rPr>
          <w:rStyle w:val="6c"/>
          <w:rFonts w:ascii="Times New Roman" w:hAnsi="Times New Roman" w:cs="Times New Roman"/>
          <w:color w:val="000000" w:themeColor="text1"/>
          <w:sz w:val="16"/>
          <w:szCs w:val="16"/>
        </w:rPr>
        <w:t xml:space="preserve"> Ил</w:t>
      </w:r>
      <w:r w:rsidRPr="00271E51">
        <w:rPr>
          <w:rFonts w:ascii="Times New Roman" w:hAnsi="Times New Roman"/>
          <w:color w:val="000000" w:themeColor="text1"/>
          <w:sz w:val="16"/>
          <w:szCs w:val="16"/>
        </w:rPr>
        <w:t xml:space="preserve">-2. Схема бронирования и выбранные толщины брони, по мнению специалистов института, не обеспечивали надёжную защиту как от зенитного огня, так и от истребителей. К тому же моторы не бронировались. Протектор основных бензобаков, </w:t>
      </w:r>
      <w:r w:rsidRPr="00271E51">
        <w:rPr>
          <w:rFonts w:ascii="Times New Roman" w:hAnsi="Times New Roman"/>
          <w:color w:val="000000" w:themeColor="text1"/>
          <w:sz w:val="16"/>
          <w:szCs w:val="16"/>
        </w:rPr>
        <w:lastRenderedPageBreak/>
        <w:t>система нейтральных газов и противопожарные перегородки проектом не предусматривались. В то же время сброс бензобаков не исключал пожара, так как лётчик может своевременно не заметить возгорания.</w:t>
      </w:r>
    </w:p>
    <w:p w14:paraId="19FEEDF1"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очевидно, что в условиях интенсивных воздушных боев (по-другому и быть не мог</w:t>
      </w:r>
      <w:r w:rsidRPr="00271E51">
        <w:rPr>
          <w:rFonts w:ascii="Times New Roman" w:hAnsi="Times New Roman"/>
          <w:color w:val="000000" w:themeColor="text1"/>
          <w:sz w:val="16"/>
          <w:szCs w:val="16"/>
        </w:rPr>
        <w:softHyphen/>
        <w:t>ло, так как крупные массы танков действуют только на главном направлении удара, значит, имеют сильное прикрытие с воздуха) армады противотанковых «Пегасов» будут нести ог</w:t>
      </w:r>
      <w:r w:rsidRPr="00271E51">
        <w:rPr>
          <w:rFonts w:ascii="Times New Roman" w:hAnsi="Times New Roman"/>
          <w:color w:val="000000" w:themeColor="text1"/>
          <w:sz w:val="16"/>
          <w:szCs w:val="16"/>
        </w:rPr>
        <w:softHyphen/>
        <w:t>ромные потери от огня противника. Самолёт Томашевича виделся не столько полноценной противотанковой системой, сколько одноразовой, в лучшем случае, 2-3-х разовой боевой машиной. Но главное, с каждой потерей «Пегаса» терялся и лётный состав, в большинстве своём безвозвратно. Подготовка же лётчиков, как известно, дело затратное и продолжи</w:t>
      </w:r>
      <w:r w:rsidRPr="00271E51">
        <w:rPr>
          <w:rFonts w:ascii="Times New Roman" w:hAnsi="Times New Roman"/>
          <w:color w:val="000000" w:themeColor="text1"/>
          <w:sz w:val="16"/>
          <w:szCs w:val="16"/>
        </w:rPr>
        <w:softHyphen/>
        <w:t>тельное. Собственно, именно по этой причине командование ВВС КА и Ставка ВГК не решились на создание не только специальных противотанковых дивизий, как предлагалось Оперативным управлением штаба ВВС, но даже отдельных противотанковых полков. При интенсивных боях специально обученные лётчики погибают «в общей свалке» также часто, как и рядовые лётчики, не имеющие противотанковой подготовки.</w:t>
      </w:r>
    </w:p>
    <w:p w14:paraId="63FAEA06"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Положительной стороной самолёта «Пегас» считалось применение сменных составов оружия на подвесных мостах и лафетах, что расширяло круг тактических задач, решае</w:t>
      </w:r>
      <w:r w:rsidRPr="00271E51">
        <w:rPr>
          <w:rFonts w:ascii="Times New Roman" w:hAnsi="Times New Roman"/>
          <w:color w:val="000000" w:themeColor="text1"/>
          <w:sz w:val="16"/>
          <w:szCs w:val="16"/>
        </w:rPr>
        <w:softHyphen/>
        <w:t xml:space="preserve">мых самолётом. Из числа сменных комплектов вооружения наилучшими сочли варианты </w:t>
      </w:r>
      <w:r w:rsidRPr="00271E51">
        <w:rPr>
          <w:rStyle w:val="9pt"/>
          <w:rFonts w:ascii="Times New Roman" w:hAnsi="Times New Roman" w:cs="Times New Roman"/>
          <w:b w:val="0"/>
          <w:i w:val="0"/>
          <w:color w:val="000000" w:themeColor="text1"/>
          <w:sz w:val="16"/>
          <w:szCs w:val="16"/>
        </w:rPr>
        <w:t>с</w:t>
      </w:r>
      <w:r w:rsidRPr="00271E51">
        <w:rPr>
          <w:rFonts w:ascii="Times New Roman" w:hAnsi="Times New Roman"/>
          <w:color w:val="000000" w:themeColor="text1"/>
          <w:sz w:val="16"/>
          <w:szCs w:val="16"/>
        </w:rPr>
        <w:t xml:space="preserve"> пушкой калибра 37 мм, с ракетными снарядами (с бронебойной и</w:t>
      </w:r>
      <w:r w:rsidRPr="00271E51">
        <w:rPr>
          <w:rStyle w:val="9pt"/>
          <w:rFonts w:ascii="Times New Roman" w:hAnsi="Times New Roman" w:cs="Times New Roman"/>
          <w:b w:val="0"/>
          <w:i w:val="0"/>
          <w:color w:val="000000" w:themeColor="text1"/>
          <w:sz w:val="16"/>
          <w:szCs w:val="16"/>
        </w:rPr>
        <w:t xml:space="preserve"> осколочно</w:t>
      </w:r>
      <w:r w:rsidRPr="00271E51">
        <w:rPr>
          <w:rFonts w:ascii="Times New Roman" w:hAnsi="Times New Roman"/>
          <w:color w:val="000000" w:themeColor="text1"/>
          <w:sz w:val="16"/>
          <w:szCs w:val="16"/>
        </w:rPr>
        <w:t xml:space="preserve">-фугасной боевой частью) и бомбами. Но возможность использования 37 мм пушек с силой отдачи </w:t>
      </w:r>
      <w:r w:rsidRPr="00271E51">
        <w:rPr>
          <w:rStyle w:val="95pt0pt"/>
          <w:rFonts w:ascii="Times New Roman" w:eastAsia="Arial Unicode MS" w:hAnsi="Times New Roman" w:cs="Times New Roman"/>
          <w:b w:val="0"/>
          <w:color w:val="000000" w:themeColor="text1"/>
          <w:spacing w:val="0"/>
          <w:sz w:val="16"/>
          <w:szCs w:val="16"/>
        </w:rPr>
        <w:t>3000</w:t>
      </w:r>
      <w:r w:rsidRPr="00271E51">
        <w:rPr>
          <w:rFonts w:ascii="Times New Roman" w:hAnsi="Times New Roman"/>
          <w:color w:val="000000" w:themeColor="text1"/>
          <w:sz w:val="16"/>
          <w:szCs w:val="16"/>
        </w:rPr>
        <w:t>-5500 кГс на столь лёгком самолёте требовалось проверить реальными стрельбами в воздухе. Кроме этого, подвергли критике тандемное (друг за</w:t>
      </w:r>
      <w:r w:rsidRPr="00271E51">
        <w:rPr>
          <w:rStyle w:val="9pt"/>
          <w:rFonts w:ascii="Times New Roman" w:hAnsi="Times New Roman" w:cs="Times New Roman"/>
          <w:b w:val="0"/>
          <w:i w:val="0"/>
          <w:color w:val="000000" w:themeColor="text1"/>
          <w:sz w:val="16"/>
          <w:szCs w:val="16"/>
        </w:rPr>
        <w:t xml:space="preserve"> другом по</w:t>
      </w:r>
      <w:r w:rsidRPr="00271E51">
        <w:rPr>
          <w:rFonts w:ascii="Times New Roman" w:hAnsi="Times New Roman"/>
          <w:color w:val="000000" w:themeColor="text1"/>
          <w:sz w:val="16"/>
          <w:szCs w:val="16"/>
        </w:rPr>
        <w:t xml:space="preserve"> три</w:t>
      </w:r>
      <w:r w:rsidRPr="00271E51">
        <w:rPr>
          <w:rStyle w:val="9pt"/>
          <w:rFonts w:ascii="Times New Roman" w:hAnsi="Times New Roman" w:cs="Times New Roman"/>
          <w:b w:val="0"/>
          <w:i w:val="0"/>
          <w:color w:val="000000" w:themeColor="text1"/>
          <w:sz w:val="16"/>
          <w:szCs w:val="16"/>
        </w:rPr>
        <w:t xml:space="preserve"> в ряд) разме</w:t>
      </w:r>
      <w:r w:rsidRPr="00271E51">
        <w:rPr>
          <w:rStyle w:val="9pt"/>
          <w:rFonts w:ascii="Times New Roman" w:hAnsi="Times New Roman" w:cs="Times New Roman"/>
          <w:b w:val="0"/>
          <w:i w:val="0"/>
          <w:color w:val="000000" w:themeColor="text1"/>
          <w:sz w:val="16"/>
          <w:szCs w:val="16"/>
        </w:rPr>
        <w:softHyphen/>
        <w:t>щение девяти ракетных орудий. К этому времени на НИП АВ ВВС дважды проходили поли</w:t>
      </w:r>
      <w:r w:rsidRPr="00271E51">
        <w:rPr>
          <w:rStyle w:val="9pt"/>
          <w:rFonts w:ascii="Times New Roman" w:hAnsi="Times New Roman" w:cs="Times New Roman"/>
          <w:b w:val="0"/>
          <w:i w:val="0"/>
          <w:color w:val="000000" w:themeColor="text1"/>
          <w:sz w:val="16"/>
          <w:szCs w:val="16"/>
        </w:rPr>
        <w:softHyphen/>
        <w:t>гонные испытания ракетные</w:t>
      </w:r>
      <w:r w:rsidRPr="00271E51">
        <w:rPr>
          <w:rFonts w:ascii="Times New Roman" w:hAnsi="Times New Roman"/>
          <w:color w:val="000000" w:themeColor="text1"/>
          <w:sz w:val="16"/>
          <w:szCs w:val="16"/>
        </w:rPr>
        <w:t xml:space="preserve"> орудия тандемного типа</w:t>
      </w:r>
      <w:r w:rsidRPr="00271E51">
        <w:rPr>
          <w:rStyle w:val="9pt"/>
          <w:rFonts w:ascii="Times New Roman" w:hAnsi="Times New Roman" w:cs="Times New Roman"/>
          <w:b w:val="0"/>
          <w:i w:val="0"/>
          <w:color w:val="000000" w:themeColor="text1"/>
          <w:sz w:val="16"/>
          <w:szCs w:val="16"/>
        </w:rPr>
        <w:t xml:space="preserve"> РОТ</w:t>
      </w:r>
      <w:r w:rsidRPr="00271E51">
        <w:rPr>
          <w:rFonts w:ascii="Times New Roman" w:hAnsi="Times New Roman"/>
          <w:color w:val="000000" w:themeColor="text1"/>
          <w:sz w:val="16"/>
          <w:szCs w:val="16"/>
        </w:rPr>
        <w:t>-82</w:t>
      </w:r>
      <w:r w:rsidRPr="00271E51">
        <w:rPr>
          <w:rStyle w:val="9pt"/>
          <w:rFonts w:ascii="Times New Roman" w:hAnsi="Times New Roman" w:cs="Times New Roman"/>
          <w:b w:val="0"/>
          <w:i w:val="0"/>
          <w:color w:val="000000" w:themeColor="text1"/>
          <w:sz w:val="16"/>
          <w:szCs w:val="16"/>
        </w:rPr>
        <w:t xml:space="preserve"> (РО</w:t>
      </w:r>
      <w:r w:rsidRPr="00271E51">
        <w:rPr>
          <w:rFonts w:ascii="Times New Roman" w:hAnsi="Times New Roman"/>
          <w:color w:val="000000" w:themeColor="text1"/>
          <w:sz w:val="16"/>
          <w:szCs w:val="16"/>
        </w:rPr>
        <w:t>-82 тандем) по два</w:t>
      </w:r>
      <w:r w:rsidRPr="00271E51">
        <w:rPr>
          <w:rStyle w:val="9pt"/>
          <w:rFonts w:ascii="Times New Roman" w:hAnsi="Times New Roman" w:cs="Times New Roman"/>
          <w:b w:val="0"/>
          <w:i w:val="0"/>
          <w:color w:val="000000" w:themeColor="text1"/>
          <w:sz w:val="16"/>
          <w:szCs w:val="16"/>
        </w:rPr>
        <w:t xml:space="preserve"> РС</w:t>
      </w:r>
      <w:r w:rsidRPr="00271E51">
        <w:rPr>
          <w:rFonts w:ascii="Times New Roman" w:hAnsi="Times New Roman"/>
          <w:color w:val="000000" w:themeColor="text1"/>
          <w:sz w:val="16"/>
          <w:szCs w:val="16"/>
        </w:rPr>
        <w:t>-82 на</w:t>
      </w:r>
      <w:r w:rsidRPr="00271E51">
        <w:rPr>
          <w:rStyle w:val="7pt120"/>
          <w:rFonts w:ascii="Times New Roman" w:eastAsia="Arial Unicode MS" w:hAnsi="Times New Roman" w:cs="Times New Roman"/>
          <w:color w:val="000000" w:themeColor="text1"/>
          <w:w w:val="100"/>
          <w:sz w:val="16"/>
          <w:szCs w:val="16"/>
        </w:rPr>
        <w:t xml:space="preserve"> каждое орудие. И</w:t>
      </w:r>
      <w:r w:rsidRPr="00271E51">
        <w:rPr>
          <w:rStyle w:val="6c"/>
          <w:rFonts w:ascii="Times New Roman" w:hAnsi="Times New Roman" w:cs="Times New Roman"/>
          <w:color w:val="000000" w:themeColor="text1"/>
          <w:sz w:val="16"/>
          <w:szCs w:val="16"/>
        </w:rPr>
        <w:t xml:space="preserve"> оба</w:t>
      </w:r>
      <w:r w:rsidRPr="00271E51">
        <w:rPr>
          <w:rStyle w:val="7pt120"/>
          <w:rFonts w:ascii="Times New Roman" w:eastAsia="Arial Unicode MS" w:hAnsi="Times New Roman" w:cs="Times New Roman"/>
          <w:color w:val="000000" w:themeColor="text1"/>
          <w:w w:val="100"/>
          <w:sz w:val="16"/>
          <w:szCs w:val="16"/>
        </w:rPr>
        <w:t xml:space="preserve"> раза неудачно: под воздействием газовой струи переднего </w:t>
      </w:r>
      <w:r w:rsidRPr="00271E51">
        <w:rPr>
          <w:rStyle w:val="7pt120"/>
          <w:rFonts w:ascii="Times New Roman" w:eastAsia="Arial Unicode MS" w:hAnsi="Times New Roman" w:cs="Times New Roman"/>
          <w:color w:val="000000" w:themeColor="text1"/>
          <w:w w:val="100"/>
          <w:sz w:val="16"/>
          <w:szCs w:val="16"/>
          <w:lang w:val="en-US"/>
        </w:rPr>
        <w:t>PC</w:t>
      </w:r>
      <w:r w:rsidRPr="00271E51">
        <w:rPr>
          <w:rStyle w:val="7pt120"/>
          <w:rFonts w:ascii="Times New Roman" w:eastAsia="Arial Unicode MS" w:hAnsi="Times New Roman" w:cs="Times New Roman"/>
          <w:color w:val="000000" w:themeColor="text1"/>
          <w:w w:val="100"/>
          <w:sz w:val="16"/>
          <w:szCs w:val="16"/>
        </w:rPr>
        <w:t xml:space="preserve"> в м</w:t>
      </w:r>
      <w:r w:rsidRPr="00271E51">
        <w:rPr>
          <w:rFonts w:ascii="Times New Roman" w:hAnsi="Times New Roman"/>
          <w:color w:val="000000" w:themeColor="text1"/>
          <w:sz w:val="16"/>
          <w:szCs w:val="16"/>
        </w:rPr>
        <w:t>омент выстрела ветрянка взрывателя заднего снаряда деформировалась или даже срывалась совсем.</w:t>
      </w:r>
      <w:r w:rsidRPr="00271E51">
        <w:rPr>
          <w:rStyle w:val="7pt120"/>
          <w:rFonts w:ascii="Times New Roman" w:eastAsia="Arial Unicode MS" w:hAnsi="Times New Roman" w:cs="Times New Roman"/>
          <w:color w:val="000000" w:themeColor="text1"/>
          <w:w w:val="100"/>
          <w:sz w:val="16"/>
          <w:szCs w:val="16"/>
        </w:rPr>
        <w:t xml:space="preserve"> Установка предохранительной заслонки хотя и защищала</w:t>
      </w:r>
      <w:r w:rsidRPr="00271E51">
        <w:rPr>
          <w:rFonts w:ascii="Times New Roman" w:hAnsi="Times New Roman"/>
          <w:color w:val="000000" w:themeColor="text1"/>
          <w:sz w:val="16"/>
          <w:szCs w:val="16"/>
        </w:rPr>
        <w:t xml:space="preserve"> ветрянку</w:t>
      </w:r>
      <w:r w:rsidRPr="00271E51">
        <w:rPr>
          <w:rStyle w:val="7pt120"/>
          <w:rFonts w:ascii="Times New Roman" w:eastAsia="Arial Unicode MS" w:hAnsi="Times New Roman" w:cs="Times New Roman"/>
          <w:color w:val="000000" w:themeColor="text1"/>
          <w:w w:val="100"/>
          <w:sz w:val="16"/>
          <w:szCs w:val="16"/>
        </w:rPr>
        <w:t xml:space="preserve"> от</w:t>
      </w:r>
      <w:r w:rsidRPr="00271E51">
        <w:rPr>
          <w:rFonts w:ascii="Times New Roman" w:hAnsi="Times New Roman"/>
          <w:color w:val="000000" w:themeColor="text1"/>
          <w:sz w:val="16"/>
          <w:szCs w:val="16"/>
        </w:rPr>
        <w:t xml:space="preserve"> газовой струи, но создавала такую большую отдачу на ракетное орудие, что штатные крепёжные болты не выдерживали нагрузки и ломались. Поэтому рекомендовалось подвеску ракетных орудий сделать в один ряд даже за счёт сокращения их числа на самолёте. Общее мнение специалистов</w:t>
      </w:r>
      <w:r w:rsidRPr="00271E51">
        <w:rPr>
          <w:rStyle w:val="7pt120"/>
          <w:rFonts w:ascii="Times New Roman" w:eastAsia="Arial Unicode MS" w:hAnsi="Times New Roman" w:cs="Times New Roman"/>
          <w:color w:val="000000" w:themeColor="text1"/>
          <w:w w:val="100"/>
          <w:sz w:val="16"/>
          <w:szCs w:val="16"/>
        </w:rPr>
        <w:t xml:space="preserve"> НИИ ВВС</w:t>
      </w:r>
      <w:r w:rsidRPr="00271E51">
        <w:rPr>
          <w:rFonts w:ascii="Times New Roman" w:hAnsi="Times New Roman"/>
          <w:color w:val="000000" w:themeColor="text1"/>
          <w:sz w:val="16"/>
          <w:szCs w:val="16"/>
        </w:rPr>
        <w:t xml:space="preserve"> сводилось к тому, что боевой «Пегас» для массовой и противотанковой авиации малопригоден для применения на фронте, а идея создания (тивотанковой армии такой численности находится за гранью разумного риска.</w:t>
      </w:r>
      <w:r w:rsidRPr="00271E51">
        <w:rPr>
          <w:rStyle w:val="7pt120"/>
          <w:rFonts w:ascii="Times New Roman" w:eastAsia="Arial Unicode MS" w:hAnsi="Times New Roman" w:cs="Times New Roman"/>
          <w:color w:val="000000" w:themeColor="text1"/>
          <w:w w:val="100"/>
          <w:sz w:val="16"/>
          <w:szCs w:val="16"/>
        </w:rPr>
        <w:t xml:space="preserve"> В</w:t>
      </w:r>
      <w:r w:rsidRPr="00271E51">
        <w:rPr>
          <w:rFonts w:ascii="Times New Roman" w:hAnsi="Times New Roman"/>
          <w:color w:val="000000" w:themeColor="text1"/>
          <w:sz w:val="16"/>
          <w:szCs w:val="16"/>
        </w:rPr>
        <w:t xml:space="preserve"> то же время, учитывая известную заинтересованность в продвижении самолёта «Пегас» рукоства</w:t>
      </w:r>
      <w:r w:rsidRPr="00271E51">
        <w:rPr>
          <w:rStyle w:val="7pt120"/>
          <w:rFonts w:ascii="Times New Roman" w:eastAsia="Arial Unicode MS" w:hAnsi="Times New Roman" w:cs="Times New Roman"/>
          <w:color w:val="000000" w:themeColor="text1"/>
          <w:w w:val="100"/>
          <w:sz w:val="16"/>
          <w:szCs w:val="16"/>
        </w:rPr>
        <w:t xml:space="preserve"> НКВД,</w:t>
      </w:r>
      <w:r w:rsidRPr="00271E51">
        <w:rPr>
          <w:rFonts w:ascii="Times New Roman" w:hAnsi="Times New Roman"/>
          <w:color w:val="000000" w:themeColor="text1"/>
          <w:sz w:val="16"/>
          <w:szCs w:val="16"/>
        </w:rPr>
        <w:t xml:space="preserve"> приходилось быть предельно осторожными.</w:t>
      </w:r>
      <w:r w:rsidRPr="00271E51">
        <w:rPr>
          <w:rStyle w:val="7pt120"/>
          <w:rFonts w:ascii="Times New Roman" w:eastAsia="Arial Unicode MS" w:hAnsi="Times New Roman" w:cs="Times New Roman"/>
          <w:color w:val="000000" w:themeColor="text1"/>
          <w:w w:val="100"/>
          <w:sz w:val="16"/>
          <w:szCs w:val="16"/>
        </w:rPr>
        <w:t xml:space="preserve"> В</w:t>
      </w:r>
      <w:r w:rsidRPr="00271E51">
        <w:rPr>
          <w:rFonts w:ascii="Times New Roman" w:hAnsi="Times New Roman"/>
          <w:color w:val="000000" w:themeColor="text1"/>
          <w:sz w:val="16"/>
          <w:szCs w:val="16"/>
        </w:rPr>
        <w:t xml:space="preserve"> официальном заключении по вставленным</w:t>
      </w:r>
      <w:r w:rsidRPr="00271E51">
        <w:rPr>
          <w:rStyle w:val="7pt120"/>
          <w:rFonts w:ascii="Times New Roman" w:eastAsia="Arial Unicode MS" w:hAnsi="Times New Roman" w:cs="Times New Roman"/>
          <w:color w:val="000000" w:themeColor="text1"/>
          <w:w w:val="100"/>
          <w:sz w:val="16"/>
          <w:szCs w:val="16"/>
        </w:rPr>
        <w:t xml:space="preserve"> ЦКБ-29</w:t>
      </w:r>
      <w:r w:rsidRPr="00271E51">
        <w:rPr>
          <w:rFonts w:ascii="Times New Roman" w:hAnsi="Times New Roman"/>
          <w:color w:val="000000" w:themeColor="text1"/>
          <w:sz w:val="16"/>
          <w:szCs w:val="16"/>
        </w:rPr>
        <w:t xml:space="preserve"> материалам отмечалось, что самолёт Томашевича представляет ерес для</w:t>
      </w:r>
      <w:r w:rsidRPr="00271E51">
        <w:rPr>
          <w:rStyle w:val="7pt120"/>
          <w:rFonts w:ascii="Times New Roman" w:eastAsia="Arial Unicode MS" w:hAnsi="Times New Roman" w:cs="Times New Roman"/>
          <w:color w:val="000000" w:themeColor="text1"/>
          <w:w w:val="100"/>
          <w:sz w:val="16"/>
          <w:szCs w:val="16"/>
        </w:rPr>
        <w:t xml:space="preserve"> ВВС КА,</w:t>
      </w:r>
      <w:r w:rsidRPr="00271E51">
        <w:rPr>
          <w:rFonts w:ascii="Times New Roman" w:hAnsi="Times New Roman"/>
          <w:color w:val="000000" w:themeColor="text1"/>
          <w:sz w:val="16"/>
          <w:szCs w:val="16"/>
        </w:rPr>
        <w:t xml:space="preserve"> но «вопрос о развертывании работ по массовой постройке» жёстко зывался с результатами проверки тактических и лётных свойств, вопросов живучести и отботки вооружения пяти опытных «Пегасов».</w:t>
      </w:r>
    </w:p>
    <w:p w14:paraId="2BF0E037"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показали дальнейшие события, официального заказа ВВС КА на постройку даже 1ытных экземпляров самолёта «Пегас» в НКАП так и не последовало. Тем временем проект Д.Л. Томашевича был доложен И.В. Сталину и вызвал его непод- чьную заинтересованность. Особенно Сталину понравилась возможность за короткий ж изготовить большое количество самолётов этого типа с темпом выпуска около 100 самолётов в день, быстро освоить их лётчиками и массированно применить на фронте, морально раздавив с воздуха танки и мотопехоту противника.</w:t>
      </w:r>
    </w:p>
    <w:p w14:paraId="52D6775E"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такие положительные стороны проекта «Пегас», как сварная бронекабина простых форм, сменные варианты вооружения, упрощённая технология изготовления, даже рассматривался вопрос о реализации ряда предложений ЦКБ-29 на серийном лёгком транспортном самолёте Як-6 2М-11ф. Впрочем, без особого результата. Главный конструк</w:t>
      </w:r>
      <w:r w:rsidRPr="00271E51">
        <w:rPr>
          <w:rFonts w:ascii="Times New Roman" w:hAnsi="Times New Roman"/>
          <w:color w:val="000000" w:themeColor="text1"/>
          <w:sz w:val="16"/>
          <w:szCs w:val="16"/>
        </w:rPr>
        <w:softHyphen/>
        <w:t>тор Як-6 - заместитель наркомавиапрома А.С. Яковлев, быстро осознав, чем эта затея может закончиться, своевременно от нее дистанцировался (Як-6 был довольно строгим в пилотировании и молодые лётчики с недостаточной подготовкой на нем частенько бились). Дальше оценки технической возможности доработки Як-6 в самолёт истребления танков дело не пошло (15846).</w:t>
      </w:r>
    </w:p>
    <w:p w14:paraId="08AE45BE"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20B62F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летчик А.Д. Алексеев испытал Ер-2 с Х-образными двигателями МБ-100, но этот самолет так и остался в разряде опытных (11994).</w:t>
      </w:r>
    </w:p>
    <w:p w14:paraId="0845C1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C92ED" w14:textId="77777777" w:rsidR="009376F4" w:rsidRPr="00271E51" w:rsidRDefault="009376F4" w:rsidP="00271E51">
      <w:pPr>
        <w:pStyle w:val="rteindent11"/>
        <w:shd w:val="clear" w:color="auto" w:fill="FFFFFF"/>
        <w:spacing w:before="0" w:beforeAutospacing="0" w:after="0"/>
        <w:ind w:left="0" w:firstLine="0"/>
        <w:rPr>
          <w:rStyle w:val="a7"/>
          <w:b w:val="0"/>
          <w:color w:val="000000" w:themeColor="text1"/>
          <w:sz w:val="16"/>
          <w:szCs w:val="16"/>
        </w:rPr>
      </w:pPr>
      <w:r w:rsidRPr="00271E51">
        <w:rPr>
          <w:rStyle w:val="a7"/>
          <w:b w:val="0"/>
          <w:color w:val="000000" w:themeColor="text1"/>
          <w:sz w:val="16"/>
          <w:szCs w:val="16"/>
        </w:rPr>
        <w:t>В сентябре 1943 года согласно Постановлению ГКО № 4170сс и соответствующего приказа НКАП, завод № 39 приступает к организации серийного производства дальнего бомбардировщика Ер-2, разработанного в ОКБ В.Г. Ермолаева (15223).</w:t>
      </w:r>
    </w:p>
    <w:p w14:paraId="1E3D88FC" w14:textId="77777777" w:rsidR="009376F4" w:rsidRPr="00271E51" w:rsidRDefault="009376F4" w:rsidP="00271E51">
      <w:pPr>
        <w:pStyle w:val="rteindent11"/>
        <w:shd w:val="clear" w:color="auto" w:fill="FFFFFF"/>
        <w:spacing w:before="0" w:beforeAutospacing="0" w:after="0"/>
        <w:ind w:left="0" w:firstLine="0"/>
        <w:rPr>
          <w:rStyle w:val="a7"/>
          <w:b w:val="0"/>
          <w:color w:val="000000" w:themeColor="text1"/>
          <w:sz w:val="16"/>
          <w:szCs w:val="16"/>
        </w:rPr>
      </w:pPr>
    </w:p>
    <w:p w14:paraId="39BCDA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 Задача была из разряда головоломных, поскольку никакой преемственности конструкции, естественно, не было.</w:t>
      </w:r>
    </w:p>
    <w:p w14:paraId="1D23C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Ер-2 представлял собой прямое развитие пассажирского самолета "Сталь-7" главного конструктора Р. Л. Бартини и, как следует из названия прототипа, в его конструкции была масса сварных агрегатов. Сам Р. Л. Бартини в январе 1938 г. был арестован и не принимал участие в постройке и испытаниях самолета Летчики и механики</w:t>
      </w:r>
      <w:r w:rsidRPr="00271E51">
        <w:rPr>
          <w:rFonts w:ascii="Times New Roman" w:hAnsi="Times New Roman"/>
          <w:color w:val="000000" w:themeColor="text1"/>
          <w:sz w:val="16"/>
          <w:szCs w:val="16"/>
        </w:rPr>
        <w:tab/>
        <w:t>"Сталь-7", который доводился и испытывался уже без него. Ведущим инженером по этой машине был назначен З.Б. Ценципер, с кото рым работал небольшой коллектив конструкторов: инженеры Н. В. Синелыциков, Т. К. Сверчевский, М. В. Орлов, В. В. Смирнов и В.Г. Ермолаев.(12037).</w:t>
      </w:r>
    </w:p>
    <w:p w14:paraId="7FD9EC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ABB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Последние ДБ-3 служили где-то до сентября 1943 г. СБ же пережили поражение Японии и даже участвовали в гражданской войне! Несколько самолетов входило в Северо-Западную смешанную эскадрилью чанкайшистов, базировавшуюся в Тихуа. В ноябре - декабре 1945 г. она поддерживала войска, оборонявшие город Паотао. С Б сбрасывали и бомбы, и грузы для осажденных. Последние китайские СБ закончили свою летную карьеру в начале 1946 г. По китайским данным, за 8 лет японско-китайской войны китайские ВВС получили 2351 иностранный самолет, в том числе 566 бомбардировщиков (322 советских: 292 - СБ, 24 - ДБ-3, 6 - ТБ-3 и 244 американских) (2958).</w:t>
      </w:r>
    </w:p>
    <w:p w14:paraId="41D2AF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432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заводом № 39 было получено задание параллельно с изготовлением ИЛ-4 организовать производство машины ЕР-2.</w:t>
      </w:r>
    </w:p>
    <w:p w14:paraId="7E0DA7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6CD37F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08C3D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5B7010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Головную машину ТУ-2 завод выпустил 30 июня 1947 года.</w:t>
      </w:r>
    </w:p>
    <w:p w14:paraId="7524DD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ТУ-2 завод выпускал в течение 1947-1949 гг.</w:t>
      </w:r>
    </w:p>
    <w:p w14:paraId="225EC1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282C10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3D8C8A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3B93C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04549A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 Гордин</w:t>
      </w:r>
    </w:p>
    <w:p w14:paraId="3CA5F0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Иркутская область, п/я 411</w:t>
      </w:r>
    </w:p>
    <w:p w14:paraId="44FD10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самолетостроение</w:t>
      </w:r>
    </w:p>
    <w:p w14:paraId="3B6155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2008A5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4EC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проводились гос. испытания Пе-2 N 12/206 22 завода с улучшенной аэродинамикой и М-105 ПФ и рекомендовали в серию (806,8).</w:t>
      </w:r>
    </w:p>
    <w:p w14:paraId="31705B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57A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на заводские испытания вышел Пе-2А - первый из вариантов переделки Пе-2, запланированных В.М.М., с М-105ПФ и ФЗ у штурмана - переделка из N 17/176. Желаемой скорости 540 км/час так и не получили, хотя реализовали почти все предложения ЦАГИ, опробованные при переделки серийной машины (2205,40).</w:t>
      </w:r>
    </w:p>
    <w:p w14:paraId="21C9F8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1FD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был утвержден отчет о контрольных испытаниях серийного самолета N 1/240 Пе-2-2ВК105ПФ (300,10).</w:t>
      </w:r>
    </w:p>
    <w:p w14:paraId="36512B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6A0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сентябре 1943 г. в НИИ ВВС была испытана "пешка" № 12/206, первая из серийных машин, на которых были реализованы предложения ЦАГИ. У земли этот </w:t>
      </w:r>
      <w:r w:rsidRPr="00271E51">
        <w:rPr>
          <w:rFonts w:ascii="Times New Roman" w:hAnsi="Times New Roman"/>
          <w:color w:val="000000" w:themeColor="text1"/>
          <w:sz w:val="16"/>
          <w:szCs w:val="16"/>
        </w:rPr>
        <w:lastRenderedPageBreak/>
        <w:t>самолет, выбранный, по свидетельству старшего военпреда завода инженера-подполковника Романова, методом "тыка" из серии, развил скорость 465 км/час, на первой границе высотности (2000 м) - 503 км/час, а на второй границе высотности (3700 м) - 524 км/час. Казалось бы, положение со скоростными показателями Пе-2 нормализовалось, ведь по тактико-техническим требованиям к этому самолету на 1943 г. была установлена контрольная цифра 528 км/час. Но Мясищев не обольщался - к середине 1943 г. требования к основному пикирующему бомбардировщику ВВС Красной Армии серьезно возросли (3542).</w:t>
      </w:r>
    </w:p>
    <w:p w14:paraId="105AC2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0E7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в НИИ ВВС была испытана "пешка" № 12/206, первая из серийных машин, на которых были реализованы предложения ЦАГИ. У земли этот самолет, выбранный, по свидетельству старшего военпреда завода инженер-подполковника Романова, методом "тыка" из серии, развил скорость 465 км/ч, на первой границе высотности (2000 м) - 503 км/ч, а на второй границе высотности (3700 м) - 524 км/ч. Казалось бы, положение со скоростными показателями Пе-2 нормализовалось, ведь по тактико-техническим требованиям к этому самолету на 1943 г. была установлена контрольная цифра 528 км/ч.</w:t>
      </w:r>
    </w:p>
    <w:p w14:paraId="43300D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Мясищев не обольщался - к середине 1943 г. требования к основному пикирующему бомбардировщику ВВС Красной Армии серьезно возросли. В августе 1943 г. он сформулировал обширную программу совершенствования боевых качеств пикировщика. Главный упор в ней был сделан на два основных направления: повышение скорости полета и увеличение бомбовой нагрузки. Владимир Михайлович отлично понимал, что для реализации программы необходимо иметь соответствующую техническую базу, притом не связанную с серийным выпуском.</w:t>
      </w:r>
    </w:p>
    <w:p w14:paraId="257A44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Отношения с директором завода № 22 Окуловым у Мясишева поначалу складывались трудно. Причиной тому был и властный, требовательный характер "хозяина" завода, и груз взаимоотношений с его прежним главным конструктором А. И. Путиловым, который, надо сказать, не ладил с директором. И все же Мясищев (не без помощи Наркомата авиапромышленности) "выбил" у занимающегося только серийным выпуском Окулова два цеховых пролета, рабочих и станки специально для опытного производства. Интуиция подсказала новому главному конструктору, что выбор нужной модификации пикировщика надо делать из многих вариантов. Поэтому одновременно конструкторы повели работу над модификациями Пе-2А с новой кабиной типа ФЗ, Пе-2Б с целым рядом аэродинамических усовершенствований, Пе-2В с измененным положением центроплана относительно фюзеляжа, Пе-4 и Пе-4А с моторами М-82Ф, Пе-2Д (Пе-6) с моторами М-107А. Впоследствии Мясищев занялся еще более глубокой переработкой Пе-2, создавая модификацию Пе-2И.</w:t>
      </w:r>
    </w:p>
    <w:p w14:paraId="5E941F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конструкцию серийных Пе-2 после крупных изменений, предпринятых в августе 1943 г., снова стали вносить усовершенствования. Так, с 249-й серии применили систему разжижения масла бензином, а на 265-й сменили радиостанцию РСБ-бис на РСБ-Збис, улучшив антенно-фидерную систему и резко увеличив дальность радиосвязи. На самолетах 275-й серии усилили оборону Пе-2 с хвоста - поставили гранатомет ДАГ-10 с десятью авиационными гранатами АГ-2. Выброшенная из самолета граната сначала тормозилась небольшим парашютом, а затем через 3-5 с разрывалась на пути преследующего истребителя. Установка гранатомета дала возможность стрелку "выкуривать" немцев из их любимой позиции при атаке на Пе-2 - строго сзади.</w:t>
      </w:r>
    </w:p>
    <w:p w14:paraId="737F80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июня 1944 г. самолеты 5-й гв. бад воспользовались гранатометами для отражения атаки истребителей FW 190А. Гранатами и пулеметным огнем стрелки поразили пять "фокке-вульфов". В некоторых полках гранатометы ставили на пикировщики и раньше. В 39-м орап довольно успешно пробовали стрелять гранатами АГ-2 и по автомашинам на дорогах, сбрасывая их с бреющего полета. Конечно, применение гранат не всегда давало результаты, и командование ВВС понимало недостаточность подобных мер (12042).</w:t>
      </w:r>
    </w:p>
    <w:p w14:paraId="7D6D41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D8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вышел на заводские испытания первый из запланированных вариантов - Пе-2А. Помимо заранее намеченных новшеств в его конструкции были реализованы и другие. Так, было изменено оперение: рули поворота стали прорезными, а с внешней стороны килей появились законцовки стабилизатора (что должно было улучшить обтекаемость). Трубки системы нейтрального газа полностью убрали внутрь крыла, всасывающие патрубки карбюраторов оборудовали врезными фильтрами, ввели аварийную механическую уборку тормозных решеток с помощью ручной лебедки.</w:t>
      </w:r>
    </w:p>
    <w:p w14:paraId="7BA28C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заводскому летчику капитану Васильченко не удалось получить запланированную максимальную скорость полета 540 км/ч. Машину пришлось дважды модифицировать, вводить все новые улучшения, но она постепенно отставала от серии, поэтому внимание Мясищева переключилось на другой объект - Пе-2Б, а самолет № 17/176 в дальнейшем переделали в его дублер. С течением времени перечень изменений, предусмотренных для Пе-2Б, также несколько пересматривался, но значение этого самолета, как наиболее реального претендента на роль эталона 1944 г., возрастало (4476).</w:t>
      </w:r>
    </w:p>
    <w:p w14:paraId="25E9F9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EA6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г., когда в НИИ ВВС закончились контрольные испытания учебного Пе-2 заводской № 10/231 с двумя моторами М-105ПФ и винтами ВИШ-61П, машину стали официально именовать УПе-2 (до этого применялись названия “Пе-2 учебный” или “Пе-2УТ”). “Сентябрьский” УПе-2 имел следующие основные летные данные: нормальный полетный вес 7344-7524 кг при экипаже 2-4 человека, максимальную скорость полета у земли 454 км/ч, на высоте 3600 м - 508 км/ч, время набора высоты 5000 м - 8,7 мин и практический потолок 8700 м. Всего в 1943 г. изготовили 107 УПе-2.</w:t>
      </w:r>
    </w:p>
    <w:p w14:paraId="5EF573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Учебные Пе-2 направлялись, главным образом, в 8-ю запасную авиационную бригаду (заб), где велась подготовка экипажей Пе-2, а также в летные школы ВВС (4476).</w:t>
      </w:r>
    </w:p>
    <w:p w14:paraId="096AA2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8F1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сентября 1943 г., когда в НИИ ВВС закончились контрольные испытания учебного Пе-2 заводской № 10/231 с двумя моторами М-105ПФ и винтами ВИШ-61П, машину стали официально именовать УПе-2 (до этого применялись названия "Пе-2 учебный" или "Пе-2УТ"), "Сентябрьский" УПе-2 имел следующие основные летные данные: нормальный полетный вес 7344-7524 кг при экипаже 2-4 человека, максимальная скорость полета у земли 454 км/ч, на высоте 3600 м - 508 км/ч, время набора высоты 5000 м - 8,7 мин и практический потолок 8700 м. Всего в 1943 г. изготовили 107 УПе-2.</w:t>
      </w:r>
    </w:p>
    <w:p w14:paraId="358D3A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Любопытная деталь: строившиеся параллельно самолеты Пе-2 варианта "разведчик" имели, как правило, первый номер в серии, а учебные самолеты - номера "10" или "20", т.е. замыкали серию или ее первую половину. В связи с тем, что учебный Пе-2 выпускался как бы "внутри" серии, то все ее особенности, включая марку моторов (на разведчики старались, по возможности, ставить М-105РА), измененную аэродинамику, размещение элементов конструкции и отдельных агрегатов, соответствовали параметрам обычного боевого Пе-2 того же периода выпуска, а сами машины обладали подобными же летными характеристиками.</w:t>
      </w:r>
    </w:p>
    <w:p w14:paraId="061449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Учебные Пе-2 направлялись, главным образом, в 8-ю запасную авиационную бригаду (заб), где велась подготовка экипажей Пе-2, а также в летные школы ВВС. В июле 1941 г. на базе Липецких авиационных курсов усовершенствования командиров эскадрилий ВВС КА сформировали Липецкий учебный центр с задачей переподготовки авиачастей на "пешки". Вплоть до октября, когда центр из-за приближения фронта пришлось перебазировать в Куйбышевскую область, в нем прошли переучивание 12 авиаполков и две отдельные эскадрильи.</w:t>
      </w:r>
    </w:p>
    <w:p w14:paraId="535ED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эксплуатации "пешек" летно-инст- рукторский состав 8-й заб сформулировал ряд предложений, направленных на усовершенствование конструкции учебного варианта машины. Инструкторы отмечали, что значительная часть налета УПе-2, в отличие от боевых машин, приходится на взлет и посадку, поскольку именно эти элементы отрабатывались наиболее тщательно. Полеты по продолжительности были короткими, и только что отработавшие на взлетном режиме моторы еще не успевали остыть, как вновь следовал взлет. В результате через три-четыре цикла температура воды поднималась выше нормы, и приходилось ждать, когда она остынет. Летом из-за этого терялось до 50% летного времени. В связи с вышесказанным и предлагалось установить на УПе-2 более мощные водяные и маслорадиаторы.</w:t>
      </w:r>
    </w:p>
    <w:p w14:paraId="78B28F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Недостатком учебного варианта Пе-2 являлось и неполное приборное оборудование в кабине инструктора. Так, отсутствие авиагоризонта сильно усложняло полеты в облаках и ночью. Летом моторы самолетов 8-й заб, базировавшейся в Нижнем Поволжье, сильно страдали от песка, попадавшего во всасывающие патрубки. Кстати, с этим явлением столкнулись еще раньше экипажи Пе-2 из состава ВВС Северного флота, где одна из посадочных площадок размещалась прямо на берегу моря вблизи песчаного пляжа. Еще одним недостатком УПе-2 было то, что зимой очень непросто оказывалось попасть в кабину инструктора по скользкой поверхности крыла. ОКО 22 рассмотрел предложения инструкторов и признал их полезными, но трудно реализуемыми. Серию решили не ломать и ограничиться лишь мелкими улучшениями типа установки подножки для подъема на крыло.</w:t>
      </w:r>
    </w:p>
    <w:p w14:paraId="7532F7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Вплоть до конца 1944 г. машина выпускалась без изменений. Но улучшение ситуации на фронте позволило,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путем снятия протекторов бензобаков, переднего пулемета ШКАС с боезапасом и бронирования кабин экипажа. Следовало радикально улучшить обзор из кабины инструктора, сдвинув ее максимально вперед и заменив фанерный обтекатель основной кабины прозрачным плексигласовым. Планировалось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нашли отражение в тактико-технических требованиях к самолету УПе-2 на 1945 г. Самолет этой модификации предназначался не только для переучивания,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 (12042).</w:t>
      </w:r>
    </w:p>
    <w:p w14:paraId="3F48B2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3F0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сентябре 1943 г. вышел на заводские испытания первый из запланированных вариантов модернизации Пе-2 - Пе-2А. Помимо заранее намеченных новшеств в его конструкции были реализованы и другие. Так, изменилось оперение: рули поворота стали прорезными, а с внешней стороны килей появились закон- цовки стабилизатора (что должно было улучшить обтекаемость). Трубки системы нейтрального газа полностью убрали внутрь крыла, всасывающие патрубки карбюраторов оборудовали врезными фильтрами, ввели аварийную механическую уборку тормозных решеток с помощью ручной лебедки. В заключении по испытаниям самолета </w:t>
      </w:r>
      <w:r w:rsidRPr="00271E51">
        <w:rPr>
          <w:rFonts w:ascii="Times New Roman" w:hAnsi="Times New Roman"/>
          <w:color w:val="000000" w:themeColor="text1"/>
          <w:sz w:val="16"/>
          <w:szCs w:val="16"/>
        </w:rPr>
        <w:lastRenderedPageBreak/>
        <w:t>Пе-2А отмечалось:</w:t>
      </w:r>
    </w:p>
    <w:p w14:paraId="4366D3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стал более скоростным.</w:t>
      </w:r>
    </w:p>
    <w:p w14:paraId="5ACAF8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Значительно повысились боевые качества самолета за счет увеличенного фонаря пилота и расширенной кабины штурмана..."</w:t>
      </w:r>
    </w:p>
    <w:p w14:paraId="37B423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все же в ходе испытаний заводскому летчику капитану А.Г. Васильченко не удалось получить намеченную максимальную скорость полета 540 км/ч. Машину пришлось дважды переделывать, вводить все новые улучшения, но она постепенно отставала от серии, поэтому внимание Мясищева переключилось на другой объект - Пе-2Б, а самолет зав. №17/176 в дальнейшем стал его дублером. С течением времени перечень изменений, предусмотренных для Пе-2Б, также несколько пересматривался, но значение этого самолета, как наиболее реального претендента на роль эталона 1944 г., возрастало. Постройка его, однако, затянулась и самолет подготовили к полетам только вдекабре 1943 г. От переноса маслорадиатора в крыло пришлось отказаться (в опытном цехе завода катастрофически не хватало рабочих, все силы бросили на выпуск серийных "пешек"), остался неизменным и профиль крыла серийного Пе-2. Всасывающий патрубок нагнетателя смонтировали в одном тоннеле с масло- радиатором - в "бороде" под редуктором мотора. На этом самолете реализовали почти все предложения ЦАГИ, опробованные при переделке серийной машины зав. № 19/205. В отличие от самолета, модифицированного институтом, Пе-2Б не имел "излишеств" (например, быстро разрушающейся шпатлевки, нанесенной на тонкую металлическую обшивку), но зато оборудовался новой кабиной пилота-штурмана с увеличенным фонарем и стрелковой установкой "ФЗ" (12042).</w:t>
      </w:r>
    </w:p>
    <w:p w14:paraId="14BD07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B9D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был подготовлен доклад Окулова о качестве Пе-2:</w:t>
      </w:r>
    </w:p>
    <w:p w14:paraId="485E9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«...Улучшения по сравнению с первоначальными образцами:</w:t>
      </w:r>
    </w:p>
    <w:p w14:paraId="6F5236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введены три 12,7 мм пулемета,</w:t>
      </w:r>
    </w:p>
    <w:p w14:paraId="3FF7C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дополнительные стрелковые боковые точки,</w:t>
      </w:r>
    </w:p>
    <w:p w14:paraId="20E224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новое бронирование,</w:t>
      </w:r>
    </w:p>
    <w:p w14:paraId="1EA97D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усиленное протектирование баков,</w:t>
      </w:r>
    </w:p>
    <w:p w14:paraId="67413C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М-105РА заменен на ПФ,</w:t>
      </w:r>
    </w:p>
    <w:p w14:paraId="4CCDC8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увеличена скорость,</w:t>
      </w:r>
    </w:p>
    <w:p w14:paraId="0D9C0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введены вторая зона нейтральных газов, подвесные баки, автомат курса для разведчиков, выпускается учебный вариант.</w:t>
      </w:r>
    </w:p>
    <w:p w14:paraId="35EBF1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максимальной скорости с М-105РА в 530 км/ч усиление вооружения «съело» 15-18 км/ч, новые двигатели и неправильный подбор винтов уменьшили скорость на высоте 8-10 км, ухудшение отделки - еще 8-10 км/ч.</w:t>
      </w:r>
    </w:p>
    <w:p w14:paraId="379974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Сейчас максимальная скорость 520-528 км/ч достигается при новом винте ВИШ-61П уменьшенного диаметра, нового туннеля маслорадиатора, изменения всасывающего патрубка, пластмассовых створок туннеля маслорадиатора.</w:t>
      </w:r>
    </w:p>
    <w:p w14:paraId="151D22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частичная герметизация агрегатов, частичное улучшение обтекаемости за счет тормозных решеток, амбразур носовых установок, переноса антенной мачты и улучшения формы компенсатора ВУБ. Улучшено качество клепки, подгонки листов, уменьшены щели.</w:t>
      </w:r>
    </w:p>
    <w:p w14:paraId="19B7ED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дефектами являются течи, трещины, потери смотровых лючков. Тесна кабина штурмана и малы углы обстрела ВУБ.</w:t>
      </w:r>
    </w:p>
    <w:p w14:paraId="40214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изготовлены новая кабина и стрелковая установка. Эта машина находится на госиспытаниях. Основная работа идет по улучшению аэродинамики и по следующим машинам:</w:t>
      </w:r>
    </w:p>
    <w:p w14:paraId="57C242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М-82, запущена малая серия, максимальная скорость - 547 км/ч;</w:t>
      </w:r>
    </w:p>
    <w:p w14:paraId="528348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опытный с М-82ФНВ, скорость до 575 км/ч, готовится на ноябрь;</w:t>
      </w:r>
    </w:p>
    <w:p w14:paraId="117A5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опытный с М-1 - 550-560 км/ч), готовится на октябрь;</w:t>
      </w:r>
    </w:p>
    <w:p w14:paraId="1E0A1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М-107А и опущенным фюзеляжом - 580 км/ч/.</w:t>
      </w:r>
    </w:p>
    <w:p w14:paraId="0404D4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Максимальные скорости:</w:t>
      </w:r>
    </w:p>
    <w:p w14:paraId="485AA7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 10/35 с М-105РА - 530 км/ч на высоте 4,5 км;</w:t>
      </w:r>
    </w:p>
    <w:p w14:paraId="58E8D0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 2/185 с М-105ПФ на ЛЭС - 531 км/ч;</w:t>
      </w:r>
    </w:p>
    <w:p w14:paraId="76A29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М-105ПФ № 11/206 в ЛИИ - 527км/ч;</w:t>
      </w:r>
    </w:p>
    <w:p w14:paraId="55B85B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Пе-2А с М-105ПФ - 540 км/ч (расчет);</w:t>
      </w:r>
    </w:p>
    <w:p w14:paraId="1C8B90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Пе-4 № 19/31 с М-82 в НИИ - 547 км/ч;</w:t>
      </w:r>
    </w:p>
    <w:p w14:paraId="313AC2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Пе-4 с М-82ФНВ - 577 км/ч (расчет);</w:t>
      </w:r>
    </w:p>
    <w:p w14:paraId="364467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Пе-6 с М-107А - 580 км/ч (16.3.1943, ЛЭС и НИИ).</w:t>
      </w:r>
    </w:p>
    <w:p w14:paraId="7932C4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серийных Пе-2 № 1/202 - 507 км/ч, № 19/205 - 510 км/ч, остальных - от 507 до 528 км/ч» (12049).</w:t>
      </w:r>
    </w:p>
    <w:p w14:paraId="2BA38D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AB5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передали в НИИ ВВС серийный Ту-2 № 716, который оснастили новыми двигателями АШ-82ФН с непосредственным впрыском топлива и воздушными винтами АВ-5-167А (на серийных самолетах - АВ-5В-167), герметизировали стыки консолей крыла с центропланом и мотогондолами, улучшили отделку поверхности крыла, стабилизатора и фюзеляжа зашпатле- вав все вмятины и отлакировав их. Сняли тормозные решетки, а носок центроплана сделали легкосъемным, облегчив доступ к тягам управления двигателями. Кроме этого, для улучшения обзора у стрелка люковой установки сделали два бортовых круглых окна. Ранее подвижный стабилизатор зафиксировали под углом 1 градус 10 минут. Сняли стояночный тормоз, упростили гидросистему и выполнили ряд других доработок. У стрелка-радиста заменили пулемет ШКАС на установке ВУБ-2 "Березиным" калибра 12,7 мм. Такие же пулеметы имелись в люковой установке и у штурмана, а для стрельбы вперед - два орудия ШВАК. Снизили трудоемкость изготовления планера 15-20%. На этапе государственных испытаний ведущими были инженер А.А. Соколов, летчики М.А. Нюхтиков и В.В. Лисицын. Испытания показали, что максимальная скорость увеличилась с 444 до 509 км/ч у земли, а на высоте - с 521 км/ч (3200 метров) до 547 км/ч (5400 метров). Практический потолок возрос с 9000 до 9500 метров, а дальность - на 120 км. Так появился Ту-2С (стандартный), а самолет № 716 стал его эталоном.</w:t>
      </w:r>
    </w:p>
    <w:p w14:paraId="30645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Бомбардировщик облетали летчики-испытатели НИИ ВВС П.М. Стефановский, В.И. Жданов и Г.А. Ашитков, штурманы-испытатели Литвинчук и А.И. Старых. По их общему мнению обновленный Ту-2 хотя и обладал рядом дефектов, в том числе и унаследованных от предшественника, он все же заметно превосходил не только своего предшественника, но и Пе-2 с моторами М-82. Хотя, путевая устойчивость Ту-2 оставляла желать лучшего, а кабина пилота не отличалась комфортом и удобством (в разумных пределах конечно). Недостаточным был и обзор у штурмана, а из-за недоработанного фонаря его рабочее место постоянно задувало в полете. </w:t>
      </w:r>
    </w:p>
    <w:p w14:paraId="1581CB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бомбовая нагрузка ос талась прежняя - 2000 кг, но в случае при- Ту-2С N° 100716 менения самолета по переднему краю обороны противника Ту-2С мог поднимать ФАБ-3000.</w:t>
      </w:r>
    </w:p>
    <w:p w14:paraId="2F688A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государственных испытаний провели несколько воздушных боев с одним из лучших истребителей люфтваффе FW 190А-4. На наборе высоты под углом 45 градусов "немец" только в конце горки в 1000 метров догонял Ту-2С.</w:t>
      </w:r>
    </w:p>
    <w:p w14:paraId="589EAE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на высоте 1000 метров FW 190А-4 догонял Ту-2 и мог его атаковать, но сближение самолетов происходило очень медленно из-за небольшой разницы скоростей. Атака при догоне без преимуществ в высоте была возможна только строго в хвост, а спереди, повторить ее было очень трудно. Ту-2С за время разворота FW 190А-4 на 180 градусов уходил на 2,5-3 км, не оставляя немецкому пилоту шансов зайти в хвост.</w:t>
      </w:r>
    </w:p>
    <w:p w14:paraId="5AA8A9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преимущество FW 190А-4 в скорости возрастало. На 4500 метрах истребителю вести воздушный бой с бомбардировщиком становилось легче. Но, несмотря на меньший радиус виража, вражеский самолет все время находился в секторе обстрела верхних пулеметов Ту-2С. Но что интересно, от Ла-5 бомбардировщик не мог оторваться на всех высотах, поскольку атаки советского истребителя были более стремительны, чем FW 190А-4.</w:t>
      </w:r>
    </w:p>
    <w:p w14:paraId="1380A4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Появление более мощного двигателя АШ-83 не прошло незамеченным в ОКБ Туполева и их установили на Ту-2С № 716 (12035).</w:t>
      </w:r>
    </w:p>
    <w:p w14:paraId="492A74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8F5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ночных полетах на Пе-8 М-82 N 42210 над аэродромом 45 АД в Кратово были испытаны три варианта пламягасителей разработки НИИ ГВФ, НИИ ВВС КА и 45 АД, причем в 45 АД это были плямягасители с FW 200, сбитого в Калмыкии. Плямягасители НИИ ВВС оказались лучшими, но решили ставить немецкий "рыбий хвост" (1792,6).</w:t>
      </w:r>
    </w:p>
    <w:p w14:paraId="5EA4F2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2E9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А.Н.Т. начал работу над ТБ самолет 64 с М-71 ТК-М (2494,13).</w:t>
      </w:r>
    </w:p>
    <w:p w14:paraId="7FCE57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72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КБ А.Н.Т. было предложено разработать эскизный проект и построить макет тяжелого высотного бомбардировщика с М-71ТК-М, гермокабинами и пушечным вооружением - 64 (Ту-10) - класс В-29, но в 2-х вариантах - бомбардировщика и транспортно-пассажирского (2397,55).</w:t>
      </w:r>
    </w:p>
    <w:p w14:paraId="6F3E1C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321E8" w14:textId="77777777" w:rsidR="00473181" w:rsidRPr="00271E51" w:rsidRDefault="00473181"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В сентябре 1943 года НКАП выдал задание ОКБ А.Н.Туполева на предварительную разработку проекта четырехмоторного бомбардировщика "64". ОКБ В.М.Мясищева вскоре начало работать над аналогичными проектами самолетов "202" и "302".</w:t>
      </w:r>
    </w:p>
    <w:p w14:paraId="0AC8A085" w14:textId="77777777" w:rsidR="00473181" w:rsidRPr="00271E51" w:rsidRDefault="0047318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этом ряду начавшихся работ предложение ОКБ Незваля по модернизации Пе-8 не было чем-то революционным, однако давало возможность в достаточно короткие сроки создать неплохой самолет, с минимальной степенью технического риска, конечно, не такой, как В-29, но способный на какое-то время, пока не будут доведены до ума туполевские и мясищевские проекты, обеспечить нашу дальнюю авиацию новыми четырехмоторными бомбардировщиками.</w:t>
      </w:r>
    </w:p>
    <w:p w14:paraId="4DC2BC9F" w14:textId="77777777" w:rsidR="00473181" w:rsidRPr="00271E51" w:rsidRDefault="00473181"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Идея ОКБ была в том, чтобы провести глубокую модернизацию базовой конструкции Пе-8 путем улучшения его аэродинамики, внедрения высотных двигателей с ТК и усиления бомбардировочного вооружения. Все это должно было обеспечить значительное расширение боевых возможностей самолета Пе-8. В ОКБ были разработаны предварительные технические предложения, которые были представлены НКАП. Предложения по модернизации Пе-8 как нельзя были кстати. В первой половине 1943 года наше военно-политическое руководство по разным каналам начало получать информацию по новейшему американскому скоростному высотному дальнему бомбардировщику В-29, летно-тактические характеристики которого на голову превосходили все то, что воевало на фронтах Второй мировой войны (12187).</w:t>
      </w:r>
    </w:p>
    <w:p w14:paraId="42CB0357" w14:textId="77777777" w:rsidR="00473181" w:rsidRPr="00271E51" w:rsidRDefault="00473181" w:rsidP="00271E51">
      <w:pPr>
        <w:pStyle w:val="ae"/>
        <w:shd w:val="clear" w:color="auto" w:fill="FFFFFF"/>
        <w:spacing w:before="0" w:after="0"/>
        <w:jc w:val="both"/>
        <w:rPr>
          <w:color w:val="000000" w:themeColor="text1"/>
          <w:sz w:val="16"/>
          <w:szCs w:val="16"/>
        </w:rPr>
      </w:pPr>
    </w:p>
    <w:p w14:paraId="014C09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НКАП выдал задание ОКБ А.Н.Туполева на предварительную разработку проекта четырехмоторного бомбардировщика "64". ОКБ В.М.Мясищева вскоре начало работать над аналогичными проектами самолетов "202" и "302". В этом ряду начавшихся работ предложение ОКБ Незваля по модернизации Пе-8 не было чем-то революционным, однако давало возможность в достаточно короткие сроки создать неплохой самолет, с минимальной степенью технического риска, конечно, не такой, как В-29, но способный на какое-то время, пока не будут доведены до ума туполевские и мясищевские проекты, обеспечить нашу дальнюю авиацию новыми четырехмоторными бомбардировщиками (7685).</w:t>
      </w:r>
    </w:p>
    <w:p w14:paraId="5D20FE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325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ОКБ-155 приступило к модификации И-230 (МиГ-3У) под М-39А взлетной мощностью 1800 нр. Ви В.Н.Сорокин. Установили увеличенный радиатор и увеличили емкость фюзеляжного бака. Стабилизатор опустили на 200 мм (как на МиГ-3) для устранения дрожания хвостовой части. Вооружение - 2х20мм ШВАК (5046,33).</w:t>
      </w:r>
    </w:p>
    <w:p w14:paraId="206474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3E6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на заводе 115 был построен Як-1 М с М-105ПФ (823).</w:t>
      </w:r>
    </w:p>
    <w:p w14:paraId="6A1365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EEC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построили второй опытный экземпляр Як-1М "Дублер" с форсированным мотором М-105ПФ с индивидуальными реактивными выхлопными патрубками и винтом ВИШ-105СВ-01 диаметром 3 метра. Новый винт отличался от серийного ВИШ-105СВ более легкой втулкой и измененным "махоустойчивым" профилем на концах лопастей.</w:t>
      </w:r>
    </w:p>
    <w:p w14:paraId="742317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Рычаги управления винтом и газом двигателя разметили параллельно, что позволяло одним движением устанавливать необходимый режим работы силовой установки. Сняли храповик для запуска от автостартера, что не только облегчило машину, но и снизило ее аэродинамическое сопротивление. За время испытаний "Дублера" механизм винта ВИШ-105СВ-01 работал удовлетворительно,раскрутки и забросов оборотов винта выше допустимых не наблюдалось.</w:t>
      </w:r>
    </w:p>
    <w:p w14:paraId="014777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первым прототипом в крыле "Дублера" разместили четыре (вместо двух) протектированных топливных бака, изолированных от кабины пилота герметизированными перегородками, что повлекло за собой установку двух дополнительных металлических нервюр. Одновременно в консольных баках установили механические бензиномеры вместо электрического, находившегося в расходном баке. Четыре бака вмещали 275 кг горючего, что было на 5 кг больше по сравнению с предшественником. Емкость расходного бака уменьшили с 30 до 10 кг. Кроме этого, самолет был оборудован системой нейтрального газа 1-й зоны, работавшей с использованием выхлопных газов двигателя. Несмотря на протектирование и установку системы нейтрального газа военные всеже сочли защиту баков недостаточной.</w:t>
      </w:r>
    </w:p>
    <w:p w14:paraId="2DBAE3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установкой нового водоради- атора изменили четвертую раму каркаса фюзеляжа. Упростили мотораму и изменили спецферму для крепления второго пулемета БС.</w:t>
      </w:r>
    </w:p>
    <w:p w14:paraId="75B6B8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Полотняную обшивку фюзеляжа заменили 2-мм фанерной и установили сдвижную часть фонаря кабины летчика с устройством аварийного сброса, заимствованного с английского "Спитфайра".</w:t>
      </w:r>
    </w:p>
    <w:p w14:paraId="7DE286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этого, весовой компенсатор руля высоты перенесли из его передней кромки внутрь фюзеляжа. Одновременно облегчили амортизационные стойки основных опор, уменьшив их диаметр. Автоматический стопор хвостового колеса связали с рулем высоты жесткой тягой, а управление им осуществлялось через роликовый механизм, профилированный наконечник и тросик.</w:t>
      </w:r>
    </w:p>
    <w:p w14:paraId="764815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Изменилась и бронезащита летчика. Бронеспинку толщиной 8,5 мм укоротили до плеч пилота, изменив форму изгиба в горизонтальной плоскости. Боковые края спинки, в отличие от прежних, на расстоянии 100-150 мм резко загнуты вперед, что обеспечивало лучшую защиту летчика в горизонтальной плоскости сзади.</w:t>
      </w:r>
    </w:p>
    <w:p w14:paraId="46686A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Заголовник из прозрачной брони крепился в специальной металлической раме, которая, в свою очередь, крепилась к бронеспинке. Это позволило разгрузить прозрачную броню от напряжений, свойственных предыдущей конструкции.</w:t>
      </w:r>
    </w:p>
    <w:p w14:paraId="2EC3CE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левой стороны пилота на борту расположили подлокотники толщиной 3,5 - 4 мм, длиной 500 мм и высотой 100 мм. Защита головы летчика спереди и сзади-сверху отсутствовала. В целом броня на самолете защищала пилота лишь от пуль калибра 6-8 мм.</w:t>
      </w:r>
    </w:p>
    <w:p w14:paraId="28D19C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9-дюймовых маслорадиатора типа "05" заменили одним ОП-555, что потребовало изменения схемы маслопитания и соответствующего туннеля. Вместо во- дорадиатора ОП-492 установили ОП-554, геометрию тоннеля которого выполнили с учетом последних рекомендаций ЦАГИ. В связи с установкой автоматического регулятора температуры двигателя АРТ-41 с соответствующим индикатором на приборной доске пилота сняли штурвал механического управления заслонкой водора- диатора.</w:t>
      </w:r>
    </w:p>
    <w:p w14:paraId="0C7979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Усилили вооружение, введя дополнительный синхронный пулемет БС (общий боезапас 300 патронов), а мотор-пушку МП-20 заменили облегченной ША-20М (110 патронов) того же калибра, но не проходившую государственные испытания.</w:t>
      </w:r>
    </w:p>
    <w:p w14:paraId="2B42AE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Кольцевой прицел с мушкой заменили коллиматорным ПБП-1а.</w:t>
      </w:r>
    </w:p>
    <w:p w14:paraId="381BF6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Приемник связной радиостанции РСИ-4 вынесли из кабины, расположив за изголовьем летчика, кнопку "прием - передача" - на секторе газа. Антенна стала двухлучевой без мачты. Были и другие, более мелкие изменения, благоприятно сказавшиеся на эксплуатационных качествах машины.</w:t>
      </w:r>
    </w:p>
    <w:p w14:paraId="23DAB4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результате всех доработок удалось облегчить истребитель (сохранив его вес на уровне первого прототипа Як-1М) за счет уменьшения габаритов водорадиатора на 30 кг, нового винта - на 10 кг и амотри- зационных стоек шасси - на 8 кг. Снятие храповика сэкономило 3 кг, а замена весовой компенсации руля высоты - 4 кг. </w:t>
      </w:r>
    </w:p>
    <w:p w14:paraId="183E58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ШA-20 полегчала на 26 кг, а крыло - на 14 кг. Сократился на 6 кг и запас масла (12047).</w:t>
      </w:r>
    </w:p>
    <w:p w14:paraId="2AE8E8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718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82 завод получил АФА-ИМ и сделал Як-7Р (65,91).</w:t>
      </w:r>
    </w:p>
    <w:p w14:paraId="10BB4E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30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ЛИИ закончились испытания Як-9 производства завода 153, модифицированного заводом 115, которые шли с августа. Поставили М-106ПД и ВИШ-61П диаметром 2.8 м с МПШ-20 с боезапасом 110 патронов и полетным весом 2745 кг. Потом в октябре ЦИАМ повысили высотность мотора (1783,217).</w:t>
      </w:r>
    </w:p>
    <w:p w14:paraId="337973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5D886"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сентябре 1943 г. для проведения войско</w:t>
      </w:r>
      <w:r w:rsidRPr="00271E51">
        <w:rPr>
          <w:rFonts w:ascii="Times New Roman" w:cs="Times New Roman"/>
          <w:color w:val="000000" w:themeColor="text1"/>
          <w:spacing w:val="0"/>
        </w:rPr>
        <w:softHyphen/>
        <w:t>вых испытаний в 48-й гв. апдр предъявили по три Як-9Р, изготовленных на заводах № 166 и № 153. Испытания проходили с 23 сен</w:t>
      </w:r>
      <w:r w:rsidRPr="00271E51">
        <w:rPr>
          <w:rFonts w:ascii="Times New Roman" w:cs="Times New Roman"/>
          <w:color w:val="000000" w:themeColor="text1"/>
          <w:spacing w:val="0"/>
        </w:rPr>
        <w:softHyphen/>
        <w:t>тября по 12 октября на Степном фронте с аэродромов Микояновка, Основа (Харьков) и Полтава. Лётный состав опыта боевых полётов на разведку до прибытия в полк не имел, за исключением лейтенанта Корзуна, летавшего ранее на Пе-2 и «Бостоне».</w:t>
      </w:r>
    </w:p>
    <w:p w14:paraId="73907AD2"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 время испытаний выполнили 19 бое</w:t>
      </w:r>
      <w:r w:rsidRPr="00271E51">
        <w:rPr>
          <w:rFonts w:ascii="Times New Roman" w:cs="Times New Roman"/>
          <w:color w:val="000000" w:themeColor="text1"/>
          <w:spacing w:val="0"/>
        </w:rPr>
        <w:softHyphen/>
        <w:t>вых вылетов на разведку в составе пары, шесть - одиночными самолётами и один испытательный над своей территорией. По</w:t>
      </w:r>
      <w:r w:rsidRPr="00271E51">
        <w:rPr>
          <w:rFonts w:ascii="Times New Roman" w:cs="Times New Roman"/>
          <w:color w:val="000000" w:themeColor="text1"/>
          <w:spacing w:val="0"/>
        </w:rPr>
        <w:softHyphen/>
        <w:t xml:space="preserve">терь личного состава и самолётов не было. Не было и воздушных боёв - лишь один случай встречи с </w:t>
      </w:r>
      <w:r w:rsidRPr="00271E51">
        <w:rPr>
          <w:rFonts w:ascii="Times New Roman" w:cs="Times New Roman"/>
          <w:color w:val="000000" w:themeColor="text1"/>
          <w:spacing w:val="0"/>
          <w:lang w:val="en-US"/>
        </w:rPr>
        <w:t>FW</w:t>
      </w:r>
      <w:r w:rsidRPr="00271E51">
        <w:rPr>
          <w:rFonts w:ascii="Times New Roman" w:cs="Times New Roman"/>
          <w:color w:val="000000" w:themeColor="text1"/>
          <w:spacing w:val="0"/>
        </w:rPr>
        <w:t xml:space="preserve"> 190.</w:t>
      </w:r>
    </w:p>
    <w:p w14:paraId="08C4CAF2"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показали, что Як-9Р позволял с меньшим риском по сравнению с Пе-2 вести разведку в районах, насыщенных зенитной артиллерией и истребителями противника, при аналогичном радиусе действия. Прав</w:t>
      </w:r>
      <w:r w:rsidRPr="00271E51">
        <w:rPr>
          <w:rFonts w:ascii="Times New Roman" w:cs="Times New Roman"/>
          <w:color w:val="000000" w:themeColor="text1"/>
          <w:spacing w:val="0"/>
        </w:rPr>
        <w:softHyphen/>
        <w:t>да, качество и полнота данных, получаемых на Як-9Р, из-за перегруженности пилота и плохого обзора нижней полусферы оказыва</w:t>
      </w:r>
      <w:r w:rsidRPr="00271E51">
        <w:rPr>
          <w:rFonts w:ascii="Times New Roman" w:cs="Times New Roman"/>
          <w:color w:val="000000" w:themeColor="text1"/>
          <w:spacing w:val="0"/>
        </w:rPr>
        <w:softHyphen/>
        <w:t>лись ниже, чем при использовании Пе-2.</w:t>
      </w:r>
    </w:p>
    <w:p w14:paraId="00AA54C0"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Визуальная и фоторазведка на Як-9Р требовала высокой квалификации лётчи</w:t>
      </w:r>
      <w:r w:rsidRPr="00271E51">
        <w:rPr>
          <w:rFonts w:ascii="Times New Roman" w:cs="Times New Roman"/>
          <w:color w:val="000000" w:themeColor="text1"/>
          <w:spacing w:val="0"/>
        </w:rPr>
        <w:softHyphen/>
        <w:t>ка, особенно в отношении навигации, из-за чего у молодых пилотов имели место случаи потери ориентировки.</w:t>
      </w:r>
    </w:p>
    <w:p w14:paraId="2181EB05"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Установили, что наиболее целесообразно выполнять разведывательные полёты пара</w:t>
      </w:r>
      <w:r w:rsidRPr="00271E51">
        <w:rPr>
          <w:rFonts w:ascii="Times New Roman" w:cs="Times New Roman"/>
          <w:color w:val="000000" w:themeColor="text1"/>
          <w:spacing w:val="0"/>
        </w:rPr>
        <w:softHyphen/>
        <w:t>ми. Попытка фотографировать в строю на небольших интервалах с применение крена 8-9° показала, что для этого требовалась исключительно большая слётанность.</w:t>
      </w:r>
    </w:p>
    <w:p w14:paraId="1021EB2C"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Из-за высокой вероятности встречи с ис</w:t>
      </w:r>
      <w:r w:rsidRPr="00271E51">
        <w:rPr>
          <w:rFonts w:ascii="Times New Roman" w:cs="Times New Roman"/>
          <w:color w:val="000000" w:themeColor="text1"/>
          <w:spacing w:val="0"/>
        </w:rPr>
        <w:softHyphen/>
        <w:t>требителями противника снятие пулемёта УБС на машинах завода № 153 посчитали нецелесообразным и рекомендовали до</w:t>
      </w:r>
      <w:r w:rsidRPr="00271E51">
        <w:rPr>
          <w:rFonts w:ascii="Times New Roman" w:cs="Times New Roman"/>
          <w:color w:val="000000" w:themeColor="text1"/>
          <w:spacing w:val="0"/>
        </w:rPr>
        <w:softHyphen/>
        <w:t>укомплектовать разведчики радиополуком</w:t>
      </w:r>
      <w:r w:rsidRPr="00271E51">
        <w:rPr>
          <w:rFonts w:ascii="Times New Roman" w:cs="Times New Roman"/>
          <w:color w:val="000000" w:themeColor="text1"/>
          <w:spacing w:val="0"/>
        </w:rPr>
        <w:softHyphen/>
        <w:t>пасами РПК-10, авиагоризонтами и прозрач</w:t>
      </w:r>
      <w:r w:rsidRPr="00271E51">
        <w:rPr>
          <w:rFonts w:ascii="Times New Roman" w:cs="Times New Roman"/>
          <w:color w:val="000000" w:themeColor="text1"/>
          <w:spacing w:val="0"/>
        </w:rPr>
        <w:softHyphen/>
        <w:t>ными бронезаголовниками.</w:t>
      </w:r>
    </w:p>
    <w:p w14:paraId="0047B97D"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7 октября 1943 г. 39-й орап тоже получил Як-9Р, которыми укомплектовали эскадри</w:t>
      </w:r>
      <w:r w:rsidRPr="00271E51">
        <w:rPr>
          <w:rFonts w:ascii="Times New Roman" w:cs="Times New Roman"/>
          <w:color w:val="000000" w:themeColor="text1"/>
          <w:spacing w:val="0"/>
        </w:rPr>
        <w:softHyphen/>
        <w:t>лью из десяти машин. К 18 января 1944 г. в полку оставались три Як-9Р, которые летали на разведку противника, предпринявшего контрнаступление у озер Веленце и Бала</w:t>
      </w:r>
      <w:r w:rsidRPr="00271E51">
        <w:rPr>
          <w:rFonts w:ascii="Times New Roman" w:cs="Times New Roman"/>
          <w:color w:val="000000" w:themeColor="text1"/>
          <w:spacing w:val="0"/>
        </w:rPr>
        <w:softHyphen/>
        <w:t>тон в Венгрии с задачей расчленить войска 3-го Украинского фронта. При этом потеряли два Як-9Р (19103).</w:t>
      </w:r>
    </w:p>
    <w:p w14:paraId="5AA3989C"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p>
    <w:p w14:paraId="512270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постановлением ГКО №4164 задание за</w:t>
      </w:r>
      <w:r w:rsidRPr="00271E51">
        <w:rPr>
          <w:rFonts w:ascii="Times New Roman" w:hAnsi="Times New Roman"/>
          <w:color w:val="000000" w:themeColor="text1"/>
          <w:sz w:val="16"/>
          <w:szCs w:val="16"/>
        </w:rPr>
        <w:softHyphen/>
        <w:t>воду №29 по мотору М-82ФН было уменьшено: на октябрь - 25, ноябрь - 50 и декабрь - 75 моторов М-82ФН (10723).</w:t>
      </w:r>
    </w:p>
    <w:p w14:paraId="31469E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B17C0"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на самолете Ла-5ФН были закончены летные испытания трех опытных винтов с лопастями ЦАГИ (поставлены новые скоростные профили ЦАГИ и несколько изменена крутка). Все три винта дали существенное улучшение летных характеристик самолета по сравнению с серийным винтом, наилучшие результаты показал винт ВИШ-105В-4. Его ЦАГИ рекомендовал для запуска в серийное производство к самолетам Ла-5ФН взамен серийного винта ВИШ-105М (19727).</w:t>
      </w:r>
    </w:p>
    <w:p w14:paraId="44DB090D"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21F70B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был готов двухместный вариант Ла-5 - Ла-5УТИ (663,159).</w:t>
      </w:r>
    </w:p>
    <w:p w14:paraId="1D839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78F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построенный в августе первый учебно-тренировочный Ла-5 (оснащенный двигателем М-82Ф) поступил в НИИ ВВС. На его борту над номером 07 красовалась надпись: "Подарок фронту в честь 25-летия ВЛКСМ".</w:t>
      </w:r>
    </w:p>
    <w:p w14:paraId="379003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Открытая (без фонаря) кабина летчика-инструктора размещалась между пятым и восьмым шпангоутами. В этом месте пришлось усилить фюзеляжный вырез верхними лонжеронами и ввести два дополнительных шпангоута. С машины сняли одну пушку СП-20, а ее место занял баллон со сжатым воздухом. Для учебного самолета ненужными стали бронеспинка и бронестекло, система нейтрального газа и бомбовое вооружение. Отказались и от радиооборудования.</w:t>
      </w:r>
    </w:p>
    <w:p w14:paraId="2AD747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Ведущими по испытаниям спарки были инженер В.И. Алексеенко, летчики А.Г. Кубышкин и Ю.А. Ангипов. Облетали самолет П.М. Стефановский, В.И. Хомяков, И.М. Дзюба и К.И. Овчинников. По их мнению, задняя кабина оказалась тесной, особенно для летчиков в зимнем обмундировании, но по технике пилотирования самолет почти не отличался от боевого Ла-5, если не считать повышенной чувствительности к перетягиванию ручки управления. В полете с открытым фонарем передней кабины, что практиковалось среди советских пилотов, сильно задувало заднюю кабину, и зимой летать без маски было невозможно.</w:t>
      </w:r>
    </w:p>
    <w:p w14:paraId="1FE80E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Учебно-тренировочный Ла-5 испытания прошел удовлетворительно и рекомендовался к серийной постройке, но с обязательной установкой переговорного устройства и устранением выявленных дефектов, впрочем, последних было не так много. </w:t>
      </w:r>
    </w:p>
    <w:p w14:paraId="248CB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Месяц спустя в НИИ ВВС появилась еще одна спарка и тоже завода №21, однако она испытания не выдержала, а серийному учебно-тренировочному Ла-5 было суждено появиться лишь в конце 1944 г. (12032).</w:t>
      </w:r>
    </w:p>
    <w:p w14:paraId="44BA04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68029" w14:textId="77777777" w:rsidR="009376F4" w:rsidRPr="00271E51" w:rsidRDefault="009376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по приказанию Командующего ВВС КА А.А. Новикова на базе 19-го Краснознаменного ИАП впервые сформировали отдельный полк, находящийся в прямом его подчинении, для уничтожения авиации противника в воздухе и на земле методом свободной охоты. Полк полностью укомплектовали по штату отдельного полка (три АЭ) и вооружили самолётами Ла-5 с мотором М-82ФН (15829).</w:t>
      </w:r>
    </w:p>
    <w:p w14:paraId="3EAF81F5"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6E195E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ОКБ-155 А.И. Микояна приступило к модификации истребителя И-230, предусматривавшей применение мотора АМ-39А. Модифицированный самолет получил название И-231 (2Д) (9032).</w:t>
      </w:r>
    </w:p>
    <w:p w14:paraId="5E47A3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30D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А.И.Микоян был вынужден снова заменить И—220 зав. № 01 опытный мотор АМ—39 серийным двигателем АМ—38Ф (9984).</w:t>
      </w:r>
    </w:p>
    <w:p w14:paraId="5C1C97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DB96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ОКБ-155 А.И. Микояна приступило к модификации нстребителя И-230, предусматривавшей при</w:t>
      </w:r>
      <w:r w:rsidRPr="00271E51">
        <w:rPr>
          <w:rFonts w:ascii="Times New Roman" w:hAnsi="Times New Roman"/>
          <w:color w:val="000000" w:themeColor="text1"/>
          <w:sz w:val="16"/>
          <w:szCs w:val="16"/>
        </w:rPr>
        <w:softHyphen/>
        <w:t>менение мотора АМ-39А. Этот самолет по</w:t>
      </w:r>
      <w:r w:rsidRPr="00271E51">
        <w:rPr>
          <w:rFonts w:ascii="Times New Roman" w:hAnsi="Times New Roman"/>
          <w:color w:val="000000" w:themeColor="text1"/>
          <w:sz w:val="16"/>
          <w:szCs w:val="16"/>
        </w:rPr>
        <w:softHyphen/>
        <w:t>лучил название И-231 (2Д). На заводские испытания машину передали 16 октября 1943 г., а спустя три дня состоялся ее пер</w:t>
      </w:r>
      <w:r w:rsidRPr="00271E51">
        <w:rPr>
          <w:rFonts w:ascii="Times New Roman" w:hAnsi="Times New Roman"/>
          <w:color w:val="000000" w:themeColor="text1"/>
          <w:sz w:val="16"/>
          <w:szCs w:val="16"/>
        </w:rPr>
        <w:softHyphen/>
        <w:t>вый вылет. Уже 5 ноября 1943 г. из-за раз</w:t>
      </w:r>
      <w:r w:rsidRPr="00271E51">
        <w:rPr>
          <w:rFonts w:ascii="Times New Roman" w:hAnsi="Times New Roman"/>
          <w:color w:val="000000" w:themeColor="text1"/>
          <w:sz w:val="16"/>
          <w:szCs w:val="16"/>
        </w:rPr>
        <w:softHyphen/>
        <w:t>рушения нагнетателя летчик произвел вынужденную посадку. После ремонта са</w:t>
      </w:r>
      <w:r w:rsidRPr="00271E51">
        <w:rPr>
          <w:rFonts w:ascii="Times New Roman" w:hAnsi="Times New Roman"/>
          <w:color w:val="000000" w:themeColor="text1"/>
          <w:sz w:val="16"/>
          <w:szCs w:val="16"/>
        </w:rPr>
        <w:softHyphen/>
        <w:t>молета и замены мотора полеты продолжа</w:t>
      </w:r>
      <w:r w:rsidRPr="00271E51">
        <w:rPr>
          <w:rFonts w:ascii="Times New Roman" w:hAnsi="Times New Roman"/>
          <w:color w:val="000000" w:themeColor="text1"/>
          <w:sz w:val="16"/>
          <w:szCs w:val="16"/>
        </w:rPr>
        <w:softHyphen/>
        <w:t>лись. 28 февраля 1944 г. И-231 передали на госиспытания, но 8 марта он вновь потерпел аварию из-за отказа щитков-закрылков и тормозов при посадке. Самолет отремон</w:t>
      </w:r>
      <w:r w:rsidRPr="00271E51">
        <w:rPr>
          <w:rFonts w:ascii="Times New Roman" w:hAnsi="Times New Roman"/>
          <w:color w:val="000000" w:themeColor="text1"/>
          <w:sz w:val="16"/>
          <w:szCs w:val="16"/>
        </w:rPr>
        <w:softHyphen/>
        <w:t>тировали, однако 19 мая в полете на форси</w:t>
      </w:r>
      <w:r w:rsidRPr="00271E51">
        <w:rPr>
          <w:rFonts w:ascii="Times New Roman" w:hAnsi="Times New Roman"/>
          <w:color w:val="000000" w:themeColor="text1"/>
          <w:sz w:val="16"/>
          <w:szCs w:val="16"/>
        </w:rPr>
        <w:softHyphen/>
        <w:t>рованном режиме мотор вышел из строя. Вскоре работы по И-231 были прекращены вследствие задержки с по</w:t>
      </w:r>
      <w:r w:rsidRPr="00271E51">
        <w:rPr>
          <w:rFonts w:ascii="Times New Roman" w:hAnsi="Times New Roman"/>
          <w:color w:val="000000" w:themeColor="text1"/>
          <w:sz w:val="16"/>
          <w:szCs w:val="16"/>
        </w:rPr>
        <w:softHyphen/>
        <w:t>лучением нового мотора. В расчете на использование моторов АМ-39 разрабатывались мо</w:t>
      </w:r>
      <w:r w:rsidRPr="00271E51">
        <w:rPr>
          <w:rFonts w:ascii="Times New Roman" w:hAnsi="Times New Roman"/>
          <w:color w:val="000000" w:themeColor="text1"/>
          <w:sz w:val="16"/>
          <w:szCs w:val="16"/>
        </w:rPr>
        <w:softHyphen/>
        <w:t>дификации истребителя МиГ-11. Первым в семействе стал И-220 (изд. А), но испытывался он с мотором АМ-38Ф. Затем был постро</w:t>
      </w:r>
      <w:r w:rsidRPr="00271E51">
        <w:rPr>
          <w:rFonts w:ascii="Times New Roman" w:hAnsi="Times New Roman"/>
          <w:color w:val="000000" w:themeColor="text1"/>
          <w:sz w:val="16"/>
          <w:szCs w:val="16"/>
        </w:rPr>
        <w:softHyphen/>
        <w:t>ен И-221 (изд. 2А), на этот раз с мотором АМ-39 и двумя турбоком</w:t>
      </w:r>
      <w:r w:rsidRPr="00271E51">
        <w:rPr>
          <w:rFonts w:ascii="Times New Roman" w:hAnsi="Times New Roman"/>
          <w:color w:val="000000" w:themeColor="text1"/>
          <w:sz w:val="16"/>
          <w:szCs w:val="16"/>
        </w:rPr>
        <w:softHyphen/>
        <w:t>прессорами. По расчетам мощность силовой установки на высоте 5000 м должна была превысить 1700 л. с., что гарантировало пре</w:t>
      </w:r>
      <w:r w:rsidRPr="00271E51">
        <w:rPr>
          <w:rFonts w:ascii="Times New Roman" w:hAnsi="Times New Roman"/>
          <w:color w:val="000000" w:themeColor="text1"/>
          <w:sz w:val="16"/>
          <w:szCs w:val="16"/>
        </w:rPr>
        <w:softHyphen/>
        <w:t>восходство в скорости перед массовыми Як-9 и Ла-5 на 70-95 км/ч. Увы, в одном из первых полетов 7 февраля 1944 г. из-за разрушения шатуна летчику пришлось покинуть с парашютом горящую машину (10781).</w:t>
      </w:r>
    </w:p>
    <w:p w14:paraId="361D2E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076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сентябре 1943 г. А.И. Микоян был вынужден снова вернуться к серийному АМ-38Ф на И-220.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5EE75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154E1608" w14:textId="77777777" w:rsidTr="00ED5B0A">
        <w:tc>
          <w:tcPr>
            <w:tcW w:w="1868" w:type="dxa"/>
            <w:tcBorders>
              <w:top w:val="single" w:sz="12" w:space="0" w:color="auto"/>
            </w:tcBorders>
          </w:tcPr>
          <w:p w14:paraId="6B4FDD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868" w:type="dxa"/>
            <w:tcBorders>
              <w:top w:val="single" w:sz="12" w:space="0" w:color="auto"/>
            </w:tcBorders>
          </w:tcPr>
          <w:p w14:paraId="71F733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1868" w:type="dxa"/>
            <w:tcBorders>
              <w:top w:val="single" w:sz="12" w:space="0" w:color="auto"/>
            </w:tcBorders>
          </w:tcPr>
          <w:p w14:paraId="336D41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МиГ-9</w:t>
            </w:r>
          </w:p>
        </w:tc>
        <w:tc>
          <w:tcPr>
            <w:tcW w:w="1868" w:type="dxa"/>
            <w:tcBorders>
              <w:top w:val="single" w:sz="12" w:space="0" w:color="auto"/>
            </w:tcBorders>
          </w:tcPr>
          <w:p w14:paraId="017B65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w:t>
            </w:r>
          </w:p>
        </w:tc>
        <w:tc>
          <w:tcPr>
            <w:tcW w:w="1868" w:type="dxa"/>
            <w:tcBorders>
              <w:top w:val="single" w:sz="12" w:space="0" w:color="auto"/>
            </w:tcBorders>
          </w:tcPr>
          <w:p w14:paraId="760018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И-224</w:t>
            </w:r>
          </w:p>
        </w:tc>
        <w:tc>
          <w:tcPr>
            <w:tcW w:w="1868" w:type="dxa"/>
            <w:tcBorders>
              <w:top w:val="single" w:sz="12" w:space="0" w:color="auto"/>
            </w:tcBorders>
          </w:tcPr>
          <w:p w14:paraId="7CBA61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И-225</w:t>
            </w:r>
          </w:p>
        </w:tc>
      </w:tr>
      <w:tr w:rsidR="00A907A5" w:rsidRPr="00271E51" w14:paraId="194BC236" w14:textId="77777777" w:rsidTr="00ED5B0A">
        <w:tc>
          <w:tcPr>
            <w:tcW w:w="1868" w:type="dxa"/>
          </w:tcPr>
          <w:p w14:paraId="6FAFF2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двигателя</w:t>
            </w:r>
          </w:p>
        </w:tc>
        <w:tc>
          <w:tcPr>
            <w:tcW w:w="1868" w:type="dxa"/>
          </w:tcPr>
          <w:p w14:paraId="4C013C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1868" w:type="dxa"/>
          </w:tcPr>
          <w:p w14:paraId="6678A2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1868" w:type="dxa"/>
          </w:tcPr>
          <w:p w14:paraId="3D112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1868" w:type="dxa"/>
          </w:tcPr>
          <w:p w14:paraId="563F8B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АМ-39ФБ</w:t>
            </w:r>
          </w:p>
        </w:tc>
        <w:tc>
          <w:tcPr>
            <w:tcW w:w="1868" w:type="dxa"/>
          </w:tcPr>
          <w:p w14:paraId="5ED12A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АМ-42ФБ</w:t>
            </w:r>
          </w:p>
        </w:tc>
      </w:tr>
      <w:tr w:rsidR="00A907A5" w:rsidRPr="00271E51" w14:paraId="49E5BC06" w14:textId="77777777" w:rsidTr="00ED5B0A">
        <w:tc>
          <w:tcPr>
            <w:tcW w:w="1868" w:type="dxa"/>
          </w:tcPr>
          <w:p w14:paraId="0A665E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л.с.</w:t>
            </w:r>
          </w:p>
        </w:tc>
        <w:tc>
          <w:tcPr>
            <w:tcW w:w="1868" w:type="dxa"/>
          </w:tcPr>
          <w:p w14:paraId="1443E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1665</w:t>
            </w:r>
          </w:p>
        </w:tc>
        <w:tc>
          <w:tcPr>
            <w:tcW w:w="1868" w:type="dxa"/>
          </w:tcPr>
          <w:p w14:paraId="0D49BD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1868" w:type="dxa"/>
          </w:tcPr>
          <w:p w14:paraId="60FD89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1868" w:type="dxa"/>
          </w:tcPr>
          <w:p w14:paraId="799C91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1850</w:t>
            </w:r>
          </w:p>
        </w:tc>
        <w:tc>
          <w:tcPr>
            <w:tcW w:w="1868" w:type="dxa"/>
          </w:tcPr>
          <w:p w14:paraId="068225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4934281B" w14:textId="77777777" w:rsidTr="00ED5B0A">
        <w:tc>
          <w:tcPr>
            <w:tcW w:w="1868" w:type="dxa"/>
          </w:tcPr>
          <w:p w14:paraId="0D6B1D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w:t>
            </w:r>
          </w:p>
        </w:tc>
        <w:tc>
          <w:tcPr>
            <w:tcW w:w="1868" w:type="dxa"/>
          </w:tcPr>
          <w:p w14:paraId="614B2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8,25</w:t>
            </w:r>
          </w:p>
        </w:tc>
        <w:tc>
          <w:tcPr>
            <w:tcW w:w="1868" w:type="dxa"/>
          </w:tcPr>
          <w:p w14:paraId="1C7866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8,078</w:t>
            </w:r>
          </w:p>
        </w:tc>
        <w:tc>
          <w:tcPr>
            <w:tcW w:w="1868" w:type="dxa"/>
          </w:tcPr>
          <w:p w14:paraId="520B1E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1868" w:type="dxa"/>
          </w:tcPr>
          <w:p w14:paraId="0F8FC9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1868" w:type="dxa"/>
          </w:tcPr>
          <w:p w14:paraId="1A299B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r>
      <w:tr w:rsidR="00A907A5" w:rsidRPr="00271E51" w14:paraId="2B29824B" w14:textId="77777777" w:rsidTr="00ED5B0A">
        <w:tc>
          <w:tcPr>
            <w:tcW w:w="1868" w:type="dxa"/>
          </w:tcPr>
          <w:p w14:paraId="70F36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44581B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031B13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40DA96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1868" w:type="dxa"/>
          </w:tcPr>
          <w:p w14:paraId="1CC49C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1868" w:type="dxa"/>
          </w:tcPr>
          <w:p w14:paraId="3DBD88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r>
      <w:tr w:rsidR="00A907A5" w:rsidRPr="00271E51" w14:paraId="120D3CD9" w14:textId="77777777" w:rsidTr="00ED5B0A">
        <w:tc>
          <w:tcPr>
            <w:tcW w:w="1868" w:type="dxa"/>
          </w:tcPr>
          <w:p w14:paraId="727846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1868" w:type="dxa"/>
          </w:tcPr>
          <w:p w14:paraId="0B27DD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136B1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0D7C43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20,38</w:t>
            </w:r>
          </w:p>
        </w:tc>
        <w:tc>
          <w:tcPr>
            <w:tcW w:w="1868" w:type="dxa"/>
          </w:tcPr>
          <w:p w14:paraId="733387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1868" w:type="dxa"/>
          </w:tcPr>
          <w:p w14:paraId="1AED06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20,4</w:t>
            </w:r>
          </w:p>
        </w:tc>
      </w:tr>
      <w:tr w:rsidR="00A907A5" w:rsidRPr="00271E51" w14:paraId="165DD9EC" w14:textId="77777777" w:rsidTr="00ED5B0A">
        <w:tc>
          <w:tcPr>
            <w:tcW w:w="1868" w:type="dxa"/>
          </w:tcPr>
          <w:p w14:paraId="20E3FF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самолета, м</w:t>
            </w:r>
          </w:p>
        </w:tc>
        <w:tc>
          <w:tcPr>
            <w:tcW w:w="1868" w:type="dxa"/>
          </w:tcPr>
          <w:p w14:paraId="65CB44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421A5F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2762</w:t>
            </w:r>
          </w:p>
        </w:tc>
        <w:tc>
          <w:tcPr>
            <w:tcW w:w="1868" w:type="dxa"/>
          </w:tcPr>
          <w:p w14:paraId="08BBAB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22C0ED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5E58F9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r>
      <w:tr w:rsidR="00A907A5" w:rsidRPr="00271E51" w14:paraId="4F139A81" w14:textId="77777777" w:rsidTr="00ED5B0A">
        <w:tc>
          <w:tcPr>
            <w:tcW w:w="1868" w:type="dxa"/>
          </w:tcPr>
          <w:p w14:paraId="297E00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самолета, кг</w:t>
            </w:r>
          </w:p>
        </w:tc>
        <w:tc>
          <w:tcPr>
            <w:tcW w:w="1868" w:type="dxa"/>
          </w:tcPr>
          <w:p w14:paraId="61F4C9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06D96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3382</w:t>
            </w:r>
          </w:p>
        </w:tc>
        <w:tc>
          <w:tcPr>
            <w:tcW w:w="1868" w:type="dxa"/>
          </w:tcPr>
          <w:p w14:paraId="5E1E72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3103</w:t>
            </w:r>
          </w:p>
        </w:tc>
        <w:tc>
          <w:tcPr>
            <w:tcW w:w="1868" w:type="dxa"/>
          </w:tcPr>
          <w:p w14:paraId="51287A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3105</w:t>
            </w:r>
          </w:p>
        </w:tc>
        <w:tc>
          <w:tcPr>
            <w:tcW w:w="1868" w:type="dxa"/>
          </w:tcPr>
          <w:p w14:paraId="18E2C7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ЗОЮ</w:t>
            </w:r>
          </w:p>
        </w:tc>
      </w:tr>
      <w:tr w:rsidR="00A907A5" w:rsidRPr="00271E51" w14:paraId="26C55E6F" w14:textId="77777777" w:rsidTr="00ED5B0A">
        <w:tc>
          <w:tcPr>
            <w:tcW w:w="1868" w:type="dxa"/>
          </w:tcPr>
          <w:p w14:paraId="3E1B32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масса, кг</w:t>
            </w:r>
          </w:p>
        </w:tc>
        <w:tc>
          <w:tcPr>
            <w:tcW w:w="1868" w:type="dxa"/>
          </w:tcPr>
          <w:p w14:paraId="346BA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3595</w:t>
            </w:r>
          </w:p>
        </w:tc>
        <w:tc>
          <w:tcPr>
            <w:tcW w:w="1868" w:type="dxa"/>
          </w:tcPr>
          <w:p w14:paraId="21C226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43BF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3835</w:t>
            </w:r>
          </w:p>
        </w:tc>
        <w:tc>
          <w:tcPr>
            <w:tcW w:w="1868" w:type="dxa"/>
          </w:tcPr>
          <w:p w14:paraId="3209D0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3780</w:t>
            </w:r>
          </w:p>
        </w:tc>
        <w:tc>
          <w:tcPr>
            <w:tcW w:w="1868" w:type="dxa"/>
          </w:tcPr>
          <w:p w14:paraId="3D815C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3912</w:t>
            </w:r>
          </w:p>
        </w:tc>
      </w:tr>
      <w:tr w:rsidR="00A907A5" w:rsidRPr="00271E51" w14:paraId="5E85159F" w14:textId="77777777" w:rsidTr="00ED5B0A">
        <w:tc>
          <w:tcPr>
            <w:tcW w:w="1868" w:type="dxa"/>
          </w:tcPr>
          <w:p w14:paraId="7CC47E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топлива, кг</w:t>
            </w:r>
          </w:p>
        </w:tc>
        <w:tc>
          <w:tcPr>
            <w:tcW w:w="1868" w:type="dxa"/>
          </w:tcPr>
          <w:p w14:paraId="1946F3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0079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7737F7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1868" w:type="dxa"/>
          </w:tcPr>
          <w:p w14:paraId="391031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3551</w:t>
            </w:r>
          </w:p>
        </w:tc>
        <w:tc>
          <w:tcPr>
            <w:tcW w:w="1868" w:type="dxa"/>
          </w:tcPr>
          <w:p w14:paraId="3D4A17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3252</w:t>
            </w:r>
          </w:p>
        </w:tc>
      </w:tr>
      <w:tr w:rsidR="00A907A5" w:rsidRPr="00271E51" w14:paraId="2AA3FAF9" w14:textId="77777777" w:rsidTr="00ED5B0A">
        <w:tc>
          <w:tcPr>
            <w:tcW w:w="1868" w:type="dxa"/>
          </w:tcPr>
          <w:p w14:paraId="329B6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полета, км/ч:</w:t>
            </w:r>
          </w:p>
        </w:tc>
        <w:tc>
          <w:tcPr>
            <w:tcW w:w="1868" w:type="dxa"/>
          </w:tcPr>
          <w:p w14:paraId="0DE09C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CFE3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4886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F4CB6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0096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AB48E5" w14:textId="77777777" w:rsidTr="00ED5B0A">
        <w:tc>
          <w:tcPr>
            <w:tcW w:w="1868" w:type="dxa"/>
          </w:tcPr>
          <w:p w14:paraId="6FDFF7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tc>
        <w:tc>
          <w:tcPr>
            <w:tcW w:w="1868" w:type="dxa"/>
          </w:tcPr>
          <w:p w14:paraId="7E1E29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w:t>
            </w:r>
          </w:p>
        </w:tc>
        <w:tc>
          <w:tcPr>
            <w:tcW w:w="1868" w:type="dxa"/>
          </w:tcPr>
          <w:p w14:paraId="663C09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1868" w:type="dxa"/>
          </w:tcPr>
          <w:p w14:paraId="28566B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1868" w:type="dxa"/>
          </w:tcPr>
          <w:p w14:paraId="1664C8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574</w:t>
            </w:r>
          </w:p>
        </w:tc>
        <w:tc>
          <w:tcPr>
            <w:tcW w:w="1868" w:type="dxa"/>
          </w:tcPr>
          <w:p w14:paraId="33778E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44AB53DC" w14:textId="77777777" w:rsidTr="00ED5B0A">
        <w:tc>
          <w:tcPr>
            <w:tcW w:w="1868" w:type="dxa"/>
          </w:tcPr>
          <w:p w14:paraId="22182C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5000 м</w:t>
            </w:r>
          </w:p>
        </w:tc>
        <w:tc>
          <w:tcPr>
            <w:tcW w:w="1868" w:type="dxa"/>
          </w:tcPr>
          <w:p w14:paraId="145F6E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5923</w:t>
            </w:r>
          </w:p>
        </w:tc>
        <w:tc>
          <w:tcPr>
            <w:tcW w:w="1868" w:type="dxa"/>
          </w:tcPr>
          <w:p w14:paraId="2C2B8F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E1A31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DE2D8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3292CC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7809D29E" w14:textId="77777777" w:rsidTr="00ED5B0A">
        <w:tc>
          <w:tcPr>
            <w:tcW w:w="1868" w:type="dxa"/>
          </w:tcPr>
          <w:p w14:paraId="7BBCF4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10 ООО м</w:t>
            </w:r>
          </w:p>
        </w:tc>
        <w:tc>
          <w:tcPr>
            <w:tcW w:w="1868" w:type="dxa"/>
          </w:tcPr>
          <w:p w14:paraId="1B07C9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4C4E8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5654</w:t>
            </w:r>
          </w:p>
        </w:tc>
        <w:tc>
          <w:tcPr>
            <w:tcW w:w="1868" w:type="dxa"/>
          </w:tcPr>
          <w:p w14:paraId="6125B4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6955</w:t>
            </w:r>
          </w:p>
        </w:tc>
        <w:tc>
          <w:tcPr>
            <w:tcW w:w="1868" w:type="dxa"/>
          </w:tcPr>
          <w:p w14:paraId="7E8BAE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6936</w:t>
            </w:r>
          </w:p>
        </w:tc>
        <w:tc>
          <w:tcPr>
            <w:tcW w:w="1868" w:type="dxa"/>
          </w:tcPr>
          <w:p w14:paraId="4FA7EB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726</w:t>
            </w:r>
          </w:p>
        </w:tc>
      </w:tr>
      <w:tr w:rsidR="00A907A5" w:rsidRPr="00271E51" w14:paraId="57711D2D" w14:textId="77777777" w:rsidTr="00ED5B0A">
        <w:tc>
          <w:tcPr>
            <w:tcW w:w="1868" w:type="dxa"/>
          </w:tcPr>
          <w:p w14:paraId="2BE1F8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1868" w:type="dxa"/>
          </w:tcPr>
          <w:p w14:paraId="16F8BF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7,93</w:t>
            </w:r>
          </w:p>
        </w:tc>
        <w:tc>
          <w:tcPr>
            <w:tcW w:w="1868" w:type="dxa"/>
          </w:tcPr>
          <w:p w14:paraId="5FE54B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1868" w:type="dxa"/>
          </w:tcPr>
          <w:p w14:paraId="7A9866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868" w:type="dxa"/>
          </w:tcPr>
          <w:p w14:paraId="43ACED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5C1CC9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4A8500EF" w14:textId="77777777" w:rsidTr="00ED5B0A">
        <w:tc>
          <w:tcPr>
            <w:tcW w:w="1868" w:type="dxa"/>
          </w:tcPr>
          <w:p w14:paraId="29793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2B450E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3520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8700</w:t>
            </w:r>
          </w:p>
        </w:tc>
        <w:tc>
          <w:tcPr>
            <w:tcW w:w="1868" w:type="dxa"/>
          </w:tcPr>
          <w:p w14:paraId="4DE80E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11 000</w:t>
            </w:r>
          </w:p>
        </w:tc>
        <w:tc>
          <w:tcPr>
            <w:tcW w:w="1868" w:type="dxa"/>
          </w:tcPr>
          <w:p w14:paraId="5A9415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14 100</w:t>
            </w:r>
          </w:p>
        </w:tc>
        <w:tc>
          <w:tcPr>
            <w:tcW w:w="1868" w:type="dxa"/>
          </w:tcPr>
          <w:p w14:paraId="7E16C4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12 600</w:t>
            </w:r>
          </w:p>
        </w:tc>
      </w:tr>
      <w:tr w:rsidR="00A907A5" w:rsidRPr="00271E51" w14:paraId="7F12FBCC" w14:textId="77777777" w:rsidTr="00ED5B0A">
        <w:tc>
          <w:tcPr>
            <w:tcW w:w="1868" w:type="dxa"/>
          </w:tcPr>
          <w:p w14:paraId="6B81BF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1868" w:type="dxa"/>
          </w:tcPr>
          <w:p w14:paraId="6B8AEA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4B4990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c>
          <w:tcPr>
            <w:tcW w:w="1868" w:type="dxa"/>
          </w:tcPr>
          <w:p w14:paraId="604357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28F9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c>
          <w:tcPr>
            <w:tcW w:w="1868" w:type="dxa"/>
          </w:tcPr>
          <w:p w14:paraId="28CDED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w:t>
            </w:r>
          </w:p>
        </w:tc>
      </w:tr>
      <w:tr w:rsidR="00A907A5" w:rsidRPr="00271E51" w14:paraId="0DD418CE" w14:textId="77777777" w:rsidTr="00ED5B0A">
        <w:tc>
          <w:tcPr>
            <w:tcW w:w="1868" w:type="dxa"/>
          </w:tcPr>
          <w:p w14:paraId="1652B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м</w:t>
            </w:r>
          </w:p>
        </w:tc>
        <w:tc>
          <w:tcPr>
            <w:tcW w:w="1868" w:type="dxa"/>
          </w:tcPr>
          <w:p w14:paraId="7EF475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351D4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tc>
        <w:tc>
          <w:tcPr>
            <w:tcW w:w="1868" w:type="dxa"/>
          </w:tcPr>
          <w:p w14:paraId="75601C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33D70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1868" w:type="dxa"/>
          </w:tcPr>
          <w:p w14:paraId="672191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r>
      <w:tr w:rsidR="00A907A5" w:rsidRPr="00271E51" w14:paraId="4BB4FDAE" w14:textId="77777777" w:rsidTr="00ED5B0A">
        <w:tc>
          <w:tcPr>
            <w:tcW w:w="1868" w:type="dxa"/>
            <w:tcBorders>
              <w:bottom w:val="single" w:sz="12" w:space="0" w:color="auto"/>
            </w:tcBorders>
          </w:tcPr>
          <w:p w14:paraId="1CC84F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4B8CC8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72F804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1868" w:type="dxa"/>
            <w:tcBorders>
              <w:bottom w:val="single" w:sz="12" w:space="0" w:color="auto"/>
            </w:tcBorders>
          </w:tcPr>
          <w:p w14:paraId="2FDCEB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49542A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1868" w:type="dxa"/>
            <w:tcBorders>
              <w:bottom w:val="single" w:sz="12" w:space="0" w:color="auto"/>
            </w:tcBorders>
          </w:tcPr>
          <w:p w14:paraId="3CE8D8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r>
    </w:tbl>
    <w:p w14:paraId="7974D4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Примечания:</w:t>
      </w:r>
    </w:p>
    <w:p w14:paraId="12026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 в крыльевых топливных баках в перегрузку еще 124 кг;</w:t>
      </w:r>
    </w:p>
    <w:p w14:paraId="00F7B2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 в крыльевых топливных баках в перегрузку еще 127 кг;</w:t>
      </w:r>
    </w:p>
    <w:p w14:paraId="398E3D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 на высоте 3400 м;</w:t>
      </w:r>
    </w:p>
    <w:p w14:paraId="20C95A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 на высоте 6150 м;</w:t>
      </w:r>
    </w:p>
    <w:p w14:paraId="67AA03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 на высоте 7500 м при боевом режиме работы мотора;</w:t>
      </w:r>
    </w:p>
    <w:p w14:paraId="0062D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6 - расчетная на высоте 13 100 м. </w:t>
      </w:r>
    </w:p>
    <w:p w14:paraId="6C26C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25FD64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0502A4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B37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в КБ Н.Н.П. началось проектирование самолета, ставшего логическим продолжением семейства И-185 - высотного перехватчика ВП с двигателем М-71ТК, получившего внутри конструкторского бюро обозначение "К". Уже в октябре, по причине нереальности получения М-71, разработка продолжилась под двигатель АМ-39, оборудованный турбокомпрессорами. Смена силовой установки повлекла существенную переработку конструкции, поэтому эскизный проект ВП (К) закончили только летом 1944 г., а сроки сдачи машины на испытания перенесли на декабрь 1944 г.</w:t>
      </w:r>
    </w:p>
    <w:p w14:paraId="7F13EB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 представлял собой классический низ коплан смешанной конструкции, в котором поликарповским коллективо мтрадиционно использовалась деревянная хвостовая часть фюзеляжа. Самолет проектировался с герметической кабиной вентилируемого типа, позволяющей обеспечить летчику наиболее комфортные условия пребывания на больших высотах. Крыло цельнометаллическое, с размахом 11,0 м, площадью 16,2 м2, со всеми конструктивными решениями, полностью отработанными на более ранних типах И-185 и ИТП. Предлагаемый профиль крыла NACA-230 уже в процессе определения характеристик было решено заменить новым ламинизированным профилем, более подходящим для полетов на большой высоте. Расчетный полетный вес истребителя составлял 3320 кг. Вооружение состояло из двух 23-мм пушек.</w:t>
      </w:r>
    </w:p>
    <w:p w14:paraId="3A2D07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Проведенные расчеты показывали, что с двигателем АМ-39А на малых высотах ВП мог развивать максимальную скорость 500 км/ч, на высоте 13750 м - 715 км/ч. С двигателем АМ-39Б скорость у земли предполагалась 586 км/ч, а на высоте 13000 м составляла 680 км/ч. Расчетный потолок составлял 14500-14750 м, время набора высоты 14000 м с АМ-39А - 24,48 мин., а с АМ-39Б - 18 мин. </w:t>
      </w:r>
    </w:p>
    <w:p w14:paraId="6C7AE3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Представленные для рассмотрения характеристики ВП признавались реальными, самолет запланировали построить в количестве четырех экземпляров. На переломе 1943-44 гг. опытное производство завода № 51 приступило к изготовлению стендов для отработки винтомоторной группы и гермокабины.</w:t>
      </w:r>
    </w:p>
    <w:p w14:paraId="418433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1944 г. готовность рабочих чертежей перехватчика оценивалась на 95%, началось изготовление первого опытного экземпляра. Однако после смерти Поликарпова работы по созданию перехватчика ВП затормозились, а в сентябре были прекращены (12016).</w:t>
      </w:r>
    </w:p>
    <w:p w14:paraId="07C077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229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НИИ ВВС проходил испытания ФВ-190 А-5 (747,5).</w:t>
      </w:r>
    </w:p>
    <w:p w14:paraId="511CCA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664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прекратили выпуск Як-6 (4657, 19).</w:t>
      </w:r>
    </w:p>
    <w:p w14:paraId="36D1A3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797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испытания вертолета Омега были прерваны в свя</w:t>
      </w:r>
      <w:r w:rsidRPr="00271E51">
        <w:rPr>
          <w:rFonts w:ascii="Times New Roman" w:hAnsi="Times New Roman"/>
          <w:color w:val="000000" w:themeColor="text1"/>
          <w:sz w:val="16"/>
          <w:szCs w:val="16"/>
        </w:rPr>
        <w:softHyphen/>
        <w:t>зи с тем, что ОКБ вместе с МАИ возвратился из эвакуации в Мос</w:t>
      </w:r>
      <w:r w:rsidRPr="00271E51">
        <w:rPr>
          <w:rFonts w:ascii="Times New Roman" w:hAnsi="Times New Roman"/>
          <w:color w:val="000000" w:themeColor="text1"/>
          <w:sz w:val="16"/>
          <w:szCs w:val="16"/>
        </w:rPr>
        <w:softHyphen/>
        <w:t>кву. Здесь разобранный для транспортировки вертолет был восста</w:t>
      </w:r>
      <w:r w:rsidRPr="00271E51">
        <w:rPr>
          <w:rFonts w:ascii="Times New Roman" w:hAnsi="Times New Roman"/>
          <w:color w:val="000000" w:themeColor="text1"/>
          <w:sz w:val="16"/>
          <w:szCs w:val="16"/>
        </w:rPr>
        <w:softHyphen/>
        <w:t>новлен, но работа в ОКБ в условиях учебного процесса МАИ была затруднена, поэтому ОКБ вскоре было переведено в Наркомат авиа</w:t>
      </w:r>
      <w:r w:rsidRPr="00271E51">
        <w:rPr>
          <w:rFonts w:ascii="Times New Roman" w:hAnsi="Times New Roman"/>
          <w:color w:val="000000" w:themeColor="text1"/>
          <w:sz w:val="16"/>
          <w:szCs w:val="16"/>
        </w:rPr>
        <w:softHyphen/>
        <w:t>ционной промышленности и было размещено на территории быв</w:t>
      </w:r>
      <w:r w:rsidRPr="00271E51">
        <w:rPr>
          <w:rFonts w:ascii="Times New Roman" w:hAnsi="Times New Roman"/>
          <w:color w:val="000000" w:themeColor="text1"/>
          <w:sz w:val="16"/>
          <w:szCs w:val="16"/>
        </w:rPr>
        <w:softHyphen/>
        <w:t>шей мебельной фабрики, между 2-й и 3-й Рыбинскими улицами (10736).</w:t>
      </w:r>
    </w:p>
    <w:p w14:paraId="3DFF53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3403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Костиков подписал подготовленное в июле 1943 Краткое ТО реактивного самолета-перехватчика 302П Бисновата, Андреева и Михайлова (2928,72):</w:t>
      </w:r>
    </w:p>
    <w:p w14:paraId="716740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по своему назначению выступает одноместным реактивным истребителем перехватчиком. По схеме представляет собой свободнонесущий моноплан с низко расположенным крылом и убирающимися в полете шасси и костылем. Двигателями самолета являются ЖРД с ТНА. Фюзеляж деревянный, крыло смешанной конструкции. Обводы крыла образованы профилями RAF-34 и NACA 230. Кабина впоследствии будет герметической. Вооружение 4хШВАК Ш-20 с 400 снарядами, расположенными в передней части фюзеляжа... (2928,72).</w:t>
      </w:r>
    </w:p>
    <w:p w14:paraId="212DE2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B7D64" w14:textId="77777777" w:rsidR="009376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месяце 1943 года завод № 477 приступил к строительству опытной машины Бе-4. К 15-му ноября был построен макет самолета, который 29 ноября 1943 года утвержден государственной комиссией ВВС ВМФ СССР. С декабря месяца 1943 года завод приступает к изготовлению летнего экземпляра указанного самолета. 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w:t>
      </w:r>
    </w:p>
    <w:p w14:paraId="03164E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color w:val="000000" w:themeColor="text1"/>
          <w:sz w:val="16"/>
          <w:szCs w:val="16"/>
        </w:rPr>
        <w:t xml:space="preserve">Секретарь крайкома ВКП (б) подпись И. Голубев </w:t>
      </w:r>
      <w:r w:rsidRPr="00271E51">
        <w:rPr>
          <w:rFonts w:ascii="Times New Roman" w:hAnsi="Times New Roman"/>
          <w:iCs/>
          <w:color w:val="000000" w:themeColor="text1"/>
          <w:sz w:val="16"/>
          <w:szCs w:val="16"/>
        </w:rPr>
        <w:t>ГАКК. Ф.П-26. Оп.4. Д.2. Л.137-138. Подлинник. Машинопись (11806).</w:t>
      </w:r>
    </w:p>
    <w:p w14:paraId="09C9AC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F9C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на М-105ПД был введен интеркулер. ВК-105ПД доводился до 1945 г. На 1-й квартал 1945 г. было дано задание на выпуск 459 ВК-105ПД на заводе № 26 и 10 — на за</w:t>
      </w:r>
      <w:r w:rsidRPr="00271E51">
        <w:rPr>
          <w:rFonts w:ascii="Times New Roman" w:hAnsi="Times New Roman"/>
          <w:color w:val="000000" w:themeColor="text1"/>
          <w:sz w:val="16"/>
          <w:szCs w:val="16"/>
        </w:rPr>
        <w:softHyphen/>
        <w:t>воде № 16. На моторе предусматривалась установка пушки ШВАК (20 мм) (11852).</w:t>
      </w:r>
    </w:p>
    <w:p w14:paraId="557793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5DB2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сентябрю 1943 г. практически все ОКБ вернулось в Москву. В Новосибирске некоторое время еще оставал</w:t>
      </w:r>
      <w:r w:rsidRPr="00271E51">
        <w:rPr>
          <w:rFonts w:ascii="Times New Roman" w:hAnsi="Times New Roman"/>
          <w:color w:val="000000" w:themeColor="text1"/>
          <w:sz w:val="16"/>
          <w:szCs w:val="16"/>
        </w:rPr>
        <w:softHyphen/>
        <w:t>ся опытный завод, но уже на правах филиала. Николай Николаевич реорганизовал руководство коллективом. Начальником ОКБ он назначил В.И.Тарасова, замести</w:t>
      </w:r>
      <w:r w:rsidRPr="00271E51">
        <w:rPr>
          <w:rFonts w:ascii="Times New Roman" w:hAnsi="Times New Roman"/>
          <w:color w:val="000000" w:themeColor="text1"/>
          <w:sz w:val="16"/>
          <w:szCs w:val="16"/>
        </w:rPr>
        <w:softHyphen/>
        <w:t>телем главного инженера завода № 51 Е.А.Костенко (10667).</w:t>
      </w:r>
    </w:p>
    <w:p w14:paraId="10934B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C0A22"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на опытных самолетах Як-3 впервые в СССР появился механизм аварийного сброса фонаря (19727).</w:t>
      </w:r>
    </w:p>
    <w:p w14:paraId="17ADC113"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7FD4C0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за 11 строительно-монтажным трестом НКАП числилось свыше 2000 заключённых (Военно-промышленный комплекс Куйбышевской области... С. 42), хотя еще весной 1943 объекты НКАП были переданы из ведения УОС в 11 строительно-монтажный трест НКАП (12011).</w:t>
      </w:r>
    </w:p>
    <w:p w14:paraId="1FDC98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6E5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по приказу НКАП № 185с от 2.04.1943 г. началось восстановление авиазавода в г. Таганрог. В соответствии с решением ГОКО № 4290с от 8.10.1943 г. и приказом № 764с от 23.12.1943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10ГУ из 6ГУ с 1.01.1944 г.</w:t>
      </w:r>
    </w:p>
    <w:p w14:paraId="0B404F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1944 г. по 05.1945 г. на заводе из деталей завода № 39 собрано пять Ер-2.</w:t>
      </w:r>
    </w:p>
    <w:p w14:paraId="3D4531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самолетостроения.38 С 1.10.46 г. получил статус опытного завода. С 1.07.1948 г. вновь преобразован в серийный (в 10ГУ). В 1959 г.- в ведении Ростовского СНХ.</w:t>
      </w:r>
    </w:p>
    <w:p w14:paraId="229BD3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F0E14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6A2980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(1.07.2003 г.)- 4109 чел.</w:t>
      </w:r>
    </w:p>
    <w:p w14:paraId="552834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(05.1944-02.1946 г.)- П.М. Федоренко, (1954 г.)- М.А. Соболев 29, (1958- начало 1970-х г.)- С.М. Головин 35, (1983 г.)- Н.В. Ожерельев 44. Гендиректор (-2002 г.)- В.Н. Какуркин, (2002 г.-; 02.2005 г.)- Н.В. Савицких, (10.2004 г.)- И.С. Семченко.</w:t>
      </w:r>
    </w:p>
    <w:p w14:paraId="026051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ВЭС- В.Н. Какуркин.</w:t>
      </w:r>
    </w:p>
    <w:p w14:paraId="4418D4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(1963-74 г.)- Р.Л. Бартини.</w:t>
      </w:r>
    </w:p>
    <w:p w14:paraId="0798F4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11ED3E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 г.)- В.Н. Малинин, (1954 г.)- С.М. Головин, (1958 г.)- А.Б. Катькалов, (нач. 1970-х г.)- Г. Будюк,35 (-; 2002-04 г.-)- В.Н. Какуркин.</w:t>
      </w:r>
    </w:p>
    <w:p w14:paraId="55891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технолог (1944 г.)- Н.Д. Архипов. Начальник производства (1944 г.)- Духанин, (1950-е)- А.И. Шамров. Начальник СКО (1944 г.)- Н.П. Назаренко. Начальник ЛИС </w:t>
      </w:r>
      <w:r w:rsidRPr="00271E51">
        <w:rPr>
          <w:rFonts w:ascii="Times New Roman" w:hAnsi="Times New Roman"/>
          <w:color w:val="000000" w:themeColor="text1"/>
          <w:sz w:val="16"/>
          <w:szCs w:val="16"/>
        </w:rPr>
        <w:lastRenderedPageBreak/>
        <w:t>(1944 г.)- Н.И. Мамлеев.</w:t>
      </w:r>
    </w:p>
    <w:p w14:paraId="06B7AA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(1950-е)- А.Я. Егоров (нач. сборочного цеха).</w:t>
      </w:r>
    </w:p>
    <w:p w14:paraId="4F12E0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Бе-6 (1952-57)- 129 (123), Бе-8, Ил-32, УЧШЛи-2 (1950-е), Бе-10 (1957-61)- 2629 (2837), Бе-12 (1963-73)- 139, Бе-30 (1970)- 5, ВВА-14 (1972-74)- 2, Ту-142 (1973-2004-), А-50 (2004); оперение для Ту-334 (2004); оборудование для десантирования грузов (2004);</w:t>
      </w:r>
    </w:p>
    <w:p w14:paraId="22340B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УРВП: Х-20 (1960-61), Х-20М (1962-); мишени: ПМ-3Ж (1958-59), 77БМ-2М (1959), 77БМ-3М (1960-62);</w:t>
      </w:r>
    </w:p>
    <w:p w14:paraId="419979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пр. 13987 «Боец», пр. 11130 «Орион» (2000-е).</w:t>
      </w:r>
    </w:p>
    <w:p w14:paraId="37CD39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Заводской номер. 3602704: 3- последняя цифра года выпуска; 6- последняя цифра номера завода; 27- номер серии; 04- номер самолета в серии.</w:t>
      </w:r>
    </w:p>
    <w:p w14:paraId="57187F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86 НКАП, МАП, Ростовского СНХ, ГС опытный завод морского самолетостроения, Таганрогский механический завод им. Г. Димитрова МАП, ТАПП (таганрогское авиационное производственное предприятие) им. Г. Димитрова, ОАО «Таганрогская авиация» («ТАВИА») </w:t>
      </w:r>
    </w:p>
    <w:p w14:paraId="61DFEB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347923 г. Таганрог Ростовской обл. пл. Авиаторов, 1 тел. 36-63-64</w:t>
      </w:r>
    </w:p>
    <w:p w14:paraId="665788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ОКБ-86 4-го Спецотдела МВД при заводе № 86 МАП гл. конструктора Р.Л. Бартини</w:t>
      </w:r>
    </w:p>
    <w:p w14:paraId="471FFA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Таганрог</w:t>
      </w:r>
    </w:p>
    <w:p w14:paraId="30D7CF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КБ с опытной базой организовано в соответствии с постановлением № 1666-737сс от 29.07.1946 г. и приказами № 555сс от 17.08.1946 г. и № 608с/0283 от 5.09.1946 г. при заводе № 86.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623A13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691D09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19FCAF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(09.1946-48 г.; 1963-06.1968 г.)- Р.Л. Бартини.</w:t>
      </w:r>
    </w:p>
    <w:p w14:paraId="0DF865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(09.1946 г.-)- М.С. Ямалутдинов.</w:t>
      </w:r>
    </w:p>
    <w:p w14:paraId="0D4CBC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53EBD4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194914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BE8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по приказу № 185с от 2.04.1943 г. началось восстановление авиазавода в Таганроге. В соответствии с решением ГКО № 4290с от 8.10.1943 г. и приказом № 764с от 23.12.1943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ЮГУ из 6ГУ с 1.01.1944 г. 4.05.1944 г. вышло постановление ГКО № 5800 о заводе.</w:t>
      </w:r>
    </w:p>
    <w:p w14:paraId="2F2B72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1944 г. по 05.1945 г. на заводе из деталей завода № 39 собрано пять Ер-2.</w:t>
      </w:r>
      <w:r w:rsidRPr="00271E51">
        <w:rPr>
          <w:rFonts w:ascii="Times New Roman" w:hAnsi="Times New Roman"/>
          <w:color w:val="000000" w:themeColor="text1"/>
          <w:sz w:val="16"/>
          <w:szCs w:val="16"/>
          <w:vertAlign w:val="superscript"/>
        </w:rPr>
        <w:t>34</w:t>
      </w:r>
    </w:p>
    <w:p w14:paraId="30DF9E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w:t>
      </w:r>
      <w:r w:rsidRPr="00271E51">
        <w:rPr>
          <w:rFonts w:ascii="Times New Roman" w:hAnsi="Times New Roman"/>
          <w:color w:val="000000" w:themeColor="text1"/>
          <w:sz w:val="16"/>
          <w:szCs w:val="16"/>
          <w:vertAlign w:val="superscript"/>
        </w:rPr>
        <w:t>38</w:t>
      </w:r>
      <w:r w:rsidRPr="00271E51">
        <w:rPr>
          <w:rFonts w:ascii="Times New Roman" w:hAnsi="Times New Roman"/>
          <w:color w:val="000000" w:themeColor="text1"/>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0DD63C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базе Ли-2Т разработан учебно-штурманский УЧШЛи-2 (А.П. Голубков).</w:t>
      </w:r>
    </w:p>
    <w:p w14:paraId="6ED7AC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62FC0B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7A59E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1988 г. на базе завода создано ТАПП. По решению правительства № 22-р от 9.01.2004 г. вошло в перечень стратегических предприятий.</w:t>
      </w:r>
    </w:p>
    <w:p w14:paraId="651659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257E3E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(1.07.2003 г.)- 4109 чел.</w:t>
      </w:r>
    </w:p>
    <w:p w14:paraId="77409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(-05.1944-48 Г.-)- П.М. Федоренко, (1953-58 г.-)- М.А. Соболев </w:t>
      </w:r>
      <w:r w:rsidRPr="00271E51">
        <w:rPr>
          <w:rFonts w:ascii="Times New Roman" w:hAnsi="Times New Roman"/>
          <w:color w:val="000000" w:themeColor="text1"/>
          <w:sz w:val="16"/>
          <w:szCs w:val="16"/>
          <w:vertAlign w:val="superscript"/>
        </w:rPr>
        <w:t>29</w:t>
      </w:r>
      <w:r w:rsidRPr="00271E51">
        <w:rPr>
          <w:rFonts w:ascii="Times New Roman" w:hAnsi="Times New Roman"/>
          <w:color w:val="000000" w:themeColor="text1"/>
          <w:sz w:val="16"/>
          <w:szCs w:val="16"/>
        </w:rPr>
        <w:t>, (1958-78 г.)- С.М. Головин</w:t>
      </w:r>
      <w:r w:rsidRPr="00271E51">
        <w:rPr>
          <w:rFonts w:ascii="Times New Roman" w:hAnsi="Times New Roman"/>
          <w:color w:val="000000" w:themeColor="text1"/>
          <w:sz w:val="16"/>
          <w:szCs w:val="16"/>
          <w:vertAlign w:val="superscript"/>
        </w:rPr>
        <w:t>35</w:t>
      </w:r>
      <w:r w:rsidRPr="00271E51">
        <w:rPr>
          <w:rFonts w:ascii="Times New Roman" w:hAnsi="Times New Roman"/>
          <w:color w:val="000000" w:themeColor="text1"/>
          <w:sz w:val="16"/>
          <w:szCs w:val="16"/>
        </w:rPr>
        <w:t>, (1978- 85 г.)- Н.В. Ожерельев, (1985-2001 г.)- И.С. Семченко. Гендиректор (-2002 г.)- В.Н. Какуркин, (2002 г.-; 02.2005- 06 г.)- Н.В. Савицких, (Ю.2004 г.)- И.С. Семченко, (11.2006 г.-)- В. Кобзев.</w:t>
      </w:r>
    </w:p>
    <w:p w14:paraId="03D065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ВЭС- В.Н. Какуркин; по экономике и финансам (2006 г.)- А. Чуркин.</w:t>
      </w:r>
    </w:p>
    <w:p w14:paraId="6CE4C3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(1963-74 г.)- </w:t>
      </w:r>
      <w:r w:rsidRPr="00271E51">
        <w:rPr>
          <w:rFonts w:ascii="Times New Roman" w:hAnsi="Times New Roman"/>
          <w:color w:val="000000" w:themeColor="text1"/>
          <w:sz w:val="16"/>
          <w:szCs w:val="16"/>
          <w:lang w:val="en-US"/>
        </w:rPr>
        <w:t>P</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Бартини.</w:t>
      </w:r>
    </w:p>
    <w:p w14:paraId="1F372C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22C1F5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 г.)- В.Н. Малинин, (1954 г.)- С.М. Головин, (1958 г.)- А.Б. Катькалов, (1960-е)- Н.В. Ожерельев, (начало 1970-х  г.)-  Г. Будюк,</w:t>
      </w:r>
      <w:r w:rsidRPr="00271E51">
        <w:rPr>
          <w:rFonts w:ascii="Times New Roman" w:hAnsi="Times New Roman"/>
          <w:color w:val="000000" w:themeColor="text1"/>
          <w:sz w:val="16"/>
          <w:szCs w:val="16"/>
          <w:vertAlign w:val="superscript"/>
        </w:rPr>
        <w:t>35</w:t>
      </w:r>
      <w:r w:rsidRPr="00271E51">
        <w:rPr>
          <w:rFonts w:ascii="Times New Roman" w:hAnsi="Times New Roman"/>
          <w:color w:val="000000" w:themeColor="text1"/>
          <w:sz w:val="16"/>
          <w:szCs w:val="16"/>
        </w:rPr>
        <w:t xml:space="preserve"> (-2002-04 г.-)- В.Н. Какуркин.</w:t>
      </w:r>
    </w:p>
    <w:p w14:paraId="060284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299EC1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сборочного (1950-е)- А</w:t>
      </w:r>
      <w:r w:rsidRPr="00271E51">
        <w:rPr>
          <w:rFonts w:ascii="Times New Roman" w:hAnsi="Times New Roman"/>
          <w:iCs/>
          <w:color w:val="000000" w:themeColor="text1"/>
          <w:sz w:val="16"/>
          <w:szCs w:val="16"/>
        </w:rPr>
        <w:t xml:space="preserve"> .Я.</w:t>
      </w:r>
      <w:r w:rsidRPr="00271E51">
        <w:rPr>
          <w:rFonts w:ascii="Times New Roman" w:hAnsi="Times New Roman"/>
          <w:color w:val="000000" w:themeColor="text1"/>
          <w:sz w:val="16"/>
          <w:szCs w:val="16"/>
        </w:rPr>
        <w:t xml:space="preserve"> Егоров.</w:t>
      </w:r>
    </w:p>
    <w:p w14:paraId="4A80B9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самолеты:</w:t>
      </w:r>
      <w:r w:rsidRPr="00271E51">
        <w:rPr>
          <w:rFonts w:ascii="Times New Roman" w:hAnsi="Times New Roman"/>
          <w:color w:val="000000" w:themeColor="text1"/>
          <w:sz w:val="16"/>
          <w:szCs w:val="16"/>
        </w:rPr>
        <w:t xml:space="preserve"> Бе-6 (1952-57)- 129 (123), Бе-8, Ил-32, УЧШЛи-2 (1950-е), Бе-10 (1957-61)- 26</w:t>
      </w:r>
      <w:r w:rsidRPr="00271E51">
        <w:rPr>
          <w:rFonts w:ascii="Times New Roman" w:hAnsi="Times New Roman"/>
          <w:color w:val="000000" w:themeColor="text1"/>
          <w:sz w:val="16"/>
          <w:szCs w:val="16"/>
          <w:vertAlign w:val="superscript"/>
        </w:rPr>
        <w:t xml:space="preserve">29 </w:t>
      </w:r>
      <w:r w:rsidRPr="00271E51">
        <w:rPr>
          <w:rFonts w:ascii="Times New Roman" w:hAnsi="Times New Roman"/>
          <w:color w:val="000000" w:themeColor="text1"/>
          <w:sz w:val="16"/>
          <w:szCs w:val="16"/>
        </w:rPr>
        <w:t>(28</w:t>
      </w:r>
      <w:r w:rsidRPr="00271E51">
        <w:rPr>
          <w:rFonts w:ascii="Times New Roman" w:hAnsi="Times New Roman"/>
          <w:color w:val="000000" w:themeColor="text1"/>
          <w:sz w:val="16"/>
          <w:szCs w:val="16"/>
          <w:vertAlign w:val="superscript"/>
        </w:rPr>
        <w:t>37</w:t>
      </w:r>
      <w:r w:rsidRPr="00271E51">
        <w:rPr>
          <w:rFonts w:ascii="Times New Roman" w:hAnsi="Times New Roman"/>
          <w:color w:val="000000" w:themeColor="text1"/>
          <w:sz w:val="16"/>
          <w:szCs w:val="16"/>
        </w:rPr>
        <w:t>), Бе-12 (1963-73)- 139, Бе-30 (1970)- 5, ВВА-14 (1972-74)- 2, Ту-142 (1973-2004-), Ту-95МС (1981-83)- 88 (вместе с заводом № 18),</w:t>
      </w:r>
      <w:r w:rsidRPr="00271E51">
        <w:rPr>
          <w:rFonts w:ascii="Times New Roman" w:hAnsi="Times New Roman"/>
          <w:color w:val="000000" w:themeColor="text1"/>
          <w:sz w:val="16"/>
          <w:szCs w:val="16"/>
          <w:vertAlign w:val="superscript"/>
        </w:rPr>
        <w:t>30</w:t>
      </w:r>
      <w:r w:rsidRPr="00271E51">
        <w:rPr>
          <w:rFonts w:ascii="Times New Roman" w:hAnsi="Times New Roman"/>
          <w:color w:val="000000" w:themeColor="text1"/>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476282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патрульный пр. 13987 «Боец» (1990-е), малый скоростной пр. 11130 «Орион» (2000-е);</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параппотно- бесплатформенные системы ПБС-915, ПБС-925 (2000-е);</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антенны РЛС дальнего обнаружения «Днестр-М» (1960-е);</w:t>
      </w:r>
    </w:p>
    <w:p w14:paraId="292884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Заводской номер. 3602704: 3-</w:t>
      </w:r>
      <w:r w:rsidRPr="00271E51">
        <w:rPr>
          <w:rFonts w:ascii="Times New Roman" w:hAnsi="Times New Roman"/>
          <w:color w:val="000000" w:themeColor="text1"/>
          <w:sz w:val="16"/>
          <w:szCs w:val="16"/>
        </w:rPr>
        <w:t xml:space="preserve"> последняя цифра года выпуска;</w:t>
      </w:r>
      <w:r w:rsidRPr="00271E51">
        <w:rPr>
          <w:rFonts w:ascii="Times New Roman" w:hAnsi="Times New Roman"/>
          <w:iCs/>
          <w:color w:val="000000" w:themeColor="text1"/>
          <w:sz w:val="16"/>
          <w:szCs w:val="16"/>
        </w:rPr>
        <w:t xml:space="preserve"> 6-</w:t>
      </w:r>
      <w:r w:rsidRPr="00271E51">
        <w:rPr>
          <w:rFonts w:ascii="Times New Roman" w:hAnsi="Times New Roman"/>
          <w:color w:val="000000" w:themeColor="text1"/>
          <w:sz w:val="16"/>
          <w:szCs w:val="16"/>
        </w:rPr>
        <w:t xml:space="preserve"> последняя цифра номера завода; 27- номер серии;</w:t>
      </w:r>
      <w:r w:rsidRPr="00271E51">
        <w:rPr>
          <w:rFonts w:ascii="Times New Roman" w:hAnsi="Times New Roman"/>
          <w:iCs/>
          <w:color w:val="000000" w:themeColor="text1"/>
          <w:sz w:val="16"/>
          <w:szCs w:val="16"/>
        </w:rPr>
        <w:t xml:space="preserve"> 04-</w:t>
      </w:r>
      <w:r w:rsidRPr="00271E51">
        <w:rPr>
          <w:rFonts w:ascii="Times New Roman" w:hAnsi="Times New Roman"/>
          <w:color w:val="000000" w:themeColor="text1"/>
          <w:sz w:val="16"/>
          <w:szCs w:val="16"/>
        </w:rPr>
        <w:t xml:space="preserve"> номер самолета в серии (11982).</w:t>
      </w:r>
    </w:p>
    <w:p w14:paraId="127AF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BDBB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 Харьков из Саратова привезли обгорелые станки из разбитого бомбами цеха, поскольку других у завода не было; не было в цехах и электричества (10674).</w:t>
      </w:r>
    </w:p>
    <w:p w14:paraId="36CF35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42B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были утверждены и введены в действие ТУ на масляную эмаль А-21м (цветовой аналог АМТ-1). Эмаль изготавливалась на цинковых белилах с добавкой колерных пигментов, вероятно, аналогичных пигментам аэролака АМТ-1. Однако цвета этих двух красок несколько отличались друг от друга из-за различий в пленкообразующих: масляный лак имел желтоватый оттенок, а нитроцеллюлоза - практически прозрачна. Поэтому цвет А-21м был немного более желтым, более теплым. Эта особенность присуща всем масляным эмалям, если сравнивать их с аналогичными по цвету аэролаками, но хорошо заметна только у эмалей светлых оттенков, таких как А-21 м и А-28м. Другим характерным для масляных эмалей отличием А-21м являлась матовая поверхность высохшей пленки. АМТ-11 имел довольно темный с небольшим голубым оттенком цвет, который при хранении мог незначительно изменяться. Интересно, что в 1943 г. не были введены ТУ на масляную эмаль серо-голубого цвета. Это объясняется тем, что она использовалась в 1943 г. только для камуфлирования истребителей, среди которых в то время не было цельнометаллических самолетов, требовавших окраски масляными эмалями. А для окраски сравнительно небольших съемных металлических частей (например, капотов и лючков) машин смешанной конструкции, какими и являлись все тогдашние советские истребители, можно было использовать и использовали аэролаки, наносимые по грунту АЛ Г-5 с горячей сушкой, которая могла быть без особых затруднений произведена для подобных деталей на заводах НКАП. Аэролак АМТ-12 и масляная эмаль А-32м должны были заменить в новых камуфляжах черные краски АМТ-6 и А-26м, которые теперь стали применяться только для окраски лопастей винтов. Обе эти новые эмали были достаточно темными, причем аэролак АМТ-12 был немного темнее, чем А-32м. Причиной такой, казалось бы, незначительной замены можно считать, сделанный к тому времени военными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 (3285,13).</w:t>
      </w:r>
    </w:p>
    <w:p w14:paraId="5A7DD1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B2F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1943-го С.Н.Анохин переходит а ЛИИ на постоянную работу. С первых же дней работы в институте он выполняет самые сложные испытания, попадая при этом в критические ситуации (5996).</w:t>
      </w:r>
    </w:p>
    <w:p w14:paraId="38E575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42F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сеньябре 1943 ГСКБ-47 сдало на гос. испытания ФАБ-250М43, но пришлось дорабатывать и вновь испытывали в октябре 1943 (7453, 306).</w:t>
      </w:r>
    </w:p>
    <w:p w14:paraId="2DFD5F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2E9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ГСКБ-47 сдало ФАБ-250М43 на госиспытания, где из-за неудачной конструкции конуса заднего обтекателя бомбы крыльчатка взрывателя в донном очке попадала в зону аэродинамического затенения, и он не взводился. Конструктивные изменения, внесенные в ходе испытаний, положительных результатов не дали. В октябре испытали ФАБ-250М43 с удлиненной конической частью, но взрыватели также не срабатывали из-за неудачного соотношения диаметра донного среза и высоты конуса хвостовой части корпуса авиабомбы. Дело в том, что данное соотношение у штатных боеприпасов находилось в пределах 0,13-0,65, а у опытной оно соответствовало 0,94.</w:t>
      </w:r>
    </w:p>
    <w:p w14:paraId="78286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Специалисты ГСКБ-47 оперативно увеличили высоту конуса со 150 до 190 мм, добившись вышеупомянутого соотношения в 0,55. ФАБ-250М43 третьего варианта снарядили тротилом и подали на испытания также в октябре. Боеприпасы этой опытной партии продемонстрировали удовлетворительное фугасное действие и достаточную устойчивость на траектории, выдержав госиспытания. Авиабомбе присвоили номер чертежа 3-01284 и “освободившийся” индекс по ВВС - 7-Ф-325. При этом ФАБ-250св чертежей 3-641 и 3-01086 сняли с производства (7453).</w:t>
      </w:r>
    </w:p>
    <w:p w14:paraId="407FE9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FAF8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43D9F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0E09E7" w14:textId="77777777" w:rsidR="00771B3B" w:rsidRPr="00271E51" w:rsidRDefault="00771B3B" w:rsidP="00271E51">
      <w:pPr>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сентябре 1943 года РПГ-6 прошла войсковые испытания уже, причем проводились они по наиболее тяжелобронированной из трофейных машин – САУ «Фердинанд». Комиссия рекомендовала РПГ-6 для принятия на вооружение Красной армии как средство борьбы пехоты с бронированными машинами, имевшими толщину брони до 100 мм – такая «избранность» была понятна с учетом большей массы гранаты и мощности заряда (18988).</w:t>
      </w:r>
    </w:p>
    <w:p w14:paraId="449ED21D" w14:textId="77777777" w:rsidR="00771B3B" w:rsidRPr="00271E51" w:rsidRDefault="00771B3B" w:rsidP="00271E51">
      <w:pPr>
        <w:spacing w:after="0" w:line="240" w:lineRule="auto"/>
        <w:jc w:val="both"/>
        <w:textAlignment w:val="baseline"/>
        <w:rPr>
          <w:rFonts w:ascii="Times New Roman" w:eastAsia="Times New Roman" w:hAnsi="Times New Roman"/>
          <w:color w:val="000000" w:themeColor="text1"/>
          <w:sz w:val="16"/>
          <w:szCs w:val="16"/>
          <w:lang w:eastAsia="ru-RU"/>
        </w:rPr>
      </w:pPr>
    </w:p>
    <w:p w14:paraId="1BEF6B4B" w14:textId="77777777" w:rsidR="00771B3B" w:rsidRPr="00271E51" w:rsidRDefault="00771B3B"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 xml:space="preserve">С сентября 1943 года до февраля 1944 года с перерывами проводились заводские испытания </w:t>
      </w:r>
      <w:r w:rsidRPr="00271E51">
        <w:rPr>
          <w:rStyle w:val="a7"/>
          <w:rFonts w:ascii="Times New Roman" w:hAnsi="Times New Roman"/>
          <w:b w:val="0"/>
          <w:color w:val="000000" w:themeColor="text1"/>
          <w:sz w:val="16"/>
          <w:szCs w:val="16"/>
          <w:shd w:val="clear" w:color="auto" w:fill="FFFFFF"/>
        </w:rPr>
        <w:t>82-мм легкого пехотного орудия</w:t>
      </w:r>
      <w:r w:rsidRPr="00271E51">
        <w:rPr>
          <w:rFonts w:ascii="Times New Roman" w:hAnsi="Times New Roman"/>
          <w:color w:val="000000" w:themeColor="text1"/>
          <w:sz w:val="16"/>
          <w:szCs w:val="16"/>
          <w:shd w:val="clear" w:color="auto" w:fill="FFFFFF"/>
        </w:rPr>
        <w:t xml:space="preserve"> СКБ-34, спроектированого в СКБ-НКВ (Коломна). Первый раз полигонные испытания были проведены в марте-апреле 1944 года. СКБ-34 оказалось суперуниверсальным орудием — оно могло вести навесной огонь 82-мм минами как обычный миномет, вести борьбу с танками и даже с самолетами. То есть это был миномет, полевая пушка, противотанковая и зенитная пушки в одной системе — можно сказать, предшественник орудия «Нона». Орудие имело разнообразный боекомплект; в него входили: обычная 82-мм мина для навесной стрельбы (заряды, как в обычных минометах); унитарный выстрел для настильной стрельбы. Оперенный снаряд для него был спроектирован в СКБ-48;  82-мм противотанковая кумулятивная мина конструкции СКБ-НКВ; унитарный зенитный выстрел с дистанционным взрывателем; унитарный выстрел с картечью. При ведении навесного огня при углах, больших 45°, заряжание производилось с дула, а настильного — с казенной части. Стрельба при углах свыше 45° велась с помощью вставленной с казны постоянной железной гильзы с жестким бойком, то есть воспламенителя Стокса. Стрельба при малых углах возвышения (до +5°) велась с колес, а при больших углах — с двух опорных плит. При постановке системы на плиты колеса приподнимались на 40-60 мм над грунтом.</w:t>
      </w:r>
    </w:p>
    <w:p w14:paraId="4AF3DE08" w14:textId="77777777" w:rsidR="00771B3B" w:rsidRPr="00271E51" w:rsidRDefault="00771B3B"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Ствол орудия — моноблок с иавинтным казенником. Канал ствола гладкий. Затвор горизонтальный клиновой. Люлька с противооткатными устройствами взята штатная от 45-мм противотанковой пушки обр. 1937 г. Единственное изменение в ней — шесть дополнительных канавок в цилиндре тормоза отката. Верхний станок штампосварной. Уравновешивающий механизм пружинный, тянущего типа. Поворотный механизм винтовой. Подъемный механизм секторный. Боевая ось коробчатая сварная. Колеса мотоциклетные.</w:t>
      </w:r>
    </w:p>
    <w:p w14:paraId="0899C52E"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Согласно заключению комиссии по полигонным испытаниям от 23 июня 1944 года: кучность системы при стрельбе с дистанции 500 м хуже кучности 76-мм полковой пушки обр. 1943 г.  Прочность пружин подрессоривания и сварных швов при возке неудовлетворительны. Железная гильза с бойком для самонакалывания после стрельбы плохо экстрактируется. Щитовое прикрытие не полностью прикрывает расчет. Тем не менее комиссия рекомендовала изготовить опытную серию орудий для войсковых испытаний. Дальнейшая сульба орудия неизвестна (19615).</w:t>
      </w:r>
    </w:p>
    <w:p w14:paraId="0E2E3B3F"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1EA3A8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командование бронетанковыми и механизированными войсками Красной Армии предъявило через Госарбитраж штрафные санкции заводам № 112, 174, 183, Уралмашзаводу и Кировскому заводу в раз</w:t>
      </w:r>
      <w:r w:rsidRPr="00271E51">
        <w:rPr>
          <w:rFonts w:ascii="Times New Roman" w:hAnsi="Times New Roman"/>
          <w:color w:val="000000" w:themeColor="text1"/>
          <w:sz w:val="16"/>
          <w:szCs w:val="16"/>
        </w:rPr>
        <w:softHyphen/>
        <w:t>мере 5,5 млн. руб., а НКФ СССР «не увидел оснований к осво</w:t>
      </w:r>
      <w:r w:rsidRPr="00271E51">
        <w:rPr>
          <w:rFonts w:ascii="Times New Roman" w:hAnsi="Times New Roman"/>
          <w:color w:val="000000" w:themeColor="text1"/>
          <w:sz w:val="16"/>
          <w:szCs w:val="16"/>
        </w:rPr>
        <w:softHyphen/>
        <w:t>бождению НКТП от уплаты пени и штрафа»! (РГАЭ ф. 7733, оп. 36, д. 1298, л. 40). Чтобы рабо</w:t>
      </w:r>
      <w:r w:rsidRPr="00271E51">
        <w:rPr>
          <w:rFonts w:ascii="Times New Roman" w:hAnsi="Times New Roman"/>
          <w:color w:val="000000" w:themeColor="text1"/>
          <w:sz w:val="16"/>
          <w:szCs w:val="16"/>
        </w:rPr>
        <w:softHyphen/>
        <w:t>чие данных заводов не остались без премий, заместитель Нарко-Ма танковой промышленности А.М.Петросянц обратился за под-Держкой к члену ГКО Л.П.Берия. Краткой, но выразительной ре</w:t>
      </w:r>
      <w:r w:rsidRPr="00271E51">
        <w:rPr>
          <w:rFonts w:ascii="Times New Roman" w:hAnsi="Times New Roman"/>
          <w:color w:val="000000" w:themeColor="text1"/>
          <w:sz w:val="16"/>
          <w:szCs w:val="16"/>
        </w:rPr>
        <w:softHyphen/>
        <w:t>золюции Лаврентия Павловича оказалось достаточно, чтобы НКФ СССР срочно переменил свое мнение и «забалансировал» спор</w:t>
      </w:r>
      <w:r w:rsidRPr="00271E51">
        <w:rPr>
          <w:rFonts w:ascii="Times New Roman" w:hAnsi="Times New Roman"/>
          <w:color w:val="000000" w:themeColor="text1"/>
          <w:sz w:val="16"/>
          <w:szCs w:val="16"/>
        </w:rPr>
        <w:softHyphen/>
        <w:t>ную сумму за счет государственного бюджета (РГАЭ ф. 7733, оп. 36, д. 1298, л. 38) (1566).</w:t>
      </w:r>
    </w:p>
    <w:p w14:paraId="079503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90A67" w14:textId="77777777" w:rsidR="009376F4" w:rsidRPr="00271E51" w:rsidRDefault="009376F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сентябре 1943 года ЧКЗ отгрузил последние 7 КВ-1С. Таким образом, всего за 1943 год Челябинский Кировский за</w:t>
      </w:r>
      <w:r w:rsidRPr="00271E51">
        <w:rPr>
          <w:rFonts w:ascii="Times New Roman" w:cs="Times New Roman"/>
          <w:color w:val="000000" w:themeColor="text1"/>
          <w:spacing w:val="0"/>
        </w:rPr>
        <w:softHyphen/>
        <w:t xml:space="preserve">вод изготовил 462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(считая два опыт</w:t>
      </w:r>
      <w:r w:rsidRPr="00271E51">
        <w:rPr>
          <w:rFonts w:ascii="Times New Roman" w:cs="Times New Roman"/>
          <w:color w:val="000000" w:themeColor="text1"/>
          <w:spacing w:val="0"/>
        </w:rPr>
        <w:softHyphen/>
        <w:t>ных с 85-мм пушками), а общий суммарный выпуск этих танков в 1942—1943 годах соста</w:t>
      </w:r>
      <w:r w:rsidRPr="00271E51">
        <w:rPr>
          <w:rFonts w:ascii="Times New Roman" w:cs="Times New Roman"/>
          <w:color w:val="000000" w:themeColor="text1"/>
          <w:spacing w:val="0"/>
        </w:rPr>
        <w:softHyphen/>
        <w:t xml:space="preserve">вил 1086 машин. Танки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не могут похвастаться каким-то большим числом опытных образ</w:t>
      </w:r>
      <w:r w:rsidRPr="00271E51">
        <w:rPr>
          <w:rFonts w:ascii="Times New Roman" w:cs="Times New Roman"/>
          <w:color w:val="000000" w:themeColor="text1"/>
          <w:spacing w:val="0"/>
        </w:rPr>
        <w:softHyphen/>
        <w:t>цов. Это и понятно — заводу требовалось обе</w:t>
      </w:r>
      <w:r w:rsidRPr="00271E51">
        <w:rPr>
          <w:rFonts w:ascii="Times New Roman" w:cs="Times New Roman"/>
          <w:color w:val="000000" w:themeColor="text1"/>
          <w:spacing w:val="0"/>
        </w:rPr>
        <w:softHyphen/>
        <w:t xml:space="preserve">спечивать выполнение плана по серийным машинам. Основные опытные работы были связаны с повышением надежности узлов и деталей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- 1С. Для этого несколько машин были переданы опытному заводу № 100.</w:t>
      </w:r>
    </w:p>
    <w:p w14:paraId="4200FED0" w14:textId="77777777" w:rsidR="009376F4" w:rsidRPr="00271E51" w:rsidRDefault="009376F4" w:rsidP="00271E51">
      <w:pPr>
        <w:spacing w:after="0" w:line="240" w:lineRule="auto"/>
        <w:jc w:val="both"/>
        <w:rPr>
          <w:rFonts w:ascii="Times New Roman" w:hAnsi="Times New Roman"/>
          <w:color w:val="000000" w:themeColor="text1"/>
          <w:sz w:val="16"/>
          <w:szCs w:val="16"/>
        </w:rPr>
      </w:pPr>
    </w:p>
    <w:p w14:paraId="3B3C52E5" w14:textId="77777777" w:rsidR="009376F4" w:rsidRPr="00271E51" w:rsidRDefault="009376F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сентябре 1943 года Кировский завод вы</w:t>
      </w:r>
      <w:r w:rsidRPr="00271E51">
        <w:rPr>
          <w:rFonts w:ascii="Times New Roman" w:cs="Times New Roman"/>
          <w:color w:val="000000" w:themeColor="text1"/>
          <w:spacing w:val="0"/>
        </w:rPr>
        <w:softHyphen/>
        <w:t>полнил план по КВ-85, изготовив 63 маши</w:t>
      </w:r>
      <w:r w:rsidRPr="00271E51">
        <w:rPr>
          <w:rFonts w:ascii="Times New Roman" w:cs="Times New Roman"/>
          <w:color w:val="000000" w:themeColor="text1"/>
          <w:spacing w:val="0"/>
        </w:rPr>
        <w:softHyphen/>
        <w:t>ны. И это несмотря на то, что работу по гра</w:t>
      </w:r>
      <w:r w:rsidRPr="00271E51">
        <w:rPr>
          <w:rFonts w:ascii="Times New Roman" w:cs="Times New Roman"/>
          <w:color w:val="000000" w:themeColor="text1"/>
          <w:spacing w:val="0"/>
        </w:rPr>
        <w:softHyphen/>
        <w:t>фику срывали заводы-поставщики:</w:t>
      </w:r>
    </w:p>
    <w:p w14:paraId="1444F329" w14:textId="77777777" w:rsidR="009376F4" w:rsidRPr="00271E51" w:rsidRDefault="009376F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«Особенно плохо обстояло дело по КВ-85 - последние корпуса, башни, погоны, бро- немаски и артсистемы поступили только 29-30 сентября. Это обстоятельство постави</w:t>
      </w:r>
      <w:r w:rsidRPr="00271E51">
        <w:rPr>
          <w:rFonts w:ascii="Times New Roman" w:cs="Times New Roman"/>
          <w:color w:val="000000" w:themeColor="text1"/>
          <w:spacing w:val="0"/>
        </w:rPr>
        <w:softHyphen/>
        <w:t>ло завод в очень трудные условия выполнения программы сентября месяца. Все же, несмо</w:t>
      </w:r>
      <w:r w:rsidRPr="00271E51">
        <w:rPr>
          <w:rFonts w:ascii="Times New Roman" w:cs="Times New Roman"/>
          <w:color w:val="000000" w:themeColor="text1"/>
          <w:spacing w:val="0"/>
        </w:rPr>
        <w:softHyphen/>
        <w:t>тря на то, что 63-й корпус, 16 башен, 9 корыт и другие детали поступили только 30 сентя</w:t>
      </w:r>
      <w:r w:rsidRPr="00271E51">
        <w:rPr>
          <w:rFonts w:ascii="Times New Roman" w:cs="Times New Roman"/>
          <w:color w:val="000000" w:themeColor="text1"/>
          <w:spacing w:val="0"/>
        </w:rPr>
        <w:softHyphen/>
        <w:t>бря, программа заводом была выполнена - 63-я машина ушла со сборки 1 октября в 8 ча</w:t>
      </w:r>
      <w:r w:rsidRPr="00271E51">
        <w:rPr>
          <w:rFonts w:ascii="Times New Roman" w:cs="Times New Roman"/>
          <w:color w:val="000000" w:themeColor="text1"/>
          <w:spacing w:val="0"/>
        </w:rPr>
        <w:softHyphen/>
        <w:t>сов утра. На сборке КВ-85 работали лучшие мастера и бригады во главе с начальниками цехов СБ-34, КСД-2, КСД-34, КСД-3» (15226).</w:t>
      </w:r>
    </w:p>
    <w:p w14:paraId="343128D0" w14:textId="77777777" w:rsidR="009376F4" w:rsidRPr="00271E51" w:rsidRDefault="009376F4" w:rsidP="00271E51">
      <w:pPr>
        <w:pStyle w:val="27"/>
        <w:shd w:val="clear" w:color="auto" w:fill="auto"/>
        <w:spacing w:after="0" w:line="240" w:lineRule="auto"/>
        <w:ind w:firstLine="0"/>
        <w:rPr>
          <w:rFonts w:ascii="Times New Roman" w:cs="Times New Roman"/>
          <w:color w:val="000000" w:themeColor="text1"/>
          <w:spacing w:val="0"/>
        </w:rPr>
      </w:pPr>
    </w:p>
    <w:p w14:paraId="5CF780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на фронт начали поступать КВ-85. Из-за сложности пушки Д-5Т Ф.Ф.Петрова всего было изготовлено всего 148 танков этого типа. Большинство попало в гвардейские танковые войска прорыва. Производство КВ-1С продолжалось до декабря 1943 (4137).</w:t>
      </w:r>
    </w:p>
    <w:p w14:paraId="1E186F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18A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сентября 1943 г., т.е. до начала организа</w:t>
      </w:r>
      <w:r w:rsidRPr="00271E51">
        <w:rPr>
          <w:rFonts w:ascii="Times New Roman" w:hAnsi="Times New Roman"/>
          <w:color w:val="000000" w:themeColor="text1"/>
          <w:sz w:val="16"/>
          <w:szCs w:val="16"/>
        </w:rPr>
        <w:softHyphen/>
        <w:t>ции серийного выпуска танков ИС-85 танк КВ-85 выпускался на ЧКЗ серийно. Всего было выпущено 148 машин данной модификации, которые широко применялись на фронтах Вели</w:t>
      </w:r>
      <w:r w:rsidRPr="00271E51">
        <w:rPr>
          <w:rFonts w:ascii="Times New Roman" w:hAnsi="Times New Roman"/>
          <w:color w:val="000000" w:themeColor="text1"/>
          <w:sz w:val="16"/>
          <w:szCs w:val="16"/>
        </w:rPr>
        <w:softHyphen/>
        <w:t>кой Отечественной войны в составе танковых полков прорыва (10703).</w:t>
      </w:r>
    </w:p>
    <w:p w14:paraId="469824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6B2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прекратился выпуск на ЧКЗ танк КВ-1С, который был принят на вооружение РККА 20 августа 1942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271E51">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271E51">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271E51">
        <w:rPr>
          <w:rFonts w:ascii="Times New Roman" w:hAnsi="Times New Roman"/>
          <w:color w:val="000000" w:themeColor="text1"/>
          <w:sz w:val="16"/>
          <w:szCs w:val="16"/>
        </w:rPr>
        <w:softHyphen/>
        <w:t>нированный объем боевого и транс</w:t>
      </w:r>
      <w:r w:rsidRPr="00271E51">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271E51">
        <w:rPr>
          <w:rFonts w:ascii="Times New Roman" w:hAnsi="Times New Roman"/>
          <w:color w:val="000000" w:themeColor="text1"/>
          <w:sz w:val="16"/>
          <w:szCs w:val="16"/>
        </w:rPr>
        <w:softHyphen/>
        <w:t>соты кормовой части корпуса. Кро</w:t>
      </w:r>
      <w:r w:rsidRPr="00271E51">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42ADDB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D2D83"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испытания планетарной трансмиссии конструкции Зайчика из планов работ завода №100 попросту исчезли, а 30 ноября было доложено об окончании сборки планетарной транс</w:t>
      </w:r>
      <w:r w:rsidRPr="00271E51">
        <w:rPr>
          <w:rFonts w:ascii="Times New Roman" w:hAnsi="Times New Roman"/>
          <w:color w:val="000000" w:themeColor="text1"/>
          <w:sz w:val="16"/>
          <w:szCs w:val="16"/>
        </w:rPr>
        <w:softHyphen/>
        <w:t>миссии... конструкции ОКБ завода №100. Разработка ее затянулась, а весной 1944 года трансмиссию установили на первый образец тяжело</w:t>
      </w:r>
      <w:r w:rsidRPr="00271E51">
        <w:rPr>
          <w:rFonts w:ascii="Times New Roman" w:hAnsi="Times New Roman"/>
          <w:color w:val="000000" w:themeColor="text1"/>
          <w:sz w:val="16"/>
          <w:szCs w:val="16"/>
        </w:rPr>
        <w:softHyphen/>
        <w:t>го танка Объект 701. Противостояние не закончилось: на втором образ</w:t>
      </w:r>
      <w:r w:rsidRPr="00271E51">
        <w:rPr>
          <w:rFonts w:ascii="Times New Roman" w:hAnsi="Times New Roman"/>
          <w:color w:val="000000" w:themeColor="text1"/>
          <w:sz w:val="16"/>
          <w:szCs w:val="16"/>
        </w:rPr>
        <w:softHyphen/>
        <w:t>це нового танка стояла трансмиссия разработки группы Зайчика. (17484).</w:t>
      </w:r>
    </w:p>
    <w:p w14:paraId="1A27C1B3"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023EB1F8" w14:textId="77777777" w:rsidR="00B95E55" w:rsidRPr="00271E51" w:rsidRDefault="00B95E55" w:rsidP="00271E51">
      <w:pPr>
        <w:pStyle w:val="a3"/>
        <w:rPr>
          <w:color w:val="000000" w:themeColor="text1"/>
          <w:lang w:val="ru-RU"/>
        </w:rPr>
      </w:pPr>
      <w:r w:rsidRPr="00271E51">
        <w:rPr>
          <w:color w:val="000000" w:themeColor="text1"/>
          <w:lang w:val="ru-RU"/>
        </w:rPr>
        <w:t>Сентябрь 1943 года прошел для ЧКЗ в спокойном ритме. Первые 36 СУ-152 были сданы уже к 10 сентября, к 20-му числу — 73 штуки, так что планку в 84 самоходные установки завод преодолел без уси</w:t>
      </w:r>
      <w:r w:rsidRPr="00271E51">
        <w:rPr>
          <w:color w:val="000000" w:themeColor="text1"/>
          <w:lang w:val="ru-RU"/>
        </w:rPr>
        <w:softHyphen/>
        <w:t>лий. Не обходилось, впрочем, и без технических накладок, на сей раз «отличился» завод №172. 3 сентября 1943 года в ГАУ и ГАБТУ ушли письма от старшего военпреда УСА ГАБТУ КА инженер-полковника Шаронова:</w:t>
      </w:r>
    </w:p>
    <w:p w14:paraId="3A3E2493"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Style w:val="Bodytext145"/>
          <w:rFonts w:ascii="Times New Roman" w:hAnsi="Times New Roman"/>
          <w:iCs/>
          <w:color w:val="000000" w:themeColor="text1"/>
          <w:sz w:val="16"/>
          <w:szCs w:val="16"/>
        </w:rPr>
        <w:t>«Доношу, что в присылаемых заводом №172 пушках МЛ-20С имеются дефекты, на которые неоднократно указывалось ОТКи военной приемкойКировского завода.</w:t>
      </w:r>
    </w:p>
    <w:p w14:paraId="7D0DFF0E" w14:textId="77777777" w:rsidR="00B95E55" w:rsidRPr="00271E51" w:rsidRDefault="00B95E55" w:rsidP="00271E51">
      <w:pPr>
        <w:pStyle w:val="Bodytext141"/>
        <w:shd w:val="clear" w:color="auto" w:fill="auto"/>
        <w:tabs>
          <w:tab w:val="left" w:pos="2970"/>
        </w:tabs>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1. Неправильно расположен кронштейн с глазком для крепления при</w:t>
      </w:r>
      <w:r w:rsidRPr="00271E51">
        <w:rPr>
          <w:rStyle w:val="Bodytext145"/>
          <w:i w:val="0"/>
          <w:iCs w:val="0"/>
          <w:color w:val="000000" w:themeColor="text1"/>
          <w:sz w:val="16"/>
          <w:szCs w:val="16"/>
        </w:rPr>
        <w:softHyphen/>
        <w:t>цела СТ-10.</w:t>
      </w:r>
    </w:p>
    <w:p w14:paraId="1CFEC342"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lastRenderedPageBreak/>
        <w:t>При осмотре шести систем за №8239, 8244, 8247, 8266, 8287 и 8241 и проверкой расположения кронштейна по специально изготовленным Кировским заводом приспособлением обнаружено, что только на 1 системе №3241 расположение отверстий в крон</w:t>
      </w:r>
      <w:r w:rsidRPr="00271E51">
        <w:rPr>
          <w:rStyle w:val="Bodytext145"/>
          <w:i w:val="0"/>
          <w:iCs w:val="0"/>
          <w:color w:val="000000" w:themeColor="text1"/>
          <w:sz w:val="16"/>
          <w:szCs w:val="16"/>
        </w:rPr>
        <w:softHyphen/>
        <w:t>штейне соответствует чертежному, а у остальных систем имеет место смещение отверстий в кронштейнах по всем координатам.</w:t>
      </w:r>
    </w:p>
    <w:p w14:paraId="74958886"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Смещение отверстий приводит к затемнению поля зрения при</w:t>
      </w:r>
      <w:r w:rsidRPr="00271E51">
        <w:rPr>
          <w:rStyle w:val="Bodytext145"/>
          <w:i w:val="0"/>
          <w:iCs w:val="0"/>
          <w:color w:val="000000" w:themeColor="text1"/>
          <w:sz w:val="16"/>
          <w:szCs w:val="16"/>
        </w:rPr>
        <w:softHyphen/>
        <w:t>целов СТ-10.</w:t>
      </w:r>
    </w:p>
    <w:p w14:paraId="27A37CCF" w14:textId="77777777" w:rsidR="00B95E55" w:rsidRPr="00271E51" w:rsidRDefault="00B95E55" w:rsidP="00271E51">
      <w:pPr>
        <w:pStyle w:val="Bodytext141"/>
        <w:shd w:val="clear" w:color="auto" w:fill="auto"/>
        <w:tabs>
          <w:tab w:val="left" w:pos="2961"/>
        </w:tabs>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2. При отправке систем заводом не досылаются приборы «Луч». В тре</w:t>
      </w:r>
      <w:r w:rsidRPr="00271E51">
        <w:rPr>
          <w:rStyle w:val="Bodytext145"/>
          <w:i w:val="0"/>
          <w:iCs w:val="0"/>
          <w:color w:val="000000" w:themeColor="text1"/>
          <w:sz w:val="16"/>
          <w:szCs w:val="16"/>
        </w:rPr>
        <w:softHyphen/>
        <w:t>тьем квартале 1943 года заводом не дослано 40 комплектов.</w:t>
      </w:r>
    </w:p>
    <w:p w14:paraId="45F7DC0D"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Вследствие недосылки приборов «Луч» задерживается своевре</w:t>
      </w:r>
      <w:r w:rsidRPr="00271E51">
        <w:rPr>
          <w:rStyle w:val="Bodytext145"/>
          <w:i w:val="0"/>
          <w:iCs w:val="0"/>
          <w:color w:val="000000" w:themeColor="text1"/>
          <w:sz w:val="16"/>
          <w:szCs w:val="16"/>
        </w:rPr>
        <w:softHyphen/>
        <w:t>менная сдача и отправка СУ-152 на фронт.</w:t>
      </w:r>
    </w:p>
    <w:p w14:paraId="50C1CA2B" w14:textId="77777777" w:rsidR="00B95E55" w:rsidRPr="00271E51" w:rsidRDefault="00B95E55" w:rsidP="00271E51">
      <w:pPr>
        <w:pStyle w:val="Bodytext141"/>
        <w:shd w:val="clear" w:color="auto" w:fill="auto"/>
        <w:tabs>
          <w:tab w:val="left" w:pos="2990"/>
        </w:tabs>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3. При монтаже системы, а также при проведении тактических за</w:t>
      </w:r>
      <w:r w:rsidRPr="00271E51">
        <w:rPr>
          <w:rStyle w:val="Bodytext145"/>
          <w:i w:val="0"/>
          <w:iCs w:val="0"/>
          <w:color w:val="000000" w:themeColor="text1"/>
          <w:sz w:val="16"/>
          <w:szCs w:val="16"/>
        </w:rPr>
        <w:softHyphen/>
        <w:t>нятий бывают случаи боя ампул уровней прицела.</w:t>
      </w:r>
    </w:p>
    <w:p w14:paraId="3575BF98"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Отсутствие запасных уровней также задерживает сдачу СУ.</w:t>
      </w:r>
    </w:p>
    <w:p w14:paraId="0143FA3F"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Мое обращение к райинжу на заводе №172 по изложенным выше вопро</w:t>
      </w:r>
      <w:r w:rsidRPr="00271E51">
        <w:rPr>
          <w:rStyle w:val="Bodytext145"/>
          <w:i w:val="0"/>
          <w:iCs w:val="0"/>
          <w:color w:val="000000" w:themeColor="text1"/>
          <w:sz w:val="16"/>
          <w:szCs w:val="16"/>
        </w:rPr>
        <w:softHyphen/>
        <w:t>сам осталось без ответа.</w:t>
      </w:r>
    </w:p>
    <w:p w14:paraId="27E3F61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rStyle w:val="Bodytext145"/>
          <w:i w:val="0"/>
          <w:iCs w:val="0"/>
          <w:color w:val="000000" w:themeColor="text1"/>
          <w:sz w:val="16"/>
          <w:szCs w:val="16"/>
        </w:rPr>
        <w:t>Прошу ваших указаний по перечисленным мной вопросам» 17484).</w:t>
      </w:r>
    </w:p>
    <w:p w14:paraId="6F639FF9"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5BFD08D5"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была запущена программа разработки орудий, более мощных, чем Д-5. Итогом стало созданиеСУ-100 — лучшей из советских средних САУ военного периода.</w:t>
      </w:r>
    </w:p>
    <w:p w14:paraId="1548AEDF"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усилению вооружения танков и самоходных установок пошли по трём направлениям. Первым, наиболее простым направлением, считалось увеличение начальной скорости 85-мм орудия до 1000–1050 м/с. Вторым направлением стало использование орудий с баллистикой 122-мм корпусной пушки А-19. В случае с тяжёлыми танками данное направление стало успешным — так появилось орудие Д-25Т, самое мощное из отечественных танковых систем. Наконец, третьим направлением стало использование калибра 100 мм — для советской полевой и танковой артиллерии этот калибр был новым.</w:t>
      </w:r>
    </w:p>
    <w:p w14:paraId="20694C2C"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История появления в СССР орудий этого калибра была непростой. Всё началось со 100-мм (10-см) австро-венгерской морской пушки K10 производства фирмы Škoda («круглые» калибры были типичны для Австро-Венгрии). Данные орудия ставились в том числе и на те корабли, которые по итогам Первой мировой отошли Италии. Итальянцам орудие приглянулось, и компания OTO (Odero Terni Orlando) наладила его производство. Через итальянцев 100-мм орудия попали в СССР — используя его как базу, конструкторское бюро завода «Большевик» создало сначала систему Б-24, а позже и более мощную Б-34.</w:t>
      </w:r>
    </w:p>
    <w:p w14:paraId="029BFF71"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Судьба Б-34 складывалась непросто, это орудие далеко не сразу приняли на вооружение и не раз дорабатывали. Тем не менее его заметили конструкторские бюро, занимавшиеся танковыми системами. Причин оказалось несколько. Во-первых, орудие имело унитарное заряжание, причём унитарный патрон оказался довольно компактным и не очень тяжёлым. Во-вторых, система являлась мощным орудием, однозначно превосходя 85-мм зенитную пушку и находясь примерно в той же категории, что и 107-мм орудие М-60. Правда, существовал один серьёзный минус: на тот момент Б-34 не имела бронебойного снаряда. Именно поэтому проект «412-1в» Кировского завода, датированный январём 1941 года, отклонили. О Б-34 забыли на два года и вновь вспомнили о ней весной 1943-го, причиной тому стало появление на фронте немецких тяжёлых танков </w:t>
      </w:r>
      <w:hyperlink r:id="rId99" w:history="1">
        <w:r w:rsidRPr="00271E51">
          <w:rPr>
            <w:rStyle w:val="a5"/>
            <w:rFonts w:ascii="Times New Roman" w:hAnsi="Times New Roman"/>
            <w:color w:val="000000" w:themeColor="text1"/>
            <w:sz w:val="16"/>
            <w:szCs w:val="16"/>
          </w:rPr>
          <w:t>Pz.Kpfw.Tiger Ausf.E</w:t>
        </w:r>
      </w:hyperlink>
      <w:r w:rsidRPr="00271E51">
        <w:rPr>
          <w:rFonts w:ascii="Times New Roman" w:hAnsi="Times New Roman"/>
          <w:color w:val="000000" w:themeColor="text1"/>
          <w:sz w:val="16"/>
          <w:szCs w:val="16"/>
        </w:rPr>
        <w:t xml:space="preserve"> (18252).</w:t>
      </w:r>
    </w:p>
    <w:p w14:paraId="35A34228"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3592CF23" w14:textId="77777777" w:rsidR="0015200D" w:rsidRPr="00271E51" w:rsidRDefault="0015200D"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В сентябре 1943 года Д-5Т-85 установили в башню Т-43, при этом изначально танк прорабатывался с расчетом на 76-мм орудие Ф-34. Несмотря на это, Д-5Т-85 вполне вписалась в башню Т-43. При этом разработка самого Т-43 зашла в тупик, поскольку одновременно потребовали и поднять уровень броневой защиты, а это привело к росту массы, которая превзошла 35 тонн. Поэтому в КБ-520 и разработали проект Т-44, который, за счет поперечного расположения мотора и других нововведений, получился легче не только Т-43, но и даже Т-34. Разумеется, при разработке Т-44 приоритетным было орудие Д-5Т-85, вместе с тем, имелись предпосылки к тому, что башню делали "на вырост". Дело в том, что существовало 2 варианта башни - под диаметр погона 1600 мм, как на Т-43, и под диаметр погона 1800 мм. Последний был явно избыточен для такого орудия (20277).</w:t>
      </w:r>
    </w:p>
    <w:p w14:paraId="5C213E37" w14:textId="77777777" w:rsidR="0015200D" w:rsidRPr="00271E51" w:rsidRDefault="0015200D" w:rsidP="00271E51">
      <w:pPr>
        <w:spacing w:after="0" w:line="240" w:lineRule="auto"/>
        <w:jc w:val="both"/>
        <w:rPr>
          <w:rFonts w:ascii="Times New Roman" w:hAnsi="Times New Roman"/>
          <w:color w:val="0070C0"/>
          <w:sz w:val="16"/>
          <w:szCs w:val="16"/>
          <w:shd w:val="clear" w:color="auto" w:fill="FFFFFF"/>
        </w:rPr>
      </w:pPr>
    </w:p>
    <w:p w14:paraId="025CAF48" w14:textId="77777777" w:rsidR="0015200D" w:rsidRPr="00271E51" w:rsidRDefault="0015200D"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В сентябре 1943 года появилось несколько направлений развития танковых орудий. Связано это было с изучением опыта Курской Дуги. В числе приоритетных задач стояла модернизация Д-25Т, работа по которой уже шла, увеличение начальной скорости Д-5Т (сначала до 900 м/с, а далее и до 1000 м/с), а также создание 100-мм танковой и самоходной пушки. Последним занимались в ЦАКБ, орудие имело обозначение С-34. Вместе с тем, из трех направлений реальные успехи были только по Д-25Т. Уже с февраля 1944 года начался выпуск орудий с клиновым затвором. Между тем, уже были известны результаты испытаний обстрелом немецких танков, прежде всего Pz.Kpfw.Panther Ausf.D. Испытания выявили крайне неприятный факт: верхняя лобовая деталь корпуса немецкого танка не была пробита 85-мм снарядом даже на дистанции 100 метров. Поэтому в феврале 1944 года Малышев дал указание о постройке образца Т-44 с башней, имевшей диаметр погона 1800 мм, а также орудием Д-25Т. С целью улучшения ситуации со скорострельностью ввели унитарный боеприпас, более короткий, нежели штатный. В связи с этим орудие, получившее обозначение Д-25-44, имело на 2-4% меньшую начальную скорость снаряда. Также, в связи с установкой в Т-44, изменили откатные части, ставшие менее габаритными и тяжелыми.</w:t>
      </w:r>
    </w:p>
    <w:p w14:paraId="38BD14D4" w14:textId="77777777" w:rsidR="0015200D" w:rsidRPr="00271E51" w:rsidRDefault="0015200D" w:rsidP="00271E51">
      <w:pPr>
        <w:spacing w:after="0" w:line="240" w:lineRule="auto"/>
        <w:jc w:val="both"/>
        <w:rPr>
          <w:rStyle w:val="690"/>
          <w:rFonts w:ascii="Times New Roman" w:hAnsi="Times New Roman" w:cs="Times New Roman"/>
          <w:color w:val="0070C0"/>
          <w:sz w:val="16"/>
          <w:szCs w:val="16"/>
        </w:rPr>
      </w:pPr>
      <w:r w:rsidRPr="00271E51">
        <w:rPr>
          <w:rFonts w:ascii="Times New Roman" w:hAnsi="Times New Roman"/>
          <w:color w:val="0070C0"/>
          <w:sz w:val="16"/>
          <w:szCs w:val="16"/>
          <w:shd w:val="clear" w:color="auto" w:fill="FFFFFF"/>
        </w:rPr>
        <w:t>Третий опытный экземпляр Т-44 очень быстро исчез из программы перспективных разработок. На то были объективные причины. Во-первых, боекомплект данной версии Т-44 составил всего 24 выстрела, для сравнения, у танков с орудием Д-5Т-85 он составлял 54 выстрела. Во-вторых, результаты испытаний стрельбой принесли скорее разочарование. Слишком большой, даже для башни с диаметром погона 1800 мм, унитар был слишком неудобным. Скорострельность составила не более 3 выстрелов в минуту, то есть унитар практически никаких преимуществ не показал. Поэтому далее Т-44 разрабатывался под орудия калибра 85 мм и башню с диаметром погона 1600 мм. Тема Д-25 с унитарным заряжанием затихла, но не исчезла (20277).</w:t>
      </w:r>
    </w:p>
    <w:p w14:paraId="48D4E149" w14:textId="77777777" w:rsidR="0015200D" w:rsidRPr="00271E51" w:rsidRDefault="0015200D" w:rsidP="00271E51">
      <w:pPr>
        <w:spacing w:after="0" w:line="240" w:lineRule="auto"/>
        <w:jc w:val="both"/>
        <w:rPr>
          <w:rStyle w:val="690"/>
          <w:rFonts w:ascii="Times New Roman" w:hAnsi="Times New Roman" w:cs="Times New Roman"/>
          <w:color w:val="0070C0"/>
          <w:sz w:val="16"/>
          <w:szCs w:val="16"/>
        </w:rPr>
      </w:pPr>
    </w:p>
    <w:p w14:paraId="532DC38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был подготовлен доклад отдела эксплуатации командующего бронетанковыми и механизированными войсками Центрального фронта, составленного по итогам боевых действий на Курской дуге в июле-августе:</w:t>
      </w:r>
    </w:p>
    <w:p w14:paraId="1DB348C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первых дней боев было обнаружено, что противник применяет новые виды вооружения (танки «Тигр» и самоходы «Фердинанд»), в результате чего потери наших танков возросли. Для уяснения средств защиты от нового вида немецкого вооружения было необходимо тщательно изучить его действие но нашим танкам не только в полигонных, но и в боевых условиях. Командующий БТ и МВ Центрального фронта поручил отделу эксплуатации изучение на поле боя действия по нашим танкам нового противотанкового оружия немцев.</w:t>
      </w:r>
    </w:p>
    <w:p w14:paraId="01FC6E6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Командование БТ и МВ Центрального фронта приняло решение полностью и тщательно обследовать танки на поле боя немедленно, по оставлении противником, для выяснения следующих вопросов:</w:t>
      </w:r>
    </w:p>
    <w:p w14:paraId="4C2483B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От чего гибнут наши танки: от артиллерии или других средств борьбы. Если от артиллерии, то от каких снарядов и какого калибра.</w:t>
      </w:r>
    </w:p>
    <w:p w14:paraId="2FDEE27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Какова судьба экипажей погибших танков.</w:t>
      </w:r>
    </w:p>
    <w:p w14:paraId="14A218C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дней было осмотрено поле боя площадью около 130 кв. км, где было обнаружено 129 погибших танков. Танки, подлежащие восстановлению, осматривались на СПАМ-ах частей и соединений, а на поле боя. Для правильного учета результатов осмотра все данные заносились на месте осмотра в заблаговременно заготовленные карточки танков.</w:t>
      </w:r>
    </w:p>
    <w:p w14:paraId="299CD98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карточку наносились как пробоины и повреждения в броне корпусов танков, так и результаты осмотра оставшихся на танках агрегатов деталей. Данные о судьбе экипажей заполнялись на месте осмотра танка там. где была ясно видна гибель экипажа (трупы), так и на основании материалов, полученных от частей о судьбе экипажа осмотренного танка.</w:t>
      </w:r>
    </w:p>
    <w:p w14:paraId="01516D4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материалы осмотра танков, вместе с карточками на каждый танк, были сведены, и по ним представлялась возможность сделать ряд выводов.</w:t>
      </w:r>
    </w:p>
    <w:p w14:paraId="2BDA0BD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Первое, что сразу же бросилось в глаза при осмотре, а также было известно из донесений частей, очень высокий процент полной гибели танков, получивших повреждения брони (60-65%).</w:t>
      </w:r>
    </w:p>
    <w:p w14:paraId="6705292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предыдущих операциях, проводимых танковыми частями фронта (Сталинградская и др.) процент гибели танков, получивших повреждения брони едва достигал 25-30%. Значительно увеличилось также чисто сгоревших танков по отношению к числу танков, принимавших участие в бою.</w:t>
      </w:r>
    </w:p>
    <w:p w14:paraId="4C08675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Причиной увеличения случаев гибели отечественных танков оказалось то, что немцы, в отличие от операции 1942 г., против наших танков стали применять артиллерию более крупных калибров.</w:t>
      </w:r>
    </w:p>
    <w:p w14:paraId="79705BC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Осмотром пробоин на танках (погибших и подлежащих восстановлению) установлено применение против наших танков на Центральном фронте артиллерии следующих калибров и в таком соотношении:</w:t>
      </w:r>
    </w:p>
    <w:p w14:paraId="667CBFF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 снарядов 88-мм пушки (танковых и самоходных) обнаружено около 25% пробоин.</w:t>
      </w:r>
    </w:p>
    <w:p w14:paraId="5ADD8A9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От снарядов (болванок) 75-мм пушек обр. 40 г. (танковых и противотанковых) около 32% пробоин.</w:t>
      </w:r>
    </w:p>
    <w:p w14:paraId="001AF2F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 кумулятивных и осколочных снарядов 75-мм коротких (танковых и пехотных) около 11% пробоин.</w:t>
      </w:r>
    </w:p>
    <w:p w14:paraId="24E6B57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От снарядов (бронебойных и подкалиберных) танковых и противотанковых пушек калибра 50 мм около 22% пробоин.</w:t>
      </w:r>
    </w:p>
    <w:p w14:paraId="41CD16C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 подкалиберных снарядов 37-мм противотанковых пушек около 5,7% пробоин.</w:t>
      </w:r>
    </w:p>
    <w:p w14:paraId="73F002D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Сильно повреждено на минах (повреждена броня) около 4,3% танков, имеющих повреждения брони.</w:t>
      </w:r>
    </w:p>
    <w:p w14:paraId="59AA12E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Примерно такое же соотношение по калибрам было у артиллерии, стрелявшей по танкам, так как меткость всех перечисленных артсистем без большой погрешности можно считать одинаковой.</w:t>
      </w:r>
    </w:p>
    <w:p w14:paraId="6CA3FA4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Следовательно, не менее 64% арт- систем, стрелявших по танкам Центрального фронта за Орловско-Курскую операцию были калибра 75-88 мм.</w:t>
      </w:r>
    </w:p>
    <w:p w14:paraId="69C4CE1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Эффективность действия немецкой противотанковой артиллерии различных калибров на наши танки оказалась далеко не одинаковой, так например:</w:t>
      </w:r>
    </w:p>
    <w:p w14:paraId="3E22CB4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От бронебойных фанат пушек калибра 88 мм (танковых и самоходных) погибло 35% от общего количества уничтоженных танков Т-34.</w:t>
      </w:r>
    </w:p>
    <w:p w14:paraId="57DD3FD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От бронебойных фанат (болванок) [75 мм] пушек обр. 40 г. (танковых и самоходных) погибло 42% от общего числа сгоревших танков Т-34.</w:t>
      </w:r>
    </w:p>
    <w:p w14:paraId="5DE77EF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 кумулятивных 75 мм снарядов сгорело 4% от общего числа погибших Т-34.</w:t>
      </w:r>
    </w:p>
    <w:p w14:paraId="14FE8B5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осмотре поля боя также было видно, что противотанковые средства действуют на наши танки не одинаково. Большинство погибших танков уничтожено противотанковой и танковой артиллерией противника. От мин минометов и бомб авиации повреждения получило не много танков, и повреждения эти в большинстве были незначительны. Также в большинстве своем были незначительными повреждения от противотанковых мин, хотя они были более частыми.</w:t>
      </w:r>
    </w:p>
    <w:p w14:paraId="0435737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От бронебойных гранат 50 мм пушек (танковых и ПТО) погибло 9,8% средних танков.</w:t>
      </w:r>
    </w:p>
    <w:p w14:paraId="119C29D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От подкалиберных снарядов 50 мм пушек погибло 2,5% уничтоженных танков Т-34.</w:t>
      </w:r>
    </w:p>
    <w:p w14:paraId="2EFD4BF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От подкалиберных снарядов 37 мм пушки (ПТО) погибло 5% уничтоженных средних танков.</w:t>
      </w:r>
    </w:p>
    <w:p w14:paraId="4657DAB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От мин и фугасов погибло всего 0,8% уничтоженных танков.</w:t>
      </w:r>
    </w:p>
    <w:p w14:paraId="336E306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25432F9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64% выпушенных снарядов по танкам оказались снарядами калибра 75-88 мм.</w:t>
      </w:r>
    </w:p>
    <w:p w14:paraId="1D86783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Учитывая меньшую скорострельность пушек более крупного калибра, необходимо отметить, что у немцев крупнокалиберной противотанковой артиллерии значительно больше (чем 64%), чем мелкокалиберной.</w:t>
      </w:r>
    </w:p>
    <w:p w14:paraId="4ABEE28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 1 видно, что от артиллерии калибра 75-88 мм погибло 81,4% от общего числа уничтоженных танков. Следовательно, в отличие от операции 1942 года основным средством борьбы с нашими танками (за Орловско-Курскую операцию) являлись артсистемы калибра 75 и 88 мм, а не пушки 37-50 мм.</w:t>
      </w:r>
    </w:p>
    <w:p w14:paraId="1805E56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Особенно сильно действует на танки бронебойный снаряд 88 мм орудия. Попадание этих снарядов почти в любое место танка Т-34 его зажигает. При попадании этих снарядов в башню часты случаи срыва башни с танка. Также нередки случаи сквозного пробивания (в оба борта) корпуса танка и башни танков Т-34 снарядами 88 мм калибра.</w:t>
      </w:r>
    </w:p>
    <w:p w14:paraId="353EAAB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осмотре погибших за операцию танков установлено, что отдельные части корпуса и башни поражаются неодинаково часто. Так. наиболее часто поражаемыми местами погибших танков Т-34 явились;</w:t>
      </w:r>
    </w:p>
    <w:p w14:paraId="4028D3F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Башня танков - 45% попаданий.</w:t>
      </w:r>
    </w:p>
    <w:p w14:paraId="7958E3F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Лоб танков - 25,8% попадания</w:t>
      </w:r>
    </w:p>
    <w:p w14:paraId="622DE21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места танков поражаются следующим образом:</w:t>
      </w:r>
    </w:p>
    <w:p w14:paraId="1546FC6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Верхняя часть бортов (подкрылок) имеет 17% попаданий, причем передняя половина имеет 13% пробоин.</w:t>
      </w:r>
    </w:p>
    <w:p w14:paraId="5F4D947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Нижняя часть бортов имеет 10,2% попаданий, причем перелит часть бортов имеет 7,7% попаданий.</w:t>
      </w:r>
    </w:p>
    <w:p w14:paraId="3E44A68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Корма танка имеет 2% пробое.</w:t>
      </w:r>
    </w:p>
    <w:p w14:paraId="6AB4EC4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видно, что основное количество поражений (70%) падает на лоб и на башню танка.</w:t>
      </w:r>
    </w:p>
    <w:p w14:paraId="39D8F67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Такое распределение поражений легко объясняется. Первое, что видит противник у приближающегося танка будет башня, и по ней он открывает прицельный огонь. Башня также будет больше всего поражена, когда танк ведет бой из засады (из-за укрытия). С меньшей дистанции и в атаке виден уже весь танк (лоб танка и башня), и по ним ведется прицельный огонь.</w:t>
      </w:r>
    </w:p>
    <w:p w14:paraId="5375416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Вести огонь по бортам танка противнику значительно труднее, хотя противник и пытается это делать. Почт невозможно вести огонь по бортам танка с близких дистанций пушками крупного калибра при атаке танков на широком фронте. Танки стараются защитить фланги, а между атакующими танками пушке крупного калибра действовать трудно.</w:t>
      </w:r>
    </w:p>
    <w:p w14:paraId="545AC90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Наоборот, мелкокалиберная артиллерия (37—50 мм) пытается вести огонь по бортам танка, где ее попадание имеет больше шансов поразить танк. При стрельбе по борту противник стремиться поражать боевое отделение чтобы поджечь боеприпасы. Все это видно из таблицы № 3.</w:t>
      </w:r>
    </w:p>
    <w:p w14:paraId="39DF361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432ABF5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лоб танка 88 мм снаряды имеют 47% попаданий, и в борта танка (с боковой частью башни) — 47,5%.</w:t>
      </w:r>
    </w:p>
    <w:p w14:paraId="59FB1BC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75 мм снаряды поразили лобовую часть танка 53% поражений и в бортовую часть (с башней) 39,2% попаданий.</w:t>
      </w:r>
    </w:p>
    <w:p w14:paraId="1166BEA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37-50 мм пушки дают в лоб танка 34,7% попадания, в борта (с башней) 52,7%, и в зад танка 14,9% попаданий.</w:t>
      </w:r>
    </w:p>
    <w:p w14:paraId="2DADAA9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таблицы видно:</w:t>
      </w:r>
    </w:p>
    <w:p w14:paraId="7A76687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75 мм ПТО обр. 40 г. вели огонь больше по лобовой части танка.</w:t>
      </w:r>
    </w:p>
    <w:p w14:paraId="2B91FED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88 мм пушки вели огонь по нашим танкам и по лбу и по бортам. Этим пушкам удавалось вклиниваться в порядок наших танков и вести фланговый огонь.</w:t>
      </w:r>
    </w:p>
    <w:p w14:paraId="1AE92EE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 мелкокалиберных ПТО огонь велся предпочтительно по бортам танков.</w:t>
      </w:r>
    </w:p>
    <w:p w14:paraId="7EBA313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осмотре особое внимание уделялось выяснению судьбы экипажа погибших танков, так как с поля боя возвращался небольшой процент экипажей из оставшихся там танков. Имелись случаи, когда экипажи, покидающие танки на поле боя, часто гибли вне танка.</w:t>
      </w:r>
    </w:p>
    <w:p w14:paraId="47FF9D4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Огромное большинство - экипажей - погибло от попадания в танк снарядов калибра 75-88 мм.</w:t>
      </w:r>
    </w:p>
    <w:p w14:paraId="34421FA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Огромное большинство экипажей (77% всех случаев гибели экипажей) погибло от попадания гранат в лоб танка и башню.</w:t>
      </w:r>
    </w:p>
    <w:p w14:paraId="67C47E7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Поражение любыми снарядами в заднюю половину танка не вызывает гибели экипажа в танке. Экипаж при начавшемся пожаре имеет достаточно времени, чтобы покинуть танк.</w:t>
      </w:r>
    </w:p>
    <w:p w14:paraId="783380C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От подкалиберных снарядов 37 мм и 50 мм пушек не погибло почти ни одного члена экипажа.</w:t>
      </w:r>
    </w:p>
    <w:p w14:paraId="6AE12AD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Неясна была картина, успевает ли выходить из танка экипаж, когда на танке начинается пожар. На 74,5% горелых танков удалось обнаружить признаки гибели экипажа в танке, а в 50% осмотренных горелых танках экипаж погибал в танке целиком (главным образом при попадании в боевое отделение снарядов 88 мм пушек).</w:t>
      </w:r>
    </w:p>
    <w:p w14:paraId="5B344E9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числе осмотренных погибших танков оказалось значительное количество (13,5%) танков взорванных. Несколько больше половины танков вообще не горели. Взорванные танки были обнаружены группами, на сравнительно небольших участках.</w:t>
      </w:r>
    </w:p>
    <w:p w14:paraId="00B7FFC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большинство осмотренных участков переходила из рук в руки по несколько раз, было решено, что взорванные танки были обнаружены немцами при отступлении ввиду невозможности эвакуировать их.</w:t>
      </w:r>
    </w:p>
    <w:p w14:paraId="2DDB3D1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Среди осмотренных горелых танков обращает на себя внимание значительный процент (около 23%) танков, получивших снарядные пробоины в непосредственной близости от боекомплекта, а большинство в боекомплект.</w:t>
      </w:r>
    </w:p>
    <w:p w14:paraId="4EC495F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Наиболее часты случаи попадания в б/к бронебойных снарядов 75 мм пушки образца 40 г., по видимому эти пушки стараются попадать в область б/к.</w:t>
      </w:r>
    </w:p>
    <w:p w14:paraId="66BA29E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Поражение в боекомплект через лоб танка вызывает пожар танка (без взрыва).</w:t>
      </w:r>
    </w:p>
    <w:p w14:paraId="0EE6DDD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Поражение в боекомплект через борт вызвало пожар только потому, что пушки вели огонь с дальних дистанций, и снаряды имели в момент встречи с броней уменьшенную скорость (нет ни одного случая пробоины в оба борта).</w:t>
      </w:r>
    </w:p>
    <w:p w14:paraId="49DA115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Осмотром погибших танков за Орловско-Курскую операцию установлено, что на поле боя остается значительное количество (около 7%) танков, подлежащих восстановлению, которые списали как безвозвратно потерянные.</w:t>
      </w:r>
    </w:p>
    <w:p w14:paraId="4DD74CC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Брошенные и списанные танки обычно растаскивались. По материалам осмотра были немедленно приняты меры к частям, неправильно списавшим свои танки и танки в большинстве были восстановлены» (12217).</w:t>
      </w:r>
    </w:p>
    <w:p w14:paraId="57AA68C1"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F819F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заводские испытания пока</w:t>
      </w:r>
      <w:r w:rsidRPr="00271E51">
        <w:rPr>
          <w:rFonts w:ascii="Times New Roman" w:hAnsi="Times New Roman"/>
          <w:color w:val="000000" w:themeColor="text1"/>
          <w:sz w:val="16"/>
          <w:szCs w:val="16"/>
        </w:rPr>
        <w:softHyphen/>
        <w:t>зали у машины ИС-152 множество недостатков, а главное — стои</w:t>
      </w:r>
      <w:r w:rsidRPr="00271E51">
        <w:rPr>
          <w:rFonts w:ascii="Times New Roman" w:hAnsi="Times New Roman"/>
          <w:color w:val="000000" w:themeColor="text1"/>
          <w:sz w:val="16"/>
          <w:szCs w:val="16"/>
        </w:rPr>
        <w:softHyphen/>
        <w:t>мость образца была значительно выше запланированной. Поэтому в сентябре выпуск СУ-152(КВ-14) сохранился, а ИС-152(ИСУ-152) была отправлена на доработку.</w:t>
      </w:r>
    </w:p>
    <w:p w14:paraId="6ADE9C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экземпляр ИС-152, работы над которым шли уже под обозначением «Объект 241», ставший эталоном для изготовления серии, был закончен в начале октября 1943 г. Руководил работами Г.Н. Москвин, так как Н.В. Курин был занят работами по вооружению танка ИС 122-мм пушкой. По завершении заводских испытаний установка была пере</w:t>
      </w:r>
      <w:r w:rsidRPr="00271E51">
        <w:rPr>
          <w:rFonts w:ascii="Times New Roman" w:hAnsi="Times New Roman"/>
          <w:color w:val="000000" w:themeColor="text1"/>
          <w:sz w:val="16"/>
          <w:szCs w:val="16"/>
        </w:rPr>
        <w:softHyphen/>
        <w:t>дана на Гороховецкий полигон, где полностью выдержала государственные испытания, а с учетом того, что нбвый ва</w:t>
      </w:r>
      <w:r w:rsidRPr="00271E51">
        <w:rPr>
          <w:rFonts w:ascii="Times New Roman" w:hAnsi="Times New Roman"/>
          <w:color w:val="000000" w:themeColor="text1"/>
          <w:sz w:val="16"/>
          <w:szCs w:val="16"/>
        </w:rPr>
        <w:softHyphen/>
        <w:t>риант ИС-152 по цене стал сопоставим с СУ-152, то 6 нояб</w:t>
      </w:r>
      <w:r w:rsidRPr="00271E51">
        <w:rPr>
          <w:rFonts w:ascii="Times New Roman" w:hAnsi="Times New Roman"/>
          <w:color w:val="000000" w:themeColor="text1"/>
          <w:sz w:val="16"/>
          <w:szCs w:val="16"/>
        </w:rPr>
        <w:softHyphen/>
        <w:t>ря 1943 г. он принимается в валовое производство на ЧКЗ взамен предшественника, выпуск которого прекращался (11417).</w:t>
      </w:r>
    </w:p>
    <w:p w14:paraId="792301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F681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выпуск СУ-152(КВ-14) сохранился, а ИС-152(ИСУ-152) была отправлена на доработку.</w:t>
      </w:r>
    </w:p>
    <w:p w14:paraId="61DF70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Второй экземпляр ИС-152, работы над которым шли уже под обозначением «Объект 241», ставший эталоном для изготовления серии, был закончен в начале октября </w:t>
      </w:r>
      <w:r w:rsidRPr="00271E51">
        <w:rPr>
          <w:rFonts w:ascii="Times New Roman" w:hAnsi="Times New Roman"/>
          <w:color w:val="000000" w:themeColor="text1"/>
          <w:sz w:val="16"/>
          <w:szCs w:val="16"/>
        </w:rPr>
        <w:lastRenderedPageBreak/>
        <w:t>1943 г. Руководил работами Г.Н. Москвин, так как Н.В. Курин был занят работами по вооружению танка ИС 122-мм пушкой. По завершении заводских испытаний установка была пере</w:t>
      </w:r>
      <w:r w:rsidRPr="00271E51">
        <w:rPr>
          <w:rFonts w:ascii="Times New Roman" w:hAnsi="Times New Roman"/>
          <w:color w:val="000000" w:themeColor="text1"/>
          <w:sz w:val="16"/>
          <w:szCs w:val="16"/>
        </w:rPr>
        <w:softHyphen/>
        <w:t>дана на Гороховецкий полигон, где полностью выдержала государственные испытания, а с учетом того, что нбвый ва</w:t>
      </w:r>
      <w:r w:rsidRPr="00271E51">
        <w:rPr>
          <w:rFonts w:ascii="Times New Roman" w:hAnsi="Times New Roman"/>
          <w:color w:val="000000" w:themeColor="text1"/>
          <w:sz w:val="16"/>
          <w:szCs w:val="16"/>
        </w:rPr>
        <w:softHyphen/>
        <w:t>риант ИС-152 по цене стал сопоставим с СУ-152, то 6 нояб</w:t>
      </w:r>
      <w:r w:rsidRPr="00271E51">
        <w:rPr>
          <w:rFonts w:ascii="Times New Roman" w:hAnsi="Times New Roman"/>
          <w:color w:val="000000" w:themeColor="text1"/>
          <w:sz w:val="16"/>
          <w:szCs w:val="16"/>
        </w:rPr>
        <w:softHyphen/>
        <w:t>ря 1943 г. он принимается в валовое производство на ЧКЗ взамен предшественника, выпуск которого прекращался (11417).</w:t>
      </w:r>
    </w:p>
    <w:p w14:paraId="53DEE6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9F3E2"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сентября 1943 года Артиллерийская «шарашка» ОКБ-172 работала над 122-мм орудием ОБМ-53, которое должно было повысить огневую мощь СУ-152. Руководил этими работами главный конструктор ОКБ-172 по сухопутной артиллерии М.Ю. Цирульников.</w:t>
      </w:r>
    </w:p>
    <w:p w14:paraId="2F4DDF3F"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После Курской битвы появился доклад, согласно которому требовалось увеличить начальную скорость 122-мм танковых и самоходных орудий до 1000 м/с. В ОКБ-172 решили совместить работы по самоходной и танковой артиллерии. Уже к концу октября 1943 года появился проект танкового орудия ОБМ-51. Работа велась в рамках задания, полученного от Народного комиссариата вооружения (НКВ) и ГБТУ КА.</w:t>
      </w:r>
    </w:p>
    <w:p w14:paraId="597A4BED"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26 октября проект был рассмотрен на техническом совещании. Сохранилась только описательная часть проекта, но и по ней ясно, что дело не ограничивалось установкой на танк нового орудия. Под него пришлось делать новую башню, большую по размерам. Система устанавливалась в танке на станке от СУ-152. Толщина лобового листа башни составляла 76 мм, бортов 60 мм и крыши 30 мм. Компенсировать вес длинного ствола должен был толстый 150-мм кормовой лист. Боекомплект КВ с таким орудием должен был составить 45 выстрелов, разместить его планировалось в башне и на полу боевого отделения. При этом в башне должна была находиться основная часть боекомплекта, и это дополнительное свидетельство в пользу того, что она получалась значительно крупнее башни базового танка.</w:t>
      </w:r>
    </w:p>
    <w:p w14:paraId="43BFAD59"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Система ОБМ-51 несколько отличалась от самоходной версии орудия. У танковой пушки длину ствола сократили до 58,5 калибров. При этом начальная скорость снаряда оценивалась в 950 м/с. Помимо орудия, в башне были размещены спаренный и кормовой пулемёты ДТ.</w:t>
      </w:r>
    </w:p>
    <w:p w14:paraId="2B69F88A"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 совещании было принято решение продолжить работы над проектом, при этом на ОКБ-172 оставалась разработка башни. Правда, как башню, так и орудие предписывалось несколько переделать. От идеи использовать установку по типу СУ-152 пришлось отказаться, поскольку она была слишком громоздкой. Вместо неё было предложено использовать более компактную установку по типу Д-5Т. Требовалось сделать клиновой затвор с горизонтальным его расположением, а начальную скорость снаряда довести до 1000 м/с. Боекомплект в башне сокращался до 30 выстрелов, а её габариты уменьшались. Кроме того, башню предложили сделать литой. Самым же главным изменением стало то, что вместо шасси КВ-85 приоритетом стало шасси ИС. Таким образом, произошла серьёзная перемена как системы, так и базы. Проект ОБМ-51 превратился в систему, более известную как БЛ-13 (17722).</w:t>
      </w:r>
    </w:p>
    <w:p w14:paraId="1B708B5E" w14:textId="77777777" w:rsidR="00844775" w:rsidRPr="00271E51" w:rsidRDefault="00844775" w:rsidP="00271E51">
      <w:pPr>
        <w:spacing w:after="0" w:line="240" w:lineRule="auto"/>
        <w:jc w:val="both"/>
        <w:rPr>
          <w:rFonts w:ascii="Times New Roman" w:hAnsi="Times New Roman"/>
          <w:color w:val="000000" w:themeColor="text1"/>
          <w:sz w:val="16"/>
          <w:szCs w:val="16"/>
        </w:rPr>
      </w:pPr>
    </w:p>
    <w:p w14:paraId="479F68B1"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сентябре 1943 года у завода №172, сильно затягивавшего разработку полуоткрытой тяжёлой САУ, появился конкурент — ЦАКБ, возглавляемое В.Г. Грабиным. Организованное на площадях, которые ранее занимал завод №8, конструкторское бюро было в значительной степени укомплектовано сотрудниками КБ завода №92. Здесь было немало талантливых инженеров-конструкторов, и некоторые из них имели прямое отношение к самоходной артиллерии. В сентябре 1943 года по просьбе ЦАКБ туда были переданы материалы по проектам БР-33П и БР-33Г. В результате уже к 15 сентября возглавляемый Грабиным коллектив подготовил первый вариант эскизного проекта полуоткрытой САУ.</w:t>
      </w:r>
    </w:p>
    <w:p w14:paraId="49803C72" w14:textId="77777777" w:rsidR="00844775" w:rsidRPr="00271E51" w:rsidRDefault="0084477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С-51 в походном положении </w:t>
      </w:r>
    </w:p>
    <w:p w14:paraId="579BBBB4"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Разработка проекта шла, что называется, по наитию. Дело в том, что конструкторские бюро работали над системами, не имея чётко выраженных требований на них. Имелось лишь весьма расплывчатое задание. Именно по этой причине ЦАКБ изначально рассматривало несколько вариантов базы для своей САУ. Не изменилась ситуация и в октябре: решение по реализации проекта ЦАКБ принималось без утвержденных требований. Артиллерийский Комитет ГАУ КА окончательно составил тактико-технические требования (ТТТ) «на самодвижущиеся орудия АРГК калибра 152 и 203 мм» только 16 ноября. Согласно этому документу, установка должна была иметь вертикальные углы наведения в диапазоне от −3 до 65 градусов и горизонтальный сектор обстрела 60 градусов. Боекомплект должен был включать не менее 12 выстрелов, скорострельность ожидалась на уровне 2–3 выстрела в минуту для БР-2 и 1–2 выстрела в минуту для Б-4. Боевая масса САУ оценивалась в 45–48 тонн.</w:t>
      </w:r>
    </w:p>
    <w:p w14:paraId="0C7CBD83"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Для обеспечения работы расчёта установку допускалось оснащать раскладывающимися мостиками. Также предусматривались сошники, выдвигаемые в боевом положении.</w:t>
      </w:r>
    </w:p>
    <w:p w14:paraId="287F0B41"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 октябре 1943 года было уже понятно, что время КВ-1с и СУ-152 уходит, поэтому ЦАКБ изменило заявку на требуемые шасси. Помимо двух КВ-1с и одной СУ-152 начальник ЦАКБ просил один образец танка ИС, а также чертёжную документацию по нему. Позднее требование снова изменилось: вместо одного КВ-1с Грабин просил </w:t>
      </w:r>
      <w:hyperlink r:id="rId100" w:history="1">
        <w:r w:rsidRPr="00271E51">
          <w:rPr>
            <w:rStyle w:val="a5"/>
            <w:color w:val="000000" w:themeColor="text1"/>
            <w:sz w:val="16"/>
            <w:szCs w:val="16"/>
          </w:rPr>
          <w:t>КВ-85</w:t>
        </w:r>
      </w:hyperlink>
      <w:r w:rsidRPr="00271E51">
        <w:rPr>
          <w:color w:val="000000" w:themeColor="text1"/>
          <w:sz w:val="16"/>
          <w:szCs w:val="16"/>
        </w:rPr>
        <w:t>. Эта машина использовалась для испытания 100-мм системы С-34 (18075).</w:t>
      </w:r>
    </w:p>
    <w:p w14:paraId="2CDF8D16" w14:textId="77777777" w:rsidR="00844775" w:rsidRPr="00271E51" w:rsidRDefault="00844775" w:rsidP="00271E51">
      <w:pPr>
        <w:shd w:val="clear" w:color="auto" w:fill="FFFFFF"/>
        <w:spacing w:after="0" w:line="240" w:lineRule="auto"/>
        <w:jc w:val="both"/>
        <w:rPr>
          <w:rFonts w:ascii="Times New Roman" w:hAnsi="Times New Roman"/>
          <w:noProof/>
          <w:color w:val="000000" w:themeColor="text1"/>
          <w:sz w:val="16"/>
          <w:szCs w:val="16"/>
          <w:lang w:eastAsia="ru-RU"/>
        </w:rPr>
      </w:pPr>
    </w:p>
    <w:p w14:paraId="173461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реализован проект установки 85-мм тан пушки Д-5Т-85 в башне танка Т-43 с увеличенным до 1600 мм погоном опоры башни. Этот проект в последующем был использован ) разработке танка Т-34-85 (10703).</w:t>
      </w:r>
    </w:p>
    <w:p w14:paraId="4F9F9D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6EA2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несмотря на то, что по результатам испытаний опытных образц танка Т-43 в НКТП и ГБТУ рассматривался вопросу принятии танка Т-43 на вооружение, дальнейшие работы по : были прекращены в связи с широко развернувшимися работами по с зданию танка Т-34-85, а в последующем и принятием его на вооружение (10703).</w:t>
      </w:r>
    </w:p>
    <w:p w14:paraId="645DA6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0C3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в НКТП и ГБТУ рассмат</w:t>
      </w:r>
      <w:r w:rsidRPr="00271E51">
        <w:rPr>
          <w:rFonts w:ascii="Times New Roman" w:hAnsi="Times New Roman"/>
          <w:color w:val="000000" w:themeColor="text1"/>
          <w:sz w:val="16"/>
          <w:szCs w:val="16"/>
        </w:rPr>
        <w:softHyphen/>
        <w:t>ривался вопрос о принятии тапка Т-43 па вооружение, по в связи с ши</w:t>
      </w:r>
      <w:r w:rsidRPr="00271E51">
        <w:rPr>
          <w:rFonts w:ascii="Times New Roman" w:hAnsi="Times New Roman"/>
          <w:color w:val="000000" w:themeColor="text1"/>
          <w:sz w:val="16"/>
          <w:szCs w:val="16"/>
        </w:rPr>
        <w:softHyphen/>
        <w:t>роко развернувшейся работой по созданию танка Т-34-85, а в последую</w:t>
      </w:r>
      <w:r w:rsidRPr="00271E51">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390926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0DE1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года танковая пушка Д-5Т-85 стала устанавливаться на тяжелых танках ИС-1. В сентябре - ноябре 1943 г. на заводе № 183 эта пушка была установ</w:t>
      </w:r>
      <w:r w:rsidRPr="00271E51">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42920E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8D3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по заданию НКВ Д.Ф.У. началась разработка телескопического шарнирного прицела. Группой конструкторов под руководством А.В. Шипунова был разработан шар</w:t>
      </w:r>
      <w:r w:rsidRPr="00271E51">
        <w:rPr>
          <w:rFonts w:ascii="Times New Roman" w:hAnsi="Times New Roman"/>
          <w:color w:val="000000" w:themeColor="text1"/>
          <w:sz w:val="16"/>
          <w:szCs w:val="16"/>
        </w:rPr>
        <w:softHyphen/>
        <w:t>нирный телескопический прицел ПТ-8 четырехкратного увеличения. В это же время по заданию Управления самоходной артиллерии ГБТУ и Артиллерийского комитета ГАУ на заводе № 69 НКВ ведущим конст</w:t>
      </w:r>
      <w:r w:rsidRPr="00271E51">
        <w:rPr>
          <w:rFonts w:ascii="Times New Roman" w:hAnsi="Times New Roman"/>
          <w:color w:val="000000" w:themeColor="text1"/>
          <w:sz w:val="16"/>
          <w:szCs w:val="16"/>
        </w:rPr>
        <w:softHyphen/>
        <w:t>руктором В.А. Агнецевым было спроектировано два варианта шарнирно</w:t>
      </w:r>
      <w:r w:rsidRPr="00271E51">
        <w:rPr>
          <w:rFonts w:ascii="Times New Roman" w:hAnsi="Times New Roman"/>
          <w:color w:val="000000" w:themeColor="text1"/>
          <w:sz w:val="16"/>
          <w:szCs w:val="16"/>
        </w:rPr>
        <w:softHyphen/>
        <w:t>го прицела ТШ: с 2,5</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и 4</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увеличением. По результатам испытаний в ян</w:t>
      </w:r>
      <w:r w:rsidRPr="00271E51">
        <w:rPr>
          <w:rFonts w:ascii="Times New Roman" w:hAnsi="Times New Roman"/>
          <w:color w:val="000000" w:themeColor="text1"/>
          <w:sz w:val="16"/>
          <w:szCs w:val="16"/>
        </w:rPr>
        <w:softHyphen/>
        <w:t>варе 1944 г. был принят на вооружение прицел ТШ-1 с 4</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увеличением и полем зрения 16°. Этот прицел имел оптический шарнир, состоявший из четырех зеркал. Головная часть прицела жестко крепилась на качающей</w:t>
      </w:r>
      <w:r w:rsidRPr="00271E51">
        <w:rPr>
          <w:rFonts w:ascii="Times New Roman" w:hAnsi="Times New Roman"/>
          <w:color w:val="000000" w:themeColor="text1"/>
          <w:sz w:val="16"/>
          <w:szCs w:val="16"/>
        </w:rPr>
        <w:softHyphen/>
        <w:t>ся части пушки, а окулярная часть была неподвижной, что улучшало ус</w:t>
      </w:r>
      <w:r w:rsidRPr="00271E51">
        <w:rPr>
          <w:rFonts w:ascii="Times New Roman" w:hAnsi="Times New Roman"/>
          <w:color w:val="000000" w:themeColor="text1"/>
          <w:sz w:val="16"/>
          <w:szCs w:val="16"/>
        </w:rPr>
        <w:softHyphen/>
        <w:t>ловия работы наводчика. На испытаниях прицел ТШ-1 показал лучшие результаты и в январе 1944 г. он был принят на вооружение. Прицел Имел несколько разновидностей. Прицел ТШ-15 устанавливался в танке Т-34-85 (с пушкой Д-5Т-85), прицел ТШ-16 - в танках Т-34-85 и Т-44 (с пушкой ЗИС-С-53), прицел ТШ-17 - в танках ИС-2 и ИС-3 (с пушкой Д-25Т) (10703).</w:t>
      </w:r>
    </w:p>
    <w:p w14:paraId="1CF5A6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6F9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было получено разрешение об откомандировании на фронт группы работников для озна</w:t>
      </w:r>
      <w:r w:rsidRPr="00271E51">
        <w:rPr>
          <w:rFonts w:ascii="Times New Roman" w:hAnsi="Times New Roman"/>
          <w:color w:val="000000" w:themeColor="text1"/>
          <w:sz w:val="16"/>
          <w:szCs w:val="16"/>
        </w:rPr>
        <w:softHyphen/>
        <w:t>комления с боевой службой своей продукции, и бригада пред</w:t>
      </w:r>
      <w:r w:rsidRPr="00271E51">
        <w:rPr>
          <w:rFonts w:ascii="Times New Roman" w:hAnsi="Times New Roman"/>
          <w:color w:val="000000" w:themeColor="text1"/>
          <w:sz w:val="16"/>
          <w:szCs w:val="16"/>
        </w:rPr>
        <w:softHyphen/>
        <w:t>ставителей работников Управления Самоходной артилле</w:t>
      </w:r>
      <w:r w:rsidRPr="00271E51">
        <w:rPr>
          <w:rFonts w:ascii="Times New Roman" w:hAnsi="Times New Roman"/>
          <w:color w:val="000000" w:themeColor="text1"/>
          <w:sz w:val="16"/>
          <w:szCs w:val="16"/>
        </w:rPr>
        <w:softHyphen/>
        <w:t>рии Красной Армии, в состав которой вошли также на</w:t>
      </w:r>
      <w:r w:rsidRPr="00271E51">
        <w:rPr>
          <w:rFonts w:ascii="Times New Roman" w:hAnsi="Times New Roman"/>
          <w:color w:val="000000" w:themeColor="text1"/>
          <w:sz w:val="16"/>
          <w:szCs w:val="16"/>
        </w:rPr>
        <w:softHyphen/>
        <w:t>чальник сборочного цеха Уралмашзавода Л.М. Яровинский и сборщик В.В.Попков, отбыла на 2-й Украинский фронт. Там бригада находилась в расположении САП № 1440, где знакомилась с особенностями поведения само-ходно-артиллерийских установок в походах и боях.</w:t>
      </w:r>
    </w:p>
    <w:p w14:paraId="019CDE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отзывы самоходчиков о СУ-85 были хорошие. Командир 1440-го самоходного полка подполковник Шап-шинский писал следующее: «Машина отличная. Оправдала се</w:t>
      </w:r>
      <w:r w:rsidRPr="00271E51">
        <w:rPr>
          <w:rFonts w:ascii="Times New Roman" w:hAnsi="Times New Roman"/>
          <w:color w:val="000000" w:themeColor="text1"/>
          <w:sz w:val="16"/>
          <w:szCs w:val="16"/>
        </w:rPr>
        <w:softHyphen/>
        <w:t>бя как истребитель танков противника. Нужно только пра</w:t>
      </w:r>
      <w:r w:rsidRPr="00271E51">
        <w:rPr>
          <w:rFonts w:ascii="Times New Roman" w:hAnsi="Times New Roman"/>
          <w:color w:val="000000" w:themeColor="text1"/>
          <w:sz w:val="16"/>
          <w:szCs w:val="16"/>
        </w:rPr>
        <w:softHyphen/>
        <w:t>вильно применять ее. В первых боях за Днепром, когда полку при</w:t>
      </w:r>
      <w:r w:rsidRPr="00271E51">
        <w:rPr>
          <w:rFonts w:ascii="Times New Roman" w:hAnsi="Times New Roman"/>
          <w:color w:val="000000" w:themeColor="text1"/>
          <w:sz w:val="16"/>
          <w:szCs w:val="16"/>
        </w:rPr>
        <w:softHyphen/>
        <w:t>шлось применять самоходы как танки, полк потерял безвоз</w:t>
      </w:r>
      <w:r w:rsidRPr="00271E51">
        <w:rPr>
          <w:rFonts w:ascii="Times New Roman" w:hAnsi="Times New Roman"/>
          <w:color w:val="000000" w:themeColor="text1"/>
          <w:sz w:val="16"/>
          <w:szCs w:val="16"/>
        </w:rPr>
        <w:softHyphen/>
        <w:t>вратно 5 самоходов. В дальнейших боевых операциях полк дейст</w:t>
      </w:r>
      <w:r w:rsidRPr="00271E51">
        <w:rPr>
          <w:rFonts w:ascii="Times New Roman" w:hAnsi="Times New Roman"/>
          <w:color w:val="000000" w:themeColor="text1"/>
          <w:sz w:val="16"/>
          <w:szCs w:val="16"/>
        </w:rPr>
        <w:softHyphen/>
        <w:t>вовал, поддерживая атаки своих танков, следуя за ними на уда</w:t>
      </w:r>
      <w:r w:rsidRPr="00271E51">
        <w:rPr>
          <w:rFonts w:ascii="Times New Roman" w:hAnsi="Times New Roman"/>
          <w:color w:val="000000" w:themeColor="text1"/>
          <w:sz w:val="16"/>
          <w:szCs w:val="16"/>
        </w:rPr>
        <w:softHyphen/>
        <w:t>лении 200— 300 мт и отражая контратаки танков противника, и потому безвозвратных потерь не имел. Экипажи действуют, подставляя противнику наиболее трудно уязвимое место — лоб. Самоход пробивает самую толстую броню танка «Тигр» с дис</w:t>
      </w:r>
      <w:r w:rsidRPr="00271E51">
        <w:rPr>
          <w:rFonts w:ascii="Times New Roman" w:hAnsi="Times New Roman"/>
          <w:color w:val="000000" w:themeColor="text1"/>
          <w:sz w:val="16"/>
          <w:szCs w:val="16"/>
        </w:rPr>
        <w:softHyphen/>
        <w:t>танции 600—800м, а борт с дистанции до 1300мтр».</w:t>
      </w:r>
    </w:p>
    <w:p w14:paraId="7A0F30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Помощник командира полка по инженерной части инженер-майор Волгушев говорил так: «Машина СУ-85 в целом отвечает требованиям, предъявляемым современным самоходам. Материальная часть за весь период боевых дей</w:t>
      </w:r>
      <w:r w:rsidRPr="00271E51">
        <w:rPr>
          <w:rFonts w:ascii="Times New Roman" w:hAnsi="Times New Roman"/>
          <w:color w:val="000000" w:themeColor="text1"/>
          <w:sz w:val="16"/>
          <w:szCs w:val="16"/>
        </w:rPr>
        <w:softHyphen/>
        <w:t>ствий и маршей по тяжелым дорогам в условиях осенней распутицы проработала 150—170 моточасов и действовала безотказно. Аварий и поломок отмечено не было. У механи</w:t>
      </w:r>
      <w:r w:rsidRPr="00271E51">
        <w:rPr>
          <w:rFonts w:ascii="Times New Roman" w:hAnsi="Times New Roman"/>
          <w:color w:val="000000" w:themeColor="text1"/>
          <w:sz w:val="16"/>
          <w:szCs w:val="16"/>
        </w:rPr>
        <w:softHyphen/>
        <w:t>ков-водителей и командиров СУ-85 пользуется большой по</w:t>
      </w:r>
      <w:r w:rsidRPr="00271E51">
        <w:rPr>
          <w:rFonts w:ascii="Times New Roman" w:hAnsi="Times New Roman"/>
          <w:color w:val="000000" w:themeColor="text1"/>
          <w:sz w:val="16"/>
          <w:szCs w:val="16"/>
        </w:rPr>
        <w:softHyphen/>
        <w:t>пулярностью; машину полюбили».</w:t>
      </w:r>
    </w:p>
    <w:p w14:paraId="33BEE4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вместе с положительными отзывами комиссия собрала и многочисленные недочеты конструкции и поже</w:t>
      </w:r>
      <w:r w:rsidRPr="00271E51">
        <w:rPr>
          <w:rFonts w:ascii="Times New Roman" w:hAnsi="Times New Roman"/>
          <w:color w:val="000000" w:themeColor="text1"/>
          <w:sz w:val="16"/>
          <w:szCs w:val="16"/>
        </w:rPr>
        <w:softHyphen/>
        <w:t>лания по совершенствованию машины, наиболее сущест</w:t>
      </w:r>
      <w:r w:rsidRPr="00271E51">
        <w:rPr>
          <w:rFonts w:ascii="Times New Roman" w:hAnsi="Times New Roman"/>
          <w:color w:val="000000" w:themeColor="text1"/>
          <w:sz w:val="16"/>
          <w:szCs w:val="16"/>
        </w:rPr>
        <w:softHyphen/>
        <w:t>венными из которых были:</w:t>
      </w:r>
    </w:p>
    <w:p w14:paraId="3D53FF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Уменьшить мертвый ход механизма вертикального на</w:t>
      </w:r>
      <w:r w:rsidRPr="00271E51">
        <w:rPr>
          <w:rFonts w:ascii="Times New Roman" w:hAnsi="Times New Roman"/>
          <w:color w:val="000000" w:themeColor="text1"/>
          <w:sz w:val="16"/>
          <w:szCs w:val="16"/>
        </w:rPr>
        <w:softHyphen/>
        <w:t>ведения.</w:t>
      </w:r>
    </w:p>
    <w:p w14:paraId="5A6F1D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Усилить конструкцию крепления к корпусу механиз</w:t>
      </w:r>
      <w:r w:rsidRPr="00271E51">
        <w:rPr>
          <w:rFonts w:ascii="Times New Roman" w:hAnsi="Times New Roman"/>
          <w:color w:val="000000" w:themeColor="text1"/>
          <w:sz w:val="16"/>
          <w:szCs w:val="16"/>
        </w:rPr>
        <w:softHyphen/>
        <w:t>мов вертикального и горизонтального наведения (от</w:t>
      </w:r>
      <w:r w:rsidRPr="00271E51">
        <w:rPr>
          <w:rFonts w:ascii="Times New Roman" w:hAnsi="Times New Roman"/>
          <w:color w:val="000000" w:themeColor="text1"/>
          <w:sz w:val="16"/>
          <w:szCs w:val="16"/>
        </w:rPr>
        <w:softHyphen/>
        <w:t>мечались неоднократные случаи отрыва их по сварке от корпуса САУ при попадании немецких снарядов, даже не ведущих к пробитию).</w:t>
      </w:r>
    </w:p>
    <w:p w14:paraId="73D278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Увеличить толщину лобовой брони корпуса для защиты от 75-мм танковых и самоходных пушек.</w:t>
      </w:r>
    </w:p>
    <w:p w14:paraId="6C6F1D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Увеличить огневую мощь орудия для возможности борьбы с новыми немецкими танками на больших дис-танцях от 1000 до 2000 м.</w:t>
      </w:r>
    </w:p>
    <w:p w14:paraId="7DD4BA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Увеличить возимый боекомплект. Установить оборонительный пулемет для защиты от пе</w:t>
      </w:r>
      <w:r w:rsidRPr="00271E51">
        <w:rPr>
          <w:rFonts w:ascii="Times New Roman" w:hAnsi="Times New Roman"/>
          <w:color w:val="000000" w:themeColor="text1"/>
          <w:sz w:val="16"/>
          <w:szCs w:val="16"/>
        </w:rPr>
        <w:softHyphen/>
        <w:t>хоты и стрельбы по самолетам. Улучшить механизм крепления пушки по-походному. Увеличить сечение топливных трубок с целью устране</w:t>
      </w:r>
      <w:r w:rsidRPr="00271E51">
        <w:rPr>
          <w:rFonts w:ascii="Times New Roman" w:hAnsi="Times New Roman"/>
          <w:color w:val="000000" w:themeColor="text1"/>
          <w:sz w:val="16"/>
          <w:szCs w:val="16"/>
        </w:rPr>
        <w:softHyphen/>
        <w:t>ния затруднений питания двигателя. Установить на лобовой части корпуса бонки для креп</w:t>
      </w:r>
      <w:r w:rsidRPr="00271E51">
        <w:rPr>
          <w:rFonts w:ascii="Times New Roman" w:hAnsi="Times New Roman"/>
          <w:color w:val="000000" w:themeColor="text1"/>
          <w:sz w:val="16"/>
          <w:szCs w:val="16"/>
        </w:rPr>
        <w:softHyphen/>
        <w:t>ления запасных траков.</w:t>
      </w:r>
    </w:p>
    <w:p w14:paraId="64FBB8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Улучшить герметичность эвакуационных и эксплуата</w:t>
      </w:r>
      <w:r w:rsidRPr="00271E51">
        <w:rPr>
          <w:rFonts w:ascii="Times New Roman" w:hAnsi="Times New Roman"/>
          <w:color w:val="000000" w:themeColor="text1"/>
          <w:sz w:val="16"/>
          <w:szCs w:val="16"/>
        </w:rPr>
        <w:softHyphen/>
        <w:t>ционных люков для возможности преодоления глубо</w:t>
      </w:r>
      <w:r w:rsidRPr="00271E51">
        <w:rPr>
          <w:rFonts w:ascii="Times New Roman" w:hAnsi="Times New Roman"/>
          <w:color w:val="000000" w:themeColor="text1"/>
          <w:sz w:val="16"/>
          <w:szCs w:val="16"/>
        </w:rPr>
        <w:softHyphen/>
        <w:t>ких бродов.</w:t>
      </w:r>
    </w:p>
    <w:p w14:paraId="27F3E7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Улучшить прочность сварных соединений лобового ли</w:t>
      </w:r>
      <w:r w:rsidRPr="00271E51">
        <w:rPr>
          <w:rFonts w:ascii="Times New Roman" w:hAnsi="Times New Roman"/>
          <w:color w:val="000000" w:themeColor="text1"/>
          <w:sz w:val="16"/>
          <w:szCs w:val="16"/>
        </w:rPr>
        <w:softHyphen/>
        <w:t>ста с бортами.</w:t>
      </w:r>
    </w:p>
    <w:p w14:paraId="52FE1D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Разработать улучшенные сиденья экипажа. Усовершенствовать систему смазки. Ввести конструкцию электроспуска с кнопкой на руко</w:t>
      </w:r>
      <w:r w:rsidRPr="00271E51">
        <w:rPr>
          <w:rFonts w:ascii="Times New Roman" w:hAnsi="Times New Roman"/>
          <w:color w:val="000000" w:themeColor="text1"/>
          <w:sz w:val="16"/>
          <w:szCs w:val="16"/>
        </w:rPr>
        <w:softHyphen/>
        <w:t>яти поворотного механизма.</w:t>
      </w:r>
    </w:p>
    <w:p w14:paraId="79CB8D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Ввести наблюдательную командирскую башенку с при</w:t>
      </w:r>
      <w:r w:rsidRPr="00271E51">
        <w:rPr>
          <w:rFonts w:ascii="Times New Roman" w:hAnsi="Times New Roman"/>
          <w:color w:val="000000" w:themeColor="text1"/>
          <w:sz w:val="16"/>
          <w:szCs w:val="16"/>
        </w:rPr>
        <w:softHyphen/>
        <w:t>бором МК-1У, вместо панорамы ПТК.</w:t>
      </w:r>
    </w:p>
    <w:p w14:paraId="110FDE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Усовершенствовать вентиляцию боевого отделения ус</w:t>
      </w:r>
      <w:r w:rsidRPr="00271E51">
        <w:rPr>
          <w:rFonts w:ascii="Times New Roman" w:hAnsi="Times New Roman"/>
          <w:color w:val="000000" w:themeColor="text1"/>
          <w:sz w:val="16"/>
          <w:szCs w:val="16"/>
        </w:rPr>
        <w:softHyphen/>
        <w:t>тановкой двух вентиляторов.</w:t>
      </w:r>
    </w:p>
    <w:p w14:paraId="28C7E5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Реализация данных предложений велась двумя путями. Во-первых, совершенствованием конструкции серийно СУ-85 и, во-вторых, разработкой более совершенных мо</w:t>
      </w:r>
      <w:r w:rsidRPr="00271E51">
        <w:rPr>
          <w:rFonts w:ascii="Times New Roman" w:hAnsi="Times New Roman"/>
          <w:color w:val="000000" w:themeColor="text1"/>
          <w:sz w:val="16"/>
          <w:szCs w:val="16"/>
        </w:rPr>
        <w:softHyphen/>
        <w:t>делей САУ (11417).</w:t>
      </w:r>
    </w:p>
    <w:p w14:paraId="17CBCF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2CA11" w14:textId="77777777" w:rsidR="00EE69CE" w:rsidRPr="00271E51" w:rsidRDefault="00EE69CE" w:rsidP="00271E51">
      <w:pPr>
        <w:pStyle w:val="ae"/>
        <w:spacing w:before="0" w:after="0"/>
        <w:jc w:val="both"/>
        <w:textAlignment w:val="baseline"/>
        <w:rPr>
          <w:color w:val="000000" w:themeColor="text1"/>
          <w:sz w:val="16"/>
          <w:szCs w:val="16"/>
        </w:rPr>
      </w:pPr>
      <w:r w:rsidRPr="00271E51">
        <w:rPr>
          <w:color w:val="000000" w:themeColor="text1"/>
          <w:sz w:val="16"/>
          <w:szCs w:val="16"/>
        </w:rPr>
        <w:t>В сентябре 1943 на скорости СУ-85 на УЗТМ производства сказывалась задержка с освоением заводом №9 выпуска систем Д-5С-85. За первые 10 дней сентября было принято пробегом 57 СУ-85, из них орудиями оказалось обеспечено всего 26 машин. Тем не менее к 20 сентября завод сдал 83 САУ, а в целом за сентябрь — 152 СУ-85, на 2 больше установленного плана. Хотя ситуация с орудиями повторилась и в октябре, при запланированных 160 СУ-85 завод снова сдал на 2 машины больше. В ноябре орудия поставлялись без рывков, вместо 165 машин в Свердловске удалось сдать 166 СУ-85. Перевыполненным оказался и декабрьский план — 176 СУ-85 при заданных 175. Из вечно отстающего предприятия УЗТМ превратился в настоящего ударника социалистического труда, стабильно перевыполняющего программу.</w:t>
      </w:r>
    </w:p>
    <w:p w14:paraId="319EA553" w14:textId="77777777" w:rsidR="00EE69CE" w:rsidRPr="00271E51" w:rsidRDefault="00EE69CE" w:rsidP="00271E51">
      <w:pPr>
        <w:pStyle w:val="ae"/>
        <w:spacing w:before="0" w:after="0"/>
        <w:jc w:val="both"/>
        <w:textAlignment w:val="baseline"/>
        <w:rPr>
          <w:color w:val="000000" w:themeColor="text1"/>
          <w:sz w:val="16"/>
          <w:szCs w:val="16"/>
        </w:rPr>
      </w:pPr>
      <w:r w:rsidRPr="00271E51">
        <w:rPr>
          <w:color w:val="000000" w:themeColor="text1"/>
          <w:sz w:val="16"/>
          <w:szCs w:val="16"/>
        </w:rPr>
        <w:t>Улучшилась и ситуация с качеством. СУ-85 с номером У309274, построенная в сентябре 1943 года, прошла в ходе испытаний 1000 километров со средней скоростью по шоссе 29,1 км/ч, а по просёлку — 17,9 км/ч. После пробега оказалось, что моторно-трансмиссионная группа машины вполне пригодна для дальнейшей эксплуатации. Единственным слабым местом оставались опорные катки, один из которых вышел из строя из-за разрушения внешнего шарикового подшипника. У другого катка разрушился резиновый бандаж. Похожие дефекты катков наблюдались и на других заводах. В целом же СУ-85 на тот период оказалась самой надёжной советской САУ.</w:t>
      </w:r>
    </w:p>
    <w:p w14:paraId="2E392F01" w14:textId="77777777" w:rsidR="00EE69CE" w:rsidRPr="00271E51" w:rsidRDefault="00EE69CE" w:rsidP="00271E51">
      <w:pPr>
        <w:pStyle w:val="ae"/>
        <w:spacing w:before="0" w:after="0"/>
        <w:jc w:val="both"/>
        <w:textAlignment w:val="baseline"/>
        <w:rPr>
          <w:color w:val="000000" w:themeColor="text1"/>
          <w:sz w:val="16"/>
          <w:szCs w:val="16"/>
        </w:rPr>
      </w:pPr>
      <w:r w:rsidRPr="00271E51">
        <w:rPr>
          <w:color w:val="000000" w:themeColor="text1"/>
          <w:sz w:val="16"/>
          <w:szCs w:val="16"/>
        </w:rPr>
        <w:t>Впрочем, это не значит, что у СУ-85 не было проблем. О дефектах рассказывают как результаты контрольных испытаний, так и отчёты военных представителей. Из 100 СУ-85 августовской сборки инженер-подполковник Г.З. Зухер не нашёл дефектов только у 54 машин. Аналогичная ситуация сложилась и в сентябре. Часть дефектов была обусловлена некачественной сборкой, но имелись и проблемы, заложенные в конструкции САУ. Одним из таких проблемных мест стало крепление массивной подвижной бронировки всего на четырёх болтах. Этого было явно недостаточно: после интенсивной стрельбы бронировка провисала.</w:t>
      </w:r>
    </w:p>
    <w:p w14:paraId="62CD1423" w14:textId="77777777" w:rsidR="00EE69CE" w:rsidRPr="00271E51" w:rsidRDefault="00EE69CE" w:rsidP="00271E51">
      <w:pPr>
        <w:pStyle w:val="ae"/>
        <w:spacing w:before="0" w:after="0"/>
        <w:jc w:val="both"/>
        <w:textAlignment w:val="baseline"/>
        <w:rPr>
          <w:color w:val="000000" w:themeColor="text1"/>
          <w:sz w:val="16"/>
          <w:szCs w:val="16"/>
        </w:rPr>
      </w:pPr>
      <w:r w:rsidRPr="00271E51">
        <w:rPr>
          <w:color w:val="000000" w:themeColor="text1"/>
          <w:sz w:val="16"/>
          <w:szCs w:val="16"/>
        </w:rPr>
        <w:t>На заводе с дефектом пробовали бороться путём замены одного из амортизаторов двумя металлическими прокладками. Но было очевидно, что деталь требует замены. Чертёж новой бронировки, которая крепилась на 6 болтах, утвердили 16 сентября 1943 года. На серийных машинах она устанавливалась начиная с 95-й машины октябрьского выпуска.</w:t>
      </w:r>
    </w:p>
    <w:p w14:paraId="708A71F1" w14:textId="77777777" w:rsidR="00EE69CE" w:rsidRPr="00271E51" w:rsidRDefault="00EE69CE" w:rsidP="00271E51">
      <w:pPr>
        <w:pStyle w:val="ae"/>
        <w:spacing w:before="0" w:after="0"/>
        <w:jc w:val="both"/>
        <w:textAlignment w:val="baseline"/>
        <w:rPr>
          <w:color w:val="000000" w:themeColor="text1"/>
          <w:sz w:val="16"/>
          <w:szCs w:val="16"/>
        </w:rPr>
      </w:pPr>
      <w:r w:rsidRPr="00271E51">
        <w:rPr>
          <w:color w:val="000000" w:themeColor="text1"/>
          <w:sz w:val="16"/>
          <w:szCs w:val="16"/>
        </w:rPr>
        <w:t>Ещё раньше, в сентябре 1943 года, изменился спусковой механизм, на который также имелись нарекания. 28 августа 1943 года была утверждена новая версия колпака командира с утолщёнными до 45 мм стенками — это позволило избавиться от экранировки. Новый колпак пошёл в серию 20 сентября 1943 года. С 1 сентября 1943 года изменилось расположение ящиков ЗИП, в этом же месяце была переделана боеукладка с левой стороны. С 1 октября рядом с колпаком командира появилась ручка. С 8 октября СУ-85 получали торсионы компенсатора люка механика-водителя улучшенной конструкции. Кстати, с самого начала этот люк отличался от люка Т-34 буквой «С» (17719).</w:t>
      </w:r>
    </w:p>
    <w:p w14:paraId="0A423060" w14:textId="77777777" w:rsidR="00EE69CE" w:rsidRPr="00271E51" w:rsidRDefault="00EE69CE" w:rsidP="00271E51">
      <w:pPr>
        <w:spacing w:after="0" w:line="240" w:lineRule="auto"/>
        <w:jc w:val="both"/>
        <w:rPr>
          <w:rFonts w:ascii="Times New Roman" w:hAnsi="Times New Roman"/>
          <w:color w:val="000000" w:themeColor="text1"/>
          <w:sz w:val="16"/>
          <w:szCs w:val="16"/>
        </w:rPr>
      </w:pPr>
    </w:p>
    <w:p w14:paraId="2846963D" w14:textId="77777777" w:rsidR="00844775" w:rsidRPr="00271E51" w:rsidRDefault="00844775" w:rsidP="00271E51">
      <w:pPr>
        <w:pStyle w:val="ae"/>
        <w:spacing w:before="0" w:after="0"/>
        <w:jc w:val="both"/>
        <w:textAlignment w:val="baseline"/>
        <w:rPr>
          <w:color w:val="000000" w:themeColor="text1"/>
          <w:sz w:val="16"/>
          <w:szCs w:val="16"/>
        </w:rPr>
      </w:pPr>
      <w:r w:rsidRPr="00271E51">
        <w:rPr>
          <w:color w:val="000000" w:themeColor="text1"/>
          <w:sz w:val="16"/>
          <w:szCs w:val="16"/>
        </w:rPr>
        <w:t>В сентябре 1943 года первые СУ-85 попали в войска. Как это часто бывает с новыми машинами, из частей стали поступать сигналы о различных дефектах. Прежде всего они были связаны с орудием Д-5С-85, но хватало и других проблем. Часто ломался торсион люка механика-водителя, который пришлось неоднократно переделывать. Приходили жалобы и на трещины в листах — правда, такие дефекты не были массовыми, как в своё время у СУ-122. Отмечались дефекты и в моторно-трансмиссионной группе. Поступали жалобы на недостаточную вентиляцию боевого отделения, что и стало причиной экспериментов с установкой двух вентиляторов. Правда, внедрено это решение было только при переходе на производство СУ-85М и СУ-100.</w:t>
      </w:r>
    </w:p>
    <w:p w14:paraId="36FE60F3" w14:textId="77777777" w:rsidR="00844775" w:rsidRPr="00271E51" w:rsidRDefault="00844775" w:rsidP="00271E51">
      <w:pPr>
        <w:pStyle w:val="ae"/>
        <w:spacing w:before="0" w:after="0"/>
        <w:jc w:val="both"/>
        <w:textAlignment w:val="baseline"/>
        <w:rPr>
          <w:color w:val="000000" w:themeColor="text1"/>
          <w:sz w:val="16"/>
          <w:szCs w:val="16"/>
        </w:rPr>
      </w:pPr>
      <w:r w:rsidRPr="00271E51">
        <w:rPr>
          <w:color w:val="000000" w:themeColor="text1"/>
          <w:sz w:val="16"/>
          <w:szCs w:val="16"/>
        </w:rPr>
        <w:t>Официально СУ-85 предназначалась для выполнения широкого спектра задач. Но в основном она воевала против вражеских танков. Первые самоходные артиллерийские полки, получавшие СУ-85, формировались по штату №010/483. Согласно ему, полк состоял из 4 батарей по 4 СУ-85 в каждой. Также по штату полку полагался один танк Т-34 в роли командирской машины.</w:t>
      </w:r>
    </w:p>
    <w:p w14:paraId="57DA2C5B" w14:textId="77777777" w:rsidR="00844775" w:rsidRPr="00271E51" w:rsidRDefault="00844775"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В таком составе был сформирован, например, 1435-й самоходно-артиллерийский полк, тот самый, который поначалу воевал на </w:t>
      </w:r>
      <w:hyperlink r:id="rId101" w:history="1">
        <w:r w:rsidRPr="00271E51">
          <w:rPr>
            <w:rStyle w:val="a5"/>
            <w:bCs/>
            <w:iCs/>
            <w:color w:val="000000" w:themeColor="text1"/>
            <w:sz w:val="16"/>
            <w:szCs w:val="16"/>
            <w:bdr w:val="none" w:sz="0" w:space="0" w:color="auto" w:frame="1"/>
          </w:rPr>
          <w:t>СГ-122</w:t>
        </w:r>
      </w:hyperlink>
      <w:r w:rsidRPr="00271E51">
        <w:rPr>
          <w:color w:val="000000" w:themeColor="text1"/>
          <w:sz w:val="16"/>
          <w:szCs w:val="16"/>
        </w:rPr>
        <w:t xml:space="preserve">. Именно этот полк одним из первых получил на вооружение СУ-85. 2 октября 1943 года он находился в составе 68-й армии. К 14:00 2 октября 1-я батарея 1435-го полка занимала оборону в районе Клементьево, находясь в распоряжении командира 159-й стрелковой дивизии. На следующий день в 11:30 советские войска приступили к форсированию реки Мерея. Наступление поддерживали две СУ-85. Немцы открыли по ним огонь, 1 машина вышла из строя, два члена её экипажа погибли, двое были ранены. Оставшиеся в засаде советские машины открыли огонь по обнаружившим себя танкам и артиллерии противника. На свой счёт самоходчики записали </w:t>
      </w:r>
      <w:hyperlink r:id="rId102" w:history="1">
        <w:r w:rsidRPr="00271E51">
          <w:rPr>
            <w:rStyle w:val="a5"/>
            <w:bCs/>
            <w:iCs/>
            <w:color w:val="000000" w:themeColor="text1"/>
            <w:sz w:val="16"/>
            <w:szCs w:val="16"/>
            <w:bdr w:val="none" w:sz="0" w:space="0" w:color="auto" w:frame="1"/>
          </w:rPr>
          <w:t>«Тигр»</w:t>
        </w:r>
      </w:hyperlink>
      <w:r w:rsidRPr="00271E51">
        <w:rPr>
          <w:color w:val="000000" w:themeColor="text1"/>
          <w:sz w:val="16"/>
          <w:szCs w:val="16"/>
        </w:rPr>
        <w:t>, но скорее всего это был танк другого типа.</w:t>
      </w:r>
    </w:p>
    <w:p w14:paraId="67E49658" w14:textId="77777777" w:rsidR="00844775" w:rsidRPr="00271E51" w:rsidRDefault="00844775" w:rsidP="00271E51">
      <w:pPr>
        <w:pStyle w:val="ae"/>
        <w:spacing w:before="0" w:after="0"/>
        <w:jc w:val="both"/>
        <w:textAlignment w:val="baseline"/>
        <w:rPr>
          <w:color w:val="000000" w:themeColor="text1"/>
          <w:sz w:val="16"/>
          <w:szCs w:val="16"/>
        </w:rPr>
      </w:pPr>
      <w:r w:rsidRPr="00271E51">
        <w:rPr>
          <w:color w:val="000000" w:themeColor="text1"/>
          <w:sz w:val="16"/>
          <w:szCs w:val="16"/>
        </w:rPr>
        <w:t>Для изучения опыта боевого применения новой машины на фронт была отправлена специальная комиссия. В неё вошли представитель Управления самоходной артиллерии Главного бронетанкового управления (УСА ГБТУ) инженер-майор П.Н. Кузин, инженер-конструктор УЗТМ Б.Б. Попков и начальник танкового производства завода Л.М. Яровинский. Объектами изучения стали 69-й танковый полк 8-го механизированного корпуса и 1440-й самоходно-артиллерийский полк 7-го механизированного корпуса. Танковый полк, несмотря на название, тоже был укомплектован СУ-85 по штату №010/483 (17719).</w:t>
      </w:r>
    </w:p>
    <w:p w14:paraId="47688E67" w14:textId="77777777" w:rsidR="00844775" w:rsidRPr="00271E51" w:rsidRDefault="00844775" w:rsidP="00271E51">
      <w:pPr>
        <w:spacing w:after="0" w:line="240" w:lineRule="auto"/>
        <w:jc w:val="both"/>
        <w:rPr>
          <w:rFonts w:ascii="Times New Roman" w:hAnsi="Times New Roman"/>
          <w:color w:val="000000" w:themeColor="text1"/>
          <w:sz w:val="16"/>
          <w:szCs w:val="16"/>
        </w:rPr>
      </w:pPr>
    </w:p>
    <w:p w14:paraId="112BD67E"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В сентябре 1943 г. 1902-й самоходно-артиллерийский полк в составе пятнадцати СУ-76И участвовал в 14 боях, в которые одновременно вводилось от двух до семи машин СУ-76И. Своим огнем самоходки оказывали существенную помощь пехоте при отражении атак противника. Наиболее результативные бои проходили 20—23 сентября 1943 г. при преследовании отходящего противника, когда группа из шести СУ-76И уничтожила три вражеских танка. Обычно во время атак или преследования противника САУ следовали непосредственно вслед за танками, причем в отчете командира самоходно-артиллерийского полка отмечалось, что если бы «танки и САУ использовались более массированно, потери полка были бы существенно снижены».</w:t>
      </w:r>
    </w:p>
    <w:p w14:paraId="59D067C7"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Полк участвовал в боевых операциях до конца ноября. 25 ноября 1943 г. 1902-й Кременчугский самоходно-артиллерийский полк, потерявший все свои машины, убыл на переформирование отечественной матчастью.</w:t>
      </w:r>
    </w:p>
    <w:p w14:paraId="2B2A2C7D"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Кроме 1902-го, самоходными установками СУ-76И оснащались 1901-й и 1903-й полки, которые также использовались в августе — сентябре при проведении Белгородско-Харьковской операции.</w:t>
      </w:r>
    </w:p>
    <w:p w14:paraId="0BF9802B"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Самоходчики любили СУ-76И за то, что при наличии закрытого боевого отделения она не была такой тесной, как СУ-85, или трофейные StuG 40. Часто им приходилось выполнять типично танковые задачи — поддержку и сопровождение пехоты, борьбу с вражескими огневыми точками. И только наличие одного люка (а в 1943 г. немецких шасси с бортовыми лючками почти не осталось) затрудняло эвакуацию из СУ-76И в случае ее загорания.</w:t>
      </w:r>
    </w:p>
    <w:p w14:paraId="7DB6B368"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Как это всегда бывает с трофейной техникой, СУ-76И часто попадали под обстрел своих войск. Так, при освобождении Левобережной Украины установка СУ-76И из 3-й гвардейской танковой армии в районе Прилук мирно ехала по шоссе с пехотинцами на броне. Экипаж танка Т-70 проигнорировал красные звезды на ее борту и с дистанции 300 м открыл огонь из пушки. Однако 45-мм снаряды не сумели пробить броню самоходки. Бой кончился нанесением телесных повреждений экипажу танка Т-70 расчетом СУ-76 и ее десантом (15225).</w:t>
      </w:r>
    </w:p>
    <w:p w14:paraId="650D890D" w14:textId="77777777" w:rsidR="009376F4" w:rsidRPr="00271E51" w:rsidRDefault="009376F4" w:rsidP="00271E51">
      <w:pPr>
        <w:pStyle w:val="book"/>
        <w:ind w:firstLine="0"/>
        <w:jc w:val="both"/>
        <w:rPr>
          <w:color w:val="000000" w:themeColor="text1"/>
          <w:sz w:val="16"/>
          <w:szCs w:val="16"/>
        </w:rPr>
      </w:pPr>
    </w:p>
    <w:p w14:paraId="534FA3B2"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сентябре 1943 года отобранные группой специалистов НИБТ Полигона самоходные установки Фердинанд прибыли в Кубинку. Сразу же после прибытия началось изучение образца с бортовым номером 501. О ходовых испытаниях на тот момент речи не шло, не хватало времени. Вместо них испытатели составили краткое описание немецкой самоходной установки, которую они называли «Фердинанд (Tiger P)». Благодаря уже имеющимся материалам удалось достаточно точно указать характеристики машины.</w:t>
      </w:r>
    </w:p>
    <w:p w14:paraId="3147B3B0"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Оценка немецкой новинки оказалась, мягко говоря, неоднозначной. Очевидными плюсами машины являлись броневая защита, а также мощное вооружение. Вместе с тем, даже вооружение танка вызвало вопросы. Изучение 88-мм орудия Pak 43 показало, что скорость наведения с помощью его поворотного механизма невелика. Ведение прицельного огня было возможно только с места либо с коротких остановок. Обзорность машины советские специалисты признали плохой. Эти выводы </w:t>
      </w:r>
      <w:r w:rsidRPr="00271E51">
        <w:rPr>
          <w:color w:val="000000" w:themeColor="text1"/>
          <w:sz w:val="16"/>
          <w:szCs w:val="16"/>
        </w:rPr>
        <w:lastRenderedPageBreak/>
        <w:t>косвенно подтвердили немецкие конструкторы. В ходе модернизации Ferdinand, которая началась осенью 1943 года (примерно в это же время машина сменила обозначение на Elefant), машины получили командирскую башенку. Правда, это ненамного улучшило ситуацию.</w:t>
      </w:r>
    </w:p>
    <w:p w14:paraId="26C5407B"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Ещё одним существенным недостатком немецкой САУ был небольшой боекомплект, состоявший всего из 38 патронов. Экипажи самостоятельно исправляли ситуацию: в самоходных установках находили деревянные укладки, кустарно сооружённые в полевых условиях.</w:t>
      </w:r>
    </w:p>
    <w:p w14:paraId="7847647B" w14:textId="77777777" w:rsidR="00844775" w:rsidRPr="00271E51" w:rsidRDefault="008447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Составление описания, впрочем, было не самой важной задачей для специалистов НИБТ Полигона. Куда важнее было определить, куда и чем немецкую новинку можно поразить. После сражения под Понырями угрозу, исходящую от «Фердинанда», восприняли очень серьёзно. Машина произвела на советскую пехоту и танкистов неизгладимое впечатление. Стальная махина, которую практически невозможно пробить в лобовую проекцию, мерещилась на разных участках фронта. По этой причине требовалось точно знать, какие системы и на какой дистанции способны поражать тяжёлый немецкий истребитель танков (17707).</w:t>
      </w:r>
    </w:p>
    <w:p w14:paraId="65E6AC8E" w14:textId="77777777" w:rsidR="00844775" w:rsidRPr="00271E51" w:rsidRDefault="00844775" w:rsidP="00271E51">
      <w:pPr>
        <w:spacing w:after="0" w:line="240" w:lineRule="auto"/>
        <w:jc w:val="both"/>
        <w:rPr>
          <w:rFonts w:ascii="Times New Roman" w:hAnsi="Times New Roman"/>
          <w:color w:val="000000" w:themeColor="text1"/>
          <w:sz w:val="16"/>
          <w:szCs w:val="16"/>
        </w:rPr>
      </w:pPr>
    </w:p>
    <w:p w14:paraId="5D76B6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271E51">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 В мае месяце 1944 г. ОКБ ВЭИ вновь проводило испытании приборов для ночного вождения на заводе № 100 НКТП (11420).</w:t>
      </w:r>
    </w:p>
    <w:p w14:paraId="2E4DC4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A6F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г. бронеавтомобиль БА-64Б был постав</w:t>
      </w:r>
      <w:r w:rsidRPr="00271E51">
        <w:rPr>
          <w:rFonts w:ascii="Times New Roman" w:hAnsi="Times New Roman"/>
          <w:color w:val="000000" w:themeColor="text1"/>
          <w:sz w:val="16"/>
          <w:szCs w:val="16"/>
        </w:rPr>
        <w:softHyphen/>
        <w:t>лен на серийное производство вместо бронеавтомобиля БА-64 (10703).</w:t>
      </w:r>
    </w:p>
    <w:p w14:paraId="0C145B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E0A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первая партия тягачей, получивших название Я-12, была передана в войска (судя по всему на фронтовые испытания - прим. автора). До конца текущего года заводом было сдано 285 тягачей Я-12 (5744, 30).</w:t>
      </w:r>
    </w:p>
    <w:p w14:paraId="43E7D5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47FE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было восстановлено энергоснабжение ТГМЗ. В следующем месяце ввели в строй самые необходимые вспомогательные мощности и одну печь мартеновского цеха №1. По следам эвакуированных на Урал станков направили сотрудников ТГМЗ. По рассказам людей, работавших в то время, один из таких сотрудников - мастер трубопрокатного цеха Н.А. Капитоненко, разыскивая оборудование цеха, обнаружил подающий аппарат прокатного стана весом в 23 тонны на станции Слюдянка Восточно-Сибирской железной дороги в Забайкалье (11584).</w:t>
      </w:r>
    </w:p>
    <w:p w14:paraId="6C0AAAC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7045D46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ГКО было принято развернутое постановление об организации выпуска средств радиолокации на некоторых заводах авиационной и судостроительной промышленности, о создании новых научно - исследовательских институтов, КБ, главного управления в НКЭП (радиолокационного) и по ряду других, относившихся к радиолокации вопросов. Это постановление положило начало развертыванию производства радиолокационной техники и очень скоро сказалось на увеличении выпуска РЛС и дополнительно вовлекло в сферу их разработок значительный круг научных, инженерных и производственных кадров (9921).</w:t>
      </w:r>
    </w:p>
    <w:p w14:paraId="41F1697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56837D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для решения комплексных проблем радиолокации был создан институт № 108. Он подчинялся непосредственно Совету по радиолокации, да и размещались они по одному и тому же адресу в доме 20 на Ново-Басманной улице (9921).</w:t>
      </w:r>
    </w:p>
    <w:p w14:paraId="6A345BF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75B84F5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 1943 г. ПОЯСНИТЕЛЬНАЯ ЗАПИСКА НАЧАЛЬНИКА 8-го ОТДЕЛА СЕМЕНЧЕНКО О ПРЕДОСТАВЛЕННЫХ В НОВОСИБИРСКЕ ОБЛАСТНЫМИ ОРГАНИЗАЦИЯМИ ШЕСТИ ПЛОЩАДЯХ И ЗДАНИЯХ ДЛЯ РАЗМЕЩЕНИЯ ЗАВОДА № 590</w:t>
      </w:r>
    </w:p>
    <w:p w14:paraId="3AC9BE0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размещения завода N° 590 в г. Новосибирске областными организациями были отведены площади, расположенные на отдельных 6 площадях, здания которых принадлежали разным организациям. Площадка № 1 - бывший ликеро-водочный завод, из себя представляла - главный корпус - 2-этажное здание с подвалом, остальные здания представляли из себя холодные складские помещения без полов и чердачных перекрытий. Все здания 1-й площадки небыли обеспечены отоплением, водопроводом, канализацией, электроэнергией и слаботочным хозяйством. Наличие железнодорожного подъездного пути предопределило расположение на этой площадке заготовительных цехов и складских помещений. В главном корпусе были расположены цеха № 32,33 и инструментальный № 51, с проведением в нем работ по переделке внутренней планировки, усилением перекрытий, новых пристроек к нему и проведением работ по водопроводу, канализации, отоплению и электроснабжению. В отдельных бывших складских помещениях были расположены цеха №№ 34, 35, 52, 57, 54, с проведением коренной перестройки и устройством дополнительных пристроек и обеспечением их водопроводом, канализацией и электроэнергией. Помимо зданий, принятых от бывшего ликеро-водочного завода и реконструированных под производственные цеха завода, было вновь выстроено: а) склад черных металлов - деревянное здание с толе-ной кровлей и б) склад импортных металлов — одноэтажное кирпичное здание с деревянным перекрытием и железной кровлей.</w:t>
      </w:r>
    </w:p>
    <w:p w14:paraId="688C46E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Площадка № 2 — здание базы аптекоуправления, представляла из себя: два корпуса - правое и левое крыло, из которых левое крыло - более приспособленное здание, требовавшее работ по внутренней планировке и устройству промышленных проводок. В этом здании были расположены цеха №№ 36, 37, 38, 50, 44, 48, 49 и лаборатории главного конструктора. Правое крыло - совершенно неприспособленное здание, бывшее складское холодное помещение, потребовавшее коренной перестройки с проведением работ по утеплению стен и перекрытий, а также работ по внутренней планировке и обеспечению отоплением, водопроводом и электроснабжением. В этом здании были расположены цеха № 40, 58, 59, 60 и часть здания отведена под складские помещения готовой продукции.</w:t>
      </w:r>
    </w:p>
    <w:p w14:paraId="6888A10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Площадка № 3 — расположена на расстоянии 2 километров от площадок № 1 и № 2 — бывший склад муки и отрубей Мелькомбината, представлявший из себя двухэтажное складское помещение. Здание также не приспособленное для размещения производственных цехов.</w:t>
      </w:r>
    </w:p>
    <w:p w14:paraId="5C972BB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здание потребовало коренного переустройства по усилению перекрытий, по устройству внутренней планировки, перестилки и устройству новых полов, устройству новых пристроек для вентиляционного хозяйства, устройству отопления, водопровода, канализации со спуском вод в поглощающие колодцы, также электроснабжения и связи. Отсутствие котельной для обеспечения корпуса теплом вызвало необходимость иметь специальный арендованный паровоз для получения тепла и обеспечения корпуса производственным паром. В корпусе были расположены цеха №&gt;&amp; 45, 46, 47, заготовительная мастерская и столовая для рабочих корпуса.</w:t>
      </w:r>
    </w:p>
    <w:p w14:paraId="2E75DE7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Площадка № 4 - незаконченное строительство зданий мебельной фабрики, представлявшее два одноэтажных отдельно стоящих здания, имеющих незаконченность — только кладку стен и частично перекрытий. Здания были предназначены для размещения цехов № 42, 43.</w:t>
      </w:r>
    </w:p>
    <w:p w14:paraId="7AE3FE7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расширения производственной площади под цех № 42 было вновь выстроено одноэтажное кирпичное здание с деревянным перекрытием и, кроме того, трансформаторная подстанция — одноэтажное кирпичное здание с железобетонным кровельным перекрытием.</w:t>
      </w:r>
    </w:p>
    <w:p w14:paraId="17A57AB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Площадка № 5 — помещение бывшей артели «Красный деревец», представлявшее старое деревянное здание, бывшее в пожаре, где заводом был расположен цех № 55 — ремонтно-строительный и площадка использовалась как ремонтно-строительная база. В настоящее время цех № 55 переведен на площадку № 6, а здания, ранее принадлежащие артели «Красный деревец», переданы артели «Красный рекорд». Размещение цехов на отведенных площадках обеспечивало лишь программу завода, утвержденную для 1-й очереди, и целый ряд цехов требовали расширения площадей.</w:t>
      </w:r>
    </w:p>
    <w:p w14:paraId="4261788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ГКО для завода были отведены дополнительно 3 корпуса, принадлежащие СибВО ... Получение новых производственных корпусов дало возможность разместить цеха №№ 36, 37, 39, 51, 53, 54 на новых площадях, и тем самым ранее занимаемые ими площади были использованы для расширения других цехов. Освоение новых полученных площадей было связано также с работами по внутреннему переустройству корпусов, по обеспечению цехов дополнительным светом, что вызвало устройство фонарей (цеха №№ 36 и 37), а также приведению в порядок теплового котельного хозяйства, устройству водопровода и электроснабжения. В соответствии с полученными площадями и размещением на них цехов, согласно первоначальной планировки и с учетом технологии производства, был разработан график очередности работ по вводу цехов в эксплуатацию. Наряду с освоением производственных площадей было обращено внимание на социально-бытовое и жилищное строительство.</w:t>
      </w:r>
    </w:p>
    <w:p w14:paraId="305A8A4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8-го отдела Семенченко</w:t>
      </w:r>
    </w:p>
    <w:p w14:paraId="1C784D9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РАНО. Ф. П-4. Оп. 8. Л- 470. Л. 36-37. Подлинник.</w:t>
      </w:r>
    </w:p>
    <w:p w14:paraId="4E466F3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Подпись-росчерк Семенченко.</w:t>
      </w:r>
    </w:p>
    <w:p w14:paraId="7F25F32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 ЛЕВИТ З.Г. Инженер лаборатории № 11 Разрабатывает новые виды гальванических покрытий и экономичные методы сложных химических операций в производстве (в частности - обезжиривание с пониженным расходом дефицитных материалов) </w:t>
      </w:r>
    </w:p>
    <w:p w14:paraId="6DEF609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13 влдковский a.m. Ст. инженер лаборатории № 5 Разрабатывает новую измерительную аппаратуру. Рационализатор, изобретатель, предложивший ряд своих конструкций приборов </w:t>
      </w:r>
    </w:p>
    <w:p w14:paraId="135946E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АКИШИН Г.М. Ст. техник лаборатории № 5 Работает по ремонту измерительной аппаратуры, обеспечивая главным образом сборочные цеха по линии наиболее ответственных приборов. Отличается исключительной добросовестностью и тщательностью выполнения заданий </w:t>
      </w:r>
    </w:p>
    <w:p w14:paraId="6302528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ПОРТНОВ Р.Г. Ст. конструктор Ведет конструктивную разработку двух новых объектов. Дал ряд ценных и оригинальных конструкций </w:t>
      </w:r>
    </w:p>
    <w:p w14:paraId="6B25D95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АБРОСИМОВ М.В. Начальник лаборатории № 5 Руководит разработкой измерительной аппаратуры </w:t>
      </w:r>
    </w:p>
    <w:p w14:paraId="2610C57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17 ВАЛЬКОВ А.А. Ст. инженер лаборатории № 1 Ведущий инженер заказа «Мак». Обеспечивает оперативное решение вопросов текущего производства по этому заказу. Разрабатывает электрическую часть нового объекта </w:t>
      </w:r>
    </w:p>
    <w:p w14:paraId="6C732EE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ГАНС Ф. П-4. Оп. 8. Д. 470. Л. 40. Копия (12193).</w:t>
      </w:r>
    </w:p>
    <w:p w14:paraId="19DA5BBC"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8FE07A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 - декабрь] 1943 г. из СПРАВКИ ИНСТРУКТОРА ОТДЕЛА ПРОМЫШЛЕННОСТИ БОЕПРИПАСОВ ОБКОМА ВКП(б) А.А. ШАРОВА «.ОБЩЕСТВЕННОЕ ПИТАНИЕ И ТОРГОВЛЯ НА ЗАВОДЕ № 65»</w:t>
      </w:r>
    </w:p>
    <w:p w14:paraId="747848A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заводе № 65 (директор завода т. Курушин, и.о. парторга ЦК т. Возжаев) общественное питание работающих осуществляется пятью столовыми, из них две находятся вне территории завода, на 8-м участке соцгородка. Столовые № 1, № 2, № 3 имеют филиалы, которые обслуживают командный состав, диетиков, туберкулезно-больных и ИТР завода. Ежедневно все столовые завода приготавливают 26 164 блюда, из них 9 482 блюда первых и 19 982 блюда вторых, обслуживают 7 668 человек. Посадочных мест в столовых 1 084. Пропускная способность столовых, вследствие недостачи посуды и посадочных мест в столовой № 3, низкая. В столовых создаются очереди и нередки случаи, когда рабочие с обеденного перерыва опаздывают на работу до часу и больше. Время обеденных перерывов продолжается 4-5 часов. В общих столовых грязно, неуютно, имеются тараканы, ложками рабочих не обеспечивают, мисок не хватает, клеенок нет, столов и табуреток недостаточно. В одной только столовой № 3 не хватает 180 табуреток и 40 столов, транспортировка готовых обедов и продуктов производится вручную. Топлива столовые не имеют, запаса продуктов нет. Качество приготовленных обедов, несмотря на наличие продуктов, плохое, что вызывает большое недовольство рабочих. Для обслуживания рабочих столовые закреплены за цехами. Нормы выдачи пищи рабочим производятся в зависимости от важности производства и выполнения производственных заданий рабочими, которым выдаются в цехах дополнительные талоны. Разбивка обедов по категориям характеризуется следующими данными. Сведения о выдаче пропусков в столовые за сентябрь месяц В 1942 году завод № 65 своего подсобного хозяйства не имел вследствие того, что выделился из комбината № 179 в конце июля 1942 года. В 1943 году подсобное хозяйство организовано и засеяно различными культурами 1 645 гектаров. На жилплощади, принадлежащей заводу, проживает 15 987 человек, из них завода № 65 - 5 868 человек, т.е. 36,7%. для удовлетворения просьбы в жилплощади по заявлениям работающих заводу требуется 1 500 м: благоустроенной площади. В каменных заводских домах проживает 14,7% работающих, в блочных домах - 27%, в каркасно-засыпных - 36,8% и в земляных бараках - 20,9%. В среднем на каждого живущего приходится 3 квадратных метра. Молодые рабочие размещаются в 50-м квартале соцгорода во вновь организованном молодежном городке. Инвалиды Отечественной войны размещены в капитальных домах, обеспечиваются жилплощадью в первую очередь. Все рабочие, живущие в общежитиях, обеспечены комплектом постельной принадлежности; кипяченая вода в общежитиях есть; обслуживают уборщицы, личные вещи хранятся в камерах хранения. В прошлогодний отопительный сезон во многих общежитиях, из-за отсутствия топлива и плохого ремонта, было очень холодно, из-за чего многие рабочие систематически ночевали в цехах завода, способствовало этому отсутствие обуви. Нынешний год положение дел с подготовкой общежитий к зиме обстоит не лучше: топлива нет, ремонт жилфонда выполнен на 85%. Культурно-массовая и политическая работа в общежитиях явно недостаточна, газет и литературы, радио и музыкальных инструментов нет. Для обслуживания рабочих завод имеет одну баню и прачечную. Для оказания медицинской помощи на территории завода есть амбулатория и два медпункта, что удовлетворяет потребность. Завод детских яслей своих не имеет, пользуется яслями райздрава, потребность удовлетворяется. Детский сад имеется на 165 мест, из которых 100 мест занято детьми комбината № 179, детский сад завод имеет возможность при необходимости расширить. </w:t>
      </w:r>
    </w:p>
    <w:p w14:paraId="4588880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Инструктор обкома ВКП(б) по промышленности боеприпасов Шаров</w:t>
      </w:r>
    </w:p>
    <w:p w14:paraId="21D798D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ГАНС Ф. П-4. Оп. 8. Д. 491. Л. 125-126, 130-131, 134-135. Копия.</w:t>
      </w:r>
    </w:p>
    <w:p w14:paraId="671016B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 экземпляр машинописной закладки. Сокращены разделы, посвященные жилищно-бытовым и культурным условиям, подготовке к зиме, обеспечению семей военнослужащих и инвалидов Отечественной войны (12193).</w:t>
      </w:r>
    </w:p>
    <w:p w14:paraId="6F44992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5B3BD11" w14:textId="77777777" w:rsidR="00844775" w:rsidRPr="00271E51" w:rsidRDefault="00844775"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сентябре 1943 г. Ленинградский завод № 7 изготовил и передал АУ ВМФ опытную серию МПЗ-ЗИФ-22 (200 шт.) для проверки на кораблях КБФ.</w:t>
      </w:r>
    </w:p>
    <w:p w14:paraId="4B68F7A3" w14:textId="77777777" w:rsidR="00844775" w:rsidRPr="00271E51" w:rsidRDefault="00844775" w:rsidP="00271E51">
      <w:pPr>
        <w:pStyle w:val="Bodytext1"/>
        <w:shd w:val="clear" w:color="auto" w:fill="auto"/>
        <w:spacing w:line="240" w:lineRule="auto"/>
        <w:ind w:firstLine="0"/>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Характерная особенность «морского» панциря состояла в дополнительной защите спины при обеспечении необходимой для ар</w:t>
      </w:r>
      <w:r w:rsidRPr="00271E51">
        <w:rPr>
          <w:rFonts w:ascii="Times New Roman" w:hAnsi="Times New Roman" w:cs="Times New Roman"/>
          <w:color w:val="000000" w:themeColor="text1"/>
          <w:sz w:val="16"/>
          <w:szCs w:val="16"/>
        </w:rPr>
        <w:softHyphen/>
        <w:t>тиллеристов свободы движений. Общая масса комплекта составляла около 9 кг. Три броне</w:t>
      </w:r>
      <w:r w:rsidRPr="00271E51">
        <w:rPr>
          <w:rFonts w:ascii="Times New Roman" w:hAnsi="Times New Roman" w:cs="Times New Roman"/>
          <w:color w:val="000000" w:themeColor="text1"/>
          <w:sz w:val="16"/>
          <w:szCs w:val="16"/>
        </w:rPr>
        <w:softHyphen/>
        <w:t>вых щитка - нагрудник, подвесной и спины - соединялись между собой ремнями, накиды</w:t>
      </w:r>
      <w:r w:rsidRPr="00271E51">
        <w:rPr>
          <w:rFonts w:ascii="Times New Roman" w:hAnsi="Times New Roman" w:cs="Times New Roman"/>
          <w:color w:val="000000" w:themeColor="text1"/>
          <w:sz w:val="16"/>
          <w:szCs w:val="16"/>
        </w:rPr>
        <w:softHyphen/>
        <w:t>ваемыми на кабурные кнопки. Такое решение обеспечивало требуемую свободу действий при обслуживании орудия и позволяло са</w:t>
      </w:r>
      <w:r w:rsidRPr="00271E51">
        <w:rPr>
          <w:rFonts w:ascii="Times New Roman" w:hAnsi="Times New Roman" w:cs="Times New Roman"/>
          <w:color w:val="000000" w:themeColor="text1"/>
          <w:sz w:val="16"/>
          <w:szCs w:val="16"/>
        </w:rPr>
        <w:softHyphen/>
        <w:t>мостоятельно мгновенно сбросить защиту. По мнению завода, данный вид индивидуальной защиты мог бы также с успехом использован в частях зенитной и дальнобойной артилле</w:t>
      </w:r>
      <w:r w:rsidRPr="00271E51">
        <w:rPr>
          <w:rFonts w:ascii="Times New Roman" w:hAnsi="Times New Roman" w:cs="Times New Roman"/>
          <w:color w:val="000000" w:themeColor="text1"/>
          <w:sz w:val="16"/>
          <w:szCs w:val="16"/>
        </w:rPr>
        <w:softHyphen/>
        <w:t>рии РККА (17746).</w:t>
      </w:r>
    </w:p>
    <w:p w14:paraId="14F1067A" w14:textId="77777777" w:rsidR="00844775" w:rsidRPr="00271E51" w:rsidRDefault="0084477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923D2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на стройплощадки стало прибывать импортное оборудование для строившихся четырех нефтеперерабатывающих заводов, поставленных из США (11475).</w:t>
      </w:r>
    </w:p>
    <w:p w14:paraId="6E3FE76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249DB1D7" w14:textId="77777777" w:rsidR="000A7D2C" w:rsidRPr="00271E51" w:rsidRDefault="000A7D2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на стройплощадки стало прибывать импортное оборудова</w:t>
      </w:r>
      <w:r w:rsidRPr="00271E51">
        <w:rPr>
          <w:rFonts w:ascii="Times New Roman" w:hAnsi="Times New Roman"/>
          <w:color w:val="000000" w:themeColor="text1"/>
          <w:sz w:val="16"/>
          <w:szCs w:val="16"/>
        </w:rPr>
        <w:softHyphen/>
        <w:t>ние для строившихся четырех нефтеперерабатывающих заводов. До 20 октября 1943 г. во Владивосток поступило 28 044 тонны оборудования для завода №441 в Гурьеве, 19 476 тонн для завода №228 в Орске, а также меньшее по весу оборудование для за</w:t>
      </w:r>
      <w:r w:rsidRPr="00271E51">
        <w:rPr>
          <w:rFonts w:ascii="Times New Roman" w:hAnsi="Times New Roman"/>
          <w:color w:val="000000" w:themeColor="text1"/>
          <w:sz w:val="16"/>
          <w:szCs w:val="16"/>
        </w:rPr>
        <w:softHyphen/>
        <w:t>водов в Куйбышеве и Красноводске.Всего же в 1943 г. из США на Даль</w:t>
      </w:r>
      <w:r w:rsidRPr="00271E51">
        <w:rPr>
          <w:rFonts w:ascii="Times New Roman" w:hAnsi="Times New Roman"/>
          <w:color w:val="000000" w:themeColor="text1"/>
          <w:sz w:val="16"/>
          <w:szCs w:val="16"/>
        </w:rPr>
        <w:softHyphen/>
        <w:t>ний Восток поступило 95 тыс. тонн оборудования для   заводов   Наркомата  неф</w:t>
      </w:r>
      <w:r w:rsidRPr="00271E51">
        <w:rPr>
          <w:rFonts w:ascii="Times New Roman" w:hAnsi="Times New Roman"/>
          <w:color w:val="000000" w:themeColor="text1"/>
          <w:sz w:val="16"/>
          <w:szCs w:val="16"/>
        </w:rPr>
        <w:softHyphen/>
        <w:t>тяной промышленности, которое было отгружено по назначению в 4858 же</w:t>
      </w:r>
      <w:r w:rsidRPr="00271E51">
        <w:rPr>
          <w:rFonts w:ascii="Times New Roman" w:hAnsi="Times New Roman"/>
          <w:color w:val="000000" w:themeColor="text1"/>
          <w:sz w:val="16"/>
          <w:szCs w:val="16"/>
        </w:rPr>
        <w:softHyphen/>
        <w:t>лезнодорожных вагонах; в 1944 г. с Дальнего Востока было отправлено 2515 вагонов с американским оборудо</w:t>
      </w:r>
      <w:r w:rsidRPr="00271E51">
        <w:rPr>
          <w:rFonts w:ascii="Times New Roman" w:hAnsi="Times New Roman"/>
          <w:color w:val="000000" w:themeColor="text1"/>
          <w:sz w:val="16"/>
          <w:szCs w:val="16"/>
        </w:rPr>
        <w:softHyphen/>
        <w:t>ванием для нефтезаводов.Тем не менее к марту 1944 г. стало ясно, что плановые сроки срываются. Общий вес ввозимого из США обо</w:t>
      </w:r>
      <w:r w:rsidRPr="00271E51">
        <w:rPr>
          <w:rFonts w:ascii="Times New Roman" w:hAnsi="Times New Roman"/>
          <w:color w:val="000000" w:themeColor="text1"/>
          <w:sz w:val="16"/>
          <w:szCs w:val="16"/>
        </w:rPr>
        <w:softHyphen/>
        <w:t>рудования и материалов для НПЗ в Куйбышеве   должен   был   составить 23 тыс. тонн, из них на 1 января 1944 г. было получено лишь 12,8 тыс. тонн; часть чертежей к марту 1944 г. из США не поступила. На заводе не хватало ра</w:t>
      </w:r>
      <w:r w:rsidRPr="00271E51">
        <w:rPr>
          <w:rFonts w:ascii="Times New Roman" w:hAnsi="Times New Roman"/>
          <w:color w:val="000000" w:themeColor="text1"/>
          <w:sz w:val="16"/>
          <w:szCs w:val="16"/>
        </w:rPr>
        <w:softHyphen/>
        <w:t>бочих, и Куйбышевский обком просил вышестоящие органы выделить допол</w:t>
      </w:r>
      <w:r w:rsidRPr="00271E51">
        <w:rPr>
          <w:rFonts w:ascii="Times New Roman" w:hAnsi="Times New Roman"/>
          <w:color w:val="000000" w:themeColor="text1"/>
          <w:sz w:val="16"/>
          <w:szCs w:val="16"/>
        </w:rPr>
        <w:softHyphen/>
        <w:t>нительно до 1,6 тыс. заключенных.Для завода в Гурьеве к январю 1944 г. было получено 78% от общего тоннажа оборудования, в Орске — около 69%.Чтобы пустить заводы в эксплуата</w:t>
      </w:r>
      <w:r w:rsidRPr="00271E51">
        <w:rPr>
          <w:rFonts w:ascii="Times New Roman" w:hAnsi="Times New Roman"/>
          <w:color w:val="000000" w:themeColor="text1"/>
          <w:sz w:val="16"/>
          <w:szCs w:val="16"/>
        </w:rPr>
        <w:softHyphen/>
        <w:t>цию, требовалась большая и многосто</w:t>
      </w:r>
      <w:r w:rsidRPr="00271E51">
        <w:rPr>
          <w:rFonts w:ascii="Times New Roman" w:hAnsi="Times New Roman"/>
          <w:color w:val="000000" w:themeColor="text1"/>
          <w:sz w:val="16"/>
          <w:szCs w:val="16"/>
        </w:rPr>
        <w:softHyphen/>
        <w:t>ронняя работа. Например, в Красно</w:t>
      </w:r>
      <w:r w:rsidRPr="00271E51">
        <w:rPr>
          <w:rFonts w:ascii="Times New Roman" w:hAnsi="Times New Roman"/>
          <w:color w:val="000000" w:themeColor="text1"/>
          <w:sz w:val="16"/>
          <w:szCs w:val="16"/>
        </w:rPr>
        <w:softHyphen/>
        <w:t>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w:t>
      </w:r>
      <w:r w:rsidRPr="00271E51">
        <w:rPr>
          <w:rFonts w:ascii="Times New Roman" w:hAnsi="Times New Roman"/>
          <w:color w:val="000000" w:themeColor="text1"/>
          <w:sz w:val="16"/>
          <w:szCs w:val="16"/>
        </w:rPr>
        <w:softHyphen/>
        <w:t>гие объекты. Требовалось подготовить к работе советских нефтяников. Не должны были повторяться случаи, по</w:t>
      </w:r>
      <w:r w:rsidRPr="00271E51">
        <w:rPr>
          <w:rFonts w:ascii="Times New Roman" w:hAnsi="Times New Roman"/>
          <w:color w:val="000000" w:themeColor="text1"/>
          <w:sz w:val="16"/>
          <w:szCs w:val="16"/>
        </w:rPr>
        <w:softHyphen/>
        <w:t>добные следующему.На  Саратовском   заводе  имени Киро</w:t>
      </w:r>
      <w:r w:rsidRPr="00271E51">
        <w:rPr>
          <w:rFonts w:ascii="Times New Roman" w:hAnsi="Times New Roman"/>
          <w:color w:val="000000" w:themeColor="text1"/>
          <w:sz w:val="16"/>
          <w:szCs w:val="16"/>
        </w:rPr>
        <w:softHyphen/>
        <w:t>ва в начале января  1942  г. неоднократ</w:t>
      </w:r>
      <w:r w:rsidRPr="00271E51">
        <w:rPr>
          <w:rFonts w:ascii="Times New Roman" w:hAnsi="Times New Roman"/>
          <w:color w:val="000000" w:themeColor="text1"/>
          <w:sz w:val="16"/>
          <w:szCs w:val="16"/>
        </w:rPr>
        <w:softHyphen/>
        <w:t>но останавливалось дорогое американ</w:t>
      </w:r>
      <w:r w:rsidRPr="00271E51">
        <w:rPr>
          <w:rFonts w:ascii="Times New Roman" w:hAnsi="Times New Roman"/>
          <w:color w:val="000000" w:themeColor="text1"/>
          <w:sz w:val="16"/>
          <w:szCs w:val="16"/>
        </w:rPr>
        <w:softHyphen/>
        <w:t>ское оборудование для крекинга. Оказалось, что американские инструк</w:t>
      </w:r>
      <w:r w:rsidRPr="00271E51">
        <w:rPr>
          <w:rFonts w:ascii="Times New Roman" w:hAnsi="Times New Roman"/>
          <w:color w:val="000000" w:themeColor="text1"/>
          <w:sz w:val="16"/>
          <w:szCs w:val="16"/>
        </w:rPr>
        <w:softHyphen/>
        <w:t>ции по эксплуатации насоса высокого давления не только грубо нарушались, но и вообще не были переведены. В ре</w:t>
      </w:r>
      <w:r w:rsidRPr="00271E51">
        <w:rPr>
          <w:rFonts w:ascii="Times New Roman" w:hAnsi="Times New Roman"/>
          <w:color w:val="000000" w:themeColor="text1"/>
          <w:sz w:val="16"/>
          <w:szCs w:val="16"/>
        </w:rPr>
        <w:softHyphen/>
        <w:t>зультате некоторые детали были быст</w:t>
      </w:r>
      <w:r w:rsidRPr="00271E51">
        <w:rPr>
          <w:rFonts w:ascii="Times New Roman" w:hAnsi="Times New Roman"/>
          <w:color w:val="000000" w:themeColor="text1"/>
          <w:sz w:val="16"/>
          <w:szCs w:val="16"/>
        </w:rPr>
        <w:softHyphen/>
        <w:t>ро изношены, а для ремонта требова</w:t>
      </w:r>
      <w:r w:rsidRPr="00271E51">
        <w:rPr>
          <w:rFonts w:ascii="Times New Roman" w:hAnsi="Times New Roman"/>
          <w:color w:val="000000" w:themeColor="text1"/>
          <w:sz w:val="16"/>
          <w:szCs w:val="16"/>
        </w:rPr>
        <w:softHyphen/>
        <w:t>лось много времени. Не соблюдались требования по эксплуатации и другого оборудования.В ноябре 1943 — феврале 1944 гг. состоялось несколько встреч советских нефтяников с американскими специали</w:t>
      </w:r>
      <w:r w:rsidRPr="00271E51">
        <w:rPr>
          <w:rFonts w:ascii="Times New Roman" w:hAnsi="Times New Roman"/>
          <w:color w:val="000000" w:themeColor="text1"/>
          <w:sz w:val="16"/>
          <w:szCs w:val="16"/>
        </w:rPr>
        <w:softHyphen/>
        <w:t>стами фирмы «Баджер», на них были заданы сотни вопросов об американ</w:t>
      </w:r>
      <w:r w:rsidRPr="00271E51">
        <w:rPr>
          <w:rFonts w:ascii="Times New Roman" w:hAnsi="Times New Roman"/>
          <w:color w:val="000000" w:themeColor="text1"/>
          <w:sz w:val="16"/>
          <w:szCs w:val="16"/>
        </w:rPr>
        <w:softHyphen/>
        <w:t>ском оборудовании для нефтеперера</w:t>
      </w:r>
      <w:r w:rsidRPr="00271E51">
        <w:rPr>
          <w:rFonts w:ascii="Times New Roman" w:hAnsi="Times New Roman"/>
          <w:color w:val="000000" w:themeColor="text1"/>
          <w:sz w:val="16"/>
          <w:szCs w:val="16"/>
        </w:rPr>
        <w:softHyphen/>
        <w:t>батывающих заводов, строительство которых должно было начаться в СССР. Почти на все вопросы были по</w:t>
      </w:r>
      <w:r w:rsidRPr="00271E51">
        <w:rPr>
          <w:rFonts w:ascii="Times New Roman" w:hAnsi="Times New Roman"/>
          <w:color w:val="000000" w:themeColor="text1"/>
          <w:sz w:val="16"/>
          <w:szCs w:val="16"/>
        </w:rPr>
        <w:softHyphen/>
        <w:t>лучены исчерпывающие ответы.В начале 1944 г. в Гурьеве постоянно работали четыре американских спе</w:t>
      </w:r>
      <w:r w:rsidRPr="00271E51">
        <w:rPr>
          <w:rFonts w:ascii="Times New Roman" w:hAnsi="Times New Roman"/>
          <w:color w:val="000000" w:themeColor="text1"/>
          <w:sz w:val="16"/>
          <w:szCs w:val="16"/>
        </w:rPr>
        <w:softHyphen/>
        <w:t>циалиста (Формель, Фуллер, Фостер и Кросби), в Куйбышеве — 7 человек, как отмечалось в отчете фирмы «Баджер», «это больше, чем требует</w:t>
      </w:r>
      <w:r w:rsidRPr="00271E51">
        <w:rPr>
          <w:rFonts w:ascii="Times New Roman" w:hAnsi="Times New Roman"/>
          <w:color w:val="000000" w:themeColor="text1"/>
          <w:sz w:val="16"/>
          <w:szCs w:val="16"/>
        </w:rPr>
        <w:softHyphen/>
        <w:t>ся». Советские специалисты направля</w:t>
      </w:r>
      <w:r w:rsidRPr="00271E51">
        <w:rPr>
          <w:rFonts w:ascii="Times New Roman" w:hAnsi="Times New Roman"/>
          <w:color w:val="000000" w:themeColor="text1"/>
          <w:sz w:val="16"/>
          <w:szCs w:val="16"/>
        </w:rPr>
        <w:softHyphen/>
        <w:t>лись в США.В феврале 1944 г. американский специалист Мак-Карди признавал: «За</w:t>
      </w:r>
      <w:r w:rsidRPr="00271E51">
        <w:rPr>
          <w:rFonts w:ascii="Times New Roman" w:hAnsi="Times New Roman"/>
          <w:color w:val="000000" w:themeColor="text1"/>
          <w:sz w:val="16"/>
          <w:szCs w:val="16"/>
        </w:rPr>
        <w:softHyphen/>
        <w:t>вод №1 (в Гурьеве), хотя стро</w:t>
      </w:r>
      <w:r w:rsidRPr="00271E51">
        <w:rPr>
          <w:rFonts w:ascii="Times New Roman" w:hAnsi="Times New Roman"/>
          <w:color w:val="000000" w:themeColor="text1"/>
          <w:sz w:val="16"/>
          <w:szCs w:val="16"/>
        </w:rPr>
        <w:softHyphen/>
        <w:t>ительные работы там только что нача</w:t>
      </w:r>
      <w:r w:rsidRPr="00271E51">
        <w:rPr>
          <w:rFonts w:ascii="Times New Roman" w:hAnsi="Times New Roman"/>
          <w:color w:val="000000" w:themeColor="text1"/>
          <w:sz w:val="16"/>
          <w:szCs w:val="16"/>
        </w:rPr>
        <w:softHyphen/>
        <w:t>лись, произвел очень хорошее впечатление. Планирование и проведе</w:t>
      </w:r>
      <w:r w:rsidRPr="00271E51">
        <w:rPr>
          <w:rFonts w:ascii="Times New Roman" w:hAnsi="Times New Roman"/>
          <w:color w:val="000000" w:themeColor="text1"/>
          <w:sz w:val="16"/>
          <w:szCs w:val="16"/>
        </w:rPr>
        <w:softHyphen/>
        <w:t>ние предварительных работ, таких как строительство дорог, ж.д. веток, рабо</w:t>
      </w:r>
      <w:r w:rsidRPr="00271E51">
        <w:rPr>
          <w:rFonts w:ascii="Times New Roman" w:hAnsi="Times New Roman"/>
          <w:color w:val="000000" w:themeColor="text1"/>
          <w:sz w:val="16"/>
          <w:szCs w:val="16"/>
        </w:rPr>
        <w:softHyphen/>
        <w:t>чих поселков и т.д., было очень хоро</w:t>
      </w:r>
      <w:r w:rsidRPr="00271E51">
        <w:rPr>
          <w:rFonts w:ascii="Times New Roman" w:hAnsi="Times New Roman"/>
          <w:color w:val="000000" w:themeColor="text1"/>
          <w:sz w:val="16"/>
          <w:szCs w:val="16"/>
        </w:rPr>
        <w:softHyphen/>
        <w:t>шо выполнено. Стоит специально отме</w:t>
      </w:r>
      <w:r w:rsidRPr="00271E51">
        <w:rPr>
          <w:rFonts w:ascii="Times New Roman" w:hAnsi="Times New Roman"/>
          <w:color w:val="000000" w:themeColor="text1"/>
          <w:sz w:val="16"/>
          <w:szCs w:val="16"/>
        </w:rPr>
        <w:softHyphen/>
        <w:t>тить прекрасное обращение с материалом и оборудованием... Мате</w:t>
      </w:r>
      <w:r w:rsidRPr="00271E51">
        <w:rPr>
          <w:rFonts w:ascii="Times New Roman" w:hAnsi="Times New Roman"/>
          <w:color w:val="000000" w:themeColor="text1"/>
          <w:sz w:val="16"/>
          <w:szCs w:val="16"/>
        </w:rPr>
        <w:softHyphen/>
        <w:t>риал и оборудование содержатся в прекрасном порядке и заботятся о нем больше, чем на какой-либо работе, ка</w:t>
      </w:r>
      <w:r w:rsidRPr="00271E51">
        <w:rPr>
          <w:rFonts w:ascii="Times New Roman" w:hAnsi="Times New Roman"/>
          <w:color w:val="000000" w:themeColor="text1"/>
          <w:sz w:val="16"/>
          <w:szCs w:val="16"/>
        </w:rPr>
        <w:softHyphen/>
        <w:t>кие мне приходилось до сих пор ви</w:t>
      </w:r>
      <w:r w:rsidRPr="00271E51">
        <w:rPr>
          <w:rFonts w:ascii="Times New Roman" w:hAnsi="Times New Roman"/>
          <w:color w:val="000000" w:themeColor="text1"/>
          <w:sz w:val="16"/>
          <w:szCs w:val="16"/>
        </w:rPr>
        <w:softHyphen/>
        <w:t>деть».В апреле — мае 1944 г. американ</w:t>
      </w:r>
      <w:r w:rsidRPr="00271E51">
        <w:rPr>
          <w:rFonts w:ascii="Times New Roman" w:hAnsi="Times New Roman"/>
          <w:color w:val="000000" w:themeColor="text1"/>
          <w:sz w:val="16"/>
          <w:szCs w:val="16"/>
        </w:rPr>
        <w:softHyphen/>
        <w:t>ские специалисты посетили Куйбышев, Орск и Гурьев, где в это время монти</w:t>
      </w:r>
      <w:r w:rsidRPr="00271E51">
        <w:rPr>
          <w:rFonts w:ascii="Times New Roman" w:hAnsi="Times New Roman"/>
          <w:color w:val="000000" w:themeColor="text1"/>
          <w:sz w:val="16"/>
          <w:szCs w:val="16"/>
        </w:rPr>
        <w:softHyphen/>
        <w:t>ровалось американское оборудование на строившихся НПЗ. Первое, что они были вынуждены признать, это неком</w:t>
      </w:r>
      <w:r w:rsidRPr="00271E51">
        <w:rPr>
          <w:rFonts w:ascii="Times New Roman" w:hAnsi="Times New Roman"/>
          <w:color w:val="000000" w:themeColor="text1"/>
          <w:sz w:val="16"/>
          <w:szCs w:val="16"/>
        </w:rPr>
        <w:softHyphen/>
        <w:t>плектность поставок оборудования, что замедляло темпы работ. Часть матери</w:t>
      </w:r>
      <w:r w:rsidRPr="00271E51">
        <w:rPr>
          <w:rFonts w:ascii="Times New Roman" w:hAnsi="Times New Roman"/>
          <w:color w:val="000000" w:themeColor="text1"/>
          <w:sz w:val="16"/>
          <w:szCs w:val="16"/>
        </w:rPr>
        <w:softHyphen/>
        <w:t>алов не была вовремя получена из США, некоторые другие — советской стороной ошибочно направлены не на те заводы, для которых они предна</w:t>
      </w:r>
      <w:r w:rsidRPr="00271E51">
        <w:rPr>
          <w:rFonts w:ascii="Times New Roman" w:hAnsi="Times New Roman"/>
          <w:color w:val="000000" w:themeColor="text1"/>
          <w:sz w:val="16"/>
          <w:szCs w:val="16"/>
        </w:rPr>
        <w:softHyphen/>
        <w:t>значались.8 июля 1944 г. руководитель группы американских инженеров компании «Баджер» в СССР Р. Мак-Карди в сво</w:t>
      </w:r>
      <w:r w:rsidRPr="00271E51">
        <w:rPr>
          <w:rFonts w:ascii="Times New Roman" w:hAnsi="Times New Roman"/>
          <w:color w:val="000000" w:themeColor="text1"/>
          <w:sz w:val="16"/>
          <w:szCs w:val="16"/>
        </w:rPr>
        <w:softHyphen/>
        <w:t>ем отчете отмечал: «Как и прежде, ра</w:t>
      </w:r>
      <w:r w:rsidRPr="00271E51">
        <w:rPr>
          <w:rFonts w:ascii="Times New Roman" w:hAnsi="Times New Roman"/>
          <w:color w:val="000000" w:themeColor="text1"/>
          <w:sz w:val="16"/>
          <w:szCs w:val="16"/>
        </w:rPr>
        <w:softHyphen/>
        <w:t>бота на всех заводах, независимо от состояния готовности, тормозится от</w:t>
      </w:r>
      <w:r w:rsidRPr="00271E51">
        <w:rPr>
          <w:rFonts w:ascii="Times New Roman" w:hAnsi="Times New Roman"/>
          <w:color w:val="000000" w:themeColor="text1"/>
          <w:sz w:val="16"/>
          <w:szCs w:val="16"/>
        </w:rPr>
        <w:softHyphen/>
        <w:t>сутствием оборудования, не пришедше</w:t>
      </w:r>
      <w:r w:rsidRPr="00271E51">
        <w:rPr>
          <w:rFonts w:ascii="Times New Roman" w:hAnsi="Times New Roman"/>
          <w:color w:val="000000" w:themeColor="text1"/>
          <w:sz w:val="16"/>
          <w:szCs w:val="16"/>
        </w:rPr>
        <w:softHyphen/>
        <w:t>го прошлой зимой». Возникали различ</w:t>
      </w:r>
      <w:r w:rsidRPr="00271E51">
        <w:rPr>
          <w:rFonts w:ascii="Times New Roman" w:hAnsi="Times New Roman"/>
          <w:color w:val="000000" w:themeColor="text1"/>
          <w:sz w:val="16"/>
          <w:szCs w:val="16"/>
        </w:rPr>
        <w:softHyphen/>
        <w:t>ные накладки и недоразумения, что вполне естественно при таком объеме работ и атмосфере «гонки».В конце 1944 г. американская фирма «Буффало Газолин Мотор Ко» ошибоч</w:t>
      </w:r>
      <w:r w:rsidRPr="00271E51">
        <w:rPr>
          <w:rFonts w:ascii="Times New Roman" w:hAnsi="Times New Roman"/>
          <w:color w:val="000000" w:themeColor="text1"/>
          <w:sz w:val="16"/>
          <w:szCs w:val="16"/>
        </w:rPr>
        <w:softHyphen/>
        <w:t>но поставила трансформаторы к выпря</w:t>
      </w:r>
      <w:r w:rsidRPr="00271E51">
        <w:rPr>
          <w:rFonts w:ascii="Times New Roman" w:hAnsi="Times New Roman"/>
          <w:color w:val="000000" w:themeColor="text1"/>
          <w:sz w:val="16"/>
          <w:szCs w:val="16"/>
        </w:rPr>
        <w:softHyphen/>
        <w:t>мителям на водозаборные станции мощностью 250 ватт, вместо необходи</w:t>
      </w:r>
      <w:r w:rsidRPr="00271E51">
        <w:rPr>
          <w:rFonts w:ascii="Times New Roman" w:hAnsi="Times New Roman"/>
          <w:color w:val="000000" w:themeColor="text1"/>
          <w:sz w:val="16"/>
          <w:szCs w:val="16"/>
        </w:rPr>
        <w:softHyphen/>
        <w:t>мых в 500 ватт. В ответ на запрос со</w:t>
      </w:r>
      <w:r w:rsidRPr="00271E51">
        <w:rPr>
          <w:rFonts w:ascii="Times New Roman" w:hAnsi="Times New Roman"/>
          <w:color w:val="000000" w:themeColor="text1"/>
          <w:sz w:val="16"/>
          <w:szCs w:val="16"/>
        </w:rPr>
        <w:softHyphen/>
        <w:t>ветской стороны американская фирма посетовала, что именно такие транс</w:t>
      </w:r>
      <w:r w:rsidRPr="00271E51">
        <w:rPr>
          <w:rFonts w:ascii="Times New Roman" w:hAnsi="Times New Roman"/>
          <w:color w:val="000000" w:themeColor="text1"/>
          <w:sz w:val="16"/>
          <w:szCs w:val="16"/>
        </w:rPr>
        <w:softHyphen/>
        <w:t>форматоры были ошибочно пореко</w:t>
      </w:r>
      <w:r w:rsidRPr="00271E51">
        <w:rPr>
          <w:rFonts w:ascii="Times New Roman" w:hAnsi="Times New Roman"/>
          <w:color w:val="000000" w:themeColor="text1"/>
          <w:sz w:val="16"/>
          <w:szCs w:val="16"/>
        </w:rPr>
        <w:softHyphen/>
        <w:t>мендованы компанией «Дженерал Мо</w:t>
      </w:r>
      <w:r w:rsidRPr="00271E51">
        <w:rPr>
          <w:rFonts w:ascii="Times New Roman" w:hAnsi="Times New Roman"/>
          <w:color w:val="000000" w:themeColor="text1"/>
          <w:sz w:val="16"/>
          <w:szCs w:val="16"/>
        </w:rPr>
        <w:softHyphen/>
        <w:t>торс».10 октября 1944 г. было принято со</w:t>
      </w:r>
      <w:r w:rsidRPr="00271E51">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271E51">
        <w:rPr>
          <w:rFonts w:ascii="Times New Roman" w:hAnsi="Times New Roman"/>
          <w:color w:val="000000" w:themeColor="text1"/>
          <w:sz w:val="16"/>
          <w:szCs w:val="16"/>
        </w:rPr>
        <w:softHyphen/>
        <w:t>ства нефтеперерабатывающих заводов №441 и 443». В связи с задержкой по</w:t>
      </w:r>
      <w:r w:rsidRPr="00271E51">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271E51">
        <w:rPr>
          <w:rFonts w:ascii="Times New Roman" w:hAnsi="Times New Roman"/>
          <w:color w:val="000000" w:themeColor="text1"/>
          <w:sz w:val="16"/>
          <w:szCs w:val="16"/>
        </w:rPr>
        <w:softHyphen/>
        <w:t>бышеве на первый квартал 1945 г.Советским специалистам приходи</w:t>
      </w:r>
      <w:r w:rsidRPr="00271E51">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271E51">
        <w:rPr>
          <w:rFonts w:ascii="Times New Roman" w:hAnsi="Times New Roman"/>
          <w:color w:val="000000" w:themeColor="text1"/>
          <w:sz w:val="16"/>
          <w:szCs w:val="16"/>
        </w:rPr>
        <w:softHyphen/>
        <w:t>вые осуществлен монтаж импортного оборудования  (сферического).  Вскоре наркомом отрасли было принято реше</w:t>
      </w:r>
      <w:r w:rsidRPr="00271E51">
        <w:rPr>
          <w:rFonts w:ascii="Times New Roman" w:hAnsi="Times New Roman"/>
          <w:color w:val="000000" w:themeColor="text1"/>
          <w:sz w:val="16"/>
          <w:szCs w:val="16"/>
        </w:rPr>
        <w:softHyphen/>
        <w:t>ние издать брошюру «Опыт монтажа сферических резервуаров», освещаю</w:t>
      </w:r>
      <w:r w:rsidRPr="00271E51">
        <w:rPr>
          <w:rFonts w:ascii="Times New Roman" w:hAnsi="Times New Roman"/>
          <w:color w:val="000000" w:themeColor="text1"/>
          <w:sz w:val="16"/>
          <w:szCs w:val="16"/>
        </w:rPr>
        <w:softHyphen/>
        <w:t>щую опыт монтажа импортных нефте</w:t>
      </w:r>
      <w:r w:rsidRPr="00271E51">
        <w:rPr>
          <w:rFonts w:ascii="Times New Roman" w:hAnsi="Times New Roman"/>
          <w:color w:val="000000" w:themeColor="text1"/>
          <w:sz w:val="16"/>
          <w:szCs w:val="16"/>
        </w:rPr>
        <w:softHyphen/>
        <w:t>перегонных заводов.По оценке американских экспертов, на 25 января 1945 г. строительные ра</w:t>
      </w:r>
      <w:r w:rsidRPr="00271E51">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271E51">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271E51">
        <w:rPr>
          <w:rFonts w:ascii="Times New Roman" w:hAnsi="Times New Roman"/>
          <w:color w:val="000000" w:themeColor="text1"/>
          <w:sz w:val="16"/>
          <w:szCs w:val="16"/>
        </w:rPr>
        <w:softHyphen/>
        <w:t>том 1945 г. 18 июня 1945 г. фирма «Ба-джер» сообщает зам. наркома нефтя</w:t>
      </w:r>
      <w:r w:rsidRPr="00271E51">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271E51">
        <w:rPr>
          <w:rFonts w:ascii="Times New Roman" w:hAnsi="Times New Roman"/>
          <w:color w:val="000000" w:themeColor="text1"/>
          <w:sz w:val="16"/>
          <w:szCs w:val="16"/>
        </w:rPr>
        <w:softHyphen/>
        <w:t>соров «Гудри», а также масло для фильтров были отправлены двумя па</w:t>
      </w:r>
      <w:r w:rsidRPr="00271E51">
        <w:rPr>
          <w:rFonts w:ascii="Times New Roman" w:hAnsi="Times New Roman"/>
          <w:color w:val="000000" w:themeColor="text1"/>
          <w:sz w:val="16"/>
          <w:szCs w:val="16"/>
        </w:rPr>
        <w:softHyphen/>
        <w:t>роходами и «Отдел Снабжения Амери</w:t>
      </w:r>
      <w:r w:rsidRPr="00271E51">
        <w:rPr>
          <w:rFonts w:ascii="Times New Roman" w:hAnsi="Times New Roman"/>
          <w:color w:val="000000" w:themeColor="text1"/>
          <w:sz w:val="16"/>
          <w:szCs w:val="16"/>
        </w:rPr>
        <w:softHyphen/>
        <w:t xml:space="preserve">канской Военной Миссии сообщил им, что грузы с парохода «Жорж Вимс» уже приняты, а пароход «Ф.Т. </w:t>
      </w:r>
      <w:r w:rsidRPr="00271E51">
        <w:rPr>
          <w:rFonts w:ascii="Times New Roman" w:hAnsi="Times New Roman"/>
          <w:color w:val="000000" w:themeColor="text1"/>
          <w:sz w:val="16"/>
          <w:szCs w:val="16"/>
        </w:rPr>
        <w:lastRenderedPageBreak/>
        <w:t>Фре-лингхьюсен» прибыл в Мурманск».Первый бензин из установки катали</w:t>
      </w:r>
      <w:r w:rsidRPr="00271E51">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271E51">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271E51">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271E51">
        <w:rPr>
          <w:rFonts w:ascii="Times New Roman" w:hAnsi="Times New Roman"/>
          <w:color w:val="000000" w:themeColor="text1"/>
          <w:sz w:val="16"/>
          <w:szCs w:val="16"/>
        </w:rPr>
        <w:softHyphen/>
        <w:t>ли быстро ухудшаться, и это чувствова</w:t>
      </w:r>
      <w:r w:rsidRPr="00271E51">
        <w:rPr>
          <w:rFonts w:ascii="Times New Roman" w:hAnsi="Times New Roman"/>
          <w:color w:val="000000" w:themeColor="text1"/>
          <w:sz w:val="16"/>
          <w:szCs w:val="16"/>
        </w:rPr>
        <w:softHyphen/>
        <w:t>лось по переговорам о поставках обо</w:t>
      </w:r>
      <w:r w:rsidRPr="00271E51">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271E51">
        <w:rPr>
          <w:rFonts w:ascii="Times New Roman" w:hAnsi="Times New Roman"/>
          <w:color w:val="000000" w:themeColor="text1"/>
          <w:sz w:val="16"/>
          <w:szCs w:val="16"/>
        </w:rPr>
        <w:softHyphen/>
        <w:t>ме «Баджер» участвовать в строитель</w:t>
      </w:r>
      <w:r w:rsidRPr="00271E51">
        <w:rPr>
          <w:rFonts w:ascii="Times New Roman" w:hAnsi="Times New Roman"/>
          <w:color w:val="000000" w:themeColor="text1"/>
          <w:sz w:val="16"/>
          <w:szCs w:val="16"/>
        </w:rPr>
        <w:softHyphen/>
        <w:t>стве второй очереди заводов №3 и 4. Ответ американской стороны, сделан</w:t>
      </w:r>
      <w:r w:rsidRPr="00271E51">
        <w:rPr>
          <w:rFonts w:ascii="Times New Roman" w:hAnsi="Times New Roman"/>
          <w:color w:val="000000" w:themeColor="text1"/>
          <w:sz w:val="16"/>
          <w:szCs w:val="16"/>
        </w:rPr>
        <w:softHyphen/>
        <w:t>ный 29 октября 1945 г., носил неопре</w:t>
      </w:r>
      <w:r w:rsidRPr="00271E51">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271E51">
        <w:rPr>
          <w:rFonts w:ascii="Times New Roman" w:hAnsi="Times New Roman"/>
          <w:color w:val="000000" w:themeColor="text1"/>
          <w:sz w:val="16"/>
          <w:szCs w:val="16"/>
        </w:rPr>
        <w:softHyphen/>
        <w:t>кома нефтяной промышленности Н.М. Чекрыжева: «Недавно Вы запра</w:t>
      </w:r>
      <w:r w:rsidRPr="00271E51">
        <w:rPr>
          <w:rFonts w:ascii="Times New Roman" w:hAnsi="Times New Roman"/>
          <w:color w:val="000000" w:themeColor="text1"/>
          <w:sz w:val="16"/>
          <w:szCs w:val="16"/>
        </w:rPr>
        <w:softHyphen/>
        <w:t>шивали у меня сведения об отправке солевых трубок для завода №2. Сегод</w:t>
      </w:r>
      <w:r w:rsidRPr="00271E51">
        <w:rPr>
          <w:rFonts w:ascii="Times New Roman" w:hAnsi="Times New Roman"/>
          <w:color w:val="000000" w:themeColor="text1"/>
          <w:sz w:val="16"/>
          <w:szCs w:val="16"/>
        </w:rPr>
        <w:softHyphen/>
        <w:t>ня я получил сообщение, что эти труб</w:t>
      </w:r>
      <w:r w:rsidRPr="00271E51">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271E51">
        <w:rPr>
          <w:rFonts w:ascii="Times New Roman" w:hAnsi="Times New Roman"/>
          <w:color w:val="000000" w:themeColor="text1"/>
          <w:sz w:val="16"/>
          <w:szCs w:val="16"/>
        </w:rPr>
        <w:softHyphen/>
        <w:t>лись. Но для поставок требовались санкции правительства США, а полу</w:t>
      </w:r>
      <w:r w:rsidRPr="00271E51">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271E51">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271E51">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271E51">
        <w:rPr>
          <w:rFonts w:ascii="Times New Roman" w:hAnsi="Times New Roman"/>
          <w:color w:val="000000" w:themeColor="text1"/>
          <w:sz w:val="16"/>
          <w:szCs w:val="16"/>
        </w:rPr>
        <w:softHyphen/>
        <w:t>нием некоторых видов смазок) Совет</w:t>
      </w:r>
      <w:r w:rsidRPr="00271E51">
        <w:rPr>
          <w:rFonts w:ascii="Times New Roman" w:hAnsi="Times New Roman"/>
          <w:color w:val="000000" w:themeColor="text1"/>
          <w:sz w:val="16"/>
          <w:szCs w:val="16"/>
        </w:rPr>
        <w:softHyphen/>
        <w:t>ский Союз обеспечивал себя почти пол</w:t>
      </w:r>
      <w:r w:rsidRPr="00271E51">
        <w:rPr>
          <w:rFonts w:ascii="Times New Roman" w:hAnsi="Times New Roman"/>
          <w:color w:val="000000" w:themeColor="text1"/>
          <w:sz w:val="16"/>
          <w:szCs w:val="16"/>
        </w:rPr>
        <w:softHyphen/>
        <w:t>ностью. Советские заводы по производству аналогичного оборудова</w:t>
      </w:r>
      <w:r w:rsidRPr="00271E51">
        <w:rPr>
          <w:rFonts w:ascii="Times New Roman" w:hAnsi="Times New Roman"/>
          <w:color w:val="000000" w:themeColor="text1"/>
          <w:sz w:val="16"/>
          <w:szCs w:val="16"/>
        </w:rPr>
        <w:softHyphen/>
        <w:t>ния были в значительной мере пере</w:t>
      </w:r>
      <w:r w:rsidRPr="00271E51">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271E51">
        <w:rPr>
          <w:rFonts w:ascii="Times New Roman" w:hAnsi="Times New Roman"/>
          <w:color w:val="000000" w:themeColor="text1"/>
          <w:sz w:val="16"/>
          <w:szCs w:val="16"/>
        </w:rPr>
        <w:softHyphen/>
        <w:t>ставки были весьма полезны (15488).</w:t>
      </w:r>
    </w:p>
    <w:p w14:paraId="50BC40F9" w14:textId="77777777" w:rsidR="000A7D2C" w:rsidRPr="00271E51" w:rsidRDefault="000A7D2C" w:rsidP="00271E51">
      <w:pPr>
        <w:spacing w:after="0" w:line="240" w:lineRule="auto"/>
        <w:jc w:val="both"/>
        <w:rPr>
          <w:rFonts w:ascii="Times New Roman" w:hAnsi="Times New Roman"/>
          <w:color w:val="000000" w:themeColor="text1"/>
          <w:sz w:val="16"/>
          <w:szCs w:val="16"/>
        </w:rPr>
      </w:pPr>
    </w:p>
    <w:p w14:paraId="61156F51"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на стройплощадки стало прибывать импортное оборудование для строившихся четырех нефтеперерабатывающих заводов. До 20 октября 1943 г. во Владивосток поступило 28 044 тонны оборудования для завода №441 в Гурьеве, 19 476 тонн для завода №228 в Орске, а также меньшее по весу оборудование для заводов в Куйбышеве и Красноводске.Всего же в 1943 г. из США на Дальний Восток поступило 95 тыс. тонн оборудования для заводов Наркомата нефтяной промышленности, которое было отгружено по назначению в 4858 железнодорожных вагонах; в 1944 г. с Дальнего Востока было отправлено 2515 вагонов с американским оборудованием для нефтезаводов.Тем не менее к марту 1944 г. стало ясно, что плановые сроки срываются. Общий вес ввозимого из США оборудования и материалов для НПЗ в Куйбышеве должен был составить 23 тыс. тонн, из них на 1 января 1944 г. было получено лишь 12,8 тыс. тонн; часть чертежей к марту 1944 г. из США не поступила. На заводе не хватало рабочих, и Куйбышевский обком просил вышестоящие органы выделить дополнительно до 1,6 тыс. заключенных.Для завода в Гурьеве к январю 1944 г. было получено 78% от общего тоннажа оборудования, в Орске — около 69%.Чтобы пустить заводы в эксплуатацию, требовалась большая и многосторонняя работа. Например, в Красноводске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другие объекты. Требовалось подготовить к работе советских нефтяников. Не должны были повторяться случаи, подобные следующему.На Саратовском заводе имени Кирова в начале января 1942 г. неоднократно останавливалось дорогое американское оборудование для крекинга. Оказалось, что американские инструкции по эксплуатации насоса высокого давления не только грубо нарушались, но и вообще не были переведены. В результате некоторые детали были быстро изношены, а для ремонта требовалось много времени. Не соблюдались требования по эксплуатации и другого оборудования.В ноябре 1943 — феврале 1944 гг. состоялось несколько встреч советских нефтяников с американскими специалистами фирмы «Баджер», на них были заданы сотни вопросов об американском оборудовании для нефтеперера-батывающих заводов, строительство которых должно было начаться в СССР. Почти на все вопросы были получены исчерпывающие ответы.В начале 1944 г. в Гурьеве постоянно работали четыре американских специалиста (Формель, Фуллер, Фостер и Кросби), в Куйбышеве — 7 человек, как отмечалось в отчете фирмы «Баджер», «это больше, чем требуется». Советские специалисты направлялись в США.В феврале 1944 г. американский специалист Мак-Карди признавал: «Завод №1 (в Гурьеве), хотя строительные работы там только что начались, произвел очень хорошее впечатление. Планирование и проведение предварительных работ, таких как строительство дорог, ж.д. веток, рабочих поселков и т.д., было очень хорошо выполнено. Стоит специально отметить прекрасное обращение с материалом и оборудованием... Материал и оборудование содержатся в прекрасном порядке и заботятся о нем больше, чем на какой-либо работе, какие мне приходилось до сих пор видеть».В апреле — мае 1944 г. американские специалисты посетили Куйбышев, Орск и Гурьев, где в это время монтировалось американское оборудование на строившихся НПЗ. Первое, что они были вынуждены признать, это некомплектность поставок оборудования, что замедляло темпы работ. Часть материалов не была вовремя получена из США, некоторые другие — советской стороной ошибочно направлены не на те заводы, для которых они предназначались.8 июля 1944 г. руководитель группы американских инженеров компании «Баджер» в СССР Р. Мак-Карди в своем отчете отмечал: «Как и прежде, работа на всех заводах, независимо от состояния готовности, тормозится отсутствием оборудования, не пришедшего прошлой зимой». Возникали различные накладки и недоразумения, что вполне естественно при таком объеме работ и атмосфере «гонки».В конце 1944 г. американская фирма «Буффало Газолин Мотор Ко» ошибочно поставила трансформаторы к выпрямителям на водозаборные станции мощностью 250 ватт, вместо необходимых в 500 ватт. В ответ на запрос советской стороны американская фирма посетовала, что именно такие трансформаторы были ошибочно порекомендованы компанией «Дженерал Моторс».10 октября 1944 г. было принято совершенно секретное постановление ГКО «О мерах по ускорению строительства нефтеперерабатывающих заводов №441 и 443». В связи с задержкой поступлений импортного оборудования было решено перенести срок ввода в эксплуатацию заводов в Гурьеве и Куйбышеве на первый квартал 1945 г.Советским специалистам приходилось выполнять работы, с которыми они раньше не сталкивались. В 1944 г. на строительстве завода № 441 (где монтаж велся силами НКВД) был впервые осуществлен монтаж импортного оборудования (сферического). Вскоре наркомом отрасли было принято решение издать брошюру «Опыт монтажа сферических резервуаров», освещающую опыт монтажа импортных нефтеперегонных заводов.По оценке американских экспертов, на 25 января 1945 г. строительные работы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готовности заводов составлял: завод №1 69%, №2 - 16%, №3 - 72%, №4 41%.Поставки из США продолжались летом 1945 г. 18 июня 1945 г. фирма «Ба-джер» сообщает зам. наркома нефтяной промышленности Чекрыжеву, что воздушные фильтры для турбокомпрессоров «Гудри», а также масло для фильтров были отправлены двумя пароходами и «Отдел Снабжения Американской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каталитического крекинга «Гудри» был получен в Куйбышеве на заводе №443 8 сентября 1945 г. Позже было завершено строительство заводов в Орске, Гурьеве и Красноводске.В октябре 1945 г. завод №228 все еще получал американское оборудование, в том числе от фирм «Джонсон» и «Хенди».Отношения между СССР с США стали быстро ухудшаться, и это чувствовалось по переговорам о поставках оборудования для НПЗ уже поздней осенью 1945 г.Тогда советскими представителями в США было сделано предложение фирме «Баджер» участвовать в строительстве второй очереди заводов №3 и 4. Ответ американской стороны, сделанный 29 октября 1945 г., носил неопределенный характер.10 октября 1945 г. представитель «Е.В. Badger and Sons Co» в Москве Р.Е. Мак-Карди информирует зам. наркома нефтяной промышленности Н.М. Чекрыжева: «Недавно Вы запрашивали у меня сведения об отправке солевых трубок для завода №2. Сегодня я получил сообщение, что эти трубки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продолжались. Но для поставок требовались санкции правительства США, а получить их становилось все труднее.В апреле 1947 г. в США выезжала Комиссия Миннефтепрома восточных районов СССР для ведения переговоров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имели для СССР большое значение; всеми другими нефтепродуктами (за исключением некоторых видов смазок) Советский Союз обеспечивал себя почти полностью. Советские заводы по производству аналогичного оборудования были в значительной мере переориентированы на выпуск оборонной продукции, поэтому американские поставки были весьма полезны </w:t>
      </w:r>
    </w:p>
    <w:p w14:paraId="0E5C4E9F" w14:textId="77777777" w:rsidR="00892107" w:rsidRPr="00271E51" w:rsidRDefault="0089210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Поставка авиабензина с октановым числом выше 99 составила 1 163 413 т, с октановыми числами 87—90 была на уровне 122 415 и с октановым числом, равным 87 и ниже, — 19 690 т. Эти показатели учитывают весь импорт из США и Великобритании в СССР, а также потери и некоторую переадресацию поставок). Следовательно, реально в СССР поступило авиабензина в объеме 1 305 518 длинных тонн (без учета светлых фракций), или почти половина от всего нефтепродуктового ленд-лиза (18394).</w:t>
      </w:r>
    </w:p>
    <w:p w14:paraId="0640D539" w14:textId="77777777" w:rsidR="00892107" w:rsidRPr="00271E51" w:rsidRDefault="00892107" w:rsidP="00271E51">
      <w:pPr>
        <w:spacing w:after="0" w:line="240" w:lineRule="auto"/>
        <w:jc w:val="both"/>
        <w:rPr>
          <w:rFonts w:ascii="Times New Roman" w:hAnsi="Times New Roman"/>
          <w:color w:val="000000" w:themeColor="text1"/>
          <w:sz w:val="16"/>
          <w:szCs w:val="16"/>
        </w:rPr>
      </w:pPr>
    </w:p>
    <w:p w14:paraId="0040ACA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из разведочной скважины № 5 на Кинзебулатовском месторождении в Башкирии был получен первый фонтан нефти. А через год в полный голос заявили о себе Туймазы. На склонах Нараштау 26 сентября 1944 г. бригада под руководством мастера А.Т. Трипольского пробурила скважину № 100, которая дала фонтан дебитом более 200 т нефти в сутки. А в Куйбышевской области в Яблоновом овраге 9 июня 1944 г. первая девонская фонтанная скважина № 41 дала 212 т нефти в сутки.</w:t>
      </w:r>
    </w:p>
    <w:p w14:paraId="4C2D087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военный период в СССР было открыто 34 нефтяных и газовых месторождения, из них 21 - в восточных районах и, таким образом, между Волгой и Уралом были созданы основы новой сырьевой базы страны (11523).</w:t>
      </w:r>
    </w:p>
    <w:p w14:paraId="76AAB01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0D3282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эвакуированное в Казань ЦКБ-4, которое до войны проектировало линейные корабли, было перепрофилировано в специализированную проектную организа</w:t>
      </w:r>
      <w:r w:rsidRPr="00271E51">
        <w:rPr>
          <w:rFonts w:ascii="Times New Roman" w:hAnsi="Times New Roman"/>
          <w:color w:val="000000" w:themeColor="text1"/>
          <w:sz w:val="16"/>
          <w:szCs w:val="16"/>
        </w:rPr>
        <w:softHyphen/>
        <w:t>цию по стандартизации в судостроении — ЦКБС-4 (3898).</w:t>
      </w:r>
    </w:p>
    <w:p w14:paraId="65C182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E4D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из ЦКБ-4 в ЦКБ-17 был передан туда предэскизный проект авианосца пр. 72, но окончательног он был готов только к ноябрю 1944 г. При стандартном водоизмещении 23 700 т и полном — 28 800 т спроектированный авианосец имел длину по ватерлинии 224, ширину 27,9, высоту борта 20,9, осадку (при полном водоизмещении) — 8,45 м; 30-уз-ловая полная скорость хода обеспечивалась работой четырех ГТЗА мощностью по 36 000 л. с. каждый. Расчетная дальность плавания 18-уз ходом достигала 10 000 миль (3898).</w:t>
      </w:r>
    </w:p>
    <w:p w14:paraId="5EB706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3DA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w:t>
      </w:r>
      <w:r w:rsidRPr="00271E51">
        <w:rPr>
          <w:rFonts w:ascii="Times New Roman" w:hAnsi="Times New Roman"/>
          <w:color w:val="000000" w:themeColor="text1"/>
          <w:sz w:val="16"/>
          <w:szCs w:val="16"/>
        </w:rPr>
        <w:softHyphen/>
        <w:t>ре 1943 г. ЦКБ-4 бьыо перепрофилировано и перестало занимать</w:t>
      </w:r>
      <w:r w:rsidRPr="00271E51">
        <w:rPr>
          <w:rFonts w:ascii="Times New Roman" w:hAnsi="Times New Roman"/>
          <w:color w:val="000000" w:themeColor="text1"/>
          <w:sz w:val="16"/>
          <w:szCs w:val="16"/>
        </w:rPr>
        <w:softHyphen/>
        <w:t>ся проблематикой линкоров (3898).</w:t>
      </w:r>
    </w:p>
    <w:p w14:paraId="13594A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0D9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ГМШ ВМД выдал существенно откорректированное ОТЗ на тяже</w:t>
      </w:r>
      <w:r w:rsidRPr="00271E51">
        <w:rPr>
          <w:rFonts w:ascii="Times New Roman" w:hAnsi="Times New Roman"/>
          <w:color w:val="000000" w:themeColor="text1"/>
          <w:sz w:val="16"/>
          <w:szCs w:val="16"/>
        </w:rPr>
        <w:softHyphen/>
        <w:t>лый крейсер пр. 82, которое предусматривало следующее назначе</w:t>
      </w:r>
      <w:r w:rsidRPr="00271E51">
        <w:rPr>
          <w:rFonts w:ascii="Times New Roman" w:hAnsi="Times New Roman"/>
          <w:color w:val="000000" w:themeColor="text1"/>
          <w:sz w:val="16"/>
          <w:szCs w:val="16"/>
        </w:rPr>
        <w:softHyphen/>
        <w:t>ние: придание устойчивости действиям легких сил; самостоятель</w:t>
      </w:r>
      <w:r w:rsidRPr="00271E51">
        <w:rPr>
          <w:rFonts w:ascii="Times New Roman" w:hAnsi="Times New Roman"/>
          <w:color w:val="000000" w:themeColor="text1"/>
          <w:sz w:val="16"/>
          <w:szCs w:val="16"/>
        </w:rPr>
        <w:softHyphen/>
        <w:t>ные действия на коммуникациях противника; обеспечение деятель</w:t>
      </w:r>
      <w:r w:rsidRPr="00271E51">
        <w:rPr>
          <w:rFonts w:ascii="Times New Roman" w:hAnsi="Times New Roman"/>
          <w:color w:val="000000" w:themeColor="text1"/>
          <w:sz w:val="16"/>
          <w:szCs w:val="16"/>
        </w:rPr>
        <w:softHyphen/>
        <w:t>ности авианосцев, совместные действия с ними; подавление бере</w:t>
      </w:r>
      <w:r w:rsidRPr="00271E51">
        <w:rPr>
          <w:rFonts w:ascii="Times New Roman" w:hAnsi="Times New Roman"/>
          <w:color w:val="000000" w:themeColor="text1"/>
          <w:sz w:val="16"/>
          <w:szCs w:val="16"/>
        </w:rPr>
        <w:softHyphen/>
        <w:t>говых батарей среднего калибра; уничтожение легких крейсеров и бой с крейсерами, вооруженными 203-мм артиллерией. Для крей</w:t>
      </w:r>
      <w:r w:rsidRPr="00271E51">
        <w:rPr>
          <w:rFonts w:ascii="Times New Roman" w:hAnsi="Times New Roman"/>
          <w:color w:val="000000" w:themeColor="text1"/>
          <w:sz w:val="16"/>
          <w:szCs w:val="16"/>
        </w:rPr>
        <w:softHyphen/>
        <w:t>сера предусматривалось главное вооружение из девяти орудий ка</w:t>
      </w:r>
      <w:r w:rsidRPr="00271E51">
        <w:rPr>
          <w:rFonts w:ascii="Times New Roman" w:hAnsi="Times New Roman"/>
          <w:color w:val="000000" w:themeColor="text1"/>
          <w:sz w:val="16"/>
          <w:szCs w:val="16"/>
        </w:rPr>
        <w:softHyphen/>
        <w:t>либром 210—230</w:t>
      </w:r>
      <w:r w:rsidRPr="00271E51">
        <w:rPr>
          <w:rFonts w:ascii="Times New Roman" w:hAnsi="Times New Roman"/>
          <w:b/>
          <w:bCs/>
          <w:color w:val="000000" w:themeColor="text1"/>
          <w:sz w:val="16"/>
          <w:szCs w:val="16"/>
        </w:rPr>
        <w:t xml:space="preserve"> мм,</w:t>
      </w:r>
      <w:r w:rsidRPr="00271E51">
        <w:rPr>
          <w:rFonts w:ascii="Times New Roman" w:hAnsi="Times New Roman"/>
          <w:color w:val="000000" w:themeColor="text1"/>
          <w:sz w:val="16"/>
          <w:szCs w:val="16"/>
        </w:rPr>
        <w:t xml:space="preserve"> а также двенадцать 130-мм универсальных орудий, тридцать два 37-мм автомата и четыре самолета при 203-мм бронировании и 36-узловой скорости хода. Стандартное водоизмещение ограничивалось величинами 20 000—22 000 т (3898).</w:t>
      </w:r>
    </w:p>
    <w:p w14:paraId="470278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3E8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выполнен аварийно-боевой ремонт на 22 катерах. Адмиралтейцы отремонтировали 3 БК. Рабочие завода им. А. А. Кулакова изготовили 13733 автомата ППС. Балтийцы перевыполнили план по заказам фронта, выпустив 3500 снарядов, 1265 деталей для "катюш", 2800 деталей для трала; сдали ЭПРОНу досрочно понтон. "Судомех" изготовил 105 катерных и змейковых тралов (вдвое превысив задание) и 2750 мни. Петрозавод сдал фронту 5000 авиабомб (10671).</w:t>
      </w:r>
    </w:p>
    <w:p w14:paraId="1088D2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2381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C2EFE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F407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получив приказ разрушить мосты через Днепр, пре</w:t>
      </w:r>
      <w:r w:rsidRPr="00271E51">
        <w:rPr>
          <w:rFonts w:ascii="Times New Roman" w:hAnsi="Times New Roman"/>
          <w:color w:val="000000" w:themeColor="text1"/>
          <w:sz w:val="16"/>
          <w:szCs w:val="16"/>
        </w:rPr>
        <w:softHyphen/>
        <w:t>пятствуя отходу противника, самолёты 1-го бак нанесли два удара по шоссейному и же</w:t>
      </w:r>
      <w:r w:rsidRPr="00271E51">
        <w:rPr>
          <w:rFonts w:ascii="Times New Roman" w:hAnsi="Times New Roman"/>
          <w:color w:val="000000" w:themeColor="text1"/>
          <w:sz w:val="16"/>
          <w:szCs w:val="16"/>
        </w:rPr>
        <w:softHyphen/>
        <w:t>лезнодорожному мостам у Кременчуга. Пер</w:t>
      </w:r>
      <w:r w:rsidRPr="00271E51">
        <w:rPr>
          <w:rFonts w:ascii="Times New Roman" w:hAnsi="Times New Roman"/>
          <w:color w:val="000000" w:themeColor="text1"/>
          <w:sz w:val="16"/>
          <w:szCs w:val="16"/>
        </w:rPr>
        <w:softHyphen/>
        <w:t>выми 21 сентября атаковали 17 Пе-2, добив</w:t>
      </w:r>
      <w:r w:rsidRPr="00271E51">
        <w:rPr>
          <w:rFonts w:ascii="Times New Roman" w:hAnsi="Times New Roman"/>
          <w:color w:val="000000" w:themeColor="text1"/>
          <w:sz w:val="16"/>
          <w:szCs w:val="16"/>
        </w:rPr>
        <w:softHyphen/>
        <w:t>шиеся двух прямых попаданий в шоссейный мост и разрушившие его пролёт. Попавшая в железнодорожный мост бомба пробила настил и взорвалась в воде, не причинив су</w:t>
      </w:r>
      <w:r w:rsidRPr="00271E51">
        <w:rPr>
          <w:rFonts w:ascii="Times New Roman" w:hAnsi="Times New Roman"/>
          <w:color w:val="000000" w:themeColor="text1"/>
          <w:sz w:val="16"/>
          <w:szCs w:val="16"/>
        </w:rPr>
        <w:softHyphen/>
        <w:t>щественных повреждений. Повторным налё</w:t>
      </w:r>
      <w:r w:rsidRPr="00271E51">
        <w:rPr>
          <w:rFonts w:ascii="Times New Roman" w:hAnsi="Times New Roman"/>
          <w:color w:val="000000" w:themeColor="text1"/>
          <w:sz w:val="16"/>
          <w:szCs w:val="16"/>
        </w:rPr>
        <w:softHyphen/>
        <w:t>том 34 бомбардировщиков 24 сентября шос</w:t>
      </w:r>
      <w:r w:rsidRPr="00271E51">
        <w:rPr>
          <w:rFonts w:ascii="Times New Roman" w:hAnsi="Times New Roman"/>
          <w:color w:val="000000" w:themeColor="text1"/>
          <w:sz w:val="16"/>
          <w:szCs w:val="16"/>
        </w:rPr>
        <w:softHyphen/>
        <w:t>сейный мост «добили» четырьмя прямыми попаданиями, а железнодорожный мост вы</w:t>
      </w:r>
      <w:r w:rsidRPr="00271E51">
        <w:rPr>
          <w:rFonts w:ascii="Times New Roman" w:hAnsi="Times New Roman"/>
          <w:color w:val="000000" w:themeColor="text1"/>
          <w:sz w:val="16"/>
          <w:szCs w:val="16"/>
        </w:rPr>
        <w:softHyphen/>
        <w:t>вели из строя двумя авиабомбами. После освобождения города результаты налётов подтвердились, когда начальство 1-го бак во главе с генерал-майором И.С.Полбиным оценивало эффективность действия своих бомбардировщиков (11392).</w:t>
      </w:r>
    </w:p>
    <w:p w14:paraId="29CDC1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CFF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проанализировав опыт боевого применения авиации непосредственной поддержки войск в летних боях, генеральный штаб люфтваффе сделал вывод о необходимости централизации управления боевыми силами авиации поля боя. С этой целью было решено создать инспекцию штурмовой авиации, которой подчинить все группы пикирующих бомбардировщиков, группы непосредственной поддержки войск, группы скоростных бомбардировщиков, а также все отдельные противотанковые эскадрильи (9084).</w:t>
      </w:r>
    </w:p>
    <w:p w14:paraId="1D3EBE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3C37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проанализировав опыт боевого при</w:t>
      </w:r>
      <w:r w:rsidRPr="00271E51">
        <w:rPr>
          <w:rFonts w:ascii="Times New Roman" w:hAnsi="Times New Roman"/>
          <w:color w:val="000000" w:themeColor="text1"/>
          <w:sz w:val="16"/>
          <w:szCs w:val="16"/>
        </w:rPr>
        <w:softHyphen/>
        <w:t>менения авиации непосредственной под</w:t>
      </w:r>
      <w:r w:rsidRPr="00271E51">
        <w:rPr>
          <w:rFonts w:ascii="Times New Roman" w:hAnsi="Times New Roman"/>
          <w:color w:val="000000" w:themeColor="text1"/>
          <w:sz w:val="16"/>
          <w:szCs w:val="16"/>
        </w:rPr>
        <w:softHyphen/>
        <w:t>держки войск в летних боях и то, что подразделения, осна</w:t>
      </w:r>
      <w:r w:rsidRPr="00271E51">
        <w:rPr>
          <w:rFonts w:ascii="Times New Roman" w:hAnsi="Times New Roman"/>
          <w:color w:val="000000" w:themeColor="text1"/>
          <w:sz w:val="16"/>
          <w:szCs w:val="16"/>
        </w:rPr>
        <w:softHyphen/>
        <w:t>щенные Нз129В и ^870-1, сами несли при этом значительные потери (так, эскадрильи РиРг за 11 дней боев безвозвратно потеряли 30% своего перво</w:t>
      </w:r>
      <w:r w:rsidRPr="00271E51">
        <w:rPr>
          <w:rFonts w:ascii="Times New Roman" w:hAnsi="Times New Roman"/>
          <w:color w:val="000000" w:themeColor="text1"/>
          <w:sz w:val="16"/>
          <w:szCs w:val="16"/>
        </w:rPr>
        <w:softHyphen/>
        <w:t>начального состава и к середине августа в составе группы насчитывалось около двух десятков «хеншелей»), генеральный штаб люфтваффе сделал вывод о необходимости централизации управления боевыми силами авиации поля боя. С этой целью было решено создать инспекцию штурмовой авиации, которой подчинить все группы пикирующих бом</w:t>
      </w:r>
      <w:r w:rsidRPr="00271E51">
        <w:rPr>
          <w:rFonts w:ascii="Times New Roman" w:hAnsi="Times New Roman"/>
          <w:color w:val="000000" w:themeColor="text1"/>
          <w:sz w:val="16"/>
          <w:szCs w:val="16"/>
        </w:rPr>
        <w:softHyphen/>
        <w:t>бардировщиков, группы непосредствен</w:t>
      </w:r>
      <w:r w:rsidRPr="00271E51">
        <w:rPr>
          <w:rFonts w:ascii="Times New Roman" w:hAnsi="Times New Roman"/>
          <w:color w:val="000000" w:themeColor="text1"/>
          <w:sz w:val="16"/>
          <w:szCs w:val="16"/>
        </w:rPr>
        <w:softHyphen/>
        <w:t>ной поддержки войск, группы скоростных бомбардировщиков, а также все отдель</w:t>
      </w:r>
      <w:r w:rsidRPr="00271E51">
        <w:rPr>
          <w:rFonts w:ascii="Times New Roman" w:hAnsi="Times New Roman"/>
          <w:color w:val="000000" w:themeColor="text1"/>
          <w:sz w:val="16"/>
          <w:szCs w:val="16"/>
        </w:rPr>
        <w:softHyphen/>
        <w:t>ные противотанковые эскадрильи.</w:t>
      </w:r>
    </w:p>
    <w:p w14:paraId="103E2EE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оценке противотанковых возможностей люфтваффе необходимо учитывать весьма ограниченные возможности немецкой про</w:t>
      </w:r>
      <w:r w:rsidRPr="00271E51">
        <w:rPr>
          <w:rFonts w:ascii="Times New Roman" w:hAnsi="Times New Roman"/>
          <w:color w:val="000000" w:themeColor="text1"/>
          <w:sz w:val="16"/>
          <w:szCs w:val="16"/>
        </w:rPr>
        <w:softHyphen/>
        <w:t>мышленности по производству подкалиберных снарядов всех типов (главным образом, из-за недостатка вольфрама и молибдена) и снабжению ими боевых авиагрупп. Легирующих материалов в Германии не хватало даже для изготовления танковой брони. Поэтому говорить о массовом производстве подкалиберных бронебойных авиационных снарядов и о массовом их боевом применении на поле боя, видимо неправомерно.</w:t>
      </w:r>
    </w:p>
    <w:p w14:paraId="3C9B289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известно, несмотря на наличие крупных месторождений никеля, вольфрама и молибдена в СССР подкалиберные бронебойные снаряды к 37-мм и 45-мм авиационным пушкам серийно не производились (хотя и были отработаны опытные образцы) - предпочтение было отдано производству подкалиберных снарядов для танковых пушек и орудий ПТО. При этом в войсках Красной Армии подкалибер</w:t>
      </w:r>
      <w:r w:rsidRPr="00271E51">
        <w:rPr>
          <w:rFonts w:ascii="Times New Roman" w:hAnsi="Times New Roman"/>
          <w:color w:val="000000" w:themeColor="text1"/>
          <w:sz w:val="16"/>
          <w:szCs w:val="16"/>
        </w:rPr>
        <w:softHyphen/>
        <w:t>ные снаряды выдавались командирам орудий истребительно-противотанковых полков только под личную ответственность и на счет, а утрата хотя бы одного снаряда грозила суровым наказанием - вплоть до разжалования в рядовые...</w:t>
      </w:r>
    </w:p>
    <w:p w14:paraId="27720C2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переформированием началось перевооружение эскадр штурмо</w:t>
      </w:r>
      <w:r w:rsidRPr="00271E51">
        <w:rPr>
          <w:rFonts w:ascii="Times New Roman" w:hAnsi="Times New Roman"/>
          <w:color w:val="000000" w:themeColor="text1"/>
          <w:sz w:val="16"/>
          <w:szCs w:val="16"/>
        </w:rPr>
        <w:softHyphen/>
        <w:t>выми вариантами Р\л/190Р и переучивание пилотов на новую машину (об этом само</w:t>
      </w:r>
      <w:r w:rsidRPr="00271E51">
        <w:rPr>
          <w:rFonts w:ascii="Times New Roman" w:hAnsi="Times New Roman"/>
          <w:color w:val="000000" w:themeColor="text1"/>
          <w:sz w:val="16"/>
          <w:szCs w:val="16"/>
        </w:rPr>
        <w:softHyphen/>
        <w:t>лете речь еще впереди) (12728).</w:t>
      </w:r>
    </w:p>
    <w:p w14:paraId="5D498E22"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9DE9740" w14:textId="77777777" w:rsidR="00473181" w:rsidRPr="00271E51" w:rsidRDefault="00473181" w:rsidP="00271E51">
      <w:pPr>
        <w:pStyle w:val="a3"/>
        <w:rPr>
          <w:color w:val="000000" w:themeColor="text1"/>
          <w:lang w:val="ru-RU"/>
        </w:rPr>
      </w:pPr>
      <w:r w:rsidRPr="00271E51">
        <w:rPr>
          <w:color w:val="000000" w:themeColor="text1"/>
          <w:lang w:val="ru-RU"/>
        </w:rPr>
        <w:t>В сентябре 1943, проанализировав опыт боевого приме</w:t>
      </w:r>
      <w:r w:rsidRPr="00271E51">
        <w:rPr>
          <w:color w:val="000000" w:themeColor="text1"/>
          <w:lang w:val="ru-RU"/>
        </w:rPr>
        <w:softHyphen/>
        <w:t>нения авиации непосредственной поддерж</w:t>
      </w:r>
      <w:r w:rsidRPr="00271E51">
        <w:rPr>
          <w:color w:val="000000" w:themeColor="text1"/>
          <w:lang w:val="ru-RU"/>
        </w:rPr>
        <w:softHyphen/>
        <w:t>ки войск в летних боях 1943 г., генеральный штаб люфтваффе сделал вывод о необходимости централизации управления боевыми силами авиации поля боя. С этой целью было решено создать инспекцию штурмовой авиации, которой подчинить все группы пикирующих бомбардировщиков, группы непосредственной поддержки войск, группы скоростных бомбардировщиков, а также все отдельные противотанковые эскадрильи.</w:t>
      </w:r>
    </w:p>
    <w:p w14:paraId="1B5D577B" w14:textId="77777777" w:rsidR="00473181" w:rsidRPr="00271E51" w:rsidRDefault="00473181" w:rsidP="00271E51">
      <w:pPr>
        <w:pStyle w:val="a3"/>
        <w:rPr>
          <w:color w:val="000000" w:themeColor="text1"/>
          <w:lang w:val="ru-RU"/>
        </w:rPr>
      </w:pPr>
      <w:r w:rsidRPr="00271E51">
        <w:rPr>
          <w:color w:val="000000" w:themeColor="text1"/>
          <w:lang w:val="ru-RU"/>
        </w:rPr>
        <w:t>Одновременно с переформированием началось перевооружение эскадр штурмо</w:t>
      </w:r>
      <w:r w:rsidRPr="00271E51">
        <w:rPr>
          <w:color w:val="000000" w:themeColor="text1"/>
          <w:lang w:val="ru-RU"/>
        </w:rPr>
        <w:softHyphen/>
        <w:t>выми вариантами</w:t>
      </w:r>
      <w:r w:rsidRPr="00271E51">
        <w:rPr>
          <w:rStyle w:val="1f8"/>
          <w:rFonts w:ascii="Times New Roman" w:eastAsia="Arial Narrow" w:hAnsi="Times New Roman" w:cs="Times New Roman"/>
          <w:color w:val="000000" w:themeColor="text1"/>
          <w:sz w:val="16"/>
          <w:szCs w:val="16"/>
          <w:lang w:val="ru-RU"/>
        </w:rPr>
        <w:t xml:space="preserve"> Р\а</w:t>
      </w:r>
      <w:r w:rsidRPr="00271E51">
        <w:rPr>
          <w:color w:val="000000" w:themeColor="text1"/>
          <w:lang w:val="ru-RU"/>
        </w:rPr>
        <w:t>/190</w:t>
      </w:r>
      <w:r w:rsidRPr="00271E51">
        <w:rPr>
          <w:rStyle w:val="1f8"/>
          <w:rFonts w:ascii="Times New Roman" w:eastAsia="Arial Narrow" w:hAnsi="Times New Roman" w:cs="Times New Roman"/>
          <w:color w:val="000000" w:themeColor="text1"/>
          <w:sz w:val="16"/>
          <w:szCs w:val="16"/>
          <w:lang w:val="ru-RU"/>
        </w:rPr>
        <w:t>Р и</w:t>
      </w:r>
      <w:r w:rsidRPr="00271E51">
        <w:rPr>
          <w:color w:val="000000" w:themeColor="text1"/>
          <w:lang w:val="ru-RU"/>
        </w:rPr>
        <w:t xml:space="preserve"> переучивание пилотов на новую машину. При этом коли</w:t>
      </w:r>
      <w:r w:rsidRPr="00271E51">
        <w:rPr>
          <w:color w:val="000000" w:themeColor="text1"/>
          <w:lang w:val="ru-RU"/>
        </w:rPr>
        <w:softHyphen/>
        <w:t>чество «Фокке-вульфов»-штурмовиков в войсках стало резко увеличиваться (12733).</w:t>
      </w:r>
    </w:p>
    <w:p w14:paraId="66F1CC5E" w14:textId="77777777" w:rsidR="00473181" w:rsidRPr="00271E51" w:rsidRDefault="00473181" w:rsidP="00271E51">
      <w:pPr>
        <w:pStyle w:val="a3"/>
        <w:rPr>
          <w:color w:val="000000" w:themeColor="text1"/>
          <w:lang w:val="ru-RU"/>
        </w:rPr>
      </w:pPr>
    </w:p>
    <w:p w14:paraId="653A25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1942 Экипажи 13-го (видно, номер все же имеет значение) бомбардировочного авиационного полка майора В.П. Богомолова участвовали в прикрытии конвоев PQ-I8 и QP-14, временами действуя на предельном удалении от аэродрома базирования Поной. Плохие погодные условия в сочетании с коротким световым днем нередко сильно усложняли боевую работу. "Пешки" взлетали с аэродрома, не имевшего никаких средств освещения, поэтому при возвращении в сумерках или темноте шансы на удачную посадку были невелики. Несколько раз Пе-3 из 13-го бап вылетали на прикрытие конвоя, атакованного вражескими бомбардировщиками и торпедоносцами, практически не имея возможности вернуться засветло. Всего за пять дней в середине сентября по боевым и небоевым причинам полк потерял семь самолетов и шесть экипажей. В октябре оставшиеся машины передали в 95-й иап и 28-ю ораэ, а 13-й полк навсегда простился с Пе-3 (12042).</w:t>
      </w:r>
    </w:p>
    <w:p w14:paraId="02B64E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C8E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"Митчеллы" участвовали в подавлении вражеских дальнобойных батарей под Ленинградом (3457,93).</w:t>
      </w:r>
    </w:p>
    <w:p w14:paraId="41F604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754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под Киевом была последняя крупная операция, в которой участвовали планеры А-7 и Г-11 (94,76).</w:t>
      </w:r>
    </w:p>
    <w:p w14:paraId="3253A8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37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"бисы" участвовали в операции по освобождению Таманского полуострова. Практически каждую ночь они вылетали на уничтожение немецких огневых точек и прожекторов. В ночь на 22 сентября 1943 г. 21 МБР-2 119 авиаполка и 18И-15бис 62-го иап бомбардировали порт Тамань. Докладывалось об уничтожении 2 катеров, склада боеприпасов, нескольких прожекторов. В 1943 г. боевая деятельность И-15бис на Черноморском флоте закончилась. В 1944 г. самолеты ограниченно использовались для тренировочных полетов (12014).</w:t>
      </w:r>
    </w:p>
    <w:p w14:paraId="241CBA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8747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«бисы» участвовали в операции по освобождению Таманского полуострова. Практически каждую ночь они вылетали на уничтожение немецких огневых точек и прожекторов. В ночь на 22 сентября 1943 г. 21 МБР-2 119-го авиа</w:t>
      </w:r>
      <w:r w:rsidRPr="00271E51">
        <w:rPr>
          <w:rFonts w:ascii="Times New Roman" w:hAnsi="Times New Roman"/>
          <w:color w:val="000000" w:themeColor="text1"/>
          <w:sz w:val="16"/>
          <w:szCs w:val="16"/>
        </w:rPr>
        <w:softHyphen/>
        <w:t>полка и 18 И-15бис 62-го иап бомбарди</w:t>
      </w:r>
      <w:r w:rsidRPr="00271E51">
        <w:rPr>
          <w:rFonts w:ascii="Times New Roman" w:hAnsi="Times New Roman"/>
          <w:color w:val="000000" w:themeColor="text1"/>
          <w:sz w:val="16"/>
          <w:szCs w:val="16"/>
        </w:rPr>
        <w:softHyphen/>
        <w:t>ровали порт Тамань. Докладывалось об уничтожении двух катеров, склада бое</w:t>
      </w:r>
      <w:r w:rsidRPr="00271E51">
        <w:rPr>
          <w:rFonts w:ascii="Times New Roman" w:hAnsi="Times New Roman"/>
          <w:color w:val="000000" w:themeColor="text1"/>
          <w:sz w:val="16"/>
          <w:szCs w:val="16"/>
        </w:rPr>
        <w:softHyphen/>
        <w:t>припасов и нескольких прожекторов (12294).</w:t>
      </w:r>
    </w:p>
    <w:p w14:paraId="14099C2E"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FB950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года при форсировании Днепра впервые участвовали в боях САУ СУ-85. Они стали очень популярны в Красной Армии, поскольку являлись одними из немногих машин, способных бороться с "Пантерами" и "Тиграми". Например 1021-й полк самоходной артиллерии, входивший в состав 1-го Прибалтийского фронта, только во время наступления летом 1944 года подбил и уничтожил около 100 фашистских танков (3862).</w:t>
      </w:r>
    </w:p>
    <w:p w14:paraId="1345A2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одном из отчетов о боевых действиях 1-й гвардейской танковой армии указывалось: "На всех этапах боя самоходная артиллерия играла важную роль в поддержке действий войск. При стремительном наступлении она совместно с танками неотступно преследовала противника, уничтожая его живую силу и технику. Обладая высокой подвижностью и мощной броней, равной современным танкам, самоходная артиллерия зарекомендовала себя как артиллерия непосредственного </w:t>
      </w:r>
      <w:r w:rsidRPr="00271E51">
        <w:rPr>
          <w:rFonts w:ascii="Times New Roman" w:hAnsi="Times New Roman"/>
          <w:color w:val="000000" w:themeColor="text1"/>
          <w:sz w:val="16"/>
          <w:szCs w:val="16"/>
        </w:rPr>
        <w:lastRenderedPageBreak/>
        <w:t>сопровождения танков и пехоты. Кроме того, самоходная артиллерия явилась эффективным средством обороны" (3862).</w:t>
      </w:r>
    </w:p>
    <w:p w14:paraId="7174B5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330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 1943 стал месяцем наибольших усилий и достижений летчиков 1-го ГМТАП, чему были свои причины. В середине месяца 1 и 2-я эскадрильи наконец-то закончили подготовку и перелетели из Богослово на новый, только введенный в эксплуатацию аэродром Каменка. Взлетная полоса здесь была шире и длиннее, чем в Приютино, а это значительно упрощало молодым пилотам взлет и посадку, особенно в темное время суток. Правда, 16 сентября при учебном вылете один «Бостон» все-таки потерпел аварию. Первой задачей для эскадрилий стал очередной тур по минированию Таллинской бухты и шхерных фарватеров в районе Хельсинки. По плану полку следовало выставить 220 А-4 и 30 новейших советских донных неконтактных мин АМД-500. В сентябре мины устанавливались на два-пять импульсов, но впервые использовались приборы срочности, приводившие мину в боевое положение не сразу, а лишь по прошествию срока от двух до шести суток. Реальность помешала выполнить все намеченное. Отечественные мины оказались не готовы к использованию, а подготовка молодых летчиков позволяла вылетать только в лунные ночи. В итоге между 7 и 15 сентября А-20 и периодически привлекавшиеся Ил-4 сбросили 26 мин у Таллинна, 36 у Хельсинки и 10 в запасных районах. Потерь не было до последней ночи операции, когда на аэродром не вернулись два «Бостона». Причины их гибели выявить не удалось - ими в равной степени могли оказаться и столкновение в воздухе, и атака ночных истребителей. В любом случае сальдо оказалось в нашу пользу - 13 сентября на выходе из Хельсинки подорвалась плавбаза финской флотилии подводных лодок ледокол «Сису». Хотя судно получило серьезные повреждения, его удалось отбуксировать в порт. К сожалению, находившиеся вместе с ледоколом подводные лодки «Весихииси» и «Ику-Турсо» не пострадали. Спустя двое суток на минную банку попал отряд германских тральщиков, пытавшийся войти в Котку для пополнения запасов. В результате произошедшего взрыва тральщик «М-22» получил серьезные повреждения и вышел из строя на несколько месяцев. Не менее серьезная минная обстановка создалась и у Таллинна. По данным нашей разведки (возможно несколько преувеличенным) в течение августа - сентября порт не мог принимать суда в течение 20 дней. Правда, немцы понесли здесь лишь единственную потерю, когда 21 октября быстроходная десантная баржа «F-193» сошла с фарватера и подорвалась на неконтактной мине, после чего была отбуксирована в порт. Всего пилоты полка произвели 46 вылетов на «свободную охоту» (44 на Ил-4 и два на А-20), причем в 33 из них самолеты вылетали за пределы Финского залива. В восьми случаях «крейсеры» возвращались, не выполнив задания из-за сложных метеоусловий, в семи случаях - наоборот из-за слишком хороших погодных условий, когда летчикам не удавалось обнаружить облака, выше которых они могли бы достигнуть района поиска. В течение месяца было произведено 25 торпедных атак по целям, которые, по донесениям пилотов, завершились потоплением 16 транспортов, двух танкеров и плавучего маяка (9965).</w:t>
      </w:r>
    </w:p>
    <w:p w14:paraId="038AE4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D26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по приказа</w:t>
      </w:r>
      <w:r w:rsidRPr="00271E51">
        <w:rPr>
          <w:rFonts w:ascii="Times New Roman" w:hAnsi="Times New Roman"/>
          <w:color w:val="000000" w:themeColor="text1"/>
          <w:sz w:val="16"/>
          <w:szCs w:val="16"/>
        </w:rPr>
        <w:softHyphen/>
        <w:t>нию Командующего ВВС КА А.А. Новикова на базе 19-го Краснозна</w:t>
      </w:r>
      <w:r w:rsidRPr="00271E51">
        <w:rPr>
          <w:rFonts w:ascii="Times New Roman" w:hAnsi="Times New Roman"/>
          <w:color w:val="000000" w:themeColor="text1"/>
          <w:sz w:val="16"/>
          <w:szCs w:val="16"/>
        </w:rPr>
        <w:softHyphen/>
        <w:t>менного ИАП впервые был сформи</w:t>
      </w:r>
      <w:r w:rsidRPr="00271E51">
        <w:rPr>
          <w:rFonts w:ascii="Times New Roman" w:hAnsi="Times New Roman"/>
          <w:color w:val="000000" w:themeColor="text1"/>
          <w:sz w:val="16"/>
          <w:szCs w:val="16"/>
        </w:rPr>
        <w:softHyphen/>
        <w:t>рован отдельный полк, находящийся в прямом его подчинении, для уничто</w:t>
      </w:r>
      <w:r w:rsidRPr="00271E51">
        <w:rPr>
          <w:rFonts w:ascii="Times New Roman" w:hAnsi="Times New Roman"/>
          <w:color w:val="000000" w:themeColor="text1"/>
          <w:sz w:val="16"/>
          <w:szCs w:val="16"/>
        </w:rPr>
        <w:softHyphen/>
        <w:t>жения авиации противника в возду</w:t>
      </w:r>
      <w:r w:rsidRPr="00271E51">
        <w:rPr>
          <w:rFonts w:ascii="Times New Roman" w:hAnsi="Times New Roman"/>
          <w:color w:val="000000" w:themeColor="text1"/>
          <w:sz w:val="16"/>
          <w:szCs w:val="16"/>
        </w:rPr>
        <w:softHyphen/>
        <w:t>хе и на земле методом свободной охоты. Полк был полностью укомплек</w:t>
      </w:r>
      <w:r w:rsidRPr="00271E51">
        <w:rPr>
          <w:rFonts w:ascii="Times New Roman" w:hAnsi="Times New Roman"/>
          <w:color w:val="000000" w:themeColor="text1"/>
          <w:sz w:val="16"/>
          <w:szCs w:val="16"/>
        </w:rPr>
        <w:softHyphen/>
        <w:t>тован по штату отдельного полка (три АЭ) и получил на вооружение само</w:t>
      </w:r>
      <w:r w:rsidRPr="00271E51">
        <w:rPr>
          <w:rFonts w:ascii="Times New Roman" w:hAnsi="Times New Roman"/>
          <w:color w:val="000000" w:themeColor="text1"/>
          <w:sz w:val="16"/>
          <w:szCs w:val="16"/>
        </w:rPr>
        <w:softHyphen/>
        <w:t>леты Ла-5 с мотором М-82ФН (10714).</w:t>
      </w:r>
    </w:p>
    <w:p w14:paraId="1639C9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9A9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после принятия на вооружение СУ-85, истребительно-противотанковые самоходные пол</w:t>
      </w:r>
      <w:r w:rsidRPr="00271E51">
        <w:rPr>
          <w:rFonts w:ascii="Times New Roman" w:hAnsi="Times New Roman"/>
          <w:color w:val="000000" w:themeColor="text1"/>
          <w:sz w:val="16"/>
          <w:szCs w:val="16"/>
        </w:rPr>
        <w:softHyphen/>
        <w:t>ки начали формироваться по штату № 010/483 (230 человек, 16 СУ-85 и 1 «командирский» Т-34). Наиболее удобоуправ</w:t>
      </w:r>
      <w:r w:rsidRPr="00271E51">
        <w:rPr>
          <w:rFonts w:ascii="Times New Roman" w:hAnsi="Times New Roman"/>
          <w:color w:val="000000" w:themeColor="text1"/>
          <w:sz w:val="16"/>
          <w:szCs w:val="16"/>
        </w:rPr>
        <w:softHyphen/>
        <w:t>ляемым был признан штат четырехбатарейного полка. Но в январе-феврале 1944 г. командиры батарей получили свою машину каждый и были переведены на новые штаты с пя</w:t>
      </w:r>
      <w:r w:rsidRPr="00271E51">
        <w:rPr>
          <w:rFonts w:ascii="Times New Roman" w:hAnsi="Times New Roman"/>
          <w:color w:val="000000" w:themeColor="text1"/>
          <w:sz w:val="16"/>
          <w:szCs w:val="16"/>
        </w:rPr>
        <w:softHyphen/>
        <w:t>тью САУ в батарее, доведя таким образом численность САУ в полку до 20 (4 батареи по 5 СУ-85). Весной 1944 г. вновь была увеличена численность личного состава полка СУ-85 до 318 чел. при численности машин 21 шт. (11417).</w:t>
      </w:r>
    </w:p>
    <w:p w14:paraId="21D6DD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3647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6626F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D3F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в ответ на обращение генерала Беляева, который попросил американцев предоставить для ознакомления несколько экземпляров новой модификации истребителя фирмы "Рипаблик" Р-47D, американцы выделили для ознакомления в Советском Союзе три истребителя P-47D-10. Эти машины специально дооборудовали радиополукомпасами, поскольку им предстоял дальний путь через Берингов пролив и Сибирь. Для перегонки "Тандерболтов" в Москву сформировали специальную группу из трех летчиков 1-й перегоночной дивизии: старших лейтенантов Д.Чуланова, И.Бурмистрова и капитана А.Бачкова (3457,84).</w:t>
      </w:r>
    </w:p>
    <w:p w14:paraId="2F2243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97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советское правительство отказалось от 100 заказанных Армстронг-Уитворт Албемарлов, а 86 не полученных потребовало модифицировать. Потом отказались и от них (1607,11).</w:t>
      </w:r>
    </w:p>
    <w:p w14:paraId="5E01DB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C13EF" w14:textId="77777777" w:rsidR="000A7D2C" w:rsidRPr="00271E51" w:rsidRDefault="000A7D2C"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Британский военно-морской атташе уже давно просил советское командование чтобы вооруженные силы СССР активно участвовали в пока еще не слишком эффективных усилиях британской стороны по нейтрализации опасности со стороны немецких надводных кораблей. Речь в первую очередь шла о линкоре «Тирпиц» и тяжелом крейсере «Шарнхорст», которые базировались в северной Норвегии и угрожали конвоям в северные порты Советского Союза. Советское руководство признало, что британский запрос оправдан, и, следовательно, было принято решение проявить некоторую инициативу. Проблемы возникли, когда Северный флот начал предпринимать меры. Было установлено, что у флота нет никаких средств, которые могли бы угрожать немецкой броне. Слабый уровень подразделений фактически не выпускал их в море, подводные лодки не могли попасть к закрытым причалам Альтен-фиорда, бомбардировщики Пе-2 и штурмовики Ил-2 имели недостаточную дальность полета, A-20 Boston имели малую грузоподъемность, а Ил-4 относились к частям авиации дальнего действия. Попытка атаковать хорошо защищенную гавань на немногих оставшихся Hampden-ах было чистым самоубийством. К счастью кто-то вспомнил о докладе НИИ ВВС, и американской военной миссии был срочно доставлен запрос на поставку двадцати бомбардировщиков B-26. Американская сторона отреагировала почти мгновенно. На авиационном заводе было взято несколько экземпляров, другие были исключены из поставок Южно-Африканским ВВС; остальная часть заявки была удовлетворена за счет войск, дислоцированных в Соединенных Штатах. В течение месяца самолеты группами по пять машин выполнили перелет по сибирскому маршруту через Аляску и Берингов пролив. Все самолеты (B-26F-6 42-96359 разбился под Новосибирском во время перелета) были собраны на расположенной под Мурманском авиабазе Полярное, после чего началась переподготовка выбранных экипажей 24-го МТАП (командир майор Н. П. Чужевский). Во время переподготовки экипажи старшего лейтенанта Д. У. Ракова (B-26B-55 42-96287) и капитана С. О. Бакевича (номер самолета неизвестен) разбились. Также был поврежден ряд других машин. Для возмещения потерь из НИИ ВВС было доставлены два B-26 B-2 (один из них имел номер 41-17863). После двух месяцев обучения 3-я эскадрилья 24-го МТАП была готова к действиям против немецких кораблей. Однако ситуация кардинально изменилась: тяжелый крейсер «Шарнхорст» был потоплен в новогоднем бою с британскими кораблями, а линкор «Тирпиц» получил тяжелые повреждения в результате атаки британской подводной мини-лодки. Основной причины приема бомбардировщиков Martin B-26 на вооружении авиации Северного флота больше не стало. Сложные для советских экипажей самолеты с большим количеством дефектов (как врожденных, так и ставших результатом «нежного» обращения советских механиков и суровых условий Заполярья) не пользовались популярностью в ВВС Северного флота, отдававшим предпочтение гораздо более подходящим бомбардировщикам B-25 Mitchell, которые поставлялись по ленд-лизу в значительно больших количествах. Это определило недолгое боевое применение B-26. В рядах ВВС Северного флота они выполнили несколько постановок мин и бомбовых ударов по целям в Ботническом заливе. От атак финских истребителей были потеряны два самолета. В течение нескольких недель все машины были практически доведены до нелетного состояния. После окончания войны бомбардировщики были отправлены на слом. Один фюзеляж, якобы, до середины шестидесятых годов использовался в Полярном в качестве клуба комсомольской организации. На этом история применения в СССР бомбардировщиков Martin B-26 Marauder практически закончилась (15222).</w:t>
      </w:r>
    </w:p>
    <w:p w14:paraId="69A56CCC" w14:textId="77777777" w:rsidR="000A7D2C" w:rsidRPr="00271E51" w:rsidRDefault="000A7D2C" w:rsidP="00271E51">
      <w:pPr>
        <w:shd w:val="clear" w:color="auto" w:fill="FFFFFF"/>
        <w:spacing w:after="0" w:line="240" w:lineRule="auto"/>
        <w:jc w:val="both"/>
        <w:rPr>
          <w:rFonts w:ascii="Times New Roman" w:hAnsi="Times New Roman"/>
          <w:color w:val="000000" w:themeColor="text1"/>
          <w:sz w:val="16"/>
          <w:szCs w:val="16"/>
        </w:rPr>
      </w:pPr>
    </w:p>
    <w:p w14:paraId="0A4BB81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5E0EB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09E865"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Сентябрь 1943 первый полет </w:t>
      </w:r>
      <w:r w:rsidRPr="00271E51">
        <w:rPr>
          <w:rFonts w:ascii="Times New Roman" w:hAnsi="Times New Roman"/>
          <w:color w:val="0070C0"/>
          <w:sz w:val="16"/>
          <w:szCs w:val="16"/>
          <w:lang w:val="en-US"/>
        </w:rPr>
        <w:t>Curtiss</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XF</w:t>
      </w:r>
      <w:r w:rsidRPr="00271E51">
        <w:rPr>
          <w:rFonts w:ascii="Times New Roman" w:hAnsi="Times New Roman"/>
          <w:color w:val="0070C0"/>
          <w:sz w:val="16"/>
          <w:szCs w:val="16"/>
        </w:rPr>
        <w:t>14</w:t>
      </w:r>
      <w:r w:rsidRPr="00271E51">
        <w:rPr>
          <w:rFonts w:ascii="Times New Roman" w:hAnsi="Times New Roman"/>
          <w:color w:val="0070C0"/>
          <w:sz w:val="16"/>
          <w:szCs w:val="16"/>
          <w:lang w:val="en-US"/>
        </w:rPr>
        <w:t>C</w:t>
      </w:r>
      <w:r w:rsidRPr="00271E51">
        <w:rPr>
          <w:rFonts w:ascii="Times New Roman" w:hAnsi="Times New Roman"/>
          <w:color w:val="0070C0"/>
          <w:sz w:val="16"/>
          <w:szCs w:val="16"/>
        </w:rPr>
        <w:t>-2 (20376).</w:t>
      </w:r>
    </w:p>
    <w:p w14:paraId="08253506" w14:textId="77777777" w:rsidR="0015200D" w:rsidRPr="00271E51" w:rsidRDefault="0015200D" w:rsidP="00271E51">
      <w:pPr>
        <w:spacing w:after="0" w:line="240" w:lineRule="auto"/>
        <w:jc w:val="both"/>
        <w:rPr>
          <w:rFonts w:ascii="Times New Roman" w:hAnsi="Times New Roman"/>
          <w:color w:val="0070C0"/>
          <w:sz w:val="16"/>
          <w:szCs w:val="16"/>
        </w:rPr>
      </w:pPr>
    </w:p>
    <w:p w14:paraId="166FE1DA"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Сентябрь 1943 первый полет Кавасаки </w:t>
      </w:r>
      <w:r w:rsidRPr="00271E51">
        <w:rPr>
          <w:rFonts w:ascii="Times New Roman" w:hAnsi="Times New Roman"/>
          <w:color w:val="0070C0"/>
          <w:sz w:val="16"/>
          <w:szCs w:val="16"/>
          <w:lang w:val="en-US"/>
        </w:rPr>
        <w:t>Ki</w:t>
      </w:r>
      <w:r w:rsidRPr="00271E51">
        <w:rPr>
          <w:rFonts w:ascii="Times New Roman" w:hAnsi="Times New Roman"/>
          <w:color w:val="0070C0"/>
          <w:sz w:val="16"/>
          <w:szCs w:val="16"/>
        </w:rPr>
        <w:t xml:space="preserve">-96 </w:t>
      </w:r>
      <w:r w:rsidRPr="00271E51">
        <w:rPr>
          <w:rFonts w:ascii="Times New Roman" w:hAnsi="Times New Roman"/>
          <w:color w:val="0070C0"/>
          <w:sz w:val="16"/>
          <w:szCs w:val="16"/>
          <w:lang w:val="en-US"/>
        </w:rPr>
        <w:t>Kyushu</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Q</w:t>
      </w:r>
      <w:r w:rsidRPr="00271E51">
        <w:rPr>
          <w:rFonts w:ascii="Times New Roman" w:hAnsi="Times New Roman"/>
          <w:color w:val="0070C0"/>
          <w:sz w:val="16"/>
          <w:szCs w:val="16"/>
        </w:rPr>
        <w:t>1</w:t>
      </w:r>
      <w:r w:rsidRPr="00271E51">
        <w:rPr>
          <w:rFonts w:ascii="Times New Roman" w:hAnsi="Times New Roman"/>
          <w:color w:val="0070C0"/>
          <w:sz w:val="16"/>
          <w:szCs w:val="16"/>
          <w:lang w:val="en-US"/>
        </w:rPr>
        <w:t>W</w:t>
      </w:r>
      <w:r w:rsidRPr="00271E51">
        <w:rPr>
          <w:rFonts w:ascii="Times New Roman" w:hAnsi="Times New Roman"/>
          <w:color w:val="0070C0"/>
          <w:sz w:val="16"/>
          <w:szCs w:val="16"/>
        </w:rPr>
        <w:t xml:space="preserve"> </w:t>
      </w:r>
      <w:r w:rsidRPr="00271E51">
        <w:rPr>
          <w:rFonts w:ascii="Times New Roman" w:hAnsi="Times New Roman"/>
          <w:color w:val="0070C0"/>
          <w:sz w:val="16"/>
          <w:szCs w:val="16"/>
          <w:lang w:val="en-US"/>
        </w:rPr>
        <w:t>Tokai</w:t>
      </w:r>
      <w:r w:rsidRPr="00271E51">
        <w:rPr>
          <w:rFonts w:ascii="Times New Roman" w:hAnsi="Times New Roman"/>
          <w:color w:val="0070C0"/>
          <w:sz w:val="16"/>
          <w:szCs w:val="16"/>
        </w:rPr>
        <w:t xml:space="preserve"> («Восточное море»), союзники сообщают название «</w:t>
      </w:r>
      <w:r w:rsidRPr="00271E51">
        <w:rPr>
          <w:rFonts w:ascii="Times New Roman" w:hAnsi="Times New Roman"/>
          <w:color w:val="0070C0"/>
          <w:sz w:val="16"/>
          <w:szCs w:val="16"/>
          <w:lang w:val="en-US"/>
        </w:rPr>
        <w:t>Lorna</w:t>
      </w:r>
      <w:r w:rsidRPr="00271E51">
        <w:rPr>
          <w:rFonts w:ascii="Times New Roman" w:hAnsi="Times New Roman"/>
          <w:color w:val="0070C0"/>
          <w:sz w:val="16"/>
          <w:szCs w:val="16"/>
        </w:rPr>
        <w:t>», первый в мире самолет, предназначенный для ведения противолодочной войны (20376)..</w:t>
      </w:r>
    </w:p>
    <w:p w14:paraId="5D382449" w14:textId="77777777" w:rsidR="0015200D" w:rsidRPr="00271E51" w:rsidRDefault="0015200D" w:rsidP="00271E51">
      <w:pPr>
        <w:spacing w:after="0" w:line="240" w:lineRule="auto"/>
        <w:jc w:val="both"/>
        <w:rPr>
          <w:rFonts w:ascii="Times New Roman" w:hAnsi="Times New Roman"/>
          <w:color w:val="0070C0"/>
          <w:sz w:val="16"/>
          <w:szCs w:val="16"/>
        </w:rPr>
      </w:pPr>
    </w:p>
    <w:p w14:paraId="4DD4F849"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В сентябре 1943 г. в воздух поднялись второй и третий прототипы Ar 234, а 26 сентября один из них был показан высшему руководству. Самолет произвел самое благоприятное впечатление, после чего Люфтваффе стали требовать скорейшего начала серийного производства и, мало того, захотели получить на базе разведчика бомбардировщик, истребитель и даже штурмовик. В серию пошла модификация Ar 234В, оснащенная убираемым шасси и двумя фотоаппаратами. На модификации В-1 появился автопилот и стала возможной подвеска топливных баков. Основной серийной модификацией стала В-2, приспособленная для подвески 1 500 кг бомб. Таким образом, Ar 234В-2 мог использоваться в качестве разведчика, самолета-лидера и бомбардировщика. Финальной модификацией должен был стать полноценный бомбардировщик Аr 234В-3, но от него отказались в пользу 4-двигательного Ar 234С, совершившего первый полет 30 сентября 1944 г. На этом конструкторы не </w:t>
      </w:r>
      <w:r w:rsidRPr="00271E51">
        <w:rPr>
          <w:rFonts w:ascii="Times New Roman" w:hAnsi="Times New Roman"/>
          <w:color w:val="0070C0"/>
          <w:sz w:val="16"/>
          <w:szCs w:val="16"/>
        </w:rPr>
        <w:lastRenderedPageBreak/>
        <w:t>остановились и продолжили работу над Ar 234D с ТРД HeS 011, Ar 234F, Е и Р. Последний был проектом 3-местного ночного истребителя и по расчетным данным лишь немного уступал Me 262В-2 (22776).</w:t>
      </w:r>
    </w:p>
    <w:p w14:paraId="7E45D458" w14:textId="77777777" w:rsidR="0015200D" w:rsidRPr="00271E51" w:rsidRDefault="0015200D" w:rsidP="00271E51">
      <w:pPr>
        <w:spacing w:after="0" w:line="240" w:lineRule="auto"/>
        <w:jc w:val="both"/>
        <w:rPr>
          <w:rFonts w:ascii="Times New Roman" w:hAnsi="Times New Roman"/>
          <w:color w:val="0070C0"/>
          <w:sz w:val="16"/>
          <w:szCs w:val="16"/>
        </w:rPr>
      </w:pPr>
    </w:p>
    <w:p w14:paraId="57F02D47"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сентябре 1943 года на канадском государственном предприятии «Виктори Эйркрафт Ко», образованному для выпуска самолетов «Ланкастер» в Канаде, были готовы первые бомбардировщики «Ланкастер» В Mk.X с моторами Паккард «Мерлин» 38 и старыми нижними турелями F.N.64. Как и на самолетах английской постройки, эти установки вызывали нарекания экипажей, поэтому постепенно их перестали ставить, а на многих машинах место за бомбоотсеком занял радар H2S. По ходу выпуска на самолеты Mk.X появились моторы «Мерлин» 224 с новыми воздушными винтами и верхние турели «Мартин» с двумя пулеметами М-2 калибра 12,7 мм. Была улучшена прочность каркаса, что позволило повысить разрешенный взлетный вес. В полной комплектации завод «Виктори» до февраля 1945 года построил 300 таких самолетов для 6-й канадской авиагруппы RAF, а с апреля по август — еще 130 для вспомогательных частей ВВС стран Британского Содружества, но и им пришлось повоевать — против Японии на Тихом океане. Однако их участие в этой кампании было несравнимо с действиями против Германии в Европе. Англо-канадская авиапромышленность построила 6176 самолетов типа «Галифакс» и 7377 типа «Ланкастер» (хотя имеющиеся данные несколько противоречивы и в различных документах встречаются и другие цифры), большинство из них было выпущено именно в варианте тяжелого бомбардировщика. Преодоление проблемы дефицита комплектующих и наращивание их выпуска позволило вывести ночные бомбардировки Германии на качественно новый уровень уже в конце 1943 года (22866).</w:t>
      </w:r>
    </w:p>
    <w:p w14:paraId="3405D9A1" w14:textId="77777777" w:rsidR="0015200D" w:rsidRPr="00271E51" w:rsidRDefault="0015200D" w:rsidP="00271E51">
      <w:pPr>
        <w:spacing w:after="0" w:line="240" w:lineRule="auto"/>
        <w:jc w:val="both"/>
        <w:rPr>
          <w:rFonts w:ascii="Times New Roman" w:hAnsi="Times New Roman"/>
          <w:color w:val="0070C0"/>
          <w:sz w:val="16"/>
          <w:szCs w:val="16"/>
        </w:rPr>
      </w:pPr>
    </w:p>
    <w:p w14:paraId="70A9C028" w14:textId="77777777" w:rsidR="009376F4" w:rsidRPr="00271E51" w:rsidRDefault="009376F4" w:rsidP="00271E51">
      <w:pPr>
        <w:pStyle w:val="book"/>
        <w:ind w:firstLine="0"/>
        <w:jc w:val="both"/>
        <w:rPr>
          <w:color w:val="000000" w:themeColor="text1"/>
          <w:sz w:val="16"/>
          <w:szCs w:val="16"/>
        </w:rPr>
      </w:pPr>
      <w:r w:rsidRPr="00271E51">
        <w:rPr>
          <w:color w:val="000000" w:themeColor="text1"/>
          <w:sz w:val="16"/>
          <w:szCs w:val="16"/>
        </w:rPr>
        <w:t>В сентябре 1943 г. была создана группа «Алсос» под командованием полковника военной разведки Бориса Паша. В нее вошло несколько десятков профессиональных разведчиков, а также военных и гражданских ученых. Цель миссии состояла в секретном порядке добычи ученых, документации и аппаратуры в области ядерных исследований, а также других наиболее приоритетных отраслевых наук. Любопытно, что миссия «Алсос» действовала втайне не только от союзников США по антигитлеровской коалиции, но и от Госдепартамента и иных гражданских учреждений США (15225).</w:t>
      </w:r>
    </w:p>
    <w:p w14:paraId="3B3DB6F1" w14:textId="77777777" w:rsidR="009376F4" w:rsidRPr="00271E51" w:rsidRDefault="009376F4" w:rsidP="00271E51">
      <w:pPr>
        <w:pStyle w:val="book"/>
        <w:ind w:firstLine="0"/>
        <w:jc w:val="both"/>
        <w:rPr>
          <w:color w:val="000000" w:themeColor="text1"/>
          <w:sz w:val="16"/>
          <w:szCs w:val="16"/>
        </w:rPr>
      </w:pPr>
    </w:p>
    <w:p w14:paraId="49A0117E" w14:textId="77777777" w:rsidR="009376F4" w:rsidRPr="00271E51" w:rsidRDefault="009376F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 сентября 1943 г. заводы в США перешли на выпуск еще более мощной модификации В-17С с носовой дистан</w:t>
      </w:r>
      <w:r w:rsidRPr="00271E51">
        <w:rPr>
          <w:rFonts w:ascii="Times New Roman" w:cs="Times New Roman"/>
          <w:color w:val="000000" w:themeColor="text1"/>
          <w:spacing w:val="0"/>
          <w:sz w:val="16"/>
          <w:szCs w:val="16"/>
        </w:rPr>
        <w:softHyphen/>
        <w:t>ционно управляемой турелью. Это был самый массовый вариант «Летающей крепости». Таких машин построили 8680 экземпляров. На последних сериях вве</w:t>
      </w:r>
      <w:r w:rsidRPr="00271E51">
        <w:rPr>
          <w:rFonts w:ascii="Times New Roman" w:cs="Times New Roman"/>
          <w:color w:val="000000" w:themeColor="text1"/>
          <w:spacing w:val="0"/>
          <w:sz w:val="16"/>
          <w:szCs w:val="16"/>
        </w:rPr>
        <w:softHyphen/>
        <w:t>ли новую хвостовую турель с большими секторами обстрела и более удобным размещением стрелка. Теперь он не стоял на коленях, просунув руки к пуле</w:t>
      </w:r>
      <w:r w:rsidRPr="00271E51">
        <w:rPr>
          <w:rFonts w:ascii="Times New Roman" w:cs="Times New Roman"/>
          <w:color w:val="000000" w:themeColor="text1"/>
          <w:spacing w:val="0"/>
          <w:sz w:val="16"/>
          <w:szCs w:val="16"/>
        </w:rPr>
        <w:softHyphen/>
        <w:t>метам сквозь прорези в бронеплите, а сидел в кресле, прикрытый бронестен- кой и бронестеклом. Огневая мощь ма</w:t>
      </w:r>
      <w:r w:rsidRPr="00271E51">
        <w:rPr>
          <w:rFonts w:ascii="Times New Roman" w:cs="Times New Roman"/>
          <w:color w:val="000000" w:themeColor="text1"/>
          <w:spacing w:val="0"/>
          <w:sz w:val="16"/>
          <w:szCs w:val="16"/>
        </w:rPr>
        <w:softHyphen/>
        <w:t>шины стала столь велика, что на послед</w:t>
      </w:r>
      <w:r w:rsidRPr="00271E51">
        <w:rPr>
          <w:rFonts w:ascii="Times New Roman" w:cs="Times New Roman"/>
          <w:color w:val="000000" w:themeColor="text1"/>
          <w:spacing w:val="0"/>
          <w:sz w:val="16"/>
          <w:szCs w:val="16"/>
        </w:rPr>
        <w:softHyphen/>
        <w:t>них сериях пулемет у радиста сняли как излишний, а в самом конце войны из со</w:t>
      </w:r>
      <w:r w:rsidRPr="00271E51">
        <w:rPr>
          <w:rFonts w:ascii="Times New Roman" w:cs="Times New Roman"/>
          <w:color w:val="000000" w:themeColor="text1"/>
          <w:spacing w:val="0"/>
          <w:sz w:val="16"/>
          <w:szCs w:val="16"/>
        </w:rPr>
        <w:softHyphen/>
        <w:t>става экипажа убрали и одного из бор</w:t>
      </w:r>
      <w:r w:rsidRPr="00271E51">
        <w:rPr>
          <w:rFonts w:ascii="Times New Roman" w:cs="Times New Roman"/>
          <w:color w:val="000000" w:themeColor="text1"/>
          <w:spacing w:val="0"/>
          <w:sz w:val="16"/>
          <w:szCs w:val="16"/>
        </w:rPr>
        <w:softHyphen/>
        <w:t>товых стрелков.</w:t>
      </w:r>
    </w:p>
    <w:p w14:paraId="1CCBF5BA" w14:textId="77777777" w:rsidR="009376F4" w:rsidRPr="00271E51" w:rsidRDefault="009376F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Нормальная бомбовая нагрузка «крепостей» последних серий была до</w:t>
      </w:r>
      <w:r w:rsidRPr="00271E51">
        <w:rPr>
          <w:rFonts w:ascii="Times New Roman" w:cs="Times New Roman"/>
          <w:color w:val="000000" w:themeColor="text1"/>
          <w:spacing w:val="0"/>
          <w:sz w:val="16"/>
          <w:szCs w:val="16"/>
        </w:rPr>
        <w:softHyphen/>
        <w:t>ведена до четырех тонн. А если пред</w:t>
      </w:r>
      <w:r w:rsidRPr="00271E51">
        <w:rPr>
          <w:rFonts w:ascii="Times New Roman" w:cs="Times New Roman"/>
          <w:color w:val="000000" w:themeColor="text1"/>
          <w:spacing w:val="0"/>
          <w:sz w:val="16"/>
          <w:szCs w:val="16"/>
        </w:rPr>
        <w:softHyphen/>
        <w:t>стояло действовать по близко располо</w:t>
      </w:r>
      <w:r w:rsidRPr="00271E51">
        <w:rPr>
          <w:rFonts w:ascii="Times New Roman" w:cs="Times New Roman"/>
          <w:color w:val="000000" w:themeColor="text1"/>
          <w:spacing w:val="0"/>
          <w:sz w:val="16"/>
          <w:szCs w:val="16"/>
        </w:rPr>
        <w:softHyphen/>
        <w:t>женным целям, то В-17С мог взять и все девять. На некоторых машинах ставили радиолокационный бомбовый прицел, который позволял бомбить, находясь над облаками. С ноября 1943 г. они ис</w:t>
      </w:r>
      <w:r w:rsidRPr="00271E51">
        <w:rPr>
          <w:rFonts w:ascii="Times New Roman" w:cs="Times New Roman"/>
          <w:color w:val="000000" w:themeColor="text1"/>
          <w:spacing w:val="0"/>
          <w:sz w:val="16"/>
          <w:szCs w:val="16"/>
        </w:rPr>
        <w:softHyphen/>
        <w:t>пользовались как лидеры соединений «крепостей». Все остальные бомбарди</w:t>
      </w:r>
      <w:r w:rsidRPr="00271E51">
        <w:rPr>
          <w:rFonts w:ascii="Times New Roman" w:cs="Times New Roman"/>
          <w:color w:val="000000" w:themeColor="text1"/>
          <w:spacing w:val="0"/>
          <w:sz w:val="16"/>
          <w:szCs w:val="16"/>
        </w:rPr>
        <w:softHyphen/>
        <w:t>ровщики, даже не видя цели, просто вы</w:t>
      </w:r>
      <w:r w:rsidRPr="00271E51">
        <w:rPr>
          <w:rFonts w:ascii="Times New Roman" w:cs="Times New Roman"/>
          <w:color w:val="000000" w:themeColor="text1"/>
          <w:spacing w:val="0"/>
          <w:sz w:val="16"/>
          <w:szCs w:val="16"/>
        </w:rPr>
        <w:softHyphen/>
        <w:t>сыпали бомбы по команде лидера.</w:t>
      </w:r>
    </w:p>
    <w:p w14:paraId="579EAA13" w14:textId="77777777" w:rsidR="009376F4" w:rsidRPr="00271E51" w:rsidRDefault="009376F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В-17С в конце войны стали основ</w:t>
      </w:r>
      <w:r w:rsidRPr="00271E51">
        <w:rPr>
          <w:rFonts w:ascii="Times New Roman" w:cs="Times New Roman"/>
          <w:color w:val="000000" w:themeColor="text1"/>
          <w:spacing w:val="0"/>
          <w:sz w:val="16"/>
          <w:szCs w:val="16"/>
        </w:rPr>
        <w:softHyphen/>
        <w:t>ным типом американского тяжелого бомбардировщика на европейском теа</w:t>
      </w:r>
      <w:r w:rsidRPr="00271E51">
        <w:rPr>
          <w:rFonts w:ascii="Times New Roman" w:cs="Times New Roman"/>
          <w:color w:val="000000" w:themeColor="text1"/>
          <w:spacing w:val="0"/>
          <w:sz w:val="16"/>
          <w:szCs w:val="16"/>
        </w:rPr>
        <w:softHyphen/>
        <w:t>тре военных действий. Старые машины модификаций Е и Р переводили в транс</w:t>
      </w:r>
      <w:r w:rsidRPr="00271E51">
        <w:rPr>
          <w:rFonts w:ascii="Times New Roman" w:cs="Times New Roman"/>
          <w:color w:val="000000" w:themeColor="text1"/>
          <w:spacing w:val="0"/>
          <w:sz w:val="16"/>
          <w:szCs w:val="16"/>
        </w:rPr>
        <w:softHyphen/>
        <w:t>портные и штабные. Часть самолетов, раскрашенных в яркие цвета, исполь</w:t>
      </w:r>
      <w:r w:rsidRPr="00271E51">
        <w:rPr>
          <w:rFonts w:ascii="Times New Roman" w:cs="Times New Roman"/>
          <w:color w:val="000000" w:themeColor="text1"/>
          <w:spacing w:val="0"/>
          <w:sz w:val="16"/>
          <w:szCs w:val="16"/>
        </w:rPr>
        <w:softHyphen/>
        <w:t>зовали при формировании в воздухе больших соединений бомбардировщи</w:t>
      </w:r>
      <w:r w:rsidRPr="00271E51">
        <w:rPr>
          <w:rFonts w:ascii="Times New Roman" w:cs="Times New Roman"/>
          <w:color w:val="000000" w:themeColor="text1"/>
          <w:spacing w:val="0"/>
          <w:sz w:val="16"/>
          <w:szCs w:val="16"/>
        </w:rPr>
        <w:softHyphen/>
        <w:t>ков (15772).</w:t>
      </w:r>
    </w:p>
    <w:p w14:paraId="7CEF7C02" w14:textId="77777777" w:rsidR="009376F4" w:rsidRPr="00271E51" w:rsidRDefault="009376F4" w:rsidP="00271E51">
      <w:pPr>
        <w:pStyle w:val="36"/>
        <w:shd w:val="clear" w:color="auto" w:fill="auto"/>
        <w:spacing w:after="0" w:line="240" w:lineRule="auto"/>
        <w:jc w:val="both"/>
        <w:rPr>
          <w:rFonts w:ascii="Times New Roman" w:cs="Times New Roman"/>
          <w:color w:val="000000" w:themeColor="text1"/>
          <w:spacing w:val="0"/>
          <w:sz w:val="16"/>
          <w:szCs w:val="16"/>
        </w:rPr>
      </w:pPr>
    </w:p>
    <w:p w14:paraId="0A7542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фон Браун уверенно заявлял, что «А-4» практически готова, но большинство экспериментальных пусков завершались неудачей. Часть ракет взрывалась сразу же после старта или же на восходящем отрезке траектории, другие разрушались в воздухе, не долетев несколько километров до цели. Лишь около 10% всех пусков заканчивалось успешно.</w:t>
      </w:r>
    </w:p>
    <w:p w14:paraId="4F779B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Конструкторы длительное время не могли найти причину аварий. Только в марте 1944 года удалось устранить аварии на восходящем отрезке траектории ракеты. Катастрофы были вызваны сильной вибрацией, выводившей из строя реле, что приводило к остановке двигателя. Кроме того, она же приводила к нарушению герметичности топливопроводов во время работы двигателя – в результате распыления спирт проникал в хвостовую часть ракеты, соединялся с воздухом и загорался от пламени ракеты.</w:t>
      </w:r>
    </w:p>
    <w:p w14:paraId="3A963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даже после устранения этих проблем до 70% запущенных «V-2» взрывалось в конце траектории, не долетая до земли. Одной из причин преждевременных разрывов было несовершенство взрывателя. Дело в том, что первоначально на «V-2» был установлен высокочувствительный электрический взрыватель ударного действия. Снабженная таким взрывателем боеголовка должна была разрываться на поверхности, не успев зарыться в землю. В условиях же, когда большинство ракет разрушалось в полете, чувствительный взрыватель срабатывал от сотрясений, возникающих при распаде, и вызывал преждевременный взрыв ракеты в воздухе.</w:t>
      </w:r>
    </w:p>
    <w:p w14:paraId="2FC314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это было установлено лишь летом 1944 года. А времени для устранения недостатка не оставалось. Стремительно наступавшие советские войска, освободив Белоруссию, вступили на территорию восточной Польши и приближались к учебному ракетному полигону «Хайделагер» («Heidelager») в Близне, расположенному в 150 км на северо-восток от Кракова. Ракетчикам пришлось сменить дислокацию. Эвакуация и оборудование нового полигона «Хайдекраут» («Heidekraut») близ Тухоля заняло два месяца.</w:t>
      </w:r>
    </w:p>
    <w:p w14:paraId="69F63B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временем командование требовало начать нанесение ударов «V-2» не позднее начала сентября. Чтобы уложиться в поставленные сроки, конструкторам пришлось пожертвовать эффективностью – они поставили на ракету взрыватель с ограниченной чувствительностью, который значительно уменьшал разрушительную силу боеголовки.</w:t>
      </w:r>
    </w:p>
    <w:p w14:paraId="264375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Неудачи преследовали и создателей самолета-снаряда «V-1». Из 68 боевых пусков, произведенных в течение июня и июля 1943 года, лишь 28 снарядов вообще достигли цели, что составило всего 41%. Большинство «V-1» по неизвестным причинам взрывалось практически сразу после старта. Было установлено, что одной из наиболее возможных причин аварий является повреждение поверхностей крыла. Однако проверить это предположение не представлялось возможным, а ракеты продолжали взрываться…</w:t>
      </w:r>
    </w:p>
    <w:p w14:paraId="04F22B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Тогда конструкторы пошли на отчаянный шаг. Известнейшая в Третьем Рейхе женщина, летчик-испытатель Ханна Райч, отличавшаяся абсолютным бесстрашием, предложила переоборудовать один самолет-снаряд в пилотируемый вариант. Вместо боезаряда в носовом отсеке предлагалось установить место для наблюдателя, который, находясь в лежачем положении, должен был следить за состоянием крыльев и зафиксировать причину их поломки. Так как внешний диаметр фюзеляжа составлял всего восемьдесят сантиметров, а внутренний и того меньше, мужчина туда поместиться не мог, и Ханна Райч вызвалась добровольцем. Эта женщина имела маленький рост и щуплое телосложение. Для наблюдения пришлось встроить в фюзеляж перископ, направленный на крылья. После четырех дней испытательных полетов предположение подтвердилось, и причина неполадок была установлена, однако последний запуск закончился неудачно, и отважная летчица пострадала (11688).</w:t>
      </w:r>
    </w:p>
    <w:p w14:paraId="597952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D4C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гитлеровской ставкой было принято решение заводы в Фридрихсхафене и Винер-Нейштадте из программы исключить, в Пенемюнде выпускать лишь опытные образцы, а все серийное производство «V-2» сосредоточить только на подземном заводе в Нордхаузене.</w:t>
      </w:r>
    </w:p>
    <w:p w14:paraId="7C4C26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Строительство завода велось руками военнопленных, политических заключенных и насильственно угнанных в Германию жителей различных стран. В дальнейшем, когда завод вошел в строй, на производстве ракет работали свыше 40 тысяч заключенных, согнанных со всей Европы. Лагерь «Дора-Миттельбау» («Dora-Mittelbau»), где размещались рабочие подземного завода – русские и поляки, чехи и французы, югославы, итальянцы, немцы, – по жестокости обращения и невыносимым условиям труда стоял в одном ряду с Бухенвальдом и другими нацистскими «фабриками смерти». Все знали, что узники, привезенные на подземный «секретный объект», уже не покинут его до конца своих дней, дабы не разгласить тайну «оружия возмездия» (11688).</w:t>
      </w:r>
    </w:p>
    <w:p w14:paraId="1060C9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E40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были испытаны в воздухе первые экземпляры бездвигательных модификаций «Reichenberg I» и «Reichenberg II». Выглядело это так. Бомбардировщик «He-111» поднимал самолет-снаряд на высоту в 300 – 400 м; затем пилот отсоединял свой «Reichenberg» от носителя и после планирующего полета приземлялся на аэродроме. Обучение курсантов было предельно упрощено, так как они готовились не для участия в воздушных боях, а для полета в один конец (11688).</w:t>
      </w:r>
    </w:p>
    <w:p w14:paraId="79CB9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99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под известняковыми холмами началось строительство мощных туннелей для подземной железной дороги, а сверху холмы накрыли железобетонной плитой шестиметровой толщины. На глубине десяти этажей располагалась разветвленная сеть коридоров, галерей и залов. Еще ниже находились замковые камеры гигантских орудий. Бетонированные амбразуры на поверхности были защищены бронированными «пробками», изготовленными из крупповской стали.</w:t>
      </w:r>
    </w:p>
    <w:p w14:paraId="49103F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Вообще-то развернуть «V-3» в том районе было непросто, учитывая, что рядом возводились пусковые площадки для «V-1» и «V-2».</w:t>
      </w:r>
    </w:p>
    <w:p w14:paraId="0F5A2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Ствол общей длиной 140 м и калибром 150 мм перевозился по частям и монтировался на бетонном основании стационарной огневой позиции. Снаряд для «V-3» имел </w:t>
      </w:r>
      <w:r w:rsidRPr="00271E51">
        <w:rPr>
          <w:rFonts w:ascii="Times New Roman" w:hAnsi="Times New Roman"/>
          <w:color w:val="000000" w:themeColor="text1"/>
          <w:sz w:val="16"/>
          <w:szCs w:val="16"/>
        </w:rPr>
        <w:lastRenderedPageBreak/>
        <w:t>длину 2,5 м, весил 140 кг и по форме напоминал длинную ракету, оснащенную стабилизирующим оперением, которое все еще совершенствовалось Кендерсом.</w:t>
      </w:r>
    </w:p>
    <w:p w14:paraId="0FFE8F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эти снаряды стали главной проблемой. Кендерсу никак никак не удавалось увеличить скорость снаряда – она никогда не превышала 1000 м/с, что было явно недостаточно.</w:t>
      </w:r>
    </w:p>
    <w:p w14:paraId="33C662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временем подготовка пусковых площадок у берега Па-де-Кале достигла высокой ступени готовности, и начал формироваться специальный артиллерийский дивизион. Впрочем, число площадок было ограничено до одной-единственной после серии успешных налетов англо-американских бомбардировщиков. ВВС противника к этому времени стало уделять самое пристальное внимание всяким сколько-нибудь значительным инженерным работам в этом регионе (11688).</w:t>
      </w:r>
    </w:p>
    <w:p w14:paraId="5CCAE1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71C29"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сентябре 1943 года началось массовое производство оказавшихся дефектными снарядов для пушек V-3 (в начале марта на складах уже хранилось 25000 снарядов, а темп производства был доведен до 10000 штук в месяц). В соответствии с планами пятьдесят пушек V-3 должны были выпускать 600 снарядов в час или 14400 снарядов в сутки.</w:t>
      </w:r>
    </w:p>
    <w:p w14:paraId="6460446F"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Поскольку к середине марта 1944 года удовлетворительное решение стабилизации снарядов в полете так и не было найдено, Министерству вооружений показалось, что пришла пора закрыть проект. Группа представителей генералов отправилась на полигон, чтобы присутствовать при демонстрации проделанной работы — увиденное комиссию не порадовало, и работа Кендерса была взята под строгий контроль. В конечном итоге это пошло на пользу. Шесть различных фирм, включая компанию «Шкода» и заводы Круппа, получили заказы и разработали удовлетворительные варианты снарядов. К концу мая изготовлявшееся опытное орудие демонстрировало вполне сносные результаты: дальность полета снаряда достигала 80 км. Но тут, после двадцать пятого выстрела, две боковые камеры экспериментального ствола «V-3» взорвались, вследствие чего орудие получило серьезные повреждения. Были заказаны новые экземпляры камер, а следующее испытание наметили на начало июля. 4 июля снова были проведены стрельбы из экспериментального орудия. На этот раз удалось сделать восемь выстрелов и достигнуть дальности стрельбы в 93 км. После чего экспериментальное орудие снова взорвалось (22870).</w:t>
      </w:r>
    </w:p>
    <w:p w14:paraId="5C2E33C2" w14:textId="77777777" w:rsidR="0015200D" w:rsidRPr="00271E51" w:rsidRDefault="0015200D" w:rsidP="00271E51">
      <w:pPr>
        <w:spacing w:after="0" w:line="240" w:lineRule="auto"/>
        <w:jc w:val="both"/>
        <w:rPr>
          <w:rFonts w:ascii="Times New Roman" w:hAnsi="Times New Roman"/>
          <w:color w:val="0070C0"/>
          <w:sz w:val="16"/>
          <w:szCs w:val="16"/>
        </w:rPr>
      </w:pPr>
    </w:p>
    <w:p w14:paraId="6E3D57FC"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 xml:space="preserve">В сентябре 1943 года первые самолеты В-29-В\У собрали в Уичи- те на заводе компании «Боинг». В начале 1944 года к выпуску В-29 подключили предприятие «Белл Эйркрафт Корпорейшн» в Мариетте (штат Джорджия), </w:t>
      </w:r>
      <w:r w:rsidRPr="00271E51">
        <w:rPr>
          <w:rStyle w:val="ArialUnicodeMS"/>
          <w:rFonts w:ascii="Times New Roman"/>
          <w:b w:val="0"/>
          <w:color w:val="000000" w:themeColor="text1"/>
          <w:szCs w:val="16"/>
        </w:rPr>
        <w:t>и</w:t>
      </w:r>
      <w:r w:rsidRPr="00271E51">
        <w:rPr>
          <w:color w:val="000000" w:themeColor="text1"/>
          <w:sz w:val="16"/>
          <w:szCs w:val="16"/>
        </w:rPr>
        <w:t xml:space="preserve"> в феврале с конвейера завода сошел пер</w:t>
      </w:r>
      <w:r w:rsidRPr="00271E51">
        <w:rPr>
          <w:color w:val="000000" w:themeColor="text1"/>
          <w:sz w:val="16"/>
          <w:szCs w:val="16"/>
        </w:rPr>
        <w:softHyphen/>
        <w:t>вый серийный В-29. Выпускавшиеся «Бел- том» самолеты обозначались В-29ВА.</w:t>
      </w:r>
    </w:p>
    <w:p w14:paraId="42656199"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Затем выпуск В-29 освоили заводы ком</w:t>
      </w:r>
      <w:r w:rsidRPr="00271E51">
        <w:rPr>
          <w:color w:val="000000" w:themeColor="text1"/>
          <w:sz w:val="16"/>
          <w:szCs w:val="16"/>
        </w:rPr>
        <w:softHyphen/>
        <w:t>пании «Гленн Мартин» в Омахе (штат Не</w:t>
      </w:r>
      <w:r w:rsidRPr="00271E51">
        <w:rPr>
          <w:color w:val="000000" w:themeColor="text1"/>
          <w:sz w:val="16"/>
          <w:szCs w:val="16"/>
        </w:rPr>
        <w:softHyphen/>
        <w:t xml:space="preserve">браска), ее самолеты получили обозначение </w:t>
      </w:r>
      <w:r w:rsidRPr="00271E51">
        <w:rPr>
          <w:rStyle w:val="ArialUnicodeMS"/>
          <w:rFonts w:ascii="Times New Roman"/>
          <w:b w:val="0"/>
          <w:color w:val="000000" w:themeColor="text1"/>
          <w:szCs w:val="16"/>
        </w:rPr>
        <w:t>3</w:t>
      </w:r>
      <w:r w:rsidRPr="00271E51">
        <w:rPr>
          <w:color w:val="000000" w:themeColor="text1"/>
          <w:sz w:val="16"/>
          <w:szCs w:val="16"/>
        </w:rPr>
        <w:t>-29-МО. В середине 1944 года на заводе компании построили первую машину.</w:t>
      </w:r>
    </w:p>
    <w:p w14:paraId="465DF895"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Планировалось организовать выпуск В-29 на заводе фирмы «Норт Америкен» в Ингл- вуде (штат Калифорния) под обозначением В-29^А, но от этого замысла отказались.</w:t>
      </w:r>
    </w:p>
    <w:p w14:paraId="1E164958"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Последний В-29 производства завода «Бо</w:t>
      </w:r>
      <w:r w:rsidRPr="00271E51">
        <w:rPr>
          <w:color w:val="000000" w:themeColor="text1"/>
          <w:sz w:val="16"/>
          <w:szCs w:val="16"/>
        </w:rPr>
        <w:softHyphen/>
        <w:t>инг» в Уичите покинул сборочный цех в октя</w:t>
      </w:r>
      <w:r w:rsidRPr="00271E51">
        <w:rPr>
          <w:color w:val="000000" w:themeColor="text1"/>
          <w:sz w:val="16"/>
          <w:szCs w:val="16"/>
        </w:rPr>
        <w:softHyphen/>
        <w:t>бре 1945 года. Компания «Белл» собрала по</w:t>
      </w:r>
      <w:r w:rsidRPr="00271E51">
        <w:rPr>
          <w:color w:val="000000" w:themeColor="text1"/>
          <w:sz w:val="16"/>
          <w:szCs w:val="16"/>
        </w:rPr>
        <w:softHyphen/>
        <w:t>следний В-29 в январе 1945 года, после чего переключилась на выпуск В-29В. Послед</w:t>
      </w:r>
      <w:r w:rsidRPr="00271E51">
        <w:rPr>
          <w:color w:val="000000" w:themeColor="text1"/>
          <w:sz w:val="16"/>
          <w:szCs w:val="16"/>
        </w:rPr>
        <w:softHyphen/>
        <w:t>ний В-29 сошел с поточной линии завода «Гленн Мартин» в сентябре 1945 года.</w:t>
      </w:r>
    </w:p>
    <w:p w14:paraId="580866F2"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О количестве построенных В-29 всех ва</w:t>
      </w:r>
      <w:r w:rsidRPr="00271E51">
        <w:rPr>
          <w:color w:val="000000" w:themeColor="text1"/>
          <w:sz w:val="16"/>
          <w:szCs w:val="16"/>
        </w:rPr>
        <w:softHyphen/>
        <w:t>риантов в зарубежной печати встречаются разные цифры, при этом часто упоминается 3627 и 3965 самолетов. В то же время иссле</w:t>
      </w:r>
      <w:r w:rsidRPr="00271E51">
        <w:rPr>
          <w:color w:val="000000" w:themeColor="text1"/>
          <w:sz w:val="16"/>
          <w:szCs w:val="16"/>
        </w:rPr>
        <w:softHyphen/>
        <w:t>дователи из США утверждают, что с 1943 по 1944 год в Уичите собрали 1620 В-29, в Ма</w:t>
      </w:r>
      <w:r w:rsidRPr="00271E51">
        <w:rPr>
          <w:color w:val="000000" w:themeColor="text1"/>
          <w:sz w:val="16"/>
          <w:szCs w:val="16"/>
        </w:rPr>
        <w:softHyphen/>
        <w:t>риетте (фирма «Белл») - 357 (по другим дан</w:t>
      </w:r>
      <w:r w:rsidRPr="00271E51">
        <w:rPr>
          <w:color w:val="000000" w:themeColor="text1"/>
          <w:sz w:val="16"/>
          <w:szCs w:val="16"/>
        </w:rPr>
        <w:softHyphen/>
        <w:t>ным - 536 машин), в Омахе («Мартин») - 204, вРентоне- 1119В-29А.</w:t>
      </w:r>
    </w:p>
    <w:p w14:paraId="556231AC"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 ходе серийного выпуска В-29 в его кон</w:t>
      </w:r>
      <w:r w:rsidRPr="00271E51">
        <w:rPr>
          <w:color w:val="000000" w:themeColor="text1"/>
          <w:sz w:val="16"/>
          <w:szCs w:val="16"/>
        </w:rPr>
        <w:softHyphen/>
        <w:t>струкцию вносились усовершенствования, облегчавшие сборку, упрощавшие эксплу</w:t>
      </w:r>
      <w:r w:rsidRPr="00271E51">
        <w:rPr>
          <w:color w:val="000000" w:themeColor="text1"/>
          <w:sz w:val="16"/>
          <w:szCs w:val="16"/>
        </w:rPr>
        <w:softHyphen/>
        <w:t>атацию и повышающие боевые качест</w:t>
      </w:r>
      <w:r w:rsidRPr="00271E51">
        <w:rPr>
          <w:color w:val="000000" w:themeColor="text1"/>
          <w:sz w:val="16"/>
          <w:szCs w:val="16"/>
        </w:rPr>
        <w:softHyphen/>
        <w:t>ва самолета. Производители внедряли эти изменения в разные сроки, поэтому маши</w:t>
      </w:r>
      <w:r w:rsidRPr="00271E51">
        <w:rPr>
          <w:color w:val="000000" w:themeColor="text1"/>
          <w:sz w:val="16"/>
          <w:szCs w:val="16"/>
        </w:rPr>
        <w:softHyphen/>
        <w:t>ны, выпушенные разными фирмами, от</w:t>
      </w:r>
      <w:r w:rsidRPr="00271E51">
        <w:rPr>
          <w:color w:val="000000" w:themeColor="text1"/>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33187292"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Первоначально оборонительное воору</w:t>
      </w:r>
      <w:r w:rsidRPr="00271E51">
        <w:rPr>
          <w:color w:val="000000" w:themeColor="text1"/>
          <w:sz w:val="16"/>
          <w:szCs w:val="16"/>
        </w:rPr>
        <w:softHyphen/>
        <w:t>жение самолета размешалось в четырех пу</w:t>
      </w:r>
      <w:r w:rsidRPr="00271E51">
        <w:rPr>
          <w:color w:val="000000" w:themeColor="text1"/>
          <w:sz w:val="16"/>
          <w:szCs w:val="16"/>
        </w:rPr>
        <w:softHyphen/>
        <w:t>леметных турелях. В каждой турели стояло по спаренному 12,7-мм пулемету. Управля</w:t>
      </w:r>
      <w:r w:rsidRPr="00271E51">
        <w:rPr>
          <w:color w:val="000000" w:themeColor="text1"/>
          <w:sz w:val="16"/>
          <w:szCs w:val="16"/>
        </w:rPr>
        <w:softHyphen/>
        <w:t>лись пулеметы дистанционно, места стрел</w:t>
      </w:r>
      <w:r w:rsidRPr="00271E51">
        <w:rPr>
          <w:color w:val="000000" w:themeColor="text1"/>
          <w:sz w:val="16"/>
          <w:szCs w:val="16"/>
        </w:rPr>
        <w:softHyphen/>
        <w:t>ков находились в гермокабинах. В кормовой огневой точке кроме двух 12,7-мм пулеме</w:t>
      </w:r>
      <w:r w:rsidRPr="00271E51">
        <w:rPr>
          <w:color w:val="000000" w:themeColor="text1"/>
          <w:sz w:val="16"/>
          <w:szCs w:val="16"/>
        </w:rPr>
        <w:softHyphen/>
        <w:t>тов стояла 20-мм пушка. Позднее вооруже</w:t>
      </w:r>
      <w:r w:rsidRPr="00271E51">
        <w:rPr>
          <w:color w:val="000000" w:themeColor="text1"/>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271E51">
        <w:rPr>
          <w:color w:val="000000" w:themeColor="text1"/>
          <w:sz w:val="16"/>
          <w:szCs w:val="16"/>
        </w:rPr>
        <w:softHyphen/>
        <w:t>го практикован! лобовую атаку. Из хвосто</w:t>
      </w:r>
      <w:r w:rsidRPr="00271E51">
        <w:rPr>
          <w:color w:val="000000" w:themeColor="text1"/>
          <w:sz w:val="16"/>
          <w:szCs w:val="16"/>
        </w:rPr>
        <w:softHyphen/>
        <w:t>вого отсека убрали 20-мм орудие, поскольку баллистика пуль и снарядов была различ</w:t>
      </w:r>
      <w:r w:rsidRPr="00271E51">
        <w:rPr>
          <w:color w:val="000000" w:themeColor="text1"/>
          <w:sz w:val="16"/>
          <w:szCs w:val="16"/>
        </w:rPr>
        <w:softHyphen/>
        <w:t>ной, и это усложняло ведение прицельного огня. На заводе в Уичите это новшество вне</w:t>
      </w:r>
      <w:r w:rsidRPr="00271E51">
        <w:rPr>
          <w:color w:val="000000" w:themeColor="text1"/>
          <w:sz w:val="16"/>
          <w:szCs w:val="16"/>
        </w:rPr>
        <w:softHyphen/>
        <w:t>дрили с 55-й серии, на предприятиях «Мар</w:t>
      </w:r>
      <w:r w:rsidRPr="00271E51">
        <w:rPr>
          <w:color w:val="000000" w:themeColor="text1"/>
          <w:sz w:val="16"/>
          <w:szCs w:val="16"/>
        </w:rPr>
        <w:softHyphen/>
        <w:t>тин» и «Белл» это орудие перестали ставить с 25-х серий. На самолетах В-29А и В-29В пушку никогда не ставили.</w:t>
      </w:r>
    </w:p>
    <w:p w14:paraId="4BF011C5"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271E51">
        <w:rPr>
          <w:color w:val="000000" w:themeColor="text1"/>
          <w:sz w:val="16"/>
          <w:szCs w:val="16"/>
        </w:rPr>
        <w:softHyphen/>
        <w:t>лучили все самолеты.</w:t>
      </w:r>
    </w:p>
    <w:p w14:paraId="53E69E63"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Сомнения относительно достоинств и эффективности системы защитного воору</w:t>
      </w:r>
      <w:r w:rsidRPr="00271E51">
        <w:rPr>
          <w:color w:val="000000" w:themeColor="text1"/>
          <w:sz w:val="16"/>
          <w:szCs w:val="16"/>
        </w:rPr>
        <w:softHyphen/>
        <w:t>жения с дистанционным управлением при- зели к оснащению одного В-29-25-В\У (се</w:t>
      </w:r>
      <w:r w:rsidRPr="00271E51">
        <w:rPr>
          <w:color w:val="000000" w:themeColor="text1"/>
          <w:sz w:val="16"/>
          <w:szCs w:val="16"/>
        </w:rPr>
        <w:softHyphen/>
        <w:t>рийный номер 42-2444) оборонительными установками со стрелками внутри них. Са</w:t>
      </w:r>
      <w:r w:rsidRPr="00271E51">
        <w:rPr>
          <w:color w:val="000000" w:themeColor="text1"/>
          <w:sz w:val="16"/>
          <w:szCs w:val="16"/>
        </w:rPr>
        <w:softHyphen/>
        <w:t>молет имел две надфюзеляжные и две ша</w:t>
      </w:r>
      <w:r w:rsidRPr="00271E51">
        <w:rPr>
          <w:color w:val="000000" w:themeColor="text1"/>
          <w:sz w:val="16"/>
          <w:szCs w:val="16"/>
        </w:rPr>
        <w:softHyphen/>
        <w:t>ровые подфюзеляжные пулеметные уста</w:t>
      </w:r>
      <w:r w:rsidRPr="00271E51">
        <w:rPr>
          <w:color w:val="000000" w:themeColor="text1"/>
          <w:sz w:val="16"/>
          <w:szCs w:val="16"/>
        </w:rPr>
        <w:softHyphen/>
        <w:t>новки. В каждой из них размешалось два пулемета «Браунинг» М2. В носовой ча</w:t>
      </w:r>
      <w:r w:rsidRPr="00271E51">
        <w:rPr>
          <w:color w:val="000000" w:themeColor="text1"/>
          <w:sz w:val="16"/>
          <w:szCs w:val="16"/>
        </w:rPr>
        <w:softHyphen/>
        <w:t>сти фюзеляжа в блистерах с каждой сторо</w:t>
      </w:r>
      <w:r w:rsidRPr="00271E51">
        <w:rPr>
          <w:color w:val="000000" w:themeColor="text1"/>
          <w:sz w:val="16"/>
          <w:szCs w:val="16"/>
        </w:rPr>
        <w:softHyphen/>
        <w:t>ны находилось по два таких же пулемета и еще столько же располагалось по бокам са</w:t>
      </w:r>
      <w:r w:rsidRPr="00271E51">
        <w:rPr>
          <w:color w:val="000000" w:themeColor="text1"/>
          <w:sz w:val="16"/>
          <w:szCs w:val="16"/>
        </w:rPr>
        <w:softHyphen/>
        <w:t>молета. Но испытания показали явное пре</w:t>
      </w:r>
      <w:r w:rsidRPr="00271E51">
        <w:rPr>
          <w:color w:val="000000" w:themeColor="text1"/>
          <w:sz w:val="16"/>
          <w:szCs w:val="16"/>
        </w:rPr>
        <w:softHyphen/>
        <w:t>имущество системы оборонительного воо</w:t>
      </w:r>
      <w:r w:rsidRPr="00271E51">
        <w:rPr>
          <w:color w:val="000000" w:themeColor="text1"/>
          <w:sz w:val="16"/>
          <w:szCs w:val="16"/>
        </w:rPr>
        <w:softHyphen/>
        <w:t>ружения с дистанционным управлением по сравнению с предложенной.</w:t>
      </w:r>
    </w:p>
    <w:p w14:paraId="5157246A"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На самолетах В-29 серий 1-20, выпушен</w:t>
      </w:r>
      <w:r w:rsidRPr="00271E51">
        <w:rPr>
          <w:color w:val="000000" w:themeColor="text1"/>
          <w:sz w:val="16"/>
          <w:szCs w:val="16"/>
        </w:rPr>
        <w:softHyphen/>
        <w:t>ных заводами в Уичите и фирмой «Белл», устанавливались двигатели К-3350-23, разви</w:t>
      </w:r>
      <w:r w:rsidRPr="00271E51">
        <w:rPr>
          <w:color w:val="000000" w:themeColor="text1"/>
          <w:sz w:val="16"/>
          <w:szCs w:val="16"/>
        </w:rPr>
        <w:softHyphen/>
        <w:t>вавшие на боевом режиме по 2439 л.с. (взлет</w:t>
      </w:r>
      <w:r w:rsidRPr="00271E51">
        <w:rPr>
          <w:color w:val="000000" w:themeColor="text1"/>
          <w:sz w:val="16"/>
          <w:szCs w:val="16"/>
        </w:rPr>
        <w:softHyphen/>
        <w:t>ная - 2200 л.с.), а на самолетах с 25 по 90 серию (по другим данным - с 50-й серии), строившихся в Уичите, — К-3350-41 анало</w:t>
      </w:r>
      <w:r w:rsidRPr="00271E51">
        <w:rPr>
          <w:color w:val="000000" w:themeColor="text1"/>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271E51">
        <w:rPr>
          <w:color w:val="000000" w:themeColor="text1"/>
          <w:sz w:val="16"/>
          <w:szCs w:val="16"/>
        </w:rPr>
        <w:softHyphen/>
        <w:t>гатели, начиная с 20 серии. На последних се</w:t>
      </w:r>
      <w:r w:rsidRPr="00271E51">
        <w:rPr>
          <w:color w:val="000000" w:themeColor="text1"/>
          <w:sz w:val="16"/>
          <w:szCs w:val="16"/>
        </w:rPr>
        <w:softHyphen/>
        <w:t>риях все три производителя стати применять усовершенствованный двигатель К-3350-57.</w:t>
      </w:r>
    </w:p>
    <w:p w14:paraId="171CD84B"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Первые машины В-29 постройки завода в Уичита поставлялись в стандартном камуф</w:t>
      </w:r>
      <w:r w:rsidRPr="00271E51">
        <w:rPr>
          <w:color w:val="000000" w:themeColor="text1"/>
          <w:sz w:val="16"/>
          <w:szCs w:val="16"/>
        </w:rPr>
        <w:softHyphen/>
        <w:t>ляже и15ААР. Остальные самолеты сохрани</w:t>
      </w:r>
      <w:r w:rsidRPr="00271E51">
        <w:rPr>
          <w:color w:val="000000" w:themeColor="text1"/>
          <w:sz w:val="16"/>
          <w:szCs w:val="16"/>
        </w:rPr>
        <w:softHyphen/>
        <w:t>ли «естественный» цвет алюминия.</w:t>
      </w:r>
    </w:p>
    <w:p w14:paraId="48A26A4C"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Начиная с 25-й серии на заводе в Уичита максимальный запас топлива на борту уве</w:t>
      </w:r>
      <w:r w:rsidRPr="00271E51">
        <w:rPr>
          <w:color w:val="000000" w:themeColor="text1"/>
          <w:sz w:val="16"/>
          <w:szCs w:val="16"/>
        </w:rPr>
        <w:softHyphen/>
        <w:t>личили до 9438 американских галлонов. Та</w:t>
      </w:r>
      <w:r w:rsidRPr="00271E51">
        <w:rPr>
          <w:color w:val="000000" w:themeColor="text1"/>
          <w:sz w:val="16"/>
          <w:szCs w:val="16"/>
        </w:rPr>
        <w:softHyphen/>
        <w:t>кие баки устанавливали на заводе «Белл», начиная с 5-й серии.</w:t>
      </w:r>
    </w:p>
    <w:p w14:paraId="19D4B02A"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Все произведенные «Мартин» В-29 име</w:t>
      </w:r>
      <w:r w:rsidRPr="00271E51">
        <w:rPr>
          <w:color w:val="000000" w:themeColor="text1"/>
          <w:sz w:val="16"/>
          <w:szCs w:val="16"/>
        </w:rPr>
        <w:softHyphen/>
        <w:t>ли дополнительные крыльевые топливные баки (12292).</w:t>
      </w:r>
    </w:p>
    <w:p w14:paraId="0F770AD6"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4E76378"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 сен</w:t>
      </w:r>
      <w:r w:rsidRPr="00271E51">
        <w:rPr>
          <w:color w:val="000000" w:themeColor="text1"/>
          <w:sz w:val="16"/>
          <w:szCs w:val="16"/>
        </w:rPr>
        <w:softHyphen/>
        <w:t>тябре 1943 года вУичите на заводе компании «Боинг» начали собрать Первые серийные В-29-ВШ. Вторую сборочную линию «Боинг» организована в Рентоне, где бом</w:t>
      </w:r>
      <w:r w:rsidRPr="00271E51">
        <w:rPr>
          <w:color w:val="000000" w:themeColor="text1"/>
          <w:sz w:val="16"/>
          <w:szCs w:val="16"/>
        </w:rPr>
        <w:softHyphen/>
        <w:t>бардировщики получили обозначение В- 29А. Эти «Сверхкрепости» отличались от предшественника разборным центропла</w:t>
      </w:r>
      <w:r w:rsidRPr="00271E51">
        <w:rPr>
          <w:color w:val="000000" w:themeColor="text1"/>
          <w:sz w:val="16"/>
          <w:szCs w:val="16"/>
        </w:rPr>
        <w:softHyphen/>
        <w:t>ном. что позволяло расширить фронт сборочных работ, и увеличенным на 0,31 ме</w:t>
      </w:r>
      <w:r w:rsidRPr="00271E51">
        <w:rPr>
          <w:color w:val="000000" w:themeColor="text1"/>
          <w:sz w:val="16"/>
          <w:szCs w:val="16"/>
        </w:rPr>
        <w:softHyphen/>
        <w:t>тра размахом крыла. Правда, это утяжелило планер на 320 кг, да и запас топлива снизил</w:t>
      </w:r>
      <w:r w:rsidRPr="00271E51">
        <w:rPr>
          <w:color w:val="000000" w:themeColor="text1"/>
          <w:sz w:val="16"/>
          <w:szCs w:val="16"/>
        </w:rPr>
        <w:softHyphen/>
        <w:t>ся на 806 литров.Учитывая, что пилоты японских истреби</w:t>
      </w:r>
      <w:r w:rsidRPr="00271E51">
        <w:rPr>
          <w:color w:val="000000" w:themeColor="text1"/>
          <w:sz w:val="16"/>
          <w:szCs w:val="16"/>
        </w:rPr>
        <w:softHyphen/>
        <w:t>телей часто атаковали бомбардировщики с передней полусферы, количество стволов верхней передней башни довели до четырех. Кормовую пушку демонтировали, оставив два пулемета.</w:t>
      </w:r>
    </w:p>
    <w:p w14:paraId="1BDFE77C"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На самолеты этого варианта бомбар</w:t>
      </w:r>
      <w:r w:rsidRPr="00271E51">
        <w:rPr>
          <w:color w:val="000000" w:themeColor="text1"/>
          <w:sz w:val="16"/>
          <w:szCs w:val="16"/>
        </w:rPr>
        <w:softHyphen/>
        <w:t>дировщика устанавливались двигатели К-3350-57, -57А и 59.</w:t>
      </w:r>
    </w:p>
    <w:p w14:paraId="77C0414E"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Любопытно привести весовую сводку В- 29А. Так, вес его конструкции составил 14 120 кг, силовой установки и мотогондол — 13 070 кг, вспомогательной силовой уста</w:t>
      </w:r>
      <w:r w:rsidRPr="00271E51">
        <w:rPr>
          <w:color w:val="000000" w:themeColor="text1"/>
          <w:sz w:val="16"/>
          <w:szCs w:val="16"/>
        </w:rPr>
        <w:softHyphen/>
        <w:t>новки — 1349 кг, оборудования — 3500 кг. При этом производственные отклонения не превышали 153,5 кг.</w:t>
      </w:r>
    </w:p>
    <w:p w14:paraId="2596558F"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Вес пустого самолета (по техническим условиям заказчика) задавался 31 885,5 кг, полезной нагрузки - 15 790 кг, боеприпасов и топлива, определяемых заданием при нор</w:t>
      </w:r>
      <w:r w:rsidRPr="00271E51">
        <w:rPr>
          <w:color w:val="000000" w:themeColor="text1"/>
          <w:sz w:val="16"/>
          <w:szCs w:val="16"/>
        </w:rPr>
        <w:softHyphen/>
        <w:t>мальной нагрузке, - 13 800 кг, максималь</w:t>
      </w:r>
      <w:r w:rsidRPr="00271E51">
        <w:rPr>
          <w:color w:val="000000" w:themeColor="text1"/>
          <w:sz w:val="16"/>
          <w:szCs w:val="16"/>
        </w:rPr>
        <w:softHyphen/>
        <w:t>ный - 20 600 кг.</w:t>
      </w:r>
    </w:p>
    <w:p w14:paraId="135D0B1F"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Нормальный взлетный вес по техниче</w:t>
      </w:r>
      <w:r w:rsidRPr="00271E51">
        <w:rPr>
          <w:color w:val="000000" w:themeColor="text1"/>
          <w:sz w:val="16"/>
          <w:szCs w:val="16"/>
        </w:rPr>
        <w:softHyphen/>
        <w:t>ским условиям заказчика задавался 47 675,5 кг, а максимальный — 54 500 кг.</w:t>
      </w:r>
    </w:p>
    <w:p w14:paraId="73805244"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Состав экипажа В-29 остался прежний — 10 человек.</w:t>
      </w:r>
    </w:p>
    <w:p w14:paraId="1CE0E8C6"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Топливо (бензин с октановым числом 100) объемом 30 919 литров (8168 американ</w:t>
      </w:r>
      <w:r w:rsidRPr="00271E51">
        <w:rPr>
          <w:color w:val="000000" w:themeColor="text1"/>
          <w:sz w:val="16"/>
          <w:szCs w:val="16"/>
        </w:rPr>
        <w:softHyphen/>
        <w:t>ских галлонов) располагалось в четырнад</w:t>
      </w:r>
      <w:r w:rsidRPr="00271E51">
        <w:rPr>
          <w:color w:val="000000" w:themeColor="text1"/>
          <w:sz w:val="16"/>
          <w:szCs w:val="16"/>
        </w:rPr>
        <w:softHyphen/>
        <w:t>цати баках в отъемных частях крыла, в вось</w:t>
      </w:r>
      <w:r w:rsidRPr="00271E51">
        <w:rPr>
          <w:color w:val="000000" w:themeColor="text1"/>
          <w:sz w:val="16"/>
          <w:szCs w:val="16"/>
        </w:rPr>
        <w:softHyphen/>
        <w:t>ми баках в центроплане и в четырех баках в грузовых отсеках.</w:t>
      </w:r>
    </w:p>
    <w:p w14:paraId="7B4EC752"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Самолеты оснащались системой навига</w:t>
      </w:r>
      <w:r w:rsidRPr="00271E51">
        <w:rPr>
          <w:color w:val="000000" w:themeColor="text1"/>
          <w:sz w:val="16"/>
          <w:szCs w:val="16"/>
        </w:rPr>
        <w:softHyphen/>
        <w:t>ции А1М/АР1М-4 1_огап (боль</w:t>
      </w:r>
      <w:r w:rsidRPr="00271E51">
        <w:rPr>
          <w:color w:val="000000" w:themeColor="text1"/>
          <w:sz w:val="16"/>
          <w:szCs w:val="16"/>
        </w:rPr>
        <w:softHyphen/>
        <w:t>шая дальность). Впоследствии ей на смену пришла усовершенствованная система КСА</w:t>
      </w:r>
    </w:p>
    <w:p w14:paraId="18419B5D"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Последние серии В-29А оснащались ра</w:t>
      </w:r>
      <w:r w:rsidRPr="00271E51">
        <w:rPr>
          <w:color w:val="000000" w:themeColor="text1"/>
          <w:sz w:val="16"/>
          <w:szCs w:val="16"/>
        </w:rPr>
        <w:softHyphen/>
        <w:t>диодальномером А1М/АРО-15 и РЛС А1Ч/ АРО-13, разработанный одной из лабора</w:t>
      </w:r>
      <w:r w:rsidRPr="00271E51">
        <w:rPr>
          <w:color w:val="000000" w:themeColor="text1"/>
          <w:sz w:val="16"/>
          <w:szCs w:val="16"/>
        </w:rPr>
        <w:softHyphen/>
        <w:t>торий Массачусетс кого технологического института. Антенна этой станции, заклюценная в полусферический обтекатель диа</w:t>
      </w:r>
      <w:r w:rsidRPr="00271E51">
        <w:rPr>
          <w:color w:val="000000" w:themeColor="text1"/>
          <w:sz w:val="16"/>
          <w:szCs w:val="16"/>
        </w:rPr>
        <w:softHyphen/>
        <w:t>метром 762 мм (30 дюймов), располагалась в центрапьной части фюзеляжа между бомбо- отсеками и выпускалась, когда требовапось уточнить местоположение самолета и при бомбометании вне видимости земли. При этом экипаж возросло 11 человек.</w:t>
      </w:r>
    </w:p>
    <w:p w14:paraId="27F1FAF4"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Опыт применения первых В-29 в войне с Японией, где они практически не встречати сопротивления в воздухе, показат, что си</w:t>
      </w:r>
      <w:r w:rsidRPr="00271E51">
        <w:rPr>
          <w:color w:val="000000" w:themeColor="text1"/>
          <w:sz w:val="16"/>
          <w:szCs w:val="16"/>
        </w:rPr>
        <w:softHyphen/>
        <w:t>стему оборонительного вооружения можно упростить и тем самым облегчить самолет, улучшив его летные данные. При этом оста</w:t>
      </w:r>
      <w:r w:rsidRPr="00271E51">
        <w:rPr>
          <w:color w:val="000000" w:themeColor="text1"/>
          <w:sz w:val="16"/>
          <w:szCs w:val="16"/>
        </w:rPr>
        <w:softHyphen/>
        <w:t>вили лишь кормовую пулеметную установку с радиодальномером АМ/АРО-15 (12292).</w:t>
      </w:r>
    </w:p>
    <w:p w14:paraId="09353703" w14:textId="77777777" w:rsidR="00473181" w:rsidRPr="00271E51" w:rsidRDefault="00473181" w:rsidP="00271E51">
      <w:pPr>
        <w:pStyle w:val="217"/>
        <w:shd w:val="clear" w:color="auto" w:fill="auto"/>
        <w:spacing w:after="0" w:line="240" w:lineRule="auto"/>
        <w:jc w:val="both"/>
        <w:rPr>
          <w:rFonts w:ascii="Times New Roman" w:hAnsi="Times New Roman"/>
          <w:color w:val="000000" w:themeColor="text1"/>
          <w:szCs w:val="16"/>
        </w:rPr>
      </w:pPr>
      <w:r w:rsidRPr="00271E51">
        <w:rPr>
          <w:rFonts w:ascii="Times New Roman" w:hAnsi="Times New Roman"/>
          <w:color w:val="000000" w:themeColor="text1"/>
          <w:szCs w:val="16"/>
        </w:rPr>
        <w:t>Основные данные бомбардировщиков семейства В-29</w:t>
      </w:r>
    </w:p>
    <w:tbl>
      <w:tblPr>
        <w:tblW w:w="0" w:type="auto"/>
        <w:tblLayout w:type="fixed"/>
        <w:tblCellMar>
          <w:left w:w="10" w:type="dxa"/>
          <w:right w:w="10" w:type="dxa"/>
        </w:tblCellMar>
        <w:tblLook w:val="0000" w:firstRow="0" w:lastRow="0" w:firstColumn="0" w:lastColumn="0" w:noHBand="0" w:noVBand="0"/>
      </w:tblPr>
      <w:tblGrid>
        <w:gridCol w:w="3035"/>
        <w:gridCol w:w="1120"/>
        <w:gridCol w:w="1120"/>
        <w:gridCol w:w="1116"/>
        <w:gridCol w:w="1130"/>
      </w:tblGrid>
      <w:tr w:rsidR="00A907A5" w:rsidRPr="00271E51" w14:paraId="186C7EE0" w14:textId="77777777" w:rsidTr="00ED5B0A">
        <w:trPr>
          <w:trHeight w:val="252"/>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598C35C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самолета</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2F8A66D"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В-29</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815A33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В-29А</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0122C242"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В-29В</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2D831294"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В-29</w:t>
            </w:r>
            <w:r w:rsidRPr="00271E51">
              <w:rPr>
                <w:rFonts w:ascii="Times New Roman" w:hAnsi="Times New Roman"/>
                <w:color w:val="000000" w:themeColor="text1"/>
                <w:sz w:val="16"/>
                <w:szCs w:val="16"/>
                <w:vertAlign w:val="superscript"/>
              </w:rPr>
              <w:t>7</w:t>
            </w:r>
            <w:r w:rsidRPr="00271E51">
              <w:rPr>
                <w:rFonts w:ascii="Times New Roman" w:hAnsi="Times New Roman"/>
                <w:color w:val="000000" w:themeColor="text1"/>
                <w:sz w:val="16"/>
                <w:szCs w:val="16"/>
              </w:rPr>
              <w:t>»</w:t>
            </w:r>
          </w:p>
        </w:tc>
      </w:tr>
      <w:tr w:rsidR="00A907A5" w:rsidRPr="00271E51" w14:paraId="255117D8"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154C24D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Двигатель</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52D220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К-3350-23</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F80572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К-3350-23</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099C501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К-3350-41</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4CBA6212"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К-3350-29</w:t>
            </w:r>
          </w:p>
        </w:tc>
      </w:tr>
      <w:tr w:rsidR="00A907A5" w:rsidRPr="00271E51" w14:paraId="0A8033B8" w14:textId="77777777" w:rsidTr="00ED5B0A">
        <w:trPr>
          <w:trHeight w:val="59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330C820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л.с.: взлетная</w:t>
            </w:r>
          </w:p>
          <w:p w14:paraId="01E40D4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чрезвычайный режим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4DCFC29"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4x2200 4x2439</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CC2754E"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4x2200 4x2439</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5B1B1BF5"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4x2200 4x2439</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3A0C720D"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4x2200 4x2300</w:t>
            </w:r>
          </w:p>
        </w:tc>
      </w:tr>
      <w:tr w:rsidR="00A907A5" w:rsidRPr="00271E51" w14:paraId="35BAE662"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734CC8E5"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3C3FC1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43,05</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0AAE4C8"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43,36</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6717B21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43,05</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1318B3E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43.047</w:t>
            </w:r>
          </w:p>
        </w:tc>
      </w:tr>
      <w:tr w:rsidR="00A907A5" w:rsidRPr="00271E51" w14:paraId="51F0DE8C" w14:textId="77777777" w:rsidTr="00ED5B0A">
        <w:trPr>
          <w:trHeight w:val="245"/>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5E25174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Дпина. 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FFB5BF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30.175</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9048DD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30.175</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EC1586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30,175</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1A693A5E"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30,179</w:t>
            </w:r>
          </w:p>
        </w:tc>
      </w:tr>
      <w:tr w:rsidR="00A907A5" w:rsidRPr="00271E51" w14:paraId="3913C0E5" w14:textId="77777777" w:rsidTr="00ED5B0A">
        <w:trPr>
          <w:trHeight w:val="23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209675C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на стоянке, 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7303F3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8,46</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0F6BDA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8.46</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4D5CBB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8,46</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08F4F97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9,02</w:t>
            </w:r>
          </w:p>
        </w:tc>
      </w:tr>
      <w:tr w:rsidR="00A907A5" w:rsidRPr="00271E51" w14:paraId="2A013149" w14:textId="77777777" w:rsidTr="00ED5B0A">
        <w:trPr>
          <w:trHeight w:val="23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45DBE988"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09AE62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161,3</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17CB85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161,5</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58B8CEB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161.3</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44DE94D9"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161,27</w:t>
            </w:r>
          </w:p>
        </w:tc>
      </w:tr>
      <w:tr w:rsidR="00A907A5" w:rsidRPr="00271E51" w14:paraId="0645892A" w14:textId="77777777" w:rsidTr="00ED5B0A">
        <w:trPr>
          <w:trHeight w:val="78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0ACC78F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взлетный, кг: нормальный максимальный перегрузочный</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1486A99"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61 235</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322E608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47 7 65,5</w:t>
            </w:r>
            <w:r w:rsidRPr="00271E51">
              <w:rPr>
                <w:rFonts w:ascii="Times New Roman" w:hAnsi="Times New Roman"/>
                <w:color w:val="000000" w:themeColor="text1"/>
                <w:sz w:val="16"/>
                <w:szCs w:val="16"/>
                <w:vertAlign w:val="superscript"/>
              </w:rPr>
              <w:t>4</w:t>
            </w:r>
            <w:r w:rsidRPr="00271E51">
              <w:rPr>
                <w:rFonts w:ascii="Times New Roman" w:hAnsi="Times New Roman"/>
                <w:color w:val="000000" w:themeColor="text1"/>
                <w:sz w:val="16"/>
                <w:szCs w:val="16"/>
              </w:rPr>
              <w:t>' 54 500</w:t>
            </w:r>
            <w:r w:rsidRPr="00271E51">
              <w:rPr>
                <w:rFonts w:ascii="Times New Roman" w:hAnsi="Times New Roman"/>
                <w:color w:val="000000" w:themeColor="text1"/>
                <w:sz w:val="16"/>
                <w:szCs w:val="16"/>
                <w:vertAlign w:val="superscript"/>
              </w:rPr>
              <w:t>4</w:t>
            </w:r>
            <w:r w:rsidRPr="00271E51">
              <w:rPr>
                <w:rFonts w:ascii="Times New Roman" w:hAnsi="Times New Roman"/>
                <w:color w:val="000000" w:themeColor="text1"/>
                <w:sz w:val="16"/>
                <w:szCs w:val="16"/>
              </w:rPr>
              <w:t>' 61 235</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838DE1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62 142</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78AC54FE"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54 432 62 560</w:t>
            </w:r>
          </w:p>
        </w:tc>
      </w:tr>
      <w:tr w:rsidR="00A907A5" w:rsidRPr="00271E51" w14:paraId="136650D7" w14:textId="77777777" w:rsidTr="00ED5B0A">
        <w:trPr>
          <w:trHeight w:val="23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34ABD185"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3E91BD2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31 815</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813235D"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32 3685)</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1140939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31 298</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756A8B1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34 020</w:t>
            </w:r>
          </w:p>
        </w:tc>
      </w:tr>
      <w:tr w:rsidR="00A907A5" w:rsidRPr="00271E51" w14:paraId="705E49B6"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5738022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снаряженного макс., кг</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1AB8496C" w14:textId="77777777" w:rsidR="00473181" w:rsidRPr="00271E51" w:rsidRDefault="00473181" w:rsidP="00271E51">
            <w:pPr>
              <w:pStyle w:val="172"/>
              <w:shd w:val="clear" w:color="auto" w:fill="auto"/>
              <w:spacing w:before="0" w:after="0" w:line="240" w:lineRule="auto"/>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AE57C3E"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40DC1F5B" w14:textId="77777777" w:rsidR="00473181" w:rsidRPr="00271E51" w:rsidRDefault="00473181" w:rsidP="00271E51">
            <w:pPr>
              <w:pStyle w:val="172"/>
              <w:shd w:val="clear" w:color="auto" w:fill="auto"/>
              <w:spacing w:before="0" w:after="0" w:line="240" w:lineRule="auto"/>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57ABAED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54932</w:t>
            </w:r>
          </w:p>
        </w:tc>
      </w:tr>
      <w:tr w:rsidR="00A907A5" w:rsidRPr="00271E51" w14:paraId="04360A75" w14:textId="77777777" w:rsidTr="00ED5B0A">
        <w:trPr>
          <w:trHeight w:val="77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6C3EB76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 нормальный максимальный с дополнительными баками</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3D0E3CF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15 300 22 300</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6449349" w14:textId="77777777" w:rsidR="00473181" w:rsidRPr="00271E51" w:rsidRDefault="00473181" w:rsidP="00271E51">
            <w:pPr>
              <w:pStyle w:val="207"/>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6FD33806" w14:textId="77777777" w:rsidR="00473181" w:rsidRPr="00271E51" w:rsidRDefault="00473181" w:rsidP="00271E51">
            <w:pPr>
              <w:pStyle w:val="192"/>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15193C9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35 897 л</w:t>
            </w:r>
            <w:r w:rsidRPr="00271E51">
              <w:rPr>
                <w:rFonts w:ascii="Times New Roman" w:hAnsi="Times New Roman"/>
                <w:color w:val="000000" w:themeColor="text1"/>
                <w:sz w:val="16"/>
                <w:szCs w:val="16"/>
                <w:vertAlign w:val="superscript"/>
              </w:rPr>
              <w:t>8</w:t>
            </w:r>
            <w:r w:rsidRPr="00271E51">
              <w:rPr>
                <w:rFonts w:ascii="Times New Roman" w:hAnsi="Times New Roman"/>
                <w:color w:val="000000" w:themeColor="text1"/>
                <w:sz w:val="16"/>
                <w:szCs w:val="16"/>
              </w:rPr>
              <w:t>' 38 320 л</w:t>
            </w:r>
          </w:p>
        </w:tc>
      </w:tr>
      <w:tr w:rsidR="00A907A5" w:rsidRPr="00271E51" w14:paraId="33DF1399" w14:textId="77777777" w:rsidTr="00ED5B0A">
        <w:trPr>
          <w:trHeight w:val="60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283BD45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Боевая нагрузка, кг: нормальная максимальная</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1A4CE88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9072</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1381CA0E" w14:textId="77777777" w:rsidR="00473181" w:rsidRPr="00271E51" w:rsidRDefault="00473181" w:rsidP="00271E51">
            <w:pPr>
              <w:pStyle w:val="192"/>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75313F58" w14:textId="77777777" w:rsidR="00473181" w:rsidRPr="00271E51" w:rsidRDefault="00473181" w:rsidP="00271E51">
            <w:pPr>
              <w:pStyle w:val="192"/>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7D57FF03"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4536 9072</w:t>
            </w:r>
          </w:p>
        </w:tc>
      </w:tr>
      <w:tr w:rsidR="00A907A5" w:rsidRPr="00271E51" w14:paraId="087E957C" w14:textId="77777777" w:rsidTr="00ED5B0A">
        <w:trPr>
          <w:trHeight w:val="77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0FFF91A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 на высоте, м</w:t>
            </w:r>
          </w:p>
          <w:p w14:paraId="5A83689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E4F65A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603,5/7620 160-192</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6FBB5D9"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611/7620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417C1B2D" w14:textId="77777777" w:rsidR="00473181" w:rsidRPr="00271E51" w:rsidRDefault="00473181" w:rsidP="00271E51">
            <w:pPr>
              <w:pStyle w:val="207"/>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512B62E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495/1525</w:t>
            </w:r>
            <w:r w:rsidRPr="00271E51">
              <w:rPr>
                <w:rFonts w:ascii="Times New Roman" w:hAnsi="Times New Roman"/>
                <w:color w:val="000000" w:themeColor="text1"/>
                <w:sz w:val="16"/>
                <w:szCs w:val="16"/>
                <w:vertAlign w:val="superscript"/>
              </w:rPr>
              <w:t>8</w:t>
            </w:r>
            <w:r w:rsidRPr="00271E51">
              <w:rPr>
                <w:rFonts w:ascii="Times New Roman" w:hAnsi="Times New Roman"/>
                <w:color w:val="000000" w:themeColor="text1"/>
                <w:sz w:val="16"/>
                <w:szCs w:val="16"/>
              </w:rPr>
              <w:t>' 555/6100</w:t>
            </w:r>
            <w:r w:rsidRPr="00271E51">
              <w:rPr>
                <w:rFonts w:ascii="Times New Roman" w:hAnsi="Times New Roman"/>
                <w:color w:val="000000" w:themeColor="text1"/>
                <w:sz w:val="16"/>
                <w:szCs w:val="16"/>
                <w:vertAlign w:val="superscript"/>
              </w:rPr>
              <w:t xml:space="preserve">м </w:t>
            </w:r>
            <w:r w:rsidRPr="00271E51">
              <w:rPr>
                <w:rFonts w:ascii="Times New Roman" w:hAnsi="Times New Roman"/>
                <w:color w:val="000000" w:themeColor="text1"/>
                <w:sz w:val="16"/>
                <w:szCs w:val="16"/>
              </w:rPr>
              <w:t>575/9145"'</w:t>
            </w:r>
          </w:p>
        </w:tc>
      </w:tr>
      <w:tr w:rsidR="00A907A5" w:rsidRPr="00271E51" w14:paraId="7C2643ED"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7B396DC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мин/м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535E3F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38/7620</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5F77E8ED"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162FB6A6"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3F7EBD05"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72/9145</w:t>
            </w:r>
          </w:p>
        </w:tc>
      </w:tr>
      <w:tr w:rsidR="00A907A5" w:rsidRPr="00271E51" w14:paraId="1601A4A6"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6308D681"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у земли, м/с</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519F2FF"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F8BFC33"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28570905"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2E01CC2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w:t>
            </w:r>
          </w:p>
        </w:tc>
      </w:tr>
      <w:tr w:rsidR="00A907A5" w:rsidRPr="00271E51" w14:paraId="03B05121" w14:textId="77777777" w:rsidTr="00ED5B0A">
        <w:trPr>
          <w:trHeight w:val="23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58163BC9"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680072C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9700</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440E1B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10 060</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781FE8A4"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9750</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7B2CE093"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r>
      <w:tr w:rsidR="00A907A5" w:rsidRPr="00271E51" w14:paraId="1F7C167B" w14:textId="77777777" w:rsidTr="00ED5B0A">
        <w:trPr>
          <w:trHeight w:val="77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1E251DD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км:</w:t>
            </w:r>
          </w:p>
          <w:p w14:paraId="10F71D3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нормальная/с грузом бомб, кг</w:t>
            </w:r>
          </w:p>
          <w:p w14:paraId="7329C6A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4B82EB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2575/- 3230»/- 96 56</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8E622F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 6437/-</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3FD72AF4"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2900 67 59</w:t>
            </w:r>
            <w:r w:rsidRPr="00271E51">
              <w:rPr>
                <w:rFonts w:ascii="Times New Roman" w:hAnsi="Times New Roman"/>
                <w:color w:val="000000" w:themeColor="text1"/>
                <w:sz w:val="16"/>
                <w:szCs w:val="16"/>
                <w:vertAlign w:val="superscript"/>
              </w:rPr>
              <w:t>6</w:t>
            </w: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3C979D58"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3380/1360 3138/9072 5150/-</w:t>
            </w:r>
          </w:p>
        </w:tc>
      </w:tr>
      <w:tr w:rsidR="00A907A5" w:rsidRPr="00271E51" w14:paraId="5D55766F" w14:textId="77777777" w:rsidTr="00ED5B0A">
        <w:trPr>
          <w:trHeight w:val="241"/>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76773A88"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Разбег/пробег, м</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570D690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1311/762-914</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3883ABBB"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2E5FEB84"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30DB04D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2 1 80</w:t>
            </w:r>
            <w:r w:rsidRPr="00271E51">
              <w:rPr>
                <w:rFonts w:ascii="Times New Roman" w:hAnsi="Times New Roman"/>
                <w:color w:val="000000" w:themeColor="text1"/>
                <w:sz w:val="16"/>
                <w:szCs w:val="16"/>
                <w:vertAlign w:val="superscript"/>
              </w:rPr>
              <w:t>4</w:t>
            </w:r>
            <w:r w:rsidRPr="00271E51">
              <w:rPr>
                <w:rFonts w:ascii="Times New Roman" w:hAnsi="Times New Roman"/>
                <w:color w:val="000000" w:themeColor="text1"/>
                <w:sz w:val="16"/>
                <w:szCs w:val="16"/>
              </w:rPr>
              <w:t>'/-</w:t>
            </w:r>
          </w:p>
        </w:tc>
      </w:tr>
      <w:tr w:rsidR="00A907A5" w:rsidRPr="00271E51" w14:paraId="2EF45CE8" w14:textId="77777777" w:rsidTr="00ED5B0A">
        <w:trPr>
          <w:trHeight w:val="238"/>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32AD615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407CC284"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0D3F0F5C" w14:textId="77777777" w:rsidR="00473181" w:rsidRPr="00271E51" w:rsidRDefault="00473181" w:rsidP="00271E51">
            <w:pPr>
              <w:pStyle w:val="182"/>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473CE1E3" w14:textId="77777777" w:rsidR="00473181" w:rsidRPr="00271E51" w:rsidRDefault="00473181" w:rsidP="00271E51">
            <w:pPr>
              <w:pStyle w:val="172"/>
              <w:shd w:val="clear" w:color="auto" w:fill="auto"/>
              <w:spacing w:before="0" w:after="0" w:line="240" w:lineRule="auto"/>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05B2946A"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w:t>
            </w:r>
          </w:p>
        </w:tc>
      </w:tr>
      <w:tr w:rsidR="00A907A5" w:rsidRPr="00271E51" w14:paraId="191A06CC" w14:textId="77777777" w:rsidTr="00ED5B0A">
        <w:trPr>
          <w:trHeight w:val="972"/>
        </w:trPr>
        <w:tc>
          <w:tcPr>
            <w:tcW w:w="3035" w:type="dxa"/>
            <w:tcBorders>
              <w:top w:val="single" w:sz="6" w:space="0" w:color="auto"/>
              <w:left w:val="single" w:sz="6" w:space="0" w:color="auto"/>
              <w:bottom w:val="single" w:sz="6" w:space="0" w:color="auto"/>
              <w:right w:val="single" w:sz="6" w:space="0" w:color="auto"/>
            </w:tcBorders>
            <w:shd w:val="clear" w:color="auto" w:fill="FFFFFF"/>
          </w:tcPr>
          <w:p w14:paraId="6F9D052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75DC6177"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х калибр Бомбовая нагрузка, кг: нормальная/макс, перегрузочная</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2294156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10x12,7 мм</w:t>
            </w:r>
          </w:p>
          <w:p w14:paraId="2606F8E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мм 2268"/9072</w:t>
            </w:r>
          </w:p>
        </w:tc>
        <w:tc>
          <w:tcPr>
            <w:tcW w:w="1120" w:type="dxa"/>
            <w:tcBorders>
              <w:top w:val="single" w:sz="6" w:space="0" w:color="auto"/>
              <w:left w:val="single" w:sz="6" w:space="0" w:color="auto"/>
              <w:bottom w:val="single" w:sz="6" w:space="0" w:color="auto"/>
              <w:right w:val="single" w:sz="6" w:space="0" w:color="auto"/>
            </w:tcBorders>
            <w:shd w:val="clear" w:color="auto" w:fill="FFFFFF"/>
          </w:tcPr>
          <w:p w14:paraId="74876485"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12x12,7 мм 22683)/ 9072</w:t>
            </w:r>
          </w:p>
        </w:tc>
        <w:tc>
          <w:tcPr>
            <w:tcW w:w="1116" w:type="dxa"/>
            <w:tcBorders>
              <w:top w:val="single" w:sz="6" w:space="0" w:color="auto"/>
              <w:left w:val="single" w:sz="6" w:space="0" w:color="auto"/>
              <w:bottom w:val="single" w:sz="6" w:space="0" w:color="auto"/>
              <w:right w:val="single" w:sz="6" w:space="0" w:color="auto"/>
            </w:tcBorders>
            <w:shd w:val="clear" w:color="auto" w:fill="FFFFFF"/>
          </w:tcPr>
          <w:p w14:paraId="092841C6"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5x12,7</w:t>
            </w:r>
          </w:p>
          <w:p w14:paraId="686FFB5B"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-/9072 10 342</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14:paraId="2B0AB544"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12x12,7 мм</w:t>
            </w:r>
          </w:p>
          <w:p w14:paraId="54D8B80F"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мм 1814/ 9072</w:t>
            </w:r>
            <w:r w:rsidRPr="00271E51">
              <w:rPr>
                <w:rFonts w:ascii="Times New Roman" w:hAnsi="Times New Roman"/>
                <w:color w:val="000000" w:themeColor="text1"/>
                <w:sz w:val="16"/>
                <w:szCs w:val="16"/>
                <w:vertAlign w:val="superscript"/>
              </w:rPr>
              <w:t>ю</w:t>
            </w:r>
          </w:p>
        </w:tc>
      </w:tr>
    </w:tbl>
    <w:p w14:paraId="16837071" w14:textId="77777777" w:rsidR="00473181" w:rsidRPr="00271E51" w:rsidRDefault="00473181" w:rsidP="00271E51">
      <w:pPr>
        <w:pStyle w:val="aff1"/>
        <w:shd w:val="clear" w:color="auto" w:fill="auto"/>
        <w:spacing w:line="240" w:lineRule="auto"/>
        <w:rPr>
          <w:rFonts w:ascii="Times New Roman" w:hAnsi="Times New Roman" w:cs="Times New Roman"/>
          <w:i w:val="0"/>
          <w:color w:val="000000" w:themeColor="text1"/>
          <w:sz w:val="16"/>
          <w:szCs w:val="16"/>
          <w:lang w:val="ru-RU"/>
        </w:rPr>
      </w:pPr>
      <w:r w:rsidRPr="00271E51">
        <w:rPr>
          <w:rFonts w:ascii="Times New Roman" w:hAnsi="Times New Roman" w:cs="Times New Roman"/>
          <w:i w:val="0"/>
          <w:color w:val="000000" w:themeColor="text1"/>
          <w:sz w:val="16"/>
          <w:szCs w:val="16"/>
          <w:lang w:val="ru-RU"/>
        </w:rPr>
        <w:t xml:space="preserve">Примечание: </w:t>
      </w:r>
      <w:r w:rsidRPr="00271E51">
        <w:rPr>
          <w:rFonts w:ascii="Times New Roman" w:hAnsi="Times New Roman" w:cs="Times New Roman"/>
          <w:i w:val="0"/>
          <w:color w:val="000000" w:themeColor="text1"/>
          <w:sz w:val="16"/>
          <w:szCs w:val="16"/>
        </w:rPr>
        <w:t>I</w:t>
      </w:r>
      <w:r w:rsidRPr="00271E51">
        <w:rPr>
          <w:rFonts w:ascii="Times New Roman" w:hAnsi="Times New Roman" w:cs="Times New Roman"/>
          <w:i w:val="0"/>
          <w:color w:val="000000" w:themeColor="text1"/>
          <w:sz w:val="16"/>
          <w:szCs w:val="16"/>
          <w:lang w:val="ru-RU"/>
        </w:rPr>
        <w:t xml:space="preserve"> — ни высоте 7620метров с 2268 кг бомб; </w:t>
      </w:r>
      <w:r w:rsidRPr="00271E51">
        <w:rPr>
          <w:rStyle w:val="1pt1"/>
          <w:rFonts w:cs="Times New Roman"/>
          <w:i w:val="0"/>
          <w:color w:val="000000" w:themeColor="text1"/>
          <w:spacing w:val="0"/>
          <w:sz w:val="16"/>
          <w:szCs w:val="16"/>
          <w:lang w:val="ru-RU"/>
        </w:rPr>
        <w:t>2-е</w:t>
      </w:r>
      <w:r w:rsidRPr="00271E51">
        <w:rPr>
          <w:rFonts w:ascii="Times New Roman" w:hAnsi="Times New Roman" w:cs="Times New Roman"/>
          <w:i w:val="0"/>
          <w:color w:val="000000" w:themeColor="text1"/>
          <w:sz w:val="16"/>
          <w:szCs w:val="16"/>
          <w:lang w:val="ru-RU"/>
        </w:rPr>
        <w:t xml:space="preserve"> дополнительными баками в бомбоотсеках: 3 — на дальность 2575 к.м на большой высоте. 5443 кг на это же расстояние на средней высоте: 4 — по техническим условиям заказчика; 5 — по тех</w:t>
      </w:r>
      <w:r w:rsidRPr="00271E51">
        <w:rPr>
          <w:rFonts w:ascii="Times New Roman" w:hAnsi="Times New Roman" w:cs="Times New Roman"/>
          <w:i w:val="0"/>
          <w:color w:val="000000" w:themeColor="text1"/>
          <w:sz w:val="16"/>
          <w:szCs w:val="16"/>
          <w:lang w:val="ru-RU"/>
        </w:rPr>
        <w:softHyphen/>
        <w:t>ническим условиям заказчика — 31 885,5 кг; 6 — на высоте 3050метров с 8164 кг бомб; 7 - типовая спецификация на самоле</w:t>
      </w:r>
      <w:r w:rsidRPr="00271E51">
        <w:rPr>
          <w:rFonts w:ascii="Times New Roman" w:hAnsi="Times New Roman" w:cs="Times New Roman"/>
          <w:i w:val="0"/>
          <w:color w:val="000000" w:themeColor="text1"/>
          <w:sz w:val="16"/>
          <w:szCs w:val="16"/>
          <w:lang w:val="ru-RU"/>
        </w:rPr>
        <w:softHyphen/>
        <w:t xml:space="preserve">ты с двигателями-Райт» К-3350-29, -23А, -41 и от -57до -59 (А1г </w:t>
      </w:r>
      <w:r w:rsidRPr="00271E51">
        <w:rPr>
          <w:rFonts w:ascii="Times New Roman" w:hAnsi="Times New Roman" w:cs="Times New Roman"/>
          <w:i w:val="0"/>
          <w:color w:val="000000" w:themeColor="text1"/>
          <w:sz w:val="16"/>
          <w:szCs w:val="16"/>
        </w:rPr>
        <w:t>I</w:t>
      </w:r>
      <w:r w:rsidRPr="00271E51">
        <w:rPr>
          <w:rFonts w:ascii="Times New Roman" w:hAnsi="Times New Roman" w:cs="Times New Roman"/>
          <w:i w:val="0"/>
          <w:color w:val="000000" w:themeColor="text1"/>
          <w:sz w:val="16"/>
          <w:szCs w:val="16"/>
          <w:lang w:val="ru-RU"/>
        </w:rPr>
        <w:t>шегпаПопа</w:t>
      </w:r>
      <w:r w:rsidRPr="00271E51">
        <w:rPr>
          <w:rFonts w:ascii="Times New Roman" w:hAnsi="Times New Roman" w:cs="Times New Roman"/>
          <w:i w:val="0"/>
          <w:color w:val="000000" w:themeColor="text1"/>
          <w:sz w:val="16"/>
          <w:szCs w:val="16"/>
        </w:rPr>
        <w:t>I</w:t>
      </w:r>
      <w:r w:rsidRPr="00271E51">
        <w:rPr>
          <w:rFonts w:ascii="Times New Roman" w:hAnsi="Times New Roman" w:cs="Times New Roman"/>
          <w:i w:val="0"/>
          <w:color w:val="000000" w:themeColor="text1"/>
          <w:sz w:val="16"/>
          <w:szCs w:val="16"/>
          <w:lang w:val="ru-RU"/>
        </w:rPr>
        <w:t>. аи^и.чг 1989); 8 - максимальный запас. Крей</w:t>
      </w:r>
      <w:r w:rsidRPr="00271E51">
        <w:rPr>
          <w:rFonts w:ascii="Times New Roman" w:hAnsi="Times New Roman" w:cs="Times New Roman"/>
          <w:i w:val="0"/>
          <w:color w:val="000000" w:themeColor="text1"/>
          <w:sz w:val="16"/>
          <w:szCs w:val="16"/>
          <w:lang w:val="ru-RU"/>
        </w:rPr>
        <w:softHyphen/>
        <w:t>серская максамаьная соответственно — 463, 529, 550 км/ч; Крейсерская максимальная - 550 км/ч; 9 — взлетная дистанция до высоты 15 метров.</w:t>
      </w:r>
    </w:p>
    <w:p w14:paraId="4B7D589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2BCAC3E"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 сентябре 1943 года моторостроительная компания «Пратт-Уитни» предложила заме</w:t>
      </w:r>
      <w:r w:rsidRPr="00271E51">
        <w:rPr>
          <w:color w:val="000000" w:themeColor="text1"/>
          <w:sz w:val="16"/>
          <w:szCs w:val="16"/>
        </w:rPr>
        <w:softHyphen/>
        <w:t>нить штатные двигатели К-3350 3000-сильными К-4660-33 «Уосп-Мейджер». В ию</w:t>
      </w:r>
      <w:r w:rsidRPr="00271E51">
        <w:rPr>
          <w:color w:val="000000" w:themeColor="text1"/>
          <w:sz w:val="16"/>
          <w:szCs w:val="16"/>
        </w:rPr>
        <w:softHyphen/>
        <w:t>ле следующего года был подписан контракт на переделку под эти моторы В-29А-5-ВN (42-93845), построенного в Рентоне. Новая машина получила обозначение ХВ-44. Во</w:t>
      </w:r>
      <w:r w:rsidRPr="00271E51">
        <w:rPr>
          <w:color w:val="000000" w:themeColor="text1"/>
          <w:sz w:val="16"/>
          <w:szCs w:val="16"/>
        </w:rPr>
        <w:softHyphen/>
        <w:t>оружение ХВ-44 состояло лишь из двух пу</w:t>
      </w:r>
      <w:r w:rsidRPr="00271E51">
        <w:rPr>
          <w:color w:val="000000" w:themeColor="text1"/>
          <w:sz w:val="16"/>
          <w:szCs w:val="16"/>
        </w:rPr>
        <w:softHyphen/>
        <w:t>леметов в кормовой установке. Испытания проводились при взлетном весе 47 628 кг (вес пустого - 34 036 кг, максимальный за</w:t>
      </w:r>
      <w:r w:rsidRPr="00271E51">
        <w:rPr>
          <w:color w:val="000000" w:themeColor="text1"/>
          <w:sz w:val="16"/>
          <w:szCs w:val="16"/>
        </w:rPr>
        <w:softHyphen/>
        <w:t>пас топлива - 35 204 литров). На испыта</w:t>
      </w:r>
      <w:r w:rsidRPr="00271E51">
        <w:rPr>
          <w:color w:val="000000" w:themeColor="text1"/>
          <w:sz w:val="16"/>
          <w:szCs w:val="16"/>
        </w:rPr>
        <w:softHyphen/>
        <w:t>ниях ХВ-44 развил максимальную скорость 631 км/ч. При полете со скоростью 454 км/ч радиус действия составил 3862 км. Практи</w:t>
      </w:r>
      <w:r w:rsidRPr="00271E51">
        <w:rPr>
          <w:color w:val="000000" w:themeColor="text1"/>
          <w:sz w:val="16"/>
          <w:szCs w:val="16"/>
        </w:rPr>
        <w:softHyphen/>
        <w:t>ческий потолок — 10 838 метров. Время на</w:t>
      </w:r>
      <w:r w:rsidRPr="00271E51">
        <w:rPr>
          <w:color w:val="000000" w:themeColor="text1"/>
          <w:sz w:val="16"/>
          <w:szCs w:val="16"/>
        </w:rPr>
        <w:softHyphen/>
        <w:t>бора высоты 9144 метра — 35 минут (12292).</w:t>
      </w:r>
    </w:p>
    <w:p w14:paraId="3B28850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C83B0AA"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r w:rsidRPr="00271E51">
        <w:rPr>
          <w:color w:val="000000" w:themeColor="text1"/>
          <w:sz w:val="16"/>
          <w:szCs w:val="16"/>
        </w:rPr>
        <w:t>В сентябре 1941 года для выполнения заказа на 250 Б=29 компании «Боинг» сдали в арен</w:t>
      </w:r>
      <w:r w:rsidRPr="00271E51">
        <w:rPr>
          <w:color w:val="000000" w:themeColor="text1"/>
          <w:sz w:val="16"/>
          <w:szCs w:val="16"/>
        </w:rPr>
        <w:softHyphen/>
        <w:t>ду государственное предприятие в Умчи</w:t>
      </w:r>
      <w:r w:rsidRPr="00271E51">
        <w:rPr>
          <w:color w:val="000000" w:themeColor="text1"/>
          <w:sz w:val="16"/>
          <w:szCs w:val="16"/>
        </w:rPr>
        <w:softHyphen/>
        <w:t>те в штате Канзас. Сообщение о нападении Японии 7 декабря 1941 года на Перл-Харбор застало предприятие на ста</w:t>
      </w:r>
      <w:r w:rsidRPr="00271E51">
        <w:rPr>
          <w:color w:val="000000" w:themeColor="text1"/>
          <w:sz w:val="16"/>
          <w:szCs w:val="16"/>
        </w:rPr>
        <w:softHyphen/>
        <w:t>дии подготовки серийного производства.Тем не менее военные, уверенные в успехе новой машины, в начале следующего года увеличили заказ вдвое, а в марте и вовсе — до 1000 бомбардировщиков. Похоже, что военные были уверены в возможности фир</w:t>
      </w:r>
      <w:r w:rsidRPr="00271E51">
        <w:rPr>
          <w:color w:val="000000" w:themeColor="text1"/>
          <w:sz w:val="16"/>
          <w:szCs w:val="16"/>
        </w:rPr>
        <w:softHyphen/>
        <w:t>мы и полностью доверяли ее руководству, ведь бомбардировщики должны были войти в строй в конце 1943 года (12292).</w:t>
      </w:r>
    </w:p>
    <w:p w14:paraId="031D24CE" w14:textId="77777777" w:rsidR="00473181" w:rsidRPr="00271E51" w:rsidRDefault="00473181" w:rsidP="00271E51">
      <w:pPr>
        <w:pStyle w:val="95"/>
        <w:shd w:val="clear" w:color="auto" w:fill="auto"/>
        <w:spacing w:after="0" w:line="240" w:lineRule="auto"/>
        <w:ind w:firstLine="0"/>
        <w:jc w:val="both"/>
        <w:rPr>
          <w:color w:val="000000" w:themeColor="text1"/>
          <w:sz w:val="16"/>
          <w:szCs w:val="16"/>
        </w:rPr>
      </w:pPr>
    </w:p>
    <w:p w14:paraId="1019AB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Williams и Stiblitz закончили ЭВМ Relay Interpretator, затем названную Model II Relay Calculator (2952).</w:t>
      </w:r>
    </w:p>
    <w:p w14:paraId="43D193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026BF" w14:textId="77777777" w:rsidR="0015200D" w:rsidRPr="00271E51" w:rsidRDefault="0015200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сентябре 1943 капитан-лейтенант береговой охраны США Фрэнк А. Эриксон завершает подготовку в качестве первого пилота вертолета береговой охраны и становится пилотом вертолета №1 береговой охраны. Он также становится первым инструктором по вертолету береговой охраны (20376).</w:t>
      </w:r>
    </w:p>
    <w:p w14:paraId="763B214F" w14:textId="77777777" w:rsidR="0015200D" w:rsidRPr="00271E51" w:rsidRDefault="0015200D" w:rsidP="00271E51">
      <w:pPr>
        <w:spacing w:after="0" w:line="240" w:lineRule="auto"/>
        <w:jc w:val="both"/>
        <w:rPr>
          <w:rFonts w:ascii="Times New Roman" w:hAnsi="Times New Roman"/>
          <w:color w:val="0070C0"/>
          <w:sz w:val="16"/>
          <w:szCs w:val="16"/>
        </w:rPr>
      </w:pPr>
    </w:p>
    <w:p w14:paraId="5A25694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843C1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97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сентябре-октябре 1943 в ЛИИ проходил испытания модифицированный Як-1 N 23-148 с М-105ПФ. Летал М.Л.Галлай (65,61).</w:t>
      </w:r>
    </w:p>
    <w:p w14:paraId="254BA0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A96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сентябре-октябре 1943 года ЦИАМ передал в строевые части ПВО семь двигателей М-105ПД, запланированных на осень, включая два резервных, необходимых для постоянной эксплуатации самолетов Як-9.</w:t>
      </w:r>
    </w:p>
    <w:p w14:paraId="5129AD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выпуска истребителя с еще большей площадью крыла и потолком 13 500 м ЦИАМ обязали к 4 октября изготовить и передать на завод № 115 два мотора с высотностью 9500 м. Однако довести двигатель не удалось, и ОКБ-115 вынуждено было приостановить работы по новому крылу.</w:t>
      </w:r>
    </w:p>
    <w:p w14:paraId="46DF56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году испытывался Як-9 с высотным двигателем ВК-105ПВ, оснащенным нагнетателем ЦИАМ Э100.</w:t>
      </w:r>
    </w:p>
    <w:p w14:paraId="0102B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все усилия, самолетостроители так и не смогли решить задачу создания высотного истребителя-перехватчика, причиной тому был низкий технологический уровень отечественного моторостроения и смежных отраслей промышленности (12046).</w:t>
      </w:r>
    </w:p>
    <w:p w14:paraId="6091AA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39C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сентябре-октябре 1943 года разведчик Як-9Р прошел контрольные испытания в НИИ ВВС (ведущие инженер Г.А. Седов и летчик А.Г. Прошаков). В июне 1943 года на заводе № 166 был изготовлен первый разведчик Як-9Р и перевезен для окончательной сборки на опытный завод № 115, где его укомплектовали </w:t>
      </w:r>
      <w:r w:rsidRPr="00271E51">
        <w:rPr>
          <w:rFonts w:ascii="Times New Roman" w:hAnsi="Times New Roman"/>
          <w:color w:val="000000" w:themeColor="text1"/>
          <w:sz w:val="16"/>
          <w:szCs w:val="16"/>
        </w:rPr>
        <w:lastRenderedPageBreak/>
        <w:t>аэрофотоаппаратом АФА-ИМ. Як-9Р строился в небольших количествах, и его можно было встретить не только разведывательных, но и в истребительных авиаполках (12046).</w:t>
      </w:r>
    </w:p>
    <w:p w14:paraId="0A0563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BBF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 — январе 1945 г. проходили летные испытания М-105РА на Пе-2. М-105РА, аналог типа ПА с дру</w:t>
      </w:r>
      <w:r w:rsidRPr="00271E51">
        <w:rPr>
          <w:rFonts w:ascii="Times New Roman" w:hAnsi="Times New Roman"/>
          <w:color w:val="000000" w:themeColor="text1"/>
          <w:sz w:val="16"/>
          <w:szCs w:val="16"/>
        </w:rPr>
        <w:softHyphen/>
        <w:t>гим редуктором (от М-105Р). Мощ</w:t>
      </w:r>
      <w:r w:rsidRPr="00271E51">
        <w:rPr>
          <w:rFonts w:ascii="Times New Roman" w:hAnsi="Times New Roman"/>
          <w:color w:val="000000" w:themeColor="text1"/>
          <w:sz w:val="16"/>
          <w:szCs w:val="16"/>
        </w:rPr>
        <w:softHyphen/>
        <w:t>ность 1050/1100 л.с., вес 580 кг: С июля 1941 г. М-105РА устанав</w:t>
      </w:r>
      <w:r w:rsidRPr="00271E51">
        <w:rPr>
          <w:rFonts w:ascii="Times New Roman" w:hAnsi="Times New Roman"/>
          <w:color w:val="000000" w:themeColor="text1"/>
          <w:sz w:val="16"/>
          <w:szCs w:val="16"/>
        </w:rPr>
        <w:softHyphen/>
        <w:t>ливались на серийных бомбарди</w:t>
      </w:r>
      <w:r w:rsidRPr="00271E51">
        <w:rPr>
          <w:rFonts w:ascii="Times New Roman" w:hAnsi="Times New Roman"/>
          <w:color w:val="000000" w:themeColor="text1"/>
          <w:sz w:val="16"/>
          <w:szCs w:val="16"/>
        </w:rPr>
        <w:softHyphen/>
        <w:t>ровщиках Пе-2. Существовал ва</w:t>
      </w:r>
      <w:r w:rsidRPr="00271E51">
        <w:rPr>
          <w:rFonts w:ascii="Times New Roman" w:hAnsi="Times New Roman"/>
          <w:color w:val="000000" w:themeColor="text1"/>
          <w:sz w:val="16"/>
          <w:szCs w:val="16"/>
        </w:rPr>
        <w:softHyphen/>
        <w:t>риант М-105РА с коробкой отбо</w:t>
      </w:r>
      <w:r w:rsidRPr="00271E51">
        <w:rPr>
          <w:rFonts w:ascii="Times New Roman" w:hAnsi="Times New Roman"/>
          <w:color w:val="000000" w:themeColor="text1"/>
          <w:sz w:val="16"/>
          <w:szCs w:val="16"/>
        </w:rPr>
        <w:softHyphen/>
        <w:t>ра мощности для привода насоса ЖРД РУ-1. Опытные образцы его были изготовлены на заводе № 16 (11852).</w:t>
      </w:r>
    </w:p>
    <w:p w14:paraId="3C9C09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CB433"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сентябре - октябре 1943 г. ЦИАМ пе</w:t>
      </w:r>
      <w:r w:rsidRPr="00271E51">
        <w:rPr>
          <w:rFonts w:ascii="Times New Roman" w:cs="Times New Roman"/>
          <w:color w:val="000000" w:themeColor="text1"/>
          <w:spacing w:val="0"/>
        </w:rPr>
        <w:softHyphen/>
        <w:t>редал в строевые части семь моторов М-105ПД, необходимых для дальнейшей эксплуатации Як-9ПД.</w:t>
      </w:r>
    </w:p>
    <w:p w14:paraId="5309EDC1" w14:textId="77777777" w:rsidR="00771B3B" w:rsidRPr="00271E51" w:rsidRDefault="00771B3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истребителя с ещё большей площа</w:t>
      </w:r>
      <w:r w:rsidRPr="00271E51">
        <w:rPr>
          <w:rFonts w:ascii="Times New Roman" w:cs="Times New Roman"/>
          <w:color w:val="000000" w:themeColor="text1"/>
          <w:spacing w:val="0"/>
        </w:rPr>
        <w:softHyphen/>
        <w:t>дью крыла и расчётным потолком 13 500 м ЦИАМ обязали к 4 октября изготовить и пере</w:t>
      </w:r>
      <w:r w:rsidRPr="00271E51">
        <w:rPr>
          <w:rFonts w:ascii="Times New Roman" w:cs="Times New Roman"/>
          <w:color w:val="000000" w:themeColor="text1"/>
          <w:spacing w:val="0"/>
        </w:rPr>
        <w:softHyphen/>
        <w:t>дать на завод №115 два мотора с номиналь</w:t>
      </w:r>
      <w:r w:rsidRPr="00271E51">
        <w:rPr>
          <w:rFonts w:ascii="Times New Roman" w:cs="Times New Roman"/>
          <w:color w:val="000000" w:themeColor="text1"/>
          <w:spacing w:val="0"/>
        </w:rPr>
        <w:softHyphen/>
        <w:t>ной высотой 9500 м. Однако довести этот вариант двигателя не удалось, и ОКБ-115 вынужденно приостановило работы (19103).</w:t>
      </w:r>
    </w:p>
    <w:p w14:paraId="3EF2EE2A"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08A78E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сентябре-ноябре 1943 КБ А.Н.Т. полностью приехало и разместилось в Москве на ул. Радио, хотя приказ о создании филиала на заводе 156 вышел 14-19 апреля 1943 (1835,25).</w:t>
      </w:r>
    </w:p>
    <w:p w14:paraId="1F01B6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9CF8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65B47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E9A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 ноябре 1943 г. на заводе пушка ЗИС-4 была установлена в опытный образец танка Т-34 с 1600 мм погоном, В период с 20 по 23 ноября 1943 г. танк успешно прошел полигонные испытания (10703).</w:t>
      </w:r>
    </w:p>
    <w:p w14:paraId="04E96D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17E2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 ноябре 1943 г. на заводе № 183 пушка Д-5Т-85 была установ</w:t>
      </w:r>
      <w:r w:rsidRPr="00271E51">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516514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D36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 ноябре 1943 г. был изготовлен Опытный образец Самоходной установки СУ-85А (СУ-15А), которая была разработана в КБ Горьковского автозавода под руководством Н.А. Астрова. Ведущим инженером машины был И.В. Гавалов. В 1944 г. прошел испытания на НИБТ полигоне, которые потребовали доработки машины. Самоходная установка на вооружение не принималась и в серийном производстве не состояла (10703).</w:t>
      </w:r>
    </w:p>
    <w:p w14:paraId="1A79ED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8C24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сентябре-ноябре 1943 на заводе № 183 пушка Д-5Т-85 была установлена в опытный танк Т-34 с погоном в 1600 мм (10703).</w:t>
      </w:r>
    </w:p>
    <w:p w14:paraId="654EC3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B8D1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 ноябре 1943 г. был изготовлен опытный образец танка Т-34-85 с пушкой Д-5Т-85, который был разработан в КБ-520 завода № 183 с целью повышения огневой мощи. Проработка установки танко</w:t>
      </w:r>
      <w:r w:rsidRPr="00271E51">
        <w:rPr>
          <w:rFonts w:ascii="Times New Roman" w:hAnsi="Times New Roman"/>
          <w:color w:val="000000" w:themeColor="text1"/>
          <w:sz w:val="16"/>
          <w:szCs w:val="16"/>
        </w:rPr>
        <w:softHyphen/>
        <w:t>вой пушки Д-5Т-85 в средний танк Т-34 была проведена конструктора</w:t>
      </w:r>
      <w:r w:rsidRPr="00271E51">
        <w:rPr>
          <w:rFonts w:ascii="Times New Roman" w:hAnsi="Times New Roman"/>
          <w:color w:val="000000" w:themeColor="text1"/>
          <w:sz w:val="16"/>
          <w:szCs w:val="16"/>
        </w:rPr>
        <w:softHyphen/>
        <w:t>ми М.А. Набутовским, У.Е. Хлопенко, Г.П. Фоменко, А.Д. Мотричем, В.И. Моисеенко, В.О. Дроботенко и Б.М. Шевченко. В период с 20 по 23 ноября 1943 г. этот танк прошел испытания на Гороховецком АНИОПе. В ходе проведения испытаний был выявлен ряд недостатков в оборудо</w:t>
      </w:r>
      <w:r w:rsidRPr="00271E51">
        <w:rPr>
          <w:rFonts w:ascii="Times New Roman" w:hAnsi="Times New Roman"/>
          <w:color w:val="000000" w:themeColor="text1"/>
          <w:sz w:val="16"/>
          <w:szCs w:val="16"/>
        </w:rPr>
        <w:softHyphen/>
        <w:t>вании боевого отделения машины, плохая экстракция стреляных гильз, а также необходимость переноса указателя отката пушки с правой сто</w:t>
      </w:r>
      <w:r w:rsidRPr="00271E51">
        <w:rPr>
          <w:rFonts w:ascii="Times New Roman" w:hAnsi="Times New Roman"/>
          <w:color w:val="000000" w:themeColor="text1"/>
          <w:sz w:val="16"/>
          <w:szCs w:val="16"/>
        </w:rPr>
        <w:softHyphen/>
        <w:t>роны люльки на левую. Во время испытаний было произведено 246 вы</w:t>
      </w:r>
      <w:r w:rsidRPr="00271E51">
        <w:rPr>
          <w:rFonts w:ascii="Times New Roman" w:hAnsi="Times New Roman"/>
          <w:color w:val="000000" w:themeColor="text1"/>
          <w:sz w:val="16"/>
          <w:szCs w:val="16"/>
        </w:rPr>
        <w:softHyphen/>
        <w:t>стрелов, из них 105 усиленным зарядом. Машина стала прототипом тан</w:t>
      </w:r>
      <w:r w:rsidRPr="00271E51">
        <w:rPr>
          <w:rFonts w:ascii="Times New Roman" w:hAnsi="Times New Roman"/>
          <w:color w:val="000000" w:themeColor="text1"/>
          <w:sz w:val="16"/>
          <w:szCs w:val="16"/>
        </w:rPr>
        <w:softHyphen/>
        <w:t>ка, который после устранения всех, отмеченных комиссией по испыта ниям, недостатков в декабре того же года был принят на вооружение РККА под маркой Т-34-85 обр. 1943 г. (10703).</w:t>
      </w:r>
    </w:p>
    <w:p w14:paraId="624BF3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A4B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сентября 1943 года до февраля 1944 года с перерывами были проведены Заводские испытания 82-мм легкое пехотное орудие СКБ-34 было спроектировано в СКБ-НКВ (3861).</w:t>
      </w:r>
    </w:p>
    <w:p w14:paraId="69C6D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132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сентябре-октябре 1943 г. начато восстановление производства Харьковского завод текстильных машин им. Т. Г. Шевченко (Завод № 285, п/я 409, Завод им. Т. Г. Шевченко НКМ, СНХ, Харьковский завод текстильных машин им. Т. Г. Шевченко, Завод текстильного машиностроения им. Т. Г. Шевченко ММиП, Харьковский приборный завод (ХПЗ) им. Т. Г. Шевченко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ГП «ХПЗ им. Т. Г. Шевченко» /Украина  г. Харьков ул. Шевченко, 1 «Завод им. Т. Г. Шевченко» (1948 г.)/ /Украина 61004  г. Харьков ул. Октябрьской революции, 99/). В 1944 г. восстановлен как завод № 285. Имел наименование- «п/я 409». В 1947 г. Харьковский завод текстильного машиностроения им. Шевченко - в ведении ММиП.</w:t>
      </w:r>
    </w:p>
    <w:p w14:paraId="6ACBE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завода (1947 г.) цехи: основные: ватерных колец, механосборочный, литейный; вспомогательные: инструментальный, ремонтный.</w:t>
      </w:r>
    </w:p>
    <w:p w14:paraId="2C0B88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войны возобновлен выпуск текстильных машин и запчастей. Затем завод перепрофилирован на производство радиоаппаратуры. Выпускал аппаратуру слепой посадки для самолетов, аппаратуру КП, диспетчерских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специальную для РКТ. С 1957 г.- производство аппаратуры управления для БР Р-7, ИСЗ, с 1960 г. - аппаратуры автономного управления Р-12, УР-100, затем Р-16. В 1970-е  г. - цифровая аппаратура для ракетных комплексов Челомея.</w:t>
      </w:r>
    </w:p>
    <w:p w14:paraId="518089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1954 г. - освоение бытовой радиоааппаратуры.</w:t>
      </w:r>
    </w:p>
    <w:p w14:paraId="4B285F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285) им. Т. Г. Шевченко передан из системы СНХ в подчинение 5ГУ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и по приказу от 6.03.1966 г. переименован в Харьковский приборный завод им. Т. Г. Шевченко. В 1975 г. на базе завода создано ПО «Монолит».</w:t>
      </w:r>
    </w:p>
    <w:p w14:paraId="66F0F7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  г. построен новый цех по производству микросхем и печатных плат.</w:t>
      </w:r>
    </w:p>
    <w:p w14:paraId="4551A9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1980-е  г. - производство информационно-вычислительного комплекса для КА «Альтаир», аппаратуры комплекса предстартовой подготовки и пуска РН «Энергия». С 1992 г. освоен выпуск электронных приборов для бронетехники.</w:t>
      </w:r>
    </w:p>
    <w:p w14:paraId="68DDB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(1939 г.)-1148 ед., (1946 г.)- 221 ед., (1947 г.)- 282 ед.</w:t>
      </w:r>
    </w:p>
    <w:p w14:paraId="1C1DAA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территории (1947 г.)- 13,3 га; застройки (1947 г.)- 27889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производственная (1939 г.)- 14594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(1946 г.)- 435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(1947 г.)- 7297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3913E4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(1939 г.)- 2875 чел., (1946 г.)- 416 чел., (1947 г.)- 378 чел.</w:t>
      </w:r>
    </w:p>
    <w:p w14:paraId="4B373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(1948 г.)- Макрущенко, (1957 г.)- С.И. Оврах, (1960 г.-)- В.П. Лысов, (1972-75 г.)- О.Д. Бакланов.</w:t>
      </w:r>
    </w:p>
    <w:p w14:paraId="1FC76F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(1948 г.)- Молокошер, (1958 г.)- ГЛ. Винников, (1963 г.-)- О.Д. Бакланов.</w:t>
      </w:r>
    </w:p>
    <w:p w14:paraId="410236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(1962 г.-)- О.Д. Бакланов.</w:t>
      </w:r>
    </w:p>
    <w:p w14:paraId="0D00C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ватеры прядильные; печное литье (1947); маркер МРП-56П; командно-траекторная радиолиния: «Астра» (1960-е), «Графит», ее наземная часть «Ветер-ЗН» (1970-е); аппаратура «Рефрактометр» для навигационной системы ГЛОНАСС (1970-); бортовая телеметрическая аппаратура «Сириус» для РН; БЦВМ «Салют-ЗМ» для орбитальной станции «Мир» (1970-е);</w:t>
      </w:r>
      <w:r w:rsidRPr="00271E51">
        <w:rPr>
          <w:rFonts w:ascii="Times New Roman" w:hAnsi="Times New Roman"/>
          <w:color w:val="000000" w:themeColor="text1"/>
          <w:sz w:val="16"/>
          <w:szCs w:val="16"/>
          <w:vertAlign w:val="superscript"/>
        </w:rPr>
        <w:t>77</w:t>
      </w:r>
      <w:r w:rsidRPr="00271E51">
        <w:rPr>
          <w:rFonts w:ascii="Times New Roman" w:hAnsi="Times New Roman"/>
          <w:iCs/>
          <w:color w:val="000000" w:themeColor="text1"/>
          <w:sz w:val="16"/>
          <w:szCs w:val="16"/>
        </w:rPr>
        <w:t xml:space="preserve"> радиоприемники:</w:t>
      </w:r>
      <w:r w:rsidRPr="00271E51">
        <w:rPr>
          <w:rFonts w:ascii="Times New Roman" w:hAnsi="Times New Roman"/>
          <w:color w:val="000000" w:themeColor="text1"/>
          <w:sz w:val="16"/>
          <w:szCs w:val="16"/>
        </w:rPr>
        <w:t xml:space="preserve"> «Балтика» (1954-), «Романтика РП- 320, РП-230»; радиола «Харьков» (1954-); магниторадиолы: «Харьков-61, -63», «Романтика», «Романтика-М, - 103, -104С, 105, -106, -108С, -109С, -116С»; магнитофоны: «Романтика-220С, -221С, -6601, МП-220С, МП-221С, МДП-225С»; магнитола «Романтика РМ-232СА»; магнитоэлектрофон «Романтика-115С»; музыкальные центры: «Романтика-201 С, -112С, -120С, -001С, -002С»; усилители: «Романтика 15У-202С, 15У-120С, 50У-220С»; тюнер «Романтика Т-120С»; электрофон «Романтика-301С»; репродуктор «Романтика».</w:t>
      </w:r>
    </w:p>
    <w:p w14:paraId="71A8CF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Харьковское КБЭ</w:t>
      </w:r>
    </w:p>
    <w:p w14:paraId="742E45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Освоение производства аппаратуры боковой радиокоррекции (1950-е). Было в 1966 г.</w:t>
      </w:r>
    </w:p>
    <w:p w14:paraId="2E20FF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(1957 г.)- К.К. Зыков,  Г.А. Барановский, (1959 г.)- Б.Н. Бальзамов, (-1960 г.)- Б.М. Коноплев, (1960 г.-)- В. Г. Сергеев.</w:t>
      </w:r>
    </w:p>
    <w:p w14:paraId="42F6D3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аппаратура «Рефрактометр» для навигационной системы ГЛОНАСС (1970).</w:t>
      </w:r>
    </w:p>
    <w:p w14:paraId="121135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«Монолит»</w:t>
      </w:r>
    </w:p>
    <w:p w14:paraId="393D5D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в 1975 г. на базе Харьковского приборного завода. В него также вошли ОКБ, завод «Электроприбор» ( г. Приволжье), СМУ-31.</w:t>
      </w:r>
    </w:p>
    <w:p w14:paraId="022638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(1975-76 г.)- О.Д. Бакланов (11982).</w:t>
      </w:r>
    </w:p>
    <w:p w14:paraId="0F45C2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182C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072D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1E7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События сентября-ок</w:t>
      </w:r>
      <w:r w:rsidRPr="00271E51">
        <w:rPr>
          <w:rFonts w:ascii="Times New Roman" w:hAnsi="Times New Roman"/>
          <w:color w:val="000000" w:themeColor="text1"/>
          <w:sz w:val="16"/>
          <w:szCs w:val="16"/>
        </w:rPr>
        <w:softHyphen/>
        <w:t>тября 1943-го выявили серьезный просчет советского командования в организации и планировании боевых действий штур</w:t>
      </w:r>
      <w:r w:rsidRPr="00271E51">
        <w:rPr>
          <w:rFonts w:ascii="Times New Roman" w:hAnsi="Times New Roman"/>
          <w:color w:val="000000" w:themeColor="text1"/>
          <w:sz w:val="16"/>
          <w:szCs w:val="16"/>
        </w:rPr>
        <w:softHyphen/>
        <w:t>мовой авиации флота, собственно, как и всех ВВС ЧФ. В период проведения новороссийско-таманской операции Ил-2 были задействованы главным образом по наземным целям, обеспечивая огнем продвижение войск 18-й и 56-й армий, тогда как действия штурмовиков по плавсредствам противника в море и в базах были довольно эпизодичными и не носили целеустремленного массиро</w:t>
      </w:r>
      <w:r w:rsidRPr="00271E51">
        <w:rPr>
          <w:rFonts w:ascii="Times New Roman" w:hAnsi="Times New Roman"/>
          <w:color w:val="000000" w:themeColor="text1"/>
          <w:sz w:val="16"/>
          <w:szCs w:val="16"/>
        </w:rPr>
        <w:softHyphen/>
        <w:t>ванного характера. Как следствие, соеди</w:t>
      </w:r>
      <w:r w:rsidRPr="00271E51">
        <w:rPr>
          <w:rFonts w:ascii="Times New Roman" w:hAnsi="Times New Roman"/>
          <w:color w:val="000000" w:themeColor="text1"/>
          <w:sz w:val="16"/>
          <w:szCs w:val="16"/>
        </w:rPr>
        <w:softHyphen/>
        <w:t>нения 17-й армии генерала Э.Енеке ото</w:t>
      </w:r>
      <w:r w:rsidRPr="00271E51">
        <w:rPr>
          <w:rFonts w:ascii="Times New Roman" w:hAnsi="Times New Roman"/>
          <w:color w:val="000000" w:themeColor="text1"/>
          <w:sz w:val="16"/>
          <w:szCs w:val="16"/>
        </w:rPr>
        <w:softHyphen/>
        <w:t>шли в Крым, сохранив большие силы. Немецкому командованию удалось пе</w:t>
      </w:r>
      <w:r w:rsidRPr="00271E51">
        <w:rPr>
          <w:rFonts w:ascii="Times New Roman" w:hAnsi="Times New Roman"/>
          <w:color w:val="000000" w:themeColor="text1"/>
          <w:sz w:val="16"/>
          <w:szCs w:val="16"/>
        </w:rPr>
        <w:softHyphen/>
        <w:t>реправить с Таманского п/о через Кер</w:t>
      </w:r>
      <w:r w:rsidRPr="00271E51">
        <w:rPr>
          <w:rFonts w:ascii="Times New Roman" w:hAnsi="Times New Roman"/>
          <w:color w:val="000000" w:themeColor="text1"/>
          <w:sz w:val="16"/>
          <w:szCs w:val="16"/>
        </w:rPr>
        <w:softHyphen/>
        <w:t>ченский пролив 177 355 немецких сол</w:t>
      </w:r>
      <w:r w:rsidRPr="00271E51">
        <w:rPr>
          <w:rFonts w:ascii="Times New Roman" w:hAnsi="Times New Roman"/>
          <w:color w:val="000000" w:themeColor="text1"/>
          <w:sz w:val="16"/>
          <w:szCs w:val="16"/>
        </w:rPr>
        <w:softHyphen/>
        <w:t>дат и офицеров, 50 139 солдат и офице</w:t>
      </w:r>
      <w:r w:rsidRPr="00271E51">
        <w:rPr>
          <w:rFonts w:ascii="Times New Roman" w:hAnsi="Times New Roman"/>
          <w:color w:val="000000" w:themeColor="text1"/>
          <w:sz w:val="16"/>
          <w:szCs w:val="16"/>
        </w:rPr>
        <w:softHyphen/>
        <w:t xml:space="preserve">ров </w:t>
      </w:r>
      <w:r w:rsidRPr="00271E51">
        <w:rPr>
          <w:rFonts w:ascii="Times New Roman" w:hAnsi="Times New Roman"/>
          <w:color w:val="000000" w:themeColor="text1"/>
          <w:sz w:val="16"/>
          <w:szCs w:val="16"/>
        </w:rPr>
        <w:lastRenderedPageBreak/>
        <w:t>союзников, 28 236 бойцов "Хиви" (вспомогательные боевые части, сфор</w:t>
      </w:r>
      <w:r w:rsidRPr="00271E51">
        <w:rPr>
          <w:rFonts w:ascii="Times New Roman" w:hAnsi="Times New Roman"/>
          <w:color w:val="000000" w:themeColor="text1"/>
          <w:sz w:val="16"/>
          <w:szCs w:val="16"/>
        </w:rPr>
        <w:softHyphen/>
        <w:t>мированные из числа крымских татар), 87 456 человек гражданского населения, 72 899 лошадей, 27 791 повозку, 21 230 автомашин, 1815 орудий, 74 штурмовых орудий и танков, а также 115 477 тонн различных военных грузов (из них: бо</w:t>
      </w:r>
      <w:r w:rsidRPr="00271E51">
        <w:rPr>
          <w:rFonts w:ascii="Times New Roman" w:hAnsi="Times New Roman"/>
          <w:color w:val="000000" w:themeColor="text1"/>
          <w:sz w:val="16"/>
          <w:szCs w:val="16"/>
        </w:rPr>
        <w:softHyphen/>
        <w:t>еприпасов - 27 670 т., продовольствия -29 500 т., фуража - 13 940 т.). Только в период с 8 по 10 октября в Севастополь прибыло около 200 пласредств с техни</w:t>
      </w:r>
      <w:r w:rsidRPr="00271E51">
        <w:rPr>
          <w:rFonts w:ascii="Times New Roman" w:hAnsi="Times New Roman"/>
          <w:color w:val="000000" w:themeColor="text1"/>
          <w:sz w:val="16"/>
          <w:szCs w:val="16"/>
        </w:rPr>
        <w:softHyphen/>
        <w:t>кой и войсками.</w:t>
      </w:r>
    </w:p>
    <w:p w14:paraId="257B8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главная цель - полностью пре</w:t>
      </w:r>
      <w:r w:rsidRPr="00271E51">
        <w:rPr>
          <w:rFonts w:ascii="Times New Roman" w:hAnsi="Times New Roman"/>
          <w:color w:val="000000" w:themeColor="text1"/>
          <w:sz w:val="16"/>
          <w:szCs w:val="16"/>
        </w:rPr>
        <w:softHyphen/>
        <w:t>рвать коммуникации таманской группи</w:t>
      </w:r>
      <w:r w:rsidRPr="00271E51">
        <w:rPr>
          <w:rFonts w:ascii="Times New Roman" w:hAnsi="Times New Roman"/>
          <w:color w:val="000000" w:themeColor="text1"/>
          <w:sz w:val="16"/>
          <w:szCs w:val="16"/>
        </w:rPr>
        <w:softHyphen/>
        <w:t>ровки противника ВВС ЧФ - решена не была.</w:t>
      </w:r>
    </w:p>
    <w:p w14:paraId="100439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Безвозвратные потери немецкого флота в Керченском проливе, Азовском и Черном морях от воздействия Ил-2 ВВС ЧФ по подтвержденным противни</w:t>
      </w:r>
      <w:r w:rsidRPr="00271E51">
        <w:rPr>
          <w:rFonts w:ascii="Times New Roman" w:hAnsi="Times New Roman"/>
          <w:color w:val="000000" w:themeColor="text1"/>
          <w:sz w:val="16"/>
          <w:szCs w:val="16"/>
        </w:rPr>
        <w:softHyphen/>
        <w:t>ком данным с 09.09 по 09.10.43 г. со</w:t>
      </w:r>
      <w:r w:rsidRPr="00271E51">
        <w:rPr>
          <w:rFonts w:ascii="Times New Roman" w:hAnsi="Times New Roman"/>
          <w:color w:val="000000" w:themeColor="text1"/>
          <w:sz w:val="16"/>
          <w:szCs w:val="16"/>
        </w:rPr>
        <w:softHyphen/>
        <w:t>ставили всего 9 боевых кораблей и ма</w:t>
      </w:r>
      <w:r w:rsidRPr="00271E51">
        <w:rPr>
          <w:rFonts w:ascii="Times New Roman" w:hAnsi="Times New Roman"/>
          <w:color w:val="000000" w:themeColor="text1"/>
          <w:sz w:val="16"/>
          <w:szCs w:val="16"/>
        </w:rPr>
        <w:softHyphen/>
        <w:t>лых судов и, кроме того, не менее 13 единиц плавсредств были повреждены. Общие же безвозвратные потери нем</w:t>
      </w:r>
      <w:r w:rsidRPr="00271E51">
        <w:rPr>
          <w:rFonts w:ascii="Times New Roman" w:hAnsi="Times New Roman"/>
          <w:color w:val="000000" w:themeColor="text1"/>
          <w:sz w:val="16"/>
          <w:szCs w:val="16"/>
        </w:rPr>
        <w:softHyphen/>
        <w:t>цев от авиации Черноморского флота в этот период составили 27 плавединиц...(6467).</w:t>
      </w:r>
    </w:p>
    <w:p w14:paraId="0D236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3A033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99B14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7BB2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осени 1943 в проводку управления рулями высоты Ил-4 ввели пружинные компенсаторы. Их появлению предшествовал ряд катастроф в частях АДД: самолеты самопроизвольно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маневра усилие на ручке резко менялось, превышая 40 кг. Компенсатор, сконструированный М.Л.Милем, делал перепад не столь резким, давая пилоту время исправить положение (7666).</w:t>
      </w:r>
    </w:p>
    <w:p w14:paraId="6D8C36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404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осени 1943 в проводку управления рулями высоты ввели пружинные компенсаторы. Их появлению предшествовал ряд катаст</w:t>
      </w:r>
      <w:r w:rsidRPr="00271E51">
        <w:rPr>
          <w:rFonts w:ascii="Times New Roman" w:hAnsi="Times New Roman"/>
          <w:color w:val="000000" w:themeColor="text1"/>
          <w:sz w:val="16"/>
          <w:szCs w:val="16"/>
        </w:rPr>
        <w:softHyphen/>
        <w:t>роф в частях АДД: самолеты самопро</w:t>
      </w:r>
      <w:r w:rsidRPr="00271E51">
        <w:rPr>
          <w:rFonts w:ascii="Times New Roman" w:hAnsi="Times New Roman"/>
          <w:color w:val="000000" w:themeColor="text1"/>
          <w:sz w:val="16"/>
          <w:szCs w:val="16"/>
        </w:rPr>
        <w:softHyphen/>
        <w:t>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w:t>
      </w:r>
      <w:r w:rsidRPr="00271E51">
        <w:rPr>
          <w:rFonts w:ascii="Times New Roman" w:hAnsi="Times New Roman"/>
          <w:color w:val="000000" w:themeColor="text1"/>
          <w:sz w:val="16"/>
          <w:szCs w:val="16"/>
        </w:rPr>
        <w:softHyphen/>
        <w:t>невра усилие на ручке резко менялось, превышая 40 кг. Компенсатор, сконст</w:t>
      </w:r>
      <w:r w:rsidRPr="00271E51">
        <w:rPr>
          <w:rFonts w:ascii="Times New Roman" w:hAnsi="Times New Roman"/>
          <w:color w:val="000000" w:themeColor="text1"/>
          <w:sz w:val="16"/>
          <w:szCs w:val="16"/>
        </w:rPr>
        <w:softHyphen/>
        <w:t>руированный М.Л. Милем, делал пере</w:t>
      </w:r>
      <w:r w:rsidRPr="00271E51">
        <w:rPr>
          <w:rFonts w:ascii="Times New Roman" w:hAnsi="Times New Roman"/>
          <w:color w:val="000000" w:themeColor="text1"/>
          <w:sz w:val="16"/>
          <w:szCs w:val="16"/>
        </w:rPr>
        <w:softHyphen/>
        <w:t>пад не столь резким, давая пилоту вре</w:t>
      </w:r>
      <w:r w:rsidRPr="00271E51">
        <w:rPr>
          <w:rFonts w:ascii="Times New Roman" w:hAnsi="Times New Roman"/>
          <w:color w:val="000000" w:themeColor="text1"/>
          <w:sz w:val="16"/>
          <w:szCs w:val="16"/>
        </w:rPr>
        <w:softHyphen/>
        <w:t>мя исправить положение (10734,78).</w:t>
      </w:r>
    </w:p>
    <w:p w14:paraId="3021C5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39FF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C6B6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D2C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осени 1943 г. в 47-м полку осталось шесть боеспособных Ту-2. 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3BD2DC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4828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1F0B6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88138F"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для облегчения подъема хвоста двухместного штурмовика Ил-2 на взлете и улучшения его продольной устойчивости по рекомендации ЦАГИ и ЛИИ в системе управления рулем высоты стали устанавливать контрбалансиры. По отзывам летчиков, это устройство на рулении увеличивало усилия, необходимые для удержания ручки управления, но на взлете облегчался подъем хвоста и сам взлет. В полете контрбалансир улучшал продольную устойчивость: самолет шел по горизонту, не требуя постоянных действий ручкой, и некоторое время допускал полет с брошенной ручкой (19727).</w:t>
      </w:r>
    </w:p>
    <w:p w14:paraId="016353A8"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5A8D0D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Д.Ф.Устинов ездил на подмосковный аэродром смотреть Ил-2 и Як-9Т с НС-37 (177,304).</w:t>
      </w:r>
    </w:p>
    <w:p w14:paraId="7048ED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324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на полигоне отрабатывались способы стрельбы из пушки НС-37 на самолете Ил-2 по танкам. Методика затем успешно применялась в боях (263,141).</w:t>
      </w:r>
    </w:p>
    <w:p w14:paraId="17367D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75D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для облегчения подъема хвоста на взлете двухместного Ил-2 и улучшения его продольной устойчивости по рекомендации ЦАГИ и ЛИИ в системе управления рулем высоты стали устанавливать контрбалансиры. По отзывам летчиков, это устройство на рулении увеличивало усилия, необходимые для удержания ручки управления, но на взлете облегчался подъем хвоста и сам взлет. В полете контрбалансир улучшал продольную устойчивость: самолет шел по горизонту, не требуя постоянных действий ручкой, и некоторое время допускал полет с брошенной ручкой (9528).</w:t>
      </w:r>
    </w:p>
    <w:p w14:paraId="1E3C5E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546085"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Осенью 1943 из отчета ЛИИ:</w:t>
      </w:r>
    </w:p>
    <w:p w14:paraId="53079D71"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Директору завода 35 Марочкину и ГК Жданову спроектировать с участием ЦАГИ и изготовить к 1 июня с7г. опытные экз. 4 лопастных металлических винтов к самолетам Ил-2 и ДБ-3Ф с М-82</w:t>
      </w:r>
    </w:p>
    <w:p w14:paraId="662FCAB2"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Директорам заводов 467 Авербах и 27 Козакову и ГИ Заславскому спроектировать с участием ЦАГИ и изготовить к 1 июня с.г. Х-образный винт к самолету Як-7, позволяющий применение существующих синхронизаторов</w:t>
      </w:r>
    </w:p>
    <w:p w14:paraId="527FF5EA"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И.о. нач. ЛИИ Чесалову и нач. ЦАГИ Шишкину провести испытания указанных 4-х лопастных винтов и представить заключение к 20 июня с.г.</w:t>
      </w:r>
    </w:p>
    <w:p w14:paraId="1209F764"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Применение Х-образного винта</w:t>
      </w:r>
    </w:p>
    <w:p w14:paraId="23646197"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Конструктором Заславским спроектирован и построен Х-образный четырехлопастный винт ВИШ-407. Проведены испытания этого винта на стенде, показавшие удовлетворительные результаты.</w:t>
      </w:r>
    </w:p>
    <w:p w14:paraId="5D00A26A"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Экземпляр винта послан в Новосибирск, где будут проводиться летные испытания на самолете Як-7. По установке Х-образного четырехлопастного винта ожидается сокращение разбега на 14%.</w:t>
      </w:r>
    </w:p>
    <w:p w14:paraId="7C639E10"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подготовки к применению на истребителях четырехлопастного винта, в ЛИИ проведены стендовые и летные испытания разработанного приспособления к серийным сихронизаторам, дающего возможность вести стрельбу через 4-х лопастный винт. Приспособление показало хорошие результаты. В настоящее время изготавливается вариант этого приспособления с меньшим весом и габаритами.</w:t>
      </w:r>
    </w:p>
    <w:p w14:paraId="14B3B8B0"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Четырехлопастные винты</w:t>
      </w:r>
    </w:p>
    <w:p w14:paraId="4DC0E891"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филиале ЛИИ в Казани в апреле-мае с.г. произведены летные испытания четырехлопастного винта АВ-9Л-139 диаметром 3,2 м конструкции Жданова. Испытания этого винта на самолете Пе-2 показали, что длина разбега с этим винтом меньше на 14,5% или на 96 м, чем с серийным трехлопастным винтом.</w:t>
      </w:r>
    </w:p>
    <w:p w14:paraId="7CA6D817"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Однако новый четырехлопастный винт не может быть в настоящее время рекомендован к серийному запуску до устранения имевшего места недопустимого заброса оборотов.</w:t>
      </w:r>
    </w:p>
    <w:p w14:paraId="27BCED42"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Спроектирован опытный четырехлопастный винт конструкции Жданова, имеющий обозначение АВ-9-174, под самолет Ил-4 с 2М-82. Изготовлены несколько экземпляров винтов этой марки.</w:t>
      </w:r>
    </w:p>
    <w:p w14:paraId="15E6BD0B"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Деревянные винты</w:t>
      </w:r>
    </w:p>
    <w:p w14:paraId="4FEF0E16"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оценки взлетных качеств самолета с винтами ВИШ-23Д-82, имеющими деревянные лопасти и предъявленными заводом N 383 (главный конструктор Г.И. Целиков) в ЛИИ, проведены летные испытания серийного самолета Ил-4 (N 8806) с двумя моторами М-88Б.</w:t>
      </w:r>
    </w:p>
    <w:p w14:paraId="20FC3996"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Испытания показали, что самолет Ил-4 с деревянными винтами с полетным весом 8700 кг, при нормальном давлении наддува мотора 950 мм рт. ст. имеет разбег 540 м, вместо 350 м при взлете с серийными винтами ВИШ-23, т.е. происходит сокращение разбега на 14,3% или на 90 м, длина взлетной дистанции сокращается при этом с 1310 м до 1130 м, т.е. на 13,7% или на 180 м.</w:t>
      </w:r>
    </w:p>
    <w:p w14:paraId="0739EFEF"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 форсаже моторов М-88Б и установке деревянных винтов ВИШ-23Д-82 длина разбега самолета Ил-4 сокращается до 484 м, т.е. всего на 23% или на 145 м и длина взлетной дистанции сокращается до 1040 м, т.е. всего на 20,6% или на 270 м.</w:t>
      </w:r>
    </w:p>
    <w:p w14:paraId="54B65F64"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Увеличение диаметра винта</w:t>
      </w:r>
    </w:p>
    <w:p w14:paraId="737668AD"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самолете Ли-2 с 2М-62ИР в сентябре с.г. испытан в НИИ ВВС трехлопастный винт АВ-5Н-161 диаметром 3,6 м с максимальной шириной лопасти 292 мм. Серийный винт ВИШ-21 самолета Ли-2 имеет диаметр 3,4 м и максимальную ширину лопасти 260 мм.</w:t>
      </w:r>
    </w:p>
    <w:p w14:paraId="209A9D86"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 данным испытаний, длина разбега самолета Ли-2 с винтами АВ-5Н-161, по сравнению с серийными винтами ВИШ-21, уменьшилась на 65 м или на 14% и стала 395 м, вместо 460 м. Длина взлетной дистанции сокращается при этом с 1260 м до 1050 м, т.е. на 210 м или на 16,5%.</w:t>
      </w:r>
    </w:p>
    <w:p w14:paraId="6699EE13"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Увеличение диаметра винта</w:t>
      </w:r>
    </w:p>
    <w:p w14:paraId="3A4F4B49"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серийном самолете Ил-2 N 1872412 постройки завода N 18 в июле с.г. проведены в НИИ ВВС летные испытания опытного трехлопастного винта АВ-5Л-158, имеющего диаметр 3,6 м и максимальную ширину лопасти 292 мм. Серийный винт самолета Ил-2 марки АВ-5Л-124 имеет диаметр 3,4 м и максимальную ширину лопасти 260 мм.</w:t>
      </w:r>
    </w:p>
    <w:p w14:paraId="0F07F714"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По данным испытаний, взлетные свойства самолета Ил-2 значительно улучшились за счет установки винта АВ-5Л-158, вместо АВ-5Л-124. При взлете с полетным весом 5873 кг без форсажа мотора длина разбега сократилась на 80 м или не 14,5% и стала 470 м, вместо 550 м.</w:t>
      </w:r>
    </w:p>
    <w:p w14:paraId="3F9E7FA6"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Взлетная дистанция уменьшилась на 190 м или на 13,7% и стала 1190 м, вместо 1380 м.</w:t>
      </w:r>
    </w:p>
    <w:p w14:paraId="3E93E4C9"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Испытание опытного 4-х лопастного винта на самолете Ил-2</w:t>
      </w:r>
    </w:p>
    <w:p w14:paraId="4ABCD8EC"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Проведенными испытаниями опытного 4-х лопастного винта АВ-9Л-158 измененного шага с механизмом, работающим по обратной схеме, установлено:</w:t>
      </w:r>
    </w:p>
    <w:p w14:paraId="49DAB0C6"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Максимальная скорость и скороподъемность серийного самолета Ил-2 с опытным винтом АВ-9Л-158 практически не отличается от летных данных с-та с винтом АВ-5Л-158.</w:t>
      </w:r>
    </w:p>
    <w:p w14:paraId="65BC6A01"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Длина разбега самолета с опытным винтом меньше на 40 м, т.е. на 7,6%, чем с серийным.</w:t>
      </w:r>
    </w:p>
    <w:p w14:paraId="083B8C8C"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Механизм винта работает неудовлетворительно. На взлете при нормальной даче газа в горизонтальном полете винт дает раскрутку до 2500-2700 об/мин.</w:t>
      </w:r>
    </w:p>
    <w:p w14:paraId="6F8B84B7"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Опытный винт АВ-9Л-158 не может быть рекомендован для запуска в серию.</w:t>
      </w:r>
    </w:p>
    <w:p w14:paraId="566F409D"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Испытание 4-х лопастного винта АВ-9Л-158 на самолете Ил-2 с АМ-38Ф</w:t>
      </w:r>
    </w:p>
    <w:p w14:paraId="050EA2AD" w14:textId="77777777" w:rsidR="00F34513" w:rsidRPr="00271E51" w:rsidRDefault="00F3451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результате проведения летных испытаний установлено, что при нормальной даче газа на планировании обороты мотора достигают 2600 об./мин. при равновесных оборотах 2050 об./мин....</w:t>
      </w:r>
    </w:p>
    <w:p w14:paraId="1D837FF2" w14:textId="77777777" w:rsidR="00F34513" w:rsidRPr="00271E51" w:rsidRDefault="00F34513" w:rsidP="00271E51">
      <w:pPr>
        <w:spacing w:after="0" w:line="240" w:lineRule="auto"/>
        <w:jc w:val="both"/>
        <w:rPr>
          <w:rFonts w:ascii="Times New Roman" w:eastAsia="Times New Roman" w:hAnsi="Times New Roman"/>
          <w:color w:val="0070C0"/>
          <w:sz w:val="16"/>
          <w:szCs w:val="16"/>
          <w:lang w:eastAsia="ru-RU"/>
        </w:rPr>
      </w:pPr>
      <w:r w:rsidRPr="00271E51">
        <w:rPr>
          <w:rFonts w:ascii="Times New Roman" w:hAnsi="Times New Roman"/>
          <w:color w:val="0070C0"/>
          <w:sz w:val="16"/>
          <w:szCs w:val="16"/>
        </w:rPr>
        <w:t xml:space="preserve">Ввиду неудовлетворительной работы механизма втулки винта при дачах газа винт не может быть рекомендован для серийного производства </w:t>
      </w:r>
      <w:r w:rsidRPr="00271E51">
        <w:rPr>
          <w:rFonts w:ascii="Times New Roman" w:eastAsia="Times New Roman" w:hAnsi="Times New Roman"/>
          <w:color w:val="0070C0"/>
          <w:sz w:val="16"/>
          <w:szCs w:val="16"/>
          <w:lang w:eastAsia="ru-RU"/>
        </w:rPr>
        <w:t>(19824).</w:t>
      </w:r>
    </w:p>
    <w:p w14:paraId="58D02A20" w14:textId="77777777" w:rsidR="00F34513" w:rsidRPr="00271E51" w:rsidRDefault="00F34513" w:rsidP="00271E51">
      <w:pPr>
        <w:shd w:val="clear" w:color="auto" w:fill="FFFFFF"/>
        <w:spacing w:after="0" w:line="240" w:lineRule="auto"/>
        <w:jc w:val="both"/>
        <w:rPr>
          <w:rStyle w:val="641"/>
          <w:rFonts w:ascii="Times New Roman" w:hAnsi="Times New Roman" w:cs="Times New Roman"/>
          <w:color w:val="0070C0"/>
          <w:sz w:val="16"/>
          <w:szCs w:val="16"/>
        </w:rPr>
      </w:pPr>
    </w:p>
    <w:p w14:paraId="0D10B7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военные уже ясно осоз</w:t>
      </w:r>
      <w:r w:rsidRPr="00271E51">
        <w:rPr>
          <w:rFonts w:ascii="Times New Roman" w:hAnsi="Times New Roman"/>
          <w:color w:val="000000" w:themeColor="text1"/>
          <w:sz w:val="16"/>
          <w:szCs w:val="16"/>
        </w:rPr>
        <w:softHyphen/>
        <w:t>навали всю пагубность дальнейшей за</w:t>
      </w:r>
      <w:r w:rsidRPr="00271E51">
        <w:rPr>
          <w:rFonts w:ascii="Times New Roman" w:hAnsi="Times New Roman"/>
          <w:color w:val="000000" w:themeColor="text1"/>
          <w:sz w:val="16"/>
          <w:szCs w:val="16"/>
        </w:rPr>
        <w:softHyphen/>
        <w:t>тяжки с решением вопроса о «постанов</w:t>
      </w:r>
      <w:r w:rsidRPr="00271E51">
        <w:rPr>
          <w:rFonts w:ascii="Times New Roman" w:hAnsi="Times New Roman"/>
          <w:color w:val="000000" w:themeColor="text1"/>
          <w:sz w:val="16"/>
          <w:szCs w:val="16"/>
        </w:rPr>
        <w:softHyphen/>
        <w:t>ке на снабжение ВВС КА» ударного са</w:t>
      </w:r>
      <w:r w:rsidRPr="00271E51">
        <w:rPr>
          <w:rFonts w:ascii="Times New Roman" w:hAnsi="Times New Roman"/>
          <w:color w:val="000000" w:themeColor="text1"/>
          <w:sz w:val="16"/>
          <w:szCs w:val="16"/>
        </w:rPr>
        <w:softHyphen/>
        <w:t>молета поля боя с повышенной боевой эффективностью. Наметилась явная тенденция к падению интереса ВВС к тяжелым самолетам многоцелевого на</w:t>
      </w:r>
      <w:r w:rsidRPr="00271E51">
        <w:rPr>
          <w:rFonts w:ascii="Times New Roman" w:hAnsi="Times New Roman"/>
          <w:color w:val="000000" w:themeColor="text1"/>
          <w:sz w:val="16"/>
          <w:szCs w:val="16"/>
        </w:rPr>
        <w:softHyphen/>
        <w:t>значения (штурмовик-бомбардировщик, авиационный разведчик и корректиров</w:t>
      </w:r>
      <w:r w:rsidRPr="00271E51">
        <w:rPr>
          <w:rFonts w:ascii="Times New Roman" w:hAnsi="Times New Roman"/>
          <w:color w:val="000000" w:themeColor="text1"/>
          <w:sz w:val="16"/>
          <w:szCs w:val="16"/>
        </w:rPr>
        <w:softHyphen/>
        <w:t>щик артогня) и росту его к легким манев</w:t>
      </w:r>
      <w:r w:rsidRPr="00271E51">
        <w:rPr>
          <w:rFonts w:ascii="Times New Roman" w:hAnsi="Times New Roman"/>
          <w:color w:val="000000" w:themeColor="text1"/>
          <w:sz w:val="16"/>
          <w:szCs w:val="16"/>
        </w:rPr>
        <w:softHyphen/>
        <w:t>ренным штурмовикам, предназначен</w:t>
      </w:r>
      <w:r w:rsidRPr="00271E51">
        <w:rPr>
          <w:rFonts w:ascii="Times New Roman" w:hAnsi="Times New Roman"/>
          <w:color w:val="000000" w:themeColor="text1"/>
          <w:sz w:val="16"/>
          <w:szCs w:val="16"/>
        </w:rPr>
        <w:softHyphen/>
        <w:t>ным исключительно для решения боевых задач непосредственной поддержки войск в наступлении и обороне. Для та</w:t>
      </w:r>
      <w:r w:rsidRPr="00271E51">
        <w:rPr>
          <w:rFonts w:ascii="Times New Roman" w:hAnsi="Times New Roman"/>
          <w:color w:val="000000" w:themeColor="text1"/>
          <w:sz w:val="16"/>
          <w:szCs w:val="16"/>
        </w:rPr>
        <w:softHyphen/>
        <w:t>кой специализации уже были созданы необходимые условия — превосходство в воздухе на главных операционных на</w:t>
      </w:r>
      <w:r w:rsidRPr="00271E51">
        <w:rPr>
          <w:rFonts w:ascii="Times New Roman" w:hAnsi="Times New Roman"/>
          <w:color w:val="000000" w:themeColor="text1"/>
          <w:sz w:val="16"/>
          <w:szCs w:val="16"/>
        </w:rPr>
        <w:softHyphen/>
        <w:t>правлениях в основном завоевали совет</w:t>
      </w:r>
      <w:r w:rsidRPr="00271E51">
        <w:rPr>
          <w:rFonts w:ascii="Times New Roman" w:hAnsi="Times New Roman"/>
          <w:color w:val="000000" w:themeColor="text1"/>
          <w:sz w:val="16"/>
          <w:szCs w:val="16"/>
        </w:rPr>
        <w:softHyphen/>
        <w:t>ские ВВС, вопрос о количестве самоле</w:t>
      </w:r>
      <w:r w:rsidRPr="00271E51">
        <w:rPr>
          <w:rFonts w:ascii="Times New Roman" w:hAnsi="Times New Roman"/>
          <w:color w:val="000000" w:themeColor="text1"/>
          <w:sz w:val="16"/>
          <w:szCs w:val="16"/>
        </w:rPr>
        <w:softHyphen/>
        <w:t>тов в целом уже решили, существовала уверенность в скором налаживании ус</w:t>
      </w:r>
      <w:r w:rsidRPr="00271E51">
        <w:rPr>
          <w:rFonts w:ascii="Times New Roman" w:hAnsi="Times New Roman"/>
          <w:color w:val="000000" w:themeColor="text1"/>
          <w:sz w:val="16"/>
          <w:szCs w:val="16"/>
        </w:rPr>
        <w:softHyphen/>
        <w:t>тойчивого производства весьма сильно</w:t>
      </w:r>
      <w:r w:rsidRPr="00271E51">
        <w:rPr>
          <w:rFonts w:ascii="Times New Roman" w:hAnsi="Times New Roman"/>
          <w:color w:val="000000" w:themeColor="text1"/>
          <w:sz w:val="16"/>
          <w:szCs w:val="16"/>
        </w:rPr>
        <w:softHyphen/>
        <w:t>го фронтового бомбардировщика Ту-2, а в качестве пикировщика военных впол</w:t>
      </w:r>
      <w:r w:rsidRPr="00271E51">
        <w:rPr>
          <w:rFonts w:ascii="Times New Roman" w:hAnsi="Times New Roman"/>
          <w:color w:val="000000" w:themeColor="text1"/>
          <w:sz w:val="16"/>
          <w:szCs w:val="16"/>
        </w:rPr>
        <w:softHyphen/>
        <w:t>не устраивала проверенная в боях «пеш</w:t>
      </w:r>
      <w:r w:rsidRPr="00271E51">
        <w:rPr>
          <w:rFonts w:ascii="Times New Roman" w:hAnsi="Times New Roman"/>
          <w:color w:val="000000" w:themeColor="text1"/>
          <w:sz w:val="16"/>
          <w:szCs w:val="16"/>
        </w:rPr>
        <w:softHyphen/>
        <w:t>ка». Чтобы обеспечить качественный скачок в ударных возможностях ВВС к началу летней кампании 1944 г., остава</w:t>
      </w:r>
      <w:r w:rsidRPr="00271E51">
        <w:rPr>
          <w:rFonts w:ascii="Times New Roman" w:hAnsi="Times New Roman"/>
          <w:color w:val="000000" w:themeColor="text1"/>
          <w:sz w:val="16"/>
          <w:szCs w:val="16"/>
        </w:rPr>
        <w:softHyphen/>
        <w:t>лось только дать советской авиации со</w:t>
      </w:r>
      <w:r w:rsidRPr="00271E51">
        <w:rPr>
          <w:rFonts w:ascii="Times New Roman" w:hAnsi="Times New Roman"/>
          <w:color w:val="000000" w:themeColor="text1"/>
          <w:sz w:val="16"/>
          <w:szCs w:val="16"/>
        </w:rPr>
        <w:softHyphen/>
        <w:t>временный штурмовик. Судя по документам, руководство ВВС считало, что именно Су-6 является той машиной, которой и недостает советской авиации. По его мнению, возможности для постановки в серию мотора М-71Ф и самолета Су-6 у НКАП имелись. При этом снижение производства мо</w:t>
      </w:r>
      <w:r w:rsidRPr="00271E51">
        <w:rPr>
          <w:rFonts w:ascii="Times New Roman" w:hAnsi="Times New Roman"/>
          <w:color w:val="000000" w:themeColor="text1"/>
          <w:sz w:val="16"/>
          <w:szCs w:val="16"/>
        </w:rPr>
        <w:softHyphen/>
        <w:t>торов М-82Ф и М-82ФН и самолетов, осна</w:t>
      </w:r>
      <w:r w:rsidRPr="00271E51">
        <w:rPr>
          <w:rFonts w:ascii="Times New Roman" w:hAnsi="Times New Roman"/>
          <w:color w:val="000000" w:themeColor="text1"/>
          <w:sz w:val="16"/>
          <w:szCs w:val="16"/>
        </w:rPr>
        <w:softHyphen/>
        <w:t>щенных ими, а также штурмовиков Ил-2 не могло сильно сказаться на общей обстановке на фронте. В тылу (во внут</w:t>
      </w:r>
      <w:r w:rsidRPr="00271E51">
        <w:rPr>
          <w:rFonts w:ascii="Times New Roman" w:hAnsi="Times New Roman"/>
          <w:color w:val="000000" w:themeColor="text1"/>
          <w:sz w:val="16"/>
          <w:szCs w:val="16"/>
        </w:rPr>
        <w:softHyphen/>
        <w:t>ренних округах, на Дальнем Востоке, в училищах, на базах хранения и т.д.) на</w:t>
      </w:r>
      <w:r w:rsidRPr="00271E51">
        <w:rPr>
          <w:rFonts w:ascii="Times New Roman" w:hAnsi="Times New Roman"/>
          <w:color w:val="000000" w:themeColor="text1"/>
          <w:sz w:val="16"/>
          <w:szCs w:val="16"/>
        </w:rPr>
        <w:softHyphen/>
        <w:t>копился значительный резерв боевых машин — примерно на 20% больше, чем в действующей армии, а на фронте об</w:t>
      </w:r>
      <w:r w:rsidRPr="00271E51">
        <w:rPr>
          <w:rFonts w:ascii="Times New Roman" w:hAnsi="Times New Roman"/>
          <w:color w:val="000000" w:themeColor="text1"/>
          <w:sz w:val="16"/>
          <w:szCs w:val="16"/>
        </w:rPr>
        <w:softHyphen/>
        <w:t>разовалось почти трехкратное превос</w:t>
      </w:r>
      <w:r w:rsidRPr="00271E51">
        <w:rPr>
          <w:rFonts w:ascii="Times New Roman" w:hAnsi="Times New Roman"/>
          <w:color w:val="000000" w:themeColor="text1"/>
          <w:sz w:val="16"/>
          <w:szCs w:val="16"/>
        </w:rPr>
        <w:softHyphen/>
        <w:t>ходство в силах над Люфтваффе. С началом серийного производства М-71Ф можно было бы решить вопрос не только о запуске в серию штурмовика Су-6, но и о производстве перспективного истребителя И-185. В этом случае сло</w:t>
      </w:r>
      <w:r w:rsidRPr="00271E51">
        <w:rPr>
          <w:rFonts w:ascii="Times New Roman" w:hAnsi="Times New Roman"/>
          <w:color w:val="000000" w:themeColor="text1"/>
          <w:sz w:val="16"/>
          <w:szCs w:val="16"/>
        </w:rPr>
        <w:softHyphen/>
        <w:t>жилась бы ситуация, когда и ударная, и истребительная авиация одновременно перевооружались на технику, превосхо</w:t>
      </w:r>
      <w:r w:rsidRPr="00271E51">
        <w:rPr>
          <w:rFonts w:ascii="Times New Roman" w:hAnsi="Times New Roman"/>
          <w:color w:val="000000" w:themeColor="text1"/>
          <w:sz w:val="16"/>
          <w:szCs w:val="16"/>
        </w:rPr>
        <w:softHyphen/>
        <w:t>дящую имеющуюся у противника по всем определяющим параметрам, что самым благоприятным образом отразилось бы на общем ходе войны. Между тем НКАП всячески сопротив</w:t>
      </w:r>
      <w:r w:rsidRPr="00271E51">
        <w:rPr>
          <w:rFonts w:ascii="Times New Roman" w:hAnsi="Times New Roman"/>
          <w:color w:val="000000" w:themeColor="text1"/>
          <w:sz w:val="16"/>
          <w:szCs w:val="16"/>
        </w:rPr>
        <w:softHyphen/>
        <w:t>лялся постановке в серию Су-6 и мото</w:t>
      </w:r>
      <w:r w:rsidRPr="00271E51">
        <w:rPr>
          <w:rFonts w:ascii="Times New Roman" w:hAnsi="Times New Roman"/>
          <w:color w:val="000000" w:themeColor="text1"/>
          <w:sz w:val="16"/>
          <w:szCs w:val="16"/>
        </w:rPr>
        <w:softHyphen/>
        <w:t>ра М-71Ф, мотивируя свою позицию большим техническим риском при раз</w:t>
      </w:r>
      <w:r w:rsidRPr="00271E51">
        <w:rPr>
          <w:rFonts w:ascii="Times New Roman" w:hAnsi="Times New Roman"/>
          <w:color w:val="000000" w:themeColor="text1"/>
          <w:sz w:val="16"/>
          <w:szCs w:val="16"/>
        </w:rPr>
        <w:softHyphen/>
        <w:t>вертывании их серийного производства в условиях военного времени. Однако думается, что дело было не только в этом. Сделав ставку на количество, а не на качество, руководство наркомата па</w:t>
      </w:r>
      <w:r w:rsidRPr="00271E51">
        <w:rPr>
          <w:rFonts w:ascii="Times New Roman" w:hAnsi="Times New Roman"/>
          <w:color w:val="000000" w:themeColor="text1"/>
          <w:sz w:val="16"/>
          <w:szCs w:val="16"/>
        </w:rPr>
        <w:softHyphen/>
        <w:t>нически боялось вносить любые мало-мальски серьезные изменения в уже от</w:t>
      </w:r>
      <w:r w:rsidRPr="00271E51">
        <w:rPr>
          <w:rFonts w:ascii="Times New Roman" w:hAnsi="Times New Roman"/>
          <w:color w:val="000000" w:themeColor="text1"/>
          <w:sz w:val="16"/>
          <w:szCs w:val="16"/>
        </w:rPr>
        <w:softHyphen/>
        <w:t>лаженную систему производства боевых самолетов. Кроме этого, согласившись с предложением военных, ему пришлось бы фактически признать ошибочность принятой технической политики НКАП, начиная с 1940 г. (10680).</w:t>
      </w:r>
    </w:p>
    <w:p w14:paraId="55681A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C31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Ильюшин оказался в весьма слож</w:t>
      </w:r>
      <w:r w:rsidRPr="00271E51">
        <w:rPr>
          <w:rFonts w:ascii="Times New Roman" w:hAnsi="Times New Roman"/>
          <w:color w:val="000000" w:themeColor="text1"/>
          <w:sz w:val="16"/>
          <w:szCs w:val="16"/>
        </w:rPr>
        <w:softHyphen/>
        <w:t>ном положении: в его активе были единственный летающий разведчик-корректировщик Ил-2 АМ-42 (РК), стоящий на приколе штурмовик-бом</w:t>
      </w:r>
      <w:r w:rsidRPr="00271E51">
        <w:rPr>
          <w:rFonts w:ascii="Times New Roman" w:hAnsi="Times New Roman"/>
          <w:color w:val="000000" w:themeColor="text1"/>
          <w:sz w:val="16"/>
          <w:szCs w:val="16"/>
        </w:rPr>
        <w:softHyphen/>
        <w:t>бардировщик Ил-2М, находящийся в стадии завершения работ по сбор</w:t>
      </w:r>
      <w:r w:rsidRPr="00271E51">
        <w:rPr>
          <w:rFonts w:ascii="Times New Roman" w:hAnsi="Times New Roman"/>
          <w:color w:val="000000" w:themeColor="text1"/>
          <w:sz w:val="16"/>
          <w:szCs w:val="16"/>
        </w:rPr>
        <w:softHyphen/>
        <w:t>ке штурмовик С-42 (эталон для се</w:t>
      </w:r>
      <w:r w:rsidRPr="00271E51">
        <w:rPr>
          <w:rFonts w:ascii="Times New Roman" w:hAnsi="Times New Roman"/>
          <w:color w:val="000000" w:themeColor="text1"/>
          <w:sz w:val="16"/>
          <w:szCs w:val="16"/>
        </w:rPr>
        <w:softHyphen/>
        <w:t>рии), а также еще не готовый бро</w:t>
      </w:r>
      <w:r w:rsidRPr="00271E51">
        <w:rPr>
          <w:rFonts w:ascii="Times New Roman" w:hAnsi="Times New Roman"/>
          <w:color w:val="000000" w:themeColor="text1"/>
          <w:sz w:val="16"/>
          <w:szCs w:val="16"/>
        </w:rPr>
        <w:softHyphen/>
        <w:t>нированный истребитель Ил-1. При</w:t>
      </w:r>
      <w:r w:rsidRPr="00271E51">
        <w:rPr>
          <w:rFonts w:ascii="Times New Roman" w:hAnsi="Times New Roman"/>
          <w:color w:val="000000" w:themeColor="text1"/>
          <w:sz w:val="16"/>
          <w:szCs w:val="16"/>
        </w:rPr>
        <w:softHyphen/>
        <w:t>чем с каждым днем интерес к этим машинам со стороны ВВС неуклон</w:t>
      </w:r>
      <w:r w:rsidRPr="00271E51">
        <w:rPr>
          <w:rFonts w:ascii="Times New Roman" w:hAnsi="Times New Roman"/>
          <w:color w:val="000000" w:themeColor="text1"/>
          <w:sz w:val="16"/>
          <w:szCs w:val="16"/>
        </w:rPr>
        <w:softHyphen/>
        <w:t>но снижался, особенно к разведчи</w:t>
      </w:r>
      <w:r w:rsidRPr="00271E51">
        <w:rPr>
          <w:rFonts w:ascii="Times New Roman" w:hAnsi="Times New Roman"/>
          <w:color w:val="000000" w:themeColor="text1"/>
          <w:sz w:val="16"/>
          <w:szCs w:val="16"/>
        </w:rPr>
        <w:softHyphen/>
        <w:t>ку-корректировщику и к бронирован</w:t>
      </w:r>
      <w:r w:rsidRPr="00271E51">
        <w:rPr>
          <w:rFonts w:ascii="Times New Roman" w:hAnsi="Times New Roman"/>
          <w:color w:val="000000" w:themeColor="text1"/>
          <w:sz w:val="16"/>
          <w:szCs w:val="16"/>
        </w:rPr>
        <w:softHyphen/>
        <w:t>ному истребителю. Надо отдать должное С. В. Иль</w:t>
      </w:r>
      <w:r w:rsidRPr="00271E51">
        <w:rPr>
          <w:rFonts w:ascii="Times New Roman" w:hAnsi="Times New Roman"/>
          <w:color w:val="000000" w:themeColor="text1"/>
          <w:sz w:val="16"/>
          <w:szCs w:val="16"/>
        </w:rPr>
        <w:softHyphen/>
        <w:t>юшину, он блестяще справился с воз</w:t>
      </w:r>
      <w:r w:rsidRPr="00271E51">
        <w:rPr>
          <w:rFonts w:ascii="Times New Roman" w:hAnsi="Times New Roman"/>
          <w:color w:val="000000" w:themeColor="text1"/>
          <w:sz w:val="16"/>
          <w:szCs w:val="16"/>
        </w:rPr>
        <w:softHyphen/>
        <w:t>никшими трудностями и успешно вы</w:t>
      </w:r>
      <w:r w:rsidRPr="00271E51">
        <w:rPr>
          <w:rFonts w:ascii="Times New Roman" w:hAnsi="Times New Roman"/>
          <w:color w:val="000000" w:themeColor="text1"/>
          <w:sz w:val="16"/>
          <w:szCs w:val="16"/>
        </w:rPr>
        <w:softHyphen/>
        <w:t>шел из весьма непростой ситуации. Как и положено дальновидному политику, С. В. Ильюшин предлагает военным проект штурмовика Ил-8 с мотором М-71 (бывший БШ-М-71) и одновременно начинает зондирова</w:t>
      </w:r>
      <w:r w:rsidRPr="00271E51">
        <w:rPr>
          <w:rFonts w:ascii="Times New Roman" w:hAnsi="Times New Roman"/>
          <w:color w:val="000000" w:themeColor="text1"/>
          <w:sz w:val="16"/>
          <w:szCs w:val="16"/>
        </w:rPr>
        <w:softHyphen/>
        <w:t>ние в аппарате НКАП принципиаль</w:t>
      </w:r>
      <w:r w:rsidRPr="00271E51">
        <w:rPr>
          <w:rFonts w:ascii="Times New Roman" w:hAnsi="Times New Roman"/>
          <w:color w:val="000000" w:themeColor="text1"/>
          <w:sz w:val="16"/>
          <w:szCs w:val="16"/>
        </w:rPr>
        <w:softHyphen/>
        <w:t>ной возможности переделки брони</w:t>
      </w:r>
      <w:r w:rsidRPr="00271E51">
        <w:rPr>
          <w:rFonts w:ascii="Times New Roman" w:hAnsi="Times New Roman"/>
          <w:color w:val="000000" w:themeColor="text1"/>
          <w:sz w:val="16"/>
          <w:szCs w:val="16"/>
        </w:rPr>
        <w:softHyphen/>
        <w:t>рованного истребителя Ил-1 в двух</w:t>
      </w:r>
      <w:r w:rsidRPr="00271E51">
        <w:rPr>
          <w:rFonts w:ascii="Times New Roman" w:hAnsi="Times New Roman"/>
          <w:color w:val="000000" w:themeColor="text1"/>
          <w:sz w:val="16"/>
          <w:szCs w:val="16"/>
        </w:rPr>
        <w:softHyphen/>
        <w:t>местный штурмовик с высокими лет</w:t>
      </w:r>
      <w:r w:rsidRPr="00271E51">
        <w:rPr>
          <w:rFonts w:ascii="Times New Roman" w:hAnsi="Times New Roman"/>
          <w:color w:val="000000" w:themeColor="text1"/>
          <w:sz w:val="16"/>
          <w:szCs w:val="16"/>
        </w:rPr>
        <w:softHyphen/>
        <w:t>ными и боевыми данными. На штур</w:t>
      </w:r>
      <w:r w:rsidRPr="00271E51">
        <w:rPr>
          <w:rFonts w:ascii="Times New Roman" w:hAnsi="Times New Roman"/>
          <w:color w:val="000000" w:themeColor="text1"/>
          <w:sz w:val="16"/>
          <w:szCs w:val="16"/>
        </w:rPr>
        <w:softHyphen/>
        <w:t>мовом варианте "единички" предпо</w:t>
      </w:r>
      <w:r w:rsidRPr="00271E51">
        <w:rPr>
          <w:rFonts w:ascii="Times New Roman" w:hAnsi="Times New Roman"/>
          <w:color w:val="000000" w:themeColor="text1"/>
          <w:sz w:val="16"/>
          <w:szCs w:val="16"/>
        </w:rPr>
        <w:softHyphen/>
        <w:t>лагалось установить две 37-мм пуш</w:t>
      </w:r>
      <w:r w:rsidRPr="00271E51">
        <w:rPr>
          <w:rFonts w:ascii="Times New Roman" w:hAnsi="Times New Roman"/>
          <w:color w:val="000000" w:themeColor="text1"/>
          <w:sz w:val="16"/>
          <w:szCs w:val="16"/>
        </w:rPr>
        <w:softHyphen/>
        <w:t>ки 11П и две пушки ШВАК. Нормаль</w:t>
      </w:r>
      <w:r w:rsidRPr="00271E51">
        <w:rPr>
          <w:rFonts w:ascii="Times New Roman" w:hAnsi="Times New Roman"/>
          <w:color w:val="000000" w:themeColor="text1"/>
          <w:sz w:val="16"/>
          <w:szCs w:val="16"/>
        </w:rPr>
        <w:softHyphen/>
        <w:t>ная бомбовая нагрузка включала 400 кг и в перегрузку - 600 кг. Ра</w:t>
      </w:r>
      <w:r w:rsidRPr="00271E51">
        <w:rPr>
          <w:rFonts w:ascii="Times New Roman" w:hAnsi="Times New Roman"/>
          <w:color w:val="000000" w:themeColor="text1"/>
          <w:sz w:val="16"/>
          <w:szCs w:val="16"/>
        </w:rPr>
        <w:softHyphen/>
        <w:t>кетное вооружение состояло из че</w:t>
      </w:r>
      <w:r w:rsidRPr="00271E51">
        <w:rPr>
          <w:rFonts w:ascii="Times New Roman" w:hAnsi="Times New Roman"/>
          <w:color w:val="000000" w:themeColor="text1"/>
          <w:sz w:val="16"/>
          <w:szCs w:val="16"/>
        </w:rPr>
        <w:softHyphen/>
        <w:t>тырех ракетных орудий РО-82. Это была серьезная заявка. Получалось так, что путем переделки Ил-1 мож</w:t>
      </w:r>
      <w:r w:rsidRPr="00271E51">
        <w:rPr>
          <w:rFonts w:ascii="Times New Roman" w:hAnsi="Times New Roman"/>
          <w:color w:val="000000" w:themeColor="text1"/>
          <w:sz w:val="16"/>
          <w:szCs w:val="16"/>
        </w:rPr>
        <w:softHyphen/>
        <w:t>но было довольно быстро предъявить военным и НКАП боевую машину, не уступающую Су-6 М-71ф по лет-но-боевым показателям и имеющую значительно лучшие перспективы по запуску в серийное производство по причине использования уже отрабо</w:t>
      </w:r>
      <w:r w:rsidRPr="00271E51">
        <w:rPr>
          <w:rFonts w:ascii="Times New Roman" w:hAnsi="Times New Roman"/>
          <w:color w:val="000000" w:themeColor="text1"/>
          <w:sz w:val="16"/>
          <w:szCs w:val="16"/>
        </w:rPr>
        <w:softHyphen/>
        <w:t>танной на авиазаводах технологии и более "удобного" мотора (11427).</w:t>
      </w:r>
    </w:p>
    <w:p w14:paraId="6FCD62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940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в Москве спеши</w:t>
      </w:r>
      <w:r w:rsidRPr="00271E51">
        <w:rPr>
          <w:rFonts w:ascii="Times New Roman" w:hAnsi="Times New Roman"/>
          <w:color w:val="000000" w:themeColor="text1"/>
          <w:sz w:val="16"/>
          <w:szCs w:val="16"/>
        </w:rPr>
        <w:softHyphen/>
        <w:t>ли. На заводе № 240 в срочном порядке началось изготовление цель</w:t>
      </w:r>
      <w:r w:rsidRPr="00271E51">
        <w:rPr>
          <w:rFonts w:ascii="Times New Roman" w:hAnsi="Times New Roman"/>
          <w:color w:val="000000" w:themeColor="text1"/>
          <w:sz w:val="16"/>
          <w:szCs w:val="16"/>
        </w:rPr>
        <w:softHyphen/>
        <w:t>нометаллических крыла, хвостовой части фюзеляжа и хвостового опе</w:t>
      </w:r>
      <w:r w:rsidRPr="00271E51">
        <w:rPr>
          <w:rFonts w:ascii="Times New Roman" w:hAnsi="Times New Roman"/>
          <w:color w:val="000000" w:themeColor="text1"/>
          <w:sz w:val="16"/>
          <w:szCs w:val="16"/>
        </w:rPr>
        <w:softHyphen/>
        <w:t>рения для последующей установки на самолет Ил-2М.</w:t>
      </w:r>
    </w:p>
    <w:p w14:paraId="707161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самолет Ил-2 АМ-42 (РК) усиленно готовили к передаче в НИИ ВВС. На самолет установили новый винт АВ-5л-18Б диаметром 3,8 м (тот же АВ-5л-18А, но с укоро</w:t>
      </w:r>
      <w:r w:rsidRPr="00271E51">
        <w:rPr>
          <w:rFonts w:ascii="Times New Roman" w:hAnsi="Times New Roman"/>
          <w:color w:val="000000" w:themeColor="text1"/>
          <w:sz w:val="16"/>
          <w:szCs w:val="16"/>
        </w:rPr>
        <w:softHyphen/>
        <w:t>ченными на 200 мм лопастями). Од</w:t>
      </w:r>
      <w:r w:rsidRPr="00271E51">
        <w:rPr>
          <w:rFonts w:ascii="Times New Roman" w:hAnsi="Times New Roman"/>
          <w:color w:val="000000" w:themeColor="text1"/>
          <w:sz w:val="16"/>
          <w:szCs w:val="16"/>
        </w:rPr>
        <w:softHyphen/>
        <w:t>нако в ходе испытательных полетов 6 и 11 ноября вновь появилась силь</w:t>
      </w:r>
      <w:r w:rsidRPr="00271E51">
        <w:rPr>
          <w:rFonts w:ascii="Times New Roman" w:hAnsi="Times New Roman"/>
          <w:color w:val="000000" w:themeColor="text1"/>
          <w:sz w:val="16"/>
          <w:szCs w:val="16"/>
        </w:rPr>
        <w:softHyphen/>
        <w:t>ная тряска мотора, устранить кото</w:t>
      </w:r>
      <w:r w:rsidRPr="00271E51">
        <w:rPr>
          <w:rFonts w:ascii="Times New Roman" w:hAnsi="Times New Roman"/>
          <w:color w:val="000000" w:themeColor="text1"/>
          <w:sz w:val="16"/>
          <w:szCs w:val="16"/>
        </w:rPr>
        <w:softHyphen/>
        <w:t>рую быстро не удалось. Кроме того, вышел из строя маслорадиатор, а также "получен очень малый пере</w:t>
      </w:r>
      <w:r w:rsidRPr="00271E51">
        <w:rPr>
          <w:rFonts w:ascii="Times New Roman" w:hAnsi="Times New Roman"/>
          <w:color w:val="000000" w:themeColor="text1"/>
          <w:sz w:val="16"/>
          <w:szCs w:val="16"/>
        </w:rPr>
        <w:softHyphen/>
        <w:t>пад температуры масла - всего 15 градусов .</w:t>
      </w:r>
    </w:p>
    <w:p w14:paraId="48C535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на "следопыте" в оче</w:t>
      </w:r>
      <w:r w:rsidRPr="00271E51">
        <w:rPr>
          <w:rFonts w:ascii="Times New Roman" w:hAnsi="Times New Roman"/>
          <w:color w:val="000000" w:themeColor="text1"/>
          <w:sz w:val="16"/>
          <w:szCs w:val="16"/>
        </w:rPr>
        <w:softHyphen/>
        <w:t>редной раз переделывалась систе</w:t>
      </w:r>
      <w:r w:rsidRPr="00271E51">
        <w:rPr>
          <w:rFonts w:ascii="Times New Roman" w:hAnsi="Times New Roman"/>
          <w:color w:val="000000" w:themeColor="text1"/>
          <w:sz w:val="16"/>
          <w:szCs w:val="16"/>
        </w:rPr>
        <w:softHyphen/>
        <w:t>ма охлаждения воды и масла, мон</w:t>
      </w:r>
      <w:r w:rsidRPr="00271E51">
        <w:rPr>
          <w:rFonts w:ascii="Times New Roman" w:hAnsi="Times New Roman"/>
          <w:color w:val="000000" w:themeColor="text1"/>
          <w:sz w:val="16"/>
          <w:szCs w:val="16"/>
        </w:rPr>
        <w:softHyphen/>
        <w:t>тировались новые радиаторы, удли</w:t>
      </w:r>
      <w:r w:rsidRPr="00271E51">
        <w:rPr>
          <w:rFonts w:ascii="Times New Roman" w:hAnsi="Times New Roman"/>
          <w:color w:val="000000" w:themeColor="text1"/>
          <w:sz w:val="16"/>
          <w:szCs w:val="16"/>
        </w:rPr>
        <w:softHyphen/>
        <w:t>нялась входная часть воздушного тоннеля. Попутно деревянные консо</w:t>
      </w:r>
      <w:r w:rsidRPr="00271E51">
        <w:rPr>
          <w:rFonts w:ascii="Times New Roman" w:hAnsi="Times New Roman"/>
          <w:color w:val="000000" w:themeColor="text1"/>
          <w:sz w:val="16"/>
          <w:szCs w:val="16"/>
        </w:rPr>
        <w:softHyphen/>
        <w:t>ли крыла самолета были заменены цельнометаллическими.</w:t>
      </w:r>
    </w:p>
    <w:p w14:paraId="50B1C3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дымления и тряс</w:t>
      </w:r>
      <w:r w:rsidRPr="00271E51">
        <w:rPr>
          <w:rFonts w:ascii="Times New Roman" w:hAnsi="Times New Roman"/>
          <w:color w:val="000000" w:themeColor="text1"/>
          <w:sz w:val="16"/>
          <w:szCs w:val="16"/>
        </w:rPr>
        <w:softHyphen/>
        <w:t>ки мотора поначалу планировали снять его с самолета и "отрегулиро</w:t>
      </w:r>
      <w:r w:rsidRPr="00271E51">
        <w:rPr>
          <w:rFonts w:ascii="Times New Roman" w:hAnsi="Times New Roman"/>
          <w:color w:val="000000" w:themeColor="text1"/>
          <w:sz w:val="16"/>
          <w:szCs w:val="16"/>
        </w:rPr>
        <w:softHyphen/>
        <w:t>вать на моторном заводе". Дело в том, что на АМ-42 стояли "опытные беспоплавковые карбюраторы", ре</w:t>
      </w:r>
      <w:r w:rsidRPr="00271E51">
        <w:rPr>
          <w:rFonts w:ascii="Times New Roman" w:hAnsi="Times New Roman"/>
          <w:color w:val="000000" w:themeColor="text1"/>
          <w:sz w:val="16"/>
          <w:szCs w:val="16"/>
        </w:rPr>
        <w:softHyphen/>
        <w:t>гулировка которых была очень слож</w:t>
      </w:r>
      <w:r w:rsidRPr="00271E51">
        <w:rPr>
          <w:rFonts w:ascii="Times New Roman" w:hAnsi="Times New Roman"/>
          <w:color w:val="000000" w:themeColor="text1"/>
          <w:sz w:val="16"/>
          <w:szCs w:val="16"/>
        </w:rPr>
        <w:softHyphen/>
        <w:t>ной и требовала большого опыта. Однако "Главный конструктор мото</w:t>
      </w:r>
      <w:r w:rsidRPr="00271E51">
        <w:rPr>
          <w:rFonts w:ascii="Times New Roman" w:hAnsi="Times New Roman"/>
          <w:color w:val="000000" w:themeColor="text1"/>
          <w:sz w:val="16"/>
          <w:szCs w:val="16"/>
        </w:rPr>
        <w:softHyphen/>
        <w:t>ра А. А. Микулин рекомендовал про</w:t>
      </w:r>
      <w:r w:rsidRPr="00271E51">
        <w:rPr>
          <w:rFonts w:ascii="Times New Roman" w:hAnsi="Times New Roman"/>
          <w:color w:val="000000" w:themeColor="text1"/>
          <w:sz w:val="16"/>
          <w:szCs w:val="16"/>
        </w:rPr>
        <w:softHyphen/>
        <w:t>вести эти работы на моторе, не сни</w:t>
      </w:r>
      <w:r w:rsidRPr="00271E51">
        <w:rPr>
          <w:rFonts w:ascii="Times New Roman" w:hAnsi="Times New Roman"/>
          <w:color w:val="000000" w:themeColor="text1"/>
          <w:sz w:val="16"/>
          <w:szCs w:val="16"/>
        </w:rPr>
        <w:softHyphen/>
        <w:t>мая его с самолета".</w:t>
      </w:r>
    </w:p>
    <w:p w14:paraId="4E9C2A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5BFE3"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До осени 1944 г., когда были получены положительные результаты испытаний таких баков а НИИ ВВС, как следует из документов, продолжалась отработка конструкций мягких бензобаков (17733).</w:t>
      </w:r>
    </w:p>
    <w:p w14:paraId="6F9F43C6" w14:textId="77777777" w:rsidR="00BF1343" w:rsidRPr="00271E51" w:rsidRDefault="00BF1343" w:rsidP="00271E51">
      <w:pPr>
        <w:spacing w:after="0" w:line="240" w:lineRule="auto"/>
        <w:jc w:val="both"/>
        <w:rPr>
          <w:rFonts w:ascii="Times New Roman" w:hAnsi="Times New Roman"/>
          <w:color w:val="000000" w:themeColor="text1"/>
          <w:sz w:val="16"/>
          <w:szCs w:val="16"/>
        </w:rPr>
      </w:pPr>
    </w:p>
    <w:p w14:paraId="3A5770E3" w14:textId="77777777" w:rsidR="00DA1B4D" w:rsidRPr="00271E51" w:rsidRDefault="00DA1B4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работу над Пе-3 возобновили (2475,19).</w:t>
      </w:r>
    </w:p>
    <w:p w14:paraId="47928071" w14:textId="77777777" w:rsidR="00DA1B4D" w:rsidRPr="00271E51" w:rsidRDefault="00DA1B4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7F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Пе-2Б с моторами М-105ПФ создавался по типу Пе-2А с добавлением новых коков винтов, обеспечивающих лучшее сопряжение с мотогондолами, иной капотировкой моторов, аэродинамическими улучшениями по предложениям ЦАГИ. В частности, предусматривалась установка маслорадиаторов и всасывающих патрубков в передней кромке крыла. Переднюю часть крыла также предполагалось изменить: от передней кромки до первого лонжерона консолей профиль должен был соответствовать типу NACA-230. По расчетам максимальная скорость полета при нормальном полетном весе 7900 кг должна была составить 560 км/ч, дальность полета возрасти до 1200 км за счет введения дополнительных бензобаков. Вооружение не изменялось. Для постройки этого варианта был выделен самолет № 19/223.</w:t>
      </w:r>
    </w:p>
    <w:p w14:paraId="035B0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Пе-2В с моторами М-105ПФ должен был стать еще более радикальной модификацией “пешки”. Фюзеляж машины предполагалось опустить на 300 мм относительно центроплана (как у Пе-2Ф) и за счет этого значительно увеличить размеры основного бомбоотсека. Объем и количество бензобаков также планировалось изменить в целях повышения дальности полета до 1500 км. Доработки силовой установки - по типу Пе-2Б. В связи с возрастанием нормального полетного веса до 8800 кг решили увеличить диаметр колес основных стоек, усиливались и амортизаторы шасси. Расчетная максимальная скорость машины составляла 560 км/ч, нормальная бомбовая нагрузка - 1000 кг, в перегрузку - 1500 кг. Внутрь фюзеляжа можно было загружать одну 500-килограммовую бомбу или две 250-килограммовых. Стрелковое вооружение проектировалось уменьшенным до трех крупнокалиберных пулеметов - по одному у каждого члена экипажа (4476).</w:t>
      </w:r>
    </w:p>
    <w:p w14:paraId="5771A8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12E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1943г. В.М.Мясищева увлекла более радикальная идея коренной переработки концепции фронтового бомбардировщика. Новый взгляд базировался на успехе скоростных английских самолетов “Москито”, лишенных оборонительного вооружения. Постепенно работа над Пе-6 с моторами М-107А (прежнее название - Пе-2Д) являлся непосредственным развитием идеи Пе-2Ф прекратилась, зато “советский Москито” создавался ударными темпами. Мясищев пожертвовал “шестеркой” в пользу “журавля в небе” - будущего Пе-2И. Машину № 5/134, бывший второй экземпляр самолета модификации “Ф”, впоследствии использовали на заводе № 26 для отладки варианта “пешки” с моторами ВК-108 (4476).</w:t>
      </w:r>
    </w:p>
    <w:p w14:paraId="313FA2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365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Осенью 1943 г. Мясишева увлекла идея коренной переработки концепции фронтового бомбардировщика. Новый взгляд базировался на успехе скоростных английских бомбардировщиков "Москито", не имевших оборонительного вооружения. Постепенно работа над Пе-6 замерла, зато "советский Москито" создавался ударными темпами. Мясишев пожертвовал "шестеркой" в пользу "журавля в небе" - будущего Пе-2И. Машину зав. № 5/134 впоследствии использовали на заводе № 26 для отладки варианта "пешки" с еще более мощными моторами В К-108.</w:t>
      </w:r>
    </w:p>
    <w:p w14:paraId="419328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Круг задач, поставленный главным конструктором перед ОКО 22 и опытным цехом, не исчерпывался перечисленными выше модификациями. В ноябре 1943 г. начались заводские летные испытания самолета Пе-2 с двигателями М-1. Этот мотор, со- Выхлопные патрубки зданный на заводе № 16, представлял собой на мотогондоле самолета непосредственное развитие М-105 с сохранением его внешних форм и основных размеров (диаметр цилиндров был все же незначительно увеличен). По расчетам, M-l должен был обеспечивать максимальную мощность 1500 л.с. у земли и 1300 л.с. на второй границе высотности 5000 м.</w:t>
      </w:r>
    </w:p>
    <w:p w14:paraId="45790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установки новых многообещающих моторов завод выделил серийный Пе-2 зав.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4EEC50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серийным на 2,6 мин. В акте по испытаниям, которые закончились в феврале 1944 г., отмечалось, что полученные данные могут быть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перспективные планы с моторами M-I07A, а запускать в производство сразу два новых двигателя жидкостного охлаждения было неразумно, поэтому у Пе-2 с М-1 шансов на серию не осталось.</w:t>
      </w:r>
    </w:p>
    <w:p w14:paraId="5ACA50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Зато предпринимались попытки кратковременно повысить мощность обычных серийных моторов М-105ПФ за счет впрыска воды во всасывающие патрубки нагнетателей. Для проведения опытов был выделен Пе-2 зав. № 14/226. Результаты оказались неважными, поэтому самолет весной 1944 г. снова переоборудовали, но уже с другой целью. Сущность модификации заключалась в следующем:</w:t>
      </w:r>
    </w:p>
    <w:p w14:paraId="1E8355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носок консольной части крыла до 25% хорды заменялся профилем NACA 230;</w:t>
      </w:r>
    </w:p>
    <w:p w14:paraId="2F862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47BF0E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0788F7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2C7F90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34C820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7CA596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210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на Каспиии проходили испытания РЛС «Гнейс-2М», специально предназначенной для поис</w:t>
      </w:r>
      <w:r w:rsidRPr="00271E51">
        <w:rPr>
          <w:rFonts w:ascii="Times New Roman" w:hAnsi="Times New Roman"/>
          <w:color w:val="000000" w:themeColor="text1"/>
          <w:sz w:val="16"/>
          <w:szCs w:val="16"/>
        </w:rPr>
        <w:softHyphen/>
        <w:t>ка целей на море. В мае следующего года испытания продолжили на одном из самолетов 5-го гв. мтап (принадлежавшем известному летчику В.И. Минакову). Первый вы</w:t>
      </w:r>
      <w:r w:rsidRPr="00271E51">
        <w:rPr>
          <w:rFonts w:ascii="Times New Roman" w:hAnsi="Times New Roman"/>
          <w:color w:val="000000" w:themeColor="text1"/>
          <w:sz w:val="16"/>
          <w:szCs w:val="16"/>
        </w:rPr>
        <w:softHyphen/>
        <w:t>лет с РЛС состоялся 20 мая. Антенная система уменьшала скорость примерно на 20 км/ч и несколько ухудшила мане</w:t>
      </w:r>
      <w:r w:rsidRPr="00271E51">
        <w:rPr>
          <w:rFonts w:ascii="Times New Roman" w:hAnsi="Times New Roman"/>
          <w:color w:val="000000" w:themeColor="text1"/>
          <w:sz w:val="16"/>
          <w:szCs w:val="16"/>
        </w:rPr>
        <w:softHyphen/>
        <w:t>вренность. Первый ночной поиск имел место 6 июня. Но нашли лишь несколь</w:t>
      </w:r>
      <w:r w:rsidRPr="00271E51">
        <w:rPr>
          <w:rFonts w:ascii="Times New Roman" w:hAnsi="Times New Roman"/>
          <w:color w:val="000000" w:themeColor="text1"/>
          <w:sz w:val="16"/>
          <w:szCs w:val="16"/>
        </w:rPr>
        <w:softHyphen/>
        <w:t>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w:t>
      </w:r>
      <w:r w:rsidRPr="00271E51">
        <w:rPr>
          <w:rFonts w:ascii="Times New Roman" w:hAnsi="Times New Roman"/>
          <w:color w:val="000000" w:themeColor="text1"/>
          <w:sz w:val="16"/>
          <w:szCs w:val="16"/>
        </w:rPr>
        <w:softHyphen/>
        <w:t>вили на А-20, их применение было бо</w:t>
      </w:r>
      <w:r w:rsidRPr="00271E51">
        <w:rPr>
          <w:rFonts w:ascii="Times New Roman" w:hAnsi="Times New Roman"/>
          <w:color w:val="000000" w:themeColor="text1"/>
          <w:sz w:val="16"/>
          <w:szCs w:val="16"/>
        </w:rPr>
        <w:softHyphen/>
        <w:t>лее удачным (10734,85).</w:t>
      </w:r>
    </w:p>
    <w:p w14:paraId="398B7F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B893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на Каспийском море на Ил-4 проходили испытания РЛС "Гнейс-2М", специально предназначенную для поиска целей на море. Плоская передающая антенна располагалась на месте носового пулемета, приемные, напоминавшие внешне лестницы, размещались по боргам фюзеляжа. Оператор сидел на месте стрелка-ра- диста. РЛС создавала массу проблем штурману, поскольку помехи от нее воздействовали на многие приборы. В мае следующего года испытания продолжили на одном из самолетов 5-го гв. мтап (принадлежавшем известному летчику В.И. Минакову). Первый вылет с РЛС состоялся 20 мая. Антенная система уменьшала скорость примерно на 20 км/ч и несколько ухудшила маневренность. Первый ночной поиск имел место 6 июня. Но нашли лишь несколько рыболовецких судов у румынского берега, на которые не стоило тратить торпеду. И все последующие боевые вылеты с РЛС закончились безрезультатно. На Балтике такие же радары ставили на А-20, их применение было более удачным (12021).</w:t>
      </w:r>
    </w:p>
    <w:p w14:paraId="3EF8AF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8B4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ЛИИ завершили испытания трех новых воздуш</w:t>
      </w:r>
      <w:r w:rsidRPr="00271E51">
        <w:rPr>
          <w:rFonts w:ascii="Times New Roman" w:hAnsi="Times New Roman"/>
          <w:color w:val="000000" w:themeColor="text1"/>
          <w:sz w:val="16"/>
          <w:szCs w:val="16"/>
        </w:rPr>
        <w:softHyphen/>
        <w:t>ных винтов, изготовленных заводом № 467 для Ла-5ФН. По их ре</w:t>
      </w:r>
      <w:r w:rsidRPr="00271E51">
        <w:rPr>
          <w:rFonts w:ascii="Times New Roman" w:hAnsi="Times New Roman"/>
          <w:color w:val="000000" w:themeColor="text1"/>
          <w:sz w:val="16"/>
          <w:szCs w:val="16"/>
        </w:rPr>
        <w:softHyphen/>
        <w:t>зультатам с конца 1943 г. в серийное производство запустили ВИШ-105В-4. Благодаря новым скоростным профилям ЦАГИ и из</w:t>
      </w:r>
      <w:r w:rsidRPr="00271E51">
        <w:rPr>
          <w:rFonts w:ascii="Times New Roman" w:hAnsi="Times New Roman"/>
          <w:color w:val="000000" w:themeColor="text1"/>
          <w:sz w:val="16"/>
          <w:szCs w:val="16"/>
        </w:rPr>
        <w:softHyphen/>
        <w:t>менению крутки лопастей, скорость самолета увеличилась на 11 км/ч, а разбег и взлетная дистанция сократились на 30 и 75 м, соответственно (11123).</w:t>
      </w:r>
    </w:p>
    <w:p w14:paraId="7CF186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DEB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изучив ФВ190, в ЦИАМ разработали и ре</w:t>
      </w:r>
      <w:r w:rsidRPr="00271E51">
        <w:rPr>
          <w:rFonts w:ascii="Times New Roman" w:hAnsi="Times New Roman"/>
          <w:color w:val="000000" w:themeColor="text1"/>
          <w:sz w:val="16"/>
          <w:szCs w:val="16"/>
        </w:rPr>
        <w:softHyphen/>
        <w:t>комендовали к внедрению на Ла-5 маслобак, который не давал выброса масла до высоты 8000 м. Однако, по всей видимости, в се</w:t>
      </w:r>
      <w:r w:rsidRPr="00271E51">
        <w:rPr>
          <w:rFonts w:ascii="Times New Roman" w:hAnsi="Times New Roman"/>
          <w:color w:val="000000" w:themeColor="text1"/>
          <w:sz w:val="16"/>
          <w:szCs w:val="16"/>
        </w:rPr>
        <w:softHyphen/>
        <w:t>рию это новшество так и не пошло. Для советских самолетов того периода был характерен выброс масла через суфлер — устройство, служившее для понижения дав</w:t>
      </w:r>
      <w:r w:rsidRPr="00271E51">
        <w:rPr>
          <w:rFonts w:ascii="Times New Roman" w:hAnsi="Times New Roman"/>
          <w:color w:val="000000" w:themeColor="text1"/>
          <w:sz w:val="16"/>
          <w:szCs w:val="16"/>
        </w:rPr>
        <w:softHyphen/>
        <w:t xml:space="preserve">ления в маслобаке, чтобы не допустить его разрыва с подъемом на высоту. На Ла-5 с этим боролись, ограничивая заправку масла с 40 до 35 л. </w:t>
      </w:r>
    </w:p>
    <w:p w14:paraId="6EDFA6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0935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ЛИИ испытывали Ла-5 без предкрылков, но штопорные характеристики его ухудшились, и работы по этой теме возобновили лишь на Ла-9 (11123).</w:t>
      </w:r>
    </w:p>
    <w:p w14:paraId="1D49D7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D8DB37"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Осенью 1943 г. коллектив конструкторского бюро завода № 51 Н.Н. Поликарпова получил поручение разработать про ект двухпушечного высотного реактивного истребителя-пере хватчика. Самолет, получивший условное обозначение «Ма лютка», имел некоторые необычные для своего времени черты: резко вынесенную вперед кабину летчика;</w:t>
      </w:r>
    </w:p>
    <w:p w14:paraId="7E5E962F"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шасси с носовым колесом, позволившее решить задачу мак симального использования свободных объемов фюзеляжа для размещения топлива;</w:t>
      </w:r>
    </w:p>
    <w:p w14:paraId="0DB474AD"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предельно малые геометрические раз меры.</w:t>
      </w:r>
    </w:p>
    <w:p w14:paraId="5EECBE07"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Запроектированная установка двухкамерного ЖРД РД-2М конструк ции КБ НИИ-1 Л.С. Душкина, с турбонасосной подачей топ лива и тягой 1100 кгс должна была обеспечить самолету «Ма лютка» набор высоты 5000 м за 1 мин и продолжительность полета 8... 14 мин при взлетной массе самолета, равной 2550 кг. Расчетная максимальная скорость «Малютки» оп ределялась равной 875 км/ч.</w:t>
      </w:r>
    </w:p>
    <w:p w14:paraId="3B4300B0"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Этот экспериментальный истребитель-перехватчик кратков ременного действия проектировался под те же тактико-техни ческие требования (ТТТ), что и самолеты БИ и 302.</w:t>
      </w:r>
    </w:p>
    <w:p w14:paraId="147E3A3B"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Конструкция смешанная: фюзеляж — фа нерный монокок, крыло цель нометаллическое, как и опере «Малютка» [8] ние. Шасси — с носовым коле сом. На вооружение самолета предполагали поставить две пушки калибра 23 мм.</w:t>
      </w:r>
    </w:p>
    <w:p w14:paraId="498C9830"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ЦАГИ уже начались исследования модели самолета в аэродинамической трубе больших скоростей. Но в это время умер Н.Н. Поликарпов, поэтому исследования вынуждены были прервать.</w:t>
      </w:r>
    </w:p>
    <w:p w14:paraId="31B75077" w14:textId="77777777" w:rsidR="00771B3B" w:rsidRPr="00271E51" w:rsidRDefault="00771B3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дальнейшем после смерти Н.Н. Поликарпова работы по этому самолету уже не производились (19586).</w:t>
      </w:r>
    </w:p>
    <w:p w14:paraId="6096B5B4" w14:textId="77777777" w:rsidR="00771B3B" w:rsidRPr="00271E51" w:rsidRDefault="00771B3B" w:rsidP="00271E51">
      <w:pPr>
        <w:pStyle w:val="ae"/>
        <w:shd w:val="clear" w:color="auto" w:fill="FFFFFF"/>
        <w:spacing w:before="0" w:after="0"/>
        <w:jc w:val="both"/>
        <w:rPr>
          <w:color w:val="000000" w:themeColor="text1"/>
          <w:sz w:val="16"/>
          <w:szCs w:val="16"/>
        </w:rPr>
      </w:pPr>
    </w:p>
    <w:p w14:paraId="10C597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поданным испытаний в ЛИИ была изменена за</w:t>
      </w:r>
      <w:r w:rsidRPr="00271E51">
        <w:rPr>
          <w:rFonts w:ascii="Times New Roman" w:hAnsi="Times New Roman"/>
          <w:color w:val="000000" w:themeColor="text1"/>
          <w:sz w:val="16"/>
          <w:szCs w:val="16"/>
        </w:rPr>
        <w:softHyphen/>
        <w:t>рядка амортизаторов основных стоек шасси: давление в воздуш</w:t>
      </w:r>
      <w:r w:rsidRPr="00271E51">
        <w:rPr>
          <w:rFonts w:ascii="Times New Roman" w:hAnsi="Times New Roman"/>
          <w:color w:val="000000" w:themeColor="text1"/>
          <w:sz w:val="16"/>
          <w:szCs w:val="16"/>
        </w:rPr>
        <w:softHyphen/>
        <w:t>ной камере уменьшили с 40 до 25 атм., количество жидкости в каж</w:t>
      </w:r>
      <w:r w:rsidRPr="00271E51">
        <w:rPr>
          <w:rFonts w:ascii="Times New Roman" w:hAnsi="Times New Roman"/>
          <w:color w:val="000000" w:themeColor="text1"/>
          <w:sz w:val="16"/>
          <w:szCs w:val="16"/>
        </w:rPr>
        <w:softHyphen/>
        <w:t>дой стойке повысили с 550 до 800 мл. Это дало увеличение хода штока до 220 мм, обеспечив более плавное движение по земле и поглощение удара при грубой посадке (11123).</w:t>
      </w:r>
    </w:p>
    <w:p w14:paraId="074D27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Хотя немецкие системы аварийного сброса фонаря кабины бы</w:t>
      </w:r>
      <w:r w:rsidRPr="00271E51">
        <w:rPr>
          <w:rFonts w:ascii="Times New Roman" w:hAnsi="Times New Roman"/>
          <w:color w:val="000000" w:themeColor="text1"/>
          <w:sz w:val="16"/>
          <w:szCs w:val="16"/>
        </w:rPr>
        <w:softHyphen/>
        <w:t>ли уже известны, на отечественных самолетах такая возможность долгое время отсутствовала. Ла-5 только в 1943 г. получили ава</w:t>
      </w:r>
      <w:r w:rsidRPr="00271E51">
        <w:rPr>
          <w:rFonts w:ascii="Times New Roman" w:hAnsi="Times New Roman"/>
          <w:color w:val="000000" w:themeColor="text1"/>
          <w:sz w:val="16"/>
          <w:szCs w:val="16"/>
        </w:rPr>
        <w:softHyphen/>
        <w:t>рийный сброс сдвижной части остекления. Ремкомплекты для строевых частей делал 381-й завод (11123).</w:t>
      </w:r>
    </w:p>
    <w:p w14:paraId="35F7DD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D61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ЛИИ провели испытания мотора М-82ФН только с центробежным воздухоотделителем, по результа</w:t>
      </w:r>
      <w:r w:rsidRPr="00271E51">
        <w:rPr>
          <w:rFonts w:ascii="Times New Roman" w:hAnsi="Times New Roman"/>
          <w:color w:val="000000" w:themeColor="text1"/>
          <w:sz w:val="16"/>
          <w:szCs w:val="16"/>
        </w:rPr>
        <w:softHyphen/>
        <w:t>там которых было рекомендовано маятниковую систему снять (11123).</w:t>
      </w:r>
    </w:p>
    <w:p w14:paraId="138965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27D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в Москву прибыла специальная бригада фирмы "Белл" во главе с Л.Роджерсом, отвечавшим в компании за рекламации в связи со штопором на Р-39 "Аэрокобра". Из за того, что мотор стоял в центре тяжести самолета, "Кобра" сильно реагировала на изменение центровки. После израсходования пушечных снарядов центровка резко менялась и истребитель часто срывался в штопор. При запаздывании с выведением из штопора всего на полсекунды Р-39 переходил в еще более опасный плоский штопор. Достаточно было небрежности на глубоком вираже или боевом развороте, и нилот, чуть-чуть сильнее обычною нажавший педаль, тут же попадал в серьезную опасность. Штопор на "Кобре" был к тому же неравномерным - возникало биение ручки управления с большими физическими нагрузками. В отчете НИИ ВВС об испытании самолета P-39Q-10 (летчик К. И.Овчинников) указывалось: "К штопору приводит и перетягивание ручки или передача ног на фигурах высшего пилотажа. При смещении центровки назад - тенденция штопора усиливается". Самой опасной являлась ситуация, когда боекомплекта на самолете нет, а маслобак заправлен под горловину. Применительно к ней говорилось: "Выполнять высший пилотаж на самолете весьма трудно... Малейшее перетягивание ручки на себя ведет к быстрому падению скорости и переходу в штопор". Штопор являлся причиной многочисленных аварий и катастроф в боевых частях. За два месяца 1944 года из-за него только в 1-й гвардейской авиадивизии произошли две катастрофы и четыре аварии. Кое-где поначалу даже возникла паническая боязнь выполнения на Р-39 фигур высшею пилотажа. Об этом, например, рассказывает в своих мемуарах П.М.Дзусов). Причем разбивались не только наскоро обученные пилоты военного времени, но и опытные летчики-испытатели. Только в НИИ ВВС произошли три катастрофы: 2 февраля 1943 года на "Аэрокобре" I погиб К.А.Груздев, 3 января 1944 года на P-39N-К.А.Автономов и 27 апреля того же года на P-39Q-10-К. П.Овчинников.</w:t>
      </w:r>
    </w:p>
    <w:p w14:paraId="0F9D04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попавшею в штопор Р-39 было нелегко и выпрыгнуть. Прыгали в левую дверь, которая в аварийной ситуации сбрасывалась. При этом часто человек ударялся о стабилизатор. Последствия этого могли быть и смертельными. Таким образом тяжелые травмы получили Герои Советского Союза П.М.Искрин (в мае 1943 года) и Б. Б. Глинка (в июле 1944 года). Но даже если пилоту повезло и он выходил из штопора, его подстерегала новая опасность: из-за больших перегрузок у Р-39 деформировалось хвостовое оперение, заклинивало рули. В марте 1944 года после серии аварии и катастроф в 11-м истребительном корпусе провели проверку всех "Кобр". На 15 машинах выявили явные признаки деформации. Большая эффективность рулей могла привести и к тому, что высокие значения перегрузок можно было получить при резком маневрировании. Результат - тот же самый, деформация оперения и хвостовой части фюзеляжа. Вот строки из доклада старшего инженера 273-й дивизии (сентябрь 1944 года): "Выявлены &lt;...&gt; скручивание хвостовой части фюзеляжа на участке радиолюка при резких эволюциях в воздухе. Обнаруживалась деформация обшивки в нижней концевой части фюзеляжа... Был случай, когда в воздухе одна из половин стабилизатора загибалась во внутреннюю сторону". В СССР осуществили целую программу борьбы с основными дефектами "Аэрокобры". После тщательных испытаний выявили действия летчика, провоцирующие вхождение в штопор. В НИИ ВВС провели учебные сборы инструкторов, в части направили опытных нилотов, демонстрировавших безопасные приемы пилотирования американского истребителя. Сняли даже учебный фильм "Штопор самолета "Аэрокобра". Все это существенно уменьшило аварийность на фронте, хотя полностью от потерь избавить, конечно, не могло. Распоряжением главного инженера ВВС ввели ограничения на центровку самолета, запретили при перебазировании укладывать в хвостовую часть чехлы и инструмент. Высший пилотаж без боезапаса или равного ему но весу балласта категорически запрещался. Для смещения вперед центровки истребителя иногда практиковали снятие бронезащиты с маслобака. Занялись и усилением хвостовой части Р-39. Выяснилось, что запасы прочности "Кобры" ниже, чем принятые в СССР. В конструкторском бюро Центральной научно-эксплуатационной базы (ЦНЭБ) ВВС инженер М.С.Малков разработал методику подкрепления набора в хвостовой части. Опытный самолет переделали и испытали в НИИ ВВС. Вслед за.ним доработку "Аэрокобр" развернули непосредственно в полках. Только в ПВО таким образом переделали 326 самолетов. В различных частях но собственной инициативе вносили в планер истребителя другие усиления. Так, в 273-й дивизии ставили накладки на лонжероны стабилизатора (3457,77).</w:t>
      </w:r>
    </w:p>
    <w:p w14:paraId="15AF26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7F7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началась работа над первым вариантом Ил-12, который разрабатывалмя под 5 М-88 и был рассчитан на 29 пассажирских мест. В соответствии с требованиями того времени входная дверь в пассажирскую кабину располагалась на правом борту. По уровню комфорта, представляемого пассажирам, и шагу установки кресел салон Ил-12 соответствовал пассажирским салонам первого класса. Дальность полета с уменьшенным вдвое числом пассажиров предполагалась равной 5000 км при крейсерской скорости около 400 км/ч. Эти высокие для того времени летно-технические данные наиболее полно соответствовали особенностям существовавших в то время линий “Аэрофлота”, обеспечивая беспосадочные полеты нового самолета по большинству воздушных трасс, связывающих крупные промышленные и административные центры страны, и позволяя совместно с имеющимся парком Ли-2 выполнять различные транспортные задачи.</w:t>
      </w:r>
    </w:p>
    <w:p w14:paraId="78B560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практической реализации требуемых летно-технических данных в проект заложили ряд оригинальных конструкторских решений. Прежде всего, первый вариант проекта Ил-12 предусматривал создание высотного самолета с крейсерской высотой полета 6000-7000 м. На этой высоте плотность воздуха и лобовое сопротивление значительно меньше, чем у земли, и при сохранении на такой высоте необходимой мощности двигателей скорость и дальность полета машины увеличиваются. Повышаются также безопасность и регулярность рейсов: полет на больших высотах происходит, как правило, в более благоприятных метеоусловиях, при меньшей опасности обледенения.</w:t>
      </w:r>
    </w:p>
    <w:p w14:paraId="6146D5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этого на первом варианте Ил-12 предполагалось установить четыре высотных мотора М-88В, являвшихся дальнейшим развитием надежных, хорошо зарекомендовавших себя в длительных боевых полетах бомбардировщиков Ил-4 двигателей М-88Б. Силовая установка с использованием мотора, прошедшего длительный путь усовершенствований, экономичного, с большим ресурсом, обеспечивала новому авиалайнеру не только высокий уровень безопасности полетов (в том числе при отказе одного двигателя на взлете), но и требуемую экономическую эффективность. Надежность работы М-88В повышалась и тем, что для сохранения необходимой высотности на нем применялся не турбокомпрессор, еще нуждавшийся в длительной доводке, а новый, отработанный на опытном двигателе М-89, приводной центробежный нагнетатель. С ним М-88В сохранял номинальную мощность 1000 л. с. до высоты 7300 м.</w:t>
      </w:r>
    </w:p>
    <w:p w14:paraId="757856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и пассажиры размещались в герметическом фюзеляже вентиляционного типа, его наддув осуществлялся воздухом, отбираемым от нагнетателей двигателей.</w:t>
      </w:r>
    </w:p>
    <w:p w14:paraId="24959A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Внешние обводы носовой части фюзеляжа первого варианта Ил-12 были характерны для конструкторского стиля С.В.Ильюшина. Нос, выполненный в виде сферы с вписанным в ее поверхность остеклением фонаря кабины, имел форму, наиболее выгодную для восприятия нагрузок от избыточного давления в герметичной кабине -практически все силовые элементы и, прежде всего, обшивка носовой части фюзеляжа работали на растяжение и легко поддавались детальному прочностному расчету.</w:t>
      </w:r>
    </w:p>
    <w:p w14:paraId="1A6472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Перегородка такой же сферической формы замыкала герметичную кабину и в хвостовой части фюзеляжа.</w:t>
      </w:r>
    </w:p>
    <w:p w14:paraId="1A877A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одной особенностью проекта Ил-12 являлось применение на нем (впервые в практике ОКБ) схемы шасси с передней опорой, в то время весьма редкой на самолетах подобного класса, а в СССР реализованной незадолго до начала проектирования Ил-12 лишь на опытном бомбардировщике ДВБ-102. Во избежание касания задней частью фюзеляжа земли (при грубых посадках) предполагалось установить небольшое хвостовое колесо, полуутопленное в фюзеляже.</w:t>
      </w:r>
    </w:p>
    <w:p w14:paraId="5A65CB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шасси с передней опорой обеспечивала более высокий уровень безопасности при взлете и посадке, особенно в усложненных метеоусловиях. Горизонтальное положение фюзеляжа предоставляло также большие удобства пассажирам во время стоянки самолета на земле (9528).</w:t>
      </w:r>
    </w:p>
    <w:p w14:paraId="0E3D33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D4A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Н.Н.П. получил задание на создание двухпушечного высотного реактивного истребителя-перехватчика Малютка, но работу прервали в 1944 в связи со смертью Н.Н.П. (173,411).</w:t>
      </w:r>
    </w:p>
    <w:p w14:paraId="7C2EA6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в декабре 1943</w:t>
      </w:r>
    </w:p>
    <w:p w14:paraId="24C00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A13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когда А.Н.Т. возвратился в Москву, оказалось, что АГОС занят под ФЗУ, а в ЗОК делают подвесные баки (77,195).</w:t>
      </w:r>
    </w:p>
    <w:p w14:paraId="0CF9F7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Вновь стало заводом 156 (346,5).</w:t>
      </w:r>
    </w:p>
    <w:p w14:paraId="6CA639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ОКБ А.Н.Т. вернулось к 15 апреля 1943</w:t>
      </w:r>
    </w:p>
    <w:p w14:paraId="3FF676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612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было закрыто ОКБ Р.Л.Бартини, организованное в начале войны для разработки реактивных истребителей-перехватчиков (46406).</w:t>
      </w:r>
    </w:p>
    <w:p w14:paraId="68A8B1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50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ОКБ П.О.С. вернулось в Москву в Тушино</w:t>
      </w:r>
    </w:p>
    <w:p w14:paraId="7CE139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А.И.Путилов вернулся в ЦАГИ, где организовал группу перспективного проектирования главным образом по машинам с треугольным крылом (4,174).</w:t>
      </w:r>
    </w:p>
    <w:p w14:paraId="67700E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7EA34"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640B2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7F0C8" w14:textId="77777777" w:rsidR="00771B3B" w:rsidRPr="00271E51" w:rsidRDefault="00771B3B" w:rsidP="00271E51">
      <w:pPr>
        <w:pStyle w:val="ae"/>
        <w:spacing w:before="0" w:after="0"/>
        <w:jc w:val="both"/>
        <w:textAlignment w:val="baseline"/>
        <w:rPr>
          <w:color w:val="000000" w:themeColor="text1"/>
          <w:sz w:val="16"/>
          <w:szCs w:val="16"/>
        </w:rPr>
      </w:pPr>
      <w:r w:rsidRPr="00271E51">
        <w:rPr>
          <w:color w:val="000000" w:themeColor="text1"/>
          <w:sz w:val="16"/>
          <w:szCs w:val="16"/>
        </w:rPr>
        <w:t>Осенью 1943 года на гороховецком артиллерийском полигоне испытывался гранатомёт, который представлял собой противотанковое ружьё Дегтярёва, переделанное под стрельбу 50- и 82-мм минами, переделанными под надкалиберные (с диаметром боеприпаса большим, чем ствол) гранаты.</w:t>
      </w:r>
    </w:p>
    <w:p w14:paraId="607D1D18"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rPr>
        <w:t>«</w:t>
      </w:r>
      <w:r w:rsidRPr="00271E51">
        <w:rPr>
          <w:iCs/>
          <w:color w:val="000000" w:themeColor="text1"/>
          <w:sz w:val="16"/>
          <w:szCs w:val="16"/>
          <w:bdr w:val="none" w:sz="0" w:space="0" w:color="auto" w:frame="1"/>
        </w:rPr>
        <w:t>Перед началом испытаний Гороховецкий АНИОП предупредил автора предложения тов.Старикова о возможности разрыва ружья, вследствие большого веса мин по сравнению с пулей, однако по его настоянию испытания были проведены.</w:t>
      </w:r>
    </w:p>
    <w:p w14:paraId="3AD2060C"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w:t>
      </w:r>
    </w:p>
    <w:p w14:paraId="263EDC84"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Отстрел производился из 14,5 мм противотанкового ружья системы Дегтярева.</w:t>
      </w:r>
    </w:p>
    <w:p w14:paraId="549E8BD8"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Перед стрельбой ружье было установлено под углом возвышения 45° таким образом, что оно опиралось на грунт тремя точками (прикладом и двумя сошками).</w:t>
      </w:r>
    </w:p>
    <w:p w14:paraId="6167B9C7"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С целью амортизации удара в момент выстрела под приклад накладывался кусок каучука.</w:t>
      </w:r>
    </w:p>
    <w:p w14:paraId="634EFF1A"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В начале испытания для проверки устойчивости ружья был произведен пробный выстрел штатной 14,5 мм бронебойной пулей на полном штатном заряде.</w:t>
      </w:r>
    </w:p>
    <w:p w14:paraId="689D734A"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После выстрела устойчивость ружья не нарушилась</w:t>
      </w:r>
    </w:p>
    <w:p w14:paraId="7B5CDED5"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Затем был произведен выстрел 82-мм осколочной миной варианта «Б» (с подвижным стабилизатором) со штангой длиной 500 мм на полном штатном заряде пороха 4/7 весом 0,035 кг.</w:t>
      </w:r>
    </w:p>
    <w:p w14:paraId="34DD825F" w14:textId="77777777" w:rsidR="00771B3B" w:rsidRPr="00271E51" w:rsidRDefault="00771B3B" w:rsidP="00271E51">
      <w:pPr>
        <w:pStyle w:val="ae"/>
        <w:spacing w:before="0" w:after="0"/>
        <w:jc w:val="both"/>
        <w:textAlignment w:val="baseline"/>
        <w:rPr>
          <w:iCs/>
          <w:color w:val="000000" w:themeColor="text1"/>
          <w:sz w:val="16"/>
          <w:szCs w:val="16"/>
        </w:rPr>
      </w:pPr>
      <w:r w:rsidRPr="00271E51">
        <w:rPr>
          <w:iCs/>
          <w:color w:val="000000" w:themeColor="text1"/>
          <w:sz w:val="16"/>
          <w:szCs w:val="16"/>
          <w:bdr w:val="none" w:sz="0" w:space="0" w:color="auto" w:frame="1"/>
        </w:rPr>
        <w:t>После выстрела ствол ружья оказался разорванным, причем передняя часть ствола была найдена оторванной в 5–6 метрах от ружья. Оставшаяся часть ствола была разорвана вдоль образующей по длине около 500 мм</w:t>
      </w:r>
      <w:r w:rsidRPr="00271E51">
        <w:rPr>
          <w:iCs/>
          <w:color w:val="000000" w:themeColor="text1"/>
          <w:sz w:val="16"/>
          <w:szCs w:val="16"/>
        </w:rPr>
        <w:t>».</w:t>
      </w:r>
    </w:p>
    <w:p w14:paraId="30DF4D0E" w14:textId="77777777" w:rsidR="00771B3B" w:rsidRPr="00271E51" w:rsidRDefault="00771B3B" w:rsidP="00271E51">
      <w:pPr>
        <w:pStyle w:val="ae"/>
        <w:spacing w:before="0" w:after="0"/>
        <w:jc w:val="both"/>
        <w:textAlignment w:val="baseline"/>
        <w:rPr>
          <w:color w:val="000000" w:themeColor="text1"/>
          <w:sz w:val="16"/>
          <w:szCs w:val="16"/>
        </w:rPr>
      </w:pPr>
      <w:r w:rsidRPr="00271E51">
        <w:rPr>
          <w:color w:val="000000" w:themeColor="text1"/>
          <w:sz w:val="16"/>
          <w:szCs w:val="16"/>
        </w:rPr>
        <w:t>Сотрудники полигона сразу же предупредили автора проекта инженера Старикова, что добром эта затея не кончится. Изобретатель настаивал на том, что выстрелить нужно. Опасения подтвердились: при пуске 82-мм мины ствол противотанкового ружья просто-напросто разорвало, а его переднюю часть бросило на пять метров вперёд. Конечно, испытания на этом приостановили.</w:t>
      </w:r>
    </w:p>
    <w:p w14:paraId="019BE410" w14:textId="77777777" w:rsidR="00771B3B" w:rsidRPr="00271E51" w:rsidRDefault="00771B3B" w:rsidP="00271E51">
      <w:pPr>
        <w:pStyle w:val="ae"/>
        <w:spacing w:before="0" w:after="0"/>
        <w:jc w:val="both"/>
        <w:textAlignment w:val="baseline"/>
        <w:rPr>
          <w:color w:val="000000" w:themeColor="text1"/>
          <w:sz w:val="16"/>
          <w:szCs w:val="16"/>
        </w:rPr>
      </w:pPr>
      <w:r w:rsidRPr="00271E51">
        <w:rPr>
          <w:color w:val="000000" w:themeColor="text1"/>
          <w:sz w:val="16"/>
          <w:szCs w:val="16"/>
        </w:rPr>
        <w:t>Через неделю в Гороховец привезли более лёгкие 50-мм мины. За это время ружьё починили и переделали, удалив повреждённую часть ствола и усилив оставшуюся мощной стальной втулкой. Дульный тормоз навинтили на «пенёк», который из-под этой втулки торчал. В этот раз ружья хватило на восемь выстрелов, посылавших мины на дистанцию 500–700 метров. Дульный тормоз оторвался уже на первом выстреле, каждый следующий потихоньку разрушал деревянные элементы ПТР. Отстреляв 50-мм мины, изобретатель снова решил пальнуть 82-миллиметровой. Мина улетела на 400 метров, а ружьё превратилось в обломки: разрушился механизм перезаряжания и место, где каркас приклада приваривается к корпусу (18987).</w:t>
      </w:r>
    </w:p>
    <w:p w14:paraId="5488E259" w14:textId="77777777" w:rsidR="00771B3B" w:rsidRPr="00271E51" w:rsidRDefault="00771B3B" w:rsidP="00271E51">
      <w:pPr>
        <w:pStyle w:val="ae"/>
        <w:spacing w:before="0" w:after="0"/>
        <w:jc w:val="both"/>
        <w:textAlignment w:val="baseline"/>
        <w:rPr>
          <w:color w:val="000000" w:themeColor="text1"/>
          <w:sz w:val="16"/>
          <w:szCs w:val="16"/>
        </w:rPr>
      </w:pPr>
    </w:p>
    <w:p w14:paraId="226054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Осенняя кампания 1943 г. характеризовалась тем, что впервые с начала войны Красная Армия перешла в наступ</w:t>
      </w:r>
      <w:r w:rsidRPr="00271E51">
        <w:rPr>
          <w:rFonts w:ascii="Times New Roman" w:hAnsi="Times New Roman"/>
          <w:color w:val="000000" w:themeColor="text1"/>
          <w:sz w:val="16"/>
          <w:szCs w:val="16"/>
        </w:rPr>
        <w:softHyphen/>
        <w:t>ление практически на всех фронтах. Но наступление часто велось еще не вполне грамотно и потому сопровождалось большими потерями.</w:t>
      </w:r>
    </w:p>
    <w:p w14:paraId="649425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Фашистская Германия надеялась остановить «советскую лавину» на т.н. «Восточном вале», построенном преимущес</w:t>
      </w:r>
      <w:r w:rsidRPr="00271E51">
        <w:rPr>
          <w:rFonts w:ascii="Times New Roman" w:hAnsi="Times New Roman"/>
          <w:color w:val="000000" w:themeColor="text1"/>
          <w:sz w:val="16"/>
          <w:szCs w:val="16"/>
        </w:rPr>
        <w:softHyphen/>
        <w:t>твенно по р. Днепр, «где и стать на зимние квартиры». По</w:t>
      </w:r>
      <w:r w:rsidRPr="00271E51">
        <w:rPr>
          <w:rFonts w:ascii="Times New Roman" w:hAnsi="Times New Roman"/>
          <w:color w:val="000000" w:themeColor="text1"/>
          <w:sz w:val="16"/>
          <w:szCs w:val="16"/>
        </w:rPr>
        <w:softHyphen/>
        <w:t>этому битва за Днепр включала ряд крупных весьма важных операций. Но уже в сентябре советские войска на большом протяжении течения Днепра переправились через реку, захватили ряд крупных и множество мелких плацдармов, где после кровопролитных боев закрепились на правом берегу. В октябре 1943 г. «Восточный вал» рухнул, началось наступ</w:t>
      </w:r>
      <w:r w:rsidRPr="00271E51">
        <w:rPr>
          <w:rFonts w:ascii="Times New Roman" w:hAnsi="Times New Roman"/>
          <w:color w:val="000000" w:themeColor="text1"/>
          <w:sz w:val="16"/>
          <w:szCs w:val="16"/>
        </w:rPr>
        <w:softHyphen/>
        <w:t>ление на столицу Украины, закончившееся 6 ноября взяти</w:t>
      </w:r>
      <w:r w:rsidRPr="00271E51">
        <w:rPr>
          <w:rFonts w:ascii="Times New Roman" w:hAnsi="Times New Roman"/>
          <w:color w:val="000000" w:themeColor="text1"/>
          <w:sz w:val="16"/>
          <w:szCs w:val="16"/>
        </w:rPr>
        <w:softHyphen/>
        <w:t>ем Киева; южнее были освобождены крупные приднепров</w:t>
      </w:r>
      <w:r w:rsidRPr="00271E51">
        <w:rPr>
          <w:rFonts w:ascii="Times New Roman" w:hAnsi="Times New Roman"/>
          <w:color w:val="000000" w:themeColor="text1"/>
          <w:sz w:val="16"/>
          <w:szCs w:val="16"/>
        </w:rPr>
        <w:softHyphen/>
        <w:t>ские города — Днепропетровск, Запорожье.</w:t>
      </w:r>
    </w:p>
    <w:p w14:paraId="226BBC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также успешно развива</w:t>
      </w:r>
      <w:r w:rsidRPr="00271E51">
        <w:rPr>
          <w:rFonts w:ascii="Times New Roman" w:hAnsi="Times New Roman"/>
          <w:color w:val="000000" w:themeColor="text1"/>
          <w:sz w:val="16"/>
          <w:szCs w:val="16"/>
        </w:rPr>
        <w:softHyphen/>
        <w:t>лось движение советских войск к западной границе. На юге освобожден Таманский полуостров. На центральном направлении в сентябре 1943 г. освобождены города Брянск и Смоленск.</w:t>
      </w:r>
    </w:p>
    <w:p w14:paraId="1A3143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часто слышны насмешливые высказывания о том, что это наступление шло «по своим трупам». Что рус</w:t>
      </w:r>
      <w:r w:rsidRPr="00271E51">
        <w:rPr>
          <w:rFonts w:ascii="Times New Roman" w:hAnsi="Times New Roman"/>
          <w:color w:val="000000" w:themeColor="text1"/>
          <w:sz w:val="16"/>
          <w:szCs w:val="16"/>
        </w:rPr>
        <w:softHyphen/>
        <w:t>ский солдат, дескать, иначе не мог. Что командование гна</w:t>
      </w:r>
      <w:r w:rsidRPr="00271E51">
        <w:rPr>
          <w:rFonts w:ascii="Times New Roman" w:hAnsi="Times New Roman"/>
          <w:color w:val="000000" w:themeColor="text1"/>
          <w:sz w:val="16"/>
          <w:szCs w:val="16"/>
        </w:rPr>
        <w:softHyphen/>
        <w:t>ло солдат на пулеметы и минные поля, чтобы к годовщине Октябрьской революции отчитаться о взятии столицы Украины. У нас нет задачи подробно разбирать подлинные и мнимые причины высоких потерь наших танков в ходе операций конца 1943 г. Летом 1943 г. всем стало ясно, что 76-мм пушка Ф-34 уже не может считаться достаточно мощной для борь</w:t>
      </w:r>
      <w:r w:rsidRPr="00271E51">
        <w:rPr>
          <w:rFonts w:ascii="Times New Roman" w:hAnsi="Times New Roman"/>
          <w:color w:val="000000" w:themeColor="text1"/>
          <w:sz w:val="16"/>
          <w:szCs w:val="16"/>
        </w:rPr>
        <w:softHyphen/>
        <w:t>бы как с новыми танками противника, так и с модернизиро</w:t>
      </w:r>
      <w:r w:rsidRPr="00271E51">
        <w:rPr>
          <w:rFonts w:ascii="Times New Roman" w:hAnsi="Times New Roman"/>
          <w:color w:val="000000" w:themeColor="text1"/>
          <w:sz w:val="16"/>
          <w:szCs w:val="16"/>
        </w:rPr>
        <w:softHyphen/>
        <w:t>ванными. Если танк ИС уже при создании получил 85-мм орудие Д-5Т, то для Т-34 сию задачу еще только предстояло решить... Да, конечно, установка башни Т-43 на шасси Т-34 давала искомое решение, но требовала не просто изготовле</w:t>
      </w:r>
      <w:r w:rsidRPr="00271E51">
        <w:rPr>
          <w:rFonts w:ascii="Times New Roman" w:hAnsi="Times New Roman"/>
          <w:color w:val="000000" w:themeColor="text1"/>
          <w:sz w:val="16"/>
          <w:szCs w:val="16"/>
        </w:rPr>
        <w:softHyphen/>
        <w:t>ния новой башни. Изменения должны были коснуться так</w:t>
      </w:r>
      <w:r w:rsidRPr="00271E51">
        <w:rPr>
          <w:rFonts w:ascii="Times New Roman" w:hAnsi="Times New Roman"/>
          <w:color w:val="000000" w:themeColor="text1"/>
          <w:sz w:val="16"/>
          <w:szCs w:val="16"/>
        </w:rPr>
        <w:softHyphen/>
        <w:t>же и корпуса Т-34. А делать этого ой как не хотелось!</w:t>
      </w:r>
    </w:p>
    <w:p w14:paraId="6EF7C1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Ведь весь предыдущий опыт подсказывал, что любое вне</w:t>
      </w:r>
      <w:r w:rsidRPr="00271E51">
        <w:rPr>
          <w:rFonts w:ascii="Times New Roman" w:hAnsi="Times New Roman"/>
          <w:color w:val="000000" w:themeColor="text1"/>
          <w:sz w:val="16"/>
          <w:szCs w:val="16"/>
        </w:rPr>
        <w:softHyphen/>
        <w:t>сение изменений в устоявшийся процесс серийного выпуска может принести бедствия с совершенно непредсказуемыми последствиями. Поэтому сначала просмотрели варианты по усилению вооружения в существующей башне. 25 июня 1943 г. технический совет Наркомата вооружений рассмотрел и от</w:t>
      </w:r>
      <w:r w:rsidRPr="00271E51">
        <w:rPr>
          <w:rFonts w:ascii="Times New Roman" w:hAnsi="Times New Roman"/>
          <w:color w:val="000000" w:themeColor="text1"/>
          <w:sz w:val="16"/>
          <w:szCs w:val="16"/>
        </w:rPr>
        <w:softHyphen/>
        <w:t>верг проект перевооружения башни Т-34 орудием калибра 76,2-мм с длиной ствола 50 клб, что вкупе с небольшим уве</w:t>
      </w:r>
      <w:r w:rsidRPr="00271E51">
        <w:rPr>
          <w:rFonts w:ascii="Times New Roman" w:hAnsi="Times New Roman"/>
          <w:color w:val="000000" w:themeColor="text1"/>
          <w:sz w:val="16"/>
          <w:szCs w:val="16"/>
        </w:rPr>
        <w:softHyphen/>
        <w:t>личением навески порохового заряда в гильзе позволило бы поднять начальную скорость снаряда с 662 до 740—750 м/с. Тогда же заказ на разработку 76,2-мм танковой пушки с дли</w:t>
      </w:r>
      <w:r w:rsidRPr="00271E51">
        <w:rPr>
          <w:rFonts w:ascii="Times New Roman" w:hAnsi="Times New Roman"/>
          <w:color w:val="000000" w:themeColor="text1"/>
          <w:sz w:val="16"/>
          <w:szCs w:val="16"/>
        </w:rPr>
        <w:softHyphen/>
        <w:t>ной ствола 60 клб, был выдан ЦАКБ под руководством В. Грабина. Данный проект рассматривался сначала как вто</w:t>
      </w:r>
      <w:r w:rsidRPr="00271E51">
        <w:rPr>
          <w:rFonts w:ascii="Times New Roman" w:hAnsi="Times New Roman"/>
          <w:color w:val="000000" w:themeColor="text1"/>
          <w:sz w:val="16"/>
          <w:szCs w:val="16"/>
        </w:rPr>
        <w:softHyphen/>
        <w:t>ростепенный временный до того момента, как 85-мм орудие будет отработано и принято на вооружение указанного танка.</w:t>
      </w:r>
    </w:p>
    <w:p w14:paraId="31BB75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вскоре после исследования немецкой 75-мм пушки танка «Пантера» внимание к указанному орудию усилилось. Но совместный пленум НКВ и НКБ подвел черту под дан</w:t>
      </w:r>
      <w:r w:rsidRPr="00271E51">
        <w:rPr>
          <w:rFonts w:ascii="Times New Roman" w:hAnsi="Times New Roman"/>
          <w:color w:val="000000" w:themeColor="text1"/>
          <w:sz w:val="16"/>
          <w:szCs w:val="16"/>
        </w:rPr>
        <w:softHyphen/>
        <w:t>ным проектом. Одним из вопросов указанного пленума как раз и был вопрос целесообразности создания 76-мм танковой и противотанковой пушек большой мощности. Докладчиком выступил Э. Сатэль. Он, в частности, сказал: «История знает два пути решения задачи увеличения толщины пробиваемой бро</w:t>
      </w:r>
      <w:r w:rsidRPr="00271E51">
        <w:rPr>
          <w:rFonts w:ascii="Times New Roman" w:hAnsi="Times New Roman"/>
          <w:color w:val="000000" w:themeColor="text1"/>
          <w:sz w:val="16"/>
          <w:szCs w:val="16"/>
        </w:rPr>
        <w:softHyphen/>
        <w:t>ни. Это, во-первых, увеличение начальной 'скорости снаряда и, во-вторых, переход на орудие большего калибра, как имеющего более тяжелый бронебойный снаряд...</w:t>
      </w:r>
    </w:p>
    <w:p w14:paraId="7F92D8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деле улучшения пробиваемости отечественной 76-мм танковой пушки также прослеживаются два пути: удлине</w:t>
      </w:r>
      <w:r w:rsidRPr="00271E51">
        <w:rPr>
          <w:rFonts w:ascii="Times New Roman" w:hAnsi="Times New Roman"/>
          <w:color w:val="000000" w:themeColor="text1"/>
          <w:sz w:val="16"/>
          <w:szCs w:val="16"/>
        </w:rPr>
        <w:softHyphen/>
        <w:t>ние ствола орудия до 60 клб. И переход на боеприпасы 76-мм пушки ЗК, имеющие длину гильзы 550—600мм. Или переход на вооружение танка Т-34 более мощным 85-мм орудием, имею</w:t>
      </w:r>
      <w:r w:rsidRPr="00271E51">
        <w:rPr>
          <w:rFonts w:ascii="Times New Roman" w:hAnsi="Times New Roman"/>
          <w:color w:val="000000" w:themeColor="text1"/>
          <w:sz w:val="16"/>
          <w:szCs w:val="16"/>
        </w:rPr>
        <w:softHyphen/>
        <w:t>щим не только повышенную бронепробиваемость, но более мощный осколочный боеприпас...»</w:t>
      </w:r>
    </w:p>
    <w:p w14:paraId="3F8439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в документе рассматривались все плюсы и минусы указанного решения: «Наиболее простым в реализации следу</w:t>
      </w:r>
      <w:r w:rsidRPr="00271E51">
        <w:rPr>
          <w:rFonts w:ascii="Times New Roman" w:hAnsi="Times New Roman"/>
          <w:color w:val="000000" w:themeColor="text1"/>
          <w:sz w:val="16"/>
          <w:szCs w:val="16"/>
        </w:rPr>
        <w:softHyphen/>
        <w:t>ет признать простое удлинение ствола орудия до 60 клб. Но без перехода к использованию гильзы зенитной пушки обр. 1931 г. никаких выигрышей такое перевооружение не даст...</w:t>
      </w:r>
    </w:p>
    <w:p w14:paraId="4E8FDD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Стоимость нарезного ствола удлинения 60 клб. приблизи</w:t>
      </w:r>
      <w:r w:rsidRPr="00271E51">
        <w:rPr>
          <w:rFonts w:ascii="Times New Roman" w:hAnsi="Times New Roman"/>
          <w:color w:val="000000" w:themeColor="text1"/>
          <w:sz w:val="16"/>
          <w:szCs w:val="16"/>
        </w:rPr>
        <w:softHyphen/>
        <w:t>тельно вдвое превышает таковую у ствола 41 клб...</w:t>
      </w:r>
    </w:p>
    <w:p w14:paraId="003C30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тормоз отката значительно усложняется, чтобы иметь возможность погасить значительную реакцию отдачи в рамках малой величины отката...</w:t>
      </w:r>
    </w:p>
    <w:p w14:paraId="200E25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Гильза 76-мм зенитной пушки обр. 31/38 почти в точнос</w:t>
      </w:r>
      <w:r w:rsidRPr="00271E51">
        <w:rPr>
          <w:rFonts w:ascii="Times New Roman" w:hAnsi="Times New Roman"/>
          <w:color w:val="000000" w:themeColor="text1"/>
          <w:sz w:val="16"/>
          <w:szCs w:val="16"/>
        </w:rPr>
        <w:softHyphen/>
        <w:t>ти повторяет гильзу 85-мм пушки обр. 39 и потому стои</w:t>
      </w:r>
      <w:r w:rsidRPr="00271E51">
        <w:rPr>
          <w:rFonts w:ascii="Times New Roman" w:hAnsi="Times New Roman"/>
          <w:color w:val="000000" w:themeColor="text1"/>
          <w:sz w:val="16"/>
          <w:szCs w:val="16"/>
        </w:rPr>
        <w:softHyphen/>
        <w:t>мость патрон указанных орудий практически сравнилась...</w:t>
      </w:r>
    </w:p>
    <w:p w14:paraId="59B7A6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учесть, что 85-мм пушка при сходном пороховом за</w:t>
      </w:r>
      <w:r w:rsidRPr="00271E51">
        <w:rPr>
          <w:rFonts w:ascii="Times New Roman" w:hAnsi="Times New Roman"/>
          <w:color w:val="000000" w:themeColor="text1"/>
          <w:sz w:val="16"/>
          <w:szCs w:val="16"/>
        </w:rPr>
        <w:softHyphen/>
        <w:t>ряде и нач. скорости более тяжелого бронебойного снаряда имеет лучшие условия пробивания брони как средней, так и высокой твердости, а также, что заброневое действие 85-мм бронебойных снарядов превышает 76-мм калибра в полтора раза, а осколочное действие на 30 процентов... Поскольку определяющим в размещении БК является гильза, а она у 76-мм и 85-мм боеприпаса одинакова, в данном вопросе также выгоднее переходить сразу на калибр 85-мм...</w:t>
      </w:r>
    </w:p>
    <w:p w14:paraId="757C33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76-мм патрон к пушке обр. 31/38 в наст, время не ведется, что создаст дополнительные проблемы снабжения танков боевыми припасами...</w:t>
      </w:r>
    </w:p>
    <w:p w14:paraId="38C61C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модернизацию артиллерийского вооруже</w:t>
      </w:r>
      <w:r w:rsidRPr="00271E51">
        <w:rPr>
          <w:rFonts w:ascii="Times New Roman" w:hAnsi="Times New Roman"/>
          <w:color w:val="000000" w:themeColor="text1"/>
          <w:sz w:val="16"/>
          <w:szCs w:val="16"/>
        </w:rPr>
        <w:softHyphen/>
        <w:t>ния танка Т-34 выгоднее осуществлять по пути перехода на систему 85-мм обр. 39, как обладающую более высокими харак</w:t>
      </w:r>
      <w:r w:rsidRPr="00271E51">
        <w:rPr>
          <w:rFonts w:ascii="Times New Roman" w:hAnsi="Times New Roman"/>
          <w:color w:val="000000" w:themeColor="text1"/>
          <w:sz w:val="16"/>
          <w:szCs w:val="16"/>
        </w:rPr>
        <w:softHyphen/>
        <w:t>теристиками при сходной цене и сходных трудозатратах...»</w:t>
      </w:r>
    </w:p>
    <w:p w14:paraId="232DF8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 моменту окончания проекта 76-мм орудия с длиной ствола 60 клб., шедшего в недрах ЦАКБ под индексом С-54, было принято окончательное решение о нецелесообразности продолжения данного пути и пере</w:t>
      </w:r>
      <w:r w:rsidRPr="00271E51">
        <w:rPr>
          <w:rFonts w:ascii="Times New Roman" w:hAnsi="Times New Roman"/>
          <w:color w:val="000000" w:themeColor="text1"/>
          <w:sz w:val="16"/>
          <w:szCs w:val="16"/>
        </w:rPr>
        <w:softHyphen/>
        <w:t>ходе на 85-мм танковую пушку в увеличенной башне (11135).</w:t>
      </w:r>
    </w:p>
    <w:p w14:paraId="359038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FBC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по словам конструктора В. Тюрина, наступи</w:t>
      </w:r>
      <w:r w:rsidRPr="00271E51">
        <w:rPr>
          <w:rFonts w:ascii="Times New Roman" w:hAnsi="Times New Roman"/>
          <w:color w:val="000000" w:themeColor="text1"/>
          <w:sz w:val="16"/>
          <w:szCs w:val="16"/>
        </w:rPr>
        <w:softHyphen/>
        <w:t>ло «время Ч», то есть время принятия решения об усилении вооружения Т-34. Несмотря на то что 85-мм пушка Д-5Т уже в конце сентября 1943 г. прошла испытания возкой, а в ок</w:t>
      </w:r>
      <w:r w:rsidRPr="00271E51">
        <w:rPr>
          <w:rFonts w:ascii="Times New Roman" w:hAnsi="Times New Roman"/>
          <w:color w:val="000000" w:themeColor="text1"/>
          <w:sz w:val="16"/>
          <w:szCs w:val="16"/>
        </w:rPr>
        <w:softHyphen/>
        <w:t>тябре и стрельбой в танках Т-43 и Т-34 и показала неплохие результаты, вопрос о создании новой 85-мм пушки для сред</w:t>
      </w:r>
      <w:r w:rsidRPr="00271E51">
        <w:rPr>
          <w:rFonts w:ascii="Times New Roman" w:hAnsi="Times New Roman"/>
          <w:color w:val="000000" w:themeColor="text1"/>
          <w:sz w:val="16"/>
          <w:szCs w:val="16"/>
        </w:rPr>
        <w:softHyphen/>
        <w:t>него танка был еще открыт.</w:t>
      </w:r>
    </w:p>
    <w:p w14:paraId="3A47E0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было связано не только с неготовностью завода № 9 к производству 85-мм танковых орудий (несмотря на то что до конца 1943 г. завод должен был выдать 50 орудий Д-5Т, он выдал всего 10 шт.), но и с тем, что даже в расширенной баш</w:t>
      </w:r>
      <w:r w:rsidRPr="00271E51">
        <w:rPr>
          <w:rFonts w:ascii="Times New Roman" w:hAnsi="Times New Roman"/>
          <w:color w:val="000000" w:themeColor="text1"/>
          <w:sz w:val="16"/>
          <w:szCs w:val="16"/>
        </w:rPr>
        <w:softHyphen/>
        <w:t>не Т-43, имеющей погон диаметром 1600 мм, зарядить ору</w:t>
      </w:r>
      <w:r w:rsidRPr="00271E51">
        <w:rPr>
          <w:rFonts w:ascii="Times New Roman" w:hAnsi="Times New Roman"/>
          <w:color w:val="000000" w:themeColor="text1"/>
          <w:sz w:val="16"/>
          <w:szCs w:val="16"/>
        </w:rPr>
        <w:softHyphen/>
        <w:t>дие, имеющее малый «задний отрезок» (расстояние от око</w:t>
      </w:r>
      <w:r w:rsidRPr="00271E51">
        <w:rPr>
          <w:rFonts w:ascii="Times New Roman" w:hAnsi="Times New Roman"/>
          <w:color w:val="000000" w:themeColor="text1"/>
          <w:sz w:val="16"/>
          <w:szCs w:val="16"/>
        </w:rPr>
        <w:softHyphen/>
        <w:t>нечности гильзоулавливателя до венца погона), длинным выстрелом (длина гильзы почти 600 мм) на ходу было край</w:t>
      </w:r>
      <w:r w:rsidRPr="00271E51">
        <w:rPr>
          <w:rFonts w:ascii="Times New Roman" w:hAnsi="Times New Roman"/>
          <w:color w:val="000000" w:themeColor="text1"/>
          <w:sz w:val="16"/>
          <w:szCs w:val="16"/>
        </w:rPr>
        <w:softHyphen/>
        <w:t>не затруднительно. Поэтому для Т-34 требовалась артсисте-ма, имеющая более компактный размер казенной части...(11135).</w:t>
      </w:r>
    </w:p>
    <w:p w14:paraId="726E9C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2F2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на заводе 112 Красное Сормово началось производство Т-34 с 85-мм пушкой Д-5Т Ф.Ф.Петрова. На вооружение эта машина не принималась и в статотчетности как Т-34-85 не представлена, хотя несколько десятков - произвели (3547).</w:t>
      </w:r>
    </w:p>
    <w:p w14:paraId="72A43D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BE8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облик Т-34 выпуска за</w:t>
      </w:r>
      <w:r w:rsidRPr="00271E51">
        <w:rPr>
          <w:rFonts w:ascii="Times New Roman" w:hAnsi="Times New Roman"/>
          <w:color w:val="000000" w:themeColor="text1"/>
          <w:sz w:val="16"/>
          <w:szCs w:val="16"/>
        </w:rPr>
        <w:softHyphen/>
        <w:t>вода № 112 уже не напоминал пресловутого «урода», наобо</w:t>
      </w:r>
      <w:r w:rsidRPr="00271E51">
        <w:rPr>
          <w:rFonts w:ascii="Times New Roman" w:hAnsi="Times New Roman"/>
          <w:color w:val="000000" w:themeColor="text1"/>
          <w:sz w:val="16"/>
          <w:szCs w:val="16"/>
        </w:rPr>
        <w:softHyphen/>
        <w:t>рот, ветеран А. Лешко рассказывал:</w:t>
      </w:r>
    </w:p>
    <w:p w14:paraId="0C69DF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Курска я попал в санбат. Вернулся в бригаду уже в начале октября. Ехал на попутке, что везла харч. Там у ЧМОшников я встретил своего бывшего </w:t>
      </w:r>
      <w:r w:rsidRPr="00271E51">
        <w:rPr>
          <w:rFonts w:ascii="Times New Roman" w:hAnsi="Times New Roman"/>
          <w:color w:val="000000" w:themeColor="text1"/>
          <w:sz w:val="16"/>
          <w:szCs w:val="16"/>
        </w:rPr>
        <w:lastRenderedPageBreak/>
        <w:t>заряжающего Ру</w:t>
      </w:r>
      <w:r w:rsidRPr="00271E51">
        <w:rPr>
          <w:rFonts w:ascii="Times New Roman" w:hAnsi="Times New Roman"/>
          <w:color w:val="000000" w:themeColor="text1"/>
          <w:sz w:val="16"/>
          <w:szCs w:val="16"/>
        </w:rPr>
        <w:softHyphen/>
        <w:t>мянцева, который теперь командовал танком в соседней ро</w:t>
      </w:r>
      <w:r w:rsidRPr="00271E51">
        <w:rPr>
          <w:rFonts w:ascii="Times New Roman" w:hAnsi="Times New Roman"/>
          <w:color w:val="000000" w:themeColor="text1"/>
          <w:sz w:val="16"/>
          <w:szCs w:val="16"/>
        </w:rPr>
        <w:softHyphen/>
        <w:t>те... Он поведал, что бригада пополняется, что он ездил за танками в Горький. Я помнил, что горьковские танки всегда были не очень, и опечалился, но когда пришел в батальон, уди</w:t>
      </w:r>
      <w:r w:rsidRPr="00271E51">
        <w:rPr>
          <w:rFonts w:ascii="Times New Roman" w:hAnsi="Times New Roman"/>
          <w:color w:val="000000" w:themeColor="text1"/>
          <w:sz w:val="16"/>
          <w:szCs w:val="16"/>
        </w:rPr>
        <w:softHyphen/>
        <w:t>вился... Ничего общего со старыми машинами. Все Т-34акку-ратненькие, чистенькие с командирскими башенками на крыше... А когда сел за рычаги, еще больше удивился... Танк стал легким в управлении, быстрее набирал обороты... Пря</w:t>
      </w:r>
      <w:r w:rsidRPr="00271E51">
        <w:rPr>
          <w:rFonts w:ascii="Times New Roman" w:hAnsi="Times New Roman"/>
          <w:color w:val="000000" w:themeColor="text1"/>
          <w:sz w:val="16"/>
          <w:szCs w:val="16"/>
        </w:rPr>
        <w:softHyphen/>
        <w:t>мо ласточка, а не танк...» (11135)</w:t>
      </w:r>
    </w:p>
    <w:p w14:paraId="54A2B7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b/>
          <w:bCs/>
          <w:color w:val="000000" w:themeColor="text1"/>
          <w:sz w:val="16"/>
          <w:szCs w:val="16"/>
        </w:rPr>
      </w:pPr>
    </w:p>
    <w:p w14:paraId="015FFB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продолжение работ по Т-34-122, который назывался в некоторых документах Т-34Г (гаубичный) или Т-34Ш (штурмовой), было прекращено в пользу СУ-122, уже выпускавшихся серийно на УЗТМ (11417).</w:t>
      </w:r>
    </w:p>
    <w:p w14:paraId="5A3BF8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80A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после детального изучения немецких тяжелых орудий "Фердинанд", Главное Артиллерийское Управление обратилось к конструкторским бюро с предложением разработать мощное противотанковое орудие. В качестве примера было предложено ориентироваться на немецкое 88-мм орудие PaK 43 (3862).</w:t>
      </w:r>
    </w:p>
    <w:p w14:paraId="4EB803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Одним из первых проектов был проект, предложенный конструкторским бюро Ф.Ф.Петрова (завода №9) (3862).</w:t>
      </w:r>
    </w:p>
    <w:p w14:paraId="0460E6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Перепроектированное 85-мм орудие Д-5, получившее индекс Д-5С-85БМ, имело более длинный ствол, что позволило, наряду с увеличенным пороховым зарядом 85мм боеприпасов, довести начальную скорость бронебойного снаряда до 950 м/с. Наряду с этим, орудие позволяло вести стрельбу и штатными 85-мм боеприпасами. Орудие было установлено в корпус стандартной СУ-85. Новая САУ получила обозначение СУ-85БМ (3862).</w:t>
      </w:r>
    </w:p>
    <w:p w14:paraId="146AE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6843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года завод № 9 изготовил 85-мм орудие Д-5С-85БМ с начальной скоростью 900 м/с, что увеличивало пробиваемость брони на 20%. Размеры установочных частей нового орудия сохранились такими же, как у Д-5С, и никаких серьезных изменений в самоходе не требовали. Поскольку ствол Д-5С-85БМ был на 1068 мм длиннее, чем у Д-5С, для уравновешивания в цапфах его оттянули назад на 80 мм. В начале января 1944 года опытный образец самохода прошел заводские испытания, после чего его отправили в Гороховец на государственные, которые он выдержал, но на вооружение принят не был. Кроме того, осенью 1943 года проводились проектные работы по установке на самоход орудий большего калибра: 122-мм пушки А-19 и 152-мм гаубицы Д-15 (9637).</w:t>
      </w:r>
    </w:p>
    <w:p w14:paraId="062AD5E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345BA61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проводились проектные работы по установке на самоход СУ-85 орудий большего калибра: 122-мм пушки А-19 и 152-мм гаубицы Д-15 (9637).</w:t>
      </w:r>
    </w:p>
    <w:p w14:paraId="3AFF0D7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17D17718" w14:textId="77777777" w:rsidR="00436C25" w:rsidRPr="00271E51" w:rsidRDefault="00436C25" w:rsidP="00271E51">
      <w:pPr>
        <w:spacing w:after="0" w:line="240" w:lineRule="auto"/>
        <w:jc w:val="both"/>
        <w:rPr>
          <w:rFonts w:ascii="Times New Roman" w:hAnsi="Times New Roman"/>
          <w:color w:val="0070C0"/>
          <w:sz w:val="16"/>
          <w:szCs w:val="16"/>
        </w:rPr>
      </w:pPr>
      <w:r w:rsidRPr="00271E51">
        <w:rPr>
          <w:rStyle w:val="690"/>
          <w:rFonts w:ascii="Times New Roman" w:hAnsi="Times New Roman" w:cs="Times New Roman"/>
          <w:color w:val="0070C0"/>
          <w:sz w:val="16"/>
          <w:szCs w:val="16"/>
        </w:rPr>
        <w:t>Осенью 1943 года первые СУ-85 поступили в войска. Судя по фронтовым фотографиям, самые ранние машины, еще имевшие коман</w:t>
      </w:r>
      <w:r w:rsidRPr="00271E51">
        <w:rPr>
          <w:rStyle w:val="690"/>
          <w:rFonts w:ascii="Times New Roman" w:hAnsi="Times New Roman" w:cs="Times New Roman"/>
          <w:color w:val="0070C0"/>
          <w:sz w:val="16"/>
          <w:szCs w:val="16"/>
        </w:rPr>
        <w:softHyphen/>
        <w:t>дирский колпак с экранировкой, прослужи</w:t>
      </w:r>
      <w:r w:rsidRPr="00271E51">
        <w:rPr>
          <w:rStyle w:val="690"/>
          <w:rFonts w:ascii="Times New Roman" w:hAnsi="Times New Roman" w:cs="Times New Roman"/>
          <w:color w:val="0070C0"/>
          <w:sz w:val="16"/>
          <w:szCs w:val="16"/>
        </w:rPr>
        <w:softHyphen/>
        <w:t>ли, как минимум, до осени 1944 года, а иные и до начала 1945 года. В ходе эксплуатации главным объектом для переделки стала ходо</w:t>
      </w:r>
      <w:r w:rsidRPr="00271E51">
        <w:rPr>
          <w:rStyle w:val="690"/>
          <w:rFonts w:ascii="Times New Roman" w:hAnsi="Times New Roman" w:cs="Times New Roman"/>
          <w:color w:val="0070C0"/>
          <w:sz w:val="16"/>
          <w:szCs w:val="16"/>
        </w:rPr>
        <w:softHyphen/>
        <w:t>вая часть, прежде всего, опорные катки. При</w:t>
      </w:r>
      <w:r w:rsidRPr="00271E51">
        <w:rPr>
          <w:rStyle w:val="690"/>
          <w:rFonts w:ascii="Times New Roman" w:hAnsi="Times New Roman" w:cs="Times New Roman"/>
          <w:color w:val="0070C0"/>
          <w:sz w:val="16"/>
          <w:szCs w:val="16"/>
        </w:rPr>
        <w:softHyphen/>
        <w:t>чиной тому стал частый выход из строя бан</w:t>
      </w:r>
      <w:r w:rsidRPr="00271E51">
        <w:rPr>
          <w:rStyle w:val="690"/>
          <w:rFonts w:ascii="Times New Roman" w:hAnsi="Times New Roman" w:cs="Times New Roman"/>
          <w:color w:val="0070C0"/>
          <w:sz w:val="16"/>
          <w:szCs w:val="16"/>
        </w:rPr>
        <w:softHyphen/>
        <w:t>дажей. В условиях фронтовых мастерских и ремзаводов никто, разумеется, не думал о сохранении оригинальной конфигурации машины. В результате машины получали порой настоящую «коллекцию» из различных опорных катков. Наиболее распространен</w:t>
      </w:r>
      <w:r w:rsidRPr="00271E51">
        <w:rPr>
          <w:rStyle w:val="690"/>
          <w:rFonts w:ascii="Times New Roman" w:hAnsi="Times New Roman" w:cs="Times New Roman"/>
          <w:color w:val="0070C0"/>
          <w:sz w:val="16"/>
          <w:szCs w:val="16"/>
        </w:rPr>
        <w:softHyphen/>
        <w:t>ным вариантом стала установка литых опор</w:t>
      </w:r>
      <w:r w:rsidRPr="00271E51">
        <w:rPr>
          <w:rStyle w:val="690"/>
          <w:rFonts w:ascii="Times New Roman" w:hAnsi="Times New Roman" w:cs="Times New Roman"/>
          <w:color w:val="0070C0"/>
          <w:sz w:val="16"/>
          <w:szCs w:val="16"/>
        </w:rPr>
        <w:softHyphen/>
        <w:t>ных катков от Т-34-85 выпуска завода №183 со сплошными бандажами. Встречается такая вариация довольно часто, причем, заменя</w:t>
      </w:r>
      <w:r w:rsidRPr="00271E51">
        <w:rPr>
          <w:rStyle w:val="690"/>
          <w:rFonts w:ascii="Times New Roman" w:hAnsi="Times New Roman" w:cs="Times New Roman"/>
          <w:color w:val="0070C0"/>
          <w:sz w:val="16"/>
          <w:szCs w:val="16"/>
        </w:rPr>
        <w:softHyphen/>
        <w:t>лись только те опорные катки, которые вышли из строя. По мере появления штампо</w:t>
      </w:r>
      <w:r w:rsidRPr="00271E51">
        <w:rPr>
          <w:rStyle w:val="690"/>
          <w:rFonts w:ascii="Times New Roman" w:hAnsi="Times New Roman" w:cs="Times New Roman"/>
          <w:color w:val="0070C0"/>
          <w:sz w:val="16"/>
          <w:szCs w:val="16"/>
        </w:rPr>
        <w:softHyphen/>
        <w:t>ванных опорных катков со сплошными бан</w:t>
      </w:r>
      <w:r w:rsidRPr="00271E51">
        <w:rPr>
          <w:rStyle w:val="690"/>
          <w:rFonts w:ascii="Times New Roman" w:hAnsi="Times New Roman" w:cs="Times New Roman"/>
          <w:color w:val="0070C0"/>
          <w:sz w:val="16"/>
          <w:szCs w:val="16"/>
        </w:rPr>
        <w:softHyphen/>
        <w:t>дажами стали ставить и их. Встречались и более экзотические вариации, включая даже опорные катки с внутренней амортизацией.</w:t>
      </w:r>
    </w:p>
    <w:p w14:paraId="59D27F8D" w14:textId="77777777" w:rsidR="00436C25" w:rsidRPr="00271E51" w:rsidRDefault="00436C25" w:rsidP="00271E51">
      <w:pPr>
        <w:spacing w:after="0" w:line="240" w:lineRule="auto"/>
        <w:jc w:val="both"/>
        <w:rPr>
          <w:rFonts w:ascii="Times New Roman" w:hAnsi="Times New Roman"/>
          <w:color w:val="0070C0"/>
          <w:sz w:val="16"/>
          <w:szCs w:val="16"/>
        </w:rPr>
      </w:pPr>
      <w:r w:rsidRPr="00271E51">
        <w:rPr>
          <w:rStyle w:val="690"/>
          <w:rFonts w:ascii="Times New Roman" w:hAnsi="Times New Roman" w:cs="Times New Roman"/>
          <w:color w:val="0070C0"/>
          <w:sz w:val="16"/>
          <w:szCs w:val="16"/>
        </w:rPr>
        <w:t xml:space="preserve">Наиболее экзотичной переделкой стало использование опорных катков от немецкого среднего танка </w:t>
      </w:r>
      <w:r w:rsidRPr="00271E51">
        <w:rPr>
          <w:rStyle w:val="690"/>
          <w:rFonts w:ascii="Times New Roman" w:hAnsi="Times New Roman" w:cs="Times New Roman"/>
          <w:color w:val="0070C0"/>
          <w:sz w:val="16"/>
          <w:szCs w:val="16"/>
          <w:lang w:val="en-US"/>
        </w:rPr>
        <w:t>Pz</w:t>
      </w:r>
      <w:r w:rsidRPr="00271E51">
        <w:rPr>
          <w:rStyle w:val="690"/>
          <w:rFonts w:ascii="Times New Roman" w:hAnsi="Times New Roman" w:cs="Times New Roman"/>
          <w:color w:val="0070C0"/>
          <w:sz w:val="16"/>
          <w:szCs w:val="16"/>
        </w:rPr>
        <w:t>.</w:t>
      </w:r>
      <w:r w:rsidRPr="00271E51">
        <w:rPr>
          <w:rStyle w:val="690"/>
          <w:rFonts w:ascii="Times New Roman" w:hAnsi="Times New Roman" w:cs="Times New Roman"/>
          <w:color w:val="0070C0"/>
          <w:sz w:val="16"/>
          <w:szCs w:val="16"/>
          <w:lang w:val="en-US"/>
        </w:rPr>
        <w:t>Kpfw</w:t>
      </w:r>
      <w:r w:rsidRPr="00271E51">
        <w:rPr>
          <w:rStyle w:val="690"/>
          <w:rFonts w:ascii="Times New Roman" w:hAnsi="Times New Roman" w:cs="Times New Roman"/>
          <w:color w:val="0070C0"/>
          <w:sz w:val="16"/>
          <w:szCs w:val="16"/>
        </w:rPr>
        <w:t>.</w:t>
      </w:r>
      <w:r w:rsidRPr="00271E51">
        <w:rPr>
          <w:rStyle w:val="690"/>
          <w:rFonts w:ascii="Times New Roman" w:hAnsi="Times New Roman" w:cs="Times New Roman"/>
          <w:color w:val="0070C0"/>
          <w:sz w:val="16"/>
          <w:szCs w:val="16"/>
          <w:lang w:val="en-US"/>
        </w:rPr>
        <w:t>V</w:t>
      </w:r>
      <w:r w:rsidRPr="00271E51">
        <w:rPr>
          <w:rStyle w:val="690"/>
          <w:rFonts w:ascii="Times New Roman" w:hAnsi="Times New Roman" w:cs="Times New Roman"/>
          <w:color w:val="0070C0"/>
          <w:sz w:val="16"/>
          <w:szCs w:val="16"/>
        </w:rPr>
        <w:t xml:space="preserve"> </w:t>
      </w:r>
      <w:r w:rsidRPr="00271E51">
        <w:rPr>
          <w:rStyle w:val="690"/>
          <w:rFonts w:ascii="Times New Roman" w:hAnsi="Times New Roman" w:cs="Times New Roman"/>
          <w:color w:val="0070C0"/>
          <w:sz w:val="16"/>
          <w:szCs w:val="16"/>
          <w:lang w:val="en-US"/>
        </w:rPr>
        <w:t>Panther</w:t>
      </w:r>
      <w:r w:rsidRPr="00271E51">
        <w:rPr>
          <w:rStyle w:val="690"/>
          <w:rFonts w:ascii="Times New Roman" w:hAnsi="Times New Roman" w:cs="Times New Roman"/>
          <w:color w:val="0070C0"/>
          <w:sz w:val="16"/>
          <w:szCs w:val="16"/>
        </w:rPr>
        <w:t>. Помимо СУ- 85, их применяли и при ремонте Т-34-85. Рецепт установки катков оказался нетривиаль</w:t>
      </w:r>
      <w:r w:rsidRPr="00271E51">
        <w:rPr>
          <w:rStyle w:val="690"/>
          <w:rFonts w:ascii="Times New Roman" w:hAnsi="Times New Roman" w:cs="Times New Roman"/>
          <w:color w:val="0070C0"/>
          <w:sz w:val="16"/>
          <w:szCs w:val="16"/>
        </w:rPr>
        <w:softHyphen/>
        <w:t>ным. Диски опорных катков немецкого танка крепились на ступицу опорного катка Т-34. Как показали испытания таких опорных катков, проведенных на НИБТ Полигоне в 1945 году, бандажи начинали разрушаться уже после пер</w:t>
      </w:r>
      <w:r w:rsidRPr="00271E51">
        <w:rPr>
          <w:rStyle w:val="690"/>
          <w:rFonts w:ascii="Times New Roman" w:hAnsi="Times New Roman" w:cs="Times New Roman"/>
          <w:color w:val="0070C0"/>
          <w:sz w:val="16"/>
          <w:szCs w:val="16"/>
        </w:rPr>
        <w:softHyphen/>
        <w:t>вой сотни километров. Однако в ходе войско</w:t>
      </w:r>
      <w:r w:rsidRPr="00271E51">
        <w:rPr>
          <w:rStyle w:val="690"/>
          <w:rFonts w:ascii="Times New Roman" w:hAnsi="Times New Roman" w:cs="Times New Roman"/>
          <w:color w:val="0070C0"/>
          <w:sz w:val="16"/>
          <w:szCs w:val="16"/>
        </w:rPr>
        <w:softHyphen/>
        <w:t>вого ремонта важно было использовать любые средства для возвращения боевой машины в строй, а уж сколько она пройдет до следующего ремонта, если еще доживет до него, было второ</w:t>
      </w:r>
      <w:r w:rsidRPr="00271E51">
        <w:rPr>
          <w:rStyle w:val="690"/>
          <w:rFonts w:ascii="Times New Roman" w:hAnsi="Times New Roman" w:cs="Times New Roman"/>
          <w:color w:val="0070C0"/>
          <w:sz w:val="16"/>
          <w:szCs w:val="16"/>
        </w:rPr>
        <w:softHyphen/>
        <w:t>степенным вопросом. В результате переделки с использованием немецких опорных катков в 1945 году встречаются довольно часто.</w:t>
      </w:r>
    </w:p>
    <w:p w14:paraId="7B742806" w14:textId="77777777" w:rsidR="00436C25" w:rsidRPr="00271E51" w:rsidRDefault="00436C25" w:rsidP="00271E51">
      <w:pPr>
        <w:spacing w:after="0" w:line="240" w:lineRule="auto"/>
        <w:jc w:val="both"/>
        <w:rPr>
          <w:rFonts w:ascii="Times New Roman" w:hAnsi="Times New Roman"/>
          <w:color w:val="0070C0"/>
          <w:sz w:val="16"/>
          <w:szCs w:val="16"/>
        </w:rPr>
      </w:pPr>
      <w:r w:rsidRPr="00271E51">
        <w:rPr>
          <w:rStyle w:val="690"/>
          <w:rFonts w:ascii="Times New Roman" w:hAnsi="Times New Roman" w:cs="Times New Roman"/>
          <w:color w:val="0070C0"/>
          <w:sz w:val="16"/>
          <w:szCs w:val="16"/>
        </w:rPr>
        <w:t>Поскольку СУ-85, СУ-85А и СУ-85М после окончания войны относительно быстро исчезли из войск, они оказались куда менее подвержены послевоенным модернизациям. Самым главным изменением, которое вноси</w:t>
      </w:r>
      <w:r w:rsidRPr="00271E51">
        <w:rPr>
          <w:rStyle w:val="690"/>
          <w:rFonts w:ascii="Times New Roman" w:hAnsi="Times New Roman" w:cs="Times New Roman"/>
          <w:color w:val="0070C0"/>
          <w:sz w:val="16"/>
          <w:szCs w:val="16"/>
        </w:rPr>
        <w:softHyphen/>
        <w:t>ли в ходе послевоенной эксплуатации, была замена опорных катков с бандажами, имею</w:t>
      </w:r>
      <w:r w:rsidRPr="00271E51">
        <w:rPr>
          <w:rStyle w:val="690"/>
          <w:rFonts w:ascii="Times New Roman" w:hAnsi="Times New Roman" w:cs="Times New Roman"/>
          <w:color w:val="0070C0"/>
          <w:sz w:val="16"/>
          <w:szCs w:val="16"/>
        </w:rPr>
        <w:softHyphen/>
        <w:t>щими перфорацию, на катки со сплошными бандажами. Пальцеотбойники старого типа заменялись новыми, того же типа, что и на СУ- 100. Заменялись также ведущие колеса и ленивцы. Также некоторые машины получи</w:t>
      </w:r>
      <w:r w:rsidRPr="00271E51">
        <w:rPr>
          <w:rStyle w:val="690"/>
          <w:rFonts w:ascii="Times New Roman" w:hAnsi="Times New Roman" w:cs="Times New Roman"/>
          <w:color w:val="0070C0"/>
          <w:sz w:val="16"/>
          <w:szCs w:val="16"/>
        </w:rPr>
        <w:softHyphen/>
        <w:t>ли передние брызговики с откидными сек</w:t>
      </w:r>
      <w:r w:rsidRPr="00271E51">
        <w:rPr>
          <w:rStyle w:val="690"/>
          <w:rFonts w:ascii="Times New Roman" w:hAnsi="Times New Roman" w:cs="Times New Roman"/>
          <w:color w:val="0070C0"/>
          <w:sz w:val="16"/>
          <w:szCs w:val="16"/>
        </w:rPr>
        <w:softHyphen/>
        <w:t>циями, которые также появились после войны. Их можно видеть на СУ-85 и СУ-85М, которые сохранились в Польше. Аналогич</w:t>
      </w:r>
      <w:r w:rsidRPr="00271E51">
        <w:rPr>
          <w:rStyle w:val="690"/>
          <w:rFonts w:ascii="Times New Roman" w:hAnsi="Times New Roman" w:cs="Times New Roman"/>
          <w:color w:val="0070C0"/>
          <w:sz w:val="16"/>
          <w:szCs w:val="16"/>
        </w:rPr>
        <w:softHyphen/>
        <w:t>ные изменения вносились и в инженерные машины, в которые переделывались СУ-85 и СУ-85М.</w:t>
      </w:r>
    </w:p>
    <w:p w14:paraId="32306C49" w14:textId="77777777" w:rsidR="00436C25" w:rsidRPr="00271E51" w:rsidRDefault="00436C25" w:rsidP="00271E51">
      <w:pPr>
        <w:shd w:val="clear" w:color="auto" w:fill="FFFFFF"/>
        <w:spacing w:after="0" w:line="240" w:lineRule="auto"/>
        <w:jc w:val="both"/>
        <w:rPr>
          <w:rStyle w:val="641"/>
          <w:rFonts w:ascii="Times New Roman" w:hAnsi="Times New Roman" w:cs="Times New Roman"/>
          <w:color w:val="0070C0"/>
          <w:sz w:val="16"/>
          <w:szCs w:val="16"/>
        </w:rPr>
      </w:pPr>
      <w:r w:rsidRPr="00271E51">
        <w:rPr>
          <w:rStyle w:val="690"/>
          <w:rFonts w:ascii="Times New Roman" w:hAnsi="Times New Roman" w:cs="Times New Roman"/>
          <w:color w:val="0070C0"/>
          <w:sz w:val="16"/>
          <w:szCs w:val="16"/>
        </w:rPr>
        <w:t>В настоящее время единственной СУ-85, в которую почти не вносили изменения, являет</w:t>
      </w:r>
      <w:r w:rsidRPr="00271E51">
        <w:rPr>
          <w:rStyle w:val="690"/>
          <w:rFonts w:ascii="Times New Roman" w:hAnsi="Times New Roman" w:cs="Times New Roman"/>
          <w:color w:val="0070C0"/>
          <w:sz w:val="16"/>
          <w:szCs w:val="16"/>
        </w:rPr>
        <w:softHyphen/>
        <w:t>ся СУ-85А с серийным номером СУ406407А, выпущенная в июне 1944 года (эта машина стоит в экспозиции московского музея ЦМВС). Она сохранила и оригинальную ходовую часть, и полный комплект «обвеса», за исключением передней фары. Что же касается комплектно</w:t>
      </w:r>
      <w:r w:rsidRPr="00271E51">
        <w:rPr>
          <w:rStyle w:val="690"/>
          <w:rFonts w:ascii="Times New Roman" w:hAnsi="Times New Roman" w:cs="Times New Roman"/>
          <w:color w:val="0070C0"/>
          <w:sz w:val="16"/>
          <w:szCs w:val="16"/>
        </w:rPr>
        <w:softHyphen/>
        <w:t>сти внешним ЗИПом и внутренним оборудова</w:t>
      </w:r>
      <w:r w:rsidRPr="00271E51">
        <w:rPr>
          <w:rStyle w:val="690"/>
          <w:rFonts w:ascii="Times New Roman" w:hAnsi="Times New Roman" w:cs="Times New Roman"/>
          <w:color w:val="0070C0"/>
          <w:sz w:val="16"/>
          <w:szCs w:val="16"/>
        </w:rPr>
        <w:softHyphen/>
        <w:t>нием, то в этом плане наилучшей машиной является СУ-85А с серийным номером СУ405323А, изготовленная в мае 1944 года. Ее судьба вполне типична для СУ-85 в послевоен</w:t>
      </w:r>
      <w:r w:rsidRPr="00271E51">
        <w:rPr>
          <w:rStyle w:val="690"/>
          <w:rFonts w:ascii="Times New Roman" w:hAnsi="Times New Roman" w:cs="Times New Roman"/>
          <w:color w:val="0070C0"/>
          <w:sz w:val="16"/>
          <w:szCs w:val="16"/>
        </w:rPr>
        <w:softHyphen/>
        <w:t>ный период. Машине полностью переделали ходовую часть, а позже из нее сделали тягач для железнодорожного ремонтного поезда, демонтировав орудие и вырезав в лобовой плите корпуса секцию для установки лобового стекла. В таком виде тягач проработал до 2000-х годов. Благодаря помощи Александра Зайцева удалось получить от РЖД разрешение на передачу тягача в Музей отечественной военной истории, что в подмосковном Падиково. После более чем года реставрации, в которой принимал участие и автор данной статьи, машина встала в музейную экспози</w:t>
      </w:r>
      <w:r w:rsidRPr="00271E51">
        <w:rPr>
          <w:rStyle w:val="690"/>
          <w:rFonts w:ascii="Times New Roman" w:hAnsi="Times New Roman" w:cs="Times New Roman"/>
          <w:color w:val="0070C0"/>
          <w:sz w:val="16"/>
          <w:szCs w:val="16"/>
        </w:rPr>
        <w:softHyphen/>
        <w:t>цию. Из-за существенных переделок, которые были внесены в конструкцию этой СУ-85А, а также большого дефицита ряда деталей, вклю</w:t>
      </w:r>
      <w:r w:rsidRPr="00271E51">
        <w:rPr>
          <w:rStyle w:val="690"/>
          <w:rFonts w:ascii="Times New Roman" w:hAnsi="Times New Roman" w:cs="Times New Roman"/>
          <w:color w:val="0070C0"/>
          <w:sz w:val="16"/>
          <w:szCs w:val="16"/>
        </w:rPr>
        <w:softHyphen/>
        <w:t>чая оригинальные опорные катки, оптические приборы и т.д., нынешнее ее состояние - это лишь один из этапов реставрации, до полного завершения которой еще далеко (19889).</w:t>
      </w:r>
    </w:p>
    <w:p w14:paraId="06B6FAF9" w14:textId="77777777" w:rsidR="00436C25" w:rsidRPr="00271E51" w:rsidRDefault="00436C25" w:rsidP="00271E51">
      <w:pPr>
        <w:shd w:val="clear" w:color="auto" w:fill="FFFFFF"/>
        <w:spacing w:after="0" w:line="240" w:lineRule="auto"/>
        <w:jc w:val="both"/>
        <w:rPr>
          <w:rStyle w:val="641"/>
          <w:rFonts w:ascii="Times New Roman" w:hAnsi="Times New Roman" w:cs="Times New Roman"/>
          <w:color w:val="0070C0"/>
          <w:sz w:val="16"/>
          <w:szCs w:val="16"/>
        </w:rPr>
      </w:pPr>
    </w:p>
    <w:p w14:paraId="65B4F4B5" w14:textId="77777777" w:rsidR="00771B3B" w:rsidRPr="00271E51" w:rsidRDefault="00771B3B"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Осенью 1943 года начались работы по СУ-Д25, вариации СУ-85 с командирской башенкой и 122-мм орудием Д-25С. Вылет орудия при этом составлял 3300 мм, а боевая масса возрастала до 32 т. Позже проект СУ-Д25 лёг в основу другой машины — СУ-122П. Между тем были очевидны проблемы чрезмерной нагрузки на носовую часть и слишком большого вылета ствола. Эти проблемы проявились даже раньше — на опытных тяжёлых самоходных установках, которые разрабатывались на базе </w:t>
      </w:r>
      <w:hyperlink r:id="rId103" w:history="1">
        <w:r w:rsidRPr="00271E51">
          <w:rPr>
            <w:rStyle w:val="a5"/>
            <w:rFonts w:eastAsiaTheme="majorEastAsia"/>
            <w:bCs/>
            <w:iCs/>
            <w:color w:val="000000" w:themeColor="text1"/>
            <w:sz w:val="16"/>
            <w:szCs w:val="16"/>
            <w:u w:val="none"/>
            <w:bdr w:val="none" w:sz="0" w:space="0" w:color="auto" w:frame="1"/>
          </w:rPr>
          <w:t>ИСУ-152</w:t>
        </w:r>
      </w:hyperlink>
      <w:r w:rsidRPr="00271E51">
        <w:rPr>
          <w:color w:val="000000" w:themeColor="text1"/>
          <w:sz w:val="16"/>
          <w:szCs w:val="16"/>
        </w:rPr>
        <w:t>. Более того, и первые предложения по решению этого вопроса появились именно в случае с тяжёлой САУ. В конце марта 1944 года ОКБ завода №100 под руководством Н.Ф. Шашмурина разработало проект глубокой модернизации </w:t>
      </w:r>
      <w:hyperlink r:id="rId104" w:history="1">
        <w:r w:rsidRPr="00271E51">
          <w:rPr>
            <w:rStyle w:val="a5"/>
            <w:rFonts w:eastAsiaTheme="majorEastAsia"/>
            <w:bCs/>
            <w:iCs/>
            <w:color w:val="000000" w:themeColor="text1"/>
            <w:sz w:val="16"/>
            <w:szCs w:val="16"/>
            <w:u w:val="none"/>
            <w:bdr w:val="none" w:sz="0" w:space="0" w:color="auto" w:frame="1"/>
          </w:rPr>
          <w:t>ИС-2</w:t>
        </w:r>
      </w:hyperlink>
      <w:r w:rsidRPr="00271E51">
        <w:rPr>
          <w:color w:val="000000" w:themeColor="text1"/>
          <w:sz w:val="16"/>
          <w:szCs w:val="16"/>
        </w:rPr>
        <w:t> с кормовым расположением боевого отделения. Параллельно, судя по эскизам, предполагалось создание на той же базе и самоходной артиллерийской установки с кормовым расположением боевого отделения. По ряду причин дальше проекты не продвинулись, но уже летом 1944 года эстафета перешла к УЗТМ (19525).</w:t>
      </w:r>
    </w:p>
    <w:p w14:paraId="6A1CB977" w14:textId="77777777" w:rsidR="00771B3B" w:rsidRPr="00271E51" w:rsidRDefault="00771B3B" w:rsidP="00271E51">
      <w:pPr>
        <w:pStyle w:val="ae"/>
        <w:shd w:val="clear" w:color="auto" w:fill="FFFFFF"/>
        <w:spacing w:before="0" w:after="0"/>
        <w:jc w:val="both"/>
        <w:textAlignment w:val="baseline"/>
        <w:rPr>
          <w:color w:val="000000" w:themeColor="text1"/>
          <w:sz w:val="16"/>
          <w:szCs w:val="16"/>
        </w:rPr>
      </w:pPr>
    </w:p>
    <w:p w14:paraId="6B03F1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на базе танковой пушки Ф-34 ЦАКБ (Подлипки Московской области) разработало 76,2-мм пушку С-54 с длиной ствола 55 калибров и баллистикой зенитной пушки обр. 1931/38 гг. Испытания пушки были проведены в ноябре 1943 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271E51">
        <w:rPr>
          <w:rFonts w:ascii="Times New Roman" w:hAnsi="Times New Roman"/>
          <w:color w:val="000000" w:themeColor="text1"/>
          <w:sz w:val="16"/>
          <w:szCs w:val="16"/>
        </w:rPr>
        <w:softHyphen/>
        <w:t>мость в доработке 76,2-мм пушки С-54 отпала. В 1943 - 1944 гг. ОКБ за</w:t>
      </w:r>
      <w:r w:rsidRPr="00271E51">
        <w:rPr>
          <w:rFonts w:ascii="Times New Roman" w:hAnsi="Times New Roman"/>
          <w:color w:val="000000" w:themeColor="text1"/>
          <w:sz w:val="16"/>
          <w:szCs w:val="16"/>
        </w:rPr>
        <w:softHyphen/>
        <w:t>вода "Большевик" были разработаны две 76,2-мм танковые пушки боль</w:t>
      </w:r>
      <w:r w:rsidRPr="00271E51">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271E51">
        <w:rPr>
          <w:rFonts w:ascii="Times New Roman" w:hAnsi="Times New Roman"/>
          <w:color w:val="000000" w:themeColor="text1"/>
          <w:sz w:val="16"/>
          <w:szCs w:val="16"/>
        </w:rPr>
        <w:softHyphen/>
        <w:t>должались. В ноябре 1943 г. завод № 92 изготовил два опытных образ</w:t>
      </w:r>
      <w:r w:rsidRPr="00271E51">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271E51">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271E51">
        <w:rPr>
          <w:rFonts w:ascii="Times New Roman" w:hAnsi="Times New Roman"/>
          <w:color w:val="000000" w:themeColor="text1"/>
          <w:sz w:val="16"/>
          <w:szCs w:val="16"/>
        </w:rPr>
        <w:softHyphen/>
        <w:t>изводстве на заводе № 92 пушки С-53, наиболее полно отвечавшей тре</w:t>
      </w:r>
      <w:r w:rsidRPr="00271E51">
        <w:rPr>
          <w:rFonts w:ascii="Times New Roman" w:hAnsi="Times New Roman"/>
          <w:color w:val="000000" w:themeColor="text1"/>
          <w:sz w:val="16"/>
          <w:szCs w:val="16"/>
        </w:rPr>
        <w:softHyphen/>
        <w:t>бованиям по размещению в танке Т-34.1 января 1944 г. пушка С-53 бы</w:t>
      </w:r>
      <w:r w:rsidRPr="00271E51">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115F60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79B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по предложению В.А. Малышева в целях сокращения сроков проработки вариантов установки танковой пушки Д-5Т-85 в танк Т-34 на московском танкоремонтном заводе временно был создан филиал КБ завода № 183. В предельно сжатые сроки группа конструкторов в составе М.А. Набутовского, У.Е</w:t>
      </w:r>
      <w:r w:rsidR="00BF1343"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rPr>
        <w:t>Хлопенко, Г.П. Фоменко, А.Д. Мотрича, В.И. Моисеенко, В.О.Дроботенко и Б.М. Шевченко и др. произвела проработку установки 85-мм танковой пушки Д-5Т-85 в танк Т-34. Результаты работы показали, что для з 85-мм пушки необходима новая конструкция башни с диаметром с в свету не менее 1600 мм (10703).</w:t>
      </w:r>
    </w:p>
    <w:p w14:paraId="25D4F4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51D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заводом № 9 НКВ была спроектирована и изготовлена 85мм пушка Д-5С-85БМ с начальной скоростью снаряда 900 м/с, что лило на 20% увеличить бронепробиваемость. Проектирование артиллерийского орудия велось в тесном сотрудничестве с УЗТМ, размеры его установочных частей были сохранены в габарите серийного орудия и поэтому никаких серьезных изменений в САУ не вызвали. Опытный образец самоходной установки СУ-85 с пушкой Д-5С-85БМ в начале января 1944 г. прошел заводские испытания и в том же месяце был отправлен на Гороховецкий АНИОП на государственные испытания, которые выдержал (10703).</w:t>
      </w:r>
    </w:p>
    <w:p w14:paraId="261575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5321CA"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Вплоть до осени 1943 года обсуждался вопрос разработки танковой башни, предложенной конструкторами ЦАКБ. Правда, никаких работ в данном направлении не велось. Тем не менее, Объект 238 стал не последним КВ-85 от ЦАКБ. Следующая попытка была предпринята годом позже благодаря продолжавшейся работе ЦАКБ по линии орудий для средних танков.</w:t>
      </w:r>
    </w:p>
    <w:p w14:paraId="30441076"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Как уже упоминалось, первоначальные требования к 85-мм пушке предусматривали возможность её использования не только на тяжелых, но и на средних танках. Несмотря на возражения Грабина, С-31 спроектировали и для установки в средний танк Т-43. После того, как КБ завода №183 провело модернизацию Т-43, этот танк получил башню с диаметром погона 1600 мм. Сделано это было, в том числе, и с целью установки в танк орудия калибра 85 мм. Из-за проигрыша С-31 в немного измененной башне Т-43 испытывали пушку Д-5Т.</w:t>
      </w:r>
    </w:p>
    <w:p w14:paraId="3E383CAF"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Тем не менее, имевшиеся наработки по этой теме не прошли впустую. В течение второй половины 1943 года Муравьев и Синельщиков разработали еще несколько танковых артиллерийских систем. В их числе был триплекс С-50 со стволами калибра 57, 76 и 85 мм. Далее последовали танковые орудия ЛБ-1 и С-53 калибра 85 мм.</w:t>
      </w:r>
    </w:p>
    <w:p w14:paraId="0E7CD9CC"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Первоначально пушка С-53, которую испытывали в ноябре-декабре как вооружение Т-34 с обычной башней и диаметром погона 1420 мм, показала себя не лучше других пушек ЦАКБ. Испытания она не прошла. Тем не менее, именно эта система оказалась для ЦАКБ удачей. Поначалу на модернизированный Т-34, получивший обозначение Т-34–85, поставили 85-мм пушку Д-5Т. Это выглядело вполне логично, поскольку тем самым достигалась унификация СУ-85, КВ-85, ИС-85 и Т-34–85 по основному вооружению. С другой стороны, КВ-85 уже не выпускали, а дни ИС-85 (ИС-1) были сочтены. Его сменял ИС-122 (ИС-2) с куда более мощным орудием Д-25Т. В конце января-начале февраля 1944 года С-53 испытали еще раз, после чего было принято решение запустить орудие в серийное производство.</w:t>
      </w:r>
    </w:p>
    <w:p w14:paraId="66BC20E1"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После того, как были обнаружены многочисленные дефекты в работе С-53, ЦАКБ доработала пушку, которая получила обозначение ЗИС-С-53. Орудие испытали в апреле 1944 года, обнаруженные недочеты исправили, что подтвердилось на испытаниях в июне 1944 года. ЗИС-С-53 пошла в серию, а в августе 1944 года на Ленинградский АНИОП прибыл ещё один танк, вооружённый ЗИС-С-53. Им оказался КВ-1с, а система, которую в него установили, получила индекс С-28.</w:t>
      </w:r>
    </w:p>
    <w:p w14:paraId="5A46334D" w14:textId="77777777" w:rsidR="00BF1343" w:rsidRPr="00271E51" w:rsidRDefault="00BF134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отличие от Объекта 238, у этого танка бронировка системы довольно серьезно переделывалась. Подвижная бронировка выполнялась по типу ЗИС-С-53, при этом система вместе с бронировкой свободно вставала в штатную амбразуру башни КВ-1с. Главным плюсом такого решения было то, что появлялась возможность малой кровью значительно улучшить огневую мощь КВ-1с. Помимо орудия, немного менялось и внутреннее оборудование башни. Внутри появлялись укладки для 85-мм патронов, как в кормовой нише, так и с правой стороны. Общий боекомплект составлял 40 патронов. Впрочем, следует учитывать, что укладки в корпусе ещё требовали доработки (17698).</w:t>
      </w:r>
    </w:p>
    <w:p w14:paraId="522AE976" w14:textId="77777777" w:rsidR="00BF1343" w:rsidRPr="00271E51" w:rsidRDefault="00BF1343" w:rsidP="00271E51">
      <w:pPr>
        <w:spacing w:after="0" w:line="240" w:lineRule="auto"/>
        <w:jc w:val="both"/>
        <w:rPr>
          <w:rFonts w:ascii="Times New Roman" w:eastAsia="Times New Roman" w:hAnsi="Times New Roman"/>
          <w:color w:val="000000" w:themeColor="text1"/>
          <w:sz w:val="16"/>
          <w:szCs w:val="16"/>
          <w:lang w:eastAsia="ru-RU"/>
        </w:rPr>
      </w:pPr>
    </w:p>
    <w:p w14:paraId="534B4190" w14:textId="77777777" w:rsidR="00A16F55" w:rsidRPr="00271E51" w:rsidRDefault="00A16F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ЦАКБ наркомата воо</w:t>
      </w:r>
      <w:r w:rsidRPr="00271E51">
        <w:rPr>
          <w:rFonts w:ascii="Times New Roman" w:hAnsi="Times New Roman"/>
          <w:color w:val="000000" w:themeColor="text1"/>
          <w:sz w:val="16"/>
          <w:szCs w:val="16"/>
        </w:rPr>
        <w:softHyphen/>
        <w:t>ружения под руководством В. Грабина раз</w:t>
      </w:r>
      <w:r w:rsidRPr="00271E51">
        <w:rPr>
          <w:rFonts w:ascii="Times New Roman" w:hAnsi="Times New Roman"/>
          <w:color w:val="000000" w:themeColor="text1"/>
          <w:sz w:val="16"/>
          <w:szCs w:val="16"/>
        </w:rPr>
        <w:softHyphen/>
        <w:t>работало 100-мм пушку С-34, предназначен</w:t>
      </w:r>
      <w:r w:rsidRPr="00271E51">
        <w:rPr>
          <w:rFonts w:ascii="Times New Roman" w:hAnsi="Times New Roman"/>
          <w:color w:val="000000" w:themeColor="text1"/>
          <w:sz w:val="16"/>
          <w:szCs w:val="16"/>
        </w:rPr>
        <w:softHyphen/>
        <w:t>ную для вооружения тяжелых танков. Орудие установили в КВ-85 с заводским № 3107, сня</w:t>
      </w:r>
      <w:r w:rsidRPr="00271E51">
        <w:rPr>
          <w:rFonts w:ascii="Times New Roman" w:hAnsi="Times New Roman"/>
          <w:color w:val="000000" w:themeColor="text1"/>
          <w:sz w:val="16"/>
          <w:szCs w:val="16"/>
        </w:rPr>
        <w:softHyphen/>
        <w:t>тым с гарантийных испытаний. С 22 по 28 ян</w:t>
      </w:r>
      <w:r w:rsidRPr="00271E51">
        <w:rPr>
          <w:rFonts w:ascii="Times New Roman" w:hAnsi="Times New Roman"/>
          <w:color w:val="000000" w:themeColor="text1"/>
          <w:sz w:val="16"/>
          <w:szCs w:val="16"/>
        </w:rPr>
        <w:softHyphen/>
        <w:t>варя 1944 года эта машина (в некоторых доку</w:t>
      </w:r>
      <w:r w:rsidRPr="00271E51">
        <w:rPr>
          <w:rFonts w:ascii="Times New Roman" w:hAnsi="Times New Roman"/>
          <w:color w:val="000000" w:themeColor="text1"/>
          <w:sz w:val="16"/>
          <w:szCs w:val="16"/>
        </w:rPr>
        <w:softHyphen/>
        <w:t xml:space="preserve">ментах она именуется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-100) прошла испы</w:t>
      </w:r>
      <w:r w:rsidRPr="00271E51">
        <w:rPr>
          <w:rFonts w:ascii="Times New Roman" w:hAnsi="Times New Roman"/>
          <w:color w:val="000000" w:themeColor="text1"/>
          <w:sz w:val="16"/>
          <w:szCs w:val="16"/>
        </w:rPr>
        <w:softHyphen/>
        <w:t>тания на Гороховецком полигоне.</w:t>
      </w:r>
    </w:p>
    <w:p w14:paraId="091F0828" w14:textId="77777777" w:rsidR="00A16F55" w:rsidRPr="00271E51" w:rsidRDefault="00A16F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связи с тем, что пушка С-34 имела го</w:t>
      </w:r>
      <w:r w:rsidRPr="00271E51">
        <w:rPr>
          <w:rFonts w:ascii="Times New Roman" w:cs="Times New Roman"/>
          <w:color w:val="000000" w:themeColor="text1"/>
          <w:spacing w:val="0"/>
        </w:rPr>
        <w:softHyphen/>
        <w:t>ризонтальный полуавтоматический затвор, для удобства работы заряжающего его рабо</w:t>
      </w:r>
      <w:r w:rsidRPr="00271E51">
        <w:rPr>
          <w:rFonts w:ascii="Times New Roman" w:cs="Times New Roman"/>
          <w:color w:val="000000" w:themeColor="text1"/>
          <w:spacing w:val="0"/>
        </w:rPr>
        <w:softHyphen/>
        <w:t>чее место перенесли в левую часть башни, а места наводчика и командира - в правую. В связи с этим пришлось перенести и коман</w:t>
      </w:r>
      <w:r w:rsidRPr="00271E51">
        <w:rPr>
          <w:rFonts w:ascii="Times New Roman" w:cs="Times New Roman"/>
          <w:color w:val="000000" w:themeColor="text1"/>
          <w:spacing w:val="0"/>
        </w:rPr>
        <w:softHyphen/>
        <w:t>дирскую башенку — теперь она устанавлива</w:t>
      </w:r>
      <w:r w:rsidRPr="00271E51">
        <w:rPr>
          <w:rFonts w:ascii="Times New Roman" w:cs="Times New Roman"/>
          <w:color w:val="000000" w:themeColor="text1"/>
          <w:spacing w:val="0"/>
        </w:rPr>
        <w:softHyphen/>
        <w:t>лась на крыше башни справа.</w:t>
      </w:r>
    </w:p>
    <w:p w14:paraId="0688AE04" w14:textId="77777777" w:rsidR="00A16F55" w:rsidRPr="00271E51" w:rsidRDefault="00A16F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Пушка С-34 имела длину ствола 55,9 ка</w:t>
      </w:r>
      <w:r w:rsidRPr="00271E51">
        <w:rPr>
          <w:rFonts w:ascii="Times New Roman" w:cs="Times New Roman"/>
          <w:color w:val="000000" w:themeColor="text1"/>
          <w:spacing w:val="0"/>
        </w:rPr>
        <w:softHyphen/>
        <w:t>либров, углы вертикального наведения со</w:t>
      </w:r>
      <w:r w:rsidRPr="00271E51">
        <w:rPr>
          <w:rFonts w:ascii="Times New Roman" w:cs="Times New Roman"/>
          <w:color w:val="000000" w:themeColor="text1"/>
          <w:spacing w:val="0"/>
        </w:rPr>
        <w:softHyphen/>
        <w:t>ставляли от -3 до +18,30 градусов. Мак</w:t>
      </w:r>
      <w:r w:rsidRPr="00271E51">
        <w:rPr>
          <w:rFonts w:ascii="Times New Roman" w:cs="Times New Roman"/>
          <w:color w:val="000000" w:themeColor="text1"/>
          <w:spacing w:val="0"/>
        </w:rPr>
        <w:softHyphen/>
        <w:t>симальная длина отката не превышала 450 мм. Орудие могло вести огонь унитар</w:t>
      </w:r>
      <w:r w:rsidRPr="00271E51">
        <w:rPr>
          <w:rFonts w:ascii="Times New Roman" w:cs="Times New Roman"/>
          <w:color w:val="000000" w:themeColor="text1"/>
          <w:spacing w:val="0"/>
        </w:rPr>
        <w:softHyphen/>
        <w:t>ными выстрелами с бронебойным и оско- лочно-фугасным снарядом. Бронебойный с начальной скоростью 900 м/с на даль</w:t>
      </w:r>
      <w:r w:rsidRPr="00271E51">
        <w:rPr>
          <w:rFonts w:ascii="Times New Roman" w:cs="Times New Roman"/>
          <w:color w:val="000000" w:themeColor="text1"/>
          <w:spacing w:val="0"/>
        </w:rPr>
        <w:softHyphen/>
        <w:t>ности 500 м пробивал 160 мм броню, уста</w:t>
      </w:r>
      <w:r w:rsidRPr="00271E51">
        <w:rPr>
          <w:rFonts w:ascii="Times New Roman" w:cs="Times New Roman"/>
          <w:color w:val="000000" w:themeColor="text1"/>
          <w:spacing w:val="0"/>
        </w:rPr>
        <w:softHyphen/>
        <w:t>новленную вертикально. Возимый боеком</w:t>
      </w:r>
      <w:r w:rsidRPr="00271E51">
        <w:rPr>
          <w:rFonts w:ascii="Times New Roman" w:cs="Times New Roman"/>
          <w:color w:val="000000" w:themeColor="text1"/>
          <w:spacing w:val="0"/>
        </w:rPr>
        <w:softHyphen/>
        <w:t xml:space="preserve">плект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-100 составлял 31 выстрел к пуш</w:t>
      </w:r>
      <w:r w:rsidRPr="00271E51">
        <w:rPr>
          <w:rFonts w:ascii="Times New Roman" w:cs="Times New Roman"/>
          <w:color w:val="000000" w:themeColor="text1"/>
          <w:spacing w:val="0"/>
        </w:rPr>
        <w:softHyphen/>
        <w:t>ке, 37 дисков к пулемету ДТ (2331 патрон) и 25 гранат Ф-1.</w:t>
      </w:r>
    </w:p>
    <w:p w14:paraId="44888DDE" w14:textId="77777777" w:rsidR="00A16F55" w:rsidRPr="00271E51" w:rsidRDefault="00A16F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заключение отчета об испытании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-100 говорилось, что 100-мм пушка С-34 после доработки и устранения недостатков может быть рекомендована для принятия на воору</w:t>
      </w:r>
      <w:r w:rsidRPr="00271E51">
        <w:rPr>
          <w:rFonts w:ascii="Times New Roman" w:hAnsi="Times New Roman"/>
          <w:color w:val="000000" w:themeColor="text1"/>
          <w:sz w:val="16"/>
          <w:szCs w:val="16"/>
        </w:rPr>
        <w:softHyphen/>
        <w:t>жение тяжелых танков и самоходок. Отме</w:t>
      </w:r>
      <w:r w:rsidRPr="00271E51">
        <w:rPr>
          <w:rFonts w:ascii="Times New Roman" w:hAnsi="Times New Roman"/>
          <w:color w:val="000000" w:themeColor="text1"/>
          <w:sz w:val="16"/>
          <w:szCs w:val="16"/>
        </w:rPr>
        <w:softHyphen/>
        <w:t>ченные недостатки в конструкции С-34 учли при изготовлении еше двух образцов этого орудия. В июне 1944 года они испытывались на танках ИС и Т-34 (15226).</w:t>
      </w:r>
    </w:p>
    <w:p w14:paraId="45B76340" w14:textId="77777777" w:rsidR="00A16F55" w:rsidRPr="00271E51" w:rsidRDefault="00A16F55" w:rsidP="00271E51">
      <w:pPr>
        <w:spacing w:after="0" w:line="240" w:lineRule="auto"/>
        <w:jc w:val="both"/>
        <w:rPr>
          <w:rFonts w:ascii="Times New Roman" w:hAnsi="Times New Roman"/>
          <w:color w:val="000000" w:themeColor="text1"/>
          <w:sz w:val="16"/>
          <w:szCs w:val="16"/>
        </w:rPr>
      </w:pPr>
    </w:p>
    <w:p w14:paraId="276773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122-мм гаубица на КВ-9 так и не была доведена. Постоянно вылезали какие-то конструктив</w:t>
      </w:r>
      <w:r w:rsidRPr="00271E51">
        <w:rPr>
          <w:rFonts w:ascii="Times New Roman" w:hAnsi="Times New Roman"/>
          <w:color w:val="000000" w:themeColor="text1"/>
          <w:sz w:val="16"/>
          <w:szCs w:val="16"/>
        </w:rPr>
        <w:softHyphen/>
        <w:t>ные дефекты. Раздельное заряжание гаубицы приводило к малой скорострельности ее в танке и малому возимому бое</w:t>
      </w:r>
      <w:r w:rsidRPr="00271E51">
        <w:rPr>
          <w:rFonts w:ascii="Times New Roman" w:hAnsi="Times New Roman"/>
          <w:color w:val="000000" w:themeColor="text1"/>
          <w:sz w:val="16"/>
          <w:szCs w:val="16"/>
        </w:rPr>
        <w:softHyphen/>
        <w:t>комплекту. Кроме того, гаубица обладала очень малой даль</w:t>
      </w:r>
      <w:r w:rsidRPr="00271E51">
        <w:rPr>
          <w:rFonts w:ascii="Times New Roman" w:hAnsi="Times New Roman"/>
          <w:color w:val="000000" w:themeColor="text1"/>
          <w:sz w:val="16"/>
          <w:szCs w:val="16"/>
        </w:rPr>
        <w:softHyphen/>
        <w:t>ностью прямого выстрела (менее 500 м), что затрудняло ве</w:t>
      </w:r>
      <w:r w:rsidRPr="00271E51">
        <w:rPr>
          <w:rFonts w:ascii="Times New Roman" w:hAnsi="Times New Roman"/>
          <w:color w:val="000000" w:themeColor="text1"/>
          <w:sz w:val="16"/>
          <w:szCs w:val="16"/>
        </w:rPr>
        <w:softHyphen/>
        <w:t>дение из нее огня по точечной, тем более подвижной цели (11135).</w:t>
      </w:r>
    </w:p>
    <w:p w14:paraId="46D177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FC8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Военной академии БТ и МВ с целью изучения воз</w:t>
      </w:r>
      <w:r w:rsidRPr="00271E51">
        <w:rPr>
          <w:rFonts w:ascii="Times New Roman" w:hAnsi="Times New Roman"/>
          <w:color w:val="000000" w:themeColor="text1"/>
          <w:sz w:val="16"/>
          <w:szCs w:val="16"/>
        </w:rPr>
        <w:softHyphen/>
        <w:t>можности преодоления водных преград танками различными способа</w:t>
      </w:r>
      <w:r w:rsidRPr="00271E51">
        <w:rPr>
          <w:rFonts w:ascii="Times New Roman" w:hAnsi="Times New Roman"/>
          <w:color w:val="000000" w:themeColor="text1"/>
          <w:sz w:val="16"/>
          <w:szCs w:val="16"/>
        </w:rPr>
        <w:softHyphen/>
        <w:t>ми был испытан танк Т-34-76, оснащенный оборудованием для подвод</w:t>
      </w:r>
      <w:r w:rsidRPr="00271E51">
        <w:rPr>
          <w:rFonts w:ascii="Times New Roman" w:hAnsi="Times New Roman"/>
          <w:color w:val="000000" w:themeColor="text1"/>
          <w:sz w:val="16"/>
          <w:szCs w:val="16"/>
        </w:rPr>
        <w:softHyphen/>
        <w:t>ной буксировки. Буксировка загерметизировапного танка осуществля</w:t>
      </w:r>
      <w:r w:rsidRPr="00271E51">
        <w:rPr>
          <w:rFonts w:ascii="Times New Roman" w:hAnsi="Times New Roman"/>
          <w:color w:val="000000" w:themeColor="text1"/>
          <w:sz w:val="16"/>
          <w:szCs w:val="16"/>
        </w:rPr>
        <w:softHyphen/>
        <w:t>лась другим танком или тягачом, располагавшимся на противополож</w:t>
      </w:r>
      <w:r w:rsidRPr="00271E51">
        <w:rPr>
          <w:rFonts w:ascii="Times New Roman" w:hAnsi="Times New Roman"/>
          <w:color w:val="000000" w:themeColor="text1"/>
          <w:sz w:val="16"/>
          <w:szCs w:val="16"/>
        </w:rPr>
        <w:softHyphen/>
        <w:t>ном берегу. Для проведения работ был использован серийный танк Т-34-76, который предварительно герметизировался. Испытания опытного образца были проведены на реке шириной 160 м и глубиной до 4,7 м. Буксирование осуществлялось танком Т-34-76 с по</w:t>
      </w:r>
      <w:r w:rsidRPr="00271E51">
        <w:rPr>
          <w:rFonts w:ascii="Times New Roman" w:hAnsi="Times New Roman"/>
          <w:color w:val="000000" w:themeColor="text1"/>
          <w:sz w:val="16"/>
          <w:szCs w:val="16"/>
        </w:rPr>
        <w:softHyphen/>
        <w:t>мощью троса. Однако широкого распространения данный метод преодо</w:t>
      </w:r>
      <w:r w:rsidRPr="00271E51">
        <w:rPr>
          <w:rFonts w:ascii="Times New Roman" w:hAnsi="Times New Roman"/>
          <w:color w:val="000000" w:themeColor="text1"/>
          <w:sz w:val="16"/>
          <w:szCs w:val="16"/>
        </w:rPr>
        <w:softHyphen/>
        <w:t>ления водных преград не получил, так как в реальных условиях боевой об</w:t>
      </w:r>
      <w:r w:rsidRPr="00271E51">
        <w:rPr>
          <w:rFonts w:ascii="Times New Roman" w:hAnsi="Times New Roman"/>
          <w:color w:val="000000" w:themeColor="text1"/>
          <w:sz w:val="16"/>
          <w:szCs w:val="16"/>
        </w:rPr>
        <w:softHyphen/>
        <w:t>становки не всегда было возможно использовать противоположный берег и дополнительные боевые машины в качестве тягачей и анкеров. В октябре 1943 г. при наступлении на Киев танки 5 гв. тк в количе</w:t>
      </w:r>
      <w:r w:rsidRPr="00271E51">
        <w:rPr>
          <w:rFonts w:ascii="Times New Roman" w:hAnsi="Times New Roman"/>
          <w:color w:val="000000" w:themeColor="text1"/>
          <w:sz w:val="16"/>
          <w:szCs w:val="16"/>
        </w:rPr>
        <w:softHyphen/>
        <w:t>стве 65 единиц форсировали по дну р. Десна, глубина которой в месте форсирования достигала 2 м, а ширина 280 м. Для подготовки танков использовались подручные материалы - пакля, солидол, брезент. Выпиые трубы были наращены брезентовыми шлангами. Верхние коцы брезентовых шлангов крепились проволокой к стволу пушки (при рнутой назад башне). Нижние концы - к выхлопным трубам непо-яственно перед входом танка в воду (10703).</w:t>
      </w:r>
    </w:p>
    <w:p w14:paraId="45FA1B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04C8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конструкторском бюро завода № 183 началась разработка Т-44. В ноябре 1943 г. директор завода Ю.Е. Максарев и главный конструктор завода А.А. Морозов доложили наркому танковой промышленности В.А. Малышеву ориентировочные ТТХ и предъявили на рассмотрение макет танка Т-44, получившего за</w:t>
      </w:r>
      <w:r w:rsidRPr="00271E51">
        <w:rPr>
          <w:rFonts w:ascii="Times New Roman" w:hAnsi="Times New Roman"/>
          <w:color w:val="000000" w:themeColor="text1"/>
          <w:sz w:val="16"/>
          <w:szCs w:val="16"/>
        </w:rPr>
        <w:softHyphen/>
        <w:t>водское обозначение"Объект 136». До принятия на вооружение танка Т-44 завод № 183 последователь</w:t>
      </w:r>
      <w:r w:rsidRPr="00271E51">
        <w:rPr>
          <w:rFonts w:ascii="Times New Roman" w:hAnsi="Times New Roman"/>
          <w:color w:val="000000" w:themeColor="text1"/>
          <w:sz w:val="16"/>
          <w:szCs w:val="16"/>
        </w:rPr>
        <w:softHyphen/>
        <w:t>но изготовил три модификации опытных образцов этого танка (10703).</w:t>
      </w:r>
    </w:p>
    <w:p w14:paraId="7D7AFB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7CA906" w14:textId="77777777" w:rsidR="00F34513" w:rsidRPr="00271E51" w:rsidRDefault="00F34513"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Осенью 1943 года КБ-520 завода №183 во главе с А.А. Морозовым начало работу над танком, получившем обозначение Т-44. В отличие от Т-43 и его предшественников, являвшихся эволюционным развитием, это был революционный проект. За счет размещения мотора поперек корпуса удалось сместить боевое отделение назад. В результате лобовая деталь корпуса, наконец, лишилась люка механика-водителя. Т-44 получился не сразу, машина прошла несколько ступеней эволюции, но сама концепция оказалась верной. За счет более плотной компоновки и принципиально нового шасси боевая масса Т-44 составила 30 тонн при существенном росте броневой защиты. 3 ноября 1944 года Сталин подписал постановление ГКО №6997сс "О принятии на вооружение танков Т-44 и обеспечении производства их дизель-моторами В-44". Спустя 3 года сменщик Т-44, наконец, обрел законченные очертания, по крайней мере, так казалось на тот момент. Между тем, КБ-520 завода №183 работало над модернизацией Т-44, известной как Т-44Б. Главным отличием танка становилось вооружение в виде 100-мм орудия Д-10Т. После рассмотрения проекта в ГБТУ КА и НКТП (Наркомат Танковой Промышленности) 1 ноября 1944 года был подписан приказ №637с. В нем Т-44Б был впервые обозначен как Т-54. На практике Т-54 оказался во многом другим танком. На него ставили усиленную ходовую часть, с нуля разработали башню, усилили броневую защиту. Первый опытный образец Т-54 изготовили к 14 февраля 1945 года, далее начались заводские и полигонные испытания. Как и Т-44, новый танк ждала непростая судьба, причем поначалу облик машины довольно существенно видоизменялся (21139).</w:t>
      </w:r>
    </w:p>
    <w:p w14:paraId="266CF837" w14:textId="77777777" w:rsidR="00F34513" w:rsidRPr="00271E51" w:rsidRDefault="00F34513" w:rsidP="00271E51">
      <w:pPr>
        <w:pStyle w:val="article-renderblock"/>
        <w:shd w:val="clear" w:color="auto" w:fill="FFFFFF"/>
        <w:spacing w:before="0" w:beforeAutospacing="0" w:after="0" w:afterAutospacing="0"/>
        <w:jc w:val="both"/>
        <w:rPr>
          <w:color w:val="0070C0"/>
          <w:sz w:val="16"/>
          <w:szCs w:val="16"/>
        </w:rPr>
      </w:pPr>
    </w:p>
    <w:p w14:paraId="7216FA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КБ завода №183 в Нижнем Тагиле началась разработ</w:t>
      </w:r>
      <w:r w:rsidRPr="00271E51">
        <w:rPr>
          <w:rFonts w:ascii="Times New Roman" w:hAnsi="Times New Roman"/>
          <w:color w:val="000000" w:themeColor="text1"/>
          <w:sz w:val="16"/>
          <w:szCs w:val="16"/>
        </w:rPr>
        <w:softHyphen/>
        <w:t>ка нового среднего танка. В ноябре 1943 г. директор завода Ю.Е. Максарев и главный конструктор завода А.А. Морозов доложили наркому танковой промышленности В.А. Малышеву ориентировочные тактике-техни</w:t>
      </w:r>
      <w:r w:rsidRPr="00271E51">
        <w:rPr>
          <w:rFonts w:ascii="Times New Roman" w:hAnsi="Times New Roman"/>
          <w:color w:val="000000" w:themeColor="text1"/>
          <w:sz w:val="16"/>
          <w:szCs w:val="16"/>
        </w:rPr>
        <w:softHyphen/>
        <w:t>ческие характеристики (ТТХ) и предъявили на рассмотрение макет танка Т-44, получив</w:t>
      </w:r>
      <w:r w:rsidRPr="00271E51">
        <w:rPr>
          <w:rFonts w:ascii="Times New Roman" w:hAnsi="Times New Roman"/>
          <w:color w:val="000000" w:themeColor="text1"/>
          <w:sz w:val="16"/>
          <w:szCs w:val="16"/>
        </w:rPr>
        <w:softHyphen/>
        <w:t>шего заводское обозначение «Объект 136».</w:t>
      </w:r>
    </w:p>
    <w:p w14:paraId="769830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среднего танка Т-44 представ</w:t>
      </w:r>
      <w:r w:rsidRPr="00271E51">
        <w:rPr>
          <w:rFonts w:ascii="Times New Roman" w:hAnsi="Times New Roman"/>
          <w:color w:val="000000" w:themeColor="text1"/>
          <w:sz w:val="16"/>
          <w:szCs w:val="16"/>
        </w:rPr>
        <w:softHyphen/>
        <w:t>лял собой машину, созданную с учетом воз</w:t>
      </w:r>
      <w:r w:rsidRPr="00271E51">
        <w:rPr>
          <w:rFonts w:ascii="Times New Roman" w:hAnsi="Times New Roman"/>
          <w:color w:val="000000" w:themeColor="text1"/>
          <w:sz w:val="16"/>
          <w:szCs w:val="16"/>
        </w:rPr>
        <w:softHyphen/>
        <w:t>можности ее дальнейшего совершенство</w:t>
      </w:r>
      <w:r w:rsidRPr="00271E51">
        <w:rPr>
          <w:rFonts w:ascii="Times New Roman" w:hAnsi="Times New Roman"/>
          <w:color w:val="000000" w:themeColor="text1"/>
          <w:sz w:val="16"/>
          <w:szCs w:val="16"/>
        </w:rPr>
        <w:softHyphen/>
        <w:t>вания. В техническом проекте в интересах получения большего объема боевого отде</w:t>
      </w:r>
      <w:r w:rsidRPr="00271E51">
        <w:rPr>
          <w:rFonts w:ascii="Times New Roman" w:hAnsi="Times New Roman"/>
          <w:color w:val="000000" w:themeColor="text1"/>
          <w:sz w:val="16"/>
          <w:szCs w:val="16"/>
        </w:rPr>
        <w:softHyphen/>
        <w:t>ления и установки башни с диаметром опо-</w:t>
      </w:r>
    </w:p>
    <w:p w14:paraId="47848B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ры до 1800 мм компоновка моторно-транс-миссионного отделения (МТО) отличалась от компоновки всех предыдущих типов тан</w:t>
      </w:r>
      <w:r w:rsidRPr="00271E51">
        <w:rPr>
          <w:rFonts w:ascii="Times New Roman" w:hAnsi="Times New Roman"/>
          <w:color w:val="000000" w:themeColor="text1"/>
          <w:sz w:val="16"/>
          <w:szCs w:val="16"/>
        </w:rPr>
        <w:softHyphen/>
        <w:t>ков, ранее разработанных заводом. Для максимального сокращения размера зани</w:t>
      </w:r>
      <w:r w:rsidRPr="00271E51">
        <w:rPr>
          <w:rFonts w:ascii="Times New Roman" w:hAnsi="Times New Roman"/>
          <w:color w:val="000000" w:themeColor="text1"/>
          <w:sz w:val="16"/>
          <w:szCs w:val="16"/>
        </w:rPr>
        <w:softHyphen/>
        <w:t>маемого МТО по длине машины двигатель установили поперек корпуса. С целью луч</w:t>
      </w:r>
      <w:r w:rsidRPr="00271E51">
        <w:rPr>
          <w:rFonts w:ascii="Times New Roman" w:hAnsi="Times New Roman"/>
          <w:color w:val="000000" w:themeColor="text1"/>
          <w:sz w:val="16"/>
          <w:szCs w:val="16"/>
        </w:rPr>
        <w:softHyphen/>
        <w:t>шего использования внутренних объемов и получения танка с минимальной боевой массой по-новому расположили водяной и масляный радиаторы, вентилятор системы охлаждения и топливные баки. Применили торсионную подвеску.</w:t>
      </w:r>
    </w:p>
    <w:p w14:paraId="42E0B3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принятия на вооружение танка Т-44 завод №183 последовательно изготовил три модификации опытных образцов этой боевой машины. В январе-феврале 1944г. были вы</w:t>
      </w:r>
      <w:r w:rsidRPr="00271E51">
        <w:rPr>
          <w:rFonts w:ascii="Times New Roman" w:hAnsi="Times New Roman"/>
          <w:color w:val="000000" w:themeColor="text1"/>
          <w:sz w:val="16"/>
          <w:szCs w:val="16"/>
        </w:rPr>
        <w:softHyphen/>
        <w:t>пущены три танка первой модификации. Пер</w:t>
      </w:r>
      <w:r w:rsidRPr="00271E51">
        <w:rPr>
          <w:rFonts w:ascii="Times New Roman" w:hAnsi="Times New Roman"/>
          <w:color w:val="000000" w:themeColor="text1"/>
          <w:sz w:val="16"/>
          <w:szCs w:val="16"/>
        </w:rPr>
        <w:softHyphen/>
        <w:t>вые два имели массу 30,4 т и были вооруже</w:t>
      </w:r>
      <w:r w:rsidRPr="00271E51">
        <w:rPr>
          <w:rFonts w:ascii="Times New Roman" w:hAnsi="Times New Roman"/>
          <w:color w:val="000000" w:themeColor="text1"/>
          <w:sz w:val="16"/>
          <w:szCs w:val="16"/>
        </w:rPr>
        <w:softHyphen/>
        <w:t>ны 85-мм пушкой Д-5Т-85 и двумя 7,62-мм пулеметами ДТ. Броневая защита верхнего лобового листа корпуса достигала 75 мм, вер</w:t>
      </w:r>
      <w:r w:rsidRPr="00271E51">
        <w:rPr>
          <w:rFonts w:ascii="Times New Roman" w:hAnsi="Times New Roman"/>
          <w:color w:val="000000" w:themeColor="text1"/>
          <w:sz w:val="16"/>
          <w:szCs w:val="16"/>
        </w:rPr>
        <w:softHyphen/>
        <w:t>хний бортовой лист, расположенный верти</w:t>
      </w:r>
      <w:r w:rsidRPr="00271E51">
        <w:rPr>
          <w:rFonts w:ascii="Times New Roman" w:hAnsi="Times New Roman"/>
          <w:color w:val="000000" w:themeColor="text1"/>
          <w:sz w:val="16"/>
          <w:szCs w:val="16"/>
        </w:rPr>
        <w:softHyphen/>
        <w:t>кально, имел толщину 45 мм и дополнительно был защищен накладным броневым листом толщиной 30 мм. Толщина лобовой брони баш</w:t>
      </w:r>
      <w:r w:rsidRPr="00271E51">
        <w:rPr>
          <w:rFonts w:ascii="Times New Roman" w:hAnsi="Times New Roman"/>
          <w:color w:val="000000" w:themeColor="text1"/>
          <w:sz w:val="16"/>
          <w:szCs w:val="16"/>
        </w:rPr>
        <w:softHyphen/>
        <w:t>ни составляла 90 мм. На танке установили ди</w:t>
      </w:r>
      <w:r w:rsidRPr="00271E51">
        <w:rPr>
          <w:rFonts w:ascii="Times New Roman" w:hAnsi="Times New Roman"/>
          <w:color w:val="000000" w:themeColor="text1"/>
          <w:sz w:val="16"/>
          <w:szCs w:val="16"/>
        </w:rPr>
        <w:softHyphen/>
        <w:t xml:space="preserve">зель В-2ИС мощностью 500 л.с. (367,6 кВт) </w:t>
      </w:r>
      <w:r w:rsidRPr="00271E51">
        <w:rPr>
          <w:rFonts w:ascii="Times New Roman" w:hAnsi="Times New Roman"/>
          <w:color w:val="000000" w:themeColor="text1"/>
          <w:sz w:val="16"/>
          <w:szCs w:val="16"/>
        </w:rPr>
        <w:lastRenderedPageBreak/>
        <w:t>(11468).</w:t>
      </w:r>
    </w:p>
    <w:p w14:paraId="4162A8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B42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был создан Танк Т-34-76 с пушкой С-54 с целью по</w:t>
      </w:r>
      <w:r w:rsidRPr="00271E51">
        <w:rPr>
          <w:rFonts w:ascii="Times New Roman" w:hAnsi="Times New Roman"/>
          <w:color w:val="000000" w:themeColor="text1"/>
          <w:sz w:val="16"/>
          <w:szCs w:val="16"/>
        </w:rPr>
        <w:softHyphen/>
        <w:t>вышения огневой мощи танка. Установка основного оружия в танк бы</w:t>
      </w:r>
      <w:r w:rsidRPr="00271E51">
        <w:rPr>
          <w:rFonts w:ascii="Times New Roman" w:hAnsi="Times New Roman"/>
          <w:color w:val="000000" w:themeColor="text1"/>
          <w:sz w:val="16"/>
          <w:szCs w:val="16"/>
        </w:rPr>
        <w:softHyphen/>
        <w:t>ла выполнена в ЦАКБ НКВ в начале октября 1943 г. В период с 14 по 19 октября опытный образец машины прошел испытания на ГАНИОПе. По результатам проведенных испытаний, комиссией было сделано за</w:t>
      </w:r>
      <w:r w:rsidRPr="00271E51">
        <w:rPr>
          <w:rFonts w:ascii="Times New Roman" w:hAnsi="Times New Roman"/>
          <w:color w:val="000000" w:themeColor="text1"/>
          <w:sz w:val="16"/>
          <w:szCs w:val="16"/>
        </w:rPr>
        <w:softHyphen/>
        <w:t>ключение о необходимости, после устранения недостатков, принятия пушки С-54 па вооружение для танка Т-34 в качестве временной меры до принятия на вооружение более мощной 85-мм танковой пушки (10703).</w:t>
      </w:r>
    </w:p>
    <w:p w14:paraId="76980A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0858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ЦАКБ НКВ спроектировало, изготовило и установило в танк Т-34 опытный образец 76-мм танковой пушки С-54. Увеличение мощности этого орудия достигалось путем замены трубы пушки Ф-34 валового производства на трубу, имеющую штатную баллистику 76,2-мм зенитной пушки образца 1931/38 годов (ЗК). В ходе проведенных заводских испытаний было произведено 387 выстрелов их них 193 на усиленном заряде, и 280 км пробега. Максимальная скорострельность составила 5-7 выстрелов в минуту, причем расчетом, не имевшим опыта стрельбы из танковых орудий. Возимый боекомплект составлял 68 выстрелов. В заключение отчета по испытаниям говорилось:</w:t>
      </w:r>
    </w:p>
    <w:p w14:paraId="5D6F1FB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«С-54 заводские испытания стрельбой и возкой выдержала. Для окончательного решения вопроса о возможности принятия системы С-54 на вооружение Красной Армии, необходимо в срочном порядке опытный образец передать на государственные испытания» (12217).</w:t>
      </w:r>
    </w:p>
    <w:p w14:paraId="0B21D9D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CAE3BA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завод № 183 установил пушку Д5-Т в опытный образец танка Т-34 с диаметром погона новой башни 1600 мм. Машина прошла испытания с 20 по 23 ноября на Гороховецком артиллерийском полигоне в объеме 246 выстрелов, из них 105 на усиленном заряде. Результаты испытаний были положительными, но имелись и недостатки, среди них плохая экстракция стреляных гильз.</w:t>
      </w:r>
    </w:p>
    <w:p w14:paraId="33338B3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 дожидаясь официального принятия новой артсистемы на вооружение, нарком танковой промышленности Малышев распорядился готовиться к производству новых танков на заводе № 112 (12217). </w:t>
      </w:r>
    </w:p>
    <w:p w14:paraId="5B70F8D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8069E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танк Т-34-76 с установленным оборудованием для подводного буксирования - Танк Т-34ПБ (подводного буксирования), который был разработан в 1943 г. в Военной академии БТ и МБ им. Сталина, прошел полигонные испытания. На вооружение танк с оборудованием для подводной буксировки не принимался и в серийном производстве не состоял. Для установки оборудования был использован серийный танк Т-34-76 обр. 1942 г., на котором все люки и пробки в днище были загер-метизированы с помощью простых резиновых прокладок. В ходовой ча</w:t>
      </w:r>
      <w:r w:rsidRPr="00271E51">
        <w:rPr>
          <w:rFonts w:ascii="Times New Roman" w:hAnsi="Times New Roman"/>
          <w:color w:val="000000" w:themeColor="text1"/>
          <w:sz w:val="16"/>
          <w:szCs w:val="16"/>
        </w:rPr>
        <w:softHyphen/>
        <w:t>сти оси балансиров опорных катков уплотнялись резиновыми хомута</w:t>
      </w:r>
      <w:r w:rsidRPr="00271E51">
        <w:rPr>
          <w:rFonts w:ascii="Times New Roman" w:hAnsi="Times New Roman"/>
          <w:color w:val="000000" w:themeColor="text1"/>
          <w:sz w:val="16"/>
          <w:szCs w:val="16"/>
        </w:rPr>
        <w:softHyphen/>
        <w:t>ми с наружной стороны, закладывавшихся в зазор между осью и корпу</w:t>
      </w:r>
      <w:r w:rsidRPr="00271E51">
        <w:rPr>
          <w:rFonts w:ascii="Times New Roman" w:hAnsi="Times New Roman"/>
          <w:color w:val="000000" w:themeColor="text1"/>
          <w:sz w:val="16"/>
          <w:szCs w:val="16"/>
        </w:rPr>
        <w:softHyphen/>
        <w:t>сом. Оси вторых, третьих и четвертых опорных катков герметизирова</w:t>
      </w:r>
      <w:r w:rsidRPr="00271E51">
        <w:rPr>
          <w:rFonts w:ascii="Times New Roman" w:hAnsi="Times New Roman"/>
          <w:color w:val="000000" w:themeColor="text1"/>
          <w:sz w:val="16"/>
          <w:szCs w:val="16"/>
        </w:rPr>
        <w:softHyphen/>
        <w:t>лись изнутри машины с помощью чехлов из прорезиненной ткани, ко</w:t>
      </w:r>
      <w:r w:rsidRPr="00271E51">
        <w:rPr>
          <w:rFonts w:ascii="Times New Roman" w:hAnsi="Times New Roman"/>
          <w:color w:val="000000" w:themeColor="text1"/>
          <w:sz w:val="16"/>
          <w:szCs w:val="16"/>
        </w:rPr>
        <w:softHyphen/>
        <w:t>торые одевались на концы труб осей балансиров и закреплялись (10703).</w:t>
      </w:r>
    </w:p>
    <w:p w14:paraId="51070A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3406E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w:t>
      </w:r>
    </w:p>
    <w:p w14:paraId="64FA54C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РГАЭ Фонд 8752 Опись 7 Дело 138 Лист 4 – 9 </w:t>
      </w:r>
    </w:p>
    <w:p w14:paraId="7293A70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СЕКРЕТНО </w:t>
      </w:r>
    </w:p>
    <w:p w14:paraId="257C2CC9"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 В.В. ЛАРЧЕНКО</w:t>
      </w:r>
    </w:p>
    <w:p w14:paraId="27CEE22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ЦНИИ-48</w:t>
      </w:r>
    </w:p>
    <w:p w14:paraId="46C5CDE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ПОРАЖАЕМОСТЬ ТАНКОВ Т-34 В БОЯХ ПОД СТАЛИНГРАДОМ И ОРЛОМ.</w:t>
      </w:r>
    </w:p>
    <w:p w14:paraId="2D79D0F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Введение</w:t>
      </w:r>
    </w:p>
    <w:p w14:paraId="3551913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июле-августе 1943 г. московский филиал ЦНИИ-48 проводил обследование большой группы танков Т-34, вышедших из строя и доставленных на завод № 180 из района г. Сталинграда. Всего было обследовано 304 танка и, кроме того, от завода были получены данные по 105 корпусам танков (без башен). Весь этот материал, хотя и является в известной мере устаревшим, т.к. относится к концу 1942 г. – началу 1943 г., однако все же представляет значительную ценность для оценки бронирования танка Т-34 и изыскания путей его усиления и разработки бронирования вновь проектируемых танков. </w:t>
      </w:r>
    </w:p>
    <w:p w14:paraId="153C681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ряде случаев бывает затруднительно установить истинные причины выхода танков из строя. Это обстоятельство создает известную неопределенность собранных материалов и вынуждает допустить при их обработке следующие условности: </w:t>
      </w:r>
    </w:p>
    <w:p w14:paraId="4970DE1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Все несквозные снарядные поражения брони без отколов с тыльной стороны отнесены в группу безопасных поражений. </w:t>
      </w:r>
    </w:p>
    <w:p w14:paraId="0A040B1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Все сквозные снарядные поражения брони, а также несквозные, но с отколом с тыльной стороны, которые могли бы произвести разрушения внутренних механизмов или вывести из строя его экипаж, отнесены в группу опасных поражений. </w:t>
      </w:r>
    </w:p>
    <w:p w14:paraId="582B48A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Снарядные поражения с наименьшими размерами до 50 мм объединены в одну общую группу. В эту группу, очевидно, вошли и поражения подкалиберными снарядами, т.к. отличить их не оказалось возможным. </w:t>
      </w:r>
    </w:p>
    <w:p w14:paraId="0F8FF954"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Снарядные поражения с наименьшими размерами 50, 75 и 88 мм отнесены соответственно к калибрам 50, 75 и 88 мм. </w:t>
      </w:r>
    </w:p>
    <w:p w14:paraId="215CD53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Снарядные поражения с наименьшими размерами, значительно превышающими 88 мм (главным образом проломы), а также большое количество вмятин и выбоин разных размеров отнесены в группу поражений снарядами неопределенных калибров. В эту же группу попало некоторое, сравнительно небольшое количество сквозных поражений, которые по своим размерам не могли быть отнесены ни к одному известному калибру германских снарядов (70, 60, 30 мм). </w:t>
      </w:r>
    </w:p>
    <w:p w14:paraId="016DA18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Танки, имеющие одно или несколько опасных поражений брони, отнесены в группу вышедших из строя по снарядным поражениям брони, независимо от состояния их ходовой части, механизмов и вооружения, а также следов пожара и подрыва на мине. </w:t>
      </w:r>
    </w:p>
    <w:p w14:paraId="65DAE1D4"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Танки, имеющие только безопасные поражения брони без следов пожара и подрыва на мине и без повреждений вооружения, отнесены в группу вышедших из строя из-за повреждений и расстройства ходовой части и механизмов от артиллерийского огня. </w:t>
      </w:r>
    </w:p>
    <w:p w14:paraId="191672C9"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Все танки без снарядных поражений брони распределены на группы, по причинам выхода из строя по следующим признакам: </w:t>
      </w:r>
    </w:p>
    <w:p w14:paraId="0D3E562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без следов пожара и подрыва и с неповрежденным вооружением – в группу вышедших из строя по техническим неисправностям; </w:t>
      </w:r>
    </w:p>
    <w:p w14:paraId="2B7AB99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без следов подрыва, но со следами пожара – в группу вышедших из строя от поджога бутылками с горючей жидкостью; </w:t>
      </w:r>
    </w:p>
    <w:p w14:paraId="1E2E463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без следов подрыва и пожара, но с пушками, разбитыми снарядными попаданиями – в группу вышедших из строя от снарядных поражений пушки; </w:t>
      </w:r>
    </w:p>
    <w:p w14:paraId="7047C76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со следами подрыва на мине (разорванное днище с загнутыми внутрь кромками) – в группу вышедших из строя от подрыва на мине. </w:t>
      </w:r>
    </w:p>
    <w:p w14:paraId="0CBA839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Последующее сопоставление результатов обследования с материалами по поражаемости танков Т-34 и КВ в боях под Орлом (июль – август 1943 г.), полученными от технической инспекции НКТП, показало, что принятые условности в основном были выбраны правильно и сделанные выводы подтверждаются этими более поздними материалами с некоторым уточнением их в отдельных случаях. </w:t>
      </w:r>
    </w:p>
    <w:p w14:paraId="6A569CA7"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Общее состояние машин и причины выхода их из строя.</w:t>
      </w:r>
    </w:p>
    <w:p w14:paraId="17C4B55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Распределение всех обследованных 304 танков и 105 корпусов на группы по причинам выхода из строя, представлено в табл.1. Очень много танков (196 шт. или 64,6 проц.) горело. Подавляющее большинство из них (188 шт. – 61,9 проц.) имеют снарядные поражения. </w:t>
      </w:r>
    </w:p>
    <w:p w14:paraId="706DC26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1. Причины выхода из строя танков под Сталинградом </w:t>
      </w:r>
    </w:p>
    <w:p w14:paraId="3DC8475B"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 1 следует, что в период боев под Сталинградом наши потери в танках Т-34 от артиллерии противника составляли 87 проц. всех потерь, в том числе 80 проц. от опасных снарядных поражений брони. Потери от технических неисправностей и от повреждений ходовой части и механизмов от артогня составляли 15 проц. Следовательно, дальнейшая работа по увеличению живучести танков в боевых операциях должна быть направлена, во-первых, к увеличению стойкости броневой защиты и, во-вторых, к увеличению надежности ходовой части и механизмов. </w:t>
      </w:r>
    </w:p>
    <w:p w14:paraId="476648C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Немецкие снаряды и эффективности их действия по броне танка Т-34.</w:t>
      </w:r>
    </w:p>
    <w:p w14:paraId="3A0392A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Соотношение различных групп немецких снарядов.</w:t>
      </w:r>
    </w:p>
    <w:p w14:paraId="361EC52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табл. 2 показан удельный вес различных бронебойных снарядов, поразивших танки Т-34. </w:t>
      </w:r>
    </w:p>
    <w:p w14:paraId="557E158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 Поражения танков Т-34 различными снарядами </w:t>
      </w:r>
    </w:p>
    <w:p w14:paraId="610CA3E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на долю снарядов калибров 75 и 88 мм приходится в общей сложности 28,2 проц. поражений. Если же учесть, что расход снарядов у пушек большого калибра вероятно будет относительно меньше , чем у пушек меньшего калибра, т.к. пушки большего калибра менее скорострельны, а эффективность действия их снарядов по броне танка Т-34 значительно выше, то можно утверждать, что примерно к концу 1942 года в составе немецкой танковой и противотанковой артиллерии уже было не менее 30 проц. пушек калибров 75 и 88 мм. В летнюю компанию 1943 г. пушки калибров 75 и 88 мм уже стали основными в немецкой танковой и противотанковой артиллерии. </w:t>
      </w:r>
    </w:p>
    <w:p w14:paraId="3CF88FD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Эффективность действия различных групп немецких снарядов по броне танка Т-34.</w:t>
      </w:r>
    </w:p>
    <w:p w14:paraId="26B1EF9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Данные по эффективности действия различных групп снарядов по броне танка Т-34 представлены в табл. 3, откуда видно, что в среднем каждое второе попадание наносит броневой защите танка опасное поражение. </w:t>
      </w:r>
    </w:p>
    <w:p w14:paraId="1340285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3. Эффективность действия различных снарядов по танкам Т-34 </w:t>
      </w:r>
    </w:p>
    <w:p w14:paraId="1F58D1A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группам снарядов калибров менее 50 мм эффективность (36,3 проц. опасных поражений) получилась довольно высокой, вероятно, за счет подкалиберных снарядов, поражения которыми выделить не удалось. </w:t>
      </w:r>
    </w:p>
    <w:p w14:paraId="2D6F95B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Эффективность 50 мм снарядов – 60,7 проц. опасных поражений. Эта цифра является, по-видимому, несколько завышенной. На это, в частности, указывают случаи отнесения к этому калибру пробоин лобовой детали корпуса (таких случаев зафиксировано 21), тогда, как известно, что указанная деталь 50 мм немецкими снарядами не пробивается. </w:t>
      </w:r>
    </w:p>
    <w:p w14:paraId="2CCE463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по калибрам 75 мм (89 проц. опасных поражений) и 88 мм (97,8 проц.) показывают, что броня танка Т-34 слабо защищает от этих снарядов. Первое же попадание любым из этих снарядов в любую деталь танка может вывести его из строя. </w:t>
      </w:r>
    </w:p>
    <w:p w14:paraId="0069B96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группе кумулятивных снарядов эффективность оказалась очень высокой (85,7 проц. опасных поражений), однако эта величина определялась малым количеством поражений. </w:t>
      </w:r>
    </w:p>
    <w:p w14:paraId="72FA681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Поражаемость брони танка Т-34 в целом, его проекций и отдельных деталей.</w:t>
      </w:r>
    </w:p>
    <w:p w14:paraId="0B77A1E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Распределение поражений броневой защиты танка Т-34 по частям танка, его проекциям и отдельным деталям.</w:t>
      </w:r>
    </w:p>
    <w:p w14:paraId="078C077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группе танков снарядные поражения в деталях лобовой, бортовых и кормовой проекциях имеют 268 машин (табл. 4). </w:t>
      </w:r>
    </w:p>
    <w:p w14:paraId="22066E0B"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4. Распределение поражений по отдельным площадям и деталям танка </w:t>
      </w:r>
    </w:p>
    <w:p w14:paraId="6BB8565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Относительное количество поражений, приходящихся на ту или иную деталь танка, а следовательно и относительная вероятность поражения этой детали, является произведением относительной величины соответствующей площади проекции на относительную удельную снарядную нагрузку. Эта последняя величина показывает, какое относительное количество поражений приходится на единицу площади проекции детали, и, следовательно, является характеристикой относительной вероятности поражения единицы площади проекции. </w:t>
      </w:r>
    </w:p>
    <w:p w14:paraId="19D61AB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будет показано, что относительная вероятность потерь*) в танках от поражений той или иной детали в значительно большей степени определяется относительной удельной снарядной нагрузкой на деталь и в меньшей степени относительной площадью проекции этой детали**). </w:t>
      </w:r>
    </w:p>
    <w:p w14:paraId="45CC55F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 4 можно видеть, что величина относительной удельной снарядной нагрузки на деталь будет зависеть с одной стороны от высоты расположения этой детали и, с другой стороны, от того, в какой проекции танка эта деталь находится. Иначе говоря, удельная снарядная нагрузка на деталь будет изменяться в зависимости от высоты расположения детали, но закон этого изменения для разных проекций танка будет различным (фиг. 1). </w:t>
      </w:r>
    </w:p>
    <w:p w14:paraId="4B0AE35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кривых фиг. 1 видно, что с увеличением высоты расположения детали (для лобовой и бортовой проекции танка) относительная удельная снарядная нагрузка на деталь значительно возрастает. Для лобовых деталей танка величина относительной удельной снарядной нагрузки больше, а рост ее с увеличением высоты расположения детали значительно больше, чем для бортовых деталей. Что же касается кормовых деталей танка, то их относительная удельная снарядная нагрузка невелика и рост ее с увеличением высоты незначителен. </w:t>
      </w:r>
    </w:p>
    <w:p w14:paraId="7BC1193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рассмотренные материалы еще раз подтверждают те положения, которые неоднократно выдвигались ЦНИИ-48 по вопросу о требованиях, предъявляемых к относительной стойкости различных частей броневой защиты танка, а именно: </w:t>
      </w:r>
    </w:p>
    <w:p w14:paraId="39F10FD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бронирование лобовых деталей по стойкости должно значительно превосходить бронирование его бортовых деталей; </w:t>
      </w:r>
    </w:p>
    <w:p w14:paraId="6FF8D80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бронирование башни танка должно быть значительно более стойким, чем бронирование соответствующих деталей корпуса. </w:t>
      </w:r>
    </w:p>
    <w:p w14:paraId="3883B41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 о какой "равностойкости" танка не может быть и речи. Танк должен быть забронирован дифференцированно, в зависимости от того, к какой его проекции относится та или иная деталь и от высоты расположения этой детали. </w:t>
      </w:r>
    </w:p>
    <w:p w14:paraId="2F9FED6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__________ </w:t>
      </w:r>
    </w:p>
    <w:p w14:paraId="2562901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 Только вероятность, а не самые потери, которые будут зависеть еще и от стойкости детали. </w:t>
      </w:r>
    </w:p>
    <w:p w14:paraId="513E5A6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 В этом отношении площадь проекции детали будет оказывать определенное выравнивающее влияние, т.к. на деталях больших площадей чаще встречаются многократные поражения и количество их больше, чем не деталях меньших площадей. </w:t>
      </w:r>
    </w:p>
    <w:p w14:paraId="601F2D6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Распределение потерь в танках от поражений отдельных частей и деталей.</w:t>
      </w:r>
    </w:p>
    <w:p w14:paraId="271CEE2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 относительное количество поражений, приходящихся на ту или иную деталь броневой защиты танка, ни даже относительная удельная снарядная нагрузка на эту деталь, хотя бы и дополненная данными о ее стойкости, еще не дают прямого ответа на вопрос о том, какой процент танков, вышедших из строя в результате поражений броневой защиты, относится за счет поражений этой детали. Ответ на этот вопрос приходится получить соответствующей обработкой имеющегося фактического материала по поражаемости танков, а потом уже сопоставлять величины потерь с факторами, их определяющими. </w:t>
      </w:r>
    </w:p>
    <w:p w14:paraId="1BE8468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Многие из обследованных танков имею по несколько (до 17) опасных снарядных поражений брони, каждое из которых было бы достаточным для вывода танка из строя, причем поражения эти нанесены как в одни и те же, так и в различные детали и даже в разные проекции танка. Так их 246 танков, имеющих опасные снарядные поражения брони, – 175 (74 проц.) имеют по 2 и более опасных поражения. В связи с этим обработка материалов обследования несколько усложняется, а результаты этой обработки не могут считаться абсолютно точными. </w:t>
      </w:r>
    </w:p>
    <w:p w14:paraId="38E74B8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Распределение танков, вышедших из строя от опасных поражений броневой защиты, по пораженным частям, проекциям и отдельным деталям представлено в табл. 5, где для большей полноты материала приведены данные по корпусам. </w:t>
      </w:r>
    </w:p>
    <w:p w14:paraId="1C49CF7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5*). Распределение танков по пораженным частям и деталям </w:t>
      </w:r>
    </w:p>
    <w:p w14:paraId="56A7E184"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 Обращаем внимание, что данные 3 и 5 граф таблицы 5 являются промежуточными и абсолютные величины процентов ни в какой мере не могут быть использованы для суждения об относительном количестве танков, выходящих из строя при поражении частей, проекций и отдельных деталей броневой защиты. </w:t>
      </w:r>
    </w:p>
    <w:p w14:paraId="01835907"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3 и 5 граф табл. 5 сами по себе еще не дают отчетливого представления об удельном весе той или иной детали в выходе из строя танков по поражениям броневой защиты (суммы процентов по отдельным частям таблицы значительно превышают 100 проц.), однако соотношение величин позволяет построить следующее распределение танков по опасным поражениям отдельных деталей (графа 6 табл. 5). Графа 6 построена таким образом, что все отдельные соотношения граф 2 – 5 согласованы с минимальными отклонениями. Простым сравнением данных таблиц 1 и 5 можно убедиться, что процент выхода танков из строя по опасным поражениям той или иной детали броневой защиты, еще не определяется относительным количеством поражений, приходящимся на эту деталь. Так, например, на лоб башни приходится 16,6 проц. всех поражений и на борта башни 22,7 проц., тогда как на эти же части башни приходится соответственно 20,7 и 17,5 проц. всех потерь в танках по поражениям броневой защиты. </w:t>
      </w:r>
    </w:p>
    <w:p w14:paraId="26FB0D6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Относительные потери в танках по поражению той или иной детали броневой защиты будут определяться следующими факторами: </w:t>
      </w:r>
    </w:p>
    <w:p w14:paraId="083CFFA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стойкостью детали, </w:t>
      </w:r>
    </w:p>
    <w:p w14:paraId="2729997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относительной удельной снарядной нагрузкой на деталь, </w:t>
      </w:r>
    </w:p>
    <w:p w14:paraId="01F0D42B"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площадью проекции детали на продольную и поперечную вертикальную плоскость. </w:t>
      </w:r>
    </w:p>
    <w:p w14:paraId="0F08295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Последние два фактора (без учета влияния стойкости детали) определяют только относительную вероятность потерь. Только совместное влияние всех трех перечисленных факторов будет определять самые потери. </w:t>
      </w:r>
    </w:p>
    <w:p w14:paraId="4727854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Степень влияния на потери каждого из этих факторов в отдельности, вообще говоря, может быть различна. Сопоставление указанных факторов с процентом потерь в танках для деталей , по которым этот процент получился высоким, представлено в табл. 6. </w:t>
      </w:r>
    </w:p>
    <w:p w14:paraId="5231D01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6. Влияние стойкости детали, проекции ее площади и удельной снарядной нагрузки на размер потерь </w:t>
      </w:r>
    </w:p>
    <w:p w14:paraId="5C0A220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влияние каждого из факторов, определяющих потери в танках от поражения той или иной детали в отдельности, из таблицы 6 выявить не удается. К этому вопросу придется вернуться при сопоставлении распределения потерь в танках в боях под Орлом и Сталинградом. </w:t>
      </w:r>
    </w:p>
    <w:p w14:paraId="0BC96967"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Сравнение результатов обследования с данными о поражаемости танков Т-34 и КВ в операциях под Орлом (июль – август 1943 года).</w:t>
      </w:r>
    </w:p>
    <w:p w14:paraId="48DD40A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Рассмотренные выше материалы являются в известной мере устаревшими, т.к. они отражают общую картину поражаемости танка Т-34 периода боев под Сталинградом. В настоящее время имеются более поздние материалы технической инспекции НКТП о поражаемости танков Т-34 и КВ в боевых операциях под Орлом в июле – августе 1943 г. Эти последние материалы собраны непосредственно в районе боев, а потому являются более определенными и достоверными, чем материалы, собранные на ремонтном заводе и отражают период, к которому перевооружение немецкой танковой и противотанковой артиллерии можно считать в основном законченным. </w:t>
      </w:r>
    </w:p>
    <w:p w14:paraId="6B051A6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Причины выхода танков из строя.</w:t>
      </w:r>
    </w:p>
    <w:p w14:paraId="3DD2F14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Материалы технической инспекции НКТП охватывают 553 танка Т-34 и КВ. Распределение их по причинам выхода из строя представлено в таблице 7, откуда видно, что основной причиной был и остается огонь танковой и противотанковой артиллерии, на долю которого падает почти 90 проц. всех потерь. </w:t>
      </w:r>
    </w:p>
    <w:p w14:paraId="607F2767"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7. Причины выход танков из строя в боях под Сталинградом и Орлом </w:t>
      </w:r>
    </w:p>
    <w:p w14:paraId="091788D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материалах о боях под Орлом нет разбивки потерь от артогня на группы, однако естественно предположить, что в связи с увеличением мощности и бронебойной способности немецкой танковой и противотанковой артиллерии в боях под Орлом, относительные потери в танках от опасных снарядных поражений брони выше, чем в боях под Сталинградом. Поэтому можно считать, что и для периода боев под Орлом эта категория потерь будет не менее 80 проц. всех потерь в танках. Следовательно, сделанный ранее вывод о том, что увеличение живучести танков в боевых операциях должно быть проведено, в первую очередь, путем усиления стойкости броневой защиты полностью подтверждается. </w:t>
      </w:r>
    </w:p>
    <w:p w14:paraId="66EA561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остальных величин табл. 7 особого внимания заслуживают потери от авиации. Наличие из свидетельствует о том, что в будущем вопрос о защите наших танков от действия авиации противника может встать достаточно резко. Однако в настоящий момент в нашем распоряжении пока еще нет достаточных материалов ни для более конкретной постановки этого вопроса, ни, тем более, для изыскания путей его решения. </w:t>
      </w:r>
    </w:p>
    <w:p w14:paraId="46F54EA0"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Немецкая танковая и противотанковая артиллерия периода боев под Орлом.</w:t>
      </w:r>
    </w:p>
    <w:p w14:paraId="4BD638A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Представление о составе немецкой танковой и противотанковой артиллерии периода боев под Орлом можно получить по следующему распределению 213 осмотренных танков по калибрам и типам снарядов, которыми были нанесены выводящие из строя поражения (табл. 8). </w:t>
      </w:r>
    </w:p>
    <w:p w14:paraId="7448210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8. Количество танков, выведенных из строя различными снарядами </w:t>
      </w:r>
    </w:p>
    <w:p w14:paraId="0E28ED6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табл. 8 полностью подтверждают, что к летней компании 1943 г. 88 мм и 75 мм длинноствольные пушки составляли основную часть немецкой танковой и противотанковой артиллерии и что перевооружение указанной артиллерии на эти калибры к лету 1943 г. в основном было закончено. </w:t>
      </w:r>
    </w:p>
    <w:p w14:paraId="53276D3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Наиболее поражаемые части и детали броневой защиты танков в боях под Орлом.</w:t>
      </w:r>
    </w:p>
    <w:p w14:paraId="2A96B68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Материалы боев под Орлом (табл. 9) подтверждают и в известной мере уточняют данные о распределении потерь в танках от опасных снарядных поражений броневой защиты по пораженным частям и деталям, полученные по танкам периода боев под Сталинградом. Данные о поражениях танков в боях под Орлом не противоречат данным о поражениях под Сталинградом. </w:t>
      </w:r>
    </w:p>
    <w:p w14:paraId="72E5D639"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9. Сопоставление процента потерь и места поражения танков в боях под Сталинградом и Орлом </w:t>
      </w:r>
    </w:p>
    <w:p w14:paraId="76583FD7"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данным табл. 9 можно с достаточной уверенностью утверждать, что на долю башни будет выпадать 40 – 45 проц. всех потерь от опасных снарядных поражений броневой защиты. Из этой величины около 20 – 22 проц. будет приходиться на долю лобовой стороны башни и около 17 – 19 проц. на долю бортов башни. </w:t>
      </w:r>
    </w:p>
    <w:p w14:paraId="3296141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под Орлом на долю лобовой стороны корпуса приходится 26,6 проц. потерь танков против 12,4 проц. в боях под Сталинградом. Эти величины потерь целесообразно рассмотреть совместно с потерями по поражениям нижнего борта (для Т-34 – борта), которые получились соответственно – 10,3 и 20,0 проц. В сумме, на эти обе категории потерь приходится в боях под Орлом – 36,9 проц., а под Сталинградом – 32,4 проц., т.е. почти поровну. </w:t>
      </w:r>
    </w:p>
    <w:p w14:paraId="428E83D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в боях под Сталинградом танки Т-34, как это было показано выше, имели еще преимущество в стойкости лобовой стороны корпуса, то под Орлом это преимущество было уже утрачено (очевидно, это относится и к танкам КВ). В связи с этим, то изменение соотношения между этими двумя категориями потерь, т.е. переход около 10 проц. потерь с нижнего борта на лобовую сторону корпуса, которое получилось для танков в боях под Орлом, по сравнению с танками под Сталинградом, является вполне логичным. </w:t>
      </w:r>
    </w:p>
    <w:p w14:paraId="70657B44"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для танков с недостаточной разницей в стойкости различных частей и деталей броневой защиты или с полным отсутствием этой разницы на долю лобовой стороны корпуса будет приходиться около 25 проц. и на долю нижнего борта около 10 проц. всех потерь от опасных снарядных поражений броневой защиты. По верхнему борту (для Т-34 – подкрылку) получилось полное совпадение потерь в боях под Орлом (17,0 проц.) и под Сталинградом (17,1 проц.). Следовательно, для танков с недостаточной разницей в стойкости различных частей и деталей броневой защиты или с полным отсутствием этой разницы, на долю примерно верхней трети борта корпуса (для Т-34 – подкрылка), будет падать около 17 проц. всех потерь от опасных снарядных поражений броневой защиты. </w:t>
      </w:r>
    </w:p>
    <w:p w14:paraId="0036D29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данных таблицы 9 позволяет считать, что без учета влияния стойкости отдельных частей и деталей броневой защиты танка, общие потери в танках от опасных снарядных поражений брони распределяются по поражениям отдельных частей и деталей броневой защиты танка, примерно, следующим образом (табл. 10). </w:t>
      </w:r>
    </w:p>
    <w:p w14:paraId="5238F00C"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10. Распределение поражений по отдельным частям танка </w:t>
      </w:r>
    </w:p>
    <w:p w14:paraId="6D5DE15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того, что влияние стойкости отдельных частей и деталей броневой защиты танка на распределение потерь в табл. 10 практически можно считать полностью исключенным, эта таблица дает представление о степени вероятности поражения различных частей и деталей броневой защиты танка и о том относительном значении, которое следует придавать их бронированию. Она еще раз и более отчетливо подчеркивает то исключительно большое значение, которое имеет бронирование башни и лобовой проекции корпуса. </w:t>
      </w:r>
    </w:p>
    <w:p w14:paraId="459B8F5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Влияние ряда факторов на потери от поражений отдельных деталей.</w:t>
      </w:r>
    </w:p>
    <w:p w14:paraId="7BD5EAD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Стойкость отдельной детали или вероятность ее поражения будет влиять на относительные потери в танках (табл. 10). Влияние это сводится к нулю, когда деталь достаточно стойка и предохраняет от опасных поражений. Естественно, что относительно более высокая стойкость других деталей может привести к повышению относительных потерь и за пределы величин, указанных в табл. 10, как это было, например, с потерями под Сталинградом танков Т-34 от поражения борта корпуса. </w:t>
      </w:r>
    </w:p>
    <w:p w14:paraId="58A03BA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Интересно отметить, что влияние разницы в стойкости отдельных деталей на распределение потерь исчезает раньше, чем сама разница в стойкости, как это было выше показано на потерях по поражениям башни и подкрылков. Таким образом, можно считать, что малые изменения стойкости не оказывают заметного влияния на соотношение потерь. Поэтому, если выясняется, что тот или иной танк имеет недостаточную стойкость бронирования ряда деталей, а для усиления этого бронирования может быть выделен ограниченный вес, то совершенно бесполезно распределять этот вес по всем деталям. Наоборот, концентрация его на одной или нескольких деталях значительно сократит соответствующие категории потерь и уменьшит общий процент выхода танков из строя. </w:t>
      </w:r>
    </w:p>
    <w:p w14:paraId="161E9E4A"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Влияние относительной удельной снарядной нагрузки на деталь и площади проекции детали на относительные потери по поражениям этой детали, в какой-то мере, можно проследить по материалам о боях под Орлом, поскольку на эти данные стойкость деталей практически не оказала влияния. Сопоставление распределения потерь с относительной удельной снарядной нагрузкой на детали и с площадями проекций деталей представлены в табл. 11. </w:t>
      </w:r>
    </w:p>
    <w:p w14:paraId="2FAB3E1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11. Распределение потерь в боях под Орлом в зависимости от места поражения брони танков </w:t>
      </w:r>
    </w:p>
    <w:p w14:paraId="5779136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 11 видно, что процент потерь по деталям в основном зависит от относительной удельной снарядной нагрузки на них. Влияние площади проекции детали сравнительно не велико. Если не учитывать влияния площади проекции, т.е. считать что этого влияния нет, то величины табл. 11 в области потерь выше 2 проц. довольно хорошо укладываются на общую кривую (фиг. 2). При этом надо иметь в виду, что величина относительной удельной снарядной нагрузки для лобовой детали корпуса должна быть скорректирована в большую сторону, а для верхней части вертикального борта – в меньшую сторону (на фиг. 2 это соответственно показано точкой со стрелкой). </w:t>
      </w:r>
    </w:p>
    <w:p w14:paraId="5AEB2319"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в первом приближении можно считать, что распределение потерь в табл. 11 определилось только величиной относительной удельной снарядной нагрузки и, следовательно, последняя является основной характеристикой, определяющей значение бронирования детали с точки зрения потерь в танках от поражения этой детали. </w:t>
      </w:r>
    </w:p>
    <w:p w14:paraId="09AE628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Возможность увеличения живучести танка Т-34</w:t>
      </w:r>
    </w:p>
    <w:p w14:paraId="0205C25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Распределение потерь в танках периода боев под Орлом от опасных снарядных поражений брони (табл. 11) показывает, что потери в танках Т-34 в основном определяются поражаемостью следующих частей и деталей броневой защиты (табл. 12). </w:t>
      </w:r>
    </w:p>
    <w:p w14:paraId="31FD1E0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12. Распределение всех потерь в боях под Орлом в зависимости от места поражения брони танков </w:t>
      </w:r>
    </w:p>
    <w:p w14:paraId="5676DD7F"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Иначе говоря, для создания достаточно удовлетворительной по стойкости броневой защиты танка Т-34 и, следовательно, для резкого увеличения его живучести под огнем немецкой танковой и противотанковой артиллерии, требуется усиление бронирования почти всех его лобовых и бортовых деталей. Однако танк Т-34 совершенно не имеет для этого дополнительных весовых возможностей. </w:t>
      </w:r>
    </w:p>
    <w:p w14:paraId="291C3CE3"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безусловно, возможно и следует провести частичное усиление бронирования танка Т-34 и, тем самым, увеличить его живучесть в боевых операциях. Не следует, конечно, считать, что усиление бронирования для предохранения от опасных поражений какой-нибудь одной детали обеспечивает уменьшение общих потерь полностью на соответствующий процент. Вернее будет предположить, что при таком частичном решении вопроса величина общего уменьшения потерь как-то скорректируется в меньшую сторону. Однако практическое значение усиления бронирования не пропадает. При комплексном решении вопроса о дополнительном бронировании танка, которое может придать ему дополнительные тактические возможности (например, непоражаемость лобовой проекции) можно ожидать, что уменьшение общих потерь будет примерно соответствовать величинам табл. 12. </w:t>
      </w:r>
    </w:p>
    <w:p w14:paraId="3B588B9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Одним из наиболее удачных вариантов усиления бронирования танка Т-34 будет дополнительное бронирование лобовой стороны башни и лобовой детали корпуса. Общая площадь этих двух частей броневой защиты танка Т-34 составляет около 3,7 м². Дополнительное бронирование их для полной защиты от немецких 75 и 88 мм снарядов с самых коротких дистанций потребует, примерно, 1,5 – 2,0 тонн веса, в том числе на лобовую деталь корпуса около 600 – 800 кг и позволит сократить общие потери в танках не менее чем на 30 проц. </w:t>
      </w:r>
    </w:p>
    <w:p w14:paraId="4EEFB90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 возможным вариантом усиления бронирования танка Т-34 можно считать дополнительную защиту лобовой стороны и бортов башни (площадь около 3,3 м², вес примерно в тех же пределах, уменьшение общих потерь – не менее 25 проц.). Для бортов башни в этом случае будет достаточным требование обеспечения непоражаемости 75 и 88 мм немецкими снарядами с самых коротких дистанций в пределах курсовых углов 0 – 45˚. </w:t>
      </w:r>
    </w:p>
    <w:p w14:paraId="5D9A42F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невозможности дополнительной весовой нагрузки на танк Т-34, возможности для дополнительного бронирования придется искать в самом танке. Для этого необходимо тщательно пересмотреть веса всех его составных частей и изыскать требуемый вес, путем облегчения неброневых и броневых деталей кормы корпуса и башни. </w:t>
      </w:r>
    </w:p>
    <w:p w14:paraId="02070BFE"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 Требования к противоснарядной стойкости броневой защиты проектируемых танков.</w:t>
      </w:r>
    </w:p>
    <w:p w14:paraId="6363CD16"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 процент потерь в танках от опасных снарядных поражений броневой защиты (80 проц. всех потерь для боев под Сталинградом и не менее этой величины для боев под Орлом) достаточно убедительно говорит о том, что броневая защита танков должна рассчитываться на прямое попадание снарядами основных калибров танковой и противотанковой артиллерии противника и выдерживать это попадание на реальных боевых дистанциях, которые могут быть очень короткими. Стойкость бронировании отдельных частей и деталей броневой защиты танка должна быть строго дифференцирована в зависимости от высоты расположения и от принадлежности к той или иной проекции танка. </w:t>
      </w:r>
    </w:p>
    <w:p w14:paraId="06BFBF95"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Детали лобовой проекции танка должны обеспечивать неполучение опасных поражений с самых коротких дистанций (50 – 100 м). Детали бортовой проекции танка должны обеспечивать неполучение опасных поражений только в определенных зонах курсовых углов, причем для бортов башни эта зона должна быть примерно вдвое, а для бортов подбашенной коробки (или соответствующей ей части борта корпуса), примерно в полтора раза больше чем для бортов корпуса. Размеры зоны курсовых углов следует определять исходя из принципов и тактических приемов использования танков в боевых операциях. </w:t>
      </w:r>
    </w:p>
    <w:p w14:paraId="0525618B"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напряженном положении с весовой нагрузкой на танк, можно облегчить и не рассчитывать на прямое попадание расчетным снарядом следующие броневые детали: </w:t>
      </w:r>
    </w:p>
    <w:p w14:paraId="061BBDA2"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кормовые детали корпуса, </w:t>
      </w:r>
    </w:p>
    <w:p w14:paraId="7146A2CD"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кормовые детали башни, </w:t>
      </w:r>
    </w:p>
    <w:p w14:paraId="3DE08018"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детали бортовой и лобовой проекции корпуса до высоты не более 600 – 700 мм от уровня земли (18592).</w:t>
      </w:r>
    </w:p>
    <w:p w14:paraId="689EE8AA" w14:textId="77777777" w:rsidR="00E741BB" w:rsidRPr="00271E51" w:rsidRDefault="00E741BB" w:rsidP="00271E51">
      <w:pPr>
        <w:spacing w:after="0" w:line="240" w:lineRule="auto"/>
        <w:jc w:val="both"/>
        <w:rPr>
          <w:rFonts w:ascii="Times New Roman" w:hAnsi="Times New Roman"/>
          <w:color w:val="000000" w:themeColor="text1"/>
          <w:sz w:val="16"/>
          <w:szCs w:val="16"/>
        </w:rPr>
      </w:pPr>
    </w:p>
    <w:p w14:paraId="3350BAB1" w14:textId="77777777" w:rsidR="00E741BB" w:rsidRPr="00271E51" w:rsidRDefault="00E741B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на заводе №183 изготовили два образца Т-34, на которые установили башни от Т-43. Первый танк получил башню с орудием Ф-34, второй — башню с орудием Д-5Т. Вторая разработка оказалась более приоритетной. С 20 по 23 ноября 1943 года на Гороховецком АНИОП проходили испытания Т-34 с башней Т-43 и орудием Д5-Т-85. Испытания прошли успешно, что стало отмашкой для создания Т-34-85. Правда, вместо башни Т-43 серийные Т-34-85 получили башни новой конструкции, причём первоначально </w:t>
      </w:r>
      <w:hyperlink r:id="rId105" w:history="1">
        <w:r w:rsidRPr="00271E51">
          <w:rPr>
            <w:rStyle w:val="a5"/>
            <w:rFonts w:ascii="Times New Roman" w:hAnsi="Times New Roman"/>
            <w:color w:val="000000" w:themeColor="text1"/>
            <w:sz w:val="16"/>
            <w:szCs w:val="16"/>
          </w:rPr>
          <w:t>Т-34-85</w:t>
        </w:r>
      </w:hyperlink>
      <w:r w:rsidRPr="00271E51">
        <w:rPr>
          <w:rFonts w:ascii="Times New Roman" w:hAnsi="Times New Roman"/>
          <w:color w:val="000000" w:themeColor="text1"/>
          <w:sz w:val="16"/>
          <w:szCs w:val="16"/>
        </w:rPr>
        <w:t> завода №112, где первыми освоили выпуск данных машин, имели двухместные башни. Трёхместные башни появились на Т-34-85 с марта 1944 года, причём вместо Д-5Т на них ставилось другое орудие — С-53, разработанное в ЦАКБ (18587).</w:t>
      </w:r>
    </w:p>
    <w:p w14:paraId="3B16F896" w14:textId="77777777" w:rsidR="00E741BB" w:rsidRPr="00271E51" w:rsidRDefault="00E741BB" w:rsidP="00271E51">
      <w:pPr>
        <w:spacing w:after="0" w:line="240" w:lineRule="auto"/>
        <w:jc w:val="both"/>
        <w:rPr>
          <w:rFonts w:ascii="Times New Roman" w:hAnsi="Times New Roman"/>
          <w:color w:val="000000" w:themeColor="text1"/>
          <w:sz w:val="16"/>
          <w:szCs w:val="16"/>
        </w:rPr>
      </w:pPr>
    </w:p>
    <w:p w14:paraId="7B4B55A0"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пока в Нижнем Тагиле шли опытные работы, в Москве бурно обсуждали судьбу Т-43. Директор завода №183 Ю.Е. Максарёв скептически оценивал перспективу выпуска новой машины. По его прикидкам, серийное производство можно было запустить не ранее января 1944 года, при этом требовалась поставка 390 станков и привлечение 5000 новых рабочих. Также к 15 октября требовалось выпустить два эталонных образца Т-43. В ГБТУ же 30 сентября 1943 года составили и вовсе разгромный вердикт — согласно ему, Т-43 имел недостаточное вооружение, 75-мм брони было уже мало, отмечалась ненадёжная работа ходовой части.</w:t>
      </w:r>
    </w:p>
    <w:p w14:paraId="1420D1BD"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про вооружение выводы выглядели вполне справедливыми, то в случае с ходовой частью возникал ряд вопросов. Как уже говорилось, у Т-34 и САУ на его базе наблюдались те же проблемы. Кроме того, в ГБТУ предлагали ещё больше расширить погон башни — до 1700 мм. Начальник 6-го отдела ТУ ГБТУ КА инженер-полковник Розенгард сделал расчёты по улучшению ТТХ Т-43. Согласно им, увеличение диаметра погона, утолщение лба корпуса до 90 мм, а также утолщение стенок башни до 110 мм поднимало массу машины на 680 кг (18587).</w:t>
      </w:r>
    </w:p>
    <w:p w14:paraId="4A1B07D1"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0A07B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Челябинске началась разработка еще двух опытных модификаций дизеля, которые впоследствии явились "родоначальниками" двух больших ветвей "генеалогического древа" В-2. Двигатель В-11 стал прототипом для семейства безнаддувных дизелей В-44, В-54 и др., ряд его конструктивных решений был внедрен в серийные В-2-34 и В-2ИС. У истоков второй ветви находится В-12 - первый из вполне "доведенных" дизелей с наддувом, обеспечивавшимся приводным центробежным нагнетателем, который позаимствовали от авиационного мотора АМ-38Ф. Максимальная мощность В-12 составляла 750 л.с., в конце войны он заслуженно считался одним из лучших танковых двигателей в мире, как по абсолютным, так и по удельным характеристикам (9019).</w:t>
      </w:r>
    </w:p>
    <w:p w14:paraId="648574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6CB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были изготовлены на ЧКЗ и опытном заводе № 100 опытные образцы стабилизаторов СКБ НКСП. В результате проведения испытаний опытного образца стабилизатора в танке Т-34 в феврале 1944 г. на НИБТ полигоне, были выявлены его недостатки, после устранения которых, СКБ НКСП весной 1944 г. был разработан новый стабилизатор для танковой пушки ЗИС-С-53 для танка Т-34-85 - СТП-С-53, получив</w:t>
      </w:r>
      <w:r w:rsidRPr="00271E51">
        <w:rPr>
          <w:rFonts w:ascii="Times New Roman" w:hAnsi="Times New Roman"/>
          <w:color w:val="000000" w:themeColor="text1"/>
          <w:sz w:val="16"/>
          <w:szCs w:val="16"/>
        </w:rPr>
        <w:softHyphen/>
        <w:t>ший наименование "Таран". На основании постановления ГКО от 7 ноября 1944 г. заводом № 112 и НИИ-627 в начале 1945 г.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5B7015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E6E2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конструкторском бюро Опытного завода № 100 в Че</w:t>
      </w:r>
      <w:r w:rsidRPr="00271E51">
        <w:rPr>
          <w:rFonts w:ascii="Times New Roman" w:hAnsi="Times New Roman"/>
          <w:color w:val="000000" w:themeColor="text1"/>
          <w:sz w:val="16"/>
          <w:szCs w:val="16"/>
        </w:rPr>
        <w:softHyphen/>
        <w:t>лябинске под руководством А.С. Ермолаева был разработан танк ИС-2 (ИС-122) обр. 1943 г., который являлся дальнейшим развитием танка ИС-1 в отношении повышения его огневой мощи и имел заводское обозначе</w:t>
      </w:r>
      <w:r w:rsidRPr="00271E51">
        <w:rPr>
          <w:rFonts w:ascii="Times New Roman" w:hAnsi="Times New Roman"/>
          <w:color w:val="000000" w:themeColor="text1"/>
          <w:sz w:val="16"/>
          <w:szCs w:val="16"/>
        </w:rPr>
        <w:softHyphen/>
        <w:t>ние "Объект 240". Общее руководство осуществлял Ж.Я. Котин. Веду</w:t>
      </w:r>
      <w:r w:rsidRPr="00271E51">
        <w:rPr>
          <w:rFonts w:ascii="Times New Roman" w:hAnsi="Times New Roman"/>
          <w:color w:val="000000" w:themeColor="text1"/>
          <w:sz w:val="16"/>
          <w:szCs w:val="16"/>
        </w:rPr>
        <w:softHyphen/>
        <w:t>щим инженером машины был Н.Ф. Шашмурин. Танк был принят на во</w:t>
      </w:r>
      <w:r w:rsidRPr="00271E51">
        <w:rPr>
          <w:rFonts w:ascii="Times New Roman" w:hAnsi="Times New Roman"/>
          <w:color w:val="000000" w:themeColor="text1"/>
          <w:sz w:val="16"/>
          <w:szCs w:val="16"/>
        </w:rPr>
        <w:softHyphen/>
        <w:t>оружение Красной Армии 31 октября 1943 г. и серийно выпускался на ЧКЗ с декабря 1943 г. по июль 1944 г. С декабря 1943 г. по март 1944 г. тапки ИС-2 оснащались пушкой Д-25 с поршневым затвором. Всего бы</w:t>
      </w:r>
      <w:r w:rsidRPr="00271E51">
        <w:rPr>
          <w:rFonts w:ascii="Times New Roman" w:hAnsi="Times New Roman"/>
          <w:color w:val="000000" w:themeColor="text1"/>
          <w:sz w:val="16"/>
          <w:szCs w:val="16"/>
        </w:rPr>
        <w:softHyphen/>
        <w:t>ло изготовлено 145 машин данной модификации (10703).</w:t>
      </w:r>
    </w:p>
    <w:p w14:paraId="359241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AC5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 1943-го была поворотным моментом не только для Т-34. Только что начавший ходить ИС вновь подвергся радикальным изменениям... Случилось так, что в начале ав</w:t>
      </w:r>
      <w:r w:rsidRPr="00271E51">
        <w:rPr>
          <w:rFonts w:ascii="Times New Roman" w:hAnsi="Times New Roman"/>
          <w:color w:val="000000" w:themeColor="text1"/>
          <w:sz w:val="16"/>
          <w:szCs w:val="16"/>
        </w:rPr>
        <w:softHyphen/>
        <w:t>густа 1943 г. Ж. Котин, изучая итоги Курской битвы, обратил внимание на то, что единственной артсистемой, успешно расправлявшейся с немецкими «Тиграми» на всех дистанци</w:t>
      </w:r>
      <w:r w:rsidRPr="00271E51">
        <w:rPr>
          <w:rFonts w:ascii="Times New Roman" w:hAnsi="Times New Roman"/>
          <w:color w:val="000000" w:themeColor="text1"/>
          <w:sz w:val="16"/>
          <w:szCs w:val="16"/>
        </w:rPr>
        <w:softHyphen/>
        <w:t>ях, была 122-мм корпусная пушка А-19. Зенитные же 85-мм орудия, баллистика которых была взята за основу при созда</w:t>
      </w:r>
      <w:r w:rsidRPr="00271E51">
        <w:rPr>
          <w:rFonts w:ascii="Times New Roman" w:hAnsi="Times New Roman"/>
          <w:color w:val="000000" w:themeColor="text1"/>
          <w:sz w:val="16"/>
          <w:szCs w:val="16"/>
        </w:rPr>
        <w:softHyphen/>
        <w:t>нии Д-5Т, стоявшей на КВ-85 и ИС-85, оказались малоэф</w:t>
      </w:r>
      <w:r w:rsidRPr="00271E51">
        <w:rPr>
          <w:rFonts w:ascii="Times New Roman" w:hAnsi="Times New Roman"/>
          <w:color w:val="000000" w:themeColor="text1"/>
          <w:sz w:val="16"/>
          <w:szCs w:val="16"/>
        </w:rPr>
        <w:softHyphen/>
        <w:t>фективными при ведении огня против лобовой брони «Тиг</w:t>
      </w:r>
      <w:r w:rsidRPr="00271E51">
        <w:rPr>
          <w:rFonts w:ascii="Times New Roman" w:hAnsi="Times New Roman"/>
          <w:color w:val="000000" w:themeColor="text1"/>
          <w:sz w:val="16"/>
          <w:szCs w:val="16"/>
        </w:rPr>
        <w:softHyphen/>
        <w:t>ров». Примерно 10 августа 1943 г. он выслал на завод № 9 НКВ письмо с просьбой рассмотреть возможность установ</w:t>
      </w:r>
      <w:r w:rsidRPr="00271E51">
        <w:rPr>
          <w:rFonts w:ascii="Times New Roman" w:hAnsi="Times New Roman"/>
          <w:color w:val="000000" w:themeColor="text1"/>
          <w:sz w:val="16"/>
          <w:szCs w:val="16"/>
        </w:rPr>
        <w:softHyphen/>
        <w:t>ки в башню танка ИС 122-мм орудия А-19. Руководство за</w:t>
      </w:r>
      <w:r w:rsidRPr="00271E51">
        <w:rPr>
          <w:rFonts w:ascii="Times New Roman" w:hAnsi="Times New Roman"/>
          <w:color w:val="000000" w:themeColor="text1"/>
          <w:sz w:val="16"/>
          <w:szCs w:val="16"/>
        </w:rPr>
        <w:softHyphen/>
        <w:t>вода и его артиллерийского КБ ответило, что разработанные и испытанные ими на пушке Д-5 и гаубице М-30 универ</w:t>
      </w:r>
      <w:r w:rsidRPr="00271E51">
        <w:rPr>
          <w:rFonts w:ascii="Times New Roman" w:hAnsi="Times New Roman"/>
          <w:color w:val="000000" w:themeColor="text1"/>
          <w:sz w:val="16"/>
          <w:szCs w:val="16"/>
        </w:rPr>
        <w:softHyphen/>
        <w:t>сальные противооткатные устройства позволяют установить в единой люльке все типы имеющихся полевых орудий, кро</w:t>
      </w:r>
      <w:r w:rsidRPr="00271E51">
        <w:rPr>
          <w:rFonts w:ascii="Times New Roman" w:hAnsi="Times New Roman"/>
          <w:color w:val="000000" w:themeColor="text1"/>
          <w:sz w:val="16"/>
          <w:szCs w:val="16"/>
        </w:rPr>
        <w:softHyphen/>
        <w:t>ме 152-мм пушки-гаубицы МЛ-20, и предложили Ж. Котину эскизные проекты установки в танковой башне 122-мм пуш</w:t>
      </w:r>
      <w:r w:rsidRPr="00271E51">
        <w:rPr>
          <w:rFonts w:ascii="Times New Roman" w:hAnsi="Times New Roman"/>
          <w:color w:val="000000" w:themeColor="text1"/>
          <w:sz w:val="16"/>
          <w:szCs w:val="16"/>
        </w:rPr>
        <w:softHyphen/>
        <w:t>ки А-19 и 152-мм гаубицы М-10. Правда, эти решения были возможны только при условии введения в конструкцию ука</w:t>
      </w:r>
      <w:r w:rsidRPr="00271E51">
        <w:rPr>
          <w:rFonts w:ascii="Times New Roman" w:hAnsi="Times New Roman"/>
          <w:color w:val="000000" w:themeColor="text1"/>
          <w:sz w:val="16"/>
          <w:szCs w:val="16"/>
        </w:rPr>
        <w:softHyphen/>
        <w:t>занных орудий дульного тормоза.</w:t>
      </w:r>
    </w:p>
    <w:p w14:paraId="51C805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 танка ИС со 122-мм пушкой А-19 очень понра</w:t>
      </w:r>
      <w:r w:rsidRPr="00271E51">
        <w:rPr>
          <w:rFonts w:ascii="Times New Roman" w:hAnsi="Times New Roman"/>
          <w:color w:val="000000" w:themeColor="text1"/>
          <w:sz w:val="16"/>
          <w:szCs w:val="16"/>
        </w:rPr>
        <w:softHyphen/>
        <w:t>вился наркому танковой промышленности В. Малышеву, но военные протестовали против дульного тормоза, считая, что его применение будет демаскировать танк при выстрелах, а также не позволит пехотному десанту вести бой, находясь на броне боевой машины. Впоследствии боевой опыт подтвер</w:t>
      </w:r>
      <w:r w:rsidRPr="00271E51">
        <w:rPr>
          <w:rFonts w:ascii="Times New Roman" w:hAnsi="Times New Roman"/>
          <w:color w:val="000000" w:themeColor="text1"/>
          <w:sz w:val="16"/>
          <w:szCs w:val="16"/>
        </w:rPr>
        <w:softHyphen/>
        <w:t>дил их правоту, но иного решения в то время не было — сроч</w:t>
      </w:r>
      <w:r w:rsidRPr="00271E51">
        <w:rPr>
          <w:rFonts w:ascii="Times New Roman" w:hAnsi="Times New Roman"/>
          <w:color w:val="000000" w:themeColor="text1"/>
          <w:sz w:val="16"/>
          <w:szCs w:val="16"/>
        </w:rPr>
        <w:softHyphen/>
        <w:t>но нужна была мощная танковая пушка для тяжелого танка.</w:t>
      </w:r>
    </w:p>
    <w:p w14:paraId="018AF3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Решением НКВ заводу № 9 предписывалось провести сроч</w:t>
      </w:r>
      <w:r w:rsidRPr="00271E51">
        <w:rPr>
          <w:rFonts w:ascii="Times New Roman" w:hAnsi="Times New Roman"/>
          <w:color w:val="000000" w:themeColor="text1"/>
          <w:sz w:val="16"/>
          <w:szCs w:val="16"/>
        </w:rPr>
        <w:softHyphen/>
        <w:t>ное изготовление танкового варианта орудия А-19 с поршне</w:t>
      </w:r>
      <w:r w:rsidRPr="00271E51">
        <w:rPr>
          <w:rFonts w:ascii="Times New Roman" w:hAnsi="Times New Roman"/>
          <w:color w:val="000000" w:themeColor="text1"/>
          <w:sz w:val="16"/>
          <w:szCs w:val="16"/>
        </w:rPr>
        <w:softHyphen/>
        <w:t>вым затвором и испытать его к 11 ноября 1943 г.</w:t>
      </w:r>
    </w:p>
    <w:p w14:paraId="4A9E16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КБ завода № 9 провело срочную рабо</w:t>
      </w:r>
      <w:r w:rsidRPr="00271E51">
        <w:rPr>
          <w:rFonts w:ascii="Times New Roman" w:hAnsi="Times New Roman"/>
          <w:color w:val="000000" w:themeColor="text1"/>
          <w:sz w:val="16"/>
          <w:szCs w:val="16"/>
        </w:rPr>
        <w:softHyphen/>
        <w:t>ту по созданию 122-мм танковой пушки Д-25. При этом от</w:t>
      </w:r>
      <w:r w:rsidRPr="00271E51">
        <w:rPr>
          <w:rFonts w:ascii="Times New Roman" w:hAnsi="Times New Roman"/>
          <w:color w:val="000000" w:themeColor="text1"/>
          <w:sz w:val="16"/>
          <w:szCs w:val="16"/>
        </w:rPr>
        <w:softHyphen/>
        <w:t>катные части опытной полевой пушки обр. 1943 г. Д-2, имеющей баллистику 122-мм корпусной пушки обр. 1931 г. А-19, с укороченным на 240 мм стволом были помещены в люльку танкового 85-мм орудия Д-5, у которого были поставлены немного удлиненные тормоз отката и накат</w:t>
      </w:r>
      <w:r w:rsidRPr="00271E51">
        <w:rPr>
          <w:rFonts w:ascii="Times New Roman" w:hAnsi="Times New Roman"/>
          <w:color w:val="000000" w:themeColor="text1"/>
          <w:sz w:val="16"/>
          <w:szCs w:val="16"/>
        </w:rPr>
        <w:softHyphen/>
        <w:t>ник. Так как вес орудия возрос почти на тонну, на него по</w:t>
      </w:r>
      <w:r w:rsidRPr="00271E51">
        <w:rPr>
          <w:rFonts w:ascii="Times New Roman" w:hAnsi="Times New Roman"/>
          <w:color w:val="000000" w:themeColor="text1"/>
          <w:sz w:val="16"/>
          <w:szCs w:val="16"/>
        </w:rPr>
        <w:softHyphen/>
        <w:t>ставили новый подъемный механизм. 30 сентября танк, получивший индекс «Объект 240», был готов и прошел за</w:t>
      </w:r>
      <w:r w:rsidRPr="00271E51">
        <w:rPr>
          <w:rFonts w:ascii="Times New Roman" w:hAnsi="Times New Roman"/>
          <w:color w:val="000000" w:themeColor="text1"/>
          <w:sz w:val="16"/>
          <w:szCs w:val="16"/>
        </w:rPr>
        <w:softHyphen/>
        <w:t>водские испытания пробегом на расстояние 50 км с засто</w:t>
      </w:r>
      <w:r w:rsidRPr="00271E51">
        <w:rPr>
          <w:rFonts w:ascii="Times New Roman" w:hAnsi="Times New Roman"/>
          <w:color w:val="000000" w:themeColor="text1"/>
          <w:sz w:val="16"/>
          <w:szCs w:val="16"/>
        </w:rPr>
        <w:softHyphen/>
        <w:t>поренным и расстопоренным орудием, а также стрельбой серии из 15 выстрелов.</w:t>
      </w:r>
    </w:p>
    <w:p w14:paraId="2DC67A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Стрельбы прошли успешно, но не без неожиданностей. Конструктор Н. Шашмурин с каким-то упоением рассказы</w:t>
      </w:r>
      <w:r w:rsidRPr="00271E51">
        <w:rPr>
          <w:rFonts w:ascii="Times New Roman" w:hAnsi="Times New Roman"/>
          <w:color w:val="000000" w:themeColor="text1"/>
          <w:sz w:val="16"/>
          <w:szCs w:val="16"/>
        </w:rPr>
        <w:softHyphen/>
        <w:t>вал, как во время первого же выстрела литой Т-образный дульный тормоз пушки разорвало и разлетевшимися оскол</w:t>
      </w:r>
      <w:r w:rsidRPr="00271E51">
        <w:rPr>
          <w:rFonts w:ascii="Times New Roman" w:hAnsi="Times New Roman"/>
          <w:color w:val="000000" w:themeColor="text1"/>
          <w:sz w:val="16"/>
          <w:szCs w:val="16"/>
        </w:rPr>
        <w:softHyphen/>
        <w:t>ками едва не задело присутствовавшего здесь К. Ворошило</w:t>
      </w:r>
      <w:r w:rsidRPr="00271E51">
        <w:rPr>
          <w:rFonts w:ascii="Times New Roman" w:hAnsi="Times New Roman"/>
          <w:color w:val="000000" w:themeColor="text1"/>
          <w:sz w:val="16"/>
          <w:szCs w:val="16"/>
        </w:rPr>
        <w:softHyphen/>
        <w:t>ва. В отчете же по испытаниям нет ни слова о разрыве тормо</w:t>
      </w:r>
      <w:r w:rsidRPr="00271E51">
        <w:rPr>
          <w:rFonts w:ascii="Times New Roman" w:hAnsi="Times New Roman"/>
          <w:color w:val="000000" w:themeColor="text1"/>
          <w:sz w:val="16"/>
          <w:szCs w:val="16"/>
        </w:rPr>
        <w:softHyphen/>
        <w:t>за, хотя сказано, что дульный тормоз был снят с испытаний по причине «ненадежного крепления и появления трещин»...(11135).</w:t>
      </w:r>
    </w:p>
    <w:p w14:paraId="326481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71F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Осенью 1943 года в связи с принятием на вооружение Красной Армии нового тяжелого танка ИС и снятием с производства КВ-1 С, возникла необходимость создания тяжелой САУ уже на базе нового тяжелого танка. Постановление Государственного Комитета обороны № 4043сс от 4 сентября 1943 года предписывало Опытному заводу № 100 в Челябинске совместно с техническим управлением Главного бронетанкового управления Красной Армии до 1 ноября 1943 года спроектировать, изготовить и испытать артсамоход ИС-152 на базе танка ИС. </w:t>
      </w:r>
    </w:p>
    <w:p w14:paraId="5BD01E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разработке установка получила заводское обозначение «объект 241». Ведущим конструктором был назначен Г.Н.Москвин. Опытный образец изготовили в октябре. В течение нескольких недель САУ проходила испытания на НИБТПолигоне в Кубинке и АНИОПе в Гороховце. 6 ноября 1943 года постановлением ГКО </w:t>
      </w:r>
      <w:r w:rsidRPr="00271E51">
        <w:rPr>
          <w:rFonts w:ascii="Times New Roman" w:hAnsi="Times New Roman"/>
          <w:color w:val="000000" w:themeColor="text1"/>
          <w:sz w:val="16"/>
          <w:szCs w:val="16"/>
        </w:rPr>
        <w:lastRenderedPageBreak/>
        <w:t xml:space="preserve">новую машину приняли на вооружение под обозначением ИСУ-152, а в декабре началось ее серийное производство. </w:t>
      </w:r>
    </w:p>
    <w:p w14:paraId="5A34C5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Компоновка ИСУ-152 принципиальными новшествами не отличалась. Боевая рубка, изготовленная из катаных броневых листов, устанавливалась в передней части корпуса, объединяя в один объем отделения управления и боевое. Мотор-но-трансмиссионное отделение находилось в кормовой части корпуса. Носовая часть корпуса на установках первых выпусков изготавливалась литой, на машинах последних выпусков имела сварную конструкцию. Количество и размещение членов экипажа были такими же, как и у СУ-152. Если экипаж состоял из четырех человек, то обязанности заряжающего выполнял замковый. Для посадки экипажа в крыше рубки имелись два круглых люка в передней части и один прямоугольный в кормовой. Все люки закрывались двухстворчатыми крышками, в верхних створках которых были установлены приборы наблюдения МК-4. В лобовом листе рубки располагался смотровой лючок механика-водителя, закрывавшийся броневой пробкой со стеклоблоком и смотровой щелью. </w:t>
      </w:r>
    </w:p>
    <w:p w14:paraId="35799D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Сама по себе конструкция боевой рубки принципиальным изменениям не подверглась. Из-за меньшей ширины танка ИС, по сравнению с KB, пришлось уменьшить наклон бортовых листов с 25° до 15° к вертикали, а наклон кормового листа ликвидировать совсем. Толщина брони при этом возросла с 75 до 90 мм у лобового листа рубки и с 60 до 75 мм у бортовых. Маска пушки имела толщину 60 мм, а впоследствии была доведена до 100 мм. </w:t>
      </w:r>
    </w:p>
    <w:p w14:paraId="159687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рубки состояла из двух частей. Передняя часть крыши приваривалась к передним, скуловым и бортовым листам. В ней, помимо двух круглых люков, делалось отверстие для установки вентилятора боевого отделения (посередине), которое снаружи закрывалось броневым колпаком, и также предусматривались лючок для доступа к заливной горловине левого переднего топливного бака (слева) и отверстие антенного ввода (справа). Задний лист крыши выполнялся съемным и крепился болтами. Следует отметить, что установка вытяжного вентилятора стала существенным достоинством ИСУ-152, по сравнению с СУ-152, в которой вытяжной принудительной вентиляции не было вообще и члены экипажа во время боя порой теряли сознание от скапливавшихся пороховых газов. Впрочем, по воспоминаниям самоходчиков, и на новой машине вентиляция оставляла желать лучшего — при открывании затвора после выстрела лавина густого порохового дыма, похожая на сметану, струилась из ствола орудия и медленно растекалась по полу боевого отделения. </w:t>
      </w:r>
    </w:p>
    <w:p w14:paraId="4AC6B8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над моторно-трансмиссионным отделением состояла из съемного листа над двигателем, сеток над окнами воздухопритока к двигателю и броневых решеток над жалюзи. В съемном листе имелся люк для доступа к узлам и агрегатам двигателя, закрывавшийся откидной крышкой. В задней части листа располагались два лючка для доступа к заправочным горловинам топливного и масляного баков. Средний кормовой лист корпуса в боевом положении привинчивался болтами, при ремонте он мог быть откинут на петлях. Для доступа к агрегатам трансмиссии в нем имелись два круглых люка, закрывавшихся откидными броневыми крышками. Днище корпуса было сварено из трех броневых листов и имело лючки и отверстия, закрывавшиеся броневыми крышками и пробками. </w:t>
      </w:r>
    </w:p>
    <w:p w14:paraId="4498B0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152-мм гаубица-пушка МЛ-20С обр. 1937/43 г. монтировалась в литой рамке, игравшей роль верхнего станка орудия, и защищалась литой же броневой маской, заимствованной у СУ-152. Качающаяся часть самоходной гаубицы-пушки имела незначительные отличия, по сравнению с полевой: были установлены откидной лоток для облегчения заряжания и дополнительная тяга к спусковому механизму, ручки маховиков подъемного и поворотного механизмов находились у наводчика слева по ходу машины, цапфы были вынесены вперед для естественного уравновешивания. Вертикальные углы наведения колебались в пределах от -3° до +20°, горизонтальные — в секторе 10°. Высота линии огня составляла 1800 мм. Для стрельбы прямой наводкой применялся телескопический прицел СТ-10 с полунезависимой линией прицеливания, для ведения огня с закрытых огневых позиций служила панорама Герца с удлинителем, объектив которой выходил из рубки через открытый левый верхний люк. При стрельбе в ночных условиях шкалы прицела и панорамы, а также прицельная и орудийная стрелки подсвечивались электрическими лампочками прибора «Луч 5». Дальность стрельбы прямой наводкой составляла 3800 м, наибольшая — 6200 м. Скорострельность — 2 — 3 выстр./мин. Орудие имело электрический и механический (ручной) спуски. Гашетка электроспуска находилась на ручке маховика подъемного механизма. На орудиях первых выпусков использовался механический (ручной) спуск. Подъемный и поворотный механизмы секторного типа крепились на кронштейнах к левой щеке рамки. </w:t>
      </w:r>
    </w:p>
    <w:p w14:paraId="30C43C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Боекомплект состоял из 21 выстрела раздельного гильзового заряжания с бронебойно-трассирующими остроголовыми снарядами БР-540, осколочно-фугасными пушечными и стальными гаубичными гранатами ОФ-540 и ОФ-530, осколочными гаубичными гранатами из сталистого чугуна О-530А. Бронебойно-трассирующие снаряды находились в нише боевой рубки с левой стороны в специальных рамках, осколочно-фугасные гранаты — там же, гильзы с боевыми зарядами в нише рубки в специальных рамках и в хомутиковой укладке. Часть гильз с боевыми зарядами размещалась на днище под орудием. Начальная скорость бронебойного снаряда при массе 48,78 кг составляла 600 м/с, на дальности 1000 м он пробивал броню толщиной 123 мм. </w:t>
      </w:r>
    </w:p>
    <w:p w14:paraId="7343C8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части машин с октября 1944 года на вращающемся погоне командирского люка стала устанавливаться зенитная турель с 12,7-мм пулеметом ДШК обр. 1938 г. Боекомплект к пулемету составлял 250 патронов. Кроме того, в боевом отделении укладывались два пистолета-пулемета ППШ (позже — ППС) с боекомплектом 1491 патрон и 20 ручных гранат Ф-1. </w:t>
      </w:r>
    </w:p>
    <w:p w14:paraId="0A5CBE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Силовая установка и трансмиссия были заимствованы у танка ИС-1 (ИС-2). На ИСУ-152 устанавливался 12-цилиндровый четырехтактный дизель В-2ИС (В-2-10) мощностью 520 л.с. при 2000 об/мин. Цилиндры располагались V-образно под углом 60°. Степень сжатия 14 — 15. Масса двигателя 1000 кг. </w:t>
      </w:r>
    </w:p>
    <w:p w14:paraId="23063E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Общая емкость трех топливных баков составляла 520 л. Еще 300 л перевозилось в трех наружных баках, не подключенных к системе питания. Подача топлива принудительная, с помощью двенадцатиплунжерного топливного насоса высокого давления НК1. </w:t>
      </w:r>
    </w:p>
    <w:p w14:paraId="41892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смазки — циркуляционная, под давлением. В бак встроен циркуляционный бачок, обеспечивавший быстрый прогрев масла и возможность пользоваться методом разжижения масла бензином. </w:t>
      </w:r>
    </w:p>
    <w:p w14:paraId="455CEA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охлаждения — жидкостная, закрытая, с принудительной циркуляцией. Радиаторов — два, пластинчато-трубчатых, подковообразной формы, установленных над центробежным вентилятором. </w:t>
      </w:r>
    </w:p>
    <w:p w14:paraId="18AD91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очистки воздуха, поступающего в цилиндры двигателя, на танке устанавли¬вались два воздухоочистителя марки ВТ-5 типа «мультициклон». В головки воз¬духоочистителей были встроены форсун¬ки и запальные свечи для подогрева всасываемого воздуха зимой. Кроме того, для подогрева охлаждающей жидкости в системе охлаждения двигателя использовались фитильные обогреватели, работавшие на дизельном топливе. Эти же обогреватели обеспечивали и обогрев боевого отделения машины на длительных стоянках. Пуск двигателя осуществлялся инерционным стартером, имевшим ручной и электрический приводы, или с помощью баллонов со сжатым воздухом. </w:t>
      </w:r>
    </w:p>
    <w:p w14:paraId="55AC96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Трансмиссия САУ включала в себя многодисковый главный фрикцион сухого трения (сталь по ферродо), четырехступенчатую восьмискоростную коробку передач с демультипликатором, двухступенчатые планетарные механизмы поворота с многодисковым блокировочным фрикционом и двухступенчатые бортовые передачи с планетарным рядом. Ходовая часть САУ применительно к одному борту состояла из шести сдвоенных литых опорных катков диаметром 550 мм и трех поддерживающих катков. Ведущие колеса заднего расположения имели два съемных зубчатых венца с 14-ю зубьями каждый. Направляющие колеса — литые, с кривошипным механизмом натяжения гусениц, взаимозаменяемые с опорными катками. Подвеска — индивидуальная торсионная. Гусеницы стальные, мелкозвенчатые, из 86 одно-гребневых траков каждая. Траки штампованные, шириной 650 мм и шагом 162 мм. Зацепление цевочное. </w:t>
      </w:r>
    </w:p>
    <w:p w14:paraId="591BA6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внешней радиосвязи на машинах устанавливалась радиостанция ЮР или 10РК, для внутренней — переговорное устройство ТПУ-4-бисФ. Для связи с десантом на корме имелась кнопка звуковой сигнализации (11638).</w:t>
      </w:r>
    </w:p>
    <w:p w14:paraId="14C61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399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изготовленный броневой корпус машины СУ-ИТ-76 был передан московскому филиалу НИИ-48, где использовался для испытаний трофейных бронебойных боеприпасов (10703).</w:t>
      </w:r>
    </w:p>
    <w:p w14:paraId="0CB041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F0C78" w14:textId="77777777" w:rsidR="00A16F55" w:rsidRPr="00271E51" w:rsidRDefault="00A16F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Осенью 1943 года ОКБ-43 была разработана Мобильная долговременная огневая точка ПД-76 в качестве мобильного средства сдерживания вражеской бронетехники. В качестве вооружения использовалась 76-мм пушка Ф-34, боекомплект составлял 44 выстрела. Установка перевозилась за грузовым автомобилем, 4 человека переводило ее в боевое положение за 25 минут. Весной 1944 года завод № 371 (ныне ЛМЗ) изготовил опытную партию ПД-76, цена одной установки составила 104 тысячи рублей. По итогам испытаний было принято прекратить работы, поскольку мощность системы Ф-34 была уже недостаточной для борьбы с новыми немецкими </w:t>
      </w:r>
      <w:hyperlink r:id="rId106" w:tgtFrame="_blank" w:history="1">
        <w:r w:rsidRPr="00271E51">
          <w:rPr>
            <w:rFonts w:ascii="Times New Roman" w:hAnsi="Times New Roman"/>
            <w:color w:val="000000" w:themeColor="text1"/>
            <w:sz w:val="16"/>
            <w:szCs w:val="16"/>
          </w:rPr>
          <w:t>танк</w:t>
        </w:r>
      </w:hyperlink>
      <w:r w:rsidRPr="00271E51">
        <w:rPr>
          <w:rFonts w:ascii="Times New Roman" w:hAnsi="Times New Roman"/>
          <w:color w:val="000000" w:themeColor="text1"/>
          <w:sz w:val="16"/>
          <w:szCs w:val="16"/>
        </w:rPr>
        <w:t>ами (15735).</w:t>
      </w:r>
    </w:p>
    <w:p w14:paraId="021E406C" w14:textId="77777777" w:rsidR="00A16F55" w:rsidRPr="00271E51" w:rsidRDefault="00A16F55" w:rsidP="00271E51">
      <w:pPr>
        <w:spacing w:after="0" w:line="240" w:lineRule="auto"/>
        <w:jc w:val="both"/>
        <w:rPr>
          <w:rFonts w:ascii="Times New Roman" w:hAnsi="Times New Roman"/>
          <w:color w:val="000000" w:themeColor="text1"/>
          <w:sz w:val="16"/>
          <w:szCs w:val="16"/>
        </w:rPr>
      </w:pPr>
    </w:p>
    <w:p w14:paraId="5D9A2721" w14:textId="77777777" w:rsidR="00A16F55" w:rsidRPr="00271E51" w:rsidRDefault="00A16F55"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к числу производителей СУ-76 подключился также и ГАЗ, сворачивающий программу выпуска легких танков. Здесь машина СУ-76 (СУ-15М) получила заводской индекс ГАЗ-15-126, и с октября горьковские самоходы также пошли на фронт. От кировских СУ-76 ГАЗ-15-126 отличалась несколько меньшей ценой, но большей боевой массой. Однако вследствие необходимости ликвидации последствий бомбардировок ГАЗ смог организовать нормальное производство только через месяц, а в начале 1944 года смог достичь запланированных показателей, став лидером по выпуску СУ-76.</w:t>
      </w:r>
    </w:p>
    <w:p w14:paraId="7DDC0A28" w14:textId="77777777" w:rsidR="00A16F55" w:rsidRPr="00271E51" w:rsidRDefault="00A16F55" w:rsidP="00271E51">
      <w:pPr>
        <w:widowControl w:val="0"/>
        <w:spacing w:after="0" w:line="240" w:lineRule="auto"/>
        <w:jc w:val="both"/>
        <w:rPr>
          <w:rFonts w:ascii="Times New Roman" w:hAnsi="Times New Roman"/>
          <w:bCs/>
          <w:color w:val="000000" w:themeColor="text1"/>
          <w:sz w:val="16"/>
          <w:szCs w:val="16"/>
        </w:rPr>
      </w:pPr>
      <w:r w:rsidRPr="00271E51">
        <w:rPr>
          <w:rFonts w:ascii="Times New Roman" w:hAnsi="Times New Roman"/>
          <w:bCs/>
          <w:color w:val="000000" w:themeColor="text1"/>
          <w:sz w:val="16"/>
          <w:szCs w:val="16"/>
        </w:rPr>
        <w:t>Выпуск легких самоходно-артиллерийских установок СУ-76 (СУ-76М)</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720"/>
        <w:gridCol w:w="720"/>
        <w:gridCol w:w="720"/>
        <w:gridCol w:w="840"/>
        <w:gridCol w:w="840"/>
        <w:gridCol w:w="660"/>
      </w:tblGrid>
      <w:tr w:rsidR="00A907A5" w:rsidRPr="00271E51" w14:paraId="04DFB16B" w14:textId="77777777" w:rsidTr="00DB5776">
        <w:tc>
          <w:tcPr>
            <w:tcW w:w="2160" w:type="dxa"/>
            <w:shd w:val="clear" w:color="auto" w:fill="auto"/>
            <w:vAlign w:val="center"/>
          </w:tcPr>
          <w:p w14:paraId="7D7EAA52"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Завод-изготовитель</w:t>
            </w:r>
          </w:p>
        </w:tc>
        <w:tc>
          <w:tcPr>
            <w:tcW w:w="720" w:type="dxa"/>
            <w:shd w:val="clear" w:color="auto" w:fill="auto"/>
            <w:vAlign w:val="center"/>
          </w:tcPr>
          <w:p w14:paraId="7F590D7D"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smartTag w:uri="urn:schemas-microsoft-com:office:smarttags" w:element="metricconverter">
              <w:smartTagPr>
                <w:attr w:name="ProductID" w:val="1945 г"/>
              </w:smartTagPr>
              <w:r w:rsidRPr="00271E51">
                <w:rPr>
                  <w:rFonts w:ascii="Times New Roman" w:eastAsia="Times New Roman" w:hAnsi="Times New Roman"/>
                  <w:color w:val="000000" w:themeColor="text1"/>
                  <w:sz w:val="16"/>
                  <w:szCs w:val="16"/>
                </w:rPr>
                <w:t>1942 г</w:t>
              </w:r>
            </w:smartTag>
            <w:r w:rsidRPr="00271E51">
              <w:rPr>
                <w:rFonts w:ascii="Times New Roman" w:eastAsia="Times New Roman" w:hAnsi="Times New Roman"/>
                <w:color w:val="000000" w:themeColor="text1"/>
                <w:sz w:val="16"/>
                <w:szCs w:val="16"/>
              </w:rPr>
              <w:t>.</w:t>
            </w:r>
          </w:p>
        </w:tc>
        <w:tc>
          <w:tcPr>
            <w:tcW w:w="720" w:type="dxa"/>
            <w:shd w:val="clear" w:color="auto" w:fill="auto"/>
            <w:vAlign w:val="center"/>
          </w:tcPr>
          <w:p w14:paraId="16675E70"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smartTag w:uri="urn:schemas-microsoft-com:office:smarttags" w:element="metricconverter">
              <w:smartTagPr>
                <w:attr w:name="ProductID" w:val="1945 г"/>
              </w:smartTagPr>
              <w:r w:rsidRPr="00271E51">
                <w:rPr>
                  <w:rFonts w:ascii="Times New Roman" w:eastAsia="Times New Roman" w:hAnsi="Times New Roman"/>
                  <w:color w:val="000000" w:themeColor="text1"/>
                  <w:sz w:val="16"/>
                  <w:szCs w:val="16"/>
                </w:rPr>
                <w:t>1943 г</w:t>
              </w:r>
            </w:smartTag>
            <w:r w:rsidRPr="00271E51">
              <w:rPr>
                <w:rFonts w:ascii="Times New Roman" w:eastAsia="Times New Roman" w:hAnsi="Times New Roman"/>
                <w:color w:val="000000" w:themeColor="text1"/>
                <w:sz w:val="16"/>
                <w:szCs w:val="16"/>
              </w:rPr>
              <w:t>.</w:t>
            </w:r>
          </w:p>
        </w:tc>
        <w:tc>
          <w:tcPr>
            <w:tcW w:w="720" w:type="dxa"/>
            <w:shd w:val="clear" w:color="auto" w:fill="auto"/>
            <w:vAlign w:val="center"/>
          </w:tcPr>
          <w:p w14:paraId="169EA31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smartTag w:uri="urn:schemas-microsoft-com:office:smarttags" w:element="metricconverter">
              <w:smartTagPr>
                <w:attr w:name="ProductID" w:val="1945 г"/>
              </w:smartTagPr>
              <w:r w:rsidRPr="00271E51">
                <w:rPr>
                  <w:rFonts w:ascii="Times New Roman" w:eastAsia="Times New Roman" w:hAnsi="Times New Roman"/>
                  <w:color w:val="000000" w:themeColor="text1"/>
                  <w:sz w:val="16"/>
                  <w:szCs w:val="16"/>
                </w:rPr>
                <w:t>1944 г</w:t>
              </w:r>
            </w:smartTag>
            <w:r w:rsidRPr="00271E51">
              <w:rPr>
                <w:rFonts w:ascii="Times New Roman" w:eastAsia="Times New Roman" w:hAnsi="Times New Roman"/>
                <w:color w:val="000000" w:themeColor="text1"/>
                <w:sz w:val="16"/>
                <w:szCs w:val="16"/>
              </w:rPr>
              <w:t>.</w:t>
            </w:r>
          </w:p>
        </w:tc>
        <w:tc>
          <w:tcPr>
            <w:tcW w:w="840" w:type="dxa"/>
            <w:shd w:val="clear" w:color="auto" w:fill="auto"/>
            <w:vAlign w:val="center"/>
          </w:tcPr>
          <w:p w14:paraId="5EE27560"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до 1.06.</w:t>
            </w:r>
            <w:smartTag w:uri="urn:schemas-microsoft-com:office:smarttags" w:element="metricconverter">
              <w:smartTagPr>
                <w:attr w:name="ProductID" w:val="1945 г"/>
              </w:smartTagPr>
              <w:r w:rsidRPr="00271E51">
                <w:rPr>
                  <w:rFonts w:ascii="Times New Roman" w:eastAsia="Times New Roman" w:hAnsi="Times New Roman"/>
                  <w:color w:val="000000" w:themeColor="text1"/>
                  <w:sz w:val="16"/>
                  <w:szCs w:val="16"/>
                </w:rPr>
                <w:t>1945 г</w:t>
              </w:r>
            </w:smartTag>
            <w:r w:rsidRPr="00271E51">
              <w:rPr>
                <w:rFonts w:ascii="Times New Roman" w:eastAsia="Times New Roman" w:hAnsi="Times New Roman"/>
                <w:color w:val="000000" w:themeColor="text1"/>
                <w:sz w:val="16"/>
                <w:szCs w:val="16"/>
              </w:rPr>
              <w:t>.</w:t>
            </w:r>
          </w:p>
        </w:tc>
        <w:tc>
          <w:tcPr>
            <w:tcW w:w="840" w:type="dxa"/>
            <w:shd w:val="clear" w:color="auto" w:fill="auto"/>
            <w:vAlign w:val="center"/>
          </w:tcPr>
          <w:p w14:paraId="30BDD88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всего за войну</w:t>
            </w:r>
          </w:p>
        </w:tc>
        <w:tc>
          <w:tcPr>
            <w:tcW w:w="660" w:type="dxa"/>
            <w:shd w:val="clear" w:color="auto" w:fill="auto"/>
            <w:vAlign w:val="center"/>
          </w:tcPr>
          <w:p w14:paraId="7E28F8D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smartTag w:uri="urn:schemas-microsoft-com:office:smarttags" w:element="metricconverter">
              <w:smartTagPr>
                <w:attr w:name="ProductID" w:val="1945 г"/>
              </w:smartTagPr>
              <w:r w:rsidRPr="00271E51">
                <w:rPr>
                  <w:rFonts w:ascii="Times New Roman" w:eastAsia="Times New Roman" w:hAnsi="Times New Roman"/>
                  <w:color w:val="000000" w:themeColor="text1"/>
                  <w:sz w:val="16"/>
                  <w:szCs w:val="16"/>
                </w:rPr>
                <w:t>1945 г</w:t>
              </w:r>
            </w:smartTag>
            <w:r w:rsidRPr="00271E51">
              <w:rPr>
                <w:rFonts w:ascii="Times New Roman" w:eastAsia="Times New Roman" w:hAnsi="Times New Roman"/>
                <w:color w:val="000000" w:themeColor="text1"/>
                <w:sz w:val="16"/>
                <w:szCs w:val="16"/>
              </w:rPr>
              <w:t>.</w:t>
            </w:r>
          </w:p>
        </w:tc>
      </w:tr>
      <w:tr w:rsidR="00A907A5" w:rsidRPr="00271E51" w14:paraId="0810F505" w14:textId="77777777" w:rsidTr="00DB5776">
        <w:tc>
          <w:tcPr>
            <w:tcW w:w="2160" w:type="dxa"/>
            <w:shd w:val="clear" w:color="auto" w:fill="auto"/>
          </w:tcPr>
          <w:p w14:paraId="14A610D8"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СУ-76 завод №38</w:t>
            </w:r>
          </w:p>
        </w:tc>
        <w:tc>
          <w:tcPr>
            <w:tcW w:w="720" w:type="dxa"/>
            <w:shd w:val="clear" w:color="auto" w:fill="auto"/>
            <w:vAlign w:val="center"/>
          </w:tcPr>
          <w:p w14:paraId="41E0E012"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25</w:t>
            </w:r>
          </w:p>
        </w:tc>
        <w:tc>
          <w:tcPr>
            <w:tcW w:w="720" w:type="dxa"/>
            <w:shd w:val="clear" w:color="auto" w:fill="auto"/>
            <w:vAlign w:val="center"/>
          </w:tcPr>
          <w:p w14:paraId="6B00F5D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535</w:t>
            </w:r>
          </w:p>
        </w:tc>
        <w:tc>
          <w:tcPr>
            <w:tcW w:w="720" w:type="dxa"/>
            <w:shd w:val="clear" w:color="auto" w:fill="auto"/>
            <w:vAlign w:val="center"/>
          </w:tcPr>
          <w:p w14:paraId="1EE3469E"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840" w:type="dxa"/>
            <w:shd w:val="clear" w:color="auto" w:fill="auto"/>
            <w:vAlign w:val="center"/>
          </w:tcPr>
          <w:p w14:paraId="1018E043"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840" w:type="dxa"/>
            <w:shd w:val="clear" w:color="auto" w:fill="auto"/>
            <w:vAlign w:val="center"/>
          </w:tcPr>
          <w:p w14:paraId="25601B0C"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560</w:t>
            </w:r>
          </w:p>
        </w:tc>
        <w:tc>
          <w:tcPr>
            <w:tcW w:w="660" w:type="dxa"/>
            <w:shd w:val="clear" w:color="auto" w:fill="auto"/>
            <w:vAlign w:val="center"/>
          </w:tcPr>
          <w:p w14:paraId="72FA516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r>
      <w:tr w:rsidR="00A907A5" w:rsidRPr="00271E51" w14:paraId="5E090B55" w14:textId="77777777" w:rsidTr="00DB5776">
        <w:tc>
          <w:tcPr>
            <w:tcW w:w="2160" w:type="dxa"/>
            <w:shd w:val="clear" w:color="auto" w:fill="auto"/>
          </w:tcPr>
          <w:p w14:paraId="0D94812F"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lastRenderedPageBreak/>
              <w:t>СУ-76М завод №38</w:t>
            </w:r>
          </w:p>
        </w:tc>
        <w:tc>
          <w:tcPr>
            <w:tcW w:w="720" w:type="dxa"/>
            <w:shd w:val="clear" w:color="auto" w:fill="auto"/>
            <w:vAlign w:val="center"/>
          </w:tcPr>
          <w:p w14:paraId="152C9CAD"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720" w:type="dxa"/>
            <w:shd w:val="clear" w:color="auto" w:fill="auto"/>
            <w:vAlign w:val="center"/>
          </w:tcPr>
          <w:p w14:paraId="6B835FF4"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562</w:t>
            </w:r>
          </w:p>
        </w:tc>
        <w:tc>
          <w:tcPr>
            <w:tcW w:w="720" w:type="dxa"/>
            <w:shd w:val="clear" w:color="auto" w:fill="auto"/>
            <w:vAlign w:val="center"/>
          </w:tcPr>
          <w:p w14:paraId="2A04FBF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1103</w:t>
            </w:r>
          </w:p>
        </w:tc>
        <w:tc>
          <w:tcPr>
            <w:tcW w:w="840" w:type="dxa"/>
            <w:shd w:val="clear" w:color="auto" w:fill="auto"/>
            <w:vAlign w:val="center"/>
          </w:tcPr>
          <w:p w14:paraId="1C422066"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840" w:type="dxa"/>
            <w:shd w:val="clear" w:color="auto" w:fill="auto"/>
            <w:vAlign w:val="center"/>
          </w:tcPr>
          <w:p w14:paraId="2FE1A659"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1665</w:t>
            </w:r>
          </w:p>
        </w:tc>
        <w:tc>
          <w:tcPr>
            <w:tcW w:w="660" w:type="dxa"/>
            <w:shd w:val="clear" w:color="auto" w:fill="auto"/>
            <w:vAlign w:val="center"/>
          </w:tcPr>
          <w:p w14:paraId="7EB76E22"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r>
      <w:tr w:rsidR="00A907A5" w:rsidRPr="00271E51" w14:paraId="6668F9CA" w14:textId="77777777" w:rsidTr="00DB5776">
        <w:tc>
          <w:tcPr>
            <w:tcW w:w="2160" w:type="dxa"/>
            <w:shd w:val="clear" w:color="auto" w:fill="auto"/>
          </w:tcPr>
          <w:p w14:paraId="1C0494D2"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СУ-76М ГАЗ</w:t>
            </w:r>
          </w:p>
        </w:tc>
        <w:tc>
          <w:tcPr>
            <w:tcW w:w="720" w:type="dxa"/>
            <w:shd w:val="clear" w:color="auto" w:fill="auto"/>
            <w:vAlign w:val="center"/>
          </w:tcPr>
          <w:p w14:paraId="76CE071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720" w:type="dxa"/>
            <w:shd w:val="clear" w:color="auto" w:fill="auto"/>
            <w:vAlign w:val="center"/>
          </w:tcPr>
          <w:p w14:paraId="58F1FBA7"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601</w:t>
            </w:r>
          </w:p>
        </w:tc>
        <w:tc>
          <w:tcPr>
            <w:tcW w:w="720" w:type="dxa"/>
            <w:shd w:val="clear" w:color="auto" w:fill="auto"/>
            <w:vAlign w:val="center"/>
          </w:tcPr>
          <w:p w14:paraId="565025D6"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4708</w:t>
            </w:r>
          </w:p>
        </w:tc>
        <w:tc>
          <w:tcPr>
            <w:tcW w:w="840" w:type="dxa"/>
            <w:shd w:val="clear" w:color="auto" w:fill="auto"/>
            <w:vAlign w:val="center"/>
          </w:tcPr>
          <w:p w14:paraId="5BC8595C"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2214</w:t>
            </w:r>
          </w:p>
        </w:tc>
        <w:tc>
          <w:tcPr>
            <w:tcW w:w="840" w:type="dxa"/>
            <w:shd w:val="clear" w:color="auto" w:fill="auto"/>
            <w:vAlign w:val="center"/>
          </w:tcPr>
          <w:p w14:paraId="3018F75D"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7523</w:t>
            </w:r>
          </w:p>
        </w:tc>
        <w:tc>
          <w:tcPr>
            <w:tcW w:w="660" w:type="dxa"/>
            <w:shd w:val="clear" w:color="auto" w:fill="auto"/>
            <w:vAlign w:val="center"/>
          </w:tcPr>
          <w:p w14:paraId="48D67590"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r>
      <w:tr w:rsidR="00A907A5" w:rsidRPr="00271E51" w14:paraId="40E88B3E" w14:textId="77777777" w:rsidTr="00DB5776">
        <w:tc>
          <w:tcPr>
            <w:tcW w:w="2160" w:type="dxa"/>
            <w:shd w:val="clear" w:color="auto" w:fill="auto"/>
          </w:tcPr>
          <w:p w14:paraId="6443AA79"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СУ-76М завод №40</w:t>
            </w:r>
          </w:p>
        </w:tc>
        <w:tc>
          <w:tcPr>
            <w:tcW w:w="720" w:type="dxa"/>
            <w:shd w:val="clear" w:color="auto" w:fill="auto"/>
            <w:vAlign w:val="center"/>
          </w:tcPr>
          <w:p w14:paraId="12EFD9F9"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c>
          <w:tcPr>
            <w:tcW w:w="720" w:type="dxa"/>
            <w:shd w:val="clear" w:color="auto" w:fill="auto"/>
            <w:vAlign w:val="center"/>
          </w:tcPr>
          <w:p w14:paraId="1689DC28"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210</w:t>
            </w:r>
          </w:p>
        </w:tc>
        <w:tc>
          <w:tcPr>
            <w:tcW w:w="720" w:type="dxa"/>
            <w:shd w:val="clear" w:color="auto" w:fill="auto"/>
            <w:vAlign w:val="center"/>
          </w:tcPr>
          <w:p w14:paraId="41CFB4EF"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1344</w:t>
            </w:r>
          </w:p>
        </w:tc>
        <w:tc>
          <w:tcPr>
            <w:tcW w:w="840" w:type="dxa"/>
            <w:shd w:val="clear" w:color="auto" w:fill="auto"/>
            <w:vAlign w:val="center"/>
          </w:tcPr>
          <w:p w14:paraId="585D1CD3"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752</w:t>
            </w:r>
          </w:p>
        </w:tc>
        <w:tc>
          <w:tcPr>
            <w:tcW w:w="840" w:type="dxa"/>
            <w:shd w:val="clear" w:color="auto" w:fill="auto"/>
            <w:vAlign w:val="center"/>
          </w:tcPr>
          <w:p w14:paraId="0727A8FE"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2306</w:t>
            </w:r>
          </w:p>
        </w:tc>
        <w:tc>
          <w:tcPr>
            <w:tcW w:w="660" w:type="dxa"/>
            <w:shd w:val="clear" w:color="auto" w:fill="auto"/>
            <w:vAlign w:val="center"/>
          </w:tcPr>
          <w:p w14:paraId="178ABFB0"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w:t>
            </w:r>
          </w:p>
        </w:tc>
      </w:tr>
      <w:tr w:rsidR="00A907A5" w:rsidRPr="00271E51" w14:paraId="59E238E2" w14:textId="77777777" w:rsidTr="00DB5776">
        <w:tc>
          <w:tcPr>
            <w:tcW w:w="2160" w:type="dxa"/>
            <w:shd w:val="clear" w:color="auto" w:fill="auto"/>
          </w:tcPr>
          <w:p w14:paraId="3432AE3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Всего</w:t>
            </w:r>
          </w:p>
        </w:tc>
        <w:tc>
          <w:tcPr>
            <w:tcW w:w="720" w:type="dxa"/>
            <w:shd w:val="clear" w:color="auto" w:fill="auto"/>
            <w:vAlign w:val="center"/>
          </w:tcPr>
          <w:p w14:paraId="1752C5B5"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25</w:t>
            </w:r>
          </w:p>
        </w:tc>
        <w:tc>
          <w:tcPr>
            <w:tcW w:w="720" w:type="dxa"/>
            <w:shd w:val="clear" w:color="auto" w:fill="auto"/>
            <w:vAlign w:val="center"/>
          </w:tcPr>
          <w:p w14:paraId="5D77740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1908</w:t>
            </w:r>
          </w:p>
        </w:tc>
        <w:tc>
          <w:tcPr>
            <w:tcW w:w="720" w:type="dxa"/>
            <w:shd w:val="clear" w:color="auto" w:fill="auto"/>
            <w:vAlign w:val="center"/>
          </w:tcPr>
          <w:p w14:paraId="4AAB81D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7155</w:t>
            </w:r>
          </w:p>
        </w:tc>
        <w:tc>
          <w:tcPr>
            <w:tcW w:w="840" w:type="dxa"/>
            <w:shd w:val="clear" w:color="auto" w:fill="auto"/>
            <w:vAlign w:val="center"/>
          </w:tcPr>
          <w:p w14:paraId="30A01521"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2966</w:t>
            </w:r>
          </w:p>
        </w:tc>
        <w:tc>
          <w:tcPr>
            <w:tcW w:w="840" w:type="dxa"/>
            <w:shd w:val="clear" w:color="auto" w:fill="auto"/>
            <w:vAlign w:val="center"/>
          </w:tcPr>
          <w:p w14:paraId="0857638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12054</w:t>
            </w:r>
          </w:p>
        </w:tc>
        <w:tc>
          <w:tcPr>
            <w:tcW w:w="660" w:type="dxa"/>
            <w:shd w:val="clear" w:color="auto" w:fill="auto"/>
            <w:vAlign w:val="center"/>
          </w:tcPr>
          <w:p w14:paraId="1B9262BA" w14:textId="77777777" w:rsidR="00A16F55" w:rsidRPr="00271E51" w:rsidRDefault="00A16F55" w:rsidP="00271E51">
            <w:pPr>
              <w:widowControl w:val="0"/>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5204</w:t>
            </w:r>
          </w:p>
        </w:tc>
      </w:tr>
    </w:tbl>
    <w:p w14:paraId="56AD2299" w14:textId="77777777" w:rsidR="00A16F55" w:rsidRPr="00271E51" w:rsidRDefault="00A16F55"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году, когда производство бронетанкового вооружения в СССР достигло своего максимума, выпуск самоходных установок СУ-76М количественно составлял около 25% объема от всего производства бронетанкового вооружения и техники (15218).</w:t>
      </w:r>
    </w:p>
    <w:p w14:paraId="4B152205" w14:textId="77777777" w:rsidR="00A16F55" w:rsidRPr="00271E51" w:rsidRDefault="00A16F55" w:rsidP="00271E51">
      <w:pPr>
        <w:widowControl w:val="0"/>
        <w:spacing w:after="0" w:line="240" w:lineRule="auto"/>
        <w:jc w:val="both"/>
        <w:rPr>
          <w:rFonts w:ascii="Times New Roman" w:hAnsi="Times New Roman"/>
          <w:color w:val="000000" w:themeColor="text1"/>
          <w:sz w:val="16"/>
          <w:szCs w:val="16"/>
        </w:rPr>
      </w:pPr>
    </w:p>
    <w:p w14:paraId="04C6FC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в КБ УЗТМ были выполнены проектные работы по установке на машину орудий большего калибра. Так, по заданию УСА был разработан проект установки в штатную броневую рубку 122-мм А-19. В результате монтажа артиллерийского орудия данного калибра боевая масса САУ возросла до 32 т. Бронепробиваемость по сравнению с бронепробиваемостью снарядов орудия Д-5С-85 увеличивалась на 30%. Этой САУ был присвоен заводской индекс СУ-Д25. Помимо проекта самоходной установки СУ-Д25 по инициативе УЗТМ был разработан проект вооружения самоходной установки СУ-85 более мощным артиллерийским орудием - 152,4-мм гаубицей А-15 конструкции завода № 9 НКВ. Начальная скорость снаряда при весе 48-49 кг составляла 508 м/с. Бронепробиваемость по сравнению с снарядом орудия Д-5С-85 увеличивалась на 28%. Фугасное действие 152,4-мм снаряда увеличивалось почти на 100% по сравнению с 85 мм. Боевая масса предлагаемой САУ составляла 31т. Этой ной установке был присвоен заводской индекс СУ-Д15. При этом вооружении эта средняя САУ по массе была меньше, чем самоходная установка СУ-152, созданная на базе танка КВ-1 С (10703).</w:t>
      </w:r>
    </w:p>
    <w:p w14:paraId="60DFD5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19C4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работы по установке в башню танка КВ 122-мм гаубицы, ввиду неперспективнос</w:t>
      </w:r>
      <w:r w:rsidRPr="00271E51">
        <w:rPr>
          <w:rFonts w:ascii="Times New Roman" w:hAnsi="Times New Roman"/>
          <w:color w:val="000000" w:themeColor="text1"/>
          <w:sz w:val="16"/>
          <w:szCs w:val="16"/>
        </w:rPr>
        <w:softHyphen/>
        <w:t>ти, приказом НКВ РККА были прекращены. Опытный образец танка был создан на базе серийного танка КВ-1С и отличался от него установкой в модернизированной башне 122-мм га</w:t>
      </w:r>
      <w:r w:rsidRPr="00271E51">
        <w:rPr>
          <w:rFonts w:ascii="Times New Roman" w:hAnsi="Times New Roman"/>
          <w:color w:val="000000" w:themeColor="text1"/>
          <w:sz w:val="16"/>
          <w:szCs w:val="16"/>
        </w:rPr>
        <w:softHyphen/>
        <w:t>убицы С-41 конструкции и производства завода ЦАКБ НКВ. Танк имел классическую схему общей компоновки. По конструкции его корпус был разделен на четыре отделения: управления, боевое, моторное и трансмиссионное (10703).</w:t>
      </w:r>
    </w:p>
    <w:p w14:paraId="258DC6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14D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была подготовлена записка: «опыт кам</w:t>
      </w:r>
      <w:r w:rsidRPr="00271E51">
        <w:rPr>
          <w:rFonts w:ascii="Times New Roman" w:hAnsi="Times New Roman"/>
          <w:color w:val="000000" w:themeColor="text1"/>
          <w:sz w:val="16"/>
          <w:szCs w:val="16"/>
        </w:rPr>
        <w:softHyphen/>
        <w:t>пании Лета-осени 1943 г. наглядно показывает, что отечест</w:t>
      </w:r>
      <w:r w:rsidRPr="00271E51">
        <w:rPr>
          <w:rFonts w:ascii="Times New Roman" w:hAnsi="Times New Roman"/>
          <w:color w:val="000000" w:themeColor="text1"/>
          <w:sz w:val="16"/>
          <w:szCs w:val="16"/>
        </w:rPr>
        <w:softHyphen/>
        <w:t>венные танковые части и соединения имеют недостаточные средства огневого сопровождения и усиления... Поэтому насту</w:t>
      </w:r>
      <w:r w:rsidRPr="00271E51">
        <w:rPr>
          <w:rFonts w:ascii="Times New Roman" w:hAnsi="Times New Roman"/>
          <w:color w:val="000000" w:themeColor="text1"/>
          <w:sz w:val="16"/>
          <w:szCs w:val="16"/>
        </w:rPr>
        <w:softHyphen/>
        <w:t>пательные действия танковых войск вынужденно проводились чаще всего при отставшей артиллерии, и как следствие без дол</w:t>
      </w:r>
      <w:r w:rsidRPr="00271E51">
        <w:rPr>
          <w:rFonts w:ascii="Times New Roman" w:hAnsi="Times New Roman"/>
          <w:color w:val="000000" w:themeColor="text1"/>
          <w:sz w:val="16"/>
          <w:szCs w:val="16"/>
        </w:rPr>
        <w:softHyphen/>
        <w:t>жного артиллерийского воздействия и сопровождения, и пото</w:t>
      </w:r>
      <w:r w:rsidRPr="00271E51">
        <w:rPr>
          <w:rFonts w:ascii="Times New Roman" w:hAnsi="Times New Roman"/>
          <w:color w:val="000000" w:themeColor="text1"/>
          <w:sz w:val="16"/>
          <w:szCs w:val="16"/>
        </w:rPr>
        <w:softHyphen/>
        <w:t>му часто заканчивались большими потерями танковых войск.</w:t>
      </w:r>
    </w:p>
    <w:p w14:paraId="71CD0D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вооружение танка Т- 70 слабо и делает его не</w:t>
      </w:r>
      <w:r w:rsidRPr="00271E51">
        <w:rPr>
          <w:rFonts w:ascii="Times New Roman" w:hAnsi="Times New Roman"/>
          <w:color w:val="000000" w:themeColor="text1"/>
          <w:sz w:val="16"/>
          <w:szCs w:val="16"/>
        </w:rPr>
        <w:softHyphen/>
        <w:t>способным бороться с тяжелыми танквми «Пантера», «Тигр» и САУ «Фердинанд»..., а также по причине слабой бро</w:t>
      </w:r>
      <w:r w:rsidRPr="00271E51">
        <w:rPr>
          <w:rFonts w:ascii="Times New Roman" w:hAnsi="Times New Roman"/>
          <w:color w:val="000000" w:themeColor="text1"/>
          <w:sz w:val="16"/>
          <w:szCs w:val="16"/>
        </w:rPr>
        <w:softHyphen/>
        <w:t>невой защиты указанных танков, отмеченной командирами танковых частей, необходимо остановить серийный выпуск танка в пользу более необходимых армии самоходных орудий артиллерийской поддержки.</w:t>
      </w:r>
    </w:p>
    <w:p w14:paraId="6279A6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...Срочно увеличить выпуск самоходных установок огне</w:t>
      </w:r>
      <w:r w:rsidRPr="00271E51">
        <w:rPr>
          <w:rFonts w:ascii="Times New Roman" w:hAnsi="Times New Roman"/>
          <w:color w:val="000000" w:themeColor="text1"/>
          <w:sz w:val="16"/>
          <w:szCs w:val="16"/>
        </w:rPr>
        <w:softHyphen/>
        <w:t>вой поддержки СУ- 76, СУ-122 и СУ-152... Освоить противо</w:t>
      </w:r>
      <w:r w:rsidRPr="00271E51">
        <w:rPr>
          <w:rFonts w:ascii="Times New Roman" w:hAnsi="Times New Roman"/>
          <w:color w:val="000000" w:themeColor="text1"/>
          <w:sz w:val="16"/>
          <w:szCs w:val="16"/>
        </w:rPr>
        <w:softHyphen/>
        <w:t>танковые САУ, способные на дистанции 1000м пробить бро</w:t>
      </w:r>
      <w:r w:rsidRPr="00271E51">
        <w:rPr>
          <w:rFonts w:ascii="Times New Roman" w:hAnsi="Times New Roman"/>
          <w:color w:val="000000" w:themeColor="text1"/>
          <w:sz w:val="16"/>
          <w:szCs w:val="16"/>
        </w:rPr>
        <w:softHyphen/>
        <w:t>ню толщиной 82-102мм...</w:t>
      </w:r>
    </w:p>
    <w:p w14:paraId="6FFB17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этого...</w:t>
      </w:r>
    </w:p>
    <w:p w14:paraId="0ECA2A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 № 40 и ГАЗ. Прекратить выпуск легких танков, обратив высвободившиеся мощности на выпуск крайне нуж</w:t>
      </w:r>
      <w:r w:rsidRPr="00271E51">
        <w:rPr>
          <w:rFonts w:ascii="Times New Roman" w:hAnsi="Times New Roman"/>
          <w:color w:val="000000" w:themeColor="text1"/>
          <w:sz w:val="16"/>
          <w:szCs w:val="16"/>
        </w:rPr>
        <w:softHyphen/>
        <w:t>ных в наступлении САУ-57и СУ-76...</w:t>
      </w:r>
    </w:p>
    <w:p w14:paraId="7CC24C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УЗТМ. Производство танков Т-34 прекратить, обратив высвободившиеся мощности для организации массового произ</w:t>
      </w:r>
      <w:r w:rsidRPr="00271E51">
        <w:rPr>
          <w:rFonts w:ascii="Times New Roman" w:hAnsi="Times New Roman"/>
          <w:color w:val="000000" w:themeColor="text1"/>
          <w:sz w:val="16"/>
          <w:szCs w:val="16"/>
        </w:rPr>
        <w:softHyphen/>
        <w:t>водства орудий СУ-122 и СУ-85...</w:t>
      </w:r>
    </w:p>
    <w:p w14:paraId="44F736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Челябинскому заводу. Шасси танка КВ-1С использовать для организации производства артиллерийских танков, во</w:t>
      </w:r>
      <w:r w:rsidRPr="00271E51">
        <w:rPr>
          <w:rFonts w:ascii="Times New Roman" w:hAnsi="Times New Roman"/>
          <w:color w:val="000000" w:themeColor="text1"/>
          <w:sz w:val="16"/>
          <w:szCs w:val="16"/>
        </w:rPr>
        <w:softHyphen/>
        <w:t>оруженных 122-мм или 152-мм гаубицей... В боекомплект указанных танков ввести бронепрожигающий комулятивный снаряд. Конструкцию СУ-152 доработать с целью устране</w:t>
      </w:r>
      <w:r w:rsidRPr="00271E51">
        <w:rPr>
          <w:rFonts w:ascii="Times New Roman" w:hAnsi="Times New Roman"/>
          <w:color w:val="000000" w:themeColor="text1"/>
          <w:sz w:val="16"/>
          <w:szCs w:val="16"/>
        </w:rPr>
        <w:softHyphen/>
        <w:t>ния недостатков, отмеченных в ходе летних боев...» (11135).</w:t>
      </w:r>
    </w:p>
    <w:p w14:paraId="5AE8A8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9867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осени 1943 г. заказчиком было принято 201 шт. 76-мм СУ-С-1 (СУ-76(И)), произведенных на заводе № 37 на базе трофейного танка PzKpfw III САУ, после чего их производство более не возобновлялось, так как конструктивный дефект в отечественных легких САУ был преодолен (6205, 14).</w:t>
      </w:r>
    </w:p>
    <w:p w14:paraId="33D886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CE9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на ГАЗе началось изготовление машины ГАЗ-74Б с вооружением из 57-мм пушки С-1-57. Чтобы отли</w:t>
      </w:r>
      <w:r w:rsidRPr="00271E51">
        <w:rPr>
          <w:rFonts w:ascii="Times New Roman" w:hAnsi="Times New Roman"/>
          <w:color w:val="000000" w:themeColor="text1"/>
          <w:sz w:val="16"/>
          <w:szCs w:val="16"/>
        </w:rPr>
        <w:softHyphen/>
        <w:t>чить это изделие ГАЗ от САУ, выпущенной заводом № 38, ей дали условный индекс СУ-576, в то время как прошедшая ис</w:t>
      </w:r>
      <w:r w:rsidRPr="00271E51">
        <w:rPr>
          <w:rFonts w:ascii="Times New Roman" w:hAnsi="Times New Roman"/>
          <w:color w:val="000000" w:themeColor="text1"/>
          <w:sz w:val="16"/>
          <w:szCs w:val="16"/>
        </w:rPr>
        <w:softHyphen/>
        <w:t>пытания машина завода № 38 (СУ-76, перевооруженная ка</w:t>
      </w:r>
      <w:r w:rsidRPr="00271E51">
        <w:rPr>
          <w:rFonts w:ascii="Times New Roman" w:hAnsi="Times New Roman"/>
          <w:color w:val="000000" w:themeColor="text1"/>
          <w:sz w:val="16"/>
          <w:szCs w:val="16"/>
        </w:rPr>
        <w:softHyphen/>
        <w:t>чающейся частью противотанковой пушки ЗИС-2) именова</w:t>
      </w:r>
      <w:r w:rsidRPr="00271E51">
        <w:rPr>
          <w:rFonts w:ascii="Times New Roman" w:hAnsi="Times New Roman"/>
          <w:color w:val="000000" w:themeColor="text1"/>
          <w:sz w:val="16"/>
          <w:szCs w:val="16"/>
        </w:rPr>
        <w:softHyphen/>
        <w:t>лась в переписке по НКТП как СУ-57а.</w:t>
      </w:r>
    </w:p>
    <w:p w14:paraId="488D00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СУ-576 выдержала почти все пред</w:t>
      </w:r>
      <w:r w:rsidRPr="00271E51">
        <w:rPr>
          <w:rFonts w:ascii="Times New Roman" w:hAnsi="Times New Roman"/>
          <w:color w:val="000000" w:themeColor="text1"/>
          <w:sz w:val="16"/>
          <w:szCs w:val="16"/>
        </w:rPr>
        <w:softHyphen/>
        <w:t>ложенные испытания, на вооружение она не принималась. В числе причин непринятия на вооружение назывались вы</w:t>
      </w:r>
      <w:r w:rsidRPr="00271E51">
        <w:rPr>
          <w:rFonts w:ascii="Times New Roman" w:hAnsi="Times New Roman"/>
          <w:color w:val="000000" w:themeColor="text1"/>
          <w:sz w:val="16"/>
          <w:szCs w:val="16"/>
        </w:rPr>
        <w:softHyphen/>
        <w:t>сокая стоимость САУ, наличие специального дизеля, так и не освоенного отечественной промышленностью, а зависеть от зарубежных поставок в условиях войны никто не желал.</w:t>
      </w:r>
    </w:p>
    <w:p w14:paraId="646049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Внесло свою лепту в создание отечественного «Хетцера» и КБ НАГИ. Видимо, учтя опыт работ над ГАЗ-74, здесь раз</w:t>
      </w:r>
      <w:r w:rsidRPr="00271E51">
        <w:rPr>
          <w:rFonts w:ascii="Times New Roman" w:hAnsi="Times New Roman"/>
          <w:color w:val="000000" w:themeColor="text1"/>
          <w:sz w:val="16"/>
          <w:szCs w:val="16"/>
        </w:rPr>
        <w:softHyphen/>
        <w:t>работали свой вариант безбашенного истребителя, причем проект в переписке шел под грифом «охотник» (интересно, что «Хетцер» с немецкого «егерь» — охотник, приваживаю</w:t>
      </w:r>
      <w:r w:rsidRPr="00271E51">
        <w:rPr>
          <w:rFonts w:ascii="Times New Roman" w:hAnsi="Times New Roman"/>
          <w:color w:val="000000" w:themeColor="text1"/>
          <w:sz w:val="16"/>
          <w:szCs w:val="16"/>
        </w:rPr>
        <w:softHyphen/>
        <w:t>щий животных). По готовности этот истребитель танков, во</w:t>
      </w:r>
      <w:r w:rsidRPr="00271E51">
        <w:rPr>
          <w:rFonts w:ascii="Times New Roman" w:hAnsi="Times New Roman"/>
          <w:color w:val="000000" w:themeColor="text1"/>
          <w:sz w:val="16"/>
          <w:szCs w:val="16"/>
        </w:rPr>
        <w:softHyphen/>
        <w:t>оруженный 57-мм пушкой, прошел испытания. Но эта ма</w:t>
      </w:r>
      <w:r w:rsidRPr="00271E51">
        <w:rPr>
          <w:rFonts w:ascii="Times New Roman" w:hAnsi="Times New Roman"/>
          <w:color w:val="000000" w:themeColor="text1"/>
          <w:sz w:val="16"/>
          <w:szCs w:val="16"/>
        </w:rPr>
        <w:softHyphen/>
        <w:t>шина, не получив требуемый двигатель, была спешно пере</w:t>
      </w:r>
      <w:r w:rsidRPr="00271E51">
        <w:rPr>
          <w:rFonts w:ascii="Times New Roman" w:hAnsi="Times New Roman"/>
          <w:color w:val="000000" w:themeColor="text1"/>
          <w:sz w:val="16"/>
          <w:szCs w:val="16"/>
        </w:rPr>
        <w:softHyphen/>
        <w:t>работана под параллельную спарку двигателей ГАЗ-М1 сум</w:t>
      </w:r>
      <w:r w:rsidRPr="00271E51">
        <w:rPr>
          <w:rFonts w:ascii="Times New Roman" w:hAnsi="Times New Roman"/>
          <w:color w:val="000000" w:themeColor="text1"/>
          <w:sz w:val="16"/>
          <w:szCs w:val="16"/>
        </w:rPr>
        <w:softHyphen/>
        <w:t>марной мощностью 100 л.с., которая испытывала многочис</w:t>
      </w:r>
      <w:r w:rsidRPr="00271E51">
        <w:rPr>
          <w:rFonts w:ascii="Times New Roman" w:hAnsi="Times New Roman"/>
          <w:color w:val="000000" w:themeColor="text1"/>
          <w:sz w:val="16"/>
          <w:szCs w:val="16"/>
        </w:rPr>
        <w:softHyphen/>
        <w:t>ленные поломки на испытаниях. Таким образом, машина по комплексу боевых характеристик и цене мало отличалась от образцов завода ГАЗ, которые активно продвигались на всех уровнях. Для увеличения мощности выстрела САУ в конце 1943 г. была перевооружена 76,2-мм орудием С-54-2, имев</w:t>
      </w:r>
      <w:r w:rsidRPr="00271E51">
        <w:rPr>
          <w:rFonts w:ascii="Times New Roman" w:hAnsi="Times New Roman"/>
          <w:color w:val="000000" w:themeColor="text1"/>
          <w:sz w:val="16"/>
          <w:szCs w:val="16"/>
        </w:rPr>
        <w:softHyphen/>
        <w:t>шим баллистику зенитного орудия обр. 1931 г. (ЗК), но и это не изменило отношения к машине представителей ГБТУ (11417).</w:t>
      </w:r>
    </w:p>
    <w:p w14:paraId="5CE85E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274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к числу производителей СУ-76 подключил</w:t>
      </w:r>
      <w:r w:rsidRPr="00271E51">
        <w:rPr>
          <w:rFonts w:ascii="Times New Roman" w:hAnsi="Times New Roman"/>
          <w:color w:val="000000" w:themeColor="text1"/>
          <w:sz w:val="16"/>
          <w:szCs w:val="16"/>
        </w:rPr>
        <w:softHyphen/>
        <w:t>ся также и ГАЗ, сворачивающий программу выпуска лег</w:t>
      </w:r>
      <w:r w:rsidRPr="00271E51">
        <w:rPr>
          <w:rFonts w:ascii="Times New Roman" w:hAnsi="Times New Roman"/>
          <w:color w:val="000000" w:themeColor="text1"/>
          <w:sz w:val="16"/>
          <w:szCs w:val="16"/>
        </w:rPr>
        <w:softHyphen/>
        <w:t>ких танков. Здесь машина СУ-76 (СУ-15М) получила за</w:t>
      </w:r>
      <w:r w:rsidRPr="00271E51">
        <w:rPr>
          <w:rFonts w:ascii="Times New Roman" w:hAnsi="Times New Roman"/>
          <w:color w:val="000000" w:themeColor="text1"/>
          <w:sz w:val="16"/>
          <w:szCs w:val="16"/>
        </w:rPr>
        <w:softHyphen/>
        <w:t>водской индекс ГАЗ-15-126, и с октября горьковские са</w:t>
      </w:r>
      <w:r w:rsidRPr="00271E51">
        <w:rPr>
          <w:rFonts w:ascii="Times New Roman" w:hAnsi="Times New Roman"/>
          <w:color w:val="000000" w:themeColor="text1"/>
          <w:sz w:val="16"/>
          <w:szCs w:val="16"/>
        </w:rPr>
        <w:softHyphen/>
        <w:t>моходы также пошли на фронт. От Кировских СУ-76 ГАЗ-15-126 отличались несколько меньшей ценой, но большей боевой массой. Однако вслед</w:t>
      </w:r>
      <w:r w:rsidRPr="00271E51">
        <w:rPr>
          <w:rFonts w:ascii="Times New Roman" w:hAnsi="Times New Roman"/>
          <w:color w:val="000000" w:themeColor="text1"/>
          <w:sz w:val="16"/>
          <w:szCs w:val="16"/>
        </w:rPr>
        <w:softHyphen/>
        <w:t>ствие необходимости ликвидации последствий бомбарди</w:t>
      </w:r>
      <w:r w:rsidRPr="00271E51">
        <w:rPr>
          <w:rFonts w:ascii="Times New Roman" w:hAnsi="Times New Roman"/>
          <w:color w:val="000000" w:themeColor="text1"/>
          <w:sz w:val="16"/>
          <w:szCs w:val="16"/>
        </w:rPr>
        <w:softHyphen/>
        <w:t>ровок ГАЗ смог организовать нормальное производство только через месяц, а в начале 1944 г. смог достичь заплани</w:t>
      </w:r>
      <w:r w:rsidRPr="00271E51">
        <w:rPr>
          <w:rFonts w:ascii="Times New Roman" w:hAnsi="Times New Roman"/>
          <w:color w:val="000000" w:themeColor="text1"/>
          <w:sz w:val="16"/>
          <w:szCs w:val="16"/>
        </w:rPr>
        <w:softHyphen/>
        <w:t>рованных показателей, став лидером по выпуску СУ-76 (11417).</w:t>
      </w:r>
    </w:p>
    <w:p w14:paraId="16EBAE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0B0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ГАУ выдвинуло ТТТ к «самоходно-артил-лерийским системам большой и особой мощности». Воору</w:t>
      </w:r>
      <w:r w:rsidRPr="00271E51">
        <w:rPr>
          <w:rFonts w:ascii="Times New Roman" w:hAnsi="Times New Roman"/>
          <w:color w:val="000000" w:themeColor="text1"/>
          <w:sz w:val="16"/>
          <w:szCs w:val="16"/>
        </w:rPr>
        <w:softHyphen/>
        <w:t>жать их предполагалось 203-мм гаубицей обр. 1931 г., произ</w:t>
      </w:r>
      <w:r w:rsidRPr="00271E51">
        <w:rPr>
          <w:rFonts w:ascii="Times New Roman" w:hAnsi="Times New Roman"/>
          <w:color w:val="000000" w:themeColor="text1"/>
          <w:sz w:val="16"/>
          <w:szCs w:val="16"/>
        </w:rPr>
        <w:softHyphen/>
        <w:t>водство которой планировали возобновить на заводе «Боль</w:t>
      </w:r>
      <w:r w:rsidRPr="00271E51">
        <w:rPr>
          <w:rFonts w:ascii="Times New Roman" w:hAnsi="Times New Roman"/>
          <w:color w:val="000000" w:themeColor="text1"/>
          <w:sz w:val="16"/>
          <w:szCs w:val="16"/>
        </w:rPr>
        <w:softHyphen/>
        <w:t>шевик» в 1944 г. В ноябре по распоряжению наркома Д.Ф. Ус</w:t>
      </w:r>
      <w:r w:rsidRPr="00271E51">
        <w:rPr>
          <w:rFonts w:ascii="Times New Roman" w:hAnsi="Times New Roman"/>
          <w:color w:val="000000" w:themeColor="text1"/>
          <w:sz w:val="16"/>
          <w:szCs w:val="16"/>
        </w:rPr>
        <w:softHyphen/>
        <w:t>тинова техуправление НКВ объявило конкурс на создание САУ большой мощности по теме «Витязь».</w:t>
      </w:r>
    </w:p>
    <w:p w14:paraId="4BD1AF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конкурс выдвинули свои проекты завод № 100 НКТП, КБ Уралмашзавода, а также ЦАКБ. Известно, что де</w:t>
      </w:r>
      <w:r w:rsidRPr="00271E51">
        <w:rPr>
          <w:rFonts w:ascii="Times New Roman" w:hAnsi="Times New Roman"/>
          <w:color w:val="000000" w:themeColor="text1"/>
          <w:sz w:val="16"/>
          <w:szCs w:val="16"/>
        </w:rPr>
        <w:softHyphen/>
        <w:t>тище Ж.Я. Котина должно было представлять собой само</w:t>
      </w:r>
      <w:r w:rsidRPr="00271E51">
        <w:rPr>
          <w:rFonts w:ascii="Times New Roman" w:hAnsi="Times New Roman"/>
          <w:color w:val="000000" w:themeColor="text1"/>
          <w:sz w:val="16"/>
          <w:szCs w:val="16"/>
        </w:rPr>
        <w:softHyphen/>
        <w:t>ходный лафет, тянущий на прицепке ствол с небольшим за</w:t>
      </w:r>
      <w:r w:rsidRPr="00271E51">
        <w:rPr>
          <w:rFonts w:ascii="Times New Roman" w:hAnsi="Times New Roman"/>
          <w:color w:val="000000" w:themeColor="text1"/>
          <w:sz w:val="16"/>
          <w:szCs w:val="16"/>
        </w:rPr>
        <w:softHyphen/>
        <w:t>пасом снарядов. Вооружение орудия должно было осуществ</w:t>
      </w:r>
      <w:r w:rsidRPr="00271E51">
        <w:rPr>
          <w:rFonts w:ascii="Times New Roman" w:hAnsi="Times New Roman"/>
          <w:color w:val="000000" w:themeColor="text1"/>
          <w:sz w:val="16"/>
          <w:szCs w:val="16"/>
        </w:rPr>
        <w:softHyphen/>
        <w:t>ляться на позиции перед началом стрельбы. Времени на под</w:t>
      </w:r>
      <w:r w:rsidRPr="00271E51">
        <w:rPr>
          <w:rFonts w:ascii="Times New Roman" w:hAnsi="Times New Roman"/>
          <w:color w:val="000000" w:themeColor="text1"/>
          <w:sz w:val="16"/>
          <w:szCs w:val="16"/>
        </w:rPr>
        <w:softHyphen/>
        <w:t>готовку выстрела должно было уходить не свыше 20 минут.</w:t>
      </w:r>
    </w:p>
    <w:p w14:paraId="4654BC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УЗТМ предожило сразу два решения. Во-первых, усо</w:t>
      </w:r>
      <w:r w:rsidRPr="00271E51">
        <w:rPr>
          <w:rFonts w:ascii="Times New Roman" w:hAnsi="Times New Roman"/>
          <w:color w:val="000000" w:themeColor="text1"/>
          <w:sz w:val="16"/>
          <w:szCs w:val="16"/>
        </w:rPr>
        <w:softHyphen/>
        <w:t>вершенствованный проект самохода У-19 (203-мм гаубица Б-4 на шасси КВ-1, выполненный Н.В. Куриным и Г.Н. Рыби-ным), а также эскизный проект установки 203-мм гаубицы или 152-мм пушки на двух шасси СУ-122. Перед стрельбой указанные повозки должны были состыковаться, и готов</w:t>
      </w:r>
      <w:r w:rsidRPr="00271E51">
        <w:rPr>
          <w:rFonts w:ascii="Times New Roman" w:hAnsi="Times New Roman"/>
          <w:color w:val="000000" w:themeColor="text1"/>
          <w:sz w:val="16"/>
          <w:szCs w:val="16"/>
        </w:rPr>
        <w:softHyphen/>
        <w:t>ность к открытию огня составляла приблизительно 30—40 мин. Но еще до начала конкурса, 11 сентября 1943 г. заказ на проведение работ был выдан лишь ЦАКБ, которое в установ</w:t>
      </w:r>
      <w:r w:rsidRPr="00271E51">
        <w:rPr>
          <w:rFonts w:ascii="Times New Roman" w:hAnsi="Times New Roman"/>
          <w:color w:val="000000" w:themeColor="text1"/>
          <w:sz w:val="16"/>
          <w:szCs w:val="16"/>
        </w:rPr>
        <w:softHyphen/>
        <w:t>ленные сроки не представило ни эскизного проекта, ни рас</w:t>
      </w:r>
      <w:r w:rsidRPr="00271E51">
        <w:rPr>
          <w:rFonts w:ascii="Times New Roman" w:hAnsi="Times New Roman"/>
          <w:color w:val="000000" w:themeColor="text1"/>
          <w:sz w:val="16"/>
          <w:szCs w:val="16"/>
        </w:rPr>
        <w:softHyphen/>
        <w:t>четов. Конкурс был завершен, так и не начавшись.</w:t>
      </w:r>
    </w:p>
    <w:p w14:paraId="3BD626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ЦАКБ В.Г. Грабин сам выдвинул себе раз</w:t>
      </w:r>
      <w:r w:rsidRPr="00271E51">
        <w:rPr>
          <w:rFonts w:ascii="Times New Roman" w:hAnsi="Times New Roman"/>
          <w:color w:val="000000" w:themeColor="text1"/>
          <w:sz w:val="16"/>
          <w:szCs w:val="16"/>
        </w:rPr>
        <w:softHyphen/>
        <w:t>вернутые ТТТ к САУ на основании общих требований ар-туправления. Работы над данной САУ велись в ЦАКБ под индексом С-51 и были выполнены довольно быстро. Но уже на этапе расчетов оказалось, что выбранное решение в виде одного шасси танка КВ-1 С (как и У-19) имеет не</w:t>
      </w:r>
      <w:r w:rsidRPr="00271E51">
        <w:rPr>
          <w:rFonts w:ascii="Times New Roman" w:hAnsi="Times New Roman"/>
          <w:color w:val="000000" w:themeColor="text1"/>
          <w:sz w:val="16"/>
          <w:szCs w:val="16"/>
        </w:rPr>
        <w:softHyphen/>
        <w:t>достаточную длину опорной поверхности. А только ради ограниченного выпуска САУ НКТП, не справлявшийся с объемом выпуска тяжелых танков, не мог осваивать в се</w:t>
      </w:r>
      <w:r w:rsidRPr="00271E51">
        <w:rPr>
          <w:rFonts w:ascii="Times New Roman" w:hAnsi="Times New Roman"/>
          <w:color w:val="000000" w:themeColor="text1"/>
          <w:sz w:val="16"/>
          <w:szCs w:val="16"/>
        </w:rPr>
        <w:softHyphen/>
        <w:t>рийном производстве специальное удлиненное шасси (с 7—8 парами опорных катков). Поэтому руководство ЦАКБ приняло решение продолжать работы по С-51 на шасси танка КВ-1 С с минимальными переделками (11417).</w:t>
      </w:r>
    </w:p>
    <w:p w14:paraId="219BD2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009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НИИ-13 больше не возвращался к работам по созданию противотанковой самоходной артиллерии, хотя еще несколько раз в течение года пытался протолкнуть свое детище на вооружение РККА (5742, 14).</w:t>
      </w:r>
    </w:p>
    <w:p w14:paraId="209FDA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702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самоходные установки типа Т-48 начали поступать в Красную Армию, где они были введены в систему вооружения под индексом СУ-57. СУ-57 (Т-48) имели большие габариты, слабую броне</w:t>
      </w:r>
      <w:r w:rsidRPr="00271E51">
        <w:rPr>
          <w:rFonts w:ascii="Times New Roman" w:hAnsi="Times New Roman"/>
          <w:color w:val="000000" w:themeColor="text1"/>
          <w:sz w:val="16"/>
          <w:szCs w:val="16"/>
        </w:rPr>
        <w:softHyphen/>
        <w:t>вую защиту и недостаточно мощное вооружение. Тем не ме</w:t>
      </w:r>
      <w:r w:rsidRPr="00271E51">
        <w:rPr>
          <w:rFonts w:ascii="Times New Roman" w:hAnsi="Times New Roman"/>
          <w:color w:val="000000" w:themeColor="text1"/>
          <w:sz w:val="16"/>
          <w:szCs w:val="16"/>
        </w:rPr>
        <w:softHyphen/>
        <w:t>нее с начала 1944 г. машины стали поступать на оснащение разведывательных рот танковых и механизированных бри</w:t>
      </w:r>
      <w:r w:rsidRPr="00271E51">
        <w:rPr>
          <w:rFonts w:ascii="Times New Roman" w:hAnsi="Times New Roman"/>
          <w:color w:val="000000" w:themeColor="text1"/>
          <w:sz w:val="16"/>
          <w:szCs w:val="16"/>
        </w:rPr>
        <w:softHyphen/>
        <w:t xml:space="preserve">гад, а позже и для формирования некоторых самоходно-ар-тиллерийских бригад танковых армий. Несмотря </w:t>
      </w:r>
      <w:r w:rsidRPr="00271E51">
        <w:rPr>
          <w:rFonts w:ascii="Times New Roman" w:hAnsi="Times New Roman"/>
          <w:color w:val="000000" w:themeColor="text1"/>
          <w:sz w:val="16"/>
          <w:szCs w:val="16"/>
        </w:rPr>
        <w:lastRenderedPageBreak/>
        <w:t>на то, что после войны в отношении СУ-57 распространялись преиму</w:t>
      </w:r>
      <w:r w:rsidRPr="00271E51">
        <w:rPr>
          <w:rFonts w:ascii="Times New Roman" w:hAnsi="Times New Roman"/>
          <w:color w:val="000000" w:themeColor="text1"/>
          <w:sz w:val="16"/>
          <w:szCs w:val="16"/>
        </w:rPr>
        <w:softHyphen/>
        <w:t>щественно отрицательные отзывы, при грамотном исполь</w:t>
      </w:r>
      <w:r w:rsidRPr="00271E51">
        <w:rPr>
          <w:rFonts w:ascii="Times New Roman" w:hAnsi="Times New Roman"/>
          <w:color w:val="000000" w:themeColor="text1"/>
          <w:sz w:val="16"/>
          <w:szCs w:val="16"/>
        </w:rPr>
        <w:softHyphen/>
        <w:t>зовании они показывали себя очень эффективно (11417).</w:t>
      </w:r>
    </w:p>
    <w:p w14:paraId="4F52C4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7F534" w14:textId="77777777" w:rsidR="003D5303" w:rsidRPr="00271E51" w:rsidRDefault="003D530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Осенью 1943 года M10 GMC оказалась на испытаниях в СССР, где получила положительный отзыв. Правда, оценивали машину танкисты, да и самоходная артиллерия с начала 1943 года была переподчинена ГБТУ КА. Кто знает, как сложилась бы судьба советской башенной САУ, если бы её изначально заказывало Главное бронетанковое управление КА (17641).</w:t>
      </w:r>
    </w:p>
    <w:p w14:paraId="24969BEB" w14:textId="77777777" w:rsidR="003D5303" w:rsidRPr="00271E51" w:rsidRDefault="003D5303" w:rsidP="00271E51">
      <w:pPr>
        <w:spacing w:after="0" w:line="240" w:lineRule="auto"/>
        <w:jc w:val="both"/>
        <w:rPr>
          <w:rFonts w:ascii="Times New Roman" w:eastAsia="Times New Roman" w:hAnsi="Times New Roman"/>
          <w:color w:val="000000" w:themeColor="text1"/>
          <w:sz w:val="16"/>
          <w:szCs w:val="16"/>
          <w:lang w:eastAsia="ru-RU"/>
        </w:rPr>
      </w:pPr>
    </w:p>
    <w:p w14:paraId="40E8398C"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К осени 1943 г. тракторы-транспортеры Т-20 «Комсомолец» практически исчезли из состава противотанковых дивизионов стрел</w:t>
      </w:r>
      <w:r w:rsidRPr="00271E51">
        <w:rPr>
          <w:rFonts w:ascii="Times New Roman" w:hAnsi="Times New Roman"/>
          <w:noProof/>
          <w:color w:val="000000" w:themeColor="text1"/>
          <w:sz w:val="16"/>
          <w:szCs w:val="16"/>
        </w:rPr>
        <w:softHyphen/>
        <w:t>ковых дивизий</w:t>
      </w:r>
      <w:r w:rsidRPr="00271E51">
        <w:rPr>
          <w:rFonts w:ascii="Times New Roman" w:hAnsi="Times New Roman"/>
          <w:color w:val="000000" w:themeColor="text1"/>
          <w:sz w:val="16"/>
          <w:szCs w:val="16"/>
        </w:rPr>
        <w:t xml:space="preserve"> (11895)</w:t>
      </w:r>
      <w:r w:rsidRPr="00271E51">
        <w:rPr>
          <w:rFonts w:ascii="Times New Roman" w:hAnsi="Times New Roman"/>
          <w:noProof/>
          <w:color w:val="000000" w:themeColor="text1"/>
          <w:sz w:val="16"/>
          <w:szCs w:val="16"/>
        </w:rPr>
        <w:t>.</w:t>
      </w:r>
    </w:p>
    <w:p w14:paraId="27F48C0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BAC85B0" w14:textId="77777777" w:rsidR="00A16F55" w:rsidRPr="00271E51" w:rsidRDefault="00A16F55" w:rsidP="00271E51">
      <w:pPr>
        <w:pStyle w:val="a3"/>
        <w:rPr>
          <w:color w:val="000000" w:themeColor="text1"/>
          <w:lang w:val="ru-RU"/>
        </w:rPr>
      </w:pPr>
      <w:r w:rsidRPr="00271E51">
        <w:rPr>
          <w:color w:val="000000" w:themeColor="text1"/>
          <w:lang w:val="ru-RU"/>
        </w:rPr>
        <w:t>Осенью 1943 г. начальник ГАУ Красной Армии генерал-полковник артиллерии Яков</w:t>
      </w:r>
      <w:r w:rsidRPr="00271E51">
        <w:rPr>
          <w:color w:val="000000" w:themeColor="text1"/>
          <w:lang w:val="ru-RU"/>
        </w:rPr>
        <w:softHyphen/>
        <w:t>лев в письме на имя Л.П. Берии, члена: ГКО, излагал основные положения, связанные с организацией выпуска тягачей в Харькове. Он просил обязать Наркомтанкопром изгото</w:t>
      </w:r>
      <w:r w:rsidRPr="00271E51">
        <w:rPr>
          <w:color w:val="000000" w:themeColor="text1"/>
          <w:lang w:val="ru-RU"/>
        </w:rPr>
        <w:softHyphen/>
        <w:t>вить уже к 1 января 1944</w:t>
      </w:r>
      <w:r w:rsidRPr="00271E51">
        <w:rPr>
          <w:rStyle w:val="8pt6"/>
          <w:rFonts w:ascii="Times New Roman" w:hAnsi="Times New Roman" w:cs="Times New Roman"/>
          <w:color w:val="000000" w:themeColor="text1"/>
          <w:lang w:val="ru-RU"/>
        </w:rPr>
        <w:t xml:space="preserve"> г.</w:t>
      </w:r>
      <w:r w:rsidRPr="00271E51">
        <w:rPr>
          <w:color w:val="000000" w:themeColor="text1"/>
          <w:lang w:val="ru-RU"/>
        </w:rPr>
        <w:t xml:space="preserve"> опытную партию арггягачей АТ-45</w:t>
      </w:r>
      <w:r w:rsidRPr="00271E51">
        <w:rPr>
          <w:rStyle w:val="293"/>
          <w:rFonts w:ascii="Times New Roman" w:hAnsi="Times New Roman" w:cs="Times New Roman"/>
          <w:b w:val="0"/>
          <w:color w:val="000000" w:themeColor="text1"/>
          <w:sz w:val="16"/>
          <w:szCs w:val="16"/>
          <w:lang w:val="ru-RU"/>
        </w:rPr>
        <w:t xml:space="preserve"> (5</w:t>
      </w:r>
      <w:r w:rsidRPr="00271E51">
        <w:rPr>
          <w:color w:val="000000" w:themeColor="text1"/>
          <w:lang w:val="ru-RU"/>
        </w:rPr>
        <w:t xml:space="preserve">-10 машин) и провести масштабную подготовку производства к их серийному выпуску в </w:t>
      </w:r>
      <w:r w:rsidRPr="00271E51">
        <w:rPr>
          <w:color w:val="000000" w:themeColor="text1"/>
        </w:rPr>
        <w:t>I</w:t>
      </w:r>
      <w:r w:rsidRPr="00271E51">
        <w:rPr>
          <w:color w:val="000000" w:themeColor="text1"/>
          <w:lang w:val="ru-RU"/>
        </w:rPr>
        <w:t xml:space="preserve"> квартале 1944 г. на за</w:t>
      </w:r>
      <w:r w:rsidRPr="00271E51">
        <w:rPr>
          <w:color w:val="000000" w:themeColor="text1"/>
          <w:lang w:val="ru-RU"/>
        </w:rPr>
        <w:softHyphen/>
        <w:t>воде №75. Однако эти планы пришлось скор</w:t>
      </w:r>
      <w:r w:rsidRPr="00271E51">
        <w:rPr>
          <w:color w:val="000000" w:themeColor="text1"/>
          <w:lang w:val="ru-RU"/>
        </w:rPr>
        <w:softHyphen/>
        <w:t>ректировать с учетом текущего положения дел на восстанавливаемом заводе (15748).</w:t>
      </w:r>
    </w:p>
    <w:p w14:paraId="5491A407" w14:textId="77777777" w:rsidR="00A16F55" w:rsidRPr="00271E51" w:rsidRDefault="00A16F55" w:rsidP="00271E51">
      <w:pPr>
        <w:pStyle w:val="a3"/>
        <w:rPr>
          <w:color w:val="000000" w:themeColor="text1"/>
          <w:lang w:val="ru-RU"/>
        </w:rPr>
      </w:pPr>
    </w:p>
    <w:p w14:paraId="724E7A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Осенью 1943 года уже достаточно поработавший С-2, как и ряд других тягачей, проходил испытания в НАТИ. Двигатель показал себя «молодцом» (в этом ник-то и не сомневался) и развил максимальную мощность 1 13 л.с. при 1200 об/мин и удельном расходе дизельного топлива 222 г/э.л.с.ч (с учетом износа - в пределах нормы). При движении на четвертой (высшей) передаче скорость машины оказалась на 20% ниже нормативной, что указывало на неправильный выбор режима работы двигателя и резкое увеличение потери мощности на самопередвижение. </w:t>
      </w:r>
    </w:p>
    <w:p w14:paraId="47B9D3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Расчетная скорость С-2 на четвертой передаче могла быть получена только при движении без нагрузки на крюке по шоссе. При этом двигатель нагружался до максимальной мощности и даже незначительные дорожные подъемы понижали скорость движения. Тяговое усилие на крюке могло быть получено только за счет перегрузки двигателя. При этом оно было очень невелико, всего 360 кгс при тяговой мощности 28,4 л.с, — настолько был мал тяговый КПД тягача (и, соответственно, велики потери на самопередвижение). На рабочей третьей передаче тяговое усилие на крюке достигало приемлемого значения 1290 кгс на скорости 16,2 км/ч, а на второй передаче — уже достаточного для тяжелой работы усилия в 3535 кгс при скорости 6,8 км/ч. В целом, если не считать неудачно выбранной четвертой передачи и повышенных потерь в ходовой части, тягач С-2 имел запас тягового усилия в 20%. Зато его экономичность была выше всех других недизельных тракторов на 25%, причем при работе на менее ценном топливе. В частности, минимальный расход топлива С-2 на 1 км пути составлял 1 кг. </w:t>
      </w:r>
    </w:p>
    <w:p w14:paraId="3EEAFD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С-2 попали на все фронты, особенно много — на Юго-Западный. Они буксировали пушки от 85-мм зенитных до средних и тяжелых артсистем в корпусных артполках, а таже 203-мм гаубицы образца 1931 года и 280-мм мортиры образца 1939 года. Были эффективны при эвакуации легких и средних танков. На 1 сентября 1942 года в армии работало 892 трактора С-2. При общей нехватке тягачей их берегли — известен случай, когда водитель С-2, у которого сломалась коробка передач, за ночь восстановил только задний ход и проехал в этом режиме 132 км до расположения своей зенитной части. </w:t>
      </w:r>
    </w:p>
    <w:p w14:paraId="581DEF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отсутствие с 1942 года заводских поставок запчастей (как и для С-65), тягачи С-2 не хуже других транспортных тракторов доработали в армии до конца нойны и ограниченно использовались в мехтяге артиллерии до начала 1950-х годов. Судя по всему, ни один тягач С-2 до нашего времени не сохранился. В музее НИИ-21 в Бронницах, ликвидированном в 1967 году, такая машина была (11639).</w:t>
      </w:r>
    </w:p>
    <w:p w14:paraId="0F707A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7DA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для защиты с воздуха практически на всех «Шерманах» устанавливались зенитные 7,62-мм и 12,7-мм пулеметы «Браунинг».</w:t>
      </w:r>
    </w:p>
    <w:p w14:paraId="53184A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271E51">
        <w:rPr>
          <w:rFonts w:ascii="Times New Roman" w:hAnsi="Times New Roman"/>
          <w:color w:val="000000" w:themeColor="text1"/>
          <w:sz w:val="16"/>
          <w:szCs w:val="16"/>
        </w:rPr>
        <w:softHyphen/>
        <w:t>пусов (например, 3 гвардейский Сталинградский механи</w:t>
      </w:r>
      <w:r w:rsidRPr="00271E51">
        <w:rPr>
          <w:rFonts w:ascii="Times New Roman" w:hAnsi="Times New Roman"/>
          <w:color w:val="000000" w:themeColor="text1"/>
          <w:sz w:val="16"/>
          <w:szCs w:val="16"/>
        </w:rPr>
        <w:softHyphen/>
        <w:t>зированный корпус, действовавший в составе 3-го Бело</w:t>
      </w:r>
      <w:r w:rsidRPr="00271E51">
        <w:rPr>
          <w:rFonts w:ascii="Times New Roman" w:hAnsi="Times New Roman"/>
          <w:color w:val="000000" w:themeColor="text1"/>
          <w:sz w:val="16"/>
          <w:szCs w:val="16"/>
        </w:rPr>
        <w:softHyphen/>
        <w:t>русского фронта, на 22 июня 1944 г. имел 196 танков, из ко</w:t>
      </w:r>
      <w:r w:rsidRPr="00271E51">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271E51">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271E51">
        <w:rPr>
          <w:rFonts w:ascii="Times New Roman" w:hAnsi="Times New Roman"/>
          <w:color w:val="000000" w:themeColor="text1"/>
          <w:sz w:val="16"/>
          <w:szCs w:val="16"/>
        </w:rPr>
        <w:softHyphen/>
        <w:t>вый корпус (1-й Прибалтийский фронт) также был осна</w:t>
      </w:r>
      <w:r w:rsidRPr="00271E51">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65F0FB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3EC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завод фиттингов НК танковой промышленности получил новое название - Государственный союзный завод №48 и был подчинен Наркомату боеприпасов, а к 1944 году освоил выпуск корпусов авиационных бомб, для чего из нижнего Тагила на завод был переведен цех по их изготовлению.</w:t>
      </w:r>
    </w:p>
    <w:p w14:paraId="0AEFA0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Сотни тысяч мин, реактивных снарядов и авиабомб заводчане давали фронту.</w:t>
      </w:r>
    </w:p>
    <w:p w14:paraId="25E84E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Окончилась война. С 1945 года после принятия Государственным Комитетом по Обороне решений по развертыванию работ в области ядерного оружия предприятие вошло в систему Первого Главного управления при Совете Министров СССР. Это явилось началом пути завода №48 в атомной промышленности. Завод начинает выпускать геологоразведочное и химико-технологическое оборубование для среднеазиатского комбината, на котором была организована добыча отечественного урана. С 1948 года завод разворачивает работы по изготовлению баллистических корпусов ядерных авиабомб. Сложные изделия потребовали технического перевооружения завода, постройки новых цехов, освоения прогрессивных технологий. В пятидесятые годы осваивается изготовление дозиметров, срочных заказов для атомных электростанций и атомного ледокола "Ленин", блоков автоматики, стендовой аппаратуры. Завод становится многопрофильным предприятием. 1954 год можно считать началом приборного производства. Выпуск блоков автоматики потребовал поднятия культуры производства. Создавались технические подразделения и службы: приборный цех, бюро внешней приемки, лаборатории типовых испытаний, опытный цех, отдел по проектированию нестандартного оборудования, служба КИПиА, серийно-конструкторское бюро. С 1961 года завод переходит к выпуску радиотехнических приборов. Осваиваются антенно-фидерные устройства, техника СВЧ, импульсная техника, линейно-полупроводниковые схемы.</w:t>
      </w:r>
    </w:p>
    <w:p w14:paraId="5C1D42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заводе свыше 200 единиц оборудования с ЧПУ отечественного и зарубежного производства.</w:t>
      </w:r>
    </w:p>
    <w:p w14:paraId="698BB0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Инженерный, технический, технологический уровень завода, а также квалификация рабочих, позволяют заводу в 70х годах освоить выпуск средств регистрации сверхкоротких физических процессов типа регистраторов-осциллографов, фиксирующих однократные импульсы наносекундного диапазона, приборов радиометрического контроля для пограничных и таможенных постов. В 1974 году в содружестве с институтом Атомной энергии им. И.В.Курчатова и НПО ГАЗ разработана и запущена в серийное производство препаративная медикобиологическая ультрацентрифуга, отвечающая уровню мировых стандартов. С 1975 года произошло расширение номенклатуры приборного профиля за счет различных видов технических средств охраны (ТСО).</w:t>
      </w:r>
    </w:p>
    <w:p w14:paraId="2EF01D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Совместно с институтом Атомной энергии им И.В.Курчатова был осуществлен серийный выпуск установки ионной имплантации "Вита", которая была предназначена для создания заданных свойств в поверхностных слоях деталей. Данные установки нашли применение для упрочнения лопаток турбин авиадвигателей.</w:t>
      </w:r>
    </w:p>
    <w:p w14:paraId="4C9777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разработан (в содружестве с СКПБ ПО "Вектор") и освоен ряд турбомолекулярных вакуумных насосов на газовых опорах, нашедших применение в радиопромышленности и ускорительной технике. В 1982 году вводится в строй цех микроэлектроники, микроплат, микросборок. В 1989 году было образовано Производственное объединение Машиностроительный завод "Молния", в состав которого влились Плавский машиностроительный завод "Смычка", Махачкалинский машиностроительный завод сепараторов и переданный на НПО "Мир" отдел, занимающийся разработкой и модернизацией сепараторов.</w:t>
      </w:r>
    </w:p>
    <w:p w14:paraId="69D90C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Почтовый адрес: 109391, Москва, Рязанский проспект 6А</w:t>
      </w:r>
    </w:p>
    <w:p w14:paraId="46AEA9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Генеральный директор: Николаичев Владимир Иванович (9703).</w:t>
      </w:r>
    </w:p>
    <w:p w14:paraId="359943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DB9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ЭНИН вернулся в Москву. По указанию Сталина Совнарком выделил для Рамзина штатную единицу на ученое звание чле</w:t>
      </w:r>
      <w:r w:rsidRPr="00271E51">
        <w:rPr>
          <w:rFonts w:ascii="Times New Roman" w:hAnsi="Times New Roman"/>
          <w:color w:val="000000" w:themeColor="text1"/>
          <w:sz w:val="16"/>
          <w:szCs w:val="16"/>
        </w:rPr>
        <w:softHyphen/>
        <w:t>на-корреспондента АН СССР. Столь необычному вниманию со стороны Сталина Рамзин был рад и взволнован настолько, что после этого забо</w:t>
      </w:r>
      <w:r w:rsidRPr="00271E51">
        <w:rPr>
          <w:rFonts w:ascii="Times New Roman" w:hAnsi="Times New Roman"/>
          <w:color w:val="000000" w:themeColor="text1"/>
          <w:sz w:val="16"/>
          <w:szCs w:val="16"/>
        </w:rPr>
        <w:softHyphen/>
        <w:t>лел, а Кржижановский вызвал к себе Худякова и попросил срочно офор</w:t>
      </w:r>
      <w:r w:rsidRPr="00271E51">
        <w:rPr>
          <w:rFonts w:ascii="Times New Roman" w:hAnsi="Times New Roman"/>
          <w:color w:val="000000" w:themeColor="text1"/>
          <w:sz w:val="16"/>
          <w:szCs w:val="16"/>
        </w:rPr>
        <w:softHyphen/>
        <w:t>мить документы «личного дела Рамзина» для баллотирования на выборах его в члены—корреспонденты АН СССР.</w:t>
      </w:r>
    </w:p>
    <w:p w14:paraId="165318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нашего личного знакомства, — пишет Г.Н. Худяков, — Рамзина знал я мало, но в своей инженерной работе часто пользовался его трудами при расчете процессов сушки материалов и горения топлива для констру</w:t>
      </w:r>
      <w:r w:rsidRPr="00271E51">
        <w:rPr>
          <w:rFonts w:ascii="Times New Roman" w:hAnsi="Times New Roman"/>
          <w:color w:val="000000" w:themeColor="text1"/>
          <w:sz w:val="16"/>
          <w:szCs w:val="16"/>
        </w:rPr>
        <w:softHyphen/>
        <w:t>ирования промышленных топок. По газетным статьям я знал его как вра</w:t>
      </w:r>
      <w:r w:rsidRPr="00271E51">
        <w:rPr>
          <w:rFonts w:ascii="Times New Roman" w:hAnsi="Times New Roman"/>
          <w:color w:val="000000" w:themeColor="text1"/>
          <w:sz w:val="16"/>
          <w:szCs w:val="16"/>
        </w:rPr>
        <w:softHyphen/>
        <w:t>га нашего народа. Сотрудники лаборатории ЭНИНа почувствовали в лице Рамзина талантливого научного руководителя. Он обладал уникальной памятью, обширными знаниями, особенно в области теплоэнергетики. С ним работать было легко и плодотворно, как при проведении опытов, так и при обобщении экспериментальных данных. Он своим темпом, зна</w:t>
      </w:r>
      <w:r w:rsidRPr="00271E51">
        <w:rPr>
          <w:rFonts w:ascii="Times New Roman" w:hAnsi="Times New Roman"/>
          <w:color w:val="000000" w:themeColor="text1"/>
          <w:sz w:val="16"/>
          <w:szCs w:val="16"/>
        </w:rPr>
        <w:softHyphen/>
        <w:t>ниями и энергией умел мобилизовать коллектив сотрудников». »</w:t>
      </w:r>
    </w:p>
    <w:p w14:paraId="0CE5A9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Рамзин стал заведующим лабораторией, а Худяков его за</w:t>
      </w:r>
      <w:r w:rsidRPr="00271E51">
        <w:rPr>
          <w:rFonts w:ascii="Times New Roman" w:hAnsi="Times New Roman"/>
          <w:color w:val="000000" w:themeColor="text1"/>
          <w:sz w:val="16"/>
          <w:szCs w:val="16"/>
        </w:rPr>
        <w:softHyphen/>
        <w:t>местителем. «Он был доволен моей работой, мне доверял,— пишет Худя</w:t>
      </w:r>
      <w:r w:rsidRPr="00271E51">
        <w:rPr>
          <w:rFonts w:ascii="Times New Roman" w:hAnsi="Times New Roman"/>
          <w:color w:val="000000" w:themeColor="text1"/>
          <w:sz w:val="16"/>
          <w:szCs w:val="16"/>
        </w:rPr>
        <w:softHyphen/>
        <w:t xml:space="preserve">ков, — я часто по делам службы бывал у него дома и был знаком с его женой, старшей его сестрой и дочкой. Я познакомился с материалами личного дела Рамзина и был удивлен и восхищен его деятельностью. Он своим трудом как специалист и общественный деятель внес большой вклад в индустриализацию нашей страны. Когда я получил от него материалы личного дела и уже собирался уехать в президиум АН СССР для передачи документов, он попросил меня задержаться, решил поговорить со мной. Он был в хорошем настроении, но больной. Его жена, Эра Багдасаровна, накрыла стол и подала кофе. Мы продолжали непринужденный разговор о работе. Он был рад, что </w:t>
      </w:r>
      <w:r w:rsidRPr="00271E51">
        <w:rPr>
          <w:rFonts w:ascii="Times New Roman" w:hAnsi="Times New Roman"/>
          <w:color w:val="000000" w:themeColor="text1"/>
          <w:sz w:val="16"/>
          <w:szCs w:val="16"/>
        </w:rPr>
        <w:lastRenderedPageBreak/>
        <w:t>будет баллотироваться на ученое звание члена-корреспондента Академии наук. Затем сказал, имея в виду Сталина: «Хо</w:t>
      </w:r>
      <w:r w:rsidRPr="00271E51">
        <w:rPr>
          <w:rFonts w:ascii="Times New Roman" w:hAnsi="Times New Roman"/>
          <w:color w:val="000000" w:themeColor="text1"/>
          <w:sz w:val="16"/>
          <w:szCs w:val="16"/>
        </w:rPr>
        <w:softHyphen/>
        <w:t>зяин помнит обо мне. Я благодарен ему за высокую оценку моей деятель</w:t>
      </w:r>
      <w:r w:rsidRPr="00271E51">
        <w:rPr>
          <w:rFonts w:ascii="Times New Roman" w:hAnsi="Times New Roman"/>
          <w:color w:val="000000" w:themeColor="text1"/>
          <w:sz w:val="16"/>
          <w:szCs w:val="16"/>
        </w:rPr>
        <w:softHyphen/>
        <w:t>ности».... Задумался и еще сказал: «С выборами меня в «член-корры» не должно быть затруднений. Хотя все может случиться при тайном голосо</w:t>
      </w:r>
      <w:r w:rsidRPr="00271E51">
        <w:rPr>
          <w:rFonts w:ascii="Times New Roman" w:hAnsi="Times New Roman"/>
          <w:color w:val="000000" w:themeColor="text1"/>
          <w:sz w:val="16"/>
          <w:szCs w:val="16"/>
        </w:rPr>
        <w:softHyphen/>
        <w:t>вании»...</w:t>
      </w:r>
    </w:p>
    <w:p w14:paraId="61ADA7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внезапно и впервые спросил его: «Ваш большой вклад в советскую технику и науку хорошо известен. Но не помешает ли Ваше участие в «Промдйртии?». Он нервно передернулся, повернулся в мою сторону и, смотря на меня в упор, сказал: «Это был сценарий Лубянки и хозяин это знает»...</w:t>
      </w:r>
    </w:p>
    <w:p w14:paraId="5DF267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поблагодарил Эру Багдасаровну за угощение, пожелал Леониду Кон</w:t>
      </w:r>
      <w:r w:rsidRPr="00271E51">
        <w:rPr>
          <w:rFonts w:ascii="Times New Roman" w:hAnsi="Times New Roman"/>
          <w:color w:val="000000" w:themeColor="text1"/>
          <w:sz w:val="16"/>
          <w:szCs w:val="16"/>
        </w:rPr>
        <w:softHyphen/>
        <w:t>стантиновичу быстрейшего выздоровления и попрощался.</w:t>
      </w:r>
    </w:p>
    <w:p w14:paraId="3784D4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Через несколько месяцев в Академии наук состоялись выборы. В голо</w:t>
      </w:r>
      <w:r w:rsidRPr="00271E51">
        <w:rPr>
          <w:rFonts w:ascii="Times New Roman" w:hAnsi="Times New Roman"/>
          <w:color w:val="000000" w:themeColor="text1"/>
          <w:sz w:val="16"/>
          <w:szCs w:val="16"/>
        </w:rPr>
        <w:softHyphen/>
        <w:t>совании принимало участие 25 академиков и членов-корреспондентов Академии наук СССР. За кандидатуру Рамзина проголосовали; за — 1, против — 24. Таким образом, ученые наказали Рамзина. Сталину не уда</w:t>
      </w:r>
      <w:r w:rsidRPr="00271E51">
        <w:rPr>
          <w:rFonts w:ascii="Times New Roman" w:hAnsi="Times New Roman"/>
          <w:color w:val="000000" w:themeColor="text1"/>
          <w:sz w:val="16"/>
          <w:szCs w:val="16"/>
        </w:rPr>
        <w:softHyphen/>
        <w:t>лось внедрить в Академию наук СССР Рамзина».</w:t>
      </w:r>
    </w:p>
    <w:p w14:paraId="7DE39D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Умер профессор Рамзин в 1948 году. Судьба его страшная и поучитель</w:t>
      </w:r>
      <w:r w:rsidRPr="00271E51">
        <w:rPr>
          <w:rFonts w:ascii="Times New Roman" w:hAnsi="Times New Roman"/>
          <w:color w:val="000000" w:themeColor="text1"/>
          <w:sz w:val="16"/>
          <w:szCs w:val="16"/>
        </w:rPr>
        <w:softHyphen/>
        <w:t>на (11508).</w:t>
      </w:r>
    </w:p>
    <w:p w14:paraId="2025B9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5730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эсминец Огневой был переведен в Батуми к достроенной базе эвакуиро</w:t>
      </w:r>
      <w:r w:rsidRPr="00271E51">
        <w:rPr>
          <w:rFonts w:ascii="Times New Roman" w:hAnsi="Times New Roman"/>
          <w:color w:val="000000" w:themeColor="text1"/>
          <w:sz w:val="16"/>
          <w:szCs w:val="16"/>
        </w:rPr>
        <w:softHyphen/>
        <w:t>ванного туда из Севастополя завода 201. Для достройки потребова</w:t>
      </w:r>
      <w:r w:rsidRPr="00271E51">
        <w:rPr>
          <w:rFonts w:ascii="Times New Roman" w:hAnsi="Times New Roman"/>
          <w:color w:val="000000" w:themeColor="text1"/>
          <w:sz w:val="16"/>
          <w:szCs w:val="16"/>
        </w:rPr>
        <w:softHyphen/>
        <w:t>лось собирать в разных городах отдельные части вооружения и ме</w:t>
      </w:r>
      <w:r w:rsidRPr="00271E51">
        <w:rPr>
          <w:rFonts w:ascii="Times New Roman" w:hAnsi="Times New Roman"/>
          <w:color w:val="000000" w:themeColor="text1"/>
          <w:sz w:val="16"/>
          <w:szCs w:val="16"/>
        </w:rPr>
        <w:softHyphen/>
        <w:t>ханизмов, вывезенные ранее из Николаева и Ленинграда. Работы заняли около полутора лет, "Огневой" вступил в строй 22 марта 1945 г., став единственным новым эсминцем, достроенным во вре</w:t>
      </w:r>
      <w:r w:rsidRPr="00271E51">
        <w:rPr>
          <w:rFonts w:ascii="Times New Roman" w:hAnsi="Times New Roman"/>
          <w:color w:val="000000" w:themeColor="text1"/>
          <w:sz w:val="16"/>
          <w:szCs w:val="16"/>
        </w:rPr>
        <w:softHyphen/>
        <w:t>мя войны (3898).</w:t>
      </w:r>
    </w:p>
    <w:p w14:paraId="45EB2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5D3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после выхода постановления ЦК ВКПб и СНК СССР от 21 августа "О не-отложньк мерах по восстановлению хозяйства в районах, освобож</w:t>
      </w:r>
      <w:r w:rsidRPr="00271E51">
        <w:rPr>
          <w:rFonts w:ascii="Times New Roman" w:hAnsi="Times New Roman"/>
          <w:color w:val="000000" w:themeColor="text1"/>
          <w:sz w:val="16"/>
          <w:szCs w:val="16"/>
        </w:rPr>
        <w:softHyphen/>
        <w:t>денных от немецкой оккупации". Для восстановления объектов речного транспорта, включая верфи и судоремонтные мастерские (на оккупированной территории и в прифронтовой полосе было разрушено 89 предприятий Наркомата речного флота этого профиля, или около 45% всех предприятий Наркомата накануне войны), в системе этого ведомства бьши созданы специальные во</w:t>
      </w:r>
      <w:r w:rsidRPr="00271E51">
        <w:rPr>
          <w:rFonts w:ascii="Times New Roman" w:hAnsi="Times New Roman"/>
          <w:color w:val="000000" w:themeColor="text1"/>
          <w:sz w:val="16"/>
          <w:szCs w:val="16"/>
        </w:rPr>
        <w:softHyphen/>
        <w:t>енно-восстановительные отряды (3898).</w:t>
      </w:r>
    </w:p>
    <w:p w14:paraId="6556B1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435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 г. на стапелях верфи на правом берегу Боль</w:t>
      </w:r>
      <w:r w:rsidRPr="00271E51">
        <w:rPr>
          <w:rFonts w:ascii="Times New Roman" w:hAnsi="Times New Roman"/>
          <w:color w:val="000000" w:themeColor="text1"/>
          <w:sz w:val="16"/>
          <w:szCs w:val="16"/>
        </w:rPr>
        <w:softHyphen/>
        <w:t>шой Невки (Выборгский район) уже были собраны три тральщика-"стотонника", спуск которьхх на воду был осуществлен с помощью плавучего крана. Временная верфь просуществовала до 1944 г., когда началось ее постепенное перебазирование на основную пло</w:t>
      </w:r>
      <w:r w:rsidRPr="00271E51">
        <w:rPr>
          <w:rFonts w:ascii="Times New Roman" w:hAnsi="Times New Roman"/>
          <w:color w:val="000000" w:themeColor="text1"/>
          <w:sz w:val="16"/>
          <w:szCs w:val="16"/>
        </w:rPr>
        <w:softHyphen/>
        <w:t>щадку (3898).</w:t>
      </w:r>
    </w:p>
    <w:p w14:paraId="52E7F3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667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швартовные испытания сторожевика Ястреб были прерваны и возобно</w:t>
      </w:r>
      <w:r w:rsidRPr="00271E51">
        <w:rPr>
          <w:rFonts w:ascii="Times New Roman" w:hAnsi="Times New Roman"/>
          <w:color w:val="000000" w:themeColor="text1"/>
          <w:sz w:val="16"/>
          <w:szCs w:val="16"/>
        </w:rPr>
        <w:softHyphen/>
        <w:t>вились в следующем году, параллельно вновь пришлось переделы</w:t>
      </w:r>
      <w:r w:rsidRPr="00271E51">
        <w:rPr>
          <w:rFonts w:ascii="Times New Roman" w:hAnsi="Times New Roman"/>
          <w:color w:val="000000" w:themeColor="text1"/>
          <w:sz w:val="16"/>
          <w:szCs w:val="16"/>
        </w:rPr>
        <w:softHyphen/>
        <w:t>вать основания теперь уже под штатные артустновки (3898).</w:t>
      </w:r>
    </w:p>
    <w:p w14:paraId="1E9F08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F47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Гидродинамическая лаборатория для работ по судам на подводных крыльях, которая в 04.1943 г. по инициативе Алексеева была переведена в ОГК завода была, преобразована в НИГЛ (Научно-исследовательская опытная гидродинамическая лаборатория (НИГЛ) завода № 112, филиал ЦКБ-19 МСП, ЦКБ по судам на подводных крыльях (ЦКБ по СПК) завода «Красное Сормово», ЦКБ по СПК им. Р.Е. Алексеева МСП, НПО, ОАО «ЦКБ по СПК им. Р.Е. Алексеева» ФАП /603003  г. Горький,  г. Нижний Новгород ул. Свободы, 51 тел. 73-10-37, -19-09/). Лаборатория размещена в небольшом деревянном строении на понтонах в затоне. Постройка А-4 включена в план опытного строительства НКСП с окончанием во 2-м квартале 1944 г.</w:t>
      </w:r>
    </w:p>
    <w:p w14:paraId="232E0A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лаборатории выдано задание по оснащению подводными крыльями серийных торпедных катеров пр. 123бис, переоборудованы опытные катера А-7, А-10, А-11. 17.04.1951 г. вышло ПСМ № 1235-621 об оснащении торпедного катера пр. 123К подводным крылом по пр. А-10бис.</w:t>
      </w:r>
    </w:p>
    <w:p w14:paraId="384ACC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1949 г. разработан проект первого пассажирского СПК, построена его модель А-8.</w:t>
      </w:r>
    </w:p>
    <w:p w14:paraId="288A9F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08.1952 г. вышел приказ МТМ об организации НИГЛ в составе завода «Красное Сормово». По пр. МСП от 14.12.1954 г. НИГЛ передана в качестве филиала в состав ЦКБ-19 МСП. Распоряжением Горьковского СНХ от 24.12.1957 г. филиал преобразован в ЦКБ по СПК завода «Красное Сормово», в его состав вошли КБ, опытное производство, НИЛ и экспериментальная база. По пр. МСП от 14.04.1962 г. ЦКБ выделено (с 30.03.1965 г.) в самостоятельную организацию в непосредственном подчинении МСП. В 1964 г. ЦКБ - в ведении Волго-Вятского СНХ (ВВСНХ). По пр. МСП № 75/К от 14.02.1968 г. в составе ЦКБ по СПК с 4.03.1968 г. выделено два КБ: «А» - по судам на подводных крыльях; «Б» - по экранопланам; опытное производство преобразовано в самостоятельный завод «Волга». Р.Е. Алексеев снят с должности начальника-гл. конструктора ЦКБ, назначен гл. конструктором КБ «Б». ИС-1 вошла в состав КБ «А». В КБ «Б» перешли отделы: по разработке аэрогидродинамической компоновки, стартовых устройств, аэродинамики; ИС-2 и Каспийская база. Общепроектный, механический и корпусной отделы разделены между двумя КБ. Отделы прочности, стандартизации, патентов, снабжения и др. остались общими для двух КБ. Само ЦКБ по СПК вновь включено в состав завода «Красное Сормово».</w:t>
      </w:r>
    </w:p>
    <w:p w14:paraId="69083D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1955-62 г. создан ряд пассажирских СПК. По решению МРФ РСФСР 9.09.1958 г. СПК пр. 340 «Ракета» запущено в серийное производство.</w:t>
      </w:r>
    </w:p>
    <w:p w14:paraId="7C39FE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1950-х  г. начаты работы по созданию боевых экранопланов. С 1961 г. строились самоходные пилотируемые модели экранопланов СМ-1, СМ-2,.. СМ-6.</w:t>
      </w:r>
    </w:p>
    <w:p w14:paraId="57E875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основной работы Р.Е. Алексеевым в 1936-53 г. спроектировано и построено 18 спортивных яхт (Р-4 «Щука», «Мир», Р-30 «Ласточка»),</w:t>
      </w:r>
    </w:p>
    <w:p w14:paraId="0C007F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НИГЛ - экспериментальный цех, в котором размещался первый в стране скоростной опытный бассейн для испытания моделей, стапели. В 1956 г. заводом № 112 лаборатории передан цех для организации опытного производства (далее - завод «Волга»).</w:t>
      </w:r>
    </w:p>
    <w:p w14:paraId="0A275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Имелась испытательная станция (1953 г.) на левом берегу Волги в 8 км от завода «Красное Сормово» в бухте Золотой залив. В 1953 г. организована новая испытательная станция (ИС-1) вблизи  г. Балахна на берегу незамерзающего Теплого озера. На этой станции имелся двухэтажный корпус со слесарным, механическим и сварочным участками, конструкторскими помещениями; склады с деревообделочным участком. В 1980-86 г. здесь построен экраноплан «Волга-2». Для этого был построен ангар для сборки и испытаний, участок изготовления пневмооболочек, здание стенда силовых установок, оборудован пологий спуск в воду.</w:t>
      </w:r>
    </w:p>
    <w:p w14:paraId="21BFCE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 г. на Горьковском водохранилище (в месте впадения р. Троца) у  г. Чкаловска на площадке 2,5х 1 км начато строительство испытательной базы экранопланов ИС-2, далее это- Чкаловский филиал. Здесь в 1960-е  г. были построены опытовый бассейн, аэродинамическая труба, сборочный цех-эллинг, мастерские, лаборатории (гидродинамическая, аэротрубная, трековая) и стенды, пирс, причал, испытательная полоса длиной 2 км. В 1970-е  г. на ИС-2 создан стенд для доработки авиационных ГТД для экранопланов (были конвертированы НК-12МК, НК-8-4К). В 1976 г. Чкаловский филиал ЦКБ передан в ЦНИИ им. Крылова и перепрофилирован на исследования и испытания СВП. В 1960-е  г. на окраине  г. Каспийска на территории завода «Дагдизель» на берегу Каспийского моря создана новая испытательная база. В 1965 г. на о. Чечень в Каспийском море построена еще одна испытательная база (№ 3) и место стоянки экраноплана КМ. В 1962 г. построен инженерный корпус ЦКБ на берегу Волги. По приказам ВВСНХ от 18.09.1964 г. и по предприятию № 1 от 13.01.1965 г. на базе испытательной группы был организован летно-испытательный отдел (ЛИО). Он входил в состав летно-испытательной службы (ЛИС), в которую также вошли летный отряд (ЛО) и сектор испытаний. Для тренировки летного состава были приобретены самолеты «Супер-Аэро» и Як-12; для изучения авиационных конструкций - три списанных Ил-28.</w:t>
      </w:r>
    </w:p>
    <w:p w14:paraId="5665F3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1960-х-начале 1970-х  г. создан комплекс испытаний самоходных радиоуправляемых моделей (РУМ) на открытой воде, включавший стартовый понтон, скоростной катер сопровождения, наземный ангар, центр по расшифровке результатов; организован сектор РУМ. Для РУМ в ЦКБ был налажен серийный выпуск двигателей внутреннего сгорания МД-15, -30, -32; для управления движением моделей создана аппаратура пропорционального управления.</w:t>
      </w:r>
    </w:p>
    <w:p w14:paraId="204D14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1968 г. создан вычислительный центр. В 1973 г. организован отдел по испытаниям СМ-6 и пр. 904.</w:t>
      </w:r>
    </w:p>
    <w:p w14:paraId="4819A2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24.04.1962 г. вышло ПСМ № 375-174 «О создании высокоскоростных кораблей противолодочной обороны и ракетоносцев пр. 1133 и 903».</w:t>
      </w:r>
    </w:p>
    <w:p w14:paraId="1A7788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357-127 от 30.04.1965 г. и пр. МСП № 0089 от 28.05.1965 г. начата разработка эскизного проекта военно-транспортного экраноплана (ВТЭ) Т-1. 28.12.1965 г. проект был готов. В 06.1966 г. работы прекращены.</w:t>
      </w:r>
    </w:p>
    <w:p w14:paraId="76CBF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26.07.1968 г. вышло постановление СМ СССР № 587-210, а 15.08.1968 г. - пр. МСП № 382 о проведении доработок КМ, о перспективных работах по созданию больших экранопланов.</w:t>
      </w:r>
    </w:p>
    <w:p w14:paraId="09D1DE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1972 г. в ЦКБ введены должности гл. конструкторов проектов.</w:t>
      </w:r>
    </w:p>
    <w:p w14:paraId="53621A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~1975 г. Алексеев из-за аварии «Орленка» был снят с должности гл. конструктора и назначен начальником отдела (затем- сектора) перспективных разработок численностью 23 чел. Начаты работы по теме «Поиск» по созданию военных экранопланов (транспортно-десантных, противолодочных, ракетных). По 1978 г. отдел принимал участие в НИР «Взлет» (совместно с ЦНИИ им. Крылова) по перспективам развития скоростного судостроения. В 1979 г. отдел реорганизован в комплексный (со штатом около 150 чел.).</w:t>
      </w:r>
    </w:p>
    <w:p w14:paraId="759679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  г. по заданию ВМФ разработан проект малого сторожевого корабля на подводных крыльях пр. 133 «Антарес».</w:t>
      </w:r>
    </w:p>
    <w:p w14:paraId="28B917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Планировалось строительство 120 экранопланов «Орленок», но после смерти в 1985 г. Д.Ф. Устинова программа была закрыта.</w:t>
      </w:r>
    </w:p>
    <w:p w14:paraId="5FD02B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1990 г.- работы по судам на воздушной каверне.</w:t>
      </w:r>
    </w:p>
    <w:p w14:paraId="502CA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Выполнена НИР «Секунда».</w:t>
      </w:r>
    </w:p>
    <w:p w14:paraId="5C6E26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(2007 г.): создание семейства морских многоцелевых катеров «Кобра» водоизмещением от 2,4 до 49 т и скоростью 60-100 узлов.</w:t>
      </w:r>
    </w:p>
    <w:p w14:paraId="08BC68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2000 г. на базе ЦКБ по СПК создано совместное российско-китайское предприятие.</w:t>
      </w:r>
    </w:p>
    <w:p w14:paraId="3F11B2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18.12.1986 г. ЦКБ присвоено имя Р.Е. Алексеева. По решению правительства № 22-р от 9.01.2004 г. вошло в перечень стратегических предприятий. Входило в ФПГ «Скоростной флот» (2007 г.).</w:t>
      </w:r>
    </w:p>
    <w:p w14:paraId="24FB81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(-1955-68 Г.)- Р.Е. Алексеев, (1968-70-е)- В.В. Иконников, (1980-е)- В.Б. Чубиков, (2002 г.)- М.А. Суслов.</w:t>
      </w:r>
    </w:p>
    <w:p w14:paraId="5F9186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КБ «А» (14.02.1968 г.-&gt; И.И. Ерлыкин; КБ «Б» (14.02.1968-26.09.75 г.)- Р.Е. Алексеев (пр. 904, СМ-6) {18.12.1916-9.02.1980}.</w:t>
      </w:r>
    </w:p>
    <w:p w14:paraId="6CE901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(1956-60 г.-)- Н.А. Зайцев; по производству (1959 г.)-  Г.В. Сушин.</w:t>
      </w:r>
    </w:p>
    <w:p w14:paraId="41D943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КБ «Б» (1968 г.-)- И.М. Шапкин.</w:t>
      </w:r>
    </w:p>
    <w:p w14:paraId="46FAD8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(1.01.1943-65 г.)- Р.Е. Алексеев. Ответственный руководитель (1.01.1965-68 г.)- Р.Е. Алексеев. Начальник (1968-80 г.-)- В.В. Иконников. Гендиректор (1992 г.)- Б.В. Чубиков, (2002 г.)- И.М. Василевский, (2006 г.)- С. Платонов.</w:t>
      </w:r>
    </w:p>
    <w:p w14:paraId="204AAE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по испытаниям (1960-е)- С.В. Моисеев; (1956-60 г.)- Н.А. Зайцев.</w:t>
      </w:r>
    </w:p>
    <w:p w14:paraId="6C1C86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КБ «А» (14.02.1968 г.-)- Б.В. Садовский; КБ «Б» (14.02.1968 г.-)- И.М. Шапкин.</w:t>
      </w:r>
    </w:p>
    <w:p w14:paraId="1D5D0F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(1960-67 г.)- Н.А. Зайцев, В.А. Марков.</w:t>
      </w:r>
    </w:p>
    <w:p w14:paraId="163826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(2002 г.)- М.А. Суслов.</w:t>
      </w:r>
    </w:p>
    <w:p w14:paraId="031A7F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ЛИС (1960-е)- С.В. Моисеев. Начальники испытательных баз (филиалов): ИС-1 - К.И. Диков, Н.С. Панов, А.И. Хохлов, В.И. Лисицын, Е.В. Маланов, С.Ю. Гусев; ИС-2 (1950-е)- В.П. Ишаков, Б.Е. Спящев, М.А. Агапыцев, Горьковского филиала ЦНИИ им. Крылова (1970-е)- П.А. Малахов; № 3 (1969 г.)- В.В. Артемов; Каспийской- М.И. Гайдарбеков.</w:t>
      </w:r>
    </w:p>
    <w:p w14:paraId="2AA2B2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корпусного (1966 г.)- К.М. Шалаев; механического, силовых установок (1966 г.)- П.А. Булыгин; по разработке аэрогидродинамической компоновки (1968 г.)- Б.А. Зобнин; стартовых устройств (-1968- 75 г.-)- Э.И. Привалов; корабельных систем (1975 г.)- Ю.И. Минеев; электрооборудования и электронного вооружения- К.К. Марков; оборудования помещений и судовых устройств- К.Е. Рябов; аэродинамики (-1961-68 г.- )- А.И. Маскалик; прочности (1975 г.)- Б.С. Перельман; ЛИО (13.01.1965 г.-)- п В.Ф. Логинов; по испытаниям СМ- 6 и пр. 904 (1973-75 г.-)- Б.А. Зобнин; перспективных разработок (26.09.1975 г.-)- Р.Е. Алексеев; И.М. Василевский, Л.А. Горбачев, М.П. Ярошенко.</w:t>
      </w:r>
    </w:p>
    <w:p w14:paraId="3EAA81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корпусного (1960-е)- В.А. Маслов; № 33- В.А. Дементьев.</w:t>
      </w:r>
    </w:p>
    <w:p w14:paraId="2E4968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(1972 г.-)- Б.Ф. Орлов (пр. 133), (1972-79 г.-)- В.В. Соколов (пр. 904), (30.03.1972-76 г.)- Р.Е. Алексеев (СМ-6, пр. 904), (1985 г.)- В.В. Буланов («Стриж»), (1980-е)- И.И. Ерлыкин (пр. 03520, 12351), (1980-е- 2006 г.-)- В.Н. Кирилловых (пр. 903), (1980-е-90-е)- А.Н. Павленко (пр. 11770, 14230), В.М. Полежаев (СМ-6), И.Е. Малеханов (пр. 10391), И.И. Матвеев («Олимпия»), В.А. Дементьев («Волга-2»), Д.Н. Синицын («Акваглайдер»); по прочности (1961-2005 г.-)- Б.М. Нарицын; по гидродинамике (1959-2005 г.-)- Э.И. Привалов.</w:t>
      </w:r>
    </w:p>
    <w:p w14:paraId="513438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(1979 г.)- С.А. Васильев (пр. 903, 904), В.А. Дементьев, (1980-е)- В.П. Ефремов (пр. 12351), В.Б. Латышенко (пр. 903).</w:t>
      </w:r>
    </w:p>
    <w:p w14:paraId="5B740B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судовой архитектор-дизайнер- О.П. Фролов.</w:t>
      </w:r>
    </w:p>
    <w:p w14:paraId="0DFB76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секторов: испытаний (1960-е)-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Петров. Начальники: средств обеспечения (1966 г.)- В. Г. Голяткин; команды техобслуживания (1966 г.)- Н.Н. Лукьянченко. Начальник ВЦ- Д.И. Волов.</w:t>
      </w:r>
    </w:p>
    <w:p w14:paraId="03044E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В.П. Ефремов (КМ), (1969 г.)- В.М. Полежаев (СМ-6), (1965 г.)- В.В. Соколов (Т-1), (- 1969-80-е)- О.А. Черемухин, (1962 г.)- В.И. Шадрин.</w:t>
      </w:r>
    </w:p>
    <w:p w14:paraId="5747FA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катера на подводных крыльях: А-4 (1943-44), А-5 (1945), торпедные А-7 (123бис, 1947), А-10 и А-11 (М-123бис, 1950), А-10бис (123К, 1952), К-123К (1953), А-1-д (пр. 183, 1953), А-1-20 (пр. 183ТК, 1955); А-8 (1949), разъездной «Волга» (1957), прогулочные: морской «Невка» (1967), «Дельфин» (1979); малый сторожевой пр. 133 «Антарес» (1978); СПК: речные пр. 340 «Ракета» (1956), пр. 342 «Метеор» (1958), сварной пр. 343 «Спутник» (1961), «Чайка» (1962), газотурбоход пр. 1708 «Буревестник» (1963), пр. 1709 «Беларусь» (1963); морские пр. 342МТ «Комета» (1961), «Стрела» (1961), пр. 330 «Вихрь» (1962), «Тайфун» (1969), «Альбатрос (1985), пр. 12351 «Циклон» (1985), «Ласточка» (1986), «Олимпия» (1993); «Восход», пр. 03520 «Восход-2» (1974), «Полесье» (1980), пр. 10391 «Колхида» (1981), «Зенит» (проект); суда на воздушной каверне: десантный катер пр. 11770 «Серна» (1990-е), «Линда», «Меркурий», патрульный пр. 14230 «Согжой» (1990-е), таможенное судно пр. 14232 «Меркурий», десантное типа «Дюгонь» (2000-е); патрульный катер пр. 21850 «Чибис»;</w:t>
      </w:r>
    </w:p>
    <w:p w14:paraId="7F5686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экранотаны: СМ-1 (самоходная модель, 1960-61), СМ-2 (1962), СМ-2П7 (1964), СМ-3 (1962), СМ-4 (1963), СМ-5 (1963), СМ-8 (1967), КМ («Корабль-макет», «Каспийский монстр», 1962-66), военно-транспортный Т-1 (проект, 1965), СМ-6 (1969), пр. 903 «Лунь» с ПКР «Москит» (1961-81), десантный пр. 904 «Орленок» (1972, пнв в 11.1979 г.), УТ-1 (1968), СМ-9 (1977), СМ-10 (1979), СМ-11 (1979), учебно-тренировочный «Стриж» (1985-90), «Волга-2» (1979-80), пр. 09037 «Спасатель» (1987), «Акваглайдер», «Коршун» (проект), «Ястреб» (проект), «Чиж» (проект), пассажирский «Чайка» (проект), «Ракета-2» (проект), «Метеор-2» (проект), «Комета-2» (проект), «Вихрь-2» (проект).</w:t>
      </w:r>
      <w:r w:rsidRPr="00271E51">
        <w:rPr>
          <w:rFonts w:ascii="Times New Roman" w:hAnsi="Times New Roman"/>
          <w:color w:val="000000" w:themeColor="text1"/>
          <w:sz w:val="16"/>
          <w:szCs w:val="16"/>
          <w:vertAlign w:val="superscript"/>
        </w:rPr>
        <w:t>141</w:t>
      </w:r>
    </w:p>
    <w:p w14:paraId="357A11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завод «Волга», Судостроительный завод «Волга», ОАО «Судостроительный завод «Волга»</w:t>
      </w:r>
    </w:p>
    <w:p w14:paraId="26ED67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/603603 (603950)  г. Горький, Нижний Новгород ул. Свободы, 51 тел. 73-08-23/</w:t>
      </w:r>
    </w:p>
    <w:p w14:paraId="7CB61C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Опытное производство ЦКБ по СПК создано в 1956 г. на базе цеха завода № 112. Уникальное производство, созданное на стыке авиационной и судостроительной технологий для отработки постройки и натурных испытаний экранопланов. По пр. МСП № 75/К от 14.02.1968 г. опытное производство ЦКБ по СПК преобразовано в самостоятельный завод, с 21.12.1970 г. - опытный завод «Волга» ЦКБ по СПК.</w:t>
      </w:r>
    </w:p>
    <w:p w14:paraId="7174AD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Входило в ФПГ «Скоростной флот» (2007 г.).</w:t>
      </w:r>
    </w:p>
    <w:p w14:paraId="2443C5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2008 г. планировалась постройка 5 десантных катеров на воздушной каверне типа «Дюгонь».</w:t>
      </w:r>
    </w:p>
    <w:p w14:paraId="570E3C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ОП-  Г.В. Сушин. Директор (1968 г.-)- В.Н. Аверьянов, Н.И. Лепилов, (2006 г.)- В. Сурков.</w:t>
      </w:r>
    </w:p>
    <w:p w14:paraId="582EBF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А.И. Коносов, В. Г. Алексеев.</w:t>
      </w:r>
    </w:p>
    <w:p w14:paraId="147004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Н.И. Лопатин.</w:t>
      </w:r>
    </w:p>
    <w:p w14:paraId="28738C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технолога- В.Н. Аверкин.</w:t>
      </w:r>
    </w:p>
    <w:p w14:paraId="73E5A8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катера: разъездной «Волга» (1958), десантный пр. 11770 «Серна» для ОАЭ (1990-е)- 3; служебно-разъездной пр. 14620 «Дельфин» (2000-е); десантный на воздушной каверне типа «Дюгонь» (2006-); патрульный пр. 21850 «Чибис» (2006); пассажирские теплоходы на подводных крыльях: пр. 340 «Ракета», пр. 342 «Метеор» (12.1958-10.1959), пр. 343 «Спутник» (1961), пр. 330 «Вихрь» (1961), «Комета» (1961), пр. 1708 «Буревестник» (1964), «Катран», «Ласточка» для Китая (2005); экранотаны: КМ (25.04.1963-66)- 1, СМ-6 (- 12.1970), пр. 904 «Орленок» МДЭ-150 (С-21, 1970-79), «Дубль» (экземпляр для статиспытаний), МДЭ-155 (С-25, 1981), МДЭ-160 (С-26, 1983); С-23 (1972); пр. 903Р «Лунь» МД-160 (С-31, 1983-07.1986)- 1; учебно- тренировочный «Стриж» (С-11, 1991), С-12 (экземпляр для статиспытаний); поисково-спасательный пр. 09037 «Спасатель» (С-33, 1986-2005-); таможенное судно «Сокжой» пр. 14232 «Меркурий» (-2005) (11982).</w:t>
      </w:r>
    </w:p>
    <w:p w14:paraId="4C846E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D8D0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A37BA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0A11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когда командование ВВС КА предприняло ряд серьезных шагов, направленных на улучшение подготовки командного состава всех уровней и изжитие всех тех недостатков, которые наблюдались ранее, положение с обучением летчиков-штурмовиков стало улучшаться лишь.</w:t>
      </w:r>
    </w:p>
    <w:p w14:paraId="1855DB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 налет летчиков штурмовой авиации при подготовке в запасных частях был увеличен до 20-26 часов, а удельный вес полетов на отработку боевого применения - до 60-70% общего числа полетов по программе подготовки. Было введено строгое правило, без подготовки к боевому применению в составе групп (пара, звено, эскадрилья) экипажи на фронт не отправлять. Расширялась подготовка командиров звеньев и эскадрилий (12020).</w:t>
      </w:r>
    </w:p>
    <w:p w14:paraId="30D048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E31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осени 1943 г. на ДВ существовала отдельная эскадрилья пикировщиков на ДБ-3. Моряки дольше всего сохраняли ин</w:t>
      </w:r>
      <w:r w:rsidRPr="00271E51">
        <w:rPr>
          <w:rFonts w:ascii="Times New Roman" w:hAnsi="Times New Roman"/>
          <w:color w:val="000000" w:themeColor="text1"/>
          <w:sz w:val="16"/>
          <w:szCs w:val="16"/>
        </w:rPr>
        <w:softHyphen/>
        <w:t>терес к пикирующим ДБ-3. В начале 1942 г. штаб ВВС ВМФ попросил НКАП дополнительно произвести пере</w:t>
      </w:r>
      <w:r w:rsidRPr="00271E51">
        <w:rPr>
          <w:rFonts w:ascii="Times New Roman" w:hAnsi="Times New Roman"/>
          <w:color w:val="000000" w:themeColor="text1"/>
          <w:sz w:val="16"/>
          <w:szCs w:val="16"/>
        </w:rPr>
        <w:softHyphen/>
        <w:t>делку 50 ДБ-3Б в пикировщики для нужд Тихоокеанского флота. Однако Ильюшин отказался гарантировать со</w:t>
      </w:r>
      <w:r w:rsidRPr="00271E51">
        <w:rPr>
          <w:rFonts w:ascii="Times New Roman" w:hAnsi="Times New Roman"/>
          <w:color w:val="000000" w:themeColor="text1"/>
          <w:sz w:val="16"/>
          <w:szCs w:val="16"/>
        </w:rPr>
        <w:softHyphen/>
        <w:t>хранение прочности уже не новых ма</w:t>
      </w:r>
      <w:r w:rsidRPr="00271E51">
        <w:rPr>
          <w:rFonts w:ascii="Times New Roman" w:hAnsi="Times New Roman"/>
          <w:color w:val="000000" w:themeColor="text1"/>
          <w:sz w:val="16"/>
          <w:szCs w:val="16"/>
        </w:rPr>
        <w:softHyphen/>
        <w:t>шин, и заводы от этой работы уклони</w:t>
      </w:r>
      <w:r w:rsidRPr="00271E51">
        <w:rPr>
          <w:rFonts w:ascii="Times New Roman" w:hAnsi="Times New Roman"/>
          <w:color w:val="000000" w:themeColor="text1"/>
          <w:sz w:val="16"/>
          <w:szCs w:val="16"/>
        </w:rPr>
        <w:softHyphen/>
        <w:t>лись (10734,49).</w:t>
      </w:r>
    </w:p>
    <w:p w14:paraId="214C81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0529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 небольшими партиями (по 2-5 самолетов) Пе-2 с М-82 стали направлять в строевые части для проведения войсковых испытаний. Часть машин попала в 8-ю запасную авиабригаду, которая затем передала их маршевым бомбардировочным полкам. Но основными "потребителями" Пе-2 с М-82 стали отдельные разведывательные авиаполки. Они, как полагало командование ВВС, могли наилучшим образом использовать скорость и потолок новой модификации "пешки". Так, девять из десяти сданных в 1944 г. самолетов этого типа попали в разведывательную авиацию: две машины в 48-й гв. апдр (авиаполк дальних разведчиков), одна в 47-й гв. апдр, четыре машины в 39-й орап и еше две в 11-й орап.</w:t>
      </w:r>
    </w:p>
    <w:p w14:paraId="541D2C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сказать, что на фронте невысоко оценили эти самолеты. Надежность новых мотоустановок, так и не достигшая уровня машин с М-105, не позволяла в полной мере использовать их преимущества. Поступали жалобы на неустойчивую работу двигателей, нередко они останавливались от переохлаждения на больших высотах, особенно зимой. Внедрение новых моторов принесло больше хлопот, чем пользы. Модификации Пе-2 с моторами М-105ПФ и М-82 довольно существенно отличались друг от друга узлами и агрегатами мотогондол, что создавало немало трудностей при обслуживании и ремонте.</w:t>
      </w:r>
    </w:p>
    <w:p w14:paraId="7E4372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Стремясь "малой кровью" выполнить постановление ГКО, завод не стал увеличивать запас топлива на самолете. В связи с его большим расходом мощными моторами М-82 дальность полета машины заметно уменьшилась, что особенно болезненно восприняли разведчики. Так, в мае 1944 г. командир 48-го гв. апдр гвардии подполковник Лозенко обратился к начальнику разве- дуправления штаба ВВС Красной Армии генералу Грендалю с письмом следующего содержания:</w:t>
      </w:r>
    </w:p>
    <w:p w14:paraId="7C7FBE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"Полученные в 48-м гв. апдр ГК КА самолеты Пе-2 с моторами М-82 (воздушного охлаждения) для ведения разведки на них в практической работе дали худшие результаты, нежели самолеты Пе-2 с моторами М-105ПФ, по причинам:</w:t>
      </w:r>
    </w:p>
    <w:p w14:paraId="4BA8F2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Набор высоты надо производить с площадками для охлаждения моторов, т.к. моторы перегреваются.</w:t>
      </w:r>
    </w:p>
    <w:p w14:paraId="2B7A2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Расход бензина большой, что значительно сокращает радиус действия самолета Пе-2.</w:t>
      </w:r>
    </w:p>
    <w:p w14:paraId="08F6F7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посему прошу Вашего ходатайства об изъятии двух самолетов Пе-2 с моторами М-82, принятых в 48-й гв. апдр ГК КА, но находящихся на казанском аэродроме, и выдаче взамен их самолетов Пе-2 с моторами М-105ПФ, оборудованных системой для подвесных баков" (12042).</w:t>
      </w:r>
    </w:p>
    <w:p w14:paraId="058C90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48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по АЛСИБу из США прибыли несколько самолетов тина В-25G. Это были тяжелые штурмовики, в носовой части которых стояла 75-мм пушка. Поскольку все "Митчеллы" тогда концентрировались в АДД, то и эти машины передали туда же. Два первых B-25G попали в 15-й гвардейский полк. Первым на самолете этого тина поднялся в воздух подполковник В.А.Гордиловский. Войсковые испытания проводил экипаж А.В.Дудакова. Он сделал три дневных вылета на полигон, а затем провел ночные стрельбы (цель обозначалась кострами). Оказалось, что в темноте пушечный выстрел ослепляет летчика. Один из двух самолетов (с тем же экипажем Дудакова) применялся на фронте (3457,95).</w:t>
      </w:r>
    </w:p>
    <w:p w14:paraId="044E4C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F7E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штаб ДА проанализировав причины потерь дал указание и рекомендации. При неоднократном действии по цели маршруты, высоты и заходы менялись в каждом полете, стали применять звездные налеты (при использовании разных высот) и сократили время удара. САБы стали сбрасывать ниже полета бомбардировщиков и т.п., светонаведение наземными средствами стали использовать более аккуратно (556,157).</w:t>
      </w:r>
    </w:p>
    <w:p w14:paraId="7B0315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5E0A1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 1-й оапп под ко</w:t>
      </w:r>
      <w:r w:rsidRPr="00271E51">
        <w:rPr>
          <w:rFonts w:ascii="Times New Roman" w:hAnsi="Times New Roman"/>
          <w:color w:val="000000" w:themeColor="text1"/>
          <w:sz w:val="16"/>
          <w:szCs w:val="16"/>
        </w:rPr>
        <w:softHyphen/>
        <w:t>мандованием А.Д. Кузнецова снова пе</w:t>
      </w:r>
      <w:r w:rsidRPr="00271E51">
        <w:rPr>
          <w:rFonts w:ascii="Times New Roman" w:hAnsi="Times New Roman"/>
          <w:color w:val="000000" w:themeColor="text1"/>
          <w:sz w:val="16"/>
          <w:szCs w:val="16"/>
        </w:rPr>
        <w:softHyphen/>
        <w:t>ребазировали в Старую Торопу. Оттуда 15 буксировщиков СБ и 35 планеров А-7 и Г-11 забрасывали разведыватель</w:t>
      </w:r>
      <w:r w:rsidRPr="00271E51">
        <w:rPr>
          <w:rFonts w:ascii="Times New Roman" w:hAnsi="Times New Roman"/>
          <w:color w:val="000000" w:themeColor="text1"/>
          <w:sz w:val="16"/>
          <w:szCs w:val="16"/>
        </w:rPr>
        <w:softHyphen/>
        <w:t>но-диверсионные группы в тылы 16-й немецкой армии (12266).</w:t>
      </w:r>
    </w:p>
    <w:p w14:paraId="72B65F7C"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97A02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осени 1943-го на восточном фронте воевало шесть эскадрилий Hsl29B. Благодаря поставкам с завода общая численность штурмовиков Hsl29B в противотанковых эскадрильях постоянно держалась на уровне 50-60 машин (9084).</w:t>
      </w:r>
    </w:p>
    <w:p w14:paraId="38B6E6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764E6" w14:textId="77777777" w:rsidR="003D5303" w:rsidRPr="00271E51" w:rsidRDefault="003D53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С осени 1943 г. на противотанковые «Харрикейны» </w:t>
      </w:r>
      <w:r w:rsidRPr="00271E51">
        <w:rPr>
          <w:color w:val="000000" w:themeColor="text1"/>
          <w:sz w:val="16"/>
          <w:szCs w:val="16"/>
          <w:lang w:val="en-US"/>
        </w:rPr>
        <w:t>IID</w:t>
      </w:r>
      <w:r w:rsidRPr="00271E51">
        <w:rPr>
          <w:color w:val="000000" w:themeColor="text1"/>
          <w:sz w:val="16"/>
          <w:szCs w:val="16"/>
        </w:rPr>
        <w:t xml:space="preserve"> и </w:t>
      </w:r>
      <w:r w:rsidRPr="00271E51">
        <w:rPr>
          <w:color w:val="000000" w:themeColor="text1"/>
          <w:sz w:val="16"/>
          <w:szCs w:val="16"/>
          <w:lang w:val="en-US"/>
        </w:rPr>
        <w:t>IV</w:t>
      </w:r>
      <w:r w:rsidRPr="00271E51">
        <w:rPr>
          <w:color w:val="000000" w:themeColor="text1"/>
          <w:sz w:val="16"/>
          <w:szCs w:val="16"/>
        </w:rPr>
        <w:t xml:space="preserve"> начали переучиваться 441-й иап ПВО страны и 246-й иап фронтовой авиации ВВС КА.</w:t>
      </w:r>
    </w:p>
    <w:p w14:paraId="0B76BD39" w14:textId="77777777" w:rsidR="003D5303" w:rsidRPr="00271E51" w:rsidRDefault="003D53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Почти одновременно с освоением противотан</w:t>
      </w:r>
      <w:r w:rsidRPr="00271E51">
        <w:rPr>
          <w:color w:val="000000" w:themeColor="text1"/>
          <w:sz w:val="16"/>
          <w:szCs w:val="16"/>
        </w:rPr>
        <w:softHyphen/>
        <w:t>ковых «англичан» в частях ВВС КА 2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 xml:space="preserve"> зав. № КХ-171 и № КХ-305 поступили в НИИ ВВС и затем в НИИ АВ ВВС, где провели все</w:t>
      </w:r>
      <w:r w:rsidRPr="00271E51">
        <w:rPr>
          <w:color w:val="000000" w:themeColor="text1"/>
          <w:sz w:val="16"/>
          <w:szCs w:val="16"/>
        </w:rPr>
        <w:softHyphen/>
        <w:t>сторонние исследования их летно-боевых качеств и вооружения (17500).</w:t>
      </w:r>
    </w:p>
    <w:p w14:paraId="6545FC3C" w14:textId="77777777" w:rsidR="003D5303" w:rsidRPr="00271E51" w:rsidRDefault="003D5303" w:rsidP="00271E51">
      <w:pPr>
        <w:spacing w:after="0" w:line="240" w:lineRule="auto"/>
        <w:jc w:val="both"/>
        <w:rPr>
          <w:rFonts w:ascii="Times New Roman" w:eastAsia="Times New Roman" w:hAnsi="Times New Roman"/>
          <w:color w:val="000000" w:themeColor="text1"/>
          <w:sz w:val="16"/>
          <w:szCs w:val="16"/>
          <w:lang w:eastAsia="ru-RU"/>
        </w:rPr>
      </w:pPr>
    </w:p>
    <w:p w14:paraId="48EA8368" w14:textId="77777777" w:rsidR="003D5303" w:rsidRPr="00271E51" w:rsidRDefault="003D53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Осенью 1943 года были зафиксированы первые случаи использования Пантер в КА, но были они единичными. Например, одна «Пантера» имелась в составе 59-го танкового полка, правда, недолго. И это при том, что новых немецких средних танков Красная армия захватила довольно много. Объясняется эта ситуация низкой надёжностью немецких машин, особенно Panther Ausf.D.</w:t>
      </w:r>
    </w:p>
    <w:p w14:paraId="67BFFF0D" w14:textId="77777777" w:rsidR="003D5303" w:rsidRPr="00271E51" w:rsidRDefault="003D53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Ситуация несколько улучшилась с появлением трофейных Panther Ausf.A, но до самого конца войны мнение о надёжности трофейных немецких «Пантер» у советских танкистов оставалось невысоким. В начале 1944 года Красная армия провела ряд успешных наступательных операций, благодаря чему было захвачено значительное количество трофеев. В их числе оказались и Pz.Kpfw.Panther Ausf.A. Некоторые машины ремонтировались на месте, но основная часть отправилась на бронетанковый ремонтный завод в Казань. Оттуда поступали жалобы на нехватку оптических приборов, необходимых для комплектования танков. В августе 1944 года была подготовлена краткая инструкция по использованию трофейного танка. Она во многом базировалась на отчёте об испытаниях «Пантеры» на НИБТ Полигоне (17729).</w:t>
      </w:r>
    </w:p>
    <w:p w14:paraId="4BA8807F" w14:textId="77777777" w:rsidR="003D5303" w:rsidRPr="00271E51" w:rsidRDefault="003D5303" w:rsidP="00271E51">
      <w:pPr>
        <w:spacing w:after="0" w:line="240" w:lineRule="auto"/>
        <w:jc w:val="both"/>
        <w:rPr>
          <w:rFonts w:ascii="Times New Roman" w:eastAsia="Times New Roman" w:hAnsi="Times New Roman"/>
          <w:color w:val="000000" w:themeColor="text1"/>
          <w:sz w:val="16"/>
          <w:szCs w:val="16"/>
          <w:lang w:eastAsia="ru-RU"/>
        </w:rPr>
      </w:pPr>
    </w:p>
    <w:p w14:paraId="1A565BC2" w14:textId="77777777" w:rsidR="00771B3B" w:rsidRPr="00271E51" w:rsidRDefault="00771B3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E0AF039" w14:textId="77777777" w:rsidR="00771B3B" w:rsidRPr="00271E51" w:rsidRDefault="00771B3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AEB73E" w14:textId="77777777" w:rsidR="00771B3B" w:rsidRPr="00271E51" w:rsidRDefault="00771B3B"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С осени 1943 г. вплоть до голодного 1946 г. цены на продукты помалу проседали вниз. Люди приспосабливались. Почти у всех имелись участки земли под картофелем и овощами. Все городские окрестности были засажены, отгорожены, неусыпно охранялись. Стали отовариваться все карточки. Урожаи зерновых также оказались более благоприятными, однако даже  в победную весну цены на все продукты были в два раза дороже, чем в мае 1941 г.</w:t>
      </w:r>
    </w:p>
    <w:p w14:paraId="3DB874C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Продовольственные цены в 1941-1945 гг. по городам Челябинской области.</w:t>
      </w:r>
    </w:p>
    <w:tbl>
      <w:tblPr>
        <w:tblW w:w="8569" w:type="dxa"/>
        <w:tblBorders>
          <w:top w:val="single" w:sz="4" w:space="0" w:color="DDDDDD"/>
          <w:left w:val="single" w:sz="4" w:space="0" w:color="DDDDDD"/>
          <w:bottom w:val="single" w:sz="4" w:space="0" w:color="DDDDDD"/>
          <w:right w:val="single" w:sz="4" w:space="0" w:color="DDDDDD"/>
        </w:tblBorders>
        <w:shd w:val="clear" w:color="auto" w:fill="FFFFFF"/>
        <w:tblCellMar>
          <w:left w:w="0" w:type="dxa"/>
          <w:right w:w="0" w:type="dxa"/>
        </w:tblCellMar>
        <w:tblLook w:val="04A0" w:firstRow="1" w:lastRow="0" w:firstColumn="1" w:lastColumn="0" w:noHBand="0" w:noVBand="1"/>
      </w:tblPr>
      <w:tblGrid>
        <w:gridCol w:w="1478"/>
        <w:gridCol w:w="1378"/>
        <w:gridCol w:w="1421"/>
        <w:gridCol w:w="1378"/>
        <w:gridCol w:w="1417"/>
        <w:gridCol w:w="1497"/>
      </w:tblGrid>
      <w:tr w:rsidR="00A907A5" w:rsidRPr="00271E51" w14:paraId="6BFB46B6"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865CDE9"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499640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1941 июнь</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B9E0D3F"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1942 февраль</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96EFB08"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1943 июнь</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1A1573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1943 декабрь</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59CD09A"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1945 ноябрь (Челябинск)</w:t>
            </w:r>
          </w:p>
        </w:tc>
      </w:tr>
      <w:tr w:rsidR="00A907A5" w:rsidRPr="00271E51" w14:paraId="33DFEEBA"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1D498C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Мука пшеничная,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3F4AF2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CEF535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37,5-50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45DF0A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200-350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E4FBCC"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160-220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59C9A8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23 руб.</w:t>
            </w:r>
          </w:p>
        </w:tc>
      </w:tr>
      <w:tr w:rsidR="00A907A5" w:rsidRPr="00271E51" w14:paraId="6192DC76"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0D62153"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Говядина,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1C93922"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18-23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FA187DF"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Нет данных</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E64A88"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200-300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7C6190D"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200-230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5BBD2C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40 руб.</w:t>
            </w:r>
          </w:p>
        </w:tc>
      </w:tr>
      <w:tr w:rsidR="00A907A5" w:rsidRPr="00271E51" w14:paraId="3B1849D1"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A207A79"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Молоко, л</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B076B78"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2-4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6B2A991"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25-35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F200AC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50-90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B4930E2"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50-85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1E50C5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 руб.</w:t>
            </w:r>
          </w:p>
        </w:tc>
      </w:tr>
      <w:tr w:rsidR="00A907A5" w:rsidRPr="00271E51" w14:paraId="351AE564"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DD49E55"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Картофель,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0CB00B0"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1,25-2,5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6E649AA"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9-15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BA4BD8D"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60-80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A0885F1"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25-45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4073F79"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 руб.</w:t>
            </w:r>
          </w:p>
        </w:tc>
      </w:tr>
      <w:tr w:rsidR="00A907A5" w:rsidRPr="00271E51" w14:paraId="5F4E991D"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3DEFE66"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Яйца, дес.</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CD27D6C"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5-11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22876E"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60-85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1B24FB7"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130-200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0A907A1"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170-250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F9697E9"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55 руб.</w:t>
            </w:r>
          </w:p>
        </w:tc>
      </w:tr>
      <w:tr w:rsidR="00A907A5" w:rsidRPr="00271E51" w14:paraId="5AD7188C"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554D4B6"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Масло топлёное,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2712888"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30-55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A2C97C9"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300-450</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BC7E492"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600-800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E988AC2"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600-800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D100686" w14:textId="77777777" w:rsidR="00771B3B" w:rsidRPr="00271E51" w:rsidRDefault="00771B3B"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 руб.</w:t>
            </w:r>
          </w:p>
        </w:tc>
      </w:tr>
    </w:tbl>
    <w:p w14:paraId="08D592D9"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(19649).</w:t>
      </w:r>
    </w:p>
    <w:p w14:paraId="046F3619"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397B177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23F83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81544" w14:textId="77777777" w:rsidR="003608FA" w:rsidRPr="00271E51" w:rsidRDefault="003608FA"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Осенью 1943 года пошел в серию новый «Галифакс» V Srs.I, который отличался от модификации Mk.II Srs.I лишь уменьшенным весом (для этого пришлось даже поставить носовую часть типа Z без пулемета) и моторами «Мерлин» 22 (по 1480 л.с. на взлете) с четырехлопастными винтами и эжекторами на выхлопных коллекторах, на заводах компаний «Фейри» и «Роутс Секьюрити», которые вскоре начали выпуск «галифаксов» V серии Ia по типу старых Mk.II Srs.Iа, но с «геркулесами». Всего до января 1944 года ими было построено 904 самолета Mk.V (22866).</w:t>
      </w:r>
    </w:p>
    <w:p w14:paraId="4184C7B7" w14:textId="77777777" w:rsidR="003608FA" w:rsidRPr="00271E51" w:rsidRDefault="003608FA" w:rsidP="00271E51">
      <w:pPr>
        <w:pStyle w:val="article-renderblock"/>
        <w:shd w:val="clear" w:color="auto" w:fill="FFFFFF"/>
        <w:spacing w:before="0" w:beforeAutospacing="0" w:after="0" w:afterAutospacing="0"/>
        <w:jc w:val="both"/>
        <w:rPr>
          <w:color w:val="0070C0"/>
          <w:sz w:val="16"/>
          <w:szCs w:val="16"/>
        </w:rPr>
      </w:pPr>
    </w:p>
    <w:p w14:paraId="1DEE949E" w14:textId="77777777" w:rsidR="003608FA" w:rsidRPr="00271E51" w:rsidRDefault="003608FA" w:rsidP="00271E51">
      <w:pPr>
        <w:pStyle w:val="1131"/>
        <w:shd w:val="clear" w:color="auto" w:fill="auto"/>
        <w:spacing w:line="240" w:lineRule="auto"/>
        <w:ind w:firstLine="0"/>
        <w:rPr>
          <w:rFonts w:ascii="Times New Roman" w:hAnsi="Times New Roman" w:cs="Times New Roman"/>
          <w:color w:val="0070C0"/>
          <w:sz w:val="16"/>
          <w:szCs w:val="16"/>
        </w:rPr>
      </w:pPr>
      <w:r w:rsidRPr="00271E51">
        <w:rPr>
          <w:rFonts w:ascii="Times New Roman" w:hAnsi="Times New Roman" w:cs="Times New Roman"/>
          <w:color w:val="0070C0"/>
          <w:sz w:val="16"/>
          <w:szCs w:val="16"/>
          <w:lang w:val="ru-RU"/>
        </w:rPr>
        <w:t xml:space="preserve">Осенью 1943 испытали </w:t>
      </w:r>
      <w:r w:rsidRPr="00271E51">
        <w:rPr>
          <w:rFonts w:ascii="Times New Roman" w:hAnsi="Times New Roman" w:cs="Times New Roman"/>
          <w:color w:val="0070C0"/>
          <w:sz w:val="16"/>
          <w:szCs w:val="16"/>
        </w:rPr>
        <w:t>XB-24K</w:t>
      </w:r>
      <w:r w:rsidRPr="00271E51">
        <w:rPr>
          <w:rFonts w:ascii="Times New Roman" w:hAnsi="Times New Roman" w:cs="Times New Roman"/>
          <w:color w:val="0070C0"/>
          <w:sz w:val="16"/>
          <w:szCs w:val="16"/>
          <w:lang w:val="ru-RU"/>
        </w:rPr>
        <w:t xml:space="preserve"> - </w:t>
      </w:r>
      <w:r w:rsidRPr="00271E51">
        <w:rPr>
          <w:rFonts w:ascii="Times New Roman" w:hAnsi="Times New Roman" w:cs="Times New Roman"/>
          <w:color w:val="0070C0"/>
          <w:sz w:val="16"/>
          <w:szCs w:val="16"/>
        </w:rPr>
        <w:t>серийный B-24D</w:t>
      </w:r>
      <w:r w:rsidRPr="00271E51">
        <w:rPr>
          <w:rFonts w:ascii="Times New Roman" w:hAnsi="Times New Roman" w:cs="Times New Roman"/>
          <w:color w:val="0070C0"/>
          <w:sz w:val="16"/>
          <w:szCs w:val="16"/>
          <w:lang w:val="ru-RU"/>
        </w:rPr>
        <w:t>, на который</w:t>
      </w:r>
      <w:r w:rsidRPr="00271E51">
        <w:rPr>
          <w:rFonts w:ascii="Times New Roman" w:hAnsi="Times New Roman" w:cs="Times New Roman"/>
          <w:color w:val="0070C0"/>
          <w:sz w:val="16"/>
          <w:szCs w:val="16"/>
        </w:rPr>
        <w:t xml:space="preserve"> установили центральный киль и руль направления, снятые со среднего бомбардировщика Дуглас В-23 «Дрэгон». Заодно на опытный самолет поставили двигатели R-1830-75 по 1350 л.с., а также новые носовую и хвостовую турели А-6А.</w:t>
      </w:r>
    </w:p>
    <w:p w14:paraId="64C842C5" w14:textId="77777777" w:rsidR="003608FA" w:rsidRPr="00271E51" w:rsidRDefault="003608FA" w:rsidP="00271E51">
      <w:pPr>
        <w:pStyle w:val="1131"/>
        <w:shd w:val="clear" w:color="auto" w:fill="auto"/>
        <w:spacing w:line="240" w:lineRule="auto"/>
        <w:ind w:firstLine="0"/>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rPr>
        <w:t>Был получен рост максимальной скорости на 17,7 км/ч и улучшение курсовой устойчивости и управляемости, но вертикальное оперение с двухмоторного самолета меньшей размерности не вполне отвечало всем требованиям динамики движения самолета. Для В-24 надо было делать свое вертикальное оперение, а значит и оснастку, имевшуюся на фирме «Дуглас», использовать было нельзя</w:t>
      </w:r>
      <w:r w:rsidRPr="00271E51">
        <w:rPr>
          <w:rFonts w:ascii="Times New Roman" w:hAnsi="Times New Roman" w:cs="Times New Roman"/>
          <w:color w:val="0070C0"/>
          <w:sz w:val="16"/>
          <w:szCs w:val="16"/>
          <w:lang w:val="ru-RU"/>
        </w:rPr>
        <w:t xml:space="preserve"> (22899).</w:t>
      </w:r>
    </w:p>
    <w:p w14:paraId="71B66371" w14:textId="77777777" w:rsidR="003608FA" w:rsidRPr="00271E51" w:rsidRDefault="003608FA" w:rsidP="00271E51">
      <w:pPr>
        <w:pStyle w:val="1131"/>
        <w:shd w:val="clear" w:color="auto" w:fill="auto"/>
        <w:spacing w:line="240" w:lineRule="auto"/>
        <w:ind w:firstLine="0"/>
        <w:rPr>
          <w:rFonts w:ascii="Times New Roman" w:hAnsi="Times New Roman" w:cs="Times New Roman"/>
          <w:color w:val="0070C0"/>
          <w:sz w:val="16"/>
          <w:szCs w:val="16"/>
          <w:lang w:val="ru-RU"/>
        </w:rPr>
      </w:pPr>
    </w:p>
    <w:p w14:paraId="19AD2E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потери бомбардировщиков США в Европе достигли угрожающего уровня. За 1943 сбросили в 5 раз больше бомб, чем в 1942, но военное производство не снизилась, а выросло на 50% (1261,32).</w:t>
      </w:r>
    </w:p>
    <w:p w14:paraId="23CE19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3C264"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Осенью 1943 года Гитлер, обеспокоенный тревожной ситуацией на Восточном фронте, а также возможной высадкой союзников в Европе, вновь вспомнил о «чудо-оружии».</w:t>
      </w:r>
    </w:p>
    <w:p w14:paraId="096558CA"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ставку командования был вызван Вернер фон Браун. Он продемонстрировал кинопленку с запусками А-4 и фотографии разрушений в результате попадания боеголовки баллистической ракеты. «Ракетный барон» также представил фюреру план, по которому при должном финансировании в течение полугода можно было выпустить сотни Фау-2.</w:t>
      </w:r>
    </w:p>
    <w:p w14:paraId="100BE46C" w14:textId="77777777" w:rsidR="00771B3B" w:rsidRPr="00271E51" w:rsidRDefault="00771B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Фон Браун убедил фюрера. «Благодарю вас! Почему я до сих пор не верил в успех вашей работы? Меня просто плохо информировали», — сказал Гитлер, ознакомившись с докладом. Восстановление центра в Пенемюнде началось в удвоенном темпе. Подобное внимание фюрера к ракетным проектам можно объяснить с финансовой точки зрения: крылатая ракета Фау-1 в массовом производстве стоила 50000 рехсмарок, а ракета Фау-2 — до 120000 рейхсмарок (в семь раз дешевле танка «Тигр-I», который стоил порядка 800000 рейхсмарок) (19627).</w:t>
      </w:r>
    </w:p>
    <w:p w14:paraId="3346CF10" w14:textId="77777777" w:rsidR="00771B3B" w:rsidRPr="00271E51" w:rsidRDefault="00771B3B" w:rsidP="00271E51">
      <w:pPr>
        <w:spacing w:after="0" w:line="240" w:lineRule="auto"/>
        <w:jc w:val="both"/>
        <w:rPr>
          <w:rFonts w:ascii="Times New Roman" w:hAnsi="Times New Roman"/>
          <w:color w:val="000000" w:themeColor="text1"/>
          <w:sz w:val="16"/>
          <w:szCs w:val="16"/>
        </w:rPr>
      </w:pPr>
    </w:p>
    <w:p w14:paraId="3E826B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осени 1943 года началось возведение «защищенных стартовых позиций» в предместьях французских городов Ваттон (объект «Kraftwerk Nordwest»), Визерне (объект «Schoterwerk Nordwerk») и Соттеваст (объект «Reservelager West»). Они были выполнены по всем правилам фортификационной науки и представляли собой бункер, накрытый бетонированным куполом.</w:t>
      </w:r>
    </w:p>
    <w:p w14:paraId="2C6CC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Ракета на железнодорожной платформе поступала в бункер с одного выхода, внутри бункера заправлялась и обслуживалась, устанавливалась на пусковую тележку и через другой выход подавалась на стартовый стол, представлявший собой четырехугольную бетонированную площадку, с конусом посередине (диаметр конуса около 5 метров). Внутри бункера были оборудованы казармы для личного состава, включая кухню и санитарную часть.</w:t>
      </w:r>
    </w:p>
    <w:p w14:paraId="6530CF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Оборудование этой позиции позволяло производить до 54 запусков «V-2» в сутки.</w:t>
      </w:r>
    </w:p>
    <w:p w14:paraId="1C841E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организации снабжения позиций ракетами строились семь стационарных, четыре полевых и шесть промежуточных баз. Для. хранения жидкого кислорода (окислитель) были оборудованы специальные склады в Па-де-Кале и Кальвадосе, а оттуда он поступал в ракетные подразделения. Спирт (горючее) доставлялся на две тыловых базы, расположенных в Лилле и Париже, откуда распределялся между восемью передовыми складами, а с них доставлялся непосредственно на позиции.</w:t>
      </w:r>
    </w:p>
    <w:p w14:paraId="1387B4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система снабжения, разработанная генералом Метцем, была далека от идеальной. Разбросанность и многочисленность складов требовала разветвленных коммуникаций, которые трудно было прикрывать от ударов с воздуха и защищать от диверсий, а это делало тылы ракетных частей легко уязвимыми для авиации и диверсантов противника и, кроме того, снижало оперативность снабжения.</w:t>
      </w:r>
    </w:p>
    <w:p w14:paraId="5814B2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до применения всей этой системы в деле не дошло, так как к моменту первых запусков ракет «V-2» по Лондону районы складов были уже оккупированы англо-американскими войсками (11688).</w:t>
      </w:r>
    </w:p>
    <w:p w14:paraId="2D05DC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2F92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27E32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52FC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3 квартала 1943 года самолет ЯК-6 с производства снимается и заводу № 47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30ACD9C5" w14:textId="77777777" w:rsidR="00473181" w:rsidRPr="00271E51" w:rsidRDefault="00473181"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w:t>
      </w:r>
    </w:p>
    <w:p w14:paraId="722B214C" w14:textId="77777777" w:rsidR="00473181" w:rsidRPr="00271E51" w:rsidRDefault="00473181"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Дизельный (с двумя дизельмоторами)</w:t>
      </w:r>
    </w:p>
    <w:p w14:paraId="7BA94C6E" w14:textId="77777777" w:rsidR="00473181" w:rsidRPr="00271E51" w:rsidRDefault="00473181"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Модернизированный</w:t>
      </w:r>
    </w:p>
    <w:p w14:paraId="28E6007D" w14:textId="77777777" w:rsidR="00473181" w:rsidRPr="00271E51" w:rsidRDefault="00473181"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1AAD7D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0CC2B2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243DE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76E966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 Шевченко А.М.</w:t>
      </w:r>
    </w:p>
    <w:p w14:paraId="73116C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Оренбург, п/я 936</w:t>
      </w:r>
    </w:p>
    <w:p w14:paraId="7E8896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реактивная техника</w:t>
      </w:r>
    </w:p>
    <w:p w14:paraId="59034B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E6AB5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12AB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39092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45F26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третьем квартале 1943 года УТЗ изготовил опытный образец танка Т-43. Дальше опытного образца танк Т-43 не пошел, т.к. большого скачка по характеристикам по сравнению с Т-34 получено не было, а изменений было много (9154).</w:t>
      </w:r>
    </w:p>
    <w:p w14:paraId="2270B8D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596F500A" w14:textId="77777777" w:rsidR="00E741BB" w:rsidRPr="00271E51" w:rsidRDefault="00E741B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E5E8439" w14:textId="77777777" w:rsidR="00E741BB" w:rsidRPr="00271E51" w:rsidRDefault="00E741B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034A76" w14:textId="77777777" w:rsidR="00E741BB" w:rsidRPr="00271E51" w:rsidRDefault="00E741B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октябрю 1943 г. в ЦАГИ был разработан проект самолета, в котором использовалась комбинация, состоящая из ПД АМ-39Ф (1 620 л.с.) в носовой части самолета и встроенного в хвостовую часть фюзеляжа самолета ВРДК.</w:t>
      </w:r>
    </w:p>
    <w:p w14:paraId="384C5CD8" w14:textId="77777777" w:rsidR="00E741BB" w:rsidRPr="00271E51" w:rsidRDefault="00E741B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Предполагалось, что самолет сможет достичь максимальной скорости 830 км/ч на высоте 8000 м и расчетного времени по лета 2,5 ч. Этот самолет рассматривался как истребитель-перехватчик (19586).</w:t>
      </w:r>
    </w:p>
    <w:p w14:paraId="6492AB59" w14:textId="77777777" w:rsidR="00E741BB" w:rsidRPr="00271E51" w:rsidRDefault="00E741BB" w:rsidP="00271E51">
      <w:pPr>
        <w:spacing w:after="0" w:line="240" w:lineRule="auto"/>
        <w:jc w:val="both"/>
        <w:rPr>
          <w:rFonts w:ascii="Times New Roman" w:hAnsi="Times New Roman"/>
          <w:color w:val="000000" w:themeColor="text1"/>
          <w:sz w:val="16"/>
          <w:szCs w:val="16"/>
        </w:rPr>
      </w:pPr>
    </w:p>
    <w:p w14:paraId="69C4703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011C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A9C34" w14:textId="77777777" w:rsidR="00E77F1F" w:rsidRPr="00271E51" w:rsidRDefault="00E77F1F"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 1 октября 1943 г. на заводе №18 изготовили 100 Ил-2 (начиная с самолета зав. №1870166) с полным комплектом фибровых бензобаков. Эти машины ушли на пополнение 43-го зап 1 заб, 694-го, 805-го, 214-го и 47-го шап и частей 1-го гшак, 230-й шад, 1-й, 5-й и 8-й воздушных армий.</w:t>
      </w:r>
    </w:p>
    <w:p w14:paraId="449750E1" w14:textId="77777777" w:rsidR="00E77F1F" w:rsidRPr="00271E51" w:rsidRDefault="00E77F1F"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Используя опыт куйбышевцев, на заводе №30 в Москве со специалистами ВИАМ отработали оснастку для серийного производства фибровых бензобаков для Ил-2. Первые образцы серийных бензобаков из фибры изготовили к 20 мая. В июне опытная партия таких баков проходила летно-эксплуатационные заводские испытания, после чего они пошли в массовую серию.</w:t>
      </w:r>
    </w:p>
    <w:p w14:paraId="7C06A758" w14:textId="77777777" w:rsidR="00E77F1F" w:rsidRPr="00271E51" w:rsidRDefault="00E77F1F"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Завод №1 им. Сталина (г. Куйбышев) продолжал оснащать штурмовики металлическими бензобаками. В июне 1943 г. завод выпустил опытные образцы деревянных бензобаков для самолета Ил-2. Впрочем, особого успеха такие баки не имели, хотя и прошли заводские летно-эксплуатационные испытания (17733).</w:t>
      </w:r>
    </w:p>
    <w:p w14:paraId="264ED27B" w14:textId="77777777" w:rsidR="00E77F1F" w:rsidRPr="00271E51" w:rsidRDefault="00E77F1F" w:rsidP="00271E51">
      <w:pPr>
        <w:spacing w:after="0" w:line="240" w:lineRule="auto"/>
        <w:jc w:val="both"/>
        <w:rPr>
          <w:rFonts w:ascii="Times New Roman" w:eastAsia="Times New Roman" w:hAnsi="Times New Roman"/>
          <w:color w:val="000000" w:themeColor="text1"/>
          <w:sz w:val="16"/>
          <w:szCs w:val="16"/>
          <w:lang w:eastAsia="ru-RU"/>
        </w:rPr>
      </w:pPr>
    </w:p>
    <w:p w14:paraId="38ED87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после смены на И-220 № 01 силовой установки - опытного мотора АМ-39 на серийный АМ-38Ф - полеты возобновились (5669).</w:t>
      </w:r>
    </w:p>
    <w:p w14:paraId="0B7D02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7F5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w:t>
      </w:r>
      <w:r w:rsidRPr="00271E51">
        <w:rPr>
          <w:rFonts w:ascii="Times New Roman" w:hAnsi="Times New Roman"/>
          <w:color w:val="000000" w:themeColor="text1"/>
          <w:sz w:val="16"/>
          <w:szCs w:val="16"/>
        </w:rPr>
        <w:softHyphen/>
        <w:t>тября 1943 г. полеты возобновились, а уже на следую</w:t>
      </w:r>
      <w:r w:rsidRPr="00271E51">
        <w:rPr>
          <w:rFonts w:ascii="Times New Roman" w:hAnsi="Times New Roman"/>
          <w:color w:val="000000" w:themeColor="text1"/>
          <w:sz w:val="16"/>
          <w:szCs w:val="16"/>
        </w:rPr>
        <w:softHyphen/>
        <w:t>щий день самолет И—220 зав. № 01 потерпел аварию, и его отправили в ремонт (9984).</w:t>
      </w:r>
    </w:p>
    <w:p w14:paraId="3ECEAB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83B2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октября 1943 г. полеты И-220 с АМ-38Ф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6C7560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3B8A87B9" w14:textId="77777777" w:rsidTr="00ED5B0A">
        <w:tc>
          <w:tcPr>
            <w:tcW w:w="1868" w:type="dxa"/>
            <w:tcBorders>
              <w:top w:val="single" w:sz="12" w:space="0" w:color="auto"/>
            </w:tcBorders>
          </w:tcPr>
          <w:p w14:paraId="6E0521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868" w:type="dxa"/>
            <w:tcBorders>
              <w:top w:val="single" w:sz="12" w:space="0" w:color="auto"/>
            </w:tcBorders>
          </w:tcPr>
          <w:p w14:paraId="55D347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1868" w:type="dxa"/>
            <w:tcBorders>
              <w:top w:val="single" w:sz="12" w:space="0" w:color="auto"/>
            </w:tcBorders>
          </w:tcPr>
          <w:p w14:paraId="256C97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МиГ-9</w:t>
            </w:r>
          </w:p>
        </w:tc>
        <w:tc>
          <w:tcPr>
            <w:tcW w:w="1868" w:type="dxa"/>
            <w:tcBorders>
              <w:top w:val="single" w:sz="12" w:space="0" w:color="auto"/>
            </w:tcBorders>
          </w:tcPr>
          <w:p w14:paraId="5206B5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w:t>
            </w:r>
          </w:p>
        </w:tc>
        <w:tc>
          <w:tcPr>
            <w:tcW w:w="1868" w:type="dxa"/>
            <w:tcBorders>
              <w:top w:val="single" w:sz="12" w:space="0" w:color="auto"/>
            </w:tcBorders>
          </w:tcPr>
          <w:p w14:paraId="666A3F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И-224</w:t>
            </w:r>
          </w:p>
        </w:tc>
        <w:tc>
          <w:tcPr>
            <w:tcW w:w="1868" w:type="dxa"/>
            <w:tcBorders>
              <w:top w:val="single" w:sz="12" w:space="0" w:color="auto"/>
            </w:tcBorders>
          </w:tcPr>
          <w:p w14:paraId="14FFFC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И-225</w:t>
            </w:r>
          </w:p>
        </w:tc>
      </w:tr>
      <w:tr w:rsidR="00A907A5" w:rsidRPr="00271E51" w14:paraId="16C4D598" w14:textId="77777777" w:rsidTr="00ED5B0A">
        <w:tc>
          <w:tcPr>
            <w:tcW w:w="1868" w:type="dxa"/>
          </w:tcPr>
          <w:p w14:paraId="4C858D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двигателя</w:t>
            </w:r>
          </w:p>
        </w:tc>
        <w:tc>
          <w:tcPr>
            <w:tcW w:w="1868" w:type="dxa"/>
          </w:tcPr>
          <w:p w14:paraId="3A9780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1868" w:type="dxa"/>
          </w:tcPr>
          <w:p w14:paraId="6123EA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1868" w:type="dxa"/>
          </w:tcPr>
          <w:p w14:paraId="39DE15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1868" w:type="dxa"/>
          </w:tcPr>
          <w:p w14:paraId="17E8E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АМ-39ФБ</w:t>
            </w:r>
          </w:p>
        </w:tc>
        <w:tc>
          <w:tcPr>
            <w:tcW w:w="1868" w:type="dxa"/>
          </w:tcPr>
          <w:p w14:paraId="5DCCD9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АМ-42ФБ</w:t>
            </w:r>
          </w:p>
        </w:tc>
      </w:tr>
      <w:tr w:rsidR="00A907A5" w:rsidRPr="00271E51" w14:paraId="1E119A77" w14:textId="77777777" w:rsidTr="00ED5B0A">
        <w:tc>
          <w:tcPr>
            <w:tcW w:w="1868" w:type="dxa"/>
          </w:tcPr>
          <w:p w14:paraId="1842E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л.с.</w:t>
            </w:r>
          </w:p>
        </w:tc>
        <w:tc>
          <w:tcPr>
            <w:tcW w:w="1868" w:type="dxa"/>
          </w:tcPr>
          <w:p w14:paraId="5A20B4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1665</w:t>
            </w:r>
          </w:p>
        </w:tc>
        <w:tc>
          <w:tcPr>
            <w:tcW w:w="1868" w:type="dxa"/>
          </w:tcPr>
          <w:p w14:paraId="33AFB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1868" w:type="dxa"/>
          </w:tcPr>
          <w:p w14:paraId="76A95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1868" w:type="dxa"/>
          </w:tcPr>
          <w:p w14:paraId="5A717E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1850</w:t>
            </w:r>
          </w:p>
        </w:tc>
        <w:tc>
          <w:tcPr>
            <w:tcW w:w="1868" w:type="dxa"/>
          </w:tcPr>
          <w:p w14:paraId="4F12C4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08DA0853" w14:textId="77777777" w:rsidTr="00ED5B0A">
        <w:tc>
          <w:tcPr>
            <w:tcW w:w="1868" w:type="dxa"/>
          </w:tcPr>
          <w:p w14:paraId="245F95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w:t>
            </w:r>
          </w:p>
        </w:tc>
        <w:tc>
          <w:tcPr>
            <w:tcW w:w="1868" w:type="dxa"/>
          </w:tcPr>
          <w:p w14:paraId="020994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8,25</w:t>
            </w:r>
          </w:p>
        </w:tc>
        <w:tc>
          <w:tcPr>
            <w:tcW w:w="1868" w:type="dxa"/>
          </w:tcPr>
          <w:p w14:paraId="448D16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8,078</w:t>
            </w:r>
          </w:p>
        </w:tc>
        <w:tc>
          <w:tcPr>
            <w:tcW w:w="1868" w:type="dxa"/>
          </w:tcPr>
          <w:p w14:paraId="73991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1868" w:type="dxa"/>
          </w:tcPr>
          <w:p w14:paraId="5278A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1868" w:type="dxa"/>
          </w:tcPr>
          <w:p w14:paraId="78BD14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r>
      <w:tr w:rsidR="00A907A5" w:rsidRPr="00271E51" w14:paraId="35B7D99B" w14:textId="77777777" w:rsidTr="00ED5B0A">
        <w:tc>
          <w:tcPr>
            <w:tcW w:w="1868" w:type="dxa"/>
          </w:tcPr>
          <w:p w14:paraId="2F7DFB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0F240D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751732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160891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1868" w:type="dxa"/>
          </w:tcPr>
          <w:p w14:paraId="61D3DC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1868" w:type="dxa"/>
          </w:tcPr>
          <w:p w14:paraId="17BC81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r>
      <w:tr w:rsidR="00A907A5" w:rsidRPr="00271E51" w14:paraId="01966D1D" w14:textId="77777777" w:rsidTr="00ED5B0A">
        <w:tc>
          <w:tcPr>
            <w:tcW w:w="1868" w:type="dxa"/>
          </w:tcPr>
          <w:p w14:paraId="6923E9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1868" w:type="dxa"/>
          </w:tcPr>
          <w:p w14:paraId="21B708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05C813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67A4C9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20,38</w:t>
            </w:r>
          </w:p>
        </w:tc>
        <w:tc>
          <w:tcPr>
            <w:tcW w:w="1868" w:type="dxa"/>
          </w:tcPr>
          <w:p w14:paraId="37D4C8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1868" w:type="dxa"/>
          </w:tcPr>
          <w:p w14:paraId="790CF8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20,4</w:t>
            </w:r>
          </w:p>
        </w:tc>
      </w:tr>
      <w:tr w:rsidR="00A907A5" w:rsidRPr="00271E51" w14:paraId="5E903A9F" w14:textId="77777777" w:rsidTr="00ED5B0A">
        <w:tc>
          <w:tcPr>
            <w:tcW w:w="1868" w:type="dxa"/>
          </w:tcPr>
          <w:p w14:paraId="02E4B4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Высота самолета, м</w:t>
            </w:r>
          </w:p>
        </w:tc>
        <w:tc>
          <w:tcPr>
            <w:tcW w:w="1868" w:type="dxa"/>
          </w:tcPr>
          <w:p w14:paraId="1AF11A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2EA067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2762</w:t>
            </w:r>
          </w:p>
        </w:tc>
        <w:tc>
          <w:tcPr>
            <w:tcW w:w="1868" w:type="dxa"/>
          </w:tcPr>
          <w:p w14:paraId="5AC21B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63B83D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2E2863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r>
      <w:tr w:rsidR="00A907A5" w:rsidRPr="00271E51" w14:paraId="02BBB81E" w14:textId="77777777" w:rsidTr="00ED5B0A">
        <w:tc>
          <w:tcPr>
            <w:tcW w:w="1868" w:type="dxa"/>
          </w:tcPr>
          <w:p w14:paraId="5E25C6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самолета, кг</w:t>
            </w:r>
          </w:p>
        </w:tc>
        <w:tc>
          <w:tcPr>
            <w:tcW w:w="1868" w:type="dxa"/>
          </w:tcPr>
          <w:p w14:paraId="6A3F9C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256726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3382</w:t>
            </w:r>
          </w:p>
        </w:tc>
        <w:tc>
          <w:tcPr>
            <w:tcW w:w="1868" w:type="dxa"/>
          </w:tcPr>
          <w:p w14:paraId="01416C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3103</w:t>
            </w:r>
          </w:p>
        </w:tc>
        <w:tc>
          <w:tcPr>
            <w:tcW w:w="1868" w:type="dxa"/>
          </w:tcPr>
          <w:p w14:paraId="45EAEE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3105</w:t>
            </w:r>
          </w:p>
        </w:tc>
        <w:tc>
          <w:tcPr>
            <w:tcW w:w="1868" w:type="dxa"/>
          </w:tcPr>
          <w:p w14:paraId="60D5BC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ЗОЮ</w:t>
            </w:r>
          </w:p>
        </w:tc>
      </w:tr>
      <w:tr w:rsidR="00A907A5" w:rsidRPr="00271E51" w14:paraId="216F8BB6" w14:textId="77777777" w:rsidTr="00ED5B0A">
        <w:tc>
          <w:tcPr>
            <w:tcW w:w="1868" w:type="dxa"/>
          </w:tcPr>
          <w:p w14:paraId="769309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масса, кг</w:t>
            </w:r>
          </w:p>
        </w:tc>
        <w:tc>
          <w:tcPr>
            <w:tcW w:w="1868" w:type="dxa"/>
          </w:tcPr>
          <w:p w14:paraId="01D0F8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3595</w:t>
            </w:r>
          </w:p>
        </w:tc>
        <w:tc>
          <w:tcPr>
            <w:tcW w:w="1868" w:type="dxa"/>
          </w:tcPr>
          <w:p w14:paraId="48E3A1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A894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3835</w:t>
            </w:r>
          </w:p>
        </w:tc>
        <w:tc>
          <w:tcPr>
            <w:tcW w:w="1868" w:type="dxa"/>
          </w:tcPr>
          <w:p w14:paraId="614F2D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3780</w:t>
            </w:r>
          </w:p>
        </w:tc>
        <w:tc>
          <w:tcPr>
            <w:tcW w:w="1868" w:type="dxa"/>
          </w:tcPr>
          <w:p w14:paraId="358745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3912</w:t>
            </w:r>
          </w:p>
        </w:tc>
      </w:tr>
      <w:tr w:rsidR="00A907A5" w:rsidRPr="00271E51" w14:paraId="0E05DFBB" w14:textId="77777777" w:rsidTr="00ED5B0A">
        <w:tc>
          <w:tcPr>
            <w:tcW w:w="1868" w:type="dxa"/>
          </w:tcPr>
          <w:p w14:paraId="4F4F9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топлива, кг</w:t>
            </w:r>
          </w:p>
        </w:tc>
        <w:tc>
          <w:tcPr>
            <w:tcW w:w="1868" w:type="dxa"/>
          </w:tcPr>
          <w:p w14:paraId="3B3EBD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096D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11ACC6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1868" w:type="dxa"/>
          </w:tcPr>
          <w:p w14:paraId="2C4662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3551</w:t>
            </w:r>
          </w:p>
        </w:tc>
        <w:tc>
          <w:tcPr>
            <w:tcW w:w="1868" w:type="dxa"/>
          </w:tcPr>
          <w:p w14:paraId="2336F2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3252</w:t>
            </w:r>
          </w:p>
        </w:tc>
      </w:tr>
      <w:tr w:rsidR="00A907A5" w:rsidRPr="00271E51" w14:paraId="77FF81BD" w14:textId="77777777" w:rsidTr="00ED5B0A">
        <w:tc>
          <w:tcPr>
            <w:tcW w:w="1868" w:type="dxa"/>
          </w:tcPr>
          <w:p w14:paraId="1264BD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полета, км/ч:</w:t>
            </w:r>
          </w:p>
        </w:tc>
        <w:tc>
          <w:tcPr>
            <w:tcW w:w="1868" w:type="dxa"/>
          </w:tcPr>
          <w:p w14:paraId="3DD93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23B0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12485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320A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BCFB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691957" w14:textId="77777777" w:rsidTr="00ED5B0A">
        <w:tc>
          <w:tcPr>
            <w:tcW w:w="1868" w:type="dxa"/>
          </w:tcPr>
          <w:p w14:paraId="202138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tc>
        <w:tc>
          <w:tcPr>
            <w:tcW w:w="1868" w:type="dxa"/>
          </w:tcPr>
          <w:p w14:paraId="357DB4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w:t>
            </w:r>
          </w:p>
        </w:tc>
        <w:tc>
          <w:tcPr>
            <w:tcW w:w="1868" w:type="dxa"/>
          </w:tcPr>
          <w:p w14:paraId="327A51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1868" w:type="dxa"/>
          </w:tcPr>
          <w:p w14:paraId="19A0F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1868" w:type="dxa"/>
          </w:tcPr>
          <w:p w14:paraId="4EBA8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574</w:t>
            </w:r>
          </w:p>
        </w:tc>
        <w:tc>
          <w:tcPr>
            <w:tcW w:w="1868" w:type="dxa"/>
          </w:tcPr>
          <w:p w14:paraId="649C33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4049C874" w14:textId="77777777" w:rsidTr="00ED5B0A">
        <w:tc>
          <w:tcPr>
            <w:tcW w:w="1868" w:type="dxa"/>
          </w:tcPr>
          <w:p w14:paraId="75FE0E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5000 м</w:t>
            </w:r>
          </w:p>
        </w:tc>
        <w:tc>
          <w:tcPr>
            <w:tcW w:w="1868" w:type="dxa"/>
          </w:tcPr>
          <w:p w14:paraId="2E8F58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5923</w:t>
            </w:r>
          </w:p>
        </w:tc>
        <w:tc>
          <w:tcPr>
            <w:tcW w:w="1868" w:type="dxa"/>
          </w:tcPr>
          <w:p w14:paraId="4C3ADF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9A5E2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3BEB38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49D9B6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338442C2" w14:textId="77777777" w:rsidTr="00ED5B0A">
        <w:tc>
          <w:tcPr>
            <w:tcW w:w="1868" w:type="dxa"/>
          </w:tcPr>
          <w:p w14:paraId="699BE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10 ООО м</w:t>
            </w:r>
          </w:p>
        </w:tc>
        <w:tc>
          <w:tcPr>
            <w:tcW w:w="1868" w:type="dxa"/>
          </w:tcPr>
          <w:p w14:paraId="1D0CFF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6BD4C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5654</w:t>
            </w:r>
          </w:p>
        </w:tc>
        <w:tc>
          <w:tcPr>
            <w:tcW w:w="1868" w:type="dxa"/>
          </w:tcPr>
          <w:p w14:paraId="773881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6955</w:t>
            </w:r>
          </w:p>
        </w:tc>
        <w:tc>
          <w:tcPr>
            <w:tcW w:w="1868" w:type="dxa"/>
          </w:tcPr>
          <w:p w14:paraId="4DBAF5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6936</w:t>
            </w:r>
          </w:p>
        </w:tc>
        <w:tc>
          <w:tcPr>
            <w:tcW w:w="1868" w:type="dxa"/>
          </w:tcPr>
          <w:p w14:paraId="187AA1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726</w:t>
            </w:r>
          </w:p>
        </w:tc>
      </w:tr>
      <w:tr w:rsidR="00A907A5" w:rsidRPr="00271E51" w14:paraId="044DDC07" w14:textId="77777777" w:rsidTr="00ED5B0A">
        <w:tc>
          <w:tcPr>
            <w:tcW w:w="1868" w:type="dxa"/>
          </w:tcPr>
          <w:p w14:paraId="7401E9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1868" w:type="dxa"/>
          </w:tcPr>
          <w:p w14:paraId="085ABE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7,93</w:t>
            </w:r>
          </w:p>
        </w:tc>
        <w:tc>
          <w:tcPr>
            <w:tcW w:w="1868" w:type="dxa"/>
          </w:tcPr>
          <w:p w14:paraId="1C3EE7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1868" w:type="dxa"/>
          </w:tcPr>
          <w:p w14:paraId="343CEA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868" w:type="dxa"/>
          </w:tcPr>
          <w:p w14:paraId="200BE5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37D98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68C2AFFB" w14:textId="77777777" w:rsidTr="00ED5B0A">
        <w:tc>
          <w:tcPr>
            <w:tcW w:w="1868" w:type="dxa"/>
          </w:tcPr>
          <w:p w14:paraId="39FEBC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7C8411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1A73C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8700</w:t>
            </w:r>
          </w:p>
        </w:tc>
        <w:tc>
          <w:tcPr>
            <w:tcW w:w="1868" w:type="dxa"/>
          </w:tcPr>
          <w:p w14:paraId="37C0DB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11 000</w:t>
            </w:r>
          </w:p>
        </w:tc>
        <w:tc>
          <w:tcPr>
            <w:tcW w:w="1868" w:type="dxa"/>
          </w:tcPr>
          <w:p w14:paraId="7CA9A2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14 100</w:t>
            </w:r>
          </w:p>
        </w:tc>
        <w:tc>
          <w:tcPr>
            <w:tcW w:w="1868" w:type="dxa"/>
          </w:tcPr>
          <w:p w14:paraId="12BFF2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12 600</w:t>
            </w:r>
          </w:p>
        </w:tc>
      </w:tr>
      <w:tr w:rsidR="00A907A5" w:rsidRPr="00271E51" w14:paraId="2E7D4E8B" w14:textId="77777777" w:rsidTr="00ED5B0A">
        <w:tc>
          <w:tcPr>
            <w:tcW w:w="1868" w:type="dxa"/>
          </w:tcPr>
          <w:p w14:paraId="0FE61F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1868" w:type="dxa"/>
          </w:tcPr>
          <w:p w14:paraId="0A48D5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729E8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c>
          <w:tcPr>
            <w:tcW w:w="1868" w:type="dxa"/>
          </w:tcPr>
          <w:p w14:paraId="0DCEC7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50B8F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c>
          <w:tcPr>
            <w:tcW w:w="1868" w:type="dxa"/>
          </w:tcPr>
          <w:p w14:paraId="63CF9B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w:t>
            </w:r>
          </w:p>
        </w:tc>
      </w:tr>
      <w:tr w:rsidR="00A907A5" w:rsidRPr="00271E51" w14:paraId="147E522E" w14:textId="77777777" w:rsidTr="00ED5B0A">
        <w:tc>
          <w:tcPr>
            <w:tcW w:w="1868" w:type="dxa"/>
          </w:tcPr>
          <w:p w14:paraId="183B03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м</w:t>
            </w:r>
          </w:p>
        </w:tc>
        <w:tc>
          <w:tcPr>
            <w:tcW w:w="1868" w:type="dxa"/>
          </w:tcPr>
          <w:p w14:paraId="2AF42A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421D4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tc>
        <w:tc>
          <w:tcPr>
            <w:tcW w:w="1868" w:type="dxa"/>
          </w:tcPr>
          <w:p w14:paraId="50D47E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2F3F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1868" w:type="dxa"/>
          </w:tcPr>
          <w:p w14:paraId="653DF2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r>
      <w:tr w:rsidR="00A907A5" w:rsidRPr="00271E51" w14:paraId="22E38F7D" w14:textId="77777777" w:rsidTr="00ED5B0A">
        <w:tc>
          <w:tcPr>
            <w:tcW w:w="1868" w:type="dxa"/>
            <w:tcBorders>
              <w:bottom w:val="single" w:sz="12" w:space="0" w:color="auto"/>
            </w:tcBorders>
          </w:tcPr>
          <w:p w14:paraId="4D235A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605B2A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2468B7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1868" w:type="dxa"/>
            <w:tcBorders>
              <w:bottom w:val="single" w:sz="12" w:space="0" w:color="auto"/>
            </w:tcBorders>
          </w:tcPr>
          <w:p w14:paraId="605452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1DE4A6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1868" w:type="dxa"/>
            <w:tcBorders>
              <w:bottom w:val="single" w:sz="12" w:space="0" w:color="auto"/>
            </w:tcBorders>
          </w:tcPr>
          <w:p w14:paraId="67E6F8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r>
    </w:tbl>
    <w:p w14:paraId="0F047F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Примечания:</w:t>
      </w:r>
    </w:p>
    <w:p w14:paraId="3A8A40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 в крыльевых топливных баках в перегрузку еще 124 кг;</w:t>
      </w:r>
    </w:p>
    <w:p w14:paraId="64E5E6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 в крыльевых топливных баках в перегрузку еще 127 кг;</w:t>
      </w:r>
    </w:p>
    <w:p w14:paraId="62CB5B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 на высоте 3400 м;</w:t>
      </w:r>
    </w:p>
    <w:p w14:paraId="2E91D0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 на высоте 6150 м;</w:t>
      </w:r>
    </w:p>
    <w:p w14:paraId="2AFAF2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 на высоте 7500 м при боевом режиме работы мотора;</w:t>
      </w:r>
    </w:p>
    <w:p w14:paraId="784003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 расчетная на высоте 13 100 м. </w:t>
      </w:r>
    </w:p>
    <w:p w14:paraId="4AD305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1C780B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44627D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E93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Пе-2 выполнил первый полет с включенной реактивной установкой РД-1ХЗ (2 мин.) и это дало прибавку в скорости в 92 км/ч. Через день - 3 мин., 4 октября - шесть взлетов с бетонной полосы со включенной установкой (234,193).</w:t>
      </w:r>
    </w:p>
    <w:p w14:paraId="5A12C2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73A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состоялся пер</w:t>
      </w:r>
      <w:r w:rsidRPr="00271E51">
        <w:rPr>
          <w:rFonts w:ascii="Times New Roman" w:hAnsi="Times New Roman"/>
          <w:color w:val="000000" w:themeColor="text1"/>
          <w:sz w:val="16"/>
          <w:szCs w:val="16"/>
        </w:rPr>
        <w:softHyphen/>
        <w:t>вый полет Пе-2 с включением РУ-1 С.П.К. на высо</w:t>
      </w:r>
      <w:r w:rsidRPr="00271E51">
        <w:rPr>
          <w:rFonts w:ascii="Times New Roman" w:hAnsi="Times New Roman"/>
          <w:color w:val="000000" w:themeColor="text1"/>
          <w:sz w:val="16"/>
          <w:szCs w:val="16"/>
        </w:rPr>
        <w:softHyphen/>
        <w:t>те 2760 м. Дальнейшие испытания показали, что включение РД-1 в полете увеличивало максимальную скорость на 50-80 км/ч, а время набора высоты 5000 м со</w:t>
      </w:r>
      <w:r w:rsidRPr="00271E51">
        <w:rPr>
          <w:rFonts w:ascii="Times New Roman" w:hAnsi="Times New Roman"/>
          <w:color w:val="000000" w:themeColor="text1"/>
          <w:sz w:val="16"/>
          <w:szCs w:val="16"/>
        </w:rPr>
        <w:softHyphen/>
        <w:t>кращалось с 10 до 7 минут (10668).</w:t>
      </w:r>
    </w:p>
    <w:p w14:paraId="222254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3ED9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состоялся первый полет с включением РД на высоте 2760 м (10675).</w:t>
      </w:r>
    </w:p>
    <w:p w14:paraId="098F61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8A1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 согласно докладной записке С.П.К. от 18 октября, состоялся первый полет на высоте 2760 м с включенным в воздухе РД-1; продолжительность работы ЖРД составила 2 мин. За это время приборная скорость самолета возросла с 340 до 420 км/ч. Первый этап заводских летных испытаний самолета проводили летчики-испытате- ли А.Г. Васильченко и А.С. Пальчиков при участии в полетах в качестве инженеров-экспериментаторов С. П. Королева и Д.Д. Севрука.</w:t>
      </w:r>
    </w:p>
    <w:p w14:paraId="4C4AD6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Реактивная установка РУ-1 состояла из двигателя РД-1, керосиновой, кислотной, воздушной систем и системы управления двигателем. Двигатель РД-1 (камера сгорания с агрегатами пуска и управления насосного агрегата) устанавливался в хвостовой части фюзеляжа самолета Пе-2. Горючее и окислитель обшей массой 850 кг размещались в фюзеляже в двух расположенных друг над другом баках: азотная кислота - в верхнем, а тракторный керосин - в нижнем. Находившийся в левой гондоле двигателя насосный агрегат мощностью 45 л.с., связанный с основным поршневым двигателем М-105РА трансмиссионным валом с гидромуфтой, обеспечивал подачу компонентов топлива по проложенным в нижней части фюзеляжа самолета керосиновой и азотнокислотной магистралям в камеру сгорания двигателя РД-1. Управление двигателем осуществлялось с места летчика и из кабины стрелка-радиста, причем включать двигатель мог только летчик, а отключать - и В фюзеляже Пе-2Н был летчик, и экспериментатор. Максимальная способен нести бомбу расчетная продолжительность работы РД-1 калибра 1000 кг </w:t>
      </w:r>
    </w:p>
    <w:p w14:paraId="6E210B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полной тяге в полете ограничивалась емкостью топливной системы и составляла около 10 минут. Общая масса РУ-1 на самолете Пе-2 была равна 1050 кг, а масса двигателя РД-1 (камера сгорания с агрегатами пуска и управления, блок дроссельных вентилей, релейная коробка и насосный агрегат) - 56 кг. Нормальная взлетная масса самолета Пе-2 с РД-1 - 8200 кг, а средняя полетная масса для определения летно-технических характеристик самолета - 7550 кг. Ресурс двигателя РД-1 составлял 45 мин.</w:t>
      </w:r>
    </w:p>
    <w:p w14:paraId="04D1E1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аэродинамическому расчету, работа реактивного двигателя в течение 80-100 с должна была увеличить максимальную скорость полета самолета Пе-2 с РД-1 на 108 км/ч на высоте 7000 м, а длина разбега уменьшалась на 70 м. Вертикальная скорость самолета при отрыве от земли с работающим двигателем РД-1 могла возрасти на 30%, соответственно увеличивался возможный угол набора высоты, что было важно при взлете с небольшого полевого аэродрома, ограниченного препятствиями.</w:t>
      </w:r>
    </w:p>
    <w:p w14:paraId="02B664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Включение РД-1 на взлете и в воздухе в основном подтвердило ожидаемое улучшение летно-технических данных самолета Пе-2 в диапазоне высот от земли до расчетной, но максимальная скорость самолета увеличилась только на 46-68 км/ч. На больших высотах запуск двигателя не удавался. Время набора высоты 5000 м сократилось с 10 до 7 минут. Летчики-испытатели отметили, что работа дополнительного двигателя не усложнила пилотирование самолета.</w:t>
      </w:r>
    </w:p>
    <w:p w14:paraId="2A3CB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отработки зажигания было выполнено 24 полета самолета Пе-2 на высотах до 7000 м, в ходе которых РД-1 запускался 11 раз. Наибольшая длительность непрерывной работы ЖРД на режиме полной тяги в полете составляла 10 минут и определялась емкостью топливных баков (12042).</w:t>
      </w:r>
    </w:p>
    <w:p w14:paraId="77364C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7FC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по приказу № 579с при НИСО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28429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1E09AE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1944г. создан универсальный регулятор температуры авиамоторов УРТ-НИСО.</w:t>
      </w:r>
    </w:p>
    <w:p w14:paraId="7488D2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3FF4E4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30EA9F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1955г. НИСО передан из 7ГУ в 11ГУ МАП.</w:t>
      </w:r>
    </w:p>
    <w:p w14:paraId="33F6D7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Воссоздан в 1982г. как НИИАО (авиационного оборудования) из филиала ЛИИ.</w:t>
      </w:r>
    </w:p>
    <w:p w14:paraId="1FBC2B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электрооборудованию для РКТ.</w:t>
      </w:r>
    </w:p>
    <w:p w14:paraId="10D0A9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300912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(1955г.)- Н.Д. Рязанцев.</w:t>
      </w:r>
    </w:p>
    <w:p w14:paraId="6713F6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(1930-е)- Г.А. Левин, (1947г.-)- Н.Д. Рязанцев.</w:t>
      </w:r>
    </w:p>
    <w:p w14:paraId="03D500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ОКБ - А.С. Абрамов.</w:t>
      </w:r>
    </w:p>
    <w:p w14:paraId="1D817C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сектора (-1937г.)- Л.М. Кофман (11982).</w:t>
      </w:r>
    </w:p>
    <w:p w14:paraId="0B9F9A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A8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вышло Постановление ГКО № 4221 О производстве фугасных авиабомб в IV квартале 1943 года.РГАНИР, Фонд ГКО, д. 154, лл. 1-15, 16-83 (11012).</w:t>
      </w:r>
    </w:p>
    <w:p w14:paraId="347688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35183"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73AF9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71B8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по просьбе Управления самоходной артиллерии (УСА) представитель ЦКБ-19 наркомата судостроения был откомандирован в Челябинск на завод № 100. Но быстро ре</w:t>
      </w:r>
      <w:r w:rsidRPr="00271E51">
        <w:rPr>
          <w:rFonts w:ascii="Times New Roman" w:hAnsi="Times New Roman"/>
          <w:color w:val="000000" w:themeColor="text1"/>
          <w:sz w:val="16"/>
          <w:szCs w:val="16"/>
        </w:rPr>
        <w:softHyphen/>
        <w:t>шить столь сложную техническую проблему не смогли. Поэтому если замену поршневого затвора на клиновой все же осуществили в кратчай</w:t>
      </w:r>
      <w:r w:rsidRPr="00271E51">
        <w:rPr>
          <w:rFonts w:ascii="Times New Roman" w:hAnsi="Times New Roman"/>
          <w:color w:val="000000" w:themeColor="text1"/>
          <w:sz w:val="16"/>
          <w:szCs w:val="16"/>
        </w:rPr>
        <w:softHyphen/>
        <w:t>шие сроки, то механизм заряжания на серийных отечественных танках стал устанавливаться лишь с 1967 г., начиная с танка Т-64 (10703).</w:t>
      </w:r>
    </w:p>
    <w:p w14:paraId="21D014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C142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по 6 октября 1943 танк Объект 237 № 2 прошел Государственные хо</w:t>
      </w:r>
      <w:r w:rsidRPr="00271E51">
        <w:rPr>
          <w:rFonts w:ascii="Times New Roman" w:hAnsi="Times New Roman"/>
          <w:color w:val="000000" w:themeColor="text1"/>
          <w:sz w:val="16"/>
          <w:szCs w:val="16"/>
        </w:rPr>
        <w:softHyphen/>
        <w:t>довые (500 км) испытания по маршруту Челябинск - Златоуст — Челя</w:t>
      </w:r>
      <w:r w:rsidRPr="00271E51">
        <w:rPr>
          <w:rFonts w:ascii="Times New Roman" w:hAnsi="Times New Roman"/>
          <w:color w:val="000000" w:themeColor="text1"/>
          <w:sz w:val="16"/>
          <w:szCs w:val="16"/>
        </w:rPr>
        <w:softHyphen/>
        <w:t>бинск. Председатель комиссии по испытаниям танка ИС начальник ТУ ГБТУ генерал-майор С.А. Афонин, и главный конструктор ЧКЗ гене</w:t>
      </w:r>
      <w:r w:rsidRPr="00271E51">
        <w:rPr>
          <w:rFonts w:ascii="Times New Roman" w:hAnsi="Times New Roman"/>
          <w:color w:val="000000" w:themeColor="text1"/>
          <w:sz w:val="16"/>
          <w:szCs w:val="16"/>
        </w:rPr>
        <w:softHyphen/>
        <w:t>рал-майор Ж.Я. Котин отметили безотказную работу узлов, агрегатов и элементов трансмиссии и ходовой части, что на испытаниях случалось нечасто (10703).</w:t>
      </w:r>
    </w:p>
    <w:p w14:paraId="7F2B16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7F0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 по 23 октября 1943 г. танк "Объект 240", который являлся дальнейшим развитием опытного танка "Объект 237" в отношении повышения его огневой мощи, успешно прошел ходовые и артиллерийские испытания, по результатам которых был рекомендован (с учетом устранения от</w:t>
      </w:r>
      <w:r w:rsidRPr="00271E51">
        <w:rPr>
          <w:rFonts w:ascii="Times New Roman" w:hAnsi="Times New Roman"/>
          <w:color w:val="000000" w:themeColor="text1"/>
          <w:sz w:val="16"/>
          <w:szCs w:val="16"/>
        </w:rPr>
        <w:softHyphen/>
        <w:t>дельных недостатков) к принятию на вооружение РККА под маркой "ИС-2" (10703).</w:t>
      </w:r>
    </w:p>
    <w:p w14:paraId="5291BD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7255C"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1 октября 1943 у ворот завода №100 начался пробега, там же закончившегося 4 числа. В ходе пробега танки прошли 345 километров, из них 178 по шоссе. Средняя скорость чистого движения для Объекта 240 составила 18,1 км/ч, а Объекта 237 — 21,5 км/ч. С технической скоростью ситуация оказалась противоположной: для Объекта 237 она составила 10,7 км/ч, а для Объекта 240 — 15,8 км/ч. Первый танк неоднократно останавливался из-за различных неисправностей.</w:t>
      </w:r>
    </w:p>
    <w:p w14:paraId="5F0108B8"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Рядом с деревней Сыростан Объект 237 разрушил деревянный мост. Объект 240 пришлось использовать в качестве </w:t>
      </w:r>
      <w:hyperlink r:id="rId107" w:history="1">
        <w:r w:rsidRPr="00271E51">
          <w:rPr>
            <w:rStyle w:val="a5"/>
            <w:bCs/>
            <w:iCs/>
            <w:color w:val="000000" w:themeColor="text1"/>
            <w:sz w:val="16"/>
            <w:szCs w:val="16"/>
            <w:u w:val="none"/>
            <w:bdr w:val="none" w:sz="0" w:space="0" w:color="auto" w:frame="1"/>
          </w:rPr>
          <w:t>эвакуатора</w:t>
        </w:r>
      </w:hyperlink>
      <w:r w:rsidRPr="00271E51">
        <w:rPr>
          <w:color w:val="000000" w:themeColor="text1"/>
          <w:sz w:val="16"/>
          <w:szCs w:val="16"/>
        </w:rPr>
        <w:t>. Двигатель у застрявшей машины не заводился, силами второго танка носовую часть Объекта 237 стянули с опоры моста, после чего развернули вдоль реки. Машина завелась и выбралась из западни.</w:t>
      </w:r>
    </w:p>
    <w:p w14:paraId="45B873EE"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Вторая нештатная ситуация с Объектом 237 случилась в районе села Кундровы, где танк застрял в канаве. Из-за пробуксовывавших гусениц самостоятельно выбраться машина не смогла, и снова на помощь пришёл Объект 240. При обходе канавы застряли оба танка, выйти из неё удалось при помощи брёвен, прикреплённых к гусеницам.</w:t>
      </w:r>
    </w:p>
    <w:p w14:paraId="50443951"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Второй этап государственных испытаний включал пробег по маршруту Челябинск-Синеглазово-Челябинск и проходил 6 октября. На этот раз из 111 километров по шоссе было пройдено лишь 10, ещё 20 км танки прошли по просёлку, а остальное расстояние — по целине. На сей раз Объект 240 из-за технических проблем показал себя хуже. В целом же испытания показали, что опасения по поводу серьёзного снижения динамических характеристик были напрасными. На просёлке средняя скорость обеих машин оказалась одинаковой, а по надёжности они превосходили </w:t>
      </w:r>
      <w:hyperlink r:id="rId108" w:history="1">
        <w:r w:rsidRPr="00271E51">
          <w:rPr>
            <w:rStyle w:val="a5"/>
            <w:bCs/>
            <w:iCs/>
            <w:color w:val="000000" w:themeColor="text1"/>
            <w:sz w:val="16"/>
            <w:szCs w:val="16"/>
            <w:u w:val="none"/>
            <w:bdr w:val="none" w:sz="0" w:space="0" w:color="auto" w:frame="1"/>
          </w:rPr>
          <w:t>КВ-1с</w:t>
        </w:r>
      </w:hyperlink>
      <w:r w:rsidRPr="00271E51">
        <w:rPr>
          <w:color w:val="000000" w:themeColor="text1"/>
          <w:sz w:val="16"/>
          <w:szCs w:val="16"/>
        </w:rPr>
        <w:t>. Конструкторы вполне справились со своей задачей: при более мощном вооружении надёжность нового танка не снизилась, а динамические характеристики почти не ухудшились.</w:t>
      </w:r>
    </w:p>
    <w:p w14:paraId="6457B9AE"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Испытания Объекта 240 продолжились, за октябрь он преодолел 1263 километра, из которых 714 по шоссе, 468 по просёлку и 81 по целине (17717).</w:t>
      </w:r>
    </w:p>
    <w:p w14:paraId="147B3F93" w14:textId="77777777" w:rsidR="006E1773" w:rsidRPr="00271E51" w:rsidRDefault="006E1773" w:rsidP="00271E51">
      <w:pPr>
        <w:spacing w:after="0" w:line="240" w:lineRule="auto"/>
        <w:jc w:val="both"/>
        <w:rPr>
          <w:rFonts w:ascii="Times New Roman" w:hAnsi="Times New Roman"/>
          <w:color w:val="000000" w:themeColor="text1"/>
          <w:sz w:val="16"/>
          <w:szCs w:val="16"/>
        </w:rPr>
      </w:pPr>
    </w:p>
    <w:p w14:paraId="5742AB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по 23 октября 1943, согласно докладной записке Л. Берия, В. Малышева, Д. Усти</w:t>
      </w:r>
      <w:r w:rsidRPr="00271E51">
        <w:rPr>
          <w:rFonts w:ascii="Times New Roman" w:hAnsi="Times New Roman"/>
          <w:color w:val="000000" w:themeColor="text1"/>
          <w:sz w:val="16"/>
          <w:szCs w:val="16"/>
        </w:rPr>
        <w:softHyphen/>
        <w:t>нова и Я. Федоренко Верховному Главнокомандующему, танк ИС-2 прошел государственные испы</w:t>
      </w:r>
      <w:r w:rsidRPr="00271E51">
        <w:rPr>
          <w:rFonts w:ascii="Times New Roman" w:hAnsi="Times New Roman"/>
          <w:color w:val="000000" w:themeColor="text1"/>
          <w:sz w:val="16"/>
          <w:szCs w:val="16"/>
        </w:rPr>
        <w:softHyphen/>
        <w:t>тания и обладает хорошей маневреннос</w:t>
      </w:r>
      <w:r w:rsidRPr="00271E51">
        <w:rPr>
          <w:rFonts w:ascii="Times New Roman" w:hAnsi="Times New Roman"/>
          <w:color w:val="000000" w:themeColor="text1"/>
          <w:sz w:val="16"/>
          <w:szCs w:val="16"/>
        </w:rPr>
        <w:softHyphen/>
        <w:t>тью, броневой защитой и самым мощным вооружением из 122-мм пушки, способен поражать тяжелые немецкие тан</w:t>
      </w:r>
      <w:r w:rsidRPr="00271E51">
        <w:rPr>
          <w:rFonts w:ascii="Times New Roman" w:hAnsi="Times New Roman"/>
          <w:color w:val="000000" w:themeColor="text1"/>
          <w:sz w:val="16"/>
          <w:szCs w:val="16"/>
        </w:rPr>
        <w:softHyphen/>
        <w:t>ки на дистанции 1500—2000 м (11135).</w:t>
      </w:r>
    </w:p>
    <w:p w14:paraId="33B7DB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97DBF" w14:textId="77777777" w:rsidR="005A27E3" w:rsidRPr="00271E51" w:rsidRDefault="005A27E3"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октября 1943 на восстановлении Горьковского автозавода трудилось (по спискам) 8621 человек, в том числе 2023 из сельских районов области, 1447 из САВО, 816 из разных воинских частей, 1675 с самого ГАЗа и еще 231 человека предоставил Московский военный округ. Кроме того, на строительстве были задействованы 1211 рабочих из субподрядных организаций. Таким образом, в восстановительных работах с 15 июля по 15 ноября приняло участие почти 10 тысяч человек. Для размещения этой огромной массы людей требовалась значительная жилплощадь, между тем многие дома Соцгорода и прилегающих поселков были разрушены, и места не хватало самим автозаводцам. Под жилье пришлось использовать здания школ, недостроенных жилых домов, клубы и простые палатки. Кроме того, были в спешном порядке сооружены каркасно-засыпные бараки и полуземлянки. Всего под временное жилье было приспособлено 10 000 квадратных метров площади. К августу, чтобы кормить всю эту массу, было открыто в общей сложности 20 столовых и раздаточных пунктов (15218).</w:t>
      </w:r>
    </w:p>
    <w:p w14:paraId="1739CDB3" w14:textId="77777777" w:rsidR="005A27E3" w:rsidRPr="00271E51" w:rsidRDefault="005A27E3" w:rsidP="00271E51">
      <w:pPr>
        <w:widowControl w:val="0"/>
        <w:spacing w:after="0" w:line="240" w:lineRule="auto"/>
        <w:jc w:val="both"/>
        <w:rPr>
          <w:rFonts w:ascii="Times New Roman" w:hAnsi="Times New Roman"/>
          <w:color w:val="000000" w:themeColor="text1"/>
          <w:sz w:val="16"/>
          <w:szCs w:val="16"/>
        </w:rPr>
      </w:pPr>
    </w:p>
    <w:p w14:paraId="1F95002E" w14:textId="77777777" w:rsidR="005A27E3" w:rsidRPr="00271E51" w:rsidRDefault="005A27E3"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1 октября 1943 было обеспечено восстановление производственных мощностей ГАЗа. Объем работ, выполненных трестом ОСМЧ «Стройгаз» №2 и его субподрядчиками, можно охарактеризовать следующими цифрами. С 1 июля по 1 октября было уложено 2 700 000 тысяч кирпичей, 128 170 квадратных метров рубероида, смонтированы металлоконструкции весом 3400 тонн, трубопроводы протяженностью почти </w:t>
      </w:r>
      <w:smartTag w:uri="urn:schemas-microsoft-com:office:smarttags" w:element="metricconverter">
        <w:smartTagPr>
          <w:attr w:name="ProductID" w:val="1945 г"/>
        </w:smartTagPr>
        <w:r w:rsidRPr="00271E51">
          <w:rPr>
            <w:rFonts w:ascii="Times New Roman" w:hAnsi="Times New Roman"/>
            <w:color w:val="000000" w:themeColor="text1"/>
            <w:sz w:val="16"/>
            <w:szCs w:val="16"/>
          </w:rPr>
          <w:t>43 километра</w:t>
        </w:r>
      </w:smartTag>
      <w:r w:rsidRPr="00271E51">
        <w:rPr>
          <w:rFonts w:ascii="Times New Roman" w:hAnsi="Times New Roman"/>
          <w:color w:val="000000" w:themeColor="text1"/>
          <w:sz w:val="16"/>
          <w:szCs w:val="16"/>
        </w:rPr>
        <w:t xml:space="preserve">, проложено </w:t>
      </w:r>
      <w:smartTag w:uri="urn:schemas-microsoft-com:office:smarttags" w:element="metricconverter">
        <w:smartTagPr>
          <w:attr w:name="ProductID" w:val="1945 г"/>
        </w:smartTagPr>
        <w:r w:rsidRPr="00271E51">
          <w:rPr>
            <w:rFonts w:ascii="Times New Roman" w:hAnsi="Times New Roman"/>
            <w:color w:val="000000" w:themeColor="text1"/>
            <w:sz w:val="16"/>
            <w:szCs w:val="16"/>
          </w:rPr>
          <w:t>32,6 км</w:t>
        </w:r>
      </w:smartTag>
      <w:r w:rsidRPr="00271E51">
        <w:rPr>
          <w:rFonts w:ascii="Times New Roman" w:hAnsi="Times New Roman"/>
          <w:color w:val="000000" w:themeColor="text1"/>
          <w:sz w:val="16"/>
          <w:szCs w:val="16"/>
        </w:rPr>
        <w:t xml:space="preserve"> высоко- и низковольтного кабеля и еще </w:t>
      </w:r>
      <w:smartTag w:uri="urn:schemas-microsoft-com:office:smarttags" w:element="metricconverter">
        <w:smartTagPr>
          <w:attr w:name="ProductID" w:val="1945 г"/>
        </w:smartTagPr>
        <w:r w:rsidRPr="00271E51">
          <w:rPr>
            <w:rFonts w:ascii="Times New Roman" w:hAnsi="Times New Roman"/>
            <w:color w:val="000000" w:themeColor="text1"/>
            <w:sz w:val="16"/>
            <w:szCs w:val="16"/>
          </w:rPr>
          <w:t>50 километров</w:t>
        </w:r>
      </w:smartTag>
      <w:r w:rsidRPr="00271E51">
        <w:rPr>
          <w:rFonts w:ascii="Times New Roman" w:hAnsi="Times New Roman"/>
          <w:color w:val="000000" w:themeColor="text1"/>
          <w:sz w:val="16"/>
          <w:szCs w:val="16"/>
        </w:rPr>
        <w:t xml:space="preserve"> различных проводов, подключено к станкам 3500 электромоторов, смонтировано 2640 электроточек и 348 калориферов. При этом, однако, следует признать, что большинство работ выполнялось «временно», то есть с низким качеством. Так, «остекление» окон и световых фонарей, кроме собственно стекла, производилось фанерой и кровельным железом. Всего таким способом было «остеклено» 79 800 квадратных метров (15218).</w:t>
      </w:r>
    </w:p>
    <w:p w14:paraId="3234A85F" w14:textId="77777777" w:rsidR="005A27E3" w:rsidRPr="00271E51" w:rsidRDefault="005A27E3" w:rsidP="00271E51">
      <w:pPr>
        <w:widowControl w:val="0"/>
        <w:spacing w:after="0" w:line="240" w:lineRule="auto"/>
        <w:jc w:val="both"/>
        <w:rPr>
          <w:rFonts w:ascii="Times New Roman" w:hAnsi="Times New Roman"/>
          <w:color w:val="000000" w:themeColor="text1"/>
          <w:sz w:val="16"/>
          <w:szCs w:val="16"/>
        </w:rPr>
      </w:pPr>
    </w:p>
    <w:p w14:paraId="292C1F2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из СПРАВКИ О СОСТОЯНИИ БЫТОВОГО ОБСЛУЖИВАНИЯ ТРУДЯЩИХСЯ НА ЗАВОДЕ № 208</w:t>
      </w:r>
    </w:p>
    <w:p w14:paraId="1CB4D2F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Контингент столующихся на заводе составляет в августе 1 062 человека, в сентябре - 1 013 человек. Этот контингент размещается в трех столовых (соответственно каждому объекту завода) с общим количеством посадочных мест 290, что вполне может обеспечить нормальное обслуживание столующихся при отсутствии каких-либо очередей. Отсутствие четкой организации и формальное отношение к обслуживанию рабочих создает очереди и задержки рабочих в столовой более установленного времени. В столовой № 2 на 12 столов — 48 посадочных мест, имеется 10 табуреток. При наличии большого количества ложек, тарелок своего изготовления в столовой они имеются в совершенно недостаточном количестве, а в столовой № 3 ложек нет. Рабочие часто едят первое через край тарелки, а второе с применением ключей и других предметов. Руководители столовых тт. Субботина, Дмитриева, Помито-ва умышленно не берут столовой посуды, не желая нести ответственность за ее сохранность. Недостаток тарелок и особенно ложек создает очереди и задержку рабочих в столовых сверх установленного обеденного перерыва. Работницы цеха № 17 Малыгина, Куницына, рабочие Дядунь, Николаев рассказывают, что они систематически задерживаются в столовой сверх обеденного перерыва 10-15 минут. Санитарное состояние в столовых неудовлетворительное. Обслуживающий персонал (повара, официанты) не имеют колпаков, косынок, халатов; столы не покрыты клеенкой, в кухнях второй и третьей столовой — грязно. При наличии достаточного количества картофеля, капусты, лука и других овощей, полного отоваривания контингента столующихся жирами качество общих обедов очень низкое. Молодые рабочие и одиночки имеют трехразовое питание. Для лучших стахановцев введены дополнительные обеды, но только 50% ежедневно выдаваемых талонов обеспечивается улучшенными стахановскими обедами, а по остальным выдаются общие обеды: в столовой № 2 на 130 талонов готовится только 55 стахановских обедов. Диетпитание на заводе не организовано, нет четкого разграничения в питании основных рабочих, вспомогательных и инвалидов Отечественной войны. Общественный контроль в столовой бездействует. Плохая организация работы столовых вызывает справедливые нарекания и недовольство рабочих. Завод имеет подсобное хозяйство. В 1942 году оно дало товарной продукции: 37 тонн картофеля, 6 тонн капусты и 0,4 тонны других овощей, что ни в какой мере не удовлетворяло потребности завода. Реализация выделенных фондов по овощам и децентрализованные заготовки, а также заготовка дикорастущих культур, ягод, грибов и других проводится слабо. Для снабжения рабочих завода ОРС имеет только один магазин, расположенный вблизи завода. Продуктовые карточки всех категорий работающих на заводе и их иждивенцев в июне — августе отоварены на 100%, за исключением сахара, который отоварен в среднем на 60%. Хлеб рабочие получают в магазине ОРСа завода. Перебоев в снабжении хлебом по вине ОРСа нет. В ОРСе царит крайняя запущенность и запутанность в учете и отчетности. Прямым следствием этого является то, что только за три месяца июль - август 1943 года по столовым завода имеется излишков жиров 19,370 кг, крупы - 323—485 кг, сахара — 4,170 кг. При этом столовые имеют неоправданный фондовыми ордерами перерасход фондируемых продуктов в количестве: мяса - 920,31 кг, жиров - 89,35 кг, крупы -1 540,76 кг, сахара - 58,52 кг. Беспорядок и безответственность за </w:t>
      </w:r>
      <w:r w:rsidRPr="00271E51">
        <w:rPr>
          <w:rFonts w:ascii="Times New Roman" w:hAnsi="Times New Roman"/>
          <w:color w:val="000000" w:themeColor="text1"/>
          <w:sz w:val="16"/>
          <w:szCs w:val="16"/>
        </w:rPr>
        <w:lastRenderedPageBreak/>
        <w:t>происходящие действия усугубляются отсутствием работы по закреплению кадров ОРСа и столовых, исключительной текучестью этих кадров. За 1943 год в столовой № 1 сменилось директоров столовой - 4, заведующих производством - 6, калькуляторов - 5, бухгалтеров - 2. В столовой № 2 за этот же период сменилось директоров - 2, заведующих производством — 3. В ОРСе завода отсутствует учет выдачи ордеров и отчетность за их распределение, что создает условия для злоупотребления, безнаказанного хищения дефицитных промтоваров. В практике работы ОРСа допускаются преступные действия. В напряженный момент с питанием на заводе (март—апрель месяцы), вызванный недостатком продуктов, ОРС сгноил 45 тонн картофеля, 2 844 килограмма капусты и 390 килограмм грибов. Лица, виновные в этом, не привлечены к ответственности ни по административной, ни по партийной линии. Жилипшо-бытовые и культурные условия. Трудящиеся завода находятся в явно неудовлетворительных жилищно-бытовых условиях. Из 2 390 человек, работающих на заводе, 609 человек размещено во Дворце Труда - в помещении, явно неприспособленном для жилья — с одной стороны, при нарушении установленных режимных условий для военных заводов - с другой стороны. Рабочие с семьями в количестве 135 человек живут в бараках в 3-4 километрах от железнодорожной станции Инская. Барак старый, требующий большого ремонта. При бараке нет хозяйственно-бытовых помещений; картофель, дрова и уголь хранятся в жилой комнате, тут же производится стирка белья. На заводе 744 человека нуждаются в улучшении жилищных условий. Но руководство завода проявляет в этом вопросе полное благодушие. За время пребывания завода в городе Новосибирске с сентября 1941 года не выстроено ни одного квадратного метра жилья, тогда как в 1942 году заводу было выделено для строительства жилья лесоматериала на 7 комплектов 8-квартирных стандартных домов, которые заводом не выстроены, а весь материал на 5 домов, израсходован на другие нужды завода и продан заводу .V 590. Дом по улице Урицкого, № 19, с полезной жилой площадью в 1 000 квадратных метров, переданный заводу в 1942 году, требующий только внутренней отделки, заводом до сих пор не закончен. Выделенные заводу в 1942 году средства на индивидуальное строительство в сумме 50 000 рублей остались неиспользованными. При использовании всех возможностей завод мог бы иметь дополнительной жилплощади 2 400-2 500 квадратных метров, что полностью удовлетворило бы потребность завода в жилом фонде. Руководство завода и парторганизации серьезно вопросом жилищного строительства не занимались, необоснованно считая, что в жилищной площади у завода нужды нет. Начальник ОРСа т. Каретников не чувствует ответственности за жилищное строительство, считая пребывание в Новосибирске временным. Состояние обслуживания в общежитиях. В общежитиях запода недостает табуреток, шкафов и ящиков для одежды. Рабочие вынуждены сидеть на кровати и складывать верхние платья на кровать. В комнате девушек нет тазов и горячей воды, а поэтому они лишены возможности стирать белье. Грязно не только вокруг общежитий, но и в комнатах. Стены и топчаны в общежитиях изобилуют клопами, особенно общежитие № 1 Дворец труда. В летнее время рабочие вынуждены были спать на улице. К зиме общежития не подготовлены. Так, в общежитии на Инской течет крыша, рамы и переплеты рассохлись и развалились, печи неисправны. Руководители завода до сих пор не обеспечили общежития углем и дровами. Они не извлекли ошибок прошлого года в обеспечении общежитий топливом, когда семьи рабочих буквально мерзли. На заводе не организованы: прачечная, пошивочная и ремонтная мастерские, несмотря на их исключительную необходимость. Мастерская по ремонту обуви не удовлетворяет всех потребностей коллектива завода, контроль за ее работой не осуществляется. Нередки случаи, когда мастерская за ремонт обуви берет плату, в несколько раз превышающую установленные расценки ... Из-за необеспеченности обувью ряд рабочих на работу не выходят. Так, слесарь 5-го разряда т. Лево-хин не выходил на работу с 15 сентября; электромонтер т. Блиц — с 25 сентября. Работница 2-го цеха тов. Кокорина продолжительное время работала босиком в сыром подвале, простудилась и лежала в больнице. Она и до сих пор не выходит на работу из-за отсутствия обуви, о чем хорошо знает директор завода т. Гуданис и парторг ЦК ВКП(б) т. Гецин. Зимой 1942-1943 гг. в результате плохого утепления зданий, низкого качества ремонта отопительной системы завода, а также из-за недостатка угля во многих цехах завода была низкая температура, что, естественно, влияло на производительность труда и состояние здоровья рабочих. Дирекция завода, руководство партийной и профсоюзной организаций не сделали надлежащих выводов из указания ЦК ВКП(б) от 22 января 1943 года и решения X пленума обкома ВКП(б) об удовлетворении материально-бытовых нужд трудящихся и в практической работе ими не руководствовались. Директор завода т. Гуданис к материально-бытовым запросам трудящихся относится формально, бюрократически, на поступающие сигналы по материально-бытовому обслуживанию рабочих не реагировал. Мероприятия профорганизации в этом вопросе игнорировал и отстранил профорганизацию от участия в распределении материальных ресурсов. Не проявлял требовательности к своему заместителю Юдилевичу, начальнику ОРСа т. Маеву и директору подсобного хозяйства, а также и к другим ответственным работникам завода, которые практиковали систему бюрократизма, безответственности и бесконтрольности на важнейших участках работы, связанных с заботой о нуждах трудящихся. Профсоюзная организация находится в загоне и в силу этого не занимает надлежащего ей места в вопросе заботы о материально-бытовых нуждах трудящихся. Парторг ЦК ВКП(б) т. Гецин проявил полную неспособность в деле мобилизации парторганизации на выполнение указаний ЦК и обкома ВКП(б) по вопросу обеспечения материально-бытовых нужд трудящихся. Парторганизация не осуществляла контроля над деятельностью администрации и не направляла работы профорганизации на предмет создания наиболее благоприятных материально-бытовых условий трудящихся и сплочения рабочего коллектива завода, на более плодотворную и самоотверженную работу по выпуску оборонной продукции.</w:t>
      </w:r>
    </w:p>
    <w:p w14:paraId="600D605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Члены комиссии: Ефимов</w:t>
      </w:r>
    </w:p>
    <w:p w14:paraId="7C35959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Федоров Граболев Касич Трушина Медова</w:t>
      </w:r>
    </w:p>
    <w:p w14:paraId="2EB88D3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РАНО. Ф. П-4. Оп. 7. Д. 491. Л. 65-67, 70-71. Подлинник.</w:t>
      </w:r>
    </w:p>
    <w:p w14:paraId="790F067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Подписи-автографы Ефимова, Федорова. Трушина и Медова, три подписи членов комиссии отсутствуют. Под документом проставлена дата черным карандашом: «1.Х.1943 г.» (12193).</w:t>
      </w:r>
    </w:p>
    <w:p w14:paraId="50772079"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0525B2E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ИЗ СПРАВКИ О СОСТОЯНИИ ЖИЛИЩНО-БЫТОВЫХ УСЛОВИЙ И РАБОЧЕГО СНАБЖЕНИЯ ЗАВОДА № 65 ИМЕНИ СТАЛИНА НА 1 ОКТЯБРЯ</w:t>
      </w:r>
    </w:p>
    <w:p w14:paraId="124C0AF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Ответственный пом. директора по общим вопросам т. ЧЕНОВ И КРЫЖАНОВСКИЙ</w:t>
      </w:r>
    </w:p>
    <w:p w14:paraId="0A4CE26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Обеспеченность рабочих обувью и одеждой к зиме</w:t>
      </w:r>
    </w:p>
    <w:p w14:paraId="4295250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Обувью и теплой одеждой рабочие завода, в том числе ОМР, обеспечены совершенно недостаточно как в зимний период 1942-1943 гг., так и в настоящее время. Завод не располагает дополнительными фондами для обеспечения рабочих обувью и одеждой. Обеспечение идет исключительно за счет того, что сделано силами завода - кустарным способом, путем изготовления обуви и одежды в цехе подсобных предприятий. Всего в 1943 году изготовлено обуви - 2 800 пар, отремонтировано - 3 000 пар, пошито одежды: хлопчатобумажных костюмов - 900 комплектов, ватных костюмов — 230 комплектов. Это совершенно недостаточное количество. По фондам снабжение было ограничено. Завод лично много раз добивался через НКБ и обком ВКП(б) получения необходимого количества материалов для пошивки обуви и одежды, но реальных результатов нет. В сентябре месяце невыходы повысились и составляют в последней декаде 1 020 человек - за счет выхода на уборку картофеля в подсобное хозяйство, в среднем 300-320 человек ежедневно, а также предоставления большому количеству рабочих отпусков на 1—2 дня для индивидуальной уборки огородов. Из общего числа невыходов на работу, согласно таблицы, по болезни составляет 25%, или 80 человек ежедневных невыходов. Учета самовольно бросивших производство по группам ОМР, мобилизованных из сельской местности и привлеченных на производство военнообязанных не велось. Поэтому количество дезертировавших не указано. Основная часть дезертиров относится за счет рабочих-немок, узбеков, а также из бывших заключенных. Рабочих СиблагЯ на заводе № 65 с марта месяца не имеется.</w:t>
      </w:r>
    </w:p>
    <w:p w14:paraId="6EBAB1E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Общественное питание и торговля</w:t>
      </w:r>
    </w:p>
    <w:p w14:paraId="0B47800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ОРС завода № 65 организован в сентябре 1942 года. С момента возникновения не получил правильной организационной структуры. В ОРС не было подобрано работников, знающих и умеющих организовать рабочее снабжение. Подбору руководителей в ОРС не уделено должного внимания, и в результате за полугодие 1943 года сменилось четыре начальника ОРСа (Кудрявцев, Большаков, Гомзяков, Макаров). В данное время ОРС принял должную структуру, имеет сеть магазинов, столовых, базы, подсобное хозяйство, но положение ОРСа в целом по каждому участку продолжает оставаться исключительно плохим, требующим немедленных мер. Учитывая, что ОРС организован в конце 1942 года, основным пополнением текущей потребности в продуктах являются государственные фонды, выделяемые на контингент завода (12193).</w:t>
      </w:r>
    </w:p>
    <w:p w14:paraId="51082EE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1FBB5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 вышло РАСПОРЯЖЕНИЕ НАЧАЛЬНИКА ТЫЛА КА НАЧАЛЬНИКУ ГАВТУ КА ОБ ОРГАНИЗАЦИИ ЭКСПЕРИМЕНТАЛЬНЫХ РАБОТ С ТВЕРДЫМ БЕНЗИНОМ №123612</w:t>
      </w:r>
    </w:p>
    <w:p w14:paraId="70632D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Проверкой на месте установлено, что в деле работ, связанных с экспериментами твердого бен</w:t>
      </w:r>
      <w:r w:rsidRPr="00271E51">
        <w:rPr>
          <w:rFonts w:ascii="Times New Roman" w:hAnsi="Times New Roman"/>
          <w:color w:val="000000" w:themeColor="text1"/>
          <w:sz w:val="16"/>
          <w:szCs w:val="16"/>
        </w:rPr>
        <w:softHyphen/>
        <w:t>зина и газа, имеется недопустимая беспечность и разгильдяйство.</w:t>
      </w:r>
    </w:p>
    <w:p w14:paraId="27CB2A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опытная установка по переработке твердого бензина и газа, построенная на террито</w:t>
      </w:r>
      <w:r w:rsidRPr="00271E51">
        <w:rPr>
          <w:rFonts w:ascii="Times New Roman" w:hAnsi="Times New Roman"/>
          <w:color w:val="000000" w:themeColor="text1"/>
          <w:sz w:val="16"/>
          <w:szCs w:val="16"/>
        </w:rPr>
        <w:softHyphen/>
        <w:t>рии газогенераторного батальона, никем не охраняется, доступ к этой установке беспрепятственен. Надлежащего учета расхода твердого и жидкого бензина и газа не имеется.</w:t>
      </w:r>
    </w:p>
    <w:p w14:paraId="381B9A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Обязую Вас в трехсуточный срок:</w:t>
      </w:r>
    </w:p>
    <w:p w14:paraId="15F517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Убрать с территории газогенераторного батальона установку по переработке твердого бензи</w:t>
      </w:r>
      <w:r w:rsidRPr="00271E51">
        <w:rPr>
          <w:rFonts w:ascii="Times New Roman" w:hAnsi="Times New Roman"/>
          <w:color w:val="000000" w:themeColor="text1"/>
          <w:sz w:val="16"/>
          <w:szCs w:val="16"/>
        </w:rPr>
        <w:softHyphen/>
        <w:t>на; ограничить круг лиц, имеющих право знакомиться с работой этой установки.</w:t>
      </w:r>
    </w:p>
    <w:p w14:paraId="768E45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Установить строгий учет отпуска и расходования твердого бензина и газа.</w:t>
      </w:r>
    </w:p>
    <w:p w14:paraId="4AFF67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Установить ограниченный список автомашин и только им отпускать автобензин и газ, полу</w:t>
      </w:r>
      <w:r w:rsidRPr="00271E51">
        <w:rPr>
          <w:rFonts w:ascii="Times New Roman" w:hAnsi="Times New Roman"/>
          <w:color w:val="000000" w:themeColor="text1"/>
          <w:sz w:val="16"/>
          <w:szCs w:val="16"/>
        </w:rPr>
        <w:softHyphen/>
        <w:t>ченный из топливных брикетов. Автомашины, работающие на брикетном топливе, рассматривают</w:t>
      </w:r>
      <w:r w:rsidRPr="00271E51">
        <w:rPr>
          <w:rFonts w:ascii="Times New Roman" w:hAnsi="Times New Roman"/>
          <w:color w:val="000000" w:themeColor="text1"/>
          <w:sz w:val="16"/>
          <w:szCs w:val="16"/>
        </w:rPr>
        <w:softHyphen/>
        <w:t xml:space="preserve">ся как экспериментальные. Категорически запретить использование экспериментального топлива для снабжения автомашин работников НКО </w:t>
      </w:r>
      <w:r w:rsidRPr="00271E51">
        <w:rPr>
          <w:rFonts w:ascii="Times New Roman" w:hAnsi="Times New Roman"/>
          <w:color w:val="000000" w:themeColor="text1"/>
          <w:sz w:val="16"/>
          <w:szCs w:val="16"/>
        </w:rPr>
        <w:lastRenderedPageBreak/>
        <w:t>и других организаций и ведомств.</w:t>
      </w:r>
    </w:p>
    <w:p w14:paraId="4338F3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Проверить в 10-дневный срок деятельность газогенераторного батальона.</w:t>
      </w:r>
    </w:p>
    <w:p w14:paraId="7AD0EA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месячный срок подготовить экспериментальную установку по переработке твердого бензи</w:t>
      </w:r>
      <w:r w:rsidRPr="00271E51">
        <w:rPr>
          <w:rFonts w:ascii="Times New Roman" w:hAnsi="Times New Roman"/>
          <w:color w:val="000000" w:themeColor="text1"/>
          <w:sz w:val="16"/>
          <w:szCs w:val="16"/>
        </w:rPr>
        <w:softHyphen/>
        <w:t>на в одной из воинских частей Западного фронта.</w:t>
      </w:r>
    </w:p>
    <w:p w14:paraId="3BC9B3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тыла КА генерал-полковник интендантской службы А. Хрулев</w:t>
      </w:r>
    </w:p>
    <w:p w14:paraId="43F6CA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11579. Д. 5. Л. 97. Подлинник (11403).</w:t>
      </w:r>
    </w:p>
    <w:p w14:paraId="6DC73E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0210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 октября </w:t>
      </w:r>
      <w:r w:rsidRPr="00271E51">
        <w:rPr>
          <w:rFonts w:ascii="Times New Roman" w:hAnsi="Times New Roman"/>
          <w:color w:val="000000" w:themeColor="text1"/>
          <w:sz w:val="16"/>
          <w:szCs w:val="16"/>
        </w:rPr>
        <w:t>в 1943 году в Твери основан ремонтно-механический завод (с 1948 г. экскаваторный). Ныне — ОАО "Тверской экскаватор" — лидер в России по производству экскаваторов и погрузчиков. С февраля 2007 г. в составе крупного автомобилестроительного холдинга, созданного на базе ГАЗа (14786).</w:t>
      </w:r>
    </w:p>
    <w:p w14:paraId="58C0B195"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7369945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вышло Распоряжение ГКО № 4223 [О сроке мобилизации гужевого транспорта на вывозку дров к Ядринскому спиртозаводу Чувашской АССР.] (7141, 85).</w:t>
      </w:r>
    </w:p>
    <w:p w14:paraId="346DC1E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56A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На Балтийском заводе спущен на воду головной ТЩ (10671).</w:t>
      </w:r>
    </w:p>
    <w:p w14:paraId="57C777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F172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B97D6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FCD63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 октября </w:t>
      </w:r>
      <w:r w:rsidRPr="00271E51">
        <w:rPr>
          <w:rFonts w:ascii="Times New Roman" w:hAnsi="Times New Roman"/>
          <w:color w:val="000000" w:themeColor="text1"/>
          <w:sz w:val="16"/>
          <w:szCs w:val="16"/>
        </w:rPr>
        <w:t>в 1943 году оперативная сводка Совинформбюро:</w:t>
      </w:r>
    </w:p>
    <w:p w14:paraId="40B20B97"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октября на Могилёвском направлении наши войска, продолжая развивать наступление, продвинулись вперёд от 10 до 20 километров и, форсировав реку Сож, овладели городом Чериков, а также заняли более 340 других населённых пунктов, среди которых районный центр Могилёвской области Красноплоье, крупные населённые пункты Рясна, Старинка, Молятичи, Заболотье, Грабалова, Баевка,Комаровка, Юрковка, Губенщина, Костюшковичи, Речицы, Веприн, Бакуновичи, Городецкая, Ячная Буда и железнодорожная станция Осовец.</w:t>
      </w:r>
    </w:p>
    <w:p w14:paraId="0973680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наступление и, продвинувшись на отдельных участках вперёд от 10 до 15 километров, заняли свыше 100 населённых пунктов, в том числе крупные населённые пункты Холмы, Козелье, Миханичи, Выдренка, Колюды, Перелазы, Фошное, Будище, Нисимковичи, Бабичи, Фёдоровка, Новиловка, Петрополье, Селицкое, Рудня Шляги.</w:t>
      </w:r>
    </w:p>
    <w:p w14:paraId="2B6A11D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вести наступательные бои и заняли более 20 населённых пунктов, среди которых крупные населённые пункты Матюхи, Шитилово, Березино.</w:t>
      </w:r>
    </w:p>
    <w:p w14:paraId="1F3BE57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сентября наши войска на всех фронтах подбили и уничтожили 79 немецких танков. В воздушных боях и огнём зенитной артиллерии сбито 59 самолётов противника.</w:t>
      </w:r>
    </w:p>
    <w:p w14:paraId="57DDBC3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развивать наступление.Части Н-ского соединения после упорных боёв с противником переправились через реку Сож и, сломив сопротивление немцев, овладели городом Чериков. За день боёв освобождено от немецко-фашистских оккупантов свыше 340 других населённых пунктов. На ряде участков наши войска вышли к реке Проня. Отступая под ударами советских войск, противник несёт тяжёлые потери. В течение дня уничтожено до 2.000 немецких солдат и офицеров. Захвачены трофей, в числе которых 26 орудий, 4 миномётных батареи, до 200 пулемётов и 150 автомашин. Взято в плен 200 немецких солдат и офицеров.</w:t>
      </w:r>
    </w:p>
    <w:p w14:paraId="708ABBEF"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наступление. Противник,опираясь на укреплённую линию обороны с многочисленными дотами и дзотами, оказывал упорное сопротивление. Части Н-ского соединения, действуя штурмовыми отрядами, прорвали оборону немцев и овладели рядом населённых пунктов. Уничтожено свыше 1.000 вражеских солдат и офицеров. Захвачен крупный складбоеприпасов, продовольственный склад и другие трофеи. Южнее Гомеля наша частьуничтожила батальон немецкой пехоты. Захвачено 12 орудий, 14 миномётов и 40 повозок с боеприпасами.</w:t>
      </w:r>
    </w:p>
    <w:p w14:paraId="1558A8E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противник, артиллерийским огнём и контратаками пытался задержать наступление советских войск. Части Н-ского соединения в результате ожесточённых боёв отбросили гитлеровцев и заняли несколько населённых пунктов. Уничтожено до 1.500 вражеских солдат и офицеров. Бойцы Н-ской части выбили немцев из сильно укреплённых позиций и захватили 3 артиллерийских батареи. На другом участке происходила упорная борьба за высоту, господствующую над местностью. Наши бойцы решительной атакой овладели этой высотой. На поле боя остались сотни вражеских трупов и много брошенного немцами оружия.</w:t>
      </w:r>
    </w:p>
    <w:p w14:paraId="0553665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Самолёты-торпедоносцы Краснознамённого Балтийского флота потопили в Балтийском море два немецких танкера общим водоизмещением в 15 тысяч тонн и транспорт противника водоизмещением в 3 тысячи тонн. Авиацией Черноморского флота потоплены 4 катера, 3 баржи, 2 мотобота и 4 шлюпки с пехотой противника.</w:t>
      </w:r>
    </w:p>
    <w:p w14:paraId="6B896CE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белорусских партизанских отрядов, действующих в районах Гомельскойобласти, с 10 по 20 сентября пустили под откос 79 немецких воинских эшелонов. В результате крушений и взрывов разбиты десятки паровозов, 85 платформ с автомашинами и танками, 90 вагонов с боеприпасами, 47 цистерн с горючим и свыше 200 вагонов с различными военными грузами.</w:t>
      </w:r>
    </w:p>
    <w:p w14:paraId="122378D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обер-лейтенант 217 артиллерийского полка 217 немецкой пехотной дивизии Лео Зеймюллер рассказал: «Нашу дивизию спешно перебросили из города Луги в район Киева и с хода бросили в бой. Перед нами была поставлена задача — любой ценой задержать продвижение русских. Мы понесли тяжёлые потери, однако приказ не выполнили. Многие части также бежали, бросив на поле боя не только вооружение, но и раненых. Будучи в Луге, мы имели весьма смутное представление о том, что происходит на фронте. Только здесь мы увидели, как далеко зашло дело. Многие офицеры совершенно растерялись, а некоторые считают положение немецкой армии совершенно безнадёжным. Командир 3 дивизиона майор Плитцнер как-то заявил: «Игра проиграна, и нет никакого смысла воевать до последнего патрона».</w:t>
      </w:r>
    </w:p>
    <w:p w14:paraId="75E090DF"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Н.Сыроватка, Сумской области, освобождённого от немецко-фашистских захватчиков, Виктор Клименко, Иван Коломиец и Василий Занерко рассказали: «Немцы ворвались в наше село в сентябре 1941 года и с первых же дней стали вводить фашистский «новый порядок». Начались грабежи, убийства, бесконечные издевательства над советскими гражданами. Гитлеровцы расстреляли и повесили десятки колхозников. Многих жителей немцы насильно угнали на каторгу в Германию. За опоздание на работу фашисты пороли колхозников розгами, сажали на трое суток в подвал без пищи и воды. Гитлеровские разбойники разграбили колхозное добро и личное имущество колхозников. Весь сельскохозяйственный инвентарь: комбайны, жатки, сенокосилки, культиваторы и плуги немцы увезли. Они сожгли клуб колхоза «Жовтень», клуб колхоза имени Карла Маркса превратили в скотобойню, а в средней школе устроили колбасную. Парк культуры немцы превратили в солдатское кладбище. Отступая под ударами Красной Армии, немецко-фашистские мерзавцы сожгли среднюю школу, мельницу, скирды пшеницы и ячменя, уничтожиликолхозные пасеки, вырубили колхозный фруктовый сад и сожгли сотни домов колхозников» (14786).</w:t>
      </w:r>
    </w:p>
    <w:p w14:paraId="4322AC01"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242D78E8"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 октября </w:t>
      </w:r>
      <w:r w:rsidRPr="00271E51">
        <w:rPr>
          <w:rFonts w:ascii="Times New Roman" w:hAnsi="Times New Roman"/>
          <w:color w:val="000000" w:themeColor="text1"/>
          <w:sz w:val="16"/>
          <w:szCs w:val="16"/>
        </w:rPr>
        <w:t>в 1943 году Ставка ВГК приняла решение о расформировании с 10 октября Брянского фронта и создании на его базе Прибалтийского фронта (14786).</w:t>
      </w:r>
    </w:p>
    <w:p w14:paraId="7F842E40"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0CEF42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вышло Постановление ГКО № 4222 О переформировании автобатов и рот фронтового резерва в автополки и автобригады и доукомплектовании вновь формируемых авточастей личным составом и недостающим автотранспортом.РГАНИР, Фонд ГКО, д. 154, лл. 84 (11012).</w:t>
      </w:r>
    </w:p>
    <w:p w14:paraId="51D77F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4D7CC9" w14:textId="77777777" w:rsidR="005A27E3" w:rsidRPr="00271E51" w:rsidRDefault="005A27E3"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1 октября 1943 года в составе 12 фрон</w:t>
      </w:r>
      <w:r w:rsidRPr="00271E51">
        <w:rPr>
          <w:rFonts w:ascii="Times New Roman" w:cs="Times New Roman"/>
          <w:color w:val="000000" w:themeColor="text1"/>
          <w:spacing w:val="0"/>
        </w:rPr>
        <w:softHyphen/>
        <w:t>тов имелось 28 танковых полков прорыва, при этом максимальное число (по 4 полка) было на Ленинградском, Брянском и Степ</w:t>
      </w:r>
      <w:r w:rsidRPr="00271E51">
        <w:rPr>
          <w:rFonts w:ascii="Times New Roman" w:cs="Times New Roman"/>
          <w:color w:val="000000" w:themeColor="text1"/>
          <w:spacing w:val="0"/>
        </w:rPr>
        <w:softHyphen/>
        <w:t>ном фронтах (15226).</w:t>
      </w:r>
    </w:p>
    <w:p w14:paraId="5EB90B27" w14:textId="77777777" w:rsidR="005A27E3" w:rsidRPr="00271E51" w:rsidRDefault="005A27E3" w:rsidP="00271E51">
      <w:pPr>
        <w:pStyle w:val="27"/>
        <w:shd w:val="clear" w:color="auto" w:fill="auto"/>
        <w:spacing w:after="0" w:line="240" w:lineRule="auto"/>
        <w:ind w:firstLine="0"/>
        <w:rPr>
          <w:rFonts w:ascii="Times New Roman" w:cs="Times New Roman"/>
          <w:color w:val="000000" w:themeColor="text1"/>
          <w:spacing w:val="0"/>
        </w:rPr>
      </w:pPr>
    </w:p>
    <w:p w14:paraId="7BEDB2B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68EE88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F485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года получена:</w:t>
      </w:r>
    </w:p>
    <w:p w14:paraId="3C9F55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СТРОГО СЕКРЕТНО ПОСЛАНИЕ ОТ ПРЕМЬЕР-МИНИСТРА г-на УИНСТОНА ЧЕРЧИЛЛЯ МАРШАЛУ СТАЛИНУ</w:t>
      </w:r>
    </w:p>
    <w:p w14:paraId="47936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Получил Вашу просьбу о возобновлении конвоев в Северную Россию</w:t>
      </w:r>
      <w:r w:rsidRPr="00271E51">
        <w:rPr>
          <w:rFonts w:ascii="Times New Roman" w:hAnsi="Times New Roman"/>
          <w:color w:val="000000" w:themeColor="text1"/>
          <w:sz w:val="16"/>
          <w:szCs w:val="16"/>
          <w:vertAlign w:val="superscript"/>
        </w:rPr>
        <w:t>56</w:t>
      </w:r>
      <w:r w:rsidRPr="00271E51">
        <w:rPr>
          <w:rFonts w:ascii="Times New Roman" w:hAnsi="Times New Roman"/>
          <w:color w:val="000000" w:themeColor="text1"/>
          <w:sz w:val="16"/>
          <w:szCs w:val="16"/>
        </w:rPr>
        <w:t>. Я и все мои коллеги весьма желаем помочь Вам и руководимым Вами доблестным армиям до пределов наших возможностей. Поэтому я не отвечаю на различные противоречивые моменты, содержащиеся в сообщении г-на Молотова. С 22 июня 1941 года мы неустанно старались, несмотря, на наше собственное тяжелое бремя, помочь Вам защищать Вашу страну от жестокого вторжения гитлеровской банды, и мы никогда не переставали признавать и провозглашать великие преимущества, которые мы получили благодаря замечательным победам, одержанным Вами, и благодаря смертельным ударам, которые Вы нанесли германским армиям.</w:t>
      </w:r>
    </w:p>
    <w:p w14:paraId="7C3E9E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В течение последних четырех дней я работал вместе с Адмиралтейством над составлением плана отправки в Северную Россию новой серии конвоев. Это связано с весьма большими трудностями. Во-первых, битва за Атлантику снова началась. Подводные лодки нападают на нас с помощью нового типа акустической торпеды, </w:t>
      </w:r>
      <w:r w:rsidRPr="00271E51">
        <w:rPr>
          <w:rFonts w:ascii="Times New Roman" w:hAnsi="Times New Roman"/>
          <w:color w:val="000000" w:themeColor="text1"/>
          <w:sz w:val="16"/>
          <w:szCs w:val="16"/>
        </w:rPr>
        <w:lastRenderedPageBreak/>
        <w:t>которая, показала себя эффективной против эскортирующих судов, когда последние преследуют подводные лодки. Во-вторых, наши силы на Средиземном море весьма напряжены из-за создания армии в Италии численностью около</w:t>
      </w:r>
    </w:p>
    <w:p w14:paraId="09630C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600 000 человек к концу ноября, а также вследствие того, что мы пытаемся полностью воспользоваться крахом Италии на Эгейских островах и на Балканском полуострове. В-третьих, мы должны вносить нашу долю в войну против Японии, в ведении которой Соединенные Штаты весьма заинтересованы и народ которых был бы обижен, если бы мы были к этому равнодушны.</w:t>
      </w:r>
    </w:p>
    <w:p w14:paraId="37DE1C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Несмотря на вышеизложенное, я весьма рад сообщить Вам, что мы рассчитываем отправить в Северную Россию четыре конвоя в течение ноября, декабря, января и февраля, каждый из которых будет состоять приблизительно из 35 британских и американских судов. Конвои можио будет отправлять двумя частями для того, чтобы удовлетворить оперативным требованиям. Первый конвой выйдет из Соединенного Королевства около 12 ноября и прибудет в Северную Россию через 10 дней; последующие конвои будут выходить с интервалами приблизительно в 28 дней. Мы намерены к концу октября вывести возможно большее количество тортовых судов, находящихся в настоящее время в Северной России, а остаток—с возвращающимися эскортами конвоев.</w:t>
      </w:r>
    </w:p>
    <w:p w14:paraId="5F030C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Однако я должен заявить, что это не обязательство и не соглашение, а скорее заявление о нашем торжественном и серьезном решении. На основе этого я распорядился о принятии необходимых мер к отправке этих четырем конвоев в составе 35 судов.</w:t>
      </w:r>
    </w:p>
    <w:p w14:paraId="12F268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Однако Министерство Иностранных Дел н Адмиралтейство просят меня обратить Ваше внимание на трудности, которое мы испытывали в Северной России, в надежде, что Вы лично с этим ознакомитесь.</w:t>
      </w:r>
    </w:p>
    <w:p w14:paraId="789BFF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Если мы возобновим конвои, нам придется увеличить наш персонал в Северной России, численность которого с марта этого года была сокращена. Нынешняя численность военно-морского персонала ниже той, которая необходима для наших настоящих требований вследствие того, что приходится отправлять на родину людей, не присылая им замены.. Ваши гражданские власти отказывали нам во всех визах для отправки людей в Северную Россию, даже для замены тех, которые уже давно должны быть заменены. Г-н Молотов настаивал на том, чтобы Правительство Его Величества согласилось с тем, чтобы количество британского военного персонала в Северной России не превышало количества советского военного персонала и персонала торгового представительства в Англии. Мы не были в состоянии принять это предложение, поскольку их работа совершенно различна и количество людей, необходимых для военных операций, не может быть определено таким нереальным путем. Во-вторых, как мы уже сообщали Советскому Правительству, ясно, что мы сами должны судить о количестве персонала, необходимого для выполнения операций, за которые мы несем ответственность; г-н Идеи уже давал свои заверения в том, что особое внимание будет уделено тому, чтобы ограничить количество персонала минимумом.</w:t>
      </w:r>
    </w:p>
    <w:p w14:paraId="13B12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Поэтому я должен просить Вас согласиться на немедленную выдачу виз дополнительному персоналу, необходимому в настоящее время, и просить Вашего заверения в том, что Вы в будущем не будете отказывать в визах, когда мы сочтем необходимым просить о них, в связи с помощью, которую мы оказываем Вам в Северной России. Я подчеркиваю, что приблизительно из 170 человек военно-морского персонала, находящегося в настоящее время на Севере, свыше 150 человек должны были быть заменены несколько месяцев тому назад, но советские визы не были выданы. Состояние здоровья этих людей, которые не привыкли к климату и другим условиям, таково, что крайне необходимо заменить их без дальнейшего промедления.</w:t>
      </w:r>
    </w:p>
    <w:p w14:paraId="0D4373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Мы также хотели послать небольшой медицинский персонал в Архангельск, на что Ваши власти согласились. Но этому персоналу не были выданы необходимые визы. Прошу Вас помнить о том, что у нас может быть много несчастных случаев.</w:t>
      </w:r>
    </w:p>
    <w:p w14:paraId="6FA902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Я должен также просить о Вашей помощи в облегчении условий, в которых в настоящее время находятся наш военный персонал и моряки в Северной России. Эти лица, конечно, заняты в операциях против врага в наших общих интересах, и они работают главным образом для того, чтобы доставить снабжение союзников в Вашу страну. Они, с чем, как я уверен, Вы согласитесь, находятся в совершенно другом положении по сравнению с обычными лицами, отправляющимися на русскую территорию. Однако Ваши власти подвергают их следующим ограничениям, которые кажутся мне неуместными в отношении людей, посылаемых союзником для выполнения операций, в которых весьма заинтересован Советский Союз:</w:t>
      </w:r>
    </w:p>
    <w:p w14:paraId="41D258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a) никто не может высадиться на берег с какого-либо военного судна Его Величества или с британского торгового судна, кроме как на советском катере, в присутствии советского должностного лица и после проверки документов в каждом случае;</w:t>
      </w:r>
    </w:p>
    <w:p w14:paraId="3D99D2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 никому с британского военного судна не разрешается переходить на британское торговое судно без предварительного уведомления советских властей. Это относится даже к британскому адмиралу, являющемуся там старшим;</w:t>
      </w:r>
    </w:p>
    <w:p w14:paraId="51212A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от британских офицеров и рядовых требуют, чтобы они получали специальные пропуска, прежде чем они могут сойти с судна на берег или смогут передвигаться между двумя британскими учреждениями на берегу; выдача этих пропусков часто сильно задерживается, вызывая нарушение выполняемой работы;</w:t>
      </w:r>
    </w:p>
    <w:p w14:paraId="00793F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 никакие грузы, багаж или почта, предназначенные этому оперативному персоналу, не могут быть выгружены, кроме как в присутствии советского должностного лица, и требуется соблюсти многочисленные формальности для отправки всяких грузов и почты;</w:t>
      </w:r>
    </w:p>
    <w:p w14:paraId="468738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частная переписка подвергается цензуре, хотя для оперативного персонала этого рода цензура, по нашему мнению, должна проводиться британскими военными властями.</w:t>
      </w:r>
    </w:p>
    <w:p w14:paraId="4C8B5B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Введение этих ограничений производит как на офицеров, так и на рядовых впечатление, неблагоприятное для англосоветских отношений, и был бы нанесен большой ущерб, если бы об этом узнал парламент. Все эти формальности крайне затрудняли этим людям эффективное выполнение ими своих обязанностей, причем не раз при выполнении срочных и важных операций. Советский персонал в Англии не подвергается таким ограничениям.</w:t>
      </w:r>
    </w:p>
    <w:p w14:paraId="193F36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Мы уже сделали г-ну Молотову предложение о том, чтобы в случае нарушений советских законов военным персоналом и персоналом судов конвоев эти дела передавались британским военным властям для рассмотрения. Таких случаев было несколько. Несомненно, они частично происходили из-за суровых условий службы на Севере.</w:t>
      </w:r>
    </w:p>
    <w:p w14:paraId="29202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Поэтому я искренне верю, что Вы сочтете возможным дать указания о разрешении этих трудностей в дружественном духе так, чтобы мы смогли помочь друг другу и общему делу, насколько это будет в наших силах.</w:t>
      </w:r>
    </w:p>
    <w:p w14:paraId="528A3E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56</w:t>
      </w:r>
      <w:r w:rsidRPr="00271E51">
        <w:rPr>
          <w:rFonts w:ascii="Times New Roman" w:hAnsi="Times New Roman"/>
          <w:color w:val="000000" w:themeColor="text1"/>
          <w:sz w:val="16"/>
          <w:szCs w:val="16"/>
        </w:rPr>
        <w:t xml:space="preserve"> Речь идет о памятной записке, врученной народным комиссаром иностранных дел СССР английскому послу в СССР 20 сентября 1943 г. В этой памятной записке Советское правительство настаивало на возобновлении прерванной правительствами Англии и США в марте 1943 г. посылки конвоев в северные порты Советского Союза (7430).</w:t>
      </w:r>
    </w:p>
    <w:p w14:paraId="1C805E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DD9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года</w:t>
      </w:r>
    </w:p>
    <w:p w14:paraId="2557D4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МАРШАЛУ СТАЛИНУ ОТ ПРЕЗИДЕНТА РУЗВЕЛЬТА</w:t>
      </w:r>
    </w:p>
    <w:p w14:paraId="357D11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Союзный Главнокомандующий на средиземноморском театре Эйзенхауэр рекомендовал внести следующие изменения в “Документ о капитуляции Италии” </w:t>
      </w:r>
      <w:r w:rsidRPr="00271E51">
        <w:rPr>
          <w:rFonts w:ascii="Times New Roman" w:hAnsi="Times New Roman"/>
          <w:color w:val="000000" w:themeColor="text1"/>
          <w:sz w:val="16"/>
          <w:szCs w:val="16"/>
          <w:vertAlign w:val="superscript"/>
        </w:rPr>
        <w:t>43</w:t>
      </w:r>
      <w:r w:rsidRPr="00271E51">
        <w:rPr>
          <w:rFonts w:ascii="Times New Roman" w:hAnsi="Times New Roman"/>
          <w:color w:val="000000" w:themeColor="text1"/>
          <w:sz w:val="16"/>
          <w:szCs w:val="16"/>
        </w:rPr>
        <w:t>.</w:t>
      </w:r>
    </w:p>
    <w:p w14:paraId="1A069C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Изменить название на “Дополнительные условия перемирия с Италией”.</w:t>
      </w:r>
    </w:p>
    <w:p w14:paraId="0AB22D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Изменить последнюю фразу преамбулы следующим образом: “и были приняты безоговорочно главой Итальянского Правительства маршалом Пьетро Бадольо”.</w:t>
      </w:r>
    </w:p>
    <w:p w14:paraId="70973F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Опустить упоминание о безоговорочной капитуляции в параграфе 1.</w:t>
      </w:r>
    </w:p>
    <w:p w14:paraId="757C0E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 Эйзенхауэр и все его высшие командиры согласны с этим предложением, как весьма выгодным для наших успехов в деле поражения германских войск в Италии, потому что это поможет привлечь на нашу сторону армию, флот и гражданское население Италии.</w:t>
      </w:r>
    </w:p>
    <w:p w14:paraId="333720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Эйзенхауэр настоятельно просит о том, чтобы до вынесения решения относительно этих предложений сохранялась секретность в отношении условий, содержащихся в документе о капитуляции, что является “абсолютно необходимым для наших успехов в Италии”.</w:t>
      </w:r>
    </w:p>
    <w:p w14:paraId="64EB27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надеюсь, что эти предложения генерала Эйзенхауэра будут одобрены союзными державами потому, что они весьма выгодны для наших военных усилий и не могут нанести нам никакого ущерба.</w:t>
      </w:r>
    </w:p>
    <w:p w14:paraId="2C52E0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телеграфировать Ваше согласие как можно скорее (7430).</w:t>
      </w:r>
    </w:p>
    <w:p w14:paraId="027E38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C483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C7A91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C3E3E"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октября (ночь) 1943 253 британских бомбардировщика совершают успешную атаку на Хаген, Германия, с потерей двух самолетов (290376).</w:t>
      </w:r>
    </w:p>
    <w:p w14:paraId="0E2CC364" w14:textId="77777777" w:rsidR="003608FA" w:rsidRPr="00271E51" w:rsidRDefault="003608FA" w:rsidP="00271E51">
      <w:pPr>
        <w:spacing w:after="0" w:line="240" w:lineRule="auto"/>
        <w:jc w:val="both"/>
        <w:rPr>
          <w:rFonts w:ascii="Times New Roman" w:hAnsi="Times New Roman"/>
          <w:color w:val="0070C0"/>
          <w:sz w:val="16"/>
          <w:szCs w:val="16"/>
        </w:rPr>
      </w:pPr>
    </w:p>
    <w:p w14:paraId="3522B14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войсками союзников захвачен Неаполь (4962).</w:t>
      </w:r>
    </w:p>
    <w:p w14:paraId="0EF865E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96E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 1943 Allies enter Naples, Italy (1050).</w:t>
      </w:r>
    </w:p>
    <w:p w14:paraId="69C34D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81E4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октября 1943 союзники (5А США - 2246,5) вошли в Неаполь (1050).</w:t>
      </w:r>
    </w:p>
    <w:p w14:paraId="06370F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B0B21"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lastRenderedPageBreak/>
        <w:t xml:space="preserve">1 октября </w:t>
      </w:r>
      <w:r w:rsidRPr="00271E51">
        <w:rPr>
          <w:rFonts w:ascii="Times New Roman" w:hAnsi="Times New Roman"/>
          <w:color w:val="000000" w:themeColor="text1"/>
          <w:sz w:val="16"/>
          <w:szCs w:val="16"/>
        </w:rPr>
        <w:t>в 1943 году в Италии британские войска начинают наступление из района Салернского залива и берут Неаполь (14786).</w:t>
      </w:r>
    </w:p>
    <w:p w14:paraId="04C6B21B"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55AB635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 октября </w:t>
      </w:r>
      <w:r w:rsidRPr="00271E51">
        <w:rPr>
          <w:rFonts w:ascii="Times New Roman" w:hAnsi="Times New Roman"/>
          <w:color w:val="000000" w:themeColor="text1"/>
          <w:sz w:val="16"/>
          <w:szCs w:val="16"/>
        </w:rPr>
        <w:t>в 1943 году генерал Франко провозгласил нейтралитет вместо "неведения боевых действий" и отозвал с Восточного фронта остатки добровольческой "Голубой дивизии". Воевать остался только полуторатысячный "Добровольческий легион" (14786).</w:t>
      </w:r>
    </w:p>
    <w:p w14:paraId="2B0FD169"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18E16ED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B6592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F2C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закончились заводские летные испытания И-220 с АМ-39 и АВ-5-Л126, которые начались 26 октября 1942 (799,5).</w:t>
      </w:r>
    </w:p>
    <w:p w14:paraId="4F6D63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зам. НКАП А.С.Я. утвердил Отчет о заводских летных испытаниях с-та И-220</w:t>
      </w:r>
    </w:p>
    <w:p w14:paraId="32A154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исполнители ви А.Г.Брунов</w:t>
      </w:r>
    </w:p>
    <w:p w14:paraId="7226FA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л Хорьков</w:t>
      </w:r>
    </w:p>
    <w:p w14:paraId="5C63A9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 с АМ-39 и АВ-5-Л126 диаметром 3,2</w:t>
      </w:r>
    </w:p>
    <w:p w14:paraId="7662FB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3647 и с АМ-38Ф 3572</w:t>
      </w:r>
    </w:p>
    <w:p w14:paraId="4E614D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20,38 м2, длина 9,5, размах 11, высота на стоянке 3,160, колеса 650х200, нагрузка на крыло 180</w:t>
      </w:r>
    </w:p>
    <w:p w14:paraId="05DF0D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АМ-39</w:t>
      </w:r>
    </w:p>
    <w:p w14:paraId="592871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571, на 1 гр. 2700 - 614, на 2 гр. 7800 - 697</w:t>
      </w:r>
    </w:p>
    <w:p w14:paraId="7F8ED7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АМ-38Ф3</w:t>
      </w:r>
    </w:p>
    <w:p w14:paraId="25E2F6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576, на 1 гр. 2650 - 624 (799,5).</w:t>
      </w:r>
    </w:p>
    <w:p w14:paraId="0F11BC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2AF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И-220 во втором полете с АМ-38Ф перед сдачей на гос. испытания потерпел аварию (л Жуков) при посадке в районе между Истрой и Солнечногорском у деревни Исаково (1775,193).</w:t>
      </w:r>
    </w:p>
    <w:p w14:paraId="68D676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5F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заводские испытания И-220 № 01 пришлось завершить, так как после вынужденной посадки самолет И-220 №01 потерпел аварию, и его вновь отправили в ремонт. По результатам испытаний было принято решение после ремонта передать истребитель на государственные испытания первоначально также с мотором АМ-38Ф с последующей заменой на АМ-39, так как последний еще нуждался в доработке. Между тем в опытном производстве полным ходом шла сборка второго экземпляра И-220, который предполагали вывести на аэродром 4 декабря 1943 г. Первоначально машину также планировали передать на испытания с мотором АМ-38Ф с заменой в дальнейшем на АМ-39. По существу И-220 №02 являлся эталоном для серийного производства, поэтому на нем были устранены многие конструктивные недостатки, выявленные на И-220 №01 в процессе испытаний. Основным внешним отличием машин были главные стойки шасси. На И-220 №02 они были выполнены с внешними полувилками, что позволяло в отличие от И-220 №01 производить смену колес без демонтажа щитков шасси (5669).</w:t>
      </w:r>
    </w:p>
    <w:p w14:paraId="6C634F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DE2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w:t>
      </w:r>
      <w:r w:rsidRPr="00271E51">
        <w:rPr>
          <w:rFonts w:ascii="Times New Roman" w:hAnsi="Times New Roman"/>
          <w:color w:val="000000" w:themeColor="text1"/>
          <w:sz w:val="16"/>
          <w:szCs w:val="16"/>
        </w:rPr>
        <w:softHyphen/>
        <w:t>тября 1943 г. самолет И—220 зав. № 01 потерпел аварию, и его отправили в ремонт. Проанализировав ситуа</w:t>
      </w:r>
      <w:r w:rsidRPr="00271E51">
        <w:rPr>
          <w:rFonts w:ascii="Times New Roman" w:hAnsi="Times New Roman"/>
          <w:color w:val="000000" w:themeColor="text1"/>
          <w:sz w:val="16"/>
          <w:szCs w:val="16"/>
        </w:rPr>
        <w:softHyphen/>
        <w:t>цию, руководство ОКБ—155 приняло решение после ремонта передать истребитель на государственные испытания, первоначально также с мотором АМ—38Ф с последующей заменой на АМ—39. Второй экземпляр И—220 запланировали вывести на аэродром 4 декабря 1943 г. На первом этапе машину также решили оснастить мотором АМ—38Ф. По суще</w:t>
      </w:r>
      <w:r w:rsidRPr="00271E51">
        <w:rPr>
          <w:rFonts w:ascii="Times New Roman" w:hAnsi="Times New Roman"/>
          <w:color w:val="000000" w:themeColor="text1"/>
          <w:sz w:val="16"/>
          <w:szCs w:val="16"/>
        </w:rPr>
        <w:softHyphen/>
        <w:t>ству, И—220 зав. № 02 должен был стать эталоном для серийного производства, на нем удалось устранить многие конструктивные недостатки, выявленные на И—220 зав. № 01 в процессе испытаний. Основное внешнее отличие машин визуально обнаруживалось в конструкции главных стоек шасси: у второго И—220 они имели внешние полувилки, что позволяло заме</w:t>
      </w:r>
      <w:r w:rsidRPr="00271E51">
        <w:rPr>
          <w:rFonts w:ascii="Times New Roman" w:hAnsi="Times New Roman"/>
          <w:color w:val="000000" w:themeColor="text1"/>
          <w:sz w:val="16"/>
          <w:szCs w:val="16"/>
        </w:rPr>
        <w:softHyphen/>
        <w:t>нять колеса без демонтажа щитков шасси (9984).</w:t>
      </w:r>
    </w:p>
    <w:p w14:paraId="7ED809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E43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октября 1943 г. И-220 с АМ-38Ф, начавший полеты 1 октября, потерпел аварию, и его отправили в ремонт. Тем временем на заводе №155 строился второй экземпляр И-220, также с двигателем АМ-38Ф. </w:t>
      </w:r>
    </w:p>
    <w:p w14:paraId="756C15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3FB3390C" w14:textId="77777777" w:rsidTr="00ED5B0A">
        <w:tc>
          <w:tcPr>
            <w:tcW w:w="1868" w:type="dxa"/>
            <w:tcBorders>
              <w:top w:val="single" w:sz="12" w:space="0" w:color="auto"/>
            </w:tcBorders>
          </w:tcPr>
          <w:p w14:paraId="4E8145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868" w:type="dxa"/>
            <w:tcBorders>
              <w:top w:val="single" w:sz="12" w:space="0" w:color="auto"/>
            </w:tcBorders>
          </w:tcPr>
          <w:p w14:paraId="50470D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МиГ-3</w:t>
            </w:r>
          </w:p>
        </w:tc>
        <w:tc>
          <w:tcPr>
            <w:tcW w:w="1868" w:type="dxa"/>
            <w:tcBorders>
              <w:top w:val="single" w:sz="12" w:space="0" w:color="auto"/>
            </w:tcBorders>
          </w:tcPr>
          <w:p w14:paraId="50D775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МиГ-9</w:t>
            </w:r>
          </w:p>
        </w:tc>
        <w:tc>
          <w:tcPr>
            <w:tcW w:w="1868" w:type="dxa"/>
            <w:tcBorders>
              <w:top w:val="single" w:sz="12" w:space="0" w:color="auto"/>
            </w:tcBorders>
          </w:tcPr>
          <w:p w14:paraId="74B476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w:t>
            </w:r>
          </w:p>
        </w:tc>
        <w:tc>
          <w:tcPr>
            <w:tcW w:w="1868" w:type="dxa"/>
            <w:tcBorders>
              <w:top w:val="single" w:sz="12" w:space="0" w:color="auto"/>
            </w:tcBorders>
          </w:tcPr>
          <w:p w14:paraId="4A4563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И-224</w:t>
            </w:r>
          </w:p>
        </w:tc>
        <w:tc>
          <w:tcPr>
            <w:tcW w:w="1868" w:type="dxa"/>
            <w:tcBorders>
              <w:top w:val="single" w:sz="12" w:space="0" w:color="auto"/>
            </w:tcBorders>
          </w:tcPr>
          <w:p w14:paraId="6311DF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И-225</w:t>
            </w:r>
          </w:p>
        </w:tc>
      </w:tr>
      <w:tr w:rsidR="00A907A5" w:rsidRPr="00271E51" w14:paraId="79ACD234" w14:textId="77777777" w:rsidTr="00ED5B0A">
        <w:tc>
          <w:tcPr>
            <w:tcW w:w="1868" w:type="dxa"/>
          </w:tcPr>
          <w:p w14:paraId="59A04C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двигателя</w:t>
            </w:r>
          </w:p>
        </w:tc>
        <w:tc>
          <w:tcPr>
            <w:tcW w:w="1868" w:type="dxa"/>
          </w:tcPr>
          <w:p w14:paraId="75A9DE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1868" w:type="dxa"/>
          </w:tcPr>
          <w:p w14:paraId="10C190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1868" w:type="dxa"/>
          </w:tcPr>
          <w:p w14:paraId="6CC314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1868" w:type="dxa"/>
          </w:tcPr>
          <w:p w14:paraId="12EFF2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АМ-39ФБ</w:t>
            </w:r>
          </w:p>
        </w:tc>
        <w:tc>
          <w:tcPr>
            <w:tcW w:w="1868" w:type="dxa"/>
          </w:tcPr>
          <w:p w14:paraId="1A3B8D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АМ-42ФБ</w:t>
            </w:r>
          </w:p>
        </w:tc>
      </w:tr>
      <w:tr w:rsidR="00A907A5" w:rsidRPr="00271E51" w14:paraId="6DA6120B" w14:textId="77777777" w:rsidTr="00ED5B0A">
        <w:tc>
          <w:tcPr>
            <w:tcW w:w="1868" w:type="dxa"/>
          </w:tcPr>
          <w:p w14:paraId="760905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л.с.</w:t>
            </w:r>
          </w:p>
        </w:tc>
        <w:tc>
          <w:tcPr>
            <w:tcW w:w="1868" w:type="dxa"/>
          </w:tcPr>
          <w:p w14:paraId="532AE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1665</w:t>
            </w:r>
          </w:p>
        </w:tc>
        <w:tc>
          <w:tcPr>
            <w:tcW w:w="1868" w:type="dxa"/>
          </w:tcPr>
          <w:p w14:paraId="2FCA7F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1868" w:type="dxa"/>
          </w:tcPr>
          <w:p w14:paraId="067E25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1868" w:type="dxa"/>
          </w:tcPr>
          <w:p w14:paraId="30609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1850</w:t>
            </w:r>
          </w:p>
        </w:tc>
        <w:tc>
          <w:tcPr>
            <w:tcW w:w="1868" w:type="dxa"/>
          </w:tcPr>
          <w:p w14:paraId="05356D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31CDE747" w14:textId="77777777" w:rsidTr="00ED5B0A">
        <w:tc>
          <w:tcPr>
            <w:tcW w:w="1868" w:type="dxa"/>
          </w:tcPr>
          <w:p w14:paraId="170F2D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w:t>
            </w:r>
          </w:p>
        </w:tc>
        <w:tc>
          <w:tcPr>
            <w:tcW w:w="1868" w:type="dxa"/>
          </w:tcPr>
          <w:p w14:paraId="3C48CB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8,25</w:t>
            </w:r>
          </w:p>
        </w:tc>
        <w:tc>
          <w:tcPr>
            <w:tcW w:w="1868" w:type="dxa"/>
          </w:tcPr>
          <w:p w14:paraId="4FA9EA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8,078</w:t>
            </w:r>
          </w:p>
        </w:tc>
        <w:tc>
          <w:tcPr>
            <w:tcW w:w="1868" w:type="dxa"/>
          </w:tcPr>
          <w:p w14:paraId="4489C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c>
          <w:tcPr>
            <w:tcW w:w="1868" w:type="dxa"/>
          </w:tcPr>
          <w:p w14:paraId="757E5D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1868" w:type="dxa"/>
          </w:tcPr>
          <w:p w14:paraId="0BE6D6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r>
      <w:tr w:rsidR="00A907A5" w:rsidRPr="00271E51" w14:paraId="732F1BA9" w14:textId="77777777" w:rsidTr="00ED5B0A">
        <w:tc>
          <w:tcPr>
            <w:tcW w:w="1868" w:type="dxa"/>
          </w:tcPr>
          <w:p w14:paraId="432E66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661D84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15684F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1868" w:type="dxa"/>
          </w:tcPr>
          <w:p w14:paraId="5DB4C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1868" w:type="dxa"/>
          </w:tcPr>
          <w:p w14:paraId="7A5883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1868" w:type="dxa"/>
          </w:tcPr>
          <w:p w14:paraId="30B036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r>
      <w:tr w:rsidR="00A907A5" w:rsidRPr="00271E51" w14:paraId="4F35EB74" w14:textId="77777777" w:rsidTr="00ED5B0A">
        <w:tc>
          <w:tcPr>
            <w:tcW w:w="1868" w:type="dxa"/>
          </w:tcPr>
          <w:p w14:paraId="714509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1868" w:type="dxa"/>
          </w:tcPr>
          <w:p w14:paraId="0095A4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07C3C2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17,44</w:t>
            </w:r>
          </w:p>
        </w:tc>
        <w:tc>
          <w:tcPr>
            <w:tcW w:w="1868" w:type="dxa"/>
          </w:tcPr>
          <w:p w14:paraId="7C009D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20,38</w:t>
            </w:r>
          </w:p>
        </w:tc>
        <w:tc>
          <w:tcPr>
            <w:tcW w:w="1868" w:type="dxa"/>
          </w:tcPr>
          <w:p w14:paraId="3EA11A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1868" w:type="dxa"/>
          </w:tcPr>
          <w:p w14:paraId="459063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20,4</w:t>
            </w:r>
          </w:p>
        </w:tc>
      </w:tr>
      <w:tr w:rsidR="00A907A5" w:rsidRPr="00271E51" w14:paraId="5A6F016C" w14:textId="77777777" w:rsidTr="00ED5B0A">
        <w:tc>
          <w:tcPr>
            <w:tcW w:w="1868" w:type="dxa"/>
          </w:tcPr>
          <w:p w14:paraId="62969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самолета, м</w:t>
            </w:r>
          </w:p>
        </w:tc>
        <w:tc>
          <w:tcPr>
            <w:tcW w:w="1868" w:type="dxa"/>
          </w:tcPr>
          <w:p w14:paraId="4742DB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6ADEBE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2762</w:t>
            </w:r>
          </w:p>
        </w:tc>
        <w:tc>
          <w:tcPr>
            <w:tcW w:w="1868" w:type="dxa"/>
          </w:tcPr>
          <w:p w14:paraId="7E3123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3E28D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3,66</w:t>
            </w:r>
          </w:p>
        </w:tc>
        <w:tc>
          <w:tcPr>
            <w:tcW w:w="1868" w:type="dxa"/>
          </w:tcPr>
          <w:p w14:paraId="3FC74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r>
      <w:tr w:rsidR="00A907A5" w:rsidRPr="00271E51" w14:paraId="74CC6C7A" w14:textId="77777777" w:rsidTr="00ED5B0A">
        <w:tc>
          <w:tcPr>
            <w:tcW w:w="1868" w:type="dxa"/>
          </w:tcPr>
          <w:p w14:paraId="6F967B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самолета, кг</w:t>
            </w:r>
          </w:p>
        </w:tc>
        <w:tc>
          <w:tcPr>
            <w:tcW w:w="1868" w:type="dxa"/>
          </w:tcPr>
          <w:p w14:paraId="7B0CD3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w:t>
            </w:r>
          </w:p>
        </w:tc>
        <w:tc>
          <w:tcPr>
            <w:tcW w:w="1868" w:type="dxa"/>
          </w:tcPr>
          <w:p w14:paraId="361E05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3382</w:t>
            </w:r>
          </w:p>
        </w:tc>
        <w:tc>
          <w:tcPr>
            <w:tcW w:w="1868" w:type="dxa"/>
          </w:tcPr>
          <w:p w14:paraId="38C6AC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3103</w:t>
            </w:r>
          </w:p>
        </w:tc>
        <w:tc>
          <w:tcPr>
            <w:tcW w:w="1868" w:type="dxa"/>
          </w:tcPr>
          <w:p w14:paraId="38C2C4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3105</w:t>
            </w:r>
          </w:p>
        </w:tc>
        <w:tc>
          <w:tcPr>
            <w:tcW w:w="1868" w:type="dxa"/>
          </w:tcPr>
          <w:p w14:paraId="22FD91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ЗОЮ</w:t>
            </w:r>
          </w:p>
        </w:tc>
      </w:tr>
      <w:tr w:rsidR="00A907A5" w:rsidRPr="00271E51" w14:paraId="102AF4B3" w14:textId="77777777" w:rsidTr="00ED5B0A">
        <w:tc>
          <w:tcPr>
            <w:tcW w:w="1868" w:type="dxa"/>
          </w:tcPr>
          <w:p w14:paraId="616A71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масса, кг</w:t>
            </w:r>
          </w:p>
        </w:tc>
        <w:tc>
          <w:tcPr>
            <w:tcW w:w="1868" w:type="dxa"/>
          </w:tcPr>
          <w:p w14:paraId="4B8AFB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3595</w:t>
            </w:r>
          </w:p>
        </w:tc>
        <w:tc>
          <w:tcPr>
            <w:tcW w:w="1868" w:type="dxa"/>
          </w:tcPr>
          <w:p w14:paraId="2DE083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32B8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3835</w:t>
            </w:r>
          </w:p>
        </w:tc>
        <w:tc>
          <w:tcPr>
            <w:tcW w:w="1868" w:type="dxa"/>
          </w:tcPr>
          <w:p w14:paraId="49D15B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3780</w:t>
            </w:r>
          </w:p>
        </w:tc>
        <w:tc>
          <w:tcPr>
            <w:tcW w:w="1868" w:type="dxa"/>
          </w:tcPr>
          <w:p w14:paraId="7FBCF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3912</w:t>
            </w:r>
          </w:p>
        </w:tc>
      </w:tr>
      <w:tr w:rsidR="00A907A5" w:rsidRPr="00271E51" w14:paraId="227097E3" w14:textId="77777777" w:rsidTr="00ED5B0A">
        <w:tc>
          <w:tcPr>
            <w:tcW w:w="1868" w:type="dxa"/>
          </w:tcPr>
          <w:p w14:paraId="5AFA3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топлива, кг</w:t>
            </w:r>
          </w:p>
        </w:tc>
        <w:tc>
          <w:tcPr>
            <w:tcW w:w="1868" w:type="dxa"/>
          </w:tcPr>
          <w:p w14:paraId="4C9ECD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2FD9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5DCA43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w:t>
            </w:r>
          </w:p>
        </w:tc>
        <w:tc>
          <w:tcPr>
            <w:tcW w:w="1868" w:type="dxa"/>
          </w:tcPr>
          <w:p w14:paraId="337D43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3551</w:t>
            </w:r>
          </w:p>
        </w:tc>
        <w:tc>
          <w:tcPr>
            <w:tcW w:w="1868" w:type="dxa"/>
          </w:tcPr>
          <w:p w14:paraId="678989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3252</w:t>
            </w:r>
          </w:p>
        </w:tc>
      </w:tr>
      <w:tr w:rsidR="00A907A5" w:rsidRPr="00271E51" w14:paraId="46DF5F80" w14:textId="77777777" w:rsidTr="00ED5B0A">
        <w:tc>
          <w:tcPr>
            <w:tcW w:w="1868" w:type="dxa"/>
          </w:tcPr>
          <w:p w14:paraId="547FA9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полета, км/ч:</w:t>
            </w:r>
          </w:p>
        </w:tc>
        <w:tc>
          <w:tcPr>
            <w:tcW w:w="1868" w:type="dxa"/>
          </w:tcPr>
          <w:p w14:paraId="4087D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B448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571E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93341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6B56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2D2204" w14:textId="77777777" w:rsidTr="00ED5B0A">
        <w:tc>
          <w:tcPr>
            <w:tcW w:w="1868" w:type="dxa"/>
          </w:tcPr>
          <w:p w14:paraId="025F8B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tc>
        <w:tc>
          <w:tcPr>
            <w:tcW w:w="1868" w:type="dxa"/>
          </w:tcPr>
          <w:p w14:paraId="26743A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w:t>
            </w:r>
          </w:p>
        </w:tc>
        <w:tc>
          <w:tcPr>
            <w:tcW w:w="1868" w:type="dxa"/>
          </w:tcPr>
          <w:p w14:paraId="53E799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1868" w:type="dxa"/>
          </w:tcPr>
          <w:p w14:paraId="76E85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1868" w:type="dxa"/>
          </w:tcPr>
          <w:p w14:paraId="49D861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574</w:t>
            </w:r>
          </w:p>
        </w:tc>
        <w:tc>
          <w:tcPr>
            <w:tcW w:w="1868" w:type="dxa"/>
          </w:tcPr>
          <w:p w14:paraId="0D1D17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2EF8DDBC" w14:textId="77777777" w:rsidTr="00ED5B0A">
        <w:tc>
          <w:tcPr>
            <w:tcW w:w="1868" w:type="dxa"/>
          </w:tcPr>
          <w:p w14:paraId="4E7ED1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5000 м</w:t>
            </w:r>
          </w:p>
        </w:tc>
        <w:tc>
          <w:tcPr>
            <w:tcW w:w="1868" w:type="dxa"/>
          </w:tcPr>
          <w:p w14:paraId="723D4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5923</w:t>
            </w:r>
          </w:p>
        </w:tc>
        <w:tc>
          <w:tcPr>
            <w:tcW w:w="1868" w:type="dxa"/>
          </w:tcPr>
          <w:p w14:paraId="32DD19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72501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1C6C1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0EEA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4345EF52" w14:textId="77777777" w:rsidTr="00ED5B0A">
        <w:tc>
          <w:tcPr>
            <w:tcW w:w="1868" w:type="dxa"/>
          </w:tcPr>
          <w:p w14:paraId="1C5F2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10 ООО м</w:t>
            </w:r>
          </w:p>
        </w:tc>
        <w:tc>
          <w:tcPr>
            <w:tcW w:w="1868" w:type="dxa"/>
          </w:tcPr>
          <w:p w14:paraId="0A867B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4472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5654</w:t>
            </w:r>
          </w:p>
        </w:tc>
        <w:tc>
          <w:tcPr>
            <w:tcW w:w="1868" w:type="dxa"/>
          </w:tcPr>
          <w:p w14:paraId="19BD86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6955</w:t>
            </w:r>
          </w:p>
        </w:tc>
        <w:tc>
          <w:tcPr>
            <w:tcW w:w="1868" w:type="dxa"/>
          </w:tcPr>
          <w:p w14:paraId="16EC32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6936</w:t>
            </w:r>
          </w:p>
        </w:tc>
        <w:tc>
          <w:tcPr>
            <w:tcW w:w="1868" w:type="dxa"/>
          </w:tcPr>
          <w:p w14:paraId="7E55F9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726</w:t>
            </w:r>
          </w:p>
        </w:tc>
      </w:tr>
      <w:tr w:rsidR="00A907A5" w:rsidRPr="00271E51" w14:paraId="5AD9BCA0" w14:textId="77777777" w:rsidTr="00ED5B0A">
        <w:tc>
          <w:tcPr>
            <w:tcW w:w="1868" w:type="dxa"/>
          </w:tcPr>
          <w:p w14:paraId="6CFAF5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1868" w:type="dxa"/>
          </w:tcPr>
          <w:p w14:paraId="72B791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7,93</w:t>
            </w:r>
          </w:p>
        </w:tc>
        <w:tc>
          <w:tcPr>
            <w:tcW w:w="1868" w:type="dxa"/>
          </w:tcPr>
          <w:p w14:paraId="0753EB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1868" w:type="dxa"/>
          </w:tcPr>
          <w:p w14:paraId="3979B2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1868" w:type="dxa"/>
          </w:tcPr>
          <w:p w14:paraId="0CCCE5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B865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5B03A286" w14:textId="77777777" w:rsidTr="00ED5B0A">
        <w:tc>
          <w:tcPr>
            <w:tcW w:w="1868" w:type="dxa"/>
          </w:tcPr>
          <w:p w14:paraId="6E262D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49B600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6421C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8700</w:t>
            </w:r>
          </w:p>
        </w:tc>
        <w:tc>
          <w:tcPr>
            <w:tcW w:w="1868" w:type="dxa"/>
          </w:tcPr>
          <w:p w14:paraId="115938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11 000</w:t>
            </w:r>
          </w:p>
        </w:tc>
        <w:tc>
          <w:tcPr>
            <w:tcW w:w="1868" w:type="dxa"/>
          </w:tcPr>
          <w:p w14:paraId="26D868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14 100</w:t>
            </w:r>
          </w:p>
        </w:tc>
        <w:tc>
          <w:tcPr>
            <w:tcW w:w="1868" w:type="dxa"/>
          </w:tcPr>
          <w:p w14:paraId="571BA7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12 600</w:t>
            </w:r>
          </w:p>
        </w:tc>
      </w:tr>
      <w:tr w:rsidR="00A907A5" w:rsidRPr="00271E51" w14:paraId="481607A5" w14:textId="77777777" w:rsidTr="00ED5B0A">
        <w:tc>
          <w:tcPr>
            <w:tcW w:w="1868" w:type="dxa"/>
          </w:tcPr>
          <w:p w14:paraId="357ED5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tc>
        <w:tc>
          <w:tcPr>
            <w:tcW w:w="1868" w:type="dxa"/>
          </w:tcPr>
          <w:p w14:paraId="5DCAF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4DADE9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c>
          <w:tcPr>
            <w:tcW w:w="1868" w:type="dxa"/>
          </w:tcPr>
          <w:p w14:paraId="23E7A0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81362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c>
          <w:tcPr>
            <w:tcW w:w="1868" w:type="dxa"/>
          </w:tcPr>
          <w:p w14:paraId="6AB1F5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w:t>
            </w:r>
          </w:p>
        </w:tc>
      </w:tr>
      <w:tr w:rsidR="00A907A5" w:rsidRPr="00271E51" w14:paraId="0703874F" w14:textId="77777777" w:rsidTr="00ED5B0A">
        <w:tc>
          <w:tcPr>
            <w:tcW w:w="1868" w:type="dxa"/>
          </w:tcPr>
          <w:p w14:paraId="10302D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м</w:t>
            </w:r>
          </w:p>
        </w:tc>
        <w:tc>
          <w:tcPr>
            <w:tcW w:w="1868" w:type="dxa"/>
          </w:tcPr>
          <w:p w14:paraId="23419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65DCA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tc>
        <w:tc>
          <w:tcPr>
            <w:tcW w:w="1868" w:type="dxa"/>
          </w:tcPr>
          <w:p w14:paraId="773E3C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9A16E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1868" w:type="dxa"/>
          </w:tcPr>
          <w:p w14:paraId="312582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r>
      <w:tr w:rsidR="00A907A5" w:rsidRPr="00271E51" w14:paraId="3AB6DC7F" w14:textId="77777777" w:rsidTr="00ED5B0A">
        <w:tc>
          <w:tcPr>
            <w:tcW w:w="1868" w:type="dxa"/>
            <w:tcBorders>
              <w:bottom w:val="single" w:sz="12" w:space="0" w:color="auto"/>
            </w:tcBorders>
          </w:tcPr>
          <w:p w14:paraId="2D6A86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6AC789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03F64E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1868" w:type="dxa"/>
            <w:tcBorders>
              <w:bottom w:val="single" w:sz="12" w:space="0" w:color="auto"/>
            </w:tcBorders>
          </w:tcPr>
          <w:p w14:paraId="1B40C7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1F203B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1868" w:type="dxa"/>
            <w:tcBorders>
              <w:bottom w:val="single" w:sz="12" w:space="0" w:color="auto"/>
            </w:tcBorders>
          </w:tcPr>
          <w:p w14:paraId="328BD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r>
    </w:tbl>
    <w:p w14:paraId="1435CD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Примечания:</w:t>
      </w:r>
    </w:p>
    <w:p w14:paraId="6F0943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 в крыльевых топливных баках в перегрузку еще 124 кг;</w:t>
      </w:r>
    </w:p>
    <w:p w14:paraId="515DE1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 в крыльевых топливных баках в перегрузку еще 127 кг;</w:t>
      </w:r>
    </w:p>
    <w:p w14:paraId="199FCF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 на высоте 3400 м;</w:t>
      </w:r>
    </w:p>
    <w:p w14:paraId="22D9D5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 на высоте 6150 м;</w:t>
      </w:r>
    </w:p>
    <w:p w14:paraId="19D684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 на высоте 7500 м при боевом режиме работы мотора;</w:t>
      </w:r>
    </w:p>
    <w:p w14:paraId="55A494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 расчетная на высоте 13 100 м. </w:t>
      </w:r>
    </w:p>
    <w:p w14:paraId="25CEF5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0FA1BB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w:t>
      </w:r>
      <w:r w:rsidRPr="00271E51">
        <w:rPr>
          <w:rFonts w:ascii="Times New Roman" w:hAnsi="Times New Roman"/>
          <w:color w:val="000000" w:themeColor="text1"/>
          <w:sz w:val="16"/>
          <w:szCs w:val="16"/>
        </w:rPr>
        <w:lastRenderedPageBreak/>
        <w:t>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4AB582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5095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2 октября 1943 был готов Як-1М с М-107А и 5 октября совершил свой первый полет. Продувками модели Як-1 с М-107 с различными типами охлаждающих устройств в аэродинамической трубе Т-106 ЦАГИ и на основе результатов продувок Як-I М подобрали наиболее рациональную компоновку радиаторов. По результатам этих исследовательских работ самолет в сентябре 1943 г. подвергся переделкам (12048).</w:t>
      </w:r>
    </w:p>
    <w:p w14:paraId="1E799C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74B5F5"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A7556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E15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г. была подготовлена ДОКЛАДНАЯ ЗАПИСКА ЗАМЕСТИТЕЛЯ НАРКОМА ТАНКОВОЙ ПРОМЫШЛЕННОСТИ СССР ЗАМЕСТИТЕЛЮ НАЧАЛЬНИКА ГБТУ КА ОБ ОРГАНИЗАЦИИ ДЕМОНСТРАЦИОННОГО ЗАЛА ТАНКОВЫХ ДВИГАТЕЛЕЙ</w:t>
      </w:r>
    </w:p>
    <w:p w14:paraId="6A0718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накопления опыта и материалов для дальнейшего совершенствования отечественных танковых двигателей НКТП организует при заводе №17, г. Москва, постоянно действующий демон</w:t>
      </w:r>
      <w:r w:rsidRPr="00271E51">
        <w:rPr>
          <w:rFonts w:ascii="Times New Roman" w:hAnsi="Times New Roman"/>
          <w:color w:val="000000" w:themeColor="text1"/>
          <w:sz w:val="16"/>
          <w:szCs w:val="16"/>
        </w:rPr>
        <w:softHyphen/>
        <w:t>страционный зал танковых двигателей.</w:t>
      </w:r>
    </w:p>
    <w:p w14:paraId="2D5361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демонстрационном зале должны быть собраны танковые двигатели, установленные на совре</w:t>
      </w:r>
      <w:r w:rsidRPr="00271E51">
        <w:rPr>
          <w:rFonts w:ascii="Times New Roman" w:hAnsi="Times New Roman"/>
          <w:color w:val="000000" w:themeColor="text1"/>
          <w:sz w:val="16"/>
          <w:szCs w:val="16"/>
        </w:rPr>
        <w:softHyphen/>
        <w:t>менных английских, американских, немецких и др. танках, наиболее характерные узлы и детали этих моторов, чертежи, схемы и описания.</w:t>
      </w:r>
    </w:p>
    <w:p w14:paraId="72BF62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Придавая большое значение организации демонстрационного зала, прошу Вас оказать НКТП помощь в получении моторов иностранных танков.</w:t>
      </w:r>
    </w:p>
    <w:p w14:paraId="332172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порядке оказания этой помощи прошу Вашего распоряжения командующим БТ и МВ Степного, Брянского и Центрального фронтов предоставить возможность нашим представителям снять инте</w:t>
      </w:r>
      <w:r w:rsidRPr="00271E51">
        <w:rPr>
          <w:rFonts w:ascii="Times New Roman" w:hAnsi="Times New Roman"/>
          <w:color w:val="000000" w:themeColor="text1"/>
          <w:sz w:val="16"/>
          <w:szCs w:val="16"/>
        </w:rPr>
        <w:softHyphen/>
        <w:t>ресующие нас моторы с трофейных танков, помочь нашим представителям рабочей силой для про</w:t>
      </w:r>
      <w:r w:rsidRPr="00271E51">
        <w:rPr>
          <w:rFonts w:ascii="Times New Roman" w:hAnsi="Times New Roman"/>
          <w:color w:val="000000" w:themeColor="text1"/>
          <w:sz w:val="16"/>
          <w:szCs w:val="16"/>
        </w:rPr>
        <w:softHyphen/>
        <w:t>изводства этих работ и отправить эти моторы попутными машинами в г. Москву.</w:t>
      </w:r>
    </w:p>
    <w:p w14:paraId="2528DF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народного комиссара танковой промышленности СССР С. Степанов</w:t>
      </w:r>
    </w:p>
    <w:p w14:paraId="2C21CA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360р. Л. 111. Подлинник (11403).</w:t>
      </w:r>
    </w:p>
    <w:p w14:paraId="276C05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C88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г. вышел ПРИКАЗ НАЧАЛЬНИКА ГБТУ КА О СОЗДАНИИ КОМИССИИ ДЛЯ ПРОВЕДЕНИЯ ИСПЫТАНИЯ 45-мм ПУШКИ КАТАНКЕ МЗ (ЛЕГКИЙ) №31</w:t>
      </w:r>
    </w:p>
    <w:p w14:paraId="256B45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Изготовленную ремзаводом №82 установку 45-мм пушки на танке МЗ - легкий — испытать 5 октября с.г. на Кубинском НИ полигоне.</w:t>
      </w:r>
    </w:p>
    <w:p w14:paraId="1F4667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проведения испытания и составления заключения создать комиссию в следующем составе:</w:t>
      </w:r>
    </w:p>
    <w:p w14:paraId="6AF907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Инженер-подполковника т. Кузнецова — УРТ (председ.);</w:t>
      </w:r>
    </w:p>
    <w:p w14:paraId="6E97E4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Ст. лейтенанта т. Долина — УРТ;</w:t>
      </w:r>
    </w:p>
    <w:p w14:paraId="541CB9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Инженер-майора т. Карелина — УСА;</w:t>
      </w:r>
    </w:p>
    <w:p w14:paraId="6CFACC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Техника-лейтенанта т. Кулигина — ремзавод № 82;</w:t>
      </w:r>
    </w:p>
    <w:p w14:paraId="6C89C9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Ст. техника-лейтенанта т. Хороленко — БТУ;</w:t>
      </w:r>
    </w:p>
    <w:p w14:paraId="7CFD91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т. Устинова — ремзавод № 82;</w:t>
      </w:r>
    </w:p>
    <w:p w14:paraId="26B945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Представитель НИ полигона.</w:t>
      </w:r>
    </w:p>
    <w:p w14:paraId="2CB39F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испытания представить мне не позднее 8 октября 1943 года.</w:t>
      </w:r>
    </w:p>
    <w:p w14:paraId="01FE73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ГБТУ Красной Армии генерал-лейтенант танковых войск Вершинин</w:t>
      </w:r>
    </w:p>
    <w:p w14:paraId="19A46A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11377. Д. 2. Л. 55. Подлинник (11403).</w:t>
      </w:r>
    </w:p>
    <w:p w14:paraId="5390CF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2D8D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вышло Постановление ГКО № 4224 Об изменении организационной структуры Управления государственных материальных резервов при Совнаркоме СССР. (7141, 86-88,89-94).</w:t>
      </w:r>
    </w:p>
    <w:p w14:paraId="6C26A59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CB1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вышло Постановление ГКО № 4225 О плане распределения электроэнергии на IV квартал 1943 года.РГАНИР, Фонд ГКО, д. 154, лл. 95-96, 97-139 (11012).</w:t>
      </w:r>
    </w:p>
    <w:p w14:paraId="79106B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766C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 октября </w:t>
      </w:r>
      <w:r w:rsidRPr="00271E51">
        <w:rPr>
          <w:rFonts w:ascii="Times New Roman" w:hAnsi="Times New Roman"/>
          <w:color w:val="000000" w:themeColor="text1"/>
          <w:sz w:val="16"/>
          <w:szCs w:val="16"/>
        </w:rPr>
        <w:t>в 1943 году в «Правде» опубликовано сообщение: с 1940 г. из училищ и школ ФЗО выпущено 1 млн. 550 тысяч молодых рабочих (14787).</w:t>
      </w:r>
    </w:p>
    <w:p w14:paraId="64FE2061"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042D05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Спущен на воду второй стотониик Балтийского завода (10671).</w:t>
      </w:r>
    </w:p>
    <w:p w14:paraId="4E3503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48E30" w14:textId="77777777" w:rsidR="005A27E3"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52FA146"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AF277"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 октября </w:t>
      </w:r>
      <w:r w:rsidRPr="00271E51">
        <w:rPr>
          <w:rFonts w:ascii="Times New Roman" w:hAnsi="Times New Roman"/>
          <w:color w:val="000000" w:themeColor="text1"/>
          <w:sz w:val="16"/>
          <w:szCs w:val="16"/>
        </w:rPr>
        <w:t>в 1943 году оперативная сводка Совинформбюро:</w:t>
      </w:r>
    </w:p>
    <w:p w14:paraId="394498C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октября на Таманском полуострове наши войска овладели сильно укреплёнными опорными пунктами противника Старотитаровская, Красная Стрела, Возрождение.</w:t>
      </w:r>
    </w:p>
    <w:p w14:paraId="17A599B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продвинувшись на отдельных участках вперёд от 10 до 15 километров, заняли более 50 населённых пунктов, в том числе крупные населённые пункты Якушевка, Березяки, Кляпино, Николаевка, Струмень, Осиновка, Рудня, Бартоломеевская, Сидоровичи, Беляевка, Залесье, Покоть.</w:t>
      </w:r>
    </w:p>
    <w:p w14:paraId="47075E7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продолжая наступление, продвинулись вперёд от 10 до 12 километров и заняли свыше 270 населённых пунктов, в том числе районный центр Могилёвской области Дрибин, крупные населённые пункты Кузовина, Крюковщина, Затоны, Каменка, Дедня, Быково, Прилесье, Драниха, Прудок, Шароевка, Ржаbeц, Припечино, Кремянка, Дворовая, Старая Каменка, Кревелицка, Казаковка, Драготынь, и железнодорожные станции Веремейка, Шашина.</w:t>
      </w:r>
    </w:p>
    <w:p w14:paraId="00BF082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октября наши войска на всех фронтах подбили и уничтожили 90 немецких танков. В воздушных боях и огнём зенитной артиллерии сбит 51 самолёт противника.</w:t>
      </w:r>
    </w:p>
    <w:p w14:paraId="3BA826E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Таманском полуострове противник сильным артиллерийско-миномётным огнём и контратаками стремится задержать продвижение наших войск. Бойцы Н-ского соединения при поддержке самоходных орудий сломили сопротивление немцев и овладели сильно укреплённым населённым пунктом Старотитаровская. В бою за этот пункт уничтожено до 500 гитлеровцев. Захвачены трофеи и пленные. Сапёры Н-ской части за семь дней боёв обезвредили до 60 тысяч немецких мин.</w:t>
      </w:r>
    </w:p>
    <w:p w14:paraId="3CE9D70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активно поддерживала действия наземных войск. Наши лётчики, совершив налёт на скопление противника, уничтожили 2 танка, свыше 50 автомашин, рассеяли и частью истребили до батальона немецкой пехоты.</w:t>
      </w:r>
    </w:p>
    <w:p w14:paraId="71EBA5D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продолжали продвигаться на запад. Части Н-ского соединения в результате ожесточённого боя заняли один крупный опорный пункт противника. Немцы, пытаясь восстановить положение, предприняли несколько контратак. Наши бойцы отбили вражеские контратаки и, развивая успех, заняли несколько населённых пунктов. Уничтожено 800 солдат и офицеров противника. Захвачено 12 орудий, 2 шестиствольных миномёта и склад боеприпасов.</w:t>
      </w:r>
    </w:p>
    <w:p w14:paraId="7846626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продолжали наступление. Противник оказывает упорное сопротивление, но под ударами советских войск вынужден оставлять один населённый пункт за другим. Н-ская часть в течение дня отразила шесть вражеских контратак, а затем стремительным ударом опрокинула противника. За день боёв занято свыше 270 населённых пунктов. Уничтожено до полка немецкой пехоты. Захвачено 28 орудий, 64 пулемёта, 6 миномётов, 2 склада с боеприпасами, склад инженерного имущества и другие трофеи.</w:t>
      </w:r>
    </w:p>
    <w:p w14:paraId="3F39EAE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действующие в заболоченной и труднопроходимой местности, продолжали вести бои с противником. Прикрываясь естественными препятствиями и инженерными сооружениями, немцы оказывали сильное сопротивление. Бойцы Н-ской части на одном участке стремительной атакой захватили позиции, имеющие важное значение. Немцы, подтянув резервы, перешли в контратаку. Весь день продолжались бои, в ходе которых эти позиции несколько раз переходили из рук в руки. К исходу дня советские подразделения фланговыми ударами разгромили и отбросили противника. Уничтожено свыше 400 немецких солдат и офицеров. Захвачено 2 артиллерийских батареи, 22 пулемёта, 6 миномётов и большое число боеприпасов. Взяты пленные.</w:t>
      </w:r>
    </w:p>
    <w:p w14:paraId="2BF55F8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потоплен в Балтийском море транспорт противника водоизмещением в 3 тысячи тонн.</w:t>
      </w:r>
    </w:p>
    <w:p w14:paraId="7F5EC66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Украинский партизанский отряд имени Молотова в ночь на 17 сентября устроил засаду у линии железной дороги. Партизаны обстреляли проходивший мимо эшелон свойсками противника и повредили паровоз. Поезд остановился. Советские патриоты открыли сильный ружейно-пулемётный огонь и истребили свыше 100 немецких </w:t>
      </w:r>
      <w:r w:rsidRPr="00271E51">
        <w:rPr>
          <w:rFonts w:ascii="Times New Roman" w:hAnsi="Times New Roman"/>
          <w:color w:val="000000" w:themeColor="text1"/>
          <w:sz w:val="16"/>
          <w:szCs w:val="16"/>
        </w:rPr>
        <w:lastRenderedPageBreak/>
        <w:t>солдат иофицеров. Несколько партизанских отрядов Житомирской области в течение месяца уничтожили более 300 гитлеровцев, 32 автомашины и 2 немецких танка, взорвали 7 железнодорожных и шоссейных мостов.</w:t>
      </w:r>
    </w:p>
    <w:p w14:paraId="71EE9A7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на одном из участков Западного фронта унтер-офицер 589 полка 321 немецкой пехотной дивизии Август Н. рассказал: «Когда русские прорвали наши оборонительные линии, среди солдат и офицеров началась настоящая паника. Солдаты второго батальона в беспорядке бежали с передовой и кричали: «Русские прорвались!». Некоторые солдаты были без оружия. Через два дняостатки 589 полка были собраны в небольшой деревушке. Здесь я узнал, что в 6 роте из 180 человек осталось в живых только 20 солдат и 3 унтер-офицера. Другие роты пострадали ещё больше. В них уцелело всего лишь по 6—8 человек. Солдаты ходили мрачные и злые. Они ругались и говорили: «Здесь нас всех перебьют. Надо скорее уносить ноги».</w:t>
      </w:r>
    </w:p>
    <w:p w14:paraId="69A8857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 Людинове, Орловской области: «Два года хозяйничали немецкие изверги в нашем городе. За это время фашистские палачи во главе с немецким комендантом города майором Бинендорфом замучили и расстреляли свыше 800 мирных жителей. Гитлеровцы ограбили население и обрекли жителей на голодную смерть. Чтобы не умереть с голоду, многие питались отбросами, травой и дохлой кониной. Советский человек не имел права выйти за порог и показаться на улице без номера — унизительной бирки, выданной ему немецкой комендатурой. Несколько сот мужчин и женщин немцы угнали на каторгу в Германию. Гитлеровские бандиты разрушили город, разграбили и уничтожили культурные учреждения, взорвали машиностроительный и лесопильный заводы, электростанцию и 15 прилегавших к ней построек. Только в рабочем посёлке немцы сожгли около 200 домов. Бандиты, одержимые жаждой разрушения, вырубили все плодовые деревья.</w:t>
      </w:r>
    </w:p>
    <w:p w14:paraId="011630E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уверены, что фашистские палачи понесут заслуженную кару за свои подлые и мерзкие преступления».</w:t>
      </w:r>
    </w:p>
    <w:p w14:paraId="4B5DF61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города: Дмитрий Новиков, Анна Потапова — мать Екатерины Рыбкиной, расстрелянной немецкими убийцами, Анастасия Козлова, Ирина Стёпкина, Савелий Анисенков, Клавдия Новикова, Мария Кольцова и другие.» (14787).</w:t>
      </w:r>
    </w:p>
    <w:p w14:paraId="6EB79039"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1324D04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 октября </w:t>
      </w:r>
      <w:r w:rsidRPr="00271E51">
        <w:rPr>
          <w:rFonts w:ascii="Times New Roman" w:hAnsi="Times New Roman"/>
          <w:color w:val="000000" w:themeColor="text1"/>
          <w:sz w:val="16"/>
          <w:szCs w:val="16"/>
        </w:rPr>
        <w:t>в 1943 году завершилась Смоленская операция: войска Западного и левого крыла Калининского фронтов при поддержке партизан продвинулись на запад на 200 - 250 км и вышли на рубеж западнее городов Велиж, Рудня, реки Проня, где перешли к обороне. Были разгромлены 7 дивизий противника (14 потерпели тяжёлое поражение), освобождены часть Калининской и вся Смоленская области, началось освобождение Белоруссии. За отличия в боях 70 частей и соединений Западного и 34 Калининского фронтов получили почетные наименования. За 1941-1943 партизаны Смоленской области (свыше 120 отрядов и соединений, свыше 60 тысяч бойцов) вывели из строя свыше 100 тысяч оккупантов и их пособников, подорвали свыше 1350 эшелонов, свыше 530 танков, свыше 3200 автомашин, свыше 580 мостов и др (14787).</w:t>
      </w:r>
    </w:p>
    <w:p w14:paraId="0656C0C2"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492D9636" w14:textId="77777777" w:rsidR="006E1773" w:rsidRPr="00271E51" w:rsidRDefault="006E1773"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2 октября 1943 года 1435-й самоходно-артиллерийский полк, тот самый, который поначалу воевал на </w:t>
      </w:r>
      <w:hyperlink r:id="rId109" w:history="1">
        <w:r w:rsidRPr="00271E51">
          <w:rPr>
            <w:rStyle w:val="a5"/>
            <w:bCs/>
            <w:iCs/>
            <w:color w:val="000000" w:themeColor="text1"/>
            <w:sz w:val="16"/>
            <w:szCs w:val="16"/>
            <w:u w:val="none"/>
            <w:bdr w:val="none" w:sz="0" w:space="0" w:color="auto" w:frame="1"/>
          </w:rPr>
          <w:t>СГ-122</w:t>
        </w:r>
      </w:hyperlink>
      <w:r w:rsidRPr="00271E51">
        <w:rPr>
          <w:color w:val="000000" w:themeColor="text1"/>
          <w:sz w:val="16"/>
          <w:szCs w:val="16"/>
        </w:rPr>
        <w:t xml:space="preserve">, а к тому времени получил СУ-85, находился в составе 68-й армии. К 14:00 2 октября 1-я батарея 1435-го полка занимала оборону в районе Клементьево, находясь в распоряжении командира 159-й стрелковой дивизии. На следующий день в 11:30 советские войска приступили к форсированию реки Мерея. Наступление поддерживали две СУ-85. Немцы открыли по ним огонь, 1 машина вышла из строя, два члена её экипажа погибли, двое были ранены. Оставшиеся в засаде советские машины открыли огонь по обнаружившим себя танкам и артиллерии противника. На свой счёт самоходчики записали </w:t>
      </w:r>
      <w:hyperlink r:id="rId110" w:history="1">
        <w:r w:rsidRPr="00271E51">
          <w:rPr>
            <w:rStyle w:val="a5"/>
            <w:bCs/>
            <w:iCs/>
            <w:color w:val="000000" w:themeColor="text1"/>
            <w:sz w:val="16"/>
            <w:szCs w:val="16"/>
            <w:u w:val="none"/>
            <w:bdr w:val="none" w:sz="0" w:space="0" w:color="auto" w:frame="1"/>
          </w:rPr>
          <w:t>«Тигр»</w:t>
        </w:r>
      </w:hyperlink>
      <w:r w:rsidRPr="00271E51">
        <w:rPr>
          <w:color w:val="000000" w:themeColor="text1"/>
          <w:sz w:val="16"/>
          <w:szCs w:val="16"/>
        </w:rPr>
        <w:t>, но скорее всего это был танк другого типа (17719).</w:t>
      </w:r>
    </w:p>
    <w:p w14:paraId="74E8773F" w14:textId="77777777" w:rsidR="006E1773" w:rsidRPr="00271E51" w:rsidRDefault="006E1773" w:rsidP="00271E51">
      <w:pPr>
        <w:spacing w:after="0" w:line="240" w:lineRule="auto"/>
        <w:jc w:val="both"/>
        <w:rPr>
          <w:rFonts w:ascii="Times New Roman" w:hAnsi="Times New Roman"/>
          <w:color w:val="000000" w:themeColor="text1"/>
          <w:sz w:val="16"/>
          <w:szCs w:val="16"/>
        </w:rPr>
      </w:pPr>
    </w:p>
    <w:p w14:paraId="15339FB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88375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025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октября 1943 года</w:t>
      </w:r>
    </w:p>
    <w:p w14:paraId="45F3B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31149E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Правительство Его Величества полностью согласно с предложениями генерала Эйзенхауэра, телеграфированными Вам Президентом 1 октября, и я надеюсь, что Вы с ними согласитесь.</w:t>
      </w:r>
    </w:p>
    <w:p w14:paraId="7F1A8D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Мы также надеемся, что Вы вместе с Президентом и мною примете участие в тройственной Декларации, которая должна быть оглашена немедленно после объявления Италией войны Германии.</w:t>
      </w:r>
    </w:p>
    <w:p w14:paraId="38A9D3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Текст Декларации следующий:</w:t>
      </w:r>
    </w:p>
    <w:p w14:paraId="66191F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Правительства Великобритании, Соединенных Штатов и Советского Союза признают позицию Королевского Итальянского Правительства, как это было сформулировано маршалом Бадольо, и принимают активное сотрудничество итальянской нации и вооруженных сил в качестве совместно воюющей стороны в войне против Германии. Военные события после 8 сентября и жестокое обращение немцев с итальянским населением, завершившиеся объявлением Италией войны Германии, фактически сделали Италию совместно воюющей стороной, и Американское, Британское и Советское Правительства будут продолжать сотрудничать с Итальянским Правительством на этой основе. Три Правительства признают обязательство Итальянского Правительства подчиниться воле итальянского народа после того, как немцы будут изгнаны из Италии, и подразумевается, что ничто не может ущемить абсолютного и неотъемлемого права народа Италии принять конституционными средствами решение о демократической форме правления, которую он в конечном счете будет иметь.</w:t>
      </w:r>
    </w:p>
    <w:p w14:paraId="6CC829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Основанные на совместном ведении войны взаимоотношения между Правительством Италии и Правительствами Объединенных наций не могут сами по себе повлиять на недавно подписанные условия, которые сохраняют свою полную силу и могут быть изменены лишь по соглашению между Союзными Правительствами в свете той помощи, которую Итальянское Правительство сможет оказать делу Объединенных Наций (7430).</w:t>
      </w:r>
    </w:p>
    <w:p w14:paraId="55FC85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EEEEC" w14:textId="14F2F459" w:rsidR="003608FA" w:rsidRPr="00271E51" w:rsidRDefault="003608FA"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51DBA9AF" w14:textId="77777777" w:rsidR="003608FA" w:rsidRPr="00271E51" w:rsidRDefault="003608FA"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794B4B3"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октября (ночь) 1943 294 британских Lancasters и два B-17 Flying Fortress ВВС США бомбили Мюнхен, Германия, с ограниченным успехом из-за разброса маркеров Pathfinder. Восемь Ланкастеров потеряны (2,8 процента отряда) (20376).</w:t>
      </w:r>
    </w:p>
    <w:p w14:paraId="2EE523F9" w14:textId="77777777" w:rsidR="003608FA" w:rsidRPr="00271E51" w:rsidRDefault="003608FA" w:rsidP="00271E51">
      <w:pPr>
        <w:spacing w:after="0" w:line="240" w:lineRule="auto"/>
        <w:jc w:val="both"/>
        <w:rPr>
          <w:rFonts w:ascii="Times New Roman" w:hAnsi="Times New Roman"/>
          <w:color w:val="0070C0"/>
          <w:sz w:val="16"/>
          <w:szCs w:val="16"/>
        </w:rPr>
      </w:pPr>
    </w:p>
    <w:p w14:paraId="53954A21" w14:textId="4E208D5B"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149AB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0D3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мл. л. Рогожин 1 ШАК в ходе применения Ил-2 с 37 мм пушками ОКБ-16 11П в боевых условиях атаковал ж/д эшелоны, в результате атаки наблюдал воспламенение ж/д вагонов: от пожаров сгорело большое количество вагонов (1780,45).</w:t>
      </w:r>
    </w:p>
    <w:p w14:paraId="11C261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03FAB" w14:textId="77777777" w:rsidR="003608FA" w:rsidRPr="00271E51" w:rsidRDefault="003608FA"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3 октября 1943 г. в ОКБ Щербакова было начато производство. Головной самолет Ще-2 вышел летом 1944 г. Серия шла до начала 1946 г. (19837).</w:t>
      </w:r>
    </w:p>
    <w:p w14:paraId="22E77550" w14:textId="77777777" w:rsidR="003608FA" w:rsidRPr="00271E51" w:rsidRDefault="003608FA" w:rsidP="00271E51">
      <w:pPr>
        <w:pStyle w:val="article-renderblock"/>
        <w:shd w:val="clear" w:color="auto" w:fill="FFFFFF"/>
        <w:spacing w:before="0" w:beforeAutospacing="0" w:after="0" w:afterAutospacing="0"/>
        <w:jc w:val="both"/>
        <w:rPr>
          <w:color w:val="0070C0"/>
          <w:sz w:val="16"/>
          <w:szCs w:val="16"/>
        </w:rPr>
      </w:pPr>
    </w:p>
    <w:p w14:paraId="691ACB44"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3F4C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8883C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вышло Распоряжение ГКО № 4226 [О разрешении Трофейному комитету при ГКО передать подвижной состав и рельсы для шахт Донбасса.] (7141, 140).</w:t>
      </w:r>
    </w:p>
    <w:p w14:paraId="0D34FDC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89EDF" w14:textId="77777777" w:rsidR="005A27E3"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0F3BA37"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B845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оперативная сводка Совинформбюро:</w:t>
      </w:r>
    </w:p>
    <w:p w14:paraId="13516FA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октября на Гомельском направлении наши войска продвинулись на отдельных участках вперёд от 5 до 10 километров и заняли более 20 населённых пунктов, среди которых крупные населённые пункты Жавуница, Лозовица, Малашки,Слободка, Ушпитов, Васильевка, Загорье, Рыславль, Киритовка.</w:t>
      </w:r>
    </w:p>
    <w:p w14:paraId="36341B93"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продвинулись на отдельных участках вперёд от 5 до 10 километров, заняли более 50 населённых пунктов, в том числе крупные населённые пункты Глушец, Дроковка, Любаны, Гижня, Теляши, Березовка, Летяги, Закрупец, Гиженка, Клины, Дубно.</w:t>
      </w:r>
    </w:p>
    <w:p w14:paraId="0812B71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фронтах — усиленная разведка и артиллерийская перестрелка.</w:t>
      </w:r>
    </w:p>
    <w:p w14:paraId="5105A06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октября наши войска на всех фронтах подбили и уничтожили 155 немецких танков. В воздушных боях и огнём зенитной артиллерии сбито 42 самолёта противника.</w:t>
      </w:r>
    </w:p>
    <w:p w14:paraId="5FE8579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на отдельных участках продолжали с боями продвигаться вперёд. Бойцы Н-ской части, отразив несколько ожесточённых контратак противника, уничтожили 400 немецких солдат и офицеров. На другом участке наши войска, развивая наступление, заняли более 20 населённых пунктов.На поле боя осталось до 800 вражеских трупов. Захвачено 2 танка, самоходноеорудие и 2 миномётных батареи. Взято более 120 пленных.</w:t>
      </w:r>
    </w:p>
    <w:p w14:paraId="6F759F43"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Могилёвском направлении наши войска вели ожесточённые бои на рубеже реки Броня. Части Н-ского соединения под сильным артиллерийским и пулемётным огнём противника навели переправу и переправились на западный берег реки Проня. Стремительным манёвром наши части вынудили немцев к поспешному отступлению и нанесли им большой урон в живой силе и технике. Только на одном участке истреблено свыше 600 вражеских солдат и офицеров. Захвачены четыре батареи полевых орудий, 3 самоходных пушки, 65 пулемётов и много различного военного имущества. На другом участке части Н-ского соединения продвинулись вперёд до 10 километров и заняли ряд населённых пунктов. При взятии одного из пунктов уничтожены две роты гитлеровцев и захвачен большой обоз с боеприпасами, вооружением и добром, награбленным немцами у местных жителей.</w:t>
      </w:r>
    </w:p>
    <w:p w14:paraId="0E6BB1E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потопили в Баренцевом море транспорт противника водоизмещением в 6.000 тонн.</w:t>
      </w:r>
    </w:p>
    <w:p w14:paraId="54946F0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Самолёты-торпедоносцы Краснознамённого Балтийского флота нанесли удар по немецким транспортам в Балтийском море. Торпедирован и потоплен транспорт водоизмещением в 3.000 тонн.</w:t>
      </w:r>
    </w:p>
    <w:p w14:paraId="5D74AC1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Черноморского флота наносила удары по войскам и плавсредствам противника. Потоплены три быстроходных десантных баржи и несколько мотоботов с войсками противника, уничтожено 60 автомашин, рассеяно и частью истреблено до трёх рот гитлеровцев.</w:t>
      </w:r>
    </w:p>
    <w:p w14:paraId="5FFB104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Минской области, в конце сентября разгромили железнодорожную охрану противника и разрушили участок железной дороги протяжением в шесть с половиной километров. На помощь железнодорожной охране немцы выслали эшелон с подкреплением. Партизаны ружейно-пулемётным огнём вывели из строя паровоз и, не дав противнику времени приготовиться для боя, истребили свыше 200 гитлеровцев, а остальных обратили вбегство. Через несколько дней минские партизаны на другом участке дороги разрушили ещё 5 километров железнодорожных путей и обстреляли немецкий воинский поезд, следовавший к линии фронта.</w:t>
      </w:r>
    </w:p>
    <w:p w14:paraId="3DAC3B6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9 роты 3 немецкого полицейского полка Якоб Горн рассказал: «Меня призвали на военную службу в апреле 1943 года. Я попал в запасный учебный батальон, расположенный в городе Хертогенбосс, в Голландии. Этот батальон готовил пополнение для полицейской дивизии, находившейся тогда в Праге. Девятого августа батальон был срочно погружен и в полном составе отправлен на Восточный фронт. Нас влили в 3-й полк. В тяжёлых оборонительных боях наш полк был совершенно обескровлен. К 15 сентября жалкие остатки полка были сведены в одну роту, насчитывавшую 140 человек. Через три дня и от этой роты осталось всего лишь 60 человек».</w:t>
      </w:r>
    </w:p>
    <w:p w14:paraId="137090F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и злодеяниях, совершённых немецко-фашистскими властями в городе Осипенко (Бердянск): «Немецко-фашистские мерзавцы разрушили чудесный приазовский город и курорт Осипенко. Немецкие военные власти — фашистский гебитскомиссар Белетте и его заместитель Кюнкеле творили суд и расправу над мирным населением, грабили и убивали ни в чём неповинных людей. По далеко неполным данным, гитлеровцы за время оккупации расстреляли свыше 6 тысяч местных граждан. Более 20 тысяч мужчин и женщин, юношей и девушек — жителей города и района фашистские работорговцы насильно угнали на каторгу в Германию. Отступая под ударами Красной Армии, немецкие изверги взорвали и сожгли Первомайский завод сельскохозяйственных машин, Азово-Черноморский завод, крекинг-завод, кожевенный завод, обувную фабрику, два кирпичных завода, винный и пивоваренный заводы, механизированный хлебозавод, маслозаводы №№ 1 и 2, мясокомбинат, завод «Рыбпром», паровую мельницу, городскую электростанцию и железнодорожную станцию, институт физических методов лечения, городскую поликлинику, туберкулёзный диспансер, педагогический институт, педагогический техникум, 18 школ, школу фабрично-заводского ученичества, клубводников, клуб металлистов, клуб рабочих рыбной промышленности, клуб учителей, городской театр, краеведческий музей, городскую библиотеку, 4 санатория и много жилых домов города.</w:t>
      </w:r>
    </w:p>
    <w:p w14:paraId="607597A3"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Гитлеровцы пытались насильно, под угрозой расстрела, увести с собой всё население. Отряды гестаповцев и жандармов устраивали облавы по городу и охотились за людьми. За малейшее возражение, за попытку спрятаться и уклониться от эвакуации расстреливали. За несколько дней в городе и его предместьях гитлеровские палачи расстреляли несколько тысяч мирных жителей, не пожелавших покинуть родной очаг.</w:t>
      </w:r>
    </w:p>
    <w:p w14:paraId="1A472E7F"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имени всех граждан города мы требуем сурового и беспощадного наказания фашистских головорезов и убийц за все их мерзкие и кровавые преступления».</w:t>
      </w:r>
    </w:p>
    <w:p w14:paraId="37CF6F4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Осипенковского горсовета А.Михайленко, врачи —С.Самоурский, В.Миронов, М.Игошин, Л.Жукова, Б.Сопина, заместительначальника цеха Азово-Черноморского завода А.Желудько, начальник дистанции пути И.Ляховец, протоиерей собора Василий Попов, наборщица Мария Чичерова, токарь депо Николай Вацько, токарь Азово-Черноморского завода С.Савин, рабочий «Рыбпрома» И.Квитко, учителя — А.Копач, Н.Переверзева, М.Тищенко, Н.Сидоренко и другие жители города.» (14788).</w:t>
      </w:r>
    </w:p>
    <w:p w14:paraId="2BED49B8"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4931D788"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завершилась Брянская операция, советские войска при поддержке партизан продвинулись на 240-260 км, форсировали реку Сож, освободили Брянский промышленный район и часть Белоруссии (14788).</w:t>
      </w:r>
    </w:p>
    <w:p w14:paraId="18266562"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140C267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в Сталино (Донецк) прибывает первый после освобождения пассажирский поезд (14788).</w:t>
      </w:r>
    </w:p>
    <w:p w14:paraId="312B5541"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66726BC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E9E01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B2DC6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в Сталино (Донецк) прибыл первый после освобождения пассажирский поезд. (4962).</w:t>
      </w:r>
    </w:p>
    <w:p w14:paraId="4EBF43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91240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D207D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77486" w14:textId="1688BF4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 октября (ночь) 1943 547 британских бомбардировщиков атаковали Кассель, Германия, потеряв 24 из своего числа (4,4%). Плохая маркировка целей приводит к тому, что большинство бомб поражают западные пригороды, а также отдаленные города и деревни (20376).</w:t>
      </w:r>
    </w:p>
    <w:p w14:paraId="6F9DE419" w14:textId="77777777" w:rsidR="003608FA" w:rsidRPr="00271E51" w:rsidRDefault="003608FA" w:rsidP="00271E51">
      <w:pPr>
        <w:spacing w:after="0" w:line="240" w:lineRule="auto"/>
        <w:jc w:val="both"/>
        <w:rPr>
          <w:rFonts w:ascii="Times New Roman" w:hAnsi="Times New Roman"/>
          <w:color w:val="0070C0"/>
          <w:sz w:val="16"/>
          <w:szCs w:val="16"/>
        </w:rPr>
      </w:pPr>
    </w:p>
    <w:p w14:paraId="72703178"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состоялся первый запуск ракеты Фау-2 из Пенемюнде (1242).</w:t>
      </w:r>
    </w:p>
    <w:p w14:paraId="5526B2EB"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AB19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в Париже создан Союз русских патриотов, русская секция французского антифашистского Сопротивления (4962).</w:t>
      </w:r>
    </w:p>
    <w:p w14:paraId="576CE8D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2D764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Черчилль в письме Рузвельту отмечал: «Я считаю, что Италия и Балканский полуостров в военном и политическом отношении представляют единое целое, и именно в этом районе мы должны предпринять активные действия». Это послание предварило операцию по захвату Родоса (14788).</w:t>
      </w:r>
    </w:p>
    <w:p w14:paraId="531EF9B3"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665E308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немецкие десантники высадились на острове Кос (14788).</w:t>
      </w:r>
    </w:p>
    <w:p w14:paraId="467979F9"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3D491CC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 октября </w:t>
      </w:r>
      <w:r w:rsidRPr="00271E51">
        <w:rPr>
          <w:rFonts w:ascii="Times New Roman" w:hAnsi="Times New Roman"/>
          <w:color w:val="000000" w:themeColor="text1"/>
          <w:sz w:val="16"/>
          <w:szCs w:val="16"/>
        </w:rPr>
        <w:t>в 1943 году японские оккупационные власти на Яве создали Добровольческую армию защитников Отечества (14788).</w:t>
      </w:r>
    </w:p>
    <w:p w14:paraId="38E0BCAE"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20B32B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03 1943 First launch of the V-2 rocket from Peenemunde (1242).</w:t>
      </w:r>
    </w:p>
    <w:p w14:paraId="148F91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C1D5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октября 1943 Япония провела успешное наступление в Центральном Китае (2262).</w:t>
      </w:r>
    </w:p>
    <w:p w14:paraId="411CDB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F516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B833B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850E19"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1943г. при выполнении задания на самолете Пе-2, пи</w:t>
      </w:r>
      <w:r w:rsidRPr="00271E51">
        <w:rPr>
          <w:rFonts w:ascii="Times New Roman" w:hAnsi="Times New Roman"/>
          <w:color w:val="000000" w:themeColor="text1"/>
          <w:sz w:val="16"/>
          <w:szCs w:val="16"/>
        </w:rPr>
        <w:softHyphen/>
        <w:t>лотируемом т. Галлай М.Л., возникла раскрутка винта одного из мото</w:t>
      </w:r>
      <w:r w:rsidRPr="00271E51">
        <w:rPr>
          <w:rFonts w:ascii="Times New Roman" w:hAnsi="Times New Roman"/>
          <w:color w:val="000000" w:themeColor="text1"/>
          <w:sz w:val="16"/>
          <w:szCs w:val="16"/>
        </w:rPr>
        <w:softHyphen/>
        <w:t>ров с последующим быстрым падением давления масла.</w:t>
      </w:r>
    </w:p>
    <w:p w14:paraId="7F7A949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сохранения мотора последний был немедленно выключен. При отдаленности от аэродрома и малом запасе высоты самолет благо</w:t>
      </w:r>
      <w:r w:rsidRPr="00271E51">
        <w:rPr>
          <w:rFonts w:ascii="Times New Roman" w:hAnsi="Times New Roman"/>
          <w:color w:val="000000" w:themeColor="text1"/>
          <w:sz w:val="16"/>
          <w:szCs w:val="16"/>
        </w:rPr>
        <w:softHyphen/>
        <w:t>получно был доведен до аэродрома и при большой загрузке старта была произведена нормальная посадка (15633).</w:t>
      </w:r>
    </w:p>
    <w:p w14:paraId="1CA472CD" w14:textId="77777777" w:rsidR="005A27E3" w:rsidRPr="00271E51" w:rsidRDefault="005A27E3" w:rsidP="00271E51">
      <w:pPr>
        <w:pStyle w:val="228"/>
        <w:shd w:val="clear" w:color="auto" w:fill="auto"/>
        <w:spacing w:before="0" w:line="240" w:lineRule="auto"/>
        <w:jc w:val="both"/>
        <w:outlineLvl w:val="9"/>
        <w:rPr>
          <w:color w:val="000000" w:themeColor="text1"/>
          <w:sz w:val="16"/>
          <w:szCs w:val="16"/>
        </w:rPr>
      </w:pPr>
    </w:p>
    <w:p w14:paraId="6BD4F0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состоялся полет модифицированного Би с втрое большим запасом горючего и усовершенствованным двигателем (384,166).</w:t>
      </w:r>
    </w:p>
    <w:p w14:paraId="631FEE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D30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первый экз. перехватчика 302 М.Р.Бисновата и А.Г.Костикова с одним ЖРД выполнил несколько безмоторных полетов вслед за СБ (2393,22).</w:t>
      </w:r>
    </w:p>
    <w:p w14:paraId="09E989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412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октября 1943 в НИИ ВВС состоялись гос. испытания опытного мотопланера "МП" с двумя моторами М-11Ф и винтами У-2 - модификации БДП, изготовленного на </w:t>
      </w:r>
      <w:r w:rsidRPr="00271E51">
        <w:rPr>
          <w:rFonts w:ascii="Times New Roman" w:hAnsi="Times New Roman"/>
          <w:color w:val="000000" w:themeColor="text1"/>
          <w:sz w:val="16"/>
          <w:szCs w:val="16"/>
        </w:rPr>
        <w:lastRenderedPageBreak/>
        <w:t>заводе 51 Н.Н.П. Поступил 30 сентября 1943. Выполнили 49 полетов по 6 ноября 1943 в самолетном варианте (без буксировки). Оказался хуже Ще-2 (515).</w:t>
      </w:r>
    </w:p>
    <w:p w14:paraId="517C26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D42B4"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784B5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3E6A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октября 1943 г. после освобождения Брянской обл. от фашистов по приказу НКБ № 939с начались работы по восстановлению завода на месте эвакуированного завода № 113 НКБ. По приказу НКБ № 978с от 14.10.1943 г. новый завод переименован в завод № 121 (Завод № 121 НКБ, Брянский химический завод (БХЗ), ФГУП «Брянский ордена Трудового Красного Знамени химический завод им. 50-летия СССР» Росбоеприпаса /241550  г. Сельцо Брянской обл. Промплощадка, 1 тел. 97-12-40/). В 02.1944 г. цех № 1 выпустил первую продукцию, в 05.1944 г. в помещении склада открыт цех № 3 по выпуску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М-8 и М-13 для «Катюш». 24.06.1944 г. вышло постановление ГКО № 6095 об организации на заводе снаряжения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М-8, М-13 и М-31. В 06.1945 г. завод полност ью вступил в строй, приступил к выпуску сельскохозяйственной техники. В 1947 г. освоено производство аммонита, введен в строй соответствующий цех. В 1955 г. введены в эксплуатацию два машиностроительных цеха. В 1959-60 г. проведена реконструкция завода, начинается строительство газового хозяйства.</w:t>
      </w:r>
    </w:p>
    <w:p w14:paraId="6A8BC7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 г. имелся филиал завода по сборке боеприпасов.</w:t>
      </w:r>
    </w:p>
    <w:p w14:paraId="0F6E46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1967 г. вступила в эксплуатацию мастерская по производству гранулита 79/21, в 1968 г.- мастерская по производству патронов из аммонита 6ЖВ. В 1969 г. построено здание механического цеха. В 1970 г. организовано производство ТНП. В 1972 г. введен в строй новый сборочный корпус, завод становится ведущим в отрасли по снаряжению и сборке боеприпасов. С 1989 г. начинается конверсия производства: налажен выпуск линолеуыа, изделий из полимербетона, мебели.</w:t>
      </w:r>
    </w:p>
    <w:p w14:paraId="148B46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 473 от 5.07.1992 г. завод определен базовым предприятием по расснаряжеиию и утилизации боеприпасов в Северо-Западном регионе. На заводе создана уникальная установка по выплавке тротила из крупнокалиберных боеприпасов.</w:t>
      </w:r>
    </w:p>
    <w:p w14:paraId="3E177A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Указом Президиума ВС СССР от 18.01.1971 г. завод награжден орденом Трудового Красного Знамени.</w:t>
      </w:r>
    </w:p>
    <w:p w14:paraId="25D312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2D7FCB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г.)- 1500 чел., (2004 г.)- 2000 чел.</w:t>
      </w:r>
    </w:p>
    <w:p w14:paraId="1AA7A7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(1973 г.)- В.В. Мейпариани, (1975 г.-)- Л.И. Таньков, (1983 г.-)- В.П. Купцов. Гендиректор (1999- 2007 г.-)- Г .Б. Гилик, (-2008-09 г.-)- С. Раковский.</w:t>
      </w:r>
    </w:p>
    <w:p w14:paraId="2CDD91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взрывчатка: гранулит, аммонит (1960-е); зерносушилка ЗСП-1,5 (1950-е) (11982).</w:t>
      </w:r>
    </w:p>
    <w:p w14:paraId="4B2AA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38193" w14:textId="77777777" w:rsidR="00B95E55" w:rsidRPr="00271E51" w:rsidRDefault="00B95E55" w:rsidP="00271E51">
      <w:pPr>
        <w:pStyle w:val="a3"/>
        <w:rPr>
          <w:color w:val="000000" w:themeColor="text1"/>
          <w:lang w:val="ru-RU"/>
        </w:rPr>
      </w:pPr>
      <w:r w:rsidRPr="00271E51">
        <w:rPr>
          <w:color w:val="000000" w:themeColor="text1"/>
          <w:lang w:val="ru-RU"/>
        </w:rPr>
        <w:t>4 октября 1943 начальником Артиллерийского комитета ГАУ КА были утверждены тактико-технические требова</w:t>
      </w:r>
      <w:r w:rsidRPr="00271E51">
        <w:rPr>
          <w:color w:val="000000" w:themeColor="text1"/>
          <w:lang w:val="ru-RU"/>
        </w:rPr>
        <w:softHyphen/>
        <w:t>ния на проектирование пушки:</w:t>
      </w:r>
    </w:p>
    <w:p w14:paraId="58FEB27A"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 Назначение и задачи.</w:t>
      </w:r>
    </w:p>
    <w:p w14:paraId="3E11D680" w14:textId="77777777" w:rsidR="00B95E55" w:rsidRPr="00271E51" w:rsidRDefault="00B95E55" w:rsidP="00271E51">
      <w:pPr>
        <w:pStyle w:val="Bodytext141"/>
        <w:shd w:val="clear" w:color="auto" w:fill="auto"/>
        <w:tabs>
          <w:tab w:val="left" w:pos="836"/>
        </w:tabs>
        <w:spacing w:line="240" w:lineRule="auto"/>
        <w:ind w:firstLine="0"/>
        <w:jc w:val="both"/>
        <w:rPr>
          <w:i w:val="0"/>
          <w:color w:val="000000" w:themeColor="text1"/>
          <w:sz w:val="16"/>
          <w:szCs w:val="16"/>
        </w:rPr>
      </w:pPr>
      <w:r w:rsidRPr="00271E51">
        <w:rPr>
          <w:i w:val="0"/>
          <w:color w:val="000000" w:themeColor="text1"/>
          <w:sz w:val="16"/>
          <w:szCs w:val="16"/>
        </w:rPr>
        <w:t>1. 122-мм танковая и самоходная пушка большой мощности предна</w:t>
      </w:r>
      <w:r w:rsidRPr="00271E51">
        <w:rPr>
          <w:i w:val="0"/>
          <w:color w:val="000000" w:themeColor="text1"/>
          <w:sz w:val="16"/>
          <w:szCs w:val="16"/>
        </w:rPr>
        <w:softHyphen/>
        <w:t>значается для вооружения тяжелых танков (типа «ИС» ) и ар</w:t>
      </w:r>
      <w:r w:rsidRPr="00271E51">
        <w:rPr>
          <w:i w:val="0"/>
          <w:color w:val="000000" w:themeColor="text1"/>
          <w:sz w:val="16"/>
          <w:szCs w:val="16"/>
        </w:rPr>
        <w:softHyphen/>
        <w:t>тиллерийских самоходных орудий, изготовленных из агрегатов шасси тяжелых танков.</w:t>
      </w:r>
    </w:p>
    <w:p w14:paraId="4D5EC0B8" w14:textId="77777777" w:rsidR="00B95E55" w:rsidRPr="00271E51" w:rsidRDefault="00B95E55" w:rsidP="00271E51">
      <w:pPr>
        <w:pStyle w:val="Bodytext141"/>
        <w:shd w:val="clear" w:color="auto" w:fill="auto"/>
        <w:tabs>
          <w:tab w:val="left" w:pos="860"/>
        </w:tabs>
        <w:spacing w:line="240" w:lineRule="auto"/>
        <w:ind w:firstLine="0"/>
        <w:jc w:val="both"/>
        <w:rPr>
          <w:i w:val="0"/>
          <w:color w:val="000000" w:themeColor="text1"/>
          <w:sz w:val="16"/>
          <w:szCs w:val="16"/>
        </w:rPr>
      </w:pPr>
      <w:r w:rsidRPr="00271E51">
        <w:rPr>
          <w:i w:val="0"/>
          <w:color w:val="000000" w:themeColor="text1"/>
          <w:sz w:val="16"/>
          <w:szCs w:val="16"/>
        </w:rPr>
        <w:t>2. Главной огневой задачей 122-мм пушки большой мощности явля</w:t>
      </w:r>
      <w:r w:rsidRPr="00271E51">
        <w:rPr>
          <w:i w:val="0"/>
          <w:color w:val="000000" w:themeColor="text1"/>
          <w:sz w:val="16"/>
          <w:szCs w:val="16"/>
        </w:rPr>
        <w:softHyphen/>
        <w:t>ется уничтожение тяжелых танков и самоходных орудий про</w:t>
      </w:r>
      <w:r w:rsidRPr="00271E51">
        <w:rPr>
          <w:i w:val="0"/>
          <w:color w:val="000000" w:themeColor="text1"/>
          <w:sz w:val="16"/>
          <w:szCs w:val="16"/>
        </w:rPr>
        <w:softHyphen/>
        <w:t>тивника (брони до 200 мм) на дистанциях 1000—1500 метров и разрушение бронеколпаков ДОТ-ов и бронированных амбразур.</w:t>
      </w:r>
    </w:p>
    <w:p w14:paraId="471432FA"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Кроме того, пушка предназначается для уничтожения живой силы и артиллерии противника.</w:t>
      </w:r>
    </w:p>
    <w:p w14:paraId="6CF47C6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II. Баллистические данные.</w:t>
      </w:r>
    </w:p>
    <w:p w14:paraId="7A549417" w14:textId="77777777" w:rsidR="00B95E55" w:rsidRPr="00271E51" w:rsidRDefault="00B95E55" w:rsidP="00271E51">
      <w:pPr>
        <w:pStyle w:val="Bodytext141"/>
        <w:shd w:val="clear" w:color="auto" w:fill="auto"/>
        <w:tabs>
          <w:tab w:val="left" w:pos="879"/>
        </w:tabs>
        <w:spacing w:line="240" w:lineRule="auto"/>
        <w:ind w:firstLine="0"/>
        <w:jc w:val="both"/>
        <w:rPr>
          <w:i w:val="0"/>
          <w:color w:val="000000" w:themeColor="text1"/>
          <w:sz w:val="16"/>
          <w:szCs w:val="16"/>
        </w:rPr>
      </w:pPr>
      <w:r w:rsidRPr="00271E51">
        <w:rPr>
          <w:i w:val="0"/>
          <w:color w:val="000000" w:themeColor="text1"/>
          <w:sz w:val="16"/>
          <w:szCs w:val="16"/>
        </w:rPr>
        <w:t>1. 122-мм танковая и самоходная пушка должна иметь следующую баллистику:</w:t>
      </w:r>
    </w:p>
    <w:p w14:paraId="19C22421" w14:textId="77777777" w:rsidR="00B95E55" w:rsidRPr="00271E51" w:rsidRDefault="00B95E55" w:rsidP="00271E51">
      <w:pPr>
        <w:pStyle w:val="Bodytext141"/>
        <w:shd w:val="clear" w:color="auto" w:fill="auto"/>
        <w:tabs>
          <w:tab w:val="left" w:pos="378"/>
        </w:tabs>
        <w:spacing w:line="240" w:lineRule="auto"/>
        <w:ind w:firstLine="0"/>
        <w:jc w:val="both"/>
        <w:rPr>
          <w:i w:val="0"/>
          <w:color w:val="000000" w:themeColor="text1"/>
          <w:sz w:val="16"/>
          <w:szCs w:val="16"/>
        </w:rPr>
      </w:pPr>
      <w:r w:rsidRPr="00271E51">
        <w:rPr>
          <w:i w:val="0"/>
          <w:color w:val="000000" w:themeColor="text1"/>
          <w:sz w:val="16"/>
          <w:szCs w:val="16"/>
        </w:rPr>
        <w:t>а. калибр</w:t>
      </w:r>
      <w:r w:rsidRPr="00271E51">
        <w:rPr>
          <w:i w:val="0"/>
          <w:color w:val="000000" w:themeColor="text1"/>
          <w:sz w:val="16"/>
          <w:szCs w:val="16"/>
        </w:rPr>
        <w:tab/>
        <w:t>122 мм</w:t>
      </w:r>
    </w:p>
    <w:p w14:paraId="47F0BD83" w14:textId="77777777" w:rsidR="00B95E55" w:rsidRPr="00271E51" w:rsidRDefault="00B95E55" w:rsidP="00271E51">
      <w:pPr>
        <w:pStyle w:val="Bodytext141"/>
        <w:shd w:val="clear" w:color="auto" w:fill="auto"/>
        <w:tabs>
          <w:tab w:val="left" w:pos="369"/>
        </w:tabs>
        <w:spacing w:line="240" w:lineRule="auto"/>
        <w:ind w:firstLine="0"/>
        <w:jc w:val="both"/>
        <w:rPr>
          <w:i w:val="0"/>
          <w:color w:val="000000" w:themeColor="text1"/>
          <w:sz w:val="16"/>
          <w:szCs w:val="16"/>
        </w:rPr>
      </w:pPr>
      <w:r w:rsidRPr="00271E51">
        <w:rPr>
          <w:i w:val="0"/>
          <w:color w:val="000000" w:themeColor="text1"/>
          <w:sz w:val="16"/>
          <w:szCs w:val="16"/>
        </w:rPr>
        <w:t>б. вес снаряда</w:t>
      </w:r>
      <w:r w:rsidRPr="00271E51">
        <w:rPr>
          <w:i w:val="0"/>
          <w:color w:val="000000" w:themeColor="text1"/>
          <w:sz w:val="16"/>
          <w:szCs w:val="16"/>
        </w:rPr>
        <w:tab/>
        <w:t>25 кгр.</w:t>
      </w:r>
    </w:p>
    <w:p w14:paraId="79A314EA" w14:textId="77777777" w:rsidR="00B95E55" w:rsidRPr="00271E51" w:rsidRDefault="00B95E55" w:rsidP="00271E51">
      <w:pPr>
        <w:pStyle w:val="Bodytext141"/>
        <w:shd w:val="clear" w:color="auto" w:fill="auto"/>
        <w:tabs>
          <w:tab w:val="left" w:pos="369"/>
        </w:tabs>
        <w:spacing w:line="240" w:lineRule="auto"/>
        <w:ind w:firstLine="0"/>
        <w:jc w:val="both"/>
        <w:rPr>
          <w:i w:val="0"/>
          <w:color w:val="000000" w:themeColor="text1"/>
          <w:sz w:val="16"/>
          <w:szCs w:val="16"/>
        </w:rPr>
      </w:pPr>
      <w:r w:rsidRPr="00271E51">
        <w:rPr>
          <w:i w:val="0"/>
          <w:color w:val="000000" w:themeColor="text1"/>
          <w:sz w:val="16"/>
          <w:szCs w:val="16"/>
        </w:rPr>
        <w:t>в. нач. скорость (для бронебойного заряда)</w:t>
      </w:r>
      <w:r w:rsidRPr="00271E51">
        <w:rPr>
          <w:i w:val="0"/>
          <w:color w:val="000000" w:themeColor="text1"/>
          <w:sz w:val="16"/>
          <w:szCs w:val="16"/>
        </w:rPr>
        <w:tab/>
        <w:t>1000м/сек</w:t>
      </w:r>
    </w:p>
    <w:p w14:paraId="00665C68" w14:textId="77777777" w:rsidR="00B95E55" w:rsidRPr="00271E51" w:rsidRDefault="00B95E55" w:rsidP="00271E51">
      <w:pPr>
        <w:pStyle w:val="Bodytext141"/>
        <w:shd w:val="clear" w:color="auto" w:fill="auto"/>
        <w:tabs>
          <w:tab w:val="left" w:pos="354"/>
        </w:tabs>
        <w:spacing w:line="240" w:lineRule="auto"/>
        <w:ind w:firstLine="0"/>
        <w:jc w:val="both"/>
        <w:rPr>
          <w:i w:val="0"/>
          <w:color w:val="000000" w:themeColor="text1"/>
          <w:sz w:val="16"/>
          <w:szCs w:val="16"/>
        </w:rPr>
      </w:pPr>
      <w:r w:rsidRPr="00271E51">
        <w:rPr>
          <w:i w:val="0"/>
          <w:color w:val="000000" w:themeColor="text1"/>
          <w:sz w:val="16"/>
          <w:szCs w:val="16"/>
        </w:rPr>
        <w:t>г. плотность заряжания</w:t>
      </w:r>
      <w:r w:rsidRPr="00271E51">
        <w:rPr>
          <w:i w:val="0"/>
          <w:color w:val="000000" w:themeColor="text1"/>
          <w:sz w:val="16"/>
          <w:szCs w:val="16"/>
        </w:rPr>
        <w:tab/>
        <w:t>не более 0,75</w:t>
      </w:r>
    </w:p>
    <w:p w14:paraId="71F3BDF2" w14:textId="77777777" w:rsidR="00B95E55" w:rsidRPr="00271E51" w:rsidRDefault="00B95E55" w:rsidP="00271E51">
      <w:pPr>
        <w:pStyle w:val="Bodytext141"/>
        <w:shd w:val="clear" w:color="auto" w:fill="auto"/>
        <w:tabs>
          <w:tab w:val="left" w:pos="359"/>
        </w:tabs>
        <w:spacing w:line="240" w:lineRule="auto"/>
        <w:ind w:firstLine="0"/>
        <w:jc w:val="both"/>
        <w:rPr>
          <w:i w:val="0"/>
          <w:color w:val="000000" w:themeColor="text1"/>
          <w:sz w:val="16"/>
          <w:szCs w:val="16"/>
        </w:rPr>
      </w:pPr>
      <w:r w:rsidRPr="00271E51">
        <w:rPr>
          <w:i w:val="0"/>
          <w:color w:val="000000" w:themeColor="text1"/>
          <w:sz w:val="16"/>
          <w:szCs w:val="16"/>
        </w:rPr>
        <w:t>д. марка пороха</w:t>
      </w:r>
      <w:r w:rsidRPr="00271E51">
        <w:rPr>
          <w:i w:val="0"/>
          <w:color w:val="000000" w:themeColor="text1"/>
          <w:sz w:val="16"/>
          <w:szCs w:val="16"/>
        </w:rPr>
        <w:tab/>
        <w:t>не более 0,75 22/1 или 24/1</w:t>
      </w:r>
    </w:p>
    <w:p w14:paraId="2ECAE7A6" w14:textId="77777777" w:rsidR="00B95E55" w:rsidRPr="00271E51" w:rsidRDefault="00B95E55" w:rsidP="00271E51">
      <w:pPr>
        <w:pStyle w:val="Bodytext141"/>
        <w:shd w:val="clear" w:color="auto" w:fill="auto"/>
        <w:tabs>
          <w:tab w:val="left" w:pos="359"/>
        </w:tabs>
        <w:spacing w:line="240" w:lineRule="auto"/>
        <w:ind w:firstLine="0"/>
        <w:jc w:val="both"/>
        <w:rPr>
          <w:i w:val="0"/>
          <w:color w:val="000000" w:themeColor="text1"/>
          <w:sz w:val="16"/>
          <w:szCs w:val="16"/>
        </w:rPr>
      </w:pPr>
      <w:r w:rsidRPr="00271E51">
        <w:rPr>
          <w:i w:val="0"/>
          <w:color w:val="000000" w:themeColor="text1"/>
          <w:sz w:val="16"/>
          <w:szCs w:val="16"/>
        </w:rPr>
        <w:t>е. наибольшее давление</w:t>
      </w:r>
      <w:r w:rsidRPr="00271E51">
        <w:rPr>
          <w:i w:val="0"/>
          <w:color w:val="000000" w:themeColor="text1"/>
          <w:sz w:val="16"/>
          <w:szCs w:val="16"/>
        </w:rPr>
        <w:tab/>
        <w:t>около 3200 кг/см</w:t>
      </w:r>
      <w:r w:rsidRPr="00271E51">
        <w:rPr>
          <w:i w:val="0"/>
          <w:color w:val="000000" w:themeColor="text1"/>
          <w:sz w:val="16"/>
          <w:szCs w:val="16"/>
          <w:vertAlign w:val="superscript"/>
        </w:rPr>
        <w:t>2</w:t>
      </w:r>
    </w:p>
    <w:p w14:paraId="3925A166"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Кроме того, в боекомплекте пушки должна быть осколочно-фугасная граната, штатная для пушки А-19. Начальная скорость осколочно-фу</w:t>
      </w:r>
      <w:r w:rsidRPr="00271E51">
        <w:rPr>
          <w:i w:val="0"/>
          <w:color w:val="000000" w:themeColor="text1"/>
          <w:sz w:val="16"/>
          <w:szCs w:val="16"/>
        </w:rPr>
        <w:softHyphen/>
        <w:t>гасной гранаты должна быть ниже, чем 1000 м/сек., с целью повышения живучести ствола и получение больших углов падения снаряда.</w:t>
      </w:r>
    </w:p>
    <w:p w14:paraId="73AD949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III. Тактические требования.</w:t>
      </w:r>
    </w:p>
    <w:p w14:paraId="6529D96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4. Пушка должна иметь следующие характеристики:</w:t>
      </w:r>
    </w:p>
    <w:p w14:paraId="1185B343" w14:textId="77777777" w:rsidR="00B95E55" w:rsidRPr="00271E51" w:rsidRDefault="00B95E55" w:rsidP="00271E51">
      <w:pPr>
        <w:pStyle w:val="Bodytext141"/>
        <w:shd w:val="clear" w:color="auto" w:fill="auto"/>
        <w:tabs>
          <w:tab w:val="left" w:pos="278"/>
        </w:tabs>
        <w:spacing w:line="240" w:lineRule="auto"/>
        <w:ind w:firstLine="0"/>
        <w:jc w:val="both"/>
        <w:rPr>
          <w:i w:val="0"/>
          <w:color w:val="000000" w:themeColor="text1"/>
          <w:sz w:val="16"/>
          <w:szCs w:val="16"/>
        </w:rPr>
      </w:pPr>
      <w:r w:rsidRPr="00271E51">
        <w:rPr>
          <w:i w:val="0"/>
          <w:color w:val="000000" w:themeColor="text1"/>
          <w:sz w:val="16"/>
          <w:szCs w:val="16"/>
        </w:rPr>
        <w:t>а. скорострельность</w:t>
      </w:r>
      <w:r w:rsidRPr="00271E51">
        <w:rPr>
          <w:i w:val="0"/>
          <w:color w:val="000000" w:themeColor="text1"/>
          <w:sz w:val="16"/>
          <w:szCs w:val="16"/>
        </w:rPr>
        <w:tab/>
        <w:t>6—</w:t>
      </w:r>
      <w:r w:rsidRPr="00271E51">
        <w:rPr>
          <w:rStyle w:val="Bodytext14Tahoma1"/>
          <w:rFonts w:ascii="Times New Roman" w:hAnsi="Times New Roman" w:cs="Times New Roman"/>
          <w:i w:val="0"/>
          <w:iCs w:val="0"/>
          <w:color w:val="000000" w:themeColor="text1"/>
          <w:sz w:val="16"/>
          <w:szCs w:val="16"/>
        </w:rPr>
        <w:t xml:space="preserve"> 7</w:t>
      </w:r>
      <w:r w:rsidRPr="00271E51">
        <w:rPr>
          <w:i w:val="0"/>
          <w:color w:val="000000" w:themeColor="text1"/>
          <w:sz w:val="16"/>
          <w:szCs w:val="16"/>
        </w:rPr>
        <w:t xml:space="preserve"> выстр./мин.</w:t>
      </w:r>
    </w:p>
    <w:p w14:paraId="513AD453" w14:textId="77777777" w:rsidR="00B95E55" w:rsidRPr="00271E51" w:rsidRDefault="00B95E55" w:rsidP="00271E51">
      <w:pPr>
        <w:pStyle w:val="Bodytext141"/>
        <w:shd w:val="clear" w:color="auto" w:fill="auto"/>
        <w:tabs>
          <w:tab w:val="left" w:pos="264"/>
        </w:tabs>
        <w:spacing w:line="240" w:lineRule="auto"/>
        <w:ind w:firstLine="0"/>
        <w:jc w:val="both"/>
        <w:rPr>
          <w:i w:val="0"/>
          <w:color w:val="000000" w:themeColor="text1"/>
          <w:sz w:val="16"/>
          <w:szCs w:val="16"/>
        </w:rPr>
      </w:pPr>
      <w:r w:rsidRPr="00271E51">
        <w:rPr>
          <w:i w:val="0"/>
          <w:color w:val="000000" w:themeColor="text1"/>
          <w:sz w:val="16"/>
          <w:szCs w:val="16"/>
        </w:rPr>
        <w:t>б. кучность стрельбы на дистанцию 1000м</w:t>
      </w:r>
      <w:r w:rsidRPr="00271E51">
        <w:rPr>
          <w:i w:val="0"/>
          <w:color w:val="000000" w:themeColor="text1"/>
          <w:sz w:val="16"/>
          <w:szCs w:val="16"/>
        </w:rPr>
        <w:tab/>
        <w:t>0,15 мю</w:t>
      </w:r>
    </w:p>
    <w:p w14:paraId="58F05CD3"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усилия на маховиках механизмов наведения при страгивании с места при установившемся движении</w:t>
      </w:r>
    </w:p>
    <w:p w14:paraId="18260157" w14:textId="77777777" w:rsidR="00B95E55" w:rsidRPr="00271E51" w:rsidRDefault="00B95E55" w:rsidP="00271E51">
      <w:pPr>
        <w:pStyle w:val="Bodytext141"/>
        <w:shd w:val="clear" w:color="auto" w:fill="auto"/>
        <w:tabs>
          <w:tab w:val="left" w:pos="235"/>
        </w:tabs>
        <w:spacing w:line="240" w:lineRule="auto"/>
        <w:ind w:firstLine="0"/>
        <w:jc w:val="both"/>
        <w:rPr>
          <w:i w:val="0"/>
          <w:color w:val="000000" w:themeColor="text1"/>
          <w:sz w:val="16"/>
          <w:szCs w:val="16"/>
        </w:rPr>
      </w:pPr>
      <w:r w:rsidRPr="00271E51">
        <w:rPr>
          <w:i w:val="0"/>
          <w:color w:val="000000" w:themeColor="text1"/>
          <w:sz w:val="16"/>
          <w:szCs w:val="16"/>
        </w:rPr>
        <w:t>г. мертвые хода на маховиках механизмов наведения не более</w:t>
      </w:r>
    </w:p>
    <w:p w14:paraId="050E35A9" w14:textId="77777777" w:rsidR="00B95E55" w:rsidRPr="00271E51" w:rsidRDefault="00B95E55" w:rsidP="00271E51">
      <w:pPr>
        <w:pStyle w:val="Bodytext141"/>
        <w:shd w:val="clear" w:color="auto" w:fill="auto"/>
        <w:tabs>
          <w:tab w:val="left" w:pos="254"/>
        </w:tabs>
        <w:spacing w:line="240" w:lineRule="auto"/>
        <w:ind w:firstLine="0"/>
        <w:jc w:val="both"/>
        <w:rPr>
          <w:i w:val="0"/>
          <w:color w:val="000000" w:themeColor="text1"/>
          <w:sz w:val="16"/>
          <w:szCs w:val="16"/>
        </w:rPr>
      </w:pPr>
      <w:r w:rsidRPr="00271E51">
        <w:rPr>
          <w:i w:val="0"/>
          <w:color w:val="000000" w:themeColor="text1"/>
          <w:sz w:val="16"/>
          <w:szCs w:val="16"/>
        </w:rPr>
        <w:t>д. усилие на механическом спусковом механизме</w:t>
      </w:r>
    </w:p>
    <w:p w14:paraId="0D2D39B6"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е. вертикальный сектор обстрела от —5° до +20°</w:t>
      </w:r>
    </w:p>
    <w:p w14:paraId="1B0BC021"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Пушка должна иметь раздельное заряжание.</w:t>
      </w:r>
    </w:p>
    <w:p w14:paraId="2CD670A1" w14:textId="77777777" w:rsidR="00B95E55" w:rsidRPr="00271E51" w:rsidRDefault="00B95E55" w:rsidP="00271E51">
      <w:pPr>
        <w:pStyle w:val="Bodytext141"/>
        <w:shd w:val="clear" w:color="auto" w:fill="auto"/>
        <w:tabs>
          <w:tab w:val="left" w:pos="1620"/>
        </w:tabs>
        <w:spacing w:line="240" w:lineRule="auto"/>
        <w:ind w:firstLine="0"/>
        <w:jc w:val="both"/>
        <w:rPr>
          <w:i w:val="0"/>
          <w:color w:val="000000" w:themeColor="text1"/>
          <w:sz w:val="16"/>
          <w:szCs w:val="16"/>
        </w:rPr>
      </w:pPr>
      <w:r w:rsidRPr="00271E51">
        <w:rPr>
          <w:i w:val="0"/>
          <w:color w:val="000000" w:themeColor="text1"/>
          <w:sz w:val="16"/>
          <w:szCs w:val="16"/>
        </w:rPr>
        <w:t>6 Основным прицелом пушки является ломающийся телескопиче</w:t>
      </w:r>
      <w:r w:rsidRPr="00271E51">
        <w:rPr>
          <w:i w:val="0"/>
          <w:color w:val="000000" w:themeColor="text1"/>
          <w:sz w:val="16"/>
          <w:szCs w:val="16"/>
        </w:rPr>
        <w:softHyphen/>
        <w:t>ский прицел. Для дублирования в танке ставится обычный теле</w:t>
      </w:r>
      <w:r w:rsidRPr="00271E51">
        <w:rPr>
          <w:i w:val="0"/>
          <w:color w:val="000000" w:themeColor="text1"/>
          <w:sz w:val="16"/>
          <w:szCs w:val="16"/>
        </w:rPr>
        <w:softHyphen/>
        <w:t>скопический прицел.</w:t>
      </w:r>
    </w:p>
    <w:p w14:paraId="39ABA4A2" w14:textId="77777777" w:rsidR="00B95E55" w:rsidRPr="00271E51" w:rsidRDefault="00B95E55" w:rsidP="00271E51">
      <w:pPr>
        <w:pStyle w:val="Bodytext141"/>
        <w:shd w:val="clear" w:color="auto" w:fill="auto"/>
        <w:tabs>
          <w:tab w:val="left" w:pos="1610"/>
        </w:tabs>
        <w:spacing w:line="240" w:lineRule="auto"/>
        <w:ind w:firstLine="0"/>
        <w:jc w:val="both"/>
        <w:rPr>
          <w:i w:val="0"/>
          <w:color w:val="000000" w:themeColor="text1"/>
          <w:sz w:val="16"/>
          <w:szCs w:val="16"/>
        </w:rPr>
      </w:pPr>
      <w:r w:rsidRPr="00271E51">
        <w:rPr>
          <w:i w:val="0"/>
          <w:color w:val="000000" w:themeColor="text1"/>
          <w:sz w:val="16"/>
          <w:szCs w:val="16"/>
        </w:rPr>
        <w:t>7. Для стрельбы с закрытых позиций танковая пушка должна иметь боковой уровень. Самоходная пушка — полевой прицел типа «ЗИС-З».</w:t>
      </w:r>
    </w:p>
    <w:p w14:paraId="08D7B405" w14:textId="77777777" w:rsidR="00B95E55" w:rsidRPr="00271E51" w:rsidRDefault="00B95E55" w:rsidP="00271E51">
      <w:pPr>
        <w:pStyle w:val="Bodytext141"/>
        <w:shd w:val="clear" w:color="auto" w:fill="auto"/>
        <w:tabs>
          <w:tab w:val="left" w:pos="1615"/>
        </w:tabs>
        <w:spacing w:line="240" w:lineRule="auto"/>
        <w:ind w:firstLine="0"/>
        <w:jc w:val="both"/>
        <w:rPr>
          <w:i w:val="0"/>
          <w:color w:val="000000" w:themeColor="text1"/>
          <w:sz w:val="16"/>
          <w:szCs w:val="16"/>
        </w:rPr>
      </w:pPr>
      <w:r w:rsidRPr="00271E51">
        <w:rPr>
          <w:i w:val="0"/>
          <w:color w:val="000000" w:themeColor="text1"/>
          <w:sz w:val="16"/>
          <w:szCs w:val="16"/>
        </w:rPr>
        <w:t>8. Пушка обслуживается при стрельбе расчетом из трех человек: наводчик и два заряжающих.</w:t>
      </w:r>
    </w:p>
    <w:p w14:paraId="5621DD23" w14:textId="77777777" w:rsidR="00B95E55" w:rsidRPr="00271E51" w:rsidRDefault="00B95E55" w:rsidP="00271E51">
      <w:pPr>
        <w:pStyle w:val="Bodytext141"/>
        <w:shd w:val="clear" w:color="auto" w:fill="auto"/>
        <w:tabs>
          <w:tab w:val="left" w:pos="1601"/>
        </w:tabs>
        <w:spacing w:line="240" w:lineRule="auto"/>
        <w:ind w:firstLine="0"/>
        <w:jc w:val="both"/>
        <w:rPr>
          <w:i w:val="0"/>
          <w:color w:val="000000" w:themeColor="text1"/>
          <w:sz w:val="16"/>
          <w:szCs w:val="16"/>
        </w:rPr>
      </w:pPr>
      <w:r w:rsidRPr="00271E51">
        <w:rPr>
          <w:i w:val="0"/>
          <w:color w:val="000000" w:themeColor="text1"/>
          <w:sz w:val="16"/>
          <w:szCs w:val="16"/>
        </w:rPr>
        <w:t>9. Пушка должна быть спарена с пулеметом.</w:t>
      </w:r>
    </w:p>
    <w:p w14:paraId="6C2D5FD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IV. Общие конструктивные требования.</w:t>
      </w:r>
    </w:p>
    <w:p w14:paraId="23C2393C" w14:textId="77777777" w:rsidR="00B95E55" w:rsidRPr="00271E51" w:rsidRDefault="00B95E55" w:rsidP="00271E51">
      <w:pPr>
        <w:pStyle w:val="Bodytext141"/>
        <w:shd w:val="clear" w:color="auto" w:fill="auto"/>
        <w:tabs>
          <w:tab w:val="left" w:pos="1754"/>
        </w:tabs>
        <w:spacing w:line="240" w:lineRule="auto"/>
        <w:ind w:firstLine="0"/>
        <w:jc w:val="both"/>
        <w:rPr>
          <w:i w:val="0"/>
          <w:color w:val="000000" w:themeColor="text1"/>
          <w:sz w:val="16"/>
          <w:szCs w:val="16"/>
        </w:rPr>
      </w:pPr>
      <w:r w:rsidRPr="00271E51">
        <w:rPr>
          <w:i w:val="0"/>
          <w:color w:val="000000" w:themeColor="text1"/>
          <w:sz w:val="16"/>
          <w:szCs w:val="16"/>
        </w:rPr>
        <w:t>10. Качающаяся часть 122-мм пушки большой мощности долж</w:t>
      </w:r>
      <w:r w:rsidRPr="00271E51">
        <w:rPr>
          <w:i w:val="0"/>
          <w:color w:val="000000" w:themeColor="text1"/>
          <w:sz w:val="16"/>
          <w:szCs w:val="16"/>
        </w:rPr>
        <w:softHyphen/>
        <w:t>на быть унифицирована для установки во вращающейся башне танка и в корпусе артсамохода.</w:t>
      </w:r>
    </w:p>
    <w:p w14:paraId="6D1A77F4"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11. Общая компоновка пушки должна обеспечивать при ее установ</w:t>
      </w:r>
      <w:r w:rsidRPr="00271E51">
        <w:rPr>
          <w:i w:val="0"/>
          <w:color w:val="000000" w:themeColor="text1"/>
          <w:sz w:val="16"/>
          <w:szCs w:val="16"/>
        </w:rPr>
        <w:softHyphen/>
        <w:t>ке наименьшую высоту линии огня и наивыгоднейший уровень за</w:t>
      </w:r>
      <w:r w:rsidRPr="00271E51">
        <w:rPr>
          <w:i w:val="0"/>
          <w:color w:val="000000" w:themeColor="text1"/>
          <w:sz w:val="16"/>
          <w:szCs w:val="16"/>
        </w:rPr>
        <w:softHyphen/>
        <w:t>ряжания.</w:t>
      </w:r>
    </w:p>
    <w:p w14:paraId="2B78BE95" w14:textId="77777777" w:rsidR="00B95E55" w:rsidRPr="00271E51" w:rsidRDefault="00B95E55" w:rsidP="00271E51">
      <w:pPr>
        <w:pStyle w:val="Bodytext141"/>
        <w:shd w:val="clear" w:color="auto" w:fill="auto"/>
        <w:tabs>
          <w:tab w:val="left" w:pos="1692"/>
        </w:tabs>
        <w:spacing w:line="240" w:lineRule="auto"/>
        <w:ind w:firstLine="0"/>
        <w:jc w:val="both"/>
        <w:rPr>
          <w:i w:val="0"/>
          <w:color w:val="000000" w:themeColor="text1"/>
          <w:sz w:val="16"/>
          <w:szCs w:val="16"/>
        </w:rPr>
      </w:pPr>
      <w:r w:rsidRPr="00271E51">
        <w:rPr>
          <w:i w:val="0"/>
          <w:color w:val="000000" w:themeColor="text1"/>
          <w:sz w:val="16"/>
          <w:szCs w:val="16"/>
        </w:rPr>
        <w:t>12. Вес орудия без бронирования должен быть не более 3500 кгр., при этом вес откатных частей должен быть в пределах 2700 кгр.</w:t>
      </w:r>
    </w:p>
    <w:p w14:paraId="5234262E" w14:textId="77777777" w:rsidR="00B95E55" w:rsidRPr="00271E51" w:rsidRDefault="00B95E55" w:rsidP="00271E51">
      <w:pPr>
        <w:pStyle w:val="Bodytext141"/>
        <w:shd w:val="clear" w:color="auto" w:fill="auto"/>
        <w:tabs>
          <w:tab w:val="left" w:pos="1730"/>
        </w:tabs>
        <w:spacing w:line="240" w:lineRule="auto"/>
        <w:ind w:firstLine="0"/>
        <w:jc w:val="both"/>
        <w:rPr>
          <w:i w:val="0"/>
          <w:color w:val="000000" w:themeColor="text1"/>
          <w:sz w:val="16"/>
          <w:szCs w:val="16"/>
        </w:rPr>
      </w:pPr>
      <w:r w:rsidRPr="00271E51">
        <w:rPr>
          <w:i w:val="0"/>
          <w:color w:val="000000" w:themeColor="text1"/>
          <w:sz w:val="16"/>
          <w:szCs w:val="16"/>
        </w:rPr>
        <w:t>13. Габариты пушки при установке ее в башню танка с погоном 1800мм должен обеспечивать удобную работу расчета.</w:t>
      </w:r>
    </w:p>
    <w:p w14:paraId="35A99A90" w14:textId="77777777" w:rsidR="00B95E55" w:rsidRPr="00271E51" w:rsidRDefault="00B95E55" w:rsidP="00271E51">
      <w:pPr>
        <w:pStyle w:val="Bodytext141"/>
        <w:shd w:val="clear" w:color="auto" w:fill="auto"/>
        <w:tabs>
          <w:tab w:val="left" w:pos="1711"/>
        </w:tabs>
        <w:spacing w:line="240" w:lineRule="auto"/>
        <w:ind w:firstLine="0"/>
        <w:jc w:val="both"/>
        <w:rPr>
          <w:i w:val="0"/>
          <w:color w:val="000000" w:themeColor="text1"/>
          <w:sz w:val="16"/>
          <w:szCs w:val="16"/>
        </w:rPr>
      </w:pPr>
      <w:r w:rsidRPr="00271E51">
        <w:rPr>
          <w:i w:val="0"/>
          <w:color w:val="000000" w:themeColor="text1"/>
          <w:sz w:val="16"/>
          <w:szCs w:val="16"/>
        </w:rPr>
        <w:t>14. Желательно иметь естественное уравновешивание пушки, од</w:t>
      </w:r>
      <w:r w:rsidRPr="00271E51">
        <w:rPr>
          <w:i w:val="0"/>
          <w:color w:val="000000" w:themeColor="text1"/>
          <w:sz w:val="16"/>
          <w:szCs w:val="16"/>
        </w:rPr>
        <w:softHyphen/>
        <w:t>нако применение уравновешивающих механизмов допускается.</w:t>
      </w:r>
    </w:p>
    <w:p w14:paraId="469B56B6"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15. Габариты откатывающихся частей должны быть ограждены.</w:t>
      </w:r>
    </w:p>
    <w:p w14:paraId="505A5A22" w14:textId="77777777" w:rsidR="00B95E55" w:rsidRPr="00271E51" w:rsidRDefault="00B95E55" w:rsidP="00271E51">
      <w:pPr>
        <w:pStyle w:val="Bodytext141"/>
        <w:shd w:val="clear" w:color="auto" w:fill="auto"/>
        <w:tabs>
          <w:tab w:val="left" w:pos="1687"/>
        </w:tabs>
        <w:spacing w:line="240" w:lineRule="auto"/>
        <w:ind w:firstLine="0"/>
        <w:jc w:val="both"/>
        <w:rPr>
          <w:i w:val="0"/>
          <w:color w:val="000000" w:themeColor="text1"/>
          <w:sz w:val="16"/>
          <w:szCs w:val="16"/>
        </w:rPr>
      </w:pPr>
      <w:r w:rsidRPr="00271E51">
        <w:rPr>
          <w:i w:val="0"/>
          <w:color w:val="000000" w:themeColor="text1"/>
          <w:sz w:val="16"/>
          <w:szCs w:val="16"/>
        </w:rPr>
        <w:t>16. Запасы прочности частей пушки должны обеспечивать возмож</w:t>
      </w:r>
      <w:r w:rsidRPr="00271E51">
        <w:rPr>
          <w:i w:val="0"/>
          <w:color w:val="000000" w:themeColor="text1"/>
          <w:sz w:val="16"/>
          <w:szCs w:val="16"/>
        </w:rPr>
        <w:softHyphen/>
        <w:t>ность дальнейшего повышения баллистики и наложения 152-мм ствола с баллистикой БР-2.</w:t>
      </w:r>
    </w:p>
    <w:p w14:paraId="3540B846" w14:textId="77777777" w:rsidR="00B95E55" w:rsidRPr="00271E51" w:rsidRDefault="00B95E55" w:rsidP="00271E51">
      <w:pPr>
        <w:pStyle w:val="Bodytext141"/>
        <w:shd w:val="clear" w:color="auto" w:fill="auto"/>
        <w:tabs>
          <w:tab w:val="left" w:pos="1730"/>
        </w:tabs>
        <w:spacing w:line="240" w:lineRule="auto"/>
        <w:ind w:firstLine="0"/>
        <w:jc w:val="both"/>
        <w:rPr>
          <w:i w:val="0"/>
          <w:color w:val="000000" w:themeColor="text1"/>
          <w:sz w:val="16"/>
          <w:szCs w:val="16"/>
        </w:rPr>
      </w:pPr>
      <w:r w:rsidRPr="00271E51">
        <w:rPr>
          <w:i w:val="0"/>
          <w:color w:val="000000" w:themeColor="text1"/>
          <w:sz w:val="16"/>
          <w:szCs w:val="16"/>
        </w:rPr>
        <w:t>17. Материалы, применяемые для изготовления пушки, должны быть освоены отечественными заводами. Применение высоко</w:t>
      </w:r>
      <w:r w:rsidRPr="00271E51">
        <w:rPr>
          <w:i w:val="0"/>
          <w:color w:val="000000" w:themeColor="text1"/>
          <w:sz w:val="16"/>
          <w:szCs w:val="16"/>
        </w:rPr>
        <w:softHyphen/>
        <w:t>легированных сталей и цветных металлов необходимо довести до минимума.</w:t>
      </w:r>
    </w:p>
    <w:p w14:paraId="0EEA1AD1" w14:textId="77777777" w:rsidR="00B95E55" w:rsidRPr="00271E51" w:rsidRDefault="00B95E55" w:rsidP="00271E51">
      <w:pPr>
        <w:pStyle w:val="Bodytext141"/>
        <w:shd w:val="clear" w:color="auto" w:fill="auto"/>
        <w:tabs>
          <w:tab w:val="left" w:pos="1702"/>
        </w:tabs>
        <w:spacing w:line="240" w:lineRule="auto"/>
        <w:ind w:firstLine="0"/>
        <w:jc w:val="both"/>
        <w:rPr>
          <w:i w:val="0"/>
          <w:color w:val="000000" w:themeColor="text1"/>
          <w:sz w:val="16"/>
          <w:szCs w:val="16"/>
        </w:rPr>
      </w:pPr>
      <w:r w:rsidRPr="00271E51">
        <w:rPr>
          <w:i w:val="0"/>
          <w:color w:val="000000" w:themeColor="text1"/>
          <w:sz w:val="16"/>
          <w:szCs w:val="16"/>
        </w:rPr>
        <w:t>18. Технологически пушка должна быть простой и опираться на уже существующие технологические процессы. Должна быть соблю</w:t>
      </w:r>
      <w:r w:rsidRPr="00271E51">
        <w:rPr>
          <w:i w:val="0"/>
          <w:color w:val="000000" w:themeColor="text1"/>
          <w:sz w:val="16"/>
          <w:szCs w:val="16"/>
        </w:rPr>
        <w:softHyphen/>
        <w:t>дена развернутая унификация крепежных деталей, резьб (по их размерностям, классам точности и типам), отверстий и гнезд.</w:t>
      </w:r>
    </w:p>
    <w:p w14:paraId="46137F0B" w14:textId="77777777" w:rsidR="00B95E55" w:rsidRPr="00271E51" w:rsidRDefault="00B95E55" w:rsidP="00271E51">
      <w:pPr>
        <w:pStyle w:val="Bodytext141"/>
        <w:shd w:val="clear" w:color="auto" w:fill="auto"/>
        <w:tabs>
          <w:tab w:val="left" w:pos="1740"/>
        </w:tabs>
        <w:spacing w:line="240" w:lineRule="auto"/>
        <w:ind w:firstLine="0"/>
        <w:jc w:val="both"/>
        <w:rPr>
          <w:i w:val="0"/>
          <w:color w:val="000000" w:themeColor="text1"/>
          <w:sz w:val="16"/>
          <w:szCs w:val="16"/>
        </w:rPr>
      </w:pPr>
      <w:r w:rsidRPr="00271E51">
        <w:rPr>
          <w:i w:val="0"/>
          <w:color w:val="000000" w:themeColor="text1"/>
          <w:sz w:val="16"/>
          <w:szCs w:val="16"/>
        </w:rPr>
        <w:t>19. Общая конструкция пушки должна предусматривать отсут</w:t>
      </w:r>
      <w:r w:rsidRPr="00271E51">
        <w:rPr>
          <w:i w:val="0"/>
          <w:color w:val="000000" w:themeColor="text1"/>
          <w:sz w:val="16"/>
          <w:szCs w:val="16"/>
        </w:rPr>
        <w:softHyphen/>
        <w:t>ствие регулирующихся в войсковых частях механизмов».</w:t>
      </w:r>
    </w:p>
    <w:p w14:paraId="74FDAEE5"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Ситуация с проектом ЦАКБ пошла по нестандартному сценарию. Согласно переписке, требования бюро получило и с 25 сентября начало работы. Проект длинноствольной 122-мм пушки получил заводской ин</w:t>
      </w:r>
      <w:r w:rsidRPr="00271E51">
        <w:rPr>
          <w:rFonts w:ascii="Times New Roman" w:cs="Times New Roman"/>
          <w:color w:val="000000" w:themeColor="text1"/>
          <w:spacing w:val="0"/>
        </w:rPr>
        <w:softHyphen/>
        <w:t>декс С-26-1, впрочем, Грабин решил пойти своим путем. Одновремен</w:t>
      </w:r>
      <w:r w:rsidRPr="00271E51">
        <w:rPr>
          <w:rFonts w:ascii="Times New Roman" w:cs="Times New Roman"/>
          <w:color w:val="000000" w:themeColor="text1"/>
          <w:spacing w:val="0"/>
        </w:rPr>
        <w:softHyphen/>
        <w:t>но с С-26-1 начальник ЦАКБ смог протолкнуть идею создания 130-мм танковой и самоходной пушки, которая создавалась на основе баллисти</w:t>
      </w:r>
      <w:r w:rsidRPr="00271E51">
        <w:rPr>
          <w:rFonts w:ascii="Times New Roman" w:cs="Times New Roman"/>
          <w:color w:val="000000" w:themeColor="text1"/>
          <w:spacing w:val="0"/>
        </w:rPr>
        <w:softHyphen/>
        <w:t>ки корабельного орудия Б-13. Разработка проекта, получившего индекс цдмо</w:t>
      </w:r>
      <w:r w:rsidRPr="00271E51">
        <w:rPr>
          <w:rStyle w:val="BodytextTahoma1"/>
          <w:rFonts w:ascii="Times New Roman" w:hAnsi="Times New Roman" w:cs="Times New Roman"/>
          <w:color w:val="000000" w:themeColor="text1"/>
        </w:rPr>
        <w:t xml:space="preserve"> рф фон </w:t>
      </w:r>
      <w:r w:rsidRPr="00271E51">
        <w:rPr>
          <w:rStyle w:val="BodytextTahoma1"/>
          <w:rFonts w:ascii="Times New Roman" w:hAnsi="Times New Roman" w:cs="Times New Roman"/>
          <w:color w:val="000000" w:themeColor="text1"/>
          <w:lang w:val="en-US"/>
        </w:rPr>
        <w:t>isi</w:t>
      </w:r>
      <w:r w:rsidRPr="00271E51">
        <w:rPr>
          <w:rStyle w:val="BodytextTahoma1"/>
          <w:rFonts w:ascii="Times New Roman" w:hAnsi="Times New Roman" w:cs="Times New Roman"/>
          <w:color w:val="000000" w:themeColor="text1"/>
        </w:rPr>
        <w:t xml:space="preserve"> от </w:t>
      </w:r>
      <w:r w:rsidRPr="00271E51">
        <w:rPr>
          <w:rFonts w:ascii="Times New Roman" w:cs="Times New Roman"/>
          <w:color w:val="000000" w:themeColor="text1"/>
          <w:spacing w:val="0"/>
        </w:rPr>
        <w:t>С-26, затянулась, утвердили его в начале 1944 года, когда СУ-152 была  уже не актуальной. По этой причине базой для С-26 и С-26-1 в конце 1943 года стала выступать самоходная установка ИСУ-152.</w:t>
      </w:r>
    </w:p>
    <w:p w14:paraId="432B8898"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случае с пермскими конструкторскими бюро совместная работа не задалась. Вместо этого КБ завода №172 и ОКБ-172 начали разраба</w:t>
      </w:r>
      <w:r w:rsidRPr="00271E51">
        <w:rPr>
          <w:rFonts w:ascii="Times New Roman" w:cs="Times New Roman"/>
          <w:color w:val="000000" w:themeColor="text1"/>
          <w:spacing w:val="0"/>
        </w:rPr>
        <w:softHyphen/>
        <w:t>тывать конкурирующие проекты. Первыми с важным заданием спра</w:t>
      </w:r>
      <w:r w:rsidRPr="00271E51">
        <w:rPr>
          <w:rFonts w:ascii="Times New Roman" w:cs="Times New Roman"/>
          <w:color w:val="000000" w:themeColor="text1"/>
          <w:spacing w:val="0"/>
        </w:rPr>
        <w:softHyphen/>
        <w:t>вились в ОКБ-172, которое смогло подготовить документацию в ре</w:t>
      </w:r>
      <w:r w:rsidRPr="00271E51">
        <w:rPr>
          <w:rFonts w:ascii="Times New Roman" w:cs="Times New Roman"/>
          <w:color w:val="000000" w:themeColor="text1"/>
          <w:spacing w:val="0"/>
        </w:rPr>
        <w:softHyphen/>
        <w:t>кордно короткие сроки — менее чем за две недели. Руководил работами главный конструктор ОКБ-172 по сухопутной артиллерии М.Ю. Ци</w:t>
      </w:r>
      <w:r w:rsidRPr="00271E51">
        <w:rPr>
          <w:rFonts w:ascii="Times New Roman" w:cs="Times New Roman"/>
          <w:color w:val="000000" w:themeColor="text1"/>
          <w:spacing w:val="0"/>
        </w:rPr>
        <w:softHyphen/>
        <w:t>рульников. Как и другие работники «шарашки», он был заключенным, но к моменту начала работ Михаил Юрьевич был досрочно освобож</w:t>
      </w:r>
      <w:r w:rsidRPr="00271E51">
        <w:rPr>
          <w:rFonts w:ascii="Times New Roman" w:cs="Times New Roman"/>
          <w:color w:val="000000" w:themeColor="text1"/>
          <w:spacing w:val="0"/>
        </w:rPr>
        <w:softHyphen/>
        <w:t>ден (постановлением ГКО №3612 от 18 июня 1943 года) за работу над 45-мм противотанковой пушкой М42 (17484).</w:t>
      </w:r>
    </w:p>
    <w:p w14:paraId="7823FD5E"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17BBEA4C"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корпус первой машины ИСУ-152 прибыл с завода №200, причём он не соответствовал техническому заданию. Вместо 90 мм лобовой лист рубки имел толщину 75 мм. Вместо литой носовой части корпуса предлагалось сделать её из катаных листов толщиной 100–105 мм, но это отступление от проекта было отклонено. Появилось предложение сделать дополнительно две САУ с пушками БР-2 в качестве подарка для Красной армии. Оно было одобрено Котиным, но в реальности эти САУ не построили, хотя под них даже выделялись орудия.</w:t>
      </w:r>
    </w:p>
    <w:p w14:paraId="1F1835DC"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Что же касается опытного образца ИС-152, то его решили догрузить до боевой массы 46 тонн. При сборке всплыли некоторые проблемы с орудием. Во-первых, вместо 14 градусов горизонтальной наводки система получила лишь 10. Во-вторых, толщина подвижной бронировки системы составляла 60 мм, как и на СУ-152. Эта довольно массивная деталь становилась весьма уязвимым местом. Бронировку планировалось усилить, но этого так и не было сделано (18171).</w:t>
      </w:r>
    </w:p>
    <w:p w14:paraId="7ED70100" w14:textId="77777777" w:rsidR="00D72105" w:rsidRPr="00271E51" w:rsidRDefault="00D72105" w:rsidP="00271E51">
      <w:pPr>
        <w:spacing w:after="0" w:line="240" w:lineRule="auto"/>
        <w:jc w:val="both"/>
        <w:rPr>
          <w:rFonts w:ascii="Times New Roman" w:hAnsi="Times New Roman"/>
          <w:color w:val="000000" w:themeColor="text1"/>
          <w:sz w:val="16"/>
          <w:szCs w:val="16"/>
        </w:rPr>
      </w:pPr>
    </w:p>
    <w:p w14:paraId="194E53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4228 О мероприятиях по увеличению добычи угля в Печорском угольном бассейне в IV квартале 1943 г.РГАНИР, Фонд ГКО, д. 154, лл. 143-146, 147-150 (11012).</w:t>
      </w:r>
    </w:p>
    <w:p w14:paraId="6CD936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E91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4229 О мерах по увеличению добычи угля в IV квартале 1943 г. в Карагандинском угольном бассейне.РГАНИР, Фонд ГКО, д. 154, лл. 151-161, 162-180 (11012).</w:t>
      </w:r>
    </w:p>
    <w:p w14:paraId="03B61C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9E6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4230 О плане распределения нефтепродуктов на IV квартал 1943 года.РГАНИР, Фонд ГКО, д. 154, лл. 181-182, 183-213 (11012).</w:t>
      </w:r>
    </w:p>
    <w:p w14:paraId="05CC40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210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4231 О балансе и плане распределения лесоматериалов на IV квартал 1943 года.РГАНИР, Фонд ГКО, д. 155, лл. 1-3, 4-91 (11012).</w:t>
      </w:r>
    </w:p>
    <w:p w14:paraId="3B03FB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110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4232 О плане снабжения дровами на IV квартал 1943 года.РГАНИР, Фонд ГКО, д. 155, лл. 92-93, 94-137 (11012).</w:t>
      </w:r>
    </w:p>
    <w:p w14:paraId="6390E5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BEE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4233 О плане снабжения торфом на IV квартал 1943 года.РГАНИР, Фонд ГКО, д. 156, лл. 1-2, 3-10 (11012).</w:t>
      </w:r>
    </w:p>
    <w:p w14:paraId="6CAD7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BCAA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4235 О материально-техническом обеспечении окончания восстановительных работ на Горьковском автомобильном заводе им. Молотова Наркомсредмаша. (7142, 30-34,35-43).</w:t>
      </w:r>
    </w:p>
    <w:p w14:paraId="0C0A1F2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5983F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42782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C8388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октября </w:t>
      </w:r>
      <w:r w:rsidRPr="00271E51">
        <w:rPr>
          <w:rFonts w:ascii="Times New Roman" w:hAnsi="Times New Roman"/>
          <w:color w:val="000000" w:themeColor="text1"/>
          <w:sz w:val="16"/>
          <w:szCs w:val="16"/>
        </w:rPr>
        <w:t>в 1943 году оперативная сводка Совинформбюро:</w:t>
      </w:r>
    </w:p>
    <w:p w14:paraId="1E2CB28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октября на отдельных участках Гомельского, Могилёвского и Витебского направлений наши войска вели бои местного значения, в ходе которых улучшили свои позиции.</w:t>
      </w:r>
    </w:p>
    <w:p w14:paraId="33CA0D68"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фронтах — усиленная разведка и артиллерийская перестрелка.</w:t>
      </w:r>
    </w:p>
    <w:p w14:paraId="69712E3D"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октября наши войска на всех фронтах подбили и уничтожили 67 немецких танков. В воздушных боях и огнём зенитной артиллерии сбито 53 самолёта противника.</w:t>
      </w:r>
    </w:p>
    <w:p w14:paraId="3607C3B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части Н-ского соединения отбили семь контратакпротивника и уничтожили до полка немецкой пехоты. Подбито несколько самоходных орудий противника и захвачены трофеи, в числе которых 5 полевых орудий и 4 бронетранспортёра. На другом участке группа автоматчиков под командованием лейтенанта Силецкого переправилась через водный рубеж и, пробираясь зарослями, вышла во фланг противнику. Внезапным ударом автоматчики разгромили немцев, закрепившихся у водного рубежа, и обеспечили переправу наших подразделений через реку.</w:t>
      </w:r>
    </w:p>
    <w:p w14:paraId="62ECDA83"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войск противника. Действиями авиации уничтожено и повреждено 10 немецких танков, 40 орудий и более 100 автомашин с военными грузами.</w:t>
      </w:r>
    </w:p>
    <w:p w14:paraId="3387BDE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наши войска на отдельных участках продолжали вести бои по улучшению своих позиций. Противник предпринимает ожесточённые контратакии стремится во что бы то ни стало удержать занимаемые рубежи. Н-ское соединение в результате упорных боёв сломило сопротивление немцев и овладело несколькими опорными пунктами. На поле боя осталось свыше 400 вражеских трупов. За два дня боёв уничтожено 20 орудий противника. Захвачены трофеи и пленные.</w:t>
      </w:r>
    </w:p>
    <w:p w14:paraId="798D8A2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бои местного значения. На одном участке части Н-ского соединения, преодолевая многочисленные заграждения немцев, продвинулись вперёд и заняли три населённых пункта. В боях за эти пункты уничтожено свыше 300 немецких солдат и офицеров. На другом участке нашими войсками отбито несколько ожесточённых контратак противника. Захвачены трофеи и пленные.</w:t>
      </w:r>
    </w:p>
    <w:p w14:paraId="45FAEE3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потоплены 2 десантных и 4 сухогрузных баржи противника. Кроме того, нашей авиацией разбито более 100 автомашин с военными грузами, рассеяно и частью истреблено до батальона гитлеровцев.</w:t>
      </w:r>
    </w:p>
    <w:p w14:paraId="46907B6F"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усиленно охраняли участок железной дороги, проходящей по территории Житомирской области. На каждый километр пути приходилось по 30—40 гитлеровцев со сторожевыми собаками. Через определённый промежуток времени по линии курсировал бронепоезд. Однако, несмотря на все меры, принятые противником, партизаны одного житомирского отряда за время с 14 по 17 сентября взорвали на этом участке 6 немецких воинских эшелонов. Уничтожены десятки вагонов с боеприпасами, орудиями и танками, следовавшими к линии фронта. Во время крушений убито свыше 300 немецких солдат и офицеров.</w:t>
      </w:r>
    </w:p>
    <w:p w14:paraId="2FDC1C8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батальона 396 полка 216 немецкой пехотной дивизии майор Бернер Вихерт рассказал: «Наша дивизия за последнее время потерпела тяжёлое поражение и потеряла убитыми и ранеными большое количество солдат. Особенно велики потери в командном составе. За один месяц были убиты все четыре командира рот моего батальона. Провал летнего наступления немецкой армии и начавшееся вслед за ним отступление немецких войск подорвали боевой дух солдат и офицеров.Теперь офицеры уже говорят не о просчётах или отдельных ошибках немецкого командования, а о явном превосходстве русской стратегии над немецкой стратегией. Офицеры дивизии, которых я знаю, считают, что о победе Германии уже не может быть и речи. Для меня ясно, что теперешнее тяжёлое положение Германии во многом напоминает 1918 год. И весь вопрос сейчас заключается в том, когда нынешний кризис достигнет наивысшей точки, сколько времени немецкая армия ещё может выдержать».</w:t>
      </w:r>
    </w:p>
    <w:p w14:paraId="2A40352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 Мариуполь: «В течение двух лет гитлеровцы мучили и терзали мирных жителей Мариуполя, разрушали и уничтожали город. Насилия и зверства фашистских извергов над советскими людьми, варварские разрушения в городе начались с первого дня оккупации Мариуполя и продолжались вплоть до бегства немецких захватчиков. За время оккупации гитлеровские палачи расстреляли несколько десятков тысяч мирных жителей. Тысячи замученных советских граждан похоронены в противотанковом рву и в окопах в районе агробазы, а также у села Хрещатинское. Фашистские изверги расстреляли помощника начальника мартеновского цеха завода имени Ильича депутата Верховного Совета УССР тов. Пузырёва и его двух дочерей, старейших рабочих завода Шабанова, Пузачёва и многих других. Немецкие бандиты взорвали цехи крупнейших заводов имени Ильича, Азовстали, имени Куйбышева, много предприятий местной промышленности, электростанцию, трамвайный парк, две водолечебницы, десять домов отдыха. Разрушены и взорваны здания городского совета, банка, суда и прокуратуры, почты и телеграфа, театр и здания 56 школ. Немцы также взорвали все церкви города. Гитлеровцы сожгли большое количество жилых домов вместе с находившимися в них жильцами. Подоспевшие части Красной Армии помешали гитлеровцам полностью разрушить и сжечь все общественные и жилые здания города».</w:t>
      </w:r>
    </w:p>
    <w:p w14:paraId="7C43CA2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исполняющий обязанности председателя горсовета Л.Литвинов,рабочие, работницы и специалисты завода имени Ильича К.Гольдина, П.Поликурлат, инженер П.Фешенко, машинист С.Ториков, токарь П.Шаповаленко, машинист М.Батычко, начальник цеха З.Орлов, начальник цеха А.Орехов, инвалид И.Домашнев,начальник почты А.Стеблянко, инструктор физкультуры А.Машкин, технорук трамвая Н.Смирнов, составитель поездов станции Мариуполь-порт И.Голубь, врач В.Кононова, преподаватель педучилища С.Попов и другие.» (14789).</w:t>
      </w:r>
    </w:p>
    <w:p w14:paraId="4FAFCBE1"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262D65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вышло Постановление ГКО № 4227 О сформировании на территории СССР румынской пехотной дивизии из военнопленных.РГАНИР, Фонд ГКО, д. 154, лл. 141-142 (11012).</w:t>
      </w:r>
    </w:p>
    <w:p w14:paraId="368CA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F6B1E"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октября </w:t>
      </w:r>
      <w:r w:rsidRPr="00271E51">
        <w:rPr>
          <w:rFonts w:ascii="Times New Roman" w:hAnsi="Times New Roman"/>
          <w:color w:val="000000" w:themeColor="text1"/>
          <w:sz w:val="16"/>
          <w:szCs w:val="16"/>
        </w:rPr>
        <w:t>в 1943 году ГКО, учитывая просьбу делегатов антифашистского движения румынских военнопленных в СССР, принял постановление о формировании 1-й румынской пехотной дивизии имени Т.Владимиреску (проходило до марта 1944 в Селецких лагерях под Рязанью; командир - подполковник Н. Камбря) (14789).</w:t>
      </w:r>
    </w:p>
    <w:p w14:paraId="5DAD460C"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5B6526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w:t>
      </w:r>
      <w:r w:rsidRPr="00271E51">
        <w:rPr>
          <w:rFonts w:ascii="Times New Roman" w:hAnsi="Times New Roman"/>
          <w:color w:val="000000" w:themeColor="text1"/>
          <w:sz w:val="16"/>
          <w:szCs w:val="16"/>
        </w:rPr>
        <w:softHyphen/>
        <w:t>тября 1943 г. лодка Д-4 погибла в бою с противолодочными кораблями (3898).</w:t>
      </w:r>
    </w:p>
    <w:p w14:paraId="5287D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1D10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C4C8A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8C609"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октября 1943 во время операции «Лидер» самолеты американского авианосца USS Ranger совершили налет на немецкие суда вдоль побережья Норвегии, потопив шесть пароходов и повредив четыре других, включая транспорт, на котором погибло около 200 немецких солдат (20376).</w:t>
      </w:r>
    </w:p>
    <w:p w14:paraId="31C2175E" w14:textId="77777777" w:rsidR="003608FA" w:rsidRPr="00271E51" w:rsidRDefault="003608FA" w:rsidP="00271E51">
      <w:pPr>
        <w:spacing w:after="0" w:line="240" w:lineRule="auto"/>
        <w:jc w:val="both"/>
        <w:rPr>
          <w:rFonts w:ascii="Times New Roman" w:hAnsi="Times New Roman"/>
          <w:color w:val="0070C0"/>
          <w:sz w:val="16"/>
          <w:szCs w:val="16"/>
        </w:rPr>
      </w:pPr>
    </w:p>
    <w:p w14:paraId="7E0751A7"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октября 1943 - Стремясь прервать поставки железной руды из Норвегии в Третий Рейх, Королевский флот и ВМС США провели операцию "лидер". Оперативная группа 121, Объединенная оперативная группа из двух британских линкоров, двух крейсеров и девяти эсминцев, вместе с американским авианосцем USS Ranger (CV-4) и его эскортом из тяжелого крейсера и пяти эсминцев, вышла из Скапа-Флоу 2 октября. Миссия заключалась в нападении на немецкие конвои в норвежском морском порту Боде.</w:t>
      </w:r>
    </w:p>
    <w:p w14:paraId="79D47212"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раннему утру 4 октября оперативная группа прибыла на позицию в море Вестфьорд, примерно в 100 милях к западу от норвежского побережья. В 06.18 Рейнджер запустил ударную группу из 20 пикирующих бомбардировщиков Douglas SBD-3 Dauntless с эскортом из 8 истребителей Grumman F4F Wildcat. Самолеты летели на высоте 50-100 футов (15-30 метров) над водой, чтобы избежать обнаружения. Эскадрильи сохраняли полное радиомолчание.</w:t>
      </w:r>
    </w:p>
    <w:p w14:paraId="662906DC"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Авиаудар остался незамеченным и потопил или серьезно повредил несколько кораблей.</w:t>
      </w:r>
    </w:p>
    <w:p w14:paraId="4EF91C88"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Затем последовал второй воздушный удар 10 торпедоносцев Grumman TBF Avenger с 6 Wildcats. Они повредили еще несколько кораблей в гавани.</w:t>
      </w:r>
    </w:p>
    <w:p w14:paraId="45C87BDA"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Эта атака была единственной авианосной операцией ВМС США к северу от Северного Полярного круга во время Второй мировой войны.</w:t>
      </w:r>
    </w:p>
    <w:p w14:paraId="374429FF"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Позднее было установлено, что пароход "Рабат" (2719 тонн) и грузовое судно "Вааген" (687 тонн) были потоплены. Танкер "Шлезвиг" (10 762 тонны), "Топека" (4 991 тонна) и грузовое судно "Ла-Плата" (8 056 тонн) получили серьезные повреждения. Ла-Плата села на мель, чтобы предотвратить ее потопление, как и другое судно, "Кагуир" (1536 тонн). Немецкий десантный транспорт "Скрамстад", перевозивший более 800 солдат противника, был безнадежно поврежден. Погибли более 200 военнослужащих. Потери ударной группы состояли из двух пикирующих бомбардировщиков SBD и TBF (22347). </w:t>
      </w:r>
    </w:p>
    <w:p w14:paraId="4D0BE045" w14:textId="77777777" w:rsidR="003608FA" w:rsidRPr="00271E51" w:rsidRDefault="003608FA" w:rsidP="00271E51">
      <w:pPr>
        <w:spacing w:after="0" w:line="240" w:lineRule="auto"/>
        <w:jc w:val="both"/>
        <w:rPr>
          <w:rFonts w:ascii="Times New Roman" w:hAnsi="Times New Roman"/>
          <w:color w:val="0070C0"/>
          <w:sz w:val="16"/>
          <w:szCs w:val="16"/>
        </w:rPr>
      </w:pPr>
    </w:p>
    <w:p w14:paraId="5BA79F97"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4–5 октября (ночь) 1943 406 британских бомбардировщиков и три летающих крепости B-17 ВВС США атакуют Франкфурт-на-Майне, Германия, и наносят первый серьезный урон городу, поражая его восточную половину и доки на Река Майн. Десять британских самолетов (2,5 процента сил) потеряны, а также один B-17. Это последний раз, когда американские самолеты участвуют в ночной бомбардировке Королевских ВВС (20376).</w:t>
      </w:r>
    </w:p>
    <w:p w14:paraId="48A24C9B" w14:textId="77777777" w:rsidR="003608FA" w:rsidRPr="00271E51" w:rsidRDefault="003608FA" w:rsidP="00271E51">
      <w:pPr>
        <w:spacing w:after="0" w:line="240" w:lineRule="auto"/>
        <w:jc w:val="both"/>
        <w:rPr>
          <w:rFonts w:ascii="Times New Roman" w:hAnsi="Times New Roman"/>
          <w:color w:val="0070C0"/>
          <w:sz w:val="16"/>
          <w:szCs w:val="16"/>
        </w:rPr>
      </w:pPr>
    </w:p>
    <w:p w14:paraId="2F69461C"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4 октября 1943 г. по 30 апреля 1944 г. ракетоносцы KG100 приняли участие в 12 противоконвойных операциях совместно с торпедоносцами из состава KG26 и KG77, в ходе которых авиационными торпедами было уничтожено 14 судов (106.166 брт) и два американских эскадренных миноносца (2524).</w:t>
      </w:r>
    </w:p>
    <w:p w14:paraId="74B36733" w14:textId="77777777" w:rsidR="005A27E3" w:rsidRPr="00271E51" w:rsidRDefault="005A27E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B173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октября </w:t>
      </w:r>
      <w:r w:rsidRPr="00271E51">
        <w:rPr>
          <w:rFonts w:ascii="Times New Roman" w:hAnsi="Times New Roman"/>
          <w:color w:val="000000" w:themeColor="text1"/>
          <w:sz w:val="16"/>
          <w:szCs w:val="16"/>
        </w:rPr>
        <w:t>в 1943 году капитулировал английский десант на острове Кос в Эгейском море (14789).</w:t>
      </w:r>
    </w:p>
    <w:p w14:paraId="7006BDBF"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4DAA32A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октября </w:t>
      </w:r>
      <w:r w:rsidRPr="00271E51">
        <w:rPr>
          <w:rFonts w:ascii="Times New Roman" w:hAnsi="Times New Roman"/>
          <w:color w:val="000000" w:themeColor="text1"/>
          <w:sz w:val="16"/>
          <w:szCs w:val="16"/>
        </w:rPr>
        <w:t>в 1943 году французские войска освободили Бастию (14789).</w:t>
      </w:r>
    </w:p>
    <w:p w14:paraId="15656093"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6D369435"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4 октября </w:t>
      </w:r>
      <w:r w:rsidRPr="00271E51">
        <w:rPr>
          <w:rFonts w:ascii="Times New Roman" w:hAnsi="Times New Roman"/>
          <w:color w:val="000000" w:themeColor="text1"/>
          <w:sz w:val="16"/>
          <w:szCs w:val="16"/>
        </w:rPr>
        <w:t>в 1943 году войска «Сражающейся Франции» совместно с партизанами освободили остров Корсика (14789).</w:t>
      </w:r>
    </w:p>
    <w:p w14:paraId="61E0A6EB"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0270745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войска союзников освободили Корсику от фашистов (4962).</w:t>
      </w:r>
    </w:p>
    <w:p w14:paraId="2F2C07D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34D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4 1943 SS Reichsfuhrer Himmler gives speech at Poznan (1050).</w:t>
      </w:r>
    </w:p>
    <w:p w14:paraId="5053B7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C07A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Рейхсфюррер СС Гимлер выступил в Познани (1050).</w:t>
      </w:r>
    </w:p>
    <w:p w14:paraId="111A72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60E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4 1943 In conjunction with her duties in protecting North Atlantic convoy routes to Russia, Ranger launched two strikes against German shipping in Norway 1943 one in and around Bodo Harbor; the other along the coast from Alter Fjord to Kunna Head (1090).</w:t>
      </w:r>
    </w:p>
    <w:p w14:paraId="1DB069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C994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 было нанесено два удара по немецким кораблям в Норвегии (1090).</w:t>
      </w:r>
    </w:p>
    <w:p w14:paraId="37588F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7051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5DBDF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C49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Дир. и ГК А.И.М. писал письмо N 671 НКАП А.И.Ш.:</w:t>
      </w:r>
    </w:p>
    <w:p w14:paraId="3B375B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"Довожу до Вашего сведения, что И-220 выпущенный во второй полет с АМ-38Ф перед сдачей на гос. испытания 2 октября 1943 потерпел аварию.</w:t>
      </w:r>
    </w:p>
    <w:p w14:paraId="55BE8B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Авария произошла при посадке на поле в районе между Истрой и Солнечногорском у деревни Исаково. Л Жуков вылетел в 17:55 после 20 мин. полета прекратил выполнение задания и принял решение, не возвращаясь на аэродром, сесть на выбранную им площадку - сжатое поле. Свое решение л объясняет плохой видимостью. В течение приблизительно 10 мин. л выбирал место посадки и пытался выпустить невыходившую ногу шасси. Нога вышла перед самой посадкой.</w:t>
      </w:r>
    </w:p>
    <w:p w14:paraId="09FC8D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посадке самолет после пробега 250 и получил полный капот и найден лежащим на спине. Л не пострадал.</w:t>
      </w:r>
    </w:p>
    <w:p w14:paraId="38D4A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получил повреждения: сломана консоль крыла, вертикальное оперение, повреждена сверху деревянная часть фюзеляжа, разрушен фонарь.</w:t>
      </w:r>
    </w:p>
    <w:p w14:paraId="512E92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после подъема будет отбуксирован на завод, где будет восстановлен в течение 10-15 дн.</w:t>
      </w:r>
    </w:p>
    <w:p w14:paraId="02C233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полета с и мотор по словам л работали нормально.</w:t>
      </w:r>
    </w:p>
    <w:p w14:paraId="6F2CD0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Объяснение причины вынужденной посадки плохой видимостью, данное л, считаю непонятным, поскольку он утверждает, что не терял ориентировки и находился на расстоянии меньше 8 мин. полета от ЦА." (1775,193).</w:t>
      </w:r>
    </w:p>
    <w:p w14:paraId="25452F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4B3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Як-1М с М-107А, построенный 2 октября 1943, совершил свой первый полет. Продувками модели Як-1 с М-107 с различными типами охлаждающих устройств в аэродинамической трубе Т-106 ЦАГИ и на основе результатов продувок Як-I М подобрали наиболее рациональную компоновку радиаторов. По результатам этих исследовательских работ самолет в сентябре 1943 г. подвергся переделкам.</w:t>
      </w:r>
    </w:p>
    <w:p w14:paraId="02D172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нового мотора, на выпуске и применении которого так настаивали моторостроители, оказалась оправданной. Летные данные Як-1 значительно улучшились. В полете 18 ноября 1942 г. на высоте 6250 м истребитель развил скорость 716 км/ч, что явилось подтверждением расчетов ЦАГИ (см. таблицу 14, с. 92). Но для серийного производства, для использования в бою мотор М-107А был еше недостаточно доведен. А когда его довели, Як-1 уже снимали с производства (12048).</w:t>
      </w:r>
    </w:p>
    <w:p w14:paraId="382B9D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3317F" w14:textId="77777777" w:rsidR="005A27E3" w:rsidRPr="00271E51" w:rsidRDefault="005A27E3"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5 октября 1943 года</w:t>
      </w:r>
      <w:r w:rsidRPr="00271E51">
        <w:rPr>
          <w:rStyle w:val="ucoz-forum-post"/>
          <w:rFonts w:ascii="Times New Roman" w:eastAsia="Times New Roman" w:hAnsi="Times New Roman"/>
          <w:color w:val="000000" w:themeColor="text1"/>
          <w:sz w:val="16"/>
          <w:szCs w:val="16"/>
        </w:rPr>
        <w:t xml:space="preserve"> Состоялся первый полёт Як-1 с двигателем М-107 (Як-1М с М-107, "Дублёр Москита" - опытный с двигателем М-107А). Отличался винтом ВИШ-107, уменьшенной площадью элеронов, удлинённым на 100 мм капотом (14790).</w:t>
      </w:r>
    </w:p>
    <w:p w14:paraId="1E9ED7AA" w14:textId="77777777" w:rsidR="005A27E3" w:rsidRPr="00271E51" w:rsidRDefault="005A27E3" w:rsidP="00271E51">
      <w:pPr>
        <w:spacing w:after="0" w:line="240" w:lineRule="auto"/>
        <w:jc w:val="both"/>
        <w:rPr>
          <w:rStyle w:val="ucoz-forum-post"/>
          <w:rFonts w:ascii="Times New Roman" w:eastAsia="Times New Roman" w:hAnsi="Times New Roman"/>
          <w:color w:val="000000" w:themeColor="text1"/>
          <w:sz w:val="16"/>
          <w:szCs w:val="16"/>
        </w:rPr>
      </w:pPr>
    </w:p>
    <w:p w14:paraId="4EC4586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D80D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2E85E" w14:textId="77777777" w:rsidR="00B95E55" w:rsidRPr="00271E51" w:rsidRDefault="00B95E55" w:rsidP="00271E51">
      <w:pPr>
        <w:pStyle w:val="a3"/>
        <w:rPr>
          <w:color w:val="000000" w:themeColor="text1"/>
          <w:lang w:val="ru-RU"/>
        </w:rPr>
      </w:pPr>
      <w:r w:rsidRPr="00271E51">
        <w:rPr>
          <w:color w:val="000000" w:themeColor="text1"/>
          <w:lang w:val="ru-RU"/>
        </w:rPr>
        <w:t>5 октября 1943 года на стол начальнику Артиллерийского коми</w:t>
      </w:r>
      <w:r w:rsidRPr="00271E51">
        <w:rPr>
          <w:color w:val="000000" w:themeColor="text1"/>
          <w:lang w:val="ru-RU"/>
        </w:rPr>
        <w:softHyphen/>
        <w:t>тета ГАУ КАлегэскизный проект требуемой пушки. Точнее, пушек, ибо в дополнение к 122-мм пушке повышенной мощности ОКБ-172 разра</w:t>
      </w:r>
      <w:r w:rsidRPr="00271E51">
        <w:rPr>
          <w:color w:val="000000" w:themeColor="text1"/>
          <w:lang w:val="ru-RU"/>
        </w:rPr>
        <w:softHyphen/>
        <w:t>ботало проект с установкой в СУ-152 системы ОБМ-43 калибра 152 мм с баллистикой пушки БР-2:</w:t>
      </w:r>
    </w:p>
    <w:p w14:paraId="5A49309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«Спецтелеграммой НКВ СССР №5014 от 24 сентября сего года на ОКБ-172 и завод №172 им. Молотова возложено, по решению Наркома Вооружения и начальника ГАУ КА, задание по разработке 122-мм само</w:t>
      </w:r>
      <w:r w:rsidRPr="00271E51">
        <w:rPr>
          <w:i w:val="0"/>
          <w:color w:val="000000" w:themeColor="text1"/>
          <w:sz w:val="16"/>
          <w:szCs w:val="16"/>
        </w:rPr>
        <w:softHyphen/>
        <w:t>ходной установки с начальной скоростью 1000 м/сек при весе снаряда в 25 кг.</w:t>
      </w:r>
    </w:p>
    <w:p w14:paraId="44D92363"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Придавая большое значение данной работе, ОКБ-172 НКВ выполнило эскизный проект досрочно и представляет его на Ваше рассмотрение.</w:t>
      </w:r>
    </w:p>
    <w:p w14:paraId="592F5857"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результате выполнения эскизного проекта установлено следующее:</w:t>
      </w:r>
    </w:p>
    <w:p w14:paraId="085CF779"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 Задача по созданию 122-мм самоходной установки с начальной ско</w:t>
      </w:r>
      <w:r w:rsidRPr="00271E51">
        <w:rPr>
          <w:rFonts w:ascii="Times New Roman" w:cs="Times New Roman"/>
          <w:color w:val="000000" w:themeColor="text1"/>
          <w:spacing w:val="0"/>
        </w:rPr>
        <w:softHyphen/>
        <w:t xml:space="preserve">ростью 1000 м/сек может быть разрешена путем наложения на самоход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-14 нового ствола взамен ствола пушки-гаубицы обр. 193 7года и применения одностороннего гидропневматического урав</w:t>
      </w:r>
      <w:r w:rsidRPr="00271E51">
        <w:rPr>
          <w:rFonts w:ascii="Times New Roman" w:cs="Times New Roman"/>
          <w:color w:val="000000" w:themeColor="text1"/>
          <w:spacing w:val="0"/>
        </w:rPr>
        <w:softHyphen/>
        <w:t>новешивающего механизма.</w:t>
      </w:r>
    </w:p>
    <w:p w14:paraId="718E85B7" w14:textId="77777777" w:rsidR="00B95E55" w:rsidRPr="00271E51" w:rsidRDefault="00B95E55" w:rsidP="00271E51">
      <w:pPr>
        <w:pStyle w:val="Bodytext141"/>
        <w:shd w:val="clear" w:color="auto" w:fill="auto"/>
        <w:tabs>
          <w:tab w:val="left" w:pos="588"/>
        </w:tabs>
        <w:spacing w:line="240" w:lineRule="auto"/>
        <w:ind w:firstLine="0"/>
        <w:jc w:val="both"/>
        <w:rPr>
          <w:i w:val="0"/>
          <w:color w:val="000000" w:themeColor="text1"/>
          <w:sz w:val="16"/>
          <w:szCs w:val="16"/>
        </w:rPr>
      </w:pPr>
      <w:r w:rsidRPr="00271E51">
        <w:rPr>
          <w:i w:val="0"/>
          <w:color w:val="000000" w:themeColor="text1"/>
          <w:sz w:val="16"/>
          <w:szCs w:val="16"/>
        </w:rPr>
        <w:t>2. Так как мощность артиллерийских самоходных установок непре</w:t>
      </w:r>
      <w:r w:rsidRPr="00271E51">
        <w:rPr>
          <w:i w:val="0"/>
          <w:color w:val="000000" w:themeColor="text1"/>
          <w:sz w:val="16"/>
          <w:szCs w:val="16"/>
        </w:rPr>
        <w:softHyphen/>
        <w:t>рывно растет, то не может быть лишена интереса предлагаемая нами установка ствола ОБМ-43 с начальной скоростью 880 м/сек, при снаряде весом 43,5 кг на самоход КВ-14 взамен заданного 122-мм ствола с начальной скоростью 1000м/сек, так как при этом повы</w:t>
      </w:r>
      <w:r w:rsidRPr="00271E51">
        <w:rPr>
          <w:i w:val="0"/>
          <w:color w:val="000000" w:themeColor="text1"/>
          <w:sz w:val="16"/>
          <w:szCs w:val="16"/>
        </w:rPr>
        <w:softHyphen/>
        <w:t>шается мощность самохода на 33,5% и увеличивается эффект бе</w:t>
      </w:r>
      <w:r w:rsidRPr="00271E51">
        <w:rPr>
          <w:i w:val="0"/>
          <w:color w:val="000000" w:themeColor="text1"/>
          <w:sz w:val="16"/>
          <w:szCs w:val="16"/>
        </w:rPr>
        <w:softHyphen/>
        <w:t>тонобойного и фугасного действия снаряда.</w:t>
      </w:r>
    </w:p>
    <w:p w14:paraId="03ACB67E"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lastRenderedPageBreak/>
        <w:t>При таком решении используются не только наиболее мощное орудие для самохода, но самоходное орудие унифицируется с войсковым, что зна</w:t>
      </w:r>
      <w:r w:rsidRPr="00271E51">
        <w:rPr>
          <w:i w:val="0"/>
          <w:color w:val="000000" w:themeColor="text1"/>
          <w:sz w:val="16"/>
          <w:szCs w:val="16"/>
        </w:rPr>
        <w:softHyphen/>
        <w:t>чительно облегчает производство и эксплуатацию этих орудий.</w:t>
      </w:r>
    </w:p>
    <w:p w14:paraId="13E1C0BD"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 xml:space="preserve">Приводим сравнительные данные самоходной установки </w:t>
      </w:r>
      <w:r w:rsidRPr="00271E51">
        <w:rPr>
          <w:i w:val="0"/>
          <w:color w:val="000000" w:themeColor="text1"/>
          <w:sz w:val="16"/>
          <w:szCs w:val="16"/>
          <w:lang w:val="en-US"/>
        </w:rPr>
        <w:t>KB</w:t>
      </w:r>
      <w:r w:rsidRPr="00271E51">
        <w:rPr>
          <w:i w:val="0"/>
          <w:color w:val="000000" w:themeColor="text1"/>
          <w:sz w:val="16"/>
          <w:szCs w:val="16"/>
        </w:rPr>
        <w:t>-14 с про</w:t>
      </w:r>
      <w:r w:rsidRPr="00271E51">
        <w:rPr>
          <w:i w:val="0"/>
          <w:color w:val="000000" w:themeColor="text1"/>
          <w:sz w:val="16"/>
          <w:szCs w:val="16"/>
        </w:rPr>
        <w:softHyphen/>
        <w:t>ектом ОБМ-50:</w:t>
      </w:r>
    </w:p>
    <w:tbl>
      <w:tblPr>
        <w:tblW w:w="0" w:type="auto"/>
        <w:tblLayout w:type="fixed"/>
        <w:tblCellMar>
          <w:left w:w="0" w:type="dxa"/>
          <w:right w:w="0" w:type="dxa"/>
        </w:tblCellMar>
        <w:tblLook w:val="0000" w:firstRow="0" w:lastRow="0" w:firstColumn="0" w:lastColumn="0" w:noHBand="0" w:noVBand="0"/>
      </w:tblPr>
      <w:tblGrid>
        <w:gridCol w:w="552"/>
        <w:gridCol w:w="2054"/>
        <w:gridCol w:w="1142"/>
        <w:gridCol w:w="902"/>
        <w:gridCol w:w="1258"/>
        <w:gridCol w:w="1262"/>
      </w:tblGrid>
      <w:tr w:rsidR="00A907A5" w:rsidRPr="00271E51" w14:paraId="48CA37D1" w14:textId="77777777" w:rsidTr="00DE5AB5">
        <w:trPr>
          <w:trHeight w:val="259"/>
        </w:trPr>
        <w:tc>
          <w:tcPr>
            <w:tcW w:w="552" w:type="dxa"/>
            <w:tcBorders>
              <w:top w:val="single" w:sz="4" w:space="0" w:color="auto"/>
              <w:left w:val="nil"/>
              <w:bottom w:val="nil"/>
              <w:right w:val="nil"/>
            </w:tcBorders>
            <w:shd w:val="clear" w:color="auto" w:fill="FFFFFF"/>
          </w:tcPr>
          <w:p w14:paraId="56ABD8A4"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2054" w:type="dxa"/>
            <w:tcBorders>
              <w:top w:val="single" w:sz="4" w:space="0" w:color="auto"/>
              <w:left w:val="nil"/>
              <w:bottom w:val="nil"/>
              <w:right w:val="nil"/>
            </w:tcBorders>
            <w:shd w:val="clear" w:color="auto" w:fill="FFFFFF"/>
          </w:tcPr>
          <w:p w14:paraId="19A2FE72"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142" w:type="dxa"/>
            <w:tcBorders>
              <w:top w:val="single" w:sz="4" w:space="0" w:color="auto"/>
              <w:left w:val="nil"/>
              <w:bottom w:val="nil"/>
              <w:right w:val="nil"/>
            </w:tcBorders>
            <w:shd w:val="clear" w:color="auto" w:fill="FFFFFF"/>
          </w:tcPr>
          <w:p w14:paraId="1D08205A"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902" w:type="dxa"/>
            <w:tcBorders>
              <w:top w:val="single" w:sz="4" w:space="0" w:color="auto"/>
              <w:left w:val="nil"/>
              <w:bottom w:val="nil"/>
              <w:right w:val="nil"/>
            </w:tcBorders>
            <w:shd w:val="clear" w:color="auto" w:fill="FFFFFF"/>
          </w:tcPr>
          <w:p w14:paraId="5BCDD45E"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58" w:type="dxa"/>
            <w:tcBorders>
              <w:top w:val="single" w:sz="4" w:space="0" w:color="auto"/>
              <w:left w:val="nil"/>
              <w:bottom w:val="nil"/>
              <w:right w:val="nil"/>
            </w:tcBorders>
            <w:shd w:val="clear" w:color="auto" w:fill="FFFFFF"/>
          </w:tcPr>
          <w:p w14:paraId="0258F26B"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ОБМ-50</w:t>
            </w:r>
          </w:p>
        </w:tc>
        <w:tc>
          <w:tcPr>
            <w:tcW w:w="1262" w:type="dxa"/>
            <w:tcBorders>
              <w:top w:val="single" w:sz="4" w:space="0" w:color="auto"/>
              <w:left w:val="nil"/>
              <w:bottom w:val="nil"/>
              <w:right w:val="nil"/>
            </w:tcBorders>
            <w:shd w:val="clear" w:color="auto" w:fill="FFFFFF"/>
          </w:tcPr>
          <w:p w14:paraId="2958A54D"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r>
      <w:tr w:rsidR="00A907A5" w:rsidRPr="00271E51" w14:paraId="1BE558A6" w14:textId="77777777" w:rsidTr="00DE5AB5">
        <w:trPr>
          <w:trHeight w:val="595"/>
        </w:trPr>
        <w:tc>
          <w:tcPr>
            <w:tcW w:w="552" w:type="dxa"/>
            <w:tcBorders>
              <w:top w:val="nil"/>
              <w:left w:val="nil"/>
              <w:bottom w:val="single" w:sz="4" w:space="0" w:color="auto"/>
              <w:right w:val="nil"/>
            </w:tcBorders>
            <w:shd w:val="clear" w:color="auto" w:fill="FFFFFF"/>
          </w:tcPr>
          <w:p w14:paraId="10CC2A4A"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 пп</w:t>
            </w:r>
          </w:p>
        </w:tc>
        <w:tc>
          <w:tcPr>
            <w:tcW w:w="2054" w:type="dxa"/>
            <w:tcBorders>
              <w:top w:val="nil"/>
              <w:left w:val="nil"/>
              <w:bottom w:val="single" w:sz="4" w:space="0" w:color="auto"/>
              <w:right w:val="nil"/>
            </w:tcBorders>
            <w:shd w:val="clear" w:color="auto" w:fill="FFFFFF"/>
          </w:tcPr>
          <w:p w14:paraId="037F18CD"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Наименование характеристики</w:t>
            </w:r>
          </w:p>
        </w:tc>
        <w:tc>
          <w:tcPr>
            <w:tcW w:w="1142" w:type="dxa"/>
            <w:tcBorders>
              <w:top w:val="nil"/>
              <w:left w:val="nil"/>
              <w:bottom w:val="single" w:sz="4" w:space="0" w:color="auto"/>
              <w:right w:val="nil"/>
            </w:tcBorders>
            <w:shd w:val="clear" w:color="auto" w:fill="FFFFFF"/>
          </w:tcPr>
          <w:p w14:paraId="3DE721A0"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Размер</w:t>
            </w:r>
            <w:r w:rsidRPr="00271E51">
              <w:rPr>
                <w:rStyle w:val="Bodytext515"/>
                <w:color w:val="000000" w:themeColor="text1"/>
                <w:sz w:val="16"/>
                <w:szCs w:val="16"/>
              </w:rPr>
              <w:softHyphen/>
              <w:t>ность</w:t>
            </w:r>
          </w:p>
        </w:tc>
        <w:tc>
          <w:tcPr>
            <w:tcW w:w="902" w:type="dxa"/>
            <w:tcBorders>
              <w:top w:val="nil"/>
              <w:left w:val="nil"/>
              <w:bottom w:val="single" w:sz="4" w:space="0" w:color="auto"/>
              <w:right w:val="nil"/>
            </w:tcBorders>
            <w:shd w:val="clear" w:color="auto" w:fill="FFFFFF"/>
          </w:tcPr>
          <w:p w14:paraId="6701D6F5"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КВ-14</w:t>
            </w:r>
          </w:p>
        </w:tc>
        <w:tc>
          <w:tcPr>
            <w:tcW w:w="1258" w:type="dxa"/>
            <w:tcBorders>
              <w:top w:val="nil"/>
              <w:left w:val="nil"/>
              <w:bottom w:val="single" w:sz="4" w:space="0" w:color="auto"/>
              <w:right w:val="nil"/>
            </w:tcBorders>
            <w:shd w:val="clear" w:color="auto" w:fill="FFFFFF"/>
          </w:tcPr>
          <w:p w14:paraId="4CA05B0E"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122-мм орудие</w:t>
            </w:r>
          </w:p>
        </w:tc>
        <w:tc>
          <w:tcPr>
            <w:tcW w:w="1262" w:type="dxa"/>
            <w:tcBorders>
              <w:top w:val="nil"/>
              <w:left w:val="nil"/>
              <w:bottom w:val="single" w:sz="4" w:space="0" w:color="auto"/>
              <w:right w:val="nil"/>
            </w:tcBorders>
            <w:shd w:val="clear" w:color="auto" w:fill="FFFFFF"/>
          </w:tcPr>
          <w:p w14:paraId="3ED21110"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152-мм орудие</w:t>
            </w:r>
          </w:p>
        </w:tc>
      </w:tr>
      <w:tr w:rsidR="00A907A5" w:rsidRPr="00271E51" w14:paraId="3CBC95D7" w14:textId="77777777" w:rsidTr="00DE5AB5">
        <w:trPr>
          <w:trHeight w:val="341"/>
        </w:trPr>
        <w:tc>
          <w:tcPr>
            <w:tcW w:w="552" w:type="dxa"/>
            <w:tcBorders>
              <w:top w:val="single" w:sz="4" w:space="0" w:color="auto"/>
              <w:left w:val="nil"/>
              <w:bottom w:val="single" w:sz="4" w:space="0" w:color="auto"/>
              <w:right w:val="nil"/>
            </w:tcBorders>
            <w:shd w:val="clear" w:color="auto" w:fill="FFFFFF"/>
          </w:tcPr>
          <w:p w14:paraId="488696DF" w14:textId="77777777" w:rsidR="00B95E55" w:rsidRPr="00271E51" w:rsidRDefault="00B95E55" w:rsidP="00271E51">
            <w:pPr>
              <w:pStyle w:val="Bodytext650"/>
              <w:shd w:val="clear" w:color="auto" w:fill="auto"/>
              <w:spacing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w:t>
            </w:r>
          </w:p>
        </w:tc>
        <w:tc>
          <w:tcPr>
            <w:tcW w:w="2054" w:type="dxa"/>
            <w:tcBorders>
              <w:top w:val="single" w:sz="4" w:space="0" w:color="auto"/>
              <w:left w:val="nil"/>
              <w:bottom w:val="single" w:sz="4" w:space="0" w:color="auto"/>
              <w:right w:val="nil"/>
            </w:tcBorders>
            <w:shd w:val="clear" w:color="auto" w:fill="FFFFFF"/>
          </w:tcPr>
          <w:p w14:paraId="6E56B62F"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Калибр</w:t>
            </w:r>
          </w:p>
        </w:tc>
        <w:tc>
          <w:tcPr>
            <w:tcW w:w="1142" w:type="dxa"/>
            <w:tcBorders>
              <w:top w:val="single" w:sz="4" w:space="0" w:color="auto"/>
              <w:left w:val="nil"/>
              <w:bottom w:val="single" w:sz="4" w:space="0" w:color="auto"/>
              <w:right w:val="nil"/>
            </w:tcBorders>
            <w:shd w:val="clear" w:color="auto" w:fill="FFFFFF"/>
          </w:tcPr>
          <w:p w14:paraId="0F982CBA"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мм</w:t>
            </w:r>
          </w:p>
        </w:tc>
        <w:tc>
          <w:tcPr>
            <w:tcW w:w="902" w:type="dxa"/>
            <w:tcBorders>
              <w:top w:val="single" w:sz="4" w:space="0" w:color="auto"/>
              <w:left w:val="nil"/>
              <w:bottom w:val="single" w:sz="4" w:space="0" w:color="auto"/>
              <w:right w:val="nil"/>
            </w:tcBorders>
            <w:shd w:val="clear" w:color="auto" w:fill="FFFFFF"/>
          </w:tcPr>
          <w:p w14:paraId="5BF89497"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152,4</w:t>
            </w:r>
          </w:p>
        </w:tc>
        <w:tc>
          <w:tcPr>
            <w:tcW w:w="1258" w:type="dxa"/>
            <w:tcBorders>
              <w:top w:val="single" w:sz="4" w:space="0" w:color="auto"/>
              <w:left w:val="nil"/>
              <w:bottom w:val="single" w:sz="4" w:space="0" w:color="auto"/>
              <w:right w:val="nil"/>
            </w:tcBorders>
            <w:shd w:val="clear" w:color="auto" w:fill="FFFFFF"/>
          </w:tcPr>
          <w:p w14:paraId="6A694775"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121,98</w:t>
            </w:r>
          </w:p>
        </w:tc>
        <w:tc>
          <w:tcPr>
            <w:tcW w:w="1262" w:type="dxa"/>
            <w:tcBorders>
              <w:top w:val="single" w:sz="4" w:space="0" w:color="auto"/>
              <w:left w:val="nil"/>
              <w:bottom w:val="single" w:sz="4" w:space="0" w:color="auto"/>
              <w:right w:val="nil"/>
            </w:tcBorders>
            <w:shd w:val="clear" w:color="auto" w:fill="FFFFFF"/>
          </w:tcPr>
          <w:p w14:paraId="63E7553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152,4</w:t>
            </w:r>
          </w:p>
        </w:tc>
      </w:tr>
      <w:tr w:rsidR="00A907A5" w:rsidRPr="00271E51" w14:paraId="5D561536" w14:textId="77777777" w:rsidTr="00DE5AB5">
        <w:trPr>
          <w:trHeight w:val="341"/>
        </w:trPr>
        <w:tc>
          <w:tcPr>
            <w:tcW w:w="552" w:type="dxa"/>
            <w:tcBorders>
              <w:top w:val="single" w:sz="4" w:space="0" w:color="auto"/>
              <w:left w:val="nil"/>
              <w:bottom w:val="single" w:sz="4" w:space="0" w:color="auto"/>
              <w:right w:val="nil"/>
            </w:tcBorders>
            <w:shd w:val="clear" w:color="auto" w:fill="FFFFFF"/>
          </w:tcPr>
          <w:p w14:paraId="29CD2CCD"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2.</w:t>
            </w:r>
          </w:p>
        </w:tc>
        <w:tc>
          <w:tcPr>
            <w:tcW w:w="2054" w:type="dxa"/>
            <w:tcBorders>
              <w:top w:val="single" w:sz="4" w:space="0" w:color="auto"/>
              <w:left w:val="nil"/>
              <w:bottom w:val="single" w:sz="4" w:space="0" w:color="auto"/>
              <w:right w:val="nil"/>
            </w:tcBorders>
            <w:shd w:val="clear" w:color="auto" w:fill="FFFFFF"/>
          </w:tcPr>
          <w:p w14:paraId="3F3C8A31"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Вес снаряда</w:t>
            </w:r>
          </w:p>
        </w:tc>
        <w:tc>
          <w:tcPr>
            <w:tcW w:w="1142" w:type="dxa"/>
            <w:tcBorders>
              <w:top w:val="single" w:sz="4" w:space="0" w:color="auto"/>
              <w:left w:val="nil"/>
              <w:bottom w:val="single" w:sz="4" w:space="0" w:color="auto"/>
              <w:right w:val="nil"/>
            </w:tcBorders>
            <w:shd w:val="clear" w:color="auto" w:fill="FFFFFF"/>
          </w:tcPr>
          <w:p w14:paraId="108E4BDA"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кг</w:t>
            </w:r>
          </w:p>
        </w:tc>
        <w:tc>
          <w:tcPr>
            <w:tcW w:w="902" w:type="dxa"/>
            <w:tcBorders>
              <w:top w:val="single" w:sz="4" w:space="0" w:color="auto"/>
              <w:left w:val="nil"/>
              <w:bottom w:val="single" w:sz="4" w:space="0" w:color="auto"/>
              <w:right w:val="nil"/>
            </w:tcBorders>
            <w:shd w:val="clear" w:color="auto" w:fill="FFFFFF"/>
          </w:tcPr>
          <w:p w14:paraId="3E0099B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43,5</w:t>
            </w:r>
          </w:p>
        </w:tc>
        <w:tc>
          <w:tcPr>
            <w:tcW w:w="1258" w:type="dxa"/>
            <w:tcBorders>
              <w:top w:val="single" w:sz="4" w:space="0" w:color="auto"/>
              <w:left w:val="nil"/>
              <w:bottom w:val="single" w:sz="4" w:space="0" w:color="auto"/>
              <w:right w:val="nil"/>
            </w:tcBorders>
            <w:shd w:val="clear" w:color="auto" w:fill="FFFFFF"/>
          </w:tcPr>
          <w:p w14:paraId="3815480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25,2</w:t>
            </w:r>
          </w:p>
        </w:tc>
        <w:tc>
          <w:tcPr>
            <w:tcW w:w="1262" w:type="dxa"/>
            <w:tcBorders>
              <w:top w:val="single" w:sz="4" w:space="0" w:color="auto"/>
              <w:left w:val="nil"/>
              <w:bottom w:val="single" w:sz="4" w:space="0" w:color="auto"/>
              <w:right w:val="nil"/>
            </w:tcBorders>
            <w:shd w:val="clear" w:color="auto" w:fill="FFFFFF"/>
          </w:tcPr>
          <w:p w14:paraId="237868B8"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43,5</w:t>
            </w:r>
          </w:p>
        </w:tc>
      </w:tr>
      <w:tr w:rsidR="00A907A5" w:rsidRPr="00271E51" w14:paraId="55128CCC" w14:textId="77777777" w:rsidTr="00DE5AB5">
        <w:trPr>
          <w:trHeight w:val="341"/>
        </w:trPr>
        <w:tc>
          <w:tcPr>
            <w:tcW w:w="552" w:type="dxa"/>
            <w:tcBorders>
              <w:top w:val="single" w:sz="4" w:space="0" w:color="auto"/>
              <w:left w:val="nil"/>
              <w:bottom w:val="single" w:sz="4" w:space="0" w:color="auto"/>
              <w:right w:val="nil"/>
            </w:tcBorders>
            <w:shd w:val="clear" w:color="auto" w:fill="FFFFFF"/>
          </w:tcPr>
          <w:p w14:paraId="4A78A590"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3.</w:t>
            </w:r>
          </w:p>
        </w:tc>
        <w:tc>
          <w:tcPr>
            <w:tcW w:w="2054" w:type="dxa"/>
            <w:tcBorders>
              <w:top w:val="single" w:sz="4" w:space="0" w:color="auto"/>
              <w:left w:val="nil"/>
              <w:bottom w:val="single" w:sz="4" w:space="0" w:color="auto"/>
              <w:right w:val="nil"/>
            </w:tcBorders>
            <w:shd w:val="clear" w:color="auto" w:fill="FFFFFF"/>
          </w:tcPr>
          <w:p w14:paraId="1174633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Начальная скорость</w:t>
            </w:r>
          </w:p>
        </w:tc>
        <w:tc>
          <w:tcPr>
            <w:tcW w:w="1142" w:type="dxa"/>
            <w:tcBorders>
              <w:top w:val="single" w:sz="4" w:space="0" w:color="auto"/>
              <w:left w:val="nil"/>
              <w:bottom w:val="single" w:sz="4" w:space="0" w:color="auto"/>
              <w:right w:val="nil"/>
            </w:tcBorders>
            <w:shd w:val="clear" w:color="auto" w:fill="FFFFFF"/>
          </w:tcPr>
          <w:p w14:paraId="390E65DB"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м/сек</w:t>
            </w:r>
          </w:p>
        </w:tc>
        <w:tc>
          <w:tcPr>
            <w:tcW w:w="902" w:type="dxa"/>
            <w:tcBorders>
              <w:top w:val="single" w:sz="4" w:space="0" w:color="auto"/>
              <w:left w:val="nil"/>
              <w:bottom w:val="single" w:sz="4" w:space="0" w:color="auto"/>
              <w:right w:val="nil"/>
            </w:tcBorders>
            <w:shd w:val="clear" w:color="auto" w:fill="FFFFFF"/>
          </w:tcPr>
          <w:p w14:paraId="78666396"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650</w:t>
            </w:r>
          </w:p>
        </w:tc>
        <w:tc>
          <w:tcPr>
            <w:tcW w:w="1258" w:type="dxa"/>
            <w:tcBorders>
              <w:top w:val="single" w:sz="4" w:space="0" w:color="auto"/>
              <w:left w:val="nil"/>
              <w:bottom w:val="single" w:sz="4" w:space="0" w:color="auto"/>
              <w:right w:val="nil"/>
            </w:tcBorders>
            <w:shd w:val="clear" w:color="auto" w:fill="FFFFFF"/>
          </w:tcPr>
          <w:p w14:paraId="0B077A51"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1000</w:t>
            </w:r>
          </w:p>
        </w:tc>
        <w:tc>
          <w:tcPr>
            <w:tcW w:w="1262" w:type="dxa"/>
            <w:tcBorders>
              <w:top w:val="single" w:sz="4" w:space="0" w:color="auto"/>
              <w:left w:val="nil"/>
              <w:bottom w:val="single" w:sz="4" w:space="0" w:color="auto"/>
              <w:right w:val="nil"/>
            </w:tcBorders>
            <w:shd w:val="clear" w:color="auto" w:fill="FFFFFF"/>
          </w:tcPr>
          <w:p w14:paraId="38EC1C9D"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880</w:t>
            </w:r>
          </w:p>
        </w:tc>
      </w:tr>
      <w:tr w:rsidR="00A907A5" w:rsidRPr="00271E51" w14:paraId="12DF2EDC" w14:textId="77777777" w:rsidTr="00DE5AB5">
        <w:trPr>
          <w:trHeight w:val="336"/>
        </w:trPr>
        <w:tc>
          <w:tcPr>
            <w:tcW w:w="552" w:type="dxa"/>
            <w:tcBorders>
              <w:top w:val="single" w:sz="4" w:space="0" w:color="auto"/>
              <w:left w:val="nil"/>
              <w:bottom w:val="single" w:sz="4" w:space="0" w:color="auto"/>
              <w:right w:val="nil"/>
            </w:tcBorders>
            <w:shd w:val="clear" w:color="auto" w:fill="FFFFFF"/>
          </w:tcPr>
          <w:p w14:paraId="43B05F2D"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w:t>
            </w:r>
          </w:p>
        </w:tc>
        <w:tc>
          <w:tcPr>
            <w:tcW w:w="2054" w:type="dxa"/>
            <w:tcBorders>
              <w:top w:val="single" w:sz="4" w:space="0" w:color="auto"/>
              <w:left w:val="nil"/>
              <w:bottom w:val="single" w:sz="4" w:space="0" w:color="auto"/>
              <w:right w:val="nil"/>
            </w:tcBorders>
            <w:shd w:val="clear" w:color="auto" w:fill="FFFFFF"/>
          </w:tcPr>
          <w:p w14:paraId="60401EDB"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Дальность при 23°</w:t>
            </w:r>
          </w:p>
        </w:tc>
        <w:tc>
          <w:tcPr>
            <w:tcW w:w="1142" w:type="dxa"/>
            <w:tcBorders>
              <w:top w:val="single" w:sz="4" w:space="0" w:color="auto"/>
              <w:left w:val="nil"/>
              <w:bottom w:val="single" w:sz="4" w:space="0" w:color="auto"/>
              <w:right w:val="nil"/>
            </w:tcBorders>
            <w:shd w:val="clear" w:color="auto" w:fill="FFFFFF"/>
          </w:tcPr>
          <w:p w14:paraId="16ECABC6"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м</w:t>
            </w:r>
          </w:p>
        </w:tc>
        <w:tc>
          <w:tcPr>
            <w:tcW w:w="902" w:type="dxa"/>
            <w:tcBorders>
              <w:top w:val="single" w:sz="4" w:space="0" w:color="auto"/>
              <w:left w:val="nil"/>
              <w:bottom w:val="single" w:sz="4" w:space="0" w:color="auto"/>
              <w:right w:val="nil"/>
            </w:tcBorders>
            <w:shd w:val="clear" w:color="auto" w:fill="FFFFFF"/>
          </w:tcPr>
          <w:p w14:paraId="10869A35"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12</w:t>
            </w:r>
          </w:p>
        </w:tc>
        <w:tc>
          <w:tcPr>
            <w:tcW w:w="1258" w:type="dxa"/>
            <w:tcBorders>
              <w:top w:val="single" w:sz="4" w:space="0" w:color="auto"/>
              <w:left w:val="nil"/>
              <w:bottom w:val="single" w:sz="4" w:space="0" w:color="auto"/>
              <w:right w:val="nil"/>
            </w:tcBorders>
            <w:shd w:val="clear" w:color="auto" w:fill="FFFFFF"/>
          </w:tcPr>
          <w:p w14:paraId="16D69D7A"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21</w:t>
            </w:r>
          </w:p>
        </w:tc>
        <w:tc>
          <w:tcPr>
            <w:tcW w:w="1262" w:type="dxa"/>
            <w:tcBorders>
              <w:top w:val="single" w:sz="4" w:space="0" w:color="auto"/>
              <w:left w:val="nil"/>
              <w:bottom w:val="single" w:sz="4" w:space="0" w:color="auto"/>
              <w:right w:val="nil"/>
            </w:tcBorders>
            <w:shd w:val="clear" w:color="auto" w:fill="FFFFFF"/>
          </w:tcPr>
          <w:p w14:paraId="426409F7"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18</w:t>
            </w:r>
          </w:p>
        </w:tc>
      </w:tr>
      <w:tr w:rsidR="00A907A5" w:rsidRPr="00271E51" w14:paraId="713A42A9" w14:textId="77777777" w:rsidTr="00DE5AB5">
        <w:trPr>
          <w:trHeight w:val="283"/>
        </w:trPr>
        <w:tc>
          <w:tcPr>
            <w:tcW w:w="552" w:type="dxa"/>
            <w:tcBorders>
              <w:top w:val="single" w:sz="4" w:space="0" w:color="auto"/>
              <w:left w:val="nil"/>
              <w:bottom w:val="nil"/>
              <w:right w:val="nil"/>
            </w:tcBorders>
            <w:shd w:val="clear" w:color="auto" w:fill="FFFFFF"/>
          </w:tcPr>
          <w:p w14:paraId="17157781"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2054" w:type="dxa"/>
            <w:tcBorders>
              <w:top w:val="single" w:sz="4" w:space="0" w:color="auto"/>
              <w:left w:val="nil"/>
              <w:bottom w:val="nil"/>
              <w:right w:val="nil"/>
            </w:tcBorders>
            <w:shd w:val="clear" w:color="auto" w:fill="FFFFFF"/>
          </w:tcPr>
          <w:p w14:paraId="2D96519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Толщина пробива</w:t>
            </w:r>
            <w:r w:rsidRPr="00271E51">
              <w:rPr>
                <w:rStyle w:val="Bodytext45"/>
                <w:bCs/>
                <w:iCs/>
                <w:color w:val="000000" w:themeColor="text1"/>
              </w:rPr>
              <w:softHyphen/>
            </w:r>
          </w:p>
        </w:tc>
        <w:tc>
          <w:tcPr>
            <w:tcW w:w="1142" w:type="dxa"/>
            <w:tcBorders>
              <w:top w:val="single" w:sz="4" w:space="0" w:color="auto"/>
              <w:left w:val="nil"/>
              <w:bottom w:val="nil"/>
              <w:right w:val="nil"/>
            </w:tcBorders>
            <w:shd w:val="clear" w:color="auto" w:fill="FFFFFF"/>
          </w:tcPr>
          <w:p w14:paraId="7AC459B4"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902" w:type="dxa"/>
            <w:tcBorders>
              <w:top w:val="single" w:sz="4" w:space="0" w:color="auto"/>
              <w:left w:val="nil"/>
              <w:bottom w:val="nil"/>
              <w:right w:val="nil"/>
            </w:tcBorders>
            <w:shd w:val="clear" w:color="auto" w:fill="FFFFFF"/>
          </w:tcPr>
          <w:p w14:paraId="59B23E68"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58" w:type="dxa"/>
            <w:tcBorders>
              <w:top w:val="single" w:sz="4" w:space="0" w:color="auto"/>
              <w:left w:val="nil"/>
              <w:bottom w:val="nil"/>
              <w:right w:val="nil"/>
            </w:tcBorders>
            <w:shd w:val="clear" w:color="auto" w:fill="FFFFFF"/>
          </w:tcPr>
          <w:p w14:paraId="26110AE7"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62" w:type="dxa"/>
            <w:tcBorders>
              <w:top w:val="single" w:sz="4" w:space="0" w:color="auto"/>
              <w:left w:val="nil"/>
              <w:bottom w:val="nil"/>
              <w:right w:val="nil"/>
            </w:tcBorders>
            <w:shd w:val="clear" w:color="auto" w:fill="FFFFFF"/>
          </w:tcPr>
          <w:p w14:paraId="76DC01B4"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r>
      <w:tr w:rsidR="00A907A5" w:rsidRPr="00271E51" w14:paraId="0DA94522" w14:textId="77777777" w:rsidTr="00DE5AB5">
        <w:trPr>
          <w:trHeight w:val="197"/>
        </w:trPr>
        <w:tc>
          <w:tcPr>
            <w:tcW w:w="552" w:type="dxa"/>
            <w:tcBorders>
              <w:top w:val="nil"/>
              <w:left w:val="nil"/>
              <w:bottom w:val="nil"/>
              <w:right w:val="nil"/>
            </w:tcBorders>
            <w:shd w:val="clear" w:color="auto" w:fill="FFFFFF"/>
          </w:tcPr>
          <w:p w14:paraId="631C395D"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2054" w:type="dxa"/>
            <w:tcBorders>
              <w:top w:val="nil"/>
              <w:left w:val="nil"/>
              <w:bottom w:val="nil"/>
              <w:right w:val="nil"/>
            </w:tcBorders>
            <w:shd w:val="clear" w:color="auto" w:fill="FFFFFF"/>
          </w:tcPr>
          <w:p w14:paraId="4CD19B3F"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емой брони с дис</w:t>
            </w:r>
            <w:r w:rsidRPr="00271E51">
              <w:rPr>
                <w:rStyle w:val="Bodytext45"/>
                <w:bCs/>
                <w:iCs/>
                <w:color w:val="000000" w:themeColor="text1"/>
              </w:rPr>
              <w:softHyphen/>
            </w:r>
          </w:p>
        </w:tc>
        <w:tc>
          <w:tcPr>
            <w:tcW w:w="1142" w:type="dxa"/>
            <w:tcBorders>
              <w:top w:val="nil"/>
              <w:left w:val="nil"/>
              <w:bottom w:val="nil"/>
              <w:right w:val="nil"/>
            </w:tcBorders>
            <w:shd w:val="clear" w:color="auto" w:fill="FFFFFF"/>
          </w:tcPr>
          <w:p w14:paraId="203DA066"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902" w:type="dxa"/>
            <w:tcBorders>
              <w:top w:val="nil"/>
              <w:left w:val="nil"/>
              <w:bottom w:val="nil"/>
              <w:right w:val="nil"/>
            </w:tcBorders>
            <w:shd w:val="clear" w:color="auto" w:fill="FFFFFF"/>
          </w:tcPr>
          <w:p w14:paraId="773F1ABB"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58" w:type="dxa"/>
            <w:tcBorders>
              <w:top w:val="nil"/>
              <w:left w:val="nil"/>
              <w:bottom w:val="nil"/>
              <w:right w:val="nil"/>
            </w:tcBorders>
            <w:shd w:val="clear" w:color="auto" w:fill="FFFFFF"/>
          </w:tcPr>
          <w:p w14:paraId="4AF1622E"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62" w:type="dxa"/>
            <w:tcBorders>
              <w:top w:val="nil"/>
              <w:left w:val="nil"/>
              <w:bottom w:val="nil"/>
              <w:right w:val="nil"/>
            </w:tcBorders>
            <w:shd w:val="clear" w:color="auto" w:fill="FFFFFF"/>
          </w:tcPr>
          <w:p w14:paraId="29506E6E"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r>
      <w:tr w:rsidR="00A907A5" w:rsidRPr="00271E51" w14:paraId="5A448A11" w14:textId="77777777" w:rsidTr="00DE5AB5">
        <w:trPr>
          <w:trHeight w:val="197"/>
        </w:trPr>
        <w:tc>
          <w:tcPr>
            <w:tcW w:w="552" w:type="dxa"/>
            <w:tcBorders>
              <w:top w:val="nil"/>
              <w:left w:val="nil"/>
              <w:bottom w:val="nil"/>
              <w:right w:val="nil"/>
            </w:tcBorders>
            <w:shd w:val="clear" w:color="auto" w:fill="FFFFFF"/>
          </w:tcPr>
          <w:p w14:paraId="31CDF4A8"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5.</w:t>
            </w:r>
          </w:p>
        </w:tc>
        <w:tc>
          <w:tcPr>
            <w:tcW w:w="2054" w:type="dxa"/>
            <w:tcBorders>
              <w:top w:val="nil"/>
              <w:left w:val="nil"/>
              <w:bottom w:val="nil"/>
              <w:right w:val="nil"/>
            </w:tcBorders>
            <w:shd w:val="clear" w:color="auto" w:fill="FFFFFF"/>
          </w:tcPr>
          <w:p w14:paraId="452F9990"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танции 1500м.</w:t>
            </w:r>
          </w:p>
        </w:tc>
        <w:tc>
          <w:tcPr>
            <w:tcW w:w="1142" w:type="dxa"/>
            <w:tcBorders>
              <w:top w:val="nil"/>
              <w:left w:val="nil"/>
              <w:bottom w:val="nil"/>
              <w:right w:val="nil"/>
            </w:tcBorders>
            <w:shd w:val="clear" w:color="auto" w:fill="FFFFFF"/>
          </w:tcPr>
          <w:p w14:paraId="4E22FC8F"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902" w:type="dxa"/>
            <w:tcBorders>
              <w:top w:val="nil"/>
              <w:left w:val="nil"/>
              <w:bottom w:val="nil"/>
              <w:right w:val="nil"/>
            </w:tcBorders>
            <w:shd w:val="clear" w:color="auto" w:fill="FFFFFF"/>
          </w:tcPr>
          <w:p w14:paraId="2F3FCC39"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58" w:type="dxa"/>
            <w:tcBorders>
              <w:top w:val="nil"/>
              <w:left w:val="nil"/>
              <w:bottom w:val="nil"/>
              <w:right w:val="nil"/>
            </w:tcBorders>
            <w:shd w:val="clear" w:color="auto" w:fill="FFFFFF"/>
          </w:tcPr>
          <w:p w14:paraId="3D8A6B1E"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62" w:type="dxa"/>
            <w:tcBorders>
              <w:top w:val="nil"/>
              <w:left w:val="nil"/>
              <w:bottom w:val="nil"/>
              <w:right w:val="nil"/>
            </w:tcBorders>
            <w:shd w:val="clear" w:color="auto" w:fill="FFFFFF"/>
          </w:tcPr>
          <w:p w14:paraId="023C3186"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r>
      <w:tr w:rsidR="00A907A5" w:rsidRPr="00271E51" w14:paraId="552A0558" w14:textId="77777777" w:rsidTr="00DE5AB5">
        <w:trPr>
          <w:trHeight w:val="197"/>
        </w:trPr>
        <w:tc>
          <w:tcPr>
            <w:tcW w:w="552" w:type="dxa"/>
            <w:tcBorders>
              <w:top w:val="nil"/>
              <w:left w:val="nil"/>
              <w:bottom w:val="nil"/>
              <w:right w:val="nil"/>
            </w:tcBorders>
            <w:shd w:val="clear" w:color="auto" w:fill="FFFFFF"/>
          </w:tcPr>
          <w:p w14:paraId="12718459"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2054" w:type="dxa"/>
            <w:tcBorders>
              <w:top w:val="nil"/>
              <w:left w:val="nil"/>
              <w:bottom w:val="nil"/>
              <w:right w:val="nil"/>
            </w:tcBorders>
            <w:shd w:val="clear" w:color="auto" w:fill="FFFFFF"/>
          </w:tcPr>
          <w:p w14:paraId="27EF1077"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0°</w:t>
            </w:r>
          </w:p>
        </w:tc>
        <w:tc>
          <w:tcPr>
            <w:tcW w:w="1142" w:type="dxa"/>
            <w:tcBorders>
              <w:top w:val="nil"/>
              <w:left w:val="nil"/>
              <w:bottom w:val="nil"/>
              <w:right w:val="nil"/>
            </w:tcBorders>
            <w:shd w:val="clear" w:color="auto" w:fill="FFFFFF"/>
          </w:tcPr>
          <w:p w14:paraId="19577FAC"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мм</w:t>
            </w:r>
          </w:p>
        </w:tc>
        <w:tc>
          <w:tcPr>
            <w:tcW w:w="902" w:type="dxa"/>
            <w:tcBorders>
              <w:top w:val="nil"/>
              <w:left w:val="nil"/>
              <w:bottom w:val="nil"/>
              <w:right w:val="nil"/>
            </w:tcBorders>
            <w:shd w:val="clear" w:color="auto" w:fill="FFFFFF"/>
          </w:tcPr>
          <w:p w14:paraId="4CC9A62D" w14:textId="77777777" w:rsidR="00B95E55" w:rsidRPr="00271E51" w:rsidRDefault="00B95E55" w:rsidP="00271E51">
            <w:pPr>
              <w:pStyle w:val="Bodytext660"/>
              <w:shd w:val="clear" w:color="auto" w:fill="auto"/>
              <w:spacing w:line="240" w:lineRule="auto"/>
              <w:jc w:val="both"/>
              <w:rPr>
                <w:color w:val="000000" w:themeColor="text1"/>
                <w:sz w:val="16"/>
                <w:szCs w:val="16"/>
              </w:rPr>
            </w:pPr>
            <w:r w:rsidRPr="00271E51">
              <w:rPr>
                <w:noProof w:val="0"/>
                <w:color w:val="000000" w:themeColor="text1"/>
                <w:sz w:val="16"/>
                <w:szCs w:val="16"/>
              </w:rPr>
              <w:t>-</w:t>
            </w:r>
          </w:p>
        </w:tc>
        <w:tc>
          <w:tcPr>
            <w:tcW w:w="1258" w:type="dxa"/>
            <w:tcBorders>
              <w:top w:val="nil"/>
              <w:left w:val="nil"/>
              <w:bottom w:val="nil"/>
              <w:right w:val="nil"/>
            </w:tcBorders>
            <w:shd w:val="clear" w:color="auto" w:fill="FFFFFF"/>
          </w:tcPr>
          <w:p w14:paraId="6EF8EB21"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195</w:t>
            </w:r>
          </w:p>
        </w:tc>
        <w:tc>
          <w:tcPr>
            <w:tcW w:w="1262" w:type="dxa"/>
            <w:tcBorders>
              <w:top w:val="nil"/>
              <w:left w:val="nil"/>
              <w:bottom w:val="nil"/>
              <w:right w:val="nil"/>
            </w:tcBorders>
            <w:shd w:val="clear" w:color="auto" w:fill="FFFFFF"/>
          </w:tcPr>
          <w:p w14:paraId="5E61489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195</w:t>
            </w:r>
          </w:p>
        </w:tc>
      </w:tr>
      <w:tr w:rsidR="00A907A5" w:rsidRPr="00271E51" w14:paraId="1D0DF17E" w14:textId="77777777" w:rsidTr="00DE5AB5">
        <w:trPr>
          <w:trHeight w:val="259"/>
        </w:trPr>
        <w:tc>
          <w:tcPr>
            <w:tcW w:w="552" w:type="dxa"/>
            <w:tcBorders>
              <w:top w:val="nil"/>
              <w:left w:val="nil"/>
              <w:bottom w:val="single" w:sz="4" w:space="0" w:color="auto"/>
              <w:right w:val="nil"/>
            </w:tcBorders>
            <w:shd w:val="clear" w:color="auto" w:fill="FFFFFF"/>
          </w:tcPr>
          <w:p w14:paraId="481BE7EC"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2054" w:type="dxa"/>
            <w:tcBorders>
              <w:top w:val="nil"/>
              <w:left w:val="nil"/>
              <w:bottom w:val="single" w:sz="4" w:space="0" w:color="auto"/>
              <w:right w:val="nil"/>
            </w:tcBorders>
            <w:shd w:val="clear" w:color="auto" w:fill="FFFFFF"/>
          </w:tcPr>
          <w:p w14:paraId="719D123D"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30°</w:t>
            </w:r>
          </w:p>
        </w:tc>
        <w:tc>
          <w:tcPr>
            <w:tcW w:w="1142" w:type="dxa"/>
            <w:tcBorders>
              <w:top w:val="nil"/>
              <w:left w:val="nil"/>
              <w:bottom w:val="single" w:sz="4" w:space="0" w:color="auto"/>
              <w:right w:val="nil"/>
            </w:tcBorders>
            <w:shd w:val="clear" w:color="auto" w:fill="FFFFFF"/>
          </w:tcPr>
          <w:p w14:paraId="31D18F45"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мм</w:t>
            </w:r>
          </w:p>
        </w:tc>
        <w:tc>
          <w:tcPr>
            <w:tcW w:w="902" w:type="dxa"/>
            <w:tcBorders>
              <w:top w:val="nil"/>
              <w:left w:val="nil"/>
              <w:bottom w:val="single" w:sz="4" w:space="0" w:color="auto"/>
              <w:right w:val="nil"/>
            </w:tcBorders>
            <w:shd w:val="clear" w:color="auto" w:fill="FFFFFF"/>
          </w:tcPr>
          <w:p w14:paraId="4F720D20" w14:textId="77777777" w:rsidR="00B95E55" w:rsidRPr="00271E51" w:rsidRDefault="00B95E55" w:rsidP="00271E51">
            <w:pPr>
              <w:pStyle w:val="Bodytext670"/>
              <w:shd w:val="clear" w:color="auto" w:fill="auto"/>
              <w:spacing w:line="240" w:lineRule="auto"/>
              <w:jc w:val="both"/>
              <w:rPr>
                <w:color w:val="000000" w:themeColor="text1"/>
                <w:sz w:val="16"/>
                <w:szCs w:val="16"/>
              </w:rPr>
            </w:pPr>
            <w:r w:rsidRPr="00271E51">
              <w:rPr>
                <w:noProof w:val="0"/>
                <w:color w:val="000000" w:themeColor="text1"/>
                <w:sz w:val="16"/>
                <w:szCs w:val="16"/>
              </w:rPr>
              <w:t>-</w:t>
            </w:r>
          </w:p>
        </w:tc>
        <w:tc>
          <w:tcPr>
            <w:tcW w:w="1258" w:type="dxa"/>
            <w:tcBorders>
              <w:top w:val="nil"/>
              <w:left w:val="nil"/>
              <w:bottom w:val="single" w:sz="4" w:space="0" w:color="auto"/>
              <w:right w:val="nil"/>
            </w:tcBorders>
            <w:shd w:val="clear" w:color="auto" w:fill="FFFFFF"/>
          </w:tcPr>
          <w:p w14:paraId="656E744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160</w:t>
            </w:r>
          </w:p>
        </w:tc>
        <w:tc>
          <w:tcPr>
            <w:tcW w:w="1262" w:type="dxa"/>
            <w:tcBorders>
              <w:top w:val="nil"/>
              <w:left w:val="nil"/>
              <w:bottom w:val="single" w:sz="4" w:space="0" w:color="auto"/>
              <w:right w:val="nil"/>
            </w:tcBorders>
            <w:shd w:val="clear" w:color="auto" w:fill="FFFFFF"/>
          </w:tcPr>
          <w:p w14:paraId="596F474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160</w:t>
            </w:r>
          </w:p>
        </w:tc>
      </w:tr>
      <w:tr w:rsidR="00A907A5" w:rsidRPr="00271E51" w14:paraId="674F8B20" w14:textId="77777777" w:rsidTr="00DE5AB5">
        <w:trPr>
          <w:trHeight w:val="514"/>
        </w:trPr>
        <w:tc>
          <w:tcPr>
            <w:tcW w:w="552" w:type="dxa"/>
            <w:tcBorders>
              <w:top w:val="single" w:sz="4" w:space="0" w:color="auto"/>
              <w:left w:val="nil"/>
              <w:bottom w:val="single" w:sz="4" w:space="0" w:color="auto"/>
              <w:right w:val="nil"/>
            </w:tcBorders>
            <w:shd w:val="clear" w:color="auto" w:fill="FFFFFF"/>
          </w:tcPr>
          <w:p w14:paraId="3AF636EE"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6.</w:t>
            </w:r>
          </w:p>
        </w:tc>
        <w:tc>
          <w:tcPr>
            <w:tcW w:w="2054" w:type="dxa"/>
            <w:tcBorders>
              <w:top w:val="single" w:sz="4" w:space="0" w:color="auto"/>
              <w:left w:val="nil"/>
              <w:bottom w:val="single" w:sz="4" w:space="0" w:color="auto"/>
              <w:right w:val="nil"/>
            </w:tcBorders>
            <w:shd w:val="clear" w:color="auto" w:fill="FFFFFF"/>
          </w:tcPr>
          <w:p w14:paraId="12A61F3B"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Угол горизонталь</w:t>
            </w:r>
            <w:r w:rsidRPr="00271E51">
              <w:rPr>
                <w:rStyle w:val="Bodytext45"/>
                <w:bCs/>
                <w:iCs/>
                <w:color w:val="000000" w:themeColor="text1"/>
              </w:rPr>
              <w:softHyphen/>
              <w:t>ного обстрела</w:t>
            </w:r>
          </w:p>
        </w:tc>
        <w:tc>
          <w:tcPr>
            <w:tcW w:w="1142" w:type="dxa"/>
            <w:tcBorders>
              <w:top w:val="single" w:sz="4" w:space="0" w:color="auto"/>
              <w:left w:val="nil"/>
              <w:bottom w:val="single" w:sz="4" w:space="0" w:color="auto"/>
              <w:right w:val="nil"/>
            </w:tcBorders>
            <w:shd w:val="clear" w:color="auto" w:fill="FFFFFF"/>
          </w:tcPr>
          <w:p w14:paraId="0A08DAF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град</w:t>
            </w:r>
          </w:p>
        </w:tc>
        <w:tc>
          <w:tcPr>
            <w:tcW w:w="902" w:type="dxa"/>
            <w:tcBorders>
              <w:top w:val="single" w:sz="4" w:space="0" w:color="auto"/>
              <w:left w:val="nil"/>
              <w:bottom w:val="single" w:sz="4" w:space="0" w:color="auto"/>
              <w:right w:val="nil"/>
            </w:tcBorders>
            <w:shd w:val="clear" w:color="auto" w:fill="FFFFFF"/>
          </w:tcPr>
          <w:p w14:paraId="10C45ED1"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+/-7</w:t>
            </w:r>
          </w:p>
        </w:tc>
        <w:tc>
          <w:tcPr>
            <w:tcW w:w="1258" w:type="dxa"/>
            <w:tcBorders>
              <w:top w:val="single" w:sz="4" w:space="0" w:color="auto"/>
              <w:left w:val="nil"/>
              <w:bottom w:val="single" w:sz="4" w:space="0" w:color="auto"/>
              <w:right w:val="nil"/>
            </w:tcBorders>
            <w:shd w:val="clear" w:color="auto" w:fill="FFFFFF"/>
          </w:tcPr>
          <w:p w14:paraId="587636CA"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+/-7</w:t>
            </w:r>
          </w:p>
        </w:tc>
        <w:tc>
          <w:tcPr>
            <w:tcW w:w="1262" w:type="dxa"/>
            <w:tcBorders>
              <w:top w:val="single" w:sz="4" w:space="0" w:color="auto"/>
              <w:left w:val="nil"/>
              <w:bottom w:val="single" w:sz="4" w:space="0" w:color="auto"/>
              <w:right w:val="nil"/>
            </w:tcBorders>
            <w:shd w:val="clear" w:color="auto" w:fill="FFFFFF"/>
          </w:tcPr>
          <w:p w14:paraId="4A20CC6F" w14:textId="77777777" w:rsidR="00B95E55" w:rsidRPr="00271E51" w:rsidRDefault="00B95E55" w:rsidP="00271E51">
            <w:pPr>
              <w:pStyle w:val="Bodytext51"/>
              <w:shd w:val="clear" w:color="auto" w:fill="auto"/>
              <w:spacing w:before="0" w:after="0" w:line="240" w:lineRule="auto"/>
              <w:jc w:val="both"/>
              <w:rPr>
                <w:color w:val="000000" w:themeColor="text1"/>
                <w:sz w:val="16"/>
                <w:szCs w:val="16"/>
              </w:rPr>
            </w:pPr>
            <w:r w:rsidRPr="00271E51">
              <w:rPr>
                <w:rStyle w:val="Bodytext515"/>
                <w:color w:val="000000" w:themeColor="text1"/>
                <w:sz w:val="16"/>
                <w:szCs w:val="16"/>
              </w:rPr>
              <w:t>+/-7</w:t>
            </w:r>
          </w:p>
        </w:tc>
      </w:tr>
      <w:tr w:rsidR="00A907A5" w:rsidRPr="00271E51" w14:paraId="3465ED9A" w14:textId="77777777" w:rsidTr="00DE5AB5">
        <w:trPr>
          <w:trHeight w:val="312"/>
        </w:trPr>
        <w:tc>
          <w:tcPr>
            <w:tcW w:w="552" w:type="dxa"/>
            <w:vMerge w:val="restart"/>
            <w:tcBorders>
              <w:top w:val="single" w:sz="4" w:space="0" w:color="auto"/>
              <w:left w:val="nil"/>
              <w:bottom w:val="nil"/>
              <w:right w:val="nil"/>
            </w:tcBorders>
            <w:shd w:val="clear" w:color="auto" w:fill="FFFFFF"/>
          </w:tcPr>
          <w:p w14:paraId="71992B6E"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7.</w:t>
            </w:r>
          </w:p>
        </w:tc>
        <w:tc>
          <w:tcPr>
            <w:tcW w:w="2054" w:type="dxa"/>
            <w:tcBorders>
              <w:top w:val="single" w:sz="4" w:space="0" w:color="auto"/>
              <w:left w:val="nil"/>
              <w:bottom w:val="nil"/>
              <w:right w:val="nil"/>
            </w:tcBorders>
            <w:shd w:val="clear" w:color="auto" w:fill="FFFFFF"/>
          </w:tcPr>
          <w:p w14:paraId="1C240EE1"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Возимый боекомплект</w:t>
            </w:r>
          </w:p>
        </w:tc>
        <w:tc>
          <w:tcPr>
            <w:tcW w:w="1142" w:type="dxa"/>
            <w:tcBorders>
              <w:top w:val="single" w:sz="4" w:space="0" w:color="auto"/>
              <w:left w:val="nil"/>
              <w:bottom w:val="nil"/>
              <w:right w:val="nil"/>
            </w:tcBorders>
            <w:shd w:val="clear" w:color="auto" w:fill="FFFFFF"/>
          </w:tcPr>
          <w:p w14:paraId="2E5B8137"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902" w:type="dxa"/>
            <w:tcBorders>
              <w:top w:val="single" w:sz="4" w:space="0" w:color="auto"/>
              <w:left w:val="nil"/>
              <w:bottom w:val="nil"/>
              <w:right w:val="nil"/>
            </w:tcBorders>
            <w:shd w:val="clear" w:color="auto" w:fill="FFFFFF"/>
          </w:tcPr>
          <w:p w14:paraId="0778ECA8"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258" w:type="dxa"/>
            <w:tcBorders>
              <w:top w:val="single" w:sz="4" w:space="0" w:color="auto"/>
              <w:left w:val="nil"/>
              <w:bottom w:val="single" w:sz="4" w:space="0" w:color="auto"/>
              <w:right w:val="nil"/>
            </w:tcBorders>
            <w:shd w:val="clear" w:color="auto" w:fill="FFFFFF"/>
          </w:tcPr>
          <w:p w14:paraId="451B9C0F"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16</w:t>
            </w:r>
          </w:p>
        </w:tc>
        <w:tc>
          <w:tcPr>
            <w:tcW w:w="1262" w:type="dxa"/>
            <w:tcBorders>
              <w:top w:val="single" w:sz="4" w:space="0" w:color="auto"/>
              <w:left w:val="nil"/>
              <w:bottom w:val="single" w:sz="4" w:space="0" w:color="auto"/>
              <w:right w:val="nil"/>
            </w:tcBorders>
            <w:shd w:val="clear" w:color="auto" w:fill="FFFFFF"/>
          </w:tcPr>
          <w:p w14:paraId="4F3EB9AC"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16</w:t>
            </w:r>
          </w:p>
        </w:tc>
      </w:tr>
      <w:tr w:rsidR="00A907A5" w:rsidRPr="00271E51" w14:paraId="47324B9C" w14:textId="77777777" w:rsidTr="00DE5AB5">
        <w:trPr>
          <w:trHeight w:val="538"/>
        </w:trPr>
        <w:tc>
          <w:tcPr>
            <w:tcW w:w="552" w:type="dxa"/>
            <w:vMerge/>
            <w:tcBorders>
              <w:top w:val="nil"/>
              <w:left w:val="nil"/>
              <w:bottom w:val="single" w:sz="4" w:space="0" w:color="auto"/>
              <w:right w:val="nil"/>
            </w:tcBorders>
            <w:shd w:val="clear" w:color="auto" w:fill="FFFFFF"/>
          </w:tcPr>
          <w:p w14:paraId="4558F8EC"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p>
        </w:tc>
        <w:tc>
          <w:tcPr>
            <w:tcW w:w="2054" w:type="dxa"/>
            <w:tcBorders>
              <w:top w:val="nil"/>
              <w:left w:val="nil"/>
              <w:bottom w:val="single" w:sz="4" w:space="0" w:color="auto"/>
              <w:right w:val="nil"/>
            </w:tcBorders>
            <w:shd w:val="clear" w:color="auto" w:fill="FFFFFF"/>
          </w:tcPr>
          <w:p w14:paraId="0152569F" w14:textId="77777777" w:rsidR="00B95E55" w:rsidRPr="00271E51" w:rsidRDefault="00B95E55" w:rsidP="00271E51">
            <w:pPr>
              <w:spacing w:after="0" w:line="240" w:lineRule="auto"/>
              <w:jc w:val="both"/>
              <w:rPr>
                <w:rFonts w:ascii="Times New Roman" w:hAnsi="Times New Roman"/>
                <w:color w:val="000000" w:themeColor="text1"/>
                <w:sz w:val="16"/>
                <w:szCs w:val="16"/>
              </w:rPr>
            </w:pPr>
          </w:p>
        </w:tc>
        <w:tc>
          <w:tcPr>
            <w:tcW w:w="1142" w:type="dxa"/>
            <w:tcBorders>
              <w:top w:val="nil"/>
              <w:left w:val="nil"/>
              <w:bottom w:val="single" w:sz="4" w:space="0" w:color="auto"/>
              <w:right w:val="nil"/>
            </w:tcBorders>
            <w:shd w:val="clear" w:color="auto" w:fill="FFFFFF"/>
          </w:tcPr>
          <w:p w14:paraId="4ED1BFEB"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выстр</w:t>
            </w:r>
          </w:p>
        </w:tc>
        <w:tc>
          <w:tcPr>
            <w:tcW w:w="902" w:type="dxa"/>
            <w:tcBorders>
              <w:top w:val="nil"/>
              <w:left w:val="nil"/>
              <w:bottom w:val="single" w:sz="4" w:space="0" w:color="auto"/>
              <w:right w:val="nil"/>
            </w:tcBorders>
            <w:shd w:val="clear" w:color="auto" w:fill="FFFFFF"/>
          </w:tcPr>
          <w:p w14:paraId="5FBC700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16</w:t>
            </w:r>
          </w:p>
        </w:tc>
        <w:tc>
          <w:tcPr>
            <w:tcW w:w="2520" w:type="dxa"/>
            <w:gridSpan w:val="2"/>
            <w:tcBorders>
              <w:top w:val="single" w:sz="4" w:space="0" w:color="auto"/>
              <w:left w:val="nil"/>
              <w:bottom w:val="single" w:sz="4" w:space="0" w:color="auto"/>
              <w:right w:val="nil"/>
            </w:tcBorders>
            <w:shd w:val="clear" w:color="auto" w:fill="FFFFFF"/>
          </w:tcPr>
          <w:p w14:paraId="5B221FFE"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38 (с переделкой боевого отделения)</w:t>
            </w:r>
          </w:p>
        </w:tc>
      </w:tr>
      <w:tr w:rsidR="00A907A5" w:rsidRPr="00271E51" w14:paraId="3665BF7D" w14:textId="77777777" w:rsidTr="00DE5AB5">
        <w:trPr>
          <w:trHeight w:val="341"/>
        </w:trPr>
        <w:tc>
          <w:tcPr>
            <w:tcW w:w="552" w:type="dxa"/>
            <w:tcBorders>
              <w:top w:val="single" w:sz="4" w:space="0" w:color="auto"/>
              <w:left w:val="nil"/>
              <w:bottom w:val="single" w:sz="4" w:space="0" w:color="auto"/>
              <w:right w:val="nil"/>
            </w:tcBorders>
            <w:shd w:val="clear" w:color="auto" w:fill="FFFFFF"/>
          </w:tcPr>
          <w:p w14:paraId="6F8B6E92"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8.</w:t>
            </w:r>
          </w:p>
        </w:tc>
        <w:tc>
          <w:tcPr>
            <w:tcW w:w="2054" w:type="dxa"/>
            <w:tcBorders>
              <w:top w:val="single" w:sz="4" w:space="0" w:color="auto"/>
              <w:left w:val="nil"/>
              <w:bottom w:val="single" w:sz="4" w:space="0" w:color="auto"/>
              <w:right w:val="nil"/>
            </w:tcBorders>
            <w:shd w:val="clear" w:color="auto" w:fill="FFFFFF"/>
          </w:tcPr>
          <w:p w14:paraId="531DBB24"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Скорострельность</w:t>
            </w:r>
          </w:p>
        </w:tc>
        <w:tc>
          <w:tcPr>
            <w:tcW w:w="1142" w:type="dxa"/>
            <w:tcBorders>
              <w:top w:val="single" w:sz="4" w:space="0" w:color="auto"/>
              <w:left w:val="nil"/>
              <w:bottom w:val="single" w:sz="4" w:space="0" w:color="auto"/>
              <w:right w:val="nil"/>
            </w:tcBorders>
            <w:shd w:val="clear" w:color="auto" w:fill="FFFFFF"/>
          </w:tcPr>
          <w:p w14:paraId="36A147B2"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выстр/мин</w:t>
            </w:r>
          </w:p>
        </w:tc>
        <w:tc>
          <w:tcPr>
            <w:tcW w:w="902" w:type="dxa"/>
            <w:tcBorders>
              <w:top w:val="single" w:sz="4" w:space="0" w:color="auto"/>
              <w:left w:val="nil"/>
              <w:bottom w:val="single" w:sz="4" w:space="0" w:color="auto"/>
              <w:right w:val="nil"/>
            </w:tcBorders>
            <w:shd w:val="clear" w:color="auto" w:fill="FFFFFF"/>
          </w:tcPr>
          <w:p w14:paraId="6448358E"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1,5</w:t>
            </w:r>
          </w:p>
        </w:tc>
        <w:tc>
          <w:tcPr>
            <w:tcW w:w="1258" w:type="dxa"/>
            <w:tcBorders>
              <w:top w:val="single" w:sz="4" w:space="0" w:color="auto"/>
              <w:left w:val="nil"/>
              <w:bottom w:val="single" w:sz="4" w:space="0" w:color="auto"/>
              <w:right w:val="nil"/>
            </w:tcBorders>
            <w:shd w:val="clear" w:color="auto" w:fill="FFFFFF"/>
          </w:tcPr>
          <w:p w14:paraId="413B63C6"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2</w:t>
            </w:r>
          </w:p>
        </w:tc>
        <w:tc>
          <w:tcPr>
            <w:tcW w:w="1262" w:type="dxa"/>
            <w:tcBorders>
              <w:top w:val="single" w:sz="4" w:space="0" w:color="auto"/>
              <w:left w:val="nil"/>
              <w:bottom w:val="single" w:sz="4" w:space="0" w:color="auto"/>
              <w:right w:val="nil"/>
            </w:tcBorders>
            <w:shd w:val="clear" w:color="auto" w:fill="FFFFFF"/>
          </w:tcPr>
          <w:p w14:paraId="1E6F7EF2"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1,33</w:t>
            </w:r>
          </w:p>
        </w:tc>
      </w:tr>
      <w:tr w:rsidR="00A907A5" w:rsidRPr="00271E51" w14:paraId="2B5EA407" w14:textId="77777777" w:rsidTr="00DE5AB5">
        <w:trPr>
          <w:trHeight w:val="523"/>
        </w:trPr>
        <w:tc>
          <w:tcPr>
            <w:tcW w:w="552" w:type="dxa"/>
            <w:tcBorders>
              <w:top w:val="single" w:sz="4" w:space="0" w:color="auto"/>
              <w:left w:val="nil"/>
              <w:bottom w:val="single" w:sz="4" w:space="0" w:color="auto"/>
              <w:right w:val="nil"/>
            </w:tcBorders>
            <w:shd w:val="clear" w:color="auto" w:fill="FFFFFF"/>
          </w:tcPr>
          <w:p w14:paraId="786FF360"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9.</w:t>
            </w:r>
          </w:p>
        </w:tc>
        <w:tc>
          <w:tcPr>
            <w:tcW w:w="2054" w:type="dxa"/>
            <w:tcBorders>
              <w:top w:val="single" w:sz="4" w:space="0" w:color="auto"/>
              <w:left w:val="nil"/>
              <w:bottom w:val="single" w:sz="4" w:space="0" w:color="auto"/>
              <w:right w:val="nil"/>
            </w:tcBorders>
            <w:shd w:val="clear" w:color="auto" w:fill="FFFFFF"/>
          </w:tcPr>
          <w:p w14:paraId="79D8A953"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Вес самохода с пушкой и боекомплектом</w:t>
            </w:r>
          </w:p>
        </w:tc>
        <w:tc>
          <w:tcPr>
            <w:tcW w:w="1142" w:type="dxa"/>
            <w:tcBorders>
              <w:top w:val="single" w:sz="4" w:space="0" w:color="auto"/>
              <w:left w:val="nil"/>
              <w:bottom w:val="single" w:sz="4" w:space="0" w:color="auto"/>
              <w:right w:val="nil"/>
            </w:tcBorders>
            <w:shd w:val="clear" w:color="auto" w:fill="FFFFFF"/>
          </w:tcPr>
          <w:p w14:paraId="07E4D44F"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т</w:t>
            </w:r>
          </w:p>
        </w:tc>
        <w:tc>
          <w:tcPr>
            <w:tcW w:w="902" w:type="dxa"/>
            <w:tcBorders>
              <w:top w:val="single" w:sz="4" w:space="0" w:color="auto"/>
              <w:left w:val="nil"/>
              <w:bottom w:val="single" w:sz="4" w:space="0" w:color="auto"/>
              <w:right w:val="nil"/>
            </w:tcBorders>
            <w:shd w:val="clear" w:color="auto" w:fill="FFFFFF"/>
          </w:tcPr>
          <w:p w14:paraId="70B1979D"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47</w:t>
            </w:r>
          </w:p>
        </w:tc>
        <w:tc>
          <w:tcPr>
            <w:tcW w:w="1258" w:type="dxa"/>
            <w:tcBorders>
              <w:top w:val="single" w:sz="4" w:space="0" w:color="auto"/>
              <w:left w:val="nil"/>
              <w:bottom w:val="single" w:sz="4" w:space="0" w:color="auto"/>
              <w:right w:val="nil"/>
            </w:tcBorders>
            <w:shd w:val="clear" w:color="auto" w:fill="FFFFFF"/>
          </w:tcPr>
          <w:p w14:paraId="681255B9"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48</w:t>
            </w:r>
          </w:p>
        </w:tc>
        <w:tc>
          <w:tcPr>
            <w:tcW w:w="1262" w:type="dxa"/>
            <w:tcBorders>
              <w:top w:val="single" w:sz="4" w:space="0" w:color="auto"/>
              <w:left w:val="nil"/>
              <w:bottom w:val="single" w:sz="4" w:space="0" w:color="auto"/>
              <w:right w:val="nil"/>
            </w:tcBorders>
            <w:shd w:val="clear" w:color="auto" w:fill="FFFFFF"/>
          </w:tcPr>
          <w:p w14:paraId="226F856E" w14:textId="77777777" w:rsidR="00B95E55" w:rsidRPr="00271E51" w:rsidRDefault="00B95E55" w:rsidP="00271E51">
            <w:pPr>
              <w:pStyle w:val="Bodytext41"/>
              <w:shd w:val="clear" w:color="auto" w:fill="auto"/>
              <w:spacing w:before="0" w:after="0" w:line="240" w:lineRule="auto"/>
              <w:jc w:val="both"/>
              <w:rPr>
                <w:b w:val="0"/>
                <w:i w:val="0"/>
                <w:color w:val="000000" w:themeColor="text1"/>
              </w:rPr>
            </w:pPr>
            <w:r w:rsidRPr="00271E51">
              <w:rPr>
                <w:rStyle w:val="Bodytext45"/>
                <w:bCs/>
                <w:iCs/>
                <w:color w:val="000000" w:themeColor="text1"/>
              </w:rPr>
              <w:t>48</w:t>
            </w:r>
          </w:p>
        </w:tc>
      </w:tr>
    </w:tbl>
    <w:p w14:paraId="68C77CED"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Представив эскизный проект, ОКБ-172 продолжает дальнейшую про</w:t>
      </w:r>
      <w:r w:rsidRPr="00271E51">
        <w:rPr>
          <w:rFonts w:ascii="Times New Roman" w:hAnsi="Times New Roman"/>
          <w:color w:val="000000" w:themeColor="text1"/>
          <w:sz w:val="16"/>
          <w:szCs w:val="16"/>
        </w:rPr>
        <w:softHyphen/>
        <w:t>работку проекта, что позволяет ОКБ-172 по получении Ваших заключе</w:t>
      </w:r>
      <w:r w:rsidRPr="00271E51">
        <w:rPr>
          <w:rFonts w:ascii="Times New Roman" w:hAnsi="Times New Roman"/>
          <w:color w:val="000000" w:themeColor="text1"/>
          <w:sz w:val="16"/>
          <w:szCs w:val="16"/>
        </w:rPr>
        <w:softHyphen/>
        <w:t>ний по проекту, немедленно приступить к выпуску рабочий чертежей».</w:t>
      </w:r>
    </w:p>
    <w:p w14:paraId="48108EE0"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ОБМ-50 была представлена в трех вариантах, все они имели одинаковую начальную скорость — 1000 м/с. Первый вари</w:t>
      </w:r>
      <w:r w:rsidRPr="00271E51">
        <w:rPr>
          <w:rFonts w:ascii="Times New Roman" w:hAnsi="Times New Roman"/>
          <w:color w:val="000000" w:themeColor="text1"/>
          <w:sz w:val="16"/>
          <w:szCs w:val="16"/>
        </w:rPr>
        <w:softHyphen/>
        <w:t>ант пушки (в документах проходит как «вариант А» ), о котором шла речь в докладной записке, имел длину ствола 8566 мм (70,2 калибра) и наибольшее давление 2670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По конструкции данная версия максимально приближалась к 122-мм пушке А-19. 28 октября в допол</w:t>
      </w:r>
      <w:r w:rsidRPr="00271E51">
        <w:rPr>
          <w:rFonts w:ascii="Times New Roman" w:hAnsi="Times New Roman"/>
          <w:color w:val="000000" w:themeColor="text1"/>
          <w:sz w:val="16"/>
          <w:szCs w:val="16"/>
        </w:rPr>
        <w:softHyphen/>
        <w:t>нение к нему было представлено еще два варианта ОБМ-50, которые указываются как «вариант I и II». Вариант I отличался укорочением ствола до 8390 мм (68,7 калибров), при этом длина каморы выросла до 990 мм. Куда большие отличия имел вариант II. Длина ствола сни</w:t>
      </w:r>
      <w:r w:rsidRPr="00271E51">
        <w:rPr>
          <w:rFonts w:ascii="Times New Roman" w:hAnsi="Times New Roman"/>
          <w:color w:val="000000" w:themeColor="text1"/>
          <w:sz w:val="16"/>
          <w:szCs w:val="16"/>
        </w:rPr>
        <w:softHyphen/>
        <w:t xml:space="preserve"> зилась до 7430 мм (60,9 калибров), длина каморы также стала 990 мм, максимальное давление выросло до 3000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Увеличение давления потребовало спроектировать новую казенную часть, которая получила клиновой затвор (17484).</w:t>
      </w:r>
    </w:p>
    <w:p w14:paraId="3E460E1A"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2097D669" w14:textId="77777777" w:rsidR="003C3A22" w:rsidRPr="00271E51" w:rsidRDefault="003C3A22" w:rsidP="00271E51">
      <w:pPr>
        <w:pStyle w:val="ae"/>
        <w:spacing w:before="0" w:after="0"/>
        <w:jc w:val="both"/>
        <w:textAlignment w:val="baseline"/>
        <w:rPr>
          <w:color w:val="000000" w:themeColor="text1"/>
          <w:sz w:val="16"/>
          <w:szCs w:val="16"/>
        </w:rPr>
      </w:pPr>
      <w:r w:rsidRPr="00271E51">
        <w:rPr>
          <w:color w:val="000000" w:themeColor="text1"/>
          <w:sz w:val="16"/>
          <w:szCs w:val="16"/>
        </w:rPr>
        <w:t>К 5-му октября 1943 года эскизный проект 122 мм пушек ОКБ-172 был представлен начальнику Артиллерийского комитета ГАУ КА. В дополнение к 122-мм пушке повышенной мощности ОКБ-172 разработало проект с установкой в СУ-152 системы ОБМ-43 калибра 152 мм с баллистикой пушки БР-2. Данное орудие, получившее обозначение ОБМ-43, оказалось очень похожим на Д-4. Разница заключалась в том, что на ОБМ-43 применялись боеприпасы не от БР-2, а от МЛ-20. Это было существенным плюсом, поскольку таким образом достигалась унификация не только с корпусной, но и с самоходной артиллерией. Разработка самоходной версии ОБМ-43, получившей обозначение ОБМ-53, выглядит вполне логичным решением.</w:t>
      </w:r>
    </w:p>
    <w:p w14:paraId="7C094140" w14:textId="77777777" w:rsidR="003C3A22" w:rsidRPr="00271E51" w:rsidRDefault="003C3A22" w:rsidP="00271E51">
      <w:pPr>
        <w:pStyle w:val="ae"/>
        <w:spacing w:before="0" w:after="0"/>
        <w:jc w:val="both"/>
        <w:textAlignment w:val="baseline"/>
        <w:rPr>
          <w:color w:val="000000" w:themeColor="text1"/>
          <w:sz w:val="16"/>
          <w:szCs w:val="16"/>
        </w:rPr>
      </w:pPr>
      <w:r w:rsidRPr="00271E51">
        <w:rPr>
          <w:color w:val="000000" w:themeColor="text1"/>
          <w:sz w:val="16"/>
          <w:szCs w:val="16"/>
        </w:rPr>
        <w:t>ОБМ-50 была разработана ОКБ-172 в трёх вариантах, все они имели одинаковую начальную скорость — 1000 м/с. Первый вариант пушки (в документах проходит как «вариант А»), имел длину ствола 8566 мм (70,2 калибра) и наибольшее давление 2670 кг/см2. По конструкции данная версия максимально приближалась к 122-мм пушке А-19. 28 октября в дополнение к нему было представлено ещё два варианта ОБМ-50, которые указываются в документах как «вариант I и II». Вариант I отличался укорочением ствола до 8390 мм (68,7 калибров), при этом длина каморы увеличилась до 990 мм. Длина ствола варианта II уменьшилась до 7430 мм (60,9 калибров), длина каморы также стала 990 мм, максимальное давление выросло до 3000 кг/см2. Увеличение давления потребовало спроектировать новую казённую часть, которая получила клиновой затвор (17716).</w:t>
      </w:r>
    </w:p>
    <w:p w14:paraId="0A191C8E" w14:textId="77777777" w:rsidR="003C3A22" w:rsidRPr="00271E51" w:rsidRDefault="003C3A22" w:rsidP="00271E51">
      <w:pPr>
        <w:spacing w:after="0" w:line="240" w:lineRule="auto"/>
        <w:jc w:val="both"/>
        <w:rPr>
          <w:rFonts w:ascii="Times New Roman" w:eastAsia="Times New Roman" w:hAnsi="Times New Roman"/>
          <w:color w:val="000000" w:themeColor="text1"/>
          <w:sz w:val="16"/>
          <w:szCs w:val="16"/>
          <w:lang w:eastAsia="ru-RU"/>
        </w:rPr>
      </w:pPr>
    </w:p>
    <w:p w14:paraId="0069211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4236 Об обеспечении промышленных предприятий Наркомздрава СССР химическим сырьем в IV квартале 1943 г. (7142, 44-45,46-49).</w:t>
      </w:r>
    </w:p>
    <w:p w14:paraId="5C266CD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9F12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4237 Об освобождении т. Антошенко И.И. от обязанностей уполномоченного ГОКО по обеспечению поставки дров заводам № 71, 74, 524 и 622 Наркомвооружения и о назначении т. Антонова М.П. уполномоченным ГОКО по обеспечению поставки дров указанным заводам Наркомвооружения. (7142, 50).</w:t>
      </w:r>
    </w:p>
    <w:p w14:paraId="69167D1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C93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4238 О мероприятиях по организации новых и увеличению существующих мощностей снаряжательных мастерских, ремонтных заводов и баз Главного артиллерийского управления Красной Армии.РГАНИР, Фонд ГКО, д. 156, лл. 51-53, 54-61 (11012).</w:t>
      </w:r>
    </w:p>
    <w:p w14:paraId="291F61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4F3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4239 О мобилизации 4,2 тыс. женщин и 2 тыс. военнообязанных мужчин, не пригодных к службе в КА, для работы на артиллерийских базах и складах.РГАНИР, Фонд ГКО, д. 156, лл. 62, 63 (11012).</w:t>
      </w:r>
    </w:p>
    <w:p w14:paraId="7159CE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C33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4240 О мобилизации в Таджикистане 1 тыс. чел. для работы на шахтах треста "Киргизуголь".РГАНИР, Фонд ГКО, д. 156, лл. 64 (11012).</w:t>
      </w:r>
    </w:p>
    <w:p w14:paraId="75381F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1410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4241 [О закреплении как вольнонаемных 700 чел., подлежащих призыву в КА, на Норильском комбинате НКВД и досрочном освобождении с передачей в КА 700 заключенных других лагерей.] (7142, 65).</w:t>
      </w:r>
    </w:p>
    <w:p w14:paraId="01F8028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84F6B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4242 [О включении автомашин, передаваемых Свердловским горисполкомом Авторазгрузжелдору, в план сдачи машин для КА.] (7142, 66).</w:t>
      </w:r>
    </w:p>
    <w:p w14:paraId="61F99AE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B796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4243 О поставке НКМП РСФСР заводу "Красный пролетарий" НКСС 20 товарных весов.РГАНИР, Фонд ГКО, д. 156, лл. 67 (11012).</w:t>
      </w:r>
    </w:p>
    <w:p w14:paraId="011F75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504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октября 1943 вышло Распоряжение ГКО № 4244 О выделении НКсвязи 2 тыс. чел., ограниченно годных к службе в КА, для восстановления связи на освобожденной </w:t>
      </w:r>
      <w:r w:rsidRPr="00271E51">
        <w:rPr>
          <w:rFonts w:ascii="Times New Roman" w:hAnsi="Times New Roman"/>
          <w:color w:val="000000" w:themeColor="text1"/>
          <w:sz w:val="16"/>
          <w:szCs w:val="16"/>
        </w:rPr>
        <w:lastRenderedPageBreak/>
        <w:t>территории.РГАНИР, Фонд ГКО, д. 156, лл. 68 (11012).</w:t>
      </w:r>
    </w:p>
    <w:p w14:paraId="22DAA1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EB07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4245 [О перенесении на 1944 г. срока строительства узкоколейной железной дороги на участке Бек-Бен - р.Эмба и о переводе из Гурьева в Орск строительного управления № 14 треста "Центрспецстрой".] (7142, 69).</w:t>
      </w:r>
    </w:p>
    <w:p w14:paraId="0975993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83C7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4246. О выделении 300 военнообязанных, не годных к службе в войсковых частях, из САВО для треста "Аралсульфат" НКМП Казахской ССР.РГАНИР, Фонд ГКО, д. 156, лл. 70 (11012).</w:t>
      </w:r>
    </w:p>
    <w:p w14:paraId="7D8638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11F0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4248 [О мобилизации в Узбекской ССР 500 военнообязанных, не пригодных к службе в КА, на строительство Средазнефтестроя НКНП.] (7142, 72).</w:t>
      </w:r>
    </w:p>
    <w:p w14:paraId="0EAFC3A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0D5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4249. О постройке ферментационного завода НКПП СССР во Фрунзе к 15 февраля 1944г.РГАНИР, Фонд ГКО, д. 156, лл. 73 (11012).</w:t>
      </w:r>
    </w:p>
    <w:p w14:paraId="3D4AAD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727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4250. Об использовании оборудования нефтеперерабатывающих заводов, вывезенного из Грозного.РГАНИР, Фонд ГКО, д. 156, лл. 74 (11012).</w:t>
      </w:r>
    </w:p>
    <w:p w14:paraId="62D60E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B51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4251. Об изготовлении для ГБТУ КА силами НКАП и полигонных испытаниях опытных образцов дистанционных тахометров.РГАНИР, Фонд ГКО, д. 156, лл. 75 (11012).</w:t>
      </w:r>
    </w:p>
    <w:p w14:paraId="6C8040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7EC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4252. О плане производства и ремонта боевых установок М-13 и М-8 в IV квартале 1943 года.РГАНИР, Фонд ГКО, д. 156, лл. 76-80, 81-101 (11012).</w:t>
      </w:r>
    </w:p>
    <w:p w14:paraId="5552C9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7C32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4253 О плане ремонта вооружения для Красной Армии на IV квартал 1943 года. (7142, 102-104,105-158).</w:t>
      </w:r>
    </w:p>
    <w:p w14:paraId="7EA6D0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9280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4254 О содержании в осенне-зимний период 1943/44 года шоссейно-грунтовых дорог, имеющих военное значение. (7142, 159-161,162-168).</w:t>
      </w:r>
    </w:p>
    <w:p w14:paraId="6EA1352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805A1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4255 О подготовке кадров массовых профессий для судов и предприятий Наркомморфлота СССР. (7142, 169-174,175-178).</w:t>
      </w:r>
    </w:p>
    <w:p w14:paraId="0C0C8D8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9D585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Постановление ГКО № 4256 Об общем плане перевозок народнохозяйственных и воинских грузов по железнодорожному и водному транспорту на октябрь 1943 года. (7142, 179).</w:t>
      </w:r>
    </w:p>
    <w:p w14:paraId="2752F09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411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4257. О включении в стоимость оборудования затрат по его ремонту и изготовлению нового технологического оборудования, производимым на площадке Челябметаллургстроя.РГАНИР, Фонд ГКО, д. 156, лл. 180 (11012).</w:t>
      </w:r>
    </w:p>
    <w:p w14:paraId="4F84A8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2EE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вышло Распоряжение ГКО № 4258. Об обеспечении импортным оборудованием начала восстановительных работ на предприятиях Наркомчермета Донбасса.РГАНИР, Фонд ГКО, д. 156, лл. 181, 182-184 (11012).</w:t>
      </w:r>
    </w:p>
    <w:p w14:paraId="35B192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A89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г. на</w:t>
      </w:r>
      <w:r w:rsidRPr="00271E51">
        <w:rPr>
          <w:rFonts w:ascii="Times New Roman" w:hAnsi="Times New Roman"/>
          <w:color w:val="000000" w:themeColor="text1"/>
          <w:sz w:val="16"/>
          <w:szCs w:val="16"/>
        </w:rPr>
        <w:softHyphen/>
        <w:t>чались швартовые испытания нового тральщика, а через месяц Т-351 бьы принят после завершения государственных испытаний комиссией вице-адмира</w:t>
      </w:r>
      <w:r w:rsidRPr="00271E51">
        <w:rPr>
          <w:rFonts w:ascii="Times New Roman" w:hAnsi="Times New Roman"/>
          <w:color w:val="000000" w:themeColor="text1"/>
          <w:sz w:val="16"/>
          <w:szCs w:val="16"/>
        </w:rPr>
        <w:softHyphen/>
        <w:t>ла Ю. Ф. Ралля и в январе 1944 г. включен в состав Балтийского флота. Корабль в целом удовлетворял требованиям моряков и соот</w:t>
      </w:r>
      <w:r w:rsidRPr="00271E51">
        <w:rPr>
          <w:rFonts w:ascii="Times New Roman" w:hAnsi="Times New Roman"/>
          <w:color w:val="000000" w:themeColor="text1"/>
          <w:sz w:val="16"/>
          <w:szCs w:val="16"/>
        </w:rPr>
        <w:softHyphen/>
        <w:t>ветствовал проекту, хотя оказался несколько перегруженным. Ко</w:t>
      </w:r>
      <w:r w:rsidRPr="00271E51">
        <w:rPr>
          <w:rFonts w:ascii="Times New Roman" w:hAnsi="Times New Roman"/>
          <w:color w:val="000000" w:themeColor="text1"/>
          <w:sz w:val="16"/>
          <w:szCs w:val="16"/>
        </w:rPr>
        <w:softHyphen/>
        <w:t>миссия признала необходимым установить камбузную плиту, электрическую тральную лебедку, удлинить на 30 см дымовую тру</w:t>
      </w:r>
      <w:r w:rsidRPr="00271E51">
        <w:rPr>
          <w:rFonts w:ascii="Times New Roman" w:hAnsi="Times New Roman"/>
          <w:color w:val="000000" w:themeColor="text1"/>
          <w:sz w:val="16"/>
          <w:szCs w:val="16"/>
        </w:rPr>
        <w:softHyphen/>
        <w:t>бу и увеличить ее наклон (3898).</w:t>
      </w:r>
    </w:p>
    <w:p w14:paraId="444CC1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8D8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Закончена модернизация линкора "Октябрьская революция". Начаты швартовные испытания головного стотонника балтийцев (10671).</w:t>
      </w:r>
    </w:p>
    <w:p w14:paraId="0148F9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AD34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F78DE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DD72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5 октября </w:t>
      </w:r>
      <w:r w:rsidRPr="00271E51">
        <w:rPr>
          <w:rFonts w:ascii="Times New Roman" w:hAnsi="Times New Roman"/>
          <w:color w:val="000000" w:themeColor="text1"/>
          <w:sz w:val="16"/>
          <w:szCs w:val="16"/>
        </w:rPr>
        <w:t>в 1943 году оперативная сводка Совинформбюро:</w:t>
      </w:r>
    </w:p>
    <w:p w14:paraId="7732F10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октября на фронте серьёзных изменений не произошло.</w:t>
      </w:r>
    </w:p>
    <w:p w14:paraId="7855132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октября наши войска на всех фронтах подбили и уничтожили 16 немецких танков. В воздушных боях и огнём зенитной артиллерии сбито 59 самолётов противника.</w:t>
      </w:r>
    </w:p>
    <w:p w14:paraId="72CD6E6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 одном участке, немецкая пехота, при поддержке танков и штурмовой авиации, четыре раза переходила в контратаки. Наши части отбили контратаки противника, уничтожили до 500 немецких солдат и офицеров и заняли несколько населённых пунктов. На другом участке части Н-ского соединения продвинулись вперёд и уничтожили свыше 200 гитлеровцев. Захвачены трофеи, в числе которых 8 орудий, 38 пулемётов, 2 склада с боеприпасами и военно-техническим имуществом.</w:t>
      </w:r>
    </w:p>
    <w:p w14:paraId="4E114327"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части Н-ского соединения за последние дни значительно улучшили свои позиции. В результате этих боёв уничтожено до 800 немецких солдат и офицеров. Захвачено 12 орудий, 6 миномётов, 49 пулемётов и склад боеприпасов. Взяты пленные. В другом районе наши бойцы проникли в тыл противника и внезапной атакой разгромили две роты гитлеровцев.</w:t>
      </w:r>
    </w:p>
    <w:p w14:paraId="074A1201"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21 немецкий самолёт.</w:t>
      </w:r>
    </w:p>
    <w:p w14:paraId="3FA153E1"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Могилёвском направлении одно из подразделений 277 Рославльской стрелковой дивизии было атаковано автоматчиками и пятью танками противника. Советские бойцы встретили врага огнём из всех видов оружия. Бронебойщик красноармеец тов. Баранов вывел из строя три немецких танка. Уцелевшие два танка противника быстро скрылись. Немецкие автоматчики, оставшись без прикрытия танков, понесли большие потери. На другом участке наши подразделения выбили немцев из сильно укреплённого пункта. На поле боя осталось 300 вражеских трупов. Захвачена артиллерийская батарея и склад с боеприпасами.</w:t>
      </w:r>
    </w:p>
    <w:p w14:paraId="2B1BBC53"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потоплены в Балтийском море два немецких транспорта общим водоизмещением в 13.000 тонн.</w:t>
      </w:r>
    </w:p>
    <w:p w14:paraId="621490F8"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Черноморского флота совершила налёт на порт противника. Потоплен стоявший на рейде транспорт водоизмещением в 1.500 тонн. В порту вызваны сильные взрывы и пожары. Потоплены также две десантных баржи и буксирный катер с пехотой противника.</w:t>
      </w:r>
    </w:p>
    <w:p w14:paraId="4A0A6B9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Полесской области, пустил под откос немецкий эшелон с танками и автомашинами. К месту крушения немцы выслали контрольно-восстановительный поезд для очистки и ремонта пути. Этот поезд также наскочил на мины и взорвался. Разбиты паровоз и 7 платформ со специальным оборудованием.</w:t>
      </w:r>
    </w:p>
    <w:p w14:paraId="0CCF20A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4 роты 747 полка 707 немецкой дивизии обер-лейтенант Ганс Майер рассказал: «За две недели наш полк понёс большие потери. Моя рота потеряла убитыми и ранеными 70 человек и теперь насчитывает всего лишь 20 солдат. Полк лишился почти всех транспортных средств. Солдаты нашей дивизии раньше несли охранную службу и в боях не участвовали. В связи с огромными потерями, командование ввело в дело и 707 дивизию. Не только солдаты, но и многие офицеры утратили веру в победу Германии. Недавно один капитан в узком кругу заявил, что тактика немецкого командования напоминает ему поведение утопающего, хватающегося за соломинку. Присутствовавший при разговоре старший офицер возразил: «Это вы уже слишком. Мы ещё не тонем, а только изредка захлёбываемся». На это капитан ответил: «Всегда так бывает: сначала захлёбываются, а потом идут ко дну».</w:t>
      </w:r>
    </w:p>
    <w:p w14:paraId="01239BF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Жители села Ольшана, Черниговской области, освобождённого от немецко-фашистских захватчиков, рассказали: «Восьмого сентября недалеко от нашего села неизвестно кем был убит немецкий солдат. В тот же день гитлеровцы устроили облаву. Фашистские мерзавцы хватали детей, женщин и стариков в домах, на улице, на огородах и в поле. Свыше 120 жителей Ольшаны и соседних сёл были арестованы. На следующий день немцы погнали всех заключённых к урочищу «Ярок». Здесь фашистские изверги заставили арестованных выкопать могилы, подводили их к ямам и расстреливали из пистолетов в затылок. Многих женщин и детей гитлеровские </w:t>
      </w:r>
      <w:r w:rsidRPr="00271E51">
        <w:rPr>
          <w:rFonts w:ascii="Times New Roman" w:hAnsi="Times New Roman"/>
          <w:color w:val="000000" w:themeColor="text1"/>
          <w:sz w:val="16"/>
          <w:szCs w:val="16"/>
        </w:rPr>
        <w:lastRenderedPageBreak/>
        <w:t>людоеды заставили ложиться в ямы на окровавленные трупы, а затем стреляли в лежачих. Фашистские мерзавцы убивали не только женщин, но и малолетних детей. Среди расстрелянных: Ганна Ролик — 10 лет, её сестра Евдокия — 5 лет, ГалинаКуценко — 9 лет, Меланья Шевела — 45 лет и её дочь Елена — 13 лет, Ульяна Бурячок — 60 лет и её дочь Александра — 17 лет, Иван Черниченко — 13 лет, Надежда Криворучко — 14 лет и другие» (14790).</w:t>
      </w:r>
    </w:p>
    <w:p w14:paraId="4E239757"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4671D66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5 октября </w:t>
      </w:r>
      <w:r w:rsidRPr="00271E51">
        <w:rPr>
          <w:rFonts w:ascii="Times New Roman" w:hAnsi="Times New Roman"/>
          <w:color w:val="000000" w:themeColor="text1"/>
          <w:sz w:val="16"/>
          <w:szCs w:val="16"/>
        </w:rPr>
        <w:t>в 1943 году войска правого крыла Калининского фронта (3-я и 4-я ударные армии при поддержке 3-й воздушной армии; с рубежа западнее Жигар, южнее Невеля) под командованием генерала армии А.И.Еременко, начали Невельскую наступательную операцию, продолжавшаяся до 10 октября, в ходе которой была частично освобождена от немецко-фашистских войск территория Витебской области (14790).</w:t>
      </w:r>
    </w:p>
    <w:p w14:paraId="183BCF2B"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4987679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5 октября </w:t>
      </w:r>
      <w:r w:rsidRPr="00271E51">
        <w:rPr>
          <w:rFonts w:ascii="Times New Roman" w:hAnsi="Times New Roman"/>
          <w:color w:val="000000" w:themeColor="text1"/>
          <w:sz w:val="16"/>
          <w:szCs w:val="16"/>
        </w:rPr>
        <w:t>в 1943 году "Черный день" Черноморского флота. В ночь на 6 октября 1943 года лидер "Харьков", эсминцы "Беспощадный" и "Способный" во взаимодействии с торпедными катерами и самолетами ВВС флота должны были произвести внезапный набег на морские коммуникации у южного побережья Крыма, в портах Феодосия и Ялта уничтожить плавсредства противника. Однако соединение было обнаружено сначала авиаразведкой немцев, потом радиолокационными станциями и службой радиоперехвата. В результате от обстрела Евпатории пришлось отказатся, а обстрелу Ялты помешал огонь береговых батарей и угроза атаки торпедных катеров противника. Во время отхода корабли попали под несколько массированных налетов Люфтваффе, которые (несмотря на попытки противодействия советских истребителей и плотный зенитный огонь кораблей) закончились потоплением лидера и обоих эсминцев. Погибло 780 человек из состава их экипажей, спасено 123. Зенитным огнем и действиями истребителей прикрытия сбито 14 бомбардировщиков, 2 истребителя противника. После гибели лидера «Харьков» и двух эсминцев ставка ВГК запретила командованию ВМФ без специального разрешения привлекать крупные надводные корабли к действиям вдали от своих баз. За неудовлетворительное проведение этой набеговой операции Л.А.Владимирский постановлением ГКО был отстранен от должности командующего флотом, понижен в воинском звании до контр-адмирала и назначен командующим эскадрой кораблей КБФ (14790).</w:t>
      </w:r>
    </w:p>
    <w:p w14:paraId="6A9E8DFB"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5FB9CC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г. согласно распоряжения командующего штурмовой авиацией № 11125/43 все эскадры пикировщиков StGl, StG2, StG3 и StG77 были переименованы, соответственно, в SG1, SG2, SG3 и SG77, a L/StG5 - в I./SG5. 1-я и 2-я эскадры непосредственной поддержки войск Sch.Gl и Sch.G2, а также 10-я эскадра скоростных бомбардировщиков SKG10 расформировались, и на их основе формировались две новые штурмовые эскадры SG4 и SG10. Все отдельные противотанковые эскадрильи на Hsl29B были сведены в одну 4-ю противотанковую группу 9-й штурмовой эскадры -IVЛPz.”)/SG9.</w:t>
      </w:r>
    </w:p>
    <w:p w14:paraId="75F556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состава SG2 была выведена и затем расформирована 2-я группа, которая понесла перед этим большие потери. На ее основе были сформированы противотанковые эскадрильи lO.(Pz)/ SG3 и 10.(Pz)/SG77, вооруженные Ju87G. Взамен в состав SG2 была введена 2-я группа из Sch.Gl на Fwl90F и Hsl23A.</w:t>
      </w:r>
    </w:p>
    <w:p w14:paraId="5FF36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переформированием началось перевооружение эскадр штурмовыми вариантами Fwl90F и переучивание пилотов на новую машину (9084).</w:t>
      </w:r>
    </w:p>
    <w:p w14:paraId="1908F9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9126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1F3C5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5B4B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5 октября 1943 вышло Распоряжение ГКО № 4247 [О мерах по оборудованию военно-санитарных поездов для узкоколейных железных дорог Харанхор - Досатуй и Баин-Тумен - Сухэ-Батор.] </w:t>
      </w:r>
      <w:r w:rsidRPr="00271E51">
        <w:rPr>
          <w:rFonts w:ascii="Times New Roman" w:hAnsi="Times New Roman"/>
          <w:color w:val="000000" w:themeColor="text1"/>
          <w:sz w:val="16"/>
          <w:szCs w:val="16"/>
          <w:lang w:val="en-US"/>
        </w:rPr>
        <w:t>(7142, 71).</w:t>
      </w:r>
    </w:p>
    <w:p w14:paraId="6A52360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EEFA62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7AC6DA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058BF25"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lang w:val="en-US"/>
        </w:rPr>
        <w:t xml:space="preserve">5-6 </w:t>
      </w:r>
      <w:r w:rsidRPr="00271E51">
        <w:rPr>
          <w:rFonts w:ascii="Times New Roman" w:hAnsi="Times New Roman"/>
          <w:color w:val="0070C0"/>
          <w:sz w:val="16"/>
          <w:szCs w:val="16"/>
        </w:rPr>
        <w:t>октября</w:t>
      </w:r>
      <w:r w:rsidRPr="00271E51">
        <w:rPr>
          <w:rFonts w:ascii="Times New Roman" w:hAnsi="Times New Roman"/>
          <w:color w:val="0070C0"/>
          <w:sz w:val="16"/>
          <w:szCs w:val="16"/>
          <w:lang w:val="en-US"/>
        </w:rPr>
        <w:t xml:space="preserve"> 1943 The Fast Task Force Carrier, </w:t>
      </w:r>
      <w:r w:rsidRPr="00271E51">
        <w:rPr>
          <w:rFonts w:ascii="Times New Roman" w:hAnsi="Times New Roman"/>
          <w:color w:val="0070C0"/>
          <w:sz w:val="16"/>
          <w:szCs w:val="16"/>
        </w:rPr>
        <w:t>Тихоокеанский</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флот</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США</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наносит</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удары</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по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Уэйк</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Самолеты американских быстрых носителей - трех носителей флота и трех легких носителей - совершили шесть ударов в общей сложности 738 самолето-вылетов, уничтожив 22 из 34 японских самолетов на острове в обмен на потерю 12 американских самолетов, потерянных в бою и 14 по другим причинам (20376).</w:t>
      </w:r>
    </w:p>
    <w:p w14:paraId="67A9AA15" w14:textId="77777777" w:rsidR="003608FA" w:rsidRPr="00271E51" w:rsidRDefault="003608FA" w:rsidP="00271E51">
      <w:pPr>
        <w:spacing w:after="0" w:line="240" w:lineRule="auto"/>
        <w:jc w:val="both"/>
        <w:rPr>
          <w:rFonts w:ascii="Times New Roman" w:hAnsi="Times New Roman"/>
          <w:color w:val="0070C0"/>
          <w:sz w:val="16"/>
          <w:szCs w:val="16"/>
        </w:rPr>
      </w:pPr>
    </w:p>
    <w:p w14:paraId="72EED7F2"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5-11 ноября1943 в результате авианалётов на Рабаул американская авиация вывела из строя 7 японских крейсеров.Авианосцы оперативного соединения TF 38 – «Саратога» и «Принстон» направились к Новой Британии на Рабаул под прикрытием погодного фронта и подняли в воздух 97 самолётов. Несмотря на то, что в ходе этого рейда не был потоплен ни один корабль, шесть крейсеров (в том числе четыре тяжёлые) получили повреждения: «Атаго», «Мая», «Могами», «Такао», «Тикума», «Агано». Пятая воздушная армия через час после самолётов авианосцев совершила рейд 27 тяжёлыми бомбардировщиками «B-24 Liberator» под эскортом 58 P-38.</w:t>
      </w:r>
    </w:p>
    <w:p w14:paraId="4FDF51DA"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Ещё одно авианосное оперативное соединение Пятого флота США - TF 50. 3 было отправлено 7 ноября. «Агано, который остался в Рабауле после налёта 5 ноября, был торпедирован во время этих атак и получил тяжёлые повреждения. Японцы подняли в воздух несколько волн самолётов общим числом 120 в контратаку на американские авианосцы, но они были перехвачены, при этом 35 самолётов было сбито, а корабли не пострадали (22312).</w:t>
      </w:r>
    </w:p>
    <w:p w14:paraId="45540A9C" w14:textId="77777777" w:rsidR="003608FA" w:rsidRPr="00271E51" w:rsidRDefault="003608FA" w:rsidP="00271E51">
      <w:pPr>
        <w:spacing w:after="0" w:line="240" w:lineRule="auto"/>
        <w:jc w:val="both"/>
        <w:rPr>
          <w:rFonts w:ascii="Times New Roman" w:hAnsi="Times New Roman"/>
          <w:color w:val="0070C0"/>
          <w:sz w:val="16"/>
          <w:szCs w:val="16"/>
        </w:rPr>
      </w:pPr>
    </w:p>
    <w:p w14:paraId="4427EA86" w14:textId="77777777" w:rsidR="003608FA" w:rsidRPr="00271E51" w:rsidRDefault="003608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5-6 октября 1943 впервые подводная лодка ВМС США была назначена для поддержки рейда, выполняя обязанности «спасателя» для авиаторов, сбитых в море во время удара; USS Skate спасает четырех летчиков. «Спасатели» в виде подводных лодок станут стандартной чертой американских авианосных групп за пределами досягаемости поисково-спасательной авиации союзников (20376).</w:t>
      </w:r>
    </w:p>
    <w:p w14:paraId="4A5CE714" w14:textId="77777777" w:rsidR="003608FA" w:rsidRPr="00271E51" w:rsidRDefault="003608FA" w:rsidP="00271E51">
      <w:pPr>
        <w:spacing w:after="0" w:line="240" w:lineRule="auto"/>
        <w:jc w:val="both"/>
        <w:rPr>
          <w:rFonts w:ascii="Times New Roman" w:hAnsi="Times New Roman"/>
          <w:color w:val="0070C0"/>
          <w:sz w:val="16"/>
          <w:szCs w:val="16"/>
        </w:rPr>
      </w:pPr>
    </w:p>
    <w:p w14:paraId="39CA64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5, 1943: German troops complete the evacuation of the island of Corsica (3819).</w:t>
      </w:r>
    </w:p>
    <w:p w14:paraId="24818C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0785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октября 1943 немецкие части оставили Корсику (3819).</w:t>
      </w:r>
    </w:p>
    <w:p w14:paraId="50A814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C430C"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5 октября </w:t>
      </w:r>
      <w:r w:rsidRPr="00271E51">
        <w:rPr>
          <w:rFonts w:ascii="Times New Roman" w:hAnsi="Times New Roman"/>
          <w:color w:val="000000" w:themeColor="text1"/>
          <w:sz w:val="16"/>
          <w:szCs w:val="16"/>
        </w:rPr>
        <w:t>в 1943 году морской бой у острова Велла Лавелла между японскими и американскими миноносцами; потоплено по 1 эсминцу с каждой стороны, торпедированы 2 американских миноносца (14790).</w:t>
      </w:r>
    </w:p>
    <w:p w14:paraId="4C15060A"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5D958FF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5 октября </w:t>
      </w:r>
      <w:r w:rsidRPr="00271E51">
        <w:rPr>
          <w:rFonts w:ascii="Times New Roman" w:hAnsi="Times New Roman"/>
          <w:color w:val="000000" w:themeColor="text1"/>
          <w:sz w:val="16"/>
          <w:szCs w:val="16"/>
        </w:rPr>
        <w:t>в 1943 году президент США Рузвельт в послании Конгрессу заявил, что правительство рассматривает Филиппины как независимую страну (14790).</w:t>
      </w:r>
    </w:p>
    <w:p w14:paraId="4DBFD004"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529BFD8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559CF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88A8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в НИИ ВВС закончились гос. испытания эталонного самолета Ил-2 с мотором АМ-38Ф (N 4591282) и винтом АВ-5Л-158" (самолет N 302804 производства 30 завода сентября 1943), которые проходили с 20 сентября 1943. 7 сентября 1943 машина прибыла на гос. испытания в НИИ ВВС. С 8 по 20 не испытывался по причине отсутствия бензина. Ви и-м В.С.Холопов, вл и-м А.В.Синельников. Выполнили 22 полета с общим налетом 11:45. Цель испытаний:</w:t>
      </w:r>
    </w:p>
    <w:p w14:paraId="12A8C4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Определить ЛТД самолета</w:t>
      </w:r>
    </w:p>
    <w:p w14:paraId="6F8564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Проверить стрелково-пушечное и бомбардировочное вооружение</w:t>
      </w:r>
    </w:p>
    <w:p w14:paraId="6B6DF5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Оценить работу ВМГ и спец. оборудования</w:t>
      </w:r>
    </w:p>
    <w:p w14:paraId="74757E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Оценить производственное выполнение.</w:t>
      </w:r>
    </w:p>
    <w:p w14:paraId="5A8C7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была доработана, в т.ч. большой патронный люк заменили на два малых, добавили дренажные отверстия в крыле, увеличили мачту антенны с 350 мм до 800 мм. Пушки - 37 мм</w:t>
      </w:r>
    </w:p>
    <w:p w14:paraId="595B49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- 392, на границе высотности - 416 км/час.</w:t>
      </w:r>
    </w:p>
    <w:p w14:paraId="1E3291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Машину рекомендовали в качестве эталона завода 30 (1863).</w:t>
      </w:r>
    </w:p>
    <w:p w14:paraId="150AA1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5E3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мл. л. Самородов 1 ШАК в ходе применения Ил-2 с 37 мм пушками ОКБ-16 11П в боевых условиях короткой очередью из 37 мм пушки поразил гусеницу немецкого танка, последний развернулся и прекратил движение (1780,45).</w:t>
      </w:r>
    </w:p>
    <w:p w14:paraId="354B7C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985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 по 15 октября 1943 л А.Г.Прошаков, и Г.А.Седов и м Л.В.Николаев проводили гос. испытания Як-1М (198,54).</w:t>
      </w:r>
    </w:p>
    <w:p w14:paraId="1E829A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81316" w14:textId="77777777" w:rsidR="001B0803" w:rsidRPr="00271E51" w:rsidRDefault="001B080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октября 1943 «дублер Москита» (третий летный образце Як-1М) летчик НИИ ВВС Прошаков и ведущий инженер Седов приняли на Госиспытания, а уже 23 октября Главный инженер ВВС Репин утвердил Акт по результатам испытаний. Замечания были оперативно устранены, что подтвердили дополнительные полеты летчика Кочеткова и контрольный облет, который выполнил П. М. Стефановский (22751).</w:t>
      </w:r>
    </w:p>
    <w:p w14:paraId="77E0FAF5" w14:textId="77777777" w:rsidR="001B0803" w:rsidRPr="00271E51" w:rsidRDefault="001B0803" w:rsidP="00271E51">
      <w:pPr>
        <w:spacing w:after="0" w:line="240" w:lineRule="auto"/>
        <w:jc w:val="both"/>
        <w:rPr>
          <w:rFonts w:ascii="Times New Roman" w:hAnsi="Times New Roman"/>
          <w:color w:val="0070C0"/>
          <w:sz w:val="16"/>
          <w:szCs w:val="16"/>
        </w:rPr>
      </w:pPr>
    </w:p>
    <w:p w14:paraId="137679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года Як-1М "Дублер" с форсированным мотором М-105ПФ с индивидуальными реактивными выхлопными патрубками и винтом ВИШ-105СВ-01 диаметром 3 метра передали на государственные испытания в НИИ ВВС. Ведущими по машине были инженер Г.А. Седов и летчик А.Г. Прошаков. В течение восьми дней (с 7 октября) военные испытатели выполнили 24 полета, налетав 17 часов 55 минут.</w:t>
      </w:r>
    </w:p>
    <w:p w14:paraId="4317A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 ведущего летчика-испытателя был столь восторжен, что его следует привести почти полностью:</w:t>
      </w:r>
    </w:p>
    <w:p w14:paraId="7CE1EE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расположению оборудования кабина самолета максимально приближается к стандартной, что создает большие удобства летчику. Установка автомата регулировки температуры воды освобождает внимание летчика и позволяет увеличить максимальную скорость &lt;...&gt;, особенно при низкой температуре наружного воздуха.</w:t>
      </w:r>
    </w:p>
    <w:p w14:paraId="028605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Обзор из кабины во все стороны хороший, но козырек сферической формы несколько искажает видимые через него предметы...</w:t>
      </w:r>
    </w:p>
    <w:p w14:paraId="6A7AA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рулежке самолет прост: с застопоренным хвостовым колесом устойчиво рулит, даже при сильном боковом ветре. Установка полуавтоматического стопора костыля &lt;...&gt; облегчает рулежку по сравнению с серийными самолетами "Як".</w:t>
      </w:r>
    </w:p>
    <w:p w14:paraId="7F3DC8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взлете самолет аналогичен серийным самолетам "Як", но набирает скорость и отрывается быстрее. На разбеге имеется незначительная тенденция к развороту вправо, но &lt;...&gt; легко парируется левой ногой... Траектория набора высоты круче, нежели у серийных самолетов.</w:t>
      </w:r>
    </w:p>
    <w:p w14:paraId="00486F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самолет устойчив: нагрузки на руль глубины легко снимаются триммером на всем диапазоне скоростей...</w:t>
      </w:r>
    </w:p>
    <w:p w14:paraId="75D986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Як-IM "Дублер", так же как и опытный экземпляр &lt;".&gt;, обладает превосходной горизонтальной и особенно вертикальной маневренностью; максимальная скорость значительно увеличилась по сравнению с серийными самолетами "Як".</w:t>
      </w:r>
    </w:p>
    <w:p w14:paraId="351B76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 высший пилотаж самолет выполняет энергично и легко, с небольшими нагрузками на органы управления; на вираже &lt;... &gt; устойчив. При скорости 360 - 380 км/ч время выполнения одинарного виража на высоте 1000 метров составляет 16- 17 секунд. Перекладывание из виража в вираж легкое.</w:t>
      </w:r>
    </w:p>
    <w:p w14:paraId="799E84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Техника выполнения боевого разворота такая же, как на серийных самолетах "Як", но нагрузки на рули меньше. При скорости ввода 560 км/ч с начальной высоты 1000 метров и скорости вывода самолет выполняет боевой разворот за 20 секунд и набирает &lt;...&gt; высоту 1250- 1300метров.</w:t>
      </w:r>
    </w:p>
    <w:p w14:paraId="514B9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Переворот также выполняется, как на серийных самолетах "Як". При скорости ввода 270 км/ч с начальной высоты 1500 метров самолет теряет 450 - 500 метров. Самолет выполняет фигуры высшего пилотажа в большом диапазоне скоростей. Например, петлю можно выполнять при начальной скорости от 450 до 550км/ч и набор высоты при этом составляет соответственно от 0 до 450метров.</w:t>
      </w:r>
    </w:p>
    <w:p w14:paraId="5C226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Наивыгоднейшая скорость планирования равна 220 км/ч. Траектория планирования и профиль посадки практически такие же, как у подобных самолетов "Як". На посадке самолет прост и не боится перетягивания ручки. На пробеге &lt;... &gt;устойчив, тенденции к разворотам и рысканию не имеет. Тормозить на пробеге можно несколько энергичней, чем на &lt;...&gt; Як-1, но при резком торможени и самолет имеет тенденцию к поднятию хвоста".</w:t>
      </w:r>
    </w:p>
    <w:p w14:paraId="2EE8BF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Як-1М "Дублер" облетали командир 69- го краснознаменного иап Герой Советского Союза подполковник Л.Л. Шестаков, летчики-испытатели Ю.А. Антипов, А.Г. Ку- бышкин, П.М. Стефановский и В.И. Хомяков. Все они в целом поддержали мнение ведущего летчика-испытателя. В итоге НИИ ВВС отметил заслугу ОКБ-115 в снижении веса самолета и усилении вооружения, а также в устранении большого количества дефектов, выявленных в ходе испытаний первого прототипа Як-1М. В заключение специалисты НИИ ВВС рекомендовали истребитель для запуска в серийное производство, при условии получения положительных результатов государственных испытаний мотора М-105ПФ с повышенным наддувом и пушки ША-20М.</w:t>
      </w:r>
    </w:p>
    <w:p w14:paraId="31F979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Высокие летные данные и хорошее вооружение истребителя - это очень важно, но не менее важна для пилота и устойчивая двухсторонняя связь. На Як-1М "Дублер" стояла приемо-передаюшая радиостанция РСИ-4 с двухлучевой безмачтовой антенной. Мачта антенны создавала дополнительное аэродинамическое сопротивление, снижая скорость и дальность полета. Но погоня за высокими летными характеристиками обернулась значительным снижением дальности приема до 65 км вместо 100 км и передачи не более 40 км вместо 70-80 км. Тем самым ухудшалась возможность управления самолетами в воздухе (12047).</w:t>
      </w:r>
    </w:p>
    <w:p w14:paraId="4AAF8C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FFC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 по 15 октября 1943 Як-1М дублер, выпущенный 17 сентября 1943, успешно прошел государственные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w:t>
      </w:r>
    </w:p>
    <w:p w14:paraId="53AC2F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 на основе результатов продувок Як-1М в аэродинамической трубе ЦАГИ для поиска дополнительных мер по улучшению обводов и работы устройств охлаждения в августе,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 (12048).</w:t>
      </w:r>
    </w:p>
    <w:p w14:paraId="0F9F12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7C8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Пе-2 с 2М-105ПД и гермокабиной перелетел из Казани в ЛИИ НКАП для прохождения летных испытаний и доводки ВМГ (1458,335).</w:t>
      </w:r>
    </w:p>
    <w:p w14:paraId="2DEAF4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1DE5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г. в докладе заместителя начальника отдела минометного вооружения и общего машиностроения Госплана А.Александрова председателю Госплана Н.А.Вознесенскому «Об использовании производственных площадей Воронежских заводов им.Сталина, им. Ленина и им. Коминтерна НКМВ» сообщалось в докладе, по заводу имени Сталина «из имевшихся на заводе… 39, 5 тыс. кв. м. производственных и вспомогательных площадей, после освобождения от оккупации сохранилось лишь 12,6 тыс. кв.м.». Ряд цехов был полностью разрушен и не подлежал восстановлению, некоторые сохранились и могли быть восстановлены; оборудование на заводе отсутствовало. В момент обследования имевшиеся площади были заняты под ремонт танков. Решением СНК и ЦК ВКП(б) от 18 марта 1943 г. завод им. Сталина был передан под производство сельскохозяйственных машин; на нем был намечен выпуск машин для сахарной свеклы. По решению СНК и ЦК от 1 декабря 1943 г. на заводе начали восстанавливаться и строиться механосборочный, литейный, кузнечный цехи и ряд вспомогательных объектов; на завод была также возложена задача наладить производство конных сноповязалок. Работы по ремонту танков на заводе «постепенно свертывались».</w:t>
      </w:r>
    </w:p>
    <w:p w14:paraId="27AC5AC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докладывалось по заводу им. Коминтерна, из имевшихся ранее 34,4 тыс. кв.м. площадей после оккупации сохранилось 25,2 тыс. кв. м.; 18 единиц металлорежущего и металлообрабатывающего оборудования и 400 рабочих. Постановлением ГКО от 8 августа 1943 г. восстановительно-строительные работы по этому заводу были возложены на Главвоенпромстрой. Этим же решением заводу было предложено организовать производство фугасных авиабомб ФАБ-250 и ФАБ-50 «с началом выпуска в октябре 1943 г.». Более ранним постановлением СНК (от 7 мая 1943 г.) заводу было предписано организовать производство ФАБ-50, с выпуском в мае 600 шт. и увеличением выпуска на 1 июля 1943 г. до 6 тыс. шт. в месяц.</w:t>
      </w:r>
    </w:p>
    <w:p w14:paraId="1A2402C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отмечалось в докладе о проверке исполнения постановлений СНК по заводу им. Коминтерна, «производство авиабомб заводом было освоено, однако в июле месяце конструкция изделия была изменена, и завод в течение августа и сентября перестраивал производство на выпуск изделий по новой конструкции. Освоение производства закончено, и с октября месяца завод приступил к их выпуску».</w:t>
      </w:r>
    </w:p>
    <w:p w14:paraId="728A53E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касалось завода имени Ленина в Воронеже, то «из имевшихся на заводе производственных и вспомогательных площадей разрушено полностью 11,0 тыс. кв. м.». В связи с этим Отдел Госплана пришел к выводу, что «ввиду больших разрушений восстановительные работы на этом заводе в текущем году не предполагаются: материальные средства и рабочая сила сконцентрированы на восстановлении в текущем году заводов им. Сталина и им. Коминтерна».</w:t>
      </w:r>
    </w:p>
    <w:p w14:paraId="3FC1515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часть предприятий продолжала производить боеприпасы, часть уже в ходе войны переводилась на производство «гражданской продукции», а часть не подлежала немедленному восстановлению (12291).</w:t>
      </w:r>
    </w:p>
    <w:p w14:paraId="765AEFE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9B1E3E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88017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204D0E" w14:textId="77777777" w:rsidR="003C3A22" w:rsidRPr="00271E51" w:rsidRDefault="003C3A22"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6 октября 1943 проходил второй этап государственных испытаний, который включал пробег по маршруту Челябинск-Синеглазово-Челябинск. На этот раз из 111 километров по шоссе было пройдено лишь 10, ещё 20 км танки прошли по просёлку, а остальное расстояние — по целине. На сей раз Объект 240 из-за технических проблем показал себя хуже. В целом же испытания показали, что опасения по поводу серьёзного снижения динамических характеристик были напрасными. На просёлке средняя скорость обеих машин оказалась одинаковой, а по надёжности они превосходили </w:t>
      </w:r>
      <w:hyperlink r:id="rId111" w:history="1">
        <w:r w:rsidRPr="00271E51">
          <w:rPr>
            <w:rStyle w:val="a5"/>
            <w:bCs/>
            <w:iCs/>
            <w:color w:val="000000" w:themeColor="text1"/>
            <w:sz w:val="16"/>
            <w:szCs w:val="16"/>
            <w:bdr w:val="none" w:sz="0" w:space="0" w:color="auto" w:frame="1"/>
          </w:rPr>
          <w:t>КВ-1с</w:t>
        </w:r>
      </w:hyperlink>
      <w:r w:rsidRPr="00271E51">
        <w:rPr>
          <w:color w:val="000000" w:themeColor="text1"/>
          <w:sz w:val="16"/>
          <w:szCs w:val="16"/>
        </w:rPr>
        <w:t>. Конструкторы вполне справились со своей задачей: при более мощном вооружении надёжность нового танка не снизилась, а динамические характеристики почти не ухудшились. Испытания Объекта 240 продолжились, за октябрь он преодолел 1263 километра, из которых 714 по шоссе, 468 по просёлку и 81 по целине.</w:t>
      </w:r>
    </w:p>
    <w:p w14:paraId="0338EEC7" w14:textId="77777777" w:rsidR="003C3A22" w:rsidRPr="00271E51" w:rsidRDefault="003C3A22"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Пока в Челябинске продолжались ходовые испытания, в Свердловске спешно решали возникшую проблему с дульным тормозом. Решение подсмотрели у немцев. </w:t>
      </w:r>
      <w:r w:rsidRPr="00271E51">
        <w:rPr>
          <w:color w:val="000000" w:themeColor="text1"/>
          <w:sz w:val="16"/>
          <w:szCs w:val="16"/>
        </w:rPr>
        <w:lastRenderedPageBreak/>
        <w:t>Взяв за основу дульный тормоз орудия 8.8 cm Pak 43 L/71 самоходной установки Ferdinand, советские конструкторы разработали новый дульный тормоз. Его так и назвали — «типа Фердинанд». 10 октября новый дульный тормоз установили на орудие Д-2 и провели испытания в объёме 30 выстрелов. Новый дульный тормоз оказался более надёжным. Как раз в это время Объект 240 11 октября направили на Гороховецкий артиллерийский научно-испытательный опытный полигон (АНИОП) для прохождения испытаний стрельбой. Дульный тормоз срочно был отправлен из Свердловска прямо в Мулино (17717).</w:t>
      </w:r>
    </w:p>
    <w:p w14:paraId="3A2CEFDB" w14:textId="77777777" w:rsidR="003C3A22" w:rsidRPr="00271E51" w:rsidRDefault="003C3A22" w:rsidP="00271E51">
      <w:pPr>
        <w:spacing w:after="0" w:line="240" w:lineRule="auto"/>
        <w:jc w:val="both"/>
        <w:rPr>
          <w:rFonts w:ascii="Times New Roman" w:hAnsi="Times New Roman"/>
          <w:color w:val="000000" w:themeColor="text1"/>
          <w:sz w:val="16"/>
          <w:szCs w:val="16"/>
        </w:rPr>
      </w:pPr>
    </w:p>
    <w:p w14:paraId="68FA7ACD" w14:textId="77777777" w:rsidR="001A49F1" w:rsidRPr="00271E51" w:rsidRDefault="001A49F1" w:rsidP="00271E51">
      <w:pPr>
        <w:pStyle w:val="ae"/>
        <w:spacing w:before="0" w:after="0"/>
        <w:jc w:val="both"/>
        <w:textAlignment w:val="baseline"/>
        <w:rPr>
          <w:color w:val="000000" w:themeColor="text1"/>
          <w:sz w:val="16"/>
          <w:szCs w:val="16"/>
        </w:rPr>
      </w:pPr>
      <w:r w:rsidRPr="00271E51">
        <w:rPr>
          <w:color w:val="000000" w:themeColor="text1"/>
          <w:sz w:val="16"/>
          <w:szCs w:val="16"/>
        </w:rPr>
        <w:t>6 октября 1943 года был принят протокол утверждения технической документации на КВ-85. ГБТУ КА не утвердил целый ряд чертёжных групп — установки баков, поворотного механизма башни, установки танкового переговорного устройства. Ряд групп был утверждён с замечаниями — например, системы питания двигателя, установки воздушного фильтра, корпуса, установки системы Д-5Т и курсового пулемёта, электроспуска, установки прицелов. Всего таких групп набралось 20, причём некоторые из них относились и к Объекту 237, который с ноября 1943 года должен был сменить КВ-85. Руководство ЧКЗ согласилось не со всеми изменениями, которые требовало ГБТУ КА, но конструкцию машины постепенно дорабатывали (17710).</w:t>
      </w:r>
    </w:p>
    <w:p w14:paraId="6C45FDEF" w14:textId="77777777" w:rsidR="001A49F1" w:rsidRPr="00271E51" w:rsidRDefault="001A49F1" w:rsidP="00271E51">
      <w:pPr>
        <w:spacing w:after="0" w:line="240" w:lineRule="auto"/>
        <w:jc w:val="both"/>
        <w:rPr>
          <w:rFonts w:ascii="Times New Roman" w:hAnsi="Times New Roman"/>
          <w:color w:val="000000" w:themeColor="text1"/>
          <w:sz w:val="16"/>
          <w:szCs w:val="16"/>
        </w:rPr>
      </w:pPr>
    </w:p>
    <w:p w14:paraId="542BB68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г. на Юргинском заводе был выдан первый моноблок (Б-13). Завод вступил в строй действующих. К ноябрю 1941 г. на завод «Т» у ст. Юрга была эвакуирована с завода №232 «Большевик» (б. Обуховский) часть коллектива и 35 специальных станков. Вместе с ленинградцами прибыла группа рабочих и часть оборудования двух цехов Краматорского завода им. Сталина. А затем стало прибывать оборудование Сталинградского завода № 221 «Баррикады», куда также была эвакуирована часть завода № 232. Эвакуированных размещали в наскоро построенных бараках и землянках, в соседних деревнях, отстоявших от строительной площадки порой на десять километров. Прибыл эвакуированный из Сталинграда стройтрест №25 Наркомата вооружения. Строившийся завод выполнял заказы строителей, изготовлял детали к станкам, но определенной программы не имел. За 1942 г. было освоено на строительстве лишь 17.235 тыс. рублей, что составляло 69% от выделенных капиталовложений. К выпуску продукции завод так и не приступил. Большинство цехов остались недостроенными, около половины трудящихся все еще проживали в соседних селах. На 1943 г. было выделено 45 млн. руб. капиталовложений. Постановлением ГКО от 6 февраля 1943 г. предусматривалось начать в этом году производственную деятельность завода. Но строители освоили только 41.630 рублей. Из намеченных к вводу в эксплуатацию объектов был достроен только один инструментальный цех. В недостроенных цехах из 516 станков сумели пустить лишь 214. Дисциплина па производстве была низкой. Бюро Кемеровского обкома ВКП(б) обвинило директора завода Абелева в низкой требовательности и осудило стиль его работы. Все же в орудийно-сборочном цехе № 22 был пущен первый станок «Леблонд» и снята первая стружка. В сентябре работали все три имевшихся орудийных станка.</w:t>
      </w:r>
    </w:p>
    <w:p w14:paraId="2C05564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ГКО постановлениями №5378 и №5458 определил программу развития предприятия в 1944 г. На дальнейшее его строительство выделялось 50.207 тыс. рублей. Строители освоили за год 56.642 тыс. рублей. На нем работало около трех тысяч человек, из них две трети рабочих.</w:t>
      </w:r>
    </w:p>
    <w:p w14:paraId="63CC568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который возглавил переведенный из г. Новосибирска новый директор Львов, в апреле 1944 г. получил задание освоить выпуск мощной танковой пушки Д-25 образца 1943 года. 19 июня 1944 г. на заводском полигоне прозвучал первый орудийный испытательный выстрел. В июле завод выдал первые пять пушек Д-25 калибра 122 миллиметра. Начался выпуск законченной артиллерийской продукции. За 1944 г. завод изготовил 120 пушек и выполнил план на 109%. Себестоимость одной пушки сократилась на 38%. В конце 1945 г. завершилось строительство мартеновского, а затем прессового цехов. На второе полугодие и на 1946 г. завод получил дополнительное задание освоить производство стволов двух видов (Б-24-Иц и Б-34-У). Он стал крупным предприятием, поставлявшим вооруженным силам мощные артиллерийские системы и их отдельные элементы. За январь завод выпустил 112 орудий, за февраль - 108 и за каждый последующий месяц по 100 штук. Итого за год 1220 пуше (11511).</w:t>
      </w:r>
    </w:p>
    <w:p w14:paraId="311F9C3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24B875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вышло Постановление ГКО № 4259 О плане производства и поставок медико-санитарного имущества для Красной Армии, Военно-Морского Флота и войск НКВД в IV квартале 1943 года.РГАНИР, Фонд ГКО, д. 157, лл. 1, 2-29 (11012).</w:t>
      </w:r>
    </w:p>
    <w:p w14:paraId="537008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19BA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вышло Постановление ГКО № 4260 О военных перевозках. (7143, 30).</w:t>
      </w:r>
    </w:p>
    <w:p w14:paraId="1A8DD9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E17A5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вышло Распоряжение ГКО № 4261 [О направлении 50 инженеров-строителей из инженерных войск КА на восстановление угольной промышленности Донбасса.] (7143, 31).</w:t>
      </w:r>
    </w:p>
    <w:p w14:paraId="3B1EC7C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1E5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вышло Постановление ГКО № 4262 О т.т. Крайнюкове К.В., Кулике К.П.РГАНИР, Фонд ГКО, д. 157, лл. 32 (11012).</w:t>
      </w:r>
    </w:p>
    <w:p w14:paraId="432B1D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5ADF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2C02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2D888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ОПЕРАТИВНАЯ СВОДКА Совинформбюро:</w:t>
      </w:r>
    </w:p>
    <w:p w14:paraId="0ADAFE42"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течение 6 октября на фронте серьёзных изменений не произошло. </w:t>
      </w:r>
    </w:p>
    <w:p w14:paraId="0E58D656"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течение 5 октября наши войска на всех фронтах подбили и уничтожили 16 немецких танков. В воздушных боях и огнём зенитной артиллерии сбито 59 самолётов противника. </w:t>
      </w:r>
    </w:p>
    <w:p w14:paraId="0123691A"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Витебском направлении, на одном участке, немецкая пехота, при поддержке танков и штурмовой авиации, четыре раза переходила в контратаки. Наши части отбили контратаки противника, уничтожили до 500 немецких солдат и офицеров и заняли несколько населённых пунктов. На другом участке части Н-ского соединения продвинулись вперёд и уничтожили свыше 200 гитлеровцев. Захвачены трофеи, в числе которых 8 орудий, 38 пулемётов, 2 склада с боеприпасами и военно-техническим имуществом. </w:t>
      </w:r>
    </w:p>
    <w:p w14:paraId="4683C557"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Гомельском направлении части Н-ского соединения за последние дни значительно улучшили свои позиции. В результате этих боёв уничтожено до 800 немецких солдат и офицеров. Захвачено 12 орудий, 6 миномётов, 49 пулемётов и склад боеприпасов. Взяты пленные. В другом районе наши бойцы проникли в тыл противника и внезапной атакой разгромили две роты гитлеровцев. </w:t>
      </w:r>
    </w:p>
    <w:p w14:paraId="48366B9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Наши лётчики в воздушных боях в течение дня сбили 21 немецкий самолёт. </w:t>
      </w:r>
    </w:p>
    <w:p w14:paraId="6ACAE5CF"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Могилёвском направлении одно из подразделений 277 Рославльской стрелковой дивизии было атаковано автоматчиками и пятью танками противника. Советские бойцы встретили врага огнём из всех видов оружия. Бронебойщик красноармеец тов. Баранов вывел из строя три немецких танка. Уцелевшие два танка противника быстро скрылись. Немецкие автоматчики, оставшись без прикрытия танков, понесли большие потери. На другом участке наши подразделения выбили немцев из сильно укреплённого пункта. На поле боя осталось 300 вражеских трупов. Захвачена артиллерийская батарея и склад с боеприпасами. </w:t>
      </w:r>
    </w:p>
    <w:p w14:paraId="04DF218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Авиацией Краснознамённого Балтийского флота потоплены в Балтийском море два немецких транспорта общим водоизмещением в 13.000 тонн. </w:t>
      </w:r>
    </w:p>
    <w:p w14:paraId="7F14E32B"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Авиация Черноморского флота совершила налёт на порт противника. Потоплен стоявший на рейде транспорт водоизмещением в 1.500 тонн. В порту вызваны сильные взрывы и пожары. Потоплены также две десантных баржи и буксирный катер с пехотой противника. </w:t>
      </w:r>
    </w:p>
    <w:p w14:paraId="5F5BE74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Партизанский отряд, действующий в одном из районов Полесской области, пустил под откос немецкий эшелон с танками и автомашинами. К месту крушения немцы выслали контрольно-восстановительный поезд для очистки и ремонта пути. Этот поезд также наскочил на мины и взорвался. Разбиты паровоз и 7 платформ со специальным оборудованием. </w:t>
      </w:r>
    </w:p>
    <w:p w14:paraId="63C35B30"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Пленный командир 4 роты 747 полка 707 немецкой дивизии обер-лейтенант Ганс Майер рассказал: «За две недели наш полк понёс большие потери. Моя рота потеряла убитыми и ранеными 70 человек и теперь насчитывает всего лишь 20 солдат. Полк лишился почти всех транспортных средств. Солдаты нашей дивизии раньше несли охранную службу и в боях не участвовали. В связи с огромными потерями, командование ввело в дело и 707 дивизию. Не только солдаты, но и многие офицеры утратили веру в победу Германии. Недавно один капитан в узком кругу заявил, что тактика немецкого командования напоминает ему поведение утопающего, хватающегося за соломинку. Присутствовавший при разговоре старший офицер возразил: «Это вы уже слишком. Мы ещё не тонем, а только изредка захлёбываемся». На это капитан ответил: «Всегда так бывает: сначала захлёбываются, а потом идут ко дну». </w:t>
      </w:r>
    </w:p>
    <w:p w14:paraId="588E3194" w14:textId="77777777" w:rsidR="005A27E3" w:rsidRPr="00271E51" w:rsidRDefault="005A27E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Ольшана, Черниговской области, освобождённого от немецко-фашистских захватчиков, рассказали: «Восьмого сентября недалеко от нашего села неизвестно кем был убит немецкий солдат. В тот же день гитлеровцы устроили облаву. Фашистские мерзавцы хватали детей, женщин и стариков в домах, на улице, на огородах и в поле. Свыше 120 жителей Ольшаны и соседних сёл были арестованы. На следующий день немцы погнали всех заключённых к урочищу «Ярок». Здесь фашистские изверги заставили арестованных выкопать могилы, подводили их к ямам и расстреливали из пистолетов в затылок. Многих женщин и детей гитлеровские людоеды заставили ложиться в ямы на окровавленные трупы, а затем стреляли в лежачих. Фашистские мерзавцы убивали не только женщин, но и малолетних детей. Среди расстрелянных: Ганна Ролик — 10 лет, её сестра Евдокия — 5 лет, Галина Куценко — 9 лет, Меланья Шевела — 45 лет и её дочь Елена — 13 лет, Ульяна Бурячок — 60 лет и её дочь Александра — 17 лет, Иван Черниченко — 13 лет, Надежда Криворучко — 14 лет и другие» (14791).</w:t>
      </w:r>
    </w:p>
    <w:p w14:paraId="6210DF3E" w14:textId="77777777" w:rsidR="005A27E3" w:rsidRPr="00271E51" w:rsidRDefault="005A27E3" w:rsidP="00271E51">
      <w:pPr>
        <w:spacing w:after="0" w:line="240" w:lineRule="auto"/>
        <w:jc w:val="both"/>
        <w:rPr>
          <w:rFonts w:ascii="Times New Roman" w:hAnsi="Times New Roman"/>
          <w:color w:val="000000" w:themeColor="text1"/>
          <w:sz w:val="16"/>
          <w:szCs w:val="16"/>
        </w:rPr>
      </w:pPr>
    </w:p>
    <w:p w14:paraId="3C513D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6 октября 1943 года большие потери понес Черноморский флот - немецкие пикировщики потопили три новейших эсминца "Харьков", "Беспощадный" и "Способный". Корабли вышли в поход ночью 5 октября, чтобы обстрелять порты Ялта и Феодосия. Два корректировщика ДБ-3 и Пе-2 управляли огнем. Корректировщиков прикрывали 4 истребителя, а миноносцы охраняли 8 истребителей. Около двух ночи немцы обнаружили советские корабли и уже не выпускали эсминцы из виду. В 07:00 появился очередной немецкий разведчик, который советским истребителям удалось сбить. Видя, что немецкие летчики выпрыгнули с парашютом, командир эскадры отдал бессмысленный приказ выловить немцев. В результате он потерял время и Ю-87 обнаружили эскадру. "Штуки" своего шанса не упустили, и сделав три захода отправили эсминцы на дно, несмотря на то, что их атаковали 9 советских истребителей. Советские источники приводят неправдоподобные цифры, что в ходе налета немцы потеряли 8 самолетов, сбитых зенитчиками, и 14 машин, сбитых истребителями. Это тем более неправда, что в операции с немецкой стороны участвовали только машины 7-й эскадрильи, возглавляемые капитаном Губертом Пельцем (2691).</w:t>
      </w:r>
    </w:p>
    <w:p w14:paraId="13B5A6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FF7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6 по 10 октября 1943 состоялась Невельская операция Калининского фронта для подготовки наступления в Белоруссии и Прибалтике. Продвинулись на 25-30 км (2438,443).</w:t>
      </w:r>
    </w:p>
    <w:p w14:paraId="0BB3B4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5B93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советские войска начали Невельскую наступательную операцию (4962).</w:t>
      </w:r>
    </w:p>
    <w:p w14:paraId="2A3F515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F5E3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006DB9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C6697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6 1943 Niels Bohr flees to England (1052).</w:t>
      </w:r>
    </w:p>
    <w:p w14:paraId="56DCF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1405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октября 1943 Нильс Бор вылетел в Англию (1052).</w:t>
      </w:r>
    </w:p>
    <w:p w14:paraId="561C6E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9DE4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49202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86E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октябре 1943 вышел приказ НКАП "Об организации поточных методов производства". По Ил-2 число поточных линий на первом выросло с 18 в 43 до 38 в 1945, а на 18 - с 9 до 32 + 33 по Ил-10 и в 1944 был пущен контейнер окончательной сборки (173,224). Поточные линии по Ил-2 в 1943 были на 1, 18, 30 и 39 (173,225).</w:t>
      </w:r>
    </w:p>
    <w:p w14:paraId="173EB1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788FE"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1943 на Ил-2 АМ-42 (РК) был установлен вновь полученный модифицированный мотор АМ-42, после чего началась еще одна серия полетов по программе заводских летных испытаний. Однако 10 октября испытания были вновь приостановлены. В этот день при очередном полете «было дымление мотора и в масляном фильтре обнаружено много бронзовой стружки». Также имела место сильная тряска мотора, «вначале на режимах 600–1100 оборотах в минуту, а затем появилась и на всех режимах работы мотора». Температура воды при наборе высоты на номинальном режиме выше нормы: «на входе 121 °C и на выходе 127 °C (допустимо на выходе 110 °C)». Самолет вернули на завод для переделки системы охлаждения мотора и тщательной проверки его технического состояния.</w:t>
      </w:r>
    </w:p>
    <w:p w14:paraId="7C8F66B7"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в ходе заводских летных испытаний Ил-2 АМ-42 (РК) были получены следующие данные. При полетном весе 7000 кг максимальная скорость составила 436 км/ч – на высоте 700 м, 445 км/ч – на 1300 м, 452 км/ч – на 1900 м, 454 км/ч – на 2500 м, 455 км/ч – на 2830 м и 444 км/ч – на 3430 м (17490).</w:t>
      </w:r>
    </w:p>
    <w:p w14:paraId="246470A5" w14:textId="77777777" w:rsidR="00547360" w:rsidRPr="00271E51" w:rsidRDefault="00547360" w:rsidP="00271E51">
      <w:pPr>
        <w:spacing w:after="0" w:line="240" w:lineRule="auto"/>
        <w:jc w:val="both"/>
        <w:rPr>
          <w:rFonts w:ascii="Times New Roman" w:hAnsi="Times New Roman"/>
          <w:color w:val="000000" w:themeColor="text1"/>
          <w:sz w:val="16"/>
          <w:szCs w:val="16"/>
        </w:rPr>
      </w:pPr>
    </w:p>
    <w:p w14:paraId="3C422EA7"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1943, ознакомившись с результатами испытаний Су-6 М-71ф и осознав, что военные вполне могут «дожать» наркомат в отношении постановки самолета в массовую серию, Ильюшин принимает решение превратить бронированный истребитель Ил-1 в двухместный штурмовик. Необходимо было срочно предъявить руководству машину, не уступающую бронированному «сухому» по летно-боевым качествам, но имеющую значительно лучшие перспективы по запуску в серийное производство по причине использования уже отработанной на заводах технологии и более «удобного» мотора.</w:t>
      </w:r>
    </w:p>
    <w:p w14:paraId="520485CC"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Ильюшин, несомненно, учитывал и то обстоятельство, что принятые на Су-6 компоновочные и аэродинамические решения наилучшим образом проявляются лишь при установке на самолет мотора воздушного охлаждения и не смогут обеспечить необходимое совершенство машины в аэродинамическом и весовом отношении в случае применения мотора с жидкостным охлаждением. В то же время компоновка Ил-1 и его аэродинамика, наоборот, были оптимизированы именно под мотор жидкостного охлаждения. При установке на Су-6 мотора АМ-42 без кардинальной переделки конструкции самолета его летные данные при сопоставимых полетных весах окажутся заведомо хуже, чем у Ил-1 с этим же мотором. По этой причине потенциальная возможность установки на самолет Сухого мотора АМ-42 Ильюшина особо не пугала.</w:t>
      </w:r>
    </w:p>
    <w:p w14:paraId="128DC7BE"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Будучи в прошлом чиновником с большим опытом, Ильюшин хорошо усвоил науку «аппаратного» решения вопросов и «правильной» подачи материалов «в верхах». Обладая обширными связями в аппарате НКАП, Ильюшин имел возможность получать информацию о «настроениях» и планах руководства в отношении тех или иных вопросов авиационного строительства. Как следствие, Ильюшин весьма объективно оценивал обстановку, в силу чего предпринимал вполне адекватные шаги и достигал своей цели.</w:t>
      </w:r>
    </w:p>
    <w:p w14:paraId="64347553"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 предлагает военным проект штурмовика Ил-8 с мотором М-71 (бывший БШ-М-71) и одновременно начинает зондирование в аппарате НКАП возможность постройки бронированного истребителя Ил-1 АМ-42 в варианте двухместного штурмовика с высокими летными данными и мощным вооружением.</w:t>
      </w:r>
    </w:p>
    <w:p w14:paraId="4B85DEEC"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штурмовой «единички» оценивалась в 490 км/ч у земли и 526 км/ч – на расчетной высоте 2300 м. Вертикальная скорость у земли достигала 10,8 м/с. Высоту 1000 м самолет набирал за 1,7 мин.</w:t>
      </w:r>
    </w:p>
    <w:p w14:paraId="69C5E18B"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Стрелково-пушечное вооружение предполагалось иметь в составе двух 37-мм пушек 11П и двух пушек ШВАК в крыле для стрельбы вперед и пулемета УБТ на оборонительной установке для отражения атак истребителей противника. Нормальная бомбовая нагрузка включала 200 кг (перегрузку 400 кг). Ракетное вооружение состояло из четырех орудий РО-82.</w:t>
      </w:r>
    </w:p>
    <w:p w14:paraId="676A7B38"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второму варианту вооружения вместо пушек 11П и ШВАК устанавливались две пушки ВЯ и два пулемета ШКАС. В этом случае нормальная бомбовая нагрузка возрастала до 400 кг (в перегрузку 600 кг).</w:t>
      </w:r>
    </w:p>
    <w:p w14:paraId="7B05F87E"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была серьезная заявка. Получалось так, что путем переделки Ил-1 можно было довольно быстро предъявить военным боевую машину, не уступающую Су-6 М-71ф по летно-боевым качествам и имеющую значительно лучшие перспективы по запуску в серийное производство по причине использования уже отработанной на авиазаводах технологии и более «удобного» мотора.</w:t>
      </w:r>
    </w:p>
    <w:p w14:paraId="2F1B0238"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Напомним, что мотор АМ-42 также базировался на уже освоенной технологии производства серийного мотора АМ-38ф, поскольку являлся его глубокой модификацией.</w:t>
      </w:r>
    </w:p>
    <w:p w14:paraId="3A30EF58" w14:textId="77777777" w:rsidR="00547360" w:rsidRPr="00271E51" w:rsidRDefault="0054736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ожидалось, ВВС отклонили предложение Ильюшина по самолету Ил-8 М-71, поскольку по маневренным качествам и максимальным скоростям Ил-8 М-71 уступал Су-6 М-71ф. Но идея строить штурмовой вариант Ил-1 АМ-42 руководству НКАП понравилась. Появлялась альтернатива Су-6 и возможность «отодвинуть» (а скорее «задвинуть») решение неудобного вопроса о запуске в серийное производство мотора М-71ф до проведения сравнительных испытаний опытных самолетов и выбора лучшего из них. Появлялся также дополнительный аргумент в дискуссии с ВВС: один самолет уже летает, но мотор не серийный и запуск его в производство несет определенный технический риск, а второй еще не летает, но и он сам, и мотор к нему имеют большие возможности по быстрому запуску в серию. В результате Ильюшин получил «добро» на переделку Ил-1 в штурмовой вариант с воздушным стрелком на заводе № 18, но при этом постройка одноместного бронированного истребителя с ОКБ-240 и завода № 1 не снималась (17490).</w:t>
      </w:r>
    </w:p>
    <w:p w14:paraId="025AC403" w14:textId="77777777" w:rsidR="00547360" w:rsidRPr="00271E51" w:rsidRDefault="00547360" w:rsidP="00271E51">
      <w:pPr>
        <w:spacing w:after="0" w:line="240" w:lineRule="auto"/>
        <w:jc w:val="both"/>
        <w:rPr>
          <w:rFonts w:ascii="Times New Roman" w:hAnsi="Times New Roman"/>
          <w:color w:val="000000" w:themeColor="text1"/>
          <w:sz w:val="16"/>
          <w:szCs w:val="16"/>
        </w:rPr>
      </w:pPr>
    </w:p>
    <w:p w14:paraId="6F1E4D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1943 на 5-м экз. Як-9 с увеличенным размахом крыла на один метр для повышения потолка до 12 000 м (при этом гермокабина отрабатывалась совместно с заводом № 482 (разработчиком) на Як-7 в ЛИИ) удалось подняться на 12 500 м, но длительный полет оказался невозможен из-за перегрева двигателя и падения давления масла. По Як-9 с М-106, оснащенному двухскоростным нагнетателем, работа не проводилась из-за отсутствия мотора.</w:t>
      </w:r>
    </w:p>
    <w:p w14:paraId="7896D4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сентябре-октябре 1943 года ЦИАМ передал в строевые части ПВО семь двигателей М-105ПД, запланированных на осень, включая два резервных, необходимых для постоянной эксплуатации самолетов Як-9.</w:t>
      </w:r>
    </w:p>
    <w:p w14:paraId="4D66A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выпуска истребителя с еще большей площадью крыла и потолком 13 500 м ЦИАМ обязали к 4 октября изготовить и передать на завод № 115 два мотора с высотностью 9500 м. Однако довести двигатель не удалось, и ОКБ-115 вынуждено было приостановить работы по новому крылу.</w:t>
      </w:r>
    </w:p>
    <w:p w14:paraId="7638B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году испытывался Як-9 с высотным двигателем ВК-105ПВ, оснащенным нагнетателем ЦИАМ Э100.</w:t>
      </w:r>
    </w:p>
    <w:p w14:paraId="79D62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все усилия, самолетостроители так и не смогли решить задачу создания высотного истребителя-перехватчика, причиной тому был низкий технологический уровень отечественного моторостроения и смежных отраслей промышленности (12046).</w:t>
      </w:r>
    </w:p>
    <w:p w14:paraId="27E83D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303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начале октября 1943 смог взлететь первый экз. перехватчика 301, разработанный М.Р.Бисноватом и Л.С.Душкиным в ГИРТ Костикова, но ВРД не было, а ЖРД все </w:t>
      </w:r>
      <w:r w:rsidRPr="00271E51">
        <w:rPr>
          <w:rFonts w:ascii="Times New Roman" w:hAnsi="Times New Roman"/>
          <w:color w:val="000000" w:themeColor="text1"/>
          <w:sz w:val="16"/>
          <w:szCs w:val="16"/>
        </w:rPr>
        <w:lastRenderedPageBreak/>
        <w:t>еще был в стадии доводки (2168,5).</w:t>
      </w:r>
    </w:p>
    <w:p w14:paraId="0A046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E88C2" w14:textId="77777777" w:rsidR="00D72105" w:rsidRPr="00271E51" w:rsidRDefault="00D7210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w:t>
      </w:r>
      <w:r w:rsidRPr="00271E51">
        <w:rPr>
          <w:rFonts w:ascii="Times New Roman" w:hAnsi="Times New Roman"/>
          <w:color w:val="000000" w:themeColor="text1"/>
          <w:sz w:val="16"/>
          <w:szCs w:val="16"/>
        </w:rPr>
        <w:softHyphen/>
        <w:t>тября 1943 г. Архип Михайлович Люлька вместе со своей группой перешёл в Центральный институт авиационного машиностроения, где был назначен начальником лаборатории по исследованию и разработке реактивных двигателей. К тому вре</w:t>
      </w:r>
      <w:r w:rsidRPr="00271E51">
        <w:rPr>
          <w:rFonts w:ascii="Times New Roman" w:hAnsi="Times New Roman"/>
          <w:color w:val="000000" w:themeColor="text1"/>
          <w:sz w:val="16"/>
          <w:szCs w:val="16"/>
        </w:rPr>
        <w:softHyphen/>
        <w:t>мени стало известно, что в Германии появились самолёты "Хейнкель" и "Мессершмитт" с реак</w:t>
      </w:r>
      <w:r w:rsidRPr="00271E51">
        <w:rPr>
          <w:rFonts w:ascii="Times New Roman" w:hAnsi="Times New Roman"/>
          <w:color w:val="000000" w:themeColor="text1"/>
          <w:sz w:val="16"/>
          <w:szCs w:val="16"/>
        </w:rPr>
        <w:softHyphen/>
        <w:t>тивными двигателями. Группа Люльки разработала проект турбо</w:t>
      </w:r>
      <w:r w:rsidRPr="00271E51">
        <w:rPr>
          <w:rFonts w:ascii="Times New Roman" w:hAnsi="Times New Roman"/>
          <w:color w:val="000000" w:themeColor="text1"/>
          <w:sz w:val="16"/>
          <w:szCs w:val="16"/>
        </w:rPr>
        <w:softHyphen/>
        <w:t>реактивного двигателя М-18 (модернизирован</w:t>
      </w:r>
      <w:r w:rsidRPr="00271E51">
        <w:rPr>
          <w:rFonts w:ascii="Times New Roman" w:hAnsi="Times New Roman"/>
          <w:color w:val="000000" w:themeColor="text1"/>
          <w:sz w:val="16"/>
          <w:szCs w:val="16"/>
        </w:rPr>
        <w:softHyphen/>
        <w:t>ный), обозначение которого позднее изменили на С-18 (стендовый). Основой для его разработки стали расчёты и чертежи РД-1. Параметры С-18 были увеличены примерно в 2.5 раза, шестиступенчатый компрессор заменён восьмиступенчатым, тяга возросла с 530 до 1200 кгс. На совеща</w:t>
      </w:r>
      <w:r w:rsidRPr="00271E51">
        <w:rPr>
          <w:rFonts w:ascii="Times New Roman" w:hAnsi="Times New Roman"/>
          <w:color w:val="000000" w:themeColor="text1"/>
          <w:sz w:val="16"/>
          <w:szCs w:val="16"/>
        </w:rPr>
        <w:softHyphen/>
        <w:t>нии в Министерстве авиационной промышленно</w:t>
      </w:r>
      <w:r w:rsidRPr="00271E51">
        <w:rPr>
          <w:rFonts w:ascii="Times New Roman" w:hAnsi="Times New Roman"/>
          <w:color w:val="000000" w:themeColor="text1"/>
          <w:sz w:val="16"/>
          <w:szCs w:val="16"/>
        </w:rPr>
        <w:softHyphen/>
        <w:t>сти проект утвердили и определили заводы для выполнения заказа (19701).</w:t>
      </w:r>
    </w:p>
    <w:p w14:paraId="45416061" w14:textId="77777777" w:rsidR="00D72105" w:rsidRPr="00271E51" w:rsidRDefault="00D72105" w:rsidP="00271E51">
      <w:pPr>
        <w:spacing w:after="0" w:line="240" w:lineRule="auto"/>
        <w:jc w:val="both"/>
        <w:rPr>
          <w:rFonts w:ascii="Times New Roman" w:hAnsi="Times New Roman"/>
          <w:color w:val="000000" w:themeColor="text1"/>
          <w:sz w:val="16"/>
          <w:szCs w:val="16"/>
        </w:rPr>
      </w:pPr>
    </w:p>
    <w:p w14:paraId="781B444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91725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1499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1943 г. с принятием на вооружение РККА нового тяжелого танка ИС-1 ГКО дал задание заводу № 100 создать на базе этого танка опытный образец 152,4-мм самоходной установки, а ГБТУ - к 1 ноября того же года испытать этот образец стрельбой и пробегом. Все эти работы были успешно и раньше срока завершены. В соответствии с постановлением ГКО от 4 сентября 1943 г. завод № 100 начал выпускать самоходные установки ИСУ-152 (10703).</w:t>
      </w:r>
    </w:p>
    <w:p w14:paraId="6963ED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D67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октября 1943 г. Второй экземпляр ИС-152, работы над которым шли уже под обозначением «Объект 241», ставший эталоном для изготовления серии, был закончен. Руководил работами Г.Н. Москвин, так как Н.В. Курин был занят работами по вооружению танка ИС 122-мм пушкой. По завершении заводских испытаний установка была пере</w:t>
      </w:r>
      <w:r w:rsidRPr="00271E51">
        <w:rPr>
          <w:rFonts w:ascii="Times New Roman" w:hAnsi="Times New Roman"/>
          <w:color w:val="000000" w:themeColor="text1"/>
          <w:sz w:val="16"/>
          <w:szCs w:val="16"/>
        </w:rPr>
        <w:softHyphen/>
        <w:t>дана на Гороховецкий полигон, где полностью выдержала государственные испытания, а с учетом того, что нбвый ва</w:t>
      </w:r>
      <w:r w:rsidRPr="00271E51">
        <w:rPr>
          <w:rFonts w:ascii="Times New Roman" w:hAnsi="Times New Roman"/>
          <w:color w:val="000000" w:themeColor="text1"/>
          <w:sz w:val="16"/>
          <w:szCs w:val="16"/>
        </w:rPr>
        <w:softHyphen/>
        <w:t>риант ИС-152 по цене стал сопоставим с СУ-152, то 6 нояб</w:t>
      </w:r>
      <w:r w:rsidRPr="00271E51">
        <w:rPr>
          <w:rFonts w:ascii="Times New Roman" w:hAnsi="Times New Roman"/>
          <w:color w:val="000000" w:themeColor="text1"/>
          <w:sz w:val="16"/>
          <w:szCs w:val="16"/>
        </w:rPr>
        <w:softHyphen/>
        <w:t>ря 1943 г. он принимается в валовое производство на ЧКЗ взамен предшественника, выпуск которого прекращался (11417).</w:t>
      </w:r>
    </w:p>
    <w:p w14:paraId="4C708D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EE86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октября «Объект 240» ИС со 122-мм танковой пушкой Д-25 прошел государствен</w:t>
      </w:r>
      <w:r w:rsidRPr="00271E51">
        <w:rPr>
          <w:rFonts w:ascii="Times New Roman" w:hAnsi="Times New Roman"/>
          <w:color w:val="000000" w:themeColor="text1"/>
          <w:sz w:val="16"/>
          <w:szCs w:val="16"/>
        </w:rPr>
        <w:softHyphen/>
        <w:t>ные испытания пробегом по маршруту Челябинск — Злато</w:t>
      </w:r>
      <w:r w:rsidRPr="00271E51">
        <w:rPr>
          <w:rFonts w:ascii="Times New Roman" w:hAnsi="Times New Roman"/>
          <w:color w:val="000000" w:themeColor="text1"/>
          <w:sz w:val="16"/>
          <w:szCs w:val="16"/>
        </w:rPr>
        <w:softHyphen/>
        <w:t>уст - Челябинск, а 17 октября был доставлен на Гороховецкий полигон. Здесь настало время орудия Д-25, которое за 5 дней выпустило более 470 выстрелов с места и в движе</w:t>
      </w:r>
      <w:r w:rsidRPr="00271E51">
        <w:rPr>
          <w:rFonts w:ascii="Times New Roman" w:hAnsi="Times New Roman"/>
          <w:color w:val="000000" w:themeColor="text1"/>
          <w:sz w:val="16"/>
          <w:szCs w:val="16"/>
        </w:rPr>
        <w:softHyphen/>
        <w:t>нии. Максимальная дальность стрельбы орудия составила 14660±25 м, скорострельность — 1,5 выстр./мин.</w:t>
      </w:r>
    </w:p>
    <w:p w14:paraId="1DA72E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комиссии состояли в замене дульного тормоза, замене поршневого затвора клиновым полуавтома</w:t>
      </w:r>
      <w:r w:rsidRPr="00271E51">
        <w:rPr>
          <w:rFonts w:ascii="Times New Roman" w:hAnsi="Times New Roman"/>
          <w:color w:val="000000" w:themeColor="text1"/>
          <w:sz w:val="16"/>
          <w:szCs w:val="16"/>
        </w:rPr>
        <w:softHyphen/>
        <w:t>тическим, доработке противооткатных устройств, чтобы ис</w:t>
      </w:r>
      <w:r w:rsidRPr="00271E51">
        <w:rPr>
          <w:rFonts w:ascii="Times New Roman" w:hAnsi="Times New Roman"/>
          <w:color w:val="000000" w:themeColor="text1"/>
          <w:sz w:val="16"/>
          <w:szCs w:val="16"/>
        </w:rPr>
        <w:softHyphen/>
        <w:t>ключить стук подвижных частей, увеличению боекомплекта хотя бы до 30 выстрелов, сместить расположение командира танка и наводчика влево на 30—100 мм, отработать спусковой механизм, разработать механизм облегчения заряжания.</w:t>
      </w:r>
    </w:p>
    <w:p w14:paraId="31B4B1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докладной записке Л. Берия, В. Малышева, Д. Усти</w:t>
      </w:r>
      <w:r w:rsidRPr="00271E51">
        <w:rPr>
          <w:rFonts w:ascii="Times New Roman" w:hAnsi="Times New Roman"/>
          <w:color w:val="000000" w:themeColor="text1"/>
          <w:sz w:val="16"/>
          <w:szCs w:val="16"/>
        </w:rPr>
        <w:softHyphen/>
        <w:t>нова и Я. Федоренко Верховному Главнокомандующему говорилось, что танк ИС-2 прошел государственные испы</w:t>
      </w:r>
      <w:r w:rsidRPr="00271E51">
        <w:rPr>
          <w:rFonts w:ascii="Times New Roman" w:hAnsi="Times New Roman"/>
          <w:color w:val="000000" w:themeColor="text1"/>
          <w:sz w:val="16"/>
          <w:szCs w:val="16"/>
        </w:rPr>
        <w:softHyphen/>
        <w:t>тания с 1 по 23 октября и обладает хорошей маневреннос</w:t>
      </w:r>
      <w:r w:rsidRPr="00271E51">
        <w:rPr>
          <w:rFonts w:ascii="Times New Roman" w:hAnsi="Times New Roman"/>
          <w:color w:val="000000" w:themeColor="text1"/>
          <w:sz w:val="16"/>
          <w:szCs w:val="16"/>
        </w:rPr>
        <w:softHyphen/>
        <w:t>тью, броневой защитой и самым мощным вооружением из 122-мм пушки, способен поражать тяжелые немецкие тан</w:t>
      </w:r>
      <w:r w:rsidRPr="00271E51">
        <w:rPr>
          <w:rFonts w:ascii="Times New Roman" w:hAnsi="Times New Roman"/>
          <w:color w:val="000000" w:themeColor="text1"/>
          <w:sz w:val="16"/>
          <w:szCs w:val="16"/>
        </w:rPr>
        <w:softHyphen/>
        <w:t>ки на дистанции 1500—2000 м (11135).</w:t>
      </w:r>
    </w:p>
    <w:p w14:paraId="7BFA16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D25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октября 1943 г. в ЦАКБ НКВ бы</w:t>
      </w:r>
      <w:r w:rsidRPr="00271E51">
        <w:rPr>
          <w:rFonts w:ascii="Times New Roman" w:hAnsi="Times New Roman"/>
          <w:color w:val="000000" w:themeColor="text1"/>
          <w:sz w:val="16"/>
          <w:szCs w:val="16"/>
        </w:rPr>
        <w:softHyphen/>
        <w:t>ла выполнена установка 76мм пушки С-54 в танк Т-34. В период с 14 по 19 октября опытный образец машины прошел испытания на ГАНИОПе. По результатам проведенных испытаний, комиссией было сделано за</w:t>
      </w:r>
      <w:r w:rsidRPr="00271E51">
        <w:rPr>
          <w:rFonts w:ascii="Times New Roman" w:hAnsi="Times New Roman"/>
          <w:color w:val="000000" w:themeColor="text1"/>
          <w:sz w:val="16"/>
          <w:szCs w:val="16"/>
        </w:rPr>
        <w:softHyphen/>
        <w:t>ключение о необходимости, после устранения недостатков, принятия пушки С-54 па вооружение для танка Т-34 в качестве временной меры до принятия на вооружение более мощной 85-мм танковой пушки (10703).</w:t>
      </w:r>
    </w:p>
    <w:p w14:paraId="5EAD6F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558D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27DE9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C5232"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7 октября 1943 г. был подготовлен доклада начальника НИИ АВ ВВС гене</w:t>
      </w:r>
      <w:r w:rsidRPr="00271E51">
        <w:rPr>
          <w:color w:val="000000" w:themeColor="text1"/>
          <w:sz w:val="16"/>
          <w:szCs w:val="16"/>
        </w:rPr>
        <w:softHyphen/>
        <w:t>рал-майора М. В. Гуревича глав</w:t>
      </w:r>
      <w:r w:rsidRPr="00271E51">
        <w:rPr>
          <w:color w:val="000000" w:themeColor="text1"/>
          <w:sz w:val="16"/>
          <w:szCs w:val="16"/>
        </w:rPr>
        <w:softHyphen/>
        <w:t>ному инженеру ВВС генерал-лейтенанту А. К. Репи</w:t>
      </w:r>
      <w:r w:rsidRPr="00271E51">
        <w:rPr>
          <w:color w:val="000000" w:themeColor="text1"/>
          <w:sz w:val="16"/>
          <w:szCs w:val="16"/>
        </w:rPr>
        <w:softHyphen/>
        <w:t>ну, «ОКБ завода № 240 /.../ оспаривало отрицатель</w:t>
      </w:r>
      <w:r w:rsidRPr="00271E51">
        <w:rPr>
          <w:color w:val="000000" w:themeColor="text1"/>
          <w:sz w:val="16"/>
          <w:szCs w:val="16"/>
        </w:rPr>
        <w:softHyphen/>
        <w:t>ное влияние» на работу пушек наиболее серьезных дефектов, «имевшихся в агрегатах питания (горло</w:t>
      </w:r>
      <w:r w:rsidRPr="00271E51">
        <w:rPr>
          <w:color w:val="000000" w:themeColor="text1"/>
          <w:sz w:val="16"/>
          <w:szCs w:val="16"/>
        </w:rPr>
        <w:softHyphen/>
        <w:t>вина приемного рукава)», утверждая, «что во всем виноваты звенья».</w:t>
      </w:r>
    </w:p>
    <w:p w14:paraId="436A28E6"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Генерал Гуревич обращал внимание, что еще в июне 1943 г. в ходе полигонных испытаний Ил-2 с 11П специалисты НИИ АВ указали «мероприятие, улучшающее работу левой установки (вкладыш в горловину приемного рукава), но это мероприя</w:t>
      </w:r>
      <w:r w:rsidRPr="00271E51">
        <w:rPr>
          <w:color w:val="000000" w:themeColor="text1"/>
          <w:sz w:val="16"/>
          <w:szCs w:val="16"/>
        </w:rPr>
        <w:softHyphen/>
        <w:t>тие игнорировалось ОКБ завода № 240 до сентября 1943 г.».</w:t>
      </w:r>
    </w:p>
    <w:p w14:paraId="5AAFDD24"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сентябре на испытания в НИИ ВВС был предъ</w:t>
      </w:r>
      <w:r w:rsidRPr="00271E51">
        <w:rPr>
          <w:color w:val="000000" w:themeColor="text1"/>
          <w:sz w:val="16"/>
          <w:szCs w:val="16"/>
        </w:rPr>
        <w:softHyphen/>
        <w:t>явлен серийный самолет Ил-2 зав. № 302635 с вкла</w:t>
      </w:r>
      <w:r w:rsidRPr="00271E51">
        <w:rPr>
          <w:color w:val="000000" w:themeColor="text1"/>
          <w:sz w:val="16"/>
          <w:szCs w:val="16"/>
        </w:rPr>
        <w:softHyphen/>
        <w:t>дышем в горловине приемного рукава конструкции ОКБ-240. Испытаниями была установлена полная непригодность этого вкладыша. По этой причи</w:t>
      </w:r>
      <w:r w:rsidRPr="00271E51">
        <w:rPr>
          <w:color w:val="000000" w:themeColor="text1"/>
          <w:sz w:val="16"/>
          <w:szCs w:val="16"/>
        </w:rPr>
        <w:softHyphen/>
        <w:t>не «работники НИИ АВ снова подготовили ранее предложенный вкладыш, который показал удовлет</w:t>
      </w:r>
      <w:r w:rsidRPr="00271E51">
        <w:rPr>
          <w:color w:val="000000" w:themeColor="text1"/>
          <w:sz w:val="16"/>
          <w:szCs w:val="16"/>
        </w:rPr>
        <w:softHyphen/>
        <w:t>ворительные результаты». Лишь после этого «вкла</w:t>
      </w:r>
      <w:r w:rsidRPr="00271E51">
        <w:rPr>
          <w:color w:val="000000" w:themeColor="text1"/>
          <w:sz w:val="16"/>
          <w:szCs w:val="16"/>
        </w:rPr>
        <w:softHyphen/>
        <w:t>дыш НИИ АВ был взят на завод № 30, с него сняты эскизы и изготовлены опытные образцы». При этом изготовленные заводом вкладыши «отличались от оригинала НИИ АВ, и их пришлось во время испы</w:t>
      </w:r>
      <w:r w:rsidRPr="00271E51">
        <w:rPr>
          <w:color w:val="000000" w:themeColor="text1"/>
          <w:sz w:val="16"/>
          <w:szCs w:val="16"/>
        </w:rPr>
        <w:softHyphen/>
        <w:t>таний доводить и переделывать».</w:t>
      </w:r>
    </w:p>
    <w:p w14:paraId="27C382E6"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Указывалось, что «надежная работа 37-мм пу</w:t>
      </w:r>
      <w:r w:rsidRPr="00271E51">
        <w:rPr>
          <w:color w:val="000000" w:themeColor="text1"/>
          <w:sz w:val="16"/>
          <w:szCs w:val="16"/>
        </w:rPr>
        <w:softHyphen/>
        <w:t>шек ОКБ-16 на Ил-2 возможна лишь при условии устранения всех дефектов в установках, выявлен</w:t>
      </w:r>
      <w:r w:rsidRPr="00271E51">
        <w:rPr>
          <w:color w:val="000000" w:themeColor="text1"/>
          <w:sz w:val="16"/>
          <w:szCs w:val="16"/>
        </w:rPr>
        <w:softHyphen/>
        <w:t>ных при испытании, и при звене с увеличенным из</w:t>
      </w:r>
      <w:r w:rsidRPr="00271E51">
        <w:rPr>
          <w:color w:val="000000" w:themeColor="text1"/>
          <w:sz w:val="16"/>
          <w:szCs w:val="16"/>
        </w:rPr>
        <w:softHyphen/>
        <w:t>влекающим усилием (80—110 кг)».</w:t>
      </w:r>
    </w:p>
    <w:p w14:paraId="12817CB6"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этой связи предлагалось дать задание ОКБ-240 и заводу № 30 «срочно устранить все вы</w:t>
      </w:r>
      <w:r w:rsidRPr="00271E51">
        <w:rPr>
          <w:color w:val="000000" w:themeColor="text1"/>
          <w:sz w:val="16"/>
          <w:szCs w:val="16"/>
        </w:rPr>
        <w:softHyphen/>
        <w:t>явленные при испытании дефекты, установить и произвести конструктивные изменения горло</w:t>
      </w:r>
      <w:r w:rsidRPr="00271E51">
        <w:rPr>
          <w:color w:val="000000" w:themeColor="text1"/>
          <w:sz w:val="16"/>
          <w:szCs w:val="16"/>
        </w:rPr>
        <w:softHyphen/>
        <w:t>вины приемных рукавов в соответствии с разра</w:t>
      </w:r>
      <w:r w:rsidRPr="00271E51">
        <w:rPr>
          <w:color w:val="000000" w:themeColor="text1"/>
          <w:sz w:val="16"/>
          <w:szCs w:val="16"/>
        </w:rPr>
        <w:softHyphen/>
        <w:t>ботанным в НИИ АВ предложением». После этого «один самолет с улучшенными установками подать на контрольные испытания в НИИ АВ». Одновре</w:t>
      </w:r>
      <w:r w:rsidRPr="00271E51">
        <w:rPr>
          <w:color w:val="000000" w:themeColor="text1"/>
          <w:sz w:val="16"/>
          <w:szCs w:val="16"/>
        </w:rPr>
        <w:softHyphen/>
        <w:t>менно «срочно принять на снабжение ВВС КА и за</w:t>
      </w:r>
      <w:r w:rsidRPr="00271E51">
        <w:rPr>
          <w:color w:val="000000" w:themeColor="text1"/>
          <w:sz w:val="16"/>
          <w:szCs w:val="16"/>
        </w:rPr>
        <w:softHyphen/>
        <w:t>пустить в валовое производство усиленные звенья конструкции ОКБ-16 с извлекающим усилием 80— 110 кг (чертеж № 5049)». Отбраковку звеньев по из</w:t>
      </w:r>
      <w:r w:rsidRPr="00271E51">
        <w:rPr>
          <w:color w:val="000000" w:themeColor="text1"/>
          <w:sz w:val="16"/>
          <w:szCs w:val="16"/>
        </w:rPr>
        <w:softHyphen/>
        <w:t>влекающему усилию производить по методике, раз</w:t>
      </w:r>
      <w:r w:rsidRPr="00271E51">
        <w:rPr>
          <w:color w:val="000000" w:themeColor="text1"/>
          <w:sz w:val="16"/>
          <w:szCs w:val="16"/>
        </w:rPr>
        <w:softHyphen/>
        <w:t>работанной в НИИ АВ. При этом считалось возмож</w:t>
      </w:r>
      <w:r w:rsidRPr="00271E51">
        <w:rPr>
          <w:color w:val="000000" w:themeColor="text1"/>
          <w:sz w:val="16"/>
          <w:szCs w:val="16"/>
        </w:rPr>
        <w:softHyphen/>
        <w:t>ным существующие звенья валового производства «использовать на пушечных установках на Як-9т».</w:t>
      </w:r>
    </w:p>
    <w:p w14:paraId="0C9A0CB7"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обмена мнениями по результатам вой</w:t>
      </w:r>
      <w:r w:rsidRPr="00271E51">
        <w:rPr>
          <w:color w:val="000000" w:themeColor="text1"/>
          <w:sz w:val="16"/>
          <w:szCs w:val="16"/>
        </w:rPr>
        <w:softHyphen/>
        <w:t>сковых испытаний самолета Ил-2 с пушками 11П на боевое применение было решено считать их не</w:t>
      </w:r>
      <w:r w:rsidRPr="00271E51">
        <w:rPr>
          <w:color w:val="000000" w:themeColor="text1"/>
          <w:sz w:val="16"/>
          <w:szCs w:val="16"/>
        </w:rPr>
        <w:softHyphen/>
        <w:t>удовлетворительными. В этой связи Государствен</w:t>
      </w:r>
      <w:r w:rsidRPr="00271E51">
        <w:rPr>
          <w:color w:val="000000" w:themeColor="text1"/>
          <w:sz w:val="16"/>
          <w:szCs w:val="16"/>
        </w:rPr>
        <w:softHyphen/>
        <w:t>ный Комитет Обороны своим постановлением от 12 ноября прекратил серийный выпуск Ил-2 с 11П, сделав окончательный выбор в пользу установки на самолете пушек ВЯ. Согласно постановлению за</w:t>
      </w:r>
      <w:r w:rsidRPr="00271E51">
        <w:rPr>
          <w:color w:val="000000" w:themeColor="text1"/>
          <w:sz w:val="16"/>
          <w:szCs w:val="16"/>
        </w:rPr>
        <w:softHyphen/>
        <w:t>вод № 30 уже с 1 декабря должен был начать вы</w:t>
      </w:r>
      <w:r w:rsidRPr="00271E51">
        <w:rPr>
          <w:color w:val="000000" w:themeColor="text1"/>
          <w:sz w:val="16"/>
          <w:szCs w:val="16"/>
        </w:rPr>
        <w:softHyphen/>
        <w:t>пуск самолетов Ил-2 с пушками ВЯ, а с 15 января 1944 г. «полностью перейти на выпуск самолетов Ил-2 с пушками ВЯ вместо пушек ОКБ-16 калибра 37 мм» (17500).</w:t>
      </w:r>
    </w:p>
    <w:p w14:paraId="0CE67D9C" w14:textId="77777777" w:rsidR="003253B5" w:rsidRPr="00271E51" w:rsidRDefault="003253B5" w:rsidP="00271E51">
      <w:pPr>
        <w:spacing w:after="0" w:line="240" w:lineRule="auto"/>
        <w:jc w:val="both"/>
        <w:rPr>
          <w:rFonts w:ascii="Times New Roman" w:hAnsi="Times New Roman"/>
          <w:color w:val="000000" w:themeColor="text1"/>
          <w:sz w:val="16"/>
          <w:szCs w:val="16"/>
        </w:rPr>
      </w:pPr>
    </w:p>
    <w:p w14:paraId="016D74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состоянию на 7 октября 1943 была подготовлена справка по выполнению приказа Наркома N 523сс от 31 августа 1943 (1458,332):</w:t>
      </w:r>
    </w:p>
    <w:p w14:paraId="5F27DA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По высотному бомбардировщику Ил-4 2хМ-88Б и ТК-М с герметической кабиной.</w:t>
      </w:r>
    </w:p>
    <w:p w14:paraId="1702F3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совершил 16 сентября полет до высоты 7500 м с серийными винтами ВИШ-23. На этой высоте обнаружилась раскрутка винта на правом моторе, ввиду чего дальнейшие полеты были прекращены.</w:t>
      </w:r>
    </w:p>
    <w:p w14:paraId="6751A2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первом экз. самолета Ил-4 без гермокабины и имеющим установку ТК-3, был произведен ряд полетов, в которых была достигнута высота 7100 м на первой скорости нагнетателя с включением ТК, вместо высоты 9500 м по расчету (1458,332).</w:t>
      </w:r>
    </w:p>
    <w:p w14:paraId="41CC2E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2FFD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октября 1943 завершили все доводочные ра</w:t>
      </w:r>
      <w:r w:rsidRPr="00271E51">
        <w:rPr>
          <w:rFonts w:ascii="Times New Roman" w:hAnsi="Times New Roman"/>
          <w:color w:val="000000" w:themeColor="text1"/>
          <w:sz w:val="16"/>
          <w:szCs w:val="16"/>
        </w:rPr>
        <w:softHyphen/>
        <w:t>боты на втором варианте Ла-5 с М-82ФН (винт ВИШ-105В) и двумя ТК-3 (в некоторых документах он называется «ФТК») и седьмого числа этого месяца, с целью продолже</w:t>
      </w:r>
      <w:r w:rsidRPr="00271E51">
        <w:rPr>
          <w:rFonts w:ascii="Times New Roman" w:hAnsi="Times New Roman"/>
          <w:color w:val="000000" w:themeColor="text1"/>
          <w:sz w:val="16"/>
          <w:szCs w:val="16"/>
        </w:rPr>
        <w:softHyphen/>
        <w:t>ния лётных испытаний, в Горький вылетел лётчик-испытатель ЛИИ Г.М. Шиянов, не успев даже закончить испытания другого самолёта (15830).</w:t>
      </w:r>
    </w:p>
    <w:p w14:paraId="2C8DBED6"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54DEE88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октября 1943 г. другим КБ, работающим по созданию высотных самолетов, по</w:t>
      </w:r>
      <w:r w:rsidRPr="00271E51">
        <w:rPr>
          <w:rFonts w:ascii="Times New Roman" w:hAnsi="Times New Roman"/>
          <w:color w:val="000000" w:themeColor="text1"/>
          <w:sz w:val="16"/>
          <w:szCs w:val="16"/>
        </w:rPr>
        <w:softHyphen/>
        <w:t>лучить что-либо значимое ещё не удалось. Опытный МиГ с АМ-39 и ТК-2Б — И-221, строившийся по тому же Постановлению ГКО от 12 июня 1943 г., что и Як, но с высот</w:t>
      </w:r>
      <w:r w:rsidRPr="00271E51">
        <w:rPr>
          <w:rFonts w:ascii="Times New Roman" w:hAnsi="Times New Roman"/>
          <w:color w:val="000000" w:themeColor="text1"/>
          <w:sz w:val="16"/>
          <w:szCs w:val="16"/>
        </w:rPr>
        <w:softHyphen/>
        <w:t>ностью 14000 м, пока проходил лётные испытания с АМ-38. Полученные у земли данные, по словам главного конструктора, под</w:t>
      </w:r>
      <w:r w:rsidRPr="00271E51">
        <w:rPr>
          <w:rFonts w:ascii="Times New Roman" w:hAnsi="Times New Roman"/>
          <w:color w:val="000000" w:themeColor="text1"/>
          <w:sz w:val="16"/>
          <w:szCs w:val="16"/>
        </w:rPr>
        <w:softHyphen/>
        <w:t>тверждали расчёт</w:t>
      </w:r>
      <w:r w:rsidRPr="00271E51">
        <w:rPr>
          <w:rFonts w:ascii="Times New Roman" w:hAnsi="Times New Roman"/>
          <w:color w:val="000000" w:themeColor="text1"/>
          <w:sz w:val="16"/>
          <w:szCs w:val="16"/>
        </w:rPr>
        <w:softHyphen/>
        <w:t>ные данные машины при установке на неё АМ-39. На первом экземпляре Ил-4 без гермокабины с ТК-3 (Ил-4ТК), провели ряд полётов, но полученная на первой скорости нагнетателя с включением турбо</w:t>
      </w:r>
      <w:r w:rsidRPr="00271E51">
        <w:rPr>
          <w:rFonts w:ascii="Times New Roman" w:hAnsi="Times New Roman"/>
          <w:color w:val="000000" w:themeColor="text1"/>
          <w:sz w:val="16"/>
          <w:szCs w:val="16"/>
        </w:rPr>
        <w:softHyphen/>
        <w:t>компрессоров высота 7100 м оказалась меньше расчётной (9500 м), а винты ВИШ-61ИФ не обеспечивали требуемую скороподъёмность. Предполагаемая замена турбокомпрес</w:t>
      </w:r>
      <w:r w:rsidRPr="00271E51">
        <w:rPr>
          <w:rFonts w:ascii="Times New Roman" w:hAnsi="Times New Roman"/>
          <w:color w:val="000000" w:themeColor="text1"/>
          <w:sz w:val="16"/>
          <w:szCs w:val="16"/>
        </w:rPr>
        <w:softHyphen/>
        <w:t>соров ТК-3 на ТК-М и винтов на АВ-9Ф не состоялась из-за нецелесообразности даль</w:t>
      </w:r>
      <w:r w:rsidRPr="00271E51">
        <w:rPr>
          <w:rFonts w:ascii="Times New Roman" w:hAnsi="Times New Roman"/>
          <w:color w:val="000000" w:themeColor="text1"/>
          <w:sz w:val="16"/>
          <w:szCs w:val="16"/>
        </w:rPr>
        <w:softHyphen/>
        <w:t>нейших работ по Ил-4ТК. Высотный двухмоторный истребитель Пе-3 с гермокабиной и двумя М-105ПД к октябрю 1943 г. только перелетел из Казани в ЛИИ (15830).</w:t>
      </w:r>
    </w:p>
    <w:p w14:paraId="068AE274"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191E2F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после замены двигателя и установки увеличенного маслорадиатора полеты возобновились. К работе подключился еще один летчик ЛИИ Шиянов. К 26 ноября выполнили 33 полета, в том числе 18 с набо</w:t>
      </w:r>
      <w:r w:rsidRPr="00271E51">
        <w:rPr>
          <w:rFonts w:ascii="Times New Roman" w:hAnsi="Times New Roman"/>
          <w:color w:val="000000" w:themeColor="text1"/>
          <w:sz w:val="16"/>
          <w:szCs w:val="16"/>
        </w:rPr>
        <w:softHyphen/>
        <w:t>ром высоты более 9 км. Самолет весьма уверенно ле</w:t>
      </w:r>
      <w:r w:rsidRPr="00271E51">
        <w:rPr>
          <w:rFonts w:ascii="Times New Roman" w:hAnsi="Times New Roman"/>
          <w:color w:val="000000" w:themeColor="text1"/>
          <w:sz w:val="16"/>
          <w:szCs w:val="16"/>
        </w:rPr>
        <w:softHyphen/>
        <w:t>тал на 12500 м, но установившемуся полету на боль</w:t>
      </w:r>
      <w:r w:rsidRPr="00271E51">
        <w:rPr>
          <w:rFonts w:ascii="Times New Roman" w:hAnsi="Times New Roman"/>
          <w:color w:val="000000" w:themeColor="text1"/>
          <w:sz w:val="16"/>
          <w:szCs w:val="16"/>
        </w:rPr>
        <w:softHyphen/>
        <w:t>шей высоте препятствовал перегрев масла и головок цилиндров. Борясь с перегревом мотора, ЦИАМ пред</w:t>
      </w:r>
      <w:r w:rsidRPr="00271E51">
        <w:rPr>
          <w:rFonts w:ascii="Times New Roman" w:hAnsi="Times New Roman"/>
          <w:color w:val="000000" w:themeColor="text1"/>
          <w:sz w:val="16"/>
          <w:szCs w:val="16"/>
        </w:rPr>
        <w:softHyphen/>
        <w:t>ложил либо увеличить степень обогащения смеси (при этом не сго</w:t>
      </w:r>
      <w:r w:rsidRPr="00271E51">
        <w:rPr>
          <w:rFonts w:ascii="Times New Roman" w:hAnsi="Times New Roman"/>
          <w:color w:val="000000" w:themeColor="text1"/>
          <w:sz w:val="16"/>
          <w:szCs w:val="16"/>
        </w:rPr>
        <w:softHyphen/>
        <w:t>равшая часть бензина отбирала бы тепло и уносила его через вых</w:t>
      </w:r>
      <w:r w:rsidRPr="00271E51">
        <w:rPr>
          <w:rFonts w:ascii="Times New Roman" w:hAnsi="Times New Roman"/>
          <w:color w:val="000000" w:themeColor="text1"/>
          <w:sz w:val="16"/>
          <w:szCs w:val="16"/>
        </w:rPr>
        <w:softHyphen/>
        <w:t>лоп), либо перейти на бензоспиртовое горючее, или подавать в ци</w:t>
      </w:r>
      <w:r w:rsidRPr="00271E51">
        <w:rPr>
          <w:rFonts w:ascii="Times New Roman" w:hAnsi="Times New Roman"/>
          <w:color w:val="000000" w:themeColor="text1"/>
          <w:sz w:val="16"/>
          <w:szCs w:val="16"/>
        </w:rPr>
        <w:softHyphen/>
        <w:t>линдры воду. Это вскоре и сделали, но полеты показали, что проблема осталась (11123).</w:t>
      </w:r>
    </w:p>
    <w:p w14:paraId="360172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A4B0B1" w14:textId="77777777" w:rsidR="00085ED5" w:rsidRPr="00271E51" w:rsidRDefault="00085ED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7-го октября 1943, учитывая важность задачи, поставленной Государственным Комитетом Обороны о запуске в серию нового дальнего бомбардировщика Ер-2, бюро Иркутского обкома постановило (Постановление бюро Иркутского обкома ВКП(б) от 7-го октября 1943 года «О ходе запуска ЕР-2 в производство». Архив музея истории ИАЗ.):</w:t>
      </w:r>
    </w:p>
    <w:p w14:paraId="791B6843"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 обязать директора завода № 39 В.И. Абрамова, главного инженера К.А. Петрова, начальника производства Ф.М. Матвеева разработать график запуска в производство технической документации, разработку технологических процессов, изготовления приспособлений, оснастки, шаблонов, стапелей в сроки, обеспечивающие выпуск первой машины, подготовить производство к серийному изготовлению Ер-2;</w:t>
      </w:r>
    </w:p>
    <w:p w14:paraId="2B7BDD2F"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 парторгу ЦК ВКП(б) завода М.Ф. Зенкову взять под партийный контроль ход разработки и выполнения графика подготовки производства. Поднять массово-политическую работу и руководство соц. соревнованием в цехах, сменах, бригадах на уровень требований напряженной борьбы всего коллектива завода за досрочное выполнение решения ГКО;</w:t>
      </w:r>
    </w:p>
    <w:p w14:paraId="49E11DE1" w14:textId="77777777" w:rsidR="00085ED5" w:rsidRPr="00271E51" w:rsidRDefault="00085ED5" w:rsidP="00271E51">
      <w:pPr>
        <w:pStyle w:val="rteindent11"/>
        <w:shd w:val="clear" w:color="auto" w:fill="FFFFFF"/>
        <w:spacing w:before="0" w:beforeAutospacing="0" w:after="0"/>
        <w:ind w:left="0" w:firstLine="0"/>
        <w:rPr>
          <w:rStyle w:val="af0"/>
          <w:i w:val="0"/>
          <w:color w:val="000000" w:themeColor="text1"/>
          <w:sz w:val="16"/>
          <w:szCs w:val="16"/>
        </w:rPr>
      </w:pPr>
      <w:r w:rsidRPr="00271E51">
        <w:rPr>
          <w:rStyle w:val="af0"/>
          <w:i w:val="0"/>
          <w:color w:val="000000" w:themeColor="text1"/>
          <w:sz w:val="16"/>
          <w:szCs w:val="16"/>
        </w:rPr>
        <w:t>– заместителю директора завода № 39 А.Г. Куликовскому принять меры к четкой работе аппарата снабжения. Обеспечить получение и реализацию фондов на материалы, оборудование, готовые изделия необходимые для подготовки производства и выпуска машины Ер-2 в установленные сроки...</w:t>
      </w:r>
    </w:p>
    <w:p w14:paraId="5C44175B"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Просить ЦК ВКП(б) обязать Наркомат авиапромышленности:</w:t>
      </w:r>
    </w:p>
    <w:p w14:paraId="3B40D700"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 ускорить высылку заводу чертежей новой машины Ер-2, срок получения которых истек 25 сентября;</w:t>
      </w:r>
    </w:p>
    <w:p w14:paraId="4184E5C7"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 немедленно, специальным транспортом, отгрузить заводу электропровод, кабель, специнструмент, спецпоковки, быстрорежущую сталь;</w:t>
      </w:r>
    </w:p>
    <w:p w14:paraId="226FE7C6"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 обеспечит фондами на стройматериалы, необходимые производства и окончания строительства взлето-посадочной полосы, ангара, цеха экспедиции.</w:t>
      </w:r>
    </w:p>
    <w:p w14:paraId="3A1B60A9" w14:textId="77777777" w:rsidR="00085ED5" w:rsidRPr="00271E51" w:rsidRDefault="00085ED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Организация серийного производства Ер-2 потребовала решения множества дополнительных проблем. Иркутским специалистам необходимо было не только спроектировать и изготовить большое количество сборочных стапелей, оснастки, приспособлений, разработать серийные технологические процессы, пересмотреть структуру завода, но и совместно с представителями ОКБ В.Г. Ермолаева провести конструктивные изменения и устранить все дефекты и замечания по результатам испытаний самолета. Запуск первых машин происходил по следующему графику (Отчет о работе завода № 39 за 1943 год. Центральный архив ИАЗ, дело № 73, ч.1, листы 3-14.):</w:t>
      </w:r>
    </w:p>
    <w:p w14:paraId="4758030B"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1. Получение чертежей из ОКБ В.Г. Ермолаева и обработка их СКО завода –15.Х – 20.ХI.1943 года;</w:t>
      </w:r>
    </w:p>
    <w:p w14:paraId="16799A0F" w14:textId="77777777" w:rsidR="00085ED5" w:rsidRPr="00271E51" w:rsidRDefault="00085ED5" w:rsidP="00271E51">
      <w:pPr>
        <w:pStyle w:val="rteindent11"/>
        <w:shd w:val="clear" w:color="auto" w:fill="FFFFFF"/>
        <w:spacing w:before="0" w:beforeAutospacing="0" w:after="0"/>
        <w:ind w:left="0" w:firstLine="0"/>
        <w:rPr>
          <w:rStyle w:val="af0"/>
          <w:i w:val="0"/>
          <w:color w:val="000000" w:themeColor="text1"/>
          <w:sz w:val="16"/>
          <w:szCs w:val="16"/>
        </w:rPr>
      </w:pPr>
      <w:r w:rsidRPr="00271E51">
        <w:rPr>
          <w:rStyle w:val="af0"/>
          <w:i w:val="0"/>
          <w:color w:val="000000" w:themeColor="text1"/>
          <w:sz w:val="16"/>
          <w:szCs w:val="16"/>
        </w:rPr>
        <w:t>2. Изготовление плазов – 20.Х – 10.ХI.1943 года;</w:t>
      </w:r>
    </w:p>
    <w:p w14:paraId="5217FBDA"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3. Обработка чертежей технологическими отделами и передача их в производство –20.Х – 25.ХI.1943 года;</w:t>
      </w:r>
    </w:p>
    <w:p w14:paraId="7D25C231"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4. Заказ оснастки 0-й и I-й очередей – 20.Х – 25.ХI.1943 года;</w:t>
      </w:r>
    </w:p>
    <w:p w14:paraId="2C97D680"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5. Разработка технологического процесса – 30.ХI.1943 года;</w:t>
      </w:r>
    </w:p>
    <w:p w14:paraId="580CBA59"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6. Изготовление оснастки 0-й очереди – 5.ХII. 1943 года;</w:t>
      </w:r>
    </w:p>
    <w:p w14:paraId="7B55DDF7"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7. Изготовление агрегатов I-й очереди – 15.ХII.1943 года;</w:t>
      </w:r>
    </w:p>
    <w:p w14:paraId="283153AE" w14:textId="77777777" w:rsidR="00085ED5" w:rsidRPr="00271E51" w:rsidRDefault="00085ED5" w:rsidP="00271E51">
      <w:pPr>
        <w:pStyle w:val="rteindent11"/>
        <w:shd w:val="clear" w:color="auto" w:fill="FFFFFF"/>
        <w:spacing w:before="0" w:beforeAutospacing="0" w:after="0"/>
        <w:ind w:left="0" w:firstLine="0"/>
        <w:rPr>
          <w:color w:val="000000" w:themeColor="text1"/>
          <w:sz w:val="16"/>
          <w:szCs w:val="16"/>
        </w:rPr>
      </w:pPr>
      <w:r w:rsidRPr="00271E51">
        <w:rPr>
          <w:rStyle w:val="af0"/>
          <w:i w:val="0"/>
          <w:color w:val="000000" w:themeColor="text1"/>
          <w:sz w:val="16"/>
          <w:szCs w:val="16"/>
        </w:rPr>
        <w:t>8. Сдача I-й машины по сборке – 24.ХII.1943 года.</w:t>
      </w:r>
    </w:p>
    <w:p w14:paraId="0763F2EF" w14:textId="77777777" w:rsidR="00085ED5" w:rsidRPr="00271E51" w:rsidRDefault="00085ED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запуском Ер-2, работа всех подразделений завода была полностью подчинена выполнению указанного графика и незначительный срыв объясняется только поздним получением чертежей из ОКБ (20. ХI. 43 года вместо 25. IХ. 43 года) и большими изменениями, проведенными при запуске машины. За короткий срок проделан колоссальный объем работ. В цехах подготовки производства, а также в основных цехах были изготовлены шаблоны, стапеля, сборочные приспособления, штампы, формблоки, болванки, инструмент, приспособления для механических цехов, кондукторы и прочая оснастка – всего 8983 наименования. Для этого техническими отделами завода было разработано около 2700 чертежей. Необходимо отметить, что значительная часть работников ОКБ В.Г. Ермолаева переехала в Иркутск, и в тесном сотрудничестве с заводскими специалистами занималась подготовкой Ер-2 к серийному запуску (15223).</w:t>
      </w:r>
    </w:p>
    <w:p w14:paraId="206B818F" w14:textId="77777777" w:rsidR="00085ED5" w:rsidRPr="00271E51" w:rsidRDefault="00085ED5" w:rsidP="00271E51">
      <w:pPr>
        <w:shd w:val="clear" w:color="auto" w:fill="FFFFFF"/>
        <w:spacing w:after="0" w:line="240" w:lineRule="auto"/>
        <w:jc w:val="both"/>
        <w:rPr>
          <w:rFonts w:ascii="Times New Roman" w:hAnsi="Times New Roman"/>
          <w:color w:val="000000" w:themeColor="text1"/>
          <w:sz w:val="16"/>
          <w:szCs w:val="16"/>
        </w:rPr>
      </w:pPr>
    </w:p>
    <w:p w14:paraId="3A48151D" w14:textId="77777777" w:rsidR="001B0803" w:rsidRPr="00271E51" w:rsidRDefault="001B0803" w:rsidP="00271E51">
      <w:pPr>
        <w:spacing w:after="0" w:line="240" w:lineRule="auto"/>
        <w:jc w:val="both"/>
        <w:textAlignment w:val="baseline"/>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bdr w:val="none" w:sz="0" w:space="0" w:color="auto" w:frame="1"/>
          <w:lang w:eastAsia="ru-RU"/>
        </w:rPr>
        <w:t>7 октября 1943</w:t>
      </w:r>
      <w:r w:rsidRPr="00271E51">
        <w:rPr>
          <w:rFonts w:ascii="Times New Roman" w:eastAsia="Times New Roman" w:hAnsi="Times New Roman"/>
          <w:color w:val="0070C0"/>
          <w:sz w:val="16"/>
          <w:szCs w:val="16"/>
          <w:bdr w:val="none" w:sz="0" w:space="0" w:color="auto" w:frame="1"/>
          <w:lang w:val="en-US" w:eastAsia="ru-RU"/>
        </w:rPr>
        <w:t> </w:t>
      </w:r>
      <w:r w:rsidRPr="00271E51">
        <w:rPr>
          <w:rFonts w:ascii="Times New Roman" w:eastAsia="Times New Roman" w:hAnsi="Times New Roman"/>
          <w:color w:val="0070C0"/>
          <w:sz w:val="16"/>
          <w:szCs w:val="16"/>
          <w:bdr w:val="none" w:sz="0" w:space="0" w:color="auto" w:frame="1"/>
          <w:lang w:eastAsia="ru-RU"/>
        </w:rPr>
        <w:t xml:space="preserve">г. уже утвержденный заказ на двигатели </w:t>
      </w:r>
      <w:r w:rsidRPr="00271E51">
        <w:rPr>
          <w:rFonts w:ascii="Times New Roman" w:eastAsia="Times New Roman" w:hAnsi="Times New Roman"/>
          <w:color w:val="0070C0"/>
          <w:sz w:val="16"/>
          <w:szCs w:val="16"/>
          <w:bdr w:val="none" w:sz="0" w:space="0" w:color="auto" w:frame="1"/>
          <w:lang w:val="en-US" w:eastAsia="ru-RU"/>
        </w:rPr>
        <w:t>G</w:t>
      </w:r>
      <w:r w:rsidRPr="00271E51">
        <w:rPr>
          <w:rFonts w:ascii="Times New Roman" w:eastAsia="Times New Roman" w:hAnsi="Times New Roman"/>
          <w:color w:val="0070C0"/>
          <w:sz w:val="16"/>
          <w:szCs w:val="16"/>
          <w:bdr w:val="none" w:sz="0" w:space="0" w:color="auto" w:frame="1"/>
          <w:lang w:eastAsia="ru-RU"/>
        </w:rPr>
        <w:t>202</w:t>
      </w:r>
      <w:r w:rsidRPr="00271E51">
        <w:rPr>
          <w:rFonts w:ascii="Times New Roman" w:eastAsia="Times New Roman" w:hAnsi="Times New Roman"/>
          <w:color w:val="0070C0"/>
          <w:sz w:val="16"/>
          <w:szCs w:val="16"/>
          <w:bdr w:val="none" w:sz="0" w:space="0" w:color="auto" w:frame="1"/>
          <w:lang w:val="en-US" w:eastAsia="ru-RU"/>
        </w:rPr>
        <w:t> </w:t>
      </w:r>
      <w:r w:rsidRPr="00271E51">
        <w:rPr>
          <w:rFonts w:ascii="Times New Roman" w:eastAsia="Times New Roman" w:hAnsi="Times New Roman"/>
          <w:color w:val="0070C0"/>
          <w:sz w:val="16"/>
          <w:szCs w:val="16"/>
          <w:bdr w:val="none" w:sz="0" w:space="0" w:color="auto" w:frame="1"/>
          <w:lang w:eastAsia="ru-RU"/>
        </w:rPr>
        <w:t>для Ли-2 аннулировали. Взамен представители ВВС армии США предложили 2000 моторов </w:t>
      </w:r>
      <w:r w:rsidRPr="00271E51">
        <w:rPr>
          <w:rFonts w:ascii="Times New Roman" w:eastAsia="Times New Roman" w:hAnsi="Times New Roman"/>
          <w:color w:val="0070C0"/>
          <w:sz w:val="16"/>
          <w:szCs w:val="16"/>
          <w:bdr w:val="none" w:sz="0" w:space="0" w:color="auto" w:frame="1"/>
          <w:lang w:val="en-US" w:eastAsia="ru-RU"/>
        </w:rPr>
        <w:t>R</w:t>
      </w:r>
      <w:r w:rsidRPr="00271E51">
        <w:rPr>
          <w:rFonts w:ascii="Times New Roman" w:eastAsia="Times New Roman" w:hAnsi="Times New Roman"/>
          <w:color w:val="0070C0"/>
          <w:sz w:val="16"/>
          <w:szCs w:val="16"/>
          <w:bdr w:val="none" w:sz="0" w:space="0" w:color="auto" w:frame="1"/>
          <w:lang w:eastAsia="ru-RU"/>
        </w:rPr>
        <w:t>-1830-92,</w:t>
      </w:r>
      <w:r w:rsidRPr="00271E51">
        <w:rPr>
          <w:rFonts w:ascii="Times New Roman" w:eastAsia="Times New Roman" w:hAnsi="Times New Roman"/>
          <w:color w:val="0070C0"/>
          <w:sz w:val="16"/>
          <w:szCs w:val="16"/>
          <w:bdr w:val="none" w:sz="0" w:space="0" w:color="auto" w:frame="1"/>
          <w:lang w:val="en-US" w:eastAsia="ru-RU"/>
        </w:rPr>
        <w:t> </w:t>
      </w:r>
      <w:r w:rsidRPr="00271E51">
        <w:rPr>
          <w:rFonts w:ascii="Times New Roman" w:eastAsia="Times New Roman" w:hAnsi="Times New Roman"/>
          <w:color w:val="0070C0"/>
          <w:sz w:val="16"/>
          <w:szCs w:val="16"/>
          <w:bdr w:val="none" w:sz="0" w:space="0" w:color="auto" w:frame="1"/>
          <w:lang w:eastAsia="ru-RU"/>
        </w:rPr>
        <w:t>которые ставились на С-47. Но этот мотор был не только более чем на 100 кг тяжелее, но и требовал существенного усиления крыла, фюзеляжа и шасси. Так Ли-2 остался до конца «жизни» с теми же М-62ИР (АШ-62ИР). От получения </w:t>
      </w:r>
      <w:r w:rsidRPr="00271E51">
        <w:rPr>
          <w:rFonts w:ascii="Times New Roman" w:eastAsia="Times New Roman" w:hAnsi="Times New Roman"/>
          <w:color w:val="0070C0"/>
          <w:sz w:val="16"/>
          <w:szCs w:val="16"/>
          <w:bdr w:val="none" w:sz="0" w:space="0" w:color="auto" w:frame="1"/>
          <w:lang w:val="en-US" w:eastAsia="ru-RU"/>
        </w:rPr>
        <w:t>R</w:t>
      </w:r>
      <w:r w:rsidRPr="00271E51">
        <w:rPr>
          <w:rFonts w:ascii="Times New Roman" w:eastAsia="Times New Roman" w:hAnsi="Times New Roman"/>
          <w:color w:val="0070C0"/>
          <w:sz w:val="16"/>
          <w:szCs w:val="16"/>
          <w:bdr w:val="none" w:sz="0" w:space="0" w:color="auto" w:frame="1"/>
          <w:lang w:eastAsia="ru-RU"/>
        </w:rPr>
        <w:t>-1830-92</w:t>
      </w:r>
      <w:r w:rsidRPr="00271E51">
        <w:rPr>
          <w:rFonts w:ascii="Times New Roman" w:eastAsia="Times New Roman" w:hAnsi="Times New Roman"/>
          <w:color w:val="0070C0"/>
          <w:sz w:val="16"/>
          <w:szCs w:val="16"/>
          <w:bdr w:val="none" w:sz="0" w:space="0" w:color="auto" w:frame="1"/>
          <w:lang w:val="en-US" w:eastAsia="ru-RU"/>
        </w:rPr>
        <w:t> </w:t>
      </w:r>
      <w:r w:rsidRPr="00271E51">
        <w:rPr>
          <w:rFonts w:ascii="Times New Roman" w:eastAsia="Times New Roman" w:hAnsi="Times New Roman"/>
          <w:color w:val="0070C0"/>
          <w:sz w:val="16"/>
          <w:szCs w:val="16"/>
          <w:bdr w:val="none" w:sz="0" w:space="0" w:color="auto" w:frame="1"/>
          <w:lang w:eastAsia="ru-RU"/>
        </w:rPr>
        <w:t>сначала отказались, но уже через несколько дней спохватились, что нужны запасные двигатели к С-47, и запросили 300 штук. Теперь отказали американцы — двигатели уже занарядили в другое место. В конечном итоге удалось оформить заказ на 120 моторов, которые и были отгружены в СССР (21511).</w:t>
      </w:r>
    </w:p>
    <w:p w14:paraId="7A5EBFE4" w14:textId="77777777" w:rsidR="001B0803" w:rsidRPr="00271E51" w:rsidRDefault="001B0803" w:rsidP="00271E51">
      <w:pPr>
        <w:spacing w:after="0" w:line="240" w:lineRule="auto"/>
        <w:jc w:val="both"/>
        <w:rPr>
          <w:rFonts w:ascii="Times New Roman" w:hAnsi="Times New Roman"/>
          <w:color w:val="0070C0"/>
          <w:sz w:val="16"/>
          <w:szCs w:val="16"/>
        </w:rPr>
      </w:pPr>
    </w:p>
    <w:p w14:paraId="5756106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BC04E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60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г. по приказу НКЭП № МК-298 на старом месте Завода № 332 НКАП, НКЭП /Украина  г. Харьков/ был создан завод № 804 (11982).</w:t>
      </w:r>
    </w:p>
    <w:p w14:paraId="21028C65" w14:textId="77777777" w:rsidR="00085ED5" w:rsidRPr="00271E51" w:rsidRDefault="00085ED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0C9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1943г. на месте эвакуированного завода № 332 НКЭП по приказу НКЭП № МК-298 был создан Завод № 804 НКЭП, Харьковский завод «Южкабель», ЗАО «Завод «Южкабель» /Украина 61099 г. Харьков ул. Автогенная, 7/ для изготовления кабельно-проводниковой продукции. Площадка недостроенного завода не имела подъездных путей, ЛЭП. Тем не менее в 1-м квартале 1944г. завод выпустил первые 4,2 т обмоточных проводов, а к концу года выпуск достиг 68 т.</w:t>
      </w:r>
    </w:p>
    <w:p w14:paraId="59C54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Летом 1945г. на завод прибыло 7 эшелонов из Будапешта с оборудованием фирмы «Сименс», вывезенным по репарации. В основном, это было оборудование для производства силовых кабелей с резиновой изоляцией, обмоточных и эмальпроводов. К началу 1946г. на заводе имелось 286 единиц оборудования. Действовало три основных цеха. Были также введены в строй лаковарочный участок, фильерная мастерская, цех ТНП. 9.05.1951г. правительством был утвержден новый техпаспорт завода, за 1952г. было введено в строй 126 единиц оборудования.</w:t>
      </w:r>
    </w:p>
    <w:p w14:paraId="00069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26.04.1954г. завод № 804 был переименован в Харьковский завод «Южкабель» и получил статус всесоюзного.</w:t>
      </w:r>
    </w:p>
    <w:p w14:paraId="17B98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(1952г.)- около 1000 чел.</w:t>
      </w:r>
    </w:p>
    <w:p w14:paraId="445502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(1944г.)- Ю.А. Зыбин.</w:t>
      </w:r>
    </w:p>
    <w:p w14:paraId="0C43A8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(1944г.)- В.И. Юзефов (11982).</w:t>
      </w:r>
    </w:p>
    <w:p w14:paraId="1A931D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2CC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4263 О плане производства минометов, лыжных установок и волокуш под вооружение на октябрь и IV квартал 1943 года.РГАНИР, Фонд ГКО, д. 157, лл. 33-36, 37-58 (11012).</w:t>
      </w:r>
    </w:p>
    <w:p w14:paraId="6A0291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A776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4264 О плане производства и поставок патронов и звеньев Наркоматом вооружения в IV квартале 1943 г.РГАНИР, Фонд ГКО, д. 157, лл. 59-67, 68-73 (11012).</w:t>
      </w:r>
    </w:p>
    <w:p w14:paraId="5688FC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7BE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4265 О плане производства и поставок пулеметов-пистолетов Шпагина и ПП-43 в октябре и в IV квартале 1943 года.РГАНИР, Фонд ГКО, д. 157, лл. 74-81, 82-95 (11012).</w:t>
      </w:r>
    </w:p>
    <w:p w14:paraId="213A1F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997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4266 О плане производства и поставок артиллерийского и стрелкового вооружения и военных приборов на октябрь и IV квартал 1943 года.РГАНИР, Фонд ГКО, д. 157, лл. 96-123, 124-197 (11012).</w:t>
      </w:r>
    </w:p>
    <w:p w14:paraId="156DC5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E97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4267 О мероприятиях по развитию добычи природных газов и производства искусственного жидкого топлива в IV квартале 1943 года.РГАНИР, Фонд ГКО, д. 157, лл. 198-203, 204-213 (11012).</w:t>
      </w:r>
    </w:p>
    <w:p w14:paraId="297D10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C48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4268 О плане добычи угля и сланца на IV квартал и октябрь 1943 г. по Наркомуглю.РГАНИР, Фонд ГКО, д. 157, лл. 214-226, 227-242 (11012).</w:t>
      </w:r>
    </w:p>
    <w:p w14:paraId="1279E1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94C1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4269 О мерах по улучшению работы азербайджанской нефтедобывающей промышленности. (7143, 243-254,255-257).</w:t>
      </w:r>
    </w:p>
    <w:p w14:paraId="0D78EB1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E0B2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4270 О добыче нефти и выработке нефтепродуктов в октябре и IV квартале 1943 года.РГАНИР, Фонд ГКО, д. 157, лл. 258-261, 262-265 (11012).</w:t>
      </w:r>
    </w:p>
    <w:p w14:paraId="3137E7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70C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октября 1943 вышло Постановление ГКО № 4271 О плане производства важнейших химикатов для боеприпасов и народного хозяйства на IV квартал 1943г.РГАНИР, Фонд ГКО, д. 158, лл. 1-12, 13-19 (11012).</w:t>
      </w:r>
    </w:p>
    <w:p w14:paraId="1736CC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FD4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4272 О плане производства танков, самоходных установок, дизелей, запасных частей к ним и ремонта танков, самоходных установок, дизелей на IV квартал и октябрь месяц 1943г.РГАНИР, Фонд ГКО, д. 158, лл. 20-27, 28-234 (11012).</w:t>
      </w:r>
    </w:p>
    <w:p w14:paraId="736D9B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5FF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4273 О плане производства боеприпасов в IV квартале 1943 года.РГАНИР, Фонд ГКО, д. 159, лл. 1-18, 19-371 (11012).</w:t>
      </w:r>
    </w:p>
    <w:p w14:paraId="6887FE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A6B8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4274 О мероприятиях по улучшению воинских перевозок. (7144, 1-6).</w:t>
      </w:r>
    </w:p>
    <w:p w14:paraId="2A6AF67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7E6C2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Распоряжение ГКО № 4275 [О мобилизации 45 тыс. чел. в Сталинской, Ворошиловградской и Харьковской обл. на восстановление предприятий НКЧМ в Донбассе.] (7144, 7).</w:t>
      </w:r>
    </w:p>
    <w:p w14:paraId="6107F91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C014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4276 О мерах помощи Челябинскому металлургическому заводу Наркомчермета. (7144, 8-15,16-30).</w:t>
      </w:r>
    </w:p>
    <w:p w14:paraId="3DF91E4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ACF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4277 О восстановлении Таганрогского металлургического завода им.Андреева Наркомчермета.РГАНИР, Фонд ГКО, д. 160, лл. 31-39, 40-54 (11012).</w:t>
      </w:r>
    </w:p>
    <w:p w14:paraId="4ECCEE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773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4278 О подготовке к восстановлению мостов через р.Днепр.РГАНИР, Фонд ГКО, д. 160, лл. 55-59 (11012).</w:t>
      </w:r>
    </w:p>
    <w:p w14:paraId="7E03F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94A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4279 О мерах неотложной помощи тресту "Магнитострой" по строительству Магнитогорского металлургического комбината Наркомчермета.РГАНИР, Фонд ГКО, д. 160, лл. 60-74, 75-90 (11012).</w:t>
      </w:r>
    </w:p>
    <w:p w14:paraId="373FFD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6F2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Распоряжение ГКО № 4280. Об организации из офицеров и вольнонаемных аппарата для военной приемки отремонтированных танков.РГАНИР, Фонд ГКО, д. 160, лл. 91 (11012).</w:t>
      </w:r>
    </w:p>
    <w:p w14:paraId="18B224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CAC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Распоряжение ГКО № 4281. Об отсрочке изготовления на Уралмашзаводе запасных частей и оборудования для цементных заводов в связи с производством СУ-85.РГАНИР, Фонд ГКО, д. 160, лл. 92 (11012).</w:t>
      </w:r>
    </w:p>
    <w:p w14:paraId="1DE1FC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F1A8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Распоряжение ГКО № 4282 [О мерах по обеспечению работы ТЭЦ КМК.] (7144, 93-95).</w:t>
      </w:r>
    </w:p>
    <w:p w14:paraId="69F9491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74E87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Распоряжение ГКО № 4283 О производстве электрических источников питания для нужд Разведывательного управления Генерального штаба Красной Армии. (7144, 96-97,98-99).</w:t>
      </w:r>
    </w:p>
    <w:p w14:paraId="6F0719F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CC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4284 Об отпуске продовольственных, госпитальных и фуражных пайков для Красной Армии, Военно-Морского Флота и войск НКВД СССР в октябре 1943 года.РГАНИР, Фонд ГКО, д. 160, лл. 100-102, 103-104 (11012).</w:t>
      </w:r>
    </w:p>
    <w:p w14:paraId="134F95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61D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вышло Постановление ГКО № 4285 О плане снабжения горюче-смазочными материалами Красной Армии и Военно-Морского Флота на октябрь 1943 года.РГАНИР, Фонд ГКО, д. 160, лл. 105-108, 109-151 (11012).</w:t>
      </w:r>
    </w:p>
    <w:p w14:paraId="3E772C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81D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г. Приказом Народного комиссара электротехнической промышленности СССР №298 в г. Харькове было создано производство кабельно-проводниковой продукции (с 1945 г. — кабельный завод № 804, с 1954 г. — «Харьковский кабельный завод «Южкабель», с 1995 г. — ЗАО «Завод «Южкабель») (10771).</w:t>
      </w:r>
    </w:p>
    <w:p w14:paraId="6FB1A0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7715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D4447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7E008E"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ОПЕРАТИВНАЯ СВОДКА Совинформбюро:</w:t>
      </w:r>
    </w:p>
    <w:p w14:paraId="3FE7F91D"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паузы, необходимой для подтягивания тылов, наши войска вновь развернули наступательные бои против немецко-фашистских войск по всему фронту от ВИТЕБСКА до ТАМАНСКОГО полуострова. </w:t>
      </w:r>
    </w:p>
    <w:p w14:paraId="414CA9D9"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СЕВЕРО-КАВКАЗСКОГО фронта успешно ликвидируют плацдарм противника на Таманском полуострове. Заняты город и порт ТАМАНЬ и крупные населённые пункты ВЫШЕСТЕБЛИЕВСКАЯ, АХТАНИЗОВСКАЯ, ГОЛУБИЦКАЯ, СЕМЕНЮК, СЕННАЯ, ПРИМОРСКИЙ, СОЛЁНЫЙ. Войска противника, не успевшие эвакуироваться с полуострова, уничтожаются. </w:t>
      </w:r>
    </w:p>
    <w:p w14:paraId="351CBB48"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полосе среднего течения Днепра наши войска успешно форсировали ДНЕПР и захватили плацдармы в трёх местах: севернее КИЕВА, южнее города ПЕРЕЯСЛАВ и юго-восточнее КРЕМЕНЧУГА. Немцы ведут против наших, переправившихся через Днепр войск, ожесточённые контратаки, которые отбиваются с большими для противника потерями. Наши войска шаг за шагом расширяют плацдармы. </w:t>
      </w:r>
    </w:p>
    <w:p w14:paraId="2A497DA4"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КАЛИНИНСКОГО фронта прорвали сильно укреплённую оборону противника протяжением 25 километров и на глубину 25 километров и после двухдневных ожесточённых боёв овладели городом и железнодорожным узлом НЕВЕЛЬ, а также заняли свыше 100 других населённых пунктов. </w:t>
      </w:r>
    </w:p>
    <w:p w14:paraId="6065D72A"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Севернее города и железнодорожного узла КИРИШИ войска ВОЛХОВСКОГО фронта, прорвав оборону противника, продвинулись вперёд на 15 километров и с боями овладели городом и железнодорожным узлом КИРИШИ и крупными населёнными пунктами НОВЫЕ КИРИШИ, ЛАРИОНОВ ОСТРОВ, ПОСАДНИКОВ ОСТРОВ, МЕРЯТИНО, КРАСНОВО, ДУБРОВО, ДРАЧЁВО, МЯГРЫ и железнодорожными станциями ПОСАДНИКОВО, ИРСА. </w:t>
      </w:r>
    </w:p>
    <w:p w14:paraId="3DFC5740"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течение 6 октября наши войска на всех фронтах подбили и уничтожили 32 немецких танка. В воздушных боях и огнём зенитной артиллерии сбито 44 самолёта противника. </w:t>
      </w:r>
    </w:p>
    <w:p w14:paraId="14AC08CC"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Таманском полуострове наши пехотные и танковые соединения атаковали оборонительные сооружения противника, прикрывавшие юго-западную часть Таманского полуострова. В результате ожесточённых боёв наши войска взломали вражескую оборону, стремительно продвинулись вперёд и овладели городом и портом Тамань. Захвачены большие трофеи, в числе которых танки, орудия, крупные склады и большие запасы патронов, снарядов, мин, вооружения, продовольствия и военных материалов. </w:t>
      </w:r>
    </w:p>
    <w:p w14:paraId="26DA25B8"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Освободив юго-западную часть Таманского полуострова от немецко-фашистских захватчиков, наши войска заняли также сильно укреплённый опорный пункт вражеской обороны Голубицкая (северо-западнее г. Темрюк) и другие населённые пункты. Только в одном населённом пункте наши бойцы захватили 26 складов с боеприпасами, продовольствием и вещевым имуществом. Противник понёс в этих боях огромные потери в живой силе. Взято много пленных. Наши войска уничтожают разгромленные и не успевшие эвакуироваться части противника. </w:t>
      </w:r>
    </w:p>
    <w:p w14:paraId="19E5D2BF"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Наша авиация продолжала наносить удары по судам противника в Керченском проливе. Потоплен ряд быстроходных десантных барж и катеров с немецкой пехотой, пытавшейся переправиться через пролив. </w:t>
      </w:r>
    </w:p>
    <w:p w14:paraId="20D2A721"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Наши войска успешно форсировали реку Днепр и захватили плацдармы севернее Киева, южнее города Переяслав и юго-восточнее Кременчуга. Противник на всех участках оказывает ожесточённое сопротивление и стремится любой ценой задержать продвижение советских войск. Немцы вводят в бой крупные силы пехоты, танков и авиации. Наши войска, переправившиеся через Днепр, отбивают все контратаки противника, и шаг за шагом расширяют плацдармы. В этих боях немецкие войска несут тяжёлые потери. Части Н-ского соединения, действующие южнее Переяслава, отбивая контратаки противника, в течение дня уничтожили свыше 2.000 гитлеровцев. Другое наше соединение за два дня боёв уничтожило до полка пехоты противника. Подбито и сожжено несколько десятков немецких танков. </w:t>
      </w:r>
    </w:p>
    <w:p w14:paraId="4C626A3D"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Наша авиация активно поддерживает действия наземных войск. В течение дня нашими лётчиками уничтожено и повреждено до 20 немецких танков, 200 автомашин, разбито 60 железнодорожных вагонов и 10 цистерн, взорвано 4 склада боеприпасов. В воздушных боях сбито 32 немецких самолёта. </w:t>
      </w:r>
    </w:p>
    <w:p w14:paraId="76928A69"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Калининского фронта, после мощной артиллерийской подготовки и бомбардировки позиций противника, перешли в наступление и после двухдневных ожесточённых боёв овладели городом и железнодорожным узлом Невель. В течение двух лет немцы возводили на этом участке развитую сеть укреплений. Они </w:t>
      </w:r>
      <w:r w:rsidRPr="00271E51">
        <w:rPr>
          <w:rFonts w:ascii="Times New Roman" w:hAnsi="Times New Roman"/>
          <w:color w:val="000000" w:themeColor="text1"/>
          <w:sz w:val="16"/>
          <w:szCs w:val="16"/>
        </w:rPr>
        <w:lastRenderedPageBreak/>
        <w:t xml:space="preserve">построили многочисленные дзоты и доты, создали широкие минные поля и сеть опорных пунктов. Ударом наших войск эта оборонительная полоса противника была прорвана. Развивая успех, советские войска расширили фронт прорыва и, быстро продвигаясь вперёд, заняли свыше 100 населённых пунктов. Продвижение советских войск было настолько стремительно, что немцы бросили всё вооружение и военное имущество. Захвачены десятки орудий, большое число миномётов и пулемётов, склады боеприпасов, вещевые и продовольственные склады, а также несколько железнодорожных составов с техникой и военным имуществом. </w:t>
      </w:r>
    </w:p>
    <w:p w14:paraId="6ED4DFB1"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Волховском фронте ваши войска в результате ожесточённых боёв прорвали оборону противника и, развивая наступление, овладели городом и железнодорожным узлом Кириши. Нашими войсками занят также ряд других населённых пунктов. Немцы оказывают отчаянное сопротивление, но вынуждены оставлять одну позицию за другой. Советская артиллерия, поддерживая действия пехоты, разбила сотни дзотов и блиндажей противника. В безуспешных попытках остановить продвижение наших войск немцы несут тяжёлые потери. Только при взятии одного населённого пункта истреблено до 1.500 немецких солдат и офицеров. Наши войска, овладев железнодорожной станцией Ирса, захватили 50 вагонов с военными грузами, склад боеприпасов, вещевой склад и другие трофеи. </w:t>
      </w:r>
    </w:p>
    <w:p w14:paraId="77968BBF"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Отряд украинских партизан, действующий в Киевской области, пустил под откос немецкий железнодорожный эшелон. При крушении возник пожар. Огнём уничтожено 13 цистерн с горючим и 3 вагона с вооружением. На следующий день партизаны взорвали ещё два немецких эшелона. Уничтожены 2 паровоза и 44 вагона. Группа партизан этого отряда 20 сентября обстреляла на шоссейной дороге легковую автомашину. Убиты 2 немецких офицера, в том числе командир немецкого полка. 24 сентября киевские партизаны взорвали железнодорожный и шоссейный мосты, по которым отступали гитлеровцы. У разрушенных мостов скопились поезда и много автомашин. Этим воспользовались советские лётчики. Они подвергли немцев ожесточённой бомбардировке и нанесли им большой урон. </w:t>
      </w:r>
    </w:p>
    <w:p w14:paraId="657C27BA"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8 роты 595 полка 327 немецкой пехотной дивизии Иоганн Егер рассказал: «Начиная с 27 августа, наша дивизия непрерывно отступает. Зимой дивизия вела тяжёлые бои и несла большие потери, но летнее отступление мы восприняли особенно болезненно. Во-первых, никто не думал, что летом мы будем вынуждены отступать. Во-вторых, отступление носит беспорядочный характер и временами ничем не отличается от панического бегства. У одной железнодорожной станции я видел, как офицеры стреляли в солдат, покинувших свои позиции, однако, солдаты бежали, не обращая на них никакого внимания. Отступая, дивизия понесла тяжёлые потери. В моей роте, например, осталось в живых только 6 солдат. Из строя выбыло много офицеров. Убит также и командир полка» (14792).</w:t>
      </w:r>
    </w:p>
    <w:p w14:paraId="670D08D3" w14:textId="77777777" w:rsidR="00085ED5" w:rsidRPr="00271E51" w:rsidRDefault="00085ED5" w:rsidP="00271E51">
      <w:pPr>
        <w:spacing w:after="0" w:line="240" w:lineRule="auto"/>
        <w:jc w:val="both"/>
        <w:rPr>
          <w:rFonts w:ascii="Times New Roman" w:hAnsi="Times New Roman"/>
          <w:color w:val="000000" w:themeColor="text1"/>
          <w:sz w:val="16"/>
          <w:szCs w:val="16"/>
        </w:rPr>
      </w:pPr>
    </w:p>
    <w:p w14:paraId="7A1862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Ил-4Т 5 гмтап ЧФ комбинированным ударом двух высотных торпедоносцев (к В.И.Минаков и л Токарев) и трех низковысотных (к Павлов, л А.Р.Ковтун и л Алексеев торпедоносцев потопили танкер (2467,5).</w:t>
      </w:r>
    </w:p>
    <w:p w14:paraId="14996F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AFC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7 по 13 октября 1943 были воздушные бои над Днепром. Ш действовали против немецких оборонительных укреплений на правом берегу Днепра - и прежде всего артиллерию и минометы. При форсировании Днепра ш ставили дымзавесы, например, ГСС к Матвеев поставил завесу с высоты 25 м (430,171).</w:t>
      </w:r>
    </w:p>
    <w:p w14:paraId="20BCC4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FF4A3" w14:textId="77777777" w:rsidR="00085ED5" w:rsidRPr="00271E51" w:rsidRDefault="00085ED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октября 1943 года и 23 июня 1944 года созданный на базе трофейных польских бронепоездов №52 «Пилсудчик» и №54 «Грозный», германский </w:t>
      </w:r>
      <w:r w:rsidRPr="00271E51">
        <w:rPr>
          <w:rFonts w:ascii="Times New Roman" w:hAnsi="Times New Roman"/>
          <w:color w:val="000000" w:themeColor="text1"/>
          <w:sz w:val="16"/>
          <w:szCs w:val="16"/>
          <w:lang w:val="en-US"/>
        </w:rPr>
        <w:t>PanzerZug</w:t>
      </w:r>
      <w:r w:rsidRPr="00271E51">
        <w:rPr>
          <w:rFonts w:ascii="Times New Roman" w:hAnsi="Times New Roman"/>
          <w:color w:val="000000" w:themeColor="text1"/>
          <w:sz w:val="16"/>
          <w:szCs w:val="16"/>
        </w:rPr>
        <w:t xml:space="preserve"> №21, дважды порывался на партизанских минах. Во время советского наступления 1944 года он не успел уйти на запад и 30 октября 194 года был захвачен советскими войсками в литовском городе Мажейкяй (15218).</w:t>
      </w:r>
    </w:p>
    <w:p w14:paraId="38E8C1C5" w14:textId="77777777" w:rsidR="00085ED5" w:rsidRPr="00271E51" w:rsidRDefault="00085ED5" w:rsidP="00271E51">
      <w:pPr>
        <w:spacing w:after="0" w:line="240" w:lineRule="auto"/>
        <w:jc w:val="both"/>
        <w:rPr>
          <w:rFonts w:ascii="Times New Roman" w:hAnsi="Times New Roman"/>
          <w:color w:val="000000" w:themeColor="text1"/>
          <w:sz w:val="16"/>
          <w:szCs w:val="16"/>
        </w:rPr>
      </w:pPr>
    </w:p>
    <w:p w14:paraId="545E7104" w14:textId="77777777" w:rsidR="00D72105" w:rsidRPr="00271E51" w:rsidRDefault="00D72105" w:rsidP="00271E51">
      <w:pPr>
        <w:spacing w:after="0" w:line="240" w:lineRule="auto"/>
        <w:jc w:val="both"/>
        <w:rPr>
          <w:rFonts w:ascii="Times New Roman" w:hAnsi="Times New Roman"/>
          <w:i/>
          <w:color w:val="000000" w:themeColor="text1"/>
          <w:sz w:val="16"/>
          <w:szCs w:val="16"/>
        </w:rPr>
      </w:pPr>
      <w:r w:rsidRPr="00271E51">
        <w:rPr>
          <w:rFonts w:ascii="Times New Roman" w:hAnsi="Times New Roman"/>
          <w:i/>
          <w:color w:val="000000" w:themeColor="text1"/>
          <w:sz w:val="16"/>
          <w:szCs w:val="16"/>
        </w:rPr>
        <w:t>Внешняя политика:</w:t>
      </w:r>
    </w:p>
    <w:p w14:paraId="4622871C" w14:textId="77777777" w:rsidR="00D72105" w:rsidRPr="00271E51" w:rsidRDefault="00D72105" w:rsidP="00271E51">
      <w:pPr>
        <w:spacing w:after="0" w:line="240" w:lineRule="auto"/>
        <w:jc w:val="both"/>
        <w:rPr>
          <w:rFonts w:ascii="Times New Roman" w:hAnsi="Times New Roman"/>
          <w:i/>
          <w:color w:val="000000" w:themeColor="text1"/>
          <w:sz w:val="16"/>
          <w:szCs w:val="16"/>
        </w:rPr>
      </w:pPr>
    </w:p>
    <w:p w14:paraId="35A62326"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октября 1943. Послом США в Москве назначен У Аверелл Гарриман (18693).</w:t>
      </w:r>
    </w:p>
    <w:p w14:paraId="419F4AD0" w14:textId="77777777" w:rsidR="00D72105" w:rsidRPr="00271E51" w:rsidRDefault="00D72105" w:rsidP="00271E51">
      <w:pPr>
        <w:spacing w:after="0" w:line="240" w:lineRule="auto"/>
        <w:jc w:val="both"/>
        <w:rPr>
          <w:rFonts w:ascii="Times New Roman" w:hAnsi="Times New Roman"/>
          <w:color w:val="000000" w:themeColor="text1"/>
          <w:sz w:val="16"/>
          <w:szCs w:val="16"/>
        </w:rPr>
      </w:pPr>
    </w:p>
    <w:p w14:paraId="2B9C1CBF" w14:textId="6358A29B" w:rsidR="001B0803" w:rsidRPr="00271E51" w:rsidRDefault="001B0803"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7E610D08" w14:textId="77777777" w:rsidR="001B0803" w:rsidRPr="00271E51" w:rsidRDefault="001B0803"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C4AC9D7" w14:textId="77777777" w:rsidR="001B0803" w:rsidRPr="00271E51" w:rsidRDefault="001B080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7–8 октября (ночь) 1943 343 британских Ланкастера атакуют Штутгарт, Германия. Группа включала первый самолет, оснащенный оборудованием ABC для подавления связи немецких ночных истребителей. Немногие немецкие ночные истребители перехватывают их и налет перенаправляют в диверсионный рейд на Мюнхен, и только четыре Ланкастера (1,2 процента) потеряны. Еще 16 Ланкастеров нападают на Фридрихсхафен и заявляют, что попали на фабрику цеппелинов (20376).</w:t>
      </w:r>
    </w:p>
    <w:p w14:paraId="5C2E47DF" w14:textId="77777777" w:rsidR="001B0803" w:rsidRPr="00271E51" w:rsidRDefault="001B0803" w:rsidP="00271E51">
      <w:pPr>
        <w:spacing w:after="0" w:line="240" w:lineRule="auto"/>
        <w:jc w:val="both"/>
        <w:rPr>
          <w:rFonts w:ascii="Times New Roman" w:hAnsi="Times New Roman"/>
          <w:color w:val="0070C0"/>
          <w:sz w:val="16"/>
          <w:szCs w:val="16"/>
        </w:rPr>
      </w:pPr>
    </w:p>
    <w:p w14:paraId="20C268BC" w14:textId="77777777" w:rsidR="001B0803" w:rsidRPr="00271E51" w:rsidRDefault="001B080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октября 1943 во время службы в качестве офицера СС в Германии принц Кристоф Гессенский погиб в авиакатастрофе в Апеннинских горах недалеко от Форли, Италия . Его тело находят через два дня (20376).</w:t>
      </w:r>
    </w:p>
    <w:p w14:paraId="5D38AB25" w14:textId="77777777" w:rsidR="001B0803" w:rsidRPr="00271E51" w:rsidRDefault="001B0803" w:rsidP="00271E51">
      <w:pPr>
        <w:spacing w:after="0" w:line="240" w:lineRule="auto"/>
        <w:jc w:val="both"/>
        <w:rPr>
          <w:rFonts w:ascii="Times New Roman" w:hAnsi="Times New Roman"/>
          <w:color w:val="0070C0"/>
          <w:sz w:val="16"/>
          <w:szCs w:val="16"/>
        </w:rPr>
      </w:pPr>
    </w:p>
    <w:p w14:paraId="1705D785" w14:textId="1F078409"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629C7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D796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вышел приказ НКАП N 592с:</w:t>
      </w:r>
    </w:p>
    <w:p w14:paraId="38C5CD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АДД прошли с положительным результатом эксплуатационные испытания пружинных компенсаторов, устанавливаемых на управление РВ самолета Ил-4, разработанные и ЦАГИ Миль.</w:t>
      </w:r>
    </w:p>
    <w:p w14:paraId="176E50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 установка компенсаторов увеличивает устойчивость и значительно облегчает пилотирование самолета Ил-4:</w:t>
      </w:r>
    </w:p>
    <w:p w14:paraId="7E156B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Директорам заводов 39 Абрамову и 126 Тимофееву:</w:t>
      </w:r>
    </w:p>
    <w:p w14:paraId="16BE30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обеспечить выпуск самолетов Ил-4, оборудованных пружинными компенсаторами, по чертежам ГК С.В.И.: заводу 39 с 1 ноября, заводу 126 - с 15 ноября</w:t>
      </w:r>
    </w:p>
    <w:p w14:paraId="1959BE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ГК С.В.И. разработать и выслать 20 октября 1943 заводам 39, 126 и АДД инструкцию по эксплуатации самолета Ил-4 с установкой пружинного компенсатора на РВ (1747,23).</w:t>
      </w:r>
    </w:p>
    <w:p w14:paraId="22E3C6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38F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года вышел приказ № 475 НКАП</w:t>
      </w:r>
    </w:p>
    <w:p w14:paraId="7BA493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полного использования заводских отходов и расширения производства изделий широкого потребления для улучшения бытового обслуживания рабочих:</w:t>
      </w:r>
    </w:p>
    <w:p w14:paraId="73CDFA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Организовать на заводе № 30 филиал по производству изделий широкого потребления, присвоив ему наименование “Филиал № 1 завода № 30”.</w:t>
      </w:r>
    </w:p>
    <w:p w14:paraId="4009ED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Цех № 45 завода № 30, как имеющий законченный цикл производства спец. агрегата и территориально находящегося вне завода реорганизовать в филиал № 2 завода № 30 (8924).</w:t>
      </w:r>
    </w:p>
    <w:p w14:paraId="57D788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0F8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МИГ-3Д2 набрал высоту 11750 м за 27 мин, выпол</w:t>
      </w:r>
      <w:r w:rsidRPr="00271E51">
        <w:rPr>
          <w:rFonts w:ascii="Times New Roman" w:hAnsi="Times New Roman"/>
          <w:color w:val="000000" w:themeColor="text1"/>
          <w:sz w:val="16"/>
          <w:szCs w:val="16"/>
        </w:rPr>
        <w:softHyphen/>
        <w:t>нив при этом две промежуточных «площадки» для охлаждения мотора (9984).</w:t>
      </w:r>
    </w:p>
    <w:p w14:paraId="0E8BB7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EDA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ГИ ВВС Репин писал письмо N 615576с и просил указания С.А.Л. о том, что необходимо изготовить опытные образцы Ла-5 с усиленным вооружением в 2-х вариантах (1-й - 3хШВАК, 2-й 2хШВАК + 1хБС), которые уже разработаны С.А.Л. (1779,241).</w:t>
      </w:r>
    </w:p>
    <w:p w14:paraId="6C1B82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A0E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 главный инженер ВВС генерал Репин направил в НКАП письмо № 615576с, требуя срочно провести испытания «трехточечных» Ла-5. Наконец-то 13 октября подготовили проект приказа НКАП о переоборудовании двух Ла-5ФН под 3 ШВАК с общим боезапасом в 450 снарядов (на серийном — 340). К тому времени КБ Березина предложило новую пушку УБ-20, которая при тех же скорострель</w:t>
      </w:r>
      <w:r w:rsidRPr="00271E51">
        <w:rPr>
          <w:rFonts w:ascii="Times New Roman" w:hAnsi="Times New Roman"/>
          <w:color w:val="000000" w:themeColor="text1"/>
          <w:sz w:val="16"/>
          <w:szCs w:val="16"/>
        </w:rPr>
        <w:softHyphen/>
        <w:t>ности, снаряде и его начальной скорости весила 25 кг, а ШВАК — 42. Лавочкин решил срочно переделать проект под новое орудие. Испытания Ла-5ФНА планировали начать 15 ноября 1944 г., но из-за задержки с поставкой пушек самолет подготовили только в янва</w:t>
      </w:r>
      <w:r w:rsidRPr="00271E51">
        <w:rPr>
          <w:rFonts w:ascii="Times New Roman" w:hAnsi="Times New Roman"/>
          <w:color w:val="000000" w:themeColor="text1"/>
          <w:sz w:val="16"/>
          <w:szCs w:val="16"/>
        </w:rPr>
        <w:softHyphen/>
        <w:t>ре следующего года, а стрельбы в воздухе начали 15 февраля. Через 4 дня машину приняли в НИИ ВВС, где летчики А.Г. Кубышкин и Г.А. Модестов приступили к Госиспытани</w:t>
      </w:r>
      <w:r w:rsidRPr="00271E51">
        <w:rPr>
          <w:rFonts w:ascii="Times New Roman" w:hAnsi="Times New Roman"/>
          <w:color w:val="000000" w:themeColor="text1"/>
          <w:sz w:val="16"/>
          <w:szCs w:val="16"/>
        </w:rPr>
        <w:softHyphen/>
        <w:t>ям. Акт по их итогам подписали в первой декаде мар</w:t>
      </w:r>
      <w:r w:rsidRPr="00271E51">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5DAF2F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8DA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была подготовлена:</w:t>
      </w:r>
    </w:p>
    <w:p w14:paraId="6298BB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 «</w:t>
      </w:r>
    </w:p>
    <w:p w14:paraId="186EAA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выполнению приказа Наркома за № 523сс от 31/УШ-43 г.</w:t>
      </w:r>
    </w:p>
    <w:p w14:paraId="687C84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работ на 7/Х-43 г.</w:t>
      </w:r>
    </w:p>
    <w:p w14:paraId="0BE9E1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высотному истребителю Ла-5 с М-82ФН и ТК-3</w:t>
      </w:r>
    </w:p>
    <w:p w14:paraId="267D58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Ла-5 с М-82ФН и 2ТК-3 проходит заводские испытания на заводе № 21 с 9 июля с. г. Испытания проводи</w:t>
      </w:r>
      <w:r w:rsidRPr="00271E51">
        <w:rPr>
          <w:rFonts w:ascii="Times New Roman" w:hAnsi="Times New Roman"/>
          <w:color w:val="000000" w:themeColor="text1"/>
          <w:sz w:val="16"/>
          <w:szCs w:val="16"/>
        </w:rPr>
        <w:softHyphen/>
        <w:t>ли летчик ЛИИ тов. Юганов и летчик завода № 21 тов. Самусев. На самолете произведено 17 полетов, из них 5 полетов на высоту свыше 9000 м.</w:t>
      </w:r>
    </w:p>
    <w:p w14:paraId="31AA8E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 время испытаний отработана первая скорость нагне</w:t>
      </w:r>
      <w:r w:rsidRPr="00271E51">
        <w:rPr>
          <w:rFonts w:ascii="Times New Roman" w:hAnsi="Times New Roman"/>
          <w:color w:val="000000" w:themeColor="text1"/>
          <w:sz w:val="16"/>
          <w:szCs w:val="16"/>
        </w:rPr>
        <w:softHyphen/>
        <w:t>тателя с включением ТК. При этом потолок на первой скорос</w:t>
      </w:r>
      <w:r w:rsidRPr="00271E51">
        <w:rPr>
          <w:rFonts w:ascii="Times New Roman" w:hAnsi="Times New Roman"/>
          <w:color w:val="000000" w:themeColor="text1"/>
          <w:sz w:val="16"/>
          <w:szCs w:val="16"/>
        </w:rPr>
        <w:softHyphen/>
        <w:t>ти замерен 11000 мт.</w:t>
      </w:r>
    </w:p>
    <w:p w14:paraId="773A08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второй скорости нагнетателя с включением ТК достигнута высота 12330 мт, давление наддува при этом состав</w:t>
      </w:r>
      <w:r w:rsidRPr="00271E51">
        <w:rPr>
          <w:rFonts w:ascii="Times New Roman" w:hAnsi="Times New Roman"/>
          <w:color w:val="000000" w:themeColor="text1"/>
          <w:sz w:val="16"/>
          <w:szCs w:val="16"/>
        </w:rPr>
        <w:softHyphen/>
        <w:t>ляло 800 мм.</w:t>
      </w:r>
    </w:p>
    <w:p w14:paraId="0877CB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заключению летчика достигнутая высота не является потолком самолета и на этой высоте самолет сохраняет спо</w:t>
      </w:r>
      <w:r w:rsidRPr="00271E51">
        <w:rPr>
          <w:rFonts w:ascii="Times New Roman" w:hAnsi="Times New Roman"/>
          <w:color w:val="000000" w:themeColor="text1"/>
          <w:sz w:val="16"/>
          <w:szCs w:val="16"/>
        </w:rPr>
        <w:softHyphen/>
        <w:t>собность горизонтального и вертикального маневров.</w:t>
      </w:r>
    </w:p>
    <w:p w14:paraId="76C77F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12500 мт обнаружен перегрев масла и головок цилиндров мотора; особенно сильный нагрев обнаружен у цилиндра № 1.</w:t>
      </w:r>
    </w:p>
    <w:p w14:paraId="5E7968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самолета на второй скорости нагнетателя с включением ТК не удалось замерить вследствие появления ме</w:t>
      </w:r>
      <w:r w:rsidRPr="00271E51">
        <w:rPr>
          <w:rFonts w:ascii="Times New Roman" w:hAnsi="Times New Roman"/>
          <w:color w:val="000000" w:themeColor="text1"/>
          <w:sz w:val="16"/>
          <w:szCs w:val="16"/>
        </w:rPr>
        <w:softHyphen/>
        <w:t>таллической стружки в масляной системе мотора, из-за раз</w:t>
      </w:r>
      <w:r w:rsidRPr="00271E51">
        <w:rPr>
          <w:rFonts w:ascii="Times New Roman" w:hAnsi="Times New Roman"/>
          <w:color w:val="000000" w:themeColor="text1"/>
          <w:sz w:val="16"/>
          <w:szCs w:val="16"/>
        </w:rPr>
        <w:softHyphen/>
        <w:t>рушения дисков нагнетателя.</w:t>
      </w:r>
    </w:p>
    <w:p w14:paraId="729CD6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17/IX самолет поставлен в цех для смены мотора, уста</w:t>
      </w:r>
      <w:r w:rsidRPr="00271E51">
        <w:rPr>
          <w:rFonts w:ascii="Times New Roman" w:hAnsi="Times New Roman"/>
          <w:color w:val="000000" w:themeColor="text1"/>
          <w:sz w:val="16"/>
          <w:szCs w:val="16"/>
        </w:rPr>
        <w:softHyphen/>
        <w:t>новки нового увеличенного масляного радиатора и проведения работ по рекомендациям НИИ ВВС КА по применению системы впрыска воды в цилиндры мотора, для снижения температуры головок</w:t>
      </w:r>
      <w:r w:rsidRPr="00271E51">
        <w:rPr>
          <w:rFonts w:ascii="Times New Roman" w:hAnsi="Times New Roman"/>
          <w:smallCaps/>
          <w:color w:val="000000" w:themeColor="text1"/>
          <w:sz w:val="16"/>
          <w:szCs w:val="16"/>
        </w:rPr>
        <w:t xml:space="preserve"> ц</w:t>
      </w:r>
      <w:r w:rsidRPr="00271E51">
        <w:rPr>
          <w:rFonts w:ascii="Times New Roman" w:hAnsi="Times New Roman"/>
          <w:color w:val="000000" w:themeColor="text1"/>
          <w:sz w:val="16"/>
          <w:szCs w:val="16"/>
        </w:rPr>
        <w:t>илиндров.</w:t>
      </w:r>
    </w:p>
    <w:p w14:paraId="05D88A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ЦИАМе закончены работы по снижению гемпературы го</w:t>
      </w:r>
      <w:r w:rsidRPr="00271E51">
        <w:rPr>
          <w:rFonts w:ascii="Times New Roman" w:hAnsi="Times New Roman"/>
          <w:color w:val="000000" w:themeColor="text1"/>
          <w:sz w:val="16"/>
          <w:szCs w:val="16"/>
        </w:rPr>
        <w:softHyphen/>
        <w:t>ловок цилиндра за счет дополнительного обогащения состава смеси на высоте. Рекомендации сообщены главному конструкторц тов. Лавочкину.</w:t>
      </w:r>
    </w:p>
    <w:p w14:paraId="5F5371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данное время все эти работы закончены и с 6/Х ведется отработка ВМГ самолета на земле.</w:t>
      </w:r>
    </w:p>
    <w:p w14:paraId="1F31B2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7/Х вГорький вылетел летчик ЛИИ т. Шиянов для продол</w:t>
      </w:r>
      <w:r w:rsidRPr="00271E51">
        <w:rPr>
          <w:rFonts w:ascii="Times New Roman" w:hAnsi="Times New Roman"/>
          <w:color w:val="000000" w:themeColor="text1"/>
          <w:sz w:val="16"/>
          <w:szCs w:val="16"/>
        </w:rPr>
        <w:softHyphen/>
        <w:t>жения летных испытаний.</w:t>
      </w:r>
    </w:p>
    <w:p w14:paraId="509B2E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самолету Ла-5 с М-82ФН и ТК-3 с увеличенной площадью крыла и боевой высотой - 13000 м закончено проектировани всех агрегатов, кроме горизонтального оперения окончание проектирования которого намечено на 15/Х-с.г.</w:t>
      </w:r>
    </w:p>
    <w:p w14:paraId="6C4935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производстве находятся лонжероны центроплана, детали вставной части крыла и детали ВМГ. На серийном фюзеляже производятся перенос маслорадиатора под фюзеляж, сог ласно рекомендаций ЦАГИ.</w:t>
      </w:r>
    </w:p>
    <w:p w14:paraId="4F99EF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тов. Лавочкина составлен график по которому окончание самолета намечено на 1/ХП-с. г., против установленного приказом наркома срока 15/Х-с.г.</w:t>
      </w:r>
    </w:p>
    <w:p w14:paraId="5F9313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ускорения выпуска самолета Заместителем Наркома тов. Ворониным прдложено директору аавода № 21 т. Агаджанову выделить в распоряжение тов.Лавочкина 50 квалифицированных рабочих.</w:t>
      </w:r>
    </w:p>
    <w:p w14:paraId="285C19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Проработка в ОКБ тов. Лавочкина чертежей компановки воздухо-воздушных радиаторов закончена, но заводу № 124 чертежи еще не переданы, так как тов. Лавочкин считает, что ему удастся добиться нормальной экслоатации ВМГ самолета без воздухо-воздушных радиаторов.</w:t>
      </w:r>
    </w:p>
    <w:p w14:paraId="70476D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обеспечение летных ислытаний, ЦИАМом отпрвлены на завод № 21-2 комплекта ТК-3.</w:t>
      </w:r>
    </w:p>
    <w:p w14:paraId="7F3102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По высотному истребителю Як-9</w:t>
      </w:r>
    </w:p>
    <w:p w14:paraId="16282F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с увеличенной плошадью крыла проходят летные испытания в -'ЛИИ с 29 июля с. г. В полетах на высоте 11000 м происходило обрезание работы мотора из-за плохой регулировки смеси высотным корректором; для достижения точной регулировки в высоты в корректор введен специальный механизм.</w:t>
      </w:r>
    </w:p>
    <w:p w14:paraId="1EA1AB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Наибольшая высота полета, достигнугая при испытаниях - 12500 м.</w:t>
      </w:r>
    </w:p>
    <w:p w14:paraId="3B2E43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больше 12500 м полеты не производились из-за сильного перегревания и падения давления масла в моторе.</w:t>
      </w:r>
    </w:p>
    <w:p w14:paraId="78E0D9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испытаний в ЛИИ произведен 21 полет.</w:t>
      </w:r>
    </w:p>
    <w:p w14:paraId="6503CB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самолете проводится установка полученного 3/Х-с.г. от ЦИАМ нового могора М-105ПД. Этот мотор, повышенной высотностью, уменьшенной теплоотдачей в масло и без водо-воздушного радиатора, ЦИАМ"ом поставлен сверх количества, указанного по приказу и необходимость его подачи определялась задержкой водо-воздушных радиаторов на заводе № 124.</w:t>
      </w:r>
    </w:p>
    <w:p w14:paraId="5DA1DC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предполагается закончить 12-13/Х, т.к. из-за изменения ЦИАМом. всасывающей системы на моторе для повышения к.п.д. нагнетателя, приходится изготовлять новые всасывавшие патрубки самолега.</w:t>
      </w:r>
    </w:p>
    <w:p w14:paraId="25A6BA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Работы по самолету Як -9 с могором М-105ПД с еще более увеличенной площадью крыла и боевой высотой 13500 м на заводе № 115 приостановлены до отработки винтомогооной группы на самолете, проходящем испытания в ЛИИ.</w:t>
      </w:r>
    </w:p>
    <w:p w14:paraId="085971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обеспечения эксплоагации высотных истребителей в частях ПВО, ЦИАМ поставил пять моторов М-105ПД в следующие сроки:</w:t>
      </w:r>
    </w:p>
    <w:p w14:paraId="6A581E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w:t>
      </w:r>
      <w:r w:rsidRPr="00271E51">
        <w:rPr>
          <w:rFonts w:ascii="Times New Roman" w:hAnsi="Times New Roman"/>
          <w:color w:val="000000" w:themeColor="text1"/>
          <w:sz w:val="16"/>
          <w:szCs w:val="16"/>
        </w:rPr>
        <w:tab/>
        <w:t>2.9.43</w:t>
      </w:r>
    </w:p>
    <w:p w14:paraId="518583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w:t>
      </w:r>
      <w:r w:rsidRPr="00271E51">
        <w:rPr>
          <w:rFonts w:ascii="Times New Roman" w:hAnsi="Times New Roman"/>
          <w:color w:val="000000" w:themeColor="text1"/>
          <w:sz w:val="16"/>
          <w:szCs w:val="16"/>
        </w:rPr>
        <w:tab/>
        <w:t>4.9.43</w:t>
      </w:r>
    </w:p>
    <w:p w14:paraId="0A12E1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3-й</w:t>
      </w:r>
      <w:r w:rsidRPr="00271E51">
        <w:rPr>
          <w:rFonts w:ascii="Times New Roman" w:hAnsi="Times New Roman"/>
          <w:color w:val="000000" w:themeColor="text1"/>
          <w:sz w:val="16"/>
          <w:szCs w:val="16"/>
        </w:rPr>
        <w:tab/>
        <w:t>8.9.43</w:t>
      </w:r>
    </w:p>
    <w:p w14:paraId="11564C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4-й</w:t>
      </w:r>
      <w:r w:rsidRPr="00271E51">
        <w:rPr>
          <w:rFonts w:ascii="Times New Roman" w:hAnsi="Times New Roman"/>
          <w:color w:val="000000" w:themeColor="text1"/>
          <w:sz w:val="16"/>
          <w:szCs w:val="16"/>
        </w:rPr>
        <w:tab/>
        <w:t>9.9.43</w:t>
      </w:r>
    </w:p>
    <w:p w14:paraId="36C579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5-й</w:t>
      </w:r>
      <w:r w:rsidRPr="00271E51">
        <w:rPr>
          <w:rFonts w:ascii="Times New Roman" w:hAnsi="Times New Roman"/>
          <w:color w:val="000000" w:themeColor="text1"/>
          <w:sz w:val="16"/>
          <w:szCs w:val="16"/>
        </w:rPr>
        <w:tab/>
        <w:t>11.9.43</w:t>
      </w:r>
    </w:p>
    <w:p w14:paraId="50C2B2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 все моторы были поданы ранее установленных прика</w:t>
      </w:r>
      <w:r w:rsidRPr="00271E51">
        <w:rPr>
          <w:rFonts w:ascii="Times New Roman" w:hAnsi="Times New Roman"/>
          <w:color w:val="000000" w:themeColor="text1"/>
          <w:sz w:val="16"/>
          <w:szCs w:val="16"/>
        </w:rPr>
        <w:softHyphen/>
        <w:t>зом сроков.</w:t>
      </w:r>
    </w:p>
    <w:p w14:paraId="5847E3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Мотор М-105ПД с высотностью 9500 м с водо-воздушными радиаторами заводу № 115 не подан, гак как завод № 124 до сих пор не отработал водо-воздушные радиаторы. Поданные ааводом № 124 ЦИАМ"у водо-воадушные радиаторы оказались некондиционными и при испыганиях в потекли, вследствие разрушения грубок у заделки, а также в местах пайки.</w:t>
      </w:r>
    </w:p>
    <w:p w14:paraId="58DF17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ЦИАМ получил новые водо-воздущные радиа</w:t>
      </w:r>
      <w:r w:rsidRPr="00271E51">
        <w:rPr>
          <w:rFonts w:ascii="Times New Roman" w:hAnsi="Times New Roman"/>
          <w:color w:val="000000" w:themeColor="text1"/>
          <w:sz w:val="16"/>
          <w:szCs w:val="16"/>
        </w:rPr>
        <w:softHyphen/>
        <w:t>торы с завода № 124, которые при испыганиях 6/Х-с.г.гак же потекли иа-аа разрушения трубок у заделки.</w:t>
      </w:r>
    </w:p>
    <w:p w14:paraId="018E0F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7/Х заводом № 124 снова поданы ЦИАМ"у водо-воздушные радиаторы улучшенного типа с постановкой сеток, вы</w:t>
      </w:r>
      <w:r w:rsidRPr="00271E51">
        <w:rPr>
          <w:rFonts w:ascii="Times New Roman" w:hAnsi="Times New Roman"/>
          <w:color w:val="000000" w:themeColor="text1"/>
          <w:sz w:val="16"/>
          <w:szCs w:val="16"/>
        </w:rPr>
        <w:softHyphen/>
        <w:t>равнивающих водяную струю и дополнительной средней пе</w:t>
      </w:r>
      <w:r w:rsidRPr="00271E51">
        <w:rPr>
          <w:rFonts w:ascii="Times New Roman" w:hAnsi="Times New Roman"/>
          <w:color w:val="000000" w:themeColor="text1"/>
          <w:sz w:val="16"/>
          <w:szCs w:val="16"/>
        </w:rPr>
        <w:softHyphen/>
        <w:t>регородкой, закрепляющей трубки в середине радиатора.</w:t>
      </w:r>
    </w:p>
    <w:p w14:paraId="41F5D7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По высотному истребителю МИГ с АМ-39 с 2ТК-2Б</w:t>
      </w:r>
    </w:p>
    <w:p w14:paraId="0F6A6A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подготовлен для монтажа мотора. Работы- задерживаются из-за отсутствия высотного мотора АМ-39, ко-</w:t>
      </w:r>
    </w:p>
    <w:p w14:paraId="0081EB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горый заводом № 300, по приказу Наркома от 31/УШ-с.г., должен был быть доставлен заводу № 155 - 15/1Х-с.г.</w:t>
      </w:r>
    </w:p>
    <w:p w14:paraId="1334A3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3/Х заводом № 300 был подготовлен мотор для поставки его заводу № 155. Мотор после окончания контрольных испытаний был переведен на работу на чистом бензине, для подготовки его к консервации. При работе на чис</w:t>
      </w:r>
      <w:r w:rsidRPr="00271E51">
        <w:rPr>
          <w:rFonts w:ascii="Times New Roman" w:hAnsi="Times New Roman"/>
          <w:color w:val="000000" w:themeColor="text1"/>
          <w:sz w:val="16"/>
          <w:szCs w:val="16"/>
        </w:rPr>
        <w:softHyphen/>
        <w:t>том бензине мотор заклинило из-за перекрытия доступа масла в мотор, по недосмотру работников испытательной станции.</w:t>
      </w:r>
    </w:p>
    <w:p w14:paraId="65631F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7/Х на заводе № 300 заканчивается сборкой новый мотор, который после обкатки и сдаточных испытаний, пред</w:t>
      </w:r>
      <w:r w:rsidRPr="00271E51">
        <w:rPr>
          <w:rFonts w:ascii="Times New Roman" w:hAnsi="Times New Roman"/>
          <w:color w:val="000000" w:themeColor="text1"/>
          <w:sz w:val="16"/>
          <w:szCs w:val="16"/>
        </w:rPr>
        <w:softHyphen/>
        <w:t>полагается передать заводу № 155 - 11/Х. На этот мотор подан новый усиленный радиатор завода № 124.</w:t>
      </w:r>
    </w:p>
    <w:p w14:paraId="26AC0B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Четырехлопастные винты и два комплекта ТК-2Б заводом № 155 получены.</w:t>
      </w:r>
    </w:p>
    <w:p w14:paraId="313F76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1У. По высотному бомбардировщику Ил-4 с 2М-88Б и ТК-М с герметической кабиной</w:t>
      </w:r>
    </w:p>
    <w:p w14:paraId="6AA9F4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совершил, 16/1Х-с. г. полег до высоты 7500 м с серийными винтами ВИШ-23. На этой высоте обнаружилась раскрутка винта на правом моторе .ввиду чего дальнейшие полеты были прекращены.</w:t>
      </w:r>
    </w:p>
    <w:p w14:paraId="150F5F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заводом № 240, совместно с пред</w:t>
      </w:r>
      <w:r w:rsidRPr="00271E51">
        <w:rPr>
          <w:rFonts w:ascii="Times New Roman" w:hAnsi="Times New Roman"/>
          <w:color w:val="000000" w:themeColor="text1"/>
          <w:sz w:val="16"/>
          <w:szCs w:val="16"/>
        </w:rPr>
        <w:softHyphen/>
        <w:t>ставителями винтовых КБ, производятся наземные испытания высотных винтов: трехлопастных ВИШ-61П и четырехлопастных АВ-9. Устоаняются обнаруженные дефекты: раскрутка по винту ВИШ-23 и недодача оборотов по винту ВИШ-61П. После, устранения указанных дефектов, летные испытания са</w:t>
      </w:r>
      <w:r w:rsidRPr="00271E51">
        <w:rPr>
          <w:rFonts w:ascii="Times New Roman" w:hAnsi="Times New Roman"/>
          <w:color w:val="000000" w:themeColor="text1"/>
          <w:sz w:val="16"/>
          <w:szCs w:val="16"/>
        </w:rPr>
        <w:softHyphen/>
        <w:t>молетов будут продолжены.</w:t>
      </w:r>
    </w:p>
    <w:p w14:paraId="09E116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первом эквемпляре самолета Ил-4 без герметичес</w:t>
      </w:r>
      <w:r w:rsidRPr="00271E51">
        <w:rPr>
          <w:rFonts w:ascii="Times New Roman" w:hAnsi="Times New Roman"/>
          <w:color w:val="000000" w:themeColor="text1"/>
          <w:sz w:val="16"/>
          <w:szCs w:val="16"/>
        </w:rPr>
        <w:softHyphen/>
        <w:t>кой кабины и имеющем установку ТК-3, был произведен ряд полетов, в которых была достигнута высота 7100 м на пер</w:t>
      </w:r>
      <w:r w:rsidRPr="00271E51">
        <w:rPr>
          <w:rFonts w:ascii="Times New Roman" w:hAnsi="Times New Roman"/>
          <w:color w:val="000000" w:themeColor="text1"/>
          <w:sz w:val="16"/>
          <w:szCs w:val="16"/>
        </w:rPr>
        <w:softHyphen/>
        <w:t>вой скорости нагнетателя с включением ТК, вместо высоты 9500 мт. по расчету.</w:t>
      </w:r>
    </w:p>
    <w:p w14:paraId="1B1F13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По высотному двухмоторному истребителю Пе-2 с 2М- 105ПД с герметич. кабиной</w:t>
      </w:r>
    </w:p>
    <w:p w14:paraId="1228D5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6/Х самолет перелетел из Казани в ЛИИ НКАП для про</w:t>
      </w:r>
      <w:r w:rsidRPr="00271E51">
        <w:rPr>
          <w:rFonts w:ascii="Times New Roman" w:hAnsi="Times New Roman"/>
          <w:color w:val="000000" w:themeColor="text1"/>
          <w:sz w:val="16"/>
          <w:szCs w:val="16"/>
        </w:rPr>
        <w:softHyphen/>
        <w:t>хождения летных испытаний и доводки винтомоторной труппы.</w:t>
      </w:r>
    </w:p>
    <w:p w14:paraId="43A565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ЛИИ производится приемка самолета и подготовка к летным испытаниям (1458,332).</w:t>
      </w:r>
    </w:p>
    <w:p w14:paraId="3B2C55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650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 в соответствии с решением ГОКО № 4290с и приказом № 764с от 23.12.1943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10ГУ из 6ГУ с 1.01.1944 г.</w:t>
      </w:r>
    </w:p>
    <w:p w14:paraId="54BD7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1944 г. по 05.1945 г. на заводе из деталей завода № 39 собрано пять Ер-2.</w:t>
      </w:r>
    </w:p>
    <w:p w14:paraId="047C13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самолетостроения.38 С 1.10.46 г. получил статус опытного завода. С 1.07.1948 г. вновь преобразован в серийный (в 10ГУ). В 1959 г.- в ведении Ростовского СНХ.</w:t>
      </w:r>
    </w:p>
    <w:p w14:paraId="270B3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48ED4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267596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(1.07.2003 г.)- 4109 чел.</w:t>
      </w:r>
    </w:p>
    <w:p w14:paraId="082063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Директор (05.1944-02.1946 г.)- П.М. Федоренко, (1954 г.)- М.А. Соболев 29, (1958- начало 1970-х г.)- С.М. Головин 35, (1983 г.)- Н.В. Ожерельев 44. Гендиректор (-2002 г.)- В.Н. Какуркин, (2002 г.-; 02.2005 г.)- Н.В. Савицких, (10.2004 г.)- И.С. Семченко.</w:t>
      </w:r>
    </w:p>
    <w:p w14:paraId="5DA163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ВЭС- В.Н. Какуркин.</w:t>
      </w:r>
    </w:p>
    <w:p w14:paraId="1377B4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(1963-74 г.)- Р.Л. Бартини.</w:t>
      </w:r>
    </w:p>
    <w:p w14:paraId="725F5D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4F99D4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 г.)- В.Н. Малинин, (1954 г.)- С.М. Головин, (1958 г.)- А.Б. Катькалов, (нач. 1970-х г.)- Г. Будюк,35 (-; 2002-04 г.-)- В.Н. Какуркин.</w:t>
      </w:r>
    </w:p>
    <w:p w14:paraId="5B6D6E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(1944 г.)- Н.Д. Архипов. Начальник производства (1944 г.)- Духанин, (1950-е)- А.И. Шамров. Начальник СКО (1944 г.)- Н.П. Назаренко. Начальник ЛИС (1944 г.)- Н.И. Мамлеев.</w:t>
      </w:r>
    </w:p>
    <w:p w14:paraId="10343E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(1950-е)- А.Я. Егоров (нач. сборочного цеха).</w:t>
      </w:r>
    </w:p>
    <w:p w14:paraId="3F3B4D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Бе-6 (1952-57)- 129 (123), Бе-8, Ил-32, УЧШЛи-2 (1950-е), Бе-10 (1957-61)- 2629 (2837), Бе-12 (1963-73)- 139, Бе-30 (1970)- 5, ВВА-14 (1972-74)- 2, Ту-142 (1973-2004-), А-50 (2004); оперение для Ту-334 (2004); оборудование для десантирования грузов (2004);</w:t>
      </w:r>
    </w:p>
    <w:p w14:paraId="610FAC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УРВП: Х-20 (1960-61), Х-20М (1962-); мишени: ПМ-3Ж (1958-59), 77БМ-2М (1959), 77БМ-3М (1960-62);</w:t>
      </w:r>
    </w:p>
    <w:p w14:paraId="3166F2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пр. 13987 «Боец», пр. 11130 «Орион» (2000-е).</w:t>
      </w:r>
    </w:p>
    <w:p w14:paraId="557D60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Заводской номер. 3602704: 3- последняя цифра года выпуска; 6- последняя цифра номера завода; 27- номер серии; 04- номер самолета в серии.</w:t>
      </w:r>
    </w:p>
    <w:p w14:paraId="45EC6A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86 НКАП, МАП, Ростовского СНХ, ГС опытный завод морского самолетостроения, Таганрогский механический завод им. Г. Димитрова МАП, ТАПП (таганрогское авиационное производственное предприятие) им. Г. Димитрова, ОАО «Таганрогская авиация» («ТАВИА») </w:t>
      </w:r>
    </w:p>
    <w:p w14:paraId="19C6C2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347923 г. Таганрог Ростовской обл. пл. Авиаторов, 1 тел. 36-63-64</w:t>
      </w:r>
    </w:p>
    <w:p w14:paraId="7916ED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ОКБ-86 4-го Спецотдела МВД при заводе № 86 МАП гл. конструктора Р.Л. Бартини</w:t>
      </w:r>
    </w:p>
    <w:p w14:paraId="7FB2D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Таганрог</w:t>
      </w:r>
    </w:p>
    <w:p w14:paraId="0BFFD4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КБ с опытной базой организовано в соответствии с постановлением № 1666-737сс от 29.07.1946 г. и приказами № 555сс от 17.08.1946 г. и № 608с/0283 от 5.09.1946 г. при заводе № 86.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7092B2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46E355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1A4ED5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(09.1946-48 г.; 1963-06.1968 г.)- Р.Л. Бартини.</w:t>
      </w:r>
    </w:p>
    <w:p w14:paraId="5D6C43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(09.1946 г.-)- М.С. Ямалутдинов.</w:t>
      </w:r>
    </w:p>
    <w:p w14:paraId="1D5EE5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5C9805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4F188F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3F5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4289 О плане производства самолетов и авиамоторов на IV квартал 1943 г.РГАНИР, Фонд ГКО, д. 160, лл. 167-170 (11012).</w:t>
      </w:r>
    </w:p>
    <w:p w14:paraId="3BF40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0A0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4290 О материально-техническом обеспечении Наркомавиапрома в IV квартале 1943 г.РГАНИР, Фонд ГКО, д. 161, лл. 1-6, 7-152 (11012).</w:t>
      </w:r>
    </w:p>
    <w:p w14:paraId="5C22F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920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4291 О ремонте самолетов, авиационных моторов и материально-техническом обеспечении реморганов ВВС КА, АДД, ВВС ВМФ и ГВФ в IV квартале 1943 года.РГАНИР, Фонд ГКО, д. 161, лл. 153-159, 160-297 (11012).</w:t>
      </w:r>
    </w:p>
    <w:p w14:paraId="38B1BA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12A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4294 О формировании подвижных авиаремонтных мастерских - ПАРМ-10с для ремонта самолетов ВВС Красной Армии.РГАНИР, Фонд ГКО, д. 162, лл. 99, 100-101 (11012).</w:t>
      </w:r>
    </w:p>
    <w:p w14:paraId="000BCA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692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4295 О формировании авиационно-технических бригад из инженерно-технического состава ВВС численностью 1 тыс. чел. для работы на заводах НКАП до конца войны.РГАНИР, Фонд ГКО, д. 162, лл. 102 (11012).</w:t>
      </w:r>
    </w:p>
    <w:p w14:paraId="7D0BA4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EFE3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E5BC5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0DF75" w14:textId="77777777" w:rsidR="003253B5" w:rsidRPr="00271E51" w:rsidRDefault="003253B5"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С 8 октября 1943 года 230-й танковый полк на Т-80 действовал совместно со 2-й гвардейской кавалерийской дивизией. Его первым боевым заданием стало форсирование Днепра. К моменту введения в бой на вооружении 230-го тп имелось 10 Т-34, 18 Т-80 и 1 Т-70. 10 октября полк, взаимодействуя с кавалеристами, штурмовал Затонск. При этом отличилась 1-я танковая рота под командованием старшего лейтенанта А.В. Оганесяна, имевшая на вооружении 4 Т-34 и 3 Т-80. Танки использовались не только для поддержки кавалерии, но и как средство доставки кавалеристов до места боя. За 10 число полк потерял 1 Т-80 сгоревшим и 2 подбитыми. На следующий день танки полка выручали кавалеристов, окружённых в Сычёвке. 12 октября снова шли упорные бои за Затонск. В их ходе удалось уничтожить 3 САУ (вероятнее всего, </w:t>
      </w:r>
      <w:hyperlink r:id="rId112" w:history="1">
        <w:r w:rsidRPr="00271E51">
          <w:rPr>
            <w:rStyle w:val="a5"/>
            <w:color w:val="000000" w:themeColor="text1"/>
            <w:sz w:val="16"/>
            <w:szCs w:val="16"/>
          </w:rPr>
          <w:t>Marder</w:t>
        </w:r>
      </w:hyperlink>
      <w:r w:rsidRPr="00271E51">
        <w:rPr>
          <w:color w:val="000000" w:themeColor="text1"/>
          <w:sz w:val="16"/>
          <w:szCs w:val="16"/>
        </w:rPr>
        <w:t xml:space="preserve">), 6 </w:t>
      </w:r>
      <w:hyperlink r:id="rId113" w:history="1">
        <w:r w:rsidRPr="00271E51">
          <w:rPr>
            <w:rStyle w:val="a5"/>
            <w:color w:val="000000" w:themeColor="text1"/>
            <w:sz w:val="16"/>
            <w:szCs w:val="16"/>
          </w:rPr>
          <w:t>Pz.Kpfw.III</w:t>
        </w:r>
      </w:hyperlink>
      <w:r w:rsidRPr="00271E51">
        <w:rPr>
          <w:color w:val="000000" w:themeColor="text1"/>
          <w:sz w:val="16"/>
          <w:szCs w:val="16"/>
        </w:rPr>
        <w:t xml:space="preserve"> и </w:t>
      </w:r>
      <w:hyperlink r:id="rId114" w:history="1">
        <w:r w:rsidRPr="00271E51">
          <w:rPr>
            <w:rStyle w:val="a5"/>
            <w:color w:val="000000" w:themeColor="text1"/>
            <w:sz w:val="16"/>
            <w:szCs w:val="16"/>
          </w:rPr>
          <w:t>Pz.Kpfw.IV</w:t>
        </w:r>
      </w:hyperlink>
      <w:r w:rsidRPr="00271E51">
        <w:rPr>
          <w:color w:val="000000" w:themeColor="text1"/>
          <w:sz w:val="16"/>
          <w:szCs w:val="16"/>
        </w:rPr>
        <w:t xml:space="preserve">, 2 </w:t>
      </w:r>
      <w:hyperlink r:id="rId115" w:history="1">
        <w:r w:rsidRPr="00271E51">
          <w:rPr>
            <w:rStyle w:val="a5"/>
            <w:color w:val="000000" w:themeColor="text1"/>
            <w:sz w:val="16"/>
            <w:szCs w:val="16"/>
          </w:rPr>
          <w:t>БТР</w:t>
        </w:r>
      </w:hyperlink>
      <w:r w:rsidRPr="00271E51">
        <w:rPr>
          <w:color w:val="000000" w:themeColor="text1"/>
          <w:sz w:val="16"/>
          <w:szCs w:val="16"/>
        </w:rPr>
        <w:t xml:space="preserve">, 1 </w:t>
      </w:r>
      <w:hyperlink r:id="rId116" w:history="1">
        <w:r w:rsidRPr="00271E51">
          <w:rPr>
            <w:rStyle w:val="a5"/>
            <w:color w:val="000000" w:themeColor="text1"/>
            <w:sz w:val="16"/>
            <w:szCs w:val="16"/>
          </w:rPr>
          <w:t>бронемашину</w:t>
        </w:r>
      </w:hyperlink>
      <w:r w:rsidRPr="00271E51">
        <w:rPr>
          <w:color w:val="000000" w:themeColor="text1"/>
          <w:sz w:val="16"/>
          <w:szCs w:val="16"/>
        </w:rPr>
        <w:t xml:space="preserve"> и 3 </w:t>
      </w:r>
      <w:hyperlink r:id="rId117" w:history="1">
        <w:r w:rsidRPr="00271E51">
          <w:rPr>
            <w:rStyle w:val="a5"/>
            <w:color w:val="000000" w:themeColor="text1"/>
            <w:sz w:val="16"/>
            <w:szCs w:val="16"/>
          </w:rPr>
          <w:t>грузовика</w:t>
        </w:r>
      </w:hyperlink>
      <w:r w:rsidRPr="00271E51">
        <w:rPr>
          <w:color w:val="000000" w:themeColor="text1"/>
          <w:sz w:val="16"/>
          <w:szCs w:val="16"/>
        </w:rPr>
        <w:t>. Потери советских танкистов составили 3 сгоревших Т-80 и 2 подбитых Т-34, 5 человек убитыми и 10 ранеными. Действовавший вместе с ними 7-й гвардейский кавалерийский полк потерял 7 человек убитыми и 30 ранеными.</w:t>
      </w:r>
    </w:p>
    <w:p w14:paraId="4F4960FF" w14:textId="77777777" w:rsidR="003253B5" w:rsidRPr="00271E51" w:rsidRDefault="003253B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Упорные бои за Затонск продолжались несколько дней. Всего в период с 10 по 20 октября 230-й тп потерял убитыми 20 человек, ранеными 28, 1 танкист пропал без вести. К 3 ноября в составе части оставалось 4 Т-34, 12 Т-80 и 1 Т-70.</w:t>
      </w:r>
    </w:p>
    <w:p w14:paraId="4D1AFA24" w14:textId="77777777" w:rsidR="003253B5" w:rsidRPr="00271E51" w:rsidRDefault="003253B5" w:rsidP="00271E51">
      <w:pPr>
        <w:pStyle w:val="ae"/>
        <w:shd w:val="clear" w:color="auto" w:fill="FFFFFF"/>
        <w:spacing w:before="0" w:after="0"/>
        <w:jc w:val="both"/>
        <w:rPr>
          <w:color w:val="000000" w:themeColor="text1"/>
          <w:sz w:val="16"/>
          <w:szCs w:val="16"/>
        </w:rPr>
      </w:pPr>
      <w:r w:rsidRPr="00271E51">
        <w:rPr>
          <w:color w:val="000000" w:themeColor="text1"/>
          <w:sz w:val="16"/>
          <w:szCs w:val="16"/>
        </w:rPr>
        <w:t>5 ноября полк получил задачу во взаимодействии с кавалеристами атаковать Раковку и создать там опорный пункт. Действуя совместно с кавалерией, к 11 ноября танкисты вышли в район города Коростышев Житомирской области. Потери полка: 1 Т-34 сгоревшим и 1 Т-80 подбитым.</w:t>
      </w:r>
    </w:p>
    <w:p w14:paraId="1EFB1950" w14:textId="77777777" w:rsidR="003253B5" w:rsidRPr="00271E51" w:rsidRDefault="003253B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14 числу полк был в Житомире. На следующий день немецкие войска контратаковали, завязались тяжёлые оборонительные бои. 19 ноября погиб командир полка подполковник Д.А. Щербаков (по другим данным, здесь он был тяжело ранен, а погиб 1 апреля 1945 года). В ходе боёв за Житомир полк потерял 5 танков, 8 человек было убито, 10 ранено, без вести пропало 22. Житомир 19 ноября снова оказался в руках немецких войск, освободили его только 31 декабря. 230-й танковый полк отправился на переформирование (17712).</w:t>
      </w:r>
    </w:p>
    <w:p w14:paraId="2206CA90" w14:textId="77777777" w:rsidR="003253B5" w:rsidRPr="00271E51" w:rsidRDefault="003253B5" w:rsidP="00271E51">
      <w:pPr>
        <w:pStyle w:val="12a"/>
        <w:shd w:val="clear" w:color="auto" w:fill="auto"/>
        <w:spacing w:after="0" w:line="240" w:lineRule="auto"/>
        <w:jc w:val="both"/>
        <w:rPr>
          <w:color w:val="000000" w:themeColor="text1"/>
          <w:sz w:val="16"/>
          <w:szCs w:val="16"/>
        </w:rPr>
      </w:pPr>
    </w:p>
    <w:p w14:paraId="7995A8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Распоряжение ГКО № 4287. О сохранении производства лифтов на заводе "Лифт" Главгазтоппрома при СНК СССР.РГАНИР, Фонд ГКО, д. 160, лл. 155 (11012).</w:t>
      </w:r>
    </w:p>
    <w:p w14:paraId="7D603E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9E4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4288 О плане распределения электроэнергии на IV кв. 1943 г. по Уральской и Кемеровской энергосистемам.РГАНИР, Фонд ГКО, д. 160, лл. 156, 157-166 (11012).</w:t>
      </w:r>
    </w:p>
    <w:p w14:paraId="43AE78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490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4292 О мероприятиях по обеспечению бесперебойной работы цветной металлургии в IV квартале 1943 года.РГАНИР, Фонд ГКО, д. 162, лл. 1-11, 12-67 (11012).</w:t>
      </w:r>
    </w:p>
    <w:p w14:paraId="3C6606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20F3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 в Докладной записке Замнарком-фина СССР Я.Голяева Н.А.Вознесенскому отмечалось, что «стоимость военной про</w:t>
      </w:r>
      <w:r w:rsidRPr="00271E51">
        <w:rPr>
          <w:rFonts w:ascii="Times New Roman" w:hAnsi="Times New Roman"/>
          <w:color w:val="000000" w:themeColor="text1"/>
          <w:sz w:val="16"/>
          <w:szCs w:val="16"/>
        </w:rPr>
        <w:softHyphen/>
        <w:t>дукции на предприятиях гражданских наркоматов чрезвычайно высока и предприятия несут вследствие этого большие убытки» /33/.</w:t>
      </w:r>
    </w:p>
    <w:p w14:paraId="5830BC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размещении заказов, — отмечает автор записки, — ДРУ-гой коренной недостаток организации производства «военной» продукции «гражданскими» наркоматами, — имеют место случаи частой переброски изделий с одного завода на другой, что при</w:t>
      </w:r>
      <w:r w:rsidRPr="00271E51">
        <w:rPr>
          <w:rFonts w:ascii="Times New Roman" w:hAnsi="Times New Roman"/>
          <w:color w:val="000000" w:themeColor="text1"/>
          <w:sz w:val="16"/>
          <w:szCs w:val="16"/>
        </w:rPr>
        <w:softHyphen/>
        <w:t>водит в ряде случаев к омертвлению созданных заделов, инстру</w:t>
      </w:r>
      <w:r w:rsidRPr="00271E51">
        <w:rPr>
          <w:rFonts w:ascii="Times New Roman" w:hAnsi="Times New Roman"/>
          <w:color w:val="000000" w:themeColor="text1"/>
          <w:sz w:val="16"/>
          <w:szCs w:val="16"/>
        </w:rPr>
        <w:softHyphen/>
        <w:t>ментов и приспособлений на заводах, с которых производство снимается, и к дополнительным затратам на заводах, на которых производство военной продукции организуется. НКФ СССР по</w:t>
      </w:r>
      <w:r w:rsidRPr="00271E51">
        <w:rPr>
          <w:rFonts w:ascii="Times New Roman" w:hAnsi="Times New Roman"/>
          <w:color w:val="000000" w:themeColor="text1"/>
          <w:sz w:val="16"/>
          <w:szCs w:val="16"/>
        </w:rPr>
        <w:softHyphen/>
        <w:t>лагает, что Правительству необходимо дать наркоматам указания насчет того, чтобы при размещении заказов между заводами учи</w:t>
      </w:r>
      <w:r w:rsidRPr="00271E51">
        <w:rPr>
          <w:rFonts w:ascii="Times New Roman" w:hAnsi="Times New Roman"/>
          <w:color w:val="000000" w:themeColor="text1"/>
          <w:sz w:val="16"/>
          <w:szCs w:val="16"/>
        </w:rPr>
        <w:softHyphen/>
        <w:t>тывался уровень себестоимости и заказы, при прочих равных ус</w:t>
      </w:r>
      <w:r w:rsidRPr="00271E51">
        <w:rPr>
          <w:rFonts w:ascii="Times New Roman" w:hAnsi="Times New Roman"/>
          <w:color w:val="000000" w:themeColor="text1"/>
          <w:sz w:val="16"/>
          <w:szCs w:val="16"/>
        </w:rPr>
        <w:softHyphen/>
        <w:t>ловиях, размещались бы на предприятиях, имеющих более низ</w:t>
      </w:r>
      <w:r w:rsidRPr="00271E51">
        <w:rPr>
          <w:rFonts w:ascii="Times New Roman" w:hAnsi="Times New Roman"/>
          <w:color w:val="000000" w:themeColor="text1"/>
          <w:sz w:val="16"/>
          <w:szCs w:val="16"/>
        </w:rPr>
        <w:softHyphen/>
        <w:t>кие издержки производства» (РГАЭ ф. 7733, оп. Оп. 36, д. 1229, л. 73) (1566).</w:t>
      </w:r>
    </w:p>
    <w:p w14:paraId="60B257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79CE9"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г. нарком Седин направил председателю Совнаркома Татарской АССР Сулейману Гафиатуллину письмо следующего содержания: «На Ваши вопросы, поставленные в докладной записке от 27 сентября 1943 г., [сообщаем]. Полученный на Шугуровской структуре в скважине № 1 промышленный приток нефти и общие геологические данные дают основание считать Шугуровскую структуру промышленно-нефтеносной. Но для организации промысла данных об общей нефтеносности структуры недостаточно. Для организации промысла необходимо иметь площадь, подготовленную к заложению достаточного количества эксплуатационных скважин, и подсчет запасов нефти по категории А и В. Для этого на Шугуровской структуре необходимо пробурить еще не менее 3 - 5 разведочных скважин. Вместе с этим, учитывая требования военного времени и считая Шугуровскую структуру перспективной, Наркомнефтью уже дано распоряжение немедленно приступить к подготовительным работам, связанным с организацией на Шугуровской структуре нефтепромысла. Одновременно дано указание Главнефтеразведке форсировать бурение разведочных скважин. Народный комиссар нефтяной промышленности СССР Седин» (11523).</w:t>
      </w:r>
    </w:p>
    <w:p w14:paraId="68DB73A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45EFD14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C3CC9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10768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8 октября </w:t>
      </w:r>
      <w:r w:rsidRPr="00271E51">
        <w:rPr>
          <w:rFonts w:ascii="Times New Roman" w:hAnsi="Times New Roman"/>
          <w:color w:val="000000" w:themeColor="text1"/>
          <w:sz w:val="16"/>
          <w:szCs w:val="16"/>
        </w:rPr>
        <w:t>в 1943 году оперативная сводка Совинформбюро:</w:t>
      </w:r>
    </w:p>
    <w:p w14:paraId="09A05D6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октября войска Северо-Кавказского фронта продолжали очищать северную часть Таманского полуострова и уничтожали остатки войск противника. Заняты опорные пункты немцев Голубинский, Кучугуры, Фонталовская, Татарский, Весёлый, Запорожская.</w:t>
      </w:r>
    </w:p>
    <w:p w14:paraId="682D21D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наши войска продолжали вести бои по расширению плацдармов на правом берегу реки в прежних районах.</w:t>
      </w:r>
    </w:p>
    <w:p w14:paraId="26794AD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наступательные бои и, продвинувшись вперёд от 6 до 12 километров, заняли более 150 населённых пунктов, среди которых крупные населённые пункты Сибяки, Каспляне, Праники, Верхние и Нижние Кошевичи, Кошеватка, Загородно, Рубежница, Новая Бель, Якубовщина, Заольша, Шубки, Любавичи, Клемятина, Ефремово, Дашковцы, Герасименки и железнодорожную станцию Заольша.</w:t>
      </w:r>
    </w:p>
    <w:p w14:paraId="16390A5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наши войска, продолжая наступление, заняли более 60 населённых пунктов, среди которых Лахны, Касилово, Рикшино, Буслова, Жуково, Раки, Болотница.</w:t>
      </w:r>
    </w:p>
    <w:p w14:paraId="254ED5E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октября наши войска на всех фронтах подбили и уничтожили 50 немецких танков. В воздушных боях и огнём зенитной артиллерии сбито 87 самолётов противника.</w:t>
      </w:r>
    </w:p>
    <w:p w14:paraId="5C716D3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Таманском полуострове ваши войска продолжали уничтожать остатки войск противника. Части Н-ского соединения вели бои с немцами, засевшими в опорных пунктах Кучугуры, Фонталовская и Татарский. К исходу дня гитлеровцы, оборонявшиеся на этом рубеже, в большей своей части уничтожены, а остатки сдались в плен. Захвачено 34 орудия, 8 миномётных батарей, 142 пулемёта, 6 складов с боеприпасами и несколько складов с разным военным имуществом.</w:t>
      </w:r>
    </w:p>
    <w:p w14:paraId="0676BBF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бомбардировать плавсредства противника в Керченском проливе. Потоплено 5 барж с немецкой пехотой. В воздушных боях сбито 16 немецких самолётов.</w:t>
      </w:r>
    </w:p>
    <w:p w14:paraId="1415609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наши войска продолжали вести бои за расширение плацдармов. Части Н-ского соединения, отражая контратаки противника, продвинулись вперёд и улучшили свои позиции. В течение дня уничтожено до 800 немецких солдат и офицеров. В другом районе немцы, пытаясь ликвидировать плацдарм наших войск на правом берегу Днепра, ввели в бой крупные силы пехоты и танков. Бои приняли чрезвычайно ожесточённый характер. Наши войска отбили контратаки противника и уничтожили до 2.000 немецких солдат и офицеров, подбили и сожгли 24 танка и 8 самоходных орудий.</w:t>
      </w:r>
    </w:p>
    <w:p w14:paraId="1327A913"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32 немецких самолёта.</w:t>
      </w:r>
    </w:p>
    <w:p w14:paraId="738DE90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за день боёв освободили от немецких захватчиков более 150 населённых пунктов. Опираясь на заранее подготовленные позиции, противник оказывает сопротивление, но под ударами советских войск откатывается на запад. Упорные бои происходили сегодня в районе одного крупного населённого пункта. К исходу дня бойцы Н-ской части атаковали немцев одновременно с двух сторон, ворвались в село и уничтожили весь вражеский гарнизон. На поле боя осталось свыше 400 трупов немецких солдат и офицеров. Захвачены трофеи, в числе которых 11 орудий, 35 пулемётов и склад с военным имуществом. Взяты пленные.</w:t>
      </w:r>
    </w:p>
    <w:p w14:paraId="2632D64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Калининского фронта, овладев городом и железнодорожным узлом Невель, продолжали наступление и заняли ряд населённых пунктов. В боях на подступах к Невелю и на улицах города наши войска уничтожили до 3.000 немецких солдат и офицеров. Взято более 600 пленных. Противник всеми мерами пытается задержать продвижение наших войск, но терпит неудачу. Части Н-ского соединения, с боями продвигаясь вперёд, сегодня заняли свыше 60 населённых пунктов. Захвачено 22 орудия, 6 шестиствольных миномётов, 140 автомашин, склады с боеприпасами.</w:t>
      </w:r>
    </w:p>
    <w:p w14:paraId="0752C54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штурмовая и бомбардировочная авиация активно поддерживает наступающие наземные войска и наносит удары по боевым порядкам и подходящим резервам немцев. Уничтожено 2 паровоза, 15 вагонов, до 200 автомашин, взорван склад боеприпасов, истреблено до батальона гитлеровцев. В воздушных боях и огнём зенитной артиллерии уничтожено 36 самолётов противника.</w:t>
      </w:r>
    </w:p>
    <w:p w14:paraId="0D65D3D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Краснознамённого Балтийского флота потоплены в Балтийском море два транспорта противника общим водоизмещением в 7.000 тонн. Кроме того, сильно повреждён немецкий транспорт водоизмещением в 3.000 тонн.</w:t>
      </w:r>
    </w:p>
    <w:p w14:paraId="167D6DD3"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украинских партизанских отрядов, действующих в районах Правобережной Украины, за неделю сожгли на шоссейных дорогах 12 мостов и взорвали 47 грузовых и 16 легковых автомашин противника. Убито и ранено 120 немецких солдат и офицеров. Партизанский отряд, действующий в Ровенской области, с 17 по 23 сентября взорвал 4 железнодорожных моста и пустил под откос 3 вражеских эшелона. Разбито 26 вагонов и платформ. Движение поездов на этом участке железной дороги прекращено.</w:t>
      </w:r>
    </w:p>
    <w:p w14:paraId="64EAF56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 Краматорске: «По предварительный данный, гитлеровские мерзавцы во главе с комендантом города лейтенантом Моншке и бургомистром Шопеном за время оккупации замучили и расстреляли свыше 6 тысяч мирных жителей. Только в карьерах на Меловой горе, недалеко от бараков немецкого концентрационного лагеря, фашистские изверги расстреляли около 3 тысяч мужчин, женщин и детей. Многих жителей гитлеровские работорговцы насильно угнали в немецкую неволю. Гитлеровцы разорили и разграбили город. Немцы разрушили Ново-Краматорский и Старо-Краматорский заводы тяжёлого машиностроения, металлургический завод, завод тяжёлого станкостроения, цементный завод, коксохимический завод и другие предприятия. В городе уничтожено и разрушено свыше тысячи жилых домов. В первые же дни оккупации фашистские громилы закрыли больницы, предварительно разграбив всё имущество и ценное оборудование. Перед отступлением немцы сожгли и взорвали 4 больницы, 2 поликлиники, детскую больницу, оборудованную по последнему слову науки, родильный дом, станцию по переливанию крови и клиническую лабораторию. Из 18 школ, насчитывавшихся в городе, частично уцелели только две, остальные разрушены. Немецкие изверги сожгли дворец культуры, театр имени Пушкина, клуб «Штурм», клуб пионеров, разрушили стадион и уничтожили парк культуры и отдыха. Это далеко неполный перечень преступлений и зверств фашистских людоедов. Подлость врага безмерна. Невозможно перечислить все дикие, поистине чудовищные злодеяния гитлеровских разбойников и убийц. За такие преступления никакое наказание не может быть слишком суровым».</w:t>
      </w:r>
    </w:p>
    <w:p w14:paraId="24D4F0F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члены комиссии по расследованию злодеяний немецко-фашистских захватчиков в Краматорске: Луговой, Мышко, Пацуля, Рябченко, врач Забаровская, священник Д.Стрижко, учительница Н.Склярова.» (14793).</w:t>
      </w:r>
    </w:p>
    <w:p w14:paraId="182C31CF"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727F870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8 октября </w:t>
      </w:r>
      <w:r w:rsidRPr="00271E51">
        <w:rPr>
          <w:rFonts w:ascii="Times New Roman" w:hAnsi="Times New Roman"/>
          <w:color w:val="000000" w:themeColor="text1"/>
          <w:sz w:val="16"/>
          <w:szCs w:val="16"/>
        </w:rPr>
        <w:t>в 1943 году войска Центрального фронтa вышли к рекам Проня и Сож (14793).</w:t>
      </w:r>
    </w:p>
    <w:p w14:paraId="216BCD32"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5BB07C13"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8 октября 1943 г., в ходе сражения за Левобережную Украину восемь Ил-2 из 820-го ШАП под прикрытием четверки Як-1 отправились для уничтожения техники противника в райо</w:t>
      </w:r>
      <w:r w:rsidRPr="00271E51">
        <w:rPr>
          <w:rFonts w:ascii="Times New Roman" w:cs="Times New Roman"/>
          <w:color w:val="0070C0"/>
          <w:spacing w:val="0"/>
          <w:sz w:val="16"/>
          <w:szCs w:val="16"/>
        </w:rPr>
        <w:softHyphen/>
        <w:t>не н.п. Корнилово, Натальевка. Вскоре по приказу с КП 1-го штурмового авиакорпуса (ШАК) вся группа была перенаправле</w:t>
      </w:r>
      <w:r w:rsidRPr="00271E51">
        <w:rPr>
          <w:rFonts w:ascii="Times New Roman" w:cs="Times New Roman"/>
          <w:color w:val="0070C0"/>
          <w:spacing w:val="0"/>
          <w:sz w:val="16"/>
          <w:szCs w:val="16"/>
        </w:rPr>
        <w:softHyphen/>
        <w:t xml:space="preserve">на на перехват бомбардировщиков </w:t>
      </w:r>
      <w:r w:rsidRPr="00271E51">
        <w:rPr>
          <w:rFonts w:ascii="Times New Roman" w:cs="Times New Roman"/>
          <w:color w:val="0070C0"/>
          <w:spacing w:val="0"/>
          <w:sz w:val="16"/>
          <w:szCs w:val="16"/>
          <w:lang w:val="en-US"/>
        </w:rPr>
        <w:t>Ju</w:t>
      </w:r>
      <w:r w:rsidRPr="00271E51">
        <w:rPr>
          <w:rFonts w:ascii="Times New Roman" w:cs="Times New Roman"/>
          <w:color w:val="0070C0"/>
          <w:spacing w:val="0"/>
          <w:sz w:val="16"/>
          <w:szCs w:val="16"/>
        </w:rPr>
        <w:t xml:space="preserve"> 87, выходивших для удара по боевым порядкам советских войск. Оказалось, что над полем боя находились четыре группы германских пикировщиков, на</w:t>
      </w:r>
      <w:r w:rsidRPr="00271E51">
        <w:rPr>
          <w:rFonts w:ascii="Times New Roman" w:cs="Times New Roman"/>
          <w:color w:val="0070C0"/>
          <w:spacing w:val="0"/>
          <w:sz w:val="16"/>
          <w:szCs w:val="16"/>
        </w:rPr>
        <w:softHyphen/>
        <w:t>считывавших в общей сложности около 80 самолетов. Их при</w:t>
      </w:r>
      <w:r w:rsidRPr="00271E51">
        <w:rPr>
          <w:rFonts w:ascii="Times New Roman" w:cs="Times New Roman"/>
          <w:color w:val="0070C0"/>
          <w:spacing w:val="0"/>
          <w:sz w:val="16"/>
          <w:szCs w:val="16"/>
        </w:rPr>
        <w:softHyphen/>
        <w:t xml:space="preserve">крывали восемь </w:t>
      </w:r>
      <w:r w:rsidRPr="00271E51">
        <w:rPr>
          <w:rFonts w:ascii="Times New Roman" w:cs="Times New Roman"/>
          <w:color w:val="0070C0"/>
          <w:spacing w:val="0"/>
          <w:sz w:val="16"/>
          <w:szCs w:val="16"/>
          <w:lang w:val="en-US"/>
        </w:rPr>
        <w:t>Bf</w:t>
      </w:r>
      <w:r w:rsidRPr="00271E51">
        <w:rPr>
          <w:rFonts w:ascii="Times New Roman" w:cs="Times New Roman"/>
          <w:color w:val="0070C0"/>
          <w:spacing w:val="0"/>
          <w:sz w:val="16"/>
          <w:szCs w:val="16"/>
        </w:rPr>
        <w:t xml:space="preserve"> 109, которых сразу связали боем «Яки».</w:t>
      </w:r>
    </w:p>
    <w:p w14:paraId="1C94C21E"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«Илы» с ходу атаковали первую группу «Юнкерсов». Нахо</w:t>
      </w:r>
      <w:r w:rsidRPr="00271E51">
        <w:rPr>
          <w:rFonts w:ascii="Times New Roman" w:cs="Times New Roman"/>
          <w:color w:val="0070C0"/>
          <w:spacing w:val="0"/>
          <w:sz w:val="16"/>
          <w:szCs w:val="16"/>
        </w:rPr>
        <w:softHyphen/>
        <w:t>дившаяся выше вторая группа попыталась помешать и с пики</w:t>
      </w:r>
      <w:r w:rsidRPr="00271E51">
        <w:rPr>
          <w:rFonts w:ascii="Times New Roman" w:cs="Times New Roman"/>
          <w:color w:val="0070C0"/>
          <w:spacing w:val="0"/>
          <w:sz w:val="16"/>
          <w:szCs w:val="16"/>
        </w:rPr>
        <w:softHyphen/>
        <w:t>рования открыла огонь по Ил-2. Ведущий штурмовиков к-н Нестеренко развернул свою восьмерку на 15° влево и, благода</w:t>
      </w:r>
      <w:r w:rsidRPr="00271E51">
        <w:rPr>
          <w:rFonts w:ascii="Times New Roman" w:cs="Times New Roman"/>
          <w:color w:val="0070C0"/>
          <w:spacing w:val="0"/>
          <w:sz w:val="16"/>
          <w:szCs w:val="16"/>
        </w:rPr>
        <w:softHyphen/>
        <w:t xml:space="preserve">ря запасу скорости, перешел в кабрирование. Открыв огонь, «Илы» сбили 4 «Юнкерса», в т.ч. один -*- Нестеренко. В это же время в бой вступила третья группа </w:t>
      </w:r>
      <w:r w:rsidRPr="00271E51">
        <w:rPr>
          <w:rFonts w:ascii="Times New Roman" w:cs="Times New Roman"/>
          <w:color w:val="0070C0"/>
          <w:spacing w:val="0"/>
          <w:sz w:val="16"/>
          <w:szCs w:val="16"/>
          <w:lang w:val="en-US"/>
        </w:rPr>
        <w:t>Ju</w:t>
      </w:r>
      <w:r w:rsidRPr="00271E51">
        <w:rPr>
          <w:rFonts w:ascii="Times New Roman" w:cs="Times New Roman"/>
          <w:color w:val="0070C0"/>
          <w:spacing w:val="0"/>
          <w:sz w:val="16"/>
          <w:szCs w:val="16"/>
        </w:rPr>
        <w:t xml:space="preserve"> 87. Тогда ведущий раз</w:t>
      </w:r>
      <w:r w:rsidRPr="00271E51">
        <w:rPr>
          <w:rFonts w:ascii="Times New Roman" w:cs="Times New Roman"/>
          <w:color w:val="0070C0"/>
          <w:spacing w:val="0"/>
          <w:sz w:val="16"/>
          <w:szCs w:val="16"/>
        </w:rPr>
        <w:softHyphen/>
        <w:t xml:space="preserve">вернул штурмовики на 180° и пошел на нового противника </w:t>
      </w:r>
      <w:r w:rsidRPr="00271E51">
        <w:rPr>
          <w:rFonts w:ascii="Times New Roman" w:cs="Times New Roman"/>
          <w:color w:val="0070C0"/>
          <w:spacing w:val="0"/>
          <w:sz w:val="16"/>
          <w:szCs w:val="16"/>
        </w:rPr>
        <w:lastRenderedPageBreak/>
        <w:t>в лоб. Немцы рассыпались на мелкие группы, беспорядочно сбросили бомбы и стали уходить. «Илы» продолжали атаковать, и против</w:t>
      </w:r>
      <w:r w:rsidRPr="00271E51">
        <w:rPr>
          <w:rFonts w:ascii="Times New Roman" w:cs="Times New Roman"/>
          <w:color w:val="0070C0"/>
          <w:spacing w:val="0"/>
          <w:sz w:val="16"/>
          <w:szCs w:val="16"/>
        </w:rPr>
        <w:softHyphen/>
        <w:t>ник потерял еще 4 машины. Таким образом, группе Нестеренко удалось сорвать налет немцев, сбив без потерь 8 самолетов. После этого штурмовики вернулись к выполнению первона</w:t>
      </w:r>
      <w:r w:rsidRPr="00271E51">
        <w:rPr>
          <w:rFonts w:ascii="Times New Roman" w:cs="Times New Roman"/>
          <w:color w:val="0070C0"/>
          <w:spacing w:val="0"/>
          <w:sz w:val="16"/>
          <w:szCs w:val="16"/>
        </w:rPr>
        <w:softHyphen/>
        <w:t>чальной задачи, отработали по танкам и автотехнике противни</w:t>
      </w:r>
      <w:r w:rsidRPr="00271E51">
        <w:rPr>
          <w:rFonts w:ascii="Times New Roman" w:cs="Times New Roman"/>
          <w:color w:val="0070C0"/>
          <w:spacing w:val="0"/>
          <w:sz w:val="16"/>
          <w:szCs w:val="16"/>
        </w:rPr>
        <w:softHyphen/>
        <w:t>ка, после чего в полном составе вернулись на свой аэродром (19854).</w:t>
      </w:r>
    </w:p>
    <w:p w14:paraId="11E7AAE1"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p>
    <w:p w14:paraId="3FABAC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приказом N 294 было объявлено "Положение о наградах и премиях...". В разделе "Штурмовая авиация" гласило: "к высшей государственной награде - званию ГСС - за 80 успешных вылетов или за 10 лично сбитых в воздушных боях самолетов противника" - то есть в отличие от указа от 19 августа 1941 - не просто боевой вылет, а успешно выполненное задание. В разделе "Бомбардировочная авиация" - при бомбардировках политического центра (столицы) противника - как и в 1941 - 10 успешных бомбардировок. Прочие вылеты - 12 в 1941 и 30 успешных дб в 1943.</w:t>
      </w:r>
    </w:p>
    <w:p w14:paraId="380EA3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Сбитые засчитывались:</w:t>
      </w:r>
    </w:p>
    <w:p w14:paraId="24A830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наличии письменного подтверждения от наземных войск, кораблей, партизанских отрядов или донесений агентуры</w:t>
      </w:r>
    </w:p>
    <w:p w14:paraId="635C76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наличии письменного подтверждения от местного населения, заверенного местными органами власти</w:t>
      </w:r>
    </w:p>
    <w:p w14:paraId="6D3A28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наличии фотоснимков, подтверждающих сбитие самолета...</w:t>
      </w:r>
    </w:p>
    <w:p w14:paraId="6B40B0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наличии подтверждения от постов ВНОС и другой систем наведения и оповещения</w:t>
      </w:r>
    </w:p>
    <w:p w14:paraId="2BB4F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при наличии письменного подтверждения двух и более экипажей самолетов, действовавших в данной группе... при условии невозможности получить другого вида подтверждения</w:t>
      </w:r>
    </w:p>
    <w:p w14:paraId="586A72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личный рапорт одиночного охотника-истребителя... по утверждению командиром полка (3397).</w:t>
      </w:r>
    </w:p>
    <w:p w14:paraId="06B84B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76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вышел ПРИКАЗ НКО № 294 С ОБЪЯВЛЕНИЕМ ПОЛОЖЕНИЯ О НАГРАДАХ И ПРЕМИЯХ ДЛЯ ЛИЧНОГО СОСТАВА ВВС КРАСНОЙ АРМИИ, АВИАЦИИ ДАЛЬНЕГО ДЕЙСТВИЯ, ИСТРЕБИТЕЛЬНОЙ АВИАЦИИ ПВО И ВВС ВОЕННО-МОРСКОГО ФЛОТА</w:t>
      </w:r>
    </w:p>
    <w:p w14:paraId="5491A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дальнейшего повышения боеспособности Военных воздушных сил Красной Армии, авиации дальнего действия, истребительной авиации ПВО и ВВС Военно-Морского Флота и поощрения наиболее отличившихся лиц летного и инженерно-технического состава приказываю:</w:t>
      </w:r>
    </w:p>
    <w:p w14:paraId="73FBAB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Награждение и премирование личного состава ВВС Красной Армии, авиации дальнего действия, истребительной авиации ПВО и ВВС Военно-Мор-ского Флота производить в соответствии с объявляемым при сем “Положением о наградах и премиях для личного состава ВВС Красной Армии, авиации дальнего действия, истребительной авиации ПВО и ВВС Военно-Морского Флота за боевую работу и сбережение материальной части”, которое ввести в действие с 1 сентября 1943 г. и объявить всему личному составу частей и соединений ВВС Красной Армии, истребительной авиации ПВО, авиации дальнего действия и ВВС Военно-Морского Флота.</w:t>
      </w:r>
    </w:p>
    <w:p w14:paraId="18E08B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Приказ НКО № 0299 1941 г., пункт 3 приказа НКО № 0489 1942 г., пункт 3 приказа НКО № 0490 1942 г., пункт 6 приказа НКО № 0496 1942 г., пункт I приказа НКО № 0685 1942 г43, и параграф I приказа НКО № 0208 1943 г*. — отменить.</w:t>
      </w:r>
    </w:p>
    <w:p w14:paraId="79525D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обороны</w:t>
      </w:r>
    </w:p>
    <w:p w14:paraId="67D8A2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Маршал Советского Союза И. СТАЛИН (9844).</w:t>
      </w:r>
    </w:p>
    <w:p w14:paraId="7CD57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1943 г. вышло ПОЛОЖЕНИЕ О НАГРАДАХ И ПРЕМИЯХ ДЛЯ ЛИЧНОГО СОСТАВА ВОЕННЫХ ВОЗДУШНЫХ СИЛ КРАСНОЙ АРМИИ, АВИАЦИИ ДАЛЬНЕГО ДЕЙСТВИЯ, ИСТРЕБИТЕЛЬНОЙ АВИАЦИИ ПВО, ВВС ВОЕННО-МОРСКОГО ФЛОТА ЗА БОЕВУЮ ДЕЯТЕЛЬНОСТЬ И СОХРАНЕНИЕ МАТЕРИАЛЬНОЙ ЧАСТИ</w:t>
      </w:r>
    </w:p>
    <w:p w14:paraId="23BEBD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Истребительная авиация</w:t>
      </w:r>
    </w:p>
    <w:p w14:paraId="676CDA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Летчики истребительной авиации представляются к правительственным наградам:</w:t>
      </w:r>
    </w:p>
    <w:p w14:paraId="55F598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лично уничтоженные самолеты противника в воздушных боях или на аэродромах:</w:t>
      </w:r>
    </w:p>
    <w:p w14:paraId="49DFFC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3 лично сбитых бомбардировщика (разведчика) или за 4 лично сбитых самолета других типов, или за 6 самолетов, уничтоженных на земле;</w:t>
      </w:r>
    </w:p>
    <w:p w14:paraId="30E71F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4 лично сбитых самолета-бомбардировщика (разведчика) или 5 лично сбитых самолетов других типов, или 6 самолетов, уничтоженных на земле;</w:t>
      </w:r>
    </w:p>
    <w:p w14:paraId="2DA40F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10 лично сбитых самолетов-бомбардировщиков (разведчиков) или за 15 лично сбитых самолетов других типов;</w:t>
      </w:r>
    </w:p>
    <w:p w14:paraId="09F8B7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дважды Героя Советского Союза — за 30 лично сбитых самолетов всех типов;</w:t>
      </w:r>
    </w:p>
    <w:p w14:paraId="25A7A1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трижды Героя Советского Союза — за 50 лично сбитых самолетов всех типов.</w:t>
      </w:r>
    </w:p>
    <w:p w14:paraId="2AD95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подвижного состава железнодорожного транспорта и дезорганизацию железнодорожных перевозок на территории противника:</w:t>
      </w:r>
    </w:p>
    <w:p w14:paraId="6E1777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уничтоженных паровозов или за 4 крушения поездов, вызванных атакой самолета;</w:t>
      </w:r>
    </w:p>
    <w:p w14:paraId="15441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8 уничтоженных паровозов или за 6 крушений поездов, вызванных атакой самолетов.</w:t>
      </w:r>
    </w:p>
    <w:p w14:paraId="6F97DC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боевые вылеты на сопровождение штурмовиков, бомбардировщиков, минно-торпедной авиации, разведчиков и корректировщиков, а также за боевые вылеты на прикрытие боевых порядков наземных войск на поле боя, морских баз, коммуникаций и других объектов:</w:t>
      </w:r>
    </w:p>
    <w:p w14:paraId="2FE78E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30 успешных боевых вылетов;</w:t>
      </w:r>
    </w:p>
    <w:p w14:paraId="61494C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30 успешных боевых вылетов.</w:t>
      </w:r>
    </w:p>
    <w:p w14:paraId="53F658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боевые вылеты на штурмовые действия и разведку войск противника: к первой награде — за 20 успешных боевых вылетов; к последующим наградам — за каждые следующие 30 успешных боевых вылетов.</w:t>
      </w:r>
    </w:p>
    <w:p w14:paraId="2C9CA4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Летчики истребительной авиации за лично уничтоженные самолеты противника во время ночных действий к правительственным наградам представляются согласно пункта 1а 1 раздела настоящего Положения, при этом требуемое число сбитых самолетов сокращается в два раза.</w:t>
      </w:r>
    </w:p>
    <w:p w14:paraId="105991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Представление к правительственной награде командира пары, за лично сбитые им самолеты в воздушных боях, дает право на представление к награде и летчика ведомого им самолета, если он своими действиями обеспечил успех в бою своего командира пары.</w:t>
      </w:r>
    </w:p>
    <w:p w14:paraId="573354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Командиры подразделений, частей и соединений помимо наград, получаемых за личные подвиги, к правительственным наградам представляются:</w:t>
      </w:r>
    </w:p>
    <w:p w14:paraId="674EDB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или соединениями, действия которых способствовали успешному разгрому противника в бою или операции наземных войск или флота;</w:t>
      </w:r>
    </w:p>
    <w:p w14:paraId="573CF7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(в том числе и отдельной), под командованием которого эскадрилья уничтожила в воздушных боях и на аэродромах противника 25 самолетов, имея при этом потери не более 5 своих самолетов;</w:t>
      </w:r>
    </w:p>
    <w:p w14:paraId="58F34C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уничтожил в воздушных боях и на аэродромах противника 60 самолетов, имея при этом потери не более 10 своих самолетов.</w:t>
      </w:r>
    </w:p>
    <w:p w14:paraId="08CC77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1. Боевым вылетом для истребительной авиации, засчитываемым для награждения, считается каждый полет, связанный со встречей с воздушным противником, или полет, протекавший в зоне зенитного огня противника или над боевыми порядками противника.</w:t>
      </w:r>
    </w:p>
    <w:p w14:paraId="272048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Сбитые самолеты в групповом воздушном бою, если нельзя установить, кто лично его сбил, или если они сбиты одновременной атакой 2—3-х и более летчиков, делятся равномерно и засчитываются как часть сбитого самолета для каждого отдельного летчика, участника этого группового боя.</w:t>
      </w:r>
    </w:p>
    <w:p w14:paraId="1C81E5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Штурмовая авиация</w:t>
      </w:r>
    </w:p>
    <w:p w14:paraId="3E5E5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Летчики*и воздушные стрелки (на двухместных самолетах) штурмовой авиации представляются к правительственным наградам:</w:t>
      </w:r>
    </w:p>
    <w:p w14:paraId="44C519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для атаки наземных и морских объектов противника: к первой награде — за 10 успешных боевых вылетов; к последующим наградам — за каждые следующие 20 успешных боевых вылетов.</w:t>
      </w:r>
    </w:p>
    <w:p w14:paraId="5866D5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самолетов противника на земле и за сбитые самолеты в воздушных боях:</w:t>
      </w:r>
    </w:p>
    <w:p w14:paraId="7C2288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самолетов, уничтоженных на земле или 2 лично сбитых самолета в воздушных боях;</w:t>
      </w:r>
    </w:p>
    <w:p w14:paraId="53DD81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10 уничтоженных самолетов на земле или 4 лично сбитых самолета в воздушных боях.</w:t>
      </w:r>
    </w:p>
    <w:p w14:paraId="73C5D9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уничтожение подвижного железнодорожного транспорта и дезорганизацию железнодорожного движения противника:</w:t>
      </w:r>
    </w:p>
    <w:p w14:paraId="083951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6 уничтоженных паровозов или за 4 крушения поездов, вызванных атакой самолета;</w:t>
      </w:r>
    </w:p>
    <w:p w14:paraId="1A00CD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8 уничтоженных паровозов или за 6 крушений поездов, вызванных атакой самолета;</w:t>
      </w:r>
    </w:p>
    <w:p w14:paraId="2BEB7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правительственной награде — званию Героя Советского Союза — за 80 успешных боевых вылетов или за 10 лично сбитых в воздушных боях самолетов противника.</w:t>
      </w:r>
    </w:p>
    <w:p w14:paraId="02DE2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Представление к правительственной награде экипажа самолета командира пары за сбитые самолеты противника в воздушных боях дает право на представление к награде и экипажа ведомого самолета, если он своими действиями обеспечил успех в бою экипажа самолета командира пары.</w:t>
      </w:r>
    </w:p>
    <w:p w14:paraId="1EFE54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Командиры подразделений, частей и соединений, помимо наград, получаемых за личные подвиги, к правительственным наградам представляются:</w:t>
      </w:r>
    </w:p>
    <w:p w14:paraId="1DF832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или соединениями, действия которых способствовали успешному разгрому противника в бою или операции наземных войск или флота;</w:t>
      </w:r>
    </w:p>
    <w:p w14:paraId="55A351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под командованием которого эскадрилья совершила 150 успешных боевых самолето-вылетов, имея при этом потери не более 5 своих самолетов;</w:t>
      </w:r>
    </w:p>
    <w:p w14:paraId="757EDA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совершил 350 успешных боевых самолето-вылетов, имея при этом потери не более 12 своих самолетов.</w:t>
      </w:r>
    </w:p>
    <w:p w14:paraId="1E92A6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Ближнебомбардировочная и ночная авиация</w:t>
      </w:r>
    </w:p>
    <w:p w14:paraId="7AFE79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Летчики, штурманы (стрелки-бомбардиры), воздушные стрелки и воздушные стрелки-радисты ближнебомбардировочной и ночной авиации представляются к правительственным наградам за совершение боевых вылетов и за уничтожение самолетов противника в воздушных боях:</w:t>
      </w:r>
    </w:p>
    <w:p w14:paraId="0F8213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каждое лицо, входящее в состав экипажа, за 25 успешных боевых вылетов днем или 40 успешных боевых вылетов ночью, или за 2 самолета, лично сбитых в воздушных боях.</w:t>
      </w:r>
    </w:p>
    <w:p w14:paraId="0C2419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за 10 успешных боевых вылетов днем или 60 успешных боевых вылетов ночью;</w:t>
      </w:r>
    </w:p>
    <w:p w14:paraId="600548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каждое лицо, входящее в состав экипажа, за каждые следующие 40 успешных боевых вылетов днем или 60 успешных боевых вылетов ночью, или за каждые следующие 2 самолета, лично сбитых в воздушных боях.</w:t>
      </w:r>
    </w:p>
    <w:p w14:paraId="45BBA8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за каждые следующие 20 успешных боевых вылетов днем или 150 успешных боевых вылетов ночью;</w:t>
      </w:r>
    </w:p>
    <w:p w14:paraId="4B373C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каждое лицо, входящее в состав экипажа, при наличии не менее 160 успешных боевых вылетов днем или 250 ночью, или за 10 самолетов противника, лично сбитых в воздушных боях.</w:t>
      </w:r>
    </w:p>
    <w:p w14:paraId="210961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пикирующих бомбардировщиков — каждое лицо, входящее в состав экипажа, за 80 успешных боевых вылетов с пикированием, а при бомбометании с горизонтального полета за 160 успешных боевых вылетов.</w:t>
      </w:r>
    </w:p>
    <w:p w14:paraId="7FDC0A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каждое лицо, входящее в состав экипажа, за 50 успешных боевых вылетов днем или 500 успешных боевых вылетов ночью.</w:t>
      </w:r>
    </w:p>
    <w:p w14:paraId="377D83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Командиры подразделений, частей и соединений помимо наград, получаемых за личные подвиги, к правительственным наградам представляются:</w:t>
      </w:r>
    </w:p>
    <w:p w14:paraId="653849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умелое командование подчиненными подразделениями, частями и соединениями, действия которых способствовали успешному разгрому противника в боях и операциях наземных войск или флота;</w:t>
      </w:r>
    </w:p>
    <w:p w14:paraId="3B71C8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эскадрильи, под командованием которого эскадрилья совершила 250 успешных боевых самолето-вылетов днем, имея при этом потери не более 5 своих самолетов, или 350 успешных самолето-вылетов ночью, имея при этом потери не более 5 своих самолетов.</w:t>
      </w:r>
    </w:p>
    <w:p w14:paraId="171486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75 успешных боевых самолето-вылетов днем или 500 успешных самолето-вылетов ночью, имея при этом потери своих самолетов не более 2 ночью и 5 днем;</w:t>
      </w:r>
    </w:p>
    <w:p w14:paraId="096EEB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командир полка, под командованием которого полк совершил 500 успешных боевых самолето-вылетов днем, имея при этом потери не более 10 своих самолетов, или 700 успешных боевых вылетов ночью, имея при этом потери не более 10 своих самолетов.</w:t>
      </w:r>
    </w:p>
    <w:p w14:paraId="7F4C00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ближнебомбардировочной и ночной авиации (на самолетах У-2, Р-5 и МБР-2) — 150 успешных боевых самолето-вылетов днем, имея при этом потери не более 10 своих самолетов, или 1000 успешных боевых самолетовылетов ночью, имея при этом потери не более 7 своих самолетов.</w:t>
      </w:r>
    </w:p>
    <w:p w14:paraId="21ADF2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IV. Авиация дальнего действия</w:t>
      </w:r>
    </w:p>
    <w:p w14:paraId="2933F3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Летный состав, входящий в расчет экипажей авиации дальнего действия, представляется к правительственным наградам за успешное выполнение боевых заданий на бомбардировку политических центров, промышленных объектов и военных объектов противника:</w:t>
      </w:r>
    </w:p>
    <w:p w14:paraId="490B4C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бомбардировках политического центра (столицы)ф противника: к первой награде — за первые 3 успешно выполненные бомбардировки; ко второй награде — за следующие 3 успешно выполненные бомбардировки; к третьей награде — за следующие 4 успешно выполненные бомбардировки; к высшей награде — званию Героя Советского Союза — за следующие 5 успешно выполненных бомбардировок.</w:t>
      </w:r>
    </w:p>
    <w:p w14:paraId="51788E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бомбардировках военных и промышленных объектов на собственной территории противника:</w:t>
      </w:r>
    </w:p>
    <w:p w14:paraId="190997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5 успешно выполненных бомбардировок;</w:t>
      </w:r>
    </w:p>
    <w:p w14:paraId="1FF56B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7 успешно выполненных бомбардировок;</w:t>
      </w:r>
    </w:p>
    <w:p w14:paraId="25213F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третьей награде — за следующие 8 успешно выполненных бомбардировок;</w:t>
      </w:r>
    </w:p>
    <w:p w14:paraId="0781D7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10 успешно выполненных бомбардировок.</w:t>
      </w:r>
    </w:p>
    <w:p w14:paraId="1B2F53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бомбардировках военных объектов в тылу противника в пределах временно оккупированной территории Союза ССР:</w:t>
      </w:r>
    </w:p>
    <w:p w14:paraId="01917B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20 успешно выполненных бомбардировок;</w:t>
      </w:r>
    </w:p>
    <w:p w14:paraId="452B7C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25 успешно выполненных бомбардировок;</w:t>
      </w:r>
    </w:p>
    <w:p w14:paraId="3064F8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третьей награде — за следующие 35 успешно выполенных бомбардировок;</w:t>
      </w:r>
    </w:p>
    <w:p w14:paraId="2CA7C2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40 успешно выполненных бомбардировок.</w:t>
      </w:r>
    </w:p>
    <w:p w14:paraId="3AEA1A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бомбардировках военных объектов противника на переднем крае обороны или в пределах армейских и фронтовых тылов:</w:t>
      </w:r>
    </w:p>
    <w:p w14:paraId="41F939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первые 30 успешно выполненных бомбардировок;</w:t>
      </w:r>
    </w:p>
    <w:p w14:paraId="110DC7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награде — за следующие 50 успешно выполненных бомбардировок;</w:t>
      </w:r>
    </w:p>
    <w:p w14:paraId="58BD23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третьей награде — за следующие 70 успешно выполненных бомбардировок;</w:t>
      </w:r>
    </w:p>
    <w:p w14:paraId="6B0103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следующие 100 успешно выполненных бомбардировок.</w:t>
      </w:r>
    </w:p>
    <w:p w14:paraId="20FA3D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 Минно-торпедная авиация</w:t>
      </w:r>
    </w:p>
    <w:p w14:paraId="3B0928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Летный состав, входящий в расчет экипажей минно-торпедной авиации, представляется к правительственным наградам за успешное выполнение минных постановок:</w:t>
      </w:r>
    </w:p>
    <w:p w14:paraId="695D27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10 успешно выполненных минных постановок у баз противника и на фарватерах, прикрытых сильными средствами ПВО, или 20 постановок на открытых фарватерах;</w:t>
      </w:r>
    </w:p>
    <w:p w14:paraId="35D1DA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каждый член экипажа за каждые следующие 20 успешно выполненных минных постановок у баз противника и на фарватерах, прикрытых сильными средствами ПВО, или 40 постановок на открытых фарватерах;</w:t>
      </w:r>
    </w:p>
    <w:p w14:paraId="4EBC63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каждый член экипажа за 60 успешно выполненных минных постановок у баз противника и на фарватерах, прикрытых сильными средствами ПВО, или 120 постановок на открытых фарватерах.</w:t>
      </w:r>
    </w:p>
    <w:p w14:paraId="2C511E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 Разведывательная авиация</w:t>
      </w:r>
    </w:p>
    <w:p w14:paraId="3EFDE5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Летный состав разведывательной авиации представляется к правительственным наградам:</w:t>
      </w:r>
    </w:p>
    <w:p w14:paraId="2D52AA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на разведку днем и ночью:</w:t>
      </w:r>
    </w:p>
    <w:p w14:paraId="5770DB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каждое лицо, входящее в состав экипажа, за 5 успешных боевых вылетов на дальнюю разведку или за 10 успешных боевых вылетов на ближнюю разведку;</w:t>
      </w:r>
    </w:p>
    <w:p w14:paraId="1F9690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каждое лицо, входящее в состав экипажа, за последующие 10 успешных боевых вылетов на дальнюю разведку или 15 успешных вылетов на ближнюю разведку;</w:t>
      </w:r>
    </w:p>
    <w:p w14:paraId="6E20BF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каждое лицо, входящее в состав экипажа, за 75 успешных боевых вылетов на дальнюю разведку или 100 успешных боевых вылетов на ближнюю разведку.</w:t>
      </w:r>
    </w:p>
    <w:p w14:paraId="7956D2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уничтожение самолетов противника в воздушных боях и на земле — лица, входящие в состав экипажей разведывательной авиации, представляются к наградам в порядке, установленном настоящим Положением для ближне-бомбардировочной авиации.</w:t>
      </w:r>
    </w:p>
    <w:p w14:paraId="12E950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Командиры подразделений и частей, помимо наград, получаемых за личные подвиги, к правительственным наградам представляются:</w:t>
      </w:r>
    </w:p>
    <w:p w14:paraId="1BB41D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командир эскадрильи, под командованием которого эскадрилья совершила 100 успешных боевых самолето-вылетов, имея при этом потери не более 5 своих самолетов;</w:t>
      </w:r>
    </w:p>
    <w:p w14:paraId="67EC73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полка, под командованием которого полк совершил 200 успешных боевых самолето-вылетов, имея при этом потери не более 10 своих самолетов.</w:t>
      </w:r>
    </w:p>
    <w:p w14:paraId="6B124C13" w14:textId="77777777" w:rsidR="004E18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Для экипажей морской разведывательной авиации, несущих разведку в открытом море и при малой вероятности встречи с воздушным противником, количество успешных боевых вылетов увеличить в 3 раза, а для награждения командиров АЭ и АП — в 4 раза.</w:t>
      </w:r>
    </w:p>
    <w:p w14:paraId="751C7DE4" w14:textId="731AED66"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 Корректировочно-разведывательная авиация</w:t>
      </w:r>
    </w:p>
    <w:p w14:paraId="611679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14. Летчики и летчики-наблюдатели (штурманы) корректировочно-разведывательной авиации представляются к правительственным наградам:</w:t>
      </w:r>
    </w:p>
    <w:p w14:paraId="364316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боевые вылеты на корректирование артогня, визуальную и фотографическую разведку:</w:t>
      </w:r>
    </w:p>
    <w:p w14:paraId="46BE6B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15 успешных боевых вылетов;</w:t>
      </w:r>
    </w:p>
    <w:p w14:paraId="122E9B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30 успешных боевых вылетов;</w:t>
      </w:r>
    </w:p>
    <w:p w14:paraId="212208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80 успешных боевых вылетов.</w:t>
      </w:r>
    </w:p>
    <w:p w14:paraId="31A84D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Лица, входящие в состав экипажей корректировочно-разведывательной авиации, к наградам представляются за уничтожение самолетов противника в воздушных боях и на земле — в порядке, установленном настоящим Положением для штурмовой авиации.</w:t>
      </w:r>
    </w:p>
    <w:p w14:paraId="20A58C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Командиры подразделений и частей помимо наград, получаемых за личные подвиги, к правительственным наградам представляются:</w:t>
      </w:r>
    </w:p>
    <w:p w14:paraId="0A04D8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командир эскадрильи, под командованием которого эскадрилья совершила по 10 боевых успешных вылетов на каждый самолет, имея при этом потери не более 2 своих самолетов;</w:t>
      </w:r>
    </w:p>
    <w:p w14:paraId="76F318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командир полка, под командованием которого полк совершил 100 успешных боевых самолето-вылетов, имея при этом потери не более 5 своих самолетов.</w:t>
      </w:r>
    </w:p>
    <w:p w14:paraId="670634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VIII. Авиация всех видов</w:t>
      </w:r>
    </w:p>
    <w:p w14:paraId="741377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Летный состав экипажей всех видов авиации за потопление морских судов к правительственным наградам представляется:</w:t>
      </w:r>
    </w:p>
    <w:p w14:paraId="29EE81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потопление одного боевого корабля класса не менее миноносца или подводной лодки, или трех малых боевых кораблей, или двух транспортов по 2000—5000 тонн, или одного транспорта свыше 5000 тонн водоизмещением;</w:t>
      </w:r>
    </w:p>
    <w:p w14:paraId="3DE6D5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каждый член экипажа за потопление каждого следующего одного боевого корабля класса не менее миноносца или подлодки, или следующих трех малых кораблей (боевых), или двух транспортов по 2000—5000 тонн, или одного следующего транспорта свыше 5000 тонн водоизмещением;</w:t>
      </w:r>
    </w:p>
    <w:p w14:paraId="5BAA0E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за потопление 3 боевых кораблей класса не менее миноносца или подлодки, или 9 малых боевых кораблей, или 6 транспортов по 2000-5000 тонн, или 3 транспортов свыше 5000 тонн водоизмещением каждый.</w:t>
      </w:r>
    </w:p>
    <w:p w14:paraId="25F2E5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IX. Транспортная авиация</w:t>
      </w:r>
    </w:p>
    <w:p w14:paraId="726AB1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Летный состав транспортной и других видов авиации, привлекаемых к выполнению заданий по транспортировке, к правительственным наградам представляется за успешное выполнение вылетов для сбрасывания грузов войскам, или партизанам, действующим в тылу противника, за высадку в тылу противника и вывозку войск (в том числе раненых) из расположения частей, действующих в тылу противника:</w:t>
      </w:r>
    </w:p>
    <w:p w14:paraId="02293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каждый член экипажа за 10 дневных или 20 ночных успешных вылетов с посадкой в тылу противника с целью высадки войск или эвакуации раненых, или за 15 дневных или 30 ночных успешных вылетов для сбрасывания грузов в расположение войск или партизанских отрядов, действующих в тылу противника;</w:t>
      </w:r>
    </w:p>
    <w:p w14:paraId="0316AC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 второй и третьей наградам — каждый член экипажа за каждые следующие 15 дневных или 25 ночных успешных вылетов с посадкой в тылу противника с целью высадки войск или эвакуации раненых, или за каждые следующие 30 дневных или 50 ночных успешных вылетов для сбрасывания грузов в расположении войск или партизанских отрядов, действующих в тылу противника;</w:t>
      </w:r>
    </w:p>
    <w:p w14:paraId="17E39E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высшей награде — званию Героя Советского Союза — каждый член экипажа за следующие 50 дневных или 75 ночных успешных вылетов с посадкой в тылу противника, с целью высадки войск или эвакуации раненых, или за 100 дневных, или 150 ночных успешных вылетов для сбрасывания грузов в расположении войск или партизанских отрядов, действующих в тылу противника.</w:t>
      </w:r>
    </w:p>
    <w:p w14:paraId="125712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Летный состав экипажей транспортной авиации при выполнении заданий, возлагаемых на другие виды авиации, к правительственным наградам представляется в порядке, установленном настоящим Положением для соответствующего вида авиации.</w:t>
      </w:r>
    </w:p>
    <w:p w14:paraId="06B05607" w14:textId="77777777" w:rsidR="004E18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Вылет для сбрасывания грузов считается успешно выполненным в том случае, если сброшенный груз подобран нашими войсками или партизанами.</w:t>
      </w:r>
    </w:p>
    <w:p w14:paraId="315FD72C" w14:textId="1A533F4E"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 Авиация связи</w:t>
      </w:r>
    </w:p>
    <w:p w14:paraId="44CE90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Летный состав экипажей связи к правительственным наградам представляется за успешное выполнение полетов с целью поддержания связи со своими войсками в прифронтовой полосе глубиной до 50 километров от линии фронта при условии, если полеты проводились под воздействием авиации или зенитного огня противника, при этом экипажем были проявлены находчивость и героизм.</w:t>
      </w:r>
    </w:p>
    <w:p w14:paraId="4387FE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Представление к наградам производится начальником войск связи фронта (армии, флота) или начальником связи воздушной армии с приложением описания условий воздушной и наземной обстановки, в которых производились полеты, и героизма, проявленного экипажем при этих полетах, ходатайство о награждении утверждается начальником штаба или командующим воздушной армии (командующим ВВС фронта).</w:t>
      </w:r>
    </w:p>
    <w:p w14:paraId="532AA2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Летный состав экипажей авиации связи за успешное выполнение заданий по связи с войсками или партизанами, действующими в тылу противника, к правительственным наградам представляется в каждом отдельном случае с учетом сложности и важности выполненного задания.</w:t>
      </w:r>
    </w:p>
    <w:p w14:paraId="25B457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 Сбитие в воздушном бою или уничтожение на земле самолетов, а также нанесенный ущерб противнику засчитывать при одном из следующих показателей:</w:t>
      </w:r>
    </w:p>
    <w:p w14:paraId="127BAF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наличии письменного подтверждения от наземных войск, кораблей, партизанских отрядов или донесений агентуры;</w:t>
      </w:r>
    </w:p>
    <w:p w14:paraId="2E072E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наличии письменного подтверждения от местного населения, заверенного местными органами власти;</w:t>
      </w:r>
    </w:p>
    <w:p w14:paraId="6498DF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наличии фотоснимков, подтверждающих сбитие самолета или нанесенный другой ущерб противнику;</w:t>
      </w:r>
    </w:p>
    <w:p w14:paraId="57C5F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наличии подтверждения от постов ВНОС и других систем наведения и оповещения;</w:t>
      </w:r>
    </w:p>
    <w:p w14:paraId="61DCC1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при наличии письменного подтверждения двух и более экипажей самолетов, действовавших в данной группе, или экипажа, высылаемого с целью контролирования успешного бомбометания при условии невозможности получить другого вида подтверждения;</w:t>
      </w:r>
    </w:p>
    <w:p w14:paraId="6CFD70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личный рапорт одиночного охотника-истребителя или штурмовика-торпедоносца по утверждении его командиром авиаполка.</w:t>
      </w:r>
    </w:p>
    <w:p w14:paraId="51C5E9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XII. Представление к правительственным наградам частей и соединений всех видов авиации</w:t>
      </w:r>
    </w:p>
    <w:p w14:paraId="30A774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Части и соединения всех видов авиации к правительственным наградам представляются за успешную боевую работу, в результате которой противнику нанесен материальный ущерб в живой силе и технике, или же боевые действия авиачасти (соединения) способствовали успешному выполнению различных операций войск.</w:t>
      </w:r>
    </w:p>
    <w:p w14:paraId="231FE0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Представление к правительственной награде частей и соединений авиации осуществляется решением военного совета фронта (флота, отдельной армии), командующего ВВС Красной Армии, ИА ПВО, АДД, ВВС НКВМФ.</w:t>
      </w:r>
    </w:p>
    <w:p w14:paraId="18FCE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XIII. Денежные премии летному составу экипажей всех видов (кроме авиации ДД) за успешные боевые действия</w:t>
      </w:r>
    </w:p>
    <w:p w14:paraId="39A634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Летному составу экипажей всех видов авиации (кроме авиации ДД) за успешные боевые действия вне зависимости от представления к правительственным наградам выплачиваются денежные премии:</w:t>
      </w:r>
    </w:p>
    <w:p w14:paraId="3844C6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Летчику и штурману, входящим в состав экипажа:</w:t>
      </w:r>
    </w:p>
    <w:p w14:paraId="41852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30 успешных боевых вылетов................ 2000 руб.</w:t>
      </w:r>
    </w:p>
    <w:p w14:paraId="2B79EC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50 успешных боевых вылетов................ 3000 ”</w:t>
      </w:r>
    </w:p>
    <w:p w14:paraId="7F71E4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80 успешных боевых вылетов................ 4000 ”</w:t>
      </w:r>
    </w:p>
    <w:p w14:paraId="4F58F1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120 успешных боевых вылетов............... 5000 ”</w:t>
      </w:r>
    </w:p>
    <w:p w14:paraId="223868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Всем остальным членам экипажа по 30% каждому от суммы, полученной командиром экипажа.</w:t>
      </w:r>
    </w:p>
    <w:p w14:paraId="691B1B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Члену экипажа, лично сбившему самолет противника: За каждый сбитый самолет типа бомбардировщик, разведчик или транспортный.................. 1500 руб.</w:t>
      </w:r>
    </w:p>
    <w:p w14:paraId="4FFB19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каждый сбитый самолет прочих типов.......... 1000 ”</w:t>
      </w:r>
    </w:p>
    <w:p w14:paraId="6F0B44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Летчику и штурману, входящим в состав экипажа: За каждый уничтоженный паровоз или вызванное крушение поезда противника каждому по.......... 750 руб.</w:t>
      </w:r>
    </w:p>
    <w:p w14:paraId="1E44AE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Всем остальным членам экипажа каждому по....... 500 ”</w:t>
      </w:r>
    </w:p>
    <w:p w14:paraId="4BF0B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потопление миноносца или подводной лодки противника:</w:t>
      </w:r>
    </w:p>
    <w:p w14:paraId="6D4B01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10 000 руб.</w:t>
      </w:r>
    </w:p>
    <w:p w14:paraId="717421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10000 ”</w:t>
      </w:r>
    </w:p>
    <w:p w14:paraId="0F4618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2 500 ”</w:t>
      </w:r>
    </w:p>
    <w:p w14:paraId="0F1D2E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За потопление транспорта противника:</w:t>
      </w:r>
    </w:p>
    <w:p w14:paraId="6D7BE0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3000 ”</w:t>
      </w:r>
    </w:p>
    <w:p w14:paraId="446017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3000 ”</w:t>
      </w:r>
    </w:p>
    <w:p w14:paraId="357AAE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1000 ”</w:t>
      </w:r>
    </w:p>
    <w:p w14:paraId="3E8581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За потопление сторожевого корабля или тральщика противника:</w:t>
      </w:r>
    </w:p>
    <w:p w14:paraId="22CD8D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2000 руб.</w:t>
      </w:r>
    </w:p>
    <w:p w14:paraId="42A795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2000 ”</w:t>
      </w:r>
    </w:p>
    <w:p w14:paraId="322E11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Каждому из остальных членов экипажа по......... 500 ”</w:t>
      </w:r>
    </w:p>
    <w:p w14:paraId="2C6585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За потопление баржи, буксира или вооруженной шхуны противника:</w:t>
      </w:r>
    </w:p>
    <w:p w14:paraId="4DBD84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Летчику.............................. 1000 руб.</w:t>
      </w:r>
    </w:p>
    <w:p w14:paraId="7A8E99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Штурману............................. 1000 ”</w:t>
      </w:r>
    </w:p>
    <w:p w14:paraId="4BA765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Каждому из остальных членов экипажа по......... 300 ”</w:t>
      </w:r>
    </w:p>
    <w:p w14:paraId="6FEA5D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XIV. Денежные премии летному составу экипажей авиации дальнего действия за успешные боевые действия</w:t>
      </w:r>
    </w:p>
    <w:p w14:paraId="0D105C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каждую успешно выполненную бомбардировку политического центра (столицы) противника:</w:t>
      </w:r>
    </w:p>
    <w:p w14:paraId="47B66C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корабля, штурман корабля, борттехник,</w:t>
      </w:r>
    </w:p>
    <w:p w14:paraId="3C5D3B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(бортмеханик) по......................... 2000 руб.</w:t>
      </w:r>
    </w:p>
    <w:p w14:paraId="5FB0DC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1000 ”</w:t>
      </w:r>
    </w:p>
    <w:p w14:paraId="1F17C4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 каждую успешно выполненную бомбардировку объектов промышленного и оборонного значения на собственной территории противника: Командир корабля, штурман корабля, борттехник (бортмеханик) по......................... 750 руб.</w:t>
      </w:r>
    </w:p>
    <w:p w14:paraId="6DDF9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350 ”</w:t>
      </w:r>
    </w:p>
    <w:p w14:paraId="353AEE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 каждые 10 успешно выполненных бомбардировок военных объектов в тылу противника в пределах временно оккупированной территории Союза ССР: Командир корабля, штурман корабля и борттехник (бортмеханик) по......................... 1000 руб.</w:t>
      </w:r>
    </w:p>
    <w:p w14:paraId="30E8D4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500 ”</w:t>
      </w:r>
    </w:p>
    <w:p w14:paraId="6F3555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каждые 10 успешно выполненных бомбардировок военных объектов на переднем крае или в пределах армейских и фронтовых тылов противника:</w:t>
      </w:r>
    </w:p>
    <w:p w14:paraId="6C2E89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корабля, штурман корабля и борттехник (бортмеханик) по......................... 500 руб.</w:t>
      </w:r>
    </w:p>
    <w:p w14:paraId="505A8E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члены экипажа по.................. 250 ”</w:t>
      </w:r>
    </w:p>
    <w:p w14:paraId="3D152E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Основанием для выплаты денежных наград служит приказ авиадивизии со ссылкой на документы, перечисленные в разделе XI настоящего Положения.</w:t>
      </w:r>
    </w:p>
    <w:p w14:paraId="70A8A9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Выплата денежных премий за успешные полеты, совершаемые летным составом АДД для связи с партизанами, выброски грузов, листовок и десантов производится в порядке, установленном настоящим разделом.</w:t>
      </w:r>
    </w:p>
    <w:p w14:paraId="117F37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Денежные премии за сбитые самолеты и потопление морских судов противника экипажами самолетов АДД выплачиваются в порядке, установленном разделом XIII, п. 20 настоящего Положения.</w:t>
      </w:r>
    </w:p>
    <w:p w14:paraId="588169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XV. Награды и денежные премии инженерно-техническому составу ВВС Красной Армии, авиации дальнего действия, истребительной авиации ПВО и ВВС Военно-Морского Флота</w:t>
      </w:r>
    </w:p>
    <w:p w14:paraId="77C641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Механик (техник) и моторист авиационный, непосредственно работающие на самолете, представляются к правительственным наградам:</w:t>
      </w:r>
    </w:p>
    <w:p w14:paraId="0BC641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отличную подготовку и выпуск самолетов на выполнение боевых заданий в установленные командованием сроки:</w:t>
      </w:r>
    </w:p>
    <w:p w14:paraId="4FCFD9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первой награде — за 100 самолето-выпусков, а при обслуживании самолетов типа У-2, Р-5 и МБР-2 за 250 самолето-выпусков;</w:t>
      </w:r>
    </w:p>
    <w:p w14:paraId="73E1CA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последующим наградам — за каждые следующие 100 самолето-выпусков, а при обслуживании самолетов типа У-2, Р-5 и МБР-2 за каждые следующие 250 самолето-выпусков.</w:t>
      </w:r>
    </w:p>
    <w:p w14:paraId="381DE2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Механики и мастера спецслужб и вооружения представляются к первой и последующим правительственным наградам, если обслуживаемые ими самолеты (по их специальностям) совершили следующее количество боевых вылетов:</w:t>
      </w:r>
    </w:p>
    <w:p w14:paraId="6D852F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истребительных и штурмовых самолетов —750 самолето-вылетов;</w:t>
      </w:r>
    </w:p>
    <w:p w14:paraId="297512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ближних бомбардировщиков и ближней разведки — 400 самолетовылетов;</w:t>
      </w:r>
    </w:p>
    <w:p w14:paraId="0B56EE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для тяжелых и дальних бомбардировщиков и дальней разведки — 300 самолето-вылетов;</w:t>
      </w:r>
    </w:p>
    <w:p w14:paraId="210918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для самолетов типа У-2, Р-5, МБР-2 — 1500 самолето-вылетов.</w:t>
      </w:r>
    </w:p>
    <w:p w14:paraId="750236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Руководящий инженерно-технический состав авиачастей к правительственным наградам представляется:</w:t>
      </w:r>
    </w:p>
    <w:p w14:paraId="7104A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 авиационный звена — за 200 самолето-вылетов;ст. техник (инженер) авиаэскадрильи и его заместители по вооружению и спецслужбам — за 750 самолето-вылетов;</w:t>
      </w:r>
    </w:p>
    <w:p w14:paraId="5A89BC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инженер авиаполка и его заместители по вооружению и спецслужбам — ш 1500 самолето-вылетов.</w:t>
      </w:r>
    </w:p>
    <w:p w14:paraId="711CA9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Инженерно-техническому составу авиачастей за отличное содержание, уход и сбережение материальной части, кроме правительственных наград, выплачиваются денежные премии:</w:t>
      </w:r>
    </w:p>
    <w:p w14:paraId="73A1C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каждые 100 самолето-вылетов:</w:t>
      </w:r>
    </w:p>
    <w:p w14:paraId="21ACF6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механику (технику) авиационному самолета........ 1000 руб.</w:t>
      </w:r>
    </w:p>
    <w:p w14:paraId="038544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мотористу авиационному.................... 400 ”</w:t>
      </w:r>
    </w:p>
    <w:p w14:paraId="2A976D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остальному техническому составу (службы вооружения, авиаприборов, электро-радиоспецоборудования)........................ 600 ”</w:t>
      </w:r>
    </w:p>
    <w:p w14:paraId="0E5F9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Денежная премия в сумме 600 рублей, подлежащая выплате “остальному техническому составу”, распределяется командованием части с учетом объема работы каждого специалиста, надежности и безотказности работы вооружения, приборов и агрегатов, обслуживаемых каждым специалистом в отдельности.</w:t>
      </w:r>
    </w:p>
    <w:p w14:paraId="035350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Если 75% механиков (техников) авиационных в звене (эскадрилье) премированы, руководящий инженерно-технический состав звена, эскадрильи получает денежную премию:</w:t>
      </w:r>
    </w:p>
    <w:p w14:paraId="2E3AED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 авиационный звена................... 1500 руб.</w:t>
      </w:r>
    </w:p>
    <w:p w14:paraId="25ADE6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техник (инженер) эскадрильи............... 2000 ”</w:t>
      </w:r>
    </w:p>
    <w:p w14:paraId="1B6844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заместители инженера (ст. техника) эскадрильи по вооружению и спецслужбам каждый... 1500 ” в) Если 50% механиков (техников) авиационных в авиаполку премированы, руководящий инженерно-технический состав авиаполка получает денежную премию:</w:t>
      </w:r>
    </w:p>
    <w:p w14:paraId="0A0796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инженер авиаполка...................... 2500 руб.</w:t>
      </w:r>
    </w:p>
    <w:p w14:paraId="6017C0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заместители ст. инженера по вооружению и спецслужбам каждый....................... 2000 ”</w:t>
      </w:r>
    </w:p>
    <w:p w14:paraId="0A49EE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1. При выходе самолета из строя по причинам, не зависящим от технического состава (сбитие самолета в воздухе, уничтожение на земле противником или в результате стихийного бедствия, а также при перемене материальной части, в результате перемещений личного состава или перевооружения на новую материальную часть) прежние полеты самолета засчитываются в норму, установленную настоящим Положением.</w:t>
      </w:r>
    </w:p>
    <w:p w14:paraId="514D78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Выдачу денежных премий за сбережение материальной части и безаварийность личному составу военных учебных заведений, учебно-тренировочных и запасных частей ВВС Красной Армии, АДД и ВВС Военно-Морского Флота производить по особому положению.</w:t>
      </w:r>
    </w:p>
    <w:p w14:paraId="24207E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Награждение и выдача денежных премий техническому составу ремор-ганов (ПАРМ-1, 3, 10 ПАМ, САМ) за качественный ремонт материальной части производится по особому положению.</w:t>
      </w:r>
    </w:p>
    <w:p w14:paraId="0DA2FF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Военными воздушными силами Красной Армии маршал авиации НОВИКОВ (9844).</w:t>
      </w:r>
    </w:p>
    <w:p w14:paraId="412BC2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CB3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согласно сообщению Совинформбюро нанесла удар по плавсредствам в Керченском проливе и потопила 6 барж с пехотой. В воздушных боях сбили 16 (438,885).</w:t>
      </w:r>
    </w:p>
    <w:p w14:paraId="1BCEA4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3A3E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4286 О реорганизации военных училищ Красной Армии. (7144, 152-154).</w:t>
      </w:r>
    </w:p>
    <w:p w14:paraId="7803D7A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75938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октября 1943 вышло Постановление ГКО № 4293 О подготовке аэродромов для зимней и весенней эксплуатации в 1943-1944 гг. (7145, 68-74,75-98).</w:t>
      </w:r>
    </w:p>
    <w:p w14:paraId="27A9D57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70441A" w14:textId="77777777" w:rsidR="0007703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22F1608E" w14:textId="77777777" w:rsidR="0007703D" w:rsidRPr="00271E51" w:rsidRDefault="0007703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1E98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8 октября </w:t>
      </w:r>
      <w:r w:rsidRPr="00271E51">
        <w:rPr>
          <w:rFonts w:ascii="Times New Roman" w:hAnsi="Times New Roman"/>
          <w:color w:val="000000" w:themeColor="text1"/>
          <w:sz w:val="16"/>
          <w:szCs w:val="16"/>
        </w:rPr>
        <w:t>в 1943 году учрежден Совет по делам Русской православной церкви и одновременно Совет по делам религиозных культов - потом эти организации слились (14793).</w:t>
      </w:r>
    </w:p>
    <w:p w14:paraId="47388D86"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5F9A315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39637A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E927219" w14:textId="77777777" w:rsidR="001B0803" w:rsidRPr="00271E51" w:rsidRDefault="001B080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8–9 октября (ночь) 1943 в последнем налете бомбардировочного командования Королевских ВВС Великобритании, в котором участвуют Vickers Wellingtons, 504 британских бомбардировщика наносят удар по Ганноверу и успешно бомбят центр города, что, вероятно, является самой разрушительной атакой на город во время войны. Немецкие ночные истребители имеют хорошие возможности для перехвата, и 27 британских самолетов (5,4 процента) потеряны (20376).</w:t>
      </w:r>
    </w:p>
    <w:p w14:paraId="63301188" w14:textId="77777777" w:rsidR="001B0803" w:rsidRPr="00271E51" w:rsidRDefault="001B0803" w:rsidP="00271E51">
      <w:pPr>
        <w:spacing w:after="0" w:line="240" w:lineRule="auto"/>
        <w:jc w:val="both"/>
        <w:rPr>
          <w:rFonts w:ascii="Times New Roman" w:hAnsi="Times New Roman"/>
          <w:color w:val="0070C0"/>
          <w:sz w:val="16"/>
          <w:szCs w:val="16"/>
        </w:rPr>
      </w:pPr>
    </w:p>
    <w:p w14:paraId="461D7030" w14:textId="77777777" w:rsidR="001B0803" w:rsidRPr="00271E51" w:rsidRDefault="001B080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8–9 октября (ночь) 1943 в ходе крупнейшего диверсионного рейда за всю войну 119 других британских бомбардировщиков атаковали Бремен, широко разбросав свои бомбы и потеряв три самолета (2,5 процента своих сил) (20376). </w:t>
      </w:r>
    </w:p>
    <w:p w14:paraId="7265BCD9" w14:textId="77777777" w:rsidR="001B0803" w:rsidRPr="00271E51" w:rsidRDefault="001B0803" w:rsidP="00271E51">
      <w:pPr>
        <w:spacing w:after="0" w:line="240" w:lineRule="auto"/>
        <w:jc w:val="both"/>
        <w:rPr>
          <w:rFonts w:ascii="Times New Roman" w:hAnsi="Times New Roman"/>
          <w:color w:val="0070C0"/>
          <w:sz w:val="16"/>
          <w:szCs w:val="16"/>
        </w:rPr>
      </w:pPr>
    </w:p>
    <w:p w14:paraId="384DF4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8 October 1943 (8-10-October) Allied bombers attack German war industries (270).</w:t>
      </w:r>
    </w:p>
    <w:p w14:paraId="21BBF3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834A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8-10 октября 1943 самолеты союзников нанесли удары по объектам военной промышленности в Германии (270).</w:t>
      </w:r>
    </w:p>
    <w:p w14:paraId="41D273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4487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8 октября </w:t>
      </w:r>
      <w:r w:rsidRPr="00271E51">
        <w:rPr>
          <w:rFonts w:ascii="Times New Roman" w:hAnsi="Times New Roman"/>
          <w:color w:val="000000" w:themeColor="text1"/>
          <w:sz w:val="16"/>
          <w:szCs w:val="16"/>
        </w:rPr>
        <w:t>в 1943 году испанское правительство обращается с подписной нотой к правительству Германии в связи с активизацией разведывательной деятельности немецких спецслужб на территории страны. После переговоров в Испании адмирал Канарис докладывает оперативному управлению ОКБ, что «требуемые испанской стороной ограничения разведдеятельности не так широки, как это можно было опасаться изначально» (14793).</w:t>
      </w:r>
    </w:p>
    <w:p w14:paraId="3C4CF33E"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6F1C6E9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0CB3A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9F4B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 НИИ ВВС закончились гос. испытания на устойчивость и управляемость самолета Ил-2 с мотором АМ-38Ф, винтом АВ-5Л-158 и крылом повышенной стрельчатости (самолет 6767 завода 18, выпущенный в сентябре 1943), которые шли с 20 сентября 1943. Прибыл в НИИ ВВС 6 сентября 1943. Ви и-м П.Т.Аброщенко, вл пп А.К.Долгов. Облетали также Стефановский, Синельников.</w:t>
      </w:r>
    </w:p>
    <w:p w14:paraId="1D1755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w:t>
      </w:r>
    </w:p>
    <w:p w14:paraId="2324F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Определить характеристики устойчивости и управляемости самолета</w:t>
      </w:r>
    </w:p>
    <w:p w14:paraId="5C3333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Проверить скороподъемность и максимальные скорости по высотам</w:t>
      </w:r>
    </w:p>
    <w:p w14:paraId="33433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Оценить производственное выполнение</w:t>
      </w:r>
    </w:p>
    <w:p w14:paraId="33EEFD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и другие конструктивные изменения, например, клепка центроплана и крыла впотай и расположение листов встык, новый обтекатель костыля, лучшее сопряжение фонаря с бронекорпусом, стык хвостовой части с бронекорпусом впотай, удлиненна трубка ПИТО и мачта антенны и т.п.</w:t>
      </w:r>
    </w:p>
    <w:p w14:paraId="72851B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Выполнили 14 полетов с общим налетом 11:15.</w:t>
      </w:r>
    </w:p>
    <w:p w14:paraId="7777FE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Пришли к выводу, что машина стала значительно устойчивее статически и динамически, чем серийный, но все равно недостаточно. Хотели сместить центровку еще на 2-3 гр. Управляемость также улучшилась. Скорость чуть улучшилась (388 вместо 384 и 407 вместо 398 км/час). Уачество изготовления - неудовлетворительное. Машина рекомендована для внедрения в серию вместо выпускаемых (1864).</w:t>
      </w:r>
    </w:p>
    <w:p w14:paraId="516974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960A8"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9 октября 1943 г. завершились Госиспытания опытного штурмови</w:t>
      </w:r>
      <w:r w:rsidRPr="00271E51">
        <w:rPr>
          <w:rFonts w:ascii="Times New Roman" w:cs="Times New Roman"/>
          <w:color w:val="0070C0"/>
          <w:spacing w:val="0"/>
          <w:sz w:val="16"/>
          <w:szCs w:val="16"/>
        </w:rPr>
        <w:softHyphen/>
        <w:t>ка с крылом со стреловидностью консо</w:t>
      </w:r>
      <w:r w:rsidRPr="00271E51">
        <w:rPr>
          <w:rFonts w:ascii="Times New Roman" w:cs="Times New Roman"/>
          <w:color w:val="0070C0"/>
          <w:spacing w:val="0"/>
          <w:sz w:val="16"/>
          <w:szCs w:val="16"/>
        </w:rPr>
        <w:softHyphen/>
        <w:t xml:space="preserve">лей по передней кромке 15° (зав. № 6767). Проводивший их летчик-испытатель А.К. Долгов отмечал: </w:t>
      </w:r>
      <w:r w:rsidRPr="00271E51">
        <w:rPr>
          <w:rStyle w:val="1pt2"/>
          <w:rFonts w:ascii="Times New Roman" w:hAnsi="Times New Roman" w:cs="Times New Roman"/>
          <w:i w:val="0"/>
          <w:iCs w:val="0"/>
          <w:color w:val="0070C0"/>
          <w:spacing w:val="0"/>
          <w:sz w:val="16"/>
          <w:szCs w:val="16"/>
        </w:rPr>
        <w:t>«Штурмовик в продольном отношении стал значительно устой</w:t>
      </w:r>
      <w:r w:rsidRPr="00271E51">
        <w:rPr>
          <w:rStyle w:val="1pt2"/>
          <w:rFonts w:ascii="Times New Roman" w:hAnsi="Times New Roman" w:cs="Times New Roman"/>
          <w:i w:val="0"/>
          <w:iCs w:val="0"/>
          <w:color w:val="0070C0"/>
          <w:spacing w:val="0"/>
          <w:sz w:val="16"/>
          <w:szCs w:val="16"/>
        </w:rPr>
        <w:softHyphen/>
        <w:t>чивее, чем серийные двухместные самолеты Ил-2. Увеличение стреловидности крыла... упростило технику пилотирования на всех режимах полета и особенно на виражах... Практически продольная устойчивость близка к нейтральной...».</w:t>
      </w:r>
      <w:r w:rsidRPr="00271E51">
        <w:rPr>
          <w:rFonts w:ascii="Times New Roman" w:cs="Times New Roman"/>
          <w:color w:val="0070C0"/>
          <w:spacing w:val="0"/>
          <w:sz w:val="16"/>
          <w:szCs w:val="16"/>
        </w:rPr>
        <w:t xml:space="preserve"> И тут снова сказалось непреклонное сталинское требование осваивать но</w:t>
      </w:r>
      <w:r w:rsidRPr="00271E51">
        <w:rPr>
          <w:rFonts w:ascii="Times New Roman" w:cs="Times New Roman"/>
          <w:color w:val="0070C0"/>
          <w:spacing w:val="0"/>
          <w:sz w:val="16"/>
          <w:szCs w:val="16"/>
        </w:rPr>
        <w:softHyphen/>
        <w:t>вовведения без снижения темпов производства, в результате серийный выпуск такого самолета начался только в апреле 1944 г., а массовые поставки пошли летом-осенью (19854).</w:t>
      </w:r>
    </w:p>
    <w:p w14:paraId="355DD783"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p>
    <w:p w14:paraId="559B63BA"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9 октября 1943 в НИИ ВВС с успе</w:t>
      </w:r>
      <w:r w:rsidRPr="00271E51">
        <w:rPr>
          <w:rFonts w:ascii="Times New Roman" w:hAnsi="Times New Roman"/>
          <w:color w:val="000000" w:themeColor="text1"/>
          <w:sz w:val="16"/>
          <w:szCs w:val="16"/>
        </w:rPr>
        <w:softHyphen/>
        <w:t>хом завершились испытания Ил-2 зав. №1876767 (С-38) «крыло со стрел</w:t>
      </w:r>
      <w:r w:rsidRPr="00271E51">
        <w:rPr>
          <w:rFonts w:ascii="Times New Roman" w:hAnsi="Times New Roman"/>
          <w:color w:val="000000" w:themeColor="text1"/>
          <w:sz w:val="16"/>
          <w:szCs w:val="16"/>
        </w:rPr>
        <w:softHyphen/>
        <w:t>кой» производства завода №18.</w:t>
      </w:r>
    </w:p>
    <w:p w14:paraId="454DADF0"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Центровка самолета, соответствующая нормальному полетному весу, составляла 28,4% САХ.</w:t>
      </w:r>
    </w:p>
    <w:p w14:paraId="5016A215"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Оказалось, что по летным данным Ил-2 «крыло со стрелкой» практически не отличается от самолета с обычным крылом, но пилотажные качества карди</w:t>
      </w:r>
      <w:r w:rsidRPr="00271E51">
        <w:rPr>
          <w:rFonts w:ascii="Times New Roman" w:hAnsi="Times New Roman" w:cs="Times New Roman"/>
          <w:color w:val="000000" w:themeColor="text1"/>
          <w:sz w:val="16"/>
          <w:szCs w:val="16"/>
        </w:rPr>
        <w:softHyphen/>
        <w:t>нально улучшились. На всех возможных режимах полета самолет был устойчивым, простым и приятным в пилотировании. Допускался полет с брошенной ручкой управления в течение 2-3 мин. По управ</w:t>
      </w:r>
      <w:r w:rsidRPr="00271E51">
        <w:rPr>
          <w:rFonts w:ascii="Times New Roman" w:hAnsi="Times New Roman" w:cs="Times New Roman"/>
          <w:color w:val="000000" w:themeColor="text1"/>
          <w:sz w:val="16"/>
          <w:szCs w:val="16"/>
        </w:rPr>
        <w:softHyphen/>
        <w:t>ляемости и эффективности элеронов, ру</w:t>
      </w:r>
      <w:r w:rsidRPr="00271E51">
        <w:rPr>
          <w:rFonts w:ascii="Times New Roman" w:hAnsi="Times New Roman" w:cs="Times New Roman"/>
          <w:color w:val="000000" w:themeColor="text1"/>
          <w:sz w:val="16"/>
          <w:szCs w:val="16"/>
        </w:rPr>
        <w:softHyphen/>
        <w:t xml:space="preserve">лей высоты и направления штурмовик оказался близким к таким самолетам, как Як-7б, Як-9 и </w:t>
      </w:r>
      <w:r w:rsidRPr="00271E51">
        <w:rPr>
          <w:rFonts w:ascii="Times New Roman" w:hAnsi="Times New Roman" w:cs="Times New Roman"/>
          <w:color w:val="000000" w:themeColor="text1"/>
          <w:sz w:val="16"/>
          <w:szCs w:val="16"/>
          <w:lang w:val="en-US"/>
        </w:rPr>
        <w:t>BfUO</w:t>
      </w:r>
      <w:r w:rsidRPr="00271E51">
        <w:rPr>
          <w:rFonts w:ascii="Times New Roman" w:hAnsi="Times New Roman" w:cs="Times New Roman"/>
          <w:color w:val="000000" w:themeColor="text1"/>
          <w:sz w:val="16"/>
          <w:szCs w:val="16"/>
        </w:rPr>
        <w:t>, «имеющих хорошую оценку управляемости».</w:t>
      </w:r>
    </w:p>
    <w:p w14:paraId="0F54EDED"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испытаний выяснилось, что улучшение продольной устойчивости са</w:t>
      </w:r>
      <w:r w:rsidRPr="00271E51">
        <w:rPr>
          <w:rFonts w:ascii="Times New Roman" w:hAnsi="Times New Roman" w:cs="Times New Roman"/>
          <w:color w:val="000000" w:themeColor="text1"/>
          <w:sz w:val="16"/>
          <w:szCs w:val="16"/>
        </w:rPr>
        <w:softHyphen/>
        <w:t>молета за счет введения в систему управ</w:t>
      </w:r>
      <w:r w:rsidRPr="00271E51">
        <w:rPr>
          <w:rFonts w:ascii="Times New Roman" w:hAnsi="Times New Roman" w:cs="Times New Roman"/>
          <w:color w:val="000000" w:themeColor="text1"/>
          <w:sz w:val="16"/>
          <w:szCs w:val="16"/>
        </w:rPr>
        <w:softHyphen/>
        <w:t>ления рулем высоты контрбалансира и пружины незначительно в сравнении с эффектом от установки крыла увеличен</w:t>
      </w:r>
      <w:r w:rsidRPr="00271E51">
        <w:rPr>
          <w:rFonts w:ascii="Times New Roman" w:hAnsi="Times New Roman" w:cs="Times New Roman"/>
          <w:color w:val="000000" w:themeColor="text1"/>
          <w:sz w:val="16"/>
          <w:szCs w:val="16"/>
        </w:rPr>
        <w:softHyphen/>
        <w:t>ной стреловидности.</w:t>
      </w:r>
    </w:p>
    <w:p w14:paraId="48385EF6"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Было решено в серии отказаться от установки на Ил-2 «со стрельчатым кры</w:t>
      </w:r>
      <w:r w:rsidRPr="00271E51">
        <w:rPr>
          <w:rFonts w:ascii="Times New Roman" w:hAnsi="Times New Roman" w:cs="Times New Roman"/>
          <w:color w:val="000000" w:themeColor="text1"/>
          <w:sz w:val="16"/>
          <w:szCs w:val="16"/>
        </w:rPr>
        <w:softHyphen/>
        <w:t>лом» контрбалансира и пружины, оста</w:t>
      </w:r>
      <w:r w:rsidRPr="00271E51">
        <w:rPr>
          <w:rFonts w:ascii="Times New Roman" w:hAnsi="Times New Roman" w:cs="Times New Roman"/>
          <w:color w:val="000000" w:themeColor="text1"/>
          <w:sz w:val="16"/>
          <w:szCs w:val="16"/>
        </w:rPr>
        <w:softHyphen/>
        <w:t>вив их только на самолетах с обычным крылом.</w:t>
      </w:r>
    </w:p>
    <w:p w14:paraId="359FD03F"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заключение отчета НИИ ВВС опыт</w:t>
      </w:r>
      <w:r w:rsidRPr="00271E51">
        <w:rPr>
          <w:rFonts w:ascii="Times New Roman" w:hAnsi="Times New Roman" w:cs="Times New Roman"/>
          <w:color w:val="000000" w:themeColor="text1"/>
          <w:sz w:val="16"/>
          <w:szCs w:val="16"/>
        </w:rPr>
        <w:softHyphen/>
        <w:t>ный Ил-2 «с увеличенной стрельчатостью крыла и улучшенной аэродинамикой» ре</w:t>
      </w:r>
      <w:r w:rsidRPr="00271E51">
        <w:rPr>
          <w:rFonts w:ascii="Times New Roman" w:hAnsi="Times New Roman" w:cs="Times New Roman"/>
          <w:color w:val="000000" w:themeColor="text1"/>
          <w:sz w:val="16"/>
          <w:szCs w:val="16"/>
        </w:rPr>
        <w:softHyphen/>
        <w:t>комендовался в серийное производство, но отмечалось, что: «Мероприятия, прове</w:t>
      </w:r>
      <w:r w:rsidRPr="00271E51">
        <w:rPr>
          <w:rFonts w:ascii="Times New Roman" w:hAnsi="Times New Roman" w:cs="Times New Roman"/>
          <w:color w:val="000000" w:themeColor="text1"/>
          <w:sz w:val="16"/>
          <w:szCs w:val="16"/>
        </w:rPr>
        <w:softHyphen/>
        <w:t>денные Главным конструктором самолета по улучшению продольной устойчивости, хотя и значительно улучшили устойчи</w:t>
      </w:r>
      <w:r w:rsidRPr="00271E51">
        <w:rPr>
          <w:rFonts w:ascii="Times New Roman" w:hAnsi="Times New Roman" w:cs="Times New Roman"/>
          <w:color w:val="000000" w:themeColor="text1"/>
          <w:sz w:val="16"/>
          <w:szCs w:val="16"/>
        </w:rPr>
        <w:softHyphen/>
        <w:t>вость и управляемость самолета, но явля</w:t>
      </w:r>
      <w:r w:rsidRPr="00271E51">
        <w:rPr>
          <w:rFonts w:ascii="Times New Roman" w:hAnsi="Times New Roman" w:cs="Times New Roman"/>
          <w:color w:val="000000" w:themeColor="text1"/>
          <w:sz w:val="16"/>
          <w:szCs w:val="16"/>
        </w:rPr>
        <w:softHyphen/>
        <w:t>ются еще недостаточными». Специалисты института предлагали «для получения по</w:t>
      </w:r>
      <w:r w:rsidRPr="00271E51">
        <w:rPr>
          <w:rFonts w:ascii="Times New Roman" w:hAnsi="Times New Roman" w:cs="Times New Roman"/>
          <w:color w:val="000000" w:themeColor="text1"/>
          <w:sz w:val="16"/>
          <w:szCs w:val="16"/>
        </w:rPr>
        <w:softHyphen/>
        <w:t>ложительных запасов продольной устой</w:t>
      </w:r>
      <w:r w:rsidRPr="00271E51">
        <w:rPr>
          <w:rFonts w:ascii="Times New Roman" w:hAnsi="Times New Roman" w:cs="Times New Roman"/>
          <w:color w:val="000000" w:themeColor="text1"/>
          <w:sz w:val="16"/>
          <w:szCs w:val="16"/>
        </w:rPr>
        <w:softHyphen/>
        <w:t>чивости сдвинуть центровку вперед еще на 2-3% САХ» (19558).</w:t>
      </w:r>
    </w:p>
    <w:p w14:paraId="4F04C24C" w14:textId="77777777" w:rsidR="00D72105" w:rsidRPr="00271E51" w:rsidRDefault="00D72105" w:rsidP="00271E51">
      <w:pPr>
        <w:pStyle w:val="184"/>
        <w:shd w:val="clear" w:color="auto" w:fill="auto"/>
        <w:spacing w:before="0" w:after="0" w:line="240" w:lineRule="auto"/>
        <w:rPr>
          <w:rFonts w:ascii="Times New Roman" w:hAnsi="Times New Roman" w:cs="Times New Roman"/>
          <w:color w:val="000000" w:themeColor="text1"/>
          <w:sz w:val="16"/>
          <w:szCs w:val="16"/>
        </w:rPr>
      </w:pPr>
    </w:p>
    <w:p w14:paraId="049ECD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закончились летные испытания Ил-2 «крыло со стрелкой» (зав. № 6767), которые проходили с 20 сентября. Всего было выполнено 14 полетов с об</w:t>
      </w:r>
      <w:r w:rsidRPr="00271E51">
        <w:rPr>
          <w:rFonts w:ascii="Times New Roman" w:hAnsi="Times New Roman"/>
          <w:color w:val="000000" w:themeColor="text1"/>
          <w:sz w:val="16"/>
          <w:szCs w:val="16"/>
        </w:rPr>
        <w:softHyphen/>
        <w:t>щим налетом 11 ч 15 мин. Летал летчик-испытатель подполковник А.К. Долгов.</w:t>
      </w:r>
    </w:p>
    <w:p w14:paraId="5B3AC2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испытаний моди</w:t>
      </w:r>
      <w:r w:rsidRPr="00271E51">
        <w:rPr>
          <w:rFonts w:ascii="Times New Roman" w:hAnsi="Times New Roman"/>
          <w:color w:val="000000" w:themeColor="text1"/>
          <w:sz w:val="16"/>
          <w:szCs w:val="16"/>
        </w:rPr>
        <w:softHyphen/>
        <w:t>фицированного Ил-2 особенно тща</w:t>
      </w:r>
      <w:r w:rsidRPr="00271E51">
        <w:rPr>
          <w:rFonts w:ascii="Times New Roman" w:hAnsi="Times New Roman"/>
          <w:color w:val="000000" w:themeColor="text1"/>
          <w:sz w:val="16"/>
          <w:szCs w:val="16"/>
        </w:rPr>
        <w:softHyphen/>
        <w:t>тельно анализировались статическая и динамическая продольная и боковая устойчивости штурмовика. Исследова</w:t>
      </w:r>
      <w:r w:rsidRPr="00271E51">
        <w:rPr>
          <w:rFonts w:ascii="Times New Roman" w:hAnsi="Times New Roman"/>
          <w:color w:val="000000" w:themeColor="text1"/>
          <w:sz w:val="16"/>
          <w:szCs w:val="16"/>
        </w:rPr>
        <w:softHyphen/>
        <w:t>лись балансировка самолета, эффек</w:t>
      </w:r>
      <w:r w:rsidRPr="00271E51">
        <w:rPr>
          <w:rFonts w:ascii="Times New Roman" w:hAnsi="Times New Roman"/>
          <w:color w:val="000000" w:themeColor="text1"/>
          <w:sz w:val="16"/>
          <w:szCs w:val="16"/>
        </w:rPr>
        <w:softHyphen/>
        <w:t>тивность органов управления и осо</w:t>
      </w:r>
      <w:r w:rsidRPr="00271E51">
        <w:rPr>
          <w:rFonts w:ascii="Times New Roman" w:hAnsi="Times New Roman"/>
          <w:color w:val="000000" w:themeColor="text1"/>
          <w:sz w:val="16"/>
          <w:szCs w:val="16"/>
        </w:rPr>
        <w:softHyphen/>
        <w:t>бенности управления самолетом при выполнении фигурных полетов.</w:t>
      </w:r>
    </w:p>
    <w:p w14:paraId="7846AF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определения характеристик продольной статической устойчивости было выполнено два полета при пре</w:t>
      </w:r>
      <w:r w:rsidRPr="00271E51">
        <w:rPr>
          <w:rFonts w:ascii="Times New Roman" w:hAnsi="Times New Roman"/>
          <w:color w:val="000000" w:themeColor="text1"/>
          <w:sz w:val="16"/>
          <w:szCs w:val="16"/>
        </w:rPr>
        <w:softHyphen/>
        <w:t>дельно передней и задней центровках - 26,0% и 30,7% САХ, соответственно.</w:t>
      </w:r>
    </w:p>
    <w:p w14:paraId="4AB974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боковой статичес</w:t>
      </w:r>
      <w:r w:rsidRPr="00271E51">
        <w:rPr>
          <w:rFonts w:ascii="Times New Roman" w:hAnsi="Times New Roman"/>
          <w:color w:val="000000" w:themeColor="text1"/>
          <w:sz w:val="16"/>
          <w:szCs w:val="16"/>
        </w:rPr>
        <w:softHyphen/>
        <w:t>кой устойчивости определялись на ус</w:t>
      </w:r>
      <w:r w:rsidRPr="00271E51">
        <w:rPr>
          <w:rFonts w:ascii="Times New Roman" w:hAnsi="Times New Roman"/>
          <w:color w:val="000000" w:themeColor="text1"/>
          <w:sz w:val="16"/>
          <w:szCs w:val="16"/>
        </w:rPr>
        <w:softHyphen/>
        <w:t>тановившихся (координированных) скольжениях с горизонтального поле</w:t>
      </w:r>
      <w:r w:rsidRPr="00271E51">
        <w:rPr>
          <w:rFonts w:ascii="Times New Roman" w:hAnsi="Times New Roman"/>
          <w:color w:val="000000" w:themeColor="text1"/>
          <w:sz w:val="16"/>
          <w:szCs w:val="16"/>
        </w:rPr>
        <w:softHyphen/>
        <w:t>та (один полет). Динамическая про</w:t>
      </w:r>
      <w:r w:rsidRPr="00271E51">
        <w:rPr>
          <w:rFonts w:ascii="Times New Roman" w:hAnsi="Times New Roman"/>
          <w:color w:val="000000" w:themeColor="text1"/>
          <w:sz w:val="16"/>
          <w:szCs w:val="16"/>
        </w:rPr>
        <w:softHyphen/>
        <w:t>дольная и боковая устойчивости обсле</w:t>
      </w:r>
      <w:r w:rsidRPr="00271E51">
        <w:rPr>
          <w:rFonts w:ascii="Times New Roman" w:hAnsi="Times New Roman"/>
          <w:color w:val="000000" w:themeColor="text1"/>
          <w:sz w:val="16"/>
          <w:szCs w:val="16"/>
        </w:rPr>
        <w:softHyphen/>
        <w:t>довались качественно методом импульсов разными летчиками (три полета).</w:t>
      </w:r>
    </w:p>
    <w:p w14:paraId="47ADD7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один полет был выпол</w:t>
      </w:r>
      <w:r w:rsidRPr="00271E51">
        <w:rPr>
          <w:rFonts w:ascii="Times New Roman" w:hAnsi="Times New Roman"/>
          <w:color w:val="000000" w:themeColor="text1"/>
          <w:sz w:val="16"/>
          <w:szCs w:val="16"/>
        </w:rPr>
        <w:softHyphen/>
        <w:t>нен для определения балансировоч</w:t>
      </w:r>
      <w:r w:rsidRPr="00271E51">
        <w:rPr>
          <w:rFonts w:ascii="Times New Roman" w:hAnsi="Times New Roman"/>
          <w:color w:val="000000" w:themeColor="text1"/>
          <w:sz w:val="16"/>
          <w:szCs w:val="16"/>
        </w:rPr>
        <w:softHyphen/>
        <w:t>ных кривых при установке в системе управления рулем высоты контрбалан</w:t>
      </w:r>
      <w:r w:rsidRPr="00271E51">
        <w:rPr>
          <w:rFonts w:ascii="Times New Roman" w:hAnsi="Times New Roman"/>
          <w:color w:val="000000" w:themeColor="text1"/>
          <w:sz w:val="16"/>
          <w:szCs w:val="16"/>
        </w:rPr>
        <w:softHyphen/>
        <w:t>сира и амортизационной пружины.</w:t>
      </w:r>
    </w:p>
    <w:p w14:paraId="733BB1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Центровка самолета, соответствую</w:t>
      </w:r>
      <w:r w:rsidRPr="00271E51">
        <w:rPr>
          <w:rFonts w:ascii="Times New Roman" w:hAnsi="Times New Roman"/>
          <w:color w:val="000000" w:themeColor="text1"/>
          <w:sz w:val="16"/>
          <w:szCs w:val="16"/>
        </w:rPr>
        <w:softHyphen/>
        <w:t>щая нормальному начальному полет</w:t>
      </w:r>
      <w:r w:rsidRPr="00271E51">
        <w:rPr>
          <w:rFonts w:ascii="Times New Roman" w:hAnsi="Times New Roman"/>
          <w:color w:val="000000" w:themeColor="text1"/>
          <w:sz w:val="16"/>
          <w:szCs w:val="16"/>
        </w:rPr>
        <w:softHyphen/>
        <w:t>ному весу, составляла 28,4% САХ (при выпущенном шасси).</w:t>
      </w:r>
    </w:p>
    <w:p w14:paraId="5425B9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Испытания показали, что по летным данным Ил-2 </w:t>
      </w:r>
      <w:r w:rsidRPr="00271E51">
        <w:rPr>
          <w:rFonts w:ascii="Times New Roman" w:hAnsi="Times New Roman"/>
          <w:iCs/>
          <w:color w:val="000000" w:themeColor="text1"/>
          <w:sz w:val="16"/>
          <w:szCs w:val="16"/>
        </w:rPr>
        <w:t xml:space="preserve">«со стрельчатым крылом» </w:t>
      </w:r>
      <w:r w:rsidRPr="00271E51">
        <w:rPr>
          <w:rFonts w:ascii="Times New Roman" w:hAnsi="Times New Roman"/>
          <w:color w:val="000000" w:themeColor="text1"/>
          <w:sz w:val="16"/>
          <w:szCs w:val="16"/>
        </w:rPr>
        <w:t>практически не отличался от самолета с обычным крылом. В то же время пи</w:t>
      </w:r>
      <w:r w:rsidRPr="00271E51">
        <w:rPr>
          <w:rFonts w:ascii="Times New Roman" w:hAnsi="Times New Roman"/>
          <w:color w:val="000000" w:themeColor="text1"/>
          <w:sz w:val="16"/>
          <w:szCs w:val="16"/>
        </w:rPr>
        <w:softHyphen/>
        <w:t>лотажные качества кардинально улуч</w:t>
      </w:r>
      <w:r w:rsidRPr="00271E51">
        <w:rPr>
          <w:rFonts w:ascii="Times New Roman" w:hAnsi="Times New Roman"/>
          <w:color w:val="000000" w:themeColor="text1"/>
          <w:sz w:val="16"/>
          <w:szCs w:val="16"/>
        </w:rPr>
        <w:softHyphen/>
        <w:t>шились. На всех возможных режимах полета штурмовик был устойчивым, простым и приятным в пилотирова</w:t>
      </w:r>
      <w:r w:rsidRPr="00271E51">
        <w:rPr>
          <w:rFonts w:ascii="Times New Roman" w:hAnsi="Times New Roman"/>
          <w:color w:val="000000" w:themeColor="text1"/>
          <w:sz w:val="16"/>
          <w:szCs w:val="16"/>
        </w:rPr>
        <w:softHyphen/>
        <w:t>нии. Допускался полет с брошенной ручкой управления в течение 2-3 мин. Управление стало более легким и тре</w:t>
      </w:r>
      <w:r w:rsidRPr="00271E51">
        <w:rPr>
          <w:rFonts w:ascii="Times New Roman" w:hAnsi="Times New Roman"/>
          <w:color w:val="000000" w:themeColor="text1"/>
          <w:sz w:val="16"/>
          <w:szCs w:val="16"/>
        </w:rPr>
        <w:softHyphen/>
        <w:t>бовало от летчиков существенно мень</w:t>
      </w:r>
      <w:r w:rsidRPr="00271E51">
        <w:rPr>
          <w:rFonts w:ascii="Times New Roman" w:hAnsi="Times New Roman"/>
          <w:color w:val="000000" w:themeColor="text1"/>
          <w:sz w:val="16"/>
          <w:szCs w:val="16"/>
        </w:rPr>
        <w:softHyphen/>
        <w:t>ших усилий на всех режимах полета. По управляемости и эффективности элеронов, рулей высоты и направле</w:t>
      </w:r>
      <w:r w:rsidRPr="00271E51">
        <w:rPr>
          <w:rFonts w:ascii="Times New Roman" w:hAnsi="Times New Roman"/>
          <w:color w:val="000000" w:themeColor="text1"/>
          <w:sz w:val="16"/>
          <w:szCs w:val="16"/>
        </w:rPr>
        <w:softHyphen/>
        <w:t>ния штурмовик оказался близким к та</w:t>
      </w:r>
      <w:r w:rsidRPr="00271E51">
        <w:rPr>
          <w:rFonts w:ascii="Times New Roman" w:hAnsi="Times New Roman"/>
          <w:color w:val="000000" w:themeColor="text1"/>
          <w:sz w:val="16"/>
          <w:szCs w:val="16"/>
        </w:rPr>
        <w:softHyphen/>
        <w:t xml:space="preserve">ким самолетам, как Як-7б, Як-9 и Вт"110, </w:t>
      </w:r>
      <w:r w:rsidRPr="00271E51">
        <w:rPr>
          <w:rFonts w:ascii="Times New Roman" w:hAnsi="Times New Roman"/>
          <w:iCs/>
          <w:color w:val="000000" w:themeColor="text1"/>
          <w:sz w:val="16"/>
          <w:szCs w:val="16"/>
        </w:rPr>
        <w:t>«имеющим хорошую оценку управляе</w:t>
      </w:r>
      <w:r w:rsidRPr="00271E51">
        <w:rPr>
          <w:rFonts w:ascii="Times New Roman" w:hAnsi="Times New Roman"/>
          <w:iCs/>
          <w:color w:val="000000" w:themeColor="text1"/>
          <w:sz w:val="16"/>
          <w:szCs w:val="16"/>
        </w:rPr>
        <w:softHyphen/>
        <w:t xml:space="preserve">мости». </w:t>
      </w:r>
      <w:r w:rsidRPr="00271E51">
        <w:rPr>
          <w:rFonts w:ascii="Times New Roman" w:hAnsi="Times New Roman"/>
          <w:color w:val="000000" w:themeColor="text1"/>
          <w:sz w:val="16"/>
          <w:szCs w:val="16"/>
        </w:rPr>
        <w:t>В качестве недостатка отмечал</w:t>
      </w:r>
      <w:r w:rsidRPr="00271E51">
        <w:rPr>
          <w:rFonts w:ascii="Times New Roman" w:hAnsi="Times New Roman"/>
          <w:color w:val="000000" w:themeColor="text1"/>
          <w:sz w:val="16"/>
          <w:szCs w:val="16"/>
        </w:rPr>
        <w:softHyphen/>
        <w:t>ся лишь небольшой кабрирующий мо</w:t>
      </w:r>
      <w:r w:rsidRPr="00271E51">
        <w:rPr>
          <w:rFonts w:ascii="Times New Roman" w:hAnsi="Times New Roman"/>
          <w:color w:val="000000" w:themeColor="text1"/>
          <w:sz w:val="16"/>
          <w:szCs w:val="16"/>
        </w:rPr>
        <w:softHyphen/>
        <w:t>мент, который возникал при даче газа и выпуске щитков и шасси:</w:t>
      </w:r>
    </w:p>
    <w:p w14:paraId="464EF1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Давая летную оценку самолету, под-полковник А. К. Долгов отмечал: </w:t>
      </w:r>
      <w:r w:rsidRPr="00271E51">
        <w:rPr>
          <w:rFonts w:ascii="Times New Roman" w:hAnsi="Times New Roman"/>
          <w:iCs/>
          <w:color w:val="000000" w:themeColor="text1"/>
          <w:sz w:val="16"/>
          <w:szCs w:val="16"/>
        </w:rPr>
        <w:t>«Штурмовик в продольном отношении стал значительно устойчивее, чем обычные серийные двухместные само</w:t>
      </w:r>
      <w:r w:rsidRPr="00271E51">
        <w:rPr>
          <w:rFonts w:ascii="Times New Roman" w:hAnsi="Times New Roman"/>
          <w:iCs/>
          <w:color w:val="000000" w:themeColor="text1"/>
          <w:sz w:val="16"/>
          <w:szCs w:val="16"/>
        </w:rPr>
        <w:softHyphen/>
        <w:t>леты Ил-2. Увеличение стреловиднос</w:t>
      </w:r>
      <w:r w:rsidRPr="00271E51">
        <w:rPr>
          <w:rFonts w:ascii="Times New Roman" w:hAnsi="Times New Roman"/>
          <w:iCs/>
          <w:color w:val="000000" w:themeColor="text1"/>
          <w:sz w:val="16"/>
          <w:szCs w:val="16"/>
        </w:rPr>
        <w:softHyphen/>
        <w:t>ти крыла упростило технику пилоти</w:t>
      </w:r>
      <w:r w:rsidRPr="00271E51">
        <w:rPr>
          <w:rFonts w:ascii="Times New Roman" w:hAnsi="Times New Roman"/>
          <w:iCs/>
          <w:color w:val="000000" w:themeColor="text1"/>
          <w:sz w:val="16"/>
          <w:szCs w:val="16"/>
        </w:rPr>
        <w:softHyphen/>
        <w:t>рования двухместного самолета на всех режимах полета, и особенно на вира</w:t>
      </w:r>
      <w:r w:rsidRPr="00271E51">
        <w:rPr>
          <w:rFonts w:ascii="Times New Roman" w:hAnsi="Times New Roman"/>
          <w:iCs/>
          <w:color w:val="000000" w:themeColor="text1"/>
          <w:sz w:val="16"/>
          <w:szCs w:val="16"/>
        </w:rPr>
        <w:softHyphen/>
        <w:t>жах. Вираж самолет выполняет устой</w:t>
      </w:r>
      <w:r w:rsidRPr="00271E51">
        <w:rPr>
          <w:rFonts w:ascii="Times New Roman" w:hAnsi="Times New Roman"/>
          <w:iCs/>
          <w:color w:val="000000" w:themeColor="text1"/>
          <w:sz w:val="16"/>
          <w:szCs w:val="16"/>
        </w:rPr>
        <w:softHyphen/>
        <w:t>чиво, явление колебаний около продоль</w:t>
      </w:r>
      <w:r w:rsidRPr="00271E51">
        <w:rPr>
          <w:rFonts w:ascii="Times New Roman" w:hAnsi="Times New Roman"/>
          <w:iCs/>
          <w:color w:val="000000" w:themeColor="text1"/>
          <w:sz w:val="16"/>
          <w:szCs w:val="16"/>
        </w:rPr>
        <w:softHyphen/>
        <w:t>ной оси отсутствует. В горизонталь</w:t>
      </w:r>
      <w:r w:rsidRPr="00271E51">
        <w:rPr>
          <w:rFonts w:ascii="Times New Roman" w:hAnsi="Times New Roman"/>
          <w:iCs/>
          <w:color w:val="000000" w:themeColor="text1"/>
          <w:sz w:val="16"/>
          <w:szCs w:val="16"/>
        </w:rPr>
        <w:softHyphen/>
        <w:t>ном полете самолет позволяет полет с брошенным управлением при соот</w:t>
      </w:r>
      <w:r w:rsidRPr="00271E51">
        <w:rPr>
          <w:rFonts w:ascii="Times New Roman" w:hAnsi="Times New Roman"/>
          <w:iCs/>
          <w:color w:val="000000" w:themeColor="text1"/>
          <w:sz w:val="16"/>
          <w:szCs w:val="16"/>
        </w:rPr>
        <w:softHyphen/>
        <w:t>ветствующей регулировке триммером, что совершенно исключено на обычных серийных самолетах. Практически про</w:t>
      </w:r>
      <w:r w:rsidRPr="00271E51">
        <w:rPr>
          <w:rFonts w:ascii="Times New Roman" w:hAnsi="Times New Roman"/>
          <w:iCs/>
          <w:color w:val="000000" w:themeColor="text1"/>
          <w:sz w:val="16"/>
          <w:szCs w:val="16"/>
        </w:rPr>
        <w:softHyphen/>
        <w:t>дольная устойчивость близка к нейт</w:t>
      </w:r>
      <w:r w:rsidRPr="00271E51">
        <w:rPr>
          <w:rFonts w:ascii="Times New Roman" w:hAnsi="Times New Roman"/>
          <w:iCs/>
          <w:color w:val="000000" w:themeColor="text1"/>
          <w:sz w:val="16"/>
          <w:szCs w:val="16"/>
        </w:rPr>
        <w:softHyphen/>
        <w:t>ральной. Устойчивость пути хорошая, устойчивость поперечная имеет не</w:t>
      </w:r>
      <w:r w:rsidRPr="00271E51">
        <w:rPr>
          <w:rFonts w:ascii="Times New Roman" w:hAnsi="Times New Roman"/>
          <w:iCs/>
          <w:color w:val="000000" w:themeColor="text1"/>
          <w:sz w:val="16"/>
          <w:szCs w:val="16"/>
        </w:rPr>
        <w:softHyphen/>
        <w:t>большой запас и близка к нейтральной. ... Пикирование самолет выполняет ус</w:t>
      </w:r>
      <w:r w:rsidRPr="00271E51">
        <w:rPr>
          <w:rFonts w:ascii="Times New Roman" w:hAnsi="Times New Roman"/>
          <w:iCs/>
          <w:color w:val="000000" w:themeColor="text1"/>
          <w:sz w:val="16"/>
          <w:szCs w:val="16"/>
        </w:rPr>
        <w:softHyphen/>
        <w:t>тойчиво, явления затягивания в пики</w:t>
      </w:r>
      <w:r w:rsidRPr="00271E51">
        <w:rPr>
          <w:rFonts w:ascii="Times New Roman" w:hAnsi="Times New Roman"/>
          <w:iCs/>
          <w:color w:val="000000" w:themeColor="text1"/>
          <w:sz w:val="16"/>
          <w:szCs w:val="16"/>
        </w:rPr>
        <w:softHyphen/>
        <w:t>рование не наблюдается. На посадке самолет хорошо садится на 3 точки, запас рулей достаточный, даже при центровке 26% САХ».</w:t>
      </w:r>
    </w:p>
    <w:p w14:paraId="5D96E5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выяснилось, что улучшение продольной устойчивости самолета за счет введения в систему управления рулем высоты контрбалан</w:t>
      </w:r>
      <w:r w:rsidRPr="00271E51">
        <w:rPr>
          <w:rFonts w:ascii="Times New Roman" w:hAnsi="Times New Roman"/>
          <w:color w:val="000000" w:themeColor="text1"/>
          <w:sz w:val="16"/>
          <w:szCs w:val="16"/>
        </w:rPr>
        <w:softHyphen/>
        <w:t>сира и пружины незначительно в срав</w:t>
      </w:r>
      <w:r w:rsidRPr="00271E51">
        <w:rPr>
          <w:rFonts w:ascii="Times New Roman" w:hAnsi="Times New Roman"/>
          <w:color w:val="000000" w:themeColor="text1"/>
          <w:sz w:val="16"/>
          <w:szCs w:val="16"/>
        </w:rPr>
        <w:softHyphen/>
        <w:t>нении с эффектом от установки крыла увеличенной стреловидности.</w:t>
      </w:r>
    </w:p>
    <w:p w14:paraId="00F8E3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решено в серии отказаться от установки на Ил-2 «со стрельчатым крылом» контрбалансира и пружины, оставив их только на самолетах с обыч</w:t>
      </w:r>
      <w:r w:rsidRPr="00271E51">
        <w:rPr>
          <w:rFonts w:ascii="Times New Roman" w:hAnsi="Times New Roman"/>
          <w:color w:val="000000" w:themeColor="text1"/>
          <w:sz w:val="16"/>
          <w:szCs w:val="16"/>
        </w:rPr>
        <w:softHyphen/>
        <w:t>ным крылом.</w:t>
      </w:r>
    </w:p>
    <w:p w14:paraId="674CA1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отчета НИИ ВВС опыт</w:t>
      </w:r>
      <w:r w:rsidRPr="00271E51">
        <w:rPr>
          <w:rFonts w:ascii="Times New Roman" w:hAnsi="Times New Roman"/>
          <w:color w:val="000000" w:themeColor="text1"/>
          <w:sz w:val="16"/>
          <w:szCs w:val="16"/>
        </w:rPr>
        <w:softHyphen/>
        <w:t xml:space="preserve">ный Ил-2 </w:t>
      </w:r>
      <w:r w:rsidRPr="00271E51">
        <w:rPr>
          <w:rFonts w:ascii="Times New Roman" w:hAnsi="Times New Roman"/>
          <w:iCs/>
          <w:color w:val="000000" w:themeColor="text1"/>
          <w:sz w:val="16"/>
          <w:szCs w:val="16"/>
        </w:rPr>
        <w:t>«с увеличенной стрельчато-стью крыла и улучшенной аэродинами</w:t>
      </w:r>
      <w:r w:rsidRPr="00271E51">
        <w:rPr>
          <w:rFonts w:ascii="Times New Roman" w:hAnsi="Times New Roman"/>
          <w:iCs/>
          <w:color w:val="000000" w:themeColor="text1"/>
          <w:sz w:val="16"/>
          <w:szCs w:val="16"/>
        </w:rPr>
        <w:softHyphen/>
        <w:t xml:space="preserve">кой» </w:t>
      </w:r>
      <w:r w:rsidRPr="00271E51">
        <w:rPr>
          <w:rFonts w:ascii="Times New Roman" w:hAnsi="Times New Roman"/>
          <w:color w:val="000000" w:themeColor="text1"/>
          <w:sz w:val="16"/>
          <w:szCs w:val="16"/>
        </w:rPr>
        <w:t>рекомендовался в серийное про</w:t>
      </w:r>
      <w:r w:rsidRPr="00271E51">
        <w:rPr>
          <w:rFonts w:ascii="Times New Roman" w:hAnsi="Times New Roman"/>
          <w:color w:val="000000" w:themeColor="text1"/>
          <w:sz w:val="16"/>
          <w:szCs w:val="16"/>
        </w:rPr>
        <w:softHyphen/>
        <w:t xml:space="preserve">изводство, но отмечалось, что: </w:t>
      </w:r>
      <w:r w:rsidRPr="00271E51">
        <w:rPr>
          <w:rFonts w:ascii="Times New Roman" w:hAnsi="Times New Roman"/>
          <w:iCs/>
          <w:color w:val="000000" w:themeColor="text1"/>
          <w:sz w:val="16"/>
          <w:szCs w:val="16"/>
        </w:rPr>
        <w:t>«Мероп</w:t>
      </w:r>
      <w:r w:rsidRPr="00271E51">
        <w:rPr>
          <w:rFonts w:ascii="Times New Roman" w:hAnsi="Times New Roman"/>
          <w:iCs/>
          <w:color w:val="000000" w:themeColor="text1"/>
          <w:sz w:val="16"/>
          <w:szCs w:val="16"/>
        </w:rPr>
        <w:softHyphen/>
        <w:t>риятия, проведенные Главным конст</w:t>
      </w:r>
      <w:r w:rsidRPr="00271E51">
        <w:rPr>
          <w:rFonts w:ascii="Times New Roman" w:hAnsi="Times New Roman"/>
          <w:iCs/>
          <w:color w:val="000000" w:themeColor="text1"/>
          <w:sz w:val="16"/>
          <w:szCs w:val="16"/>
        </w:rPr>
        <w:softHyphen/>
        <w:t>руктором самолета по улучшению про</w:t>
      </w:r>
      <w:r w:rsidRPr="00271E51">
        <w:rPr>
          <w:rFonts w:ascii="Times New Roman" w:hAnsi="Times New Roman"/>
          <w:iCs/>
          <w:color w:val="000000" w:themeColor="text1"/>
          <w:sz w:val="16"/>
          <w:szCs w:val="16"/>
        </w:rPr>
        <w:softHyphen/>
        <w:t>дольной устойчивости, хотя и значи</w:t>
      </w:r>
      <w:r w:rsidRPr="00271E51">
        <w:rPr>
          <w:rFonts w:ascii="Times New Roman" w:hAnsi="Times New Roman"/>
          <w:iCs/>
          <w:color w:val="000000" w:themeColor="text1"/>
          <w:sz w:val="16"/>
          <w:szCs w:val="16"/>
        </w:rPr>
        <w:softHyphen/>
        <w:t>тельно улучшили устойчивость и уп</w:t>
      </w:r>
      <w:r w:rsidRPr="00271E51">
        <w:rPr>
          <w:rFonts w:ascii="Times New Roman" w:hAnsi="Times New Roman"/>
          <w:iCs/>
          <w:color w:val="000000" w:themeColor="text1"/>
          <w:sz w:val="16"/>
          <w:szCs w:val="16"/>
        </w:rPr>
        <w:softHyphen/>
        <w:t xml:space="preserve">равляемость самолета, но являются еще недостаточными». </w:t>
      </w:r>
      <w:r w:rsidRPr="00271E51">
        <w:rPr>
          <w:rFonts w:ascii="Times New Roman" w:hAnsi="Times New Roman"/>
          <w:color w:val="000000" w:themeColor="text1"/>
          <w:sz w:val="16"/>
          <w:szCs w:val="16"/>
        </w:rPr>
        <w:t xml:space="preserve">Специалисты института предлагали </w:t>
      </w:r>
      <w:r w:rsidRPr="00271E51">
        <w:rPr>
          <w:rFonts w:ascii="Times New Roman" w:hAnsi="Times New Roman"/>
          <w:iCs/>
          <w:color w:val="000000" w:themeColor="text1"/>
          <w:sz w:val="16"/>
          <w:szCs w:val="16"/>
        </w:rPr>
        <w:t>«...сдвинуть центровку вперед еще на 2-3%САХ».</w:t>
      </w:r>
    </w:p>
    <w:p w14:paraId="01CF86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Сразу же по окончании государ</w:t>
      </w:r>
      <w:r w:rsidRPr="00271E51">
        <w:rPr>
          <w:rFonts w:ascii="Times New Roman" w:hAnsi="Times New Roman"/>
          <w:color w:val="000000" w:themeColor="text1"/>
          <w:sz w:val="16"/>
          <w:szCs w:val="16"/>
        </w:rPr>
        <w:softHyphen/>
        <w:t>ственных испытаний модифицирован</w:t>
      </w:r>
      <w:r w:rsidRPr="00271E51">
        <w:rPr>
          <w:rFonts w:ascii="Times New Roman" w:hAnsi="Times New Roman"/>
          <w:color w:val="000000" w:themeColor="text1"/>
          <w:sz w:val="16"/>
          <w:szCs w:val="16"/>
        </w:rPr>
        <w:softHyphen/>
        <w:t>ного Ил-2 руководство ВВС КА обра</w:t>
      </w:r>
      <w:r w:rsidRPr="00271E51">
        <w:rPr>
          <w:rFonts w:ascii="Times New Roman" w:hAnsi="Times New Roman"/>
          <w:color w:val="000000" w:themeColor="text1"/>
          <w:sz w:val="16"/>
          <w:szCs w:val="16"/>
        </w:rPr>
        <w:softHyphen/>
        <w:t>тилось в НКАП с просьбой о незамед</w:t>
      </w:r>
      <w:r w:rsidRPr="00271E51">
        <w:rPr>
          <w:rFonts w:ascii="Times New Roman" w:hAnsi="Times New Roman"/>
          <w:color w:val="000000" w:themeColor="text1"/>
          <w:sz w:val="16"/>
          <w:szCs w:val="16"/>
        </w:rPr>
        <w:softHyphen/>
        <w:t>лительном внедрении этого самолета в серийное производство.</w:t>
      </w:r>
    </w:p>
    <w:p w14:paraId="115D26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Военных поддержал и Главный кон</w:t>
      </w:r>
      <w:r w:rsidRPr="00271E51">
        <w:rPr>
          <w:rFonts w:ascii="Times New Roman" w:hAnsi="Times New Roman"/>
          <w:color w:val="000000" w:themeColor="text1"/>
          <w:sz w:val="16"/>
          <w:szCs w:val="16"/>
        </w:rPr>
        <w:softHyphen/>
        <w:t>структор самолета. Уже 9 ноября нар-комавиапрома своим приказом обязал заводы внедрить новое крыло в серий</w:t>
      </w:r>
      <w:r w:rsidRPr="00271E51">
        <w:rPr>
          <w:rFonts w:ascii="Times New Roman" w:hAnsi="Times New Roman"/>
          <w:color w:val="000000" w:themeColor="text1"/>
          <w:sz w:val="16"/>
          <w:szCs w:val="16"/>
        </w:rPr>
        <w:softHyphen/>
        <w:t>ное производство и наладить выпуск штурмовиков Ил-2 с таким крылом по образцу прошедшего государственные испытания самолета.</w:t>
      </w:r>
    </w:p>
    <w:p w14:paraId="3D9434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продольной устойчиво</w:t>
      </w:r>
      <w:r w:rsidRPr="00271E51">
        <w:rPr>
          <w:rFonts w:ascii="Times New Roman" w:hAnsi="Times New Roman"/>
          <w:color w:val="000000" w:themeColor="text1"/>
          <w:sz w:val="16"/>
          <w:szCs w:val="16"/>
        </w:rPr>
        <w:softHyphen/>
        <w:t>сти Ил-2 повышало его боевые каче</w:t>
      </w:r>
      <w:r w:rsidRPr="00271E51">
        <w:rPr>
          <w:rFonts w:ascii="Times New Roman" w:hAnsi="Times New Roman"/>
          <w:color w:val="000000" w:themeColor="text1"/>
          <w:sz w:val="16"/>
          <w:szCs w:val="16"/>
        </w:rPr>
        <w:softHyphen/>
        <w:t>ства и облегчало освоение самолета молодыми летчиками. Нормальная бом</w:t>
      </w:r>
      <w:r w:rsidRPr="00271E51">
        <w:rPr>
          <w:rFonts w:ascii="Times New Roman" w:hAnsi="Times New Roman"/>
          <w:color w:val="000000" w:themeColor="text1"/>
          <w:sz w:val="16"/>
          <w:szCs w:val="16"/>
        </w:rPr>
        <w:softHyphen/>
        <w:t>бовая нагрузка была поднята до 400 кг, а максимальная - до 600 кг. Прице</w:t>
      </w:r>
      <w:r w:rsidRPr="00271E51">
        <w:rPr>
          <w:rFonts w:ascii="Times New Roman" w:hAnsi="Times New Roman"/>
          <w:color w:val="000000" w:themeColor="text1"/>
          <w:sz w:val="16"/>
          <w:szCs w:val="16"/>
        </w:rPr>
        <w:softHyphen/>
        <w:t>ливаться, вводить поправки в прице</w:t>
      </w:r>
      <w:r w:rsidRPr="00271E51">
        <w:rPr>
          <w:rFonts w:ascii="Times New Roman" w:hAnsi="Times New Roman"/>
          <w:color w:val="000000" w:themeColor="text1"/>
          <w:sz w:val="16"/>
          <w:szCs w:val="16"/>
        </w:rPr>
        <w:softHyphen/>
        <w:t>ливание и вести стрельбу летчикам ста</w:t>
      </w:r>
      <w:r w:rsidRPr="00271E51">
        <w:rPr>
          <w:rFonts w:ascii="Times New Roman" w:hAnsi="Times New Roman"/>
          <w:color w:val="000000" w:themeColor="text1"/>
          <w:sz w:val="16"/>
          <w:szCs w:val="16"/>
        </w:rPr>
        <w:softHyphen/>
        <w:t>ло легче. Установка металлического крыла повышала боевую живучесть и улучшала ремонтно-эксплуатацион-ные качества самолета.</w:t>
      </w:r>
    </w:p>
    <w:p w14:paraId="79AAC2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серийное производство модифицированного штурмовика раз</w:t>
      </w:r>
      <w:r w:rsidRPr="00271E51">
        <w:rPr>
          <w:rFonts w:ascii="Times New Roman" w:hAnsi="Times New Roman"/>
          <w:color w:val="000000" w:themeColor="text1"/>
          <w:sz w:val="16"/>
          <w:szCs w:val="16"/>
        </w:rPr>
        <w:softHyphen/>
        <w:t>ворачивалось заводчанами крайне медленно. Ни в ноябре, ни в декабре не было собрано ни одного Ил-2 с ме</w:t>
      </w:r>
      <w:r w:rsidRPr="00271E51">
        <w:rPr>
          <w:rFonts w:ascii="Times New Roman" w:hAnsi="Times New Roman"/>
          <w:color w:val="000000" w:themeColor="text1"/>
          <w:sz w:val="16"/>
          <w:szCs w:val="16"/>
        </w:rPr>
        <w:softHyphen/>
        <w:t>таллическим крылом «стрельчатой конструкции». Дело в том, что авиаза</w:t>
      </w:r>
      <w:r w:rsidRPr="00271E51">
        <w:rPr>
          <w:rFonts w:ascii="Times New Roman" w:hAnsi="Times New Roman"/>
          <w:color w:val="000000" w:themeColor="text1"/>
          <w:sz w:val="16"/>
          <w:szCs w:val="16"/>
        </w:rPr>
        <w:softHyphen/>
        <w:t>воды производили до этого самолеты с деревянным крылом, в силу чего ис</w:t>
      </w:r>
      <w:r w:rsidRPr="00271E51">
        <w:rPr>
          <w:rFonts w:ascii="Times New Roman" w:hAnsi="Times New Roman"/>
          <w:color w:val="000000" w:themeColor="text1"/>
          <w:sz w:val="16"/>
          <w:szCs w:val="16"/>
        </w:rPr>
        <w:softHyphen/>
        <w:t>пытывали затруднения при переходе к металлическому крылу (11217).</w:t>
      </w:r>
    </w:p>
    <w:p w14:paraId="270526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5DC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закончились летные испытания Ил-2 стрелка в НИИ ВВС, которые проходили с 20 сентября.</w:t>
      </w:r>
    </w:p>
    <w:p w14:paraId="0F48FE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установки нового цельнометаллического крыла, контрбалансира и амортизационной пружины, на самолете были реализованы все отработанные к этому времени мероприятия по улучшению аэродинамики (клепка впотай, расположение листов встык и т.д.) и сделаны некоторые другие изменения.</w:t>
      </w:r>
    </w:p>
    <w:p w14:paraId="7E4670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был установлен жесткий обтекатель костыля хвостового колеса шасси. Установлены обтекатели на рельсы фонаря кабины пилота и улучшено его сопряжение с бронекорпусом. Уменьшены щели между элеронами и кромкой крыла и вырез над узлами навески элеронов. Стык деревянного хвоста к бронекорпусу выполнялся впотай "за счет увеличения толщины ленты, стоящей на хвосте, и последующей зенковки, как ленты, так и брони". Места стыка брони с хвостом снизу фюзеляжа закрывались дюралевым листом. На крышке капота над мотором отсутствовали "жабры". На верхней части бронекапота снят маслоотражатель. "Скруглено" переднее ребро входа в тоннель водорадиатора. "Убраны" выступы на обтекателе шасси за счет объединения их с основным обтекателем. Установлены обтекатели ракетных орудий. Изменен установочный угол стабилизатора - с -Г до - Г20*.</w:t>
      </w:r>
    </w:p>
    <w:p w14:paraId="6F64C7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Взамен патронной коробки под снаряды к пушке ВЯ-23, ранее устанавливавшейся в специальный отсек крыла, введен патронный ящик, представлявший собой часть конструкции консоли крыла. Для укладки снарядов в этот ящик в верхней обшивке крыла над ящиком прорезаны два люка, закрывающиеся крышками, снабженными замками.</w:t>
      </w:r>
    </w:p>
    <w:p w14:paraId="0835CF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других видимых изменений стоит отметить более длинные, чем на серийных Ил-2, штангу трубки "Пито" и мачту радиоантенны, а также легкосъемный кок винта без храповика.</w:t>
      </w:r>
    </w:p>
    <w:p w14:paraId="137502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было выполнено 14 полетов с общим налетом 11 ч 15 мин.</w:t>
      </w:r>
    </w:p>
    <w:p w14:paraId="0AFDC7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испытаний модифицированного Ил-2 особенно тщательно анализировались статическая и динамическая продольная и боковая устойчивости штурмовика. Исследовались балансировка самолета, эффективность органов управления и особенности управления самолетом при выполнении фигурных полетов.</w:t>
      </w:r>
    </w:p>
    <w:p w14:paraId="44E84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определения характеристик продольной статической устойчивости было выполнено два полета при предельных передней и задней центровках - 26,0% и 30,7% САХ, соответственно.</w:t>
      </w:r>
    </w:p>
    <w:p w14:paraId="1F095B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боковой статической устойчивости определялись на установившихся (координированных) скольжениях с горизонтального полета. Динамическая продольная и боковая устойчивости обследовались качественно методом импульсов разными летчиками.</w:t>
      </w:r>
    </w:p>
    <w:p w14:paraId="44FC4A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один полет был выполнен для определения балансировочных кривых при установке в системе управления рулем высоты контрбалансира и амортизационной пружины.</w:t>
      </w:r>
    </w:p>
    <w:p w14:paraId="1DC414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Центровка самолета, соответствующая нормальному начальному полетному весу, составляла 28,4% САХ (при выпушенном шасси).</w:t>
      </w:r>
    </w:p>
    <w:p w14:paraId="0646FB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по летным данным Ил-2 "крыло со стрелкой" практически не отличался от самолета с обычным крылом, но пилотажные качества кардинально улучшились. На всех возможных режимах полета самолет был устойчивым, простым и приятным в пилотировании. Допускался полет с брошенной ручкой управления в течение 2-3 мин. Управление стало более легким и требовало от летчиков существенно меньших усилий на всех режимах полета. По отзывам летчиков облета нагрузки на ножных педалях управления при полетах с креном и скольжением были невелики. Усилия на ручке управления легко снимались триммером руля высоты. По управляемости и эффективности элеронов, рулей высоты и направления штурмовик оказался близким к таким самолетам, как Як-7б, Як-9 и Bf 110, "имеющих хорошую оценку управляемости". В качестве недостатка отмечался лишь небольшой кабрирующий момент, который возникал при даче газа и выпуске щитков и шасси: "...По ТТТ при выпуске щитков кабрирующий момент не допускается".</w:t>
      </w:r>
    </w:p>
    <w:p w14:paraId="6C1FF9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Давая летную оценку самолету, летчик- испытатель подполковник А. К. Долгов отмечал: "Штурмовик в продольном отношении стал значительно устойчивее, чем обычные серийные двухместные самолеты Ил-2. Увеличение стреловидности крыла упростило технику пилотирования двухместного самолета на всех режимах полета, и особенно на виражах. Вираж самолет выполняет устойчиво, явление колебаний около продольной оси отсутствует. В горизонтальном полете самолет позволяет полет с брошенным управлением при соответствующей регулировке триммером, что совершенно исключено на обычных серийных самолетах. Практически продольная устойчивость близка к нейтральной. Устойчивость пути хорошая, устойчивость поперечная имеет небольшой запас и близка к нейтральной. ...Пикирование самолет выполняет устойчиво, явления затягивания в пикирование не наблюдается. На посадке самолет хорошо садится на 3 точки, запас рулей достаточный, даже при центровке 26% САХ".</w:t>
      </w:r>
    </w:p>
    <w:p w14:paraId="21B61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выяснилось, что улучшение продольной устойчивости самолета за счет введения в систему управления рулем высоты контрбалансира и пружины незначительно в сравнении с эффектом от установки крыла увеличенной стреловидности. В то же время сопутствующие этому недостатки воспринимались летчиками неприятно. Было решено в серии отказаться от установки на Ил-2 "со стрельчатым крылом" контрбалансира и пружины, оставив их только на самолетах с обычным крылом.</w:t>
      </w:r>
    </w:p>
    <w:p w14:paraId="628EBC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НИИ ВВС опытный Ил-2 "с увеличенной стрельчатостью крыла и улучшенной аэродинамикой" рекомендовался в серийное производство, но отмечалось, что: "Мероприятия, проведенные Главным конструктором самолета по улучшению продольной устойчивости, хотя и значительно улучшили устойчивость и управляемость самолета, но являются еще недостаточными". Специалисты института предлагали "...для получения положительных запасов продольной устойчивости сдвинуть центровку вперед еще на 2-3% САХ" (12020).</w:t>
      </w:r>
    </w:p>
    <w:p w14:paraId="18E48C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FAA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л Воскопуп 1 ШАК в ходе применения Ил-2 с 37 мм пушками ОКБ-16 11П в боевых условиях прицельным огнем с 250 м короткими очередями поджег 2 танка (1780,45).</w:t>
      </w:r>
    </w:p>
    <w:p w14:paraId="0F7099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D8A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 565 шап на аэродроме Степыгино при выполнении 29 учебного упражнения на Ил-2 N 302932 с АМ-38Ф N 4591905 произошла катастрофа. ВИАМ провел исследование аварийных деталей и установил, что разрушилась крыльевая гребенка нижнего заднего узла вследствие местного пережога металла ушей гребенки в процессе нагрева под штамповку. Остальные гребенки отвечали ТУ. Решили, что случайно (1780,21).</w:t>
      </w:r>
    </w:p>
    <w:p w14:paraId="35B5A1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0DC5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Нач. ЛИИ А.В.Чесалов с письмом N 633с направил НКАП А.И.Ш. отчет об основных работах ЛИИ за сентябрь 1943 (см. то же от 13 октября).</w:t>
      </w:r>
    </w:p>
    <w:p w14:paraId="6F5487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7F1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1943-го в НИИ ВВС КА закончились конт</w:t>
      </w:r>
      <w:r w:rsidRPr="00271E51">
        <w:rPr>
          <w:rFonts w:ascii="Times New Roman" w:hAnsi="Times New Roman"/>
          <w:color w:val="000000" w:themeColor="text1"/>
          <w:sz w:val="16"/>
          <w:szCs w:val="16"/>
        </w:rPr>
        <w:softHyphen/>
        <w:t>рольные испытания серийный "Ил" (зав. № 186767) производства 18-го авиаза</w:t>
      </w:r>
      <w:r w:rsidRPr="00271E51">
        <w:rPr>
          <w:rFonts w:ascii="Times New Roman" w:hAnsi="Times New Roman"/>
          <w:color w:val="000000" w:themeColor="text1"/>
          <w:sz w:val="16"/>
          <w:szCs w:val="16"/>
        </w:rPr>
        <w:softHyphen/>
        <w:t>вода, в конструкцию которого был вклю</w:t>
      </w:r>
      <w:r w:rsidRPr="00271E51">
        <w:rPr>
          <w:rFonts w:ascii="Times New Roman" w:hAnsi="Times New Roman"/>
          <w:color w:val="000000" w:themeColor="text1"/>
          <w:sz w:val="16"/>
          <w:szCs w:val="16"/>
        </w:rPr>
        <w:softHyphen/>
        <w:t>чен дополнительный контур управления рулем высоты и которые начались 20 сентября 1943 (6467).</w:t>
      </w:r>
    </w:p>
    <w:p w14:paraId="151DB4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482C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Распоряжение ГКО № 4296 [О выделении 3 санитарных самолетов для НКздрава УССР в IV кв. 1943 г.] (7145, 103).</w:t>
      </w:r>
    </w:p>
    <w:p w14:paraId="553ADCC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54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года была подготовлена справка:</w:t>
      </w:r>
    </w:p>
    <w:p w14:paraId="6E0907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125 НКАП является основным броневым заводом, обеспечивающим авиапромышленность броневыми корпусами и бронезащитой для самолетов всех систем.</w:t>
      </w:r>
    </w:p>
    <w:p w14:paraId="6B76A5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Передача его в систему другого Наркомата не может быть произведена (8916).</w:t>
      </w:r>
    </w:p>
    <w:p w14:paraId="41C261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75A8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г. начались испытания высотного Ла-5. Их результаты, к сожалению, оказались ничем не лучше, чем в августе—сентябре. 14 октября в воздухе отказала вторая скорость ПЦН мотора, полёт пришлось прекра</w:t>
      </w:r>
      <w:r w:rsidRPr="00271E51">
        <w:rPr>
          <w:rFonts w:ascii="Times New Roman" w:hAnsi="Times New Roman"/>
          <w:color w:val="000000" w:themeColor="text1"/>
          <w:sz w:val="16"/>
          <w:szCs w:val="16"/>
        </w:rPr>
        <w:softHyphen/>
        <w:t>тить, а на земле обнаружили отрыв двух лопаток ротора левого турбокомпрессора. На са</w:t>
      </w:r>
      <w:r w:rsidRPr="00271E51">
        <w:rPr>
          <w:rFonts w:ascii="Times New Roman" w:hAnsi="Times New Roman"/>
          <w:color w:val="000000" w:themeColor="text1"/>
          <w:sz w:val="16"/>
          <w:szCs w:val="16"/>
        </w:rPr>
        <w:softHyphen/>
        <w:t>молёте установили новый мотор и новые турбокомпрессоры производства завода № 19, если на предыдущем моторе впрыск воды осуществлялся только в восемь цилиндров — во все семь цилиндров заднего ряда мотора и в один переднего ряда — самый горячий, то теперь воду подвели ко всем 14 цилиндрам М-82ФН. Чтобы избежать обратного хо</w:t>
      </w:r>
      <w:r w:rsidRPr="00271E51">
        <w:rPr>
          <w:rFonts w:ascii="Times New Roman" w:hAnsi="Times New Roman"/>
          <w:color w:val="000000" w:themeColor="text1"/>
          <w:sz w:val="16"/>
          <w:szCs w:val="16"/>
        </w:rPr>
        <w:softHyphen/>
        <w:t>да при холодном запуске мотора, магнето БСМ-14В без пускового электрода побегуш</w:t>
      </w:r>
      <w:r w:rsidRPr="00271E51">
        <w:rPr>
          <w:rFonts w:ascii="Times New Roman" w:hAnsi="Times New Roman"/>
          <w:color w:val="000000" w:themeColor="text1"/>
          <w:sz w:val="16"/>
          <w:szCs w:val="16"/>
        </w:rPr>
        <w:softHyphen/>
        <w:t xml:space="preserve">ки заменили на магнето с таковым. Винт установили старый — АВ-5, </w:t>
      </w:r>
      <w:r w:rsidRPr="00271E51">
        <w:rPr>
          <w:rFonts w:ascii="Times New Roman" w:hAnsi="Times New Roman"/>
          <w:color w:val="000000" w:themeColor="text1"/>
          <w:sz w:val="16"/>
          <w:szCs w:val="16"/>
        </w:rPr>
        <w:lastRenderedPageBreak/>
        <w:t>диаметром 3,2 м. Из-за отсутствия лётной погоды следующий высотный полёт состоялся лишь 30 октяб</w:t>
      </w:r>
      <w:r w:rsidRPr="00271E51">
        <w:rPr>
          <w:rFonts w:ascii="Times New Roman" w:hAnsi="Times New Roman"/>
          <w:color w:val="000000" w:themeColor="text1"/>
          <w:sz w:val="16"/>
          <w:szCs w:val="16"/>
        </w:rPr>
        <w:softHyphen/>
        <w:t>ря. Но на высоте 12000 м его пришлось прекратить из-за высокой температуры масла на входе в мотор, достигшей 95°С. По мнению лётчика, эта высота являлась близкой к пра</w:t>
      </w:r>
      <w:r w:rsidRPr="00271E51">
        <w:rPr>
          <w:rFonts w:ascii="Times New Roman" w:hAnsi="Times New Roman"/>
          <w:color w:val="000000" w:themeColor="text1"/>
          <w:sz w:val="16"/>
          <w:szCs w:val="16"/>
        </w:rPr>
        <w:softHyphen/>
        <w:t>ктическому потолку, и вертикальная скорость на ней была незначительной. Учитывая, что 16 сентября самолёт с винтом ВИШ-105В относительно легко набрал 12500 м, пришли к выводу о более низком КПД винта АВ-5 и решили вновь установить ВИШ-105В.</w:t>
      </w:r>
    </w:p>
    <w:p w14:paraId="6FF9FDE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уменьшению высоты полёта также привело и увеличение веса на 100 кг из-за допо</w:t>
      </w:r>
      <w:r w:rsidRPr="00271E51">
        <w:rPr>
          <w:rFonts w:ascii="Times New Roman" w:hAnsi="Times New Roman"/>
          <w:color w:val="000000" w:themeColor="text1"/>
          <w:sz w:val="16"/>
          <w:szCs w:val="16"/>
        </w:rPr>
        <w:softHyphen/>
        <w:t>лнительного бензина и воды. Вода принесла ещё одну проблему — возникла угроза кор</w:t>
      </w:r>
      <w:r w:rsidRPr="00271E51">
        <w:rPr>
          <w:rFonts w:ascii="Times New Roman" w:hAnsi="Times New Roman"/>
          <w:color w:val="000000" w:themeColor="text1"/>
          <w:sz w:val="16"/>
          <w:szCs w:val="16"/>
        </w:rPr>
        <w:softHyphen/>
        <w:t>розии соприкасающихся с водой металлических деталей и возможность замерзания воды в системе. После шести полётов, при осмотре всей системы, на помпе обнаружили следы коррозии. Помпу заменили, а вместо чистой воды, в соответствии с рекоменда</w:t>
      </w:r>
      <w:r w:rsidRPr="00271E51">
        <w:rPr>
          <w:rFonts w:ascii="Times New Roman" w:hAnsi="Times New Roman"/>
          <w:color w:val="000000" w:themeColor="text1"/>
          <w:sz w:val="16"/>
          <w:szCs w:val="16"/>
        </w:rPr>
        <w:softHyphen/>
        <w:t>цией завода № 19, стали использовать смесь воды и спирта в соотношении 50% : 50%. Так как открытая теплота испарения у спирта в два раза меньше, чем у воды, охлажда</w:t>
      </w:r>
      <w:r w:rsidRPr="00271E51">
        <w:rPr>
          <w:rFonts w:ascii="Times New Roman" w:hAnsi="Times New Roman"/>
          <w:color w:val="000000" w:themeColor="text1"/>
          <w:sz w:val="16"/>
          <w:szCs w:val="16"/>
        </w:rPr>
        <w:softHyphen/>
        <w:t>ющий эффект смеси оказался меньше и, как следствие, произошло некоторое увеличе</w:t>
      </w:r>
      <w:r w:rsidRPr="00271E51">
        <w:rPr>
          <w:rFonts w:ascii="Times New Roman" w:hAnsi="Times New Roman"/>
          <w:color w:val="000000" w:themeColor="text1"/>
          <w:sz w:val="16"/>
          <w:szCs w:val="16"/>
        </w:rPr>
        <w:softHyphen/>
        <w:t>ние расхода охлаждающей жидкости. Хотя с самого начала из-за малого количества воды (ёмкость бака составляла всего 27 л), лётчику давалось указание включать впрыск воды не более чем на 15 минут, и только в случае повышения температуры головок ци</w:t>
      </w:r>
      <w:r w:rsidRPr="00271E51">
        <w:rPr>
          <w:rFonts w:ascii="Times New Roman" w:hAnsi="Times New Roman"/>
          <w:color w:val="000000" w:themeColor="text1"/>
          <w:sz w:val="16"/>
          <w:szCs w:val="16"/>
        </w:rPr>
        <w:softHyphen/>
        <w:t>линдров мотора свыше максимально допустимых значений. При этом он не мог контро</w:t>
      </w:r>
      <w:r w:rsidRPr="00271E51">
        <w:rPr>
          <w:rFonts w:ascii="Times New Roman" w:hAnsi="Times New Roman"/>
          <w:color w:val="000000" w:themeColor="text1"/>
          <w:sz w:val="16"/>
          <w:szCs w:val="16"/>
        </w:rPr>
        <w:softHyphen/>
        <w:t>лировать количество охлаждающей жидкости в баке, и существовала угроза, что помпа будет работать «всухую». Однако, с другой стороны, преимущества применения впры</w:t>
      </w:r>
      <w:r w:rsidRPr="00271E51">
        <w:rPr>
          <w:rFonts w:ascii="Times New Roman" w:hAnsi="Times New Roman"/>
          <w:color w:val="000000" w:themeColor="text1"/>
          <w:sz w:val="16"/>
          <w:szCs w:val="16"/>
        </w:rPr>
        <w:softHyphen/>
        <w:t>ска воды были неоспоримы: на высоте 5000 м температура головок цилиндров снизи</w:t>
      </w:r>
      <w:r w:rsidRPr="00271E51">
        <w:rPr>
          <w:rFonts w:ascii="Times New Roman" w:hAnsi="Times New Roman"/>
          <w:color w:val="000000" w:themeColor="text1"/>
          <w:sz w:val="16"/>
          <w:szCs w:val="16"/>
        </w:rPr>
        <w:softHyphen/>
        <w:t>лась с 220°С до 160°С, благодаря впрыску воды стали возможны полёты на номинальной мощности мотора на высотах более 10000 м без перегрева головок цилиндров, он по</w:t>
      </w:r>
      <w:r w:rsidRPr="00271E51">
        <w:rPr>
          <w:rFonts w:ascii="Times New Roman" w:hAnsi="Times New Roman"/>
          <w:color w:val="000000" w:themeColor="text1"/>
          <w:sz w:val="16"/>
          <w:szCs w:val="16"/>
        </w:rPr>
        <w:softHyphen/>
        <w:t>зволял увеличить скороподъёмность самолёта за счёт большего закрытия боковых ство</w:t>
      </w:r>
      <w:r w:rsidRPr="00271E51">
        <w:rPr>
          <w:rFonts w:ascii="Times New Roman" w:hAnsi="Times New Roman"/>
          <w:color w:val="000000" w:themeColor="text1"/>
          <w:sz w:val="16"/>
          <w:szCs w:val="16"/>
        </w:rPr>
        <w:softHyphen/>
        <w:t>рок и исключить площадки для охлаждения головок цилиндров мотора при наборе высоты. В свою очередь, проведенное ЦИАМ обогащение смеси дало снижение темпе</w:t>
      </w:r>
      <w:r w:rsidRPr="00271E51">
        <w:rPr>
          <w:rFonts w:ascii="Times New Roman" w:hAnsi="Times New Roman"/>
          <w:color w:val="000000" w:themeColor="text1"/>
          <w:sz w:val="16"/>
          <w:szCs w:val="16"/>
        </w:rPr>
        <w:softHyphen/>
        <w:t>ратуры головок цилиндров на 20°С, а работа на спирто-бензиновых смесях обеспечила увеличение мощности на 10% при нормальном наддуве.</w:t>
      </w:r>
    </w:p>
    <w:p w14:paraId="648EA4F1"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полёта, совершенные 6 и 9 ноября, и 2 декабря 1943 г., ничего нового не дали, разве что для улучшения охлаждения масла вместо маслорадиатора с толщиной стенок трубок 0,2 мм, установили маслорадиатор с толщиной стенок трубок 0,1 мм, и в фюзе</w:t>
      </w:r>
      <w:r w:rsidRPr="00271E51">
        <w:rPr>
          <w:rFonts w:ascii="Times New Roman" w:hAnsi="Times New Roman"/>
          <w:color w:val="000000" w:themeColor="text1"/>
          <w:sz w:val="16"/>
          <w:szCs w:val="16"/>
        </w:rPr>
        <w:softHyphen/>
        <w:t>ляже самолёта позади пилота разместили дополнительный бензобак емкостью 60 л. Всего по 2 декабря 1943 г. включительно произвели 17 полётов, из них 11 с впрыском воды. Метеорологические условия в зимний период позволили произвести только не</w:t>
      </w:r>
      <w:r w:rsidRPr="00271E51">
        <w:rPr>
          <w:rFonts w:ascii="Times New Roman" w:hAnsi="Times New Roman"/>
          <w:color w:val="000000" w:themeColor="text1"/>
          <w:sz w:val="16"/>
          <w:szCs w:val="16"/>
        </w:rPr>
        <w:softHyphen/>
        <w:t>сколько полётов. В марте 1944 г. Ла-5ФН с 2ТК-3 совершил ещё три полёта до высо</w:t>
      </w:r>
      <w:r w:rsidRPr="00271E51">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271E51">
        <w:rPr>
          <w:rFonts w:ascii="Times New Roman" w:hAnsi="Times New Roman"/>
          <w:color w:val="000000" w:themeColor="text1"/>
          <w:sz w:val="16"/>
          <w:szCs w:val="16"/>
        </w:rPr>
        <w:softHyphen/>
        <w:t>вительный ремонт (15830).</w:t>
      </w:r>
    </w:p>
    <w:p w14:paraId="4F5A8E89"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601B079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FE31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C93D12" w14:textId="77777777" w:rsidR="00B95E55" w:rsidRPr="00271E51" w:rsidRDefault="00B95E55" w:rsidP="00271E51">
      <w:pPr>
        <w:pStyle w:val="a3"/>
        <w:rPr>
          <w:color w:val="000000" w:themeColor="text1"/>
          <w:lang w:val="ru-RU"/>
        </w:rPr>
      </w:pPr>
      <w:r w:rsidRPr="00271E51">
        <w:rPr>
          <w:color w:val="000000" w:themeColor="text1"/>
          <w:lang w:val="ru-RU"/>
        </w:rPr>
        <w:t>К 9 октября 1943 года был эскизный проект 122-мм пушки большой мощности, получивший индекс М21,. Но вот что странно: согласно тем же самым документам, председатель Артиллерийского комитета ГАУ КА получил эскизный проект из Тех</w:t>
      </w:r>
      <w:r w:rsidRPr="00271E51">
        <w:rPr>
          <w:color w:val="000000" w:themeColor="text1"/>
          <w:lang w:val="ru-RU"/>
        </w:rPr>
        <w:softHyphen/>
        <w:t>нического совета НКВ только 12 ноября, то есть в тот же день, когда выносилось решение по ОБМ-50. Почему документация лежала без движения чуть более месяца, непонятно.</w:t>
      </w:r>
    </w:p>
    <w:p w14:paraId="6C38ACD5"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Работа над М21 шла под руководством начальника артиллерийского КБ завода №172 В.А. Ильина (на тот момент он также временно испол</w:t>
      </w:r>
      <w:r w:rsidRPr="00271E51">
        <w:rPr>
          <w:rFonts w:ascii="Times New Roman" w:cs="Times New Roman"/>
          <w:color w:val="000000" w:themeColor="text1"/>
          <w:spacing w:val="0"/>
        </w:rPr>
        <w:softHyphen/>
        <w:t>нял обязанности главного конструктора). Согласно проекту, от систе</w:t>
      </w:r>
      <w:r w:rsidRPr="00271E51">
        <w:rPr>
          <w:rFonts w:ascii="Times New Roman" w:cs="Times New Roman"/>
          <w:color w:val="000000" w:themeColor="text1"/>
          <w:spacing w:val="0"/>
        </w:rPr>
        <w:softHyphen/>
        <w:t xml:space="preserve">мы </w:t>
      </w:r>
      <w:r w:rsidRPr="00271E51">
        <w:rPr>
          <w:rFonts w:ascii="Times New Roman" w:cs="Times New Roman"/>
          <w:color w:val="000000" w:themeColor="text1"/>
          <w:spacing w:val="0"/>
          <w:lang w:val="en-US"/>
        </w:rPr>
        <w:t>MJI</w:t>
      </w:r>
      <w:r w:rsidRPr="00271E51">
        <w:rPr>
          <w:rFonts w:ascii="Times New Roman" w:cs="Times New Roman"/>
          <w:color w:val="000000" w:themeColor="text1"/>
          <w:spacing w:val="0"/>
        </w:rPr>
        <w:t>-20</w:t>
      </w:r>
      <w:r w:rsidRPr="00271E51">
        <w:rPr>
          <w:rFonts w:ascii="Times New Roman" w:cs="Times New Roman"/>
          <w:color w:val="000000" w:themeColor="text1"/>
          <w:spacing w:val="0"/>
          <w:lang w:val="en-US"/>
        </w:rPr>
        <w:t>C</w:t>
      </w:r>
      <w:r w:rsidRPr="00271E51">
        <w:rPr>
          <w:rFonts w:ascii="Times New Roman" w:cs="Times New Roman"/>
          <w:color w:val="000000" w:themeColor="text1"/>
          <w:spacing w:val="0"/>
        </w:rPr>
        <w:t xml:space="preserve"> брались подъемный и поворотный механизмы, бронировка люльки и прицелы. Также, с некоторыми изменениями, брались рамка и люлька. Длина ствола составляла 7747 мм (63,5 калибра). По расчетам, М21 на дистанции в 1000 метров должна была пробивать броню толщи</w:t>
      </w:r>
      <w:r w:rsidRPr="00271E51">
        <w:rPr>
          <w:rFonts w:ascii="Times New Roman" w:cs="Times New Roman"/>
          <w:color w:val="000000" w:themeColor="text1"/>
          <w:spacing w:val="0"/>
        </w:rPr>
        <w:softHyphen/>
        <w:t>ной 208,4 мм, а при наклоне бронеплиты в 30 градусов — 169,8 мм.</w:t>
      </w:r>
    </w:p>
    <w:p w14:paraId="554B6AA7" w14:textId="77777777" w:rsidR="00B95E55" w:rsidRPr="00271E51" w:rsidRDefault="00B95E55" w:rsidP="00271E51">
      <w:pPr>
        <w:pStyle w:val="a3"/>
        <w:rPr>
          <w:color w:val="000000" w:themeColor="text1"/>
          <w:lang w:val="ru-RU"/>
        </w:rPr>
      </w:pPr>
      <w:r w:rsidRPr="00271E51">
        <w:rPr>
          <w:color w:val="000000" w:themeColor="text1"/>
          <w:lang w:val="ru-RU"/>
        </w:rPr>
        <w:t>Согласно требованиям на пушку, ствол оснащался однокамерным дульным тормозом. По расчетам, он поглощал до 54% энергии выстре ла. Также, согласно требованиям, на М21 применялся клиновой за</w:t>
      </w:r>
      <w:r w:rsidRPr="00271E51">
        <w:rPr>
          <w:color w:val="000000" w:themeColor="text1"/>
          <w:lang w:val="ru-RU"/>
        </w:rPr>
        <w:softHyphen/>
        <w:t>твор, конструктивно повторяя затвор 107-мм противотанковой пушки М75. Затвор нового орудия отличался от М75 лишь незначительными изменениями в некоторых деталях. Механизм стрельбы был спроек</w:t>
      </w:r>
      <w:r w:rsidRPr="00271E51">
        <w:rPr>
          <w:color w:val="000000" w:themeColor="text1"/>
          <w:lang w:val="ru-RU"/>
        </w:rPr>
        <w:softHyphen/>
        <w:t>тирован по типу аналогичного узла пушки ЗИС-З. Люлька отличалась тем, что в тормоз отката был вставлен контршток, обеспечивающий более короткую длину отката, а спусковой механизм переделан под ис</w:t>
      </w:r>
      <w:r w:rsidRPr="00271E51">
        <w:rPr>
          <w:color w:val="000000" w:themeColor="text1"/>
          <w:lang w:val="ru-RU"/>
        </w:rPr>
        <w:softHyphen/>
        <w:t>пользование клинового затвора. Никаких изменений в конструкцию рубки СУ-152 не планировалось, требовалось л ишь переделать укладки под новые выстрелы.</w:t>
      </w:r>
    </w:p>
    <w:p w14:paraId="49476B80"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поступления документации по М21 в Артиллерийский коми</w:t>
      </w:r>
      <w:r w:rsidRPr="00271E51">
        <w:rPr>
          <w:rFonts w:ascii="Times New Roman" w:cs="Times New Roman"/>
          <w:color w:val="000000" w:themeColor="text1"/>
          <w:spacing w:val="0"/>
        </w:rPr>
        <w:softHyphen/>
        <w:t>тет ГАУ КА более никакой переписки по системе не велось. Задержка рассмотрения проекта в Техническом совете НКВ сделала свое дело: в середине ноября еще одна пушка большой мощности была не нужна, тем более что проект все равно требовалось переделать под установку в ИСУ-152 (17484).</w:t>
      </w:r>
    </w:p>
    <w:p w14:paraId="53F3D761"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4C9A81D3"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9 октября 1943 года готов эскизный проект 122-мм пушки большой мощности ОКБ завода №172, получивший индекс М21. Работа над М21 велась под руководством начальника артиллерийского КБ завода №172 В.А. Ильина (на тот момент он также временно исполнял должность главного конструктора). От системы МЛ-20С для этого проекта брались подъёмный и поворотный механизмы, бронировка люльки и прицелы. С некоторыми изменениями заимствовались сама люлька и рамка. Длина ствола составляла 7747 мм (63,5 калибра). По расчётам, М21 на дистанции в 1000 метров должна была пробивать броню толщиной 208,4 мм, а при наклоне бронеплиты в 30 градусов — 169,8 мм.</w:t>
      </w:r>
    </w:p>
    <w:p w14:paraId="5E735078"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Согласно тактико-техническим требованиям на орудие, его ствол оснащался однокамерным дульным тормозом. По расчётам, он поглощал до 54% энергии выстрела. Также, согласно требованиям, на М21 должен был применяться клиновой затвор, конструктивно повторявший затвор 107-мм противотанковой пушки М75. Затвор нового орудия отличался от М75 лишь незначительными изменениями некоторых деталей. Механизм стрельбы был спроектирован по образцу аналогичного узла пушки ЗИС-3. Люлька отличалась тем, что в тормоз отката был вставлен контршток, обеспечивающий более короткую длину отката, а спусковой механизм был переделан под использование клинового затвора. Никаких изменений в конструкцию рубки СУ-152 вносить не планировалось, требовалось лишь переделать укладки под новые выстрелы.</w:t>
      </w:r>
    </w:p>
    <w:p w14:paraId="08E2FD1D"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В отличие от ОБМ-50, разработке КБ завода №172 не было суждено воплотиться в металле. То, что приоритет будет отдан разработке ОКБ-172, стало понятно ещё на этапе рассмотрения. Эскизный проект пролежал больше месяца без движения. Председатель Артиллерийского комитета ГАУ КА получил эскизный проект из Технического совета НКВ только 12 ноября, то есть в тот же день, когда выносилось решение по ОБМ-50. На тот момент разработка ОКБ-172 уже прошла первое рассмотрение. М-21 оказалась лишней системой. Кроме того, среди проектных орудий калибра 122 мм она единственная имела дульный тормоз, не самое лучшее решение для истребителя танков (17716).</w:t>
      </w:r>
    </w:p>
    <w:p w14:paraId="0714FC22" w14:textId="77777777" w:rsidR="003253B5" w:rsidRPr="00271E51" w:rsidRDefault="003253B5" w:rsidP="00271E51">
      <w:pPr>
        <w:pStyle w:val="12a"/>
        <w:shd w:val="clear" w:color="auto" w:fill="auto"/>
        <w:spacing w:after="0" w:line="240" w:lineRule="auto"/>
        <w:jc w:val="both"/>
        <w:rPr>
          <w:color w:val="000000" w:themeColor="text1"/>
          <w:sz w:val="16"/>
          <w:szCs w:val="16"/>
        </w:rPr>
      </w:pPr>
    </w:p>
    <w:p w14:paraId="4B19597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Постановление ГКО № 4297 Об организации противовоздушной обороны Донбасса и освобождаемых пунктов и объектов Украины и Белоруссии. (7145, 104-105).</w:t>
      </w:r>
    </w:p>
    <w:p w14:paraId="268A6ED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CB1FE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Постановление ГКО № 4298 Об обеспечении погрузки импортных грузов в октябре 1943 года на Приморской и Дальневосточной железных дорогах. (7145, 106-108).</w:t>
      </w:r>
    </w:p>
    <w:p w14:paraId="3694773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DD0E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Распоряжение ГКО № 4299 [О мобилизации на Украине в IV кв. 1943 г. 12,7 тыс. чел. на восстановление и эксплуатацию заводов НКХП в Донбассе.] (7145, 109).</w:t>
      </w:r>
    </w:p>
    <w:p w14:paraId="3F33B4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955F5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Постановление ГКО № 4234 О распределении автомобильных запасных частей и газогенераторных установок на IV квартал 1943 года. (7142, 11-12,13-29).</w:t>
      </w:r>
    </w:p>
    <w:p w14:paraId="2677AA1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C5A04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вышло Постановление ГКО № 4301 О неотложных мерах по обеспечению строительства ТЭЦ Сталинского алюминиевого завода Наркомцветмета [Кемеровская обл.]. (7145, 121-131,132-138).</w:t>
      </w:r>
    </w:p>
    <w:p w14:paraId="53A3A9A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032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года была подготовлена справка:</w:t>
      </w:r>
    </w:p>
    <w:p w14:paraId="2A9E7D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614 НКВ – Саратов (9274).</w:t>
      </w:r>
    </w:p>
    <w:p w14:paraId="1D5385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474D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9A3B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E2F58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9 октября </w:t>
      </w:r>
      <w:r w:rsidRPr="00271E51">
        <w:rPr>
          <w:rFonts w:ascii="Times New Roman" w:hAnsi="Times New Roman"/>
          <w:color w:val="000000" w:themeColor="text1"/>
          <w:sz w:val="16"/>
          <w:szCs w:val="16"/>
        </w:rPr>
        <w:t>в 1943 году оперативная сводка Совинформбюро:</w:t>
      </w:r>
    </w:p>
    <w:p w14:paraId="75F34BA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Северо-Кавказского фронта ударами с суши и высадкой десантов с моря в результате многодневных упорных боёв завершили разгром Таманской группировки противника и 9 октября полностью очистили от немецких захватчиков Таманский полуостров, тем самым ликвидировав плацдарм немцев на Кубани.</w:t>
      </w:r>
    </w:p>
    <w:p w14:paraId="11A97A2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очищении от противника Таманского полуострова наши войска, по неполным данным, захватили трофеи: танков — 52, орудий — 337, миномётов — 229, тяжёлых миномётных аппаратов — 540, паровозов — 83, вагонов — 2.073, складов разных —184 и много другого военного имущества. Противник оставил на поле боя свыше 20.000 трупов. Взято в плен 3.000 немецких солдат и офицеров.</w:t>
      </w:r>
    </w:p>
    <w:p w14:paraId="2DBF8D5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наши войска продолжали вести бои по расширению плацдармов на правом берегу реки в прежних районах и на отдельныхучастках улучшили свои позиции.</w:t>
      </w:r>
    </w:p>
    <w:p w14:paraId="289D5F41"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продвинулись от 4 до 6 километров,заняли свыше 40 населённых пунктов, в том числе районный центр Витебской области город Лиозно и крупные населённые пункты Емельяново, Залесье, Портасова, Ивишня, Блашкино, Дрозды, Михеева, Коробки, Холбня.</w:t>
      </w:r>
    </w:p>
    <w:p w14:paraId="385BF9A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наши войска продолжали наступление и заняли 24 населённых пункта.</w:t>
      </w:r>
    </w:p>
    <w:p w14:paraId="3B849E7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октября наши войска на всех фронтах подбили и уничтожили 70 немецких танков. В воздушных боях и огнём зенитной артиллерии сбито 47 самолётов противника.</w:t>
      </w:r>
    </w:p>
    <w:p w14:paraId="69BFC9D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Северо-Кавказского фронта завершили разгром Таманской группировки противника и сегодня полностью очистили Таманский полуостров от немецко-фашистских захватчиков. Наши войска рано утром прорвали последний рубеж немецкой обороны. Советские танки и пехота вышли на западный берег Таманского полуострова и заняли кордон Ильич. Разгромленные части противника были прижаты кморю и ликвидированы. По неполным данным, уничтожено свыше 20.000 немецких солдат и офицеров. Тысячи трупов противник оставил на косе Чушка. Часть гитлеровцев была сброшена в Керченский пролив и утоплена. Потоплены также 8 барж, переполненных пехотой противника, пытавшейся переправиться с Тамани на Керченский полуостров. Взято в плен 3.000 немцев.</w:t>
      </w:r>
    </w:p>
    <w:p w14:paraId="7DAF270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захватили большие трофеи, подсчёт которых продолжается. Сотни орудий, миномётов, тяжёлых миномётных аппаратов, автомашин и повозок, огромное число пулемётов, винтовок, снарядов, мин, патронов и гранат валяются на северо-западной оконечности полуострова. В руки наших войск также достались 184 склада, в которых были сосредоточены запасы оружия, боеприпасов, продовольствия, обмундирования, инженерного имущества и средств связи.</w:t>
      </w:r>
    </w:p>
    <w:p w14:paraId="437A17C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наши войска продолжали вести бои за расширение плацдармов. В одном районе части Н-ского соединения были атакованы двумя полками пехоты и 70 танками противника. Ожесточённое сражение длилось весь день. Наши бойцы, отбивая контратаки немцев, подбили и уничтожили 28 танков, 4 самоходных орудия и истребили свыше 1.000 гитлеровцев. К исходу дня советские подвижныеотряды нанесли противнику внезапный фланговый удар и заняли два опорных пункта. Захвачены трофеи, в числе которых 3 самоходных и 11 полевых орудий. В другом районе наши войска, преодолевая упорное сопротивление противника, улучшили свои позиции. За день боёв уничтожено до полка немецкой пехоты, 11 танков и самоходных орудий.</w:t>
      </w:r>
    </w:p>
    <w:p w14:paraId="3DEF2973"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немецких войск. В результате бомбардировки уничтожено и повреждено большое число орудий и автомашин противника, рассеяно и частью уничтожено до двух батальонов гитлеровцев. В воздушных боях наши лётчики сбили 36 немецких самолётов.</w:t>
      </w:r>
    </w:p>
    <w:p w14:paraId="1B15F9C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части Н-ского соединения, продвигаясь вперёд, вышли на подступы к городу Лиозно. Немцы превратили этот город в сильно укреплённыйопорный пункт с развитой сетью траншей и окопов, дотами и блиндажами. Наши разведывательные подразделения предприняли отвлекающие атаки с востока, а в это время основные силы форсировали реку Мошна и обошли город с севера и запада. Ударом с трех сторон наши войска овладели городом Лиозно. Развивая наступление, бойцы Н-ского соединения заняли ряд других населённых пунктов. В этих бояхуничтожено до 800 немецких солдат и офицеров. Захвачено 22 орудия, 46 автомашин, 6 тракторов-тягачей и 15 складов с боеприпасами и военным имуществом. На другомучастке наши войска, с боями продвигаясь вперёд, заняли свыше 30 населённыхпунктов. Уничтожено более 400 гитлеровцев. Захвачены пленные и трофеи.</w:t>
      </w:r>
    </w:p>
    <w:p w14:paraId="351CB27E"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наши войска продолжали наступление. На одном участие пехота и танки противника безуспешно пытались одновременным ударом с двух сторон отрезать наши передовые отряды. Наши гвардейские части отбили вражеские контратаки и, продвигаясь вперёд, заняли 24 населённых пункта. Противник понёс большие потери.Только на одном участке разгромлен батальон немецкой пехоты.</w:t>
      </w:r>
    </w:p>
    <w:p w14:paraId="28F86C2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пленные.</w:t>
      </w:r>
    </w:p>
    <w:p w14:paraId="5D591E7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Могилёвской области, организовал засаду у шоссейной дороги. Рано утром по шоссе проходили 5 пятитонных грузовиков и одна легковая автомашина с солдатами противника. Подпустив немцев на близкое расстояние, партизаны открыли пулемётный огонь и забросали автомашины ручными гранатами. На дороге осталось 40 вражеских трупов.Остальные гитлеровцы убежали. Советские патриоты захватили трофеи, а автомашины сожгли. На следующий день партизаны-разведчики этого же отряда проникли на крупную железнодорожную станцию и взорвали ремонтировавшийся в мастерской тяжёлый немецкий танк.</w:t>
      </w:r>
    </w:p>
    <w:p w14:paraId="3EF23AA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публикуются выписки из дневника ефрейтора 7 роты 596 немецкого полка Антона Шепко:</w:t>
      </w:r>
    </w:p>
    <w:p w14:paraId="6DC0214E"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сентября. В 7 часов утра русские начали наступление на нашем участке. Их великолепно поддерживали тяжёлые орудия. За один час они прорвали нашу оборону. Весь день шёл тяжёлый бой. Мы понесли очень большие потери. Не знаю, почему намою долю выпало такое счастье, но мне одному из взвода удалось убежать. Остальные солдаты взвода убиты или попали в плен.</w:t>
      </w:r>
    </w:p>
    <w:p w14:paraId="7ECA9FF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сентября. Продолжали отступать. На одной высоте остановились подсчитать,сколько же нас осталось. Я едва мог поверить своим глазам: после двухдневных тяжёлых боёв полк буквально растаял. В нём осталось не больше солдат, чем в обычной роте.</w:t>
      </w:r>
    </w:p>
    <w:p w14:paraId="3E68105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сентября. Рано утром выяснилось, что мы окружены. Нас погрузили на машины. Ехали целый день, но нигде не нашли ни одной щели, через которую можно было бы проскочить. Когда мы выбрались на шоссейную дорогу, началось самое страшное: показались русские танки и принялись громить нас. Все разбежались. Жалкие остатки полка сдались в плен» (14794).</w:t>
      </w:r>
    </w:p>
    <w:p w14:paraId="394891D5"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300F6E3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9 октября </w:t>
      </w:r>
      <w:r w:rsidRPr="00271E51">
        <w:rPr>
          <w:rFonts w:ascii="Times New Roman" w:hAnsi="Times New Roman"/>
          <w:color w:val="000000" w:themeColor="text1"/>
          <w:sz w:val="16"/>
          <w:szCs w:val="16"/>
        </w:rPr>
        <w:t>в 1943 году завершилась Новороссийско-Таманская операция войск Северо-Кавказского фронта. Освобожден Таманский полуостров, что означало завершение битвы за Кавказ. Советские войска нанесли поражение 17-й армии противника, ликвидировали плацдарм, обеспечивавший ему оборону Крыма и возможность нового наступления на Кавказ (14794).</w:t>
      </w:r>
    </w:p>
    <w:p w14:paraId="5B0546DE"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747CA6A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освобождением от фашистов Таманского полуострова завершена битва за Кавказ (4962).</w:t>
      </w:r>
    </w:p>
    <w:p w14:paraId="6D119BF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87F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года Таманский полуостров очищен от оккупантов (2691). Кончилась битва за Кавказ (2990).</w:t>
      </w:r>
    </w:p>
    <w:p w14:paraId="1070D8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3831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ввели звание Главного маршала авиации и дали А.Е.Голованову и А.А.Новикову (438,885).</w:t>
      </w:r>
    </w:p>
    <w:p w14:paraId="0AC7C1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A6D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в первом же боевом вылете на В-25G с пушкой в 75-мм в ходе войсковых испытаний экипаж А.В.Дудакова уничтожил два железнодорожных эшелона на перегоне Мозырь - Гомель. Стреляли из пушки, неподвижных носовых пулеметов и развернутой вперед башни. Всего Дудаков сделал три боевых полета на B-25CJ, включая штурмовку аэродрома. Однако по результатам испытаний В-25G сочли для АДД непригодным. Решили, что отсутствие носовой штурманской кабины неудобно, перезарядка пушки слишком длительна и опасна (на испытаниях ранило затвором заместителя главного инженера корпуса), сдвиг центровки самолета вперед ухудшил управляемость. Поступившие самолеты передали авиации флота. Все они попали в разведывательные полки. Два штурмовика из 15-го гвардейского полка перешли в 118-й разведывательный полк ВВС Северного флота (3457,95).</w:t>
      </w:r>
    </w:p>
    <w:p w14:paraId="3E681F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DE18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74254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B87AF8"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испытания Ил-2 АМ-42 (РК) были вновь приостановлены. В этот день при очередном полете «было дымление мотора и в масляном фильтре обнаружено много бронзовой стружки». Также имела место сильная тряска мотора, «вначале на режимах 600–1100 оборотах в минуту, а затем появилась и на всех режимах работы мотора». Температура воды при наборе высоты на номинальном режиме выше нормы: «на входе 121 °C и на выходе 127 °C (допустимо на выходе 110 °C)». Самолет вернули на завод для переделки системы охлаждения мотора и тщательной проверки его технического состояния.</w:t>
      </w:r>
    </w:p>
    <w:p w14:paraId="1E52666B"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в ходе заводских летных испытаний Ил-2 АМ-42 (РК) были получены следующие данные. При полетном весе 7000 кг максимальная скорость составила 436 км/ч – на высоте 700 м, 445 км/ч – на 1300 м, 452 км/ч – на 1900 м, 454 км/ч – на 2500 м, 455 км/ч – на 2830 м и 444 км/ч – на 3430 м.</w:t>
      </w:r>
    </w:p>
    <w:p w14:paraId="5A2FE71E"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 в целом неплохой, хотя и ниже задания, но было очевидно, что сроки сдачи на государственные испытания штурмовика-бомбардировщика Ил-2М с АМ-42 и разведчика-корректировщика Ил-2 с АМ-42 в очередной раз необходимо переносить. Над Ильюшиным начали сгущаться «тучи».</w:t>
      </w:r>
    </w:p>
    <w:p w14:paraId="7AC25857"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постановления ГКО № 2347сс от 25 сентября 1942 г. и № 2841сс от 7 февраля 1943 г. не выполнены, а постановление ГКО № 3386сс от 17 мая 1943 г. выполнено лишь частично: на государственные испытания подан только истребитель бомбардировщиков Ил-2-И с АМ-38ф, тогда как Ил-2-2И с АМ-42 еще не построили.</w:t>
      </w:r>
    </w:p>
    <w:p w14:paraId="0CC3F7C5"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Более того, как только были получены отрицательные результаты государственных испытаний Ил-2-И, командование ВВС КА незамедлительно вышло с предложением прекратить все работы и по истребителю Ил-2-2И с АМ-42.</w:t>
      </w:r>
    </w:p>
    <w:p w14:paraId="55050546"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«СЧИТАТЬ, что как дальнейшая постройка Ил-2И в варианте истребителя, так и установка мотора АМ-42 (Постановление ГКО № 3336сс от 17.5.43 г.) на истребительный вариант Ил-2 – НЕЦЕЛЕСООБРАЗНЫ», – констатировалось в акте по результатам испытаний от 30 сентября 1943 года.</w:t>
      </w:r>
    </w:p>
    <w:p w14:paraId="3CA83DEC"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сроки постройки истребителя Ил-1 АМ-42 с лучшими летными данными, заданного приказом НКАП № 364сс от 16 июня 1943 г., ОКБ-240 и заводом № 1 были сорваны.</w:t>
      </w:r>
    </w:p>
    <w:p w14:paraId="1D5C6B5E"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Вместе с Ильюшиным в весьма сложном положении оказался и нарком авиапрома Шахурин. Приказом № 364сс он изменил задание заводу № 1, с его молчаливого согласия на заводе № 18 по инициативе Ильюшина уже с конца июля велись работы по постройке бронированного истребителя Ил-1 АМ-42 – дублера самолету завода № 1. Утвержденный директором завода № 18 Белянским график производства предусматривал окончательную сборку опытного Ил-1 АМ-42 не позже 10 октября. Однако до выкатки самолета из цеха окончательной сборки было еще очень далеко.</w:t>
      </w:r>
    </w:p>
    <w:p w14:paraId="7D8FA673"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Важно, что тактико-технические требования к самолету Ил-1 АМ-42 не разрабатывались, эскизный проект самолета и его макет главным конструктором С. В. Ильюшиным для согласования в НИИ ВВС не предъявлялись. Другими словами, на заводах № 1 и № 18 строился новый самолет, который ВВС не заказывали. Как отмечалось в отчетных документах 1-го отдела ГУ ИАС ВВС, «назначение самолета и летно-тактические данные не совсем ясны». Назревал «большой» скандал с возможными «большими» оргвыводами.</w:t>
      </w:r>
    </w:p>
    <w:p w14:paraId="0AF1778D"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следует добавить, что военные на основе анализа двухлетнего опыта войны пришли к выводу – из всех летно-технических характеристик самолетов маневренность оказывает решающее влияние на живучесть в бою при действиях по наземным целям. При этом особое внимание обращалось на оснащение перспективного самолета-штурмовика мотором воздушного охлаждения и на повышение эффективности броневой защиты при одновременном снижении доли брони в полетном весе.</w:t>
      </w:r>
    </w:p>
    <w:p w14:paraId="6C8413BE"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обозначилась явная тенденция снижения интереса ВВС к самолетам многоцелевого назначения и повышению его к маневренным штурмовикам, предназначенным исключительно для решения боевых задач непосредственной поддержки войск. Для такой специализации уже были созданы необходимые условия: превосходство в воздухе на главных операционных направлениях в целом завоевано советскими ВВС, вопрос о количестве самолетов в основном решен, имелась уверенность в скором налаживании устойчивого производства весьма сильного фронтового бомбардировщика Ту-2, а в качестве пикировщика военных вполне устраивала проверенная в боях «пешка». Для обеспечения качественного скачка ударных возможностей ВВС в кампании 1944 года оставалось только решить вопрос о современном самолете-штурмовике. (17490).</w:t>
      </w:r>
    </w:p>
    <w:p w14:paraId="21F650B8" w14:textId="77777777" w:rsidR="003253B5" w:rsidRPr="00271E51" w:rsidRDefault="003253B5" w:rsidP="00271E51">
      <w:pPr>
        <w:spacing w:after="0" w:line="240" w:lineRule="auto"/>
        <w:jc w:val="both"/>
        <w:rPr>
          <w:rFonts w:ascii="Times New Roman" w:hAnsi="Times New Roman"/>
          <w:color w:val="000000" w:themeColor="text1"/>
          <w:sz w:val="16"/>
          <w:szCs w:val="16"/>
        </w:rPr>
      </w:pPr>
    </w:p>
    <w:p w14:paraId="01835D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года начальник 1 отдела НИИ ВВС инж.-полковник Рудинцев писал письмо N 1/00154 Шахурину.</w:t>
      </w:r>
    </w:p>
    <w:p w14:paraId="27A74D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летно-тактических данных самолетов, прошедших испытания в НИИ ВВС, для включения их в альбом самолетов ВВС 1943 года:</w:t>
      </w:r>
    </w:p>
    <w:p w14:paraId="584392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Фокке-Вульф FW-190 А-5.</w:t>
      </w:r>
    </w:p>
    <w:p w14:paraId="33621A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Ил-2 с АМ-38Ф с 37 мм пушками.</w:t>
      </w:r>
    </w:p>
    <w:p w14:paraId="5592C5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Ил-2 с Ам-38Ф с химвооружением.</w:t>
      </w:r>
    </w:p>
    <w:p w14:paraId="7AA33C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Су-6 с М-71Ф (1783,200).</w:t>
      </w:r>
    </w:p>
    <w:p w14:paraId="634A07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63CB" w14:textId="77777777" w:rsidR="00A94230" w:rsidRPr="00271E51" w:rsidRDefault="00A94230"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г. закончились третьи по счету испытания подвесных баков, которые шли с 29 сентября 1943 и оказа</w:t>
      </w:r>
      <w:r w:rsidRPr="00271E51">
        <w:rPr>
          <w:rFonts w:ascii="Times New Roman" w:hAnsi="Times New Roman"/>
          <w:color w:val="000000" w:themeColor="text1"/>
          <w:sz w:val="16"/>
          <w:szCs w:val="16"/>
        </w:rPr>
        <w:softHyphen/>
        <w:t>лись успешными: испытывались два Ил-2 - один с двумя ПЛБГ-150, второй - с двумя металлическими подвесными ба</w:t>
      </w:r>
      <w:r w:rsidRPr="00271E51">
        <w:rPr>
          <w:rFonts w:ascii="Times New Roman" w:hAnsi="Times New Roman"/>
          <w:color w:val="000000" w:themeColor="text1"/>
          <w:sz w:val="16"/>
          <w:szCs w:val="16"/>
        </w:rPr>
        <w:softHyphen/>
        <w:t>ками емкостью по 175 л. По результатам испытаний в серий</w:t>
      </w:r>
      <w:r w:rsidRPr="00271E51">
        <w:rPr>
          <w:rFonts w:ascii="Times New Roman" w:hAnsi="Times New Roman"/>
          <w:color w:val="000000" w:themeColor="text1"/>
          <w:sz w:val="16"/>
          <w:szCs w:val="16"/>
        </w:rPr>
        <w:softHyphen/>
        <w:t>ное производство был внедрен вариант с ПЛБГ-150 (6467).</w:t>
      </w:r>
    </w:p>
    <w:p w14:paraId="2BD21D0B" w14:textId="77777777" w:rsidR="00A94230" w:rsidRPr="00271E51" w:rsidRDefault="00A94230"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0EE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согласно записи в журнале наблюдения за проектированием, постройкой и испытаниями МиГ-5 2АМ-37 и 2М-82 по указанию наркома АП винты (2 шт.) сняты с самолета 2 экз. ДИС (МиГ-5) с М-82 и отправлены в ЛИИ (990,8).</w:t>
      </w:r>
    </w:p>
    <w:p w14:paraId="3CBEB8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FB529" w14:textId="77777777" w:rsidR="0007703D" w:rsidRPr="00271E51" w:rsidRDefault="0007703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10 октября 1943 г. с са</w:t>
      </w:r>
      <w:r w:rsidRPr="00271E51">
        <w:rPr>
          <w:rFonts w:ascii="Times New Roman" w:cs="Times New Roman"/>
          <w:color w:val="000000" w:themeColor="text1"/>
          <w:spacing w:val="0"/>
        </w:rPr>
        <w:softHyphen/>
        <w:t>молета ДИС-200 (ИТ) сняли винты и отправили в ЛИИ НКАП. После 29 октября самолет в свод</w:t>
      </w:r>
      <w:r w:rsidRPr="00271E51">
        <w:rPr>
          <w:rFonts w:ascii="Times New Roman" w:cs="Times New Roman"/>
          <w:color w:val="000000" w:themeColor="text1"/>
          <w:spacing w:val="0"/>
        </w:rPr>
        <w:softHyphen/>
        <w:t>ках НИИ ВВС по опытному строительст</w:t>
      </w:r>
      <w:r w:rsidRPr="00271E51">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271E51">
        <w:rPr>
          <w:rFonts w:ascii="Times New Roman" w:cs="Times New Roman"/>
          <w:color w:val="000000" w:themeColor="text1"/>
          <w:spacing w:val="0"/>
        </w:rPr>
        <w:softHyphen/>
        <w:t>соте 5000 м. Расчетная дальность по</w:t>
      </w:r>
      <w:r w:rsidRPr="00271E51">
        <w:rPr>
          <w:rFonts w:ascii="Times New Roman" w:cs="Times New Roman"/>
          <w:color w:val="000000" w:themeColor="text1"/>
          <w:spacing w:val="0"/>
        </w:rPr>
        <w:softHyphen/>
        <w:t>лета - 2500 км. Практический потолок - 9800 м (15755).</w:t>
      </w:r>
    </w:p>
    <w:p w14:paraId="0495F0D1" w14:textId="77777777" w:rsidR="0007703D" w:rsidRPr="00271E51" w:rsidRDefault="0007703D" w:rsidP="00271E51">
      <w:pPr>
        <w:pStyle w:val="27"/>
        <w:shd w:val="clear" w:color="auto" w:fill="auto"/>
        <w:spacing w:after="0" w:line="240" w:lineRule="auto"/>
        <w:ind w:firstLine="0"/>
        <w:rPr>
          <w:rFonts w:ascii="Times New Roman" w:cs="Times New Roman"/>
          <w:color w:val="000000" w:themeColor="text1"/>
          <w:spacing w:val="0"/>
        </w:rPr>
      </w:pPr>
    </w:p>
    <w:p w14:paraId="07442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на завод 155 прибыл мотор М-35А для МиГ-3К (Д-02), на котором во время простоя с августа смогли установить новые удлиненные консоли. Машину принял 177 иап ПВО, но машина Д-05 так и не была принята из-за течи радиатора (5046,33).</w:t>
      </w:r>
    </w:p>
    <w:p w14:paraId="5D6891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6E2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согласно журнала наблюдения за проектированием, постройкой и испытаниями МиГ-3 на завод № 155 получил 3 мотора АМ-39А для МиГ-3 серии “Д” (992,10).</w:t>
      </w:r>
    </w:p>
    <w:p w14:paraId="105A26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проводится дальнейшая модификация самолета на “Д” (992,10).</w:t>
      </w:r>
    </w:p>
    <w:p w14:paraId="6D7B6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нем установлен мотор ВМ-39, стабилизатор опушен на 200 мм (как у серийного МиГ-3). Радиаторы увеличены: водорадиатор с 24,8 до 30 дм2. В этом же радиаторе смонтирован и радиатор дополнительного контура (7 дм2). Маслорадиатор запроектирован 10,7 дм2, но за неимением ставится 9 дм2.</w:t>
      </w:r>
    </w:p>
    <w:p w14:paraId="31CBAC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Основной бак увеличен до 500 л. Разрабатывается установка центропланных баков. Самолет готов в сборке на 70-75%. Поступление его на ЛЭС предполагается 15-16 октября (992,11).</w:t>
      </w:r>
    </w:p>
    <w:p w14:paraId="6DA8D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008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закончились гос. испытания Як-9Р N 05-017 с АФА-ИМ, которые проводились с 21 сентября 1943. Машина была сделана на 166 заводе в Омске в июне 1943 и собрана на 301 заводе в Москве в сентябре 1943. Разработанная ОКБ А.С.Я. схема установки АФА-ИМ была рекомендована как типовая при доработке строевых самолетов (65,128).</w:t>
      </w:r>
    </w:p>
    <w:p w14:paraId="07CF5E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517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П.М.Стефановский облетал Як-1М А.С.Я. (2921,247).</w:t>
      </w:r>
    </w:p>
    <w:p w14:paraId="7632D7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FE4A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64454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C9CA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года завод №172 (г. Пермь) представил свое видение САУ открытого типа с установкой в ней 203-мм гаубицы Б-4.</w:t>
      </w:r>
    </w:p>
    <w:p w14:paraId="0FC2C76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 получивший заводской индекс М-22, представлял собой СУ-152 (КВ-14), с которой срезали руцбку и вместо нее установили Б-4 с щитовым прикрытием. Для снижения отката Б-4 получила развитый дульный тормоз.</w:t>
      </w:r>
    </w:p>
    <w:p w14:paraId="3E68834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пермская машина, которую вел начальник ОКБ-172 Лев Михайлович Ильин (как и многие работники ОКБ-172, он был подследственный), была более грамотно скомпонована, чем С-51. Линия огня пониже, сама установка компактнее. Тем не менее, в железе воплотили грабинскую САУ (15639).</w:t>
      </w:r>
    </w:p>
    <w:p w14:paraId="4A7FF701"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2A33C984"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К 10 октября 1943 ЧКЗ сдал первые 3 танка КВ-85 октябрьского плана в 63 машины, к 17 числу их количество выросло до 7, а к 22 октября удалось сдать всего 20 КВ-85. По состоянию на 31 октября было готово 56 машин, оставшиеся доделывались авральным методом. За октябрь в войска ушло 67 КВ-85, оставшиеся 34 машины были отгружены в начале ноября.</w:t>
      </w:r>
    </w:p>
    <w:p w14:paraId="1FC692DD"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К этому времени на ЧКЗ запустили производство ИС-85, первый такой танк был сдан уже 5 ноября. К слову, и он оказался временной мерой, поскольку позже в серию был запущен ИС-122 (ИС-2), имевший более мощное орудие Д-25Т.</w:t>
      </w:r>
    </w:p>
    <w:p w14:paraId="1FFCEDD2" w14:textId="77777777" w:rsidR="003253B5" w:rsidRPr="00271E51" w:rsidRDefault="003253B5" w:rsidP="00271E51">
      <w:pPr>
        <w:pStyle w:val="ae"/>
        <w:spacing w:before="0" w:after="0"/>
        <w:jc w:val="both"/>
        <w:textAlignment w:val="baseline"/>
        <w:rPr>
          <w:color w:val="000000" w:themeColor="text1"/>
          <w:sz w:val="16"/>
          <w:szCs w:val="16"/>
        </w:rPr>
      </w:pPr>
      <w:r w:rsidRPr="00271E51">
        <w:rPr>
          <w:color w:val="000000" w:themeColor="text1"/>
          <w:sz w:val="16"/>
          <w:szCs w:val="16"/>
        </w:rPr>
        <w:t>О КВ-85 инженеры-конструкторы вспоминали не самыми добрыми словами. Н.Ф. Шашмурин в своих мемуарах называл эту машину «Куцак», намекая на отсутствие у этого танка перспектив. По его словам, Котин продвигал её как наиболее простой вариант развития КВ-1с. Конечно, к мемуарам стоит относиться с определённой долей критики, особенно учитывая непростые отношения Котина и Шашмурина, но некоторые документы подтверждают слова Николая Фёдоровича. А производственная драма, сопровождавшая «Куцака» всё время его выпуска, показала, что мнение Котина о модернизации КВ-1с как о простом решении оказалось не совсем верным. Даже наличие более-менее готового шасси не позволило избежать проблем во время перевода производства с КВ-1с на КВ-85. 148 танков, выпущенных за 3 месяца, стоили заводчанам немалого количества нервов (17710).</w:t>
      </w:r>
    </w:p>
    <w:p w14:paraId="453C5A58" w14:textId="77777777" w:rsidR="003253B5" w:rsidRPr="00271E51" w:rsidRDefault="003253B5" w:rsidP="00271E51">
      <w:pPr>
        <w:spacing w:after="0" w:line="240" w:lineRule="auto"/>
        <w:jc w:val="both"/>
        <w:rPr>
          <w:rFonts w:ascii="Times New Roman" w:hAnsi="Times New Roman"/>
          <w:color w:val="000000" w:themeColor="text1"/>
          <w:sz w:val="16"/>
          <w:szCs w:val="16"/>
        </w:rPr>
      </w:pPr>
    </w:p>
    <w:p w14:paraId="3762BFA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г. СВЕДЕНИЯ О РАБОТЕ ОРСа ЗАВОДА № 635 ПО СОСТОЯНИЮ НА 10 ОКТЯБРЯ 1943 г., НАПРАВЛЕННЫЕ В ОБКОМ ВКП(б)</w:t>
      </w:r>
    </w:p>
    <w:p w14:paraId="625E5F4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Согласно телефонограммы от 8 октября 1943 года</w:t>
      </w:r>
    </w:p>
    <w:p w14:paraId="5979EDD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обкома ВКП(б)</w:t>
      </w:r>
    </w:p>
    <w:p w14:paraId="35A598F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Урожай 1943 года удовлетворяет полностью нужды общественного питания ... Собрано картофеля в 1943 году 500,0 тонн, что обеспечивает потребность по общепиту на 70%. Кроме того, имеется заготовленных по наряду 300,0 тонн. Итого имеется картофеля 800,0 тонн, что обеспечивает [потребность] на 100%. В 1943 году собрано овощей 630 тонн, что обеспечивает на 120%. Индивидуальные огороды имели 1280 семей, одиночек — 90. Всех участков - 1 500 штук. Семей, не имеющих огороды, - 8 (прибывших летом). Сбор урожая с индивидуальных огородов в среднем 10,0 тонн картофеля с гектара. Всего собрано 700 тонн картофеля. Потребность овощехранилищ - 10 штук с общей емкостью 1 700 тонн. Имеется 11 штук с общей емкостью - 1 900 тонн. Обеспеченность — на 110%. Семьи работников завода обеспечены индивидуальными хранилищами (погреба и подполья). Имеются две столовых, в основном отремонтированы и подготовлены к зиме. Инвентарем столовые обеспечены. Недостает тарелок (чашек) - 100-120 штук. Обеспеченность рабочих обувью на 50%, одеждой - на 70%. Ремонт обуви в мастерских ОРСа длится 3-4 дня. Пропускается в день 20-25 пар обуви (ремонт). Для семей фронтовиков производился и производится систематический отпуск промтоваров, через совет жен фронтовиков, как-то: мануфактуры, обуви, трикотажа и прочего. Всего семей фронтовиков — 265. Отпущено: обуви - 125 пар, мануфактуры — 290 метров, трикотажа -на 3 500 рублей. Всего отпущено рабочим за III квартал: обуви — 360 пар на сумму 29 тысяч рублей, одежды - на сумму 36 тысяч рублей, прочих товаров - на 46 тысяч рублей.</w:t>
      </w:r>
    </w:p>
    <w:p w14:paraId="2CEAD38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ОРСа завода № 635 НКБ СССР Пикус</w:t>
      </w:r>
    </w:p>
    <w:p w14:paraId="47C12BD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6. Д. 482. Л. 80. Подлинник (12193).</w:t>
      </w:r>
    </w:p>
    <w:p w14:paraId="58BCD756"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F9DE97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вышло Постановление ГКО № 4300 О мероприятиях по обеспечению поставки дров железным дорогам. (7145, 110-116,117-120).</w:t>
      </w:r>
    </w:p>
    <w:p w14:paraId="4812514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C5AD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На Адмиралтейском заводе спущен на воду 9-й МБК (10671).</w:t>
      </w:r>
    </w:p>
    <w:p w14:paraId="178A8B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5587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D1F25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F7CE6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10 октября </w:t>
      </w:r>
      <w:r w:rsidRPr="00271E51">
        <w:rPr>
          <w:rFonts w:ascii="Times New Roman" w:hAnsi="Times New Roman"/>
          <w:color w:val="000000" w:themeColor="text1"/>
          <w:sz w:val="16"/>
          <w:szCs w:val="16"/>
        </w:rPr>
        <w:t>в 1943 году оперативная сводка Совинформбюро:</w:t>
      </w:r>
    </w:p>
    <w:p w14:paraId="13B714B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наши войска, отбивая контратаки противника, продолжали вести бои по расширению плацдармов на правом берегу реки в прежних районах.</w:t>
      </w:r>
    </w:p>
    <w:p w14:paraId="71A2D0F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сломив сопротивление противника, овладели городом Добруш, а также заняли населённые пункты Рудня, Марьино, Чистая Лужа, Головинцы, Ларищево, Климовка и железнодорожные станции Ларищево, Кориневка.</w:t>
      </w:r>
    </w:p>
    <w:p w14:paraId="0E37E383"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продвинулись от 6 до 12 километров и заняли более 140 населённых пунктов, среди которых крупные населённые пункты Яновичи, Загородно. Шеркино, Уна, Янковцы, Большая и Малая Березина, Горбово, Красное, Горошково, Снигири, и железнодорожную станцию Красное.</w:t>
      </w:r>
    </w:p>
    <w:p w14:paraId="111FC03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наши войска, преодолевая сопротивление противника, продолжали вести наступательные бои и заняли более 40 населённых пунктов.</w:t>
      </w:r>
    </w:p>
    <w:p w14:paraId="0A1E4E4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октября наши войска на всех фронтах подбили и уничтожили 64 немецких танка. В воздушных боях и огнём зенитной артиллерии сбито 58 самолётов противника.</w:t>
      </w:r>
    </w:p>
    <w:p w14:paraId="47ADF87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наши войска продолжали вести бои за расширение плацдармов. В одном районе бойцы Н-ского соединения, успешно отражая контратаки крупных сил противника, уничтожили 27 вражеских танков и 1.200 немецких солдат и офицеров. В другом районе наши части, сломив сопротивление противника, овладели высотой, имеющей важное значение. В бою за эту высоту уничтожено до батальона пехоты и 9 танков противника. Группа танкистов Н-ского соединения выбила немцев из одного населённого пункта. Противник, стремясь вернуть потерянные позиции, предпринял одну за другой восемь контратак. Наши танкисты отбили все контратаки и уничтожили несколько сот гитлеровцев.</w:t>
      </w:r>
    </w:p>
    <w:p w14:paraId="7822FFE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наши лётчики в воздушных боях сбили 19 немецких самолётов.</w:t>
      </w:r>
    </w:p>
    <w:p w14:paraId="71BFD34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продвинулись вперёд, заняли город Добруш и ряд других населённых пунктов. Противник оказывал упорное сопротивление, но под ударами советских войск вынужден был отступить. На одном лишь участке немцы оставили свыше 600 трупов своих солдат и офицеров. Взяты трофеи, в числе которых 14 орудий. На другом участке наши части захватили склады с боеприпасами и военным имуществом.</w:t>
      </w:r>
    </w:p>
    <w:p w14:paraId="6719119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и заняли более140 населённых пунктов. Противник сильным артиллерийско-миномётным огнём и контратаками противодействовал наступлению наших войск. Бойцы Н-ской части,отбивая контратаки гитлеровцев, продвинулись вперёд на 12 километров. На другом участке части Н-ского соединения, сломив сопротивление противника, овладели рядом населённых пунктов. В результате боёв уничтожено 400 немецких солдат и офицеров, 4 танка, 11 орудий и свыше 60 пулемётов.</w:t>
      </w:r>
    </w:p>
    <w:p w14:paraId="47C50D7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штурмовая авиация наносила удары по войскам противника и уничтожила свыше 70 автомашин, взорвала 2 склада боеприпасов, подавила огонь 11 миномётныхи артиллерийских батарей. В воздушных боях и огнём зенитной артиллерии сбито 33 немецких самолёта.</w:t>
      </w:r>
    </w:p>
    <w:p w14:paraId="6DA1B9B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наши войска продолжали вести наступательные бои. Подтянув резервы, немцы бросают в бой крупные силы пехоты, действующие при поддержке танков и самоходной артиллерии. Части Н-ского соединения, с боями продвигаясь вперёд, заняли свыше 40 населённых пунктов. В этих боях уничтожено до 1.000 немецких солдат и офицеров. Взяты пленные. В районе одной железнодорожнойстанции и прилегающего к ней населённого пункта захвачены крупнейшие склады противника.</w:t>
      </w:r>
    </w:p>
    <w:p w14:paraId="705E592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украинских партизанских отрядов, действующих в приднепровских районах Киевской области, с боем заняли ряд населённых пунктов. Организовав круговую оборону, советские патриоты отбили несколько ожесточённых атак численно превосходящих сил противника. Уничтожено до 400 гитлеровцев.</w:t>
      </w:r>
    </w:p>
    <w:p w14:paraId="6E8F0582"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Взятый в плен на Таманском полуострове офицер для поручений штаба 123 пехотного полка 50 немецкой пехотной дивизии лейтенант Гюнтер Кольман рассказал: «Во всех приказах немецкого командования, присланных частям в течение июля и августа, подчёркивалось огромное военное и политическое значение Кубанскогопредмостного укрепления для германской армии. Как солдаты, так и многие офицеры считали положение немецких войск на Тамани безнадёжным и ожидали развязки. Однако командование придерживалось другой точки зрения. В августе и даже в сентябре на Тамань доставлялось вооружение, боеприпасы и продовольствие.</w:t>
      </w:r>
    </w:p>
    <w:p w14:paraId="7FD32C0E"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Склады усиленно пополнялись, создавались запасы не только на период осеннего бездорожья, но и на зиму. Русские опрокинули все расчёты и планы немецкого командования».</w:t>
      </w:r>
    </w:p>
    <w:p w14:paraId="634E2193"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Носовичи, Гомельской области, освобождённого от немецко-фашистских захватчиков, составили акт о зверствах гитлеровских мерзавцев. В акте говорится: «Отступая под натиском Красной Армии, немцы разграбили и уничтожили всё наше добро, накопленное многолетним трудом. То, что нельзя было увезти с собою, немцы сожгли. В ночь на 26 сентября специальная команда «факельщиков» ходила по селу и поджигала дом за домом. Огнём уничтожены сотни домов, школы, аптека, больница, здание почты и все хозяйственные постройки колхозов и совхоза. Фашистские людоеды загнали большую группу жителей в сарай и живьём сожгли их. В пепелище обнаружены и опознаны трупы Филимона Симаненко — 65 лет, Георгия Шестопалова — 50 лет, Василия Ступакова—35 лет, Тихона Сычёва— 58 лет, Павла Чуясова—13 лет и других. Гитлеровцы расстреляли многих граждан, отказавшихся эвакуироваться е немцами» (14795).</w:t>
      </w:r>
    </w:p>
    <w:p w14:paraId="476AF46C"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3BE17D1C"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r w:rsidRPr="00271E51">
        <w:rPr>
          <w:rFonts w:ascii="Times New Roman" w:cs="Times New Roman"/>
          <w:color w:val="0070C0"/>
          <w:spacing w:val="0"/>
          <w:sz w:val="16"/>
          <w:szCs w:val="16"/>
        </w:rPr>
        <w:t>10 октября 1943 г. шестерка Ил-2 из 503-го ШАП уже после того, как избавилась от бомбовой нагрузки, встретила до двад</w:t>
      </w:r>
      <w:r w:rsidRPr="00271E51">
        <w:rPr>
          <w:rFonts w:ascii="Times New Roman" w:cs="Times New Roman"/>
          <w:color w:val="0070C0"/>
          <w:spacing w:val="0"/>
          <w:sz w:val="16"/>
          <w:szCs w:val="16"/>
        </w:rPr>
        <w:softHyphen/>
        <w:t xml:space="preserve">цати «Хенкшелей», атаковавших советские войска. Ведущий советских штурмовиков мл. л-т В.Д. Гнеушев повел свою группу в атаку, в результате которой был сбит </w:t>
      </w:r>
      <w:r w:rsidRPr="00271E51">
        <w:rPr>
          <w:rFonts w:ascii="Times New Roman" w:cs="Times New Roman"/>
          <w:color w:val="0070C0"/>
          <w:spacing w:val="0"/>
          <w:sz w:val="16"/>
          <w:szCs w:val="16"/>
          <w:lang w:val="en-US"/>
        </w:rPr>
        <w:t>Hs</w:t>
      </w:r>
      <w:r w:rsidRPr="00271E51">
        <w:rPr>
          <w:rFonts w:ascii="Times New Roman" w:cs="Times New Roman"/>
          <w:color w:val="0070C0"/>
          <w:spacing w:val="0"/>
          <w:sz w:val="16"/>
          <w:szCs w:val="16"/>
        </w:rPr>
        <w:t xml:space="preserve"> 129. Один из немецких летчиков решил не оставаться в долгу и попы</w:t>
      </w:r>
      <w:r w:rsidRPr="00271E51">
        <w:rPr>
          <w:rFonts w:ascii="Times New Roman" w:cs="Times New Roman"/>
          <w:color w:val="0070C0"/>
          <w:spacing w:val="0"/>
          <w:sz w:val="16"/>
          <w:szCs w:val="16"/>
        </w:rPr>
        <w:softHyphen/>
        <w:t>тался контратаковать самолет Гнеушева. Его ведомый во</w:t>
      </w:r>
      <w:r w:rsidRPr="00271E51">
        <w:rPr>
          <w:rFonts w:ascii="Times New Roman" w:cs="Times New Roman"/>
          <w:color w:val="0070C0"/>
          <w:spacing w:val="0"/>
          <w:sz w:val="16"/>
          <w:szCs w:val="16"/>
        </w:rPr>
        <w:softHyphen/>
        <w:t>время заметил опасность, левым разворотом вышел в лоб вражеской машины и с дистанции 400-600 м пулеметно- пушечным огнем сбил ее (19854).</w:t>
      </w:r>
    </w:p>
    <w:p w14:paraId="548973A9" w14:textId="77777777" w:rsidR="001B0803" w:rsidRPr="00271E51" w:rsidRDefault="001B0803" w:rsidP="00271E51">
      <w:pPr>
        <w:pStyle w:val="36"/>
        <w:shd w:val="clear" w:color="auto" w:fill="auto"/>
        <w:spacing w:after="0" w:line="240" w:lineRule="auto"/>
        <w:jc w:val="both"/>
        <w:rPr>
          <w:rFonts w:ascii="Times New Roman" w:cs="Times New Roman"/>
          <w:color w:val="0070C0"/>
          <w:spacing w:val="0"/>
          <w:sz w:val="16"/>
          <w:szCs w:val="16"/>
        </w:rPr>
      </w:pPr>
    </w:p>
    <w:p w14:paraId="6D2F9B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началась Запорожская наступательная операция (2990) ЮЗ-Ф (Р.Я.Малиновский), которая завершилась освобождением Запорожья 14 октября (3398,356).</w:t>
      </w:r>
    </w:p>
    <w:p w14:paraId="567D41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ABEE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10 октября </w:t>
      </w:r>
      <w:r w:rsidRPr="00271E51">
        <w:rPr>
          <w:rFonts w:ascii="Times New Roman" w:hAnsi="Times New Roman"/>
          <w:color w:val="000000" w:themeColor="text1"/>
          <w:sz w:val="16"/>
          <w:szCs w:val="16"/>
        </w:rPr>
        <w:t>в 1943 году завершилась Невельская операция: в ходе 4-дневного наступления войска Калининского фронта прорвали оборону противника в районе городов Невель, Новосокольники, Великие Луки, перерезали железную дорогу Дно — Витебск, связывавшую группировки армий "Север" и "Центр". За отличия в боях 12 частей и соединений получили почетные наименования. Войска Центрального фронта очистили от противника левый берег реки Сож и форсировали ее южнее города Гомеля. Войска 38-й армии Воронежского фронта захватили плацдарм в районе города Лютеж (20 км к северу от Киева) (14795).</w:t>
      </w:r>
    </w:p>
    <w:p w14:paraId="4EBA9668"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6729029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lastRenderedPageBreak/>
        <w:t xml:space="preserve">10 октября </w:t>
      </w:r>
      <w:r w:rsidRPr="00271E51">
        <w:rPr>
          <w:rFonts w:ascii="Times New Roman" w:hAnsi="Times New Roman"/>
          <w:color w:val="000000" w:themeColor="text1"/>
          <w:sz w:val="16"/>
          <w:szCs w:val="16"/>
        </w:rPr>
        <w:t>в 1943 году во время Великой Отечественной войны войска левого крыла Юго-Западного фронта (командующий генерал армии Р.Я.Малиновский) начали Запорожскую наступательную операцию. В ходе операции, завершившейся 14 октября, советские войска нанесли ощутимые потери немецкой группе армий "Юг" (23 тысячи солдат и офицеров, 160 танков, 430 орудий) и освободили город Запорожье (14795).</w:t>
      </w:r>
    </w:p>
    <w:p w14:paraId="2B559A39"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0E0A531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10 октября </w:t>
      </w:r>
      <w:r w:rsidRPr="00271E51">
        <w:rPr>
          <w:rFonts w:ascii="Times New Roman" w:hAnsi="Times New Roman"/>
          <w:color w:val="000000" w:themeColor="text1"/>
          <w:sz w:val="16"/>
          <w:szCs w:val="16"/>
        </w:rPr>
        <w:t>в 1943 году войска Центрального фронта освободили Добруш (14795).</w:t>
      </w:r>
    </w:p>
    <w:p w14:paraId="3D22D07B"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7BA4D5D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в СССР учрежден орден Богдана Хмельницкого (4962).</w:t>
      </w:r>
    </w:p>
    <w:p w14:paraId="7DABE30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0982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14A9E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22C22A"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октября 1943 в ходе бомбардировки Мюнстера USAAF, нацеленной на жилые дома военных рабочих, единственный уцелевший B-17 из 13 летающих крепостей 100-й бомбардировочной группы s / n 42 -6087 « Роял Флеш», пилотируемый тогдашним лейтенантом Робертом Розенталем, совершил вылет со своей базы в RAF Thorpe Abbotts в оккупированное воздушное пространство, добрался до Торпа Эбботтса с двумя выстреленными двигателями и двумя тяжело ранеными (20376).</w:t>
      </w:r>
    </w:p>
    <w:p w14:paraId="187FC576" w14:textId="77777777" w:rsidR="009B0A1D" w:rsidRPr="00271E51" w:rsidRDefault="009B0A1D" w:rsidP="00271E51">
      <w:pPr>
        <w:spacing w:after="0" w:line="240" w:lineRule="auto"/>
        <w:jc w:val="both"/>
        <w:rPr>
          <w:rFonts w:ascii="Times New Roman" w:hAnsi="Times New Roman"/>
          <w:color w:val="0070C0"/>
          <w:sz w:val="16"/>
          <w:szCs w:val="16"/>
        </w:rPr>
      </w:pPr>
    </w:p>
    <w:p w14:paraId="36B8687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октября 1943 немецкие подлодки заминировали вход в Панамский канал (4962).</w:t>
      </w:r>
    </w:p>
    <w:p w14:paraId="5B8C72B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1A06B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10 октября </w:t>
      </w:r>
      <w:r w:rsidRPr="00271E51">
        <w:rPr>
          <w:rFonts w:ascii="Times New Roman" w:hAnsi="Times New Roman"/>
          <w:color w:val="000000" w:themeColor="text1"/>
          <w:sz w:val="16"/>
          <w:szCs w:val="16"/>
        </w:rPr>
        <w:t>в 1943 году приказ Адолфа Гитлера о переброске восточных легионов с Восточного фронта во Францию, Италию и на Балканы (14795).</w:t>
      </w:r>
    </w:p>
    <w:p w14:paraId="1F80565A"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197D733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CB8F6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E84018"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11 октября 1943 г. на опыт</w:t>
      </w:r>
      <w:r w:rsidRPr="00271E51">
        <w:rPr>
          <w:color w:val="000000" w:themeColor="text1"/>
          <w:sz w:val="16"/>
          <w:szCs w:val="16"/>
        </w:rPr>
        <w:softHyphen/>
        <w:t>ный завод № 240 поступил Серийный самолет Ил-2 производства завода № 30, предназначенный для доработки под уста</w:t>
      </w:r>
      <w:r w:rsidRPr="00271E51">
        <w:rPr>
          <w:color w:val="000000" w:themeColor="text1"/>
          <w:sz w:val="16"/>
          <w:szCs w:val="16"/>
        </w:rPr>
        <w:softHyphen/>
        <w:t>новку 45-мм авиапушек 111П. При его подготовке к работам по вооружению было вы</w:t>
      </w:r>
      <w:r w:rsidRPr="00271E51">
        <w:rPr>
          <w:color w:val="000000" w:themeColor="text1"/>
          <w:sz w:val="16"/>
          <w:szCs w:val="16"/>
        </w:rPr>
        <w:softHyphen/>
        <w:t>явлено большое количество дефектов. Самолет возвратили заводу № 30. Взамен 20 октября завод № 240 получил серийный Ил-2 зав. № 303124, ко</w:t>
      </w:r>
      <w:r w:rsidRPr="00271E51">
        <w:rPr>
          <w:color w:val="000000" w:themeColor="text1"/>
          <w:sz w:val="16"/>
          <w:szCs w:val="16"/>
        </w:rPr>
        <w:softHyphen/>
        <w:t>торый был построен 19 октября 1943 г. с пушками 11 П. В течение последующих 10 дней на самолет вместо 11П установили пушки 111П с боекомплек</w:t>
      </w:r>
      <w:r w:rsidRPr="00271E51">
        <w:rPr>
          <w:color w:val="000000" w:themeColor="text1"/>
          <w:sz w:val="16"/>
          <w:szCs w:val="16"/>
        </w:rPr>
        <w:softHyphen/>
        <w:t>том по 50 снарядов на каждую и отстреляли все вооружение в тире летно-испытательной станции завода. 1 ноября самолет перегнали в НИИ АВ для проведения заводских и государственных испыта</w:t>
      </w:r>
      <w:r w:rsidRPr="00271E51">
        <w:rPr>
          <w:color w:val="000000" w:themeColor="text1"/>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271E51">
        <w:rPr>
          <w:color w:val="000000" w:themeColor="text1"/>
          <w:sz w:val="16"/>
          <w:szCs w:val="16"/>
        </w:rPr>
        <w:softHyphen/>
        <w:t>товка самолета для передачи на государственные испытания. Этап государственных испытаний про</w:t>
      </w:r>
      <w:r w:rsidRPr="00271E51">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0EEFC00C" w14:textId="77777777" w:rsidR="003253B5" w:rsidRPr="00271E51" w:rsidRDefault="003253B5"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 xml:space="preserve">дротормоз пушки был залит керосин сорта «А». — </w:t>
      </w:r>
      <w:r w:rsidRPr="00271E51">
        <w:rPr>
          <w:rStyle w:val="BodytextItalic"/>
          <w:i w:val="0"/>
          <w:color w:val="000000" w:themeColor="text1"/>
          <w:sz w:val="16"/>
          <w:szCs w:val="16"/>
        </w:rPr>
        <w:t>Авт.).</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1EA75258" w14:textId="77777777" w:rsidR="003253B5" w:rsidRPr="00271E51" w:rsidRDefault="003253B5" w:rsidP="00271E51">
      <w:pPr>
        <w:pStyle w:val="12a"/>
        <w:shd w:val="clear" w:color="auto" w:fill="auto"/>
        <w:spacing w:after="0" w:line="240" w:lineRule="auto"/>
        <w:jc w:val="both"/>
        <w:rPr>
          <w:color w:val="000000" w:themeColor="text1"/>
          <w:sz w:val="16"/>
          <w:szCs w:val="16"/>
        </w:rPr>
      </w:pPr>
    </w:p>
    <w:p w14:paraId="140EC6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вышел приказ НКАП N 594сс:</w:t>
      </w:r>
    </w:p>
    <w:p w14:paraId="15E0D4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дальнейшего улучшения ЛТД бронированных штурмовиков Ил-2:</w:t>
      </w:r>
    </w:p>
    <w:p w14:paraId="6D540C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30 Смирнову и ГК С.В.И. выпустить 2 серийных Ил-2 с АМ-38Ф с внесением в них аэродинамических улучшений по предложениям ЦАГИ и ГК</w:t>
      </w:r>
    </w:p>
    <w:p w14:paraId="4C7E52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втором самолете заводу 30 установить консоли крыльев с концами, отведенными назад и без металлических лент на обшивке вдоль лонжеронов, изготовив кроме летных консолей 2 консоли для стат. испытаний к 1 ноября с.г.</w:t>
      </w:r>
    </w:p>
    <w:p w14:paraId="2531C4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Установить трехлопастный винт АВ5 диаметром 3.4 м</w:t>
      </w:r>
    </w:p>
    <w:p w14:paraId="013F4A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предъявить на летные испытания: 1-й к 1 ноября 1943, 2-й к 20 ноября 1943.</w:t>
      </w:r>
    </w:p>
    <w:p w14:paraId="74081F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ГК С.В.И.:</w:t>
      </w:r>
    </w:p>
    <w:p w14:paraId="76B6D2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закончить заводские летные испытания и доводку модифицированного самолета Ил-2 с Ам-42 и предъявить его на гос. испытания не позднее 10 ноября 1943</w:t>
      </w:r>
    </w:p>
    <w:p w14:paraId="5EB593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Директору завода 18 Белянскому:</w:t>
      </w:r>
    </w:p>
    <w:p w14:paraId="76F6AE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закончить производством и выпустить на заводские летные испытания к 15 ноября 1943 одноместный самолет Ил с АМ-42, изготавливаемый по приказу НКАП N 414 от 12 июля 1943</w:t>
      </w:r>
    </w:p>
    <w:p w14:paraId="7081D7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чертежам ГК С.В.И. построить второй экз. самолета в 2-х местном варианте и выпустить его на заводские испытания к 10 декабря 1943 (1747,38).</w:t>
      </w:r>
    </w:p>
    <w:p w14:paraId="4047D5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FCDC8"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октября 1943 года в самом последнем пункте приказа НКАП № 594сс: «В целях дальнейшего улучшения ЛТД бронированных штурмовиков Ил-2:</w:t>
      </w:r>
    </w:p>
    <w:p w14:paraId="17E6292E"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Директору завода 30 Смирнову и Главному конструктору Ильюшину выпустить 2 серийных Ил-2 с АМ-38Ф с внесением в них аэродинамических улучшений по предложениям ЦАГИ и Главного конструктора. На втором самолете заводу 30 установить консоли крыльев с концами, отведенными назад и без металлических лент на обшивке вдоль лонжеронов, изготовив кроме летных консолей 2 консоли для стат. испытаний к 1 ноября с/г. Установить трехлопастный винт АВ5 диаметром 3.4 м. Самолеты предъявить на летные испытания: 1-й к 1 ноября 1943, 2-й к 20 ноября 1943 (21005).</w:t>
      </w:r>
    </w:p>
    <w:p w14:paraId="73C69409"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 Главному конструктору Ильюшину: а) закончить заводские летные испытания и доводку модифицированного самолета Ил-2 с АМ-42 и предъявить его на гос. испытания не позднее 10 ноября 1943 г. </w:t>
      </w:r>
    </w:p>
    <w:p w14:paraId="242A24AB"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3. Директору завода 18 Белянскому: </w:t>
      </w:r>
    </w:p>
    <w:p w14:paraId="7FCD7049"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закончить производством и выпустить на заводские летные испытания к 15 ноября 1943 одноместный самолет Ил с АМ-42, изготавливаемый по приказу НКАП № 414 от 12 июля 1943 г.</w:t>
      </w:r>
    </w:p>
    <w:p w14:paraId="07599B42"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по чертежам Главного конструктора Ильюшина построить второй экземпляр самолета в 2-х местном варианте и выпустить его на заводские испытания к 10 декабря 1943 г.» (21005).</w:t>
      </w:r>
    </w:p>
    <w:p w14:paraId="13A5D479" w14:textId="77777777" w:rsidR="009B0A1D" w:rsidRPr="00271E51" w:rsidRDefault="009B0A1D" w:rsidP="00271E51">
      <w:pPr>
        <w:spacing w:after="0" w:line="240" w:lineRule="auto"/>
        <w:jc w:val="both"/>
        <w:rPr>
          <w:rFonts w:ascii="Times New Roman" w:hAnsi="Times New Roman"/>
          <w:color w:val="0070C0"/>
          <w:sz w:val="16"/>
          <w:szCs w:val="16"/>
        </w:rPr>
      </w:pPr>
    </w:p>
    <w:p w14:paraId="1EE04D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1843 приказом НКАП завод № 18 обязывали по</w:t>
      </w:r>
      <w:r w:rsidRPr="00271E51">
        <w:rPr>
          <w:rFonts w:ascii="Times New Roman" w:hAnsi="Times New Roman"/>
          <w:color w:val="000000" w:themeColor="text1"/>
          <w:sz w:val="16"/>
          <w:szCs w:val="16"/>
        </w:rPr>
        <w:softHyphen/>
        <w:t>строить двухместный Ил-1 к 10 декабря, а одноместный — к 20 декабря (11474,486).</w:t>
      </w:r>
    </w:p>
    <w:p w14:paraId="1DF76E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B66E9"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Приказом НКАП № 594сс завод № 18 обязывался не позже 15 ноября 1943 года выпустить в первый полет одноместный истребитель Ил-1 АМ-42. Одновременно завод должен был построить и 10 декабря предъявить на заводские испытания двухместный вариант самолета Ил-1 АМ-42.</w:t>
      </w:r>
    </w:p>
    <w:p w14:paraId="2587C55F"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же приказом прекращались все работы по самолету Ил-2-2И с АМ-42 с улучшенной аэродинамикой, а срок изготовления заводом № 1 одноместного истребителя Ил-1 АМ-42 переносился на 20 ноября (17490).</w:t>
      </w:r>
    </w:p>
    <w:p w14:paraId="64ABA759" w14:textId="77777777" w:rsidR="003253B5" w:rsidRPr="00271E51" w:rsidRDefault="003253B5" w:rsidP="00271E51">
      <w:pPr>
        <w:spacing w:after="0" w:line="240" w:lineRule="auto"/>
        <w:jc w:val="both"/>
        <w:rPr>
          <w:rFonts w:ascii="Times New Roman" w:hAnsi="Times New Roman"/>
          <w:color w:val="000000" w:themeColor="text1"/>
          <w:sz w:val="16"/>
          <w:szCs w:val="16"/>
        </w:rPr>
      </w:pPr>
    </w:p>
    <w:p w14:paraId="05E66AA5" w14:textId="77777777" w:rsidR="009B0A1D" w:rsidRPr="00271E51" w:rsidRDefault="009B0A1D"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11 ок</w:t>
      </w:r>
      <w:r w:rsidRPr="00271E51">
        <w:rPr>
          <w:rFonts w:ascii="Times New Roman" w:hAnsi="Times New Roman" w:cs="Times New Roman"/>
          <w:color w:val="0070C0"/>
          <w:sz w:val="16"/>
          <w:szCs w:val="16"/>
        </w:rPr>
        <w:softHyphen/>
        <w:t>тября 1943 Приказом НКАП №594сс завод №18 обязывался не позже 10 декабря предъявить на заводские ис</w:t>
      </w:r>
      <w:r w:rsidRPr="00271E51">
        <w:rPr>
          <w:rFonts w:ascii="Times New Roman" w:hAnsi="Times New Roman" w:cs="Times New Roman"/>
          <w:color w:val="0070C0"/>
          <w:sz w:val="16"/>
          <w:szCs w:val="16"/>
        </w:rPr>
        <w:softHyphen/>
        <w:t>пытания двухместный ударный вариант самолета Ил-1, а к 15 ноября - выпустить в первый полет одноместный брониро</w:t>
      </w:r>
      <w:r w:rsidRPr="00271E51">
        <w:rPr>
          <w:rFonts w:ascii="Times New Roman" w:hAnsi="Times New Roman" w:cs="Times New Roman"/>
          <w:color w:val="0070C0"/>
          <w:sz w:val="16"/>
          <w:szCs w:val="16"/>
        </w:rPr>
        <w:softHyphen/>
        <w:t>ванный истребитель Ил-1. Этим же прика</w:t>
      </w:r>
      <w:r w:rsidRPr="00271E51">
        <w:rPr>
          <w:rFonts w:ascii="Times New Roman" w:hAnsi="Times New Roman" w:cs="Times New Roman"/>
          <w:color w:val="0070C0"/>
          <w:sz w:val="16"/>
          <w:szCs w:val="16"/>
        </w:rPr>
        <w:softHyphen/>
        <w:t>зом срок изготовления заводом №1 вто</w:t>
      </w:r>
      <w:r w:rsidRPr="00271E51">
        <w:rPr>
          <w:rFonts w:ascii="Times New Roman" w:hAnsi="Times New Roman" w:cs="Times New Roman"/>
          <w:color w:val="0070C0"/>
          <w:sz w:val="16"/>
          <w:szCs w:val="16"/>
        </w:rPr>
        <w:softHyphen/>
        <w:t>рого опытного экземпляра истребителя Ил-1 переносился на 20 ноября.</w:t>
      </w:r>
    </w:p>
    <w:p w14:paraId="73960239" w14:textId="77777777" w:rsidR="009B0A1D" w:rsidRPr="00271E51" w:rsidRDefault="009B0A1D"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ВВС отклонили предложение Ильюшина по самолету Ил-8 М-71, поскольку по маневренным качествам и максимальным скоростям Ил-8 М-71 уступал Су-6 М-71ф. А вот идея строить штурмовой вариант Ил-1 АМ-42 руководству НКАП понравилась. Появ</w:t>
      </w:r>
      <w:r w:rsidRPr="00271E51">
        <w:rPr>
          <w:rFonts w:ascii="Times New Roman" w:hAnsi="Times New Roman" w:cs="Times New Roman"/>
          <w:color w:val="0070C0"/>
          <w:sz w:val="16"/>
          <w:szCs w:val="16"/>
        </w:rPr>
        <w:softHyphen/>
        <w:t>лялась альтернатива Су-6 и возможность «отодвинуть» (а скорее «задвинуть») ре</w:t>
      </w:r>
      <w:r w:rsidRPr="00271E51">
        <w:rPr>
          <w:rFonts w:ascii="Times New Roman" w:hAnsi="Times New Roman" w:cs="Times New Roman"/>
          <w:color w:val="0070C0"/>
          <w:sz w:val="16"/>
          <w:szCs w:val="16"/>
        </w:rPr>
        <w:softHyphen/>
        <w:t>шение неудобного вопроса о запуске в серийное производство мотора М-71ф до проведения сравнительных испытаний опытных самолетов и выбора лучшего из них. Появлялся также дополнительный ар</w:t>
      </w:r>
      <w:r w:rsidRPr="00271E51">
        <w:rPr>
          <w:rFonts w:ascii="Times New Roman" w:hAnsi="Times New Roman" w:cs="Times New Roman"/>
          <w:color w:val="0070C0"/>
          <w:sz w:val="16"/>
          <w:szCs w:val="16"/>
        </w:rPr>
        <w:softHyphen/>
        <w:t>гумент в дискуссии с ВВС: один самолет уже летает, но мотор не серийный и за</w:t>
      </w:r>
      <w:r w:rsidRPr="00271E51">
        <w:rPr>
          <w:rFonts w:ascii="Times New Roman" w:hAnsi="Times New Roman" w:cs="Times New Roman"/>
          <w:color w:val="0070C0"/>
          <w:sz w:val="16"/>
          <w:szCs w:val="16"/>
        </w:rPr>
        <w:softHyphen/>
        <w:t>пуск его в производство несет определен</w:t>
      </w:r>
      <w:r w:rsidRPr="00271E51">
        <w:rPr>
          <w:rFonts w:ascii="Times New Roman" w:hAnsi="Times New Roman" w:cs="Times New Roman"/>
          <w:color w:val="0070C0"/>
          <w:sz w:val="16"/>
          <w:szCs w:val="16"/>
        </w:rPr>
        <w:softHyphen/>
        <w:t>ный технический риск, а второй еще не летает, но и он сам, и мотор к нему имеют большие возможности по быстрому запу</w:t>
      </w:r>
      <w:r w:rsidRPr="00271E51">
        <w:rPr>
          <w:rFonts w:ascii="Times New Roman" w:hAnsi="Times New Roman" w:cs="Times New Roman"/>
          <w:color w:val="0070C0"/>
          <w:sz w:val="16"/>
          <w:szCs w:val="16"/>
        </w:rPr>
        <w:softHyphen/>
        <w:t>ску в серию. В результате Ильюшин полу</w:t>
      </w:r>
      <w:r w:rsidRPr="00271E51">
        <w:rPr>
          <w:rFonts w:ascii="Times New Roman" w:hAnsi="Times New Roman" w:cs="Times New Roman"/>
          <w:color w:val="0070C0"/>
          <w:sz w:val="16"/>
          <w:szCs w:val="16"/>
        </w:rPr>
        <w:softHyphen/>
        <w:t>чил «добро» на переделку Ил-1 в штурмо</w:t>
      </w:r>
      <w:r w:rsidRPr="00271E51">
        <w:rPr>
          <w:rFonts w:ascii="Times New Roman" w:hAnsi="Times New Roman" w:cs="Times New Roman"/>
          <w:color w:val="0070C0"/>
          <w:sz w:val="16"/>
          <w:szCs w:val="16"/>
        </w:rPr>
        <w:softHyphen/>
        <w:t>вой вариант с воздушным стрелком на за</w:t>
      </w:r>
      <w:r w:rsidRPr="00271E51">
        <w:rPr>
          <w:rFonts w:ascii="Times New Roman" w:hAnsi="Times New Roman" w:cs="Times New Roman"/>
          <w:color w:val="0070C0"/>
          <w:sz w:val="16"/>
          <w:szCs w:val="16"/>
        </w:rPr>
        <w:softHyphen/>
        <w:t>воде №18, но при этом постройка одно</w:t>
      </w:r>
      <w:r w:rsidRPr="00271E51">
        <w:rPr>
          <w:rFonts w:ascii="Times New Roman" w:hAnsi="Times New Roman" w:cs="Times New Roman"/>
          <w:color w:val="0070C0"/>
          <w:sz w:val="16"/>
          <w:szCs w:val="16"/>
        </w:rPr>
        <w:softHyphen/>
        <w:t>местного бронированного истребителя с ОКБ-240 и завода №1 не снималась.</w:t>
      </w:r>
    </w:p>
    <w:p w14:paraId="5CE02D15" w14:textId="77777777" w:rsidR="009B0A1D" w:rsidRPr="00271E51" w:rsidRDefault="009B0A1D"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Ильюшину. Бу</w:t>
      </w:r>
      <w:r w:rsidRPr="00271E51">
        <w:rPr>
          <w:rFonts w:ascii="Times New Roman" w:hAnsi="Times New Roman" w:cs="Times New Roman"/>
          <w:color w:val="0070C0"/>
          <w:sz w:val="16"/>
          <w:szCs w:val="16"/>
        </w:rPr>
        <w:softHyphen/>
        <w:t>дучи в прошлом чиновником с большим опытом, он хорошо усвоил науку «ап</w:t>
      </w:r>
      <w:r w:rsidRPr="00271E51">
        <w:rPr>
          <w:rFonts w:ascii="Times New Roman" w:hAnsi="Times New Roman" w:cs="Times New Roman"/>
          <w:color w:val="0070C0"/>
          <w:sz w:val="16"/>
          <w:szCs w:val="16"/>
        </w:rPr>
        <w:softHyphen/>
        <w:t>паратного» решения вопросов и «пра</w:t>
      </w:r>
      <w:r w:rsidRPr="00271E51">
        <w:rPr>
          <w:rFonts w:ascii="Times New Roman" w:hAnsi="Times New Roman" w:cs="Times New Roman"/>
          <w:color w:val="0070C0"/>
          <w:sz w:val="16"/>
          <w:szCs w:val="16"/>
        </w:rPr>
        <w:softHyphen/>
        <w:t>вильной» подачи материалов «в верхах». Обладая обширными связями в аппарате НКАП и правительства (в том числе, дру</w:t>
      </w:r>
      <w:r w:rsidRPr="00271E51">
        <w:rPr>
          <w:rFonts w:ascii="Times New Roman" w:hAnsi="Times New Roman" w:cs="Times New Roman"/>
          <w:color w:val="0070C0"/>
          <w:sz w:val="16"/>
          <w:szCs w:val="16"/>
        </w:rPr>
        <w:softHyphen/>
        <w:t>жил с Яковлевым и приятельствовал с Б.Г. Шпитальным, пользовавшихся особым расположением И.В. Сталина), Ильюшин имел возможность получать как прямую поддержку, так и информацию о «настро</w:t>
      </w:r>
      <w:r w:rsidRPr="00271E51">
        <w:rPr>
          <w:rFonts w:ascii="Times New Roman" w:hAnsi="Times New Roman" w:cs="Times New Roman"/>
          <w:color w:val="0070C0"/>
          <w:sz w:val="16"/>
          <w:szCs w:val="16"/>
        </w:rPr>
        <w:softHyphen/>
        <w:t xml:space="preserve">ениях» и планах руководства в </w:t>
      </w:r>
      <w:r w:rsidRPr="00271E51">
        <w:rPr>
          <w:rFonts w:ascii="Times New Roman" w:hAnsi="Times New Roman" w:cs="Times New Roman"/>
          <w:color w:val="0070C0"/>
          <w:sz w:val="16"/>
          <w:szCs w:val="16"/>
        </w:rPr>
        <w:lastRenderedPageBreak/>
        <w:t>отноше</w:t>
      </w:r>
      <w:r w:rsidRPr="00271E51">
        <w:rPr>
          <w:rFonts w:ascii="Times New Roman" w:hAnsi="Times New Roman" w:cs="Times New Roman"/>
          <w:color w:val="0070C0"/>
          <w:sz w:val="16"/>
          <w:szCs w:val="16"/>
        </w:rPr>
        <w:softHyphen/>
        <w:t>нии тех или иных вопросов авиационного строительства. Как следствие, Ильюшин весьма объективно оценивал обстановку, в силу чего предпринимал вполне адек</w:t>
      </w:r>
      <w:r w:rsidRPr="00271E51">
        <w:rPr>
          <w:rFonts w:ascii="Times New Roman" w:hAnsi="Times New Roman" w:cs="Times New Roman"/>
          <w:color w:val="0070C0"/>
          <w:sz w:val="16"/>
          <w:szCs w:val="16"/>
        </w:rPr>
        <w:softHyphen/>
        <w:t>ватные шаги и достигал своей цел (19846).</w:t>
      </w:r>
    </w:p>
    <w:p w14:paraId="1F2E5985" w14:textId="77777777" w:rsidR="009B0A1D" w:rsidRPr="00271E51" w:rsidRDefault="009B0A1D" w:rsidP="00271E51">
      <w:pPr>
        <w:pStyle w:val="234"/>
        <w:shd w:val="clear" w:color="auto" w:fill="auto"/>
        <w:spacing w:line="240" w:lineRule="auto"/>
        <w:jc w:val="both"/>
        <w:rPr>
          <w:rFonts w:ascii="Times New Roman" w:hAnsi="Times New Roman" w:cs="Times New Roman"/>
          <w:color w:val="0070C0"/>
          <w:sz w:val="16"/>
          <w:szCs w:val="16"/>
        </w:rPr>
      </w:pPr>
    </w:p>
    <w:p w14:paraId="502D0374"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октября 1943 г.</w:t>
      </w:r>
    </w:p>
    <w:p w14:paraId="69EA658F"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приказа наркома авиационной промышленности СССР о дальнейшем улучшении летно-тактических данных штурмовика Ил-2</w:t>
      </w:r>
    </w:p>
    <w:p w14:paraId="604718C8"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октября 1943 г.</w:t>
      </w:r>
    </w:p>
    <w:p w14:paraId="228E97D6"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Сов.секретно</w:t>
      </w:r>
    </w:p>
    <w:p w14:paraId="5363A4CA"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целях дальнейшего улучшения летно-тактических данных бронированных штурмовиков Ил-2 ПРИКАЗЫВАЮ:</w:t>
      </w:r>
    </w:p>
    <w:p w14:paraId="30B5AE21"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Директору завода № 18 т. Белянскому:</w:t>
      </w:r>
    </w:p>
    <w:p w14:paraId="44E5EC2C"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закончить производством и выпустить на заводские летные испытания к 15/XI-1943 г. одноместный самолет Ил с мотором АМ-42, изготовляемый по приказу НКАП от 12/VII-1943 г. за № 414;</w:t>
      </w:r>
    </w:p>
    <w:p w14:paraId="43A23910"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по чертежам главного конструктора т. Ильюшина построить второй экземпляр самолета в двухместном варианте и выпустить его на заводские летные испытания к 10/XII-1943 г.</w:t>
      </w:r>
    </w:p>
    <w:p w14:paraId="4173F5ED"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 20/XI-1943 г. изготовить необходимые агрегаты самолета для статических испытаний.</w:t>
      </w:r>
    </w:p>
    <w:p w14:paraId="18AE5A25"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Заместителю Наркома т. Кузнецову В.П. и директору завода № 24 т. Жезлову обеспечить поставку моторов АМ-42 в следующие сроки:</w:t>
      </w:r>
    </w:p>
    <w:p w14:paraId="73C4F722"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заводу № 18 - 1 мотор к 15 октября с.г. и 1 мотор к 1 ноября с.г.</w:t>
      </w:r>
    </w:p>
    <w:p w14:paraId="6649CE4F"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Начальнику 14-го Главного Управления т. Дубову, директору завода № 35 т. Марочкину и главному конструктору т. Жданову спроектировать по техническим условиям главного конструктора т. Ильюшина, изготовить и передать:</w:t>
      </w:r>
    </w:p>
    <w:p w14:paraId="387C8963"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2 трехлопастных винта для самолетов Ил с мотором АМ-42 заводу № 18 не позднее 25 октября с.г.</w:t>
      </w:r>
    </w:p>
    <w:p w14:paraId="1CAF68E5"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Главному конструктору завода № 124 т. Воронину:</w:t>
      </w:r>
    </w:p>
    <w:p w14:paraId="1057C913"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изготовить 1 комплект водо- и маслорадиаторов для самолетов Ил с моторами АМ-42 по техническим условиям главного конструктора т. Ильюшина и направить их на завод № 18 не позднее 10/Х1-с.г.</w:t>
      </w:r>
    </w:p>
    <w:p w14:paraId="12C99401"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Начальнику 7-го Главного Управления т. Шишкину выделить необходимые средства для проведения работ на заводах № 1, 18.., указанных в настоящем приказе, за счет средств по плану опытного самолетостроения.</w:t>
      </w:r>
    </w:p>
    <w:p w14:paraId="5A3FA362"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Начальнику Финансового отдела т. Хавину выделить в распоряжение директора завода № 18 т. Белянского 200 тыс. руб. ... и главного конструктора т. Ильюшина 100 тыс. руб. для премирования особо отличившихся  работников указанных заводов и заводов-смежников за успешное выполнение заданий, предусмотренных в настоящем приказе.</w:t>
      </w:r>
    </w:p>
    <w:p w14:paraId="566BC935"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Народный Комиссар авиационной промышленности</w:t>
      </w:r>
      <w:r w:rsidRPr="00271E51">
        <w:rPr>
          <w:rFonts w:ascii="Times New Roman" w:hAnsi="Times New Roman"/>
          <w:color w:val="0070C0"/>
          <w:sz w:val="16"/>
          <w:szCs w:val="16"/>
        </w:rPr>
        <w:tab/>
        <w:t>А. Шахурин</w:t>
      </w:r>
    </w:p>
    <w:p w14:paraId="0012D199"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ГАСО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w:t>
      </w:r>
      <w:r w:rsidRPr="00271E51">
        <w:rPr>
          <w:rFonts w:ascii="Times New Roman" w:hAnsi="Times New Roman"/>
          <w:color w:val="0070C0"/>
          <w:sz w:val="16"/>
          <w:szCs w:val="16"/>
          <w:lang w:val="en-US"/>
        </w:rPr>
        <w:t xml:space="preserve">. P-3454. On. 1. </w:t>
      </w:r>
      <w:r w:rsidRPr="00271E51">
        <w:rPr>
          <w:rFonts w:ascii="Times New Roman" w:hAnsi="Times New Roman"/>
          <w:color w:val="0070C0"/>
          <w:sz w:val="16"/>
          <w:szCs w:val="16"/>
        </w:rPr>
        <w:t>Д</w:t>
      </w:r>
      <w:r w:rsidRPr="00271E51">
        <w:rPr>
          <w:rFonts w:ascii="Times New Roman" w:hAnsi="Times New Roman"/>
          <w:color w:val="0070C0"/>
          <w:sz w:val="16"/>
          <w:szCs w:val="16"/>
          <w:lang w:val="en-US"/>
        </w:rPr>
        <w:t xml:space="preserve">. 24. </w:t>
      </w:r>
      <w:r w:rsidRPr="00271E51">
        <w:rPr>
          <w:rFonts w:ascii="Times New Roman" w:hAnsi="Times New Roman"/>
          <w:color w:val="0070C0"/>
          <w:sz w:val="16"/>
          <w:szCs w:val="16"/>
        </w:rPr>
        <w:t>Л</w:t>
      </w:r>
      <w:r w:rsidRPr="00271E51">
        <w:rPr>
          <w:rFonts w:ascii="Times New Roman" w:hAnsi="Times New Roman"/>
          <w:color w:val="0070C0"/>
          <w:sz w:val="16"/>
          <w:szCs w:val="16"/>
          <w:lang w:val="en-US"/>
        </w:rPr>
        <w:t xml:space="preserve">. 75-76. </w:t>
      </w:r>
      <w:r w:rsidRPr="00271E51">
        <w:rPr>
          <w:rFonts w:ascii="Times New Roman" w:hAnsi="Times New Roman"/>
          <w:color w:val="0070C0"/>
          <w:sz w:val="16"/>
          <w:szCs w:val="16"/>
        </w:rPr>
        <w:t>Завер.копия (20527).</w:t>
      </w:r>
    </w:p>
    <w:p w14:paraId="6CFF77CD" w14:textId="77777777" w:rsidR="009B0A1D" w:rsidRPr="00271E51" w:rsidRDefault="009B0A1D" w:rsidP="00271E51">
      <w:pPr>
        <w:spacing w:after="0" w:line="240" w:lineRule="auto"/>
        <w:jc w:val="both"/>
        <w:rPr>
          <w:rFonts w:ascii="Times New Roman" w:hAnsi="Times New Roman"/>
          <w:color w:val="0070C0"/>
          <w:sz w:val="16"/>
          <w:szCs w:val="16"/>
        </w:rPr>
      </w:pPr>
    </w:p>
    <w:p w14:paraId="283FF95E" w14:textId="77777777" w:rsidR="003253B5" w:rsidRPr="00271E51" w:rsidRDefault="003253B5"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С 11 октября 1943 после выхода приказа НКАП № 594сс и поездки Ильюшина в Куйбышев работы по самолетам Ил-1 в одноместном и двухместном вариантах заметно ускорились. При этом завод № 18 передал заводу № 1 весь задел по одноместному самолету Ил-1 (в том числе и бронекорпус), а сам приступил к изготовлению деталей и агрегатов для двухместного варианта машины. Правда, эта мера заводу № 1 сильно не помогла. Сроки постройки самолета в очередной раз были сорваны. По оценке старшего военпреда на заводе инженер -майора С. С. Фатеева, «при таком темпе изготовление Ил-1 может быть закончено только в январе - феврале 1944 г.». Из-за неготовности стапелей и некомплектности сдаваемых деталей заготовительными цехами задерживались по сборке: крыло, рули поворота и высоты. Лонжероны крыла еще не собраны. Из готовых агрегатов к 20 ноября имелся только фюзеляж. Заканчивалось изготовление шасси, дорабатывался бронекорпус (17490).</w:t>
      </w:r>
    </w:p>
    <w:p w14:paraId="394E648A" w14:textId="77777777" w:rsidR="003253B5" w:rsidRPr="00271E51" w:rsidRDefault="003253B5" w:rsidP="00271E51">
      <w:pPr>
        <w:spacing w:after="0" w:line="240" w:lineRule="auto"/>
        <w:jc w:val="both"/>
        <w:rPr>
          <w:rFonts w:ascii="Times New Roman" w:hAnsi="Times New Roman"/>
          <w:color w:val="000000" w:themeColor="text1"/>
          <w:sz w:val="16"/>
          <w:szCs w:val="16"/>
        </w:rPr>
      </w:pPr>
    </w:p>
    <w:p w14:paraId="0F73D0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вышел приказ НКАП N595с:</w:t>
      </w:r>
    </w:p>
    <w:p w14:paraId="690D25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обследования прочности и процесса изготовления стыковых узлов самолета Ил-2, а также оказания тех. помощи заводу 30 по окончательной ликвидации имеющих место выпадов в качестве узлов назначить комиссию" (1747,47).</w:t>
      </w:r>
    </w:p>
    <w:p w14:paraId="3857FB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5180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г. после интенсивного обмена “мнениями” между заводом ОКБ и НКАП, директору авиазавода № 18 А.А.Белянскому приказом Наркома авиапромышленности А.И.Шахурина № 594 было поручено “...построить 2-х местный самолет Ил-2 АМ-42 к 10. 12. 43 г.”, а завод № 30 обязывался изготовить к 5 ноября 1943 г. “...для модифицированного самолета Ил-2 с мотором АМ-42 и передать Главному конструктору Ил-2 два центроплана, два комплекта металлических крыльев, хвостового оперения и два комплекта шасси” (9649).</w:t>
      </w:r>
    </w:p>
    <w:p w14:paraId="2BA9AD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CF4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Нач. ЦИАМ В.И.Поликовский писал письмо N 1245с НКАП А.И.Ш. (копия Зам. НКАП В.П.Кузнецову) по испытаниям высотных истребителей:</w:t>
      </w:r>
    </w:p>
    <w:p w14:paraId="7FAA7B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М-105ПД</w:t>
      </w:r>
    </w:p>
    <w:p w14:paraId="4A555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М-82ФН ТК-3</w:t>
      </w:r>
    </w:p>
    <w:p w14:paraId="47D411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МиГ АМ-39 и ТК-2Б (1783,215).</w:t>
      </w:r>
    </w:p>
    <w:p w14:paraId="2DADA7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D64E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4306 [О передаче завода № 55 НКАП Государственному институту реактивной техники при СНК СССР.] (7145, 143).</w:t>
      </w:r>
    </w:p>
    <w:p w14:paraId="0914DD5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7D24E9"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BFDB6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539D3"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 адрес Берии был направлен доклад из ГАБТУ:</w:t>
      </w:r>
    </w:p>
    <w:p w14:paraId="0DC815AB"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«По письму Народного комиссара Вооружения СССР т. Устинова от 6.10.43 года за №НВ-10/5070 докладываю:</w:t>
      </w:r>
    </w:p>
    <w:p w14:paraId="4FF3F592" w14:textId="77777777" w:rsidR="00B95E55" w:rsidRPr="00271E51" w:rsidRDefault="00B95E55" w:rsidP="00271E51">
      <w:pPr>
        <w:pStyle w:val="Bodytext141"/>
        <w:shd w:val="clear" w:color="auto" w:fill="auto"/>
        <w:tabs>
          <w:tab w:val="left" w:pos="478"/>
        </w:tabs>
        <w:spacing w:line="240" w:lineRule="auto"/>
        <w:ind w:firstLine="0"/>
        <w:jc w:val="both"/>
        <w:rPr>
          <w:i w:val="0"/>
          <w:color w:val="000000" w:themeColor="text1"/>
          <w:sz w:val="16"/>
          <w:szCs w:val="16"/>
        </w:rPr>
      </w:pPr>
      <w:r w:rsidRPr="00271E51">
        <w:rPr>
          <w:i w:val="0"/>
          <w:color w:val="000000" w:themeColor="text1"/>
          <w:sz w:val="16"/>
          <w:szCs w:val="16"/>
        </w:rPr>
        <w:t>1. Для опытных образцов изготовляемых в ЦАКБ НКВ могут быть от</w:t>
      </w:r>
      <w:r w:rsidRPr="00271E51">
        <w:rPr>
          <w:i w:val="0"/>
          <w:color w:val="000000" w:themeColor="text1"/>
          <w:sz w:val="16"/>
          <w:szCs w:val="16"/>
        </w:rPr>
        <w:softHyphen/>
        <w:t xml:space="preserve">пущены два танка типа </w:t>
      </w:r>
      <w:r w:rsidRPr="00271E51">
        <w:rPr>
          <w:i w:val="0"/>
          <w:color w:val="000000" w:themeColor="text1"/>
          <w:sz w:val="16"/>
          <w:szCs w:val="16"/>
          <w:lang w:val="en-US"/>
        </w:rPr>
        <w:t>KB</w:t>
      </w:r>
      <w:r w:rsidRPr="00271E51">
        <w:rPr>
          <w:i w:val="0"/>
          <w:color w:val="000000" w:themeColor="text1"/>
          <w:sz w:val="16"/>
          <w:szCs w:val="16"/>
        </w:rPr>
        <w:t>- 1с без вооружения и башни из капиталь</w:t>
      </w:r>
      <w:r w:rsidRPr="00271E51">
        <w:rPr>
          <w:i w:val="0"/>
          <w:color w:val="000000" w:themeColor="text1"/>
          <w:sz w:val="16"/>
          <w:szCs w:val="16"/>
        </w:rPr>
        <w:softHyphen/>
        <w:t xml:space="preserve">ного ремонта, так как новые танки </w:t>
      </w:r>
      <w:r w:rsidRPr="00271E51">
        <w:rPr>
          <w:i w:val="0"/>
          <w:color w:val="000000" w:themeColor="text1"/>
          <w:sz w:val="16"/>
          <w:szCs w:val="16"/>
          <w:lang w:val="en-US"/>
        </w:rPr>
        <w:t>KB</w:t>
      </w:r>
      <w:r w:rsidRPr="00271E51">
        <w:rPr>
          <w:i w:val="0"/>
          <w:color w:val="000000" w:themeColor="text1"/>
          <w:sz w:val="16"/>
          <w:szCs w:val="16"/>
        </w:rPr>
        <w:t>-1с больше не производятся.</w:t>
      </w:r>
    </w:p>
    <w:p w14:paraId="5D20C192" w14:textId="77777777" w:rsidR="00B95E55" w:rsidRPr="00271E51" w:rsidRDefault="00B95E55" w:rsidP="00271E51">
      <w:pPr>
        <w:pStyle w:val="Bodytext141"/>
        <w:shd w:val="clear" w:color="auto" w:fill="auto"/>
        <w:tabs>
          <w:tab w:val="left" w:pos="545"/>
        </w:tabs>
        <w:spacing w:line="240" w:lineRule="auto"/>
        <w:ind w:firstLine="0"/>
        <w:jc w:val="both"/>
        <w:rPr>
          <w:i w:val="0"/>
          <w:color w:val="000000" w:themeColor="text1"/>
          <w:sz w:val="16"/>
          <w:szCs w:val="16"/>
        </w:rPr>
      </w:pPr>
      <w:r w:rsidRPr="00271E51">
        <w:rPr>
          <w:i w:val="0"/>
          <w:color w:val="000000" w:themeColor="text1"/>
          <w:sz w:val="16"/>
          <w:szCs w:val="16"/>
        </w:rPr>
        <w:t>2. Также из капитального ремонта может быть отпущена одна само</w:t>
      </w:r>
      <w:r w:rsidRPr="00271E51">
        <w:rPr>
          <w:i w:val="0"/>
          <w:color w:val="000000" w:themeColor="text1"/>
          <w:sz w:val="16"/>
          <w:szCs w:val="16"/>
        </w:rPr>
        <w:softHyphen/>
        <w:t>ходная установка СУ-152.</w:t>
      </w:r>
    </w:p>
    <w:p w14:paraId="4CAEEE95" w14:textId="77777777" w:rsidR="00B95E55" w:rsidRPr="00271E51" w:rsidRDefault="00B95E55" w:rsidP="00271E51">
      <w:pPr>
        <w:pStyle w:val="Bodytext141"/>
        <w:shd w:val="clear" w:color="auto" w:fill="auto"/>
        <w:tabs>
          <w:tab w:val="left" w:pos="511"/>
        </w:tabs>
        <w:spacing w:line="240" w:lineRule="auto"/>
        <w:ind w:firstLine="0"/>
        <w:jc w:val="both"/>
        <w:rPr>
          <w:i w:val="0"/>
          <w:color w:val="000000" w:themeColor="text1"/>
          <w:sz w:val="16"/>
          <w:szCs w:val="16"/>
        </w:rPr>
      </w:pPr>
      <w:r w:rsidRPr="00271E51">
        <w:rPr>
          <w:i w:val="0"/>
          <w:color w:val="000000" w:themeColor="text1"/>
          <w:sz w:val="16"/>
          <w:szCs w:val="16"/>
        </w:rPr>
        <w:t xml:space="preserve">3. Чертежи общих видов и корпусов танка </w:t>
      </w:r>
      <w:r w:rsidRPr="00271E51">
        <w:rPr>
          <w:i w:val="0"/>
          <w:color w:val="000000" w:themeColor="text1"/>
          <w:sz w:val="16"/>
          <w:szCs w:val="16"/>
          <w:lang w:val="en-US"/>
        </w:rPr>
        <w:t>KB</w:t>
      </w:r>
      <w:r w:rsidRPr="00271E51">
        <w:rPr>
          <w:i w:val="0"/>
          <w:color w:val="000000" w:themeColor="text1"/>
          <w:sz w:val="16"/>
          <w:szCs w:val="16"/>
        </w:rPr>
        <w:t>-1с и СУ-152 могут быть отпущены Наркомтанкопромом, на что Народный Комиссар тов. Малышев дал согласие.</w:t>
      </w:r>
    </w:p>
    <w:p w14:paraId="6E039D39"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Танки "ИС" и чертежи на нах могут быть отпущены Наркомтанко</w:t>
      </w:r>
      <w:r w:rsidRPr="00271E51">
        <w:rPr>
          <w:i w:val="0"/>
          <w:color w:val="000000" w:themeColor="text1"/>
          <w:sz w:val="16"/>
          <w:szCs w:val="16"/>
        </w:rPr>
        <w:softHyphen/>
        <w:t>промом только после окончательного испытания танков и отработки чертежей, так как танки "ИС" в настоящее время изготовлены только в опытных образцах, проходят испытания и будут изготовляться только с ноября сего года» (17484).</w:t>
      </w:r>
    </w:p>
    <w:p w14:paraId="1BB37E68"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500528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г. танк "Объект 240" - такое условное наименование получил опыт</w:t>
      </w:r>
      <w:r w:rsidRPr="00271E51">
        <w:rPr>
          <w:rFonts w:ascii="Times New Roman" w:hAnsi="Times New Roman"/>
          <w:color w:val="000000" w:themeColor="text1"/>
          <w:sz w:val="16"/>
          <w:szCs w:val="16"/>
        </w:rPr>
        <w:softHyphen/>
        <w:t>ный образец будущего серийного танка ИС-122 (ИС-2) - был отправлен для артиллерийских испытаний на Гороховецкий полигон (10703).</w:t>
      </w:r>
    </w:p>
    <w:p w14:paraId="70ECFD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AF99A4" w14:textId="77777777" w:rsidR="009B0A1D" w:rsidRPr="00271E51" w:rsidRDefault="009B0A1D" w:rsidP="00271E51">
      <w:pPr>
        <w:shd w:val="clear" w:color="auto" w:fill="FFFFFF"/>
        <w:spacing w:after="0" w:line="240" w:lineRule="auto"/>
        <w:jc w:val="both"/>
        <w:rPr>
          <w:rStyle w:val="651"/>
          <w:rFonts w:ascii="Times New Roman" w:hAnsi="Times New Roman" w:cs="Times New Roman"/>
          <w:color w:val="0070C0"/>
          <w:sz w:val="16"/>
          <w:szCs w:val="16"/>
        </w:rPr>
      </w:pPr>
      <w:r w:rsidRPr="00271E51">
        <w:rPr>
          <w:rStyle w:val="651"/>
          <w:rFonts w:ascii="Times New Roman" w:hAnsi="Times New Roman" w:cs="Times New Roman"/>
          <w:color w:val="0070C0"/>
          <w:sz w:val="16"/>
          <w:szCs w:val="16"/>
        </w:rPr>
        <w:t>11 октября 1943 «Объ</w:t>
      </w:r>
      <w:r w:rsidRPr="00271E51">
        <w:rPr>
          <w:rStyle w:val="651"/>
          <w:rFonts w:ascii="Times New Roman" w:hAnsi="Times New Roman" w:cs="Times New Roman"/>
          <w:color w:val="0070C0"/>
          <w:sz w:val="16"/>
          <w:szCs w:val="16"/>
        </w:rPr>
        <w:softHyphen/>
        <w:t>ект 240» уехал на Гороховецкий АНИОП. Поэтому дульный тормоз пришлось высылать туда. На испытаниях вы</w:t>
      </w:r>
      <w:r w:rsidRPr="00271E51">
        <w:rPr>
          <w:rStyle w:val="651"/>
          <w:rFonts w:ascii="Times New Roman" w:hAnsi="Times New Roman" w:cs="Times New Roman"/>
          <w:color w:val="0070C0"/>
          <w:sz w:val="16"/>
          <w:szCs w:val="16"/>
        </w:rPr>
        <w:softHyphen/>
        <w:t>яснилось, что скорострельность Д-25Т со</w:t>
      </w:r>
      <w:r w:rsidRPr="00271E51">
        <w:rPr>
          <w:rStyle w:val="651"/>
          <w:rFonts w:ascii="Times New Roman" w:hAnsi="Times New Roman" w:cs="Times New Roman"/>
          <w:color w:val="0070C0"/>
          <w:sz w:val="16"/>
          <w:szCs w:val="16"/>
        </w:rPr>
        <w:softHyphen/>
        <w:t>ставляет 1-2 выстрела в минуту, а боевое от</w:t>
      </w:r>
      <w:r w:rsidRPr="00271E51">
        <w:rPr>
          <w:rStyle w:val="651"/>
          <w:rFonts w:ascii="Times New Roman" w:hAnsi="Times New Roman" w:cs="Times New Roman"/>
          <w:color w:val="0070C0"/>
          <w:sz w:val="16"/>
          <w:szCs w:val="16"/>
        </w:rPr>
        <w:softHyphen/>
        <w:t>деление тесновато. Особенно тесно было на месте командира. На испытаниях новый дульный тормоз треснул, поэтому требова</w:t>
      </w:r>
      <w:r w:rsidRPr="00271E51">
        <w:rPr>
          <w:rStyle w:val="651"/>
          <w:rFonts w:ascii="Times New Roman" w:hAnsi="Times New Roman" w:cs="Times New Roman"/>
          <w:color w:val="0070C0"/>
          <w:sz w:val="16"/>
          <w:szCs w:val="16"/>
        </w:rPr>
        <w:softHyphen/>
        <w:t>лось его улучшить. Вместе с тем, сама идея перевооружения танк на более мощное ору</w:t>
      </w:r>
      <w:r w:rsidRPr="00271E51">
        <w:rPr>
          <w:rStyle w:val="651"/>
          <w:rFonts w:ascii="Times New Roman" w:hAnsi="Times New Roman" w:cs="Times New Roman"/>
          <w:color w:val="0070C0"/>
          <w:sz w:val="16"/>
          <w:szCs w:val="16"/>
        </w:rPr>
        <w:softHyphen/>
        <w:t>дие была признана верной. 31 октября Ста</w:t>
      </w:r>
      <w:r w:rsidRPr="00271E51">
        <w:rPr>
          <w:rStyle w:val="651"/>
          <w:rFonts w:ascii="Times New Roman" w:hAnsi="Times New Roman" w:cs="Times New Roman"/>
          <w:color w:val="0070C0"/>
          <w:sz w:val="16"/>
          <w:szCs w:val="16"/>
        </w:rPr>
        <w:softHyphen/>
        <w:t>лин подписал постановление ГКО №4479сс «О тяжелом танке ИС-2 со 122 мм пушкой». Наконец-то советский тяжелый танк суще</w:t>
      </w:r>
      <w:r w:rsidRPr="00271E51">
        <w:rPr>
          <w:rStyle w:val="651"/>
          <w:rFonts w:ascii="Times New Roman" w:hAnsi="Times New Roman" w:cs="Times New Roman"/>
          <w:color w:val="0070C0"/>
          <w:sz w:val="16"/>
          <w:szCs w:val="16"/>
        </w:rPr>
        <w:softHyphen/>
        <w:t>ственно превзошел танки среднего класса по огневой мощи (19874).</w:t>
      </w:r>
    </w:p>
    <w:p w14:paraId="1EA61B12" w14:textId="77777777" w:rsidR="009B0A1D" w:rsidRPr="00271E51" w:rsidRDefault="009B0A1D" w:rsidP="00271E51">
      <w:pPr>
        <w:pStyle w:val="234"/>
        <w:shd w:val="clear" w:color="auto" w:fill="auto"/>
        <w:spacing w:line="240" w:lineRule="auto"/>
        <w:jc w:val="both"/>
        <w:rPr>
          <w:rFonts w:ascii="Times New Roman" w:hAnsi="Times New Roman" w:cs="Times New Roman"/>
          <w:color w:val="0070C0"/>
          <w:sz w:val="16"/>
          <w:szCs w:val="16"/>
        </w:rPr>
      </w:pPr>
    </w:p>
    <w:p w14:paraId="4EBA3CF5"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11-14 октября 1943 опытный образец машины ИС-122 прошёл заводские испытания. Далее последовали испытания сначала на Гороховецком артиллерийском научно-испытательном опытном полигоне (АНИОП), а затем на НИБТ Полигоне в Кубинке. 6 ноября 1943 года ИСУ-152 приняли на вооружение Красной армии (18335).</w:t>
      </w:r>
    </w:p>
    <w:p w14:paraId="59C15C18" w14:textId="77777777" w:rsidR="00D72105" w:rsidRPr="00271E51" w:rsidRDefault="00D72105" w:rsidP="00271E51">
      <w:pPr>
        <w:spacing w:after="0" w:line="240" w:lineRule="auto"/>
        <w:jc w:val="both"/>
        <w:rPr>
          <w:rFonts w:ascii="Times New Roman" w:hAnsi="Times New Roman"/>
          <w:color w:val="000000" w:themeColor="text1"/>
          <w:sz w:val="16"/>
          <w:szCs w:val="16"/>
        </w:rPr>
      </w:pPr>
    </w:p>
    <w:p w14:paraId="69F6DD6E" w14:textId="77777777" w:rsidR="0040563E" w:rsidRPr="00271E51" w:rsidRDefault="0040563E" w:rsidP="00271E51">
      <w:pPr>
        <w:pStyle w:val="ae"/>
        <w:spacing w:before="0" w:after="0"/>
        <w:jc w:val="both"/>
        <w:textAlignment w:val="baseline"/>
        <w:rPr>
          <w:color w:val="000000" w:themeColor="text1"/>
          <w:sz w:val="16"/>
          <w:szCs w:val="16"/>
        </w:rPr>
      </w:pPr>
      <w:r w:rsidRPr="00271E51">
        <w:rPr>
          <w:color w:val="000000" w:themeColor="text1"/>
          <w:sz w:val="16"/>
          <w:szCs w:val="16"/>
        </w:rPr>
        <w:t>11 октября 1943 Объект 240 направили на Гороховецкий артиллерийский научно-испытательный опытный полигон (АНИОП) для прохождения испытаний стрельбой. Дульный тормоз срочно был отправлен из Свердловска прямо в Мулино.</w:t>
      </w:r>
    </w:p>
    <w:p w14:paraId="3E99C790" w14:textId="77777777" w:rsidR="0040563E" w:rsidRPr="00271E51" w:rsidRDefault="0040563E" w:rsidP="00271E51">
      <w:pPr>
        <w:pStyle w:val="ae"/>
        <w:spacing w:before="0" w:after="0"/>
        <w:jc w:val="both"/>
        <w:textAlignment w:val="baseline"/>
        <w:rPr>
          <w:color w:val="000000" w:themeColor="text1"/>
          <w:sz w:val="16"/>
          <w:szCs w:val="16"/>
        </w:rPr>
      </w:pPr>
      <w:r w:rsidRPr="00271E51">
        <w:rPr>
          <w:color w:val="000000" w:themeColor="text1"/>
          <w:sz w:val="16"/>
          <w:szCs w:val="16"/>
        </w:rPr>
        <w:t>На Гороховецкий АНИОП Объект 240 прибыл 18 октября 1943 года, на следующий день поступил и дульный тормоз.</w:t>
      </w:r>
    </w:p>
    <w:p w14:paraId="2C89A9CB" w14:textId="77777777" w:rsidR="0040563E" w:rsidRPr="00271E51" w:rsidRDefault="0040563E"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В отчёте АНИОП указано, что система Д-25Т представляла собой наложение укороченного на 245 мм ствола А-19 на люльку Д-5Т. Очевидно, это ошибка. Как уже </w:t>
      </w:r>
      <w:r w:rsidRPr="00271E51">
        <w:rPr>
          <w:color w:val="000000" w:themeColor="text1"/>
          <w:sz w:val="16"/>
          <w:szCs w:val="16"/>
        </w:rPr>
        <w:lastRenderedPageBreak/>
        <w:t>рассказывалось выше, при разработке Д-25 использовался ствол от Д-2. Отсюда, собственно, и обозначение системы (Д-25 — Д-2 на люльке Д-5, аналогичное обозначение получила система Д-15, то есть Д-1 на люльке Д-5). От А-19 система заимствовала боеприпасы, баллистику и поршневой затвор, сама же труба ствола была иная.</w:t>
      </w:r>
    </w:p>
    <w:p w14:paraId="3843995A" w14:textId="77777777" w:rsidR="0040563E" w:rsidRPr="00271E51" w:rsidRDefault="0040563E" w:rsidP="00271E51">
      <w:pPr>
        <w:pStyle w:val="ae"/>
        <w:spacing w:before="0" w:after="0"/>
        <w:jc w:val="both"/>
        <w:textAlignment w:val="baseline"/>
        <w:rPr>
          <w:color w:val="000000" w:themeColor="text1"/>
          <w:sz w:val="16"/>
          <w:szCs w:val="16"/>
        </w:rPr>
      </w:pPr>
      <w:r w:rsidRPr="00271E51">
        <w:rPr>
          <w:color w:val="000000" w:themeColor="text1"/>
          <w:sz w:val="16"/>
          <w:szCs w:val="16"/>
        </w:rPr>
        <w:t>Интересно, что цифры по полной длине ствола отличаются: в инструкции по эксплуатации указаны 5850 мм, а в отчёте — 5924 мм. Разница в длине ствола без дульного тормоза составляла 130 мм, то есть чуть больше калибра орудия.</w:t>
      </w:r>
    </w:p>
    <w:p w14:paraId="145EEBE9" w14:textId="77777777" w:rsidR="0040563E" w:rsidRPr="00271E51" w:rsidRDefault="0040563E" w:rsidP="00271E51">
      <w:pPr>
        <w:pStyle w:val="ae"/>
        <w:spacing w:before="0" w:after="0"/>
        <w:jc w:val="both"/>
        <w:textAlignment w:val="baseline"/>
        <w:rPr>
          <w:color w:val="000000" w:themeColor="text1"/>
          <w:sz w:val="16"/>
          <w:szCs w:val="16"/>
        </w:rPr>
      </w:pPr>
      <w:r w:rsidRPr="00271E51">
        <w:rPr>
          <w:color w:val="000000" w:themeColor="text1"/>
          <w:sz w:val="16"/>
          <w:szCs w:val="16"/>
        </w:rPr>
        <w:t>В связи со спешкой первоначальную программу испытаний пришлось менять. На огневые испытания отводилось всего 3 дня. Для ускорения процесса ещё 16 числа были подобраны заряды. 18 октября систему разобрали и обмерили, а на следующий день начались стрельбы. Орудие уже было не новым: к началу испытаний на его счету имелось 172 боевых выстрела, из них большую часть сделали ещё в тот период, когда ствол принадлежал Д-2. В период с 19 по 21 октября было произведено 400 выстрелов, огонь вёлся на нормальном и усиленном зарядах, применялись как бронебойные, так и осколочно-фугасные снаряды. Выяснилось, что начальная скорость снаряда ниже, чем у А-19, на 2,2-2,65% — на эту разницу повлияла как разная длина ствола, так и то, что ствол испытываемой системы был не новым. К концу стрельб начальная скорость снизилась на 1%, что было в пределах нормы. Позже число произведённых из новой пушки выстрелов увеличилось до 474: 214 на усиленном заряде, 213 на полном и 47 на заряде №3 (17717).</w:t>
      </w:r>
    </w:p>
    <w:p w14:paraId="188D17CC" w14:textId="77777777" w:rsidR="0040563E" w:rsidRPr="00271E51" w:rsidRDefault="0040563E" w:rsidP="00271E51">
      <w:pPr>
        <w:spacing w:after="0" w:line="240" w:lineRule="auto"/>
        <w:jc w:val="both"/>
        <w:rPr>
          <w:rFonts w:ascii="Times New Roman" w:hAnsi="Times New Roman"/>
          <w:color w:val="000000" w:themeColor="text1"/>
          <w:sz w:val="16"/>
          <w:szCs w:val="16"/>
        </w:rPr>
      </w:pPr>
    </w:p>
    <w:p w14:paraId="77D6B1E4" w14:textId="77777777" w:rsidR="00D72105" w:rsidRPr="00271E51" w:rsidRDefault="00D7210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несмотря на все проблемы, темпы работ по ИС-152 немного опережали график. Сборку предполагалось завершить 12 октября, но на заводе №100 смогли сделать это на день раньше. С 11 по 14 октября машина прошла заводские испытания стрельбой и проехала 105 километров. Первые километры машина двигалась без поручней на рубке, их установили перед отправкой на полигонные испытания. По конструкции поручни были очень похожи на те, что ставились на СУ-152 (17171).</w:t>
      </w:r>
    </w:p>
    <w:p w14:paraId="02736E4B" w14:textId="77777777" w:rsidR="00D72105" w:rsidRPr="00271E51" w:rsidRDefault="00D72105" w:rsidP="00271E51">
      <w:pPr>
        <w:spacing w:after="0" w:line="240" w:lineRule="auto"/>
        <w:jc w:val="both"/>
        <w:rPr>
          <w:rFonts w:ascii="Times New Roman" w:hAnsi="Times New Roman"/>
          <w:color w:val="000000" w:themeColor="text1"/>
          <w:sz w:val="16"/>
          <w:szCs w:val="16"/>
        </w:rPr>
      </w:pPr>
    </w:p>
    <w:p w14:paraId="215AED7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4302 [Об освобождении НКМФ от перевозки лесоматериалов из Архангельска на Бакарицу и возложении этих перевозок на Северное речное пароходство НКРФ.] (7145, 139).</w:t>
      </w:r>
    </w:p>
    <w:p w14:paraId="3854CD3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29A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4303. О поставке лесоматериалов на восстановление СТЗ.РГАНИР, Фонд ГКО, д. 162, лл. 140 (11012).</w:t>
      </w:r>
    </w:p>
    <w:p w14:paraId="03F5EF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BCE6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4304 [О прекращении работ по возведению причала, склада и 30 деревянных барж на р. Мсте.] (7145, 141).</w:t>
      </w:r>
    </w:p>
    <w:p w14:paraId="33291E1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74B4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4305. О мобилизации через НКО рабочей силы для восстановления Славянского арматурно-изоляторного завода имени Артема НКЭС.РГАНИР, Фонд ГКО, д. 162, лл. 142 (11012).</w:t>
      </w:r>
    </w:p>
    <w:p w14:paraId="573D38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E2FF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4307 [О мобилизации 350 пеших рабочих и 115 возчиков с подводами в Вологодской и Архангельской обл. для работ на сооружениях Мариинской системы и реках Сухона и Малая Северная Двина.] (7145, 144).</w:t>
      </w:r>
    </w:p>
    <w:p w14:paraId="3544173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3A663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4308 [О поставке лесоматериалов на восстановление металлургических и коксохимических заводов Донбасса.] (7145, 145).</w:t>
      </w:r>
    </w:p>
    <w:p w14:paraId="2B6FA3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3DB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вышло Распоряжение ГКО № 4309 [О подготовке зоны затопления в районе строительства Верхне-Волжского бейшлота.] (7145, 146-147,148).</w:t>
      </w:r>
    </w:p>
    <w:p w14:paraId="647162C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7885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96765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55F1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11 октября </w:t>
      </w:r>
      <w:r w:rsidRPr="00271E51">
        <w:rPr>
          <w:rFonts w:ascii="Times New Roman" w:hAnsi="Times New Roman"/>
          <w:color w:val="000000" w:themeColor="text1"/>
          <w:sz w:val="16"/>
          <w:szCs w:val="16"/>
        </w:rPr>
        <w:t>в 1943 году утреннее сообщение Совинформбюро:</w:t>
      </w:r>
    </w:p>
    <w:p w14:paraId="6F0CDD4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наши войска продолжали вести бои по расширению плацдармов на правом берегу реки в прежних районах и на отдельных участках значительно улучшили свои позиции.</w:t>
      </w:r>
    </w:p>
    <w:p w14:paraId="5B90C46E"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на левом берегу реки Сож овладели железнодорожным узлом и пригородом города Гомель — Hobo-Белица, а также заняли несколько населённых пунктов, в том числе РОмановичи, Якубовка, Севрюки.</w:t>
      </w:r>
    </w:p>
    <w:p w14:paraId="5BCC8441"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заняли более 40 населенных пунктов, втом числе Самосадки, Свирбы, Добромысль, Новая Земля, Янковщина, Литвиново.</w:t>
      </w:r>
    </w:p>
    <w:p w14:paraId="4FFA98B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октября наши войска на всех фронтах подбили и уничтожили 126 немецких танков. В воздушных боях и огнём зенитной артиллерии сбито 85 самолётов противника.</w:t>
      </w:r>
    </w:p>
    <w:p w14:paraId="5BC17BEC"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в одном районе части Н-ского соединения в ожесточённых боях шаг за шагом расширяют занятый плацдарм. В течение дня противник предпринял пять контратак силами пехоты, поддержанной танками, самоходными орудиями и авиацией. В этих бесплодных контратаках гитлеровцы понесли тяжёлые потери. Уничтожено свыше 1.000 немецких солдат и офицеров. Огнём нашей артиллерии и гвардейцев-миномётчиков сожжено 29 и подбито 19 вражеских танков. В другом районе противник артиллерийским огнём пытался задержать продвижение наших войск. Советские лётчики мощным ударом подавили огневые средства немцев. Наша пехота и танки перешли в атаку и значительно улучшили свои позиции.</w:t>
      </w:r>
    </w:p>
    <w:p w14:paraId="28BBE59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сломив упорное сопротивление противника, продвинулись вперёд и заняли железнодорожный узел Ново-Белица. Левый берег реки Сож очищен от немецко-фашистских захватчиков. В этих боях части Н-ского соединения уничтожили до полка немецкой пехоты. Захвачены трофеи, в том числе 16 орудий и 4 артиллерийских склада. На других участках наши войска, с боями продвигаясь вперёд, заняли ряд населённых пунктов.</w:t>
      </w:r>
    </w:p>
    <w:p w14:paraId="4B6408C1"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Части Н-ского соединения стремительно продвинулись вперёд и заняли 32 населённых пункта. Уничтожено 800 немецких солдат и офицеров, 2 танка и 18 орудий. Захвачены трофеи и пленные. На другом участке наши войска, развивая наступление, заняли ряд населённых пунктов, в том числе важный узел грунтовых дорог и опорный пункт немцев Добромысль. За день боёв уничтожено до 500 немецких солдат и офицеров. Захвачено 19 орудий, 86 пулемётов, 8 миномётов, 2 склада боеприпасов, склады с продовольствием и военным имуществом.</w:t>
      </w:r>
    </w:p>
    <w:p w14:paraId="57B0BCB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освободили 40.000 мирных советских жителей, которых немцы угоняли на каторжные работы в Германию.</w:t>
      </w:r>
    </w:p>
    <w:p w14:paraId="324481D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и зенитчики в течение дня уничтожили 39 немецких самолётов. Лётчики-истребители части под командованием гвардии подполковника Родионова в ожесточённых воздушных боях сбили 18 вражеских самолётов, не потеряв со своей стороны ни одной машины.</w:t>
      </w:r>
    </w:p>
    <w:p w14:paraId="0935C1E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нанесён удар по одному из портов противника. В результате налёта прямым попаданием бомбы потоплен транспорт водоизмещением в 2.000 тонн. Потоплены также 11 десантных барж и катер противника. Многим другим судам, стоявшим в порту, нанесены серьёзные повреждения.</w:t>
      </w:r>
    </w:p>
    <w:p w14:paraId="6E5CF94F"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Полесской области, 3 октября напал на ненецкий обоз с вооружением и боеприпасами. Гитлеровцы были застигнуты врасплох и понесли значительные потери. Советские патриоты захватили 50 автоматов, 74 винтовки и 5 повозок с патронами. Партизаны другого полесского отряда в течение месяца подорвали 96 немецких автомашин и истребили до 200 гитлеровцев. Кроме того, партизаны пустили под откос воинский эшелон противника.</w:t>
      </w:r>
    </w:p>
    <w:p w14:paraId="7FD53A9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 сторону Красной Армии перешла группа солдат о немецкой пехотной дивизии. Перебежчик Генрих Л. рассказал: «На Восточном фронте янаходился всего один день. Седьмого октября я прибыл из Франции, где служил в 754 полку 334 пехотной дивизии, охранявшей побережье в районе Бордо. Запоследние месяцы большое количество солдат и офицеров из нашего гарнизона отправлено в Россию. Только в сентябре из полков дивизии были посланы три маршевых батальона по 1.000 человек в каждом. Поражения немецкой армии на Восточном фронте вызывают большое беспокойство и тревогу среди немецких солдат, находящихся во Франции. Командир нашей роты как-то сказал одному офицеру: «Немецкая армия уже не может делать то, что она хочет, и делает лишь то, к чему её вынуждают русские. Видно по всему, что дело идёт к печальной для нас развязке».</w:t>
      </w:r>
    </w:p>
    <w:p w14:paraId="3235AC7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своего хозяйничанья в селе Жихов, Сумской области, немецко-фашистские мерзавцы замучили и убили многих ни в чём не повинных жителей. Только в начале марта 1943 года гитлеровские палачи, после мучительных пыток, расстреляли 140 человек. Многие мужчины и женщины насильно увезены в немецкую неволю. Накануне отступления фашистские изверги разрушили село. Они сожгли 580 жилых домов. Во всём селе уцелело лишь несколько зданий.» (14796).</w:t>
      </w:r>
    </w:p>
    <w:p w14:paraId="50262393"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622FB02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11 октября </w:t>
      </w:r>
      <w:r w:rsidRPr="00271E51">
        <w:rPr>
          <w:rFonts w:ascii="Times New Roman" w:hAnsi="Times New Roman"/>
          <w:color w:val="000000" w:themeColor="text1"/>
          <w:sz w:val="16"/>
          <w:szCs w:val="16"/>
        </w:rPr>
        <w:t>в 1943 году приказом Ставки ВГК создан Прибалтийский фронт (14796).</w:t>
      </w:r>
    </w:p>
    <w:p w14:paraId="5A854AF0"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4698CEA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в СССР учрежден орден Богдана Хмельницкого (4962).</w:t>
      </w:r>
    </w:p>
    <w:p w14:paraId="6F3D957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CEA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11 октября 1943 1 Польская дивизия им. Т.Костюшко в составе 33А ЗФ под с Ленино вступила в первый бой (3398,356).</w:t>
      </w:r>
    </w:p>
    <w:p w14:paraId="26CACD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27750"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11 октября </w:t>
      </w:r>
      <w:r w:rsidRPr="00271E51">
        <w:rPr>
          <w:rFonts w:ascii="Times New Roman" w:hAnsi="Times New Roman"/>
          <w:color w:val="000000" w:themeColor="text1"/>
          <w:sz w:val="16"/>
          <w:szCs w:val="16"/>
        </w:rPr>
        <w:t>в 1943 году 1-я Польская дивизия имени Т.Костюшко (полковник 3.Берлинг) в составе 33-й армии Западного фронта под селом Ленино вступила в свой первый бой (14796).</w:t>
      </w:r>
    </w:p>
    <w:p w14:paraId="09E81ABF"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2856CD5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50FF5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C73A7A"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 октября 1943 подполковник Нил E Кирби ведущий четырех P-47 Громовержцев проводит разведывательный полет над японскими объектами вблизи Wewak, Новая Гвинея. Сбивает японский истребитель, а затем ведет свои четыре P-47 в атаку на 12 японских бомбардировщиков в сопровождении 36 истребителей. Он быстро сбивает еще три японских самолета, затем приходит на помощь P-47, которого преследуют два японских истребителя, стреляя в оба японских самолета. Все четыре P-47 благополучно возвращаются. За сбитие шести самолетов противника в одном задании Кирби получит Почетную медаль (20376).</w:t>
      </w:r>
    </w:p>
    <w:p w14:paraId="1D1B30CA" w14:textId="77777777" w:rsidR="009B0A1D" w:rsidRPr="00271E51" w:rsidRDefault="009B0A1D" w:rsidP="00271E51">
      <w:pPr>
        <w:spacing w:after="0" w:line="240" w:lineRule="auto"/>
        <w:jc w:val="both"/>
        <w:rPr>
          <w:rFonts w:ascii="Times New Roman" w:hAnsi="Times New Roman"/>
          <w:color w:val="0070C0"/>
          <w:sz w:val="16"/>
          <w:szCs w:val="16"/>
        </w:rPr>
      </w:pPr>
    </w:p>
    <w:p w14:paraId="7044050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октября 1943 немецкие подлодки заминировали вход в Панамский канал (4962).</w:t>
      </w:r>
    </w:p>
    <w:p w14:paraId="7C8222D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F02E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9EE9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2ED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Дементьев и Репин писали директору завода 1 Третьякову и нач. упр. заказов ВВС г-л Селезневу письмо N 2500:</w:t>
      </w:r>
    </w:p>
    <w:p w14:paraId="56CC94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длительной проверки в эксплуатации разрешается выпустить 50 машин Ил-2 с неалитированными патрубками С-20.</w:t>
      </w:r>
    </w:p>
    <w:p w14:paraId="017AA2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1 Третьякову установить совместно с ВВС наблюдение за эксплуатацией неалитированных патрубков (1754,57).</w:t>
      </w:r>
    </w:p>
    <w:p w14:paraId="58AB08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51D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Нач. НИИ ВВС г-м Гуревич письмом N 011990 сообщил, что фактическая сила отдачи пушки 11-П 37 мм установленной на самолете Ил-2 равна 5500 кг (1775,210).</w:t>
      </w:r>
    </w:p>
    <w:p w14:paraId="0BEF7B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8D0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 48 гв. полку дальних разведчиков ГК КА на Степном фронте на аэродромах Основа (Харьков) и Полтава закончились войсковые испытания Як-9Р, которые начались 23 сентября 1943. Ставили АФА-3С/50. Оказался хуже Пе-2, так как не было хорошего обзора и л ничего не мог записать сам. В серию рекомендовали для применения в условиях сильного противодействия ПВО (65,129).</w:t>
      </w:r>
    </w:p>
    <w:p w14:paraId="390816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F90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вышел приказ НКАП N 602с, связанный с нестабильностью работы карбюратора АК-82БП, который произвольно изменял режим работы мотора М-82Ф (1780).</w:t>
      </w:r>
    </w:p>
    <w:p w14:paraId="35593C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B4C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Распоряжение ГКО № 4316. О поставках воздухоплавательного имущества для войск ПВО и ВВС НКВМФ в IV кв.1943г.РГАНИР, Фонд ГКО, д. 162, лл. 273-274, 275-281 (11012).</w:t>
      </w:r>
    </w:p>
    <w:p w14:paraId="044280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1EFC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A97A5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BF243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 из ПРОТОКОЛА КОМИССИИ НОВОСИБИРСКОГО ОБКОМА ВКП(б) ПО ПРОВЕРКЕ ВЫПОЛНЕНИЯ ПОСТАНОВЛЕНИЯ ОТ 12 ИЮЛЯ 1943 г. «О ПЕРЕВОДЕ ЗАВОДОВ № 635 И № 386 НА ВОЕННОЕ ПОЛОЖЕНИЕ И МЕРАХ ПО СОЗДАНИЮ УСЛОВИЙ ИХ БЕЗОПАСНОЙ РАБОТЫ И ПРОВЕРКЕ ПОДГОТОВКИ ЗАВОДОВ К ЗИМЕ»</w:t>
      </w:r>
    </w:p>
    <w:p w14:paraId="3DDC83C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проверки положения дел на месте комиссия установила, что все необходимые и чрезвычайные меры, о которых говорилось в решении обкома ВКП(б) от 12 июля, по заводам не проведены, вследствие чего особая опасность могущего возникнуть бедствия не ликвидирована. Склады взрывчатых веществ с производственной территории не переводятся до окончания строительства линии широкой колеи на площадку строящихся базисных складов, которая в настоящее время готова только на 30%. Кроме того, и сейчас на самом заводе вблизи территории существующих складских помещений, в непосредственной близости от котельной выложено около 50 тонн отходов ВВ, предназначенных для отгрузки, которые никем не охраняются, и, больше того, штабель с ВВ выложен в той стороне котельной, куда выбрасывается горячий шлак из топок котлов. Обвалование погребков для хранения ВВ и взрывоопасных зданий только по первой очереди выполнено на 73% и от полного объема работ только на 55%, кроме того, законченные валы в отступлении от проекта имеют по верху ширину 30—40 см при необходимой ширине в один метр. Это является недопустимым, так как создается малая массивность верхней части вала, выполняющего роль локализирующего взрывную ударную волну экрана. И, наконец, некоторые валы насыпаны ниже проекта на 0,30-0,40 метров. Таким образом, произведенная обваловка выполняет роль бутафории, а не защиты и дополнительная подсыпка земли должна быть значительной, однако и в настоящее время, несмотря на все предупреждения УВС-3, у 110 зданий вал насыпается без достаточной трамбовки и с той же шириной бермы в 30-40 см вместо 1 метра, т.е. в 2,5-3 раза уже, чем это необходимо по условиям безопасности.</w:t>
      </w:r>
    </w:p>
    <w:p w14:paraId="4FB76B0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 - 4. Оп. в. Д. 482. Л. 42. Подлинник (12193).</w:t>
      </w:r>
    </w:p>
    <w:p w14:paraId="4A92360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62E6FE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 ПРОЕКТ ПОСТАНОВЛЕНИЯ БЮРО НОВОСИБИРСКОГО ОБКОМА ВКП(б) «О СРЫВЕ СРОКОВ СТРОИТЕЛЬНЫХ РАБОТ, СВЯЗАННЫХ С ЛИКВИДАЦИЕЙ АВАРИЙНОГО СОСТОЯНИЯ И ПЕРЕВОДОМ НА ВОЕННОЕ ПОЛОЖЕНИЕ ЗАВОДОВ № 635 И № 386»</w:t>
      </w:r>
    </w:p>
    <w:p w14:paraId="1E87927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Проверкой установлено, что утвержденные 12 июля 1943 года обкомом ВКП(б) сроки строительных работ, связанные с ликвидацией создавшегося на заводах № 635 и № 386 аварийного состояния и переводом их на военное положение, СибОВСУ (т. Дворкиным) сорваны. Аварийное состояние заводов, угрожающее их сохранности, не ликвидировано, охранные мероприятия в жизнь не проведены, к зиме оба завода не подготовлены, в связи с чем подвергаются опасности полной остановки вследствие могущих возникнуть с наступлением морозов аварий в совершенно неприспособленном к работе в зимних условиях энергетическом хозяйстве. Бойцы воинской части, охраняющей завод, теплыми казармами не обеспечены.</w:t>
      </w:r>
    </w:p>
    <w:p w14:paraId="520B874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Бюро обкома ВКП(б) ПОСТАНОВЛЯЕТ:</w:t>
      </w:r>
    </w:p>
    <w:p w14:paraId="1F51554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Начальнику СибОВСУ т. Дворкину за срыв особо важных строительных работ по заводам № 635 и № 386, игнорирование решения бюро обкома ВКП(б) от 12 июля 1943 года, неправильную информацию бюро о состоянии дел в УВС-3, скрывавшую маломощность и неспособность справиться с необходимым объемом первоочередных строительных работ,- объявить строгий выговор с занесением в личное дело.</w:t>
      </w:r>
    </w:p>
    <w:p w14:paraId="0E42791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Предложить облпрокурору т. Румянцеву привлечь к судебной ответственности начальника ОКСа завода № 635 т. Вреус за халатное отношение к делу, срыв подготовительных работ, несвоевременную выдачу документации, попустительство бракоделам и неиспользование всех возможностей по развертыванию строительства хозяйственным способом.</w:t>
      </w:r>
    </w:p>
    <w:p w14:paraId="272D16F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т. Дворкина немедленно принять все исчерпывающие меры и выполнить первоочередные строительные работы по заводам № 635 и № 386, связанные с окончательной ликвидацией аварийного положения и подготовкой их к зиме (согласно приложению).</w:t>
      </w:r>
    </w:p>
    <w:p w14:paraId="07D6DBD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Предупредить т. Дворкина, что обком ВКП(б) не потерпит дальнейшего срыва хотя бы одного из установленных сроков по заводам № 635 и № 386 и, если это случится, он будет исключен из партии и предан суду военного трибунала.</w:t>
      </w:r>
    </w:p>
    <w:p w14:paraId="58BDC13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Новосибирского обкома ВКП(б) М. Кулагин</w:t>
      </w:r>
    </w:p>
    <w:p w14:paraId="02A9641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6. Д. 482. Л. 75-76. Копия.</w:t>
      </w:r>
    </w:p>
    <w:p w14:paraId="3770D64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Один из экземпляров машинописной закладки. В верхнем левом углу черными чернилами: «т. Степанову» (12193).</w:t>
      </w:r>
    </w:p>
    <w:p w14:paraId="7ED8AC5E"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95995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 была подготовлена ДОКЛАДНАЯ ЗАПИСКА НКТП И КОМАНДУЮЩЕГО БТ и МВ КА ЧЛЕНУ ГКО Л.П. БЕРИИ ПО КОНСТРУКЦИИ ПОДДЕРЖИВАЮЩИХ КАТКОВ ТАНКА Т-34 №1153921</w:t>
      </w:r>
    </w:p>
    <w:p w14:paraId="5CD492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поддерживающие катки танка Т-34 устанавливаются бандажи с резино</w:t>
      </w:r>
      <w:r w:rsidRPr="00271E51">
        <w:rPr>
          <w:rFonts w:ascii="Times New Roman" w:hAnsi="Times New Roman"/>
          <w:color w:val="000000" w:themeColor="text1"/>
          <w:sz w:val="16"/>
          <w:szCs w:val="16"/>
        </w:rPr>
        <w:softHyphen/>
        <w:t>вым массивом, имеющим вентиляционные отверстия (рецепта гр. 80).</w:t>
      </w:r>
    </w:p>
    <w:p w14:paraId="6204CE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бандажи не обеспечивают надежной работы катка из-за разрушения резинового массива и лимитируют движение танка на высоких скоростях.</w:t>
      </w:r>
    </w:p>
    <w:p w14:paraId="6D6E3A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августа по 10 сентября НИБТ полигон ГБТУ КА совместно с НИИ шинной промышленности НКРП проводили испытания танков Т-34 с бандажами катков из различных марок резины.</w:t>
      </w:r>
    </w:p>
    <w:p w14:paraId="38CA03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выяснилось, что за 210 км пробега 43% серийных катков, имеющих резиновый массив рецепта гр. 80, вышли из строя, в то время как катки с опытными бандажами с резиновым массивом без вентиляционных отверстий рецепта 120с за 2000 км пробега не имели ни одного случая выхода из строя.</w:t>
      </w:r>
    </w:p>
    <w:p w14:paraId="38EF67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Таким образом, поддерживающие катки с резиновым массивом рецепта 120с без вентиляционных отверстий с гладкой наружной поверхностью вполне обеспечивают гарантийный километрах танка Т-34.</w:t>
      </w:r>
    </w:p>
    <w:p w14:paraId="5363FC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просим Ваших указаний Наркомрезинпрому (т. Митрохину) о поставке танко</w:t>
      </w:r>
      <w:r w:rsidRPr="00271E51">
        <w:rPr>
          <w:rFonts w:ascii="Times New Roman" w:hAnsi="Times New Roman"/>
          <w:color w:val="000000" w:themeColor="text1"/>
          <w:sz w:val="16"/>
          <w:szCs w:val="16"/>
        </w:rPr>
        <w:softHyphen/>
        <w:t>строительным заводам НКТП с 1 ноября 1943 г. бандажей с резиновым массивом рецепта 120с без вентиляционных отверстий.</w:t>
      </w:r>
    </w:p>
    <w:p w14:paraId="3DE59B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Прилагаем</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xml:space="preserve"> при этом выводы и заключения по испытаниям массивных шин на танках Т-34, про</w:t>
      </w:r>
      <w:r w:rsidRPr="00271E51">
        <w:rPr>
          <w:rFonts w:ascii="Times New Roman" w:hAnsi="Times New Roman"/>
          <w:color w:val="000000" w:themeColor="text1"/>
          <w:sz w:val="16"/>
          <w:szCs w:val="16"/>
        </w:rPr>
        <w:softHyphen/>
        <w:t>веденный НИБТ полигоном ГБТУ КА совместно с НИИ шинной промышленности НКРП.</w:t>
      </w:r>
    </w:p>
    <w:p w14:paraId="2C7F57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Малышев Федоренко</w:t>
      </w:r>
    </w:p>
    <w:p w14:paraId="2C3B8D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1660. Л. 66. Копия (11403).</w:t>
      </w:r>
    </w:p>
    <w:p w14:paraId="039E10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4F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 - из доклада главного инженера Ижевского металлургического завода А.И. Морозенского на Ижевской городской конференции по качеству продукции об увеличении выпуска высококачественных марок стали, освоении новых производств и специфике работы предприятия в военный период</w:t>
      </w:r>
    </w:p>
    <w:p w14:paraId="28FB66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 время войны завод значительно расширился и имеет большие изменения как в количестве, так и ассортименте выпускаемой продукции.</w:t>
      </w:r>
    </w:p>
    <w:p w14:paraId="4FA36F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Производительность труда за 1-е полугодие 1943г., по сравнению с 1-м полугодием 1942г., возросла на 42,5%.</w:t>
      </w:r>
    </w:p>
    <w:p w14:paraId="4C0342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продукции за этот же период увеличился на 183%.</w:t>
      </w:r>
    </w:p>
    <w:p w14:paraId="341C72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основным видам продукции увеличение выпуска в 1-м полугодии 1943г., по сравнению с 1-м полугодием 1941 г., выразилось:</w:t>
      </w:r>
    </w:p>
    <w:p w14:paraId="4262D9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прокату - на 114%</w:t>
      </w:r>
    </w:p>
    <w:p w14:paraId="654938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проволоке - на 168%</w:t>
      </w:r>
    </w:p>
    <w:p w14:paraId="4518C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поковкам - на 302%.</w:t>
      </w:r>
    </w:p>
    <w:p w14:paraId="62184B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войны в общем балансе завода сильно изменилось соотношение выпускаемых марок стали. Выпуск легированной стали и стали марок 40А и 50А увеличился, а выпуск менее ответственных марок снизился.</w:t>
      </w:r>
    </w:p>
    <w:p w14:paraId="59274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1-м полугодии 1941 г. в общем балансе стали мы имели:</w:t>
      </w:r>
    </w:p>
    <w:p w14:paraId="53E069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Легированной стали различных марок - 13,4%</w:t>
      </w:r>
    </w:p>
    <w:p w14:paraId="634587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 марок 40А и 50А - 5,74%</w:t>
      </w:r>
    </w:p>
    <w:p w14:paraId="7D72AF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Углеродистой стали (кроме марок 40А и 50А) - 80,86%.</w:t>
      </w:r>
    </w:p>
    <w:p w14:paraId="33CA19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1943г. (8 месяцев) удельное соотношение по этим же маркам стали выразилось такими цифрами:</w:t>
      </w:r>
    </w:p>
    <w:p w14:paraId="6B3A5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Легированные стали различных марок - 28,33%</w:t>
      </w:r>
    </w:p>
    <w:p w14:paraId="37F697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Сталь марок 40А и 50А - 37,14%</w:t>
      </w:r>
    </w:p>
    <w:p w14:paraId="0A315E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Углеродистая сталь (кроме марок 40А и 50А) - 34,53%.</w:t>
      </w:r>
    </w:p>
    <w:p w14:paraId="22F06D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если даже допустить, что общий баланс выплавляемой стали за годы войны не изменился, мы имеем увеличение выпуска по легированным маркам стали более, чем в 2 раза и по стали марок 40А и 50А более, чем в 6 раз.</w:t>
      </w:r>
    </w:p>
    <w:p w14:paraId="7C9890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Большие изменения мы имеем также в технологии и ассортименте выпускаемой продукции.</w:t>
      </w:r>
    </w:p>
    <w:p w14:paraId="03DCA6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Производственная база завода за годы войны сильно возросла и обогатилась рядом новых производств, новым оборудованием и новыми видами продукции, освоенной в существующих цехах.</w:t>
      </w:r>
    </w:p>
    <w:p w14:paraId="42DF4A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важное значение для повышения боеспособности Красной Армии имела организация цеха №27, производящего пулеметные и пушечные звенья и пружины ППШ. Цех [№]27 был организован в тот период, когда заводы, выпускающие указанную продукцию, находились в процессе эвакуации в удаленные от фронта районы, поэтому пружины и звенья, которые выпускал этот цех, в то время имели для фронта исключительно большое значение.</w:t>
      </w:r>
    </w:p>
    <w:p w14:paraId="0B3F1D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порядке преодоления трудностей, вызванных временной оккупацией юга и прекращением поставки огнеупоров, карбида-кальция и других видов сырья, были организованы также производства: сифонного и ковшевого припаса, шамотного и динасового кирпича, карбида-кальция, разработка местных месторождений песка и известняка.</w:t>
      </w:r>
    </w:p>
    <w:p w14:paraId="0F5F0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организации этих производств завод своими силами построил оборудование и успешно освоил его. […]</w:t>
      </w:r>
    </w:p>
    <w:p w14:paraId="4B17D5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увеличения выпуска по прокату и поковкам, не имея опыта, завод своими силами изготовил и пустил в эксплуатацию среднесортный прокатный стан с годовой производительностью в 4000 тонн, 3-двухтонных, 1-однотонный и 1-пятитонный штамповочных молота и 3 ковочных машины.</w:t>
      </w:r>
    </w:p>
    <w:p w14:paraId="6C6A09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штамповочных молотов нами изготовлено также для других заводов НКВ.*</w:t>
      </w:r>
    </w:p>
    <w:p w14:paraId="3B08B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1942г. пущена и освоена для нужд артиллерии кислая мартеновская печь на отходах своего производства, а в 1943г., когда в связи с ростом выпуска артпоковок мощности кислой печи стало недостаточно, производство стали для ряда артпоковок было освоено в основных печах.</w:t>
      </w:r>
    </w:p>
    <w:p w14:paraId="596142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период войны нами освоены также производство ковкого чугуна, производство необходимого для завода режущего инструмента, как нормализованного, так и специального, производство холодных штампов, восстановление сгоревших электроламп и т.д.</w:t>
      </w:r>
    </w:p>
    <w:p w14:paraId="033E52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работа проделана заводом по внедрению методов американской штамповки, что резко увеличило производительность по всем видам поковок. Так, например, при штамповке коленчатого вала производительность с 25 штук в сутки возросла до 120 штук. За годы Отечественной войны заводом освоено и внедрено в производство около 200 новых видов поковок, большая часть которых готовится методом многоручьевой американской штамповки.</w:t>
      </w:r>
    </w:p>
    <w:p w14:paraId="08F858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войны заводом освоено и внедрено в производство большое количество новых марок стали ( ЭИ-107, 38ХСА, ЭИ-142, ЭИ-355, ЭИ-274, ЭИ-275, ЭЖ-2, БРО, ОХМ, ОХН1М, ОХН2М, С-1, ИРО и другие), и в том числе малолегированных, с целью экономии остродефицитных ферросплавов и никеля.[ …] Большая работа проведена заводом по замене цветных металлов. Детали пулемета Максим и осветительного пистолета ранее изготовлялись из бронзы, в 1943г. полностью заменены ковким чугуном, в результате чего завод сэкономил в квартал 73 тонны чистой бронзы.</w:t>
      </w:r>
    </w:p>
    <w:p w14:paraId="3A58AF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Успешно справился коллектив завода также с освоением ряда новых технологических процессов, имеющих особо важное значение в связи с отсутствием или недостатком тех или иных материалов.</w:t>
      </w:r>
    </w:p>
    <w:p w14:paraId="775441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тяжелый период 1942-1943гг., чтобы не остановить производство авиапоковок из-за отсутствия электроэнергии, сталь для них была с успехом изготовлена в мартеновских печах вместо электропечей.</w:t>
      </w:r>
    </w:p>
    <w:p w14:paraId="7661DB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недостатка или полного отсутствия чугуна завод нашел выход и производил выплавку высококачественной углеродистой и легированных сталей угольно-скрапным процессом.</w:t>
      </w:r>
    </w:p>
    <w:p w14:paraId="2337AE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Говоря о работе в военный период нельзя не отметить, что война внесла в работу заводов много трудностей, выражающихся как в увеличении заданий, так и в понижении качества, недостатке или полном отсутствии различного рода материалов, потребляемых производством.</w:t>
      </w:r>
    </w:p>
    <w:p w14:paraId="2A2CC5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Трудности, связанные с увеличением заданий, в одинаковой степени относятся ко всем заводам, что же касается затруднений с материалами, то на металлургических заводах они несравненно больше.</w:t>
      </w:r>
    </w:p>
    <w:p w14:paraId="12AB2B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металлургических заводах подавляющее количество материалов (ферросплавы, чугун, кокс, уголь, руда, соли и т.д.) являются составной частью технологии, без них немыслимо проведение технологических процессов и они непосредственно влияют на качество выпускаемой продукции. При отсутствии или некачественности какого-либо материала, нормальный ход работы нарушается и требуется немало усилий, чтобы не понижая качества выпускаемой продукции, изыскать заменитель отсутствующего или некачественного материала и приспособить к нему или некачественному материалу технологию.</w:t>
      </w:r>
    </w:p>
    <w:p w14:paraId="4BA7CB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71, выпуская до 130 различных марок стали и являясь единственным в СССР по выпуску громадного ассортимента проката, доходящего до 4000 сорторазмеров, материалов потребляет исключительно большое количество, исчисляющееся тысячами наименований. И, если при этом учесть, что в условиях войны, когда транспорт перегружен, а производство некоторых материалов сокращено или они совсем не производятся, и отсутствие их стало повседневным, то станет понятным, какие трудности внесла война в работу завода.</w:t>
      </w:r>
    </w:p>
    <w:p w14:paraId="7F3ED0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не остановить производство и дать продукцию требуемого качества, от руководящих работников завода требуется исключительная гибкость, большая изобретательность и подчас довольно большой риск.</w:t>
      </w:r>
    </w:p>
    <w:p w14:paraId="27C5E8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 меньшей мере это относится к топливу и энергии. Если на машиностроительных заводах отсутствие энергии ведет только к останову производства, то на металлургических заводах, помимо останова производства, отключение или снижение подачи энергии ведет к ухудшению качества продукции, а подчас и к большим потерям находящейся в печах стали.</w:t>
      </w:r>
    </w:p>
    <w:p w14:paraId="6E67FF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худших условиях металлургические заводы в период военного времени находятся и с рабочей силой. На машиностроительных заводах применение женского труда в подавляющем большинстве случаев связано только с квалификацией, на металлургических заводах помимо квалификации громадную роль играет чисто физическая тяжесть работы, ограничивающая в определенных рамках применение женского труда и отражающаяся на качестве продукции, т.к. при недостатке рабочих выполнение особо тяжелых операций, предусмотренных технологией (перемешивание стали, скачивание шлака, контовка слитков и т.д.), иногда бывает </w:t>
      </w:r>
      <w:r w:rsidRPr="00271E51">
        <w:rPr>
          <w:rFonts w:ascii="Times New Roman" w:hAnsi="Times New Roman"/>
          <w:color w:val="000000" w:themeColor="text1"/>
          <w:sz w:val="16"/>
          <w:szCs w:val="16"/>
        </w:rPr>
        <w:lastRenderedPageBreak/>
        <w:t>затруднительно. Все эти факторы, без сомнения, отражаются не только на выполнении программы, но и на качестве стали, и при оценке продукции завода не учитывать их нельзя.[ …]</w:t>
      </w:r>
    </w:p>
    <w:p w14:paraId="26CF26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инженер завода [№]71 Морозенский</w:t>
      </w:r>
    </w:p>
    <w:p w14:paraId="73FD95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ЦДНИ УР. Ф.54. Оп.2. Д.1812. Л.76-80, 84-86, 101. Подлинник. Машинопись (11635).</w:t>
      </w:r>
    </w:p>
    <w:p w14:paraId="626D1D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D74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 вышло Постановление ГКО за № 4314 «Об организации на заводе № 339 НКАП производства самолетных радиолокационных приборов и установок для обнаружения самолетов» (15736).</w:t>
      </w:r>
    </w:p>
    <w:p w14:paraId="6DC2034C"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470572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4310 О дополнительных мероприятиях по окончанию строительства трубопровода Астрахань-Саратов и приемке его в эксплуатацию.РГАНИР, Фонд ГКО, д. 162, лл. 149-152, 153-154 (11012).</w:t>
      </w:r>
    </w:p>
    <w:p w14:paraId="36FD9E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54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4312 О поставке дров заводам № 71, 74, 524, 622 и 367 Наркомвооружения.РГАНИР, Фонд ГКО, д. 162, лл. 186-191, 192 (11012).</w:t>
      </w:r>
    </w:p>
    <w:p w14:paraId="70F5D4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3AA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4313 О плане заготовок древесины по Ленинградской области в осенне-зимний сезон 1943/44г. и обеспечения г.Ленинграда дровами.РГАНИР, Фонд ГКО, д. 162, лл. 193-200, 201-206 (11012).</w:t>
      </w:r>
    </w:p>
    <w:p w14:paraId="361673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37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4314 Об организации на заводе № 339 НКАП производства самолетных радиолокационных приборов и установок для обнаружения самолетов.РГАНИР, Фонд ГКО, д. 162, лл. 207-210, 211-224 (11012).</w:t>
      </w:r>
    </w:p>
    <w:p w14:paraId="00F003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679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4315 О поставке Наркомвоенморфлоту трального вооружения, судового оборудования и запасных частей к механизмам в IV кв. 1943г.РГАНИР, Фонд ГКО, д. 162, лл. 225-229, 230-272 (11012).</w:t>
      </w:r>
    </w:p>
    <w:p w14:paraId="7D6452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0D5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4317 О мероприятиях по увеличению производства уксусной кислоты лесохимическими заводами Наркомлеса СССР.РГАНИР, Фонд ГКО, д. 162, лл. 282-286, 287-291 (11012).</w:t>
      </w:r>
    </w:p>
    <w:p w14:paraId="5CC162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60E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4318 Об организации дровозаготовок для города Москвы в лесных массивах Коробовского района Московской области. (7145, 292-294,295).</w:t>
      </w:r>
    </w:p>
    <w:p w14:paraId="578BD26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13C0B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Распоряжение ГКО № 4319 [О мобилизации на месяц 600 пеших рабочих и 500 возчиков с подводами на восстановление междугородней телеграфной и телефонной связи в Смоленской обл.] (7145, 296).</w:t>
      </w:r>
    </w:p>
    <w:p w14:paraId="52D6052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071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4320 Об отсрочке поставки 14 трубонарезных станков НКЧМ, об организации производства таких станков и поставке сырья и материалов.РГАНИР, Фонд ГКО, д. 162, лл. 297-298, 299 (11012).</w:t>
      </w:r>
    </w:p>
    <w:p w14:paraId="7B63D3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1ECF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вышло Постановление ГКО № 4321 О переводе строительно-монтажных организаций Главвоенпромстроя при Совнаркоме СССР на положение особых строительно-монтажных частей. (7145, 300-301,302-303).</w:t>
      </w:r>
    </w:p>
    <w:p w14:paraId="27DC6B6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197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Балтийцы заложили на стапеле 7-й и 8-й стотонники. Вступил в строй действующего флота 8-й МБК (строился 3 месяца 16 дней) (10671).</w:t>
      </w:r>
    </w:p>
    <w:p w14:paraId="13E91D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B4E8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5713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85AE1"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12 октября </w:t>
      </w:r>
      <w:r w:rsidRPr="00271E51">
        <w:rPr>
          <w:rFonts w:ascii="Times New Roman" w:hAnsi="Times New Roman"/>
          <w:color w:val="000000" w:themeColor="text1"/>
          <w:sz w:val="16"/>
          <w:szCs w:val="16"/>
        </w:rPr>
        <w:t>в 1943 году оперативная сводка Совинформбюро:</w:t>
      </w:r>
    </w:p>
    <w:p w14:paraId="4413283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наши войска продолжали вести бои по расширению плацдармов на правом берегу реки в прежних районах и на отдельныхучастках добились серьёзных успехов.</w:t>
      </w:r>
    </w:p>
    <w:p w14:paraId="2DFB25A5"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наступление и заняли несколько населённых пунктов.</w:t>
      </w:r>
    </w:p>
    <w:p w14:paraId="16DFFCFE"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29F94BC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октября наши войска на всех фронтах подбили и уничтожили 50 немецких танков. В воздушных боях и огнём зенитной артиллерии сбито 72 самолёта противника.</w:t>
      </w:r>
    </w:p>
    <w:p w14:paraId="5BDCF146"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в одном районе, части Н-ского соединения вели ожесточённые бои. Немцы любой ценой хотели потеснить наши части, но все их контратаки были отбиты. На поле боя осталось до 700 вражеских трупов. В другом районе весь день шла упорная борьба за высоту, господствующую над окружающей местностью. Бои неоднократно переходили в рукопашные схватки. К исходу дня наши войска выбили немцев с этой высоты и продвинулись вперёд. За день боёв уничтожено до 1.500 немецких солдат и офицеров, подбито и сожжено 23 танка и 2 бронемашины. На соседнем участке противник силами пехоты и танков предпринял контратаку. В разгаре боя 11 немецких танков прорвались через наши боевые порядки. Артиллеристы, действовавшие в боевых порядках пехоты, немедленно повернули свои орудия и открыли огонь по прорвавшимся танкам противника. В течение получаса все 11 немецких танков были подбиты и уничтожены. Оставшиеся в живых экипажи танков взяты в плен.</w:t>
      </w:r>
    </w:p>
    <w:p w14:paraId="4620FE6B"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поддерживала действия наземных войск. В воздушных боях в течение дня сбит 41 немецкий самолёт.</w:t>
      </w:r>
    </w:p>
    <w:p w14:paraId="7ACD2F9A"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части Н-ского соединения, преодолевая сопротивление противника, овладели несколькими населёнными пунктами. Уничтожено до батальона немецкой пехоты. Захвачено две артиллерийских батареи, 3 шестиствольных миномёта и склад боеприпасов. На другом участке противник предпринял контратаку, пытаясь вернуть утерянные вчера опорные пункты. Миномётным и ружейно-пулемётным огнём гитлеровцы были рассеяны и частью уничтожены на подступах к нашему оборонительному рубежу.</w:t>
      </w:r>
    </w:p>
    <w:p w14:paraId="2CA813E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штурмовая и бомбардировочная авиация уничтожила 8 немецких танков, 40 автомашин, 3 автоцистерны с горючим, взорвала склад боеприпасов и подавила огонь 8 артиллерийских батарей противника. В воздушных боях и огнём зенитной артиллерии сбито 12 немецких самолётов.</w:t>
      </w:r>
    </w:p>
    <w:p w14:paraId="470FEFD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в одном из портов потоплены танкер противника водоизмещением в 3 тысячи тонн, две десантных баржи, два самоходных понтона и две сухогрузных баржи.</w:t>
      </w:r>
    </w:p>
    <w:p w14:paraId="4971C98D"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Украинский партизанский отряд имени Александра Невского 20 сентября взорвал большой мост на важном участке железной дороги. Немцы срочно выслали ремонтный поезд для восстановления моста. Не дойдя до места назначения, поезд подорвался на поставленных партизанами минах и полетел под откос. Усилив охрану пути испешно перебросив сапёрно-инженерные роты, немцы навели временный мост и восстановили разрушенное полотно. Но возобновить движение поездов противнику не удалось. Партизаны отряда имени Дзержинского взорвали на этом же участке второй железнодорожный мост.</w:t>
      </w:r>
    </w:p>
    <w:p w14:paraId="2D4DFF04"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3 роты 4 немецкого егерского батальона Фридрих Лиска рассказал: «В германских военных сводках говорится, что немецкая армия не отступает, а «совершает планомерный отход». Такое надувательство вызывает огромное возмущение. Кто-кто, а солдаты на фронте точно знают, что немецкие войска отступают потому, что не в силах держаться. Очень часто нынешнее отступление переходит в паническое бегство. Отступающие части бросают вооружение, военное имущество и даже не подбирают своих раненых. За несколько дней 3 рота потеряла 130 человек. В ней уцелело всего-навсего два десятка солдат. В одном бою, который продолжался полдня, наш батальон из 9 противотанковых орудий потерял 8. Все пулемёты выбыли из строя. Что бы там ни говорило командование, но любой солдат понимает, что такие потери немецкая армия вынести долго не сможет».</w:t>
      </w:r>
    </w:p>
    <w:p w14:paraId="243CF94C"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Губиниха, Днепропетровской области: «С первого же дня прихода немцев для нас настала невыносимая жизнь. Начались дикие издевательства и массовые расстрелы. Немцы разграбили всё имущество жителей. Особенно глумился над населением и свирепствовал комендант обер-фельдфебель Кроль. В колхозе «15 лет Октября» фашистские изверги расстреляли 99 колхозников. В колхозе имени Шевченко немецкие палачи убили 140 человек, в том числе семью Фёдора Корниенко, семью Пелагеи Тараненко и других. Свыше 2 тысяч жителей немцы угнали на каторгу в Германию. Фашистские варвары сожгли 605 жилых домов со всеми надворными постройками, 28 колхозных построек, взорвали паровую мельницу, школу, клуб и детские ясли. Гитлеровские звери разгромили и уничтожили больницу. Они выволокли на двор находившихся на излечении больных мужчин, женщин и детей и 75-</w:t>
      </w:r>
      <w:r w:rsidRPr="00271E51">
        <w:rPr>
          <w:rFonts w:ascii="Times New Roman" w:hAnsi="Times New Roman"/>
          <w:color w:val="000000" w:themeColor="text1"/>
          <w:sz w:val="16"/>
          <w:szCs w:val="16"/>
        </w:rPr>
        <w:lastRenderedPageBreak/>
        <w:t>летнего фельдшера Андрея Позлевича и расстреляли их из автоматов. После кровавой расправы над больными немцы взорвали аптеку и сожгли главный корпус, инфекционный корпус и два жилых дома сотрудников больницы».</w:t>
      </w:r>
    </w:p>
    <w:p w14:paraId="52349EF7"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села: П.Кучерявенко, М.Гончарь, Х.Голубь, С.Мартыненко, К.Корниенко, М.Оберемок, Ф.Семенчинко, М.Сорока, Е.Мезинцева, Е.Сименко.» (14797).</w:t>
      </w:r>
    </w:p>
    <w:p w14:paraId="47C35913"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2C3D0499"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12 октября </w:t>
      </w:r>
      <w:r w:rsidRPr="00271E51">
        <w:rPr>
          <w:rFonts w:ascii="Times New Roman" w:hAnsi="Times New Roman"/>
          <w:color w:val="000000" w:themeColor="text1"/>
          <w:sz w:val="16"/>
          <w:szCs w:val="16"/>
        </w:rPr>
        <w:t>в 1943 году началась Киевская наступательная операция войск 1-го Украинского фронта (14797).</w:t>
      </w:r>
    </w:p>
    <w:p w14:paraId="3BE61B21"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05AB87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группа 8 Ил-2 61 шап под командованием к И.Домбровского, вылетевшая на подавление артиллерии, обнаружили и атаковали 20 Ю-87, атаковавших нашу переправу через Днепр. Сбили 4 (455,161).</w:t>
      </w:r>
    </w:p>
    <w:p w14:paraId="207FA9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1BD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Бой 1-й польской дивизии имени Тадеуша Костюшко под Ленино в составе 33-й армии Западного фронта. День рождения народного Войска Польского (7451).</w:t>
      </w:r>
    </w:p>
    <w:p w14:paraId="43E8AD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1A3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начался боевой путь дивизии им. Т.Костюшко (2990).</w:t>
      </w:r>
    </w:p>
    <w:p w14:paraId="4CC313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53F68" w14:textId="77777777" w:rsidR="0007703D" w:rsidRPr="00271E51" w:rsidRDefault="000770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12 октября </w:t>
      </w:r>
      <w:r w:rsidRPr="00271E51">
        <w:rPr>
          <w:rFonts w:ascii="Times New Roman" w:hAnsi="Times New Roman"/>
          <w:color w:val="000000" w:themeColor="text1"/>
          <w:sz w:val="16"/>
          <w:szCs w:val="16"/>
        </w:rPr>
        <w:t>в 1943 году в районе села Ленино Могилёвской области в составе 33-й армии Западного фронта в бой с противником вступила 1-я польская пехотная дивизия имени Т.Костюшко (полковник З.Берлинг). 239 польских воинов были награждены советскими орденами и медалями, капитанам Ю.Хибнеру и В.Высоцкому, рядовой А.Кживонь (всем - посмертно) присвоено звание Героя Советского Союза (14797).</w:t>
      </w:r>
    </w:p>
    <w:p w14:paraId="141E607C" w14:textId="77777777" w:rsidR="0007703D" w:rsidRPr="00271E51" w:rsidRDefault="0007703D" w:rsidP="00271E51">
      <w:pPr>
        <w:spacing w:after="0" w:line="240" w:lineRule="auto"/>
        <w:jc w:val="both"/>
        <w:rPr>
          <w:rFonts w:ascii="Times New Roman" w:hAnsi="Times New Roman"/>
          <w:color w:val="000000" w:themeColor="text1"/>
          <w:sz w:val="16"/>
          <w:szCs w:val="16"/>
        </w:rPr>
      </w:pPr>
    </w:p>
    <w:p w14:paraId="6C68378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52654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4065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12 октября 1943 вышло Постановление ГКО № 4311 Об увеличении производства протезов и улучшении обслуживания инвалидов Отечественной войны. </w:t>
      </w:r>
      <w:r w:rsidRPr="00271E51">
        <w:rPr>
          <w:rFonts w:ascii="Times New Roman" w:hAnsi="Times New Roman"/>
          <w:color w:val="000000" w:themeColor="text1"/>
          <w:sz w:val="16"/>
          <w:szCs w:val="16"/>
          <w:lang w:val="en-US"/>
        </w:rPr>
        <w:t>(7145, 155-165,166-185).</w:t>
      </w:r>
    </w:p>
    <w:p w14:paraId="15F51E9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7A3438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4D6330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14DFB3C" w14:textId="77777777" w:rsidR="00311DEE" w:rsidRPr="00271E51" w:rsidRDefault="00311DEE"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12 1943 The Bureau of Ordnance established a production program for 3,000 Pelican guided missiles at a delivery rate of 300 a month (1090).</w:t>
      </w:r>
    </w:p>
    <w:p w14:paraId="57AC3012" w14:textId="77777777" w:rsidR="00311DEE" w:rsidRPr="00271E51" w:rsidRDefault="00311DEE"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BD0560" w14:textId="77777777" w:rsidR="00311DEE" w:rsidRPr="00271E51" w:rsidRDefault="00311DE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бюро по беприпасам США выпустило заказ на 3000 управляемых ракет Пеликан с темпом производства 300 в месяц (1090).</w:t>
      </w:r>
    </w:p>
    <w:p w14:paraId="0583D765" w14:textId="77777777" w:rsidR="00311DEE" w:rsidRPr="00271E51" w:rsidRDefault="00311DE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AF4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12, 1943: In Italy, the U.S. 5th Army (Clark) begins an offensive along the Volturno river (3819).</w:t>
      </w:r>
    </w:p>
    <w:p w14:paraId="29C289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2E55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1843 в Италии 5А США начала наступление вдоль реки Волтурно (3819).</w:t>
      </w:r>
    </w:p>
    <w:p w14:paraId="37863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BD9852"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октября 1943 5 армия военно-воздушных сил ВВС США наносит самый крупный авиаудар союзников за время Второй мировой войны в Тихом океане, отправив 349 самолетов для атаки японских аэродромов и складов снабжения в Рабауле, Новая Британия, потеряв пять самолетов. Авиаудары союзников по Рабаулу будут продолжаться большую часть оставшейся войны (20376).</w:t>
      </w:r>
    </w:p>
    <w:p w14:paraId="4089690A" w14:textId="77777777" w:rsidR="009B0A1D" w:rsidRPr="00271E51" w:rsidRDefault="009B0A1D" w:rsidP="00271E51">
      <w:pPr>
        <w:spacing w:after="0" w:line="240" w:lineRule="auto"/>
        <w:jc w:val="both"/>
        <w:rPr>
          <w:rFonts w:ascii="Times New Roman" w:hAnsi="Times New Roman"/>
          <w:color w:val="0070C0"/>
          <w:sz w:val="16"/>
          <w:szCs w:val="16"/>
        </w:rPr>
      </w:pPr>
    </w:p>
    <w:p w14:paraId="327590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октября 1943 Португалия передала Великобритании права на управление Азорскими островами (3481).</w:t>
      </w:r>
    </w:p>
    <w:p w14:paraId="632BDF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C0D2B"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12 октября </w:t>
      </w:r>
      <w:r w:rsidRPr="00271E51">
        <w:rPr>
          <w:rFonts w:ascii="Times New Roman" w:hAnsi="Times New Roman"/>
          <w:color w:val="000000" w:themeColor="text1"/>
          <w:sz w:val="16"/>
          <w:szCs w:val="16"/>
        </w:rPr>
        <w:t>в 1943 году Португалия передает Великобритании права на управление Азорскими островами и разрешает союзникам создание военных баз на Азорских островах (14797).</w:t>
      </w:r>
    </w:p>
    <w:p w14:paraId="40320117" w14:textId="77777777" w:rsidR="00311DEE" w:rsidRPr="00271E51" w:rsidRDefault="00311DEE" w:rsidP="00271E51">
      <w:pPr>
        <w:spacing w:after="0" w:line="240" w:lineRule="auto"/>
        <w:jc w:val="both"/>
        <w:rPr>
          <w:rFonts w:ascii="Times New Roman" w:hAnsi="Times New Roman"/>
          <w:color w:val="000000" w:themeColor="text1"/>
          <w:sz w:val="16"/>
          <w:szCs w:val="16"/>
        </w:rPr>
      </w:pPr>
    </w:p>
    <w:p w14:paraId="59609A5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A0E8E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7B68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С.В.И. писал А.И.Ш. письмо N 1/1081с:</w:t>
      </w:r>
    </w:p>
    <w:p w14:paraId="586F91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камуфлируется при выпуске с заводов летним и зимним камуфляжем.</w:t>
      </w:r>
    </w:p>
    <w:p w14:paraId="4B2AFB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Зимний камуфляж производится покраской самолета меловой краской, которая по своему качеству пригодна лишь для покраски заборов, но никак не годится для покраски самолетов, во-первых потому, что она делает поверхность самолета неимоверно шероховатой, во-вторых, в процессе эксплуатации краска лупится и самолет становится грязным и еще более шероховатым, и в-третьих, при смывка этой краски горячей водой нарушается постоянное покрытие самолета и тем самым деревянные части будут загнивать.</w:t>
      </w:r>
    </w:p>
    <w:p w14:paraId="4AFD90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30 по согласованию со мной предложил покраску самолетов Ил-2 производить по типу истребителей, т.е. чтобы эта поверхность являлась единой для зимы и для лета.</w:t>
      </w:r>
    </w:p>
    <w:p w14:paraId="7CA98F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покрашен один самолет Ил-2 по типу истребителей Як и Ла и предъявлен для утверждения ГИ ВВС Репину. Репин отклонил наше предложение. Т.о. по прежнему для зимнего камуфляжа остается меловая окраска самолета Ил-2. Репин в беседе с директором завода 30 Смирновым высказался, что потеря скорости, вызываемая меловой краской, не имеет значения для Ил-2.</w:t>
      </w:r>
    </w:p>
    <w:p w14:paraId="0FF4BD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 доложить Вам свое несогласие с окраской самолета Ил-2 меловой краской.</w:t>
      </w:r>
    </w:p>
    <w:p w14:paraId="3B1FA1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авиапрома производят большую работу по улучшению производства самолета Ил-2 с тем, чтобы увеличить макс. скорость самолета, причем улучшения, проводимые заводами, стоят больших усилий и трудов. Тем не менее, не взирая на это, тут же на заводе после того, как поверхность самолета хорошо отделана, самолет размазывается как самый обыкновенный забор. Конечно, никакого желания у работников заводов вести работу по улучшению аэродинамики самолета Ил-2 не будет, т.к. все эти труды тут же уничтожаются.</w:t>
      </w:r>
    </w:p>
    <w:p w14:paraId="47723B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поставить этот вопрос перед секретарем ЦК Г.М.М. об отмене покраски самолетов Ил-2 в белый камуфляж и утвердить единую окраску по типу истребителей (1775,229).</w:t>
      </w:r>
    </w:p>
    <w:p w14:paraId="046922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D19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подготовили проект приказа НКАП о переоборудовании двух Ла-5ФН под 3 ШВАК с общим боезапасом в 450 снарядов (на серийном — 340). К тому времени КБ Березина предложило новую пушку УБ-20, которая при тех же скорострель</w:t>
      </w:r>
      <w:r w:rsidRPr="00271E51">
        <w:rPr>
          <w:rFonts w:ascii="Times New Roman" w:hAnsi="Times New Roman"/>
          <w:color w:val="000000" w:themeColor="text1"/>
          <w:sz w:val="16"/>
          <w:szCs w:val="16"/>
        </w:rPr>
        <w:softHyphen/>
        <w:t>ности, снаряде и его начальной скорости весила 25 кг, а ШВАК — 42. Лавочкин решил срочно переделать проект под новое орудие. Испытания Ла-5ФНА планировали начать 15 ноября 1944 г., но из-за задержки с поставкой пушек самолет подготовили только в янва</w:t>
      </w:r>
      <w:r w:rsidRPr="00271E51">
        <w:rPr>
          <w:rFonts w:ascii="Times New Roman" w:hAnsi="Times New Roman"/>
          <w:color w:val="000000" w:themeColor="text1"/>
          <w:sz w:val="16"/>
          <w:szCs w:val="16"/>
        </w:rPr>
        <w:softHyphen/>
        <w:t>ре следующего года, а стрельбы в воздухе начали 15 февраля. Через 4 дня машину приняли в НИИ ВВС, где летчики А.Г. Кубышкин и Г.А. Модестов приступили к Госиспытани</w:t>
      </w:r>
      <w:r w:rsidRPr="00271E51">
        <w:rPr>
          <w:rFonts w:ascii="Times New Roman" w:hAnsi="Times New Roman"/>
          <w:color w:val="000000" w:themeColor="text1"/>
          <w:sz w:val="16"/>
          <w:szCs w:val="16"/>
        </w:rPr>
        <w:softHyphen/>
        <w:t>ям. Акт по их итогам подписали в первой декаде мар</w:t>
      </w:r>
      <w:r w:rsidRPr="00271E51">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046B35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FAA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 был подготовлен Отчет о выполненных работах ЛИИ за сентябрь 1943 г.</w:t>
      </w:r>
    </w:p>
    <w:p w14:paraId="2E2975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Ла-5.</w:t>
      </w:r>
    </w:p>
    <w:p w14:paraId="07925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Ла-5.</w:t>
      </w:r>
    </w:p>
    <w:p w14:paraId="14AFAF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Ла-5 М-82ФН N 0466 производства завода N 21 сентябрьского выпуска,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20"/>
        <w:gridCol w:w="4536"/>
      </w:tblGrid>
      <w:tr w:rsidR="00A907A5" w:rsidRPr="00271E51" w14:paraId="6FBBD4C3" w14:textId="77777777" w:rsidTr="00ED5B0A">
        <w:tc>
          <w:tcPr>
            <w:tcW w:w="5920" w:type="dxa"/>
          </w:tcPr>
          <w:p w14:paraId="32EA77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мощности на режиме повышенной боевой</w:t>
            </w:r>
          </w:p>
        </w:tc>
        <w:tc>
          <w:tcPr>
            <w:tcW w:w="4536" w:type="dxa"/>
          </w:tcPr>
          <w:p w14:paraId="67F2FC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576 км/час</w:t>
            </w:r>
          </w:p>
        </w:tc>
      </w:tr>
      <w:tr w:rsidR="00A907A5" w:rsidRPr="00271E51" w14:paraId="3F63419E" w14:textId="77777777" w:rsidTr="00ED5B0A">
        <w:tc>
          <w:tcPr>
            <w:tcW w:w="5920" w:type="dxa"/>
          </w:tcPr>
          <w:p w14:paraId="13DE21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4536" w:type="dxa"/>
          </w:tcPr>
          <w:p w14:paraId="4BB6D0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0935FD" w14:textId="77777777" w:rsidTr="00ED5B0A">
        <w:tc>
          <w:tcPr>
            <w:tcW w:w="5920" w:type="dxa"/>
          </w:tcPr>
          <w:p w14:paraId="5DD924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Н=5950 м</w:t>
            </w:r>
          </w:p>
        </w:tc>
        <w:tc>
          <w:tcPr>
            <w:tcW w:w="4536" w:type="dxa"/>
          </w:tcPr>
          <w:p w14:paraId="6E4A4A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633 км/час</w:t>
            </w:r>
          </w:p>
        </w:tc>
      </w:tr>
      <w:tr w:rsidR="00A907A5" w:rsidRPr="00271E51" w14:paraId="31EF318E" w14:textId="77777777" w:rsidTr="00ED5B0A">
        <w:tc>
          <w:tcPr>
            <w:tcW w:w="5920" w:type="dxa"/>
          </w:tcPr>
          <w:p w14:paraId="0368F8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4536" w:type="dxa"/>
          </w:tcPr>
          <w:p w14:paraId="6D10A0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 м</w:t>
            </w:r>
          </w:p>
        </w:tc>
      </w:tr>
      <w:tr w:rsidR="00A907A5" w:rsidRPr="00271E51" w14:paraId="2C55E7FE" w14:textId="77777777" w:rsidTr="00ED5B0A">
        <w:tc>
          <w:tcPr>
            <w:tcW w:w="5920" w:type="dxa"/>
          </w:tcPr>
          <w:p w14:paraId="404CF2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 Ла-5 ФН, оборудованного ТК.</w:t>
            </w:r>
          </w:p>
        </w:tc>
        <w:tc>
          <w:tcPr>
            <w:tcW w:w="4536" w:type="dxa"/>
          </w:tcPr>
          <w:p w14:paraId="62F356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BBCD50" w14:textId="77777777" w:rsidTr="00ED5B0A">
        <w:tc>
          <w:tcPr>
            <w:tcW w:w="5920" w:type="dxa"/>
          </w:tcPr>
          <w:p w14:paraId="76B1B5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этом самолете совершено несколько полетов на высоту.</w:t>
            </w:r>
          </w:p>
        </w:tc>
        <w:tc>
          <w:tcPr>
            <w:tcW w:w="4536" w:type="dxa"/>
          </w:tcPr>
          <w:p w14:paraId="1A9AE1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EEE112" w14:textId="77777777" w:rsidTr="00ED5B0A">
        <w:tc>
          <w:tcPr>
            <w:tcW w:w="5920" w:type="dxa"/>
          </w:tcPr>
          <w:p w14:paraId="39C04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Достигнутая высота</w:t>
            </w:r>
          </w:p>
        </w:tc>
        <w:tc>
          <w:tcPr>
            <w:tcW w:w="4536" w:type="dxa"/>
          </w:tcPr>
          <w:p w14:paraId="20A98F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12500 м</w:t>
            </w:r>
          </w:p>
        </w:tc>
      </w:tr>
    </w:tbl>
    <w:p w14:paraId="1E3D3F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прерваны для устранения дефектов:</w:t>
      </w:r>
    </w:p>
    <w:p w14:paraId="2EA831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Высокие температуры головок цилиндра.</w:t>
      </w:r>
    </w:p>
    <w:p w14:paraId="0589B2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Высокие температуры масла.</w:t>
      </w:r>
    </w:p>
    <w:p w14:paraId="0E8336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 работали нормально.</w:t>
      </w:r>
    </w:p>
    <w:p w14:paraId="5ACF24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испытания насосов непосредственного впрыска НБ-3У без маятникового воздухоотделителя на самолете Ла-5 с мотором М-82 ФН.</w:t>
      </w:r>
    </w:p>
    <w:p w14:paraId="57CA0E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 целью проверки целесообразности установки маятникового воздухоотделителя в системе бензопитания насоса НБ-3У на моторе М-82 ФН. Испытаниями подтверждена нецелесообразность установки маятникового воздухоотделителя; имеющийся в насосе центробежный воздухоотделитель полностью обеспечивает очистку бензина от воздуха на всех режимах работы мотора и полета самолета.</w:t>
      </w:r>
    </w:p>
    <w:p w14:paraId="7DA36D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Изъятие маятникового воздухоотделителя из системы питания насоса НБ-3У устраняет в эксплуатации моторов М-82 ФН следующие дефекты:</w:t>
      </w:r>
    </w:p>
    <w:p w14:paraId="01A8E9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Нарушение питания мотора топливом из-за подсоса воздуха по трубке от маятникового воздухоотделителя, происходившего вследствие коррозии штока поплавка и закупорки шланга перепуска бензина в маятниковый воздухоотделитель.</w:t>
      </w:r>
    </w:p>
    <w:p w14:paraId="4824E2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Течь бензина по разъему крышки маятникового воздухоотделителя из-за разрушения слоя герметики.</w:t>
      </w:r>
    </w:p>
    <w:p w14:paraId="4A1147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Обрыв ленты крепления маятникового воздухоотделителя и поломка трубки перепуска бензина от маятникового воздухоотделителя в помпу БНК-10.</w:t>
      </w:r>
    </w:p>
    <w:p w14:paraId="13E45B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окончательного решения вопроса необходимо провести испытания 15-20 самолетов без маятникового воздухоотделителя.</w:t>
      </w:r>
    </w:p>
    <w:p w14:paraId="3A84A8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Проверка в полете стабильности характеристик мотора М-82 на самолете Ла-5 с агрегатом объединенного управления винтом и газом.</w:t>
      </w:r>
    </w:p>
    <w:p w14:paraId="0E35C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проверки стабильности работы мотора М-82 с агрегатом ВГ-82 на самолете Ла-5 были сняты сравнительные характеристики с двумя регуляторами оборотов Р-7 и двумя регуляторами наддува РПД-1Ф, отрегулированными по эталону ЦИАМ. Испытания подтвердили, что при незначительных отклонениях от эталона характеристик пружин регуляторов Р-7, винт самопроизвольно затяжеляется при оборотах мотора 1600-1700 об/мин.; обороты регулятора Р-7 при этом равны 1400-1500 об/м.</w:t>
      </w:r>
    </w:p>
    <w:p w14:paraId="403285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Совпадение характеристик мотора с различными регуляторами давления наддува РПД-1Ф, переделанными по техусловиям ЦИАМ, удовлетворительное.</w:t>
      </w:r>
    </w:p>
    <w:p w14:paraId="6D35E5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подтвердилось наличие конструктивных недостатков кронштейна с промежуточными качалками ВГ-82 (узел переменной настройки РПД-1Ф), а также наличие "мертвого хода" на секторе газа, не обеспечивающего плавную дачу газа мотору.</w:t>
      </w:r>
    </w:p>
    <w:p w14:paraId="47B88B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Як-9.</w:t>
      </w:r>
    </w:p>
    <w:p w14:paraId="0DD1E7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Як-9.</w:t>
      </w:r>
    </w:p>
    <w:p w14:paraId="489E5F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контрольные испытания серийного самолета Як-9Т N 0624 производства завода N 153 выпуска сентября 1943 г.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9BA7B5F" w14:textId="77777777" w:rsidTr="00ED5B0A">
        <w:tc>
          <w:tcPr>
            <w:tcW w:w="5636" w:type="dxa"/>
          </w:tcPr>
          <w:p w14:paraId="7EC637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154D8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 км/час</w:t>
            </w:r>
          </w:p>
        </w:tc>
      </w:tr>
      <w:tr w:rsidR="00A907A5" w:rsidRPr="00271E51" w14:paraId="1CECEEF9" w14:textId="77777777" w:rsidTr="00ED5B0A">
        <w:tc>
          <w:tcPr>
            <w:tcW w:w="5636" w:type="dxa"/>
          </w:tcPr>
          <w:p w14:paraId="621BD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5636" w:type="dxa"/>
          </w:tcPr>
          <w:p w14:paraId="61E157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CDFD9A" w14:textId="77777777" w:rsidTr="00ED5B0A">
        <w:tc>
          <w:tcPr>
            <w:tcW w:w="5636" w:type="dxa"/>
          </w:tcPr>
          <w:p w14:paraId="489894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(4100 м)</w:t>
            </w:r>
          </w:p>
        </w:tc>
        <w:tc>
          <w:tcPr>
            <w:tcW w:w="5636" w:type="dxa"/>
          </w:tcPr>
          <w:p w14:paraId="2089E9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 км/час</w:t>
            </w:r>
          </w:p>
        </w:tc>
      </w:tr>
      <w:tr w:rsidR="00A907A5" w:rsidRPr="00271E51" w14:paraId="49B765F6" w14:textId="77777777" w:rsidTr="00ED5B0A">
        <w:tc>
          <w:tcPr>
            <w:tcW w:w="5636" w:type="dxa"/>
          </w:tcPr>
          <w:p w14:paraId="2A86DD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12EA83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мин.</w:t>
            </w:r>
          </w:p>
        </w:tc>
      </w:tr>
    </w:tbl>
    <w:p w14:paraId="1BCF57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Доводка мотора М-107А и моторного оборудования самолета Як-9 с М-107А.</w:t>
      </w:r>
    </w:p>
    <w:p w14:paraId="7C5F67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Продолжалась работа по доводке мотора М-107А, начатая в августе. В сентябре выполнены следующие работы:</w:t>
      </w:r>
    </w:p>
    <w:p w14:paraId="7317AB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зажиганию.</w:t>
      </w:r>
    </w:p>
    <w:p w14:paraId="6E251F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ЛИИ мероприятий ЛИИ мероприятий по улучшению работы зажигания, разработаны чертежи кожухов продува выхлопных коллекторов и внутрикапотного пространства, которые переданы на завод N 115.</w:t>
      </w:r>
    </w:p>
    <w:p w14:paraId="213DD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высотности мотора.</w:t>
      </w:r>
    </w:p>
    <w:p w14:paraId="5B879E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совместной работы ЛИИ, ЦИАМ и завода N 115 разработан новый улучшенный всасывающий патрубок, испытывающийся в настоящее время на одном из самолетов.</w:t>
      </w:r>
    </w:p>
    <w:p w14:paraId="7CDF3D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 маслосистеме.</w:t>
      </w:r>
    </w:p>
    <w:p w14:paraId="1B37B1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Проверкой в полете маслосистемы самолета установлено следующее:</w:t>
      </w:r>
    </w:p>
    <w:p w14:paraId="429929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Высотность маслосистемы недостаточна и поддерживается за счет большого избыточного давления в баках. На высоте 8000 м давление масла в моторе равно 4 кг/см кв., благодаря избыточному давлению в маслобаках 0,2 кг/см кв. При запуске мотора избыточное давление в маслобаках доходило до 0,6 кг/см кв., что является недопустимым.</w:t>
      </w:r>
    </w:p>
    <w:p w14:paraId="08CE17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Температура входящего масла высокая (до 90 градусов Ц) и превышает температуру, рекомендуемую моторным заводом (70 градусов Ц). Перепад температур входящего и выходящего масла мал (30 градусов Ц вместо требуемого 40 градусов Ц). Для улучшения работы маслосистемы ЛИИ проведены следующие мероприятия: установлен трубопровод, по которому масло из передней дополнительной маслопомпы проходит в бак, минуя радиаторы. Это снизило температуру входящего масла на 8-10 градусов Ц.</w:t>
      </w:r>
    </w:p>
    <w:p w14:paraId="656142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 целью уменьшения давления в маслобаках изменен дренаж; вместо вывода в переднюю часть мотора, дренаж выведен в корпус привода нагнетателя. Это мероприятие снизило давление в баках при запуске и в полете до величины, не превышающей 0,2 кг/см кв.</w:t>
      </w:r>
    </w:p>
    <w:p w14:paraId="5F3120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настоящее время ЛИИ разрабатывается схема маслосистемы с обратным клапаном по типу ранее рекомендованной заводу N 115 для самолета Як-9 с М-105 ПД, что должно повысить высотность маслосистемы самолета.</w:t>
      </w:r>
    </w:p>
    <w:p w14:paraId="7ABE9E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выявленные за время испытаний самолета и мотора:</w:t>
      </w:r>
    </w:p>
    <w:p w14:paraId="7DD858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попадание в цилиндры и картер мотора воды на двух моторах.</w:t>
      </w:r>
    </w:p>
    <w:p w14:paraId="6FD7B4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Трещины в мотораме самолета - на трех самолетах.</w:t>
      </w:r>
    </w:p>
    <w:p w14:paraId="41473F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доводочных работ, проведенных ЛИИ, самолеты Як-9 с М-107А после осуществления на них мероприятий, рекомендуемых ЛИИ, могут быть допущены к полетам для определения летных характеристик.</w:t>
      </w:r>
    </w:p>
    <w:p w14:paraId="656499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Доводка высотности самолета Як-9 с М-105 ПД.</w:t>
      </w:r>
    </w:p>
    <w:p w14:paraId="5F52BF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Бензопитания - путем установки бензопомпы с инжекторной подкачкой, обеспечено нормальное давление бензина на всех высотах до 12500 м.</w:t>
      </w:r>
    </w:p>
    <w:p w14:paraId="0489AD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Зажигания - путем установки по схеме ЛИИ наддува свечей и магнето (от нагнетателя мотора), обеспечена нормальная работа системы зажигания до высоты 12500 м.</w:t>
      </w:r>
    </w:p>
    <w:p w14:paraId="30C388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Охлаждения воды - в результате проведенных ЛИИ мероприятий: установки сепараторов (конструкции ЛИИ) на выходе воды из мотора, отепления распределительного бачка, герметизации туннеля водорадиатора и увеличения хода заслонки, водосистема на всех достигнутых высотах работала нормально.</w:t>
      </w:r>
    </w:p>
    <w:p w14:paraId="58613B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Система заполнения бензобаков выхлопными газами - устранен вакуум в бензобаках на планировании и пикировании, обеспечено избыточное давление в бензобаках 0,12-0,15 кг/см кв.</w:t>
      </w:r>
    </w:p>
    <w:p w14:paraId="25285E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Изменено управление высотным корректором. Высотный корректор перенесен в кабину летчика и установлено приспособление для микрометрического управления им в полете.</w:t>
      </w:r>
    </w:p>
    <w:p w14:paraId="18B797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Полеты производились с высотным корректором завода 315 и ЦИАМ.</w:t>
      </w:r>
    </w:p>
    <w:p w14:paraId="5643B0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7-ми полетах достигнута высота 11800-12100 м по прибору летчика, что соответствует 12100-12400 м в стандартных условиях. Эта высота еще не является потолком, но из-за трудности подбора в полете нужного состава смеси, из-за большой чувствительности мотора к обеднению, мотор на этой высоте обрезает. В настоящее время производится установка нового мотора, представленного ЦИАМ"ом.</w:t>
      </w:r>
    </w:p>
    <w:p w14:paraId="7DD33B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Як-1.</w:t>
      </w:r>
    </w:p>
    <w:p w14:paraId="2B98E7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Як-1.</w:t>
      </w:r>
    </w:p>
    <w:p w14:paraId="23E3D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контрольные испытания серийного самолета Як-1 N 12150 производства завода N 292 выпуска сентября.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69860F8" w14:textId="77777777" w:rsidTr="00ED5B0A">
        <w:tc>
          <w:tcPr>
            <w:tcW w:w="5636" w:type="dxa"/>
          </w:tcPr>
          <w:p w14:paraId="75CD6F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6533FD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 км/час</w:t>
            </w:r>
          </w:p>
        </w:tc>
      </w:tr>
      <w:tr w:rsidR="00A907A5" w:rsidRPr="00271E51" w14:paraId="51C269DB" w14:textId="77777777" w:rsidTr="00ED5B0A">
        <w:tc>
          <w:tcPr>
            <w:tcW w:w="5636" w:type="dxa"/>
          </w:tcPr>
          <w:p w14:paraId="6ECCD2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5636" w:type="dxa"/>
          </w:tcPr>
          <w:p w14:paraId="42B917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E66E15" w14:textId="77777777" w:rsidTr="00ED5B0A">
        <w:tc>
          <w:tcPr>
            <w:tcW w:w="5636" w:type="dxa"/>
          </w:tcPr>
          <w:p w14:paraId="2A63E8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Н=3400 м</w:t>
            </w:r>
          </w:p>
        </w:tc>
        <w:tc>
          <w:tcPr>
            <w:tcW w:w="5636" w:type="dxa"/>
          </w:tcPr>
          <w:p w14:paraId="55D3A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598 км/час</w:t>
            </w:r>
          </w:p>
        </w:tc>
      </w:tr>
      <w:tr w:rsidR="00A907A5" w:rsidRPr="00271E51" w14:paraId="2B902A97" w14:textId="77777777" w:rsidTr="00ED5B0A">
        <w:tc>
          <w:tcPr>
            <w:tcW w:w="5636" w:type="dxa"/>
          </w:tcPr>
          <w:p w14:paraId="4D19E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76D6DA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r>
    </w:tbl>
    <w:p w14:paraId="54BEB3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Температуры воды и масла на режиме набора высоты в РАТУ находятся в пределах нормы.</w:t>
      </w:r>
    </w:p>
    <w:p w14:paraId="32FB1A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6625A7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Отсос посадочных щитков в полете при кране, установленном нейтрально.</w:t>
      </w:r>
    </w:p>
    <w:p w14:paraId="4DA9C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На входе в канал всасывающего патрубка имеется уступ.</w:t>
      </w:r>
    </w:p>
    <w:p w14:paraId="049157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Сопряжение зализа крыла с каналом всасывающего патрубка имеет волнистость.</w:t>
      </w:r>
    </w:p>
    <w:p w14:paraId="56C37B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Отсутствует герметизация куполов шасси вследствие плохого качества замков "молния" (шов замка в закрытом положении расходится).</w:t>
      </w:r>
    </w:p>
    <w:p w14:paraId="245A82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 входной части туннеля маслорадиатора вмятины и уступы по всей поверхности.</w:t>
      </w:r>
    </w:p>
    <w:p w14:paraId="3F582D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Уступ (5 мм) между коком винта и кольцом каркаса моторных капотов.</w:t>
      </w:r>
    </w:p>
    <w:p w14:paraId="34D21D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Плохая и небрежная подгонка лючков.</w:t>
      </w:r>
    </w:p>
    <w:p w14:paraId="7BB0B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указанных дефектах доведено до сведения завода N 292.</w:t>
      </w:r>
    </w:p>
    <w:p w14:paraId="45333B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агрегата ВГ конструкции ЦИАМ на самолете Як-1.</w:t>
      </w:r>
    </w:p>
    <w:p w14:paraId="596EEE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Агрегат объединенного управления винтом и газом конструкции ЦИАМ был предъявлен на испытания после доводки и устранения дефектов, выявленных в ЛИИ при доводочных летных испытаниях.</w:t>
      </w:r>
    </w:p>
    <w:p w14:paraId="0FBE66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агрегата ВГ проводились на самолете Як-1, имевшем серийную систему совместного управления винтом и газом конструкции НИИ ВВС.</w:t>
      </w:r>
    </w:p>
    <w:p w14:paraId="166A5E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выявлены преимущества и недостатки агрегата ВГ по сравнению с серийной системой.</w:t>
      </w:r>
    </w:p>
    <w:p w14:paraId="09B23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Преимущества агрегатов "ВГ":</w:t>
      </w:r>
    </w:p>
    <w:p w14:paraId="160BB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Агрегат ВГ является агрегатом мотора и монтаж его можно производить на моторном заводе с регулировкой при испытании мотора на станке.</w:t>
      </w:r>
    </w:p>
    <w:p w14:paraId="598EBE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Агрегат ВГ обеспечивает более экономичные режимы полета самолета Як-1 с М-105ПФ на всех высотах до 2-й границы высотности мотора, по сравнению с серийной системой и НИИ ВВС.</w:t>
      </w:r>
    </w:p>
    <w:p w14:paraId="542759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Недостатки агрегата ВГ:</w:t>
      </w:r>
    </w:p>
    <w:p w14:paraId="04ABFD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Агрегат не позволяет затежелять винт на номинальном режиме мотора; в случаях перегрева или выброса масла через суфлер на режимах максимальной скорости и скороподъемности необходимо для снижения оборотов убирать газ, что ведет к значительному ухудшению летных качеств самолета.</w:t>
      </w:r>
    </w:p>
    <w:p w14:paraId="5538AC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Выше второй границы высотности обороты мотора с агрегатом ВГ на режиме максимальной дальности получаются на 160-200 об/мин. больше наивыгоднейших, что дает увеличение километровых расходов горючего на 2-3 %.</w:t>
      </w:r>
    </w:p>
    <w:p w14:paraId="7A41C1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даче газа номинальные обороты мотора с агрегатом ВГ устанавливаются без заброса в течение 10-12 сек. против нормальных 1,5-2 сек. без агрегата.</w:t>
      </w:r>
    </w:p>
    <w:p w14:paraId="47A058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Система совместного управления винтом и газом конструкции НИИ ВВС не имеет указанных недостатков, так как позволяет раздельно управлять винтом и газом.</w:t>
      </w:r>
    </w:p>
    <w:p w14:paraId="6D71BC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устранения ЦИАМ"ом основного дефекта - невозможности затяжелять винт на режиме максимальной скорости и скороподъемности, агрегат ВГ может быть предъявлен для продолжения прерванных войсковых испытаний.</w:t>
      </w:r>
    </w:p>
    <w:p w14:paraId="3F5F9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вооружения самолета Як-1.</w:t>
      </w:r>
    </w:p>
    <w:p w14:paraId="51FEE7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вооружения самолета Як-1 с целью проверки надежности и безотказности действия стрелковых установок самолета.</w:t>
      </w:r>
    </w:p>
    <w:p w14:paraId="3B1007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Проверено рассеивание при стрельбе с самолета и определены ряд характеристик стрелковых установок.</w:t>
      </w:r>
    </w:p>
    <w:p w14:paraId="71046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выявлен жесткий удар пушки при откате, заедание гильз в гильзоотводе, ненадежность тросовой проводки, плохое производственное выполнение горловины звенье-сборника пушки.</w:t>
      </w:r>
    </w:p>
    <w:p w14:paraId="5137FC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пулеметной установке обнаружена ненадежность клапанов перезарядки и спуска, ненадежность газоотводных труб и плохое производственное выполнение заднего узла крепления пулемета.</w:t>
      </w:r>
    </w:p>
    <w:p w14:paraId="6BE7D4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Точность стрельбы ухудшается из-за плохого производственного выполнения прозрачной брони, качки отражателя прицела и зависимости пристрелки от крепления пулемета.</w:t>
      </w:r>
    </w:p>
    <w:p w14:paraId="37D6A7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усовершенствовать контровку цапф пулемета и производить пристрелку оружия огнем при автоматической стрельбе. Заканчивается составление отчета об испытаниях.</w:t>
      </w:r>
    </w:p>
    <w:p w14:paraId="40E67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Як-7.</w:t>
      </w:r>
    </w:p>
    <w:p w14:paraId="637362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Як-7.</w:t>
      </w:r>
    </w:p>
    <w:p w14:paraId="5C8695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контрольные испытания самолета Як-7 М-105ПФ N 5017 производства завода N 153 сентября месяца.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180"/>
        <w:gridCol w:w="1418"/>
      </w:tblGrid>
      <w:tr w:rsidR="00A907A5" w:rsidRPr="00271E51" w14:paraId="45B450CE" w14:textId="77777777" w:rsidTr="00ED5B0A">
        <w:tc>
          <w:tcPr>
            <w:tcW w:w="9180" w:type="dxa"/>
          </w:tcPr>
          <w:p w14:paraId="322AA8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1418" w:type="dxa"/>
          </w:tcPr>
          <w:p w14:paraId="2997F5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 км/час</w:t>
            </w:r>
          </w:p>
        </w:tc>
      </w:tr>
      <w:tr w:rsidR="00A907A5" w:rsidRPr="00271E51" w14:paraId="62F3FD3D" w14:textId="77777777" w:rsidTr="00ED5B0A">
        <w:tc>
          <w:tcPr>
            <w:tcW w:w="9180" w:type="dxa"/>
          </w:tcPr>
          <w:p w14:paraId="318CD1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1418" w:type="dxa"/>
          </w:tcPr>
          <w:p w14:paraId="024317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A30CCC" w14:textId="77777777" w:rsidTr="00ED5B0A">
        <w:tc>
          <w:tcPr>
            <w:tcW w:w="9180" w:type="dxa"/>
          </w:tcPr>
          <w:p w14:paraId="454706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(4100 м)</w:t>
            </w:r>
          </w:p>
        </w:tc>
        <w:tc>
          <w:tcPr>
            <w:tcW w:w="1418" w:type="dxa"/>
          </w:tcPr>
          <w:p w14:paraId="50C1BE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594 км/час</w:t>
            </w:r>
          </w:p>
        </w:tc>
      </w:tr>
      <w:tr w:rsidR="00A907A5" w:rsidRPr="00271E51" w14:paraId="644C8C75" w14:textId="77777777" w:rsidTr="00ED5B0A">
        <w:tc>
          <w:tcPr>
            <w:tcW w:w="9180" w:type="dxa"/>
          </w:tcPr>
          <w:p w14:paraId="112EBF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1418" w:type="dxa"/>
          </w:tcPr>
          <w:p w14:paraId="496936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 мин.</w:t>
            </w:r>
          </w:p>
        </w:tc>
      </w:tr>
      <w:tr w:rsidR="00A907A5" w:rsidRPr="00271E51" w14:paraId="23EEF0EB" w14:textId="77777777" w:rsidTr="00ED5B0A">
        <w:tc>
          <w:tcPr>
            <w:tcW w:w="9180" w:type="dxa"/>
          </w:tcPr>
          <w:p w14:paraId="67B553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Проводятся испытания самолета Як-7 N 821530 М-105ПФ производства завода N 82 сентябрьского выпуска. Получены данные:</w:t>
            </w:r>
          </w:p>
        </w:tc>
        <w:tc>
          <w:tcPr>
            <w:tcW w:w="1418" w:type="dxa"/>
          </w:tcPr>
          <w:p w14:paraId="3255E2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3185E8" w14:textId="77777777" w:rsidTr="00ED5B0A">
        <w:tc>
          <w:tcPr>
            <w:tcW w:w="9180" w:type="dxa"/>
          </w:tcPr>
          <w:p w14:paraId="209D2C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1418" w:type="dxa"/>
          </w:tcPr>
          <w:p w14:paraId="48D089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483F5A" w14:textId="77777777" w:rsidTr="00ED5B0A">
        <w:tc>
          <w:tcPr>
            <w:tcW w:w="9180" w:type="dxa"/>
          </w:tcPr>
          <w:p w14:paraId="1DEAC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положении крана щитков</w:t>
            </w:r>
          </w:p>
        </w:tc>
        <w:tc>
          <w:tcPr>
            <w:tcW w:w="1418" w:type="dxa"/>
          </w:tcPr>
          <w:p w14:paraId="536F48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EC224A" w14:textId="77777777" w:rsidTr="00ED5B0A">
        <w:tc>
          <w:tcPr>
            <w:tcW w:w="9180" w:type="dxa"/>
          </w:tcPr>
          <w:p w14:paraId="41B354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"убрано")</w:t>
            </w:r>
          </w:p>
        </w:tc>
        <w:tc>
          <w:tcPr>
            <w:tcW w:w="1418" w:type="dxa"/>
          </w:tcPr>
          <w:p w14:paraId="17CF1F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 км/час</w:t>
            </w:r>
          </w:p>
        </w:tc>
      </w:tr>
    </w:tbl>
    <w:p w14:paraId="20EC7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2AAC9F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полете отсасывает посадочные щитки, вследствие чего при положении крана щитков "нейтрально" максимальная скорость у земли равна 498 км/час.</w:t>
      </w:r>
    </w:p>
    <w:p w14:paraId="3B7E33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Величина отсоса щитков - 45-50 мм.</w:t>
      </w:r>
    </w:p>
    <w:p w14:paraId="73975B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Недопустимо высокие температуры масла на наборе высоты (до 120 градусов), не допускающие возможности набора на оборотах 2700 об/мин.</w:t>
      </w:r>
    </w:p>
    <w:p w14:paraId="10AF76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указанных дефектах доведено до сведения завода N 82 и 1 ГУ.</w:t>
      </w:r>
    </w:p>
    <w:p w14:paraId="366F99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Як-7, улучшенного ЦАГИ.</w:t>
      </w:r>
    </w:p>
    <w:p w14:paraId="726F43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Проводятся летные испытания самолета Як-7 N 2829 производства завода N 153 с изменениями ЦАГИ, увеличивающими максимальную скорость самолета и облегчающими температурные режимы работы мотора.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3A77A06" w14:textId="77777777" w:rsidTr="00ED5B0A">
        <w:tc>
          <w:tcPr>
            <w:tcW w:w="5636" w:type="dxa"/>
          </w:tcPr>
          <w:p w14:paraId="3174BB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665987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 км/час</w:t>
            </w:r>
          </w:p>
        </w:tc>
      </w:tr>
      <w:tr w:rsidR="00A907A5" w:rsidRPr="00271E51" w14:paraId="4D965F39" w14:textId="77777777" w:rsidTr="00ED5B0A">
        <w:tc>
          <w:tcPr>
            <w:tcW w:w="5636" w:type="dxa"/>
          </w:tcPr>
          <w:p w14:paraId="1B00F9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5636" w:type="dxa"/>
          </w:tcPr>
          <w:p w14:paraId="0F79C5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8EA1F3" w14:textId="77777777" w:rsidTr="00ED5B0A">
        <w:tc>
          <w:tcPr>
            <w:tcW w:w="5636" w:type="dxa"/>
          </w:tcPr>
          <w:p w14:paraId="1CCFF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(3650 м)</w:t>
            </w:r>
          </w:p>
        </w:tc>
        <w:tc>
          <w:tcPr>
            <w:tcW w:w="5636" w:type="dxa"/>
          </w:tcPr>
          <w:p w14:paraId="720374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609 км/час</w:t>
            </w:r>
          </w:p>
        </w:tc>
      </w:tr>
      <w:tr w:rsidR="00A907A5" w:rsidRPr="00271E51" w14:paraId="36A24EDB" w14:textId="77777777" w:rsidTr="00ED5B0A">
        <w:tc>
          <w:tcPr>
            <w:tcW w:w="5636" w:type="dxa"/>
          </w:tcPr>
          <w:p w14:paraId="3FE7A8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354517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 мин.</w:t>
            </w:r>
          </w:p>
        </w:tc>
      </w:tr>
    </w:tbl>
    <w:p w14:paraId="0BB7EF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самолета возросла у земли и на расчетной высоте на 17 км/час, по сравнению со скоростью этого же самолета после его модификации на заводе 153. На расчетной высоте следовало ожидать большего прироста скорости. Недобор скорости на расчетной высоте объясняется худшей работой мотора на II скорости нагнетателя.</w:t>
      </w:r>
    </w:p>
    <w:p w14:paraId="2A6B76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Замена двух серийных всасывающих патрубков на один патрубок с измененными формой канала и местом расположения его не повлияла на максимальную скорость и границу высотности самолета. Уширение комлевых частей лопастей винта привело к увеличению максимальной скорости самолета на 4 км/час.</w:t>
      </w:r>
    </w:p>
    <w:p w14:paraId="77B318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Индивидуальные выхлопные патрубки ЦАГИ по сравнению с индивидуальными выхлопными патрубками НИИ увеличивают максимальную скорость самолета на 1-2 км/час.</w:t>
      </w:r>
    </w:p>
    <w:p w14:paraId="2CB012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площади выхода туннелей радиаторов максимальные температуры воды и масла на наборе высоты в расчетных атмосферных условиях не превышают предельно-допустимых температур.</w:t>
      </w:r>
    </w:p>
    <w:p w14:paraId="79B46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будут продолжены после перестановки мотора.</w:t>
      </w:r>
    </w:p>
    <w:p w14:paraId="199A91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Лагг-3.</w:t>
      </w:r>
    </w:p>
    <w:p w14:paraId="59D31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Лагг-3.</w:t>
      </w:r>
    </w:p>
    <w:p w14:paraId="1120A4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Лагг-3 М-105ПФ N 6542 производства завода N 31 августовского выпуска.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7524575B" w14:textId="77777777" w:rsidTr="00ED5B0A">
        <w:tc>
          <w:tcPr>
            <w:tcW w:w="5636" w:type="dxa"/>
          </w:tcPr>
          <w:p w14:paraId="2C4E0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636" w:type="dxa"/>
          </w:tcPr>
          <w:p w14:paraId="47DFF0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2992 кг</w:t>
            </w:r>
          </w:p>
        </w:tc>
      </w:tr>
      <w:tr w:rsidR="00A907A5" w:rsidRPr="00271E51" w14:paraId="1FB0B0B5" w14:textId="77777777" w:rsidTr="00ED5B0A">
        <w:tc>
          <w:tcPr>
            <w:tcW w:w="5636" w:type="dxa"/>
          </w:tcPr>
          <w:p w14:paraId="0E383B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w:t>
            </w:r>
          </w:p>
        </w:tc>
        <w:tc>
          <w:tcPr>
            <w:tcW w:w="5636" w:type="dxa"/>
          </w:tcPr>
          <w:p w14:paraId="1E4387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91C49C" w14:textId="77777777" w:rsidTr="00ED5B0A">
        <w:tc>
          <w:tcPr>
            <w:tcW w:w="5636" w:type="dxa"/>
          </w:tcPr>
          <w:p w14:paraId="5877C6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границе высотности</w:t>
            </w:r>
          </w:p>
        </w:tc>
        <w:tc>
          <w:tcPr>
            <w:tcW w:w="5636" w:type="dxa"/>
          </w:tcPr>
          <w:p w14:paraId="06023A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581 км/час</w:t>
            </w:r>
          </w:p>
        </w:tc>
      </w:tr>
      <w:tr w:rsidR="00A907A5" w:rsidRPr="00271E51" w14:paraId="457C00B2" w14:textId="77777777" w:rsidTr="00ED5B0A">
        <w:tc>
          <w:tcPr>
            <w:tcW w:w="5636" w:type="dxa"/>
          </w:tcPr>
          <w:p w14:paraId="59304C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5636" w:type="dxa"/>
          </w:tcPr>
          <w:p w14:paraId="2CEAC4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D7080A" w14:textId="77777777" w:rsidTr="00ED5B0A">
        <w:tc>
          <w:tcPr>
            <w:tcW w:w="5636" w:type="dxa"/>
          </w:tcPr>
          <w:p w14:paraId="41338F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5636" w:type="dxa"/>
          </w:tcPr>
          <w:p w14:paraId="7214C5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 м.</w:t>
            </w:r>
          </w:p>
        </w:tc>
      </w:tr>
    </w:tbl>
    <w:p w14:paraId="515C3C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5A8AD9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Неудовлетворительная отделка и покрытие самолета.</w:t>
      </w:r>
    </w:p>
    <w:p w14:paraId="1BB9FD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Неправильная зарядка амортизационной стойки костыля, вызывающая недопустимую жесткость амортизации.</w:t>
      </w:r>
    </w:p>
    <w:p w14:paraId="492F5D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На ряде самолетов, в процессе эксплуатации, наблюдаются случаи разрушения элеронов в полете (на пикировании и фигурах) и отставания обшивки центроплана.</w:t>
      </w:r>
    </w:p>
    <w:p w14:paraId="3925EB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Выявление причин разрыва гибких шлангов гидросистемы шасси самолета Лагг-3.</w:t>
      </w:r>
    </w:p>
    <w:p w14:paraId="7EBA2E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изучения причин разрушения гибких шлангов гидросистемы самолета Лагг-3, рекомендовано для предотвращения этого явления, установить дополнительный редукционный (предохранительный) клапан на участке трубопровода между тройником и клапаном ЗШК-760. Дополнительный клапан должен быть отрегулирован на давление превышающее регулировку основного редукционного клапана помпы на 50%.</w:t>
      </w:r>
    </w:p>
    <w:p w14:paraId="478B32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сообщены 1-му Гл. управлению НКАП, заводу N 31 и ВВС.</w:t>
      </w:r>
    </w:p>
    <w:p w14:paraId="422B4E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p w14:paraId="126EA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Подбор рационального режима зарядки амортизатора хвостового колеса самолета Ил-2.</w:t>
      </w:r>
    </w:p>
    <w:p w14:paraId="3A98D7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амортизатора хвостового колеса на самолете Ил-2. Испытаниями установлено, что при серийной зарядке амортизатора (давление 35 атм., количество жидкости 320 см куб.) имели место случаи полного обжатия амортизатора, в результате чего вертикальные перегрузки в хвостовой части фюзеляжа повышались до 3,8-4 g.</w:t>
      </w:r>
    </w:p>
    <w:p w14:paraId="14875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рекомендован следующий режим зарядки: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79"/>
        <w:gridCol w:w="3793"/>
      </w:tblGrid>
      <w:tr w:rsidR="00A907A5" w:rsidRPr="00271E51" w14:paraId="085FB8D0" w14:textId="77777777" w:rsidTr="00ED5B0A">
        <w:tc>
          <w:tcPr>
            <w:tcW w:w="7479" w:type="dxa"/>
          </w:tcPr>
          <w:p w14:paraId="28381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Начальное давление зарядки</w:t>
            </w:r>
          </w:p>
        </w:tc>
        <w:tc>
          <w:tcPr>
            <w:tcW w:w="3793" w:type="dxa"/>
          </w:tcPr>
          <w:p w14:paraId="0A94C5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19D7BF" w14:textId="77777777" w:rsidTr="00ED5B0A">
        <w:tc>
          <w:tcPr>
            <w:tcW w:w="7479" w:type="dxa"/>
          </w:tcPr>
          <w:p w14:paraId="5B41BC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амортизатора</w:t>
            </w:r>
          </w:p>
        </w:tc>
        <w:tc>
          <w:tcPr>
            <w:tcW w:w="3793" w:type="dxa"/>
          </w:tcPr>
          <w:p w14:paraId="03E9A2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атм.</w:t>
            </w:r>
          </w:p>
        </w:tc>
      </w:tr>
      <w:tr w:rsidR="00A907A5" w:rsidRPr="00271E51" w14:paraId="3392D56F" w14:textId="77777777" w:rsidTr="00ED5B0A">
        <w:tc>
          <w:tcPr>
            <w:tcW w:w="7479" w:type="dxa"/>
          </w:tcPr>
          <w:p w14:paraId="3B767D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Количество жидкости</w:t>
            </w:r>
          </w:p>
        </w:tc>
        <w:tc>
          <w:tcPr>
            <w:tcW w:w="3793" w:type="dxa"/>
          </w:tcPr>
          <w:p w14:paraId="4BBD2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 см куб.</w:t>
            </w:r>
          </w:p>
        </w:tc>
      </w:tr>
      <w:tr w:rsidR="00A907A5" w:rsidRPr="00271E51" w14:paraId="0FC6D8F5" w14:textId="77777777" w:rsidTr="00ED5B0A">
        <w:tc>
          <w:tcPr>
            <w:tcW w:w="7479" w:type="dxa"/>
          </w:tcPr>
          <w:p w14:paraId="2312D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Начальное давление зарядки</w:t>
            </w:r>
          </w:p>
        </w:tc>
        <w:tc>
          <w:tcPr>
            <w:tcW w:w="3793" w:type="dxa"/>
          </w:tcPr>
          <w:p w14:paraId="244896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41D5F5" w14:textId="77777777" w:rsidTr="00ED5B0A">
        <w:tc>
          <w:tcPr>
            <w:tcW w:w="7479" w:type="dxa"/>
          </w:tcPr>
          <w:p w14:paraId="5A7DF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пневматика</w:t>
            </w:r>
          </w:p>
        </w:tc>
        <w:tc>
          <w:tcPr>
            <w:tcW w:w="3793" w:type="dxa"/>
          </w:tcPr>
          <w:p w14:paraId="2CEA3D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атм.</w:t>
            </w:r>
          </w:p>
        </w:tc>
      </w:tr>
      <w:tr w:rsidR="00A907A5" w:rsidRPr="00271E51" w14:paraId="1A4D7FEC" w14:textId="77777777" w:rsidTr="00ED5B0A">
        <w:tc>
          <w:tcPr>
            <w:tcW w:w="7479" w:type="dxa"/>
          </w:tcPr>
          <w:p w14:paraId="45B9ED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сообщены 10, 7 Гл. упр. НКАП и гл. конструктору завода 240 С.В.И.</w:t>
            </w:r>
          </w:p>
        </w:tc>
        <w:tc>
          <w:tcPr>
            <w:tcW w:w="3793" w:type="dxa"/>
          </w:tcPr>
          <w:p w14:paraId="08D624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5A0E7F" w14:textId="77777777" w:rsidTr="00ED5B0A">
        <w:tc>
          <w:tcPr>
            <w:tcW w:w="7479" w:type="dxa"/>
          </w:tcPr>
          <w:p w14:paraId="2A3138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Уточнение режима зарядки амортизатора шасси самолета Ил-2.</w:t>
            </w:r>
          </w:p>
        </w:tc>
        <w:tc>
          <w:tcPr>
            <w:tcW w:w="3793" w:type="dxa"/>
          </w:tcPr>
          <w:p w14:paraId="3D5F0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B932CF" w14:textId="77777777" w:rsidTr="00ED5B0A">
        <w:tc>
          <w:tcPr>
            <w:tcW w:w="7479" w:type="dxa"/>
          </w:tcPr>
          <w:p w14:paraId="76EADD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проведенных испытаний рекомендован режим зарядки амортизаторов шасси самолета Ил-2:</w:t>
            </w:r>
          </w:p>
        </w:tc>
        <w:tc>
          <w:tcPr>
            <w:tcW w:w="3793" w:type="dxa"/>
          </w:tcPr>
          <w:p w14:paraId="2B35D1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846148" w14:textId="77777777" w:rsidTr="00ED5B0A">
        <w:tc>
          <w:tcPr>
            <w:tcW w:w="7479" w:type="dxa"/>
          </w:tcPr>
          <w:p w14:paraId="3DDF17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Количество жидкости на каждую</w:t>
            </w:r>
          </w:p>
        </w:tc>
        <w:tc>
          <w:tcPr>
            <w:tcW w:w="3793" w:type="dxa"/>
          </w:tcPr>
          <w:p w14:paraId="32841E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F98AC5" w14:textId="77777777" w:rsidTr="00ED5B0A">
        <w:tc>
          <w:tcPr>
            <w:tcW w:w="7479" w:type="dxa"/>
          </w:tcPr>
          <w:p w14:paraId="1E94CE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амортизационную стойку</w:t>
            </w:r>
          </w:p>
        </w:tc>
        <w:tc>
          <w:tcPr>
            <w:tcW w:w="3793" w:type="dxa"/>
          </w:tcPr>
          <w:p w14:paraId="4DCB07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 см куб.</w:t>
            </w:r>
          </w:p>
        </w:tc>
      </w:tr>
      <w:tr w:rsidR="00A907A5" w:rsidRPr="00271E51" w14:paraId="2D45CB69" w14:textId="77777777" w:rsidTr="00ED5B0A">
        <w:tc>
          <w:tcPr>
            <w:tcW w:w="7479" w:type="dxa"/>
          </w:tcPr>
          <w:p w14:paraId="004D67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Начальное давление зарядки</w:t>
            </w:r>
          </w:p>
        </w:tc>
        <w:tc>
          <w:tcPr>
            <w:tcW w:w="3793" w:type="dxa"/>
          </w:tcPr>
          <w:p w14:paraId="347951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076D9C" w14:textId="77777777" w:rsidTr="00ED5B0A">
        <w:tc>
          <w:tcPr>
            <w:tcW w:w="7479" w:type="dxa"/>
          </w:tcPr>
          <w:p w14:paraId="699933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амортизаторов</w:t>
            </w:r>
          </w:p>
        </w:tc>
        <w:tc>
          <w:tcPr>
            <w:tcW w:w="3793" w:type="dxa"/>
          </w:tcPr>
          <w:p w14:paraId="35593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атм.</w:t>
            </w:r>
          </w:p>
        </w:tc>
      </w:tr>
      <w:tr w:rsidR="00A907A5" w:rsidRPr="00271E51" w14:paraId="0F71DF20" w14:textId="77777777" w:rsidTr="00ED5B0A">
        <w:tc>
          <w:tcPr>
            <w:tcW w:w="7479" w:type="dxa"/>
          </w:tcPr>
          <w:p w14:paraId="4A04B9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Начальное давление зарядки</w:t>
            </w:r>
          </w:p>
        </w:tc>
        <w:tc>
          <w:tcPr>
            <w:tcW w:w="3793" w:type="dxa"/>
          </w:tcPr>
          <w:p w14:paraId="325C06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949748" w14:textId="77777777" w:rsidTr="00ED5B0A">
        <w:tc>
          <w:tcPr>
            <w:tcW w:w="7479" w:type="dxa"/>
          </w:tcPr>
          <w:p w14:paraId="1E898F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пневматика</w:t>
            </w:r>
          </w:p>
        </w:tc>
        <w:tc>
          <w:tcPr>
            <w:tcW w:w="3793" w:type="dxa"/>
          </w:tcPr>
          <w:p w14:paraId="1E5EF9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атм.</w:t>
            </w:r>
          </w:p>
        </w:tc>
      </w:tr>
    </w:tbl>
    <w:p w14:paraId="2B7C6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сообщены 10, 7 Гл. упр. НКАП и гл. конструктору С.В.И.</w:t>
      </w:r>
    </w:p>
    <w:p w14:paraId="5F29F0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Пе-2.</w:t>
      </w:r>
    </w:p>
    <w:p w14:paraId="66FA5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Пе-2.</w:t>
      </w:r>
    </w:p>
    <w:p w14:paraId="2C4D39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контрольные испытания самолетов Пе-2 N 12/224 выпуска августа месяца производства завода 22.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33F765F" w14:textId="77777777" w:rsidTr="00ED5B0A">
        <w:tc>
          <w:tcPr>
            <w:tcW w:w="5636" w:type="dxa"/>
          </w:tcPr>
          <w:p w14:paraId="29927C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73BDCB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449 км/час</w:t>
            </w:r>
          </w:p>
        </w:tc>
      </w:tr>
      <w:tr w:rsidR="00A907A5" w:rsidRPr="00271E51" w14:paraId="44204B92" w14:textId="77777777" w:rsidTr="00ED5B0A">
        <w:tc>
          <w:tcPr>
            <w:tcW w:w="5636" w:type="dxa"/>
          </w:tcPr>
          <w:p w14:paraId="44ACF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II</w:t>
            </w:r>
          </w:p>
        </w:tc>
        <w:tc>
          <w:tcPr>
            <w:tcW w:w="5636" w:type="dxa"/>
          </w:tcPr>
          <w:p w14:paraId="3A5AB0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48F8A3" w14:textId="77777777" w:rsidTr="00ED5B0A">
        <w:tc>
          <w:tcPr>
            <w:tcW w:w="5636" w:type="dxa"/>
          </w:tcPr>
          <w:p w14:paraId="25FFF5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(3650 м)</w:t>
            </w:r>
          </w:p>
        </w:tc>
        <w:tc>
          <w:tcPr>
            <w:tcW w:w="5636" w:type="dxa"/>
          </w:tcPr>
          <w:p w14:paraId="676726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507 км/час</w:t>
            </w:r>
          </w:p>
        </w:tc>
      </w:tr>
      <w:tr w:rsidR="00A907A5" w:rsidRPr="00271E51" w14:paraId="1CD16943" w14:textId="77777777" w:rsidTr="00ED5B0A">
        <w:tc>
          <w:tcPr>
            <w:tcW w:w="5636" w:type="dxa"/>
          </w:tcPr>
          <w:p w14:paraId="397787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39A22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 м</w:t>
            </w:r>
          </w:p>
        </w:tc>
      </w:tr>
    </w:tbl>
    <w:p w14:paraId="28BFDF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максимальная скорость самолета Пе-2 N 12/224 на 15-17 км/час меньше максимальной скорости, предусмотренной приказом наркома N 206с от 10/IV-43 г., вследствие неполного осуществления рекомендации ЦАГИ (не поставлены индивидуальные выхлопные патрубки, не убрана внутрь фюзеляжа рамка РПК, полностью проведены мероприятия по герметизации) и дефектов производственного выполнения.</w:t>
      </w:r>
    </w:p>
    <w:p w14:paraId="63DD84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системы НГ 2-й зоны на серийном самолете Пе-2 (ремонтный вариант).</w:t>
      </w:r>
    </w:p>
    <w:p w14:paraId="442041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системы НГ 2-й зоны на серийном самолете Пе-2 N 2/202 с индивидуальными выхлопными патрубками проводились с целью определения основных характеристик системы; концентрация газа в отсеках, температуры газопровода и количество выделяемого конденсата.</w:t>
      </w:r>
    </w:p>
    <w:p w14:paraId="247B47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установлено, что система НГ 2-й зоны на Пе-2 работает неудовлетворительно. Концентрация выхлопных газов в отсеках бензобаков и в бомбовом отсеке значительно ниже требуемой по тактико-техническим требованиям. Температуры газопровода в районе фильтра-отстойника высоки. Вместо необходимой для образования конденсата водяных паров - 30 градусов С, температура газопровода за фильтром-отстойником доходит до 45 градусов С. Количество конденсата в фильтре-отстойнике серийной системы незначительно.</w:t>
      </w:r>
    </w:p>
    <w:p w14:paraId="287481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спец. КБ завода 156 на основании полученных результатов испытаний производит оборудование самолета ПЕ-2 системой НГ-2-й зоны по новой схеме.</w:t>
      </w:r>
    </w:p>
    <w:p w14:paraId="18A75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трубки ПИТО конструкции НИСО на самолете Пе-2.</w:t>
      </w:r>
    </w:p>
    <w:p w14:paraId="676176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установлено, что трубка НИСО-2, установленная на самолете Пе-2, увеличивает отрицательные аэродинамические поправки указателя скорости на 6 км/час при V=300 км/час и на 15 км/час при V=450 км/час по сравнению с серийной трубкой ПИТО.</w:t>
      </w:r>
    </w:p>
    <w:p w14:paraId="211C81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Впредь до подбора нового места установки трубки, при котором поправки останутся прежними нельзя рекомендовать установку трубки ПИТО типа НИСО-2 на самолет Пе-2.</w:t>
      </w:r>
    </w:p>
    <w:p w14:paraId="5D9CDF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Ил-4.</w:t>
      </w:r>
    </w:p>
    <w:p w14:paraId="66493C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Ил-4 N 316 с ТК-3.</w:t>
      </w:r>
    </w:p>
    <w:p w14:paraId="22B453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полетов по программе испытаний агрегатов ТК-3 установлено:</w:t>
      </w:r>
    </w:p>
    <w:p w14:paraId="7AEAAC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заборных воздушных патрубках отсутствует скоростной напор и создается разрежение, доходящее в горизонтальном полете на высоте 7000 м до 9 мм рт. ст.; следствием этого является потеря высотности моторов порядка 400-500 м.</w:t>
      </w:r>
    </w:p>
    <w:p w14:paraId="17EFF8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Граница высотности правого мотора при работе с включенным ТК-3 равна 6600-6700 м (расчетная граница - 8000 м). Граница высотности левого мотора не определялась, в связи с большой разницей в наддувах моторов, достигающей на высоте 6600 м - 100 мм рт. ст. Потеря высотности и разница в высотности обеих моторов является следствием неудовлетворительной конструкции заборного патрубка.</w:t>
      </w:r>
    </w:p>
    <w:p w14:paraId="6C1BB1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высотах порядка 6000 м, при полном наддуве моторов, вертикальная скорость самолета равна 0,9-1 м/сек., что объясняется неудачным подбором винтов (ВИШ-23) к моторам М-88Б с ТК-3.</w:t>
      </w:r>
    </w:p>
    <w:p w14:paraId="7D8633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самолете Ил-4 N 316 в полете возникают прогрессирующие от полета к полету вибрации хвостового оперения и обшивки фюзеляжа.</w:t>
      </w:r>
    </w:p>
    <w:p w14:paraId="20797E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проводится исследование в полете причин и характера вибрации.</w:t>
      </w:r>
    </w:p>
    <w:p w14:paraId="7003D5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механизма винтов ВИШ-23Д-82 завода 383 на самолете Ил-4 с моторами М-88Б.</w:t>
      </w:r>
    </w:p>
    <w:p w14:paraId="5E2FB4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механизма винтов ВИШ-23Д-82 и проверена возможность полета самолета на одном моторе с этими винтами.</w:t>
      </w:r>
    </w:p>
    <w:p w14:paraId="67212F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испытания установлено, что при даче газа винты дают заброс оборотов на 200 об/мин. больше, чем заброс у серийных винтов ВИШ-23. При уборке газа винты не дают заброса оборотов.</w:t>
      </w:r>
    </w:p>
    <w:p w14:paraId="7F187D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 на одном моторе без снижения возможен только на скорости 170 км/час по прибору, в то время, как с серийными винтами ВИШ-23 полет на одном моторе возможен в диапазоне скоростей 170-200 км/час по прибору.</w:t>
      </w:r>
    </w:p>
    <w:p w14:paraId="698F3E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самолета с винтами ВИШ-23Д-82 уменьшается на 8-9 км/час по сравнению с винтами ВИШ-23; время набора высоты 5000 м увеличивается на 1,4 мин., разбег уменьшается на 80-90 метров.</w:t>
      </w:r>
    </w:p>
    <w:p w14:paraId="3765E7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Вследствие недопустимого заброса оборотов при даче газа и ухудшения летных качеств самолета, особенно при полете на одном моторе, винты ВИШ-23Д-82 рекомендованы не могут быть для запуска в серию для боевых самолетов.</w:t>
      </w:r>
    </w:p>
    <w:p w14:paraId="5B6149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управляемости самолета Ил-4 М-88Б с винтами ВИШ-23 при полете на одном моторе.</w:t>
      </w:r>
    </w:p>
    <w:p w14:paraId="3E4098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Разработаны мероприятия по улучшению управляемости самолета Ил-4 при полете на одном моторе. В результате испытаний рекомендовано увеличить до 40% площадь триммера руля направления для уменьшения нагрузок на педали при полете на одном моторе (наклепка по длине триммера пластинки шириной 50 мм).</w:t>
      </w:r>
    </w:p>
    <w:p w14:paraId="4F1871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полном отклонении увеличенного триммера и крене 3-5 градусов в сторону работающего мотора нагрузки с педалей при полете на одном моторе полностью снимаются и возможен длительный полет.</w:t>
      </w:r>
    </w:p>
    <w:p w14:paraId="77D249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Заканчивается составление отчета (1783,178).</w:t>
      </w:r>
    </w:p>
    <w:p w14:paraId="5963E5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55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13 октября 1943 был подготовлен проект приказа НКАП по обеспечению огневой мощи Ла-5 М-82ФН. Хотели переоборудовать и передать на гос. испытания к 15 ноября 1943 два серийных Ла-5 с 3 синхронными ШВАК с боекомплектом 150 снарядов на каждую. Плюс: перенести всасывающий патрубок вниз, маслорадиатор - под фюзеляж - в общем почти Ла-7 (1458,245).</w:t>
      </w:r>
    </w:p>
    <w:p w14:paraId="124310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0CF9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889BA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D466AA" w14:textId="77777777" w:rsidR="00473181" w:rsidRPr="00271E51" w:rsidRDefault="00473181" w:rsidP="00271E51">
      <w:pPr>
        <w:pStyle w:val="a3"/>
        <w:rPr>
          <w:color w:val="000000" w:themeColor="text1"/>
          <w:lang w:val="ru-RU"/>
        </w:rPr>
      </w:pPr>
      <w:r w:rsidRPr="00271E51">
        <w:rPr>
          <w:color w:val="000000" w:themeColor="text1"/>
          <w:lang w:val="ru-RU"/>
        </w:rPr>
        <w:t>13 октября 1943 года постановлением СНК №19676рс объединённым в Харькове остаткам заводов № 183 и № 75 был присвоен № 75. В приказе НКТП № 616с от 16 ноября 1943 года был определён порядок восстановления этого предприятия (РГАЭ. Ф. 8752. Оп. 4. Д. 308. Л. 274-272). Намечалось три этапа возрождения производства на заводе. На первом этапе, который предполагалось завершить к 1 марта 1944 года, завод должен был организовать ремонт танков и моторов, а также начать выпуск артиллерийских тягачей в кооперации с другими заводами. На втором этапе, к 1 июля 1944 года, завод должен был добиться независимости от кооперации в производстве арттягачей, освоив производство основных деталей к ним своими силами. На третьем этапе, к ноябрю 1944 года, завод должен был уже начать производство своими силами не только арттягачей, но и дизелей, топливной аппаратуры и танков.</w:t>
      </w:r>
    </w:p>
    <w:p w14:paraId="4D7388C9" w14:textId="77777777" w:rsidR="00473181" w:rsidRPr="00271E51" w:rsidRDefault="00473181" w:rsidP="00271E51">
      <w:pPr>
        <w:pStyle w:val="a3"/>
        <w:rPr>
          <w:color w:val="000000" w:themeColor="text1"/>
          <w:lang w:val="ru-RU"/>
        </w:rPr>
      </w:pPr>
      <w:r w:rsidRPr="00271E51">
        <w:rPr>
          <w:color w:val="000000" w:themeColor="text1"/>
          <w:lang w:val="ru-RU"/>
        </w:rPr>
        <w:t>К концу года восстановительные работы дали первые результаты. Площадь важнейших цехов завода достигла уже 95 тысяч квадратных метров. В распоряжении завода имелось 117 металлорежущих станков. На заводе уже начали работать две мартеновские печи общим тоннажем в 50 тонн (РГАЭ. Ф. 8752. Оп. 4. Д. 728. Л. 35).</w:t>
      </w:r>
    </w:p>
    <w:p w14:paraId="645358C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C81378F" w14:textId="77777777" w:rsidR="00311DEE" w:rsidRPr="00271E51" w:rsidRDefault="00311DEE" w:rsidP="00271E51">
      <w:pPr>
        <w:pStyle w:val="a3"/>
        <w:rPr>
          <w:color w:val="000000" w:themeColor="text1"/>
          <w:lang w:val="ru-RU"/>
        </w:rPr>
      </w:pPr>
      <w:r w:rsidRPr="00271E51">
        <w:rPr>
          <w:color w:val="000000" w:themeColor="text1"/>
          <w:lang w:val="ru-RU"/>
        </w:rPr>
        <w:t>13 октября 1943 г. Распоряжением СНК СССР за №19676рс и приказом №610 НКТП ремонтному заводу, ор</w:t>
      </w:r>
      <w:r w:rsidRPr="00271E51">
        <w:rPr>
          <w:color w:val="000000" w:themeColor="text1"/>
          <w:lang w:val="ru-RU"/>
        </w:rPr>
        <w:softHyphen/>
        <w:t>ганизованному на базе заводов №183 и №75, был присвоен номер «75» с возвращением ему ордена Ленина.Параллельно с восстановлением завод</w:t>
      </w:r>
      <w:r w:rsidRPr="00271E51">
        <w:rPr>
          <w:color w:val="000000" w:themeColor="text1"/>
          <w:lang w:val="ru-RU"/>
        </w:rPr>
        <w:softHyphen/>
        <w:t>ских цехов практически из руин в Харьков с завода №183 начали возвращаться бывшие инженерно-технические работники довоенных предприятий, в том числе занятые до войны в постройке «ворошиловцев». Это позволило сформировать на новом заводе полноценное конструкторское бюро (15748).</w:t>
      </w:r>
    </w:p>
    <w:p w14:paraId="343D596B" w14:textId="77777777" w:rsidR="00311DEE" w:rsidRPr="00271E51" w:rsidRDefault="00311DEE" w:rsidP="00271E51">
      <w:pPr>
        <w:pStyle w:val="a3"/>
        <w:rPr>
          <w:color w:val="000000" w:themeColor="text1"/>
          <w:lang w:val="ru-RU"/>
        </w:rPr>
      </w:pPr>
    </w:p>
    <w:p w14:paraId="309C2A1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вышло Распоряжение ГКО № 4325 [О поставках пиломатериалов для окончания восстановительных работ на ярославских предприятиях.] (7146, 7-9).</w:t>
      </w:r>
    </w:p>
    <w:p w14:paraId="7206EA5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5860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 была подготовлена справка:</w:t>
      </w:r>
    </w:p>
    <w:p w14:paraId="6F817D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88 НКВ – Калининград (9274).</w:t>
      </w:r>
    </w:p>
    <w:p w14:paraId="55B1C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C09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 была подготовлена справка:</w:t>
      </w:r>
    </w:p>
    <w:p w14:paraId="5477CC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Возобновить начиная с ноября 1943 года производство кинообъективов на заводе № 349 в Ленинграде разрешить снять с производства этого завода несоответствующие профилю оптико-механического производства изделия (штык, ударный механизм и др.).</w:t>
      </w:r>
    </w:p>
    <w:p w14:paraId="12FAA4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Возобновить в ноябре 1943 года производство оптического стекла на базе бывш. завода № 354 в Ленинграде с присвоением этому заводу № 586 (9274).</w:t>
      </w:r>
    </w:p>
    <w:p w14:paraId="3484E1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EA8E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102D2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31905"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октября </w:t>
      </w:r>
      <w:r w:rsidRPr="00271E51">
        <w:rPr>
          <w:rFonts w:ascii="Times New Roman" w:hAnsi="Times New Roman"/>
          <w:color w:val="000000" w:themeColor="text1"/>
          <w:sz w:val="16"/>
          <w:szCs w:val="16"/>
        </w:rPr>
        <w:t>в 1943 году оперативная сводка Совинформбюро:</w:t>
      </w:r>
    </w:p>
    <w:p w14:paraId="3D23AC09"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Мелитопольском направлении наши войска после трёхдневных ожесточенных боёв прорвали сильно укреплённую оборонительную полосу противника севернее и южнее города Мелитополь, форсировали реку Молочная и, продвинувшись от 8 до 10 километров, с боями заняли свыше 20 укреплённых пунктов противника. Бои идут в центре города Мелитополь. Немцы несут огромные потери в живой силе и технике.</w:t>
      </w:r>
    </w:p>
    <w:p w14:paraId="1C8B993B"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на Запорожском направлении после четырёхдневных упорных боёв прорвали сильно укреплённую оборону противника, продвинулись вперёд от 8 до 10 километров, с боями заняли более 30 укреплённых пунктов противника и ведут бои в 8—10 километрах от города Запорожье. Артиллерийским огнём и массированными налётами нашей авиации уничтожено большое количество немецких солдат и офицеров, много танков и артиллерии противника.</w:t>
      </w:r>
    </w:p>
    <w:p w14:paraId="32823C9C"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 правом берегу реки, южнее Киева, нашивойска развернули серьёзные бои за расширение плацдарма. Наши войска прорвали оборону противника и продвинулись вперёд на 6 километров. Неоднократные контратаки немцев отбиты с огромными для них потерями.</w:t>
      </w:r>
    </w:p>
    <w:p w14:paraId="495BEDC9"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и севернее Гомеля наши войска прорвали оборону противника, форсировали реку Сож и, продвинувшись вперёд на несколько километров, ведут бои непосредственно перед Гомелем.</w:t>
      </w:r>
    </w:p>
    <w:p w14:paraId="66BE0BF0"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23DCE0D0"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октября наши войска на всех фронтах подбили и уничтожили 127 немецких танков. В воздушных боях и огнём зенитной артиллерии сбито 90 самолётов противника.</w:t>
      </w:r>
    </w:p>
    <w:p w14:paraId="6BA9513E"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Мелитопольском направлении наши войска после трёхдневных ожесточённых боёв прорвали сильно укреплённую оборонительную полосу противника севернее и южнее города Мелитополь. Немцы по восточному берегу реки Молочная вырыли две линии противотанковых рвов. На западном берегу реки был создан ещё один глубокий противотанковый ров и разветвлённая сеть дзотов, окопов, траншей и ходов сообщений. Советские войска прорвали оборону противника, форсировали реку Молочная и, заняв ряд укреплённых пунктов противника, ворвались в город Мелитополь. Немцы вводят в бой свежие резервы и стремятся любой ценой задержать наступление наших войск. Однако все их контратаки терпят неудачу.</w:t>
      </w:r>
    </w:p>
    <w:p w14:paraId="599EB4E1"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Части Н-ского соединения, ворвавшиеся на южную окраину Мелитополя, сегодня ведут ожесточённые уличные бои в центре города. Противник несёт огромные потери. По неполным данным, за три дня только южнее Мелитополя уничтожено свыше 4.000 немецких солдат и офицеров, 38 танков, 16 самоходных и 82 полевых орудия. Нашими войсками взяты большие трофеи.</w:t>
      </w:r>
    </w:p>
    <w:p w14:paraId="388DF13B"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Запорожском направлении наши войска, в результате четырёхдневных боёв, прорвали сильно укреплённую оборону противника и, продвигаясь вперёд, заняли более 30 укреплённых пунктов. К исходу сегодняшнего дня наши войска ведут бои в 8—10 километрах от города Запорожье. Немцы бросили в контратаки крупные силы пехоты, танков и самоходных орудий. Советская артиллерия, гвардейские миномётные части и авиация обрушили на немцев всю силу своего огня и нанесли противнику исключительно тяжёлый урон. Только на одном участке уничтожено до полка немецкой пехоты, 22 танка, 5 самоходных орудий и 6 бронетранспортёров. На другом участке советские части штурмом овладели опорным пунктом, имеющим важное значение. На поле боя осталось свыше 1.500 вражеских трупов и 14 подбитых немецких танков. Захвачено 38 орудий, свыше 200 пулемётов, несколько складов с боеприпасами и военным имуществом.</w:t>
      </w:r>
    </w:p>
    <w:p w14:paraId="386C47F0"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в течение дня наши лётчики сбили 46 немецких самолётов.</w:t>
      </w:r>
    </w:p>
    <w:p w14:paraId="2D10A46C"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Киева, на правом берегу Днепра, наши войска развернули серьёзные бои за расширение занимаемого плацдарма. Советские танки и пехота после артиллерийского обстрела вражеских позиций прорвали оборону противника. Наши войска продвинулись вперёд на 6 километров и выбили немцев из ряда опорных пунктов. Перегруппировав свои силы, противник предпринял несколько ожесточённых контратак, но был отброшен с огромными для него потерями. По неполным данным, уничтожено до 2.000 немецких солдат и офицеров, подбито и сожжено 27 танков, 8 самоходных и 16 орудий разного калибра. На другом участке противник, усилив свои войска частями дивизий СС, пытался вернуть утерянные позиции. В ожесточённых боях части Н-ского соединения отбили контратаки немцев и прочно удерживают занятые ими опорные пункты.</w:t>
      </w:r>
    </w:p>
    <w:p w14:paraId="72807BBA"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немецких войск и технике противника. В результате бомбардировки уничтожено до 20 немецких танков, не менее 200 автомашин, взорвано 8 складов с боеприпасами и склад горючего. В воздушных боях сбито 28 немецких самолётов.</w:t>
      </w:r>
    </w:p>
    <w:p w14:paraId="46178D20"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Гомельском направлении наши войска форсировали реку Сож и ведут бои непосредственно перед Гомелем. Противник артиллерийско-миномётным огнём и контратаками пытался сковать наступающие советские части, но понёс большиепотери и был вынужден отступить. Бойцы Н-ского соединения уничтожили свыше батальона гитлеровцев. Захвачено 14 орудий, 68 пулемётов и 3 артиллерийских склада. На другом участке бойцы Н-ской части, с боями продвигаясь вперёд, уничтожили свыше 500 немецких солдат и офицеров. Захвачены трофеи и пленные.</w:t>
      </w:r>
    </w:p>
    <w:p w14:paraId="108DD686"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Авиация Краснознамённого Балтийского флота потопила в Балтийском море транспорт противника водоизмещением в 5.000 тонн.</w:t>
      </w:r>
    </w:p>
    <w:p w14:paraId="2C6B9A9D"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Суворова, действующий в одном из районов Минской области, взорвал на шоссейной дороге 26 немецких автомашин с военными грузами, следовавших на фронт. На этом же шоссе партизаны уничтожили 12 мостов и разрушили 43 километра телефонно-телеграфной линии связи. Советскими патриотами истреблено свыше 100 немецко-фашистских захватчиков. Группа партизан отряда имени Суворова совершила налёт на немецкий гарнизон в одном населённом пункте. Убито несколько гитлеровцев и захвачены трофеи. Взяты в плен 25 немецких солдат.</w:t>
      </w:r>
    </w:p>
    <w:p w14:paraId="37173AE6"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Перешедший на сторону Красной Армии командир роты 252 немецкой пехотной дивизии лейтенант Эрвин П. рассказал: «Сентябрьские бои произвели полный переворот в моих взглядах. За полтора месяца моя рота потеряла 150 человек. Самый ужасный день я пережил 27 сентября. В этот день рота, которой я командовал, </w:t>
      </w:r>
      <w:r w:rsidRPr="00271E51">
        <w:rPr>
          <w:rFonts w:ascii="Times New Roman" w:hAnsi="Times New Roman"/>
          <w:color w:val="000000" w:themeColor="text1"/>
          <w:sz w:val="16"/>
          <w:szCs w:val="16"/>
        </w:rPr>
        <w:lastRenderedPageBreak/>
        <w:t>фактически была уничтожена. От 70 человек в ней осталось только 7. Мне прислали подкрепление, свыше 30 человек, из хозяйственных команд и обоза. Кроме того, в роту вернулось несколько легко раненых солдат из лазарета. Многие из них вскоре выбыли из строя. Когда у меня опять осталось всего лишь 5 человек, я получил приказ переменить позицию. Мои физические и моральные силы были уже истощены. Колоссальные потери, понесённые в последних боях, безнадёжность положения побудили меня сложить оружие. Дисциплина в германской армии ещё держится. Солдаты исполняют приказания командиров, но уже не так, как прежде. Теперь приходится часто повторять приказы, прибегать к угрозам и даже расстрелам. Появилось значительное число дезертиров. По всему видно, что дело идёт к распаду и крушению немецкой армии» (14798).</w:t>
      </w:r>
    </w:p>
    <w:p w14:paraId="113B566F" w14:textId="77777777" w:rsidR="00311DEE" w:rsidRPr="00271E51" w:rsidRDefault="00311DEE" w:rsidP="00271E51">
      <w:pPr>
        <w:spacing w:after="0" w:line="240" w:lineRule="auto"/>
        <w:jc w:val="both"/>
        <w:rPr>
          <w:rFonts w:ascii="Times New Roman" w:hAnsi="Times New Roman"/>
          <w:color w:val="000000" w:themeColor="text1"/>
          <w:sz w:val="16"/>
          <w:szCs w:val="16"/>
        </w:rPr>
      </w:pPr>
    </w:p>
    <w:p w14:paraId="48431F15"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октября 1943 немецкий ас Эмиль Ланг за один день сбил десять советских самолетов под Киевом (20376).</w:t>
      </w:r>
    </w:p>
    <w:p w14:paraId="520C5041" w14:textId="77777777" w:rsidR="009B0A1D" w:rsidRPr="00271E51" w:rsidRDefault="009B0A1D" w:rsidP="00271E51">
      <w:pPr>
        <w:spacing w:after="0" w:line="240" w:lineRule="auto"/>
        <w:jc w:val="both"/>
        <w:rPr>
          <w:rFonts w:ascii="Times New Roman" w:hAnsi="Times New Roman"/>
          <w:color w:val="0070C0"/>
          <w:sz w:val="16"/>
          <w:szCs w:val="16"/>
        </w:rPr>
      </w:pPr>
    </w:p>
    <w:p w14:paraId="2C6FA1BD" w14:textId="77777777" w:rsidR="00C81B90" w:rsidRPr="00271E51" w:rsidRDefault="00C81B90" w:rsidP="00271E51">
      <w:pPr>
        <w:pStyle w:val="ae"/>
        <w:spacing w:before="0" w:after="0"/>
        <w:jc w:val="both"/>
        <w:textAlignment w:val="baseline"/>
        <w:rPr>
          <w:color w:val="000000" w:themeColor="text1"/>
          <w:sz w:val="16"/>
          <w:szCs w:val="16"/>
        </w:rPr>
      </w:pPr>
      <w:r w:rsidRPr="00271E51">
        <w:rPr>
          <w:color w:val="000000" w:themeColor="text1"/>
          <w:sz w:val="16"/>
          <w:szCs w:val="16"/>
        </w:rPr>
        <w:t>13 октября 1943 разведчик А-20 из 118-го омрап в очередной раз облетал побережье Норвегии. В 8.55 в районе Варангер-фьорда в прибрежной дымке летчики увидели конвой, в котором насчитали приблизительно пятнадцать кораблей. Командование ВВС Северного флота решило перебить его «комбинированным ударом» бомбардировщиков Пе-2, торпедоносцев A-20J и штурмовиков Ил-2. Приказ в боевые части поступил в 9.45, однако подготовка к операции затянулась аж на четыре часа. При этом на «доразведку цели» высылалось несколько Як-1.</w:t>
      </w:r>
    </w:p>
    <w:p w14:paraId="519C9917" w14:textId="77777777" w:rsidR="00C81B90" w:rsidRPr="00271E51" w:rsidRDefault="00C81B90" w:rsidP="00271E51">
      <w:pPr>
        <w:pStyle w:val="ae"/>
        <w:spacing w:before="0" w:after="0"/>
        <w:jc w:val="both"/>
        <w:textAlignment w:val="baseline"/>
        <w:rPr>
          <w:color w:val="000000" w:themeColor="text1"/>
          <w:sz w:val="16"/>
          <w:szCs w:val="16"/>
        </w:rPr>
      </w:pPr>
      <w:r w:rsidRPr="00271E51">
        <w:rPr>
          <w:color w:val="000000" w:themeColor="text1"/>
          <w:sz w:val="16"/>
          <w:szCs w:val="16"/>
        </w:rPr>
        <w:t>В итоге первый удар по конвою был нанесен только в 14.58 по московскому времени уже непосредственно в акватории Варангер-фьорда. В нем участвовали шесть «горбатых» из 46-го шап в сопровождении истребителей. Увидев окрашенные в бело-шаровые камуфляжные полосы корабли, пилоты начали заход. На сей раз одна из сброшенных бомб ФАБ-100 попала в пароход «Амстердам». Однако для судна тоннажем 3655 брт этого было явно маловато, и оно лишь незначительно пострадало. Нападавшие же заплатили за одно попадание дорогую цену. Зенитки и истребители II./JG5 сбили два Як-1 и один Ил-2. Последний сел на воду и быстро затонул. Еще три штурмовика получили тяжелые повреждения.</w:t>
      </w:r>
    </w:p>
    <w:p w14:paraId="7FA9E17E" w14:textId="77777777" w:rsidR="00C81B90" w:rsidRPr="00271E51" w:rsidRDefault="00C81B90" w:rsidP="00271E51">
      <w:pPr>
        <w:pStyle w:val="ae"/>
        <w:spacing w:before="0" w:after="0"/>
        <w:jc w:val="both"/>
        <w:textAlignment w:val="baseline"/>
        <w:rPr>
          <w:color w:val="000000" w:themeColor="text1"/>
          <w:sz w:val="16"/>
          <w:szCs w:val="16"/>
        </w:rPr>
      </w:pPr>
      <w:r w:rsidRPr="00271E51">
        <w:rPr>
          <w:color w:val="000000" w:themeColor="text1"/>
          <w:sz w:val="16"/>
          <w:szCs w:val="16"/>
        </w:rPr>
        <w:t>Атака бомбардировщиков и торпедоносцев оказалась еще менее удачной. Не добившись ни одного попадания, они потеряли три A-20J, два Р-39 и один Пе-2. Большинство экипажей ждала смерть в ледяной воде Баренцева моря. При этом все истребители JG5 «Айсмеер» благополучно вернулись на свою базу.</w:t>
      </w:r>
    </w:p>
    <w:p w14:paraId="333C8C52" w14:textId="77777777" w:rsidR="00C81B90" w:rsidRPr="00271E51" w:rsidRDefault="00C81B90" w:rsidP="00271E51">
      <w:pPr>
        <w:pStyle w:val="ae"/>
        <w:spacing w:before="0" w:after="0"/>
        <w:jc w:val="both"/>
        <w:textAlignment w:val="baseline"/>
        <w:rPr>
          <w:color w:val="000000" w:themeColor="text1"/>
          <w:sz w:val="16"/>
          <w:szCs w:val="16"/>
        </w:rPr>
      </w:pPr>
      <w:r w:rsidRPr="00271E51">
        <w:rPr>
          <w:color w:val="000000" w:themeColor="text1"/>
          <w:sz w:val="16"/>
          <w:szCs w:val="16"/>
        </w:rPr>
        <w:t>На этом попытки «комбинированных» ударов с воздуха в 1943 г. прекратились (19522).</w:t>
      </w:r>
    </w:p>
    <w:p w14:paraId="34DFEED8" w14:textId="77777777" w:rsidR="00C81B90" w:rsidRPr="00271E51" w:rsidRDefault="00C81B90" w:rsidP="00271E51">
      <w:pPr>
        <w:pStyle w:val="ae"/>
        <w:spacing w:before="0" w:after="0"/>
        <w:jc w:val="both"/>
        <w:textAlignment w:val="baseline"/>
        <w:rPr>
          <w:color w:val="000000" w:themeColor="text1"/>
          <w:sz w:val="16"/>
          <w:szCs w:val="16"/>
        </w:rPr>
      </w:pPr>
    </w:p>
    <w:p w14:paraId="0DDAB22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вышло Постановление ГКО № 4322 О призыве на военную службу призывников рождения 1926г. (7146, 1-3).</w:t>
      </w:r>
    </w:p>
    <w:p w14:paraId="19F077C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2FD45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вышло Постановление ГКО № 4323 О разбронировании и передаче в армию военнообязанных запаса из числа подлежавших ранее разбронированию по постановлениям ГОКО 1942 г. № [...], 1575сс, 2100сс и 2640сс. (7146, 4-5).</w:t>
      </w:r>
    </w:p>
    <w:p w14:paraId="7AF1557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94E0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вышло Постановление ГКО № 4324 О призыве в армию призывников 1922, 1923, 1924 и 1925 годов рождения, пользующихся отсрочками от призыва по работе в промышленности и сельском хозяйстве. (7146, 6).</w:t>
      </w:r>
    </w:p>
    <w:p w14:paraId="3DE2AC8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0145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 Ставка ВГК ут</w:t>
      </w:r>
      <w:r w:rsidRPr="00271E51">
        <w:rPr>
          <w:rFonts w:ascii="Times New Roman" w:hAnsi="Times New Roman"/>
          <w:color w:val="000000" w:themeColor="text1"/>
          <w:sz w:val="16"/>
          <w:szCs w:val="16"/>
        </w:rPr>
        <w:softHyphen/>
        <w:t>вердила разработанный штабами Северо-Кавказского фронта и Черноморско</w:t>
      </w:r>
      <w:r w:rsidRPr="00271E51">
        <w:rPr>
          <w:rFonts w:ascii="Times New Roman" w:hAnsi="Times New Roman"/>
          <w:color w:val="000000" w:themeColor="text1"/>
          <w:sz w:val="16"/>
          <w:szCs w:val="16"/>
        </w:rPr>
        <w:softHyphen/>
        <w:t>го флота план операции по освобожде</w:t>
      </w:r>
      <w:r w:rsidRPr="00271E51">
        <w:rPr>
          <w:rFonts w:ascii="Times New Roman" w:hAnsi="Times New Roman"/>
          <w:color w:val="000000" w:themeColor="text1"/>
          <w:sz w:val="16"/>
          <w:szCs w:val="16"/>
        </w:rPr>
        <w:softHyphen/>
        <w:t>нию всего Керченского п/о (вплоть до рубежа Владиславки). Десантная опера</w:t>
      </w:r>
      <w:r w:rsidRPr="00271E51">
        <w:rPr>
          <w:rFonts w:ascii="Times New Roman" w:hAnsi="Times New Roman"/>
          <w:color w:val="000000" w:themeColor="text1"/>
          <w:sz w:val="16"/>
          <w:szCs w:val="16"/>
        </w:rPr>
        <w:softHyphen/>
        <w:t>ция планировалась с целью захвата двух плацдармов на Керченском п/о, после</w:t>
      </w:r>
      <w:r w:rsidRPr="00271E51">
        <w:rPr>
          <w:rFonts w:ascii="Times New Roman" w:hAnsi="Times New Roman"/>
          <w:color w:val="000000" w:themeColor="text1"/>
          <w:sz w:val="16"/>
          <w:szCs w:val="16"/>
        </w:rPr>
        <w:softHyphen/>
        <w:t>дующего накапливания на них основных сил 18-й и 56-й армий и наступатель</w:t>
      </w:r>
      <w:r w:rsidRPr="00271E51">
        <w:rPr>
          <w:rFonts w:ascii="Times New Roman" w:hAnsi="Times New Roman"/>
          <w:color w:val="000000" w:themeColor="text1"/>
          <w:sz w:val="16"/>
          <w:szCs w:val="16"/>
        </w:rPr>
        <w:softHyphen/>
        <w:t>ных действий в направлении на Керчь, Михайловка, Ивановка, ст. Багерово. Ос</w:t>
      </w:r>
      <w:r w:rsidRPr="00271E51">
        <w:rPr>
          <w:rFonts w:ascii="Times New Roman" w:hAnsi="Times New Roman"/>
          <w:color w:val="000000" w:themeColor="text1"/>
          <w:sz w:val="16"/>
          <w:szCs w:val="16"/>
        </w:rPr>
        <w:softHyphen/>
        <w:t xml:space="preserve">новной десант в составе 55-й, 32-й и 2-й гвардейской </w:t>
      </w:r>
      <w:r w:rsidRPr="00271E51">
        <w:rPr>
          <w:rFonts w:ascii="Times New Roman" w:hAnsi="Times New Roman"/>
          <w:iCs/>
          <w:color w:val="000000" w:themeColor="text1"/>
          <w:sz w:val="16"/>
          <w:szCs w:val="16"/>
        </w:rPr>
        <w:t>сд</w:t>
      </w:r>
      <w:r w:rsidRPr="00271E51">
        <w:rPr>
          <w:rFonts w:ascii="Times New Roman" w:hAnsi="Times New Roman"/>
          <w:color w:val="000000" w:themeColor="text1"/>
          <w:sz w:val="16"/>
          <w:szCs w:val="16"/>
        </w:rPr>
        <w:t xml:space="preserve"> 56-й армии при под</w:t>
      </w:r>
      <w:r w:rsidRPr="00271E51">
        <w:rPr>
          <w:rFonts w:ascii="Times New Roman" w:hAnsi="Times New Roman"/>
          <w:color w:val="000000" w:themeColor="text1"/>
          <w:sz w:val="16"/>
          <w:szCs w:val="16"/>
        </w:rPr>
        <w:softHyphen/>
        <w:t>держке 4-й ВА высаживался в районе северо-восточнее Керчи на участке Варзовка, Баксы, Опасная. Десант 18-й ар</w:t>
      </w:r>
      <w:r w:rsidRPr="00271E51">
        <w:rPr>
          <w:rFonts w:ascii="Times New Roman" w:hAnsi="Times New Roman"/>
          <w:color w:val="000000" w:themeColor="text1"/>
          <w:sz w:val="16"/>
          <w:szCs w:val="16"/>
        </w:rPr>
        <w:softHyphen/>
        <w:t>мии, игравший вспомогательную роль, на</w:t>
      </w:r>
      <w:r w:rsidRPr="00271E51">
        <w:rPr>
          <w:rFonts w:ascii="Times New Roman" w:hAnsi="Times New Roman"/>
          <w:color w:val="000000" w:themeColor="text1"/>
          <w:sz w:val="16"/>
          <w:szCs w:val="16"/>
        </w:rPr>
        <w:softHyphen/>
        <w:t>мечалось высадить южнее порта Камыш-Бурун (Эльтиген) с задачей захвата плацдарма на участке Камыш-Бурун, м. Такиль. Высадка у Эльтигена была назначена в ночь на 1 ноября, а десанта на главном направлении - на 3 ноября.</w:t>
      </w:r>
    </w:p>
    <w:p w14:paraId="17D72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десантной опера</w:t>
      </w:r>
      <w:r w:rsidRPr="00271E51">
        <w:rPr>
          <w:rFonts w:ascii="Times New Roman" w:hAnsi="Times New Roman"/>
          <w:color w:val="000000" w:themeColor="text1"/>
          <w:sz w:val="16"/>
          <w:szCs w:val="16"/>
        </w:rPr>
        <w:softHyphen/>
        <w:t>ции в районе Эльтигена была создана сводная морская авиагруппа ВВС ЧФ, в состав которой, помимо флотских авиа</w:t>
      </w:r>
      <w:r w:rsidRPr="00271E51">
        <w:rPr>
          <w:rFonts w:ascii="Times New Roman" w:hAnsi="Times New Roman"/>
          <w:color w:val="000000" w:themeColor="text1"/>
          <w:sz w:val="16"/>
          <w:szCs w:val="16"/>
        </w:rPr>
        <w:softHyphen/>
        <w:t xml:space="preserve">частей, вошла 214-я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4-й ВА, имев</w:t>
      </w:r>
      <w:r w:rsidRPr="00271E51">
        <w:rPr>
          <w:rFonts w:ascii="Times New Roman" w:hAnsi="Times New Roman"/>
          <w:color w:val="000000" w:themeColor="text1"/>
          <w:sz w:val="16"/>
          <w:szCs w:val="16"/>
        </w:rPr>
        <w:softHyphen/>
        <w:t>шая 58 Ил-2 и 28 ЛаГГ-3. Всего группа имела 230 боевых самолетов, из них: Пе-2 - 25, Ил-2 -113, истребителей разных типов - 92 (6467).</w:t>
      </w:r>
    </w:p>
    <w:p w14:paraId="33367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4C4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 морские авиаторы атаковали в районе Вардо морской конвой, насчитывающий 24 корабля и транспорта, прикрытый 30 немецкими истребителями. Советская авиагруппа насчитывала 6 Ил-2, 6 Пе-2 и 6 торпедоносцев в сопровождении 30 истребителей. Во время боя советская сторона заявила 15 побед, потеряв 4 самолета сбитыми в бою и 4 сбитыми огнем зенитной артиллерии. Кроме того, одна машина разбилась, совершая вынужденную посадку. Любопытно, что немцы заявили в тот день 27 воздушных побед (2691).</w:t>
      </w:r>
    </w:p>
    <w:p w14:paraId="76B907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C654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AA573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3FD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w:t>
      </w:r>
    </w:p>
    <w:p w14:paraId="036BD9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СТРОГО СЕКРЕТНО ОТ ПРЕМЬЕРА И. В. СТАЛИНА ПРЕМЬЕР-МИНИСТРУ г-ну У. ЧЕРЧИЛЛЮ</w:t>
      </w:r>
    </w:p>
    <w:p w14:paraId="5B88D9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Получил Ваше послание от 1 октября с сообщением о намерении направить в Советский Союз северным путем четыре конвоя 2 в ноябре, декабре, январе и феврале. Однако это сообщение обесценивается Вашим же заявлением о том, что намерение направить в СССР северные конвои не является ни обязательством, ни соглашением, а всего лишь заявлением, от которого, как можно понять, британская сторона может в любой момент отказаться, не считаясь с тем, как это отразится на советских армиях, находящихся на фронте. Должен сказать, что я не могу согласиться с такой постановкой вопроса. Поставки Британским Правительством в СССР вооружения и других военных грузов нельзя рассматривать иначе, как обязательство, которое в силу особого соглашения между нашими странами приняло на себя Британское Правительство в отношений СССР, выносящего на своих плечах вот уже третий год громадную тяжесть борьбы с общим врагом союзников — гитлеровской Германией.</w:t>
      </w:r>
    </w:p>
    <w:p w14:paraId="2C0AA9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Нельзя также не считаться с тем, что северный путь является наиболее коротким путем, позволяющим в наиболее краткий срок доставить на советско-германский фронт поставляемое союзниками вооружение, и что без надлежащего использования этого пути осуществление поставок в СССР в должном объеме невозможно. Как я уже Вам писал раньше и как это подтвердил опыт, подвоз вооружения и военных грузов для СССР через персидские порты ни в какой мере не может окупить недопоставок, получающихся в результате отсутствия подвоза северным путем вооружения и материалов, которые, как это вполне понятно, входят в расчет снабжения советских армий. Между тем отправка военных грузов северным путем в этом году почему-то и без того сократилась в несколько раз по сравнению с прошлым годом, что делает невозможным выполнение установленного плана военного снабжения и находится в противоречии с соответствующим англо-советским протоколом о военных поставках. Поэтому в настоящее время, когда силы Советского Союза напряжены до крайности для обеспечения нужд фронта в интересах успеха борьбы против главных сил нашего общего противника, было бы недопустимым ставить снабжение советских армий в зависимость от произвольного усмотрения британской стороны. Такую постановку вопроса нельзя рассматривать иначе, как отказ Британского Правительства от принятых на себя обязательств и как своего рода угрозу по адресу СССР.</w:t>
      </w:r>
    </w:p>
    <w:p w14:paraId="301E31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Что касается Вашего упоминания о будто бы имеющихся в сообщении В. М. Молотова противоречивых моментах, то я должен сказать, что не нахожу для такого замечания какого-либо основания. Принцип взаимности и равенства, предложенный советской стороной для разрешения визовых вопросов в отношении персонала военных миссий </w:t>
      </w:r>
      <w:r w:rsidRPr="00271E51">
        <w:rPr>
          <w:rFonts w:ascii="Times New Roman" w:hAnsi="Times New Roman"/>
          <w:color w:val="000000" w:themeColor="text1"/>
          <w:sz w:val="16"/>
          <w:szCs w:val="16"/>
          <w:vertAlign w:val="superscript"/>
        </w:rPr>
        <w:t>57</w:t>
      </w:r>
      <w:r w:rsidRPr="00271E51">
        <w:rPr>
          <w:rFonts w:ascii="Times New Roman" w:hAnsi="Times New Roman"/>
          <w:color w:val="000000" w:themeColor="text1"/>
          <w:sz w:val="16"/>
          <w:szCs w:val="16"/>
        </w:rPr>
        <w:t>, мне представляется правильным и действительно справедливым. Ссылки на то, что различие в функциях британской и советской военных миссий исключает применение указанного принципа и что количественный состав британской военной миссии должен определяться только Британским Правительством, мне представляются неубедительными. Это достаточно подробно было уже освещено в соответствующих памятных записках НКИД.</w:t>
      </w:r>
    </w:p>
    <w:p w14:paraId="114D33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Я не вижу необходимости в увеличении количества британских военнослужащих на Севере СССР, так как подавляющая часть находящихся там британских военнослужащих не используется надлежащим образом и уже в течение многих месяцев обречена на праздность, на что уже не раз указывалось с советской стороны. В качестве примера можно указать на 126-ю британскую портовую базу в Архангельске, о ликвидации которой за ее ненадобностью неоднократно ставился вопрос и на ликвидацию которой только теперь получено согласие британской стороны. Имеются также, к сожалению, факты недопустимого поведения отдельных британских военнослужащих, пытающихся в ряде случаев путем подкупа завербовать некоторых советских граждан в разведывательных целях. Подобные оскорбительные для советских граждан явления, естественно, порождают инциденты, приводящие к нежелательным осложнениям.</w:t>
      </w:r>
    </w:p>
    <w:p w14:paraId="59C1F1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отношении упоминаемых Вами формальностей и некоторых ограничений, применяемых в северных портах, следует иметь в виду, что в прифронтовой зоне такие формальности и ограничения неизбежны, если не забывать о военной обстановке, в которой находится СССР. К тому же это применяется одинаково как к британским и вообще иностранным, так и к советским гражданам. Тем не менее советскими властями был предоставлен британским военнослужащим и морякам и в этом отношении ряд льгот, о чем было сообщено Британскому Посольству еще в марте сего года. Таким образом, упоминание Вами о многочисленных формальностях и ограничениях покоится на неточной информации.</w:t>
      </w:r>
    </w:p>
    <w:p w14:paraId="004ADE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Что касается вопроса о цензуре и привлечении к ответственности британских военнослужащих, у меня нет возражений против того, чтобы на условиях взаимности цензура частной почты для британского персонала в северных портах производилась самими британскими властями, а также чтобы дела английских военнослужащих о мелких нарушениях, не влекущих за собой судебного разбирательства, передавались на рассмотрение соответствующих военных властей (7430).</w:t>
      </w:r>
    </w:p>
    <w:p w14:paraId="5338DC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84B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года было получено:</w:t>
      </w:r>
    </w:p>
    <w:p w14:paraId="073545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СТРОГО СЕКРЕТНО И ЛИЧНО ПОСЛАНИЕ ОТ ПРЕМЬЕР-МИНИСТРА г-на УИНСТОНА ЧЕРЧИЛЛЯ МАРШАЛУ СТАЛИНУ</w:t>
      </w:r>
    </w:p>
    <w:p w14:paraId="21B22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будете ли Вы любезны рассмотреть вопрос о том, не стоит ли опубликовать за нашими тремя подписями что-либо в духе нижеследующего:</w:t>
      </w:r>
    </w:p>
    <w:p w14:paraId="4B506B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Великобритания, Соединенные Штаты и Советский Союз (если какой-либо другой порядок перечисления считается более подходящим, мы вполне готовы быть последними) получили из различных источников свидетельства о зверствах, убийствах и хладнокровных массовых казнях, которые совершаются гитлеровскими вооруженными силами во многих странах, захваченных ими, из которых они теперь неуклонно изгоняются. Жестокости нацистского господства не являются новым фактом, и все народы или территории, находящиеся в их власти, страдали от самой скверной формы террористического правления. Новое заключается в том, что многие из этих территорий теперь освобождаются наступающими армиями держав-освободительниц и что в своем отчаянии отступающие гитлеровцы и гунны удваивают свои зверства.</w:t>
      </w:r>
    </w:p>
    <w:p w14:paraId="672A8F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соответствии с вышеизложенным три союзные державы, выступая в интересах тридцати двух Объединенных Наций, настоящим торжественно делают заявление и предупреждение своей следующей декларацией:</w:t>
      </w:r>
    </w:p>
    <w:p w14:paraId="66C688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момент предоставления любого перемирия любому правительству, которое может быть создано в Германии, все германские офицеры и солдаты и члены нацистской партии, которые были ответственны за вышеупомянутые зверства, убийства и казни или добровольно приняли участие в них, будут отосланы в страны, в которых были совершены ими эти отвратительные действия, для того, чтобы они могли быть судимы и наказаны в соответствии с законами этих освобожденных стран и свободных правительств, которые будут там созданы. Списки будут составлены со всеми возможными подробностями, полученными от всех этих стран, в особенности с учетом оккупированных частей России, Польши и Чехословакии, Югославии и Греции, включая Крит и другие острова, Норвегии, Дании, Нидерландов, Бельгии, Люксембурга, Франции и Италии.</w:t>
      </w:r>
    </w:p>
    <w:p w14:paraId="6966F9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немцы, которые принимают участие в массовых расстрелах итальянских офицеров или в казнях французских, нидерландских, бельгийских и норвежских заложников или критских крестьян, или же те, которые принимали участие в истреблении, которому был подвергнут народ Польши, или в истреблении населения на территориях Советских Республик, которые ныне очищаются от врага, должны знать, что они независимо от расходов будут отправлены обратно в места, где ими были совершены преступления, и будут судимы на месте народами, над которыми они совершали насилия. Пусть те, кто еще не обагрил своих рук невинной кровью, будут предупреждены с тем, чтобы они не оказались в числе виновных, ибо три союзные державы наверняка найдут их даже на краю света и выдадут их обвинителям с тем, чтобы могло свершиться правосудие.</w:t>
      </w:r>
    </w:p>
    <w:p w14:paraId="2E80E7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декларация не затрагивает вопроса о главных преступниках, преступления которых не связаны с определенным географическим местом.</w:t>
      </w:r>
    </w:p>
    <w:p w14:paraId="222F79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w:t>
      </w:r>
    </w:p>
    <w:p w14:paraId="12679D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Рузвельт</w:t>
      </w:r>
    </w:p>
    <w:p w14:paraId="2C19B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w:t>
      </w:r>
    </w:p>
    <w:p w14:paraId="729F09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Черчилль”.</w:t>
      </w:r>
    </w:p>
    <w:p w14:paraId="5A2CB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бы что-либо вроде этого (а я особенно не настаиваю на формулировках) было бы опубликовано за нашими тремя подписями, это, как я полагаю, вызвало бы у некоторых из этих негодяев опасение быть замешанными в этих убийствах, особенно теперь, когда они знают, что они будут побеждены</w:t>
      </w:r>
    </w:p>
    <w:p w14:paraId="0187AF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знаем, например, что репрессии, которыми мы угрожали, защищая поляков, вызвали смягчение жестокостей, которым там подвергается народ. Нет сомнения, что использование врагом оружия в форме террора возлагает дополнительное бремя на наши армии. У многих немцев может заговорить совесть, если они будут знать, что их вернут обратно и будут судить в той стране и, возможно, на том самом месте, где были совершены их жестокие действия. Я весьма рекомендую Вам принцип локализации суда, который может оказать сдерживающее влияние на террор врага. Британский кабинет одобряет этот принцип и эту политику (7430).</w:t>
      </w:r>
    </w:p>
    <w:p w14:paraId="4D5D85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385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г. в ответ на послание Черчилля, полученное заместитель народного комиссара иностранных дел СССР А. Я. Вышинский 25 октября вручил английскому послу Керру и послу США Гарриману следующую памятную записку:</w:t>
      </w:r>
    </w:p>
    <w:p w14:paraId="28A717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“Советское Правительство согласно с предложенным Премьер-Министром г-ном У. Черчиллем в послании Премьеру И. В. Сталину от 13 октября проектом Декларации Правительств Великобритании, Соединенных Штатов Америки и Советского Союза со следующими изменениями:</w:t>
      </w:r>
    </w:p>
    <w:p w14:paraId="2D408B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конце первого абзаца добавить: “Об этом теперь с особой наглядностью свидетельствуют факты чудовищных преступлений на освобождаемой от гитлеровцев территории Советского Союза, а также на территории Франции и Италии”.</w:t>
      </w:r>
    </w:p>
    <w:p w14:paraId="203DBE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третьем абзаце вместо слова “России” сказать: “Советского Союза”.</w:t>
      </w:r>
    </w:p>
    <w:p w14:paraId="7BD47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Опустить в четвертом абзаце слова: “независимо от расходов”.</w:t>
      </w:r>
    </w:p>
    <w:p w14:paraId="21E13F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конце последнего абзаца добавить: “и которые будут наказаны совместным решением правительств союзников” (7430).</w:t>
      </w:r>
    </w:p>
    <w:p w14:paraId="595F09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0B6E02"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октября </w:t>
      </w:r>
      <w:r w:rsidRPr="00271E51">
        <w:rPr>
          <w:rFonts w:ascii="Times New Roman" w:hAnsi="Times New Roman"/>
          <w:color w:val="000000" w:themeColor="text1"/>
          <w:sz w:val="16"/>
          <w:szCs w:val="16"/>
        </w:rPr>
        <w:t>в 1943 году опубликование декларации правительств СССР, Англии и США о признании Италии «совместно воюющей стороной» (14798).</w:t>
      </w:r>
    </w:p>
    <w:p w14:paraId="07881813" w14:textId="77777777" w:rsidR="00311DEE" w:rsidRPr="00271E51" w:rsidRDefault="00311DEE" w:rsidP="00271E51">
      <w:pPr>
        <w:spacing w:after="0" w:line="240" w:lineRule="auto"/>
        <w:jc w:val="both"/>
        <w:rPr>
          <w:rFonts w:ascii="Times New Roman" w:hAnsi="Times New Roman"/>
          <w:color w:val="000000" w:themeColor="text1"/>
          <w:sz w:val="16"/>
          <w:szCs w:val="16"/>
        </w:rPr>
      </w:pPr>
    </w:p>
    <w:p w14:paraId="0B10401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97836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C7464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в Югославии партизанами Иосипа Броз Тито одновременно взорвано несколько заводов Круппа (4962).</w:t>
      </w:r>
    </w:p>
    <w:p w14:paraId="6EDF7DE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F34D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Италия объявила войну Германии (4962).</w:t>
      </w:r>
    </w:p>
    <w:p w14:paraId="09CB994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C47C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король Италии объявил войну Германии, а США, СССР и Великобритания известили мир о со-bellierency с Италией и о праве итальянского народа избрать демократическое правительство после выдворения германских войск с итальянской территории. В то же время союзники дали понять, что они хотели бы отречения короля, несшего значительную долю ответственности за политику Муссолини.</w:t>
      </w:r>
    </w:p>
    <w:p w14:paraId="26EF0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Неожиданно советское правительство решило установить дипломатические отношения с правительством П.Бадольо. Москва к тому же влияла на итальянскую политическую сцену через итальянских коммунистов, которые представляли собой сплоченную антифашистскую силу. Роль Москвы в послевоенном урегулировании снова предстала перед союзниками в неопределенном свете (3871).</w:t>
      </w:r>
    </w:p>
    <w:p w14:paraId="3B9A13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577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13, 1943: The new Italian government of Marshal Badoglio declares war on Germany (3819).</w:t>
      </w:r>
    </w:p>
    <w:p w14:paraId="1E2D1E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3E7FD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13 October 1943 Italy declares war on Germany (270).</w:t>
      </w:r>
    </w:p>
    <w:p w14:paraId="35F894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C6A80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октября 1943 Италия объявила войну Германии (270) и союзники признали ее воюющей на стороне союзников (3481).</w:t>
      </w:r>
    </w:p>
    <w:p w14:paraId="3CDF58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8D27B" w14:textId="77777777" w:rsidR="00311DEE" w:rsidRPr="00271E51" w:rsidRDefault="00311DE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13 октября </w:t>
      </w:r>
      <w:r w:rsidRPr="00271E51">
        <w:rPr>
          <w:rFonts w:ascii="Times New Roman" w:hAnsi="Times New Roman"/>
          <w:color w:val="000000" w:themeColor="text1"/>
          <w:sz w:val="16"/>
          <w:szCs w:val="16"/>
        </w:rPr>
        <w:t>в 1943 году итальянское правительство маршала Бадольо, находящееся в Бриндизи, объявило войну Германии Италией (14798).</w:t>
      </w:r>
    </w:p>
    <w:p w14:paraId="07BFACFA" w14:textId="77777777" w:rsidR="00311DEE" w:rsidRPr="00271E51" w:rsidRDefault="00311DEE" w:rsidP="00271E51">
      <w:pPr>
        <w:spacing w:after="0" w:line="240" w:lineRule="auto"/>
        <w:jc w:val="both"/>
        <w:rPr>
          <w:rFonts w:ascii="Times New Roman" w:hAnsi="Times New Roman"/>
          <w:color w:val="000000" w:themeColor="text1"/>
          <w:sz w:val="16"/>
          <w:szCs w:val="16"/>
        </w:rPr>
      </w:pPr>
    </w:p>
    <w:p w14:paraId="7AD5EF4A"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октября 1943 Итальянское королевское правительство объявляет войну Германии. Ее воздушные силы будут состоять на союзной стороне в оставшуюся часть Второй мировой войны, в то время как итальянские самолеты, которые боролись за Итальянскую социальную республику Бенито Муссолини н стороне оси будут рассматриваться как Aeronautica Nazionale Repubblicana (Национальные республиканские военно-воздушные силы) (20376).</w:t>
      </w:r>
    </w:p>
    <w:p w14:paraId="7C49E1D7" w14:textId="77777777" w:rsidR="009B0A1D" w:rsidRPr="00271E51" w:rsidRDefault="009B0A1D" w:rsidP="00271E51">
      <w:pPr>
        <w:spacing w:after="0" w:line="240" w:lineRule="auto"/>
        <w:jc w:val="both"/>
        <w:rPr>
          <w:rFonts w:ascii="Times New Roman" w:hAnsi="Times New Roman"/>
          <w:color w:val="0070C0"/>
          <w:sz w:val="16"/>
          <w:szCs w:val="16"/>
        </w:rPr>
      </w:pPr>
    </w:p>
    <w:p w14:paraId="7E20D17C" w14:textId="77777777" w:rsidR="009B0A1D" w:rsidRPr="00271E51" w:rsidRDefault="009B0A1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октября 1943 девять японских четырехмоторных бомбардировщиков атакуют Атту. Это последний налет японской авиации на Алеутские острова (20376).</w:t>
      </w:r>
    </w:p>
    <w:p w14:paraId="4C11742A" w14:textId="77777777" w:rsidR="009B0A1D" w:rsidRPr="00271E51" w:rsidRDefault="009B0A1D" w:rsidP="00271E51">
      <w:pPr>
        <w:spacing w:after="0" w:line="240" w:lineRule="auto"/>
        <w:jc w:val="both"/>
        <w:rPr>
          <w:rFonts w:ascii="Times New Roman" w:hAnsi="Times New Roman"/>
          <w:color w:val="0070C0"/>
          <w:sz w:val="16"/>
          <w:szCs w:val="16"/>
        </w:rPr>
      </w:pPr>
    </w:p>
    <w:p w14:paraId="5F5BA2B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97D89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05FC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14 октября 1943 у высотного Ла-5 в воздухе отказала вторая скорость ПЦН мотора, полёт пришлось прекра</w:t>
      </w:r>
      <w:r w:rsidRPr="00271E51">
        <w:rPr>
          <w:rFonts w:ascii="Times New Roman" w:hAnsi="Times New Roman"/>
          <w:color w:val="000000" w:themeColor="text1"/>
          <w:sz w:val="16"/>
          <w:szCs w:val="16"/>
        </w:rPr>
        <w:softHyphen/>
        <w:t>тить, а на земле обнаружили отрыв двух лопаток ротора левого турбокомпрессора. На са</w:t>
      </w:r>
      <w:r w:rsidRPr="00271E51">
        <w:rPr>
          <w:rFonts w:ascii="Times New Roman" w:hAnsi="Times New Roman"/>
          <w:color w:val="000000" w:themeColor="text1"/>
          <w:sz w:val="16"/>
          <w:szCs w:val="16"/>
        </w:rPr>
        <w:softHyphen/>
        <w:t>молёте установили новый мотор и новые турбокомпрессоры производства завода № 19, если на предыдущем моторе впрыск воды осуществлялся только в восемь цилиндров — во все семь цилиндров заднего ряда мотора и в один переднего ряда — самый горячий, то теперь воду подвели ко всем 14 цилиндрам М-82ФН. Чтобы избежать обратного хо</w:t>
      </w:r>
      <w:r w:rsidRPr="00271E51">
        <w:rPr>
          <w:rFonts w:ascii="Times New Roman" w:hAnsi="Times New Roman"/>
          <w:color w:val="000000" w:themeColor="text1"/>
          <w:sz w:val="16"/>
          <w:szCs w:val="16"/>
        </w:rPr>
        <w:softHyphen/>
        <w:t>да при холодном запуске мотора, магнето БСМ-14В без пускового электрода побегуш</w:t>
      </w:r>
      <w:r w:rsidRPr="00271E51">
        <w:rPr>
          <w:rFonts w:ascii="Times New Roman" w:hAnsi="Times New Roman"/>
          <w:color w:val="000000" w:themeColor="text1"/>
          <w:sz w:val="16"/>
          <w:szCs w:val="16"/>
        </w:rPr>
        <w:softHyphen/>
        <w:t>ки заменили на магнето с таковым. Винт установили старый — АВ-5, диаметром 3,2 м. Из-за отсутствия лётной погоды следующий высотный полёт состоялся лишь 30 октяб</w:t>
      </w:r>
      <w:r w:rsidRPr="00271E51">
        <w:rPr>
          <w:rFonts w:ascii="Times New Roman" w:hAnsi="Times New Roman"/>
          <w:color w:val="000000" w:themeColor="text1"/>
          <w:sz w:val="16"/>
          <w:szCs w:val="16"/>
        </w:rPr>
        <w:softHyphen/>
        <w:t>ря. Но на высоте 12000 м его пришлось прекратить из-за высокой температуры масла на входе в мотор, достигшей 95°С. По мнению лётчика, эта высота являлась близкой к пра</w:t>
      </w:r>
      <w:r w:rsidRPr="00271E51">
        <w:rPr>
          <w:rFonts w:ascii="Times New Roman" w:hAnsi="Times New Roman"/>
          <w:color w:val="000000" w:themeColor="text1"/>
          <w:sz w:val="16"/>
          <w:szCs w:val="16"/>
        </w:rPr>
        <w:softHyphen/>
        <w:t>ктическому потолку, и вертикальная скорость на ней была незначительной. Учитывая, что 16 сентября самолёт с винтом ВИШ-105В относительно легко набрал 12500 м, пришли к выводу о более низком КПД винта АВ-5 и решили вновь установить ВИШ-105В.</w:t>
      </w:r>
    </w:p>
    <w:p w14:paraId="4F37D15A"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уменьшению высоты полёта также привело и увеличение веса на 100 кг из-за допо</w:t>
      </w:r>
      <w:r w:rsidRPr="00271E51">
        <w:rPr>
          <w:rFonts w:ascii="Times New Roman" w:hAnsi="Times New Roman"/>
          <w:color w:val="000000" w:themeColor="text1"/>
          <w:sz w:val="16"/>
          <w:szCs w:val="16"/>
        </w:rPr>
        <w:softHyphen/>
        <w:t>лнительного бензина и воды. Вода принесла ещё одну проблему — возникла угроза кор</w:t>
      </w:r>
      <w:r w:rsidRPr="00271E51">
        <w:rPr>
          <w:rFonts w:ascii="Times New Roman" w:hAnsi="Times New Roman"/>
          <w:color w:val="000000" w:themeColor="text1"/>
          <w:sz w:val="16"/>
          <w:szCs w:val="16"/>
        </w:rPr>
        <w:softHyphen/>
        <w:t>розии соприкасающихся с водой металлических деталей и возможность замерзания воды в системе. После шести полётов, при осмотре всей системы, на помпе обнаружили следы коррозии. Помпу заменили, а вместо чистой воды, в соответствии с рекоменда</w:t>
      </w:r>
      <w:r w:rsidRPr="00271E51">
        <w:rPr>
          <w:rFonts w:ascii="Times New Roman" w:hAnsi="Times New Roman"/>
          <w:color w:val="000000" w:themeColor="text1"/>
          <w:sz w:val="16"/>
          <w:szCs w:val="16"/>
        </w:rPr>
        <w:softHyphen/>
        <w:t>цией завода № 19, стали использовать смесь воды и спирта в соотношении 50% : 50%. Так как открытая теплота испарения у спирта в два раза меньше, чем у воды, охлажда</w:t>
      </w:r>
      <w:r w:rsidRPr="00271E51">
        <w:rPr>
          <w:rFonts w:ascii="Times New Roman" w:hAnsi="Times New Roman"/>
          <w:color w:val="000000" w:themeColor="text1"/>
          <w:sz w:val="16"/>
          <w:szCs w:val="16"/>
        </w:rPr>
        <w:softHyphen/>
        <w:t>ющий эффект смеси оказался меньше и, как следствие, произошло некоторое увеличе</w:t>
      </w:r>
      <w:r w:rsidRPr="00271E51">
        <w:rPr>
          <w:rFonts w:ascii="Times New Roman" w:hAnsi="Times New Roman"/>
          <w:color w:val="000000" w:themeColor="text1"/>
          <w:sz w:val="16"/>
          <w:szCs w:val="16"/>
        </w:rPr>
        <w:softHyphen/>
        <w:t>ние расхода охлаждающей жидкости. Хотя с самого начала из-за малого количества воды (ёмкость бака составляла всего 27 л), лётчику давалось указание включать впрыск воды не более чем на 15 минут, и только в случае повышения температуры головок ци</w:t>
      </w:r>
      <w:r w:rsidRPr="00271E51">
        <w:rPr>
          <w:rFonts w:ascii="Times New Roman" w:hAnsi="Times New Roman"/>
          <w:color w:val="000000" w:themeColor="text1"/>
          <w:sz w:val="16"/>
          <w:szCs w:val="16"/>
        </w:rPr>
        <w:softHyphen/>
        <w:t>линдров мотора свыше максимально допустимых значений. При этом он не мог контро</w:t>
      </w:r>
      <w:r w:rsidRPr="00271E51">
        <w:rPr>
          <w:rFonts w:ascii="Times New Roman" w:hAnsi="Times New Roman"/>
          <w:color w:val="000000" w:themeColor="text1"/>
          <w:sz w:val="16"/>
          <w:szCs w:val="16"/>
        </w:rPr>
        <w:softHyphen/>
        <w:t>лировать количество охлаждающей жидкости в баке, и существовала угроза, что помпа будет работать «всухую». Однако, с другой стороны, преимущества применения впры</w:t>
      </w:r>
      <w:r w:rsidRPr="00271E51">
        <w:rPr>
          <w:rFonts w:ascii="Times New Roman" w:hAnsi="Times New Roman"/>
          <w:color w:val="000000" w:themeColor="text1"/>
          <w:sz w:val="16"/>
          <w:szCs w:val="16"/>
        </w:rPr>
        <w:softHyphen/>
        <w:t>ска воды были неоспоримы: на высоте 5000 м температура головок цилиндров снизи</w:t>
      </w:r>
      <w:r w:rsidRPr="00271E51">
        <w:rPr>
          <w:rFonts w:ascii="Times New Roman" w:hAnsi="Times New Roman"/>
          <w:color w:val="000000" w:themeColor="text1"/>
          <w:sz w:val="16"/>
          <w:szCs w:val="16"/>
        </w:rPr>
        <w:softHyphen/>
        <w:t>лась с 220°С до 160°С, благодаря впрыску воды стали возможны полёты на номинальной мощности мотора на высотах более 10000 м без перегрева головок цилиндров, он по</w:t>
      </w:r>
      <w:r w:rsidRPr="00271E51">
        <w:rPr>
          <w:rFonts w:ascii="Times New Roman" w:hAnsi="Times New Roman"/>
          <w:color w:val="000000" w:themeColor="text1"/>
          <w:sz w:val="16"/>
          <w:szCs w:val="16"/>
        </w:rPr>
        <w:softHyphen/>
        <w:t>зволял увеличить скороподъёмность самолёта за счёт большего закрытия боковых ство</w:t>
      </w:r>
      <w:r w:rsidRPr="00271E51">
        <w:rPr>
          <w:rFonts w:ascii="Times New Roman" w:hAnsi="Times New Roman"/>
          <w:color w:val="000000" w:themeColor="text1"/>
          <w:sz w:val="16"/>
          <w:szCs w:val="16"/>
        </w:rPr>
        <w:softHyphen/>
        <w:t>рок и исключить площадки для охлаждения головок цилиндров мотора при наборе высоты. В свою очередь, проведенное ЦИАМ обогащение смеси дало снижение темпе</w:t>
      </w:r>
      <w:r w:rsidRPr="00271E51">
        <w:rPr>
          <w:rFonts w:ascii="Times New Roman" w:hAnsi="Times New Roman"/>
          <w:color w:val="000000" w:themeColor="text1"/>
          <w:sz w:val="16"/>
          <w:szCs w:val="16"/>
        </w:rPr>
        <w:softHyphen/>
        <w:t>ратуры головок цилиндров на 20°С, а работа на спирто-бензиновых смесях обеспечила увеличение мощности на 10% при нормальном наддуве.</w:t>
      </w:r>
    </w:p>
    <w:p w14:paraId="2B67450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полёта, совершенные 6 и 9 ноября, и 2 декабря 1943 г., ничего нового не дали, разве что для улучшения охлаждения масла вместо маслорадиатора с толщиной стенок трубок 0,2 мм, установили маслорадиатор с толщиной стенок трубок 0,1 мм, и в фюзе</w:t>
      </w:r>
      <w:r w:rsidRPr="00271E51">
        <w:rPr>
          <w:rFonts w:ascii="Times New Roman" w:hAnsi="Times New Roman"/>
          <w:color w:val="000000" w:themeColor="text1"/>
          <w:sz w:val="16"/>
          <w:szCs w:val="16"/>
        </w:rPr>
        <w:softHyphen/>
        <w:t>ляже самолёта позади пилота разместили дополнительный бензобак емкостью 60 л. Всего по 2 декабря 1943 г. включительно произвели 17 полётов, из них 11 с впрыском воды. Метеорологические условия в зимний период позволили произвести только не</w:t>
      </w:r>
      <w:r w:rsidRPr="00271E51">
        <w:rPr>
          <w:rFonts w:ascii="Times New Roman" w:hAnsi="Times New Roman"/>
          <w:color w:val="000000" w:themeColor="text1"/>
          <w:sz w:val="16"/>
          <w:szCs w:val="16"/>
        </w:rPr>
        <w:softHyphen/>
        <w:t>сколько полётов. В марте 1944 г. Ла-5ФН с 2ТК-3 совершил ещё три полёта до высо</w:t>
      </w:r>
      <w:r w:rsidRPr="00271E51">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271E51">
        <w:rPr>
          <w:rFonts w:ascii="Times New Roman" w:hAnsi="Times New Roman"/>
          <w:color w:val="000000" w:themeColor="text1"/>
          <w:sz w:val="16"/>
          <w:szCs w:val="16"/>
        </w:rPr>
        <w:softHyphen/>
        <w:t>вительный ремонт (15830).</w:t>
      </w:r>
    </w:p>
    <w:p w14:paraId="33D02DDB"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547BFE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октября 1943 г. Запорожье было освобождено от фашистской оккупации и начались работы по восстановлению завода из руин. В соответствии с приказом наркомата авиационной промышленности № 121 от 2 марта 1944 г. он получил новое наименование - государственный союзный завод № 478, и на него была возложена задача выполнения капитального ремонта моторов М-88Б и их производство из деталей и узлов, поставляемых из Омска заводом № 29 с постепенным переходом на полный цикл изготовления моторов М-88Б в Запорожье. Для обеспечения конструкторского сопровождения этих работ на заводе в феврале 1945 г. создают серийное конструкторское бюро, которое возглавил Л.А. Трайнин. </w:t>
      </w:r>
    </w:p>
    <w:p w14:paraId="33D5D9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середины 1945 г. на конструкторов завода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2DFF6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АИ-26В5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39A950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2F93F3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59F981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AC98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B72A0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3FD2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по 19 октября 1943 года на АНИОПе прошли полигонные испытания тридцатьчетверки с С-54 в объеме 610 выстрелов. В заключении по испытаниям было отмечено, что «С-54 испытания выдержала, однако требует доработки отдельных узлов и механизмов. С-54 обладает существенным превосходством перед Ф-34.</w:t>
      </w:r>
    </w:p>
    <w:p w14:paraId="47C38B7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Принимая во внимание, что валовое изготовление 76-мм зенитной пушки обр. 1931/38 гг. и боеприпасов к ней снято с производства в 1939 г. испытания пушки С-54 можно рассматривать как временное мероприятие, впредь до введения на вооружение более мощной 85-мм танковой пушки».</w:t>
      </w:r>
    </w:p>
    <w:p w14:paraId="33CB682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конструкторы завода № 183 во время проработки варианта вооружения танка Т-34 85-мм орудием пришли к выводу о необходимости увеличения диаметра погона башни до 1600 мм, что естественно требовало и изменения конструкции самой башни. Получив эту информацию (12217).</w:t>
      </w:r>
    </w:p>
    <w:p w14:paraId="1D681C14"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E09F8A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года вышел приказ № 610 НКТП</w:t>
      </w:r>
    </w:p>
    <w:p w14:paraId="1F9583F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распоряжению СНК от 13 октября 1943 года за № 19676 рс:</w:t>
      </w:r>
    </w:p>
    <w:p w14:paraId="45F3D43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Присвоить заводу, организованному на базе заводов №№ 183 им. Коминтерна и 75 НКТП в Харькове номер 75 (6140, 177).</w:t>
      </w:r>
    </w:p>
    <w:p w14:paraId="36216B7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4A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октября 1943 г. по приказу НКБ № 978с новый завод, который 4 октября 1943 г. после освобождения Брянской обл. от фашистов по приказу НКБ № 939с начал восстанавливаться на месте эвакуированного завода № 113 НКБ, был переименован в завод № 121 (Завод № 121 НКБ, Брянский химический завод (БХЗ), ФГУП «Брянский ордена Трудового Красного Знамени химический завод им. 50-летия СССР» Росбоеприпаса /241550  г. Сельцо Брянской обл. Промплощадка, 1 тел. 97-12-40/). В 02.1944 г. цех № 1 выпустил первую продукцию, в 05.1944 г. в помещении склада открыт цех № 3 по выпуску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М-8 и М-13 для «Катюш». 24.06.1944 г. вышло постановление ГКО № 6095 об организации на заводе снаряжения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М-8, М-13 и М-31. В 06.1945 г. завод полност ью вступил в строй, приступил к выпуску сельскохозяйственной техники. В 1947 г. освоено производство аммонита, введен в строй соответствующий цех. В 1955 г. введены в эксплуатацию два машиностроительных цеха. В 1959-60 г. проведена реконструкция завода, начинается строительство газового хозяйства.</w:t>
      </w:r>
    </w:p>
    <w:p w14:paraId="096D20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 г. имелся филиал завода по сборке боеприпасов.</w:t>
      </w:r>
    </w:p>
    <w:p w14:paraId="3A85DE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1967 г. вступила в эксплуатацию мастерская по производству гранулита 79/21, в 1968 г.- мастерская по производству патронов из аммонита 6ЖВ. В 1969 г. построено здание механического цеха. В 1970 г. организовано производство ТНП. В 1972 г. введен в строй новый сборочный корпус, завод становится ведущим в отрасли по снаряжению и сборке боеприпасов. С 1989 г. начинается конверсия производства: налажен выпуск линолеуыа, изделий из полимербетона, мебели.</w:t>
      </w:r>
    </w:p>
    <w:p w14:paraId="3CABCC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 473 от 5.07.1992 г. завод определен базовым предприятием по расснаряжеиию и утилизации боеприпасов в Северо-Западном регионе. На заводе создана уникальная установка по выплавке тротила из крупнокалиберных боеприпасов.</w:t>
      </w:r>
    </w:p>
    <w:p w14:paraId="25CCBF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Указом Президиума ВС СССР от 18.01.1971 г. завод награжден орденом Трудового Красного Знамени.</w:t>
      </w:r>
    </w:p>
    <w:p w14:paraId="3AED43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3B544C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(11.1943 г.)- 1500 чел., (2004 г.)- 2000 чел.</w:t>
      </w:r>
    </w:p>
    <w:p w14:paraId="2C16A6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(1973 г.)- В.В. Мейпариани, (1975 г.-)- Л.И. Таньков, (1983 г.-)- В.П. Купцов. Гендиректор (1999- 2007 г.-)- Г .Б. Гилик, (-2008-09 г.-)- С. Раковский.</w:t>
      </w:r>
    </w:p>
    <w:p w14:paraId="7C01A7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взрывчатка: гранулит, аммонит (1960-е); зерносушилка ЗСП-1,5 (1950-е) (11982).</w:t>
      </w:r>
    </w:p>
    <w:p w14:paraId="66869F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1B6F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октября 1943 г. из ПИСЬМА ДИРЕКТОРА ЗАВОДА № 188 В.К. ЛЬВОВА СЕКРЕТАРЮ НОВОСИБИРСКОГО ОБЛАСТНОГО КОМИТЕТА ВКП(б) М.В. КУЛАГИНУ </w:t>
      </w:r>
    </w:p>
    <w:p w14:paraId="37F4BD7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Секретарю Новосибирского областного комитета ВКП(б) тов. Кулагину М.В.</w:t>
      </w:r>
    </w:p>
    <w:p w14:paraId="4314ECE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решения Государственного Комитета Обороны Наркомат вооружения СССР на 4-й квартал 1943 года значительно увеличил производственную программу заводу. Для выполнения задания на октябрь месяц сего года завод не обеспечен рабочей силой в количестве 2 000 человек. Учитывая недостаток в рабочей силе на заводе, Наркомат вооружения выслал в город Новосибирск наряд на мобилизацию 1 000 человек женщин, имеющих детей от 4-летнего возраста. Мобилизация на работу этих женщин не решает вопроса, так как завод не в состоянии организовать для них детские сады из-за отсутствия жилых помещений. Частично этот вопрос может разрешиться за счет организации при нашем заводе трудовой закрытой колонии подростков от 14- до 16-летнего возраста ребят. На организацию и открытие этой колонии имеется согласие Управления НКВД НСО. Вследствие того, что завод своего помещения не имеет, мною, совместно с заместителем начальника отдела НКВД по борьбе с беспризорностью т. Колодий, были осмотрены на южном поселке пустующие пять бараков, принадлежащие заводу № 65, которые стоят не занятые с мая месяца и систематически подвергаются расхищению, в чем убедился при осмотре их секретарь Кировского РК ВКП(б) т. Асланов. В соответствии с изложенным я вынужден обратиться к Вам за содействием в получении указанных бараков, так как директор завода № 65 т. Курушин в просьбе мне отказал.</w:t>
      </w:r>
    </w:p>
    <w:p w14:paraId="14D1F52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188 Львов</w:t>
      </w:r>
    </w:p>
    <w:p w14:paraId="55B67D5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532. Л. 175. Подлинник.</w:t>
      </w:r>
    </w:p>
    <w:p w14:paraId="54F401F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Львова. Документ составлен на бланке завода со штампом, на котором изображен Государственный герб СССР. Ниже слева: «Народный комиссариат вооружения. Завод № 188». № «1724» и дата «14.Х.1943 г.» проставлены черными чернилами (12193).</w:t>
      </w:r>
    </w:p>
    <w:p w14:paraId="2FFD69BB"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7CDF97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3E7E5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4E04D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оперативная сводка Совинформбюро</w:t>
      </w:r>
    </w:p>
    <w:p w14:paraId="561CB4D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Юго-Западного фронта, продолжая развивать успешное наступление, сломили ожесточённое сопротивление противника и 14 октября штурмом овладели областным центром Украины — городом Запорожье, Таким образом, Запорожский плацдарм немцев на левом берегу реки Днепр ликвидирован.</w:t>
      </w:r>
    </w:p>
    <w:p w14:paraId="2652D5A1"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Мелитопольском направлении наши войска вели упорные уличные бои в городе Мелитополь. Немцы несут огромные потери в живой силе и технике. Железная дорога, связывающая Мелитополь с Крымом, перерезана нашими войсками в двух местах. Мелитополь изолирован от Крыма.</w:t>
      </w:r>
    </w:p>
    <w:p w14:paraId="52DA5170"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 правом берегу реки, севернее и южнее Киева, наши войска продолжали вести успешные бои по расширению плацдармов и значительно улучшили свои позиции. Наши войска в ходе боёв отбили все контратаки немцев с большими для них потерями.</w:t>
      </w:r>
    </w:p>
    <w:p w14:paraId="1C730843"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и севернее Гомеля наши войска продолжали вести бои по расширению плацдармов на правом берегу реки Сож в прежних районах.</w:t>
      </w:r>
    </w:p>
    <w:p w14:paraId="0410AC43"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0EAD497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октября наши войска на всех фронтах подбили и уничтожили 96 немецких танков. В воздушных боях и огнём зенитной артиллерии сбито 97 самолетов противника.</w:t>
      </w:r>
    </w:p>
    <w:p w14:paraId="28E89D92"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Юго-Западного фронта, сломив ожесточённое сопротивление противника, сегодня штурмом овладели городом Запорожье. Части Н-ского соединения смелым и стремительным манёвром продвинулись вперёд и дезорганизовали оборону немцев. На другом участке наши гвардейцы внезапной атакой заняли несколько узлов обороны противника, уничтожив при этом не менее полка немецкой пехоты. Рано утром советские танкисты ворвались на окраины Запорожья и захватили железнодорожный узел. Сломив сопротивление противника, наши войска штурмом заняли крупный областной и промышленный центр Украины — город Запорожье. Ликвидирован один из решающих опорных пунктов немцев в низовьях Днепра. Противник понёс тяжёлые потери в людях и технике. В окрестностях Запорожья и на его улицах немцы бросили огромное число военной техники и военного имущества.</w:t>
      </w:r>
    </w:p>
    <w:p w14:paraId="7EF1B21E"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Мелитополь продолжались упорные уличные бои. Наши войска, действуя штурмовыми отрядами, очищают от немецко-фашистских захватчиков дом за домом, улицу за улицей. Противник несёт огромные потери. Стремясь любой ценой удержать город в своих руках, немцы непрерывно подтягивают резервы и бросают их в контратаки. По неполным данным, за день боёв уничтожено свыше 2.000 немецких солдат и офицеров, 26 танков, 6 самоходных и 40 полевых орудий. Захвачены трофеи и пленные, Наши войска в двух местах перерезали железную дорогу Мелитополь—Крым.</w:t>
      </w:r>
    </w:p>
    <w:p w14:paraId="194B1F10"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южнее Киева, на правом берегу Днепра, наши войска продолжали вести успешные бои и значительно улучшили свои позиции. Противник подтянул резервы и контратаками пытался вернуть утерянные им вчера опорные пункты. Бои носят крайне ожесточённый характер. Наши войска отбили все контратаки немцев. В этих боях уничтожено свыше 3.000 солдат и офицеров противника, подбито и сожжено 35 немецких танков, 8 самоходных и 37 полевых орудий. В районе севернее Киева наши танкисты прорвались через боевые порядки немцев и разгромили тылы трёх вражеских дивизий. Уничтожено большое количество обозов, складов и автомашин. Захвачены большие трофеи.</w:t>
      </w:r>
    </w:p>
    <w:p w14:paraId="71F36D85"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севернее Гомеля наши войска вели бои за расширение плацдармов назападном берегу реки Сож. Неоднократные контратаки немцев с целью отбросить наши части с правого берега реки Сож отбиты с большими для противника потерями. Истреблено до 1.500 немецких солдат и офицеров. Уничтожено 14 орудий, из них два самоходных типа «Фердинанд».</w:t>
      </w:r>
    </w:p>
    <w:p w14:paraId="22BD76D0"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Самолёты-торпедоносцы Балтийского флота потопили в Балтийском море немецкий транспорт водоизмещением в 4.000 тонн.</w:t>
      </w:r>
    </w:p>
    <w:p w14:paraId="5983C7D4"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Литовский партизанский отряд совершил смелый налёт на штаб немецкой воинской части, которая готовилась к походу против партизан. Советские патриоты убили свыше 20 гитлеровцев и захватили штабные документы. Партизаны литовского отряда «За Родину» 2 октября обстреляли колонну противника на шоссейной дороге. Убито 3 немецких офицера и 16 солдат. 7 октября литовские партизаны уничтожили 4 километра телеграфно-телефонной линии связи и пустили под откос немецкий воинский эшелон, следовавший к линии фронта.</w:t>
      </w:r>
    </w:p>
    <w:p w14:paraId="2F95E7AF"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немецкий обер-лейтенант Вольфганг Рихтер рассказал: «Весь август текущего года я находился в 211 запасном батальоне в городе Кельне. В начале сентября вместе с маршевой ротой выздоравливающих отбыл на Восточный фронт. Нас наспех вооружили и бросили в бой, не дав даже отдохнуть с дороги. Я уже бывал на фронте, участвовал в боях, трижды ранен и награждён железным крестом 1 класса. Этим летом, после ранения, провёл несколько месяцев в Германии. Настроение в тылу тяжёлое. Многие считают, что Германия долго не выдержит. По всеобщему мнению, назначение Гиммлера на пост министра внутренних дел равносильно объявлению осадного положения в стране. Я убедился, что война проиграна, и поэтому решил сдаться в плен. Солдаты, находившиеся при мне, одобрили моё решение, и мы сложили оружие» (14799).</w:t>
      </w:r>
    </w:p>
    <w:p w14:paraId="24E5EBFC"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239AD9FF"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завершилась Запорожская операция: войска Юго-Западного фронта ликвидировали запорожский плацдарм противника, освободили город Запорожье. За отличия в боях 31 части и соединению присвоены почетные наименования. За время оккупации и боев гитлеровцы уничтожили в городе Запорожье 44 тысячи мирных жителей и военнопленных, 58 тыс. человек угнали в Германию, разрушили все промышленные предприятия, 900 тыс. м2 жилой площади. При отступлении противник заминировал Днепрогэс и осуществил несколько взрывов (14799).</w:t>
      </w:r>
    </w:p>
    <w:p w14:paraId="06A9CF00"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3B76F1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8 и Ла-5 под командой ст.л. Н.Горелова при охране переправы через Днепр вела бой с 100 с и сбили 10. Через несколько дней сбили 15 из 90 (438,886).</w:t>
      </w:r>
    </w:p>
    <w:p w14:paraId="5D26B4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60A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КА (ЮЗФ - Р.Я.Малиновский) заняла Запорожье, но на правом берегу немцы ожесточенно оборонялись. Советские водолазы начали искать заряд в плотине Днепрогеса, не нашли, но все же сумели перерезать кабель. Немцы плотину взорвали, но не так сильно, как могли бы (339,38).</w:t>
      </w:r>
    </w:p>
    <w:p w14:paraId="04205A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097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14, 1943: The US 8th Air Force delivers a heavy attack against the ball bearing plants at Schweinfurt but at a heavy price: of the original force of 291 B-17's, 198 are either shot down or damaged beyond repair, while the Luftwaffe lost about 40 fighter planes. German forces evacuate the Zaporoshe bridgehead on the eastern bank of the Dnepr river (3819).</w:t>
      </w:r>
    </w:p>
    <w:p w14:paraId="10EE62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5201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советские войска освободили от фашистов Запорожье (4962).</w:t>
      </w:r>
    </w:p>
    <w:p w14:paraId="790FBAC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9A13E" w14:textId="77777777" w:rsidR="00736B3D" w:rsidRPr="00271E51" w:rsidRDefault="00736B3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завершилась Запорожская операция: войска Юго-Западного фронта ликвидировали запорожский плацдарм противника, освободили город Запорожье. За отличия в боях 31 части и соединению присвоены почетные наименования. За время оккупации и боев гитлеровцы уничтожили в городе Запорожье 44 тысячи мирных жителей и военнопленных, 58 тыс. человек угнали в Германию, разрушили все промышленные предприятия, 900 тыс. м2 жилой площади. При отступлении противник заминировал Днепрогэс и осуществил несколько взрывов (14799).</w:t>
      </w:r>
    </w:p>
    <w:p w14:paraId="1EAB9FDE" w14:textId="77777777" w:rsidR="00736B3D" w:rsidRPr="00271E51" w:rsidRDefault="00736B3D" w:rsidP="00271E51">
      <w:pPr>
        <w:spacing w:after="0" w:line="240" w:lineRule="auto"/>
        <w:jc w:val="both"/>
        <w:rPr>
          <w:rFonts w:ascii="Times New Roman" w:hAnsi="Times New Roman"/>
          <w:color w:val="000000" w:themeColor="text1"/>
          <w:sz w:val="16"/>
          <w:szCs w:val="16"/>
        </w:rPr>
      </w:pPr>
    </w:p>
    <w:p w14:paraId="6B7E32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немецкие части оставили Запорожье (3819).</w:t>
      </w:r>
    </w:p>
    <w:p w14:paraId="6368EA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CE0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14 октября 1943 вышло Постановление ГКО № 4326 О передаче функций по снабжению Красной Армии продовольствием и фуражем в ведение главного интенданта Красной Армии и о введении в военных округах должности заместителя командующего войсками округа по материальному обеспечению.РГАНИР, Фонд ГКО, д. 163, лл. (11012).</w:t>
      </w:r>
    </w:p>
    <w:p w14:paraId="7C71F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BDD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вышло Постановление ГКО № 4327 Об укреплении Главвоенторга НКТ СССР.РГАНИР, Фонд ГКО, д. 163, лл. 12-13 (11012).</w:t>
      </w:r>
    </w:p>
    <w:p w14:paraId="17083D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12E9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E0609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2F8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года</w:t>
      </w:r>
    </w:p>
    <w:p w14:paraId="6F1D6E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МАРШАЛУ СТАЛИНУ ОТ ПРЕЗИДЕНТА РУЗВЕЛЬТА</w:t>
      </w:r>
    </w:p>
    <w:p w14:paraId="572249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 о моей поездке в предложенное Вами место становится настолько острым, что я считаю необходимым откровенно сообщить Вам, что в силу положений конституции я не могу рисковать. Будет происходить сессия Конгресса. Я должен буду принимать решения в отношении новых законов и резолюций после их получения, и они должны быть возвращены Конгрессу в подлиннике до истечения срока в десять дней. Ни того, ни другого нельзя сделать по радио или по телеграфу. Названное Вами место расположено слишком далеко, чтобы быть уверенным в том, что эти требования будут выполнены. Всегда возможны задержки при перелете через горы сначала по пути на восток, а затем по пути на запад. Мы знаем по опыту, что самолеты, следующие в обоих направлениях, часто задерживаются на 3—4 дня.</w:t>
      </w:r>
    </w:p>
    <w:p w14:paraId="5969AD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не думаю, чтобы кому-либо из нас понадобились услуги миссий на месте, так как каждый из нас может иметь достаточное количество персонала и технических сотрудников.</w:t>
      </w:r>
    </w:p>
    <w:p w14:paraId="462497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я осмеливаюсь сделать некоторые другие предложения. Я надеюсь, что Вы рассмотрите их или предложите какое-либо другое место, где я мог бы быть уверен в том, что выполню свои конституционные обязанности.</w:t>
      </w:r>
    </w:p>
    <w:p w14:paraId="04CA28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Каир во многих отношениях привлекателен, и мне известно, что там вне черты города, вблизи пирамид, имеется гостиница и несколько вилл, которые могут быть полностью изолированы. В бывшей итальянской столице Эритреи Асмаре имеются, как говорят, прекрасные здания и посадочная площадка, пригодная в любое время года</w:t>
      </w:r>
    </w:p>
    <w:p w14:paraId="5A799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Затем имеется возможность встречи в каком-либо порту восточной части Средиземного моря, при условии, что каждый из нас будет располагать кораблем. Если эта мысль Вам нравится, мы легко могли бы предоставить полностью в Ваше распоряжение хорошее судно для Вас и Вашей группы с тем, чтобы Вы были совершенно независимы и в то же время могли иметь постоянную связь с Вашим собственным фронтом.</w:t>
      </w:r>
    </w:p>
    <w:p w14:paraId="05BA9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Другое предложение — это по соседству с Багдадом, где мы могли бы располагать тремя комфортабельными лагерями с достаточным количеством русской, британской и американской охраны. Эту последнюю мысль, кажется, стоит рассмотреть.</w:t>
      </w:r>
    </w:p>
    <w:p w14:paraId="61C0BA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любом случае, я полагаю, присутствие представителей прессы исключено, причем все место должно быть окружено кордоном так, чтобы нам никоим образом не мешали. Что Вы думаете о 20 или 25 ноября, как о дате встречи?</w:t>
      </w:r>
    </w:p>
    <w:p w14:paraId="39BEB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придаю очень большое значение личным и интимным переговорам, которые Вы, Черчилль и я будем вести, потому что от них зависит надежда на будущий мир.</w:t>
      </w:r>
    </w:p>
    <w:p w14:paraId="649694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Инициатива, которую Вы продолжаете удерживать по всему Вашему фронту, радует всех нас (7430).</w:t>
      </w:r>
    </w:p>
    <w:p w14:paraId="7FD04D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831B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20896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5DB888"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14 октября 1943 года</w:t>
      </w:r>
      <w:r w:rsidRPr="00271E51">
        <w:rPr>
          <w:rFonts w:ascii="Times New Roman" w:hAnsi="Times New Roman"/>
          <w:color w:val="000000" w:themeColor="text1"/>
          <w:sz w:val="16"/>
          <w:szCs w:val="16"/>
        </w:rPr>
        <w:t xml:space="preserve"> Авиационный налет американского 8-го воздушного флота на Швайнфурт (из 229 четырехмоторных бомбардировщиков 60 сбиты над Германией, 17 — над морем и Англией, 121 поврежден). Нужно заметить¸ что противостояли армаде из «Боингов» В-17 и «Консолидейтед» В-24 немецкие FW 190A-6.</w:t>
      </w:r>
    </w:p>
    <w:p w14:paraId="317CF3DA"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FW 190A-6 в стандартном варианте с более легким крылом оснащался четырьмя скорострельными пушками калибра 20 мм, устанавливавшимися в крыле в дополнение к двум пулеметам MG 17 в носовой части; FW 190A-6/R1 имел шесть пушек калибра 20 мм в подкрыльевых обтекателях; на FW 190A-6/R6 в тех же обтекателях устанавливались четыре пушки МК 108 калибра 30 мм, что делало его самым тяжело вооруженным одноместным истребителем Второй мировой войны. FW 190A-6/R4 с турбокомпрессорным двигателем BMW 801TS обладал максимальной скоростью 683 км/ч на высоте 10 500 м. Истребители-бомбардировщики серии FW 190A-6 могли нести под фюзеляжем бомбу весом 1000 кг (14799).</w:t>
      </w:r>
    </w:p>
    <w:p w14:paraId="21A3CB40"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585AB44A"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октября 1943 восьмая миссия ВВС на Швайнфурте приводит к катастрофической потере 77 из 291 тяжелых бомбардировщиков, посланных в рейд (60 сбито / 17 списано) и около 650 пилотов и других членов летных экипажами убитых или пропавших без вести от обороняющихся немецких дневных истребителей Jagdgeschwader (20376).</w:t>
      </w:r>
    </w:p>
    <w:p w14:paraId="2AC34F07" w14:textId="77777777" w:rsidR="00736B3D" w:rsidRPr="00271E51" w:rsidRDefault="00736B3D" w:rsidP="00271E51">
      <w:pPr>
        <w:spacing w:after="0" w:line="240" w:lineRule="auto"/>
        <w:jc w:val="both"/>
        <w:rPr>
          <w:rFonts w:ascii="Times New Roman" w:hAnsi="Times New Roman"/>
          <w:color w:val="0070C0"/>
          <w:sz w:val="16"/>
          <w:szCs w:val="16"/>
        </w:rPr>
      </w:pPr>
    </w:p>
    <w:p w14:paraId="21BB98B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октября 1943 - "Кровавый четверг" бомбардировочной авиации США. Большое количество тяжелых бомбардировщиков и истребителей сопровождения 8-й воздушной армии ВВС США атаковали подшипниковые заводы в Швайнфурте во второй раз. Всего 291 B-17 Flying Fortress. 60 B-17 были сбиты немецкими истребителями и зенитной артиллерией. Еще 17 были повреждены так сильно, что они упали при посадке на своих базах, или были так сильно повреждены, что были списаны. 121 B-17 получили небольшие повреждения. 594 членов экипажа пропали без вести (по-видимому, погибли). 65 были захвачены в плен. При возвращению в Англию погибли 5 членов экипажа и 43 ранены. Стрелки В-17 сбили от 35 до 38 Messerschmitt Bf 109 и Focke-Wulf Fw 190. Еще 20 истребителей были повреждены (22337).</w:t>
      </w:r>
    </w:p>
    <w:p w14:paraId="34DE3770" w14:textId="77777777" w:rsidR="00736B3D" w:rsidRPr="00271E51" w:rsidRDefault="00736B3D" w:rsidP="00271E51">
      <w:pPr>
        <w:spacing w:after="0" w:line="240" w:lineRule="auto"/>
        <w:jc w:val="both"/>
        <w:rPr>
          <w:rFonts w:ascii="Times New Roman" w:hAnsi="Times New Roman"/>
          <w:color w:val="0070C0"/>
          <w:sz w:val="16"/>
          <w:szCs w:val="16"/>
        </w:rPr>
      </w:pPr>
    </w:p>
    <w:p w14:paraId="23B9184D"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14 октября 1943 г., Четверг, Базель </w:t>
      </w:r>
    </w:p>
    <w:p w14:paraId="0EE60D17"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«Нойе Цюрихер цайтунг» сообщает: </w:t>
      </w:r>
    </w:p>
    <w:p w14:paraId="2A90F5A6"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около 15:10 между Аешем и Эттингеном совершил посадку самолет «Летающая крепость». Летчики не знали, что находятся на швейцарской земле, и были несказанно рады, когда им сообщили об этом. Согласно их докладу, они возвращались на свою базу после бомбардировки одного немецкого города, но по пути подверглись сильному обстрелу со стороны немецких зениток и истребителей. И действительно, [298] на кабине и корпусе самолета были видны следы от осколков гранат и пулеметные пробоины. Моторы самолета постепенно выходили из строя, и летчики были вынуждены совершить посадку. Два члена экипажа из десяти прыгнули с парашютами, по всей вероятности, еще на немецкой территории. Три летчика были ранены зенитками и пулеметами истребителей, и их тут же доставили в госпиталь для гражданских в Базеле. Пятеро оставшихся на месте приземления членов экипажа сидели на траве, жевали бисквиты и шоколад и с удовольствием курили кто сигареты, кто трубку. Вечером того же дня все они были доставлены в лагерь для интернированных» (14799).</w:t>
      </w:r>
    </w:p>
    <w:p w14:paraId="162CABAD"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4AC2B6D2"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авиационный налет американского 8-ю воздушного флота на Швайнфурт (из 229 четырехмоторных бомбардировщиков 60 сбиты над Германией, 17 — над морем и Англией, 121 поврежден) (14799).</w:t>
      </w:r>
    </w:p>
    <w:p w14:paraId="2AEC6381"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49B219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14 1943 United States Eighth Air Force raids Schweinfurt ball-bearing plants (1037).</w:t>
      </w:r>
    </w:p>
    <w:p w14:paraId="5088B1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009F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As a result, the Germans will disperse their ball-bearing manufacturing, but the cost of the raid is high; 60 of the 291 B-17s launched do not return, 138 more are damaged (1089).</w:t>
      </w:r>
    </w:p>
    <w:p w14:paraId="5DE187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076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8ВА США вновь нанесла удар по заводу шарикоподшипников в Швайнефюрте. Потеряли 60 из 291 В-17 и 138 были повреждены (1037;1089).</w:t>
      </w:r>
    </w:p>
    <w:p w14:paraId="263472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89DA6"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евреи-узники лагеря смерти Собибор, под руководством пленного советского офицера Александра Печерского, подняли восстание. Восставшие перебили эсесовский персонал лагеря и часть украинских охранников, После чего , прорвав заграждения бежали в лес. Из 670 человек, бежавших из Собибора, 130 погибли при побеге, 140 были схвачены и расстреляны позже. Спастись удалось примерно четырём сотням. До конца войны дожили лишь около 60 беглецов. Восстание в Собиборе явилось единственным удачным за все годы второй мировой войны. Сразу после побега заключённых лагерь был закрыт и стёрт с лица земли. На его месте немцы засадили капустное и картофельное поле. Скорее всего, если бы не восстание и побег, никто никогда и не узнал бы, что в том месте находился лагерь смерти (14799).</w:t>
      </w:r>
    </w:p>
    <w:p w14:paraId="4234B6B5"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7B5209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г. была провозглашена и независимость Филиппин, которые также вступили в союз с Японией (3871).</w:t>
      </w:r>
    </w:p>
    <w:p w14:paraId="15466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CF1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октября 1943 Япония объявила о независимости Филиппинских островов (3481).</w:t>
      </w:r>
    </w:p>
    <w:p w14:paraId="0AC2B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0D1AD"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14 октября </w:t>
      </w:r>
      <w:r w:rsidRPr="00271E51">
        <w:rPr>
          <w:rFonts w:ascii="Times New Roman" w:hAnsi="Times New Roman"/>
          <w:color w:val="000000" w:themeColor="text1"/>
          <w:sz w:val="16"/>
          <w:szCs w:val="16"/>
        </w:rPr>
        <w:t>в 1943 году провозглашена независимость Филиппин во главе с прояпонским президентом Х.Лаурелем (14799).</w:t>
      </w:r>
    </w:p>
    <w:p w14:paraId="1398DD6D"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6A73509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4E6F7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A4BE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закончились гос. испытания Як-1М, которые начались 6 1943 (198,54).</w:t>
      </w:r>
    </w:p>
    <w:p w14:paraId="4A3F69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F21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15 октября по 5 ноября 1943 проводились доп. испытания Як-3 (Як-1М Дублер) М-105ПФ с ВИШ-105СВ. Было выполнено 8 полетов продолжительностью 7 час. 10 мин. Летал Кочетков (813,4).</w:t>
      </w:r>
    </w:p>
    <w:p w14:paraId="0E51AA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579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года закончились госиспытания Як-1М "Дублер" с форсированным мотором М-105ПФ с индивидуальными реактивными выхлопными патрубками и винтом ВИШ-105СВ-01 диаметром 3 метра, который передали на государственные испытания в НИИ ВВС 6 октября и начали испытывать 7 октября. Ведущими по машине были инженер Г.А. Седов и летчик А.Г. Прошаков. В течение восьми дней (с 7 октября) военные испытатели выполнили 24 полета, налетав 17 часов 55 минут.</w:t>
      </w:r>
    </w:p>
    <w:p w14:paraId="630603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 ведущего летчика-испытателя был столь восторжен, что его следует привести почти полностью:</w:t>
      </w:r>
    </w:p>
    <w:p w14:paraId="78B74A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расположению оборудования кабина самолета максимально приближается к стандартной, что создает большие удобства летчику. Установка автомата регулировки температуры воды освобождает внимание летчика и позволяет увеличить максимальную скорость &lt;...&gt;, особенно при низкой температуре наружного воздуха.</w:t>
      </w:r>
    </w:p>
    <w:p w14:paraId="2AAC16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Обзор из кабины во все стороны хороший, но козырек сферической формы несколько искажает видимые через него предметы...</w:t>
      </w:r>
    </w:p>
    <w:p w14:paraId="26EB8C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рулежке самолет прост: с застопоренным хвостовым колесом устойчиво рулит, даже при сильном боковом ветре. Установка полуавтоматического стопора костыля &lt;...&gt; облегчает рулежку по сравнению с серийными самолетами "Як".</w:t>
      </w:r>
    </w:p>
    <w:p w14:paraId="356D74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взлете самолет аналогичен серийным самолетам "Як", но набирает скорость и отрывается быстрее. На разбеге имеется незначительная тенденция к развороту вправо, но &lt;...&gt; легко парируется левой ногой... Траектория набора высоты круче, нежели у серийных самолетов.</w:t>
      </w:r>
    </w:p>
    <w:p w14:paraId="432346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самолет устойчив: нагрузки на руль глубины легко снимаются триммером на всем диапазоне скоростей...</w:t>
      </w:r>
    </w:p>
    <w:p w14:paraId="3B491B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Як-IM "Дублер", так же как и опытный экземпляр &lt;".&gt;, обладает превосходной горизонтальной и особенно вертикальной маневренностью; максимальная скорость значительно увеличилась по сравнению с серийными самолетами "Як".</w:t>
      </w:r>
    </w:p>
    <w:p w14:paraId="7EBC3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 высший пилотаж самолет выполняет энергично и легко, с небольшими нагрузками на органы управления; на вираже &lt;... &gt; устойчив. При скорости 360 - 380 км/ч время выполнения одинарного виража на высоте 1000 метров составляет 16- 17 секунд. Перекладывание из виража в вираж легкое.</w:t>
      </w:r>
    </w:p>
    <w:p w14:paraId="14D55D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Техника выполнения боевого разворота такая же, как на серийных самолетах "Як", но нагрузки на рули меньше. При скорости ввода 560 км/ч с начальной высоты 1000 метров и скорости вывода самолет выполняет боевой разворот за 20 секунд и набирает &lt;...&gt; высоту 1250- 1300метров.</w:t>
      </w:r>
    </w:p>
    <w:p w14:paraId="586F99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Переворот также выполняется, как на серийных самолетах "Як". При скорости ввода 270 км/ч с начальной высоты 1500 метров самолет теряет 450 - 500 метров. Самолет выполняет фигуры высшего пилотажа в большом диапазоне скоростей. Например, петлю можно выполнять при начальной скорости от 450 до 550км/ч и набор высоты при этом составляет соответственно от 0 до 450метров.</w:t>
      </w:r>
    </w:p>
    <w:p w14:paraId="4C7161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Наивыгоднейшая скорость планирования равна 220 км/ч. Траектория планирования и профиль посадки практически такие же, как у подобных самолетов "Як". На посадке самолет прост и не боится перетягивания ручки. На пробеге &lt;... &gt;устойчив, тенденции к разворотам и рысканию не имеет. Тормозить на пробеге можно несколько энергичней, чем на &lt;...&gt; Як-1, но при резком торможени и самолет имеет тенденцию к поднятию хвоста".</w:t>
      </w:r>
    </w:p>
    <w:p w14:paraId="34C013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Як-1М "Дублер" облетали командир 69- го краснознаменного иап Герой Советского Союза подполковник Л.Л. Шестаков, летчики-испытатели Ю.А. Антипов, А.Г. Ку- бышкин, П.М. Стефановский и В.И. Хомяков. Все они в целом поддержали мнение ведущего летчика-испытателя. В итоге НИИ ВВС отметил заслугу ОКБ-115 в снижении веса самолета и усилении вооружения, а также в устранении большого количества дефектов, выявленных в ходе испытаний первого прототипа Як-1М. В заключение специалисты НИИ ВВС рекомендовали истребитель для запуска в серийное производство, при условии получения положительных результатов государственных испытаний мотора М-105ПФ с повышенным наддувом и пушки ША-20М.</w:t>
      </w:r>
    </w:p>
    <w:p w14:paraId="47BC3F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Высокие летные данные и хорошее вооружение истребителя - это очень важно, но не менее важна для пилота и устойчивая двухсторонняя связь. На Як-1М "Дублер" стояла приемо-передаюшая радиостанция РСИ-4 с двухлучевой безмачтовой антенной. Мачта антенны создавала дополнительное аэродинамическое сопротивление, снижая скорость и дальность полета. Но погоня за высокими летными характеристиками обернулась значительным снижением дальности приема до 65 км вместо 100 км и передачи не более 40 км вместо 70-80 км. Тем самым ухудшалась возможность управления самолетами в воздухе (12047).</w:t>
      </w:r>
    </w:p>
    <w:p w14:paraId="1BE0D6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57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Як-1М дублер, выпущенный 17 сентября 1943, успешно прошел государственные испытания, которые шли с 6 октября.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w:t>
      </w:r>
    </w:p>
    <w:p w14:paraId="6A41A7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сентября 1943 г. на основе результатов продувок Як-1М в аэродинамической трубе ЦАГИ для поиска дополнительных мер по улучшению обводов и работы устройств охлаждения в августе,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 (12048).</w:t>
      </w:r>
    </w:p>
    <w:p w14:paraId="73CFE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C34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Зам. ГК з-да № 300 в целях проверки лтд на режимах мотора АМ-39 на низких высотах мотору АМ-38Ф, при снятии летных характеристик, разрешено было давались обороты 2150 при Рк 1180-1200 (766,5).</w:t>
      </w:r>
    </w:p>
    <w:p w14:paraId="1431AC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0A6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вышел приказ НКАП N 613 о том, что завод 23 не выполнил решение ГКО по выпуску самолета Ту-2 в сентябре и не организовал подготовку и запуск производства Ту-2 в объеме, обеспечивающим программу. Указали директору (944,152).</w:t>
      </w:r>
    </w:p>
    <w:p w14:paraId="23FE61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23 не выполнил решение ГКО по выпуску самолетов Ту-2 в сентябре месяце и не организовал подготовку и запуск производства Ту-2 в объеме, обеспечивающим программы октября-ноября 1943 г.</w:t>
      </w:r>
    </w:p>
    <w:p w14:paraId="70E59C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Указать директору завода 23 т. Иосиловичу на явно неудовлетворительные темпы подготовки и развертывания производства самолета Ту-2" (1835,28).</w:t>
      </w:r>
    </w:p>
    <w:p w14:paraId="33B0F8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70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вышел приказ НКАП N 619c:</w:t>
      </w:r>
    </w:p>
    <w:p w14:paraId="0495DA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ЛТД самолета Пе-8:</w:t>
      </w:r>
    </w:p>
    <w:p w14:paraId="03E366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22 Окулову и ГК Незваль</w:t>
      </w:r>
    </w:p>
    <w:p w14:paraId="45E5E9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Спроектировать и изготовить один модифицированный самолет Пе-8 с улучшенными аэродинамическими данными и увеличенной бомбовой нагрузкой с М-82ФНJ</w:t>
      </w:r>
    </w:p>
    <w:p w14:paraId="203B2B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предъявить на летные испытания к 1 апреля 1944 со след. ЛТД при нормальном полетном весе 30 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3929F71C" w14:textId="77777777" w:rsidTr="00ED5B0A">
        <w:tc>
          <w:tcPr>
            <w:tcW w:w="5636" w:type="dxa"/>
          </w:tcPr>
          <w:p w14:paraId="190314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w:t>
            </w:r>
          </w:p>
        </w:tc>
        <w:tc>
          <w:tcPr>
            <w:tcW w:w="5636" w:type="dxa"/>
          </w:tcPr>
          <w:p w14:paraId="262D76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w:t>
            </w:r>
          </w:p>
        </w:tc>
      </w:tr>
      <w:tr w:rsidR="00A907A5" w:rsidRPr="00271E51" w14:paraId="784C9A38" w14:textId="77777777" w:rsidTr="00ED5B0A">
        <w:tc>
          <w:tcPr>
            <w:tcW w:w="5636" w:type="dxa"/>
          </w:tcPr>
          <w:p w14:paraId="19F9B8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м</w:t>
            </w:r>
          </w:p>
        </w:tc>
        <w:tc>
          <w:tcPr>
            <w:tcW w:w="5636" w:type="dxa"/>
          </w:tcPr>
          <w:p w14:paraId="1C2CA8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r>
      <w:tr w:rsidR="00A907A5" w:rsidRPr="00271E51" w14:paraId="121738C0" w14:textId="77777777" w:rsidTr="00ED5B0A">
        <w:tc>
          <w:tcPr>
            <w:tcW w:w="5636" w:type="dxa"/>
          </w:tcPr>
          <w:p w14:paraId="2DC54F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 подъема на 6000 м</w:t>
            </w:r>
          </w:p>
        </w:tc>
        <w:tc>
          <w:tcPr>
            <w:tcW w:w="5636" w:type="dxa"/>
          </w:tcPr>
          <w:p w14:paraId="059076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r>
      <w:tr w:rsidR="00A907A5" w:rsidRPr="00271E51" w14:paraId="4B6A1C21" w14:textId="77777777" w:rsidTr="00ED5B0A">
        <w:tc>
          <w:tcPr>
            <w:tcW w:w="5636" w:type="dxa"/>
          </w:tcPr>
          <w:p w14:paraId="1FE8C9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 потолок</w:t>
            </w:r>
          </w:p>
        </w:tc>
        <w:tc>
          <w:tcPr>
            <w:tcW w:w="5636" w:type="dxa"/>
          </w:tcPr>
          <w:p w14:paraId="4095BC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8500</w:t>
            </w:r>
          </w:p>
        </w:tc>
      </w:tr>
      <w:tr w:rsidR="00A907A5" w:rsidRPr="00271E51" w14:paraId="19D2A2DF" w14:textId="77777777" w:rsidTr="00ED5B0A">
        <w:tc>
          <w:tcPr>
            <w:tcW w:w="5636" w:type="dxa"/>
          </w:tcPr>
          <w:p w14:paraId="40C5ED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дальн. с 2000 кг</w:t>
            </w:r>
          </w:p>
        </w:tc>
        <w:tc>
          <w:tcPr>
            <w:tcW w:w="5636" w:type="dxa"/>
          </w:tcPr>
          <w:p w14:paraId="044302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5200</w:t>
            </w:r>
          </w:p>
        </w:tc>
      </w:tr>
      <w:tr w:rsidR="00A907A5" w:rsidRPr="00271E51" w14:paraId="5F9951B6" w14:textId="77777777" w:rsidTr="00ED5B0A">
        <w:tc>
          <w:tcPr>
            <w:tcW w:w="5636" w:type="dxa"/>
          </w:tcPr>
          <w:p w14:paraId="40BF07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6000</w:t>
            </w:r>
          </w:p>
        </w:tc>
        <w:tc>
          <w:tcPr>
            <w:tcW w:w="5636" w:type="dxa"/>
          </w:tcPr>
          <w:p w14:paraId="7B9A0A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4350</w:t>
            </w:r>
          </w:p>
        </w:tc>
      </w:tr>
      <w:tr w:rsidR="00A907A5" w:rsidRPr="00271E51" w14:paraId="4E5D8788" w14:textId="77777777" w:rsidTr="00ED5B0A">
        <w:tc>
          <w:tcPr>
            <w:tcW w:w="5636" w:type="dxa"/>
          </w:tcPr>
          <w:p w14:paraId="17E0A7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8000</w:t>
            </w:r>
          </w:p>
        </w:tc>
        <w:tc>
          <w:tcPr>
            <w:tcW w:w="5636" w:type="dxa"/>
          </w:tcPr>
          <w:p w14:paraId="2085F6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w:t>
            </w:r>
          </w:p>
        </w:tc>
      </w:tr>
      <w:tr w:rsidR="00A907A5" w:rsidRPr="00271E51" w14:paraId="00B0E4C8" w14:textId="77777777" w:rsidTr="00ED5B0A">
        <w:tc>
          <w:tcPr>
            <w:tcW w:w="5636" w:type="dxa"/>
          </w:tcPr>
          <w:p w14:paraId="75254C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 при пол. весе 37500</w:t>
            </w:r>
          </w:p>
        </w:tc>
        <w:tc>
          <w:tcPr>
            <w:tcW w:w="5636" w:type="dxa"/>
          </w:tcPr>
          <w:p w14:paraId="32E7C6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м</w:t>
            </w:r>
          </w:p>
        </w:tc>
      </w:tr>
      <w:tr w:rsidR="00A907A5" w:rsidRPr="00271E51" w14:paraId="492142A4" w14:textId="77777777" w:rsidTr="00ED5B0A">
        <w:tc>
          <w:tcPr>
            <w:tcW w:w="5636" w:type="dxa"/>
          </w:tcPr>
          <w:p w14:paraId="1D4572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Вооружение:</w:t>
            </w:r>
          </w:p>
        </w:tc>
        <w:tc>
          <w:tcPr>
            <w:tcW w:w="5636" w:type="dxa"/>
          </w:tcPr>
          <w:p w14:paraId="0C4EE1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AB4B4A" w14:textId="77777777" w:rsidTr="00ED5B0A">
        <w:tc>
          <w:tcPr>
            <w:tcW w:w="5636" w:type="dxa"/>
          </w:tcPr>
          <w:p w14:paraId="1C0674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w:t>
            </w:r>
          </w:p>
        </w:tc>
        <w:tc>
          <w:tcPr>
            <w:tcW w:w="5636" w:type="dxa"/>
          </w:tcPr>
          <w:p w14:paraId="3EA17F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1х12.7 с 200</w:t>
            </w:r>
          </w:p>
        </w:tc>
      </w:tr>
      <w:tr w:rsidR="00A907A5" w:rsidRPr="00271E51" w14:paraId="6BFBFF63" w14:textId="77777777" w:rsidTr="00ED5B0A">
        <w:tc>
          <w:tcPr>
            <w:tcW w:w="5636" w:type="dxa"/>
          </w:tcPr>
          <w:p w14:paraId="4A7428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w:t>
            </w:r>
          </w:p>
        </w:tc>
        <w:tc>
          <w:tcPr>
            <w:tcW w:w="5636" w:type="dxa"/>
          </w:tcPr>
          <w:p w14:paraId="652F8B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1х20 с 400</w:t>
            </w:r>
          </w:p>
        </w:tc>
      </w:tr>
      <w:tr w:rsidR="00A907A5" w:rsidRPr="00271E51" w14:paraId="6593F3C8" w14:textId="77777777" w:rsidTr="00ED5B0A">
        <w:tc>
          <w:tcPr>
            <w:tcW w:w="5636" w:type="dxa"/>
          </w:tcPr>
          <w:p w14:paraId="3D816D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w:t>
            </w:r>
          </w:p>
        </w:tc>
        <w:tc>
          <w:tcPr>
            <w:tcW w:w="5636" w:type="dxa"/>
          </w:tcPr>
          <w:p w14:paraId="294C0C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1х20 с 400</w:t>
            </w:r>
          </w:p>
        </w:tc>
      </w:tr>
      <w:tr w:rsidR="00A907A5" w:rsidRPr="00271E51" w14:paraId="00F2421E" w14:textId="77777777" w:rsidTr="00ED5B0A">
        <w:tc>
          <w:tcPr>
            <w:tcW w:w="5636" w:type="dxa"/>
          </w:tcPr>
          <w:p w14:paraId="77FC1B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шасси</w:t>
            </w:r>
          </w:p>
        </w:tc>
        <w:tc>
          <w:tcPr>
            <w:tcW w:w="5636" w:type="dxa"/>
          </w:tcPr>
          <w:p w14:paraId="1DAFEB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2х12.7 с 800</w:t>
            </w:r>
          </w:p>
        </w:tc>
      </w:tr>
      <w:tr w:rsidR="00A907A5" w:rsidRPr="00271E51" w14:paraId="77F9C533" w14:textId="77777777" w:rsidTr="00ED5B0A">
        <w:tc>
          <w:tcPr>
            <w:tcW w:w="5636" w:type="dxa"/>
          </w:tcPr>
          <w:p w14:paraId="68DF37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Бомбы от </w:t>
            </w:r>
          </w:p>
        </w:tc>
        <w:tc>
          <w:tcPr>
            <w:tcW w:w="5636" w:type="dxa"/>
          </w:tcPr>
          <w:p w14:paraId="56683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до 5000 (1746,119)</w:t>
            </w:r>
          </w:p>
        </w:tc>
      </w:tr>
    </w:tbl>
    <w:p w14:paraId="440F34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567B1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EBBE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EA6C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г. был подготовлен МАТЕРИАЛ ИЗ ВОЕННОГО ДЕПАРТАМЕНТА США ПО ОПИСАНИЮ СОВЕТСКИХ ТАНКОВ Т-70, Т-34, КВ-1 И КВ-2 № 596</w:t>
      </w:r>
    </w:p>
    <w:p w14:paraId="6E4D6D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штаба БТ и МВ КА генерал-майору танковых войск т. Салминову</w:t>
      </w:r>
    </w:p>
    <w:p w14:paraId="2B690F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материал, полученный из Военного департамента США по описанию советских тан</w:t>
      </w:r>
      <w:r w:rsidRPr="00271E51">
        <w:rPr>
          <w:rFonts w:ascii="Times New Roman" w:hAnsi="Times New Roman"/>
          <w:color w:val="000000" w:themeColor="text1"/>
          <w:sz w:val="16"/>
          <w:szCs w:val="16"/>
        </w:rPr>
        <w:softHyphen/>
        <w:t>ков Т-70, Т-34, КВ-1 и КВ-2.</w:t>
      </w:r>
    </w:p>
    <w:p w14:paraId="7893F4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материал был подготовлен учебным отделом при ВВС армии США в целях ознакомления личного состава американской армии по опознаванию иностранных танков.</w:t>
      </w:r>
    </w:p>
    <w:p w14:paraId="5F1D55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5 листах, только адресату.</w:t>
      </w:r>
    </w:p>
    <w:p w14:paraId="0355B2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2 управления Главразведуправления Красной Армии генерал-майор танковых войск Хлопов</w:t>
      </w:r>
    </w:p>
    <w:p w14:paraId="09BD7B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Русский танк Т-40</w:t>
      </w:r>
    </w:p>
    <w:p w14:paraId="4546E5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танк трехместный, весит 12,5 тонны. Башня танка не большая, компактная, с резко накло</w:t>
      </w:r>
      <w:r w:rsidRPr="00271E51">
        <w:rPr>
          <w:rFonts w:ascii="Times New Roman" w:hAnsi="Times New Roman"/>
          <w:color w:val="000000" w:themeColor="text1"/>
          <w:sz w:val="16"/>
          <w:szCs w:val="16"/>
        </w:rPr>
        <w:softHyphen/>
        <w:t>ненными боковыми стенками, с плоской крышей, с неглубоко подрезанной стенкой сзади и резко наклоненной передней стенкой.</w:t>
      </w:r>
    </w:p>
    <w:p w14:paraId="4BE1E2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47-мм пушка смонтирована на одной оси с пулеметом в очень большой изогнутой амбразуре, которая простирается почти по всей передней поверхности башни.</w:t>
      </w:r>
    </w:p>
    <w:p w14:paraId="33C158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 танка выполнен значительно выше гусеницы и имеет резко скошенный нос, плоскую центральную часть корпуса и наклон вниз у кормы танка, которая является очень характерной.</w:t>
      </w:r>
    </w:p>
    <w:p w14:paraId="1B65FC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Корма танка проходит слегка впереди гусеницы и имеет резкий срез внутрь, по направлению к днищу танка.</w:t>
      </w:r>
    </w:p>
    <w:p w14:paraId="32A716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Стальная гусеница имеет пять, размещенных на одинаковом расстоянии, тележек и три возврат</w:t>
      </w:r>
      <w:r w:rsidRPr="00271E51">
        <w:rPr>
          <w:rFonts w:ascii="Times New Roman" w:hAnsi="Times New Roman"/>
          <w:color w:val="000000" w:themeColor="text1"/>
          <w:sz w:val="16"/>
          <w:szCs w:val="16"/>
        </w:rPr>
        <w:softHyphen/>
        <w:t>ных ролика, поддерживающих гусеницу.</w:t>
      </w:r>
    </w:p>
    <w:p w14:paraId="4F05EE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танка — 13' 8"; ширина — Т 5"; и высота — 6' 6".</w:t>
      </w:r>
    </w:p>
    <w:p w14:paraId="31886A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превосходный танк является последней оперативной моделью русского легкого танка. Русские экспериментировали с легкими танками значительное время и развили несколько типов их, берущих свое начало от более ранней модели танка-амфибии.</w:t>
      </w:r>
    </w:p>
    <w:p w14:paraId="59768E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конструкция является современной и простой, специально приспособленной для массового производства. Целиком сварной, танк Т-40 по конфигурации очень низкий и широкий и представля</w:t>
      </w:r>
      <w:r w:rsidRPr="00271E51">
        <w:rPr>
          <w:rFonts w:ascii="Times New Roman" w:hAnsi="Times New Roman"/>
          <w:color w:val="000000" w:themeColor="text1"/>
          <w:sz w:val="16"/>
          <w:szCs w:val="16"/>
        </w:rPr>
        <w:softHyphen/>
        <w:t>ет собою очень низкий силуэт для противотанкового огня противника.</w:t>
      </w:r>
    </w:p>
    <w:p w14:paraId="343AE0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танк является одной из самых быстроходных гусеничных повозок при оперативном его использовании и является устойчивым на высоких скоростях.</w:t>
      </w:r>
    </w:p>
    <w:p w14:paraId="51BC8B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танк подвергся критике из-за большого шума его моторов. Два мотора «Форд В-8» спарены последовательно друг с другом, без глушителей, создают довольно значительный шум.</w:t>
      </w:r>
    </w:p>
    <w:p w14:paraId="494BDB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использует искусно сконструированную стальную гусеницу, которая до некоторой степени добав</w:t>
      </w:r>
      <w:r w:rsidRPr="00271E51">
        <w:rPr>
          <w:rFonts w:ascii="Times New Roman" w:hAnsi="Times New Roman"/>
          <w:color w:val="000000" w:themeColor="text1"/>
          <w:sz w:val="16"/>
          <w:szCs w:val="16"/>
        </w:rPr>
        <w:softHyphen/>
        <w:t>ляет шум к работающим моторам, но имеет очень хорошие тяговые органы и износоустойчивые детали.</w:t>
      </w:r>
    </w:p>
    <w:p w14:paraId="7E1FD9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Т-40 представляет большой интерес с точки зрения конструкции в том отношении, что он имеет переднюю ведущую зубчатку. Все другие состоящие на вооружении русские танки имеют привод на гусеницу сзади.</w:t>
      </w:r>
    </w:p>
    <w:p w14:paraId="26E2BB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хорошо вооружен и очень хорошо защищен. Толстые стальные плиты сварены под углами, в результате чего увеличивается их рикошетирующая сила.</w:t>
      </w:r>
    </w:p>
    <w:p w14:paraId="634D3F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Видимость из танка превосходная как для водителя, так и для командира.</w:t>
      </w:r>
    </w:p>
    <w:p w14:paraId="258769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Современная тенденция расположения башни танка ближе к носу танка выполнена в этой кон</w:t>
      </w:r>
      <w:r w:rsidRPr="00271E51">
        <w:rPr>
          <w:rFonts w:ascii="Times New Roman" w:hAnsi="Times New Roman"/>
          <w:color w:val="000000" w:themeColor="text1"/>
          <w:sz w:val="16"/>
          <w:szCs w:val="16"/>
        </w:rPr>
        <w:softHyphen/>
        <w:t>струкции танка. Дверца люка башни танка подвешена спереди для того, чтобы обеспечить некото</w:t>
      </w:r>
      <w:r w:rsidRPr="00271E51">
        <w:rPr>
          <w:rFonts w:ascii="Times New Roman" w:hAnsi="Times New Roman"/>
          <w:color w:val="000000" w:themeColor="text1"/>
          <w:sz w:val="16"/>
          <w:szCs w:val="16"/>
        </w:rPr>
        <w:softHyphen/>
        <w:t>рую защиту для командира танка, когда дверца открыта.</w:t>
      </w:r>
    </w:p>
    <w:p w14:paraId="56EFED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Основная пушка имеет заметное скошенное утолщение у основания ствола, в танке имеются только два люка. Один люк для водителя в носу танка, второй люк для команды башни.</w:t>
      </w:r>
    </w:p>
    <w:p w14:paraId="4D7E99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Небольшой и быстроходный, танк Т-40 создает впечатление совершенной эффективности.</w:t>
      </w:r>
    </w:p>
    <w:p w14:paraId="0CD114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Снабженный двумя моторами «Форд В-8» с жидкостным охлаждением, каждый из которых раз</w:t>
      </w:r>
      <w:r w:rsidRPr="00271E51">
        <w:rPr>
          <w:rFonts w:ascii="Times New Roman" w:hAnsi="Times New Roman"/>
          <w:color w:val="000000" w:themeColor="text1"/>
          <w:sz w:val="16"/>
          <w:szCs w:val="16"/>
        </w:rPr>
        <w:softHyphen/>
        <w:t>вивает мощность в 85 сил, танк имеет максимальную скорость 55 миль в час и нормальную крейсер</w:t>
      </w:r>
      <w:r w:rsidRPr="00271E51">
        <w:rPr>
          <w:rFonts w:ascii="Times New Roman" w:hAnsi="Times New Roman"/>
          <w:color w:val="000000" w:themeColor="text1"/>
          <w:sz w:val="16"/>
          <w:szCs w:val="16"/>
        </w:rPr>
        <w:softHyphen/>
        <w:t>скую дальность в 200 миль.</w:t>
      </w:r>
    </w:p>
    <w:p w14:paraId="4BF985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вооружение танка состоит из одной 47-мм пушки, смонтированной на одной оси с одним 7,6-мм пулеметом в большой, изогнутой амбразуре. Больше никакого вооружения, выступа</w:t>
      </w:r>
      <w:r w:rsidRPr="00271E51">
        <w:rPr>
          <w:rFonts w:ascii="Times New Roman" w:hAnsi="Times New Roman"/>
          <w:color w:val="000000" w:themeColor="text1"/>
          <w:sz w:val="16"/>
          <w:szCs w:val="16"/>
        </w:rPr>
        <w:softHyphen/>
        <w:t>ющего наружу, нет.</w:t>
      </w:r>
    </w:p>
    <w:p w14:paraId="3E70C0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Бронированные плиты разнятся по толщине от полдюйма до одного с четвертью дюйма.</w:t>
      </w:r>
    </w:p>
    <w:p w14:paraId="069D49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Русский танк Т-34</w:t>
      </w:r>
    </w:p>
    <w:p w14:paraId="5B0B30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танка - 4 человека. Вес танка — 30,5 тонны. Башня танка небольшая и обтекаемая, с резко скошенными сторонами, со срезанными передними углами, плоской крышей и скошенной кормой.</w:t>
      </w:r>
    </w:p>
    <w:p w14:paraId="573D9F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пушка смонтирована на одной оси в сильной, выдающейся наружу, амбразуре. Башня смонтирована на передней части корпуса танка, имеющего плоскую крышу и скошенные бока. Пять очень больших тележек полностью заполняют очень широкие незащищенные гусеницы.</w:t>
      </w:r>
    </w:p>
    <w:p w14:paraId="72165B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Размеры танка: длина — 19' 6"; ширина — 9' 10"; высота — 7' 11".</w:t>
      </w:r>
    </w:p>
    <w:p w14:paraId="5EB636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Т-34 является наиболее мощным оружием в руках Красной Армии. Этот танк являемся одним из наиболее прекрасных танков при оперативном его использовании и он представляет собою сюрприз для других государств.</w:t>
      </w:r>
    </w:p>
    <w:p w14:paraId="0F661C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Он появился в значительных количествах для преодоления немецкого наступления и заслужил непревзойденную похвалу со стороны немецких военных руководителей.</w:t>
      </w:r>
    </w:p>
    <w:p w14:paraId="5B58BF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Его эффективная пушка, искусно скошенная сильная броня, его поразительная скорость и высо</w:t>
      </w:r>
      <w:r w:rsidRPr="00271E51">
        <w:rPr>
          <w:rFonts w:ascii="Times New Roman" w:hAnsi="Times New Roman"/>
          <w:color w:val="000000" w:themeColor="text1"/>
          <w:sz w:val="16"/>
          <w:szCs w:val="16"/>
        </w:rPr>
        <w:softHyphen/>
        <w:t>кая мобильность затрудняют для противника меры борьбы с ним.</w:t>
      </w:r>
    </w:p>
    <w:p w14:paraId="76CA3D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Листовая металлическая броня является замечательной по конструкции и силе, а установка ее под острыми углами причиняет частые рикошеты.</w:t>
      </w:r>
    </w:p>
    <w:p w14:paraId="4795FE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Низкая конфигурация танка позволяет применять его замаскировано и он представляет собою мелкую цель для противотанкового огня противника.</w:t>
      </w:r>
    </w:p>
    <w:p w14:paraId="605FFD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русская пушка представляет собою одну из лучших мировых пушек и она выступает впереди из носовой части танка Т-34.</w:t>
      </w:r>
    </w:p>
    <w:p w14:paraId="5D7B59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Выполненная в форме снаряда, литая башня, которая, кажется, наклонена вперед для того, чтобы лучше ударить по противнику, низкий, со скошенными линиями, корпус танка, широкие гусеницы и пять огромных гусеничных тележек - все это создает настолько грозное впечатление, что танк Т-34 является настоящим бедствием для немецких панцирных дивизий.</w:t>
      </w:r>
    </w:p>
    <w:p w14:paraId="602FE5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Снабженный одним, с жидкостным охлаждением, дизелем У12 В-2, развивающим мощность в 500 лошадиных сил, танк имеет максимальную скорость в 30 миль в час и крейсерскую дальность действия на 185 миль.</w:t>
      </w:r>
    </w:p>
    <w:p w14:paraId="2880B6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Главное вооружение танка Т-34 состоит из одной 76,2-мм пушки, спаренной на одной оси с 7,6-мм пулеметом в общей амбразуре. Пушечная амбразура сильно выступает вперед вместе с самой пушкой, и имеет очень внушительный, массивный вид.</w:t>
      </w:r>
    </w:p>
    <w:p w14:paraId="6CF47F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Дополнительным вооружением является 7,6-мм пулемет, помещенный в носовой части, с правой стороны. Кроме того, имеется один 7,6-мм пулемет, возимый внутри танка.</w:t>
      </w:r>
    </w:p>
    <w:p w14:paraId="7AB9E6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Толщина броневых листов разнится от 3/4 дюйма до 2 3/4 дюйма.</w:t>
      </w:r>
    </w:p>
    <w:p w14:paraId="48C2A3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Русский танк КВ-1</w:t>
      </w:r>
    </w:p>
    <w:p w14:paraId="6DF705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танк относится к типу тяжелых танков. Экипаж танка - 5 человек. Вес - 55 тонн. Башня танка очень большая и имеет низкий, сильный внешний вид, характеризуемый резко скошенными линиями и заметно срезанной снизу задней частью.</w:t>
      </w:r>
    </w:p>
    <w:p w14:paraId="38AABF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Вершина башни плоская и шестигранная, если смотреть сверху. Задняя часть башни выполнена квадратной формы, а передняя стенка резко скошена, неся в себе сильно искривленную амбразуру, в которой вмонтирована 76,2-мм пушка, спаренная на одной оси с пулеметом.</w:t>
      </w:r>
    </w:p>
    <w:p w14:paraId="0970E0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Башня вмонтирована в центре длинного, с плоской вершиной, корпуса танка. Шесть небольших, тесно расставленных тележек и три больших возвратных ролика, поддерживают очень широкую гусеницу. Размеры танка: длина — 2Г 11"; ширина — 10' 11"; высота — 9' 2".</w:t>
      </w:r>
    </w:p>
    <w:p w14:paraId="4A51C8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КВ-1 является современным танком русской конструкции, чисто выполненные линии которого отличают этот танк от любого танка противника равного размера.</w:t>
      </w:r>
    </w:p>
    <w:p w14:paraId="3E7DBB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Снабженный таким же двигателем, как и танк Т-34 (дизель VI2 В-2), это танк имеет высоко-регу</w:t>
      </w:r>
      <w:r w:rsidRPr="00271E51">
        <w:rPr>
          <w:rFonts w:ascii="Times New Roman" w:hAnsi="Times New Roman"/>
          <w:color w:val="000000" w:themeColor="text1"/>
          <w:sz w:val="16"/>
          <w:szCs w:val="16"/>
        </w:rPr>
        <w:softHyphen/>
        <w:t>лируемый мотор и значительно сниженную передачу. Передаточные шестерни рассчитаны таким образом, чтобы можно было ставить другую передачу только при полной остановке танка в резуль</w:t>
      </w:r>
      <w:r w:rsidRPr="00271E51">
        <w:rPr>
          <w:rFonts w:ascii="Times New Roman" w:hAnsi="Times New Roman"/>
          <w:color w:val="000000" w:themeColor="text1"/>
          <w:sz w:val="16"/>
          <w:szCs w:val="16"/>
        </w:rPr>
        <w:softHyphen/>
        <w:t>тате его громадного веса.</w:t>
      </w:r>
    </w:p>
    <w:p w14:paraId="7888C7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Вначале критиковавшийся за слабый механизм сцепления, новые модели КВ-1 были оборудованы более мощным механизмом сцепления, который сможет преодолеть начальные недостатки этого танка. Недостатки сцепления и передачи могут показать себя и в будущем благодаря необычайно высо</w:t>
      </w:r>
      <w:r w:rsidRPr="00271E51">
        <w:rPr>
          <w:rFonts w:ascii="Times New Roman" w:hAnsi="Times New Roman"/>
          <w:color w:val="000000" w:themeColor="text1"/>
          <w:sz w:val="16"/>
          <w:szCs w:val="16"/>
        </w:rPr>
        <w:softHyphen/>
        <w:t>ким требованиям к мощности двигателя преодолеть колоссальную нагрузку, вызываемую большим весом танка, но любой недостаток будет компенсироваться боевыми достоинствами данной кон</w:t>
      </w:r>
      <w:r w:rsidRPr="00271E51">
        <w:rPr>
          <w:rFonts w:ascii="Times New Roman" w:hAnsi="Times New Roman"/>
          <w:color w:val="000000" w:themeColor="text1"/>
          <w:sz w:val="16"/>
          <w:szCs w:val="16"/>
        </w:rPr>
        <w:softHyphen/>
        <w:t>струкции танка.</w:t>
      </w:r>
    </w:p>
    <w:p w14:paraId="324C24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сильная броня этого танка позволяет ему противостоять любому артиллерийскому огню противника, кроме прямых попаданий из орудий крупного калибра, и этот танк очень трудно выве</w:t>
      </w:r>
      <w:r w:rsidRPr="00271E51">
        <w:rPr>
          <w:rFonts w:ascii="Times New Roman" w:hAnsi="Times New Roman"/>
          <w:color w:val="000000" w:themeColor="text1"/>
          <w:sz w:val="16"/>
          <w:szCs w:val="16"/>
        </w:rPr>
        <w:softHyphen/>
        <w:t>сти из строя.</w:t>
      </w:r>
    </w:p>
    <w:p w14:paraId="2E257C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Даже будучи выведен из строя, этот танк может поддерживать сильный огонь до тех пор, пока подкрепления не отгонят немцев назад. Один из таких танков КВ-1 имел на своем кредите уничто</w:t>
      </w:r>
      <w:r w:rsidRPr="00271E51">
        <w:rPr>
          <w:rFonts w:ascii="Times New Roman" w:hAnsi="Times New Roman"/>
          <w:color w:val="000000" w:themeColor="text1"/>
          <w:sz w:val="16"/>
          <w:szCs w:val="16"/>
        </w:rPr>
        <w:softHyphen/>
        <w:t>женными шесть немецких танков «Тигр» во время июльского наступления немцев в 1943 году.</w:t>
      </w:r>
    </w:p>
    <w:p w14:paraId="6F37F9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Модели танков с усиленной броней могут быть опознаны выдающимися наружу головками бол</w:t>
      </w:r>
      <w:r w:rsidRPr="00271E51">
        <w:rPr>
          <w:rFonts w:ascii="Times New Roman" w:hAnsi="Times New Roman"/>
          <w:color w:val="000000" w:themeColor="text1"/>
          <w:sz w:val="16"/>
          <w:szCs w:val="16"/>
        </w:rPr>
        <w:softHyphen/>
        <w:t>тов, которые скрепляют дополнительную броню с основной броней.</w:t>
      </w:r>
    </w:p>
    <w:p w14:paraId="515B5C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или три цилиндрических хранилища часто располагаются вдоль каждой стороны танка на щитках против грязи.</w:t>
      </w:r>
    </w:p>
    <w:p w14:paraId="390959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широкие гусеницы и сглаженность всей конструкции корпуса танка и башни придают этой массивной машине приглаженный, надежный внешний вид.</w:t>
      </w:r>
    </w:p>
    <w:p w14:paraId="36CC95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Снабженный дизелем VI2 В-2К с жидкостным охлаждением, развивающим мощность в 600 лошадиных сил, этот танк имеет максимальную скорость в 21 милю и крейсерскую дальность дей</w:t>
      </w:r>
      <w:r w:rsidRPr="00271E51">
        <w:rPr>
          <w:rFonts w:ascii="Times New Roman" w:hAnsi="Times New Roman"/>
          <w:color w:val="000000" w:themeColor="text1"/>
          <w:sz w:val="16"/>
          <w:szCs w:val="16"/>
        </w:rPr>
        <w:softHyphen/>
        <w:t>ствия в 140 миль.</w:t>
      </w:r>
    </w:p>
    <w:p w14:paraId="61884C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вооружение танка КВ-1 состоит из 76,2-мм пушки, спаренной на одной оси с 7,6-мм пулеметом, вмонтированными в очень сильно изогнутой артиллерийской амбразуре.</w:t>
      </w:r>
    </w:p>
    <w:p w14:paraId="44DED3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Дополнительным вооружением являются 7,6-мм пулемет, установленный сзади башни танка, и 7,6-мм пулемет, установленный с левой стороны носовой части танка. Кроме того, внутри танка возятся два запас</w:t>
      </w:r>
      <w:r w:rsidRPr="00271E51">
        <w:rPr>
          <w:rFonts w:ascii="Times New Roman" w:hAnsi="Times New Roman"/>
          <w:color w:val="000000" w:themeColor="text1"/>
          <w:sz w:val="16"/>
          <w:szCs w:val="16"/>
        </w:rPr>
        <w:softHyphen/>
        <w:t>ных пулемета в случае, если танк встанет из-за неисправности на территории противника. Толщина брони танка КВ-1 разнится от одного дюйма до трех дюймов.</w:t>
      </w:r>
    </w:p>
    <w:p w14:paraId="3351AE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Русский танк КВ-2</w:t>
      </w:r>
    </w:p>
    <w:p w14:paraId="5FAD7A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КВ-2 относится к типу тяжелых танков. Экипаж танка - 5 человек. Вес танка - 57 тонн. Башня танка очень большая и массивная. Башня танка имеет своеобразную, коробчатой формы кон</w:t>
      </w:r>
      <w:r w:rsidRPr="00271E51">
        <w:rPr>
          <w:rFonts w:ascii="Times New Roman" w:hAnsi="Times New Roman"/>
          <w:color w:val="000000" w:themeColor="text1"/>
          <w:sz w:val="16"/>
          <w:szCs w:val="16"/>
        </w:rPr>
        <w:softHyphen/>
        <w:t>фигурацию, если смотреть с любой стороны, и является оригинальной по своей конструкции.</w:t>
      </w:r>
    </w:p>
    <w:p w14:paraId="1D3C69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длинноствольная 152-мм пушка вмонтирована в гигантскую изогнутую амбразуру, которая заполняет верхнюю часть башни танка.</w:t>
      </w:r>
    </w:p>
    <w:p w14:paraId="31AA14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Башня смонтирована в центре длинного, с плоской вершиной, корпуса танка, который скошен в носовой части. Шесть небольших, тесно расставленных гусеничных тележек поддерживают широ</w:t>
      </w:r>
      <w:r w:rsidRPr="00271E51">
        <w:rPr>
          <w:rFonts w:ascii="Times New Roman" w:hAnsi="Times New Roman"/>
          <w:color w:val="000000" w:themeColor="text1"/>
          <w:sz w:val="16"/>
          <w:szCs w:val="16"/>
        </w:rPr>
        <w:softHyphen/>
        <w:t>кую незащищенную броней гусеницу танка.</w:t>
      </w:r>
    </w:p>
    <w:p w14:paraId="64D98B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Размеры танка: длина — 23' 7"; ширина — 10' И"; высота — 10' 10".</w:t>
      </w:r>
    </w:p>
    <w:p w14:paraId="08D498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КВ-2 является разновидностью танка КВ-1, имеющим более мощное вооружение. Такое же шасси, как и в танке КВ-1, было приспособлено для танка КВ-2, с громадной кубической башней, в которую может быть вмонтирована или 122-мм или 152-мм пушка.</w:t>
      </w:r>
    </w:p>
    <w:p w14:paraId="5EEF2C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Обычно, на танке КВ-2 устанавливается 152-мм пушка, в результате чего этот танк имеет самое мощное вооружение из всех современных танков. Благодаря большому весу танка он может перехо</w:t>
      </w:r>
      <w:r w:rsidRPr="00271E51">
        <w:rPr>
          <w:rFonts w:ascii="Times New Roman" w:hAnsi="Times New Roman"/>
          <w:color w:val="000000" w:themeColor="text1"/>
          <w:sz w:val="16"/>
          <w:szCs w:val="16"/>
        </w:rPr>
        <w:softHyphen/>
        <w:t>дить только через самые сильные мосты, вследствие чего имеются сообщения о большом количестве поврежденных мостов.</w:t>
      </w:r>
    </w:p>
    <w:p w14:paraId="187AD6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 башня танка весит 10 тонн, вследствие чего при транспортировке танка она обычно сни</w:t>
      </w:r>
      <w:r w:rsidRPr="00271E51">
        <w:rPr>
          <w:rFonts w:ascii="Times New Roman" w:hAnsi="Times New Roman"/>
          <w:color w:val="000000" w:themeColor="text1"/>
          <w:sz w:val="16"/>
          <w:szCs w:val="16"/>
        </w:rPr>
        <w:softHyphen/>
        <w:t>мается и перевозится отдельно.</w:t>
      </w:r>
    </w:p>
    <w:p w14:paraId="3B905B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Одним из недостатков танка является невозможность вращать башню вкруговую в случае, если танк наклонен набок. Большая пушка не стреляет «зафиксированным снарядом», а использует раз</w:t>
      </w:r>
      <w:r w:rsidRPr="00271E51">
        <w:rPr>
          <w:rFonts w:ascii="Times New Roman" w:hAnsi="Times New Roman"/>
          <w:color w:val="000000" w:themeColor="text1"/>
          <w:sz w:val="16"/>
          <w:szCs w:val="16"/>
        </w:rPr>
        <w:softHyphen/>
        <w:t>дельный заряд для каждого снаряда. В результате скорострельность сравнительно низкая.</w:t>
      </w:r>
    </w:p>
    <w:p w14:paraId="2C1351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недостатки танка до некоторой степени компенсируются мощной броней, благодаря кото</w:t>
      </w:r>
      <w:r w:rsidRPr="00271E51">
        <w:rPr>
          <w:rFonts w:ascii="Times New Roman" w:hAnsi="Times New Roman"/>
          <w:color w:val="000000" w:themeColor="text1"/>
          <w:sz w:val="16"/>
          <w:szCs w:val="16"/>
        </w:rPr>
        <w:softHyphen/>
        <w:t>рой очень трудно вывести танк из строя.</w:t>
      </w:r>
    </w:p>
    <w:p w14:paraId="7C2CB1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КВ-2 обычно используется как самоходная гаубица, стреляющая из-за неподвижного, замаскированного укрытия.</w:t>
      </w:r>
    </w:p>
    <w:p w14:paraId="59AD80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Большое количество особенностей танка КВ-2 показывает на наличие влияния иностранных моделей танков. Так, например, работающие на скручивание стержни подвески танка, без каких-либо видимых пружинных амортизаторов, являются обычной характеристикой большинства немецких танков, в то время как небольшие «наподобие кнопки» перископы скопированы со шведских кон</w:t>
      </w:r>
      <w:r w:rsidRPr="00271E51">
        <w:rPr>
          <w:rFonts w:ascii="Times New Roman" w:hAnsi="Times New Roman"/>
          <w:color w:val="000000" w:themeColor="text1"/>
          <w:sz w:val="16"/>
          <w:szCs w:val="16"/>
        </w:rPr>
        <w:softHyphen/>
        <w:t>струкций.</w:t>
      </w:r>
    </w:p>
    <w:p w14:paraId="701D15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общем, танк КВ-2 является оригинальным танком среди современных боевых повозок, а его кубическая башня и мощная пушка являются символами русской силы и решительности.</w:t>
      </w:r>
    </w:p>
    <w:p w14:paraId="26E1CB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Снабженный одним мотором VI2 В-2К, дизелем с жидкостным охлаждением, развивающим мощность в 600 лошадиных сил, этот танк имеет максимальную скорость в 16 миль в час и крейсер</w:t>
      </w:r>
      <w:r w:rsidRPr="00271E51">
        <w:rPr>
          <w:rFonts w:ascii="Times New Roman" w:hAnsi="Times New Roman"/>
          <w:color w:val="000000" w:themeColor="text1"/>
          <w:sz w:val="16"/>
          <w:szCs w:val="16"/>
        </w:rPr>
        <w:softHyphen/>
        <w:t>скую дальность в 125 миль.</w:t>
      </w:r>
    </w:p>
    <w:p w14:paraId="3F3C5A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вооружение танка КВ-2 состоит из 152-мм пушки, вмонтированной в массивную амбразуру. Дополнительным вооружением является 7,6-мм пулемет с левой стороны носовой части танка и иногда 7,6-мм пулемет, устанавливаемый с задней стороны башни. Запасной 7,6-мм пулемет часто возится внутри танка на случай непредвиденных обстоятельств.</w:t>
      </w:r>
    </w:p>
    <w:p w14:paraId="097397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танка КВ-2 разнится по толщине от одного дюйма до четырех с половиной дюймов.</w:t>
      </w:r>
    </w:p>
    <w:p w14:paraId="32974C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360р. Л. 138-143. Подлинник (11403).</w:t>
      </w:r>
    </w:p>
    <w:p w14:paraId="71577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42E99"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15 октября 1943 года первый опытный образец Light Tank T24 поступил на Абердинский полигон. Комичность ситуации заключалась в том, что советские специалисты познакомились с опытным образцом раньше американских испытателей. В конце лета 1943 года группа советских специалистов посетила полигон компании General Motors в Мильфорде, штат Мичиган. Так получилось, что ими заинтересовался американский майор Берг. Причины оказались прозаичными: офицер отвечал за разработку ходовой части GMC T70, а от советских специалистов он хотел получить побольше информации о торсионных подвесках советских танков. По факту же куда больше информации получила советская сторона. Хотя детально осмотреть GMC T70 не удалось, тем не менее, в ходе неожиданного визита в Детройт советским специалистам удалось увидеть массу экспериментальной техники. Среди нее оказался и «легкий танк Т-24».</w:t>
      </w:r>
    </w:p>
    <w:p w14:paraId="3E0C7807"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Поскольку этот танк удалось увидеть лишь издали, данные по нему оказались неточными. Согласно ответу инженера Сорвина, датированному 1944 годом, танк посчитали разработанным на базе «самоходной пушки Т-70». Калибр орудия оценили в 37–57 мм, толщину брони – в 38 мм (как на других американских легких танках).</w:t>
      </w:r>
    </w:p>
    <w:p w14:paraId="7F657337"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Достоверная информация по новому американскому легкому танку стала поступать значительно позже – летом 1944 года. Уже в августе была получена подробная информация не только о самом танке, но и о темпах его производства. Знали наши специалисты и точную дату стандартизации танка под обозначением Light Tank M24 – 25 июля 1944 года. 22 августа в Главное бронетанковое управлении Красной Армии (ГБТУ КА) ушел подробный доклад о новом танке, включавший техническое описание на 17 страницах (17684).</w:t>
      </w:r>
    </w:p>
    <w:p w14:paraId="7201FA8A" w14:textId="77777777" w:rsidR="0040563E" w:rsidRPr="00271E51" w:rsidRDefault="0040563E" w:rsidP="00271E51">
      <w:pPr>
        <w:pStyle w:val="12a"/>
        <w:shd w:val="clear" w:color="auto" w:fill="auto"/>
        <w:spacing w:after="0" w:line="240" w:lineRule="auto"/>
        <w:jc w:val="both"/>
        <w:rPr>
          <w:color w:val="000000" w:themeColor="text1"/>
          <w:sz w:val="16"/>
          <w:szCs w:val="16"/>
        </w:rPr>
      </w:pPr>
    </w:p>
    <w:p w14:paraId="50F5802F" w14:textId="77777777" w:rsidR="00B95E55" w:rsidRPr="00271E51" w:rsidRDefault="00B95E55" w:rsidP="00271E51">
      <w:pPr>
        <w:pStyle w:val="a3"/>
        <w:rPr>
          <w:color w:val="000000" w:themeColor="text1"/>
          <w:lang w:val="ru-RU"/>
        </w:rPr>
      </w:pPr>
      <w:r w:rsidRPr="00271E51">
        <w:rPr>
          <w:color w:val="000000" w:themeColor="text1"/>
          <w:lang w:val="ru-RU"/>
        </w:rPr>
        <w:t>15 октября 1943 в Технический Совет НКВ, Артиллерийский комитет ГАУ КА и ГАБТУ были направлены письма с техническим проектом самоходной установки М22. Судя по датам на чертежах, САУ разработали в начале октября под руководством началь</w:t>
      </w:r>
      <w:r w:rsidRPr="00271E51">
        <w:rPr>
          <w:color w:val="000000" w:themeColor="text1"/>
          <w:lang w:val="ru-RU"/>
        </w:rPr>
        <w:softHyphen/>
        <w:t>ника артиллерийского КБ завода №172 В.А. Ильина. Несмотря на то, что в планах завода данной темы не было прописано, М22 не являлась инициативной разработкой, что видно из пояснительной записки:</w:t>
      </w:r>
    </w:p>
    <w:p w14:paraId="7543753F"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«На основании письма Арткома ГАУ КА от 28 июля 1943 года за №829360с и письма НКВ за №1888с от 28 августа, Конструктор</w:t>
      </w:r>
      <w:r w:rsidRPr="00271E51">
        <w:rPr>
          <w:i w:val="0"/>
          <w:color w:val="000000" w:themeColor="text1"/>
          <w:sz w:val="16"/>
          <w:szCs w:val="16"/>
        </w:rPr>
        <w:softHyphen/>
        <w:t>ским Бюро завода №172 разработан и представляется эскизный проект 203-мм самоходной гаубицы М22.</w:t>
      </w:r>
    </w:p>
    <w:p w14:paraId="37F5DA7D"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Система М22 представляет собой установку вращающейся части 203-мм гаубицы Б-4 на шасси танка КВ-14.</w:t>
      </w:r>
    </w:p>
    <w:p w14:paraId="6DCBB6C3"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При этом как устанавливаемые части гаубицы Б-4, так и шасси тан</w:t>
      </w:r>
      <w:r w:rsidRPr="00271E51">
        <w:rPr>
          <w:i w:val="0"/>
          <w:color w:val="000000" w:themeColor="text1"/>
          <w:sz w:val="16"/>
          <w:szCs w:val="16"/>
        </w:rPr>
        <w:softHyphen/>
        <w:t>ка КВ-14 конструктивно меняются весьма незначительно. Эти измене</w:t>
      </w:r>
      <w:r w:rsidRPr="00271E51">
        <w:rPr>
          <w:i w:val="0"/>
          <w:color w:val="000000" w:themeColor="text1"/>
          <w:sz w:val="16"/>
          <w:szCs w:val="16"/>
        </w:rPr>
        <w:softHyphen/>
        <w:t>ния сводятся к следующему:</w:t>
      </w:r>
    </w:p>
    <w:p w14:paraId="3B2F506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Длина отката ствола из соображений возможного уменьшения высо</w:t>
      </w:r>
      <w:r w:rsidRPr="00271E51">
        <w:rPr>
          <w:i w:val="0"/>
          <w:color w:val="000000" w:themeColor="text1"/>
          <w:sz w:val="16"/>
          <w:szCs w:val="16"/>
        </w:rPr>
        <w:softHyphen/>
        <w:t>ты линии огня и создания необходимой устойчивости всей системы при стрельбе и на походе принята равной 860мм (взаимное положение штока и контрштока зафиксировано на коротком откате).</w:t>
      </w:r>
    </w:p>
    <w:p w14:paraId="212B3E5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Для обеспечения устойчивости при стрельбе потребовалось уменьшить силу сопротивления откату — вместо 88 тонн до 45 тонн.</w:t>
      </w:r>
    </w:p>
    <w:p w14:paraId="1302F2FC"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обеспечения последнего на ствол запроектирована установка дуль</w:t>
      </w:r>
      <w:r w:rsidRPr="00271E51">
        <w:rPr>
          <w:rFonts w:ascii="Times New Roman" w:cs="Times New Roman"/>
          <w:color w:val="000000" w:themeColor="text1"/>
          <w:spacing w:val="0"/>
        </w:rPr>
        <w:softHyphen/>
        <w:t>ного тормоза с коэффициентом поглощения 48,9%.</w:t>
      </w:r>
    </w:p>
    <w:p w14:paraId="7330788C"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С целью сохранения центра тяжести качающейся части на оси цапф запроектировано снятие металла с дульной части ствола, с учетом оставления нормальных запасов прочности ствола.</w:t>
      </w:r>
    </w:p>
    <w:p w14:paraId="258D8C3F"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остальном вращающаяся часть гаубицы Б-4 остается без всяких из</w:t>
      </w:r>
      <w:r w:rsidRPr="00271E51">
        <w:rPr>
          <w:i w:val="0"/>
          <w:color w:val="000000" w:themeColor="text1"/>
          <w:sz w:val="16"/>
          <w:szCs w:val="16"/>
        </w:rPr>
        <w:softHyphen/>
        <w:t>менений.</w:t>
      </w:r>
    </w:p>
    <w:p w14:paraId="424A0A4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Гаубица установлена на специальном возвышении на корпусе танка без заключения в бронировку, что дало возможность довести вес самохода с полным комплектом зарядов, в количестве 26 штук, до 43 тонн.</w:t>
      </w:r>
    </w:p>
    <w:p w14:paraId="2D783063"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Для защиты от пуль и осколков гаубицы снабжена щитовым прикры</w:t>
      </w:r>
      <w:r w:rsidRPr="00271E51">
        <w:rPr>
          <w:i w:val="0"/>
          <w:color w:val="000000" w:themeColor="text1"/>
          <w:sz w:val="16"/>
          <w:szCs w:val="16"/>
        </w:rPr>
        <w:softHyphen/>
        <w:t>тием, закрепленным на верхнем станке.</w:t>
      </w:r>
    </w:p>
    <w:p w14:paraId="76E51875"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Снаряды расположены над моторным отделением на особых стеллажах.</w:t>
      </w:r>
    </w:p>
    <w:p w14:paraId="4DE8402E"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lastRenderedPageBreak/>
        <w:t>Заряжание производится при помощи кокора вручную, усилием двух, или четырех человек.</w:t>
      </w:r>
    </w:p>
    <w:p w14:paraId="61F3125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При закладывании снаряда в кокор достаточно последний подвести к стеллажу и усилием одного человека накатить снаряд в кокор.</w:t>
      </w:r>
    </w:p>
    <w:p w14:paraId="451316C1"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Такой метод заряжания прост и обеспечивает при запроектированных габаритах системы достаточную скорострельность»'.</w:t>
      </w:r>
    </w:p>
    <w:p w14:paraId="085CB5B8" w14:textId="77777777" w:rsidR="00B95E55" w:rsidRPr="00271E51" w:rsidRDefault="00B95E55" w:rsidP="00271E51">
      <w:pPr>
        <w:pStyle w:val="a3"/>
        <w:rPr>
          <w:color w:val="000000" w:themeColor="text1"/>
          <w:lang w:val="ru-RU"/>
        </w:rPr>
      </w:pPr>
      <w:r w:rsidRPr="00271E51">
        <w:rPr>
          <w:color w:val="000000" w:themeColor="text1"/>
          <w:lang w:val="ru-RU"/>
        </w:rPr>
        <w:t>Запоздалый ответ КБ завода №172 на требования создать полуот</w:t>
      </w:r>
      <w:r w:rsidRPr="00271E51">
        <w:rPr>
          <w:color w:val="000000" w:themeColor="text1"/>
          <w:lang w:val="ru-RU"/>
        </w:rPr>
        <w:softHyphen/>
        <w:t>крытую САУ с гаубицей Б-4 можно лишь отчасти называть установкой на базе СУ-152. От исходной установки практически ничего не оста</w:t>
      </w:r>
      <w:r w:rsidRPr="00271E51">
        <w:rPr>
          <w:color w:val="000000" w:themeColor="text1"/>
          <w:lang w:val="ru-RU"/>
        </w:rPr>
        <w:softHyphen/>
        <w:t xml:space="preserve">лось, по факту на подобную переделку легко годился и исходный танк </w:t>
      </w:r>
      <w:r w:rsidRPr="00271E51">
        <w:rPr>
          <w:color w:val="000000" w:themeColor="text1"/>
        </w:rPr>
        <w:t>KB</w:t>
      </w:r>
      <w:r w:rsidRPr="00271E51">
        <w:rPr>
          <w:color w:val="000000" w:themeColor="text1"/>
          <w:lang w:val="ru-RU"/>
        </w:rPr>
        <w:t>- 1С. Ради максимального снижения высоты САУ от Б-4 взяли толь</w:t>
      </w:r>
      <w:r w:rsidRPr="00271E51">
        <w:rPr>
          <w:color w:val="000000" w:themeColor="text1"/>
          <w:lang w:val="ru-RU"/>
        </w:rPr>
        <w:softHyphen/>
        <w:t>ко качающуюся часть, да и сама гаубица, как видно из описания, под</w:t>
      </w:r>
      <w:r w:rsidRPr="00271E51">
        <w:rPr>
          <w:color w:val="000000" w:themeColor="text1"/>
          <w:lang w:val="ru-RU"/>
        </w:rPr>
        <w:softHyphen/>
        <w:t>верглась некоторым переделкам.</w:t>
      </w:r>
    </w:p>
    <w:p w14:paraId="67B411E2"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Увы, на тот момент ситуация складывалась не в пользу М22. Про</w:t>
      </w:r>
      <w:r w:rsidRPr="00271E51">
        <w:rPr>
          <w:rFonts w:ascii="Times New Roman" w:cs="Times New Roman"/>
          <w:color w:val="000000" w:themeColor="text1"/>
          <w:spacing w:val="0"/>
        </w:rPr>
        <w:softHyphen/>
        <w:t>ект был представлен позже, чем конкурирующая разработка от ЦАКБ, даже неделя на этом этапе играла существенную роль. Кроме того, кон</w:t>
      </w:r>
      <w:r w:rsidRPr="00271E51">
        <w:rPr>
          <w:rFonts w:ascii="Times New Roman" w:cs="Times New Roman"/>
          <w:color w:val="000000" w:themeColor="text1"/>
          <w:spacing w:val="0"/>
        </w:rPr>
        <w:softHyphen/>
        <w:t>структорский коллектив завода №172 внес изменения как в конструк</w:t>
      </w:r>
      <w:r w:rsidRPr="00271E51">
        <w:rPr>
          <w:rFonts w:ascii="Times New Roman" w:cs="Times New Roman"/>
          <w:color w:val="000000" w:themeColor="text1"/>
          <w:spacing w:val="0"/>
        </w:rPr>
        <w:softHyphen/>
        <w:t>цию гаубицы, так и в шасси СУ-152. Наличие массивного дульного тормоза для самоходной установки, которая должна была вести огонь преимущественно с закрытых позиций, было явно не в пользу М22. Кроме того, при стрельбе прямой наводкой дульный тормоз поднимал бы много пыли, что приводило к демаскировке и ухудшению работы расчета. Итог был закономерен: Технический совет НКВ дал указание дальнейшие работы по теме М22 прекратить (17484).</w:t>
      </w:r>
    </w:p>
    <w:p w14:paraId="021EF43B"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788C28D6" w14:textId="77777777" w:rsidR="0040563E" w:rsidRPr="00271E51" w:rsidRDefault="0040563E"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 КБ завода №172 был разработан и предъявлен эскизный проект САУ М22.</w:t>
      </w:r>
    </w:p>
    <w:p w14:paraId="34079CCC" w14:textId="77777777" w:rsidR="0040563E" w:rsidRPr="00271E51" w:rsidRDefault="0040563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Проект, разработанный под руководством начальника артиллерийского КБ завода №172 В.А. Ильина, получил обозначение М22. Согласно пояснительной записке установка создавалась на базе КВ-14 (СУ-152), но от этой машины практически ничего не оставалось. Фактически за основу брался КВ-1с, с которого снимались башня и подбашенный погон. Вместо них на крыше боевого отделения появилась платформа, на которую ставилась качающаяся часть 203-мм гаубицы особой мощности Б-4. Спереди орудие было прикрыто массивным орудийным щитом. Благодаря тому, что гаубицу удалось разместить максимально низко, высота линии огня оказалась не очень большой — 2700 мм. Чтобы обеспечить максимальный угол возвышения в 60 градусов, в боевом отделении конструкторы предусмотрели специальную выемку, в которую при выстреле уходил ствол.</w:t>
      </w:r>
    </w:p>
    <w:p w14:paraId="2316FCAD" w14:textId="77777777" w:rsidR="0040563E" w:rsidRPr="00271E51" w:rsidRDefault="0040563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Для установки в такую САУ орудие пришлось переделать. Б-4 должна была получить массивный дульный тормоз, который не должен был доставить серьёзных проблем: М22 предназначалась в основном для работы с закрытых позиций. Боекомплект из 26 выстрелов планировалось разместить на надмоторной плите так, чтобы максимально упростить заряжание. Боевое отделение почти не имело броневой защиты, поэтому ожидаемая боевая масса САУ должна была составить 43 тонны. Таким образом, теоретически М22 получила бы подвижность на уровне КВ-1с.</w:t>
      </w:r>
    </w:p>
    <w:p w14:paraId="43E84606" w14:textId="77777777" w:rsidR="0040563E" w:rsidRPr="00271E51" w:rsidRDefault="0040563E" w:rsidP="00271E51">
      <w:pPr>
        <w:pStyle w:val="ae"/>
        <w:shd w:val="clear" w:color="auto" w:fill="FFFFFF"/>
        <w:spacing w:before="0" w:after="0"/>
        <w:jc w:val="both"/>
        <w:rPr>
          <w:color w:val="000000" w:themeColor="text1"/>
          <w:sz w:val="16"/>
          <w:szCs w:val="16"/>
        </w:rPr>
      </w:pPr>
      <w:r w:rsidRPr="00271E51">
        <w:rPr>
          <w:color w:val="000000" w:themeColor="text1"/>
          <w:sz w:val="16"/>
          <w:szCs w:val="16"/>
        </w:rPr>
        <w:t>Если бы КБ завода №172 представило свой проект в разумные сроки, а не 15 октября 1943 года, у него ещё мог быть шанс. В реальности же проект прислали ровно через месяц после демонстрации аналогичной работы ЦАКБ, и М22 выглядела уже лишней. Технический Совет НКВ дал указание дальнейшие работы по теме М22 прекратить (18075).</w:t>
      </w:r>
    </w:p>
    <w:p w14:paraId="40D33177" w14:textId="77777777" w:rsidR="0040563E" w:rsidRPr="00271E51" w:rsidRDefault="0040563E" w:rsidP="00271E51">
      <w:pPr>
        <w:pStyle w:val="ae"/>
        <w:shd w:val="clear" w:color="auto" w:fill="FFFFFF"/>
        <w:spacing w:before="0" w:after="0"/>
        <w:jc w:val="both"/>
        <w:rPr>
          <w:color w:val="000000" w:themeColor="text1"/>
          <w:sz w:val="16"/>
          <w:szCs w:val="16"/>
        </w:rPr>
      </w:pPr>
    </w:p>
    <w:p w14:paraId="011D818B"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ИСУ-152 погрузили на платформу и отправили на Гороховецкий АНИОП. Программу полигонных испытаний утвердили ещё 1 октября. Из орудия планировалось произвести 481 выстрел, в том числе 177 на усиленном заряде, 259 на полном заряде и 45 на спецзаряде. Из-за срочности время огневых испытаний было ограничено — с 21 по 23 октября. Число выстрелов пришлось сократить до 303: 1 на уменьшенном заряде, 187 на полном и 115 на усиленном. Стрельба показала, что кучность стрельбы орудия ИС-152 и буксируемой гаубицы-пушки МЛ-20 примерно равны. Стрельбу с хода признали малоэффективной, при стрельбе с коротких остановок результаты оказались удовлетворительными. Прицельная скорострельность составила 2–2,5 выстрела в минуту.</w:t>
      </w:r>
    </w:p>
    <w:p w14:paraId="63FF66C5"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Отдельно оценивались условия работы расчёта. Укладку выстрелов внутри боевого отделения и обслуживание орудия испытатели признали удобными. Боекомплект загружался 12–15 минут днём и 17–18 минут ночью.</w:t>
      </w:r>
    </w:p>
    <w:p w14:paraId="58167306"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Имелись и нарекания. Одного вентилятора для вывода пороховых газов из боевого отделения оказалась недостаточно. Неудачным было ограждение орудия: командир при стрельбе рисковал получить увечья. Место наводчика признали неудобным, особенно его сиденье, которое предлагалось сделать откидным, а также уменьшить высоту его установки. Нужно было переделать и установку панорамного прицела.</w:t>
      </w:r>
    </w:p>
    <w:p w14:paraId="7047A237"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замкового была другая проблема: туго открывающийся затвор, который на некоторых углах наведения было невозможно открыть. В связи с этим предлагалось использовать клиновой затвор. Из-за коробов, прикрывающих тяги и проводку, высота боевого отделения варьировалась от 1760 до 1600 мм, что тоже не понравилось испытателям. Впрочем, большинство этих претензий было справедливо и в отношении СУ-152, а по сравнению с ней боевое отделение ИС-152 было спроектировано более удачно. Замечания не сильно повлияли на общую картину: комиссия Гороховецкого АНИОП признала ИС-152 выдержавшей испытания стрельбой (18171).</w:t>
      </w:r>
    </w:p>
    <w:p w14:paraId="07270D8C"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003F673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вышло Постановление ГКО № 4328 Об импорте оборудования для промышленных предприятий Наркомстроя. (7146, 14,15-17).</w:t>
      </w:r>
    </w:p>
    <w:p w14:paraId="1B66602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8459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вышло Постановление ГКО № 4330 О плане распределения угля на IV квартал 1943 года.РГАНИР, Фонд ГКО, д. 163, лл. 21-24, 25-100 (11012).</w:t>
      </w:r>
    </w:p>
    <w:p w14:paraId="0D6ED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17E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вышло Распоряжение ГКО № 4331. О передаче подшипниковым заводам НКСМ 1,2 тыс. военнообязанных, не годных к строевой службе.РГАНИР, Фонд ГКО, д. 163, лл. 101 (11012).</w:t>
      </w:r>
    </w:p>
    <w:p w14:paraId="5E68AC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AA64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вышло Распоряжение ГКО № 4332 [О мобилизации в Распоряжение ГКО Центрального фронта 1,7 тыс. возчиков с подводами из Орловской, Гомельской и Могилевской обл.] (7146, 102).</w:t>
      </w:r>
    </w:p>
    <w:p w14:paraId="43895E7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9B4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после успешных испытаний 85-мм пушки ЗИС-С-53 ГКО принял на вооружение модернизированный танк Т-34-85. Однако дальнейшие испытания выявили ряд недоработок в конструкции пушки (3905).</w:t>
      </w:r>
    </w:p>
    <w:p w14:paraId="117F1E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322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15-16 октября 1943 Адмиралтейцы закончили испытания и сдали флоту три ТК типа Г-5 (10671).</w:t>
      </w:r>
    </w:p>
    <w:p w14:paraId="77309B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3560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C986F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0A12E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15 октября </w:t>
      </w:r>
      <w:r w:rsidRPr="00271E51">
        <w:rPr>
          <w:rFonts w:ascii="Times New Roman" w:hAnsi="Times New Roman"/>
          <w:color w:val="000000" w:themeColor="text1"/>
          <w:sz w:val="16"/>
          <w:szCs w:val="16"/>
        </w:rPr>
        <w:t>в 1943 году оперативная сводка Совинформбюро:</w:t>
      </w:r>
    </w:p>
    <w:p w14:paraId="7084699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Запорожья наши войска продолжали наступление и, продвинувшись вперёд от 8 до 12 километров, заняли ряд населённых пунктов и среди них Кушугум, Григорьевка, Веселянка, Магдалиновка, Мало-Екатериновка, Царицын Кут и железнодорожные станции Кубаево, Кушугум, Осетровка, Канкриновка и Плавни.</w:t>
      </w:r>
    </w:p>
    <w:p w14:paraId="22D44DF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преодолевая сопротивление и контратаки противника, продолжаливести уличные бои в городе Мелитополь. Противник, введя в бой дополнительные силы, переброшенные с других участков фронта, неоднократно контратаковал наши части. Все контратаки противника отбиты с большими для него потерями.</w:t>
      </w:r>
    </w:p>
    <w:p w14:paraId="45C0549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 правом берегу реки, севернее и южнее Киева, наши войска, отбивая контратаки противника, продолжали вести бои по расширению плацдармов и улучшили свои позиции. Противник понёс большие потери в живой силе и танках.</w:t>
      </w:r>
    </w:p>
    <w:p w14:paraId="7E7A572E"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в результате боёв улучшили свои позиции.</w:t>
      </w:r>
    </w:p>
    <w:p w14:paraId="366F8B9A"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704B7194"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октября наши войска на всех фронтах подбили и уничтожили, 113 немецких танков. В воздушных боях и огнём зенитной артиллерии сбито 93 самолёта противника.</w:t>
      </w:r>
    </w:p>
    <w:p w14:paraId="1951246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Запорожья наши войска продолжали наступление. Части Н-ского соединения, продвигаясь вперёд вдоль железной дороги на Мелитополь, заняли ряд населённых пунктов и железнодорожные станции Кубаево, Кушугум, Осетровка, Канкриновка, Плавни. За день боёв уничтожено свыше 1.000 немецких солдат и офицеров и 22 танка противника. Взяты трофеи, в числе которых 20 орудий. Вчера при занятии нашими войсками г. Запорожье остатки разгромленных немецких войск были прижаты к Днепру. Гитлеровцы пытались переправиться через реку, но в большей своей части были уничтожены или взяты в плен. Не менее 1.500 немецких солдат и офицеров потоплено в Днепре.</w:t>
      </w:r>
    </w:p>
    <w:p w14:paraId="58EED4D7"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совершили налёт на аэродром противника. В результате бомбардировки уничтожено и повреждено 23 немецких самолёта. Кроме того, в воздушных боях за день сбито 19 самолётов противника.</w:t>
      </w:r>
    </w:p>
    <w:p w14:paraId="5D68303E"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городе Мелитополь наши войска продолжали вести уличные бои. Немцы укрепились в зданиях завода и церкви, расположенных в центре города, и оказывали упорное сопротивление. Советские артиллеристы подавили огневые точки противника. Наши бойцы, действуя штыками и гранатами, очистили от немцев завод, церковь и несколько улиц. Противник подтянул новые силы, переброшенные с других участков фронта, и контратаками пытался восстановить положение. Контратаки </w:t>
      </w:r>
      <w:r w:rsidRPr="00271E51">
        <w:rPr>
          <w:rFonts w:ascii="Times New Roman" w:hAnsi="Times New Roman"/>
          <w:color w:val="000000" w:themeColor="text1"/>
          <w:sz w:val="16"/>
          <w:szCs w:val="16"/>
        </w:rPr>
        <w:lastRenderedPageBreak/>
        <w:t>гитлеровцев отбиты с большими для них потерями. Уничтожено свыше 2.000 немецких солдат и офицеров. На другом участке наши войска, сломив упорное сопротивление противника, овладели несколькими укреплёнными пунктами и вплотную приблизились к Мелитополю с северо-востока.</w:t>
      </w:r>
    </w:p>
    <w:p w14:paraId="010FA932"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севернее и южнее Киева, наши войска продолжали вести бои за расширение плацдармов. В одном районе немцы бросили в контратаку до двух полков пехоты и свыше 100 танков. Ожесточённое сражение длилось несколько часов.Советские бойцы огнём артиллерии и противотанковых ружей подбили и сожгли 67 немецких танков. Вражеская пехота, лишённая танкового прикрытия, в беспорядке отступила. Преследуя противника, наши бойцы уничтожили до полка гитлеровцев и захватили выгодные позиции.</w:t>
      </w:r>
    </w:p>
    <w:p w14:paraId="50DAA181"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Восемь самолётов «Ильюшин-2» под командованием капитана Нестеренко вылетели на штурмовку танковой колонны противника. В воздухе они встретили 30 немецких бомбардировщиков. Самолёты противника шли бомбить наши войска и переправы через Днепр. Советские лётчики-штурмовики смело и решительно атаковали противника и в ожесточённом воздушном бою сбили 8 немецких самолётов. Два из них сбил капитан т. Нестеренко.</w:t>
      </w:r>
    </w:p>
    <w:p w14:paraId="6E72B07F"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противник, стремясь сбросить наши части с западного берега реки Сож, предпринял несколько ожесточённых контратак. Советские войска отбили все контратаки гитлеровцев и улучшили свои позиции. В этих боях немцы потеряли свыше 800 солдат и офицеров, 7 танков, 4 самоходных и 26 полевых орудий. Севернее Гомеля наши войска вели огневой бой с противником.</w:t>
      </w:r>
    </w:p>
    <w:p w14:paraId="40E9ED40"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потоплены два немецких транспорта общим водоизмещением в 16 тысяч тонн и сторожевой корабль противника. Кроме того, серьёзно повреждены ещё два транспорта противника. Наши лётчики в воздушных боях с авиацией, прикрывавшей конвой, сбили 15 немецких самолётов.</w:t>
      </w:r>
    </w:p>
    <w:p w14:paraId="693F867E"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танкер противника водоизмещением в 5 тысяч тонн.</w:t>
      </w:r>
    </w:p>
    <w:p w14:paraId="45176C3C"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Ленинградской области, пустили под откос 7 немецких воинских эшелонов. Разбито несколько паровозов и 68 вагонов и платформ. В боях против немецко-фашистских захватчиков партизаны истребили свыше 700 гитлеровцев и уничтожили 2 орудия, танк, 39 автомашин и 17 повозок с боеприпасами. Советские патриоты взорвали 2 железнодорожных и 19 шоссейных мостов и на аэродроме противника сожгли немецкий транспортный самолёт.</w:t>
      </w:r>
    </w:p>
    <w:p w14:paraId="2EA0192F"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11 роты 172 полка 75 немецкой пехотной дивизии Жозеф Бюлес рассказал: «Наша дивизия занимала оборону в районе города Сумы. Все были уверены,что нам придётся там зимовать. Мы построили блиндажи в несколько накатов и досамого последнего времени утепляли их. Отступление явилось полной неожиданностью не только для солдат, но и для офицеров. Они были поражены, когда узнали, что русские прорвали фронт. Началась суматоха. Русские внезапно обошли наши колонныи напали на правый фланг. В один день 11 рота потеряла три четверти личного состава. Остатки батальона тогда побежали. За два дня мы прошли пешком более 80 километров. Преследуемые русскими, остатки подразделений различных полков и дивизий метались из стороны в сторону. Смешно думать, что беспорядочное бегство этих выбившихся из сил людей регулировалось каким-то планом иди приказом свыше. Командир нашей роты, обер-лейтенант фон Берген, был убит. Мы поняли, что положение безвыходное, и сдались в плен».</w:t>
      </w:r>
    </w:p>
    <w:p w14:paraId="4EF2DC51"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посёлка Семёновка, Черниговской области, рассказали о зверствах немецко-фашистских мерзавцев. Перед отступлением специальные немецкие команды поджигателей разъезжали по посёлку на мотоциклах, подрывали здания и промышленные сооружения,, бросали в окна домов бутылки с горючей смесью. Гитлеровцы уничтожили две электростанции, обувную фабрику, швейную фабрику, два маслобойных завода, лесопильный завод, паровую мельницу, хлебопекарню и другие более мелкие предприятия. Немецкие бандиты разорили больницу, лабораторию и рентгеновский кабинет, разграбили ценную аппаратуру и медицинские инструменты. Фашистские изверги сожгли туберкулёзный диспансер, детские ясли, пять школ, библиотеку, кинотеатр, музей, дом колхозника, баню, пожарное депо, типографию и другие здания. За время оккупации и при отступлении гитлеровцы уничтожили и сожгли свыше тысячи жилых домов с личным имуществом мирных жителей. Немецко-фашистские негодяи причинили населению посёлка материальный ущерб на десятки миллионов рублей.» (14800).</w:t>
      </w:r>
    </w:p>
    <w:p w14:paraId="55FAEAC3"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160D24CB"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15 октября </w:t>
      </w:r>
      <w:r w:rsidRPr="00271E51">
        <w:rPr>
          <w:rFonts w:ascii="Times New Roman" w:hAnsi="Times New Roman"/>
          <w:color w:val="000000" w:themeColor="text1"/>
          <w:sz w:val="16"/>
          <w:szCs w:val="16"/>
        </w:rPr>
        <w:t>в 1943 году войска Степного и Юго-Западного фронтов начали наступление на криворожском направлении (14800).</w:t>
      </w:r>
    </w:p>
    <w:p w14:paraId="11492D15"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3F532D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8 Ил-2 под командой Г.Нестеренко, вылетев на штурмовку танковых колонн, встретила 80 бомбардировщиков, направлявшихся бомбить переправу через Днепр. Атаковала и сбила 8, в т.ч. Нестеренко - 2. Нестеренко 15 погию (438,886).</w:t>
      </w:r>
    </w:p>
    <w:p w14:paraId="7517EE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913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октября 1943 вышло Постановление ГКО № 4329 О мероприятиях по усилению трофейных частей и учреждений.РГАНИР, Фонд ГКО, д. 163, лл. 18-20 (11012).</w:t>
      </w:r>
    </w:p>
    <w:p w14:paraId="6CCE13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08E30" w14:textId="77777777" w:rsidR="00196D5A"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E1BA014" w14:textId="77777777" w:rsidR="00196D5A" w:rsidRPr="00271E51" w:rsidRDefault="00196D5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8F489"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октября 1943 г., Пятница, Берлин </w:t>
      </w:r>
    </w:p>
    <w:p w14:paraId="6229FA5E"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Агентство ДНБ сообщает: </w:t>
      </w:r>
    </w:p>
    <w:p w14:paraId="7F76D6BD" w14:textId="77777777" w:rsidR="00196D5A" w:rsidRPr="00271E51" w:rsidRDefault="00196D5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сбитых вражеских самолетов во время вчерашних налетов во второй половине дня на юго-западе Германии достигло 90 машин» (14799).</w:t>
      </w:r>
    </w:p>
    <w:p w14:paraId="0D1914C3" w14:textId="77777777" w:rsidR="00196D5A" w:rsidRPr="00271E51" w:rsidRDefault="00196D5A" w:rsidP="00271E51">
      <w:pPr>
        <w:spacing w:after="0" w:line="240" w:lineRule="auto"/>
        <w:jc w:val="both"/>
        <w:rPr>
          <w:rFonts w:ascii="Times New Roman" w:hAnsi="Times New Roman"/>
          <w:color w:val="000000" w:themeColor="text1"/>
          <w:sz w:val="16"/>
          <w:szCs w:val="16"/>
        </w:rPr>
      </w:pPr>
    </w:p>
    <w:p w14:paraId="1F48C65D"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октября 1943 авиалайнер Douglas DC-3, выполнявший рейс 63 American Airlines, разбился около Сентервилля, штат Теннесси , в результате чего погибли все 11 человек на борту (20376).</w:t>
      </w:r>
    </w:p>
    <w:p w14:paraId="45EEA33E" w14:textId="77777777" w:rsidR="00736B3D" w:rsidRPr="00271E51" w:rsidRDefault="00736B3D" w:rsidP="00271E51">
      <w:pPr>
        <w:spacing w:after="0" w:line="240" w:lineRule="auto"/>
        <w:jc w:val="both"/>
        <w:rPr>
          <w:rFonts w:ascii="Times New Roman" w:hAnsi="Times New Roman"/>
          <w:color w:val="0070C0"/>
          <w:sz w:val="16"/>
          <w:szCs w:val="16"/>
        </w:rPr>
      </w:pPr>
    </w:p>
    <w:p w14:paraId="163E394F" w14:textId="77777777" w:rsidR="00D64D0B"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C295593" w14:textId="77777777" w:rsidR="00D64D0B" w:rsidRPr="00271E51" w:rsidRDefault="00D64D0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C4EC5B" w14:textId="77777777" w:rsidR="00D64D0B" w:rsidRPr="00271E51" w:rsidRDefault="00D64D0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середине октября 1943 «активность» по самолету ТИС (МА) постепенно затихла. Остались только работы, которые можно было вы</w:t>
      </w:r>
      <w:r w:rsidRPr="00271E51">
        <w:rPr>
          <w:rFonts w:ascii="Times New Roman" w:cs="Times New Roman"/>
          <w:color w:val="000000" w:themeColor="text1"/>
          <w:spacing w:val="0"/>
        </w:rPr>
        <w:softHyphen/>
        <w:t>полнить лишь при наличии моторов, на</w:t>
      </w:r>
      <w:r w:rsidRPr="00271E51">
        <w:rPr>
          <w:rFonts w:ascii="Times New Roman" w:cs="Times New Roman"/>
          <w:color w:val="000000" w:themeColor="text1"/>
          <w:spacing w:val="0"/>
        </w:rPr>
        <w:softHyphen/>
        <w:t>пример, монтаж винтомоторной группы, установка каркасов и подгонка капотов моторов и т.д. На 20 октября общая го</w:t>
      </w:r>
      <w:r w:rsidRPr="00271E51">
        <w:rPr>
          <w:rFonts w:ascii="Times New Roman" w:cs="Times New Roman"/>
          <w:color w:val="000000" w:themeColor="text1"/>
          <w:spacing w:val="0"/>
        </w:rPr>
        <w:softHyphen/>
        <w:t>товность самолета постройкой оцени</w:t>
      </w:r>
      <w:r w:rsidRPr="00271E51">
        <w:rPr>
          <w:rFonts w:ascii="Times New Roman" w:cs="Times New Roman"/>
          <w:color w:val="000000" w:themeColor="text1"/>
          <w:spacing w:val="0"/>
        </w:rPr>
        <w:softHyphen/>
        <w:t>валась 83%. Для завершения всех работ требовалось около 20-25 дней, но мото</w:t>
      </w:r>
      <w:r w:rsidRPr="00271E51">
        <w:rPr>
          <w:rFonts w:ascii="Times New Roman" w:cs="Times New Roman"/>
          <w:color w:val="000000" w:themeColor="text1"/>
          <w:spacing w:val="0"/>
        </w:rPr>
        <w:softHyphen/>
        <w:t>ров АМ-39 все еще нё было и сроков их поступления никто назвать не мог, ни в наркомате авиапромышленности, ни в ОКБ Микулина.</w:t>
      </w:r>
    </w:p>
    <w:p w14:paraId="05AC0D98" w14:textId="77777777" w:rsidR="00D64D0B" w:rsidRPr="00271E51" w:rsidRDefault="00D64D0B"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Нельзя сказать, что моторов АМ-39, годных к полетам не было вообще. Мо</w:t>
      </w:r>
      <w:r w:rsidRPr="00271E51">
        <w:rPr>
          <w:rFonts w:ascii="Times New Roman" w:cs="Times New Roman"/>
          <w:color w:val="000000" w:themeColor="text1"/>
          <w:spacing w:val="0"/>
        </w:rPr>
        <w:softHyphen/>
        <w:t>торы были, но их было мало. Почти все они «уходили» в ОКБ-155 А.И. Микоя</w:t>
      </w:r>
      <w:r w:rsidRPr="00271E51">
        <w:rPr>
          <w:rFonts w:ascii="Times New Roman" w:cs="Times New Roman"/>
          <w:color w:val="000000" w:themeColor="text1"/>
          <w:spacing w:val="0"/>
        </w:rPr>
        <w:softHyphen/>
        <w:t>на, которое в это время активно рабо</w:t>
      </w:r>
      <w:r w:rsidRPr="00271E51">
        <w:rPr>
          <w:rFonts w:ascii="Times New Roman" w:cs="Times New Roman"/>
          <w:color w:val="000000" w:themeColor="text1"/>
          <w:spacing w:val="0"/>
        </w:rPr>
        <w:softHyphen/>
        <w:t>тало и дальше всех продвинулось по приоритетной программе создания вы</w:t>
      </w:r>
      <w:r w:rsidRPr="00271E51">
        <w:rPr>
          <w:rFonts w:ascii="Times New Roman" w:cs="Times New Roman"/>
          <w:color w:val="000000" w:themeColor="text1"/>
          <w:spacing w:val="0"/>
        </w:rPr>
        <w:softHyphen/>
        <w:t>сотного истребителя в интересах ПВО Москвы. Это давало повод некото</w:t>
      </w:r>
      <w:r w:rsidRPr="00271E51">
        <w:rPr>
          <w:rFonts w:ascii="Times New Roman" w:cs="Times New Roman"/>
          <w:color w:val="000000" w:themeColor="text1"/>
          <w:spacing w:val="0"/>
        </w:rPr>
        <w:softHyphen/>
        <w:t>рым ответственным работникам заво</w:t>
      </w:r>
      <w:r w:rsidRPr="00271E51">
        <w:rPr>
          <w:rFonts w:ascii="Times New Roman" w:cs="Times New Roman"/>
          <w:color w:val="000000" w:themeColor="text1"/>
          <w:spacing w:val="0"/>
        </w:rPr>
        <w:softHyphen/>
        <w:t>да №51 считать, что моторы АМ-39 для Поликарпова специально зажимают, чтобы притормозить работы по опыт</w:t>
      </w:r>
      <w:r w:rsidRPr="00271E51">
        <w:rPr>
          <w:rFonts w:ascii="Times New Roman" w:cs="Times New Roman"/>
          <w:color w:val="000000" w:themeColor="text1"/>
          <w:spacing w:val="0"/>
        </w:rPr>
        <w:softHyphen/>
        <w:t>ным самолетам (ИТП, ТИС). Однако здесь следует учитывать низкую надеж</w:t>
      </w:r>
      <w:r w:rsidRPr="00271E51">
        <w:rPr>
          <w:rFonts w:ascii="Times New Roman" w:cs="Times New Roman"/>
          <w:color w:val="000000" w:themeColor="text1"/>
          <w:spacing w:val="0"/>
        </w:rPr>
        <w:softHyphen/>
        <w:t>ность первых образцов мотора АМ-39, которые имели большое количест</w:t>
      </w:r>
      <w:r w:rsidRPr="00271E51">
        <w:rPr>
          <w:rFonts w:ascii="Times New Roman" w:cs="Times New Roman"/>
          <w:color w:val="000000" w:themeColor="text1"/>
          <w:spacing w:val="0"/>
        </w:rPr>
        <w:softHyphen/>
        <w:t>во конструктивных дефектов. Напри</w:t>
      </w:r>
      <w:r w:rsidRPr="00271E51">
        <w:rPr>
          <w:rFonts w:ascii="Times New Roman" w:cs="Times New Roman"/>
          <w:color w:val="000000" w:themeColor="text1"/>
          <w:spacing w:val="0"/>
        </w:rPr>
        <w:softHyphen/>
        <w:t>мер, несмотря на тщательный отбор для ОКБ Микояна наиболее доведен</w:t>
      </w:r>
      <w:r w:rsidRPr="00271E51">
        <w:rPr>
          <w:rFonts w:ascii="Times New Roman" w:cs="Times New Roman"/>
          <w:color w:val="000000" w:themeColor="text1"/>
          <w:spacing w:val="0"/>
        </w:rPr>
        <w:softHyphen/>
        <w:t>ных и отлаженных АМ-39, при испыта</w:t>
      </w:r>
      <w:r w:rsidRPr="00271E51">
        <w:rPr>
          <w:rFonts w:ascii="Times New Roman" w:cs="Times New Roman"/>
          <w:color w:val="000000" w:themeColor="text1"/>
          <w:spacing w:val="0"/>
        </w:rPr>
        <w:softHyphen/>
        <w:t>нии опытного И-220 (МиГ-11) с мая по август 1943 г. пришлось заменить пять моторов. Как отмечалось в документах, «частая замена моторов АМ-39 проис</w:t>
      </w:r>
      <w:r w:rsidRPr="00271E51">
        <w:rPr>
          <w:rFonts w:ascii="Times New Roman" w:cs="Times New Roman"/>
          <w:color w:val="000000" w:themeColor="text1"/>
          <w:spacing w:val="0"/>
        </w:rPr>
        <w:softHyphen/>
        <w:t>ходит по причине появления бронзо</w:t>
      </w:r>
      <w:r w:rsidRPr="00271E51">
        <w:rPr>
          <w:rFonts w:ascii="Times New Roman" w:cs="Times New Roman"/>
          <w:color w:val="000000" w:themeColor="text1"/>
          <w:spacing w:val="0"/>
        </w:rPr>
        <w:softHyphen/>
        <w:t>вой стружки в масле». Именно поэтому А.И. Микоян в сентябре вместо АМ-39 установил на самолет серийный мотор АМ-38ф и с ним продолжил испытания. Опытное производство завода №300 и ОКБ Микулина было просто не в со</w:t>
      </w:r>
      <w:r w:rsidRPr="00271E51">
        <w:rPr>
          <w:rFonts w:ascii="Times New Roman" w:cs="Times New Roman"/>
          <w:color w:val="000000" w:themeColor="text1"/>
          <w:spacing w:val="0"/>
        </w:rPr>
        <w:softHyphen/>
        <w:t>стоянии одновременно строить и дово</w:t>
      </w:r>
      <w:r w:rsidRPr="00271E51">
        <w:rPr>
          <w:rFonts w:ascii="Times New Roman" w:cs="Times New Roman"/>
          <w:color w:val="000000" w:themeColor="text1"/>
          <w:spacing w:val="0"/>
        </w:rPr>
        <w:softHyphen/>
        <w:t>дить «до ума» большое количество мо</w:t>
      </w:r>
      <w:r w:rsidRPr="00271E51">
        <w:rPr>
          <w:rFonts w:ascii="Times New Roman" w:cs="Times New Roman"/>
          <w:color w:val="000000" w:themeColor="text1"/>
          <w:spacing w:val="0"/>
        </w:rPr>
        <w:softHyphen/>
        <w:t>торов АМ-39 (15758).</w:t>
      </w:r>
    </w:p>
    <w:p w14:paraId="34922BFA" w14:textId="77777777" w:rsidR="00D64D0B" w:rsidRPr="00271E51" w:rsidRDefault="00D64D0B" w:rsidP="00271E51">
      <w:pPr>
        <w:pStyle w:val="27"/>
        <w:shd w:val="clear" w:color="auto" w:fill="auto"/>
        <w:spacing w:after="0" w:line="240" w:lineRule="auto"/>
        <w:ind w:firstLine="0"/>
        <w:rPr>
          <w:rFonts w:ascii="Times New Roman" w:cs="Times New Roman"/>
          <w:color w:val="000000" w:themeColor="text1"/>
          <w:spacing w:val="0"/>
        </w:rPr>
      </w:pPr>
    </w:p>
    <w:p w14:paraId="66ADF2A8"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середине октября 1943 «активность» по самолету ТИС (МА) постепенно затихла. Остались только работы, кото</w:t>
      </w:r>
      <w:r w:rsidRPr="00271E51">
        <w:rPr>
          <w:color w:val="000000" w:themeColor="text1"/>
          <w:sz w:val="16"/>
          <w:szCs w:val="16"/>
        </w:rPr>
        <w:softHyphen/>
        <w:t>рые можно было выполнить лишь при наличии мо</w:t>
      </w:r>
      <w:r w:rsidRPr="00271E51">
        <w:rPr>
          <w:color w:val="000000" w:themeColor="text1"/>
          <w:sz w:val="16"/>
          <w:szCs w:val="16"/>
        </w:rPr>
        <w:softHyphen/>
        <w:t>торов, например, монтаж винтомоторной группы, установка каркасов и подгонка капотов моторов и т.д. На 20 октября общая готовность самолета по</w:t>
      </w:r>
      <w:r w:rsidRPr="00271E51">
        <w:rPr>
          <w:color w:val="000000" w:themeColor="text1"/>
          <w:sz w:val="16"/>
          <w:szCs w:val="16"/>
        </w:rPr>
        <w:softHyphen/>
        <w:t>стройкой оценивалась 83%. Для завершения всех работ требовалось около 20—25 дней, но моторов АМ-39 все еще не было, и сроков их поступления никто назвать не мог ни в наркомате авиапромыш</w:t>
      </w:r>
      <w:r w:rsidRPr="00271E51">
        <w:rPr>
          <w:color w:val="000000" w:themeColor="text1"/>
          <w:sz w:val="16"/>
          <w:szCs w:val="16"/>
        </w:rPr>
        <w:softHyphen/>
        <w:t>ленности, ни в ОКБ Микулина (17500).</w:t>
      </w:r>
    </w:p>
    <w:p w14:paraId="3A42F2E5" w14:textId="77777777" w:rsidR="0040563E" w:rsidRPr="00271E51" w:rsidRDefault="0040563E" w:rsidP="00271E51">
      <w:pPr>
        <w:pStyle w:val="12a"/>
        <w:shd w:val="clear" w:color="auto" w:fill="auto"/>
        <w:spacing w:after="0" w:line="240" w:lineRule="auto"/>
        <w:jc w:val="both"/>
        <w:rPr>
          <w:color w:val="000000" w:themeColor="text1"/>
          <w:sz w:val="16"/>
          <w:szCs w:val="16"/>
        </w:rPr>
      </w:pPr>
    </w:p>
    <w:p w14:paraId="356D0931" w14:textId="77777777" w:rsidR="00D64D0B" w:rsidRPr="00271E51" w:rsidRDefault="00D64D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середине октября 1943 г. в ОКБ-21 завершилось проектирование Ла-5 с М-82ФН и двумя ТК-3, увеличенной длиной и площадью крыла и увеличенной площадью опере</w:t>
      </w:r>
      <w:r w:rsidRPr="00271E51">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Винтомоторная группа проектировалась с учетом опыта и данных, полученных при испытаниях предыдущих Ла-5 с турбокомпрессорами. Проходные сечения в мотор</w:t>
      </w:r>
      <w:r w:rsidRPr="00271E51">
        <w:rPr>
          <w:rFonts w:ascii="Times New Roman" w:hAnsi="Times New Roman"/>
          <w:color w:val="000000" w:themeColor="text1"/>
          <w:sz w:val="16"/>
          <w:szCs w:val="16"/>
        </w:rPr>
        <w:softHyphen/>
        <w:t>ном капоте уменьшили с расчётом на охлаждающий эффект от впрыска воды во все всасывающие патрубки цилиндров. Однако ёмкость водяного бачка, устанавливаемого вместо правой патронной коробки, оказалась даже меньше, чем на предыдущей маши</w:t>
      </w:r>
      <w:r w:rsidRPr="00271E51">
        <w:rPr>
          <w:rFonts w:ascii="Times New Roman" w:hAnsi="Times New Roman"/>
          <w:color w:val="000000" w:themeColor="text1"/>
          <w:sz w:val="16"/>
          <w:szCs w:val="16"/>
        </w:rPr>
        <w:softHyphen/>
        <w:t>не — 25 л. Несмотря на использование в конструкции крыла металлического лонжеро</w:t>
      </w:r>
      <w:r w:rsidRPr="00271E51">
        <w:rPr>
          <w:rFonts w:ascii="Times New Roman" w:hAnsi="Times New Roman"/>
          <w:color w:val="000000" w:themeColor="text1"/>
          <w:sz w:val="16"/>
          <w:szCs w:val="16"/>
        </w:rPr>
        <w:softHyphen/>
        <w:t>на, бо'льшие размеры крыла и оперения и увеличенный на 105 кг запас горючего, составляющий 445 кг, общий вес даже несколько уменьшился. Одновременно с испы</w:t>
      </w:r>
      <w:r w:rsidRPr="00271E51">
        <w:rPr>
          <w:rFonts w:ascii="Times New Roman" w:hAnsi="Times New Roman"/>
          <w:color w:val="000000" w:themeColor="text1"/>
          <w:sz w:val="16"/>
          <w:szCs w:val="16"/>
        </w:rPr>
        <w:softHyphen/>
        <w:t>таниями опытной машины в ОКБ-21 разрабатывались чертежи на Ла-5 с М-82ФН и турбокомпрессорами ТК-3, применительно к серийному производству. Однако исполь</w:t>
      </w:r>
      <w:r w:rsidRPr="00271E51">
        <w:rPr>
          <w:rFonts w:ascii="Times New Roman" w:hAnsi="Times New Roman"/>
          <w:color w:val="000000" w:themeColor="text1"/>
          <w:sz w:val="16"/>
          <w:szCs w:val="16"/>
        </w:rPr>
        <w:softHyphen/>
        <w:t>зовать созданный комплект рабочей документации так и не удалось.</w:t>
      </w:r>
    </w:p>
    <w:p w14:paraId="33067A03" w14:textId="77777777" w:rsidR="00D64D0B" w:rsidRPr="00271E51" w:rsidRDefault="00D64D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загруженности опытного цеха завода № 21 работами над Ла-7 самолёт «А» за</w:t>
      </w:r>
      <w:r w:rsidRPr="00271E51">
        <w:rPr>
          <w:rFonts w:ascii="Times New Roman" w:hAnsi="Times New Roman"/>
          <w:color w:val="000000" w:themeColor="text1"/>
          <w:sz w:val="16"/>
          <w:szCs w:val="16"/>
        </w:rPr>
        <w:softHyphen/>
        <w:t>кончили и выпустили на аэродром только 8 декабря 1943 г. В феврале при опробова</w:t>
      </w:r>
      <w:r w:rsidRPr="00271E51">
        <w:rPr>
          <w:rFonts w:ascii="Times New Roman" w:hAnsi="Times New Roman"/>
          <w:color w:val="000000" w:themeColor="text1"/>
          <w:sz w:val="16"/>
          <w:szCs w:val="16"/>
        </w:rPr>
        <w:softHyphen/>
        <w:t>нии мотора на земле в маслосистеме появилась стружка, и его пришлось заменить. Наконец, 17 марта начались лётные испытания, их проводил лётчик-испытатель Г.М. Шиянов. Провели семь полётов, снова отмечалась высокая температура головок ци</w:t>
      </w:r>
      <w:r w:rsidRPr="00271E51">
        <w:rPr>
          <w:rFonts w:ascii="Times New Roman" w:hAnsi="Times New Roman"/>
          <w:color w:val="000000" w:themeColor="text1"/>
          <w:sz w:val="16"/>
          <w:szCs w:val="16"/>
        </w:rPr>
        <w:softHyphen/>
        <w:t xml:space="preserve">линдров, на высотах более 2000 м доходившая до 240-260°С, а с высоты 5000 </w:t>
      </w:r>
      <w:r w:rsidRPr="00271E51">
        <w:rPr>
          <w:rFonts w:ascii="Times New Roman" w:hAnsi="Times New Roman"/>
          <w:color w:val="000000" w:themeColor="text1"/>
          <w:sz w:val="16"/>
          <w:szCs w:val="16"/>
        </w:rPr>
        <w:lastRenderedPageBreak/>
        <w:t>м на</w:t>
      </w:r>
      <w:r w:rsidRPr="00271E51">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1A839D6F" w14:textId="77777777" w:rsidR="00D64D0B" w:rsidRPr="00271E51" w:rsidRDefault="00D64D0B" w:rsidP="00271E51">
      <w:pPr>
        <w:spacing w:after="0" w:line="240" w:lineRule="auto"/>
        <w:jc w:val="both"/>
        <w:rPr>
          <w:rFonts w:ascii="Times New Roman" w:hAnsi="Times New Roman"/>
          <w:color w:val="000000" w:themeColor="text1"/>
          <w:sz w:val="16"/>
          <w:szCs w:val="16"/>
        </w:rPr>
      </w:pPr>
    </w:p>
    <w:p w14:paraId="463B64B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F93C5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1D02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октября 1943 используя Ил-2 622 шап ГСС Емельянова снабжал продовольствием и боеприпасами советский десант, высадившийся на Керченский полуостров в районе поселка Этильген (1069,27).</w:t>
      </w:r>
    </w:p>
    <w:p w14:paraId="5AE9FD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3A53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FD5EA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8E26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Командир 1 шак Рязанов писал Командующему ВВС Новикову и А.И.Ш. письмо N 01838:</w:t>
      </w:r>
    </w:p>
    <w:p w14:paraId="546694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результаты эффективности применения самолета Ил-2 с 37 мм пушкой ОКБ-16 11П в боевых условиях по сравнению с Ил-2 с пушками ВЯ и ШВАК.</w:t>
      </w:r>
    </w:p>
    <w:p w14:paraId="7E4E45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вооруженный авиапушкой 37 мм ОКБ-16 частично изменил свои ЛТД, стал сравнительно тяжелее и, следовательно, инертнее. Ввиду небольшого изменения центровки, последний при пикировании стал менее устойчив, имеют большую тенденцию к увеличению угла пикирования. Поэтому перед атакой на цель, т.е. ввода самолета в пикирование, необходимо взять триммер на себя, так, чтобы все время чувствовалось небольшое давление на ручку.</w:t>
      </w:r>
    </w:p>
    <w:p w14:paraId="1BC870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Увеличилась просадка самолета на выводе из пикирования, поэтому самолет необходимо выводить из пикирования раньше на 50 метров. При пикировании самолет быстро увеличивает скорость и при достижении 330 км/час и выше возникают доп. нагрузки на рули управления. При кабрировании самолет быстро теряет скорость. При ведении воздушного боя с углом кабрирования 15-20 гр., при отказе одной из пушек самолет имеет тенденцию срыва в штопор. Все эти особенности при управлении самолетом, вооруженным 37 мм пушкой, летчик должен знать и учитывать.</w:t>
      </w:r>
    </w:p>
    <w:p w14:paraId="738A3B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Постановка 37 мм пушки ОКБ-16 на самолет Ил-2 вызвана малой эффективностью пушек ВЯ и ШВАК по целям, защищенным броней (танкам, бронемашинам). Увеличение калибра снаряда привело в большому габариту и весу пушки, к сравнительно малому темпу стрельбы и небольшому запасу боекомплекта. Малый темп стрельбы и небольшой запас боекомплекта обязывает л к ведению исключительно прицельной стрельбы короткими очередями (4-5 снарядов) с действительной дистанции ведения огня по точечным целям, гл. образом по танкам противника. Летчики должны быть снайперами стрельбы по точечным целям и открывать огонь только с действительных дистанций, тогда пушка 37 мм может дать больший эффект и оправдывает свое основное назначение.</w:t>
      </w:r>
    </w:p>
    <w:p w14:paraId="1918A5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сравнительно короткий период применения 37 мм пушки ОКБ-16 в боевых условиях наблюдением л отмечено ряд характерных поражений целей, например, 6 октября 1943 мл. л. Самородов короткой очередью из 37 мм пушки поразил гусеницу немецкого танка, последний развернулся и прекратил движение. 3 октября 1943 мл. л. Рогожин атаковал ж/д эшелоны, в результате атаки наблюдал воспламенение ж/д вагонов: от пожаров сгорело большое количество вагонов.</w:t>
      </w:r>
    </w:p>
    <w:p w14:paraId="61A1DF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октября 1943 л Воскопуп прицельным огнем с 250 м короткими очередями поджег 2 танка.</w:t>
      </w:r>
    </w:p>
    <w:p w14:paraId="1A115E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Стрельбу из 37 мм пушки ОКБ-16 необходимо вести короткими очередями (4-5 снарядов), ибо длинные очереди создают вибрацию самолета, что приводит к неточному прицеливанию, большому рассеянию, а, следовательно, к уменьшению вероятности поражения, а также может привести в разрушению самолета в воздухе.</w:t>
      </w:r>
    </w:p>
    <w:p w14:paraId="276DE1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Большим недостатком в работе матчасти 37 мм пушки является: обрыв ленты в системе подачи левой пушки, что приводит к частому ее отказу. Обрыв ленты происходит по причине неудачного подвода рукава подачи левой пушки (наличие большого изгиба).</w:t>
      </w:r>
    </w:p>
    <w:p w14:paraId="3D7359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практике эксплуатации пушки наблюдались также случаи непопадания звена на съемник по причинам нестандартности звеньев, что приводило к отказам пушки. При отказе одной из пушек самолет разворачивает в сторону работающей пушки, но огонь в этом случае также можно вести одиночным снарядом и короткими очередями в 2-3 снаряда.</w:t>
      </w:r>
    </w:p>
    <w:p w14:paraId="0D38D9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Предложения:</w:t>
      </w:r>
    </w:p>
    <w:p w14:paraId="58EB70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Ил-2, вооруженный 37 мм пушкой ОКБ-16, целесообразно применять по танкам, автомашинам, ж/д эшелонам, складам и горючим и боеприпасами.</w:t>
      </w:r>
    </w:p>
    <w:p w14:paraId="5B35D8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целях уменьшения отказов 37 мм пушки ОКБ-16 по причине разрыва ленты, необходимо изменить подвод патронной ленты к левой пушке. Сделать подвод ленты более плавным и обратить внимание на стандартность и прочность звеньев." (1780,45).</w:t>
      </w:r>
    </w:p>
    <w:p w14:paraId="3BBE4D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4CD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на имя командующего ВВС маршала Новико</w:t>
      </w:r>
      <w:r w:rsidRPr="00271E51">
        <w:rPr>
          <w:rFonts w:ascii="Times New Roman" w:hAnsi="Times New Roman"/>
          <w:color w:val="000000" w:themeColor="text1"/>
          <w:sz w:val="16"/>
          <w:szCs w:val="16"/>
        </w:rPr>
        <w:softHyphen/>
        <w:t>ва из действующей армии ушло донесение командира 1 -го шак генерал-лейтенанта Рязанова «О результатах эффективности применения самолета Ил-2 с 37-мм авиационной пушкой ОКБ-16 11П в боевых условиях по сравнению с самолетом Ил-2 с пушками ВЯ и ШВАК». Еще через пару недель специалисты 4-го отдела НИИ ВВС подготовили довольно обширный «Доклад по результатам изучения опыта боевого применения Ил-2 с 37-мм пушками ОКБ-16 во 2-м Смоленском ШАК». Следом за ним последовал и доклад штаба 2-го штурмового авиакорпуса.</w:t>
      </w:r>
    </w:p>
    <w:p w14:paraId="63680E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Строевые летчики отмечали, что новый вариант Ил-2, по сравнению с самолетом, вооруженным пушками ШВАК или ВЯ-23, обладает несколько большей инертностью, ухудшенной маневренностью и управляемостью, особенно на больших ско</w:t>
      </w:r>
      <w:r w:rsidRPr="00271E51">
        <w:rPr>
          <w:rFonts w:ascii="Times New Roman" w:hAnsi="Times New Roman"/>
          <w:color w:val="000000" w:themeColor="text1"/>
          <w:sz w:val="16"/>
          <w:szCs w:val="16"/>
        </w:rPr>
        <w:softHyphen/>
        <w:t>ростях. Заметно увеличился радиус виража. Крены на вираже допускались до 60° на скорости 280—300 км/ч.</w:t>
      </w:r>
    </w:p>
    <w:p w14:paraId="29FB86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наблюдению летчиков 568-го шап, при стрельбе из двух пушек после очереди 4—6 снарядов самолет терял в скорости 30—50 км/ч. Самолет «клевал» носом и сбивался с линии при</w:t>
      </w:r>
      <w:r w:rsidRPr="00271E51">
        <w:rPr>
          <w:rFonts w:ascii="Times New Roman" w:hAnsi="Times New Roman"/>
          <w:color w:val="000000" w:themeColor="text1"/>
          <w:sz w:val="16"/>
          <w:szCs w:val="16"/>
        </w:rPr>
        <w:softHyphen/>
        <w:t>целивания. Поэтому в цель попадали только первые 2—3 сна</w:t>
      </w:r>
      <w:r w:rsidRPr="00271E51">
        <w:rPr>
          <w:rFonts w:ascii="Times New Roman" w:hAnsi="Times New Roman"/>
          <w:color w:val="000000" w:themeColor="text1"/>
          <w:sz w:val="16"/>
          <w:szCs w:val="16"/>
        </w:rPr>
        <w:softHyphen/>
        <w:t>ряда, а остальные — шли с недолетом.</w:t>
      </w:r>
    </w:p>
    <w:p w14:paraId="3156A9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допускал пикирование вплоть до 50°. Ввод в пики</w:t>
      </w:r>
      <w:r w:rsidRPr="00271E51">
        <w:rPr>
          <w:rFonts w:ascii="Times New Roman" w:hAnsi="Times New Roman"/>
          <w:color w:val="000000" w:themeColor="text1"/>
          <w:sz w:val="16"/>
          <w:szCs w:val="16"/>
        </w:rPr>
        <w:softHyphen/>
        <w:t>рование и вывод из него были простыми и затруднений у летно</w:t>
      </w:r>
      <w:r w:rsidRPr="00271E51">
        <w:rPr>
          <w:rFonts w:ascii="Times New Roman" w:hAnsi="Times New Roman"/>
          <w:color w:val="000000" w:themeColor="text1"/>
          <w:sz w:val="16"/>
          <w:szCs w:val="16"/>
        </w:rPr>
        <w:softHyphen/>
        <w:t>го состава не вызывали. Однако при углах пикирования более 35° при стрельбе из пушек самолет стремился увеличить угол пикирования. На пикировании самолет довольно быстро наби</w:t>
      </w:r>
      <w:r w:rsidRPr="00271E51">
        <w:rPr>
          <w:rFonts w:ascii="Times New Roman" w:hAnsi="Times New Roman"/>
          <w:color w:val="000000" w:themeColor="text1"/>
          <w:sz w:val="16"/>
          <w:szCs w:val="16"/>
        </w:rPr>
        <w:softHyphen/>
        <w:t>рал скорость, и при достижении 330 км/ч и выше летчики отме</w:t>
      </w:r>
      <w:r w:rsidRPr="00271E51">
        <w:rPr>
          <w:rFonts w:ascii="Times New Roman" w:hAnsi="Times New Roman"/>
          <w:color w:val="000000" w:themeColor="text1"/>
          <w:sz w:val="16"/>
          <w:szCs w:val="16"/>
        </w:rPr>
        <w:softHyphen/>
        <w:t>чали чрезмерно большую нагрузку на рули управления. Просад</w:t>
      </w:r>
      <w:r w:rsidRPr="00271E51">
        <w:rPr>
          <w:rFonts w:ascii="Times New Roman" w:hAnsi="Times New Roman"/>
          <w:color w:val="000000" w:themeColor="text1"/>
          <w:sz w:val="16"/>
          <w:szCs w:val="16"/>
        </w:rPr>
        <w:softHyphen/>
        <w:t>ка на выводе из пикирования увеличилась. Самолет следовало выводить из пикирования на 50 м раньше обычного.</w:t>
      </w:r>
    </w:p>
    <w:p w14:paraId="64A660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планировании летчикам приходилось выдерживать бо</w:t>
      </w:r>
      <w:r w:rsidRPr="00271E51">
        <w:rPr>
          <w:rFonts w:ascii="Times New Roman" w:hAnsi="Times New Roman"/>
          <w:color w:val="000000" w:themeColor="text1"/>
          <w:sz w:val="16"/>
          <w:szCs w:val="16"/>
        </w:rPr>
        <w:softHyphen/>
        <w:t>лее высокую скорость — порядка 190—210 км/ч при отклоненных щитках. После выравнивания самолет несется над землей несколько дольше, чем обычно. На посадке «на выдерживании более чувствителен к взмыванию».</w:t>
      </w:r>
    </w:p>
    <w:p w14:paraId="5DBF87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Ухудшение летно-пилотажных качеств Ил-2 с НС-37 за труднило выполнение противозенитного маневра, особенно в составе группы, усложнило выход в атаку, прицеливание и уточнение наводки самолета на цель при стрельбе из пушек.</w:t>
      </w:r>
    </w:p>
    <w:p w14:paraId="17C2C1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сильной отдачи НС-37 летчики всерьез опасались, что в случае длинной очереди крыло может не выдержать и разрушиться.</w:t>
      </w:r>
    </w:p>
    <w:p w14:paraId="258F6D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Возможности Ил-2 с пушками НС-37 в воздушном бою с немецкими самолетами, по сравнению с обычными серийны</w:t>
      </w:r>
      <w:r w:rsidRPr="00271E51">
        <w:rPr>
          <w:rFonts w:ascii="Times New Roman" w:hAnsi="Times New Roman"/>
          <w:color w:val="000000" w:themeColor="text1"/>
          <w:sz w:val="16"/>
          <w:szCs w:val="16"/>
        </w:rPr>
        <w:softHyphen/>
        <w:t>ми «илами», снизились. В этой связи летчики указывали, что прикрывающая группа истребителей должна быть увеличена в сравнении с общепринятыми нормами. Приемы же воздушно</w:t>
      </w:r>
      <w:r w:rsidRPr="00271E51">
        <w:rPr>
          <w:rFonts w:ascii="Times New Roman" w:hAnsi="Times New Roman"/>
          <w:color w:val="000000" w:themeColor="text1"/>
          <w:sz w:val="16"/>
          <w:szCs w:val="16"/>
        </w:rPr>
        <w:softHyphen/>
        <w:t>го боя Ил-2 с НС-37 практически не отличались от приемов, применяемых Ил-2 с ВЯ-23 или ШВАК. Однако ввиду того, что при стрельбе из НС-37 на кабрировании резко падала ско</w:t>
      </w:r>
      <w:r w:rsidRPr="00271E51">
        <w:rPr>
          <w:rFonts w:ascii="Times New Roman" w:hAnsi="Times New Roman"/>
          <w:color w:val="000000" w:themeColor="text1"/>
          <w:sz w:val="16"/>
          <w:szCs w:val="16"/>
        </w:rPr>
        <w:softHyphen/>
        <w:t>рость штурмовика, оборонительный «круг» получался более растянутым, что требовало от летчиков большей собранности и внимательности. Самым неприятным было то обстоятельст</w:t>
      </w:r>
      <w:r w:rsidRPr="00271E51">
        <w:rPr>
          <w:rFonts w:ascii="Times New Roman" w:hAnsi="Times New Roman"/>
          <w:color w:val="000000" w:themeColor="text1"/>
          <w:sz w:val="16"/>
          <w:szCs w:val="16"/>
        </w:rPr>
        <w:softHyphen/>
        <w:t>во, что в случае отказа одной из пушек при стрельбе на кабри</w:t>
      </w:r>
      <w:r w:rsidRPr="00271E51">
        <w:rPr>
          <w:rFonts w:ascii="Times New Roman" w:hAnsi="Times New Roman"/>
          <w:color w:val="000000" w:themeColor="text1"/>
          <w:sz w:val="16"/>
          <w:szCs w:val="16"/>
        </w:rPr>
        <w:softHyphen/>
        <w:t>ровании «самолет имел тенденцию к срыву в штопор».</w:t>
      </w:r>
    </w:p>
    <w:p w14:paraId="0A75A6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сами пушки НС-37 в бою зарекомендовали себя как мощное и эффективное оружие. Так, летчики 568-го шап 2-го шак 1-й ВА с 15 по 26 сентября только огнем из НС-37 уничтожили шесть танков и САУ, 99 автомашин, 10 по</w:t>
      </w:r>
      <w:r w:rsidRPr="00271E51">
        <w:rPr>
          <w:rFonts w:ascii="Times New Roman" w:hAnsi="Times New Roman"/>
          <w:color w:val="000000" w:themeColor="text1"/>
          <w:sz w:val="16"/>
          <w:szCs w:val="16"/>
        </w:rPr>
        <w:softHyphen/>
        <w:t>возок и подавили огонь шести батарей. Свои потери составили три самолета.</w:t>
      </w:r>
    </w:p>
    <w:p w14:paraId="5E7F5F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1-го шак «наблюдением летчиков» отмечается «ряд характерных поражений целей». Так, 6 октября младший лейтенант Самородов короткой очередью из НС-37 перебил гу</w:t>
      </w:r>
      <w:r w:rsidRPr="00271E51">
        <w:rPr>
          <w:rFonts w:ascii="Times New Roman" w:hAnsi="Times New Roman"/>
          <w:color w:val="000000" w:themeColor="text1"/>
          <w:sz w:val="16"/>
          <w:szCs w:val="16"/>
        </w:rPr>
        <w:softHyphen/>
        <w:t>сеницу немецкого танка, который развернулся и прекратил дви</w:t>
      </w:r>
      <w:r w:rsidRPr="00271E51">
        <w:rPr>
          <w:rFonts w:ascii="Times New Roman" w:hAnsi="Times New Roman"/>
          <w:color w:val="000000" w:themeColor="text1"/>
          <w:sz w:val="16"/>
          <w:szCs w:val="16"/>
        </w:rPr>
        <w:softHyphen/>
        <w:t>жение. Через три дня лейтенант Восконин прицельным огнем с дистанции 250—300 м короткими очередями поджег два танка.</w:t>
      </w:r>
    </w:p>
    <w:p w14:paraId="57799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высокую эффективность пушек НС-37 при дей</w:t>
      </w:r>
      <w:r w:rsidRPr="00271E51">
        <w:rPr>
          <w:rFonts w:ascii="Times New Roman" w:hAnsi="Times New Roman"/>
          <w:color w:val="000000" w:themeColor="text1"/>
          <w:sz w:val="16"/>
          <w:szCs w:val="16"/>
        </w:rPr>
        <w:softHyphen/>
        <w:t>ствии по наземным целям, летный и командный состав 1-го и 2-го шак считал, что новый штурмовик по совокупности боевых качеств не имеет преимуществ перед Ил-2 с пушками ВЯ-23.</w:t>
      </w:r>
    </w:p>
    <w:p w14:paraId="6F99D6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их мнению, «наиболее эффективным вооружением... Ил-2 является пушка ВЯ, позволяющая получать... большую плотность огня на цели». В сочетании с применением ПТАБ это обеспечи</w:t>
      </w:r>
      <w:r w:rsidRPr="00271E51">
        <w:rPr>
          <w:rFonts w:ascii="Times New Roman" w:hAnsi="Times New Roman"/>
          <w:color w:val="000000" w:themeColor="text1"/>
          <w:sz w:val="16"/>
          <w:szCs w:val="16"/>
        </w:rPr>
        <w:softHyphen/>
        <w:t>вает более высокую вероятность поражения целей.</w:t>
      </w:r>
    </w:p>
    <w:p w14:paraId="7BB9C2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Получалось, что Ил-2 с НС-37 с успехом можно применять лишь в тех случаях, когда обстановка позволяет «выполнить несколько заходов &lt;...&gt;, так как за один заход выпускается ма</w:t>
      </w:r>
      <w:r w:rsidRPr="00271E51">
        <w:rPr>
          <w:rFonts w:ascii="Times New Roman" w:hAnsi="Times New Roman"/>
          <w:color w:val="000000" w:themeColor="text1"/>
          <w:sz w:val="16"/>
          <w:szCs w:val="16"/>
        </w:rPr>
        <w:softHyphen/>
        <w:t>ло снарядов, а бомбовая нагрузка значительно меньше нагруз</w:t>
      </w:r>
      <w:r w:rsidRPr="00271E51">
        <w:rPr>
          <w:rFonts w:ascii="Times New Roman" w:hAnsi="Times New Roman"/>
          <w:color w:val="000000" w:themeColor="text1"/>
          <w:sz w:val="16"/>
          <w:szCs w:val="16"/>
        </w:rPr>
        <w:softHyphen/>
        <w:t>ки Ил-2 с ВЯ и потому не обеспечивается надежное поражение цели».</w:t>
      </w:r>
    </w:p>
    <w:p w14:paraId="205940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командующего 1 -и ВА генерал-майор Богородецкий предлагал эскадрильи самолетов Ил-2 с НС-37 «иметь только в составе штурмовых авиакорпусов или самостоятельно с задачей использования против танков, по бронепоездам и паровозам строго сообразуясь с обстановкой».</w:t>
      </w:r>
    </w:p>
    <w:p w14:paraId="1B1530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Впечатление о новом самолете довольно сильно портилось имевшими место конструктивными недостатками пушечных установок и самих пушек НС-37.</w:t>
      </w:r>
    </w:p>
    <w:p w14:paraId="16F4A3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«неплавного подвода ленты из патронного ящика в подводящий рукав» довольно часто (90% всех случаев) происхо</w:t>
      </w:r>
      <w:r w:rsidRPr="00271E51">
        <w:rPr>
          <w:rFonts w:ascii="Times New Roman" w:hAnsi="Times New Roman"/>
          <w:color w:val="000000" w:themeColor="text1"/>
          <w:sz w:val="16"/>
          <w:szCs w:val="16"/>
        </w:rPr>
        <w:softHyphen/>
        <w:t>дил обрыв звеньев и вследствие этого прекращение огня из ле</w:t>
      </w:r>
      <w:r w:rsidRPr="00271E51">
        <w:rPr>
          <w:rFonts w:ascii="Times New Roman" w:hAnsi="Times New Roman"/>
          <w:color w:val="000000" w:themeColor="text1"/>
          <w:sz w:val="16"/>
          <w:szCs w:val="16"/>
        </w:rPr>
        <w:softHyphen/>
        <w:t>вой пушки. Встречались случаи «выпадения патрона из ленты (на левой пушке) и неотход подвижных частей пушки», а также непопадания звена в патронник по причине нестандартности звеньев. Как следствие, происходил отказ в работе пушек.</w:t>
      </w:r>
    </w:p>
    <w:p w14:paraId="423654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состав полков отмечал плохую термообработ</w:t>
      </w:r>
      <w:r w:rsidRPr="00271E51">
        <w:rPr>
          <w:rFonts w:ascii="Times New Roman" w:hAnsi="Times New Roman"/>
          <w:color w:val="000000" w:themeColor="text1"/>
          <w:sz w:val="16"/>
          <w:szCs w:val="16"/>
        </w:rPr>
        <w:softHyphen/>
        <w:t>ку металла, что являлось причиной поломки отдельных дета</w:t>
      </w:r>
      <w:r w:rsidRPr="00271E51">
        <w:rPr>
          <w:rFonts w:ascii="Times New Roman" w:hAnsi="Times New Roman"/>
          <w:color w:val="000000" w:themeColor="text1"/>
          <w:sz w:val="16"/>
          <w:szCs w:val="16"/>
        </w:rPr>
        <w:softHyphen/>
        <w:t xml:space="preserve">лей пушки. Например, вкладыш ударника </w:t>
      </w:r>
      <w:r w:rsidRPr="00271E51">
        <w:rPr>
          <w:rFonts w:ascii="Times New Roman" w:hAnsi="Times New Roman"/>
          <w:color w:val="000000" w:themeColor="text1"/>
          <w:sz w:val="16"/>
          <w:szCs w:val="16"/>
        </w:rPr>
        <w:lastRenderedPageBreak/>
        <w:t>выдерживал в сред</w:t>
      </w:r>
      <w:r w:rsidRPr="00271E51">
        <w:rPr>
          <w:rFonts w:ascii="Times New Roman" w:hAnsi="Times New Roman"/>
          <w:color w:val="000000" w:themeColor="text1"/>
          <w:sz w:val="16"/>
          <w:szCs w:val="16"/>
        </w:rPr>
        <w:softHyphen/>
        <w:t>нем только 120—235 выстрелов, после чего ломался. Очень часто перегорал электроспуск. Пришлось силами ПАРМ ста</w:t>
      </w:r>
      <w:r w:rsidRPr="00271E51">
        <w:rPr>
          <w:rFonts w:ascii="Times New Roman" w:hAnsi="Times New Roman"/>
          <w:color w:val="000000" w:themeColor="text1"/>
          <w:sz w:val="16"/>
          <w:szCs w:val="16"/>
        </w:rPr>
        <w:softHyphen/>
        <w:t>вить на пушках механический дублер.</w:t>
      </w:r>
    </w:p>
    <w:p w14:paraId="3961B7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случаях при отказе одной из пушек самолет разво</w:t>
      </w:r>
      <w:r w:rsidRPr="00271E51">
        <w:rPr>
          <w:rFonts w:ascii="Times New Roman" w:hAnsi="Times New Roman"/>
          <w:color w:val="000000" w:themeColor="text1"/>
          <w:sz w:val="16"/>
          <w:szCs w:val="16"/>
        </w:rPr>
        <w:softHyphen/>
        <w:t>рачивался в сторону неработающей пушки, но огонь можно было вести одиночными снарядами и короткими очередями в 2—3 снаряда. Однако стрельба получалась совершенно неточ</w:t>
      </w:r>
      <w:r w:rsidRPr="00271E51">
        <w:rPr>
          <w:rFonts w:ascii="Times New Roman" w:hAnsi="Times New Roman"/>
          <w:color w:val="000000" w:themeColor="text1"/>
          <w:sz w:val="16"/>
          <w:szCs w:val="16"/>
        </w:rPr>
        <w:softHyphen/>
        <w:t>ной, так как резко увеличивалось рассеивание — прицельным был только первый снаряд в очереди.</w:t>
      </w:r>
    </w:p>
    <w:p w14:paraId="74D85C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Столкнулись в полках и с довольно необычными эксплуа</w:t>
      </w:r>
      <w:r w:rsidRPr="00271E51">
        <w:rPr>
          <w:rFonts w:ascii="Times New Roman" w:hAnsi="Times New Roman"/>
          <w:color w:val="000000" w:themeColor="text1"/>
          <w:sz w:val="16"/>
          <w:szCs w:val="16"/>
        </w:rPr>
        <w:softHyphen/>
        <w:t>тационными трудностями. Оказалось, что обслуживание пу</w:t>
      </w:r>
      <w:r w:rsidRPr="00271E51">
        <w:rPr>
          <w:rFonts w:ascii="Times New Roman" w:hAnsi="Times New Roman"/>
          <w:color w:val="000000" w:themeColor="text1"/>
          <w:sz w:val="16"/>
          <w:szCs w:val="16"/>
        </w:rPr>
        <w:softHyphen/>
        <w:t>шек НС-37 девушкам-оружейницам не по силам: «практикой установлено, что для обслуживания пушек необходимо иметь штат вооруженцев из мужчин». При этом если полк работал всеми самолетами и выполнял 2—3 полковых вылета в день, то существующий штат специалистов по вооружению не справ</w:t>
      </w:r>
      <w:r w:rsidRPr="00271E51">
        <w:rPr>
          <w:rFonts w:ascii="Times New Roman" w:hAnsi="Times New Roman"/>
          <w:color w:val="000000" w:themeColor="text1"/>
          <w:sz w:val="16"/>
          <w:szCs w:val="16"/>
        </w:rPr>
        <w:softHyphen/>
        <w:t>лялся с подготовкой самолетов к повторным боевым вылетам.</w:t>
      </w:r>
    </w:p>
    <w:p w14:paraId="2B4E52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температура наружного воздуха упала ниже минус 10°С, начались массовые отказы пушек НС-37. Дело в том, что гидротормоз пушки снаряжался на заводе водоглицериновой смесью, непригодной для работы при низкой температуре.</w:t>
      </w:r>
    </w:p>
    <w:p w14:paraId="76BA25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всегда, положение спасла смекалка русского солдата. Используя опыт «самолетчиков», которые применяли в гидро</w:t>
      </w:r>
      <w:r w:rsidRPr="00271E51">
        <w:rPr>
          <w:rFonts w:ascii="Times New Roman" w:hAnsi="Times New Roman"/>
          <w:color w:val="000000" w:themeColor="text1"/>
          <w:sz w:val="16"/>
          <w:szCs w:val="16"/>
        </w:rPr>
        <w:softHyphen/>
        <w:t>тормозах шасси спиртоглицериновую смесь, вооруженны опытным путем определили необходимое процентное соотно</w:t>
      </w:r>
      <w:r w:rsidRPr="00271E51">
        <w:rPr>
          <w:rFonts w:ascii="Times New Roman" w:hAnsi="Times New Roman"/>
          <w:color w:val="000000" w:themeColor="text1"/>
          <w:sz w:val="16"/>
          <w:szCs w:val="16"/>
        </w:rPr>
        <w:softHyphen/>
        <w:t>шение спирта и глицерина в аналогичной смеси для пушки. Работа автоматики пушки и величина отката проверялась пу тем отстрела на земле при различном соотношении спирта и глицерина. Пушка уложилась в требуемые параметры и начала безотказно работать при составе смеси 90% спирта и 10% гли</w:t>
      </w:r>
      <w:r w:rsidRPr="00271E51">
        <w:rPr>
          <w:rFonts w:ascii="Times New Roman" w:hAnsi="Times New Roman"/>
          <w:color w:val="000000" w:themeColor="text1"/>
          <w:sz w:val="16"/>
          <w:szCs w:val="16"/>
        </w:rPr>
        <w:softHyphen/>
        <w:t>церина. По сути это практически чистый спирт.</w:t>
      </w:r>
    </w:p>
    <w:p w14:paraId="5E36F1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вынужденное применение спиртовой смеси в пушках НС-37 приводило и к известным заботам комсостава полков по обеспечению контроля использования смеси по прямому назначению. Естественно, это не всегда удавалось...</w:t>
      </w:r>
    </w:p>
    <w:p w14:paraId="7CCEB6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по рекомендации ОКБ-16 и НИИ АВ в гид</w:t>
      </w:r>
      <w:r w:rsidRPr="00271E51">
        <w:rPr>
          <w:rFonts w:ascii="Times New Roman" w:hAnsi="Times New Roman"/>
          <w:color w:val="000000" w:themeColor="text1"/>
          <w:sz w:val="16"/>
          <w:szCs w:val="16"/>
        </w:rPr>
        <w:softHyphen/>
        <w:t>ротормоз пушки стали заливать тракторный керосин № 1. Для оказания помощи строевым частям в этом вопросе от ОКБ-16 в действующую армию срочно выехали небольшие бригады спе</w:t>
      </w:r>
      <w:r w:rsidRPr="00271E51">
        <w:rPr>
          <w:rFonts w:ascii="Times New Roman" w:hAnsi="Times New Roman"/>
          <w:color w:val="000000" w:themeColor="text1"/>
          <w:sz w:val="16"/>
          <w:szCs w:val="16"/>
        </w:rPr>
        <w:softHyphen/>
        <w:t>циалистов.</w:t>
      </w:r>
    </w:p>
    <w:p w14:paraId="213FB2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в НИИ АВ уже накопилась некоторая ста</w:t>
      </w:r>
      <w:r w:rsidRPr="00271E51">
        <w:rPr>
          <w:rFonts w:ascii="Times New Roman" w:hAnsi="Times New Roman"/>
          <w:color w:val="000000" w:themeColor="text1"/>
          <w:sz w:val="16"/>
          <w:szCs w:val="16"/>
        </w:rPr>
        <w:softHyphen/>
        <w:t>тистика работы пушки НС-37 и пушечной установки на самоле</w:t>
      </w:r>
      <w:r w:rsidRPr="00271E51">
        <w:rPr>
          <w:rFonts w:ascii="Times New Roman" w:hAnsi="Times New Roman"/>
          <w:color w:val="000000" w:themeColor="text1"/>
          <w:sz w:val="16"/>
          <w:szCs w:val="16"/>
        </w:rPr>
        <w:softHyphen/>
        <w:t>те при контрольных испытаниях вооружения. Оказалось, что на некоторых Ил-2 после 1500—3000 выстрелов нарушалась проч</w:t>
      </w:r>
      <w:r w:rsidRPr="00271E51">
        <w:rPr>
          <w:rFonts w:ascii="Times New Roman" w:hAnsi="Times New Roman"/>
          <w:color w:val="000000" w:themeColor="text1"/>
          <w:sz w:val="16"/>
          <w:szCs w:val="16"/>
        </w:rPr>
        <w:softHyphen/>
        <w:t>ность заклепочных швов, связывавших переднее крепление пу</w:t>
      </w:r>
      <w:r w:rsidRPr="00271E51">
        <w:rPr>
          <w:rFonts w:ascii="Times New Roman" w:hAnsi="Times New Roman"/>
          <w:color w:val="000000" w:themeColor="text1"/>
          <w:sz w:val="16"/>
          <w:szCs w:val="16"/>
        </w:rPr>
        <w:softHyphen/>
        <w:t>шечной установки с лонжероном и нервюрами крыла. Это при</w:t>
      </w:r>
      <w:r w:rsidRPr="00271E51">
        <w:rPr>
          <w:rFonts w:ascii="Times New Roman" w:hAnsi="Times New Roman"/>
          <w:color w:val="000000" w:themeColor="text1"/>
          <w:sz w:val="16"/>
          <w:szCs w:val="16"/>
        </w:rPr>
        <w:softHyphen/>
        <w:t>водило к ослаблению жесткости установок и их перемещению относительно крыла во время стрельбы с последующим разру</w:t>
      </w:r>
      <w:r w:rsidRPr="00271E51">
        <w:rPr>
          <w:rFonts w:ascii="Times New Roman" w:hAnsi="Times New Roman"/>
          <w:color w:val="000000" w:themeColor="text1"/>
          <w:sz w:val="16"/>
          <w:szCs w:val="16"/>
        </w:rPr>
        <w:softHyphen/>
        <w:t>шением силовых элементов крыла. Очевидно, это конструктив</w:t>
      </w:r>
      <w:r w:rsidRPr="00271E51">
        <w:rPr>
          <w:rFonts w:ascii="Times New Roman" w:hAnsi="Times New Roman"/>
          <w:color w:val="000000" w:themeColor="text1"/>
          <w:sz w:val="16"/>
          <w:szCs w:val="16"/>
        </w:rPr>
        <w:softHyphen/>
        <w:t>ная недоработка.</w:t>
      </w:r>
    </w:p>
    <w:p w14:paraId="23C2A9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сложившейся ситуации Ильюшин сделал попытку пере</w:t>
      </w:r>
      <w:r w:rsidRPr="00271E51">
        <w:rPr>
          <w:rFonts w:ascii="Times New Roman" w:hAnsi="Times New Roman"/>
          <w:color w:val="000000" w:themeColor="text1"/>
          <w:sz w:val="16"/>
          <w:szCs w:val="16"/>
        </w:rPr>
        <w:softHyphen/>
        <w:t>вести «стрелку» на ОКБ-16. Свою позицию он мотивировал излишне большой силой отдачи пушки при стрельбе, которая значительно превышает расчетные значения.</w:t>
      </w:r>
    </w:p>
    <w:p w14:paraId="7DDDC9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свою очередь, Главный конструктор ОКБ-16 А.Э. Нудельман сослался на материалы полигонных испытаний НИИ АВ и успешный опыт эксплуатации самолетов ЛаГГ-3, Як-9т и Ил-2 с пушкой НС-37 в строевых частях.</w:t>
      </w:r>
    </w:p>
    <w:p w14:paraId="409B12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стоит сказать, что на фронте указанные явления в массовом порядке проявиться просто не могли, так как боевая живучесть самолетов Ил-2 летом — осенью 1943 г. не превы</w:t>
      </w:r>
      <w:r w:rsidRPr="00271E51">
        <w:rPr>
          <w:rFonts w:ascii="Times New Roman" w:hAnsi="Times New Roman"/>
          <w:color w:val="000000" w:themeColor="text1"/>
          <w:sz w:val="16"/>
          <w:szCs w:val="16"/>
        </w:rPr>
        <w:softHyphen/>
        <w:t>шала 30 вылетов, в ходе которых настрелять из одной пушки более 1500 выстрелов было совершенно невозможно. Как сле</w:t>
      </w:r>
      <w:r w:rsidRPr="00271E51">
        <w:rPr>
          <w:rFonts w:ascii="Times New Roman" w:hAnsi="Times New Roman"/>
          <w:color w:val="000000" w:themeColor="text1"/>
          <w:sz w:val="16"/>
          <w:szCs w:val="16"/>
        </w:rPr>
        <w:softHyphen/>
        <w:t>дует из материалов войсковых испытаний, средний расход бое</w:t>
      </w:r>
      <w:r w:rsidRPr="00271E51">
        <w:rPr>
          <w:rFonts w:ascii="Times New Roman" w:hAnsi="Times New Roman"/>
          <w:color w:val="000000" w:themeColor="text1"/>
          <w:sz w:val="16"/>
          <w:szCs w:val="16"/>
        </w:rPr>
        <w:softHyphen/>
        <w:t>комплекта к пушкам НС-37 в одном боевом вылете составил 62 снаряда (разброс от 7 до 73% от полного боезапаса). При этом расход свыше половины боекомплекта отмечался лишь в 22,1% боевых вылетов, а полный расход — в 3,3% вылетов. То есть к моменту потери самолета настрел на одну пушку НС-37 мог составить не более 1000—1100 выстрелов.</w:t>
      </w:r>
    </w:p>
    <w:p w14:paraId="180F81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Отвечая на запрос Ильюшина, начальник НИИ АВ гене</w:t>
      </w:r>
      <w:r w:rsidRPr="00271E51">
        <w:rPr>
          <w:rFonts w:ascii="Times New Roman" w:hAnsi="Times New Roman"/>
          <w:color w:val="000000" w:themeColor="text1"/>
          <w:sz w:val="16"/>
          <w:szCs w:val="16"/>
        </w:rPr>
        <w:softHyphen/>
        <w:t>рал-майор М.В. Гуревич и его заместитель по научно-исследовательской работе доктор технических наук полковник В.С. Пу</w:t>
      </w:r>
      <w:r w:rsidRPr="00271E51">
        <w:rPr>
          <w:rFonts w:ascii="Times New Roman" w:hAnsi="Times New Roman"/>
          <w:color w:val="000000" w:themeColor="text1"/>
          <w:sz w:val="16"/>
          <w:szCs w:val="16"/>
        </w:rPr>
        <w:softHyphen/>
        <w:t>гачев в письме от 12 ноября были вынуждены пояснить, что «сила отдачи не может быть охарактеризована одним числом независимо от конструкции установки и в каждом конкретном случае должна вычисляться конструктором установки».</w:t>
      </w:r>
    </w:p>
    <w:p w14:paraId="25D554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сравнительных испытаний по определению силы от</w:t>
      </w:r>
      <w:r w:rsidRPr="00271E51">
        <w:rPr>
          <w:rFonts w:ascii="Times New Roman" w:hAnsi="Times New Roman"/>
          <w:color w:val="000000" w:themeColor="text1"/>
          <w:sz w:val="16"/>
          <w:szCs w:val="16"/>
        </w:rPr>
        <w:softHyphen/>
        <w:t>дачи 37 и 23-мм пушек в равных условиях закрепления на на</w:t>
      </w:r>
      <w:r w:rsidRPr="00271E51">
        <w:rPr>
          <w:rFonts w:ascii="Times New Roman" w:hAnsi="Times New Roman"/>
          <w:color w:val="000000" w:themeColor="text1"/>
          <w:sz w:val="16"/>
          <w:szCs w:val="16"/>
        </w:rPr>
        <w:softHyphen/>
        <w:t>земном станке оказалось, что'пушки 11-П и ВЯ-23 имеют оди</w:t>
      </w:r>
      <w:r w:rsidRPr="00271E51">
        <w:rPr>
          <w:rFonts w:ascii="Times New Roman" w:hAnsi="Times New Roman"/>
          <w:color w:val="000000" w:themeColor="text1"/>
          <w:sz w:val="16"/>
          <w:szCs w:val="16"/>
        </w:rPr>
        <w:softHyphen/>
        <w:t>наковую максимальную величину усилия отдачи 5500 кг, а отда</w:t>
      </w:r>
      <w:r w:rsidRPr="00271E51">
        <w:rPr>
          <w:rFonts w:ascii="Times New Roman" w:hAnsi="Times New Roman"/>
          <w:color w:val="000000" w:themeColor="text1"/>
          <w:sz w:val="16"/>
          <w:szCs w:val="16"/>
        </w:rPr>
        <w:softHyphen/>
        <w:t>ча пушки Ш-37 не превышала 2325 кг. Причем максимальная сила отдачи действовала в течение весьма короткого промежут</w:t>
      </w:r>
      <w:r w:rsidRPr="00271E51">
        <w:rPr>
          <w:rFonts w:ascii="Times New Roman" w:hAnsi="Times New Roman"/>
          <w:color w:val="000000" w:themeColor="text1"/>
          <w:sz w:val="16"/>
          <w:szCs w:val="16"/>
        </w:rPr>
        <w:softHyphen/>
        <w:t>ка времени.</w:t>
      </w:r>
    </w:p>
    <w:p w14:paraId="0419F7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Отмечалось, что в условиях стрельбы с самолетных пушеч</w:t>
      </w:r>
      <w:r w:rsidRPr="00271E51">
        <w:rPr>
          <w:rFonts w:ascii="Times New Roman" w:hAnsi="Times New Roman"/>
          <w:color w:val="000000" w:themeColor="text1"/>
          <w:sz w:val="16"/>
          <w:szCs w:val="16"/>
        </w:rPr>
        <w:softHyphen/>
        <w:t xml:space="preserve">ных установок сила отдачи пушек будет несколько меньше. Ее величина определяется жесткостью установки. Так, отдача пушки </w:t>
      </w:r>
      <w:r w:rsidRPr="00271E51">
        <w:rPr>
          <w:rFonts w:ascii="Times New Roman" w:hAnsi="Times New Roman"/>
          <w:iCs/>
          <w:color w:val="000000" w:themeColor="text1"/>
          <w:sz w:val="16"/>
          <w:szCs w:val="16"/>
        </w:rPr>
        <w:t xml:space="preserve">ВЯ-23 </w:t>
      </w:r>
      <w:r w:rsidRPr="00271E51">
        <w:rPr>
          <w:rFonts w:ascii="Times New Roman" w:hAnsi="Times New Roman"/>
          <w:color w:val="000000" w:themeColor="text1"/>
          <w:sz w:val="16"/>
          <w:szCs w:val="16"/>
        </w:rPr>
        <w:t>на самолете Ил-2 оценивалась «приблизительно от 3000 до 4000 кг».</w:t>
      </w:r>
    </w:p>
    <w:p w14:paraId="733A8A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максимальное значение силы отдачи пушки 11-П могло быть уменьшено путем соответствующей регули</w:t>
      </w:r>
      <w:r w:rsidRPr="00271E51">
        <w:rPr>
          <w:rFonts w:ascii="Times New Roman" w:hAnsi="Times New Roman"/>
          <w:color w:val="000000" w:themeColor="text1"/>
          <w:sz w:val="16"/>
          <w:szCs w:val="16"/>
        </w:rPr>
        <w:softHyphen/>
        <w:t>ровки гидравлического тормоза.</w:t>
      </w:r>
    </w:p>
    <w:p w14:paraId="27E140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мнению военных специалистов, среднее значение силы отдачи пушки 11-П не могло превышать 2500 кг, а для пушки Ш-37 «максимальное значение силы отдачи близко к среднему ее значению».</w:t>
      </w:r>
    </w:p>
    <w:p w14:paraId="0778FD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«Приведенные выше цифры имеют целью дать объектив</w:t>
      </w:r>
      <w:r w:rsidRPr="00271E51">
        <w:rPr>
          <w:rFonts w:ascii="Times New Roman" w:hAnsi="Times New Roman"/>
          <w:color w:val="000000" w:themeColor="text1"/>
          <w:sz w:val="16"/>
          <w:szCs w:val="16"/>
        </w:rPr>
        <w:softHyphen/>
        <w:t>ную сравнительную оценку действия пушек при выстреле на установку», — обращали внимание Главного конструктора са</w:t>
      </w:r>
      <w:r w:rsidRPr="00271E51">
        <w:rPr>
          <w:rFonts w:ascii="Times New Roman" w:hAnsi="Times New Roman"/>
          <w:color w:val="000000" w:themeColor="text1"/>
          <w:sz w:val="16"/>
          <w:szCs w:val="16"/>
        </w:rPr>
        <w:softHyphen/>
        <w:t>молета М.В. Гуревич и В.С. Пугачев.</w:t>
      </w:r>
    </w:p>
    <w:p w14:paraId="479023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Получалось так, что самолеты Ил-2 с пушками ВЯ-23 с от</w:t>
      </w:r>
      <w:r w:rsidRPr="00271E51">
        <w:rPr>
          <w:rFonts w:ascii="Times New Roman" w:hAnsi="Times New Roman"/>
          <w:color w:val="000000" w:themeColor="text1"/>
          <w:sz w:val="16"/>
          <w:szCs w:val="16"/>
        </w:rPr>
        <w:softHyphen/>
        <w:t>дачей примерно такой же, как и у пушек НС-37, уже пару лет честно воевали без особых претензий со стороны летного со</w:t>
      </w:r>
      <w:r w:rsidRPr="00271E51">
        <w:rPr>
          <w:rFonts w:ascii="Times New Roman" w:hAnsi="Times New Roman"/>
          <w:color w:val="000000" w:themeColor="text1"/>
          <w:sz w:val="16"/>
          <w:szCs w:val="16"/>
        </w:rPr>
        <w:softHyphen/>
        <w:t>става. Другое дело, неудачной оказалась сама установка НС-37 на Ил-2 — недостаточная жесткость установки, расположение пушек под крылом и на большом удалении от строительной оси самолета, в то время как запас продольной устойчивости самолета был невелик. Именно по этим причинам стрельба из НС-37 значительно сильнее сказывалась «на матчасти самоле</w:t>
      </w:r>
      <w:r w:rsidRPr="00271E51">
        <w:rPr>
          <w:rFonts w:ascii="Times New Roman" w:hAnsi="Times New Roman"/>
          <w:color w:val="000000" w:themeColor="text1"/>
          <w:sz w:val="16"/>
          <w:szCs w:val="16"/>
        </w:rPr>
        <w:softHyphen/>
        <w:t>та Ил-2», чем при стрельбе из пушек ВЯ-23.</w:t>
      </w:r>
    </w:p>
    <w:p w14:paraId="7FC102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Несомненно, при подготовке ответа военные учитывали и результаты государственных испытаний двухместного брони</w:t>
      </w:r>
      <w:r w:rsidRPr="00271E51">
        <w:rPr>
          <w:rFonts w:ascii="Times New Roman" w:hAnsi="Times New Roman"/>
          <w:color w:val="000000" w:themeColor="text1"/>
          <w:sz w:val="16"/>
          <w:szCs w:val="16"/>
        </w:rPr>
        <w:softHyphen/>
        <w:t>рованного штурмовика Су-6 М-71ф, который также был воо</w:t>
      </w:r>
      <w:r w:rsidRPr="00271E51">
        <w:rPr>
          <w:rFonts w:ascii="Times New Roman" w:hAnsi="Times New Roman"/>
          <w:color w:val="000000" w:themeColor="text1"/>
          <w:sz w:val="16"/>
          <w:szCs w:val="16"/>
        </w:rPr>
        <w:softHyphen/>
        <w:t>ружен двумя пушками НС-37. В отличие от Ил-2, на «сухом» пушки размещались в крыле и ближе к оси самолета, что в со</w:t>
      </w:r>
      <w:r w:rsidRPr="00271E51">
        <w:rPr>
          <w:rFonts w:ascii="Times New Roman" w:hAnsi="Times New Roman"/>
          <w:color w:val="000000" w:themeColor="text1"/>
          <w:sz w:val="16"/>
          <w:szCs w:val="16"/>
        </w:rPr>
        <w:softHyphen/>
        <w:t>вокупности с более высоким запасом устойчивости штурмови</w:t>
      </w:r>
      <w:r w:rsidRPr="00271E51">
        <w:rPr>
          <w:rFonts w:ascii="Times New Roman" w:hAnsi="Times New Roman"/>
          <w:color w:val="000000" w:themeColor="text1"/>
          <w:sz w:val="16"/>
          <w:szCs w:val="16"/>
        </w:rPr>
        <w:softHyphen/>
        <w:t>ка обеспечивало высокую эффективность стрельбы в воздухе по малоразмерным целям. Во время полигонных испытаний Су-6 никаких нареканий, связанных с влиянием силы отдачи пушек на самолет при стрельбе в воздухе, летчиками-испыта</w:t>
      </w:r>
      <w:r w:rsidRPr="00271E51">
        <w:rPr>
          <w:rFonts w:ascii="Times New Roman" w:hAnsi="Times New Roman"/>
          <w:color w:val="000000" w:themeColor="text1"/>
          <w:sz w:val="16"/>
          <w:szCs w:val="16"/>
        </w:rPr>
        <w:softHyphen/>
        <w:t>телями не высказывалось: «...На пикировании при стрельбе са</w:t>
      </w:r>
      <w:r w:rsidRPr="00271E51">
        <w:rPr>
          <w:rFonts w:ascii="Times New Roman" w:hAnsi="Times New Roman"/>
          <w:color w:val="000000" w:themeColor="text1"/>
          <w:sz w:val="16"/>
          <w:szCs w:val="16"/>
        </w:rPr>
        <w:softHyphen/>
        <w:t>молет устойчив, отдача даже при стрельбе из всех точек незна</w:t>
      </w:r>
      <w:r w:rsidRPr="00271E51">
        <w:rPr>
          <w:rFonts w:ascii="Times New Roman" w:hAnsi="Times New Roman"/>
          <w:color w:val="000000" w:themeColor="text1"/>
          <w:sz w:val="16"/>
          <w:szCs w:val="16"/>
        </w:rPr>
        <w:softHyphen/>
        <w:t>чительна» (11474,349).</w:t>
      </w:r>
    </w:p>
    <w:p w14:paraId="2A80B9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48D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на имя командующего ВВС маршала Новикова из действующей армии ушло донесение командира 1-го шак генерал-лейтенанта Рязанова "О результатах эффективности применения самолета Ил-2 с 37-мм авиационной пушкой ОКБ-16 11П в боевых условиях по сравнению с самолетом Ил-2 с пушками ВЯ и ШВАК". Еще через пару недель специалисты 4-го отдела НИИ ВВС подготовили довольно обширный "Доклад по результатам изучения опыта боевого применения Ил-2 с 37-мм пушками ОКБ-16 во 2-м Смоленском ШАК". Следом за ним последовал и доклад штаба 2-го штурмового авиакорпуса.</w:t>
      </w:r>
    </w:p>
    <w:p w14:paraId="71C89B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Строевые летчики отмечали, что новый вариант Ил-2, по сравнению с самолетом, вооруженным пушками ШВАК или ВЯ-23, обладает ухудшенными летно-пилотажными качествами, что затруднило выполнение противозенитного маневра, особенно в составе группы, усложнило выход в атаку, прицеливание и уточнение наводки самолета на цель при стрельбе из пушек.</w:t>
      </w:r>
    </w:p>
    <w:p w14:paraId="37F0CF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сильной отдачи НС-37 летчики всерьез опасались, что в случае длинной очереди, крыло может не выдержать и разрушиться.</w:t>
      </w:r>
    </w:p>
    <w:p w14:paraId="2C63F7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Возможности Ил-2 с пушками НС-37 в воздушном бою с немецкими самолетами, по сравнению с обычными серийными "Илами", снизились. В этой связи, летчики указывали, что прикрывающая группа истребителей должна быть увеличена в сравнении с общепринятыми нормами. Приемы же воздушного боя Ил-2 с НС-37 практически не отличались от приемов, применяемых Ил-2 с ВЯ-23 или ШВАК. Однако, ввиду того, что при стрельбе из НС-37 на кабрировании резко падала скорость штурмовика, оборонительный "круг" получался более растянутым, что требовало от летчиков большей собранности и внимательности. Самым неприятным было то обстоятельство, что в случае отказа одной из пушек при стрельбе на кабрировании "самолет имел тенденцию к срыву в штопор".</w:t>
      </w:r>
    </w:p>
    <w:p w14:paraId="12219B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тоже время сами пушки НС-37 в бою зарекомендовали себя как мощное и эффективное оружие. Так, летчики 568-го шап 2-го шак 1-й ВА с 15 по 26 сентября только огнем из НС-37 уничтожили шесть танков и САУ, 99 автомашин, 10 повозок и подавили огонь шести батарей. Свои потери составили три самолета.</w:t>
      </w:r>
    </w:p>
    <w:p w14:paraId="2E4D42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1-го шак "наблюдением летчиков" отмечается "ряд характерных поражений целей": 6 октября мл. лейтенант Самородов короткой очередью из НС-37 перебил гусеницу немецкого танка, который развернулся и прекратил движение; 9 октября лейтенант Восконин прицельным огнем с дистанции 250-300 м короткими очередями поджег два танка и т.д.</w:t>
      </w:r>
    </w:p>
    <w:p w14:paraId="64FD5C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высокую эффективность пушек НС-37 при действии по наземным целям, летный и командный состав 1-го и 2-го шак считал, что новый штурмовик по совокупности боевых качеств не имеет преимуществ перед Ил-2 с пушками ВЯ-23.</w:t>
      </w:r>
    </w:p>
    <w:p w14:paraId="66DD19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их мнению "наиболее эффективным вооружением ...Ил-2 является пушка ВЯ, позволяющая получать ...большую плотность огня на цели". В сочетании с применением ПТАБ это обеспечивает более высокую вероятность поражения целей.</w:t>
      </w:r>
    </w:p>
    <w:p w14:paraId="4B1BE0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Получалось, что Ил-2 с НС-37 с успехом можно применять лишь в тех случаях, когда обстановка позволяет "выполнить несколько заходов..., так как за один заход выпускается мало снарядов, а бомбовая нагрузка значительно меньше нагрузки Ил-2 с ВЯ и потому не обеспечивается надежное поражение цели".</w:t>
      </w:r>
    </w:p>
    <w:p w14:paraId="077564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командующего 1-й ВА генерал-майор Богородецкий предлагал эскадрильи самолетов Ил-2 с НС-37 "иметь только в составе штурмовых авиакорпусов или самостоятельно с задачей использования против танков, бронепоездам и паровозам строго сообразуясь с обстановкой".</w:t>
      </w:r>
    </w:p>
    <w:p w14:paraId="3D8BA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Впечатление о новом самолете довольно сильно портилось имевшими место конструктивными недостатками пушечных установок и самих пушек НС-37.</w:t>
      </w:r>
    </w:p>
    <w:p w14:paraId="31967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Из-за "неплавного подвода ленты из патронного ящика в подводящий рукав" довольно часто (90% всех случаев) происходил обрыв звеньев и вследствие этого прекращение огня из левой пушки. Встречались случаи "выпадения патрона из ленты (на левой пушке) и неотход подвижных частей пушки", а также непопадания звена в патронник по причине нестандартности звеньев. Как следствие, происходил отказ в работе пушек.</w:t>
      </w:r>
    </w:p>
    <w:p w14:paraId="7477ED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состав полков отмечал плохую термообработку металла, что являлось причиной поломки отдельных деталей пушки. Например, вкладыш ударника выдерживал в среднем только 120-235 выстрелов, после чего ломался. Очень часто перегорал электроспуск. Пришлось силами ПАРМ ставить на пушках механический дублер.</w:t>
      </w:r>
    </w:p>
    <w:p w14:paraId="37D285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случаях при отказе одной из пушек самолет разворачивался в сторону неработающей пушки, но огонь можно было вести одиночными снарядами и короткими очередями в 2-3 снаряда. Однако стрельба получалась совершенно неточной, так как резко увеличивалось рассеивание - прицельным был только первый снаряд в очереди.</w:t>
      </w:r>
    </w:p>
    <w:p w14:paraId="22611B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Столкнулись в полках и с довольно необычными эксплуатационными трудностями. Оказалось, что обслуживание пушек НС-37 девушками-оружейницами непосильно: "практикой установлено, что для обслуживания пушек необходимо иметь штат вооруженцев из мужчин". При этом если полк работал всеми самолетами и выполнял 2-3 полковых вылета в день, то существующий штат специалистов по вооружению не справлялся с подготовкой самолетов к повторным боевым вылетам.</w:t>
      </w:r>
    </w:p>
    <w:p w14:paraId="025D12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температура наружного воздуха упала ниже минус 10°С начались массовые отказы пушек НС-37. Дело в том, что гидротормоз пушки снаряжался на заводе водо- глицериновой смесью, непригодной для работы при низкой температуре.</w:t>
      </w:r>
    </w:p>
    <w:p w14:paraId="47A8E5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всегда, положение спасла смекалка русского солдата. Используя опыт "самолетчиков", которые применяли в гидротормозах шасси спиртоглицериновую смесь, во- оруженцы опытным путем определили необходимое процентное соотношение спирта и глицерина в аналогичной смеси для пушки. Работа автоматики пушки и величина отката проверялась путем отстрела на земле при различном соотношении спирта и глицерина. Пушка уложилась в требуемые параметры и начала безотказно работать при составе смеси 90% спирта и 10% глицерина. По сути, это практически чистый спирт.</w:t>
      </w:r>
    </w:p>
    <w:p w14:paraId="3585A5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вынужденное применение спиртовой смеси в пушках НС-37 приводило и к известным заботам комсостава полков по обеспечению контроля использования смеси по прямому назначению. Естественно, это не всегда удавалось...</w:t>
      </w:r>
    </w:p>
    <w:p w14:paraId="631A97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по рекомендации ОКБ-16 и НИИ АВ в гидротормоз пушки стали заливать тракторный керосин №1. Для оказания помощи строевым частям в этом вопросе от ОКБ-16 в действующую армию срочно выехали небольшие бригады специалистов.</w:t>
      </w:r>
    </w:p>
    <w:p w14:paraId="0E22B7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в НИП АВ уже накопилась некоторая статистика работы пушки НС-37 и пушечной установки на самолете при контрольных испытаниях вооружения. Оказалось, что на некоторых Ил-2 после 1500-3000 выстрелов нарушалась прочность заклепочных швов, связывавших переднее крепление пушечной установки с лонжероном и нервюрами крыла. Это приводило к ослаблению жесткости установок и их перемещению относительно крыла во время стрельбы с последующим разрушением силовых элементов крыла. Очевидно, это конструктивная недоработка.</w:t>
      </w:r>
    </w:p>
    <w:p w14:paraId="64E87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сложившейся ситуации Ильюшин сделал попытку перевести "стрелку" на ОКБ-16. Свою позицию он мотивировал излишне большой силой отдачи пушки при стрельбе, которая превышает расчеты.</w:t>
      </w:r>
    </w:p>
    <w:p w14:paraId="45D7E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свою очередь, Главный конструктор ОКБ-16 А. Э. Нудельман сослался на материалы полигонных испытаний НИИ АВ и успешный опыт эксплуатации самолетов ЛаГГ-3, Як-9т и Ил-2 с пушкой НС-37 в строевых частях.</w:t>
      </w:r>
    </w:p>
    <w:p w14:paraId="078741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стоит сказать, что на фронте указанные явления в массовом порядке проявиться просто не могли, так как боевая живучесть самолетов Ил-2 летом-осенью 1943 г. не превышала 30 вылетов, в ходе которых настрелять из одной пушки более 1500 выстрелов было совершенно невозможно. Как следует из материалов войсковых испытаний, средний расход боекомплекта к пушкам НС-37 в одном боевом вылете составил 62 снаряда (разброс от 7 до 73% от полного боезапаса). При этом расход свыше половины боекомплекта отмечался лишь в 22,1% боевых вылетах, а полный расход - в 3,3% вылетах. То есть, к моменту потери самолета настрел на одну пушку НС-37 мог составить не более 1000-1100 выстрелов.</w:t>
      </w:r>
    </w:p>
    <w:p w14:paraId="6AE6E8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Отвечая на запрос Ильюшина, начальник НИИ АВ генерал-майор М. В. Гуревич и его заместитель по научно-исследовательской работе доктор технических наук полковник В. С. Пугачев в письме от 12 ноября были вынуждены пояснить, что "сила отдачи не может быть охарактеризована одним числом независимо от конструкции установки и в каждом конкретном случае должна вычисляться конструктором установки".</w:t>
      </w:r>
    </w:p>
    <w:p w14:paraId="377A8B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сравнительных испытаний по определению силы отдачи 37-мм и 23-мм пушек в равных условиях закрепления на наземном станке оказалось, что пушки НС-37 и ВЯ-23 имеют одинаковую максимальную величину усилия отдачи 5500 кг, а отдача пушки Ш-37 не превышала 2325 кг. Причем максимальная сила отдачи действовала в течение весьма короткого промежутка времени.</w:t>
      </w:r>
    </w:p>
    <w:p w14:paraId="734E15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Получалось так, что самолеты Ил-2 с Ил-2 с пушками НС-27 пушками ВЯ-23 с отдачей примерно такой из состава 566-го шап же, как и у пушек НС-37 уже пару лет честно на полевом аэродроме воевали без особых претензий со стороны летного состава. Другое дело, неудачной оказалась сама установка НС-37 на Ил-2 - недостаточная жесткость установки, расположение пушек под крылом и на большом удалении от строительной оси самолета, в то время как запас продольной устойчивости самолета был невелик. Именно по этим причинам стрельба из НС-37 значительно сильнее сказывалась "на матчасть самолета Ил-2", чем при стрельбе из пушек ВЯ-23.</w:t>
      </w:r>
    </w:p>
    <w:p w14:paraId="15AE5B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Несомненно, при подготовке ответа военные учитывали и результаты государственных испытаний двухместного бронированного штурмовика Су-6 М-71ф, который также был вооружен двумя пушками НС-37. В отличие от Ил-2, на "сухом" пушки размещались в крыле и ближе к оси самолета, что в совокупности с более высоким запасом устойчивости штурмовика обеспечивало высокую эффективность стрельбы в воздухе по малоразмерным целям. Во время полигонных испытаний Су-6 никаких нареканий, связанных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(12020).</w:t>
      </w:r>
    </w:p>
    <w:p w14:paraId="5CE91C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DCB77"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16 октября 1943 на имя командующего ВВС мар</w:t>
      </w:r>
      <w:r w:rsidRPr="00271E51">
        <w:rPr>
          <w:color w:val="000000" w:themeColor="text1"/>
          <w:sz w:val="16"/>
          <w:szCs w:val="16"/>
        </w:rPr>
        <w:softHyphen/>
        <w:t>шала Новикова из действующей армии ушло доне</w:t>
      </w:r>
      <w:r w:rsidRPr="00271E51">
        <w:rPr>
          <w:color w:val="000000" w:themeColor="text1"/>
          <w:sz w:val="16"/>
          <w:szCs w:val="16"/>
        </w:rPr>
        <w:softHyphen/>
        <w:t>сение командира 1-го шак генерал-лейтенанта Рязанова «О результатах эффективности применения самолета Ил-2 с 37-мм авиационной пушкой ОКБ-16 11П в боевых условиях по сравнению с самолетом Ил-2 с пушками ВЯ и ШВАК». Еще через пару недель специалисты 4-го отдела НИИ ВВС подготовили до</w:t>
      </w:r>
      <w:r w:rsidRPr="00271E51">
        <w:rPr>
          <w:color w:val="000000" w:themeColor="text1"/>
          <w:sz w:val="16"/>
          <w:szCs w:val="16"/>
        </w:rPr>
        <w:softHyphen/>
        <w:t>вольно обширный «Доклад по результатам изуче</w:t>
      </w:r>
      <w:r w:rsidRPr="00271E51">
        <w:rPr>
          <w:color w:val="000000" w:themeColor="text1"/>
          <w:sz w:val="16"/>
          <w:szCs w:val="16"/>
        </w:rPr>
        <w:softHyphen/>
        <w:t>ния опыта боевого применения Ил-2 с 37-мм пуш</w:t>
      </w:r>
      <w:r w:rsidRPr="00271E51">
        <w:rPr>
          <w:color w:val="000000" w:themeColor="text1"/>
          <w:sz w:val="16"/>
          <w:szCs w:val="16"/>
        </w:rPr>
        <w:softHyphen/>
        <w:t>ками ОКБ-16 во 2-м Смоленском ШАК». Следом за ним последовал и доклад штаба 2-го штурмового авиакорпуса.</w:t>
      </w:r>
    </w:p>
    <w:p w14:paraId="3EA39CFA"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Строевые летчики отмечали, что новый вари</w:t>
      </w:r>
      <w:r w:rsidRPr="00271E51">
        <w:rPr>
          <w:color w:val="000000" w:themeColor="text1"/>
          <w:sz w:val="16"/>
          <w:szCs w:val="16"/>
        </w:rPr>
        <w:softHyphen/>
        <w:t>ант Ил-2 по сравнению с самолетом, вооруженным пушками ШВАК или ВЯ, обладает несколько боль</w:t>
      </w:r>
      <w:r w:rsidRPr="00271E51">
        <w:rPr>
          <w:color w:val="000000" w:themeColor="text1"/>
          <w:sz w:val="16"/>
          <w:szCs w:val="16"/>
        </w:rPr>
        <w:softHyphen/>
        <w:t>шей инертностью, ухудшенной маневренностью и управляемостью, особенно на больших скоро</w:t>
      </w:r>
      <w:r w:rsidRPr="00271E51">
        <w:rPr>
          <w:color w:val="000000" w:themeColor="text1"/>
          <w:sz w:val="16"/>
          <w:szCs w:val="16"/>
        </w:rPr>
        <w:softHyphen/>
        <w:t>стях. Заметно увеличился радиус виража. Крены на вираже допускались до 60° на скорости 280— 300 км/ч.</w:t>
      </w:r>
    </w:p>
    <w:p w14:paraId="25C9E954"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наблюдению летчиков 568-го шап, при стрельбе из 2 пушек после очереди 4—6 снарядов самолет терял в скорости 30—50 км/ч. Самолет «клевал» носом и сбивался с линии прицеливания. Поэтому в цель попадали только первые 2—3 сна</w:t>
      </w:r>
      <w:r w:rsidRPr="00271E51">
        <w:rPr>
          <w:color w:val="000000" w:themeColor="text1"/>
          <w:sz w:val="16"/>
          <w:szCs w:val="16"/>
        </w:rPr>
        <w:softHyphen/>
        <w:t>ряда, а остальные шли с недолетом.</w:t>
      </w:r>
    </w:p>
    <w:p w14:paraId="4E09126F"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Самолет допускал пикирование вплоть до 50°. Ввод в пикирование и вывод из него были про</w:t>
      </w:r>
      <w:r w:rsidRPr="00271E51">
        <w:rPr>
          <w:color w:val="000000" w:themeColor="text1"/>
          <w:sz w:val="16"/>
          <w:szCs w:val="16"/>
        </w:rPr>
        <w:softHyphen/>
        <w:t>стыми и затруднений у летного состава не вызыва</w:t>
      </w:r>
      <w:r w:rsidRPr="00271E51">
        <w:rPr>
          <w:color w:val="000000" w:themeColor="text1"/>
          <w:sz w:val="16"/>
          <w:szCs w:val="16"/>
        </w:rPr>
        <w:softHyphen/>
        <w:t>ли. Однако при углах пикирования более 35° при стрельбе из пушек самолет стремился увеличить угол пикирования. На пикировании самолет до</w:t>
      </w:r>
      <w:r w:rsidRPr="00271E51">
        <w:rPr>
          <w:color w:val="000000" w:themeColor="text1"/>
          <w:sz w:val="16"/>
          <w:szCs w:val="16"/>
        </w:rPr>
        <w:softHyphen/>
        <w:t>вольно быстро набирал скорость, и при достиже</w:t>
      </w:r>
      <w:r w:rsidRPr="00271E51">
        <w:rPr>
          <w:color w:val="000000" w:themeColor="text1"/>
          <w:sz w:val="16"/>
          <w:szCs w:val="16"/>
        </w:rPr>
        <w:softHyphen/>
        <w:t>нии 330 км/ч и выше летчики отмечали чрезмерно большую нагрузку на рули управления. Просадка на выводе из пикирования увеличилась. Самолет следовало выводить из пикирования на 50 м рань</w:t>
      </w:r>
      <w:r w:rsidRPr="00271E51">
        <w:rPr>
          <w:color w:val="000000" w:themeColor="text1"/>
          <w:sz w:val="16"/>
          <w:szCs w:val="16"/>
        </w:rPr>
        <w:softHyphen/>
        <w:t>ше обычного.</w:t>
      </w:r>
    </w:p>
    <w:p w14:paraId="4D14FAC6"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планировании летчикам приходилось вы</w:t>
      </w:r>
      <w:r w:rsidRPr="00271E51">
        <w:rPr>
          <w:color w:val="000000" w:themeColor="text1"/>
          <w:sz w:val="16"/>
          <w:szCs w:val="16"/>
        </w:rPr>
        <w:softHyphen/>
        <w:t>держивать более высокую скорость — порядка 190—210 км/ч при отклоненных щитках. После вы</w:t>
      </w:r>
      <w:r w:rsidRPr="00271E51">
        <w:rPr>
          <w:color w:val="000000" w:themeColor="text1"/>
          <w:sz w:val="16"/>
          <w:szCs w:val="16"/>
        </w:rPr>
        <w:softHyphen/>
        <w:t>равнивания самолет несется над землей несколько дольше, чем обычно. На посадке «на выдержива</w:t>
      </w:r>
      <w:r w:rsidRPr="00271E51">
        <w:rPr>
          <w:color w:val="000000" w:themeColor="text1"/>
          <w:sz w:val="16"/>
          <w:szCs w:val="16"/>
        </w:rPr>
        <w:softHyphen/>
        <w:t>нии более чувствителен к взмыванию».</w:t>
      </w:r>
    </w:p>
    <w:p w14:paraId="38E55E97"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Ухудшение летно-пилотажных качеств Ил-2 с 11П затруднило выполнение противозенитного маневра, особенно в составе группы, усложнило выход в атаку, прицеливание и уточнение наводки самолета на цель при стрельбе из пушек.</w:t>
      </w:r>
    </w:p>
    <w:p w14:paraId="526A8678"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Из-за сильной отдачи 11П летчики всерьез опа</w:t>
      </w:r>
      <w:r w:rsidRPr="00271E51">
        <w:rPr>
          <w:color w:val="000000" w:themeColor="text1"/>
          <w:sz w:val="16"/>
          <w:szCs w:val="16"/>
        </w:rPr>
        <w:softHyphen/>
        <w:t>сались, что в случае длинной очереди крыло может не выдержать и разрушиться.</w:t>
      </w:r>
    </w:p>
    <w:p w14:paraId="5BB58B99"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Возможности Ил-2 с пушками 11П в воздуш</w:t>
      </w:r>
      <w:r w:rsidRPr="00271E51">
        <w:rPr>
          <w:color w:val="000000" w:themeColor="text1"/>
          <w:sz w:val="16"/>
          <w:szCs w:val="16"/>
        </w:rPr>
        <w:softHyphen/>
        <w:t>ном бою с немецкими самолетами по сравнению с обычными серийными самолетами Ил-2 снизи</w:t>
      </w:r>
      <w:r w:rsidRPr="00271E51">
        <w:rPr>
          <w:color w:val="000000" w:themeColor="text1"/>
          <w:sz w:val="16"/>
          <w:szCs w:val="16"/>
        </w:rPr>
        <w:softHyphen/>
        <w:t>лись. В этой связи летчики указывали, что прикры</w:t>
      </w:r>
      <w:r w:rsidRPr="00271E51">
        <w:rPr>
          <w:color w:val="000000" w:themeColor="text1"/>
          <w:sz w:val="16"/>
          <w:szCs w:val="16"/>
        </w:rPr>
        <w:softHyphen/>
        <w:t>вающая группа истребителей должна быть увели</w:t>
      </w:r>
      <w:r w:rsidRPr="00271E51">
        <w:rPr>
          <w:color w:val="000000" w:themeColor="text1"/>
          <w:sz w:val="16"/>
          <w:szCs w:val="16"/>
        </w:rPr>
        <w:softHyphen/>
        <w:t>чена в сравнении с общепринятыми нормами. При</w:t>
      </w:r>
      <w:r w:rsidRPr="00271E51">
        <w:rPr>
          <w:color w:val="000000" w:themeColor="text1"/>
          <w:sz w:val="16"/>
          <w:szCs w:val="16"/>
        </w:rPr>
        <w:softHyphen/>
        <w:t>емы же воздушного боя Ил-2 с 11П практически не отличались от приемов, применяемых Ил-2 с ВЯ или ШВАК. Однако, ввиду того, что при стрельбе из 11П на кабрировании резко падала скорость штур</w:t>
      </w:r>
      <w:r w:rsidRPr="00271E51">
        <w:rPr>
          <w:color w:val="000000" w:themeColor="text1"/>
          <w:sz w:val="16"/>
          <w:szCs w:val="16"/>
        </w:rPr>
        <w:softHyphen/>
        <w:t>мовика, оборонительный «круг» получался более растянутым, что требовало от летчиков большей собранности и внимательности. Самым неприят</w:t>
      </w:r>
      <w:r w:rsidRPr="00271E51">
        <w:rPr>
          <w:color w:val="000000" w:themeColor="text1"/>
          <w:sz w:val="16"/>
          <w:szCs w:val="16"/>
        </w:rPr>
        <w:softHyphen/>
        <w:t>ным было то обстоятельство, что в случае отказа одной из пушек при стрельбе на кабрировании «самолет имел тенденцию к срыву в штопор».</w:t>
      </w:r>
    </w:p>
    <w:p w14:paraId="5EB95CE6"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сами пушки 11П в бою зарекомен</w:t>
      </w:r>
      <w:r w:rsidRPr="00271E51">
        <w:rPr>
          <w:color w:val="000000" w:themeColor="text1"/>
          <w:sz w:val="16"/>
          <w:szCs w:val="16"/>
        </w:rPr>
        <w:softHyphen/>
        <w:t>довали себя как мощное и эффективное оружие. Так, летчики 568-го шап с 15 по 26 сентября толь</w:t>
      </w:r>
      <w:r w:rsidRPr="00271E51">
        <w:rPr>
          <w:color w:val="000000" w:themeColor="text1"/>
          <w:sz w:val="16"/>
          <w:szCs w:val="16"/>
        </w:rPr>
        <w:softHyphen/>
        <w:t>ко огнем из 11П уничтожили 6 танков и САУ, 99 ав</w:t>
      </w:r>
      <w:r w:rsidRPr="00271E51">
        <w:rPr>
          <w:color w:val="000000" w:themeColor="text1"/>
          <w:sz w:val="16"/>
          <w:szCs w:val="16"/>
        </w:rPr>
        <w:softHyphen/>
        <w:t>томашин, 10 повозок и подавили огонь 6 батарей. Свои потери составили три самолета.</w:t>
      </w:r>
    </w:p>
    <w:p w14:paraId="082DC81D"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материалах 1-го штурмового авиакорпуса «наблюдением летчиков» отмечается «ряд харак</w:t>
      </w:r>
      <w:r w:rsidRPr="00271E51">
        <w:rPr>
          <w:color w:val="000000" w:themeColor="text1"/>
          <w:sz w:val="16"/>
          <w:szCs w:val="16"/>
        </w:rPr>
        <w:softHyphen/>
        <w:t>терных поражений целей». Так, 6 октября млад</w:t>
      </w:r>
      <w:r w:rsidRPr="00271E51">
        <w:rPr>
          <w:color w:val="000000" w:themeColor="text1"/>
          <w:sz w:val="16"/>
          <w:szCs w:val="16"/>
        </w:rPr>
        <w:softHyphen/>
        <w:t>ший лейтенант Самородов короткой очередью из 11П перебил гусеницу немецкого танка, который развернулся и прекратил движение. Через 3 дня лейтенант Восконин прицельным огнем с дистан</w:t>
      </w:r>
      <w:r w:rsidRPr="00271E51">
        <w:rPr>
          <w:color w:val="000000" w:themeColor="text1"/>
          <w:sz w:val="16"/>
          <w:szCs w:val="16"/>
        </w:rPr>
        <w:softHyphen/>
        <w:t>ции 250—300 м короткими очередями поджег два танка.</w:t>
      </w:r>
    </w:p>
    <w:p w14:paraId="5F62AADE"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Несмотря на высокую эффективность пушек 11 П при действии по наземным целям, летный и командный состав 1-го и 2-го шак считал, что но</w:t>
      </w:r>
      <w:r w:rsidRPr="00271E51">
        <w:rPr>
          <w:color w:val="000000" w:themeColor="text1"/>
          <w:sz w:val="16"/>
          <w:szCs w:val="16"/>
        </w:rPr>
        <w:softHyphen/>
        <w:t>вый штурмовик по совокупности боевых качеств не имеет преимуществ перед Ил-2 с пушками ВЯ.</w:t>
      </w:r>
    </w:p>
    <w:p w14:paraId="6741F88A"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их мнению, «наиболее эффективным воору</w:t>
      </w:r>
      <w:r w:rsidRPr="00271E51">
        <w:rPr>
          <w:color w:val="000000" w:themeColor="text1"/>
          <w:sz w:val="16"/>
          <w:szCs w:val="16"/>
        </w:rPr>
        <w:softHyphen/>
        <w:t>жением /.../ Ил-2 является пушка ВЯ, позволяющая получать /.../ большую плотность огня на цели». В сочетании с применением ПТАБ это обеспечивает более высокую вероятность поражения целей.</w:t>
      </w:r>
    </w:p>
    <w:p w14:paraId="68E8A391"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Получалось, что Ил-2 с 11П с успехом можно применять лишь в тех случаях, когда обстанов</w:t>
      </w:r>
      <w:r w:rsidRPr="00271E51">
        <w:rPr>
          <w:color w:val="000000" w:themeColor="text1"/>
          <w:sz w:val="16"/>
          <w:szCs w:val="16"/>
        </w:rPr>
        <w:softHyphen/>
        <w:t>ка позволяет «выполнить несколько заходов /.../, так как за один заход выпускается мало снарядов, а бомбовая нагрузка значительно меньше нагрузки Ил-2 с ВЯ и потому не обеспечивается надежное по</w:t>
      </w:r>
      <w:r w:rsidRPr="00271E51">
        <w:rPr>
          <w:color w:val="000000" w:themeColor="text1"/>
          <w:sz w:val="16"/>
          <w:szCs w:val="16"/>
        </w:rPr>
        <w:softHyphen/>
        <w:t>ражение цели».</w:t>
      </w:r>
    </w:p>
    <w:p w14:paraId="3FD7DEEC"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Заместитель командующего 1-й воздушной армии генерал-майор Богородецкий предлагал эскадрильи самолетов Ил-2 с 11П «иметь только в составе штурмовых авиакорпусов или самосто</w:t>
      </w:r>
      <w:r w:rsidRPr="00271E51">
        <w:rPr>
          <w:color w:val="000000" w:themeColor="text1"/>
          <w:sz w:val="16"/>
          <w:szCs w:val="16"/>
        </w:rPr>
        <w:softHyphen/>
        <w:t>ятельно с задачей использования против танков, по бронепоездам и паровозам строго сообразуясь с обстановкой».</w:t>
      </w:r>
    </w:p>
    <w:p w14:paraId="578FD721"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Впечатление о новом самолете довольно силь</w:t>
      </w:r>
      <w:r w:rsidRPr="00271E51">
        <w:rPr>
          <w:color w:val="000000" w:themeColor="text1"/>
          <w:sz w:val="16"/>
          <w:szCs w:val="16"/>
        </w:rPr>
        <w:softHyphen/>
        <w:t>но портилось имевшими место конструктивными недостатками пушечных установок и самих пу</w:t>
      </w:r>
      <w:r w:rsidRPr="00271E51">
        <w:rPr>
          <w:color w:val="000000" w:themeColor="text1"/>
          <w:sz w:val="16"/>
          <w:szCs w:val="16"/>
        </w:rPr>
        <w:softHyphen/>
        <w:t>шек 11П.</w:t>
      </w:r>
    </w:p>
    <w:p w14:paraId="443CED32"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Технический состав полков отмечал плохую термообработку металла, что являлось причиной поломки отдельных деталей пушки. Например, вкладыш ударника выдерживал в среднем только 120—235 выстрелов, после чего ломался. Очень часто перегорал электроспуск. Пришлось силами ПАРМ ставить на пушках механический дублер.</w:t>
      </w:r>
    </w:p>
    <w:p w14:paraId="706479B1"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неполной разборке пушки было очень трудно устанавливать прибор для поджатия пружи</w:t>
      </w:r>
      <w:r w:rsidRPr="00271E51">
        <w:rPr>
          <w:color w:val="000000" w:themeColor="text1"/>
          <w:sz w:val="16"/>
          <w:szCs w:val="16"/>
        </w:rPr>
        <w:softHyphen/>
        <w:t>ны рычага подачи приемника — требовалось уве</w:t>
      </w:r>
      <w:r w:rsidRPr="00271E51">
        <w:rPr>
          <w:color w:val="000000" w:themeColor="text1"/>
          <w:sz w:val="16"/>
          <w:szCs w:val="16"/>
        </w:rPr>
        <w:softHyphen/>
        <w:t>личить вырез в верхней обшивке плоскости.</w:t>
      </w:r>
    </w:p>
    <w:p w14:paraId="599D7608"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Тросы перезарядки на заводе ставились невытя</w:t>
      </w:r>
      <w:r w:rsidRPr="00271E51">
        <w:rPr>
          <w:color w:val="000000" w:themeColor="text1"/>
          <w:sz w:val="16"/>
          <w:szCs w:val="16"/>
        </w:rPr>
        <w:softHyphen/>
        <w:t>нутыми. Поэтому через несколько боевых вылетов тросы вытягивались настолько, что не выполняли своего назначения.</w:t>
      </w:r>
    </w:p>
    <w:p w14:paraId="08C5FF21"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Конструкция 2 лючков над снарядным ящи</w:t>
      </w:r>
      <w:r w:rsidRPr="00271E51">
        <w:rPr>
          <w:color w:val="000000" w:themeColor="text1"/>
          <w:sz w:val="16"/>
          <w:szCs w:val="16"/>
        </w:rPr>
        <w:softHyphen/>
        <w:t>ком сильно затрудняла укладку патронной ленты. Предлагалось «сделать над отсеком одну общую крышку».</w:t>
      </w:r>
    </w:p>
    <w:p w14:paraId="2ED94FE2"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Из-за «неплавного подвода ленты из патронного ящика в подводящий рукав» довольно часто (90% всех случаев) происходил обрыв звеньев и вслед</w:t>
      </w:r>
      <w:r w:rsidRPr="00271E51">
        <w:rPr>
          <w:color w:val="000000" w:themeColor="text1"/>
          <w:sz w:val="16"/>
          <w:szCs w:val="16"/>
        </w:rPr>
        <w:softHyphen/>
        <w:t>ствие этого прекращение огня из левой пушки.</w:t>
      </w:r>
    </w:p>
    <w:p w14:paraId="61DA6219"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Встречались случаи «выпадения патрона из лен</w:t>
      </w:r>
      <w:r w:rsidRPr="00271E51">
        <w:rPr>
          <w:color w:val="000000" w:themeColor="text1"/>
          <w:sz w:val="16"/>
          <w:szCs w:val="16"/>
        </w:rPr>
        <w:softHyphen/>
        <w:t>ты (на левой пушке) и неотход подвижных частей пушки», а также непопадания звена в патронник по причине нестандартности звеньев. Как следствие, происходил отказ в работе пушек.</w:t>
      </w:r>
    </w:p>
    <w:p w14:paraId="11F2407C"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Последние дефекты обуславливались тем обсто</w:t>
      </w:r>
      <w:r w:rsidRPr="00271E51">
        <w:rPr>
          <w:color w:val="000000" w:themeColor="text1"/>
          <w:sz w:val="16"/>
          <w:szCs w:val="16"/>
        </w:rPr>
        <w:softHyphen/>
        <w:t>ятельством, что в крыльевом варианте пушки 11П на Ил-2 использовались звенья от мотор-пушки этого типа (МП-37), установленной на истребите</w:t>
      </w:r>
      <w:r w:rsidRPr="00271E51">
        <w:rPr>
          <w:color w:val="000000" w:themeColor="text1"/>
          <w:sz w:val="16"/>
          <w:szCs w:val="16"/>
        </w:rPr>
        <w:softHyphen/>
        <w:t>ле Як-9т, где «усилие съема было в пределах 50— 80 кг». Из-за увеличения боекомплекта в сравне</w:t>
      </w:r>
      <w:r w:rsidRPr="00271E51">
        <w:rPr>
          <w:color w:val="000000" w:themeColor="text1"/>
          <w:sz w:val="16"/>
          <w:szCs w:val="16"/>
        </w:rPr>
        <w:softHyphen/>
        <w:t>нии с Як-9т и особенностей пушечной установки на самолете Ил-2 «указанное усилие съема оказалось недостаточным, почему и начали появляться слу</w:t>
      </w:r>
      <w:r w:rsidRPr="00271E51">
        <w:rPr>
          <w:color w:val="000000" w:themeColor="text1"/>
          <w:sz w:val="16"/>
          <w:szCs w:val="16"/>
        </w:rPr>
        <w:softHyphen/>
        <w:t>чаи выпадения патрона из звена».</w:t>
      </w:r>
    </w:p>
    <w:p w14:paraId="15A0A200"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изжития этого дефекта довольно скоро бы</w:t>
      </w:r>
      <w:r w:rsidRPr="00271E51">
        <w:rPr>
          <w:color w:val="000000" w:themeColor="text1"/>
          <w:sz w:val="16"/>
          <w:szCs w:val="16"/>
        </w:rPr>
        <w:softHyphen/>
        <w:t>ло «отработано и запущено в валовое производ</w:t>
      </w:r>
      <w:r w:rsidRPr="00271E51">
        <w:rPr>
          <w:color w:val="000000" w:themeColor="text1"/>
          <w:sz w:val="16"/>
          <w:szCs w:val="16"/>
        </w:rPr>
        <w:softHyphen/>
        <w:t>ство звено с усилием съема 80—100 кг, а старые звенья из употребления изъяты».</w:t>
      </w:r>
    </w:p>
    <w:p w14:paraId="4E73A261"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Столкнулись в полках и с до</w:t>
      </w:r>
      <w:r w:rsidRPr="00271E51">
        <w:rPr>
          <w:color w:val="000000" w:themeColor="text1"/>
          <w:sz w:val="16"/>
          <w:szCs w:val="16"/>
        </w:rPr>
        <w:softHyphen/>
        <w:t>вольно необычными эксплуатаци</w:t>
      </w:r>
      <w:r w:rsidRPr="00271E51">
        <w:rPr>
          <w:color w:val="000000" w:themeColor="text1"/>
          <w:sz w:val="16"/>
          <w:szCs w:val="16"/>
        </w:rPr>
        <w:softHyphen/>
        <w:t>онными трудностями. Оказалось, что обслуживание пушек 11П де- вушками-оружейницами непосиль</w:t>
      </w:r>
      <w:r w:rsidRPr="00271E51">
        <w:rPr>
          <w:color w:val="000000" w:themeColor="text1"/>
          <w:sz w:val="16"/>
          <w:szCs w:val="16"/>
        </w:rPr>
        <w:softHyphen/>
        <w:t>но: «Практикой установлено, что для обслуживания пушек необхо</w:t>
      </w:r>
      <w:r w:rsidRPr="00271E51">
        <w:rPr>
          <w:color w:val="000000" w:themeColor="text1"/>
          <w:sz w:val="16"/>
          <w:szCs w:val="16"/>
        </w:rPr>
        <w:softHyphen/>
        <w:t>димо иметь штат вооруженцев из мужчин». При этом если полк рабо</w:t>
      </w:r>
      <w:r w:rsidRPr="00271E51">
        <w:rPr>
          <w:color w:val="000000" w:themeColor="text1"/>
          <w:sz w:val="16"/>
          <w:szCs w:val="16"/>
        </w:rPr>
        <w:softHyphen/>
        <w:t>тал всеми самолетами и выполнял 2—3 полковых вылета в день, то су</w:t>
      </w:r>
      <w:r w:rsidRPr="00271E51">
        <w:rPr>
          <w:color w:val="000000" w:themeColor="text1"/>
          <w:sz w:val="16"/>
          <w:szCs w:val="16"/>
        </w:rPr>
        <w:softHyphen/>
        <w:t>ществующий штат специалистов по вооружению не справлялся с под</w:t>
      </w:r>
      <w:r w:rsidRPr="00271E51">
        <w:rPr>
          <w:color w:val="000000" w:themeColor="text1"/>
          <w:sz w:val="16"/>
          <w:szCs w:val="16"/>
        </w:rPr>
        <w:softHyphen/>
        <w:t>готовкой самолетов к повторным боевым вылетам.</w:t>
      </w:r>
    </w:p>
    <w:p w14:paraId="45294EE9"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Когда температура наружного воздуха упала ниже минус 10°</w:t>
      </w:r>
      <w:r w:rsidRPr="00271E51">
        <w:rPr>
          <w:color w:val="000000" w:themeColor="text1"/>
          <w:sz w:val="16"/>
          <w:szCs w:val="16"/>
          <w:lang w:val="en-US"/>
        </w:rPr>
        <w:t>C</w:t>
      </w:r>
      <w:r w:rsidRPr="00271E51">
        <w:rPr>
          <w:color w:val="000000" w:themeColor="text1"/>
          <w:sz w:val="16"/>
          <w:szCs w:val="16"/>
        </w:rPr>
        <w:t>, начались массовые отказы пушек 11П «из-за неполного отката подвижной системы в крайнее заднее положение». Дело в том, что ги</w:t>
      </w:r>
      <w:r w:rsidRPr="00271E51">
        <w:rPr>
          <w:color w:val="000000" w:themeColor="text1"/>
          <w:sz w:val="16"/>
          <w:szCs w:val="16"/>
        </w:rPr>
        <w:softHyphen/>
        <w:t>дротормоз пушки снаряжался на заводе водогли- цериновой смесью, непригодной для работы при низкой температуре.</w:t>
      </w:r>
    </w:p>
    <w:p w14:paraId="5CC51B28"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всегда, положение спасла смекалка русско</w:t>
      </w:r>
      <w:r w:rsidRPr="00271E51">
        <w:rPr>
          <w:color w:val="000000" w:themeColor="text1"/>
          <w:sz w:val="16"/>
          <w:szCs w:val="16"/>
        </w:rPr>
        <w:softHyphen/>
        <w:t>го солдата. Используя опыт «самолетчиков», ко</w:t>
      </w:r>
      <w:r w:rsidRPr="00271E51">
        <w:rPr>
          <w:color w:val="000000" w:themeColor="text1"/>
          <w:sz w:val="16"/>
          <w:szCs w:val="16"/>
        </w:rPr>
        <w:softHyphen/>
        <w:t>торые применяли в гидротормозах шасси спирто- глицериновую смесь, вооруженцы опытным путем определили необходимое процентное соотноше</w:t>
      </w:r>
      <w:r w:rsidRPr="00271E51">
        <w:rPr>
          <w:color w:val="000000" w:themeColor="text1"/>
          <w:sz w:val="16"/>
          <w:szCs w:val="16"/>
        </w:rPr>
        <w:softHyphen/>
        <w:t>ние спирта и глицерина в аналогичной смеси для пушки. Работа автоматики пушки и величина отката проверялась путем отстрела на земле при различ</w:t>
      </w:r>
      <w:r w:rsidRPr="00271E51">
        <w:rPr>
          <w:color w:val="000000" w:themeColor="text1"/>
          <w:sz w:val="16"/>
          <w:szCs w:val="16"/>
        </w:rPr>
        <w:softHyphen/>
        <w:t>ном соотношении спирта и глицерина. Пушка уло</w:t>
      </w:r>
      <w:r w:rsidRPr="00271E51">
        <w:rPr>
          <w:color w:val="000000" w:themeColor="text1"/>
          <w:sz w:val="16"/>
          <w:szCs w:val="16"/>
        </w:rPr>
        <w:softHyphen/>
        <w:t>жилась в требуемые параметры и начала безотказ</w:t>
      </w:r>
      <w:r w:rsidRPr="00271E51">
        <w:rPr>
          <w:color w:val="000000" w:themeColor="text1"/>
          <w:sz w:val="16"/>
          <w:szCs w:val="16"/>
        </w:rPr>
        <w:softHyphen/>
        <w:t>но работать при составе смеси 90% спирта и 10% глицерина. По сути, это практически чистый спирт.</w:t>
      </w:r>
    </w:p>
    <w:p w14:paraId="10AFB78F"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сожалению, вынужденное применение спир</w:t>
      </w:r>
      <w:r w:rsidRPr="00271E51">
        <w:rPr>
          <w:color w:val="000000" w:themeColor="text1"/>
          <w:sz w:val="16"/>
          <w:szCs w:val="16"/>
        </w:rPr>
        <w:softHyphen/>
        <w:t>товой смеси в пушках 11П приводило и к извест</w:t>
      </w:r>
      <w:r w:rsidRPr="00271E51">
        <w:rPr>
          <w:color w:val="000000" w:themeColor="text1"/>
          <w:sz w:val="16"/>
          <w:szCs w:val="16"/>
        </w:rPr>
        <w:softHyphen/>
        <w:t>ным заботам комсостава полков по обеспечению контроля использования смеси по прямому назна</w:t>
      </w:r>
      <w:r w:rsidRPr="00271E51">
        <w:rPr>
          <w:color w:val="000000" w:themeColor="text1"/>
          <w:sz w:val="16"/>
          <w:szCs w:val="16"/>
        </w:rPr>
        <w:softHyphen/>
        <w:t>чению. Естественно, это не всегда удавалось.</w:t>
      </w:r>
    </w:p>
    <w:p w14:paraId="40219D40" w14:textId="77777777" w:rsidR="0040563E" w:rsidRPr="00271E51" w:rsidRDefault="0040563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Здесь следует сказать, что еще в начале сентя</w:t>
      </w:r>
      <w:r w:rsidRPr="00271E51">
        <w:rPr>
          <w:color w:val="000000" w:themeColor="text1"/>
          <w:sz w:val="16"/>
          <w:szCs w:val="16"/>
        </w:rPr>
        <w:softHyphen/>
        <w:t>бря 1943 г. на заводе № 74 НКВ были проведены «испытания работы 37-мм пушки ОКБ-16 при низ</w:t>
      </w:r>
      <w:r w:rsidRPr="00271E51">
        <w:rPr>
          <w:color w:val="000000" w:themeColor="text1"/>
          <w:sz w:val="16"/>
          <w:szCs w:val="16"/>
        </w:rPr>
        <w:softHyphen/>
        <w:t>ких температурах». Гидротормоз пушки, снаряжен</w:t>
      </w:r>
      <w:r w:rsidRPr="00271E51">
        <w:rPr>
          <w:color w:val="000000" w:themeColor="text1"/>
          <w:sz w:val="16"/>
          <w:szCs w:val="16"/>
        </w:rPr>
        <w:softHyphen/>
        <w:t>ный водоглицериновой смесью, надежно работал при температурах до минус 20—25°</w:t>
      </w:r>
      <w:r w:rsidRPr="00271E51">
        <w:rPr>
          <w:color w:val="000000" w:themeColor="text1"/>
          <w:sz w:val="16"/>
          <w:szCs w:val="16"/>
          <w:lang w:val="en-US"/>
        </w:rPr>
        <w:t>C</w:t>
      </w:r>
      <w:r w:rsidRPr="00271E51">
        <w:rPr>
          <w:color w:val="000000" w:themeColor="text1"/>
          <w:sz w:val="16"/>
          <w:szCs w:val="16"/>
        </w:rPr>
        <w:t>, но при более низких температурах отказывал (17500).</w:t>
      </w:r>
    </w:p>
    <w:p w14:paraId="649A71D8" w14:textId="77777777" w:rsidR="0040563E" w:rsidRPr="00271E51" w:rsidRDefault="0040563E" w:rsidP="00271E51">
      <w:pPr>
        <w:pStyle w:val="12a"/>
        <w:shd w:val="clear" w:color="auto" w:fill="auto"/>
        <w:spacing w:after="0" w:line="240" w:lineRule="auto"/>
        <w:jc w:val="both"/>
        <w:rPr>
          <w:color w:val="000000" w:themeColor="text1"/>
          <w:sz w:val="16"/>
          <w:szCs w:val="16"/>
        </w:rPr>
      </w:pPr>
    </w:p>
    <w:p w14:paraId="140E64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16 октября 1943 по 16 января 1944 проводились испытания самолета Пе-2 N 19/205, модифицированного ЦАГИ (541).</w:t>
      </w:r>
    </w:p>
    <w:p w14:paraId="0728E3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E1F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г. в докладной записке на имя начальника 4-со Спецотдела НКВД В. А. Кравченко Королев представил предварительные итоги работы группы №. 5. В записке говорилось, что к тому времени проведено 10 запусков РД на самолете Пе-2 на земле и 8 успешных полетах с включением РД воздухе, что дает основание для выводов о реальности короткие сроки поставить реактивную технику на службу Краевой Армии» и о том, что вспомогательные реактивные установки могут успешно применяться не только на самолетах Пе-2, а их следует осуществлять также и на само</w:t>
      </w:r>
      <w:r w:rsidRPr="00271E51">
        <w:rPr>
          <w:rFonts w:ascii="Times New Roman" w:hAnsi="Times New Roman"/>
          <w:color w:val="000000" w:themeColor="text1"/>
          <w:sz w:val="16"/>
          <w:szCs w:val="16"/>
        </w:rPr>
        <w:softHyphen/>
        <w:t>других типов с соответствующим учетом ттактико-технических особенностей последних.” (10675).</w:t>
      </w:r>
    </w:p>
    <w:p w14:paraId="06D4B1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920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года В. Кузнецов писал письмо N Н-30/4148 начальнику ЦИАМ Поликовскому, д-ру з-да N 19 Солдатову, гл. конструктору Шевцову, гл. конструктору завода N 482 Мясищеву.</w:t>
      </w:r>
    </w:p>
    <w:p w14:paraId="61241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доводки мотоустановки самолета ДВБ 102.</w:t>
      </w:r>
    </w:p>
    <w:p w14:paraId="400CF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необходимостью быстрейшего окончания доводок самолета ДВБ-102 М-71 с 2-мя ТК-3, в соответствии с приказом по НКАП за N 94с, предлагаю:</w:t>
      </w:r>
    </w:p>
    <w:p w14:paraId="4D4937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Начальнику ЦИАМ Поликовскому:</w:t>
      </w:r>
    </w:p>
    <w:p w14:paraId="0CD4BD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обеспечить доводку винтомоторной установки самолета ДВБ-102 М-71Ф с ТК-3 с турбокомпрессорами, включая отработку зажигания и автоматического управления ТК, а также совместно с ЦАГИ отработать охлаждение мотора на высоте;</w:t>
      </w:r>
    </w:p>
    <w:p w14:paraId="587AF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выделить Борсук А.Н. ведущим инженером от ЦИАМ"а для отработки мотоустановки указанного самолета в трубе ЦАГИ и в процессе летных испытаний, закрепив его за данной работой.</w:t>
      </w:r>
    </w:p>
    <w:p w14:paraId="00064C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Директору завода N 19 Солдатову и гл. конструктору завода Швецову:</w:t>
      </w:r>
    </w:p>
    <w:p w14:paraId="0CBC34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устранить к 5.XI. выявившиеся дефекты при эксплуатации М-71 на самолете ДВБ-102 и принять меры к обеспечению надежной работы М-71Ф с 2-мя ТК-3 на больших высотах;</w:t>
      </w:r>
    </w:p>
    <w:p w14:paraId="2B4273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руководства работами по отработке М-71Ф с ТК-3 в трубе и в полете выделить на завод N 482 ведущего инженера не позже 25.Х (1783,172).</w:t>
      </w:r>
    </w:p>
    <w:p w14:paraId="2F519F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E40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Врид Нач. УЗМС ГУЗ ВВС КА Зубарев писал Зам. НКАП П.А.Воронину о том, что со 2 по 21 июня 1943 13 ЛаГГ-3 завода 31 проходили испытания на определение температурных режимов ВМГ и прошли неудовлетворительно (1779).</w:t>
      </w:r>
    </w:p>
    <w:p w14:paraId="5FD7FD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2C5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ли ЛИИ В.Н.Юганов выполнил полет для определения потолка Як-9. Поднялся на 12800 м. Испытания этого самолета в ЛИИ, которые шли с августа 1943, закончились в сентябре 1943. Машина производства завода 153, модифицированного заводом 115. Поставили М-106ПД и ВИШ-61П диаметром 2.8 м с МПШ-20 с боезапасом 110 патронов и полетным весом 2745 кг. Потом в октябре ЦИАМ повысили высотность мотора (1783,217).</w:t>
      </w:r>
    </w:p>
    <w:p w14:paraId="42C04A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D3BE4"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г. на Як-9 с М-106ПВ В.Н. Юганову удалось достичь высоты 12800 м по прибору, что соответствовало 13000 м в стандартных усло</w:t>
      </w:r>
      <w:r w:rsidRPr="00271E51">
        <w:rPr>
          <w:rFonts w:ascii="Times New Roman" w:hAnsi="Times New Roman"/>
          <w:color w:val="000000" w:themeColor="text1"/>
          <w:sz w:val="16"/>
          <w:szCs w:val="16"/>
        </w:rPr>
        <w:softHyphen/>
        <w:t>виях. Как выяснилось, эта высота являлась потолком самолёта — скороподъёмность на ней составляла 0,5-0,75 м/с. Однако М-106ПВ имел те же недостатки, что и М-105ПД. На высоте более 12000 м, при увеличении числа оборотов мотора до номинального (2650 об./мин.), из-за высокой температуры воздуха за нагнетателем и низкого давле</w:t>
      </w:r>
      <w:r w:rsidRPr="00271E51">
        <w:rPr>
          <w:rFonts w:ascii="Times New Roman" w:hAnsi="Times New Roman"/>
          <w:color w:val="000000" w:themeColor="text1"/>
          <w:sz w:val="16"/>
          <w:szCs w:val="16"/>
        </w:rPr>
        <w:softHyphen/>
        <w:t>ния масла в главной магистрали, мотор работал неудовлетворительно. Кроме того, имел место перегрев воды и масла (15830).</w:t>
      </w:r>
    </w:p>
    <w:p w14:paraId="3EEF7564" w14:textId="77777777" w:rsidR="00A25969" w:rsidRPr="00271E51" w:rsidRDefault="00A25969" w:rsidP="00271E51">
      <w:pPr>
        <w:spacing w:after="0" w:line="240" w:lineRule="auto"/>
        <w:jc w:val="both"/>
        <w:rPr>
          <w:rFonts w:ascii="Times New Roman" w:hAnsi="Times New Roman"/>
          <w:color w:val="000000" w:themeColor="text1"/>
          <w:sz w:val="16"/>
          <w:szCs w:val="16"/>
        </w:rPr>
      </w:pPr>
    </w:p>
    <w:p w14:paraId="037755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года на самолете была достигнута предельная высота 13000 м. после этого полета на самолете произведены переделки, в основном в части облегчения самолета и усовершенствования системы охлаждения воды и масла. В результате проведенных работ полетный вес самолета уменьшится с 2745 кг до 2650 кг. На самолете установлены: диффузор и сепаратор в водяной системе, впрыск воды в цилиндры мотора, облегченный водорадиатор и новые туннели с облагороженным входом (1825).</w:t>
      </w:r>
    </w:p>
    <w:p w14:paraId="142420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44A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был закончен в производстве и передан на заводские испытания МиГ-231 (МиГ-3У с АМ-39А) (5046,33).</w:t>
      </w:r>
    </w:p>
    <w:p w14:paraId="44AEE3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5A1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16 октября 1943 г. на заводские испытания передали И-231 (2Д) А.И.М. с АМ-39А (9032).</w:t>
      </w:r>
    </w:p>
    <w:p w14:paraId="49E487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EF8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согласно журнала наблюдения за проектированием, постройкой и испытаниями МиГ-3 от 20 октября МиГ-3 2Д передан на ЛЭС. Вес - 3333, цт 22.4% САХ, вооружение отстреляно в тире (992,11).</w:t>
      </w:r>
    </w:p>
    <w:p w14:paraId="280670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FB61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7CA0C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3F9A5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4333 О мероприятиях по обеспечению ледовой проводки судов на Белом море и Дальнем Востоке в зимний период 1943/44 гг. (7146, 103-106,107-108).</w:t>
      </w:r>
    </w:p>
    <w:p w14:paraId="1C11B5D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7A64C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4334 Об освобождении тов. Шаброва Н.П. от обязанностей уполномоченного ГОКО по дровозаготовкам для железнодорожного транспорта по Пензенской области и о назначении тов. Захарова А.Г. уполномоченным ГОКО по дровозаготовкам для железнодорожного транспорта по Пензенской области. (7146, 109).</w:t>
      </w:r>
    </w:p>
    <w:p w14:paraId="687823E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06C6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Распоряжение ГКО № 4336. О мерах по обеспечению бесперебойного производства противогазов на заводах НКХП.РГАНИР, Фонд ГКО, д. 163, лл. 111 (11012).</w:t>
      </w:r>
    </w:p>
    <w:p w14:paraId="72EB14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E085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4337 О мероприятиях по обеспечению ремонта речного флота в осенне-зимний период 1943/44 гг. (7146, 112-115,116-120).</w:t>
      </w:r>
    </w:p>
    <w:p w14:paraId="46E28F0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96CE5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Распоряжение ГКО № 4338 Об использовании трофейных авиабомб. (7146, 121-123).</w:t>
      </w:r>
    </w:p>
    <w:p w14:paraId="40760F8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DC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4339 О строительстве Уральского турбинного завода им.Кирова Наркомтяжмаша.РГАНИР, Фонд ГКО, д. 163, лл. 124-127, 128 (11012).</w:t>
      </w:r>
    </w:p>
    <w:p w14:paraId="38341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5C8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4340 О мероприятиях по отгрузке спецукупорки для боеприпасов.РГАНИР, Фонд ГКО, д. 163, лл. 129-131, 132-145 (11012).</w:t>
      </w:r>
    </w:p>
    <w:p w14:paraId="6776DA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973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4341 О вооружении кораблей Военно-Морского Флота (крейсеров и эсминцев) зенитными радиолокационными установками.РГАНИР, Фонд ГКО, д. 163, лл. 146-150, 151-162 (11012).</w:t>
      </w:r>
    </w:p>
    <w:p w14:paraId="7AE1A8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C5450"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г. вышло Постановление ГКО «О вооружении кораблей Военно-Морского Флота (крейсеров и эсминцев) зенитными радиолокационными установками» (15736).</w:t>
      </w:r>
    </w:p>
    <w:p w14:paraId="5FDB64A4" w14:textId="77777777" w:rsidR="00A25969" w:rsidRPr="00271E51" w:rsidRDefault="00A25969" w:rsidP="00271E51">
      <w:pPr>
        <w:spacing w:after="0" w:line="240" w:lineRule="auto"/>
        <w:jc w:val="both"/>
        <w:rPr>
          <w:rFonts w:ascii="Times New Roman" w:hAnsi="Times New Roman"/>
          <w:color w:val="000000" w:themeColor="text1"/>
          <w:sz w:val="16"/>
          <w:szCs w:val="16"/>
        </w:rPr>
      </w:pPr>
    </w:p>
    <w:p w14:paraId="7EB0D0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4342 Об обеспечении укомплектования и восстановления турбин электростанций Донбасса Уральским турбинным заводом им. Кирова Наркомтяжмаша. (7146, 163-165).</w:t>
      </w:r>
    </w:p>
    <w:p w14:paraId="60463D0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A0348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4343 О плане ремонта тракторов для Красной Армии и Военно-Морского Флота на IV квартал 1943г. (7146, 166-169,170-200).</w:t>
      </w:r>
    </w:p>
    <w:p w14:paraId="7A0CB42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67249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4344 Об увеличении пропускной способности Петропавловского-на-Камчатке порта. (7146, 201-203,204-207).</w:t>
      </w:r>
    </w:p>
    <w:p w14:paraId="13F388B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01E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4345 О мерах помощи Наркомстрою по строительству Коркинских угольных разрезов на Урале в IV кв. 1943г.РГАНИР, Фонд ГКО, д. 163, лл. 208-212 (11012).</w:t>
      </w:r>
    </w:p>
    <w:p w14:paraId="4B35E9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704D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4346 О плане производства и распределения передвижных ремонтных мастерских для Красной Армии и Военно-Морского Флота на IV квартал 1943г. (7146, 213-216,217-230).</w:t>
      </w:r>
    </w:p>
    <w:p w14:paraId="359229F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60AB7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вышло Постановление ГКО № 4347 О мерах помощи Наркомату станкостроения по увеличению производства станков и инструмента. (7147, 1-3,4-91).</w:t>
      </w:r>
    </w:p>
    <w:p w14:paraId="6E9FD48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9B530" w14:textId="77777777" w:rsidR="00A2596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D989A12" w14:textId="77777777" w:rsidR="00A25969" w:rsidRPr="00271E51" w:rsidRDefault="00A2596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5BA81D"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 xml:space="preserve">16 октября </w:t>
      </w:r>
      <w:r w:rsidRPr="00271E51">
        <w:rPr>
          <w:rFonts w:ascii="Times New Roman" w:hAnsi="Times New Roman"/>
          <w:color w:val="000000" w:themeColor="text1"/>
          <w:sz w:val="16"/>
          <w:szCs w:val="16"/>
        </w:rPr>
        <w:t>в 1943 году оперативная сводка Совинформбюро:</w:t>
      </w:r>
    </w:p>
    <w:p w14:paraId="714D38DF"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отбивая контратаки крупных сил пехоты и танков противника, продолжали вести уличные бои в городе Мелитополь. Противник понёс огромныепотери в живой силе и технике. Только в юго-западной части города Мелитополь при отражении контратак наши войска уничтожили более 40 немецких танков.</w:t>
      </w:r>
    </w:p>
    <w:p w14:paraId="3A8BC922"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ЗАпорожье наши войска, продолжая наступление, продвинулись вперёд от 5 до 10 километров и заняли населённые пункты Янчекрак, Жеребянка, Луговой, Лесной, Грозов, Гладкий.</w:t>
      </w:r>
    </w:p>
    <w:p w14:paraId="1FAFFC96"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Кременчуг наши войска возобновили бои по расширению плацдарма на правом берегу реки Днепр и, сломив ожесточённое сопротивление противника, продвинулись вперёд от 5 до 10 километров и заняли несколько населённых пунктов. Неоднократные контратаки противника, поддержанные танками и авиацией, были отбиты с большими для него потерями.</w:t>
      </w:r>
    </w:p>
    <w:p w14:paraId="3D79DB29"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полосе среднего течения Днепра, на правом берегу реки, севернее Киева, наши войска продолжали вести бои по расширению плацдарма и улучшили свои позиции.</w:t>
      </w:r>
    </w:p>
    <w:p w14:paraId="06D9977A"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в результате боёв продвинулись вперёд, улучшив свои позиции.</w:t>
      </w:r>
    </w:p>
    <w:p w14:paraId="6494E628"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3F4E6745"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октября наши войска на всех фронтах подбили и уничтожили 81 немецкий танк. В воздушных боях и огнём зенитной артиллерии сбито 76 самолётов противника.</w:t>
      </w:r>
    </w:p>
    <w:p w14:paraId="3DDC9AA2"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Мелитополь продолжались уличные бои. Противник непрерывно перебрасывает с других участков фронта крупные силы пехоты и танков и бросает их в контратаки, пытаясь восстановить положение. В результате ожесточённых уличных боёв, неоднократно переходивших в рукопашные схватки, наши войска очистили от немцев ряд кварталов и уничтожили до 2.000 гитлеровцев. Немцы предприняли несколько танковых контратак, но успеха не добились. Советские артиллеристы и бронебойщики, действующие в юго-западной части города, уничтожили более 40 немецких танков. Кроме того, огнём нашей артиллерии уничтожено 28 орудий, 6 шестиствольных миномётов и 120 автомашин противника.</w:t>
      </w:r>
    </w:p>
    <w:p w14:paraId="53250727"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Запорожье части Н-ского соединения, сломив сопротивление противника, пытавшегося задержаться на промежуточных рубежах, продвинулись вперёд и заняли несколько населённых пунктов. На одном участке немцы сильным миномётным и пулемётным огнём сковывали наши наступающие подразделения. Танкисты Н-ской части, продвигаясь балками, обошли противника. Немцы были прижаты кплавням и под угрозой окружения в беспорядке отступили, бросив 13 миномётов, 42 пулемёта и много боеприпасов. На другом участке советские подвижные отряды разгромили батальон вражеской пехоты и захватили пленных.</w:t>
      </w:r>
    </w:p>
    <w:p w14:paraId="4E9035E3"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продолжали наносить удары по войскам противника и причинили им большой урон. В течение трех ночей подряд наша авиация бомбардировала немецкие воинские эшелоны и военные склады противника на железнодорожной станции Никополь. В результате бомбардировки разбито 4 железнодорожных состава с техникой и боеприпасами. Возникли пожары, сопровождавшиеся сильными взрывами.</w:t>
      </w:r>
    </w:p>
    <w:p w14:paraId="0D7033B0"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правом берегу Днепра, юго-восточнее города Кременчуг, наши войска атаковали противника и в результате ожесточённого боя овладели сильно укреплёнными позициями. Развивая успех, советские бойцы продвинулись вперёд и заняли несколько населённых пунктов. Все попытки немцев восстановить положение </w:t>
      </w:r>
      <w:r w:rsidRPr="00271E51">
        <w:rPr>
          <w:rFonts w:ascii="Times New Roman" w:hAnsi="Times New Roman"/>
          <w:color w:val="000000" w:themeColor="text1"/>
          <w:sz w:val="16"/>
          <w:szCs w:val="16"/>
        </w:rPr>
        <w:lastRenderedPageBreak/>
        <w:t>закончились неудачей. Отбивая контратаки противника, наши войска подбили и сожгли 25 вражеских танков и уничтожили до полка немецкой пехоты. Захвачены трофеи. Взято более 250 пленных.</w:t>
      </w:r>
    </w:p>
    <w:p w14:paraId="247BA1D5"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среднем течении Днепра, на правом берегу реки, наши войска продолжали вести бои и улучшили свои позиции. Севернее Киева наши войска за день боёв истребили свыше 1.000 немецких солдат и офицеров. За истекшую неделю части Н-ского соединения отбили более двухсот контратак пехоты, танков и самоходных орудий противника. Отражая вражеские контратаки и шаг за шагом продвигаясь вперёд, части соединения за это время уничтожили свыше 8 тысяч немецких солдат и офицеров, 176 танков, 187 орудий и более 400 пулемётов.</w:t>
      </w:r>
    </w:p>
    <w:p w14:paraId="35FC3961"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части Н-ского соединения продолжали продвигаться вперёд и улучшили свои позиции. Немцы оказывали сильное огневое сопротивление и неоднократно переходили в контратаки. Все контратаки противника отбиты с большими для него потерями. Уничтожено 800 вражеских солдат и офицеров, 27 орудий, 95 пулемётов в 60 автомашин с грузами. Севернее Гомеля происходила усиленная артиллерийская перестрелка.</w:t>
      </w:r>
    </w:p>
    <w:p w14:paraId="2831FF47"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транспорт противника водоизмещением в 1.500 тонн.</w:t>
      </w:r>
    </w:p>
    <w:p w14:paraId="211B13BF"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Вилейской области, разгромил немецкие гарнизоны в трёх крупных населённых пунктах, истребив при этом до 400 вражеских солдат и офицеров. Партизаны уничтожили 5 танков, 16 автомашин, 36 мотоциклов. Советские патриоты захватили 3 орудия, 36 пулемётов, 270 винтовок и много боеприпасов. Другой отряд вилейских партизан подорвал 9 немецких автомашин и уничтожил 86 гитлеровцев.</w:t>
      </w:r>
    </w:p>
    <w:p w14:paraId="26D14EC5"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Ефрейтор 11 роты 164 полка 57 немецкой пехотной дивизии Рудольф Келлер, захваченный в плен на правом берегу Днепра, рассказал: «На всём пути отступления от района Белгорода до Днепра наша дивизия несла большие потери. Когда мы переправились на правый берег Днепра, 164 полк состоял из четырёх сводных рот. Все эти роты вместе взятые насчитывали 115 человек. Солдаты хотели как можно скорее перебраться на правый берег Днепра. Каждый считал, что спасение возможно только там, за рекой. Офицеры уверяли нас, что через этот водный рубеж не пройдёт ни один русский солдат. Однако через несколько дней русские переправились через Днепр и совершенно неожиданно зашли в тыл нашему полку. Никто не ожидал, что русские смогут так быстро форсировать такую широкую реку. Поднялась невообразимая паника. Солдаты потеряли голову от страха и кричали: «Нас окружили! Мы в мешке». Я вместе с группой солдат решил, что после того, как бои перенесены на правобережье Днепра, всё потеряно, и сдался в плен» (14801).</w:t>
      </w:r>
    </w:p>
    <w:p w14:paraId="46C7A0E0" w14:textId="77777777" w:rsidR="00A25969" w:rsidRPr="00271E51" w:rsidRDefault="00A25969" w:rsidP="00271E51">
      <w:pPr>
        <w:spacing w:after="0" w:line="240" w:lineRule="auto"/>
        <w:jc w:val="both"/>
        <w:rPr>
          <w:rFonts w:ascii="Times New Roman" w:hAnsi="Times New Roman"/>
          <w:color w:val="000000" w:themeColor="text1"/>
          <w:sz w:val="16"/>
          <w:szCs w:val="16"/>
        </w:rPr>
      </w:pPr>
    </w:p>
    <w:p w14:paraId="73738BE3"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color w:val="000000" w:themeColor="text1"/>
          <w:sz w:val="16"/>
          <w:szCs w:val="16"/>
        </w:rPr>
        <w:t xml:space="preserve">16 октября </w:t>
      </w:r>
      <w:r w:rsidRPr="00271E51">
        <w:rPr>
          <w:rFonts w:ascii="Times New Roman" w:hAnsi="Times New Roman"/>
          <w:color w:val="000000" w:themeColor="text1"/>
          <w:sz w:val="16"/>
          <w:szCs w:val="16"/>
        </w:rPr>
        <w:t>в 1943 году войска Центрального фронта форсировали реку Днепр и захватили плацдарм южнее города Лоев (14801).</w:t>
      </w:r>
    </w:p>
    <w:p w14:paraId="32CA6D7D" w14:textId="77777777" w:rsidR="00A25969" w:rsidRPr="00271E51" w:rsidRDefault="00A25969" w:rsidP="00271E51">
      <w:pPr>
        <w:spacing w:after="0" w:line="240" w:lineRule="auto"/>
        <w:jc w:val="both"/>
        <w:rPr>
          <w:rFonts w:ascii="Times New Roman" w:hAnsi="Times New Roman"/>
          <w:color w:val="000000" w:themeColor="text1"/>
          <w:sz w:val="16"/>
          <w:szCs w:val="16"/>
        </w:rPr>
      </w:pPr>
    </w:p>
    <w:p w14:paraId="1AD72F2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C389D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FA13D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16 октября 1943 вышло Распоряжение ГКО № 4335 [О материально-техническом обеспечении строительства 3-й очереди Московского метрополитена.] </w:t>
      </w:r>
      <w:r w:rsidRPr="00271E51">
        <w:rPr>
          <w:rFonts w:ascii="Times New Roman" w:hAnsi="Times New Roman"/>
          <w:color w:val="000000" w:themeColor="text1"/>
          <w:sz w:val="16"/>
          <w:szCs w:val="16"/>
          <w:lang w:val="en-US"/>
        </w:rPr>
        <w:t>(7146, 110).</w:t>
      </w:r>
    </w:p>
    <w:p w14:paraId="3ED6E54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526E96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50D3E9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CA38E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16 1943 The Navy accepted its first helicopter, a Sikorsky YR-4B (HNS-1), at Bridgeport, Connecticut, following a 60 minute acceptance test flight by Lieutenant Commander F. A. Erickson, USCG (1090).</w:t>
      </w:r>
    </w:p>
    <w:p w14:paraId="5998D3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FFA0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октября 1943 на вооружение ВМФ США поступил первый вертолет Sikorsky YR-4B (HNS-1) (1090).</w:t>
      </w:r>
    </w:p>
    <w:p w14:paraId="27B37F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42F29"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16 октября 1943 г., Суббота, Лондон </w:t>
      </w:r>
    </w:p>
    <w:p w14:paraId="69021268"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воздушном налете на Швайнфурт командующий 8-м воздушным флотом США в Англии генерал Андерсон дал следующие пояснения: </w:t>
      </w:r>
    </w:p>
    <w:p w14:paraId="0F8909CF" w14:textId="77777777" w:rsidR="00A25969" w:rsidRPr="00271E51" w:rsidRDefault="00A2596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рассчитывали на большие потери, и они действительно произошли. Но ущерб, причиненный врагу, во много раз больше. Обзор и погода над целью были превосходными, и сброс бомб был сконцентрирован на промышленных объектах. По первым оценкам, по меньшей мере половина шарикоподшипниковых заводов в Швайнфурте была разрушена. Этот налет, безусловно, вызовет снижение производства танков, самолетов и орудий и коснется также строительства подводных лодок» (14799).</w:t>
      </w:r>
    </w:p>
    <w:p w14:paraId="1749FE81" w14:textId="77777777" w:rsidR="00A25969" w:rsidRPr="00271E51" w:rsidRDefault="00A25969" w:rsidP="00271E51">
      <w:pPr>
        <w:spacing w:after="0" w:line="240" w:lineRule="auto"/>
        <w:jc w:val="both"/>
        <w:rPr>
          <w:rFonts w:ascii="Times New Roman" w:hAnsi="Times New Roman"/>
          <w:color w:val="000000" w:themeColor="text1"/>
          <w:sz w:val="16"/>
          <w:szCs w:val="16"/>
        </w:rPr>
      </w:pPr>
    </w:p>
    <w:p w14:paraId="0CB5461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14EFF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CCA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ИС со 122-мм танковой пушкой Д-25 был доставлен на Гороховецкий полигон. Здесь настало время орудия Д-25, которое за 5 дней выпустило более 470 выстрелов с места и в движе</w:t>
      </w:r>
      <w:r w:rsidRPr="00271E51">
        <w:rPr>
          <w:rFonts w:ascii="Times New Roman" w:hAnsi="Times New Roman"/>
          <w:color w:val="000000" w:themeColor="text1"/>
          <w:sz w:val="16"/>
          <w:szCs w:val="16"/>
        </w:rPr>
        <w:softHyphen/>
        <w:t>нии. Максимальная дальность стрельбы орудия составила 14660±25 м, скорострельность — 1,5 выстр./мин.</w:t>
      </w:r>
    </w:p>
    <w:p w14:paraId="75D644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Рекомендации комиссии состояли в замене дульного тормоза, замене поршневого затвора клиновым полуавтома</w:t>
      </w:r>
      <w:r w:rsidRPr="00271E51">
        <w:rPr>
          <w:rFonts w:ascii="Times New Roman" w:hAnsi="Times New Roman"/>
          <w:color w:val="000000" w:themeColor="text1"/>
          <w:sz w:val="16"/>
          <w:szCs w:val="16"/>
        </w:rPr>
        <w:softHyphen/>
        <w:t>тическим, доработке противооткатных устройств, чтобы ис</w:t>
      </w:r>
      <w:r w:rsidRPr="00271E51">
        <w:rPr>
          <w:rFonts w:ascii="Times New Roman" w:hAnsi="Times New Roman"/>
          <w:color w:val="000000" w:themeColor="text1"/>
          <w:sz w:val="16"/>
          <w:szCs w:val="16"/>
        </w:rPr>
        <w:softHyphen/>
        <w:t>ключить стук подвижных частей, увеличению боекомплекта хотя бы до 30 выстрелов, сместить расположение командира танка и наводчика влево на 30—100 мм, отработать спусковой механизм, разработать механизм облегчения заряжания.</w:t>
      </w:r>
    </w:p>
    <w:p w14:paraId="3821BA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докладной записке Л. Берия, В. Малышева, Д. Усти</w:t>
      </w:r>
      <w:r w:rsidRPr="00271E51">
        <w:rPr>
          <w:rFonts w:ascii="Times New Roman" w:hAnsi="Times New Roman"/>
          <w:color w:val="000000" w:themeColor="text1"/>
          <w:sz w:val="16"/>
          <w:szCs w:val="16"/>
        </w:rPr>
        <w:softHyphen/>
        <w:t>нова и Я. Федоренко Верховному Главнокомандующему говорилось, что танк ИС-2 прошел государственные испы</w:t>
      </w:r>
      <w:r w:rsidRPr="00271E51">
        <w:rPr>
          <w:rFonts w:ascii="Times New Roman" w:hAnsi="Times New Roman"/>
          <w:color w:val="000000" w:themeColor="text1"/>
          <w:sz w:val="16"/>
          <w:szCs w:val="16"/>
        </w:rPr>
        <w:softHyphen/>
        <w:t>тания с 1 по 23 октября и обладает хорошей маневреннос</w:t>
      </w:r>
      <w:r w:rsidRPr="00271E51">
        <w:rPr>
          <w:rFonts w:ascii="Times New Roman" w:hAnsi="Times New Roman"/>
          <w:color w:val="000000" w:themeColor="text1"/>
          <w:sz w:val="16"/>
          <w:szCs w:val="16"/>
        </w:rPr>
        <w:softHyphen/>
        <w:t>тью, броневой защитой и самым мощным вооружением из 122-мм пушки, способен поражать тяжелые немецкие тан</w:t>
      </w:r>
      <w:r w:rsidRPr="00271E51">
        <w:rPr>
          <w:rFonts w:ascii="Times New Roman" w:hAnsi="Times New Roman"/>
          <w:color w:val="000000" w:themeColor="text1"/>
          <w:sz w:val="16"/>
          <w:szCs w:val="16"/>
        </w:rPr>
        <w:softHyphen/>
        <w:t>ки на дистанции 1500—2000 м (11135).</w:t>
      </w:r>
    </w:p>
    <w:p w14:paraId="00F45F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681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4348. О прекращении мобилизации военнообязанных и другого населения среднеазиатских республик на работы за их пределами и об улучшении обслуживания рабочих из этих республик.РГАНИР, Фонд ГКО, д. 164, лл. 92 (11012).</w:t>
      </w:r>
    </w:p>
    <w:p w14:paraId="269F30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CBD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4349. О передаче Венюковскому заводу НКТМ вместо совхоза "Новый быт" совхоза "Лесная".РГАНИР, Фонд ГКО, д. 164, лл. 93 (11012).</w:t>
      </w:r>
    </w:p>
    <w:p w14:paraId="37D98A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9CF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4350. О выполнении электромонтажных работ на строительствах нефтеперерабатывающих заводов в Гурьеве, Куйбышеве, Орске и Красноводске за счет средств и материалов НКНП.РГАНИР, Фонд ГКО, д. 164, лл. 94 (11012).</w:t>
      </w:r>
    </w:p>
    <w:p w14:paraId="3AB3C3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E950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4351 [О мерах по обеспечению производства перевязочных средств и поставке их Главным военно-санитарному и ветеринарному управлениям КА, ВМФ и войскам НКВД.] (7147, 95-96,97-102).</w:t>
      </w:r>
    </w:p>
    <w:p w14:paraId="6AB7F61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80A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4352. О мерах по обеспечению ввода в действие пусковых объектов Челябинского трубопрокатного завода НКЧМ.РГАНИР, Фонд ГКО, д. 164, лл. 103-106 (11012).</w:t>
      </w:r>
    </w:p>
    <w:p w14:paraId="685A26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391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4353 О мобилизации через Комитет по учету и распределению рабочей силы при СНК СССР 3,5 тыс. чел. сельского населения во исполнение постановления ГКО № 4264 от 7 октября 1943г.РГАНИР, Фонд ГКО, д. 164, лл. 107 (11012).</w:t>
      </w:r>
    </w:p>
    <w:p w14:paraId="1DA86D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7C63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4354 О плане производства главнейших изделий средств связи и электротехнического оборудования и о мероприятиях по материально-техническому обеспечению заводов и строек электропромышленности на IV квартал 1943 года.РГАНИР, Фонд ГКО, д. 164, лл. 108-113, 114-179 (11012).</w:t>
      </w:r>
    </w:p>
    <w:p w14:paraId="7BFBFD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AFD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4355 О балансах и планах распределения проката черных металлов, труб, метизов, чугуна, ферросплавов, твердых сплавов, доменного угля и металлургического кокса на IV квартал 1943г.РГАНИР, Фонд ГКО, д. 164, лл. 180-182, 183-291 (11012).</w:t>
      </w:r>
    </w:p>
    <w:p w14:paraId="4540BD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F7D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4356 Об обеспечении вывоза импортных грузов с Закавказской и Орджоникидзевской железных дорог. (7148, 1-2).</w:t>
      </w:r>
    </w:p>
    <w:p w14:paraId="5041718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C3A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Постановление ГКО № 4357 О мерах по завозу горючего и масел для сельскохозяйственных работ в IV квартале 1943 года.РГАНИР, Фонд ГКО, д. 165, лл. 3-7 (11012).</w:t>
      </w:r>
    </w:p>
    <w:p w14:paraId="5F4A5C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2492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4358 [Об освобождении от призыва работников предприятий НКХП 1926 года рождения, имеющих квалификацию 3-го разряда и выше.] (7148, 8).</w:t>
      </w:r>
    </w:p>
    <w:p w14:paraId="327C928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E95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вышло Распоряжение ГКО № 4359. О переброске 5-й бригады разграждения с восстановительных работ на Ярославских заводах в Москву на строительство завода № 507 НКРП.РГАНИР, Фонд ГКО, д. 165, лл. 9 (11012).</w:t>
      </w:r>
    </w:p>
    <w:p w14:paraId="7A8149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B31B7" w14:textId="77777777" w:rsidR="00375CE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5DF2633" w14:textId="77777777" w:rsidR="00375CE9" w:rsidRPr="00271E51" w:rsidRDefault="00375CE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C961E0"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17 октября </w:t>
      </w:r>
      <w:r w:rsidRPr="00271E51">
        <w:rPr>
          <w:rFonts w:ascii="Times New Roman" w:hAnsi="Times New Roman"/>
          <w:color w:val="000000" w:themeColor="text1"/>
          <w:sz w:val="16"/>
          <w:szCs w:val="16"/>
        </w:rPr>
        <w:t>в 1943 году оперативная сводка Совинформбюро:</w:t>
      </w:r>
    </w:p>
    <w:p w14:paraId="24BC7EDB"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отбивая контратаки пехоты и танков противника, продолжали вести уличные бои в городе Мелитополь. Как и в предыдущие дни, противник понёс огромные потери в живой силе и технике.</w:t>
      </w:r>
    </w:p>
    <w:p w14:paraId="6E5B5F0A"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Запорожья наши войска с боями заняли несколько населённых пунктов и среди них крупные населенные пункты Криничеватый, Верхняя и Нижняя Криница и железнодорожную станцию Попово.</w:t>
      </w:r>
    </w:p>
    <w:p w14:paraId="4259E769"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в результате двухдневных упорных боёв, наши войска на правом берегу Днепра прорвали сильно укреплённую оборону противника протяжением по фронту 45 километров и в глубину до 25 километров, овладели рядом сильно укреплённых опорных пунктов противника и среди них Каменистая, Афанасьевка, Попельнастое, Будённовка, Лиховка.</w:t>
      </w:r>
    </w:p>
    <w:p w14:paraId="0E0F8CD3"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отбивая контратаки пехоты и такков противника, продолжали вести бои по расширению плацдарма на правом берегу реки Днепр и улучшили свои позиции.</w:t>
      </w:r>
    </w:p>
    <w:p w14:paraId="059A40CA"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успешно форсировали реку Днепр и, прорвав оборону противника протяжением по фронту 20 километров и на глубину от 5 до 10 километров, овладели районным центром Гомельской области городом Лоев и населенными пунктами Козароги, Крупейки, Щитцы, Бывалки.</w:t>
      </w:r>
    </w:p>
    <w:p w14:paraId="09B43976"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620D208F"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октября наши войска на всех фронтах подбили и уничтожили 139 немецких танков. В воздушных боях и огнем зенитной артиллерии сбито 64 самолёта противника.</w:t>
      </w:r>
    </w:p>
    <w:p w14:paraId="2CA6ECBC"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Мелитополь продолжались уличные бои. Противник силами пехоты, танков и самоходных орудий неоднократно переходил в контратаки. Наши войска отбили все контратаки немцев и уничтожили до 1.000 гитлеровцев. За день боёв сожжено и подбито 32 немецких танка и 4 самоходных орудия. В одном квартале немецким автоматчикам удалось несколько продвинуться вперёд. Бойцы Н-ской части атаковали врага и в ожесточённой рукопашной схватке истребили всех прорвавшихся вперёд немцев.</w:t>
      </w:r>
    </w:p>
    <w:p w14:paraId="1AD4B986"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Запорожье наши войска продолжали продвигаться вперёд и заняли несколько населённых пунктов. Противник оказывает упорное сопротивление, но под ударами наших войск теряет одну позицию за другой. Частями Н-ского соединения сегодня уничтожено свыше 600 немецких солдат и офицеров, сожжено 5 тяжёлых танков противника. Советские части, овладев железнодорожной станцией Попово, захватили большие трофеи, в том числе несколько складов с боеприпасами и зерном.</w:t>
      </w:r>
    </w:p>
    <w:p w14:paraId="6DDDF942"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 правом берегу Днепра, наши войска, в результате двухдневных упорных боёв, прорвали сильно укреплённую оборону противника. Развивая успех, части Н-ского соединения стремительным ударом выбили немцев из нескольких сильно укреплённых населённых пунктов. Противник четыре раза переходил в контратаки, но был отброшен с большими для него потерями. На другом участке наши танкисты, сломив сопротивление противника, продвинулись вперёд до 25 километров и дезорганизовали немецкую оборону. Все попытки гитлеровцев восстановить положение вводом в бой резервных частей закончились неудачей. Только сегодня уничтожено свыше 2.000 немецких солдат и офицеров, подбито и сожжено 50 немецких танков, в том числе 17 танков типа «Пантера» и 8 танков типа «Тигр». Захвачены трофеи и пленные.</w:t>
      </w:r>
    </w:p>
    <w:p w14:paraId="77B03FED"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массированными налётами авиации пытался задержать продвижение наших войск. Советские лётчики, надёжно прикрывая наземные части, в воздушных боях сбили 36 немецких самолётов.</w:t>
      </w:r>
    </w:p>
    <w:p w14:paraId="3F91571E"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отбивая контратаки противника, вели бои за расширение плацдарма на правом берегу Днепра и улучшили свои позиции. Крупные силы немецкой пехоты и танков пытались зайти во фланг одной нашей части. Решительным ударом советские бойцы опрокинули противника и уничтожили 900 немецких солдат и офицеров, 12 танков и 2 самоходных орудия. На другом участке части Н-ского соединения, в результате ожесточённого боя, овладели выгодными позициями. Уничтожено до двух батальонов гитлеровцев. Захвачены 2 самоходных и 17 полевых орудий, 62 пулемёта и склад боеприпасов.</w:t>
      </w:r>
    </w:p>
    <w:p w14:paraId="45C7E2A7"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успешно форсировав Днепр, стремительно атаковали немцев и в результате ожесточённых боёв прорвали мощную оборонительную линию врага на западном берегу реки. Продвигаясь вперёд, наши войска заняли несколько населённых пунктов, в том числе важный узел грунтовых дорог, районный центр Гомельской области город Лоев. Овладев этим опорным пунктом обороны противника, наши части захватили 38 орудий, 3 склада боеприпасов, вещевой склад и другие трофеи. На соседнем участке части Н-ского соединения уничтожили до полка немецкой пехоты и захватили 26 орудий, 25 миномётов, 7 разных складов, в том числе 2 крупных склада с артиллерийскими снарядами, минами и гранатами. Взято до 200 пленных.</w:t>
      </w:r>
    </w:p>
    <w:p w14:paraId="204F08D2"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ночью совершил внезапный налёт на железнодорожную станцию. Партизаны взорвали входные и выходные стрелки, разрушили пути на протяжении 6 километров и уничтожили телеграфно-телефонную линию связи. Другой партизанский отряд отбил у гитлеровцев несколько обозов с продовольствием, награбленным у местных жителей. Убито 80 немецких солдат, сопровождавших обозы. Продовольствие, захваченное у немцев, возвращено населению.</w:t>
      </w:r>
    </w:p>
    <w:p w14:paraId="13122633"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захватчиков в станице Варениковская, Краснодарского края: «В течение года гитлеровские мерзавцы во главе с начальником гестапо — капитаном Цинплер и комендантом—капитаном Фрейлих измывались и глумились над мирным населением станицы, грабили и убивали советских граждан, уничтожали их имущество. После освобождения станицы от фашистских поработителей в противотанковом рву, по дороге к станице Гостагаевской, обнаружено до 500 трупов жителей, зверски замученных немецкими палачами. Среди расстрелянных — тракторист Васильев, учительница Смирнова, председатель колхоза Кондратенко, агротехник Мартиненко и другие. Под угрозой смертной казни немецкие разбойники угнали почти половину населения на каторжные работы в Германию.</w:t>
      </w:r>
    </w:p>
    <w:p w14:paraId="3A503810"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имени и по поручению всех станичников мы призываем кубанских казаков и всех бойцов Красной Армии беспощадно мстить ненавистному врагу за все кровавые злодеяния, которые он совершил на нашей вольной земле».</w:t>
      </w:r>
    </w:p>
    <w:p w14:paraId="328386DE" w14:textId="77777777" w:rsidR="00375CE9" w:rsidRPr="00271E51" w:rsidRDefault="00375CE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станицы: А.Григорьева, К.Посыпай, П.Кольницкая, Г.Фортушин, Бабкин и другие.» (14802).</w:t>
      </w:r>
    </w:p>
    <w:p w14:paraId="7AD9D04E" w14:textId="77777777" w:rsidR="00375CE9" w:rsidRPr="00271E51" w:rsidRDefault="00375CE9" w:rsidP="00271E51">
      <w:pPr>
        <w:spacing w:after="0" w:line="240" w:lineRule="auto"/>
        <w:jc w:val="both"/>
        <w:rPr>
          <w:rFonts w:ascii="Times New Roman" w:hAnsi="Times New Roman"/>
          <w:color w:val="000000" w:themeColor="text1"/>
          <w:sz w:val="16"/>
          <w:szCs w:val="16"/>
        </w:rPr>
      </w:pPr>
    </w:p>
    <w:p w14:paraId="1119427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1187C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DBC4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октября 1943 в Гоа (Индия) Япония обменялась с союзниками интернированными (4962).</w:t>
      </w:r>
    </w:p>
    <w:p w14:paraId="53DBDD7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BB53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5F48F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34A6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закончились испытания Як-9ПД, которые велись с 3 августа 1943 (65,125).</w:t>
      </w:r>
    </w:p>
    <w:p w14:paraId="08E5AF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AA6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октября 1943 г. закончились государственные испытания Ла-5 №39210109, которые проходили с 30 сентября. Всасывающий тракт перенесли с верхней части капота вниз, под обшивку; воздух в него поступал через окно сверху в переднем кольце капота. Маслорадиатор сдвинули назад и разместили снаружи между третьим и пятым шпангоутами. Средняя секция фонаря стала не сдвигаться назад по направляющим, а откидываться вбок, как на немецком истребителе Bf 109. Дополнительные щитки полностью закрывали убранные колёса основных стоек шасси. Кроме этого, улучшили зализы крыла с фюзеляжем, выхлопные коллекторы заменили индивидуальными патрубками по типу Ла-5ФН, доработали капот и улучшили герметизацию самолёта. Возросла до 20% осевая компенсация руля высоты, снизившая нагрузки на ручку управления самолётом, а прицел ПБП-1 заменили на ВВ-1. Вооружение осталось прежнее - две синхронные пушки СП-20, не изменилось и оборудование кабины. Ведущим инженером по машине был Н.Н. Борисов. По мнению ведущих лётчиков А.Г. Кубышкина и И.М. Дзюбы, а также участвовавших в облёте нового истребителя П.М. Сте- фановского и А.Г. Прошакова, самолёт по технике пилотирования ничем не отличался от серийных машин, но обзор из кабины в стороны ухудшился (в основном, из-за потёртости плексигласа боковых подвижных створок), что усложняло посадку и взлёт с ограниченных площадок. Более того, открывавшийся вбок фонарь затруднял посадку лётчика в кабину, аварийный его сброс двумя руками оказался неудобным. Но обзор вперёд, благодаря переносу </w:t>
      </w:r>
      <w:r w:rsidRPr="00271E51">
        <w:rPr>
          <w:rFonts w:ascii="Times New Roman" w:hAnsi="Times New Roman"/>
          <w:color w:val="000000" w:themeColor="text1"/>
          <w:sz w:val="16"/>
          <w:szCs w:val="16"/>
        </w:rPr>
        <w:lastRenderedPageBreak/>
        <w:t>воздухозаборника двигателя вниз, улучшился, облегчив также прицеливание. Максимальная скорость самолёта возросла до 630 км/ч, время виража сократилось на 1 - 2 с, а набор высоты за боевой разворот увеличился до 120 м. Улучшенная герметизация кабины и вентиляция позволили снизить температуру в ней до достаточно приемлемых 30°. Хотя этот вариант истребителя в серию не пошёл, многие заложенные в нём технические решения потом перекочевали на будущий Ла-7 (11986).</w:t>
      </w:r>
    </w:p>
    <w:p w14:paraId="7248B5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5958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года в соответствии с приказом НКАП № 619 ОКБ Незваля было задано проектирование и постройка модифицированного тяжелого дальнего бомбардировщика Пе-8 с увеличенной бомбовой нагрузкой, с двигателями АШ-82ФН ТК-3 (7685).</w:t>
      </w:r>
    </w:p>
    <w:p w14:paraId="00A04D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1F7BC" w14:textId="77777777" w:rsidR="00473181" w:rsidRPr="00271E51" w:rsidRDefault="00473181" w:rsidP="00271E51">
      <w:pPr>
        <w:pStyle w:val="ae"/>
        <w:shd w:val="clear" w:color="auto" w:fill="FFFFFF"/>
        <w:spacing w:before="0" w:after="0"/>
        <w:jc w:val="both"/>
        <w:rPr>
          <w:color w:val="000000" w:themeColor="text1"/>
          <w:sz w:val="16"/>
          <w:szCs w:val="16"/>
        </w:rPr>
      </w:pPr>
      <w:r w:rsidRPr="00271E51">
        <w:rPr>
          <w:color w:val="000000" w:themeColor="text1"/>
          <w:sz w:val="16"/>
          <w:szCs w:val="16"/>
        </w:rPr>
        <w:t>18 октября 1943 года в соответствии с приказом НКАП № 619 были заданы проектирование и постройка модифицированного тяжелого дальнего бомбардировщика Пе-8 с увеличенной бомбовой нагрузкой, с двигателями АШ-82ФН ТК-3. К началу 1944 года были выполнены первые проработки по теме (12187).</w:t>
      </w:r>
    </w:p>
    <w:p w14:paraId="4C49B7B2" w14:textId="77777777" w:rsidR="00473181" w:rsidRPr="00271E51" w:rsidRDefault="00473181" w:rsidP="00271E51">
      <w:pPr>
        <w:pStyle w:val="ae"/>
        <w:shd w:val="clear" w:color="auto" w:fill="FFFFFF"/>
        <w:spacing w:before="0" w:after="0"/>
        <w:jc w:val="both"/>
        <w:rPr>
          <w:color w:val="000000" w:themeColor="text1"/>
          <w:sz w:val="16"/>
          <w:szCs w:val="16"/>
        </w:rPr>
      </w:pPr>
    </w:p>
    <w:p w14:paraId="4319092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года в соответствии с приказом НКАП № 619 были заданы проектирование и постройка модифицированного тяжелого дальнего бомбардировщика Пе-8 с увеличенной бомбовой нагрузкой, с двигателями АШ-82ФН ТК-3. К началу 1944 года были выполнены первые проработки по теме.</w:t>
      </w:r>
    </w:p>
    <w:p w14:paraId="3282263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был подготовлен эскизный проект.</w:t>
      </w:r>
    </w:p>
    <w:p w14:paraId="4601EE0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серийным Пе-8 проект предусматривал следующие изменения.</w:t>
      </w:r>
    </w:p>
    <w:p w14:paraId="5314F2F5" w14:textId="77777777" w:rsidR="00473181" w:rsidRPr="00271E51" w:rsidRDefault="00473181" w:rsidP="00271E51">
      <w:pPr>
        <w:tabs>
          <w:tab w:val="left" w:pos="120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Новую компоновку передней части фюзеляжа с целью расположения обоих летчиков рядом, с одновременным выносом их кабины вперед для улучшения обзора в стороны. Этим создавались лучшие условия для совместной работы летчиков, значительно упрощались монтаж управления самолетом и моторами, сокращалось количество приборов и некоторого оборудования. В связи с выносом летчиков вперед, изменялась также кабина штурманов. Сокращалась ее длина, штурманы были приближены к носу самолета, что значительно улучшило обзор. В носу фюзеляжа был установлен крупнокалиберный пулемет 12,7 мм на шаровой опоре, с конусом обстрела в 60 градусов, обслуживаемый помощником штурмана.</w:t>
      </w:r>
    </w:p>
    <w:p w14:paraId="65B9833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Увеличение длины бомбового отсека до размеров, обеспечивающих размещение: 1 бомбы ФАБ-5000, 2 бомб ФАБ-2000, 6 бомб ФАБ-1000, 9 бомб ФАБ-500, 16 бомб ФАБ- 250, 32 бомб ФАБ-100 Увеличение емкости бомбового отсека достигалось за счет удлинения его вперед и в сторону хвостовой части фюзеляжа, с добавлением соответствующего количества балок с бомбо</w:t>
      </w:r>
      <w:r w:rsidRPr="00271E51">
        <w:rPr>
          <w:rFonts w:ascii="Times New Roman" w:hAnsi="Times New Roman"/>
          <w:color w:val="000000" w:themeColor="text1"/>
          <w:sz w:val="16"/>
          <w:szCs w:val="16"/>
        </w:rPr>
        <w:softHyphen/>
        <w:t>держателями.</w:t>
      </w:r>
    </w:p>
    <w:p w14:paraId="18EC73A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изменялось место радиста, его разместили позади пер</w:t>
      </w:r>
      <w:r w:rsidRPr="00271E51">
        <w:rPr>
          <w:rFonts w:ascii="Times New Roman" w:hAnsi="Times New Roman"/>
          <w:color w:val="000000" w:themeColor="text1"/>
          <w:sz w:val="16"/>
          <w:szCs w:val="16"/>
        </w:rPr>
        <w:softHyphen/>
        <w:t>вого пилота, рядом с бортмехаником</w:t>
      </w:r>
    </w:p>
    <w:p w14:paraId="421DCC3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Улучшение аэродинамики самолета за счет:</w:t>
      </w:r>
    </w:p>
    <w:p w14:paraId="0C307888" w14:textId="77777777" w:rsidR="00473181" w:rsidRPr="00271E51" w:rsidRDefault="00473181" w:rsidP="00271E51">
      <w:pPr>
        <w:tabs>
          <w:tab w:val="left" w:pos="6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уменьшения миделя фюзеляжа;</w:t>
      </w:r>
    </w:p>
    <w:p w14:paraId="3A8CBA5F" w14:textId="77777777" w:rsidR="00473181" w:rsidRPr="00271E51" w:rsidRDefault="00473181" w:rsidP="00271E51">
      <w:pPr>
        <w:tabs>
          <w:tab w:val="left" w:pos="659"/>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уменьшения миделя туннелей водорадиаторов и обтекателей шасси;</w:t>
      </w:r>
    </w:p>
    <w:p w14:paraId="43D6947F" w14:textId="77777777" w:rsidR="00473181" w:rsidRPr="00271E51" w:rsidRDefault="00473181" w:rsidP="00271E51">
      <w:pPr>
        <w:tabs>
          <w:tab w:val="left" w:pos="65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полного убирания шасси и хвостового колеса;</w:t>
      </w:r>
    </w:p>
    <w:p w14:paraId="1A0B98A4" w14:textId="77777777" w:rsidR="00473181" w:rsidRPr="00271E51" w:rsidRDefault="00473181" w:rsidP="00271E51">
      <w:pPr>
        <w:tabs>
          <w:tab w:val="left" w:pos="63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понижения уровня спинной турели;</w:t>
      </w:r>
    </w:p>
    <w:p w14:paraId="49EB9083" w14:textId="77777777" w:rsidR="00473181" w:rsidRPr="00271E51" w:rsidRDefault="00473181" w:rsidP="00271E51">
      <w:pPr>
        <w:tabs>
          <w:tab w:val="left" w:pos="674"/>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потайной клепки по всему планеру самолета;</w:t>
      </w:r>
    </w:p>
    <w:p w14:paraId="6D13CF9F" w14:textId="77777777" w:rsidR="00473181" w:rsidRPr="00271E51" w:rsidRDefault="00473181" w:rsidP="00271E51">
      <w:pPr>
        <w:tabs>
          <w:tab w:val="left" w:pos="6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герметизации планера (не путать с герметическим фюзеляжем).</w:t>
      </w:r>
    </w:p>
    <w:tbl>
      <w:tblPr>
        <w:tblW w:w="9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18"/>
        <w:gridCol w:w="1656"/>
        <w:gridCol w:w="1937"/>
        <w:gridCol w:w="2192"/>
      </w:tblGrid>
      <w:tr w:rsidR="00A907A5" w:rsidRPr="00271E51" w14:paraId="71CF5514" w14:textId="77777777" w:rsidTr="00ED5B0A">
        <w:trPr>
          <w:trHeight w:val="371"/>
        </w:trPr>
        <w:tc>
          <w:tcPr>
            <w:tcW w:w="3618" w:type="dxa"/>
            <w:shd w:val="clear" w:color="auto" w:fill="auto"/>
          </w:tcPr>
          <w:p w14:paraId="2C110564"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1656" w:type="dxa"/>
            <w:shd w:val="clear" w:color="auto" w:fill="auto"/>
          </w:tcPr>
          <w:p w14:paraId="2408A645"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Пе-8 4М-82</w:t>
            </w:r>
          </w:p>
        </w:tc>
        <w:tc>
          <w:tcPr>
            <w:tcW w:w="1937" w:type="dxa"/>
            <w:shd w:val="clear" w:color="auto" w:fill="auto"/>
          </w:tcPr>
          <w:p w14:paraId="7ADF6FD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Пе-8 4М-31</w:t>
            </w:r>
          </w:p>
        </w:tc>
        <w:tc>
          <w:tcPr>
            <w:tcW w:w="2192" w:type="dxa"/>
            <w:shd w:val="clear" w:color="auto" w:fill="auto"/>
          </w:tcPr>
          <w:p w14:paraId="68D295F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Пе-8 4М-82ФН</w:t>
            </w:r>
          </w:p>
        </w:tc>
      </w:tr>
      <w:tr w:rsidR="00A907A5" w:rsidRPr="00271E51" w14:paraId="5B86ABCC" w14:textId="77777777" w:rsidTr="00ED5B0A">
        <w:trPr>
          <w:trHeight w:val="292"/>
        </w:trPr>
        <w:tc>
          <w:tcPr>
            <w:tcW w:w="3618" w:type="dxa"/>
            <w:shd w:val="clear" w:color="auto" w:fill="auto"/>
          </w:tcPr>
          <w:p w14:paraId="39FFDD3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Максимальная скорость, км/ч</w:t>
            </w:r>
          </w:p>
        </w:tc>
        <w:tc>
          <w:tcPr>
            <w:tcW w:w="1656" w:type="dxa"/>
            <w:shd w:val="clear" w:color="auto" w:fill="auto"/>
          </w:tcPr>
          <w:p w14:paraId="27D792D4"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1937" w:type="dxa"/>
            <w:shd w:val="clear" w:color="auto" w:fill="auto"/>
          </w:tcPr>
          <w:p w14:paraId="142899C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2192" w:type="dxa"/>
            <w:shd w:val="clear" w:color="auto" w:fill="auto"/>
          </w:tcPr>
          <w:p w14:paraId="74A0E53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1E92D6D4" w14:textId="77777777" w:rsidTr="00ED5B0A">
        <w:trPr>
          <w:trHeight w:val="259"/>
        </w:trPr>
        <w:tc>
          <w:tcPr>
            <w:tcW w:w="3618" w:type="dxa"/>
            <w:shd w:val="clear" w:color="auto" w:fill="auto"/>
          </w:tcPr>
          <w:p w14:paraId="5879A71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у земли</w:t>
            </w:r>
          </w:p>
        </w:tc>
        <w:tc>
          <w:tcPr>
            <w:tcW w:w="1656" w:type="dxa"/>
            <w:shd w:val="clear" w:color="auto" w:fill="auto"/>
          </w:tcPr>
          <w:p w14:paraId="4E0D2D5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360</w:t>
            </w:r>
          </w:p>
        </w:tc>
        <w:tc>
          <w:tcPr>
            <w:tcW w:w="1937" w:type="dxa"/>
            <w:shd w:val="clear" w:color="auto" w:fill="auto"/>
          </w:tcPr>
          <w:p w14:paraId="6A90938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398</w:t>
            </w:r>
          </w:p>
        </w:tc>
        <w:tc>
          <w:tcPr>
            <w:tcW w:w="2192" w:type="dxa"/>
            <w:shd w:val="clear" w:color="auto" w:fill="auto"/>
          </w:tcPr>
          <w:p w14:paraId="4779969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388</w:t>
            </w:r>
          </w:p>
        </w:tc>
      </w:tr>
      <w:tr w:rsidR="00A907A5" w:rsidRPr="00271E51" w14:paraId="03EF4062" w14:textId="77777777" w:rsidTr="00ED5B0A">
        <w:trPr>
          <w:trHeight w:val="277"/>
        </w:trPr>
        <w:tc>
          <w:tcPr>
            <w:tcW w:w="3618" w:type="dxa"/>
            <w:shd w:val="clear" w:color="auto" w:fill="auto"/>
          </w:tcPr>
          <w:p w14:paraId="024850C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 высоте, м</w:t>
            </w:r>
          </w:p>
        </w:tc>
        <w:tc>
          <w:tcPr>
            <w:tcW w:w="1656" w:type="dxa"/>
            <w:shd w:val="clear" w:color="auto" w:fill="auto"/>
          </w:tcPr>
          <w:p w14:paraId="2B50440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422/5600</w:t>
            </w:r>
          </w:p>
        </w:tc>
        <w:tc>
          <w:tcPr>
            <w:tcW w:w="1937" w:type="dxa"/>
            <w:shd w:val="clear" w:color="auto" w:fill="auto"/>
          </w:tcPr>
          <w:p w14:paraId="414F8B6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472/6000</w:t>
            </w:r>
          </w:p>
        </w:tc>
        <w:tc>
          <w:tcPr>
            <w:tcW w:w="2192" w:type="dxa"/>
            <w:shd w:val="clear" w:color="auto" w:fill="auto"/>
          </w:tcPr>
          <w:p w14:paraId="23A4CA3D"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497/8300</w:t>
            </w:r>
          </w:p>
        </w:tc>
      </w:tr>
      <w:tr w:rsidR="00A907A5" w:rsidRPr="00271E51" w14:paraId="33EB4A3B" w14:textId="77777777" w:rsidTr="00ED5B0A">
        <w:trPr>
          <w:trHeight w:val="292"/>
        </w:trPr>
        <w:tc>
          <w:tcPr>
            <w:tcW w:w="3618" w:type="dxa"/>
            <w:shd w:val="clear" w:color="auto" w:fill="auto"/>
          </w:tcPr>
          <w:p w14:paraId="0C85A84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Практический потолок, м</w:t>
            </w:r>
          </w:p>
        </w:tc>
        <w:tc>
          <w:tcPr>
            <w:tcW w:w="1656" w:type="dxa"/>
            <w:shd w:val="clear" w:color="auto" w:fill="auto"/>
          </w:tcPr>
          <w:p w14:paraId="7E945F0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8000</w:t>
            </w:r>
          </w:p>
        </w:tc>
        <w:tc>
          <w:tcPr>
            <w:tcW w:w="1937" w:type="dxa"/>
            <w:shd w:val="clear" w:color="auto" w:fill="auto"/>
          </w:tcPr>
          <w:p w14:paraId="1D0DE60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10000</w:t>
            </w:r>
          </w:p>
        </w:tc>
        <w:tc>
          <w:tcPr>
            <w:tcW w:w="2192" w:type="dxa"/>
            <w:shd w:val="clear" w:color="auto" w:fill="auto"/>
          </w:tcPr>
          <w:p w14:paraId="393EA92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10600</w:t>
            </w:r>
          </w:p>
        </w:tc>
      </w:tr>
      <w:tr w:rsidR="00A907A5" w:rsidRPr="00271E51" w14:paraId="0976728F" w14:textId="77777777" w:rsidTr="00ED5B0A">
        <w:trPr>
          <w:trHeight w:val="277"/>
        </w:trPr>
        <w:tc>
          <w:tcPr>
            <w:tcW w:w="3618" w:type="dxa"/>
            <w:shd w:val="clear" w:color="auto" w:fill="auto"/>
          </w:tcPr>
          <w:p w14:paraId="648B7AD8"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Время набора высоты, мин</w:t>
            </w:r>
          </w:p>
        </w:tc>
        <w:tc>
          <w:tcPr>
            <w:tcW w:w="1656" w:type="dxa"/>
            <w:shd w:val="clear" w:color="auto" w:fill="auto"/>
          </w:tcPr>
          <w:p w14:paraId="55F4A04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1937" w:type="dxa"/>
            <w:shd w:val="clear" w:color="auto" w:fill="auto"/>
          </w:tcPr>
          <w:p w14:paraId="24B5047B"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2192" w:type="dxa"/>
            <w:shd w:val="clear" w:color="auto" w:fill="auto"/>
          </w:tcPr>
          <w:p w14:paraId="4F79A9DD"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5A582AB0" w14:textId="77777777" w:rsidTr="00ED5B0A">
        <w:trPr>
          <w:trHeight w:val="259"/>
        </w:trPr>
        <w:tc>
          <w:tcPr>
            <w:tcW w:w="3618" w:type="dxa"/>
            <w:shd w:val="clear" w:color="auto" w:fill="auto"/>
          </w:tcPr>
          <w:p w14:paraId="2015815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2000 м</w:t>
            </w:r>
          </w:p>
        </w:tc>
        <w:tc>
          <w:tcPr>
            <w:tcW w:w="1656" w:type="dxa"/>
            <w:shd w:val="clear" w:color="auto" w:fill="auto"/>
          </w:tcPr>
          <w:p w14:paraId="740E97BA"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w:t>
            </w:r>
          </w:p>
        </w:tc>
        <w:tc>
          <w:tcPr>
            <w:tcW w:w="1937" w:type="dxa"/>
            <w:shd w:val="clear" w:color="auto" w:fill="auto"/>
          </w:tcPr>
          <w:p w14:paraId="6EDFA73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4,5</w:t>
            </w:r>
          </w:p>
        </w:tc>
        <w:tc>
          <w:tcPr>
            <w:tcW w:w="2192" w:type="dxa"/>
            <w:shd w:val="clear" w:color="auto" w:fill="auto"/>
          </w:tcPr>
          <w:p w14:paraId="151ED18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4,5</w:t>
            </w:r>
          </w:p>
        </w:tc>
      </w:tr>
      <w:tr w:rsidR="00A907A5" w:rsidRPr="00271E51" w14:paraId="4D820FEF" w14:textId="77777777" w:rsidTr="00ED5B0A">
        <w:trPr>
          <w:trHeight w:val="277"/>
        </w:trPr>
        <w:tc>
          <w:tcPr>
            <w:tcW w:w="3618" w:type="dxa"/>
            <w:shd w:val="clear" w:color="auto" w:fill="auto"/>
          </w:tcPr>
          <w:p w14:paraId="036A8034"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4000 м</w:t>
            </w:r>
          </w:p>
        </w:tc>
        <w:tc>
          <w:tcPr>
            <w:tcW w:w="1656" w:type="dxa"/>
            <w:shd w:val="clear" w:color="auto" w:fill="auto"/>
          </w:tcPr>
          <w:p w14:paraId="27C4EB5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12,0</w:t>
            </w:r>
          </w:p>
        </w:tc>
        <w:tc>
          <w:tcPr>
            <w:tcW w:w="1937" w:type="dxa"/>
            <w:shd w:val="clear" w:color="auto" w:fill="auto"/>
          </w:tcPr>
          <w:p w14:paraId="48850EAB"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9,5</w:t>
            </w:r>
          </w:p>
        </w:tc>
        <w:tc>
          <w:tcPr>
            <w:tcW w:w="2192" w:type="dxa"/>
            <w:shd w:val="clear" w:color="auto" w:fill="auto"/>
          </w:tcPr>
          <w:p w14:paraId="33909A7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8,5</w:t>
            </w:r>
          </w:p>
        </w:tc>
      </w:tr>
      <w:tr w:rsidR="00A907A5" w:rsidRPr="00271E51" w14:paraId="4C100CE5" w14:textId="77777777" w:rsidTr="00ED5B0A">
        <w:trPr>
          <w:trHeight w:val="274"/>
        </w:trPr>
        <w:tc>
          <w:tcPr>
            <w:tcW w:w="3618" w:type="dxa"/>
            <w:shd w:val="clear" w:color="auto" w:fill="auto"/>
          </w:tcPr>
          <w:p w14:paraId="11AA1BB8"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6000 м</w:t>
            </w:r>
          </w:p>
        </w:tc>
        <w:tc>
          <w:tcPr>
            <w:tcW w:w="1656" w:type="dxa"/>
            <w:shd w:val="clear" w:color="auto" w:fill="auto"/>
          </w:tcPr>
          <w:p w14:paraId="45F617CB"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w:t>
            </w:r>
          </w:p>
        </w:tc>
        <w:tc>
          <w:tcPr>
            <w:tcW w:w="1937" w:type="dxa"/>
            <w:shd w:val="clear" w:color="auto" w:fill="auto"/>
          </w:tcPr>
          <w:p w14:paraId="0CFB983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15,0</w:t>
            </w:r>
          </w:p>
        </w:tc>
        <w:tc>
          <w:tcPr>
            <w:tcW w:w="2192" w:type="dxa"/>
            <w:shd w:val="clear" w:color="auto" w:fill="auto"/>
          </w:tcPr>
          <w:p w14:paraId="2B0A7AA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14,0</w:t>
            </w:r>
          </w:p>
        </w:tc>
      </w:tr>
      <w:tr w:rsidR="00A907A5" w:rsidRPr="00271E51" w14:paraId="0B4CBC11" w14:textId="77777777" w:rsidTr="00ED5B0A">
        <w:trPr>
          <w:trHeight w:val="277"/>
        </w:trPr>
        <w:tc>
          <w:tcPr>
            <w:tcW w:w="3618" w:type="dxa"/>
            <w:shd w:val="clear" w:color="auto" w:fill="auto"/>
          </w:tcPr>
          <w:p w14:paraId="1ECB77D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8000 м</w:t>
            </w:r>
          </w:p>
        </w:tc>
        <w:tc>
          <w:tcPr>
            <w:tcW w:w="1656" w:type="dxa"/>
            <w:shd w:val="clear" w:color="auto" w:fill="auto"/>
          </w:tcPr>
          <w:p w14:paraId="7EC089D4"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35,0</w:t>
            </w:r>
          </w:p>
        </w:tc>
        <w:tc>
          <w:tcPr>
            <w:tcW w:w="1937" w:type="dxa"/>
            <w:shd w:val="clear" w:color="auto" w:fill="auto"/>
          </w:tcPr>
          <w:p w14:paraId="3B74825A"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23,0</w:t>
            </w:r>
          </w:p>
        </w:tc>
        <w:tc>
          <w:tcPr>
            <w:tcW w:w="2192" w:type="dxa"/>
            <w:shd w:val="clear" w:color="auto" w:fill="auto"/>
          </w:tcPr>
          <w:p w14:paraId="7FB985B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20,5</w:t>
            </w:r>
          </w:p>
        </w:tc>
      </w:tr>
      <w:tr w:rsidR="00A907A5" w:rsidRPr="00271E51" w14:paraId="7F26EDFD" w14:textId="77777777" w:rsidTr="00ED5B0A">
        <w:trPr>
          <w:trHeight w:val="295"/>
        </w:trPr>
        <w:tc>
          <w:tcPr>
            <w:tcW w:w="3618" w:type="dxa"/>
            <w:shd w:val="clear" w:color="auto" w:fill="auto"/>
          </w:tcPr>
          <w:p w14:paraId="19D79D5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Время разбега, с</w:t>
            </w:r>
          </w:p>
        </w:tc>
        <w:tc>
          <w:tcPr>
            <w:tcW w:w="1656" w:type="dxa"/>
            <w:shd w:val="clear" w:color="auto" w:fill="auto"/>
          </w:tcPr>
          <w:p w14:paraId="7FBBB8D1"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22,0</w:t>
            </w:r>
          </w:p>
        </w:tc>
        <w:tc>
          <w:tcPr>
            <w:tcW w:w="1937" w:type="dxa"/>
            <w:shd w:val="clear" w:color="auto" w:fill="auto"/>
          </w:tcPr>
          <w:p w14:paraId="5FAE1C31"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18,5</w:t>
            </w:r>
          </w:p>
        </w:tc>
        <w:tc>
          <w:tcPr>
            <w:tcW w:w="2192" w:type="dxa"/>
            <w:shd w:val="clear" w:color="auto" w:fill="auto"/>
          </w:tcPr>
          <w:p w14:paraId="357C5DCA"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18,8</w:t>
            </w:r>
          </w:p>
        </w:tc>
      </w:tr>
      <w:tr w:rsidR="00A907A5" w:rsidRPr="00271E51" w14:paraId="40BCFD84" w14:textId="77777777" w:rsidTr="00ED5B0A">
        <w:trPr>
          <w:trHeight w:val="274"/>
        </w:trPr>
        <w:tc>
          <w:tcPr>
            <w:tcW w:w="3618" w:type="dxa"/>
            <w:shd w:val="clear" w:color="auto" w:fill="auto"/>
          </w:tcPr>
          <w:p w14:paraId="1384FA6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Длина разбега, м</w:t>
            </w:r>
          </w:p>
        </w:tc>
        <w:tc>
          <w:tcPr>
            <w:tcW w:w="1656" w:type="dxa"/>
            <w:shd w:val="clear" w:color="auto" w:fill="auto"/>
          </w:tcPr>
          <w:p w14:paraId="6F87D048"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480</w:t>
            </w:r>
          </w:p>
        </w:tc>
        <w:tc>
          <w:tcPr>
            <w:tcW w:w="1937" w:type="dxa"/>
            <w:shd w:val="clear" w:color="auto" w:fill="auto"/>
          </w:tcPr>
          <w:p w14:paraId="484E4C3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430</w:t>
            </w:r>
          </w:p>
        </w:tc>
        <w:tc>
          <w:tcPr>
            <w:tcW w:w="2192" w:type="dxa"/>
            <w:shd w:val="clear" w:color="auto" w:fill="auto"/>
          </w:tcPr>
          <w:p w14:paraId="7ECE05A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400</w:t>
            </w:r>
          </w:p>
        </w:tc>
      </w:tr>
      <w:tr w:rsidR="00A907A5" w:rsidRPr="00271E51" w14:paraId="79187F88" w14:textId="77777777" w:rsidTr="00ED5B0A">
        <w:trPr>
          <w:trHeight w:val="266"/>
        </w:trPr>
        <w:tc>
          <w:tcPr>
            <w:tcW w:w="3618" w:type="dxa"/>
            <w:shd w:val="clear" w:color="auto" w:fill="auto"/>
          </w:tcPr>
          <w:p w14:paraId="2D567D0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Максимальная дальность</w:t>
            </w:r>
          </w:p>
        </w:tc>
        <w:tc>
          <w:tcPr>
            <w:tcW w:w="1656" w:type="dxa"/>
            <w:shd w:val="clear" w:color="auto" w:fill="auto"/>
          </w:tcPr>
          <w:p w14:paraId="6A06773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1937" w:type="dxa"/>
            <w:shd w:val="clear" w:color="auto" w:fill="auto"/>
          </w:tcPr>
          <w:p w14:paraId="1518496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c>
          <w:tcPr>
            <w:tcW w:w="2192" w:type="dxa"/>
            <w:shd w:val="clear" w:color="auto" w:fill="auto"/>
          </w:tcPr>
          <w:p w14:paraId="5FC3E441"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p>
        </w:tc>
      </w:tr>
      <w:tr w:rsidR="00A907A5" w:rsidRPr="00271E51" w14:paraId="365F4ABA" w14:textId="77777777" w:rsidTr="00ED5B0A">
        <w:trPr>
          <w:trHeight w:val="695"/>
        </w:trPr>
        <w:tc>
          <w:tcPr>
            <w:tcW w:w="3618" w:type="dxa"/>
            <w:shd w:val="clear" w:color="auto" w:fill="auto"/>
          </w:tcPr>
          <w:p w14:paraId="3BE1702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 4000 кг бомб, км</w:t>
            </w:r>
          </w:p>
        </w:tc>
        <w:tc>
          <w:tcPr>
            <w:tcW w:w="1656" w:type="dxa"/>
            <w:shd w:val="clear" w:color="auto" w:fill="auto"/>
          </w:tcPr>
          <w:p w14:paraId="529869C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4600</w:t>
            </w:r>
          </w:p>
        </w:tc>
        <w:tc>
          <w:tcPr>
            <w:tcW w:w="1937" w:type="dxa"/>
            <w:shd w:val="clear" w:color="auto" w:fill="auto"/>
          </w:tcPr>
          <w:p w14:paraId="3C1FAAF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5500</w:t>
            </w:r>
          </w:p>
        </w:tc>
        <w:tc>
          <w:tcPr>
            <w:tcW w:w="2192" w:type="dxa"/>
            <w:shd w:val="clear" w:color="auto" w:fill="auto"/>
          </w:tcPr>
          <w:p w14:paraId="25EDFF1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5000</w:t>
            </w:r>
          </w:p>
        </w:tc>
      </w:tr>
    </w:tbl>
    <w:p w14:paraId="00C29EB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двигателями М-31 при полетной массе 37500 кг с 1000 кг бомб, при запасе топлива 11800 кг дальность самолета равнялась 7500 км; с 8000 кг бомб и запасом топлива 4800 кг — 2700 км. С двигателями АШ-82ФН с ТК-3 дальность при тех же бомбовых нагрузках и запасами топлива 11000 кг при полетной массе 33500 кг и 8000 кг при полетной массе 37500 кг равнялась соответственно 5300 км и 3150км.</w:t>
      </w:r>
    </w:p>
    <w:p w14:paraId="454F572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Подвеска бомб в зависимости от калибра могла выполняться в следующих количествах и комбинациях:</w:t>
      </w:r>
    </w:p>
    <w:tbl>
      <w:tblPr>
        <w:tblW w:w="9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77"/>
        <w:gridCol w:w="2502"/>
        <w:gridCol w:w="2740"/>
        <w:gridCol w:w="1692"/>
      </w:tblGrid>
      <w:tr w:rsidR="00A907A5" w:rsidRPr="00271E51" w14:paraId="66D37B51" w14:textId="77777777" w:rsidTr="00ED5B0A">
        <w:trPr>
          <w:trHeight w:val="396"/>
        </w:trPr>
        <w:tc>
          <w:tcPr>
            <w:tcW w:w="2477" w:type="dxa"/>
            <w:shd w:val="clear" w:color="auto" w:fill="auto"/>
          </w:tcPr>
          <w:p w14:paraId="0FCE4A8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Калибр бомб</w:t>
            </w:r>
          </w:p>
        </w:tc>
        <w:tc>
          <w:tcPr>
            <w:tcW w:w="2502" w:type="dxa"/>
            <w:shd w:val="clear" w:color="auto" w:fill="auto"/>
          </w:tcPr>
          <w:p w14:paraId="780D210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Внутри</w:t>
            </w:r>
          </w:p>
        </w:tc>
        <w:tc>
          <w:tcPr>
            <w:tcW w:w="2740" w:type="dxa"/>
            <w:shd w:val="clear" w:color="auto" w:fill="auto"/>
          </w:tcPr>
          <w:p w14:paraId="2AB93ED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Снаружи</w:t>
            </w:r>
          </w:p>
        </w:tc>
        <w:tc>
          <w:tcPr>
            <w:tcW w:w="1692" w:type="dxa"/>
            <w:shd w:val="clear" w:color="auto" w:fill="auto"/>
          </w:tcPr>
          <w:p w14:paraId="1FADBA5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Всего</w:t>
            </w:r>
          </w:p>
        </w:tc>
      </w:tr>
      <w:tr w:rsidR="00A907A5" w:rsidRPr="00271E51" w14:paraId="4E09D5B4" w14:textId="77777777" w:rsidTr="00ED5B0A">
        <w:trPr>
          <w:trHeight w:val="252"/>
        </w:trPr>
        <w:tc>
          <w:tcPr>
            <w:tcW w:w="2477" w:type="dxa"/>
            <w:shd w:val="clear" w:color="auto" w:fill="auto"/>
          </w:tcPr>
          <w:p w14:paraId="5A2EC41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ФАБ-100</w:t>
            </w:r>
          </w:p>
        </w:tc>
        <w:tc>
          <w:tcPr>
            <w:tcW w:w="2502" w:type="dxa"/>
            <w:shd w:val="clear" w:color="auto" w:fill="auto"/>
          </w:tcPr>
          <w:p w14:paraId="4F25954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32</w:t>
            </w:r>
          </w:p>
        </w:tc>
        <w:tc>
          <w:tcPr>
            <w:tcW w:w="2740" w:type="dxa"/>
            <w:shd w:val="clear" w:color="auto" w:fill="auto"/>
          </w:tcPr>
          <w:p w14:paraId="6FDB8B7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16</w:t>
            </w:r>
          </w:p>
        </w:tc>
        <w:tc>
          <w:tcPr>
            <w:tcW w:w="1692" w:type="dxa"/>
            <w:shd w:val="clear" w:color="auto" w:fill="auto"/>
          </w:tcPr>
          <w:p w14:paraId="54835968"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48</w:t>
            </w:r>
          </w:p>
        </w:tc>
      </w:tr>
      <w:tr w:rsidR="00A907A5" w:rsidRPr="00271E51" w14:paraId="46F156F2" w14:textId="77777777" w:rsidTr="00ED5B0A">
        <w:trPr>
          <w:trHeight w:val="277"/>
        </w:trPr>
        <w:tc>
          <w:tcPr>
            <w:tcW w:w="2477" w:type="dxa"/>
            <w:shd w:val="clear" w:color="auto" w:fill="auto"/>
          </w:tcPr>
          <w:p w14:paraId="6A583BF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ФАБ-250</w:t>
            </w:r>
          </w:p>
        </w:tc>
        <w:tc>
          <w:tcPr>
            <w:tcW w:w="2502" w:type="dxa"/>
            <w:shd w:val="clear" w:color="auto" w:fill="auto"/>
          </w:tcPr>
          <w:p w14:paraId="56009FC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16</w:t>
            </w:r>
          </w:p>
        </w:tc>
        <w:tc>
          <w:tcPr>
            <w:tcW w:w="2740" w:type="dxa"/>
            <w:shd w:val="clear" w:color="auto" w:fill="auto"/>
          </w:tcPr>
          <w:p w14:paraId="70FEB8E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w:t>
            </w:r>
          </w:p>
        </w:tc>
        <w:tc>
          <w:tcPr>
            <w:tcW w:w="1692" w:type="dxa"/>
            <w:shd w:val="clear" w:color="auto" w:fill="auto"/>
          </w:tcPr>
          <w:p w14:paraId="77099DA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w:t>
            </w:r>
          </w:p>
        </w:tc>
      </w:tr>
      <w:tr w:rsidR="00A907A5" w:rsidRPr="00271E51" w14:paraId="44723CBA" w14:textId="77777777" w:rsidTr="00ED5B0A">
        <w:trPr>
          <w:trHeight w:val="277"/>
        </w:trPr>
        <w:tc>
          <w:tcPr>
            <w:tcW w:w="2477" w:type="dxa"/>
            <w:shd w:val="clear" w:color="auto" w:fill="auto"/>
          </w:tcPr>
          <w:p w14:paraId="33A16EF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ФАБ-500</w:t>
            </w:r>
          </w:p>
        </w:tc>
        <w:tc>
          <w:tcPr>
            <w:tcW w:w="2502" w:type="dxa"/>
            <w:shd w:val="clear" w:color="auto" w:fill="auto"/>
          </w:tcPr>
          <w:p w14:paraId="5329ABAD"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w:t>
            </w:r>
          </w:p>
        </w:tc>
        <w:tc>
          <w:tcPr>
            <w:tcW w:w="2740" w:type="dxa"/>
            <w:shd w:val="clear" w:color="auto" w:fill="auto"/>
          </w:tcPr>
          <w:p w14:paraId="00ABF86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w:t>
            </w:r>
          </w:p>
        </w:tc>
        <w:tc>
          <w:tcPr>
            <w:tcW w:w="1692" w:type="dxa"/>
            <w:shd w:val="clear" w:color="auto" w:fill="auto"/>
          </w:tcPr>
          <w:p w14:paraId="6066024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13</w:t>
            </w:r>
          </w:p>
        </w:tc>
      </w:tr>
      <w:tr w:rsidR="00A907A5" w:rsidRPr="00271E51" w14:paraId="1BE7BEDC" w14:textId="77777777" w:rsidTr="00ED5B0A">
        <w:trPr>
          <w:trHeight w:val="274"/>
        </w:trPr>
        <w:tc>
          <w:tcPr>
            <w:tcW w:w="2477" w:type="dxa"/>
            <w:shd w:val="clear" w:color="auto" w:fill="auto"/>
          </w:tcPr>
          <w:p w14:paraId="6D909631"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ФАБ-1000</w:t>
            </w:r>
          </w:p>
        </w:tc>
        <w:tc>
          <w:tcPr>
            <w:tcW w:w="2502" w:type="dxa"/>
            <w:shd w:val="clear" w:color="auto" w:fill="auto"/>
          </w:tcPr>
          <w:p w14:paraId="5EDEC1D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w:t>
            </w:r>
          </w:p>
        </w:tc>
        <w:tc>
          <w:tcPr>
            <w:tcW w:w="2740" w:type="dxa"/>
            <w:shd w:val="clear" w:color="auto" w:fill="auto"/>
          </w:tcPr>
          <w:p w14:paraId="22BF78FA"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c>
          <w:tcPr>
            <w:tcW w:w="1692" w:type="dxa"/>
            <w:shd w:val="clear" w:color="auto" w:fill="auto"/>
          </w:tcPr>
          <w:p w14:paraId="2690CBD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w:t>
            </w:r>
          </w:p>
        </w:tc>
      </w:tr>
      <w:tr w:rsidR="00A907A5" w:rsidRPr="00271E51" w14:paraId="1E9B1549" w14:textId="77777777" w:rsidTr="00ED5B0A">
        <w:trPr>
          <w:trHeight w:val="277"/>
        </w:trPr>
        <w:tc>
          <w:tcPr>
            <w:tcW w:w="2477" w:type="dxa"/>
            <w:shd w:val="clear" w:color="auto" w:fill="auto"/>
          </w:tcPr>
          <w:p w14:paraId="2491BEA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ФАБ-2000</w:t>
            </w:r>
          </w:p>
        </w:tc>
        <w:tc>
          <w:tcPr>
            <w:tcW w:w="2502" w:type="dxa"/>
            <w:shd w:val="clear" w:color="auto" w:fill="auto"/>
          </w:tcPr>
          <w:p w14:paraId="064C30D7"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c>
          <w:tcPr>
            <w:tcW w:w="2740" w:type="dxa"/>
            <w:shd w:val="clear" w:color="auto" w:fill="auto"/>
          </w:tcPr>
          <w:p w14:paraId="33FA5A9C"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92" w:type="dxa"/>
            <w:shd w:val="clear" w:color="auto" w:fill="auto"/>
          </w:tcPr>
          <w:p w14:paraId="2672D67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r>
      <w:tr w:rsidR="00A907A5" w:rsidRPr="00271E51" w14:paraId="3770E3A1" w14:textId="77777777" w:rsidTr="00ED5B0A">
        <w:trPr>
          <w:trHeight w:val="277"/>
        </w:trPr>
        <w:tc>
          <w:tcPr>
            <w:tcW w:w="2477" w:type="dxa"/>
            <w:shd w:val="clear" w:color="auto" w:fill="auto"/>
          </w:tcPr>
          <w:p w14:paraId="3E8C5AE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+ФАБ-100</w:t>
            </w:r>
          </w:p>
        </w:tc>
        <w:tc>
          <w:tcPr>
            <w:tcW w:w="2502" w:type="dxa"/>
            <w:shd w:val="clear" w:color="auto" w:fill="auto"/>
          </w:tcPr>
          <w:p w14:paraId="2987168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w:t>
            </w:r>
          </w:p>
        </w:tc>
        <w:tc>
          <w:tcPr>
            <w:tcW w:w="2740" w:type="dxa"/>
            <w:shd w:val="clear" w:color="auto" w:fill="auto"/>
          </w:tcPr>
          <w:p w14:paraId="3E78C42A" w14:textId="77777777" w:rsidR="00473181" w:rsidRPr="00271E51" w:rsidRDefault="00473181" w:rsidP="00271E51">
            <w:pPr>
              <w:pStyle w:val="121"/>
              <w:shd w:val="clear" w:color="auto" w:fill="auto"/>
              <w:spacing w:line="240" w:lineRule="auto"/>
              <w:jc w:val="both"/>
              <w:rPr>
                <w:rFonts w:ascii="Times New Roman" w:eastAsia="Times New Roman" w:hAnsi="Times New Roman" w:cs="Times New Roman"/>
                <w:color w:val="000000" w:themeColor="text1"/>
                <w:sz w:val="16"/>
                <w:szCs w:val="16"/>
                <w:lang w:eastAsia="ru-RU"/>
              </w:rPr>
            </w:pPr>
            <w:r w:rsidRPr="00271E51">
              <w:rPr>
                <w:rFonts w:ascii="Times New Roman" w:eastAsia="Times New Roman" w:hAnsi="Times New Roman" w:cs="Times New Roman"/>
                <w:color w:val="000000" w:themeColor="text1"/>
                <w:sz w:val="16"/>
                <w:szCs w:val="16"/>
                <w:lang w:eastAsia="ru-RU"/>
              </w:rPr>
              <w:t>-</w:t>
            </w:r>
          </w:p>
        </w:tc>
        <w:tc>
          <w:tcPr>
            <w:tcW w:w="1692" w:type="dxa"/>
            <w:shd w:val="clear" w:color="auto" w:fill="auto"/>
          </w:tcPr>
          <w:p w14:paraId="3A0A47CA"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8</w:t>
            </w:r>
          </w:p>
        </w:tc>
      </w:tr>
      <w:tr w:rsidR="00A907A5" w:rsidRPr="00271E51" w14:paraId="6736E431" w14:textId="77777777" w:rsidTr="00ED5B0A">
        <w:trPr>
          <w:trHeight w:val="274"/>
        </w:trPr>
        <w:tc>
          <w:tcPr>
            <w:tcW w:w="2477" w:type="dxa"/>
            <w:shd w:val="clear" w:color="auto" w:fill="auto"/>
          </w:tcPr>
          <w:p w14:paraId="00D969C4"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+ФАБ-1000</w:t>
            </w:r>
          </w:p>
        </w:tc>
        <w:tc>
          <w:tcPr>
            <w:tcW w:w="2502" w:type="dxa"/>
            <w:shd w:val="clear" w:color="auto" w:fill="auto"/>
          </w:tcPr>
          <w:p w14:paraId="2FBB2240" w14:textId="77777777" w:rsidR="00473181" w:rsidRPr="00271E51" w:rsidRDefault="00473181" w:rsidP="00271E51">
            <w:pPr>
              <w:pStyle w:val="109"/>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740" w:type="dxa"/>
            <w:shd w:val="clear" w:color="auto" w:fill="auto"/>
          </w:tcPr>
          <w:p w14:paraId="391DC4D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c>
          <w:tcPr>
            <w:tcW w:w="1692" w:type="dxa"/>
            <w:shd w:val="clear" w:color="auto" w:fill="auto"/>
          </w:tcPr>
          <w:p w14:paraId="4616794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r>
      <w:tr w:rsidR="00A907A5" w:rsidRPr="00271E51" w14:paraId="109D37D7" w14:textId="77777777" w:rsidTr="00ED5B0A">
        <w:trPr>
          <w:trHeight w:val="274"/>
        </w:trPr>
        <w:tc>
          <w:tcPr>
            <w:tcW w:w="2477" w:type="dxa"/>
            <w:shd w:val="clear" w:color="auto" w:fill="auto"/>
          </w:tcPr>
          <w:p w14:paraId="3FDD185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ФАБ-5000</w:t>
            </w:r>
          </w:p>
        </w:tc>
        <w:tc>
          <w:tcPr>
            <w:tcW w:w="2502" w:type="dxa"/>
            <w:shd w:val="clear" w:color="auto" w:fill="auto"/>
          </w:tcPr>
          <w:p w14:paraId="1FFCD5E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2740" w:type="dxa"/>
            <w:shd w:val="clear" w:color="auto" w:fill="auto"/>
          </w:tcPr>
          <w:p w14:paraId="41A7774E" w14:textId="77777777" w:rsidR="00473181" w:rsidRPr="00271E51" w:rsidRDefault="00473181" w:rsidP="00271E51">
            <w:pPr>
              <w:pStyle w:val="134"/>
              <w:shd w:val="clear" w:color="auto" w:fill="auto"/>
              <w:spacing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92" w:type="dxa"/>
            <w:shd w:val="clear" w:color="auto" w:fill="auto"/>
          </w:tcPr>
          <w:p w14:paraId="5098CA7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r>
      <w:tr w:rsidR="00A907A5" w:rsidRPr="00271E51" w14:paraId="085B8E80" w14:textId="77777777" w:rsidTr="00ED5B0A">
        <w:trPr>
          <w:trHeight w:val="320"/>
        </w:trPr>
        <w:tc>
          <w:tcPr>
            <w:tcW w:w="2477" w:type="dxa"/>
            <w:shd w:val="clear" w:color="auto" w:fill="auto"/>
          </w:tcPr>
          <w:p w14:paraId="7A73F471"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+ФАБ-1000</w:t>
            </w:r>
          </w:p>
        </w:tc>
        <w:tc>
          <w:tcPr>
            <w:tcW w:w="2502" w:type="dxa"/>
            <w:shd w:val="clear" w:color="auto" w:fill="auto"/>
          </w:tcPr>
          <w:p w14:paraId="4D757BE0" w14:textId="77777777" w:rsidR="00473181" w:rsidRPr="00271E51" w:rsidRDefault="00473181" w:rsidP="00271E51">
            <w:pPr>
              <w:pStyle w:val="113"/>
              <w:shd w:val="clear" w:color="auto" w:fill="auto"/>
              <w:spacing w:line="240" w:lineRule="auto"/>
              <w:jc w:val="both"/>
              <w:rPr>
                <w:rFonts w:ascii="Times New Roman" w:eastAsia="Times New Roman" w:hAnsi="Times New Roman" w:cs="Times New Roman"/>
                <w:color w:val="000000" w:themeColor="text1"/>
                <w:sz w:val="16"/>
                <w:szCs w:val="16"/>
                <w:lang w:eastAsia="ru-RU"/>
              </w:rPr>
            </w:pPr>
            <w:r w:rsidRPr="00271E51">
              <w:rPr>
                <w:rFonts w:ascii="Times New Roman" w:eastAsia="Times New Roman" w:hAnsi="Times New Roman" w:cs="Times New Roman"/>
                <w:color w:val="000000" w:themeColor="text1"/>
                <w:sz w:val="16"/>
                <w:szCs w:val="16"/>
                <w:lang w:eastAsia="ru-RU"/>
              </w:rPr>
              <w:t>-</w:t>
            </w:r>
          </w:p>
        </w:tc>
        <w:tc>
          <w:tcPr>
            <w:tcW w:w="2740" w:type="dxa"/>
            <w:shd w:val="clear" w:color="auto" w:fill="auto"/>
          </w:tcPr>
          <w:p w14:paraId="2F1E1EB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c>
          <w:tcPr>
            <w:tcW w:w="1692" w:type="dxa"/>
            <w:shd w:val="clear" w:color="auto" w:fill="auto"/>
          </w:tcPr>
          <w:p w14:paraId="318CF9E5"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w:t>
            </w:r>
          </w:p>
        </w:tc>
      </w:tr>
    </w:tbl>
    <w:p w14:paraId="3B7682D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составу и размещению оборонительное пулеметно-пушечное вооружение самолета соответствовало Пе-8 4М-82.</w:t>
      </w:r>
    </w:p>
    <w:p w14:paraId="4C8650B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Проведенная модернизация, по сравнению с серийным Пе-8 4М-82 выпуска 1943 года, давала следующие преимущества:</w:t>
      </w:r>
    </w:p>
    <w:p w14:paraId="57D44C4F" w14:textId="77777777" w:rsidR="00473181" w:rsidRPr="00271E51" w:rsidRDefault="00473181" w:rsidP="00271E51">
      <w:pPr>
        <w:tabs>
          <w:tab w:val="left" w:pos="58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равной бомбовой нагрузке один модифицированный Пе-8 мог заменять два серийных.</w:t>
      </w:r>
    </w:p>
    <w:p w14:paraId="068050E3" w14:textId="77777777" w:rsidR="00473181" w:rsidRPr="00271E51" w:rsidRDefault="00473181" w:rsidP="00271E51">
      <w:pPr>
        <w:tabs>
          <w:tab w:val="left" w:pos="591"/>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Размещение основной части бомб внутри фюзеляжа, а также другие улучшения аэродинамики снизили километровые расходы топлива на 10%.</w:t>
      </w:r>
    </w:p>
    <w:p w14:paraId="03ABD44F" w14:textId="77777777" w:rsidR="00473181" w:rsidRPr="00271E51" w:rsidRDefault="00473181" w:rsidP="00271E51">
      <w:pPr>
        <w:tabs>
          <w:tab w:val="left" w:pos="54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Увеличение максимальной скорости на 13% дает возможность самолету решать ряд новых тактических задач.</w:t>
      </w:r>
    </w:p>
    <w:p w14:paraId="71FC84E2" w14:textId="77777777" w:rsidR="00473181" w:rsidRPr="00271E51" w:rsidRDefault="00473181" w:rsidP="00271E51">
      <w:pPr>
        <w:tabs>
          <w:tab w:val="left" w:pos="56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Расположение основного экипажа впереди двигателей, помимо улучшения обзора, намного улучшало условия его работы в полете (12726).</w:t>
      </w:r>
    </w:p>
    <w:p w14:paraId="7F82B60D"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48F1CEA"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 октября 1944 г. вышел приказ НКАП «О внедрении мягких бензиновых баков», согласно которому директора заводов №21 (С.И. Агаджанов и №381 (В.И. Журавлев) обязывались до 1 декабря текущего года обеспечить выпуск самолетов Ла-7, оборудованных мягкими бензобаками типа ВИАМ, в объеме, соответственно, 200 и 50 самолетов.</w:t>
      </w:r>
    </w:p>
    <w:p w14:paraId="11551128"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Одновременно С.В. Ильюшину и В.М. Мясищеву ставилась задача «спроектировать и изготовить для самолетов Ил-10 и Пе-2И мягкие бензобаки на основе конструкции и технологии, разработанных ВИАМ, и предъявить самолеты Ил-10 и Пе-2И, оборудованные мягкими бензобаками, на государственные испытания в январе 1945 г.»</w:t>
      </w:r>
    </w:p>
    <w:p w14:paraId="077FDE56"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Остальным главным конструкторам самолетов предлагалось «при проектировании новых типов самолетов предусматривать, наряд) с применением металлических бензобаков - применение и установку неметаллических бензобаков (мягких и фибровых)».</w:t>
      </w:r>
    </w:p>
    <w:p w14:paraId="4F814290"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От начальника ВИАМ А.Т. Туманова требовалось оказать техническую помощь заводам и самолетным КБ при проектировании и освоении технологии производства мягких бензобаков.</w:t>
      </w:r>
    </w:p>
    <w:p w14:paraId="2CE3666E"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Начальник главка снабжения НКАП И.А. Калинин должен был «выдать заказы Главтехноткани на производство бензостойкой ткане Ж-1 и Наркомрезинпрому на облегченные кожзаменитель, и обеспечить поставку их заводам №№21, 381 и Конструкторским бюро тт. Ильюшина и Мясищева в количестве и сроки по заявкам этих заводов и КБ».</w:t>
      </w:r>
    </w:p>
    <w:p w14:paraId="2ADD54D1" w14:textId="77777777" w:rsidR="0040563E" w:rsidRPr="00271E51" w:rsidRDefault="0040563E"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течение следующих трех лет были отработаны и получили широкое практическое применение мягкие протезированные баки нового образца, улучшенные системы заполнения бензобаков нейтральными газами, огнегасящее средство в 3,5 раза эффективнее углекислоты, что обеспечило значительное повышение пожарной безопасности боевых самолетов. Началось внедрение типовой схемы противопожарной защиты реактивного истребителя (17733).</w:t>
      </w:r>
    </w:p>
    <w:p w14:paraId="080B9B03" w14:textId="77777777" w:rsidR="0040563E" w:rsidRPr="00271E51" w:rsidRDefault="0040563E" w:rsidP="00271E51">
      <w:pPr>
        <w:pStyle w:val="12a"/>
        <w:shd w:val="clear" w:color="auto" w:fill="auto"/>
        <w:spacing w:after="0" w:line="240" w:lineRule="auto"/>
        <w:jc w:val="both"/>
        <w:rPr>
          <w:color w:val="000000" w:themeColor="text1"/>
          <w:sz w:val="16"/>
          <w:szCs w:val="16"/>
        </w:rPr>
      </w:pPr>
    </w:p>
    <w:p w14:paraId="404687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 С.П.К. докладывал руководству спецотдела об основных результатах: "...Прибыв 19/XI-1942 г. в Казань, я имел задание ознакомиться с работами, ведущимися по реактивным двигателям. ОКБ завода № 16 работало над созданием чегырехкамерного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Компоновка проекта была сделана в январе месяце. Рабочие чертежи, около 900 шт., выпущены в период с 1/11 по 14/111 с.г. и к этому сроку спущены в цехи..." (12042).</w:t>
      </w:r>
    </w:p>
    <w:p w14:paraId="6CD0AE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20244"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18 октября 1943 г. было докладная записка Королева начальнику 4-го Спецотдела НКВД:</w:t>
      </w:r>
    </w:p>
    <w:p w14:paraId="740DA093"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...Прибыв 19/Х1—1942 г. в Казань, я имел задание ознакомиться с работами, ведущимися по реактивным двигателям. ОКБ завода № 16 работало над созданием четырехкамерного реактивного двигателя РД- с тягой 1200 кгс на жидком топливе с питанием от автономно действующего турбонасосного агрегата для самолетов.</w:t>
      </w:r>
    </w:p>
    <w:p w14:paraId="49D6183E"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 гии (на стенде — от электромотора). Объем всей работы по РД-1 достаточно велик и технически труден, и потому пер вый ее этап — однокамерный двигатель с приводом — являлся наиболее реальным и близким к осуществлению. Одновремен но простейшие подсчеты показывали, что целесообразна ус тановка однокамерного РД-1 с тягой 300 кгс в качестве вспо могательного двигателя для самолета Пе-2 с приводом от авиа мотора М-105» [24].</w:t>
      </w:r>
    </w:p>
    <w:p w14:paraId="356CF1A5"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Таким образом, становилась реальной не только задача в кратчайший срок испытать и отработать РД-1 в воздухе, но и самолет с реактивной установкой приобретал летные дан ные, могущие представлять самостоятельный интерес для бо евого применения. «Проект установки, — пишет далее Коро лев, — однокамерного РД-1 на самолете Пе-2, как первый этап, а также проект чисто реактивного самолета-перехват чика РП, как второй этап этой работы уже с 4-х камерным РД-1, были составлены мною и переданы в 4-й Спецотдел вме сте с краткими расчетными материалами («от 25 декабря 1942 г. № 329»).</w:t>
      </w:r>
    </w:p>
    <w:p w14:paraId="2F7F08BB"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Конструкторские работы по АРУ выполнялись группой, организованной при ОКБ завода № 16 8/1 с. г. Компоновка проекта была сделана в январе месяце. Рабочие чертежи, око ло 900 шт., выпущены в период с 1/Н по 14/Ш с. г. и к этому сроку спущены в цехи...».</w:t>
      </w:r>
    </w:p>
    <w:p w14:paraId="377EB3D8"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«...18/IX с.г. был проведен первый огневой пуск РД на са молете на земле. 1/Х с.г. был сделан первый полет на высоте 2 760 м с включенным РД в воздухе, с продолжительностью 102 И. ЕВТНФЬЕВ работы 2 мин. За это время скорость самолета возросла от 340 км/ч до 420 км/ч по прибору. По горизонтали выполнено еще два полета...» [24].,^_ В докладной рассматриваются и перспективные пробле мы — создание более мощного ракетного ускорителя, сообща ющего самолету дополнительную тягу до 1 800 кгс, использо вание реактивной установки на истребителе для выполнения высотных (до 13...15 км) полетов с герметической кабиной а мощным вооружением со скоростью 720 км/ч.</w:t>
      </w:r>
    </w:p>
    <w:p w14:paraId="12C62B01"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Свои первые чертежи в качестве главного конструктора группы № 5 (встречается и другое ее название — «группа РУ») Королев подписывает 10 января 1943 г., то есть через два дня после своего назначения. С этого времени и до второй полови ны 1944 г. чертежи группы РУ имеют такие выходные дан ные: «ОКБ завода № 16. Начальник ОКБ Бекетов (имел зва ние подполковника госбезопасности и являлся заместителем начальника 4-го Спецотдела НКВД СССР), главный конструктор Королев». Затем шли фамилии конструктора-чер тежника, технолога. В некоторых случаях упоминается и за меститель главного конструктора Н.С. Осипов.</w:t>
      </w:r>
    </w:p>
    <w:p w14:paraId="576C8E6B" w14:textId="77777777" w:rsidR="00C81B90" w:rsidRPr="00271E51" w:rsidRDefault="00C81B90"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Во второй половине 1944 г. чертежи подписываются ина че: «Начальник бюро Осипов», а Королев визирует чертежи без указания должности. Это было связано с изменениями в организационной структуре ОКБ завода № 16 и в судьбе его коллектива. Сейчас можно только предполагать, что руково дило действиями высших органов государственной власти стра ны, но летом 1944 г. коллектив ОКБ в полном составе был освобожден из-под стражи. Согласно протоколу № 8 от 27 июня 1944 г. заседания Президиума Верховного Совета СССР, дос рочно освобождается со снятием судимости и С П. Королев (19586).</w:t>
      </w:r>
    </w:p>
    <w:p w14:paraId="7AA07C87" w14:textId="77777777" w:rsidR="00C81B90" w:rsidRPr="00271E51" w:rsidRDefault="00C81B90" w:rsidP="00271E51">
      <w:pPr>
        <w:pStyle w:val="ae"/>
        <w:shd w:val="clear" w:color="auto" w:fill="FFFFFF"/>
        <w:spacing w:before="0" w:after="0"/>
        <w:jc w:val="both"/>
        <w:rPr>
          <w:color w:val="000000" w:themeColor="text1"/>
          <w:sz w:val="16"/>
          <w:szCs w:val="16"/>
        </w:rPr>
      </w:pPr>
    </w:p>
    <w:p w14:paraId="79D64931"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18 октября </w:t>
      </w:r>
      <w:r w:rsidRPr="00271E51">
        <w:rPr>
          <w:rFonts w:ascii="Times New Roman" w:hAnsi="Times New Roman"/>
          <w:color w:val="000000" w:themeColor="text1"/>
          <w:sz w:val="16"/>
          <w:szCs w:val="16"/>
        </w:rPr>
        <w:t>в 1943 году на базе бывшего завода № 29 в Запорожье организован авиаремонтный завод № 478 (14803).</w:t>
      </w:r>
    </w:p>
    <w:p w14:paraId="2CC2CA46"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47D6A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 на территории эвакуированного завода № 29, где уже был налажен ремонт двигателей М-88Б, был образован авиаремонтный завод. 2.03.1944 г. на базе авиаремонтного завода образован завод № 478 (приказ НКАП № 602с от 10.10.1944 г.)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w:t>
      </w:r>
    </w:p>
    <w:p w14:paraId="0FFC46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5848 от 8.05.1944 г. на заводе № 478 организовано производство моторов М- 88Б. Был оснащен трофейным оборудованием: в 1946 г. заводу выделено 2486 станков (в т.ч. 1283 металлорежущих) из Германии. Вступил в строй в 1947 г.</w:t>
      </w:r>
    </w:p>
    <w:p w14:paraId="5C376B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5.05.1945 г. при заводе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w:t>
      </w:r>
    </w:p>
    <w:p w14:paraId="55302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756-323 от 19.08.1961 г. начата организация серийного производства АИ-24.</w:t>
      </w:r>
    </w:p>
    <w:p w14:paraId="3280CB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филиал в  г. Волочиске.</w:t>
      </w:r>
    </w:p>
    <w:p w14:paraId="121309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1.06.1994 г. ПО «Моторостроитель» преобразовано в ОАО «Мотор </w:t>
      </w:r>
      <w:r w:rsidRPr="00271E51">
        <w:rPr>
          <w:rFonts w:ascii="Times New Roman" w:hAnsi="Times New Roman"/>
          <w:color w:val="000000" w:themeColor="text1"/>
          <w:sz w:val="16"/>
          <w:szCs w:val="16"/>
          <w:lang w:val="en-US"/>
        </w:rPr>
        <w:t>Ci</w:t>
      </w:r>
      <w:r w:rsidRPr="00271E51">
        <w:rPr>
          <w:rFonts w:ascii="Times New Roman" w:hAnsi="Times New Roman"/>
          <w:color w:val="000000" w:themeColor="text1"/>
          <w:sz w:val="16"/>
          <w:szCs w:val="16"/>
        </w:rPr>
        <w:t>4». В состав ОАО входило (2002 г.) 8 заводов, в т.ч.: Снежнянский машзавод, Волочиский машзавод, Лебединский машзавод-1, Гуляйпольский механический завод.</w:t>
      </w:r>
    </w:p>
    <w:p w14:paraId="7F657E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Московское представительство (директор (-2005-06 г.-)- П.И. Кононенко.</w:t>
      </w:r>
    </w:p>
    <w:p w14:paraId="73C0DD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(2002 г.): освоение производства Д-27, ВК-1500, АИ-22; (2005 г.)- освоение производства АИ-25ТЛШ, ВК-1500, АИ-450, Д-27.</w:t>
      </w:r>
    </w:p>
    <w:p w14:paraId="48FF0D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2007 г. планировалось объединение ОАО «Мотор Сич» и ЗМКБ «Прогресс» в «Корпорацию Ивченко».</w:t>
      </w:r>
    </w:p>
    <w:p w14:paraId="7BAC84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(05.1944 г.)- Хижняк, (1959-)- В.И. Омельченко, П.И. Скляров. Гендиректор (-02.1988 г.)- В.И. Омельченко, (1988-2006 г.-)- В.А. Богуслаев.</w:t>
      </w:r>
    </w:p>
    <w:p w14:paraId="2450E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производству (-2004-06 г.-)- В.В. Ткаченко; по маркетингу (-2000-06 г.-)- К.С. Колтун; по качеству (2005 г.)- С. Войтенко; (2007 г.)- В. Семенов.</w:t>
      </w:r>
    </w:p>
    <w:p w14:paraId="4F4DF0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по авиационным программам (2006 г.)- А. Ситнов.</w:t>
      </w:r>
    </w:p>
    <w:p w14:paraId="7C1EB9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моторного производства (2003 г.)- В.В. Омельченко.</w:t>
      </w:r>
    </w:p>
    <w:p w14:paraId="41B04B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(-2000-06 г.-)- П.Д. Жеманюк.</w:t>
      </w:r>
    </w:p>
    <w:p w14:paraId="233C1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(-1949 г.)- Н.А. Левченко.</w:t>
      </w:r>
    </w:p>
    <w:p w14:paraId="52521C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технолога (-1954 г.)- Д.Ф. Зайцев.</w:t>
      </w:r>
    </w:p>
    <w:p w14:paraId="331A3D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механического (1944 г.-)- Д.Ф. Зайцев; экспериментального- Д.Ф. Зайцев.</w:t>
      </w:r>
    </w:p>
    <w:p w14:paraId="10BEA2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инструментального (1946 г.-)- Н.А. Левченко.</w:t>
      </w:r>
    </w:p>
    <w:p w14:paraId="7C7835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авиационные двигатели:</w:t>
      </w:r>
      <w:r w:rsidRPr="00271E51">
        <w:rPr>
          <w:rFonts w:ascii="Times New Roman" w:hAnsi="Times New Roman"/>
          <w:color w:val="000000" w:themeColor="text1"/>
          <w:sz w:val="16"/>
          <w:szCs w:val="16"/>
        </w:rPr>
        <w:t xml:space="preserve"> поршневые: М-88Б, М-11ФР (-1959), АИ-26ГР (1947)- 1300, АШ- 62ИР (1949-52); ГТД: РД-45Ф (1953-58), РД-500 (1956-), </w:t>
      </w:r>
      <w:r w:rsidRPr="00271E51">
        <w:rPr>
          <w:rFonts w:ascii="Times New Roman" w:hAnsi="Times New Roman"/>
          <w:color w:val="000000" w:themeColor="text1"/>
          <w:sz w:val="16"/>
          <w:szCs w:val="16"/>
        </w:rPr>
        <w:lastRenderedPageBreak/>
        <w:t>АИ-8 (1964-), АИ-9 (1967-)- более 2030, АИ-9В (1974)- более 3600, АИ-9-ЗБ (1997), ТВ-2Т, АИ-20 (1957-)- 14.000, АИ-24 (1961-)- более 11.700, АИ-25 (1967-)- 6500, АИ-25ТЛ (1973-)- 2650, АИ-30, Д-36 (1977-), Д-136 (1982-), Д-236, Д-436 (1992-2005-), ТВЗ-117 (1972-)- 22.000, Д-18Т (1985-), ТВЗ-117ВМА-СБМ1 (1997-), ВК-2500 (1999-2005-), ВК-1500 (2005), АИ-22 (2005), АИ-222-25 (2005), Д-27 (2005); бортовой энегроузел АИ-24УБЭ для самолета А-50 (1981); мотоциклетный двигатель М-72 (- 1947), судовой ГТД АИ-23С1 (1967-); передвижные автоматизированные электростанции ПАЭС-2500, ЭГ-1000 (2005), ЭГ-2500Т, ЭГ-6000 (2005), ЭГ-8000, ЭГ-10.000, ЭТД-1000; агрегат тепла и холода АТХ-50/50, генератор инертных газов МТ-1; '" ГТУ для нефтегазоперекачки Д-336, АИ-336 (2002).</w:t>
      </w:r>
    </w:p>
    <w:p w14:paraId="2AADA9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ОКБ-478 НКАП, МАП, Запорожское МКБ «Прогресс», ГП «ЗМКБ «Прогресс» им. академика А. Г. Ивченко», ГП «Экспериментально-исследовательский</w:t>
      </w:r>
    </w:p>
    <w:p w14:paraId="633EB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комплекс «Ивченко-Прогресс»</w:t>
      </w:r>
    </w:p>
    <w:p w14:paraId="777925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69068  г. Запорожье ул. Иванова, 2 тел. 65-03-27/</w:t>
      </w:r>
    </w:p>
    <w:p w14:paraId="7D92C8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по приказу НКАП № 193с от 5.05.1945 г. на заводе № 478 как серийное КБ для доводки и освоения производства М-88Б, по этому же приказу сюда переданы работы по серии и модификациям М-88 из ОКБ-29. По приказу № 414сс от 1.07.1946 г. на базе СКБ создано ОКБ по ПД средней мощности.</w:t>
      </w:r>
    </w:p>
    <w:p w14:paraId="032831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КБ поставлено 140 трофейных металлорежущих станков.</w:t>
      </w:r>
    </w:p>
    <w:p w14:paraId="37FD8B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1948 г. всем созданным двигателям присвоено наименование «АИ».</w:t>
      </w:r>
    </w:p>
    <w:p w14:paraId="14D3E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1953 г. разрабатывало поршневые двигатели, затем передало их в Воронеж, состедоточившись на разработке ТВД и ТВлД.</w:t>
      </w:r>
    </w:p>
    <w:p w14:paraId="21A5EB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и двигателя для него началась разработка АИ-20. Задание также было выдано Люльке и Кузнецову.</w:t>
      </w:r>
    </w:p>
    <w:p w14:paraId="754544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08.1957 г.- в ведении ЗГУ МАП. В 1959 г. ОКБ выделилось из завода в самостоятельное предприятие.</w:t>
      </w:r>
    </w:p>
    <w:p w14:paraId="7D63E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(2004 г.): проектирование, производство, испытание, доводка и ремонт ГТД (винтовентиляторные, винтовые, вентиляторные, турбовальные, ВСУ) авиационного и промышленного применения; ГШ для ГПА компрессорных станций и газлифтных установок; ГТП блочных электростанций; генератор инертных газов; малогабаритный газоперекачивающий агрегат, холодильные установки.</w:t>
      </w:r>
    </w:p>
    <w:p w14:paraId="7DF63A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модификаций Д-36: серий 4А, 5А, 5АФ.</w:t>
      </w:r>
    </w:p>
    <w:p w14:paraId="6A339B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02.2007 г. КБ вошло в состав концерна «Авиация Украины». В 2007 г. планируется объединение ОАО «Мотор Сич» и ЗМКБ «Прогресс» в «Корпорацию Ивченко».</w:t>
      </w:r>
    </w:p>
    <w:p w14:paraId="58F206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(1945-63 г.)- А. Г. Ивченко. Ген. конструктор (1963-68 г.)- А. Г. Ивченко {23.11.1903- 30.06.1968}, (1968-89 г.)- В.А. Лотарев {15.11.1914-94}, (1989-2009 г.-)- Ф.М. Муравченко {18.03.1929-}.</w:t>
      </w:r>
    </w:p>
    <w:p w14:paraId="57E6AA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(1945-68 г.)- А. Г. Ивченко, (1968-89 г.)- В.А. Лотарев, (1989-2005г,-)- Ф.М. Муравченко.</w:t>
      </w:r>
    </w:p>
    <w:p w14:paraId="472F92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 конструктора (1967 г.-)- Ф.М. Муравченко, (-23.12.2002 г.)- В.И. Колесников, (-2004-05 г.-)- И.Ф. Кравченко. 2-й зам. ген. конструктора (2004 г.)-  Г.И. Пейчев. Зам. ген. Конструктора: по производству (2004 г.)- М. Г. Залунин; по маркетингу (2005 г.)- А.В. Гавришенко.</w:t>
      </w:r>
    </w:p>
    <w:p w14:paraId="07268D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(-2004-05 г.-)-  Г.И. Пейчев. Технический директор (2005 г.)-  Г.И. Пейчев.</w:t>
      </w:r>
    </w:p>
    <w:p w14:paraId="6D21D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(1963-68 г.)- В.А. Лотарев, (1967 г.-)- Ф.М. Муравченко, (-23.12.2002 г.)- В.И. Колесников, (- 2004-05 г.-)- И.Ф. Кравченко, (2004 г.)- Л.И. Мартыненко.</w:t>
      </w:r>
    </w:p>
    <w:p w14:paraId="4760D7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(1948 г.-)- В.А. Лотарев, (06.1970-79 г.)- В.М. Чуйко.</w:t>
      </w:r>
    </w:p>
    <w:p w14:paraId="693EA3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авиационные двигатели:</w:t>
      </w:r>
      <w:r w:rsidRPr="00271E51">
        <w:rPr>
          <w:rFonts w:ascii="Times New Roman" w:hAnsi="Times New Roman"/>
          <w:color w:val="000000" w:themeColor="text1"/>
          <w:sz w:val="16"/>
          <w:szCs w:val="16"/>
        </w:rPr>
        <w:t xml:space="preserve"> АИ-4Г для Ка-10 (1946-50), АИ-10 (1947), АИ-12, АИ-14, АИ-14Р (1950), АИ-26В (1947), М-26ГР (1947), М-27, М-10, ТВ-2Т и ТВ-2ВК на базе ТВ-2, АИ-20 (1957), АИ-24 (1961), АИ-25 (1967), АИ-25ТЛ для </w:t>
      </w:r>
      <w:r w:rsidRPr="00271E51">
        <w:rPr>
          <w:rFonts w:ascii="Times New Roman" w:hAnsi="Times New Roman"/>
          <w:color w:val="000000" w:themeColor="text1"/>
          <w:sz w:val="16"/>
          <w:szCs w:val="16"/>
          <w:lang w:val="en-US"/>
        </w:rPr>
        <w:t>L</w:t>
      </w:r>
      <w:r w:rsidRPr="00271E51">
        <w:rPr>
          <w:rFonts w:ascii="Times New Roman" w:hAnsi="Times New Roman"/>
          <w:color w:val="000000" w:themeColor="text1"/>
          <w:sz w:val="16"/>
          <w:szCs w:val="16"/>
        </w:rPr>
        <w:t>-39 (1973), АИ-222, Д-36 (1974), Д-136 для Ми-26 (1978), Д-236Т (1985), Д-436 (1987), ДВ- 2 (1990), Д-18Т (1982), Д-27 (1988), АИ-22 (2000), АИ-222, АИ-436 (Д-436-12) для МС-21;</w:t>
      </w:r>
      <w:r w:rsidRPr="00271E51">
        <w:rPr>
          <w:rFonts w:ascii="Times New Roman" w:hAnsi="Times New Roman"/>
          <w:iCs/>
          <w:color w:val="000000" w:themeColor="text1"/>
          <w:sz w:val="16"/>
          <w:szCs w:val="16"/>
        </w:rPr>
        <w:t xml:space="preserve"> ВСУ:</w:t>
      </w:r>
      <w:r w:rsidRPr="00271E51">
        <w:rPr>
          <w:rFonts w:ascii="Times New Roman" w:hAnsi="Times New Roman"/>
          <w:color w:val="000000" w:themeColor="text1"/>
          <w:sz w:val="16"/>
          <w:szCs w:val="16"/>
        </w:rPr>
        <w:t xml:space="preserve"> АИ-7, АИ-8, АИ- 9, АИ-450МС для Ан-148 (2003); двигатели для буровых установок АИ-23СГ, для газоперекачивающих станций Д-336 (1989); промышленный ГТД АИ-21; генератор инертных газов ГиГ-4; бензопила «Дружба» (1958).</w:t>
      </w:r>
    </w:p>
    <w:p w14:paraId="232459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«Волочиский машиностроительный завод» /Украина 281370  г. Волочиск Хмельницкой обл. тел. 21-355/</w:t>
      </w:r>
    </w:p>
    <w:p w14:paraId="447DDA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Основан в 1971 г. Входит в состав (2002 г.) ОАО «Мотор-Сич».</w:t>
      </w:r>
    </w:p>
    <w:p w14:paraId="2B26FC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(2002 г.): передвижные автоматизированные электростанции ПАЭС-2500; детали авиационных ГТД; инструмент, оснастка для ОАО «Мотор-Сич».</w:t>
      </w:r>
    </w:p>
    <w:p w14:paraId="11C327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(1973-88 г.)- В.А. Богуслаев.</w:t>
      </w:r>
    </w:p>
    <w:p w14:paraId="06C8CA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Гуляйпольский механический завод /Украина 332837 п. Зализнычный Гуляйпольского р-на Запорожской обл. ул. Котовского, 2 тел. 90-124/</w:t>
      </w:r>
    </w:p>
    <w:p w14:paraId="5FFB93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Входит в состав (2002 г.) ОАО «Мотор-Сич».</w:t>
      </w:r>
    </w:p>
    <w:p w14:paraId="514968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детали и узлы авиационных и наземных ГТД, запчасти к автомобилям.</w:t>
      </w:r>
      <w:r w:rsidRPr="00271E51">
        <w:rPr>
          <w:rFonts w:ascii="Times New Roman" w:hAnsi="Times New Roman"/>
          <w:color w:val="000000" w:themeColor="text1"/>
          <w:sz w:val="16"/>
          <w:szCs w:val="16"/>
          <w:vertAlign w:val="superscript"/>
        </w:rPr>
        <w:t>69</w:t>
      </w:r>
    </w:p>
    <w:p w14:paraId="082F8A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Снежнянский машиностроительный завод /Украина 86503  г. Снежное Донецкой обл. ул. Терешковой, 3 тел. 53-096/</w:t>
      </w:r>
    </w:p>
    <w:p w14:paraId="22E8DF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основан в 1970 г.</w:t>
      </w:r>
    </w:p>
    <w:p w14:paraId="5AE16E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лопатки компрессоров и турбин, диски компрессоров ГТД; детали двигателей АИ-25, Д-30, АИ-20, Д-18, ТВЗ-117, Д-127, Д-136; паровой котлоагрегат КПА-500 (2002 г.) (11982).</w:t>
      </w:r>
    </w:p>
    <w:p w14:paraId="156AC4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FBD3F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 ТЕЛЕГРАММА А.И. МИКОЯНА ПРЕДСЕДАТЕЛЮ НОВОСИБИРСКОГО ОБЛИСПОЛКОМА И.Т. ГРИШИНУ, СЕКРЕТАРЮ ОБКОМА ВКП(б) М.В. КУЛАГИНУ О ПРИЕЗДЕ В НОВОСИБИРСК ДОНАЛЬДА НЕЛЬСОНА</w:t>
      </w:r>
    </w:p>
    <w:p w14:paraId="46FF7CB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Москва </w:t>
      </w:r>
    </w:p>
    <w:p w14:paraId="525FD44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Комитета военного производства США г-н Дональд Нельсон, находящийся в Союзе, изъявил желание посетить г. Новосибирск и осмотреть авиационный завод истребителей. Прошу Вас принять необходимые меры для организации встречи и показа объектов г-ну Нельсону. Для сопровождения г-на Нельсона от Наркомвнеш-торга мною назначены тт. Кириллов В.Г. и Алексеев П.С.</w:t>
      </w:r>
    </w:p>
    <w:p w14:paraId="415FFEF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Микоян)</w:t>
      </w:r>
    </w:p>
    <w:p w14:paraId="1AC5FD2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Гн Нельсон прибыл в Новосибирск на своем самолете 24JC.1943 года в 5 часов вечера. Был встречен на аэродроме завода Чкалова. Руковод ством области принят на даче обкома. 25. X гн Нельсон был на авиа заводе, 26 октября — на заводе М 69. 27. X в 11 часов дня Нельсон выбыл в Америку через Ташкент. Ирак.</w:t>
      </w:r>
    </w:p>
    <w:p w14:paraId="388DF22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[Маслов]</w:t>
      </w:r>
    </w:p>
    <w:p w14:paraId="388F76F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своей телеграмме на имя тов. Кулагина г-н Нельсон сообщает, что 31. X 1943 года он благополучно прибыл в Вашингтон, что за время своей поездки в СССР он пролетел на самолете 12 600 миль. Еще раз благодарит за оказанный ему хороший прием в Новосибирске.</w:t>
      </w:r>
    </w:p>
    <w:p w14:paraId="72D4CA4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[Маслов]</w:t>
      </w:r>
    </w:p>
    <w:p w14:paraId="68612E7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34. Д. 176. Л. 1. Подлинник.</w:t>
      </w:r>
    </w:p>
    <w:p w14:paraId="7340138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Микояна. В верхнем левом углу резолюция Кулагина: т. Маслову и подпись. Под документом рукописный текст Маслова. черными чернилами, о благодарности председателя Комитета военного производства США г-на Дональда Нельсона за оказанный ему хороший прием. Далее подпись-росчерк Маслова (12193).</w:t>
      </w:r>
    </w:p>
    <w:p w14:paraId="7C3AC1EA"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52E291D" w14:textId="77777777" w:rsidR="002439EA" w:rsidRPr="00271E51" w:rsidRDefault="002439EA"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18 октября 1943 г. Приказ № 246 начальника ЛИИ А.В. Чесалова о вынесении благодарности с занесением в личное дело летчику М.Л. Галлаю</w:t>
      </w:r>
    </w:p>
    <w:p w14:paraId="06EC2829" w14:textId="77777777" w:rsidR="002439EA" w:rsidRPr="00271E51" w:rsidRDefault="002439EA" w:rsidP="00271E51">
      <w:pPr>
        <w:tabs>
          <w:tab w:val="left" w:pos="488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Стаханово</w:t>
      </w:r>
    </w:p>
    <w:p w14:paraId="2CCD72A7"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октября 1943г. при выполнении задания на самолете Пе-2, пи</w:t>
      </w:r>
      <w:r w:rsidRPr="00271E51">
        <w:rPr>
          <w:rFonts w:ascii="Times New Roman" w:hAnsi="Times New Roman"/>
          <w:color w:val="000000" w:themeColor="text1"/>
          <w:sz w:val="16"/>
          <w:szCs w:val="16"/>
        </w:rPr>
        <w:softHyphen/>
        <w:t>лотируемом т. Галлай М.Л., возникла раскрутка винта одного из мото</w:t>
      </w:r>
      <w:r w:rsidRPr="00271E51">
        <w:rPr>
          <w:rFonts w:ascii="Times New Roman" w:hAnsi="Times New Roman"/>
          <w:color w:val="000000" w:themeColor="text1"/>
          <w:sz w:val="16"/>
          <w:szCs w:val="16"/>
        </w:rPr>
        <w:softHyphen/>
        <w:t>ров с последующим быстрым падением давления масла.</w:t>
      </w:r>
    </w:p>
    <w:p w14:paraId="60B44EA0"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сохранения мотора последний был немедленно выключен. При отдаленности от аэродрома и малом запасе высоты самолет благо</w:t>
      </w:r>
      <w:r w:rsidRPr="00271E51">
        <w:rPr>
          <w:rFonts w:ascii="Times New Roman" w:hAnsi="Times New Roman"/>
          <w:color w:val="000000" w:themeColor="text1"/>
          <w:sz w:val="16"/>
          <w:szCs w:val="16"/>
        </w:rPr>
        <w:softHyphen/>
        <w:t>получно был доведен до аэродрома и при большой загрузке старта была произведена нормальная посадка.</w:t>
      </w:r>
    </w:p>
    <w:p w14:paraId="003947CA"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умелые и четкие действия в сложных условиях полета объяв</w:t>
      </w:r>
      <w:r w:rsidRPr="00271E51">
        <w:rPr>
          <w:rFonts w:ascii="Times New Roman" w:hAnsi="Times New Roman"/>
          <w:color w:val="000000" w:themeColor="text1"/>
          <w:sz w:val="16"/>
          <w:szCs w:val="16"/>
        </w:rPr>
        <w:softHyphen/>
        <w:t>ляю тов. Галлай М.Л. благодарность с занесением в личное дело.</w:t>
      </w:r>
    </w:p>
    <w:p w14:paraId="3083C6EF"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ЛИИ НКАП, профессор А.В. Чесалов</w:t>
      </w:r>
    </w:p>
    <w:p w14:paraId="4A737B4B"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РАНТД. Ф. Р-220. Оп. 3-6. Д. 5. Л. 69. Подлинник (15633).</w:t>
      </w:r>
    </w:p>
    <w:p w14:paraId="4B4DC483" w14:textId="77777777" w:rsidR="002439EA" w:rsidRPr="00271E51" w:rsidRDefault="002439EA" w:rsidP="00271E51">
      <w:pPr>
        <w:pStyle w:val="233"/>
        <w:shd w:val="clear" w:color="auto" w:fill="auto"/>
        <w:spacing w:before="0" w:line="240" w:lineRule="auto"/>
        <w:jc w:val="both"/>
        <w:outlineLvl w:val="9"/>
        <w:rPr>
          <w:b w:val="0"/>
          <w:i w:val="0"/>
          <w:color w:val="000000" w:themeColor="text1"/>
          <w:sz w:val="16"/>
          <w:szCs w:val="16"/>
        </w:rPr>
      </w:pPr>
    </w:p>
    <w:p w14:paraId="0178AE6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DC6A2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52B5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по 23 октября 1943 г. были проведены ис</w:t>
      </w:r>
      <w:r w:rsidRPr="00271E51">
        <w:rPr>
          <w:rFonts w:ascii="Times New Roman" w:hAnsi="Times New Roman"/>
          <w:color w:val="000000" w:themeColor="text1"/>
          <w:sz w:val="16"/>
          <w:szCs w:val="16"/>
        </w:rPr>
        <w:softHyphen/>
        <w:t>пытания ИС-122 (ИС-2), на основании результатов которых комиссия пришла к выводам, что 122-мм танковая пушка Д-25 полигонные испытания выдержала, но требует доработки отдельных уз</w:t>
      </w:r>
      <w:r w:rsidRPr="00271E51">
        <w:rPr>
          <w:rFonts w:ascii="Times New Roman" w:hAnsi="Times New Roman"/>
          <w:color w:val="000000" w:themeColor="text1"/>
          <w:sz w:val="16"/>
          <w:szCs w:val="16"/>
        </w:rPr>
        <w:softHyphen/>
        <w:t>лов и деталей и после устранения недостатков может быть допущена для серийного производства. Одновременно члены комиссии рекомендовали поршневой затвор заменить на клиновой полуавтоматический (10703).</w:t>
      </w:r>
    </w:p>
    <w:p w14:paraId="381441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1E3E7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18 октября 1943 года вышел приказ № 622 НКТП</w:t>
      </w:r>
    </w:p>
    <w:p w14:paraId="2F4FFB6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Организовать на Мариупольском заводе им. Ильича базу по ремонту танков КВ и Т-34 (6140, 298-297).</w:t>
      </w:r>
    </w:p>
    <w:p w14:paraId="2A6C8F0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B82656"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г. в письме № ос-4/4279с Нарком среднего машиностроения Акопов сообщал в ГКО В. М. Молотову: «Горьковский мотоциклетный завод из-за неукомплектованности оборудованием, в особенности линий производства моторов и коробок скоростей, а также квалифицированных рабочих, не имеет возможности в ближайшее время довести выпуск мотоциклов до установленной мощности. Произвести доукомплектование оборудованием ГМЗ за счет выделяемых фондов НКСМ не в состоянии, в виду крайней их ограниченности. Для скорейшего доукомплектования оборудованием ГМЗ и увеличения мощности его по выпуску мотоциклов НКСМ считает целесообразным перевезти оборудование и кадры Тюменьского мотоциклетного завода на Горьковский мотозавод. Самостоятельное существование Тюменьского мотоциклетного завода, при отсутствии заготовительных цехов, недостаточности металлорежущего обо</w:t>
      </w:r>
      <w:r w:rsidRPr="00271E51">
        <w:rPr>
          <w:rFonts w:ascii="Times New Roman" w:hAnsi="Times New Roman"/>
          <w:color w:val="000000" w:themeColor="text1"/>
          <w:sz w:val="16"/>
          <w:szCs w:val="16"/>
        </w:rPr>
        <w:softHyphen/>
        <w:t>рудования, позволяющего выпускать в месяц не более 100 мотоциклов, явно нерентабельно. Передача оборудования и квалифицированных кадров с Тюменьского на Горьковский мотозавод позволит уже в IV квартале 1943 года укомплектовать оборудованием наиболее важные линии производства моторов и коробок скоростей и увеличить на 30–35 % мощности этого завода по выпуску мотоциклов». Завод ТМЗ, как не имеющий возможностей для производства М-72 и в связи с нецелесообразностью в перспективе сохранения выпуска мотоциклов ТИЗ, был ликвидирован. Его имущество и кадры направили в г. Горький. Впрочем, и на Горьковским мотозаводе «Серп и Молот» положение было далеко от идеального (19776).</w:t>
      </w:r>
    </w:p>
    <w:p w14:paraId="30A37175"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0944628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октября 1943 вышло Постановление ГКО № 4360 [О мерах по обеспечению электроэнергией восстановительных работ в Донбассе.] (7148, 10-11).</w:t>
      </w:r>
    </w:p>
    <w:p w14:paraId="1F84CAC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335A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D0E95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8FC172"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18 октября </w:t>
      </w:r>
      <w:r w:rsidRPr="00271E51">
        <w:rPr>
          <w:rFonts w:ascii="Times New Roman" w:hAnsi="Times New Roman"/>
          <w:color w:val="000000" w:themeColor="text1"/>
          <w:sz w:val="16"/>
          <w:szCs w:val="16"/>
        </w:rPr>
        <w:t>в 1943 году оперативная сводка Совинформбюро:</w:t>
      </w:r>
    </w:p>
    <w:p w14:paraId="5CFCF878"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продолжали вести упорные уличные бои в городе Мелитополь, нанося противнику большие потери в живой силе и технике.</w:t>
      </w:r>
    </w:p>
    <w:p w14:paraId="6FD50D6D"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наши войска, продолжая наступление, продвинулись вперед от 5 до 7 километров и заняли 23 населённых пункта, средикоторых Дериевка, Петровка, Малая Кушковка, Григорьевка, Луковка, Владимировка.</w:t>
      </w:r>
    </w:p>
    <w:p w14:paraId="5B70F5C6"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отбивая контратаки пехоты и танков противника, продолжали вести бои по расширению плацдарма на правом берегу реки Днепр и значительно улучшили свои позиции.</w:t>
      </w:r>
    </w:p>
    <w:p w14:paraId="17918B6B"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вели успешные бои за расширение плацдарма на правом берегу реки Сож и овладели населёнными пунктами Старые и Новые Дятловичи, Шарпиловка, Хоминка, Карповка, Абакумы, Михайловская, Войтин, Каменева Рудня, Поповка.</w:t>
      </w:r>
    </w:p>
    <w:p w14:paraId="459E3D38"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вели успешные бои по расширению плацдарма на правом берегу Днепра.</w:t>
      </w:r>
    </w:p>
    <w:p w14:paraId="629F73C5"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1A293206"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октября наши войска на всех фронтах подбили и уничтожили 171 немецкий танк. В воздушных боях и огнём зенитной артиллерии сбито 45 самолётов противника.</w:t>
      </w:r>
    </w:p>
    <w:p w14:paraId="3970C16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Мелитополь продолжались уличные бои. Особенно ожесточённые бои происходили в районе одной площади; на подступах к ней немцы построили дзоты, а также сильно укрепили окружающие её дома. Наши штурмовые отряды обошли площадь и ударом с тыла и флангов разгромили гитлеровцев. Заняв площадь, советские бойцы продолжали продвигаться вперёд и очистили от противника ряд кварталов города и лесопитомник. За истекший день уничтожено до 2.000 гитлеровцев и 35 немецких танков. Юго-западнее Мелитополя, в районе железной дороги, немцы предприняли контратаку, но понесли большие потери и откатились на исходные рубежи.</w:t>
      </w:r>
    </w:p>
    <w:p w14:paraId="35B89995"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 правом берегу Днепра, наши войска продолжали наступление. Противник, опираясь на населённые пункты и подтягивая крупные подкрепления, неоднократно контратаковал наступающие советские части. Наши войска, отбрасывая и уничтожая противника, очищают от немцев один населённый пункт за другим. В результате боёв за день уничтожено не менее полка гитлеровцев, подбито и сожжено 42 немецких танка, в том числе несколько тяжёлых танков. Захвачены 22 орудия и другие трофеи. Бойцы Н-ского гвардейского соединения, заняв несколько населённых пунктов, истребили свыше 800 вражеских солдат и офицеров. Артиллеристы соединения уничтожили 12 полевых и 2 самоходных орудия противника. На другом участке наши войска, создав угрозу окружения одного населённого пункта, вынудили гитлеровцев поспешно отступить. Немцы бросили 16 орудий с тягачами и много другого вооружения.</w:t>
      </w:r>
    </w:p>
    <w:p w14:paraId="05E8CB10"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вели бои за расширение плацдарма на правом берегуДнепра и значительно улучшили свои позиции. На одном участке группа танков и мотопехоты противника вышла в тыл наших подразделений. В результате активных действий советских стрелковых частей и артиллерии прорвавшаяся группа противника была разгромлена. Подбито и уничтожено 39 немецких танков, 80 автомашин и истреблено свыше 1.000 немецких солдат и офицеров. Преследуя остатки разгромленной группы противника, наши бойцы захватили пленных и трофеи. На другом участке советские танкисты вклинились в оборону немцев, а затем умелым манёвром заняли крупный населённый пункт. В этом пункте уничтожено большое количество артиллерии, 13 танков и обозы противника. Немцы понесли тяжёлые потери в живой силе. Захвачено знамя немецкого полка, 11 полевых орудий, четыре самоходных орудия «Фердинанд» и 3 полностью исправных танка. Взяты пленные.</w:t>
      </w:r>
    </w:p>
    <w:p w14:paraId="4EC2E7CC"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вели успешные бои за расширение плацдарма на правом берегу реки Сож. В одном районе советские части в течение дня отбили двадцать контратак немцев. В бесплодных попытках потеснить наши войска противник потерял убитыми более 1.500 солдат и офицеров. Наши бойцы подбили 16 и сожгли 3 немецких танка, уничтожили 30 орудий разных калибров. Отбив контратаки противника, наши войска продвинулись вперёд и заняли несколько населённых пунктов. Захвачено 12 орудий, 42 пулемёта и другие трофеи. Взято до 100 пленных.</w:t>
      </w:r>
    </w:p>
    <w:p w14:paraId="264365C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Разведка Житомирского партизанского отряда установила, что по ближайшей шоссейной дороге к фронту следует в походном порядке немецкая пехота. Партизаны минировали шоссе и устроили засаду. Когда головная колонна немцев нарвалась на мины, советские патриоты из засады открыли огонь из пулемётов, автоматов и винтовок. Убито и ранено до 300 немецко-фашистских оккупантов.</w:t>
      </w:r>
    </w:p>
    <w:p w14:paraId="02A4A05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Запорожья захвачено в плен много немцев. Пленный командир 12 роты 416 полка 123 немецкой пехотной дивизии лейтенант Рудольф Виндиш рассказал: «Наша дивизия находилась южнее Ленинграда. В сентябре её срочно перебросили на юг. Части дивизии прибыли в город Запорожье и отсюда двинулись пешком в район противотанкового рва, где и заняли оборону в мощных укреплениях. Командование поставило перед нами задачу во что бы то ни стало удержать занимаемые позиции и сражаться до последнего дыхания. Но дивизия не сумела выполнить этот приказ. Все наши контратаки захлебнулись, и мы понесли чрезвычайно тяжёлые потери. Очень трудно держаться ещё и потому, что солдаты очень боятся попасть в окружение. Достаточно лишь малейшей угрозы окружения, как они, не дожидаясь приказа, снимаются с позиций. Когда русские прорвали линию обороны, многие подразделения нашего полка сдались в плен».</w:t>
      </w:r>
    </w:p>
    <w:p w14:paraId="00A81F06"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оккупантов в городе Дружковка, Сталинской области: «Немцы разорили наш город, ограбили население и убили многих мирных граждан: женщин, детей и стариков. До оккупации в Дружковке насчитывалось свыше 30 тысяч жителей, а после изгнания гитлеровцев в городе осталось не более 16 тысяч человек. Немецко-фашистские изверги и палачи замучилии расстреляли многих жителей. Большое число молодёжи и взрослых немцы угнали на каторгу в Германию. Немецкие оккупанты сожгли и взорвали завод металлических изделий, стекольный завод, две швейных фабрики, десять школ, две больницы, поликлинику, парк культуры, стадион, разграбили и взорвали церковь. Всего гитлеровские мерзавцы уничтожили свыше трёхсот зданий города».</w:t>
      </w:r>
    </w:p>
    <w:p w14:paraId="4CBACE7F" w14:textId="77777777" w:rsidR="002439EA" w:rsidRPr="00271E51" w:rsidRDefault="002439EA"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Акт подписали: председатель Городского Совета М.Соколов, депутаты Совета Р.Дейнеко и М.Городкова; священник Гавриловского прихода А.Середа, Е.Смирнова, Е.Зиновченко и другие жители города.» </w:t>
      </w:r>
      <w:r w:rsidRPr="00271E51">
        <w:rPr>
          <w:rFonts w:ascii="Times New Roman" w:hAnsi="Times New Roman"/>
          <w:color w:val="000000" w:themeColor="text1"/>
          <w:sz w:val="16"/>
          <w:szCs w:val="16"/>
          <w:lang w:val="en-US"/>
        </w:rPr>
        <w:t>(14803).</w:t>
      </w:r>
    </w:p>
    <w:p w14:paraId="3590BA25" w14:textId="77777777" w:rsidR="002439EA" w:rsidRPr="00271E51" w:rsidRDefault="002439EA" w:rsidP="00271E51">
      <w:pPr>
        <w:spacing w:after="0" w:line="240" w:lineRule="auto"/>
        <w:jc w:val="both"/>
        <w:rPr>
          <w:rFonts w:ascii="Times New Roman" w:hAnsi="Times New Roman"/>
          <w:color w:val="000000" w:themeColor="text1"/>
          <w:sz w:val="16"/>
          <w:szCs w:val="16"/>
          <w:lang w:val="en-US"/>
        </w:rPr>
      </w:pPr>
    </w:p>
    <w:p w14:paraId="0C41E64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18 </w:t>
      </w:r>
      <w:r w:rsidRPr="00271E51">
        <w:rPr>
          <w:rFonts w:ascii="Times New Roman" w:hAnsi="Times New Roman"/>
          <w:color w:val="000000" w:themeColor="text1"/>
          <w:sz w:val="16"/>
          <w:szCs w:val="16"/>
        </w:rPr>
        <w:t>октября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советскиевойскаосвободилиМелитополь</w:t>
      </w:r>
      <w:r w:rsidRPr="00271E51">
        <w:rPr>
          <w:rFonts w:ascii="Times New Roman" w:hAnsi="Times New Roman"/>
          <w:color w:val="000000" w:themeColor="text1"/>
          <w:sz w:val="16"/>
          <w:szCs w:val="16"/>
          <w:lang w:val="en-US"/>
        </w:rPr>
        <w:t xml:space="preserve"> (4962).</w:t>
      </w:r>
    </w:p>
    <w:p w14:paraId="572BD42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4777F73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Внешняя</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политика</w:t>
      </w:r>
      <w:r w:rsidRPr="00271E51">
        <w:rPr>
          <w:rFonts w:ascii="Times New Roman" w:hAnsi="Times New Roman"/>
          <w:i/>
          <w:iCs/>
          <w:color w:val="000000" w:themeColor="text1"/>
          <w:sz w:val="16"/>
          <w:szCs w:val="16"/>
          <w:lang w:val="en-US"/>
        </w:rPr>
        <w:t>:</w:t>
      </w:r>
    </w:p>
    <w:p w14:paraId="605431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90E2F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18 October 1943 (18-October-1-November) Second Moscow Conference is held (270).</w:t>
      </w:r>
    </w:p>
    <w:p w14:paraId="50496E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304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Conferees: Foreign ministers Hull, Eden, Molotov. Main result: Tentative plans for cooperation in postwar Europe (1052).</w:t>
      </w:r>
    </w:p>
    <w:p w14:paraId="53C258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D444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октября по 1 ноября 1943 состоялась Вторая московская конференция (270;1052).</w:t>
      </w:r>
    </w:p>
    <w:p w14:paraId="275882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СССР был В.М.М., от США - К.Хэлл, от Великобритании - А.Иден. Приняли "Декларацию четырех государств по вопросу о всеобщей безопасности" (потом ее подписал и Китай), "Декларация об Италии", "Декларация об Австрии" (признали недействительным аншлюс 1938), а также подписанную И.В.С. и У.Черчилем "Декларацию об ответственности гитлеровцев за совершаемые зверства" (1348,258).</w:t>
      </w:r>
    </w:p>
    <w:p w14:paraId="09A322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18DBC"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18 октября </w:t>
      </w:r>
      <w:r w:rsidRPr="00271E51">
        <w:rPr>
          <w:rFonts w:ascii="Times New Roman" w:hAnsi="Times New Roman"/>
          <w:color w:val="000000" w:themeColor="text1"/>
          <w:sz w:val="16"/>
          <w:szCs w:val="16"/>
        </w:rPr>
        <w:t>в 1943 году московская конференция министров иностранных дел союзных держав (до 30 октября). Принимается решение об учреждении Европейского совещательного комитета для консультаций представителей США, Великобритании и СССР по будущему устройству Европы (14803).</w:t>
      </w:r>
    </w:p>
    <w:p w14:paraId="4F2758FC"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338DA6C5"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18-30 октября 1943. Московская конференция министров иностранных дел СССР и Великобритании В. М. Молотова и А. Идена и государственного секретаря США К. Хэл-ла. Принято коммюнике об открытии весной 1944 года второго фронта. Из-за погодных условий иностранные делегации смогли улететь из Москвы только 3 ноября.</w:t>
      </w:r>
    </w:p>
    <w:p w14:paraId="5C43AAA2"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Корделл Хэлл вспоминал: "Мы прибыли в Москву во второй половине холодного дня 18 октября, незадолго до захода солнца. В аэропорту нас встречали Молотов и Литвинов, а также Дональд Нельсон, начальник нашего Управления военного производства, и большая группа других официальных лиц. Молотов и Литвинов тепло приветствовали меня. Затем я поехал в резиденцию американского посла в Спасопесковском переулке, которая была известна как "Спасо-хауз"...</w:t>
      </w:r>
    </w:p>
    <w:p w14:paraId="2AF5E53D"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министра иностранных дел встретились в Кремле вечером 18 октября в атмосфере сердечности, сотрудничества и строгой деловитости. Мы быстро договорились о том, что не будем произносить речей, о советниках, которые будут присутствовать вместе с нами на заседаниях, и о первом коммюнике, которое мы опубликуем...</w:t>
      </w:r>
    </w:p>
    <w:p w14:paraId="36682D94"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Пробыв в Москве почти неделю, я сказал Молотову, что не знаю правил протокола, связанного с получением аудиенции у маршала Сталина; не знаю, сколько надо ждать, не слишком ли я долго выжидал, но в любом случае я счел бы за честь, если бы мог встретиться с его "боссом" и оставляю этот вопрос на усмотрение Молотова... Вскоре Молотов сообщил мне. что Сталин примет меня в</w:t>
      </w:r>
    </w:p>
    <w:p w14:paraId="55A94721"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Кремле в три часа дня 25 октября...</w:t>
      </w:r>
    </w:p>
    <w:p w14:paraId="5A1A97F3"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я входил в просторный кабинет Сталина, он вошел через другую дверь, встретил меня на полпути и пожал мне руку, Держался он приветливо и непринужденно. Он проводил меня к месту за столом, а затем сел напротив меня спиной к стене. Наша беседа началась с частного разговора. Мы обменялись мнениями по поводу того, как сеять пшеницу. Я рассказал Сталину, что в Теннесси ее сеют в пахоту глубиной до 6 дюймов, что, видимо, было для него новостью. Мы обсудили, как делать плоты. Я описал, как мы связывали бревна в плоты в Теннесси, используя побеги орешника. Сталин поведал, как грузины пользуются в этих целях виноградной лозой. Я сообщил Сталину, что очень рад побывать в Москве, так как давно мечтал посетить его страну. Я сказал, что за свою жизнь присутствовал на многих международных конференциях, но ни на одной мне не оказывалось столь большого гостеприимства и внимания со стороны хозяев, как со стороны Советского правительства и лично Молотова. Сталин ответил, что не ожидал услышать такую оценку. Я отметил, что одна из наиболее важных задач нынешней конференции состоит в том, чтобы заложить основу для встречи между ним, президентом Рузвельтом и премьер-министром Черчиллем, в которой жизненно заинтересован весь американский народ, и, более того, все люди мира, ведущие борьбу против нацизма и фашизма. Затем я передал Сталину послание президента относительно места встречи... Наша беседа длилась около часа -фактически полчаса, если учесть время, затраченное на перевод. И поскольку приближался час возобновления работы конференции, я сказал Сталину, что, как прилежному ученику Молотова, мне пора идти в школу на Спиридоновку. Маршал улыбнулся и пожелал мне удачи" (18693).</w:t>
      </w:r>
    </w:p>
    <w:p w14:paraId="494432BF"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770E3150" w14:textId="52E78D58" w:rsidR="00736B3D" w:rsidRPr="00271E51" w:rsidRDefault="00736B3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2A7236D1" w14:textId="77777777" w:rsidR="00736B3D" w:rsidRPr="00271E51" w:rsidRDefault="00736B3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D712828"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18–19 октября (ночь) 1943 в завершение серии из четырех налетов на Ганновер, 360 Ланкастеров атакуют город, потеряв 18 из своего числа (5 процентов). Из-за облачности и плохого целеуказания они широко разбрасывают бомбы, в основном над открытой местностью к северу и западу от Ганновера. Один из британских бомбардировщиков стал пятитысячным, потерянным бомбардировочным командованием во время Второй мировой войны. В четырех налетах на Ганновер британцы совершили 2253 самолето-вылета, ВВС США - 10 самолето-вылетов B-17 Flying Fortress, и 110 бомбардировщиков (4,9 процента) были потеряны. В ходе налетов этой ночи с начала Второй мировой войны самолеты бомбардировочного командования совершили около 144 500 самолето-вылетов, 90 процентов из них - ночью. Он потерял 5004 самолета, 4365 ночью и 639 днем (20376).</w:t>
      </w:r>
    </w:p>
    <w:p w14:paraId="691E585A" w14:textId="77777777" w:rsidR="00736B3D" w:rsidRPr="00271E51" w:rsidRDefault="00736B3D" w:rsidP="00271E51">
      <w:pPr>
        <w:spacing w:after="0" w:line="240" w:lineRule="auto"/>
        <w:jc w:val="both"/>
        <w:rPr>
          <w:rFonts w:ascii="Times New Roman" w:hAnsi="Times New Roman"/>
          <w:color w:val="0070C0"/>
          <w:sz w:val="16"/>
          <w:szCs w:val="16"/>
        </w:rPr>
      </w:pPr>
    </w:p>
    <w:p w14:paraId="5A17D9D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 октября 1943 из Дободуры, Новая Гвинея, пятые армия воздушных сил совершают еще один налет на Рабаул примерно такого же размера, как и налет 12 октября, но плохая погода мешает и только 54 бомбардировщика B-25 Mitchell достигают цели (20376).</w:t>
      </w:r>
    </w:p>
    <w:p w14:paraId="600CBAE3" w14:textId="77777777" w:rsidR="00736B3D" w:rsidRPr="00271E51" w:rsidRDefault="00736B3D" w:rsidP="00271E51">
      <w:pPr>
        <w:spacing w:after="0" w:line="240" w:lineRule="auto"/>
        <w:jc w:val="both"/>
        <w:rPr>
          <w:rFonts w:ascii="Times New Roman" w:hAnsi="Times New Roman"/>
          <w:color w:val="0070C0"/>
          <w:sz w:val="16"/>
          <w:szCs w:val="16"/>
        </w:rPr>
      </w:pPr>
    </w:p>
    <w:p w14:paraId="585BB1B0" w14:textId="7686BF9F"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0BC80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A55C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при контрольном испытании Ил-2 завода 30 N 303125 были достигнуты скорости 402 км/час у земли и - км/час на границе высотности (1823,28).</w:t>
      </w:r>
    </w:p>
    <w:p w14:paraId="64D332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34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А.И.Ш. писал Г.М.М. письмо N И-26/4165:</w:t>
      </w:r>
    </w:p>
    <w:p w14:paraId="36951A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материалы парторга ЦК ВКП(б) на заводе 1 Одинокова об отмене алитирования выхлопных патрубков на машине Ил-2 докладываю, что НКАПом и ВВС дано заводу 1 совместное указание о выпуске 50 машин Ил-2 с неалитированными патрубками из С-20 для тщательной проверки качества данных патрубков при эксплуатации в в/ч" (1754,56).</w:t>
      </w:r>
    </w:p>
    <w:p w14:paraId="112BF6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4D5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назначили экипаж для испытания И-231 (МиГ-3У АМ-39А и удлиненными консолями) - В.Н.Савкин л и А.В.Фуфурин мех и И.В.Котов - моторист. Савкин выполнил первый полет на 2Д МиГ с АМ-39 и испытания продолжались 8 дней, то есть до 28 октября (992,11). Нет, заводские испытания закончились 6 ноября аварийной посадкой в Ногинске (5046,34).</w:t>
      </w:r>
    </w:p>
    <w:p w14:paraId="74989A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A9F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И-231 (2Д) А.И.М. с АМ-39А совершил первый вылет (9032).</w:t>
      </w:r>
    </w:p>
    <w:p w14:paraId="044F65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486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согласно журнала наблюдения за проектированием, постройкой и испытаниями МиГ-3 от 20 октября на МиГ-3 2Д выполнен первый полет. Л Савкин. Задание не выполнено из-за течи водорадиатора. Испытания расчитаны на 8 летныз дней..</w:t>
      </w:r>
    </w:p>
    <w:p w14:paraId="49B5A3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Расчетные данные: макс. скор. у земли 583 км/час, на высоте 7700 - 709 км/час (без радиомачты), время подъема на 5000 м - 4,2 мин., до 10000 м - 11,5 мин. (992,11).</w:t>
      </w:r>
    </w:p>
    <w:p w14:paraId="5852E9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671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вышел приказ НКАП N 623 в исполнение постановления ГКО N 4210 от 28 сентября 1943 об организации переоборудования на 163 заводе Ла-5 в учебные двухместные с двойным управлением и обеспечить выпуск 20 в 1943, а 21 - помочь (945,166).</w:t>
      </w:r>
    </w:p>
    <w:p w14:paraId="60BD089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решения ГОКО за № 4210 от 28 сентября 1943:</w:t>
      </w:r>
    </w:p>
    <w:p w14:paraId="4EFEB01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6ГУ т. Комарову и дир. Завода № 163 т. Иваненко организовать переоборудование самолетов Ла-5 в учебные двухместные самолеты с двойным управлением и обеспечить выпуск их в 1943 г. в количестве 29 шт., в т.ч. в ноябре - 5, в декабре - 15.</w:t>
      </w:r>
    </w:p>
    <w:p w14:paraId="1BB54CA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 21 т. Агаджанову передать заводу № 163...</w:t>
      </w:r>
    </w:p>
    <w:p w14:paraId="154A594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ГК т. Лавочкину передать заводу № 163 к 1 ноября 1943:</w:t>
      </w:r>
    </w:p>
    <w:p w14:paraId="605055A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один полный комплект чертежей самолета Ла-5Ф и пять комплектов чертежей по переделке самолета в учебно-тренировочный двухместный...(945,166).</w:t>
      </w:r>
    </w:p>
    <w:p w14:paraId="04F3E05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3162037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ОКТЯБРЯ 1943 Г.</w:t>
      </w:r>
    </w:p>
    <w:p w14:paraId="182B875B"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 НКАП № 623СС 19 ОКТЯБРЯ 1943 Г.</w:t>
      </w:r>
    </w:p>
    <w:p w14:paraId="58F47E75"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исполнение решения ГОКО за № 4210с от 28-го сентября 1943 г. ПРИКАЗЫВАЮ:</w:t>
      </w:r>
    </w:p>
    <w:p w14:paraId="36A4248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Начальнику 6 Главного Управления т. Комарову и директору завода № 163 т. Иваненко организовать переоборудование самолетов Ла-5 в учебные, двухместные самолеты с двойным управлением и обеспечить выпуск их в 1943 году в количестве 20 самолетов, в том числе: в ноябре - 5, в декабре - 15.</w:t>
      </w:r>
    </w:p>
    <w:p w14:paraId="5219F03C"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Директору завода № 21 тов. Агаджанову передать заводу № 163:</w:t>
      </w:r>
    </w:p>
    <w:p w14:paraId="4822198B"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двадцать комплектов Ла-5 М-82, оформленных по сборочному цеху, в том числе в октябре — 5 и в ноябре - 5 самолетов;</w:t>
      </w:r>
    </w:p>
    <w:p w14:paraId="5F3ACAFA"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двадцать комплектов серийных деталей и узлов, необходимых для переделки самолетов;</w:t>
      </w:r>
    </w:p>
    <w:p w14:paraId="6D89BEB8"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командировать на завод № 163 к 1 ноября сроком на 2 месяца бригаду рабочих в количестве 3 человек для оказания помощи заводу в доводке и подготовке самолетов к испытаниям.</w:t>
      </w:r>
    </w:p>
    <w:p w14:paraId="58669A3E"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Главному конструктору т. Лавочкину передать заводу № 163 к 1 ноября:</w:t>
      </w:r>
    </w:p>
    <w:p w14:paraId="73383109"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один комплект чертежей самолета Ла-5 М-82Ф и пять комплектов чертежей по переделке серийных самолетов в ученые - двухместные;</w:t>
      </w:r>
    </w:p>
    <w:p w14:paraId="4DBE116B"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комплект технической документации на изменяемые и вновь вводимые детали и агрегаты самолета;</w:t>
      </w:r>
    </w:p>
    <w:p w14:paraId="0FAF061F"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в) не позднее 1-го ноября командировать на завод № 163 своего представителя.</w:t>
      </w:r>
    </w:p>
    <w:p w14:paraId="488A9B58"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ШАХУРИН.</w:t>
      </w:r>
    </w:p>
    <w:p w14:paraId="08764EC5"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ЦАНО. Ф. 2066. Оп. 7. Д. 33. Л. 8.</w:t>
      </w:r>
    </w:p>
    <w:p w14:paraId="3DB8A034"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Копия. Машинопись (20971).</w:t>
      </w:r>
    </w:p>
    <w:p w14:paraId="6EE6AD0D" w14:textId="77777777" w:rsidR="00736B3D" w:rsidRPr="00271E51" w:rsidRDefault="00736B3D" w:rsidP="00271E51">
      <w:pPr>
        <w:spacing w:after="0" w:line="240" w:lineRule="auto"/>
        <w:jc w:val="both"/>
        <w:rPr>
          <w:rFonts w:ascii="Times New Roman" w:hAnsi="Times New Roman"/>
          <w:color w:val="0070C0"/>
          <w:sz w:val="16"/>
          <w:szCs w:val="16"/>
        </w:rPr>
      </w:pPr>
    </w:p>
    <w:p w14:paraId="1AF1F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1943-го вышло решение ГКО, согласно которому началось производство УТИЛа-5 на заводе №163, куда 21-й обязали передать двадцать комплектов серийных деталей, командировать бригаду рабочих для оказания помощи в доводке и подготовке самолетов к испытаниям. ОКБ обеспечивал работы чертежами и направил своего представителя (4573).</w:t>
      </w:r>
    </w:p>
    <w:p w14:paraId="5030DB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DDB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года Решением ГКО завод № 163 обязали начать производство Ла-5УТИ. На заводе № 163 Ла-5Ф переоборудовали в двухместный учебно-тренировочный самолет. Во время государственных испытаний обнаружилась тряска хвостового оперения (типа бафтинг) на больших углах атаки и при открытых свыше 25 мм боковых створках мотора.Однако выполнение этого документа затянулось, и лишь с ноября 1944 года, и то в небольших количествах, завод начал сдавать заказчику спарки. При этом на них запрещалось выполнять штопор, парашютирование, неуправляемые (штопорные) перевороты и бочки. Остальные фигуры высшего пилотажа разрешалось делать только при боковых створках открытых не более чем на 25 мм (12032).</w:t>
      </w:r>
    </w:p>
    <w:p w14:paraId="14B408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1084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 ИЗ ПРОТОКОЛА ЗАСЕДАНИЯ БЮРО НОВОСИБИРСКОГО ОБКОМА ВКП(б) «О ПРОИЗВОДСТВЕ ФУГАСНЫХ АВИАБОМБ В IV КВАРТАЛЕ 1943 г.»</w:t>
      </w:r>
    </w:p>
    <w:p w14:paraId="7797BD1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Особая папка</w:t>
      </w:r>
    </w:p>
    <w:p w14:paraId="133D529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безусловного выполнения постановления Государственного Комитета Обороны от 1 октября 1943 года о производстве фугасных авиабомб в IV квартале 1943 года бюро обкома ВКП(б) ПОСТАНОВЛЯЕТ:</w:t>
      </w:r>
    </w:p>
    <w:p w14:paraId="3296A98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директора и парторга ЦК ВКП(б) комбината № 179 (тт. Саханицкого и Жидкова), директора и секретаря парторганизации завода № 10 НКС (тт. Алексеева и Черепко), начальника и парторга ЦК ВКП(б) завода № 635 (тт. Савосина и Уманского): считать фугасные авиабомбы основной номенклатурой изделий завода, а выполнение установленной ГОКО программы по ним - важнейшей задачей на четвертый квартал 1943 года; укомплектовать цеха, производящие авиабомбы и летали к ним, полностью необходимым количеством рабочей силы и оборудованием за счет любых других участков производства; обеспечивать в первую очередь рабочих, занятых на производстве авиабомб, дополнительным и усиленным питанием в необходимых количествах за счет фондов, выделяемых наркоматами ... немедленно довести до сведения коллектива, рабочих и ИТР, занятых на этом производстве, порядок и размеры премирования, установленные постановлением ГОКО за выполнение программы по производству авиабомб.</w:t>
      </w:r>
    </w:p>
    <w:p w14:paraId="58F3444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директора комбината № 179 т. Саханицкого освоить в октябре месяце штамповку головки ФАБ-100 и с 1 ноября полностью перейти на изготовление этих авиабомб со штампованной головкой, с целью высвобождения мощностей литейного цеха.</w:t>
      </w:r>
    </w:p>
    <w:p w14:paraId="078EA77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начальника Томской железной дороги тов. Оборотова подавать в IV квартале порожняк под отгрузку готовых корпусов авиабомб и спецукупорки для них не позже чем через сутки после заявки директоров заводов, независимо от расстояния и срочности подачи вагонов по другим заданиям. Директорам заводов, изготовляющих корпуса авиабомб, не допускать накопления их более трехдневного выпуска.</w:t>
      </w:r>
    </w:p>
    <w:p w14:paraId="06BB540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секретарей райкомов ВКП(б): Центрального - т. Сущико-ву. Кировского — т. Асланова и Дзержинского — т. Белякова взять под личный контроль выполнение настоящего решения и оказывать систематическую помощь предприятиям, изготавливающим авиабомбы, по обеспечению их рабочей силой, материалами, транспортом и другими видами материально-технического снабжения.</w:t>
      </w:r>
    </w:p>
    <w:p w14:paraId="5B9260A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Предупредить руководителей предприятий, выполняющих задания по авиабомбам, что бюро обкома ВКП(б) будет строго спрашивать за каждый случай срыва программы, не принимая во внимание никакие объективные причины. Поручить отделу боеприпасов обкома ВКП(б) ежедневно контролировать ход выполнения заданий по авиабомбам, своевременно информируя бюро обкома ВКП(б) о случаях невыполнения суточного графика.</w:t>
      </w:r>
    </w:p>
    <w:p w14:paraId="19940DD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Новосибирского обкома ВКП(б) Кулагин</w:t>
      </w:r>
    </w:p>
    <w:p w14:paraId="5FE4AD8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33. Д. 736.а.. Л. 119-121. Подлинник.</w:t>
      </w:r>
    </w:p>
    <w:p w14:paraId="62E1F08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Кулагина и пять подписей-росчерков, в том числе Яковлева, Семина и т.д. (12193).</w:t>
      </w:r>
    </w:p>
    <w:p w14:paraId="10D464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6A77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32468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AE42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года на АНИОПе закончились полигонные испытания тридцатьчетверки с С-54 в объеме 610 выстрелов, которые шли с 14 октября. В заключении по испытаниям было отмечено, что «С-54 испытания выдержала, однако требует доработки отдельных узлов и механизмов. С-54 обладает существенным превосходством перед Ф-34.</w:t>
      </w:r>
    </w:p>
    <w:p w14:paraId="4ACE4CF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Принимая во внимание, что валовое изготовление 76-мм зенитной пушки обр. 1931/38 гг. и боеприпасов к ней снято с производства в 1939 г. испытания пушки С-54 можно рассматривать как временное мероприятие, впредь до введения на вооружение более мощной 85-мм танковой пушки».</w:t>
      </w:r>
    </w:p>
    <w:p w14:paraId="676B28B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конструкторы завода № 183 во время проработки варианта вооружения танка Т-34 85-мм орудием пришли к выводу о необходимости увеличения диаметра погона башни до 1600 мм, что естественно требовало и изменения конструкции самой башни. Получив эту информацию (12217).</w:t>
      </w:r>
    </w:p>
    <w:p w14:paraId="15061342"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51D7A7C"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В период с 19 по 21 октября 1943 на Гороховетском полигоне из Д-25 было произведено 400 выстрелов, огонь вёлся на нормальном и усиленном зарядах, применялись как бронебойные, так и осколочно-фугасные снаряды. Выяснилось, что начальная скорость снаряда ниже, чем у А-19, на 2,2-2,65% — на эту разницу повлияла как разная длина ствола, так и то, что ствол испытываемой системы был не новым. К концу стрельб начальная скорость снизилась на 1%, что было в пределах нормы. Позже число произведённых из новой пушки выстрелов увеличилось до 474: 214 на усиленном заряде, 213 на полном и 47 на заряде №3.</w:t>
      </w:r>
    </w:p>
    <w:p w14:paraId="76F0A0AA"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В ходе огневых испытаний система продемонстрировала вполне достойную прочность. Исключением стал дульный тормоз. По итогам испытаний на нём образовалась трещина, правда, в отличие от первого типа дульного тормоза, разрушения не произошло. Комиссия дала указание улучшить конструкцию.</w:t>
      </w:r>
    </w:p>
    <w:p w14:paraId="08508DC0"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При испытаниях на скорострельность были получены результаты от 1 до 2 выстрелов в минуту (в зависимости от угла наклона орудия). Высокой оказалась кучность: она не уступала кучности А-19. Результаты по длине отката совпали с расчётными показателями. Вентиляция работала эффективно, что показали отдельные испытания.</w:t>
      </w:r>
    </w:p>
    <w:p w14:paraId="155AB91F"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Претензии имелись к кучности при стрельбе осколочно-фугасными снарядами. Также проблемы возникли при стрельбе с хода. Это, впрочем, с такой длиной ствола, его массой и калибром было вполне ожидаемо. Критике подверглась работа поворотного механизма. Усилия на маховике достигали 25 килограмм и, что ещё хуже, поворот происходил рывками. Не понравилась комиссии и установка прицела, расположенного слишком близко к орудию.</w:t>
      </w:r>
    </w:p>
    <w:p w14:paraId="547CA0D8"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Изучение боевого отделения проводилось в сравнении с Объектом 237, который изучался на АНИОП за 2 месяца до того. В связи с увеличением габаритов орудия объём боевого отделения уменьшился. Обойти пушку сзади теперь было невозможно. Из-за того, что расстояние от гильзоулавливателя до задней стенки уменьшилось с 450 до 200 мм, усложнилась работа заряжающего. При заряжании снаряд и заряд задевали заднюю укладку, чтобы этого избежать, требовалось делать лишние движения.</w:t>
      </w:r>
    </w:p>
    <w:p w14:paraId="4C335C5A"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Кроме того, при заряжании немного сбивалась наводка прицела. Неудобство вызывала работа поршневого затвора. Он открывался вправо, что дополнительно усложняло работу заряжающего. Не очень удобными оказались и укладки зарядов на полу. 22 октября, даже после тренировки, расчёт так и не смог добиться скорострельности более 2-3 выстрелов минуту. Такой оказалась плата за серьёзное усиление вооружения.</w:t>
      </w:r>
    </w:p>
    <w:p w14:paraId="696AD963"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Несмотря на все проблемы и нарекания, пушка Д-25, по мнению комиссии, испытания выдержала. Разумеется, как в конструкцию системы, так и в конструкцию танка, требовалось внести некоторые изменения. Но после установки Д-25 не произошло существенного ухудшения характеристик танка, чего, судя по первоначальной переписке, специалисты немного опасались. Кроме того, даже со всеми выявленными недостатками орудие показало себя очень неплохо. Кучность новой системы вполне соответствовала кучности танковой пушки.</w:t>
      </w:r>
    </w:p>
    <w:p w14:paraId="43228BFF"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Новое орудие позволяло машине бороться с новейшими немецкими танками, прежде всего — «Пантерой». Уже осенью 1943 года было известно, что верхний лобовой лист нового немецкого среднего танка снаряд калибра 85 мм не пробивает. Для Д-25 броня «Пантеры» не представляла проблем даже на дистанциях более 1,5 километра, что подтвердили результаты обстрела трофейного танка в декабре 1943 года. На дистанции 800-1000 метров оказался уязвим и «Фердинанд».</w:t>
      </w:r>
    </w:p>
    <w:p w14:paraId="1F619818" w14:textId="77777777" w:rsidR="00D826CA" w:rsidRPr="00271E51" w:rsidRDefault="00D826CA" w:rsidP="00271E51">
      <w:pPr>
        <w:pStyle w:val="ae"/>
        <w:spacing w:before="0" w:after="0"/>
        <w:jc w:val="both"/>
        <w:textAlignment w:val="baseline"/>
        <w:rPr>
          <w:color w:val="000000" w:themeColor="text1"/>
          <w:sz w:val="16"/>
          <w:szCs w:val="16"/>
        </w:rPr>
      </w:pPr>
      <w:r w:rsidRPr="00271E51">
        <w:rPr>
          <w:color w:val="000000" w:themeColor="text1"/>
          <w:sz w:val="16"/>
          <w:szCs w:val="16"/>
        </w:rPr>
        <w:t>Успешные результаты испытаний послужили сигналом для запуска Объекта 240 в серийное производство. 31 октября 1943 года Сталин подписал постановление ГКО №4479сс «О тяжёлом танке ИС-2 со 122-мм пушкой». Согласно ему, уже в декабре 1943 года должен был начаться выпуск первых танков данного типа. Что же касается Объекта 240, то он продолжил испытания. Эту машину, как и Объект 237, ожидали различные метаморфозы (17717).</w:t>
      </w:r>
    </w:p>
    <w:p w14:paraId="7E149E1E" w14:textId="77777777" w:rsidR="00D826CA" w:rsidRPr="00271E51" w:rsidRDefault="00D826CA" w:rsidP="00271E51">
      <w:pPr>
        <w:spacing w:after="0" w:line="240" w:lineRule="auto"/>
        <w:jc w:val="both"/>
        <w:rPr>
          <w:rFonts w:ascii="Times New Roman" w:hAnsi="Times New Roman"/>
          <w:color w:val="000000" w:themeColor="text1"/>
          <w:sz w:val="16"/>
          <w:szCs w:val="16"/>
        </w:rPr>
      </w:pPr>
    </w:p>
    <w:p w14:paraId="7802D7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 был подготовлен ДОКЛАД НАЧАЛЬНИКА ШТАБА БТ и МВ ЦФ НАЧАЛЬНИКУ ШТАБА БТ и МВ КА О БОЕВОМ ИСПОЛЬЗОВАНИИ ТАНКОВ ИНОСТРАННЫХ МАРОК (МК-2 И МК-3) № 03790</w:t>
      </w:r>
    </w:p>
    <w:p w14:paraId="200260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боев показал, что успешное применение танков МК-2 и МК-3 на поле боя без взаимодей</w:t>
      </w:r>
      <w:r w:rsidRPr="00271E51">
        <w:rPr>
          <w:rFonts w:ascii="Times New Roman" w:hAnsi="Times New Roman"/>
          <w:color w:val="000000" w:themeColor="text1"/>
          <w:sz w:val="16"/>
          <w:szCs w:val="16"/>
        </w:rPr>
        <w:softHyphen/>
        <w:t>ствия их с отечественными машинами малоэффективно. Вызвано это тем, что задачу уничтожения пехоты, подавление огневых точек танки МК-2 и МК-3 полностью выполнять не могут, так как они не имеют достаточно мощного противопехотного огня. Подавлять огневые точки и живую силу противника танки могут только пулеметным огнем. 40-мм пушка, поставленная на танки, имеет снаря</w:t>
      </w:r>
      <w:r w:rsidRPr="00271E51">
        <w:rPr>
          <w:rFonts w:ascii="Times New Roman" w:hAnsi="Times New Roman"/>
          <w:color w:val="000000" w:themeColor="text1"/>
          <w:sz w:val="16"/>
          <w:szCs w:val="16"/>
        </w:rPr>
        <w:softHyphen/>
        <w:t>ды только бронебойные (болванки) и вести эффективную борьбу с противотанковой артиллерией, огневыми точками с перекрытиями не может.</w:t>
      </w:r>
    </w:p>
    <w:p w14:paraId="163546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Сила танка заключается в маневренности, броневой защите и огне; этими качествами танки типа МК-2 и МК-3 полностью не обладают. Танк МК-2 мало подвижен; танк МК-3 более подви</w:t>
      </w:r>
      <w:r w:rsidRPr="00271E51">
        <w:rPr>
          <w:rFonts w:ascii="Times New Roman" w:hAnsi="Times New Roman"/>
          <w:color w:val="000000" w:themeColor="text1"/>
          <w:sz w:val="16"/>
          <w:szCs w:val="16"/>
        </w:rPr>
        <w:softHyphen/>
        <w:t>жен, но его отрицательной стороной является то, что средством борьбы с пехотой служит только пулеметное вооружение. Зачастую танки МК-2 и МК-3 несут потери от ПТО лишь только пото</w:t>
      </w:r>
      <w:r w:rsidRPr="00271E51">
        <w:rPr>
          <w:rFonts w:ascii="Times New Roman" w:hAnsi="Times New Roman"/>
          <w:color w:val="000000" w:themeColor="text1"/>
          <w:sz w:val="16"/>
          <w:szCs w:val="16"/>
        </w:rPr>
        <w:softHyphen/>
        <w:t>му, что защитить себя огнем пушек они не могут. ПТО открывает огонь с дистанции 600-800 м, тогда же как танки подавить ПТО с такой дистанции, да еще с ходу, не могут (на такую дистан</w:t>
      </w:r>
      <w:r w:rsidRPr="00271E51">
        <w:rPr>
          <w:rFonts w:ascii="Times New Roman" w:hAnsi="Times New Roman"/>
          <w:color w:val="000000" w:themeColor="text1"/>
          <w:sz w:val="16"/>
          <w:szCs w:val="16"/>
        </w:rPr>
        <w:softHyphen/>
        <w:t>цию огонь с ходу малоэффективен).</w:t>
      </w:r>
    </w:p>
    <w:p w14:paraId="14EA4F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1941-1942 гг. танк МК-2 имел 75-мм пушку (граната осколочная), огонь 75-мм пушки на поле боя вполне себя оправдывал и давал неплохие результаты.</w:t>
      </w:r>
    </w:p>
    <w:p w14:paraId="7BE7E6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данный период оба типа танков имеют бронебойную гранату, что ослабило их огневую мощь. Отсюда следует вывод, что применение танков МК-2 и МК-3 без отечественных машин, обладающих хорошим комплексом огня, нежелательно, так как инотанки будут нести большие потери, нанося противнику незначительный урон.</w:t>
      </w:r>
    </w:p>
    <w:p w14:paraId="0A8E96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Наилучший эффект танки МК-2 и МК-3 дают в оборонительном бою, когда их используют в засадах для борьбы с танками противника на танковероятных направлениях.</w:t>
      </w:r>
    </w:p>
    <w:p w14:paraId="1B3B02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наилучшей борьбы с живой силой желательно вместе с танками МК-2 и МК-3 ставить лег</w:t>
      </w:r>
      <w:r w:rsidRPr="00271E51">
        <w:rPr>
          <w:rFonts w:ascii="Times New Roman" w:hAnsi="Times New Roman"/>
          <w:color w:val="000000" w:themeColor="text1"/>
          <w:sz w:val="16"/>
          <w:szCs w:val="16"/>
        </w:rPr>
        <w:softHyphen/>
        <w:t>кие отечественные танки Т-70.</w:t>
      </w:r>
    </w:p>
    <w:p w14:paraId="41D2F0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Включать в подвижной противотанковый резерв эти танки нежелательно ввиду их плохой проходимости и малой подвижности.</w:t>
      </w:r>
    </w:p>
    <w:p w14:paraId="546DAD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выборе направления контратак особое внимание следует уделять выбору местности и грунту, так как по мягкому грунту и сильно пересеченной местности подвижность этих машин сни</w:t>
      </w:r>
      <w:r w:rsidRPr="00271E51">
        <w:rPr>
          <w:rFonts w:ascii="Times New Roman" w:hAnsi="Times New Roman"/>
          <w:color w:val="000000" w:themeColor="text1"/>
          <w:sz w:val="16"/>
          <w:szCs w:val="16"/>
        </w:rPr>
        <w:softHyphen/>
        <w:t>жается до придела, нередки случаи, когда на мягком грунте танк МК-3 застревает.</w:t>
      </w:r>
    </w:p>
    <w:p w14:paraId="0EAEF2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наступательном бою танки МК-2 и МК-3 недостаточно эффективны по своим боевым каче</w:t>
      </w:r>
      <w:r w:rsidRPr="00271E51">
        <w:rPr>
          <w:rFonts w:ascii="Times New Roman" w:hAnsi="Times New Roman"/>
          <w:color w:val="000000" w:themeColor="text1"/>
          <w:sz w:val="16"/>
          <w:szCs w:val="16"/>
        </w:rPr>
        <w:softHyphen/>
        <w:t>ствам, ввиду вышеизложенных отрицательных сторон. Целесообразнее всего в наступательном бою их использовать с отечественными машинами, ставя на фланги для прикрытия на случай танковой контратаки, так как они обладают мощной броней и противотанковым оружием.</w:t>
      </w:r>
    </w:p>
    <w:p w14:paraId="6895D2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При выборе направления действий, особое внимание уделять местности, местность должна быть малопересеченной и по возможности с твердым грунтом как в сухую погоду, так и при выпа</w:t>
      </w:r>
      <w:r w:rsidRPr="00271E51">
        <w:rPr>
          <w:rFonts w:ascii="Times New Roman" w:hAnsi="Times New Roman"/>
          <w:color w:val="000000" w:themeColor="text1"/>
          <w:sz w:val="16"/>
          <w:szCs w:val="16"/>
        </w:rPr>
        <w:softHyphen/>
        <w:t>дении осадков.</w:t>
      </w:r>
    </w:p>
    <w:p w14:paraId="56ABE4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В условиях зимы боевые действия этих танков, а особенно МК-2, почти сводится на нет ввиду их плохой проходимости.</w:t>
      </w:r>
    </w:p>
    <w:p w14:paraId="1B6073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в проведенных боях на нашем фронте танки МК-2 и МК-3 применялись лишь отдельными машинами и небольшими группами. Поэтому должного опыта в использовании подраз</w:t>
      </w:r>
      <w:r w:rsidRPr="00271E51">
        <w:rPr>
          <w:rFonts w:ascii="Times New Roman" w:hAnsi="Times New Roman"/>
          <w:color w:val="000000" w:themeColor="text1"/>
          <w:sz w:val="16"/>
          <w:szCs w:val="16"/>
        </w:rPr>
        <w:softHyphen/>
        <w:t>делений и частей, имеющих на вооружении танки МК-2 и МК-3, в танковых частях фронта нет.</w:t>
      </w:r>
    </w:p>
    <w:p w14:paraId="5E37C5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своеобразной местности театра действий нашего фронта использование танков ино</w:t>
      </w:r>
      <w:r w:rsidRPr="00271E51">
        <w:rPr>
          <w:rFonts w:ascii="Times New Roman" w:hAnsi="Times New Roman"/>
          <w:color w:val="000000" w:themeColor="text1"/>
          <w:sz w:val="16"/>
          <w:szCs w:val="16"/>
        </w:rPr>
        <w:softHyphen/>
        <w:t>странных марок на участке фронта нежелательно.</w:t>
      </w:r>
    </w:p>
    <w:p w14:paraId="1C9167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Оценка технических данных иностранных танков, принимавших участие в боевых операциях 1943 г. в составе ЦФ</w:t>
      </w:r>
    </w:p>
    <w:p w14:paraId="11372A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Оценка технических данных английского танка МК-2 1. Броневая защита.</w:t>
      </w:r>
    </w:p>
    <w:p w14:paraId="0C60E1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своей броневой защите и по качеству брони танк МК-2 вполне себя оправдывал как в обо</w:t>
      </w:r>
      <w:r w:rsidRPr="00271E51">
        <w:rPr>
          <w:rFonts w:ascii="Times New Roman" w:hAnsi="Times New Roman"/>
          <w:color w:val="000000" w:themeColor="text1"/>
          <w:sz w:val="16"/>
          <w:szCs w:val="16"/>
        </w:rPr>
        <w:softHyphen/>
        <w:t>ронительных, так и в наступательных операциях 1943 года;</w:t>
      </w:r>
    </w:p>
    <w:p w14:paraId="7BB853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Недостаточная толщина брони крыши, днища является наиболее уязвимыми местами танка МК-2. 2. Скорость движения.</w:t>
      </w:r>
    </w:p>
    <w:p w14:paraId="696756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Недостаточная скорость движения по пересеченной местности (9-14 км/час) является круп</w:t>
      </w:r>
      <w:r w:rsidRPr="00271E51">
        <w:rPr>
          <w:rFonts w:ascii="Times New Roman" w:hAnsi="Times New Roman"/>
          <w:color w:val="000000" w:themeColor="text1"/>
          <w:sz w:val="16"/>
          <w:szCs w:val="16"/>
        </w:rPr>
        <w:softHyphen/>
        <w:t>ным недостатком танка МК-2;</w:t>
      </w:r>
    </w:p>
    <w:p w14:paraId="3C7F63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Маневренность этого танка из-за малой скорости на поле боя затруднена, что влекло за собой большие потери в проводимых операциях 1943 г. 3. Проходимость.</w:t>
      </w:r>
    </w:p>
    <w:p w14:paraId="7E263E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Неприспособленность конструкции гусеницы и всего ходового движителя к условиям движе</w:t>
      </w:r>
      <w:r w:rsidRPr="00271E51">
        <w:rPr>
          <w:rFonts w:ascii="Times New Roman" w:hAnsi="Times New Roman"/>
          <w:color w:val="000000" w:themeColor="text1"/>
          <w:sz w:val="16"/>
          <w:szCs w:val="16"/>
        </w:rPr>
        <w:softHyphen/>
        <w:t>ния по черноземной и суглинистой почве, а также и лесистой местности, низко снижает проходи</w:t>
      </w:r>
      <w:r w:rsidRPr="00271E51">
        <w:rPr>
          <w:rFonts w:ascii="Times New Roman" w:hAnsi="Times New Roman"/>
          <w:color w:val="000000" w:themeColor="text1"/>
          <w:sz w:val="16"/>
          <w:szCs w:val="16"/>
        </w:rPr>
        <w:softHyphen/>
        <w:t>мость этого танка;</w:t>
      </w:r>
    </w:p>
    <w:p w14:paraId="1C44C0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 условиях зимы и обледененного покрова танк не может взять положенного ему по расчетам подъема и особенно крена. Сцепление с грунтом недостаточное;</w:t>
      </w:r>
    </w:p>
    <w:p w14:paraId="149DA4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Наличие фалыпброни еще больше затрудняет проходимость танка; 4. Запас хода.</w:t>
      </w:r>
    </w:p>
    <w:p w14:paraId="7EB699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Недостаточный запас хода (60-100 км) приводит к частым дозаправкам и не дает возможности совершать длительные марши с отрывом от тылов;</w:t>
      </w:r>
    </w:p>
    <w:p w14:paraId="3E3E46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Наибольший запас хода, выраженный в м/ч</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xml:space="preserve"> (6-7 м/ч) не дает возможности танку находиться длительное время в бою без дозаправки;</w:t>
      </w:r>
    </w:p>
    <w:p w14:paraId="76222F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Необходимо увеличить заправку танка, доведя ее до 400 л. 5. Управляемость танка</w:t>
      </w:r>
    </w:p>
    <w:p w14:paraId="1873EE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Управляемость танка вполне удовлетворительная. Как недостаток можно отметить наличие сервомеханизмов, которые часто выходят из строя (особенно компрессор);</w:t>
      </w:r>
    </w:p>
    <w:p w14:paraId="3284EF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Конструкция КПП, несмотря на свою сложность, проста в обращении и вполне себя оправдала. 6. Долговечность и надежность двигателя.</w:t>
      </w:r>
    </w:p>
    <w:p w14:paraId="30F4CD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Установленные на танке двигатели марки «Лейланд» зарекомендовали себя с хорошей стороны;</w:t>
      </w:r>
    </w:p>
    <w:p w14:paraId="3A7704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правильной эксплуатации и обслуживании запас моточасов достигает 400 часов, что вполне удовлетворяет требованиям, предъявляемым к танковым двигателям;</w:t>
      </w:r>
    </w:p>
    <w:p w14:paraId="02FD70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Как недостаток можно отметить довольно частый выход из строя масломанометра. 7. Ходовой движитель.</w:t>
      </w:r>
    </w:p>
    <w:p w14:paraId="4FD652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Ходовой движитель приспособлен для работы в условиях песчаной местности;</w:t>
      </w:r>
    </w:p>
    <w:p w14:paraId="6C33C1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Движение верхней части гусеницу по полозьям, установленным на корпусе, в условиях зимы приводит к частому забиванию снегом, что влечет за собой обрыв гусеницы;</w:t>
      </w:r>
    </w:p>
    <w:p w14:paraId="188943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Натяжное приспособление гусеницы очень слабое и часто выходит из строя, а в условиях боя повреждается очень легко;</w:t>
      </w:r>
    </w:p>
    <w:p w14:paraId="64F0BA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Эксплуатация, обслуживание и ремонт.</w:t>
      </w:r>
    </w:p>
    <w:p w14:paraId="023786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правильной эксплуатации и обслуживании танк в работе надежен;</w:t>
      </w:r>
    </w:p>
    <w:p w14:paraId="273840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Обслуживание танка сложно и весьма трудоемко из-за наличия большого количества точек смазки, расположенных в малодоступных местах;</w:t>
      </w:r>
    </w:p>
    <w:p w14:paraId="34077C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Ремонт в полевых условиях очень сложен вследствие конструктивных недостатков;</w:t>
      </w:r>
    </w:p>
    <w:p w14:paraId="1E396F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Выемка спаренных двигателей очень трудна и сопряжена с большой потерей времени. Выводы.</w:t>
      </w:r>
    </w:p>
    <w:p w14:paraId="1C7337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по своим техническим данным может быть использован для боевых операций в южных районах.</w:t>
      </w:r>
    </w:p>
    <w:p w14:paraId="0B15D0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Оценка технических данных английского танка МК-3 1. Броневая защита.</w:t>
      </w:r>
    </w:p>
    <w:p w14:paraId="5EE28E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Толщина брони вполне достаточная для данного типа танка;</w:t>
      </w:r>
    </w:p>
    <w:p w14:paraId="3479E7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своему качеству броня, будучи достаточно вязкой, вполне отвечает требованиям, предъ</w:t>
      </w:r>
      <w:r w:rsidRPr="00271E51">
        <w:rPr>
          <w:rFonts w:ascii="Times New Roman" w:hAnsi="Times New Roman"/>
          <w:color w:val="000000" w:themeColor="text1"/>
          <w:sz w:val="16"/>
          <w:szCs w:val="16"/>
        </w:rPr>
        <w:softHyphen/>
        <w:t>являемым к броневым сталям; 2. Скорость движения.</w:t>
      </w:r>
    </w:p>
    <w:p w14:paraId="43A5B2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Максимальная скорость для типа легкого танка явно недостаточна;</w:t>
      </w:r>
    </w:p>
    <w:p w14:paraId="46BB42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Необходимо увеличить маршевую скорость движения до 35-40 км/час;</w:t>
      </w:r>
    </w:p>
    <w:p w14:paraId="18EF9A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Боевая скорость танка вполне обеспечивает ему маневренность на поле боя. 3. Проходимость.</w:t>
      </w:r>
    </w:p>
    <w:p w14:paraId="3AFA76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Проходимость танка МК-3 хорошая;</w:t>
      </w:r>
    </w:p>
    <w:p w14:paraId="35A5E6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Благодаря большому клиренсу может свободно двигаться в лесистой местности;</w:t>
      </w:r>
    </w:p>
    <w:p w14:paraId="389687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Как недостаток можно отметить неудачную конструкцию траков, не допускающую большого крена при скользком грунте и особенно обледененном. 4. Запас хода.</w:t>
      </w:r>
    </w:p>
    <w:p w14:paraId="01C9A9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Запас хода (90-110 км) является недостаточным и при совершении длительных маршей танки требуют частой дозаправки;</w:t>
      </w:r>
    </w:p>
    <w:p w14:paraId="307CDC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длительном нахождении в условиях боя танки вследствие небольшого запаса м/ч вынуж</w:t>
      </w:r>
      <w:r w:rsidRPr="00271E51">
        <w:rPr>
          <w:rFonts w:ascii="Times New Roman" w:hAnsi="Times New Roman"/>
          <w:color w:val="000000" w:themeColor="text1"/>
          <w:sz w:val="16"/>
          <w:szCs w:val="16"/>
        </w:rPr>
        <w:softHyphen/>
        <w:t>дены возвращаться с поля боя для дозаправки;</w:t>
      </w:r>
    </w:p>
    <w:p w14:paraId="4126EC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Запас горючего необходимо увеличить, доведя его до 300 кг. 5. Управляемость танком.</w:t>
      </w:r>
    </w:p>
    <w:p w14:paraId="0D59B5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Управляемость танка хорошая и вполне надежна как на маршах, так и в условиях боя;</w:t>
      </w:r>
    </w:p>
    <w:p w14:paraId="45997E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Управление танком легкое и простое;</w:t>
      </w:r>
    </w:p>
    <w:p w14:paraId="2C9EDF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Механизмы управления частей регулировки не требуют и поддаются регулировке легко. 6. Долговечность и надежность двигателя.</w:t>
      </w:r>
    </w:p>
    <w:p w14:paraId="65FD04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Двигатель танка МК-3 зарекомендовал себя в эксплуатации как надежный, не капризный двигатель;</w:t>
      </w:r>
    </w:p>
    <w:p w14:paraId="369A10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Запас м/ч до очередного кап. ремонта вполне достаточный;</w:t>
      </w:r>
    </w:p>
    <w:p w14:paraId="4F6C70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Текущий ремонт двигателя в полевых условиях не представляет больших трудностей; 8. Эксплуатация, обслуживание и ремонт.</w:t>
      </w:r>
    </w:p>
    <w:p w14:paraId="0E2EA2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эксплуатации и обслуживании танк МК-3 прост;</w:t>
      </w:r>
    </w:p>
    <w:p w14:paraId="2E1B56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Расположение агрегатов хорошее и не затрудняет к ним доступа;</w:t>
      </w:r>
    </w:p>
    <w:p w14:paraId="69D200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ремонте, выемки двигателя, КПП проста, что облегчает значительно ремонт;</w:t>
      </w:r>
    </w:p>
    <w:p w14:paraId="386A41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 Демонтаж борт, фрикционов несколько неудобен, т.к. влечет за собой большое количество дополнительных работ по выемке других агрегатов.</w:t>
      </w:r>
    </w:p>
    <w:p w14:paraId="5F6B80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3A1D96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МК-3 по техническим данным вполне себя зарекомендовал как хорошая боевая машина и может быть использован в любых местностях.</w:t>
      </w:r>
    </w:p>
    <w:p w14:paraId="1C1CA8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БТ и МВ ЦФ полковник Ульянов</w:t>
      </w:r>
    </w:p>
    <w:p w14:paraId="128562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11360. Д. 302. Л. 32-38. Подлинник (11403).</w:t>
      </w:r>
    </w:p>
    <w:p w14:paraId="222A06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33F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вышло Постановление ГКО № 4361 Об усилении отгрузки в октябре 1943г. проката черных металлов и чугуна для производства боеприпасов, танков и вооружения.РГАНИР, Фонд ГКО, д. 165, лл. 12-13 (11012).</w:t>
      </w:r>
    </w:p>
    <w:p w14:paraId="31ACCD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6EA1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вышло Постановление ГКО № 4362 О мерах по ускорению оборота железнодорожных цистерн. (7148, 14-15).</w:t>
      </w:r>
    </w:p>
    <w:p w14:paraId="1A5EAFC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8AF7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года была подготовлена справка:</w:t>
      </w:r>
    </w:p>
    <w:p w14:paraId="173B6F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оптический институт НКВ находится в Йошкар-Оле (9273).</w:t>
      </w:r>
    </w:p>
    <w:p w14:paraId="5E2885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6C9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Поднят флаг ВМФ СССР на турбинном ЭТЩ "Владимир Полухин", на БМО и ТК типа Г-5 (10671).</w:t>
      </w:r>
    </w:p>
    <w:p w14:paraId="408B91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9849B" w14:textId="77777777" w:rsidR="002439EA"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0710E11" w14:textId="77777777" w:rsidR="002439EA" w:rsidRPr="00271E51" w:rsidRDefault="002439E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58142"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в 1943 году оперативная сводка Совинформбюро:</w:t>
      </w:r>
    </w:p>
    <w:p w14:paraId="2BACAE13"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октября юго-восточнее города Кременчуг наши войска, ломая сопротивление противника, продолжали развивать наступление и, продвинувшись вперёд от 15 до 20 километров, с боем овладели городом и крупным железнодорожным узлом Пятихатка, а также заняли более 100 населённых пунктов, среди которых крупные населённые пункты Краснобратское, Червоно-Каменка, Рублевка, Виноградовка, Добро-Надеждовка, Жёлтое, Пальмира, Чистополье, Новая Украинка, Матрёновка, Акимовка, Пушкарёвка и железнодорожные станции Счастливая, Зелёная, Яковлевка. Таким образом, важнейшая коммуникация немцев, железная дорога Днепропетровск—Знаменка, перерезана нашими войсками. По неполным данным, в Пятихатке нашими войсками захвачены следующие трофеи: 15 железнодорожных эшелонов с грузами, 30 танков, из них 17 танков типа «Тигр», 172 орудия, 1.300 автомашин, 600 пулемётов и склады с вооружением, боеприпасами, продовольствием и другим военным имуществом. Взято в плен 1.800 немецких солдат и офицеров.</w:t>
      </w:r>
    </w:p>
    <w:p w14:paraId="1A9ED45D"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отбивая контратаки пехоты и танков противника, продолжали вести бои по расширению плацдарма на правом берегу реки Днепр. В результате боёв наши войска овладели сильно укреплённым опорным пунктом противника Вышгород.</w:t>
      </w:r>
    </w:p>
    <w:p w14:paraId="5A45B5DF"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продолжали вести бои по расширению плацдарма на правом берегу Днепра и значительно улучшили свои позиции.</w:t>
      </w:r>
    </w:p>
    <w:p w14:paraId="3F5F0DCB"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продолжали вести бои по расширению плацдарма на правом берегу реки Сож и на отдельных участках продвинулись вперёд на несколько километров.</w:t>
      </w:r>
    </w:p>
    <w:p w14:paraId="3CA1002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078FEF74"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октября наши войска на всех фронтах подбили и уничтожили 85 немецких танков. В воздушных боях и огнём зенитной артиллерии сбит 31 самолёт противника.</w:t>
      </w:r>
    </w:p>
    <w:p w14:paraId="37E1DE5A"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 правом берегу Днепра, наши войска продолжали наступление. Сломив упорное сопротивление немцев, советские танковые части заняли населённый пункт Запорожье, расположенный в 15 километрах севернее города Пятихатка, и наголову разбили немецкий артиллерийский полк. На огневых позициях захвачено 20 орудий. Разгромлен штаб полка. Безостановочно преследуя немцев, наши войска сегодня на рассвете, в результате ожесточённого боя, овладели крупным железнодорожным узлом и городом Пятихатка, Днепропетровскойобласти. Захвачены большие трофеи, и взято в плен 1.800 немецких солдат и офицеров. В бою за город Пятихатка нанесён большой урон 9, 23 немецким танковыми 161 пехотной дивизиям, а также дивизии СС «Великая Германия». На другом участке части Н-ского соединения, овладев рядом населённых пунктов, уничтожили свыше 2.000 немецких солдат и офицеров, сожгли и подбили 44 танка противника.</w:t>
      </w:r>
    </w:p>
    <w:p w14:paraId="6F1BF8C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вели бои за расширение плацдарма на правом берегу Днепра. Противник силами пехоты и танков неоднократно контратаковал наши части. Бойцы Н-ского соединения, отбив контратаки гитлеровцев, сами атаковали противника и, сломив его сопротивление, овладели сильно укреплённым опорным пунктом Вышгород. В бою за этот пункт немцы понесли большие потери. Как уже сообщалось, советские части вчера разгромили группу танков и мотопехоты противника. Сегодня наши бойцы окружили и полностью уничтожили остатки разбитой группы немецкой мотопехоты. Выведено из строя 19 танков, прикрывавших отступление этой группы противника. Захвачены трофеи, в числе которых 10 танков, 27 орудий и 70 пулемётов. Взяты пленные.</w:t>
      </w:r>
    </w:p>
    <w:p w14:paraId="1F242BE9"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продолжая вести бои по расширению плацдарма на правом берегу Днепра, улучшили свои позиции. Немцы оказывали сильное сопротивление, но под ударами наших войск были вынуждены оставить несколько населённых пунктов. К исходу дня противник, собрав силы, перешёл в контратаку, но после непродолжительного боя вновь был отброшен. Уничтожено до 800 гитлеровцев. Подбито 5 и сожжено 3 немецких танка. Захвачены две артиллерийских батареи, 34 пулемёта и 60 повозок с грузами. Взяты пленные.</w:t>
      </w:r>
    </w:p>
    <w:p w14:paraId="49B54AE8"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 правом берегу реки Сож, наши войска с боями продвигались вперёд. Неоднократные контратаки противника были отбиты с большими для него потерями; Только частями Н-ского соединения уничтожено не менее батальона гитлеровцев. Захвачены трофеи, в числе которых 7 орудий, 26 пулемётов, 4 миномёта и 2 радиостанции.</w:t>
      </w:r>
    </w:p>
    <w:p w14:paraId="4B078823"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немецкий транспорт водоизмещением в 6.000 тонн.</w:t>
      </w:r>
    </w:p>
    <w:p w14:paraId="7AFE8918"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 транспорт водоизмещением в 3.000 тонн и две сухогрузных баржи противника.</w:t>
      </w:r>
    </w:p>
    <w:p w14:paraId="11DE4A85"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Брестской области, за месяц пустили под откос 84 немецких воинских эшелона. В результате крушений разбиты десятки паровозов, уничтожено и повреждено свыше 500 вагонов и платформ с техникой, боеприпасами и войсками противника. В боях с немецкой железнодорожной охраной партизаны убили до 400 гитлеровцев. За последние дни советские патриоты взорвали 4 железнодорожных моста и на многих участках разрушили железнодорожное полотно.</w:t>
      </w:r>
    </w:p>
    <w:p w14:paraId="17DD79E8"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оккупации Харькова немецко-фашистские мерзавцы замучили и убили много тысяч мирных советских жителей. Массовые убийства производили команды палачей под названием «СК-4А» и «ЭК-5», находившиеся в подчинении гестапо. 2 января 1942 года фашистские людоеды согнали многотысячную толпу жителей: стариков, женщин и детей—к Харьковскому тракторному заводу, где заранее был вырыт и заминирован огромный ров. Гестаповцы и полицейские из команды «СК-4А» в этот день убили 14 тысяч ни в чём не повинных жителей. В феврале того же года немецкие звери применили автомашину «душегубку». Назначение этой «машины смерти» хорошо известно по Краснодарскому процессу. На этом процессе было установлено,что гитлеровские мерзавцы истребили в Краснодарском крае около 7.000 невинных советских людей путём отравления газами окиси углерода в специально оборудованных автомашинах «душегубках». Такую же «душегубку» применили фашистские палачи и в Харькове. С февраля и до 12 июня 1942 года гитлеровцы ежедневно отравляли газами в этой машине мирных жителей Харькова. В конце февраля во время одного «рейса» машина по дороге испортилась и остановилась на Московской улице. «Душегубку» на буксире доставили в гараж для ремонта. Когда открыли дверь машины, рабочие гаража увидели, что она набита трупами. Распухшие лица мертвецов были искажены до неузнаваемости. Видно было, что люди умерли в страшных мучениях.</w:t>
      </w:r>
    </w:p>
    <w:p w14:paraId="269A657E"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марта, после вторичной оккупации Харькова немецкими войсками, туда прибыла команда палачей под названием «ЭК-5». В первые же дни эта команда арестовала 2.500 советских граждан и расстреляла их в селе Куряж (в 12километрах от Харькова). Эта же команда расстреляла в лесопарке около 3.000 советских граждан, среди которых было много женщин и детей. В августе текущего года, за несколько дней до своего бегства из Харькова, гитлеровцы увезли 500 жителей в село Куряж и зверски убили их. С помощью населения удалось выяснить подробности этих чудовищных преступлений. Установлены также имена и фамилии всех лиц, причастных к этим кровавым злодеяниям. Особенно свирепствовали майор Радецкий — помощник начальника гестапо, Гун — старший следователь гестапо, Фелькер — следователь гестапо, майор Кранебите — начальник команды «ЭК-5», капитан Венгольц — заместитель начальника отдела гестапо и капитан Кирхер —заместитель начальника гестапо.» (14804).</w:t>
      </w:r>
    </w:p>
    <w:p w14:paraId="0C344CB2"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4D6F0BCD"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 xml:space="preserve">в 1943 году началась Московская конференция министров иностранных дел СССР, США и Великобритании. Рассмотрены вопросы о мерах, необходимых для сокращения сроков войны против фашистской Германии и ее сателлитов в Европе. Приняты документы: "Декларация четырех государств по вопросу о всеобщей безопасности" (подписана также представителем Китая; провозглашалась решимость продолжать военные действия до безоговорочной капитуляции противника, а после окончания войны предпринимать усилия для установления мира и безопасности; признавалось необходимым в возможно короткий срок учредить международную организацию для поддержания мира и безопасности), "Декларация об Италии" (провозглашала необходимость полного уничтожения фашизма и его </w:t>
      </w:r>
      <w:r w:rsidRPr="00271E51">
        <w:rPr>
          <w:rFonts w:ascii="Times New Roman" w:hAnsi="Times New Roman"/>
          <w:color w:val="000000" w:themeColor="text1"/>
          <w:sz w:val="16"/>
          <w:szCs w:val="16"/>
        </w:rPr>
        <w:lastRenderedPageBreak/>
        <w:t>последствий, предоставления итальянскому народу полной возможности установить правительство и другие учреждения, основанные на принципах демократии), "Декларация об Австрии" (объявляла недействительным и несуществующим присоединение Австрии к Германии, провозглашала стремление союзников "видеть свободную и независимую Австрию", обращала внимание на ответственность Австрии за участие в войне на стороне гитлеровской Германии при одновременном обещании, что при окончательном урегулировании будет принят во внимание вклад Австрии в свое освобождение). Оглашена подписанная главами правительств СССР, США и Великобритании "Декларация об ответственности гитлеровцев за совершаемые зверства". Приняты решения об обмене военной информацией, а также информацией о "всякого рода пробных предложениях мира", о создании Европейской консульт. комиссии, о создании Консульт. совета по вопросам Италии в составе представителей СССР, США, Великобритании, Франции, а в дальнейшем Греции и Югославии (14804).</w:t>
      </w:r>
    </w:p>
    <w:p w14:paraId="382487B9"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6C778C4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14DC2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278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года</w:t>
      </w:r>
    </w:p>
    <w:p w14:paraId="2E3D51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ПРЕЗИДЕНТУ ФРАНКЛИНУ Д. РУЗВЕЛЬТУ ОТ ПРЕМЬЕРА И. В. СТАЛИНА</w:t>
      </w:r>
    </w:p>
    <w:p w14:paraId="017231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о месте предстоящей встречи глав трех правительств я хочу сообщить Вам следующее.</w:t>
      </w:r>
    </w:p>
    <w:p w14:paraId="14F275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я не могу принять в качестве подходящего какое-либо из предлагаемых Вами взамен Тегерана мест для встречи. Дело здесь не в охране, которая меня не беспокоит.</w:t>
      </w:r>
    </w:p>
    <w:p w14:paraId="34922A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операций советских войск летом и осенью этого года выяснилось, что наши войска могут и впредь продолжать наступательные операции против германской армии, причем летняя кампания может перерасти в зимнюю. Все мои коллеги считают, что эти операции требуют повседневного руководства Главной Ставки и моей личной связи с командованием. В Тегеране эти условия могут быть обеспечены наличием проволочной телеграфной и телефонной связи с Москвой, чего нельзя сказать о других местах. Именно поэтому мои коллеги настаивают на Тегеране как месте встречи.</w:t>
      </w:r>
    </w:p>
    <w:p w14:paraId="666910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согласен с Вами, что представители прессы должны быть исключены при встрече. Для меня равным образом приемлемо Ваше предложение о том, чтобы 20 или 25 ноября избрать как возможную дату встречи.</w:t>
      </w:r>
    </w:p>
    <w:p w14:paraId="67988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Г-н Хэлл прибыл благополучно в Москву, и я надеюсь, что его непосредственное участие в Московском совещании </w:t>
      </w:r>
      <w:r w:rsidRPr="00271E51">
        <w:rPr>
          <w:rFonts w:ascii="Times New Roman" w:hAnsi="Times New Roman"/>
          <w:color w:val="000000" w:themeColor="text1"/>
          <w:sz w:val="16"/>
          <w:szCs w:val="16"/>
          <w:vertAlign w:val="superscript"/>
        </w:rPr>
        <w:t>47</w:t>
      </w:r>
      <w:r w:rsidRPr="00271E51">
        <w:rPr>
          <w:rFonts w:ascii="Times New Roman" w:hAnsi="Times New Roman"/>
          <w:color w:val="000000" w:themeColor="text1"/>
          <w:sz w:val="16"/>
          <w:szCs w:val="16"/>
        </w:rPr>
        <w:t xml:space="preserve"> трех принесет большую пользу (7430).</w:t>
      </w:r>
    </w:p>
    <w:p w14:paraId="61AD7F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F882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началась Московская конференция министров иностранных дел СССР, США и Англии (4962).</w:t>
      </w:r>
    </w:p>
    <w:p w14:paraId="1B476B7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F223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19-30 октября 1943 г. состоялась Московская конференция. Советские представители удовольствовались заверениями союзников открыть второй фронт весной 1944 г. Союзники также постарались доказать, что высадка в Италии имела большое стратегическое значение и означала ослабление германской мощи на Восточном фронте. Вопрос о послевоенных границах, в котором СССР был заинтересован более всего, почти не обсуждался.</w:t>
      </w:r>
    </w:p>
    <w:p w14:paraId="6D551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Молотов высказал два предложения: побудить Турцию вступить в войну с Германией и просить Швецию предоставить базы для бомбардировки рейха. Иден скептически отнесся к нарушению нейтралитета Швеции и резонно поинтересовался, что может побудить Турцию вступить в войну. Хэлл согласился с британским коллегой.</w:t>
      </w:r>
    </w:p>
    <w:p w14:paraId="7390DA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Иден и Молотов приняли предложение Хэлла выступить с четырехсторонней декларацией, в которой великие державы обязались бы сотрудничать после войны и признали бы необходимость создания международной организации для поддержания мира и безопасности.</w:t>
      </w:r>
    </w:p>
    <w:p w14:paraId="1709D2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Иден распространил на конференции меморандум о принципах восстановления государственности в освобожденной Европе; поскольку частности, в первую очередь, польский вопрос, не обсуждались, то разногласий она не вызвала.</w:t>
      </w:r>
    </w:p>
    <w:p w14:paraId="6EDD78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Иден предложил подтвердить принцип, что каждый народ будет иметь право сам выбирать свою форму правления и образ жизни при условии, что он уважает права других народов. Все государства, таким образом, будут свободны вступать в "федерации" с другими государствами. Молотов возразил, что это напоминает ему политику санитарного кордона в отношении СССР. Иден отступил. Все равно большая политика должна была вершиться на встрече в Тегеране (3871).</w:t>
      </w:r>
    </w:p>
    <w:p w14:paraId="415564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DE7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был подписан третий (лондонский) протокол о помощи СССР (2262).</w:t>
      </w:r>
    </w:p>
    <w:p w14:paraId="58CC75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A5E7B"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в 1943 году в Лондоне подписано третье соглашение между правительствами Великобритании, США, Канады и СССР о поставках в СССР вооружения, оборудования и продовольствия (14804).</w:t>
      </w:r>
    </w:p>
    <w:p w14:paraId="26C76CCD"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4BA5BF5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0A9BE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01DF8D" w14:textId="77777777" w:rsidR="002439EA" w:rsidRPr="00271E51" w:rsidRDefault="002439E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японский гидросамолет, запущенный с п/л И-36 с расстояния 300 км произвел разведку Пирл-Харбора и успел сообщить результаты по радио (3961, 110).</w:t>
      </w:r>
    </w:p>
    <w:p w14:paraId="11EA1A9D" w14:textId="77777777" w:rsidR="002439EA" w:rsidRPr="00271E51" w:rsidRDefault="002439E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BAC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в Гетеборге впервые произведен обмен военнопленными между Англией и Германией (4962).</w:t>
      </w:r>
    </w:p>
    <w:p w14:paraId="23DA6FC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FF0F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19, 1943: In Italy, the offensive by the US 5th Army (Clark) along the Volturno river bogs down due to bad weather and in the face of the skillful German defenses (3819).</w:t>
      </w:r>
    </w:p>
    <w:p w14:paraId="0CF5B1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A17D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германские войска отступили из Италии за р Волтурно (3907,243).</w:t>
      </w:r>
    </w:p>
    <w:p w14:paraId="764BD2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D506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октября 1943 у Сен-Доната (Квебек) разбился канадский самолет, погибло 24 человека (4962).</w:t>
      </w:r>
    </w:p>
    <w:p w14:paraId="26630D8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0B137E"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в 1943 году открытие стрептомицина Альбертом Шатцем (1920–2005) и Зельманом Ваксманном (1888–1973). Стрептомицин — первый антибиотик, успешно использованный для лечения туберкулеза. Стрептомицин относится к аминогликозидным антибиотикам (эти антибиотики подавляют синтез белка). Известно, что стрептомицин связывается с белком S12 (ген rpsL) в составе 30S — субъединицы рибосом, что приводит к существенному нарушению процесса трансляции (14804).</w:t>
      </w:r>
    </w:p>
    <w:p w14:paraId="60F790A1"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147451C0"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в 1943 году французский пароход «Sinfra» потоплен в заливе Суда (Крит) союзной авиацией. Из 2664 военнопленных (в основном, итальянских), находившихся на борту, погибло 2098 человек. "Sinfra" (1929 года постройки, 4444 брт, 170 м) - грузопассажирское судно, построенное на верфи «Akers Mekaniske Verksted A/S», Осло. В 1933 тяжело повреждено в ходе навигационной аварии. После ремонта продано Шведской кампании «Rederi A/B Jamaica» и переименовано в "Sandhamn". В 1939 куплено французской компанией «Cie Generale de Nav», a «Vapeur», Cyp. «Fabre» (Fabre Line) и перименовано в "Sinfra". в декабре 1942 передано Германии (14804).</w:t>
      </w:r>
    </w:p>
    <w:p w14:paraId="4D70DD62"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7DE9E000" w14:textId="77777777" w:rsidR="002439EA" w:rsidRPr="00271E51" w:rsidRDefault="002439E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19 октября </w:t>
      </w:r>
      <w:r w:rsidRPr="00271E51">
        <w:rPr>
          <w:rFonts w:ascii="Times New Roman" w:hAnsi="Times New Roman"/>
          <w:color w:val="000000" w:themeColor="text1"/>
          <w:sz w:val="16"/>
          <w:szCs w:val="16"/>
        </w:rPr>
        <w:t xml:space="preserve">в 1943 году китайские поселенцы и местные малайцы на острове Борнео подняли восстание против японских оккупантов </w:t>
      </w:r>
    </w:p>
    <w:p w14:paraId="10435351" w14:textId="77777777" w:rsidR="002439EA" w:rsidRPr="00271E51" w:rsidRDefault="002439EA" w:rsidP="00271E51">
      <w:pPr>
        <w:spacing w:after="0" w:line="240" w:lineRule="auto"/>
        <w:jc w:val="both"/>
        <w:rPr>
          <w:rFonts w:ascii="Times New Roman" w:hAnsi="Times New Roman"/>
          <w:color w:val="000000" w:themeColor="text1"/>
          <w:sz w:val="16"/>
          <w:szCs w:val="16"/>
        </w:rPr>
      </w:pPr>
    </w:p>
    <w:p w14:paraId="01E012E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C4134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8343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года Дементьев писал письмо N Н-35/4179 гл. конструктору завода N 240 С.В.И., начальнику 10 гл. управления Кузнецову А.И., начальнику 11 гл. управления Куликову И.В., начальнику ГУЗ ВВС генерал-лейтенанту ИАС Селезневу.</w:t>
      </w:r>
    </w:p>
    <w:p w14:paraId="12C678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противохимической защиты летного состава самолетов в воздухе и при посадках, предлагаю разработать конструкцию крепления противогаза ЛП-1 на самолетах Ил-2 и У-2, согласовав место его установки с управлением заказов Спецоборудования ГУЗ ВВС и с 1 декабря с.г. выпускать самолеты на серийных заводах с указанными креплениями.</w:t>
      </w:r>
    </w:p>
    <w:p w14:paraId="631834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Комплектовка самолетов противогазами будет производится ГУЗ ВВС непосредственно в строевых частях (1775,194).</w:t>
      </w:r>
    </w:p>
    <w:p w14:paraId="32B1F0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3EB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Нач. отдела НКАП А.Туманов писал Дементьеву письмо N 4149 по вопросу акта комиссии по качеству самолетов Ил-2 выпуска завода 30:</w:t>
      </w:r>
    </w:p>
    <w:p w14:paraId="4D20FA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"Актом комиссии отмечается, что одним из самых существенных дефектов самолета Ил-2 выпуска завода 30 является непроклей обшивки крыла, приводящий к срыву ее при выполнении определенных упражнений курса боевой подготовки штурмовой авиации.</w:t>
      </w:r>
    </w:p>
    <w:p w14:paraId="0527D5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Анализируя причины этого, а также и прочих дефектов, комиссия устанавливает, что главными причинами явилась некачественность применяемых материалов и нарушения технологии процесса склейки, окраски, термообработки и т.п. деталей и агрегатов самолета.</w:t>
      </w:r>
    </w:p>
    <w:p w14:paraId="642F79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отрицая ряд подобных фактов, имевших место на заводе 30, считаю необходимым внести уточнения в материалы, представленные комиссией, а также отметить и некоторые доп. факторы, оказавшие весьма существенное влияние на срыв обшивки самолета Ил-2.</w:t>
      </w:r>
    </w:p>
    <w:p w14:paraId="0C5F18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Утверждение, что клей АК-20, как правило, выпускается с 27: активных растворителей, и с пониженной до 25 кг/м прочностью приклейки полотна неверно, т.к. за весь период военного времени на завод 30 была поставлена лишь одна партия такого клея, которая в производство не была запущена.</w:t>
      </w:r>
    </w:p>
    <w:p w14:paraId="374B92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Завод 30 шпатлевкой АШ-22 выпуска завода 34 НКХП не пользовался.</w:t>
      </w:r>
    </w:p>
    <w:p w14:paraId="69322D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Замена ткани типа маркизет тканью АОД была проведена еще до войны, и материалы длительной эксплуатации самолетов с этой тканью доказывают ее полноценность, как заменителя ткани маркизет.</w:t>
      </w:r>
    </w:p>
    <w:p w14:paraId="450260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Весьма существенной и, пожалуй, наиболее важной причиной срыва обшивок самолета Ил-2, по нашему мнению, является конструкция крепления верхней и нижней обшивок крыла. Это крепление схематично изображено на эскизе 1.</w:t>
      </w:r>
    </w:p>
    <w:p w14:paraId="074214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это следует из схемы, стык N 6 является наиболее слабым местом в креплении обшивки по следующим причинам:</w:t>
      </w:r>
    </w:p>
    <w:p w14:paraId="0D1DF5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Т.к. это усовое соединение расположено на стрингере, исключалась возможность гарантировать качественную проклейку, из-за невозможности создать равномерное и при этом достаточное давление при запрессовке за счет деформации стрингера.</w:t>
      </w:r>
    </w:p>
    <w:p w14:paraId="5162CB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Расположение усового соединения против потока.</w:t>
      </w:r>
    </w:p>
    <w:p w14:paraId="562FDC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Отсутствовали выравнивающие и прикрывающие стыки фанерные накладки в местах перехода с выступающей металлической накладки N 7 на обшивку.</w:t>
      </w:r>
    </w:p>
    <w:p w14:paraId="053DD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это усугубилось отсутствием из-за двухсторонней фанеровки крыла, должного контроля качества приклейки, имевшим место нарушениям технологии склейки и постановкой металлической накладки N 7 без снятия фасок, что приводит в подрезыванию и перетиранию оклеечной ткани.</w:t>
      </w:r>
    </w:p>
    <w:p w14:paraId="318819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просмотра усового соединения верхней обшивки и усиления крепления ее на переднем лонжероне, крыло имеет большой запас прочности. С тех пор нам неизвестно ни одного случая срыва обшивок в эксплуатации у самолета Ил-2." (1779,255).</w:t>
      </w:r>
    </w:p>
    <w:p w14:paraId="4D5992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5A887A" w14:textId="77777777" w:rsidR="002439EA" w:rsidRPr="00271E51" w:rsidRDefault="002439EA"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20 октября 1943 г. Генерал-лейтенант А.А. Лапин был вы</w:t>
      </w:r>
      <w:r w:rsidRPr="00271E51">
        <w:rPr>
          <w:rFonts w:ascii="Times New Roman" w:cs="Times New Roman"/>
          <w:color w:val="000000" w:themeColor="text1"/>
          <w:spacing w:val="0"/>
          <w:sz w:val="16"/>
          <w:szCs w:val="16"/>
        </w:rPr>
        <w:softHyphen/>
        <w:t>нужден официально напра</w:t>
      </w:r>
      <w:r w:rsidRPr="00271E51">
        <w:rPr>
          <w:rFonts w:ascii="Times New Roman" w:cs="Times New Roman"/>
          <w:color w:val="000000" w:themeColor="text1"/>
          <w:spacing w:val="0"/>
          <w:sz w:val="16"/>
          <w:szCs w:val="16"/>
        </w:rPr>
        <w:softHyphen/>
        <w:t xml:space="preserve">вить письмо заместителю Наркомавиапрома П.В. Дементьеву, в котором напоминал, что </w:t>
      </w:r>
      <w:r w:rsidRPr="00271E51">
        <w:rPr>
          <w:rStyle w:val="aff6"/>
          <w:rFonts w:ascii="Times New Roman" w:eastAsia="Arial Narrow" w:hAnsi="Times New Roman" w:cs="Times New Roman"/>
          <w:i w:val="0"/>
          <w:color w:val="000000" w:themeColor="text1"/>
          <w:spacing w:val="0"/>
        </w:rPr>
        <w:t>«ВИАМом совместно с заводом №207 НКАП отработана экранированная броня. Государ</w:t>
      </w:r>
      <w:r w:rsidRPr="00271E51">
        <w:rPr>
          <w:rStyle w:val="aff6"/>
          <w:rFonts w:ascii="Times New Roman" w:eastAsia="Arial Narrow" w:hAnsi="Times New Roman" w:cs="Times New Roman"/>
          <w:i w:val="0"/>
          <w:color w:val="000000" w:themeColor="text1"/>
          <w:spacing w:val="0"/>
        </w:rPr>
        <w:softHyphen/>
        <w:t>ственные испытания экранированной брони показали, что она обладает пулестойкостью значительно большей, чем применяемая в се</w:t>
      </w:r>
      <w:r w:rsidRPr="00271E51">
        <w:rPr>
          <w:rStyle w:val="aff6"/>
          <w:rFonts w:ascii="Times New Roman" w:eastAsia="Arial Narrow" w:hAnsi="Times New Roman" w:cs="Times New Roman"/>
          <w:i w:val="0"/>
          <w:color w:val="000000" w:themeColor="text1"/>
          <w:spacing w:val="0"/>
        </w:rPr>
        <w:softHyphen/>
        <w:t>рийном производстве цементованная и гомо</w:t>
      </w:r>
      <w:r w:rsidRPr="00271E51">
        <w:rPr>
          <w:rStyle w:val="aff6"/>
          <w:rFonts w:ascii="Times New Roman" w:eastAsia="Arial Narrow" w:hAnsi="Times New Roman" w:cs="Times New Roman"/>
          <w:i w:val="0"/>
          <w:color w:val="000000" w:themeColor="text1"/>
          <w:spacing w:val="0"/>
        </w:rPr>
        <w:softHyphen/>
        <w:t>генная броня».</w:t>
      </w:r>
    </w:p>
    <w:p w14:paraId="2C3251F7" w14:textId="77777777" w:rsidR="002439EA" w:rsidRPr="00271E51" w:rsidRDefault="002439EA"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Поскольку применение экранированной брони вместо цементованной обеспечивало значительную экономию в весе при одинако</w:t>
      </w:r>
      <w:r w:rsidRPr="00271E51">
        <w:rPr>
          <w:rFonts w:ascii="Times New Roman" w:cs="Times New Roman"/>
          <w:color w:val="000000" w:themeColor="text1"/>
          <w:spacing w:val="0"/>
          <w:sz w:val="16"/>
          <w:szCs w:val="16"/>
        </w:rPr>
        <w:softHyphen/>
        <w:t>вой пулестойкости, Лапин просил дать указа</w:t>
      </w:r>
      <w:r w:rsidRPr="00271E51">
        <w:rPr>
          <w:rFonts w:ascii="Times New Roman" w:cs="Times New Roman"/>
          <w:color w:val="000000" w:themeColor="text1"/>
          <w:spacing w:val="0"/>
          <w:sz w:val="16"/>
          <w:szCs w:val="16"/>
        </w:rPr>
        <w:softHyphen/>
        <w:t>ния авиационным конструкторам о ее внедре</w:t>
      </w:r>
      <w:r w:rsidRPr="00271E51">
        <w:rPr>
          <w:rFonts w:ascii="Times New Roman" w:cs="Times New Roman"/>
          <w:color w:val="000000" w:themeColor="text1"/>
          <w:spacing w:val="0"/>
          <w:sz w:val="16"/>
          <w:szCs w:val="16"/>
        </w:rPr>
        <w:softHyphen/>
        <w:t>нии. Кроме того, требовалось обязать ВИАМ и завод N9207 НКАП отработать экранированную броню для защиты от немецких авиационных снарядов калибра 20 мм (15778).</w:t>
      </w:r>
    </w:p>
    <w:p w14:paraId="217F3990" w14:textId="77777777" w:rsidR="002439EA" w:rsidRPr="00271E51" w:rsidRDefault="002439EA" w:rsidP="00271E51">
      <w:pPr>
        <w:pStyle w:val="36"/>
        <w:shd w:val="clear" w:color="auto" w:fill="auto"/>
        <w:spacing w:after="0" w:line="240" w:lineRule="auto"/>
        <w:jc w:val="both"/>
        <w:rPr>
          <w:rFonts w:ascii="Times New Roman" w:cs="Times New Roman"/>
          <w:color w:val="000000" w:themeColor="text1"/>
          <w:spacing w:val="0"/>
          <w:sz w:val="16"/>
          <w:szCs w:val="16"/>
        </w:rPr>
      </w:pPr>
    </w:p>
    <w:p w14:paraId="28D02075"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20 октября 1943 взамен серийного самолета Ил-2 производства завода № 30, предназначенного для доработки под уста</w:t>
      </w:r>
      <w:r w:rsidRPr="00271E51">
        <w:rPr>
          <w:color w:val="000000" w:themeColor="text1"/>
          <w:sz w:val="16"/>
          <w:szCs w:val="16"/>
        </w:rPr>
        <w:softHyphen/>
        <w:t>новку 45-мм авиапушек 111П, в котором при его подготовке к работам по вооружению было вы</w:t>
      </w:r>
      <w:r w:rsidRPr="00271E51">
        <w:rPr>
          <w:color w:val="000000" w:themeColor="text1"/>
          <w:sz w:val="16"/>
          <w:szCs w:val="16"/>
        </w:rPr>
        <w:softHyphen/>
        <w:t>явлено большое количество дефектов и кльлорый возвратили заводу № 30, завод № 240 получил серийный Ил-2 зав. № 303124, ко</w:t>
      </w:r>
      <w:r w:rsidRPr="00271E51">
        <w:rPr>
          <w:color w:val="000000" w:themeColor="text1"/>
          <w:sz w:val="16"/>
          <w:szCs w:val="16"/>
        </w:rPr>
        <w:softHyphen/>
        <w:t>торый был построен 19 октября 1943 г. с пушками 11 П. В течение последующих 10 дней на самолет вместо 11П установили пушки 111П с боекомплек</w:t>
      </w:r>
      <w:r w:rsidRPr="00271E51">
        <w:rPr>
          <w:color w:val="000000" w:themeColor="text1"/>
          <w:sz w:val="16"/>
          <w:szCs w:val="16"/>
        </w:rPr>
        <w:softHyphen/>
        <w:t>том по 50 снарядов на каждую и отстреляли все вооружение в тире летно-испытательной станции завода. 1 ноября самолет перегнали в НИИ АВ для проведения заводских и государственных испыта</w:t>
      </w:r>
      <w:r w:rsidRPr="00271E51">
        <w:rPr>
          <w:color w:val="000000" w:themeColor="text1"/>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271E51">
        <w:rPr>
          <w:color w:val="000000" w:themeColor="text1"/>
          <w:sz w:val="16"/>
          <w:szCs w:val="16"/>
        </w:rPr>
        <w:softHyphen/>
        <w:t>товка самолета для передачи на государственные испытания. Этап государственных испытаний про</w:t>
      </w:r>
      <w:r w:rsidRPr="00271E51">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5379E57F"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 xml:space="preserve">дротормоз пушки был залит керосин сорта «А». — </w:t>
      </w:r>
      <w:r w:rsidRPr="00271E51">
        <w:rPr>
          <w:rStyle w:val="BodytextItalic"/>
          <w:i w:val="0"/>
          <w:color w:val="000000" w:themeColor="text1"/>
          <w:sz w:val="16"/>
          <w:szCs w:val="16"/>
        </w:rPr>
        <w:t>Авт.).</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06660D6F" w14:textId="77777777" w:rsidR="004A2091" w:rsidRPr="00271E51" w:rsidRDefault="004A2091" w:rsidP="00271E51">
      <w:pPr>
        <w:pStyle w:val="12a"/>
        <w:shd w:val="clear" w:color="auto" w:fill="auto"/>
        <w:spacing w:after="0" w:line="240" w:lineRule="auto"/>
        <w:jc w:val="both"/>
        <w:rPr>
          <w:color w:val="000000" w:themeColor="text1"/>
          <w:sz w:val="16"/>
          <w:szCs w:val="16"/>
        </w:rPr>
      </w:pPr>
    </w:p>
    <w:p w14:paraId="141E1C11" w14:textId="77777777" w:rsidR="002439EA" w:rsidRPr="00271E51" w:rsidRDefault="002439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20 октября 1943 общая го</w:t>
      </w:r>
      <w:r w:rsidRPr="00271E51">
        <w:rPr>
          <w:rFonts w:ascii="Times New Roman" w:cs="Times New Roman"/>
          <w:color w:val="000000" w:themeColor="text1"/>
          <w:spacing w:val="0"/>
        </w:rPr>
        <w:softHyphen/>
        <w:t>товность самолета ТИС (МА) постройкой оцени</w:t>
      </w:r>
      <w:r w:rsidRPr="00271E51">
        <w:rPr>
          <w:rFonts w:ascii="Times New Roman" w:cs="Times New Roman"/>
          <w:color w:val="000000" w:themeColor="text1"/>
          <w:spacing w:val="0"/>
        </w:rPr>
        <w:softHyphen/>
        <w:t>валась 83%. Для завершения всех работ требовалось около 20-25 дней, но мото</w:t>
      </w:r>
      <w:r w:rsidRPr="00271E51">
        <w:rPr>
          <w:rFonts w:ascii="Times New Roman" w:cs="Times New Roman"/>
          <w:color w:val="000000" w:themeColor="text1"/>
          <w:spacing w:val="0"/>
        </w:rPr>
        <w:softHyphen/>
        <w:t>ров АМ-39 все еще нё было и сроков их поступления никто назвать не мог, ни в наркомате авиапромышленности, ни в ОКБ Микулина.</w:t>
      </w:r>
    </w:p>
    <w:p w14:paraId="62276941" w14:textId="77777777" w:rsidR="002439EA" w:rsidRPr="00271E51" w:rsidRDefault="002439E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Нельзя сказать, что моторов АМ-39, годных к полетам не было вообще. Мо</w:t>
      </w:r>
      <w:r w:rsidRPr="00271E51">
        <w:rPr>
          <w:rFonts w:ascii="Times New Roman" w:cs="Times New Roman"/>
          <w:color w:val="000000" w:themeColor="text1"/>
          <w:spacing w:val="0"/>
        </w:rPr>
        <w:softHyphen/>
        <w:t>торы были, но их было мало. Почти все они «уходили» в ОКБ-155 А.И. Микоя</w:t>
      </w:r>
      <w:r w:rsidRPr="00271E51">
        <w:rPr>
          <w:rFonts w:ascii="Times New Roman" w:cs="Times New Roman"/>
          <w:color w:val="000000" w:themeColor="text1"/>
          <w:spacing w:val="0"/>
        </w:rPr>
        <w:softHyphen/>
        <w:t>на, которое в это время активно рабо</w:t>
      </w:r>
      <w:r w:rsidRPr="00271E51">
        <w:rPr>
          <w:rFonts w:ascii="Times New Roman" w:cs="Times New Roman"/>
          <w:color w:val="000000" w:themeColor="text1"/>
          <w:spacing w:val="0"/>
        </w:rPr>
        <w:softHyphen/>
        <w:t>тало и дальше всех продвинулось по приоритетной программе создания вы</w:t>
      </w:r>
      <w:r w:rsidRPr="00271E51">
        <w:rPr>
          <w:rFonts w:ascii="Times New Roman" w:cs="Times New Roman"/>
          <w:color w:val="000000" w:themeColor="text1"/>
          <w:spacing w:val="0"/>
        </w:rPr>
        <w:softHyphen/>
        <w:t>сотного истребителя в интересах ПВО Москвы. Это давало повод некото</w:t>
      </w:r>
      <w:r w:rsidRPr="00271E51">
        <w:rPr>
          <w:rFonts w:ascii="Times New Roman" w:cs="Times New Roman"/>
          <w:color w:val="000000" w:themeColor="text1"/>
          <w:spacing w:val="0"/>
        </w:rPr>
        <w:softHyphen/>
        <w:t>рым ответственным работникам заво</w:t>
      </w:r>
      <w:r w:rsidRPr="00271E51">
        <w:rPr>
          <w:rFonts w:ascii="Times New Roman" w:cs="Times New Roman"/>
          <w:color w:val="000000" w:themeColor="text1"/>
          <w:spacing w:val="0"/>
        </w:rPr>
        <w:softHyphen/>
        <w:t>да №51 считать, что моторы АМ-39 для Поликарпова специально зажимают, чтобы притормозить работы по опыт</w:t>
      </w:r>
      <w:r w:rsidRPr="00271E51">
        <w:rPr>
          <w:rFonts w:ascii="Times New Roman" w:cs="Times New Roman"/>
          <w:color w:val="000000" w:themeColor="text1"/>
          <w:spacing w:val="0"/>
        </w:rPr>
        <w:softHyphen/>
        <w:t>ным самолетам (ИТП, ТИС). Однако здесь следует учитывать низкую надеж</w:t>
      </w:r>
      <w:r w:rsidRPr="00271E51">
        <w:rPr>
          <w:rFonts w:ascii="Times New Roman" w:cs="Times New Roman"/>
          <w:color w:val="000000" w:themeColor="text1"/>
          <w:spacing w:val="0"/>
        </w:rPr>
        <w:softHyphen/>
        <w:t>ность первых образцов мотора АМ-39, которые имели большое количест</w:t>
      </w:r>
      <w:r w:rsidRPr="00271E51">
        <w:rPr>
          <w:rFonts w:ascii="Times New Roman" w:cs="Times New Roman"/>
          <w:color w:val="000000" w:themeColor="text1"/>
          <w:spacing w:val="0"/>
        </w:rPr>
        <w:softHyphen/>
        <w:t>во конструктивных дефектов. Напри</w:t>
      </w:r>
      <w:r w:rsidRPr="00271E51">
        <w:rPr>
          <w:rFonts w:ascii="Times New Roman" w:cs="Times New Roman"/>
          <w:color w:val="000000" w:themeColor="text1"/>
          <w:spacing w:val="0"/>
        </w:rPr>
        <w:softHyphen/>
        <w:t>мер, несмотря на тщательный отбор для ОКБ Микояна наиболее доведен</w:t>
      </w:r>
      <w:r w:rsidRPr="00271E51">
        <w:rPr>
          <w:rFonts w:ascii="Times New Roman" w:cs="Times New Roman"/>
          <w:color w:val="000000" w:themeColor="text1"/>
          <w:spacing w:val="0"/>
        </w:rPr>
        <w:softHyphen/>
        <w:t>ных и отлаженных АМ-39, при испыта</w:t>
      </w:r>
      <w:r w:rsidRPr="00271E51">
        <w:rPr>
          <w:rFonts w:ascii="Times New Roman" w:cs="Times New Roman"/>
          <w:color w:val="000000" w:themeColor="text1"/>
          <w:spacing w:val="0"/>
        </w:rPr>
        <w:softHyphen/>
        <w:t>нии опытного И-220 (МиГ-11) с мая по август 1943 г. пришлось заменить пять моторов. Как отмечалось в документах, «частая замена моторов АМ-39 проис</w:t>
      </w:r>
      <w:r w:rsidRPr="00271E51">
        <w:rPr>
          <w:rFonts w:ascii="Times New Roman" w:cs="Times New Roman"/>
          <w:color w:val="000000" w:themeColor="text1"/>
          <w:spacing w:val="0"/>
        </w:rPr>
        <w:softHyphen/>
        <w:t>ходит по причине появления бронзо</w:t>
      </w:r>
      <w:r w:rsidRPr="00271E51">
        <w:rPr>
          <w:rFonts w:ascii="Times New Roman" w:cs="Times New Roman"/>
          <w:color w:val="000000" w:themeColor="text1"/>
          <w:spacing w:val="0"/>
        </w:rPr>
        <w:softHyphen/>
        <w:t>вой стружки в масле». Именно поэтому А.И. Микоян в сентябре вместо АМ-39 установил на самолет серийный мотор АМ-38ф и с ним продолжил испытания. Опытное производство завода №300 и ОКБ Микулина было просто не в со</w:t>
      </w:r>
      <w:r w:rsidRPr="00271E51">
        <w:rPr>
          <w:rFonts w:ascii="Times New Roman" w:cs="Times New Roman"/>
          <w:color w:val="000000" w:themeColor="text1"/>
          <w:spacing w:val="0"/>
        </w:rPr>
        <w:softHyphen/>
        <w:t>стоянии одновременно строить и дово</w:t>
      </w:r>
      <w:r w:rsidRPr="00271E51">
        <w:rPr>
          <w:rFonts w:ascii="Times New Roman" w:cs="Times New Roman"/>
          <w:color w:val="000000" w:themeColor="text1"/>
          <w:spacing w:val="0"/>
        </w:rPr>
        <w:softHyphen/>
        <w:t>дить «до ума» большое количество мо</w:t>
      </w:r>
      <w:r w:rsidRPr="00271E51">
        <w:rPr>
          <w:rFonts w:ascii="Times New Roman" w:cs="Times New Roman"/>
          <w:color w:val="000000" w:themeColor="text1"/>
          <w:spacing w:val="0"/>
        </w:rPr>
        <w:softHyphen/>
        <w:t>торов АМ-39 (15758).</w:t>
      </w:r>
    </w:p>
    <w:p w14:paraId="1CFDBB7B" w14:textId="77777777" w:rsidR="002439EA" w:rsidRPr="00271E51" w:rsidRDefault="002439EA" w:rsidP="00271E51">
      <w:pPr>
        <w:pStyle w:val="27"/>
        <w:shd w:val="clear" w:color="auto" w:fill="auto"/>
        <w:spacing w:after="0" w:line="240" w:lineRule="auto"/>
        <w:ind w:firstLine="0"/>
        <w:rPr>
          <w:rFonts w:ascii="Times New Roman" w:cs="Times New Roman"/>
          <w:color w:val="000000" w:themeColor="text1"/>
          <w:spacing w:val="0"/>
        </w:rPr>
      </w:pPr>
    </w:p>
    <w:p w14:paraId="4D0E21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ГК НИИ ВВС утвердил образец У-2НАК (ночного арткорректировщика), разработанного ОКБ Н.Н.П. на основе У-2ВС ЛНБ. Добавили РСИ-4, СПУ, генератор, УФО, кольцевой коллектор с плямягасителями, сделали металлизацию (4542, 16).</w:t>
      </w:r>
    </w:p>
    <w:p w14:paraId="3227C7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877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w:t>
      </w:r>
      <w:r w:rsidRPr="00271E51">
        <w:rPr>
          <w:rFonts w:ascii="Times New Roman" w:hAnsi="Times New Roman"/>
          <w:color w:val="000000" w:themeColor="text1"/>
          <w:sz w:val="16"/>
          <w:szCs w:val="16"/>
        </w:rPr>
        <w:softHyphen/>
        <w:t>бря 1943 самолет МИГ-3 Д5, про</w:t>
      </w:r>
      <w:r w:rsidRPr="00271E51">
        <w:rPr>
          <w:rFonts w:ascii="Times New Roman" w:hAnsi="Times New Roman"/>
          <w:color w:val="000000" w:themeColor="text1"/>
          <w:sz w:val="16"/>
          <w:szCs w:val="16"/>
        </w:rPr>
        <w:softHyphen/>
        <w:t>шедший ремонт из-за течи маслорадиатора, был принят 177-м иап, а Д2 после смены мотора направили в НИИ ВВС. Летчик-испытатель Герой Советского Союза А.А.Щербаков, в то время лейтенант в 12-м гв. иап, облетал самолет Д6 и отметил: «машина излишне об</w:t>
      </w:r>
      <w:r w:rsidRPr="00271E51">
        <w:rPr>
          <w:rFonts w:ascii="Times New Roman" w:hAnsi="Times New Roman"/>
          <w:color w:val="000000" w:themeColor="text1"/>
          <w:sz w:val="16"/>
          <w:szCs w:val="16"/>
        </w:rPr>
        <w:softHyphen/>
        <w:t>легчена» (имеется в виду, что снято многое необходи</w:t>
      </w:r>
      <w:r w:rsidRPr="00271E51">
        <w:rPr>
          <w:rFonts w:ascii="Times New Roman" w:hAnsi="Times New Roman"/>
          <w:color w:val="000000" w:themeColor="text1"/>
          <w:sz w:val="16"/>
          <w:szCs w:val="16"/>
        </w:rPr>
        <w:softHyphen/>
        <w:t>мое для истребителя оборудование), трудна на посад</w:t>
      </w:r>
      <w:r w:rsidRPr="00271E51">
        <w:rPr>
          <w:rFonts w:ascii="Times New Roman" w:hAnsi="Times New Roman"/>
          <w:color w:val="000000" w:themeColor="text1"/>
          <w:sz w:val="16"/>
          <w:szCs w:val="16"/>
        </w:rPr>
        <w:softHyphen/>
        <w:t>ке (в частности, при приземлении истребитель сильно «козлил»), а пилотаж на ней получается «размытым». Впрочем, имевшиеся в полку высотные Як—9ПД так</w:t>
      </w:r>
      <w:r w:rsidRPr="00271E51">
        <w:rPr>
          <w:rFonts w:ascii="Times New Roman" w:hAnsi="Times New Roman"/>
          <w:color w:val="000000" w:themeColor="text1"/>
          <w:sz w:val="16"/>
          <w:szCs w:val="16"/>
        </w:rPr>
        <w:softHyphen/>
        <w:t>же не были лишены серьезных недостатков (9984).</w:t>
      </w:r>
    </w:p>
    <w:p w14:paraId="34A2E5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4F36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согласно журнала наблюдения за проектированием, постройкой и испытаниями МиГ-3 на МиГ-3 Д-2 с удлиненными консолями облетан и принят техсоставом 177 иап. С-т 05 - при пробе мотора потек маслорадиатор, который ремонтируется на заводе № 34 (992,11).</w:t>
      </w:r>
    </w:p>
    <w:p w14:paraId="41EEED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CA6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состоялось заседание коллегии НКАП о поточных методах производства (1739).</w:t>
      </w:r>
    </w:p>
    <w:p w14:paraId="143C7E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AD72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DDC2D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40A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г. было подготовлено СООБЩЕНИЕ НАЧАЛЬНИКА ГЛАВРАЗВЕДУПРАВЛЕНИЯ КА КОМАНДУЮЩЕМУ БТ и МВ КА О РАЗРАБОТКЕ НЕМЦАМИ ТАНКОВ, УПРАВЛЯЕМЫХ ПО РАДИО</w:t>
      </w:r>
    </w:p>
    <w:p w14:paraId="25E688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агентурным данным, требующим проверки, немцы изготовляют танки типа Б-4, управляе</w:t>
      </w:r>
      <w:r w:rsidRPr="00271E51">
        <w:rPr>
          <w:rFonts w:ascii="Times New Roman" w:hAnsi="Times New Roman"/>
          <w:color w:val="000000" w:themeColor="text1"/>
          <w:sz w:val="16"/>
          <w:szCs w:val="16"/>
        </w:rPr>
        <w:softHyphen/>
        <w:t>мые по радио, и ведут обучение по их применению.</w:t>
      </w:r>
    </w:p>
    <w:p w14:paraId="18100C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нагружается взрывчатыми веществами весом 300 кг и имеет несколько аппаратов для дымопуска. Он предназначается для разрушения бункеров, проделывания проходов через заграж</w:t>
      </w:r>
      <w:r w:rsidRPr="00271E51">
        <w:rPr>
          <w:rFonts w:ascii="Times New Roman" w:hAnsi="Times New Roman"/>
          <w:color w:val="000000" w:themeColor="text1"/>
          <w:sz w:val="16"/>
          <w:szCs w:val="16"/>
        </w:rPr>
        <w:softHyphen/>
        <w:t>дения и очистки минных полей.</w:t>
      </w:r>
    </w:p>
    <w:p w14:paraId="3AB91D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 танка: длина 3 метра, ширина 1,05 метра, высота 1,1 метра; вес около 10 тонн; тип амфибии, снабжен поплавками; скорость на ровной местности - 70 км/час, на воде 10-15 км/час; броня - 20 мм, лобовая - 25 мм; двигатель типа «Майбах» 300 л.с., работает на алкоголе.</w:t>
      </w:r>
    </w:p>
    <w:p w14:paraId="6ABC96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Б-4 может управляться и как обычный танк. При управлении по радио водитель переходит в другой танк (Т-3 или Т-4), снабженный прибором управления по радио.</w:t>
      </w:r>
    </w:p>
    <w:p w14:paraId="5FE3FB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Взрывчатое вещество сбрасывается с танка и взрывается через 3 секунды после падения или же оно может быть взорвано в танке, в последнем случае танком жертвуют.</w:t>
      </w:r>
    </w:p>
    <w:p w14:paraId="483A6C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операции по сбрасыванию ВВ, по производству взрыва в самом танке и по дымопуску осуществляются с другого танка (танка управления), который может управлять двумя танками Б-4. Радиус управления по радио 3 км.</w:t>
      </w:r>
    </w:p>
    <w:p w14:paraId="045B3F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Радиоаппаратура танка управления передает несущую волну, на которую накладываются 12 характеристических модуляций (особые тона), через которые и осуществляются различные эво</w:t>
      </w:r>
      <w:r w:rsidRPr="00271E51">
        <w:rPr>
          <w:rFonts w:ascii="Times New Roman" w:hAnsi="Times New Roman"/>
          <w:color w:val="000000" w:themeColor="text1"/>
          <w:sz w:val="16"/>
          <w:szCs w:val="16"/>
        </w:rPr>
        <w:softHyphen/>
        <w:t>люции управляемого танка; Эти модуляции разделяются на две группы - «Ричард» и «Северный полюс». Каждой модуляции соответствует определенное срабатывание в танке Б-4 (поворот, оста</w:t>
      </w:r>
      <w:r w:rsidRPr="00271E51">
        <w:rPr>
          <w:rFonts w:ascii="Times New Roman" w:hAnsi="Times New Roman"/>
          <w:color w:val="000000" w:themeColor="text1"/>
          <w:sz w:val="16"/>
          <w:szCs w:val="16"/>
        </w:rPr>
        <w:softHyphen/>
        <w:t>новка и т.п.).</w:t>
      </w:r>
    </w:p>
    <w:p w14:paraId="3BA632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Приемная установка в танке Б-4 включает в себе резонирующий камертон, имеющий 12 неболь</w:t>
      </w:r>
      <w:r w:rsidRPr="00271E51">
        <w:rPr>
          <w:rFonts w:ascii="Times New Roman" w:hAnsi="Times New Roman"/>
          <w:color w:val="000000" w:themeColor="text1"/>
          <w:sz w:val="16"/>
          <w:szCs w:val="16"/>
        </w:rPr>
        <w:softHyphen/>
        <w:t>ших кнопок, каждая из которых управляется одним из «особых тонов».</w:t>
      </w:r>
    </w:p>
    <w:p w14:paraId="71EB44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совершения непрерывного движения танк Б-4 должен через каждые 20 секунд автоматиче</w:t>
      </w:r>
      <w:r w:rsidRPr="00271E51">
        <w:rPr>
          <w:rFonts w:ascii="Times New Roman" w:hAnsi="Times New Roman"/>
          <w:color w:val="000000" w:themeColor="text1"/>
          <w:sz w:val="16"/>
          <w:szCs w:val="16"/>
        </w:rPr>
        <w:softHyphen/>
        <w:t>ски получать дополнительный импульс.</w:t>
      </w:r>
    </w:p>
    <w:p w14:paraId="69AAA0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Опытное испытание танка Б-4 проводилось в 1941 г. Производство их ведется на двух заво</w:t>
      </w:r>
      <w:r w:rsidRPr="00271E51">
        <w:rPr>
          <w:rFonts w:ascii="Times New Roman" w:hAnsi="Times New Roman"/>
          <w:color w:val="000000" w:themeColor="text1"/>
          <w:sz w:val="16"/>
          <w:szCs w:val="16"/>
        </w:rPr>
        <w:softHyphen/>
        <w:t>дах в Бремене.</w:t>
      </w:r>
    </w:p>
    <w:p w14:paraId="51C999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настоящему времени немцы якобы сформировали семь рот по 52 танка Б-4 и 150-200 человек в каждой. Эти роты объединены в танковый запасный батальон 300, дислоцируемый в Эйзенахе. По другим данным, обучение по применению этих танков проводится в районе г. Вены.</w:t>
      </w:r>
    </w:p>
    <w:p w14:paraId="3E15EB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10.10.1943 г. батальон предназначался для использования на Восточном фронте.</w:t>
      </w:r>
    </w:p>
    <w:p w14:paraId="69E750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И.д. начальника Главразведуправления Красной Армии</w:t>
      </w:r>
    </w:p>
    <w:p w14:paraId="6A0B05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генерал-лейтенант Ильичев</w:t>
      </w:r>
    </w:p>
    <w:p w14:paraId="43CF66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1423. Л. 175. Подлинник.</w:t>
      </w:r>
    </w:p>
    <w:p w14:paraId="06AC59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документе сделана надпись: «т. Коробкову. Где у нас находятся все образцы по сбрасыванию взрывчатых веществ, и как обстоит вопрос на сегодня с телетанками» (11403).</w:t>
      </w:r>
    </w:p>
    <w:p w14:paraId="1CF567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2251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вышло Распоряжение ГКО № 4363 [О выделении 100 воинских автомашин Алтайскому сахсвеклотресту для вывозки сахарной свеклы.] (7148, 16).</w:t>
      </w:r>
    </w:p>
    <w:p w14:paraId="3AA6159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7E03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вышло Постановление ГКО № 4364 О мерах по обеспечению роста добычи нефти в тресте "Туркменнефть". (7148, 17-25,26-28).</w:t>
      </w:r>
    </w:p>
    <w:p w14:paraId="2D821A1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0ACD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вышло Постановление ГКО № 4365 О производстве новой специальной приемно-передающей радиоаппаратуры для партизанских и агентурно-разведывательных связей. (7148, 29-34,35-39).</w:t>
      </w:r>
    </w:p>
    <w:p w14:paraId="2D6399E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1539F8" w14:textId="77777777" w:rsidR="00FE6EEC"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года вышло Постановление ГКО №4365 о производстве новой специальной приемо-передающей радиоаппаратуры для агентурно-разведывательных и партизанских сетей, в котором сказано: организовать в IV квартале 1943 года на заводе № 696 Наркомэлектропрома специальное конструкторское бюро по разработке портативных радиостанций для удовлетворения потребностей органов разведки, партизанского движения (8983).</w:t>
      </w:r>
    </w:p>
    <w:p w14:paraId="065DB843" w14:textId="77777777" w:rsidR="00FE6EEC" w:rsidRPr="00271E51" w:rsidRDefault="00FE6EEC"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29B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г. из постановления № ГКО-4365сс</w:t>
      </w:r>
    </w:p>
    <w:p w14:paraId="4BCA7A8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производстве новой специальной приемо-передающей радиоаппаратуры для партизанских и агентурно-разведывательных связей</w:t>
      </w:r>
    </w:p>
    <w:p w14:paraId="31CABE7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целях удовлетворения в кратчайшие сроки потребности штаба партизанского движения, НКВД, НКГБ и Разведывательного управления Генерального штаба Красной Армии в специальной приемо-передающей радиоаппаратуре, Государственный Комитет Обороны постановляет: </w:t>
      </w:r>
    </w:p>
    <w:p w14:paraId="49F8E07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Обязать НКВД СССР (т. Берия) совместно с Наркомэлектропромом, Разведывательным управлением Генерального штаба Красной Армии и Центральным штабом Партизанского движения в 15-дневный срок разработать на базе радиостанции «Белка», выпускаемой сериями НКВД СССР, и опытного макета радиостанции по техническим условиям, согласованным с заинтересованными организациями. </w:t>
      </w:r>
    </w:p>
    <w:p w14:paraId="6BC9541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Поручить Разведывательному управлению Генерального штаба Красной Армии и НКВД СССР совместно с Центральным штабом партизанского движения, НКГБ и Наркомэлектропромом в недельный срок произвести всесторонние испытания новой радиостанции. </w:t>
      </w:r>
    </w:p>
    <w:p w14:paraId="25AC863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Опытный образец и результаты испытаний представить на утверждение ГКО к 10 ноября 1943 г. </w:t>
      </w:r>
    </w:p>
    <w:p w14:paraId="66A505B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Обязать Наркомэлектропром (т. Кабанова): </w:t>
      </w:r>
    </w:p>
    <w:p w14:paraId="63D8A68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приступить немедленно к созданию производственной базы и подготовке производства новой приемо-передающей радиостанции на заводе №696 с выпуском первой серийной партии этих радиостанций в количестве 50 штук в феврале 1944 года; </w:t>
      </w:r>
    </w:p>
    <w:p w14:paraId="097A591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выпустить в первом полугодии 1944 года 1500 штук указанных радиостанций с поставкой:</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9"/>
        <w:gridCol w:w="604"/>
        <w:gridCol w:w="1727"/>
      </w:tblGrid>
      <w:tr w:rsidR="00A907A5" w:rsidRPr="00271E51" w14:paraId="45036DBA" w14:textId="77777777" w:rsidTr="00ED5B0A">
        <w:tc>
          <w:tcPr>
            <w:tcW w:w="0" w:type="auto"/>
            <w:shd w:val="clear" w:color="auto" w:fill="auto"/>
            <w:hideMark/>
          </w:tcPr>
          <w:p w14:paraId="35B8E0CF"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Разведывательному управлению Красной Армии</w:t>
            </w:r>
          </w:p>
        </w:tc>
        <w:tc>
          <w:tcPr>
            <w:tcW w:w="0" w:type="auto"/>
            <w:shd w:val="clear" w:color="auto" w:fill="auto"/>
            <w:hideMark/>
          </w:tcPr>
          <w:p w14:paraId="10953F0B"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w:t>
            </w:r>
          </w:p>
        </w:tc>
        <w:tc>
          <w:tcPr>
            <w:tcW w:w="0" w:type="auto"/>
            <w:shd w:val="clear" w:color="auto" w:fill="auto"/>
            <w:hideMark/>
          </w:tcPr>
          <w:p w14:paraId="48A0344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500 штук</w:t>
            </w:r>
          </w:p>
        </w:tc>
      </w:tr>
      <w:tr w:rsidR="00A907A5" w:rsidRPr="00271E51" w14:paraId="45D05039" w14:textId="77777777" w:rsidTr="00ED5B0A">
        <w:tc>
          <w:tcPr>
            <w:tcW w:w="0" w:type="auto"/>
            <w:shd w:val="clear" w:color="auto" w:fill="auto"/>
            <w:hideMark/>
          </w:tcPr>
          <w:p w14:paraId="2F9546CC"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НКВД и НКГБ</w:t>
            </w:r>
          </w:p>
        </w:tc>
        <w:tc>
          <w:tcPr>
            <w:tcW w:w="0" w:type="auto"/>
            <w:shd w:val="clear" w:color="auto" w:fill="auto"/>
            <w:hideMark/>
          </w:tcPr>
          <w:p w14:paraId="0CC9CBDE"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w:t>
            </w:r>
          </w:p>
        </w:tc>
        <w:tc>
          <w:tcPr>
            <w:tcW w:w="0" w:type="auto"/>
            <w:shd w:val="clear" w:color="auto" w:fill="auto"/>
            <w:hideMark/>
          </w:tcPr>
          <w:p w14:paraId="349EA943"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400 штук</w:t>
            </w:r>
          </w:p>
        </w:tc>
      </w:tr>
      <w:tr w:rsidR="00A907A5" w:rsidRPr="00271E51" w14:paraId="68A0A3F0" w14:textId="77777777" w:rsidTr="00ED5B0A">
        <w:tc>
          <w:tcPr>
            <w:tcW w:w="0" w:type="auto"/>
            <w:shd w:val="clear" w:color="auto" w:fill="auto"/>
            <w:hideMark/>
          </w:tcPr>
          <w:p w14:paraId="63A26F39"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НКВМФ</w:t>
            </w:r>
          </w:p>
        </w:tc>
        <w:tc>
          <w:tcPr>
            <w:tcW w:w="0" w:type="auto"/>
            <w:shd w:val="clear" w:color="auto" w:fill="auto"/>
            <w:hideMark/>
          </w:tcPr>
          <w:p w14:paraId="6991D9B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w:t>
            </w:r>
          </w:p>
        </w:tc>
        <w:tc>
          <w:tcPr>
            <w:tcW w:w="0" w:type="auto"/>
            <w:shd w:val="clear" w:color="auto" w:fill="auto"/>
            <w:hideMark/>
          </w:tcPr>
          <w:p w14:paraId="1B5A0C90"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100 штук</w:t>
            </w:r>
          </w:p>
        </w:tc>
      </w:tr>
      <w:tr w:rsidR="00A907A5" w:rsidRPr="00271E51" w14:paraId="08E4DB39" w14:textId="77777777" w:rsidTr="00ED5B0A">
        <w:tc>
          <w:tcPr>
            <w:tcW w:w="0" w:type="auto"/>
            <w:shd w:val="clear" w:color="auto" w:fill="auto"/>
            <w:hideMark/>
          </w:tcPr>
          <w:p w14:paraId="75BE0DCB"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Центральному штабу партизанского движения</w:t>
            </w:r>
          </w:p>
        </w:tc>
        <w:tc>
          <w:tcPr>
            <w:tcW w:w="0" w:type="auto"/>
            <w:shd w:val="clear" w:color="auto" w:fill="auto"/>
            <w:hideMark/>
          </w:tcPr>
          <w:p w14:paraId="17241C42"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w:t>
            </w:r>
          </w:p>
        </w:tc>
        <w:tc>
          <w:tcPr>
            <w:tcW w:w="0" w:type="auto"/>
            <w:shd w:val="clear" w:color="auto" w:fill="auto"/>
            <w:hideMark/>
          </w:tcPr>
          <w:p w14:paraId="5F5CDF06" w14:textId="77777777" w:rsidR="00473181" w:rsidRPr="00271E51" w:rsidRDefault="00473181"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500 штук</w:t>
            </w:r>
          </w:p>
        </w:tc>
      </w:tr>
    </w:tbl>
    <w:p w14:paraId="4EBADEB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довести к 1 августа 1944 года производственную мощность завода № 696 по выпуску новой приемо-передающей радиостанции до 6000 штук в год...;</w:t>
      </w:r>
    </w:p>
    <w:p w14:paraId="71FEF77B" w14:textId="77777777" w:rsidR="00FE6EEC"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организовать в IV квартале 1943 года на заводе №696 специальное конструкторское бюро по разработке портативных радиостанций для удовлетворения потребностей органов разведки, партизанского движения и воздушно-десантных войск Красной Армии...</w:t>
      </w:r>
    </w:p>
    <w:p w14:paraId="5D69243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ПРЕДСЕДАТЕЛЬ ГОСУДАРСТВЕННОГО </w:t>
      </w:r>
    </w:p>
    <w:p w14:paraId="259E450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КОМИТЕТА ОБОРОНЫ И. СТАЛИН</w:t>
      </w:r>
    </w:p>
    <w:p w14:paraId="43CB774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Выписки посланы: т.т. Молотову, Берия, Маленкову, Кабанову, Кузнецову (НКО), </w:t>
      </w:r>
    </w:p>
    <w:p w14:paraId="6FABFF8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Пономаренко, Жукову, Вознесенскому, Меркулову, Щербакову, </w:t>
      </w:r>
    </w:p>
    <w:p w14:paraId="3476362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Чадаеву – все; </w:t>
      </w:r>
    </w:p>
    <w:p w14:paraId="36096AA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Наркомам – соотв. (12661).</w:t>
      </w:r>
    </w:p>
    <w:p w14:paraId="224CC695"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66B140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20 октября 1943 г. во Владивосток поступило 28 044 тонны оборудования для завода №441 в Гурьеве, 19 476 тонн для завода №228 в Орске, а также меньшее по весу оборудование для заводов в Куйбышеве и Красноводске. Всего же в 1943 г. из США на Даль­ний Восток поступило 95 тыс. тонн оборудования для заводов Наркомата неф­тяной промышленности, которое было отгружено по назначению в 4858 же­лезнодорожных вагонах; в 1944 г. с Дальнего Востока было отправлено 2515 вагонов с американским оборудо­ванием для нефтезаводов.Тем не менее к марту 1944 г. стало ясно, что плановые сроки срываются. Общий вес ввозимого из США оборудования и материалов для НПЗ в Куйбышеве должен был составить 23 тыс. тонн, из них на 1 января 1944 г. было получено лишь 12,8 тыс. тонн; часть чертежей к марту 1944 г. из США не поступила. На заводе не хватало ра­бочих, и Куйбышевский обком просил вышестоящие органы выделить допол­нительно до 1,6 тыс. заключенных.Для завода в Гурьеве к январю 1944 г. было получено 78% от общего тоннажа оборудования, в Орске — около 69%.Чтобы пустить заводы в эксплуата­цию, требовалась большая и многосто­ронняя работа. Например, в Красно­водске нужно было для разгрузки импортного оборудования построить еще железнодорожную ветку длиной 10 км (от разъезда железнодорожной станции до завода), а также ТЭЦ и дру­гие объекты. Требовалось подготовить к работе советских нефтяников. Не должны были повторяться случаи, по­добные следующему.На Саратовском заводе имени Киро­ва в начале января 1942 г. неоднократ­но останавливалось дорогое американ­ское оборудование для крекинга. Оказалось, что американские инструк­ции по эксплуатации насоса высокого давления не только грубо нарушались, но и вообще не были переведены. В ре­зультате некоторые детали были быст­ро изношены, а для ремонта требова­лось много времени. Не соблюдались требования по эксплуатации и другого оборудования.В ноябре 1943 — феврале 1944 гг. состоялось несколько встреч советских нефтяников с американскими специали­стами фирмы «Баджер», на них были заданы сотни вопросов об американ­ском оборудовании для нефтеперера­батывающих заводов, строительство которых должно было начаться в СССР. Почти на все вопросы были по­лучены исчерпывающие ответы.В начале 1944 г. в Гурьеве постоянно работали четыре американских специалиста (Формель, Фуллер, Фостер и Кросби), в Куйбышеве — 7 человек, как отмечалось в отчете фирмы «Баджер», «это больше, чем требует­ся». Советские специалисты направля­лись в США.В феврале 1944 г. американский специалист Мак-Карди признавал: «За­вод №1 (в Гурьеве. — Авт.), хотя стро­ительные работы там только что нача­лись, произвел очень хорошее впечатление. Планирование и проведе­ние предварительных работ, таких как строительство дорог, ж.д. веток, рабочих поселков и т.д., было очень хоро­шо выполнено. Стоит специально отме­тить прекрасное обращение с материалом и оборудованием... Мате­риал и оборудование содержатся в прекрасном порядке и заботятся о нем больше, чем на какой-либо работе, ка­кие мне приходилось до сих пор ви­деть» (11475).</w:t>
      </w:r>
    </w:p>
    <w:p w14:paraId="04EC187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7073C2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Балтийцы закончили аварийный ремонт на линкоре. "Судомех" устранял боевые повреждения на БМО (10671).</w:t>
      </w:r>
    </w:p>
    <w:p w14:paraId="23ED5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DBF3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74D05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CF86DF"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октября </w:t>
      </w:r>
      <w:r w:rsidRPr="00271E51">
        <w:rPr>
          <w:rFonts w:ascii="Times New Roman" w:hAnsi="Times New Roman"/>
          <w:color w:val="000000" w:themeColor="text1"/>
          <w:sz w:val="16"/>
          <w:szCs w:val="16"/>
        </w:rPr>
        <w:t>в 1943 году оперативная сводка Совинформбюро:</w:t>
      </w:r>
    </w:p>
    <w:p w14:paraId="4476074E"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20 октября наши войска, отбивая контратаки противника, вели уличные бои в городе Мелитополь и заняли несколько кварталов. Противник понес большие потери в живой силе и технике.</w:t>
      </w:r>
    </w:p>
    <w:p w14:paraId="7F03238F"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наши войска, преодолевая сопротивление противника, продолжали наступление и, продвинувшись вперёд от 5 до 10 километров, заняли ряд населённых пунктов, среди которых крупные населённые пункты Николаевка, Орехова, Екатериновка, Зелёное, Полтаво-Боголюбовка, Краснаяволя, Комиссаровка, Лозоватка, Новая Андреевка, Шевченково и железнодорожные станции Жёлтые Воды, Касиновка, Тищенков.</w:t>
      </w:r>
    </w:p>
    <w:p w14:paraId="36781831"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отбивая контратаки противника, продолжали вести бои по расширению плацдарма на правом берегу Днепра.</w:t>
      </w:r>
    </w:p>
    <w:p w14:paraId="3844D15D"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продолжая вести наступательные бои по расширению плацдарма на правом берегу реки днепр, овладели сильно укреплёнными опорными пунктами противника Мохово, Колпень, Сенская, Борец, Победитель, Прогресс.</w:t>
      </w:r>
    </w:p>
    <w:p w14:paraId="4320B427"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Гомеля наши войска продолжали вести бои по расширению плацдарма направом берегу реки Сож, улучшив свои позиции.</w:t>
      </w:r>
    </w:p>
    <w:p w14:paraId="58AC0E10"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5BA46A1B"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октября наши войска на всех фронтах подбили и уничтожили 85 немецких танков. В воздушных боях и огнём зенитной артиллерии сбито 45 самолётов противника.</w:t>
      </w:r>
    </w:p>
    <w:p w14:paraId="4D877609"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городе Мелитополь продолжались уличные бои. Немецкая пехота, усиленнаят анками и самоходными орудиями, стремилась вернуть потерянные накануне позиции. Наши войска отбили двадцать контратак противника. Продвигаясь вперёд, наши бойцы очистили от немцев несколько кварталов. За день боёв уничтожено 1.200 гитлеровцев, сожжено и подбито 38 немецких танков и 6 самоходных орудий.</w:t>
      </w:r>
    </w:p>
    <w:p w14:paraId="60C80425"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Кременчуг, на правом берегу Днепра, наши войска продолжали наступление. Противник спешно подтягивает в район прорыва крупные силы с других участков фронта. Ломая сопротивление врага, бойцы Н-ского соединения заняли ряд населённых пунктов и уничтожили до 1.500 немецких солдат и офицеров. Среди убитых — командир 23 немецкой танковой дивизии. Подбито и уничтожено 26 танков противника. На железнодорожной станции Жёлтые Воды захвачено у немцев 24 орудия, 8 миномётов, крупный склад с зерном и другие трофеи.</w:t>
      </w:r>
    </w:p>
    <w:p w14:paraId="7453E737"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сегодня бросил в район прорыва советских войск крупные силы авиации. Наши лётчики, активно поддерживая действия наземных войск, в течение дня в воздушных боях сбили 23 немецких самолёта.</w:t>
      </w:r>
    </w:p>
    <w:p w14:paraId="51DA18C6"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продолжали вести бои за расширение плацдарма на правом берегу Днепра. Части Н-ского соединения, в результате упорных боёв, овладели выгодными позициями. Немцы предприняли контратаку, но под огнём нашей артиллерии и миномётов понесли большие потери и в беспорядке отступили. На другом участке наши войска, в результате ожесточённых двухдневных боёв, заняли два опорных пункта. Уничтожено до 2.000 немецких солдат и офицеров, 11 танков, 2 самоходных и 57 полевых орудий, 260 автомашин и до 400 повозок. Захвачены большие трофеи и пленные.</w:t>
      </w:r>
    </w:p>
    <w:p w14:paraId="36F53E12"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продолжали вести бои за расширение плацдарма на правом берегу Днепра. На одном участке немцы предприняли контратаку. Бойцы Н-ской части отбросили врага и, преследуя отступающих гитлеровцев, овладели сильно укреплённым населённым пунктом Колпень. Захвачены 12 орудий, склад боеприпасов, много винтовок и автоматов. На другом участке наши части овладели несколькими населёнными пунктами, в боях за которые уничтожено до двух батальонов немецкой пехоты. Взяты пленные и трофеи.</w:t>
      </w:r>
    </w:p>
    <w:p w14:paraId="795AFFB8"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11 самолётов противника.</w:t>
      </w:r>
    </w:p>
    <w:p w14:paraId="3311251D"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потоплены три самоходных баржи и сторожевой катер противника. В воздушных боях сбито 7 немецких самолётов.</w:t>
      </w:r>
    </w:p>
    <w:p w14:paraId="33C99956"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транспорт водоизмещением в 5 тысяч тонн и две сухогрузных баржи противника.</w:t>
      </w:r>
    </w:p>
    <w:p w14:paraId="580C3CE0"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Волынской области, за два дня подорвал 3 немецких воинских эшелона. В результате крушений разбиты 2 паровоза, 16 платформ с танками и автомашинами и 18 вагонов с различными военными грузами. Партизаны отряда имени Жукова за первую неделю октября н ашоссейной дороге взорвали 6 грузовых и одну легковую автомашины. Из засад уничтожено 33 солдата и 4 немецких офицера.</w:t>
      </w:r>
    </w:p>
    <w:p w14:paraId="688845E6"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 Лозовая: «Много горя и страданий причинили немцы населению города за время оккупации. Разнузданные фашистские бандиты грабили, истязали и убивали мирных жителей. Точное количество жертв, погибших от рук гитлеровских палачей, трудно установить. День за днём выявляются всё новые и новые злодеяния и убийства, совершённые немецкими извергами. По далеко не полным данным, немцы угнали на каторгу в Германию 4 тысячи жителей города. В начале сентября гестаповцы произвели многочисленные аресты. Рабочего вагоноремонтного завода Ивана Дорофеева гитлеровцы подвергли страшным пыткам, а потом убили. Пожилая женщина Виктория Шевченко, сотрудница Трансторгпита, пыталась спасти железнодорожные сооружения от разрушения и перерезала провода, соединяющие заряд взрывчатки с электроисточником. Немцы после диких издевательств и пыток расстреляли Шевченкои её сына Юрия.</w:t>
      </w:r>
    </w:p>
    <w:p w14:paraId="4EEE714E"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бандиты взорвали все общественные здания в городе. Они разрушили все школы, сожгли городскую поликлинику, Дворец культуры, театр, Дом стахановцев, взорвали электростанцию, мастерские, депо, вагоноремонтный и гвоздильный заводы, элеватор, две механизированные мельницы и другие предприятия. Фашистские мерзавцы уничтожили водопровод, а колодцы завалили трупами дохлых животных. Специальные команды «факельщиков» сожгли большую часть жилых домов города».</w:t>
      </w:r>
    </w:p>
    <w:p w14:paraId="2C7D94A1"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Горсовета Н.Колесник, учительницы средней школыим. Короленко Б.Лотоцкая и О.Польшинская, врачи городской больницы Х.Красина, М.Ярцева, инженер депо Э.Фролов, начальник кондукторской бригады О.Перегорода, слесарь депо Хабатов, домохозяйки Э.Дубина, А.Лысенко и другие.» (14805).</w:t>
      </w:r>
    </w:p>
    <w:p w14:paraId="68BBAF6A" w14:textId="77777777" w:rsidR="00FE6EEC" w:rsidRPr="00271E51" w:rsidRDefault="00FE6EEC" w:rsidP="00271E51">
      <w:pPr>
        <w:spacing w:after="0" w:line="240" w:lineRule="auto"/>
        <w:jc w:val="both"/>
        <w:rPr>
          <w:rFonts w:ascii="Times New Roman" w:hAnsi="Times New Roman"/>
          <w:color w:val="000000" w:themeColor="text1"/>
          <w:sz w:val="16"/>
          <w:szCs w:val="16"/>
        </w:rPr>
      </w:pPr>
    </w:p>
    <w:p w14:paraId="034567ED"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октября </w:t>
      </w:r>
      <w:r w:rsidRPr="00271E51">
        <w:rPr>
          <w:rFonts w:ascii="Times New Roman" w:hAnsi="Times New Roman"/>
          <w:color w:val="000000" w:themeColor="text1"/>
          <w:sz w:val="16"/>
          <w:szCs w:val="16"/>
        </w:rPr>
        <w:t>в 1943 году Ставка ВГК переименовала Калининский, Прибалтийский и Центральный фронта соответственно в 1-й и 2-й Прибалтийские и Белорусский фронта. Воронежский, Степной, Юго-Западный и Южный фронта переименованы соответственно в 1, 2, 3 и 4-й Украинские фронта. Командующий 1-м Прибалтийским фронтом (24 февраля 1945 реорганизован в Земландскую группу войск) - генерал армии А.И.Еременко (октябрь - ноябрь 1943), генерал армии И.Х.Баграмян (ноябрь 1943 - февраль 1945); члены Военного совета - генерал-лейтенант Д.С.Леонов (октябрь 1943- ноябрь 1944), генерал-лейтенант М.В.Рудаков (ноябрь 1944 - февраль 1945); начальник штаба - генерал-лейтенант (с июня 1944 генерал-полковник) В.В.Курасов (октябрь 1943 - февраль 1945). Командующий 2-м Прибалтийским фронтом (1 апреля 1945 упразднен) - генерал армии М.М.Попов (октябрь 1943 - апрель 1944), генерал армии А.И.Еременко (апрель 1944 - февраль 1945), Маршал Советского Союза Л.А.Говоров (февраль - март 1945); члены Военного совета - генерал-лейтенант Л.3.Мехлис (октябрь - декабрь 1943), генерал-лейтенант Н.А.Булганин (декабрь 1943 - апрель 1944), генерал-лейтенант В.Н.Богаткин (апрель 1944 - март 1945); начальник штаба - генерал-лейтенант (с августа 1944 генерал-полковник) Л.М.Сандалов (октябрь 1943 - март 1945), генерал-полковник М.М.Попов (март 1945). Командующий Белорусским фронтом (17 февраля и 16 апреля 1944 переименовывался в 1-й Белорусский фронт, с 5 по 16 апреля 1944 - Белорусский фронт) - генерал армии К.К.Рокоссовский; член Военного совета - генерал-лейтенант К.Ф.Телегин; начальник штаба - генерал-полковник М.С.Малинин. Командующий 1-м Украинским фронтом (10 июня 1945 расформирован) - генерал армии Н.Ф.Ватутин (октябрь 1943 - март 1944), Маршал Советского Союза Г.К.Жуков (март - май 1944), Маршал Советского Союза И.С.Конев (май 1944 - май 1945); члены Военного совета - генерал-лейтенант Н.С.Хрущев (октябрь 1943 - август 1944), генерал-майор (с марта 1944 генерал-лейтенант) К.В.Крайнюков (октябрь 1943 - июнь1945); начальник штаба - генерал-лейтенант С.П.Иванов (октябрь - нояббрь 1943), генерал-лейтенант А.Н.Боголюбов (ноябрь 1943 - апрель 1944), генерал армии В.Д.Соколовский (апрель 1944 - апрель 1945), генерал армии И.Е.Петров (апрель-июнь 1945). Командующий 2-м Украинским фронтом (10 июня 1945 расформирован) - генерал армии (с февраля 1944 Маршал Советского Союза) И.С.Конев (октябрь 1943 - май 1944), генерал армии (с сентября 1944 Маршал Советского Союза) Р.Я.Малиновский (май 1944 - июнь 1945); члены Военного совета - генерал-лейтенант танковых войск (с сентября 1944 генерал-полковник танковых войск) И.3.Сусайков (октябрь 1943 - март 1945), генерал-лейтенант А.Н.Тевченков (март- июнь 1945); начальник штаба - генерал-полковник (с мая 1945 генерал армии) М.В.Захаров (октябрь 1943 - июнь 1945). Командующий 3-м Украинским фронтом (15 июня 1945 расформирован) - генерал армии Р.Я.Малиновский (октябрь 1943 - май 1944), генерал армии (с сентября 1944 Маршал Советского Союза) Ф.И.Толбухин (май 1944 - июнь 1945); член Военного совета - генерал-полковник А.С.Желтое (октябрь 1943- июнь 1945); начальник штаба - генерал-лейтенант Ф.К.Корженевич (октябрь 1943 - май 1944), генерал-лейтенант (с мая 1944 генерал-полковник) С. С. Бирюзов (май-октябрь 1944), генерал-лейтенант (с апрель 1945 генерал-полковник) С.П.Иванов (октябрь 1944 - июнь 1945). Командующий 4-м Украинским фронтом (16 мая 1944 упразднен) - генерал армии Ф.И.Толбухин (октябрь 1943- май 1944); члены Военного совета - генерал-полковник Е.А.Щаденко (октябрь 1943 - январь 1944), генерал-майор (с апрель 1944 генерал-лейтенант) Н.Е.Субботин (январь - май 1944); начальник штаба - генерал-лейтенант С.С.Бирюзов.</w:t>
      </w:r>
    </w:p>
    <w:p w14:paraId="18B0B096" w14:textId="77777777" w:rsidR="00FE6EEC" w:rsidRPr="00271E51" w:rsidRDefault="00FE6EE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по инициативе В.И.Немировича-Данченко при МХАТ СССР имени М.Горького была открыта Школа-студия. Ныне— Школа-студия (институт) имени Вл.И.Немировича-Данченко при МХАТ имени А.П.Чехова — высшее театральное учебное заведение (14805).</w:t>
      </w:r>
    </w:p>
    <w:p w14:paraId="4D733AE4" w14:textId="77777777" w:rsidR="00FE6EEC" w:rsidRPr="00271E51" w:rsidRDefault="00FE6EEC" w:rsidP="00271E51">
      <w:pPr>
        <w:spacing w:after="0" w:line="240" w:lineRule="auto"/>
        <w:jc w:val="both"/>
        <w:rPr>
          <w:rFonts w:ascii="Times New Roman" w:hAnsi="Times New Roman"/>
          <w:color w:val="000000" w:themeColor="text1"/>
          <w:sz w:val="16"/>
          <w:szCs w:val="16"/>
        </w:rPr>
      </w:pPr>
    </w:p>
    <w:p w14:paraId="58A729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20 октября 1943 группы по 9-18 самолетов (всего в налете приняли участие 67 "пешек") нанесли удар сразу по трем далеко расположенным друг от друга станциям: Александрия, Користовка и Верховцево. Бомбометание выполнялось с высот 500-2900 м, комбинированным способом (25 наиболее подготовленных экипажей бомбили с пикирования, а остальные - с горизонтального полета). Застать врасплох германские силы ПВО не удалось и пришлось преодолеть сильное противодействие малокалиберной зенитной артиллерии противника. Однако результаты ударов оказались высокими: сожжены три железнодорожных эшелона, взорваны три склада </w:t>
      </w:r>
      <w:r w:rsidRPr="00271E51">
        <w:rPr>
          <w:rFonts w:ascii="Times New Roman" w:hAnsi="Times New Roman"/>
          <w:color w:val="000000" w:themeColor="text1"/>
          <w:sz w:val="16"/>
          <w:szCs w:val="16"/>
        </w:rPr>
        <w:lastRenderedPageBreak/>
        <w:t>боеприпасов, разрушено в общей сложности до 30 привокзальных зданий и создано 8 очагов пожаров, включая два крупных (12042).</w:t>
      </w:r>
    </w:p>
    <w:p w14:paraId="1FFD4E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07C2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A6778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3659FE"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октября 1943 первый полет Junkers Ju 390 (20376).</w:t>
      </w:r>
    </w:p>
    <w:p w14:paraId="6F274D6C" w14:textId="77777777" w:rsidR="00736B3D" w:rsidRPr="00271E51" w:rsidRDefault="00736B3D" w:rsidP="00271E51">
      <w:pPr>
        <w:spacing w:after="0" w:line="240" w:lineRule="auto"/>
        <w:jc w:val="both"/>
        <w:rPr>
          <w:rFonts w:ascii="Times New Roman" w:hAnsi="Times New Roman"/>
          <w:color w:val="0070C0"/>
          <w:sz w:val="16"/>
          <w:szCs w:val="16"/>
        </w:rPr>
      </w:pPr>
    </w:p>
    <w:p w14:paraId="51D214A8"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октября 1943 г. в Праге первый полет совершил грузовой шестимоторный Ju 390V и показал неплохие летные качества, а спустя несколько дней начались летные испытания и разведчика Ju 390V2.</w:t>
      </w:r>
    </w:p>
    <w:p w14:paraId="036F4495"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Рабочее проектирование машины вело КБ завода «Летов» в Праге и ему выделили под опытные образцы недостроенные самолеты Ju 90V6 и Ju 290A-1 с заводским номером J900155, третий же разрешили построить «с нуля». Первый опытный Ju 390V1 должен был быть транспортником и самолетом-заправщиком, V2 — дальним разведчиком, а V3 — тяжелым патрульным бомбардировщиком, прототипом модификации Ju 390A-1, которая должна была пойти в серию первой.</w:t>
      </w:r>
    </w:p>
    <w:p w14:paraId="5EA6A98C"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 Летом 1944 г. они предприняли полет через Атлантику с целью проверки возможности прорыва к берегам Америки. Немецкие пропагандистские издания сообщали, что самолеты приблизились к Нью-Йорку на расстояние 19 км и благополучно вернулись, но когда после войны Союзники захватили немецкие архивы, документов по этому полету американские эксперты найти не смогли.</w:t>
      </w:r>
    </w:p>
    <w:p w14:paraId="3AC33A2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Прототип бомбардировщика Ju 390V3 должен был выйти на испытания в 1944 г. и иметь полный комплект оборонительного и ударного вооружения, в т.ч. управляемые крылатые ракеты Hs 293 и планирующие бомбы SD 1400X «Фриц» (22969).</w:t>
      </w:r>
    </w:p>
    <w:p w14:paraId="6E9A98EC" w14:textId="77777777" w:rsidR="00736B3D" w:rsidRPr="00271E51" w:rsidRDefault="00736B3D" w:rsidP="00271E51">
      <w:pPr>
        <w:spacing w:after="0" w:line="240" w:lineRule="auto"/>
        <w:jc w:val="both"/>
        <w:rPr>
          <w:rFonts w:ascii="Times New Roman" w:hAnsi="Times New Roman"/>
          <w:color w:val="0070C0"/>
          <w:sz w:val="16"/>
          <w:szCs w:val="16"/>
        </w:rPr>
      </w:pPr>
    </w:p>
    <w:p w14:paraId="007E3954" w14:textId="4C4CF9CB"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октября 1943 летающая лодка PBY Catalina ВМС США и бомбардировщик Mitsubishi G4M Императорского флота Японии (союзное название "Бетти") обмениваются огнем у Атту. Это последний воздушный бой на Алеутских островах (20376).</w:t>
      </w:r>
    </w:p>
    <w:p w14:paraId="0569FB53" w14:textId="77777777" w:rsidR="00736B3D" w:rsidRPr="00271E51" w:rsidRDefault="00736B3D" w:rsidP="00271E51">
      <w:pPr>
        <w:spacing w:after="0" w:line="240" w:lineRule="auto"/>
        <w:jc w:val="both"/>
        <w:rPr>
          <w:rFonts w:ascii="Times New Roman" w:hAnsi="Times New Roman"/>
          <w:color w:val="0070C0"/>
          <w:sz w:val="16"/>
          <w:szCs w:val="16"/>
        </w:rPr>
      </w:pPr>
    </w:p>
    <w:p w14:paraId="4DDB4E48"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20–21 октября (ночь) 1943 358 британских Ланкастеров совершают первую крупную атаку на Лейпциг с потерей 16 самолетов (4,5%). Из-за того, что бомбардировочное командование называет «ужасной» погодой, самолеты широко разбрасывают бомбы (20376).</w:t>
      </w:r>
    </w:p>
    <w:p w14:paraId="71570F28" w14:textId="77777777" w:rsidR="00736B3D" w:rsidRPr="00271E51" w:rsidRDefault="00736B3D" w:rsidP="00271E51">
      <w:pPr>
        <w:spacing w:after="0" w:line="240" w:lineRule="auto"/>
        <w:jc w:val="both"/>
        <w:rPr>
          <w:rFonts w:ascii="Times New Roman" w:hAnsi="Times New Roman"/>
          <w:color w:val="0070C0"/>
          <w:sz w:val="16"/>
          <w:szCs w:val="16"/>
        </w:rPr>
      </w:pPr>
    </w:p>
    <w:p w14:paraId="0E93FBC5"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20 октября 1943 машину 38 </w:t>
      </w:r>
      <w:r w:rsidRPr="00271E51">
        <w:rPr>
          <w:rFonts w:ascii="Times New Roman" w:cs="Times New Roman"/>
          <w:color w:val="000000" w:themeColor="text1"/>
          <w:spacing w:val="0"/>
          <w:lang w:val="en-US"/>
        </w:rPr>
        <w:t>cmPanzermorserSturmtigerAusf</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E</w:t>
      </w:r>
      <w:r w:rsidRPr="00271E51">
        <w:rPr>
          <w:rFonts w:ascii="Times New Roman" w:cs="Times New Roman"/>
          <w:color w:val="000000" w:themeColor="text1"/>
          <w:spacing w:val="0"/>
        </w:rPr>
        <w:t>, вы</w:t>
      </w:r>
      <w:r w:rsidRPr="00271E51">
        <w:rPr>
          <w:rFonts w:ascii="Times New Roman" w:cs="Times New Roman"/>
          <w:color w:val="000000" w:themeColor="text1"/>
          <w:spacing w:val="0"/>
        </w:rPr>
        <w:softHyphen/>
        <w:t>пустили в сентябре 1943 года с рубкой из неброневой стали продемонстрировали Гитлеру.</w:t>
      </w:r>
    </w:p>
    <w:p w14:paraId="5E2E6D5C"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lang w:val="en-US"/>
        </w:rPr>
      </w:pPr>
      <w:bookmarkStart w:id="6" w:name="bookmark26"/>
      <w:r w:rsidRPr="00271E51">
        <w:rPr>
          <w:rFonts w:ascii="Times New Roman" w:cs="Times New Roman"/>
          <w:color w:val="000000" w:themeColor="text1"/>
          <w:spacing w:val="0"/>
        </w:rPr>
        <w:t xml:space="preserve">ТАКТИКО-ТЕХНИЧЕСКИЕ ХАРАКТЕРИСТИКИ САУ </w:t>
      </w:r>
      <w:r w:rsidRPr="00271E51">
        <w:rPr>
          <w:rFonts w:ascii="Times New Roman" w:cs="Times New Roman"/>
          <w:color w:val="000000" w:themeColor="text1"/>
          <w:spacing w:val="0"/>
          <w:lang w:val="en-US"/>
        </w:rPr>
        <w:t>Sturmtiger</w:t>
      </w:r>
      <w:bookmarkEnd w:id="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062"/>
        <w:gridCol w:w="600"/>
      </w:tblGrid>
      <w:tr w:rsidR="00A907A5" w:rsidRPr="00271E51" w14:paraId="1D991A37" w14:textId="77777777" w:rsidTr="00750D9D">
        <w:trPr>
          <w:trHeight w:val="240"/>
        </w:trPr>
        <w:tc>
          <w:tcPr>
            <w:tcW w:w="3062" w:type="dxa"/>
            <w:shd w:val="clear" w:color="auto" w:fill="FFFFFF"/>
          </w:tcPr>
          <w:p w14:paraId="3626567D"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Боевая масса, т</w:t>
            </w:r>
          </w:p>
        </w:tc>
        <w:tc>
          <w:tcPr>
            <w:tcW w:w="600" w:type="dxa"/>
            <w:shd w:val="clear" w:color="auto" w:fill="FFFFFF"/>
          </w:tcPr>
          <w:p w14:paraId="77D0BABF"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66</w:t>
            </w:r>
          </w:p>
        </w:tc>
      </w:tr>
      <w:tr w:rsidR="00A907A5" w:rsidRPr="00271E51" w14:paraId="75A2D62D" w14:textId="77777777" w:rsidTr="00750D9D">
        <w:trPr>
          <w:trHeight w:val="202"/>
        </w:trPr>
        <w:tc>
          <w:tcPr>
            <w:tcW w:w="3062" w:type="dxa"/>
            <w:shd w:val="clear" w:color="auto" w:fill="FFFFFF"/>
          </w:tcPr>
          <w:p w14:paraId="158F67F4"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Экипаж, чел.</w:t>
            </w:r>
          </w:p>
        </w:tc>
        <w:tc>
          <w:tcPr>
            <w:tcW w:w="600" w:type="dxa"/>
            <w:shd w:val="clear" w:color="auto" w:fill="FFFFFF"/>
          </w:tcPr>
          <w:p w14:paraId="3993C96B"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w:t>
            </w:r>
          </w:p>
        </w:tc>
      </w:tr>
      <w:tr w:rsidR="00A907A5" w:rsidRPr="00271E51" w14:paraId="66A2A2B5" w14:textId="77777777" w:rsidTr="00750D9D">
        <w:trPr>
          <w:trHeight w:val="216"/>
        </w:trPr>
        <w:tc>
          <w:tcPr>
            <w:tcW w:w="3062" w:type="dxa"/>
            <w:shd w:val="clear" w:color="auto" w:fill="FFFFFF"/>
          </w:tcPr>
          <w:p w14:paraId="02FF610E"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Габаритные размеры, мм:</w:t>
            </w:r>
          </w:p>
        </w:tc>
        <w:tc>
          <w:tcPr>
            <w:tcW w:w="600" w:type="dxa"/>
            <w:shd w:val="clear" w:color="auto" w:fill="FFFFFF"/>
          </w:tcPr>
          <w:p w14:paraId="1A3B0E5C" w14:textId="77777777" w:rsidR="00523049" w:rsidRPr="00271E51" w:rsidRDefault="00523049" w:rsidP="00271E51">
            <w:pPr>
              <w:spacing w:after="0" w:line="240" w:lineRule="auto"/>
              <w:jc w:val="both"/>
              <w:rPr>
                <w:rFonts w:ascii="Times New Roman" w:hAnsi="Times New Roman"/>
                <w:color w:val="000000" w:themeColor="text1"/>
                <w:sz w:val="16"/>
                <w:szCs w:val="16"/>
              </w:rPr>
            </w:pPr>
          </w:p>
        </w:tc>
      </w:tr>
      <w:tr w:rsidR="00A907A5" w:rsidRPr="00271E51" w14:paraId="2C06E150" w14:textId="77777777" w:rsidTr="00750D9D">
        <w:trPr>
          <w:trHeight w:val="197"/>
        </w:trPr>
        <w:tc>
          <w:tcPr>
            <w:tcW w:w="3062" w:type="dxa"/>
            <w:shd w:val="clear" w:color="auto" w:fill="FFFFFF"/>
          </w:tcPr>
          <w:p w14:paraId="0848EEF2"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длина</w:t>
            </w:r>
          </w:p>
        </w:tc>
        <w:tc>
          <w:tcPr>
            <w:tcW w:w="600" w:type="dxa"/>
            <w:shd w:val="clear" w:color="auto" w:fill="FFFFFF"/>
          </w:tcPr>
          <w:p w14:paraId="710370AF"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6280</w:t>
            </w:r>
          </w:p>
        </w:tc>
      </w:tr>
      <w:tr w:rsidR="00A907A5" w:rsidRPr="00271E51" w14:paraId="03D5B15C" w14:textId="77777777" w:rsidTr="00750D9D">
        <w:trPr>
          <w:trHeight w:val="202"/>
        </w:trPr>
        <w:tc>
          <w:tcPr>
            <w:tcW w:w="3062" w:type="dxa"/>
            <w:shd w:val="clear" w:color="auto" w:fill="FFFFFF"/>
          </w:tcPr>
          <w:p w14:paraId="1EFE77BB"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ширина</w:t>
            </w:r>
          </w:p>
        </w:tc>
        <w:tc>
          <w:tcPr>
            <w:tcW w:w="600" w:type="dxa"/>
            <w:shd w:val="clear" w:color="auto" w:fill="FFFFFF"/>
          </w:tcPr>
          <w:p w14:paraId="23440738"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3570</w:t>
            </w:r>
          </w:p>
        </w:tc>
      </w:tr>
      <w:tr w:rsidR="00A907A5" w:rsidRPr="00271E51" w14:paraId="5B784109" w14:textId="77777777" w:rsidTr="00750D9D">
        <w:trPr>
          <w:trHeight w:val="192"/>
        </w:trPr>
        <w:tc>
          <w:tcPr>
            <w:tcW w:w="3062" w:type="dxa"/>
            <w:shd w:val="clear" w:color="auto" w:fill="FFFFFF"/>
          </w:tcPr>
          <w:p w14:paraId="3801CADF"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высота</w:t>
            </w:r>
          </w:p>
        </w:tc>
        <w:tc>
          <w:tcPr>
            <w:tcW w:w="600" w:type="dxa"/>
            <w:shd w:val="clear" w:color="auto" w:fill="FFFFFF"/>
          </w:tcPr>
          <w:p w14:paraId="37D0AC8C"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2850</w:t>
            </w:r>
          </w:p>
        </w:tc>
      </w:tr>
      <w:tr w:rsidR="00A907A5" w:rsidRPr="00271E51" w14:paraId="54CE2CB8" w14:textId="77777777" w:rsidTr="00750D9D">
        <w:trPr>
          <w:trHeight w:val="206"/>
        </w:trPr>
        <w:tc>
          <w:tcPr>
            <w:tcW w:w="3062" w:type="dxa"/>
            <w:shd w:val="clear" w:color="auto" w:fill="FFFFFF"/>
          </w:tcPr>
          <w:p w14:paraId="2F63EFBB"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клиренс</w:t>
            </w:r>
          </w:p>
        </w:tc>
        <w:tc>
          <w:tcPr>
            <w:tcW w:w="600" w:type="dxa"/>
            <w:shd w:val="clear" w:color="auto" w:fill="FFFFFF"/>
          </w:tcPr>
          <w:p w14:paraId="27F09D45"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470</w:t>
            </w:r>
          </w:p>
        </w:tc>
      </w:tr>
      <w:tr w:rsidR="00A907A5" w:rsidRPr="00271E51" w14:paraId="71327971" w14:textId="77777777" w:rsidTr="00750D9D">
        <w:trPr>
          <w:trHeight w:val="197"/>
        </w:trPr>
        <w:tc>
          <w:tcPr>
            <w:tcW w:w="3062" w:type="dxa"/>
            <w:shd w:val="clear" w:color="auto" w:fill="FFFFFF"/>
          </w:tcPr>
          <w:p w14:paraId="049661B8"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Толщина брони, мм:</w:t>
            </w:r>
          </w:p>
        </w:tc>
        <w:tc>
          <w:tcPr>
            <w:tcW w:w="600" w:type="dxa"/>
            <w:shd w:val="clear" w:color="auto" w:fill="FFFFFF"/>
          </w:tcPr>
          <w:p w14:paraId="182F7F47" w14:textId="77777777" w:rsidR="00523049" w:rsidRPr="00271E51" w:rsidRDefault="00523049" w:rsidP="00271E51">
            <w:pPr>
              <w:spacing w:after="0" w:line="240" w:lineRule="auto"/>
              <w:jc w:val="both"/>
              <w:rPr>
                <w:rFonts w:ascii="Times New Roman" w:hAnsi="Times New Roman"/>
                <w:color w:val="000000" w:themeColor="text1"/>
                <w:sz w:val="16"/>
                <w:szCs w:val="16"/>
              </w:rPr>
            </w:pPr>
          </w:p>
        </w:tc>
      </w:tr>
      <w:tr w:rsidR="00A907A5" w:rsidRPr="00271E51" w14:paraId="5A49F496" w14:textId="77777777" w:rsidTr="00750D9D">
        <w:trPr>
          <w:trHeight w:val="206"/>
        </w:trPr>
        <w:tc>
          <w:tcPr>
            <w:tcW w:w="3062" w:type="dxa"/>
            <w:shd w:val="clear" w:color="auto" w:fill="FFFFFF"/>
          </w:tcPr>
          <w:p w14:paraId="3869DC29"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лоб корпуса и рубки</w:t>
            </w:r>
          </w:p>
        </w:tc>
        <w:tc>
          <w:tcPr>
            <w:tcW w:w="600" w:type="dxa"/>
            <w:shd w:val="clear" w:color="auto" w:fill="FFFFFF"/>
          </w:tcPr>
          <w:p w14:paraId="502FF154"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150</w:t>
            </w:r>
          </w:p>
        </w:tc>
      </w:tr>
      <w:tr w:rsidR="00A907A5" w:rsidRPr="00271E51" w14:paraId="7BAE9EA7" w14:textId="77777777" w:rsidTr="00750D9D">
        <w:trPr>
          <w:trHeight w:val="211"/>
        </w:trPr>
        <w:tc>
          <w:tcPr>
            <w:tcW w:w="3062" w:type="dxa"/>
            <w:shd w:val="clear" w:color="auto" w:fill="FFFFFF"/>
          </w:tcPr>
          <w:p w14:paraId="62390CDC"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борт и корма</w:t>
            </w:r>
          </w:p>
        </w:tc>
        <w:tc>
          <w:tcPr>
            <w:tcW w:w="600" w:type="dxa"/>
            <w:shd w:val="clear" w:color="auto" w:fill="FFFFFF"/>
          </w:tcPr>
          <w:p w14:paraId="41AF431E"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80</w:t>
            </w:r>
          </w:p>
        </w:tc>
      </w:tr>
      <w:tr w:rsidR="00A907A5" w:rsidRPr="00271E51" w14:paraId="7EB7A3E0" w14:textId="77777777" w:rsidTr="00750D9D">
        <w:trPr>
          <w:trHeight w:val="202"/>
        </w:trPr>
        <w:tc>
          <w:tcPr>
            <w:tcW w:w="3062" w:type="dxa"/>
            <w:shd w:val="clear" w:color="auto" w:fill="FFFFFF"/>
          </w:tcPr>
          <w:p w14:paraId="750954D1"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крыша</w:t>
            </w:r>
          </w:p>
        </w:tc>
        <w:tc>
          <w:tcPr>
            <w:tcW w:w="600" w:type="dxa"/>
            <w:shd w:val="clear" w:color="auto" w:fill="FFFFFF"/>
          </w:tcPr>
          <w:p w14:paraId="0207C25A"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40</w:t>
            </w:r>
          </w:p>
        </w:tc>
      </w:tr>
      <w:tr w:rsidR="00A907A5" w:rsidRPr="00271E51" w14:paraId="0D64F599" w14:textId="77777777" w:rsidTr="00750D9D">
        <w:trPr>
          <w:trHeight w:val="182"/>
        </w:trPr>
        <w:tc>
          <w:tcPr>
            <w:tcW w:w="3062" w:type="dxa"/>
            <w:shd w:val="clear" w:color="auto" w:fill="FFFFFF"/>
          </w:tcPr>
          <w:p w14:paraId="6616B685"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днище</w:t>
            </w:r>
          </w:p>
        </w:tc>
        <w:tc>
          <w:tcPr>
            <w:tcW w:w="600" w:type="dxa"/>
            <w:shd w:val="clear" w:color="auto" w:fill="FFFFFF"/>
          </w:tcPr>
          <w:p w14:paraId="1064FDB0"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20</w:t>
            </w:r>
          </w:p>
        </w:tc>
      </w:tr>
      <w:tr w:rsidR="00A907A5" w:rsidRPr="00271E51" w14:paraId="5596775E" w14:textId="77777777" w:rsidTr="00750D9D">
        <w:trPr>
          <w:trHeight w:val="206"/>
        </w:trPr>
        <w:tc>
          <w:tcPr>
            <w:tcW w:w="3062" w:type="dxa"/>
            <w:shd w:val="clear" w:color="auto" w:fill="FFFFFF"/>
          </w:tcPr>
          <w:p w14:paraId="752EABF2"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Макс, скорость движения, км/ч:</w:t>
            </w:r>
          </w:p>
        </w:tc>
        <w:tc>
          <w:tcPr>
            <w:tcW w:w="600" w:type="dxa"/>
            <w:shd w:val="clear" w:color="auto" w:fill="FFFFFF"/>
          </w:tcPr>
          <w:p w14:paraId="1A875A0D" w14:textId="77777777" w:rsidR="00523049" w:rsidRPr="00271E51" w:rsidRDefault="00523049" w:rsidP="00271E51">
            <w:pPr>
              <w:spacing w:after="0" w:line="240" w:lineRule="auto"/>
              <w:jc w:val="both"/>
              <w:rPr>
                <w:rFonts w:ascii="Times New Roman" w:hAnsi="Times New Roman"/>
                <w:color w:val="000000" w:themeColor="text1"/>
                <w:sz w:val="16"/>
                <w:szCs w:val="16"/>
              </w:rPr>
            </w:pPr>
          </w:p>
        </w:tc>
      </w:tr>
      <w:tr w:rsidR="00A907A5" w:rsidRPr="00271E51" w14:paraId="691020F2" w14:textId="77777777" w:rsidTr="00750D9D">
        <w:trPr>
          <w:trHeight w:val="197"/>
        </w:trPr>
        <w:tc>
          <w:tcPr>
            <w:tcW w:w="3062" w:type="dxa"/>
            <w:shd w:val="clear" w:color="auto" w:fill="FFFFFF"/>
          </w:tcPr>
          <w:p w14:paraId="086E3867"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шоссе</w:t>
            </w:r>
          </w:p>
        </w:tc>
        <w:tc>
          <w:tcPr>
            <w:tcW w:w="600" w:type="dxa"/>
            <w:shd w:val="clear" w:color="auto" w:fill="FFFFFF"/>
          </w:tcPr>
          <w:p w14:paraId="07768670"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38,2</w:t>
            </w:r>
          </w:p>
        </w:tc>
      </w:tr>
      <w:tr w:rsidR="00A907A5" w:rsidRPr="00271E51" w14:paraId="2762557B" w14:textId="77777777" w:rsidTr="00750D9D">
        <w:trPr>
          <w:trHeight w:val="182"/>
        </w:trPr>
        <w:tc>
          <w:tcPr>
            <w:tcW w:w="3062" w:type="dxa"/>
            <w:shd w:val="clear" w:color="auto" w:fill="FFFFFF"/>
          </w:tcPr>
          <w:p w14:paraId="2ACCCED7"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местности</w:t>
            </w:r>
          </w:p>
        </w:tc>
        <w:tc>
          <w:tcPr>
            <w:tcW w:w="600" w:type="dxa"/>
            <w:shd w:val="clear" w:color="auto" w:fill="FFFFFF"/>
          </w:tcPr>
          <w:p w14:paraId="0E27C94D"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12</w:t>
            </w:r>
          </w:p>
        </w:tc>
      </w:tr>
      <w:tr w:rsidR="00A907A5" w:rsidRPr="00271E51" w14:paraId="4D82F35A" w14:textId="77777777" w:rsidTr="00750D9D">
        <w:trPr>
          <w:trHeight w:val="206"/>
        </w:trPr>
        <w:tc>
          <w:tcPr>
            <w:tcW w:w="3062" w:type="dxa"/>
            <w:shd w:val="clear" w:color="auto" w:fill="FFFFFF"/>
          </w:tcPr>
          <w:p w14:paraId="0276269B"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Запас хода, км:</w:t>
            </w:r>
          </w:p>
        </w:tc>
        <w:tc>
          <w:tcPr>
            <w:tcW w:w="600" w:type="dxa"/>
            <w:shd w:val="clear" w:color="auto" w:fill="FFFFFF"/>
          </w:tcPr>
          <w:p w14:paraId="09B3B066" w14:textId="77777777" w:rsidR="00523049" w:rsidRPr="00271E51" w:rsidRDefault="00523049" w:rsidP="00271E51">
            <w:pPr>
              <w:spacing w:after="0" w:line="240" w:lineRule="auto"/>
              <w:jc w:val="both"/>
              <w:rPr>
                <w:rFonts w:ascii="Times New Roman" w:hAnsi="Times New Roman"/>
                <w:color w:val="000000" w:themeColor="text1"/>
                <w:sz w:val="16"/>
                <w:szCs w:val="16"/>
              </w:rPr>
            </w:pPr>
          </w:p>
        </w:tc>
      </w:tr>
      <w:tr w:rsidR="00A907A5" w:rsidRPr="00271E51" w14:paraId="5365B7F4" w14:textId="77777777" w:rsidTr="00750D9D">
        <w:trPr>
          <w:trHeight w:val="211"/>
        </w:trPr>
        <w:tc>
          <w:tcPr>
            <w:tcW w:w="3062" w:type="dxa"/>
            <w:shd w:val="clear" w:color="auto" w:fill="FFFFFF"/>
          </w:tcPr>
          <w:p w14:paraId="33BE9A4E"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шоссе</w:t>
            </w:r>
          </w:p>
        </w:tc>
        <w:tc>
          <w:tcPr>
            <w:tcW w:w="600" w:type="dxa"/>
            <w:shd w:val="clear" w:color="auto" w:fill="FFFFFF"/>
          </w:tcPr>
          <w:p w14:paraId="32326BFE"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100</w:t>
            </w:r>
          </w:p>
        </w:tc>
      </w:tr>
      <w:tr w:rsidR="00A907A5" w:rsidRPr="00271E51" w14:paraId="27EC12BC" w14:textId="77777777" w:rsidTr="00750D9D">
        <w:trPr>
          <w:trHeight w:val="293"/>
        </w:trPr>
        <w:tc>
          <w:tcPr>
            <w:tcW w:w="3062" w:type="dxa"/>
            <w:shd w:val="clear" w:color="auto" w:fill="FFFFFF"/>
          </w:tcPr>
          <w:p w14:paraId="004EECD4"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местности</w:t>
            </w:r>
          </w:p>
        </w:tc>
        <w:tc>
          <w:tcPr>
            <w:tcW w:w="600" w:type="dxa"/>
            <w:shd w:val="clear" w:color="auto" w:fill="FFFFFF"/>
          </w:tcPr>
          <w:p w14:paraId="6EE024AE"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60</w:t>
            </w:r>
          </w:p>
        </w:tc>
      </w:tr>
    </w:tbl>
    <w:p w14:paraId="26979156"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 (15232).</w:t>
      </w:r>
    </w:p>
    <w:p w14:paraId="1FAF5E52" w14:textId="77777777" w:rsidR="00523049" w:rsidRPr="00271E51" w:rsidRDefault="00523049" w:rsidP="00271E51">
      <w:pPr>
        <w:pStyle w:val="27"/>
        <w:shd w:val="clear" w:color="auto" w:fill="auto"/>
        <w:spacing w:after="0" w:line="240" w:lineRule="auto"/>
        <w:ind w:firstLine="0"/>
        <w:rPr>
          <w:rFonts w:ascii="Times New Roman" w:cs="Times New Roman"/>
          <w:color w:val="000000" w:themeColor="text1"/>
          <w:spacing w:val="0"/>
        </w:rPr>
      </w:pPr>
    </w:p>
    <w:p w14:paraId="25C22D9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октября 1943 на встрече представителей 17 воюющих стран решено создать в Лондоне комиссию по расследованию военных преступлений (4962).</w:t>
      </w:r>
    </w:p>
    <w:p w14:paraId="255C678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FC862D" w14:textId="77777777" w:rsidR="00523049" w:rsidRPr="00271E51" w:rsidRDefault="0052304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20 октября </w:t>
      </w:r>
      <w:r w:rsidRPr="00271E51">
        <w:rPr>
          <w:rFonts w:ascii="Times New Roman" w:hAnsi="Times New Roman"/>
          <w:color w:val="000000" w:themeColor="text1"/>
          <w:sz w:val="16"/>
          <w:szCs w:val="16"/>
        </w:rPr>
        <w:t>в 1943 году германские оккупационные власти создали в Албании Высший Регентский Совет во главе с М.Бей Фрашери (14805).</w:t>
      </w:r>
    </w:p>
    <w:p w14:paraId="46B447E9" w14:textId="77777777" w:rsidR="00523049" w:rsidRPr="00271E51" w:rsidRDefault="00523049" w:rsidP="00271E51">
      <w:pPr>
        <w:spacing w:after="0" w:line="240" w:lineRule="auto"/>
        <w:jc w:val="both"/>
        <w:rPr>
          <w:rFonts w:ascii="Times New Roman" w:hAnsi="Times New Roman"/>
          <w:color w:val="000000" w:themeColor="text1"/>
          <w:sz w:val="16"/>
          <w:szCs w:val="16"/>
        </w:rPr>
      </w:pPr>
    </w:p>
    <w:p w14:paraId="0D378E2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7549C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F34F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ГИ ВВС Репин утвердил "Акт по результатам гос. испытаний на устойчивость и управляемость самолета Ил-2 с увеличенной стрельчатостью крыла и улучшенной аэродинамикой с мотором АМ-38Ф и винтом АВ-5Л-158В (самолет 6767 завода 18, выпущенный в сентябре 1943). Ви и-м П.Т.Аброщенко, вл пп А.К.Долгов (1864).</w:t>
      </w:r>
    </w:p>
    <w:p w14:paraId="58324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C32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 НИИ ВВС прошли гос. испытания лимузина У-2, сделанного в августе 1943 на основе У-2 А.Н.Рафаэлянцем в 11 ПАМ 1 ВА. Остался в единственном экз. (1076,724).</w:t>
      </w:r>
    </w:p>
    <w:p w14:paraId="5247E6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81C5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E44AE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E227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4367. О распространении постановления ГКО № 3945 от 18 августа 1943г. на промышленные предприятия, получающие энергию от коммунальных и промышленных электростанций.РГАНИР, Фонд ГКО, д. 165, лл. 119 (11012).</w:t>
      </w:r>
    </w:p>
    <w:p w14:paraId="0E1D2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FF6C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4368 [Об утверждении количества, размера и порядка выплаты премий предприятиям - победителям соревнования за экономию электроэнергии и улучшение коэффициента мощности.] (7148, 120-121,122-124).</w:t>
      </w:r>
    </w:p>
    <w:p w14:paraId="383A904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BE9E4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4369 О плане распределения острого пара от электростанций Наркомата электростанций для технологических нужд промышленных предприятий на IV квартал 1943 г. (7148, 125-126,127-128).</w:t>
      </w:r>
    </w:p>
    <w:p w14:paraId="60CC095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F94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4370 О денежных премиях для предприятий и заготовительных организаций Наркомзага - победителей во Всесоюзном социалистическом соревновании.РГАНИР, Фонд ГКО, д. 165, лл. 129-130 (11012).</w:t>
      </w:r>
    </w:p>
    <w:p w14:paraId="354354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C58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4371 Об учреждении переходящего Красного знамени Государственного Комитета Обороны для цементных заводов Наркомстройматериалов СССР.РГАНИР, Фонд ГКО, д. 165, лл. 131 (11012).</w:t>
      </w:r>
    </w:p>
    <w:p w14:paraId="3BB02A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82B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4372 Об установлении дополнительных знамен и премий для строительных организаций и производственных предприятий Наркомстроя - победителей во Всесоюзном социалистическом соревновании.РГАНИР, Фонд ГКО, д. 165, лл. 132-133 (11012).</w:t>
      </w:r>
    </w:p>
    <w:p w14:paraId="01822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224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21 октября 1943 вышло Постановление ГКО № 4373 О дополнительном учреждении переходящих Красных знамен Государственного Комитета Обороны и переходящих Красных знамен ВЦСПС и Наркоммясомолпрома СССР для предприятий и заготовительных органов Наркоммясомолпрома СССР.РГАНИР, Фонд ГКО, д. 165, лл. 13 (11012).</w:t>
      </w:r>
    </w:p>
    <w:p w14:paraId="50D774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669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4374. Об изменении плана производства водомеров на заводе "Водоприбор" в Москве в IV кв. 1943 г.РГАНИР, Фонд ГКО, д. 165, лл. 136, 137 (11012).</w:t>
      </w:r>
    </w:p>
    <w:p w14:paraId="2F19E5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FED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4375. О передаче совхоза "Турово" Серпуховского р-на Московской обл. в ведение завода № 557 НКБ.РГАНИР, Фонд ГКО, д. 165, лл. 138 (11012).</w:t>
      </w:r>
    </w:p>
    <w:p w14:paraId="1F9D50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04C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4376. О мерах по обеспечению заводов взрывчатых веществ кислотостойким асбобитумным картоном и химической промышленности кислотостойким асбестом.РГАНИР, Фонд ГКО, д. 165, лл. 139 (11012).</w:t>
      </w:r>
    </w:p>
    <w:p w14:paraId="7F10D5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0C62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4377 [О возвращении НКрыбпрому СССР 22 судов с командами, мобилизованных НКВМФ в Каспийском бассейне.] (7148, 140,141).</w:t>
      </w:r>
    </w:p>
    <w:p w14:paraId="3B4E5C9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4232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4378 О строительстве фосфоритного горнохимического комбината Каратау и Кокандского суперфосфатного завода.РГАНИР, Фонд ГКО, д. 165, лл. 142-147, 148-162 (11012).</w:t>
      </w:r>
    </w:p>
    <w:p w14:paraId="2EA362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3F5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4379 О мерах помощи по восстановлению хлебопекарных предприятий в Донецком бассейне.РГАНИР, Фонд ГКО, д. 165, лл. 163-165, 166-170 (11012).</w:t>
      </w:r>
    </w:p>
    <w:p w14:paraId="11B096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05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4380 О мерах по улучшению организации судостроения в системе Наркомморфлота и материально-технической помощи в IV квартале 1943 года.РГАНИР, Фонд ГКО, д. 165, лл. 171-176, 177-194 (11012).</w:t>
      </w:r>
    </w:p>
    <w:p w14:paraId="5C98BD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A7FC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4381 О неотложных мерах по увеличению выпуска котлов малой мощности на Бийском котельном заводе Наркомтяжмаша для восстановления Донбасса и других освобожденных районов.РГАНИР, Фонд ГКО, д. 165, лл. 195-200, 201-202 (11012).</w:t>
      </w:r>
    </w:p>
    <w:p w14:paraId="499933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EC9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4382 О мерах по обеспечению в IV квартале 1943 г. производства автомобильных, авиационных и артиллерийских шин, а также других резинотехнических и асбестовых изделий.РГАНИР, Фонд ГКО, д. 165, лл. 203-213, 214-221 (11012).</w:t>
      </w:r>
    </w:p>
    <w:p w14:paraId="706FE8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918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4383. О мерах по обеспечению выполнения плана производства корпусов 76 мм осколочно-фугасных и 122 мм осколочных снарядов на заводе № 70 НКБ в IV квартале 1943 г.РГАНИР, Фонд ГКО, д. 165, лл. 222-223, 224-225 (11012).</w:t>
      </w:r>
    </w:p>
    <w:p w14:paraId="138E5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236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Распоряжение ГКО № 4384. О мерах по разработке новых и усовершенствованию существующих типов средств химического вооружения КА и ВМФ и специальных кислородно-зарядных станций для ВВС.РГАНИР, Фонд ГКО, д. 165, лл. 226-227, 228-229 (11012).</w:t>
      </w:r>
    </w:p>
    <w:p w14:paraId="42321A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7BED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4385 О плане распределения автомобильных прицепов на IV квартал 1943 г. (7149, 1,2-6).</w:t>
      </w:r>
    </w:p>
    <w:p w14:paraId="6ACFE5E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B500C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4386 Об обеспечении древесиной заводов по производству стандартных домов Наркомстройматериалов СССР в Смоленской, Орловской и Калининской областях. (7149, 7-11,12-13).</w:t>
      </w:r>
    </w:p>
    <w:p w14:paraId="6EEABA9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0406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4387 О материально-техническом обеспечении плана производства тракторов и тракторных запасных частей на заводах Наркомсредмаша в IV квартале 1943 года.РГАНИР, Фонд ГКО, д. 166, лл. 14-23, 24-38 (11012).</w:t>
      </w:r>
    </w:p>
    <w:p w14:paraId="3B8C3E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BDA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4388 О производстве ручной противотанковой гранаты направленного кумулятивного действия конструкции НИИ-6 НКБ.РГАНИР, Фонд ГКО, д. 166, лл. 39-42, 43-45 (11012).</w:t>
      </w:r>
    </w:p>
    <w:p w14:paraId="29320A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D4E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4389 О восстановлении Горловского азотно-тукового завода Наркомхимпрома в Донбассе.РГАНИР, Фонд ГКО, д. 166, лл. 46-47 (11012).</w:t>
      </w:r>
    </w:p>
    <w:p w14:paraId="024A34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68F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4390 О т.т. Ефремове В.В. и Чумакове Л.М.РГАНИР, Фонд ГКО, д. 166, лл. 48 (11012).</w:t>
      </w:r>
    </w:p>
    <w:p w14:paraId="238F11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A4F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вышло Постановление ГКО № 4391 О тов. Новикове И.И.РГАНИР, Фонд ГКО, д. 166, лл. 49 (11012).</w:t>
      </w:r>
    </w:p>
    <w:p w14:paraId="1AB3B2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4DA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Адмиралтейский завод передал флоту ТК типа Г-5. Балтийцы начали государственные испытания головного стотонника (10671).</w:t>
      </w:r>
    </w:p>
    <w:p w14:paraId="388D69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ACDE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D891B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F42415"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21 октября </w:t>
      </w:r>
      <w:r w:rsidRPr="00271E51">
        <w:rPr>
          <w:rFonts w:ascii="Times New Roman" w:hAnsi="Times New Roman"/>
          <w:color w:val="000000" w:themeColor="text1"/>
          <w:sz w:val="16"/>
          <w:szCs w:val="16"/>
        </w:rPr>
        <w:t>в 1943 году оперативная сводка Совинформбюро:</w:t>
      </w:r>
    </w:p>
    <w:p w14:paraId="74190441"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октября в районах севернее и юго-западнее города Мелитополь наши войска вели упорные бои, в ходе которых выбили противника из ряда опорных пунктов и значительно улучшили свои позиции. В результате ожесточённых уличных боёв наши части полностью очистили от противника центральную часть города Мелитополь. У противника остаётся северная часть города. Противник понёс огромные потери в живой силе и технике.</w:t>
      </w:r>
    </w:p>
    <w:p w14:paraId="7EC52E84"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города Кременчуг наши войска продолжали наступление и, продвинувшись на отдельных участках вперёд от 5 до 10 километров, овладели районным центром Кировоградской области Петрово, а также заняли свыше 50 других населённых пунктов, среди которых крупные населённые пункты Весёлый Раздол, Овиянка, Михайловка, Александровка, Ново-Мануйловка, Ивановка, Секлетиновка, Жёлтая Река, Солдатский, Анновка, Марьяновка, Ивашиновка, Грушеватка.</w:t>
      </w:r>
    </w:p>
    <w:p w14:paraId="6D96765C"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продолжали вести упорные бои с противником по расширению плацдарма на правом берегу Днепра.</w:t>
      </w:r>
    </w:p>
    <w:p w14:paraId="4047A3BA"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продолжая вести наступательные бои по расширению плацдарма на правом берегу реки Днепр, овладели опорными пунктами противника Чаплин, Стародубка, Казимировка, Искра, Нива, Восход.</w:t>
      </w:r>
    </w:p>
    <w:p w14:paraId="1760FD99"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7EEDA70D"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октября наши войска на всех фронтах подбили и уничтожили 22 немецких танка. В воздушных боях и огнём зенитной артиллерии сбито 80 самолётов противника.</w:t>
      </w:r>
    </w:p>
    <w:p w14:paraId="7E2EA112"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и юго-западнее города Мелитополь наши войска выбили противника из ряда сильно укреплённых опорных пунктов. В городе Мелитополь продолжались ожесточённые уличные бои. Несмотря на то, что немцы подтянули свежие силы с других участков фронта, наши войска сегодня полностью овладели центральной частью города. Все попытки гитлеровцев восстановить положение успеха не имели. За день боёв уничтожено свыше 1.000 немецких солдат и офицеров. На очищенных от противника улицах города немцы оставили десятки разбитых и обгоревших танков, бронемашин, самоходных орудий и другой военной техники. Сегодня нашими бойцами захвачены железнодорожные платформы с 12 исправными танками и самоходными орудиями и склад боеприпасов.</w:t>
      </w:r>
    </w:p>
    <w:p w14:paraId="5DE61969"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Южнее и юго-восточнее города Кременчуг, на правом берегу Днепра, наши войска продолжали наступление и заняли свыше 50 населённых пунктов. Советские танковые и стрелковые части, стремительно продвигаясь вперёд, овладели районным центром Кировоградской области Петрово. Противник несёт огромные потери и под ударами наших войск отступает, бросая вооружение и оставляя склады с военными материалами. Бойцы Н-ского соединения за день боёв уничтожили до 1.500 </w:t>
      </w:r>
      <w:r w:rsidRPr="00271E51">
        <w:rPr>
          <w:rFonts w:ascii="Times New Roman" w:hAnsi="Times New Roman"/>
          <w:color w:val="000000" w:themeColor="text1"/>
          <w:sz w:val="16"/>
          <w:szCs w:val="16"/>
        </w:rPr>
        <w:lastRenderedPageBreak/>
        <w:t>немецких солдат и офицеров, захватили 26 орудий, 80 пулемётов, 60 автомашин и много других трофеев. На другом участке наши танкисты разгромили полк немецкой пехоты и взяли в плен значительное число солдат и офицеров противника. Захвачено несколько артиллерийских батарей на механической тяге.</w:t>
      </w:r>
    </w:p>
    <w:p w14:paraId="5F69C44F"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поддерживая боевые действия наземных частей, наносила удары по войскам противника. В воздушных боях в течение дня наши лётчики сбили 52 немецких самолёта.</w:t>
      </w:r>
    </w:p>
    <w:p w14:paraId="779CEB81"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продолжали вести бои за расширение плацдарма на правом берегу Днепра. Противник, стремясь задержать продвижение советских частей, неоднократно предпринимал контратаки. Части Н-ского соединения, сломив упорное сопротивление немцев, ворвались в один населённый пункт и в ожесточённом уличном бою истребили вражеский гарнизон. На другом участке бойцы Н-ской части окружили батальон пехоты противника. Окружённые гитлеровцы в панике бросились врассыпную и большей частью были уничтожены. Захвачены 2 танка, 2 бронемашины, 20 орудий и 30 миномётов. Взяты пленные.</w:t>
      </w:r>
    </w:p>
    <w:p w14:paraId="5A03A7C7"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продолжали вести бои за расширение плацдарма на правом берегу Днепра. Части Н-ского соединения после мощной артиллерийской и авиационной подготовки атаковали немцев и прорвали их укрепления. Затем в бой вступили советские танковые части. Стремительно продвигаясь вперёд, наши танкисты заняли ряд населённых пунктов. По неполным данным, уничтожено до 3 тысяч вражеских солдат и офицеров, 12 артиллерийских и 8 миномётных батарей. Захвачено у немцев 3 танка, 40 орудий, 110 пулемётов и другие трофеи. Взято 250 пленных.</w:t>
      </w:r>
    </w:p>
    <w:p w14:paraId="59485721"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массированные удары по боевым порядкам противника. Разбито и повреждено много полевых и зенитных орудий, свыше 100 автомашин с пехотой и грузами и взорван крупный склад горючего. В воздушных боях сбито 11 немецких самолётов.</w:t>
      </w:r>
    </w:p>
    <w:p w14:paraId="47438506"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Пинской области, напал на колонну немецкой пехоты. В завязавшемся бою партизаны убили несколько десятков гитлеровцев. Противник пытался выйти из боя, но был обстрелян другой группой партизан, находившейся в засаде. Побросав оружие, немцы разбежались. Советские патриоты захватили крупнокалиберный пулемёт, много винтовок, автоматов, гранат и патронов. Партизанский отряд имени Доватора подорвал на минах 2 автомашины с грузами и взорвал следовавший на фронт железнодорожный эшелон с войсками. Паровоз и 8 вагонов слетели под откос. Убито и ранено большое число гитлеровцев.</w:t>
      </w:r>
    </w:p>
    <w:p w14:paraId="04531093"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Пленные солдаты 14 роты 574 гренадерского полка 304 немецкой пехотной дивизии Пауль Смичек и Иозеф Кениг рассказали: «В сводках немецкого командования часто сообщается о «планомерном отходе» войск на Восточном фронте. Нужно быть идиотом, чтобы верить таким сказкам. Когда мы отступали, растерявшиеся офицеры не знали, что делать. Все нервничали, суетились и торопились. Дороги были запружены. Группы солдат самовольно покидали свои подразделения. Дезертирство приняло угрожающие размеры, и командование выделило заградительные отряды, которые перехватывали солдат на дорогах. За время отступления мы понесли тяжёлые потери. Из 12 противотанковых орудий наша рота бросила 10 орудий. 574 полк разбит. В нём остался один сводный батальон капитана Неймана, в котором насчитывается 90 человек. От 573 полка осталось в строю всего лишь 40 солдат. Правильнее сказать, что наша дивизия не отошла, а её уничтожили».</w:t>
      </w:r>
    </w:p>
    <w:p w14:paraId="01AF7F45"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захватчики превратили в груду развалин село Яновичи Витебской области. За время оккупации фашистские карательные отряды и палачи из немецкой комендатуры замучили, расстреляли и повесили многих жителей села. Когда наступающая Красная Армия стала приближаться к Яновичам, комендант села капитан Дейман выделил специальную команду «факельщиков» для уничтожения всех зданий и построек. Гитлеровские мерзавцы сожгли свыше 600 жилых домов. В селе не сохранилось ни одного целого здания. Из 3.000 жителей осталось только 250 человек.» (14806).</w:t>
      </w:r>
    </w:p>
    <w:p w14:paraId="44B21F75" w14:textId="77777777" w:rsidR="004108BE" w:rsidRPr="00271E51" w:rsidRDefault="004108BE" w:rsidP="00271E51">
      <w:pPr>
        <w:spacing w:after="0" w:line="240" w:lineRule="auto"/>
        <w:jc w:val="both"/>
        <w:rPr>
          <w:rFonts w:ascii="Times New Roman" w:hAnsi="Times New Roman"/>
          <w:color w:val="000000" w:themeColor="text1"/>
          <w:sz w:val="16"/>
          <w:szCs w:val="16"/>
        </w:rPr>
      </w:pPr>
    </w:p>
    <w:p w14:paraId="25955AEC"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октября 1943 немецкий ас Эмиль Ланг сбил 12 советских самолетов за один день под Киевом, увеличив число своих побед до 72 (20376).</w:t>
      </w:r>
    </w:p>
    <w:p w14:paraId="6DCDCF0C" w14:textId="77777777" w:rsidR="00736B3D" w:rsidRPr="00271E51" w:rsidRDefault="00736B3D" w:rsidP="00271E51">
      <w:pPr>
        <w:spacing w:after="0" w:line="240" w:lineRule="auto"/>
        <w:jc w:val="both"/>
        <w:rPr>
          <w:rFonts w:ascii="Times New Roman" w:hAnsi="Times New Roman"/>
          <w:color w:val="0070C0"/>
          <w:sz w:val="16"/>
          <w:szCs w:val="16"/>
        </w:rPr>
      </w:pPr>
    </w:p>
    <w:p w14:paraId="006D977D" w14:textId="77777777" w:rsidR="004108BE" w:rsidRPr="00271E51" w:rsidRDefault="004108B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21 октября </w:t>
      </w:r>
      <w:r w:rsidRPr="00271E51">
        <w:rPr>
          <w:rFonts w:ascii="Times New Roman" w:hAnsi="Times New Roman"/>
          <w:color w:val="000000" w:themeColor="text1"/>
          <w:sz w:val="16"/>
          <w:szCs w:val="16"/>
        </w:rPr>
        <w:t>в 1943 году приказом Ставки ВГК Центральный фронт преобразован в Белорусский фронт, Прибалтийский фронт преобразован во 2-й Прибалтийский, а Калининский фронт преобразован в 1-й Прибалтийский (14806).</w:t>
      </w:r>
    </w:p>
    <w:p w14:paraId="07594193" w14:textId="77777777" w:rsidR="004108BE" w:rsidRPr="00271E51" w:rsidRDefault="004108BE" w:rsidP="00271E51">
      <w:pPr>
        <w:spacing w:after="0" w:line="240" w:lineRule="auto"/>
        <w:jc w:val="both"/>
        <w:rPr>
          <w:rFonts w:ascii="Times New Roman" w:hAnsi="Times New Roman"/>
          <w:color w:val="000000" w:themeColor="text1"/>
          <w:sz w:val="16"/>
          <w:szCs w:val="16"/>
        </w:rPr>
      </w:pPr>
    </w:p>
    <w:p w14:paraId="063549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Нестеренко, который во главе группы из 8 Ил-2 15 октября 1943, вылетев на штурмовку танковых колонн, встретил 80 бомбардировщиков, направлявшихся бомбить переправу через Днепр, атаковала и сбила 8, в т.ч. Нестеренко - 2, направил горящую машину на батарею ЗА (438,886).</w:t>
      </w:r>
    </w:p>
    <w:p w14:paraId="455148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607AA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24F12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7E94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 минском гетто фашистами уничтожены последние евреи (4962).</w:t>
      </w:r>
    </w:p>
    <w:p w14:paraId="0917B65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BB95C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06EC4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62D90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заключен договор о создании экономического союза Бельгии, Нидерландов и Люксембурга (Бенилюкс). (4962).</w:t>
      </w:r>
    </w:p>
    <w:p w14:paraId="1F2D640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3ED2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в Сингапуре японцами создано “Временное правительство свободной Индии” (4962).</w:t>
      </w:r>
    </w:p>
    <w:p w14:paraId="338E1EB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3CAC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октября 1943 было провозглашено создание правительства "Свободной Индии" во главе с Субхасом Чандра Босом (хотя последнее не представляло сколько-нибудь существенной политической силы: основная масса индийских националистов осталась лояльной Британии, несмотря на острые разногласия с Лондоном) (3871).</w:t>
      </w:r>
    </w:p>
    <w:p w14:paraId="28C373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BB54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0D650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D120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октября 1943 г. по 2 января 1944 г. в НИИ ВВС проходили госиспытания И-220 №01 после ремонта. Ответственными за их проведение назначили ведущего инженера А.С.Розанова и летчика-испытателя П.М.Стефановского. Максимальная скорость самолета с мотором АМ-38Ф на номинальном режиме составила 572 км/ч у земли и 622 км/ч на высоте 2600 м, а на боевом режиме 608 км/ч и 652 км/ч соответственно. По отзывам ведущего летчика и летчиков облета, самолет И-220 был прост в пилотировании, обладал высокими летными характеристиками и мощным вооружением. В акте по испытаниям было отмечено, что даже с двигателем АМ-38Ф летные данные И-220 до высоты 3500 м выше летных данных всех опытных самолетов, прошедших госиспытания в НИИ ВВС. Установка мотора АМ-39 еще больше расширяла возможности самолета. В связи с этим военные просили ускорить доводку этих моторов и предъявить И-220 с АМ-39 на государственные испытания. К основным недостаткам самолета в НИИ ВВС отнесли выявленные на испытаниях незначительный бафтинг хвостового оперения и явление сваливания на крыло при полетах на больших углах атаки (5669).</w:t>
      </w:r>
    </w:p>
    <w:p w14:paraId="09D048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B78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октября 1943 г. в НИИ ВВС на госиспытания (по 2 января 1944 г.) поступил после ремонта И—220 зав. № 01. Ведущим инженером стал А.С.Розановым, а летчиком-испытателем П.М.Стефановским. Последнему удалось получить следующие максимальные скорости самолета с мото</w:t>
      </w:r>
      <w:r w:rsidRPr="00271E51">
        <w:rPr>
          <w:rFonts w:ascii="Times New Roman" w:hAnsi="Times New Roman"/>
          <w:color w:val="000000" w:themeColor="text1"/>
          <w:sz w:val="16"/>
          <w:szCs w:val="16"/>
        </w:rPr>
        <w:softHyphen/>
        <w:t>ром АМ—38Ф на номинальном режиме: 572 км/ч у земли, 622 км/ч на высоте 2600 м, а на боевом режи</w:t>
      </w:r>
      <w:r w:rsidRPr="00271E51">
        <w:rPr>
          <w:rFonts w:ascii="Times New Roman" w:hAnsi="Times New Roman"/>
          <w:color w:val="000000" w:themeColor="text1"/>
          <w:sz w:val="16"/>
          <w:szCs w:val="16"/>
        </w:rPr>
        <w:softHyphen/>
        <w:t>ме — 608 км/ч и 652 км/ч, соответственно. По отзывам пилотов, самолет И—220 был прост в пилотировании, обладал высокими летными харак</w:t>
      </w:r>
      <w:r w:rsidRPr="00271E51">
        <w:rPr>
          <w:rFonts w:ascii="Times New Roman" w:hAnsi="Times New Roman"/>
          <w:color w:val="000000" w:themeColor="text1"/>
          <w:sz w:val="16"/>
          <w:szCs w:val="16"/>
        </w:rPr>
        <w:softHyphen/>
        <w:t>теристиками и мощным вооружением. В акте по ис</w:t>
      </w:r>
      <w:r w:rsidRPr="00271E51">
        <w:rPr>
          <w:rFonts w:ascii="Times New Roman" w:hAnsi="Times New Roman"/>
          <w:color w:val="000000" w:themeColor="text1"/>
          <w:sz w:val="16"/>
          <w:szCs w:val="16"/>
        </w:rPr>
        <w:softHyphen/>
        <w:t>пытаниям отмечалось, что даже с двигателем АМ—38Ф летные данные И—220 до высоты 3500 м выше,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Специалисты НИИ ВВС рекомендовали ускорить доводку мотора и предъявить И—220 с АМ—39 на го</w:t>
      </w:r>
      <w:r w:rsidRPr="00271E51">
        <w:rPr>
          <w:rFonts w:ascii="Times New Roman" w:hAnsi="Times New Roman"/>
          <w:color w:val="000000" w:themeColor="text1"/>
          <w:sz w:val="16"/>
          <w:szCs w:val="16"/>
        </w:rPr>
        <w:softHyphen/>
        <w:t>сударственные испытания. К основным недостаткам самолета в НИИ ВВС отнесли выявленные на испытаниях небольшой баф-тинг хвостового оперения и тенденцию к сваливанию на крыло при полетах на больших углах атаки. Было установлено, что бафтинг возникал при пара</w:t>
      </w:r>
      <w:r w:rsidRPr="00271E51">
        <w:rPr>
          <w:rFonts w:ascii="Times New Roman" w:hAnsi="Times New Roman"/>
          <w:color w:val="000000" w:themeColor="text1"/>
          <w:sz w:val="16"/>
          <w:szCs w:val="16"/>
        </w:rPr>
        <w:softHyphen/>
        <w:t>шютировании самолета с приборной скоростью 175—180 км/ч. Кроме того, бафтинг появлялся и в го</w:t>
      </w:r>
      <w:r w:rsidRPr="00271E51">
        <w:rPr>
          <w:rFonts w:ascii="Times New Roman" w:hAnsi="Times New Roman"/>
          <w:color w:val="000000" w:themeColor="text1"/>
          <w:sz w:val="16"/>
          <w:szCs w:val="16"/>
        </w:rPr>
        <w:softHyphen/>
        <w:t>ризонтальном полете с приборной скоростью 250—260 км/ч и ниже при полностью открытых за</w:t>
      </w:r>
      <w:r w:rsidRPr="00271E51">
        <w:rPr>
          <w:rFonts w:ascii="Times New Roman" w:hAnsi="Times New Roman"/>
          <w:color w:val="000000" w:themeColor="text1"/>
          <w:sz w:val="16"/>
          <w:szCs w:val="16"/>
        </w:rPr>
        <w:softHyphen/>
        <w:t>слонках водорадиатора. После переделки зализов центроплана бафтинг был устранен (9984).</w:t>
      </w:r>
    </w:p>
    <w:p w14:paraId="33F4B2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CD6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г. после катастрофы самолете Як-1 №0130, на котором был установлен М-106, испытания и доводка мотора М-106 и самолетных систем охлаждения заводом № 26 на по программе Главного конструктора были прекращены (12048)</w:t>
      </w:r>
    </w:p>
    <w:p w14:paraId="493E50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63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А.И.Ш. направил Г.М.М. докладную записку "О реактивных самолетах" с анализом состояния дел. Констатировал, что ни БИ, ни 302-й Костикова с ЭРД не валяются боевыми самолетами и предлагал "освободить ГИРТ в дальнейшем от постройки самолетов, перепрофилировав завод 55 под постройку малых серий ЖРД (2168,5).</w:t>
      </w:r>
    </w:p>
    <w:p w14:paraId="6225AA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919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октября 1943 г. в справке по реактивным самолетам и двигателям, направленной Г.М. Маленкову, начальники 7-го и 8-го Главных Управлений НКАП рапортовали: </w:t>
      </w:r>
      <w:r w:rsidRPr="00271E51">
        <w:rPr>
          <w:rFonts w:ascii="Times New Roman" w:hAnsi="Times New Roman"/>
          <w:color w:val="000000" w:themeColor="text1"/>
          <w:sz w:val="16"/>
          <w:szCs w:val="16"/>
        </w:rPr>
        <w:lastRenderedPageBreak/>
        <w:t>"Группа т. Люлька в настоящее время переведена в ЦИАМ и работает над ВРД с газовой турбиной... При существующей в ЦИАМ производственной базе группа закончит постройку стендового образца двигателя половинной мощности и предъявит его на испытания для проверки основных узлов двигателя к 1 мая 1944 г. Этот двигатель летным образцом быть ещё не может". Несмотря на правильный вывод о целесообразности перехода к самолетам с ВРД, никаких конкретных предложений по форсированию работ группы Люлька руководящие работники НКАП в 1943 г. так и не дали (9016).</w:t>
      </w:r>
    </w:p>
    <w:p w14:paraId="2A2628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37D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Постановление ГКО № 4397 Об обеспечении заводов Наркомавиапрома авиационными лакокрасочными материалами.РГАНИР, Фонд ГКО, д. 166, лл. 91-96, 97-109 (11012).</w:t>
      </w:r>
    </w:p>
    <w:p w14:paraId="765A94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13D69"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Постановление ГКО № 4397 Об обеспечении заводов Наркомавиапрома авиационными лакокрасочными материалами</w:t>
      </w:r>
    </w:p>
    <w:p w14:paraId="40CD9805" w14:textId="77777777" w:rsidR="00AD34DF" w:rsidRPr="00271E51" w:rsidRDefault="00AD34DF"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Государственный Комитет Обороны постановляет:</w:t>
      </w:r>
    </w:p>
    <w:p w14:paraId="2A4DDE78" w14:textId="77777777" w:rsidR="00AD34DF" w:rsidRPr="00271E51" w:rsidRDefault="00AD34DF" w:rsidP="00271E51">
      <w:pPr>
        <w:pStyle w:val="36"/>
        <w:shd w:val="clear" w:color="auto" w:fill="auto"/>
        <w:tabs>
          <w:tab w:val="left" w:pos="128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 Подтвердить план производства и план распределе</w:t>
      </w:r>
      <w:r w:rsidRPr="00271E51">
        <w:rPr>
          <w:rFonts w:ascii="Times New Roman" w:cs="Times New Roman"/>
          <w:color w:val="000000" w:themeColor="text1"/>
          <w:spacing w:val="0"/>
          <w:sz w:val="16"/>
          <w:szCs w:val="16"/>
        </w:rPr>
        <w:softHyphen/>
        <w:t xml:space="preserve">ния бутанола на 1У квартал 1943 </w:t>
      </w:r>
      <w:r w:rsidRPr="00271E51">
        <w:rPr>
          <w:rStyle w:val="1pt"/>
          <w:rFonts w:ascii="Times New Roman" w:cs="Times New Roman"/>
          <w:color w:val="000000" w:themeColor="text1"/>
          <w:spacing w:val="0"/>
          <w:sz w:val="16"/>
          <w:szCs w:val="16"/>
        </w:rPr>
        <w:t>г.,</w:t>
      </w:r>
      <w:r w:rsidRPr="00271E51">
        <w:rPr>
          <w:rFonts w:ascii="Times New Roman" w:cs="Times New Roman"/>
          <w:color w:val="000000" w:themeColor="text1"/>
          <w:spacing w:val="0"/>
          <w:sz w:val="16"/>
          <w:szCs w:val="16"/>
        </w:rPr>
        <w:t xml:space="preserve"> утвержденный поста</w:t>
      </w:r>
      <w:r w:rsidRPr="00271E51">
        <w:rPr>
          <w:rFonts w:ascii="Times New Roman" w:cs="Times New Roman"/>
          <w:color w:val="000000" w:themeColor="text1"/>
          <w:spacing w:val="0"/>
          <w:sz w:val="16"/>
          <w:szCs w:val="16"/>
        </w:rPr>
        <w:softHyphen/>
        <w:t>новлением СНК СССР № Ю81-330С от 4 октября 1943 года.</w:t>
      </w:r>
    </w:p>
    <w:p w14:paraId="085C7598" w14:textId="77777777" w:rsidR="00AD34DF" w:rsidRPr="00271E51" w:rsidRDefault="00AD34DF"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Все решения по поставке бутанола, идущие в разрез с вышеуказанным постановлением, считать утратившими силу.</w:t>
      </w:r>
    </w:p>
    <w:p w14:paraId="5E17ED15" w14:textId="77777777" w:rsidR="00AD34DF" w:rsidRPr="00271E51" w:rsidRDefault="00AD34DF" w:rsidP="00271E51">
      <w:pPr>
        <w:pStyle w:val="36"/>
        <w:shd w:val="clear" w:color="auto" w:fill="auto"/>
        <w:tabs>
          <w:tab w:val="left" w:pos="123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2. Утвердить график/, поставок в 1У квартале </w:t>
      </w:r>
      <w:r w:rsidRPr="00271E51">
        <w:rPr>
          <w:rStyle w:val="1pt"/>
          <w:rFonts w:ascii="Times New Roman" w:cs="Times New Roman"/>
          <w:color w:val="000000" w:themeColor="text1"/>
          <w:spacing w:val="0"/>
          <w:sz w:val="16"/>
          <w:szCs w:val="16"/>
        </w:rPr>
        <w:t>с.г.</w:t>
      </w:r>
      <w:r w:rsidRPr="00271E51">
        <w:rPr>
          <w:rFonts w:ascii="Times New Roman" w:cs="Times New Roman"/>
          <w:color w:val="000000" w:themeColor="text1"/>
          <w:spacing w:val="0"/>
          <w:sz w:val="16"/>
          <w:szCs w:val="16"/>
        </w:rPr>
        <w:t>б -танола, ацетона, этилового спирта, бутилацетата и этиле- цетата (см.приложения Ш 1-6).</w:t>
      </w:r>
    </w:p>
    <w:p w14:paraId="56EF268E" w14:textId="77777777" w:rsidR="00AD34DF" w:rsidRPr="00271E51" w:rsidRDefault="00AD34DF" w:rsidP="00271E51">
      <w:pPr>
        <w:pStyle w:val="36"/>
        <w:shd w:val="clear" w:color="auto" w:fill="auto"/>
        <w:tabs>
          <w:tab w:val="left" w:pos="130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3.Обязать Наркомзаг (т.Субботина) до 25 октября </w:t>
      </w:r>
      <w:r w:rsidRPr="00271E51">
        <w:rPr>
          <w:rStyle w:val="1pt"/>
          <w:rFonts w:ascii="Times New Roman" w:cs="Times New Roman"/>
          <w:color w:val="000000" w:themeColor="text1"/>
          <w:spacing w:val="0"/>
          <w:sz w:val="16"/>
          <w:szCs w:val="16"/>
        </w:rPr>
        <w:t>с.г.</w:t>
      </w:r>
      <w:r w:rsidRPr="00271E51">
        <w:rPr>
          <w:rFonts w:ascii="Times New Roman" w:cs="Times New Roman"/>
          <w:color w:val="000000" w:themeColor="text1"/>
          <w:spacing w:val="0"/>
          <w:sz w:val="16"/>
          <w:szCs w:val="16"/>
        </w:rPr>
        <w:t xml:space="preserve"> отгрузить дополнительно Грозненскому бутаноловому заводу Наркомпищепрома СССР 1000 тонн кукурузной муки. Кроме того, при всех условиях обеспечить отгрузку в нояб</w:t>
      </w:r>
      <w:r w:rsidRPr="00271E51">
        <w:rPr>
          <w:rFonts w:ascii="Times New Roman" w:cs="Times New Roman"/>
          <w:color w:val="000000" w:themeColor="text1"/>
          <w:spacing w:val="0"/>
          <w:sz w:val="16"/>
          <w:szCs w:val="16"/>
        </w:rPr>
        <w:softHyphen/>
      </w:r>
      <w:r w:rsidRPr="00271E51">
        <w:rPr>
          <w:rStyle w:val="1pt"/>
          <w:rFonts w:ascii="Times New Roman" w:cs="Times New Roman"/>
          <w:color w:val="000000" w:themeColor="text1"/>
          <w:spacing w:val="0"/>
          <w:sz w:val="16"/>
          <w:szCs w:val="16"/>
        </w:rPr>
        <w:t>ре с.г.</w:t>
      </w:r>
      <w:r w:rsidRPr="00271E51">
        <w:rPr>
          <w:rFonts w:ascii="Times New Roman" w:cs="Times New Roman"/>
          <w:color w:val="000000" w:themeColor="text1"/>
          <w:spacing w:val="0"/>
          <w:sz w:val="16"/>
          <w:szCs w:val="16"/>
        </w:rPr>
        <w:t xml:space="preserve"> следующего количества муки:</w:t>
      </w:r>
    </w:p>
    <w:p w14:paraId="2FA6ECF4" w14:textId="77777777" w:rsidR="00AD34DF" w:rsidRPr="00271E51" w:rsidRDefault="00AD34DF" w:rsidP="00271E51">
      <w:pPr>
        <w:pStyle w:val="36"/>
        <w:shd w:val="clear" w:color="auto" w:fill="auto"/>
        <w:tabs>
          <w:tab w:val="left" w:pos="125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а) Грозненскому бутаноловому заводу кукурузной муки:</w:t>
      </w:r>
    </w:p>
    <w:p w14:paraId="31DD1E8A" w14:textId="77777777" w:rsidR="00AD34DF" w:rsidRPr="00271E51" w:rsidRDefault="00AD34DF"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Всего </w:t>
      </w:r>
      <w:r w:rsidRPr="00271E51">
        <w:rPr>
          <w:rFonts w:ascii="Times New Roman" w:cs="Times New Roman"/>
          <w:color w:val="000000" w:themeColor="text1"/>
          <w:spacing w:val="0"/>
          <w:sz w:val="16"/>
          <w:szCs w:val="16"/>
        </w:rPr>
        <w:tab/>
        <w:t xml:space="preserve">в 1 декаде </w:t>
      </w:r>
      <w:r w:rsidRPr="00271E51">
        <w:rPr>
          <w:rFonts w:ascii="Times New Roman" w:cs="Times New Roman"/>
          <w:color w:val="000000" w:themeColor="text1"/>
          <w:spacing w:val="0"/>
          <w:sz w:val="16"/>
          <w:szCs w:val="16"/>
        </w:rPr>
        <w:tab/>
        <w:t xml:space="preserve">во П декаде </w:t>
      </w:r>
      <w:r w:rsidRPr="00271E51">
        <w:rPr>
          <w:rFonts w:ascii="Times New Roman" w:cs="Times New Roman"/>
          <w:color w:val="000000" w:themeColor="text1"/>
          <w:spacing w:val="0"/>
          <w:sz w:val="16"/>
          <w:szCs w:val="16"/>
        </w:rPr>
        <w:tab/>
        <w:t>в Ш декаде</w:t>
      </w:r>
    </w:p>
    <w:p w14:paraId="0AE95C11" w14:textId="77777777" w:rsidR="00AD34DF" w:rsidRPr="00271E51" w:rsidRDefault="00AD34DF"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ноябре 1500тн.</w:t>
      </w:r>
      <w:r w:rsidRPr="00271E51">
        <w:rPr>
          <w:rFonts w:ascii="Times New Roman" w:cs="Times New Roman"/>
          <w:color w:val="000000" w:themeColor="text1"/>
          <w:spacing w:val="0"/>
          <w:sz w:val="16"/>
          <w:szCs w:val="16"/>
        </w:rPr>
        <w:tab/>
        <w:t>750 тн.</w:t>
      </w:r>
      <w:r w:rsidRPr="00271E51">
        <w:rPr>
          <w:rFonts w:ascii="Times New Roman" w:cs="Times New Roman"/>
          <w:color w:val="000000" w:themeColor="text1"/>
          <w:spacing w:val="0"/>
          <w:sz w:val="16"/>
          <w:szCs w:val="16"/>
        </w:rPr>
        <w:tab/>
        <w:t xml:space="preserve"> 750</w:t>
      </w:r>
      <w:r w:rsidRPr="00271E51">
        <w:rPr>
          <w:rStyle w:val="1pt"/>
          <w:rFonts w:ascii="Times New Roman" w:cs="Times New Roman"/>
          <w:color w:val="000000" w:themeColor="text1"/>
          <w:spacing w:val="0"/>
          <w:sz w:val="16"/>
          <w:szCs w:val="16"/>
        </w:rPr>
        <w:t xml:space="preserve"> тн.</w:t>
      </w:r>
    </w:p>
    <w:p w14:paraId="357DBA0A" w14:textId="77777777" w:rsidR="00AD34DF" w:rsidRPr="00271E51" w:rsidRDefault="00AD34DF" w:rsidP="00271E51">
      <w:pPr>
        <w:pStyle w:val="36"/>
        <w:shd w:val="clear" w:color="auto" w:fill="auto"/>
        <w:tabs>
          <w:tab w:val="left" w:pos="123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 Талицкому бутаноловому заводу ржаной муки:</w:t>
      </w:r>
    </w:p>
    <w:p w14:paraId="3356DE83" w14:textId="77777777" w:rsidR="00AD34DF" w:rsidRPr="00271E51" w:rsidRDefault="00AD34DF" w:rsidP="00271E51">
      <w:pPr>
        <w:pStyle w:val="36"/>
        <w:shd w:val="clear" w:color="auto" w:fill="auto"/>
        <w:tabs>
          <w:tab w:val="left" w:pos="123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ab/>
        <w:t>всего</w:t>
      </w:r>
      <w:r w:rsidRPr="00271E51">
        <w:rPr>
          <w:rFonts w:ascii="Times New Roman" w:cs="Times New Roman"/>
          <w:color w:val="000000" w:themeColor="text1"/>
          <w:spacing w:val="0"/>
          <w:sz w:val="16"/>
          <w:szCs w:val="16"/>
        </w:rPr>
        <w:tab/>
        <w:t>в 1 декаде</w:t>
      </w:r>
      <w:r w:rsidRPr="00271E51">
        <w:rPr>
          <w:rFonts w:ascii="Times New Roman" w:cs="Times New Roman"/>
          <w:color w:val="000000" w:themeColor="text1"/>
          <w:spacing w:val="0"/>
          <w:sz w:val="16"/>
          <w:szCs w:val="16"/>
        </w:rPr>
        <w:tab/>
        <w:t>во 1 декаде</w:t>
      </w:r>
      <w:r w:rsidRPr="00271E51">
        <w:rPr>
          <w:rFonts w:ascii="Times New Roman" w:cs="Times New Roman"/>
          <w:color w:val="000000" w:themeColor="text1"/>
          <w:spacing w:val="0"/>
          <w:sz w:val="16"/>
          <w:szCs w:val="16"/>
        </w:rPr>
        <w:tab/>
        <w:t>в 3 декаде</w:t>
      </w:r>
    </w:p>
    <w:p w14:paraId="26A30901" w14:textId="77777777" w:rsidR="00AD34DF" w:rsidRPr="00271E51" w:rsidRDefault="00AD34DF" w:rsidP="00271E51">
      <w:pPr>
        <w:pStyle w:val="36"/>
        <w:shd w:val="clear" w:color="auto" w:fill="auto"/>
        <w:tabs>
          <w:tab w:val="left" w:pos="587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 ноябре 3000 тн.</w:t>
      </w:r>
      <w:r w:rsidRPr="00271E51">
        <w:rPr>
          <w:rFonts w:ascii="Times New Roman" w:cs="Times New Roman"/>
          <w:color w:val="000000" w:themeColor="text1"/>
          <w:spacing w:val="0"/>
          <w:sz w:val="16"/>
          <w:szCs w:val="16"/>
        </w:rPr>
        <w:tab/>
        <w:t>1500 тн.</w:t>
      </w:r>
      <w:r w:rsidRPr="00271E51">
        <w:rPr>
          <w:rFonts w:ascii="Times New Roman" w:cs="Times New Roman"/>
          <w:color w:val="000000" w:themeColor="text1"/>
          <w:spacing w:val="0"/>
          <w:sz w:val="16"/>
          <w:szCs w:val="16"/>
        </w:rPr>
        <w:tab/>
        <w:t>1000 тн.</w:t>
      </w:r>
      <w:r w:rsidRPr="00271E51">
        <w:rPr>
          <w:rFonts w:ascii="Times New Roman" w:cs="Times New Roman"/>
          <w:color w:val="000000" w:themeColor="text1"/>
          <w:spacing w:val="0"/>
          <w:sz w:val="16"/>
          <w:szCs w:val="16"/>
        </w:rPr>
        <w:tab/>
        <w:t>500 тн.</w:t>
      </w:r>
    </w:p>
    <w:p w14:paraId="579D34CB" w14:textId="77777777" w:rsidR="00AD34DF" w:rsidRPr="00271E51" w:rsidRDefault="00AD34DF" w:rsidP="00271E51">
      <w:pPr>
        <w:framePr w:w="705" w:h="652" w:hSpace="580" w:vSpace="150" w:wrap="around" w:hAnchor="margin" w:x="3091" w:y="99"/>
        <w:spacing w:after="0" w:line="240" w:lineRule="auto"/>
        <w:jc w:val="both"/>
        <w:rPr>
          <w:rFonts w:ascii="Times New Roman" w:hAnsi="Times New Roman"/>
          <w:color w:val="000000" w:themeColor="text1"/>
          <w:sz w:val="16"/>
          <w:szCs w:val="16"/>
        </w:rPr>
      </w:pPr>
    </w:p>
    <w:p w14:paraId="44FF29E3" w14:textId="77777777" w:rsidR="00AD34DF" w:rsidRPr="00271E51" w:rsidRDefault="00AD34DF"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Поручить т.т.Первухину,Субботину и Пронину предста</w:t>
      </w:r>
      <w:r w:rsidRPr="00271E51">
        <w:rPr>
          <w:rFonts w:ascii="Times New Roman" w:cs="Times New Roman"/>
          <w:color w:val="000000" w:themeColor="text1"/>
          <w:spacing w:val="0"/>
          <w:sz w:val="16"/>
          <w:szCs w:val="16"/>
        </w:rPr>
        <w:softHyphen/>
        <w:t>вить в СКК СССР к 15 ноября 1943г. предложение о наделении на декабрь 1943 г. Грозненскому и Талицкому бутаноловзым заводам Наркомпищепрома СССР кукурузной муки.</w:t>
      </w:r>
    </w:p>
    <w:p w14:paraId="0BF6B0A6" w14:textId="77777777" w:rsidR="00AD34DF" w:rsidRPr="00271E51" w:rsidRDefault="00AD34D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 Обязать Главснабуголь при СНК СССР (т.Курмасова):</w:t>
      </w:r>
    </w:p>
    <w:p w14:paraId="11E39937" w14:textId="77777777" w:rsidR="00AD34DF" w:rsidRPr="00271E51" w:rsidRDefault="00AD34DF" w:rsidP="00271E51">
      <w:pPr>
        <w:pStyle w:val="27"/>
        <w:shd w:val="clear" w:color="auto" w:fill="auto"/>
        <w:tabs>
          <w:tab w:val="left" w:pos="95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дополнительно отгрузить в октябре с.г. за счет фон</w:t>
      </w:r>
      <w:r w:rsidRPr="00271E51">
        <w:rPr>
          <w:rFonts w:ascii="Times New Roman" w:cs="Times New Roman"/>
          <w:color w:val="000000" w:themeColor="text1"/>
          <w:spacing w:val="0"/>
        </w:rPr>
        <w:softHyphen/>
        <w:t>дов Наркомпицепрока СССР Талицкому бутаноловому заводу 1000 тонн высококачественных кузнецких углей;</w:t>
      </w:r>
    </w:p>
    <w:p w14:paraId="63797C57" w14:textId="77777777" w:rsidR="00AD34DF" w:rsidRPr="00271E51" w:rsidRDefault="00AD34DF" w:rsidP="00271E51">
      <w:pPr>
        <w:pStyle w:val="27"/>
        <w:shd w:val="clear" w:color="auto" w:fill="auto"/>
        <w:tabs>
          <w:tab w:val="left" w:pos="95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до 20 ноября с.г. прк всех условиях отгрузить Талицко</w:t>
      </w:r>
      <w:r w:rsidRPr="00271E51">
        <w:rPr>
          <w:rFonts w:ascii="Times New Roman" w:cs="Times New Roman"/>
          <w:color w:val="000000" w:themeColor="text1"/>
          <w:spacing w:val="0"/>
        </w:rPr>
        <w:softHyphen/>
        <w:t>му заводу 3 тыс-тонн угля, из них в 1 декаде ноября 150С тн. и П декаде - 150С тонн.</w:t>
      </w:r>
    </w:p>
    <w:p w14:paraId="46A3F9A2" w14:textId="77777777" w:rsidR="00AD34DF" w:rsidRPr="00271E51" w:rsidRDefault="00AD34DF" w:rsidP="00271E51">
      <w:pPr>
        <w:pStyle w:val="27"/>
        <w:shd w:val="clear" w:color="auto" w:fill="auto"/>
        <w:tabs>
          <w:tab w:val="left" w:pos="94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Обязать НКПС (г.Кагановича) обеспечить бесперебойную подачу цистерн под налив ацетона, бутанола, этилового спирта, бутилацетата и этилацетата и доставку их к месту назначения в сроки, согласно графику перевозок на октябрь с.г. (см.при</w:t>
      </w:r>
      <w:r w:rsidRPr="00271E51">
        <w:rPr>
          <w:rFonts w:ascii="Times New Roman" w:cs="Times New Roman"/>
          <w:color w:val="000000" w:themeColor="text1"/>
          <w:spacing w:val="0"/>
        </w:rPr>
        <w:softHyphen/>
        <w:t>ложение 7), а также ооеспечить подачу в октябре с.г. 60 цис</w:t>
      </w:r>
      <w:r w:rsidRPr="00271E51">
        <w:rPr>
          <w:rFonts w:ascii="Times New Roman" w:cs="Times New Roman"/>
          <w:color w:val="000000" w:themeColor="text1"/>
          <w:spacing w:val="0"/>
        </w:rPr>
        <w:softHyphen/>
        <w:t>терн под налив уайтспирита на станцию Грозный и 71 цистерну под налив растительных масел на станцию Эгершельд,Приморской дороги.</w:t>
      </w:r>
    </w:p>
    <w:p w14:paraId="1BACA880" w14:textId="77777777" w:rsidR="00AD34DF" w:rsidRPr="00271E51" w:rsidRDefault="00AD34D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Установить специальное ежесуточное диспетчерское наблю</w:t>
      </w:r>
      <w:r w:rsidRPr="00271E51">
        <w:rPr>
          <w:rFonts w:ascii="Times New Roman" w:cs="Times New Roman"/>
          <w:color w:val="000000" w:themeColor="text1"/>
          <w:spacing w:val="0"/>
        </w:rPr>
        <w:softHyphen/>
        <w:t>дение за подачей цистерн и продвижением их в адреса заводов Наркомл -са СССР, Наркомхимпрома и Наркомместпрома РСФСР.</w:t>
      </w:r>
    </w:p>
    <w:p w14:paraId="49C8F883" w14:textId="77777777" w:rsidR="00AD34DF" w:rsidRPr="00271E51" w:rsidRDefault="00AD34D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Утвердить к 25 октября с.г., совместно с Наркомхимпромом, Наркомлесом СССР, Наркомместпромом РС*ХР и Наркомпищепромом СССР, график перевозки лакокрасочного сырья заводам НКлП и Наркомлеса на ноябрь с.г. и к 25 ноября с.г. график перевозок на декабрь с.г.</w:t>
      </w:r>
    </w:p>
    <w:p w14:paraId="3DF29467" w14:textId="77777777" w:rsidR="00AD34DF" w:rsidRPr="00271E51" w:rsidRDefault="00AD34DF" w:rsidP="00271E51">
      <w:pPr>
        <w:pStyle w:val="27"/>
        <w:shd w:val="clear" w:color="auto" w:fill="auto"/>
        <w:tabs>
          <w:tab w:val="left" w:pos="9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 Обязать Главснабуголь при СНК СССР (т.Курмашева):</w:t>
      </w:r>
    </w:p>
    <w:p w14:paraId="1E3412F4" w14:textId="77777777" w:rsidR="00AD34DF" w:rsidRPr="00271E51" w:rsidRDefault="00AD34DF" w:rsidP="00271E51">
      <w:pPr>
        <w:pStyle w:val="27"/>
        <w:shd w:val="clear" w:color="auto" w:fill="auto"/>
        <w:tabs>
          <w:tab w:val="left" w:pos="95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поставить Ашинскому лесхимзаводу Наркомлеса СССР сверх установленного плана в октябре с.г. 1000 тонн, в ноябре 1500 тонн и в декабре 1500 тонн кузнецкого угля, за счет за</w:t>
      </w:r>
      <w:r w:rsidRPr="00271E51">
        <w:rPr>
          <w:rFonts w:ascii="Times New Roman" w:cs="Times New Roman"/>
          <w:color w:val="000000" w:themeColor="text1"/>
          <w:spacing w:val="0"/>
        </w:rPr>
        <w:softHyphen/>
        <w:t>пасов на угольных шахтах;</w:t>
      </w:r>
    </w:p>
    <w:p w14:paraId="4EC7E4D2" w14:textId="77777777" w:rsidR="00AD34DF" w:rsidRPr="00271E51" w:rsidRDefault="00AD34DF" w:rsidP="00271E51">
      <w:pPr>
        <w:pStyle w:val="27"/>
        <w:shd w:val="clear" w:color="auto" w:fill="auto"/>
        <w:tabs>
          <w:tab w:val="left" w:pos="95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отгружать уголь Ашинскому и Дмитриевскому лесохими</w:t>
      </w:r>
      <w:r w:rsidRPr="00271E51">
        <w:rPr>
          <w:rFonts w:ascii="Times New Roman" w:cs="Times New Roman"/>
          <w:color w:val="000000" w:themeColor="text1"/>
          <w:spacing w:val="0"/>
        </w:rPr>
        <w:softHyphen/>
        <w:t>ческим заводам по установленному плану до 20 числа каждого месяца.</w:t>
      </w:r>
    </w:p>
    <w:p w14:paraId="65A21F62" w14:textId="77777777" w:rsidR="00AD34DF" w:rsidRPr="00271E51" w:rsidRDefault="00AD34D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Предупредить т.Курмашева,что он несет персональную ответ</w:t>
      </w:r>
      <w:r w:rsidRPr="00271E51">
        <w:rPr>
          <w:rFonts w:ascii="Times New Roman" w:cs="Times New Roman"/>
          <w:color w:val="000000" w:themeColor="text1"/>
          <w:spacing w:val="0"/>
        </w:rPr>
        <w:softHyphen/>
        <w:t>ственность за своевременную отгруэку угля Ашинскому и Дмитриев</w:t>
      </w:r>
      <w:r w:rsidRPr="00271E51">
        <w:rPr>
          <w:rFonts w:ascii="Times New Roman" w:cs="Times New Roman"/>
          <w:color w:val="000000" w:themeColor="text1"/>
          <w:spacing w:val="0"/>
        </w:rPr>
        <w:softHyphen/>
        <w:t>скому лесхимэаводам.</w:t>
      </w:r>
    </w:p>
    <w:p w14:paraId="179ADD4D"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НКПС в 10-ти дневный срок отгрузить Талиц- коыу заводу Наркомпищепрома СССР 9000 ябм.дров, недопостав</w:t>
      </w:r>
      <w:r w:rsidRPr="00271E51">
        <w:rPr>
          <w:rFonts w:ascii="Times New Roman" w:hAnsi="Times New Roman"/>
          <w:color w:val="000000" w:themeColor="text1"/>
          <w:sz w:val="16"/>
          <w:szCs w:val="16"/>
        </w:rPr>
        <w:softHyphen/>
        <w:t xml:space="preserve">ленных по распоряжению ГОКО № 3907 от </w:t>
      </w:r>
      <w:r w:rsidRPr="00271E51">
        <w:rPr>
          <w:rFonts w:ascii="Times New Roman" w:hAnsi="Times New Roman"/>
          <w:color w:val="000000" w:themeColor="text1"/>
          <w:sz w:val="16"/>
          <w:szCs w:val="16"/>
          <w:lang w:val="en-US"/>
        </w:rPr>
        <w:t>ii</w:t>
      </w:r>
      <w:r w:rsidRPr="00271E51">
        <w:rPr>
          <w:rFonts w:ascii="Times New Roman" w:hAnsi="Times New Roman"/>
          <w:color w:val="000000" w:themeColor="text1"/>
          <w:sz w:val="16"/>
          <w:szCs w:val="16"/>
        </w:rPr>
        <w:t xml:space="preserve"> августа 1943 г.</w:t>
      </w:r>
    </w:p>
    <w:p w14:paraId="2B289FA0"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8. Обязать Наркомчермет (т.Тевзосяна) поставлять 5 1У-м квартале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Ашинскому лесохимкомбинату по 20 тыс.кубомет</w:t>
      </w:r>
      <w:r w:rsidRPr="00271E51">
        <w:rPr>
          <w:rFonts w:ascii="Times New Roman" w:hAnsi="Times New Roman"/>
          <w:color w:val="000000" w:themeColor="text1"/>
          <w:sz w:val="16"/>
          <w:szCs w:val="16"/>
        </w:rPr>
        <w:softHyphen/>
        <w:t>ров технологических дров ежемесячно по узкоколейной желез</w:t>
      </w:r>
      <w:r w:rsidRPr="00271E51">
        <w:rPr>
          <w:rFonts w:ascii="Times New Roman" w:hAnsi="Times New Roman"/>
          <w:color w:val="000000" w:themeColor="text1"/>
          <w:sz w:val="16"/>
          <w:szCs w:val="16"/>
        </w:rPr>
        <w:softHyphen/>
        <w:t>ной дороге.</w:t>
      </w:r>
    </w:p>
    <w:p w14:paraId="50808FFF"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Запретить Наркомчермету производить переугливание дров в печах Шварца до полного обеспечения пла.:а поставки дров Ашинскому лесохимическому комбинату.</w:t>
      </w:r>
    </w:p>
    <w:p w14:paraId="6F20FF6D" w14:textId="77777777" w:rsidR="00AD34DF" w:rsidRPr="00271E51" w:rsidRDefault="00AD34DF" w:rsidP="00271E51">
      <w:pPr>
        <w:tabs>
          <w:tab w:val="left" w:pos="94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Наркомсредмаш (т.Акопова) поставить в октяб</w:t>
      </w:r>
      <w:r w:rsidRPr="00271E51">
        <w:rPr>
          <w:rFonts w:ascii="Times New Roman" w:hAnsi="Times New Roman"/>
          <w:color w:val="000000" w:themeColor="text1"/>
          <w:sz w:val="16"/>
          <w:szCs w:val="16"/>
        </w:rPr>
        <w:softHyphen/>
        <w:t xml:space="preserve">ре-ноябре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за счет поставок НКО Ашинскому и Дмитриэз- скому заводам Наркомлеса СССР по 5 грузовых автомашин и бутаноловым заводам Наркомпищепрома СССР 15 грузовых автомашин</w:t>
      </w:r>
    </w:p>
    <w:p w14:paraId="5FF3F7F9" w14:textId="77777777" w:rsidR="00AD34DF" w:rsidRPr="00271E51" w:rsidRDefault="00AD34DF" w:rsidP="00271E51">
      <w:pPr>
        <w:tabs>
          <w:tab w:val="left" w:pos="106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Обязать Наркомвнешторг и Наркомпищепром СССР (т.Про нина) отгрузку растительного масла Наркомхимпрому по фонд; м 1У квартала производить до 27 числа каждого месяца.</w:t>
      </w:r>
    </w:p>
    <w:p w14:paraId="2D7D0392" w14:textId="77777777" w:rsidR="00AD34DF" w:rsidRPr="00271E51" w:rsidRDefault="00AD34DF" w:rsidP="00271E51">
      <w:pPr>
        <w:tabs>
          <w:tab w:val="left" w:pos="10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 Обязать Наркомчермет (т.Тевосяна) обеспечить з 1У квартале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отгрузку металла лакокрасочным заводам </w:t>
      </w:r>
      <w:r w:rsidRPr="00271E51">
        <w:rPr>
          <w:rStyle w:val="-1pt"/>
          <w:rFonts w:ascii="Times New Roman" w:hAnsi="Times New Roman" w:cs="Times New Roman"/>
          <w:color w:val="000000" w:themeColor="text1"/>
          <w:spacing w:val="0"/>
          <w:sz w:val="16"/>
          <w:szCs w:val="16"/>
        </w:rPr>
        <w:t xml:space="preserve">НКХГ. </w:t>
      </w:r>
      <w:r w:rsidRPr="00271E51">
        <w:rPr>
          <w:rFonts w:ascii="Times New Roman" w:hAnsi="Times New Roman"/>
          <w:color w:val="000000" w:themeColor="text1"/>
          <w:sz w:val="16"/>
          <w:szCs w:val="16"/>
        </w:rPr>
        <w:t>наравне с Наркомавиапромом в пределах вццеленных им фондов.</w:t>
      </w:r>
    </w:p>
    <w:p w14:paraId="2FFEB209" w14:textId="77777777" w:rsidR="00AD34DF" w:rsidRPr="00271E51" w:rsidRDefault="00AD34DF" w:rsidP="00271E51">
      <w:pPr>
        <w:tabs>
          <w:tab w:val="left" w:pos="10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 Поручить Наркомвнешторгу закупить и доставить в кратчайший срок для лакокрасочных заводов Наркомхимг.рома 2000 тн.бутилацетата, 1500 тонн этилацетата, 1000 тонн </w:t>
      </w:r>
      <w:r w:rsidRPr="00271E51">
        <w:rPr>
          <w:rStyle w:val="1pt"/>
          <w:rFonts w:ascii="Times New Roman" w:hAnsi="Times New Roman" w:cs="Times New Roman"/>
          <w:color w:val="000000" w:themeColor="text1"/>
          <w:spacing w:val="0"/>
          <w:sz w:val="16"/>
          <w:szCs w:val="16"/>
        </w:rPr>
        <w:t>тун</w:t>
      </w:r>
      <w:r w:rsidRPr="00271E51">
        <w:rPr>
          <w:rStyle w:val="1pt"/>
          <w:rFonts w:ascii="Times New Roman" w:hAnsi="Times New Roman" w:cs="Times New Roman"/>
          <w:color w:val="000000" w:themeColor="text1"/>
          <w:spacing w:val="0"/>
          <w:sz w:val="16"/>
          <w:szCs w:val="16"/>
        </w:rPr>
        <w:softHyphen/>
      </w:r>
      <w:r w:rsidRPr="00271E51">
        <w:rPr>
          <w:rStyle w:val="105pt80"/>
          <w:rFonts w:ascii="Times New Roman" w:hAnsi="Times New Roman" w:cs="Times New Roman"/>
          <w:color w:val="000000" w:themeColor="text1"/>
          <w:w w:val="100"/>
          <w:sz w:val="16"/>
          <w:szCs w:val="16"/>
        </w:rPr>
        <w:t>гового</w:t>
      </w:r>
      <w:r w:rsidRPr="00271E51">
        <w:rPr>
          <w:rFonts w:ascii="Times New Roman" w:hAnsi="Times New Roman"/>
          <w:color w:val="000000" w:themeColor="text1"/>
          <w:sz w:val="16"/>
          <w:szCs w:val="16"/>
        </w:rPr>
        <w:t xml:space="preserve"> масла, 20 тонн литоль Шерлаха, 100 тонн окиси хрома. 20 тонн шеллака и 250 тонн хромпика.</w:t>
      </w:r>
    </w:p>
    <w:p w14:paraId="5900CD5F" w14:textId="77777777" w:rsidR="00AD34DF" w:rsidRPr="00271E51" w:rsidRDefault="00AD34DF" w:rsidP="00271E51">
      <w:pPr>
        <w:tabs>
          <w:tab w:val="left" w:pos="10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Обязать ГУГМР (т.Данченко разбронировать для Нар- комхимпрома 100 тонн тунгового масла,находящегося на заводе "Победа рабочих" НКХП.</w:t>
      </w:r>
    </w:p>
    <w:p w14:paraId="0ED3A801" w14:textId="77777777" w:rsidR="00AD34DF" w:rsidRPr="00271E51" w:rsidRDefault="00AD34DF" w:rsidP="00271E51">
      <w:pPr>
        <w:tabs>
          <w:tab w:val="left" w:pos="107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Обязать Госплан СССР (т.Вознесенского) совместно с Наркомнефтью (т.Сединым) и Наркомхимпромом (т.Первухиным:</w:t>
      </w:r>
    </w:p>
    <w:p w14:paraId="68E0F6D1"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месячный срок представить в ГОКО предложения по организации производства синтетического бутакола и ацетона из обходов газа на крекинг-заводах.</w:t>
      </w:r>
    </w:p>
    <w:p w14:paraId="1969A292" w14:textId="77777777" w:rsidR="00AD34DF" w:rsidRPr="00271E51" w:rsidRDefault="00AD34DF" w:rsidP="00271E51">
      <w:pPr>
        <w:pStyle w:val="27"/>
        <w:shd w:val="clear" w:color="auto" w:fill="auto"/>
        <w:tabs>
          <w:tab w:val="left" w:pos="107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15. Обязать председателей облисполкомов и крайисполко</w:t>
      </w:r>
      <w:r w:rsidRPr="00271E51">
        <w:rPr>
          <w:rFonts w:ascii="Times New Roman" w:cs="Times New Roman"/>
          <w:color w:val="000000" w:themeColor="text1"/>
          <w:spacing w:val="0"/>
        </w:rPr>
        <w:softHyphen/>
        <w:t>мов Иркутской области - т. Комиссарова, Красноярского края - т.Буеверова, Новосибирской области - т.Гришина, Алтайского края - т.Корчагина, Омской области - т.Евстигнеева, Сверд</w:t>
      </w:r>
      <w:r w:rsidRPr="00271E51">
        <w:rPr>
          <w:rFonts w:ascii="Times New Roman" w:cs="Times New Roman"/>
          <w:color w:val="000000" w:themeColor="text1"/>
          <w:spacing w:val="0"/>
        </w:rPr>
        <w:softHyphen/>
        <w:t>ловской области - т.Недосекина, Челябинской области - т.Бело- бородоза, Ульяновской области - т.Киселева* Горьковской об</w:t>
      </w:r>
      <w:r w:rsidRPr="00271E51">
        <w:rPr>
          <w:rFonts w:ascii="Times New Roman" w:cs="Times New Roman"/>
          <w:color w:val="000000" w:themeColor="text1"/>
          <w:spacing w:val="0"/>
        </w:rPr>
        <w:softHyphen/>
        <w:t>ласти - т.Вфимова, Московской области - т.Тарасова, Иванов</w:t>
      </w:r>
      <w:r w:rsidRPr="00271E51">
        <w:rPr>
          <w:rFonts w:ascii="Times New Roman" w:cs="Times New Roman"/>
          <w:color w:val="000000" w:themeColor="text1"/>
          <w:spacing w:val="0"/>
        </w:rPr>
        <w:softHyphen/>
        <w:t>ской области - т.Шубина, Ярославской области - т.Гаврилова, Рязанской области - т.Мамонова, Тамбовской области - т.Козырькова, Пензенской области - т.Мотинова и председателей Совнаркомов: Мордовской АССР - т.Верендякина и Татарской АССР - т.Шара£еева - обеспечить до 1 января 1944 года вы</w:t>
      </w:r>
      <w:r w:rsidRPr="00271E51">
        <w:rPr>
          <w:rFonts w:ascii="Times New Roman" w:cs="Times New Roman"/>
          <w:color w:val="000000" w:themeColor="text1"/>
          <w:spacing w:val="0"/>
        </w:rPr>
        <w:softHyphen/>
        <w:t>возку всей заготовленной Наркомлесом СССР живицы к линиям железных дорог.</w:t>
      </w:r>
    </w:p>
    <w:p w14:paraId="048E6B12" w14:textId="77777777" w:rsidR="00AD34DF" w:rsidRPr="00271E51" w:rsidRDefault="00AD34DF" w:rsidP="00271E51">
      <w:pPr>
        <w:pStyle w:val="27"/>
        <w:shd w:val="clear" w:color="auto" w:fill="auto"/>
        <w:tabs>
          <w:tab w:val="left" w:pos="106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16. Обязать НКПС (т.Кагановича) обеспечить подачу ваго</w:t>
      </w:r>
      <w:r w:rsidRPr="00271E51">
        <w:rPr>
          <w:rFonts w:ascii="Times New Roman" w:cs="Times New Roman"/>
          <w:color w:val="000000" w:themeColor="text1"/>
          <w:spacing w:val="0"/>
        </w:rPr>
        <w:softHyphen/>
        <w:t>нов для перевозки живицы по заявкам Наркомлеса СССР в нояб</w:t>
      </w:r>
      <w:r w:rsidRPr="00271E51">
        <w:rPr>
          <w:rFonts w:ascii="Times New Roman" w:cs="Times New Roman"/>
          <w:color w:val="000000" w:themeColor="text1"/>
          <w:spacing w:val="0"/>
        </w:rPr>
        <w:softHyphen/>
        <w:t>ре 250 вагонов и в декабре с.г. 300 вагонов.</w:t>
      </w:r>
    </w:p>
    <w:p w14:paraId="66AE5592" w14:textId="77777777" w:rsidR="00AD34DF" w:rsidRPr="00271E51" w:rsidRDefault="00AD34DF" w:rsidP="00271E51">
      <w:pPr>
        <w:pStyle w:val="27"/>
        <w:shd w:val="clear" w:color="auto" w:fill="auto"/>
        <w:tabs>
          <w:tab w:val="left" w:pos="106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17. Обязать Наркомхимпром (т.Первухина), Наркомчермет (т.Тевосяна), Наркоыэлектропром (т.Кабанова), Наркомрезин- пром (т.Митрохина), Наркомстанкостроения (т.Ефремова) обес</w:t>
      </w:r>
      <w:r w:rsidRPr="00271E51">
        <w:rPr>
          <w:rFonts w:ascii="Times New Roman" w:cs="Times New Roman"/>
          <w:color w:val="000000" w:themeColor="text1"/>
          <w:spacing w:val="0"/>
        </w:rPr>
        <w:softHyphen/>
        <w:t>печить стопроцентную поставку материалов лесохимическим за</w:t>
      </w:r>
      <w:r w:rsidRPr="00271E51">
        <w:rPr>
          <w:rFonts w:ascii="Times New Roman" w:cs="Times New Roman"/>
          <w:color w:val="000000" w:themeColor="text1"/>
          <w:spacing w:val="0"/>
        </w:rPr>
        <w:softHyphen/>
        <w:t>водам Наркомлеса СССР по фондам 1У квартала с.г. равными партиями по месяцам.</w:t>
      </w:r>
    </w:p>
    <w:p w14:paraId="4915BF8B" w14:textId="77777777" w:rsidR="00AD34DF" w:rsidRPr="00271E51" w:rsidRDefault="00AD34DF" w:rsidP="00271E51">
      <w:pPr>
        <w:pStyle w:val="27"/>
        <w:shd w:val="clear" w:color="auto" w:fill="auto"/>
        <w:tabs>
          <w:tab w:val="left" w:pos="108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18. Обявать Госплан СССР, начиная с ноября </w:t>
      </w:r>
      <w:r w:rsidRPr="00271E51">
        <w:rPr>
          <w:rStyle w:val="2pt0"/>
          <w:rFonts w:ascii="Times New Roman" w:hAnsi="Times New Roman" w:cs="Times New Roman"/>
          <w:color w:val="000000" w:themeColor="text1"/>
          <w:spacing w:val="0"/>
          <w:sz w:val="16"/>
          <w:szCs w:val="16"/>
        </w:rPr>
        <w:t>с.г.,</w:t>
      </w:r>
      <w:r w:rsidRPr="00271E51">
        <w:rPr>
          <w:rFonts w:ascii="Times New Roman" w:cs="Times New Roman"/>
          <w:color w:val="000000" w:themeColor="text1"/>
          <w:spacing w:val="0"/>
        </w:rPr>
        <w:t xml:space="preserve"> пред</w:t>
      </w:r>
      <w:r w:rsidRPr="00271E51">
        <w:rPr>
          <w:rFonts w:ascii="Times New Roman" w:cs="Times New Roman"/>
          <w:color w:val="000000" w:themeColor="text1"/>
          <w:spacing w:val="0"/>
        </w:rPr>
        <w:softHyphen/>
        <w:t>ставлять на</w:t>
      </w:r>
      <w:r w:rsidRPr="00271E51">
        <w:rPr>
          <w:rStyle w:val="8pt0"/>
          <w:rFonts w:ascii="Times New Roman" w:hAnsi="Times New Roman" w:cs="Times New Roman"/>
          <w:color w:val="000000" w:themeColor="text1"/>
        </w:rPr>
        <w:t xml:space="preserve"> </w:t>
      </w:r>
      <w:r w:rsidRPr="00271E51">
        <w:rPr>
          <w:rStyle w:val="8pt0"/>
          <w:rFonts w:ascii="Times New Roman" w:hAnsi="Times New Roman" w:cs="Times New Roman"/>
          <w:b w:val="0"/>
          <w:color w:val="000000" w:themeColor="text1"/>
        </w:rPr>
        <w:t>утверждение</w:t>
      </w:r>
      <w:r w:rsidRPr="00271E51">
        <w:rPr>
          <w:rFonts w:ascii="Times New Roman" w:cs="Times New Roman"/>
          <w:color w:val="000000" w:themeColor="text1"/>
          <w:spacing w:val="0"/>
        </w:rPr>
        <w:t xml:space="preserve"> СНК СССР план производства и распре</w:t>
      </w:r>
      <w:r w:rsidRPr="00271E51">
        <w:rPr>
          <w:rFonts w:ascii="Times New Roman" w:cs="Times New Roman"/>
          <w:color w:val="000000" w:themeColor="text1"/>
          <w:spacing w:val="0"/>
        </w:rPr>
        <w:softHyphen/>
        <w:t>деления ацетатных растворителей, обеспечивая в первую оче</w:t>
      </w:r>
      <w:r w:rsidRPr="00271E51">
        <w:rPr>
          <w:rFonts w:ascii="Times New Roman" w:cs="Times New Roman"/>
          <w:color w:val="000000" w:themeColor="text1"/>
          <w:spacing w:val="0"/>
        </w:rPr>
        <w:softHyphen/>
        <w:t>редь полное покрытие потребности в них лакокрасочных заво</w:t>
      </w:r>
      <w:r w:rsidRPr="00271E51">
        <w:rPr>
          <w:rFonts w:ascii="Times New Roman" w:cs="Times New Roman"/>
          <w:color w:val="000000" w:themeColor="text1"/>
          <w:spacing w:val="0"/>
        </w:rPr>
        <w:softHyphen/>
        <w:t>дов Наркомхимпрома.</w:t>
      </w:r>
    </w:p>
    <w:p w14:paraId="62621AD9" w14:textId="77777777" w:rsidR="00AD34DF" w:rsidRPr="00271E51" w:rsidRDefault="00AD34DF" w:rsidP="00271E51">
      <w:pPr>
        <w:pStyle w:val="27"/>
        <w:shd w:val="clear" w:color="auto" w:fill="auto"/>
        <w:tabs>
          <w:tab w:val="left" w:pos="106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19. Обязать Наркомат автомобильного транспорта РСФСР (т.Куршева) отремонтировать в ноябре-декабре 1943 года, в счет установленного плана ремонта, для Главлесхима Нарком</w:t>
      </w:r>
      <w:r w:rsidRPr="00271E51">
        <w:rPr>
          <w:rFonts w:ascii="Times New Roman" w:cs="Times New Roman"/>
          <w:color w:val="000000" w:themeColor="text1"/>
          <w:spacing w:val="0"/>
        </w:rPr>
        <w:softHyphen/>
        <w:t>леса СССР 10 автомашин ЗИС-5 и 5 автомашин ГАЗ-АА.</w:t>
      </w:r>
    </w:p>
    <w:p w14:paraId="68ACF17D" w14:textId="77777777" w:rsidR="00AD34DF" w:rsidRPr="00271E51" w:rsidRDefault="00AD34DF" w:rsidP="00271E51">
      <w:pPr>
        <w:tabs>
          <w:tab w:val="left" w:pos="107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Отметить, что Наркоме тройматериалов СССР (т.Соснин) не выполнил распоряжения ГОКО № 3907 от 11 августа с.г. о по</w:t>
      </w:r>
      <w:r w:rsidRPr="00271E51">
        <w:rPr>
          <w:rFonts w:ascii="Times New Roman" w:hAnsi="Times New Roman"/>
          <w:color w:val="000000" w:themeColor="text1"/>
          <w:sz w:val="16"/>
          <w:szCs w:val="16"/>
        </w:rPr>
        <w:softHyphen/>
        <w:t>ставке Талицкому ацетоновому заводу ежемесячно по 9 тыс.кбм. дров.</w:t>
      </w:r>
    </w:p>
    <w:p w14:paraId="4DB92F83"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т.Соснина до 10 ноября с.г. поставить 9 тыс.кбм. дров и в дальнейшем ежемесячно поставлять но 9 тыс.кбм.</w:t>
      </w:r>
    </w:p>
    <w:p w14:paraId="54608C08" w14:textId="77777777" w:rsidR="00AD34DF" w:rsidRPr="00271E51" w:rsidRDefault="00AD34DF" w:rsidP="00271E51">
      <w:pPr>
        <w:tabs>
          <w:tab w:val="left" w:pos="106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21. Обязать </w:t>
      </w:r>
      <w:r w:rsidRPr="00271E51">
        <w:rPr>
          <w:rFonts w:ascii="Times New Roman" w:hAnsi="Times New Roman"/>
          <w:color w:val="000000" w:themeColor="text1"/>
          <w:sz w:val="16"/>
          <w:szCs w:val="16"/>
          <w:lang w:val="en-US"/>
        </w:rPr>
        <w:t>HIC</w:t>
      </w:r>
      <w:r w:rsidRPr="00271E51">
        <w:rPr>
          <w:rFonts w:ascii="Times New Roman" w:hAnsi="Times New Roman"/>
          <w:color w:val="000000" w:themeColor="text1"/>
          <w:sz w:val="16"/>
          <w:szCs w:val="16"/>
        </w:rPr>
        <w:t>0 (т.Голикова) направить на бутаноловые заводы 30 человек специалистов из нестроевых командиров,ранее работавших на этих предприятиях, по списку,согласованному с Наркомпищепромом СССР.</w:t>
      </w:r>
    </w:p>
    <w:p w14:paraId="16E8E7C6" w14:textId="77777777" w:rsidR="00AD34DF" w:rsidRPr="00271E51" w:rsidRDefault="00AD34DF" w:rsidP="00271E51">
      <w:pPr>
        <w:tabs>
          <w:tab w:val="left" w:pos="10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Разрешить Нарнлмпицепрому СССР израсходовать 30 тонн отходов спирта для нужд автотранспорта Талицкого бутанолозого завода.</w:t>
      </w:r>
    </w:p>
    <w:p w14:paraId="00105ABE" w14:textId="77777777" w:rsidR="00AD34DF" w:rsidRPr="00271E51" w:rsidRDefault="00AD34DF" w:rsidP="00271E51">
      <w:pPr>
        <w:tabs>
          <w:tab w:val="left" w:pos="108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Обязать Главнефтеснаб при СНК СССР (т.Широкова) вы</w:t>
      </w:r>
      <w:r w:rsidRPr="00271E51">
        <w:rPr>
          <w:rFonts w:ascii="Times New Roman" w:hAnsi="Times New Roman"/>
          <w:color w:val="000000" w:themeColor="text1"/>
          <w:sz w:val="16"/>
          <w:szCs w:val="16"/>
        </w:rPr>
        <w:softHyphen/>
        <w:t>делить в ноябре-декабре с.г. дополнительно целевым назначением для бутаноловых заводов НКПП СССР равномерно по месяцам: бензина - 80 тонн, масла цилиндрового - 10 тонн, масла турбинного - б тонн и масла трансформаторного - 8 тонн.</w:t>
      </w:r>
    </w:p>
    <w:p w14:paraId="0E75ED43" w14:textId="77777777" w:rsidR="00AD34DF" w:rsidRPr="00271E51" w:rsidRDefault="00AD34DF" w:rsidP="00271E51">
      <w:pPr>
        <w:tabs>
          <w:tab w:val="left" w:pos="107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Обязать Наркомхимпром СССР (т.Первухина) до 10 ноября с.г. отгрузить для бутаноловых заводов Наркомпищепрома СССР дополнительно к его фондам: глауконита 30 тонн, тринатрфосфа- та 15 тонн и соляной кислоты 20 тонн.</w:t>
      </w:r>
    </w:p>
    <w:p w14:paraId="5D1BECB2" w14:textId="77777777" w:rsidR="00AD34DF" w:rsidRPr="00271E51" w:rsidRDefault="00AD34DF" w:rsidP="00271E51">
      <w:pPr>
        <w:tabs>
          <w:tab w:val="left" w:pos="10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Подтвердить постановление ГОКО № 3576с от 15 июня 1943 г. о поставке Докшукинскому заводу НКПП СССР кипятильных труб.</w:t>
      </w:r>
    </w:p>
    <w:p w14:paraId="1354497E"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Обязать Наркомчермет СССР (т.Тевосяна) поставить Нарком- пищепрому СССР по его спецификации для Докшукинского ацетоно</w:t>
      </w:r>
      <w:r w:rsidRPr="00271E51">
        <w:rPr>
          <w:rFonts w:ascii="Times New Roman" w:hAnsi="Times New Roman"/>
          <w:color w:val="000000" w:themeColor="text1"/>
          <w:sz w:val="16"/>
          <w:szCs w:val="16"/>
        </w:rPr>
        <w:softHyphen/>
        <w:t>вого завода 18 тонн кипятильных труб, с отгрузкой их до 10 ноября с.г.</w:t>
      </w:r>
    </w:p>
    <w:p w14:paraId="23942C75" w14:textId="77777777" w:rsidR="00AD34DF" w:rsidRPr="00271E51" w:rsidRDefault="00AD34DF" w:rsidP="00271E51">
      <w:pPr>
        <w:tabs>
          <w:tab w:val="left" w:pos="107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Разрешить Наркомпищепрому СССР (т.Пронину):</w:t>
      </w:r>
    </w:p>
    <w:p w14:paraId="067A5B80"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израсходовать в 1У квартале с.г. за счет остаткоз промышленности муки 40 тонн, макарон 20 тонн, масла раститель</w:t>
      </w:r>
      <w:r w:rsidRPr="00271E51">
        <w:rPr>
          <w:rFonts w:ascii="Times New Roman" w:hAnsi="Times New Roman"/>
          <w:color w:val="000000" w:themeColor="text1"/>
          <w:sz w:val="16"/>
          <w:szCs w:val="16"/>
        </w:rPr>
        <w:softHyphen/>
        <w:t>ного 10 тонн, консервов 15 туб и табака 3 тонны для выдачи рабочим, занятым на строительстве и эксплоатации бутаноловых заводов;</w:t>
      </w:r>
    </w:p>
    <w:p w14:paraId="1F14EC8F"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отгрузить в 1У квартале с.г. лакокрасочным заво</w:t>
      </w:r>
      <w:r w:rsidRPr="00271E51">
        <w:rPr>
          <w:rFonts w:ascii="Times New Roman" w:hAnsi="Times New Roman"/>
          <w:color w:val="000000" w:themeColor="text1"/>
          <w:sz w:val="16"/>
          <w:szCs w:val="16"/>
        </w:rPr>
        <w:softHyphen/>
        <w:t>дам НКХП для дополнительного питания рабочих,за счет ос</w:t>
      </w:r>
      <w:r w:rsidRPr="00271E51">
        <w:rPr>
          <w:rFonts w:ascii="Times New Roman" w:hAnsi="Times New Roman"/>
          <w:color w:val="000000" w:themeColor="text1"/>
          <w:sz w:val="16"/>
          <w:szCs w:val="16"/>
        </w:rPr>
        <w:softHyphen/>
        <w:t>татков промышленноетл, макаронных изделий 10 тонн, масла растительного 10 тонн и консервов - 10 туб.</w:t>
      </w:r>
    </w:p>
    <w:p w14:paraId="00C3E020" w14:textId="77777777" w:rsidR="00AD34DF" w:rsidRPr="00271E51" w:rsidRDefault="00AD34DF" w:rsidP="00271E51">
      <w:pPr>
        <w:tabs>
          <w:tab w:val="left" w:pos="110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Обязать Наркомздрав СССР (т.Митерева) поставить Наркомпищепрому СССР до 1 декабря 1943 г. 100 килограммов технического марганце-кислого калия.</w:t>
      </w:r>
    </w:p>
    <w:p w14:paraId="7579EB9C" w14:textId="77777777" w:rsidR="00AD34DF" w:rsidRPr="00271E51" w:rsidRDefault="00AD34DF" w:rsidP="00271E51">
      <w:pPr>
        <w:tabs>
          <w:tab w:val="left" w:pos="111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Обязать ККС (т-Смородинова) направить в ноябре с.г. на бутанолозые заводы Наркомпицепрома СССР 600 чело</w:t>
      </w:r>
      <w:r w:rsidRPr="00271E51">
        <w:rPr>
          <w:rFonts w:ascii="Times New Roman" w:hAnsi="Times New Roman"/>
          <w:color w:val="000000" w:themeColor="text1"/>
          <w:sz w:val="16"/>
          <w:szCs w:val="16"/>
        </w:rPr>
        <w:softHyphen/>
        <w:t>век из числа мобилизованных, непригодных к строевой служ</w:t>
      </w:r>
      <w:r w:rsidRPr="00271E51">
        <w:rPr>
          <w:rFonts w:ascii="Times New Roman" w:hAnsi="Times New Roman"/>
          <w:color w:val="000000" w:themeColor="text1"/>
          <w:sz w:val="16"/>
          <w:szCs w:val="16"/>
        </w:rPr>
        <w:softHyphen/>
        <w:t>бе, но годных к фу чической работе.</w:t>
      </w:r>
    </w:p>
    <w:p w14:paraId="6150C485" w14:textId="77777777" w:rsidR="00AD34DF" w:rsidRPr="00271E51" w:rsidRDefault="00AD34DF" w:rsidP="00271E51">
      <w:pPr>
        <w:tabs>
          <w:tab w:val="left" w:pos="10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Обязать Главснаблес при СНК СССР (т.Лопухова):</w:t>
      </w:r>
    </w:p>
    <w:p w14:paraId="729009A4" w14:textId="77777777" w:rsidR="00AD34DF" w:rsidRPr="00271E51" w:rsidRDefault="00AD34DF" w:rsidP="00271E51">
      <w:pPr>
        <w:tabs>
          <w:tab w:val="left" w:pos="99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обеспечения перевозки 9000 кбм.дров Талнцкому заводу НКПП СССР выделить в октябре е..г. Свертранлесу НКПС дополнительно 110 загонов под перевозку дров;</w:t>
      </w:r>
    </w:p>
    <w:p w14:paraId="1ACEC4ED" w14:textId="77777777" w:rsidR="00AD34DF" w:rsidRPr="00271E51" w:rsidRDefault="00AD34DF" w:rsidP="00271E51">
      <w:pPr>
        <w:tabs>
          <w:tab w:val="left" w:pos="100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выделить НКПС 25,000 кубометров дров, которые НКПС обязан поставить Телицкому заводу НКПП СССР,согласно распоряжению ГОКО </w:t>
      </w:r>
      <w:r w:rsidRPr="00271E51">
        <w:rPr>
          <w:rFonts w:ascii="Times New Roman" w:hAnsi="Times New Roman"/>
          <w:color w:val="000000" w:themeColor="text1"/>
          <w:sz w:val="16"/>
          <w:szCs w:val="16"/>
          <w:lang w:val="en-US"/>
        </w:rPr>
        <w:t>IP</w:t>
      </w:r>
      <w:r w:rsidRPr="00271E51">
        <w:rPr>
          <w:rFonts w:ascii="Times New Roman" w:hAnsi="Times New Roman"/>
          <w:color w:val="000000" w:themeColor="text1"/>
          <w:sz w:val="16"/>
          <w:szCs w:val="16"/>
        </w:rPr>
        <w:t xml:space="preserve"> 3907 от 11 августа с.г.</w:t>
      </w:r>
    </w:p>
    <w:p w14:paraId="096584C1" w14:textId="77777777" w:rsidR="00AD34DF" w:rsidRPr="00271E51" w:rsidRDefault="00AD34DF" w:rsidP="00271E51">
      <w:pPr>
        <w:tabs>
          <w:tab w:val="left" w:pos="110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Разрешитл Наркомхимпрому - т.Первухину организо</w:t>
      </w:r>
      <w:r w:rsidRPr="00271E51">
        <w:rPr>
          <w:rFonts w:ascii="Times New Roman" w:hAnsi="Times New Roman"/>
          <w:color w:val="000000" w:themeColor="text1"/>
          <w:sz w:val="16"/>
          <w:szCs w:val="16"/>
        </w:rPr>
        <w:softHyphen/>
        <w:t>вать для рабочих завода # 34 НКХП второе горячее питание в количестве 300 обе.,</w:t>
      </w:r>
      <w:r w:rsidRPr="00271E51">
        <w:rPr>
          <w:rStyle w:val="9pt1pt"/>
          <w:rFonts w:ascii="Times New Roman" w:hAnsi="Times New Roman" w:cs="Times New Roman"/>
          <w:color w:val="000000" w:themeColor="text1"/>
          <w:spacing w:val="0"/>
          <w:sz w:val="16"/>
          <w:szCs w:val="16"/>
        </w:rPr>
        <w:t>об</w:t>
      </w:r>
      <w:r w:rsidRPr="00271E51">
        <w:rPr>
          <w:rFonts w:ascii="Times New Roman" w:hAnsi="Times New Roman"/>
          <w:color w:val="000000" w:themeColor="text1"/>
          <w:sz w:val="16"/>
          <w:szCs w:val="16"/>
        </w:rPr>
        <w:t>.</w:t>
      </w:r>
    </w:p>
    <w:p w14:paraId="16A28CA0" w14:textId="77777777" w:rsidR="00AD34DF" w:rsidRPr="00271E51" w:rsidRDefault="00AD34D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Нарком</w:t>
      </w:r>
      <w:r w:rsidRPr="00271E51">
        <w:rPr>
          <w:rFonts w:ascii="Times New Roman" w:eastAsia="SimHei" w:hAnsi="Times New Roman"/>
          <w:color w:val="000000" w:themeColor="text1"/>
          <w:sz w:val="16"/>
          <w:szCs w:val="16"/>
        </w:rPr>
        <w:t>торгу СССР т.Любимову выделить Наркомхимпрому для</w:t>
      </w:r>
      <w:r w:rsidRPr="00271E51">
        <w:rPr>
          <w:rFonts w:ascii="Times New Roman" w:hAnsi="Times New Roman"/>
          <w:color w:val="000000" w:themeColor="text1"/>
          <w:sz w:val="16"/>
          <w:szCs w:val="16"/>
        </w:rPr>
        <w:t xml:space="preserve"> завода № 34 НКХП</w:t>
      </w:r>
      <w:r w:rsidRPr="00271E51">
        <w:rPr>
          <w:rFonts w:ascii="Times New Roman" w:eastAsia="SimHei" w:hAnsi="Times New Roman"/>
          <w:color w:val="000000" w:themeColor="text1"/>
          <w:sz w:val="16"/>
          <w:szCs w:val="16"/>
        </w:rPr>
        <w:t xml:space="preserve"> дополнительные фонды на продукты питания</w:t>
      </w:r>
      <w:r w:rsidRPr="00271E51">
        <w:rPr>
          <w:rFonts w:ascii="Times New Roman" w:hAnsi="Times New Roman"/>
          <w:color w:val="000000" w:themeColor="text1"/>
          <w:sz w:val="16"/>
          <w:szCs w:val="16"/>
        </w:rPr>
        <w:t xml:space="preserve"> (19425).</w:t>
      </w:r>
    </w:p>
    <w:p w14:paraId="74F9858D" w14:textId="77777777" w:rsidR="00D601B1" w:rsidRPr="00271E51" w:rsidRDefault="00D601B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5719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163F2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6250A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Постановление ГКО № 4392 Об увеличении выпуска оконного стекла и мерах неотложной помощи стекольной промышленности Наркомстройматериалов СССР. (7149, 50-58,59-84).</w:t>
      </w:r>
    </w:p>
    <w:p w14:paraId="10BD2D8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8753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Распоряжение ГКО № 4393. О приостановке перевыполнения планов производства электроэнергии и тепла, отмене премирования за выполнение плана выработки электроэнергии и тепла и увеличении премий за экономию топлива и электроэнергии.РГАНИР, Фонд ГКО, д. 166, лл. 85 (11012).</w:t>
      </w:r>
    </w:p>
    <w:p w14:paraId="16A026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02FB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Распоряжение ГКО № 4394. О мероприятиях по обеспечению действующих и восстанавливаемых в Донбассе и других освобождаемых районах электростанций НКЭС конденсаторными трубками.РГАНИР, Фонд ГКО, д. 166, лл. 86-87 (11012).</w:t>
      </w:r>
    </w:p>
    <w:p w14:paraId="2276C1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F01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Постановление ГКО № 4395 Об улучшении топливоснабжения и создании эксплуатационного запаса подмосковного угля на Каширской ГРЭС Мосэнерго.РГАНИР, Фонд ГКО, д. 166, лл. 88-89 (11012).</w:t>
      </w:r>
    </w:p>
    <w:p w14:paraId="2C1768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219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Распоряжение ГКО № 4396. О разрешении обмена Каменской ТЭЦ НКЭС и ТЭЦ Березниковского магниевого завода роторами цилиндра высокого давления турбины.РГАНИР, Фонд ГКО, д. 166, лл. 90 (11012).</w:t>
      </w:r>
    </w:p>
    <w:p w14:paraId="4C42D5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37E8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октября 1943 вышло Постановление ГКО № 4398 О выделении материальных ресурсов для закладки в государственный резерв на IV квартал 1943 г. (7149, 110-113,114-126).</w:t>
      </w:r>
    </w:p>
    <w:p w14:paraId="2A49ED1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96258" w14:textId="77777777" w:rsidR="004A3A7A"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5DEC5BF"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5334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22 октября </w:t>
      </w:r>
      <w:r w:rsidRPr="00271E51">
        <w:rPr>
          <w:rFonts w:ascii="Times New Roman" w:hAnsi="Times New Roman"/>
          <w:color w:val="000000" w:themeColor="text1"/>
          <w:sz w:val="16"/>
          <w:szCs w:val="16"/>
        </w:rPr>
        <w:t>в 1943 году оперативная сводка Совинформбюро:</w:t>
      </w:r>
    </w:p>
    <w:p w14:paraId="259D5DF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октября в районе севернее города Мелитополь наши войска, в результате упорных боёв, сломили сопротивление противника и овладели сильно укреплёнными опорными пунктами его обороны — Карачекрак, Эристовка, Украинка, Калиновка, Кренталь, Зелёный Гай, Ильиновка, Розенталь, Юртук, Канадский, Нейнассау, Ровное, Трудолюбимовка. В северной части города Мелитополь продолжались упорные уличные бои, в ходе которых наши войска нанесли противнику большие потери в живой силе и технике.</w:t>
      </w:r>
    </w:p>
    <w:p w14:paraId="2129F272"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города Кременчуг наши войска вели успешное наступлениеи, продвинувшись на отдельных участках вперёд от 6 до 10 километров, овладели районным центром Днепропетровской области городом Верхнеднепровск, а также заняли более 50 других населённых пунктов, среди которых крупные населённыепункты Лелековский 1-й, Корсуновка, Искровка, Андреевка, Саксагань, Посуньки, Вольные Хутора, Боровковка, Петровка, Червонное, Сошиновка, Ново-Николаевка, Мануиловка, Аулы и железнодорожные станции Эрастовка, Вольные Хутора, Верхнеднепровск.</w:t>
      </w:r>
    </w:p>
    <w:p w14:paraId="6146B79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Переяслав-Хмельницкий наши войска вели бои по расширению плацдарма на правом берегу Днепра и улучшили свои позиции.</w:t>
      </w:r>
    </w:p>
    <w:p w14:paraId="70FEBE5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преодолевая сопротивление противника, продолжали вести бои по расширению плацдарма на правом берегу Днепра и овладели сильно укреплёнными опорными пунктами противника Возок, Райск, Михалёвка, Городок, Тесны, Деражичи, Новая Лутава.</w:t>
      </w:r>
    </w:p>
    <w:p w14:paraId="77D9650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артиллерийско-миномётнаяп ерестрелка.</w:t>
      </w:r>
    </w:p>
    <w:p w14:paraId="6A0496D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октября наши войска на всех фронтах подбили и уничтожили 116 немецких танков. В воздушных боях и огнём зенитной артиллерии сбито 98 самолётов противника.»</w:t>
      </w:r>
    </w:p>
    <w:p w14:paraId="4D1B172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действия польской дивизии имени Тадеуша Костюшко насоветско-германском фронте.</w:t>
      </w:r>
    </w:p>
    <w:p w14:paraId="2354591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советско-германского фронта успешно действуют части первого польского корпуса под командованием генерал-майора Берлинга.</w:t>
      </w:r>
    </w:p>
    <w:p w14:paraId="75E97421"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Выполняя боевое задание советского командования, польские пехотинцы частей дивизии имени Тадеуша Костюшко и танкисты танковой части имени «Героев Вестерплатте» в районе местечка Л. прорвали оборону немцев и стремительной атакой выбили их из нескольких населённых пунктов. Противнику нанесён большой урон в живой силе и технике. Около 300 гитлеровцев, в том числе 13 немецких офицеров, сдались в плен полякам.</w:t>
      </w:r>
    </w:p>
    <w:p w14:paraId="1819147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Попытки противника остановить стремительное наступление польской пехоты путём массового применения пикирующих бомбардировщиков и контратак, поддержанных самоходными пушками «Фердинанд» и танками, не увенчались успехом. Контратаки немцев были отбиты с большими для них потерями. Гитлеровцы не выдерживали штыковых ударов и артиллерийского огня поляков.</w:t>
      </w:r>
    </w:p>
    <w:p w14:paraId="15330A7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Польские разведывательные подразделения, проникнув ночью в населённый пункт, занятый противником, уничтожили штаб немецкого пехотного батальона, захватили оперативную переписку, карты и другие документы.»</w:t>
      </w:r>
    </w:p>
    <w:p w14:paraId="6224A2D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Мелитополя наши войска сломили упорное сопротивление противника и, продвигаясь вперёд, овладели рядом сильно укреплённых пунктов. Немцы, пытаясь восстановить положение, предприняли несколько ожесточённых контратак. Советские части огнём артиллерии, миномётов и пехотного оружия отбили все контратаки противника и нанесли ему большой урон. В северной части города Мелитополь продолжались упорные уличные бои. В течение дня уничтожено до 1.500 немецких солдат и офицеров, подбито и сожжено 62 танка, 8 бронемашин, 20 самоходных орудий «Фердинанд» и несколько артиллерийских батарей противника. Захвачено у немцев 5 исправных танков, 19 орудий разного калибра, несколько складов боеприпасов и другие трофеи. Взято в плен более 200 гитлеровцев.</w:t>
      </w:r>
    </w:p>
    <w:p w14:paraId="3288BDE5"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города Кременчуг наши войска продолжали успешное наступление. Противник спешно перебросил в район прорыва несколько танковых и пехотных дивизий и оказывает упорное сопротивление. Наши войска, с боями продвигаясь вперёд, заняли свыше 50 населённых пунктов и ряд железнодорожных станций. Части Н-ского соединения, овладев сильными укреплениями противника, вышли на северные и восточные окраины города Верхнеднепровск. Ночью наши бойцы перешли в решительную атаку и после ожесточённого боя овладели городом и железнодорожной станцией Верхнеднепровск. Противник понёс большие потери в людях и технике.</w:t>
      </w:r>
    </w:p>
    <w:p w14:paraId="42E9CA3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38 немецких самолётов.</w:t>
      </w:r>
    </w:p>
    <w:p w14:paraId="1DFF798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Переяслав-Хмельницкий наши войска вели бои за расширение плацдарма на правом берегу реки Днепр. Противник, стремясь задержать продвижение наших войск, бросил в контратаки танковые части. В завязавшихся боях танкисты и артиллеристы подбили и сожгли 32 немецких танка. Отбив контратаки противника, бойцы Н-ского соединения продвинулись вперёд и улучшили свои позиции.</w:t>
      </w:r>
    </w:p>
    <w:p w14:paraId="6CE5BF7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течение дня провела 42 воздушных боя, в ходе которых сбито 22 немецких самолёта.</w:t>
      </w:r>
    </w:p>
    <w:p w14:paraId="44EF9532"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Южнее Речицы наши войска продвигались вперёд и заняли ряд населённых пунктов. В боях уничтожено до полка немецкой пехоты. Захвачено у противника 21 орудие, 87 пулемётов и другие трофеи. Взято 150 пленных.</w:t>
      </w:r>
    </w:p>
    <w:p w14:paraId="363B6BF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войскам противника и уничтожила до 40 полевыхи зенитных орудий и свыше 100 автомашин. В воздушных боях сбит 31 немецкий самолёт.</w:t>
      </w:r>
    </w:p>
    <w:p w14:paraId="20A9C38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Крыма, за последнее время пустил под откос 4 немецких воинских эшелона. В результате крушений разбиты 8 платформ с орудиями, 9 вагонов с боеприпасами, 12 цистерн с горючим и 18 вагонов с военными грузами. Группа партизан проникла в один населённый пункт и подожгла бензохранилище противника. Уничтожено 160 тонн бензина.</w:t>
      </w:r>
    </w:p>
    <w:p w14:paraId="2BBF52A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Гитлеровское командование, стремясь остановить наступление Красной Армии, перебрасывает пополнения с запада на советско-германский фронт.</w:t>
      </w:r>
    </w:p>
    <w:p w14:paraId="65D3DD5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юго-восточнее Кременчуга в плен солдат 5 роты 767 полка 376 немецкой пехотной дивизии Эрвин Флек заявил: «Наша дивизия прибыла на Восточный фронт 4 октября из Голландии. Головной эшелон выгрузился на станции Верховцево. Перед дивизией была поставлена задача оборонять и любой ценой удержать отведённый ей участок Днепровского рубежа».</w:t>
      </w:r>
    </w:p>
    <w:p w14:paraId="0BDF1D5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захвачена в плен группа солдат 82 немецкой пехотной дивизии. Пленный ефрейтор Вальтер Браун рассказал: «389 немецкая пехотная дивизия была уничтожена русскими под Сталинградом. После этого во Франции сформировали новую дивизию и присвоили ей 389 номер. Я служил в 10 роте 545 полка этой дивизии. В сентябре из Франции перебросили много войск в Россию. Офицеры нам говорили, что на Восточный фронт отправлены третьи батальоны почти всех пехотных полков. Во второй половине сентября 7 и 10 роты 545 полка в полном составе были включены в маршевый батальон и посланы на Восточный фронт. Мой земляк Генрих Кюлинг, служивший в 544 полку 389 дивизии, также очутился в России. Я встретил его в Киеве, куда он прибыл с другим маршевым батальоном».</w:t>
      </w:r>
    </w:p>
    <w:p w14:paraId="09743D3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севернее Гомеля обер-ефрейтор 260 немецкой пехотной дивизии Пауль Гильдемди сообщил: «Я находился в Норвегии, где служил в 367 полку 214 пехотной дивизии. Мы несли охрану побережья на линии Кристиансанд —Ставангер. 18 сентября 1943 года второй батальон 367 полка срочно погрузили на транспортное судно и направили в датский порт Оргус. Оттуда мы по железной дороге выехали в Россию по маршруту Фленсбург — Штаргард—Шнейдемюль— Бромберг —Варшава — Минск — Бобруйск. Из Бобруйска батальон на автомашинах доставили на передовые позиции и распределили по ротам 260 пехотной дивизии» (14807).</w:t>
      </w:r>
    </w:p>
    <w:p w14:paraId="4B5D0E78"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46A5409B" w14:textId="0D34BB60" w:rsidR="00736B3D" w:rsidRPr="00271E51" w:rsidRDefault="00736B3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0CEDE768" w14:textId="77777777" w:rsidR="00736B3D" w:rsidRPr="00271E51" w:rsidRDefault="00736B3D"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B050DAB"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22–23 октября (ночь) 1943 569 британских бомбардировщиков наносят удары по Касселлу, Германия, в ходе самого разрушительного налета со времен налета на Гамбург в июле 1943 года, с которым не было равных до 1944 года, когда в центре города вспыхнул огненный смерчь. Немецкие ночные истребители хорошо позиционированы для перехвата и британцы теряют 43 бомбардировщика (7,6 процента своих сил) (20376).</w:t>
      </w:r>
    </w:p>
    <w:p w14:paraId="4BEA3103" w14:textId="77777777" w:rsidR="00736B3D" w:rsidRPr="00271E51" w:rsidRDefault="00736B3D" w:rsidP="00271E51">
      <w:pPr>
        <w:spacing w:after="0" w:line="240" w:lineRule="auto"/>
        <w:jc w:val="both"/>
        <w:rPr>
          <w:rFonts w:ascii="Times New Roman" w:hAnsi="Times New Roman"/>
          <w:color w:val="0070C0"/>
          <w:sz w:val="16"/>
          <w:szCs w:val="16"/>
        </w:rPr>
      </w:pPr>
    </w:p>
    <w:p w14:paraId="72671C66"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22–23 октября (ночь) 1943 во время диверсионного налета на Франкфурт-на-Майне еще 36 бомбардировщиков разбрасываются бомбы и теряется еще один Ланкастер (20276).</w:t>
      </w:r>
    </w:p>
    <w:p w14:paraId="78B96CDD" w14:textId="77777777" w:rsidR="00736B3D" w:rsidRPr="00271E51" w:rsidRDefault="00736B3D" w:rsidP="00271E51">
      <w:pPr>
        <w:spacing w:after="0" w:line="240" w:lineRule="auto"/>
        <w:jc w:val="both"/>
        <w:rPr>
          <w:rFonts w:ascii="Times New Roman" w:hAnsi="Times New Roman"/>
          <w:color w:val="0070C0"/>
          <w:sz w:val="16"/>
          <w:szCs w:val="16"/>
        </w:rPr>
      </w:pPr>
    </w:p>
    <w:p w14:paraId="7C924534"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22–23 октября (ночь) 1943 наземная радиостанция Королевских ВВС в Англии начинает вещание, чтобы нарушить связь немецкого наземного диспетчера с ночными истребителями и дать ложные и сбивающие с толку указания немецким самолетам (20376).</w:t>
      </w:r>
    </w:p>
    <w:p w14:paraId="1275E3E3" w14:textId="77777777" w:rsidR="00736B3D" w:rsidRPr="00271E51" w:rsidRDefault="00736B3D" w:rsidP="00271E51">
      <w:pPr>
        <w:spacing w:after="0" w:line="240" w:lineRule="auto"/>
        <w:jc w:val="both"/>
        <w:rPr>
          <w:rFonts w:ascii="Times New Roman" w:hAnsi="Times New Roman"/>
          <w:color w:val="0070C0"/>
          <w:sz w:val="16"/>
          <w:szCs w:val="16"/>
        </w:rPr>
      </w:pPr>
    </w:p>
    <w:p w14:paraId="4C00E0DE" w14:textId="4CAC66BB"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8BF85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6707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23 октября 1943 по 2 января 1944 проводились гос. испытания И-220 МиГ с АМ-38Ф. Проектировался под АМ-39, но по приказы А.И.Шахурина поставили Ам-38Ф. П.М.Стефановский выполнил 31 полет и налетал 11 час. 4 мин. (766,10).</w:t>
      </w:r>
    </w:p>
    <w:p w14:paraId="799560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января 1944 А.E.Репин утвердил Акт по результатам гос. испытаний И-220 с АМ-38Ф и винтом АВ-5-Л126 (с-т конструкции М и Г производства з-да 155. Вариант И200 с высотным АМ-39. Летал П.М.Стефановский</w:t>
      </w:r>
    </w:p>
    <w:p w14:paraId="72978E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исполнитель: Пом нач. 3 отд. НИИ ВВС КА и-к А.С.Розанов</w:t>
      </w:r>
    </w:p>
    <w:p w14:paraId="3B3A95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Л-к-исп. 3 отд. П П.М.Стефановский</w:t>
      </w:r>
    </w:p>
    <w:p w14:paraId="517720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 определить ЛТД с-та И-220 с АМ-38Ф, как промежуточного вар-та с-та И-220 с мотором АМ-39, проверить работу вооружения и спецоборудования. Дать оценку конструктивного и производственного выполнения с-та</w:t>
      </w:r>
    </w:p>
    <w:p w14:paraId="621834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 испытаний: опытный с-т И-220 проектировался с высотным мотором АМ-39 как истребитель ведения активного воздушного боя на всех высотах.С-т построен заводом в конце 1942. По приказу НКАП А.И.Ш. на с-т установлен невысотный мотор АМ-38Ф для проведения первого этапа испытаний и получения предварительных рез-тов с последующей заменой мотора АМ-38Ф на мотор АМ-39. С-т представляет собой низкоплан смешанной конструкции с убирающимся в полете шасси и хвостовым колесом. Головная часть - металлическая, хвостовая - деревянная. Центроплан металлический, консоли - деревянные с металлическим лонжероном. Шасси - оригинальной конструкции: обжатие аммортизаторов увеличивается прогрессивно углу стоянки. С-т снабжен щитками Шренк и автоматическими предкрылками по всему размаху. Хвостовое оперение однокилевое со свободнонесущим стабилизатором.Ручное управление - жесткое, ножное - троссовое. Рули высоты, поворота, элероны снабжены аэродинамической и весовой компенсацией и имеют триммеры для балансировки по всем осям. Управление посадочными щитками, уборкой и выпуском шасси и тормозами - пневматическое.На с-те предусмотрен сброс подвижной части фонаря кабины л.</w:t>
      </w:r>
    </w:p>
    <w:p w14:paraId="558FF6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ВМГ. На с-те установлен серийный мотор АМ-38Ф с винтом АВ-5Л-126 диаметром 3.2 м.</w:t>
      </w:r>
    </w:p>
    <w:p w14:paraId="0EDE91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 мотора (разрешено применять 3:20 за 100 часов ресурса) составляет 1700 л/с при 2350 оборотах и Рк 1360 мм. Номинальная мощность у земли 1500 л/с при 2050 и Рк 1200 мм. В целях проверки лтд на режимах мотора АМ-39 на низких высотах мотору АМ-38Ф, при снятии летных характеристик, давались обороты 2150 при Рк 1180-1200 в соответствии с письмом-разрешением Зам. ГК з-да № 300 от 15 октября 1943.</w:t>
      </w:r>
    </w:p>
    <w:p w14:paraId="0B8B8F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Полная заправка горючего 464 л (346 кг) в одном баке мягкой конструкции типа ВИАМ-А3. Бак расположен в фюзеляже позади кабины л. Бак заполняется выхлопными газами от мотора. Кроме того, на с-те предусмотрена установка двух крыльевых баков общей емкостью 173 л (128 кг).</w:t>
      </w:r>
    </w:p>
    <w:p w14:paraId="0413E0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трубчать-пластинчатых водяных радиаторов типа ОП-429 (фронт 18,2 дм2, поверхность 32,8) расположены в носке цп в правой и левой его частях. Управление заслонками - электрическое (от УР-2) или автоматическое от автомата МТ-41.</w:t>
      </w:r>
    </w:p>
    <w:p w14:paraId="09A6C2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Сотовый м/р типа 553 (фронт 10,4, пов. 10,8) расположен в правом переднем зализе цп. Заслонка управляется вручную агрегатом УР-2.</w:t>
      </w:r>
    </w:p>
    <w:p w14:paraId="5D929C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Пушечное вооружение: На с-те в нормальном варианте вооружения установлено 2 синхронных пушки ШВАК 20мм, располагаемые под мотором с запасом патронов 150 на каждую. Перегрукзочный вариант предусматривает установку еще 2-х синхронных ШВАК над мотором с таким же б/з. Управление огнем - электропневматическое с пом. ПЭС-1 от э/кнопок на ручке управления. Стрельбу возможно вести только залпом (верхними или нижними пушками). Перезарядка пушек - пневматическая. На земле имеется механическая перезарядка. Гильзы и звенья выбрасываются наружу.</w:t>
      </w:r>
    </w:p>
    <w:p w14:paraId="5C9936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Бомбовое вооружение - с-т оборудован 2-мя балками для подвески по одной 100 кг бомбе. Управление троссовое или механическое АСИ-140 от кнопки на ручке. Прицел ПБП-1А (для стрельбы и бомбометания с пикирования).</w:t>
      </w:r>
    </w:p>
    <w:p w14:paraId="7CBCB5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Чпецоборудование с-т тмеет обычное для истребителя пилотажно-навигационное оборудование и оборудования контроля ВМГ. Особенностью является наличие автоматического электрорегулирования температуры воды (АРТ-41).</w:t>
      </w:r>
    </w:p>
    <w:p w14:paraId="6E86C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Электрооборудование выполнено по однопроводной схеме с частичной электроизоляцией (зажигание мотора и проводка от генератора к щитку).</w:t>
      </w:r>
    </w:p>
    <w:p w14:paraId="4473BB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Источник тока - генератор ГС-350 и аккумуляторная батарея А2А-10. Система защиты централизована (на электрощитке в кабине пилота) и осуществляется плавкими вставками.</w:t>
      </w:r>
    </w:p>
    <w:p w14:paraId="26E4DF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ночных полетов установлены фары ФС-150 и ВНО. Освещение приборов в кабине двумя кабинными лампами и двумя лампами УФО</w:t>
      </w:r>
    </w:p>
    <w:p w14:paraId="3561CE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Имеется электрообогрев трубки Пито и часов.</w:t>
      </w:r>
    </w:p>
    <w:p w14:paraId="042DF6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Средства радиосвязи состоят из приемо-передатчика РСИ-4, установленной в хвостовой части фюзеляжа. Управление р/п дистанционное при помощи гибкого валика конструкции НИСО НКАП. Включение р/п в полете осуществляется кнопкой на сектиоре газа.</w:t>
      </w:r>
    </w:p>
    <w:p w14:paraId="725081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Антенна наружная однолучевая. (без мачты), протянутая от киля к штырю, расположенному за кабиной.</w:t>
      </w:r>
    </w:p>
    <w:p w14:paraId="1590B4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Кислородное оборудование состоит из прибора КПА-3бис и 4-х литрового баллона, а также штуцера бортовой заправки.</w:t>
      </w:r>
    </w:p>
    <w:p w14:paraId="6B7C69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Вспомогательное оборудование - сигнальный пистолет КП-3 на 6 шпангоуте и малая аптечка</w:t>
      </w:r>
    </w:p>
    <w:p w14:paraId="1EE990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Бронирование: бронеспинка 8 мм и бронезаголовник 13 мм</w:t>
      </w:r>
    </w:p>
    <w:p w14:paraId="0167AE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Сккорострельность пушки ШВАК 757 выст/м Продолжительность непрерывной стрельбы 11,4 с. Вес секундного залпа 2-х пушек - 2,518 кг. Вес снаряда - 96 г.</w:t>
      </w:r>
    </w:p>
    <w:p w14:paraId="01A314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Испытания начаты 23 октября 1943 и закончены 2 января 1944. Выполнен 31 полет с налетом 31:11</w:t>
      </w:r>
    </w:p>
    <w:p w14:paraId="6851A8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испытаний:</w:t>
      </w:r>
    </w:p>
    <w:p w14:paraId="1FB745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2936, центровка при выпущенных шасси 14,6, капотажный угол 23:35</w:t>
      </w:r>
    </w:p>
    <w:p w14:paraId="54E316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Нормальный полетный - 3574 - 23,6 - 29:25</w:t>
      </w:r>
    </w:p>
    <w:p w14:paraId="26EE38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Перегрузочный - 3720 - 23,2 28:3</w:t>
      </w:r>
    </w:p>
    <w:p w14:paraId="1BFA36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Нормальная нагрузка:</w:t>
      </w:r>
    </w:p>
    <w:p w14:paraId="690223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- 90</w:t>
      </w:r>
    </w:p>
    <w:p w14:paraId="12255F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Горючее (уд. Вес 0,745) 346</w:t>
      </w:r>
    </w:p>
    <w:p w14:paraId="3ECE53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 - 40</w:t>
      </w:r>
    </w:p>
    <w:p w14:paraId="0C6800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- 78</w:t>
      </w:r>
    </w:p>
    <w:p w14:paraId="0CF06B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б/з - 68</w:t>
      </w:r>
    </w:p>
    <w:p w14:paraId="7E470A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Оборудование - 16 (рация, кислородный баллон)</w:t>
      </w:r>
    </w:p>
    <w:p w14:paraId="065AFB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638</w:t>
      </w:r>
    </w:p>
    <w:p w14:paraId="6B762E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 Нагрузка - 2хШВАК - 78, б/з - 68, всего 146 кг</w:t>
      </w:r>
    </w:p>
    <w:p w14:paraId="2FE7D0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572 (при 2150 Рк 1180 или 608 при форсаже (2350 Рк 1350</w:t>
      </w:r>
    </w:p>
    <w:p w14:paraId="6B2FC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Максю. Скорость на гр. высотности 2600 - 622 и 652</w:t>
      </w:r>
    </w:p>
    <w:p w14:paraId="221061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Скороподъемность не определялась ввиду того, что для уборки шасси требовалось уменьшить скорость набора высоты до 220 км/час по приборами создавать отрицательную перегрузку - делать клевок.</w:t>
      </w:r>
    </w:p>
    <w:p w14:paraId="6987E7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 - 295, скорость отрыва 160, взлетная дистанция 920</w:t>
      </w:r>
    </w:p>
    <w:p w14:paraId="1DD2A9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Пробег 445, скорость посадочная 130, дистанция 960 по бетону</w:t>
      </w:r>
    </w:p>
    <w:p w14:paraId="35CFFE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 1000 м вращение одинарное - левый на 350-340 - 19</w:t>
      </w:r>
    </w:p>
    <w:p w14:paraId="075D28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правый на 350-340 - 20</w:t>
      </w:r>
    </w:p>
    <w:p w14:paraId="1BEC2D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Набор высоты за боевой разворот - 1000 м с 500</w:t>
      </w:r>
    </w:p>
    <w:p w14:paraId="4E9AB4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двухсторонней радиосвязи с р/с 11-К на 1000 м - до 25 км, на 2000 - до 20 км</w:t>
      </w:r>
    </w:p>
    <w:p w14:paraId="200EA8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 облета - Стефановский, Кочетков, Хоияков, Кубышкин - дали положительную оценку. Хорошие лтд, мощное ворружение, прост в пилотировании.</w:t>
      </w:r>
    </w:p>
    <w:p w14:paraId="6D66C1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форсеже имеет преимущества перед Ме-109 -</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2 до 5000 м. С-т желательно иметь на вооружении ВВС КА</w:t>
      </w:r>
    </w:p>
    <w:p w14:paraId="1A222B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Эксплуатационная оценка - ст т-исп. 3 отд. НИИ ВВС КА безбаш от 5 января - в целом эксплуатация не сложнее эксплуатации истребителей, состоящих на вооружении ВВС</w:t>
      </w:r>
    </w:p>
    <w:p w14:paraId="2BEE72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w:t>
      </w:r>
    </w:p>
    <w:p w14:paraId="75B533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43848F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наличие несильного бафтинга хвостового оперения при парашютировании</w:t>
      </w:r>
    </w:p>
    <w:p w14:paraId="4F77C8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потеря эффективности РВ на посадке, усложняет исправление грубой посадки </w:t>
      </w:r>
    </w:p>
    <w:p w14:paraId="414F64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неудовлетворительный обзор задней и средней п/с и искажения козырька прри обзоре вперед</w:t>
      </w:r>
    </w:p>
    <w:p w14:paraId="1DD995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малый радиус действия</w:t>
      </w:r>
    </w:p>
    <w:p w14:paraId="3F3B22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большая нагрузка на колеса для размера 650х200</w:t>
      </w:r>
    </w:p>
    <w:p w14:paraId="5AAF1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недорустимо большая девиация магнитного компаса, что усложняет ориентирование.</w:t>
      </w:r>
    </w:p>
    <w:p w14:paraId="09E06A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Подписали 5 января Кочетков и Хомяков.</w:t>
      </w:r>
    </w:p>
    <w:p w14:paraId="016AB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76F5D6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установке на с-т мотора АМ-39 и АМ-39ТК с-т И-220 может быть успешно использован в качестве высотного истребителя, т.к. по данным заводских испытаний имеет преимущества в максимальной скорости по сравнению с Ла-5ФН и ЯК-3ПФ с высот 5000-6000 м и по сравнению с Як-3 107А с высот 7000-75000 м</w:t>
      </w:r>
    </w:p>
    <w:p w14:paraId="5022CF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Такой с-т как специальный тип крайне необходим ВВС</w:t>
      </w:r>
    </w:p>
    <w:p w14:paraId="626C23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Просить НКАП т. А.И.Ш. дать указания об ускорении доводки АМ-39 по предъявлению с-та И-220 с этим мотором на ГИ. От 1 января 1944 (766,5).</w:t>
      </w:r>
    </w:p>
    <w:p w14:paraId="699F3E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C1B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был утвержден отчет о гос. испытаниях Як-3-ВК105ПФ (300,4).</w:t>
      </w:r>
    </w:p>
    <w:p w14:paraId="4025B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50B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А.E.Репин утвердил отпечатанный 14 октября 1943 Акт по гос. испытаниям опытного самолета Як-1М Дублер с М-105ПФ и винтом ВИШ-105СВ-01.</w:t>
      </w:r>
    </w:p>
    <w:p w14:paraId="1F632F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испыт. п/мли 3 ст. и/кт Г.А.Седов, ли НИИ ВВС и/кт Л.Г.Прошаков (823).</w:t>
      </w:r>
    </w:p>
    <w:p w14:paraId="3B2628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постройки завода № 115 сентября 1943 г. (пост. ГОКО № 2603 от 9 декабря 1942 г.).</w:t>
      </w:r>
    </w:p>
    <w:p w14:paraId="41E0F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имеет 4 б/б вместо 2 на Як-1М</w:t>
      </w:r>
    </w:p>
    <w:p w14:paraId="6E9D5E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фонарь с аварийным сбрасыванием типа Спитфайр</w:t>
      </w:r>
    </w:p>
    <w:p w14:paraId="263720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Полотняная обшивка фюзеляжа заменена фанерной толщ. 2 мм</w:t>
      </w:r>
    </w:p>
    <w:p w14:paraId="2BE538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Автоматический стопор хвостового колеса совмещен с РВ жесткой тягой</w:t>
      </w:r>
    </w:p>
    <w:p w14:paraId="13A79E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заголовник и подголовник (длина 500 м вместо 150 мм)</w:t>
      </w:r>
    </w:p>
    <w:p w14:paraId="20835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Спереди бронированной плиты нет</w:t>
      </w:r>
    </w:p>
    <w:p w14:paraId="6A0BF8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Общая емкость б/баков увеличена до 275 кг</w:t>
      </w:r>
    </w:p>
    <w:p w14:paraId="6858AB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мотор-пушки ШВАК с запасом патронов 120 шт. и 1хУБС с зап. Патр. 200 шт. установлена мотор-пушка ША-20м с б/з 110 шт и 2хУБС с запасом патронов 150 шт. Пушка ША-20м госиспытаний не проходила</w:t>
      </w:r>
    </w:p>
    <w:p w14:paraId="2CB767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Кольцевой прицел с мушкой заменен коллиматорным прицелом ПБП-1а</w:t>
      </w:r>
    </w:p>
    <w:p w14:paraId="1302B1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Наддув мотора увеличен с 1050 до 1100 мм.</w:t>
      </w:r>
    </w:p>
    <w:p w14:paraId="696985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 винт СВ-01 д. 3 м</w:t>
      </w:r>
    </w:p>
    <w:p w14:paraId="103000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2105, нормальный полетный - 2600 кг Всего нагрузки 555 кг</w:t>
      </w:r>
    </w:p>
    <w:p w14:paraId="1C9436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2700 оборотов с наддувом 1100 - 570 км/час</w:t>
      </w:r>
    </w:p>
    <w:p w14:paraId="7D0E6B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 гр. высотности 2300 м - 624 км/час</w:t>
      </w:r>
    </w:p>
    <w:p w14:paraId="2D38C3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 высотности на 4300 м - 651 км/час</w:t>
      </w:r>
    </w:p>
    <w:p w14:paraId="75BEFE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м - 648 км/час</w:t>
      </w:r>
    </w:p>
    <w:p w14:paraId="3B40FE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5000 м - 4,1</w:t>
      </w:r>
    </w:p>
    <w:p w14:paraId="475EDF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10800 м, время набора - 24,6 м</w:t>
      </w:r>
    </w:p>
    <w:p w14:paraId="1DB547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границе переключения нагнетателя скорость - 620 км/час - переключение 3200 м</w:t>
      </w:r>
    </w:p>
    <w:p w14:paraId="4E952A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Заслонка радиатора по потоку. Водорадиатор открываеется на 170 мм, масло радиатор - на 60 мм</w:t>
      </w:r>
    </w:p>
    <w:p w14:paraId="4B840E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 Скорость</w:t>
      </w:r>
    </w:p>
    <w:p w14:paraId="242E53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 - 23</w:t>
      </w:r>
    </w:p>
    <w:p w14:paraId="20402B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гр. высотности 1400 м 23,7</w:t>
      </w:r>
    </w:p>
    <w:p w14:paraId="58E26F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 гр. высотности 3250 м 20,2</w:t>
      </w:r>
    </w:p>
    <w:p w14:paraId="01D3CF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8000 м 7,8</w:t>
      </w:r>
    </w:p>
    <w:p w14:paraId="35CC8A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Вираж на 1000 м - 16-17, высота набора при б/р 1250-1300, на 5000 м - 22-23, высота набора при б/р 1000-1100 м</w:t>
      </w:r>
    </w:p>
    <w:p w14:paraId="02E8C1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на наивыгоднейшем режиме - высота 1000 м, скорость 295 при 1700 об. Рк 860 - 9000 км, время - 2,55</w:t>
      </w:r>
    </w:p>
    <w:p w14:paraId="365C42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Летная оценка: с-т Як-1м необходимо немедленно запускать в серийное пр-во вместо Як-1 и Як-7</w:t>
      </w:r>
    </w:p>
    <w:p w14:paraId="0C78AA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Прошаков - 22 октября 1943</w:t>
      </w:r>
    </w:p>
    <w:p w14:paraId="0C3A3A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на машине летать приятно и мое мнение - как можно быстрее запускать в серийное пр-во</w:t>
      </w:r>
    </w:p>
    <w:p w14:paraId="30EF6C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 19 гв КИАП гв п/п Шестаков 13 октября 1943</w:t>
      </w:r>
    </w:p>
    <w:p w14:paraId="6C1A69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Учитывая отличные летные данные с-та, хорошее вооружение и большое удобство для летного состава - целесообразно рекомендоватьь, как можно быстрее, внедрить </w:t>
      </w:r>
      <w:r w:rsidRPr="00271E51">
        <w:rPr>
          <w:rFonts w:ascii="Times New Roman" w:hAnsi="Times New Roman"/>
          <w:color w:val="000000" w:themeColor="text1"/>
          <w:sz w:val="16"/>
          <w:szCs w:val="16"/>
        </w:rPr>
        <w:lastRenderedPageBreak/>
        <w:t xml:space="preserve">данный с-т в серийное пр-во, поставив задачу, после освоения Як-1м на одном из заводов, перейти целиком на пр-во их на заводах, выпускающих Як-1 и Як-7. Необходимо оставить только Як-9 для установки на них в дальнейшем М-107А </w:t>
      </w:r>
    </w:p>
    <w:p w14:paraId="4C509D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Стефановский 16 октября 1943</w:t>
      </w:r>
    </w:p>
    <w:p w14:paraId="4BC51E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Облет - Хоияков, Антипов, Кубышкин</w:t>
      </w:r>
    </w:p>
    <w:p w14:paraId="642FC7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в кратчайшее время дать это с-т на на вооружение боевых частей ВВС КА</w:t>
      </w:r>
    </w:p>
    <w:p w14:paraId="180934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Антипов 16 октября 1943</w:t>
      </w:r>
    </w:p>
    <w:p w14:paraId="342210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всем данным с-т является самым лучшим истребителем . Необходимо как можно быстрее запустить с-т в серийную постройку</w:t>
      </w:r>
    </w:p>
    <w:p w14:paraId="19E7E2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Кубышкин 15 октября 1943</w:t>
      </w:r>
    </w:p>
    <w:p w14:paraId="6FE7F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306060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Рекомендовать для запуска в серийное пр-во дублер с вооружением 1х20 с б/з 120 и 2хУБС с б/з 350</w:t>
      </w:r>
    </w:p>
    <w:p w14:paraId="7C72EE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Сфаронов Лосюков 22 октября 1944 (823).</w:t>
      </w:r>
    </w:p>
    <w:p w14:paraId="60463A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65CDD" w14:textId="77777777" w:rsidR="00736B3D" w:rsidRPr="00271E51" w:rsidRDefault="00736B3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октября 1943 Главный инженер ВВС Репин утвердил Акт по результатам госиспытаний «дублера Москита» (третьего летного образца Як-1М). Замечания были оперативно устранены, что подтвердили дополнительные полеты летчика Кочеткова и контрольный облет, который выполнил П. М. Стефановский (22751).</w:t>
      </w:r>
    </w:p>
    <w:p w14:paraId="7D75598E" w14:textId="77777777" w:rsidR="00736B3D" w:rsidRPr="00271E51" w:rsidRDefault="00736B3D" w:rsidP="00271E51">
      <w:pPr>
        <w:spacing w:after="0" w:line="240" w:lineRule="auto"/>
        <w:jc w:val="both"/>
        <w:rPr>
          <w:rFonts w:ascii="Times New Roman" w:hAnsi="Times New Roman"/>
          <w:color w:val="0070C0"/>
          <w:sz w:val="16"/>
          <w:szCs w:val="16"/>
        </w:rPr>
      </w:pPr>
    </w:p>
    <w:p w14:paraId="013265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ИТП М-2 Н.Н.П. передали на испытания.</w:t>
      </w:r>
    </w:p>
    <w:p w14:paraId="056EBB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041EB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907A5" w:rsidRPr="00271E51" w14:paraId="0ACA998F" w14:textId="77777777" w:rsidTr="00ED5B0A">
        <w:tc>
          <w:tcPr>
            <w:tcW w:w="3736" w:type="dxa"/>
            <w:tcBorders>
              <w:top w:val="single" w:sz="12" w:space="0" w:color="auto"/>
            </w:tcBorders>
          </w:tcPr>
          <w:p w14:paraId="29A120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256100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w:t>
            </w:r>
          </w:p>
        </w:tc>
        <w:tc>
          <w:tcPr>
            <w:tcW w:w="3736" w:type="dxa"/>
            <w:tcBorders>
              <w:top w:val="single" w:sz="12" w:space="0" w:color="auto"/>
            </w:tcBorders>
          </w:tcPr>
          <w:p w14:paraId="154B74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М-2</w:t>
            </w:r>
          </w:p>
        </w:tc>
      </w:tr>
      <w:tr w:rsidR="00A907A5" w:rsidRPr="00271E51" w14:paraId="6477C7F7" w14:textId="77777777" w:rsidTr="00ED5B0A">
        <w:tc>
          <w:tcPr>
            <w:tcW w:w="3736" w:type="dxa"/>
          </w:tcPr>
          <w:p w14:paraId="1971B2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3736" w:type="dxa"/>
          </w:tcPr>
          <w:p w14:paraId="39C98C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3736" w:type="dxa"/>
          </w:tcPr>
          <w:p w14:paraId="042A43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318299CF" w14:textId="77777777" w:rsidTr="00ED5B0A">
        <w:tc>
          <w:tcPr>
            <w:tcW w:w="3736" w:type="dxa"/>
          </w:tcPr>
          <w:p w14:paraId="623F4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в линии полета (м)</w:t>
            </w:r>
          </w:p>
        </w:tc>
        <w:tc>
          <w:tcPr>
            <w:tcW w:w="3736" w:type="dxa"/>
          </w:tcPr>
          <w:p w14:paraId="3184BB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8,95</w:t>
            </w:r>
          </w:p>
        </w:tc>
        <w:tc>
          <w:tcPr>
            <w:tcW w:w="3736" w:type="dxa"/>
          </w:tcPr>
          <w:p w14:paraId="4C13D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r>
      <w:tr w:rsidR="00A907A5" w:rsidRPr="00271E51" w14:paraId="3DA48BC7" w14:textId="77777777" w:rsidTr="00ED5B0A">
        <w:tc>
          <w:tcPr>
            <w:tcW w:w="3736" w:type="dxa"/>
          </w:tcPr>
          <w:p w14:paraId="7A5366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3736" w:type="dxa"/>
          </w:tcPr>
          <w:p w14:paraId="6C97CC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c>
          <w:tcPr>
            <w:tcW w:w="3736" w:type="dxa"/>
          </w:tcPr>
          <w:p w14:paraId="16866A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r>
      <w:tr w:rsidR="00A907A5" w:rsidRPr="00271E51" w14:paraId="18554328" w14:textId="77777777" w:rsidTr="00ED5B0A">
        <w:tc>
          <w:tcPr>
            <w:tcW w:w="3736" w:type="dxa"/>
          </w:tcPr>
          <w:p w14:paraId="6C9331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3736" w:type="dxa"/>
          </w:tcPr>
          <w:p w14:paraId="65CD9E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2598</w:t>
            </w:r>
          </w:p>
        </w:tc>
        <w:tc>
          <w:tcPr>
            <w:tcW w:w="3736" w:type="dxa"/>
          </w:tcPr>
          <w:p w14:paraId="1C5232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3095</w:t>
            </w:r>
          </w:p>
        </w:tc>
      </w:tr>
      <w:tr w:rsidR="00A907A5" w:rsidRPr="00271E51" w14:paraId="218ED507" w14:textId="77777777" w:rsidTr="00ED5B0A">
        <w:tc>
          <w:tcPr>
            <w:tcW w:w="3736" w:type="dxa"/>
          </w:tcPr>
          <w:p w14:paraId="19FE1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(кг)</w:t>
            </w:r>
          </w:p>
        </w:tc>
        <w:tc>
          <w:tcPr>
            <w:tcW w:w="3736" w:type="dxa"/>
          </w:tcPr>
          <w:p w14:paraId="433ED1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(3366)</w:t>
            </w:r>
          </w:p>
        </w:tc>
        <w:tc>
          <w:tcPr>
            <w:tcW w:w="3736" w:type="dxa"/>
          </w:tcPr>
          <w:p w14:paraId="5BF002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3820</w:t>
            </w:r>
          </w:p>
        </w:tc>
      </w:tr>
      <w:tr w:rsidR="00A907A5" w:rsidRPr="00271E51" w14:paraId="4026D98C" w14:textId="77777777" w:rsidTr="00ED5B0A">
        <w:tc>
          <w:tcPr>
            <w:tcW w:w="3736" w:type="dxa"/>
          </w:tcPr>
          <w:p w14:paraId="7F8F3E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крыло (кг/м2)</w:t>
            </w:r>
          </w:p>
        </w:tc>
        <w:tc>
          <w:tcPr>
            <w:tcW w:w="3736" w:type="dxa"/>
          </w:tcPr>
          <w:p w14:paraId="35705A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227</w:t>
            </w:r>
          </w:p>
        </w:tc>
        <w:tc>
          <w:tcPr>
            <w:tcW w:w="3736" w:type="dxa"/>
          </w:tcPr>
          <w:p w14:paraId="32569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w:t>
            </w:r>
          </w:p>
        </w:tc>
      </w:tr>
      <w:tr w:rsidR="00A907A5" w:rsidRPr="00271E51" w14:paraId="24A924F2" w14:textId="77777777" w:rsidTr="00ED5B0A">
        <w:tc>
          <w:tcPr>
            <w:tcW w:w="3736" w:type="dxa"/>
          </w:tcPr>
          <w:p w14:paraId="2D749E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(км/ч)</w:t>
            </w:r>
          </w:p>
        </w:tc>
        <w:tc>
          <w:tcPr>
            <w:tcW w:w="3736" w:type="dxa"/>
          </w:tcPr>
          <w:p w14:paraId="6DE45D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541</w:t>
            </w:r>
          </w:p>
        </w:tc>
        <w:tc>
          <w:tcPr>
            <w:tcW w:w="3736" w:type="dxa"/>
          </w:tcPr>
          <w:p w14:paraId="6CE83E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r>
      <w:tr w:rsidR="00A907A5" w:rsidRPr="00271E51" w14:paraId="7BDF7780" w14:textId="77777777" w:rsidTr="00ED5B0A">
        <w:tc>
          <w:tcPr>
            <w:tcW w:w="3736" w:type="dxa"/>
          </w:tcPr>
          <w:p w14:paraId="07FB2F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 скорость у земли на форсаже (км/ч)</w:t>
            </w:r>
          </w:p>
        </w:tc>
        <w:tc>
          <w:tcPr>
            <w:tcW w:w="3736" w:type="dxa"/>
          </w:tcPr>
          <w:p w14:paraId="4A6B8D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549</w:t>
            </w:r>
          </w:p>
        </w:tc>
        <w:tc>
          <w:tcPr>
            <w:tcW w:w="3736" w:type="dxa"/>
          </w:tcPr>
          <w:p w14:paraId="1B2F2D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r>
      <w:tr w:rsidR="00A907A5" w:rsidRPr="00271E51" w14:paraId="343404FA" w14:textId="77777777" w:rsidTr="00ED5B0A">
        <w:tc>
          <w:tcPr>
            <w:tcW w:w="3736" w:type="dxa"/>
          </w:tcPr>
          <w:p w14:paraId="46F863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высоте 5000 м (км/ч)</w:t>
            </w:r>
          </w:p>
        </w:tc>
        <w:tc>
          <w:tcPr>
            <w:tcW w:w="3736" w:type="dxa"/>
          </w:tcPr>
          <w:p w14:paraId="420A7B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645*</w:t>
            </w:r>
          </w:p>
        </w:tc>
        <w:tc>
          <w:tcPr>
            <w:tcW w:w="3736" w:type="dxa"/>
          </w:tcPr>
          <w:p w14:paraId="271D90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5CDF67C9" w14:textId="77777777" w:rsidTr="00ED5B0A">
        <w:tc>
          <w:tcPr>
            <w:tcW w:w="3736" w:type="dxa"/>
          </w:tcPr>
          <w:p w14:paraId="4AAFAB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3736" w:type="dxa"/>
          </w:tcPr>
          <w:p w14:paraId="5060E3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3736" w:type="dxa"/>
          </w:tcPr>
          <w:p w14:paraId="3012D0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r w:rsidR="00A907A5" w:rsidRPr="00271E51" w14:paraId="1046EC3A" w14:textId="77777777" w:rsidTr="00ED5B0A">
        <w:tc>
          <w:tcPr>
            <w:tcW w:w="3736" w:type="dxa"/>
            <w:tcBorders>
              <w:bottom w:val="single" w:sz="12" w:space="0" w:color="auto"/>
            </w:tcBorders>
          </w:tcPr>
          <w:p w14:paraId="019D64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(м)</w:t>
            </w:r>
          </w:p>
        </w:tc>
        <w:tc>
          <w:tcPr>
            <w:tcW w:w="3736" w:type="dxa"/>
            <w:tcBorders>
              <w:bottom w:val="single" w:sz="12" w:space="0" w:color="auto"/>
            </w:tcBorders>
          </w:tcPr>
          <w:p w14:paraId="0E269F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736" w:type="dxa"/>
            <w:tcBorders>
              <w:bottom w:val="single" w:sz="12" w:space="0" w:color="auto"/>
            </w:tcBorders>
          </w:tcPr>
          <w:p w14:paraId="7ABF1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r>
    </w:tbl>
    <w:p w14:paraId="0BE127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Скорость на высоте 6200 м</w:t>
      </w:r>
    </w:p>
    <w:p w14:paraId="57C41F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Максимальная скорость на 2500 м. на форсаже 650 км/ч</w:t>
      </w:r>
    </w:p>
    <w:p w14:paraId="1A0700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Время набора высоты (12016).</w:t>
      </w:r>
    </w:p>
    <w:p w14:paraId="199AF2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AA72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2FB83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E850E" w14:textId="77777777" w:rsidR="00473181" w:rsidRPr="00271E51" w:rsidRDefault="00473181" w:rsidP="00271E51">
      <w:pPr>
        <w:pStyle w:val="a3"/>
        <w:rPr>
          <w:color w:val="000000" w:themeColor="text1"/>
          <w:lang w:val="ru-RU"/>
        </w:rPr>
      </w:pPr>
      <w:r w:rsidRPr="00271E51">
        <w:rPr>
          <w:color w:val="000000" w:themeColor="text1"/>
          <w:lang w:val="ru-RU"/>
        </w:rPr>
        <w:t>23 октября 1943 года вопрос о подготовительных мерах, необходимых для производства новой башни, был поднят Малышевым когда он дал указание директорам танковых заводов сообщить свои соображения о сроках и порядке перехода к новой башне и необходимых мерах для его изготовления (РГАЭ. Ф. 8752. Оп. 4. Д. 368. Л. 37). Выяснилось, что для производства новой башни нужно ещё и литейное оборудование. Например, представивший спустя три дня свою оценку Ю. Е. Максарёв считал необходимым переделать на своём заводе три формовочные машины, изготовить 35 комплектов увеличенных опок и 50 тележек под опоки, отлить 6 подмодельных плит, установить вместо 5-тонного 10-тонный кран.</w:t>
      </w:r>
    </w:p>
    <w:p w14:paraId="3A733F5B" w14:textId="77777777" w:rsidR="00473181" w:rsidRPr="00271E51" w:rsidRDefault="00473181" w:rsidP="00271E51">
      <w:pPr>
        <w:pStyle w:val="a3"/>
        <w:rPr>
          <w:color w:val="000000" w:themeColor="text1"/>
          <w:lang w:val="ru-RU"/>
        </w:rPr>
      </w:pPr>
      <w:r w:rsidRPr="00271E51">
        <w:rPr>
          <w:color w:val="000000" w:themeColor="text1"/>
          <w:lang w:val="ru-RU"/>
        </w:rPr>
        <w:t>Нельзя не согласиться с мнением Михаила Свирина, что отказ от принятия на вооружение этого танка связан в первую очередь с опасениями временного снижения производства при освоении новой модели. Поскольку, как показали опыты А. А. Морозова, новая башня может быть размещена на корпусе танка Т-34, то легче будет освоить производство только новой башни, а не всего танка целиком. Несомненно, свой вклад в принятие этого решения внесли критически высокие потери в танках в ходе летней кампании 1943 года. Только на Курской дуге советские танковые войска потеряли свыше 10 тысяч боевых машин. Эти потери значительно превышали объемы текущего производства. Существовала опасность, что танковые войска без нарастающего потока техники с заводов утратят боеспособность.</w:t>
      </w:r>
    </w:p>
    <w:p w14:paraId="725254A8" w14:textId="77777777" w:rsidR="00473181" w:rsidRPr="00271E51" w:rsidRDefault="00473181" w:rsidP="00271E51">
      <w:pPr>
        <w:pStyle w:val="a3"/>
        <w:rPr>
          <w:color w:val="000000" w:themeColor="text1"/>
          <w:lang w:val="ru-RU"/>
        </w:rPr>
      </w:pPr>
      <w:r w:rsidRPr="00271E51">
        <w:rPr>
          <w:color w:val="000000" w:themeColor="text1"/>
          <w:lang w:val="ru-RU"/>
        </w:rPr>
        <w:t>для производства новой башни с расширенным погоном требовалось дополнительное количество карусельных станков большого диаметра и другое оборудование. Большая часть карусельных станков, используемых на предприятиях НКТП для обработки погона башни, могли быть использованы только при производстве стандартных башен Т-34. Карусельные станки с большим диаметром обрабатываемых деталей относились к категории уникального оборудования. В СССР такое оборудование не производилось. Единственный выход виделся в закупках карусельных станков в Великобритании и США, но их прибытие оттуда ожидалось не ранее февраля 1944 года. До этого момента станки, способные обрабатывать детали диаметром 1600 мм, имели всего два танковых завода: Кировский и № 112. Первый был полностью загружен программой производства танков ИС. Поэтому опытные работы, связанные с новой башней, временно переместились в Горький, хотя первый экземпляр Т- 34-85 был изготовлен в ноябре 1943 года на заводе № 183. Руководство отраслью поступило бы более разумно, если бы подняло вопрос о закупке карусельных станков большого диаметра ранее, скажем, ещё весной 1943 года, когда возникла необходимость установки в танк более мощной пушки. Но тогда его, видимо, остановили надежды на появление танковой пушки, сочетающей большую мощность с габаритами, допускающими размещение в стандартной башне Т-34 (12290).</w:t>
      </w:r>
    </w:p>
    <w:p w14:paraId="5B869FA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6A69ADC" w14:textId="77777777" w:rsidR="00B95E55" w:rsidRPr="00271E51" w:rsidRDefault="00B95E55" w:rsidP="00271E51">
      <w:pPr>
        <w:pStyle w:val="a3"/>
        <w:rPr>
          <w:color w:val="000000" w:themeColor="text1"/>
          <w:lang w:val="ru-RU"/>
        </w:rPr>
      </w:pPr>
      <w:r w:rsidRPr="00271E51">
        <w:rPr>
          <w:color w:val="000000" w:themeColor="text1"/>
          <w:lang w:val="ru-RU"/>
        </w:rPr>
        <w:t>23 октября 1943 начальнику ГАУ КА генерал-полковнику Яковлеву пришло сообщение из Артиллерийского комитета ГАУ со следующими предложениями:</w:t>
      </w:r>
    </w:p>
    <w:p w14:paraId="508FCCAD"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Все работы по 203-мм корпусной гаубице М-40 — прекратить.</w:t>
      </w:r>
    </w:p>
    <w:p w14:paraId="37ABF21F"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Оплату фактических затрат по отчетной калькуляции завода, за</w:t>
      </w:r>
      <w:r w:rsidRPr="00271E51">
        <w:rPr>
          <w:rFonts w:ascii="Times New Roman" w:hAnsi="Times New Roman"/>
          <w:color w:val="000000" w:themeColor="text1"/>
          <w:sz w:val="16"/>
          <w:szCs w:val="16"/>
        </w:rPr>
        <w:softHyphen/>
        <w:t>веренной районным инженером ГАУ Красной Армии в пределах стои</w:t>
      </w:r>
      <w:r w:rsidRPr="00271E51">
        <w:rPr>
          <w:rFonts w:ascii="Times New Roman" w:hAnsi="Times New Roman"/>
          <w:color w:val="000000" w:themeColor="text1"/>
          <w:sz w:val="16"/>
          <w:szCs w:val="16"/>
        </w:rPr>
        <w:softHyphen/>
        <w:t>мости, обусловленной договором» (17484).</w:t>
      </w:r>
    </w:p>
    <w:p w14:paraId="5A7470F8"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401EAE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года в отчете сказано следующее: «Благодаря боль</w:t>
      </w:r>
      <w:r w:rsidRPr="00271E51">
        <w:rPr>
          <w:rFonts w:ascii="Times New Roman" w:hAnsi="Times New Roman"/>
          <w:color w:val="000000" w:themeColor="text1"/>
          <w:sz w:val="16"/>
          <w:szCs w:val="16"/>
        </w:rPr>
        <w:softHyphen/>
        <w:t>шой скорости, танк М4А2 очень удобен для преследования, имеет большую маневренность. Вооружение вполне соответ</w:t>
      </w:r>
      <w:r w:rsidRPr="00271E51">
        <w:rPr>
          <w:rFonts w:ascii="Times New Roman" w:hAnsi="Times New Roman"/>
          <w:color w:val="000000" w:themeColor="text1"/>
          <w:sz w:val="16"/>
          <w:szCs w:val="16"/>
        </w:rPr>
        <w:softHyphen/>
        <w:t>ствует его конструкции, так как имеет осколочные и броне</w:t>
      </w:r>
      <w:r w:rsidRPr="00271E51">
        <w:rPr>
          <w:rFonts w:ascii="Times New Roman" w:hAnsi="Times New Roman"/>
          <w:color w:val="000000" w:themeColor="text1"/>
          <w:sz w:val="16"/>
          <w:szCs w:val="16"/>
        </w:rPr>
        <w:softHyphen/>
        <w:t>бойные снаряды (болванки), пробивная способность которых очень высокая. 75-мм пушка и два пулемета «Браунинг» в рабо</w:t>
      </w:r>
      <w:r w:rsidRPr="00271E51">
        <w:rPr>
          <w:rFonts w:ascii="Times New Roman" w:hAnsi="Times New Roman"/>
          <w:color w:val="000000" w:themeColor="text1"/>
          <w:sz w:val="16"/>
          <w:szCs w:val="16"/>
        </w:rPr>
        <w:softHyphen/>
        <w:t>те безотказны. К недостаткам танка относится большая вы</w:t>
      </w:r>
      <w:r w:rsidRPr="00271E51">
        <w:rPr>
          <w:rFonts w:ascii="Times New Roman" w:hAnsi="Times New Roman"/>
          <w:color w:val="000000" w:themeColor="text1"/>
          <w:sz w:val="16"/>
          <w:szCs w:val="16"/>
        </w:rPr>
        <w:softHyphen/>
        <w:t>сота, что является мишенью на поле боя.» Правда, первые танки указанного типа были еще не вполне хорошо заброни</w:t>
      </w:r>
      <w:r w:rsidRPr="00271E51">
        <w:rPr>
          <w:rFonts w:ascii="Times New Roman" w:hAnsi="Times New Roman"/>
          <w:color w:val="000000" w:themeColor="text1"/>
          <w:sz w:val="16"/>
          <w:szCs w:val="16"/>
        </w:rPr>
        <w:softHyphen/>
        <w:t>рованы. Так, в отчетах начала 1943 г. отмечалось следующее: «Броневая зашита новых американских средних танков, несмотря на большую толщину (55-60 мм) отличается не</w:t>
      </w:r>
      <w:r w:rsidRPr="00271E51">
        <w:rPr>
          <w:rFonts w:ascii="Times New Roman" w:hAnsi="Times New Roman"/>
          <w:color w:val="000000" w:themeColor="text1"/>
          <w:sz w:val="16"/>
          <w:szCs w:val="16"/>
        </w:rPr>
        <w:softHyphen/>
        <w:t>достаточной прочностью. Так, при испытаниях обстрелом на Гороховецком полигоне была пробита 45-мм остроголо</w:t>
      </w:r>
      <w:r w:rsidRPr="00271E51">
        <w:rPr>
          <w:rFonts w:ascii="Times New Roman" w:hAnsi="Times New Roman"/>
          <w:color w:val="000000" w:themeColor="text1"/>
          <w:sz w:val="16"/>
          <w:szCs w:val="16"/>
        </w:rPr>
        <w:softHyphen/>
        <w:t>вым бронебойным снарядом с дистанции 400 м, тогда как значение ПТП при данной толщине брони для 45-мм снаряда составляет всего 1'50-200м...</w:t>
      </w:r>
    </w:p>
    <w:p w14:paraId="741AB2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обстрел бортов танка из ПТРД патронами с вольфрамовым сердечником показал, что она может быть пробита уже с дистанции 500-100м...» (11135).</w:t>
      </w:r>
    </w:p>
    <w:p w14:paraId="3F4A7E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DFE8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4399 О продлении срока работы красноармейцев, выделенных дальневосточным предприятиям Наркомрыбпрома СССР по постановлению ГОКО от 17 января 1943 г. № 2788с.РГАНИР, Фонд ГКО, д. 166, лл. 127 (11012).</w:t>
      </w:r>
    </w:p>
    <w:p w14:paraId="53F0AB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1A5E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4400 О неотложных мероприятиях по восстановлению мельниц, крупорушек и зерноскладов Наркомзага в освобождаемых районах. (7149, 128-131,132-140).</w:t>
      </w:r>
    </w:p>
    <w:p w14:paraId="35A60FA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B3E5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23 октября 1943 вышло Постановление ГКО № 4401 О плане обеспечения антифризом Красной Армии и Военно-Морского Флота на зиму 1943/44 гг.РГАНИР, Фонд ГКО, д. 166, лл. 141, 142-146 (11012).</w:t>
      </w:r>
    </w:p>
    <w:p w14:paraId="168837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A56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4402 О плане заказов НКО, НКВМФ и НКВД СССР по вещевому имуществу и снаряжению на IV квартал 1943 г.РГАНИР, Фонд ГКО, д. 166, лл. 147-149, 150-205 (11012).</w:t>
      </w:r>
    </w:p>
    <w:p w14:paraId="418D99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0A8D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Распоряжение ГКО № 4403 [Об обеспечении подачи крытых вагонов для вывоза готовых боеприпасов.] (7149, 206).</w:t>
      </w:r>
    </w:p>
    <w:p w14:paraId="7B9A828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EF61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4405 Об освобождении тов. Алексеенко л. В. от обязанностей уполномоченного ГОКО по дровозаготовкам для железнодорожного транспорта по Мордовской АССР и о назначении тов. Белевича С.Г. уполномоченным ГОКО по дровозаготовкам для железнодорожного транспорта по Мордовской АССР. (7149, 211).</w:t>
      </w:r>
    </w:p>
    <w:p w14:paraId="1484E53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59723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Распоряжение ГКО № 4406 [О выделении в Распоряжение ГКО НКГБ СССР 150 рабочих из состава строительных батальонов на 6 месяцев.] (7149, 212).</w:t>
      </w:r>
    </w:p>
    <w:p w14:paraId="077FE45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81C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Распоряжение ГКО № 4407. О закреплении за предприятиями НКБ работающих на них заключенных , которые освобождаются в 1943 и первой половине 1944 г.РГАНИР, Фонд ГКО, д. 166, лл. 213 (11012).</w:t>
      </w:r>
    </w:p>
    <w:p w14:paraId="452972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2CCF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Распоряжение ГКО № 4408. Об ускорении проведения испытаний основных деталей моторов из сталей с 2% содержания никеля вместо 4,3%.РГАНИР, Фонд ГКО, д. 166, лл. 214 (11012).</w:t>
      </w:r>
    </w:p>
    <w:p w14:paraId="6C1B13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30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4409 О восстановлении производства акрихина и салициловых препаратов до уровня 1940 года.РГАНИР, Фонд ГКО, д. 166, лл. 215-219, 220-231 (11012).</w:t>
      </w:r>
    </w:p>
    <w:p w14:paraId="067260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DC3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4410 О закреплении за торфопредприятиями рабочих для проведения подготовительных работ к торфяному сезону 1944 года.РГАНИР, Фонд ГКО, д. 166, лл. 232-234, 235 (11012).</w:t>
      </w:r>
    </w:p>
    <w:p w14:paraId="5E3D6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30D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4411 О выдаче водки войсковым частям действующей армии.РГАНИР, Фонд ГКО, д. 166, лл. 236-239, 240-244 (11012).</w:t>
      </w:r>
    </w:p>
    <w:p w14:paraId="0E3FCA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02DD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92C1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B92E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октября </w:t>
      </w:r>
      <w:r w:rsidRPr="00271E51">
        <w:rPr>
          <w:rFonts w:ascii="Times New Roman" w:hAnsi="Times New Roman"/>
          <w:color w:val="000000" w:themeColor="text1"/>
          <w:sz w:val="16"/>
          <w:szCs w:val="16"/>
        </w:rPr>
        <w:t>в 1943 году оперативная сводка Совинформбюро:</w:t>
      </w:r>
    </w:p>
    <w:p w14:paraId="5BE03D8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4-го Украинского фронта после многодневных ожесточённых боёв 23 октября полностью овладели городом и железнодорожной станцией Мелитополь,важнейшим и сильно укреплённым узлом обороны противника на Южном направлении. Немцы придавали исключительно важное значение удержанию города Мелитополя и рубежа обороны по реке Молочная, как последней позиции, запиравшей подступы к Крыму и нижнему течению реки Днепра. Об этом свидетельствует тот факт, что офицеры на этом участке фронта получали тройной оклад жалованья, а все солдаты награждались железными крестами. Таким образом, этот мощный оборонительный рубеж немцев оказался прорванным на решающем участке.</w:t>
      </w:r>
    </w:p>
    <w:p w14:paraId="44A53D0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города Кременчуг наши войска, отбивая контратаки пехоты и танков противника, продолжали вести наступательные бои и заняли несколько населённых пунктов, среди них крупные населённые пункты Пушкарёвка, Верховцево.</w:t>
      </w:r>
    </w:p>
    <w:p w14:paraId="12243A3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Переяслав-Хмельницкий наши войска, отбивая контратаки крупных сил пехоты и танков противника, продолжали вести бои по расширению плацдарма на правом берегу Днепра и улучшили свои позиции.</w:t>
      </w:r>
    </w:p>
    <w:p w14:paraId="12D9708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преодолевая сопротивление противника, продолжали вести бои по расширению плацдарма на правом берегу Днепра и на отдельныхучастках продвинулись вперёд на несколько километров.</w:t>
      </w:r>
    </w:p>
    <w:p w14:paraId="3ABE8EC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3B78812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октября наши войска на всех фронтах подбили и уничтожили 138 немецких танков. В воздушных боях и огнём зенитной артиллерии сбито 74 самолёта противника.</w:t>
      </w:r>
    </w:p>
    <w:p w14:paraId="18FF574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сломили ожесточённое сопротивление противника и сегодня полностью овладели городом и железнодорожной станцией Мелитополь. В результате этой победы захвачен важнейший и сильно укреплённый узел обороны немцев, запиравший подступык Крыму и нижнему течению Днепра. Противник создал по реке Молочная мощную оборонительную полосу и шёл на любые потери в живой силе и технике, пытаясь удержать решающий участок этой линии — город Мелитополь. В дополнение к имеющимся силам на рубеж по реке Молочная немцы перебросили из Крыма и других участков фронта несколько пехотных дивизий, много танков, самоходных орудий и артиллерии. Наши войска после многодневных и упорных боёв прорвали оборону противника и выбили немцев из Мелитополя. В ходе этих боёв противник понёс исключительно тяжёлые потери. Только сегодня за день в северной части Мелитополя уничтожено свыше 4 тысяч немецких солдат и офицеров, а также подбито и сожжено 57 танков и 18 самоходных орудий противника. Захвачено много трофеев и взято в плен несколько сот гитлеровцев. Севернее Мелитополя наши войска продолжали наступление и заняли ряд населённых пунктов.</w:t>
      </w:r>
    </w:p>
    <w:p w14:paraId="16C3719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наши лётчики сбили в воздушных боях и уничтожили на одном из аэродромов противника 28 немецких самолётов.</w:t>
      </w:r>
    </w:p>
    <w:p w14:paraId="62EA90C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города Кременчуг наши войска, преодолевая сопротивление крупных сил противника, продолжали продвигаться вперёд и заняли несколько населённых пунктов. Неоднократные контратаки немецкой пехоты и танков успеха не имели. В течение дня уничтожено до полка пехоты противника. На другом участкеН-ская часть с трёх сторон атаковала немцев, оборонявших сильно укреплённый населённый пункт. После ожесточённой рукопашной схватки наши бойцы разгромили батальон немецкой пехоты, уничтожили 17 танков и самоходных орудий. Захвачены несколько артиллерийских батарей, склады с боеприпасами, инженерным имуществом и зерном. Взяты пленные.</w:t>
      </w:r>
    </w:p>
    <w:p w14:paraId="5BC17FC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Переяслав-Хмельницкий наши войска вели бои за расширение плацдарма на правом берегу Днепра и улучшили свои позиции. Противник бросил в контратаки крупные силы пехоты и танков. В бесплодных контратаках немцы потеряли только убитыми свыше 1.500 солдат и офицеров. На одном участке наши артиллеристы, отражая вражеские контратаки, подбили и сожгли 26 немецких танков. На другом участке бойцы Н-ской части уничтожили 7 вражеских танков и захватили12 орудий и склад боеприпасов.</w:t>
      </w:r>
    </w:p>
    <w:p w14:paraId="294FF2CD"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поддерживая действия наземных войск, в воздушных боях сбили 31 немецкий самолёт.</w:t>
      </w:r>
    </w:p>
    <w:p w14:paraId="7B225F7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вели бои за расширение плацдарма на правом берегуДнепра и на отдельных участках продвинулись вперёд. Особенно ожесточённые бои развернулись в районе одного населённого пункта. Противник неоднократно бросал в контратаки до полка пехоты и десятки танков. Советские части отбили контратаки гитлеровцев и нанесли им большой урон. Истреблено более 1.000 немецких солдат и офицеров, сожжено 11 танков и 4 самоходных орудия. Захвачено 16 орудий, 60 пулемётов и значительное число пленных.</w:t>
      </w:r>
    </w:p>
    <w:p w14:paraId="70B52C8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Эстонский партизанский отряд 18 октября совершил смелый налёт на железнодорожную станцию. В это время на станции происходила погрузка в вагоны солдат немецкого маршевого подразделения. Советские патриоты истребили 90 гитлеровцев. Остальные немецкие солдаты разбежались. Через несколько дней группа партизан этого же отряда напала на железнодорожную охрану, уничтожила 24 гитлеровца и взорвала в ряде мест железнодорожные пути.</w:t>
      </w:r>
    </w:p>
    <w:p w14:paraId="7179F7D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обер-лейтенант 6 немецкой пехотной дивизии Карл Н. рассказал: «У офицеров очень угнетённое состояние. Даже бывалые офицеры теперь, как огня, боятся окружения. Общее мнение сводится к тому, что немецкая армия очутилась в чрезвычайно тяжёлом положении. Значительная группа офицеров пришла к выводу, что теперь на победу Германии уже нет никакой надежды. Командир полка полковник Беккер издаёт приказы, но дисциплина расшатывается с каждым днём. За последнее время офицеры в узком кругу ругают и всячески поносят Гитлера. В моём присутствии один офицер назвал Гитлера пустышкой, другой —безумцем. Один старший офицер заявил, что Гитлер преступник, которого надо устранить».</w:t>
      </w:r>
    </w:p>
    <w:p w14:paraId="6F266B0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Жители хутора Цветки, Днепропетровской области, составили акт о злодеяниях немецко-фашистских захватчиков. В акте говорится: «Во время оккупации немцы установили в нашем хуторе свирепый режим. Они издевались над жителями, душили население непосильными налогами, бесконечными штрафами, отнимали у крестьян скот и имущество. 23 сентября немцы приказали всем мужчинам под страхом расстрела собираться на окопные работы. Всего явилось 24 человека. Гитлеровцы повели их в поле и там открыли по ним огонь из автоматов. Затем гитлеровские мерзавцы сложили расстрелянных в один ряд, засыпали половой и </w:t>
      </w:r>
      <w:r w:rsidRPr="00271E51">
        <w:rPr>
          <w:rFonts w:ascii="Times New Roman" w:hAnsi="Times New Roman"/>
          <w:color w:val="000000" w:themeColor="text1"/>
          <w:sz w:val="16"/>
          <w:szCs w:val="16"/>
        </w:rPr>
        <w:lastRenderedPageBreak/>
        <w:t>подожгли её. Наканун еотступления из хутора немецкие бандиты сожгли много домов колхозников, конюшню, два зернохранилища и другие колхозные постройки. Первыми виновниками и главными организаторами всех этих злодеяний мы считаем участкового коменданта Вильгельма Бремера, районного коменданта Ростша и окружного коменданта Карла Зиммерса. Они должны понести суровое наказание за совершённые ими преступления».</w:t>
      </w:r>
    </w:p>
    <w:p w14:paraId="2FE560C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хутора: Верниволя, Стасовский, Таран, Скороход,Шалимова, Чередниченко, Сухорукое, Стерник и другие.» (14808).</w:t>
      </w:r>
    </w:p>
    <w:p w14:paraId="0DBEC621"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6AC3A1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23 октября по 5 ноября 1943 состоялась Днепровская операция - часть битвы за Днепр. 25 освободили Днепропетровск и Днепродзержинск, продвинувшись на 50-60 км к западу от Днепра (2438,214).</w:t>
      </w:r>
    </w:p>
    <w:p w14:paraId="6E27D4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1053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вышло Постановление ГКО № 4404 [О передислокации авиационных школ ВВС КА.] (7149, 207-208,209-210).</w:t>
      </w:r>
    </w:p>
    <w:p w14:paraId="52D18C3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FCB1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года машину В-24D N 41-23891 уже включили в состав 890-го полка 45-й дивизии АДД. Самолет интенсивно эксплуатировался в дивизии до 5 ноября 1945 года, когда его списали на запчасти (3457,116).</w:t>
      </w:r>
    </w:p>
    <w:p w14:paraId="383E22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D9D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года ГКО подтвердил принятые ранее нормы отпуска алкоголя в армии. Те же 100 и 50 грамм. Однако в лимитный перечень расхода водки впервые попали части НКВД и железнодорожные войска, которые потребили с 25 ноября по 31 декабря 1943 года водки столько же, сколько весь Северо-Кавказский фронт. Изменения коснулись также проблем сдачи стеклотары и восстановления стратегических объектов тыла - водочных заводов. Сталин запретил "стекольным заводам Наркомлегпрома СССР и РСФСР производить продажу монопольной посуды другим организациям, помимо водочной промышленности Главспирта Наркомпищепрома СССР". Управление продовольственного снабжения Красной армии было обязано обеспечить в 45-дневный срок "возврат на водочные заводы с момента отгрузки водки не менее 50% стеклянной посуды и не менее 80% бочковой тары. Интендантским складам, получающим водку в местах производства, отпуск производить против завезенной посуды". Наркомторг, Центрсоюз и Наркомпищепром были обязаны принять меры "к сбору водочной тары в торговой сети города и села". Исполкомы ряда областей и главы правительств Удмуртской, Марийской и Башкирской автономных республик были привлечены к реализации задачи высшей государственной важности "в порядке платной трудгужповинности (трудовой и гужевой. - "Итоги")" по снабжению тыла возчиками с лошадьми. Например, для вывоза продукции пензенского стеклозавода имени Розы Люксембург необходимо было выделить 120 подвод. Решение ГКО также положило начало массовому восстановлению водочных заводов в СССР, находящихся в прифронтовой полосе и на освобожденной от немцев территории. Один только Наркомат черной металлургии поставил 176 тонн листового, сортового и кровельного железа на крыши водочных заводов и 240 тонн тарных гвоздей для изготовления ящиков. Глава путей сообщения Лазарь Каганович лично был упомянут как ответственный за "погрузку и перевозку спирта, посуды и ящичной дощечки для водочных заводов, поставляющих водку Красной Армии". По секретным приложениям к постановлениям Государственного комитета обороны можно зафиксировать, что пили в Красной армии на всех этапах войны, победных и не очень, примерно одинаково. В 1942 году за декабрь было выпито 5 млн. 691 тыс. литров водки, за тот же месяц 1943 года - 5 млн. 665 тыс. литров (7859).</w:t>
      </w:r>
    </w:p>
    <w:p w14:paraId="65100C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ABAF0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C67A5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0EC12"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октября 1943 первый полет Vickers Windsor (20376).</w:t>
      </w:r>
    </w:p>
    <w:p w14:paraId="14DD6767" w14:textId="77777777" w:rsidR="00350BE0" w:rsidRPr="00271E51" w:rsidRDefault="00350BE0" w:rsidP="00271E51">
      <w:pPr>
        <w:spacing w:after="0" w:line="240" w:lineRule="auto"/>
        <w:jc w:val="both"/>
        <w:rPr>
          <w:rFonts w:ascii="Times New Roman" w:hAnsi="Times New Roman"/>
          <w:color w:val="0070C0"/>
          <w:sz w:val="16"/>
          <w:szCs w:val="16"/>
        </w:rPr>
      </w:pPr>
    </w:p>
    <w:p w14:paraId="0CD48D5F"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октября 1943 – Первый полёт британского четырехмоторного тяжелого бомбардировщика Vickers Windsor, разработанного Барнсом Уоллисом и Рексом Пирсоном на заводе Виккерса-Армстронга в Брукленде.</w:t>
      </w:r>
    </w:p>
    <w:p w14:paraId="51403CC5"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"Виндзор" использовал фюзеляж геодезической конструкции и спроектированное Уоллисом крыло, которые Виккерс ранее использовал на бомбардировщиках "Уэллсли", "Веллингтон" и "Уорик". Конструкция крыла не имела лонжеронов, а представляла собой полый геодезический набор, проходящий через ферму фюзеляжа.</w:t>
      </w:r>
    </w:p>
    <w:p w14:paraId="28682171"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Построено три прототипа (22328).</w:t>
      </w:r>
    </w:p>
    <w:p w14:paraId="3DD7B7A7" w14:textId="77777777" w:rsidR="00350BE0" w:rsidRPr="00271E51" w:rsidRDefault="00350BE0" w:rsidP="00271E51">
      <w:pPr>
        <w:spacing w:after="0" w:line="240" w:lineRule="auto"/>
        <w:jc w:val="both"/>
        <w:rPr>
          <w:rFonts w:ascii="Times New Roman" w:hAnsi="Times New Roman"/>
          <w:color w:val="0070C0"/>
          <w:sz w:val="16"/>
          <w:szCs w:val="16"/>
        </w:rPr>
      </w:pPr>
    </w:p>
    <w:p w14:paraId="648C7DDC"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октября 1943 45 B-24 Liberators пятой армии ВВС совершают налет на Рабаул в сопровождении 47 P-38 Lightning (20376).</w:t>
      </w:r>
    </w:p>
    <w:p w14:paraId="7CC54972" w14:textId="77777777" w:rsidR="00350BE0" w:rsidRPr="00271E51" w:rsidRDefault="00350BE0" w:rsidP="00271E51">
      <w:pPr>
        <w:spacing w:after="0" w:line="240" w:lineRule="auto"/>
        <w:jc w:val="both"/>
        <w:rPr>
          <w:rFonts w:ascii="Times New Roman" w:hAnsi="Times New Roman"/>
          <w:color w:val="0070C0"/>
          <w:sz w:val="16"/>
          <w:szCs w:val="16"/>
        </w:rPr>
      </w:pPr>
    </w:p>
    <w:p w14:paraId="0F522FAE"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октября </w:t>
      </w:r>
      <w:r w:rsidRPr="00271E51">
        <w:rPr>
          <w:rFonts w:ascii="Times New Roman" w:hAnsi="Times New Roman"/>
          <w:color w:val="000000" w:themeColor="text1"/>
          <w:sz w:val="16"/>
          <w:szCs w:val="16"/>
        </w:rPr>
        <w:t>в 1943 году первый еврейский транспорт из Рима достигает лагеря Birkenau (14808).</w:t>
      </w:r>
    </w:p>
    <w:p w14:paraId="5EFBE260"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0028779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октября 1943 женщины лагеря Освенцим предприняли попытку восстания, убив самого садистского офицера лагеря Й. Шиллингера (в тот же день все восставшие были расстреляны) (4962).</w:t>
      </w:r>
    </w:p>
    <w:p w14:paraId="2B81636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CE539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октября </w:t>
      </w:r>
      <w:r w:rsidRPr="00271E51">
        <w:rPr>
          <w:rFonts w:ascii="Times New Roman" w:hAnsi="Times New Roman"/>
          <w:color w:val="000000" w:themeColor="text1"/>
          <w:sz w:val="16"/>
          <w:szCs w:val="16"/>
        </w:rPr>
        <w:t>в 1943 году железная дорога открывается на Бирме (14808).</w:t>
      </w:r>
    </w:p>
    <w:p w14:paraId="0F687C94"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367FF542"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23 октября </w:t>
      </w:r>
      <w:r w:rsidRPr="00271E51">
        <w:rPr>
          <w:rFonts w:ascii="Times New Roman" w:hAnsi="Times New Roman"/>
          <w:color w:val="000000" w:themeColor="text1"/>
          <w:sz w:val="16"/>
          <w:szCs w:val="16"/>
        </w:rPr>
        <w:t>в 1943 году подводная лодка "Звон" в своем пятом боевом походе обнаруживает японский конвой, состоящий из трех больших танкеров и двух транспортов. Охрану несет лишь один эсминец, который ходит кругами, обследуя район. Подводной лодке удается поднырнуть к самому конвою так, что она смешивается с кораблями японцев, и эсминец не может засечь ее радиолокатором. Почти в упор "Звон" дает залп пятью торпедами по танкерам, и поражает все три судна. Затем лодка собирается поразить транспорт, но он резко разворачивается и идет на таран. У лодки, зажатой между пылающими танкерами и транспортом, времени, чтобы уйти под воду, уже не остается. Нос транспорта нависает над "Звоном". Дальнейшее командир лодки капитан О`Кейн описывает следующим образом: "Это было как в мелодраматическом боевике. "Звон" метнулся прямо внутрь циркуляции транспорта, и, спасая корму, я приказал положить руль лево на борт. Транспорт открыл огонь из пушек и пулеметов. Однако снаряды проносились над нашими головами, не задевая лодки. Положение было отчаянным. Тут я взглянул на корму и увидел, что, на наше счастье, транспорту придется продолжить поворот, чтобы избежать столкновения с грузовым судном, которое также шло на таран. Наскоро прицепившись, я выстрелил веером торпеды из кормовых аппаратов с углом растворения, перекрывавшим длину обеих целей. В этот же момент грузовое судно врезалось в правую раковину транспорта. Столкновение и четыре торпеды "Звона" решили судьбу грузового судна: оно затонуло почти мгновенно, уйдя под воду с большим дифферентом на нос, а транспорт застыл на месте, задрав корму под углом в тридцать градусов".</w:t>
      </w:r>
    </w:p>
    <w:p w14:paraId="65F0C75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за один бой лодке удалось уничтожить пять кораблей (14808).</w:t>
      </w:r>
    </w:p>
    <w:p w14:paraId="611CDADA"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2B04D38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332F4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616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г самолёт Ю-52 - Л-37 (пилот П.М. Никитин), совершая рейс Уфа - Челябинск, упал и сгорел у станции Аша. Экипаж погиб (6393).</w:t>
      </w:r>
    </w:p>
    <w:p w14:paraId="09F5E3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4EC23"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24 октября 1943 в НИИ АВ совместно с ОКБ-16 были закончены предварительные испытания ра</w:t>
      </w:r>
      <w:r w:rsidRPr="00271E51">
        <w:rPr>
          <w:color w:val="000000" w:themeColor="text1"/>
          <w:sz w:val="16"/>
          <w:szCs w:val="16"/>
        </w:rPr>
        <w:softHyphen/>
        <w:t>боты при низких температурах пушек 11П, в гидро</w:t>
      </w:r>
      <w:r w:rsidRPr="00271E51">
        <w:rPr>
          <w:color w:val="000000" w:themeColor="text1"/>
          <w:sz w:val="16"/>
          <w:szCs w:val="16"/>
        </w:rPr>
        <w:softHyphen/>
        <w:t>тормоз которых вместо водоглицериновой смеси был залит керосин сорта «А».</w:t>
      </w:r>
    </w:p>
    <w:p w14:paraId="3E53BEAD"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проверки результатов стрельб на заво</w:t>
      </w:r>
      <w:r w:rsidRPr="00271E51">
        <w:rPr>
          <w:color w:val="000000" w:themeColor="text1"/>
          <w:sz w:val="16"/>
          <w:szCs w:val="16"/>
        </w:rPr>
        <w:softHyphen/>
        <w:t>де № 74 протоколом совещания при главном ин</w:t>
      </w:r>
      <w:r w:rsidRPr="00271E51">
        <w:rPr>
          <w:color w:val="000000" w:themeColor="text1"/>
          <w:sz w:val="16"/>
          <w:szCs w:val="16"/>
        </w:rPr>
        <w:softHyphen/>
        <w:t>женере завода С. С. Гиндинсоне от 17 ноября было принято решение «о переходе на заливку гидро</w:t>
      </w:r>
      <w:r w:rsidRPr="00271E51">
        <w:rPr>
          <w:color w:val="000000" w:themeColor="text1"/>
          <w:sz w:val="16"/>
          <w:szCs w:val="16"/>
        </w:rPr>
        <w:softHyphen/>
        <w:t>тормозов орудия 11П керосином по ОСТ 6460». Одновременно устанавливались новые правила перезарядки пушки в войсках и заменялись профи</w:t>
      </w:r>
      <w:r w:rsidRPr="00271E51">
        <w:rPr>
          <w:color w:val="000000" w:themeColor="text1"/>
          <w:sz w:val="16"/>
          <w:szCs w:val="16"/>
        </w:rPr>
        <w:softHyphen/>
        <w:t>лирующие шпонки, рекомендованные НИИ АВ ВВС. Протокол подписали: главный конструктор завода Лавренов, главный технолог завода А. Я. Фишер, представитель ОКБ-16 А. С. Суранов, военпред за</w:t>
      </w:r>
      <w:r w:rsidRPr="00271E51">
        <w:rPr>
          <w:color w:val="000000" w:themeColor="text1"/>
          <w:sz w:val="16"/>
          <w:szCs w:val="16"/>
        </w:rPr>
        <w:softHyphen/>
        <w:t>вода инженер-капитан Новоселов. Утвердил прото</w:t>
      </w:r>
      <w:r w:rsidRPr="00271E51">
        <w:rPr>
          <w:color w:val="000000" w:themeColor="text1"/>
          <w:sz w:val="16"/>
          <w:szCs w:val="16"/>
        </w:rPr>
        <w:softHyphen/>
        <w:t>кол старший военпред завода № 74 инженер-май</w:t>
      </w:r>
      <w:r w:rsidRPr="00271E51">
        <w:rPr>
          <w:color w:val="000000" w:themeColor="text1"/>
          <w:sz w:val="16"/>
          <w:szCs w:val="16"/>
        </w:rPr>
        <w:softHyphen/>
        <w:t>ор Конопкин.</w:t>
      </w:r>
    </w:p>
    <w:p w14:paraId="2DC6C306"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 день до этого совещания за подписью заме</w:t>
      </w:r>
      <w:r w:rsidRPr="00271E51">
        <w:rPr>
          <w:color w:val="000000" w:themeColor="text1"/>
          <w:sz w:val="16"/>
          <w:szCs w:val="16"/>
        </w:rPr>
        <w:softHyphen/>
        <w:t>стителя начальника Управления технической экс</w:t>
      </w:r>
      <w:r w:rsidRPr="00271E51">
        <w:rPr>
          <w:color w:val="000000" w:themeColor="text1"/>
          <w:sz w:val="16"/>
          <w:szCs w:val="16"/>
        </w:rPr>
        <w:softHyphen/>
        <w:t>плуатации ВВС генерал-майора Волкова в строевые части ушло указание № 121 УТЭ ВВС «О переходе на керосин в гидротормозах пушек калибра 37 мм ОКБ-16».</w:t>
      </w:r>
    </w:p>
    <w:p w14:paraId="3D347E4B"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соответствии с этим указанием в войсках должны были «штатную (водоглицериновую) смесь заменить «противооткатной» жидкостью (керосин сорт «А»), обеспечивавшую надежную работу пу</w:t>
      </w:r>
      <w:r w:rsidRPr="00271E51">
        <w:rPr>
          <w:color w:val="000000" w:themeColor="text1"/>
          <w:sz w:val="16"/>
          <w:szCs w:val="16"/>
        </w:rPr>
        <w:softHyphen/>
        <w:t>шек при температурах воздуха от плюс 55°</w:t>
      </w:r>
      <w:r w:rsidRPr="00271E51">
        <w:rPr>
          <w:color w:val="000000" w:themeColor="text1"/>
          <w:sz w:val="16"/>
          <w:szCs w:val="16"/>
          <w:lang w:val="en-US"/>
        </w:rPr>
        <w:t>C</w:t>
      </w:r>
      <w:r w:rsidRPr="00271E51">
        <w:rPr>
          <w:color w:val="000000" w:themeColor="text1"/>
          <w:sz w:val="16"/>
          <w:szCs w:val="16"/>
        </w:rPr>
        <w:t xml:space="preserve"> до ми</w:t>
      </w:r>
      <w:r w:rsidRPr="00271E51">
        <w:rPr>
          <w:color w:val="000000" w:themeColor="text1"/>
          <w:sz w:val="16"/>
          <w:szCs w:val="16"/>
        </w:rPr>
        <w:softHyphen/>
        <w:t>нус 55°</w:t>
      </w:r>
      <w:r w:rsidRPr="00271E51">
        <w:rPr>
          <w:color w:val="000000" w:themeColor="text1"/>
          <w:sz w:val="16"/>
          <w:szCs w:val="16"/>
          <w:lang w:val="en-US"/>
        </w:rPr>
        <w:t>C</w:t>
      </w:r>
      <w:r w:rsidRPr="00271E51">
        <w:rPr>
          <w:color w:val="000000" w:themeColor="text1"/>
          <w:sz w:val="16"/>
          <w:szCs w:val="16"/>
        </w:rPr>
        <w:t>, или, в крайнем случае, тракторным керо</w:t>
      </w:r>
      <w:r w:rsidRPr="00271E51">
        <w:rPr>
          <w:color w:val="000000" w:themeColor="text1"/>
          <w:sz w:val="16"/>
          <w:szCs w:val="16"/>
        </w:rPr>
        <w:softHyphen/>
        <w:t>сином».</w:t>
      </w:r>
    </w:p>
    <w:p w14:paraId="21DDD72B"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оказания помощи строевым частям в этом вопросе от ОКБ-16 и завода № 74 в действующую армию срочно выехали небольшие бригады специ</w:t>
      </w:r>
      <w:r w:rsidRPr="00271E51">
        <w:rPr>
          <w:color w:val="000000" w:themeColor="text1"/>
          <w:sz w:val="16"/>
          <w:szCs w:val="16"/>
        </w:rPr>
        <w:softHyphen/>
        <w:t>алистов (17500).</w:t>
      </w:r>
    </w:p>
    <w:p w14:paraId="569450E1" w14:textId="77777777" w:rsidR="004A2091" w:rsidRPr="00271E51" w:rsidRDefault="004A2091" w:rsidP="00271E51">
      <w:pPr>
        <w:spacing w:after="0" w:line="240" w:lineRule="auto"/>
        <w:jc w:val="both"/>
        <w:rPr>
          <w:rFonts w:ascii="Times New Roman" w:hAnsi="Times New Roman"/>
          <w:color w:val="000000" w:themeColor="text1"/>
          <w:sz w:val="16"/>
          <w:szCs w:val="16"/>
        </w:rPr>
      </w:pPr>
    </w:p>
    <w:p w14:paraId="12EFB3CA"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24 и 28 октября 1943 в течение двух дней проходили воздушные испытания ПТАБ-10,2,5. Сначала выполнили 5 полетов на сброс корпусов бомб, снаряженных взрывателями. После чего выполнили 2 полета на боевое бомбометание с самолета Ил-2. Бомбили ко</w:t>
      </w:r>
      <w:r w:rsidRPr="00271E51">
        <w:rPr>
          <w:color w:val="000000" w:themeColor="text1"/>
          <w:sz w:val="16"/>
          <w:szCs w:val="16"/>
        </w:rPr>
        <w:softHyphen/>
        <w:t>лонну трофейных танков. Высота сброса — 100 м, скорость самолета — 300 км/ч.</w:t>
      </w:r>
    </w:p>
    <w:p w14:paraId="10D0FD04"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В первом вылете использовали 2 кассеты оди</w:t>
      </w:r>
      <w:r w:rsidRPr="00271E51">
        <w:rPr>
          <w:color w:val="000000" w:themeColor="text1"/>
          <w:sz w:val="16"/>
          <w:szCs w:val="16"/>
        </w:rPr>
        <w:softHyphen/>
        <w:t>ночно, во втором — также 2 кассеты, но серией с интервалом 0,5 сек.</w:t>
      </w:r>
    </w:p>
    <w:p w14:paraId="3C873182"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 втором полете при посадке самолета из среднего отсека правой плоскости выпали 3 бом</w:t>
      </w:r>
      <w:r w:rsidRPr="00271E51">
        <w:rPr>
          <w:color w:val="000000" w:themeColor="text1"/>
          <w:sz w:val="16"/>
          <w:szCs w:val="16"/>
        </w:rPr>
        <w:softHyphen/>
        <w:t>бы, из которых две взорвались. От взрыва самолет загорелся. Потушить машину не удалось.</w:t>
      </w:r>
    </w:p>
    <w:p w14:paraId="298324C4"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осмотра места взрыва установлено, что взрыв второй бомбы был инициирован подрывом первой бомбы (найден взрыватель с несвернутой ветрянкой). У третьей выпавшей бомбы произошел отказ в действии взрывателя По мнению специалистов института, вероятной причиной зависания бомб в бомбоотсеке Ил-2 яв</w:t>
      </w:r>
      <w:r w:rsidRPr="00271E51">
        <w:rPr>
          <w:color w:val="000000" w:themeColor="text1"/>
          <w:sz w:val="16"/>
          <w:szCs w:val="16"/>
        </w:rPr>
        <w:softHyphen/>
        <w:t>лялось «запаздывание выпадения некоторых бомб, из которых одна была зажата створками бомболю- ка». Вес оставшихся трех бомб оказался не в состо</w:t>
      </w:r>
      <w:r w:rsidRPr="00271E51">
        <w:rPr>
          <w:color w:val="000000" w:themeColor="text1"/>
          <w:sz w:val="16"/>
          <w:szCs w:val="16"/>
        </w:rPr>
        <w:softHyphen/>
        <w:t>янии преодолеть сопротивление пружины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color w:val="000000" w:themeColor="text1"/>
          <w:sz w:val="16"/>
          <w:szCs w:val="16"/>
        </w:rPr>
        <w:softHyphen/>
        <w:t>жение, и на посадке, когда бомба выпала из отсека, «при ударе бомбы о преграду произошел взрыв, вследствие чего самолет сгорел».</w:t>
      </w:r>
    </w:p>
    <w:p w14:paraId="27263332"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выводах отчета по результатам испытаний от</w:t>
      </w:r>
      <w:r w:rsidRPr="00271E51">
        <w:rPr>
          <w:color w:val="000000" w:themeColor="text1"/>
          <w:sz w:val="16"/>
          <w:szCs w:val="16"/>
        </w:rPr>
        <w:softHyphen/>
        <w:t>мечалось, что «...существующие бомбоотсеки для мелких бомб на Ил-2 не обеспечивают 100% вы</w:t>
      </w:r>
      <w:r w:rsidRPr="00271E51">
        <w:rPr>
          <w:color w:val="000000" w:themeColor="text1"/>
          <w:sz w:val="16"/>
          <w:szCs w:val="16"/>
        </w:rPr>
        <w:softHyphen/>
        <w:t>падения бомб в момент открывания створок, что приводит к зависанию части бомб в отсеке. При посадке зависшие бомбы падают — при этом не исключены случаи их взрыва с последующим раз</w:t>
      </w:r>
      <w:r w:rsidRPr="00271E51">
        <w:rPr>
          <w:color w:val="000000" w:themeColor="text1"/>
          <w:sz w:val="16"/>
          <w:szCs w:val="16"/>
        </w:rPr>
        <w:softHyphen/>
        <w:t>рушением самолета».</w:t>
      </w:r>
    </w:p>
    <w:p w14:paraId="7F86BD48"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Вместе с тем по надежности действия бомбы показали вполне удовлетворительные результа</w:t>
      </w:r>
      <w:r w:rsidRPr="00271E51">
        <w:rPr>
          <w:color w:val="000000" w:themeColor="text1"/>
          <w:sz w:val="16"/>
          <w:szCs w:val="16"/>
        </w:rPr>
        <w:softHyphen/>
        <w:t>ты — «отказов в действии бомб при срабатывании взрывателей не было». Отказы самих взрывателей АД-А производства завода № 398 — всего около 5,5% — происходили главным образом «по причи</w:t>
      </w:r>
      <w:r w:rsidRPr="00271E51">
        <w:rPr>
          <w:color w:val="000000" w:themeColor="text1"/>
          <w:sz w:val="16"/>
          <w:szCs w:val="16"/>
        </w:rPr>
        <w:softHyphen/>
        <w:t>не несвертывания ветрянок». В полете на траекто</w:t>
      </w:r>
      <w:r w:rsidRPr="00271E51">
        <w:rPr>
          <w:color w:val="000000" w:themeColor="text1"/>
          <w:sz w:val="16"/>
          <w:szCs w:val="16"/>
        </w:rPr>
        <w:softHyphen/>
        <w:t>рии падения бомбы вели себя устойчиво.</w:t>
      </w:r>
    </w:p>
    <w:p w14:paraId="6F18753B"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следствие, бомбу военные забраковали. «ПТАБ-10-2,5 государственных испытаний не выдер</w:t>
      </w:r>
      <w:r w:rsidRPr="00271E51">
        <w:rPr>
          <w:color w:val="000000" w:themeColor="text1"/>
          <w:sz w:val="16"/>
          <w:szCs w:val="16"/>
        </w:rPr>
        <w:softHyphen/>
        <w:t>жала», — констатировалось в заключении отчета по результатам испытаний. Требовалось устранить вы</w:t>
      </w:r>
      <w:r w:rsidRPr="00271E51">
        <w:rPr>
          <w:color w:val="000000" w:themeColor="text1"/>
          <w:sz w:val="16"/>
          <w:szCs w:val="16"/>
        </w:rPr>
        <w:softHyphen/>
        <w:t>явленные недостатки бомбы, изготовить 1200 штук таких бомб (400 — боевых, 600 — «нейтральных») и предъявить их для испытания в НИИ АВ, а также переделать систему закрывания бомбоотсеков са</w:t>
      </w:r>
      <w:r w:rsidRPr="00271E51">
        <w:rPr>
          <w:color w:val="000000" w:themeColor="text1"/>
          <w:sz w:val="16"/>
          <w:szCs w:val="16"/>
        </w:rPr>
        <w:softHyphen/>
        <w:t>молета Ил-2.</w:t>
      </w:r>
    </w:p>
    <w:p w14:paraId="18563EDD" w14:textId="77777777" w:rsidR="004A2091" w:rsidRPr="00271E51" w:rsidRDefault="004A209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Бомбу срочно доработали (17500).</w:t>
      </w:r>
    </w:p>
    <w:p w14:paraId="3FB66373" w14:textId="77777777" w:rsidR="004A2091" w:rsidRPr="00271E51" w:rsidRDefault="004A2091" w:rsidP="00271E51">
      <w:pPr>
        <w:pStyle w:val="12a"/>
        <w:shd w:val="clear" w:color="auto" w:fill="auto"/>
        <w:spacing w:after="0" w:line="240" w:lineRule="auto"/>
        <w:jc w:val="both"/>
        <w:rPr>
          <w:color w:val="000000" w:themeColor="text1"/>
          <w:sz w:val="16"/>
          <w:szCs w:val="16"/>
        </w:rPr>
      </w:pPr>
    </w:p>
    <w:p w14:paraId="5312115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24 и 28 октября 1943 в те</w:t>
      </w:r>
      <w:r w:rsidRPr="00271E51">
        <w:rPr>
          <w:rFonts w:ascii="Times New Roman" w:cs="Times New Roman"/>
          <w:color w:val="000000" w:themeColor="text1"/>
          <w:spacing w:val="0"/>
        </w:rPr>
        <w:softHyphen/>
        <w:t>чение двух дней проходили воздушные испытания ПТАБ-10,2,5. Сначала выполнили пять полетов на сброс корпу</w:t>
      </w:r>
      <w:r w:rsidRPr="00271E51">
        <w:rPr>
          <w:rFonts w:ascii="Times New Roman" w:cs="Times New Roman"/>
          <w:color w:val="000000" w:themeColor="text1"/>
          <w:spacing w:val="0"/>
        </w:rPr>
        <w:softHyphen/>
        <w:t>сов бомб снаряженных взрывателями. По</w:t>
      </w:r>
      <w:r w:rsidRPr="00271E51">
        <w:rPr>
          <w:rFonts w:ascii="Times New Roman" w:cs="Times New Roman"/>
          <w:color w:val="000000" w:themeColor="text1"/>
          <w:spacing w:val="0"/>
        </w:rPr>
        <w:softHyphen/>
        <w:t>сле чего выполнили два полета на боевое бомбометание с самолета Ил-2. Бомбили колонну трофейных танков. Высота сброса - 100 м, скорость самолета - 300 км/ч.</w:t>
      </w:r>
    </w:p>
    <w:p w14:paraId="772FF2E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первом вылете использовали две кас</w:t>
      </w:r>
      <w:r w:rsidRPr="00271E51">
        <w:rPr>
          <w:rFonts w:ascii="Times New Roman" w:cs="Times New Roman"/>
          <w:color w:val="000000" w:themeColor="text1"/>
          <w:spacing w:val="0"/>
        </w:rPr>
        <w:softHyphen/>
        <w:t>сеты одиночно, во втором - также две кас</w:t>
      </w:r>
      <w:r w:rsidRPr="00271E51">
        <w:rPr>
          <w:rFonts w:ascii="Times New Roman" w:cs="Times New Roman"/>
          <w:color w:val="000000" w:themeColor="text1"/>
          <w:spacing w:val="0"/>
        </w:rPr>
        <w:softHyphen/>
        <w:t>сеты, но серией с интервалом 0,5 с.</w:t>
      </w:r>
    </w:p>
    <w:p w14:paraId="05872A0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 втором полете при посадке самолета из среднего отсека правой плоскости выпа</w:t>
      </w:r>
      <w:r w:rsidRPr="00271E51">
        <w:rPr>
          <w:rFonts w:ascii="Times New Roman" w:cs="Times New Roman"/>
          <w:color w:val="000000" w:themeColor="text1"/>
          <w:spacing w:val="0"/>
        </w:rPr>
        <w:softHyphen/>
        <w:t>ли три бомбы, из которых две взорвались. От взрыва самолет загорелся. Потушить машину не удалось.</w:t>
      </w:r>
    </w:p>
    <w:p w14:paraId="2D64A77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осмотра места взрыва было установлено, что взрыв второй бомбы был инициирован подрывом первой бомбы (най</w:t>
      </w:r>
      <w:r w:rsidRPr="00271E51">
        <w:rPr>
          <w:rFonts w:ascii="Times New Roman" w:cs="Times New Roman"/>
          <w:color w:val="000000" w:themeColor="text1"/>
          <w:spacing w:val="0"/>
        </w:rPr>
        <w:softHyphen/>
        <w:t>ден взрыватель с несвернутой ветрянкой). У третьей выпавшей бомбы произошел от</w:t>
      </w:r>
      <w:r w:rsidRPr="00271E51">
        <w:rPr>
          <w:rFonts w:ascii="Times New Roman" w:cs="Times New Roman"/>
          <w:color w:val="000000" w:themeColor="text1"/>
          <w:spacing w:val="0"/>
        </w:rPr>
        <w:softHyphen/>
        <w:t>каз в действии взрывателя.</w:t>
      </w:r>
    </w:p>
    <w:p w14:paraId="09792DF1"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мнению специалистов института, вероятной причиной зависания бомб в бомбоотсеке Ил-2 являлось «запаздыва</w:t>
      </w:r>
      <w:r w:rsidRPr="00271E51">
        <w:rPr>
          <w:rFonts w:ascii="Times New Roman" w:cs="Times New Roman"/>
          <w:color w:val="000000" w:themeColor="text1"/>
          <w:spacing w:val="0"/>
        </w:rPr>
        <w:softHyphen/>
        <w:t>ние выпадения некоторых бомб, из которых одна была зажата створками бомболюка». Вес оставшихся трех бомб оказался не в состоянии преодолеть сопротивление пру</w:t>
      </w:r>
      <w:r w:rsidRPr="00271E51">
        <w:rPr>
          <w:rFonts w:ascii="Times New Roman" w:cs="Times New Roman"/>
          <w:color w:val="000000" w:themeColor="text1"/>
          <w:spacing w:val="0"/>
        </w:rPr>
        <w:softHyphen/>
        <w:t>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rFonts w:ascii="Times New Roman" w:cs="Times New Roman"/>
          <w:color w:val="000000" w:themeColor="text1"/>
          <w:spacing w:val="0"/>
        </w:rPr>
        <w:softHyphen/>
        <w:t>жение и на посадке, когда бомба выпала из отсека, «при ударе бомбы о преграду произошел взрыв, вследствие чего само</w:t>
      </w:r>
      <w:r w:rsidRPr="00271E51">
        <w:rPr>
          <w:rFonts w:ascii="Times New Roman" w:cs="Times New Roman"/>
          <w:color w:val="000000" w:themeColor="text1"/>
          <w:spacing w:val="0"/>
        </w:rPr>
        <w:softHyphen/>
        <w:t>лет сгорел».</w:t>
      </w:r>
    </w:p>
    <w:p w14:paraId="08E4226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ЦКБ-22 в авральном порядке изготови</w:t>
      </w:r>
      <w:r w:rsidRPr="00271E51">
        <w:rPr>
          <w:rFonts w:ascii="Times New Roman" w:cs="Times New Roman"/>
          <w:color w:val="000000" w:themeColor="text1"/>
          <w:spacing w:val="0"/>
        </w:rPr>
        <w:softHyphen/>
        <w:t>ло партию опытных бомб и предъ</w:t>
      </w:r>
      <w:r w:rsidRPr="00271E51">
        <w:rPr>
          <w:rFonts w:ascii="Times New Roman" w:cs="Times New Roman"/>
          <w:color w:val="000000" w:themeColor="text1"/>
          <w:spacing w:val="0"/>
        </w:rPr>
        <w:softHyphen/>
        <w:t>явило их на государственные испытания в НИИ АВ ВВС.</w:t>
      </w:r>
    </w:p>
    <w:p w14:paraId="3307ED6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От ПТАБ-2,5-1,5 «десятка» отличалась формой, габаритами и весом боевой части.</w:t>
      </w:r>
    </w:p>
    <w:p w14:paraId="522B868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271E51">
        <w:rPr>
          <w:rFonts w:ascii="Times New Roman" w:hAnsi="Times New Roman"/>
          <w:color w:val="000000" w:themeColor="text1"/>
          <w:sz w:val="16"/>
          <w:szCs w:val="16"/>
        </w:rPr>
        <w:softHyphen/>
        <w:t>шего действия бомбы по массивным и экра</w:t>
      </w:r>
      <w:r w:rsidRPr="00271E51">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271E51">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271E51">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w:t>
      </w:r>
    </w:p>
    <w:p w14:paraId="6AD4910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Всего на испытания поступило 1455 ПТАБ-10-2,5, из них 390 корпусов и 1065 бомб были снаряжены боевыми взрывча</w:t>
      </w:r>
      <w:r w:rsidRPr="00271E51">
        <w:rPr>
          <w:rFonts w:ascii="Times New Roman" w:cs="Times New Roman"/>
          <w:color w:val="000000" w:themeColor="text1"/>
          <w:spacing w:val="0"/>
        </w:rPr>
        <w:softHyphen/>
        <w:t>тыми веществами трех типов: тринитро</w:t>
      </w:r>
      <w:r w:rsidRPr="00271E51">
        <w:rPr>
          <w:rFonts w:ascii="Times New Roman" w:cs="Times New Roman"/>
          <w:color w:val="000000" w:themeColor="text1"/>
          <w:spacing w:val="0"/>
        </w:rPr>
        <w:softHyphen/>
        <w:t>толуолом - 500 бомб, ТГ-30 (тротил - 70%, гексоген - 30%) - 515 бомб, ТГА (тротил - 50%, гексоген - 40%, алюминиевая пудра -10%) -50 бомб.</w:t>
      </w:r>
    </w:p>
    <w:p w14:paraId="77CD9FC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проводились специалиста</w:t>
      </w:r>
      <w:r w:rsidRPr="00271E51">
        <w:rPr>
          <w:rFonts w:ascii="Times New Roman" w:cs="Times New Roman"/>
          <w:color w:val="000000" w:themeColor="text1"/>
          <w:spacing w:val="0"/>
        </w:rPr>
        <w:softHyphen/>
        <w:t>ми 3-го отдела НИИ АВ ВВС. Ответственным по испытаниям был назначен инженер-ка- питан В.П. Федоров, ведущим летчиком- испытателем - капитан А.В. Кусакин. От промышленности в испытаниях участвовал конструктор бомбы И.А. Ларионов и пред</w:t>
      </w:r>
      <w:r w:rsidRPr="00271E51">
        <w:rPr>
          <w:rFonts w:ascii="Times New Roman" w:cs="Times New Roman"/>
          <w:color w:val="000000" w:themeColor="text1"/>
          <w:spacing w:val="0"/>
        </w:rPr>
        <w:softHyphen/>
        <w:t>ставитель завода №240 инженер Коклин. Отчет по испытаниям ПТАБ-10-2,5 началь</w:t>
      </w:r>
      <w:r w:rsidRPr="00271E51">
        <w:rPr>
          <w:rFonts w:ascii="Times New Roman" w:cs="Times New Roman"/>
          <w:color w:val="000000" w:themeColor="text1"/>
          <w:spacing w:val="0"/>
        </w:rPr>
        <w:softHyphen/>
        <w:t>ник НИИ АВ генерал-майор М.В. Гуревич утвердил 19 ноября 1943 г.</w:t>
      </w:r>
    </w:p>
    <w:p w14:paraId="2677591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новой бомбы опреде</w:t>
      </w:r>
      <w:r w:rsidRPr="00271E51">
        <w:rPr>
          <w:rFonts w:ascii="Times New Roman" w:cs="Times New Roman"/>
          <w:color w:val="000000" w:themeColor="text1"/>
          <w:spacing w:val="0"/>
        </w:rPr>
        <w:softHyphen/>
        <w:t>лялась путем подрыва непосредственно на броне немецких танков и в воздухе при бомбометании с самолета Ил-2 по колонне трофейной бронетехники.</w:t>
      </w:r>
    </w:p>
    <w:p w14:paraId="4BA2231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Результаты подрывов ПТАБ-10-2,5 в основном сводились к следующему: при действии по основной броне (без экрана) бомбы при нормальном положении обеспе</w:t>
      </w:r>
      <w:r w:rsidRPr="00271E51">
        <w:rPr>
          <w:rFonts w:ascii="Times New Roman" w:cs="Times New Roman"/>
          <w:color w:val="000000" w:themeColor="text1"/>
          <w:spacing w:val="0"/>
        </w:rPr>
        <w:softHyphen/>
        <w:t>чивали сквозное пробитие брони толщиной 90-100 мм, но не пробивали 50-мм броню, находящуюся на удалении 300-500 мм от броневого экрана толщиной 10-15 мм.</w:t>
      </w:r>
    </w:p>
    <w:p w14:paraId="262A2C9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ходе испытаний обнаружился стран</w:t>
      </w:r>
      <w:r w:rsidRPr="00271E51">
        <w:rPr>
          <w:rFonts w:ascii="Times New Roman" w:cs="Times New Roman"/>
          <w:color w:val="000000" w:themeColor="text1"/>
          <w:spacing w:val="0"/>
        </w:rPr>
        <w:softHyphen/>
        <w:t>ный эффект «непостоянства фугасного дей</w:t>
      </w:r>
      <w:r w:rsidRPr="00271E51">
        <w:rPr>
          <w:rFonts w:ascii="Times New Roman" w:cs="Times New Roman"/>
          <w:color w:val="000000" w:themeColor="text1"/>
          <w:spacing w:val="0"/>
        </w:rPr>
        <w:softHyphen/>
        <w:t>ствия авиабомб». При детальном осмотре бомб обнаружили сквозные раковины во взрывчатом веществе. Кроме того, вместо тетриловых детонаторных шашек во всех бомбах были установлены шашки из пикри- ловой кислоты. Налицо был брак и наруше</w:t>
      </w:r>
      <w:r w:rsidRPr="00271E51">
        <w:rPr>
          <w:rFonts w:ascii="Times New Roman" w:cs="Times New Roman"/>
          <w:color w:val="000000" w:themeColor="text1"/>
          <w:spacing w:val="0"/>
        </w:rPr>
        <w:softHyphen/>
        <w:t>ние технологии при изготовлении бомб на снаряжательном заводе.</w:t>
      </w:r>
    </w:p>
    <w:p w14:paraId="3AFD458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Загрузка ПТАБ-10-2,5 в штатные кассе</w:t>
      </w:r>
      <w:r w:rsidRPr="00271E51">
        <w:rPr>
          <w:rFonts w:ascii="Times New Roman" w:cs="Times New Roman"/>
          <w:color w:val="000000" w:themeColor="text1"/>
          <w:spacing w:val="0"/>
        </w:rPr>
        <w:softHyphen/>
        <w:t>ты мелких бомб самолета Пе-2 (КМБ-Пе-2) показала, что в них можно было уложить го</w:t>
      </w:r>
      <w:r w:rsidRPr="00271E51">
        <w:rPr>
          <w:rFonts w:ascii="Times New Roman" w:cs="Times New Roman"/>
          <w:color w:val="000000" w:themeColor="text1"/>
          <w:spacing w:val="0"/>
        </w:rPr>
        <w:softHyphen/>
        <w:t>ризонтально головной частью назад только 20 бомб (или 40 бомб на самолет, всего 108 кг), что было совсем мало.</w:t>
      </w:r>
    </w:p>
    <w:p w14:paraId="2161B12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укладке бомб вертикально вниз стабилизатором в штатные ампульно-бом- бовые кассеты типа АБК-1 самолета СБ умещалось 15 бомб в кассету - в три ряда по пять бомб в каждом (всего 90 шт., вес 213 кг). Но верхний ряд бомб выходил за пределы края кассеты на 75 мм.</w:t>
      </w:r>
    </w:p>
    <w:p w14:paraId="3BD6D05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То же самое наблюдалось и на бом</w:t>
      </w:r>
      <w:r w:rsidRPr="00271E51">
        <w:rPr>
          <w:rFonts w:ascii="Times New Roman" w:cs="Times New Roman"/>
          <w:color w:val="000000" w:themeColor="text1"/>
          <w:spacing w:val="0"/>
        </w:rPr>
        <w:softHyphen/>
        <w:t>бардировщике Ил-4 при загрузке кассеты АБК-3 (120 бомб, 324 кг). В каждую кассету входило 60 бомб при их укладке в 3 ряда по 5 бомб в каждом вертикально стабилизато</w:t>
      </w:r>
      <w:r w:rsidRPr="00271E51">
        <w:rPr>
          <w:rFonts w:ascii="Times New Roman" w:cs="Times New Roman"/>
          <w:color w:val="000000" w:themeColor="text1"/>
          <w:spacing w:val="0"/>
        </w:rPr>
        <w:softHyphen/>
        <w:t>ром вниз. Верхний ряд бомб также «выгля</w:t>
      </w:r>
      <w:r w:rsidRPr="00271E51">
        <w:rPr>
          <w:rFonts w:ascii="Times New Roman" w:cs="Times New Roman"/>
          <w:color w:val="000000" w:themeColor="text1"/>
          <w:spacing w:val="0"/>
        </w:rPr>
        <w:softHyphen/>
        <w:t>дывал» на 75 мм из кассеты.</w:t>
      </w:r>
    </w:p>
    <w:p w14:paraId="3B041810"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штатные кассеты мелких бомб само</w:t>
      </w:r>
      <w:r w:rsidRPr="00271E51">
        <w:rPr>
          <w:rFonts w:ascii="Times New Roman" w:cs="Times New Roman"/>
          <w:color w:val="000000" w:themeColor="text1"/>
          <w:spacing w:val="0"/>
        </w:rPr>
        <w:softHyphen/>
        <w:t>лета Ил-2 (КМБ-2) можно было уложить 26 ПТАБ-10-2,5 вертикально стабилиза</w:t>
      </w:r>
      <w:r w:rsidRPr="00271E51">
        <w:rPr>
          <w:rFonts w:ascii="Times New Roman" w:cs="Times New Roman"/>
          <w:color w:val="000000" w:themeColor="text1"/>
          <w:spacing w:val="0"/>
        </w:rPr>
        <w:softHyphen/>
        <w:t>тором вниз. То есть полная загрузка Ил-2 бомбами этого типа составляла 104 штуки (290 кг).</w:t>
      </w:r>
    </w:p>
    <w:p w14:paraId="271BF1F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Универсальные бомбоотсеки Ил-2 вме</w:t>
      </w:r>
      <w:r w:rsidRPr="00271E51">
        <w:rPr>
          <w:rFonts w:ascii="Times New Roman" w:cs="Times New Roman"/>
          <w:color w:val="000000" w:themeColor="text1"/>
          <w:spacing w:val="0"/>
        </w:rPr>
        <w:softHyphen/>
        <w:t>щали 142 «десятки» (по 36 в средние отсеки и по 35 в крайние отсеки), уложенных гори</w:t>
      </w:r>
      <w:r w:rsidRPr="00271E51">
        <w:rPr>
          <w:rFonts w:ascii="Times New Roman" w:cs="Times New Roman"/>
          <w:color w:val="000000" w:themeColor="text1"/>
          <w:spacing w:val="0"/>
        </w:rPr>
        <w:softHyphen/>
        <w:t>зонтально вперед стабилизатором (по по</w:t>
      </w:r>
      <w:r w:rsidRPr="00271E51">
        <w:rPr>
          <w:rFonts w:ascii="Times New Roman" w:cs="Times New Roman"/>
          <w:color w:val="000000" w:themeColor="text1"/>
          <w:spacing w:val="0"/>
        </w:rPr>
        <w:softHyphen/>
        <w:t>лету) по 3 штуки по ширине и в 3 ряда по длине отсека. При этом по согласованию с представителем завода №240 инженером Коклиным в каждом бомбоотсеке устанав</w:t>
      </w:r>
      <w:r w:rsidRPr="00271E51">
        <w:rPr>
          <w:rFonts w:ascii="Times New Roman" w:cs="Times New Roman"/>
          <w:color w:val="000000" w:themeColor="text1"/>
          <w:spacing w:val="0"/>
        </w:rPr>
        <w:softHyphen/>
        <w:t>ливались 6 боковых деревянных реек, а также «впереди штанги бомбоотсека» спе</w:t>
      </w:r>
      <w:r w:rsidRPr="00271E51">
        <w:rPr>
          <w:rFonts w:ascii="Times New Roman" w:cs="Times New Roman"/>
          <w:color w:val="000000" w:themeColor="text1"/>
          <w:spacing w:val="0"/>
        </w:rPr>
        <w:softHyphen/>
        <w:t>циальные щитки. Боковые рейки были вве</w:t>
      </w:r>
      <w:r w:rsidRPr="00271E51">
        <w:rPr>
          <w:rFonts w:ascii="Times New Roman" w:cs="Times New Roman"/>
          <w:color w:val="000000" w:themeColor="text1"/>
          <w:spacing w:val="0"/>
        </w:rPr>
        <w:softHyphen/>
        <w:t>дены «с целью предохранения от зажима бомб между собой в бомбоотсеке». Кроме того, было ослаблено напряжение пружины створок бомбоотсеков таким образом, что</w:t>
      </w:r>
      <w:r w:rsidRPr="00271E51">
        <w:rPr>
          <w:rFonts w:ascii="Times New Roman" w:cs="Times New Roman"/>
          <w:color w:val="000000" w:themeColor="text1"/>
          <w:spacing w:val="0"/>
        </w:rPr>
        <w:softHyphen/>
        <w:t>бы открытие створок отсека происходило от веса двух бомб.</w:t>
      </w:r>
    </w:p>
    <w:p w14:paraId="761E1D2A"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дооборудования бомбоотсеков самолета Ил-2 было произведено на зем</w:t>
      </w:r>
      <w:r w:rsidRPr="00271E51">
        <w:rPr>
          <w:rFonts w:ascii="Times New Roman" w:cs="Times New Roman"/>
          <w:color w:val="000000" w:themeColor="text1"/>
          <w:spacing w:val="0"/>
        </w:rPr>
        <w:softHyphen/>
        <w:t>ле 10 сбрасываний из бомбоотсеков кор</w:t>
      </w:r>
      <w:r w:rsidRPr="00271E51">
        <w:rPr>
          <w:rFonts w:ascii="Times New Roman" w:cs="Times New Roman"/>
          <w:color w:val="000000" w:themeColor="text1"/>
          <w:spacing w:val="0"/>
        </w:rPr>
        <w:softHyphen/>
        <w:t>пусов бомб,заполненных до полного веса песком. Ни одного случая зависания бомб не отмечено.</w:t>
      </w:r>
    </w:p>
    <w:p w14:paraId="7C51DA4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проверки надежности контровки ветрянок взрывателей бомб было выпол</w:t>
      </w:r>
      <w:r w:rsidRPr="00271E51">
        <w:rPr>
          <w:rFonts w:ascii="Times New Roman" w:cs="Times New Roman"/>
          <w:color w:val="000000" w:themeColor="text1"/>
          <w:spacing w:val="0"/>
        </w:rPr>
        <w:softHyphen/>
        <w:t>нено три взлета и три посадки с полностью загруженными бомбоотсеками корпусами бомб (с песком) снаряженными взрывате</w:t>
      </w:r>
      <w:r w:rsidRPr="00271E51">
        <w:rPr>
          <w:rFonts w:ascii="Times New Roman" w:cs="Times New Roman"/>
          <w:color w:val="000000" w:themeColor="text1"/>
          <w:spacing w:val="0"/>
        </w:rPr>
        <w:softHyphen/>
        <w:t>лями АД-А, а также три полета на растряску укладки бомб. Случаев нарушения центров</w:t>
      </w:r>
      <w:r w:rsidRPr="00271E51">
        <w:rPr>
          <w:rFonts w:ascii="Times New Roman" w:cs="Times New Roman"/>
          <w:color w:val="000000" w:themeColor="text1"/>
          <w:spacing w:val="0"/>
        </w:rPr>
        <w:softHyphen/>
        <w:t>ки не было.</w:t>
      </w:r>
    </w:p>
    <w:p w14:paraId="6B30BA8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Поскольку при полной загрузке бомб в средние отсеки край створки бомбоотсе</w:t>
      </w:r>
      <w:r w:rsidRPr="00271E51">
        <w:rPr>
          <w:rFonts w:ascii="Times New Roman" w:cs="Times New Roman"/>
          <w:color w:val="000000" w:themeColor="text1"/>
          <w:spacing w:val="0"/>
        </w:rPr>
        <w:softHyphen/>
        <w:t>ка слегка отгибался, то решили загружать в отсек на одну бомбу меньше - 35 штук. В этом случае общий вес бомбовой нагруз</w:t>
      </w:r>
      <w:r w:rsidRPr="00271E51">
        <w:rPr>
          <w:rFonts w:ascii="Times New Roman" w:cs="Times New Roman"/>
          <w:color w:val="000000" w:themeColor="text1"/>
          <w:spacing w:val="0"/>
        </w:rPr>
        <w:softHyphen/>
        <w:t>ки составлял 378 кг (140 бомб).</w:t>
      </w:r>
    </w:p>
    <w:p w14:paraId="47709EF1" w14:textId="77777777" w:rsidR="00473181" w:rsidRPr="00271E51" w:rsidRDefault="00473181" w:rsidP="00271E51">
      <w:pPr>
        <w:pStyle w:val="72"/>
        <w:shd w:val="clear" w:color="auto" w:fill="auto"/>
        <w:spacing w:line="240" w:lineRule="auto"/>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ямт</w:t>
      </w:r>
    </w:p>
    <w:p w14:paraId="468E4B8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Специалисты полигона отметили, что предъявленная на государственные испы</w:t>
      </w:r>
      <w:r w:rsidRPr="00271E51">
        <w:rPr>
          <w:rFonts w:ascii="Times New Roman" w:cs="Times New Roman"/>
          <w:color w:val="000000" w:themeColor="text1"/>
          <w:spacing w:val="0"/>
        </w:rPr>
        <w:softHyphen/>
        <w:t>тания бомба ПТАБ-10,2,5 по габаритным размерам не полностью соответствует</w:t>
      </w:r>
    </w:p>
    <w:p w14:paraId="5BF575C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ТУ-5-40 (диаметр 85 мм, длина 356-360 мм) и неудобна для загрузки в существующие кассеты и бомбоотсеки. Несоответствие габаритов требовало дооборудования отсеков.</w:t>
      </w:r>
    </w:p>
    <w:p w14:paraId="72B4426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выводах отчета по результатам ис</w:t>
      </w:r>
      <w:r w:rsidRPr="00271E51">
        <w:rPr>
          <w:rFonts w:ascii="Times New Roman" w:cs="Times New Roman"/>
          <w:color w:val="000000" w:themeColor="text1"/>
          <w:spacing w:val="0"/>
        </w:rPr>
        <w:softHyphen/>
        <w:t>пытаний отмечалось: «Существующие бомбоотсеки для мелких бомб на Ил-2 не обеспечивают 100% выпадения бомб в момент открывания створок, что приводит к зависанию части бомб в отсеке. При по</w:t>
      </w:r>
      <w:r w:rsidRPr="00271E51">
        <w:rPr>
          <w:rFonts w:ascii="Times New Roman" w:cs="Times New Roman"/>
          <w:color w:val="000000" w:themeColor="text1"/>
          <w:spacing w:val="0"/>
        </w:rPr>
        <w:softHyphen/>
        <w:t>садке зависшие бомбы падают - при этом не исключены случаи их взрыва с последу</w:t>
      </w:r>
      <w:r w:rsidRPr="00271E51">
        <w:rPr>
          <w:rFonts w:ascii="Times New Roman" w:cs="Times New Roman"/>
          <w:color w:val="000000" w:themeColor="text1"/>
          <w:spacing w:val="0"/>
        </w:rPr>
        <w:softHyphen/>
        <w:t>ющим разрушением самолета».</w:t>
      </w:r>
    </w:p>
    <w:p w14:paraId="08649E4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Вместе с тем по надежности действия бомбы показали вполне удовлетворитель</w:t>
      </w:r>
      <w:r w:rsidRPr="00271E51">
        <w:rPr>
          <w:rFonts w:ascii="Times New Roman" w:cs="Times New Roman"/>
          <w:color w:val="000000" w:themeColor="text1"/>
          <w:spacing w:val="0"/>
        </w:rPr>
        <w:softHyphen/>
        <w:t>ные результаты - «отказов в действии бомб при срабатывании взрывателей не было». Отказы самих взрывателей АД-А произ</w:t>
      </w:r>
      <w:r w:rsidRPr="00271E51">
        <w:rPr>
          <w:rFonts w:ascii="Times New Roman" w:cs="Times New Roman"/>
          <w:color w:val="000000" w:themeColor="text1"/>
          <w:spacing w:val="0"/>
        </w:rPr>
        <w:softHyphen/>
        <w:t>водства завода №398 - всего около 5,5%, происходили главным образом «по при</w:t>
      </w:r>
      <w:r w:rsidRPr="00271E51">
        <w:rPr>
          <w:rFonts w:ascii="Times New Roman" w:cs="Times New Roman"/>
          <w:color w:val="000000" w:themeColor="text1"/>
          <w:spacing w:val="0"/>
        </w:rPr>
        <w:softHyphen/>
        <w:t>чине несвертывания ветрянок». В полете на траектории падения бомбы вели себя устойчиво.</w:t>
      </w:r>
    </w:p>
    <w:p w14:paraId="17198FA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Как следствие, бомбу военные забрако</w:t>
      </w:r>
      <w:r w:rsidRPr="00271E51">
        <w:rPr>
          <w:rFonts w:ascii="Times New Roman" w:cs="Times New Roman"/>
          <w:color w:val="000000" w:themeColor="text1"/>
          <w:spacing w:val="0"/>
        </w:rPr>
        <w:softHyphen/>
        <w:t>вали. «ПТАБ-10-2,5 государственных испы</w:t>
      </w:r>
      <w:r w:rsidRPr="00271E51">
        <w:rPr>
          <w:rFonts w:ascii="Times New Roman" w:cs="Times New Roman"/>
          <w:color w:val="000000" w:themeColor="text1"/>
          <w:spacing w:val="0"/>
        </w:rPr>
        <w:softHyphen/>
        <w:t>таний не выдержала», - констатировалось в заключении отчета по результатам испы</w:t>
      </w:r>
      <w:r w:rsidRPr="00271E51">
        <w:rPr>
          <w:rFonts w:ascii="Times New Roman" w:cs="Times New Roman"/>
          <w:color w:val="000000" w:themeColor="text1"/>
          <w:spacing w:val="0"/>
        </w:rPr>
        <w:softHyphen/>
        <w:t>таний. Требовалось устранить выявленные недостатки бомбы, изготовить 1200 штук таких бомб (400 - боевых, 600 - «нейтраль</w:t>
      </w:r>
      <w:r w:rsidRPr="00271E51">
        <w:rPr>
          <w:rFonts w:ascii="Times New Roman" w:cs="Times New Roman"/>
          <w:color w:val="000000" w:themeColor="text1"/>
          <w:spacing w:val="0"/>
        </w:rPr>
        <w:softHyphen/>
        <w:t>ных») и предъявить их для испытания в НИИ АВ, а также переделать систему закры</w:t>
      </w:r>
      <w:r w:rsidRPr="00271E51">
        <w:rPr>
          <w:rFonts w:ascii="Times New Roman" w:cs="Times New Roman"/>
          <w:color w:val="000000" w:themeColor="text1"/>
          <w:spacing w:val="0"/>
        </w:rPr>
        <w:softHyphen/>
        <w:t>вания бомбоотсеков самолета Ил-2.</w:t>
      </w:r>
    </w:p>
    <w:p w14:paraId="4AA9669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Бомбу срочно доработали. На госу</w:t>
      </w:r>
      <w:r w:rsidRPr="00271E51">
        <w:rPr>
          <w:rFonts w:ascii="Times New Roman" w:cs="Times New Roman"/>
          <w:color w:val="000000" w:themeColor="text1"/>
          <w:spacing w:val="0"/>
        </w:rPr>
        <w:softHyphen/>
        <w:t>дарственных испытаниях в ГК НИИ ВВС, проходивших с 5 июня по 18 июля 1944 г., ПТАБ-10-2,5 уверенно пробивала танковую броню толщиной до 160 мм при углах встречи до 30° и обеспечивала пробитие 40-мм брони, расположен</w:t>
      </w:r>
      <w:r w:rsidRPr="00271E51">
        <w:rPr>
          <w:rFonts w:ascii="Times New Roman" w:cs="Times New Roman"/>
          <w:color w:val="000000" w:themeColor="text1"/>
          <w:spacing w:val="0"/>
        </w:rPr>
        <w:softHyphen/>
        <w:t>ной на расстоянии 500 мм от броневого экрана тол</w:t>
      </w:r>
      <w:r w:rsidRPr="00271E51">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271E51">
        <w:rPr>
          <w:rFonts w:ascii="Times New Roman" w:cs="Times New Roman"/>
          <w:color w:val="000000" w:themeColor="text1"/>
          <w:spacing w:val="0"/>
        </w:rPr>
        <w:softHyphen/>
        <w:t>либров и самолеты на аэро</w:t>
      </w:r>
      <w:r w:rsidRPr="00271E51">
        <w:rPr>
          <w:rFonts w:ascii="Times New Roman" w:cs="Times New Roman"/>
          <w:color w:val="000000" w:themeColor="text1"/>
          <w:spacing w:val="0"/>
        </w:rPr>
        <w:softHyphen/>
        <w:t>дромах, железнодорожные объекты (ж.д. узлы, эшело</w:t>
      </w:r>
      <w:r w:rsidRPr="00271E51">
        <w:rPr>
          <w:rFonts w:ascii="Times New Roman" w:cs="Times New Roman"/>
          <w:color w:val="000000" w:themeColor="text1"/>
          <w:spacing w:val="0"/>
        </w:rPr>
        <w:softHyphen/>
        <w:t>ны, паровозы, цистерны), мотомехчасти и автотран</w:t>
      </w:r>
      <w:r w:rsidRPr="00271E51">
        <w:rPr>
          <w:rFonts w:ascii="Times New Roman" w:cs="Times New Roman"/>
          <w:color w:val="000000" w:themeColor="text1"/>
          <w:spacing w:val="0"/>
        </w:rPr>
        <w:softHyphen/>
        <w:t>спорт, а также надводные переправы, наземные ре</w:t>
      </w:r>
      <w:r w:rsidRPr="00271E51">
        <w:rPr>
          <w:rFonts w:ascii="Times New Roman" w:cs="Times New Roman"/>
          <w:color w:val="000000" w:themeColor="text1"/>
          <w:spacing w:val="0"/>
        </w:rPr>
        <w:softHyphen/>
        <w:t>зервуары с нефтепродукта</w:t>
      </w:r>
      <w:r w:rsidRPr="00271E51">
        <w:rPr>
          <w:rFonts w:ascii="Times New Roman" w:cs="Times New Roman"/>
          <w:color w:val="000000" w:themeColor="text1"/>
          <w:spacing w:val="0"/>
        </w:rPr>
        <w:softHyphen/>
        <w:t>ми и склады боеприпасов. Бомбу рекомендовали при</w:t>
      </w:r>
      <w:r w:rsidRPr="00271E51">
        <w:rPr>
          <w:rFonts w:ascii="Times New Roman" w:cs="Times New Roman"/>
          <w:color w:val="000000" w:themeColor="text1"/>
          <w:spacing w:val="0"/>
        </w:rPr>
        <w:softHyphen/>
        <w:t>нять на вооружение ВВС КА после устранения всех вы</w:t>
      </w:r>
      <w:r w:rsidRPr="00271E51">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5FD1960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06758F5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707EB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D5BB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г. был подготовлен ПЛАН ПЕРЕДАЧИ ТАНКОВ, ПОСТРОЕННЫХ НА ВЗНОСЫ ТРУДЯЩИХСЯ, ТАНКОВЫМ ЧАСТЯМ И СОЕДИНЕНИЯМ</w:t>
      </w:r>
    </w:p>
    <w:tbl>
      <w:tblPr>
        <w:tblW w:w="0" w:type="auto"/>
        <w:tblInd w:w="40" w:type="dxa"/>
        <w:tblLayout w:type="fixed"/>
        <w:tblCellMar>
          <w:left w:w="40" w:type="dxa"/>
          <w:right w:w="40" w:type="dxa"/>
        </w:tblCellMar>
        <w:tblLook w:val="0000" w:firstRow="0" w:lastRow="0" w:firstColumn="0" w:lastColumn="0" w:noHBand="0" w:noVBand="0"/>
      </w:tblPr>
      <w:tblGrid>
        <w:gridCol w:w="426"/>
        <w:gridCol w:w="2126"/>
        <w:gridCol w:w="992"/>
        <w:gridCol w:w="1276"/>
        <w:gridCol w:w="1417"/>
        <w:gridCol w:w="1560"/>
        <w:gridCol w:w="850"/>
        <w:gridCol w:w="993"/>
      </w:tblGrid>
      <w:tr w:rsidR="00A907A5" w:rsidRPr="00271E51" w14:paraId="78C2A994" w14:textId="77777777" w:rsidTr="00ED5B0A">
        <w:trPr>
          <w:trHeight w:val="595"/>
        </w:trPr>
        <w:tc>
          <w:tcPr>
            <w:tcW w:w="426" w:type="dxa"/>
            <w:tcBorders>
              <w:top w:val="single" w:sz="6" w:space="0" w:color="auto"/>
              <w:left w:val="single" w:sz="6" w:space="0" w:color="auto"/>
              <w:bottom w:val="single" w:sz="6" w:space="0" w:color="auto"/>
              <w:right w:val="single" w:sz="6" w:space="0" w:color="auto"/>
            </w:tcBorders>
          </w:tcPr>
          <w:p w14:paraId="637A45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4D0BF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w:t>
            </w:r>
          </w:p>
          <w:p w14:paraId="37419D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358E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организаций и лиц, внесших деньги на танк, колонну</w:t>
            </w:r>
          </w:p>
          <w:p w14:paraId="00A1B4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691F0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 взно</w:t>
            </w:r>
            <w:r w:rsidRPr="00271E51">
              <w:rPr>
                <w:rFonts w:ascii="Times New Roman" w:hAnsi="Times New Roman"/>
                <w:color w:val="000000" w:themeColor="text1"/>
                <w:sz w:val="16"/>
                <w:szCs w:val="16"/>
              </w:rPr>
              <w:softHyphen/>
              <w:t>са в руб.</w:t>
            </w:r>
          </w:p>
          <w:p w14:paraId="37BC14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5772A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колонны</w:t>
            </w:r>
          </w:p>
          <w:p w14:paraId="07B5DA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694E0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выде</w:t>
            </w:r>
            <w:r w:rsidRPr="00271E51">
              <w:rPr>
                <w:rFonts w:ascii="Times New Roman" w:hAnsi="Times New Roman"/>
                <w:color w:val="000000" w:themeColor="text1"/>
                <w:sz w:val="16"/>
                <w:szCs w:val="16"/>
              </w:rPr>
              <w:softHyphen/>
              <w:t>ляемых танков</w:t>
            </w:r>
          </w:p>
          <w:p w14:paraId="786BA0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53E945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 части или соединения</w:t>
            </w:r>
          </w:p>
          <w:p w14:paraId="37202E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8A264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передачи</w:t>
            </w:r>
          </w:p>
          <w:p w14:paraId="38F410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61C7E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кого воз</w:t>
            </w:r>
            <w:r w:rsidRPr="00271E51">
              <w:rPr>
                <w:rFonts w:ascii="Times New Roman" w:hAnsi="Times New Roman"/>
                <w:color w:val="000000" w:themeColor="text1"/>
                <w:sz w:val="16"/>
                <w:szCs w:val="16"/>
              </w:rPr>
              <w:softHyphen/>
              <w:t>лагается организация</w:t>
            </w:r>
          </w:p>
          <w:p w14:paraId="0E2D3E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16B0B5" w14:textId="77777777" w:rsidTr="00ED5B0A">
        <w:trPr>
          <w:trHeight w:val="624"/>
        </w:trPr>
        <w:tc>
          <w:tcPr>
            <w:tcW w:w="426" w:type="dxa"/>
            <w:tcBorders>
              <w:top w:val="single" w:sz="6" w:space="0" w:color="auto"/>
              <w:left w:val="single" w:sz="6" w:space="0" w:color="auto"/>
              <w:bottom w:val="single" w:sz="6" w:space="0" w:color="auto"/>
              <w:right w:val="single" w:sz="6" w:space="0" w:color="auto"/>
            </w:tcBorders>
          </w:tcPr>
          <w:p w14:paraId="5EF09C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4FA1B6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D260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Александров, Ем.Ярославский, Н. Минц, Поспелов, Митин и др</w:t>
            </w:r>
          </w:p>
          <w:p w14:paraId="66BE7D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4D106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400 000</w:t>
            </w:r>
          </w:p>
          <w:p w14:paraId="51EEDE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3DCB8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передо</w:t>
            </w:r>
            <w:r w:rsidRPr="00271E51">
              <w:rPr>
                <w:rFonts w:ascii="Times New Roman" w:hAnsi="Times New Roman"/>
                <w:color w:val="000000" w:themeColor="text1"/>
                <w:sz w:val="16"/>
                <w:szCs w:val="16"/>
              </w:rPr>
              <w:softHyphen/>
              <w:t>вую науку»</w:t>
            </w:r>
          </w:p>
          <w:p w14:paraId="5593EC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6E5A2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ЗТ-34</w:t>
            </w:r>
          </w:p>
          <w:p w14:paraId="529DAF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066531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 (сое-дин. генерала Хасина)</w:t>
            </w:r>
          </w:p>
          <w:p w14:paraId="733392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C97B2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02A90D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A68AE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0D051C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9244A1" w14:textId="77777777" w:rsidTr="00ED5B0A">
        <w:trPr>
          <w:trHeight w:val="634"/>
        </w:trPr>
        <w:tc>
          <w:tcPr>
            <w:tcW w:w="426" w:type="dxa"/>
            <w:tcBorders>
              <w:top w:val="single" w:sz="6" w:space="0" w:color="auto"/>
              <w:left w:val="single" w:sz="6" w:space="0" w:color="auto"/>
              <w:bottom w:val="single" w:sz="6" w:space="0" w:color="auto"/>
              <w:right w:val="single" w:sz="6" w:space="0" w:color="auto"/>
            </w:tcBorders>
          </w:tcPr>
          <w:p w14:paraId="3985D8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5ED87A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1F31B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Профессор Веденеев</w:t>
            </w:r>
          </w:p>
          <w:p w14:paraId="567F0D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346E1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200 000</w:t>
            </w:r>
          </w:p>
          <w:p w14:paraId="315008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66D75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передо</w:t>
            </w:r>
            <w:r w:rsidRPr="00271E51">
              <w:rPr>
                <w:rFonts w:ascii="Times New Roman" w:hAnsi="Times New Roman"/>
                <w:color w:val="000000" w:themeColor="text1"/>
                <w:sz w:val="16"/>
                <w:szCs w:val="16"/>
              </w:rPr>
              <w:softHyphen/>
              <w:t>вую науку»</w:t>
            </w:r>
          </w:p>
          <w:p w14:paraId="103B43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C8CF4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2Т-34</w:t>
            </w:r>
          </w:p>
          <w:p w14:paraId="568CEC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776A27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 (сое-дин. генерала Хасина)</w:t>
            </w:r>
          </w:p>
          <w:p w14:paraId="3E85A5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83BA0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127C12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CE518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3BF4E2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105D0C" w14:textId="77777777" w:rsidTr="00ED5B0A">
        <w:trPr>
          <w:trHeight w:val="634"/>
        </w:trPr>
        <w:tc>
          <w:tcPr>
            <w:tcW w:w="426" w:type="dxa"/>
            <w:tcBorders>
              <w:top w:val="single" w:sz="6" w:space="0" w:color="auto"/>
              <w:left w:val="single" w:sz="6" w:space="0" w:color="auto"/>
              <w:bottom w:val="single" w:sz="6" w:space="0" w:color="auto"/>
              <w:right w:val="single" w:sz="6" w:space="0" w:color="auto"/>
            </w:tcBorders>
          </w:tcPr>
          <w:p w14:paraId="525F97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384E65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89EF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Профессор Якушкин</w:t>
            </w:r>
          </w:p>
          <w:p w14:paraId="70BEF6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8F833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14D15E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F131F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передо</w:t>
            </w:r>
            <w:r w:rsidRPr="00271E51">
              <w:rPr>
                <w:rFonts w:ascii="Times New Roman" w:hAnsi="Times New Roman"/>
                <w:color w:val="000000" w:themeColor="text1"/>
                <w:sz w:val="16"/>
                <w:szCs w:val="16"/>
              </w:rPr>
              <w:softHyphen/>
              <w:t>вую науку»</w:t>
            </w:r>
          </w:p>
          <w:p w14:paraId="5BB3E8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FE0B6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Т-34</w:t>
            </w:r>
          </w:p>
          <w:p w14:paraId="0AC697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7FA866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 (сое-дин. генерала Хасина)</w:t>
            </w:r>
          </w:p>
          <w:p w14:paraId="7A67A5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53D65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4F5E25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9C2C0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6F57F9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6A244C" w14:textId="77777777" w:rsidTr="00ED5B0A">
        <w:trPr>
          <w:trHeight w:val="624"/>
        </w:trPr>
        <w:tc>
          <w:tcPr>
            <w:tcW w:w="426" w:type="dxa"/>
            <w:tcBorders>
              <w:top w:val="single" w:sz="6" w:space="0" w:color="auto"/>
              <w:left w:val="single" w:sz="6" w:space="0" w:color="auto"/>
              <w:bottom w:val="single" w:sz="6" w:space="0" w:color="auto"/>
              <w:right w:val="single" w:sz="6" w:space="0" w:color="auto"/>
            </w:tcBorders>
          </w:tcPr>
          <w:p w14:paraId="17CE5A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p w14:paraId="627EEC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A3F00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Академик Чудаков Е.А</w:t>
            </w:r>
          </w:p>
          <w:p w14:paraId="1E0908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B95C7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1C2544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CC82A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передо</w:t>
            </w:r>
            <w:r w:rsidRPr="00271E51">
              <w:rPr>
                <w:rFonts w:ascii="Times New Roman" w:hAnsi="Times New Roman"/>
                <w:color w:val="000000" w:themeColor="text1"/>
                <w:sz w:val="16"/>
                <w:szCs w:val="16"/>
              </w:rPr>
              <w:softHyphen/>
              <w:t>вую науку»</w:t>
            </w:r>
          </w:p>
          <w:p w14:paraId="06084E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7B892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Т-34</w:t>
            </w:r>
          </w:p>
          <w:p w14:paraId="4ED8A7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6895BE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 (сое-дин. генерала Хасина)</w:t>
            </w:r>
          </w:p>
          <w:p w14:paraId="53AA18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F77DD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747B16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1185A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0E4AE6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89C78B" w14:textId="77777777" w:rsidTr="00ED5B0A">
        <w:trPr>
          <w:trHeight w:val="432"/>
        </w:trPr>
        <w:tc>
          <w:tcPr>
            <w:tcW w:w="426" w:type="dxa"/>
            <w:tcBorders>
              <w:top w:val="single" w:sz="6" w:space="0" w:color="auto"/>
              <w:left w:val="single" w:sz="6" w:space="0" w:color="auto"/>
              <w:bottom w:val="single" w:sz="6" w:space="0" w:color="auto"/>
              <w:right w:val="single" w:sz="6" w:space="0" w:color="auto"/>
            </w:tcBorders>
          </w:tcPr>
          <w:p w14:paraId="04FF61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p w14:paraId="545CDD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BD67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Писатель Алексей Толстой</w:t>
            </w:r>
          </w:p>
          <w:p w14:paraId="422997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0A427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44964F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5838E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«Грозный»</w:t>
            </w:r>
          </w:p>
          <w:p w14:paraId="32FCF3E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D2681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Т-34</w:t>
            </w:r>
          </w:p>
          <w:p w14:paraId="393A1A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051459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w:t>
            </w:r>
          </w:p>
          <w:p w14:paraId="78B4D3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C2D12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783E7F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0B9BA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4022A7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EA0EFB" w14:textId="77777777" w:rsidTr="00ED5B0A">
        <w:trPr>
          <w:trHeight w:val="422"/>
        </w:trPr>
        <w:tc>
          <w:tcPr>
            <w:tcW w:w="426" w:type="dxa"/>
            <w:tcBorders>
              <w:top w:val="single" w:sz="6" w:space="0" w:color="auto"/>
              <w:left w:val="single" w:sz="6" w:space="0" w:color="auto"/>
              <w:bottom w:val="single" w:sz="6" w:space="0" w:color="auto"/>
              <w:right w:val="single" w:sz="6" w:space="0" w:color="auto"/>
            </w:tcBorders>
          </w:tcPr>
          <w:p w14:paraId="1CB8D6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p w14:paraId="7A1225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53BB5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Александр Корнейчук</w:t>
            </w:r>
          </w:p>
          <w:p w14:paraId="7EBE8C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F27AB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5FE39C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A068A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Радяньску Украину»</w:t>
            </w:r>
          </w:p>
          <w:p w14:paraId="27F4A4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F44BA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Т-34</w:t>
            </w:r>
          </w:p>
          <w:p w14:paraId="3AA4DF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62109A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w:t>
            </w:r>
          </w:p>
          <w:p w14:paraId="31FF47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95BE9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462797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7F78F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6F482C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6B10A7C" w14:textId="77777777" w:rsidTr="00ED5B0A">
        <w:trPr>
          <w:trHeight w:val="432"/>
        </w:trPr>
        <w:tc>
          <w:tcPr>
            <w:tcW w:w="426" w:type="dxa"/>
            <w:tcBorders>
              <w:top w:val="single" w:sz="6" w:space="0" w:color="auto"/>
              <w:left w:val="single" w:sz="6" w:space="0" w:color="auto"/>
              <w:bottom w:val="single" w:sz="6" w:space="0" w:color="auto"/>
              <w:right w:val="single" w:sz="6" w:space="0" w:color="auto"/>
            </w:tcBorders>
          </w:tcPr>
          <w:p w14:paraId="344D7A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1B5F10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9191F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Кошкин Л.Н. лауреат ст. пр</w:t>
            </w:r>
          </w:p>
          <w:p w14:paraId="43E1FA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F5137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79BB1A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9FE87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«Николай Кошкин»</w:t>
            </w:r>
          </w:p>
          <w:p w14:paraId="54A214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8E7C7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Т-34</w:t>
            </w:r>
          </w:p>
          <w:p w14:paraId="1ED214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7C6CEA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тп 8 МК</w:t>
            </w:r>
          </w:p>
          <w:p w14:paraId="797F57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5C26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p w14:paraId="5B2E0C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0B018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4EB667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4B2C1B" w14:textId="77777777" w:rsidTr="00ED5B0A">
        <w:trPr>
          <w:trHeight w:val="634"/>
        </w:trPr>
        <w:tc>
          <w:tcPr>
            <w:tcW w:w="426" w:type="dxa"/>
            <w:tcBorders>
              <w:top w:val="single" w:sz="6" w:space="0" w:color="auto"/>
              <w:left w:val="single" w:sz="6" w:space="0" w:color="auto"/>
              <w:bottom w:val="single" w:sz="6" w:space="0" w:color="auto"/>
              <w:right w:val="single" w:sz="6" w:space="0" w:color="auto"/>
            </w:tcBorders>
          </w:tcPr>
          <w:p w14:paraId="10EC0F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p w14:paraId="4B2867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8289B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 артель им. Ворошилова Меловатского р-на Воронежской области</w:t>
            </w:r>
          </w:p>
          <w:p w14:paraId="78E785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EDA5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w:t>
            </w:r>
          </w:p>
          <w:p w14:paraId="0C00A2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F687C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E91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AE3AA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КВ-85</w:t>
            </w:r>
          </w:p>
          <w:p w14:paraId="1B0604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50DD15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гв. тпп (Тамбов)</w:t>
            </w:r>
          </w:p>
          <w:p w14:paraId="4C98BA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A45DF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30.11</w:t>
            </w:r>
          </w:p>
          <w:p w14:paraId="059ACC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E90C1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5AC5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BAFCAC" w14:textId="77777777" w:rsidTr="00ED5B0A">
        <w:trPr>
          <w:trHeight w:val="230"/>
        </w:trPr>
        <w:tc>
          <w:tcPr>
            <w:tcW w:w="426" w:type="dxa"/>
            <w:tcBorders>
              <w:top w:val="single" w:sz="6" w:space="0" w:color="auto"/>
              <w:left w:val="single" w:sz="6" w:space="0" w:color="auto"/>
              <w:bottom w:val="nil"/>
              <w:right w:val="single" w:sz="6" w:space="0" w:color="auto"/>
            </w:tcBorders>
          </w:tcPr>
          <w:p w14:paraId="61E803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p w14:paraId="1CCA75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1E02C1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колхозницы Ивановской области в том числе колхозник Рябинин Д.Е.</w:t>
            </w:r>
          </w:p>
          <w:p w14:paraId="6AC40E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7E6487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65 187000</w:t>
            </w:r>
          </w:p>
          <w:p w14:paraId="71BA53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1433B6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«Ивановский колхозник»</w:t>
            </w:r>
          </w:p>
          <w:p w14:paraId="1EE72D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5D4F7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танков Т-34</w:t>
            </w:r>
          </w:p>
          <w:p w14:paraId="7628B8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1340CA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тк т. Аникуш-кин</w:t>
            </w:r>
          </w:p>
          <w:p w14:paraId="37B365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783EBC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20-30.11</w:t>
            </w:r>
          </w:p>
          <w:p w14:paraId="19C527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nil"/>
              <w:right w:val="single" w:sz="6" w:space="0" w:color="auto"/>
            </w:tcBorders>
          </w:tcPr>
          <w:p w14:paraId="3B955C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6C0325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1237AD" w14:textId="77777777" w:rsidTr="00ED5B0A">
        <w:trPr>
          <w:trHeight w:val="230"/>
        </w:trPr>
        <w:tc>
          <w:tcPr>
            <w:tcW w:w="426" w:type="dxa"/>
            <w:tcBorders>
              <w:top w:val="nil"/>
              <w:left w:val="single" w:sz="6" w:space="0" w:color="auto"/>
              <w:bottom w:val="nil"/>
              <w:right w:val="single" w:sz="6" w:space="0" w:color="auto"/>
            </w:tcBorders>
          </w:tcPr>
          <w:p w14:paraId="537C3C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A21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B62F9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79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521F9B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065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B97ED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754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38C590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СУ-1 52</w:t>
            </w:r>
          </w:p>
          <w:p w14:paraId="0E56C7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323F5B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9AD0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254C0C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0A1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6EB3B5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889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0431EA" w14:textId="77777777" w:rsidTr="00ED5B0A">
        <w:trPr>
          <w:trHeight w:val="221"/>
        </w:trPr>
        <w:tc>
          <w:tcPr>
            <w:tcW w:w="426" w:type="dxa"/>
            <w:tcBorders>
              <w:top w:val="nil"/>
              <w:left w:val="single" w:sz="6" w:space="0" w:color="auto"/>
              <w:bottom w:val="nil"/>
              <w:right w:val="single" w:sz="6" w:space="0" w:color="auto"/>
            </w:tcBorders>
          </w:tcPr>
          <w:p w14:paraId="50EECB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EFD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85B55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F93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2EDE7D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6E8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4C8ED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480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3D305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СУ-85</w:t>
            </w:r>
          </w:p>
          <w:p w14:paraId="617FEB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037CC5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BD6F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526BE2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D201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06900A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EAE9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67243A" w14:textId="77777777" w:rsidTr="00ED5B0A">
        <w:trPr>
          <w:trHeight w:val="240"/>
        </w:trPr>
        <w:tc>
          <w:tcPr>
            <w:tcW w:w="426" w:type="dxa"/>
            <w:tcBorders>
              <w:top w:val="nil"/>
              <w:left w:val="single" w:sz="6" w:space="0" w:color="auto"/>
              <w:bottom w:val="single" w:sz="6" w:space="0" w:color="auto"/>
              <w:right w:val="single" w:sz="6" w:space="0" w:color="auto"/>
            </w:tcBorders>
          </w:tcPr>
          <w:p w14:paraId="3CFBD8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FB9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1EAC2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C36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1FD0EE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2D8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5E4154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FD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76FB8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СУ-76</w:t>
            </w:r>
          </w:p>
          <w:p w14:paraId="1409FE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5E6720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72A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6C0022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479C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single" w:sz="6" w:space="0" w:color="auto"/>
              <w:right w:val="single" w:sz="6" w:space="0" w:color="auto"/>
            </w:tcBorders>
          </w:tcPr>
          <w:p w14:paraId="424B0D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425F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5F4AD9" w14:textId="77777777" w:rsidTr="00ED5B0A">
        <w:trPr>
          <w:trHeight w:val="826"/>
        </w:trPr>
        <w:tc>
          <w:tcPr>
            <w:tcW w:w="426" w:type="dxa"/>
            <w:tcBorders>
              <w:top w:val="single" w:sz="6" w:space="0" w:color="auto"/>
              <w:left w:val="single" w:sz="6" w:space="0" w:color="auto"/>
              <w:bottom w:val="single" w:sz="6" w:space="0" w:color="auto"/>
              <w:right w:val="single" w:sz="6" w:space="0" w:color="auto"/>
            </w:tcBorders>
          </w:tcPr>
          <w:p w14:paraId="3CE574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p w14:paraId="49BBCB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46C76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трактористы Чувашской АССР</w:t>
            </w:r>
          </w:p>
          <w:p w14:paraId="1005FB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0A125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30 075 000</w:t>
            </w:r>
          </w:p>
          <w:p w14:paraId="511C0A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BC746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 Чувашии»</w:t>
            </w:r>
          </w:p>
          <w:p w14:paraId="66D6D1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A3BEC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 КВ-85</w:t>
            </w:r>
          </w:p>
          <w:p w14:paraId="47F794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0013E4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 30 гв. тпп (Костерево)</w:t>
            </w:r>
          </w:p>
          <w:p w14:paraId="1642F0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10D8D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30.10</w:t>
            </w:r>
          </w:p>
          <w:p w14:paraId="1FEB76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71BF9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генерал-майор т/в т. Семенчен-ко</w:t>
            </w:r>
          </w:p>
          <w:p w14:paraId="77315A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BBF080" w14:textId="77777777" w:rsidTr="00ED5B0A">
        <w:trPr>
          <w:trHeight w:val="634"/>
        </w:trPr>
        <w:tc>
          <w:tcPr>
            <w:tcW w:w="426" w:type="dxa"/>
            <w:tcBorders>
              <w:top w:val="single" w:sz="6" w:space="0" w:color="auto"/>
              <w:left w:val="single" w:sz="6" w:space="0" w:color="auto"/>
              <w:bottom w:val="single" w:sz="6" w:space="0" w:color="auto"/>
              <w:right w:val="single" w:sz="6" w:space="0" w:color="auto"/>
            </w:tcBorders>
          </w:tcPr>
          <w:p w14:paraId="51C730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p w14:paraId="619634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A6323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колхозницы Рязанской области</w:t>
            </w:r>
          </w:p>
          <w:p w14:paraId="285F92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758DE8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46 000 000</w:t>
            </w:r>
          </w:p>
          <w:p w14:paraId="60242A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68477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«Рязанский колхозник»</w:t>
            </w:r>
          </w:p>
          <w:p w14:paraId="02E44E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B9BE0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 СУ-1 52 и 6 КВ</w:t>
            </w:r>
          </w:p>
          <w:p w14:paraId="7606E9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022661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гв., 7 гв., 28 гв., 9 гв., 10 гв., 60 гв. тпп</w:t>
            </w:r>
          </w:p>
          <w:p w14:paraId="15658D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3F181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27-30.10</w:t>
            </w:r>
          </w:p>
          <w:p w14:paraId="12F47B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81F93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Касаткина</w:t>
            </w:r>
          </w:p>
          <w:p w14:paraId="7E7ADE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7AD0D3" w14:textId="77777777" w:rsidTr="00ED5B0A">
        <w:trPr>
          <w:trHeight w:val="221"/>
        </w:trPr>
        <w:tc>
          <w:tcPr>
            <w:tcW w:w="426" w:type="dxa"/>
            <w:tcBorders>
              <w:top w:val="single" w:sz="6" w:space="0" w:color="auto"/>
              <w:left w:val="single" w:sz="6" w:space="0" w:color="auto"/>
              <w:bottom w:val="nil"/>
              <w:right w:val="single" w:sz="6" w:space="0" w:color="auto"/>
            </w:tcBorders>
          </w:tcPr>
          <w:p w14:paraId="27063D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p w14:paraId="3580E9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2D92A0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колхозницы Казахстана</w:t>
            </w:r>
          </w:p>
          <w:p w14:paraId="6D147C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45F190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270 686 000 (остаток)</w:t>
            </w:r>
          </w:p>
          <w:p w14:paraId="5F2F58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366AA4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 Казахстана»</w:t>
            </w:r>
          </w:p>
          <w:p w14:paraId="34240B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5E358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танков Т-34</w:t>
            </w:r>
          </w:p>
          <w:p w14:paraId="5DC271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0790F8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гв. Донск. танк, корпуса (т. Панов)</w:t>
            </w:r>
          </w:p>
          <w:p w14:paraId="5FA8BE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67A340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E3C7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nil"/>
              <w:right w:val="single" w:sz="6" w:space="0" w:color="auto"/>
            </w:tcBorders>
          </w:tcPr>
          <w:p w14:paraId="4967E4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31ACDB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A9B5C4" w14:textId="77777777" w:rsidTr="00ED5B0A">
        <w:trPr>
          <w:trHeight w:val="230"/>
        </w:trPr>
        <w:tc>
          <w:tcPr>
            <w:tcW w:w="426" w:type="dxa"/>
            <w:tcBorders>
              <w:top w:val="nil"/>
              <w:left w:val="single" w:sz="6" w:space="0" w:color="auto"/>
              <w:bottom w:val="nil"/>
              <w:right w:val="single" w:sz="6" w:space="0" w:color="auto"/>
            </w:tcBorders>
          </w:tcPr>
          <w:p w14:paraId="35AA02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FE5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6C41A1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ECA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0DD1AE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CC2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2A5784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9265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D59AD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СУ-1 52</w:t>
            </w:r>
          </w:p>
          <w:p w14:paraId="545CB4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039506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1D49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09A5DA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0B9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28C3C8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80F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874063" w14:textId="77777777" w:rsidTr="00ED5B0A">
        <w:trPr>
          <w:trHeight w:val="230"/>
        </w:trPr>
        <w:tc>
          <w:tcPr>
            <w:tcW w:w="426" w:type="dxa"/>
            <w:tcBorders>
              <w:top w:val="nil"/>
              <w:left w:val="single" w:sz="6" w:space="0" w:color="auto"/>
              <w:bottom w:val="nil"/>
              <w:right w:val="single" w:sz="6" w:space="0" w:color="auto"/>
            </w:tcBorders>
          </w:tcPr>
          <w:p w14:paraId="47AF11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7A0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0F0B3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4B5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0A32B7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E1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706694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D89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B8DF5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СУ-85</w:t>
            </w:r>
          </w:p>
          <w:p w14:paraId="100E5A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11AA28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E37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3314D7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EA6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7E5E9C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7EE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919946" w14:textId="77777777" w:rsidTr="00ED5B0A">
        <w:trPr>
          <w:trHeight w:val="230"/>
        </w:trPr>
        <w:tc>
          <w:tcPr>
            <w:tcW w:w="426" w:type="dxa"/>
            <w:tcBorders>
              <w:top w:val="nil"/>
              <w:left w:val="single" w:sz="6" w:space="0" w:color="auto"/>
              <w:bottom w:val="single" w:sz="6" w:space="0" w:color="auto"/>
              <w:right w:val="single" w:sz="6" w:space="0" w:color="auto"/>
            </w:tcBorders>
          </w:tcPr>
          <w:p w14:paraId="6EBDFA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C10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4621B9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AC8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62430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6FA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40C801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BF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EDF19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СУ-76</w:t>
            </w:r>
          </w:p>
          <w:p w14:paraId="6FDED3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525432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024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1D4DEE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D1CA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single" w:sz="6" w:space="0" w:color="auto"/>
              <w:right w:val="single" w:sz="6" w:space="0" w:color="auto"/>
            </w:tcBorders>
          </w:tcPr>
          <w:p w14:paraId="785B8A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B5D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25D4CC" w14:textId="77777777" w:rsidTr="00ED5B0A">
        <w:trPr>
          <w:trHeight w:val="230"/>
        </w:trPr>
        <w:tc>
          <w:tcPr>
            <w:tcW w:w="426" w:type="dxa"/>
            <w:tcBorders>
              <w:top w:val="single" w:sz="6" w:space="0" w:color="auto"/>
              <w:left w:val="single" w:sz="6" w:space="0" w:color="auto"/>
              <w:bottom w:val="nil"/>
              <w:right w:val="single" w:sz="6" w:space="0" w:color="auto"/>
            </w:tcBorders>
          </w:tcPr>
          <w:p w14:paraId="78B219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637E97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0A7C0E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колхозницы Узбекской ССР</w:t>
            </w:r>
          </w:p>
          <w:p w14:paraId="544104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5D5175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26 000 000</w:t>
            </w:r>
          </w:p>
          <w:p w14:paraId="191654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08ADA1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«Советский Узбекистан»</w:t>
            </w:r>
          </w:p>
          <w:p w14:paraId="082A26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42697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танков Т-34</w:t>
            </w:r>
          </w:p>
          <w:p w14:paraId="67927A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796C00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МК (т. Хасин)</w:t>
            </w:r>
          </w:p>
          <w:p w14:paraId="3F4C84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75772B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806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nil"/>
              <w:right w:val="single" w:sz="6" w:space="0" w:color="auto"/>
            </w:tcBorders>
          </w:tcPr>
          <w:p w14:paraId="4FA2A3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2D7972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6764F7" w14:textId="77777777" w:rsidTr="00ED5B0A">
        <w:trPr>
          <w:trHeight w:val="230"/>
        </w:trPr>
        <w:tc>
          <w:tcPr>
            <w:tcW w:w="426" w:type="dxa"/>
            <w:tcBorders>
              <w:top w:val="nil"/>
              <w:left w:val="single" w:sz="6" w:space="0" w:color="auto"/>
              <w:bottom w:val="nil"/>
              <w:right w:val="single" w:sz="6" w:space="0" w:color="auto"/>
            </w:tcBorders>
          </w:tcPr>
          <w:p w14:paraId="71615C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AF0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6D522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6F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76B26C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75E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82EA9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C0B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779BB1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СУ-122</w:t>
            </w:r>
          </w:p>
          <w:p w14:paraId="2AF437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7612D4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BEB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063F3D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E86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050EBE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FE1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FCCF67" w14:textId="77777777" w:rsidTr="00ED5B0A">
        <w:trPr>
          <w:trHeight w:val="230"/>
        </w:trPr>
        <w:tc>
          <w:tcPr>
            <w:tcW w:w="426" w:type="dxa"/>
            <w:tcBorders>
              <w:top w:val="nil"/>
              <w:left w:val="single" w:sz="6" w:space="0" w:color="auto"/>
              <w:bottom w:val="single" w:sz="6" w:space="0" w:color="auto"/>
              <w:right w:val="single" w:sz="6" w:space="0" w:color="auto"/>
            </w:tcBorders>
          </w:tcPr>
          <w:p w14:paraId="60994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006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1D4BAA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92E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5EB9F1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58A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0422C3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607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63FAB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СУ-85</w:t>
            </w:r>
          </w:p>
          <w:p w14:paraId="23B1F4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7CF67A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762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7A1085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EC68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single" w:sz="6" w:space="0" w:color="auto"/>
              <w:right w:val="single" w:sz="6" w:space="0" w:color="auto"/>
            </w:tcBorders>
          </w:tcPr>
          <w:p w14:paraId="1683CB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1C62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DAA215" w14:textId="77777777" w:rsidTr="00ED5B0A">
        <w:trPr>
          <w:trHeight w:val="230"/>
        </w:trPr>
        <w:tc>
          <w:tcPr>
            <w:tcW w:w="426" w:type="dxa"/>
            <w:tcBorders>
              <w:top w:val="single" w:sz="6" w:space="0" w:color="auto"/>
              <w:left w:val="single" w:sz="6" w:space="0" w:color="auto"/>
              <w:bottom w:val="nil"/>
              <w:right w:val="single" w:sz="6" w:space="0" w:color="auto"/>
            </w:tcBorders>
          </w:tcPr>
          <w:p w14:paraId="6DAD6D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14</w:t>
            </w:r>
          </w:p>
          <w:p w14:paraId="31543A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07632E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Бойцы и командиры Н-ской армии (ППС-17689-Д)</w:t>
            </w:r>
          </w:p>
          <w:p w14:paraId="02EC01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32F7AB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23 000 000</w:t>
            </w:r>
          </w:p>
          <w:p w14:paraId="627BCF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42D65A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нашу победу»</w:t>
            </w:r>
          </w:p>
          <w:p w14:paraId="346BC0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4B24B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танков Т-34</w:t>
            </w:r>
          </w:p>
          <w:p w14:paraId="67184B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2A1047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ТК (т. Сахно)</w:t>
            </w:r>
          </w:p>
          <w:p w14:paraId="4D9EE6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640824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25-30.10</w:t>
            </w:r>
          </w:p>
          <w:p w14:paraId="276681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nil"/>
              <w:right w:val="single" w:sz="6" w:space="0" w:color="auto"/>
            </w:tcBorders>
          </w:tcPr>
          <w:p w14:paraId="2288ED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7A07C3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89E01A" w14:textId="77777777" w:rsidTr="00ED5B0A">
        <w:trPr>
          <w:trHeight w:val="230"/>
        </w:trPr>
        <w:tc>
          <w:tcPr>
            <w:tcW w:w="426" w:type="dxa"/>
            <w:tcBorders>
              <w:top w:val="nil"/>
              <w:left w:val="single" w:sz="6" w:space="0" w:color="auto"/>
              <w:bottom w:val="nil"/>
              <w:right w:val="single" w:sz="6" w:space="0" w:color="auto"/>
            </w:tcBorders>
          </w:tcPr>
          <w:p w14:paraId="5C88B0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FE8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8BBDF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CCC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50C38F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5B4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33926D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AC4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67CABD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СУ-152</w:t>
            </w:r>
          </w:p>
          <w:p w14:paraId="67C77DE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6B36B1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63C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37BB91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E53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6D88E2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8A3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992643" w14:textId="77777777" w:rsidTr="00ED5B0A">
        <w:trPr>
          <w:trHeight w:val="230"/>
        </w:trPr>
        <w:tc>
          <w:tcPr>
            <w:tcW w:w="426" w:type="dxa"/>
            <w:tcBorders>
              <w:top w:val="nil"/>
              <w:left w:val="single" w:sz="6" w:space="0" w:color="auto"/>
              <w:bottom w:val="nil"/>
              <w:right w:val="single" w:sz="6" w:space="0" w:color="auto"/>
            </w:tcBorders>
          </w:tcPr>
          <w:p w14:paraId="6A6741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3EA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68236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F6C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299A01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C72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081EEC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99D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FC877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СУ-85</w:t>
            </w:r>
          </w:p>
          <w:p w14:paraId="28975F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523C9C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F7B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563874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FF2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nil"/>
              <w:right w:val="single" w:sz="6" w:space="0" w:color="auto"/>
            </w:tcBorders>
          </w:tcPr>
          <w:p w14:paraId="1AA7FC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D7B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1EC0C1" w14:textId="77777777" w:rsidTr="00ED5B0A">
        <w:trPr>
          <w:trHeight w:val="250"/>
        </w:trPr>
        <w:tc>
          <w:tcPr>
            <w:tcW w:w="426" w:type="dxa"/>
            <w:tcBorders>
              <w:top w:val="nil"/>
              <w:left w:val="single" w:sz="6" w:space="0" w:color="auto"/>
              <w:bottom w:val="single" w:sz="6" w:space="0" w:color="auto"/>
              <w:right w:val="single" w:sz="6" w:space="0" w:color="auto"/>
            </w:tcBorders>
          </w:tcPr>
          <w:p w14:paraId="335DBC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74D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34DEF9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CC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29BC6D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D54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4650E4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D42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28DE6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СУ-76</w:t>
            </w:r>
          </w:p>
          <w:p w14:paraId="18C6A9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18651A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9F2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6DA02F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DE6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nil"/>
              <w:left w:val="single" w:sz="6" w:space="0" w:color="auto"/>
              <w:bottom w:val="single" w:sz="6" w:space="0" w:color="auto"/>
              <w:right w:val="single" w:sz="6" w:space="0" w:color="auto"/>
            </w:tcBorders>
          </w:tcPr>
          <w:p w14:paraId="6E4EBB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D2B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7E65B9" w14:textId="77777777" w:rsidTr="00ED5B0A">
        <w:trPr>
          <w:trHeight w:val="230"/>
        </w:trPr>
        <w:tc>
          <w:tcPr>
            <w:tcW w:w="426" w:type="dxa"/>
            <w:tcBorders>
              <w:top w:val="single" w:sz="6" w:space="0" w:color="auto"/>
              <w:left w:val="single" w:sz="6" w:space="0" w:color="auto"/>
              <w:bottom w:val="nil"/>
              <w:right w:val="single" w:sz="6" w:space="0" w:color="auto"/>
            </w:tcBorders>
          </w:tcPr>
          <w:p w14:paraId="76D590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p w14:paraId="7A1BC0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15C103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ВЦСПС и ЦК профсоюзов г. Москвы</w:t>
            </w:r>
          </w:p>
          <w:p w14:paraId="28BF26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482D6E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100000000</w:t>
            </w:r>
          </w:p>
          <w:p w14:paraId="11F2419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15CBDA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328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08D43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415 танков Т-34</w:t>
            </w:r>
          </w:p>
          <w:p w14:paraId="565141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065922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ТА (т. Катуков)</w:t>
            </w:r>
          </w:p>
          <w:p w14:paraId="248DEA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7360CA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20-30.11</w:t>
            </w:r>
          </w:p>
          <w:p w14:paraId="634C53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02396F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706B8F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6769B0" w14:textId="77777777" w:rsidTr="00ED5B0A">
        <w:trPr>
          <w:trHeight w:val="221"/>
        </w:trPr>
        <w:tc>
          <w:tcPr>
            <w:tcW w:w="426" w:type="dxa"/>
            <w:tcBorders>
              <w:top w:val="nil"/>
              <w:left w:val="single" w:sz="6" w:space="0" w:color="auto"/>
              <w:bottom w:val="nil"/>
              <w:right w:val="single" w:sz="6" w:space="0" w:color="auto"/>
            </w:tcBorders>
          </w:tcPr>
          <w:p w14:paraId="311152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8B9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84999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BD5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276BE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B2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6A7F78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2C0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6CF9D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 СУ-85</w:t>
            </w:r>
          </w:p>
          <w:p w14:paraId="35C9CB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19959E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E5EB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5E96C1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8261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1CD1B4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F5DE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E94ADC" w14:textId="77777777" w:rsidTr="00ED5B0A">
        <w:trPr>
          <w:trHeight w:val="230"/>
        </w:trPr>
        <w:tc>
          <w:tcPr>
            <w:tcW w:w="426" w:type="dxa"/>
            <w:tcBorders>
              <w:top w:val="nil"/>
              <w:left w:val="single" w:sz="6" w:space="0" w:color="auto"/>
              <w:bottom w:val="single" w:sz="6" w:space="0" w:color="auto"/>
              <w:right w:val="single" w:sz="6" w:space="0" w:color="auto"/>
            </w:tcBorders>
          </w:tcPr>
          <w:p w14:paraId="6C4E74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725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2AEF3B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7D0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44D367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538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17EB3F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C36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04B183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 СУ-76</w:t>
            </w:r>
          </w:p>
          <w:p w14:paraId="28FF97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7062CF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C60E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5E1683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FEA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7D883D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9C1B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F71412" w14:textId="77777777" w:rsidTr="00ED5B0A">
        <w:trPr>
          <w:trHeight w:val="230"/>
        </w:trPr>
        <w:tc>
          <w:tcPr>
            <w:tcW w:w="426" w:type="dxa"/>
            <w:tcBorders>
              <w:top w:val="single" w:sz="6" w:space="0" w:color="auto"/>
              <w:left w:val="single" w:sz="6" w:space="0" w:color="auto"/>
              <w:bottom w:val="nil"/>
              <w:right w:val="single" w:sz="6" w:space="0" w:color="auto"/>
            </w:tcBorders>
          </w:tcPr>
          <w:p w14:paraId="11E9D7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p w14:paraId="52FA54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68766B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и колхозницы Грузии</w:t>
            </w:r>
          </w:p>
          <w:p w14:paraId="2212A0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3FB049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75 500 000 (остаток 30 000 000)</w:t>
            </w:r>
          </w:p>
          <w:p w14:paraId="6909D3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nil"/>
              <w:right w:val="single" w:sz="6" w:space="0" w:color="auto"/>
            </w:tcBorders>
          </w:tcPr>
          <w:p w14:paraId="38FE92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 Грузии»</w:t>
            </w:r>
          </w:p>
          <w:p w14:paraId="194F60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15474E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танков Т-34</w:t>
            </w:r>
          </w:p>
          <w:p w14:paraId="6BA4FA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333D6A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гв. Кант. танк, корпус (т. Полуб-ояров)</w:t>
            </w:r>
          </w:p>
          <w:p w14:paraId="5620A3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3D354D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5-10.12</w:t>
            </w:r>
          </w:p>
          <w:p w14:paraId="40F9F6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506BA7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полковника Колосова</w:t>
            </w:r>
          </w:p>
          <w:p w14:paraId="4D046D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1E576A" w14:textId="77777777" w:rsidTr="00ED5B0A">
        <w:trPr>
          <w:trHeight w:val="230"/>
        </w:trPr>
        <w:tc>
          <w:tcPr>
            <w:tcW w:w="426" w:type="dxa"/>
            <w:tcBorders>
              <w:top w:val="nil"/>
              <w:left w:val="single" w:sz="6" w:space="0" w:color="auto"/>
              <w:bottom w:val="nil"/>
              <w:right w:val="single" w:sz="6" w:space="0" w:color="auto"/>
            </w:tcBorders>
          </w:tcPr>
          <w:p w14:paraId="4AC9C2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9C3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23D2E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8E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4B2E9C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172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nil"/>
              <w:right w:val="single" w:sz="6" w:space="0" w:color="auto"/>
            </w:tcBorders>
          </w:tcPr>
          <w:p w14:paraId="27D594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9DC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5A8F1B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СУ-85</w:t>
            </w:r>
          </w:p>
          <w:p w14:paraId="3F2BE9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nil"/>
              <w:right w:val="single" w:sz="6" w:space="0" w:color="auto"/>
            </w:tcBorders>
          </w:tcPr>
          <w:p w14:paraId="12B1C6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173A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nil"/>
              <w:right w:val="single" w:sz="6" w:space="0" w:color="auto"/>
            </w:tcBorders>
          </w:tcPr>
          <w:p w14:paraId="1B1C58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AC0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7F6581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1671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BF5748" w14:textId="77777777" w:rsidTr="00ED5B0A">
        <w:trPr>
          <w:trHeight w:val="250"/>
        </w:trPr>
        <w:tc>
          <w:tcPr>
            <w:tcW w:w="426" w:type="dxa"/>
            <w:tcBorders>
              <w:top w:val="nil"/>
              <w:left w:val="single" w:sz="6" w:space="0" w:color="auto"/>
              <w:bottom w:val="single" w:sz="6" w:space="0" w:color="auto"/>
              <w:right w:val="single" w:sz="6" w:space="0" w:color="auto"/>
            </w:tcBorders>
          </w:tcPr>
          <w:p w14:paraId="530C32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502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592EFC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A95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3191E1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CA4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nil"/>
              <w:left w:val="single" w:sz="6" w:space="0" w:color="auto"/>
              <w:bottom w:val="single" w:sz="6" w:space="0" w:color="auto"/>
              <w:right w:val="single" w:sz="6" w:space="0" w:color="auto"/>
            </w:tcBorders>
          </w:tcPr>
          <w:p w14:paraId="7CB174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C96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49A80E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СУ-76</w:t>
            </w:r>
          </w:p>
          <w:p w14:paraId="4F3AC2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1C3F9B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2F8B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6E10E5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4C7A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260683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852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8840F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Главного управления формирования и боевой подготовки БТ и МВ КА</w:t>
      </w:r>
    </w:p>
    <w:p w14:paraId="1D5BBF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генерал-лейтенант танковых войск Чернявский</w:t>
      </w:r>
    </w:p>
    <w:p w14:paraId="63DE45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11367. Д. 3. Л. 58 с об. Подлинник (11403).</w:t>
      </w:r>
    </w:p>
    <w:p w14:paraId="610CFE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17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Распоряжение ГКО № 4412. Об обеспечении электроэнергией завода № 38 НКТП в Кирове в 1944 г.РГАНИР, Фонд ГКО, д. 167, лл. 1 (11012).</w:t>
      </w:r>
    </w:p>
    <w:p w14:paraId="4A50A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1BD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Распоряжение ГКО № 4413. Об учреждении переходящих Красных знамен ГКО и установлении премий для молодежных отрядов, работающих на восстановлении электростанций и предприятий черной металлургии Донбасса.РГАНИР, Фонд ГКО, д. 167, лл. 2-3 (11012).</w:t>
      </w:r>
    </w:p>
    <w:p w14:paraId="7F16CE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A20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Распоряжение ГКО № 4414. Об обеспечении вольских цементных заводов горючим в межнавигационный период 1943-44 гг.РГАНИР, Фонд ГКО, д. 167, лл. 4 (11012).</w:t>
      </w:r>
    </w:p>
    <w:p w14:paraId="04887F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4CB8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Распоряжение ГКО № 4415 О передаче из Наркомата минометного вооружения в Наркомат электростанций Харцызского чугунолитейного и механического завода "Красный фитинг". (7150, 5).</w:t>
      </w:r>
    </w:p>
    <w:p w14:paraId="1881BC0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168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Постановление ГКО № 4416 О плане ремонта автомобилей для Красной Армии и Военно-Морского Флота на IV квартал 1943 года.РГАНИР, Фонд ГКО, д. 167, лл. 6-11, 12-83 (11012).</w:t>
      </w:r>
    </w:p>
    <w:p w14:paraId="2F243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0283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вышло Постановление ГКО № 4417 О плане производства и восстановлении Сталинградского тракторного завода на IV квартал 1943 года.РГАНИР, Фонд ГКО, д. 167, лл. 84-95, 96-109 (11012).</w:t>
      </w:r>
    </w:p>
    <w:p w14:paraId="4A6F85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BC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24-26 октября 1943 Спущен на воду 10-й МБК (10671).</w:t>
      </w:r>
    </w:p>
    <w:p w14:paraId="6216B7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6F0B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59D9F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F272D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24 октября </w:t>
      </w:r>
      <w:r w:rsidRPr="00271E51">
        <w:rPr>
          <w:rFonts w:ascii="Times New Roman" w:hAnsi="Times New Roman"/>
          <w:color w:val="000000" w:themeColor="text1"/>
          <w:sz w:val="16"/>
          <w:szCs w:val="16"/>
        </w:rPr>
        <w:t>в 1943 году оперативная сводка Совинформбюро:</w:t>
      </w:r>
    </w:p>
    <w:p w14:paraId="722CD58E"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октября в районе города Мелитополь наши войска, продолжая расширять прорыв обороны противника, овладели сильно укреплёнными опорными пунктами Семёновка, Гутерталь, Иоганесруэ и железнодорожной станцией Тащенак.</w:t>
      </w:r>
    </w:p>
    <w:p w14:paraId="3D09A9FD"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продолжая наступление, продвинулись на отдельных участках вперёд от 6 до 10 километров и заняли более 50 населённых пунктов, среди которых крупные населённые пункты Баштина, Терноватка, Недайвода, Лозоватка (10 километров севернее города Кривой Рог), Весёлые Терны,Саивка, Гуровка, Алфёрово, Варваровка, Богдановка и железнодорожные станции Савро, Рядовая, Терны, Калачёвское.</w:t>
      </w:r>
    </w:p>
    <w:p w14:paraId="36CB1D1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преодолевая сопротивление и контратаки противника, продолжали вести бои по расширению плацдарма на правом берегу Днепра и овладели сильно укреплёнными опорными пунктами Дубровка, Чанец, Тучки, Островы, Тростинец, Красный Рог, Севки.</w:t>
      </w:r>
    </w:p>
    <w:p w14:paraId="2926B39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4CC4C4AE"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октября наши войска на всех фронтах подбили и уничтожили 148 немецких танков. В воздушных боях и огнём зенитной артиллерии сбито 46 самолётов противника.</w:t>
      </w:r>
    </w:p>
    <w:p w14:paraId="33BA27B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Мелитополя наши войска, прорвав оборону противника, продолжали продвигаться вперёд и заняли несколько сильно укреплённых опорных пунктов. На ряде участков советские части вышли к железной дороге Мелитополь — Запорожье. Ожесточённый бой завязался на подступах к одному населённому пункту. Немцы сосредоточили здесь крупные силы и любой ценой пытались удержать опорный пункт в своих руках. Советские артиллеристы, танкисты и пехотинцы разгромили противника и заняли населённый пункт. В ходе боёв сегодня на разных участках уничтожено до 2.000 гитлеровцев, сожжено и подбито 66 танков, 24 самоходных орудия, 85 полевых орудий, 44 миномёта и более 150 пулемётов. Захвачены трофеи, в числе которых 5 танков, 28 орудий, 93 пулемёта, два склада боеприпасов и вещевой склад. Взято в плен более 200 немецких солдат и офицеров.</w:t>
      </w:r>
    </w:p>
    <w:p w14:paraId="079295E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наносить удары по немецким войскам. В результате боевых действий советскими лётчиками уничтожено большое число танков, разбито до 200 автомашин, уничтожено и повреждено 3 паровоза и свыше 40 железнодорожных вагонов и цистерн. В воздушных боях сбито 14 немецких самолётов.</w:t>
      </w:r>
    </w:p>
    <w:p w14:paraId="1D8CE95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Все попытки противника задержать наступающие танковые и пехотные части не увенчались успехом. Продвигаясь вперёд, наши войска заняли свыше 50 населённых пунктов, в том числе Лозоватку, расположенную в 10 километрах севернее города Кривой Рог. Противник несёт огромные потери. На одном участке наши танкисты разгромили полк немецкой пехоты, подожгли и подбили 39 танков противника. Захвачено 44 орудия и крупные склады боеприпасов и вещевого имущества. На другом участке бойцы Н-скойчасти, овладев населённым пунктом, захватили несколько немецких артиллерийских батарей, 8 танков и обоз с военным имуществом. Взято значительное число пленных.</w:t>
      </w:r>
    </w:p>
    <w:p w14:paraId="41E0EAE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в течение дня сбили 24 немецких самолёта.</w:t>
      </w:r>
    </w:p>
    <w:p w14:paraId="6CA0652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наши войска продолжали вести бои за расширение плацдарма на правом берегу Днепра и овладели рядом сильно укреплённых опорных пунктов. Противник оказывает ожесточённое сопротивление. На одном участке немцы в течение дня предприняли более двадцати контратак. Вражеские танки и пехота, поддержанные значительными силами авиации, неоднократно бросались на наши боевые порядки, но каждый раз несли огромные потери и откатывались назад. В этих боях противник потерял только убитыми не менее 1.500 солдат и офицеров. Уничтожено 14 танков, 12 орудий и 26 миномётов. Захвачены трофеи, среди которых 11 орудий и один полностью исправный танк. Взяты пленные.</w:t>
      </w:r>
    </w:p>
    <w:p w14:paraId="60555CB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транспорт противника водоизмещением в 3.000 тонн.</w:t>
      </w:r>
    </w:p>
    <w:p w14:paraId="45D2A05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Партизанский отряд, действующий в одном из районов Ленинградской области, на днях совершил смелый налёт на крупную железнодорожную станцию. На запасных путях стояли два эшелона с немецкими войсками. Партизаны бесшумно сняли часовых, о кружили оба поезда и открыли огонь по гитлеровцам. Застигнутые врасплох немцы были в большей своей части уничтожены. Семь штабных немецких офицеров захвачены в плен. Советские патриоты взорвали два паровоза, подожгли вагоны и три военных склада противника. Повреждён железнодорожный мост, разрушены стрелки и железнодорожные пути. В этом же районе партизаны освободили свыше тысячи мирных советских граждан, которых немцы угоняли на каторгу в Германию.</w:t>
      </w:r>
    </w:p>
    <w:p w14:paraId="3C5DE48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сдалась в плен большая группа солдат и офицеров 339 немецкой пехотной дивизии. Пленный командир 12 роты 692 полка обер-лейтенант Гельмут Кельнер рассказал: «В тяжёлых оборонительных боях в районе Людинова дивизия потеряла свыше половины личного состава и почти всё вооружение. Вскоре нас срочно направили в Киев, а оттуда на новый участок фронта. Командование поставило задачу — отбросить русских за Днепр, но все наши контратаки потерпели неудачу. Затем последовал приказ — во что бы то ни стало удержать занимаемые позиции. Этот приказ мы также не выполнили. Третий батальон попал в окружение и полностью уничтожен. Дивизия была отброшена и разбита. Часть солдат и офицеров сдалась в плен».</w:t>
      </w:r>
    </w:p>
    <w:p w14:paraId="7913D37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10 роты 692 полка капитан Герман Виндевальд заявил: «Полк понёс огромные потери. Мои люди совершенно измучены. За четыре недели мы ни разу не раздевались и не мылись. От моей роты осталось 8 солдат. Я решил сложить оружие и вместе с оставшимися в живых солдатами сдался в плен».</w:t>
      </w:r>
    </w:p>
    <w:p w14:paraId="08A5968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3 роты резервного батальона лейтенант Вилли Веренберг сообщил: «В трёхдневных боях моя рота была разгромлена. В ней осталось всего лишь 13 человек. Я сказал солдатам: «Русские ведут уничтожающий огонь, сопротивляться бесполезно. Надо сдаваться». Солдаты все, как один, последовали за мной, и мы сдались в плен».</w:t>
      </w:r>
    </w:p>
    <w:p w14:paraId="538CF915"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Озеряны, Черниговской области, рассказали о чудовищных зверствах немецко-фашистских мерзавцев: «За время оккупации гитлеровцы зверски замучили сотни мирных жителей. 19 марта 1943 года немецкие изверги сожгли 93 хозяйства со всеми надворными постройками. В огне погибло 267 жителей, которых немцы не выпустили из домов. В огне сгорели сельский учитель Петр Гольченко, колхозники Елисей Зуб, Петр Ройко, много женщин и детей. В июле гитлеровские палачи арестовали молодую девушку Наталию Кононенко только за то, что она сплела и возложила венок на могилу убитого партизана. Немецкие варвары подвергли Кононенко зверским пыткам. Собрав последние силы, истерзанная девушка воскликнула: «Да здравствует наша советская Родина! Привет партизанам!» Истекавшую кровью советскую патриотку немецкие палачи бросили в колодец» (14809).</w:t>
      </w:r>
    </w:p>
    <w:p w14:paraId="623C895F"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476EED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24, 1943: The Red Army achieves a breakthrough on the Dnepr river and captures Melitopol (3819).</w:t>
      </w:r>
    </w:p>
    <w:p w14:paraId="058DFE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36CAA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Днепропетровск и Днепродзержинск были освобождены от немцев (2990).</w:t>
      </w:r>
    </w:p>
    <w:p w14:paraId="6AD664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ED2F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85153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46B286"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октября 1943 был рейд 62 B-25 Mitchells пятой армии ВВС на Рабаул в сопровождении 54 P-38 Lightning (20376).</w:t>
      </w:r>
    </w:p>
    <w:p w14:paraId="113BC1E2" w14:textId="77777777" w:rsidR="00350BE0" w:rsidRPr="00271E51" w:rsidRDefault="00350BE0" w:rsidP="00271E51">
      <w:pPr>
        <w:spacing w:after="0" w:line="240" w:lineRule="auto"/>
        <w:jc w:val="both"/>
        <w:rPr>
          <w:rFonts w:ascii="Times New Roman" w:hAnsi="Times New Roman"/>
          <w:color w:val="0070C0"/>
          <w:sz w:val="16"/>
          <w:szCs w:val="16"/>
        </w:rPr>
      </w:pPr>
    </w:p>
    <w:p w14:paraId="52EF18A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октября 1943 из фашистского лагеря Монтеротондо (Италия) бежали 14 советских военнопленных (4962).</w:t>
      </w:r>
    </w:p>
    <w:p w14:paraId="39921F6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A9C1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8D3D0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E4B3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в очередной сводке НИИ ВВС о ходе работ по опытному самолетостроению от указывалось, что работы по Ил-1 АМ-42 ведутся крайне медленными темпами (7442). 25 октября 1943 г. в очередной сводке о ходе работ по опытному само</w:t>
      </w:r>
      <w:r w:rsidRPr="00271E51">
        <w:rPr>
          <w:rFonts w:ascii="Times New Roman" w:hAnsi="Times New Roman"/>
          <w:color w:val="000000" w:themeColor="text1"/>
          <w:sz w:val="16"/>
          <w:szCs w:val="16"/>
        </w:rPr>
        <w:softHyphen/>
        <w:t>летостроению пря</w:t>
      </w:r>
      <w:r w:rsidRPr="00271E51">
        <w:rPr>
          <w:rFonts w:ascii="Times New Roman" w:hAnsi="Times New Roman"/>
          <w:color w:val="000000" w:themeColor="text1"/>
          <w:sz w:val="16"/>
          <w:szCs w:val="16"/>
        </w:rPr>
        <w:softHyphen/>
        <w:t>мо указывалось на крайне медленную работу по Ил-1, что «недопустимо в ус</w:t>
      </w:r>
      <w:r w:rsidRPr="00271E51">
        <w:rPr>
          <w:rFonts w:ascii="Times New Roman" w:hAnsi="Times New Roman"/>
          <w:color w:val="000000" w:themeColor="text1"/>
          <w:sz w:val="16"/>
          <w:szCs w:val="16"/>
        </w:rPr>
        <w:softHyphen/>
        <w:t>ловиях военного времени»</w:t>
      </w:r>
    </w:p>
    <w:p w14:paraId="50B86F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80C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w:t>
      </w:r>
      <w:r w:rsidRPr="00271E51">
        <w:rPr>
          <w:rFonts w:ascii="Times New Roman" w:hAnsi="Times New Roman"/>
          <w:color w:val="000000" w:themeColor="text1"/>
          <w:sz w:val="16"/>
          <w:szCs w:val="16"/>
        </w:rPr>
        <w:softHyphen/>
        <w:t>ря 1943 в очеред</w:t>
      </w:r>
      <w:r w:rsidRPr="00271E51">
        <w:rPr>
          <w:rFonts w:ascii="Times New Roman" w:hAnsi="Times New Roman"/>
          <w:color w:val="000000" w:themeColor="text1"/>
          <w:sz w:val="16"/>
          <w:szCs w:val="16"/>
        </w:rPr>
        <w:softHyphen/>
        <w:t>ной сводке о ходе работ по опытно</w:t>
      </w:r>
      <w:r w:rsidRPr="00271E51">
        <w:rPr>
          <w:rFonts w:ascii="Times New Roman" w:hAnsi="Times New Roman"/>
          <w:color w:val="000000" w:themeColor="text1"/>
          <w:sz w:val="16"/>
          <w:szCs w:val="16"/>
        </w:rPr>
        <w:softHyphen/>
        <w:t>му самолетостроению прямо указывалось, что работы по опытным самолетам ОКБ и заво</w:t>
      </w:r>
      <w:r w:rsidRPr="00271E51">
        <w:rPr>
          <w:rFonts w:ascii="Times New Roman" w:hAnsi="Times New Roman"/>
          <w:color w:val="000000" w:themeColor="text1"/>
          <w:sz w:val="16"/>
          <w:szCs w:val="16"/>
        </w:rPr>
        <w:softHyphen/>
        <w:t>дами ведутся крайне медленными темпами, что "недопустимо в усло</w:t>
      </w:r>
      <w:r w:rsidRPr="00271E51">
        <w:rPr>
          <w:rFonts w:ascii="Times New Roman" w:hAnsi="Times New Roman"/>
          <w:color w:val="000000" w:themeColor="text1"/>
          <w:sz w:val="16"/>
          <w:szCs w:val="16"/>
        </w:rPr>
        <w:softHyphen/>
        <w:t>виях военного времени". Видимо, по этой причине 26 октября вышло По</w:t>
      </w:r>
      <w:r w:rsidRPr="00271E51">
        <w:rPr>
          <w:rFonts w:ascii="Times New Roman" w:hAnsi="Times New Roman"/>
          <w:color w:val="000000" w:themeColor="text1"/>
          <w:sz w:val="16"/>
          <w:szCs w:val="16"/>
        </w:rPr>
        <w:softHyphen/>
        <w:t>становление ГОКО, которое требо</w:t>
      </w:r>
      <w:r w:rsidRPr="00271E51">
        <w:rPr>
          <w:rFonts w:ascii="Times New Roman" w:hAnsi="Times New Roman"/>
          <w:color w:val="000000" w:themeColor="text1"/>
          <w:sz w:val="16"/>
          <w:szCs w:val="16"/>
        </w:rPr>
        <w:softHyphen/>
        <w:t>вало не позднее 15 ноября предъя</w:t>
      </w:r>
      <w:r w:rsidRPr="00271E51">
        <w:rPr>
          <w:rFonts w:ascii="Times New Roman" w:hAnsi="Times New Roman"/>
          <w:color w:val="000000" w:themeColor="text1"/>
          <w:sz w:val="16"/>
          <w:szCs w:val="16"/>
        </w:rPr>
        <w:softHyphen/>
        <w:t>вить на государственные испытания истребитель Ил-1 АМ-42 в одномес</w:t>
      </w:r>
      <w:r w:rsidRPr="00271E51">
        <w:rPr>
          <w:rFonts w:ascii="Times New Roman" w:hAnsi="Times New Roman"/>
          <w:color w:val="000000" w:themeColor="text1"/>
          <w:sz w:val="16"/>
          <w:szCs w:val="16"/>
        </w:rPr>
        <w:softHyphen/>
        <w:t>тном и двухместном варианте и са</w:t>
      </w:r>
      <w:r w:rsidRPr="00271E51">
        <w:rPr>
          <w:rFonts w:ascii="Times New Roman" w:hAnsi="Times New Roman"/>
          <w:color w:val="000000" w:themeColor="text1"/>
          <w:sz w:val="16"/>
          <w:szCs w:val="16"/>
        </w:rPr>
        <w:softHyphen/>
        <w:t>молеты Ил-2 АМ-42 в вариантах штурмовика и разведчика-корректи</w:t>
      </w:r>
      <w:r w:rsidRPr="00271E51">
        <w:rPr>
          <w:rFonts w:ascii="Times New Roman" w:hAnsi="Times New Roman"/>
          <w:color w:val="000000" w:themeColor="text1"/>
          <w:sz w:val="16"/>
          <w:szCs w:val="16"/>
        </w:rPr>
        <w:softHyphen/>
        <w:t>ровщика.</w:t>
      </w:r>
    </w:p>
    <w:p w14:paraId="5465A2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необходимо добавить, что военные на основе анализа двухлет</w:t>
      </w:r>
      <w:r w:rsidRPr="00271E51">
        <w:rPr>
          <w:rFonts w:ascii="Times New Roman" w:hAnsi="Times New Roman"/>
          <w:color w:val="000000" w:themeColor="text1"/>
          <w:sz w:val="16"/>
          <w:szCs w:val="16"/>
        </w:rPr>
        <w:softHyphen/>
        <w:t>него опыта войны пришли к выводу, что из всех летно-технических харак</w:t>
      </w:r>
      <w:r w:rsidRPr="00271E51">
        <w:rPr>
          <w:rFonts w:ascii="Times New Roman" w:hAnsi="Times New Roman"/>
          <w:color w:val="000000" w:themeColor="text1"/>
          <w:sz w:val="16"/>
          <w:szCs w:val="16"/>
        </w:rPr>
        <w:softHyphen/>
        <w:t>теристик самолетов маневренность оказывает решающее влияние на жи</w:t>
      </w:r>
      <w:r w:rsidRPr="00271E51">
        <w:rPr>
          <w:rFonts w:ascii="Times New Roman" w:hAnsi="Times New Roman"/>
          <w:color w:val="000000" w:themeColor="text1"/>
          <w:sz w:val="16"/>
          <w:szCs w:val="16"/>
        </w:rPr>
        <w:softHyphen/>
        <w:t>вучесть в бою при действиях по на</w:t>
      </w:r>
      <w:r w:rsidRPr="00271E51">
        <w:rPr>
          <w:rFonts w:ascii="Times New Roman" w:hAnsi="Times New Roman"/>
          <w:color w:val="000000" w:themeColor="text1"/>
          <w:sz w:val="16"/>
          <w:szCs w:val="16"/>
        </w:rPr>
        <w:softHyphen/>
        <w:t>земным целям. При этом особое вни</w:t>
      </w:r>
      <w:r w:rsidRPr="00271E51">
        <w:rPr>
          <w:rFonts w:ascii="Times New Roman" w:hAnsi="Times New Roman"/>
          <w:color w:val="000000" w:themeColor="text1"/>
          <w:sz w:val="16"/>
          <w:szCs w:val="16"/>
        </w:rPr>
        <w:softHyphen/>
        <w:t>мание обращалось на оснащение перспективного самолета-штурмови</w:t>
      </w:r>
      <w:r w:rsidRPr="00271E51">
        <w:rPr>
          <w:rFonts w:ascii="Times New Roman" w:hAnsi="Times New Roman"/>
          <w:color w:val="000000" w:themeColor="text1"/>
          <w:sz w:val="16"/>
          <w:szCs w:val="16"/>
        </w:rPr>
        <w:softHyphen/>
        <w:t>ка мотором воздушного охлаждения и на повышение эффективности бро</w:t>
      </w:r>
      <w:r w:rsidRPr="00271E51">
        <w:rPr>
          <w:rFonts w:ascii="Times New Roman" w:hAnsi="Times New Roman"/>
          <w:color w:val="000000" w:themeColor="text1"/>
          <w:sz w:val="16"/>
          <w:szCs w:val="16"/>
        </w:rPr>
        <w:softHyphen/>
        <w:t>невой защиты при одновременном снижении доли брони в полетном весе.</w:t>
      </w:r>
    </w:p>
    <w:p w14:paraId="5A29AB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наметилась явная тенденция к снижению интереса ВВС к самолетам многоцелевого назна</w:t>
      </w:r>
      <w:r w:rsidRPr="00271E51">
        <w:rPr>
          <w:rFonts w:ascii="Times New Roman" w:hAnsi="Times New Roman"/>
          <w:color w:val="000000" w:themeColor="text1"/>
          <w:sz w:val="16"/>
          <w:szCs w:val="16"/>
        </w:rPr>
        <w:softHyphen/>
        <w:t>чения и повышению его к маневрен</w:t>
      </w:r>
      <w:r w:rsidRPr="00271E51">
        <w:rPr>
          <w:rFonts w:ascii="Times New Roman" w:hAnsi="Times New Roman"/>
          <w:color w:val="000000" w:themeColor="text1"/>
          <w:sz w:val="16"/>
          <w:szCs w:val="16"/>
        </w:rPr>
        <w:softHyphen/>
        <w:t>ным штурмовикам,предназначенным исключительно для решения боевых задач непосредственной поддержки войск. Для такой специализации уже были созданы необходимые условия: превосходство в воздухе на главных операционных направлениях в целом завоевано советскими ВВС, вопрос о количестве самолетов в основном решен, имелась уверенность в ско</w:t>
      </w:r>
      <w:r w:rsidRPr="00271E51">
        <w:rPr>
          <w:rFonts w:ascii="Times New Roman" w:hAnsi="Times New Roman"/>
          <w:color w:val="000000" w:themeColor="text1"/>
          <w:sz w:val="16"/>
          <w:szCs w:val="16"/>
        </w:rPr>
        <w:softHyphen/>
        <w:t>ром налаживании устойчивого про</w:t>
      </w:r>
      <w:r w:rsidRPr="00271E51">
        <w:rPr>
          <w:rFonts w:ascii="Times New Roman" w:hAnsi="Times New Roman"/>
          <w:color w:val="000000" w:themeColor="text1"/>
          <w:sz w:val="16"/>
          <w:szCs w:val="16"/>
        </w:rPr>
        <w:softHyphen/>
        <w:t>изводства весьма сильного фронто</w:t>
      </w:r>
      <w:r w:rsidRPr="00271E51">
        <w:rPr>
          <w:rFonts w:ascii="Times New Roman" w:hAnsi="Times New Roman"/>
          <w:color w:val="000000" w:themeColor="text1"/>
          <w:sz w:val="16"/>
          <w:szCs w:val="16"/>
        </w:rPr>
        <w:softHyphen/>
        <w:t>вого бомбардировщика Ту-2, а в качестве пикировщика военных впол</w:t>
      </w:r>
      <w:r w:rsidRPr="00271E51">
        <w:rPr>
          <w:rFonts w:ascii="Times New Roman" w:hAnsi="Times New Roman"/>
          <w:color w:val="000000" w:themeColor="text1"/>
          <w:sz w:val="16"/>
          <w:szCs w:val="16"/>
        </w:rPr>
        <w:softHyphen/>
        <w:t>не устраивала проверенная в боях "пешка". Для обеспечения качествен</w:t>
      </w:r>
      <w:r w:rsidRPr="00271E51">
        <w:rPr>
          <w:rFonts w:ascii="Times New Roman" w:hAnsi="Times New Roman"/>
          <w:color w:val="000000" w:themeColor="text1"/>
          <w:sz w:val="16"/>
          <w:szCs w:val="16"/>
        </w:rPr>
        <w:softHyphen/>
        <w:t>ного скачка ударных возможностей ВВС в кампании 1944 г. оставалось только решить вопрос о современ</w:t>
      </w:r>
      <w:r w:rsidRPr="00271E51">
        <w:rPr>
          <w:rFonts w:ascii="Times New Roman" w:hAnsi="Times New Roman"/>
          <w:color w:val="000000" w:themeColor="text1"/>
          <w:sz w:val="16"/>
          <w:szCs w:val="16"/>
        </w:rPr>
        <w:softHyphen/>
        <w:t>ном самолете-штурмовике.</w:t>
      </w:r>
    </w:p>
    <w:p w14:paraId="0BAB22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документам, НИИ ВВС и руководство ВВС КА отчетливо по</w:t>
      </w:r>
      <w:r w:rsidRPr="00271E51">
        <w:rPr>
          <w:rFonts w:ascii="Times New Roman" w:hAnsi="Times New Roman"/>
          <w:color w:val="000000" w:themeColor="text1"/>
          <w:sz w:val="16"/>
          <w:szCs w:val="16"/>
        </w:rPr>
        <w:softHyphen/>
        <w:t>нимали, что Су-6 М-71ф является именно тем ударным самолетом, ко</w:t>
      </w:r>
      <w:r w:rsidRPr="00271E51">
        <w:rPr>
          <w:rFonts w:ascii="Times New Roman" w:hAnsi="Times New Roman"/>
          <w:color w:val="000000" w:themeColor="text1"/>
          <w:sz w:val="16"/>
          <w:szCs w:val="16"/>
        </w:rPr>
        <w:softHyphen/>
        <w:t>торого недостает в системе воору</w:t>
      </w:r>
      <w:r w:rsidRPr="00271E51">
        <w:rPr>
          <w:rFonts w:ascii="Times New Roman" w:hAnsi="Times New Roman"/>
          <w:color w:val="000000" w:themeColor="text1"/>
          <w:sz w:val="16"/>
          <w:szCs w:val="16"/>
        </w:rPr>
        <w:softHyphen/>
        <w:t>жений ВВС, и в силу этого были пол</w:t>
      </w:r>
      <w:r w:rsidRPr="00271E51">
        <w:rPr>
          <w:rFonts w:ascii="Times New Roman" w:hAnsi="Times New Roman"/>
          <w:color w:val="000000" w:themeColor="text1"/>
          <w:sz w:val="16"/>
          <w:szCs w:val="16"/>
        </w:rPr>
        <w:softHyphen/>
        <w:t>ны решимости, отстаивать свои ин</w:t>
      </w:r>
      <w:r w:rsidRPr="00271E51">
        <w:rPr>
          <w:rFonts w:ascii="Times New Roman" w:hAnsi="Times New Roman"/>
          <w:color w:val="000000" w:themeColor="text1"/>
          <w:sz w:val="16"/>
          <w:szCs w:val="16"/>
        </w:rPr>
        <w:softHyphen/>
        <w:t>тересы. По их мнению, возможности для постановки в серию "семьдесят первого" мотора и самолета Су-6 с ним у НКАП имелись (11427).</w:t>
      </w:r>
    </w:p>
    <w:p w14:paraId="3F4EB3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56D947" w14:textId="77777777" w:rsidR="00350BE0" w:rsidRPr="00271E51" w:rsidRDefault="00350BE0" w:rsidP="00271E51">
      <w:pPr>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25 октября 1943 г. было подготовлено письмо № 531317 заместителя командующего ВВС КА генерал-полковника авиации А. Никитина Наркому авиационной промышленности СССР А. Шахурину о выпуске заводом № 1 200 самолетов Ил-2 корректировочного типа и необходимости получения ВВС КА от Наркомата авиационной промышленности СССР 50 самолетов Ил-2 корректировочного типа ежемесячно для возмещения потерь на фронтах. ф. 8044, оп. 1, д. 998, л. 252 (1779).</w:t>
      </w:r>
    </w:p>
    <w:p w14:paraId="58DA1989" w14:textId="77777777" w:rsidR="00350BE0" w:rsidRPr="00271E51" w:rsidRDefault="00350BE0" w:rsidP="00271E51">
      <w:pPr>
        <w:spacing w:after="0" w:line="240" w:lineRule="auto"/>
        <w:jc w:val="both"/>
        <w:rPr>
          <w:rFonts w:ascii="Times New Roman" w:hAnsi="Times New Roman"/>
          <w:color w:val="0070C0"/>
          <w:sz w:val="16"/>
          <w:szCs w:val="16"/>
        </w:rPr>
      </w:pPr>
    </w:p>
    <w:p w14:paraId="495811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Зам. командующего ВВС Никитин писал А.И.Ш. письмо N 531317:</w:t>
      </w:r>
    </w:p>
    <w:p w14:paraId="529927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N 2841/сс от 7 февраля 1943 о выпуске заводом 1 200 самолетов Ил-2 корректировочного типа выполнено.</w:t>
      </w:r>
    </w:p>
    <w:p w14:paraId="588291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формирований и возмещения потерь на фронтах требуется ежемесячно получать от НКАП по 50 самолетов Ил-2 этого типа.</w:t>
      </w:r>
    </w:p>
    <w:p w14:paraId="24033C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вопрос доложен Г.М.М.</w:t>
      </w:r>
    </w:p>
    <w:p w14:paraId="2B45E3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1 заводу продолжать ежемесячно выпускать в счет плана поставки по 5 (?) самолетов Ил-2 в корректировочном варианте." (1879,252).</w:t>
      </w:r>
    </w:p>
    <w:p w14:paraId="3339AD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DA760"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Письмо № 531317 заместителя командующего ВВС КА генерал-полковника авиации А. Никитина Наркому авиационной промышленности СССР А. Шахурину о выпуске заводом № 1 200 самолетов Ил-2 корректировочного типа и необходимости получения ВВС КА от Наркомата авиационной промышленности СССР 50 самолетов Ил-2 корректировочного типа ежемесячно для возмещения потерь на фронтах.</w:t>
      </w:r>
    </w:p>
    <w:p w14:paraId="74CAE3BD"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Подлинник (рассекречено).</w:t>
      </w:r>
    </w:p>
    <w:p w14:paraId="268FD002"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РГАЭ ф. 8044, оп. 1, д. 998, л. 252. (18959).</w:t>
      </w:r>
    </w:p>
    <w:p w14:paraId="762BAA6D"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0435FF4D"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25 октября 1943 была составлена весо</w:t>
      </w:r>
      <w:r w:rsidRPr="00271E51">
        <w:rPr>
          <w:rFonts w:ascii="Times New Roman" w:cs="Times New Roman"/>
          <w:color w:val="000000" w:themeColor="text1"/>
          <w:spacing w:val="0"/>
        </w:rPr>
        <w:softHyphen/>
        <w:t>вая сводка ТИС с 2АМ-39, а завод №300 предоставил дополнительные сведения по весогабаритным и высотным харак</w:t>
      </w:r>
      <w:r w:rsidRPr="00271E51">
        <w:rPr>
          <w:rFonts w:ascii="Times New Roman" w:cs="Times New Roman"/>
          <w:color w:val="000000" w:themeColor="text1"/>
          <w:spacing w:val="0"/>
        </w:rPr>
        <w:softHyphen/>
        <w:t>теристикам мотора АМ-39. Это позво</w:t>
      </w:r>
      <w:r w:rsidRPr="00271E51">
        <w:rPr>
          <w:rFonts w:ascii="Times New Roman" w:cs="Times New Roman"/>
          <w:color w:val="000000" w:themeColor="text1"/>
          <w:spacing w:val="0"/>
        </w:rPr>
        <w:softHyphen/>
        <w:t>лило уточнить летные данные самолета.</w:t>
      </w:r>
    </w:p>
    <w:p w14:paraId="268FEF70"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Получалось, что вес пустого самоле</w:t>
      </w:r>
      <w:r w:rsidRPr="00271E51">
        <w:rPr>
          <w:rFonts w:ascii="Times New Roman" w:cs="Times New Roman"/>
          <w:color w:val="000000" w:themeColor="text1"/>
          <w:spacing w:val="0"/>
        </w:rPr>
        <w:softHyphen/>
        <w:t>та с моторами будет в пределах 6027 кг. Соответственно, нормальный полетный вес не превысит 8150 кг. В тоже время мотор АМ-39 имел против задания по</w:t>
      </w:r>
      <w:r w:rsidRPr="00271E51">
        <w:rPr>
          <w:rFonts w:ascii="Times New Roman" w:cs="Times New Roman"/>
          <w:color w:val="000000" w:themeColor="text1"/>
          <w:spacing w:val="0"/>
        </w:rPr>
        <w:softHyphen/>
        <w:t>ниженную высотность (5850 м) и мощ</w:t>
      </w:r>
      <w:r w:rsidRPr="00271E51">
        <w:rPr>
          <w:rFonts w:ascii="Times New Roman" w:cs="Times New Roman"/>
          <w:color w:val="000000" w:themeColor="text1"/>
          <w:spacing w:val="0"/>
        </w:rPr>
        <w:softHyphen/>
        <w:t>ность у земли и на высоте.</w:t>
      </w:r>
    </w:p>
    <w:p w14:paraId="7AE15395"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учетом результатов продувок мо</w:t>
      </w:r>
      <w:r w:rsidRPr="00271E51">
        <w:rPr>
          <w:rFonts w:ascii="Times New Roman" w:cs="Times New Roman"/>
          <w:color w:val="000000" w:themeColor="text1"/>
          <w:spacing w:val="0"/>
        </w:rPr>
        <w:softHyphen/>
        <w:t>дели самолета максимальная скорость полета ТИС 2АМ-39 по расчетам долж</w:t>
      </w:r>
      <w:r w:rsidRPr="00271E51">
        <w:rPr>
          <w:rFonts w:ascii="Times New Roman" w:cs="Times New Roman"/>
          <w:color w:val="000000" w:themeColor="text1"/>
          <w:spacing w:val="0"/>
        </w:rPr>
        <w:softHyphen/>
        <w:t>на была составить у земли 530 км/ч на номинальном режиме работы моторов и 564 км/ч - на форсированном режиме. На высоте 7150 м максимальная ско</w:t>
      </w:r>
      <w:r w:rsidRPr="00271E51">
        <w:rPr>
          <w:rFonts w:ascii="Times New Roman" w:cs="Times New Roman"/>
          <w:color w:val="000000" w:themeColor="text1"/>
          <w:spacing w:val="0"/>
        </w:rPr>
        <w:softHyphen/>
        <w:t>рость достигала 670 км/ч. При повыше</w:t>
      </w:r>
      <w:r w:rsidRPr="00271E51">
        <w:rPr>
          <w:rFonts w:ascii="Times New Roman" w:cs="Times New Roman"/>
          <w:color w:val="000000" w:themeColor="text1"/>
          <w:spacing w:val="0"/>
        </w:rPr>
        <w:softHyphen/>
        <w:t>нии высотности до обещанных заводом № 300 значений - 7000 м, максималь</w:t>
      </w:r>
      <w:r w:rsidRPr="00271E51">
        <w:rPr>
          <w:rFonts w:ascii="Times New Roman" w:cs="Times New Roman"/>
          <w:color w:val="000000" w:themeColor="text1"/>
          <w:spacing w:val="0"/>
        </w:rPr>
        <w:softHyphen/>
        <w:t>ная скорость при той же мощности мо</w:t>
      </w:r>
      <w:r w:rsidRPr="00271E51">
        <w:rPr>
          <w:rFonts w:ascii="Times New Roman" w:cs="Times New Roman"/>
          <w:color w:val="000000" w:themeColor="text1"/>
          <w:spacing w:val="0"/>
        </w:rPr>
        <w:softHyphen/>
        <w:t>торов, возрастала до 700 км/ч на высоте 8500 м. При использовании турбоком</w:t>
      </w:r>
      <w:r w:rsidRPr="00271E51">
        <w:rPr>
          <w:rFonts w:ascii="Times New Roman" w:cs="Times New Roman"/>
          <w:color w:val="000000" w:themeColor="text1"/>
          <w:spacing w:val="0"/>
        </w:rPr>
        <w:softHyphen/>
        <w:t>прессоров скорость 700 км/ч обеспечи</w:t>
      </w:r>
      <w:r w:rsidRPr="00271E51">
        <w:rPr>
          <w:rFonts w:ascii="Times New Roman" w:cs="Times New Roman"/>
          <w:color w:val="000000" w:themeColor="text1"/>
          <w:spacing w:val="0"/>
        </w:rPr>
        <w:softHyphen/>
        <w:t>валась на высоте 11000 м.</w:t>
      </w:r>
    </w:p>
    <w:p w14:paraId="3150684D"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Посадочная скорость при полетном весе самолета 8150 кг оценивалась в 147 км/ч. Разбег - 485 м при «дли</w:t>
      </w:r>
      <w:r w:rsidRPr="00271E51">
        <w:rPr>
          <w:rFonts w:ascii="Times New Roman" w:cs="Times New Roman"/>
          <w:color w:val="000000" w:themeColor="text1"/>
          <w:spacing w:val="0"/>
        </w:rPr>
        <w:softHyphen/>
        <w:t>не взлетной площадки» 1140 м. Вре</w:t>
      </w:r>
      <w:r w:rsidRPr="00271E51">
        <w:rPr>
          <w:rFonts w:ascii="Times New Roman" w:cs="Times New Roman"/>
          <w:color w:val="000000" w:themeColor="text1"/>
          <w:spacing w:val="0"/>
        </w:rPr>
        <w:softHyphen/>
        <w:t>мя подъема на высоту 5000 м не бо</w:t>
      </w:r>
      <w:r w:rsidRPr="00271E51">
        <w:rPr>
          <w:rFonts w:ascii="Times New Roman" w:cs="Times New Roman"/>
          <w:color w:val="000000" w:themeColor="text1"/>
          <w:spacing w:val="0"/>
        </w:rPr>
        <w:softHyphen/>
        <w:t>лее 6,4 мин, а время виража на высоте 1000 м - 23,4 с. Практический потолок - 10700 м.</w:t>
      </w:r>
    </w:p>
    <w:p w14:paraId="74BE1E79"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Дальность полета на высоте 8500 м при скорости 0,8 максимальной -1200 км, в перегрузку - 2000 км. При скорости 0,9 максимальной при тех же услови</w:t>
      </w:r>
      <w:r w:rsidRPr="00271E51">
        <w:rPr>
          <w:rFonts w:ascii="Times New Roman" w:cs="Times New Roman"/>
          <w:color w:val="000000" w:themeColor="text1"/>
          <w:spacing w:val="0"/>
        </w:rPr>
        <w:softHyphen/>
        <w:t>ях полета максимальная дальность со</w:t>
      </w:r>
      <w:r w:rsidRPr="00271E51">
        <w:rPr>
          <w:rFonts w:ascii="Times New Roman" w:cs="Times New Roman"/>
          <w:color w:val="000000" w:themeColor="text1"/>
          <w:spacing w:val="0"/>
        </w:rPr>
        <w:softHyphen/>
        <w:t>кращалась, соответственно, до 1000 и 1750 км (15758).</w:t>
      </w:r>
    </w:p>
    <w:p w14:paraId="3CA3F341"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p>
    <w:p w14:paraId="78B7E2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ГКО от 26 октября Як-1М переименовали в Як-3 (198,54) и запустили в серию (65,169).</w:t>
      </w:r>
    </w:p>
    <w:p w14:paraId="417ED2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Летно-технические данные опытных и серийных самолетов Як-1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16"/>
        <w:gridCol w:w="816"/>
        <w:gridCol w:w="816"/>
        <w:gridCol w:w="816"/>
        <w:gridCol w:w="816"/>
        <w:gridCol w:w="816"/>
        <w:gridCol w:w="816"/>
        <w:gridCol w:w="816"/>
        <w:gridCol w:w="816"/>
        <w:gridCol w:w="816"/>
      </w:tblGrid>
      <w:tr w:rsidR="00A907A5" w:rsidRPr="00271E51" w14:paraId="49E6FD6F" w14:textId="77777777" w:rsidTr="00ED5B0A">
        <w:tc>
          <w:tcPr>
            <w:tcW w:w="2235" w:type="dxa"/>
            <w:tcBorders>
              <w:top w:val="single" w:sz="12" w:space="0" w:color="auto"/>
            </w:tcBorders>
          </w:tcPr>
          <w:p w14:paraId="396103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 сравнения</w:t>
            </w:r>
          </w:p>
        </w:tc>
        <w:tc>
          <w:tcPr>
            <w:tcW w:w="816" w:type="dxa"/>
            <w:tcBorders>
              <w:top w:val="single" w:sz="12" w:space="0" w:color="auto"/>
            </w:tcBorders>
          </w:tcPr>
          <w:p w14:paraId="59E27E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И-26</w:t>
            </w:r>
          </w:p>
        </w:tc>
        <w:tc>
          <w:tcPr>
            <w:tcW w:w="816" w:type="dxa"/>
            <w:tcBorders>
              <w:top w:val="single" w:sz="12" w:space="0" w:color="auto"/>
            </w:tcBorders>
          </w:tcPr>
          <w:p w14:paraId="612D87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И-26-l</w:t>
            </w:r>
          </w:p>
        </w:tc>
        <w:tc>
          <w:tcPr>
            <w:tcW w:w="816" w:type="dxa"/>
            <w:tcBorders>
              <w:top w:val="single" w:sz="12" w:space="0" w:color="auto"/>
            </w:tcBorders>
          </w:tcPr>
          <w:p w14:paraId="2AC159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5695B8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И-26-П</w:t>
            </w:r>
          </w:p>
        </w:tc>
        <w:tc>
          <w:tcPr>
            <w:tcW w:w="816" w:type="dxa"/>
            <w:tcBorders>
              <w:top w:val="single" w:sz="12" w:space="0" w:color="auto"/>
            </w:tcBorders>
          </w:tcPr>
          <w:p w14:paraId="48E592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2A2F50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И-26-III</w:t>
            </w:r>
          </w:p>
        </w:tc>
        <w:tc>
          <w:tcPr>
            <w:tcW w:w="816" w:type="dxa"/>
            <w:tcBorders>
              <w:top w:val="single" w:sz="12" w:space="0" w:color="auto"/>
            </w:tcBorders>
          </w:tcPr>
          <w:p w14:paraId="742AE7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2D0AE8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УТИ-26-l</w:t>
            </w:r>
          </w:p>
        </w:tc>
        <w:tc>
          <w:tcPr>
            <w:tcW w:w="816" w:type="dxa"/>
            <w:tcBorders>
              <w:top w:val="single" w:sz="12" w:space="0" w:color="auto"/>
            </w:tcBorders>
          </w:tcPr>
          <w:p w14:paraId="1680B8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№0218</w:t>
            </w:r>
          </w:p>
          <w:p w14:paraId="634291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№301</w:t>
            </w:r>
          </w:p>
        </w:tc>
        <w:tc>
          <w:tcPr>
            <w:tcW w:w="816" w:type="dxa"/>
            <w:tcBorders>
              <w:top w:val="single" w:sz="12" w:space="0" w:color="auto"/>
            </w:tcBorders>
          </w:tcPr>
          <w:p w14:paraId="0BE4C4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0406</w:t>
            </w:r>
          </w:p>
          <w:p w14:paraId="6264A3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№301</w:t>
            </w:r>
          </w:p>
        </w:tc>
      </w:tr>
      <w:tr w:rsidR="00A907A5" w:rsidRPr="00271E51" w14:paraId="01A5C294" w14:textId="77777777" w:rsidTr="00ED5B0A">
        <w:tc>
          <w:tcPr>
            <w:tcW w:w="2235" w:type="dxa"/>
          </w:tcPr>
          <w:p w14:paraId="3D9554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E709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ТТТ</w:t>
            </w:r>
          </w:p>
        </w:tc>
        <w:tc>
          <w:tcPr>
            <w:tcW w:w="816" w:type="dxa"/>
          </w:tcPr>
          <w:p w14:paraId="4E773A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w:t>
            </w:r>
          </w:p>
        </w:tc>
        <w:tc>
          <w:tcPr>
            <w:tcW w:w="816" w:type="dxa"/>
          </w:tcPr>
          <w:p w14:paraId="4F0F09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w:t>
            </w:r>
          </w:p>
        </w:tc>
        <w:tc>
          <w:tcPr>
            <w:tcW w:w="816" w:type="dxa"/>
          </w:tcPr>
          <w:p w14:paraId="0EE93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w:t>
            </w:r>
          </w:p>
        </w:tc>
        <w:tc>
          <w:tcPr>
            <w:tcW w:w="816" w:type="dxa"/>
          </w:tcPr>
          <w:p w14:paraId="24D2BE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w:t>
            </w:r>
          </w:p>
        </w:tc>
        <w:tc>
          <w:tcPr>
            <w:tcW w:w="816" w:type="dxa"/>
          </w:tcPr>
          <w:p w14:paraId="43D727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w:t>
            </w:r>
          </w:p>
        </w:tc>
        <w:tc>
          <w:tcPr>
            <w:tcW w:w="816" w:type="dxa"/>
          </w:tcPr>
          <w:p w14:paraId="301FD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w:t>
            </w:r>
          </w:p>
        </w:tc>
        <w:tc>
          <w:tcPr>
            <w:tcW w:w="816" w:type="dxa"/>
          </w:tcPr>
          <w:p w14:paraId="513609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w:t>
            </w:r>
          </w:p>
        </w:tc>
        <w:tc>
          <w:tcPr>
            <w:tcW w:w="816" w:type="dxa"/>
          </w:tcPr>
          <w:p w14:paraId="211F57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A5A34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364E22" w14:textId="77777777" w:rsidTr="00ED5B0A">
        <w:tc>
          <w:tcPr>
            <w:tcW w:w="2235" w:type="dxa"/>
          </w:tcPr>
          <w:p w14:paraId="4F2656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816" w:type="dxa"/>
          </w:tcPr>
          <w:p w14:paraId="0CD7D3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w:t>
            </w:r>
          </w:p>
        </w:tc>
        <w:tc>
          <w:tcPr>
            <w:tcW w:w="816" w:type="dxa"/>
          </w:tcPr>
          <w:p w14:paraId="4EC9C6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2DD823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57DCB6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4941F3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02193F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1D9F93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0DF88C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132E69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76862B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r>
      <w:tr w:rsidR="00A907A5" w:rsidRPr="00271E51" w14:paraId="7FAE2553" w14:textId="77777777" w:rsidTr="00ED5B0A">
        <w:tc>
          <w:tcPr>
            <w:tcW w:w="2235" w:type="dxa"/>
          </w:tcPr>
          <w:p w14:paraId="026029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л.с.</w:t>
            </w:r>
          </w:p>
        </w:tc>
        <w:tc>
          <w:tcPr>
            <w:tcW w:w="816" w:type="dxa"/>
          </w:tcPr>
          <w:p w14:paraId="3E1287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c>
          <w:tcPr>
            <w:tcW w:w="816" w:type="dxa"/>
          </w:tcPr>
          <w:p w14:paraId="67DC55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w:t>
            </w:r>
          </w:p>
        </w:tc>
        <w:tc>
          <w:tcPr>
            <w:tcW w:w="816" w:type="dxa"/>
          </w:tcPr>
          <w:p w14:paraId="0AD5AF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42AF74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601509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2222D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2D067E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6D3753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7E8FD6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6F1B26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 '</w:t>
            </w:r>
          </w:p>
        </w:tc>
      </w:tr>
      <w:tr w:rsidR="00A907A5" w:rsidRPr="00271E51" w14:paraId="598B8CD3" w14:textId="77777777" w:rsidTr="00ED5B0A">
        <w:tc>
          <w:tcPr>
            <w:tcW w:w="2235" w:type="dxa"/>
          </w:tcPr>
          <w:p w14:paraId="56DAE0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кг</w:t>
            </w:r>
          </w:p>
        </w:tc>
        <w:tc>
          <w:tcPr>
            <w:tcW w:w="816" w:type="dxa"/>
          </w:tcPr>
          <w:p w14:paraId="25F2F2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745110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816" w:type="dxa"/>
          </w:tcPr>
          <w:p w14:paraId="650043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2206</w:t>
            </w:r>
          </w:p>
        </w:tc>
        <w:tc>
          <w:tcPr>
            <w:tcW w:w="816" w:type="dxa"/>
          </w:tcPr>
          <w:p w14:paraId="56192B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2215</w:t>
            </w:r>
          </w:p>
        </w:tc>
        <w:tc>
          <w:tcPr>
            <w:tcW w:w="816" w:type="dxa"/>
          </w:tcPr>
          <w:p w14:paraId="1E9590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2320</w:t>
            </w:r>
          </w:p>
        </w:tc>
        <w:tc>
          <w:tcPr>
            <w:tcW w:w="816" w:type="dxa"/>
          </w:tcPr>
          <w:p w14:paraId="6AC426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2289</w:t>
            </w:r>
          </w:p>
        </w:tc>
        <w:tc>
          <w:tcPr>
            <w:tcW w:w="816" w:type="dxa"/>
          </w:tcPr>
          <w:p w14:paraId="01F2C1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2145</w:t>
            </w:r>
          </w:p>
        </w:tc>
        <w:tc>
          <w:tcPr>
            <w:tcW w:w="816" w:type="dxa"/>
          </w:tcPr>
          <w:p w14:paraId="58FD68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2181</w:t>
            </w:r>
          </w:p>
        </w:tc>
        <w:tc>
          <w:tcPr>
            <w:tcW w:w="816" w:type="dxa"/>
          </w:tcPr>
          <w:p w14:paraId="0C91C3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2364</w:t>
            </w:r>
          </w:p>
        </w:tc>
        <w:tc>
          <w:tcPr>
            <w:tcW w:w="816" w:type="dxa"/>
          </w:tcPr>
          <w:p w14:paraId="4F17A7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2367</w:t>
            </w:r>
          </w:p>
        </w:tc>
      </w:tr>
      <w:tr w:rsidR="00A907A5" w:rsidRPr="00271E51" w14:paraId="33AAE515" w14:textId="77777777" w:rsidTr="00ED5B0A">
        <w:tc>
          <w:tcPr>
            <w:tcW w:w="2235" w:type="dxa"/>
          </w:tcPr>
          <w:p w14:paraId="59A662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кг</w:t>
            </w:r>
          </w:p>
        </w:tc>
        <w:tc>
          <w:tcPr>
            <w:tcW w:w="816" w:type="dxa"/>
          </w:tcPr>
          <w:p w14:paraId="5F123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5A259B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w:t>
            </w:r>
          </w:p>
        </w:tc>
        <w:tc>
          <w:tcPr>
            <w:tcW w:w="816" w:type="dxa"/>
          </w:tcPr>
          <w:p w14:paraId="6FD6A7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2691</w:t>
            </w:r>
          </w:p>
        </w:tc>
        <w:tc>
          <w:tcPr>
            <w:tcW w:w="816" w:type="dxa"/>
          </w:tcPr>
          <w:p w14:paraId="18D7F0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2700</w:t>
            </w:r>
          </w:p>
        </w:tc>
        <w:tc>
          <w:tcPr>
            <w:tcW w:w="816" w:type="dxa"/>
          </w:tcPr>
          <w:p w14:paraId="2F2289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2740</w:t>
            </w:r>
          </w:p>
        </w:tc>
        <w:tc>
          <w:tcPr>
            <w:tcW w:w="816" w:type="dxa"/>
          </w:tcPr>
          <w:p w14:paraId="5B08C4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2801</w:t>
            </w:r>
          </w:p>
        </w:tc>
        <w:tc>
          <w:tcPr>
            <w:tcW w:w="816" w:type="dxa"/>
          </w:tcPr>
          <w:p w14:paraId="7A696E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2710</w:t>
            </w:r>
          </w:p>
        </w:tc>
        <w:tc>
          <w:tcPr>
            <w:tcW w:w="816" w:type="dxa"/>
          </w:tcPr>
          <w:p w14:paraId="39BF1D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2751</w:t>
            </w:r>
          </w:p>
        </w:tc>
        <w:tc>
          <w:tcPr>
            <w:tcW w:w="816" w:type="dxa"/>
          </w:tcPr>
          <w:p w14:paraId="73CB3F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2832</w:t>
            </w:r>
          </w:p>
        </w:tc>
        <w:tc>
          <w:tcPr>
            <w:tcW w:w="816" w:type="dxa"/>
          </w:tcPr>
          <w:p w14:paraId="5760B2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2858</w:t>
            </w:r>
          </w:p>
        </w:tc>
      </w:tr>
      <w:tr w:rsidR="00A907A5" w:rsidRPr="00271E51" w14:paraId="00ED33DF" w14:textId="77777777" w:rsidTr="00ED5B0A">
        <w:tc>
          <w:tcPr>
            <w:tcW w:w="2235" w:type="dxa"/>
          </w:tcPr>
          <w:p w14:paraId="3E2321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км/ч</w:t>
            </w:r>
          </w:p>
        </w:tc>
        <w:tc>
          <w:tcPr>
            <w:tcW w:w="816" w:type="dxa"/>
          </w:tcPr>
          <w:p w14:paraId="64C577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067D0F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6B7F5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tc>
        <w:tc>
          <w:tcPr>
            <w:tcW w:w="816" w:type="dxa"/>
          </w:tcPr>
          <w:p w14:paraId="5A460F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w:t>
            </w:r>
          </w:p>
        </w:tc>
        <w:tc>
          <w:tcPr>
            <w:tcW w:w="816" w:type="dxa"/>
          </w:tcPr>
          <w:p w14:paraId="4CCD6B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B164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37969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w:t>
            </w:r>
          </w:p>
        </w:tc>
        <w:tc>
          <w:tcPr>
            <w:tcW w:w="816" w:type="dxa"/>
          </w:tcPr>
          <w:p w14:paraId="73D912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16" w:type="dxa"/>
          </w:tcPr>
          <w:p w14:paraId="69AB93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473</w:t>
            </w:r>
          </w:p>
        </w:tc>
        <w:tc>
          <w:tcPr>
            <w:tcW w:w="816" w:type="dxa"/>
          </w:tcPr>
          <w:p w14:paraId="76499B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w:t>
            </w:r>
          </w:p>
        </w:tc>
      </w:tr>
      <w:tr w:rsidR="00A907A5" w:rsidRPr="00271E51" w14:paraId="75C2EA3D" w14:textId="77777777" w:rsidTr="00ED5B0A">
        <w:tc>
          <w:tcPr>
            <w:tcW w:w="2235" w:type="dxa"/>
          </w:tcPr>
          <w:p w14:paraId="26EBA9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первой</w:t>
            </w:r>
          </w:p>
        </w:tc>
        <w:tc>
          <w:tcPr>
            <w:tcW w:w="816" w:type="dxa"/>
          </w:tcPr>
          <w:p w14:paraId="39D976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6B0FA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E82E6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ED4BF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2C5E4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CDE15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EEB70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95AA1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4F3AF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39CE9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220A1B" w14:textId="77777777" w:rsidTr="00ED5B0A">
        <w:tc>
          <w:tcPr>
            <w:tcW w:w="2235" w:type="dxa"/>
          </w:tcPr>
          <w:p w14:paraId="51A114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16" w:type="dxa"/>
          </w:tcPr>
          <w:p w14:paraId="2BABCD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7900B4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B0A77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BA8A7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572,5</w:t>
            </w:r>
          </w:p>
        </w:tc>
        <w:tc>
          <w:tcPr>
            <w:tcW w:w="816" w:type="dxa"/>
          </w:tcPr>
          <w:p w14:paraId="20206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73C63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2B073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816" w:type="dxa"/>
          </w:tcPr>
          <w:p w14:paraId="464A67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816" w:type="dxa"/>
          </w:tcPr>
          <w:p w14:paraId="2F673B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w:t>
            </w:r>
          </w:p>
        </w:tc>
        <w:tc>
          <w:tcPr>
            <w:tcW w:w="816" w:type="dxa"/>
          </w:tcPr>
          <w:p w14:paraId="266EBB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w:t>
            </w:r>
          </w:p>
        </w:tc>
      </w:tr>
      <w:tr w:rsidR="00A907A5" w:rsidRPr="00271E51" w14:paraId="3516C31E" w14:textId="77777777" w:rsidTr="00ED5B0A">
        <w:tc>
          <w:tcPr>
            <w:tcW w:w="2235" w:type="dxa"/>
          </w:tcPr>
          <w:p w14:paraId="11EA5A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первой границы, м</w:t>
            </w:r>
          </w:p>
        </w:tc>
        <w:tc>
          <w:tcPr>
            <w:tcW w:w="816" w:type="dxa"/>
          </w:tcPr>
          <w:p w14:paraId="66A8EA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936E3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9B724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1FFF7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16" w:type="dxa"/>
          </w:tcPr>
          <w:p w14:paraId="23C5C6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56C85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F5C9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16" w:type="dxa"/>
          </w:tcPr>
          <w:p w14:paraId="7F1489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2540</w:t>
            </w:r>
          </w:p>
        </w:tc>
        <w:tc>
          <w:tcPr>
            <w:tcW w:w="816" w:type="dxa"/>
          </w:tcPr>
          <w:p w14:paraId="51DF7F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2950</w:t>
            </w:r>
          </w:p>
        </w:tc>
        <w:tc>
          <w:tcPr>
            <w:tcW w:w="816" w:type="dxa"/>
          </w:tcPr>
          <w:p w14:paraId="062E30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w:t>
            </w:r>
          </w:p>
        </w:tc>
      </w:tr>
      <w:tr w:rsidR="00A907A5" w:rsidRPr="00271E51" w14:paraId="6BAE7E9F" w14:textId="77777777" w:rsidTr="00ED5B0A">
        <w:tc>
          <w:tcPr>
            <w:tcW w:w="2235" w:type="dxa"/>
          </w:tcPr>
          <w:p w14:paraId="45482E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второй</w:t>
            </w:r>
          </w:p>
        </w:tc>
        <w:tc>
          <w:tcPr>
            <w:tcW w:w="816" w:type="dxa"/>
          </w:tcPr>
          <w:p w14:paraId="7D2879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4D01F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F4B2E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24C0E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ACAA8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BB10F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29E19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64B5C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4353B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93AB1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4A27E7" w14:textId="77777777" w:rsidTr="00ED5B0A">
        <w:tc>
          <w:tcPr>
            <w:tcW w:w="2235" w:type="dxa"/>
          </w:tcPr>
          <w:p w14:paraId="203C97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16" w:type="dxa"/>
          </w:tcPr>
          <w:p w14:paraId="4F8F6E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tc>
        <w:tc>
          <w:tcPr>
            <w:tcW w:w="816" w:type="dxa"/>
          </w:tcPr>
          <w:p w14:paraId="4C936E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816" w:type="dxa"/>
          </w:tcPr>
          <w:p w14:paraId="4EF698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w:t>
            </w:r>
          </w:p>
        </w:tc>
        <w:tc>
          <w:tcPr>
            <w:tcW w:w="816" w:type="dxa"/>
          </w:tcPr>
          <w:p w14:paraId="6551C6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w:t>
            </w:r>
          </w:p>
        </w:tc>
        <w:tc>
          <w:tcPr>
            <w:tcW w:w="816" w:type="dxa"/>
          </w:tcPr>
          <w:p w14:paraId="0D425D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5F7FF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60B2A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816" w:type="dxa"/>
          </w:tcPr>
          <w:p w14:paraId="0561F4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w:t>
            </w:r>
          </w:p>
        </w:tc>
        <w:tc>
          <w:tcPr>
            <w:tcW w:w="816" w:type="dxa"/>
          </w:tcPr>
          <w:p w14:paraId="19E080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w:t>
            </w:r>
          </w:p>
        </w:tc>
        <w:tc>
          <w:tcPr>
            <w:tcW w:w="816" w:type="dxa"/>
          </w:tcPr>
          <w:p w14:paraId="54BC92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577,5</w:t>
            </w:r>
          </w:p>
        </w:tc>
      </w:tr>
      <w:tr w:rsidR="00A907A5" w:rsidRPr="00271E51" w14:paraId="5666BADE" w14:textId="77777777" w:rsidTr="00ED5B0A">
        <w:tc>
          <w:tcPr>
            <w:tcW w:w="2235" w:type="dxa"/>
          </w:tcPr>
          <w:p w14:paraId="74E9AD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второй границы, м</w:t>
            </w:r>
          </w:p>
        </w:tc>
        <w:tc>
          <w:tcPr>
            <w:tcW w:w="816" w:type="dxa"/>
          </w:tcPr>
          <w:p w14:paraId="43B68B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816" w:type="dxa"/>
          </w:tcPr>
          <w:p w14:paraId="4D0E8B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16" w:type="dxa"/>
          </w:tcPr>
          <w:p w14:paraId="420746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16" w:type="dxa"/>
          </w:tcPr>
          <w:p w14:paraId="2C2EA3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4800</w:t>
            </w:r>
          </w:p>
        </w:tc>
        <w:tc>
          <w:tcPr>
            <w:tcW w:w="816" w:type="dxa"/>
          </w:tcPr>
          <w:p w14:paraId="144250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F0D3A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99B9A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5100</w:t>
            </w:r>
          </w:p>
        </w:tc>
        <w:tc>
          <w:tcPr>
            <w:tcW w:w="816" w:type="dxa"/>
          </w:tcPr>
          <w:p w14:paraId="7172B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4600</w:t>
            </w:r>
          </w:p>
        </w:tc>
        <w:tc>
          <w:tcPr>
            <w:tcW w:w="816" w:type="dxa"/>
          </w:tcPr>
          <w:p w14:paraId="593A7B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4860</w:t>
            </w:r>
          </w:p>
        </w:tc>
        <w:tc>
          <w:tcPr>
            <w:tcW w:w="816" w:type="dxa"/>
          </w:tcPr>
          <w:p w14:paraId="33978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r>
      <w:tr w:rsidR="00A907A5" w:rsidRPr="00271E51" w14:paraId="150147D6" w14:textId="77777777" w:rsidTr="00ED5B0A">
        <w:tc>
          <w:tcPr>
            <w:tcW w:w="2235" w:type="dxa"/>
          </w:tcPr>
          <w:p w14:paraId="3E1BC2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816" w:type="dxa"/>
          </w:tcPr>
          <w:p w14:paraId="4A119D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CB29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CF567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DA0A4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6D46F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CE7A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23C65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21AED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E09A0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2612C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9D352B1" w14:textId="77777777" w:rsidTr="00ED5B0A">
        <w:tc>
          <w:tcPr>
            <w:tcW w:w="2235" w:type="dxa"/>
          </w:tcPr>
          <w:p w14:paraId="6D2DA4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816" w:type="dxa"/>
          </w:tcPr>
          <w:p w14:paraId="0B1062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0EACA3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tc>
        <w:tc>
          <w:tcPr>
            <w:tcW w:w="816" w:type="dxa"/>
          </w:tcPr>
          <w:p w14:paraId="0FFFC3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816" w:type="dxa"/>
          </w:tcPr>
          <w:p w14:paraId="61FF3C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816" w:type="dxa"/>
          </w:tcPr>
          <w:p w14:paraId="17C34F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AD976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3A28A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816" w:type="dxa"/>
          </w:tcPr>
          <w:p w14:paraId="4DB760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816" w:type="dxa"/>
          </w:tcPr>
          <w:p w14:paraId="0F0F9B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w:t>
            </w:r>
          </w:p>
        </w:tc>
        <w:tc>
          <w:tcPr>
            <w:tcW w:w="816" w:type="dxa"/>
          </w:tcPr>
          <w:p w14:paraId="64C0F7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r>
      <w:tr w:rsidR="00A907A5" w:rsidRPr="00271E51" w14:paraId="54D3214C" w14:textId="77777777" w:rsidTr="00ED5B0A">
        <w:tc>
          <w:tcPr>
            <w:tcW w:w="2235" w:type="dxa"/>
          </w:tcPr>
          <w:p w14:paraId="1B1832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16" w:type="dxa"/>
          </w:tcPr>
          <w:p w14:paraId="0A51AA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12 000</w:t>
            </w:r>
          </w:p>
        </w:tc>
        <w:tc>
          <w:tcPr>
            <w:tcW w:w="816" w:type="dxa"/>
          </w:tcPr>
          <w:p w14:paraId="7A07B7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11 150'</w:t>
            </w:r>
          </w:p>
        </w:tc>
        <w:tc>
          <w:tcPr>
            <w:tcW w:w="816" w:type="dxa"/>
          </w:tcPr>
          <w:p w14:paraId="1508A4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079FBC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10 200</w:t>
            </w:r>
          </w:p>
        </w:tc>
        <w:tc>
          <w:tcPr>
            <w:tcW w:w="816" w:type="dxa"/>
          </w:tcPr>
          <w:p w14:paraId="161BE7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797CA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541AC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11 000</w:t>
            </w:r>
          </w:p>
        </w:tc>
        <w:tc>
          <w:tcPr>
            <w:tcW w:w="816" w:type="dxa"/>
          </w:tcPr>
          <w:p w14:paraId="637C11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9400</w:t>
            </w:r>
          </w:p>
        </w:tc>
        <w:tc>
          <w:tcPr>
            <w:tcW w:w="816" w:type="dxa"/>
          </w:tcPr>
          <w:p w14:paraId="29BAAA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9300</w:t>
            </w:r>
          </w:p>
        </w:tc>
        <w:tc>
          <w:tcPr>
            <w:tcW w:w="816" w:type="dxa"/>
          </w:tcPr>
          <w:p w14:paraId="79267E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r>
      <w:tr w:rsidR="00A907A5" w:rsidRPr="00271E51" w14:paraId="092637AB" w14:textId="77777777" w:rsidTr="00ED5B0A">
        <w:tc>
          <w:tcPr>
            <w:tcW w:w="2235" w:type="dxa"/>
          </w:tcPr>
          <w:p w14:paraId="42B154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816" w:type="dxa"/>
          </w:tcPr>
          <w:p w14:paraId="280472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DA74A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5D33E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40E0F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A8878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09363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15287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614F0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C5727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69DA7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C601B3" w14:textId="77777777" w:rsidTr="00ED5B0A">
        <w:tc>
          <w:tcPr>
            <w:tcW w:w="2235" w:type="dxa"/>
          </w:tcPr>
          <w:p w14:paraId="1A3240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 с</w:t>
            </w:r>
          </w:p>
        </w:tc>
        <w:tc>
          <w:tcPr>
            <w:tcW w:w="816" w:type="dxa"/>
          </w:tcPr>
          <w:p w14:paraId="14DECD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16-18</w:t>
            </w:r>
          </w:p>
        </w:tc>
        <w:tc>
          <w:tcPr>
            <w:tcW w:w="816" w:type="dxa"/>
          </w:tcPr>
          <w:p w14:paraId="42860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B5416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24-25,1</w:t>
            </w:r>
          </w:p>
        </w:tc>
        <w:tc>
          <w:tcPr>
            <w:tcW w:w="816" w:type="dxa"/>
          </w:tcPr>
          <w:p w14:paraId="53E707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816" w:type="dxa"/>
          </w:tcPr>
          <w:p w14:paraId="6125AF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DC427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93F2C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21-20</w:t>
            </w:r>
          </w:p>
        </w:tc>
        <w:tc>
          <w:tcPr>
            <w:tcW w:w="816" w:type="dxa"/>
          </w:tcPr>
          <w:p w14:paraId="379AA2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25-22</w:t>
            </w:r>
          </w:p>
        </w:tc>
        <w:tc>
          <w:tcPr>
            <w:tcW w:w="816" w:type="dxa"/>
          </w:tcPr>
          <w:p w14:paraId="426977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3167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1EC0F5" w14:textId="77777777" w:rsidTr="00ED5B0A">
        <w:tc>
          <w:tcPr>
            <w:tcW w:w="2235" w:type="dxa"/>
          </w:tcPr>
          <w:p w14:paraId="1A3C2F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816" w:type="dxa"/>
          </w:tcPr>
          <w:p w14:paraId="11E51B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D533B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D2AAB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8FE46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DD698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CA4EE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E5C48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55B31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68E07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1C95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721F1B" w14:textId="77777777" w:rsidTr="00ED5B0A">
        <w:tc>
          <w:tcPr>
            <w:tcW w:w="2235" w:type="dxa"/>
          </w:tcPr>
          <w:p w14:paraId="2DDD57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скорости 0,9 max, км</w:t>
            </w:r>
          </w:p>
        </w:tc>
        <w:tc>
          <w:tcPr>
            <w:tcW w:w="816" w:type="dxa"/>
          </w:tcPr>
          <w:p w14:paraId="1F78D4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816" w:type="dxa"/>
          </w:tcPr>
          <w:p w14:paraId="797822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10D112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816" w:type="dxa"/>
          </w:tcPr>
          <w:p w14:paraId="3FB6C5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16" w:type="dxa"/>
          </w:tcPr>
          <w:p w14:paraId="61CB15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6FE25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EE93F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52F63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5FF00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2BBDF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r>
      <w:tr w:rsidR="00A907A5" w:rsidRPr="00271E51" w14:paraId="05FC2871" w14:textId="77777777" w:rsidTr="00ED5B0A">
        <w:tc>
          <w:tcPr>
            <w:tcW w:w="2235" w:type="dxa"/>
          </w:tcPr>
          <w:p w14:paraId="51202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16" w:type="dxa"/>
          </w:tcPr>
          <w:p w14:paraId="5984FC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DE3EB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D2D2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1DDC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05BE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735D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3C5E0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4AA5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B32B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78FE2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A09802" w14:textId="77777777" w:rsidTr="00ED5B0A">
        <w:tc>
          <w:tcPr>
            <w:tcW w:w="2235" w:type="dxa"/>
          </w:tcPr>
          <w:p w14:paraId="35A82E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w:t>
            </w:r>
          </w:p>
        </w:tc>
        <w:tc>
          <w:tcPr>
            <w:tcW w:w="816" w:type="dxa"/>
          </w:tcPr>
          <w:p w14:paraId="1006E8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403B4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D2882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6263F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6AAC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B5891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C716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3C10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FB83F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A753C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434D9B" w14:textId="77777777" w:rsidTr="00ED5B0A">
        <w:tc>
          <w:tcPr>
            <w:tcW w:w="2235" w:type="dxa"/>
          </w:tcPr>
          <w:p w14:paraId="01F453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16" w:type="dxa"/>
          </w:tcPr>
          <w:p w14:paraId="153BE5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1 2</w:t>
            </w:r>
          </w:p>
        </w:tc>
        <w:tc>
          <w:tcPr>
            <w:tcW w:w="816" w:type="dxa"/>
          </w:tcPr>
          <w:p w14:paraId="35D0DF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816" w:type="dxa"/>
          </w:tcPr>
          <w:p w14:paraId="291E06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816" w:type="dxa"/>
          </w:tcPr>
          <w:p w14:paraId="7FDA55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761D14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549E6C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5CAC02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4DF489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393BA1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3FBCFD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7B685BE3" w14:textId="77777777" w:rsidTr="00ED5B0A">
        <w:tc>
          <w:tcPr>
            <w:tcW w:w="2235" w:type="dxa"/>
          </w:tcPr>
          <w:p w14:paraId="410514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16" w:type="dxa"/>
          </w:tcPr>
          <w:p w14:paraId="7AE750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12,7 7,62</w:t>
            </w:r>
          </w:p>
        </w:tc>
        <w:tc>
          <w:tcPr>
            <w:tcW w:w="816" w:type="dxa"/>
          </w:tcPr>
          <w:p w14:paraId="16FC39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52FF0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7B2E40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3877D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9717F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423D07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3A45CA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226381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5E6FA0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r>
      <w:tr w:rsidR="00A907A5" w:rsidRPr="00271E51" w14:paraId="180F23B1" w14:textId="77777777" w:rsidTr="00ED5B0A">
        <w:tc>
          <w:tcPr>
            <w:tcW w:w="2235" w:type="dxa"/>
          </w:tcPr>
          <w:p w14:paraId="6D9A0B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патроны</w:t>
            </w:r>
          </w:p>
        </w:tc>
        <w:tc>
          <w:tcPr>
            <w:tcW w:w="816" w:type="dxa"/>
          </w:tcPr>
          <w:p w14:paraId="49BAE6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350 2000</w:t>
            </w:r>
          </w:p>
        </w:tc>
        <w:tc>
          <w:tcPr>
            <w:tcW w:w="816" w:type="dxa"/>
          </w:tcPr>
          <w:p w14:paraId="223670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2140</w:t>
            </w:r>
          </w:p>
        </w:tc>
        <w:tc>
          <w:tcPr>
            <w:tcW w:w="816" w:type="dxa"/>
          </w:tcPr>
          <w:p w14:paraId="1D95A9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11A008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816" w:type="dxa"/>
          </w:tcPr>
          <w:p w14:paraId="4374AB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DF6E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35039E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816" w:type="dxa"/>
          </w:tcPr>
          <w:p w14:paraId="66EFE6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816" w:type="dxa"/>
          </w:tcPr>
          <w:p w14:paraId="1C5886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1240</w:t>
            </w:r>
          </w:p>
        </w:tc>
        <w:tc>
          <w:tcPr>
            <w:tcW w:w="816" w:type="dxa"/>
          </w:tcPr>
          <w:p w14:paraId="0B24A6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1240</w:t>
            </w:r>
          </w:p>
        </w:tc>
      </w:tr>
      <w:tr w:rsidR="00A907A5" w:rsidRPr="00271E51" w14:paraId="5FA249E5" w14:textId="77777777" w:rsidTr="00ED5B0A">
        <w:tc>
          <w:tcPr>
            <w:tcW w:w="2235" w:type="dxa"/>
          </w:tcPr>
          <w:p w14:paraId="17D8F1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w:t>
            </w:r>
          </w:p>
        </w:tc>
        <w:tc>
          <w:tcPr>
            <w:tcW w:w="816" w:type="dxa"/>
          </w:tcPr>
          <w:p w14:paraId="78C7D1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CC2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64F6A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FC147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4F199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39F8E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B27DC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34C23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AECE5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D3905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A62FBD" w14:textId="77777777" w:rsidTr="00ED5B0A">
        <w:tc>
          <w:tcPr>
            <w:tcW w:w="2235" w:type="dxa"/>
          </w:tcPr>
          <w:p w14:paraId="6FF9BD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16" w:type="dxa"/>
          </w:tcPr>
          <w:p w14:paraId="5AF6BC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46B031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7054C1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7E824A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676C76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47064C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57C199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392AC4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38B9A1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446368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0F54461E" w14:textId="77777777" w:rsidTr="00ED5B0A">
        <w:tc>
          <w:tcPr>
            <w:tcW w:w="2235" w:type="dxa"/>
          </w:tcPr>
          <w:p w14:paraId="66823B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16" w:type="dxa"/>
          </w:tcPr>
          <w:p w14:paraId="2D3569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752C66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43542E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0F8AE7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5ECD27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7F6C33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7508C2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6C2A06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2345CD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47EAA1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171E9A2F" w14:textId="77777777" w:rsidTr="00ED5B0A">
        <w:tc>
          <w:tcPr>
            <w:tcW w:w="2235" w:type="dxa"/>
            <w:tcBorders>
              <w:bottom w:val="single" w:sz="12" w:space="0" w:color="auto"/>
            </w:tcBorders>
          </w:tcPr>
          <w:p w14:paraId="2F12A8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снаряды</w:t>
            </w:r>
          </w:p>
        </w:tc>
        <w:tc>
          <w:tcPr>
            <w:tcW w:w="816" w:type="dxa"/>
            <w:tcBorders>
              <w:bottom w:val="single" w:sz="12" w:space="0" w:color="auto"/>
            </w:tcBorders>
          </w:tcPr>
          <w:p w14:paraId="79C487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Borders>
              <w:bottom w:val="single" w:sz="12" w:space="0" w:color="auto"/>
            </w:tcBorders>
          </w:tcPr>
          <w:p w14:paraId="038989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816" w:type="dxa"/>
            <w:tcBorders>
              <w:bottom w:val="single" w:sz="12" w:space="0" w:color="auto"/>
            </w:tcBorders>
          </w:tcPr>
          <w:p w14:paraId="4E5D52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816" w:type="dxa"/>
            <w:tcBorders>
              <w:bottom w:val="single" w:sz="12" w:space="0" w:color="auto"/>
            </w:tcBorders>
          </w:tcPr>
          <w:p w14:paraId="6D288C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47A600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466391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16" w:type="dxa"/>
            <w:tcBorders>
              <w:bottom w:val="single" w:sz="12" w:space="0" w:color="auto"/>
            </w:tcBorders>
          </w:tcPr>
          <w:p w14:paraId="74D792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Borders>
              <w:bottom w:val="single" w:sz="12" w:space="0" w:color="auto"/>
            </w:tcBorders>
          </w:tcPr>
          <w:p w14:paraId="0D22DC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Borders>
              <w:bottom w:val="single" w:sz="12" w:space="0" w:color="auto"/>
            </w:tcBorders>
          </w:tcPr>
          <w:p w14:paraId="0D842C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816" w:type="dxa"/>
            <w:tcBorders>
              <w:bottom w:val="single" w:sz="12" w:space="0" w:color="auto"/>
            </w:tcBorders>
          </w:tcPr>
          <w:p w14:paraId="22AB0D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r>
    </w:tbl>
    <w:p w14:paraId="0C0DC7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16"/>
        <w:gridCol w:w="816"/>
        <w:gridCol w:w="816"/>
        <w:gridCol w:w="816"/>
        <w:gridCol w:w="816"/>
        <w:gridCol w:w="816"/>
        <w:gridCol w:w="816"/>
        <w:gridCol w:w="816"/>
        <w:gridCol w:w="816"/>
        <w:gridCol w:w="816"/>
      </w:tblGrid>
      <w:tr w:rsidR="00A907A5" w:rsidRPr="00271E51" w14:paraId="487BE39E" w14:textId="77777777" w:rsidTr="00ED5B0A">
        <w:tc>
          <w:tcPr>
            <w:tcW w:w="2235" w:type="dxa"/>
            <w:tcBorders>
              <w:top w:val="single" w:sz="12" w:space="0" w:color="auto"/>
            </w:tcBorders>
          </w:tcPr>
          <w:p w14:paraId="079C1B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 сравнения</w:t>
            </w:r>
          </w:p>
        </w:tc>
        <w:tc>
          <w:tcPr>
            <w:tcW w:w="816" w:type="dxa"/>
            <w:tcBorders>
              <w:top w:val="single" w:sz="12" w:space="0" w:color="auto"/>
            </w:tcBorders>
          </w:tcPr>
          <w:p w14:paraId="0AE9C5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УТИ-26-l</w:t>
            </w:r>
          </w:p>
        </w:tc>
        <w:tc>
          <w:tcPr>
            <w:tcW w:w="816" w:type="dxa"/>
            <w:tcBorders>
              <w:top w:val="single" w:sz="12" w:space="0" w:color="auto"/>
            </w:tcBorders>
          </w:tcPr>
          <w:p w14:paraId="455123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№0218</w:t>
            </w:r>
          </w:p>
          <w:p w14:paraId="54C766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№301</w:t>
            </w:r>
          </w:p>
        </w:tc>
        <w:tc>
          <w:tcPr>
            <w:tcW w:w="816" w:type="dxa"/>
            <w:tcBorders>
              <w:top w:val="single" w:sz="12" w:space="0" w:color="auto"/>
            </w:tcBorders>
          </w:tcPr>
          <w:p w14:paraId="00C29E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0406</w:t>
            </w:r>
          </w:p>
          <w:p w14:paraId="4542C4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№301</w:t>
            </w:r>
          </w:p>
        </w:tc>
        <w:tc>
          <w:tcPr>
            <w:tcW w:w="816" w:type="dxa"/>
            <w:tcBorders>
              <w:top w:val="single" w:sz="12" w:space="0" w:color="auto"/>
            </w:tcBorders>
          </w:tcPr>
          <w:p w14:paraId="2D797D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№0511 завод №292</w:t>
            </w:r>
          </w:p>
        </w:tc>
        <w:tc>
          <w:tcPr>
            <w:tcW w:w="816" w:type="dxa"/>
            <w:tcBorders>
              <w:top w:val="single" w:sz="12" w:space="0" w:color="auto"/>
            </w:tcBorders>
          </w:tcPr>
          <w:p w14:paraId="28DD01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2029</w:t>
            </w:r>
          </w:p>
        </w:tc>
        <w:tc>
          <w:tcPr>
            <w:tcW w:w="816" w:type="dxa"/>
            <w:tcBorders>
              <w:top w:val="single" w:sz="12" w:space="0" w:color="auto"/>
            </w:tcBorders>
          </w:tcPr>
          <w:p w14:paraId="419778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1047</w:t>
            </w:r>
          </w:p>
        </w:tc>
        <w:tc>
          <w:tcPr>
            <w:tcW w:w="816" w:type="dxa"/>
            <w:tcBorders>
              <w:top w:val="single" w:sz="12" w:space="0" w:color="auto"/>
            </w:tcBorders>
          </w:tcPr>
          <w:p w14:paraId="6B037B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№3855</w:t>
            </w:r>
          </w:p>
        </w:tc>
        <w:tc>
          <w:tcPr>
            <w:tcW w:w="816" w:type="dxa"/>
            <w:tcBorders>
              <w:top w:val="single" w:sz="12" w:space="0" w:color="auto"/>
            </w:tcBorders>
          </w:tcPr>
          <w:p w14:paraId="7FB0CA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3C4BD9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44DF60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0868 5)</w:t>
            </w:r>
          </w:p>
        </w:tc>
      </w:tr>
      <w:tr w:rsidR="00A907A5" w:rsidRPr="00271E51" w14:paraId="7DF7D7A3" w14:textId="77777777" w:rsidTr="00ED5B0A">
        <w:tc>
          <w:tcPr>
            <w:tcW w:w="2235" w:type="dxa"/>
          </w:tcPr>
          <w:p w14:paraId="53D80D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29CE0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w:t>
            </w:r>
          </w:p>
        </w:tc>
        <w:tc>
          <w:tcPr>
            <w:tcW w:w="816" w:type="dxa"/>
          </w:tcPr>
          <w:p w14:paraId="776410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4E5A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90615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965C1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FBFE0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F1155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РО колеса</w:t>
            </w:r>
          </w:p>
        </w:tc>
        <w:tc>
          <w:tcPr>
            <w:tcW w:w="816" w:type="dxa"/>
          </w:tcPr>
          <w:p w14:paraId="371051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РО лыжи</w:t>
            </w:r>
          </w:p>
        </w:tc>
        <w:tc>
          <w:tcPr>
            <w:tcW w:w="816" w:type="dxa"/>
          </w:tcPr>
          <w:p w14:paraId="0802F2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РО лыжи</w:t>
            </w:r>
          </w:p>
        </w:tc>
        <w:tc>
          <w:tcPr>
            <w:tcW w:w="816" w:type="dxa"/>
          </w:tcPr>
          <w:p w14:paraId="740EFC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E2F495" w14:textId="77777777" w:rsidTr="00ED5B0A">
        <w:tc>
          <w:tcPr>
            <w:tcW w:w="2235" w:type="dxa"/>
          </w:tcPr>
          <w:p w14:paraId="28187E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816" w:type="dxa"/>
          </w:tcPr>
          <w:p w14:paraId="4EC653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297195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058ACD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38FF5C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377A37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w:t>
            </w:r>
          </w:p>
        </w:tc>
        <w:tc>
          <w:tcPr>
            <w:tcW w:w="816" w:type="dxa"/>
          </w:tcPr>
          <w:p w14:paraId="66AC79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16" w:type="dxa"/>
          </w:tcPr>
          <w:p w14:paraId="01CAAD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7629E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М-105ПА</w:t>
            </w:r>
          </w:p>
        </w:tc>
        <w:tc>
          <w:tcPr>
            <w:tcW w:w="816" w:type="dxa"/>
          </w:tcPr>
          <w:p w14:paraId="7D6821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EE83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r>
      <w:tr w:rsidR="00A907A5" w:rsidRPr="00271E51" w14:paraId="1FCD9C7A" w14:textId="77777777" w:rsidTr="00ED5B0A">
        <w:tc>
          <w:tcPr>
            <w:tcW w:w="2235" w:type="dxa"/>
          </w:tcPr>
          <w:p w14:paraId="39CDDD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л.с.</w:t>
            </w:r>
          </w:p>
        </w:tc>
        <w:tc>
          <w:tcPr>
            <w:tcW w:w="816" w:type="dxa"/>
          </w:tcPr>
          <w:p w14:paraId="29B4B4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148FC9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6B4004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 '</w:t>
            </w:r>
          </w:p>
        </w:tc>
        <w:tc>
          <w:tcPr>
            <w:tcW w:w="816" w:type="dxa"/>
          </w:tcPr>
          <w:p w14:paraId="11F839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7AC774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50C4E1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16" w:type="dxa"/>
          </w:tcPr>
          <w:p w14:paraId="2BFC48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86828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816" w:type="dxa"/>
          </w:tcPr>
          <w:p w14:paraId="1EDB23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7E5A3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r>
      <w:tr w:rsidR="00A907A5" w:rsidRPr="00271E51" w14:paraId="38833195" w14:textId="77777777" w:rsidTr="00ED5B0A">
        <w:tc>
          <w:tcPr>
            <w:tcW w:w="2235" w:type="dxa"/>
          </w:tcPr>
          <w:p w14:paraId="2DF8B9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кг</w:t>
            </w:r>
          </w:p>
        </w:tc>
        <w:tc>
          <w:tcPr>
            <w:tcW w:w="816" w:type="dxa"/>
          </w:tcPr>
          <w:p w14:paraId="39F90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2181</w:t>
            </w:r>
          </w:p>
        </w:tc>
        <w:tc>
          <w:tcPr>
            <w:tcW w:w="816" w:type="dxa"/>
          </w:tcPr>
          <w:p w14:paraId="22E2C3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2364</w:t>
            </w:r>
          </w:p>
        </w:tc>
        <w:tc>
          <w:tcPr>
            <w:tcW w:w="816" w:type="dxa"/>
          </w:tcPr>
          <w:p w14:paraId="7082C3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2367</w:t>
            </w:r>
          </w:p>
        </w:tc>
        <w:tc>
          <w:tcPr>
            <w:tcW w:w="816" w:type="dxa"/>
          </w:tcPr>
          <w:p w14:paraId="638171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2348</w:t>
            </w:r>
          </w:p>
        </w:tc>
        <w:tc>
          <w:tcPr>
            <w:tcW w:w="816" w:type="dxa"/>
          </w:tcPr>
          <w:p w14:paraId="77E993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2446</w:t>
            </w:r>
          </w:p>
        </w:tc>
        <w:tc>
          <w:tcPr>
            <w:tcW w:w="816" w:type="dxa"/>
          </w:tcPr>
          <w:p w14:paraId="56D24F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2350</w:t>
            </w:r>
          </w:p>
        </w:tc>
        <w:tc>
          <w:tcPr>
            <w:tcW w:w="816" w:type="dxa"/>
          </w:tcPr>
          <w:p w14:paraId="5D4D29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2435</w:t>
            </w:r>
          </w:p>
        </w:tc>
        <w:tc>
          <w:tcPr>
            <w:tcW w:w="816" w:type="dxa"/>
          </w:tcPr>
          <w:p w14:paraId="744555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2483</w:t>
            </w:r>
          </w:p>
        </w:tc>
        <w:tc>
          <w:tcPr>
            <w:tcW w:w="816" w:type="dxa"/>
          </w:tcPr>
          <w:p w14:paraId="22EFC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45C00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A1E115" w14:textId="77777777" w:rsidTr="00ED5B0A">
        <w:tc>
          <w:tcPr>
            <w:tcW w:w="2235" w:type="dxa"/>
          </w:tcPr>
          <w:p w14:paraId="1C11E4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кг</w:t>
            </w:r>
          </w:p>
        </w:tc>
        <w:tc>
          <w:tcPr>
            <w:tcW w:w="816" w:type="dxa"/>
          </w:tcPr>
          <w:p w14:paraId="7582F4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2751</w:t>
            </w:r>
          </w:p>
        </w:tc>
        <w:tc>
          <w:tcPr>
            <w:tcW w:w="816" w:type="dxa"/>
          </w:tcPr>
          <w:p w14:paraId="3BD941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2832</w:t>
            </w:r>
          </w:p>
        </w:tc>
        <w:tc>
          <w:tcPr>
            <w:tcW w:w="816" w:type="dxa"/>
          </w:tcPr>
          <w:p w14:paraId="18C426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2858</w:t>
            </w:r>
          </w:p>
        </w:tc>
        <w:tc>
          <w:tcPr>
            <w:tcW w:w="816" w:type="dxa"/>
          </w:tcPr>
          <w:p w14:paraId="3805D5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2847</w:t>
            </w:r>
          </w:p>
        </w:tc>
        <w:tc>
          <w:tcPr>
            <w:tcW w:w="816" w:type="dxa"/>
          </w:tcPr>
          <w:p w14:paraId="52E87A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2951</w:t>
            </w:r>
          </w:p>
        </w:tc>
        <w:tc>
          <w:tcPr>
            <w:tcW w:w="816" w:type="dxa"/>
          </w:tcPr>
          <w:p w14:paraId="3BA42C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2802</w:t>
            </w:r>
          </w:p>
        </w:tc>
        <w:tc>
          <w:tcPr>
            <w:tcW w:w="816" w:type="dxa"/>
          </w:tcPr>
          <w:p w14:paraId="245D31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2985</w:t>
            </w:r>
          </w:p>
        </w:tc>
        <w:tc>
          <w:tcPr>
            <w:tcW w:w="816" w:type="dxa"/>
          </w:tcPr>
          <w:p w14:paraId="264F69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3033</w:t>
            </w:r>
          </w:p>
        </w:tc>
        <w:tc>
          <w:tcPr>
            <w:tcW w:w="816" w:type="dxa"/>
          </w:tcPr>
          <w:p w14:paraId="4F8173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42D65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2930</w:t>
            </w:r>
          </w:p>
        </w:tc>
      </w:tr>
      <w:tr w:rsidR="00A907A5" w:rsidRPr="00271E51" w14:paraId="2CE6A422" w14:textId="77777777" w:rsidTr="00ED5B0A">
        <w:tc>
          <w:tcPr>
            <w:tcW w:w="2235" w:type="dxa"/>
          </w:tcPr>
          <w:p w14:paraId="7944B0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км/ч</w:t>
            </w:r>
          </w:p>
        </w:tc>
        <w:tc>
          <w:tcPr>
            <w:tcW w:w="816" w:type="dxa"/>
          </w:tcPr>
          <w:p w14:paraId="5B360D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16" w:type="dxa"/>
          </w:tcPr>
          <w:p w14:paraId="43BD5A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473</w:t>
            </w:r>
          </w:p>
        </w:tc>
        <w:tc>
          <w:tcPr>
            <w:tcW w:w="816" w:type="dxa"/>
          </w:tcPr>
          <w:p w14:paraId="5247B9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w:t>
            </w:r>
          </w:p>
        </w:tc>
        <w:tc>
          <w:tcPr>
            <w:tcW w:w="816" w:type="dxa"/>
          </w:tcPr>
          <w:p w14:paraId="24A71A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w:t>
            </w:r>
          </w:p>
        </w:tc>
        <w:tc>
          <w:tcPr>
            <w:tcW w:w="816" w:type="dxa"/>
          </w:tcPr>
          <w:p w14:paraId="39BF52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487</w:t>
            </w:r>
          </w:p>
        </w:tc>
        <w:tc>
          <w:tcPr>
            <w:tcW w:w="816" w:type="dxa"/>
          </w:tcPr>
          <w:p w14:paraId="7BC06E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6687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86492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441</w:t>
            </w:r>
          </w:p>
        </w:tc>
        <w:tc>
          <w:tcPr>
            <w:tcW w:w="816" w:type="dxa"/>
          </w:tcPr>
          <w:p w14:paraId="654F08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429</w:t>
            </w:r>
          </w:p>
        </w:tc>
        <w:tc>
          <w:tcPr>
            <w:tcW w:w="816" w:type="dxa"/>
          </w:tcPr>
          <w:p w14:paraId="23FFF1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529</w:t>
            </w:r>
          </w:p>
        </w:tc>
      </w:tr>
      <w:tr w:rsidR="00A907A5" w:rsidRPr="00271E51" w14:paraId="75F384DC" w14:textId="77777777" w:rsidTr="00ED5B0A">
        <w:tc>
          <w:tcPr>
            <w:tcW w:w="2235" w:type="dxa"/>
          </w:tcPr>
          <w:p w14:paraId="27336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первой</w:t>
            </w:r>
          </w:p>
        </w:tc>
        <w:tc>
          <w:tcPr>
            <w:tcW w:w="816" w:type="dxa"/>
          </w:tcPr>
          <w:p w14:paraId="7A1B0C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AB15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C84F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2AE35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c>
          <w:tcPr>
            <w:tcW w:w="816" w:type="dxa"/>
          </w:tcPr>
          <w:p w14:paraId="3037D4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546</w:t>
            </w:r>
          </w:p>
        </w:tc>
        <w:tc>
          <w:tcPr>
            <w:tcW w:w="816" w:type="dxa"/>
          </w:tcPr>
          <w:p w14:paraId="68DB4D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04B47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518</w:t>
            </w:r>
          </w:p>
        </w:tc>
        <w:tc>
          <w:tcPr>
            <w:tcW w:w="816" w:type="dxa"/>
          </w:tcPr>
          <w:p w14:paraId="22F9AE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519</w:t>
            </w:r>
          </w:p>
        </w:tc>
        <w:tc>
          <w:tcPr>
            <w:tcW w:w="816" w:type="dxa"/>
          </w:tcPr>
          <w:p w14:paraId="5F9CEB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1F2AD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567</w:t>
            </w:r>
          </w:p>
        </w:tc>
      </w:tr>
      <w:tr w:rsidR="00A907A5" w:rsidRPr="00271E51" w14:paraId="74AC80C0" w14:textId="77777777" w:rsidTr="00ED5B0A">
        <w:tc>
          <w:tcPr>
            <w:tcW w:w="2235" w:type="dxa"/>
          </w:tcPr>
          <w:p w14:paraId="1A3CE5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16" w:type="dxa"/>
          </w:tcPr>
          <w:p w14:paraId="2D3B84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816" w:type="dxa"/>
          </w:tcPr>
          <w:p w14:paraId="5F688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w:t>
            </w:r>
          </w:p>
        </w:tc>
        <w:tc>
          <w:tcPr>
            <w:tcW w:w="816" w:type="dxa"/>
          </w:tcPr>
          <w:p w14:paraId="473BC9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w:t>
            </w:r>
          </w:p>
        </w:tc>
        <w:tc>
          <w:tcPr>
            <w:tcW w:w="816" w:type="dxa"/>
          </w:tcPr>
          <w:p w14:paraId="5BBFB5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49E7A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ED5CF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B83CE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A89B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0C05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DA02B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D5831C" w14:textId="77777777" w:rsidTr="00ED5B0A">
        <w:tc>
          <w:tcPr>
            <w:tcW w:w="2235" w:type="dxa"/>
          </w:tcPr>
          <w:p w14:paraId="18D42A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первой границы, м</w:t>
            </w:r>
          </w:p>
        </w:tc>
        <w:tc>
          <w:tcPr>
            <w:tcW w:w="816" w:type="dxa"/>
          </w:tcPr>
          <w:p w14:paraId="1E6203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2540</w:t>
            </w:r>
          </w:p>
        </w:tc>
        <w:tc>
          <w:tcPr>
            <w:tcW w:w="816" w:type="dxa"/>
          </w:tcPr>
          <w:p w14:paraId="312528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2950</w:t>
            </w:r>
          </w:p>
        </w:tc>
        <w:tc>
          <w:tcPr>
            <w:tcW w:w="816" w:type="dxa"/>
          </w:tcPr>
          <w:p w14:paraId="797CFE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w:t>
            </w:r>
          </w:p>
        </w:tc>
        <w:tc>
          <w:tcPr>
            <w:tcW w:w="816" w:type="dxa"/>
          </w:tcPr>
          <w:p w14:paraId="4B2E79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3140</w:t>
            </w:r>
          </w:p>
        </w:tc>
        <w:tc>
          <w:tcPr>
            <w:tcW w:w="816" w:type="dxa"/>
          </w:tcPr>
          <w:p w14:paraId="50E4F1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w:t>
            </w:r>
          </w:p>
        </w:tc>
        <w:tc>
          <w:tcPr>
            <w:tcW w:w="816" w:type="dxa"/>
          </w:tcPr>
          <w:p w14:paraId="7A15A3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B389B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16" w:type="dxa"/>
          </w:tcPr>
          <w:p w14:paraId="35C39B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w:t>
            </w:r>
          </w:p>
        </w:tc>
        <w:tc>
          <w:tcPr>
            <w:tcW w:w="816" w:type="dxa"/>
          </w:tcPr>
          <w:p w14:paraId="2C42E8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DD704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w:t>
            </w:r>
          </w:p>
        </w:tc>
      </w:tr>
      <w:tr w:rsidR="00A907A5" w:rsidRPr="00271E51" w14:paraId="6A184F6F" w14:textId="77777777" w:rsidTr="00ED5B0A">
        <w:tc>
          <w:tcPr>
            <w:tcW w:w="2235" w:type="dxa"/>
          </w:tcPr>
          <w:p w14:paraId="0613C1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второй</w:t>
            </w:r>
          </w:p>
        </w:tc>
        <w:tc>
          <w:tcPr>
            <w:tcW w:w="816" w:type="dxa"/>
          </w:tcPr>
          <w:p w14:paraId="3EFC0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59B5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39B35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46B86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586,5</w:t>
            </w:r>
          </w:p>
        </w:tc>
        <w:tc>
          <w:tcPr>
            <w:tcW w:w="816" w:type="dxa"/>
          </w:tcPr>
          <w:p w14:paraId="6C113A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816" w:type="dxa"/>
          </w:tcPr>
          <w:p w14:paraId="6BFB22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C756C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816" w:type="dxa"/>
          </w:tcPr>
          <w:p w14:paraId="5FC4BA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533</w:t>
            </w:r>
          </w:p>
        </w:tc>
        <w:tc>
          <w:tcPr>
            <w:tcW w:w="816" w:type="dxa"/>
          </w:tcPr>
          <w:p w14:paraId="192E79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523</w:t>
            </w:r>
          </w:p>
        </w:tc>
        <w:tc>
          <w:tcPr>
            <w:tcW w:w="816" w:type="dxa"/>
          </w:tcPr>
          <w:p w14:paraId="270446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594</w:t>
            </w:r>
          </w:p>
        </w:tc>
      </w:tr>
      <w:tr w:rsidR="00A907A5" w:rsidRPr="00271E51" w14:paraId="182BE496" w14:textId="77777777" w:rsidTr="00ED5B0A">
        <w:tc>
          <w:tcPr>
            <w:tcW w:w="2235" w:type="dxa"/>
          </w:tcPr>
          <w:p w14:paraId="41AC47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16" w:type="dxa"/>
          </w:tcPr>
          <w:p w14:paraId="093D86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w:t>
            </w:r>
          </w:p>
        </w:tc>
        <w:tc>
          <w:tcPr>
            <w:tcW w:w="816" w:type="dxa"/>
          </w:tcPr>
          <w:p w14:paraId="184B9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w:t>
            </w:r>
          </w:p>
        </w:tc>
        <w:tc>
          <w:tcPr>
            <w:tcW w:w="816" w:type="dxa"/>
          </w:tcPr>
          <w:p w14:paraId="279679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577,5</w:t>
            </w:r>
          </w:p>
        </w:tc>
        <w:tc>
          <w:tcPr>
            <w:tcW w:w="816" w:type="dxa"/>
          </w:tcPr>
          <w:p w14:paraId="52B149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65F24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B0AF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E74DD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44F9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F580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44077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F34A14" w14:textId="77777777" w:rsidTr="00ED5B0A">
        <w:tc>
          <w:tcPr>
            <w:tcW w:w="2235" w:type="dxa"/>
          </w:tcPr>
          <w:p w14:paraId="66ED1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второй границы, м</w:t>
            </w:r>
          </w:p>
        </w:tc>
        <w:tc>
          <w:tcPr>
            <w:tcW w:w="816" w:type="dxa"/>
          </w:tcPr>
          <w:p w14:paraId="31B887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4600</w:t>
            </w:r>
          </w:p>
        </w:tc>
        <w:tc>
          <w:tcPr>
            <w:tcW w:w="816" w:type="dxa"/>
          </w:tcPr>
          <w:p w14:paraId="0F32C8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4860</w:t>
            </w:r>
          </w:p>
        </w:tc>
        <w:tc>
          <w:tcPr>
            <w:tcW w:w="816" w:type="dxa"/>
          </w:tcPr>
          <w:p w14:paraId="2A5362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16" w:type="dxa"/>
          </w:tcPr>
          <w:p w14:paraId="5BFE39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5100</w:t>
            </w:r>
          </w:p>
        </w:tc>
        <w:tc>
          <w:tcPr>
            <w:tcW w:w="816" w:type="dxa"/>
          </w:tcPr>
          <w:p w14:paraId="42FA7A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4800</w:t>
            </w:r>
          </w:p>
        </w:tc>
        <w:tc>
          <w:tcPr>
            <w:tcW w:w="816" w:type="dxa"/>
          </w:tcPr>
          <w:p w14:paraId="1E4BB4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9513A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16" w:type="dxa"/>
          </w:tcPr>
          <w:p w14:paraId="1C3C42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5300</w:t>
            </w:r>
          </w:p>
        </w:tc>
        <w:tc>
          <w:tcPr>
            <w:tcW w:w="816" w:type="dxa"/>
          </w:tcPr>
          <w:p w14:paraId="4ECADB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16" w:type="dxa"/>
          </w:tcPr>
          <w:p w14:paraId="5762F8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r>
      <w:tr w:rsidR="00A907A5" w:rsidRPr="00271E51" w14:paraId="3BC7EC49" w14:textId="77777777" w:rsidTr="00ED5B0A">
        <w:tc>
          <w:tcPr>
            <w:tcW w:w="2235" w:type="dxa"/>
          </w:tcPr>
          <w:p w14:paraId="326D8F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816" w:type="dxa"/>
          </w:tcPr>
          <w:p w14:paraId="3023F7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EE93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4F554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2C774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816" w:type="dxa"/>
          </w:tcPr>
          <w:p w14:paraId="48D48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tc>
        <w:tc>
          <w:tcPr>
            <w:tcW w:w="816" w:type="dxa"/>
          </w:tcPr>
          <w:p w14:paraId="1B9C0D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CC75D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816" w:type="dxa"/>
          </w:tcPr>
          <w:p w14:paraId="1760BB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816" w:type="dxa"/>
          </w:tcPr>
          <w:p w14:paraId="750B52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w:t>
            </w:r>
          </w:p>
        </w:tc>
        <w:tc>
          <w:tcPr>
            <w:tcW w:w="816" w:type="dxa"/>
          </w:tcPr>
          <w:p w14:paraId="4E6CB7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w:t>
            </w:r>
          </w:p>
        </w:tc>
      </w:tr>
      <w:tr w:rsidR="00A907A5" w:rsidRPr="00271E51" w14:paraId="1247C129" w14:textId="77777777" w:rsidTr="00ED5B0A">
        <w:tc>
          <w:tcPr>
            <w:tcW w:w="2235" w:type="dxa"/>
          </w:tcPr>
          <w:p w14:paraId="7FC07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816" w:type="dxa"/>
          </w:tcPr>
          <w:p w14:paraId="15A203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816" w:type="dxa"/>
          </w:tcPr>
          <w:p w14:paraId="03712B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w:t>
            </w:r>
          </w:p>
        </w:tc>
        <w:tc>
          <w:tcPr>
            <w:tcW w:w="816" w:type="dxa"/>
          </w:tcPr>
          <w:p w14:paraId="27A261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816" w:type="dxa"/>
          </w:tcPr>
          <w:p w14:paraId="1B8AF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D34A4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799DE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50A60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A299F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9E77F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1025A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F62F88" w14:textId="77777777" w:rsidTr="00ED5B0A">
        <w:tc>
          <w:tcPr>
            <w:tcW w:w="2235" w:type="dxa"/>
          </w:tcPr>
          <w:p w14:paraId="65CA05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16" w:type="dxa"/>
          </w:tcPr>
          <w:p w14:paraId="123B53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9400</w:t>
            </w:r>
          </w:p>
        </w:tc>
        <w:tc>
          <w:tcPr>
            <w:tcW w:w="816" w:type="dxa"/>
          </w:tcPr>
          <w:p w14:paraId="090472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9300</w:t>
            </w:r>
          </w:p>
        </w:tc>
        <w:tc>
          <w:tcPr>
            <w:tcW w:w="816" w:type="dxa"/>
          </w:tcPr>
          <w:p w14:paraId="0A9CF9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10000</w:t>
            </w:r>
          </w:p>
        </w:tc>
        <w:tc>
          <w:tcPr>
            <w:tcW w:w="816" w:type="dxa"/>
          </w:tcPr>
          <w:p w14:paraId="43220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10 500</w:t>
            </w:r>
          </w:p>
        </w:tc>
        <w:tc>
          <w:tcPr>
            <w:tcW w:w="816" w:type="dxa"/>
          </w:tcPr>
          <w:p w14:paraId="0C2D8D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9900</w:t>
            </w:r>
          </w:p>
        </w:tc>
        <w:tc>
          <w:tcPr>
            <w:tcW w:w="816" w:type="dxa"/>
          </w:tcPr>
          <w:p w14:paraId="4A880F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0C47F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D6870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10 400</w:t>
            </w:r>
          </w:p>
        </w:tc>
        <w:tc>
          <w:tcPr>
            <w:tcW w:w="816" w:type="dxa"/>
          </w:tcPr>
          <w:p w14:paraId="5AA1AD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10 000</w:t>
            </w:r>
          </w:p>
        </w:tc>
        <w:tc>
          <w:tcPr>
            <w:tcW w:w="816" w:type="dxa"/>
          </w:tcPr>
          <w:p w14:paraId="07832A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6E5E85" w14:textId="77777777" w:rsidTr="00ED5B0A">
        <w:tc>
          <w:tcPr>
            <w:tcW w:w="2235" w:type="dxa"/>
          </w:tcPr>
          <w:p w14:paraId="788A41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816" w:type="dxa"/>
          </w:tcPr>
          <w:p w14:paraId="6B0B6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088D5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C72F9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1D0C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0A5B0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F7A92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C64BF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01B62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59F1A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3D4E5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58706E" w14:textId="77777777" w:rsidTr="00ED5B0A">
        <w:tc>
          <w:tcPr>
            <w:tcW w:w="2235" w:type="dxa"/>
          </w:tcPr>
          <w:p w14:paraId="2A2CE5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 с</w:t>
            </w:r>
          </w:p>
        </w:tc>
        <w:tc>
          <w:tcPr>
            <w:tcW w:w="816" w:type="dxa"/>
          </w:tcPr>
          <w:p w14:paraId="176055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25-22</w:t>
            </w:r>
          </w:p>
        </w:tc>
        <w:tc>
          <w:tcPr>
            <w:tcW w:w="816" w:type="dxa"/>
          </w:tcPr>
          <w:p w14:paraId="65C56F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24F8A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6FE1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1A73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816" w:type="dxa"/>
          </w:tcPr>
          <w:p w14:paraId="34C4B7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16-17</w:t>
            </w:r>
          </w:p>
        </w:tc>
        <w:tc>
          <w:tcPr>
            <w:tcW w:w="816" w:type="dxa"/>
          </w:tcPr>
          <w:p w14:paraId="79C4FF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59D73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19-19,5</w:t>
            </w:r>
          </w:p>
        </w:tc>
        <w:tc>
          <w:tcPr>
            <w:tcW w:w="816" w:type="dxa"/>
          </w:tcPr>
          <w:p w14:paraId="546CEF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21B88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16-17</w:t>
            </w:r>
          </w:p>
        </w:tc>
      </w:tr>
      <w:tr w:rsidR="00A907A5" w:rsidRPr="00271E51" w14:paraId="2C094496" w14:textId="77777777" w:rsidTr="00ED5B0A">
        <w:tc>
          <w:tcPr>
            <w:tcW w:w="2235" w:type="dxa"/>
          </w:tcPr>
          <w:p w14:paraId="4CDDFC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816" w:type="dxa"/>
          </w:tcPr>
          <w:p w14:paraId="7B272B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8BA55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F7307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AE565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w:t>
            </w:r>
          </w:p>
        </w:tc>
        <w:tc>
          <w:tcPr>
            <w:tcW w:w="816" w:type="dxa"/>
          </w:tcPr>
          <w:p w14:paraId="5D715B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784</w:t>
            </w:r>
          </w:p>
        </w:tc>
        <w:tc>
          <w:tcPr>
            <w:tcW w:w="816" w:type="dxa"/>
          </w:tcPr>
          <w:p w14:paraId="60CEE6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C5AA5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C838A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770</w:t>
            </w:r>
          </w:p>
        </w:tc>
        <w:tc>
          <w:tcPr>
            <w:tcW w:w="816" w:type="dxa"/>
          </w:tcPr>
          <w:p w14:paraId="1D6DFE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FBCE0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C89ACB" w14:textId="77777777" w:rsidTr="00ED5B0A">
        <w:tc>
          <w:tcPr>
            <w:tcW w:w="2235" w:type="dxa"/>
          </w:tcPr>
          <w:p w14:paraId="7A98EA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скорости 0,9 max, км</w:t>
            </w:r>
          </w:p>
        </w:tc>
        <w:tc>
          <w:tcPr>
            <w:tcW w:w="816" w:type="dxa"/>
          </w:tcPr>
          <w:p w14:paraId="577209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CE875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CFEED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816" w:type="dxa"/>
          </w:tcPr>
          <w:p w14:paraId="2AD86A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B702B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94F42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0C689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B9BE7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71C0B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EAF5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724D20" w14:textId="77777777" w:rsidTr="00ED5B0A">
        <w:tc>
          <w:tcPr>
            <w:tcW w:w="2235" w:type="dxa"/>
          </w:tcPr>
          <w:p w14:paraId="7BE71C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16" w:type="dxa"/>
          </w:tcPr>
          <w:p w14:paraId="6C473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2DADA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10859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84BBB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C7583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33967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C3508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9853F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7D7E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C584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C49B1D" w14:textId="77777777" w:rsidTr="00ED5B0A">
        <w:tc>
          <w:tcPr>
            <w:tcW w:w="2235" w:type="dxa"/>
          </w:tcPr>
          <w:p w14:paraId="4005B0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w:t>
            </w:r>
          </w:p>
        </w:tc>
        <w:tc>
          <w:tcPr>
            <w:tcW w:w="816" w:type="dxa"/>
          </w:tcPr>
          <w:p w14:paraId="355D4D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7682A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2340D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1FAAC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8AF15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6FCF17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6CD64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09481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C3AC0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50A57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8F64C7" w14:textId="77777777" w:rsidTr="00ED5B0A">
        <w:tc>
          <w:tcPr>
            <w:tcW w:w="2235" w:type="dxa"/>
          </w:tcPr>
          <w:p w14:paraId="397F7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16" w:type="dxa"/>
          </w:tcPr>
          <w:p w14:paraId="69CA06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06593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2877F2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1C94CA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1325AC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276152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5B9603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251167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27CD80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16" w:type="dxa"/>
          </w:tcPr>
          <w:p w14:paraId="11D933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1E3CAA32" w14:textId="77777777" w:rsidTr="00ED5B0A">
        <w:tc>
          <w:tcPr>
            <w:tcW w:w="2235" w:type="dxa"/>
          </w:tcPr>
          <w:p w14:paraId="1C1A1A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16" w:type="dxa"/>
          </w:tcPr>
          <w:p w14:paraId="306F1C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31B41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5D92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5621B4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60C42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7F6CA1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057B6C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AF8D1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668337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16" w:type="dxa"/>
          </w:tcPr>
          <w:p w14:paraId="52E45F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r>
      <w:tr w:rsidR="00A907A5" w:rsidRPr="00271E51" w14:paraId="2A461350" w14:textId="77777777" w:rsidTr="00ED5B0A">
        <w:tc>
          <w:tcPr>
            <w:tcW w:w="2235" w:type="dxa"/>
          </w:tcPr>
          <w:p w14:paraId="185A0E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патроны</w:t>
            </w:r>
          </w:p>
        </w:tc>
        <w:tc>
          <w:tcPr>
            <w:tcW w:w="816" w:type="dxa"/>
          </w:tcPr>
          <w:p w14:paraId="51F53D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816" w:type="dxa"/>
          </w:tcPr>
          <w:p w14:paraId="4842A9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1240</w:t>
            </w:r>
          </w:p>
        </w:tc>
        <w:tc>
          <w:tcPr>
            <w:tcW w:w="816" w:type="dxa"/>
          </w:tcPr>
          <w:p w14:paraId="405C87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1240</w:t>
            </w:r>
          </w:p>
        </w:tc>
        <w:tc>
          <w:tcPr>
            <w:tcW w:w="816" w:type="dxa"/>
          </w:tcPr>
          <w:p w14:paraId="38BBBF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w:t>
            </w:r>
          </w:p>
        </w:tc>
        <w:tc>
          <w:tcPr>
            <w:tcW w:w="816" w:type="dxa"/>
          </w:tcPr>
          <w:p w14:paraId="15A18F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721CC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55AB4C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279051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66948F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16" w:type="dxa"/>
          </w:tcPr>
          <w:p w14:paraId="6C5595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6DAB1EFA" w14:textId="77777777" w:rsidTr="00ED5B0A">
        <w:tc>
          <w:tcPr>
            <w:tcW w:w="2235" w:type="dxa"/>
          </w:tcPr>
          <w:p w14:paraId="5D5FAA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w:t>
            </w:r>
          </w:p>
        </w:tc>
        <w:tc>
          <w:tcPr>
            <w:tcW w:w="816" w:type="dxa"/>
          </w:tcPr>
          <w:p w14:paraId="3A0E3A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EFFF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81AB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3682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F0168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4151B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8BAB6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DFE20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92158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5EA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1E6B51" w14:textId="77777777" w:rsidTr="00ED5B0A">
        <w:tc>
          <w:tcPr>
            <w:tcW w:w="2235" w:type="dxa"/>
          </w:tcPr>
          <w:p w14:paraId="58D04A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16" w:type="dxa"/>
          </w:tcPr>
          <w:p w14:paraId="49B921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5E47A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7E0533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2895F9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1C9D76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5FD819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006330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7845CD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28D8EE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16" w:type="dxa"/>
          </w:tcPr>
          <w:p w14:paraId="254661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302FE55E" w14:textId="77777777" w:rsidTr="00ED5B0A">
        <w:tc>
          <w:tcPr>
            <w:tcW w:w="2235" w:type="dxa"/>
          </w:tcPr>
          <w:p w14:paraId="6207B5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16" w:type="dxa"/>
          </w:tcPr>
          <w:p w14:paraId="5CD470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Pr>
          <w:p w14:paraId="5CFA16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013CA0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0DEE12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014A7A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21390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23CE44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3B2CD0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415408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16" w:type="dxa"/>
          </w:tcPr>
          <w:p w14:paraId="4FE21A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6819659A" w14:textId="77777777" w:rsidTr="00ED5B0A">
        <w:tc>
          <w:tcPr>
            <w:tcW w:w="2235" w:type="dxa"/>
            <w:tcBorders>
              <w:bottom w:val="single" w:sz="12" w:space="0" w:color="auto"/>
            </w:tcBorders>
          </w:tcPr>
          <w:p w14:paraId="387F16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снаряды</w:t>
            </w:r>
          </w:p>
        </w:tc>
        <w:tc>
          <w:tcPr>
            <w:tcW w:w="816" w:type="dxa"/>
            <w:tcBorders>
              <w:bottom w:val="single" w:sz="12" w:space="0" w:color="auto"/>
            </w:tcBorders>
          </w:tcPr>
          <w:p w14:paraId="7E9D4D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16" w:type="dxa"/>
            <w:tcBorders>
              <w:bottom w:val="single" w:sz="12" w:space="0" w:color="auto"/>
            </w:tcBorders>
          </w:tcPr>
          <w:p w14:paraId="73A165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816" w:type="dxa"/>
            <w:tcBorders>
              <w:bottom w:val="single" w:sz="12" w:space="0" w:color="auto"/>
            </w:tcBorders>
          </w:tcPr>
          <w:p w14:paraId="11B73D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816" w:type="dxa"/>
            <w:tcBorders>
              <w:bottom w:val="single" w:sz="12" w:space="0" w:color="auto"/>
            </w:tcBorders>
          </w:tcPr>
          <w:p w14:paraId="3DB835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816" w:type="dxa"/>
            <w:tcBorders>
              <w:bottom w:val="single" w:sz="12" w:space="0" w:color="auto"/>
            </w:tcBorders>
          </w:tcPr>
          <w:p w14:paraId="5EDFB6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476986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3655C3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13392A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130D97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16" w:type="dxa"/>
            <w:tcBorders>
              <w:bottom w:val="single" w:sz="12" w:space="0" w:color="auto"/>
            </w:tcBorders>
          </w:tcPr>
          <w:p w14:paraId="0B7023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r>
    </w:tbl>
    <w:p w14:paraId="315BBC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00"/>
        <w:gridCol w:w="800"/>
        <w:gridCol w:w="809"/>
        <w:gridCol w:w="851"/>
        <w:gridCol w:w="850"/>
        <w:gridCol w:w="709"/>
        <w:gridCol w:w="860"/>
        <w:gridCol w:w="860"/>
        <w:gridCol w:w="860"/>
        <w:gridCol w:w="822"/>
      </w:tblGrid>
      <w:tr w:rsidR="00A907A5" w:rsidRPr="00271E51" w14:paraId="34D2658B" w14:textId="77777777" w:rsidTr="00ED5B0A">
        <w:tc>
          <w:tcPr>
            <w:tcW w:w="2235" w:type="dxa"/>
            <w:tcBorders>
              <w:top w:val="single" w:sz="12" w:space="0" w:color="auto"/>
            </w:tcBorders>
          </w:tcPr>
          <w:p w14:paraId="276522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 сравнения</w:t>
            </w:r>
          </w:p>
        </w:tc>
        <w:tc>
          <w:tcPr>
            <w:tcW w:w="800" w:type="dxa"/>
            <w:tcBorders>
              <w:top w:val="single" w:sz="12" w:space="0" w:color="auto"/>
            </w:tcBorders>
          </w:tcPr>
          <w:p w14:paraId="6DFB1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№1569</w:t>
            </w:r>
          </w:p>
        </w:tc>
        <w:tc>
          <w:tcPr>
            <w:tcW w:w="800" w:type="dxa"/>
            <w:tcBorders>
              <w:top w:val="single" w:sz="12" w:space="0" w:color="auto"/>
            </w:tcBorders>
          </w:tcPr>
          <w:p w14:paraId="53ECAE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 № 2985</w:t>
            </w:r>
          </w:p>
        </w:tc>
        <w:tc>
          <w:tcPr>
            <w:tcW w:w="809" w:type="dxa"/>
            <w:tcBorders>
              <w:top w:val="single" w:sz="12" w:space="0" w:color="auto"/>
            </w:tcBorders>
          </w:tcPr>
          <w:p w14:paraId="39F453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б № 5085"</w:t>
            </w:r>
          </w:p>
        </w:tc>
        <w:tc>
          <w:tcPr>
            <w:tcW w:w="851" w:type="dxa"/>
            <w:tcBorders>
              <w:top w:val="single" w:sz="12" w:space="0" w:color="auto"/>
            </w:tcBorders>
          </w:tcPr>
          <w:p w14:paraId="6D301B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12" w:space="0" w:color="auto"/>
            </w:tcBorders>
          </w:tcPr>
          <w:p w14:paraId="69A217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2587 </w:t>
            </w:r>
          </w:p>
        </w:tc>
        <w:tc>
          <w:tcPr>
            <w:tcW w:w="709" w:type="dxa"/>
            <w:tcBorders>
              <w:top w:val="single" w:sz="12" w:space="0" w:color="auto"/>
            </w:tcBorders>
          </w:tcPr>
          <w:p w14:paraId="0A726C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Borders>
              <w:top w:val="single" w:sz="12" w:space="0" w:color="auto"/>
            </w:tcBorders>
          </w:tcPr>
          <w:p w14:paraId="62AE27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№4596 </w:t>
            </w:r>
          </w:p>
        </w:tc>
        <w:tc>
          <w:tcPr>
            <w:tcW w:w="860" w:type="dxa"/>
            <w:tcBorders>
              <w:top w:val="single" w:sz="12" w:space="0" w:color="auto"/>
            </w:tcBorders>
          </w:tcPr>
          <w:p w14:paraId="4E3B1C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№2898</w:t>
            </w:r>
          </w:p>
        </w:tc>
        <w:tc>
          <w:tcPr>
            <w:tcW w:w="860" w:type="dxa"/>
            <w:tcBorders>
              <w:top w:val="single" w:sz="12" w:space="0" w:color="auto"/>
            </w:tcBorders>
          </w:tcPr>
          <w:p w14:paraId="4CCF98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22" w:type="dxa"/>
            <w:tcBorders>
              <w:top w:val="single" w:sz="12" w:space="0" w:color="auto"/>
            </w:tcBorders>
          </w:tcPr>
          <w:p w14:paraId="532B07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r>
      <w:tr w:rsidR="00A907A5" w:rsidRPr="00271E51" w14:paraId="285FA7D5" w14:textId="77777777" w:rsidTr="00ED5B0A">
        <w:tc>
          <w:tcPr>
            <w:tcW w:w="2235" w:type="dxa"/>
          </w:tcPr>
          <w:p w14:paraId="068E5C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E793D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C2959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4965C0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A17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A6EB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АБ</w:t>
            </w:r>
          </w:p>
        </w:tc>
        <w:tc>
          <w:tcPr>
            <w:tcW w:w="709" w:type="dxa"/>
          </w:tcPr>
          <w:p w14:paraId="51A031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АБ</w:t>
            </w:r>
          </w:p>
        </w:tc>
        <w:tc>
          <w:tcPr>
            <w:tcW w:w="860" w:type="dxa"/>
          </w:tcPr>
          <w:p w14:paraId="09968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E676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F17FE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1699 </w:t>
            </w:r>
          </w:p>
        </w:tc>
        <w:tc>
          <w:tcPr>
            <w:tcW w:w="822" w:type="dxa"/>
          </w:tcPr>
          <w:p w14:paraId="26911F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№3299</w:t>
            </w:r>
          </w:p>
        </w:tc>
      </w:tr>
      <w:tr w:rsidR="00A907A5" w:rsidRPr="00271E51" w14:paraId="5CA95DA9" w14:textId="77777777" w:rsidTr="00ED5B0A">
        <w:tc>
          <w:tcPr>
            <w:tcW w:w="2235" w:type="dxa"/>
          </w:tcPr>
          <w:p w14:paraId="78B665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800" w:type="dxa"/>
          </w:tcPr>
          <w:p w14:paraId="086F37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00" w:type="dxa"/>
          </w:tcPr>
          <w:p w14:paraId="2DBEEB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09" w:type="dxa"/>
          </w:tcPr>
          <w:p w14:paraId="106DF0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64B85B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w:t>
            </w:r>
          </w:p>
        </w:tc>
        <w:tc>
          <w:tcPr>
            <w:tcW w:w="850" w:type="dxa"/>
          </w:tcPr>
          <w:p w14:paraId="0F9AE7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09" w:type="dxa"/>
          </w:tcPr>
          <w:p w14:paraId="44B9E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B1572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М-105ПФ </w:t>
            </w:r>
          </w:p>
        </w:tc>
        <w:tc>
          <w:tcPr>
            <w:tcW w:w="860" w:type="dxa"/>
          </w:tcPr>
          <w:p w14:paraId="70DAB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М-105ПФ </w:t>
            </w:r>
          </w:p>
        </w:tc>
        <w:tc>
          <w:tcPr>
            <w:tcW w:w="860" w:type="dxa"/>
          </w:tcPr>
          <w:p w14:paraId="11C026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М-105ПФ </w:t>
            </w:r>
          </w:p>
        </w:tc>
        <w:tc>
          <w:tcPr>
            <w:tcW w:w="822" w:type="dxa"/>
          </w:tcPr>
          <w:p w14:paraId="138E7E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М-106-1ск</w:t>
            </w:r>
          </w:p>
        </w:tc>
      </w:tr>
      <w:tr w:rsidR="00A907A5" w:rsidRPr="00271E51" w14:paraId="6C11136C" w14:textId="77777777" w:rsidTr="00ED5B0A">
        <w:tc>
          <w:tcPr>
            <w:tcW w:w="2235" w:type="dxa"/>
          </w:tcPr>
          <w:p w14:paraId="687B0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л.с.</w:t>
            </w:r>
          </w:p>
        </w:tc>
        <w:tc>
          <w:tcPr>
            <w:tcW w:w="800" w:type="dxa"/>
          </w:tcPr>
          <w:p w14:paraId="5216D8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00" w:type="dxa"/>
          </w:tcPr>
          <w:p w14:paraId="517D30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09" w:type="dxa"/>
          </w:tcPr>
          <w:p w14:paraId="4AB1A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1D11C3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c>
          <w:tcPr>
            <w:tcW w:w="850" w:type="dxa"/>
          </w:tcPr>
          <w:p w14:paraId="4D8451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709" w:type="dxa"/>
          </w:tcPr>
          <w:p w14:paraId="68336D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EE5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60" w:type="dxa"/>
          </w:tcPr>
          <w:p w14:paraId="2CC7AB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60" w:type="dxa"/>
          </w:tcPr>
          <w:p w14:paraId="03079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1181 </w:t>
            </w:r>
          </w:p>
        </w:tc>
        <w:tc>
          <w:tcPr>
            <w:tcW w:w="822" w:type="dxa"/>
          </w:tcPr>
          <w:p w14:paraId="54EB90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r>
      <w:tr w:rsidR="00A907A5" w:rsidRPr="00271E51" w14:paraId="4C115375" w14:textId="77777777" w:rsidTr="00ED5B0A">
        <w:tc>
          <w:tcPr>
            <w:tcW w:w="2235" w:type="dxa"/>
          </w:tcPr>
          <w:p w14:paraId="6622F4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кг</w:t>
            </w:r>
          </w:p>
        </w:tc>
        <w:tc>
          <w:tcPr>
            <w:tcW w:w="800" w:type="dxa"/>
          </w:tcPr>
          <w:p w14:paraId="661BB2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8EF5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2415</w:t>
            </w:r>
          </w:p>
        </w:tc>
        <w:tc>
          <w:tcPr>
            <w:tcW w:w="809" w:type="dxa"/>
          </w:tcPr>
          <w:p w14:paraId="3A7421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28A2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E327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6FB4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65EA4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CAE0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D2594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2280</w:t>
            </w:r>
          </w:p>
        </w:tc>
        <w:tc>
          <w:tcPr>
            <w:tcW w:w="822" w:type="dxa"/>
          </w:tcPr>
          <w:p w14:paraId="05C405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5F301B" w14:textId="77777777" w:rsidTr="00ED5B0A">
        <w:tc>
          <w:tcPr>
            <w:tcW w:w="2235" w:type="dxa"/>
          </w:tcPr>
          <w:p w14:paraId="4FBB8B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кг</w:t>
            </w:r>
          </w:p>
        </w:tc>
        <w:tc>
          <w:tcPr>
            <w:tcW w:w="800" w:type="dxa"/>
          </w:tcPr>
          <w:p w14:paraId="68D2E3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2917</w:t>
            </w:r>
          </w:p>
        </w:tc>
        <w:tc>
          <w:tcPr>
            <w:tcW w:w="800" w:type="dxa"/>
          </w:tcPr>
          <w:p w14:paraId="7D74DE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w:t>
            </w:r>
          </w:p>
        </w:tc>
        <w:tc>
          <w:tcPr>
            <w:tcW w:w="809" w:type="dxa"/>
          </w:tcPr>
          <w:p w14:paraId="0786DE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2915</w:t>
            </w:r>
          </w:p>
        </w:tc>
        <w:tc>
          <w:tcPr>
            <w:tcW w:w="851" w:type="dxa"/>
          </w:tcPr>
          <w:p w14:paraId="5C2531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2927</w:t>
            </w:r>
          </w:p>
        </w:tc>
        <w:tc>
          <w:tcPr>
            <w:tcW w:w="850" w:type="dxa"/>
          </w:tcPr>
          <w:p w14:paraId="19D99E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2924</w:t>
            </w:r>
          </w:p>
        </w:tc>
        <w:tc>
          <w:tcPr>
            <w:tcW w:w="709" w:type="dxa"/>
          </w:tcPr>
          <w:p w14:paraId="4C969F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96973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2780</w:t>
            </w:r>
          </w:p>
        </w:tc>
        <w:tc>
          <w:tcPr>
            <w:tcW w:w="860" w:type="dxa"/>
          </w:tcPr>
          <w:p w14:paraId="6D6FE1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2940</w:t>
            </w:r>
          </w:p>
        </w:tc>
        <w:tc>
          <w:tcPr>
            <w:tcW w:w="860" w:type="dxa"/>
          </w:tcPr>
          <w:p w14:paraId="782A46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2920 </w:t>
            </w:r>
          </w:p>
        </w:tc>
        <w:tc>
          <w:tcPr>
            <w:tcW w:w="822" w:type="dxa"/>
          </w:tcPr>
          <w:p w14:paraId="08DEE7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2757</w:t>
            </w:r>
          </w:p>
        </w:tc>
      </w:tr>
      <w:tr w:rsidR="00A907A5" w:rsidRPr="00271E51" w14:paraId="5A2E882F" w14:textId="77777777" w:rsidTr="00ED5B0A">
        <w:tc>
          <w:tcPr>
            <w:tcW w:w="2235" w:type="dxa"/>
          </w:tcPr>
          <w:p w14:paraId="60C55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км/ч</w:t>
            </w:r>
          </w:p>
        </w:tc>
        <w:tc>
          <w:tcPr>
            <w:tcW w:w="800" w:type="dxa"/>
          </w:tcPr>
          <w:p w14:paraId="0E342A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c>
          <w:tcPr>
            <w:tcW w:w="800" w:type="dxa"/>
          </w:tcPr>
          <w:p w14:paraId="024810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508</w:t>
            </w:r>
          </w:p>
        </w:tc>
        <w:tc>
          <w:tcPr>
            <w:tcW w:w="809" w:type="dxa"/>
          </w:tcPr>
          <w:p w14:paraId="21BC95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517</w:t>
            </w:r>
          </w:p>
        </w:tc>
        <w:tc>
          <w:tcPr>
            <w:tcW w:w="851" w:type="dxa"/>
          </w:tcPr>
          <w:p w14:paraId="5ABD62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w:t>
            </w:r>
          </w:p>
        </w:tc>
        <w:tc>
          <w:tcPr>
            <w:tcW w:w="850" w:type="dxa"/>
          </w:tcPr>
          <w:p w14:paraId="2E89C1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tc>
        <w:tc>
          <w:tcPr>
            <w:tcW w:w="709" w:type="dxa"/>
          </w:tcPr>
          <w:p w14:paraId="75CE08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482</w:t>
            </w:r>
          </w:p>
        </w:tc>
        <w:tc>
          <w:tcPr>
            <w:tcW w:w="860" w:type="dxa"/>
          </w:tcPr>
          <w:p w14:paraId="7C19AC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w:t>
            </w:r>
          </w:p>
        </w:tc>
        <w:tc>
          <w:tcPr>
            <w:tcW w:w="860" w:type="dxa"/>
          </w:tcPr>
          <w:p w14:paraId="7FF404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516</w:t>
            </w:r>
          </w:p>
        </w:tc>
        <w:tc>
          <w:tcPr>
            <w:tcW w:w="860" w:type="dxa"/>
          </w:tcPr>
          <w:p w14:paraId="4F6440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524 </w:t>
            </w:r>
          </w:p>
        </w:tc>
        <w:tc>
          <w:tcPr>
            <w:tcW w:w="822" w:type="dxa"/>
          </w:tcPr>
          <w:p w14:paraId="541239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551</w:t>
            </w:r>
          </w:p>
        </w:tc>
      </w:tr>
      <w:tr w:rsidR="00A907A5" w:rsidRPr="00271E51" w14:paraId="4F6229DB" w14:textId="77777777" w:rsidTr="00ED5B0A">
        <w:tc>
          <w:tcPr>
            <w:tcW w:w="2235" w:type="dxa"/>
          </w:tcPr>
          <w:p w14:paraId="462B5B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первой</w:t>
            </w:r>
          </w:p>
        </w:tc>
        <w:tc>
          <w:tcPr>
            <w:tcW w:w="800" w:type="dxa"/>
          </w:tcPr>
          <w:p w14:paraId="0854A6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w:t>
            </w:r>
          </w:p>
        </w:tc>
        <w:tc>
          <w:tcPr>
            <w:tcW w:w="800" w:type="dxa"/>
          </w:tcPr>
          <w:p w14:paraId="327549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548</w:t>
            </w:r>
          </w:p>
        </w:tc>
        <w:tc>
          <w:tcPr>
            <w:tcW w:w="809" w:type="dxa"/>
          </w:tcPr>
          <w:p w14:paraId="589E1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563</w:t>
            </w:r>
          </w:p>
        </w:tc>
        <w:tc>
          <w:tcPr>
            <w:tcW w:w="851" w:type="dxa"/>
          </w:tcPr>
          <w:p w14:paraId="434017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611</w:t>
            </w:r>
          </w:p>
        </w:tc>
        <w:tc>
          <w:tcPr>
            <w:tcW w:w="850" w:type="dxa"/>
          </w:tcPr>
          <w:p w14:paraId="0CDFA9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B8448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CDC09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07821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BA355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400D7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51C547" w14:textId="77777777" w:rsidTr="00ED5B0A">
        <w:tc>
          <w:tcPr>
            <w:tcW w:w="2235" w:type="dxa"/>
          </w:tcPr>
          <w:p w14:paraId="03ECA4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00" w:type="dxa"/>
          </w:tcPr>
          <w:p w14:paraId="286EC8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CFE15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7A91B3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0B2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CA96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FA0B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896F1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1AA86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5FA4D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w:t>
            </w:r>
          </w:p>
        </w:tc>
        <w:tc>
          <w:tcPr>
            <w:tcW w:w="822" w:type="dxa"/>
          </w:tcPr>
          <w:p w14:paraId="7E72C7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9B4084" w14:textId="77777777" w:rsidTr="00ED5B0A">
        <w:tc>
          <w:tcPr>
            <w:tcW w:w="2235" w:type="dxa"/>
          </w:tcPr>
          <w:p w14:paraId="2009FA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первой границы, м</w:t>
            </w:r>
          </w:p>
        </w:tc>
        <w:tc>
          <w:tcPr>
            <w:tcW w:w="800" w:type="dxa"/>
          </w:tcPr>
          <w:p w14:paraId="39CC91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1850</w:t>
            </w:r>
          </w:p>
        </w:tc>
        <w:tc>
          <w:tcPr>
            <w:tcW w:w="800" w:type="dxa"/>
          </w:tcPr>
          <w:p w14:paraId="78084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09" w:type="dxa"/>
          </w:tcPr>
          <w:p w14:paraId="71A63D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1950</w:t>
            </w:r>
          </w:p>
        </w:tc>
        <w:tc>
          <w:tcPr>
            <w:tcW w:w="851" w:type="dxa"/>
          </w:tcPr>
          <w:p w14:paraId="1186E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w:t>
            </w:r>
          </w:p>
        </w:tc>
        <w:tc>
          <w:tcPr>
            <w:tcW w:w="850" w:type="dxa"/>
          </w:tcPr>
          <w:p w14:paraId="00189C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361F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65F54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228C0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06555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3400</w:t>
            </w:r>
          </w:p>
        </w:tc>
        <w:tc>
          <w:tcPr>
            <w:tcW w:w="822" w:type="dxa"/>
          </w:tcPr>
          <w:p w14:paraId="3A8698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BBB9D2" w14:textId="77777777" w:rsidTr="00ED5B0A">
        <w:tc>
          <w:tcPr>
            <w:tcW w:w="2235" w:type="dxa"/>
          </w:tcPr>
          <w:p w14:paraId="5706FF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второй</w:t>
            </w:r>
          </w:p>
        </w:tc>
        <w:tc>
          <w:tcPr>
            <w:tcW w:w="800" w:type="dxa"/>
          </w:tcPr>
          <w:p w14:paraId="4291A6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571</w:t>
            </w:r>
          </w:p>
        </w:tc>
        <w:tc>
          <w:tcPr>
            <w:tcW w:w="800" w:type="dxa"/>
          </w:tcPr>
          <w:p w14:paraId="68AF92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809" w:type="dxa"/>
          </w:tcPr>
          <w:p w14:paraId="3290DD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589</w:t>
            </w:r>
          </w:p>
        </w:tc>
        <w:tc>
          <w:tcPr>
            <w:tcW w:w="851" w:type="dxa"/>
          </w:tcPr>
          <w:p w14:paraId="7A9CAD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B4DF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c>
          <w:tcPr>
            <w:tcW w:w="709" w:type="dxa"/>
          </w:tcPr>
          <w:p w14:paraId="20EC03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551</w:t>
            </w:r>
          </w:p>
        </w:tc>
        <w:tc>
          <w:tcPr>
            <w:tcW w:w="860" w:type="dxa"/>
          </w:tcPr>
          <w:p w14:paraId="193F16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43F6B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01BB7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260DA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77CC97" w14:textId="77777777" w:rsidTr="00ED5B0A">
        <w:tc>
          <w:tcPr>
            <w:tcW w:w="2235" w:type="dxa"/>
          </w:tcPr>
          <w:p w14:paraId="64D493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00" w:type="dxa"/>
          </w:tcPr>
          <w:p w14:paraId="4A2DF9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0BDAC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6794A8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D208E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16AD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F8A4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ABC93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w:t>
            </w:r>
          </w:p>
        </w:tc>
        <w:tc>
          <w:tcPr>
            <w:tcW w:w="860" w:type="dxa"/>
          </w:tcPr>
          <w:p w14:paraId="6F707A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860" w:type="dxa"/>
          </w:tcPr>
          <w:p w14:paraId="4917FF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584</w:t>
            </w:r>
          </w:p>
        </w:tc>
        <w:tc>
          <w:tcPr>
            <w:tcW w:w="822" w:type="dxa"/>
          </w:tcPr>
          <w:p w14:paraId="38B589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w:t>
            </w:r>
          </w:p>
        </w:tc>
      </w:tr>
      <w:tr w:rsidR="00A907A5" w:rsidRPr="00271E51" w14:paraId="09C893FD" w14:textId="77777777" w:rsidTr="00ED5B0A">
        <w:tc>
          <w:tcPr>
            <w:tcW w:w="2235" w:type="dxa"/>
          </w:tcPr>
          <w:p w14:paraId="39F09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второй границы, м</w:t>
            </w:r>
          </w:p>
        </w:tc>
        <w:tc>
          <w:tcPr>
            <w:tcW w:w="800" w:type="dxa"/>
          </w:tcPr>
          <w:p w14:paraId="5D1444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3650</w:t>
            </w:r>
          </w:p>
        </w:tc>
        <w:tc>
          <w:tcPr>
            <w:tcW w:w="800" w:type="dxa"/>
          </w:tcPr>
          <w:p w14:paraId="6DA2FB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3850</w:t>
            </w:r>
          </w:p>
        </w:tc>
        <w:tc>
          <w:tcPr>
            <w:tcW w:w="809" w:type="dxa"/>
          </w:tcPr>
          <w:p w14:paraId="20A48F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w:t>
            </w:r>
          </w:p>
        </w:tc>
        <w:tc>
          <w:tcPr>
            <w:tcW w:w="851" w:type="dxa"/>
          </w:tcPr>
          <w:p w14:paraId="64296D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66AF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709" w:type="dxa"/>
          </w:tcPr>
          <w:p w14:paraId="126FA9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60" w:type="dxa"/>
          </w:tcPr>
          <w:p w14:paraId="60BB83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w:t>
            </w:r>
          </w:p>
        </w:tc>
        <w:tc>
          <w:tcPr>
            <w:tcW w:w="860" w:type="dxa"/>
          </w:tcPr>
          <w:p w14:paraId="14B02A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3350</w:t>
            </w:r>
          </w:p>
        </w:tc>
        <w:tc>
          <w:tcPr>
            <w:tcW w:w="860" w:type="dxa"/>
          </w:tcPr>
          <w:p w14:paraId="455968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c>
          <w:tcPr>
            <w:tcW w:w="822" w:type="dxa"/>
          </w:tcPr>
          <w:p w14:paraId="11F89D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w:t>
            </w:r>
          </w:p>
        </w:tc>
      </w:tr>
      <w:tr w:rsidR="00A907A5" w:rsidRPr="00271E51" w14:paraId="15B5BEF7" w14:textId="77777777" w:rsidTr="00ED5B0A">
        <w:tc>
          <w:tcPr>
            <w:tcW w:w="2235" w:type="dxa"/>
          </w:tcPr>
          <w:p w14:paraId="6EE1FE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800" w:type="dxa"/>
          </w:tcPr>
          <w:p w14:paraId="6EDDA6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w:t>
            </w:r>
          </w:p>
        </w:tc>
        <w:tc>
          <w:tcPr>
            <w:tcW w:w="800" w:type="dxa"/>
          </w:tcPr>
          <w:p w14:paraId="484956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809" w:type="dxa"/>
          </w:tcPr>
          <w:p w14:paraId="409918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6,06</w:t>
            </w:r>
          </w:p>
        </w:tc>
        <w:tc>
          <w:tcPr>
            <w:tcW w:w="851" w:type="dxa"/>
          </w:tcPr>
          <w:p w14:paraId="4C46C1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850" w:type="dxa"/>
          </w:tcPr>
          <w:p w14:paraId="516DCE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709" w:type="dxa"/>
          </w:tcPr>
          <w:p w14:paraId="7CA3D7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860" w:type="dxa"/>
          </w:tcPr>
          <w:p w14:paraId="349DB6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1626A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7AE2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7FBE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E81B1E" w14:textId="77777777" w:rsidTr="00ED5B0A">
        <w:tc>
          <w:tcPr>
            <w:tcW w:w="2235" w:type="dxa"/>
          </w:tcPr>
          <w:p w14:paraId="786BB5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800" w:type="dxa"/>
          </w:tcPr>
          <w:p w14:paraId="571B79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40C3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73CD80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BF6F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207D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7310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25EBD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860" w:type="dxa"/>
          </w:tcPr>
          <w:p w14:paraId="5796F0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860" w:type="dxa"/>
          </w:tcPr>
          <w:p w14:paraId="548D4F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5,2 4.5</w:t>
            </w:r>
          </w:p>
        </w:tc>
        <w:tc>
          <w:tcPr>
            <w:tcW w:w="822" w:type="dxa"/>
          </w:tcPr>
          <w:p w14:paraId="4C291A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69B4A5" w14:textId="77777777" w:rsidTr="00ED5B0A">
        <w:tc>
          <w:tcPr>
            <w:tcW w:w="2235" w:type="dxa"/>
          </w:tcPr>
          <w:p w14:paraId="666545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00" w:type="dxa"/>
          </w:tcPr>
          <w:p w14:paraId="5621BC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73FA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10B96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3319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6FC7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32F6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C2F93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83BCC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91E73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05113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8C9C9C" w14:textId="77777777" w:rsidTr="00ED5B0A">
        <w:tc>
          <w:tcPr>
            <w:tcW w:w="2235" w:type="dxa"/>
          </w:tcPr>
          <w:p w14:paraId="1F43CC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800" w:type="dxa"/>
          </w:tcPr>
          <w:p w14:paraId="06FC90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24404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266EFC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AD970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B31D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83E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A5717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A2FEA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B5234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BBA6A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FDDC12" w14:textId="77777777" w:rsidTr="00ED5B0A">
        <w:tc>
          <w:tcPr>
            <w:tcW w:w="2235" w:type="dxa"/>
          </w:tcPr>
          <w:p w14:paraId="1260CC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 с</w:t>
            </w:r>
          </w:p>
        </w:tc>
        <w:tc>
          <w:tcPr>
            <w:tcW w:w="800" w:type="dxa"/>
          </w:tcPr>
          <w:p w14:paraId="26956E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19-20</w:t>
            </w:r>
          </w:p>
        </w:tc>
        <w:tc>
          <w:tcPr>
            <w:tcW w:w="800" w:type="dxa"/>
          </w:tcPr>
          <w:p w14:paraId="4DAA22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12FCAE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AC1E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2D22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9745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C55E2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5E927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C8F2A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B5C7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20439A" w14:textId="77777777" w:rsidTr="00ED5B0A">
        <w:tc>
          <w:tcPr>
            <w:tcW w:w="2235" w:type="dxa"/>
          </w:tcPr>
          <w:p w14:paraId="66F069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800" w:type="dxa"/>
          </w:tcPr>
          <w:p w14:paraId="30052C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1988A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63F364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6C83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061A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709" w:type="dxa"/>
          </w:tcPr>
          <w:p w14:paraId="4E37BA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tc>
        <w:tc>
          <w:tcPr>
            <w:tcW w:w="860" w:type="dxa"/>
          </w:tcPr>
          <w:p w14:paraId="4B0136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8A0E4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F5A2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0CFDB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330F62" w14:textId="77777777" w:rsidTr="00ED5B0A">
        <w:tc>
          <w:tcPr>
            <w:tcW w:w="2235" w:type="dxa"/>
          </w:tcPr>
          <w:p w14:paraId="6DCE2E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скорости 0,9 max, км</w:t>
            </w:r>
          </w:p>
        </w:tc>
        <w:tc>
          <w:tcPr>
            <w:tcW w:w="800" w:type="dxa"/>
          </w:tcPr>
          <w:p w14:paraId="19D06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BBD72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5DE52E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3085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82E4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82F8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F8DC9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D892D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2B084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8DD8B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4E9FDA" w14:textId="77777777" w:rsidTr="00ED5B0A">
        <w:tc>
          <w:tcPr>
            <w:tcW w:w="2235" w:type="dxa"/>
          </w:tcPr>
          <w:p w14:paraId="0FE1D7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00" w:type="dxa"/>
          </w:tcPr>
          <w:p w14:paraId="66238B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CB853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46798E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6A51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D41B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2733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FFF1F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95CD2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8F6E7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3296D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B0C286" w14:textId="77777777" w:rsidTr="00ED5B0A">
        <w:tc>
          <w:tcPr>
            <w:tcW w:w="2235" w:type="dxa"/>
          </w:tcPr>
          <w:p w14:paraId="1E5771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w:t>
            </w:r>
          </w:p>
        </w:tc>
        <w:tc>
          <w:tcPr>
            <w:tcW w:w="800" w:type="dxa"/>
          </w:tcPr>
          <w:p w14:paraId="1B9A8C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2FF4C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6735C4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CB13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DB651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65EF8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476C7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BC340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C8373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9EEB5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6BBF9C" w14:textId="77777777" w:rsidTr="00ED5B0A">
        <w:tc>
          <w:tcPr>
            <w:tcW w:w="2235" w:type="dxa"/>
          </w:tcPr>
          <w:p w14:paraId="69234D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00" w:type="dxa"/>
          </w:tcPr>
          <w:p w14:paraId="0A5A16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00" w:type="dxa"/>
          </w:tcPr>
          <w:p w14:paraId="3D2EA7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09" w:type="dxa"/>
          </w:tcPr>
          <w:p w14:paraId="41EF7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1A58C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5A4A85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09" w:type="dxa"/>
          </w:tcPr>
          <w:p w14:paraId="77E0D5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60" w:type="dxa"/>
          </w:tcPr>
          <w:p w14:paraId="075E98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60" w:type="dxa"/>
          </w:tcPr>
          <w:p w14:paraId="5302DF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60" w:type="dxa"/>
          </w:tcPr>
          <w:p w14:paraId="304644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w:t>
            </w:r>
          </w:p>
        </w:tc>
        <w:tc>
          <w:tcPr>
            <w:tcW w:w="822" w:type="dxa"/>
          </w:tcPr>
          <w:p w14:paraId="12CE9D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470F659D" w14:textId="77777777" w:rsidTr="00ED5B0A">
        <w:tc>
          <w:tcPr>
            <w:tcW w:w="2235" w:type="dxa"/>
          </w:tcPr>
          <w:p w14:paraId="0FA28C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00" w:type="dxa"/>
          </w:tcPr>
          <w:p w14:paraId="6A0358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00" w:type="dxa"/>
          </w:tcPr>
          <w:p w14:paraId="1D791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09" w:type="dxa"/>
          </w:tcPr>
          <w:p w14:paraId="4A341A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4BDBD7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4BEFF6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709" w:type="dxa"/>
          </w:tcPr>
          <w:p w14:paraId="4FBF37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60" w:type="dxa"/>
          </w:tcPr>
          <w:p w14:paraId="75CA91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60" w:type="dxa"/>
          </w:tcPr>
          <w:p w14:paraId="773214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860" w:type="dxa"/>
          </w:tcPr>
          <w:p w14:paraId="5750B4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12,7 12,7</w:t>
            </w:r>
          </w:p>
        </w:tc>
        <w:tc>
          <w:tcPr>
            <w:tcW w:w="822" w:type="dxa"/>
          </w:tcPr>
          <w:p w14:paraId="4E1CEF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r>
      <w:tr w:rsidR="00A907A5" w:rsidRPr="00271E51" w14:paraId="171D9E28" w14:textId="77777777" w:rsidTr="00ED5B0A">
        <w:tc>
          <w:tcPr>
            <w:tcW w:w="2235" w:type="dxa"/>
          </w:tcPr>
          <w:p w14:paraId="34BA05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патроны</w:t>
            </w:r>
          </w:p>
        </w:tc>
        <w:tc>
          <w:tcPr>
            <w:tcW w:w="800" w:type="dxa"/>
          </w:tcPr>
          <w:p w14:paraId="5F7525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00" w:type="dxa"/>
          </w:tcPr>
          <w:p w14:paraId="2C231F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09" w:type="dxa"/>
          </w:tcPr>
          <w:p w14:paraId="5A8333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1" w:type="dxa"/>
          </w:tcPr>
          <w:p w14:paraId="76640E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0" w:type="dxa"/>
          </w:tcPr>
          <w:p w14:paraId="777C24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709" w:type="dxa"/>
          </w:tcPr>
          <w:p w14:paraId="7099AD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60" w:type="dxa"/>
          </w:tcPr>
          <w:p w14:paraId="52B2BD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60" w:type="dxa"/>
          </w:tcPr>
          <w:p w14:paraId="2E117F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60" w:type="dxa"/>
          </w:tcPr>
          <w:p w14:paraId="7048FB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200 200</w:t>
            </w:r>
          </w:p>
        </w:tc>
        <w:tc>
          <w:tcPr>
            <w:tcW w:w="822" w:type="dxa"/>
          </w:tcPr>
          <w:p w14:paraId="3ADBA3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4B50D293" w14:textId="77777777" w:rsidTr="00ED5B0A">
        <w:tc>
          <w:tcPr>
            <w:tcW w:w="2235" w:type="dxa"/>
          </w:tcPr>
          <w:p w14:paraId="664920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w:t>
            </w:r>
          </w:p>
        </w:tc>
        <w:tc>
          <w:tcPr>
            <w:tcW w:w="800" w:type="dxa"/>
          </w:tcPr>
          <w:p w14:paraId="1E7B27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59E45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9" w:type="dxa"/>
          </w:tcPr>
          <w:p w14:paraId="53E2EB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6C24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6C41A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443C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0CE1B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E0C6B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D80F4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72757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D62B26" w14:textId="77777777" w:rsidTr="00ED5B0A">
        <w:tc>
          <w:tcPr>
            <w:tcW w:w="2235" w:type="dxa"/>
          </w:tcPr>
          <w:p w14:paraId="76AB2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00" w:type="dxa"/>
          </w:tcPr>
          <w:p w14:paraId="1F30E0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00" w:type="dxa"/>
          </w:tcPr>
          <w:p w14:paraId="31215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09" w:type="dxa"/>
          </w:tcPr>
          <w:p w14:paraId="66318B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15BC7A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7AA41E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9" w:type="dxa"/>
          </w:tcPr>
          <w:p w14:paraId="0530B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60" w:type="dxa"/>
          </w:tcPr>
          <w:p w14:paraId="38366C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60" w:type="dxa"/>
          </w:tcPr>
          <w:p w14:paraId="1AF218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60" w:type="dxa"/>
          </w:tcPr>
          <w:p w14:paraId="54AB9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w:t>
            </w:r>
          </w:p>
        </w:tc>
        <w:tc>
          <w:tcPr>
            <w:tcW w:w="822" w:type="dxa"/>
          </w:tcPr>
          <w:p w14:paraId="5623D6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66AD939E" w14:textId="77777777" w:rsidTr="00ED5B0A">
        <w:tc>
          <w:tcPr>
            <w:tcW w:w="2235" w:type="dxa"/>
          </w:tcPr>
          <w:p w14:paraId="2E4226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00" w:type="dxa"/>
          </w:tcPr>
          <w:p w14:paraId="3ACCB4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00" w:type="dxa"/>
          </w:tcPr>
          <w:p w14:paraId="5A3E19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09" w:type="dxa"/>
          </w:tcPr>
          <w:p w14:paraId="1B62B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36133D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1B1C3B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09" w:type="dxa"/>
          </w:tcPr>
          <w:p w14:paraId="2532F9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60" w:type="dxa"/>
          </w:tcPr>
          <w:p w14:paraId="2FA871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60" w:type="dxa"/>
          </w:tcPr>
          <w:p w14:paraId="6C0A6F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60" w:type="dxa"/>
          </w:tcPr>
          <w:p w14:paraId="675D31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20 20</w:t>
            </w:r>
          </w:p>
        </w:tc>
        <w:tc>
          <w:tcPr>
            <w:tcW w:w="822" w:type="dxa"/>
          </w:tcPr>
          <w:p w14:paraId="7D3148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0AD05F78" w14:textId="77777777" w:rsidTr="00ED5B0A">
        <w:tc>
          <w:tcPr>
            <w:tcW w:w="2235" w:type="dxa"/>
            <w:tcBorders>
              <w:bottom w:val="single" w:sz="12" w:space="0" w:color="auto"/>
            </w:tcBorders>
          </w:tcPr>
          <w:p w14:paraId="2C0502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снаряды</w:t>
            </w:r>
          </w:p>
        </w:tc>
        <w:tc>
          <w:tcPr>
            <w:tcW w:w="800" w:type="dxa"/>
            <w:tcBorders>
              <w:bottom w:val="single" w:sz="12" w:space="0" w:color="auto"/>
            </w:tcBorders>
          </w:tcPr>
          <w:p w14:paraId="574248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00" w:type="dxa"/>
            <w:tcBorders>
              <w:bottom w:val="single" w:sz="12" w:space="0" w:color="auto"/>
            </w:tcBorders>
          </w:tcPr>
          <w:p w14:paraId="24EA26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09" w:type="dxa"/>
            <w:tcBorders>
              <w:bottom w:val="single" w:sz="12" w:space="0" w:color="auto"/>
            </w:tcBorders>
          </w:tcPr>
          <w:p w14:paraId="45C1C1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851" w:type="dxa"/>
            <w:tcBorders>
              <w:bottom w:val="single" w:sz="12" w:space="0" w:color="auto"/>
            </w:tcBorders>
          </w:tcPr>
          <w:p w14:paraId="353A2D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850" w:type="dxa"/>
            <w:tcBorders>
              <w:bottom w:val="single" w:sz="12" w:space="0" w:color="auto"/>
            </w:tcBorders>
          </w:tcPr>
          <w:p w14:paraId="13FE66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709" w:type="dxa"/>
            <w:tcBorders>
              <w:bottom w:val="single" w:sz="12" w:space="0" w:color="auto"/>
            </w:tcBorders>
          </w:tcPr>
          <w:p w14:paraId="219D06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60" w:type="dxa"/>
            <w:tcBorders>
              <w:bottom w:val="single" w:sz="12" w:space="0" w:color="auto"/>
            </w:tcBorders>
          </w:tcPr>
          <w:p w14:paraId="200446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60" w:type="dxa"/>
            <w:tcBorders>
              <w:bottom w:val="single" w:sz="12" w:space="0" w:color="auto"/>
            </w:tcBorders>
          </w:tcPr>
          <w:p w14:paraId="5F1139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60" w:type="dxa"/>
            <w:tcBorders>
              <w:bottom w:val="single" w:sz="12" w:space="0" w:color="auto"/>
            </w:tcBorders>
          </w:tcPr>
          <w:p w14:paraId="32E321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120 120</w:t>
            </w:r>
          </w:p>
        </w:tc>
        <w:tc>
          <w:tcPr>
            <w:tcW w:w="822" w:type="dxa"/>
            <w:tcBorders>
              <w:bottom w:val="single" w:sz="12" w:space="0" w:color="auto"/>
            </w:tcBorders>
          </w:tcPr>
          <w:p w14:paraId="4E937A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r>
    </w:tbl>
    <w:p w14:paraId="76EB2A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50"/>
        <w:gridCol w:w="739"/>
        <w:gridCol w:w="820"/>
        <w:gridCol w:w="851"/>
        <w:gridCol w:w="850"/>
        <w:gridCol w:w="851"/>
        <w:gridCol w:w="850"/>
        <w:gridCol w:w="851"/>
        <w:gridCol w:w="850"/>
        <w:gridCol w:w="709"/>
      </w:tblGrid>
      <w:tr w:rsidR="00A907A5" w:rsidRPr="00271E51" w14:paraId="3EDF3721" w14:textId="77777777" w:rsidTr="00ED5B0A">
        <w:tc>
          <w:tcPr>
            <w:tcW w:w="2235" w:type="dxa"/>
            <w:tcBorders>
              <w:top w:val="single" w:sz="12" w:space="0" w:color="auto"/>
            </w:tcBorders>
          </w:tcPr>
          <w:p w14:paraId="36CD3B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 сравнения</w:t>
            </w:r>
          </w:p>
        </w:tc>
        <w:tc>
          <w:tcPr>
            <w:tcW w:w="850" w:type="dxa"/>
            <w:tcBorders>
              <w:top w:val="single" w:sz="12" w:space="0" w:color="auto"/>
            </w:tcBorders>
          </w:tcPr>
          <w:p w14:paraId="7A62CA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739" w:type="dxa"/>
            <w:tcBorders>
              <w:top w:val="single" w:sz="12" w:space="0" w:color="auto"/>
            </w:tcBorders>
          </w:tcPr>
          <w:p w14:paraId="3AEFB1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20" w:type="dxa"/>
            <w:tcBorders>
              <w:top w:val="single" w:sz="12" w:space="0" w:color="auto"/>
            </w:tcBorders>
          </w:tcPr>
          <w:p w14:paraId="187620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1" w:type="dxa"/>
            <w:tcBorders>
              <w:top w:val="single" w:sz="12" w:space="0" w:color="auto"/>
            </w:tcBorders>
          </w:tcPr>
          <w:p w14:paraId="06C6C5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1286FF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1" w:type="dxa"/>
            <w:tcBorders>
              <w:top w:val="single" w:sz="12" w:space="0" w:color="auto"/>
            </w:tcBorders>
          </w:tcPr>
          <w:p w14:paraId="5FF470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3F97D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1" w:type="dxa"/>
            <w:tcBorders>
              <w:top w:val="single" w:sz="12" w:space="0" w:color="auto"/>
            </w:tcBorders>
          </w:tcPr>
          <w:p w14:paraId="400677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53267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709" w:type="dxa"/>
            <w:tcBorders>
              <w:top w:val="single" w:sz="12" w:space="0" w:color="auto"/>
            </w:tcBorders>
          </w:tcPr>
          <w:p w14:paraId="04DD75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r>
      <w:tr w:rsidR="00A907A5" w:rsidRPr="00271E51" w14:paraId="1857CC2A" w14:textId="77777777" w:rsidTr="00ED5B0A">
        <w:tc>
          <w:tcPr>
            <w:tcW w:w="2235" w:type="dxa"/>
          </w:tcPr>
          <w:p w14:paraId="1452BF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8BB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№20110</w:t>
            </w:r>
          </w:p>
        </w:tc>
        <w:tc>
          <w:tcPr>
            <w:tcW w:w="739" w:type="dxa"/>
          </w:tcPr>
          <w:p w14:paraId="1B1B0D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№01111</w:t>
            </w:r>
          </w:p>
        </w:tc>
        <w:tc>
          <w:tcPr>
            <w:tcW w:w="820" w:type="dxa"/>
          </w:tcPr>
          <w:p w14:paraId="77F25A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№03111</w:t>
            </w:r>
          </w:p>
        </w:tc>
        <w:tc>
          <w:tcPr>
            <w:tcW w:w="851" w:type="dxa"/>
          </w:tcPr>
          <w:p w14:paraId="277652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№04111</w:t>
            </w:r>
          </w:p>
        </w:tc>
        <w:tc>
          <w:tcPr>
            <w:tcW w:w="850" w:type="dxa"/>
          </w:tcPr>
          <w:p w14:paraId="015A5D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№24117</w:t>
            </w:r>
          </w:p>
        </w:tc>
        <w:tc>
          <w:tcPr>
            <w:tcW w:w="851" w:type="dxa"/>
          </w:tcPr>
          <w:p w14:paraId="02C1A3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№37126</w:t>
            </w:r>
          </w:p>
        </w:tc>
        <w:tc>
          <w:tcPr>
            <w:tcW w:w="850" w:type="dxa"/>
          </w:tcPr>
          <w:p w14:paraId="59B237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№07127</w:t>
            </w:r>
          </w:p>
        </w:tc>
        <w:tc>
          <w:tcPr>
            <w:tcW w:w="851" w:type="dxa"/>
          </w:tcPr>
          <w:p w14:paraId="24F64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№20134</w:t>
            </w:r>
          </w:p>
        </w:tc>
        <w:tc>
          <w:tcPr>
            <w:tcW w:w="850" w:type="dxa"/>
          </w:tcPr>
          <w:p w14:paraId="1765A4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08136</w:t>
            </w:r>
          </w:p>
        </w:tc>
        <w:tc>
          <w:tcPr>
            <w:tcW w:w="709" w:type="dxa"/>
          </w:tcPr>
          <w:p w14:paraId="315155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03139</w:t>
            </w:r>
          </w:p>
        </w:tc>
      </w:tr>
      <w:tr w:rsidR="00A907A5" w:rsidRPr="00271E51" w14:paraId="0E5B19F2" w14:textId="77777777" w:rsidTr="00ED5B0A">
        <w:tc>
          <w:tcPr>
            <w:tcW w:w="2235" w:type="dxa"/>
          </w:tcPr>
          <w:p w14:paraId="7B4028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850" w:type="dxa"/>
          </w:tcPr>
          <w:p w14:paraId="676517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39" w:type="dxa"/>
          </w:tcPr>
          <w:p w14:paraId="2C5346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М-106-1ск</w:t>
            </w:r>
          </w:p>
        </w:tc>
        <w:tc>
          <w:tcPr>
            <w:tcW w:w="820" w:type="dxa"/>
          </w:tcPr>
          <w:p w14:paraId="11B6E6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30C840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0D6B61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6B8E01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41D606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4AC52B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091752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09" w:type="dxa"/>
          </w:tcPr>
          <w:p w14:paraId="5ECA34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r>
      <w:tr w:rsidR="00A907A5" w:rsidRPr="00271E51" w14:paraId="4B878021" w14:textId="77777777" w:rsidTr="00ED5B0A">
        <w:tc>
          <w:tcPr>
            <w:tcW w:w="2235" w:type="dxa"/>
          </w:tcPr>
          <w:p w14:paraId="57FEFE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л.с.</w:t>
            </w:r>
          </w:p>
        </w:tc>
        <w:tc>
          <w:tcPr>
            <w:tcW w:w="850" w:type="dxa"/>
          </w:tcPr>
          <w:p w14:paraId="6C7A41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739" w:type="dxa"/>
          </w:tcPr>
          <w:p w14:paraId="293AFF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c>
          <w:tcPr>
            <w:tcW w:w="820" w:type="dxa"/>
          </w:tcPr>
          <w:p w14:paraId="5768F4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7071BC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1185</w:t>
            </w:r>
          </w:p>
        </w:tc>
        <w:tc>
          <w:tcPr>
            <w:tcW w:w="850" w:type="dxa"/>
          </w:tcPr>
          <w:p w14:paraId="565230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2A22B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1178</w:t>
            </w:r>
          </w:p>
        </w:tc>
        <w:tc>
          <w:tcPr>
            <w:tcW w:w="850" w:type="dxa"/>
          </w:tcPr>
          <w:p w14:paraId="100E7B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169171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0" w:type="dxa"/>
          </w:tcPr>
          <w:p w14:paraId="64B4D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709" w:type="dxa"/>
          </w:tcPr>
          <w:p w14:paraId="092AD7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r>
      <w:tr w:rsidR="00A907A5" w:rsidRPr="00271E51" w14:paraId="608BFF07" w14:textId="77777777" w:rsidTr="00ED5B0A">
        <w:tc>
          <w:tcPr>
            <w:tcW w:w="2235" w:type="dxa"/>
          </w:tcPr>
          <w:p w14:paraId="284B5D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кг</w:t>
            </w:r>
          </w:p>
        </w:tc>
        <w:tc>
          <w:tcPr>
            <w:tcW w:w="850" w:type="dxa"/>
          </w:tcPr>
          <w:p w14:paraId="6E4977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137764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6660A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D73E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2358</w:t>
            </w:r>
          </w:p>
        </w:tc>
        <w:tc>
          <w:tcPr>
            <w:tcW w:w="850" w:type="dxa"/>
          </w:tcPr>
          <w:p w14:paraId="70986A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2300</w:t>
            </w:r>
          </w:p>
        </w:tc>
        <w:tc>
          <w:tcPr>
            <w:tcW w:w="851" w:type="dxa"/>
          </w:tcPr>
          <w:p w14:paraId="2231A4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2316</w:t>
            </w:r>
          </w:p>
        </w:tc>
        <w:tc>
          <w:tcPr>
            <w:tcW w:w="850" w:type="dxa"/>
          </w:tcPr>
          <w:p w14:paraId="6578B9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64A4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01E2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2284</w:t>
            </w:r>
          </w:p>
        </w:tc>
        <w:tc>
          <w:tcPr>
            <w:tcW w:w="709" w:type="dxa"/>
          </w:tcPr>
          <w:p w14:paraId="0E5EA9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1DF558" w14:textId="77777777" w:rsidTr="00ED5B0A">
        <w:tc>
          <w:tcPr>
            <w:tcW w:w="2235" w:type="dxa"/>
          </w:tcPr>
          <w:p w14:paraId="75C3A2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кг</w:t>
            </w:r>
          </w:p>
        </w:tc>
        <w:tc>
          <w:tcPr>
            <w:tcW w:w="850" w:type="dxa"/>
          </w:tcPr>
          <w:p w14:paraId="6D48BA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1A24FD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182A8F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C461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2934</w:t>
            </w:r>
          </w:p>
        </w:tc>
        <w:tc>
          <w:tcPr>
            <w:tcW w:w="850" w:type="dxa"/>
          </w:tcPr>
          <w:p w14:paraId="0FDF70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2870</w:t>
            </w:r>
          </w:p>
        </w:tc>
        <w:tc>
          <w:tcPr>
            <w:tcW w:w="851" w:type="dxa"/>
          </w:tcPr>
          <w:p w14:paraId="09DCAE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2890</w:t>
            </w:r>
          </w:p>
        </w:tc>
        <w:tc>
          <w:tcPr>
            <w:tcW w:w="850" w:type="dxa"/>
          </w:tcPr>
          <w:p w14:paraId="7228C7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2884</w:t>
            </w:r>
          </w:p>
        </w:tc>
        <w:tc>
          <w:tcPr>
            <w:tcW w:w="851" w:type="dxa"/>
          </w:tcPr>
          <w:p w14:paraId="21802B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2890</w:t>
            </w:r>
          </w:p>
        </w:tc>
        <w:tc>
          <w:tcPr>
            <w:tcW w:w="850" w:type="dxa"/>
          </w:tcPr>
          <w:p w14:paraId="4D14CB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2875</w:t>
            </w:r>
          </w:p>
        </w:tc>
        <w:tc>
          <w:tcPr>
            <w:tcW w:w="709" w:type="dxa"/>
          </w:tcPr>
          <w:p w14:paraId="31DA19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043731" w14:textId="77777777" w:rsidTr="00ED5B0A">
        <w:tc>
          <w:tcPr>
            <w:tcW w:w="2235" w:type="dxa"/>
          </w:tcPr>
          <w:p w14:paraId="7359F9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км/ч</w:t>
            </w:r>
          </w:p>
        </w:tc>
        <w:tc>
          <w:tcPr>
            <w:tcW w:w="850" w:type="dxa"/>
          </w:tcPr>
          <w:p w14:paraId="5DB9F7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w:t>
            </w:r>
          </w:p>
        </w:tc>
        <w:tc>
          <w:tcPr>
            <w:tcW w:w="739" w:type="dxa"/>
          </w:tcPr>
          <w:p w14:paraId="424FA8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w:t>
            </w:r>
          </w:p>
        </w:tc>
        <w:tc>
          <w:tcPr>
            <w:tcW w:w="820" w:type="dxa"/>
          </w:tcPr>
          <w:p w14:paraId="04F369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w:t>
            </w:r>
          </w:p>
        </w:tc>
        <w:tc>
          <w:tcPr>
            <w:tcW w:w="851" w:type="dxa"/>
          </w:tcPr>
          <w:p w14:paraId="093120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tc>
        <w:tc>
          <w:tcPr>
            <w:tcW w:w="850" w:type="dxa"/>
          </w:tcPr>
          <w:p w14:paraId="3CC6DF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533</w:t>
            </w:r>
          </w:p>
        </w:tc>
        <w:tc>
          <w:tcPr>
            <w:tcW w:w="851" w:type="dxa"/>
          </w:tcPr>
          <w:p w14:paraId="3485B9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w:t>
            </w:r>
          </w:p>
        </w:tc>
        <w:tc>
          <w:tcPr>
            <w:tcW w:w="850" w:type="dxa"/>
          </w:tcPr>
          <w:p w14:paraId="092B77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521</w:t>
            </w:r>
          </w:p>
        </w:tc>
        <w:tc>
          <w:tcPr>
            <w:tcW w:w="851" w:type="dxa"/>
          </w:tcPr>
          <w:p w14:paraId="638F06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528</w:t>
            </w:r>
          </w:p>
        </w:tc>
        <w:tc>
          <w:tcPr>
            <w:tcW w:w="850" w:type="dxa"/>
          </w:tcPr>
          <w:p w14:paraId="00F07C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530</w:t>
            </w:r>
          </w:p>
        </w:tc>
        <w:tc>
          <w:tcPr>
            <w:tcW w:w="709" w:type="dxa"/>
          </w:tcPr>
          <w:p w14:paraId="24F668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532</w:t>
            </w:r>
          </w:p>
        </w:tc>
      </w:tr>
      <w:tr w:rsidR="00A907A5" w:rsidRPr="00271E51" w14:paraId="6718E7C1" w14:textId="77777777" w:rsidTr="00ED5B0A">
        <w:tc>
          <w:tcPr>
            <w:tcW w:w="2235" w:type="dxa"/>
          </w:tcPr>
          <w:p w14:paraId="68C60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первой</w:t>
            </w:r>
          </w:p>
        </w:tc>
        <w:tc>
          <w:tcPr>
            <w:tcW w:w="850" w:type="dxa"/>
          </w:tcPr>
          <w:p w14:paraId="0F6BB9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32AD7D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4B272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D5A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211F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BA82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031E9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DF4C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99AB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5DD7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571</w:t>
            </w:r>
          </w:p>
        </w:tc>
      </w:tr>
      <w:tr w:rsidR="00A907A5" w:rsidRPr="00271E51" w14:paraId="71500809" w14:textId="77777777" w:rsidTr="00ED5B0A">
        <w:tc>
          <w:tcPr>
            <w:tcW w:w="2235" w:type="dxa"/>
          </w:tcPr>
          <w:p w14:paraId="417FC8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50" w:type="dxa"/>
          </w:tcPr>
          <w:p w14:paraId="5E29AA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606</w:t>
            </w:r>
          </w:p>
        </w:tc>
        <w:tc>
          <w:tcPr>
            <w:tcW w:w="739" w:type="dxa"/>
          </w:tcPr>
          <w:p w14:paraId="7F7E06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20D6CE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w:t>
            </w:r>
          </w:p>
        </w:tc>
        <w:tc>
          <w:tcPr>
            <w:tcW w:w="851" w:type="dxa"/>
          </w:tcPr>
          <w:p w14:paraId="6BC90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850" w:type="dxa"/>
          </w:tcPr>
          <w:p w14:paraId="1B6676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571</w:t>
            </w:r>
          </w:p>
        </w:tc>
        <w:tc>
          <w:tcPr>
            <w:tcW w:w="851" w:type="dxa"/>
          </w:tcPr>
          <w:p w14:paraId="44CCBF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850" w:type="dxa"/>
          </w:tcPr>
          <w:p w14:paraId="7DE6C9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571</w:t>
            </w:r>
          </w:p>
        </w:tc>
        <w:tc>
          <w:tcPr>
            <w:tcW w:w="851" w:type="dxa"/>
          </w:tcPr>
          <w:p w14:paraId="19CC3B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0F3E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E61F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F97D8B" w14:textId="77777777" w:rsidTr="00ED5B0A">
        <w:tc>
          <w:tcPr>
            <w:tcW w:w="2235" w:type="dxa"/>
          </w:tcPr>
          <w:p w14:paraId="26513C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первой границы, м</w:t>
            </w:r>
          </w:p>
        </w:tc>
        <w:tc>
          <w:tcPr>
            <w:tcW w:w="850" w:type="dxa"/>
          </w:tcPr>
          <w:p w14:paraId="1577BA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3400</w:t>
            </w:r>
          </w:p>
        </w:tc>
        <w:tc>
          <w:tcPr>
            <w:tcW w:w="739" w:type="dxa"/>
          </w:tcPr>
          <w:p w14:paraId="2D2FD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1F6EFF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851" w:type="dxa"/>
          </w:tcPr>
          <w:p w14:paraId="005DA7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w:t>
            </w:r>
          </w:p>
        </w:tc>
        <w:tc>
          <w:tcPr>
            <w:tcW w:w="850" w:type="dxa"/>
          </w:tcPr>
          <w:p w14:paraId="240108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51" w:type="dxa"/>
          </w:tcPr>
          <w:p w14:paraId="56B37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850" w:type="dxa"/>
          </w:tcPr>
          <w:p w14:paraId="3E0022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51" w:type="dxa"/>
          </w:tcPr>
          <w:p w14:paraId="263DC3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7A0C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445E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0FD81A" w14:textId="77777777" w:rsidTr="00ED5B0A">
        <w:tc>
          <w:tcPr>
            <w:tcW w:w="2235" w:type="dxa"/>
          </w:tcPr>
          <w:p w14:paraId="7251E4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второй</w:t>
            </w:r>
          </w:p>
        </w:tc>
        <w:tc>
          <w:tcPr>
            <w:tcW w:w="850" w:type="dxa"/>
          </w:tcPr>
          <w:p w14:paraId="4AC1C7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070429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5B047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AB81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9C9D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655E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F0F1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64D8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3C451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598</w:t>
            </w:r>
          </w:p>
        </w:tc>
        <w:tc>
          <w:tcPr>
            <w:tcW w:w="709" w:type="dxa"/>
          </w:tcPr>
          <w:p w14:paraId="3D7EB5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596</w:t>
            </w:r>
          </w:p>
        </w:tc>
      </w:tr>
      <w:tr w:rsidR="00A907A5" w:rsidRPr="00271E51" w14:paraId="6B04E734" w14:textId="77777777" w:rsidTr="00ED5B0A">
        <w:tc>
          <w:tcPr>
            <w:tcW w:w="2235" w:type="dxa"/>
          </w:tcPr>
          <w:p w14:paraId="17E224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50" w:type="dxa"/>
          </w:tcPr>
          <w:p w14:paraId="59959E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5BDCC9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820" w:type="dxa"/>
          </w:tcPr>
          <w:p w14:paraId="403CC4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851" w:type="dxa"/>
          </w:tcPr>
          <w:p w14:paraId="764C20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596</w:t>
            </w:r>
          </w:p>
        </w:tc>
        <w:tc>
          <w:tcPr>
            <w:tcW w:w="850" w:type="dxa"/>
          </w:tcPr>
          <w:p w14:paraId="618A5D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w:t>
            </w:r>
          </w:p>
        </w:tc>
        <w:tc>
          <w:tcPr>
            <w:tcW w:w="851" w:type="dxa"/>
          </w:tcPr>
          <w:p w14:paraId="142C17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591</w:t>
            </w:r>
          </w:p>
        </w:tc>
        <w:tc>
          <w:tcPr>
            <w:tcW w:w="850" w:type="dxa"/>
          </w:tcPr>
          <w:p w14:paraId="7A80AA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w:t>
            </w:r>
          </w:p>
        </w:tc>
        <w:tc>
          <w:tcPr>
            <w:tcW w:w="851" w:type="dxa"/>
          </w:tcPr>
          <w:p w14:paraId="352A20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34CA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4ED3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5F2444" w14:textId="77777777" w:rsidTr="00ED5B0A">
        <w:tc>
          <w:tcPr>
            <w:tcW w:w="2235" w:type="dxa"/>
          </w:tcPr>
          <w:p w14:paraId="3626A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второй границы, м</w:t>
            </w:r>
          </w:p>
        </w:tc>
        <w:tc>
          <w:tcPr>
            <w:tcW w:w="850" w:type="dxa"/>
          </w:tcPr>
          <w:p w14:paraId="048F49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07F0D2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3700</w:t>
            </w:r>
          </w:p>
        </w:tc>
        <w:tc>
          <w:tcPr>
            <w:tcW w:w="820" w:type="dxa"/>
          </w:tcPr>
          <w:p w14:paraId="3CC0C8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w:t>
            </w:r>
          </w:p>
        </w:tc>
        <w:tc>
          <w:tcPr>
            <w:tcW w:w="851" w:type="dxa"/>
          </w:tcPr>
          <w:p w14:paraId="4AD828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4200</w:t>
            </w:r>
          </w:p>
        </w:tc>
        <w:tc>
          <w:tcPr>
            <w:tcW w:w="850" w:type="dxa"/>
          </w:tcPr>
          <w:p w14:paraId="618AD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4300</w:t>
            </w:r>
          </w:p>
        </w:tc>
        <w:tc>
          <w:tcPr>
            <w:tcW w:w="851" w:type="dxa"/>
          </w:tcPr>
          <w:p w14:paraId="264AA8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4100</w:t>
            </w:r>
          </w:p>
        </w:tc>
        <w:tc>
          <w:tcPr>
            <w:tcW w:w="850" w:type="dxa"/>
          </w:tcPr>
          <w:p w14:paraId="193C64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4300</w:t>
            </w:r>
          </w:p>
        </w:tc>
        <w:tc>
          <w:tcPr>
            <w:tcW w:w="851" w:type="dxa"/>
          </w:tcPr>
          <w:p w14:paraId="3CF6A9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C838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4200</w:t>
            </w:r>
          </w:p>
        </w:tc>
        <w:tc>
          <w:tcPr>
            <w:tcW w:w="709" w:type="dxa"/>
          </w:tcPr>
          <w:p w14:paraId="652E18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4250</w:t>
            </w:r>
          </w:p>
        </w:tc>
      </w:tr>
      <w:tr w:rsidR="00A907A5" w:rsidRPr="00271E51" w14:paraId="58E9CD68" w14:textId="77777777" w:rsidTr="00ED5B0A">
        <w:tc>
          <w:tcPr>
            <w:tcW w:w="2235" w:type="dxa"/>
          </w:tcPr>
          <w:p w14:paraId="40FF0C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850" w:type="dxa"/>
          </w:tcPr>
          <w:p w14:paraId="138ECB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681B77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00BEEB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5B6B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2E53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3C1A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C095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3635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BC3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96AF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68C350" w14:textId="77777777" w:rsidTr="00ED5B0A">
        <w:tc>
          <w:tcPr>
            <w:tcW w:w="2235" w:type="dxa"/>
          </w:tcPr>
          <w:p w14:paraId="1C79E2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850" w:type="dxa"/>
          </w:tcPr>
          <w:p w14:paraId="0AF238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739" w:type="dxa"/>
          </w:tcPr>
          <w:p w14:paraId="095CA9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2E64E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851" w:type="dxa"/>
          </w:tcPr>
          <w:p w14:paraId="184E35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5DA5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851" w:type="dxa"/>
          </w:tcPr>
          <w:p w14:paraId="22B163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850" w:type="dxa"/>
          </w:tcPr>
          <w:p w14:paraId="0A33EF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851" w:type="dxa"/>
          </w:tcPr>
          <w:p w14:paraId="05819D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70D3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709" w:type="dxa"/>
          </w:tcPr>
          <w:p w14:paraId="7B681E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0A3525" w14:textId="77777777" w:rsidTr="00ED5B0A">
        <w:tc>
          <w:tcPr>
            <w:tcW w:w="2235" w:type="dxa"/>
          </w:tcPr>
          <w:p w14:paraId="2219C7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50" w:type="dxa"/>
          </w:tcPr>
          <w:p w14:paraId="52199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10 700</w:t>
            </w:r>
          </w:p>
        </w:tc>
        <w:tc>
          <w:tcPr>
            <w:tcW w:w="739" w:type="dxa"/>
          </w:tcPr>
          <w:p w14:paraId="3B7294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5AC1F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10 520</w:t>
            </w:r>
          </w:p>
        </w:tc>
        <w:tc>
          <w:tcPr>
            <w:tcW w:w="851" w:type="dxa"/>
          </w:tcPr>
          <w:p w14:paraId="2747FD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DC8B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10 300</w:t>
            </w:r>
          </w:p>
        </w:tc>
        <w:tc>
          <w:tcPr>
            <w:tcW w:w="851" w:type="dxa"/>
          </w:tcPr>
          <w:p w14:paraId="1AD8E9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10 250</w:t>
            </w:r>
          </w:p>
        </w:tc>
        <w:tc>
          <w:tcPr>
            <w:tcW w:w="850" w:type="dxa"/>
          </w:tcPr>
          <w:p w14:paraId="0E84CB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10 300</w:t>
            </w:r>
          </w:p>
        </w:tc>
        <w:tc>
          <w:tcPr>
            <w:tcW w:w="851" w:type="dxa"/>
          </w:tcPr>
          <w:p w14:paraId="17836C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E05B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10 300</w:t>
            </w:r>
          </w:p>
        </w:tc>
        <w:tc>
          <w:tcPr>
            <w:tcW w:w="709" w:type="dxa"/>
          </w:tcPr>
          <w:p w14:paraId="6532E1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E1BFAC" w14:textId="77777777" w:rsidTr="00ED5B0A">
        <w:tc>
          <w:tcPr>
            <w:tcW w:w="2235" w:type="dxa"/>
          </w:tcPr>
          <w:p w14:paraId="5EA5BC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850" w:type="dxa"/>
          </w:tcPr>
          <w:p w14:paraId="173BC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6ACC92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52CE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BD5C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A4D9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2D9F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0580A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A750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BADB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7A4C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527681" w14:textId="77777777" w:rsidTr="00ED5B0A">
        <w:tc>
          <w:tcPr>
            <w:tcW w:w="2235" w:type="dxa"/>
          </w:tcPr>
          <w:p w14:paraId="758309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 с</w:t>
            </w:r>
          </w:p>
        </w:tc>
        <w:tc>
          <w:tcPr>
            <w:tcW w:w="850" w:type="dxa"/>
          </w:tcPr>
          <w:p w14:paraId="3F1D6D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67016C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CB045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17-18</w:t>
            </w:r>
          </w:p>
        </w:tc>
        <w:tc>
          <w:tcPr>
            <w:tcW w:w="851" w:type="dxa"/>
          </w:tcPr>
          <w:p w14:paraId="517005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8E0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18-19</w:t>
            </w:r>
          </w:p>
        </w:tc>
        <w:tc>
          <w:tcPr>
            <w:tcW w:w="851" w:type="dxa"/>
          </w:tcPr>
          <w:p w14:paraId="511EF0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F017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20-17,5</w:t>
            </w:r>
          </w:p>
        </w:tc>
        <w:tc>
          <w:tcPr>
            <w:tcW w:w="851" w:type="dxa"/>
          </w:tcPr>
          <w:p w14:paraId="57BFBC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A366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9F96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BF0C50" w14:textId="77777777" w:rsidTr="00ED5B0A">
        <w:tc>
          <w:tcPr>
            <w:tcW w:w="2235" w:type="dxa"/>
          </w:tcPr>
          <w:p w14:paraId="0B98E1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850" w:type="dxa"/>
          </w:tcPr>
          <w:p w14:paraId="02FD52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4B5143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07A874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9B8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4901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CAE8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3B24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D73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7A65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9769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1BA3A8" w14:textId="77777777" w:rsidTr="00ED5B0A">
        <w:tc>
          <w:tcPr>
            <w:tcW w:w="2235" w:type="dxa"/>
          </w:tcPr>
          <w:p w14:paraId="46481E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скорости 0.9 max. км</w:t>
            </w:r>
          </w:p>
        </w:tc>
        <w:tc>
          <w:tcPr>
            <w:tcW w:w="850" w:type="dxa"/>
          </w:tcPr>
          <w:p w14:paraId="57C7BC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24A18C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64AA7A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851" w:type="dxa"/>
          </w:tcPr>
          <w:p w14:paraId="7B3BF9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EFA2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710</w:t>
            </w:r>
          </w:p>
        </w:tc>
        <w:tc>
          <w:tcPr>
            <w:tcW w:w="851" w:type="dxa"/>
          </w:tcPr>
          <w:p w14:paraId="723286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76FA8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851" w:type="dxa"/>
          </w:tcPr>
          <w:p w14:paraId="318D5A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DA76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709" w:type="dxa"/>
          </w:tcPr>
          <w:p w14:paraId="55F961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10A1FF" w14:textId="77777777" w:rsidTr="00ED5B0A">
        <w:tc>
          <w:tcPr>
            <w:tcW w:w="2235" w:type="dxa"/>
          </w:tcPr>
          <w:p w14:paraId="4E6257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50" w:type="dxa"/>
          </w:tcPr>
          <w:p w14:paraId="2DB23A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2970BF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6564ED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E83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688D1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C777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2FC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0945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BCF2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B7D9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254F70" w14:textId="77777777" w:rsidTr="00ED5B0A">
        <w:tc>
          <w:tcPr>
            <w:tcW w:w="2235" w:type="dxa"/>
          </w:tcPr>
          <w:p w14:paraId="12238E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w:t>
            </w:r>
          </w:p>
        </w:tc>
        <w:tc>
          <w:tcPr>
            <w:tcW w:w="850" w:type="dxa"/>
          </w:tcPr>
          <w:p w14:paraId="791F91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4B117E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7920B1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558C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F599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158B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8F6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898C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E0C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3F08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ECBF60" w14:textId="77777777" w:rsidTr="00ED5B0A">
        <w:tc>
          <w:tcPr>
            <w:tcW w:w="2235" w:type="dxa"/>
          </w:tcPr>
          <w:p w14:paraId="05656A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50" w:type="dxa"/>
          </w:tcPr>
          <w:p w14:paraId="1EA56A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39" w:type="dxa"/>
          </w:tcPr>
          <w:p w14:paraId="4AEBDE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20" w:type="dxa"/>
          </w:tcPr>
          <w:p w14:paraId="55C55A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0F386D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2D8D5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537002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B251C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29C8C1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15B72A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9" w:type="dxa"/>
          </w:tcPr>
          <w:p w14:paraId="2EDBB6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75034D28" w14:textId="77777777" w:rsidTr="00ED5B0A">
        <w:tc>
          <w:tcPr>
            <w:tcW w:w="2235" w:type="dxa"/>
          </w:tcPr>
          <w:p w14:paraId="3E7689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50" w:type="dxa"/>
          </w:tcPr>
          <w:p w14:paraId="6492A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739" w:type="dxa"/>
          </w:tcPr>
          <w:p w14:paraId="691A46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20" w:type="dxa"/>
          </w:tcPr>
          <w:p w14:paraId="300ED6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4459A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3F35E4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119524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219382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331081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1B46BE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709" w:type="dxa"/>
          </w:tcPr>
          <w:p w14:paraId="03FBFC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r>
      <w:tr w:rsidR="00A907A5" w:rsidRPr="00271E51" w14:paraId="6B275C9F" w14:textId="77777777" w:rsidTr="00ED5B0A">
        <w:tc>
          <w:tcPr>
            <w:tcW w:w="2235" w:type="dxa"/>
          </w:tcPr>
          <w:p w14:paraId="1AB3DD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патроны</w:t>
            </w:r>
          </w:p>
        </w:tc>
        <w:tc>
          <w:tcPr>
            <w:tcW w:w="850" w:type="dxa"/>
          </w:tcPr>
          <w:p w14:paraId="0156E5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739" w:type="dxa"/>
          </w:tcPr>
          <w:p w14:paraId="7DB070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20" w:type="dxa"/>
          </w:tcPr>
          <w:p w14:paraId="74EA96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1" w:type="dxa"/>
          </w:tcPr>
          <w:p w14:paraId="669928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0" w:type="dxa"/>
          </w:tcPr>
          <w:p w14:paraId="1CA2D9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1" w:type="dxa"/>
          </w:tcPr>
          <w:p w14:paraId="2E8404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0" w:type="dxa"/>
          </w:tcPr>
          <w:p w14:paraId="19A5DF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1" w:type="dxa"/>
          </w:tcPr>
          <w:p w14:paraId="0B85CA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0" w:type="dxa"/>
          </w:tcPr>
          <w:p w14:paraId="26B767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709" w:type="dxa"/>
          </w:tcPr>
          <w:p w14:paraId="650E28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r>
      <w:tr w:rsidR="00A907A5" w:rsidRPr="00271E51" w14:paraId="1D9C4D4A" w14:textId="77777777" w:rsidTr="00ED5B0A">
        <w:tc>
          <w:tcPr>
            <w:tcW w:w="2235" w:type="dxa"/>
          </w:tcPr>
          <w:p w14:paraId="601934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w:t>
            </w:r>
          </w:p>
        </w:tc>
        <w:tc>
          <w:tcPr>
            <w:tcW w:w="850" w:type="dxa"/>
          </w:tcPr>
          <w:p w14:paraId="4205AB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Pr>
          <w:p w14:paraId="6EA1AB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B3624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72EDF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48F9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69F09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4CF6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98B2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109F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B610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C1EC22" w14:textId="77777777" w:rsidTr="00ED5B0A">
        <w:tc>
          <w:tcPr>
            <w:tcW w:w="2235" w:type="dxa"/>
          </w:tcPr>
          <w:p w14:paraId="104DD8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50" w:type="dxa"/>
          </w:tcPr>
          <w:p w14:paraId="156E85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39" w:type="dxa"/>
          </w:tcPr>
          <w:p w14:paraId="4BF1BB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20" w:type="dxa"/>
          </w:tcPr>
          <w:p w14:paraId="13C251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20B9B7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FAE92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373183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1927C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6BCF12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01FCC5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09" w:type="dxa"/>
          </w:tcPr>
          <w:p w14:paraId="592501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512395F2" w14:textId="77777777" w:rsidTr="00ED5B0A">
        <w:tc>
          <w:tcPr>
            <w:tcW w:w="2235" w:type="dxa"/>
          </w:tcPr>
          <w:p w14:paraId="598CD8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50" w:type="dxa"/>
          </w:tcPr>
          <w:p w14:paraId="0B4A37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39" w:type="dxa"/>
          </w:tcPr>
          <w:p w14:paraId="393976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20" w:type="dxa"/>
          </w:tcPr>
          <w:p w14:paraId="6C95DF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4CB323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0F60FB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16A8F7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6B1FAE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397FCC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76C4C3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09" w:type="dxa"/>
          </w:tcPr>
          <w:p w14:paraId="759E33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67F67571" w14:textId="77777777" w:rsidTr="00ED5B0A">
        <w:tc>
          <w:tcPr>
            <w:tcW w:w="2235" w:type="dxa"/>
            <w:tcBorders>
              <w:bottom w:val="single" w:sz="12" w:space="0" w:color="auto"/>
            </w:tcBorders>
          </w:tcPr>
          <w:p w14:paraId="5D3C57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снаряды</w:t>
            </w:r>
          </w:p>
        </w:tc>
        <w:tc>
          <w:tcPr>
            <w:tcW w:w="850" w:type="dxa"/>
            <w:tcBorders>
              <w:bottom w:val="single" w:sz="12" w:space="0" w:color="auto"/>
            </w:tcBorders>
          </w:tcPr>
          <w:p w14:paraId="6F0618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39" w:type="dxa"/>
            <w:tcBorders>
              <w:bottom w:val="single" w:sz="12" w:space="0" w:color="auto"/>
            </w:tcBorders>
          </w:tcPr>
          <w:p w14:paraId="57E04A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20" w:type="dxa"/>
            <w:tcBorders>
              <w:bottom w:val="single" w:sz="12" w:space="0" w:color="auto"/>
            </w:tcBorders>
          </w:tcPr>
          <w:p w14:paraId="529D81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1" w:type="dxa"/>
            <w:tcBorders>
              <w:bottom w:val="single" w:sz="12" w:space="0" w:color="auto"/>
            </w:tcBorders>
          </w:tcPr>
          <w:p w14:paraId="7F80BD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08E404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1" w:type="dxa"/>
            <w:tcBorders>
              <w:bottom w:val="single" w:sz="12" w:space="0" w:color="auto"/>
            </w:tcBorders>
          </w:tcPr>
          <w:p w14:paraId="2E7F7D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6BF58F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1" w:type="dxa"/>
            <w:tcBorders>
              <w:bottom w:val="single" w:sz="12" w:space="0" w:color="auto"/>
            </w:tcBorders>
          </w:tcPr>
          <w:p w14:paraId="46945C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44B401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09" w:type="dxa"/>
            <w:tcBorders>
              <w:bottom w:val="single" w:sz="12" w:space="0" w:color="auto"/>
            </w:tcBorders>
          </w:tcPr>
          <w:p w14:paraId="489A71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r>
    </w:tbl>
    <w:p w14:paraId="750452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76"/>
        <w:gridCol w:w="731"/>
        <w:gridCol w:w="803"/>
        <w:gridCol w:w="850"/>
        <w:gridCol w:w="862"/>
        <w:gridCol w:w="839"/>
        <w:gridCol w:w="851"/>
        <w:gridCol w:w="850"/>
        <w:gridCol w:w="851"/>
        <w:gridCol w:w="850"/>
        <w:gridCol w:w="851"/>
      </w:tblGrid>
      <w:tr w:rsidR="00A907A5" w:rsidRPr="00271E51" w14:paraId="7C869042" w14:textId="77777777" w:rsidTr="00ED5B0A">
        <w:tc>
          <w:tcPr>
            <w:tcW w:w="1951" w:type="dxa"/>
            <w:tcBorders>
              <w:top w:val="single" w:sz="12" w:space="0" w:color="auto"/>
            </w:tcBorders>
          </w:tcPr>
          <w:p w14:paraId="41E992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Параметры сравнения</w:t>
            </w:r>
          </w:p>
        </w:tc>
        <w:tc>
          <w:tcPr>
            <w:tcW w:w="876" w:type="dxa"/>
            <w:tcBorders>
              <w:top w:val="single" w:sz="12" w:space="0" w:color="auto"/>
            </w:tcBorders>
          </w:tcPr>
          <w:p w14:paraId="38971D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731" w:type="dxa"/>
            <w:tcBorders>
              <w:top w:val="single" w:sz="12" w:space="0" w:color="auto"/>
            </w:tcBorders>
          </w:tcPr>
          <w:p w14:paraId="1864F5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03" w:type="dxa"/>
            <w:tcBorders>
              <w:top w:val="single" w:sz="12" w:space="0" w:color="auto"/>
            </w:tcBorders>
          </w:tcPr>
          <w:p w14:paraId="7419E4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206537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62" w:type="dxa"/>
            <w:tcBorders>
              <w:top w:val="single" w:sz="12" w:space="0" w:color="auto"/>
            </w:tcBorders>
          </w:tcPr>
          <w:p w14:paraId="6601A9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39" w:type="dxa"/>
            <w:tcBorders>
              <w:top w:val="single" w:sz="12" w:space="0" w:color="auto"/>
            </w:tcBorders>
          </w:tcPr>
          <w:p w14:paraId="68CCFD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Як-10</w:t>
            </w:r>
          </w:p>
        </w:tc>
        <w:tc>
          <w:tcPr>
            <w:tcW w:w="851" w:type="dxa"/>
            <w:tcBorders>
              <w:top w:val="single" w:sz="12" w:space="0" w:color="auto"/>
            </w:tcBorders>
          </w:tcPr>
          <w:p w14:paraId="1B2A0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35B622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1" w:type="dxa"/>
            <w:tcBorders>
              <w:top w:val="single" w:sz="12" w:space="0" w:color="auto"/>
            </w:tcBorders>
          </w:tcPr>
          <w:p w14:paraId="2765F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Як-16</w:t>
            </w:r>
          </w:p>
        </w:tc>
        <w:tc>
          <w:tcPr>
            <w:tcW w:w="850" w:type="dxa"/>
            <w:tcBorders>
              <w:top w:val="single" w:sz="12" w:space="0" w:color="auto"/>
            </w:tcBorders>
          </w:tcPr>
          <w:p w14:paraId="0E260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Як-1М</w:t>
            </w:r>
          </w:p>
        </w:tc>
        <w:tc>
          <w:tcPr>
            <w:tcW w:w="851" w:type="dxa"/>
            <w:tcBorders>
              <w:top w:val="single" w:sz="12" w:space="0" w:color="auto"/>
            </w:tcBorders>
          </w:tcPr>
          <w:p w14:paraId="64B486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A51DBC" w14:textId="77777777" w:rsidTr="00ED5B0A">
        <w:tc>
          <w:tcPr>
            <w:tcW w:w="1951" w:type="dxa"/>
          </w:tcPr>
          <w:p w14:paraId="51592C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6" w:type="dxa"/>
          </w:tcPr>
          <w:p w14:paraId="6508A7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№46139</w:t>
            </w:r>
          </w:p>
        </w:tc>
        <w:tc>
          <w:tcPr>
            <w:tcW w:w="731" w:type="dxa"/>
          </w:tcPr>
          <w:p w14:paraId="181E5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№12148</w:t>
            </w:r>
          </w:p>
        </w:tc>
        <w:tc>
          <w:tcPr>
            <w:tcW w:w="803" w:type="dxa"/>
          </w:tcPr>
          <w:p w14:paraId="5EDF05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№12150</w:t>
            </w:r>
          </w:p>
        </w:tc>
        <w:tc>
          <w:tcPr>
            <w:tcW w:w="850" w:type="dxa"/>
          </w:tcPr>
          <w:p w14:paraId="2CDB3C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№01155</w:t>
            </w:r>
          </w:p>
        </w:tc>
        <w:tc>
          <w:tcPr>
            <w:tcW w:w="862" w:type="dxa"/>
          </w:tcPr>
          <w:p w14:paraId="719CB4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№50162</w:t>
            </w:r>
          </w:p>
        </w:tc>
        <w:tc>
          <w:tcPr>
            <w:tcW w:w="839" w:type="dxa"/>
          </w:tcPr>
          <w:p w14:paraId="23CCB3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13163</w:t>
            </w:r>
          </w:p>
        </w:tc>
        <w:tc>
          <w:tcPr>
            <w:tcW w:w="851" w:type="dxa"/>
          </w:tcPr>
          <w:p w14:paraId="7F1227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№14166</w:t>
            </w:r>
          </w:p>
        </w:tc>
        <w:tc>
          <w:tcPr>
            <w:tcW w:w="850" w:type="dxa"/>
          </w:tcPr>
          <w:p w14:paraId="768177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№36176</w:t>
            </w:r>
          </w:p>
        </w:tc>
        <w:tc>
          <w:tcPr>
            <w:tcW w:w="851" w:type="dxa"/>
          </w:tcPr>
          <w:p w14:paraId="5FC0C7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№44183</w:t>
            </w:r>
          </w:p>
        </w:tc>
        <w:tc>
          <w:tcPr>
            <w:tcW w:w="850" w:type="dxa"/>
          </w:tcPr>
          <w:p w14:paraId="01AF5F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F99A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7E4C16" w14:textId="77777777" w:rsidTr="00ED5B0A">
        <w:tc>
          <w:tcPr>
            <w:tcW w:w="1951" w:type="dxa"/>
          </w:tcPr>
          <w:p w14:paraId="0A72AE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876" w:type="dxa"/>
          </w:tcPr>
          <w:p w14:paraId="6CA14D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31" w:type="dxa"/>
          </w:tcPr>
          <w:p w14:paraId="031680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03" w:type="dxa"/>
          </w:tcPr>
          <w:p w14:paraId="1149F4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5D367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62" w:type="dxa"/>
          </w:tcPr>
          <w:p w14:paraId="0D5E72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39" w:type="dxa"/>
          </w:tcPr>
          <w:p w14:paraId="7B487C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26CB3F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5E5AC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1" w:type="dxa"/>
          </w:tcPr>
          <w:p w14:paraId="5B5E7E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850" w:type="dxa"/>
          </w:tcPr>
          <w:p w14:paraId="533628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М-105ПФ </w:t>
            </w:r>
          </w:p>
        </w:tc>
        <w:tc>
          <w:tcPr>
            <w:tcW w:w="851" w:type="dxa"/>
          </w:tcPr>
          <w:p w14:paraId="5FCEAA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М-107А</w:t>
            </w:r>
          </w:p>
        </w:tc>
      </w:tr>
      <w:tr w:rsidR="00A907A5" w:rsidRPr="00271E51" w14:paraId="77E822CF" w14:textId="77777777" w:rsidTr="00ED5B0A">
        <w:tc>
          <w:tcPr>
            <w:tcW w:w="1951" w:type="dxa"/>
          </w:tcPr>
          <w:p w14:paraId="0639B3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мотора, л.с.</w:t>
            </w:r>
          </w:p>
        </w:tc>
        <w:tc>
          <w:tcPr>
            <w:tcW w:w="876" w:type="dxa"/>
          </w:tcPr>
          <w:p w14:paraId="6EA313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731" w:type="dxa"/>
          </w:tcPr>
          <w:p w14:paraId="011D29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03" w:type="dxa"/>
          </w:tcPr>
          <w:p w14:paraId="56C2F5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0" w:type="dxa"/>
          </w:tcPr>
          <w:p w14:paraId="1055E2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62" w:type="dxa"/>
          </w:tcPr>
          <w:p w14:paraId="49DA6D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39" w:type="dxa"/>
          </w:tcPr>
          <w:p w14:paraId="5BAFF4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0841B9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0" w:type="dxa"/>
          </w:tcPr>
          <w:p w14:paraId="5C8913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11BB0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0" w:type="dxa"/>
          </w:tcPr>
          <w:p w14:paraId="4E30DC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851" w:type="dxa"/>
          </w:tcPr>
          <w:p w14:paraId="438F9F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76DEA2A4" w14:textId="77777777" w:rsidTr="00ED5B0A">
        <w:tc>
          <w:tcPr>
            <w:tcW w:w="1951" w:type="dxa"/>
          </w:tcPr>
          <w:p w14:paraId="1F8C49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самолета, кг</w:t>
            </w:r>
          </w:p>
        </w:tc>
        <w:tc>
          <w:tcPr>
            <w:tcW w:w="876" w:type="dxa"/>
          </w:tcPr>
          <w:p w14:paraId="63EA8A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2293</w:t>
            </w:r>
          </w:p>
        </w:tc>
        <w:tc>
          <w:tcPr>
            <w:tcW w:w="731" w:type="dxa"/>
          </w:tcPr>
          <w:p w14:paraId="37C20D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2310</w:t>
            </w:r>
          </w:p>
        </w:tc>
        <w:tc>
          <w:tcPr>
            <w:tcW w:w="803" w:type="dxa"/>
          </w:tcPr>
          <w:p w14:paraId="2A8D98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32C4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579906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249BA1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9D5F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6D0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23D6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2412</w:t>
            </w:r>
          </w:p>
        </w:tc>
        <w:tc>
          <w:tcPr>
            <w:tcW w:w="850" w:type="dxa"/>
          </w:tcPr>
          <w:p w14:paraId="3BDFF6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2133'</w:t>
            </w:r>
          </w:p>
        </w:tc>
        <w:tc>
          <w:tcPr>
            <w:tcW w:w="851" w:type="dxa"/>
          </w:tcPr>
          <w:p w14:paraId="1A096E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2438</w:t>
            </w:r>
          </w:p>
        </w:tc>
      </w:tr>
      <w:tr w:rsidR="00A907A5" w:rsidRPr="00271E51" w14:paraId="01299F70" w14:textId="77777777" w:rsidTr="00ED5B0A">
        <w:tc>
          <w:tcPr>
            <w:tcW w:w="1951" w:type="dxa"/>
          </w:tcPr>
          <w:p w14:paraId="561253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полетный, кг</w:t>
            </w:r>
          </w:p>
        </w:tc>
        <w:tc>
          <w:tcPr>
            <w:tcW w:w="876" w:type="dxa"/>
          </w:tcPr>
          <w:p w14:paraId="1810D1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2864</w:t>
            </w:r>
          </w:p>
        </w:tc>
        <w:tc>
          <w:tcPr>
            <w:tcW w:w="731" w:type="dxa"/>
          </w:tcPr>
          <w:p w14:paraId="5835D9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2885</w:t>
            </w:r>
          </w:p>
        </w:tc>
        <w:tc>
          <w:tcPr>
            <w:tcW w:w="803" w:type="dxa"/>
          </w:tcPr>
          <w:p w14:paraId="24E522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2895</w:t>
            </w:r>
          </w:p>
        </w:tc>
        <w:tc>
          <w:tcPr>
            <w:tcW w:w="850" w:type="dxa"/>
          </w:tcPr>
          <w:p w14:paraId="056DE6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2870</w:t>
            </w:r>
          </w:p>
        </w:tc>
        <w:tc>
          <w:tcPr>
            <w:tcW w:w="862" w:type="dxa"/>
          </w:tcPr>
          <w:p w14:paraId="6432C9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0B6EC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BB8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96477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2865</w:t>
            </w:r>
          </w:p>
        </w:tc>
        <w:tc>
          <w:tcPr>
            <w:tcW w:w="851" w:type="dxa"/>
          </w:tcPr>
          <w:p w14:paraId="3E50D4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2912</w:t>
            </w:r>
          </w:p>
        </w:tc>
        <w:tc>
          <w:tcPr>
            <w:tcW w:w="850" w:type="dxa"/>
          </w:tcPr>
          <w:p w14:paraId="3E01E2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2655'</w:t>
            </w:r>
          </w:p>
        </w:tc>
        <w:tc>
          <w:tcPr>
            <w:tcW w:w="851" w:type="dxa"/>
          </w:tcPr>
          <w:p w14:paraId="694E6F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2985</w:t>
            </w:r>
          </w:p>
        </w:tc>
      </w:tr>
      <w:tr w:rsidR="00A907A5" w:rsidRPr="00271E51" w14:paraId="567E4934" w14:textId="77777777" w:rsidTr="00ED5B0A">
        <w:tc>
          <w:tcPr>
            <w:tcW w:w="1951" w:type="dxa"/>
          </w:tcPr>
          <w:p w14:paraId="34D63D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км/ч</w:t>
            </w:r>
          </w:p>
        </w:tc>
        <w:tc>
          <w:tcPr>
            <w:tcW w:w="876" w:type="dxa"/>
          </w:tcPr>
          <w:p w14:paraId="19F743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539</w:t>
            </w:r>
          </w:p>
        </w:tc>
        <w:tc>
          <w:tcPr>
            <w:tcW w:w="731" w:type="dxa"/>
          </w:tcPr>
          <w:p w14:paraId="3DDD71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532</w:t>
            </w:r>
          </w:p>
        </w:tc>
        <w:tc>
          <w:tcPr>
            <w:tcW w:w="803" w:type="dxa"/>
          </w:tcPr>
          <w:p w14:paraId="734C5E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w:t>
            </w:r>
          </w:p>
        </w:tc>
        <w:tc>
          <w:tcPr>
            <w:tcW w:w="850" w:type="dxa"/>
          </w:tcPr>
          <w:p w14:paraId="53CA64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w:t>
            </w:r>
          </w:p>
        </w:tc>
        <w:tc>
          <w:tcPr>
            <w:tcW w:w="862" w:type="dxa"/>
          </w:tcPr>
          <w:p w14:paraId="168122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839" w:type="dxa"/>
          </w:tcPr>
          <w:p w14:paraId="731B7D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w:t>
            </w:r>
          </w:p>
        </w:tc>
        <w:tc>
          <w:tcPr>
            <w:tcW w:w="851" w:type="dxa"/>
          </w:tcPr>
          <w:p w14:paraId="00A18B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w:t>
            </w:r>
          </w:p>
        </w:tc>
        <w:tc>
          <w:tcPr>
            <w:tcW w:w="850" w:type="dxa"/>
          </w:tcPr>
          <w:p w14:paraId="507803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w:t>
            </w:r>
          </w:p>
        </w:tc>
        <w:tc>
          <w:tcPr>
            <w:tcW w:w="851" w:type="dxa"/>
          </w:tcPr>
          <w:p w14:paraId="272EF4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526</w:t>
            </w:r>
          </w:p>
        </w:tc>
        <w:tc>
          <w:tcPr>
            <w:tcW w:w="850" w:type="dxa"/>
          </w:tcPr>
          <w:p w14:paraId="4F6D6B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545</w:t>
            </w:r>
          </w:p>
        </w:tc>
        <w:tc>
          <w:tcPr>
            <w:tcW w:w="851" w:type="dxa"/>
          </w:tcPr>
          <w:p w14:paraId="33D391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A167E5" w14:textId="77777777" w:rsidTr="00ED5B0A">
        <w:tc>
          <w:tcPr>
            <w:tcW w:w="1951" w:type="dxa"/>
          </w:tcPr>
          <w:p w14:paraId="45CB24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первой</w:t>
            </w:r>
          </w:p>
        </w:tc>
        <w:tc>
          <w:tcPr>
            <w:tcW w:w="876" w:type="dxa"/>
          </w:tcPr>
          <w:p w14:paraId="1D4385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583</w:t>
            </w:r>
          </w:p>
        </w:tc>
        <w:tc>
          <w:tcPr>
            <w:tcW w:w="731" w:type="dxa"/>
          </w:tcPr>
          <w:p w14:paraId="426B6B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w:t>
            </w:r>
          </w:p>
        </w:tc>
        <w:tc>
          <w:tcPr>
            <w:tcW w:w="803" w:type="dxa"/>
          </w:tcPr>
          <w:p w14:paraId="2E0236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850" w:type="dxa"/>
          </w:tcPr>
          <w:p w14:paraId="25E0B9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569</w:t>
            </w:r>
          </w:p>
        </w:tc>
        <w:tc>
          <w:tcPr>
            <w:tcW w:w="862" w:type="dxa"/>
          </w:tcPr>
          <w:p w14:paraId="393A9F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w:t>
            </w:r>
          </w:p>
        </w:tc>
        <w:tc>
          <w:tcPr>
            <w:tcW w:w="839" w:type="dxa"/>
          </w:tcPr>
          <w:p w14:paraId="190C80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B206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A1F5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851" w:type="dxa"/>
          </w:tcPr>
          <w:p w14:paraId="4F47D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850" w:type="dxa"/>
          </w:tcPr>
          <w:p w14:paraId="119193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604</w:t>
            </w:r>
          </w:p>
        </w:tc>
        <w:tc>
          <w:tcPr>
            <w:tcW w:w="851" w:type="dxa"/>
          </w:tcPr>
          <w:p w14:paraId="18C550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CC4990" w14:textId="77777777" w:rsidTr="00ED5B0A">
        <w:tc>
          <w:tcPr>
            <w:tcW w:w="1951" w:type="dxa"/>
          </w:tcPr>
          <w:p w14:paraId="1F1BBA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76" w:type="dxa"/>
          </w:tcPr>
          <w:p w14:paraId="05BE24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6A8636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39E81B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6BAB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75A770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339039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F3DC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5463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8B5B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3048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952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FC24F6" w14:textId="77777777" w:rsidTr="00ED5B0A">
        <w:tc>
          <w:tcPr>
            <w:tcW w:w="1951" w:type="dxa"/>
          </w:tcPr>
          <w:p w14:paraId="5D2F07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Высота первой границы, </w:t>
            </w:r>
            <w:r w:rsidRPr="00271E51">
              <w:rPr>
                <w:rFonts w:ascii="Times New Roman" w:hAnsi="Times New Roman"/>
                <w:color w:val="000000" w:themeColor="text1"/>
                <w:sz w:val="16"/>
                <w:szCs w:val="16"/>
              </w:rPr>
              <w:lastRenderedPageBreak/>
              <w:t>м</w:t>
            </w:r>
          </w:p>
        </w:tc>
        <w:tc>
          <w:tcPr>
            <w:tcW w:w="876" w:type="dxa"/>
          </w:tcPr>
          <w:p w14:paraId="703B0D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2050</w:t>
            </w:r>
          </w:p>
        </w:tc>
        <w:tc>
          <w:tcPr>
            <w:tcW w:w="731" w:type="dxa"/>
          </w:tcPr>
          <w:p w14:paraId="2491EF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03" w:type="dxa"/>
          </w:tcPr>
          <w:p w14:paraId="0DB00A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50" w:type="dxa"/>
          </w:tcPr>
          <w:p w14:paraId="358388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w:t>
            </w:r>
          </w:p>
        </w:tc>
        <w:tc>
          <w:tcPr>
            <w:tcW w:w="862" w:type="dxa"/>
          </w:tcPr>
          <w:p w14:paraId="1206AE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39" w:type="dxa"/>
          </w:tcPr>
          <w:p w14:paraId="256A70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C61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1AA38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3D9F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c>
          <w:tcPr>
            <w:tcW w:w="850" w:type="dxa"/>
          </w:tcPr>
          <w:p w14:paraId="091857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2400</w:t>
            </w:r>
          </w:p>
        </w:tc>
        <w:tc>
          <w:tcPr>
            <w:tcW w:w="851" w:type="dxa"/>
          </w:tcPr>
          <w:p w14:paraId="05D46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00DC16" w14:textId="77777777" w:rsidTr="00ED5B0A">
        <w:tc>
          <w:tcPr>
            <w:tcW w:w="1951" w:type="dxa"/>
          </w:tcPr>
          <w:p w14:paraId="2422CE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второй</w:t>
            </w:r>
          </w:p>
        </w:tc>
        <w:tc>
          <w:tcPr>
            <w:tcW w:w="876" w:type="dxa"/>
          </w:tcPr>
          <w:p w14:paraId="66647B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731" w:type="dxa"/>
          </w:tcPr>
          <w:p w14:paraId="37EB15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596</w:t>
            </w:r>
          </w:p>
        </w:tc>
        <w:tc>
          <w:tcPr>
            <w:tcW w:w="803" w:type="dxa"/>
          </w:tcPr>
          <w:p w14:paraId="509AA5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598</w:t>
            </w:r>
          </w:p>
        </w:tc>
        <w:tc>
          <w:tcPr>
            <w:tcW w:w="850" w:type="dxa"/>
          </w:tcPr>
          <w:p w14:paraId="57C6E9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w:t>
            </w:r>
          </w:p>
        </w:tc>
        <w:tc>
          <w:tcPr>
            <w:tcW w:w="862" w:type="dxa"/>
          </w:tcPr>
          <w:p w14:paraId="04FF8C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839" w:type="dxa"/>
          </w:tcPr>
          <w:p w14:paraId="5AC0F7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w:t>
            </w:r>
          </w:p>
        </w:tc>
        <w:tc>
          <w:tcPr>
            <w:tcW w:w="851" w:type="dxa"/>
          </w:tcPr>
          <w:p w14:paraId="37F0A0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w:t>
            </w:r>
          </w:p>
        </w:tc>
        <w:tc>
          <w:tcPr>
            <w:tcW w:w="850" w:type="dxa"/>
          </w:tcPr>
          <w:p w14:paraId="25395F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c>
          <w:tcPr>
            <w:tcW w:w="851" w:type="dxa"/>
          </w:tcPr>
          <w:p w14:paraId="25005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591</w:t>
            </w:r>
          </w:p>
        </w:tc>
        <w:tc>
          <w:tcPr>
            <w:tcW w:w="850" w:type="dxa"/>
          </w:tcPr>
          <w:p w14:paraId="19E4A2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632</w:t>
            </w:r>
          </w:p>
        </w:tc>
        <w:tc>
          <w:tcPr>
            <w:tcW w:w="851" w:type="dxa"/>
          </w:tcPr>
          <w:p w14:paraId="734910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716</w:t>
            </w:r>
          </w:p>
        </w:tc>
      </w:tr>
      <w:tr w:rsidR="00A907A5" w:rsidRPr="00271E51" w14:paraId="3E88981C" w14:textId="77777777" w:rsidTr="00ED5B0A">
        <w:tc>
          <w:tcPr>
            <w:tcW w:w="1951" w:type="dxa"/>
          </w:tcPr>
          <w:p w14:paraId="1D080F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км/ч</w:t>
            </w:r>
          </w:p>
        </w:tc>
        <w:tc>
          <w:tcPr>
            <w:tcW w:w="876" w:type="dxa"/>
          </w:tcPr>
          <w:p w14:paraId="5944EE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447291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7A48F6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1CA4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51EA86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2D2DB0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EB2B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E64A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3C9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52EC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D5A5C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26D980" w14:textId="77777777" w:rsidTr="00ED5B0A">
        <w:tc>
          <w:tcPr>
            <w:tcW w:w="1951" w:type="dxa"/>
          </w:tcPr>
          <w:p w14:paraId="19404C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второй границы, м</w:t>
            </w:r>
          </w:p>
        </w:tc>
        <w:tc>
          <w:tcPr>
            <w:tcW w:w="876" w:type="dxa"/>
          </w:tcPr>
          <w:p w14:paraId="52D129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4100</w:t>
            </w:r>
          </w:p>
        </w:tc>
        <w:tc>
          <w:tcPr>
            <w:tcW w:w="731" w:type="dxa"/>
          </w:tcPr>
          <w:p w14:paraId="3D31F9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4250</w:t>
            </w:r>
          </w:p>
        </w:tc>
        <w:tc>
          <w:tcPr>
            <w:tcW w:w="803" w:type="dxa"/>
          </w:tcPr>
          <w:p w14:paraId="4136D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4250</w:t>
            </w:r>
          </w:p>
        </w:tc>
        <w:tc>
          <w:tcPr>
            <w:tcW w:w="850" w:type="dxa"/>
          </w:tcPr>
          <w:p w14:paraId="712C4F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4150</w:t>
            </w:r>
          </w:p>
        </w:tc>
        <w:tc>
          <w:tcPr>
            <w:tcW w:w="862" w:type="dxa"/>
          </w:tcPr>
          <w:p w14:paraId="4BF9F6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4200</w:t>
            </w:r>
          </w:p>
        </w:tc>
        <w:tc>
          <w:tcPr>
            <w:tcW w:w="839" w:type="dxa"/>
          </w:tcPr>
          <w:p w14:paraId="4F7BAE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EC6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B4FE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1" w:type="dxa"/>
          </w:tcPr>
          <w:p w14:paraId="4B9292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w:t>
            </w:r>
          </w:p>
        </w:tc>
        <w:tc>
          <w:tcPr>
            <w:tcW w:w="850" w:type="dxa"/>
          </w:tcPr>
          <w:p w14:paraId="51010F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4450</w:t>
            </w:r>
          </w:p>
        </w:tc>
        <w:tc>
          <w:tcPr>
            <w:tcW w:w="851" w:type="dxa"/>
          </w:tcPr>
          <w:p w14:paraId="30C7AC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6250</w:t>
            </w:r>
          </w:p>
        </w:tc>
      </w:tr>
      <w:tr w:rsidR="00A907A5" w:rsidRPr="00271E51" w14:paraId="3AB91CDA" w14:textId="77777777" w:rsidTr="00ED5B0A">
        <w:tc>
          <w:tcPr>
            <w:tcW w:w="1951" w:type="dxa"/>
          </w:tcPr>
          <w:p w14:paraId="2872F8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876" w:type="dxa"/>
          </w:tcPr>
          <w:p w14:paraId="5DBB55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76BB8B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803" w:type="dxa"/>
          </w:tcPr>
          <w:p w14:paraId="13DAE0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DC15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6C3107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2FF0B8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D00B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5FBB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AC46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B18A0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C38B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150902" w14:textId="77777777" w:rsidTr="00ED5B0A">
        <w:tc>
          <w:tcPr>
            <w:tcW w:w="1951" w:type="dxa"/>
          </w:tcPr>
          <w:p w14:paraId="6A94AF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876" w:type="dxa"/>
          </w:tcPr>
          <w:p w14:paraId="651EFA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w:t>
            </w:r>
          </w:p>
        </w:tc>
        <w:tc>
          <w:tcPr>
            <w:tcW w:w="731" w:type="dxa"/>
          </w:tcPr>
          <w:p w14:paraId="707DEC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29D874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850" w:type="dxa"/>
          </w:tcPr>
          <w:p w14:paraId="7002A2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5,53</w:t>
            </w:r>
          </w:p>
        </w:tc>
        <w:tc>
          <w:tcPr>
            <w:tcW w:w="862" w:type="dxa"/>
          </w:tcPr>
          <w:p w14:paraId="30273C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839" w:type="dxa"/>
          </w:tcPr>
          <w:p w14:paraId="6C3D9F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10B7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5993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851" w:type="dxa"/>
          </w:tcPr>
          <w:p w14:paraId="1E6B84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850" w:type="dxa"/>
          </w:tcPr>
          <w:p w14:paraId="1DCF00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851" w:type="dxa"/>
          </w:tcPr>
          <w:p w14:paraId="296350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0D82EA" w14:textId="77777777" w:rsidTr="00ED5B0A">
        <w:tc>
          <w:tcPr>
            <w:tcW w:w="1951" w:type="dxa"/>
          </w:tcPr>
          <w:p w14:paraId="5C0773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76" w:type="dxa"/>
          </w:tcPr>
          <w:p w14:paraId="24F57C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731" w:type="dxa"/>
          </w:tcPr>
          <w:p w14:paraId="78C8F8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50F563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07D9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10 050</w:t>
            </w:r>
          </w:p>
        </w:tc>
        <w:tc>
          <w:tcPr>
            <w:tcW w:w="862" w:type="dxa"/>
          </w:tcPr>
          <w:p w14:paraId="5520E8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10 250</w:t>
            </w:r>
          </w:p>
        </w:tc>
        <w:tc>
          <w:tcPr>
            <w:tcW w:w="839" w:type="dxa"/>
          </w:tcPr>
          <w:p w14:paraId="6A8D14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5BC9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95611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E37E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37B12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10 700</w:t>
            </w:r>
          </w:p>
        </w:tc>
        <w:tc>
          <w:tcPr>
            <w:tcW w:w="851" w:type="dxa"/>
          </w:tcPr>
          <w:p w14:paraId="139047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8B996A" w14:textId="77777777" w:rsidTr="00ED5B0A">
        <w:tc>
          <w:tcPr>
            <w:tcW w:w="1951" w:type="dxa"/>
          </w:tcPr>
          <w:p w14:paraId="1E6408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876" w:type="dxa"/>
          </w:tcPr>
          <w:p w14:paraId="7E9C5B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4F7EAE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803" w:type="dxa"/>
          </w:tcPr>
          <w:p w14:paraId="49E6CE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68B33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154E01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6C9D86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42F8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5565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17-18</w:t>
            </w:r>
          </w:p>
        </w:tc>
        <w:tc>
          <w:tcPr>
            <w:tcW w:w="851" w:type="dxa"/>
          </w:tcPr>
          <w:p w14:paraId="7D14AD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4289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17-16</w:t>
            </w:r>
          </w:p>
        </w:tc>
        <w:tc>
          <w:tcPr>
            <w:tcW w:w="851" w:type="dxa"/>
          </w:tcPr>
          <w:p w14:paraId="1C957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29A3DC" w14:textId="77777777" w:rsidTr="00ED5B0A">
        <w:tc>
          <w:tcPr>
            <w:tcW w:w="1951" w:type="dxa"/>
          </w:tcPr>
          <w:p w14:paraId="5F894C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 с</w:t>
            </w:r>
          </w:p>
        </w:tc>
        <w:tc>
          <w:tcPr>
            <w:tcW w:w="876" w:type="dxa"/>
          </w:tcPr>
          <w:p w14:paraId="31505D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730D7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6748ED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D65E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01F92B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4F1794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A0CF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49F7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A6FE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71C0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F35C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ACA8BD" w14:textId="77777777" w:rsidTr="00ED5B0A">
        <w:tc>
          <w:tcPr>
            <w:tcW w:w="1951" w:type="dxa"/>
          </w:tcPr>
          <w:p w14:paraId="748002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876" w:type="dxa"/>
          </w:tcPr>
          <w:p w14:paraId="6DE2DD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336268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61525D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E203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0CAF42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3AA12D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5868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A8B9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9E953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394F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98B0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851920" w14:textId="77777777" w:rsidTr="00ED5B0A">
        <w:tc>
          <w:tcPr>
            <w:tcW w:w="1951" w:type="dxa"/>
          </w:tcPr>
          <w:p w14:paraId="32D219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скорости 0.9 max. км</w:t>
            </w:r>
          </w:p>
        </w:tc>
        <w:tc>
          <w:tcPr>
            <w:tcW w:w="876" w:type="dxa"/>
          </w:tcPr>
          <w:p w14:paraId="4118D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882</w:t>
            </w:r>
          </w:p>
        </w:tc>
        <w:tc>
          <w:tcPr>
            <w:tcW w:w="731" w:type="dxa"/>
          </w:tcPr>
          <w:p w14:paraId="7076E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722</w:t>
            </w:r>
          </w:p>
        </w:tc>
        <w:tc>
          <w:tcPr>
            <w:tcW w:w="803" w:type="dxa"/>
          </w:tcPr>
          <w:p w14:paraId="1BB197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1CC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786</w:t>
            </w:r>
          </w:p>
        </w:tc>
        <w:tc>
          <w:tcPr>
            <w:tcW w:w="862" w:type="dxa"/>
          </w:tcPr>
          <w:p w14:paraId="7556A7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770</w:t>
            </w:r>
          </w:p>
        </w:tc>
        <w:tc>
          <w:tcPr>
            <w:tcW w:w="839" w:type="dxa"/>
          </w:tcPr>
          <w:p w14:paraId="186444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9162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7DCD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A4290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BCE3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w:t>
            </w:r>
          </w:p>
        </w:tc>
        <w:tc>
          <w:tcPr>
            <w:tcW w:w="851" w:type="dxa"/>
          </w:tcPr>
          <w:p w14:paraId="277458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5A6C11" w14:textId="77777777" w:rsidTr="00ED5B0A">
        <w:tc>
          <w:tcPr>
            <w:tcW w:w="1951" w:type="dxa"/>
          </w:tcPr>
          <w:p w14:paraId="4E21B8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876" w:type="dxa"/>
          </w:tcPr>
          <w:p w14:paraId="7EC1BB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694289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38A193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B577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31B028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4E1F3A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2687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18C0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492CF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2C73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55B7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46A8F3" w14:textId="77777777" w:rsidTr="00ED5B0A">
        <w:tc>
          <w:tcPr>
            <w:tcW w:w="1951" w:type="dxa"/>
          </w:tcPr>
          <w:p w14:paraId="7DF0A5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w:t>
            </w:r>
          </w:p>
        </w:tc>
        <w:tc>
          <w:tcPr>
            <w:tcW w:w="876" w:type="dxa"/>
          </w:tcPr>
          <w:p w14:paraId="14111E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6FD6FA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255DB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87D3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2DB9C1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4A308D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ABB0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967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EA26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D9F9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5440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A7A2CE" w14:textId="77777777" w:rsidTr="00ED5B0A">
        <w:tc>
          <w:tcPr>
            <w:tcW w:w="1951" w:type="dxa"/>
          </w:tcPr>
          <w:p w14:paraId="04CC60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76" w:type="dxa"/>
          </w:tcPr>
          <w:p w14:paraId="2F906A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31" w:type="dxa"/>
          </w:tcPr>
          <w:p w14:paraId="5246A6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03" w:type="dxa"/>
          </w:tcPr>
          <w:p w14:paraId="7B80A2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D7C5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40B1EB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04A5C6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B288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30F9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D35D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EC46A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3F6F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3F132D" w14:textId="77777777" w:rsidTr="00ED5B0A">
        <w:tc>
          <w:tcPr>
            <w:tcW w:w="1951" w:type="dxa"/>
          </w:tcPr>
          <w:p w14:paraId="061D9B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76" w:type="dxa"/>
          </w:tcPr>
          <w:p w14:paraId="38D879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731" w:type="dxa"/>
          </w:tcPr>
          <w:p w14:paraId="63C497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03" w:type="dxa"/>
          </w:tcPr>
          <w:p w14:paraId="07EAF8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5C3C9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62" w:type="dxa"/>
          </w:tcPr>
          <w:p w14:paraId="1A939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39" w:type="dxa"/>
          </w:tcPr>
          <w:p w14:paraId="2B017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731B99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04E95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05B5B9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27972D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6DB42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55CA713A" w14:textId="77777777" w:rsidTr="00ED5B0A">
        <w:tc>
          <w:tcPr>
            <w:tcW w:w="1951" w:type="dxa"/>
          </w:tcPr>
          <w:p w14:paraId="72CF6C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патроны</w:t>
            </w:r>
          </w:p>
        </w:tc>
        <w:tc>
          <w:tcPr>
            <w:tcW w:w="876" w:type="dxa"/>
          </w:tcPr>
          <w:p w14:paraId="1A91C5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731" w:type="dxa"/>
          </w:tcPr>
          <w:p w14:paraId="6558EC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03" w:type="dxa"/>
          </w:tcPr>
          <w:p w14:paraId="1F7185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612702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62" w:type="dxa"/>
          </w:tcPr>
          <w:p w14:paraId="309CCF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39" w:type="dxa"/>
          </w:tcPr>
          <w:p w14:paraId="0AD7FC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1B1120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0" w:type="dxa"/>
          </w:tcPr>
          <w:p w14:paraId="7B28BB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1" w:type="dxa"/>
          </w:tcPr>
          <w:p w14:paraId="64A464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0" w:type="dxa"/>
          </w:tcPr>
          <w:p w14:paraId="11C1FB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51" w:type="dxa"/>
          </w:tcPr>
          <w:p w14:paraId="59DEDC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r>
      <w:tr w:rsidR="00A907A5" w:rsidRPr="00271E51" w14:paraId="06891CD7" w14:textId="77777777" w:rsidTr="00ED5B0A">
        <w:tc>
          <w:tcPr>
            <w:tcW w:w="1951" w:type="dxa"/>
          </w:tcPr>
          <w:p w14:paraId="5266B1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w:t>
            </w:r>
          </w:p>
        </w:tc>
        <w:tc>
          <w:tcPr>
            <w:tcW w:w="876" w:type="dxa"/>
          </w:tcPr>
          <w:p w14:paraId="48B2C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1" w:type="dxa"/>
          </w:tcPr>
          <w:p w14:paraId="0E2AE4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3" w:type="dxa"/>
          </w:tcPr>
          <w:p w14:paraId="1E8E10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0" w:type="dxa"/>
          </w:tcPr>
          <w:p w14:paraId="4B13F3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2" w:type="dxa"/>
          </w:tcPr>
          <w:p w14:paraId="577AD2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9" w:type="dxa"/>
          </w:tcPr>
          <w:p w14:paraId="1DF622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1" w:type="dxa"/>
          </w:tcPr>
          <w:p w14:paraId="069CE1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B7BFF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EF337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w:t>
            </w:r>
          </w:p>
        </w:tc>
        <w:tc>
          <w:tcPr>
            <w:tcW w:w="850" w:type="dxa"/>
          </w:tcPr>
          <w:p w14:paraId="03A75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1" w:type="dxa"/>
          </w:tcPr>
          <w:p w14:paraId="453B14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3FEA3C49" w14:textId="77777777" w:rsidTr="00ED5B0A">
        <w:tc>
          <w:tcPr>
            <w:tcW w:w="1951" w:type="dxa"/>
          </w:tcPr>
          <w:p w14:paraId="55240A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шт</w:t>
            </w:r>
          </w:p>
        </w:tc>
        <w:tc>
          <w:tcPr>
            <w:tcW w:w="876" w:type="dxa"/>
          </w:tcPr>
          <w:p w14:paraId="62B557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31" w:type="dxa"/>
          </w:tcPr>
          <w:p w14:paraId="61E318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03" w:type="dxa"/>
          </w:tcPr>
          <w:p w14:paraId="603E96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5C1620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62" w:type="dxa"/>
          </w:tcPr>
          <w:p w14:paraId="57DBBC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39" w:type="dxa"/>
          </w:tcPr>
          <w:p w14:paraId="23D0CA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1C058F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1C4C20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2F8055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0" w:type="dxa"/>
          </w:tcPr>
          <w:p w14:paraId="6964E6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51" w:type="dxa"/>
          </w:tcPr>
          <w:p w14:paraId="5EFA3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r>
      <w:tr w:rsidR="00A907A5" w:rsidRPr="00271E51" w14:paraId="799195EB" w14:textId="77777777" w:rsidTr="00ED5B0A">
        <w:tc>
          <w:tcPr>
            <w:tcW w:w="1951" w:type="dxa"/>
          </w:tcPr>
          <w:p w14:paraId="1817A1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876" w:type="dxa"/>
          </w:tcPr>
          <w:p w14:paraId="5DA7E5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31" w:type="dxa"/>
          </w:tcPr>
          <w:p w14:paraId="0D14D0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03" w:type="dxa"/>
          </w:tcPr>
          <w:p w14:paraId="728AFA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58B5CB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62" w:type="dxa"/>
          </w:tcPr>
          <w:p w14:paraId="5143B4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39" w:type="dxa"/>
          </w:tcPr>
          <w:p w14:paraId="2D7E4E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61A440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753F4B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183A94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0" w:type="dxa"/>
          </w:tcPr>
          <w:p w14:paraId="1A597C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851" w:type="dxa"/>
          </w:tcPr>
          <w:p w14:paraId="760D5C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06EF88FB" w14:textId="77777777" w:rsidTr="00ED5B0A">
        <w:tc>
          <w:tcPr>
            <w:tcW w:w="1951" w:type="dxa"/>
            <w:tcBorders>
              <w:bottom w:val="single" w:sz="12" w:space="0" w:color="auto"/>
            </w:tcBorders>
          </w:tcPr>
          <w:p w14:paraId="61315C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снаряды</w:t>
            </w:r>
          </w:p>
        </w:tc>
        <w:tc>
          <w:tcPr>
            <w:tcW w:w="876" w:type="dxa"/>
            <w:tcBorders>
              <w:bottom w:val="single" w:sz="12" w:space="0" w:color="auto"/>
            </w:tcBorders>
          </w:tcPr>
          <w:p w14:paraId="3DC689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31" w:type="dxa"/>
            <w:tcBorders>
              <w:bottom w:val="single" w:sz="12" w:space="0" w:color="auto"/>
            </w:tcBorders>
          </w:tcPr>
          <w:p w14:paraId="049B7C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03" w:type="dxa"/>
            <w:tcBorders>
              <w:bottom w:val="single" w:sz="12" w:space="0" w:color="auto"/>
            </w:tcBorders>
          </w:tcPr>
          <w:p w14:paraId="5C1064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7BDDDF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62" w:type="dxa"/>
            <w:tcBorders>
              <w:bottom w:val="single" w:sz="12" w:space="0" w:color="auto"/>
            </w:tcBorders>
          </w:tcPr>
          <w:p w14:paraId="09CCE9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39" w:type="dxa"/>
            <w:tcBorders>
              <w:bottom w:val="single" w:sz="12" w:space="0" w:color="auto"/>
            </w:tcBorders>
          </w:tcPr>
          <w:p w14:paraId="1514EA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1" w:type="dxa"/>
            <w:tcBorders>
              <w:bottom w:val="single" w:sz="12" w:space="0" w:color="auto"/>
            </w:tcBorders>
          </w:tcPr>
          <w:p w14:paraId="5E769C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074CA7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1" w:type="dxa"/>
            <w:tcBorders>
              <w:bottom w:val="single" w:sz="12" w:space="0" w:color="auto"/>
            </w:tcBorders>
          </w:tcPr>
          <w:p w14:paraId="22D466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850" w:type="dxa"/>
            <w:tcBorders>
              <w:bottom w:val="single" w:sz="12" w:space="0" w:color="auto"/>
            </w:tcBorders>
          </w:tcPr>
          <w:p w14:paraId="495AF6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851" w:type="dxa"/>
            <w:tcBorders>
              <w:bottom w:val="single" w:sz="12" w:space="0" w:color="auto"/>
            </w:tcBorders>
          </w:tcPr>
          <w:p w14:paraId="41A8E1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r>
    </w:tbl>
    <w:p w14:paraId="2E66B6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(12048)</w:t>
      </w:r>
    </w:p>
    <w:p w14:paraId="357F20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6F7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25 октября 1943 ГВФ имел 31 Ю-52, в том числе 23 исправных, но шесть из них были “разуты”. Предлагалось даже заменить немецкие колеса на колеса от Ли-2. На авирембазе № 405 выполнили комплект чертежей. Но дальше дело не пошло. В Московском управлении было много аварий, в основном связанных с моторами. Наблюдалось выбрасывание масла, прогары поршней. Был один случай пожара в полёте. Все это вполне объяснимо - не хватало опыта обслуживания моторов BMW 132, сделанные рембазами детали, естественно, оказались хуже оригинальных немецких. Запчастей к моторам вообще не хватало. Далеко не все из них научились копировать у нас - ведь исходная технология оставалась неизвестной. Ещё одна проблема: годы выпуска самолётов были обозначены на табличках, но никто не знал реального ресурса планеров и моторов. Большинство Ю-52 являлись совсем новыми, больше половины имевшихся в ГВФ машин собрали только в 1942 г, но эксплуатация в годы войны отличалась большой интенсивностью. Не позаботились немцы приложить к каждому брошенному “юнкерсу” его формуляр! На 1943 г ставилась задача получить 25 Ю-52. План перевыполнили: по документам ВВС за год сдали ГВФ 27 “юнкерсов” (6393).</w:t>
      </w:r>
    </w:p>
    <w:p w14:paraId="4B4A09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80771"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На 25 октября 1943 ГВФ имел тридцать один Ю-52, в том числе двадцать три исправных, но шесть из них были «разуты». Предлагалось даже заменить немецкие колеса на колеса от Ли-2. На авирембазе №405 выполнили комплект чертежей. Но дальше дело не пошло. В Московском управлении было много аварий, в основном связанных с моторами. Наблюдалось выбрасывание масла, прогары поршней. Был один случай пожара в полёте (19686)</w:t>
      </w:r>
    </w:p>
    <w:p w14:paraId="1BF27CCE"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40AA9C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Летно-испытательный институт ВВС ВМФ в г. Баку закончил испытания Бостона с РЛС, которые проходили с 25 сентября в соответствии с приказом НКВМФ №00243 от 8 сентября 1943 прошли. 23 ноября появился приказ №00296, подводивший итоги испытаний и утверждавший реальные ТТХ станции: дальность обнаружения корабля водоизмещением более 1000 т при высоте полета 100-200 м - 7-9 км, ширина просматриваемой полосы - 8-10 км. Очевидно, результаты испытаний не вполне удовлетворили флотское руководство, поскольку в период с 16.12.1943 по 7.1.1944 их провели повторно. Станция испытыеалась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6C547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7F6877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32F9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0579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0BDA8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года начальник БТУ ГБТУ КА генерал-майор Афонин ди</w:t>
      </w:r>
      <w:r w:rsidRPr="00271E51">
        <w:rPr>
          <w:rFonts w:ascii="Times New Roman" w:hAnsi="Times New Roman"/>
          <w:color w:val="000000" w:themeColor="text1"/>
          <w:sz w:val="16"/>
          <w:szCs w:val="16"/>
        </w:rPr>
        <w:softHyphen/>
        <w:t>ректору завода № 9 Гонору:</w:t>
      </w:r>
    </w:p>
    <w:p w14:paraId="66CAB55F"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и отстрел танков КВ-85 на полигонах свидетельствуют о некоторых конструктивных недоработках в артсисте- мах Д-5, снижающих боевые качества, на</w:t>
      </w:r>
      <w:r w:rsidRPr="00271E51">
        <w:rPr>
          <w:rFonts w:ascii="Times New Roman" w:cs="Times New Roman"/>
          <w:color w:val="000000" w:themeColor="text1"/>
          <w:spacing w:val="0"/>
        </w:rPr>
        <w:softHyphen/>
        <w:t>пример:</w:t>
      </w:r>
    </w:p>
    <w:p w14:paraId="099CD8EE"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отстреле танка КВ-85 крепление бронировки выводится из строя даже пуле</w:t>
      </w:r>
      <w:r w:rsidRPr="00271E51">
        <w:rPr>
          <w:rFonts w:ascii="Times New Roman" w:hAnsi="Times New Roman"/>
          <w:color w:val="000000" w:themeColor="text1"/>
          <w:sz w:val="16"/>
          <w:szCs w:val="16"/>
        </w:rPr>
        <w:softHyphen/>
        <w:t>метным огнем. Желательно перед качающей</w:t>
      </w:r>
      <w:r w:rsidRPr="00271E51">
        <w:rPr>
          <w:rFonts w:ascii="Times New Roman" w:hAnsi="Times New Roman"/>
          <w:color w:val="000000" w:themeColor="text1"/>
          <w:sz w:val="16"/>
          <w:szCs w:val="16"/>
        </w:rPr>
        <w:softHyphen/>
        <w:t>ся бронировкой устанавливать конусный от</w:t>
      </w:r>
      <w:r w:rsidRPr="00271E51">
        <w:rPr>
          <w:rFonts w:ascii="Times New Roman" w:hAnsi="Times New Roman"/>
          <w:color w:val="000000" w:themeColor="text1"/>
          <w:sz w:val="16"/>
          <w:szCs w:val="16"/>
        </w:rPr>
        <w:softHyphen/>
        <w:t>ражатель</w:t>
      </w:r>
    </w:p>
    <w:p w14:paraId="613AC6A6" w14:textId="77777777" w:rsidR="004A3A7A" w:rsidRPr="00271E51" w:rsidRDefault="004A3A7A" w:rsidP="00271E51">
      <w:pPr>
        <w:pStyle w:val="27"/>
        <w:shd w:val="clear" w:color="auto" w:fill="auto"/>
        <w:tabs>
          <w:tab w:val="left" w:pos="414"/>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При осечке невозможно повторить вы</w:t>
      </w:r>
      <w:r w:rsidRPr="00271E51">
        <w:rPr>
          <w:rFonts w:ascii="Times New Roman" w:cs="Times New Roman"/>
          <w:color w:val="000000" w:themeColor="text1"/>
          <w:spacing w:val="0"/>
        </w:rPr>
        <w:softHyphen/>
        <w:t>стрел, не открывая затвора.</w:t>
      </w:r>
    </w:p>
    <w:p w14:paraId="26E3C43E" w14:textId="77777777" w:rsidR="004A3A7A" w:rsidRPr="00271E51" w:rsidRDefault="004A3A7A" w:rsidP="00271E51">
      <w:pPr>
        <w:pStyle w:val="27"/>
        <w:shd w:val="clear" w:color="auto" w:fill="auto"/>
        <w:tabs>
          <w:tab w:val="left" w:pos="43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Телескопический прицел очень близ</w:t>
      </w:r>
      <w:r w:rsidRPr="00271E51">
        <w:rPr>
          <w:rFonts w:ascii="Times New Roman" w:cs="Times New Roman"/>
          <w:color w:val="000000" w:themeColor="text1"/>
          <w:spacing w:val="0"/>
        </w:rPr>
        <w:softHyphen/>
        <w:t>ко подходит к орудию, что затрудняет на</w:t>
      </w:r>
      <w:r w:rsidRPr="00271E51">
        <w:rPr>
          <w:rFonts w:ascii="Times New Roman" w:cs="Times New Roman"/>
          <w:color w:val="000000" w:themeColor="text1"/>
          <w:spacing w:val="0"/>
        </w:rPr>
        <w:softHyphen/>
        <w:t>блюдение. Необходимо сместить его влево на 20-30 мм.</w:t>
      </w:r>
    </w:p>
    <w:p w14:paraId="0AEC549F" w14:textId="77777777" w:rsidR="004A3A7A" w:rsidRPr="00271E51" w:rsidRDefault="004A3A7A" w:rsidP="00271E51">
      <w:pPr>
        <w:pStyle w:val="27"/>
        <w:shd w:val="clear" w:color="auto" w:fill="auto"/>
        <w:tabs>
          <w:tab w:val="left" w:pos="466"/>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 Сделать ограждение полуавтоматики пушки».</w:t>
      </w:r>
    </w:p>
    <w:p w14:paraId="2776FFED"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На машинах КВ-85 октябрьского выпуска появились дополнительные топливные баки на надгусеничных полках, установленные по типу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 в начале выпуска «восемь</w:t>
      </w:r>
      <w:r w:rsidRPr="00271E51">
        <w:rPr>
          <w:rFonts w:ascii="Times New Roman" w:cs="Times New Roman"/>
          <w:color w:val="000000" w:themeColor="text1"/>
          <w:spacing w:val="0"/>
        </w:rPr>
        <w:softHyphen/>
        <w:t>десят пятых» баки демонтировали для облег</w:t>
      </w:r>
      <w:r w:rsidRPr="00271E51">
        <w:rPr>
          <w:rFonts w:ascii="Times New Roman" w:cs="Times New Roman"/>
          <w:color w:val="000000" w:themeColor="text1"/>
          <w:spacing w:val="0"/>
        </w:rPr>
        <w:softHyphen/>
        <w:t>чения массы танка (15226).</w:t>
      </w:r>
    </w:p>
    <w:p w14:paraId="1B44E85D" w14:textId="77777777" w:rsidR="004A3A7A" w:rsidRPr="00271E51" w:rsidRDefault="004A3A7A" w:rsidP="00271E51">
      <w:pPr>
        <w:pStyle w:val="27"/>
        <w:shd w:val="clear" w:color="auto" w:fill="auto"/>
        <w:spacing w:after="0" w:line="240" w:lineRule="auto"/>
        <w:ind w:firstLine="0"/>
        <w:rPr>
          <w:rFonts w:ascii="Times New Roman" w:cs="Times New Roman"/>
          <w:color w:val="000000" w:themeColor="text1"/>
          <w:spacing w:val="0"/>
        </w:rPr>
      </w:pPr>
    </w:p>
    <w:p w14:paraId="01EAEB22" w14:textId="77777777" w:rsidR="00350BE0" w:rsidRPr="00271E51" w:rsidRDefault="00350BE0"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25 октября 1943 года на Гороховецкий АНИОП (п. Мулино) поступил опытный образец КВ-1с, вооруженный 85-мм пушкой С-31. И это была другая машина, нежели та, которая испытывалась в августе 1943 года. В дело пошел тот самый образец танка, в котором находилась система С-41. Даже внешне переделанная ЦАКБ башня отличалась от штатной. В районе размещения командира и заряжающего появился своеобразный выступ, чьи функции были теми же, что и у проекта опытной башни. А именно облегчение работы заряжащего. Вместо командирской башенки командир получил круглый люк, вращающийся вокруг своей оси, в котором находился смотровой прибор MK-IV. Он обеспечивал неплохой обзор: мертвые зоны составляли 10,2 метра вперед, 11 метров назад, 10,5 метров влево, и только вправо было всё плохо - 26,7 метров. Также у командира имелось 4 смотровые щели, прикрытые триплексом. Получился своеобразный аналог командирской башенки, несколько странный по конструкции, но вполне работающий.</w:t>
      </w:r>
    </w:p>
    <w:p w14:paraId="2C4B2AC1" w14:textId="77777777" w:rsidR="00350BE0" w:rsidRPr="00271E51" w:rsidRDefault="00350BE0"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 xml:space="preserve">Более интересной оказалась ситуация с заряжающим. Башня отличалась не только снаружи: как и предполагалось по изначальному проекту, ЦАКБ поставило подбашенную корзину. В передней правой части башни была организована вертикальная укладка на 14 унитарных патронов. Она являлась укладкой первой очереди. </w:t>
      </w:r>
      <w:r w:rsidRPr="00271E51">
        <w:rPr>
          <w:color w:val="0070C0"/>
          <w:sz w:val="16"/>
          <w:szCs w:val="16"/>
        </w:rPr>
        <w:lastRenderedPageBreak/>
        <w:t>Также, в кормовой нише, должны были размещаться еще 12 унитаров, но на образце, выполненном в металле, их оказалось 5. Ну а выступ позволял наводчику работать, стоя в полный рост. В связи с изменениями боевого отделения переделке подверглось и место наводчика. Наконец, изменили и орудие. Для облегчения заряжания был введен специальный лоток. Всё это позволяло использовать, в качестве базы, штатную башню, которая подвергалась сравнительно небольшим переделкам. Логика ЦАКБ вполне понятна: там предполагали, что за счет небольших изменений можно было добиться установки 85-мм орудия в штатную башню КВ-1с. Правда, они упускали такой факт, что КВ-1с не выпускали уже 2 месяца, а 4 сентября 1943 года на вооружение Красной Армии приняли ИС-85. То есть, в лучшем случае, ЦАКБ могло рассчитывать только на работы по модернизации уже выпущенных КВ-1с (20276).</w:t>
      </w:r>
    </w:p>
    <w:p w14:paraId="5AB3F8D1" w14:textId="77777777" w:rsidR="00350BE0" w:rsidRPr="00271E51" w:rsidRDefault="00350BE0" w:rsidP="00271E51">
      <w:pPr>
        <w:pStyle w:val="article-renderblock"/>
        <w:shd w:val="clear" w:color="auto" w:fill="FFFFFF"/>
        <w:spacing w:before="0" w:beforeAutospacing="0" w:after="0" w:afterAutospacing="0"/>
        <w:jc w:val="both"/>
        <w:rPr>
          <w:color w:val="0070C0"/>
          <w:sz w:val="16"/>
          <w:szCs w:val="16"/>
        </w:rPr>
      </w:pPr>
    </w:p>
    <w:p w14:paraId="455D5E70" w14:textId="77777777" w:rsidR="00350BE0" w:rsidRPr="00271E51" w:rsidRDefault="00350BE0"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С 25 по 30 октября 1943 года прошли испытания переделанного КВ-1с. За это время танк преодолел 80 километров и произвел 135 выстрелов. На полигоне сразу заняли, скажем так, недружественную позицию к детищу ЦАКБ. Дело в том, что конструкторская документация и реальный танк друг с другом не бились. Например, укладок в корпусе не сделали вообще, так что вместо 73 унитаров размещалось всего 19. Да и в целом на АНИОП назвали данный вариант скорее "предварительным макетом". Прямо указывалось, что боевое отделение не доработано, зачем была нужна такая спешка, непонятно. С одной стороны, ряд решений было признано удачными, а с другой, выглядело всё это "сырым". Не понравилось и то, что вертикальная укладка закрыла проход из отделения управления в боевое отделение. Выявились и дефекты орудия, которые наблюдались и ранее. Вместе с тем, имелся ряд очевидных преимуществ. Сама по себе переделка боевого отделения и введение лотка позволила поднять прицельную скорострельность до 5-6 выстрелов в минуту, а максимальную - до 9-10 выстрелов в минуту. Для сравнения, у Объекта 238 скорострельность не превышала 5–6 выстрелов в минуту, а у Объекта 239 - до 10–12 выстрелов в минуту.</w:t>
      </w:r>
    </w:p>
    <w:p w14:paraId="29FCD9D6" w14:textId="77777777" w:rsidR="00350BE0" w:rsidRPr="00271E51" w:rsidRDefault="00350BE0" w:rsidP="00271E51">
      <w:pPr>
        <w:pStyle w:val="article-renderblock"/>
        <w:shd w:val="clear" w:color="auto" w:fill="FFFFFF"/>
        <w:spacing w:before="0" w:beforeAutospacing="0" w:after="0" w:afterAutospacing="0"/>
        <w:jc w:val="both"/>
        <w:rPr>
          <w:color w:val="0070C0"/>
          <w:sz w:val="16"/>
          <w:szCs w:val="16"/>
        </w:rPr>
      </w:pPr>
      <w:r w:rsidRPr="00271E51">
        <w:rPr>
          <w:color w:val="0070C0"/>
          <w:sz w:val="16"/>
          <w:szCs w:val="16"/>
        </w:rPr>
        <w:t>Итоговый вердикт полигона был вполне ожидаемый. Там указывался ряд положительных моментов, но при этом отмечалось, что очевидных преимуществ переделанное боевое отделение не дало. Минусом была и общая "сырость" боевого отделения. По результатам испытатели намекали на то, что ЦАКБ стоит доработать своё детище. Но этого не произошло. Время С-31 безвозвратно ушло, а в недрах ЦАКБ уже шла работа над орудиями С-50 и С-53. С последним связан первый и последний громкий успех ЦАКБ на ниве создания танкового орудия. Позже эту систему поставили и в КВ-1с, причем в штатную башню (20276).</w:t>
      </w:r>
    </w:p>
    <w:p w14:paraId="643DB6D7" w14:textId="77777777" w:rsidR="00350BE0" w:rsidRPr="00271E51" w:rsidRDefault="00350BE0" w:rsidP="00271E51">
      <w:pPr>
        <w:spacing w:after="0" w:line="240" w:lineRule="auto"/>
        <w:jc w:val="both"/>
        <w:rPr>
          <w:rFonts w:ascii="Times New Roman" w:hAnsi="Times New Roman"/>
          <w:color w:val="0070C0"/>
          <w:sz w:val="16"/>
          <w:szCs w:val="16"/>
        </w:rPr>
      </w:pPr>
    </w:p>
    <w:p w14:paraId="3D92F3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Богданов писал: “Считаю решение о прекращении произ</w:t>
      </w:r>
      <w:r w:rsidRPr="00271E51">
        <w:rPr>
          <w:rFonts w:ascii="Times New Roman" w:hAnsi="Times New Roman"/>
          <w:color w:val="000000" w:themeColor="text1"/>
          <w:sz w:val="16"/>
          <w:szCs w:val="16"/>
        </w:rPr>
        <w:softHyphen/>
        <w:t>водства танка Т-70 преждевременным. Вы</w:t>
      </w:r>
      <w:r w:rsidRPr="00271E51">
        <w:rPr>
          <w:rFonts w:ascii="Times New Roman" w:hAnsi="Times New Roman"/>
          <w:color w:val="000000" w:themeColor="text1"/>
          <w:sz w:val="16"/>
          <w:szCs w:val="16"/>
        </w:rPr>
        <w:softHyphen/>
        <w:t>пуск танка следует сохранить, усилив его вооружение за счет перехода к 45-мм пушке обр. 42, или полк, пушке обр. 43 (11084). Возобладала, однако, иная точка зрения: «...опыт кампании лета-осени 1943 г. нагляд</w:t>
      </w:r>
      <w:r w:rsidRPr="00271E51">
        <w:rPr>
          <w:rFonts w:ascii="Times New Roman" w:hAnsi="Times New Roman"/>
          <w:color w:val="000000" w:themeColor="text1"/>
          <w:sz w:val="16"/>
          <w:szCs w:val="16"/>
        </w:rPr>
        <w:softHyphen/>
        <w:t>но показывает, что отечественные танко</w:t>
      </w:r>
      <w:r w:rsidRPr="00271E51">
        <w:rPr>
          <w:rFonts w:ascii="Times New Roman" w:hAnsi="Times New Roman"/>
          <w:color w:val="000000" w:themeColor="text1"/>
          <w:sz w:val="16"/>
          <w:szCs w:val="16"/>
        </w:rPr>
        <w:softHyphen/>
        <w:t>вые части и соединения имеют недостаточ</w:t>
      </w:r>
      <w:r w:rsidRPr="00271E51">
        <w:rPr>
          <w:rFonts w:ascii="Times New Roman" w:hAnsi="Times New Roman"/>
          <w:color w:val="000000" w:themeColor="text1"/>
          <w:sz w:val="16"/>
          <w:szCs w:val="16"/>
        </w:rPr>
        <w:softHyphen/>
        <w:t>ные средства огневого сопровождения и уси</w:t>
      </w:r>
      <w:r w:rsidRPr="00271E51">
        <w:rPr>
          <w:rFonts w:ascii="Times New Roman" w:hAnsi="Times New Roman"/>
          <w:color w:val="000000" w:themeColor="text1"/>
          <w:sz w:val="16"/>
          <w:szCs w:val="16"/>
        </w:rPr>
        <w:softHyphen/>
        <w:t>ления... Поэтому наступательные действия танковых войск проводились чаще всего без должного артиллерийского воздействия и со</w:t>
      </w:r>
      <w:r w:rsidRPr="00271E51">
        <w:rPr>
          <w:rFonts w:ascii="Times New Roman" w:hAnsi="Times New Roman"/>
          <w:color w:val="000000" w:themeColor="text1"/>
          <w:sz w:val="16"/>
          <w:szCs w:val="16"/>
        </w:rPr>
        <w:softHyphen/>
        <w:t>провождения и потому часто заканчивались большими потерями танковых войск.</w:t>
      </w:r>
    </w:p>
    <w:p w14:paraId="498BCD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вооружение танка Т-70 слабо и делает его неспособным бороться с тяже</w:t>
      </w:r>
      <w:r w:rsidRPr="00271E51">
        <w:rPr>
          <w:rFonts w:ascii="Times New Roman" w:hAnsi="Times New Roman"/>
          <w:color w:val="000000" w:themeColor="text1"/>
          <w:sz w:val="16"/>
          <w:szCs w:val="16"/>
        </w:rPr>
        <w:softHyphen/>
        <w:t>лыми танками «Пантера», «Тигр» и САУ «Фердинанд»..., а также по причине слабой броневой защиты указанных танков, отме</w:t>
      </w:r>
      <w:r w:rsidRPr="00271E51">
        <w:rPr>
          <w:rFonts w:ascii="Times New Roman" w:hAnsi="Times New Roman"/>
          <w:color w:val="000000" w:themeColor="text1"/>
          <w:sz w:val="16"/>
          <w:szCs w:val="16"/>
        </w:rPr>
        <w:softHyphen/>
        <w:t>ченной командующим 5-й гв. ТА., необходи</w:t>
      </w:r>
      <w:r w:rsidRPr="00271E51">
        <w:rPr>
          <w:rFonts w:ascii="Times New Roman" w:hAnsi="Times New Roman"/>
          <w:color w:val="000000" w:themeColor="text1"/>
          <w:sz w:val="16"/>
          <w:szCs w:val="16"/>
        </w:rPr>
        <w:softHyphen/>
        <w:t>мо прекратить его серийный выпуск в поль</w:t>
      </w:r>
      <w:r w:rsidRPr="00271E51">
        <w:rPr>
          <w:rFonts w:ascii="Times New Roman" w:hAnsi="Times New Roman"/>
          <w:color w:val="000000" w:themeColor="text1"/>
          <w:sz w:val="16"/>
          <w:szCs w:val="16"/>
        </w:rPr>
        <w:softHyphen/>
        <w:t>зу более необходимых армии самоходных орудий артиллерийской поддержки.</w:t>
      </w:r>
    </w:p>
    <w:p w14:paraId="134AFD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Выводы: Срочно увеличить выпуск само</w:t>
      </w:r>
      <w:r w:rsidRPr="00271E51">
        <w:rPr>
          <w:rFonts w:ascii="Times New Roman" w:hAnsi="Times New Roman"/>
          <w:color w:val="000000" w:themeColor="text1"/>
          <w:sz w:val="16"/>
          <w:szCs w:val="16"/>
        </w:rPr>
        <w:softHyphen/>
        <w:t>ходных установок поддержки СУ-76, СУ-122 и СУ-152... Срочно освоить проти</w:t>
      </w:r>
      <w:r w:rsidRPr="00271E51">
        <w:rPr>
          <w:rFonts w:ascii="Times New Roman" w:hAnsi="Times New Roman"/>
          <w:color w:val="000000" w:themeColor="text1"/>
          <w:sz w:val="16"/>
          <w:szCs w:val="16"/>
        </w:rPr>
        <w:softHyphen/>
        <w:t>вотанковые САУ, способные на дистанции 1000 м пробить броню 85-110 мм...</w:t>
      </w:r>
    </w:p>
    <w:p w14:paraId="3EF6B1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этот...</w:t>
      </w:r>
    </w:p>
    <w:p w14:paraId="190859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Заводу № 40 и ГАЗ. Прекратить выпуск легких танков, обратив высвободившиеся</w:t>
      </w:r>
    </w:p>
    <w:p w14:paraId="706CED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мощности на выпуск крайне нужных в на</w:t>
      </w:r>
      <w:r w:rsidRPr="00271E51">
        <w:rPr>
          <w:rFonts w:ascii="Times New Roman" w:hAnsi="Times New Roman"/>
          <w:color w:val="000000" w:themeColor="text1"/>
          <w:sz w:val="16"/>
          <w:szCs w:val="16"/>
        </w:rPr>
        <w:softHyphen/>
        <w:t>ступлении САУ-57и СУ-76...</w:t>
      </w:r>
    </w:p>
    <w:p w14:paraId="1DCDC2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УЗТМ. Производство танков Т-34 пре</w:t>
      </w:r>
      <w:r w:rsidRPr="00271E51">
        <w:rPr>
          <w:rFonts w:ascii="Times New Roman" w:hAnsi="Times New Roman"/>
          <w:color w:val="000000" w:themeColor="text1"/>
          <w:sz w:val="16"/>
          <w:szCs w:val="16"/>
        </w:rPr>
        <w:softHyphen/>
        <w:t>кратить, обратив высвобождающиеся мощности для организации массового про</w:t>
      </w:r>
      <w:r w:rsidRPr="00271E51">
        <w:rPr>
          <w:rFonts w:ascii="Times New Roman" w:hAnsi="Times New Roman"/>
          <w:color w:val="000000" w:themeColor="text1"/>
          <w:sz w:val="16"/>
          <w:szCs w:val="16"/>
        </w:rPr>
        <w:softHyphen/>
        <w:t>изводства орудий СУ-122 и СУ-85...</w:t>
      </w:r>
    </w:p>
    <w:p w14:paraId="79A46D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Челябинскому заводу. Шасси танка КВ-1С использовать для организации про</w:t>
      </w:r>
      <w:r w:rsidRPr="00271E51">
        <w:rPr>
          <w:rFonts w:ascii="Times New Roman" w:hAnsi="Times New Roman"/>
          <w:color w:val="000000" w:themeColor="text1"/>
          <w:sz w:val="16"/>
          <w:szCs w:val="16"/>
        </w:rPr>
        <w:softHyphen/>
        <w:t>изводства артиллерийских танков, воору</w:t>
      </w:r>
      <w:r w:rsidRPr="00271E51">
        <w:rPr>
          <w:rFonts w:ascii="Times New Roman" w:hAnsi="Times New Roman"/>
          <w:color w:val="000000" w:themeColor="text1"/>
          <w:sz w:val="16"/>
          <w:szCs w:val="16"/>
        </w:rPr>
        <w:softHyphen/>
        <w:t>женных 122-мм или 152-мм гаубицей... В бо</w:t>
      </w:r>
      <w:r w:rsidRPr="00271E51">
        <w:rPr>
          <w:rFonts w:ascii="Times New Roman" w:hAnsi="Times New Roman"/>
          <w:color w:val="000000" w:themeColor="text1"/>
          <w:sz w:val="16"/>
          <w:szCs w:val="16"/>
        </w:rPr>
        <w:softHyphen/>
        <w:t>екомплект указанных танков ввести бронепрожигающий кумулятивный снаряд. Кон</w:t>
      </w:r>
      <w:r w:rsidRPr="00271E51">
        <w:rPr>
          <w:rFonts w:ascii="Times New Roman" w:hAnsi="Times New Roman"/>
          <w:color w:val="000000" w:themeColor="text1"/>
          <w:sz w:val="16"/>
          <w:szCs w:val="16"/>
        </w:rPr>
        <w:softHyphen/>
        <w:t>струкцию СУ-152 доработать с целью уст</w:t>
      </w:r>
      <w:r w:rsidRPr="00271E51">
        <w:rPr>
          <w:rFonts w:ascii="Times New Roman" w:hAnsi="Times New Roman"/>
          <w:color w:val="000000" w:themeColor="text1"/>
          <w:sz w:val="16"/>
          <w:szCs w:val="16"/>
        </w:rPr>
        <w:softHyphen/>
        <w:t>ранения недостатков, отмеченных в ходе летних боев...Коробков» (11084).</w:t>
      </w:r>
    </w:p>
    <w:p w14:paraId="34104D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A73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был подготовлен ПРОТОКОЛ № 1 СОВЕЩАНИЯ В ТУ ГБТУ КА ПО ВОПРОСУ ОЦЕНКИ АМЕРИКАНЦАМИ ТАНКОВ Т-34 И КВ</w:t>
      </w:r>
    </w:p>
    <w:p w14:paraId="0A7A55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Совещание открывает генерал-лейтенант танковых войск т. Вершинин.</w:t>
      </w:r>
    </w:p>
    <w:p w14:paraId="12372D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Правительство дало возможность американцам испытать и дать оценку наших танков Т-34 и КВ.</w:t>
      </w:r>
    </w:p>
    <w:p w14:paraId="69E93B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совещании необходимо обсудить правильность этой оценки и дать предложения по улучше</w:t>
      </w:r>
      <w:r w:rsidRPr="00271E51">
        <w:rPr>
          <w:rFonts w:ascii="Times New Roman" w:hAnsi="Times New Roman"/>
          <w:color w:val="000000" w:themeColor="text1"/>
          <w:sz w:val="16"/>
          <w:szCs w:val="16"/>
        </w:rPr>
        <w:softHyphen/>
        <w:t>нию качества танков.</w:t>
      </w:r>
    </w:p>
    <w:p w14:paraId="338C5C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Генерал-лейтенант танковых войск т. Вершинин зачитывает отзыв американцев о наших танках Т-34 и КВ и предлагает участникам совещания высказаться.</w:t>
      </w:r>
    </w:p>
    <w:p w14:paraId="2ACAA2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Выступление инженер-подполковника т. Антонова.</w:t>
      </w:r>
    </w:p>
    <w:p w14:paraId="3AB76F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хочу зачитать замечания по вопросу оценки танков Т-34 и КВ американцами. Эти замечания составлены генерал-майором инженерно-танковой службы т. Груздевым, инженер-подполковни</w:t>
      </w:r>
      <w:r w:rsidRPr="00271E51">
        <w:rPr>
          <w:rFonts w:ascii="Times New Roman" w:hAnsi="Times New Roman"/>
          <w:color w:val="000000" w:themeColor="text1"/>
          <w:sz w:val="16"/>
          <w:szCs w:val="16"/>
        </w:rPr>
        <w:softHyphen/>
        <w:t>ком т. Благонравовым и мною.</w:t>
      </w:r>
    </w:p>
    <w:p w14:paraId="2A2E93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Выход из строя Т-34 через 343 км следует отнести за счет неправильной эксплуатации его аме</w:t>
      </w:r>
      <w:r w:rsidRPr="00271E51">
        <w:rPr>
          <w:rFonts w:ascii="Times New Roman" w:hAnsi="Times New Roman"/>
          <w:color w:val="000000" w:themeColor="text1"/>
          <w:sz w:val="16"/>
          <w:szCs w:val="16"/>
        </w:rPr>
        <w:softHyphen/>
        <w:t>риканскими специалистами и возможно недосмотра с их стороны. Приведенный единичный случай не является характерным.</w:t>
      </w:r>
    </w:p>
    <w:p w14:paraId="57E48C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Форма корпуса и всей машины Т-34 в целом бесспорно являебтся наиболее удачной из всех известных машин. Это в особенности относится к американским машинам.</w:t>
      </w:r>
    </w:p>
    <w:p w14:paraId="75FC26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данного класса машин указание на целесообразность расширения боевого отделения за счет увеличения диаметра погона считаем своевременным и правильным.</w:t>
      </w:r>
    </w:p>
    <w:p w14:paraId="6558AD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Указание на неудовлетворительность привода поворота башни считаем правильным. Малый диапазон скоростей снижает маневренность огня танка. Выбор типа привода должен быть сделан после соответствующей работы по выявлению положительных и отрицательных сторон разных механизмов (механический, гидравлический).</w:t>
      </w:r>
    </w:p>
    <w:p w14:paraId="15F981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Указание на недостаточную начальную скорость пушки считаем правильным.</w:t>
      </w:r>
    </w:p>
    <w:p w14:paraId="1FEEB9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Резинометаллические гусеницы имеют целый ряд преимуществ (по сравнению с чисто метал</w:t>
      </w:r>
      <w:r w:rsidRPr="00271E51">
        <w:rPr>
          <w:rFonts w:ascii="Times New Roman" w:hAnsi="Times New Roman"/>
          <w:color w:val="000000" w:themeColor="text1"/>
          <w:sz w:val="16"/>
          <w:szCs w:val="16"/>
        </w:rPr>
        <w:softHyphen/>
        <w:t>лическими) — большая мягкость хода, отсутствие порчи дорог, бесшумность и т.д. Однако они имеют и ряд существенных недостатков — плохое сцепление с грунтом (следовательно, малый угол подъема танка, занос и т.д.), утяжеление траков, более сложную сборку, применение остродефицит</w:t>
      </w:r>
      <w:r w:rsidRPr="00271E51">
        <w:rPr>
          <w:rFonts w:ascii="Times New Roman" w:hAnsi="Times New Roman"/>
          <w:color w:val="000000" w:themeColor="text1"/>
          <w:sz w:val="16"/>
          <w:szCs w:val="16"/>
        </w:rPr>
        <w:softHyphen/>
        <w:t>ного каучука. Поэтому применение их на наших танках в настоящее время и в той форме, в какой они применяются американцами, считаем нецелесообразным.</w:t>
      </w:r>
    </w:p>
    <w:p w14:paraId="245DD6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Утяжеление гусениц по мотивам повышения снарядостойкости — бессмысленно.</w:t>
      </w:r>
    </w:p>
    <w:p w14:paraId="3EE812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по сравнению с другими частями и механизмами танка гусеничная цепь работает удовлетворительно.</w:t>
      </w:r>
    </w:p>
    <w:p w14:paraId="6825F0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Подвеска Т-34 по сравнению с торсионной подвеской КВ — значительно хуже. Замечание считать правильным.</w:t>
      </w:r>
    </w:p>
    <w:p w14:paraId="128A46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Мотор В-2 не является танковым двигателем как со стороны своих габаритов, так и надежно</w:t>
      </w:r>
      <w:r w:rsidRPr="00271E51">
        <w:rPr>
          <w:rFonts w:ascii="Times New Roman" w:hAnsi="Times New Roman"/>
          <w:color w:val="000000" w:themeColor="text1"/>
          <w:sz w:val="16"/>
          <w:szCs w:val="16"/>
        </w:rPr>
        <w:softHyphen/>
        <w:t>сти работы его отдельных механизмов (водяная помпа) и срока службы в целом.</w:t>
      </w:r>
    </w:p>
    <w:p w14:paraId="5DB647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Отрицательная оценка воздухоочистителя «Помон» правильна. Однако он у нас снят с произ</w:t>
      </w:r>
      <w:r w:rsidRPr="00271E51">
        <w:rPr>
          <w:rFonts w:ascii="Times New Roman" w:hAnsi="Times New Roman"/>
          <w:color w:val="000000" w:themeColor="text1"/>
          <w:sz w:val="16"/>
          <w:szCs w:val="16"/>
        </w:rPr>
        <w:softHyphen/>
        <w:t>водства и заменен другими типами, более совершенными («Циклон» и «Мультициклон»).</w:t>
      </w:r>
    </w:p>
    <w:p w14:paraId="34E352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Замечания о ненадежной работе электростартеров — правильны. (Пригорание контактов реле, разрегулировка установки)</w:t>
      </w:r>
    </w:p>
    <w:p w14:paraId="0FEA4C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Оценка наших трансмиссий правильна. Отставание в этой области наиболее разительно.</w:t>
      </w:r>
    </w:p>
    <w:p w14:paraId="2A8649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Указание на трудность управления машиной — правильно. Этому вопросу у нас не уделяется никакого внимания. На иностранных танках этот вопрос разрешен: синхронизаторы (уравнители), селектора, сервоустройства.</w:t>
      </w:r>
    </w:p>
    <w:p w14:paraId="7CC671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Бортовые фрикционы как механизм поворота танков устарели. Требуется переходить на более совершенные механизмы.</w:t>
      </w:r>
    </w:p>
    <w:p w14:paraId="640AB4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Указание на плохое качество сварки, вероятно, имеет чисто «эстетический» характер» - грубость шва.</w:t>
      </w:r>
    </w:p>
    <w:p w14:paraId="09C9D8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Кулиса танка Т-34 не является танковой кулисой. С ней можно мириться лишь для 4-скорост-ной коробки передач. Пользование ими требует привычки.</w:t>
      </w:r>
    </w:p>
    <w:p w14:paraId="1F8F32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Указание на большое число регулировок и их сложность абсолютно правильно и требует к себе внимания со стороны НКТП и бронетанкового управления.</w:t>
      </w:r>
    </w:p>
    <w:p w14:paraId="5381CC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данными замечаниями имеем следующее соображение по вопросу отечественного тан</w:t>
      </w:r>
      <w:r w:rsidRPr="00271E51">
        <w:rPr>
          <w:rFonts w:ascii="Times New Roman" w:hAnsi="Times New Roman"/>
          <w:color w:val="000000" w:themeColor="text1"/>
          <w:sz w:val="16"/>
          <w:szCs w:val="16"/>
        </w:rPr>
        <w:softHyphen/>
        <w:t>костроения. Опыт Второй мировой войны с бесспорной ясностью установил следующие тезисы;</w:t>
      </w:r>
    </w:p>
    <w:p w14:paraId="357E59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ходе войны возможно и необходимо перевооружение армии танковой техникой, не отстаю</w:t>
      </w:r>
      <w:r w:rsidRPr="00271E51">
        <w:rPr>
          <w:rFonts w:ascii="Times New Roman" w:hAnsi="Times New Roman"/>
          <w:color w:val="000000" w:themeColor="text1"/>
          <w:sz w:val="16"/>
          <w:szCs w:val="16"/>
        </w:rPr>
        <w:softHyphen/>
        <w:t>щей от танковой техники противника. Германская армия начала войну с легкими и средними танками, слабого бронирования и вооружения (Т-1, Т-П, Т-Ш, Т-1У) — броня 30 мм, пушка 37 мм. Разгром на Восточном фронте и встреча с нашими мощными танками (Т-34 и КВ) заставили ее перевооружиться.</w:t>
      </w:r>
    </w:p>
    <w:p w14:paraId="4B414A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Т-У, Т-У1 и «Фердинанд» - являются средними и тяжелыми танками, резко отличными от. танков первого периода войны.</w:t>
      </w:r>
    </w:p>
    <w:p w14:paraId="22E0A2F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Дальнейшее повышение калибра пушек связано с утяжелением машины вследствие увеличения габаритов. Увеличение веса машины неизбежно ведет к уменьшению массовости производства танков (отчеты с фронтов указывают на резкое уменьшение танкового парка врага). В связи с этим знамена</w:t>
      </w:r>
      <w:r w:rsidRPr="00271E51">
        <w:rPr>
          <w:rFonts w:ascii="Times New Roman" w:hAnsi="Times New Roman"/>
          <w:color w:val="000000" w:themeColor="text1"/>
          <w:sz w:val="16"/>
          <w:szCs w:val="16"/>
        </w:rPr>
        <w:softHyphen/>
        <w:t>тельно появление тяжелой самоходной артиллерии как средств обеспечения механизированных и тан</w:t>
      </w:r>
      <w:r w:rsidRPr="00271E51">
        <w:rPr>
          <w:rFonts w:ascii="Times New Roman" w:hAnsi="Times New Roman"/>
          <w:color w:val="000000" w:themeColor="text1"/>
          <w:sz w:val="16"/>
          <w:szCs w:val="16"/>
        </w:rPr>
        <w:softHyphen/>
        <w:t>ковых частей мощной артиллерийской поддержкой. Это снимает с танков часть огневых задач.</w:t>
      </w:r>
    </w:p>
    <w:p w14:paraId="1ED808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Маневренность танка является без сомнения важным дополнительным фактором (к броне и артиллерии) повышения боевых качеств машины, несмотря на явное превосходство Т-34 по удель</w:t>
      </w:r>
      <w:r w:rsidRPr="00271E51">
        <w:rPr>
          <w:rFonts w:ascii="Times New Roman" w:hAnsi="Times New Roman"/>
          <w:color w:val="000000" w:themeColor="text1"/>
          <w:sz w:val="16"/>
          <w:szCs w:val="16"/>
        </w:rPr>
        <w:softHyphen/>
        <w:t>ной мощности по сравнению с Т-Ш (18 и 15). Танк Т-Ш на местности более моторен: причиной этого является более совершенная трансмиссия и облегченное управление Т-Ш.</w:t>
      </w:r>
    </w:p>
    <w:p w14:paraId="60C69C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Тенденция современного танкостроения направлена к повышению веса танков. Это, как мы указывали выше, ведет к снижению массовости производства. (Отношение в производстве тяжелых и легких танков, вероятно, составляет что-нибудь около 1:10.)</w:t>
      </w:r>
    </w:p>
    <w:p w14:paraId="3E5E64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Снарядостойкость покупается за счет уменьшения количества машин.</w:t>
      </w:r>
    </w:p>
    <w:p w14:paraId="463467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количество и скорость — факторы, с которыми приходится считаться. На наш взгляд, не исключена возможность в дальнейшем появления легких танков, сравнительно слабо вооруженных (калибр 50 мм), но очень быстроходных машин, достаточно хорошо бронированных (50-60 тонн) и, главное, применяющихся в массовом количестве.</w:t>
      </w:r>
    </w:p>
    <w:p w14:paraId="636EFE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Опыт войны показал, что вопросам ремонта танка следует уделить больше внимания. Многие танковые бригады и корпуса существовали только благодаря хорошо организованному ремонту.</w:t>
      </w:r>
    </w:p>
    <w:p w14:paraId="341A13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Вопросы ремонта танка должны продумываться в первую очередь при создании машины. От конструктора зависит, как скоро танк вернется снова на поле боя после повреждения. В этом отношении большой интерес представляет тот факт, что даже американцы, имеющие суженный опыт войны, уделяют ремонтным вопросам большое внимание: усилием одного человека в течение нескольких минут из танка может быть выдвинут двигатель.</w:t>
      </w:r>
    </w:p>
    <w:p w14:paraId="677AAC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Обеспечивает ли наша система работы выполнение приведенных выше тезисов. На наш взгляд, нет. Для этого существует много причин. Главные из них следующие:</w:t>
      </w:r>
    </w:p>
    <w:p w14:paraId="683404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Чтобы не отставать от техники врага, необходима надежная информация. У нас ее нет (пере</w:t>
      </w:r>
      <w:r w:rsidRPr="00271E51">
        <w:rPr>
          <w:rFonts w:ascii="Times New Roman" w:hAnsi="Times New Roman"/>
          <w:color w:val="000000" w:themeColor="text1"/>
          <w:sz w:val="16"/>
          <w:szCs w:val="16"/>
        </w:rPr>
        <w:softHyphen/>
        <w:t>вооружение германской армии новыми танками прошло незамеченным).</w:t>
      </w:r>
    </w:p>
    <w:p w14:paraId="2E90B3E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Чтобы предвосхитить возможное появление у противника новых типов танков или отдельных механизмов, необходима широко развернутая научно-конструкторская работа. В настоящее время никакой серьезной научно-исследовательской работы нет.</w:t>
      </w:r>
    </w:p>
    <w:p w14:paraId="005337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Опытными цехами танковых заводов и опытными заводами (100) конструкторская работа не обеспечивается в достаточной мере. Обычно в противоречие вступает опытная работа и выполне</w:t>
      </w:r>
      <w:r w:rsidRPr="00271E51">
        <w:rPr>
          <w:rFonts w:ascii="Times New Roman" w:hAnsi="Times New Roman"/>
          <w:color w:val="000000" w:themeColor="text1"/>
          <w:sz w:val="16"/>
          <w:szCs w:val="16"/>
        </w:rPr>
        <w:softHyphen/>
        <w:t>ние плана. Заводские работники явно заинтересованы в первую очередь в обеспечении последнего. Отсутствие «задела» в создании новых конструкций не позволяет быстро переходить на внедрение опытных образцов. Доводка новых конструкций требует значительного времени, и естественно, что заводы охотнее придерживаются установившихся старых конструкций. Наличие хорошо отрабо</w:t>
      </w:r>
      <w:r w:rsidRPr="00271E51">
        <w:rPr>
          <w:rFonts w:ascii="Times New Roman" w:hAnsi="Times New Roman"/>
          <w:color w:val="000000" w:themeColor="text1"/>
          <w:sz w:val="16"/>
          <w:szCs w:val="16"/>
        </w:rPr>
        <w:softHyphen/>
        <w:t>танного «задела» сняло бы с заводов часть времени, требующегося на доводку.</w:t>
      </w:r>
    </w:p>
    <w:p w14:paraId="13834B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Нет единого научно-конструкторского центра. Усилия отдельных работников распылены по разным заводам и, на наш взгляд, работают не по единому плану.</w:t>
      </w:r>
    </w:p>
    <w:p w14:paraId="2EEEE9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Нет единого центра в системе БТ и МВ КА, в котором сосредотачивались бы все нити научной, конструкторской, информационной и тактической разработки вопросов танкостроения.</w:t>
      </w:r>
    </w:p>
    <w:p w14:paraId="1E8797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Наличие полигона ГБТУ играет недостаточно видную роль в обобщении и оценке суще</w:t>
      </w:r>
      <w:r w:rsidRPr="00271E51">
        <w:rPr>
          <w:rFonts w:ascii="Times New Roman" w:hAnsi="Times New Roman"/>
          <w:color w:val="000000" w:themeColor="text1"/>
          <w:sz w:val="16"/>
          <w:szCs w:val="16"/>
        </w:rPr>
        <w:softHyphen/>
        <w:t>ствующих машин, в обобщении опыта заграничного и отечественного танкостроения, откликаясь лишь на злободневные вопросы, и в испытании танков не имеет научно-разработанной методики. Богатейшие возможности полигона полностью не использованы.</w:t>
      </w:r>
    </w:p>
    <w:p w14:paraId="52CECC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Отсутствует достаточное количество научно-подготовленных кадров как в системе НКТП, так и БТ и МВ КА.</w:t>
      </w:r>
    </w:p>
    <w:p w14:paraId="62968B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Предложения.</w:t>
      </w:r>
    </w:p>
    <w:p w14:paraId="4471F3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избежание в ближайшее время отставания нашего танкостроения от танкостроения союзни</w:t>
      </w:r>
      <w:r w:rsidRPr="00271E51">
        <w:rPr>
          <w:rFonts w:ascii="Times New Roman" w:hAnsi="Times New Roman"/>
          <w:color w:val="000000" w:themeColor="text1"/>
          <w:sz w:val="16"/>
          <w:szCs w:val="16"/>
        </w:rPr>
        <w:softHyphen/>
        <w:t>ков и противника следует провести следующие мероприятия.</w:t>
      </w:r>
    </w:p>
    <w:p w14:paraId="628EE5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Создание при командующем БТ и МВ Красной Армии технического комитета, занимающе</w:t>
      </w:r>
      <w:r w:rsidRPr="00271E51">
        <w:rPr>
          <w:rFonts w:ascii="Times New Roman" w:hAnsi="Times New Roman"/>
          <w:color w:val="000000" w:themeColor="text1"/>
          <w:sz w:val="16"/>
          <w:szCs w:val="16"/>
        </w:rPr>
        <w:softHyphen/>
        <w:t>гося вопросами обобщения опыта зарубежного и отечественного танкостроения, дающего направ</w:t>
      </w:r>
      <w:r w:rsidRPr="00271E51">
        <w:rPr>
          <w:rFonts w:ascii="Times New Roman" w:hAnsi="Times New Roman"/>
          <w:color w:val="000000" w:themeColor="text1"/>
          <w:sz w:val="16"/>
          <w:szCs w:val="16"/>
        </w:rPr>
        <w:softHyphen/>
        <w:t>ление в развитии наших танков, планирующего научно-конструкторскую и испытательную работу, обеспечивающего связь с Генштабом по вопросам развития и направления техники, собирающего и обрабатывающего информацию.</w:t>
      </w:r>
    </w:p>
    <w:p w14:paraId="1F13B3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научно-исследовательского института с конструкторской и производственной базой, разрабатывающего проблемные вопросы танкостроения и отрабатывающего новые конструкции, для быстрейшего внедрения их в массовое производство.</w:t>
      </w:r>
    </w:p>
    <w:p w14:paraId="51CFC7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Перестроить работу полигона, нацелив ее на систематизацию материала, полученного от испытания машин, обязав полигон разработать строго научную методику испытаний.</w:t>
      </w:r>
    </w:p>
    <w:p w14:paraId="2B2A6C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системе академии расширить институт адъюнктуры, готовящей научные кадры для полиго</w:t>
      </w:r>
      <w:r w:rsidRPr="00271E51">
        <w:rPr>
          <w:rFonts w:ascii="Times New Roman" w:hAnsi="Times New Roman"/>
          <w:color w:val="000000" w:themeColor="text1"/>
          <w:sz w:val="16"/>
          <w:szCs w:val="16"/>
        </w:rPr>
        <w:softHyphen/>
        <w:t>на, академии, управлений и т.д. Предложение 2. Учитывая трудности военного времени, как первоочередные задачи сегодняшнего дня предлагаем:</w:t>
      </w:r>
    </w:p>
    <w:p w14:paraId="1594B5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Приступить к внедрению двухступенчатого механизма поворота.</w:t>
      </w:r>
    </w:p>
    <w:p w14:paraId="0500BE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Разработать и ввести в массовое производство уравнители в КПП (синхронизаторы) хотя бы для КПП 34-й машины.</w:t>
      </w:r>
    </w:p>
    <w:p w14:paraId="089A60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Разработать и реализовать сервоуправление, облегчающее управление танками.</w:t>
      </w:r>
    </w:p>
    <w:p w14:paraId="257489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Ускорить опытную работу над электротрансмиссией и сделать окончательные выводы.</w:t>
      </w:r>
    </w:p>
    <w:p w14:paraId="02D0C6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Уделить серьезное внимание вопросам планетарной трансмиссии. Особое мнение генерал-майора инженерно-танковой службы т. Груздева. (Относительно легкого танка). Легкий танк будет легким по броне и мощным по вооружению.</w:t>
      </w:r>
    </w:p>
    <w:p w14:paraId="1E655E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Выступление инженер-подполковника т. Сыч.</w:t>
      </w:r>
    </w:p>
    <w:p w14:paraId="31E2BD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Т-34 и КВ мы начинали делать в 1938 году. Американцы дают им оценку в 1943 году. Естественно, в настоящее время подметить отдельные недочеты наших танков легко. Полигон под</w:t>
      </w:r>
      <w:r w:rsidRPr="00271E51">
        <w:rPr>
          <w:rFonts w:ascii="Times New Roman" w:hAnsi="Times New Roman"/>
          <w:color w:val="000000" w:themeColor="text1"/>
          <w:sz w:val="16"/>
          <w:szCs w:val="16"/>
        </w:rPr>
        <w:softHyphen/>
        <w:t>работал свои замечания по качеству отдельных агрегатов и механизмов танков Т-34 и КВ.</w:t>
      </w:r>
    </w:p>
    <w:p w14:paraId="6279B3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механизма поворота башни</w:t>
      </w:r>
    </w:p>
    <w:p w14:paraId="71E110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во всех отношениях не соответствует своему назначению, например:</w:t>
      </w:r>
    </w:p>
    <w:p w14:paraId="6233A1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 помощью мотора невозможно навести пушку на цель хотя бы приблизительно, так как он имеет только две ступени скорости, причем пониженная скорость не является рабочей. Следовательно, мотор вращает башню рывками и на большой скорости.</w:t>
      </w:r>
    </w:p>
    <w:p w14:paraId="71D874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Мотор питается от стартерных аккумуляторов, потребляя при этом ток порядка 80-100 ампер. Такая нагрузка для аккумуляторов является значительной с точки зрения расходования емкости с вытекающими отсюда последствиями — невозможности потом завести двигатель.</w:t>
      </w:r>
    </w:p>
    <w:p w14:paraId="180CF0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Выступление генерал-майора ИТС Огурцова Н. С.</w:t>
      </w:r>
    </w:p>
    <w:p w14:paraId="438512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Американцы дают неверные, завышенные данные для нашей 76-мм танковой пушки </w:t>
      </w:r>
      <w:r w:rsidRPr="00271E51">
        <w:rPr>
          <w:rFonts w:ascii="Times New Roman" w:hAnsi="Times New Roman"/>
          <w:smallCaps/>
          <w:color w:val="000000" w:themeColor="text1"/>
          <w:sz w:val="16"/>
          <w:szCs w:val="16"/>
        </w:rPr>
        <w:t>у</w:t>
      </w:r>
      <w:r w:rsidRPr="00271E51">
        <w:rPr>
          <w:rFonts w:ascii="Times New Roman" w:hAnsi="Times New Roman"/>
          <w:smallCaps/>
          <w:color w:val="000000" w:themeColor="text1"/>
          <w:sz w:val="16"/>
          <w:szCs w:val="16"/>
          <w:vertAlign w:val="subscript"/>
        </w:rPr>
        <w:t>о</w:t>
      </w:r>
      <w:r w:rsidRPr="00271E51">
        <w:rPr>
          <w:rFonts w:ascii="Times New Roman" w:hAnsi="Times New Roman"/>
          <w:color w:val="000000" w:themeColor="text1"/>
          <w:sz w:val="16"/>
          <w:szCs w:val="16"/>
        </w:rPr>
        <w:t xml:space="preserve">= 3200 ф/с (или 970 м/с), тогда как в действительности наша пушка имеет </w:t>
      </w:r>
      <w:r w:rsidRPr="00271E51">
        <w:rPr>
          <w:rFonts w:ascii="Times New Roman" w:hAnsi="Times New Roman"/>
          <w:smallCaps/>
          <w:color w:val="000000" w:themeColor="text1"/>
          <w:sz w:val="16"/>
          <w:szCs w:val="16"/>
        </w:rPr>
        <w:t>у</w:t>
      </w:r>
      <w:r w:rsidRPr="00271E51">
        <w:rPr>
          <w:rFonts w:ascii="Times New Roman" w:hAnsi="Times New Roman"/>
          <w:smallCaps/>
          <w:color w:val="000000" w:themeColor="text1"/>
          <w:sz w:val="16"/>
          <w:szCs w:val="16"/>
          <w:vertAlign w:val="subscript"/>
        </w:rPr>
        <w:t>о</w:t>
      </w:r>
      <w:r w:rsidRPr="00271E51">
        <w:rPr>
          <w:rFonts w:ascii="Times New Roman" w:hAnsi="Times New Roman"/>
          <w:color w:val="000000" w:themeColor="text1"/>
          <w:sz w:val="16"/>
          <w:szCs w:val="16"/>
        </w:rPr>
        <w:t>= 680 м/с. По их данным американская 3" пушка имеет У</w:t>
      </w:r>
      <w:r w:rsidRPr="00271E51">
        <w:rPr>
          <w:rFonts w:ascii="Times New Roman" w:hAnsi="Times New Roman"/>
          <w:color w:val="000000" w:themeColor="text1"/>
          <w:sz w:val="16"/>
          <w:szCs w:val="16"/>
          <w:vertAlign w:val="subscript"/>
        </w:rPr>
        <w:t>0</w:t>
      </w:r>
      <w:r w:rsidRPr="00271E51">
        <w:rPr>
          <w:rFonts w:ascii="Times New Roman" w:hAnsi="Times New Roman"/>
          <w:color w:val="000000" w:themeColor="text1"/>
          <w:sz w:val="16"/>
          <w:szCs w:val="16"/>
        </w:rPr>
        <w:t xml:space="preserve"> = 5700 ф/с или 1730 м/с, что мало вероятно при всех ее хороших качествах.</w:t>
      </w:r>
    </w:p>
    <w:p w14:paraId="6329E2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замечание американцев верно, что наша 76-мм пушка нуждается в увеличении началь</w:t>
      </w:r>
      <w:r w:rsidRPr="00271E51">
        <w:rPr>
          <w:rFonts w:ascii="Times New Roman" w:hAnsi="Times New Roman"/>
          <w:color w:val="000000" w:themeColor="text1"/>
          <w:sz w:val="16"/>
          <w:szCs w:val="16"/>
        </w:rPr>
        <w:softHyphen/>
        <w:t>ной скорости, поскольку она должна остаться на Т-34.</w:t>
      </w:r>
    </w:p>
    <w:p w14:paraId="58F31F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в части увеличения У</w:t>
      </w:r>
      <w:r w:rsidRPr="00271E51">
        <w:rPr>
          <w:rFonts w:ascii="Times New Roman" w:hAnsi="Times New Roman"/>
          <w:color w:val="000000" w:themeColor="text1"/>
          <w:sz w:val="16"/>
          <w:szCs w:val="16"/>
          <w:vertAlign w:val="subscript"/>
        </w:rPr>
        <w:t>0</w:t>
      </w:r>
      <w:r w:rsidRPr="00271E51">
        <w:rPr>
          <w:rFonts w:ascii="Times New Roman" w:hAnsi="Times New Roman"/>
          <w:color w:val="000000" w:themeColor="text1"/>
          <w:sz w:val="16"/>
          <w:szCs w:val="16"/>
        </w:rPr>
        <w:t xml:space="preserve"> заменить ствол Ф-34 стволом от зенитной пушки, улучшить плотность заряжания и, что очень важно, - это улучшить качество наших бронебойных снарядов. Из опыта известно, что немцы, американцы и англичане головную часть бронебойного снаряда специ</w:t>
      </w:r>
      <w:r w:rsidRPr="00271E51">
        <w:rPr>
          <w:rFonts w:ascii="Times New Roman" w:hAnsi="Times New Roman"/>
          <w:color w:val="000000" w:themeColor="text1"/>
          <w:sz w:val="16"/>
          <w:szCs w:val="16"/>
        </w:rPr>
        <w:softHyphen/>
        <w:t>ально закаливают и улучшают форму головной части. При обстреле брони из нашей 76-мм пушки-,снаряд ее не пробивал, но ту же плиту пробивали снаряды американских пушек того же калибра, даже с меньшей начальной скоростью.</w:t>
      </w:r>
    </w:p>
    <w:p w14:paraId="01FBDD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 бронебойный снаряд колется при встрече с броней. В отношении увеличения </w:t>
      </w:r>
      <w:r w:rsidRPr="00271E51">
        <w:rPr>
          <w:rFonts w:ascii="Times New Roman" w:hAnsi="Times New Roman"/>
          <w:smallCaps/>
          <w:color w:val="000000" w:themeColor="text1"/>
          <w:sz w:val="16"/>
          <w:szCs w:val="16"/>
        </w:rPr>
        <w:t>у</w:t>
      </w:r>
      <w:r w:rsidRPr="00271E51">
        <w:rPr>
          <w:rFonts w:ascii="Times New Roman" w:hAnsi="Times New Roman"/>
          <w:smallCaps/>
          <w:color w:val="000000" w:themeColor="text1"/>
          <w:sz w:val="16"/>
          <w:szCs w:val="16"/>
          <w:vertAlign w:val="subscript"/>
        </w:rPr>
        <w:t>о</w:t>
      </w:r>
      <w:r w:rsidRPr="00271E51">
        <w:rPr>
          <w:rFonts w:ascii="Times New Roman" w:hAnsi="Times New Roman"/>
          <w:color w:val="000000" w:themeColor="text1"/>
          <w:sz w:val="16"/>
          <w:szCs w:val="16"/>
        </w:rPr>
        <w:t>и калибра наших танковых пушек мы идем впереди союзников (85 мм и другие системы).</w:t>
      </w:r>
    </w:p>
    <w:p w14:paraId="366355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Американцы хвалят наши прицелы типа ТМФ и ПТ-4 — верно, что они хороши, но мы сами ими недовольны, их надо упростить и удешевить.</w:t>
      </w:r>
    </w:p>
    <w:p w14:paraId="1BE682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наши прицелы имеют поле зрения, затемняемое ненужными шкалами, как то СГ, ДГ, Шр, ДТ (4 шкалы и шкала боковых поправок).</w:t>
      </w:r>
    </w:p>
    <w:p w14:paraId="75351D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Отечественной войны старая граната давно израсходована, шрапнелью из танка почти не стреляют, но шкалы в прицелах остались для этих снарядов. Необходимо в поле зрения наших прицелов оставить шкалы:</w:t>
      </w:r>
    </w:p>
    <w:p w14:paraId="11A6BF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Дальнобойной гранаты;</w:t>
      </w:r>
    </w:p>
    <w:p w14:paraId="450B84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Пулемета;</w:t>
      </w:r>
    </w:p>
    <w:p w14:paraId="65D403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Шкалу боковых поправок упростить по типу немецких (треугольники справа и слева от перекрестия);</w:t>
      </w:r>
    </w:p>
    <w:p w14:paraId="1193C6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Механизм боковых поправок, как дорогой и трудоемкий в производстве, упростить или совсем исключить;</w:t>
      </w:r>
    </w:p>
    <w:p w14:paraId="6D2BA5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Улучшить оптику прицелов, герметизацию их.</w:t>
      </w:r>
    </w:p>
    <w:p w14:paraId="3E7939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 старый пулемет ДТ необходимо заменить на новый более прочный и скорострельный. Мы знаем из практики, что после 2-3 длинных очередей пулемет «плюет», т.е. разброс пуль так велик и пули летят так неправильно, что на щите пули ложатся плашмя.</w:t>
      </w:r>
    </w:p>
    <w:p w14:paraId="4BAA61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Нам необходимо заменить ДТ на ГВГ или типа английского В5А, простой и прочный. Помимо этого, надо в спарке с пушкой ставить не один пулемет, а 2, как у </w:t>
      </w:r>
      <w:r w:rsidRPr="00271E51">
        <w:rPr>
          <w:rFonts w:ascii="Times New Roman" w:hAnsi="Times New Roman"/>
          <w:color w:val="000000" w:themeColor="text1"/>
          <w:sz w:val="16"/>
          <w:szCs w:val="16"/>
        </w:rPr>
        <w:lastRenderedPageBreak/>
        <w:t>немецких танков Т-3.</w:t>
      </w:r>
    </w:p>
    <w:p w14:paraId="625D27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в 1940 году был возбужден вопрос о вентиляции в боевом отделении танка и продувке кана</w:t>
      </w:r>
      <w:r w:rsidRPr="00271E51">
        <w:rPr>
          <w:rFonts w:ascii="Times New Roman" w:hAnsi="Times New Roman"/>
          <w:color w:val="000000" w:themeColor="text1"/>
          <w:sz w:val="16"/>
          <w:szCs w:val="16"/>
        </w:rPr>
        <w:softHyphen/>
        <w:t>ла пушки после выстрела, однако этому не придали значения, а некоторые даже к этому отнеслись с иронией. Нам подсказывает практика, и в данное время ГБТУ КА пришло к старой мысли продувки ствола, но с большим запозданием. Однако и это хорошо, но это надо довести до конца и потребовать от промышленности не ограничиваться полумерами.</w:t>
      </w:r>
    </w:p>
    <w:p w14:paraId="2AAEEA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Механизм выстрела. Необходимо ножные педали заменить электровыстрелом (без капсульной втулки), располагая кнопку выстрела из пушки на штурвале подъемного механизма, а кнопку выстрела пулемета на штурвале поворотного механизма. Ручной спуск (рычажный) оставить, как запасный (аварийный).</w:t>
      </w:r>
    </w:p>
    <w:p w14:paraId="1369B1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Обзорность танка. В этом отношении даже наши враги говорят, что наши танки слепые. Это не было новостью еще до войны. И только на 3-м году войны начали ставить командирскую башенку, но и то идем нерешительно в этом. Надо такую же башенку ставить на самоходах.</w:t>
      </w:r>
    </w:p>
    <w:p w14:paraId="58C249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необходимо у стреляющего сделать открывающуюся дверцу с триплексом, чтобы на короткое время приоткрыв эту дверцу, можно быстро ориентироваться в бою и обнаружить цели.</w:t>
      </w:r>
    </w:p>
    <w:p w14:paraId="3088D9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Зенитное вооружение танка у нас отсутствует. Считаю, что на 1/3 танкового парка надо иметь зенитные пулеметные штыревые установки для отражения атак пикирующих самолетов. Тоже необходимо сделать и на СУ.</w:t>
      </w:r>
    </w:p>
    <w:p w14:paraId="0D0C24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Аварийный люк не годен. Чтобы его открыть в критическую минуту, надо затратить много времени. А когда придется выходить через этот люк, то этого не удастся сделать, если танк стоит в снегу или топ</w:t>
      </w:r>
      <w:r w:rsidRPr="00271E51">
        <w:rPr>
          <w:rFonts w:ascii="Times New Roman" w:hAnsi="Times New Roman"/>
          <w:color w:val="000000" w:themeColor="text1"/>
          <w:sz w:val="16"/>
          <w:szCs w:val="16"/>
        </w:rPr>
        <w:softHyphen/>
        <w:t>ком месте, на пашне. Надо аварийный люк сделать в боковой стенке боевого отделения (колодце).</w:t>
      </w:r>
    </w:p>
    <w:p w14:paraId="25E3A3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Если артиллерийская система и снаряд совершенствуются, то броня танка качественно не улучшается (или улучшается крайне медленно), а главным образом танкисты стремятся защитить танк, утолщая листы брони. Этому есть предел, придет время, когда танк станет мало подвижен и поэтому потеряет один из важных своих элементов — маневренность. Надо решительно заняться качественным улучшением брони, оставляя те же толщины, которые мы имеем, или их уменьшая, но ни в коем случае не увеличивая. Этим надо заниматься в академии, на заводах и ТУ. Кроме того, чтобы не утяжелять вес танка, следует отказаться от равноценной бронировки танка по толщине плит.</w:t>
      </w:r>
    </w:p>
    <w:p w14:paraId="28F88A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 оружие наступательное, поэтому самая сильная броня должна быть лобовая, башни и менее сильная — бортов и кормы.</w:t>
      </w:r>
    </w:p>
    <w:p w14:paraId="61F1F2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Окалину брони с внутренней стороны надо очищать (снимать), так как при попадании снаряда в корпус танка, даже если броня не пробита, то ранение членов экипажа имеет место отлетающей от внутренних стенок брони окалиной. Это особенно массово происходит в летнее время, когда экипа</w:t>
      </w:r>
      <w:r w:rsidRPr="00271E51">
        <w:rPr>
          <w:rFonts w:ascii="Times New Roman" w:hAnsi="Times New Roman"/>
          <w:color w:val="000000" w:themeColor="text1"/>
          <w:sz w:val="16"/>
          <w:szCs w:val="16"/>
        </w:rPr>
        <w:softHyphen/>
        <w:t>жи имеют на себе только летнее обмундирование.</w:t>
      </w:r>
    </w:p>
    <w:p w14:paraId="19E867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танкистов. Размеры люков ограничены, зимой трудно влезать в танк, но еще неприятнее, когда, пролезая через люк, задирается шинель (полушубок) по голове ударяет противо</w:t>
      </w:r>
      <w:r w:rsidRPr="00271E51">
        <w:rPr>
          <w:rFonts w:ascii="Times New Roman" w:hAnsi="Times New Roman"/>
          <w:color w:val="000000" w:themeColor="text1"/>
          <w:sz w:val="16"/>
          <w:szCs w:val="16"/>
        </w:rPr>
        <w:softHyphen/>
        <w:t>газ, зацепляется револьвер и пр. Надо для танкиста личное вооружение принять типа английского танкиста. (Револьвер пристегивается к голени правой ноги).</w:t>
      </w:r>
    </w:p>
    <w:p w14:paraId="03E243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Боевое отделение тесное, работать можно с трудом — от этого уменьшается скорострельность наших артсистем. Говорят, что диаметр погона дальше не может быть увеличен. Это верно для тан</w:t>
      </w:r>
      <w:r w:rsidRPr="00271E51">
        <w:rPr>
          <w:rFonts w:ascii="Times New Roman" w:hAnsi="Times New Roman"/>
          <w:color w:val="000000" w:themeColor="text1"/>
          <w:sz w:val="16"/>
          <w:szCs w:val="16"/>
        </w:rPr>
        <w:softHyphen/>
        <w:t>ков застывших форм. Но если мы танки вооружаем большими артсистемами, то в тех же башнях теснота не уменьшится, а увеличится. Значит надо искать пути увеличения диаметра погона в про</w:t>
      </w:r>
      <w:r w:rsidRPr="00271E51">
        <w:rPr>
          <w:rFonts w:ascii="Times New Roman" w:hAnsi="Times New Roman"/>
          <w:color w:val="000000" w:themeColor="text1"/>
          <w:sz w:val="16"/>
          <w:szCs w:val="16"/>
        </w:rPr>
        <w:softHyphen/>
        <w:t>свете за счет увеличения ширины танка.</w:t>
      </w:r>
    </w:p>
    <w:p w14:paraId="1A3B58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Герметизация люков танка — неудовлетворительная. Даже дождь проникает через щели. Надо потребовать лучшей герметизации от поставщиков - заводов.</w:t>
      </w:r>
    </w:p>
    <w:p w14:paraId="71CC72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Внутренняя отделка танка — нет надобности говорить о сравнении отделки боевого отделения американского танка и нашего. Везде и во всем сквозит спешка, низкая культура обработки, техно</w:t>
      </w:r>
      <w:r w:rsidRPr="00271E51">
        <w:rPr>
          <w:rFonts w:ascii="Times New Roman" w:hAnsi="Times New Roman"/>
          <w:color w:val="000000" w:themeColor="text1"/>
          <w:sz w:val="16"/>
          <w:szCs w:val="16"/>
        </w:rPr>
        <w:softHyphen/>
        <w:t>логии, небрежность и т.д.</w:t>
      </w:r>
    </w:p>
    <w:p w14:paraId="4B44C6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конечном итоге — острые углы, не защищенные места брони — все это увеличивает количество травматических повреждений, а плохая обработка деталей — лишние задержки, поломки и пр.</w:t>
      </w:r>
    </w:p>
    <w:p w14:paraId="288763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в танке иметь надписи везде, где это возможно и нужно.</w:t>
      </w:r>
    </w:p>
    <w:p w14:paraId="6D0F27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Сидения должны быть регулируемые по высоте и горизонту и обязательно со спинками.</w:t>
      </w:r>
    </w:p>
    <w:p w14:paraId="79616F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Там, где боец соприкасается с острыми углами, необходимо их прикрыть мягкими покрытиями и т.д.</w:t>
      </w:r>
    </w:p>
    <w:p w14:paraId="29FCBD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Поворотный механизм башни — плохой, мотор горит, берет много электроэнергии, работает с рывками, а на крене танка мотор выходит из строя. Для поворота башни вручную надо приложить большие усилия, а на крене танка человеческих сил не хватает. Наши башни увеличились в весе, поворотные механизмы остались старые. Надо немедленно ставить новый тип механизма поворота башни — электромеханический или гидропневматический, используя американские и немецкие механизмы поворота башни.</w:t>
      </w:r>
    </w:p>
    <w:p w14:paraId="5FF26F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мощности электроэнергии танка. Мы должны менять поворотный механизм башни, вводить электромеханические спуски, стабилизацию орудия и т.д.</w:t>
      </w:r>
    </w:p>
    <w:p w14:paraId="729AD0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мы без этого ощущаем недостаток мощности электроэнергии танка, то при постановке какого-либо одного агрегата из перечисленных мы впадаем в противоположность.</w:t>
      </w:r>
    </w:p>
    <w:p w14:paraId="384F50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сейчас же принять меры к увеличению мощности электроэнергии наших танков в 3-5 раз.</w:t>
      </w:r>
    </w:p>
    <w:p w14:paraId="55D5BD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Иметь в ТУ ГБТУ КА артиллерийский отдел, который должен совершенствовать оружие и б/о танков.</w:t>
      </w:r>
    </w:p>
    <w:tbl>
      <w:tblPr>
        <w:tblW w:w="0" w:type="auto"/>
        <w:tblInd w:w="40" w:type="dxa"/>
        <w:tblLayout w:type="fixed"/>
        <w:tblCellMar>
          <w:left w:w="40" w:type="dxa"/>
          <w:right w:w="40" w:type="dxa"/>
        </w:tblCellMar>
        <w:tblLook w:val="0000" w:firstRow="0" w:lastRow="0" w:firstColumn="0" w:lastColumn="0" w:noHBand="0" w:noVBand="0"/>
      </w:tblPr>
      <w:tblGrid>
        <w:gridCol w:w="3619"/>
        <w:gridCol w:w="1776"/>
        <w:gridCol w:w="2006"/>
        <w:gridCol w:w="2026"/>
      </w:tblGrid>
      <w:tr w:rsidR="00A907A5" w:rsidRPr="00271E51" w14:paraId="4F5E2991" w14:textId="77777777" w:rsidTr="00ED5B0A">
        <w:trPr>
          <w:trHeight w:val="173"/>
        </w:trPr>
        <w:tc>
          <w:tcPr>
            <w:tcW w:w="3619" w:type="dxa"/>
            <w:tcBorders>
              <w:top w:val="single" w:sz="6" w:space="0" w:color="auto"/>
              <w:left w:val="single" w:sz="6" w:space="0" w:color="auto"/>
              <w:bottom w:val="single" w:sz="6" w:space="0" w:color="auto"/>
              <w:right w:val="single" w:sz="6" w:space="0" w:color="auto"/>
            </w:tcBorders>
          </w:tcPr>
          <w:p w14:paraId="03DB94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DFEB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E4A14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Т-34</w:t>
            </w:r>
          </w:p>
          <w:p w14:paraId="3B0792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C91E2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КВ-1С</w:t>
            </w:r>
          </w:p>
          <w:p w14:paraId="73B63C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1310C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М4А2</w:t>
            </w:r>
          </w:p>
          <w:p w14:paraId="41AE1B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648D76" w14:textId="77777777" w:rsidTr="00ED5B0A">
        <w:trPr>
          <w:trHeight w:val="192"/>
        </w:trPr>
        <w:tc>
          <w:tcPr>
            <w:tcW w:w="3619" w:type="dxa"/>
            <w:tcBorders>
              <w:top w:val="single" w:sz="6" w:space="0" w:color="auto"/>
              <w:left w:val="single" w:sz="6" w:space="0" w:color="auto"/>
              <w:bottom w:val="nil"/>
              <w:right w:val="single" w:sz="6" w:space="0" w:color="auto"/>
            </w:tcBorders>
          </w:tcPr>
          <w:p w14:paraId="6A6D6F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 в нише башни</w:t>
            </w:r>
          </w:p>
          <w:p w14:paraId="0365DF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7639A3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1C4B00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046B41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ДТ калибра 7,62</w:t>
            </w:r>
          </w:p>
          <w:p w14:paraId="21C22A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30D665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2C0DB1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AEA5AD" w14:textId="77777777" w:rsidTr="00ED5B0A">
        <w:trPr>
          <w:trHeight w:val="202"/>
        </w:trPr>
        <w:tc>
          <w:tcPr>
            <w:tcW w:w="3619" w:type="dxa"/>
            <w:tcBorders>
              <w:top w:val="nil"/>
              <w:left w:val="single" w:sz="6" w:space="0" w:color="auto"/>
              <w:bottom w:val="nil"/>
              <w:right w:val="single" w:sz="6" w:space="0" w:color="auto"/>
            </w:tcBorders>
          </w:tcPr>
          <w:p w14:paraId="4093BA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Зенитный пулемет</w:t>
            </w:r>
          </w:p>
          <w:p w14:paraId="7E58BB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2D1D7E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5F78C7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37904E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3614D0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577D33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Браунинг 12,7</w:t>
            </w:r>
          </w:p>
          <w:p w14:paraId="7926B3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8B265D" w14:textId="77777777" w:rsidTr="00ED5B0A">
        <w:trPr>
          <w:trHeight w:val="202"/>
        </w:trPr>
        <w:tc>
          <w:tcPr>
            <w:tcW w:w="3619" w:type="dxa"/>
            <w:tcBorders>
              <w:top w:val="nil"/>
              <w:left w:val="single" w:sz="6" w:space="0" w:color="auto"/>
              <w:bottom w:val="nil"/>
              <w:right w:val="single" w:sz="6" w:space="0" w:color="auto"/>
            </w:tcBorders>
          </w:tcPr>
          <w:p w14:paraId="3316B6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Вертикальный угол</w:t>
            </w:r>
          </w:p>
          <w:p w14:paraId="09582F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171770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93A0D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433742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9EC08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2F1DD5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w:t>
            </w:r>
          </w:p>
          <w:p w14:paraId="268976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75CC2D" w14:textId="77777777" w:rsidTr="00ED5B0A">
        <w:trPr>
          <w:trHeight w:val="202"/>
        </w:trPr>
        <w:tc>
          <w:tcPr>
            <w:tcW w:w="3619" w:type="dxa"/>
            <w:tcBorders>
              <w:top w:val="nil"/>
              <w:left w:val="single" w:sz="6" w:space="0" w:color="auto"/>
              <w:bottom w:val="nil"/>
              <w:right w:val="single" w:sz="6" w:space="0" w:color="auto"/>
            </w:tcBorders>
          </w:tcPr>
          <w:p w14:paraId="2F4B63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Горизонтальный угол</w:t>
            </w:r>
          </w:p>
          <w:p w14:paraId="7A3400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380FEC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5F49C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2433EB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6EF1B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4DFEB1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3EF217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AF3C66" w14:textId="77777777" w:rsidTr="00ED5B0A">
        <w:trPr>
          <w:trHeight w:val="173"/>
        </w:trPr>
        <w:tc>
          <w:tcPr>
            <w:tcW w:w="3619" w:type="dxa"/>
            <w:tcBorders>
              <w:top w:val="nil"/>
              <w:left w:val="single" w:sz="6" w:space="0" w:color="auto"/>
              <w:bottom w:val="single" w:sz="6" w:space="0" w:color="auto"/>
              <w:right w:val="single" w:sz="6" w:space="0" w:color="auto"/>
            </w:tcBorders>
          </w:tcPr>
          <w:p w14:paraId="0A26D2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Пистолет-автомат</w:t>
            </w:r>
          </w:p>
          <w:p w14:paraId="0E5EF3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6BA1BE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371A32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02FEEC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08BED5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1C1432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Томпсон 11,43</w:t>
            </w:r>
          </w:p>
          <w:p w14:paraId="4DEE07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576F2C" w14:textId="77777777" w:rsidTr="00ED5B0A">
        <w:trPr>
          <w:trHeight w:val="202"/>
        </w:trPr>
        <w:tc>
          <w:tcPr>
            <w:tcW w:w="3619" w:type="dxa"/>
            <w:tcBorders>
              <w:top w:val="single" w:sz="6" w:space="0" w:color="auto"/>
              <w:left w:val="single" w:sz="6" w:space="0" w:color="auto"/>
              <w:bottom w:val="nil"/>
              <w:right w:val="single" w:sz="6" w:space="0" w:color="auto"/>
            </w:tcBorders>
          </w:tcPr>
          <w:p w14:paraId="40ACF8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Скорострельность (прицельная)</w:t>
            </w:r>
          </w:p>
          <w:p w14:paraId="46BCE8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5837E4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2F7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054AA3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9F6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30EB3F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FE0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7D7EA8" w14:textId="77777777" w:rsidTr="00ED5B0A">
        <w:trPr>
          <w:trHeight w:val="182"/>
        </w:trPr>
        <w:tc>
          <w:tcPr>
            <w:tcW w:w="3619" w:type="dxa"/>
            <w:tcBorders>
              <w:top w:val="nil"/>
              <w:left w:val="single" w:sz="6" w:space="0" w:color="auto"/>
              <w:bottom w:val="nil"/>
              <w:right w:val="single" w:sz="6" w:space="0" w:color="auto"/>
            </w:tcBorders>
          </w:tcPr>
          <w:p w14:paraId="5F50C9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F1B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10AFFE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 в/мин</w:t>
            </w:r>
          </w:p>
          <w:p w14:paraId="4AB439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F0F19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 в/мин</w:t>
            </w:r>
          </w:p>
          <w:p w14:paraId="0140E5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31C3BB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18-20 в/мин</w:t>
            </w:r>
          </w:p>
          <w:p w14:paraId="3CFD1E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ADBC79" w14:textId="77777777" w:rsidTr="00ED5B0A">
        <w:trPr>
          <w:trHeight w:val="192"/>
        </w:trPr>
        <w:tc>
          <w:tcPr>
            <w:tcW w:w="3619" w:type="dxa"/>
            <w:tcBorders>
              <w:top w:val="nil"/>
              <w:left w:val="single" w:sz="6" w:space="0" w:color="auto"/>
              <w:bottom w:val="nil"/>
              <w:right w:val="single" w:sz="6" w:space="0" w:color="auto"/>
            </w:tcBorders>
          </w:tcPr>
          <w:p w14:paraId="4A70E4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места</w:t>
            </w:r>
          </w:p>
          <w:p w14:paraId="67FF8F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52382A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в/мин</w:t>
            </w:r>
          </w:p>
          <w:p w14:paraId="4FBBC4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163F9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 в/мин</w:t>
            </w:r>
          </w:p>
          <w:p w14:paraId="23703C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23D92B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3,87 в/мин</w:t>
            </w:r>
          </w:p>
          <w:p w14:paraId="5D55CD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A01FE8" w14:textId="77777777" w:rsidTr="00ED5B0A">
        <w:trPr>
          <w:trHeight w:val="211"/>
        </w:trPr>
        <w:tc>
          <w:tcPr>
            <w:tcW w:w="3619" w:type="dxa"/>
            <w:tcBorders>
              <w:top w:val="nil"/>
              <w:left w:val="single" w:sz="6" w:space="0" w:color="auto"/>
              <w:bottom w:val="nil"/>
              <w:right w:val="single" w:sz="6" w:space="0" w:color="auto"/>
            </w:tcBorders>
          </w:tcPr>
          <w:p w14:paraId="072448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Схода</w:t>
            </w:r>
          </w:p>
          <w:p w14:paraId="15FD0D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280041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2CCCD4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48FD92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42EC97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096A8C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5,17 в/мин</w:t>
            </w:r>
          </w:p>
          <w:p w14:paraId="579F19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75CBC8" w14:textId="77777777" w:rsidTr="00ED5B0A">
        <w:trPr>
          <w:trHeight w:val="211"/>
        </w:trPr>
        <w:tc>
          <w:tcPr>
            <w:tcW w:w="3619" w:type="dxa"/>
            <w:tcBorders>
              <w:top w:val="nil"/>
              <w:left w:val="single" w:sz="6" w:space="0" w:color="auto"/>
              <w:bottom w:val="nil"/>
              <w:right w:val="single" w:sz="6" w:space="0" w:color="auto"/>
            </w:tcBorders>
          </w:tcPr>
          <w:p w14:paraId="52F4B3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стабилизатором</w:t>
            </w:r>
          </w:p>
          <w:p w14:paraId="109982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6C32B3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Вб-0,3 м Вв-0,3</w:t>
            </w:r>
          </w:p>
          <w:p w14:paraId="70245DE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3E3411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Вб-0,3 м Вв-0,3</w:t>
            </w:r>
          </w:p>
          <w:p w14:paraId="6E963B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147BB6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Вб-0,13мтВв-0,19</w:t>
            </w:r>
          </w:p>
          <w:p w14:paraId="690AEE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EC1755" w14:textId="77777777" w:rsidTr="00ED5B0A">
        <w:trPr>
          <w:trHeight w:val="173"/>
        </w:trPr>
        <w:tc>
          <w:tcPr>
            <w:tcW w:w="3619" w:type="dxa"/>
            <w:tcBorders>
              <w:top w:val="nil"/>
              <w:left w:val="single" w:sz="6" w:space="0" w:color="auto"/>
              <w:bottom w:val="single" w:sz="6" w:space="0" w:color="auto"/>
              <w:right w:val="single" w:sz="6" w:space="0" w:color="auto"/>
            </w:tcBorders>
          </w:tcPr>
          <w:p w14:paraId="3917B2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Кучность боя с Д-1000 м</w:t>
            </w:r>
          </w:p>
          <w:p w14:paraId="5D378D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372E07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EF05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1BB366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17B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1E7C12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AFB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555886" w14:textId="77777777" w:rsidTr="00ED5B0A">
        <w:trPr>
          <w:trHeight w:val="250"/>
        </w:trPr>
        <w:tc>
          <w:tcPr>
            <w:tcW w:w="3619" w:type="dxa"/>
            <w:tcBorders>
              <w:top w:val="single" w:sz="6" w:space="0" w:color="auto"/>
              <w:left w:val="single" w:sz="6" w:space="0" w:color="auto"/>
              <w:bottom w:val="nil"/>
              <w:right w:val="single" w:sz="6" w:space="0" w:color="auto"/>
            </w:tcBorders>
          </w:tcPr>
          <w:p w14:paraId="3347DB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w:t>
            </w:r>
          </w:p>
          <w:p w14:paraId="66ACD8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0FFD43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77-100</w:t>
            </w:r>
          </w:p>
          <w:p w14:paraId="020E16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71939C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46E6EE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245C8B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 шт.</w:t>
            </w:r>
          </w:p>
          <w:p w14:paraId="0D6622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011D00" w14:textId="77777777" w:rsidTr="00ED5B0A">
        <w:trPr>
          <w:trHeight w:val="192"/>
        </w:trPr>
        <w:tc>
          <w:tcPr>
            <w:tcW w:w="3619" w:type="dxa"/>
            <w:tcBorders>
              <w:top w:val="nil"/>
              <w:left w:val="single" w:sz="6" w:space="0" w:color="auto"/>
              <w:bottom w:val="nil"/>
              <w:right w:val="single" w:sz="6" w:space="0" w:color="auto"/>
            </w:tcBorders>
          </w:tcPr>
          <w:p w14:paraId="3F31E2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выстрела</w:t>
            </w:r>
          </w:p>
          <w:p w14:paraId="77C735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304CFC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w:t>
            </w:r>
          </w:p>
          <w:p w14:paraId="147869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6A687E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p w14:paraId="45D27E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373AF3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7500 шт.</w:t>
            </w:r>
          </w:p>
          <w:p w14:paraId="6B8EA9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242FB8" w14:textId="77777777" w:rsidTr="00ED5B0A">
        <w:trPr>
          <w:trHeight w:val="202"/>
        </w:trPr>
        <w:tc>
          <w:tcPr>
            <w:tcW w:w="3619" w:type="dxa"/>
            <w:tcBorders>
              <w:top w:val="nil"/>
              <w:left w:val="single" w:sz="6" w:space="0" w:color="auto"/>
              <w:bottom w:val="nil"/>
              <w:right w:val="single" w:sz="6" w:space="0" w:color="auto"/>
            </w:tcBorders>
          </w:tcPr>
          <w:p w14:paraId="54C26D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выстрела</w:t>
            </w:r>
          </w:p>
          <w:p w14:paraId="420010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178B1A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4E847F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4C2803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362808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38CF76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шт.</w:t>
            </w:r>
          </w:p>
          <w:p w14:paraId="09F29A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D9ADB7" w14:textId="77777777" w:rsidTr="00ED5B0A">
        <w:trPr>
          <w:trHeight w:val="202"/>
        </w:trPr>
        <w:tc>
          <w:tcPr>
            <w:tcW w:w="3619" w:type="dxa"/>
            <w:tcBorders>
              <w:top w:val="nil"/>
              <w:left w:val="single" w:sz="6" w:space="0" w:color="auto"/>
              <w:bottom w:val="nil"/>
              <w:right w:val="single" w:sz="6" w:space="0" w:color="auto"/>
            </w:tcBorders>
          </w:tcPr>
          <w:p w14:paraId="764776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12,7-мм выстрела</w:t>
            </w:r>
          </w:p>
          <w:p w14:paraId="2E875E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1A51A4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491EE7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41ACD8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p w14:paraId="1F0847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1BA3B3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 шт.</w:t>
            </w:r>
          </w:p>
          <w:p w14:paraId="7234C7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750CFF" w14:textId="77777777" w:rsidTr="00ED5B0A">
        <w:trPr>
          <w:trHeight w:val="125"/>
        </w:trPr>
        <w:tc>
          <w:tcPr>
            <w:tcW w:w="3619" w:type="dxa"/>
            <w:tcBorders>
              <w:top w:val="nil"/>
              <w:left w:val="single" w:sz="6" w:space="0" w:color="auto"/>
              <w:bottom w:val="single" w:sz="6" w:space="0" w:color="auto"/>
              <w:right w:val="single" w:sz="6" w:space="0" w:color="auto"/>
            </w:tcBorders>
          </w:tcPr>
          <w:p w14:paraId="52EA38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43-м м выстрела</w:t>
            </w:r>
          </w:p>
          <w:p w14:paraId="7E91B2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367C30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ED7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1841F8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D5B3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624ACF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F725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5FC8EE" w14:textId="77777777" w:rsidTr="00ED5B0A">
        <w:trPr>
          <w:trHeight w:val="384"/>
        </w:trPr>
        <w:tc>
          <w:tcPr>
            <w:tcW w:w="3619" w:type="dxa"/>
            <w:tcBorders>
              <w:top w:val="single" w:sz="6" w:space="0" w:color="auto"/>
              <w:left w:val="single" w:sz="6" w:space="0" w:color="auto"/>
              <w:bottom w:val="nil"/>
              <w:right w:val="single" w:sz="6" w:space="0" w:color="auto"/>
            </w:tcBorders>
          </w:tcPr>
          <w:p w14:paraId="738047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Обзорность танков</w:t>
            </w:r>
          </w:p>
          <w:p w14:paraId="1B4815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377248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845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7380DE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604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604322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EE9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739A51" w14:textId="77777777" w:rsidTr="00ED5B0A">
        <w:trPr>
          <w:trHeight w:val="288"/>
        </w:trPr>
        <w:tc>
          <w:tcPr>
            <w:tcW w:w="3619" w:type="dxa"/>
            <w:tcBorders>
              <w:top w:val="nil"/>
              <w:left w:val="single" w:sz="6" w:space="0" w:color="auto"/>
              <w:bottom w:val="nil"/>
              <w:right w:val="single" w:sz="6" w:space="0" w:color="auto"/>
            </w:tcBorders>
          </w:tcPr>
          <w:p w14:paraId="2EAC1C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танка</w:t>
            </w:r>
          </w:p>
          <w:p w14:paraId="1BC253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09083F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ПТ-7-26°ТОП-16°</w:t>
            </w:r>
          </w:p>
          <w:p w14:paraId="1C85E5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57C294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см приборов команд.</w:t>
            </w:r>
          </w:p>
          <w:p w14:paraId="5EBD53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20358A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Перископ - 360°</w:t>
            </w:r>
          </w:p>
          <w:p w14:paraId="411158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33113F" w14:textId="77777777" w:rsidTr="00ED5B0A">
        <w:trPr>
          <w:trHeight w:val="230"/>
        </w:trPr>
        <w:tc>
          <w:tcPr>
            <w:tcW w:w="3619" w:type="dxa"/>
            <w:tcBorders>
              <w:top w:val="nil"/>
              <w:left w:val="single" w:sz="6" w:space="0" w:color="auto"/>
              <w:bottom w:val="nil"/>
              <w:right w:val="single" w:sz="6" w:space="0" w:color="auto"/>
            </w:tcBorders>
          </w:tcPr>
          <w:p w14:paraId="5AF3F4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E6CD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405716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FE14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1974D8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башенки - 360°</w:t>
            </w:r>
          </w:p>
          <w:p w14:paraId="32AF20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0390AF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405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5B5BDE" w14:textId="77777777" w:rsidTr="00ED5B0A">
        <w:trPr>
          <w:trHeight w:val="365"/>
        </w:trPr>
        <w:tc>
          <w:tcPr>
            <w:tcW w:w="3619" w:type="dxa"/>
            <w:tcBorders>
              <w:top w:val="nil"/>
              <w:left w:val="single" w:sz="6" w:space="0" w:color="auto"/>
              <w:bottom w:val="nil"/>
              <w:right w:val="single" w:sz="6" w:space="0" w:color="auto"/>
            </w:tcBorders>
          </w:tcPr>
          <w:p w14:paraId="4329A7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орудия</w:t>
            </w:r>
          </w:p>
          <w:p w14:paraId="30043A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2D3C48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 щель 5</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80 мм</w:t>
            </w:r>
          </w:p>
          <w:p w14:paraId="7CABA6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6029BB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ПТ-7-26°ТОП-16°</w:t>
            </w:r>
          </w:p>
          <w:p w14:paraId="3C0208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350E01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Прицел - 45°</w:t>
            </w:r>
          </w:p>
          <w:p w14:paraId="7554D4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3B3762" w14:textId="77777777" w:rsidTr="00ED5B0A">
        <w:trPr>
          <w:trHeight w:val="115"/>
        </w:trPr>
        <w:tc>
          <w:tcPr>
            <w:tcW w:w="3619" w:type="dxa"/>
            <w:tcBorders>
              <w:top w:val="nil"/>
              <w:left w:val="single" w:sz="6" w:space="0" w:color="auto"/>
              <w:bottom w:val="nil"/>
              <w:right w:val="single" w:sz="6" w:space="0" w:color="auto"/>
            </w:tcBorders>
          </w:tcPr>
          <w:p w14:paraId="15E037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D053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343275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DAA3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4BC84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 щель</w:t>
            </w:r>
          </w:p>
          <w:p w14:paraId="7F3074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00F71F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5CC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19C271" w14:textId="77777777" w:rsidTr="00ED5B0A">
        <w:trPr>
          <w:trHeight w:val="278"/>
        </w:trPr>
        <w:tc>
          <w:tcPr>
            <w:tcW w:w="3619" w:type="dxa"/>
            <w:tcBorders>
              <w:top w:val="nil"/>
              <w:left w:val="single" w:sz="6" w:space="0" w:color="auto"/>
              <w:bottom w:val="nil"/>
              <w:right w:val="single" w:sz="6" w:space="0" w:color="auto"/>
            </w:tcBorders>
          </w:tcPr>
          <w:p w14:paraId="6FC8AB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Заряжающий</w:t>
            </w:r>
          </w:p>
          <w:p w14:paraId="005782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382981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 щель 5&gt;&lt;80 мм</w:t>
            </w:r>
          </w:p>
          <w:p w14:paraId="2B4B19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B0C85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перископических см.</w:t>
            </w:r>
          </w:p>
          <w:p w14:paraId="2A60C2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5D0B5D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Перископ - 180°</w:t>
            </w:r>
          </w:p>
          <w:p w14:paraId="1819E9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919C0D" w14:textId="77777777" w:rsidTr="00ED5B0A">
        <w:trPr>
          <w:trHeight w:val="394"/>
        </w:trPr>
        <w:tc>
          <w:tcPr>
            <w:tcW w:w="3619" w:type="dxa"/>
            <w:tcBorders>
              <w:top w:val="nil"/>
              <w:left w:val="single" w:sz="6" w:space="0" w:color="auto"/>
              <w:bottom w:val="single" w:sz="6" w:space="0" w:color="auto"/>
              <w:right w:val="single" w:sz="6" w:space="0" w:color="auto"/>
            </w:tcBorders>
          </w:tcPr>
          <w:p w14:paraId="38452A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1улеметчик</w:t>
            </w:r>
          </w:p>
          <w:p w14:paraId="508EFF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18F672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Диоптр, прицелы 3°</w:t>
            </w:r>
          </w:p>
          <w:p w14:paraId="419DB9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5ADD48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прибора Диоптр, прицелы 3°</w:t>
            </w:r>
          </w:p>
          <w:p w14:paraId="7624F2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02885F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Перископ - 180°</w:t>
            </w:r>
          </w:p>
          <w:p w14:paraId="44BA8B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5197BB" w14:textId="77777777" w:rsidTr="00ED5B0A">
        <w:trPr>
          <w:trHeight w:val="163"/>
        </w:trPr>
        <w:tc>
          <w:tcPr>
            <w:tcW w:w="3619" w:type="dxa"/>
            <w:tcBorders>
              <w:top w:val="single" w:sz="6" w:space="0" w:color="auto"/>
              <w:left w:val="single" w:sz="6" w:space="0" w:color="auto"/>
              <w:bottom w:val="nil"/>
              <w:right w:val="single" w:sz="6" w:space="0" w:color="auto"/>
            </w:tcBorders>
          </w:tcPr>
          <w:p w14:paraId="441C7D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Маневренность огня</w:t>
            </w:r>
          </w:p>
          <w:p w14:paraId="13F956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5F68C1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B32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2" w:type="dxa"/>
            <w:gridSpan w:val="2"/>
            <w:tcBorders>
              <w:top w:val="single" w:sz="6" w:space="0" w:color="auto"/>
              <w:left w:val="single" w:sz="6" w:space="0" w:color="auto"/>
              <w:bottom w:val="single" w:sz="6" w:space="0" w:color="auto"/>
              <w:right w:val="single" w:sz="6" w:space="0" w:color="auto"/>
            </w:tcBorders>
          </w:tcPr>
          <w:p w14:paraId="1E67FD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пушка, спаренная с пулеметом 7,62 мм</w:t>
            </w:r>
          </w:p>
          <w:p w14:paraId="167F439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54F8F8" w14:textId="77777777" w:rsidTr="00ED5B0A">
        <w:trPr>
          <w:trHeight w:val="134"/>
        </w:trPr>
        <w:tc>
          <w:tcPr>
            <w:tcW w:w="3619" w:type="dxa"/>
            <w:tcBorders>
              <w:top w:val="nil"/>
              <w:left w:val="single" w:sz="6" w:space="0" w:color="auto"/>
              <w:bottom w:val="nil"/>
              <w:right w:val="single" w:sz="6" w:space="0" w:color="auto"/>
            </w:tcBorders>
          </w:tcPr>
          <w:p w14:paraId="7436B5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DED8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0D2A6B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7DA3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01F070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464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2969EA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83F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612F8A" w14:textId="77777777" w:rsidTr="00ED5B0A">
        <w:trPr>
          <w:trHeight w:val="134"/>
        </w:trPr>
        <w:tc>
          <w:tcPr>
            <w:tcW w:w="3619" w:type="dxa"/>
            <w:tcBorders>
              <w:top w:val="nil"/>
              <w:left w:val="single" w:sz="6" w:space="0" w:color="auto"/>
              <w:bottom w:val="nil"/>
              <w:right w:val="single" w:sz="6" w:space="0" w:color="auto"/>
            </w:tcBorders>
          </w:tcPr>
          <w:p w14:paraId="7FE01A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5A54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4B676B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31°+27;-4</w:t>
            </w:r>
          </w:p>
          <w:p w14:paraId="59852A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64BB56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22°+ 1&amp;, -4</w:t>
            </w:r>
          </w:p>
          <w:p w14:paraId="01E7A2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2E5686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35°+25; -10</w:t>
            </w:r>
          </w:p>
          <w:p w14:paraId="486EF2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31D37E" w14:textId="77777777" w:rsidTr="00ED5B0A">
        <w:trPr>
          <w:trHeight w:val="182"/>
        </w:trPr>
        <w:tc>
          <w:tcPr>
            <w:tcW w:w="3619" w:type="dxa"/>
            <w:tcBorders>
              <w:top w:val="nil"/>
              <w:left w:val="single" w:sz="6" w:space="0" w:color="auto"/>
              <w:bottom w:val="nil"/>
              <w:right w:val="single" w:sz="6" w:space="0" w:color="auto"/>
            </w:tcBorders>
          </w:tcPr>
          <w:p w14:paraId="2269A6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Вертикальный угол</w:t>
            </w:r>
          </w:p>
          <w:p w14:paraId="4A2B7F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01D896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17'</w:t>
            </w:r>
          </w:p>
          <w:p w14:paraId="6D0BAA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38940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17'</w:t>
            </w:r>
          </w:p>
          <w:p w14:paraId="737E25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49820B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12'</w:t>
            </w:r>
          </w:p>
          <w:p w14:paraId="1CEDF7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01C220" w14:textId="77777777" w:rsidTr="00ED5B0A">
        <w:trPr>
          <w:trHeight w:val="221"/>
        </w:trPr>
        <w:tc>
          <w:tcPr>
            <w:tcW w:w="3619" w:type="dxa"/>
            <w:tcBorders>
              <w:top w:val="nil"/>
              <w:left w:val="single" w:sz="6" w:space="0" w:color="auto"/>
              <w:bottom w:val="nil"/>
              <w:right w:val="single" w:sz="6" w:space="0" w:color="auto"/>
            </w:tcBorders>
          </w:tcPr>
          <w:p w14:paraId="428B72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вертикальной наводки за 1 оборот</w:t>
            </w:r>
          </w:p>
          <w:p w14:paraId="7ABFD6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2CA21B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6201E6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7DF4C3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31FDAB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6BA13E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23E0E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EA576E" w14:textId="77777777" w:rsidTr="00ED5B0A">
        <w:trPr>
          <w:trHeight w:val="182"/>
        </w:trPr>
        <w:tc>
          <w:tcPr>
            <w:tcW w:w="3619" w:type="dxa"/>
            <w:tcBorders>
              <w:top w:val="nil"/>
              <w:left w:val="single" w:sz="6" w:space="0" w:color="auto"/>
              <w:bottom w:val="nil"/>
              <w:right w:val="single" w:sz="6" w:space="0" w:color="auto"/>
            </w:tcBorders>
          </w:tcPr>
          <w:p w14:paraId="6980F0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"оризонтальный угол</w:t>
            </w:r>
          </w:p>
          <w:p w14:paraId="1290DB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5A37EF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p w14:paraId="2EDBC1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3F96B4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p w14:paraId="13A116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25D6A9B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p w14:paraId="37399A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AB843E" w14:textId="77777777" w:rsidTr="00ED5B0A">
        <w:trPr>
          <w:trHeight w:val="230"/>
        </w:trPr>
        <w:tc>
          <w:tcPr>
            <w:tcW w:w="3619" w:type="dxa"/>
            <w:tcBorders>
              <w:top w:val="nil"/>
              <w:left w:val="single" w:sz="6" w:space="0" w:color="auto"/>
              <w:bottom w:val="nil"/>
              <w:right w:val="single" w:sz="6" w:space="0" w:color="auto"/>
            </w:tcBorders>
          </w:tcPr>
          <w:p w14:paraId="3428F2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горизонт, наводки за 1 оборот</w:t>
            </w:r>
          </w:p>
          <w:p w14:paraId="21F576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60DAB7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сек -360°</w:t>
            </w:r>
          </w:p>
          <w:p w14:paraId="41D13C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nil"/>
              <w:right w:val="single" w:sz="6" w:space="0" w:color="auto"/>
            </w:tcBorders>
          </w:tcPr>
          <w:p w14:paraId="131940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сек - 360°</w:t>
            </w:r>
          </w:p>
          <w:p w14:paraId="4AD23A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nil"/>
              <w:right w:val="single" w:sz="6" w:space="0" w:color="auto"/>
            </w:tcBorders>
          </w:tcPr>
          <w:p w14:paraId="7E15A0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сек -360°</w:t>
            </w:r>
          </w:p>
          <w:p w14:paraId="1EB2C1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B47726" w14:textId="77777777" w:rsidTr="00ED5B0A">
        <w:trPr>
          <w:trHeight w:val="125"/>
        </w:trPr>
        <w:tc>
          <w:tcPr>
            <w:tcW w:w="3619" w:type="dxa"/>
            <w:tcBorders>
              <w:top w:val="nil"/>
              <w:left w:val="single" w:sz="6" w:space="0" w:color="auto"/>
              <w:bottom w:val="single" w:sz="6" w:space="0" w:color="auto"/>
              <w:right w:val="single" w:sz="6" w:space="0" w:color="auto"/>
            </w:tcBorders>
          </w:tcPr>
          <w:p w14:paraId="30FD24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горизонт, наводки электроприв.</w:t>
            </w:r>
          </w:p>
          <w:p w14:paraId="7A7C83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15DB6A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6AF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38CF1C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7B74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273053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1AE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651CF0" w14:textId="77777777" w:rsidTr="00ED5B0A">
        <w:trPr>
          <w:trHeight w:val="173"/>
        </w:trPr>
        <w:tc>
          <w:tcPr>
            <w:tcW w:w="3619" w:type="dxa"/>
            <w:tcBorders>
              <w:top w:val="single" w:sz="6" w:space="0" w:color="auto"/>
              <w:left w:val="single" w:sz="6" w:space="0" w:color="auto"/>
              <w:bottom w:val="nil"/>
              <w:right w:val="single" w:sz="6" w:space="0" w:color="auto"/>
            </w:tcBorders>
          </w:tcPr>
          <w:p w14:paraId="4B4BD5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Вертикальный угол</w:t>
            </w:r>
          </w:p>
          <w:p w14:paraId="3749A0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nil"/>
              <w:right w:val="single" w:sz="6" w:space="0" w:color="auto"/>
            </w:tcBorders>
          </w:tcPr>
          <w:p w14:paraId="1E8C3B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p w14:paraId="04DE0C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2" w:type="dxa"/>
            <w:gridSpan w:val="2"/>
            <w:tcBorders>
              <w:top w:val="single" w:sz="6" w:space="0" w:color="auto"/>
              <w:left w:val="single" w:sz="6" w:space="0" w:color="auto"/>
              <w:bottom w:val="single" w:sz="6" w:space="0" w:color="auto"/>
              <w:right w:val="single" w:sz="6" w:space="0" w:color="auto"/>
            </w:tcBorders>
          </w:tcPr>
          <w:p w14:paraId="55A471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 лобовой 7,62 мм</w:t>
            </w:r>
          </w:p>
          <w:p w14:paraId="20A1C7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D1835A" w14:textId="77777777" w:rsidTr="00ED5B0A">
        <w:trPr>
          <w:trHeight w:val="154"/>
        </w:trPr>
        <w:tc>
          <w:tcPr>
            <w:tcW w:w="3619" w:type="dxa"/>
            <w:tcBorders>
              <w:top w:val="nil"/>
              <w:left w:val="single" w:sz="6" w:space="0" w:color="auto"/>
              <w:bottom w:val="nil"/>
              <w:right w:val="single" w:sz="6" w:space="0" w:color="auto"/>
            </w:tcBorders>
          </w:tcPr>
          <w:p w14:paraId="37142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4A6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nil"/>
              <w:right w:val="single" w:sz="6" w:space="0" w:color="auto"/>
            </w:tcBorders>
          </w:tcPr>
          <w:p w14:paraId="6DED3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20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single" w:sz="6" w:space="0" w:color="auto"/>
              <w:left w:val="single" w:sz="6" w:space="0" w:color="auto"/>
              <w:bottom w:val="nil"/>
              <w:right w:val="single" w:sz="6" w:space="0" w:color="auto"/>
            </w:tcBorders>
          </w:tcPr>
          <w:p w14:paraId="7B737D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p w14:paraId="18A25D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nil"/>
              <w:right w:val="single" w:sz="6" w:space="0" w:color="auto"/>
            </w:tcBorders>
          </w:tcPr>
          <w:p w14:paraId="27D7EB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p w14:paraId="216BAC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ACCD84" w14:textId="77777777" w:rsidTr="00ED5B0A">
        <w:trPr>
          <w:trHeight w:val="240"/>
        </w:trPr>
        <w:tc>
          <w:tcPr>
            <w:tcW w:w="3619" w:type="dxa"/>
            <w:tcBorders>
              <w:top w:val="nil"/>
              <w:left w:val="single" w:sz="6" w:space="0" w:color="auto"/>
              <w:bottom w:val="single" w:sz="6" w:space="0" w:color="auto"/>
              <w:right w:val="single" w:sz="6" w:space="0" w:color="auto"/>
            </w:tcBorders>
          </w:tcPr>
          <w:p w14:paraId="12A8DA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Горизонтальный угол</w:t>
            </w:r>
          </w:p>
          <w:p w14:paraId="72DBF2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nil"/>
              <w:left w:val="single" w:sz="6" w:space="0" w:color="auto"/>
              <w:bottom w:val="single" w:sz="6" w:space="0" w:color="auto"/>
              <w:right w:val="single" w:sz="6" w:space="0" w:color="auto"/>
            </w:tcBorders>
          </w:tcPr>
          <w:p w14:paraId="7B025F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p w14:paraId="252544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6" w:type="dxa"/>
            <w:tcBorders>
              <w:top w:val="nil"/>
              <w:left w:val="single" w:sz="6" w:space="0" w:color="auto"/>
              <w:bottom w:val="single" w:sz="6" w:space="0" w:color="auto"/>
              <w:right w:val="single" w:sz="6" w:space="0" w:color="auto"/>
            </w:tcBorders>
          </w:tcPr>
          <w:p w14:paraId="21C2F0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w:t>
            </w:r>
          </w:p>
          <w:p w14:paraId="4E9A92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nil"/>
              <w:left w:val="single" w:sz="6" w:space="0" w:color="auto"/>
              <w:bottom w:val="single" w:sz="6" w:space="0" w:color="auto"/>
              <w:right w:val="single" w:sz="6" w:space="0" w:color="auto"/>
            </w:tcBorders>
          </w:tcPr>
          <w:p w14:paraId="1B052E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0C863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A54F0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360т. Л. 1-6,23-29. Подлинник (11403).</w:t>
      </w:r>
    </w:p>
    <w:p w14:paraId="77999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BC109"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на ст. Голутвин Рязанской ж.д. с эстакады в два эшелона была проведена погрузка артполка корпусной артиллерии с матчастью, в который для проведения фронтовых испытаний поступили тягачи Я-12 (машины №№ 0007-0033 и № 0064) (5744, 30):</w:t>
      </w:r>
    </w:p>
    <w:p w14:paraId="58A95700"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сосредоточении к месту погрузки и за время погрузки прошли следующие аварии:</w:t>
      </w:r>
    </w:p>
    <w:p w14:paraId="737B87F1"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наезде тягача № 0019 на путевой шлагбаум - разбит радиатор;</w:t>
      </w:r>
    </w:p>
    <w:p w14:paraId="651B2CCC"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 арттягача № 0028 разрушены подшипники ведущей шестерни главной передачи;</w:t>
      </w:r>
    </w:p>
    <w:p w14:paraId="5E927EE0"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арттягаче № 0008 сожжены накладки ферродо тормозных лент;</w:t>
      </w:r>
    </w:p>
    <w:p w14:paraId="351A3F60"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тягаче № 0011 сломан прижимной диск главного фрикциона (5743, 14).</w:t>
      </w:r>
    </w:p>
    <w:p w14:paraId="4AFE2436"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Эшелоны двигались до станции назначения - Великие Луки двигались в течение месяца. Все это время, особенно на длительных остановках эшелонов, было использовано для интенсивного обучения водителей тягачей вождению и заводке моторов в холодное время года (5744, 30).</w:t>
      </w:r>
    </w:p>
    <w:p w14:paraId="12BFF965"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F5F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вышло Распоряжение ГКО № 4418 [О сдаче НКСМ 100 двухосных автоприцепов Советскому транспортному управлению в Иране.] (7150, 110).</w:t>
      </w:r>
    </w:p>
    <w:p w14:paraId="53A29E5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14E3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вышло Постановление ГКО № 4419 [О возвращении НКВМФ 4 судов Каспийскому пароходству и выделении 2 буксиров и 2 барж для перевозки импортных грузов из Ирана.] (7150, 111).</w:t>
      </w:r>
    </w:p>
    <w:p w14:paraId="674363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58DA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вышло Постановление ГКО № 4420 О материально-техническом обеспечении подшипниковых заводов Наркомсредмаша в IV квартале 1943 г.РГАНИР, Фонд ГКО, д. 167, лл. 112-125, 126-148 (11012).</w:t>
      </w:r>
    </w:p>
    <w:p w14:paraId="2EBEC7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3FA6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вышло Распоряжение ГКО № 4421 [О распространении на предприятия НКСМ отсрочки от призыва работников 1926 года рождения, имеющих квалификацию 3-го разряда и выше.] (7150, 149).</w:t>
      </w:r>
    </w:p>
    <w:p w14:paraId="7BA9658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9D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Балтийцы закончили ремонт эсминца "Славный" (10671).</w:t>
      </w:r>
    </w:p>
    <w:p w14:paraId="0BC09C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50780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51A69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43144"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25 октября </w:t>
      </w:r>
      <w:r w:rsidRPr="00271E51">
        <w:rPr>
          <w:rFonts w:ascii="Times New Roman" w:hAnsi="Times New Roman"/>
          <w:color w:val="000000" w:themeColor="text1"/>
          <w:sz w:val="16"/>
          <w:szCs w:val="16"/>
        </w:rPr>
        <w:t>в 1943 году оперативная сводка Совинформбюро:</w:t>
      </w:r>
    </w:p>
    <w:p w14:paraId="55F2D25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3-го Украинского фронта при решающем содействии с фланга войск 2-гоУкраинского фронта 25 октября с боями овладели областным центром Украины городом Днепропетровск, городом Днепродзержинск, а также заняли более 40 других населённых пунктов, среди которых крупные населённые пункты Романково, Семёновка, Новосёлова, Ильинка, Тритузная, Таранское, Карнауховское, Сухачёвка, Краснополье, Лоц-Каменка, Кайдаки, Антоновка, Звонецкий, Калиновка, Вовниги и железнодорожные станции Воскобойня, Баглей, Сухачёвка, Войцехово.</w:t>
      </w:r>
    </w:p>
    <w:p w14:paraId="5F7D6A1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города Мелитополь войска 4-го Украинского фронта, продолжая расширять прорыв обороны противника, овладели сильно укреплёнными опорными пунктами Ново-Николаевка, Чехоград, Дармштадт, Дмитровка, Радионовка.</w:t>
      </w:r>
    </w:p>
    <w:p w14:paraId="695BDD8D"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продолжая наступление, продвинулисьна отдельных участках вперёд от 5 до 8 километров и заняли несколько населённых пунктов, среди которых крупные населённые пункты Степановка, Ново-Светлополь, Измайловка, Пустельников, Грузька, Ингулецкий, Глиеватка, Дубова Балка, Тепловка, Казыдубы и железнодорожные станции Королёвка, Адамовский.</w:t>
      </w:r>
    </w:p>
    <w:p w14:paraId="044F6B54"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артиллерийско-миномётнаяперестрелка.</w:t>
      </w:r>
    </w:p>
    <w:p w14:paraId="75D527B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октября наши войска на всех фронтах подбили и уничтожили 105 немецких танков. В воздушных боях и огнём зенитной артиллерии сбито 49 самолётов противника.</w:t>
      </w:r>
    </w:p>
    <w:p w14:paraId="0D618C2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Наши войска сегодня овладели областным центром Украины городом Днепропетровск. Одновременно занят другой крупный узел обороны немцев на правом берегу Днепра город Днепродзержинск. Противник в течение ряда месяцев укреплял Днепропетровск. На западном берегу Днепра были построены многочисленные бетонированные доты и дзоты, отрыты окопы полного профиля. Город обороняли крупные силы немцев, располагавшие мощной военной техникой. Бойцы Н-ского соединения, форсировав Днепр и обтекая Днепропетровск с запада, после ожесточённых боёв выбили немцев из населённых пунктов Сухачёвка, Диевка 1-ая и Диевка </w:t>
      </w:r>
      <w:r w:rsidRPr="00271E51">
        <w:rPr>
          <w:rFonts w:ascii="Times New Roman" w:hAnsi="Times New Roman"/>
          <w:color w:val="000000" w:themeColor="text1"/>
          <w:sz w:val="16"/>
          <w:szCs w:val="16"/>
        </w:rPr>
        <w:lastRenderedPageBreak/>
        <w:t>2-ая. В это же время наши гвардейские части переправились через Днепр юго-восточнее Днепропетровска, заняли населённые пункты Кайдаки, Лоц-Каменка и, наступая с юга, создали угрозу полного окружения города. Немцы не выдержали сосредоточенных ударов советских войск, и их оборона была деморализована. Сегодня наши бойцы штурмом заняли города Днепропетровск и Днепродзержинск. Захвачены огромные трофеи: много орудий, пулемётов, миномётов, подвижной состав, большое количество складов с боеприпасами, продовольствием, инженерным и другим военным имуществом.</w:t>
      </w:r>
    </w:p>
    <w:p w14:paraId="724A3A3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города Мелитополь наши войска в результате ожесточённых боёв прорвали второй сильно укрепленный оборонительный рубеж противника, построенный вдоль железной дороги Мелитополь — Крым. Сломив сопротивление немцев, советские части заняли опорные пункты Чехоград, Дармштадт, Дмитровку и другие. В боях за эти населённые пункты противник понёс огромные потери. По неполным данным, истреблено свыше 2.000 немецких солдат и офицеров. Подбито и уничтожено 53 немецких танка, 8 самоходных и 46 полевых орудий, 43 миномёта, 142 пулемёта, 120 автомашин и 2 склада с боеприпасами. Взято 160 пленных. Нашими войсками захвачены большие трофеи, в числе которых 62 вагона с вооружением ибоеприпасами, 25 орудий, много винтовок и автоматов.</w:t>
      </w:r>
    </w:p>
    <w:p w14:paraId="24A904FD"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11 немецких самолётов. Кроме того, 7 немецких самолётов уничтожены на аэродроме противника.</w:t>
      </w:r>
    </w:p>
    <w:p w14:paraId="033114B0"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Противник непрерывно подводит новые силы и пытается задержать продвижение советских частей. На одном участке немцы предприняли восемь контратак, но понесли большие потери и под ударами наших войск в беспорядке отступили. На поле боя осталось 22 сгоревших танка и сотни трупов солдат и офицеров противника. На другом участке советские танкисты разгромили полк немецкой мотопехоты и заняли несколько населённых пунктов. Захвачены пленные и трофеи.</w:t>
      </w:r>
    </w:p>
    <w:p w14:paraId="0CF34EF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самолётами флота потоплен транспорт противника водоизмещением в 6.000 тонн.</w:t>
      </w:r>
    </w:p>
    <w:p w14:paraId="6D287DC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украинских партизан, действующий в Каменец-Подольской области, запоследнюю неделю пустил под откос 4 немецких воинских эшелона. Разбиты 3 паровоза, 24 вагона и платформы. В результате крушений убито свыше 200 гитлеровцев. Партизаны взорвали в ряде мест железнодорожные пути. Движение поездов на этом участке было приостановлено на несколько суток. Партизанские отряды, действующие в Ровенской области, за два дня пустили под откос 7 железнодорожных эшелонов противника.</w:t>
      </w:r>
    </w:p>
    <w:p w14:paraId="456ECA73"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солдат 2 роты 334 полка 181 немецкой дивизии Антон Хойдер рассказал: «Меня призвали в армию весной текущего года. Военное обучение япроходил в Германии. В конце июня меня направили в Норвегию, в город Осло, и зачислили во вторую роту 334 полка. 22 сентября наш полк погрузили на пароход и отправили в Данию. Оттуда мы ехали поездом через Штеттин — Варшаву —Брест-Литовск — Минск и 6 октября выгрузились в Орше. В нашем поезде было 60 вагонов. В каждом вагоне находилось по 40 человек. За пятнадцать дней полк понёс очень большие потери от артиллерийского огня русских. Я счастлив, что оказался в плену и тем самым спас себе жизнь».</w:t>
      </w:r>
    </w:p>
    <w:p w14:paraId="4659761E"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Сукремль, Орловской области, рассказали: «Немецкие мерзавцы глумились над населением, убивали мирных жителей, уничтожали целые семьи. Фашистские бандиты повесили колхозников Кормилицина и его двух сыновей, Тимохина и его трёх сыновей и многих других. Только за один день, 10 июля 1943 года, немцы расстреляли 115 ни в чём не повинных мирных жителей. Гитлеровские убийцы насильно сгоняли всё население смотреть, как пытают арестованных советских граждан. В присутствии жителей палачи мучили и истязали на площади женщин Чикину, Кондратову и Богнарёву. Сначала изверги на глазах у этих женщин расстреляли их детей, а потом повесили и их самих. Все оставшиеся в живых жители села с проклятьем вспоминают фашистских кровопийц» (14810).</w:t>
      </w:r>
    </w:p>
    <w:p w14:paraId="71153CA7"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56C4D8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вышла ДИРЕКТИВА КОМАНДУЮЩЕГО БТ и МВ КА О ВОЗМОЖНОМ ПРИМЕНЕНИИ ПРОТИВНИКОМ ТЕЛЕТАНКОВ №1105870</w:t>
      </w:r>
    </w:p>
    <w:p w14:paraId="58A3BD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полученным нами данным, требующим тщательной проверки, с осени этого года на вооружении германской армии будет введен новый телетанк марки Б-4, предназначенный для раз</w:t>
      </w:r>
      <w:r w:rsidRPr="00271E51">
        <w:rPr>
          <w:rFonts w:ascii="Times New Roman" w:hAnsi="Times New Roman"/>
          <w:color w:val="000000" w:themeColor="text1"/>
          <w:sz w:val="16"/>
          <w:szCs w:val="16"/>
        </w:rPr>
        <w:softHyphen/>
        <w:t>рушения инженерных сооружений и разминирования минных полей.</w:t>
      </w:r>
    </w:p>
    <w:p w14:paraId="1CB195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имеет следующую характеристику:</w:t>
      </w:r>
    </w:p>
    <w:p w14:paraId="63B4EA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3 м, ширина 1,05 м, высота 1,1м, вес 10 тонн, лобовая броня 25 мм, вся остальная броня 20 мм.</w:t>
      </w:r>
    </w:p>
    <w:p w14:paraId="2E8363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сконструирован по типу амфибии, имеет поплавки. Скорость на суше до 70 км/час, ско</w:t>
      </w:r>
      <w:r w:rsidRPr="00271E51">
        <w:rPr>
          <w:rFonts w:ascii="Times New Roman" w:hAnsi="Times New Roman"/>
          <w:color w:val="000000" w:themeColor="text1"/>
          <w:sz w:val="16"/>
          <w:szCs w:val="16"/>
        </w:rPr>
        <w:softHyphen/>
        <w:t>рость на плаву да 15 км/час.</w:t>
      </w:r>
    </w:p>
    <w:p w14:paraId="019814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загружается взрывчатым веществом весом до 300 кг, которое может быть сброшено с танка или взрывается вместе с танком. На танке имеется несколько аппаратов для дымопуска. Танк управ</w:t>
      </w:r>
      <w:r w:rsidRPr="00271E51">
        <w:rPr>
          <w:rFonts w:ascii="Times New Roman" w:hAnsi="Times New Roman"/>
          <w:color w:val="000000" w:themeColor="text1"/>
          <w:sz w:val="16"/>
          <w:szCs w:val="16"/>
        </w:rPr>
        <w:softHyphen/>
        <w:t>ляется по радио на расстоянии до 3 км, кроме этого может управляться непосредственно водителем. Танки организационно сводятся в роты, в количестве 52 танков в роте. Роты входят в состав батальо</w:t>
      </w:r>
      <w:r w:rsidRPr="00271E51">
        <w:rPr>
          <w:rFonts w:ascii="Times New Roman" w:hAnsi="Times New Roman"/>
          <w:color w:val="000000" w:themeColor="text1"/>
          <w:sz w:val="16"/>
          <w:szCs w:val="16"/>
        </w:rPr>
        <w:softHyphen/>
        <w:t>нов, которые имеют нумерации от 300 и выше.</w:t>
      </w:r>
    </w:p>
    <w:p w14:paraId="424E9D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Слабая броневая защита телетанков позволяет вести с ними борьбу всеми видами танкового и противотанкового вооружения, разрушая в первую очередь ходовую часть и корму танка, где, по-видимому, помещаются бензобанки и двигатель.</w:t>
      </w:r>
    </w:p>
    <w:p w14:paraId="5D0653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ПРИКАЗЫВАЮ:</w:t>
      </w:r>
    </w:p>
    <w:p w14:paraId="56BD18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 возможности появления перед фронтом танков типа Б-4 и мерах борьбы с ними информи</w:t>
      </w:r>
      <w:r w:rsidRPr="00271E51">
        <w:rPr>
          <w:rFonts w:ascii="Times New Roman" w:hAnsi="Times New Roman"/>
          <w:color w:val="000000" w:themeColor="text1"/>
          <w:sz w:val="16"/>
          <w:szCs w:val="16"/>
        </w:rPr>
        <w:softHyphen/>
        <w:t>ровать командиров танковых и механизированных бригад и полков включительно.</w:t>
      </w:r>
    </w:p>
    <w:p w14:paraId="2F714E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Организовать тщательное наблюдение за появлением на поле боя этих типов танков.</w:t>
      </w:r>
    </w:p>
    <w:p w14:paraId="28EAE1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Через опрос военнопленных установить дополнительные данные об организации, боевом при</w:t>
      </w:r>
      <w:r w:rsidRPr="00271E51">
        <w:rPr>
          <w:rFonts w:ascii="Times New Roman" w:hAnsi="Times New Roman"/>
          <w:color w:val="000000" w:themeColor="text1"/>
          <w:sz w:val="16"/>
          <w:szCs w:val="16"/>
        </w:rPr>
        <w:softHyphen/>
        <w:t>менении, устройстве и уязвимых местах телетанка.</w:t>
      </w:r>
    </w:p>
    <w:p w14:paraId="55D8EE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При захвате танка Б-4 принять все меры предосторожности от поломок и повреждений его механизмов и немедленно эвакуировать в адрес научно-испытательного полигона ГБТУ КА.</w:t>
      </w:r>
    </w:p>
    <w:p w14:paraId="7E4EBE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 всех полученных новых данных немедленно доложить в штаб БТМВ КА.</w:t>
      </w:r>
    </w:p>
    <w:p w14:paraId="2DF07C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БТ и МВ КА генерал-майор танковых войск М. Салминов</w:t>
      </w:r>
    </w:p>
    <w:p w14:paraId="7DDA19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412. Л. 46. Подлинник (11403).</w:t>
      </w:r>
    </w:p>
    <w:p w14:paraId="332192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C1D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3УФ (Ф.И.Толбухин) освободил Днепропетровск (3398,369).</w:t>
      </w:r>
    </w:p>
    <w:p w14:paraId="622E63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2D23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советскими войсками освобождены Днепропетровск и Днепродзержинск (4962).</w:t>
      </w:r>
    </w:p>
    <w:p w14:paraId="6F37772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E3C2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года штаб 1-й танковой армии Вермахта направил в управление "Иностранные армии - Восток" армейской разведки "Абвер" донесение следующего содержания: "В 177-м танковом полку 64-й механизированной бригады (она входила в состав 7-го механизированного корпуса Красной Армии) имеется четыре роты по 11 танков в каждой. Эти танки имеют обозначение Sturmgeschutz 76mm. Они изготовлены на шасси немецкого танка Panzer III с двигателем Maybach. Новая рубка имеет толщину брони в лобовой части 3-4 см, на бортах - 1-1,5 см. Рубка открыта сверху. Орудие имеет углы горизонтальной наводки 15° в каждую сторону и вертикальной наводки - плюс-минус 7°" (9695).</w:t>
      </w:r>
    </w:p>
    <w:p w14:paraId="659A47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C5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25 октября 1943 года штаб 1-й танковой армии Вермахта направил в управление "Иностранные армии - Восток" армейской разведки "Абвер" донесение следующего содержания: </w:t>
      </w:r>
    </w:p>
    <w:p w14:paraId="577CD7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"В 177-м танковом полку 64-й механизированной бригады (она входила в состав 7-го механизированного корпуса Красной Армии) имеется четыре роты по 11 танков в каждой. Эти танки имеют обозначение Sturmgeschutz 76mm. Они изготовлены на шасси немецкого танка Panzer III с двигателем Maybach. Новая рубка имеет толщину брони в лобовой части 3-4 см, на бортах - 1-1,5 см. Рубка открыта сверху. Орудие имеет углы горизонтальной наводки 15° в каждую сторону и вертикальной наводки - плюс-минус 7°" (10794). </w:t>
      </w:r>
    </w:p>
    <w:tbl>
      <w:tblPr>
        <w:tblW w:w="0" w:type="auto"/>
        <w:tblLayout w:type="fixed"/>
        <w:tblCellMar>
          <w:left w:w="0" w:type="dxa"/>
          <w:right w:w="0" w:type="dxa"/>
        </w:tblCellMar>
        <w:tblLook w:val="0000" w:firstRow="0" w:lastRow="0" w:firstColumn="0" w:lastColumn="0" w:noHBand="0" w:noVBand="0"/>
      </w:tblPr>
      <w:tblGrid>
        <w:gridCol w:w="5350"/>
        <w:gridCol w:w="1310"/>
        <w:gridCol w:w="2699"/>
      </w:tblGrid>
      <w:tr w:rsidR="00A907A5" w:rsidRPr="00271E51" w14:paraId="3E8AF925" w14:textId="77777777" w:rsidTr="00ED5B0A">
        <w:trPr>
          <w:gridAfter w:val="2"/>
          <w:wAfter w:w="4009" w:type="dxa"/>
        </w:trPr>
        <w:tc>
          <w:tcPr>
            <w:tcW w:w="5350" w:type="dxa"/>
            <w:tcBorders>
              <w:top w:val="nil"/>
              <w:left w:val="nil"/>
              <w:bottom w:val="nil"/>
              <w:right w:val="nil"/>
            </w:tcBorders>
          </w:tcPr>
          <w:p w14:paraId="6B5888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Потери полка с 1 по 30 сентября 1943 года </w:t>
            </w:r>
          </w:p>
        </w:tc>
      </w:tr>
      <w:tr w:rsidR="00A907A5" w:rsidRPr="00271E51" w14:paraId="7EBDCC75" w14:textId="77777777" w:rsidTr="00ED5B0A">
        <w:tc>
          <w:tcPr>
            <w:tcW w:w="5350" w:type="dxa"/>
            <w:tcBorders>
              <w:top w:val="single" w:sz="12" w:space="0" w:color="auto"/>
              <w:left w:val="single" w:sz="12" w:space="0" w:color="auto"/>
              <w:bottom w:val="single" w:sz="6" w:space="0" w:color="auto"/>
              <w:right w:val="single" w:sz="6" w:space="0" w:color="auto"/>
            </w:tcBorders>
          </w:tcPr>
          <w:p w14:paraId="7484C7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b/>
                <w:bCs/>
                <w:color w:val="000000" w:themeColor="text1"/>
                <w:sz w:val="16"/>
                <w:szCs w:val="16"/>
              </w:rPr>
              <w:t xml:space="preserve">Сгорело </w:t>
            </w:r>
          </w:p>
        </w:tc>
        <w:tc>
          <w:tcPr>
            <w:tcW w:w="1310" w:type="dxa"/>
            <w:tcBorders>
              <w:top w:val="single" w:sz="12" w:space="0" w:color="auto"/>
              <w:left w:val="single" w:sz="6" w:space="0" w:color="auto"/>
              <w:bottom w:val="single" w:sz="6" w:space="0" w:color="auto"/>
              <w:right w:val="single" w:sz="6" w:space="0" w:color="auto"/>
            </w:tcBorders>
          </w:tcPr>
          <w:p w14:paraId="24EDED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b/>
                <w:bCs/>
                <w:color w:val="000000" w:themeColor="text1"/>
                <w:sz w:val="16"/>
                <w:szCs w:val="16"/>
              </w:rPr>
              <w:t xml:space="preserve">Подбито </w:t>
            </w:r>
          </w:p>
        </w:tc>
        <w:tc>
          <w:tcPr>
            <w:tcW w:w="2699" w:type="dxa"/>
            <w:tcBorders>
              <w:top w:val="single" w:sz="12" w:space="0" w:color="auto"/>
              <w:left w:val="single" w:sz="6" w:space="0" w:color="auto"/>
              <w:bottom w:val="single" w:sz="6" w:space="0" w:color="auto"/>
              <w:right w:val="single" w:sz="12" w:space="0" w:color="auto"/>
            </w:tcBorders>
          </w:tcPr>
          <w:p w14:paraId="56CC82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b/>
                <w:bCs/>
                <w:color w:val="000000" w:themeColor="text1"/>
                <w:sz w:val="16"/>
                <w:szCs w:val="16"/>
              </w:rPr>
              <w:t xml:space="preserve">Подорвались на минах </w:t>
            </w:r>
          </w:p>
        </w:tc>
      </w:tr>
      <w:tr w:rsidR="00473181" w:rsidRPr="00271E51" w14:paraId="5474FF59" w14:textId="77777777" w:rsidTr="00ED5B0A">
        <w:tc>
          <w:tcPr>
            <w:tcW w:w="5350" w:type="dxa"/>
            <w:tcBorders>
              <w:top w:val="single" w:sz="6" w:space="0" w:color="auto"/>
              <w:left w:val="single" w:sz="12" w:space="0" w:color="auto"/>
              <w:bottom w:val="single" w:sz="12" w:space="0" w:color="auto"/>
              <w:right w:val="single" w:sz="6" w:space="0" w:color="auto"/>
            </w:tcBorders>
          </w:tcPr>
          <w:p w14:paraId="5259AB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СУ- 122</w:t>
            </w:r>
          </w:p>
          <w:p w14:paraId="551EB9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СУ-76И</w:t>
            </w:r>
          </w:p>
        </w:tc>
        <w:tc>
          <w:tcPr>
            <w:tcW w:w="1310" w:type="dxa"/>
            <w:tcBorders>
              <w:top w:val="single" w:sz="6" w:space="0" w:color="auto"/>
              <w:left w:val="single" w:sz="6" w:space="0" w:color="auto"/>
              <w:bottom w:val="single" w:sz="12" w:space="0" w:color="auto"/>
              <w:right w:val="single" w:sz="6" w:space="0" w:color="auto"/>
            </w:tcBorders>
          </w:tcPr>
          <w:p w14:paraId="16B941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СУ- 122</w:t>
            </w:r>
          </w:p>
          <w:p w14:paraId="5C15B8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699" w:type="dxa"/>
            <w:tcBorders>
              <w:top w:val="single" w:sz="6" w:space="0" w:color="auto"/>
              <w:left w:val="single" w:sz="6" w:space="0" w:color="auto"/>
              <w:bottom w:val="single" w:sz="12" w:space="0" w:color="auto"/>
              <w:right w:val="single" w:sz="12" w:space="0" w:color="auto"/>
            </w:tcBorders>
          </w:tcPr>
          <w:p w14:paraId="4843FE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СУ- 122</w:t>
            </w:r>
          </w:p>
          <w:p w14:paraId="7381C5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bl>
    <w:p w14:paraId="2774CA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D202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94833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E23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года было получено:</w:t>
      </w:r>
    </w:p>
    <w:p w14:paraId="57C675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ДЛЯ МАРШАЛА СТАЛИНА</w:t>
      </w:r>
    </w:p>
    <w:p w14:paraId="739068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Ваше послание по поводу нашей встречи было получено: сегодня (21 октября). Я глубоко разочарован.</w:t>
      </w:r>
    </w:p>
    <w:p w14:paraId="05F434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вполне понимаю Ваши мотивы необходимости повседневного руководства со стороны Верховного Командования и Вашего личного контакта с ним, что является причиной таких выдающихся результатов. Прошу Вас принять мои заверения в этом отношении,</w:t>
      </w:r>
    </w:p>
    <w:p w14:paraId="049D6F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Все это весьма важно, и я хочу, чтобы Вы поняли, что имеются другие жизненно важные дела, которые являются моими установленными обязанностями в нашем </w:t>
      </w:r>
      <w:r w:rsidRPr="00271E51">
        <w:rPr>
          <w:rFonts w:ascii="Times New Roman" w:hAnsi="Times New Roman"/>
          <w:color w:val="000000" w:themeColor="text1"/>
          <w:sz w:val="16"/>
          <w:szCs w:val="16"/>
        </w:rPr>
        <w:lastRenderedPageBreak/>
        <w:t>конституционном Американском Правительстве. Я не в состоянии их изменить. По нашей конституции Президент должен принимать решение в отношении законопроекта в течение 10 дней после того, как этот законопроект был принят. Другими словами, в течение этого периода Президент должен принимать от Конгресса и возвращать Конгрессу подлинные документы с его письменным одобрением или вето. Как я сообщал Вам ранее, я не могу этого делать по телеграфу или по радио.</w:t>
      </w:r>
    </w:p>
    <w:p w14:paraId="26C30B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Трудность в отношении Тегерана заключается в следующем простом факте. Горы на подходе к этому городу часто исключают возможность полетов на несколько дней подряд. Риск задержки существует как для самолета, доставляющего документы из Вашингтона, так и для самолета, доставляющего эти документы Конгрессу. Я должен с сожалением сказать, что мне, главе государства, нельзя выехать в то место, где я не смогу выполнять свои обязанности согласно нашей конституции.</w:t>
      </w:r>
    </w:p>
    <w:p w14:paraId="23956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смогу взять на себя риск, связанный с доставкой документов в пункты, расположенные в низменности вплоть до Персидского залива, путем системы смены самолетов. Однако я не смогу рисковать задержками, которые могут произойти при полетах через горы в обоих направлениях в ту впадину, где расположен Тегеран. Поэтому с большим сожалением я должен сообщить Вам, что я не смогу отправиться в Тегеран. Члены моего кабинета и руководители законодательных органов полностью согласны с этим.</w:t>
      </w:r>
    </w:p>
    <w:p w14:paraId="350DD6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можно сделать одно последнее практическое предложение. Давайте отправимся все втроем в Басру, где для нас может быть организована отличная охрана в трех лагерях, устроенных и охраняемых нашими соответственными войсками. Вы легко можете распорядиться, как Вы сами понимаете, об устройстве специальной контролируемой Вами телефонной линии от Басры до Тегерана, где она была бы присоединена к Вашей собственной линии на Россию. Все Ваши нужды были бы удовлетворены путем подобной проволочной связи, и если Вы будете пользоваться самолетом, то Вы лишь будете находиться немного дальше от России, чем в самом Тегеране.</w:t>
      </w:r>
    </w:p>
    <w:p w14:paraId="6EE92D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никоим образом не считаюсь с тем фактом, что мне пришлось бы отправиться с территории Соединенных Штатов в пункт, расположенный в пределах 600 миль от русской территории.</w:t>
      </w:r>
    </w:p>
    <w:p w14:paraId="02848A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должен выполнять обязанности, налагаемые на меня конституционной формой правления, существующей более ста пятидесяти лет. Если бы не этот факт, я был бы рад для встречи с Вами проехать в десять раз большее расстояние.</w:t>
      </w:r>
    </w:p>
    <w:p w14:paraId="31D0B6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 долг перед Вашим народом — продолжать разгром нашего общего врага — велик, но я прошу Вас не забывать о моем великом долге перед Американским Правительством и в отношении поддержания всеобщего военного усилия Соединенных Штатов.</w:t>
      </w:r>
    </w:p>
    <w:p w14:paraId="2F0480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считаю, что встреча нас троих имеет величайшее значение не только для наших народов сегодня, но и для обеспечения будущим поколениям мира во всем мире. Об этом я сообщал Вам ранее.</w:t>
      </w:r>
    </w:p>
    <w:p w14:paraId="5ACC1A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Будущие поколения сочли бы трагедией тот факт, что несколько сот миль помешали Вам, г-ну Черчиллю и мне встретиться.</w:t>
      </w:r>
    </w:p>
    <w:p w14:paraId="63189E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снова заявляю, что я охотно бы отправился в Тегеран, если бы мне не мешали ограничивающие меня обстоятельства, которые я не могу контролировать.</w:t>
      </w:r>
    </w:p>
    <w:p w14:paraId="428D77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существующей для Вас проблемы связи не могу ли я предложить Басру.</w:t>
      </w:r>
    </w:p>
    <w:p w14:paraId="482293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и это предложение Вас не привлекает, то могу ли я искренне надеяться, что Вы еще раз подумаете о Багдаде или Асмаре или даже об Анкаре. Я думаю, что о последнем пункте стоит подумать. Он расположен на нейтральной территории. Туркам могла бы понравиться мысль о том, что они будут принимать гостей. Конечно, я не упоминал об этом ни им, ни кому-либо другому.</w:t>
      </w:r>
    </w:p>
    <w:p w14:paraId="71741E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Пожалуйста, выручите меня в этом критическом положении.</w:t>
      </w:r>
    </w:p>
    <w:p w14:paraId="0ECD89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РУЗВЕЛЬТ (7430).</w:t>
      </w:r>
    </w:p>
    <w:p w14:paraId="7E1E83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8481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413B8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667486"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 октября 1943 61 B-24 Liberators пятой армии ВВС совершает налет на Рабаул в сопровождении 50 P-38 Lightning. Командир 3 армии ВВС, генерал - майор Джордж Кенни, утверждает 175 японских самолетов уничтожены в рейдах 23-25 октября; Японцы признают потерю девяти своих самолетов, сбитых и 25 уничтоженных на земле (20376).</w:t>
      </w:r>
    </w:p>
    <w:p w14:paraId="59910AA6" w14:textId="77777777" w:rsidR="00350BE0" w:rsidRPr="00271E51" w:rsidRDefault="00350BE0" w:rsidP="00271E51">
      <w:pPr>
        <w:spacing w:after="0" w:line="240" w:lineRule="auto"/>
        <w:jc w:val="both"/>
        <w:rPr>
          <w:rFonts w:ascii="Times New Roman" w:hAnsi="Times New Roman"/>
          <w:color w:val="0070C0"/>
          <w:sz w:val="16"/>
          <w:szCs w:val="16"/>
        </w:rPr>
      </w:pPr>
    </w:p>
    <w:p w14:paraId="202A29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г. на авиабазу Бордо-Мериньяк прибыла группа II/KG40 (бывшая I/KG50), вооруженная дальними бомбардировщиками Хейнкель Не177А-5 “Гриф”. Первый свой морской боевой вылет II/KG40 совершила 21 ноября, когда 25 машин, каждая из которых несла по две УАБ Hs293, вылетели на поиск английского конвоя SL 139/MKS 230, идущего из Англии в порты Северной Африки и Сьера-Леоне. Два самолета из-за неполадок преждевременно вернулись на аэродром, три были сбиты, а оставшиеся 20 сбросили на противника 40 планирующих бомб. Результат атаки был довольно скромным: потоплен транспорт “Марса” и поврежден прямым бомбовым попаданием пароход “Делиус” (9524).</w:t>
      </w:r>
    </w:p>
    <w:p w14:paraId="0C73CB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B34D3" w14:textId="77777777" w:rsidR="00350BE0" w:rsidRPr="00271E51" w:rsidRDefault="00350BE0"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октября 1943 в газовой камере Освенцима фашистами казнено около двух тысяч греческих женщин (4962).</w:t>
      </w:r>
    </w:p>
    <w:p w14:paraId="57E6810E" w14:textId="77777777" w:rsidR="00350BE0" w:rsidRPr="00271E51" w:rsidRDefault="00350BE0"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64192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82581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07F5D"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С.В.И. побывал на совещании у И. Сталина, в котором принимали участие А.И. Шахурин, П.В. Дементьев, А.С. Яковлев, С.А. Лавочкин, В.М. Мясищев, генерал-лейтенант ИАС П.А. Лосюков, генерал-полковник ИАС А.К. Репин и маршал А.Е. Голованов. На нем обсуждался широкий круг вопросов и был подписан ряд постановлений ГКО, в том числе, о выпуске самолетов Як-9 на заводе № 153, о переводе завода № 82 на выпуск самолетов Як-9, о производстве самолета Як-3 с мотором М-105ПФ и о производстве самолетов Ла-5 сМ-82ФН на заводе № 21 с металлическими лонжеронами и увеличенной дальностью. Одним из результатов этого совещания стало постановление ГКО № 4427сс от 26 октября «О проведении летных испытаний бронированного штурмовика «Ил» с мотором АМ-42». Речь в нем шла про «Ил без номера», который застрял на заводе № 240 в процессе доводки систем охлаждения двигателя и перманентной замены постоянно отказывавших моторов АМ-42. Постановлением срок передачи нового штурмовика на госиспытания устанавливался 15 ноября 1943 года. С.В. Ильюшин для себя, видимо, уже сделал ставку на Ил-1 и хорошо понимая «расклад» по ситуации с АМ-42, доводка которого требовала нескольких месяцев работы, отправился именно в Куйбышев для ускорения постройки легкого штурмовика, а не остался в Москве «накручивать хвосты» персоналу, занимавшемуся доводкой «Ил» № 1 с АМ-42, как называли военные «тяжелую» машину. Не хуже понимали сложившуюся ситуацию в НКАП, иначе трудно объяснить выход приказа № 684сс «во исполнение постановления ГКО № 4427сс от 26 октября 1943 г.» только 15 ноября, в день планируемой передачи самолета вНИИВВС. К концу1943 года положение дел с разработкой новых ильюшинских штурмовиков в целом складывалось неважное. 17 декабря и.о. начальника инспекции при наркоме С. Мыздриков подал А.И. Шахурину докладную записку № 6344 по вопросу постройки и летных испытаний самолетов Ил с АМ-42: «…1. По самолету Ил-2 с АМ-42, построенному на заводе № 240. Приказ об окончании заводских летных испытаний самолета и передаче его на гос. испытания к 15 ноября с/г не выполнен. Заводские летные испытания до сих пор не закончены. Основными причинами, тормозящими окончание летных испытаний, являются: а) неудовлетворительная работа мотора. За время летных испытаний сменено 4 мотора. В полете наблюдается значительная тряска мотора. б) затянувшаяся отработка системы охлаждения воды и масла. Имеет место неудовлетворительный диапазон перепада температур входящего и выходящего масла… Наблюдаемая в полете тряска моторов АМ-42 исключает, даже при отработке системы охлаждения, передачу машины на гос. испытания. По предложению инспекции зам. начальника 7 ГУ Алексеевым приняты меры помощи ОКБ240 по доводке системы охлаждения самолета, на завод 240 послан инженер ЦАГИ. 2. По самолетам Ил с АМ-42, строящимся на заводах № 1 и № 18. Завод № 1, обязанный построить самолет и передать его заводу № 240 к 20 ноября – приказа не выполнил. Указанный самолет завода № 1 стоит уже в течение 6 месяцев: 16 июня с/г приказом № 364 завод был обязан построить этот самолет к 1 сентября с/г, чертежи ГК были переданы 1 июля с/г, но до сих пор самолет не построен. Директор завода Третьяков и 10 ГУ несмотря на предложения Инспекции, никаких мер к выполнению приказа не приняли. Завод № 18, обязанный построить самолет к 10 декабря с/г приказа не выполнил. Заводы №1 и № 18 АМ-42 обеспечены, завод 24 поставил моторы12 ноября с/г…» (21005).</w:t>
      </w:r>
    </w:p>
    <w:p w14:paraId="49E2FED5" w14:textId="77777777" w:rsidR="00350BE0" w:rsidRPr="00271E51" w:rsidRDefault="00350BE0" w:rsidP="00271E51">
      <w:pPr>
        <w:spacing w:after="0" w:line="240" w:lineRule="auto"/>
        <w:jc w:val="both"/>
        <w:rPr>
          <w:rFonts w:ascii="Times New Roman" w:hAnsi="Times New Roman"/>
          <w:color w:val="0070C0"/>
          <w:sz w:val="16"/>
          <w:szCs w:val="16"/>
        </w:rPr>
      </w:pPr>
    </w:p>
    <w:p w14:paraId="2457085F" w14:textId="77777777" w:rsidR="00350BE0" w:rsidRPr="00271E51" w:rsidRDefault="00350BE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26 октября 1943 вышло постановление ГКО № 4427сс «О проведении летных испытаний бронированного штурмовика «Ил» с мотором АМ-42». Речь в нем шла про «Ил без номера», который застрял на заводе № 240 в процессе доводки систем охлаждения двигателя и перманентной замены постоянно отказывавших моторов АМ-42. Постановлением срок передачи нового штурмовика на госиспытания устанавливался 15 ноября 1943 года. С.В. Ильюшин для себя, видимо, уже сделал ставку на Ил-1 и хорошо понимая «расклад» по ситуации с АМ-42, доводка которого требовала нескольких месяцев работы, отправился именно в Куйбышев для ускорения постройки легкого штурмовика, а не остался в Москве «накручивать хвосты» персоналу, занимавшемуся доводкой «Ил» № 1 с АМ-42, как называли военные «тяжелую» машину. Не хуже понимали сложившуюся ситуацию в НКАП, иначе трудно объяснить выход приказа № 684сс «во исполнение постановления ГКО № 4427сс от 26 октября 1943 г.» только 15 ноября, в день планируемой передачи самолета вНИИВВС. К концу1943 года положение дел с разработкой новых ильюшинских штурмовиков в целом складывалось неважное. 17 декабря и.о. начальника инспекции при наркоме С. Мыздриков подал А.И. Шахурину докладную записку № 6344 по вопросу постройки и летных испытаний самолетов Ил с АМ-42: «…1. По самолету Ил-2 с АМ-42, построенному на заводе № 240. Приказ об </w:t>
      </w:r>
      <w:r w:rsidRPr="00271E51">
        <w:rPr>
          <w:rFonts w:ascii="Times New Roman" w:hAnsi="Times New Roman"/>
          <w:color w:val="0070C0"/>
          <w:sz w:val="16"/>
          <w:szCs w:val="16"/>
        </w:rPr>
        <w:lastRenderedPageBreak/>
        <w:t>окончании заводских летных испытаний самолета и передаче его на гос. испытания к 15 ноября с/г не выполнен. Заводские летные испытания до сих пор не закончены. Основными причинами, тормозящими окончание летных испытаний, являются: а) неудовлетворительная работа мотора. За время летных испытаний сменено 4 мотора. В полете наблюдается значительная тряска мотора. б) затянувшаяся отработка системы охлаждения воды и масла. Имеет место неудовлетворительный диапазон перепада температур входящего и выходящего масла… Наблюдаемая в полете тряска моторов АМ-42 исключает, даже при отработке системы охлаждения, передачу машины на гос. испытания. По предложению инспекции зам. начальника 7 ГУ Алексеевым приняты меры помощи ОКБ240 по доводке системы охлаждения самолета, на завод 240 послан инженер ЦАГИ. 2. По самолетам Ил с АМ-42, строящимся на заводах № 1 и № 18. Завод № 1, обязанный построить самолет и передать его заводу № 240 к 20 ноября – приказа не выполнил. Указанный самолет завода № 1 стоит уже в течение 6 месяцев: 16 июня с/г приказом № 364 завод был обязан построить этот самолет к 1 сентября с/г, чертежи ГК были переданы 1 июля с/г, но до сих пор самолет не построен. Директор завода Третьяков и 10 ГУ несмотря на предложения Инспекции, никаких мер к выполнению приказа не приняли. Завод № 18, обязанный построить самолет к 10 декабря с/г приказа не выполнил. Заводы №1 и № 18 АМ-42 обеспечены, завод 24 поставил моторы12 ноября с/г…» (21005).</w:t>
      </w:r>
    </w:p>
    <w:p w14:paraId="39E8F9EE" w14:textId="77777777" w:rsidR="00350BE0" w:rsidRPr="00271E51" w:rsidRDefault="00350BE0" w:rsidP="00271E51">
      <w:pPr>
        <w:spacing w:after="0" w:line="240" w:lineRule="auto"/>
        <w:jc w:val="both"/>
        <w:rPr>
          <w:rFonts w:ascii="Times New Roman" w:hAnsi="Times New Roman"/>
          <w:color w:val="0070C0"/>
          <w:sz w:val="16"/>
          <w:szCs w:val="16"/>
        </w:rPr>
      </w:pPr>
    </w:p>
    <w:p w14:paraId="21E7C1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года А. Кузнецов писал письмо N Н-34/4364 зам. командующего и гл. инженеру ВВС генерал-полковнику ИАС Репину А.К.</w:t>
      </w:r>
    </w:p>
    <w:p w14:paraId="52EED6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заводе N 30 совместно с Военным представительством проводятся испытания 20 самолетов Ил-2 в целях проверки на большом числе самолетов всех конструктивных доработок, внедренных заводом N 30 на основании отчетов НИИ АВ и НИИ ВВС.</w:t>
      </w:r>
    </w:p>
    <w:p w14:paraId="2FB342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некоторых расхождений в требованиях НИИ АВ и НИИ ВВС к установке 11 П на самолете Ил-2, считал бы целесообразным участие представителей данных институтов в проведении указанных испытаний.</w:t>
      </w:r>
    </w:p>
    <w:p w14:paraId="0B11B6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указания НИИ ВВС и НИИ АВ о срочном выделении специалистов - вооруженцев для участия в проведении испытаний установок.......... на самолетах Ил-2.</w:t>
      </w:r>
    </w:p>
    <w:p w14:paraId="418A63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в целях более всесторонних испытаний самолета Ил-2 с пушками 11 П в условиях эксплуатации в частях ВВС прошу Вашего распоряжения о проведении войсковых испытаний.</w:t>
      </w:r>
    </w:p>
    <w:p w14:paraId="751B48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Ваше решение прошу сообщить (1779).</w:t>
      </w:r>
    </w:p>
    <w:p w14:paraId="32AFF2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47E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 Постановлением ГОКО № 4427 С.В.Ильюшин обязывался предъявить новые машины на государственные испытания не позднее 15 ноября 1943 г. При этом двухместный Ил-1 должен был иметь: максимальную скорость у земли - 445 км/ч, а на высоте 2000 м - 450 км/ч; наибольшую дальность полета при нормальном взлетном весе - 900 км; нормальную бомбовую нагрузку - 400 кг (в перегрузку - 600 кг); вооружение, состоящее из двух пушек ВЯ с боезапасом 300 снарядов, двух пулеметов ШКАС с боекомплектом в 1500 патронов и одного оборонительного 12,7-мм пулемета М.Е.Березина УБК с боезапасом 150 патронов (7442).</w:t>
      </w:r>
    </w:p>
    <w:p w14:paraId="7E6923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FED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N 4427сс о проведении заводских испытаний бронированного штурмовика Ил с АМ-42 (1751,87) - к 15 ноября 1943 (1784,20).</w:t>
      </w:r>
    </w:p>
    <w:p w14:paraId="06A4B7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CFD41" w14:textId="77777777" w:rsidR="00C60F68" w:rsidRPr="00271E51" w:rsidRDefault="00C60F68"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26 октября 1943 г. по ини</w:t>
      </w:r>
      <w:r w:rsidRPr="00271E51">
        <w:rPr>
          <w:rFonts w:ascii="Times New Roman" w:hAnsi="Times New Roman" w:cs="Times New Roman"/>
          <w:color w:val="0070C0"/>
          <w:sz w:val="16"/>
          <w:szCs w:val="16"/>
        </w:rPr>
        <w:softHyphen/>
        <w:t>циативе ВВС вышло постановление ГКО №4427сс, согласно которому НКАП (Шахурин) и Ильюшин должны были не позд</w:t>
      </w:r>
      <w:r w:rsidRPr="00271E51">
        <w:rPr>
          <w:rFonts w:ascii="Times New Roman" w:hAnsi="Times New Roman" w:cs="Times New Roman"/>
          <w:color w:val="0070C0"/>
          <w:sz w:val="16"/>
          <w:szCs w:val="16"/>
        </w:rPr>
        <w:softHyphen/>
        <w:t>нее 15 ноября предъявить на государст</w:t>
      </w:r>
      <w:r w:rsidRPr="00271E51">
        <w:rPr>
          <w:rFonts w:ascii="Times New Roman" w:hAnsi="Times New Roman" w:cs="Times New Roman"/>
          <w:color w:val="0070C0"/>
          <w:sz w:val="16"/>
          <w:szCs w:val="16"/>
        </w:rPr>
        <w:softHyphen/>
        <w:t>венные испытания модернизированные самолеты Ил-2 с мотором АМ-42 в вари</w:t>
      </w:r>
      <w:r w:rsidRPr="00271E51">
        <w:rPr>
          <w:rFonts w:ascii="Times New Roman" w:hAnsi="Times New Roman" w:cs="Times New Roman"/>
          <w:color w:val="0070C0"/>
          <w:sz w:val="16"/>
          <w:szCs w:val="16"/>
        </w:rPr>
        <w:softHyphen/>
        <w:t>антах штурмовика и разведчика-коррек- тировщика. Одновременно Шахурин от</w:t>
      </w:r>
      <w:r w:rsidRPr="00271E51">
        <w:rPr>
          <w:rFonts w:ascii="Times New Roman" w:hAnsi="Times New Roman" w:cs="Times New Roman"/>
          <w:color w:val="0070C0"/>
          <w:sz w:val="16"/>
          <w:szCs w:val="16"/>
        </w:rPr>
        <w:softHyphen/>
        <w:t>дает распоряжение Сухому переделать двухместный Су-6, прошедший государст</w:t>
      </w:r>
      <w:r w:rsidRPr="00271E51">
        <w:rPr>
          <w:rFonts w:ascii="Times New Roman" w:hAnsi="Times New Roman" w:cs="Times New Roman"/>
          <w:color w:val="0070C0"/>
          <w:sz w:val="16"/>
          <w:szCs w:val="16"/>
        </w:rPr>
        <w:softHyphen/>
        <w:t>венные испытания, под установку мотора АМ-42 и устранить все дефекты и недо</w:t>
      </w:r>
      <w:r w:rsidRPr="00271E51">
        <w:rPr>
          <w:rFonts w:ascii="Times New Roman" w:hAnsi="Times New Roman" w:cs="Times New Roman"/>
          <w:color w:val="0070C0"/>
          <w:sz w:val="16"/>
          <w:szCs w:val="16"/>
        </w:rPr>
        <w:softHyphen/>
        <w:t>статки, отмеченные в акте НИИ ВВС.</w:t>
      </w:r>
    </w:p>
    <w:p w14:paraId="5D9C5332" w14:textId="77777777" w:rsidR="00C60F68" w:rsidRPr="00271E51" w:rsidRDefault="00C60F68"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Этот шаг можно расценивать как стра</w:t>
      </w:r>
      <w:r w:rsidRPr="00271E51">
        <w:rPr>
          <w:rFonts w:ascii="Times New Roman" w:hAnsi="Times New Roman" w:cs="Times New Roman"/>
          <w:color w:val="0070C0"/>
          <w:sz w:val="16"/>
          <w:szCs w:val="16"/>
        </w:rPr>
        <w:softHyphen/>
        <w:t>ховку от возможных в будущем упреков в свой адрес и в адрес Наркомата в без</w:t>
      </w:r>
      <w:r w:rsidRPr="00271E51">
        <w:rPr>
          <w:rFonts w:ascii="Times New Roman" w:hAnsi="Times New Roman" w:cs="Times New Roman"/>
          <w:color w:val="0070C0"/>
          <w:sz w:val="16"/>
          <w:szCs w:val="16"/>
        </w:rPr>
        <w:softHyphen/>
        <w:t>действии и «зажиме» лучших образцов вооружения. С другой стороны, если у Су</w:t>
      </w:r>
      <w:r w:rsidRPr="00271E51">
        <w:rPr>
          <w:rFonts w:ascii="Times New Roman" w:hAnsi="Times New Roman" w:cs="Times New Roman"/>
          <w:color w:val="0070C0"/>
          <w:sz w:val="16"/>
          <w:szCs w:val="16"/>
        </w:rPr>
        <w:softHyphen/>
        <w:t>хого все получится, то будет из чего выби</w:t>
      </w:r>
      <w:r w:rsidRPr="00271E51">
        <w:rPr>
          <w:rFonts w:ascii="Times New Roman" w:hAnsi="Times New Roman" w:cs="Times New Roman"/>
          <w:color w:val="0070C0"/>
          <w:sz w:val="16"/>
          <w:szCs w:val="16"/>
        </w:rPr>
        <w:softHyphen/>
        <w:t>рать, можно договариваться с военными и вырабатывать компромиссное решение.</w:t>
      </w:r>
    </w:p>
    <w:p w14:paraId="513081ED" w14:textId="77777777" w:rsidR="00C60F68" w:rsidRPr="00271E51" w:rsidRDefault="00C60F68"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Отметим, что установка на самолет Сухого мотора АМ-42 Ильюшина особо не пугала, потому как изначально принятые на Су-6 компоновочные и аэродинами</w:t>
      </w:r>
      <w:r w:rsidRPr="00271E51">
        <w:rPr>
          <w:rFonts w:ascii="Times New Roman" w:hAnsi="Times New Roman" w:cs="Times New Roman"/>
          <w:color w:val="0070C0"/>
          <w:sz w:val="16"/>
          <w:szCs w:val="16"/>
        </w:rPr>
        <w:softHyphen/>
        <w:t>ческие решения наилучшим образом мо</w:t>
      </w:r>
      <w:r w:rsidRPr="00271E51">
        <w:rPr>
          <w:rFonts w:ascii="Times New Roman" w:hAnsi="Times New Roman" w:cs="Times New Roman"/>
          <w:color w:val="0070C0"/>
          <w:sz w:val="16"/>
          <w:szCs w:val="16"/>
        </w:rPr>
        <w:softHyphen/>
        <w:t>гли проявиться лишь при установке на са</w:t>
      </w:r>
      <w:r w:rsidRPr="00271E51">
        <w:rPr>
          <w:rFonts w:ascii="Times New Roman" w:hAnsi="Times New Roman" w:cs="Times New Roman"/>
          <w:color w:val="0070C0"/>
          <w:sz w:val="16"/>
          <w:szCs w:val="16"/>
        </w:rPr>
        <w:softHyphen/>
        <w:t>молет мотора воздушного охлаждения и не обеспечивали необходимое совершен</w:t>
      </w:r>
      <w:r w:rsidRPr="00271E51">
        <w:rPr>
          <w:rFonts w:ascii="Times New Roman" w:hAnsi="Times New Roman" w:cs="Times New Roman"/>
          <w:color w:val="0070C0"/>
          <w:sz w:val="16"/>
          <w:szCs w:val="16"/>
        </w:rPr>
        <w:softHyphen/>
        <w:t>ство машины в аэродинамическом и весо</w:t>
      </w:r>
      <w:r w:rsidRPr="00271E51">
        <w:rPr>
          <w:rFonts w:ascii="Times New Roman" w:hAnsi="Times New Roman" w:cs="Times New Roman"/>
          <w:color w:val="0070C0"/>
          <w:sz w:val="16"/>
          <w:szCs w:val="16"/>
        </w:rPr>
        <w:softHyphen/>
        <w:t>вом отношении в случае применения мо</w:t>
      </w:r>
      <w:r w:rsidRPr="00271E51">
        <w:rPr>
          <w:rFonts w:ascii="Times New Roman" w:hAnsi="Times New Roman" w:cs="Times New Roman"/>
          <w:color w:val="0070C0"/>
          <w:sz w:val="16"/>
          <w:szCs w:val="16"/>
        </w:rPr>
        <w:softHyphen/>
        <w:t>тора с жидкостным охлаждением. В то же время компоновка самолета С.В. Илью</w:t>
      </w:r>
      <w:r w:rsidRPr="00271E51">
        <w:rPr>
          <w:rFonts w:ascii="Times New Roman" w:hAnsi="Times New Roman" w:cs="Times New Roman"/>
          <w:color w:val="0070C0"/>
          <w:sz w:val="16"/>
          <w:szCs w:val="16"/>
        </w:rPr>
        <w:softHyphen/>
        <w:t>шина и его аэродинамика, наоборот, были оптимизированы именно под мотор жид</w:t>
      </w:r>
      <w:r w:rsidRPr="00271E51">
        <w:rPr>
          <w:rFonts w:ascii="Times New Roman" w:hAnsi="Times New Roman" w:cs="Times New Roman"/>
          <w:color w:val="0070C0"/>
          <w:sz w:val="16"/>
          <w:szCs w:val="16"/>
        </w:rPr>
        <w:softHyphen/>
        <w:t>костного охлаждения (19853).</w:t>
      </w:r>
    </w:p>
    <w:p w14:paraId="4CF535FE" w14:textId="77777777" w:rsidR="00C60F68" w:rsidRPr="00271E51" w:rsidRDefault="00C60F68" w:rsidP="00271E51">
      <w:pPr>
        <w:spacing w:after="0" w:line="240" w:lineRule="auto"/>
        <w:jc w:val="both"/>
        <w:rPr>
          <w:rFonts w:ascii="Times New Roman" w:hAnsi="Times New Roman"/>
          <w:color w:val="0070C0"/>
          <w:sz w:val="16"/>
          <w:szCs w:val="16"/>
        </w:rPr>
      </w:pPr>
    </w:p>
    <w:p w14:paraId="1D476AAE" w14:textId="77777777" w:rsidR="00C60F68" w:rsidRPr="00271E51" w:rsidRDefault="00C60F68"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26 октября 1943 по инициативе ВВС вышло постановление ГКО №4427сс, со</w:t>
      </w:r>
      <w:r w:rsidRPr="00271E51">
        <w:rPr>
          <w:rFonts w:ascii="Times New Roman" w:hAnsi="Times New Roman" w:cs="Times New Roman"/>
          <w:color w:val="0070C0"/>
          <w:sz w:val="16"/>
          <w:szCs w:val="16"/>
        </w:rPr>
        <w:softHyphen/>
        <w:t>гласно которому НКАП (Шахурин) и Илью</w:t>
      </w:r>
      <w:r w:rsidRPr="00271E51">
        <w:rPr>
          <w:rFonts w:ascii="Times New Roman" w:hAnsi="Times New Roman" w:cs="Times New Roman"/>
          <w:color w:val="0070C0"/>
          <w:sz w:val="16"/>
          <w:szCs w:val="16"/>
        </w:rPr>
        <w:softHyphen/>
        <w:t>шин должны были не позднее 15 ноября предъявить на государственные испыта</w:t>
      </w:r>
      <w:r w:rsidRPr="00271E51">
        <w:rPr>
          <w:rFonts w:ascii="Times New Roman" w:hAnsi="Times New Roman" w:cs="Times New Roman"/>
          <w:color w:val="0070C0"/>
          <w:sz w:val="16"/>
          <w:szCs w:val="16"/>
        </w:rPr>
        <w:softHyphen/>
        <w:t>ния модернизированные самолеты Ил-2 с мотором АМ-42 в вариантах штурмовика и разведчика-корректировщика.</w:t>
      </w:r>
    </w:p>
    <w:p w14:paraId="57D45AD1" w14:textId="77777777" w:rsidR="00C60F68" w:rsidRPr="00271E51" w:rsidRDefault="00C60F68"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Ильюшин срочно выезжает в Куйбы</w:t>
      </w:r>
      <w:r w:rsidRPr="00271E51">
        <w:rPr>
          <w:rFonts w:ascii="Times New Roman" w:hAnsi="Times New Roman" w:cs="Times New Roman"/>
          <w:color w:val="0070C0"/>
          <w:sz w:val="16"/>
          <w:szCs w:val="16"/>
        </w:rPr>
        <w:softHyphen/>
        <w:t>шев для оценки реальной обстановки и возможностей заводов №№1 и 18 по из</w:t>
      </w:r>
      <w:r w:rsidRPr="00271E51">
        <w:rPr>
          <w:rFonts w:ascii="Times New Roman" w:hAnsi="Times New Roman" w:cs="Times New Roman"/>
          <w:color w:val="0070C0"/>
          <w:sz w:val="16"/>
          <w:szCs w:val="16"/>
        </w:rPr>
        <w:softHyphen/>
        <w:t>готовлению опытных самолетов Ил-1 АМ-42 в одноместном и двухместном ва</w:t>
      </w:r>
      <w:r w:rsidRPr="00271E51">
        <w:rPr>
          <w:rFonts w:ascii="Times New Roman" w:hAnsi="Times New Roman" w:cs="Times New Roman"/>
          <w:color w:val="0070C0"/>
          <w:sz w:val="16"/>
          <w:szCs w:val="16"/>
        </w:rPr>
        <w:softHyphen/>
        <w:t>рианте.</w:t>
      </w:r>
    </w:p>
    <w:p w14:paraId="08ACFA51" w14:textId="77777777" w:rsidR="00C60F68" w:rsidRPr="00271E51" w:rsidRDefault="00C60F68"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По возращению в Москву Ильюшин доложил Шахурину, что работы по одно</w:t>
      </w:r>
      <w:r w:rsidRPr="00271E51">
        <w:rPr>
          <w:rFonts w:ascii="Times New Roman" w:hAnsi="Times New Roman" w:cs="Times New Roman"/>
          <w:color w:val="0070C0"/>
          <w:sz w:val="16"/>
          <w:szCs w:val="16"/>
        </w:rPr>
        <w:softHyphen/>
        <w:t>местному истребителю Ил-1 АМ-42 на за</w:t>
      </w:r>
      <w:r w:rsidRPr="00271E51">
        <w:rPr>
          <w:rFonts w:ascii="Times New Roman" w:hAnsi="Times New Roman" w:cs="Times New Roman"/>
          <w:color w:val="0070C0"/>
          <w:sz w:val="16"/>
          <w:szCs w:val="16"/>
        </w:rPr>
        <w:softHyphen/>
        <w:t>воде №18 следует прекратить, сосредото</w:t>
      </w:r>
      <w:r w:rsidRPr="00271E51">
        <w:rPr>
          <w:rFonts w:ascii="Times New Roman" w:hAnsi="Times New Roman" w:cs="Times New Roman"/>
          <w:color w:val="0070C0"/>
          <w:sz w:val="16"/>
          <w:szCs w:val="16"/>
        </w:rPr>
        <w:softHyphen/>
        <w:t>чив усилия завода на постройке двух эк</w:t>
      </w:r>
      <w:r w:rsidRPr="00271E51">
        <w:rPr>
          <w:rFonts w:ascii="Times New Roman" w:hAnsi="Times New Roman" w:cs="Times New Roman"/>
          <w:color w:val="0070C0"/>
          <w:sz w:val="16"/>
          <w:szCs w:val="16"/>
        </w:rPr>
        <w:softHyphen/>
        <w:t>земпляров двухместного Ил-1 и одного комплекта агрегатов для проведения ста</w:t>
      </w:r>
      <w:r w:rsidRPr="00271E51">
        <w:rPr>
          <w:rFonts w:ascii="Times New Roman" w:hAnsi="Times New Roman" w:cs="Times New Roman"/>
          <w:color w:val="0070C0"/>
          <w:sz w:val="16"/>
          <w:szCs w:val="16"/>
        </w:rPr>
        <w:softHyphen/>
        <w:t>тических испытаний (19846).</w:t>
      </w:r>
    </w:p>
    <w:p w14:paraId="6F0BA899" w14:textId="77777777" w:rsidR="00C60F68" w:rsidRPr="00271E51" w:rsidRDefault="00C60F68" w:rsidP="00271E51">
      <w:pPr>
        <w:pStyle w:val="234"/>
        <w:shd w:val="clear" w:color="auto" w:fill="auto"/>
        <w:spacing w:line="240" w:lineRule="auto"/>
        <w:jc w:val="both"/>
        <w:rPr>
          <w:rFonts w:ascii="Times New Roman" w:hAnsi="Times New Roman" w:cs="Times New Roman"/>
          <w:color w:val="0070C0"/>
          <w:sz w:val="16"/>
          <w:szCs w:val="16"/>
        </w:rPr>
      </w:pPr>
    </w:p>
    <w:p w14:paraId="782C6473"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N 4427сс о проведении заводских испытаний бронированного штурмовика Ил с АМ-42</w:t>
      </w:r>
    </w:p>
    <w:p w14:paraId="5A169154"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Государственный Комитет Обороны постановляет:</w:t>
      </w:r>
    </w:p>
    <w:p w14:paraId="2ED21F9B"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 Обязать Наркомавиапсом - т.Шахурина и Главного конструктора т.Ильюшина провести заводские испытания бронированного штурмовика "Ил" с мотором АМ-42 и пред</w:t>
      </w:r>
      <w:r w:rsidRPr="00271E51">
        <w:rPr>
          <w:rFonts w:ascii="Times New Roman" w:cs="Times New Roman"/>
          <w:color w:val="000000" w:themeColor="text1"/>
          <w:spacing w:val="0"/>
          <w:vertAlign w:val="superscript"/>
        </w:rPr>
        <w:t>1</w:t>
      </w:r>
      <w:r w:rsidRPr="00271E51">
        <w:rPr>
          <w:rFonts w:ascii="Times New Roman" w:cs="Times New Roman"/>
          <w:color w:val="000000" w:themeColor="text1"/>
          <w:spacing w:val="0"/>
        </w:rPr>
        <w:t>явить на государственные испытания в НИИ ВВС КА к 16 но</w:t>
      </w:r>
      <w:r w:rsidRPr="00271E51">
        <w:rPr>
          <w:rFonts w:ascii="Times New Roman" w:cs="Times New Roman"/>
          <w:color w:val="000000" w:themeColor="text1"/>
          <w:spacing w:val="0"/>
        </w:rPr>
        <w:softHyphen/>
        <w:t>ября с.г. со следующими данными:</w:t>
      </w:r>
    </w:p>
    <w:p w14:paraId="4E1339DA"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максимальная скорость у земли -  430 км/час</w:t>
      </w:r>
    </w:p>
    <w:p w14:paraId="529F310B"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максимальная скорость на высоте 2500 мт -  450 км/час</w:t>
      </w:r>
    </w:p>
    <w:p w14:paraId="40294C76"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наивыгоднейшая дальность при нор</w:t>
      </w:r>
      <w:r w:rsidRPr="00271E51">
        <w:rPr>
          <w:rFonts w:ascii="Times New Roman" w:cs="Times New Roman"/>
          <w:color w:val="000000" w:themeColor="text1"/>
          <w:spacing w:val="0"/>
        </w:rPr>
        <w:softHyphen/>
        <w:t>мальном полетном весе - 900 км</w:t>
      </w:r>
    </w:p>
    <w:p w14:paraId="0B672010"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наивыгоднейшая дальность в пере</w:t>
      </w:r>
      <w:r w:rsidRPr="00271E51">
        <w:rPr>
          <w:rFonts w:ascii="Times New Roman" w:cs="Times New Roman"/>
          <w:color w:val="000000" w:themeColor="text1"/>
          <w:spacing w:val="0"/>
        </w:rPr>
        <w:softHyphen/>
        <w:t>грузочном варианте с подвесными бензобаками - 1100 км</w:t>
      </w:r>
    </w:p>
    <w:p w14:paraId="0E45CD73"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нормальная бомбовая нагрузка - 400 кг</w:t>
      </w:r>
    </w:p>
    <w:p w14:paraId="26E75AC5"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Вооружение:</w:t>
      </w:r>
    </w:p>
    <w:p w14:paraId="1491EE91"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вперед - две крыльевых пушки Волкова-Ярцева</w:t>
      </w:r>
    </w:p>
    <w:p w14:paraId="3D79F097"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калибра 23мм, с боезапасом 300 снарядов;</w:t>
      </w:r>
    </w:p>
    <w:p w14:paraId="0A0FA860"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два крыльевых пулемета Шкасс калибра 7,62мм с боезапасом 1 тыс.патронов;</w:t>
      </w:r>
    </w:p>
    <w:p w14:paraId="15BB2459"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назад - один пулемет Березина,калибра 12,7мм на верхней подвижной установке,с бое</w:t>
      </w:r>
      <w:r w:rsidRPr="00271E51">
        <w:rPr>
          <w:rFonts w:ascii="Times New Roman" w:cs="Times New Roman"/>
          <w:color w:val="000000" w:themeColor="text1"/>
          <w:spacing w:val="0"/>
        </w:rPr>
        <w:softHyphen/>
        <w:t>запасом 150 патронов.</w:t>
      </w:r>
    </w:p>
    <w:p w14:paraId="476E2A05" w14:textId="77777777" w:rsidR="00FC1EB4" w:rsidRPr="00271E51" w:rsidRDefault="00FC1EB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Обязать Командующего ВВС КА т.Новикова до 1 де</w:t>
      </w:r>
      <w:r w:rsidRPr="00271E51">
        <w:rPr>
          <w:rFonts w:ascii="Times New Roman" w:cs="Times New Roman"/>
          <w:color w:val="000000" w:themeColor="text1"/>
          <w:spacing w:val="0"/>
        </w:rPr>
        <w:softHyphen/>
        <w:t>кабря с.г.провести в НИИ ВВС государственные испытания самолета "Ил" с мотором АМ-42.</w:t>
      </w:r>
    </w:p>
    <w:p w14:paraId="684EEACA" w14:textId="77777777" w:rsidR="00FC1EB4" w:rsidRPr="00271E51" w:rsidRDefault="00FC1EB4" w:rsidP="00271E51">
      <w:pPr>
        <w:pStyle w:val="27"/>
        <w:framePr w:h="199" w:wrap="around" w:vAnchor="text" w:hAnchor="margin" w:x="4241" w:y="1086"/>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И.СТАЛИН</w:t>
      </w:r>
    </w:p>
    <w:p w14:paraId="36923395" w14:textId="77777777" w:rsidR="00FC1EB4" w:rsidRPr="00271E51" w:rsidRDefault="00FC1EB4" w:rsidP="00271E51">
      <w:pPr>
        <w:pStyle w:val="27"/>
        <w:shd w:val="clear" w:color="auto" w:fill="auto"/>
        <w:tabs>
          <w:tab w:val="left" w:pos="1753"/>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З.Обяэать Наркомавиапром - т.Шахурина по окончании государственных испытаний представить' ГОКО предложения о </w:t>
      </w:r>
      <w:r w:rsidRPr="00271E51">
        <w:rPr>
          <w:rFonts w:ascii="Times New Roman" w:cs="Times New Roman"/>
          <w:color w:val="000000" w:themeColor="text1"/>
          <w:spacing w:val="0"/>
          <w:lang w:val="en-US"/>
        </w:rPr>
        <w:t>sanycKj</w:t>
      </w:r>
      <w:r w:rsidRPr="00271E51">
        <w:rPr>
          <w:rFonts w:ascii="Times New Roman" w:cs="Times New Roman"/>
          <w:color w:val="000000" w:themeColor="text1"/>
          <w:spacing w:val="0"/>
        </w:rPr>
        <w:t>^</w:t>
      </w:r>
      <w:r w:rsidRPr="00271E51">
        <w:rPr>
          <w:rFonts w:ascii="Times New Roman" w:cs="Times New Roman"/>
          <w:color w:val="000000" w:themeColor="text1"/>
          <w:spacing w:val="0"/>
          <w:lang w:val="en-US"/>
        </w:rPr>
        <w:t>Rj</w:t>
      </w:r>
      <w:r w:rsidRPr="00271E51">
        <w:rPr>
          <w:rFonts w:ascii="Times New Roman" w:cs="Times New Roman"/>
          <w:color w:val="000000" w:themeColor="text1"/>
          <w:spacing w:val="0"/>
        </w:rPr>
        <w:t>серийное производство бронированного штурмо</w:t>
      </w:r>
      <w:r w:rsidRPr="00271E51">
        <w:rPr>
          <w:rFonts w:ascii="Times New Roman" w:cs="Times New Roman"/>
          <w:color w:val="000000" w:themeColor="text1"/>
          <w:spacing w:val="0"/>
        </w:rPr>
        <w:softHyphen/>
        <w:t>вика</w:t>
      </w:r>
      <w:r w:rsidRPr="00271E51">
        <w:rPr>
          <w:rFonts w:ascii="Times New Roman" w:cs="Times New Roman"/>
          <w:color w:val="000000" w:themeColor="text1"/>
          <w:spacing w:val="0"/>
        </w:rPr>
        <w:tab/>
        <w:t>АМ-42 и мотора АМ-42 (19426).</w:t>
      </w:r>
    </w:p>
    <w:p w14:paraId="21D199B2" w14:textId="77777777" w:rsidR="00AD34DF" w:rsidRPr="00271E51" w:rsidRDefault="00AD34D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020ED8" w14:textId="77777777" w:rsidR="00F371F5" w:rsidRPr="00271E51" w:rsidRDefault="00F371F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по инициативе ВВС вышло постановление ГКО № 4427сс, согласно которому НКАП (Шахурин) и Ильюшин должны были не позднее 15 ноября предъявить на государственные испытания модернизированные самолеты Ил-2 с мотором АМ-42 в вариантах штурмовика и разведчика-корректировщика.</w:t>
      </w:r>
    </w:p>
    <w:p w14:paraId="47002B64" w14:textId="77777777" w:rsidR="00F371F5" w:rsidRPr="00271E51" w:rsidRDefault="00F371F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 срочно выезжает в Куйбышев для оценки реальной обстановки и возможностей заводов № 1 и № 18 по изготовлению опытных самолетов Ил-1 АМ-42 в одноместном и двухместном вариантах.</w:t>
      </w:r>
    </w:p>
    <w:p w14:paraId="6C8D7AA3" w14:textId="77777777" w:rsidR="00F371F5" w:rsidRPr="00271E51" w:rsidRDefault="00F371F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возвращении в Москву Ильюшин доложил Шахурину, что работы по одноместному истребителю Ил-1 АМ-42 на заводе № 18 следует прекратить, сосредоточив усилия завода на постройке двух экземпляров двухместного Ил-1 и одного комплекта агрегатов для проведения статических испытаний (17490).</w:t>
      </w:r>
    </w:p>
    <w:p w14:paraId="0AA6A652" w14:textId="77777777" w:rsidR="00F371F5" w:rsidRPr="00271E51" w:rsidRDefault="00F371F5" w:rsidP="00271E51">
      <w:pPr>
        <w:spacing w:after="0" w:line="240" w:lineRule="auto"/>
        <w:jc w:val="both"/>
        <w:rPr>
          <w:rFonts w:ascii="Times New Roman" w:hAnsi="Times New Roman"/>
          <w:color w:val="000000" w:themeColor="text1"/>
          <w:sz w:val="16"/>
          <w:szCs w:val="16"/>
        </w:rPr>
      </w:pPr>
    </w:p>
    <w:p w14:paraId="36474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 Постановлением ГОКО № 4427 С.В.Ильюшин обязывался предъявить новые машины на государственные испытания не позднее 15 ноября 1943 г.</w:t>
      </w:r>
    </w:p>
    <w:p w14:paraId="67C345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двухместный Ил-1 должен был иметь:</w:t>
      </w:r>
    </w:p>
    <w:p w14:paraId="494E9C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максимальную скорость у земли - 445 км/ч, а на высоте 2000 м - 450 км/ч; наибольшую дальность полета при нормальном взлетном весе - 900 км; нормальную бомбовую нагрузку - 400 кг (в перегрузку - 600 кг);</w:t>
      </w:r>
    </w:p>
    <w:p w14:paraId="67E0CD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состоящее из двух пушек ВЯ с боезапасом 300 снарядов, двух пулеметов ШКАС с боекомплектом в 1500 патронов и одного оборонительного 12,7-мм пулемета М. Е. Березина УБК с боезапасом 150 патронов (9649).</w:t>
      </w:r>
    </w:p>
    <w:p w14:paraId="363631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235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появилось постановление ГКО, которое требовало предъявить Ил-1 на государственные испы</w:t>
      </w:r>
      <w:r w:rsidRPr="00271E51">
        <w:rPr>
          <w:rFonts w:ascii="Times New Roman" w:hAnsi="Times New Roman"/>
          <w:color w:val="000000" w:themeColor="text1"/>
          <w:sz w:val="16"/>
          <w:szCs w:val="16"/>
        </w:rPr>
        <w:softHyphen/>
        <w:t xml:space="preserve">тания не позднее 15 ноября. В этом же документе </w:t>
      </w:r>
      <w:r w:rsidRPr="00271E51">
        <w:rPr>
          <w:rFonts w:ascii="Times New Roman" w:hAnsi="Times New Roman"/>
          <w:color w:val="000000" w:themeColor="text1"/>
          <w:sz w:val="16"/>
          <w:szCs w:val="16"/>
        </w:rPr>
        <w:lastRenderedPageBreak/>
        <w:t>указывалось, что двухмест</w:t>
      </w:r>
      <w:r w:rsidRPr="00271E51">
        <w:rPr>
          <w:rFonts w:ascii="Times New Roman" w:hAnsi="Times New Roman"/>
          <w:color w:val="000000" w:themeColor="text1"/>
          <w:sz w:val="16"/>
          <w:szCs w:val="16"/>
        </w:rPr>
        <w:softHyphen/>
        <w:t>ный Ил-1 должен иметь максимальную скорость у земли — 445 км/ч, на высоте 2000 м — 450 км/ч; наибольшую даль</w:t>
      </w:r>
      <w:r w:rsidRPr="00271E51">
        <w:rPr>
          <w:rFonts w:ascii="Times New Roman" w:hAnsi="Times New Roman"/>
          <w:color w:val="000000" w:themeColor="text1"/>
          <w:sz w:val="16"/>
          <w:szCs w:val="16"/>
        </w:rPr>
        <w:softHyphen/>
        <w:t>ность полета при нормальном взлетном весе 6000 кг — 900 км; вооружение из двух пушек ВЯ-23 калибра 23 мм с бое</w:t>
      </w:r>
      <w:r w:rsidRPr="00271E51">
        <w:rPr>
          <w:rFonts w:ascii="Times New Roman" w:hAnsi="Times New Roman"/>
          <w:color w:val="000000" w:themeColor="text1"/>
          <w:sz w:val="16"/>
          <w:szCs w:val="16"/>
        </w:rPr>
        <w:softHyphen/>
        <w:t>запасом 300 снарядов, двух пулеметов ШКАС с боекомплектом в 1500 патронов и одного оборонительного 12,7-мм пуле</w:t>
      </w:r>
      <w:r w:rsidRPr="00271E51">
        <w:rPr>
          <w:rFonts w:ascii="Times New Roman" w:hAnsi="Times New Roman"/>
          <w:color w:val="000000" w:themeColor="text1"/>
          <w:sz w:val="16"/>
          <w:szCs w:val="16"/>
        </w:rPr>
        <w:softHyphen/>
        <w:t>мета УБТ с запасом в 150 патронов (10680).</w:t>
      </w:r>
    </w:p>
    <w:p w14:paraId="4DAC9C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DB8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4427 О проведении летных испытаний бронированного штурмовика Ил с мотором АМ-42.РГАНИР, Фонд ГКО, д. 169, лл. 1 (11012).</w:t>
      </w:r>
    </w:p>
    <w:p w14:paraId="1369C0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0E5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w:t>
      </w:r>
      <w:r w:rsidRPr="00271E51">
        <w:rPr>
          <w:rFonts w:ascii="Times New Roman" w:hAnsi="Times New Roman"/>
          <w:color w:val="000000" w:themeColor="text1"/>
          <w:sz w:val="16"/>
          <w:szCs w:val="16"/>
        </w:rPr>
        <w:softHyphen/>
        <w:t>становление ГОКО, которое требо</w:t>
      </w:r>
      <w:r w:rsidRPr="00271E51">
        <w:rPr>
          <w:rFonts w:ascii="Times New Roman" w:hAnsi="Times New Roman"/>
          <w:color w:val="000000" w:themeColor="text1"/>
          <w:sz w:val="16"/>
          <w:szCs w:val="16"/>
        </w:rPr>
        <w:softHyphen/>
        <w:t>вало не позднее 15 ноября предъя</w:t>
      </w:r>
      <w:r w:rsidRPr="00271E51">
        <w:rPr>
          <w:rFonts w:ascii="Times New Roman" w:hAnsi="Times New Roman"/>
          <w:color w:val="000000" w:themeColor="text1"/>
          <w:sz w:val="16"/>
          <w:szCs w:val="16"/>
        </w:rPr>
        <w:softHyphen/>
        <w:t>вить на государственные испытания истребитель Ил-1 АМ-42 в одномес</w:t>
      </w:r>
      <w:r w:rsidRPr="00271E51">
        <w:rPr>
          <w:rFonts w:ascii="Times New Roman" w:hAnsi="Times New Roman"/>
          <w:color w:val="000000" w:themeColor="text1"/>
          <w:sz w:val="16"/>
          <w:szCs w:val="16"/>
        </w:rPr>
        <w:softHyphen/>
        <w:t>тном и двухместном варианте и са</w:t>
      </w:r>
      <w:r w:rsidRPr="00271E51">
        <w:rPr>
          <w:rFonts w:ascii="Times New Roman" w:hAnsi="Times New Roman"/>
          <w:color w:val="000000" w:themeColor="text1"/>
          <w:sz w:val="16"/>
          <w:szCs w:val="16"/>
        </w:rPr>
        <w:softHyphen/>
        <w:t>молеты Ил-2 АМ-42 в вариантах штурмовика и разведчика-корректи</w:t>
      </w:r>
      <w:r w:rsidRPr="00271E51">
        <w:rPr>
          <w:rFonts w:ascii="Times New Roman" w:hAnsi="Times New Roman"/>
          <w:color w:val="000000" w:themeColor="text1"/>
          <w:sz w:val="16"/>
          <w:szCs w:val="16"/>
        </w:rPr>
        <w:softHyphen/>
        <w:t>ровщика.</w:t>
      </w:r>
    </w:p>
    <w:p w14:paraId="324A75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необходимо добавить, что военные на основе анализа двухлет</w:t>
      </w:r>
      <w:r w:rsidRPr="00271E51">
        <w:rPr>
          <w:rFonts w:ascii="Times New Roman" w:hAnsi="Times New Roman"/>
          <w:color w:val="000000" w:themeColor="text1"/>
          <w:sz w:val="16"/>
          <w:szCs w:val="16"/>
        </w:rPr>
        <w:softHyphen/>
        <w:t>него опыта войны пришли к выводу, что из всех летно-технических харак</w:t>
      </w:r>
      <w:r w:rsidRPr="00271E51">
        <w:rPr>
          <w:rFonts w:ascii="Times New Roman" w:hAnsi="Times New Roman"/>
          <w:color w:val="000000" w:themeColor="text1"/>
          <w:sz w:val="16"/>
          <w:szCs w:val="16"/>
        </w:rPr>
        <w:softHyphen/>
        <w:t>теристик самолетов маневренность оказывает решающее влияние на жи</w:t>
      </w:r>
      <w:r w:rsidRPr="00271E51">
        <w:rPr>
          <w:rFonts w:ascii="Times New Roman" w:hAnsi="Times New Roman"/>
          <w:color w:val="000000" w:themeColor="text1"/>
          <w:sz w:val="16"/>
          <w:szCs w:val="16"/>
        </w:rPr>
        <w:softHyphen/>
        <w:t>вучесть в бою при действиях по на</w:t>
      </w:r>
      <w:r w:rsidRPr="00271E51">
        <w:rPr>
          <w:rFonts w:ascii="Times New Roman" w:hAnsi="Times New Roman"/>
          <w:color w:val="000000" w:themeColor="text1"/>
          <w:sz w:val="16"/>
          <w:szCs w:val="16"/>
        </w:rPr>
        <w:softHyphen/>
        <w:t>земным целям. При этом особое вни</w:t>
      </w:r>
      <w:r w:rsidRPr="00271E51">
        <w:rPr>
          <w:rFonts w:ascii="Times New Roman" w:hAnsi="Times New Roman"/>
          <w:color w:val="000000" w:themeColor="text1"/>
          <w:sz w:val="16"/>
          <w:szCs w:val="16"/>
        </w:rPr>
        <w:softHyphen/>
        <w:t>мание обращалось на оснащение перспективного самолета-штурмови</w:t>
      </w:r>
      <w:r w:rsidRPr="00271E51">
        <w:rPr>
          <w:rFonts w:ascii="Times New Roman" w:hAnsi="Times New Roman"/>
          <w:color w:val="000000" w:themeColor="text1"/>
          <w:sz w:val="16"/>
          <w:szCs w:val="16"/>
        </w:rPr>
        <w:softHyphen/>
        <w:t>ка мотором воздушного охлаждения и на повышение эффективности бро</w:t>
      </w:r>
      <w:r w:rsidRPr="00271E51">
        <w:rPr>
          <w:rFonts w:ascii="Times New Roman" w:hAnsi="Times New Roman"/>
          <w:color w:val="000000" w:themeColor="text1"/>
          <w:sz w:val="16"/>
          <w:szCs w:val="16"/>
        </w:rPr>
        <w:softHyphen/>
        <w:t>невой защиты при одновременном снижении доли брони в полетном весе.</w:t>
      </w:r>
    </w:p>
    <w:p w14:paraId="6D86BF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наметилась явная тенденция к снижению интереса ВВС к самолетам многоцелевого назна</w:t>
      </w:r>
      <w:r w:rsidRPr="00271E51">
        <w:rPr>
          <w:rFonts w:ascii="Times New Roman" w:hAnsi="Times New Roman"/>
          <w:color w:val="000000" w:themeColor="text1"/>
          <w:sz w:val="16"/>
          <w:szCs w:val="16"/>
        </w:rPr>
        <w:softHyphen/>
        <w:t>чения и повышению его к маневрен</w:t>
      </w:r>
      <w:r w:rsidRPr="00271E51">
        <w:rPr>
          <w:rFonts w:ascii="Times New Roman" w:hAnsi="Times New Roman"/>
          <w:color w:val="000000" w:themeColor="text1"/>
          <w:sz w:val="16"/>
          <w:szCs w:val="16"/>
        </w:rPr>
        <w:softHyphen/>
        <w:t>ным штурмовикам,предназначенным исключительно для решения боевых задач непосредственной поддержки войск. Для такой специализации уже были созданы необходимые условия: превосходство в воздухе на главных операционных направлениях в целом завоевано советскими ВВС, вопрос о количестве самолетов в основном решен, имелась уверенность в ско</w:t>
      </w:r>
      <w:r w:rsidRPr="00271E51">
        <w:rPr>
          <w:rFonts w:ascii="Times New Roman" w:hAnsi="Times New Roman"/>
          <w:color w:val="000000" w:themeColor="text1"/>
          <w:sz w:val="16"/>
          <w:szCs w:val="16"/>
        </w:rPr>
        <w:softHyphen/>
        <w:t>ром налаживании устойчивого про</w:t>
      </w:r>
      <w:r w:rsidRPr="00271E51">
        <w:rPr>
          <w:rFonts w:ascii="Times New Roman" w:hAnsi="Times New Roman"/>
          <w:color w:val="000000" w:themeColor="text1"/>
          <w:sz w:val="16"/>
          <w:szCs w:val="16"/>
        </w:rPr>
        <w:softHyphen/>
        <w:t>изводства весьма сильного фронто</w:t>
      </w:r>
      <w:r w:rsidRPr="00271E51">
        <w:rPr>
          <w:rFonts w:ascii="Times New Roman" w:hAnsi="Times New Roman"/>
          <w:color w:val="000000" w:themeColor="text1"/>
          <w:sz w:val="16"/>
          <w:szCs w:val="16"/>
        </w:rPr>
        <w:softHyphen/>
        <w:t>вого бомбардировщика Ту-2, а в качестве пикировщика военных впол</w:t>
      </w:r>
      <w:r w:rsidRPr="00271E51">
        <w:rPr>
          <w:rFonts w:ascii="Times New Roman" w:hAnsi="Times New Roman"/>
          <w:color w:val="000000" w:themeColor="text1"/>
          <w:sz w:val="16"/>
          <w:szCs w:val="16"/>
        </w:rPr>
        <w:softHyphen/>
        <w:t>не устраивала проверенная в боях "пешка". Для обеспечения качествен</w:t>
      </w:r>
      <w:r w:rsidRPr="00271E51">
        <w:rPr>
          <w:rFonts w:ascii="Times New Roman" w:hAnsi="Times New Roman"/>
          <w:color w:val="000000" w:themeColor="text1"/>
          <w:sz w:val="16"/>
          <w:szCs w:val="16"/>
        </w:rPr>
        <w:softHyphen/>
        <w:t>ного скачка ударных возможностей ВВС в кампании 1944 г. оставалось только решить вопрос о современ</w:t>
      </w:r>
      <w:r w:rsidRPr="00271E51">
        <w:rPr>
          <w:rFonts w:ascii="Times New Roman" w:hAnsi="Times New Roman"/>
          <w:color w:val="000000" w:themeColor="text1"/>
          <w:sz w:val="16"/>
          <w:szCs w:val="16"/>
        </w:rPr>
        <w:softHyphen/>
        <w:t>ном самолете-штурмовике.</w:t>
      </w:r>
    </w:p>
    <w:p w14:paraId="657D69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документам, НИИ ВВС и руководство ВВС КА отчетливо по</w:t>
      </w:r>
      <w:r w:rsidRPr="00271E51">
        <w:rPr>
          <w:rFonts w:ascii="Times New Roman" w:hAnsi="Times New Roman"/>
          <w:color w:val="000000" w:themeColor="text1"/>
          <w:sz w:val="16"/>
          <w:szCs w:val="16"/>
        </w:rPr>
        <w:softHyphen/>
        <w:t>нимали, что Су-6 М-71ф является именно тем ударным самолетом, ко</w:t>
      </w:r>
      <w:r w:rsidRPr="00271E51">
        <w:rPr>
          <w:rFonts w:ascii="Times New Roman" w:hAnsi="Times New Roman"/>
          <w:color w:val="000000" w:themeColor="text1"/>
          <w:sz w:val="16"/>
          <w:szCs w:val="16"/>
        </w:rPr>
        <w:softHyphen/>
        <w:t>торого недостает в системе воору</w:t>
      </w:r>
      <w:r w:rsidRPr="00271E51">
        <w:rPr>
          <w:rFonts w:ascii="Times New Roman" w:hAnsi="Times New Roman"/>
          <w:color w:val="000000" w:themeColor="text1"/>
          <w:sz w:val="16"/>
          <w:szCs w:val="16"/>
        </w:rPr>
        <w:softHyphen/>
        <w:t>жений ВВС, и в силу этого были пол</w:t>
      </w:r>
      <w:r w:rsidRPr="00271E51">
        <w:rPr>
          <w:rFonts w:ascii="Times New Roman" w:hAnsi="Times New Roman"/>
          <w:color w:val="000000" w:themeColor="text1"/>
          <w:sz w:val="16"/>
          <w:szCs w:val="16"/>
        </w:rPr>
        <w:softHyphen/>
        <w:t>ны решимости, отстаивать свои ин</w:t>
      </w:r>
      <w:r w:rsidRPr="00271E51">
        <w:rPr>
          <w:rFonts w:ascii="Times New Roman" w:hAnsi="Times New Roman"/>
          <w:color w:val="000000" w:themeColor="text1"/>
          <w:sz w:val="16"/>
          <w:szCs w:val="16"/>
        </w:rPr>
        <w:softHyphen/>
        <w:t>тересы. По их мнению, возможности для постановки в серию "семьдесят первого" мотора и самолета Су-6 с ним у НКАП имелись (11427).</w:t>
      </w:r>
    </w:p>
    <w:p w14:paraId="1744FF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582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ГКО своим Постановлением потребовало от Ильюшина и директоров заводов не позднее 15 ноября предъявить на госиспытания Ил-1 в одноместном и двухместном варианте и Ил-2 АМ-42 в вариантах штурмовика и разведчика-корректировщика.</w:t>
      </w:r>
    </w:p>
    <w:p w14:paraId="4D4BE3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Сроки подачи на испытания бронированного истребителя Ил-1 с лучшими летными данными не выполнялись: они трижды переносились и трижды срывались.</w:t>
      </w:r>
    </w:p>
    <w:p w14:paraId="73699B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уложиться в заданные сроки Ильюшин предложил на госиспытания предъявить разведчик-корректировщик Ил-2 АМ-42 (РК) в варианте штурмовика. Штурмовой вариант "следопыта" имел бы увеличенную дальность полета за счет большего запаса горючего (1020 л вместо 840 л), бомбовую нагрузку 600 кг (в перегрузку 1000 кг), менее мощное радиосвязное оборудование и один фотоаппарат для плановой съемки вместо двух. Других отличий не было. Фактически предлагался один и тот же самолет, но с разными вариантами полезной нагрузки (12020).</w:t>
      </w:r>
    </w:p>
    <w:p w14:paraId="356CD3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5EB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ГИ ВВС Репин писал письмо N 615643 НКАП А.И.Ш. о том, что моторы выходят из строя от износа поршневых колец на пыльных аэродромах и просил указаний ГК Як и ЛаГГ по доработке пылефильтров для Як-1, як-7, Як-9 и ЛаГГ-1 (1780).</w:t>
      </w:r>
    </w:p>
    <w:p w14:paraId="3758A7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677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N 4410 по Як-3 ПФ-2 (805,5) на 292 заводе вместо Як-1 и там-то и было записано "Модифицированный самолет Як-1 именовать Як-3 (65,172).</w:t>
      </w:r>
    </w:p>
    <w:p w14:paraId="61B73B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634FA"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г. Постановлением ГКО № 4410 «москит» А.С.Я. был принят на вооружение. Поскольку в то время еще велись работы по другим истребителям Яковлева, именовавшимся Як-1М, тем же документом самолету было присвоено обозначение Як-3. Другие машины, проходившие ранее под индексом Як-3, были к тому времени либо переименованы, либо их испытания уже прекратились. К последним относился и самолет И-30 (22751).</w:t>
      </w:r>
    </w:p>
    <w:p w14:paraId="3FCB5627" w14:textId="77777777" w:rsidR="00C60F68" w:rsidRPr="00271E51" w:rsidRDefault="00C60F68" w:rsidP="00271E51">
      <w:pPr>
        <w:spacing w:after="0" w:line="240" w:lineRule="auto"/>
        <w:jc w:val="both"/>
        <w:rPr>
          <w:rFonts w:ascii="Times New Roman" w:hAnsi="Times New Roman"/>
          <w:color w:val="0070C0"/>
          <w:sz w:val="16"/>
          <w:szCs w:val="16"/>
        </w:rPr>
      </w:pPr>
    </w:p>
    <w:p w14:paraId="4D69567A"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26 октября </w:t>
      </w:r>
      <w:r w:rsidRPr="00271E51">
        <w:rPr>
          <w:rFonts w:ascii="Times New Roman" w:hAnsi="Times New Roman"/>
          <w:color w:val="000000" w:themeColor="text1"/>
          <w:sz w:val="16"/>
          <w:szCs w:val="16"/>
        </w:rPr>
        <w:t>в 1943 году подписан Приказ наркомата авиационной промышленности о начале серийного производства «Як-3». Изготовление первого серийного «Як-3» на заводе №292 (Саратов) завершено 1 марта 1944 года. В апреле началось производство на Тбилисском авиазаводе №31. Тогда же в апреле самолёт принят на вооружение ВВС. Летом 1944 года 41 «Як-3» успешно прошёл войсковые испытания в 91 истребительном авиационном полку. После этого на новые самолёты стали перевооружать и другие полки (14811).</w:t>
      </w:r>
    </w:p>
    <w:p w14:paraId="5D2757B1" w14:textId="77777777" w:rsidR="004A3A7A" w:rsidRPr="00271E51" w:rsidRDefault="004A3A7A" w:rsidP="00271E51">
      <w:pPr>
        <w:spacing w:after="0" w:line="240" w:lineRule="auto"/>
        <w:jc w:val="both"/>
        <w:rPr>
          <w:rFonts w:ascii="Times New Roman" w:hAnsi="Times New Roman"/>
          <w:color w:val="000000" w:themeColor="text1"/>
          <w:sz w:val="16"/>
          <w:szCs w:val="16"/>
        </w:rPr>
      </w:pPr>
    </w:p>
    <w:p w14:paraId="495C05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года в соответствии с постановлением ГКО Истребитель Як-1М запустили в серийное производство на саратовском авиазаводе №292 под обозначением Як-3. При этом документом оговаривались нормальный взлетный вес самолета - 2670 кг, максимальная скорость у земли - 570 км/ч и на 2-й границе высотности - 650 км/ч. Время набора высоты 5000 метров должно было быть не более 4 минут.</w:t>
      </w:r>
    </w:p>
    <w:p w14:paraId="6A3F94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Переход от выпуска Як-1 к Як-3 должен был происходить без снижения объемов изготовления предшественника. Первый серийный экземпляр Як-3 (заводской №0601) построили 1 марта 1944 года, и спустя неделю состоялся его пробный 10-минутный полет.</w:t>
      </w:r>
    </w:p>
    <w:p w14:paraId="242DBD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самолетов первых двенадцати серий состояло из пушки МП-20 и пулемета БС. В таком виде было выпущено 197 машин, и лишь с 13-й серии перешли к сдаче самолетов с пушкой МП-20 и двумя БСами.</w:t>
      </w:r>
    </w:p>
    <w:p w14:paraId="09CB3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истребителей переходного периода заметно ухудшились. Так, максимальная скорость снизилась на 15- 20 км/ч, время набора высоты 5000 метров возросло на 0,5 минуты, практический потолок упал на 500 метров, а время виража на 1000 метрах увеличилось на одну - две секунды. Естественно Як-3 стал набирать меньшую высоту на боевом развороте.</w:t>
      </w:r>
    </w:p>
    <w:p w14:paraId="55288E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 тому было немало. Это низкая культура производства, повлекшая за собой утяжеление машины (до 45 кг), и уменьшенный запас горючего, и, конечно, низкое качество отделки внешней поверхности истребителя. Эти недостатки удалось устранить совместными усилиями ОКБ, ЛИИ и ЦАГИ совместно с серийными заводами, и начиная с 16-й серии самолеты стали соответствовать по своим летным данным "Дублеру".</w:t>
      </w:r>
    </w:p>
    <w:p w14:paraId="0FF0EA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войсковых испытаний дал о себе знать серьезный дефект, свойственный машинам с крылом смешанной конструкции. На самолете №0208 сорвало обшивку во время воздушного боя при выводе из пикирования. Укрепить обшивку пытались путем увеличения площади приклея, усиления крепления обшивки с помощью шпилек и болтов, но полностью избавиться от опасного дефекта удалось, лишь перейдя к цельнометаллическому крылу.</w:t>
      </w:r>
    </w:p>
    <w:p w14:paraId="286C63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серийного производства постоянно проводились контрольные испытания самолетов как на заводе, так и в НИИ ВВС. Так, осенью 1944 года провели заводские испытания четырех Як-3 и эксплуатационные одного истребителя №0528, показавшие, что их летные и весовые данные находятся в пределах заданных техническими условиями заказчика (12047).</w:t>
      </w:r>
    </w:p>
    <w:p w14:paraId="61306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E5E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4428 О выпуске самолетов Як-9 на заводе № 153 НКАП.РГАНИР, Фонд ГКО, д. 169, лл. 2-3 (11012).</w:t>
      </w:r>
    </w:p>
    <w:p w14:paraId="0BBE5C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10F6D"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4428 О выпуске самолетов Як-9 на заводе № 153 НКАП</w:t>
      </w:r>
    </w:p>
    <w:p w14:paraId="40B99C11" w14:textId="77777777" w:rsidR="00FC1EB4" w:rsidRPr="00271E51" w:rsidRDefault="00FC1EB4" w:rsidP="00271E51">
      <w:pPr>
        <w:pStyle w:val="5f0"/>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Государственный Комитет Обороны постановляет:</w:t>
      </w:r>
    </w:p>
    <w:p w14:paraId="2BA51F5B" w14:textId="77777777" w:rsidR="00FC1EB4" w:rsidRPr="00271E51" w:rsidRDefault="00FC1EB4" w:rsidP="00271E51">
      <w:pPr>
        <w:pStyle w:val="5f0"/>
        <w:shd w:val="clear" w:color="auto" w:fill="auto"/>
        <w:tabs>
          <w:tab w:val="left" w:pos="1843"/>
        </w:tabs>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1. Обязать Наркомавиапром т.Шахурина и директора завода 13 </w:t>
      </w:r>
      <w:r w:rsidRPr="00271E51">
        <w:rPr>
          <w:rStyle w:val="0pt"/>
          <w:rFonts w:ascii="Times New Roman" w:hAnsi="Times New Roman" w:cs="Times New Roman"/>
          <w:color w:val="000000" w:themeColor="text1"/>
          <w:spacing w:val="0"/>
          <w:sz w:val="16"/>
          <w:szCs w:val="16"/>
        </w:rPr>
        <w:t>153</w:t>
      </w:r>
      <w:r w:rsidRPr="00271E51">
        <w:rPr>
          <w:rFonts w:ascii="Times New Roman" w:hAnsi="Times New Roman" w:cs="Times New Roman"/>
          <w:color w:val="000000" w:themeColor="text1"/>
          <w:sz w:val="16"/>
          <w:szCs w:val="16"/>
        </w:rPr>
        <w:t xml:space="preserve"> т.Лисицына осуществить на заводе № </w:t>
      </w:r>
      <w:r w:rsidRPr="00271E51">
        <w:rPr>
          <w:rStyle w:val="0pt"/>
          <w:rFonts w:ascii="Times New Roman" w:hAnsi="Times New Roman" w:cs="Times New Roman"/>
          <w:color w:val="000000" w:themeColor="text1"/>
          <w:spacing w:val="0"/>
          <w:sz w:val="16"/>
          <w:szCs w:val="16"/>
        </w:rPr>
        <w:t xml:space="preserve">153 </w:t>
      </w:r>
      <w:r w:rsidRPr="00271E51">
        <w:rPr>
          <w:rFonts w:ascii="Times New Roman" w:hAnsi="Times New Roman" w:cs="Times New Roman"/>
          <w:color w:val="000000" w:themeColor="text1"/>
          <w:sz w:val="16"/>
          <w:szCs w:val="16"/>
        </w:rPr>
        <w:t>переход полностью на производство самолетов Як-9 без снижения достигнутого уровня выпуска самолетов.</w:t>
      </w:r>
    </w:p>
    <w:p w14:paraId="78B09E1A" w14:textId="77777777" w:rsidR="00FC1EB4" w:rsidRPr="00271E51" w:rsidRDefault="00FC1EB4" w:rsidP="00271E51">
      <w:pPr>
        <w:pStyle w:val="5f0"/>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Производство самолетов Як-7 к концу декабря прек</w:t>
      </w:r>
      <w:r w:rsidRPr="00271E51">
        <w:rPr>
          <w:rFonts w:ascii="Times New Roman" w:hAnsi="Times New Roman" w:cs="Times New Roman"/>
          <w:color w:val="000000" w:themeColor="text1"/>
          <w:sz w:val="16"/>
          <w:szCs w:val="16"/>
        </w:rPr>
        <w:softHyphen/>
        <w:t>ратить.</w:t>
      </w:r>
    </w:p>
    <w:p w14:paraId="2AAE468E" w14:textId="77777777" w:rsidR="00FC1EB4" w:rsidRPr="00271E51" w:rsidRDefault="00FC1EB4" w:rsidP="00271E51">
      <w:pPr>
        <w:pStyle w:val="5f0"/>
        <w:shd w:val="clear" w:color="auto" w:fill="auto"/>
        <w:tabs>
          <w:tab w:val="left" w:pos="1843"/>
        </w:tabs>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2. Обязать завод № </w:t>
      </w:r>
      <w:r w:rsidRPr="00271E51">
        <w:rPr>
          <w:rStyle w:val="0pt"/>
          <w:rFonts w:ascii="Times New Roman" w:hAnsi="Times New Roman" w:cs="Times New Roman"/>
          <w:color w:val="000000" w:themeColor="text1"/>
          <w:spacing w:val="0"/>
          <w:sz w:val="16"/>
          <w:szCs w:val="16"/>
        </w:rPr>
        <w:t>153</w:t>
      </w:r>
      <w:r w:rsidRPr="00271E51">
        <w:rPr>
          <w:rFonts w:ascii="Times New Roman" w:hAnsi="Times New Roman" w:cs="Times New Roman"/>
          <w:color w:val="000000" w:themeColor="text1"/>
          <w:sz w:val="16"/>
          <w:szCs w:val="16"/>
        </w:rPr>
        <w:t xml:space="preserve"> из общего выпуска самоле</w:t>
      </w:r>
      <w:r w:rsidRPr="00271E51">
        <w:rPr>
          <w:rFonts w:ascii="Times New Roman" w:hAnsi="Times New Roman" w:cs="Times New Roman"/>
          <w:color w:val="000000" w:themeColor="text1"/>
          <w:sz w:val="16"/>
          <w:szCs w:val="16"/>
        </w:rPr>
        <w:softHyphen/>
        <w:t xml:space="preserve">тов Як-9 выпускать ежемесячно </w:t>
      </w:r>
      <w:r w:rsidRPr="00271E51">
        <w:rPr>
          <w:rStyle w:val="0pt"/>
          <w:rFonts w:ascii="Times New Roman" w:hAnsi="Times New Roman" w:cs="Times New Roman"/>
          <w:color w:val="000000" w:themeColor="text1"/>
          <w:spacing w:val="0"/>
          <w:sz w:val="16"/>
          <w:szCs w:val="16"/>
        </w:rPr>
        <w:t>100</w:t>
      </w:r>
      <w:r w:rsidRPr="00271E51">
        <w:rPr>
          <w:rFonts w:ascii="Times New Roman" w:hAnsi="Times New Roman" w:cs="Times New Roman"/>
          <w:color w:val="000000" w:themeColor="text1"/>
          <w:sz w:val="16"/>
          <w:szCs w:val="16"/>
        </w:rPr>
        <w:t xml:space="preserve"> самолетов с 37 мм пушкой ОКБ-16 и одним пулеметом Березина калибра </w:t>
      </w:r>
      <w:r w:rsidRPr="00271E51">
        <w:rPr>
          <w:rStyle w:val="0pt"/>
          <w:rFonts w:ascii="Times New Roman" w:hAnsi="Times New Roman" w:cs="Times New Roman"/>
          <w:color w:val="000000" w:themeColor="text1"/>
          <w:spacing w:val="0"/>
          <w:sz w:val="16"/>
          <w:szCs w:val="16"/>
        </w:rPr>
        <w:t>12,7 мм</w:t>
      </w:r>
    </w:p>
    <w:p w14:paraId="7AD579D8" w14:textId="77777777" w:rsidR="00FC1EB4" w:rsidRPr="00271E51" w:rsidRDefault="00FC1EB4" w:rsidP="00271E51">
      <w:pPr>
        <w:pStyle w:val="5f0"/>
        <w:shd w:val="clear" w:color="auto" w:fill="auto"/>
        <w:tabs>
          <w:tab w:val="left" w:pos="1835"/>
        </w:tabs>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3. Принять к сведению сообщение Наркомавиапрома т.Шахурина и ВВС КА т.Никитина, что самолеты Як-9, вы</w:t>
      </w:r>
      <w:r w:rsidRPr="00271E51">
        <w:rPr>
          <w:rFonts w:ascii="Times New Roman" w:hAnsi="Times New Roman" w:cs="Times New Roman"/>
          <w:color w:val="000000" w:themeColor="text1"/>
          <w:sz w:val="16"/>
          <w:szCs w:val="16"/>
        </w:rPr>
        <w:softHyphen/>
        <w:t>пускаемые в серийном производстве с нормальны!.-: вооруже</w:t>
      </w:r>
      <w:r w:rsidRPr="00271E51">
        <w:rPr>
          <w:rFonts w:ascii="Times New Roman" w:hAnsi="Times New Roman" w:cs="Times New Roman"/>
          <w:color w:val="000000" w:themeColor="text1"/>
          <w:sz w:val="16"/>
          <w:szCs w:val="16"/>
        </w:rPr>
        <w:softHyphen/>
        <w:t>нием, а также вооруженные пушкой 37 мм, будут выпускаться впредь со следующей дальностью:</w:t>
      </w:r>
    </w:p>
    <w:p w14:paraId="6AB03F83" w14:textId="77777777" w:rsidR="00FC1EB4" w:rsidRPr="00271E51" w:rsidRDefault="00FC1EB4" w:rsidP="00271E51">
      <w:pPr>
        <w:pStyle w:val="5f0"/>
        <w:shd w:val="clear" w:color="auto" w:fill="auto"/>
        <w:tabs>
          <w:tab w:val="left" w:pos="1865"/>
        </w:tabs>
        <w:spacing w:before="0" w:line="240" w:lineRule="auto"/>
        <w:jc w:val="both"/>
        <w:rPr>
          <w:rFonts w:ascii="Times New Roman" w:hAnsi="Times New Roman" w:cs="Times New Roman"/>
          <w:color w:val="000000" w:themeColor="text1"/>
          <w:sz w:val="16"/>
          <w:szCs w:val="16"/>
        </w:rPr>
      </w:pPr>
      <w:r w:rsidRPr="00271E51">
        <w:rPr>
          <w:rStyle w:val="0pt"/>
          <w:rFonts w:ascii="Times New Roman" w:hAnsi="Times New Roman" w:cs="Times New Roman"/>
          <w:color w:val="000000" w:themeColor="text1"/>
          <w:spacing w:val="0"/>
          <w:sz w:val="16"/>
          <w:szCs w:val="16"/>
        </w:rPr>
        <w:t>а) 1100</w:t>
      </w:r>
      <w:r w:rsidRPr="00271E51">
        <w:rPr>
          <w:rFonts w:ascii="Times New Roman" w:hAnsi="Times New Roman" w:cs="Times New Roman"/>
          <w:color w:val="000000" w:themeColor="text1"/>
          <w:sz w:val="16"/>
          <w:szCs w:val="16"/>
        </w:rPr>
        <w:t xml:space="preserve"> километров на скорости </w:t>
      </w:r>
      <w:r w:rsidRPr="00271E51">
        <w:rPr>
          <w:rStyle w:val="0pt"/>
          <w:rFonts w:ascii="Times New Roman" w:hAnsi="Times New Roman" w:cs="Times New Roman"/>
          <w:color w:val="000000" w:themeColor="text1"/>
          <w:spacing w:val="0"/>
          <w:sz w:val="16"/>
          <w:szCs w:val="16"/>
        </w:rPr>
        <w:t>0,9</w:t>
      </w:r>
      <w:r w:rsidRPr="00271E51">
        <w:rPr>
          <w:rFonts w:ascii="Times New Roman" w:hAnsi="Times New Roman" w:cs="Times New Roman"/>
          <w:color w:val="000000" w:themeColor="text1"/>
          <w:sz w:val="16"/>
          <w:szCs w:val="16"/>
        </w:rPr>
        <w:t xml:space="preserve"> от максималь</w:t>
      </w:r>
      <w:r w:rsidRPr="00271E51">
        <w:rPr>
          <w:rFonts w:ascii="Times New Roman" w:hAnsi="Times New Roman" w:cs="Times New Roman"/>
          <w:color w:val="000000" w:themeColor="text1"/>
          <w:sz w:val="16"/>
          <w:szCs w:val="16"/>
        </w:rPr>
        <w:softHyphen/>
        <w:t xml:space="preserve">ной на высоте </w:t>
      </w:r>
      <w:r w:rsidRPr="00271E51">
        <w:rPr>
          <w:rStyle w:val="0pt"/>
          <w:rFonts w:ascii="Times New Roman" w:hAnsi="Times New Roman" w:cs="Times New Roman"/>
          <w:color w:val="000000" w:themeColor="text1"/>
          <w:spacing w:val="0"/>
          <w:sz w:val="16"/>
          <w:szCs w:val="16"/>
        </w:rPr>
        <w:t>4000</w:t>
      </w:r>
      <w:r w:rsidRPr="00271E51">
        <w:rPr>
          <w:rFonts w:ascii="Times New Roman" w:hAnsi="Times New Roman" w:cs="Times New Roman"/>
          <w:color w:val="000000" w:themeColor="text1"/>
          <w:sz w:val="16"/>
          <w:szCs w:val="16"/>
        </w:rPr>
        <w:t xml:space="preserve"> метров;</w:t>
      </w:r>
    </w:p>
    <w:p w14:paraId="06818219" w14:textId="77777777" w:rsidR="00FC1EB4" w:rsidRPr="00271E51" w:rsidRDefault="00FC1EB4" w:rsidP="00271E51">
      <w:pPr>
        <w:pStyle w:val="5f0"/>
        <w:shd w:val="clear" w:color="auto" w:fill="auto"/>
        <w:tabs>
          <w:tab w:val="left" w:pos="1858"/>
        </w:tabs>
        <w:spacing w:before="0" w:line="240" w:lineRule="auto"/>
        <w:jc w:val="both"/>
        <w:rPr>
          <w:rFonts w:ascii="Times New Roman" w:hAnsi="Times New Roman" w:cs="Times New Roman"/>
          <w:color w:val="000000" w:themeColor="text1"/>
          <w:sz w:val="16"/>
          <w:szCs w:val="16"/>
        </w:rPr>
      </w:pPr>
      <w:r w:rsidRPr="00271E51">
        <w:rPr>
          <w:rStyle w:val="0pt"/>
          <w:rFonts w:ascii="Times New Roman" w:hAnsi="Times New Roman" w:cs="Times New Roman"/>
          <w:color w:val="000000" w:themeColor="text1"/>
          <w:spacing w:val="0"/>
          <w:sz w:val="16"/>
          <w:szCs w:val="16"/>
        </w:rPr>
        <w:t>б) 1400</w:t>
      </w:r>
      <w:r w:rsidRPr="00271E51">
        <w:rPr>
          <w:rFonts w:ascii="Times New Roman" w:hAnsi="Times New Roman" w:cs="Times New Roman"/>
          <w:color w:val="000000" w:themeColor="text1"/>
          <w:sz w:val="16"/>
          <w:szCs w:val="16"/>
        </w:rPr>
        <w:t xml:space="preserve"> километров на наивыгоднейей скорости </w:t>
      </w:r>
      <w:r w:rsidRPr="00271E51">
        <w:rPr>
          <w:rStyle w:val="0pt"/>
          <w:rFonts w:ascii="Times New Roman" w:hAnsi="Times New Roman" w:cs="Times New Roman"/>
          <w:color w:val="000000" w:themeColor="text1"/>
          <w:spacing w:val="0"/>
          <w:sz w:val="16"/>
          <w:szCs w:val="16"/>
        </w:rPr>
        <w:t xml:space="preserve">350 </w:t>
      </w:r>
      <w:r w:rsidRPr="00271E51">
        <w:rPr>
          <w:rFonts w:ascii="Times New Roman" w:hAnsi="Times New Roman" w:cs="Times New Roman"/>
          <w:color w:val="000000" w:themeColor="text1"/>
          <w:sz w:val="16"/>
          <w:szCs w:val="16"/>
        </w:rPr>
        <w:t xml:space="preserve">км. в час на высоте </w:t>
      </w:r>
      <w:r w:rsidRPr="00271E51">
        <w:rPr>
          <w:rStyle w:val="0pt"/>
          <w:rFonts w:ascii="Times New Roman" w:hAnsi="Times New Roman" w:cs="Times New Roman"/>
          <w:color w:val="000000" w:themeColor="text1"/>
          <w:spacing w:val="0"/>
          <w:sz w:val="16"/>
          <w:szCs w:val="16"/>
        </w:rPr>
        <w:t>1000</w:t>
      </w:r>
      <w:r w:rsidRPr="00271E51">
        <w:rPr>
          <w:rFonts w:ascii="Times New Roman" w:hAnsi="Times New Roman" w:cs="Times New Roman"/>
          <w:color w:val="000000" w:themeColor="text1"/>
          <w:sz w:val="16"/>
          <w:szCs w:val="16"/>
        </w:rPr>
        <w:t xml:space="preserve"> метров.</w:t>
      </w:r>
    </w:p>
    <w:p w14:paraId="3168B613" w14:textId="77777777" w:rsidR="00FC1EB4" w:rsidRPr="00271E51" w:rsidRDefault="00FC1EB4" w:rsidP="00271E51">
      <w:pPr>
        <w:pStyle w:val="5f0"/>
        <w:shd w:val="clear" w:color="auto" w:fill="auto"/>
        <w:tabs>
          <w:tab w:val="left" w:pos="1883"/>
        </w:tabs>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 Обязать Главного конструктора т.-Яковлева:</w:t>
      </w:r>
    </w:p>
    <w:p w14:paraId="191DCB33" w14:textId="77777777" w:rsidR="00FC1EB4" w:rsidRPr="00271E51" w:rsidRDefault="00FC1EB4" w:rsidP="00271E51">
      <w:pPr>
        <w:pStyle w:val="5f0"/>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а) в месячный срок изготовить эталонный самолет йк-9, вооруженный одной пушкой калибра 23мм и двумя пу</w:t>
      </w:r>
      <w:r w:rsidRPr="00271E51">
        <w:rPr>
          <w:rFonts w:ascii="Times New Roman" w:hAnsi="Times New Roman" w:cs="Times New Roman"/>
          <w:color w:val="000000" w:themeColor="text1"/>
          <w:sz w:val="16"/>
          <w:szCs w:val="16"/>
        </w:rPr>
        <w:softHyphen/>
        <w:t xml:space="preserve">леметами калибра </w:t>
      </w:r>
      <w:r w:rsidRPr="00271E51">
        <w:rPr>
          <w:rStyle w:val="0pt"/>
          <w:rFonts w:ascii="Times New Roman" w:hAnsi="Times New Roman" w:cs="Times New Roman"/>
          <w:color w:val="000000" w:themeColor="text1"/>
          <w:spacing w:val="0"/>
          <w:sz w:val="16"/>
          <w:szCs w:val="16"/>
        </w:rPr>
        <w:t>12,7</w:t>
      </w:r>
      <w:r w:rsidRPr="00271E51">
        <w:rPr>
          <w:rFonts w:ascii="Times New Roman" w:hAnsi="Times New Roman" w:cs="Times New Roman"/>
          <w:color w:val="000000" w:themeColor="text1"/>
          <w:sz w:val="16"/>
          <w:szCs w:val="16"/>
        </w:rPr>
        <w:t xml:space="preserve"> мм с установкой, позволяющей за</w:t>
      </w:r>
      <w:r w:rsidRPr="00271E51">
        <w:rPr>
          <w:rFonts w:ascii="Times New Roman" w:hAnsi="Times New Roman" w:cs="Times New Roman"/>
          <w:color w:val="000000" w:themeColor="text1"/>
          <w:sz w:val="16"/>
          <w:szCs w:val="16"/>
        </w:rPr>
        <w:softHyphen/>
        <w:t>менять пушку 23мм на пушку 37 мм и на пушку 20 мм;</w:t>
      </w:r>
    </w:p>
    <w:p w14:paraId="27092444"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изготовить к 1 января 1944 года двухместный учебный самолет Як-9 в двух экземплярах.</w:t>
      </w:r>
    </w:p>
    <w:p w14:paraId="24C11C25" w14:textId="77777777" w:rsidR="00FC1EB4" w:rsidRPr="00271E51" w:rsidRDefault="00FC1EB4" w:rsidP="00271E51">
      <w:pPr>
        <w:tabs>
          <w:tab w:val="left" w:pos="104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Наркомчермет - т.Тевосяна отгрузить до 10 ноября 1943 года заводу № 153 НКАП, по его специфика</w:t>
      </w:r>
      <w:r w:rsidRPr="00271E51">
        <w:rPr>
          <w:rFonts w:ascii="Times New Roman" w:hAnsi="Times New Roman"/>
          <w:color w:val="000000" w:themeColor="text1"/>
          <w:sz w:val="16"/>
          <w:szCs w:val="16"/>
        </w:rPr>
        <w:softHyphen/>
        <w:t>ции, целевым назначением за счет фондов НКАП 200 тонн ря</w:t>
      </w:r>
      <w:r w:rsidRPr="00271E51">
        <w:rPr>
          <w:rFonts w:ascii="Times New Roman" w:hAnsi="Times New Roman"/>
          <w:color w:val="000000" w:themeColor="text1"/>
          <w:sz w:val="16"/>
          <w:szCs w:val="16"/>
        </w:rPr>
        <w:softHyphen/>
        <w:t>дового проката, 50 тонн инструментальной стали и 30.0С0 штук огнеупорного кирпича.</w:t>
      </w:r>
    </w:p>
    <w:p w14:paraId="1F61904F" w14:textId="77777777" w:rsidR="00FC1EB4" w:rsidRPr="00271E51" w:rsidRDefault="00FC1EB4" w:rsidP="00271E51">
      <w:pPr>
        <w:tabs>
          <w:tab w:val="left" w:pos="103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Наркомвооружения - т.Устинова поставить заводу № 153 НКАП - 60 тонн кубиков для штампов, в том числе в октябре с.г. - 20 тонн, в ноябре с.г. - 20 тонн и в декабре с.г. - 20 тонн.</w:t>
      </w:r>
    </w:p>
    <w:p w14:paraId="7CE9EA82" w14:textId="77777777" w:rsidR="00FC1EB4" w:rsidRPr="00271E51" w:rsidRDefault="00FC1EB4" w:rsidP="00271E51">
      <w:pPr>
        <w:tabs>
          <w:tab w:val="left" w:pos="103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Наркомфин СССР - т.Зверева выделить из ре</w:t>
      </w:r>
      <w:r w:rsidRPr="00271E51">
        <w:rPr>
          <w:rFonts w:ascii="Times New Roman" w:hAnsi="Times New Roman"/>
          <w:color w:val="000000" w:themeColor="text1"/>
          <w:sz w:val="16"/>
          <w:szCs w:val="16"/>
        </w:rPr>
        <w:softHyphen/>
        <w:t xml:space="preserve">зервного фонда СНК СССР заводу </w:t>
      </w:r>
      <w:r w:rsidRPr="00271E51">
        <w:rPr>
          <w:rFonts w:ascii="Times New Roman" w:hAnsi="Times New Roman"/>
          <w:color w:val="000000" w:themeColor="text1"/>
          <w:sz w:val="16"/>
          <w:szCs w:val="16"/>
          <w:lang w:val="en-US"/>
        </w:rPr>
        <w:t>ft</w:t>
      </w:r>
      <w:r w:rsidRPr="00271E51">
        <w:rPr>
          <w:rFonts w:ascii="Times New Roman" w:hAnsi="Times New Roman"/>
          <w:color w:val="000000" w:themeColor="text1"/>
          <w:sz w:val="16"/>
          <w:szCs w:val="16"/>
        </w:rPr>
        <w:t xml:space="preserve"> 115 НКАП на постройку двух эталонных и двух учебных самолетов Як-9 - 3 миллиона рублей, в том числе на премирование - 300 тысяч рублей (19427).</w:t>
      </w:r>
    </w:p>
    <w:p w14:paraId="34D665D4" w14:textId="77777777" w:rsidR="00FC1EB4" w:rsidRPr="00271E51" w:rsidRDefault="00FC1E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D3F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N 4428 по Як-9У (736). В нем установили дальность 1400 км, но на самом деле оптимальной оказалась дальность в 850 км. Серии не было, так как по массе и скорострельности ВЯ не удовлетворяла военных, а со ШВАК и УБС можно было обеспечить дальность в 1400 км (65,146).</w:t>
      </w:r>
    </w:p>
    <w:p w14:paraId="3744F2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EEE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4429 О переводе завода № 82 НКАП на выпуск самолетов Як-9.РГАНИР, Фонд ГКО, д. 169, лл. 4 (11012).</w:t>
      </w:r>
    </w:p>
    <w:p w14:paraId="1CBEF6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A884F"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4429 О переводе завода № 82 НКАП на выпуск самолетов Як-9</w:t>
      </w:r>
    </w:p>
    <w:p w14:paraId="7A4C3755" w14:textId="77777777" w:rsidR="00FC1EB4" w:rsidRPr="00271E51" w:rsidRDefault="00FC1EB4"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Государственный Комитет Обороны постановляет:</w:t>
      </w:r>
    </w:p>
    <w:p w14:paraId="58F3A2A7" w14:textId="77777777" w:rsidR="00FC1EB4" w:rsidRPr="00271E51" w:rsidRDefault="00FC1EB4"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Обязать Наркомавиапром - т.Шахурина и директора завода £ 82 т.Климовицкого осуществить на заводе № 82 переход к -концу первого квартала 1944 года полностью на производство самолетов Як-9 с вооружением: пушка 20мм и один пулемет Березина с увеличенной дальностью по образ</w:t>
      </w:r>
      <w:r w:rsidRPr="00271E51">
        <w:rPr>
          <w:rFonts w:ascii="Times New Roman" w:hAnsi="Times New Roman" w:cs="Times New Roman"/>
          <w:color w:val="000000" w:themeColor="text1"/>
          <w:sz w:val="16"/>
          <w:szCs w:val="16"/>
        </w:rPr>
        <w:softHyphen/>
        <w:t>цу выпускаемых заводом № 153 без снижения достигнутого уровня выпуска самолетов.</w:t>
      </w:r>
    </w:p>
    <w:p w14:paraId="15B3B45E" w14:textId="77777777" w:rsidR="00FC1EB4" w:rsidRPr="00271E51" w:rsidRDefault="00FC1EB4"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Производство самолетов Як-7 к концу 1 квартала 1944г. прекратить.</w:t>
      </w:r>
    </w:p>
    <w:p w14:paraId="2A1B2981" w14:textId="77777777" w:rsidR="00FC1EB4" w:rsidRPr="00271E51" w:rsidRDefault="00FC1EB4"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2.Обязать Народного Комиссара Финансов т.Зверева выделить ив резервного фонда СНК СССР в 1943-1944 годах на постановку производства самолетов Як-9 на заводе № 82 НКАП - 2,5 миллиона рублей (19428).</w:t>
      </w:r>
    </w:p>
    <w:p w14:paraId="6F140BE8" w14:textId="77777777" w:rsidR="00FC1EB4" w:rsidRPr="00271E51" w:rsidRDefault="00FC1E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9BF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4430 О производстве самолета Як-3 с мотором М-105ПФ.РГАНИР, Фонд ГКО, д. 169, лл. 5-6 (11012).</w:t>
      </w:r>
    </w:p>
    <w:p w14:paraId="49D4E4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768D9"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4430 О производстве самолета Як-3 с мотором М-105ПФ</w:t>
      </w:r>
    </w:p>
    <w:p w14:paraId="3F5E05EE"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Государственный Комитет Обороны постановляет:</w:t>
      </w:r>
    </w:p>
    <w:p w14:paraId="15163EAD"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 Принять к сведению заявление Наркомавиапрома т.Шахурина, т.Яковлева и ВВС КА - т.Никитина о той, что модифицированный самолет Як-1 с уменьшенными крыльями, с мотором M-105ПФ прошел государственные испытания в НИИ ВВС и имеет следу-сщие данные:</w:t>
      </w:r>
    </w:p>
    <w:p w14:paraId="116F23B4"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полетный вес - 2670 кг</w:t>
      </w:r>
    </w:p>
    <w:p w14:paraId="6FB97459"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максимальную скорость на высоте 4400 мт - 650 км/час</w:t>
      </w:r>
    </w:p>
    <w:p w14:paraId="38B170DF"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максимальную скорость у земли при Рк-1100 мм - 570 км/час</w:t>
      </w:r>
    </w:p>
    <w:p w14:paraId="0A43DC47"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скоропод"емность на вы</w:t>
      </w:r>
      <w:r w:rsidRPr="00271E51">
        <w:rPr>
          <w:rFonts w:ascii="Times New Roman" w:hAnsi="Times New Roman" w:cs="Times New Roman"/>
          <w:color w:val="000000" w:themeColor="text1"/>
          <w:sz w:val="16"/>
          <w:szCs w:val="16"/>
        </w:rPr>
        <w:softHyphen/>
        <w:t>соту 5000 мт при Рк-1100 мм - 4,0 мин.</w:t>
      </w:r>
    </w:p>
    <w:p w14:paraId="68664B49"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Вооружен одной облегченной моторной пушкой калибра 20 мм и двумя пулеметами УБС калибра 12,7 мм.</w:t>
      </w:r>
    </w:p>
    <w:p w14:paraId="376311E7" w14:textId="77777777" w:rsidR="00FC1EB4" w:rsidRPr="00271E51" w:rsidRDefault="00FC1EB4" w:rsidP="00271E51">
      <w:pPr>
        <w:pStyle w:val="7f"/>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 Обязать Наркомавиапром - т.Шахурина, т.Яковлева и директора завода № 292 - т.Левина осуществить к 1 июня 1944 года на заводе № 292 переход полностью на производ</w:t>
      </w:r>
      <w:r w:rsidRPr="00271E51">
        <w:rPr>
          <w:rFonts w:ascii="Times New Roman" w:hAnsi="Times New Roman" w:cs="Times New Roman"/>
          <w:color w:val="000000" w:themeColor="text1"/>
          <w:sz w:val="16"/>
          <w:szCs w:val="16"/>
        </w:rPr>
        <w:softHyphen/>
        <w:t>ство самолетов Як-3, без снижения достигнутого уровня выпуска самолетов.</w:t>
      </w:r>
    </w:p>
    <w:p w14:paraId="6EB29159" w14:textId="77777777" w:rsidR="00FC1EB4" w:rsidRPr="00271E51" w:rsidRDefault="00FC1EB4" w:rsidP="00271E51">
      <w:pPr>
        <w:tabs>
          <w:tab w:val="left" w:pos="100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связи с тем, что облегченная пушка 20мм не прошла еще государственных испытаний и не принята на воо</w:t>
      </w:r>
      <w:r w:rsidRPr="00271E51">
        <w:rPr>
          <w:rFonts w:ascii="Times New Roman" w:hAnsi="Times New Roman"/>
          <w:color w:val="000000" w:themeColor="text1"/>
          <w:sz w:val="16"/>
          <w:szCs w:val="16"/>
        </w:rPr>
        <w:softHyphen/>
        <w:t>ружение, разрешить Наркомавиапрому впредь до специального решения по этому вопросу выпускать самолеты Як-1М на заводо № 292 с вооружением: нормальной пушкой 20 мм и одним пулеметом Березина.</w:t>
      </w:r>
    </w:p>
    <w:p w14:paraId="537EF9A5" w14:textId="77777777" w:rsidR="00FC1EB4" w:rsidRPr="00271E51" w:rsidRDefault="00FC1EB4" w:rsidP="00271E51">
      <w:pPr>
        <w:tabs>
          <w:tab w:val="left" w:pos="9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Наркомфин - т.Зверева выделить Нарком</w:t>
      </w:r>
      <w:r w:rsidRPr="00271E51">
        <w:rPr>
          <w:rFonts w:ascii="Times New Roman" w:hAnsi="Times New Roman"/>
          <w:color w:val="000000" w:themeColor="text1"/>
          <w:sz w:val="16"/>
          <w:szCs w:val="16"/>
        </w:rPr>
        <w:softHyphen/>
        <w:t>авиапрому целевым назначением для завода № 292 из резервного фонда СНК СССР - 2.500 тыс. руб. на постановку производства модифицированного самолета Я</w:t>
      </w:r>
      <w:r w:rsidRPr="00271E51">
        <w:rPr>
          <w:rFonts w:ascii="Times New Roman" w:eastAsia="SimHei" w:hAnsi="Times New Roman"/>
          <w:color w:val="000000" w:themeColor="text1"/>
          <w:sz w:val="16"/>
          <w:szCs w:val="16"/>
        </w:rPr>
        <w:t>к-1.</w:t>
      </w:r>
    </w:p>
    <w:p w14:paraId="493C0196" w14:textId="77777777" w:rsidR="00FC1EB4" w:rsidRPr="00271E51" w:rsidRDefault="00FC1EB4" w:rsidP="00271E51">
      <w:pPr>
        <w:tabs>
          <w:tab w:val="left" w:pos="98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Впредь модифицированный самолет Як-1 именовать -  Як-3 (19429).</w:t>
      </w:r>
    </w:p>
    <w:p w14:paraId="1E15BEBF" w14:textId="77777777" w:rsidR="00FC1EB4" w:rsidRPr="00271E51" w:rsidRDefault="00FC1E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364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года по решению ГКО серийное производство Як-3 развернулось на заводе в Саратове, где он постепенно сменил Як-1. К тому времени предприятие накопило определенный опыт организации поточно-стендовой сборки Як-1, что послужило поводом по организации конвейерной сборки крыльев, каркасов фюзеляжей, топливных баков, предварительной и окончательной сборки Як-3, включая покраску, с принудительным ритмом движения по часовому графику, механизировать и автоматизировать все конвейерные линии и транспортные работы.</w:t>
      </w:r>
    </w:p>
    <w:p w14:paraId="0B6F94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Изготовление шасси, стабилизаторов, килей, фонарей кабины пилота и других узлов также организовали на потоке по часовому графику. В связи с этим в агрегатно-сбороч- ных цехах создали комплектный запас всех деталей, нормалей, узлов на шесть-восемь суток работы предприятия, а для внедрения неизбежных конструктивных изменений увеличили мощность опытного цеха, передав ему один из построенных самолетов.</w:t>
      </w:r>
    </w:p>
    <w:p w14:paraId="528F2E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Я к-3 этим методом обеспечил быстрое освоение закрепленного объема работ каждым рабочим, особенно молодыми, сократил трудоемкость их изготовления, производственные циклы, улучшил использование заводских площадей. Так, при изготовлении каркаса фюзеляжа трудоемкость сократилась на 41%, количество производственных рабочих - на 30%, вспомогательных - на 37%, а цикл изготовления машины - на 43%. Все это удалось внедрить к весне 1944 года. При этом Як-3 саратовского авиазавода были дешевле продукции, выпускавшейся в Тбилиси (12047).</w:t>
      </w:r>
    </w:p>
    <w:p w14:paraId="59F9DF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254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№4429, согласно которому к серийному производству Як-9 М-107А подключался московский авиазавод №82. Документ требовал в 1 квартале 1944 г. осуществить полный переход авиазавода с выпуска Як-7Б на Як-9 М-107А. Директору поручалось с февраля строить по одному Як-9 в сутки, что теоретически позволяло перевооружать ежемесячно по одному истребительному авиаполку (4842).</w:t>
      </w:r>
    </w:p>
    <w:p w14:paraId="28B1C5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6DD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ГОКО N 4429 о переходе завода 82 к концу 1 кв. 1944 полностью на производство самолетов Як-9 с вооружением: одна п 20 мм и один п Березина, с увеличенной дальностью по образцу, выпускаемому заводом 153, без снижения достигнутого уровня выпуска самолетов" (1761,169).</w:t>
      </w:r>
    </w:p>
    <w:p w14:paraId="21D0B0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75C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постановления ГКО N 4431 о производстве на заводе 21 самолетов Ла-5 с М-82ФН с металлическими лонжеронами и увеличенной дальностью (946,37).</w:t>
      </w:r>
    </w:p>
    <w:p w14:paraId="413BF1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80F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4431 О производстве самолетов Ла-5 с М-82ФН на заводе № 21 с металлическими лонжеронами и увеличенной дальностью.РГАНИР, Фонд ГКО, д. 169, лл. 7-9 (11012).</w:t>
      </w:r>
    </w:p>
    <w:p w14:paraId="3734AD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381DD"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4431 О производстве самолетов Ла-5 с М-82ФН на заводе № 21 с металлическими лонжеронами и увеличенной дальностью</w:t>
      </w:r>
    </w:p>
    <w:p w14:paraId="04F9ED2E"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030CB4CA"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Наркомавиапром т. Шахурина, директора завода № 21 т. Агаджанова и гл. конструктора т. Лавочкина осуществить к 1 июня 1944 переход на производство самолетов Ла-3 с М-82ФН с металлическими лонжеронами, облегчающими вес на 120 кг с увеличением за счет этого дальностью до:</w:t>
      </w:r>
    </w:p>
    <w:p w14:paraId="198049E8"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 га 0,9 максимальной скорости и 1000 км на наивыгоднейшей скорости 350 км/час.</w:t>
      </w:r>
    </w:p>
    <w:p w14:paraId="699FF650"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Перевод производства на самолета Ла-5 с металлическими лонжеронами произвести бех снижения достигнутого уровня выпуска самолетов.</w:t>
      </w:r>
    </w:p>
    <w:p w14:paraId="38B95246" w14:textId="77777777" w:rsidR="00FC1EB4" w:rsidRPr="00271E51" w:rsidRDefault="00FC1EB4" w:rsidP="00271E51">
      <w:pPr>
        <w:pStyle w:val="36"/>
        <w:shd w:val="clear" w:color="auto" w:fill="auto"/>
        <w:tabs>
          <w:tab w:val="left" w:pos="147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 Для обеспечения перевода завода № 21 на из</w:t>
      </w:r>
      <w:r w:rsidRPr="00271E51">
        <w:rPr>
          <w:rFonts w:ascii="Times New Roman" w:cs="Times New Roman"/>
          <w:color w:val="000000" w:themeColor="text1"/>
          <w:spacing w:val="0"/>
          <w:sz w:val="16"/>
          <w:szCs w:val="16"/>
        </w:rPr>
        <w:softHyphen/>
        <w:t>готовление металлических лонжеронов обязать:</w:t>
      </w:r>
    </w:p>
    <w:p w14:paraId="389620E5" w14:textId="77777777" w:rsidR="00FC1EB4" w:rsidRPr="00271E51" w:rsidRDefault="00FC1EB4" w:rsidP="00271E51">
      <w:pPr>
        <w:pStyle w:val="36"/>
        <w:shd w:val="clear" w:color="auto" w:fill="auto"/>
        <w:tabs>
          <w:tab w:val="left" w:pos="150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а) Наркомвнешторг - т.Микояна поставить заводу № 21 НХАП из числа прибывших в Совпорты один воздуш</w:t>
      </w:r>
      <w:r w:rsidRPr="00271E51">
        <w:rPr>
          <w:rFonts w:ascii="Times New Roman" w:cs="Times New Roman"/>
          <w:color w:val="000000" w:themeColor="text1"/>
          <w:spacing w:val="0"/>
          <w:sz w:val="16"/>
          <w:szCs w:val="16"/>
        </w:rPr>
        <w:softHyphen/>
        <w:t xml:space="preserve">ный компрессор производительностью </w:t>
      </w:r>
      <w:r w:rsidRPr="00271E51">
        <w:rPr>
          <w:rStyle w:val="0pt"/>
          <w:rFonts w:ascii="Times New Roman" w:cs="Times New Roman"/>
          <w:color w:val="000000" w:themeColor="text1"/>
          <w:spacing w:val="0"/>
          <w:sz w:val="16"/>
          <w:szCs w:val="16"/>
          <w:lang w:val="en-US"/>
        </w:rPr>
        <w:t>i</w:t>
      </w:r>
      <w:r w:rsidRPr="00271E51">
        <w:rPr>
          <w:rStyle w:val="0pt"/>
          <w:rFonts w:ascii="Times New Roman" w:cs="Times New Roman"/>
          <w:color w:val="000000" w:themeColor="text1"/>
          <w:spacing w:val="0"/>
          <w:sz w:val="16"/>
          <w:szCs w:val="16"/>
        </w:rPr>
        <w:t>00</w:t>
      </w:r>
      <w:r w:rsidRPr="00271E51">
        <w:rPr>
          <w:rFonts w:ascii="Times New Roman" w:cs="Times New Roman"/>
          <w:color w:val="000000" w:themeColor="text1"/>
          <w:spacing w:val="0"/>
          <w:sz w:val="16"/>
          <w:szCs w:val="16"/>
        </w:rPr>
        <w:t xml:space="preserve"> куб.метров фирмы "Ингерсол" до 1 декабря </w:t>
      </w:r>
      <w:r w:rsidRPr="00271E51">
        <w:rPr>
          <w:rStyle w:val="0pt"/>
          <w:rFonts w:ascii="Times New Roman" w:cs="Times New Roman"/>
          <w:color w:val="000000" w:themeColor="text1"/>
          <w:spacing w:val="0"/>
          <w:sz w:val="16"/>
          <w:szCs w:val="16"/>
        </w:rPr>
        <w:t>1943</w:t>
      </w:r>
      <w:r w:rsidRPr="00271E51">
        <w:rPr>
          <w:rFonts w:ascii="Times New Roman" w:cs="Times New Roman"/>
          <w:color w:val="000000" w:themeColor="text1"/>
          <w:spacing w:val="0"/>
          <w:sz w:val="16"/>
          <w:szCs w:val="16"/>
        </w:rPr>
        <w:t xml:space="preserve"> года;</w:t>
      </w:r>
    </w:p>
    <w:p w14:paraId="7278C662" w14:textId="77777777" w:rsidR="00FC1EB4" w:rsidRPr="00271E51" w:rsidRDefault="00FC1EB4" w:rsidP="00271E51">
      <w:pPr>
        <w:pStyle w:val="36"/>
        <w:shd w:val="clear" w:color="auto" w:fill="auto"/>
        <w:tabs>
          <w:tab w:val="left" w:pos="149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 поручить т.т.Берия и Вознесенскому снять с завода № 21 НКАП производство фугасных снарядов и разместить производство снятых снарядов на заводах НКБ, а оборудование использовать на производство металлических лонжеронов;</w:t>
      </w:r>
    </w:p>
    <w:p w14:paraId="1E5F8B99"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Наркомавиапром выделить заводу № 21 с других заво</w:t>
      </w:r>
      <w:r w:rsidRPr="00271E51">
        <w:rPr>
          <w:rFonts w:ascii="Times New Roman" w:cs="Times New Roman"/>
          <w:color w:val="000000" w:themeColor="text1"/>
          <w:spacing w:val="0"/>
        </w:rPr>
        <w:softHyphen/>
        <w:t>дов НКАП - 70 единиц металлорежущих станков;</w:t>
      </w:r>
    </w:p>
    <w:p w14:paraId="527B38EF"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г) Наркомчермет - т.Тевосяна изготовить заводу № 21 хромансилиевые профиля на лонжероны по чертежам завода № 21</w:t>
      </w:r>
    </w:p>
    <w:p w14:paraId="5C44062F"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 для организации лонжеронного цеха разрешить эаводу !Р 21 НКАП перевести склады УТР в другие помещения завода.</w:t>
      </w:r>
    </w:p>
    <w:p w14:paraId="38AE1F5A"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Разрешить Наркомавиалрому выделить безвозмездно за</w:t>
      </w:r>
      <w:r w:rsidRPr="00271E51">
        <w:rPr>
          <w:rFonts w:ascii="Times New Roman" w:cs="Times New Roman"/>
          <w:color w:val="000000" w:themeColor="text1"/>
          <w:spacing w:val="0"/>
        </w:rPr>
        <w:softHyphen/>
        <w:t>воду № 21 из мобрезерва и госрезерва нормальный режущий ин</w:t>
      </w:r>
      <w:r w:rsidRPr="00271E51">
        <w:rPr>
          <w:rFonts w:ascii="Times New Roman" w:cs="Times New Roman"/>
          <w:color w:val="000000" w:themeColor="text1"/>
          <w:spacing w:val="0"/>
        </w:rPr>
        <w:softHyphen/>
        <w:t xml:space="preserve">струмент на </w:t>
      </w:r>
      <w:r w:rsidRPr="00271E51">
        <w:rPr>
          <w:rStyle w:val="0pt"/>
          <w:rFonts w:ascii="Times New Roman" w:cs="Times New Roman"/>
          <w:color w:val="000000" w:themeColor="text1"/>
          <w:spacing w:val="0"/>
          <w:sz w:val="16"/>
          <w:szCs w:val="16"/>
        </w:rPr>
        <w:t>500</w:t>
      </w:r>
      <w:r w:rsidRPr="00271E51">
        <w:rPr>
          <w:rFonts w:ascii="Times New Roman" w:cs="Times New Roman"/>
          <w:color w:val="000000" w:themeColor="text1"/>
          <w:spacing w:val="0"/>
        </w:rPr>
        <w:t xml:space="preserve"> тысяч рублей,</w:t>
      </w:r>
    </w:p>
    <w:p w14:paraId="0AF59737" w14:textId="77777777" w:rsidR="00FC1EB4" w:rsidRPr="00271E51" w:rsidRDefault="00FC1EB4" w:rsidP="00271E51">
      <w:pPr>
        <w:pStyle w:val="27"/>
        <w:shd w:val="clear" w:color="auto" w:fill="auto"/>
        <w:tabs>
          <w:tab w:val="left" w:pos="103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 Обяэать Управление Государственных Материальных Ре</w:t>
      </w:r>
      <w:r w:rsidRPr="00271E51">
        <w:rPr>
          <w:rFonts w:ascii="Times New Roman" w:cs="Times New Roman"/>
          <w:color w:val="000000" w:themeColor="text1"/>
          <w:spacing w:val="0"/>
        </w:rPr>
        <w:softHyphen/>
        <w:t>зервов при СНК Союза ССР - т.Данченко выделить эаводу № 21 одну тонну быстрорежущей стали.</w:t>
      </w:r>
    </w:p>
    <w:p w14:paraId="0AB6D274"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5. Обязать Наркомхимпром - т.Первухина при всех усло</w:t>
      </w:r>
      <w:r w:rsidRPr="00271E51">
        <w:rPr>
          <w:rFonts w:ascii="Times New Roman" w:cs="Times New Roman"/>
          <w:color w:val="000000" w:themeColor="text1"/>
          <w:spacing w:val="0"/>
        </w:rPr>
        <w:softHyphen/>
        <w:t>виях в первую очередь обеспечивать эавод № 21 НКАП техни</w:t>
      </w:r>
      <w:r w:rsidRPr="00271E51">
        <w:rPr>
          <w:rFonts w:ascii="Times New Roman" w:cs="Times New Roman"/>
          <w:color w:val="000000" w:themeColor="text1"/>
          <w:spacing w:val="0"/>
        </w:rPr>
        <w:softHyphen/>
        <w:t xml:space="preserve">ческим кислородом с Чернореченского химического вавода в количестве </w:t>
      </w:r>
      <w:r w:rsidRPr="00271E51">
        <w:rPr>
          <w:rStyle w:val="0pt"/>
          <w:rFonts w:ascii="Times New Roman" w:cs="Times New Roman"/>
          <w:color w:val="000000" w:themeColor="text1"/>
          <w:spacing w:val="0"/>
          <w:sz w:val="16"/>
          <w:szCs w:val="16"/>
        </w:rPr>
        <w:t>1,5</w:t>
      </w:r>
      <w:r w:rsidRPr="00271E51">
        <w:rPr>
          <w:rFonts w:ascii="Times New Roman" w:cs="Times New Roman"/>
          <w:color w:val="000000" w:themeColor="text1"/>
          <w:spacing w:val="0"/>
        </w:rPr>
        <w:t xml:space="preserve"> танка жидкого и </w:t>
      </w:r>
      <w:r w:rsidRPr="00271E51">
        <w:rPr>
          <w:rStyle w:val="0pt"/>
          <w:rFonts w:ascii="Times New Roman" w:cs="Times New Roman"/>
          <w:color w:val="000000" w:themeColor="text1"/>
          <w:spacing w:val="0"/>
          <w:sz w:val="16"/>
          <w:szCs w:val="16"/>
        </w:rPr>
        <w:t>200</w:t>
      </w:r>
      <w:r w:rsidRPr="00271E51">
        <w:rPr>
          <w:rFonts w:ascii="Times New Roman" w:cs="Times New Roman"/>
          <w:color w:val="000000" w:themeColor="text1"/>
          <w:spacing w:val="0"/>
        </w:rPr>
        <w:t xml:space="preserve"> баллонов газообразного кислорода ежесуточно.</w:t>
      </w:r>
    </w:p>
    <w:p w14:paraId="22B46BD5" w14:textId="77777777" w:rsidR="00FC1EB4" w:rsidRPr="00271E51" w:rsidRDefault="00FC1EB4" w:rsidP="00271E51">
      <w:pPr>
        <w:pStyle w:val="27"/>
        <w:shd w:val="clear" w:color="auto" w:fill="auto"/>
        <w:tabs>
          <w:tab w:val="left" w:pos="103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6. Обязать:</w:t>
      </w:r>
    </w:p>
    <w:p w14:paraId="7E998CFD" w14:textId="77777777" w:rsidR="00FC1EB4" w:rsidRPr="00271E51" w:rsidRDefault="00FC1EB4" w:rsidP="00271E51">
      <w:pPr>
        <w:pStyle w:val="27"/>
        <w:shd w:val="clear" w:color="auto" w:fill="auto"/>
        <w:tabs>
          <w:tab w:val="left" w:pos="103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 Наркомлегпром СССР - т.Лукина обеспечить отпуск в ноябре с.г. в счет фондов НКАП эаводу № 21 целевым назначе</w:t>
      </w:r>
      <w:r w:rsidRPr="00271E51">
        <w:rPr>
          <w:rFonts w:ascii="Times New Roman" w:cs="Times New Roman"/>
          <w:color w:val="000000" w:themeColor="text1"/>
          <w:spacing w:val="0"/>
        </w:rPr>
        <w:softHyphen/>
        <w:t xml:space="preserve">нием </w:t>
      </w:r>
      <w:r w:rsidRPr="00271E51">
        <w:rPr>
          <w:rStyle w:val="0pt"/>
          <w:rFonts w:ascii="Times New Roman" w:cs="Times New Roman"/>
          <w:color w:val="000000" w:themeColor="text1"/>
          <w:spacing w:val="0"/>
          <w:sz w:val="16"/>
          <w:szCs w:val="16"/>
        </w:rPr>
        <w:t>3.000</w:t>
      </w:r>
      <w:r w:rsidRPr="00271E51">
        <w:rPr>
          <w:rFonts w:ascii="Times New Roman" w:cs="Times New Roman"/>
          <w:color w:val="000000" w:themeColor="text1"/>
          <w:spacing w:val="0"/>
        </w:rPr>
        <w:t xml:space="preserve"> пар рабочей обуви;</w:t>
      </w:r>
    </w:p>
    <w:p w14:paraId="63C2B21B" w14:textId="77777777" w:rsidR="00FC1EB4" w:rsidRPr="00271E51" w:rsidRDefault="00FC1EB4" w:rsidP="00271E51">
      <w:pPr>
        <w:pStyle w:val="27"/>
        <w:shd w:val="clear" w:color="auto" w:fill="auto"/>
        <w:tabs>
          <w:tab w:val="left" w:pos="1030"/>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 Наркомтекстиль СССР - т.Акимова поставить в ноябре с.г. в счет фондов Наркомавиапрома целевым назначением за</w:t>
      </w:r>
      <w:r w:rsidRPr="00271E51">
        <w:rPr>
          <w:rFonts w:ascii="Times New Roman" w:cs="Times New Roman"/>
          <w:color w:val="000000" w:themeColor="text1"/>
          <w:spacing w:val="0"/>
        </w:rPr>
        <w:softHyphen/>
        <w:t xml:space="preserve">воду № 21 НКАП, </w:t>
      </w:r>
      <w:r w:rsidRPr="00271E51">
        <w:rPr>
          <w:rStyle w:val="0pt"/>
          <w:rFonts w:ascii="Times New Roman" w:cs="Times New Roman"/>
          <w:color w:val="000000" w:themeColor="text1"/>
          <w:spacing w:val="0"/>
          <w:sz w:val="16"/>
          <w:szCs w:val="16"/>
        </w:rPr>
        <w:t>20.000</w:t>
      </w:r>
      <w:r w:rsidRPr="00271E51">
        <w:rPr>
          <w:rFonts w:ascii="Times New Roman" w:cs="Times New Roman"/>
          <w:color w:val="000000" w:themeColor="text1"/>
          <w:spacing w:val="0"/>
        </w:rPr>
        <w:t xml:space="preserve"> метров хлопчатобумажной ткани на по</w:t>
      </w:r>
      <w:r w:rsidRPr="00271E51">
        <w:rPr>
          <w:rFonts w:ascii="Times New Roman" w:cs="Times New Roman"/>
          <w:color w:val="000000" w:themeColor="text1"/>
          <w:spacing w:val="0"/>
        </w:rPr>
        <w:softHyphen/>
        <w:t>шивку постельных принадлежностей для продажи рабочим.</w:t>
      </w:r>
    </w:p>
    <w:p w14:paraId="3F379ABD" w14:textId="77777777" w:rsidR="00FC1EB4" w:rsidRPr="00271E51" w:rsidRDefault="00FC1EB4" w:rsidP="00271E51">
      <w:pPr>
        <w:pStyle w:val="27"/>
        <w:shd w:val="clear" w:color="auto" w:fill="auto"/>
        <w:tabs>
          <w:tab w:val="left" w:pos="104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7. Обязать Наркомтекстиль - т.Акимова обеспечить в ноябре с.г. отпуск заводу № 21 в счет фондов НКАП - </w:t>
      </w:r>
      <w:r w:rsidRPr="00271E51">
        <w:rPr>
          <w:rStyle w:val="0pt"/>
          <w:rFonts w:ascii="Times New Roman" w:cs="Times New Roman"/>
          <w:color w:val="000000" w:themeColor="text1"/>
          <w:spacing w:val="0"/>
          <w:sz w:val="16"/>
          <w:szCs w:val="16"/>
        </w:rPr>
        <w:t xml:space="preserve">30.000 </w:t>
      </w:r>
      <w:r w:rsidRPr="00271E51">
        <w:rPr>
          <w:rFonts w:ascii="Times New Roman" w:cs="Times New Roman"/>
          <w:color w:val="000000" w:themeColor="text1"/>
          <w:spacing w:val="0"/>
        </w:rPr>
        <w:t>метров хлопчатобумажной ткани целевым назначением заводу № 21</w:t>
      </w:r>
    </w:p>
    <w:p w14:paraId="533811D6" w14:textId="77777777" w:rsidR="00FC1EB4" w:rsidRPr="00271E51" w:rsidRDefault="00FC1EB4" w:rsidP="00271E51">
      <w:pPr>
        <w:pStyle w:val="27"/>
        <w:shd w:val="clear" w:color="auto" w:fill="auto"/>
        <w:tabs>
          <w:tab w:val="left" w:pos="103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8. Обяэать Наркомречфлота - т.Шашкова передать заводу № 21 НКАП по состоянию баланса на 1 октября - совхов "Буре</w:t>
      </w:r>
      <w:r w:rsidRPr="00271E51">
        <w:rPr>
          <w:rFonts w:ascii="Times New Roman" w:cs="Times New Roman"/>
          <w:color w:val="000000" w:themeColor="text1"/>
          <w:spacing w:val="0"/>
        </w:rPr>
        <w:softHyphen/>
        <w:t>вестник" Богородского района Горьковской области.</w:t>
      </w:r>
    </w:p>
    <w:p w14:paraId="29111C08" w14:textId="77777777" w:rsidR="00FC1EB4" w:rsidRPr="00271E51" w:rsidRDefault="00FC1EB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Наркомфину Союза</w:t>
      </w:r>
      <w:r w:rsidRPr="00271E51">
        <w:rPr>
          <w:rStyle w:val="CenturySchoolbook13pt75"/>
          <w:rFonts w:ascii="Times New Roman" w:eastAsia="Calibri" w:hAnsi="Times New Roman" w:cs="Times New Roman"/>
          <w:color w:val="000000" w:themeColor="text1"/>
          <w:w w:val="100"/>
          <w:sz w:val="16"/>
          <w:szCs w:val="16"/>
        </w:rPr>
        <w:t xml:space="preserve"> сср</w:t>
      </w:r>
      <w:r w:rsidRPr="00271E51">
        <w:rPr>
          <w:rFonts w:ascii="Times New Roman" w:hAnsi="Times New Roman"/>
          <w:color w:val="000000" w:themeColor="text1"/>
          <w:sz w:val="16"/>
          <w:szCs w:val="16"/>
        </w:rPr>
        <w:t xml:space="preserve"> - т.Звереву выделить из резервного фонда</w:t>
      </w:r>
      <w:r w:rsidRPr="00271E51">
        <w:rPr>
          <w:rStyle w:val="CenturySchoolbook13pt75"/>
          <w:rFonts w:ascii="Times New Roman" w:eastAsia="Calibri" w:hAnsi="Times New Roman" w:cs="Times New Roman"/>
          <w:color w:val="000000" w:themeColor="text1"/>
          <w:w w:val="100"/>
          <w:sz w:val="16"/>
          <w:szCs w:val="16"/>
        </w:rPr>
        <w:t xml:space="preserve"> снк ссср</w:t>
      </w:r>
      <w:r w:rsidRPr="00271E51">
        <w:rPr>
          <w:rFonts w:ascii="Times New Roman" w:hAnsi="Times New Roman"/>
          <w:color w:val="000000" w:themeColor="text1"/>
          <w:sz w:val="16"/>
          <w:szCs w:val="16"/>
        </w:rPr>
        <w:t xml:space="preserve"> - 2,5 миллиона рублей на постановку производства самолета Ла-5 с металличе</w:t>
      </w:r>
      <w:r w:rsidRPr="00271E51">
        <w:rPr>
          <w:rFonts w:ascii="Times New Roman" w:hAnsi="Times New Roman"/>
          <w:color w:val="000000" w:themeColor="text1"/>
          <w:sz w:val="16"/>
          <w:szCs w:val="16"/>
        </w:rPr>
        <w:softHyphen/>
        <w:t>ским лонжероном (19430).</w:t>
      </w:r>
    </w:p>
    <w:p w14:paraId="106D17DB" w14:textId="77777777" w:rsidR="00FC1EB4" w:rsidRPr="00271E51" w:rsidRDefault="00FC1EB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8E1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 вышло Постановление ГКО № 4431 ее, кото</w:t>
      </w:r>
      <w:r w:rsidRPr="00271E51">
        <w:rPr>
          <w:rFonts w:ascii="Times New Roman" w:hAnsi="Times New Roman"/>
          <w:color w:val="000000" w:themeColor="text1"/>
          <w:sz w:val="16"/>
          <w:szCs w:val="16"/>
        </w:rPr>
        <w:softHyphen/>
        <w:t>рое обязывало ОКБ Лавочкина сделать на базе серийного Ла-5ФН модификацию Ла-5Д с металлическими лонжеронами крыла и увеличенными баками. Поводом для этой работы стала не только не</w:t>
      </w:r>
      <w:r w:rsidRPr="00271E51">
        <w:rPr>
          <w:rFonts w:ascii="Times New Roman" w:hAnsi="Times New Roman"/>
          <w:color w:val="000000" w:themeColor="text1"/>
          <w:sz w:val="16"/>
          <w:szCs w:val="16"/>
        </w:rPr>
        <w:softHyphen/>
        <w:t>обходимость сопровождать бомбардировщики все дальше за ли</w:t>
      </w:r>
      <w:r w:rsidRPr="00271E51">
        <w:rPr>
          <w:rFonts w:ascii="Times New Roman" w:hAnsi="Times New Roman"/>
          <w:color w:val="000000" w:themeColor="text1"/>
          <w:sz w:val="16"/>
          <w:szCs w:val="16"/>
        </w:rPr>
        <w:softHyphen/>
        <w:t>нию фронта, но и нестабильность серийных карбюраторов АК-82БП и насосов непосредственного впрыска НБ-ЗУ, приводивших к пере</w:t>
      </w:r>
      <w:r w:rsidRPr="00271E51">
        <w:rPr>
          <w:rFonts w:ascii="Times New Roman" w:hAnsi="Times New Roman"/>
          <w:color w:val="000000" w:themeColor="text1"/>
          <w:sz w:val="16"/>
          <w:szCs w:val="16"/>
        </w:rPr>
        <w:softHyphen/>
        <w:t>расходу горючего. Но работы по крылу с металлическими лонжеро</w:t>
      </w:r>
      <w:r w:rsidRPr="00271E51">
        <w:rPr>
          <w:rFonts w:ascii="Times New Roman" w:hAnsi="Times New Roman"/>
          <w:color w:val="000000" w:themeColor="text1"/>
          <w:sz w:val="16"/>
          <w:szCs w:val="16"/>
        </w:rPr>
        <w:softHyphen/>
        <w:t>нами затянулись из-за нехватки квалифицированных конструкто</w:t>
      </w:r>
      <w:r w:rsidRPr="00271E51">
        <w:rPr>
          <w:rFonts w:ascii="Times New Roman" w:hAnsi="Times New Roman"/>
          <w:color w:val="000000" w:themeColor="text1"/>
          <w:sz w:val="16"/>
          <w:szCs w:val="16"/>
        </w:rPr>
        <w:softHyphen/>
        <w:t>ров и рабочих опытного производства. Испытания опытного Ла-5Д начали только 1 апреля 1944 г., когда все силы были брошены на до</w:t>
      </w:r>
      <w:r w:rsidRPr="00271E51">
        <w:rPr>
          <w:rFonts w:ascii="Times New Roman" w:hAnsi="Times New Roman"/>
          <w:color w:val="000000" w:themeColor="text1"/>
          <w:sz w:val="16"/>
          <w:szCs w:val="16"/>
        </w:rPr>
        <w:softHyphen/>
        <w:t>водку Ла-7 (11123). В ЛИИ и НИИ ВВС были отработаны методики пилотирования на дальность, но они были слишком сложны для среднего летчика. В 1944 г. сосредоточились на обеспечении режима скоростной дальности за счет постоянства обогащения смеси и подбора мето</w:t>
      </w:r>
      <w:r w:rsidRPr="00271E51">
        <w:rPr>
          <w:rFonts w:ascii="Times New Roman" w:hAnsi="Times New Roman"/>
          <w:color w:val="000000" w:themeColor="text1"/>
          <w:sz w:val="16"/>
          <w:szCs w:val="16"/>
        </w:rPr>
        <w:softHyphen/>
        <w:t>дик управления мотором. В результате удалось довести дальность строевых Ла-5ФН при 90% максимальной скорости до 900 км (11123).</w:t>
      </w:r>
    </w:p>
    <w:p w14:paraId="553C87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40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года писал С.Шишкин Справку о продолжительности полета самолета "302" конструкции Костикова на заданной высоте.</w:t>
      </w:r>
    </w:p>
    <w:p w14:paraId="7CE328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ГОКО от 26.VII.42 г. самолет Костикова должен иметь продолжительность полета на высоте 8000 м, на скорости 800 км/час - 20 минут.</w:t>
      </w:r>
    </w:p>
    <w:p w14:paraId="319B05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совещании в ЦК ВКП(б) у Маленкова Костиковым заявлена другая цифра продолжительности полета на заданной высоте (8000 м) при заданной скорости (800 км/час), а именно: не 20, а 8 минут.</w:t>
      </w:r>
    </w:p>
    <w:p w14:paraId="233E3F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представленному после совещания в ЦАГИ аэродинамическому расчету, произведенному ГИРТ, самолет имеет продолжительность полета на высоте 8000 м при уменьшенной скорости в 725 км/час всего 5,3 минут, а, следовательно, при заданной скорости в 800 км/час еще менее, а именно:</w:t>
      </w:r>
    </w:p>
    <w:p w14:paraId="260A1C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данных двигателя по аэродинамическому расчету ГИРТ:</w:t>
      </w:r>
    </w:p>
    <w:p w14:paraId="6CFBF5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минут</w:t>
      </w:r>
    </w:p>
    <w:p w14:paraId="18FA1D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б) при данных двигателя по испытаниям в НИИ ВВС:</w:t>
      </w:r>
    </w:p>
    <w:p w14:paraId="4E4813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 минуты.</w:t>
      </w:r>
    </w:p>
    <w:p w14:paraId="3E2E54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Костиков до сих пор не представил НКАП отчета ГИРТ по испытаниям двигателя улучшенного типа, так что достоверность данных, принимаемых ГИРТ в его аэродинамическом расчете, не могла быть проверена.</w:t>
      </w:r>
    </w:p>
    <w:p w14:paraId="126FAF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если даже исходить из расчета ГИРТ, продолжительность полета самолета Костикова будет не более 2,7 минуты, вместо заданных ГОКО 20 минут (1458,331).</w:t>
      </w:r>
    </w:p>
    <w:p w14:paraId="61A98D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950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 по приказу № 640с от Казанский филиал ЦАГИ был ликвидирован, а корпуса переданы КАИ (11982).</w:t>
      </w:r>
    </w:p>
    <w:p w14:paraId="54AACE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2C79F"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г. по приказу №640 от Казанский филиал ЦАГИ был ликвидирован, а корпуса переданы КАИ. Аэродинамическая лаборатория в Ново - сибирске приступила к выполнению первых промышленных заданий в октябре 1944 г. (19727).</w:t>
      </w:r>
    </w:p>
    <w:p w14:paraId="4670F4C8"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766B643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0F057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546C6A" w14:textId="77777777" w:rsidR="00F371F5" w:rsidRPr="00271E51" w:rsidRDefault="00F371F5" w:rsidP="00271E51">
      <w:pPr>
        <w:pStyle w:val="ae"/>
        <w:shd w:val="clear" w:color="auto" w:fill="FFFFFF"/>
        <w:spacing w:before="0" w:after="0"/>
        <w:jc w:val="both"/>
        <w:rPr>
          <w:color w:val="000000" w:themeColor="text1"/>
          <w:sz w:val="16"/>
          <w:szCs w:val="16"/>
        </w:rPr>
      </w:pPr>
      <w:r w:rsidRPr="00271E51">
        <w:rPr>
          <w:color w:val="000000" w:themeColor="text1"/>
          <w:sz w:val="16"/>
          <w:szCs w:val="16"/>
        </w:rPr>
        <w:t>26 октября 1943 проект танкового 122-мм орудия ОБМ-51 артиллерийской «шарашки» ОКБ-172 был рассмотрен на техническом совещании. Сохранилась только описательная часть проекта, но и по ней ясно, что дело не ограничивалось установкой на танк нового орудия. Под него пришлось делать новую башню, большую по размерам. Система устанавливалась в танке на станке от СУ-152. Толщина лобового листа башни составляла 76 мм, бортов 60 мм и крыши 30 мм. Компенсировать вес длинного ствола должен был толстый 150-мм кормовой лист. Боекомплект КВ с таким орудием должен был составить 45 выстрелов, разместить его планировалось в башне и на полу боевого отделения. При этом в башне должна была находиться основная часть боекомплекта, и это дополнительное свидетельство в пользу того, что она получалась значительно крупнее башни базового танка.</w:t>
      </w:r>
    </w:p>
    <w:p w14:paraId="14D0125A" w14:textId="77777777" w:rsidR="00F371F5" w:rsidRPr="00271E51" w:rsidRDefault="00F371F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Система ОБМ-51 несколько отличалась от самоходной версии орудия. У танковой пушки длину ствола сократили до 58,5 калибров. При этом начальная скорость снаряда оценивалась в 950 м/с. Помимо орудия, в башне были размещены спаренный и кормовой пулемёты ДТ.</w:t>
      </w:r>
    </w:p>
    <w:p w14:paraId="0D5CB348" w14:textId="77777777" w:rsidR="00F371F5" w:rsidRPr="00271E51" w:rsidRDefault="00F371F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 совещании было принято решение продолжить работы над проектом, при этом на ОКБ-172 оставалась разработка башни. Правда, как башню, так и орудие предписывалось несколько переделать. От идеи использовать установку по типу СУ-152 пришлось отказаться, поскольку она была слишком громоздкой. Вместо неё было предложено использовать более компактную установку по типу Д-5Т. Требовалось сделать клиновой затвор с горизонтальным его расположением, а начальную скорость снаряда довести до 1000 м/с. Боекомплект в башне сокращался до 30 выстрелов, а её габариты уменьшались. Кроме того, башню предложили сделать литой. Самым же главным изменением стало то, что вместо шасси КВ-85 приоритетом стало шасси ИС. Таким образом, произошла серьёзная перемена как системы, так и базы. Проект ОБМ-51 превратился в систему, более известную как БЛ-13 (17722).</w:t>
      </w:r>
    </w:p>
    <w:p w14:paraId="3856878E" w14:textId="77777777" w:rsidR="00F371F5" w:rsidRPr="00271E51" w:rsidRDefault="00F371F5" w:rsidP="00271E51">
      <w:pPr>
        <w:spacing w:after="0" w:line="240" w:lineRule="auto"/>
        <w:jc w:val="both"/>
        <w:rPr>
          <w:rFonts w:ascii="Times New Roman" w:hAnsi="Times New Roman"/>
          <w:color w:val="000000" w:themeColor="text1"/>
          <w:sz w:val="16"/>
          <w:szCs w:val="16"/>
        </w:rPr>
      </w:pPr>
    </w:p>
    <w:p w14:paraId="76D28468"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г.</w:t>
      </w:r>
    </w:p>
    <w:p w14:paraId="052E918E"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приложения к конъюнктурному обзору о работе Тюменского мотоциклетного завода за III квартал 1943 г.</w:t>
      </w:r>
    </w:p>
    <w:p w14:paraId="6692AD28"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 Тюмень</w:t>
      </w:r>
    </w:p>
    <w:p w14:paraId="2409B6B1"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г.</w:t>
      </w:r>
    </w:p>
    <w:p w14:paraId="23B27201"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ОПЫТНЫЕ РАБОТЫ</w:t>
      </w:r>
    </w:p>
    <w:p w14:paraId="0FCC51B4"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конце 1942 г. завод приступил к проектированию по заданию Главного автобронетанкового управления Красной Армии специального мотоцикла тяжелого типа модели TM3-53, который имеет: 1) мощность 28-30 л.с., 2) восемь передач вперед и две назад, 3) дифференциал с блокировкой, 4) привод на колесо коляски, 5) покрышка вездеходы автомобильного типа.</w:t>
      </w:r>
    </w:p>
    <w:p w14:paraId="2C6728DB"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Два образца изготовлены и проходят заводские испытания. 1 ноября совместно с представителями автобронетанкового управления начинаются ведомственные испытания пробегом Тюмень-Москва своим ходом.</w:t>
      </w:r>
    </w:p>
    <w:p w14:paraId="0C971175"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Впервые изготовленные в СССР такие мотоциклы должны удовлетворить тактико-технические требования, какие предъявляет Красная Армия, а также имеют техническую ценность в народном хозяйстве.</w:t>
      </w:r>
    </w:p>
    <w:p w14:paraId="1A857C50" w14:textId="77777777" w:rsidR="00C60F68" w:rsidRPr="00271E51" w:rsidRDefault="00C60F6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ГАОПОТО. Ф. 1002. Оп. 1. Д. 4. Л. 63. Копия (21069).</w:t>
      </w:r>
    </w:p>
    <w:p w14:paraId="0DFED57E" w14:textId="77777777" w:rsidR="00C60F68" w:rsidRPr="00271E51" w:rsidRDefault="00C60F68" w:rsidP="00271E51">
      <w:pPr>
        <w:spacing w:after="0" w:line="240" w:lineRule="auto"/>
        <w:jc w:val="both"/>
        <w:rPr>
          <w:rFonts w:ascii="Times New Roman" w:hAnsi="Times New Roman"/>
          <w:color w:val="0070C0"/>
          <w:sz w:val="16"/>
          <w:szCs w:val="16"/>
        </w:rPr>
      </w:pPr>
    </w:p>
    <w:p w14:paraId="6A9B27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4422 О строительстве химического завода Наркомхимпрома в Сумгаите Азербайджанской ССР.РГАНИР, Фонд ГКО, д. 167, лл. 150-154, 155-165 (11012).</w:t>
      </w:r>
    </w:p>
    <w:p w14:paraId="5D466B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29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4423 26 октября 1943 вышло Постановление ГКО О дополнительных мероприятиях по увеличению мощностей пороховой промышленности.РГАНИР, Фонд ГКО, д. 167, лл. 166-169, 170-178 (11012).</w:t>
      </w:r>
    </w:p>
    <w:p w14:paraId="061494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BE8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4424 О материально-техническом обеспечении тепловых и гидравлических электростанций в IV кв. 1943 года.РГАНИР, Фонд ГКО, д. 16, лл. 8, лл. 1-7, 8-154 (11012).</w:t>
      </w:r>
    </w:p>
    <w:p w14:paraId="3862A1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738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4425 О первоочередном восстановлении энергетического хозяйства Донбасса.РГАНИР, Фонд ГКО, д. 168, лл. 155-169, 170-187 (11012).</w:t>
      </w:r>
    </w:p>
    <w:p w14:paraId="536E80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11D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4426 О мерах неотложной помощи по обеспечению бесперебойной работы предприятий Наркомчермета в IV квартале 1943 года.РГАНИР, Фонд ГКО, д. 168, лл. 188-234, 235-273 (11012).</w:t>
      </w:r>
    </w:p>
    <w:p w14:paraId="2FD48C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8887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4432 О восстановлении железнодорожных линий Днепропетровск - Пятихатки - Кривой Рог и Пятихатки - Користовка. (7151, 10).</w:t>
      </w:r>
    </w:p>
    <w:p w14:paraId="3037690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46B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вышло Постановление ГКО № 4433 О первоочередных мероприятиях по восстановлению угольной промышленности Донецкого бассейна.РГАНИР, Фонд ГКО, д. 169, лл. 11-51, 52-81 (11012).</w:t>
      </w:r>
    </w:p>
    <w:p w14:paraId="026214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5F7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Поднят флаг ВМФ СССР на 9-м МБК (построен за 3 месяца) (10671).</w:t>
      </w:r>
    </w:p>
    <w:p w14:paraId="052514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57FFF" w14:textId="77777777" w:rsidR="004A3A7A"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E8C5E83" w14:textId="77777777" w:rsidR="004A3A7A" w:rsidRPr="00271E51" w:rsidRDefault="004A3A7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12AAB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26 октября </w:t>
      </w:r>
      <w:r w:rsidRPr="00271E51">
        <w:rPr>
          <w:rFonts w:ascii="Times New Roman" w:hAnsi="Times New Roman"/>
          <w:color w:val="000000" w:themeColor="text1"/>
          <w:sz w:val="16"/>
          <w:szCs w:val="16"/>
        </w:rPr>
        <w:t>в 1943 году оперативная сводка Совинформбюро:</w:t>
      </w:r>
    </w:p>
    <w:p w14:paraId="592C3AA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октября наши войска продолжали развивать наступление на север, запад и юго-запад от города Мелитополь и, продвинувшись вперёд от 7 до 20 километров, заняли 28 населённых пунктов, среди которых районный центр Запорожской области Весёлое, а также крупные населённые пункты Терпение, Спасское, Дальний, Украинка, Трудолюбовка, Елизаветовка, Малая Михайловка, Ворошиловка, Арбейталь, Владимировка, и железнодорожную станцию Терпение. Под ударами наших войск противник понёс огромные потери в живой силе и технике.</w:t>
      </w:r>
    </w:p>
    <w:p w14:paraId="10D3AC8F"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продолжая развивать наступление, продвинулись вперёд от 7 до 15 километров и овладели районным центром Днепропетровской области Солёное, а также заняли более 30 других населённых пунктов, среди которых крупные населённые пункты Червонная Ивановка, Ганно-Зачатовка, Николаевка, Селецкая, Сурско-Покровское, Волоское, Васильевка, Чувилино, Гончарка, Апполоновка, Вишнёвый, Днепростан.</w:t>
      </w:r>
    </w:p>
    <w:p w14:paraId="238F95C9"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и заняли ряд населённых пунктов, в том числе Малиновка, Водяна, Варваровка, Бойковка, Гуровка, Новая Лозоватка, Родионовка, Покровское и железнодорожные станции Шмаково, Карнаватка.</w:t>
      </w:r>
    </w:p>
    <w:p w14:paraId="5671FD7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6E156F9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октября наши войска на всех фронтах подбили и уничтожили 41 немецкий танк. В воздушных боях и огнём зенитной артиллерии сбито 29 самолётов противника.</w:t>
      </w:r>
    </w:p>
    <w:p w14:paraId="4767820C"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юго-западнее и севернее города Мелитополь наши войска продолжали наступление и, продвигаясь вперёд, заняли ряд населённых пунктов. Особенно упорные бои происходили сегодня за районный центр Запорожской области село Весёлое, которое обороняли крупные силы немцев. Сломив сопротивление противника, к исходу дня наши танкисты и пехотинцы штурмом заняли Весёлое. На подступах к селу и на его улицах остались сотни вражеских трупов. Взяты пленные. На соседнем участке бойцы Н-ской части захватили 5 шестиствольных миномётов, 7 гаубиц, 4 артиллерийских батареи, склад боеприпасов и много различного военного имущества. За день боёв немцы потеряли убитыми более 3.000 солдат и офицеров. Уничтожено до 30 танков и бронемашин, 5 самоходных и 19 полевых орудий, 30 миномётов и свыше 100 пулемётов противника.</w:t>
      </w:r>
    </w:p>
    <w:p w14:paraId="68F4E032"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Овладев городами Днепропетровск и Днепродзержинск, наши войска продолжали развивать наступление и овладели рядом населённых пунктов, в том числе районным центром Днепропетровской области Солёное. Попытки немцев задержаться на промежуточных рубежах потерпели неудачу. Части Н-ского соединения разгромили до полка пехоты противника и захватили 40 орудий, 3 склада боеприпасов, 20 километров кабеля, мощную радиостанцию и другие трофеи. Взято в плен много немецких солдат и офицеров.</w:t>
      </w:r>
    </w:p>
    <w:p w14:paraId="1549D634"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за Днепропетровск и Днепродзержинск наши войска нанесли тяжёлое поражение немецким войскам. По неполным данным, противник оставил на поле боя свыше 7.000 трупов своих солдат и офицеров.</w:t>
      </w:r>
    </w:p>
    <w:p w14:paraId="4CAB3BE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сегодня наносила удары по скоплениям немецких войск. Разбито и сожжено 3 железнодорожных эшелона, уничтожено свыше 170 автомашин иповозок с военными грузами, значительное число танков и артиллерии противника.</w:t>
      </w:r>
    </w:p>
    <w:p w14:paraId="6026749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Немцы оказывают упорное сопротивление. Они ввели в бой свежие танковые силы, в том числе 24 танковую дивизию, только что переброшенную из Италии. В результате ожесточённого боя наши танковые и пехотные части отбросили противника и, продвигаясь вперёд, овладели рядом населённых пунктов. Враг несёт большие потери. Бойцы Н-ского соединения в последних боях истребили до двух полков пехоты противника. За это же время захвачено у немцев 37 орудий, 300 пулемётов, 800 автомашин, 300 мотоциклов, 21 паровоз и 740 вагонов.</w:t>
      </w:r>
    </w:p>
    <w:p w14:paraId="3E53DD56"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торпедирован и потоплен транспорт противника водоизмещением в 3.000 тонн.</w:t>
      </w:r>
    </w:p>
    <w:p w14:paraId="325EF838"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Барановичской области, за месяц пустили под откос свыше 40 немецких воинских эшелонов. В результате крушений разбито 36 паровозов и 360 вагонов и платформ. За это же время партизаны взорвали 6 железнодорожных и 36 шоссейных мостов, разрушили телеграфно-телефонную связь на протяжении 42 километров.</w:t>
      </w:r>
    </w:p>
    <w:p w14:paraId="00655D3B"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фронта сдались в плен 105 солдат и унтер-офицеров 449 полка 137 немецкой пехотной дивизии. Пленный обер-фельдфебель 8 роты 449 полка Карл Дестель рассказал: «Три недели тому назад командирам взводов зачитали приказ командира дивизии, в котором говорилось, что немецкие войска достигли выгодного естественного рубежа—Днепра и должны его удержать, невзирая ни на какие жертвы. Командование приказывало беспощадно расстреливать солдат, самовольно покидающих занимаемые позиции. Однако все наши попытки задержаться на Днепре не достигли цели. Немецкое командование не учло сил русских и опять совершило непоправимую ошибку. В плен я сдался при таких обстоятельствах: ещё вначале боя командир роты Крамер был ранен; его заменил лейтенант Шутц; почуяв опасность, он струсил и сбежал; я разъяснил солдатам, что если мы будем сопротивляться, нас всех перебьют, и предложил немедленно сдаться в плен; солдаты сложили оружие и выбросили белый платок. В плен сдалась вся рота в количестве 72 человек».</w:t>
      </w:r>
    </w:p>
    <w:p w14:paraId="4BB64E97" w14:textId="77777777" w:rsidR="004A3A7A" w:rsidRPr="00271E51" w:rsidRDefault="004A3A7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Семёновка, Полтавской области: «Отступая под ударами Красной Армии, немцы учинили зверскую расправу над мирными жителями. Специальные команды «факельщиков» ходили по улицам и поджигали дом за домом. Кроме того, они взорвали и сожгли мельницу, все общественные постройки и станционные пакгаузы. Фашистские звери в упор расстреливали первых попавшихся им на глаза жителей. Большую группу советских граждан гитлеровцы угнали в соседнее село Большие Липняки. Собрав в этом селе несколько сот мужчин, женщин и детей из окрестных сёл, гитлеровские палачи зверски замучили их».</w:t>
      </w:r>
    </w:p>
    <w:p w14:paraId="2BF1CC80" w14:textId="77777777" w:rsidR="004A3A7A" w:rsidRPr="00271E51" w:rsidRDefault="004A3A7A"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Акт подписали жители села Семёновка: Матрёна Губарёва, Иван Кривец, ПавелШулико, Одарка Шаманова и другие.» </w:t>
      </w:r>
      <w:r w:rsidRPr="00271E51">
        <w:rPr>
          <w:rFonts w:ascii="Times New Roman" w:hAnsi="Times New Roman"/>
          <w:color w:val="000000" w:themeColor="text1"/>
          <w:sz w:val="16"/>
          <w:szCs w:val="16"/>
          <w:lang w:val="en-US"/>
        </w:rPr>
        <w:t>(14811).</w:t>
      </w:r>
    </w:p>
    <w:p w14:paraId="763F23F6" w14:textId="77777777" w:rsidR="004A3A7A" w:rsidRPr="00271E51" w:rsidRDefault="004A3A7A" w:rsidP="00271E51">
      <w:pPr>
        <w:spacing w:after="0" w:line="240" w:lineRule="auto"/>
        <w:jc w:val="both"/>
        <w:rPr>
          <w:rFonts w:ascii="Times New Roman" w:hAnsi="Times New Roman"/>
          <w:color w:val="000000" w:themeColor="text1"/>
          <w:sz w:val="16"/>
          <w:szCs w:val="16"/>
          <w:lang w:val="en-US"/>
        </w:rPr>
      </w:pPr>
    </w:p>
    <w:p w14:paraId="6F538FE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73C53E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2152B99" w14:textId="77777777" w:rsidR="00A812E8" w:rsidRPr="00271E51" w:rsidRDefault="00A812E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в воздух поднялся первый прототип До 335 V-1 со спаркой двигателей. Скорость достигала 750 км/час (4027,30).</w:t>
      </w:r>
    </w:p>
    <w:p w14:paraId="61366B24" w14:textId="77777777" w:rsidR="00A812E8" w:rsidRPr="00271E51" w:rsidRDefault="00A812E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0CD74" w14:textId="77777777" w:rsidR="00A812E8" w:rsidRPr="00271E51" w:rsidRDefault="00A812E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первый полет Dornier Do 335 V1 CP + UA (20376).</w:t>
      </w:r>
    </w:p>
    <w:p w14:paraId="19769058" w14:textId="77777777" w:rsidR="00A812E8" w:rsidRPr="00271E51" w:rsidRDefault="00A812E8" w:rsidP="00271E51">
      <w:pPr>
        <w:spacing w:after="0" w:line="240" w:lineRule="auto"/>
        <w:jc w:val="both"/>
        <w:rPr>
          <w:rFonts w:ascii="Times New Roman" w:hAnsi="Times New Roman"/>
          <w:color w:val="0070C0"/>
          <w:sz w:val="16"/>
          <w:szCs w:val="16"/>
        </w:rPr>
      </w:pPr>
    </w:p>
    <w:p w14:paraId="748C3218" w14:textId="77777777" w:rsidR="00A812E8" w:rsidRPr="00271E51" w:rsidRDefault="00A812E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октября 1943 - Первый в истории авиации полёт самолёта Do 335 "Pfeil" ("стрела"). Пилот Ганс Дитерле - главный лётчик-испытатель фирмы Dornier (22325).</w:t>
      </w:r>
    </w:p>
    <w:p w14:paraId="416AB06A" w14:textId="77777777" w:rsidR="00A812E8" w:rsidRPr="00271E51" w:rsidRDefault="00A812E8" w:rsidP="00271E51">
      <w:pPr>
        <w:spacing w:after="0" w:line="240" w:lineRule="auto"/>
        <w:jc w:val="both"/>
        <w:rPr>
          <w:rFonts w:ascii="Times New Roman" w:hAnsi="Times New Roman"/>
          <w:color w:val="0070C0"/>
          <w:sz w:val="16"/>
          <w:szCs w:val="16"/>
        </w:rPr>
      </w:pPr>
    </w:p>
    <w:p w14:paraId="710738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October 26, 1943: The RAF launches a heavy night raid against Stuttgart, while the US 8th Air Force , in its greatest effort to date, delivers a devastating daylight attack on Bremen (3819).</w:t>
      </w:r>
    </w:p>
    <w:p w14:paraId="3D050F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38C9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октября 1943 Королевские ВВС совершили массированный ночной налет на Штутгарт, а 8ВА США - сильнейший дневной налет на Бремен (3819).</w:t>
      </w:r>
    </w:p>
    <w:p w14:paraId="4B85F5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4444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39C60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C35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ОКБ С.В.И. закончило производством Ил-2, вооруженный 45 мм пушками ОКБ-15 НКВ, но до 30 октября сдать на гос. испытания в НИИ ВВС не могло из-за нелетной погоды (1784,42).</w:t>
      </w:r>
    </w:p>
    <w:p w14:paraId="4241E9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C64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Кузнецов писал зам. командующего и ГИ ВВС Репину письмо N Н-34/4364:</w:t>
      </w:r>
    </w:p>
    <w:p w14:paraId="0BD8CD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 заводе 30 совместно в Военным представительством проводятся испытания 20 самолетов Ил-2 в целях проверки на большом числе самолетов всех конструктивных доработок, внедренных заводом 30 на основании отчетов НИИ АВ и НИИ ВВС.</w:t>
      </w:r>
    </w:p>
    <w:p w14:paraId="1756A6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некоторых расхождений в требованиях НИИ АВ и НИИ ВВС к установке 11-П на самолете Ил-2, считал бы целесообразным участие представителей данных институтов в проведении указанных испытаний.</w:t>
      </w:r>
    </w:p>
    <w:p w14:paraId="722E5D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7CE8A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в целях более всесторонних испытаний самолета Ил-2 с пушками 11-П в условиях эксплуатации в частях ВВС прошу Вашего распоряжения о проведении войсковых испытаний." (1779,227).</w:t>
      </w:r>
    </w:p>
    <w:p w14:paraId="4998BA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55AE5"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0ECAE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EF3D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г. опытный образец 107-мм пушки 9С-1 прибыл на Гороховецкий полигон для проведения полигонных испытаний (3861).</w:t>
      </w:r>
    </w:p>
    <w:p w14:paraId="2F2639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7B7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Постановление ГКО № 4434 О мерах по обеспечению производства и поставки дезинфекционной техники и баннопрачечного оборудования для КА и НКВМФ.РГАНИР, Фонд ГКО, д. 169, лл. 82, 83-92 (11012).</w:t>
      </w:r>
    </w:p>
    <w:p w14:paraId="6DE99D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CCF0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Распоряжение ГКО № 4435 [О разрешении использовать при перевозке боеприпасов с заводов на базы открытые полувагоны.] (7151, 93).</w:t>
      </w:r>
    </w:p>
    <w:p w14:paraId="3BB040E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B698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Распоряжение ГКО № 4436. Об утверждении тактико-технической характеристики СУ-85.РГАНИР, Фонд ГКО, д. 169, лл. 94, 95-96 (11012).</w:t>
      </w:r>
    </w:p>
    <w:p w14:paraId="3EFA35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6EA4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Постановление ГКО № 4437 Об усилении противовоздушной обороны Мурманска, Архангельска, Молотовска и Кировской железной дороги. (7151, 97-100,101-102).</w:t>
      </w:r>
    </w:p>
    <w:p w14:paraId="78B75CE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39DA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Постановление ГКО № 4438 О подготовке и проведении снегоборьбы в зиму 1943-44 гг. на железных дорогах, освобожденных от противника. (7151, 103-106).</w:t>
      </w:r>
    </w:p>
    <w:p w14:paraId="4772D44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46506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вышло Постановление ГКО № 4439 О восстановлении магистральной и внутридорожной связи НКПС на освобожденных участках ж.д. (7151, 107-115,116-120).</w:t>
      </w:r>
    </w:p>
    <w:p w14:paraId="73876A7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0D2C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октября 1943 Петрозавод заложил 4-й ТЩ типа МТ-1 (10671).</w:t>
      </w:r>
    </w:p>
    <w:p w14:paraId="6D807E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39886" w14:textId="77777777" w:rsidR="008D5B1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47F3A99" w14:textId="77777777" w:rsidR="008D5B14" w:rsidRPr="00271E51" w:rsidRDefault="008D5B1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7EB68"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27 октября </w:t>
      </w:r>
      <w:r w:rsidRPr="00271E51">
        <w:rPr>
          <w:rFonts w:ascii="Times New Roman" w:hAnsi="Times New Roman"/>
          <w:color w:val="000000" w:themeColor="text1"/>
          <w:sz w:val="16"/>
          <w:szCs w:val="16"/>
        </w:rPr>
        <w:t>в 1943 году оперативная сводка Совинформбюро:</w:t>
      </w:r>
    </w:p>
    <w:p w14:paraId="550EB6DE"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октября в районе юго-восточнее нижнего течения Днепра наши войска в результате ожесточённых боёв сломили сопротивление противника на фронтеот Днепра до Азовского моря и, преследуя его отступающие войска, продвинулись вперёд от 10 до 30 километров и заняли более 90 населённых пунктов, среди которых районные центры Запорожской области Васильевка, Михайловка, Акимовка, крупные населённые пункты Скелька, Орлянск, Тимошевка, Матвеевка, Ново-Ивановка, Ново-Успеновка, Новая Александровка, Петровка, Александрофельд, Терновка 1-я, Шелюги, Ефремовка, Кирилловка, Горелое и железнодорожные станции Чокрак, Бурчацк, Пришиб, Плодородие, Фёдоровка, Акимовка. Отступая под ударами наших войск, противник несёт огромные потери в живой силе и технике.</w:t>
      </w:r>
    </w:p>
    <w:p w14:paraId="308A446E"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продолжая наступление, продвинулись вперёд от 6 до 15 километров и заняли более 30 населённых пунктов, среди которых районный центр Днепропетровской области Кринички, крупные населённые пункты Адамовка, Еленовка, Карнауховские Хутора, Новосёловка, Сурско-Литовское, Ново-Николаевка, Сурско-Михайловка, Петровское, Привольная Сергеевка, Вольный и железнодорожные станции Сурское, Привольное.</w:t>
      </w:r>
    </w:p>
    <w:p w14:paraId="43700B60"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преодолевая сопротивление иконтратаки противника, продолжали наступление и заняли несколько населённыхпунктов.</w:t>
      </w:r>
    </w:p>
    <w:p w14:paraId="3C712C6E"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Витебск наши войска вели бои местного значения, в результате которых продвинулись вперёд от 6 до 10 километров и заняли более 50 населённых пунктов, в том числе крупные населённые пункты Чурилово, Любки, Халюпы, Зайково, Лешково, Понизовье, Дрозды, Папоротно, Козаково, Автушково, Задубровье. Таким образом, шоссейная дорога Невель — Усвяты очищена от противника.</w:t>
      </w:r>
    </w:p>
    <w:p w14:paraId="5CC24789"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усиленная разведка и артиллерийско-миномётная перестрелка.</w:t>
      </w:r>
    </w:p>
    <w:p w14:paraId="243F28DD"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октября наши войска на всех фронтах подбили и уничтожили 42 немецких танка. В воздушных боях и огнём зенитной артиллерии сбито 49 самолётов противника.</w:t>
      </w:r>
    </w:p>
    <w:p w14:paraId="260F74D0"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нижнего течения Днепра наши войска продолжали успешное наступление. Овладев районным центром Весёлое, наши подвижные части, стремительно продвигаясь на запад, перерезали три улучшенных грунтовых дороги и захватили много пленных, 20 немецких танков, 17 самоходных и 120 полевых орудий,12 шестиствольных миномётов. Захвачено у противника также много автомашин и повозок с грузами и большие гурты скота. Освобождено свыше 10 тысяч советских граждан, которых немцы угоняли на каторгу в Германию. Сегодня наши войска сломили сопротивление противника на всём фронте от Днепра до Азовского моря и, преследуя отступающие немецкие войска, заняли районный центр и железнодорожную станцию Акимовка (южнее города Мелитополь), районные центры Васильевка и Михайловка (севернее города Мелитополь) и более 90 других населённых пунктов. За день боёв уничтожено до 3.000 немецких солдат и офицеров, 28 танков и 90 орудий. Захвачены большие трофеи. Противник, отступая под ударами наших войск, бросает артиллерию, миномёты, боеприпасы и военное имущество.</w:t>
      </w:r>
    </w:p>
    <w:p w14:paraId="3A0110D3"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немецким войскам и причинила им тяжёлые потери. В воздушных боях за день сбито 28 немецких самолётов.</w:t>
      </w:r>
    </w:p>
    <w:p w14:paraId="55EF5082"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продолжали наступление. Противник сильным огнём и контратаками пытался задержать продвижение советских частей, но понёс большие потери и вновь был отброшен. Освобождено от немецко-фашистских захватчиков свыше 30 населённых пунктов, в томчисле районный центр Днепропетровской области Кринички. В боях за эти пункты уничтожено до полка немецкой пехоты. Только частями Н-ского соединения захваченоу противника 48 орудий, 40 миномётов, много винтовок и автоматов, 2 склада боеприпасов и 5 складов с продовольствием.</w:t>
      </w:r>
    </w:p>
    <w:p w14:paraId="58F06D9B"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днём и ночью бомбардировала скопления немецких воинских эшелонов на железнодорожном узле Апостолово. В результате бомбардировок взорвано и разбито большое число платформ и вагонов с техникой противника. Отмечено много пожаров, сопровождавшихся сильными взрывами.</w:t>
      </w:r>
    </w:p>
    <w:p w14:paraId="1AA9C01B"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Части Н-ского соединения, преодолевая упорное сопротивление противника, заняли несколько населённых пунктов. Немцы, пытаясь восстановить положение, бросили в контратаки крупные силы танков. Огнём нашей артиллерии и гвардейских миномётных частей все контратаки гитлеровцев отбиты с большими для них потерями. На другом участке наши бойцы окружили в одном населённом пункте батальон немецкой пехоты. Несмотря на отчаянные попытки гитлеровцев вырваться из окружения, к исходу дня батальон противника был полностью разгромлен, а его остатки взяты в плен. Захвачены трофеи, в числе которых 8 орудий, 7 шестиствольных миномётов, 42 пулемёта, склад боеприпасов и продовольствия.</w:t>
      </w:r>
    </w:p>
    <w:p w14:paraId="7D3B9BC1"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наши лётчики в воздушных боях сбили 11 немецких самолётов.</w:t>
      </w:r>
    </w:p>
    <w:p w14:paraId="72D3340B"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Витебска наши войска, преодолевая огневое сопротивление и развитую систему инженерных заграждений противника, заняли свыше 50 населённыхпунктов. Шоссейная дорога Невель — Усвяты на всём её протяжении очищена от противника. На одном участке бойцы Н-ской части разгромили сильно укреплённый узел обороны немцев и истребили до 600 гитлеровцев. Захвачены две артиллерийских батареи, 8 миномётов и два склада боеприпасов. Взяты пленные.</w:t>
      </w:r>
    </w:p>
    <w:p w14:paraId="2B8090CB"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Партизанский отряд «Советский Мурман», действующий в одном из районов Карело-Финской ССР, совершил налёт на гарнизон противника. Партизаны убили свыше 30 немецких солдат, сожгли продовольственный склад и базу с бензином. Отряд «Красный партизан» разгромил финские гарнизоны в двух населённых пунктах. В ожесточённой схватке советские патриоты истребили до 60 белофиннов. Захвачены трофеи и пленные.</w:t>
      </w:r>
    </w:p>
    <w:p w14:paraId="7E3F8CE4"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Запорожья захвачены в плен многочисленные группы немцев. Пленный солдат 6 роты 681 полка 333 немецкой пехотной дивизии Георг Рихтер рассказал: «Офицеры нам говорили, что есть приказ фюрера не отступать ни на шаг и оборонять Запорожский плацдарм до последнего солдата. Командир полка объявил: «Мы отсюда не уйдём, ибо у нас неприступные позиции и достаточно сил для обороны. Здесь мы будем зимовать». Но потери наши были очень велики, а натиск русских настолько силён, что мы не выдержали. Поредевшие роты обратились в паническое бегство. Я бежал с командиром 5 роты до перевязочного пункта. Туда беспрерывным потоком прибывали раненые. Около этого пункта какой-то капитан пытался задержать бегущих солдат. Он кричал, что нам на помощь идут «Тигры», но солдаты его не слушали и разбегались в разные стороны». Пленный солдат 6 роты 683 полка 335 немецкой пехотной дивизии Штельцер заявил: «Настроение солдат очень подавленное. Все считают, что мы обречены на гибель. Наш батальон три раза бежал с занимаемых позиций. Только под угрозой расстрела офицерам удалось на время задержать солдат, но русские всё равно отбросили нас, причинив ужасные потери. Я не хотел бессмысленно погибать и вместе с группой солдат сдался в плен» (14812).</w:t>
      </w:r>
    </w:p>
    <w:p w14:paraId="670CFC2A" w14:textId="77777777" w:rsidR="008D5B14" w:rsidRPr="00271E51" w:rsidRDefault="008D5B14" w:rsidP="00271E51">
      <w:pPr>
        <w:spacing w:after="0" w:line="240" w:lineRule="auto"/>
        <w:jc w:val="both"/>
        <w:rPr>
          <w:rFonts w:ascii="Times New Roman" w:hAnsi="Times New Roman"/>
          <w:color w:val="000000" w:themeColor="text1"/>
          <w:sz w:val="16"/>
          <w:szCs w:val="16"/>
        </w:rPr>
      </w:pPr>
    </w:p>
    <w:p w14:paraId="65E937B4" w14:textId="05024250" w:rsidR="004801FA" w:rsidRPr="00271E51" w:rsidRDefault="004801FA"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20E92D51" w14:textId="77777777" w:rsidR="004801FA" w:rsidRPr="00271E51" w:rsidRDefault="004801FA"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2B6A1FF" w14:textId="77777777" w:rsidR="004801FA" w:rsidRPr="00271E51" w:rsidRDefault="004801F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27 октября 1943 во время высадки США на островах Казначейства 25 японских пикирующих бомбардировщиков Aichi D3A («Val») атакуют американские корабли в прибрежной зоне, повредив эсминец в обмен на потерю 12 самолетов (20376).</w:t>
      </w:r>
    </w:p>
    <w:p w14:paraId="7371908C" w14:textId="77777777" w:rsidR="004801FA" w:rsidRPr="00271E51" w:rsidRDefault="004801FA" w:rsidP="00271E51">
      <w:pPr>
        <w:spacing w:after="0" w:line="240" w:lineRule="auto"/>
        <w:jc w:val="both"/>
        <w:rPr>
          <w:rFonts w:ascii="Times New Roman" w:hAnsi="Times New Roman"/>
          <w:color w:val="0070C0"/>
          <w:sz w:val="16"/>
          <w:szCs w:val="16"/>
        </w:rPr>
      </w:pPr>
    </w:p>
    <w:p w14:paraId="7832C27A" w14:textId="3F0AEB14"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5BBF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D805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А.И.Ш. писал Репину письмо N Н-34/4372:</w:t>
      </w:r>
    </w:p>
    <w:p w14:paraId="6A4FA7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отчету НИИ ВВС об испытаниях самолета Ил-2 с химприборами:</w:t>
      </w:r>
    </w:p>
    <w:p w14:paraId="0CE7F4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Универсальные ухваты Ил-2 для подвески химприборов и бомб прошли испытания в НИИ АВ 17 января 1943 и приняты на снабжение ВВС (НТЖ ВВС от 8 февраля 1943 N 023).</w:t>
      </w:r>
    </w:p>
    <w:p w14:paraId="399B87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были проведены недостаточно тщательно, вследствие чего на повторных испытаниях в НИИ АВ и в НИИ ВВС ухваты показали отрицательные результаты.</w:t>
      </w:r>
    </w:p>
    <w:p w14:paraId="1EB776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Мною были даны указания о доработке конструкции ухватов. такие ухваты спроектированы ОКБ завода 43 и поданы в НИИ АВ ВВС на испытания.</w:t>
      </w:r>
    </w:p>
    <w:p w14:paraId="7F40A7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с этим, к 28 октября 1943 2-й комплект ухватов будет подан на испытания в НИИ ВВС.</w:t>
      </w:r>
    </w:p>
    <w:p w14:paraId="6E63FE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Обращаю Ваше внимание на не совсем тщательное проведение испытаний агрегатов вооружения, т.к. аналогичное положение имело место и с испытаниями ВУБ-3 с механическим подтягом.</w:t>
      </w:r>
    </w:p>
    <w:p w14:paraId="0D294E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заключения НИИ АВ, последние были запущены в серийное производство. При изготовлении первых образцов обнаружилось, что испытания были проведены не совсем тщательно, установка была с самолета снята и дана на доработку." (1779,228).</w:t>
      </w:r>
    </w:p>
    <w:p w14:paraId="04A5FE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04B48" w14:textId="77777777" w:rsidR="002F4B06" w:rsidRPr="00271E51" w:rsidRDefault="002F4B06" w:rsidP="00271E51">
      <w:pPr>
        <w:spacing w:after="0" w:line="240" w:lineRule="auto"/>
        <w:jc w:val="both"/>
        <w:rPr>
          <w:rStyle w:val="ucoz-forum-post"/>
          <w:rFonts w:ascii="Times New Roman" w:eastAsia="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28 октября 1943 года</w:t>
      </w:r>
      <w:r w:rsidRPr="00271E51">
        <w:rPr>
          <w:rStyle w:val="ucoz-forum-post"/>
          <w:rFonts w:ascii="Times New Roman" w:eastAsia="Times New Roman" w:hAnsi="Times New Roman"/>
          <w:color w:val="000000" w:themeColor="text1"/>
          <w:sz w:val="16"/>
          <w:szCs w:val="16"/>
        </w:rPr>
        <w:t xml:space="preserve"> Завершена постройка дальнего двухмоторного бронированного штурмовика Су-8 (ДДБШ) (14813).</w:t>
      </w:r>
    </w:p>
    <w:p w14:paraId="5F24EE15" w14:textId="77777777" w:rsidR="002F4B06" w:rsidRPr="00271E51" w:rsidRDefault="002F4B06" w:rsidP="00271E51">
      <w:pPr>
        <w:spacing w:after="0" w:line="240" w:lineRule="auto"/>
        <w:jc w:val="both"/>
        <w:rPr>
          <w:rStyle w:val="ucoz-forum-post"/>
          <w:rFonts w:ascii="Times New Roman" w:eastAsia="Times New Roman" w:hAnsi="Times New Roman"/>
          <w:color w:val="000000" w:themeColor="text1"/>
          <w:sz w:val="16"/>
          <w:szCs w:val="16"/>
        </w:rPr>
      </w:pPr>
    </w:p>
    <w:p w14:paraId="26CE8F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была закончена сборка МиГ высотного с АМ-39 (991,9).</w:t>
      </w:r>
    </w:p>
    <w:p w14:paraId="5D5A21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AA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 связи с задержкой из-за несвоевременной поставки двигателя самолет И-221 был закончен в производстве. Основными отличиями истребителя И-221 от И-220 были: двигатель АМ-39А с редукцией 0.59 (вместо 0,732), два турбокомпрессора ТК-2Б, четырехлопастный винт серии АВ-9 диаметром 3,5 м, а также увеличенный до 13 м размах крыла. Вооружение состояло из двух 20-мм синхронных пушек ШВАК (СП-20) с боезапасом по 100 патронов (одна пушка устанавливалась в перегрузку). По расчетам самолет И-221 должен был иметь максимальную скорость 685 км/ч на высоте 12500 м и потолок 15000 м. Заданную высоту 14000 м предполагалось набирать за 22 мин (5852,38).</w:t>
      </w:r>
    </w:p>
    <w:p w14:paraId="446F0C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6E4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Нач. ЦАГИ Шишкин писал письмо НКАП А.И.Ш.:</w:t>
      </w:r>
    </w:p>
    <w:p w14:paraId="01BCBC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с. г. на самолете Ла-5 М-82ФН закончены лётные испытания трех опытных винтов с лопостями ЦАГИ.Опытные винты изготовлены на заводе № 467, испытания винтов проводились в ЛИИ.</w:t>
      </w:r>
    </w:p>
    <w:p w14:paraId="40A836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три винта с лопастями ЦАГИ дали существен</w:t>
      </w:r>
      <w:r w:rsidRPr="00271E51">
        <w:rPr>
          <w:rFonts w:ascii="Times New Roman" w:hAnsi="Times New Roman"/>
          <w:color w:val="000000" w:themeColor="text1"/>
          <w:sz w:val="16"/>
          <w:szCs w:val="16"/>
        </w:rPr>
        <w:softHyphen/>
        <w:t>ное улучшение летных характеристик самолета по сравнению с серийным вин том. Наилучшие результаты показал винт ВИШ-105В-4.С этим винтом максимальная скорость самолета на высоте 6250 м (2-я граница высотности увеличилась на 11 км/час, разбег самолета сократился 30 м (9.7%), взлетная дистанциая уменьшилась на 75 м (9,4%); скоропод'ёмность самолета осталась неизменной. Механизм винта работал нормаль</w:t>
      </w:r>
      <w:r w:rsidRPr="00271E51">
        <w:rPr>
          <w:rFonts w:ascii="Times New Roman" w:hAnsi="Times New Roman"/>
          <w:color w:val="000000" w:themeColor="text1"/>
          <w:sz w:val="16"/>
          <w:szCs w:val="16"/>
        </w:rPr>
        <w:softHyphen/>
        <w:t>но на всех режимах.</w:t>
      </w:r>
    </w:p>
    <w:p w14:paraId="1035F5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ВИШ-105В-4 рекомендован ЦАГИ для запуска в серийное производство к самолетам Ла-5 М-82ФН вза</w:t>
      </w:r>
      <w:r w:rsidRPr="00271E51">
        <w:rPr>
          <w:rFonts w:ascii="Times New Roman" w:hAnsi="Times New Roman"/>
          <w:color w:val="000000" w:themeColor="text1"/>
          <w:sz w:val="16"/>
          <w:szCs w:val="16"/>
        </w:rPr>
        <w:softHyphen/>
        <w:t>мен серийного винта ВИШ-105М.</w:t>
      </w:r>
    </w:p>
    <w:p w14:paraId="01199A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лопасть ЦАГИ винта ВИШ-105В-4 по своим конструктивным характеристикам мало отличается от лопасти серийного винта ВИШ-105В (на лопасти постав</w:t>
      </w:r>
      <w:r w:rsidRPr="00271E51">
        <w:rPr>
          <w:rFonts w:ascii="Times New Roman" w:hAnsi="Times New Roman"/>
          <w:color w:val="000000" w:themeColor="text1"/>
          <w:sz w:val="16"/>
          <w:szCs w:val="16"/>
        </w:rPr>
        <w:softHyphen/>
        <w:t>лены новые скоростные профили ЦАГИ и несколько изменена крутка), то никаких технических препятствий к внедрению ее в серийное производство не имеется -- она может изготовляться из серийных штамповок.</w:t>
      </w:r>
    </w:p>
    <w:p w14:paraId="4E3ACC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повышения летных качеств серийных само</w:t>
      </w:r>
      <w:r w:rsidRPr="00271E51">
        <w:rPr>
          <w:rFonts w:ascii="Times New Roman" w:hAnsi="Times New Roman"/>
          <w:color w:val="000000" w:themeColor="text1"/>
          <w:sz w:val="16"/>
          <w:szCs w:val="16"/>
        </w:rPr>
        <w:softHyphen/>
        <w:t>летов Ла-5 прошу Вашего распоряжения о внедрении в серийное производство новых винтов ВИШ-105В-4 с ло</w:t>
      </w:r>
      <w:r w:rsidRPr="00271E51">
        <w:rPr>
          <w:rFonts w:ascii="Times New Roman" w:hAnsi="Times New Roman"/>
          <w:color w:val="000000" w:themeColor="text1"/>
          <w:sz w:val="16"/>
          <w:szCs w:val="16"/>
        </w:rPr>
        <w:softHyphen/>
        <w:t>пастями ЦАГИ взамен серийного винта ВИШ-105В.</w:t>
      </w:r>
    </w:p>
    <w:p w14:paraId="40C4A6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проект приказа (1458,339).</w:t>
      </w:r>
    </w:p>
    <w:p w14:paraId="532E3A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1C4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года вышел приказ НКАП за № 643с, которым ОКБ автопилотов завода 214 было в 1943 реэвакуировано обратно в Москву с базированием при заводе № 122, где было переименовано в ОКБ-1 5-го гл. управления МАП.</w:t>
      </w:r>
    </w:p>
    <w:p w14:paraId="2063C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2E248A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ул. Образцова, д. 13, Дзержинский район</w:t>
      </w:r>
    </w:p>
    <w:p w14:paraId="4AF3A7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00748D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1CE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43 г. по приказу НКАП № 643с в соответствии с пост. ГКО № 4290с от 8.10.1943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(ОКБ-1 НКАП гл. конструктора В.М. Соркина при заводе № 122 НКАП /г. Москва, Кутузовский пр./).</w:t>
      </w:r>
    </w:p>
    <w:p w14:paraId="4D45CB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09A0EA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7D5372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автопилоты: АП-1У и АП-4 для «10Х» (11982).</w:t>
      </w:r>
    </w:p>
    <w:p w14:paraId="054A36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DBDD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вышел приказ НКАП № 641с:</w:t>
      </w:r>
    </w:p>
    <w:p w14:paraId="0F08994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 4290 от 8 октября 1943:</w:t>
      </w:r>
    </w:p>
    <w:p w14:paraId="57EE01A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Перевести ф-л з-да № 51 из Новосибирска на основную территорию з-да № 51 в Москву.</w:t>
      </w:r>
    </w:p>
    <w:p w14:paraId="60C245F9"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(1760, 117).</w:t>
      </w:r>
    </w:p>
    <w:p w14:paraId="1803474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50D28F9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28 (как и 24) октября 1943 в те</w:t>
      </w:r>
      <w:r w:rsidRPr="00271E51">
        <w:rPr>
          <w:rFonts w:ascii="Times New Roman" w:cs="Times New Roman"/>
          <w:color w:val="000000" w:themeColor="text1"/>
          <w:spacing w:val="0"/>
        </w:rPr>
        <w:softHyphen/>
        <w:t>чение двух дней проходили воздушные испытания ПТАБ-10,2,5. Сначала выполнили пять полетов на сброс корпу</w:t>
      </w:r>
      <w:r w:rsidRPr="00271E51">
        <w:rPr>
          <w:rFonts w:ascii="Times New Roman" w:cs="Times New Roman"/>
          <w:color w:val="000000" w:themeColor="text1"/>
          <w:spacing w:val="0"/>
        </w:rPr>
        <w:softHyphen/>
        <w:t>сов бомб снаряженных взрывателями. По</w:t>
      </w:r>
      <w:r w:rsidRPr="00271E51">
        <w:rPr>
          <w:rFonts w:ascii="Times New Roman" w:cs="Times New Roman"/>
          <w:color w:val="000000" w:themeColor="text1"/>
          <w:spacing w:val="0"/>
        </w:rPr>
        <w:softHyphen/>
        <w:t>сле чего выполнили два полета на боевое бомбометание с самолета Ил-2. Бомбили колонну трофейных танков. Высота сброса - 100 м, скорость самолета - 300 км/ч.</w:t>
      </w:r>
    </w:p>
    <w:p w14:paraId="38DB660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первом вылете использовали две кас</w:t>
      </w:r>
      <w:r w:rsidRPr="00271E51">
        <w:rPr>
          <w:rFonts w:ascii="Times New Roman" w:cs="Times New Roman"/>
          <w:color w:val="000000" w:themeColor="text1"/>
          <w:spacing w:val="0"/>
        </w:rPr>
        <w:softHyphen/>
        <w:t>сеты одиночно, во втором - также две кас</w:t>
      </w:r>
      <w:r w:rsidRPr="00271E51">
        <w:rPr>
          <w:rFonts w:ascii="Times New Roman" w:cs="Times New Roman"/>
          <w:color w:val="000000" w:themeColor="text1"/>
          <w:spacing w:val="0"/>
        </w:rPr>
        <w:softHyphen/>
        <w:t>сеты, но серией с интервалом 0,5 с.</w:t>
      </w:r>
    </w:p>
    <w:p w14:paraId="53E6E48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 втором полете при посадке самолета из среднего отсека правой плоскости выпа</w:t>
      </w:r>
      <w:r w:rsidRPr="00271E51">
        <w:rPr>
          <w:rFonts w:ascii="Times New Roman" w:cs="Times New Roman"/>
          <w:color w:val="000000" w:themeColor="text1"/>
          <w:spacing w:val="0"/>
        </w:rPr>
        <w:softHyphen/>
        <w:t>ли три бомбы, из которых две взорвались. От взрыва самолет загорелся. Потушить машину не удалось.</w:t>
      </w:r>
    </w:p>
    <w:p w14:paraId="5BD9E6C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осмотра места взрыва было установлено, что взрыв второй бомбы был инициирован подрывом первой бомбы (най</w:t>
      </w:r>
      <w:r w:rsidRPr="00271E51">
        <w:rPr>
          <w:rFonts w:ascii="Times New Roman" w:cs="Times New Roman"/>
          <w:color w:val="000000" w:themeColor="text1"/>
          <w:spacing w:val="0"/>
        </w:rPr>
        <w:softHyphen/>
        <w:t>ден взрыватель с несвернутой ветрянкой). У третьей выпавшей бомбы произошел от</w:t>
      </w:r>
      <w:r w:rsidRPr="00271E51">
        <w:rPr>
          <w:rFonts w:ascii="Times New Roman" w:cs="Times New Roman"/>
          <w:color w:val="000000" w:themeColor="text1"/>
          <w:spacing w:val="0"/>
        </w:rPr>
        <w:softHyphen/>
        <w:t>каз в действии взрывателя.</w:t>
      </w:r>
    </w:p>
    <w:p w14:paraId="51777B6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мнению специалистов института, вероятной причиной зависания бомб в бомбоотсеке Ил-2 являлось «запаздыва</w:t>
      </w:r>
      <w:r w:rsidRPr="00271E51">
        <w:rPr>
          <w:rFonts w:ascii="Times New Roman" w:cs="Times New Roman"/>
          <w:color w:val="000000" w:themeColor="text1"/>
          <w:spacing w:val="0"/>
        </w:rPr>
        <w:softHyphen/>
        <w:t>ние выпадения некоторых бомб, из которых одна была зажата створками бомболюка». Вес оставшихся трех бомб оказался не в состоянии преодолеть сопротивление пру</w:t>
      </w:r>
      <w:r w:rsidRPr="00271E51">
        <w:rPr>
          <w:rFonts w:ascii="Times New Roman" w:cs="Times New Roman"/>
          <w:color w:val="000000" w:themeColor="text1"/>
          <w:spacing w:val="0"/>
        </w:rPr>
        <w:softHyphen/>
        <w:t>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rFonts w:ascii="Times New Roman" w:cs="Times New Roman"/>
          <w:color w:val="000000" w:themeColor="text1"/>
          <w:spacing w:val="0"/>
        </w:rPr>
        <w:softHyphen/>
        <w:t>жение и на посадке, когда бомба выпала из отсека, «при ударе бомбы о преграду произошел взрыв, вследствие чего само</w:t>
      </w:r>
      <w:r w:rsidRPr="00271E51">
        <w:rPr>
          <w:rFonts w:ascii="Times New Roman" w:cs="Times New Roman"/>
          <w:color w:val="000000" w:themeColor="text1"/>
          <w:spacing w:val="0"/>
        </w:rPr>
        <w:softHyphen/>
        <w:t>лет сгорел».</w:t>
      </w:r>
    </w:p>
    <w:p w14:paraId="6FC5AB61"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ЦКБ-22 в авральном порядке изготови</w:t>
      </w:r>
      <w:r w:rsidRPr="00271E51">
        <w:rPr>
          <w:rFonts w:ascii="Times New Roman" w:cs="Times New Roman"/>
          <w:color w:val="000000" w:themeColor="text1"/>
          <w:spacing w:val="0"/>
        </w:rPr>
        <w:softHyphen/>
        <w:t>ло партию опытных бомб и предъ</w:t>
      </w:r>
      <w:r w:rsidRPr="00271E51">
        <w:rPr>
          <w:rFonts w:ascii="Times New Roman" w:cs="Times New Roman"/>
          <w:color w:val="000000" w:themeColor="text1"/>
          <w:spacing w:val="0"/>
        </w:rPr>
        <w:softHyphen/>
        <w:t>явило их на государственные испытания в НИИ АВ ВВС.</w:t>
      </w:r>
    </w:p>
    <w:p w14:paraId="0D4C925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От ПТАБ-2,5-1,5 «десятка» отличалась формой, габаритами и весом боевой части.</w:t>
      </w:r>
    </w:p>
    <w:p w14:paraId="4D96CEE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271E51">
        <w:rPr>
          <w:rFonts w:ascii="Times New Roman" w:hAnsi="Times New Roman"/>
          <w:color w:val="000000" w:themeColor="text1"/>
          <w:sz w:val="16"/>
          <w:szCs w:val="16"/>
        </w:rPr>
        <w:softHyphen/>
        <w:t>шего действия бомбы по массивным и экра</w:t>
      </w:r>
      <w:r w:rsidRPr="00271E51">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271E51">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271E51">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w:t>
      </w:r>
    </w:p>
    <w:p w14:paraId="2D8B34DA"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Всего на испытания поступило 1455 ПТАБ-10-2,5, из них 390 корпусов и 1065 бомб были снаряжены боевыми взрывча</w:t>
      </w:r>
      <w:r w:rsidRPr="00271E51">
        <w:rPr>
          <w:rFonts w:ascii="Times New Roman" w:cs="Times New Roman"/>
          <w:color w:val="000000" w:themeColor="text1"/>
          <w:spacing w:val="0"/>
        </w:rPr>
        <w:softHyphen/>
        <w:t>тыми веществами трех типов: тринитро</w:t>
      </w:r>
      <w:r w:rsidRPr="00271E51">
        <w:rPr>
          <w:rFonts w:ascii="Times New Roman" w:cs="Times New Roman"/>
          <w:color w:val="000000" w:themeColor="text1"/>
          <w:spacing w:val="0"/>
        </w:rPr>
        <w:softHyphen/>
        <w:t>толуолом - 500 бомб, ТГ-30 (тротил - 70%, гексоген - 30%) - 515 бомб, ТГА (тротил - 50%, гексоген - 40%, алюминиевая пудра -10%) -50 бомб.</w:t>
      </w:r>
    </w:p>
    <w:p w14:paraId="507761FE"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проводились специалиста</w:t>
      </w:r>
      <w:r w:rsidRPr="00271E51">
        <w:rPr>
          <w:rFonts w:ascii="Times New Roman" w:cs="Times New Roman"/>
          <w:color w:val="000000" w:themeColor="text1"/>
          <w:spacing w:val="0"/>
        </w:rPr>
        <w:softHyphen/>
        <w:t>ми 3-го отдела НИИ АВ ВВС. Ответственным по испытаниям был назначен инженер-ка- питан В.П. Федоров, ведущим летчиком- испытателем - капитан А.В. Кусакин. От промышленности в испытаниях участвовал конструктор бомбы И.А. Ларионов и пред</w:t>
      </w:r>
      <w:r w:rsidRPr="00271E51">
        <w:rPr>
          <w:rFonts w:ascii="Times New Roman" w:cs="Times New Roman"/>
          <w:color w:val="000000" w:themeColor="text1"/>
          <w:spacing w:val="0"/>
        </w:rPr>
        <w:softHyphen/>
        <w:t>ставитель завода №240 инженер Коклин. Отчет по испытаниям ПТАБ-10-2,5 началь</w:t>
      </w:r>
      <w:r w:rsidRPr="00271E51">
        <w:rPr>
          <w:rFonts w:ascii="Times New Roman" w:cs="Times New Roman"/>
          <w:color w:val="000000" w:themeColor="text1"/>
          <w:spacing w:val="0"/>
        </w:rPr>
        <w:softHyphen/>
        <w:t>ник НИИ АВ генерал-майор М.В. Гуревич утвердил 19 ноября 1943 г.</w:t>
      </w:r>
    </w:p>
    <w:p w14:paraId="0EF71C1A"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новой бомбы опреде</w:t>
      </w:r>
      <w:r w:rsidRPr="00271E51">
        <w:rPr>
          <w:rFonts w:ascii="Times New Roman" w:cs="Times New Roman"/>
          <w:color w:val="000000" w:themeColor="text1"/>
          <w:spacing w:val="0"/>
        </w:rPr>
        <w:softHyphen/>
        <w:t>лялась путем подрыва непосредственно на броне немецких танков и в воздухе при бомбометании с самолета Ил-2 по колонне трофейной бронетехники.</w:t>
      </w:r>
    </w:p>
    <w:p w14:paraId="38FDC83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Результаты подрывов ПТАБ-10-2,5 в основном сводились к следующему: при действии по основной броне (без экрана) бомбы при нормальном положении обеспе</w:t>
      </w:r>
      <w:r w:rsidRPr="00271E51">
        <w:rPr>
          <w:rFonts w:ascii="Times New Roman" w:cs="Times New Roman"/>
          <w:color w:val="000000" w:themeColor="text1"/>
          <w:spacing w:val="0"/>
        </w:rPr>
        <w:softHyphen/>
        <w:t>чивали сквозное пробитие брони толщиной 90-100 мм, но не пробивали 50-мм броню, находящуюся на удалении 300-500 мм от броневого экрана толщиной 10-15 мм.</w:t>
      </w:r>
    </w:p>
    <w:p w14:paraId="7AF6DDB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ходе испытаний обнаружился стран</w:t>
      </w:r>
      <w:r w:rsidRPr="00271E51">
        <w:rPr>
          <w:rFonts w:ascii="Times New Roman" w:cs="Times New Roman"/>
          <w:color w:val="000000" w:themeColor="text1"/>
          <w:spacing w:val="0"/>
        </w:rPr>
        <w:softHyphen/>
        <w:t>ный эффект «непостоянства фугасного дей</w:t>
      </w:r>
      <w:r w:rsidRPr="00271E51">
        <w:rPr>
          <w:rFonts w:ascii="Times New Roman" w:cs="Times New Roman"/>
          <w:color w:val="000000" w:themeColor="text1"/>
          <w:spacing w:val="0"/>
        </w:rPr>
        <w:softHyphen/>
        <w:t>ствия авиабомб». При детальном осмотре бомб обнаружили сквозные раковины во взрывчатом веществе. Кроме того, вместо тетриловых детонаторных шашек во всех бомбах были установлены шашки из пикри- ловой кислоты. Налицо был брак и наруше</w:t>
      </w:r>
      <w:r w:rsidRPr="00271E51">
        <w:rPr>
          <w:rFonts w:ascii="Times New Roman" w:cs="Times New Roman"/>
          <w:color w:val="000000" w:themeColor="text1"/>
          <w:spacing w:val="0"/>
        </w:rPr>
        <w:softHyphen/>
        <w:t>ние технологии при изготовлении бомб на снаряжательном заводе.</w:t>
      </w:r>
    </w:p>
    <w:p w14:paraId="6BA4995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Загрузка ПТАБ-10-2,5 в штатные кассе</w:t>
      </w:r>
      <w:r w:rsidRPr="00271E51">
        <w:rPr>
          <w:rFonts w:ascii="Times New Roman" w:cs="Times New Roman"/>
          <w:color w:val="000000" w:themeColor="text1"/>
          <w:spacing w:val="0"/>
        </w:rPr>
        <w:softHyphen/>
        <w:t>ты мелких бомб самолета Пе-2 (КМБ-Пе-2) показала, что в них можно было уложить го</w:t>
      </w:r>
      <w:r w:rsidRPr="00271E51">
        <w:rPr>
          <w:rFonts w:ascii="Times New Roman" w:cs="Times New Roman"/>
          <w:color w:val="000000" w:themeColor="text1"/>
          <w:spacing w:val="0"/>
        </w:rPr>
        <w:softHyphen/>
        <w:t>ризонтально головной частью назад только 20 бомб (или 40 бомб на самолет, всего 108 кг), что было совсем мало.</w:t>
      </w:r>
    </w:p>
    <w:p w14:paraId="249C3D3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укладке бомб вертикально вниз стабилизатором в штатные ампульно-бом- бовые кассеты типа АБК-1 самолета СБ умещалось 15 бомб в кассету - в три ряда по пять бомб в каждом (всего 90 шт., вес 213 кг). Но верхний ряд бомб выходил за пределы края кассеты на 75 мм.</w:t>
      </w:r>
    </w:p>
    <w:p w14:paraId="18E4EB8E"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То же самое наблюдалось и на бом</w:t>
      </w:r>
      <w:r w:rsidRPr="00271E51">
        <w:rPr>
          <w:rFonts w:ascii="Times New Roman" w:cs="Times New Roman"/>
          <w:color w:val="000000" w:themeColor="text1"/>
          <w:spacing w:val="0"/>
        </w:rPr>
        <w:softHyphen/>
        <w:t>бардировщике Ил-4 при загрузке кассеты АБК-3 (120 бомб, 324 кг). В каждую кассету входило 60 бомб при их укладке в 3 ряда по 5 бомб в каждом вертикально стабилизато</w:t>
      </w:r>
      <w:r w:rsidRPr="00271E51">
        <w:rPr>
          <w:rFonts w:ascii="Times New Roman" w:cs="Times New Roman"/>
          <w:color w:val="000000" w:themeColor="text1"/>
          <w:spacing w:val="0"/>
        </w:rPr>
        <w:softHyphen/>
        <w:t>ром вниз. Верхний ряд бомб также «выгля</w:t>
      </w:r>
      <w:r w:rsidRPr="00271E51">
        <w:rPr>
          <w:rFonts w:ascii="Times New Roman" w:cs="Times New Roman"/>
          <w:color w:val="000000" w:themeColor="text1"/>
          <w:spacing w:val="0"/>
        </w:rPr>
        <w:softHyphen/>
        <w:t>дывал» на 75 мм из кассеты.</w:t>
      </w:r>
    </w:p>
    <w:p w14:paraId="212D5D2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штатные кассеты мелких бомб само</w:t>
      </w:r>
      <w:r w:rsidRPr="00271E51">
        <w:rPr>
          <w:rFonts w:ascii="Times New Roman" w:cs="Times New Roman"/>
          <w:color w:val="000000" w:themeColor="text1"/>
          <w:spacing w:val="0"/>
        </w:rPr>
        <w:softHyphen/>
        <w:t>лета Ил-2 (КМБ-2) можно было уложить 26 ПТАБ-10-2,5 вертикально стабилиза</w:t>
      </w:r>
      <w:r w:rsidRPr="00271E51">
        <w:rPr>
          <w:rFonts w:ascii="Times New Roman" w:cs="Times New Roman"/>
          <w:color w:val="000000" w:themeColor="text1"/>
          <w:spacing w:val="0"/>
        </w:rPr>
        <w:softHyphen/>
        <w:t>тором вниз. То есть полная загрузка Ил-2 бомбами этого типа составляла 104 штуки (290 кг).</w:t>
      </w:r>
    </w:p>
    <w:p w14:paraId="645AC42E"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Универсальные бомбоотсеки Ил-2 вме</w:t>
      </w:r>
      <w:r w:rsidRPr="00271E51">
        <w:rPr>
          <w:rFonts w:ascii="Times New Roman" w:cs="Times New Roman"/>
          <w:color w:val="000000" w:themeColor="text1"/>
          <w:spacing w:val="0"/>
        </w:rPr>
        <w:softHyphen/>
        <w:t>щали 142 «десятки» (по 36 в средние отсеки и по 35 в крайние отсеки), уложенных гори</w:t>
      </w:r>
      <w:r w:rsidRPr="00271E51">
        <w:rPr>
          <w:rFonts w:ascii="Times New Roman" w:cs="Times New Roman"/>
          <w:color w:val="000000" w:themeColor="text1"/>
          <w:spacing w:val="0"/>
        </w:rPr>
        <w:softHyphen/>
        <w:t>зонтально вперед стабилизатором (по по</w:t>
      </w:r>
      <w:r w:rsidRPr="00271E51">
        <w:rPr>
          <w:rFonts w:ascii="Times New Roman" w:cs="Times New Roman"/>
          <w:color w:val="000000" w:themeColor="text1"/>
          <w:spacing w:val="0"/>
        </w:rPr>
        <w:softHyphen/>
        <w:t>лету) по 3 штуки по ширине и в 3 ряда по длине отсека. При этом по согласованию с представителем завода №240 инженером Коклиным в каждом бомбоотсеке устанав</w:t>
      </w:r>
      <w:r w:rsidRPr="00271E51">
        <w:rPr>
          <w:rFonts w:ascii="Times New Roman" w:cs="Times New Roman"/>
          <w:color w:val="000000" w:themeColor="text1"/>
          <w:spacing w:val="0"/>
        </w:rPr>
        <w:softHyphen/>
        <w:t>ливались 6 боковых деревянных реек, а также «впереди штанги бомбоотсека» спе</w:t>
      </w:r>
      <w:r w:rsidRPr="00271E51">
        <w:rPr>
          <w:rFonts w:ascii="Times New Roman" w:cs="Times New Roman"/>
          <w:color w:val="000000" w:themeColor="text1"/>
          <w:spacing w:val="0"/>
        </w:rPr>
        <w:softHyphen/>
        <w:t>циальные щитки. Боковые рейки были вве</w:t>
      </w:r>
      <w:r w:rsidRPr="00271E51">
        <w:rPr>
          <w:rFonts w:ascii="Times New Roman" w:cs="Times New Roman"/>
          <w:color w:val="000000" w:themeColor="text1"/>
          <w:spacing w:val="0"/>
        </w:rPr>
        <w:softHyphen/>
        <w:t>дены «с целью предохранения от зажима бомб между собой в бомбоотсеке». Кроме того, было ослаблено напряжение пружины створок бомбоотсеков таким образом, что</w:t>
      </w:r>
      <w:r w:rsidRPr="00271E51">
        <w:rPr>
          <w:rFonts w:ascii="Times New Roman" w:cs="Times New Roman"/>
          <w:color w:val="000000" w:themeColor="text1"/>
          <w:spacing w:val="0"/>
        </w:rPr>
        <w:softHyphen/>
        <w:t>бы открытие створок отсека происходило от веса двух бомб.</w:t>
      </w:r>
    </w:p>
    <w:p w14:paraId="092508F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дооборудования бомбоотсеков самолета Ил-2 было произведено на зем</w:t>
      </w:r>
      <w:r w:rsidRPr="00271E51">
        <w:rPr>
          <w:rFonts w:ascii="Times New Roman" w:cs="Times New Roman"/>
          <w:color w:val="000000" w:themeColor="text1"/>
          <w:spacing w:val="0"/>
        </w:rPr>
        <w:softHyphen/>
        <w:t>ле 10 сбрасываний из бомбоотсеков кор</w:t>
      </w:r>
      <w:r w:rsidRPr="00271E51">
        <w:rPr>
          <w:rFonts w:ascii="Times New Roman" w:cs="Times New Roman"/>
          <w:color w:val="000000" w:themeColor="text1"/>
          <w:spacing w:val="0"/>
        </w:rPr>
        <w:softHyphen/>
        <w:t>пусов бомб,заполненных до полного веса песком. Ни одного случая зависания бомб не отмечено.</w:t>
      </w:r>
    </w:p>
    <w:p w14:paraId="6CD5563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проверки надежности контровки ветрянок взрывателей бомб было выпол</w:t>
      </w:r>
      <w:r w:rsidRPr="00271E51">
        <w:rPr>
          <w:rFonts w:ascii="Times New Roman" w:cs="Times New Roman"/>
          <w:color w:val="000000" w:themeColor="text1"/>
          <w:spacing w:val="0"/>
        </w:rPr>
        <w:softHyphen/>
        <w:t>нено три взлета и три посадки с полностью загруженными бомбоотсеками корпусами бомб (с песком) снаряженными взрывате</w:t>
      </w:r>
      <w:r w:rsidRPr="00271E51">
        <w:rPr>
          <w:rFonts w:ascii="Times New Roman" w:cs="Times New Roman"/>
          <w:color w:val="000000" w:themeColor="text1"/>
          <w:spacing w:val="0"/>
        </w:rPr>
        <w:softHyphen/>
        <w:t>лями АД-А, а также три полета на растряску укладки бомб. Случаев нарушения центров</w:t>
      </w:r>
      <w:r w:rsidRPr="00271E51">
        <w:rPr>
          <w:rFonts w:ascii="Times New Roman" w:cs="Times New Roman"/>
          <w:color w:val="000000" w:themeColor="text1"/>
          <w:spacing w:val="0"/>
        </w:rPr>
        <w:softHyphen/>
        <w:t>ки не было.</w:t>
      </w:r>
    </w:p>
    <w:p w14:paraId="4F59C3E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Поскольку при полной загрузке бомб в средние отсеки край створки бомбоотсе</w:t>
      </w:r>
      <w:r w:rsidRPr="00271E51">
        <w:rPr>
          <w:rFonts w:ascii="Times New Roman" w:cs="Times New Roman"/>
          <w:color w:val="000000" w:themeColor="text1"/>
          <w:spacing w:val="0"/>
        </w:rPr>
        <w:softHyphen/>
        <w:t>ка слегка отгибался, то решили загружать в отсек на одну бомбу меньше - 35 штук. В этом случае общий вес бомбовой нагруз</w:t>
      </w:r>
      <w:r w:rsidRPr="00271E51">
        <w:rPr>
          <w:rFonts w:ascii="Times New Roman" w:cs="Times New Roman"/>
          <w:color w:val="000000" w:themeColor="text1"/>
          <w:spacing w:val="0"/>
        </w:rPr>
        <w:softHyphen/>
        <w:t>ки составлял 378 кг (140 бомб).</w:t>
      </w:r>
    </w:p>
    <w:p w14:paraId="41BCCCFB" w14:textId="77777777" w:rsidR="00473181" w:rsidRPr="00271E51" w:rsidRDefault="00473181" w:rsidP="00271E51">
      <w:pPr>
        <w:pStyle w:val="72"/>
        <w:shd w:val="clear" w:color="auto" w:fill="auto"/>
        <w:spacing w:line="240" w:lineRule="auto"/>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ямт</w:t>
      </w:r>
    </w:p>
    <w:p w14:paraId="03109A2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Специалисты полигона отметили, что предъявленная на государственные испы</w:t>
      </w:r>
      <w:r w:rsidRPr="00271E51">
        <w:rPr>
          <w:rFonts w:ascii="Times New Roman" w:cs="Times New Roman"/>
          <w:color w:val="000000" w:themeColor="text1"/>
          <w:spacing w:val="0"/>
        </w:rPr>
        <w:softHyphen/>
        <w:t>тания бомба ПТАБ-10,2,5 по габаритным размерам не полностью соответствует</w:t>
      </w:r>
    </w:p>
    <w:p w14:paraId="2EF63291"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ТУ-5-40 (диаметр 85 мм, длина 356-360 мм) и неудобна для загрузки в существующие кассеты и бомбоотсеки. Несоответствие габаритов требовало дооборудования отсеков.</w:t>
      </w:r>
    </w:p>
    <w:p w14:paraId="35FEB63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выводах отчета по результатам ис</w:t>
      </w:r>
      <w:r w:rsidRPr="00271E51">
        <w:rPr>
          <w:rFonts w:ascii="Times New Roman" w:cs="Times New Roman"/>
          <w:color w:val="000000" w:themeColor="text1"/>
          <w:spacing w:val="0"/>
        </w:rPr>
        <w:softHyphen/>
        <w:t>пытаний отмечалось: «Существующие бомбоотсеки для мелких бомб на Ил-2 не обеспечивают 100% выпадения бомб в момент открывания створок, что приводит к зависанию части бомб в отсеке. При по</w:t>
      </w:r>
      <w:r w:rsidRPr="00271E51">
        <w:rPr>
          <w:rFonts w:ascii="Times New Roman" w:cs="Times New Roman"/>
          <w:color w:val="000000" w:themeColor="text1"/>
          <w:spacing w:val="0"/>
        </w:rPr>
        <w:softHyphen/>
        <w:t>садке зависшие бомбы падают - при этом не исключены случаи их взрыва с последу</w:t>
      </w:r>
      <w:r w:rsidRPr="00271E51">
        <w:rPr>
          <w:rFonts w:ascii="Times New Roman" w:cs="Times New Roman"/>
          <w:color w:val="000000" w:themeColor="text1"/>
          <w:spacing w:val="0"/>
        </w:rPr>
        <w:softHyphen/>
        <w:t>ющим разрушением самолета».</w:t>
      </w:r>
    </w:p>
    <w:p w14:paraId="07A0A4F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Вместе с тем по надежности действия бомбы показали вполне удовлетворитель</w:t>
      </w:r>
      <w:r w:rsidRPr="00271E51">
        <w:rPr>
          <w:rFonts w:ascii="Times New Roman" w:cs="Times New Roman"/>
          <w:color w:val="000000" w:themeColor="text1"/>
          <w:spacing w:val="0"/>
        </w:rPr>
        <w:softHyphen/>
        <w:t>ные результаты - «отказов в действии бомб при срабатывании взрывателей не было». Отказы самих взрывателей АД-А произ</w:t>
      </w:r>
      <w:r w:rsidRPr="00271E51">
        <w:rPr>
          <w:rFonts w:ascii="Times New Roman" w:cs="Times New Roman"/>
          <w:color w:val="000000" w:themeColor="text1"/>
          <w:spacing w:val="0"/>
        </w:rPr>
        <w:softHyphen/>
        <w:t>водства завода №398 - всего около 5,5%, происходили главным образом «по при</w:t>
      </w:r>
      <w:r w:rsidRPr="00271E51">
        <w:rPr>
          <w:rFonts w:ascii="Times New Roman" w:cs="Times New Roman"/>
          <w:color w:val="000000" w:themeColor="text1"/>
          <w:spacing w:val="0"/>
        </w:rPr>
        <w:softHyphen/>
        <w:t>чине несвертывания ветрянок». В полете на траектории падения бомбы вели себя устойчиво.</w:t>
      </w:r>
    </w:p>
    <w:p w14:paraId="38E624F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Как следствие, бомбу военные забрако</w:t>
      </w:r>
      <w:r w:rsidRPr="00271E51">
        <w:rPr>
          <w:rFonts w:ascii="Times New Roman" w:cs="Times New Roman"/>
          <w:color w:val="000000" w:themeColor="text1"/>
          <w:spacing w:val="0"/>
        </w:rPr>
        <w:softHyphen/>
        <w:t>вали. «ПТАБ-10-2,5 государственных испы</w:t>
      </w:r>
      <w:r w:rsidRPr="00271E51">
        <w:rPr>
          <w:rFonts w:ascii="Times New Roman" w:cs="Times New Roman"/>
          <w:color w:val="000000" w:themeColor="text1"/>
          <w:spacing w:val="0"/>
        </w:rPr>
        <w:softHyphen/>
        <w:t>таний не выдержала», - констатировалось в заключении отчета по результатам испы</w:t>
      </w:r>
      <w:r w:rsidRPr="00271E51">
        <w:rPr>
          <w:rFonts w:ascii="Times New Roman" w:cs="Times New Roman"/>
          <w:color w:val="000000" w:themeColor="text1"/>
          <w:spacing w:val="0"/>
        </w:rPr>
        <w:softHyphen/>
        <w:t>таний. Требовалось устранить выявленные недостатки бомбы, изготовить 1200 штук таких бомб (400 - боевых, 600 - «нейтраль</w:t>
      </w:r>
      <w:r w:rsidRPr="00271E51">
        <w:rPr>
          <w:rFonts w:ascii="Times New Roman" w:cs="Times New Roman"/>
          <w:color w:val="000000" w:themeColor="text1"/>
          <w:spacing w:val="0"/>
        </w:rPr>
        <w:softHyphen/>
        <w:t>ных») и предъявить их для испытания в НИИ АВ, а также переделать систему закры</w:t>
      </w:r>
      <w:r w:rsidRPr="00271E51">
        <w:rPr>
          <w:rFonts w:ascii="Times New Roman" w:cs="Times New Roman"/>
          <w:color w:val="000000" w:themeColor="text1"/>
          <w:spacing w:val="0"/>
        </w:rPr>
        <w:softHyphen/>
        <w:t>вания бомбоотсеков самолета Ил-2.</w:t>
      </w:r>
    </w:p>
    <w:p w14:paraId="70244A1A"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Бомбу срочно доработали. На госу</w:t>
      </w:r>
      <w:r w:rsidRPr="00271E51">
        <w:rPr>
          <w:rFonts w:ascii="Times New Roman" w:cs="Times New Roman"/>
          <w:color w:val="000000" w:themeColor="text1"/>
          <w:spacing w:val="0"/>
        </w:rPr>
        <w:softHyphen/>
        <w:t>дарственных испытаниях в ГК НИИ ВВС, проходивших с 5 июня по 18 июля 1944 г., ПТАБ-10-2,5 уверенно пробивала танковую броню толщиной до 160 мм при углах встречи до 30° и обеспечивала пробитие 40-мм брони, расположен</w:t>
      </w:r>
      <w:r w:rsidRPr="00271E51">
        <w:rPr>
          <w:rFonts w:ascii="Times New Roman" w:cs="Times New Roman"/>
          <w:color w:val="000000" w:themeColor="text1"/>
          <w:spacing w:val="0"/>
        </w:rPr>
        <w:softHyphen/>
        <w:t>ной на расстоянии 500 мм от броневого экрана тол</w:t>
      </w:r>
      <w:r w:rsidRPr="00271E51">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271E51">
        <w:rPr>
          <w:rFonts w:ascii="Times New Roman" w:cs="Times New Roman"/>
          <w:color w:val="000000" w:themeColor="text1"/>
          <w:spacing w:val="0"/>
        </w:rPr>
        <w:softHyphen/>
        <w:t>либров и самолеты на аэро</w:t>
      </w:r>
      <w:r w:rsidRPr="00271E51">
        <w:rPr>
          <w:rFonts w:ascii="Times New Roman" w:cs="Times New Roman"/>
          <w:color w:val="000000" w:themeColor="text1"/>
          <w:spacing w:val="0"/>
        </w:rPr>
        <w:softHyphen/>
        <w:t>дромах, железнодорожные объекты (ж.д. узлы, эшело</w:t>
      </w:r>
      <w:r w:rsidRPr="00271E51">
        <w:rPr>
          <w:rFonts w:ascii="Times New Roman" w:cs="Times New Roman"/>
          <w:color w:val="000000" w:themeColor="text1"/>
          <w:spacing w:val="0"/>
        </w:rPr>
        <w:softHyphen/>
        <w:t>ны, паровозы, цистерны), мотомехчасти и автотран</w:t>
      </w:r>
      <w:r w:rsidRPr="00271E51">
        <w:rPr>
          <w:rFonts w:ascii="Times New Roman" w:cs="Times New Roman"/>
          <w:color w:val="000000" w:themeColor="text1"/>
          <w:spacing w:val="0"/>
        </w:rPr>
        <w:softHyphen/>
        <w:t>спорт, а также надводные переправы, наземные ре</w:t>
      </w:r>
      <w:r w:rsidRPr="00271E51">
        <w:rPr>
          <w:rFonts w:ascii="Times New Roman" w:cs="Times New Roman"/>
          <w:color w:val="000000" w:themeColor="text1"/>
          <w:spacing w:val="0"/>
        </w:rPr>
        <w:softHyphen/>
        <w:t>зервуары с нефтепродукта</w:t>
      </w:r>
      <w:r w:rsidRPr="00271E51">
        <w:rPr>
          <w:rFonts w:ascii="Times New Roman" w:cs="Times New Roman"/>
          <w:color w:val="000000" w:themeColor="text1"/>
          <w:spacing w:val="0"/>
        </w:rPr>
        <w:softHyphen/>
        <w:t>ми и склады боеприпасов. Бомбу рекомендовали при</w:t>
      </w:r>
      <w:r w:rsidRPr="00271E51">
        <w:rPr>
          <w:rFonts w:ascii="Times New Roman" w:cs="Times New Roman"/>
          <w:color w:val="000000" w:themeColor="text1"/>
          <w:spacing w:val="0"/>
        </w:rPr>
        <w:softHyphen/>
        <w:t>нять на вооружение ВВС КА после устранения всех вы</w:t>
      </w:r>
      <w:r w:rsidRPr="00271E51">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3B3BC0C1"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E5E88F2"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28 и 24 октября 1943 в течение двух дней проходили воздушные испытания ПТАБ-10,2,5. Сначала выполнили 5 полетов на сброс корпусов бомб, снаряженных взрывателями. После чего выполнили 2 полета на боевое бомбометание с самолета Ил-2. Бомбили ко</w:t>
      </w:r>
      <w:r w:rsidRPr="00271E51">
        <w:rPr>
          <w:color w:val="000000" w:themeColor="text1"/>
          <w:sz w:val="16"/>
          <w:szCs w:val="16"/>
        </w:rPr>
        <w:softHyphen/>
        <w:t>лонну трофейных танков. Высота сброса — 100 м, скорость самолета — 300 км/ч.</w:t>
      </w:r>
    </w:p>
    <w:p w14:paraId="0BB8AE25"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первом вылете использовали 2 кассеты оди</w:t>
      </w:r>
      <w:r w:rsidRPr="00271E51">
        <w:rPr>
          <w:color w:val="000000" w:themeColor="text1"/>
          <w:sz w:val="16"/>
          <w:szCs w:val="16"/>
        </w:rPr>
        <w:softHyphen/>
        <w:t>ночно, во втором — также 2 кассеты, но серией с интервалом 0,5 сек.</w:t>
      </w:r>
    </w:p>
    <w:p w14:paraId="46FD693A"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 втором полете при посадке самолета из среднего отсека правой плоскости выпали 3 бом</w:t>
      </w:r>
      <w:r w:rsidRPr="00271E51">
        <w:rPr>
          <w:color w:val="000000" w:themeColor="text1"/>
          <w:sz w:val="16"/>
          <w:szCs w:val="16"/>
        </w:rPr>
        <w:softHyphen/>
        <w:t>бы, из которых две взорвались. От взрыва самолет загорелся. Потушить машину не удалось.</w:t>
      </w:r>
    </w:p>
    <w:p w14:paraId="02BAC139"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осмотра места взрыва установлено, что взрыв второй бомбы был инициирован подрывом первой бомбы (найден взрыватель с несвернутой ветрянкой). У третьей выпавшей бомбы произошел отказ в действии взрывателя По мнению специалистов института, вероятной причиной зависания бомб в бомбоотсеке Ил-2 яв</w:t>
      </w:r>
      <w:r w:rsidRPr="00271E51">
        <w:rPr>
          <w:color w:val="000000" w:themeColor="text1"/>
          <w:sz w:val="16"/>
          <w:szCs w:val="16"/>
        </w:rPr>
        <w:softHyphen/>
        <w:t>лялось «запаздывание выпадения некоторых бомб, из которых одна была зажата створками бомболю- ка». Вес оставшихся трех бомб оказался не в состо</w:t>
      </w:r>
      <w:r w:rsidRPr="00271E51">
        <w:rPr>
          <w:color w:val="000000" w:themeColor="text1"/>
          <w:sz w:val="16"/>
          <w:szCs w:val="16"/>
        </w:rPr>
        <w:softHyphen/>
        <w:t xml:space="preserve">янии преодолеть </w:t>
      </w:r>
      <w:r w:rsidRPr="00271E51">
        <w:rPr>
          <w:color w:val="000000" w:themeColor="text1"/>
          <w:sz w:val="16"/>
          <w:szCs w:val="16"/>
        </w:rPr>
        <w:lastRenderedPageBreak/>
        <w:t>сопротивление пружины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color w:val="000000" w:themeColor="text1"/>
          <w:sz w:val="16"/>
          <w:szCs w:val="16"/>
        </w:rPr>
        <w:softHyphen/>
        <w:t>жение, и на посадке, когда бомба выпала из отсека, «при ударе бомбы о преграду произошел взрыв, вследствие чего самолет сгорел».</w:t>
      </w:r>
    </w:p>
    <w:p w14:paraId="51935171"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выводах отчета по результатам испытаний от</w:t>
      </w:r>
      <w:r w:rsidRPr="00271E51">
        <w:rPr>
          <w:color w:val="000000" w:themeColor="text1"/>
          <w:sz w:val="16"/>
          <w:szCs w:val="16"/>
        </w:rPr>
        <w:softHyphen/>
        <w:t>мечалось, что «...существующие бомбоотсеки для мелких бомб на Ил-2 не обеспечивают 100% вы</w:t>
      </w:r>
      <w:r w:rsidRPr="00271E51">
        <w:rPr>
          <w:color w:val="000000" w:themeColor="text1"/>
          <w:sz w:val="16"/>
          <w:szCs w:val="16"/>
        </w:rPr>
        <w:softHyphen/>
        <w:t>падения бомб в момент открывания створок, что приводит к зависанию части бомб в отсеке. При посадке зависшие бомбы падают — при этом не исключены случаи их взрыва с последующим раз</w:t>
      </w:r>
      <w:r w:rsidRPr="00271E51">
        <w:rPr>
          <w:color w:val="000000" w:themeColor="text1"/>
          <w:sz w:val="16"/>
          <w:szCs w:val="16"/>
        </w:rPr>
        <w:softHyphen/>
        <w:t>рушением самолета».</w:t>
      </w:r>
    </w:p>
    <w:p w14:paraId="1BA83C90"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Вместе с тем по надежности действия бомбы показали вполне удовлетворительные результа</w:t>
      </w:r>
      <w:r w:rsidRPr="00271E51">
        <w:rPr>
          <w:color w:val="000000" w:themeColor="text1"/>
          <w:sz w:val="16"/>
          <w:szCs w:val="16"/>
        </w:rPr>
        <w:softHyphen/>
        <w:t>ты — «отказов в действии бомб при срабатывании взрывателей не было». Отказы самих взрывателей АД-А производства завода № 398 — всего около 5,5% — происходили главным образом «по причи</w:t>
      </w:r>
      <w:r w:rsidRPr="00271E51">
        <w:rPr>
          <w:color w:val="000000" w:themeColor="text1"/>
          <w:sz w:val="16"/>
          <w:szCs w:val="16"/>
        </w:rPr>
        <w:softHyphen/>
        <w:t>не несвертывания ветрянок». В полете на траекто</w:t>
      </w:r>
      <w:r w:rsidRPr="00271E51">
        <w:rPr>
          <w:color w:val="000000" w:themeColor="text1"/>
          <w:sz w:val="16"/>
          <w:szCs w:val="16"/>
        </w:rPr>
        <w:softHyphen/>
        <w:t>рии падения бомбы вели себя устойчиво.</w:t>
      </w:r>
    </w:p>
    <w:p w14:paraId="202828FF"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следствие, бомбу военные забраковали. «ПТАБ-10-2,5 государственных испытаний не выдер</w:t>
      </w:r>
      <w:r w:rsidRPr="00271E51">
        <w:rPr>
          <w:color w:val="000000" w:themeColor="text1"/>
          <w:sz w:val="16"/>
          <w:szCs w:val="16"/>
        </w:rPr>
        <w:softHyphen/>
        <w:t>жала», — констатировалось в заключении отчета по результатам испытаний. Требовалось устранить вы</w:t>
      </w:r>
      <w:r w:rsidRPr="00271E51">
        <w:rPr>
          <w:color w:val="000000" w:themeColor="text1"/>
          <w:sz w:val="16"/>
          <w:szCs w:val="16"/>
        </w:rPr>
        <w:softHyphen/>
        <w:t>явленные недостатки бомбы, изготовить 1200 штук таких бомб (400 — боевых, 600 — «нейтральных») и предъявить их для испытания в НИИ АВ, а также переделать систему закрывания бомбоотсеков са</w:t>
      </w:r>
      <w:r w:rsidRPr="00271E51">
        <w:rPr>
          <w:color w:val="000000" w:themeColor="text1"/>
          <w:sz w:val="16"/>
          <w:szCs w:val="16"/>
        </w:rPr>
        <w:softHyphen/>
        <w:t>молета Ил-2.</w:t>
      </w:r>
    </w:p>
    <w:p w14:paraId="3FB97975" w14:textId="77777777" w:rsidR="00B73A07" w:rsidRPr="00271E51" w:rsidRDefault="00B73A0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Бомбу срочно доработали (17500).</w:t>
      </w:r>
    </w:p>
    <w:p w14:paraId="49754788" w14:textId="77777777" w:rsidR="00B73A07" w:rsidRPr="00271E51" w:rsidRDefault="00B73A07" w:rsidP="00271E51">
      <w:pPr>
        <w:pStyle w:val="12a"/>
        <w:shd w:val="clear" w:color="auto" w:fill="auto"/>
        <w:spacing w:after="0" w:line="240" w:lineRule="auto"/>
        <w:jc w:val="both"/>
        <w:rPr>
          <w:color w:val="000000" w:themeColor="text1"/>
          <w:sz w:val="16"/>
          <w:szCs w:val="16"/>
        </w:rPr>
      </w:pPr>
    </w:p>
    <w:p w14:paraId="334617E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310D2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6958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4440 [О переносе производства корпусов 76 мм снарядов с завода №658 НКЭП на завод №557 НКБ.] (7151, 121-122).</w:t>
      </w:r>
    </w:p>
    <w:p w14:paraId="2FB382A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94C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 в соответствии с пост. ГКО № 4440 на завод (Завод № 557 НКБ, п/я 2220 /г. Москва 130 п/я 2220 «Копир» (1943 г.)/) передано производство корпусов 76-мм снарядов с завода №658 НКЭП.</w:t>
      </w:r>
    </w:p>
    <w:p w14:paraId="3DDDAF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завода основные цехи (1943 г.): механический, термический, литейный.</w:t>
      </w:r>
    </w:p>
    <w:p w14:paraId="7C98F8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производственная- 14954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вспомогательная- 9000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38F8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(-04-11.1943 г.-)- пп Бриль.</w:t>
      </w:r>
    </w:p>
    <w:p w14:paraId="04E4B2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планового (04.1943 г.)- Тимошевский.</w:t>
      </w:r>
    </w:p>
    <w:p w14:paraId="549A49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корпуса снарядов 76-мм (1943) (11982).</w:t>
      </w:r>
    </w:p>
    <w:p w14:paraId="3E07B5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C6E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 в соответствии с пост. ГКО № 4440 производство корпусов 76-мм снарядов передано с завода № 658 ИМ. М.И. Калинина НКЭП, Завод им. М.И. Калинина /г. Свердловск/ на завод № 557 НКБ. В соответствии с пост. ГКО № 5063 от 27.01.1944 г. на заводе увеличен выпуск электрических машин. Директор- В.К. Кустанович (11982).</w:t>
      </w:r>
    </w:p>
    <w:p w14:paraId="7FE187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149D5"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28 по 31 октября 1943 года на НИБТ Полигоне в Кубинке проходили ходовые испытания ИСУ-152. К тому моменту машина уже прошла 175 километров. За время ходовых испытаний ИС-152 преодолела ещё 410 километров, из которых 232 по шоссе и 178 по просёлку. Средняя скорость чистого движения по шоссе составила 23,4 км/ч, а расход топлива — 225 литров на 100 километров. На просёлке средняя скорость составила 18,2 км/ч, расход топлива — 330 литров на 100 километров. Без учёта дополнительных топливных баков запас хода по шоссе и просёлку составил 220 и 150 километров соответственно. Ходовая часть и моторно-трансмиссионная группа показали удовлетворительную надёжность. Главной проблемой, как и у танков, оказался недостаточный ресурс траков.</w:t>
      </w:r>
    </w:p>
    <w:p w14:paraId="544A195D"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выдержала и ходовые испытания. При этом комиссия потребовала внести в конструкцию изменения, список которых был указан в отчёте. Это, впрочем, не стало серьёзным препятствием к запуску ИС-152 в серийное производство (18171).</w:t>
      </w:r>
    </w:p>
    <w:p w14:paraId="39BBEC56"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79667A2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4441 [О передаче НКРП для Московского шинного завода склада тары от Главснаблеса при СНК СССР.] (7151, 123).</w:t>
      </w:r>
    </w:p>
    <w:p w14:paraId="6B682A7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2E9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4442. Об испытаниях танковых моторов с деталями из стали марки ЭИ 500.РГАНИР, Фонд ГКО, д. 169, лл. 124-125 (11012).</w:t>
      </w:r>
    </w:p>
    <w:p w14:paraId="3A4163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342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4443. Об изготовлении для ГБТУ КА 100 домкратов грузоподъемностью 15 т.РГАНИР, Фонд ГКО, д. 169, лл. 126 (11012).</w:t>
      </w:r>
    </w:p>
    <w:p w14:paraId="07498C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DBD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4444. Об укомплектовании оборудованием Сталинского вагоностроительного завода.РГАНИР, Фонд ГКО, д. 169, лл. 127, 128 (11012).</w:t>
      </w:r>
    </w:p>
    <w:p w14:paraId="77B4C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B4E0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4445. О распространении на работников ТЭЦ завода № 182 НКСП зарплаты и премиальной системы, утвержденной для электростанций II категории.РГАНИР, Фонд ГКО, д. 169, лл. 129 (11012).</w:t>
      </w:r>
    </w:p>
    <w:p w14:paraId="72192B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425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4446 [О продлении срока пользования узкоколейными платформами, переданными УВС НКО Ярославскому торфотресту НКЭС.] (7151, 130).</w:t>
      </w:r>
    </w:p>
    <w:p w14:paraId="3079F75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13B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4447. О продлении срока поставки тресту № 50 НКстроя балласта и песка с карьера Куйбышевской ж.РГАНИР, Фонд ГКО, д. РГАНИР, Фонд ГКО, д. 169, лл. 131 (11012).</w:t>
      </w:r>
    </w:p>
    <w:p w14:paraId="58F50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A771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4448 [О передаче заводу № 48 НКБ помещений для расселения рабочих с семьями.] (7151, 132).</w:t>
      </w:r>
    </w:p>
    <w:p w14:paraId="2E56C3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62CA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4449 [О порядке финансирования восстановительных работ Таганрогского металлургического завода.] (7151, 133).</w:t>
      </w:r>
    </w:p>
    <w:p w14:paraId="093B32B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59D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Распоряжение ГКО № 4450. О поставках материалов для строительства на Челябинском металлургическом заводе.РГАНИР, Фонд ГКО, д. 169, лл. 134-135 (11012).</w:t>
      </w:r>
    </w:p>
    <w:p w14:paraId="3B595C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62E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4451 О мероприятиях по обеспечению природным газом электростанций и оборонных предприятий гор. Саратова в осенне-зимний период 1943-1944 гг.РГАНИР, Фонд ГКО, д. 169, лл. 136-140, 141-142 (11012).</w:t>
      </w:r>
    </w:p>
    <w:p w14:paraId="157948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657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4452 О мерах неотложной помощи строительству завода № 726 Наркомминвооружения.РГАНИР, Фонд ГКО, д. 169, лл. 143-145, 146-147 (11012).</w:t>
      </w:r>
    </w:p>
    <w:p w14:paraId="67B532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B28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4453 О восстановлении керосинопровода Тихорецкая-Трудовая и увеличении пропускной способности участка Грозный-Тихорецк.РГАНИР, Фонд ГКО, д. 169, лл. 148-156, 157-160 (11012).</w:t>
      </w:r>
    </w:p>
    <w:p w14:paraId="02F26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D1A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4454 Об установлении переходящих Красных знамен ГКО и денежных премий за лучшую работу промышленных и коммунальных электростанций.РГАНИР, Фонд ГКО, д. 169, лл. 161-162 (11012).</w:t>
      </w:r>
    </w:p>
    <w:p w14:paraId="1F948D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7C6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вышло Постановление ГКО № 4455 О восстановлении Никитовского ртутного комбината Наркомцветмета.РГАНИР, Фонд ГКО, д. 169, лл. 163-166, 167-169 (11012).</w:t>
      </w:r>
    </w:p>
    <w:p w14:paraId="5C81D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A46E8"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w:t>
      </w:r>
    </w:p>
    <w:p w14:paraId="287F2F7D"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бюро КПК «О нарушении государственной дисциплины и злоупотреблениях на заводе № 698 НКЭП» от 28.10.1943 (18627).</w:t>
      </w:r>
    </w:p>
    <w:p w14:paraId="324D95F8"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657F107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28 октября 1943 ГАЗ восстановили полностью. За годы войны Горьковский автозавод изготовил 102,3 тыс. автомобилей всех типов (9648).</w:t>
      </w:r>
    </w:p>
    <w:p w14:paraId="56A7F9C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052713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 автозаводцы и строители рапортовали Государственному комитету обороны о восстановлении предприятия. ГАЗ в конце 1943 г. возобновил выпуск только машин ГАЗ-ММВ, ГАЗ-67, ГАЗ-55 и БА-64Б. Производство трехосок ГАЗ-ААА и других автомобилей на их базе, а также конструктивно "сырой" полугусеничной машины ГАЗ-60 было прекращено. Свернули и выпуск легковых ГАЗ-61 и ГАЗ-М1, которые до лета 1943 г. завод делал малыми партиями,- не хватало тонкого стального листа для штамповки кузовных деталей. В то же время на ГАЗе, как и на ЗИСе, шла сборка армейских автомобилей, поступавших по ленд-лизу: "Форд", "Шевроле", "Додж", и др. (12098).</w:t>
      </w:r>
    </w:p>
    <w:p w14:paraId="471F24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7F3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коллектив ГАЗа и треста «Стройгаз» № 2 составили верноподданнический рапорт товарищу Сталину, оформленный в виде фотоальбома. В нем говорилось:  «Мы безгранично счастливы, что можем сегодня доложить Вам об окончании восстановления и бесперебойной работе всех цехов и производств Горьковского автозавода им. Молотова. Нам особенно радостно, что это совпадает с победоносным наступлением нашей доблестной Красной Армии. Гитлеровцы пытались уничтожить наш родной завод. Но никогда черной вражеской своре не сломить нашей воли к борьбе и победе, не поколебать уверенности в близком торжестве нашего правого дела. Завод жил и будет жить. 28 октября 1943 г.». Рапорт подписали 27 567 человек, причем первой стояла подпись директора И. К. Лоскутова. Однако в приказе по заводу от 30 ноября отмечалось, что  «…до сих пор не отремонтированы: главный магазин смежных деталей, насосная станция с водоводами и склад боеприпасов. До сих пор не было приступлено к строительству склада резины, дизельной станции. Не закончен ремонт ТЭЦ, автоцеха, паровозного депо, цеха автоматов. Работы по восстановлению жилого фонда начаты только 10.11 и выполнены в объеме 5%». В декабре трест «Стройгаз» № 2 еще продолжал работы в цехах: литейных №№ 1 и 3, колесном, новокузовном и механосборочном № 1, главном магазине смежных деталей, ТЭЦ, на водоводе, в паровозном депо, кузнице и жилфонде». Фактически, учитывая, что он прекратил работу после первого же массированного налета 5 июня, даже до заявленного срока, 28 октября, прошло почти пять месяцев, причем до полного «возрождения» даже тогда было еще далеко (11774).</w:t>
      </w:r>
    </w:p>
    <w:p w14:paraId="479550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9E96B" w14:textId="77777777" w:rsidR="008D5B14"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C8C8E02" w14:textId="77777777" w:rsidR="008D5B14" w:rsidRPr="00271E51" w:rsidRDefault="008D5B1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097ED"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28 октября </w:t>
      </w:r>
      <w:r w:rsidRPr="00271E51">
        <w:rPr>
          <w:rFonts w:ascii="Times New Roman" w:hAnsi="Times New Roman"/>
          <w:color w:val="000000" w:themeColor="text1"/>
          <w:sz w:val="16"/>
          <w:szCs w:val="16"/>
        </w:rPr>
        <w:t>в 1943 году оперативная сводка Совинформбюро:</w:t>
      </w:r>
    </w:p>
    <w:p w14:paraId="7E413796"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октября в районе юго-восточнее нижнего течения Днепра наши войска, продолжая развивать наступление, продвинулись на отдельных участках от 5 до 20 километров и овладели районным центром Запорожской области Нижние Серогозы, а также заняли более 30 других населённых пунктов, среди которых крупные населённые пункты Златополь, Красович, Гоголевка, Демьяновка, Ново-Александровка, Верхние Серогозы, Калга, Среднее, Анновка, Волканешты, Давидовка.</w:t>
      </w:r>
    </w:p>
    <w:p w14:paraId="26FE6330"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преодолевая сопротивление противника, продолжали наступление и заняли несколько населённыхпунктов, среди которых Красный Став, Одаровка, Ново-Калиновка, Красный Проминь, Павловка, Красный Яр.</w:t>
      </w:r>
    </w:p>
    <w:p w14:paraId="082FFF48"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преодолевая сопротивление противника, продолжали наступление и заняли несколько населённых пунктов, среди которых Ново-Стародуб, Олимпиадовка, Марьяновка, Спасово, Фёдоро-Шуличино, Благодатное, Моисеевка, Анастасьевка.</w:t>
      </w:r>
    </w:p>
    <w:p w14:paraId="346134A4"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Витебск наши войска, продолжая вести бои местного значения, продвинулись вперёд от 5 до 8 километров и овладели районным центром Витебской области городом Сураж-Витебский, а также заняли более 80 других населённых пунктов, среди которых Андреево, Долганы, Боброво, Село, Большое и Малое Заборочье, Ковалево-Родьки, Сазаны, Островские.</w:t>
      </w:r>
    </w:p>
    <w:p w14:paraId="102D35FF"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усиленная разведка и артиллерийско-миномётная перестрелка.</w:t>
      </w:r>
    </w:p>
    <w:p w14:paraId="317D36E1"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октября наши войска на всех фронтах подбили и уничтожили 25 немецких танков. В воздушных боях и огнём зенитной артиллерии сбито 32 самолёта противника.</w:t>
      </w:r>
    </w:p>
    <w:p w14:paraId="2BAF14E8"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нижнего течения Днепра наши войска продолжали успешное наступление. Советские подвижные части неотступно преследуют и громят войска противника. Части Н-ского соединения сегодня овладели важным узлом грунтовых дорог, районным центром Запорожской области Нижние Серогозы. В боях за день уничтожено до 3.000 немецких солдат и офицеров. 11 танков, 25 артиллерийских батарей и 7 самоходных орудий противника. Нашими войсками захвачены у немцев большие трофеи. На железнодорожной станции Пришиб советские бойцы захватили крупные склады с боеприпасами, продовольствием и 250 железнодорожных вагонов и платформ с военными материалами. На станции Акимовка захвачено 190 вагонов с военными грузами. Бойцы Н-ской части атаковали противника, нанесли ему большой урон и захватили 65 исправных орудий, 21 шестиствольный миномёт, много пулемётов, винтовок, автоматов, склад с боеприпасами, вещевой склад, склад с инженерным имуществом и другие трофеи. Взяты пленные.</w:t>
      </w:r>
    </w:p>
    <w:p w14:paraId="76C1C079"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бомбардировала колонны войск, автомашин и технику противника. Разбито и повреждено свыше 300 автомашин и повозок, рассеяно и частью уничтожено до полка немецкой пехоты. В воздушных боях и огнём зенитной артиллерии сбито 14 самолётов противника.</w:t>
      </w:r>
    </w:p>
    <w:p w14:paraId="0201EB01"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бойцы Н-ского соединения, сломив сопротивление противника, форсировали реку Мокрая Сура и заняли несколько населённых пунктов. В боях за эти пункты уничтожено свыше 1.500 немецких солдат и офицеров, 27 орудий, 42 миномёта и до 100 автомашин с военными грузами. Захвачены пленные и трофеи. В районе населённого пункта Павловка взята в плен в полном составе рота 46 немецкой пехотной дивизии.</w:t>
      </w:r>
    </w:p>
    <w:p w14:paraId="1EA14162"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наступление. Противник подводит свежие силы пехоты и танков и неоднократно переходил в контратаки. Бойцы Н-ского соединения, отбив контратаки гитлеровцев, продвинулись вперёд и заняли несколько сильно укреплённых населённых пунктов. На поле боя подсчитано свыше 800 вражеских трупов. Подбито и сожжено 12 немецких танков и 2 самоходных орудия. Захвачено 23 орудия, 55 пулемётов, склад боеприпасов, склады с зерном, медикаментами и сапёрным имуществом. На другом участке наши войска разгромили немецкий артиллерийский полк и захватили всю материальную часть этого полка.</w:t>
      </w:r>
    </w:p>
    <w:p w14:paraId="2B56130A"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Витебск наши войска, с боями продвигаясь вперёд, вышли к городу Сураж-Витебский. Этот город, расположенный при слиянии реки Каспля с Западной Двиной, немцы превратили в мощный узел обороны. В центральной части города, находящейся на возвышенности, немцы создали такую систему огневыхточек, что простреливали все ближайшие подступы. Вокруг города они создали широко разветвлённую сеть укреплений, прикрытых минными полями. Наши войска форсировали Западную Двину севернее города Сураж и прорвались к его окраинам. Другие наши части переправились через реку Каспля и перерезали шоссе Сураж—Витебск. Стремительными ударами со всех сторон советские бойцы разгромили немцев и овладели важным узлом шоссейных и грунтовых дорог, районным центром Витебской области городом Сураж-Витебский. Противник понёс большие потери в людях и технике. Развивая наступление, наши части успешно продвигались вперёд и заняли свыше 80 других населённых пунктов.</w:t>
      </w:r>
    </w:p>
    <w:p w14:paraId="20252739"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Финском заливе потоплены два тральщика противника. Лётчики Краснознамённого Балтийского флота в воздушном бою сбили 6 немецких самолётов.</w:t>
      </w:r>
    </w:p>
    <w:p w14:paraId="4C5E7F36"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латвийских партизанских отряда за месяц пустили под откос 17 немецких воинских эшелонов. В результате крушений разбиты несколько паровозов и больше 100 вагонов с военными грузами и войсками противника. Группа латвийских партизан, проникнув на одну железнодорожную станцию, взорвала два паровоза и разрушила железнодорожные пути.</w:t>
      </w:r>
    </w:p>
    <w:p w14:paraId="60431BB9"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Взятый в плен в районе Днепродзержинска ефрейтор штабной роты 179 полка 62 немецкой пехотной дивизии Вилли Шультес рассказал: «Нашу дивизию неожиданно перебросили на этот участок и прямо с марша погнали в бой. Командование отдало категорический приказ: «Выбить русских с правого берега Днепра и восстановить прежнее положение». Нас поддерживали артиллерийские батареи и много самоходных орудий. В дело были введены также крупные танковые силы. В 16 часов, после артиллерийской подготовки, третий батальон 179 полка пошел в атаку, но остальные батальоны его не поддержали. Первый батальон почему-то задержался, а солдаты второго батальона, несмотря на приказ, не поднялись в атаку из-за сильного огня русских миномётов и орудий. Третий батальон понёс большие потери и отошёл на исходные рубежи. На второй день части дивизии понесли ещё более тяжёлые потери, но не продвинулись ни на один метр. В полдень русские сами перешли внаступление. Наши ряды дрогнули, и все побежали куда глаза глядят. Возникла страшная паника. Всё перемешалось. Я и мой товарищ Андреас Польцмахер остались сидеть в окопе и сдались в плен».</w:t>
      </w:r>
    </w:p>
    <w:p w14:paraId="098B71A3"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города Новозыбков, Орловской области, составили акт о зверствах немецко-фашистских мерзавцев. В акте говорится: «За время оккупации гитлеровские палачи замучили и расстреляли несколько тысяч мирных жителей города Новозыбков и его окрестностей. После изгнания немцев в Карховском лесу, за станцией, обнаружены массовые могилы жертв фашистского террора. В семи ямах оказалось 2.860 трупов мужчин, женщин и детей. Много трупов советских граждан, замученных немцами, обнаружено также в Деменском лесу, недалеко от опытной станции. Установлено, что сюда гестаповцы ежедневно привозили арестованных и после мучительных пыток убивали их. Отступая под ударами Красной Армии, немецко-фашистские бандиты взорвали все лучшие здания города. Гитлеровцы разрушили и сожгли вокзал, фабрику «Волна Революции», крахмальный завод, три больницы, 250 жилых домов и другие здания».</w:t>
      </w:r>
    </w:p>
    <w:p w14:paraId="45931D22"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члены комиссии по расследованию злодеяний немецко-фашистских захватчиков — жители города: Гордеенко, Брохман, Царенко, Еграшин, Мельников, Французов, Барбачи, Савченко, Бабичева и Сухоцкая.» (14813).</w:t>
      </w:r>
    </w:p>
    <w:p w14:paraId="37D16D8E" w14:textId="77777777" w:rsidR="008D5B14" w:rsidRPr="00271E51" w:rsidRDefault="008D5B14" w:rsidP="00271E51">
      <w:pPr>
        <w:spacing w:after="0" w:line="240" w:lineRule="auto"/>
        <w:jc w:val="both"/>
        <w:rPr>
          <w:rFonts w:ascii="Times New Roman" w:hAnsi="Times New Roman"/>
          <w:color w:val="000000" w:themeColor="text1"/>
          <w:sz w:val="16"/>
          <w:szCs w:val="16"/>
        </w:rPr>
      </w:pPr>
    </w:p>
    <w:p w14:paraId="7864B00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9C12B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4E6BB"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Сергей Михалков вспоминал, как его с его соавтором по созданию нового текста Гимна СССР Эль-Регистаном вызвали в Кремль: "В. П. Московский находит авторов по телефону и сообщает о срочном вызове к Сталину...</w:t>
      </w:r>
    </w:p>
    <w:p w14:paraId="5B345B6A"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часах 22 часа 30 минут. У стены, на которой висят портреты Суворова и Кутузова, длинный стол для совещаний. Справа сто-лик с разноцветными телефонными шара, тами. Прямо напротив авторов с листком бумаги в руках стоит Сталин, За длинным столом сидят Молотов, Ворошилов, Маленков, Щербаков... Сталин протягивает мне напечатанный на машинке текст Гимна.</w:t>
      </w:r>
    </w:p>
    <w:p w14:paraId="02A3D64A"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Ознакомьтесь! - говорит Сталин. -Нет ли у вас возражений? Надо еще поработать. Главное, сохранить эти мысли. Возможно ли это?</w:t>
      </w:r>
    </w:p>
    <w:p w14:paraId="6260941F"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 - отвечаю я. - Можно нам подумать до завтра?</w:t>
      </w:r>
    </w:p>
    <w:p w14:paraId="2E1F4ECB"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 нам это нужно сегодня. Садитесь, поработайте. Вот карандаш, бумага, - приглашает нас к столу Сталин.</w:t>
      </w:r>
    </w:p>
    <w:p w14:paraId="021E90F3"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садимся. Но необычная обстановка смущает.</w:t>
      </w:r>
    </w:p>
    <w:p w14:paraId="69AB6D87"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Неудобно здесь работать" - спрашивает Сталин, улыбаясь. - Сейчас вам дадут другое место...</w:t>
      </w:r>
    </w:p>
    <w:p w14:paraId="7095B72C"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Запев третьего куплета не ложится в раз мер предыдущего. Однако множество вариантов, написанных накануне, помогают авторам решить задачу. В 23.45 они возвращаются в кабинет Сталина и предлагают новым вариант. После короткого обсуждения эш строк и очередных уточнений Сталин говорит Щербакову:</w:t>
      </w:r>
    </w:p>
    <w:p w14:paraId="3AA10FBE"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Товарищ Щербаков, пусть этот текст отпечатают сейчас на машинке... Вы пока посидите с нами, - обращается он к нам.</w:t>
      </w:r>
    </w:p>
    <w:p w14:paraId="4FE5B022"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появился куплет, в котором были строки:</w:t>
      </w:r>
    </w:p>
    <w:p w14:paraId="39A2E676"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армию нашу растили в сраженьях,</w:t>
      </w:r>
    </w:p>
    <w:p w14:paraId="39701C1A"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Захватчиков подлых с дороги сметем!"</w:t>
      </w:r>
    </w:p>
    <w:p w14:paraId="1CF2E61E"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 Б. Борев пишет: "Регистана и Михалкова называли заслуженными гимнюками Советского Союза" (18693).</w:t>
      </w:r>
    </w:p>
    <w:p w14:paraId="2D72CA1E"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27C0A3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прошла операция НКВД по выселению калмыков в Алтайский и Красноярский края, Омскую и Новосибирскую области (3481).</w:t>
      </w:r>
    </w:p>
    <w:p w14:paraId="24563E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6B7D6" w14:textId="77777777" w:rsidR="008D5B14" w:rsidRPr="00271E51" w:rsidRDefault="008D5B14"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28 октября </w:t>
      </w:r>
      <w:r w:rsidRPr="00271E51">
        <w:rPr>
          <w:rFonts w:ascii="Times New Roman" w:hAnsi="Times New Roman"/>
          <w:color w:val="000000" w:themeColor="text1"/>
          <w:sz w:val="16"/>
          <w:szCs w:val="16"/>
        </w:rPr>
        <w:t>в 1943 году указ Президиума ВС СССР о народах – пособниках фашизма. До июня 1944 будут переселены в районы Алтайского и Красноярского края, Омскую и Новосибирскую области и в Среднюю Азию: калмыки (140.000), татары (200.000), чеченцы (400.000), ингуши (100.000), карачаевцы (80.000), балкарцы (40.000) (14813).</w:t>
      </w:r>
    </w:p>
    <w:p w14:paraId="00175B0C" w14:textId="77777777" w:rsidR="008D5B14" w:rsidRPr="00271E51" w:rsidRDefault="008D5B14" w:rsidP="00271E51">
      <w:pPr>
        <w:spacing w:after="0" w:line="240" w:lineRule="auto"/>
        <w:jc w:val="both"/>
        <w:rPr>
          <w:rFonts w:ascii="Times New Roman" w:hAnsi="Times New Roman"/>
          <w:color w:val="000000" w:themeColor="text1"/>
          <w:sz w:val="16"/>
          <w:szCs w:val="16"/>
        </w:rPr>
      </w:pPr>
    </w:p>
    <w:p w14:paraId="1B0C87B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ABF6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D72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 в военном порту Филадельфии был про</w:t>
      </w:r>
      <w:r w:rsidRPr="00271E51">
        <w:rPr>
          <w:rFonts w:ascii="Times New Roman" w:hAnsi="Times New Roman"/>
          <w:color w:val="000000" w:themeColor="text1"/>
          <w:sz w:val="16"/>
          <w:szCs w:val="16"/>
        </w:rPr>
        <w:softHyphen/>
        <w:t>веден так называемый «Филадельфийский эксперимент». Эс</w:t>
      </w:r>
      <w:r w:rsidRPr="00271E51">
        <w:rPr>
          <w:rFonts w:ascii="Times New Roman" w:hAnsi="Times New Roman"/>
          <w:color w:val="000000" w:themeColor="text1"/>
          <w:sz w:val="16"/>
          <w:szCs w:val="16"/>
        </w:rPr>
        <w:softHyphen/>
        <w:t>минец ВЕ.173 «Eldrige», напичканный сотнями тонн элек</w:t>
      </w:r>
      <w:r w:rsidRPr="00271E51">
        <w:rPr>
          <w:rFonts w:ascii="Times New Roman" w:hAnsi="Times New Roman"/>
          <w:color w:val="000000" w:themeColor="text1"/>
          <w:sz w:val="16"/>
          <w:szCs w:val="16"/>
        </w:rPr>
        <w:softHyphen/>
        <w:t>тронного оборудования, находился в доках порта Филадель</w:t>
      </w:r>
      <w:r w:rsidRPr="00271E51">
        <w:rPr>
          <w:rFonts w:ascii="Times New Roman" w:hAnsi="Times New Roman"/>
          <w:color w:val="000000" w:themeColor="text1"/>
          <w:sz w:val="16"/>
          <w:szCs w:val="16"/>
        </w:rPr>
        <w:softHyphen/>
        <w:t>фии. В ходе эксперимента предполагалось создать систему сверхмощных электромагнитных полей, которые при пра</w:t>
      </w:r>
      <w:r w:rsidRPr="00271E51">
        <w:rPr>
          <w:rFonts w:ascii="Times New Roman" w:hAnsi="Times New Roman"/>
          <w:color w:val="000000" w:themeColor="text1"/>
          <w:sz w:val="16"/>
          <w:szCs w:val="16"/>
        </w:rPr>
        <w:softHyphen/>
        <w:t>вильной конфигурации должны были вызвать огибание све</w:t>
      </w:r>
      <w:r w:rsidRPr="00271E51">
        <w:rPr>
          <w:rFonts w:ascii="Times New Roman" w:hAnsi="Times New Roman"/>
          <w:color w:val="000000" w:themeColor="text1"/>
          <w:sz w:val="16"/>
          <w:szCs w:val="16"/>
        </w:rPr>
        <w:softHyphen/>
        <w:t>товых и радиоволн вокруг эсминца. Итак, мощные генераторы включены; корабль начиненный оборудованием окутываться зеленоватым туманом, затем туман стал исчезать». вместе с эсминцем, только отпечаток корабля на воде остался. Результатом стало полноее исчезновение корабля. Через несколько минут (по некоторым данным — несколько секунд) судно снова появилось. Но было обнаружено нечто ошеломляющее, оказывается после того, как судно исчезло в Филадедьфин, оно переместилось в доки порта Норфолк (Вирджинвя), а затем переместилось обратно в Филадельфию. В результате эксперимента большинство моряков стали душевно больными, некоторые люди вообще исчезли и никогда больше не появлялись, но самое страшное и загадочное было в том, что пять человек оказались «вплавлены» в металлическую обшивку корабля. Люди утверждали, что попадали в другой мир и наблюдали неизвестных существ. Возможно, в результат эксперимента создались «ворота» в параллельный мир. Эксперимент оказал катастрофическое влияние на физическое и душевное состояния людей (10675).</w:t>
      </w:r>
    </w:p>
    <w:p w14:paraId="381E9A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C617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в Новой Зеландии введены ограничения на торговлю маслом (4962).</w:t>
      </w:r>
    </w:p>
    <w:p w14:paraId="06A389E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EEA9A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0EE54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27E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после командировки в Куйбышев С.В.И. писал А.И.Ш. "Ознакомившись на заводе 18 с ходом постройки двух самолетов Ил-1 в одноместном и двухместном вариантах, я убедился, что постройка двух самолетов непосильна, поэтому прошу Вас Ил-1 в одноместном варианте с завода снять.</w:t>
      </w:r>
    </w:p>
    <w:p w14:paraId="505532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окончания самолета Ил-1 в двухместном варианте заводу 18 оставить прежний, т.е. 10 декабря 1943" (1605,2).</w:t>
      </w:r>
    </w:p>
    <w:p w14:paraId="6F6C5A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Есть вариант того же письма с тем же текстом, но с номером N 1/1150с, но от 30 октября 1943 и к письму приложен проект приказа (1775,197).</w:t>
      </w:r>
    </w:p>
    <w:p w14:paraId="2ACE6B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Н.Якубович считает, что военные требовали от С.В.И. летающий танк с большей нагрузкой, а С.В.И. при молчаливом попустительстве НКАП делал более легкую и маневренную машину с лучшей аэродинамикой и меньшего веса за счет оптимизации бронирования. К Ил-8 отношение было равнодушным. Ил-1 двухместный - концепция двухместного истребителя, отвергнутая еще в 30 годы. Через год С.В.И. писал в Правде "Мы будем стремиться, чтобы тип штурмового самолета никогда не был превзойден нашим противником. Скоро враг почувствует на своей спине удары новых штурмовиков, значительно более совершенных, чем нынешние" (1605,2).</w:t>
      </w:r>
    </w:p>
    <w:p w14:paraId="4C0537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660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после командировки в Куйбышев, С.В.Ильюшин обратился к А.И.Шахурину с письмом, в котором писал:</w:t>
      </w:r>
    </w:p>
    <w:p w14:paraId="641F5C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Ознакомившись на заводе №18 с ходом постройки двух самолетов Ил-1 в одноместном и двухместном вариантах, я убедился, что постройка двух самолетов непосильна, поэтому прошу Вас Ил-1 в одноместном варианте с завода снять,</w:t>
      </w:r>
    </w:p>
    <w:p w14:paraId="222F0E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окончания самолета Ил-1 в двухместном варианте заводу № 18 оставить прежний, т.е. 10 декабря 1943 г.”. В силу ряда причин, связанных главным образом с недоведенностью мотора АМ-42, изготовление опытного двухместного Ил-1 затянулось почти на три месяца (9649).</w:t>
      </w:r>
    </w:p>
    <w:p w14:paraId="024A41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258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С.В.И., который срочно выехал в Куйбышев для выяснения реального положения дел, обратился к А.И. Шахурину с письмом, в котором писал: «...Ознакомившись на заводе № 18 схо</w:t>
      </w:r>
      <w:r w:rsidRPr="00271E51">
        <w:rPr>
          <w:rFonts w:ascii="Times New Roman" w:hAnsi="Times New Roman"/>
          <w:color w:val="000000" w:themeColor="text1"/>
          <w:sz w:val="16"/>
          <w:szCs w:val="16"/>
        </w:rPr>
        <w:softHyphen/>
        <w:t>дом постройки двух самолетов Ил-1 в одноместном и двухместном вариантах, я убедился, что постройка двух самоле</w:t>
      </w:r>
      <w:r w:rsidRPr="00271E51">
        <w:rPr>
          <w:rFonts w:ascii="Times New Roman" w:hAnsi="Times New Roman"/>
          <w:color w:val="000000" w:themeColor="text1"/>
          <w:sz w:val="16"/>
          <w:szCs w:val="16"/>
        </w:rPr>
        <w:softHyphen/>
        <w:t>тов непосильна, поэтому прошу Вас Ил-1 в одноместном варианте с завода снять. Срок окончания самолета Ил-1 в двух</w:t>
      </w:r>
      <w:r w:rsidRPr="00271E51">
        <w:rPr>
          <w:rFonts w:ascii="Times New Roman" w:hAnsi="Times New Roman"/>
          <w:color w:val="000000" w:themeColor="text1"/>
          <w:sz w:val="16"/>
          <w:szCs w:val="16"/>
        </w:rPr>
        <w:softHyphen/>
        <w:t>местном варианте заводу № 18 оставить прежний, т.е. 10 декабря 1943 г.» (10680).</w:t>
      </w:r>
    </w:p>
    <w:p w14:paraId="3BBDA3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4568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после командировки в Куйбышев, С.В.Ильюшин обратился к А.И.Шахурину с письмом, в котором писал: и Ознакомившись на заводе № 18 с ходом постройки двух самолетов Ил-1 в одноместном и двухместном вариантах, я убедился, что постройка двух самолетов непосильна, поэтому прошу Вас Ил-1 в одноместном варианте с завода снять.</w:t>
      </w:r>
    </w:p>
    <w:p w14:paraId="02BA53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окончания самолета Ил-1 в двухместном варианте заводу №18 оставить прежний, т.е. 10 декабря 1943 г. (7442).</w:t>
      </w:r>
    </w:p>
    <w:p w14:paraId="413458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2816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после поездки в Куй</w:t>
      </w:r>
      <w:r w:rsidRPr="00271E51">
        <w:rPr>
          <w:rFonts w:ascii="Times New Roman" w:hAnsi="Times New Roman"/>
          <w:color w:val="000000" w:themeColor="text1"/>
          <w:sz w:val="16"/>
          <w:szCs w:val="16"/>
        </w:rPr>
        <w:softHyphen/>
        <w:t>бышев С. В. Ильюшин обратился к А. И. Шахурину с письмом, в кото</w:t>
      </w:r>
      <w:r w:rsidRPr="00271E51">
        <w:rPr>
          <w:rFonts w:ascii="Times New Roman" w:hAnsi="Times New Roman"/>
          <w:color w:val="000000" w:themeColor="text1"/>
          <w:sz w:val="16"/>
          <w:szCs w:val="16"/>
        </w:rPr>
        <w:softHyphen/>
        <w:t>ром писал: "...Ознакомившись на заводе № 18 с ходом постройки двух самолетов Ил-1 в одноместном и двухместном вариантах, я убедился, что постройка двух самолетов непо</w:t>
      </w:r>
      <w:r w:rsidRPr="00271E51">
        <w:rPr>
          <w:rFonts w:ascii="Times New Roman" w:hAnsi="Times New Roman"/>
          <w:color w:val="000000" w:themeColor="text1"/>
          <w:sz w:val="16"/>
          <w:szCs w:val="16"/>
        </w:rPr>
        <w:softHyphen/>
        <w:t>сильна, поэтому прошу Вас Ил-1 в одноместном варианте с завода снять. Срок окончания самолета Ил-1 в двухместном варианте заво</w:t>
      </w:r>
      <w:r w:rsidRPr="00271E51">
        <w:rPr>
          <w:rFonts w:ascii="Times New Roman" w:hAnsi="Times New Roman"/>
          <w:color w:val="000000" w:themeColor="text1"/>
          <w:sz w:val="16"/>
          <w:szCs w:val="16"/>
        </w:rPr>
        <w:softHyphen/>
        <w:t>ду № 18 оставить прежний, т.е. 10 декабря 1943 г." (11427).</w:t>
      </w:r>
    </w:p>
    <w:p w14:paraId="6CEFA2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97D09"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29 октября 1943 г. Главный ин</w:t>
      </w:r>
      <w:r w:rsidRPr="00271E51">
        <w:rPr>
          <w:rFonts w:ascii="Times New Roman" w:cs="Times New Roman"/>
          <w:color w:val="000000" w:themeColor="text1"/>
          <w:spacing w:val="0"/>
        </w:rPr>
        <w:softHyphen/>
        <w:t>женер ВВС КА А.К. Репин писал А.И. Шахурину:</w:t>
      </w:r>
    </w:p>
    <w:p w14:paraId="787EA433"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самолётов Ла-5 с моторами М-82 и М-82Ф, проведенные в НИИ ВВС КА и в ЛИИ НКАП, показывают, что при хорошо отлаженном и стабильно работающем карбюраторе на этом самолёте можно получить значительную экономию в расходах то</w:t>
      </w:r>
      <w:r w:rsidRPr="00271E51">
        <w:rPr>
          <w:rFonts w:ascii="Times New Roman" w:cs="Times New Roman"/>
          <w:color w:val="000000" w:themeColor="text1"/>
          <w:spacing w:val="0"/>
        </w:rPr>
        <w:softHyphen/>
        <w:t>плива, а следовательно, и увеличении дальности полёта самолёта.</w:t>
      </w:r>
    </w:p>
    <w:p w14:paraId="2D6E21E1"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условиях эксплуатации этот резерв экономичности использовать нельзя, т.к. карбю</w:t>
      </w:r>
      <w:r w:rsidRPr="00271E51">
        <w:rPr>
          <w:rFonts w:ascii="Times New Roman" w:cs="Times New Roman"/>
          <w:color w:val="000000" w:themeColor="text1"/>
          <w:spacing w:val="0"/>
        </w:rPr>
        <w:softHyphen/>
        <w:t>ратор АК-82БП, устанавливаемый на моторе М-82Ф, не обеспечивает стабильности расходов топлива в полёте.</w:t>
      </w:r>
    </w:p>
    <w:p w14:paraId="75167732"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Кроме того, серийные карбюраторы АК-82БП имеют большую разницу в протекании расходов топлива по режимам работы мотора, доходящую до 20%. Неудовлетворитель</w:t>
      </w:r>
      <w:r w:rsidRPr="00271E51">
        <w:rPr>
          <w:rFonts w:ascii="Times New Roman" w:cs="Times New Roman"/>
          <w:color w:val="000000" w:themeColor="text1"/>
          <w:spacing w:val="0"/>
        </w:rPr>
        <w:softHyphen/>
        <w:t>ная регулировка и нестабильность работы карбюраторов АК-82БП приводят к тому, что на самолётах Ла-5 с моторами М-82 и М-82Ф получаются сильно различающиеся ме</w:t>
      </w:r>
      <w:r w:rsidRPr="00271E51">
        <w:rPr>
          <w:rFonts w:ascii="Times New Roman" w:cs="Times New Roman"/>
          <w:color w:val="000000" w:themeColor="text1"/>
          <w:spacing w:val="0"/>
        </w:rPr>
        <w:softHyphen/>
        <w:t>жду собой дальности полёта на одном и том же режиме.</w:t>
      </w:r>
    </w:p>
    <w:p w14:paraId="79E7BDC9"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Так, при испытании в октябре 1942 г. в НИИ ВВС самолёта Ла-5 № 37210444 на наи</w:t>
      </w:r>
      <w:r w:rsidRPr="00271E51">
        <w:rPr>
          <w:rFonts w:ascii="Times New Roman" w:cs="Times New Roman"/>
          <w:color w:val="000000" w:themeColor="text1"/>
          <w:spacing w:val="0"/>
        </w:rPr>
        <w:softHyphen/>
        <w:t>выгоднейшем режиме на высотах Н=500-2000 м получена дальность полёта 960-970 км.</w:t>
      </w:r>
    </w:p>
    <w:p w14:paraId="4A68B557"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испытании в июле 1943 г. в ЛИИ НКАП самолёта Ла-5 № 372124 на высоте Н=1000 м на наивыгоднейшем режиме получена дальность полёта 820 км.</w:t>
      </w:r>
    </w:p>
    <w:p w14:paraId="2E01A50C"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испытании в июле—августе 1943 г. в НИИ ВВС КА самолёта Ла-5 № 37212501Ф на высотах 500-2000 м на наивыгоднейшем режиме получена дальность всего лишь 580 км.</w:t>
      </w:r>
    </w:p>
    <w:p w14:paraId="10257A0E"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 всех трёх случаях высотный корректор закрыт. Емкость бензобаков 340 кг.</w:t>
      </w:r>
    </w:p>
    <w:p w14:paraId="08C82383"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Необходимо указать, что крайне низкая дальность самолёта Ла-5 № 37212501Ф (580 км на наивыгоднейшем режиме) вызывалась не только повышенным расходом топ</w:t>
      </w:r>
      <w:r w:rsidRPr="00271E51">
        <w:rPr>
          <w:rFonts w:ascii="Times New Roman" w:cs="Times New Roman"/>
          <w:color w:val="000000" w:themeColor="text1"/>
          <w:spacing w:val="0"/>
        </w:rPr>
        <w:softHyphen/>
        <w:t>лива мотора М-82Ф, но и ухудшенной аэродинамикой этого самолёта.</w:t>
      </w:r>
    </w:p>
    <w:p w14:paraId="01070374"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испытании самолёта Ла-5 в ЛИИ НКАП получено, что полёт самолёта на одном и том же режиме, но различной продолжительности, дает различные километровые расхо</w:t>
      </w:r>
      <w:r w:rsidRPr="00271E51">
        <w:rPr>
          <w:rFonts w:ascii="Times New Roman" w:cs="Times New Roman"/>
          <w:color w:val="000000" w:themeColor="text1"/>
          <w:spacing w:val="0"/>
        </w:rPr>
        <w:softHyphen/>
        <w:t>ды топлива. Например, при полете самолёта Ла-5 на режиме 0,9</w:t>
      </w:r>
      <w:r w:rsidRPr="00271E51">
        <w:rPr>
          <w:rFonts w:ascii="Times New Roman" w:cs="Times New Roman"/>
          <w:color w:val="000000" w:themeColor="text1"/>
          <w:spacing w:val="0"/>
          <w:lang w:val="en-US"/>
        </w:rPr>
        <w:t>V</w:t>
      </w:r>
      <w:r w:rsidRPr="00271E51">
        <w:rPr>
          <w:rFonts w:ascii="Times New Roman" w:cs="Times New Roman"/>
          <w:color w:val="000000" w:themeColor="text1"/>
          <w:spacing w:val="0"/>
          <w:vertAlign w:val="subscript"/>
          <w:lang w:val="en-US"/>
        </w:rPr>
        <w:t>MaKC</w:t>
      </w:r>
      <w:r w:rsidRPr="00271E51">
        <w:rPr>
          <w:rFonts w:ascii="Times New Roman" w:cs="Times New Roman"/>
          <w:color w:val="000000" w:themeColor="text1"/>
          <w:spacing w:val="0"/>
        </w:rPr>
        <w:t xml:space="preserve"> и п=2150 об/мин в течение 5 мин, километровый расход топлива равен 0,497 кг/км. При полёте на том же режиме в течение 25 мин, километровый расход возрастает до 0,542 кг/км.</w:t>
      </w:r>
    </w:p>
    <w:p w14:paraId="051C28B9"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испытаниях самолёта Ла-5 в НИИ ВВС КА на режиме п=2400 об/мин и Рк=950 мм рт.ст., при одной и той *е регулировке карбюратора, но при замерах в различное вре</w:t>
      </w:r>
      <w:r w:rsidRPr="00271E51">
        <w:rPr>
          <w:rFonts w:ascii="Times New Roman" w:cs="Times New Roman"/>
          <w:color w:val="000000" w:themeColor="text1"/>
          <w:spacing w:val="0"/>
        </w:rPr>
        <w:softHyphen/>
        <w:t>мя часовой расход топлива изменился от 490 л/час до 572 л/час.</w:t>
      </w:r>
    </w:p>
    <w:p w14:paraId="245301CC"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Приведенные факты говорят о том, что карбюратор АК-82БП до настоящего време</w:t>
      </w:r>
      <w:r w:rsidRPr="00271E51">
        <w:rPr>
          <w:rFonts w:ascii="Times New Roman" w:cs="Times New Roman"/>
          <w:color w:val="000000" w:themeColor="text1"/>
          <w:spacing w:val="0"/>
        </w:rPr>
        <w:softHyphen/>
        <w:t>ни не доработан и не даёт возможности использовать имеющиеся у самолёта Ла-5 ре</w:t>
      </w:r>
      <w:r w:rsidRPr="00271E51">
        <w:rPr>
          <w:rFonts w:ascii="Times New Roman" w:cs="Times New Roman"/>
          <w:color w:val="000000" w:themeColor="text1"/>
          <w:spacing w:val="0"/>
        </w:rPr>
        <w:softHyphen/>
        <w:t>зервы дальности полёта.</w:t>
      </w:r>
    </w:p>
    <w:p w14:paraId="1F78C41D"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повышения экономичности работы моторов М-82Ф и увеличения дальности по</w:t>
      </w:r>
      <w:r w:rsidRPr="00271E51">
        <w:rPr>
          <w:rFonts w:ascii="Times New Roman" w:cs="Times New Roman"/>
          <w:color w:val="000000" w:themeColor="text1"/>
          <w:spacing w:val="0"/>
        </w:rPr>
        <w:softHyphen/>
        <w:t>лета самолётов Ла-5 с этими моторами, прошу Ваших указаний заводам №№ 315 и 33 о срочной доработке карбюраторов для мотора М-82Ф, обеспечивающих стабильную работу и малую разницу в расходах топлива между различными карбюраторами» (15813).</w:t>
      </w:r>
    </w:p>
    <w:p w14:paraId="77084E48" w14:textId="77777777" w:rsidR="00021D61" w:rsidRPr="00271E51" w:rsidRDefault="00021D61" w:rsidP="00271E51">
      <w:pPr>
        <w:pStyle w:val="27"/>
        <w:shd w:val="clear" w:color="auto" w:fill="auto"/>
        <w:spacing w:after="0" w:line="240" w:lineRule="auto"/>
        <w:ind w:firstLine="0"/>
        <w:rPr>
          <w:rFonts w:ascii="Times New Roman" w:cs="Times New Roman"/>
          <w:color w:val="000000" w:themeColor="text1"/>
          <w:spacing w:val="0"/>
        </w:rPr>
      </w:pPr>
    </w:p>
    <w:p w14:paraId="14B01C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года Главный инженер ВВС КА А.К. Репин писал А.И. Шахурину:</w:t>
      </w:r>
    </w:p>
    <w:p w14:paraId="4333D2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самолетов Ла-5 с мо</w:t>
      </w:r>
      <w:r w:rsidRPr="00271E51">
        <w:rPr>
          <w:rFonts w:ascii="Times New Roman" w:hAnsi="Times New Roman"/>
          <w:color w:val="000000" w:themeColor="text1"/>
          <w:sz w:val="16"/>
          <w:szCs w:val="16"/>
        </w:rPr>
        <w:softHyphen/>
        <w:t>торами М-82 и М-82Ф, проведен</w:t>
      </w:r>
      <w:r w:rsidRPr="00271E51">
        <w:rPr>
          <w:rFonts w:ascii="Times New Roman" w:hAnsi="Times New Roman"/>
          <w:color w:val="000000" w:themeColor="text1"/>
          <w:sz w:val="16"/>
          <w:szCs w:val="16"/>
        </w:rPr>
        <w:softHyphen/>
        <w:t>ные в НИИ ВВС КАив ЛИИ НКАП, показывают, что при хорошо отла</w:t>
      </w:r>
      <w:r w:rsidRPr="00271E51">
        <w:rPr>
          <w:rFonts w:ascii="Times New Roman" w:hAnsi="Times New Roman"/>
          <w:color w:val="000000" w:themeColor="text1"/>
          <w:sz w:val="16"/>
          <w:szCs w:val="16"/>
        </w:rPr>
        <w:softHyphen/>
        <w:t>женном и стабильно работающем карбюраторе на этом самолете можно получить значительную эко</w:t>
      </w:r>
      <w:r w:rsidRPr="00271E51">
        <w:rPr>
          <w:rFonts w:ascii="Times New Roman" w:hAnsi="Times New Roman"/>
          <w:color w:val="000000" w:themeColor="text1"/>
          <w:sz w:val="16"/>
          <w:szCs w:val="16"/>
        </w:rPr>
        <w:softHyphen/>
        <w:t>номию в расходах топлива, а следо</w:t>
      </w:r>
      <w:r w:rsidRPr="00271E51">
        <w:rPr>
          <w:rFonts w:ascii="Times New Roman" w:hAnsi="Times New Roman"/>
          <w:color w:val="000000" w:themeColor="text1"/>
          <w:sz w:val="16"/>
          <w:szCs w:val="16"/>
        </w:rPr>
        <w:softHyphen/>
        <w:t>вательно, и увеличении дальности полета самолета.</w:t>
      </w:r>
    </w:p>
    <w:p w14:paraId="361FD2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условиях эксплоатации этот ре</w:t>
      </w:r>
      <w:r w:rsidRPr="00271E51">
        <w:rPr>
          <w:rFonts w:ascii="Times New Roman" w:hAnsi="Times New Roman"/>
          <w:color w:val="000000" w:themeColor="text1"/>
          <w:sz w:val="16"/>
          <w:szCs w:val="16"/>
        </w:rPr>
        <w:softHyphen/>
        <w:t>зерв экономичности использовать нельзя, т.к. карбюратор АК-82БП, ус</w:t>
      </w:r>
      <w:r w:rsidRPr="00271E51">
        <w:rPr>
          <w:rFonts w:ascii="Times New Roman" w:hAnsi="Times New Roman"/>
          <w:color w:val="000000" w:themeColor="text1"/>
          <w:sz w:val="16"/>
          <w:szCs w:val="16"/>
        </w:rPr>
        <w:softHyphen/>
        <w:t>танавливаемый на моторе М-82Ф, не обеспечивает стабильности рас</w:t>
      </w:r>
      <w:r w:rsidRPr="00271E51">
        <w:rPr>
          <w:rFonts w:ascii="Times New Roman" w:hAnsi="Times New Roman"/>
          <w:color w:val="000000" w:themeColor="text1"/>
          <w:sz w:val="16"/>
          <w:szCs w:val="16"/>
        </w:rPr>
        <w:softHyphen/>
        <w:t>ходов топлива в полете.</w:t>
      </w:r>
    </w:p>
    <w:p w14:paraId="7DCBA8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серийные карбюра</w:t>
      </w:r>
      <w:r w:rsidRPr="00271E51">
        <w:rPr>
          <w:rFonts w:ascii="Times New Roman" w:hAnsi="Times New Roman"/>
          <w:color w:val="000000" w:themeColor="text1"/>
          <w:sz w:val="16"/>
          <w:szCs w:val="16"/>
        </w:rPr>
        <w:softHyphen/>
        <w:t>торы АК-82БП имеют большую раз</w:t>
      </w:r>
      <w:r w:rsidRPr="00271E51">
        <w:rPr>
          <w:rFonts w:ascii="Times New Roman" w:hAnsi="Times New Roman"/>
          <w:color w:val="000000" w:themeColor="text1"/>
          <w:sz w:val="16"/>
          <w:szCs w:val="16"/>
        </w:rPr>
        <w:softHyphen/>
        <w:t>ницу в протекании расходов топли</w:t>
      </w:r>
      <w:r w:rsidRPr="00271E51">
        <w:rPr>
          <w:rFonts w:ascii="Times New Roman" w:hAnsi="Times New Roman"/>
          <w:color w:val="000000" w:themeColor="text1"/>
          <w:sz w:val="16"/>
          <w:szCs w:val="16"/>
        </w:rPr>
        <w:softHyphen/>
        <w:t>ва по режимам работы мотора, до</w:t>
      </w:r>
      <w:r w:rsidRPr="00271E51">
        <w:rPr>
          <w:rFonts w:ascii="Times New Roman" w:hAnsi="Times New Roman"/>
          <w:color w:val="000000" w:themeColor="text1"/>
          <w:sz w:val="16"/>
          <w:szCs w:val="16"/>
        </w:rPr>
        <w:softHyphen/>
        <w:t>ходящую до 20%. Неудовлетвори</w:t>
      </w:r>
      <w:r w:rsidRPr="00271E51">
        <w:rPr>
          <w:rFonts w:ascii="Times New Roman" w:hAnsi="Times New Roman"/>
          <w:color w:val="000000" w:themeColor="text1"/>
          <w:sz w:val="16"/>
          <w:szCs w:val="16"/>
        </w:rPr>
        <w:softHyphen/>
        <w:t>тельная регулировка и нестабиль</w:t>
      </w:r>
      <w:r w:rsidRPr="00271E51">
        <w:rPr>
          <w:rFonts w:ascii="Times New Roman" w:hAnsi="Times New Roman"/>
          <w:color w:val="000000" w:themeColor="text1"/>
          <w:sz w:val="16"/>
          <w:szCs w:val="16"/>
        </w:rPr>
        <w:softHyphen/>
        <w:t>ность работы карбюраторов АК-82БП приводят к тому, что на самолетах Ла-5 с моторами М-82 и М-82Ф получаются сильно различающиеся между собой дальности полета на одном и том же режиме.</w:t>
      </w:r>
    </w:p>
    <w:p w14:paraId="0916AD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при испытании в октябре 1942г. в НИИ ВВС КА самолета Ла-5 №37210444 на наивыгоднейшем ре</w:t>
      </w:r>
      <w:r w:rsidRPr="00271E51">
        <w:rPr>
          <w:rFonts w:ascii="Times New Roman" w:hAnsi="Times New Roman"/>
          <w:color w:val="000000" w:themeColor="text1"/>
          <w:sz w:val="16"/>
          <w:szCs w:val="16"/>
        </w:rPr>
        <w:softHyphen/>
        <w:t>жиме на высотах Н=500-2000 м по</w:t>
      </w:r>
      <w:r w:rsidRPr="00271E51">
        <w:rPr>
          <w:rFonts w:ascii="Times New Roman" w:hAnsi="Times New Roman"/>
          <w:color w:val="000000" w:themeColor="text1"/>
          <w:sz w:val="16"/>
          <w:szCs w:val="16"/>
        </w:rPr>
        <w:softHyphen/>
        <w:t>лучена дальность полета 960-970 км. При испытании в июле 1943 г. в ЛИИ НКАП самолета Ла-5 №372124 на высоте Н=1000 м на наивыгоднейшем режиме получена дальность полета 820 км.</w:t>
      </w:r>
    </w:p>
    <w:p w14:paraId="4614F9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испытании в июле-августе 1943 г. в НИИ ВВС КА самолета Ла-5 №37212501Ф на высотах 500-2000м на наивыгоднейшем режиме по</w:t>
      </w:r>
      <w:r w:rsidRPr="00271E51">
        <w:rPr>
          <w:rFonts w:ascii="Times New Roman" w:hAnsi="Times New Roman"/>
          <w:color w:val="000000" w:themeColor="text1"/>
          <w:sz w:val="16"/>
          <w:szCs w:val="16"/>
        </w:rPr>
        <w:softHyphen/>
        <w:t>лучена дальность всего лишь 580 км.</w:t>
      </w:r>
    </w:p>
    <w:p w14:paraId="2DA7AC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трех случаях высотный кор</w:t>
      </w:r>
      <w:r w:rsidRPr="00271E51">
        <w:rPr>
          <w:rFonts w:ascii="Times New Roman" w:hAnsi="Times New Roman"/>
          <w:color w:val="000000" w:themeColor="text1"/>
          <w:sz w:val="16"/>
          <w:szCs w:val="16"/>
        </w:rPr>
        <w:softHyphen/>
        <w:t>ректор закрыт. Емкость бензобаков 340 кг.</w:t>
      </w:r>
    </w:p>
    <w:p w14:paraId="149582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указать, что крайне низкая дальность самолета Ла-5 №37212501Ф (580 км на наивыгод</w:t>
      </w:r>
      <w:r w:rsidRPr="00271E51">
        <w:rPr>
          <w:rFonts w:ascii="Times New Roman" w:hAnsi="Times New Roman"/>
          <w:color w:val="000000" w:themeColor="text1"/>
          <w:sz w:val="16"/>
          <w:szCs w:val="16"/>
        </w:rPr>
        <w:softHyphen/>
        <w:t>нейшем режиме) вызывалась не толь</w:t>
      </w:r>
      <w:r w:rsidRPr="00271E51">
        <w:rPr>
          <w:rFonts w:ascii="Times New Roman" w:hAnsi="Times New Roman"/>
          <w:color w:val="000000" w:themeColor="text1"/>
          <w:sz w:val="16"/>
          <w:szCs w:val="16"/>
        </w:rPr>
        <w:softHyphen/>
        <w:t>ко повышенным расходом топлива мотора М-820, но и ухудшенной аэродинамикой этого самолета.</w:t>
      </w:r>
    </w:p>
    <w:p w14:paraId="46C82A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испытании самолета Ла-5 в ЛИИ НКАП получено, что полет са</w:t>
      </w:r>
      <w:r w:rsidRPr="00271E51">
        <w:rPr>
          <w:rFonts w:ascii="Times New Roman" w:hAnsi="Times New Roman"/>
          <w:color w:val="000000" w:themeColor="text1"/>
          <w:sz w:val="16"/>
          <w:szCs w:val="16"/>
        </w:rPr>
        <w:softHyphen/>
        <w:t>молета на одном и том же режиме, но различной продолжительности, дает различные километровые рас</w:t>
      </w:r>
      <w:r w:rsidRPr="00271E51">
        <w:rPr>
          <w:rFonts w:ascii="Times New Roman" w:hAnsi="Times New Roman"/>
          <w:color w:val="000000" w:themeColor="text1"/>
          <w:sz w:val="16"/>
          <w:szCs w:val="16"/>
        </w:rPr>
        <w:softHyphen/>
        <w:t>ходы топлива. Например, при поле</w:t>
      </w:r>
      <w:r w:rsidRPr="00271E51">
        <w:rPr>
          <w:rFonts w:ascii="Times New Roman" w:hAnsi="Times New Roman"/>
          <w:color w:val="000000" w:themeColor="text1"/>
          <w:sz w:val="16"/>
          <w:szCs w:val="16"/>
        </w:rPr>
        <w:softHyphen/>
        <w:t>те самолета Ла-5 на режиме 0,9Умакс. и п-2150 об/мин в тече</w:t>
      </w:r>
      <w:r w:rsidRPr="00271E51">
        <w:rPr>
          <w:rFonts w:ascii="Times New Roman" w:hAnsi="Times New Roman"/>
          <w:color w:val="000000" w:themeColor="text1"/>
          <w:sz w:val="16"/>
          <w:szCs w:val="16"/>
        </w:rPr>
        <w:softHyphen/>
        <w:t>ние 5 минут, километровый расход топлива равен 0,497 кг/км. При полете на том же режиме в течение 25 минут, километровый расход воз</w:t>
      </w:r>
      <w:r w:rsidRPr="00271E51">
        <w:rPr>
          <w:rFonts w:ascii="Times New Roman" w:hAnsi="Times New Roman"/>
          <w:color w:val="000000" w:themeColor="text1"/>
          <w:sz w:val="16"/>
          <w:szCs w:val="16"/>
        </w:rPr>
        <w:softHyphen/>
        <w:t>растает до 0,542 кг/км.</w:t>
      </w:r>
    </w:p>
    <w:p w14:paraId="081328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испытаниях самолета Ла-5 в НИИ ВВС КА на режиме п=2400 об/мин и Рк=950 мм рт.ст., при од</w:t>
      </w:r>
      <w:r w:rsidRPr="00271E51">
        <w:rPr>
          <w:rFonts w:ascii="Times New Roman" w:hAnsi="Times New Roman"/>
          <w:color w:val="000000" w:themeColor="text1"/>
          <w:sz w:val="16"/>
          <w:szCs w:val="16"/>
        </w:rPr>
        <w:softHyphen/>
        <w:t>ной и той же регулировке карбюра</w:t>
      </w:r>
      <w:r w:rsidRPr="00271E51">
        <w:rPr>
          <w:rFonts w:ascii="Times New Roman" w:hAnsi="Times New Roman"/>
          <w:color w:val="000000" w:themeColor="text1"/>
          <w:sz w:val="16"/>
          <w:szCs w:val="16"/>
        </w:rPr>
        <w:softHyphen/>
        <w:t>тора, но при замерах в различное время часовой расход топлива из</w:t>
      </w:r>
      <w:r w:rsidRPr="00271E51">
        <w:rPr>
          <w:rFonts w:ascii="Times New Roman" w:hAnsi="Times New Roman"/>
          <w:color w:val="000000" w:themeColor="text1"/>
          <w:sz w:val="16"/>
          <w:szCs w:val="16"/>
        </w:rPr>
        <w:softHyphen/>
        <w:t>менился от 490 л/час до 572 л/час.</w:t>
      </w:r>
    </w:p>
    <w:p w14:paraId="61F8F8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Приведенные факты говорят о том, что карбюратор АК-82БП до насто</w:t>
      </w:r>
      <w:r w:rsidRPr="00271E51">
        <w:rPr>
          <w:rFonts w:ascii="Times New Roman" w:hAnsi="Times New Roman"/>
          <w:color w:val="000000" w:themeColor="text1"/>
          <w:sz w:val="16"/>
          <w:szCs w:val="16"/>
        </w:rPr>
        <w:softHyphen/>
        <w:t>ящего времени не доработан и не дает возможности использовать име</w:t>
      </w:r>
      <w:r w:rsidRPr="00271E51">
        <w:rPr>
          <w:rFonts w:ascii="Times New Roman" w:hAnsi="Times New Roman"/>
          <w:color w:val="000000" w:themeColor="text1"/>
          <w:sz w:val="16"/>
          <w:szCs w:val="16"/>
        </w:rPr>
        <w:softHyphen/>
        <w:t>ющиеся у самолета Ла-5 резервы дальности полета.</w:t>
      </w:r>
    </w:p>
    <w:p w14:paraId="275888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повышения экономичности работы моторов М-820 и увеличе</w:t>
      </w:r>
      <w:r w:rsidRPr="00271E51">
        <w:rPr>
          <w:rFonts w:ascii="Times New Roman" w:hAnsi="Times New Roman"/>
          <w:color w:val="000000" w:themeColor="text1"/>
          <w:sz w:val="16"/>
          <w:szCs w:val="16"/>
        </w:rPr>
        <w:softHyphen/>
        <w:t>ния дальности полета самолетов Ла-5 с этими моторами, прошу Ваших ука</w:t>
      </w:r>
      <w:r w:rsidRPr="00271E51">
        <w:rPr>
          <w:rFonts w:ascii="Times New Roman" w:hAnsi="Times New Roman"/>
          <w:color w:val="000000" w:themeColor="text1"/>
          <w:sz w:val="16"/>
          <w:szCs w:val="16"/>
        </w:rPr>
        <w:softHyphen/>
        <w:t>заний заводам №№315 и 33 о сроч</w:t>
      </w:r>
      <w:r w:rsidRPr="00271E51">
        <w:rPr>
          <w:rFonts w:ascii="Times New Roman" w:hAnsi="Times New Roman"/>
          <w:color w:val="000000" w:themeColor="text1"/>
          <w:sz w:val="16"/>
          <w:szCs w:val="16"/>
        </w:rPr>
        <w:softHyphen/>
        <w:t>ной доработке карбюраторов для мотора М-820, обеспечивающих стабильную работу и малую разни</w:t>
      </w:r>
      <w:r w:rsidRPr="00271E51">
        <w:rPr>
          <w:rFonts w:ascii="Times New Roman" w:hAnsi="Times New Roman"/>
          <w:color w:val="000000" w:themeColor="text1"/>
          <w:sz w:val="16"/>
          <w:szCs w:val="16"/>
        </w:rPr>
        <w:softHyphen/>
        <w:t>цу в расходах топлива между различ</w:t>
      </w:r>
      <w:r w:rsidRPr="00271E51">
        <w:rPr>
          <w:rFonts w:ascii="Times New Roman" w:hAnsi="Times New Roman"/>
          <w:color w:val="000000" w:themeColor="text1"/>
          <w:sz w:val="16"/>
          <w:szCs w:val="16"/>
        </w:rPr>
        <w:softHyphen/>
        <w:t>ными карбюраторами». Таким образом, как оказалось, кар</w:t>
      </w:r>
      <w:r w:rsidRPr="00271E51">
        <w:rPr>
          <w:rFonts w:ascii="Times New Roman" w:hAnsi="Times New Roman"/>
          <w:color w:val="000000" w:themeColor="text1"/>
          <w:sz w:val="16"/>
          <w:szCs w:val="16"/>
        </w:rPr>
        <w:softHyphen/>
        <w:t>бюратор АК-82БП снижал не только максимальные скорости и скороподъем</w:t>
      </w:r>
      <w:r w:rsidRPr="00271E51">
        <w:rPr>
          <w:rFonts w:ascii="Times New Roman" w:hAnsi="Times New Roman"/>
          <w:color w:val="000000" w:themeColor="text1"/>
          <w:sz w:val="16"/>
          <w:szCs w:val="16"/>
        </w:rPr>
        <w:softHyphen/>
        <w:t>ность, но и дальность самолета Ла-5. Однако предпринимать какие-либо серьезные усилия по доводке АК-82БП накануне снятия М-82Ф с серийного производства было уже поздно. Все усилия НКАП были направлены на ско</w:t>
      </w:r>
      <w:r w:rsidRPr="00271E51">
        <w:rPr>
          <w:rFonts w:ascii="Times New Roman" w:hAnsi="Times New Roman"/>
          <w:color w:val="000000" w:themeColor="text1"/>
          <w:sz w:val="16"/>
          <w:szCs w:val="16"/>
        </w:rPr>
        <w:softHyphen/>
        <w:t>рейшую постановку на поток Ла-5 с М-82ФН (10705).</w:t>
      </w:r>
    </w:p>
    <w:p w14:paraId="0A67CA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D60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ГИ ВВС КА Репин писал письмо N 615638с НКАП А.И.Ш. о снижении дальности Ла-5 М-82Ф. Испытания в НИИ ВВС показали, что при хорошо отлаженном карбюраторе экономия расхода топлива м.б. существенной, однако в условиях эксплуатации этот резерв использовать не удается, т.к. карбюратор АК-82БП работает нестабильно, да и между собой по расходам различаются на 20% (1780):</w:t>
      </w:r>
    </w:p>
    <w:p w14:paraId="29CA7E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испытании в НИИ ВВС в октябре 1942 Ла-5 N 37210444 на наивыгоднейшем режиме на высоте 500-1000 м получили дальность 960-970 км</w:t>
      </w:r>
    </w:p>
    <w:p w14:paraId="5858B4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испытании в ЛИИ НКАП в июле 1943 Ла-5 N 37212124 на наивыгоднейшем режиме на 1000 м получили дальность 820 км</w:t>
      </w:r>
    </w:p>
    <w:p w14:paraId="5E0A1A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испытании в НИИ ВВС в июне-августе 1943 Ла-5 N 37212501Ф на наивыгоднейшем режиме на 500-1000 м получили дальность 580 км</w:t>
      </w:r>
    </w:p>
    <w:p w14:paraId="44AB99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Емкость баков - одинакова - 340 л (1780,2).</w:t>
      </w:r>
    </w:p>
    <w:p w14:paraId="062610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FBD30"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 октября 1943 г.</w:t>
      </w:r>
    </w:p>
    <w:p w14:paraId="32C992DC"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 НКАП № 648СС</w:t>
      </w:r>
    </w:p>
    <w:p w14:paraId="7A13D324"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 октября 1943 г.</w:t>
      </w:r>
    </w:p>
    <w:p w14:paraId="65980862"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исполнение постановления ГОКО за № 4431сс от 26 октября 1943 г. - о производстве на заводе № 21 самолетов Ла-5 с М-82ФН с металлическими лонжеронами и увеличенной дальностью - Приказываю:</w:t>
      </w:r>
    </w:p>
    <w:p w14:paraId="14867EA2"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3ам. наркома и начальнику 1-го Главного Управления тов. Воронину, директору завода № 21 тов. Агаджанову и главному конструктору тов. Лавочкину осуществить к 1 июня 1944 года на заводе № 21 переход на производство самолетов Ла-5 с М-82ФН с металлическими лонжеронами, облегчающими вес на 120 кг с увеличением за счет этого дальности до:</w:t>
      </w:r>
    </w:p>
    <w:p w14:paraId="06B4B6F7"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600 км на 0,9 максимальной скорости и 1000 км на наивыгоднейшей скорости - 350 км/час.</w:t>
      </w:r>
    </w:p>
    <w:p w14:paraId="5DDBD85A"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Перевод производства на самолет Ла-5 с металлическими лонжеронами произвести без снижения достигнутого уровня выпуска самолетов.</w:t>
      </w:r>
    </w:p>
    <w:p w14:paraId="5607DE7E"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Директору завода тов. Агаджанову:</w:t>
      </w:r>
    </w:p>
    <w:p w14:paraId="06EF73E6"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организовать к 1 декабря 1943 года на освобождающихся площадях склада УГР специальный цех по производству металлических лонжеронов за счет прекращения производства фугасных снарядов и выделения дополнительного оборудования.</w:t>
      </w:r>
    </w:p>
    <w:p w14:paraId="2B3DF627"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Директору завода № 381 т. Карпову передать заводу № 21 до 5 ноября 1943 года:</w:t>
      </w:r>
    </w:p>
    <w:p w14:paraId="03190778"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три комплекта отработанных серийных чертежей металлических лонжеронов;</w:t>
      </w:r>
    </w:p>
    <w:p w14:paraId="72403D24"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 три комплекта чертежей спецоснастки и инструмента;</w:t>
      </w:r>
    </w:p>
    <w:p w14:paraId="257670EA"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комплект технологических карт и материальную спецификацию;</w:t>
      </w:r>
    </w:p>
    <w:p w14:paraId="4BD67B87"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 два комплекта металлических лонжеронов, в том числе один комплект в деталях и узлах;</w:t>
      </w:r>
    </w:p>
    <w:p w14:paraId="7E4DBE8F"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е) десять комплектов отработанных полок лонжеронов.</w:t>
      </w:r>
    </w:p>
    <w:p w14:paraId="07946FF6"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Директору завода № 469 т. Синеву перевести на постоянную работу на завод № 21 - 150 человек производственных рабочих.</w:t>
      </w:r>
    </w:p>
    <w:p w14:paraId="6497D528"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Начальнику финансового управления НКАП оформить для завода № 21 2, 5 миллиона рублей на постановку производства самолета Ла-5 с металлическими лонжеронами.</w:t>
      </w:r>
    </w:p>
    <w:p w14:paraId="2FD9407D"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ШАХУРИН.</w:t>
      </w:r>
    </w:p>
    <w:p w14:paraId="3C8BD6E6"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ЦАНО. Ф. 2066. Оп. 7. Д. 33. Л. 9-11.</w:t>
      </w:r>
    </w:p>
    <w:p w14:paraId="5BC00713" w14:textId="77777777" w:rsidR="00F8287E" w:rsidRPr="00271E51" w:rsidRDefault="00F8287E"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Подлинник. Машинопись (20972).</w:t>
      </w:r>
    </w:p>
    <w:p w14:paraId="70DC55B7" w14:textId="77777777" w:rsidR="00F8287E" w:rsidRPr="00271E51" w:rsidRDefault="00F8287E" w:rsidP="00271E51">
      <w:pPr>
        <w:spacing w:after="0" w:line="240" w:lineRule="auto"/>
        <w:jc w:val="both"/>
        <w:rPr>
          <w:rFonts w:ascii="Times New Roman" w:hAnsi="Times New Roman"/>
          <w:color w:val="0070C0"/>
          <w:sz w:val="16"/>
          <w:szCs w:val="16"/>
        </w:rPr>
      </w:pPr>
    </w:p>
    <w:p w14:paraId="7D4ED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вышел приказ НКАП N 650, согласно которому ЦАГИ модифицировал Ла-5 М-82ФН и хотели скорость 680 км/час, но получили 700 км/час (752,2).</w:t>
      </w:r>
    </w:p>
    <w:p w14:paraId="53F6BE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Исследованиями ЦАГИ установлена возможность дальнейшего увеличения скорости с-та Ла-5 М-82ФН путем улучшения аэродинамики ВМГ, улучшения системы охлаждения и общего улучшения аэродинамики.</w:t>
      </w:r>
    </w:p>
    <w:p w14:paraId="3BED7C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непрерывного повышения скорости самолета Ла-5 М-82ФН приказываю работу по реализации аэродинамических ресурсов этого с-та разбить на два этапа:</w:t>
      </w:r>
    </w:p>
    <w:p w14:paraId="20C1F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первого этапа работ повышение скорости самолета Ла-5 М-82ФН до 680 км/час на 2-й границе высотности</w:t>
      </w:r>
    </w:p>
    <w:p w14:paraId="4C1029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второго этапа работ доведение скорости самолета Ла-5 М-82ФН до 700 км/час на 2-й границе высотности</w:t>
      </w:r>
    </w:p>
    <w:p w14:paraId="2314D4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обязывает Агаджанова, Лавочкина, и т.д. провести соответствующие работы (752,75).</w:t>
      </w:r>
    </w:p>
    <w:p w14:paraId="7135FE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3DE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вышел приказ НКАП N 648 в исполнение постановления ГКО N 4431 от 26 октября 1943 о производстве на заводе 21 самолетов Ла-5 с М-82ФН с металлическими лонжеронами и увеличенной дальностью (946,37) приказываю:</w:t>
      </w:r>
    </w:p>
    <w:p w14:paraId="5B3C642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НКАП и Нач. ПГУ тов. Воронину, директору завода № 21 тов. Агаджанову и ГК тов. А.С.Л. осуществить к 1 июля 1944 на заводе № 21 переход на производство самолета Ла-5 с М-82ФН с металлическими лонжеронами, облегчающими вес на 120 кг с увеличенной за счет этого дальностью до 600 км на 0,9 макс. скор и 1000 км. На наивыгоднейшей скорости в 350 км/час.</w:t>
      </w:r>
    </w:p>
    <w:p w14:paraId="36DAB9C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Перевод производства на самолет ла-5 с металлическими лонжеронами произвести без снижения достигнутого уровня выпуска самолетов.</w:t>
      </w:r>
    </w:p>
    <w:p w14:paraId="0016EFE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 Завода № 21 тов. Агаджанову:</w:t>
      </w:r>
    </w:p>
    <w:p w14:paraId="0AFF13A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организовать к 1 декабря 1943 г. цех по изготовлению металлических лонжеронов крыла (за счет прекращения производства фугасных снарядов)</w:t>
      </w:r>
    </w:p>
    <w:p w14:paraId="76A14B6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 Завода № 381 тов. Карпову передать заводу № 21 до 5 ноября 1943 г.:</w:t>
      </w:r>
    </w:p>
    <w:p w14:paraId="24D77BB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три комплекта отработанных серийных чертежей металлического лонжерона,</w:t>
      </w:r>
    </w:p>
    <w:p w14:paraId="79B2117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три комплекта чертежей спецоснастки и инструмента,</w:t>
      </w:r>
    </w:p>
    <w:p w14:paraId="3F55EBD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комплект технологических карт и материальную спецификацию,</w:t>
      </w:r>
    </w:p>
    <w:p w14:paraId="5E453B4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два комплекта металлических лонжеронов, в т.ч. один комлект в деталях и узлах,</w:t>
      </w:r>
    </w:p>
    <w:p w14:paraId="2100A22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10 комплектов обработанных полок лонжеронов...</w:t>
      </w:r>
    </w:p>
    <w:p w14:paraId="305ABB2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другие заводы и организации оказать помощь заводу № 21.</w:t>
      </w:r>
    </w:p>
    <w:p w14:paraId="23CB2F2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Выделялось 2,5 млн. руб. На поощрение организации производства Ла-5 с металличскоми лонжеронами.</w:t>
      </w:r>
    </w:p>
    <w:p w14:paraId="44DC861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Выделялись станки, оборудование, поступающее по импорту (926,37).</w:t>
      </w:r>
    </w:p>
    <w:p w14:paraId="5B101C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041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 вышел приказ НКАП № 602с, согласно которому разработали и внедрили в серию на Ла-5 улучшенный карбюратор (11123).</w:t>
      </w:r>
    </w:p>
    <w:p w14:paraId="4EA57A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5245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Н.Н.П. направил письмо в 7ГУ С.Н.Шишкину и ГИ ВВС А.И.Репину в сопровождении эскизного проекта ТИС 2АМ-39 (2349,26).</w:t>
      </w:r>
    </w:p>
    <w:p w14:paraId="183C46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76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 Н.Н.Поликарпов направил в адрес Начальника 7-го Главного управления НКАП С.Н.Шишкина и Главного инженера ВВС А. И. Репина эскизный проект самолета ТИС с двумя моторами АМ-39.</w:t>
      </w:r>
    </w:p>
    <w:p w14:paraId="28688D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объяснительной записке цель работы формулировалась следующим образом: “Модернизация самолета “ТИС”, спроектированного и построенного в 1940-1941 гг., но не окончившего до сих пор летных и даже заводских испытаний вследствие неудовлетворительной работы моторов АМ-37. В этом занятии нами затрачено около трех лет.</w:t>
      </w:r>
    </w:p>
    <w:p w14:paraId="4DFC5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Безуспешность работы с АМ-37 и отказ от доводки их конструктором Никулиным А.А. вынудили нас поставить на “ТИС” моторы М-39, работающие лучше, а в связи с этим мы одновременно и модернизируем самолет как в смысле аэродинамики, так и в боевом отношении.</w:t>
      </w:r>
    </w:p>
    <w:p w14:paraId="6442C7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аэродинамическом отношении облагорожены моторные гондолы, уменьшен мидель их и водорадиато-ры перенесены в консоль.</w:t>
      </w:r>
    </w:p>
    <w:p w14:paraId="70E4F1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боевом отношении калибр переднего оружия увеличен: вместо четырех ШКАС, двух БС, двух ШВА К нами устанавливаются две ШВА К, две пушки Н-45 (имелись ввиду НС-45 - авт.). Задняя установка со ШКАСа переведена на БС.</w:t>
      </w:r>
    </w:p>
    <w:p w14:paraId="1A1180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Назначение самолета - ведение воздушного боя с легкими и тяжелыми истребителями и бомбардировщиками, охрана и сопровождение бомбардировщиков на дальние расстояния, борьба с танками, моторизованными соединениями, а также поддержка атак войск. Самолет может использоваться как ночной истребитель. В перегрузочном варианте самолет имеет возможность выполнять задачи ближнего пикирующего бомбардировщика” (9649).</w:t>
      </w:r>
    </w:p>
    <w:p w14:paraId="2C6D80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5FA1F" w14:textId="77777777" w:rsidR="00406371" w:rsidRPr="00271E51" w:rsidRDefault="0040637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29 октября 1943 г. Н. Н. Поликарпов направил в адрес начальника 7-го Главного управления НКАП С. Н. Шишкина и главного инженера ВВС генерала А. К. Репина окончательный вариант эскизного про</w:t>
      </w:r>
      <w:r w:rsidRPr="00271E51">
        <w:rPr>
          <w:color w:val="000000" w:themeColor="text1"/>
          <w:sz w:val="16"/>
          <w:szCs w:val="16"/>
        </w:rPr>
        <w:softHyphen/>
        <w:t>екта самолета ТИС с моторами АМ-39.</w:t>
      </w:r>
    </w:p>
    <w:p w14:paraId="1A8974EB" w14:textId="77777777" w:rsidR="00406371" w:rsidRPr="00271E51" w:rsidRDefault="0040637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пояснительной записке цель работы форму</w:t>
      </w:r>
      <w:r w:rsidRPr="00271E51">
        <w:rPr>
          <w:color w:val="000000" w:themeColor="text1"/>
          <w:sz w:val="16"/>
          <w:szCs w:val="16"/>
        </w:rPr>
        <w:softHyphen/>
        <w:t>лировалась следующим образом: «Модернизация самолета «ТИС», спроектированного и построенно</w:t>
      </w:r>
      <w:r w:rsidRPr="00271E51">
        <w:rPr>
          <w:color w:val="000000" w:themeColor="text1"/>
          <w:sz w:val="16"/>
          <w:szCs w:val="16"/>
        </w:rPr>
        <w:softHyphen/>
        <w:t>го в 1940—1941 гг., но не окончившего до сих пор летных и даже заводских испытаний вследствие неудовлетворительной работы моторов АМ-37. В этом занятии нами затрачено около трех лет. Без</w:t>
      </w:r>
      <w:r w:rsidRPr="00271E51">
        <w:rPr>
          <w:color w:val="000000" w:themeColor="text1"/>
          <w:sz w:val="16"/>
          <w:szCs w:val="16"/>
        </w:rPr>
        <w:softHyphen/>
        <w:t>успешность работы с АМ-37 и отказ от доводки их конструктором Микулиным А. А. вынудили нас по</w:t>
      </w:r>
      <w:r w:rsidRPr="00271E51">
        <w:rPr>
          <w:color w:val="000000" w:themeColor="text1"/>
          <w:sz w:val="16"/>
          <w:szCs w:val="16"/>
        </w:rPr>
        <w:softHyphen/>
        <w:t>ставить на ТИС моторы М-39, работающие лучше, а в связи с этим мы одновременно и модернизиру</w:t>
      </w:r>
      <w:r w:rsidRPr="00271E51">
        <w:rPr>
          <w:color w:val="000000" w:themeColor="text1"/>
          <w:sz w:val="16"/>
          <w:szCs w:val="16"/>
        </w:rPr>
        <w:softHyphen/>
        <w:t>ем самолет как в смысле аэродинамики, так и в бо</w:t>
      </w:r>
      <w:r w:rsidRPr="00271E51">
        <w:rPr>
          <w:color w:val="000000" w:themeColor="text1"/>
          <w:sz w:val="16"/>
          <w:szCs w:val="16"/>
        </w:rPr>
        <w:softHyphen/>
        <w:t>евом отношении. В аэродинамическом отношении облагорожены моторные гондолы, уменьшена ми</w:t>
      </w:r>
      <w:r w:rsidRPr="00271E51">
        <w:rPr>
          <w:color w:val="000000" w:themeColor="text1"/>
          <w:sz w:val="16"/>
          <w:szCs w:val="16"/>
        </w:rPr>
        <w:softHyphen/>
        <w:t>дель их и водорадиаторы перенесены в консоль. В боевом отношении калибр переднего оружия увеличен: вместо 4 ШКАС, 2 БС, 2 ШВАК нами уста</w:t>
      </w:r>
      <w:r w:rsidRPr="00271E51">
        <w:rPr>
          <w:color w:val="000000" w:themeColor="text1"/>
          <w:sz w:val="16"/>
          <w:szCs w:val="16"/>
        </w:rPr>
        <w:softHyphen/>
        <w:t>навливаются 2 ШВАК, 2 пушки Н-45 (имелись в виду НС-45</w:t>
      </w:r>
      <w:r w:rsidRPr="00271E51">
        <w:rPr>
          <w:rStyle w:val="BodytextItalic"/>
          <w:i w:val="0"/>
          <w:color w:val="000000" w:themeColor="text1"/>
          <w:sz w:val="16"/>
          <w:szCs w:val="16"/>
        </w:rPr>
        <w:t>).</w:t>
      </w:r>
      <w:r w:rsidRPr="00271E51">
        <w:rPr>
          <w:color w:val="000000" w:themeColor="text1"/>
          <w:sz w:val="16"/>
          <w:szCs w:val="16"/>
        </w:rPr>
        <w:t xml:space="preserve"> Задняя установка со ШКАСа пере</w:t>
      </w:r>
      <w:r w:rsidRPr="00271E51">
        <w:rPr>
          <w:color w:val="000000" w:themeColor="text1"/>
          <w:sz w:val="16"/>
          <w:szCs w:val="16"/>
        </w:rPr>
        <w:softHyphen/>
        <w:t>ведена на БС. Такое вооружение в связи с прекрас</w:t>
      </w:r>
      <w:r w:rsidRPr="00271E51">
        <w:rPr>
          <w:color w:val="000000" w:themeColor="text1"/>
          <w:sz w:val="16"/>
          <w:szCs w:val="16"/>
        </w:rPr>
        <w:softHyphen/>
        <w:t>ными летными данными и большой дальностью де</w:t>
      </w:r>
      <w:r w:rsidRPr="00271E51">
        <w:rPr>
          <w:color w:val="000000" w:themeColor="text1"/>
          <w:sz w:val="16"/>
          <w:szCs w:val="16"/>
        </w:rPr>
        <w:softHyphen/>
        <w:t>лают из ТИС весьма актуальную машину».</w:t>
      </w:r>
    </w:p>
    <w:p w14:paraId="26572660" w14:textId="77777777" w:rsidR="00406371" w:rsidRPr="00271E51" w:rsidRDefault="0040637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Подчеркивалось, что «по своим летно-тактиче- ским данным ТИС 2АМ-39, подходя близко к дан</w:t>
      </w:r>
      <w:r w:rsidRPr="00271E51">
        <w:rPr>
          <w:color w:val="000000" w:themeColor="text1"/>
          <w:sz w:val="16"/>
          <w:szCs w:val="16"/>
        </w:rPr>
        <w:softHyphen/>
        <w:t>ным лучших одномоторных истребителей, превос</w:t>
      </w:r>
      <w:r w:rsidRPr="00271E51">
        <w:rPr>
          <w:color w:val="000000" w:themeColor="text1"/>
          <w:sz w:val="16"/>
          <w:szCs w:val="16"/>
        </w:rPr>
        <w:softHyphen/>
        <w:t>ходит их по мощности вооружения и дальности полета».</w:t>
      </w:r>
    </w:p>
    <w:p w14:paraId="786803E4" w14:textId="77777777" w:rsidR="00406371" w:rsidRPr="00271E51" w:rsidRDefault="0040637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Основным назначением самолета считалось — ведение воздушного боя с легкими и тяжелыми истребителями и бомбардировщиками, охрана и сопровождение бомбардировщиков на дальние расстояния, борьба с танками, моторизованными соединениями, а также поддержка атак наземных войск. Самолет мог использоваться как ночной истребитель, «так как наличие хорошего обзора, мощного огня, ночного оборудования и радиосвя</w:t>
      </w:r>
      <w:r w:rsidRPr="00271E51">
        <w:rPr>
          <w:color w:val="000000" w:themeColor="text1"/>
          <w:sz w:val="16"/>
          <w:szCs w:val="16"/>
        </w:rPr>
        <w:softHyphen/>
        <w:t>зи с землей делает возможным выполнение боевых задач и в ночное время». В перегрузку (с бомбами) самолет способен выполнять «задачи ближнего пи</w:t>
      </w:r>
      <w:r w:rsidRPr="00271E51">
        <w:rPr>
          <w:color w:val="000000" w:themeColor="text1"/>
          <w:sz w:val="16"/>
          <w:szCs w:val="16"/>
        </w:rPr>
        <w:softHyphen/>
        <w:t>кирующего бомбардировщика» (17500).</w:t>
      </w:r>
    </w:p>
    <w:p w14:paraId="496A4BEC" w14:textId="77777777" w:rsidR="00406371" w:rsidRPr="00271E51" w:rsidRDefault="00406371" w:rsidP="00271E51">
      <w:pPr>
        <w:spacing w:after="0" w:line="240" w:lineRule="auto"/>
        <w:jc w:val="both"/>
        <w:rPr>
          <w:rFonts w:ascii="Times New Roman" w:hAnsi="Times New Roman"/>
          <w:color w:val="000000" w:themeColor="text1"/>
          <w:sz w:val="16"/>
          <w:szCs w:val="16"/>
        </w:rPr>
      </w:pPr>
    </w:p>
    <w:p w14:paraId="0DEF6D96" w14:textId="77777777" w:rsidR="00FA1C3A" w:rsidRPr="00271E51" w:rsidRDefault="00FA1C3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29 октября 1943 г., Н.Н. Поликарпов направил в адрес начальника 7-го Главного управ</w:t>
      </w:r>
      <w:r w:rsidRPr="00271E51">
        <w:rPr>
          <w:rFonts w:ascii="Times New Roman" w:cs="Times New Roman"/>
          <w:color w:val="000000" w:themeColor="text1"/>
          <w:spacing w:val="0"/>
        </w:rPr>
        <w:softHyphen/>
        <w:t>ления НКАП С.Н. Шишкина и главно</w:t>
      </w:r>
      <w:r w:rsidRPr="00271E51">
        <w:rPr>
          <w:rFonts w:ascii="Times New Roman" w:cs="Times New Roman"/>
          <w:color w:val="000000" w:themeColor="text1"/>
          <w:spacing w:val="0"/>
        </w:rPr>
        <w:softHyphen/>
        <w:t>го инженера ВВС генерала А.К. Репина окончательный вариант эскизного про</w:t>
      </w:r>
      <w:r w:rsidRPr="00271E51">
        <w:rPr>
          <w:rFonts w:ascii="Times New Roman" w:cs="Times New Roman"/>
          <w:color w:val="000000" w:themeColor="text1"/>
          <w:spacing w:val="0"/>
        </w:rPr>
        <w:softHyphen/>
        <w:t>екта самолета ТИС с моторами АМ-39.</w:t>
      </w:r>
    </w:p>
    <w:p w14:paraId="354BC698" w14:textId="77777777" w:rsidR="00FA1C3A" w:rsidRPr="00271E51" w:rsidRDefault="00FA1C3A" w:rsidP="00271E51">
      <w:pPr>
        <w:pStyle w:val="45"/>
        <w:shd w:val="clear" w:color="auto" w:fill="auto"/>
        <w:spacing w:before="0" w:line="240" w:lineRule="auto"/>
        <w:jc w:val="both"/>
        <w:rPr>
          <w:rFonts w:ascii="Times New Roman" w:cs="Times New Roman"/>
          <w:color w:val="000000" w:themeColor="text1"/>
          <w:sz w:val="16"/>
          <w:szCs w:val="16"/>
        </w:rPr>
      </w:pPr>
      <w:r w:rsidRPr="00271E51">
        <w:rPr>
          <w:rStyle w:val="4f0"/>
          <w:rFonts w:ascii="Times New Roman" w:hAnsi="Times New Roman" w:cs="Times New Roman"/>
          <w:i w:val="0"/>
          <w:color w:val="000000" w:themeColor="text1"/>
          <w:sz w:val="16"/>
          <w:szCs w:val="16"/>
        </w:rPr>
        <w:t>В пояснительной записке цель рабо</w:t>
      </w:r>
      <w:r w:rsidRPr="00271E51">
        <w:rPr>
          <w:rStyle w:val="4f0"/>
          <w:rFonts w:ascii="Times New Roman" w:hAnsi="Times New Roman" w:cs="Times New Roman"/>
          <w:i w:val="0"/>
          <w:color w:val="000000" w:themeColor="text1"/>
          <w:sz w:val="16"/>
          <w:szCs w:val="16"/>
        </w:rPr>
        <w:softHyphen/>
        <w:t>ты формулировалась следующим обра</w:t>
      </w:r>
      <w:r w:rsidRPr="00271E51">
        <w:rPr>
          <w:rStyle w:val="4f0"/>
          <w:rFonts w:ascii="Times New Roman" w:hAnsi="Times New Roman" w:cs="Times New Roman"/>
          <w:i w:val="0"/>
          <w:color w:val="000000" w:themeColor="text1"/>
          <w:sz w:val="16"/>
          <w:szCs w:val="16"/>
        </w:rPr>
        <w:softHyphen/>
        <w:t>зом: «</w:t>
      </w:r>
      <w:r w:rsidRPr="00271E51">
        <w:rPr>
          <w:rFonts w:ascii="Times New Roman" w:cs="Times New Roman"/>
          <w:color w:val="000000" w:themeColor="text1"/>
          <w:sz w:val="16"/>
          <w:szCs w:val="16"/>
        </w:rPr>
        <w:t>Модернизация самолета «ТИС», спроектированного и построенного в 1940-1941 гг., но не окончившего до сих пор летных и даже заводских испыта</w:t>
      </w:r>
      <w:r w:rsidRPr="00271E51">
        <w:rPr>
          <w:rFonts w:ascii="Times New Roman" w:cs="Times New Roman"/>
          <w:color w:val="000000" w:themeColor="text1"/>
          <w:sz w:val="16"/>
          <w:szCs w:val="16"/>
        </w:rPr>
        <w:softHyphen/>
        <w:t xml:space="preserve">ний вследствие неудовлетворительной </w:t>
      </w:r>
      <w:r w:rsidRPr="00271E51">
        <w:rPr>
          <w:rStyle w:val="4f0"/>
          <w:rFonts w:ascii="Times New Roman" w:hAnsi="Times New Roman" w:cs="Times New Roman"/>
          <w:i w:val="0"/>
          <w:color w:val="000000" w:themeColor="text1"/>
          <w:sz w:val="16"/>
          <w:szCs w:val="16"/>
        </w:rPr>
        <w:t>работы</w:t>
      </w:r>
      <w:r w:rsidRPr="00271E51">
        <w:rPr>
          <w:rFonts w:ascii="Times New Roman" w:cs="Times New Roman"/>
          <w:color w:val="000000" w:themeColor="text1"/>
          <w:sz w:val="16"/>
          <w:szCs w:val="16"/>
        </w:rPr>
        <w:t xml:space="preserve"> моторов АМ-37. В этом заня</w:t>
      </w:r>
      <w:r w:rsidRPr="00271E51">
        <w:rPr>
          <w:rFonts w:ascii="Times New Roman" w:cs="Times New Roman"/>
          <w:color w:val="000000" w:themeColor="text1"/>
          <w:sz w:val="16"/>
          <w:szCs w:val="16"/>
        </w:rPr>
        <w:softHyphen/>
      </w:r>
      <w:r w:rsidRPr="00271E51">
        <w:rPr>
          <w:rStyle w:val="4f1"/>
          <w:rFonts w:ascii="Times New Roman" w:hAnsi="Times New Roman" w:cs="Times New Roman"/>
          <w:b w:val="0"/>
          <w:color w:val="000000" w:themeColor="text1"/>
          <w:sz w:val="16"/>
          <w:szCs w:val="16"/>
        </w:rPr>
        <w:t>тии</w:t>
      </w:r>
      <w:r w:rsidRPr="00271E51">
        <w:rPr>
          <w:rFonts w:ascii="Times New Roman" w:cs="Times New Roman"/>
          <w:color w:val="000000" w:themeColor="text1"/>
          <w:sz w:val="16"/>
          <w:szCs w:val="16"/>
        </w:rPr>
        <w:t xml:space="preserve"> нами затрачено около трех лет. Без</w:t>
      </w:r>
      <w:r w:rsidRPr="00271E51">
        <w:rPr>
          <w:rFonts w:ascii="Times New Roman" w:cs="Times New Roman"/>
          <w:color w:val="000000" w:themeColor="text1"/>
          <w:sz w:val="16"/>
          <w:szCs w:val="16"/>
        </w:rPr>
        <w:softHyphen/>
        <w:t xml:space="preserve">успешность работы с АМ-37 и отказ от доводки их конструктором Микулиным А.А. вынудили нас поставить на «ТИС» моторы М-39, работающие лучше, а в </w:t>
      </w:r>
      <w:r w:rsidRPr="00271E51">
        <w:rPr>
          <w:rStyle w:val="4f0"/>
          <w:rFonts w:ascii="Times New Roman" w:hAnsi="Times New Roman" w:cs="Times New Roman"/>
          <w:i w:val="0"/>
          <w:color w:val="000000" w:themeColor="text1"/>
          <w:sz w:val="16"/>
          <w:szCs w:val="16"/>
        </w:rPr>
        <w:t>связи с</w:t>
      </w:r>
      <w:r w:rsidRPr="00271E51">
        <w:rPr>
          <w:rFonts w:ascii="Times New Roman" w:cs="Times New Roman"/>
          <w:color w:val="000000" w:themeColor="text1"/>
          <w:sz w:val="16"/>
          <w:szCs w:val="16"/>
        </w:rPr>
        <w:t xml:space="preserve"> этим мы одновременно и мо</w:t>
      </w:r>
      <w:r w:rsidRPr="00271E51">
        <w:rPr>
          <w:rFonts w:ascii="Times New Roman" w:cs="Times New Roman"/>
          <w:color w:val="000000" w:themeColor="text1"/>
          <w:sz w:val="16"/>
          <w:szCs w:val="16"/>
        </w:rPr>
        <w:softHyphen/>
        <w:t>дернизируем самолет, как в смысле аэ</w:t>
      </w:r>
      <w:r w:rsidRPr="00271E51">
        <w:rPr>
          <w:rFonts w:ascii="Times New Roman" w:cs="Times New Roman"/>
          <w:color w:val="000000" w:themeColor="text1"/>
          <w:sz w:val="16"/>
          <w:szCs w:val="16"/>
        </w:rPr>
        <w:softHyphen/>
        <w:t>родинамики, так и в боевом отношении. В аэродинамическом отношении обла</w:t>
      </w:r>
      <w:r w:rsidRPr="00271E51">
        <w:rPr>
          <w:rFonts w:ascii="Times New Roman" w:cs="Times New Roman"/>
          <w:color w:val="000000" w:themeColor="text1"/>
          <w:sz w:val="16"/>
          <w:szCs w:val="16"/>
        </w:rPr>
        <w:softHyphen/>
        <w:t xml:space="preserve">горожены моторные гондолы, уменьшен </w:t>
      </w:r>
      <w:r w:rsidRPr="00271E51">
        <w:rPr>
          <w:rStyle w:val="4f1"/>
          <w:rFonts w:ascii="Times New Roman" w:hAnsi="Times New Roman" w:cs="Times New Roman"/>
          <w:b w:val="0"/>
          <w:color w:val="000000" w:themeColor="text1"/>
          <w:sz w:val="16"/>
          <w:szCs w:val="16"/>
        </w:rPr>
        <w:t>их</w:t>
      </w:r>
      <w:r w:rsidRPr="00271E51">
        <w:rPr>
          <w:rFonts w:ascii="Times New Roman" w:cs="Times New Roman"/>
          <w:color w:val="000000" w:themeColor="text1"/>
          <w:sz w:val="16"/>
          <w:szCs w:val="16"/>
        </w:rPr>
        <w:t xml:space="preserve"> мидель, водорадиаторы перенесены </w:t>
      </w:r>
      <w:r w:rsidRPr="00271E51">
        <w:rPr>
          <w:rStyle w:val="4f1"/>
          <w:rFonts w:ascii="Times New Roman" w:hAnsi="Times New Roman" w:cs="Times New Roman"/>
          <w:b w:val="0"/>
          <w:color w:val="000000" w:themeColor="text1"/>
          <w:sz w:val="16"/>
          <w:szCs w:val="16"/>
        </w:rPr>
        <w:t>в</w:t>
      </w:r>
      <w:r w:rsidRPr="00271E51">
        <w:rPr>
          <w:rFonts w:ascii="Times New Roman" w:cs="Times New Roman"/>
          <w:color w:val="000000" w:themeColor="text1"/>
          <w:sz w:val="16"/>
          <w:szCs w:val="16"/>
        </w:rPr>
        <w:t xml:space="preserve"> консоль. В боевом отношении калибр переднего оружия увеличен: вместо че</w:t>
      </w:r>
      <w:r w:rsidRPr="00271E51">
        <w:rPr>
          <w:rFonts w:ascii="Times New Roman" w:cs="Times New Roman"/>
          <w:color w:val="000000" w:themeColor="text1"/>
          <w:sz w:val="16"/>
          <w:szCs w:val="16"/>
        </w:rPr>
        <w:softHyphen/>
        <w:t>тырех ШКАС, двух БС, двух ШВАК нами устанавливаются две ШВАК, две пуш</w:t>
      </w:r>
      <w:r w:rsidRPr="00271E51">
        <w:rPr>
          <w:rFonts w:ascii="Times New Roman" w:cs="Times New Roman"/>
          <w:color w:val="000000" w:themeColor="text1"/>
          <w:sz w:val="16"/>
          <w:szCs w:val="16"/>
        </w:rPr>
        <w:softHyphen/>
      </w:r>
      <w:r w:rsidRPr="00271E51">
        <w:rPr>
          <w:rStyle w:val="4f1"/>
          <w:rFonts w:ascii="Times New Roman" w:hAnsi="Times New Roman" w:cs="Times New Roman"/>
          <w:b w:val="0"/>
          <w:color w:val="000000" w:themeColor="text1"/>
          <w:sz w:val="16"/>
          <w:szCs w:val="16"/>
        </w:rPr>
        <w:t>ки</w:t>
      </w:r>
      <w:r w:rsidRPr="00271E51">
        <w:rPr>
          <w:rFonts w:ascii="Times New Roman" w:cs="Times New Roman"/>
          <w:color w:val="000000" w:themeColor="text1"/>
          <w:sz w:val="16"/>
          <w:szCs w:val="16"/>
        </w:rPr>
        <w:t xml:space="preserve"> Н-45</w:t>
      </w:r>
      <w:r w:rsidRPr="00271E51">
        <w:rPr>
          <w:rStyle w:val="4f0"/>
          <w:rFonts w:ascii="Times New Roman" w:hAnsi="Times New Roman" w:cs="Times New Roman"/>
          <w:i w:val="0"/>
          <w:color w:val="000000" w:themeColor="text1"/>
          <w:sz w:val="16"/>
          <w:szCs w:val="16"/>
        </w:rPr>
        <w:t xml:space="preserve"> (имелись в виду НС-45, она же </w:t>
      </w:r>
      <w:r w:rsidRPr="00271E51">
        <w:rPr>
          <w:rFonts w:ascii="Times New Roman" w:cs="Times New Roman"/>
          <w:color w:val="000000" w:themeColor="text1"/>
          <w:sz w:val="16"/>
          <w:szCs w:val="16"/>
        </w:rPr>
        <w:t>111П - Прим. авт.). Задняя установка со ШКАСа переведена на БС. Такое воору</w:t>
      </w:r>
      <w:r w:rsidRPr="00271E51">
        <w:rPr>
          <w:rFonts w:ascii="Times New Roman" w:cs="Times New Roman"/>
          <w:color w:val="000000" w:themeColor="text1"/>
          <w:sz w:val="16"/>
          <w:szCs w:val="16"/>
        </w:rPr>
        <w:softHyphen/>
        <w:t xml:space="preserve">жение в связи с прекрасными летными данными и большой дальностью делают </w:t>
      </w:r>
      <w:r w:rsidRPr="00271E51">
        <w:rPr>
          <w:rStyle w:val="4f1"/>
          <w:rFonts w:ascii="Times New Roman" w:hAnsi="Times New Roman" w:cs="Times New Roman"/>
          <w:b w:val="0"/>
          <w:color w:val="000000" w:themeColor="text1"/>
          <w:sz w:val="16"/>
          <w:szCs w:val="16"/>
        </w:rPr>
        <w:t>из</w:t>
      </w:r>
      <w:r w:rsidRPr="00271E51">
        <w:rPr>
          <w:rFonts w:ascii="Times New Roman" w:cs="Times New Roman"/>
          <w:color w:val="000000" w:themeColor="text1"/>
          <w:sz w:val="16"/>
          <w:szCs w:val="16"/>
        </w:rPr>
        <w:t xml:space="preserve"> ТИС весьма актуальную машину».</w:t>
      </w:r>
    </w:p>
    <w:p w14:paraId="370E8A6A" w14:textId="77777777" w:rsidR="00FA1C3A" w:rsidRPr="00271E51" w:rsidRDefault="00FA1C3A" w:rsidP="00271E51">
      <w:pPr>
        <w:pStyle w:val="45"/>
        <w:shd w:val="clear" w:color="auto" w:fill="auto"/>
        <w:spacing w:before="0" w:line="240" w:lineRule="auto"/>
        <w:jc w:val="both"/>
        <w:rPr>
          <w:rFonts w:ascii="Times New Roman" w:cs="Times New Roman"/>
          <w:color w:val="000000" w:themeColor="text1"/>
          <w:sz w:val="16"/>
          <w:szCs w:val="16"/>
        </w:rPr>
      </w:pPr>
      <w:r w:rsidRPr="00271E51">
        <w:rPr>
          <w:rStyle w:val="4f0"/>
          <w:rFonts w:ascii="Times New Roman" w:hAnsi="Times New Roman" w:cs="Times New Roman"/>
          <w:i w:val="0"/>
          <w:color w:val="000000" w:themeColor="text1"/>
          <w:sz w:val="16"/>
          <w:szCs w:val="16"/>
        </w:rPr>
        <w:t>Подчеркивалось, что: «</w:t>
      </w:r>
      <w:r w:rsidRPr="00271E51">
        <w:rPr>
          <w:rFonts w:ascii="Times New Roman" w:cs="Times New Roman"/>
          <w:color w:val="000000" w:themeColor="text1"/>
          <w:sz w:val="16"/>
          <w:szCs w:val="16"/>
        </w:rPr>
        <w:t>По своим летно-тактическим данным ТИС 2АМ-39, подходя близко к данным лучших одно</w:t>
      </w:r>
      <w:r w:rsidRPr="00271E51">
        <w:rPr>
          <w:rFonts w:ascii="Times New Roman" w:cs="Times New Roman"/>
          <w:color w:val="000000" w:themeColor="text1"/>
          <w:sz w:val="16"/>
          <w:szCs w:val="16"/>
        </w:rPr>
        <w:softHyphen/>
        <w:t xml:space="preserve">моторных истребителей, превосходит </w:t>
      </w:r>
      <w:r w:rsidRPr="00271E51">
        <w:rPr>
          <w:rStyle w:val="4f1"/>
          <w:rFonts w:ascii="Times New Roman" w:hAnsi="Times New Roman" w:cs="Times New Roman"/>
          <w:b w:val="0"/>
          <w:color w:val="000000" w:themeColor="text1"/>
          <w:sz w:val="16"/>
          <w:szCs w:val="16"/>
        </w:rPr>
        <w:t>их</w:t>
      </w:r>
      <w:r w:rsidRPr="00271E51">
        <w:rPr>
          <w:rFonts w:ascii="Times New Roman" w:cs="Times New Roman"/>
          <w:color w:val="000000" w:themeColor="text1"/>
          <w:sz w:val="16"/>
          <w:szCs w:val="16"/>
        </w:rPr>
        <w:t xml:space="preserve"> по мощности вооружения и дально</w:t>
      </w:r>
      <w:r w:rsidRPr="00271E51">
        <w:rPr>
          <w:rFonts w:ascii="Times New Roman" w:cs="Times New Roman"/>
          <w:color w:val="000000" w:themeColor="text1"/>
          <w:sz w:val="16"/>
          <w:szCs w:val="16"/>
        </w:rPr>
        <w:softHyphen/>
      </w:r>
      <w:r w:rsidRPr="00271E51">
        <w:rPr>
          <w:rStyle w:val="4f1"/>
          <w:rFonts w:ascii="Times New Roman" w:hAnsi="Times New Roman" w:cs="Times New Roman"/>
          <w:b w:val="0"/>
          <w:color w:val="000000" w:themeColor="text1"/>
          <w:sz w:val="16"/>
          <w:szCs w:val="16"/>
        </w:rPr>
        <w:t>сти</w:t>
      </w:r>
      <w:r w:rsidRPr="00271E51">
        <w:rPr>
          <w:rFonts w:ascii="Times New Roman" w:cs="Times New Roman"/>
          <w:color w:val="000000" w:themeColor="text1"/>
          <w:sz w:val="16"/>
          <w:szCs w:val="16"/>
        </w:rPr>
        <w:t xml:space="preserve"> полета».</w:t>
      </w:r>
    </w:p>
    <w:p w14:paraId="43E0CC24" w14:textId="77777777" w:rsidR="00FA1C3A" w:rsidRPr="00271E51" w:rsidRDefault="00FA1C3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Основным назначением самоле</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та</w:t>
      </w:r>
      <w:r w:rsidRPr="00271E51">
        <w:rPr>
          <w:rFonts w:ascii="Times New Roman" w:cs="Times New Roman"/>
          <w:color w:val="000000" w:themeColor="text1"/>
          <w:spacing w:val="0"/>
        </w:rPr>
        <w:t xml:space="preserve"> считалось ведение воздушного боя </w:t>
      </w:r>
      <w:r w:rsidRPr="00271E51">
        <w:rPr>
          <w:rStyle w:val="aff9"/>
          <w:rFonts w:ascii="Times New Roman" w:cs="Times New Roman"/>
          <w:b w:val="0"/>
          <w:color w:val="000000" w:themeColor="text1"/>
          <w:spacing w:val="0"/>
          <w:sz w:val="16"/>
          <w:szCs w:val="16"/>
        </w:rPr>
        <w:t>с легкими</w:t>
      </w:r>
      <w:r w:rsidRPr="00271E51">
        <w:rPr>
          <w:rFonts w:ascii="Times New Roman" w:cs="Times New Roman"/>
          <w:color w:val="000000" w:themeColor="text1"/>
          <w:spacing w:val="0"/>
        </w:rPr>
        <w:t xml:space="preserve"> и тяжелыми истребителями и бомбардировщиками, охрана и сопрово</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ждение</w:t>
      </w:r>
      <w:r w:rsidRPr="00271E51">
        <w:rPr>
          <w:rFonts w:ascii="Times New Roman" w:cs="Times New Roman"/>
          <w:color w:val="000000" w:themeColor="text1"/>
          <w:spacing w:val="0"/>
        </w:rPr>
        <w:t xml:space="preserve"> бомбардировщиков на дальние </w:t>
      </w:r>
      <w:r w:rsidRPr="00271E51">
        <w:rPr>
          <w:rStyle w:val="aff9"/>
          <w:rFonts w:ascii="Times New Roman" w:cs="Times New Roman"/>
          <w:b w:val="0"/>
          <w:color w:val="000000" w:themeColor="text1"/>
          <w:spacing w:val="0"/>
          <w:sz w:val="16"/>
          <w:szCs w:val="16"/>
        </w:rPr>
        <w:t>расстояния,</w:t>
      </w:r>
      <w:r w:rsidRPr="00271E51">
        <w:rPr>
          <w:rFonts w:ascii="Times New Roman" w:cs="Times New Roman"/>
          <w:color w:val="000000" w:themeColor="text1"/>
          <w:spacing w:val="0"/>
        </w:rPr>
        <w:t xml:space="preserve"> борьба с танками, мотори</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зованными</w:t>
      </w:r>
      <w:r w:rsidRPr="00271E51">
        <w:rPr>
          <w:rFonts w:ascii="Times New Roman" w:cs="Times New Roman"/>
          <w:color w:val="000000" w:themeColor="text1"/>
          <w:spacing w:val="0"/>
        </w:rPr>
        <w:t xml:space="preserve"> соединениями, а также под</w:t>
      </w:r>
      <w:r w:rsidRPr="00271E51">
        <w:rPr>
          <w:rFonts w:ascii="Times New Roman" w:cs="Times New Roman"/>
          <w:color w:val="000000" w:themeColor="text1"/>
          <w:spacing w:val="0"/>
        </w:rPr>
        <w:softHyphen/>
        <w:t>держка атак наземных войск. Самолет мог использоваться как ночной истреби</w:t>
      </w:r>
      <w:r w:rsidRPr="00271E51">
        <w:rPr>
          <w:rFonts w:ascii="Times New Roman" w:cs="Times New Roman"/>
          <w:color w:val="000000" w:themeColor="text1"/>
          <w:spacing w:val="0"/>
        </w:rPr>
        <w:softHyphen/>
        <w:t>тель. В перегрузку (с бомбами) самолет способен выполнять «задачи ближнего пикирующего бомбардировщика» (15758).</w:t>
      </w:r>
    </w:p>
    <w:p w14:paraId="22044D6F" w14:textId="77777777" w:rsidR="00FA1C3A" w:rsidRPr="00271E51" w:rsidRDefault="00FA1C3A" w:rsidP="00271E51">
      <w:pPr>
        <w:pStyle w:val="27"/>
        <w:shd w:val="clear" w:color="auto" w:fill="auto"/>
        <w:spacing w:after="0" w:line="240" w:lineRule="auto"/>
        <w:ind w:firstLine="0"/>
        <w:rPr>
          <w:rFonts w:ascii="Times New Roman" w:cs="Times New Roman"/>
          <w:color w:val="000000" w:themeColor="text1"/>
          <w:spacing w:val="0"/>
        </w:rPr>
      </w:pPr>
    </w:p>
    <w:p w14:paraId="1A1B5253" w14:textId="77777777" w:rsidR="00FA1C3A" w:rsidRPr="00271E51" w:rsidRDefault="00FA1C3A"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29 октября 1943 самолет ДИС-200 (ИТ) в свод</w:t>
      </w:r>
      <w:r w:rsidRPr="00271E51">
        <w:rPr>
          <w:rFonts w:ascii="Times New Roman" w:cs="Times New Roman"/>
          <w:color w:val="000000" w:themeColor="text1"/>
          <w:spacing w:val="0"/>
        </w:rPr>
        <w:softHyphen/>
        <w:t>ках НИИ ВВС по опытному строительст</w:t>
      </w:r>
      <w:r w:rsidRPr="00271E51">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271E51">
        <w:rPr>
          <w:rFonts w:ascii="Times New Roman" w:cs="Times New Roman"/>
          <w:color w:val="000000" w:themeColor="text1"/>
          <w:spacing w:val="0"/>
        </w:rPr>
        <w:softHyphen/>
        <w:t>соте 5000 м. Расчетная дальность по</w:t>
      </w:r>
      <w:r w:rsidRPr="00271E51">
        <w:rPr>
          <w:rFonts w:ascii="Times New Roman" w:cs="Times New Roman"/>
          <w:color w:val="000000" w:themeColor="text1"/>
          <w:spacing w:val="0"/>
        </w:rPr>
        <w:softHyphen/>
        <w:t>лета - 2500 км. Практический потолок - 9800 м (15755).</w:t>
      </w:r>
    </w:p>
    <w:p w14:paraId="2531FA11" w14:textId="77777777" w:rsidR="00FA1C3A" w:rsidRPr="00271E51" w:rsidRDefault="00FA1C3A" w:rsidP="00271E51">
      <w:pPr>
        <w:pStyle w:val="27"/>
        <w:shd w:val="clear" w:color="auto" w:fill="auto"/>
        <w:spacing w:after="0" w:line="240" w:lineRule="auto"/>
        <w:ind w:firstLine="0"/>
        <w:rPr>
          <w:rFonts w:ascii="Times New Roman" w:cs="Times New Roman"/>
          <w:color w:val="000000" w:themeColor="text1"/>
          <w:spacing w:val="0"/>
        </w:rPr>
      </w:pPr>
    </w:p>
    <w:p w14:paraId="095335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согласно журнала наблюдения за проектированием, постройкой и испытаниями высотного истребителя МиГ-1 высотный самолет закончен сборкой (991,9).</w:t>
      </w:r>
    </w:p>
    <w:p w14:paraId="583FA7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Было изготовлено 2 экз. с-та:</w:t>
      </w:r>
    </w:p>
    <w:p w14:paraId="1CFBA9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И-221 (изд. 2А) - о котором и идет речь, как о построенном</w:t>
      </w:r>
    </w:p>
    <w:p w14:paraId="7D9EBD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И-222 (изд. 3А), который отличается от изд. 2А:</w:t>
      </w:r>
    </w:p>
    <w:p w14:paraId="4DD491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установлена гермокабина и соответствующее оборудование,</w:t>
      </w:r>
    </w:p>
    <w:p w14:paraId="6EDFA6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установлен воздухо-воздушный радиатор вместо прессионного в системе 2 контура (991,10).</w:t>
      </w:r>
    </w:p>
    <w:p w14:paraId="15077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711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года А.И.Шахурин писал письмо Г.М.Маленкову.</w:t>
      </w:r>
    </w:p>
    <w:p w14:paraId="04CE4A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Вашему указанию о сравнении дальних бомбардировщиков "Либерейтор"В-24Д фирмы Консолидейтед и "ДБА" конструкции Болховитинова, докладываю:</w:t>
      </w:r>
    </w:p>
    <w:p w14:paraId="791E1F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имеют резко отличающиеся компоновочные схемы, конструкцию, габариты, винтомоторные группы и летно-тактические данные, хотя они и являются самолетами одного и того же назначения.</w:t>
      </w:r>
    </w:p>
    <w:p w14:paraId="13B1E9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"Либерейтор" - высокоплан, оборудован двухрядными звездообразными моторами воздушного охлаждения Пратт Уитни, имеет трехколесное шасси, двухкилевое оперение и крыло, значительно меньшей площади, чем самолет "ДБА".</w:t>
      </w:r>
    </w:p>
    <w:p w14:paraId="2B5F0D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"ДБА" представляет собой среднеплан, оборудован моторами жидкостного охлаждения АМ-34ФРН, снабжен нормальным двухколесным шасси и имеет однокилевое оперение расчаленной конструкции.</w:t>
      </w:r>
    </w:p>
    <w:p w14:paraId="78A278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самолеты сильно отличаются друг от друга по технологическим разъемам основных элементов конструкции, размещению и емкости бомбовых отсеков, а также по стрелковому вооружению.</w:t>
      </w:r>
    </w:p>
    <w:p w14:paraId="0BFF2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Отличия в компоновке, размерности и конструкции, соответственно отражаются и на летных данных самолетов.</w:t>
      </w:r>
    </w:p>
    <w:p w14:paraId="564CCC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повышенную удельную нагрузку на крыло и большую высотность винтомоторных групп, самолет "Либерейтор", примерно при том же полетном весе, что и "ДБА", обладает, в сравнении с ним, более высокими максимальной и посадочной скоростью, скороподъемностью и потолком.</w:t>
      </w:r>
    </w:p>
    <w:p w14:paraId="5B5D73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Прилагаю объяснительную записку и сравнительные таблицы и иллюстрациями, более подробно освещающие особенности самолетов "Либерейтор", "ДБА", а также самолета Пе-8.</w:t>
      </w:r>
    </w:p>
    <w:p w14:paraId="2B2EE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таблица</w:t>
      </w:r>
    </w:p>
    <w:p w14:paraId="40AF2A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летных данных самолетов Пе-8 с моторами М-82 и М-30, Либерейтор В-24Д и ДБА с моторами АМ-34ФРН и АМ-34ФРН с ТК.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44"/>
        <w:gridCol w:w="816"/>
        <w:gridCol w:w="850"/>
        <w:gridCol w:w="1480"/>
        <w:gridCol w:w="1129"/>
        <w:gridCol w:w="1173"/>
        <w:gridCol w:w="1463"/>
      </w:tblGrid>
      <w:tr w:rsidR="00A907A5" w:rsidRPr="00271E51" w14:paraId="700F11EA" w14:textId="77777777" w:rsidTr="00ED5B0A">
        <w:tc>
          <w:tcPr>
            <w:tcW w:w="2943" w:type="dxa"/>
          </w:tcPr>
          <w:p w14:paraId="1B0CE7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4" w:type="dxa"/>
          </w:tcPr>
          <w:p w14:paraId="5925C3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8CA9E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w:t>
            </w:r>
          </w:p>
        </w:tc>
        <w:tc>
          <w:tcPr>
            <w:tcW w:w="850" w:type="dxa"/>
          </w:tcPr>
          <w:p w14:paraId="303194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w:t>
            </w:r>
          </w:p>
        </w:tc>
        <w:tc>
          <w:tcPr>
            <w:tcW w:w="1480" w:type="dxa"/>
          </w:tcPr>
          <w:p w14:paraId="7910BC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Либерейтор</w:t>
            </w:r>
          </w:p>
        </w:tc>
        <w:tc>
          <w:tcPr>
            <w:tcW w:w="1129" w:type="dxa"/>
          </w:tcPr>
          <w:p w14:paraId="120F15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ДБ-А</w:t>
            </w:r>
          </w:p>
        </w:tc>
        <w:tc>
          <w:tcPr>
            <w:tcW w:w="1173" w:type="dxa"/>
          </w:tcPr>
          <w:p w14:paraId="67C29B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ДБ-А</w:t>
            </w:r>
          </w:p>
        </w:tc>
        <w:tc>
          <w:tcPr>
            <w:tcW w:w="1463" w:type="dxa"/>
          </w:tcPr>
          <w:p w14:paraId="2FD095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w:t>
            </w:r>
          </w:p>
        </w:tc>
      </w:tr>
      <w:tr w:rsidR="00A907A5" w:rsidRPr="00271E51" w14:paraId="0149EAB5" w14:textId="77777777" w:rsidTr="00ED5B0A">
        <w:tc>
          <w:tcPr>
            <w:tcW w:w="2943" w:type="dxa"/>
          </w:tcPr>
          <w:p w14:paraId="0D2F2C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4" w:type="dxa"/>
          </w:tcPr>
          <w:p w14:paraId="65C36E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56767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AF6C2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0" w:type="dxa"/>
          </w:tcPr>
          <w:p w14:paraId="2784C1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В-24Д</w:t>
            </w:r>
          </w:p>
        </w:tc>
        <w:tc>
          <w:tcPr>
            <w:tcW w:w="1129" w:type="dxa"/>
          </w:tcPr>
          <w:p w14:paraId="2B03BE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3" w:type="dxa"/>
          </w:tcPr>
          <w:p w14:paraId="49AA96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306081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2762AF" w14:textId="77777777" w:rsidTr="00ED5B0A">
        <w:tc>
          <w:tcPr>
            <w:tcW w:w="2943" w:type="dxa"/>
          </w:tcPr>
          <w:p w14:paraId="0BBDDF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мотора</w:t>
            </w:r>
          </w:p>
        </w:tc>
        <w:tc>
          <w:tcPr>
            <w:tcW w:w="744" w:type="dxa"/>
          </w:tcPr>
          <w:p w14:paraId="0E30F8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7BAD3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4М-82</w:t>
            </w:r>
          </w:p>
        </w:tc>
        <w:tc>
          <w:tcPr>
            <w:tcW w:w="850" w:type="dxa"/>
          </w:tcPr>
          <w:p w14:paraId="255D55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4М-30</w:t>
            </w:r>
          </w:p>
        </w:tc>
        <w:tc>
          <w:tcPr>
            <w:tcW w:w="1480" w:type="dxa"/>
          </w:tcPr>
          <w:p w14:paraId="08A50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Пратт Уитни</w:t>
            </w:r>
          </w:p>
        </w:tc>
        <w:tc>
          <w:tcPr>
            <w:tcW w:w="1129" w:type="dxa"/>
          </w:tcPr>
          <w:p w14:paraId="3E6153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4АМ-34ФРН</w:t>
            </w:r>
          </w:p>
        </w:tc>
        <w:tc>
          <w:tcPr>
            <w:tcW w:w="1173" w:type="dxa"/>
          </w:tcPr>
          <w:p w14:paraId="36BB03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4АМ-34</w:t>
            </w:r>
          </w:p>
        </w:tc>
        <w:tc>
          <w:tcPr>
            <w:tcW w:w="1463" w:type="dxa"/>
          </w:tcPr>
          <w:p w14:paraId="3F74DB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AC70D8" w14:textId="77777777" w:rsidTr="00ED5B0A">
        <w:tc>
          <w:tcPr>
            <w:tcW w:w="2943" w:type="dxa"/>
          </w:tcPr>
          <w:p w14:paraId="5F017F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4" w:type="dxa"/>
          </w:tcPr>
          <w:p w14:paraId="578FFB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9C11B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3B6F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0" w:type="dxa"/>
          </w:tcPr>
          <w:p w14:paraId="532D79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R1830-43 с ТК</w:t>
            </w:r>
          </w:p>
        </w:tc>
        <w:tc>
          <w:tcPr>
            <w:tcW w:w="1129" w:type="dxa"/>
          </w:tcPr>
          <w:p w14:paraId="12A61D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3" w:type="dxa"/>
          </w:tcPr>
          <w:p w14:paraId="09B8B0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ФРН с ТК</w:t>
            </w:r>
          </w:p>
        </w:tc>
        <w:tc>
          <w:tcPr>
            <w:tcW w:w="1463" w:type="dxa"/>
          </w:tcPr>
          <w:p w14:paraId="0D6AB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15C63C" w14:textId="77777777" w:rsidTr="00ED5B0A">
        <w:tc>
          <w:tcPr>
            <w:tcW w:w="2943" w:type="dxa"/>
          </w:tcPr>
          <w:p w14:paraId="3C71DD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w:t>
            </w:r>
          </w:p>
        </w:tc>
        <w:tc>
          <w:tcPr>
            <w:tcW w:w="744" w:type="dxa"/>
          </w:tcPr>
          <w:p w14:paraId="773DA3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л.с.</w:t>
            </w:r>
          </w:p>
        </w:tc>
        <w:tc>
          <w:tcPr>
            <w:tcW w:w="816" w:type="dxa"/>
          </w:tcPr>
          <w:p w14:paraId="12BBA4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4х1700</w:t>
            </w:r>
          </w:p>
        </w:tc>
        <w:tc>
          <w:tcPr>
            <w:tcW w:w="850" w:type="dxa"/>
          </w:tcPr>
          <w:p w14:paraId="4396CE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4х1500</w:t>
            </w:r>
          </w:p>
        </w:tc>
        <w:tc>
          <w:tcPr>
            <w:tcW w:w="1480" w:type="dxa"/>
          </w:tcPr>
          <w:p w14:paraId="0B8D66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4A9719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4х1200</w:t>
            </w:r>
          </w:p>
        </w:tc>
        <w:tc>
          <w:tcPr>
            <w:tcW w:w="1173" w:type="dxa"/>
          </w:tcPr>
          <w:p w14:paraId="21AA10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4х1200</w:t>
            </w:r>
          </w:p>
        </w:tc>
        <w:tc>
          <w:tcPr>
            <w:tcW w:w="1463" w:type="dxa"/>
          </w:tcPr>
          <w:p w14:paraId="1458F7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0F82EE" w14:textId="77777777" w:rsidTr="00ED5B0A">
        <w:tc>
          <w:tcPr>
            <w:tcW w:w="2943" w:type="dxa"/>
          </w:tcPr>
          <w:p w14:paraId="4262A8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Номинальная мощность на</w:t>
            </w:r>
          </w:p>
        </w:tc>
        <w:tc>
          <w:tcPr>
            <w:tcW w:w="744" w:type="dxa"/>
          </w:tcPr>
          <w:p w14:paraId="5DE3C2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л.с./м</w:t>
            </w:r>
          </w:p>
        </w:tc>
        <w:tc>
          <w:tcPr>
            <w:tcW w:w="816" w:type="dxa"/>
          </w:tcPr>
          <w:p w14:paraId="05A2BF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4х1330/</w:t>
            </w:r>
          </w:p>
        </w:tc>
        <w:tc>
          <w:tcPr>
            <w:tcW w:w="850" w:type="dxa"/>
          </w:tcPr>
          <w:p w14:paraId="4F9940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4х1250/</w:t>
            </w:r>
          </w:p>
        </w:tc>
        <w:tc>
          <w:tcPr>
            <w:tcW w:w="1480" w:type="dxa"/>
          </w:tcPr>
          <w:p w14:paraId="455423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4х1100/7625</w:t>
            </w:r>
          </w:p>
        </w:tc>
        <w:tc>
          <w:tcPr>
            <w:tcW w:w="1129" w:type="dxa"/>
          </w:tcPr>
          <w:p w14:paraId="47F0B3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4х1050/</w:t>
            </w:r>
          </w:p>
        </w:tc>
        <w:tc>
          <w:tcPr>
            <w:tcW w:w="1173" w:type="dxa"/>
          </w:tcPr>
          <w:p w14:paraId="781F08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59A640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787019" w14:textId="77777777" w:rsidTr="00ED5B0A">
        <w:tc>
          <w:tcPr>
            <w:tcW w:w="2943" w:type="dxa"/>
          </w:tcPr>
          <w:p w14:paraId="201EDB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расчетной высоте</w:t>
            </w:r>
          </w:p>
        </w:tc>
        <w:tc>
          <w:tcPr>
            <w:tcW w:w="744" w:type="dxa"/>
          </w:tcPr>
          <w:p w14:paraId="5ADB4F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A758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5400</w:t>
            </w:r>
          </w:p>
        </w:tc>
        <w:tc>
          <w:tcPr>
            <w:tcW w:w="850" w:type="dxa"/>
          </w:tcPr>
          <w:p w14:paraId="7A789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480" w:type="dxa"/>
          </w:tcPr>
          <w:p w14:paraId="7FC797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2718DE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c>
          <w:tcPr>
            <w:tcW w:w="1173" w:type="dxa"/>
          </w:tcPr>
          <w:p w14:paraId="002A69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76305D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643824" w14:textId="77777777" w:rsidTr="00ED5B0A">
        <w:tc>
          <w:tcPr>
            <w:tcW w:w="2943" w:type="dxa"/>
          </w:tcPr>
          <w:p w14:paraId="7F7153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744" w:type="dxa"/>
          </w:tcPr>
          <w:p w14:paraId="399F85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816" w:type="dxa"/>
          </w:tcPr>
          <w:p w14:paraId="37BFC6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36000</w:t>
            </w:r>
          </w:p>
        </w:tc>
        <w:tc>
          <w:tcPr>
            <w:tcW w:w="850" w:type="dxa"/>
          </w:tcPr>
          <w:p w14:paraId="533485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36000</w:t>
            </w:r>
          </w:p>
        </w:tc>
        <w:tc>
          <w:tcPr>
            <w:tcW w:w="1480" w:type="dxa"/>
          </w:tcPr>
          <w:p w14:paraId="20DF41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25400</w:t>
            </w:r>
          </w:p>
        </w:tc>
        <w:tc>
          <w:tcPr>
            <w:tcW w:w="1129" w:type="dxa"/>
          </w:tcPr>
          <w:p w14:paraId="2FEAE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27670</w:t>
            </w:r>
          </w:p>
        </w:tc>
        <w:tc>
          <w:tcPr>
            <w:tcW w:w="1173" w:type="dxa"/>
          </w:tcPr>
          <w:p w14:paraId="61417D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27670</w:t>
            </w:r>
          </w:p>
        </w:tc>
        <w:tc>
          <w:tcPr>
            <w:tcW w:w="1463" w:type="dxa"/>
          </w:tcPr>
          <w:p w14:paraId="286DE7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F24583" w14:textId="77777777" w:rsidTr="00ED5B0A">
        <w:tc>
          <w:tcPr>
            <w:tcW w:w="2943" w:type="dxa"/>
          </w:tcPr>
          <w:p w14:paraId="6ECA7B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w:t>
            </w:r>
          </w:p>
        </w:tc>
        <w:tc>
          <w:tcPr>
            <w:tcW w:w="744" w:type="dxa"/>
          </w:tcPr>
          <w:p w14:paraId="68ED96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 кв.</w:t>
            </w:r>
          </w:p>
        </w:tc>
        <w:tc>
          <w:tcPr>
            <w:tcW w:w="816" w:type="dxa"/>
          </w:tcPr>
          <w:p w14:paraId="7DB3BC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188,6</w:t>
            </w:r>
          </w:p>
        </w:tc>
        <w:tc>
          <w:tcPr>
            <w:tcW w:w="850" w:type="dxa"/>
          </w:tcPr>
          <w:p w14:paraId="7356AB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188,6</w:t>
            </w:r>
          </w:p>
        </w:tc>
        <w:tc>
          <w:tcPr>
            <w:tcW w:w="1480" w:type="dxa"/>
          </w:tcPr>
          <w:p w14:paraId="5F03BB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97,5</w:t>
            </w:r>
          </w:p>
        </w:tc>
        <w:tc>
          <w:tcPr>
            <w:tcW w:w="1129" w:type="dxa"/>
          </w:tcPr>
          <w:p w14:paraId="2D3065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w:t>
            </w:r>
          </w:p>
        </w:tc>
        <w:tc>
          <w:tcPr>
            <w:tcW w:w="1173" w:type="dxa"/>
          </w:tcPr>
          <w:p w14:paraId="34C2C7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w:t>
            </w:r>
          </w:p>
        </w:tc>
        <w:tc>
          <w:tcPr>
            <w:tcW w:w="1463" w:type="dxa"/>
          </w:tcPr>
          <w:p w14:paraId="2F6D7A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E6D4AF" w14:textId="77777777" w:rsidTr="00ED5B0A">
        <w:tc>
          <w:tcPr>
            <w:tcW w:w="2943" w:type="dxa"/>
          </w:tcPr>
          <w:p w14:paraId="0A6175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1 кв. м</w:t>
            </w:r>
          </w:p>
        </w:tc>
        <w:tc>
          <w:tcPr>
            <w:tcW w:w="744" w:type="dxa"/>
          </w:tcPr>
          <w:p w14:paraId="57D451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кг/кв. м</w:t>
            </w:r>
          </w:p>
        </w:tc>
        <w:tc>
          <w:tcPr>
            <w:tcW w:w="816" w:type="dxa"/>
          </w:tcPr>
          <w:p w14:paraId="0759F7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w:t>
            </w:r>
          </w:p>
        </w:tc>
        <w:tc>
          <w:tcPr>
            <w:tcW w:w="850" w:type="dxa"/>
          </w:tcPr>
          <w:p w14:paraId="21732A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w:t>
            </w:r>
          </w:p>
        </w:tc>
        <w:tc>
          <w:tcPr>
            <w:tcW w:w="1480" w:type="dxa"/>
          </w:tcPr>
          <w:p w14:paraId="5A31B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c>
          <w:tcPr>
            <w:tcW w:w="1129" w:type="dxa"/>
          </w:tcPr>
          <w:p w14:paraId="40EE34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1173" w:type="dxa"/>
          </w:tcPr>
          <w:p w14:paraId="0D4EEE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1463" w:type="dxa"/>
          </w:tcPr>
          <w:p w14:paraId="282BE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A3F113" w14:textId="77777777" w:rsidTr="00ED5B0A">
        <w:tc>
          <w:tcPr>
            <w:tcW w:w="2943" w:type="dxa"/>
          </w:tcPr>
          <w:p w14:paraId="507A02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л.с.</w:t>
            </w:r>
          </w:p>
        </w:tc>
        <w:tc>
          <w:tcPr>
            <w:tcW w:w="744" w:type="dxa"/>
          </w:tcPr>
          <w:p w14:paraId="73ADD4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кг/л.с.</w:t>
            </w:r>
          </w:p>
        </w:tc>
        <w:tc>
          <w:tcPr>
            <w:tcW w:w="816" w:type="dxa"/>
          </w:tcPr>
          <w:p w14:paraId="6EAC4E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6,75</w:t>
            </w:r>
          </w:p>
        </w:tc>
        <w:tc>
          <w:tcPr>
            <w:tcW w:w="850" w:type="dxa"/>
          </w:tcPr>
          <w:p w14:paraId="634336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w:t>
            </w:r>
          </w:p>
        </w:tc>
        <w:tc>
          <w:tcPr>
            <w:tcW w:w="1480" w:type="dxa"/>
          </w:tcPr>
          <w:p w14:paraId="249D4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1129" w:type="dxa"/>
          </w:tcPr>
          <w:p w14:paraId="41CBDD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1173" w:type="dxa"/>
          </w:tcPr>
          <w:p w14:paraId="4503EF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43069C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EBDA1A" w14:textId="77777777" w:rsidTr="00ED5B0A">
        <w:tc>
          <w:tcPr>
            <w:tcW w:w="2943" w:type="dxa"/>
          </w:tcPr>
          <w:p w14:paraId="7F6452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земли</w:t>
            </w:r>
          </w:p>
        </w:tc>
        <w:tc>
          <w:tcPr>
            <w:tcW w:w="744" w:type="dxa"/>
          </w:tcPr>
          <w:p w14:paraId="46CB2C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816" w:type="dxa"/>
          </w:tcPr>
          <w:p w14:paraId="7B8518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358</w:t>
            </w:r>
          </w:p>
        </w:tc>
        <w:tc>
          <w:tcPr>
            <w:tcW w:w="850" w:type="dxa"/>
          </w:tcPr>
          <w:p w14:paraId="3C1C81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359</w:t>
            </w:r>
          </w:p>
        </w:tc>
        <w:tc>
          <w:tcPr>
            <w:tcW w:w="1480" w:type="dxa"/>
          </w:tcPr>
          <w:p w14:paraId="2CA75C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393</w:t>
            </w:r>
          </w:p>
        </w:tc>
        <w:tc>
          <w:tcPr>
            <w:tcW w:w="1129" w:type="dxa"/>
          </w:tcPr>
          <w:p w14:paraId="2B8EE3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1173" w:type="dxa"/>
          </w:tcPr>
          <w:p w14:paraId="23C33A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w:t>
            </w:r>
          </w:p>
        </w:tc>
        <w:tc>
          <w:tcPr>
            <w:tcW w:w="1463" w:type="dxa"/>
          </w:tcPr>
          <w:p w14:paraId="139AAD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C7D8C7" w14:textId="77777777" w:rsidTr="00ED5B0A">
        <w:tc>
          <w:tcPr>
            <w:tcW w:w="2943" w:type="dxa"/>
          </w:tcPr>
          <w:p w14:paraId="061AF0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w:t>
            </w:r>
          </w:p>
        </w:tc>
        <w:tc>
          <w:tcPr>
            <w:tcW w:w="744" w:type="dxa"/>
          </w:tcPr>
          <w:p w14:paraId="527671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816" w:type="dxa"/>
          </w:tcPr>
          <w:p w14:paraId="24E8DC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405/</w:t>
            </w:r>
          </w:p>
        </w:tc>
        <w:tc>
          <w:tcPr>
            <w:tcW w:w="850" w:type="dxa"/>
          </w:tcPr>
          <w:p w14:paraId="144EA6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w:t>
            </w:r>
          </w:p>
        </w:tc>
        <w:tc>
          <w:tcPr>
            <w:tcW w:w="1480" w:type="dxa"/>
          </w:tcPr>
          <w:p w14:paraId="28595D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500/7250</w:t>
            </w:r>
          </w:p>
        </w:tc>
        <w:tc>
          <w:tcPr>
            <w:tcW w:w="1129" w:type="dxa"/>
          </w:tcPr>
          <w:p w14:paraId="07528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w:t>
            </w:r>
          </w:p>
        </w:tc>
        <w:tc>
          <w:tcPr>
            <w:tcW w:w="1173" w:type="dxa"/>
          </w:tcPr>
          <w:p w14:paraId="030C25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w:t>
            </w:r>
          </w:p>
        </w:tc>
        <w:tc>
          <w:tcPr>
            <w:tcW w:w="1463" w:type="dxa"/>
          </w:tcPr>
          <w:p w14:paraId="041103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BE2D76" w14:textId="77777777" w:rsidTr="00ED5B0A">
        <w:tc>
          <w:tcPr>
            <w:tcW w:w="2943" w:type="dxa"/>
          </w:tcPr>
          <w:p w14:paraId="5CD400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расчетной высоте</w:t>
            </w:r>
          </w:p>
        </w:tc>
        <w:tc>
          <w:tcPr>
            <w:tcW w:w="744" w:type="dxa"/>
          </w:tcPr>
          <w:p w14:paraId="4C19BF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816" w:type="dxa"/>
          </w:tcPr>
          <w:p w14:paraId="12E772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5700</w:t>
            </w:r>
          </w:p>
        </w:tc>
        <w:tc>
          <w:tcPr>
            <w:tcW w:w="850" w:type="dxa"/>
          </w:tcPr>
          <w:p w14:paraId="542642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480" w:type="dxa"/>
          </w:tcPr>
          <w:p w14:paraId="5ACEBC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48305A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c>
          <w:tcPr>
            <w:tcW w:w="1173" w:type="dxa"/>
          </w:tcPr>
          <w:p w14:paraId="02166A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1463" w:type="dxa"/>
          </w:tcPr>
          <w:p w14:paraId="30F694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9B3E61" w14:textId="77777777" w:rsidTr="00ED5B0A">
        <w:tc>
          <w:tcPr>
            <w:tcW w:w="2943" w:type="dxa"/>
          </w:tcPr>
          <w:p w14:paraId="60E2F5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w:t>
            </w:r>
          </w:p>
        </w:tc>
        <w:tc>
          <w:tcPr>
            <w:tcW w:w="744" w:type="dxa"/>
          </w:tcPr>
          <w:p w14:paraId="7DE7EC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816" w:type="dxa"/>
          </w:tcPr>
          <w:p w14:paraId="456F5A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tc>
        <w:tc>
          <w:tcPr>
            <w:tcW w:w="850" w:type="dxa"/>
          </w:tcPr>
          <w:p w14:paraId="5BEDD1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w:t>
            </w:r>
          </w:p>
        </w:tc>
        <w:tc>
          <w:tcPr>
            <w:tcW w:w="1480" w:type="dxa"/>
          </w:tcPr>
          <w:p w14:paraId="4D7FB9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w:t>
            </w:r>
          </w:p>
        </w:tc>
        <w:tc>
          <w:tcPr>
            <w:tcW w:w="1129" w:type="dxa"/>
          </w:tcPr>
          <w:p w14:paraId="37FCDF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80-85</w:t>
            </w:r>
          </w:p>
        </w:tc>
        <w:tc>
          <w:tcPr>
            <w:tcW w:w="1173" w:type="dxa"/>
          </w:tcPr>
          <w:p w14:paraId="7B27AB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80-85</w:t>
            </w:r>
          </w:p>
        </w:tc>
        <w:tc>
          <w:tcPr>
            <w:tcW w:w="1463" w:type="dxa"/>
          </w:tcPr>
          <w:p w14:paraId="3BF087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0623FD" w14:textId="77777777" w:rsidTr="00ED5B0A">
        <w:tc>
          <w:tcPr>
            <w:tcW w:w="2943" w:type="dxa"/>
          </w:tcPr>
          <w:p w14:paraId="7FB4DA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высоту 5000 м</w:t>
            </w:r>
          </w:p>
        </w:tc>
        <w:tc>
          <w:tcPr>
            <w:tcW w:w="744" w:type="dxa"/>
          </w:tcPr>
          <w:p w14:paraId="58282F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w:t>
            </w:r>
          </w:p>
        </w:tc>
        <w:tc>
          <w:tcPr>
            <w:tcW w:w="816" w:type="dxa"/>
          </w:tcPr>
          <w:p w14:paraId="18AFD5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tc>
        <w:tc>
          <w:tcPr>
            <w:tcW w:w="850" w:type="dxa"/>
          </w:tcPr>
          <w:p w14:paraId="2C9290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480" w:type="dxa"/>
          </w:tcPr>
          <w:p w14:paraId="0DCE52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tc>
        <w:tc>
          <w:tcPr>
            <w:tcW w:w="1129" w:type="dxa"/>
          </w:tcPr>
          <w:p w14:paraId="3F3540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173" w:type="dxa"/>
          </w:tcPr>
          <w:p w14:paraId="78EB04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1463" w:type="dxa"/>
          </w:tcPr>
          <w:p w14:paraId="6B0AA9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A67866" w14:textId="77777777" w:rsidTr="00ED5B0A">
        <w:tc>
          <w:tcPr>
            <w:tcW w:w="2943" w:type="dxa"/>
          </w:tcPr>
          <w:p w14:paraId="6D9F56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w:t>
            </w:r>
          </w:p>
        </w:tc>
        <w:tc>
          <w:tcPr>
            <w:tcW w:w="744" w:type="dxa"/>
          </w:tcPr>
          <w:p w14:paraId="14D12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816" w:type="dxa"/>
          </w:tcPr>
          <w:p w14:paraId="36E522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8100</w:t>
            </w:r>
          </w:p>
        </w:tc>
        <w:tc>
          <w:tcPr>
            <w:tcW w:w="850" w:type="dxa"/>
          </w:tcPr>
          <w:p w14:paraId="0F5FFF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w:t>
            </w:r>
          </w:p>
        </w:tc>
        <w:tc>
          <w:tcPr>
            <w:tcW w:w="1480" w:type="dxa"/>
          </w:tcPr>
          <w:p w14:paraId="70E3C8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1129" w:type="dxa"/>
          </w:tcPr>
          <w:p w14:paraId="6D80C6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7730</w:t>
            </w:r>
          </w:p>
        </w:tc>
        <w:tc>
          <w:tcPr>
            <w:tcW w:w="1173" w:type="dxa"/>
          </w:tcPr>
          <w:p w14:paraId="003B69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tc>
        <w:tc>
          <w:tcPr>
            <w:tcW w:w="1463" w:type="dxa"/>
          </w:tcPr>
          <w:p w14:paraId="024EC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63B34CE" w14:textId="77777777" w:rsidTr="00ED5B0A">
        <w:tc>
          <w:tcPr>
            <w:tcW w:w="2943" w:type="dxa"/>
          </w:tcPr>
          <w:p w14:paraId="4465B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744" w:type="dxa"/>
          </w:tcPr>
          <w:p w14:paraId="0C7790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w:t>
            </w:r>
          </w:p>
        </w:tc>
        <w:tc>
          <w:tcPr>
            <w:tcW w:w="816" w:type="dxa"/>
          </w:tcPr>
          <w:p w14:paraId="61F44A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4800</w:t>
            </w:r>
          </w:p>
        </w:tc>
        <w:tc>
          <w:tcPr>
            <w:tcW w:w="850" w:type="dxa"/>
          </w:tcPr>
          <w:p w14:paraId="73DCE9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5600</w:t>
            </w:r>
          </w:p>
        </w:tc>
        <w:tc>
          <w:tcPr>
            <w:tcW w:w="1480" w:type="dxa"/>
          </w:tcPr>
          <w:p w14:paraId="7D022A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1680</w:t>
            </w:r>
          </w:p>
        </w:tc>
        <w:tc>
          <w:tcPr>
            <w:tcW w:w="1129" w:type="dxa"/>
          </w:tcPr>
          <w:p w14:paraId="57253F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w:t>
            </w:r>
          </w:p>
        </w:tc>
        <w:tc>
          <w:tcPr>
            <w:tcW w:w="1173" w:type="dxa"/>
          </w:tcPr>
          <w:p w14:paraId="4B0F4F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2800*</w:t>
            </w:r>
          </w:p>
        </w:tc>
        <w:tc>
          <w:tcPr>
            <w:tcW w:w="1463" w:type="dxa"/>
          </w:tcPr>
          <w:p w14:paraId="25681D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w:t>
            </w:r>
          </w:p>
        </w:tc>
      </w:tr>
      <w:tr w:rsidR="00A907A5" w:rsidRPr="00271E51" w14:paraId="08194D67" w14:textId="77777777" w:rsidTr="00ED5B0A">
        <w:tc>
          <w:tcPr>
            <w:tcW w:w="2943" w:type="dxa"/>
          </w:tcPr>
          <w:p w14:paraId="486589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бомбовой нагрузке</w:t>
            </w:r>
          </w:p>
        </w:tc>
        <w:tc>
          <w:tcPr>
            <w:tcW w:w="744" w:type="dxa"/>
          </w:tcPr>
          <w:p w14:paraId="7A4FEC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816" w:type="dxa"/>
          </w:tcPr>
          <w:p w14:paraId="671E28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50" w:type="dxa"/>
          </w:tcPr>
          <w:p w14:paraId="0AF24E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1480" w:type="dxa"/>
          </w:tcPr>
          <w:p w14:paraId="0CBEA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3630</w:t>
            </w:r>
          </w:p>
        </w:tc>
        <w:tc>
          <w:tcPr>
            <w:tcW w:w="1129" w:type="dxa"/>
          </w:tcPr>
          <w:p w14:paraId="0A2A30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1173" w:type="dxa"/>
          </w:tcPr>
          <w:p w14:paraId="0F871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1463" w:type="dxa"/>
          </w:tcPr>
          <w:p w14:paraId="4D8526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расчетные</w:t>
            </w:r>
          </w:p>
        </w:tc>
      </w:tr>
      <w:tr w:rsidR="00A907A5" w:rsidRPr="00271E51" w14:paraId="0A6EA9EB" w14:textId="77777777" w:rsidTr="00ED5B0A">
        <w:tc>
          <w:tcPr>
            <w:tcW w:w="2943" w:type="dxa"/>
          </w:tcPr>
          <w:p w14:paraId="4DBB2E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бомбовая нагрузка</w:t>
            </w:r>
          </w:p>
        </w:tc>
        <w:tc>
          <w:tcPr>
            <w:tcW w:w="744" w:type="dxa"/>
          </w:tcPr>
          <w:p w14:paraId="20ED12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816" w:type="dxa"/>
          </w:tcPr>
          <w:p w14:paraId="41DA45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0" w:type="dxa"/>
          </w:tcPr>
          <w:p w14:paraId="6DB3C0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1480" w:type="dxa"/>
          </w:tcPr>
          <w:p w14:paraId="23FE2C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3630</w:t>
            </w:r>
          </w:p>
        </w:tc>
        <w:tc>
          <w:tcPr>
            <w:tcW w:w="1129" w:type="dxa"/>
          </w:tcPr>
          <w:p w14:paraId="68FB3F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1173" w:type="dxa"/>
          </w:tcPr>
          <w:p w14:paraId="09AF5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1463" w:type="dxa"/>
          </w:tcPr>
          <w:p w14:paraId="26BBB7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10B541" w14:textId="77777777" w:rsidTr="00ED5B0A">
        <w:tc>
          <w:tcPr>
            <w:tcW w:w="2943" w:type="dxa"/>
          </w:tcPr>
          <w:p w14:paraId="52793F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Стрелковое вооружение:</w:t>
            </w:r>
          </w:p>
        </w:tc>
        <w:tc>
          <w:tcPr>
            <w:tcW w:w="744" w:type="dxa"/>
          </w:tcPr>
          <w:p w14:paraId="1091E5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811EE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D47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0" w:type="dxa"/>
          </w:tcPr>
          <w:p w14:paraId="79AAC4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9" w:type="dxa"/>
          </w:tcPr>
          <w:p w14:paraId="27504E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73" w:type="dxa"/>
          </w:tcPr>
          <w:p w14:paraId="4EF363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6A366D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F71106" w14:textId="77777777" w:rsidTr="00ED5B0A">
        <w:tc>
          <w:tcPr>
            <w:tcW w:w="2943" w:type="dxa"/>
          </w:tcPr>
          <w:p w14:paraId="2D0663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кал. 20 мм</w:t>
            </w:r>
          </w:p>
        </w:tc>
        <w:tc>
          <w:tcPr>
            <w:tcW w:w="744" w:type="dxa"/>
          </w:tcPr>
          <w:p w14:paraId="6922B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4187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50" w:type="dxa"/>
          </w:tcPr>
          <w:p w14:paraId="68D5A3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480" w:type="dxa"/>
          </w:tcPr>
          <w:p w14:paraId="66F4DC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9" w:type="dxa"/>
          </w:tcPr>
          <w:p w14:paraId="5AC453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173" w:type="dxa"/>
          </w:tcPr>
          <w:p w14:paraId="38C4AC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463" w:type="dxa"/>
          </w:tcPr>
          <w:p w14:paraId="6C0DD6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2D282B" w14:textId="77777777" w:rsidTr="00ED5B0A">
        <w:tc>
          <w:tcPr>
            <w:tcW w:w="2943" w:type="dxa"/>
          </w:tcPr>
          <w:p w14:paraId="465512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боезапас</w:t>
            </w:r>
          </w:p>
        </w:tc>
        <w:tc>
          <w:tcPr>
            <w:tcW w:w="744" w:type="dxa"/>
          </w:tcPr>
          <w:p w14:paraId="48A76A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9A780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w:t>
            </w:r>
          </w:p>
        </w:tc>
        <w:tc>
          <w:tcPr>
            <w:tcW w:w="850" w:type="dxa"/>
          </w:tcPr>
          <w:p w14:paraId="09FC29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630</w:t>
            </w:r>
          </w:p>
        </w:tc>
        <w:tc>
          <w:tcPr>
            <w:tcW w:w="1480" w:type="dxa"/>
          </w:tcPr>
          <w:p w14:paraId="29C819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9" w:type="dxa"/>
          </w:tcPr>
          <w:p w14:paraId="7C92B0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1173" w:type="dxa"/>
          </w:tcPr>
          <w:p w14:paraId="227F8A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1463" w:type="dxa"/>
          </w:tcPr>
          <w:p w14:paraId="11EB33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24EA99" w14:textId="77777777" w:rsidTr="00ED5B0A">
        <w:tc>
          <w:tcPr>
            <w:tcW w:w="2943" w:type="dxa"/>
          </w:tcPr>
          <w:p w14:paraId="6A6A9D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 кал. 12,7 мм</w:t>
            </w:r>
          </w:p>
        </w:tc>
        <w:tc>
          <w:tcPr>
            <w:tcW w:w="744" w:type="dxa"/>
          </w:tcPr>
          <w:p w14:paraId="173504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7EC88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850" w:type="dxa"/>
          </w:tcPr>
          <w:p w14:paraId="78493B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480" w:type="dxa"/>
          </w:tcPr>
          <w:p w14:paraId="2C850F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1129" w:type="dxa"/>
          </w:tcPr>
          <w:p w14:paraId="07BD40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73" w:type="dxa"/>
          </w:tcPr>
          <w:p w14:paraId="025900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63" w:type="dxa"/>
          </w:tcPr>
          <w:p w14:paraId="2B63B5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63161D" w14:textId="77777777" w:rsidTr="00ED5B0A">
        <w:tc>
          <w:tcPr>
            <w:tcW w:w="2943" w:type="dxa"/>
          </w:tcPr>
          <w:p w14:paraId="4248AF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боезапас</w:t>
            </w:r>
          </w:p>
        </w:tc>
        <w:tc>
          <w:tcPr>
            <w:tcW w:w="744" w:type="dxa"/>
          </w:tcPr>
          <w:p w14:paraId="7978D3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B4512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850" w:type="dxa"/>
          </w:tcPr>
          <w:p w14:paraId="13F033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1480" w:type="dxa"/>
          </w:tcPr>
          <w:p w14:paraId="010598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w:t>
            </w:r>
          </w:p>
        </w:tc>
        <w:tc>
          <w:tcPr>
            <w:tcW w:w="1129" w:type="dxa"/>
          </w:tcPr>
          <w:p w14:paraId="4EA887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73" w:type="dxa"/>
          </w:tcPr>
          <w:p w14:paraId="32687D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3" w:type="dxa"/>
          </w:tcPr>
          <w:p w14:paraId="6DB254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7B3673" w14:textId="77777777" w:rsidTr="00ED5B0A">
        <w:tc>
          <w:tcPr>
            <w:tcW w:w="2943" w:type="dxa"/>
          </w:tcPr>
          <w:p w14:paraId="0D5455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пулеметы кал. 76.2 мм</w:t>
            </w:r>
          </w:p>
        </w:tc>
        <w:tc>
          <w:tcPr>
            <w:tcW w:w="744" w:type="dxa"/>
          </w:tcPr>
          <w:p w14:paraId="776DE3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DCF19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50" w:type="dxa"/>
          </w:tcPr>
          <w:p w14:paraId="1D103C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480" w:type="dxa"/>
          </w:tcPr>
          <w:p w14:paraId="12FD21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9" w:type="dxa"/>
          </w:tcPr>
          <w:p w14:paraId="13FB96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173" w:type="dxa"/>
          </w:tcPr>
          <w:p w14:paraId="35BFF2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463" w:type="dxa"/>
          </w:tcPr>
          <w:p w14:paraId="1FB9F1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9DE95F" w14:textId="77777777" w:rsidTr="00ED5B0A">
        <w:tc>
          <w:tcPr>
            <w:tcW w:w="2943" w:type="dxa"/>
          </w:tcPr>
          <w:p w14:paraId="00E4B7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боезапас</w:t>
            </w:r>
          </w:p>
        </w:tc>
        <w:tc>
          <w:tcPr>
            <w:tcW w:w="744" w:type="dxa"/>
          </w:tcPr>
          <w:p w14:paraId="615B3F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4A3E8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50" w:type="dxa"/>
          </w:tcPr>
          <w:p w14:paraId="1F19E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tc>
        <w:tc>
          <w:tcPr>
            <w:tcW w:w="1480" w:type="dxa"/>
          </w:tcPr>
          <w:p w14:paraId="3F3161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9" w:type="dxa"/>
          </w:tcPr>
          <w:p w14:paraId="6470A0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173" w:type="dxa"/>
          </w:tcPr>
          <w:p w14:paraId="4FD869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1463" w:type="dxa"/>
          </w:tcPr>
          <w:p w14:paraId="3C5128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50EA0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Отличительные особенности дальних четырехмоторных</w:t>
      </w:r>
    </w:p>
    <w:p w14:paraId="6D25AC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бомбардировщиков Либерейтор В-24Д фирмы Консолидейтед</w:t>
      </w:r>
    </w:p>
    <w:p w14:paraId="594B5C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ДБА конструкции Болховитинова.</w:t>
      </w:r>
    </w:p>
    <w:p w14:paraId="3B19CB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Либерейтор В-24Д и ДБА имеют резко отличающиеся компоновочные схемы, конструкцию, габариты, винтомоторные группы и летно-тактические данные, хотя они и являются самолетами одного и того же назначения. Основные различия указанных самолетов состоят в следующем:</w:t>
      </w:r>
    </w:p>
    <w:p w14:paraId="678ECD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компоновке и конструкции.</w:t>
      </w:r>
    </w:p>
    <w:p w14:paraId="6C6D4D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Либерейтор В-24Д имеет верхнее расположение крыла и винтомоторные группы с двухрядными звездообразными моторами воздушного охлаждения Пратт Уитни R-1830-43 с турбокомпрессорами.</w:t>
      </w:r>
    </w:p>
    <w:p w14:paraId="38330C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ДБА имеет среднее расположение крыла и моторы АМ-34 ФРН водяного охлаждения.</w:t>
      </w:r>
    </w:p>
    <w:p w14:paraId="196CA2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Либерейтор В-24Д имеет трехколесное шасси, главные колеса которого убираются в центроплан и переднее колесо - в носовую часть фюзеляжа; имеется также четвертое колесо в хвостовой части фюзеляжа, предусмотренное на случай опрокидывания самолета на хвост.</w:t>
      </w:r>
    </w:p>
    <w:p w14:paraId="77B5D8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ДБА имеет нормальное двухколесное шасси, убирающееся в гондолы внутренней пары моторов.</w:t>
      </w:r>
    </w:p>
    <w:p w14:paraId="1630DB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самолета Либерейтор разъемное и состоит из центроплана и двух консолей. Разъемы крыла находятся за наружными моторами. Все четыре мотора смонтированы на центроплане, имеющем большую длину по размаху крыла.</w:t>
      </w:r>
    </w:p>
    <w:p w14:paraId="6B6861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 самолета ДБА-короткий, разъем крыла проходит по оси внутреннего мотора и внешние моторы смонтированы на консолях. Внутренние моторы монтируются на самолете ДБА только при состыкованном крыле.</w:t>
      </w:r>
    </w:p>
    <w:p w14:paraId="1E723E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самолета Либерейтор В-24Д в 2,5 раза меньше площади крыла самолета ДБА и составляет:</w:t>
      </w:r>
    </w:p>
    <w:p w14:paraId="1FC81E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у самолета Либерейтор В-24Д - 97,5 кв. м</w:t>
      </w:r>
    </w:p>
    <w:p w14:paraId="5B51E8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самолета ДБА - 237 кв. м.</w:t>
      </w:r>
    </w:p>
    <w:p w14:paraId="7040FF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Резко отличающиеся площади крыльев, при близких полетных весах самолетов, соответственно отразились и на удельных нагрузках на крыло, составляющих:</w:t>
      </w:r>
    </w:p>
    <w:p w14:paraId="089DD4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самолета Либерейтор В-24Д - 237 кв. м</w:t>
      </w:r>
    </w:p>
    <w:p w14:paraId="29E0FE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самолета ДБА - 116 кв. м.</w:t>
      </w:r>
    </w:p>
    <w:p w14:paraId="379D3E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самолета ДБА оборудовано посадочными щитками Шренка, крыло же самолета Либерейтор В-24Д - закрылками Фаулера. Применение закрылков Фаулера, значительно снижающих посадочную скорость и применение трехколесного шасси, позволило принять на самолете В-24Д указанную выше высокую удельную нагрузку на крыло и сократить его площадь.</w:t>
      </w:r>
    </w:p>
    <w:p w14:paraId="267AFC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Вертикальное хвостовое оперение самолета Либерейтор В-24Д - разнесенное двухкилевое, со средним расположением килевых шайб по вертикали. Самолет же ДБА имеет однокилевое хвостовое оперение расчаленной конструкции.</w:t>
      </w:r>
    </w:p>
    <w:p w14:paraId="5728DE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По вооружению.</w:t>
      </w:r>
    </w:p>
    <w:p w14:paraId="55F56E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верхнему расположению крыла, бомбовая емкость внутренних подвесок в фюзеляже самолета Либерейтор В-24Д больше чем у самолета ДБА.</w:t>
      </w:r>
    </w:p>
    <w:p w14:paraId="43AFF5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Стрелковое вооружение на самолете Либерейтор В-24Д состоит из семи пулеметов, а на самолете ДБА из шести при чем на первом самолете установлены пулеметы калибра 12,7 мм, а на втором - пять пулеметов калибра 7,62 мм и одна точка предусматривалась под установку пушки калибра 20 мм.</w:t>
      </w:r>
    </w:p>
    <w:p w14:paraId="507A04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По летным данным.</w:t>
      </w:r>
    </w:p>
    <w:p w14:paraId="740E4A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указанных принципиальных различиях в конструкции и компоновке самолетов Либерейтор В-24Д и ДБА, а также благодаря разности в высотности их винтомоторных групп, эти самолеты имеют и резко отличающиеся летные данные. Так например: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81"/>
        <w:gridCol w:w="2339"/>
        <w:gridCol w:w="2126"/>
      </w:tblGrid>
      <w:tr w:rsidR="00A907A5" w:rsidRPr="00271E51" w14:paraId="372A235A" w14:textId="77777777" w:rsidTr="00ED5B0A">
        <w:tc>
          <w:tcPr>
            <w:tcW w:w="3652" w:type="dxa"/>
          </w:tcPr>
          <w:p w14:paraId="63596F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790AC1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2CBAA9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Либерейтор</w:t>
            </w:r>
          </w:p>
        </w:tc>
        <w:tc>
          <w:tcPr>
            <w:tcW w:w="2126" w:type="dxa"/>
          </w:tcPr>
          <w:p w14:paraId="100552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ДБА</w:t>
            </w:r>
          </w:p>
        </w:tc>
      </w:tr>
      <w:tr w:rsidR="00A907A5" w:rsidRPr="00271E51" w14:paraId="45E32DAB" w14:textId="77777777" w:rsidTr="00ED5B0A">
        <w:tc>
          <w:tcPr>
            <w:tcW w:w="3652" w:type="dxa"/>
          </w:tcPr>
          <w:p w14:paraId="669B10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65E74C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756E59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В-24Д</w:t>
            </w:r>
          </w:p>
        </w:tc>
        <w:tc>
          <w:tcPr>
            <w:tcW w:w="2126" w:type="dxa"/>
          </w:tcPr>
          <w:p w14:paraId="2568F0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CB8C41" w14:textId="77777777" w:rsidTr="00ED5B0A">
        <w:tc>
          <w:tcPr>
            <w:tcW w:w="3652" w:type="dxa"/>
          </w:tcPr>
          <w:p w14:paraId="375BD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481" w:type="dxa"/>
          </w:tcPr>
          <w:p w14:paraId="5A6B05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2339" w:type="dxa"/>
          </w:tcPr>
          <w:p w14:paraId="56BF43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2126" w:type="dxa"/>
          </w:tcPr>
          <w:p w14:paraId="028DD9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w:t>
            </w:r>
          </w:p>
        </w:tc>
      </w:tr>
      <w:tr w:rsidR="00A907A5" w:rsidRPr="00271E51" w14:paraId="657230D4" w14:textId="77777777" w:rsidTr="00ED5B0A">
        <w:tc>
          <w:tcPr>
            <w:tcW w:w="3652" w:type="dxa"/>
          </w:tcPr>
          <w:p w14:paraId="19D061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расчетной высоте</w:t>
            </w:r>
          </w:p>
        </w:tc>
        <w:tc>
          <w:tcPr>
            <w:tcW w:w="2481" w:type="dxa"/>
          </w:tcPr>
          <w:p w14:paraId="6A3DF0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6543DD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78C89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7F0F1A" w14:textId="77777777" w:rsidTr="00ED5B0A">
        <w:tc>
          <w:tcPr>
            <w:tcW w:w="3652" w:type="dxa"/>
          </w:tcPr>
          <w:p w14:paraId="68C819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w:t>
            </w:r>
          </w:p>
        </w:tc>
        <w:tc>
          <w:tcPr>
            <w:tcW w:w="2481" w:type="dxa"/>
          </w:tcPr>
          <w:p w14:paraId="5F9826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км/час</w:t>
            </w:r>
          </w:p>
        </w:tc>
        <w:tc>
          <w:tcPr>
            <w:tcW w:w="2339" w:type="dxa"/>
          </w:tcPr>
          <w:p w14:paraId="6AFA1D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w:t>
            </w:r>
          </w:p>
        </w:tc>
        <w:tc>
          <w:tcPr>
            <w:tcW w:w="2126" w:type="dxa"/>
          </w:tcPr>
          <w:p w14:paraId="184FFB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80-85</w:t>
            </w:r>
          </w:p>
        </w:tc>
      </w:tr>
      <w:tr w:rsidR="00A907A5" w:rsidRPr="00271E51" w14:paraId="665AD3F8" w14:textId="77777777" w:rsidTr="00ED5B0A">
        <w:tc>
          <w:tcPr>
            <w:tcW w:w="3652" w:type="dxa"/>
          </w:tcPr>
          <w:p w14:paraId="587337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w:t>
            </w:r>
          </w:p>
        </w:tc>
        <w:tc>
          <w:tcPr>
            <w:tcW w:w="2481" w:type="dxa"/>
          </w:tcPr>
          <w:p w14:paraId="573482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w:t>
            </w:r>
          </w:p>
        </w:tc>
        <w:tc>
          <w:tcPr>
            <w:tcW w:w="2339" w:type="dxa"/>
          </w:tcPr>
          <w:p w14:paraId="147EF2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w:t>
            </w:r>
          </w:p>
        </w:tc>
        <w:tc>
          <w:tcPr>
            <w:tcW w:w="2126" w:type="dxa"/>
          </w:tcPr>
          <w:p w14:paraId="653CBE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7730</w:t>
            </w:r>
          </w:p>
        </w:tc>
      </w:tr>
      <w:tr w:rsidR="00A907A5" w:rsidRPr="00271E51" w14:paraId="66812220" w14:textId="77777777" w:rsidTr="00ED5B0A">
        <w:tc>
          <w:tcPr>
            <w:tcW w:w="3652" w:type="dxa"/>
          </w:tcPr>
          <w:p w14:paraId="4582B8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2481" w:type="dxa"/>
          </w:tcPr>
          <w:p w14:paraId="42EF8C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км</w:t>
            </w:r>
          </w:p>
        </w:tc>
        <w:tc>
          <w:tcPr>
            <w:tcW w:w="2339" w:type="dxa"/>
          </w:tcPr>
          <w:p w14:paraId="7AFF7D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1680</w:t>
            </w:r>
          </w:p>
        </w:tc>
        <w:tc>
          <w:tcPr>
            <w:tcW w:w="2126" w:type="dxa"/>
          </w:tcPr>
          <w:p w14:paraId="36834F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w:t>
            </w:r>
          </w:p>
        </w:tc>
      </w:tr>
      <w:tr w:rsidR="00A907A5" w:rsidRPr="00271E51" w14:paraId="09711004" w14:textId="77777777" w:rsidTr="00ED5B0A">
        <w:tc>
          <w:tcPr>
            <w:tcW w:w="3652" w:type="dxa"/>
          </w:tcPr>
          <w:p w14:paraId="030708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бомбовой нагрузке</w:t>
            </w:r>
          </w:p>
        </w:tc>
        <w:tc>
          <w:tcPr>
            <w:tcW w:w="2481" w:type="dxa"/>
          </w:tcPr>
          <w:p w14:paraId="3FF059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кг</w:t>
            </w:r>
          </w:p>
        </w:tc>
        <w:tc>
          <w:tcPr>
            <w:tcW w:w="2339" w:type="dxa"/>
          </w:tcPr>
          <w:p w14:paraId="02A584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3630</w:t>
            </w:r>
          </w:p>
        </w:tc>
        <w:tc>
          <w:tcPr>
            <w:tcW w:w="2126" w:type="dxa"/>
          </w:tcPr>
          <w:p w14:paraId="22D611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r>
      <w:tr w:rsidR="00A907A5" w:rsidRPr="00271E51" w14:paraId="3963DFDC" w14:textId="77777777" w:rsidTr="00ED5B0A">
        <w:tc>
          <w:tcPr>
            <w:tcW w:w="3652" w:type="dxa"/>
          </w:tcPr>
          <w:p w14:paraId="51801E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Консолидейтед В24Д "Либерейтор".</w:t>
            </w:r>
          </w:p>
        </w:tc>
        <w:tc>
          <w:tcPr>
            <w:tcW w:w="2481" w:type="dxa"/>
          </w:tcPr>
          <w:p w14:paraId="3B27A5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7AF2E7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39941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2EF04C" w14:textId="77777777" w:rsidTr="00ED5B0A">
        <w:tc>
          <w:tcPr>
            <w:tcW w:w="3652" w:type="dxa"/>
          </w:tcPr>
          <w:p w14:paraId="478FCB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w:t>
            </w:r>
          </w:p>
        </w:tc>
        <w:tc>
          <w:tcPr>
            <w:tcW w:w="2481" w:type="dxa"/>
          </w:tcPr>
          <w:p w14:paraId="726F3F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30D835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17951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D0852C" w14:textId="77777777" w:rsidTr="00ED5B0A">
        <w:tc>
          <w:tcPr>
            <w:tcW w:w="3652" w:type="dxa"/>
          </w:tcPr>
          <w:p w14:paraId="61C56A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Назначение</w:t>
            </w:r>
          </w:p>
        </w:tc>
        <w:tc>
          <w:tcPr>
            <w:tcW w:w="2481" w:type="dxa"/>
          </w:tcPr>
          <w:p w14:paraId="6D9D2B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 бомбардировщик</w:t>
            </w:r>
          </w:p>
        </w:tc>
        <w:tc>
          <w:tcPr>
            <w:tcW w:w="2339" w:type="dxa"/>
          </w:tcPr>
          <w:p w14:paraId="418B7F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F97EF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DE0CDD" w14:textId="77777777" w:rsidTr="00ED5B0A">
        <w:tc>
          <w:tcPr>
            <w:tcW w:w="3652" w:type="dxa"/>
          </w:tcPr>
          <w:p w14:paraId="3491BD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w:t>
            </w:r>
          </w:p>
        </w:tc>
        <w:tc>
          <w:tcPr>
            <w:tcW w:w="2481" w:type="dxa"/>
          </w:tcPr>
          <w:p w14:paraId="562873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68D52A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Пратт Уитни R-1830-43 с Т.К.</w:t>
            </w:r>
          </w:p>
        </w:tc>
        <w:tc>
          <w:tcPr>
            <w:tcW w:w="2126" w:type="dxa"/>
          </w:tcPr>
          <w:p w14:paraId="54DE93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7F0DC8" w14:textId="77777777" w:rsidTr="00ED5B0A">
        <w:tc>
          <w:tcPr>
            <w:tcW w:w="3652" w:type="dxa"/>
          </w:tcPr>
          <w:p w14:paraId="56A080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2481" w:type="dxa"/>
          </w:tcPr>
          <w:p w14:paraId="667674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696016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 км/час</w:t>
            </w:r>
          </w:p>
        </w:tc>
        <w:tc>
          <w:tcPr>
            <w:tcW w:w="2126" w:type="dxa"/>
          </w:tcPr>
          <w:p w14:paraId="26531C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DD468C" w14:textId="77777777" w:rsidTr="00ED5B0A">
        <w:tc>
          <w:tcPr>
            <w:tcW w:w="3652" w:type="dxa"/>
          </w:tcPr>
          <w:p w14:paraId="6E4086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7250 м</w:t>
            </w:r>
          </w:p>
        </w:tc>
        <w:tc>
          <w:tcPr>
            <w:tcW w:w="2481" w:type="dxa"/>
          </w:tcPr>
          <w:p w14:paraId="3C7C61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0AA55D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09DF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57151B" w14:textId="77777777" w:rsidTr="00ED5B0A">
        <w:tc>
          <w:tcPr>
            <w:tcW w:w="3652" w:type="dxa"/>
          </w:tcPr>
          <w:p w14:paraId="51E843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w:t>
            </w:r>
          </w:p>
        </w:tc>
        <w:tc>
          <w:tcPr>
            <w:tcW w:w="2481" w:type="dxa"/>
          </w:tcPr>
          <w:p w14:paraId="56847C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33A91A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мин.</w:t>
            </w:r>
          </w:p>
        </w:tc>
        <w:tc>
          <w:tcPr>
            <w:tcW w:w="2126" w:type="dxa"/>
          </w:tcPr>
          <w:p w14:paraId="796CB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AAC229" w14:textId="77777777" w:rsidTr="00ED5B0A">
        <w:tc>
          <w:tcPr>
            <w:tcW w:w="3652" w:type="dxa"/>
          </w:tcPr>
          <w:p w14:paraId="59D19A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высоту 5000 м</w:t>
            </w:r>
          </w:p>
        </w:tc>
        <w:tc>
          <w:tcPr>
            <w:tcW w:w="2481" w:type="dxa"/>
          </w:tcPr>
          <w:p w14:paraId="5912BE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3F1D5E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CA01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3D4F57" w14:textId="77777777" w:rsidTr="00ED5B0A">
        <w:tc>
          <w:tcPr>
            <w:tcW w:w="3652" w:type="dxa"/>
          </w:tcPr>
          <w:p w14:paraId="15E778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w:t>
            </w:r>
          </w:p>
        </w:tc>
        <w:tc>
          <w:tcPr>
            <w:tcW w:w="2481" w:type="dxa"/>
          </w:tcPr>
          <w:p w14:paraId="6C0136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059913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1680 км</w:t>
            </w:r>
          </w:p>
        </w:tc>
        <w:tc>
          <w:tcPr>
            <w:tcW w:w="2126" w:type="dxa"/>
          </w:tcPr>
          <w:p w14:paraId="5C7BE6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0F066B" w14:textId="77777777" w:rsidTr="00ED5B0A">
        <w:tc>
          <w:tcPr>
            <w:tcW w:w="3652" w:type="dxa"/>
          </w:tcPr>
          <w:p w14:paraId="03197C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нагрузкой 3630 кг</w:t>
            </w:r>
          </w:p>
        </w:tc>
        <w:tc>
          <w:tcPr>
            <w:tcW w:w="2481" w:type="dxa"/>
          </w:tcPr>
          <w:p w14:paraId="03CAD1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16E0B8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07EC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21294C" w14:textId="77777777" w:rsidTr="00ED5B0A">
        <w:tc>
          <w:tcPr>
            <w:tcW w:w="3652" w:type="dxa"/>
          </w:tcPr>
          <w:p w14:paraId="107612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2481" w:type="dxa"/>
          </w:tcPr>
          <w:p w14:paraId="1CA285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21E1E5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25400 кг</w:t>
            </w:r>
          </w:p>
        </w:tc>
        <w:tc>
          <w:tcPr>
            <w:tcW w:w="2126" w:type="dxa"/>
          </w:tcPr>
          <w:p w14:paraId="7235B3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946950" w14:textId="77777777" w:rsidTr="00ED5B0A">
        <w:tc>
          <w:tcPr>
            <w:tcW w:w="3652" w:type="dxa"/>
          </w:tcPr>
          <w:p w14:paraId="403A0C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w:t>
            </w:r>
          </w:p>
        </w:tc>
        <w:tc>
          <w:tcPr>
            <w:tcW w:w="2481" w:type="dxa"/>
          </w:tcPr>
          <w:p w14:paraId="0E0C8C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127E5F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4х1200 л.с.</w:t>
            </w:r>
          </w:p>
        </w:tc>
        <w:tc>
          <w:tcPr>
            <w:tcW w:w="2126" w:type="dxa"/>
          </w:tcPr>
          <w:p w14:paraId="152885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E065E9" w14:textId="77777777" w:rsidTr="00ED5B0A">
        <w:tc>
          <w:tcPr>
            <w:tcW w:w="3652" w:type="dxa"/>
          </w:tcPr>
          <w:p w14:paraId="2E9908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на расчетной</w:t>
            </w:r>
          </w:p>
        </w:tc>
        <w:tc>
          <w:tcPr>
            <w:tcW w:w="2481" w:type="dxa"/>
          </w:tcPr>
          <w:p w14:paraId="3FE4A8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4233F3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4х1100 л.с./7625 м</w:t>
            </w:r>
          </w:p>
        </w:tc>
        <w:tc>
          <w:tcPr>
            <w:tcW w:w="2126" w:type="dxa"/>
          </w:tcPr>
          <w:p w14:paraId="5E23F0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F1DFDC" w14:textId="77777777" w:rsidTr="00ED5B0A">
        <w:tc>
          <w:tcPr>
            <w:tcW w:w="3652" w:type="dxa"/>
          </w:tcPr>
          <w:p w14:paraId="72B273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высоте</w:t>
            </w:r>
          </w:p>
        </w:tc>
        <w:tc>
          <w:tcPr>
            <w:tcW w:w="2481" w:type="dxa"/>
          </w:tcPr>
          <w:p w14:paraId="42FBAB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39" w:type="dxa"/>
          </w:tcPr>
          <w:p w14:paraId="4BF2E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1B500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DBC5DA" w14:textId="77777777" w:rsidTr="00ED5B0A">
        <w:tc>
          <w:tcPr>
            <w:tcW w:w="3652" w:type="dxa"/>
          </w:tcPr>
          <w:p w14:paraId="7525F1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2481" w:type="dxa"/>
          </w:tcPr>
          <w:p w14:paraId="4BB2BC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расположен.</w:t>
            </w:r>
          </w:p>
        </w:tc>
        <w:tc>
          <w:tcPr>
            <w:tcW w:w="2339" w:type="dxa"/>
          </w:tcPr>
          <w:p w14:paraId="22FED0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w:t>
            </w:r>
          </w:p>
        </w:tc>
        <w:tc>
          <w:tcPr>
            <w:tcW w:w="2126" w:type="dxa"/>
          </w:tcPr>
          <w:p w14:paraId="24A339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w:t>
            </w:r>
          </w:p>
        </w:tc>
      </w:tr>
      <w:tr w:rsidR="00A907A5" w:rsidRPr="00271E51" w14:paraId="322A2FD9" w14:textId="77777777" w:rsidTr="00ED5B0A">
        <w:tc>
          <w:tcPr>
            <w:tcW w:w="3652" w:type="dxa"/>
          </w:tcPr>
          <w:p w14:paraId="1E4210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678812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c>
          <w:tcPr>
            <w:tcW w:w="2339" w:type="dxa"/>
          </w:tcPr>
          <w:p w14:paraId="6A2C20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EF73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r>
      <w:tr w:rsidR="00A907A5" w:rsidRPr="00271E51" w14:paraId="39A5B951" w14:textId="77777777" w:rsidTr="00ED5B0A">
        <w:tc>
          <w:tcPr>
            <w:tcW w:w="3652" w:type="dxa"/>
          </w:tcPr>
          <w:p w14:paraId="177A68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4E1A34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носу ф-жа</w:t>
            </w:r>
          </w:p>
        </w:tc>
        <w:tc>
          <w:tcPr>
            <w:tcW w:w="2339" w:type="dxa"/>
          </w:tcPr>
          <w:p w14:paraId="5E4FCD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2126" w:type="dxa"/>
          </w:tcPr>
          <w:p w14:paraId="368F7C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w:t>
            </w:r>
          </w:p>
        </w:tc>
      </w:tr>
      <w:tr w:rsidR="00A907A5" w:rsidRPr="00271E51" w14:paraId="08314E97" w14:textId="77777777" w:rsidTr="00ED5B0A">
        <w:tc>
          <w:tcPr>
            <w:tcW w:w="3652" w:type="dxa"/>
          </w:tcPr>
          <w:p w14:paraId="25C330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4C18D0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башня</w:t>
            </w:r>
          </w:p>
        </w:tc>
        <w:tc>
          <w:tcPr>
            <w:tcW w:w="2339" w:type="dxa"/>
          </w:tcPr>
          <w:p w14:paraId="6EF539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2126" w:type="dxa"/>
          </w:tcPr>
          <w:p w14:paraId="50A941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боезапас</w:t>
            </w:r>
          </w:p>
        </w:tc>
      </w:tr>
      <w:tr w:rsidR="00A907A5" w:rsidRPr="00271E51" w14:paraId="3CB25900" w14:textId="77777777" w:rsidTr="00ED5B0A">
        <w:tc>
          <w:tcPr>
            <w:tcW w:w="3652" w:type="dxa"/>
          </w:tcPr>
          <w:p w14:paraId="66A0B9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3EFAD6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нижняя башня</w:t>
            </w:r>
          </w:p>
        </w:tc>
        <w:tc>
          <w:tcPr>
            <w:tcW w:w="2339" w:type="dxa"/>
          </w:tcPr>
          <w:p w14:paraId="37FC0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2126" w:type="dxa"/>
          </w:tcPr>
          <w:p w14:paraId="59F590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3800 шт</w:t>
            </w:r>
          </w:p>
        </w:tc>
      </w:tr>
      <w:tr w:rsidR="00A907A5" w:rsidRPr="00271E51" w14:paraId="1D661CB1" w14:textId="77777777" w:rsidTr="00ED5B0A">
        <w:tc>
          <w:tcPr>
            <w:tcW w:w="3652" w:type="dxa"/>
          </w:tcPr>
          <w:p w14:paraId="210D1F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0F8619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хвост. башня</w:t>
            </w:r>
          </w:p>
        </w:tc>
        <w:tc>
          <w:tcPr>
            <w:tcW w:w="2339" w:type="dxa"/>
          </w:tcPr>
          <w:p w14:paraId="269C80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2126" w:type="dxa"/>
          </w:tcPr>
          <w:p w14:paraId="5D04D4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B1ED83" w14:textId="77777777" w:rsidTr="00ED5B0A">
        <w:tc>
          <w:tcPr>
            <w:tcW w:w="3652" w:type="dxa"/>
          </w:tcPr>
          <w:p w14:paraId="71676A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81" w:type="dxa"/>
          </w:tcPr>
          <w:p w14:paraId="277EA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 3630 кг (макс.)</w:t>
            </w:r>
          </w:p>
        </w:tc>
        <w:tc>
          <w:tcPr>
            <w:tcW w:w="2339" w:type="dxa"/>
          </w:tcPr>
          <w:p w14:paraId="419AEB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4F2E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3F1AB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Главные особенности самолета.</w:t>
      </w:r>
    </w:p>
    <w:p w14:paraId="693C2A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Свободнонесущий моноплан цельнометаллической конструкции с верхним расположением крыла7 Моторы снабжены турбокомпрессорами. Для полетов на больших высотах предусмотрено кислородное питание членов экипажа. Трехколесное убирающееся шасси, двухкилевое разнесенное вертикальное оперение, мягкие баки для горючего.</w:t>
      </w:r>
    </w:p>
    <w:p w14:paraId="443A38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ДБА с моторами АМ-34 ФРН.</w:t>
      </w:r>
    </w:p>
    <w:p w14:paraId="088BAE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119"/>
        <w:gridCol w:w="693"/>
        <w:gridCol w:w="693"/>
        <w:gridCol w:w="2441"/>
      </w:tblGrid>
      <w:tr w:rsidR="00A907A5" w:rsidRPr="00271E51" w14:paraId="09BA55F7" w14:textId="77777777" w:rsidTr="00ED5B0A">
        <w:tc>
          <w:tcPr>
            <w:tcW w:w="3652" w:type="dxa"/>
          </w:tcPr>
          <w:p w14:paraId="71C4CF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Назначение</w:t>
            </w:r>
          </w:p>
        </w:tc>
        <w:tc>
          <w:tcPr>
            <w:tcW w:w="3119" w:type="dxa"/>
          </w:tcPr>
          <w:p w14:paraId="266A14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 бомбардировщик</w:t>
            </w:r>
          </w:p>
        </w:tc>
        <w:tc>
          <w:tcPr>
            <w:tcW w:w="693" w:type="dxa"/>
          </w:tcPr>
          <w:p w14:paraId="4EA495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B0D4B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680B04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B3D6F4" w14:textId="77777777" w:rsidTr="00ED5B0A">
        <w:tc>
          <w:tcPr>
            <w:tcW w:w="3652" w:type="dxa"/>
          </w:tcPr>
          <w:p w14:paraId="4C8095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w:t>
            </w:r>
          </w:p>
        </w:tc>
        <w:tc>
          <w:tcPr>
            <w:tcW w:w="3119" w:type="dxa"/>
          </w:tcPr>
          <w:p w14:paraId="7BFFFF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Ам-34 ФРН</w:t>
            </w:r>
          </w:p>
        </w:tc>
        <w:tc>
          <w:tcPr>
            <w:tcW w:w="693" w:type="dxa"/>
          </w:tcPr>
          <w:p w14:paraId="26E8F2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1BE96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1795D9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F5E2DA7" w14:textId="77777777" w:rsidTr="00ED5B0A">
        <w:tc>
          <w:tcPr>
            <w:tcW w:w="3652" w:type="dxa"/>
          </w:tcPr>
          <w:p w14:paraId="104A40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3119" w:type="dxa"/>
          </w:tcPr>
          <w:p w14:paraId="0BA03E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340 км/час</w:t>
            </w:r>
          </w:p>
        </w:tc>
        <w:tc>
          <w:tcPr>
            <w:tcW w:w="693" w:type="dxa"/>
          </w:tcPr>
          <w:p w14:paraId="1D8DBF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1EA4F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74F894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C791E1" w14:textId="77777777" w:rsidTr="00ED5B0A">
        <w:tc>
          <w:tcPr>
            <w:tcW w:w="3652" w:type="dxa"/>
          </w:tcPr>
          <w:p w14:paraId="5B0A5E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3500 м</w:t>
            </w:r>
          </w:p>
        </w:tc>
        <w:tc>
          <w:tcPr>
            <w:tcW w:w="3119" w:type="dxa"/>
          </w:tcPr>
          <w:p w14:paraId="37CD82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2183C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56CBD8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65391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54078D" w14:textId="77777777" w:rsidTr="00ED5B0A">
        <w:tc>
          <w:tcPr>
            <w:tcW w:w="3652" w:type="dxa"/>
          </w:tcPr>
          <w:p w14:paraId="353454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w:t>
            </w:r>
          </w:p>
        </w:tc>
        <w:tc>
          <w:tcPr>
            <w:tcW w:w="3119" w:type="dxa"/>
          </w:tcPr>
          <w:p w14:paraId="339BBF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мин.</w:t>
            </w:r>
          </w:p>
        </w:tc>
        <w:tc>
          <w:tcPr>
            <w:tcW w:w="693" w:type="dxa"/>
          </w:tcPr>
          <w:p w14:paraId="791025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B69DF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27BF70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6759C7" w14:textId="77777777" w:rsidTr="00ED5B0A">
        <w:tc>
          <w:tcPr>
            <w:tcW w:w="3652" w:type="dxa"/>
          </w:tcPr>
          <w:p w14:paraId="10B29B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высоту 5000 м</w:t>
            </w:r>
          </w:p>
        </w:tc>
        <w:tc>
          <w:tcPr>
            <w:tcW w:w="3119" w:type="dxa"/>
          </w:tcPr>
          <w:p w14:paraId="2F0CA0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26729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ABCE4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5B9753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1B705A" w14:textId="77777777" w:rsidTr="00ED5B0A">
        <w:tc>
          <w:tcPr>
            <w:tcW w:w="3652" w:type="dxa"/>
          </w:tcPr>
          <w:p w14:paraId="32EC0C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w:t>
            </w:r>
          </w:p>
        </w:tc>
        <w:tc>
          <w:tcPr>
            <w:tcW w:w="3119" w:type="dxa"/>
          </w:tcPr>
          <w:p w14:paraId="24A653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 км</w:t>
            </w:r>
          </w:p>
        </w:tc>
        <w:tc>
          <w:tcPr>
            <w:tcW w:w="693" w:type="dxa"/>
          </w:tcPr>
          <w:p w14:paraId="1BDE00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EB51F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7594F2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F63474" w14:textId="77777777" w:rsidTr="00ED5B0A">
        <w:tc>
          <w:tcPr>
            <w:tcW w:w="3652" w:type="dxa"/>
          </w:tcPr>
          <w:p w14:paraId="2DB21B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нагрузкой 3000 кг</w:t>
            </w:r>
          </w:p>
        </w:tc>
        <w:tc>
          <w:tcPr>
            <w:tcW w:w="3119" w:type="dxa"/>
          </w:tcPr>
          <w:p w14:paraId="24E7A2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655300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3C3568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67E9AF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4711E6" w14:textId="77777777" w:rsidTr="00ED5B0A">
        <w:tc>
          <w:tcPr>
            <w:tcW w:w="3652" w:type="dxa"/>
          </w:tcPr>
          <w:p w14:paraId="2246E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119" w:type="dxa"/>
          </w:tcPr>
          <w:p w14:paraId="15A6ED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27670 кг</w:t>
            </w:r>
          </w:p>
        </w:tc>
        <w:tc>
          <w:tcPr>
            <w:tcW w:w="693" w:type="dxa"/>
          </w:tcPr>
          <w:p w14:paraId="3FFDDF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097B33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566D40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49CB0D" w14:textId="77777777" w:rsidTr="00ED5B0A">
        <w:tc>
          <w:tcPr>
            <w:tcW w:w="3652" w:type="dxa"/>
          </w:tcPr>
          <w:p w14:paraId="198669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w:t>
            </w:r>
          </w:p>
        </w:tc>
        <w:tc>
          <w:tcPr>
            <w:tcW w:w="3119" w:type="dxa"/>
          </w:tcPr>
          <w:p w14:paraId="549AFD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4х1220 л.с.</w:t>
            </w:r>
          </w:p>
        </w:tc>
        <w:tc>
          <w:tcPr>
            <w:tcW w:w="693" w:type="dxa"/>
          </w:tcPr>
          <w:p w14:paraId="59026F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D6A14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799676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BE9251" w14:textId="77777777" w:rsidTr="00ED5B0A">
        <w:tc>
          <w:tcPr>
            <w:tcW w:w="3652" w:type="dxa"/>
          </w:tcPr>
          <w:p w14:paraId="55FF86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на расчетной</w:t>
            </w:r>
          </w:p>
        </w:tc>
        <w:tc>
          <w:tcPr>
            <w:tcW w:w="3119" w:type="dxa"/>
          </w:tcPr>
          <w:p w14:paraId="46C52E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4х1050 л.с./3500 м</w:t>
            </w:r>
          </w:p>
        </w:tc>
        <w:tc>
          <w:tcPr>
            <w:tcW w:w="693" w:type="dxa"/>
          </w:tcPr>
          <w:p w14:paraId="1597D5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7CD446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769DED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A1707D" w14:textId="77777777" w:rsidTr="00ED5B0A">
        <w:tc>
          <w:tcPr>
            <w:tcW w:w="3652" w:type="dxa"/>
          </w:tcPr>
          <w:p w14:paraId="60FFFD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3119" w:type="dxa"/>
          </w:tcPr>
          <w:p w14:paraId="57B95D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расположение</w:t>
            </w:r>
          </w:p>
        </w:tc>
        <w:tc>
          <w:tcPr>
            <w:tcW w:w="693" w:type="dxa"/>
          </w:tcPr>
          <w:p w14:paraId="7D4B57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w:t>
            </w:r>
          </w:p>
        </w:tc>
        <w:tc>
          <w:tcPr>
            <w:tcW w:w="693" w:type="dxa"/>
          </w:tcPr>
          <w:p w14:paraId="4E5706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w:t>
            </w:r>
          </w:p>
        </w:tc>
        <w:tc>
          <w:tcPr>
            <w:tcW w:w="2441" w:type="dxa"/>
          </w:tcPr>
          <w:p w14:paraId="7B9C9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w:t>
            </w:r>
          </w:p>
        </w:tc>
      </w:tr>
      <w:tr w:rsidR="00A907A5" w:rsidRPr="00271E51" w14:paraId="09FE6FC2" w14:textId="77777777" w:rsidTr="00ED5B0A">
        <w:tc>
          <w:tcPr>
            <w:tcW w:w="3652" w:type="dxa"/>
          </w:tcPr>
          <w:p w14:paraId="69653E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6C1605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23EA1E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c>
          <w:tcPr>
            <w:tcW w:w="693" w:type="dxa"/>
          </w:tcPr>
          <w:p w14:paraId="6794C3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(мм)</w:t>
            </w:r>
          </w:p>
        </w:tc>
        <w:tc>
          <w:tcPr>
            <w:tcW w:w="2441" w:type="dxa"/>
          </w:tcPr>
          <w:p w14:paraId="511411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r>
      <w:tr w:rsidR="00A907A5" w:rsidRPr="00271E51" w14:paraId="6962C06D" w14:textId="77777777" w:rsidTr="00ED5B0A">
        <w:tc>
          <w:tcPr>
            <w:tcW w:w="3652" w:type="dxa"/>
          </w:tcPr>
          <w:p w14:paraId="01120D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C9C4E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носу ф-жа</w:t>
            </w:r>
          </w:p>
        </w:tc>
        <w:tc>
          <w:tcPr>
            <w:tcW w:w="693" w:type="dxa"/>
          </w:tcPr>
          <w:p w14:paraId="036CFF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693" w:type="dxa"/>
          </w:tcPr>
          <w:p w14:paraId="078674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2441" w:type="dxa"/>
          </w:tcPr>
          <w:p w14:paraId="4C3D5E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r>
      <w:tr w:rsidR="00A907A5" w:rsidRPr="00271E51" w14:paraId="2E865C7F" w14:textId="77777777" w:rsidTr="00ED5B0A">
        <w:tc>
          <w:tcPr>
            <w:tcW w:w="3652" w:type="dxa"/>
          </w:tcPr>
          <w:p w14:paraId="0C7CF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3133BF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башня</w:t>
            </w:r>
          </w:p>
        </w:tc>
        <w:tc>
          <w:tcPr>
            <w:tcW w:w="693" w:type="dxa"/>
          </w:tcPr>
          <w:p w14:paraId="293D51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693" w:type="dxa"/>
          </w:tcPr>
          <w:p w14:paraId="307B8E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441" w:type="dxa"/>
          </w:tcPr>
          <w:p w14:paraId="0F258C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r>
      <w:tr w:rsidR="00A907A5" w:rsidRPr="00271E51" w14:paraId="6DDAEE52" w14:textId="77777777" w:rsidTr="00ED5B0A">
        <w:tc>
          <w:tcPr>
            <w:tcW w:w="3652" w:type="dxa"/>
          </w:tcPr>
          <w:p w14:paraId="73973B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0BC002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подкрыльная</w:t>
            </w:r>
          </w:p>
        </w:tc>
        <w:tc>
          <w:tcPr>
            <w:tcW w:w="693" w:type="dxa"/>
          </w:tcPr>
          <w:p w14:paraId="6021B1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693" w:type="dxa"/>
          </w:tcPr>
          <w:p w14:paraId="07B2AE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2441" w:type="dxa"/>
          </w:tcPr>
          <w:p w14:paraId="6CCC1F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r>
      <w:tr w:rsidR="00A907A5" w:rsidRPr="00271E51" w14:paraId="00D88F4F" w14:textId="77777777" w:rsidTr="00ED5B0A">
        <w:tc>
          <w:tcPr>
            <w:tcW w:w="3652" w:type="dxa"/>
          </w:tcPr>
          <w:p w14:paraId="02F5B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757D6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693" w:type="dxa"/>
          </w:tcPr>
          <w:p w14:paraId="6FBD1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443F91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55C4FA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9CD830" w14:textId="77777777" w:rsidTr="00ED5B0A">
        <w:tc>
          <w:tcPr>
            <w:tcW w:w="3652" w:type="dxa"/>
          </w:tcPr>
          <w:p w14:paraId="0EFE84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553A2B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задняя башня</w:t>
            </w:r>
          </w:p>
        </w:tc>
        <w:tc>
          <w:tcPr>
            <w:tcW w:w="693" w:type="dxa"/>
          </w:tcPr>
          <w:p w14:paraId="33B04A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693" w:type="dxa"/>
          </w:tcPr>
          <w:p w14:paraId="0D2906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2441" w:type="dxa"/>
          </w:tcPr>
          <w:p w14:paraId="79E559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7066BD75" w14:textId="77777777" w:rsidTr="00ED5B0A">
        <w:tc>
          <w:tcPr>
            <w:tcW w:w="3652" w:type="dxa"/>
          </w:tcPr>
          <w:p w14:paraId="121EAC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3DD1C5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 5000 кг бомб (макс.)</w:t>
            </w:r>
          </w:p>
        </w:tc>
        <w:tc>
          <w:tcPr>
            <w:tcW w:w="693" w:type="dxa"/>
          </w:tcPr>
          <w:p w14:paraId="33853E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3" w:type="dxa"/>
          </w:tcPr>
          <w:p w14:paraId="19AD9D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1" w:type="dxa"/>
          </w:tcPr>
          <w:p w14:paraId="348BC0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07F22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Главные особенности самолета.</w:t>
      </w:r>
    </w:p>
    <w:p w14:paraId="185579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Свободнонесущий моноплан металлической конструкции со средним расположением крыла. Однокилевое хвостовое оперение. Двухколесное шасси. Благодаря большой площади крыла самолет обладает небольшой посадочной скоростью.</w:t>
      </w:r>
    </w:p>
    <w:p w14:paraId="221329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 с авиадизелями М-30.</w:t>
      </w:r>
    </w:p>
    <w:p w14:paraId="541E36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119"/>
        <w:gridCol w:w="820"/>
        <w:gridCol w:w="820"/>
        <w:gridCol w:w="2045"/>
      </w:tblGrid>
      <w:tr w:rsidR="00A907A5" w:rsidRPr="00271E51" w14:paraId="6F87F3F8" w14:textId="77777777" w:rsidTr="00ED5B0A">
        <w:tc>
          <w:tcPr>
            <w:tcW w:w="3652" w:type="dxa"/>
          </w:tcPr>
          <w:p w14:paraId="2617E0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Назначение</w:t>
            </w:r>
          </w:p>
        </w:tc>
        <w:tc>
          <w:tcPr>
            <w:tcW w:w="3119" w:type="dxa"/>
          </w:tcPr>
          <w:p w14:paraId="7D0200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дальний бомбардировщик</w:t>
            </w:r>
          </w:p>
        </w:tc>
        <w:tc>
          <w:tcPr>
            <w:tcW w:w="820" w:type="dxa"/>
          </w:tcPr>
          <w:p w14:paraId="50D999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6D223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06A7D4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409CB6" w14:textId="77777777" w:rsidTr="00ED5B0A">
        <w:tc>
          <w:tcPr>
            <w:tcW w:w="3652" w:type="dxa"/>
          </w:tcPr>
          <w:p w14:paraId="4DA770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w:t>
            </w:r>
          </w:p>
        </w:tc>
        <w:tc>
          <w:tcPr>
            <w:tcW w:w="3119" w:type="dxa"/>
          </w:tcPr>
          <w:p w14:paraId="2B8724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w:t>
            </w:r>
          </w:p>
        </w:tc>
        <w:tc>
          <w:tcPr>
            <w:tcW w:w="820" w:type="dxa"/>
          </w:tcPr>
          <w:p w14:paraId="7A8569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6B211F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70B0C3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6943A2" w14:textId="77777777" w:rsidTr="00ED5B0A">
        <w:tc>
          <w:tcPr>
            <w:tcW w:w="3652" w:type="dxa"/>
          </w:tcPr>
          <w:p w14:paraId="71C8E0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w:t>
            </w:r>
          </w:p>
        </w:tc>
        <w:tc>
          <w:tcPr>
            <w:tcW w:w="3119" w:type="dxa"/>
          </w:tcPr>
          <w:p w14:paraId="424D64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 км/час</w:t>
            </w:r>
          </w:p>
        </w:tc>
        <w:tc>
          <w:tcPr>
            <w:tcW w:w="820" w:type="dxa"/>
          </w:tcPr>
          <w:p w14:paraId="2E1F3F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7FDC36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3E158A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894EAAD" w14:textId="77777777" w:rsidTr="00ED5B0A">
        <w:tc>
          <w:tcPr>
            <w:tcW w:w="3652" w:type="dxa"/>
          </w:tcPr>
          <w:p w14:paraId="70548C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6000 м</w:t>
            </w:r>
          </w:p>
        </w:tc>
        <w:tc>
          <w:tcPr>
            <w:tcW w:w="3119" w:type="dxa"/>
          </w:tcPr>
          <w:p w14:paraId="76A84E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1DD6F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16FFC2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6CE7ED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FCAA43" w14:textId="77777777" w:rsidTr="00ED5B0A">
        <w:tc>
          <w:tcPr>
            <w:tcW w:w="3652" w:type="dxa"/>
          </w:tcPr>
          <w:p w14:paraId="23FB9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w:t>
            </w:r>
          </w:p>
        </w:tc>
        <w:tc>
          <w:tcPr>
            <w:tcW w:w="3119" w:type="dxa"/>
          </w:tcPr>
          <w:p w14:paraId="068C67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мин.</w:t>
            </w:r>
          </w:p>
        </w:tc>
        <w:tc>
          <w:tcPr>
            <w:tcW w:w="820" w:type="dxa"/>
          </w:tcPr>
          <w:p w14:paraId="536A0C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267D0C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266782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320329" w14:textId="77777777" w:rsidTr="00ED5B0A">
        <w:tc>
          <w:tcPr>
            <w:tcW w:w="3652" w:type="dxa"/>
          </w:tcPr>
          <w:p w14:paraId="571CC4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высоту 5000 м</w:t>
            </w:r>
          </w:p>
        </w:tc>
        <w:tc>
          <w:tcPr>
            <w:tcW w:w="3119" w:type="dxa"/>
          </w:tcPr>
          <w:p w14:paraId="05A950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B76F8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2E2F66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6B74AD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BD79A9" w14:textId="77777777" w:rsidTr="00ED5B0A">
        <w:tc>
          <w:tcPr>
            <w:tcW w:w="3652" w:type="dxa"/>
          </w:tcPr>
          <w:p w14:paraId="77B024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с бомбовой</w:t>
            </w:r>
          </w:p>
        </w:tc>
        <w:tc>
          <w:tcPr>
            <w:tcW w:w="3119" w:type="dxa"/>
          </w:tcPr>
          <w:p w14:paraId="3B6686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5600 км</w:t>
            </w:r>
          </w:p>
        </w:tc>
        <w:tc>
          <w:tcPr>
            <w:tcW w:w="820" w:type="dxa"/>
          </w:tcPr>
          <w:p w14:paraId="6737B4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5F11F8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4F88F2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234DEB" w14:textId="77777777" w:rsidTr="00ED5B0A">
        <w:tc>
          <w:tcPr>
            <w:tcW w:w="3652" w:type="dxa"/>
          </w:tcPr>
          <w:p w14:paraId="26F11F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нагрузкой 3000 кг</w:t>
            </w:r>
          </w:p>
        </w:tc>
        <w:tc>
          <w:tcPr>
            <w:tcW w:w="3119" w:type="dxa"/>
          </w:tcPr>
          <w:p w14:paraId="0B53AE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244BD5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0C5A7F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06D91C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4B0A9B" w14:textId="77777777" w:rsidTr="00ED5B0A">
        <w:tc>
          <w:tcPr>
            <w:tcW w:w="3652" w:type="dxa"/>
          </w:tcPr>
          <w:p w14:paraId="2F711A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119" w:type="dxa"/>
          </w:tcPr>
          <w:p w14:paraId="21142F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36000 кг</w:t>
            </w:r>
          </w:p>
        </w:tc>
        <w:tc>
          <w:tcPr>
            <w:tcW w:w="820" w:type="dxa"/>
          </w:tcPr>
          <w:p w14:paraId="1E5F9B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54DAEA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6D70C5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29AE51" w14:textId="77777777" w:rsidTr="00ED5B0A">
        <w:tc>
          <w:tcPr>
            <w:tcW w:w="3652" w:type="dxa"/>
          </w:tcPr>
          <w:p w14:paraId="4BE289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 мощность</w:t>
            </w:r>
          </w:p>
        </w:tc>
        <w:tc>
          <w:tcPr>
            <w:tcW w:w="3119" w:type="dxa"/>
          </w:tcPr>
          <w:p w14:paraId="4CB5EF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4х1500 л.с.</w:t>
            </w:r>
          </w:p>
        </w:tc>
        <w:tc>
          <w:tcPr>
            <w:tcW w:w="820" w:type="dxa"/>
          </w:tcPr>
          <w:p w14:paraId="7AA170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1E5E80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2A7B8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81027B" w14:textId="77777777" w:rsidTr="00ED5B0A">
        <w:tc>
          <w:tcPr>
            <w:tcW w:w="3652" w:type="dxa"/>
          </w:tcPr>
          <w:p w14:paraId="3A1155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на</w:t>
            </w:r>
          </w:p>
        </w:tc>
        <w:tc>
          <w:tcPr>
            <w:tcW w:w="3119" w:type="dxa"/>
          </w:tcPr>
          <w:p w14:paraId="46018E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4х1250 л.с./6000 м</w:t>
            </w:r>
          </w:p>
        </w:tc>
        <w:tc>
          <w:tcPr>
            <w:tcW w:w="820" w:type="dxa"/>
          </w:tcPr>
          <w:p w14:paraId="44CACB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2F297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1FBD7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C8BE39" w14:textId="77777777" w:rsidTr="00ED5B0A">
        <w:tc>
          <w:tcPr>
            <w:tcW w:w="3652" w:type="dxa"/>
          </w:tcPr>
          <w:p w14:paraId="6A4910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расчетной высоте</w:t>
            </w:r>
          </w:p>
        </w:tc>
        <w:tc>
          <w:tcPr>
            <w:tcW w:w="3119" w:type="dxa"/>
          </w:tcPr>
          <w:p w14:paraId="0FF809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980EA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21AD5C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12CAB6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3E6E28" w14:textId="77777777" w:rsidTr="00ED5B0A">
        <w:tc>
          <w:tcPr>
            <w:tcW w:w="3652" w:type="dxa"/>
          </w:tcPr>
          <w:p w14:paraId="013643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3119" w:type="dxa"/>
          </w:tcPr>
          <w:p w14:paraId="19BA52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расположение</w:t>
            </w:r>
          </w:p>
        </w:tc>
        <w:tc>
          <w:tcPr>
            <w:tcW w:w="820" w:type="dxa"/>
          </w:tcPr>
          <w:p w14:paraId="1BFDFE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кол-во</w:t>
            </w:r>
          </w:p>
        </w:tc>
        <w:tc>
          <w:tcPr>
            <w:tcW w:w="820" w:type="dxa"/>
          </w:tcPr>
          <w:p w14:paraId="7A11F1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w:t>
            </w:r>
          </w:p>
        </w:tc>
        <w:tc>
          <w:tcPr>
            <w:tcW w:w="2045" w:type="dxa"/>
          </w:tcPr>
          <w:p w14:paraId="1D5E5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w:t>
            </w:r>
          </w:p>
        </w:tc>
      </w:tr>
      <w:tr w:rsidR="00A907A5" w:rsidRPr="00271E51" w14:paraId="320232E7" w14:textId="77777777" w:rsidTr="00ED5B0A">
        <w:tc>
          <w:tcPr>
            <w:tcW w:w="3652" w:type="dxa"/>
          </w:tcPr>
          <w:p w14:paraId="4114C5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54ED93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393953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c>
          <w:tcPr>
            <w:tcW w:w="820" w:type="dxa"/>
          </w:tcPr>
          <w:p w14:paraId="673BD3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(мм)</w:t>
            </w:r>
          </w:p>
        </w:tc>
        <w:tc>
          <w:tcPr>
            <w:tcW w:w="2045" w:type="dxa"/>
          </w:tcPr>
          <w:p w14:paraId="7D3695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tc>
      </w:tr>
      <w:tr w:rsidR="00A907A5" w:rsidRPr="00271E51" w14:paraId="551E5C9C" w14:textId="77777777" w:rsidTr="00ED5B0A">
        <w:tc>
          <w:tcPr>
            <w:tcW w:w="3652" w:type="dxa"/>
          </w:tcPr>
          <w:p w14:paraId="19678D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34AD44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носу ф-жа</w:t>
            </w:r>
          </w:p>
        </w:tc>
        <w:tc>
          <w:tcPr>
            <w:tcW w:w="820" w:type="dxa"/>
          </w:tcPr>
          <w:p w14:paraId="761919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20" w:type="dxa"/>
          </w:tcPr>
          <w:p w14:paraId="3BFC5D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2045" w:type="dxa"/>
          </w:tcPr>
          <w:p w14:paraId="5BA146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tc>
      </w:tr>
      <w:tr w:rsidR="00A907A5" w:rsidRPr="00271E51" w14:paraId="4BB45051" w14:textId="77777777" w:rsidTr="00ED5B0A">
        <w:tc>
          <w:tcPr>
            <w:tcW w:w="3652" w:type="dxa"/>
          </w:tcPr>
          <w:p w14:paraId="08D39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396B8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башня</w:t>
            </w:r>
          </w:p>
        </w:tc>
        <w:tc>
          <w:tcPr>
            <w:tcW w:w="820" w:type="dxa"/>
          </w:tcPr>
          <w:p w14:paraId="6E6C80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20" w:type="dxa"/>
          </w:tcPr>
          <w:p w14:paraId="53945D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045" w:type="dxa"/>
          </w:tcPr>
          <w:p w14:paraId="7DE16A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r>
      <w:tr w:rsidR="00A907A5" w:rsidRPr="00271E51" w14:paraId="79D2DC0A" w14:textId="77777777" w:rsidTr="00ED5B0A">
        <w:tc>
          <w:tcPr>
            <w:tcW w:w="3652" w:type="dxa"/>
          </w:tcPr>
          <w:p w14:paraId="5F79FD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661155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задняя башня</w:t>
            </w:r>
          </w:p>
        </w:tc>
        <w:tc>
          <w:tcPr>
            <w:tcW w:w="820" w:type="dxa"/>
          </w:tcPr>
          <w:p w14:paraId="4213C9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820" w:type="dxa"/>
          </w:tcPr>
          <w:p w14:paraId="0C28B4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045" w:type="dxa"/>
          </w:tcPr>
          <w:p w14:paraId="10A3DF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r>
      <w:tr w:rsidR="00A907A5" w:rsidRPr="00271E51" w14:paraId="119F94D4" w14:textId="77777777" w:rsidTr="00ED5B0A">
        <w:tc>
          <w:tcPr>
            <w:tcW w:w="3652" w:type="dxa"/>
          </w:tcPr>
          <w:p w14:paraId="295074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0E8D73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шассийная</w:t>
            </w:r>
          </w:p>
        </w:tc>
        <w:tc>
          <w:tcPr>
            <w:tcW w:w="820" w:type="dxa"/>
          </w:tcPr>
          <w:p w14:paraId="639E3D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820" w:type="dxa"/>
          </w:tcPr>
          <w:p w14:paraId="48A2A7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2045" w:type="dxa"/>
          </w:tcPr>
          <w:p w14:paraId="230BAA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r>
      <w:tr w:rsidR="00A907A5" w:rsidRPr="00271E51" w14:paraId="2A07FA75" w14:textId="77777777" w:rsidTr="00ED5B0A">
        <w:tc>
          <w:tcPr>
            <w:tcW w:w="3652" w:type="dxa"/>
          </w:tcPr>
          <w:p w14:paraId="321D44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7DFD1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w:t>
            </w:r>
          </w:p>
        </w:tc>
        <w:tc>
          <w:tcPr>
            <w:tcW w:w="820" w:type="dxa"/>
          </w:tcPr>
          <w:p w14:paraId="506F27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535A00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3EC516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5CEB24" w14:textId="77777777" w:rsidTr="00ED5B0A">
        <w:tc>
          <w:tcPr>
            <w:tcW w:w="3652" w:type="dxa"/>
          </w:tcPr>
          <w:p w14:paraId="0F2021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5EADA6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бомбовая нагрузка 4000 кг (макс.)</w:t>
            </w:r>
          </w:p>
        </w:tc>
        <w:tc>
          <w:tcPr>
            <w:tcW w:w="820" w:type="dxa"/>
          </w:tcPr>
          <w:p w14:paraId="46D3F7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0" w:type="dxa"/>
          </w:tcPr>
          <w:p w14:paraId="4CCFBE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Pr>
          <w:p w14:paraId="58B99A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EB5BD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Главные особенности самолета.</w:t>
      </w:r>
    </w:p>
    <w:p w14:paraId="1D3DBB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Свободнонесущий моноплан цельнометаллической конструкции со средним расположением крыла, однокилевым хвостовым оперением и убирающимся шасси. Самолет с авиадизелями М-30 имеет повышенную дальность и в эксплуатации более безопасен в пожарном отношении (1458,299).</w:t>
      </w:r>
    </w:p>
    <w:p w14:paraId="643ED4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DEF3C" w14:textId="77777777" w:rsidR="00021D6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F4FBE44" w14:textId="77777777" w:rsidR="00021D61" w:rsidRPr="00271E51" w:rsidRDefault="00021D6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31F01"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октября </w:t>
      </w:r>
      <w:r w:rsidRPr="00271E51">
        <w:rPr>
          <w:rFonts w:ascii="Times New Roman" w:hAnsi="Times New Roman"/>
          <w:color w:val="000000" w:themeColor="text1"/>
          <w:sz w:val="16"/>
          <w:szCs w:val="16"/>
        </w:rPr>
        <w:t xml:space="preserve">в 1943 году оперативная сводка Совинформбюро: </w:t>
      </w:r>
    </w:p>
    <w:p w14:paraId="47093D35"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октября в районе юго-восточнее нижнего течения Днепра наши войска, продолжая преследовать отступающего противника, продвинулись вперёд от 12 до 25 километров и заняли более 80 населённых пунктов, в том числе районные центры Запорожской области Большая Белозёрка, Ивановка, крупные населенные пункты Балки, Малая Белозёрка, Пескошино, Менчикур, Гавриловка, Корнеевка, Верхняя Торгаевка, Малая Благовещенка, Новая Завадовка, Нижняя Торгаевка, Павловка, Шотово, Новая Семёновка, Константиновка, Новая Даниловка, Красный, Виноградник, Батрак, Волчий, и железнодорожную станцию Большой Утлюг.</w:t>
      </w:r>
    </w:p>
    <w:p w14:paraId="487DFDE9"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преодолевая сопротивление противника, продолжали наступление и, продвинувшись на отдельныхучастках вперёд от 6 до 10 километров, заняли 26 населённых пунктов, средикоторых Кудашёвка, Преображенка, Платоновка, Владимировка, Мало-Михайловка, Березноватовка, Шмаково, Константиновка, Александровка Первая, Александровкавторая, Радянка и железнодорожная станция Елизарово.</w:t>
      </w:r>
    </w:p>
    <w:p w14:paraId="24829D73"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отбивали контратаки крупных сил пехоты и танков противника.</w:t>
      </w:r>
    </w:p>
    <w:p w14:paraId="41DF1B65"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Витебск наши войска продолжали вести бои местногозначения и заняли несколько населённых пунктов, среди которых крупные населённые пункты Межа, Прудники.</w:t>
      </w:r>
    </w:p>
    <w:p w14:paraId="272ACAA2"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артиллерийско-миномётнаяперестрелка.</w:t>
      </w:r>
    </w:p>
    <w:p w14:paraId="2FAC73A2"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октября наши войска на всех фронтах подбили и уничтожили 60 немецких танков. В воздушных боях и огнём зенитной артиллерии сбито 64 самолёта противника.</w:t>
      </w:r>
    </w:p>
    <w:p w14:paraId="05DCCBF9"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нижнего течения Днепра наши войска продолжали успешное наступление. На участке Балки—Малая Белозёрка немцы создали разветвлённую сеть окопов и траншей, установили минные поля и проволочные заграждения. Опираясь на этот рубеж, противник пытался остановить наши наступающие войска. Части Н-скогосоединения сломили сопротивление противника и отбросили немецкие войска с этого оборонительного рубежа. На другом участке советские подвижные части стремительнопродвинулись в глубокий тыл и деморализовали противника. Немцы отступают, бросая технику и личное оружие. Захвачено большое число пленных, 73 орудия, танковая ремонтная мастерская, в которой находилось свыше 20 тяжёлых немецких танков типа «Тигр», крупные склады с боеприпасами и другие трофеи. На побережье Азовского моря противник использовал для обороны реку Большой Утлюг. На этом рубеже весь день шёл упорный бой, закончившийся победой советских войск. Наши части переправились через реку и ударами с тыла и флангов овладели железнодорожной станцией Большой Утлюг. В бою на этом участке уничтожено более 1.500 немецкихсолдат и офицеров, 30 танков, 5 самоходных орудий, свыше 200 автомашин иповозок, 30 автобензозаправщиков и склад с горючим. Захвачены большие трофеи, в числе которых десятки полевых и самоходных орудий, до 300 вагонов с военными грузами, 12 складов с боеприпасами, продовольствием и военным имуществом.</w:t>
      </w:r>
    </w:p>
    <w:p w14:paraId="0289B2D4"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наши войска продолжали наступление и с боями заняли 26 населённых пунктов. Стремясь задержать продвижение советских войск, немцы неоднократно бросали в контратаки пехоту, поддержанную танками. Контратаки противника отбиты с большими для него потерями. Только на одном участке уничтожено до батальона гитлеровцев. На другом участке пехота противника не успела подняться в атаку, как была накрыта сильным артиллерийско-миномётным огнём. На поле боя осталось до 800 вражеских трупов имного вооружения, брошенного немцами.</w:t>
      </w:r>
    </w:p>
    <w:p w14:paraId="779E184C"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отбивали контратаки противника и нанесли ему большой урон в живой силе и технике. На одном участке немцы бросили в контратаку большое количество пехоты и танков. Весь день длился ожесточённыйбой. Советские бойцы уничтожили свыше 1.000 гитлеровцев, сожгли и подбили 26 немецких танков и вынудили противника отступить. На другом участке части Н-скогосоединения подбили 3 артиллерийских батареи противника и захватили у немцев 65 пулемётов, 18 противотанковых ружей, склад боеприпасов и два продовольственных склада.</w:t>
      </w:r>
    </w:p>
    <w:p w14:paraId="07171F0A"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течение дня в воздушных боях сбили 27 немецких самолётов.</w:t>
      </w:r>
    </w:p>
    <w:p w14:paraId="1D0E7DC1"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города Витебск наши части, преодолевая сопротивлениепротивника, продвигались вперёд и заняли несколько населённых пунктов. На одном участке батальон гитлеровцев при поддержке 5 танков предпринял контратаку.</w:t>
      </w:r>
    </w:p>
    <w:p w14:paraId="4FFB14A7"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Бронебойщики подразделения старшего лейтенанта Жданова подпустили немецкие танки на близкое расстояние, а затем открыли огонь. Три немецких танка были подбиты, а остальные быстро повернули обратно. Вражеская контратака захлебнулась. Уничтожено до 400 немецких солдат и офицеров.</w:t>
      </w:r>
    </w:p>
    <w:p w14:paraId="6E5425B4"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транспорт противника водоизмещением в 6.000тонн.</w:t>
      </w:r>
    </w:p>
    <w:p w14:paraId="2D375ED5"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Витебской области, разгромил немецкий гарнизон, расположенный в крупном населённом пункте. Противник был захвачен врасплох и не смог оказать организованного сопротивления.Партизаны уничтожили до роты гитлеровцев. 35 немецких солдат сложили оружие исдались в плен. Захвачены трофеи, среди которых 2 орудия, 8 пулемётов и 70винтовок. Этот же отряд за последнее время пустил под откос 6 немецких воинскихэшелонов и подорвал на минах 40 автомашин с военными грузами.</w:t>
      </w:r>
    </w:p>
    <w:p w14:paraId="403DCF58"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сдалась в плен группа солдат 208 немецкой пехотной дивизии. Солдаты 1 батальона 309 полка Эрих Лоренц и Карл Лерке рассказали: «В конце сентября мы, в составе маршевого батальона, прибыли в Киев и дальше передвигались пешим порядком. Командир 208 дивизии, встречая пополнение, сказал, что дивизия заняла зимнюю линию обороны на Днепре, и призвал нас храбро сражаться. Через несколько дней русские переправились через Днепр. Полк понёс тяжёлые потери и отступил с такой поспешностью, что даже бросил раненых на произвол судьбы. На другой день командование решило вернуть потерянные позиции. За пять минут до начала нашей атаки русские открыли такой огонь, какого никтодаже и представить не мог. Не только солдаты, но и офицеры потеряли всякое присутствие духа. На следующее утро командование решило с помощью танков иавиации предпринять ещё одну попытку пробиться вперёд. Но русские опять нас опередили. Они напали на нас с такой силой, что мы были ошеломлены. Батальон повернул назад и в беспорядке побежал. Мы предпочли сложить оружие и сдаться в плен» (14814).</w:t>
      </w:r>
    </w:p>
    <w:p w14:paraId="1E484521" w14:textId="77777777" w:rsidR="00021D61" w:rsidRPr="00271E51" w:rsidRDefault="00021D61" w:rsidP="00271E51">
      <w:pPr>
        <w:spacing w:after="0" w:line="240" w:lineRule="auto"/>
        <w:jc w:val="both"/>
        <w:rPr>
          <w:rFonts w:ascii="Times New Roman" w:hAnsi="Times New Roman"/>
          <w:color w:val="000000" w:themeColor="text1"/>
          <w:sz w:val="16"/>
          <w:szCs w:val="16"/>
        </w:rPr>
      </w:pPr>
    </w:p>
    <w:p w14:paraId="5590B484" w14:textId="77777777" w:rsidR="000966FF" w:rsidRPr="00271E51" w:rsidRDefault="000966FF"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29 октября 1943 года 54-й танковый полк, который действовал совместно с 12-й гвардейской кавалерийской дивизией, как и 230-й тп, кроме лёгких танков полк имел и 10 средних танков Т-34 провел бой за Пояркин Херсонской области. Здесь полк потерял 5 Т-34 и 2 Т-80, при этом уничтожил 2 САУ и 2 танка противника. К 1 января 1944 года полк всё ещё имел 6 Т-34 и 25 Т-80. В таком составе часть участвовала в боях января-февраля 1944 года. За это время от огня противника было потеряно 2 Т-80, остальные вышли из строя по техническим причинам. 22 апреля полк получил 20 </w:t>
      </w:r>
      <w:hyperlink r:id="rId118" w:history="1">
        <w:r w:rsidRPr="00271E51">
          <w:rPr>
            <w:rStyle w:val="a5"/>
            <w:color w:val="000000" w:themeColor="text1"/>
            <w:sz w:val="16"/>
            <w:szCs w:val="16"/>
          </w:rPr>
          <w:t>Valentine IX</w:t>
        </w:r>
      </w:hyperlink>
      <w:r w:rsidRPr="00271E51">
        <w:rPr>
          <w:color w:val="000000" w:themeColor="text1"/>
          <w:sz w:val="16"/>
          <w:szCs w:val="16"/>
        </w:rPr>
        <w:t xml:space="preserve"> (17712).</w:t>
      </w:r>
    </w:p>
    <w:p w14:paraId="2B6A0844" w14:textId="77777777" w:rsidR="000966FF" w:rsidRPr="00271E51" w:rsidRDefault="000966FF" w:rsidP="00271E51">
      <w:pPr>
        <w:spacing w:after="0" w:line="240" w:lineRule="auto"/>
        <w:jc w:val="both"/>
        <w:rPr>
          <w:rFonts w:ascii="Times New Roman" w:hAnsi="Times New Roman"/>
          <w:color w:val="000000" w:themeColor="text1"/>
          <w:sz w:val="16"/>
          <w:szCs w:val="16"/>
        </w:rPr>
      </w:pPr>
    </w:p>
    <w:p w14:paraId="1DCBEA27" w14:textId="77777777" w:rsidR="00021D61" w:rsidRPr="00271E51" w:rsidRDefault="00021D61"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29 октября </w:t>
      </w:r>
      <w:r w:rsidRPr="00271E51">
        <w:rPr>
          <w:rFonts w:ascii="Times New Roman" w:hAnsi="Times New Roman"/>
          <w:color w:val="000000" w:themeColor="text1"/>
          <w:sz w:val="16"/>
          <w:szCs w:val="16"/>
        </w:rPr>
        <w:t>в 1943 году войска Западного фронта освободили Рудню (14814).</w:t>
      </w:r>
    </w:p>
    <w:p w14:paraId="32E29EA7" w14:textId="77777777" w:rsidR="00021D61" w:rsidRPr="00271E51" w:rsidRDefault="00021D61" w:rsidP="00271E51">
      <w:pPr>
        <w:spacing w:after="0" w:line="240" w:lineRule="auto"/>
        <w:jc w:val="both"/>
        <w:rPr>
          <w:rFonts w:ascii="Times New Roman" w:hAnsi="Times New Roman"/>
          <w:color w:val="000000" w:themeColor="text1"/>
          <w:sz w:val="16"/>
          <w:szCs w:val="16"/>
        </w:rPr>
      </w:pPr>
    </w:p>
    <w:p w14:paraId="3AED474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BD379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D05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г. слушатели МВТУ также предложили проект бронированного истребителя танков, напоминавшего как И-13.75-СУ, так и ГАЗ-746. Предполагалось, что он будет иметь массу не свыше 11 т, получит дизельмотор GMC-71 или аналогичный, об организации производства которых в СССР в то время велись активные дискуссии, будет вооружен 76-мм пушкой С-1, или 57-мм С-1-57 и экипаж из 3 человек. Несмотря на то, что все формальные требования военных проектом были удовлетворены, распоряжение об его изготовлении не последовало (5742, 14).</w:t>
      </w:r>
    </w:p>
    <w:p w14:paraId="32064E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196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29 октября 1943 г. слушатели МВТУ тоже предложили проект бронированного истребителя танков, напоминавший И-13.75-СУ и ГАЗ-74Б одновременно. Предполагалось, что он будет весить около 11т, получит дизель-мотор ОМС-71 или аналогичный, будет вооружен 76-мм пушкой С-1 или 57-мм С-1-57 и экипаж из 3 человек. Несмотря на то, что все формальные требования военных проектом были удовлетво</w:t>
      </w:r>
      <w:r w:rsidRPr="00271E51">
        <w:rPr>
          <w:rFonts w:ascii="Times New Roman" w:hAnsi="Times New Roman"/>
          <w:color w:val="000000" w:themeColor="text1"/>
          <w:sz w:val="16"/>
          <w:szCs w:val="16"/>
        </w:rPr>
        <w:softHyphen/>
        <w:t>рены, распоряжение об его изготовлении не последовало (11417).</w:t>
      </w:r>
    </w:p>
    <w:p w14:paraId="6D2850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20C7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вышло Постановление ГКО № 4456 [Об обеспечении разгрузки судов с импортными грузами в портах Молотовск, Архангельск и Мурманск зимой 1943-44 гг.] (7151, 170-171,172).</w:t>
      </w:r>
    </w:p>
    <w:p w14:paraId="69C5D5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7A6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октября 1943 вышло Постановление ГКО № 4457 О мероприятиях по строительству завода № 17 Наркомвооружения.РГАНИР, Фонд ГКО, д. 169, лл. 173-176, 177-179 (11012).</w:t>
      </w:r>
    </w:p>
    <w:p w14:paraId="05C95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2D24F" w14:textId="6B9E3186" w:rsidR="008572EC" w:rsidRPr="00271E51" w:rsidRDefault="008572E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586EB75D" w14:textId="77777777" w:rsidR="008572EC" w:rsidRPr="00271E51" w:rsidRDefault="008572E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EDED512"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 октября 1943 от 37 до 41 B-24 пятой армии ВВС в сопровождении от 53 до 75 P-38 Lightning сбросили 115 тонн (115 000 кг) бомб на аэродром Вунаканау в Рабауле, заявив, что 45 японских самолетов были сбиты или уничтожены земля; Японцы признают потерю семи своих самолетов, сбитых и трех уничтоженных на земле (20376).</w:t>
      </w:r>
    </w:p>
    <w:p w14:paraId="35A0E2E4" w14:textId="77777777" w:rsidR="008572EC" w:rsidRPr="00271E51" w:rsidRDefault="008572EC" w:rsidP="00271E51">
      <w:pPr>
        <w:spacing w:after="0" w:line="240" w:lineRule="auto"/>
        <w:jc w:val="both"/>
        <w:rPr>
          <w:rFonts w:ascii="Times New Roman" w:hAnsi="Times New Roman"/>
          <w:color w:val="0070C0"/>
          <w:sz w:val="16"/>
          <w:szCs w:val="16"/>
        </w:rPr>
      </w:pPr>
    </w:p>
    <w:p w14:paraId="1860666C" w14:textId="107AF752"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5460E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E14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года гл. конструктор С.В.И. писал письмо N 1/1151с зам. наркома авиапрома Кузнецову В.П., гл. инженеру ВВС А.Н. Репину, гл. конструктору А.А. Микулину, директору завода N 24 Жезлову.</w:t>
      </w:r>
    </w:p>
    <w:p w14:paraId="50445E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октября 1943 года 1943 года нами получен опытный мотор АМ-42 для установки на модифицированный самолет Ил-2.</w:t>
      </w:r>
    </w:p>
    <w:p w14:paraId="69D870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 вес полученного мотора согласно приложенного к нему формуляра составляет 988 кг, тогда как согласно постановления ГКО от 25 сентября 1942 г. за N 2347сс сухой вес мотора должен быть 900 кг таким образом перетяжеление мотора уже на сегодня выражается в 88 кг. Мириться с дальнейшим увеличением веса мотора нельзя ни на один грамм. В технические условия на приемку моторов АМ-42 необходимо внести вес 988 кг, как самый наивысший, т.е. допуск на вес должен быть дан с минусом, но не с плюсом.</w:t>
      </w:r>
    </w:p>
    <w:tbl>
      <w:tblPr>
        <w:tblW w:w="0" w:type="auto"/>
        <w:tblLayout w:type="fixed"/>
        <w:tblLook w:val="0000" w:firstRow="0" w:lastRow="0" w:firstColumn="0" w:lastColumn="0" w:noHBand="0" w:noVBand="0"/>
      </w:tblPr>
      <w:tblGrid>
        <w:gridCol w:w="5636"/>
        <w:gridCol w:w="5636"/>
      </w:tblGrid>
      <w:tr w:rsidR="00A907A5" w:rsidRPr="00271E51" w14:paraId="2A35A7CE" w14:textId="77777777" w:rsidTr="00ED5B0A">
        <w:tc>
          <w:tcPr>
            <w:tcW w:w="5636" w:type="dxa"/>
            <w:tcBorders>
              <w:top w:val="nil"/>
              <w:left w:val="nil"/>
              <w:bottom w:val="nil"/>
              <w:right w:val="nil"/>
            </w:tcBorders>
          </w:tcPr>
          <w:p w14:paraId="2F5790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этом же формуляре указан расход топлива:</w:t>
            </w:r>
          </w:p>
        </w:tc>
        <w:tc>
          <w:tcPr>
            <w:tcW w:w="5636" w:type="dxa"/>
            <w:tcBorders>
              <w:top w:val="nil"/>
              <w:left w:val="nil"/>
              <w:bottom w:val="nil"/>
              <w:right w:val="nil"/>
            </w:tcBorders>
          </w:tcPr>
          <w:p w14:paraId="4D5E00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F26BB4" w14:textId="77777777" w:rsidTr="00ED5B0A">
        <w:tc>
          <w:tcPr>
            <w:tcW w:w="5636" w:type="dxa"/>
            <w:tcBorders>
              <w:top w:val="single" w:sz="6" w:space="0" w:color="auto"/>
              <w:left w:val="single" w:sz="6" w:space="0" w:color="auto"/>
              <w:bottom w:val="single" w:sz="6" w:space="0" w:color="auto"/>
              <w:right w:val="single" w:sz="6" w:space="0" w:color="auto"/>
            </w:tcBorders>
          </w:tcPr>
          <w:p w14:paraId="677347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взлетной мощности</w:t>
            </w:r>
          </w:p>
        </w:tc>
        <w:tc>
          <w:tcPr>
            <w:tcW w:w="5636" w:type="dxa"/>
            <w:tcBorders>
              <w:top w:val="single" w:sz="6" w:space="0" w:color="auto"/>
              <w:left w:val="single" w:sz="6" w:space="0" w:color="auto"/>
              <w:bottom w:val="single" w:sz="6" w:space="0" w:color="auto"/>
              <w:right w:val="single" w:sz="6" w:space="0" w:color="auto"/>
            </w:tcBorders>
          </w:tcPr>
          <w:p w14:paraId="4C8DC6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348 гр/л.с.ч.</w:t>
            </w:r>
          </w:p>
        </w:tc>
      </w:tr>
      <w:tr w:rsidR="00A907A5" w:rsidRPr="00271E51" w14:paraId="7F2F2631" w14:textId="77777777" w:rsidTr="00ED5B0A">
        <w:tc>
          <w:tcPr>
            <w:tcW w:w="5636" w:type="dxa"/>
            <w:tcBorders>
              <w:top w:val="single" w:sz="6" w:space="0" w:color="auto"/>
              <w:left w:val="single" w:sz="6" w:space="0" w:color="auto"/>
              <w:bottom w:val="single" w:sz="6" w:space="0" w:color="auto"/>
              <w:right w:val="single" w:sz="6" w:space="0" w:color="auto"/>
            </w:tcBorders>
          </w:tcPr>
          <w:p w14:paraId="701AD9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номинальной мощности</w:t>
            </w:r>
          </w:p>
        </w:tc>
        <w:tc>
          <w:tcPr>
            <w:tcW w:w="5636" w:type="dxa"/>
            <w:tcBorders>
              <w:top w:val="single" w:sz="6" w:space="0" w:color="auto"/>
              <w:left w:val="single" w:sz="6" w:space="0" w:color="auto"/>
              <w:bottom w:val="single" w:sz="6" w:space="0" w:color="auto"/>
              <w:right w:val="single" w:sz="6" w:space="0" w:color="auto"/>
            </w:tcBorders>
          </w:tcPr>
          <w:p w14:paraId="5127CE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315 гр/л.с.ч. и</w:t>
            </w:r>
          </w:p>
        </w:tc>
      </w:tr>
      <w:tr w:rsidR="00A907A5" w:rsidRPr="00271E51" w14:paraId="4DB3F59C" w14:textId="77777777" w:rsidTr="00ED5B0A">
        <w:tc>
          <w:tcPr>
            <w:tcW w:w="5636" w:type="dxa"/>
            <w:tcBorders>
              <w:top w:val="single" w:sz="6" w:space="0" w:color="auto"/>
              <w:left w:val="single" w:sz="6" w:space="0" w:color="auto"/>
              <w:bottom w:val="single" w:sz="6" w:space="0" w:color="auto"/>
              <w:right w:val="single" w:sz="6" w:space="0" w:color="auto"/>
            </w:tcBorders>
          </w:tcPr>
          <w:p w14:paraId="4ED923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эксплуатационной</w:t>
            </w:r>
          </w:p>
        </w:tc>
        <w:tc>
          <w:tcPr>
            <w:tcW w:w="5636" w:type="dxa"/>
            <w:tcBorders>
              <w:top w:val="single" w:sz="6" w:space="0" w:color="auto"/>
              <w:left w:val="single" w:sz="6" w:space="0" w:color="auto"/>
              <w:bottom w:val="single" w:sz="6" w:space="0" w:color="auto"/>
              <w:right w:val="single" w:sz="6" w:space="0" w:color="auto"/>
            </w:tcBorders>
          </w:tcPr>
          <w:p w14:paraId="7B4629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BEA53D" w14:textId="77777777" w:rsidTr="00ED5B0A">
        <w:tc>
          <w:tcPr>
            <w:tcW w:w="5636" w:type="dxa"/>
            <w:tcBorders>
              <w:top w:val="single" w:sz="6" w:space="0" w:color="auto"/>
              <w:left w:val="single" w:sz="6" w:space="0" w:color="auto"/>
              <w:bottom w:val="single" w:sz="6" w:space="0" w:color="auto"/>
              <w:right w:val="single" w:sz="6" w:space="0" w:color="auto"/>
            </w:tcBorders>
          </w:tcPr>
          <w:p w14:paraId="0BE24C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мощности от номинальной</w:t>
            </w:r>
          </w:p>
        </w:tc>
        <w:tc>
          <w:tcPr>
            <w:tcW w:w="5636" w:type="dxa"/>
            <w:tcBorders>
              <w:top w:val="single" w:sz="6" w:space="0" w:color="auto"/>
              <w:left w:val="single" w:sz="6" w:space="0" w:color="auto"/>
              <w:bottom w:val="single" w:sz="6" w:space="0" w:color="auto"/>
              <w:right w:val="single" w:sz="6" w:space="0" w:color="auto"/>
            </w:tcBorders>
          </w:tcPr>
          <w:p w14:paraId="0395C5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 гр/л.с.ч.</w:t>
            </w:r>
          </w:p>
        </w:tc>
      </w:tr>
    </w:tbl>
    <w:p w14:paraId="63D5EA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Такой высокий расход топлива неприемлем, так как получить требуемую постановлением ГКО дальность невозможно.</w:t>
      </w:r>
    </w:p>
    <w:p w14:paraId="20950C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Предложенная мною дальность 900 км без подвесных баков и с подвесными баками 1100 км на модифицированном самолете Ил-2 имелась ввиду при удельных расходах топлива Ам-42, таких же, как у мотора АМ-38ф.</w:t>
      </w:r>
    </w:p>
    <w:p w14:paraId="1105CC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приводится сравнительная таблица расходов топлива мотора АМ-42 и АМ-38Ф и М-71.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239"/>
        <w:gridCol w:w="1239"/>
        <w:gridCol w:w="1239"/>
        <w:gridCol w:w="1239"/>
        <w:gridCol w:w="3124"/>
      </w:tblGrid>
      <w:tr w:rsidR="00A907A5" w:rsidRPr="00271E51" w14:paraId="34D3E7A1" w14:textId="77777777" w:rsidTr="00ED5B0A">
        <w:tc>
          <w:tcPr>
            <w:tcW w:w="2518" w:type="dxa"/>
          </w:tcPr>
          <w:p w14:paraId="267C6A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0E13CA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1239" w:type="dxa"/>
          </w:tcPr>
          <w:p w14:paraId="285CCC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0B1F16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w:t>
            </w:r>
          </w:p>
        </w:tc>
        <w:tc>
          <w:tcPr>
            <w:tcW w:w="1239" w:type="dxa"/>
          </w:tcPr>
          <w:p w14:paraId="42A0ED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24" w:type="dxa"/>
          </w:tcPr>
          <w:p w14:paraId="32D51D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М-71</w:t>
            </w:r>
          </w:p>
        </w:tc>
      </w:tr>
      <w:tr w:rsidR="00A907A5" w:rsidRPr="00271E51" w14:paraId="5FB0283A" w14:textId="77777777" w:rsidTr="00ED5B0A">
        <w:tc>
          <w:tcPr>
            <w:tcW w:w="2518" w:type="dxa"/>
          </w:tcPr>
          <w:p w14:paraId="4069CE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3622E0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w:t>
            </w:r>
          </w:p>
        </w:tc>
        <w:tc>
          <w:tcPr>
            <w:tcW w:w="1239" w:type="dxa"/>
          </w:tcPr>
          <w:p w14:paraId="731077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w:t>
            </w:r>
          </w:p>
        </w:tc>
        <w:tc>
          <w:tcPr>
            <w:tcW w:w="1239" w:type="dxa"/>
          </w:tcPr>
          <w:p w14:paraId="59B8C8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w:t>
            </w:r>
          </w:p>
        </w:tc>
        <w:tc>
          <w:tcPr>
            <w:tcW w:w="1239" w:type="dxa"/>
          </w:tcPr>
          <w:p w14:paraId="20ECBC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w:t>
            </w:r>
          </w:p>
        </w:tc>
        <w:tc>
          <w:tcPr>
            <w:tcW w:w="3124" w:type="dxa"/>
          </w:tcPr>
          <w:p w14:paraId="35141D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w:t>
            </w:r>
          </w:p>
        </w:tc>
      </w:tr>
      <w:tr w:rsidR="00A907A5" w:rsidRPr="00271E51" w14:paraId="6562351D" w14:textId="77777777" w:rsidTr="00ED5B0A">
        <w:tc>
          <w:tcPr>
            <w:tcW w:w="2518" w:type="dxa"/>
          </w:tcPr>
          <w:p w14:paraId="040433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w:t>
            </w:r>
          </w:p>
        </w:tc>
        <w:tc>
          <w:tcPr>
            <w:tcW w:w="1239" w:type="dxa"/>
          </w:tcPr>
          <w:p w14:paraId="3049ED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1700</w:t>
            </w:r>
          </w:p>
        </w:tc>
        <w:tc>
          <w:tcPr>
            <w:tcW w:w="1239" w:type="dxa"/>
          </w:tcPr>
          <w:p w14:paraId="1F20D4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305-325</w:t>
            </w:r>
          </w:p>
        </w:tc>
        <w:tc>
          <w:tcPr>
            <w:tcW w:w="1239" w:type="dxa"/>
          </w:tcPr>
          <w:p w14:paraId="4988CB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tc>
        <w:tc>
          <w:tcPr>
            <w:tcW w:w="1239" w:type="dxa"/>
          </w:tcPr>
          <w:p w14:paraId="1FF67F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348</w:t>
            </w:r>
          </w:p>
        </w:tc>
        <w:tc>
          <w:tcPr>
            <w:tcW w:w="3124" w:type="dxa"/>
          </w:tcPr>
          <w:p w14:paraId="4E8BD4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305-330</w:t>
            </w:r>
          </w:p>
        </w:tc>
      </w:tr>
      <w:tr w:rsidR="00A907A5" w:rsidRPr="00271E51" w14:paraId="295CF026" w14:textId="77777777" w:rsidTr="00ED5B0A">
        <w:tc>
          <w:tcPr>
            <w:tcW w:w="2518" w:type="dxa"/>
          </w:tcPr>
          <w:p w14:paraId="039C84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Номинальная земн.</w:t>
            </w:r>
          </w:p>
        </w:tc>
        <w:tc>
          <w:tcPr>
            <w:tcW w:w="1239" w:type="dxa"/>
          </w:tcPr>
          <w:p w14:paraId="26981D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1239" w:type="dxa"/>
          </w:tcPr>
          <w:p w14:paraId="34BC26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285-305</w:t>
            </w:r>
          </w:p>
        </w:tc>
        <w:tc>
          <w:tcPr>
            <w:tcW w:w="1239" w:type="dxa"/>
          </w:tcPr>
          <w:p w14:paraId="310E8B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1750</w:t>
            </w:r>
          </w:p>
        </w:tc>
        <w:tc>
          <w:tcPr>
            <w:tcW w:w="1239" w:type="dxa"/>
          </w:tcPr>
          <w:p w14:paraId="15FB9E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295-315</w:t>
            </w:r>
          </w:p>
        </w:tc>
        <w:tc>
          <w:tcPr>
            <w:tcW w:w="3124" w:type="dxa"/>
          </w:tcPr>
          <w:p w14:paraId="710D61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285-305</w:t>
            </w:r>
          </w:p>
        </w:tc>
      </w:tr>
      <w:tr w:rsidR="00A907A5" w:rsidRPr="00271E51" w14:paraId="7594E27D" w14:textId="77777777" w:rsidTr="00ED5B0A">
        <w:tc>
          <w:tcPr>
            <w:tcW w:w="2518" w:type="dxa"/>
          </w:tcPr>
          <w:p w14:paraId="6D75A0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Экспл. на 0,9 ном.</w:t>
            </w:r>
          </w:p>
        </w:tc>
        <w:tc>
          <w:tcPr>
            <w:tcW w:w="1239" w:type="dxa"/>
          </w:tcPr>
          <w:p w14:paraId="54A1A9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1350</w:t>
            </w:r>
          </w:p>
        </w:tc>
        <w:tc>
          <w:tcPr>
            <w:tcW w:w="1239" w:type="dxa"/>
          </w:tcPr>
          <w:p w14:paraId="58E3C9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270-285</w:t>
            </w:r>
          </w:p>
        </w:tc>
        <w:tc>
          <w:tcPr>
            <w:tcW w:w="1239" w:type="dxa"/>
          </w:tcPr>
          <w:p w14:paraId="35C6C4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256FDA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24" w:type="dxa"/>
          </w:tcPr>
          <w:p w14:paraId="4F1862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260-285</w:t>
            </w:r>
          </w:p>
        </w:tc>
      </w:tr>
      <w:tr w:rsidR="00A907A5" w:rsidRPr="00271E51" w14:paraId="27331376" w14:textId="77777777" w:rsidTr="00ED5B0A">
        <w:tc>
          <w:tcPr>
            <w:tcW w:w="2518" w:type="dxa"/>
          </w:tcPr>
          <w:p w14:paraId="6BC1D6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Экспл. на 0,75 ном.</w:t>
            </w:r>
          </w:p>
        </w:tc>
        <w:tc>
          <w:tcPr>
            <w:tcW w:w="1239" w:type="dxa"/>
          </w:tcPr>
          <w:p w14:paraId="064C58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1310</w:t>
            </w:r>
          </w:p>
        </w:tc>
        <w:tc>
          <w:tcPr>
            <w:tcW w:w="1239" w:type="dxa"/>
          </w:tcPr>
          <w:p w14:paraId="39E97A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w:t>
            </w:r>
          </w:p>
        </w:tc>
        <w:tc>
          <w:tcPr>
            <w:tcW w:w="1239" w:type="dxa"/>
          </w:tcPr>
          <w:p w14:paraId="4D1735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9" w:type="dxa"/>
          </w:tcPr>
          <w:p w14:paraId="0E6E2A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24" w:type="dxa"/>
          </w:tcPr>
          <w:p w14:paraId="3356E2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D7E57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приведенной таблицы видно, что мотор АМ-42 будучи мотором жидкостного охлаждения имеет расходы топлива значительно более высокие, чем мотор воздушного охлаждения М-71.</w:t>
      </w:r>
    </w:p>
    <w:p w14:paraId="22F58D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Такое положение объясняется тем, что никакого внимания и никакой работы для получения приемлемых расходов топлива не ведется.</w:t>
      </w:r>
    </w:p>
    <w:p w14:paraId="41531C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необходимо немедленно, не ожидая результатов гос. испытаний поставить на испытание 2 мотора Ам-42 для гонки их на обедненных смесях, как это имело в свое время место по моторам Ам-38ф.</w:t>
      </w:r>
    </w:p>
    <w:p w14:paraId="2C6C20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технические условия на приемку моторов Ам-42 должен быть занесен удельный расход топлива такой же, как у мотора АМ-38ф.</w:t>
      </w:r>
    </w:p>
    <w:p w14:paraId="4B37B0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 испытания мотора АМ-42 необходимо вести на удельных расходах топлива таких же, как у АМ-38ф, а именно:</w:t>
      </w:r>
    </w:p>
    <w:p w14:paraId="328AB6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взлетной мощности 2000 л/с - 305-325 гр.</w:t>
      </w:r>
    </w:p>
    <w:p w14:paraId="0E93E6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номинальной мощности 1750 л/с - 285-305 гр.</w:t>
      </w:r>
    </w:p>
    <w:p w14:paraId="5B06A0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 эксплуатационной мощности 0,75 от номинальной - 240-260 гр. (2562,6).</w:t>
      </w:r>
    </w:p>
    <w:p w14:paraId="285558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A05E"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 сопроводительном письме от к проекту приказа НКАП по вопросу прекращения работы по одноместному истребителю Ил-1 АМ-42 на заводе № 18 Ильюшин указывал: «Ознакомившись на заводе № 18 с ходом постройки двух самолетов Ил-1 в одноместном и двухместном вариантах, я убедился, что постройка двух самолетов заводу непосильна, поэтому прошу Вас Ил-1 в одноместном варианте с завода снять. Срок окончания самолета Ил-1 в двухместном варианте заводу № 18 оставить прежним, т. е. 10 декабря 1943 г.».</w:t>
      </w:r>
    </w:p>
    <w:p w14:paraId="70FA35E6"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Ильюшин предлагает Шахурину во исполнение постановления ГКО от 26 октября передать на государственные испытания опытный разведчик-корректировщик Ил-2 АМ-42 (РК) в варианте штурмовика.</w:t>
      </w:r>
    </w:p>
    <w:p w14:paraId="49F2AD38"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Штурмовой вариант «следопыта» имел бы увеличенную (против задания) дальность полета за счет большего запаса горючего (1020 л вместо 840 л), нормальную бомбовую нагрузку в 600 кг и в перегрузку 1000 кг (за счет внешней подвески), менее мощное радиосвязное оборудование и один фотоаппарат для плановой съемки вместо двух. Других отличий не было. Вместо пушек ВЯ, как и ранее, предлагалось в перспективе установить 37-мм пушки 11П, но на государственные испытания – предъявить самолет с пушками ВЯ (как временное решение).</w:t>
      </w:r>
    </w:p>
    <w:p w14:paraId="7DEC1023"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 предлагался один и тот же самолет, но с разными вариантами полезной нагрузки (различные веса бомб, горючего и съемного оборудования).</w:t>
      </w:r>
    </w:p>
    <w:p w14:paraId="643403E7"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Выбор экземпляра самолета для передачи в НИИ ВВС обуславливался лучшим производственным исполнением Ил-2 (РК) по сравнению с Ил-2М завода № 18.</w:t>
      </w:r>
    </w:p>
    <w:p w14:paraId="3A86920E"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Шахурин и в этот раз поддержал Ильюшина. Идея продвигать универсальный штурмовик-разведчик Ил-2 с АМ-42 и параллельно форсировать постройку двухместного скоростного штурмовика Ил-1 АМ-42 (завод № 18) и одноместного истребителя Ил-1 АМ-42 (завод № 1) ему показалась вполне отвечающей сложившейся обстановке. Приказ по НКАП, изменяющий задание заводу № 18, вышел 5 ноября за № 663с.</w:t>
      </w:r>
    </w:p>
    <w:p w14:paraId="579DF475"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Определившись со стратегией борьбы за серию и заручившись поддержкой наркомата, С. В. Ильюшин с присущей ему энергией приступил к реализации задуманного.</w:t>
      </w:r>
    </w:p>
    <w:p w14:paraId="61B81062"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 240 в срочном порядке для самолета Ил-2М началось изготовление цельнометаллических крыльев (допускающего установку внутри 37-мм пушек 11П), хвостовой части фюзеляжа и хвостового оперения.</w:t>
      </w:r>
    </w:p>
    <w:p w14:paraId="6D595E4F"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самолет Ил-2 АМ-42 (РК) ускоренными темпами стали готовить к передаче в НИИ ВВС. На самолет смонтировали новый винт АВ-5 л-18Б диаметром 3,8 м (тот же АВ-5 л-18А, но с укороченными на 200 мм лопастями). Однако в ходе испытательных полетов 5, 6 и 11 ноября вновь появилась сильная тряска мотора, устранить которую быстро не удалось. Кроме того, вышел из строя маслорадиатор, а также «получен очень малый перепад температуры масла – всего 15 градусов».</w:t>
      </w:r>
    </w:p>
    <w:p w14:paraId="1883ED52"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этой связи на «следопыте» в очередной раз переделывалась система охлаждения воды и масла, устанавливались новые радиаторы, удлинялась входная часть воздушного тоннеля. Попутно консоли крыла смешанной конструкции заменили цельнометаллическими.</w:t>
      </w:r>
    </w:p>
    <w:p w14:paraId="18341691" w14:textId="77777777" w:rsidR="000966FF" w:rsidRPr="00271E51" w:rsidRDefault="000966F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дымления и тряски мотора поначалу планировали снять его с самолета и «отрегулировать на моторном заводе». Дело в том, что на АМ-42 стояли «опытные безпоплавковые карбюраторы» К-42БП, регулировка которых была очень сложной и требовала большого опыта. Однако «Главный конструктор мотора А. А. Микулин рекомендовал провести эти работы на моторе, не снимая его с самолета». (17490).</w:t>
      </w:r>
    </w:p>
    <w:p w14:paraId="21527FDC" w14:textId="77777777" w:rsidR="000966FF" w:rsidRPr="00271E51" w:rsidRDefault="000966F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октябре 1943 по прибытии ДДБШ (Су-8) в Тушино самолет довольно оперативно был до</w:t>
      </w:r>
      <w:r w:rsidRPr="00271E51">
        <w:rPr>
          <w:color w:val="000000" w:themeColor="text1"/>
          <w:sz w:val="16"/>
          <w:szCs w:val="16"/>
        </w:rPr>
        <w:softHyphen/>
        <w:t>строен. На самолет установили форсированные моторы М-71ф с увеличенной до 2200 л.с. взлет</w:t>
      </w:r>
      <w:r w:rsidRPr="00271E51">
        <w:rPr>
          <w:color w:val="000000" w:themeColor="text1"/>
          <w:sz w:val="16"/>
          <w:szCs w:val="16"/>
        </w:rPr>
        <w:softHyphen/>
        <w:t>ной мощностью. В ноябре штурмовик перевезли на Тушинский аэродром для подготовки к про</w:t>
      </w:r>
      <w:r w:rsidRPr="00271E51">
        <w:rPr>
          <w:color w:val="000000" w:themeColor="text1"/>
          <w:sz w:val="16"/>
          <w:szCs w:val="16"/>
        </w:rPr>
        <w:softHyphen/>
        <w:t>хождению программы заводских летных испыта</w:t>
      </w:r>
      <w:r w:rsidRPr="00271E51">
        <w:rPr>
          <w:color w:val="000000" w:themeColor="text1"/>
          <w:sz w:val="16"/>
          <w:szCs w:val="16"/>
        </w:rPr>
        <w:softHyphen/>
        <w:t>ний. Ведущим инженером был назначен В. И. Фурдецкий (17500).</w:t>
      </w:r>
    </w:p>
    <w:p w14:paraId="74FFE3D3" w14:textId="77777777" w:rsidR="000966FF" w:rsidRPr="00271E51" w:rsidRDefault="000966FF" w:rsidP="00271E51">
      <w:pPr>
        <w:spacing w:after="0" w:line="240" w:lineRule="auto"/>
        <w:jc w:val="both"/>
        <w:rPr>
          <w:rFonts w:ascii="Times New Roman" w:hAnsi="Times New Roman"/>
          <w:color w:val="000000" w:themeColor="text1"/>
          <w:sz w:val="16"/>
          <w:szCs w:val="16"/>
        </w:rPr>
      </w:pPr>
    </w:p>
    <w:p w14:paraId="44F85A92"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color w:val="0070C0"/>
          <w:sz w:val="16"/>
          <w:szCs w:val="16"/>
          <w:u w:val="none"/>
        </w:rPr>
        <w:t>30 ок</w:t>
      </w:r>
      <w:r w:rsidRPr="00271E51">
        <w:rPr>
          <w:rStyle w:val="145"/>
          <w:rFonts w:ascii="Times New Roman" w:hAnsi="Times New Roman" w:cs="Times New Roman"/>
          <w:color w:val="0070C0"/>
          <w:sz w:val="16"/>
          <w:szCs w:val="16"/>
          <w:u w:val="none"/>
        </w:rPr>
        <w:softHyphen/>
        <w:t>тября 1943 в сопроводительном письме от к проекту приказа НКАП Ильюшин указывал:</w:t>
      </w:r>
      <w:r w:rsidRPr="00271E51">
        <w:rPr>
          <w:rFonts w:ascii="Times New Roman" w:hAnsi="Times New Roman"/>
          <w:color w:val="0070C0"/>
          <w:sz w:val="16"/>
          <w:szCs w:val="16"/>
        </w:rPr>
        <w:t xml:space="preserve"> «Ознакомив</w:t>
      </w:r>
      <w:r w:rsidRPr="00271E51">
        <w:rPr>
          <w:rFonts w:ascii="Times New Roman" w:hAnsi="Times New Roman"/>
          <w:color w:val="0070C0"/>
          <w:sz w:val="16"/>
          <w:szCs w:val="16"/>
        </w:rPr>
        <w:softHyphen/>
        <w:t>шись на заводе №18 сходом постройки двух самолетов Ил-1 в одноместном и двухместном вариантах, - я убедился, что постройка двух самолетов заводу непо</w:t>
      </w:r>
      <w:r w:rsidRPr="00271E51">
        <w:rPr>
          <w:rFonts w:ascii="Times New Roman" w:hAnsi="Times New Roman"/>
          <w:color w:val="0070C0"/>
          <w:sz w:val="16"/>
          <w:szCs w:val="16"/>
        </w:rPr>
        <w:softHyphen/>
        <w:t>сильна, поэтому прошу Вас Ил-1 в одно</w:t>
      </w:r>
      <w:r w:rsidRPr="00271E51">
        <w:rPr>
          <w:rFonts w:ascii="Times New Roman" w:hAnsi="Times New Roman"/>
          <w:color w:val="0070C0"/>
          <w:sz w:val="16"/>
          <w:szCs w:val="16"/>
        </w:rPr>
        <w:softHyphen/>
        <w:t>местном варианте с завода снять. Срок окончания самолета Ил-1 в двухместном варианте заводу №18 оставить прежним, т.е. 10-го декабря 1945 г.»</w:t>
      </w:r>
    </w:p>
    <w:p w14:paraId="06B761F1"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Одновременно Ильюшин предло</w:t>
      </w:r>
      <w:r w:rsidRPr="00271E51">
        <w:rPr>
          <w:rFonts w:ascii="Times New Roman" w:hAnsi="Times New Roman" w:cs="Times New Roman"/>
          <w:color w:val="0070C0"/>
          <w:sz w:val="16"/>
          <w:szCs w:val="16"/>
        </w:rPr>
        <w:softHyphen/>
        <w:t>жил во исполнение постановления ГКО №4427сс предъявить на государственные испытания опытный разведчик-корректи</w:t>
      </w:r>
      <w:r w:rsidRPr="00271E51">
        <w:rPr>
          <w:rFonts w:ascii="Times New Roman" w:hAnsi="Times New Roman" w:cs="Times New Roman"/>
          <w:color w:val="0070C0"/>
          <w:sz w:val="16"/>
          <w:szCs w:val="16"/>
        </w:rPr>
        <w:softHyphen/>
        <w:t>ровщик Ил-2 АМ-42 (РК) в варианте штур</w:t>
      </w:r>
      <w:r w:rsidRPr="00271E51">
        <w:rPr>
          <w:rFonts w:ascii="Times New Roman" w:hAnsi="Times New Roman" w:cs="Times New Roman"/>
          <w:color w:val="0070C0"/>
          <w:sz w:val="16"/>
          <w:szCs w:val="16"/>
        </w:rPr>
        <w:softHyphen/>
        <w:t>мовика. Этот штурмовой вариант «следо</w:t>
      </w:r>
      <w:r w:rsidRPr="00271E51">
        <w:rPr>
          <w:rFonts w:ascii="Times New Roman" w:hAnsi="Times New Roman" w:cs="Times New Roman"/>
          <w:color w:val="0070C0"/>
          <w:sz w:val="16"/>
          <w:szCs w:val="16"/>
        </w:rPr>
        <w:softHyphen/>
        <w:t>пыта» имел бы увеличенную (против за</w:t>
      </w:r>
      <w:r w:rsidRPr="00271E51">
        <w:rPr>
          <w:rFonts w:ascii="Times New Roman" w:hAnsi="Times New Roman" w:cs="Times New Roman"/>
          <w:color w:val="0070C0"/>
          <w:sz w:val="16"/>
          <w:szCs w:val="16"/>
        </w:rPr>
        <w:softHyphen/>
        <w:t>дания) дальность полета за счет большего запаса горючего (1020 л вместо 840 л), нормальную бомбовую нагрузку в 600 кг и в перегрузку 1000 кг (за счет внешней подвески), менее мощное радиосвязное оборудование и один фотоаппарат для плановой съемки вместо двух. Самолет предъявлялся с пушками ВЯ (временное решение), но в перспективе предусматри</w:t>
      </w:r>
      <w:r w:rsidRPr="00271E51">
        <w:rPr>
          <w:rFonts w:ascii="Times New Roman" w:hAnsi="Times New Roman" w:cs="Times New Roman"/>
          <w:color w:val="0070C0"/>
          <w:sz w:val="16"/>
          <w:szCs w:val="16"/>
        </w:rPr>
        <w:softHyphen/>
        <w:t>валась установка 37-мм пушек 11П.</w:t>
      </w:r>
    </w:p>
    <w:p w14:paraId="4435184B"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Фактически предлагался один и тот же самолет, но с разными вариантами по</w:t>
      </w:r>
      <w:r w:rsidRPr="00271E51">
        <w:rPr>
          <w:rFonts w:ascii="Times New Roman" w:hAnsi="Times New Roman" w:cs="Times New Roman"/>
          <w:color w:val="0070C0"/>
          <w:sz w:val="16"/>
          <w:szCs w:val="16"/>
        </w:rPr>
        <w:softHyphen/>
        <w:t>лезной нагрузки (различные веса бомб, горючего и съемного оборудования).</w:t>
      </w:r>
    </w:p>
    <w:p w14:paraId="43F1C27F"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Выбор экземпляра самолета для пе</w:t>
      </w:r>
      <w:r w:rsidRPr="00271E51">
        <w:rPr>
          <w:rFonts w:ascii="Times New Roman" w:hAnsi="Times New Roman" w:cs="Times New Roman"/>
          <w:color w:val="0070C0"/>
          <w:sz w:val="16"/>
          <w:szCs w:val="16"/>
        </w:rPr>
        <w:softHyphen/>
        <w:t>редачи в НИИ ВВС обуславливался луч</w:t>
      </w:r>
      <w:r w:rsidRPr="00271E51">
        <w:rPr>
          <w:rFonts w:ascii="Times New Roman" w:hAnsi="Times New Roman" w:cs="Times New Roman"/>
          <w:color w:val="0070C0"/>
          <w:sz w:val="16"/>
          <w:szCs w:val="16"/>
        </w:rPr>
        <w:softHyphen/>
        <w:t>шим производственным исполнением Ил-2 АМ-42 (РК) по сравнению с Ил-2М АМ-42.</w:t>
      </w:r>
    </w:p>
    <w:p w14:paraId="2CBF6664"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Шахурин и в этот раз поддержал Иль</w:t>
      </w:r>
      <w:r w:rsidRPr="00271E51">
        <w:rPr>
          <w:rFonts w:ascii="Times New Roman" w:hAnsi="Times New Roman" w:cs="Times New Roman"/>
          <w:color w:val="0070C0"/>
          <w:sz w:val="16"/>
          <w:szCs w:val="16"/>
        </w:rPr>
        <w:softHyphen/>
        <w:t>юшина. Идея продвигать универсальный штурмовик-разведчик Ил-2 с АМ-42 (РК) (завод №240) и параллельно форсиро</w:t>
      </w:r>
      <w:r w:rsidRPr="00271E51">
        <w:rPr>
          <w:rFonts w:ascii="Times New Roman" w:hAnsi="Times New Roman" w:cs="Times New Roman"/>
          <w:color w:val="0070C0"/>
          <w:sz w:val="16"/>
          <w:szCs w:val="16"/>
        </w:rPr>
        <w:softHyphen/>
        <w:t>вать постройку двухместного скоростного штурмовика Ил-1 АМ-42 (завод №18) и одноместного истребителя Ил-1 АМ-42 (завод №1) ему показалась вполне отве</w:t>
      </w:r>
      <w:r w:rsidRPr="00271E51">
        <w:rPr>
          <w:rFonts w:ascii="Times New Roman" w:hAnsi="Times New Roman" w:cs="Times New Roman"/>
          <w:color w:val="0070C0"/>
          <w:sz w:val="16"/>
          <w:szCs w:val="16"/>
        </w:rPr>
        <w:softHyphen/>
        <w:t>чающей сложившейся обстановке. Приказ по НКАП, изменяющий задание заводу №18, вышел 5 ноября за №663с.</w:t>
      </w:r>
    </w:p>
    <w:p w14:paraId="45C7E584"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Одновременно Шахурин отдает рас</w:t>
      </w:r>
      <w:r w:rsidRPr="00271E51">
        <w:rPr>
          <w:rFonts w:ascii="Times New Roman" w:hAnsi="Times New Roman" w:cs="Times New Roman"/>
          <w:color w:val="0070C0"/>
          <w:sz w:val="16"/>
          <w:szCs w:val="16"/>
        </w:rPr>
        <w:softHyphen/>
        <w:t>поряжение Сухому переделать двухмест</w:t>
      </w:r>
      <w:r w:rsidRPr="00271E51">
        <w:rPr>
          <w:rFonts w:ascii="Times New Roman" w:hAnsi="Times New Roman" w:cs="Times New Roman"/>
          <w:color w:val="0070C0"/>
          <w:sz w:val="16"/>
          <w:szCs w:val="16"/>
        </w:rPr>
        <w:softHyphen/>
        <w:t>ный Су-6, прошедший государственные испытания, под установку мотора АМ-42 и устранить все дефекты и недостатки, от</w:t>
      </w:r>
      <w:r w:rsidRPr="00271E51">
        <w:rPr>
          <w:rFonts w:ascii="Times New Roman" w:hAnsi="Times New Roman" w:cs="Times New Roman"/>
          <w:color w:val="0070C0"/>
          <w:sz w:val="16"/>
          <w:szCs w:val="16"/>
        </w:rPr>
        <w:softHyphen/>
        <w:t>меченные в акте НИИ ВВС.</w:t>
      </w:r>
    </w:p>
    <w:p w14:paraId="20BCD4F8"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Этот шаг можно расценивать как стра</w:t>
      </w:r>
      <w:r w:rsidRPr="00271E51">
        <w:rPr>
          <w:rFonts w:ascii="Times New Roman" w:hAnsi="Times New Roman" w:cs="Times New Roman"/>
          <w:color w:val="0070C0"/>
          <w:sz w:val="16"/>
          <w:szCs w:val="16"/>
        </w:rPr>
        <w:softHyphen/>
        <w:t>ховку от возможных в будущем упреков в свой адрес и в адрес Наркомата в без</w:t>
      </w:r>
      <w:r w:rsidRPr="00271E51">
        <w:rPr>
          <w:rFonts w:ascii="Times New Roman" w:hAnsi="Times New Roman" w:cs="Times New Roman"/>
          <w:color w:val="0070C0"/>
          <w:sz w:val="16"/>
          <w:szCs w:val="16"/>
        </w:rPr>
        <w:softHyphen/>
        <w:t>действии и «зажиме» лучших образцов вооружения. С другой стороны, если у Су</w:t>
      </w:r>
      <w:r w:rsidRPr="00271E51">
        <w:rPr>
          <w:rFonts w:ascii="Times New Roman" w:hAnsi="Times New Roman" w:cs="Times New Roman"/>
          <w:color w:val="0070C0"/>
          <w:sz w:val="16"/>
          <w:szCs w:val="16"/>
        </w:rPr>
        <w:softHyphen/>
        <w:t>хого все получится, то будет из чего выби</w:t>
      </w:r>
      <w:r w:rsidRPr="00271E51">
        <w:rPr>
          <w:rFonts w:ascii="Times New Roman" w:hAnsi="Times New Roman" w:cs="Times New Roman"/>
          <w:color w:val="0070C0"/>
          <w:sz w:val="16"/>
          <w:szCs w:val="16"/>
        </w:rPr>
        <w:softHyphen/>
        <w:t>рать, можно договариваться с военными и вырабатывать компромиссное решение.</w:t>
      </w:r>
    </w:p>
    <w:p w14:paraId="0742E3AC"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Отметим, что установка на самолет Су</w:t>
      </w:r>
      <w:r w:rsidRPr="00271E51">
        <w:rPr>
          <w:rFonts w:ascii="Times New Roman" w:hAnsi="Times New Roman" w:cs="Times New Roman"/>
          <w:color w:val="0070C0"/>
          <w:sz w:val="16"/>
          <w:szCs w:val="16"/>
        </w:rPr>
        <w:softHyphen/>
        <w:t>хого мотора АМ-42 Ильюшина особо не пугала, потому как изначально принятые на Су-6 компоновочные и аэродинамиче</w:t>
      </w:r>
      <w:r w:rsidRPr="00271E51">
        <w:rPr>
          <w:rFonts w:ascii="Times New Roman" w:hAnsi="Times New Roman" w:cs="Times New Roman"/>
          <w:color w:val="0070C0"/>
          <w:sz w:val="16"/>
          <w:szCs w:val="16"/>
        </w:rPr>
        <w:softHyphen/>
        <w:t>ские решения наилучшим образом могли проявиться лишь при установке на само</w:t>
      </w:r>
      <w:r w:rsidRPr="00271E51">
        <w:rPr>
          <w:rFonts w:ascii="Times New Roman" w:hAnsi="Times New Roman" w:cs="Times New Roman"/>
          <w:color w:val="0070C0"/>
          <w:sz w:val="16"/>
          <w:szCs w:val="16"/>
        </w:rPr>
        <w:softHyphen/>
        <w:t>лет мотора воздушного охлаждения и не обеспечивали необходимое совершенство машины в аэродинамическом и весовом отношении в случае применения мотора с жидкостным охлаждением. В то же время компоновка Ил-1 и его аэродинамика, на</w:t>
      </w:r>
      <w:r w:rsidRPr="00271E51">
        <w:rPr>
          <w:rFonts w:ascii="Times New Roman" w:hAnsi="Times New Roman" w:cs="Times New Roman"/>
          <w:color w:val="0070C0"/>
          <w:sz w:val="16"/>
          <w:szCs w:val="16"/>
        </w:rPr>
        <w:softHyphen/>
        <w:t>оборот, были оптимизированы именно под мотор жидкостного охлаждения. При установке на Су-6 мотора АМ-42 без кар</w:t>
      </w:r>
      <w:r w:rsidRPr="00271E51">
        <w:rPr>
          <w:rFonts w:ascii="Times New Roman" w:hAnsi="Times New Roman" w:cs="Times New Roman"/>
          <w:color w:val="0070C0"/>
          <w:sz w:val="16"/>
          <w:szCs w:val="16"/>
        </w:rPr>
        <w:softHyphen/>
        <w:t>динальной переделки конструкции само</w:t>
      </w:r>
      <w:r w:rsidRPr="00271E51">
        <w:rPr>
          <w:rFonts w:ascii="Times New Roman" w:hAnsi="Times New Roman" w:cs="Times New Roman"/>
          <w:color w:val="0070C0"/>
          <w:sz w:val="16"/>
          <w:szCs w:val="16"/>
        </w:rPr>
        <w:softHyphen/>
        <w:t>лета его летные данные при сопостави</w:t>
      </w:r>
      <w:r w:rsidRPr="00271E51">
        <w:rPr>
          <w:rFonts w:ascii="Times New Roman" w:hAnsi="Times New Roman" w:cs="Times New Roman"/>
          <w:color w:val="0070C0"/>
          <w:sz w:val="16"/>
          <w:szCs w:val="16"/>
        </w:rPr>
        <w:softHyphen/>
        <w:t>мых полетных весах могли оказаться заве</w:t>
      </w:r>
      <w:r w:rsidRPr="00271E51">
        <w:rPr>
          <w:rFonts w:ascii="Times New Roman" w:hAnsi="Times New Roman" w:cs="Times New Roman"/>
          <w:color w:val="0070C0"/>
          <w:sz w:val="16"/>
          <w:szCs w:val="16"/>
        </w:rPr>
        <w:softHyphen/>
        <w:t>домо хуже, чем у Ил-1 с этим же мотором (19846).</w:t>
      </w:r>
    </w:p>
    <w:p w14:paraId="2C24EC17"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p>
    <w:p w14:paraId="17D40B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Нач. инспекции при Наркоме Волконский писал А.И.Ш. справку N 5269:</w:t>
      </w:r>
    </w:p>
    <w:p w14:paraId="3CD335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"Справка по вопросу установки пушек калибра 45 мм на самолеты Як-9 и Ил-2</w:t>
      </w:r>
    </w:p>
    <w:p w14:paraId="0DBF8D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ГК С.В.И. обязывался сдать на гос. летные испытания: один самолет Ил-2 с пушками калибра 45 мм ОКБ-16 НКВ к 5 ноября с.г. и один самолет Ил-2 с пушками того же калибра ОКБ-15 к 5 ноября с.г.</w:t>
      </w:r>
    </w:p>
    <w:p w14:paraId="08A775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 выполнения:</w:t>
      </w:r>
    </w:p>
    <w:p w14:paraId="1B53B0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с пушками 45 мм ОКБ-16 НКВ слан на гос. испытания 13 сентября с.г.</w:t>
      </w:r>
    </w:p>
    <w:p w14:paraId="74ADBC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с пушками 45 мм ОКБ-15 НКВ окончен производством 27 октября, но из-за отсутствия летной погоды в НИИ ВВС не отправлен." (1784,42).</w:t>
      </w:r>
    </w:p>
    <w:p w14:paraId="4820C5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05C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октября 1943 г. по приказу № 58с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(10776). </w:t>
      </w:r>
    </w:p>
    <w:p w14:paraId="2208DC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40836"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w:t>
      </w:r>
      <w:r w:rsidRPr="00271E51">
        <w:rPr>
          <w:rFonts w:ascii="Times New Roman" w:hAnsi="Times New Roman"/>
          <w:color w:val="000000" w:themeColor="text1"/>
          <w:sz w:val="16"/>
          <w:szCs w:val="16"/>
        </w:rPr>
        <w:softHyphen/>
        <w:t>ря 1943 с задержкой из-за погоды состоялся вылет доработанного высотного Ла-5.</w:t>
      </w:r>
    </w:p>
    <w:p w14:paraId="54EBD33C"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w:t>
      </w:r>
      <w:r w:rsidRPr="00271E51">
        <w:rPr>
          <w:rFonts w:ascii="Times New Roman" w:hAnsi="Times New Roman"/>
          <w:color w:val="000000" w:themeColor="text1"/>
          <w:sz w:val="16"/>
          <w:szCs w:val="16"/>
        </w:rPr>
        <w:softHyphen/>
        <w:t>молёте установили новый мотор и новые турбокомпрессоры производства завода № 19, если на предыдущем моторе впрыск воды осуществлялся только в восемь цилиндров — во все семь цилиндров заднего ряда мотора и в один переднего ряда — самый горячий, то теперь воду подвели ко всем 14 цилиндрам М-82ФН. Чтобы избежать обратного хо</w:t>
      </w:r>
      <w:r w:rsidRPr="00271E51">
        <w:rPr>
          <w:rFonts w:ascii="Times New Roman" w:hAnsi="Times New Roman"/>
          <w:color w:val="000000" w:themeColor="text1"/>
          <w:sz w:val="16"/>
          <w:szCs w:val="16"/>
        </w:rPr>
        <w:softHyphen/>
        <w:t>да при холодном запуске мотора, магнето БСМ-14В без пускового электрода побегуш</w:t>
      </w:r>
      <w:r w:rsidRPr="00271E51">
        <w:rPr>
          <w:rFonts w:ascii="Times New Roman" w:hAnsi="Times New Roman"/>
          <w:color w:val="000000" w:themeColor="text1"/>
          <w:sz w:val="16"/>
          <w:szCs w:val="16"/>
        </w:rPr>
        <w:softHyphen/>
        <w:t>ки заменили на магнето с таковым. Винт установили старый — АВ-5, диаметром 3,2 м. Из-за отсутствия лётной погоды следующий высотный полёт состоялся лишь 30 октяб</w:t>
      </w:r>
      <w:r w:rsidRPr="00271E51">
        <w:rPr>
          <w:rFonts w:ascii="Times New Roman" w:hAnsi="Times New Roman"/>
          <w:color w:val="000000" w:themeColor="text1"/>
          <w:sz w:val="16"/>
          <w:szCs w:val="16"/>
        </w:rPr>
        <w:softHyphen/>
        <w:t>ря. Но на высоте 12000 м его пришлось прекратить из-за высокой температуры масла на входе в мотор, достигшей 95°С. По мнению лётчика, эта высота являлась близкой к пра</w:t>
      </w:r>
      <w:r w:rsidRPr="00271E51">
        <w:rPr>
          <w:rFonts w:ascii="Times New Roman" w:hAnsi="Times New Roman"/>
          <w:color w:val="000000" w:themeColor="text1"/>
          <w:sz w:val="16"/>
          <w:szCs w:val="16"/>
        </w:rPr>
        <w:softHyphen/>
        <w:t>ктическому потолку, и вертикальная скорость на ней была незначительной. Учитывая, что 16 сентября самолёт с винтом ВИШ-105В относительно легко набрал 12500 м, пришли к выводу о более низком КПД винта АВ-5 и решили вновь установить ВИШ-105В.</w:t>
      </w:r>
    </w:p>
    <w:p w14:paraId="761399E8"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на высоте 12000 м его пришлось прекратить из-за высокой температуры масла на входе в мотор, достигшей 95°С. По мнению лётчика, эта высота являлась близкой к пра</w:t>
      </w:r>
      <w:r w:rsidRPr="00271E51">
        <w:rPr>
          <w:rFonts w:ascii="Times New Roman" w:hAnsi="Times New Roman"/>
          <w:color w:val="000000" w:themeColor="text1"/>
          <w:sz w:val="16"/>
          <w:szCs w:val="16"/>
        </w:rPr>
        <w:softHyphen/>
        <w:t>ктическому потолку, и вертикальная скорость на ней была незначительной. Учитывая, что 16 сентября самолёт с винтом ВИШ-105В относительно легко набрал 12500 м, пришли к выводу о более низком КПД винта АВ-5 и решили вновь установить ВИШ-105В.</w:t>
      </w:r>
    </w:p>
    <w:p w14:paraId="690455CF"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уменьшению высоты полёта также привело и увеличение веса на 100 кг из-за допо</w:t>
      </w:r>
      <w:r w:rsidRPr="00271E51">
        <w:rPr>
          <w:rFonts w:ascii="Times New Roman" w:hAnsi="Times New Roman"/>
          <w:color w:val="000000" w:themeColor="text1"/>
          <w:sz w:val="16"/>
          <w:szCs w:val="16"/>
        </w:rPr>
        <w:softHyphen/>
        <w:t>лнительного бензина и воды. Вода принесла ещё одну проблему — возникла угроза кор</w:t>
      </w:r>
      <w:r w:rsidRPr="00271E51">
        <w:rPr>
          <w:rFonts w:ascii="Times New Roman" w:hAnsi="Times New Roman"/>
          <w:color w:val="000000" w:themeColor="text1"/>
          <w:sz w:val="16"/>
          <w:szCs w:val="16"/>
        </w:rPr>
        <w:softHyphen/>
        <w:t>розии соприкасающихся с водой металлических деталей и возможность замерзания воды в системе. После шести полётов, при осмотре всей системы, на помпе обнаружили следы коррозии. Помпу заменили, а вместо чистой воды, в соответствии с рекоменда</w:t>
      </w:r>
      <w:r w:rsidRPr="00271E51">
        <w:rPr>
          <w:rFonts w:ascii="Times New Roman" w:hAnsi="Times New Roman"/>
          <w:color w:val="000000" w:themeColor="text1"/>
          <w:sz w:val="16"/>
          <w:szCs w:val="16"/>
        </w:rPr>
        <w:softHyphen/>
        <w:t>цией завода № 19, стали использовать смесь воды и спирта в соотношении 50% : 50%. Так как открытая теплота испарения у спирта в два раза меньше, чем у воды, охлажда</w:t>
      </w:r>
      <w:r w:rsidRPr="00271E51">
        <w:rPr>
          <w:rFonts w:ascii="Times New Roman" w:hAnsi="Times New Roman"/>
          <w:color w:val="000000" w:themeColor="text1"/>
          <w:sz w:val="16"/>
          <w:szCs w:val="16"/>
        </w:rPr>
        <w:softHyphen/>
        <w:t>ющий эффект смеси оказался меньше и, как следствие, произошло некоторое увеличе</w:t>
      </w:r>
      <w:r w:rsidRPr="00271E51">
        <w:rPr>
          <w:rFonts w:ascii="Times New Roman" w:hAnsi="Times New Roman"/>
          <w:color w:val="000000" w:themeColor="text1"/>
          <w:sz w:val="16"/>
          <w:szCs w:val="16"/>
        </w:rPr>
        <w:softHyphen/>
        <w:t>ние расхода охлаждающей жидкости. Хотя с самого начала из-за малого количества воды (ёмкость бака составляла всего 27 л), лётчику давалось указание включать впрыск воды не более чем на 15 минут, и только в случае повышения температуры головок ци</w:t>
      </w:r>
      <w:r w:rsidRPr="00271E51">
        <w:rPr>
          <w:rFonts w:ascii="Times New Roman" w:hAnsi="Times New Roman"/>
          <w:color w:val="000000" w:themeColor="text1"/>
          <w:sz w:val="16"/>
          <w:szCs w:val="16"/>
        </w:rPr>
        <w:softHyphen/>
        <w:t>линдров мотора свыше максимально допустимых значений. При этом он не мог контро</w:t>
      </w:r>
      <w:r w:rsidRPr="00271E51">
        <w:rPr>
          <w:rFonts w:ascii="Times New Roman" w:hAnsi="Times New Roman"/>
          <w:color w:val="000000" w:themeColor="text1"/>
          <w:sz w:val="16"/>
          <w:szCs w:val="16"/>
        </w:rPr>
        <w:softHyphen/>
        <w:t>лировать количество охлаждающей жидкости в баке, и существовала угроза, что помпа будет работать «всухую». Однако, с другой стороны, преимущества применения впры</w:t>
      </w:r>
      <w:r w:rsidRPr="00271E51">
        <w:rPr>
          <w:rFonts w:ascii="Times New Roman" w:hAnsi="Times New Roman"/>
          <w:color w:val="000000" w:themeColor="text1"/>
          <w:sz w:val="16"/>
          <w:szCs w:val="16"/>
        </w:rPr>
        <w:softHyphen/>
        <w:t>ска воды были неоспоримы: на высоте 5000 м температура головок цилиндров снизи</w:t>
      </w:r>
      <w:r w:rsidRPr="00271E51">
        <w:rPr>
          <w:rFonts w:ascii="Times New Roman" w:hAnsi="Times New Roman"/>
          <w:color w:val="000000" w:themeColor="text1"/>
          <w:sz w:val="16"/>
          <w:szCs w:val="16"/>
        </w:rPr>
        <w:softHyphen/>
        <w:t>лась с 220°С до 160°С, благодаря впрыску воды стали возможны полёты на номинальной мощности мотора на высотах более 10000 м без перегрева головок цилиндров, он по</w:t>
      </w:r>
      <w:r w:rsidRPr="00271E51">
        <w:rPr>
          <w:rFonts w:ascii="Times New Roman" w:hAnsi="Times New Roman"/>
          <w:color w:val="000000" w:themeColor="text1"/>
          <w:sz w:val="16"/>
          <w:szCs w:val="16"/>
        </w:rPr>
        <w:softHyphen/>
        <w:t>зволял увеличить скороподъёмность самолёта за счёт большего закрытия боковых ство</w:t>
      </w:r>
      <w:r w:rsidRPr="00271E51">
        <w:rPr>
          <w:rFonts w:ascii="Times New Roman" w:hAnsi="Times New Roman"/>
          <w:color w:val="000000" w:themeColor="text1"/>
          <w:sz w:val="16"/>
          <w:szCs w:val="16"/>
        </w:rPr>
        <w:softHyphen/>
        <w:t>рок и исключить площадки для охлаждения головок цилиндров мотора при наборе высоты. В свою очередь, проведенное ЦИАМ обогащение смеси дало снижение темпе</w:t>
      </w:r>
      <w:r w:rsidRPr="00271E51">
        <w:rPr>
          <w:rFonts w:ascii="Times New Roman" w:hAnsi="Times New Roman"/>
          <w:color w:val="000000" w:themeColor="text1"/>
          <w:sz w:val="16"/>
          <w:szCs w:val="16"/>
        </w:rPr>
        <w:softHyphen/>
        <w:t>ратуры головок цилиндров на 20°С, а работа на спирто-бензиновых смесях обеспечила увеличение мощности на 10% при нормальном наддуве.</w:t>
      </w:r>
    </w:p>
    <w:p w14:paraId="665CE234"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полёта, совершенные 6 и 9 ноября, и 2 декабря 1943 г., ничего нового не дали, разве что для улучшения охлаждения масла вместо маслорадиатора с толщиной стенок трубок 0,2 мм, установили маслорадиатор с толщиной стенок трубок 0,1 мм, и в фюзе</w:t>
      </w:r>
      <w:r w:rsidRPr="00271E51">
        <w:rPr>
          <w:rFonts w:ascii="Times New Roman" w:hAnsi="Times New Roman"/>
          <w:color w:val="000000" w:themeColor="text1"/>
          <w:sz w:val="16"/>
          <w:szCs w:val="16"/>
        </w:rPr>
        <w:softHyphen/>
        <w:t>ляже самолёта позади пилота разместили дополнительный бензобак емкостью 60 л. Всего по 2 декабря 1943 г. включительно произвели 17 полётов, из них 11 с впрыском воды. Метеорологические условия в зимний период позволили произвести только не</w:t>
      </w:r>
      <w:r w:rsidRPr="00271E51">
        <w:rPr>
          <w:rFonts w:ascii="Times New Roman" w:hAnsi="Times New Roman"/>
          <w:color w:val="000000" w:themeColor="text1"/>
          <w:sz w:val="16"/>
          <w:szCs w:val="16"/>
        </w:rPr>
        <w:softHyphen/>
        <w:t>сколько полётов. В марте 1944 г. Ла-5ФН с 2ТК-3 совершил ещё три полёта до высо</w:t>
      </w:r>
      <w:r w:rsidRPr="00271E51">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271E51">
        <w:rPr>
          <w:rFonts w:ascii="Times New Roman" w:hAnsi="Times New Roman"/>
          <w:color w:val="000000" w:themeColor="text1"/>
          <w:sz w:val="16"/>
          <w:szCs w:val="16"/>
        </w:rPr>
        <w:softHyphen/>
        <w:t>вительный ремонт (15830).</w:t>
      </w:r>
    </w:p>
    <w:p w14:paraId="145ED656" w14:textId="77777777" w:rsidR="008E7E8D" w:rsidRPr="00271E51" w:rsidRDefault="008E7E8D" w:rsidP="00271E51">
      <w:pPr>
        <w:spacing w:after="0" w:line="240" w:lineRule="auto"/>
        <w:jc w:val="both"/>
        <w:rPr>
          <w:rFonts w:ascii="Times New Roman" w:hAnsi="Times New Roman"/>
          <w:color w:val="000000" w:themeColor="text1"/>
          <w:sz w:val="16"/>
          <w:szCs w:val="16"/>
        </w:rPr>
      </w:pPr>
    </w:p>
    <w:p w14:paraId="155154DF"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C31A8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10BD2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г. из СПРАВКИ ИНСТРУКТОРА ОТДЕЛА ПРОМЫШЛЕННОСТИ БОЕПРИПАСОВ ОБКОМА ВКП(б) П.Н. ГОРЛОВА «О РАБОТЕ КОМБИНАТА № 179 ЗА ГОДЫ ВЕЛИКОЙ ОТЕЧЕСТВЕННОЙ ВОЙНЫ (1941-1943)»</w:t>
      </w:r>
    </w:p>
    <w:p w14:paraId="453443A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началу войны комбинат № 179 представлял собой стройку. В первый месяц войны он дал всего лишь 65 тысяч 77 мм снарядов. Общий объем выпущенной им продукции за месяц составлял 2 млн. рублей. Основные средства к этому времени составляли: оборудование -819 единиц, производственных площадей — 18 605 квадратных метров, рабочей силы - 11 232 человека. С июня 1941 года комбинат начинает усиленным темпом развивать производство снарядов и наращивать мощность, обеспечивающую дальнейшее увеличение выпуска. Параллельно вводу и освоению мощностей проведена значительная работа по улучшению организации производства и совершенству технологического процесса обработки изделий. В 1942 году 76 мм снаряд с привинтной головкой заменен цельнокорпусным, это мероприятие обеспечило ввод дополнительно 50 станков. Отменена нормализация штамповки и травления камеры снарядов. Эти мероприятия обеспечили экономию 7 000 тонн угля, 576 тонн серной кислоты и 50 тонн извести ежегодно и значительно сократили процесс производства. Внедрена штамповка всех снарядов с внутренним корпусом. Организовано поточное производство штамповочного инструмента. Освоено изготовление многих видов режущего инструмента, заменяющего ввозимый до войны из-за границы. ... Проведен целый ряд работ по механизации трудоемких процессов. Все проведенные мероприятия дали большую экономию материалов и значительно уменьшили затраты на единицу изделий времени. За годы войны комбинат освоил производство цельнокорпусных снарядов 122 и 152 мм, железобетонных авиабомб ФАБ-100, литье 120 мм мин из сталистого чугуна и значительно развил их мощности. С целью экономии стратегического сырья на комбинате организовано производство авиабомб АГ-25 и ФАБ-50 из брака корпусов снарядов. Все производство снарядов, авиабомб и мин организовано на сырье Кузнецкого металлургического комбината, а готовая продукция отгружается заводу № 635. В течение всего 1943 года ощущаются исключительные перебои в </w:t>
      </w:r>
      <w:r w:rsidRPr="00271E51">
        <w:rPr>
          <w:rFonts w:ascii="Times New Roman" w:hAnsi="Times New Roman"/>
          <w:color w:val="000000" w:themeColor="text1"/>
          <w:sz w:val="16"/>
          <w:szCs w:val="16"/>
        </w:rPr>
        <w:lastRenderedPageBreak/>
        <w:t>снабжении металлом и углем. На комбинате нет нормальных переходящих запасов металла и топлива. В результате в сентябре месяце из-за отсутствия металла недодано 300 тысяч штук 76 мм снарядов, в октябре месяце производство этих снарядов имело большое количество простоев, в ноябре месяце повторяется то же самое. Наличие ИТР вполне обеспечивает нормальный ход производства, однако отношение к ним часто бывает нездоровое, со стороны руководства комбината часто допускаются излишнее дерганье, грубости по адресу отдельных руководящих работников. В результате устойчивости кадров на комбинате нет. Только за 10 месяцев 1943 года сменилось: главных инженеров комбината - 3, заместителей директора комбината - 4, сменили по несколько раз свои места 10 начальников цехов. Ощущается исключительный недостаток в квалифицированных рабочих. Отдел подготовки кадров за 9 месяцев 1943 года подготовил всеми видами обучения 7 835 человек, из них: Б.И.У.— 3 778 человек, техминимум - 1 429 и стахановскими школами - 2 528 человек. Однако все эти виды производственного обучения обеспечивают рабочему только навыки, но они не обеспечивают ему квалификации. Бытовые условия до сих пор остаются тяжелыми. Много рабочих часто недоедают, не имеют одежды, обуви и других бытовых предметов, что приводит к огромной текучести рабочих. При списочном составе на 1 сентября 1943 года в 17 222 человека, за 9 месяцев ушел с комбината 5 331 человек, из них: в РККА ушло только 377 человек, а дезертировало 4 432 человека. Для ликвидации подобного состояния с текучестью необходимо коренное улучшение бытового состояния работающих.</w:t>
      </w:r>
    </w:p>
    <w:p w14:paraId="01150F8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Инструктор отдела промышленности боеприпасов обкома ВКП(б) Горлов</w:t>
      </w:r>
    </w:p>
    <w:p w14:paraId="2001730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508. Л. 172-177. Копия. Один из экземпляров машинописной закладки.</w:t>
      </w:r>
    </w:p>
    <w:p w14:paraId="72A79EB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7. Д. 508. Л. 227. Подлинник.</w:t>
      </w:r>
    </w:p>
    <w:p w14:paraId="2381253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Подписи-автографы. Документ подготовлен в 2 экз. 30/Х 1943 г. (12193).</w:t>
      </w:r>
    </w:p>
    <w:p w14:paraId="2C7D96E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91319A5" w14:textId="77777777" w:rsidR="00B95E55" w:rsidRPr="00271E51" w:rsidRDefault="00B95E55" w:rsidP="00271E51">
      <w:pPr>
        <w:pStyle w:val="a3"/>
        <w:rPr>
          <w:color w:val="000000" w:themeColor="text1"/>
          <w:lang w:val="ru-RU"/>
        </w:rPr>
      </w:pPr>
      <w:r w:rsidRPr="00271E51">
        <w:rPr>
          <w:color w:val="000000" w:themeColor="text1"/>
          <w:lang w:val="ru-RU"/>
        </w:rPr>
        <w:t>С 30 октября по 10 ноября 1943 одна из четырех изготовленных мортир М-4 прошла большие контрольные испытания. По итогам испытаний комиссия дала следующее заключение:</w:t>
      </w:r>
    </w:p>
    <w:p w14:paraId="1CCBC734"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«1. 203-мм мортира «М-4» №5/7557 большие контрольные испытания стрельбой в количестве 207 выстрелов и пробегом в 275 км выдер</w:t>
      </w:r>
      <w:r w:rsidRPr="00271E51">
        <w:rPr>
          <w:i w:val="0"/>
          <w:color w:val="000000" w:themeColor="text1"/>
          <w:sz w:val="16"/>
          <w:szCs w:val="16"/>
        </w:rPr>
        <w:softHyphen/>
        <w:t>жала.</w:t>
      </w:r>
    </w:p>
    <w:p w14:paraId="50A5DDD2"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2. По результатам испытаний, Комиссия считает возможным все че</w:t>
      </w:r>
      <w:r w:rsidRPr="00271E51">
        <w:rPr>
          <w:i w:val="0"/>
          <w:color w:val="000000" w:themeColor="text1"/>
          <w:sz w:val="16"/>
          <w:szCs w:val="16"/>
        </w:rPr>
        <w:softHyphen/>
        <w:t>тыре мортиры «М-4», изготовленные заводом №172 и выдержавшие заводские испытания, допустить к войсковым испытаниям».</w:t>
      </w:r>
    </w:p>
    <w:p w14:paraId="063BA985" w14:textId="77777777" w:rsidR="00B95E55" w:rsidRPr="00271E51" w:rsidRDefault="00B95E55" w:rsidP="00271E51">
      <w:pPr>
        <w:pStyle w:val="a3"/>
        <w:rPr>
          <w:color w:val="000000" w:themeColor="text1"/>
          <w:lang w:val="ru-RU"/>
        </w:rPr>
      </w:pPr>
      <w:r w:rsidRPr="00271E51">
        <w:rPr>
          <w:color w:val="000000" w:themeColor="text1"/>
          <w:lang w:val="ru-RU"/>
        </w:rPr>
        <w:t>25 ноября начальником Артиллерийского комитета ГАУ КА было принято решение о том, что две М-4 остаются на Гороховецком поли</w:t>
      </w:r>
      <w:r w:rsidRPr="00271E51">
        <w:rPr>
          <w:color w:val="000000" w:themeColor="text1"/>
          <w:lang w:val="ru-RU"/>
        </w:rPr>
        <w:softHyphen/>
        <w:t>гоне, а оставшиеся две системы передаются в Гороховецкий учебный артиллерийский лагерь. Несмотря на это, в начале 1944 года работы по мортире окончательно застопорились. М-4 ждала незавидная судьба образца, не пошедшего в крупную серию (17484).</w:t>
      </w:r>
    </w:p>
    <w:p w14:paraId="39E2F9D5"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539721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4458. О мерах по обеспечению окончания строительства и сдачи в эксплуатацию трубопровода Астрахань-Саратов.РГАНИР, Фонд ГКО, д. 169, лл. 180-181 (11012).</w:t>
      </w:r>
    </w:p>
    <w:p w14:paraId="67F832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9C2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Постановление ГКО № 4459 О плане военного судостроения на IV квартал 1943 года.РГАНИР, Фонд ГКО, д. 169, лл. 182-187, 188-203 (11012).</w:t>
      </w:r>
    </w:p>
    <w:p w14:paraId="0696FC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51C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4460. О восстановлении Макеевского металлургического завода НКЧМ.РГАНИР, Фонд ГКО, д. 169, лл. 204-205 (11012).</w:t>
      </w:r>
    </w:p>
    <w:p w14:paraId="66F4C7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085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Постановление ГКО № 4461 О восстановлении текстильных предприятий г.Харькова.РГАНИР, Фонд ГКО, д. 169, лл. 206-209 (11012).</w:t>
      </w:r>
    </w:p>
    <w:p w14:paraId="5E5907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0FF8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4463 [Об изменениях в плане поставок кальцинированной и каустической соды для НКЦМ.] (7151, 211).</w:t>
      </w:r>
    </w:p>
    <w:p w14:paraId="42089F0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C9FBC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4464 [О сокращении эвакогоспиталя в Томске и передаче его здания Томскому электромеханическому институту инженеров железнодорожного транспорта.] (7151, 212).</w:t>
      </w:r>
    </w:p>
    <w:p w14:paraId="62CDD80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4E4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4465. О приравнивании ЦЭС Красноярского завода "Красный Профинтерн" и ТЭЦ Иркутского завода им. Куйбышева по материально-техническому снабжению, зарплате и питанию соответственно к электростанциям III категории НКЭС и I категории НКхоза РСФСРРГАНИР, Фонд ГКО, д. 169, лл. 213 (11012).</w:t>
      </w:r>
    </w:p>
    <w:p w14:paraId="2120B9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B6F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4466. О временной передаче завалочного крана с завода № 200 на Челябинский трубопрокатный завоРГАНИР, Фонд ГКО, д. РГАНИР, Фонд ГКО, д. 169, лл. 214 (11012).</w:t>
      </w:r>
    </w:p>
    <w:p w14:paraId="3D7539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7DCD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4467 [О распространении постановления ГКО № 3944 от 18 августа 1943 г. О мерах обеспечения нормальной частоты в энергосистемах на Наркомат коммунального хозяйства РСФСР.] (7151, 215).</w:t>
      </w:r>
    </w:p>
    <w:p w14:paraId="5B21179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93387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Постановление ГКО № 4468 Об общем плане перевозок народнохозяйственных и воинских грузов по железнодорожному и водному транспорту на ноябрь 1943 года. (7151, 216).</w:t>
      </w:r>
    </w:p>
    <w:p w14:paraId="6DE974E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35EB8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Постановление ГКО № 4469 О плане перевозок народнохозяйственных грузов по железнодорожному и водному транспорту на ноябрь 1943 года. (7152, 1-4,5-168).</w:t>
      </w:r>
    </w:p>
    <w:p w14:paraId="1F99636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713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4470. О присвоении номеров воинских транспортов угольным маршрутам, отгружаемым в адрес НКВМФ.РГАНИР, Фонд ГКО, д. 171, лл. 1 (11012).</w:t>
      </w:r>
    </w:p>
    <w:p w14:paraId="0AF963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6226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4471 [О мерах по увеличению производства автомобильного бензина на нефтеперерабатывающих заводах Грознефтекомбината.] (7153, 2-4).</w:t>
      </w:r>
    </w:p>
    <w:p w14:paraId="1542C30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40B5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4472. О мерах по восстановлению работы фабрик НКБП в Смоленской обл.РГАНИР, Фонд ГКО, д. 171, лл. 5-7, 8 (11012).</w:t>
      </w:r>
    </w:p>
    <w:p w14:paraId="768BD7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0D1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Постановление ГКО № 4473 О восстановлении нефтебаз Азово-Черноморского побережья.РГАНИР, Фонд ГКО, д. 171, лл. 9-13, 14-18 (11012).</w:t>
      </w:r>
    </w:p>
    <w:p w14:paraId="7F0FDA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C61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30-31 октября 1943 Вступили в строй действующего флота 10-й МБК, 2 БМО и 4 МО-4 (10671).</w:t>
      </w:r>
    </w:p>
    <w:p w14:paraId="27A5BB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8A0F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21475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E50D0D"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30 октября </w:t>
      </w:r>
      <w:r w:rsidRPr="00271E51">
        <w:rPr>
          <w:rFonts w:ascii="Times New Roman" w:hAnsi="Times New Roman"/>
          <w:color w:val="000000" w:themeColor="text1"/>
          <w:sz w:val="16"/>
          <w:szCs w:val="16"/>
        </w:rPr>
        <w:t>в 1943 году оперативная сводка Совинформбюро:</w:t>
      </w:r>
    </w:p>
    <w:p w14:paraId="2F326BCA"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октября в районе между рекой Днепр и побережьем Сиваша наши войска, продолжая преследовать отступающего противника, продвинулись вперёд от 15 до 35 километров и овладели городом Геническ, а также заняли более 150 других населённых пунктов, среди которых крупные населённые пункты Павловка, Демидовка, Большая Благовещенка, Новая Елизаветовка, Дмитриевка, Артёмовка, Щербина, Аскания Нова, Агайман, Сусоевка, Ильинка, Алексеевка, Будённовка, Тимофеевка,Павловка, Петровка, Новая Григорьевка, Юзкуи, и железнодорожные станции Сокологорное, Юрицино.</w:t>
      </w:r>
    </w:p>
    <w:p w14:paraId="3C5DE379"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продолжали наступление и, продвинувшись на отдельных участках вперёд от 5 до 8 километров, овладели районным центром Днепропетровской области Щорск, а также заняли несколько других населённых пунктов, среди которых Алексеевка, Петровский, Житлово, Скилеветая, Потоки и железнодорожная станция Божедаровка.</w:t>
      </w:r>
    </w:p>
    <w:p w14:paraId="78EC708C"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отбивать контратаки крупных сил пехоты и танков противника.</w:t>
      </w:r>
    </w:p>
    <w:p w14:paraId="21A691AA"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усиленная разведка и артиллерийско-миномётная перестрелка.</w:t>
      </w:r>
    </w:p>
    <w:p w14:paraId="0E2EE254"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29 октября наши войска на всех фронтах подбили и уничтожили 109 немецких танков. В воздушных боях и огнём зенитной артиллерии сбито 28 самолётов противника.</w:t>
      </w:r>
    </w:p>
    <w:p w14:paraId="37AD7381"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побережьем Сиваша наши войска продолжали наступление и продвинулись вперёд от 15 до 35 километров. Наши подвижные части, стремительно преследуя отступающего противника, заняли более 150 населённых пунктов, в числе которых государственный заповедник Аскания Нова. Взяты пленные и большие трофеи. Только на одном участке наши бойцы захватили 23 немецких танка, 6 самоходных орудий, 2 бронетранспортёра, 18 полевых орудий, 150 автомашин и 300 повозок с военным имуществом, 11 разных складов, в числе которых большие склады с боеприпасами и зерном. На побережье Азовского моря и Сиваша части Н-ского соединения штурмом заняли город Геническ. За день боёв уничтожено свыше 2.000 немецких солдат и офицеров.</w:t>
      </w:r>
    </w:p>
    <w:p w14:paraId="1434DE2E"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наши войска продолжали наступление. Преодолевая сопротивление немцев, бойцы Н-ского соединения овладели районным центром Днепропетровской области Щорск, а также несколькими другими населёнными пунктами. В бою за Щорск уничтожено свыше батальона гитлеровцев, подбито 9 немецких танков и 2 самоходных орудия. Захвачено две артиллерийских батареи, 6 шестиствольных миномётов и другие трофеи. На другом участке советские автоматчики зашли во фланг перешедшему в контратаку противнику и отсекли немецкую пехоту от танков. Удар советских бойцов был настолько неожиданным, что немцы, потеряв убитыми до 300 солдат и офицеров, бросили на поле боя оружие и в беспорядке отступили.</w:t>
      </w:r>
    </w:p>
    <w:p w14:paraId="4B3C34AC"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отбивали атаки крупных сил танков и пехоты противника. На одном участке немцы одновременно бросили в бой свыше статанков. Встретив жестокий отпор и потеряв 28 танков, противник предпринял контратаку на соседнем участке. Советские артиллеристы и бронебойщики отбили и эту контратаку гитлеровцев, уничтожив 23 немецких танка, 6 самоходных орудий идо 1.000 немецких солдат и офицеров.</w:t>
      </w:r>
    </w:p>
    <w:p w14:paraId="5FBD7988"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активно поддерживала действия наземных войск. В воздушных боях за день сбито 20 немецких самолётов. Советские штурмовики произвели налёт на один из аэродромов противника. В результате налёта уничтожено и повреждено значительное число немецких самолётов.</w:t>
      </w:r>
    </w:p>
    <w:p w14:paraId="02EC4873"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Северо-Западного фронта четыре лётчика-истребителя во главе с капитаном Смирновым, патрулируя над боевыми порядками наших войск, встретили 18 немецких бомбардировщиков и 6 истребителей. Советские лётчики смело пошли в атаку. Лётчик Анисимов с первого захода сбил немецкий истребитель «Фокке-Вульф-190». Лётчики Смирнов и Козловский уничтожили два бомбардировщика противника. Остальные вражеские самолёты обратились в бегство. Один немецкий «Юнкерс» направился вглубь нашей территории. Капитан Смирнов вынудил самолёт противника приземлиться в районе расположения советских войск. Немецкий экипаж взят в плен.</w:t>
      </w:r>
    </w:p>
    <w:p w14:paraId="3DA428C9"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Партизанские отряды, действующие в Гомельской области, 21 октября подорвали 6 немецких воинских эшелонов, следовавших к линии фронта. В результате крушений разбито несколько паровозов и свыше 40 платформ и вагонов с танками, автомашинами и боеприпасами. В этот же день группа партизан проникла нажелезнодорожную станцию, уничтожила 80 гитлеровцев, взорвала 22 автомашины и все железнодорожные стрелки. 22 октября советские патриоты на шоссейной дороге подорвали 3 немецких танка, 6 автомашин, сожгли 4 моста и разрушили свыше тысячи метров телеграфно-телефонной линии связи.</w:t>
      </w:r>
    </w:p>
    <w:p w14:paraId="5DBD8C06"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2 батальона 580 полка 306 немецкой пехотной дивизии Георг Гофман рассказал: «Прорыв немецкой обороны на Днепре произвёл переполох в офицерских кругах. Многие офицеры считают, что это поражение немецкой армии по своему значению и по своим последствиям можно сравнить только со Сталинградской катастрофой. В последних боях мы несли огромные потери. За четыре дня в моём батальоне выбыло из строя 370 человек. На пятый день я потерял всякую связь ссоседними частями и тылами. К утру батальон был окружён с трёх сторон. Я приказал начать отход. Солдаты ползком стали пробираться по кукурузному полю, но было уже поздно. Русские автоматчики закрыли единственный выход. Остатки батальона были смяты и уничтожены. Я вместе с группой солдат и офицеров прекратил сопротивление и сдался в плен».</w:t>
      </w:r>
    </w:p>
    <w:p w14:paraId="4BB1AD54"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станицы Пилинково, Краснодарского края, Лейко, Евланенко, Ясенев, Бараницкая рассказали о зверствах немецко-фашистских захватчиков: «До нашествия чужеземных банд колхозники нашей станицы жили зажиточно и культурно. Немецкие бандиты разграбили богатства колхоза и колхозников. Фашистские изверги убивали мирных граждан, насиловали женщин и девушек. Гитлеровцы расстреляли станичников П.Черненко, К.Антоненко, И.Шудько и многих других. Немцы устроили в станице публичный дом, куда под угрозой расстрела загоняли русских девушек и женщин. При отступлении фашисты взорвали и сожгли две школы, 50 жилых домов, две молочно-товарные фермы, две свинофермы, молочный завод и другие колхозные постройки. Немецкие факельщики пытались спалить всю станицу, но не успели. Подоспевшие советские войска навсегда освободили нас от немецкой неволи. Стремительно заняв станицу, наши бойцы захватили немецких поджигателей на месте преступления» (14815).</w:t>
      </w:r>
    </w:p>
    <w:p w14:paraId="7A533F9C" w14:textId="77777777" w:rsidR="008E7E8D" w:rsidRPr="00271E51" w:rsidRDefault="008E7E8D" w:rsidP="00271E51">
      <w:pPr>
        <w:spacing w:after="0" w:line="240" w:lineRule="auto"/>
        <w:jc w:val="both"/>
        <w:rPr>
          <w:rFonts w:ascii="Times New Roman" w:hAnsi="Times New Roman"/>
          <w:color w:val="000000" w:themeColor="text1"/>
          <w:sz w:val="16"/>
          <w:szCs w:val="16"/>
        </w:rPr>
      </w:pPr>
    </w:p>
    <w:p w14:paraId="66BC4A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г. самолет Ил-2 младшего лейтенанта Волкова из 952-го шап 311-й шад при выполнении боевого задания получил следующие повреждения: «осколками снарядов снизу между 11 и 10 шпангоутами пробит фюзеляж в диаметре 50 см, перебит задний лонжерон центроплана, нижняя полка левого шасси, разбита левая плоскость на 50% по всей площади, заклинен фонарь кабины пилота». Самолет произвел посадку на фюзеляж на своем аэродроме (11921).</w:t>
      </w:r>
    </w:p>
    <w:p w14:paraId="60848E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D080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40971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41B86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вышло Распоряжение ГКО № 4462 [О военизации пожарной охраны НКВД Харькова и ее численности.] (7151, 210).</w:t>
      </w:r>
    </w:p>
    <w:p w14:paraId="694C8E0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F276F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8C9DC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28C23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на Московской конференции представители СССР, США, Англии и Китая подписали договор о создании ООН (4962).</w:t>
      </w:r>
    </w:p>
    <w:p w14:paraId="4DAEDF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38A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In a declaration signed in Moscow on October 30, 1943, the governments of the Soviet Union, the United Kingdom, the United States, and China called for early establishment of an international organization to maintain peace and security. That goal was reaffirmed at the meeting of the leaders of the United States, the USSR, and the United Kingdom at Teheran on December 1, 1943 (1286).</w:t>
      </w:r>
    </w:p>
    <w:p w14:paraId="10AA2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E24A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декларации московской конференции, подписанной 30 октября 1943, участники и правительства СССР, Англии, США и Китая призвали к формированию международной организации, но идея была оформлена уже 1 декабря 1943 в Тегеране (1286).</w:t>
      </w:r>
    </w:p>
    <w:p w14:paraId="29556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C98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В Москве завершила работу конференция министров иностранных дел СССР (В.Молотов), США (А.Хэлл) и Великобритании (А.Иден) (19-30.10.1943). Принята Декларация об Австрии, в которой указано, что присоединени Австрии к Германии в 1938 году союзные державы считают "несуществующим и недействительным" (7444).</w:t>
      </w:r>
    </w:p>
    <w:p w14:paraId="2B997C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D35D9"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Переводчик В. М. Бережков вспоминал: "В Екатерининском зале Кремля Сталин давал обед по случаю завершения работы Московской конференции трех мини' стров иностранных дел - СССР, США и Великобритании. Самый большой стол тянулся вдоль стены с окнами, выходящими на Москву-реку. В центре сидел Сталин, справа от него Хэлл, слева посол США в СССР ГарриМан. Справа от Хэлла было мое место, как переводчика. Обед-начался с многочисленных тостов, большинство из которых произносил Сталин. В перерывах между речами Сталин и Хэлл переговаривались в основном о положении на фронтах войны и итогах только что закончившийся конференции. Время от времени возникали довольно длительные паузы, и тогда я тоже успев ал немного перекусить. Вдруг я заметил, что Сталин наклонился в мою сторону за спиной Хэлла и манит меня пальцем. Я перегнулся к нему поближе, и он чуть слышно произнес:</w:t>
      </w:r>
    </w:p>
    <w:p w14:paraId="3F1797E1"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Слушайте меня внимательно. Переведите Хэллу дословно следующее: советское правительство рассмотрело вопрос о положении на Дальнем Востоке и приняло решение сразу же после окончании войны в Европе, когда союзники нанесут поражение гитлеровской Германии, выступить против Японии. Пусть Хэлл передаст это президенту Рузвельту, как нашу официальную позицию. Но пока мы хотим держать это в секрете. И вы сами говорите потише, чтобы никто не слышал. Поняли"</w:t>
      </w:r>
    </w:p>
    <w:p w14:paraId="072A689C"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Понял, товарищ Сталин.</w:t>
      </w:r>
    </w:p>
    <w:p w14:paraId="00FBE24C"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Хэлла чрезвычайно взволновало это сообщение. Американцы давно ждали решения Москвы. Теперь правительство США получило авторитетное заявление по очень важному для Вашингтона вопросу".</w:t>
      </w:r>
    </w:p>
    <w:p w14:paraId="5A2524DF"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Корделл Хэлл вспоминал: "Я сидел справа от Сталина. Это дало мне прекрасную возможность-побеседовать с ним во время длинного обеда и последовавшего затем просмотра кинофильма... Он начал беседу с замечания: "Вы провели успешную конференцию". Я тут же ответил, что заслуга полностью принадлежит ему, поскольку он дал согласие на то, чтобы его великая страна вместе с Великобританией и Соединенными Штатами примкнула к международной программе, основанной на сотрудничестве. Это, казалось, польстило ему... Я все-таки сказал" что он и советский народ пользуются колоссальным престижем во многих частях мира, и существует настоятельная необходимость в том руководстве, которое могут предложить вместе он, президент Рузвельт и премьер-министр Черчилль. Это руководство надо осуществить без задержки, ибо его отсутствие будет иметь серьезные и вредные последствия. Сталин согласился с этим, что руководство необходимо, но ничего </w:t>
      </w:r>
      <w:r w:rsidRPr="00271E51">
        <w:rPr>
          <w:rFonts w:ascii="Times New Roman" w:hAnsi="Times New Roman"/>
          <w:color w:val="000000" w:themeColor="text1"/>
          <w:sz w:val="16"/>
          <w:szCs w:val="16"/>
        </w:rPr>
        <w:lastRenderedPageBreak/>
        <w:t>больше о встрече с Рузвельтом и Черчиллем не сказал. Затем, однако, он сделал исключительно важное заявление. Он удивил и обрадовал меня, ясно и недвусмысленно сказав, что, после того как удастся разгромить Германию, Советский Союз примет участие в разгроме Японии...</w:t>
      </w:r>
    </w:p>
    <w:p w14:paraId="5E045FBE"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обедом произносились бесчисленные тосты. Сталин и я пили красное вино, хотя многие гости предпочитали водку. Генерал Дин1 оказался в центре внимания, когда в ответ на тост Сталина за американские вооруженные силы он предложил поднять бокалы за день, когда американские и английские войска встретятся с русскими войсками в Берлине. Сталин поднялся со своего места рядом со мной и оказал высокую честь Дину, обойдя вокруг стола и чокнувшись с ним бокалами.</w:t>
      </w:r>
    </w:p>
    <w:p w14:paraId="68D9F46E" w14:textId="77777777" w:rsidR="00C81B90" w:rsidRPr="00271E51" w:rsidRDefault="00C81B9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мы встали из-за обеденного стола, Сталин провел меня и еще двух-трех других гостей в соседнюю комнату на несколько минут, прежде чем перейти в кинозал. По своей инициативе он с едким сарказмом заговорил о распускавшихся ранее слухах, будто Советский Союз и Германия могут договориться о сепаратном мире. Я ответил, что любой человек, знающий русских людей и их отношение к Германии в этой войне, поймет, что русские люди не заключат сепаратного мира с Германией. Он с готовностью согласился" (18693).</w:t>
      </w:r>
    </w:p>
    <w:p w14:paraId="0C831C32" w14:textId="77777777" w:rsidR="00C81B90" w:rsidRPr="00271E51" w:rsidRDefault="00C81B90" w:rsidP="00271E51">
      <w:pPr>
        <w:spacing w:after="0" w:line="240" w:lineRule="auto"/>
        <w:jc w:val="both"/>
        <w:rPr>
          <w:rFonts w:ascii="Times New Roman" w:hAnsi="Times New Roman"/>
          <w:color w:val="000000" w:themeColor="text1"/>
          <w:sz w:val="16"/>
          <w:szCs w:val="16"/>
        </w:rPr>
      </w:pPr>
    </w:p>
    <w:p w14:paraId="1CDD63C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449E3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AF11AC" w14:textId="77777777" w:rsidR="008E7E8D" w:rsidRPr="00271E51" w:rsidRDefault="008E7E8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30 октября </w:t>
      </w:r>
      <w:r w:rsidRPr="00271E51">
        <w:rPr>
          <w:rFonts w:ascii="Times New Roman" w:hAnsi="Times New Roman"/>
          <w:color w:val="000000" w:themeColor="text1"/>
          <w:sz w:val="16"/>
          <w:szCs w:val="16"/>
        </w:rPr>
        <w:t>в 1943 году подписание союзного договора между Японией и китайским правительством Ван Цзин-вэя. В 1943 году на приеме, устроенном по случаю завершения Моск. конференции министров иностранных дел СССР, США и Великобритании, И.В.Сталин заявил государственному секретарю США К Хэллу о готовности СССР принять участие в военных действиях против Японии после разгрома фашистукой Германии (14815).</w:t>
      </w:r>
    </w:p>
    <w:p w14:paraId="4445E081" w14:textId="77777777" w:rsidR="008E7E8D" w:rsidRPr="00271E51" w:rsidRDefault="008E7E8D" w:rsidP="00271E51">
      <w:pPr>
        <w:spacing w:after="0" w:line="240" w:lineRule="auto"/>
        <w:jc w:val="both"/>
        <w:rPr>
          <w:rFonts w:ascii="Times New Roman" w:hAnsi="Times New Roman"/>
          <w:color w:val="000000" w:themeColor="text1"/>
          <w:sz w:val="16"/>
          <w:szCs w:val="16"/>
        </w:rPr>
      </w:pPr>
    </w:p>
    <w:p w14:paraId="47C299B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октября 1943 Федерико Феллини женился на Джульетте Мазине (4962).</w:t>
      </w:r>
    </w:p>
    <w:p w14:paraId="0F8FEE0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AC4A2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FA4B2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70E6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прошло заседание ГКО, которое решало судьбу вооружения нового танка ИС. Голоса присутствовавших раз</w:t>
      </w:r>
      <w:r w:rsidRPr="00271E51">
        <w:rPr>
          <w:rFonts w:ascii="Times New Roman" w:hAnsi="Times New Roman"/>
          <w:color w:val="000000" w:themeColor="text1"/>
          <w:sz w:val="16"/>
          <w:szCs w:val="16"/>
        </w:rPr>
        <w:softHyphen/>
        <w:t>делились. Одни отстаивали 100-мм пушку с унитарными бое</w:t>
      </w:r>
      <w:r w:rsidRPr="00271E51">
        <w:rPr>
          <w:rFonts w:ascii="Times New Roman" w:hAnsi="Times New Roman"/>
          <w:color w:val="000000" w:themeColor="text1"/>
          <w:sz w:val="16"/>
          <w:szCs w:val="16"/>
        </w:rPr>
        <w:softHyphen/>
        <w:t>припасами, другие — мощную 122-мм корпусную пушку, ко</w:t>
      </w:r>
      <w:r w:rsidRPr="00271E51">
        <w:rPr>
          <w:rFonts w:ascii="Times New Roman" w:hAnsi="Times New Roman"/>
          <w:color w:val="000000" w:themeColor="text1"/>
          <w:sz w:val="16"/>
          <w:szCs w:val="16"/>
        </w:rPr>
        <w:softHyphen/>
        <w:t>торая сможет «одним ударом» выводить из строя не только танки, но при необходимости бороться со скоплениями войск противника, артиллерией, полевыми и долговремен</w:t>
      </w:r>
      <w:r w:rsidRPr="00271E51">
        <w:rPr>
          <w:rFonts w:ascii="Times New Roman" w:hAnsi="Times New Roman"/>
          <w:color w:val="000000" w:themeColor="text1"/>
          <w:sz w:val="16"/>
          <w:szCs w:val="16"/>
        </w:rPr>
        <w:softHyphen/>
        <w:t>ными укреплениями на больших дальностях. Итогом обсуж</w:t>
      </w:r>
      <w:r w:rsidRPr="00271E51">
        <w:rPr>
          <w:rFonts w:ascii="Times New Roman" w:hAnsi="Times New Roman"/>
          <w:color w:val="000000" w:themeColor="text1"/>
          <w:sz w:val="16"/>
          <w:szCs w:val="16"/>
        </w:rPr>
        <w:softHyphen/>
        <w:t>дений явилось постановление ГКО № 4479сс:</w:t>
      </w:r>
    </w:p>
    <w:p w14:paraId="7256AC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Принять на вооружение Красной Армии тяжелый танк ИС-2 конструкции Ж.Я.Котина со 122-мм пушкой Д-25 конструкции Ф. Ф.Петрова (завод № 9 НКВ), с тактико-технической характеристикой согласно приложению № 1.</w:t>
      </w:r>
    </w:p>
    <w:p w14:paraId="02338E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2.0бязать Наркома танковой промышленности В. А. Ма</w:t>
      </w:r>
      <w:r w:rsidRPr="00271E51">
        <w:rPr>
          <w:rFonts w:ascii="Times New Roman" w:hAnsi="Times New Roman"/>
          <w:color w:val="000000" w:themeColor="text1"/>
          <w:sz w:val="16"/>
          <w:szCs w:val="16"/>
        </w:rPr>
        <w:softHyphen/>
        <w:t>лышева, Главного конструктора НКТП Ж. Я.Котина, и ди</w:t>
      </w:r>
      <w:r w:rsidRPr="00271E51">
        <w:rPr>
          <w:rFonts w:ascii="Times New Roman" w:hAnsi="Times New Roman"/>
          <w:color w:val="000000" w:themeColor="text1"/>
          <w:sz w:val="16"/>
          <w:szCs w:val="16"/>
        </w:rPr>
        <w:softHyphen/>
        <w:t>ректора Кировского завода И.М.Зальцмана обеспечить в де</w:t>
      </w:r>
      <w:r w:rsidRPr="00271E51">
        <w:rPr>
          <w:rFonts w:ascii="Times New Roman" w:hAnsi="Times New Roman"/>
          <w:color w:val="000000" w:themeColor="text1"/>
          <w:sz w:val="16"/>
          <w:szCs w:val="16"/>
        </w:rPr>
        <w:softHyphen/>
        <w:t>кабре месяце 1943 года выпуск 35 танков ИС-2,</w:t>
      </w:r>
    </w:p>
    <w:p w14:paraId="0EEFB9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Наркома вооружения Д. Ф. Устинова и дирек</w:t>
      </w:r>
      <w:r w:rsidRPr="00271E51">
        <w:rPr>
          <w:rFonts w:ascii="Times New Roman" w:hAnsi="Times New Roman"/>
          <w:color w:val="000000" w:themeColor="text1"/>
          <w:sz w:val="16"/>
          <w:szCs w:val="16"/>
        </w:rPr>
        <w:softHyphen/>
        <w:t>тора завода № 9 НКВ Л. Р. Гонора обеспечить подачу пушек Д-25 Кировскому заводу НКТП, в счет тана подачи пушек Д-5 калибром 85мм.</w:t>
      </w:r>
    </w:p>
    <w:p w14:paraId="1DBA57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Наркома вооружения Д.Ф.Устиноза, директора завода № 9 НКВ Л. Р. Гонора и Главного конструктора завода № 9 Ф.Ф.Петрова спроектировать и изготовить к 1 января 1944 г. к пушке Д-25 122-мм клиновой, полуавтоматический затвор и совместно с НКТП, ГАУи ГБТУКА к 15 января 1944г. провести испытания пушки на Полигоне и в танке ИС-2».</w:t>
      </w:r>
    </w:p>
    <w:p w14:paraId="10CB63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после этого для танка ИС-2 («Объект 240») был разработан новый двухкамерный дульный тормоз немец</w:t>
      </w:r>
      <w:r w:rsidRPr="00271E51">
        <w:rPr>
          <w:rFonts w:ascii="Times New Roman" w:hAnsi="Times New Roman"/>
          <w:color w:val="000000" w:themeColor="text1"/>
          <w:sz w:val="16"/>
          <w:szCs w:val="16"/>
        </w:rPr>
        <w:softHyphen/>
        <w:t>кого типа (его конструкция в известной степени была за</w:t>
      </w:r>
      <w:r w:rsidRPr="00271E51">
        <w:rPr>
          <w:rFonts w:ascii="Times New Roman" w:hAnsi="Times New Roman"/>
          <w:color w:val="000000" w:themeColor="text1"/>
          <w:sz w:val="16"/>
          <w:szCs w:val="16"/>
        </w:rPr>
        <w:softHyphen/>
        <w:t>имствована у немецких 88-мм пушек и 105-мм гаубиц).</w:t>
      </w:r>
    </w:p>
    <w:p w14:paraId="65B342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Интересно что описывая ход испытаний орудия стрельбой на бронепробиваемость, разные авторы в по</w:t>
      </w:r>
      <w:r w:rsidRPr="00271E51">
        <w:rPr>
          <w:rFonts w:ascii="Times New Roman" w:hAnsi="Times New Roman"/>
          <w:color w:val="000000" w:themeColor="text1"/>
          <w:sz w:val="16"/>
          <w:szCs w:val="16"/>
        </w:rPr>
        <w:softHyphen/>
        <w:t>слевоенное время никак не могли договориться о типе не</w:t>
      </w:r>
      <w:r w:rsidRPr="00271E51">
        <w:rPr>
          <w:rFonts w:ascii="Times New Roman" w:hAnsi="Times New Roman"/>
          <w:color w:val="000000" w:themeColor="text1"/>
          <w:sz w:val="16"/>
          <w:szCs w:val="16"/>
        </w:rPr>
        <w:softHyphen/>
        <w:t>мецкого танка, по которому велась стрельба. Одни уверя</w:t>
      </w:r>
      <w:r w:rsidRPr="00271E51">
        <w:rPr>
          <w:rFonts w:ascii="Times New Roman" w:hAnsi="Times New Roman"/>
          <w:color w:val="000000" w:themeColor="text1"/>
          <w:sz w:val="16"/>
          <w:szCs w:val="16"/>
        </w:rPr>
        <w:softHyphen/>
        <w:t>ют, что огонь велся с дистанции 1500 м по танку «Панте</w:t>
      </w:r>
      <w:r w:rsidRPr="00271E51">
        <w:rPr>
          <w:rFonts w:ascii="Times New Roman" w:hAnsi="Times New Roman"/>
          <w:color w:val="000000" w:themeColor="text1"/>
          <w:sz w:val="16"/>
          <w:szCs w:val="16"/>
        </w:rPr>
        <w:softHyphen/>
        <w:t>ра», другие ставят туда же «Тигр», иногда отодвигая цель на 2000 м, но результат во всех случаях одинаков: «...сна</w:t>
      </w:r>
      <w:r w:rsidRPr="00271E51">
        <w:rPr>
          <w:rFonts w:ascii="Times New Roman" w:hAnsi="Times New Roman"/>
          <w:color w:val="000000" w:themeColor="text1"/>
          <w:sz w:val="16"/>
          <w:szCs w:val="16"/>
        </w:rPr>
        <w:softHyphen/>
        <w:t>ряд пробил лобовую броню и, ударив в кормовой лист, вырвал его по сварным швам и отбросил назад на рассто</w:t>
      </w:r>
      <w:r w:rsidRPr="00271E51">
        <w:rPr>
          <w:rFonts w:ascii="Times New Roman" w:hAnsi="Times New Roman"/>
          <w:color w:val="000000" w:themeColor="text1"/>
          <w:sz w:val="16"/>
          <w:szCs w:val="16"/>
        </w:rPr>
        <w:softHyphen/>
        <w:t>яние 5 метров...» (есть примеры, когда кормовой лист от</w:t>
      </w:r>
      <w:r w:rsidRPr="00271E51">
        <w:rPr>
          <w:rFonts w:ascii="Times New Roman" w:hAnsi="Times New Roman"/>
          <w:color w:val="000000" w:themeColor="text1"/>
          <w:sz w:val="16"/>
          <w:szCs w:val="16"/>
        </w:rPr>
        <w:softHyphen/>
        <w:t>брасывался на 15 метров). Эта версия пошла от описания «Истории танкостроения на Кировском заводе», которая была немного приукрашена впоследствии. На указанных испытаниях (отчет полигона № 314 от 21 ноября) огонь велся по уже расстрелянному и горевшему корпусу танка «Пантера», причем сказано, что 122-мм тупоголовый снаряд с дистанции 1200 м пробил лобовую броню толщиной 85-мм и все. А как же насчет «отбрасывания кормового листа»? На этот вопрос, возможно, сможет ответить опи</w:t>
      </w:r>
      <w:r w:rsidRPr="00271E51">
        <w:rPr>
          <w:rFonts w:ascii="Times New Roman" w:hAnsi="Times New Roman"/>
          <w:color w:val="000000" w:themeColor="text1"/>
          <w:sz w:val="16"/>
          <w:szCs w:val="16"/>
        </w:rPr>
        <w:softHyphen/>
        <w:t>сание повреждений, нанесенных снарядом № 4, который «пробил борт развернутой вправо башни ..., и угодив на про</w:t>
      </w:r>
      <w:r w:rsidRPr="00271E51">
        <w:rPr>
          <w:rFonts w:ascii="Times New Roman" w:hAnsi="Times New Roman"/>
          <w:color w:val="000000" w:themeColor="text1"/>
          <w:sz w:val="16"/>
          <w:szCs w:val="16"/>
        </w:rPr>
        <w:softHyphen/>
        <w:t>тивоположном борту в район сварного шва, оторвал лист и сбросил его на землю». Обстрел же по комплектным образ</w:t>
      </w:r>
      <w:r w:rsidRPr="00271E51">
        <w:rPr>
          <w:rFonts w:ascii="Times New Roman" w:hAnsi="Times New Roman"/>
          <w:color w:val="000000" w:themeColor="text1"/>
          <w:sz w:val="16"/>
          <w:szCs w:val="16"/>
        </w:rPr>
        <w:softHyphen/>
        <w:t>цам трофейных танков из серийного ИС-122 производил</w:t>
      </w:r>
      <w:r w:rsidRPr="00271E51">
        <w:rPr>
          <w:rFonts w:ascii="Times New Roman" w:hAnsi="Times New Roman"/>
          <w:color w:val="000000" w:themeColor="text1"/>
          <w:sz w:val="16"/>
          <w:szCs w:val="16"/>
        </w:rPr>
        <w:softHyphen/>
        <w:t>ся на артполигоне УЗТМ в январе 1944 г. и показал, что лобовую броню танка «Пантера» штатный 122-мм снаряд легко пробивает с расстояния 600—700 м, тогда как улуч</w:t>
      </w:r>
      <w:r w:rsidRPr="00271E51">
        <w:rPr>
          <w:rFonts w:ascii="Times New Roman" w:hAnsi="Times New Roman"/>
          <w:color w:val="000000" w:themeColor="text1"/>
          <w:sz w:val="16"/>
          <w:szCs w:val="16"/>
        </w:rPr>
        <w:softHyphen/>
        <w:t>шенный бронебойно-трассирующий снаряд с разрывной каморой (изготовленный по чертежу № 2-2868 А) мог по</w:t>
      </w:r>
      <w:r w:rsidRPr="00271E51">
        <w:rPr>
          <w:rFonts w:ascii="Times New Roman" w:hAnsi="Times New Roman"/>
          <w:color w:val="000000" w:themeColor="text1"/>
          <w:sz w:val="16"/>
          <w:szCs w:val="16"/>
        </w:rPr>
        <w:softHyphen/>
        <w:t>ражать ее с 1200-1400 м, почему НКБ с 15 января 1944 г. начал выпуск бронебойных снарядов калибра 122-мм именно данного типа.</w:t>
      </w:r>
    </w:p>
    <w:p w14:paraId="2918F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«Тигр» оказался вполне «по зубам» новой 122-мм пушке — его лоб свободно пробивался штатным бронебойным сна</w:t>
      </w:r>
      <w:r w:rsidRPr="00271E51">
        <w:rPr>
          <w:rFonts w:ascii="Times New Roman" w:hAnsi="Times New Roman"/>
          <w:color w:val="000000" w:themeColor="text1"/>
          <w:sz w:val="16"/>
          <w:szCs w:val="16"/>
        </w:rPr>
        <w:softHyphen/>
        <w:t>рядом с 1200—1500 м, а улучшенным — с 1800 м и далее, но с таких расстояний вести прицельную стрельбу из ИС могли только хорошо подготовленные экипажи, так как качество оптического стекла первых прицелов танка ИС было еще не</w:t>
      </w:r>
      <w:r w:rsidRPr="00271E51">
        <w:rPr>
          <w:rFonts w:ascii="Times New Roman" w:hAnsi="Times New Roman"/>
          <w:color w:val="000000" w:themeColor="text1"/>
          <w:sz w:val="16"/>
          <w:szCs w:val="16"/>
        </w:rPr>
        <w:softHyphen/>
        <w:t>достаточным. К тому же взметавшееся с земли во время пер</w:t>
      </w:r>
      <w:r w:rsidRPr="00271E51">
        <w:rPr>
          <w:rFonts w:ascii="Times New Roman" w:hAnsi="Times New Roman"/>
          <w:color w:val="000000" w:themeColor="text1"/>
          <w:sz w:val="16"/>
          <w:szCs w:val="16"/>
        </w:rPr>
        <w:softHyphen/>
        <w:t>вого выстрела облако пьши (снега, воды из луж) полностью закрывало цель на 2-30 с, иногда совершенно загрязняя объ</w:t>
      </w:r>
      <w:r w:rsidRPr="00271E51">
        <w:rPr>
          <w:rFonts w:ascii="Times New Roman" w:hAnsi="Times New Roman"/>
          <w:color w:val="000000" w:themeColor="text1"/>
          <w:sz w:val="16"/>
          <w:szCs w:val="16"/>
        </w:rPr>
        <w:softHyphen/>
        <w:t>ектив прицела. Это было следствием применения дульного тормоза и потребовало оснастить объектив прицела специ</w:t>
      </w:r>
      <w:r w:rsidRPr="00271E51">
        <w:rPr>
          <w:rFonts w:ascii="Times New Roman" w:hAnsi="Times New Roman"/>
          <w:color w:val="000000" w:themeColor="text1"/>
          <w:sz w:val="16"/>
          <w:szCs w:val="16"/>
        </w:rPr>
        <w:softHyphen/>
        <w:t>альной блендой (11135).</w:t>
      </w:r>
    </w:p>
    <w:p w14:paraId="3EBF93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4BD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на вооружение приняли ИС с 122 мм пушкой (3093,32).</w:t>
      </w:r>
    </w:p>
    <w:p w14:paraId="233644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BE3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года Постановлением ГКО № 4479сс танк ИС со 122 мм пушкой был принят на вооружение Красной Армии. При этом заводу № 9 предписывалось изготовить к 11 ноября 1943 года танковый вариант орудия А-19 с поршневым затвором и предъявить его на испытания стрельбой к 27 ноября. Одновременно приказывалось оснастить это орудие клиновым затвором и начать его выпуск в 1944 году. Было разрешено также и изготовление опытных образцов 100-мм пушек для вооружения танка ИС. (3862).</w:t>
      </w:r>
    </w:p>
    <w:p w14:paraId="21551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A04C4" w14:textId="77777777" w:rsidR="00617503" w:rsidRPr="00271E51" w:rsidRDefault="00617503" w:rsidP="00271E51">
      <w:pPr>
        <w:pStyle w:val="ae"/>
        <w:spacing w:before="0" w:after="0"/>
        <w:jc w:val="both"/>
        <w:textAlignment w:val="baseline"/>
        <w:rPr>
          <w:color w:val="000000" w:themeColor="text1"/>
          <w:sz w:val="16"/>
          <w:szCs w:val="16"/>
        </w:rPr>
      </w:pPr>
      <w:r w:rsidRPr="00271E51">
        <w:rPr>
          <w:color w:val="000000" w:themeColor="text1"/>
          <w:sz w:val="16"/>
          <w:szCs w:val="16"/>
        </w:rPr>
        <w:t>31 октября 1943 года Сталин подписал постановление ГКО №4479сс «О тяжёлом танке ИС-2 со 122-мм пушкой». Согласно ему, уже в декабре 1943 года должен был начаться выпуск первых танков данного типа. Что же касается Объекта 240, то он продолжил испытания. Эту машину, как и Объект 237, ожидали различные метаморфозы (17717).</w:t>
      </w:r>
    </w:p>
    <w:p w14:paraId="61F5C94A"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2D37FF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г. постановлением ГКО № 4479сс пушка Д-25 КБ завода № 9 (ОКБ-9 Свердловского СНХ на заводе «Уралмаш», КБ им. Ф.Ф. Петрова /г. Свердловск, Екатеринбург/) пнв.</w:t>
      </w:r>
    </w:p>
    <w:p w14:paraId="58617A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2329-1105сс от 19.11.1954г. пушка СД-44 пнв. В соответствии с ПСМ № 15-8 от 5.01.1957г. пушка СД-57 пнв.</w:t>
      </w:r>
    </w:p>
    <w:p w14:paraId="2E9D51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1950-х г. разработан ракетный комплекс с БРТ «Онега» (испытана в 1959г.).</w:t>
      </w:r>
    </w:p>
    <w:p w14:paraId="64432B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489-198 от 12.05.1960 г. гаубица Д-30 пнв.</w:t>
      </w:r>
    </w:p>
    <w:p w14:paraId="7FF3C3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28.10.1963г. вышло распоряжение правительства № 2233-рс о выпуске с 10.1963г. танков Т-62 с пушкой У-5ТС.</w:t>
      </w:r>
    </w:p>
    <w:p w14:paraId="45AFD8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1964г. из ОКБ-9 в ОКБ-8 гл. конструктора </w:t>
      </w:r>
      <w:r w:rsidRPr="00271E51">
        <w:rPr>
          <w:rFonts w:ascii="Times New Roman" w:hAnsi="Times New Roman"/>
          <w:color w:val="000000" w:themeColor="text1"/>
          <w:sz w:val="16"/>
          <w:szCs w:val="16"/>
          <w:lang w:val="en-US"/>
        </w:rPr>
        <w:t>JIB</w:t>
      </w:r>
      <w:r w:rsidRPr="00271E51">
        <w:rPr>
          <w:rFonts w:ascii="Times New Roman" w:hAnsi="Times New Roman"/>
          <w:color w:val="000000" w:themeColor="text1"/>
          <w:sz w:val="16"/>
          <w:szCs w:val="16"/>
        </w:rPr>
        <w:t>. Люльева передана противолодочная тематика, опытное производство и большая группа специалистов.</w:t>
      </w:r>
    </w:p>
    <w:p w14:paraId="06136C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середины 1940-х и на 2005г.- единственный разработчик пушек для всех отечественных танков.</w:t>
      </w:r>
    </w:p>
    <w:p w14:paraId="323509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(1942-74г.)- Ф.Ф. Петров.</w:t>
      </w:r>
      <w:r w:rsidRPr="00271E51">
        <w:rPr>
          <w:rFonts w:ascii="Times New Roman" w:hAnsi="Times New Roman"/>
          <w:color w:val="000000" w:themeColor="text1"/>
          <w:sz w:val="16"/>
          <w:szCs w:val="16"/>
          <w:vertAlign w:val="superscript"/>
        </w:rPr>
        <w:t>58</w:t>
      </w:r>
    </w:p>
    <w:p w14:paraId="37C84E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пушки: танковые: штурмовая 122-мм У-11 (1941), штурмовая 122-мм Д-6 (1943), 122-мм Д-25 для ИС-122 (пнв 31.10.1943г.), 85-мм У-12 (проект, 1941), 85-мм Д-5С, Д-5Т (пнв 15.12.1943г.), Д-5Т-85БМ (1944), 100-мм Д-10Т для ИС (1944), Д-101Г, Д-10Т2С для Т-54 и Т-55; 76-мм Д-56Т и Д-56ТМ (1954) для ПТ-76; 115-мм У-5ТС «Молот» (2А20) для Т-62 (пнв 12.08.1961 г.); 125-мм 2А26, 2А46 для Т-64,1-12, Т-80; 125-мм 2А46М для Т-80У, Т-90; 85-мм Д-70 для СУ-85; 122-мм 2А31 для САУ 2С1 «Гвоздика», 152-мм 2АЗЗ для САУ 2СЗ «Акация»; пехотные: 85-мм дивизионная Д-44, 85-мм противотанковая Д-48; самодвижущиеся: 57-мм СД-57 (пнв 5.01.1957г.), 85-мм СД-44 (пнв 19.11.1954г.), СД-48, 125-мм 2А45М (1990-е); гаубицы: 122-мм Д-30 (2А18, пнв 12.05.1960 г.), Д-30А (2А18М);</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152-мм 2А61 (2000-е); гусеничное шасси для ЗРК С-300В (11982).</w:t>
      </w:r>
    </w:p>
    <w:p w14:paraId="1A6769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6A6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г. на заседании ГКО было принято постановление "О серийном производстве танка ИС-2". В связи с при</w:t>
      </w:r>
      <w:r w:rsidRPr="00271E51">
        <w:rPr>
          <w:rFonts w:ascii="Times New Roman" w:hAnsi="Times New Roman"/>
          <w:color w:val="000000" w:themeColor="text1"/>
          <w:sz w:val="16"/>
          <w:szCs w:val="16"/>
        </w:rPr>
        <w:softHyphen/>
        <w:t>нятием на вооружение танка ИС-122 была произведена корректировка программы выпуска танка ИС-85 (10703).</w:t>
      </w:r>
    </w:p>
    <w:p w14:paraId="27963B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6437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г. танк ИС-2 был принят на во</w:t>
      </w:r>
      <w:r w:rsidRPr="00271E51">
        <w:rPr>
          <w:rFonts w:ascii="Times New Roman" w:hAnsi="Times New Roman"/>
          <w:color w:val="000000" w:themeColor="text1"/>
          <w:sz w:val="16"/>
          <w:szCs w:val="16"/>
        </w:rPr>
        <w:softHyphen/>
        <w:t>оружение Красной Армии и серийно выпускался на ЧКЗ с декабря 1943 г. по июль 1944 г. С декабря 1943 г. по март 1944 г. тапки ИС-2 оснащались пушкой Д-25 с поршневым затвором. Всего бы</w:t>
      </w:r>
      <w:r w:rsidRPr="00271E51">
        <w:rPr>
          <w:rFonts w:ascii="Times New Roman" w:hAnsi="Times New Roman"/>
          <w:color w:val="000000" w:themeColor="text1"/>
          <w:sz w:val="16"/>
          <w:szCs w:val="16"/>
        </w:rPr>
        <w:softHyphen/>
        <w:t>ло изготовлено 145 машин данной модификации (10703).</w:t>
      </w:r>
    </w:p>
    <w:p w14:paraId="24A71C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CA347"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 xml:space="preserve">31 октября 1943 г. </w:t>
      </w:r>
      <w:r w:rsidRPr="00271E51">
        <w:rPr>
          <w:rFonts w:ascii="Times New Roman" w:hAnsi="Times New Roman"/>
          <w:color w:val="000000" w:themeColor="text1"/>
          <w:sz w:val="16"/>
          <w:szCs w:val="16"/>
        </w:rPr>
        <w:t>п</w:t>
      </w:r>
      <w:r w:rsidRPr="00271E51">
        <w:rPr>
          <w:rFonts w:ascii="Times New Roman" w:hAnsi="Times New Roman"/>
          <w:noProof/>
          <w:color w:val="000000" w:themeColor="text1"/>
          <w:sz w:val="16"/>
          <w:szCs w:val="16"/>
        </w:rPr>
        <w:t>о бу</w:t>
      </w:r>
      <w:r w:rsidRPr="00271E51">
        <w:rPr>
          <w:rFonts w:ascii="Times New Roman" w:hAnsi="Times New Roman"/>
          <w:noProof/>
          <w:color w:val="000000" w:themeColor="text1"/>
          <w:sz w:val="16"/>
          <w:szCs w:val="16"/>
        </w:rPr>
        <w:softHyphen/>
        <w:t>мажным эскизным проработкам, без какой- либо минимальной опытной проверки танк ИС со 122-мм пушкой был постановлением ГКО №4479сс принят на вооружение Красной Армии!</w:t>
      </w:r>
    </w:p>
    <w:p w14:paraId="2C10B9A7"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Получив такой огромный аванс, Котин решил назначить ведущим конструктором проекта именно Н.Ф. Шашму</w:t>
      </w:r>
      <w:r w:rsidRPr="00271E51">
        <w:rPr>
          <w:rFonts w:ascii="Times New Roman" w:hAnsi="Times New Roman"/>
          <w:noProof/>
          <w:color w:val="000000" w:themeColor="text1"/>
          <w:sz w:val="16"/>
          <w:szCs w:val="16"/>
        </w:rPr>
        <w:softHyphen/>
        <w:t>рина, к тому времени одного из сильнейших танковых кон</w:t>
      </w:r>
      <w:r w:rsidRPr="00271E51">
        <w:rPr>
          <w:rFonts w:ascii="Times New Roman" w:hAnsi="Times New Roman"/>
          <w:noProof/>
          <w:color w:val="000000" w:themeColor="text1"/>
          <w:sz w:val="16"/>
          <w:szCs w:val="16"/>
        </w:rPr>
        <w:softHyphen/>
        <w:t>структоров завода №100. По</w:t>
      </w:r>
      <w:r w:rsidRPr="00271E51">
        <w:rPr>
          <w:rFonts w:ascii="Times New Roman" w:hAnsi="Times New Roman"/>
          <w:noProof/>
          <w:color w:val="000000" w:themeColor="text1"/>
          <w:sz w:val="16"/>
          <w:szCs w:val="16"/>
        </w:rPr>
        <w:softHyphen/>
        <w:t>требовались все те исключи</w:t>
      </w:r>
      <w:r w:rsidRPr="00271E51">
        <w:rPr>
          <w:rFonts w:ascii="Times New Roman" w:hAnsi="Times New Roman"/>
          <w:noProof/>
          <w:color w:val="000000" w:themeColor="text1"/>
          <w:sz w:val="16"/>
          <w:szCs w:val="16"/>
        </w:rPr>
        <w:softHyphen/>
        <w:t>тельные качества, которые были присущи Шашмурину как руководителю работ - его неуемная энергия, высочай</w:t>
      </w:r>
      <w:r w:rsidRPr="00271E51">
        <w:rPr>
          <w:rFonts w:ascii="Times New Roman" w:hAnsi="Times New Roman"/>
          <w:noProof/>
          <w:color w:val="000000" w:themeColor="text1"/>
          <w:sz w:val="16"/>
          <w:szCs w:val="16"/>
        </w:rPr>
        <w:softHyphen/>
        <w:t>шая техническая грамотность, способность «заразить» своим энтузиазмом всех соисполни</w:t>
      </w:r>
      <w:r w:rsidRPr="00271E51">
        <w:rPr>
          <w:rFonts w:ascii="Times New Roman" w:hAnsi="Times New Roman"/>
          <w:noProof/>
          <w:color w:val="000000" w:themeColor="text1"/>
          <w:sz w:val="16"/>
          <w:szCs w:val="16"/>
        </w:rPr>
        <w:softHyphen/>
        <w:t>телей, распознать и поддер</w:t>
      </w:r>
      <w:r w:rsidRPr="00271E51">
        <w:rPr>
          <w:rFonts w:ascii="Times New Roman" w:hAnsi="Times New Roman"/>
          <w:noProof/>
          <w:color w:val="000000" w:themeColor="text1"/>
          <w:sz w:val="16"/>
          <w:szCs w:val="16"/>
        </w:rPr>
        <w:softHyphen/>
        <w:t>жать их наиболее талантливые конструктор</w:t>
      </w:r>
      <w:r w:rsidRPr="00271E51">
        <w:rPr>
          <w:rFonts w:ascii="Times New Roman" w:hAnsi="Times New Roman"/>
          <w:noProof/>
          <w:color w:val="000000" w:themeColor="text1"/>
          <w:sz w:val="16"/>
          <w:szCs w:val="16"/>
        </w:rPr>
        <w:softHyphen/>
        <w:t>ские решения.</w:t>
      </w:r>
    </w:p>
    <w:p w14:paraId="18AF13DC"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Тем же постановлением от 31 октября 1943 г. №4479 заводу №9 предписывалось изготовить к 11 ноября 1943 г. танковый ва</w:t>
      </w:r>
      <w:r w:rsidRPr="00271E51">
        <w:rPr>
          <w:rFonts w:ascii="Times New Roman" w:hAnsi="Times New Roman"/>
          <w:noProof/>
          <w:color w:val="000000" w:themeColor="text1"/>
          <w:sz w:val="16"/>
          <w:szCs w:val="16"/>
        </w:rPr>
        <w:softHyphen/>
        <w:t>риант орудия А-19 с поршневым затвором и предъявить его на испытания стрельбой к 27 ноября. Одновременно требовалось ос</w:t>
      </w:r>
      <w:r w:rsidRPr="00271E51">
        <w:rPr>
          <w:rFonts w:ascii="Times New Roman" w:hAnsi="Times New Roman"/>
          <w:noProof/>
          <w:color w:val="000000" w:themeColor="text1"/>
          <w:sz w:val="16"/>
          <w:szCs w:val="16"/>
        </w:rPr>
        <w:softHyphen/>
        <w:t>настить это орудие клиновым затвором и на</w:t>
      </w:r>
      <w:r w:rsidRPr="00271E51">
        <w:rPr>
          <w:rFonts w:ascii="Times New Roman" w:hAnsi="Times New Roman"/>
          <w:noProof/>
          <w:color w:val="000000" w:themeColor="text1"/>
          <w:sz w:val="16"/>
          <w:szCs w:val="16"/>
        </w:rPr>
        <w:softHyphen/>
        <w:t>чать его выпуск с 1944 г.</w:t>
      </w:r>
    </w:p>
    <w:p w14:paraId="0F99B0BF"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Параллельно с созданием такого орудия, получившего впоследствии наименование Д-25Т, Шашмурин с руководимыми им кон</w:t>
      </w:r>
      <w:r w:rsidRPr="00271E51">
        <w:rPr>
          <w:rFonts w:ascii="Times New Roman" w:hAnsi="Times New Roman"/>
          <w:noProof/>
          <w:color w:val="000000" w:themeColor="text1"/>
          <w:sz w:val="16"/>
          <w:szCs w:val="16"/>
        </w:rPr>
        <w:softHyphen/>
        <w:t>структорами буквально на ходу разрабаты</w:t>
      </w:r>
      <w:r w:rsidRPr="00271E51">
        <w:rPr>
          <w:rFonts w:ascii="Times New Roman" w:hAnsi="Times New Roman"/>
          <w:noProof/>
          <w:color w:val="000000" w:themeColor="text1"/>
          <w:sz w:val="16"/>
          <w:szCs w:val="16"/>
        </w:rPr>
        <w:softHyphen/>
        <w:t>вал рабочие чертежи танка с этим орудием. Умение Шашмурина наладить такое тесное, неформальное и оперативное взаимодей</w:t>
      </w:r>
      <w:r w:rsidRPr="00271E51">
        <w:rPr>
          <w:rFonts w:ascii="Times New Roman" w:hAnsi="Times New Roman"/>
          <w:noProof/>
          <w:color w:val="000000" w:themeColor="text1"/>
          <w:sz w:val="16"/>
          <w:szCs w:val="16"/>
        </w:rPr>
        <w:softHyphen/>
        <w:t>ствие двух конструкторских бюро решило исход дела и позволило выполнить работу в установленные сроки. При этом в конструк</w:t>
      </w:r>
      <w:r w:rsidRPr="00271E51">
        <w:rPr>
          <w:rFonts w:ascii="Times New Roman" w:hAnsi="Times New Roman"/>
          <w:noProof/>
          <w:color w:val="000000" w:themeColor="text1"/>
          <w:sz w:val="16"/>
          <w:szCs w:val="16"/>
        </w:rPr>
        <w:softHyphen/>
        <w:t>ции нового танка Шашмурин аккумулировал все то лучшее, что к этому времени создали наши разработчики - утолщенные литые баш</w:t>
      </w:r>
      <w:r w:rsidRPr="00271E51">
        <w:rPr>
          <w:rFonts w:ascii="Times New Roman" w:hAnsi="Times New Roman"/>
          <w:noProof/>
          <w:color w:val="000000" w:themeColor="text1"/>
          <w:sz w:val="16"/>
          <w:szCs w:val="16"/>
        </w:rPr>
        <w:softHyphen/>
        <w:t>ню, лобовую деталь и подба</w:t>
      </w:r>
      <w:r w:rsidRPr="00271E51">
        <w:rPr>
          <w:rFonts w:ascii="Times New Roman" w:hAnsi="Times New Roman"/>
          <w:noProof/>
          <w:color w:val="000000" w:themeColor="text1"/>
          <w:sz w:val="16"/>
          <w:szCs w:val="16"/>
        </w:rPr>
        <w:softHyphen/>
        <w:t>шенную часть корпуса, мало</w:t>
      </w:r>
      <w:r w:rsidRPr="00271E51">
        <w:rPr>
          <w:rFonts w:ascii="Times New Roman" w:hAnsi="Times New Roman"/>
          <w:noProof/>
          <w:color w:val="000000" w:themeColor="text1"/>
          <w:sz w:val="16"/>
          <w:szCs w:val="16"/>
        </w:rPr>
        <w:softHyphen/>
        <w:t>габаритные ПМП конструкции А.И. Благонравова, разумеет</w:t>
      </w:r>
      <w:r w:rsidRPr="00271E51">
        <w:rPr>
          <w:rFonts w:ascii="Times New Roman" w:hAnsi="Times New Roman"/>
          <w:noProof/>
          <w:color w:val="000000" w:themeColor="text1"/>
          <w:sz w:val="16"/>
          <w:szCs w:val="16"/>
        </w:rPr>
        <w:softHyphen/>
        <w:t>ся, торсионную подвеску и другие технические достиже</w:t>
      </w:r>
      <w:r w:rsidRPr="00271E51">
        <w:rPr>
          <w:rFonts w:ascii="Times New Roman" w:hAnsi="Times New Roman"/>
          <w:noProof/>
          <w:color w:val="000000" w:themeColor="text1"/>
          <w:sz w:val="16"/>
          <w:szCs w:val="16"/>
        </w:rPr>
        <w:softHyphen/>
        <w:t>ния, упоминавшиеся ранее.</w:t>
      </w:r>
    </w:p>
    <w:p w14:paraId="161E505A"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О совершенстве конструк</w:t>
      </w:r>
      <w:r w:rsidRPr="00271E51">
        <w:rPr>
          <w:rFonts w:ascii="Times New Roman" w:hAnsi="Times New Roman"/>
          <w:noProof/>
          <w:color w:val="000000" w:themeColor="text1"/>
          <w:sz w:val="16"/>
          <w:szCs w:val="16"/>
        </w:rPr>
        <w:softHyphen/>
        <w:t>ции танка ИС-122 свидетель</w:t>
      </w:r>
      <w:r w:rsidRPr="00271E51">
        <w:rPr>
          <w:rFonts w:ascii="Times New Roman" w:hAnsi="Times New Roman"/>
          <w:noProof/>
          <w:color w:val="000000" w:themeColor="text1"/>
          <w:sz w:val="16"/>
          <w:szCs w:val="16"/>
        </w:rPr>
        <w:softHyphen/>
        <w:t>ствует такой убедительный факт: будучи на 11 т легче не</w:t>
      </w:r>
      <w:r w:rsidRPr="00271E51">
        <w:rPr>
          <w:rFonts w:ascii="Times New Roman" w:hAnsi="Times New Roman"/>
          <w:noProof/>
          <w:color w:val="000000" w:themeColor="text1"/>
          <w:sz w:val="16"/>
          <w:szCs w:val="16"/>
        </w:rPr>
        <w:softHyphen/>
        <w:t>мецкого «Королевского тиг</w:t>
      </w:r>
      <w:r w:rsidRPr="00271E51">
        <w:rPr>
          <w:rFonts w:ascii="Times New Roman" w:hAnsi="Times New Roman"/>
          <w:noProof/>
          <w:color w:val="000000" w:themeColor="text1"/>
          <w:sz w:val="16"/>
          <w:szCs w:val="16"/>
        </w:rPr>
        <w:softHyphen/>
        <w:t>ра», он в 1,5 раза превосхо</w:t>
      </w:r>
      <w:r w:rsidRPr="00271E51">
        <w:rPr>
          <w:rFonts w:ascii="Times New Roman" w:hAnsi="Times New Roman"/>
          <w:noProof/>
          <w:color w:val="000000" w:themeColor="text1"/>
          <w:sz w:val="16"/>
          <w:szCs w:val="16"/>
        </w:rPr>
        <w:softHyphen/>
        <w:t>дил его по эффективности бронезащиты.</w:t>
      </w:r>
    </w:p>
    <w:p w14:paraId="23FD52AE"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И вот, опытный танк ИС-122 изготовлен в металле. Государственные испытания но</w:t>
      </w:r>
      <w:r w:rsidRPr="00271E51">
        <w:rPr>
          <w:rFonts w:ascii="Times New Roman" w:hAnsi="Times New Roman"/>
          <w:noProof/>
          <w:color w:val="000000" w:themeColor="text1"/>
          <w:sz w:val="16"/>
          <w:szCs w:val="16"/>
        </w:rPr>
        <w:softHyphen/>
        <w:t>вого детища Шашмурина прошли успешно. С начала 1944 г. развернулось серийное про</w:t>
      </w:r>
      <w:r w:rsidRPr="00271E51">
        <w:rPr>
          <w:rFonts w:ascii="Times New Roman" w:hAnsi="Times New Roman"/>
          <w:noProof/>
          <w:color w:val="000000" w:themeColor="text1"/>
          <w:sz w:val="16"/>
          <w:szCs w:val="16"/>
        </w:rPr>
        <w:softHyphen/>
        <w:t>изводство танков ИС-122 под маркой ИС-2. В связи с этим производство танков КВ-85 после выпуска 143 единиц и танков ИС-85 (ИС-1) после выпуска 107 единиц было пре</w:t>
      </w:r>
      <w:r w:rsidRPr="00271E51">
        <w:rPr>
          <w:rFonts w:ascii="Times New Roman" w:hAnsi="Times New Roman"/>
          <w:noProof/>
          <w:color w:val="000000" w:themeColor="text1"/>
          <w:sz w:val="16"/>
          <w:szCs w:val="16"/>
        </w:rPr>
        <w:softHyphen/>
        <w:t>кращено.</w:t>
      </w:r>
    </w:p>
    <w:p w14:paraId="4859A9B6"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Однако работа Шашмурина над танком ИС-2 продолжалась. В течение 1944 г. была проведена его модернизация. С целью до</w:t>
      </w:r>
      <w:r w:rsidRPr="00271E51">
        <w:rPr>
          <w:rFonts w:ascii="Times New Roman" w:hAnsi="Times New Roman"/>
          <w:noProof/>
          <w:color w:val="000000" w:themeColor="text1"/>
          <w:sz w:val="16"/>
          <w:szCs w:val="16"/>
        </w:rPr>
        <w:softHyphen/>
        <w:t>полнительного повышения защитных свойств бронекорпуса его лобовая часть стала на</w:t>
      </w:r>
      <w:r w:rsidRPr="00271E51">
        <w:rPr>
          <w:rFonts w:ascii="Times New Roman" w:hAnsi="Times New Roman"/>
          <w:noProof/>
          <w:color w:val="000000" w:themeColor="text1"/>
          <w:sz w:val="16"/>
          <w:szCs w:val="16"/>
        </w:rPr>
        <w:softHyphen/>
        <w:t>клонной, без излома, а смотровой люк ме</w:t>
      </w:r>
      <w:r w:rsidRPr="00271E51">
        <w:rPr>
          <w:rFonts w:ascii="Times New Roman" w:hAnsi="Times New Roman"/>
          <w:noProof/>
          <w:color w:val="000000" w:themeColor="text1"/>
          <w:sz w:val="16"/>
          <w:szCs w:val="16"/>
        </w:rPr>
        <w:softHyphen/>
        <w:t>ханика-водителя заменили смотровой ще</w:t>
      </w:r>
      <w:r w:rsidRPr="00271E51">
        <w:rPr>
          <w:rFonts w:ascii="Times New Roman" w:hAnsi="Times New Roman"/>
          <w:noProof/>
          <w:color w:val="000000" w:themeColor="text1"/>
          <w:sz w:val="16"/>
          <w:szCs w:val="16"/>
        </w:rPr>
        <w:softHyphen/>
        <w:t>лью, закрытой стеклоблоком. Часть танков оснащалась зенитной установкой 14,5-мм пулемета ДШК на командирской башенке. По поручению Шашмурина разработку этой ус</w:t>
      </w:r>
      <w:r w:rsidRPr="00271E51">
        <w:rPr>
          <w:rFonts w:ascii="Times New Roman" w:hAnsi="Times New Roman"/>
          <w:noProof/>
          <w:color w:val="000000" w:themeColor="text1"/>
          <w:sz w:val="16"/>
          <w:szCs w:val="16"/>
        </w:rPr>
        <w:softHyphen/>
        <w:t>тановки в весьма короткие сроки выполнил молодой талантливый конструктор П.П. Иса</w:t>
      </w:r>
      <w:r w:rsidRPr="00271E51">
        <w:rPr>
          <w:rFonts w:ascii="Times New Roman" w:hAnsi="Times New Roman"/>
          <w:noProof/>
          <w:color w:val="000000" w:themeColor="text1"/>
          <w:sz w:val="16"/>
          <w:szCs w:val="16"/>
        </w:rPr>
        <w:softHyphen/>
        <w:t>ков (ставший впоследствии главным конст</w:t>
      </w:r>
      <w:r w:rsidRPr="00271E51">
        <w:rPr>
          <w:rFonts w:ascii="Times New Roman" w:hAnsi="Times New Roman"/>
          <w:noProof/>
          <w:color w:val="000000" w:themeColor="text1"/>
          <w:sz w:val="16"/>
          <w:szCs w:val="16"/>
        </w:rPr>
        <w:softHyphen/>
        <w:t>руктором ОКБ ЧТЗ).</w:t>
      </w:r>
    </w:p>
    <w:p w14:paraId="32D0966A"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Танки ИС-2 в войсках с самого на</w:t>
      </w:r>
      <w:r w:rsidRPr="00271E51">
        <w:rPr>
          <w:rFonts w:ascii="Times New Roman" w:hAnsi="Times New Roman"/>
          <w:noProof/>
          <w:color w:val="000000" w:themeColor="text1"/>
          <w:sz w:val="16"/>
          <w:szCs w:val="16"/>
        </w:rPr>
        <w:softHyphen/>
        <w:t>чала заняли особое место. Об этом свидетельствует тот факт, что отдель</w:t>
      </w:r>
      <w:r w:rsidRPr="00271E51">
        <w:rPr>
          <w:rFonts w:ascii="Times New Roman" w:hAnsi="Times New Roman"/>
          <w:noProof/>
          <w:color w:val="000000" w:themeColor="text1"/>
          <w:sz w:val="16"/>
          <w:szCs w:val="16"/>
        </w:rPr>
        <w:softHyphen/>
        <w:t>ным тяжелым танковым полкам, на во</w:t>
      </w:r>
      <w:r w:rsidRPr="00271E51">
        <w:rPr>
          <w:rFonts w:ascii="Times New Roman" w:hAnsi="Times New Roman"/>
          <w:noProof/>
          <w:color w:val="000000" w:themeColor="text1"/>
          <w:sz w:val="16"/>
          <w:szCs w:val="16"/>
        </w:rPr>
        <w:softHyphen/>
        <w:t>оружение которых они поступали, уже при формировании присваивалось наименование «гвардейских».</w:t>
      </w:r>
    </w:p>
    <w:p w14:paraId="07273E8C" w14:textId="77777777" w:rsidR="00473181" w:rsidRPr="00271E51" w:rsidRDefault="00473181"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Впервые танки ИС-2 получили бо</w:t>
      </w:r>
      <w:r w:rsidRPr="00271E51">
        <w:rPr>
          <w:rFonts w:ascii="Times New Roman" w:hAnsi="Times New Roman"/>
          <w:noProof/>
          <w:color w:val="000000" w:themeColor="text1"/>
          <w:sz w:val="16"/>
          <w:szCs w:val="16"/>
        </w:rPr>
        <w:softHyphen/>
        <w:t>евое крещение в январе-феврале 1944 г. в Корсунь-Шевченковской опе</w:t>
      </w:r>
      <w:r w:rsidRPr="00271E51">
        <w:rPr>
          <w:rFonts w:ascii="Times New Roman" w:hAnsi="Times New Roman"/>
          <w:noProof/>
          <w:color w:val="000000" w:themeColor="text1"/>
          <w:sz w:val="16"/>
          <w:szCs w:val="16"/>
        </w:rPr>
        <w:softHyphen/>
        <w:t>рации. В последующем танки ИС-2 участвовали во всех операциях завер</w:t>
      </w:r>
      <w:r w:rsidRPr="00271E51">
        <w:rPr>
          <w:rFonts w:ascii="Times New Roman" w:hAnsi="Times New Roman"/>
          <w:noProof/>
          <w:color w:val="000000" w:themeColor="text1"/>
          <w:sz w:val="16"/>
          <w:szCs w:val="16"/>
        </w:rPr>
        <w:softHyphen/>
        <w:t>шающего периода Великой Отече</w:t>
      </w:r>
      <w:r w:rsidRPr="00271E51">
        <w:rPr>
          <w:rFonts w:ascii="Times New Roman" w:hAnsi="Times New Roman"/>
          <w:noProof/>
          <w:color w:val="000000" w:themeColor="text1"/>
          <w:sz w:val="16"/>
          <w:szCs w:val="16"/>
        </w:rPr>
        <w:softHyphen/>
        <w:t>ственной войны. Символично, что именно этот танк установили на постамент в Карлхорсте под Берлином, где 9 мая 1945 г. был подписан акт о безоговорочной капиту</w:t>
      </w:r>
      <w:r w:rsidRPr="00271E51">
        <w:rPr>
          <w:rFonts w:ascii="Times New Roman" w:hAnsi="Times New Roman"/>
          <w:noProof/>
          <w:color w:val="000000" w:themeColor="text1"/>
          <w:sz w:val="16"/>
          <w:szCs w:val="16"/>
        </w:rPr>
        <w:softHyphen/>
        <w:t>ляции фашистской Германии</w:t>
      </w:r>
      <w:r w:rsidRPr="00271E51">
        <w:rPr>
          <w:rFonts w:ascii="Times New Roman" w:hAnsi="Times New Roman"/>
          <w:color w:val="000000" w:themeColor="text1"/>
          <w:sz w:val="16"/>
          <w:szCs w:val="16"/>
        </w:rPr>
        <w:t xml:space="preserve"> (11897)</w:t>
      </w:r>
      <w:r w:rsidRPr="00271E51">
        <w:rPr>
          <w:rFonts w:ascii="Times New Roman" w:hAnsi="Times New Roman"/>
          <w:noProof/>
          <w:color w:val="000000" w:themeColor="text1"/>
          <w:sz w:val="16"/>
          <w:szCs w:val="16"/>
        </w:rPr>
        <w:t>.</w:t>
      </w:r>
    </w:p>
    <w:p w14:paraId="079732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33B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Постановление ГКО № 4474 О производстве и поставке в IV квартале с.г. Ветеринарному управлению Красной Армии конских противохимических пакетов.РГАНИР, Фонд ГКО, д. 171, лл. 19-20, 21 (11012).</w:t>
      </w:r>
    </w:p>
    <w:p w14:paraId="1B937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3DD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Распоряжение ГКО № 4475. Об обеспечении оборудованием восстанавливаемых ТЭЦ Ново-Краматорского и Ворошиловградского заводов НКТМ.РГАНИР, Фонд ГКО, д. 171, лл. 22 (11012).</w:t>
      </w:r>
    </w:p>
    <w:p w14:paraId="6362F8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7139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Постановление ГКО № 4476 О мероприятиях по восстановлению флота, портов и судоремонтных заводов Наркомморфлота в Черноморско-Азовском бассейне. (7153, 23-31,32-49).</w:t>
      </w:r>
    </w:p>
    <w:p w14:paraId="6417586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74B5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Постановление ГКО № 4477 О производстве и поставке Наркомобороны, Наркомвоенморфлоту и войскам НКВД СССР средств инженерного вооружения в IV квартале 1943 года. (7153, 50-54,55-98).</w:t>
      </w:r>
    </w:p>
    <w:p w14:paraId="2303613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45B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Распоряжение ГКО № 4478. Об отсрочке НКТП изготовления и поставки одной дробилки на Сталинский алюминиевый завод НКЦМ.РГАНИР, Фонд ГКО, д. 171, лл. 99 (11012).</w:t>
      </w:r>
    </w:p>
    <w:p w14:paraId="49143D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A20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Постановление ГКО № 4479 О производстве тяжелого танка ИС-2 со 122 мм пушкой.РГАНИР, Фонд ГКО, д. 171, лл. 100-101, 102-105 (11012).</w:t>
      </w:r>
    </w:p>
    <w:p w14:paraId="70356F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A33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Распоряжение ГКО № 4480. О разрешении НКХП поставлять элементный нашатырь НКЭП по техническим условиям 1940 г.РГАНИР, Фонд ГКО, д. 171, лл. 106 (11012).</w:t>
      </w:r>
    </w:p>
    <w:p w14:paraId="1B7659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14D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Распоряжение ГКО № 4481. О сохранении за трестом "Масложирстрой" 100 военнообязанных, не годных к воинской службе.РГАНИР, Фонд ГКО, д. 171, лл. 107 (11012).</w:t>
      </w:r>
    </w:p>
    <w:p w14:paraId="181D4C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BDAB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вышло Распоряжение ГКО № 4482 [Об изготовлении НКЭП для ГУС КА помехоустойчивой буквопечатающей аппаратуры "Алмаз".] (7153, 108).</w:t>
      </w:r>
    </w:p>
    <w:p w14:paraId="42A34D9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3836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C34C4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34646"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в 1943 году оперативная сводка Совинформбюро:</w:t>
      </w:r>
    </w:p>
    <w:p w14:paraId="78BBD3F4"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31 октября в районе между рекой Днепр и побережьем Сиваша наши войска продолжали преследовать отступающего противника и заняли более 200 населённых пунктов, среди которых районные центры Запорожской области Сивашское (Рождественка), Ново-Троицкое, Крупные Населённые Пункты Ново-Петровка, Верхнийрогачик, Ольгино, Зелёный Под, Петропавловка, Константиновка, Камышанка,Черноморский, Семёновка, Костогрызово, Григорьевка, Ново-Натальевка, Чаплинка, Хлебодаровка, Ясная Поляна, Воскресеновка, Сергеевка, Новый Рог, Отрада,Александровка, Догмаровка, Hoвo-Украинка, Ново-Михайловка и железнодорожные станции Партизаны, Новоалексеевка.</w:t>
      </w:r>
    </w:p>
    <w:p w14:paraId="58BF2064"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продолжали наступление и заняли несколько населённых пунктов, среди которых Кудашевка, Покровка, Надия, Болтышка, Ветровка, Андреевка, Михайловка, Жабовка, Дальний и железнодорожная станция Кудашевка.</w:t>
      </w:r>
    </w:p>
    <w:p w14:paraId="374A73C5"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отбивать контратаки крупных сил пехоты и танков противника.</w:t>
      </w:r>
    </w:p>
    <w:p w14:paraId="3E48256F"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усиленная разведка и артиллерийско-миномётная перестрелка.</w:t>
      </w:r>
    </w:p>
    <w:p w14:paraId="70D0D722"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октября наши войска на всех фронтах подбили и уничтожили 92 немецких танка. В воздушных боях и огнём зенитной артиллерии сбито 23 самолёта противника.</w:t>
      </w:r>
    </w:p>
    <w:p w14:paraId="16DA1BF4"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побережьем Сиваша наши войска продолжали успешное наступление и заняли более 200 населённых пунктов. Противник, опираясьна спешно оборудованные оборонительные рубежи, пытался задержаться, чтобы выиграть время и привести в порядок свои дезорганизованные войска. На одном участке гитлеровцы пытались даже перейти в контратаку, но, потеряв 16 танков исвыше 1.000 своих солдат и офицеров только убитыми, быстро откатились. Сломив сопротивление противника, советские подвижные части продолжали стремительно продвигаться вперёд. Освобождены от немецких захватчиков районные центры Запорожской области Сивашское (Рождественка), Ново-Троицкое и много других крупных населённых пунктов. Нашими войсками заняты также железнодорожные станции Партизаны и Новоалексеевка. Противник несёт огромные потери в живой силе итехнике. Преследуемые нашими войсками немцы отступают, бросая артиллерию,боеприпасы, пехотное вооружение и военное имущество. Взято большое число пленных.</w:t>
      </w:r>
    </w:p>
    <w:p w14:paraId="486F28FF"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излучине Днепра, юго-западнее города Днепропетровск, части Н-скогосоединения, сломив сопротивление противника, заняли железнодорожную станциюКудашевка. В бою за станцию уничтожено свыше 600 немецких солдат и офицеров ивзяты пленные. Другое наше соединение, отбивая контратаки пехоты и танковпротивника, выбило немцев из нескольких сильно укреплённых населённых пунктов. Уничтожено до батальона гитлеровцев, 4 танка, 3 самоходных и 10 </w:t>
      </w:r>
      <w:r w:rsidRPr="00271E51">
        <w:rPr>
          <w:rFonts w:ascii="Times New Roman" w:hAnsi="Times New Roman"/>
          <w:color w:val="000000" w:themeColor="text1"/>
          <w:sz w:val="16"/>
          <w:szCs w:val="16"/>
        </w:rPr>
        <w:lastRenderedPageBreak/>
        <w:t>полевых орудийпротивника. На одном участке по реке Днепр немцы пытались высадить десант в тылу наших войск. Замысел противника был сорван. Наши бойцы уничтожили свыше 500 немецких автоматчиков и потопили много лодок и катеров. Захвачено 3 исправных катера, 3 моторных лодки и другие трофеи.</w:t>
      </w:r>
    </w:p>
    <w:p w14:paraId="6B8491CE"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наносили удары по войскам противника и уничтожили до 100 автомашин, несколько бензозаправщиков, взорвали 3 склада с боеприпасами и 2 склада с горючим.</w:t>
      </w:r>
    </w:p>
    <w:p w14:paraId="57DA7D80"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отбивали контратаки противника.Немцы, сосредоточив на узком участке большие силы пехоты и несколько танковых дивизий, бросают их в контратаки. В ходе этих боёв противник несёт огромные потери. Только на участке Н-ского соединения наши гвардейцы подбили и сожгли 30 вражеских танков и истребили свыше 1.500 немецких солдат и офицеров. На другом участке советские артиллеристы и бронебойщики уничтожили 14 немецких танков и 40 автомашин. В двухдневных боях танкисты Н-ской части истребили до полка пехотыпротивника. В этом бою особенно отличилась танковая рота лейтенанта Романова, которая удачным манёвром вышла в тыл немцам и внезапным ударом решила исход боя.</w:t>
      </w:r>
    </w:p>
    <w:p w14:paraId="740D8677"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течение дня в воздушных боях сбили 18 немецких самолётов.</w:t>
      </w:r>
    </w:p>
    <w:p w14:paraId="45EC83CF"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кораблями в Финском заливе потоплен тральщик противника.</w:t>
      </w:r>
    </w:p>
    <w:p w14:paraId="1D896A5A"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Калининской области, занесколько дней уничтожил 40 мостов на шоссе, по которому немцы подвозили к линиифронта пополнение, боеприпасы и продовольствие. Из засад убито 126 гитлеровцев. Другой отряд калининских партизан пустил под откос два воинских эшелона противника. В результате крушений разбито и повреждено до 40 вагонов сбоеприпасами.</w:t>
      </w:r>
    </w:p>
    <w:p w14:paraId="3BC1C37B"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3 роты 25 мотополка 12 немецкой танковой дивизии Вальтер Мак рассказал: «Наша дивизия участвовала в провалившемся июльском наступлениинемецких войск на Курск, понесла большие потери и была вынуждена отходить. На пути к Днепру офицеры нам говорили, что созданные там укрепления неприступны. Командир роты лейтенант Тильс сказал, что на правом берегу Днепра мы приведём себя в порядок и расположимся на зиму. В ходе военных действий мы убедились, что никакие укрепления не являются преградой для русских. Они не только форсировали Днепр, но уже здесь, за Днепром, нанесли нам тяжёлое поражение. Солдаты ничегоне понимают в происходящем. Им изо дня в день твердят, что наши рубежи неприступны, а русские преодолевают одну оборонительную полосу за другой.Настроение офицеров также неважное. Лейтенант Хинерт недавно в присутствии группы унтер-офицеров заявил: «Мы приближаемся к тем местам, где два с лишним года назад начали войну. Надо, таким образом, признать непоправимую ошибку. Хочется, чтобы развязка наступила как можно быстрее, пока мы ещё живы».</w:t>
      </w:r>
    </w:p>
    <w:p w14:paraId="137515C9"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Дикие зверства учинили немецко-фашистские мерзавцы в сёлах Большая Обуховка и Бакумовка, Миргородского района, Полтавской области. Только за два дня гитлеровские палачи расстреляли в Большой Обуховке 370 советских граждан. Немцы ходили из дома в дом и убивали всех, кого находили. Фашистские бандиты сожгли более 150 жилых домов. В селе Бакумовка гитлеровцы арестовали 37 стариков иженщин с детьми, вывели их к церкви, на берегу реки Хорол, и расстреляли из автоматов (14816).</w:t>
      </w:r>
    </w:p>
    <w:p w14:paraId="0DD17A2B"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3848754D"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в 1943 году советские войска захватили Чаплинку, отрезав войска фашистов в Крыму от основных сил (14816).</w:t>
      </w:r>
    </w:p>
    <w:p w14:paraId="4EC8CEDB"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08B49721"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 xml:space="preserve">в 1943 году войска 4-го Украинского фронта вышли к Сивашу и Перекопу </w:t>
      </w:r>
    </w:p>
    <w:p w14:paraId="1316923A"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63F46840"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в 1943 году во время Великой Отечественной войны началась Керченско-Эльтигенская десантная операция войск Северо-Кавказского фронта (генерал-полковник И.Е.Петров), сил Черноморского флота (вице-адмирал Л.А.Владимирский) и Азовской военной флотилии (контр-адмирал С.Г.Горшков). Операция завершилась 11 декабря захватом оперативного плацдарма под Керчью (14816).</w:t>
      </w:r>
    </w:p>
    <w:p w14:paraId="32504D65"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4DB5F5FB"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в 1943 году войска 4-го Украинского фронта вышли к Сивашу и Перекопу (14816).</w:t>
      </w:r>
    </w:p>
    <w:p w14:paraId="58AA734D"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1E1638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31 октября по 11 декабря 1943 состоялась Керченско-Эльтигенская десантная операция СКФ (И.Е.Петров), ЧМФ (Л.А.Владимирский) и АВФ. Высаживались в шторм с 278 катеров при поддержке 1000 самолетов, но плацдармы были блокированы до 7 декабря 1943, пока не высадились в новом месте северо-восточнее Керчи (2438,309).</w:t>
      </w:r>
    </w:p>
    <w:p w14:paraId="556F28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086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31 октября по 11 декабря 1943 была Керченско-Эльтигенская десантная операция. </w:t>
      </w:r>
    </w:p>
    <w:p w14:paraId="0BF5B5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Целью операции было создание оперативного плацдарма на Керченском п-ове для последующего освобождения Крыма. Войскам Красной Армии противостоял 5-й армейский корпус 17-й немецкой армии (3 дивизии и до 10 отдельных частей, всего до 85 тыс. человек), усиленный танками и артиллерией, поддерживаемый [329] авиацией и морскими силами (около 30 быстроходных десантных барж, 37 ТКА, 25 СКА, 6 ТЩ). На побережье были сооружены три оборонительных рубежа и развернуты 45 артиллерийских, 11 минометных и 23 зенитные батареи. </w:t>
      </w:r>
    </w:p>
    <w:p w14:paraId="6C3B03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Планом операции предусматривалась одновременная высадка трех стрелковых дивизий 56-й армии (с 20.11 Отдельная Приморская армия) в районе северо-восточнее и восточнее Керчи (главное направление) силами АВФ и одной стрелковой дивизии 18-й армии в районе Эльтигена (Героевское) силами ЧФ. Части десанта должны были нанести удары по сходящимся направлениям и овладеть восточной частью Керченского п-ова с портами Керчь и Камыш-Бурун (Аргаинцево). </w:t>
      </w:r>
    </w:p>
    <w:p w14:paraId="2F005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Общее руководство операцией возлагалось на командующего Северо-Кавказским фронтом генерал-полковника И. Е. Петрова (с 20.11 командир Отдельной Приморской армии) и его помощника по морской части командующего ЧФ вице-адмирала Л. А. Владимирского. Высадкой десанта руководили: на главном направлении — командующий АВФ контр-адмирал С. Г. Горшков, на вспомогательном — командир Новороссийской ВМБ контр-адмирал Г. Н. Холостяков. </w:t>
      </w:r>
    </w:p>
    <w:p w14:paraId="3B1A51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десантной операции было привлечено около 130 тыс. человек, свыше 2 тыс. орудий и минометов, 125 танков, 119 катеров различных классов, 159 вспомогательных судов и транспортных средств и более 1000 самолетов 4-й воздушной армии и авиации ЧФ. В качестве штурмовых отрядов десанту были приданы 3 батальона морской пехоты. Для перевозки и высадки десантных войск было создано 12 отрядов кораблей высадки, 4 штурмовые группы, 2 отряда и 2 группы кораблей прикрытия. </w:t>
      </w:r>
    </w:p>
    <w:p w14:paraId="7BC482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Было намечено провести одновременную высадку десантов в ночь на 1.11, но из-за сильного шторма высадка десанта 56-й армии была отложена. 1.11 в 4 ч 50 мин скрытно высадившись в районе Эльтигена и Коммуны «Инициатива», десант 18-й армии захватил плацдарм 5 км по фронту и 2 км в глубину. Стянув крупные силы, противник обрушился на десантников, но, поддержанные огнем артиллерии с Таманского п-ова и косы Чушка и авиацией ЧФ, они отразили все контратаки. С наступлением темноты началась высадка последующих эшелонов войск 18-й армии. За ночь [330] было высажено 3270 человек. Не сумев выбить десант, противник блокировал эльтигенский плацдарм с моря и с воздуха. Поэтому в ночь на 3.11 с кораблей и судов ЧФ было высажено лишь 840 человек. С дальнейшим усилением блокады перевозки пополнений, боеприпасов и продовольствия резко сократились. </w:t>
      </w:r>
    </w:p>
    <w:p w14:paraId="3CD601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Воспользовавшись тем, что противник сосредоточил основные силы для борьбы с десантом в районе Эльтигена, в ночь на 3.11 АВФ высадила десант 56-й армии северо-восточное Керчи. К исходу 3.11 десантные войска, преодолевая упорное сопротивление противника, вышли на рубеж Еникале, восточнее Баксы и закрепились на захваченном плацдарме. К 12.11 плацдарм на Керченском п-ове был расширен от побережья Азовского моря до Керчи. Войска 56-й армии удерживали его до начала Крымской операции (апрель 1944). </w:t>
      </w:r>
    </w:p>
    <w:p w14:paraId="7901F0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ликвидации блокады эльтигенского плацдарма авиация ЧФ нанесла четыре массированных удара по вражеской базе, расположенной в Камыш-Буруне. Катера ЧФ осуществили несколько выходов для атаки неприятельских кораблей и судов в районе Камыш-Буруна и на подходе к плацдарму. Но положение десанта в районе Эльтигена ухудшалось. Ожесточенные бои продолжались до 6.12. Учитывая, что десант выполнил свою основную задачу — сковал крупные силы противника в районе Эльтигена, обеспечив тем самым успешные действия десанта 56-й армии на главном направлении, а также сложность доставки резервов, боеприпасов и продовольствия, командование отдало приказ об эвакуации войск с эльтигеиского плацдарма. Было принято решение пробиваться в направлении Керчи для соединения с частями 56-й армии. </w:t>
      </w:r>
    </w:p>
    <w:p w14:paraId="5A7009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7.12 около 1,5 тыс. десантников стремительным ударом прорвались к южней окраине Керчи и заняли гору Митридат и пристань Угольная. В помощь им 7 и 9.12 с кораблей и судов АВФ была высажена 83-я бригада морской пехоты. 9.12 десантники под натиском превосходящих сил противника отошли к предместью города, а 10–11.12 были эвакуированы на судах и кораблях АВФ (11712).</w:t>
      </w:r>
    </w:p>
    <w:p w14:paraId="17364A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6684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советские войска захватили Чаплинку, отрезав войска фашистов в Крыму от основных сил (4962).</w:t>
      </w:r>
    </w:p>
    <w:p w14:paraId="5A3B4C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DDDE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3660D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65A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прошла операция НКВД по выселению карачаево-черкессов (3481).</w:t>
      </w:r>
    </w:p>
    <w:p w14:paraId="2D880D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DE98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За рубежом:</w:t>
      </w:r>
    </w:p>
    <w:p w14:paraId="2EA602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3071C"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октября 1943 - Первый полёт Budd RB Conestoga. Скорее всего, Budd Conestoga стал первым большим самолётом, который изначально предполагалось строить из нержавеющей стали. Такой шаг был предпринят из-за прогнозировавшегося в начале Второй мировой войны дефицита алюминиевых сплавов, традиционно применявшихся в авиастроении, сталь же виделась как альтернатива алюминию.</w:t>
      </w:r>
    </w:p>
    <w:p w14:paraId="3B149FEE"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Запуск в серийное производство отложили из-за высокой стоимости изделия и ликвидации дефицита алюминия. ВВС Армии США аннулировали заключенный контракт, а флот снизил свой заказ до 25 самолётов, из которых до окончания войны было поставлено лишь 17 машин, но и они не использовались по назначению. После войны самолёты выставили на торги, 14 машин купил Роберт Прескотт, который использовал их для становления грузовой авиакомпании, изначально именовавшейся "National Skyway Freight Corporation", а позже - "Flying Tiger Line" (22320).</w:t>
      </w:r>
    </w:p>
    <w:p w14:paraId="21483060"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p>
    <w:p w14:paraId="69748E37"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октября 1943 - F4U-2 Corsair эскадрильи VMF(N)-532 выполняет первый успешный ночной радиолокационный управляемый перехват для США в Тихом океане. Это также первая победа ночью авиации ВМС в Тихом океане (22320).</w:t>
      </w:r>
    </w:p>
    <w:p w14:paraId="3780CECA" w14:textId="77777777" w:rsidR="008572EC" w:rsidRPr="00271E51" w:rsidRDefault="008572EC" w:rsidP="00271E51">
      <w:pPr>
        <w:pStyle w:val="234"/>
        <w:shd w:val="clear" w:color="auto" w:fill="auto"/>
        <w:spacing w:line="240" w:lineRule="auto"/>
        <w:jc w:val="both"/>
        <w:rPr>
          <w:rFonts w:ascii="Times New Roman" w:hAnsi="Times New Roman" w:cs="Times New Roman"/>
          <w:color w:val="0070C0"/>
          <w:sz w:val="16"/>
          <w:szCs w:val="16"/>
        </w:rPr>
      </w:pPr>
    </w:p>
    <w:p w14:paraId="31CCAC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октября 1943 к войскам союзников присоединен первый итальянский военный отряд - 1-я моторизованная группа (4962).</w:t>
      </w:r>
    </w:p>
    <w:p w14:paraId="140D091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236790"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eastAsia="Times New Roman" w:hAnsi="Times New Roman"/>
          <w:bCs/>
          <w:color w:val="000000" w:themeColor="text1"/>
          <w:sz w:val="16"/>
          <w:szCs w:val="16"/>
        </w:rPr>
        <w:t xml:space="preserve">31 октября </w:t>
      </w:r>
      <w:r w:rsidRPr="00271E51">
        <w:rPr>
          <w:rFonts w:ascii="Times New Roman" w:hAnsi="Times New Roman"/>
          <w:color w:val="000000" w:themeColor="text1"/>
          <w:sz w:val="16"/>
          <w:szCs w:val="16"/>
        </w:rPr>
        <w:t>в 1943 году в Париже в среде русской эмиграции создан Союз Русских Патриотов во главе с И.Михневичем (14816).</w:t>
      </w:r>
    </w:p>
    <w:p w14:paraId="1048EAD6"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5865E05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75B75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64B62" w14:textId="77777777" w:rsidR="008572EC" w:rsidRPr="00271E51" w:rsidRDefault="008572E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последние дни октября 1943 С.В. Ильюшин срочно выехал в Куйбышев для выяснения реального положения дел. Результатом этой командировки стало его письмо к Наркому авиапрома, в котором он, в частности, писал: «...ознакомившись на заводе № 18 с ходом постройки двух самолетов Ил-1 в одноместном и двухместном вариантах, я убедился, что постройка двух самолетов непосильна, поэтому прошу Вас Ил-1 в одноместном варианте с завода снять. Срок окончания самолета Ил-1 в двухместном варианте заводу № 18 оставить прежний, т.е. 10 декабря 1943 г....» (21005).</w:t>
      </w:r>
    </w:p>
    <w:p w14:paraId="5DA6C824" w14:textId="77777777" w:rsidR="008572EC" w:rsidRPr="00271E51" w:rsidRDefault="008572EC" w:rsidP="00271E51">
      <w:pPr>
        <w:spacing w:after="0" w:line="240" w:lineRule="auto"/>
        <w:jc w:val="both"/>
        <w:rPr>
          <w:rFonts w:ascii="Times New Roman" w:hAnsi="Times New Roman"/>
          <w:color w:val="0070C0"/>
          <w:sz w:val="16"/>
          <w:szCs w:val="16"/>
        </w:rPr>
      </w:pPr>
    </w:p>
    <w:p w14:paraId="6ABEE1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октября 1943, ознакомившись с результатами испытаний Су-6 М-71ф, который в августе с блеском прошел государст</w:t>
      </w:r>
      <w:r w:rsidRPr="00271E51">
        <w:rPr>
          <w:rFonts w:ascii="Times New Roman" w:hAnsi="Times New Roman"/>
          <w:color w:val="000000" w:themeColor="text1"/>
          <w:sz w:val="16"/>
          <w:szCs w:val="16"/>
        </w:rPr>
        <w:softHyphen/>
        <w:t>венные испытания, и осознав, что военные вполне могут «до</w:t>
      </w:r>
      <w:r w:rsidRPr="00271E51">
        <w:rPr>
          <w:rFonts w:ascii="Times New Roman" w:hAnsi="Times New Roman"/>
          <w:color w:val="000000" w:themeColor="text1"/>
          <w:sz w:val="16"/>
          <w:szCs w:val="16"/>
        </w:rPr>
        <w:softHyphen/>
        <w:t>жать» наркомат в отношении постановки самолета в массо</w:t>
      </w:r>
      <w:r w:rsidRPr="00271E51">
        <w:rPr>
          <w:rFonts w:ascii="Times New Roman" w:hAnsi="Times New Roman"/>
          <w:color w:val="000000" w:themeColor="text1"/>
          <w:sz w:val="16"/>
          <w:szCs w:val="16"/>
        </w:rPr>
        <w:softHyphen/>
        <w:t>вую серию, С.В. Ильюшин принимает решение превратить бронированный истребитель Ил-1 в двухместный штурмовик с высокими скоростными и маневренными качествами. Не</w:t>
      </w:r>
      <w:r w:rsidRPr="00271E51">
        <w:rPr>
          <w:rFonts w:ascii="Times New Roman" w:hAnsi="Times New Roman"/>
          <w:color w:val="000000" w:themeColor="text1"/>
          <w:sz w:val="16"/>
          <w:szCs w:val="16"/>
        </w:rPr>
        <w:softHyphen/>
        <w:t>обходимо было срочно предъявить руководству боевую ма</w:t>
      </w:r>
      <w:r w:rsidRPr="00271E51">
        <w:rPr>
          <w:rFonts w:ascii="Times New Roman" w:hAnsi="Times New Roman"/>
          <w:color w:val="000000" w:themeColor="text1"/>
          <w:sz w:val="16"/>
          <w:szCs w:val="16"/>
        </w:rPr>
        <w:softHyphen/>
        <w:t>шину, не уступающую бронированному «сухому» по лет-но-боевым данным, но имеющую значительно лучшие пер</w:t>
      </w:r>
      <w:r w:rsidRPr="00271E51">
        <w:rPr>
          <w:rFonts w:ascii="Times New Roman" w:hAnsi="Times New Roman"/>
          <w:color w:val="000000" w:themeColor="text1"/>
          <w:sz w:val="16"/>
          <w:szCs w:val="16"/>
        </w:rPr>
        <w:softHyphen/>
        <w:t>спективы по запуску в серийное производство по причине использования уже отработанной на авиазаводах технологии и более «удобного» мотора.</w:t>
      </w:r>
    </w:p>
    <w:p w14:paraId="37D2D3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Ильюшин, несомненно, учитывал и то обстоя</w:t>
      </w:r>
      <w:r w:rsidRPr="00271E51">
        <w:rPr>
          <w:rFonts w:ascii="Times New Roman" w:hAnsi="Times New Roman"/>
          <w:color w:val="000000" w:themeColor="text1"/>
          <w:sz w:val="16"/>
          <w:szCs w:val="16"/>
        </w:rPr>
        <w:softHyphen/>
        <w:t>тельство, что принятые на Су-6 компоновочные и аэродинами</w:t>
      </w:r>
      <w:r w:rsidRPr="00271E51">
        <w:rPr>
          <w:rFonts w:ascii="Times New Roman" w:hAnsi="Times New Roman"/>
          <w:color w:val="000000" w:themeColor="text1"/>
          <w:sz w:val="16"/>
          <w:szCs w:val="16"/>
        </w:rPr>
        <w:softHyphen/>
        <w:t>ческие решения наилучшим образом проявляются лишь при ус</w:t>
      </w:r>
      <w:r w:rsidRPr="00271E51">
        <w:rPr>
          <w:rFonts w:ascii="Times New Roman" w:hAnsi="Times New Roman"/>
          <w:color w:val="000000" w:themeColor="text1"/>
          <w:sz w:val="16"/>
          <w:szCs w:val="16"/>
        </w:rPr>
        <w:softHyphen/>
        <w:t>тановке на самолет мотора воздушного охлаждения и не смогут обеспечить необходимое совершенство машины в аэродинами</w:t>
      </w:r>
      <w:r w:rsidRPr="00271E51">
        <w:rPr>
          <w:rFonts w:ascii="Times New Roman" w:hAnsi="Times New Roman"/>
          <w:color w:val="000000" w:themeColor="text1"/>
          <w:sz w:val="16"/>
          <w:szCs w:val="16"/>
        </w:rPr>
        <w:softHyphen/>
        <w:t>ческом и весовом отношении в случае применения двигателя с жидкостным охлаждением. В то же время компоновка Ил-1 и его аэродинамика, наоборот, были оптимизированы именно под мотор жидкостного охлаждения. При установке на Су-6 мо</w:t>
      </w:r>
      <w:r w:rsidRPr="00271E51">
        <w:rPr>
          <w:rFonts w:ascii="Times New Roman" w:hAnsi="Times New Roman"/>
          <w:color w:val="000000" w:themeColor="text1"/>
          <w:sz w:val="16"/>
          <w:szCs w:val="16"/>
        </w:rPr>
        <w:softHyphen/>
        <w:t>тора АМ-42 без кардинальной переделки конструкции самолета его летные данные при сопоставимых взлетных весах окажутся заведомо хуже, чем у Ил-1 с этим же мотором. По этой причине потенциальная возможность установки мотора АМ-42 на само</w:t>
      </w:r>
      <w:r w:rsidRPr="00271E51">
        <w:rPr>
          <w:rFonts w:ascii="Times New Roman" w:hAnsi="Times New Roman"/>
          <w:color w:val="000000" w:themeColor="text1"/>
          <w:sz w:val="16"/>
          <w:szCs w:val="16"/>
        </w:rPr>
        <w:softHyphen/>
        <w:t>лет Сухого Ильюшина особо не пугала.</w:t>
      </w:r>
    </w:p>
    <w:p w14:paraId="2E0D50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штурмовом варианте «единички» предполагалось уста</w:t>
      </w:r>
      <w:r w:rsidRPr="00271E51">
        <w:rPr>
          <w:rFonts w:ascii="Times New Roman" w:hAnsi="Times New Roman"/>
          <w:color w:val="000000" w:themeColor="text1"/>
          <w:sz w:val="16"/>
          <w:szCs w:val="16"/>
        </w:rPr>
        <w:softHyphen/>
        <w:t>новить две 37-мм пушки 11П и две пушки ШВАК. Нормальная бомбовая нагрузка включала 400 кг и в перегрузку — 600 кг. Ракетное вооружение состояло из четырех ракетных орудий РО-82. Это была серьезная заявка. Получалось так, что путем переделки Ил-1 можно было довольно быстро предъявить во</w:t>
      </w:r>
      <w:r w:rsidRPr="00271E51">
        <w:rPr>
          <w:rFonts w:ascii="Times New Roman" w:hAnsi="Times New Roman"/>
          <w:color w:val="000000" w:themeColor="text1"/>
          <w:sz w:val="16"/>
          <w:szCs w:val="16"/>
        </w:rPr>
        <w:softHyphen/>
        <w:t>енным боевую машину, не уступающую Су-6 М-71ф по лет-но-боевым показателям и имеющую значительно лучшие пер</w:t>
      </w:r>
      <w:r w:rsidRPr="00271E51">
        <w:rPr>
          <w:rFonts w:ascii="Times New Roman" w:hAnsi="Times New Roman"/>
          <w:color w:val="000000" w:themeColor="text1"/>
          <w:sz w:val="16"/>
          <w:szCs w:val="16"/>
        </w:rPr>
        <w:softHyphen/>
        <w:t>спективы по запуску в серийное производство по причине ис</w:t>
      </w:r>
      <w:r w:rsidRPr="00271E51">
        <w:rPr>
          <w:rFonts w:ascii="Times New Roman" w:hAnsi="Times New Roman"/>
          <w:color w:val="000000" w:themeColor="text1"/>
          <w:sz w:val="16"/>
          <w:szCs w:val="16"/>
        </w:rPr>
        <w:softHyphen/>
        <w:t>пользования уже отработанной на авиазаводах технологии и более «удобного» мотора.</w:t>
      </w:r>
    </w:p>
    <w:p w14:paraId="4FC411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Получив разрешение руководства НКАП, Ильюшин сроч</w:t>
      </w:r>
      <w:r w:rsidRPr="00271E51">
        <w:rPr>
          <w:rFonts w:ascii="Times New Roman" w:hAnsi="Times New Roman"/>
          <w:color w:val="000000" w:themeColor="text1"/>
          <w:sz w:val="16"/>
          <w:szCs w:val="16"/>
        </w:rPr>
        <w:softHyphen/>
        <w:t>но выезжает в Куйбышев для выяснения реального положения .дел на заводах. 29 октября после поездки в Куйбышев С.В. Ильюшин обратился к А.И. Шахурину с письмом, в кото</w:t>
      </w:r>
      <w:r w:rsidRPr="00271E51">
        <w:rPr>
          <w:rFonts w:ascii="Times New Roman" w:hAnsi="Times New Roman"/>
          <w:color w:val="000000" w:themeColor="text1"/>
          <w:sz w:val="16"/>
          <w:szCs w:val="16"/>
        </w:rPr>
        <w:softHyphen/>
        <w:t>ром писал: «...Ознакомившись на заводе № 18 с ходом по</w:t>
      </w:r>
      <w:r w:rsidRPr="00271E51">
        <w:rPr>
          <w:rFonts w:ascii="Times New Roman" w:hAnsi="Times New Roman"/>
          <w:color w:val="000000" w:themeColor="text1"/>
          <w:sz w:val="16"/>
          <w:szCs w:val="16"/>
        </w:rPr>
        <w:softHyphen/>
        <w:t>стройки двух самолетов Ил-1 в одноместном и двухместном вариантах, я убедился, что постройка двух самолетов непо</w:t>
      </w:r>
      <w:r w:rsidRPr="00271E51">
        <w:rPr>
          <w:rFonts w:ascii="Times New Roman" w:hAnsi="Times New Roman"/>
          <w:color w:val="000000" w:themeColor="text1"/>
          <w:sz w:val="16"/>
          <w:szCs w:val="16"/>
        </w:rPr>
        <w:softHyphen/>
        <w:t>сильна, поэтому прошу Вас Ил-1 в одноместном варианте с за</w:t>
      </w:r>
      <w:r w:rsidRPr="00271E51">
        <w:rPr>
          <w:rFonts w:ascii="Times New Roman" w:hAnsi="Times New Roman"/>
          <w:color w:val="000000" w:themeColor="text1"/>
          <w:sz w:val="16"/>
          <w:szCs w:val="16"/>
        </w:rPr>
        <w:softHyphen/>
        <w:t>вода снять. Срок окончания самолета Ил-1 в двухместном ва</w:t>
      </w:r>
      <w:r w:rsidRPr="00271E51">
        <w:rPr>
          <w:rFonts w:ascii="Times New Roman" w:hAnsi="Times New Roman"/>
          <w:color w:val="000000" w:themeColor="text1"/>
          <w:sz w:val="16"/>
          <w:szCs w:val="16"/>
        </w:rPr>
        <w:softHyphen/>
        <w:t>рианте заводу № 18 оставить прежний, т.е. 10 декабря 1943 г.» (11474,486).</w:t>
      </w:r>
    </w:p>
    <w:p w14:paraId="2FE070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716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октября 1943 в ЛИИ для проведения гос. испытаний был направлен второй экз. А-7М, планера О.К.А., переделанного под 12-14 бойцов вместо 11 А.С.Москалевым (94,75).</w:t>
      </w:r>
    </w:p>
    <w:p w14:paraId="522D04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26E4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октября 1943 после заводских испытаний планёр А-7М перевезли в ЛИИ. Там до начала 1944 г. проходили государст</w:t>
      </w:r>
      <w:r w:rsidRPr="00271E51">
        <w:rPr>
          <w:rFonts w:ascii="Times New Roman" w:hAnsi="Times New Roman"/>
          <w:color w:val="000000" w:themeColor="text1"/>
          <w:sz w:val="16"/>
          <w:szCs w:val="16"/>
        </w:rPr>
        <w:softHyphen/>
        <w:t>венные испытания.</w:t>
      </w:r>
    </w:p>
    <w:p w14:paraId="57EDA1D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планёра возрос до 1080 кг, полётный нормальный - до 2435 кг, максимальный - до 2665 кг. За счёт этого увеличились скорость отрыва на взлёте, посадочная скорость и пробег. Скорость буксировки А-7М ограничили 250 км/ч (у А-7 - 300 км/ч) (12266).</w:t>
      </w:r>
    </w:p>
    <w:p w14:paraId="52676FBB"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5362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Другие оборонны</w:t>
      </w:r>
      <w:r w:rsidR="00617503" w:rsidRPr="00271E51">
        <w:rPr>
          <w:rFonts w:ascii="Times New Roman" w:hAnsi="Times New Roman"/>
          <w:i/>
          <w:iCs/>
          <w:color w:val="000000" w:themeColor="text1"/>
          <w:sz w:val="16"/>
          <w:szCs w:val="16"/>
        </w:rPr>
        <w:t>е</w:t>
      </w:r>
      <w:r w:rsidRPr="00271E51">
        <w:rPr>
          <w:rFonts w:ascii="Times New Roman" w:hAnsi="Times New Roman"/>
          <w:i/>
          <w:iCs/>
          <w:color w:val="000000" w:themeColor="text1"/>
          <w:sz w:val="16"/>
          <w:szCs w:val="16"/>
        </w:rPr>
        <w:t xml:space="preserve"> отрасли:</w:t>
      </w:r>
    </w:p>
    <w:p w14:paraId="699A5A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9CF6A0" w14:textId="77777777" w:rsidR="005F317F" w:rsidRPr="00271E51" w:rsidRDefault="005F317F" w:rsidP="00271E51">
      <w:pPr>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конце октября 1943-го постановлением ГКО граната РПГ-6 была принята на вооружение. К концу года заводы № 2 «Физприбор» в Кирове и № 11 начали валовое ее производство.</w:t>
      </w:r>
    </w:p>
    <w:p w14:paraId="5DAE3B41" w14:textId="77777777" w:rsidR="005F317F" w:rsidRPr="00271E51" w:rsidRDefault="005F317F" w:rsidP="00271E51">
      <w:pPr>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РПГ-6 имела каплевидный корпус с зарядом, включавшим основную шашку и дополнительный детонатор, и рукоятку с инерционным взрывателем, капсюлем-детонатором и ленточным стабилизатором. Корпус снаряжался тротилом методом заливки – так получался основной заряд массой 580 г с кумулятивной выемкой, дополнительный детонатор представлял собой 40-граммовую тетриловую шашку. Ударник взрывателя блокировался чекой. Ленты стабилизатора укладывались в рукоятке и удерживались предохранительной планкой. Предохранительный шплинт вынимался перед броском. После броска отлетала предохранительная планка, вытягивался стабилизатор, выдергивалась чека ударника – запал взводился. Таким образом, система предохранения РПГ-6 была трехступенчатой (у РПГ-43 – двухступенчатая).</w:t>
      </w:r>
    </w:p>
    <w:p w14:paraId="0024125F" w14:textId="77777777" w:rsidR="005F317F" w:rsidRPr="00271E51" w:rsidRDefault="005F317F" w:rsidP="00271E51">
      <w:pPr>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Существенной особенностью РПГ-6 являлось отсутствие точеных и резьбовых деталей, широкое применение штамповки, резьба получалась способом накатки (18988).</w:t>
      </w:r>
    </w:p>
    <w:p w14:paraId="02E16D41" w14:textId="77777777" w:rsidR="005F317F" w:rsidRPr="00271E51" w:rsidRDefault="005F317F" w:rsidP="00271E51">
      <w:pPr>
        <w:spacing w:after="0" w:line="240" w:lineRule="auto"/>
        <w:jc w:val="both"/>
        <w:textAlignment w:val="baseline"/>
        <w:rPr>
          <w:rFonts w:ascii="Times New Roman" w:eastAsia="Times New Roman" w:hAnsi="Times New Roman"/>
          <w:color w:val="000000" w:themeColor="text1"/>
          <w:sz w:val="16"/>
          <w:szCs w:val="16"/>
          <w:lang w:eastAsia="ru-RU"/>
        </w:rPr>
      </w:pPr>
    </w:p>
    <w:p w14:paraId="1D2906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октября 1943 г. ОКБ завода № 9 предло</w:t>
      </w:r>
      <w:r w:rsidRPr="00271E51">
        <w:rPr>
          <w:rFonts w:ascii="Times New Roman" w:hAnsi="Times New Roman"/>
          <w:color w:val="000000" w:themeColor="text1"/>
          <w:sz w:val="16"/>
          <w:szCs w:val="16"/>
        </w:rPr>
        <w:softHyphen/>
        <w:t>жило проект 85-мм пушки большой мощности, которая при сохранении габаритов выстрела орудия Д5-С85 способна бьша сообщить бронебойному снаряду начальную скорость 900 м/с, что соответствовало увеличению бронепробиваемости на 20%. Проектирование орудия велось совместно с КБ Уралмашзавода, причем специально для установки в новую боевую рубку СУ-Д-15 с лобовым бронированием 60 мм.</w:t>
      </w:r>
    </w:p>
    <w:p w14:paraId="49EDDA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длина орудия, получившего индекс Д-5С-85БМ, была на 1068 мм больше, чем Д5-С85, для его лучшего уравновешивания казенную часть орудия при</w:t>
      </w:r>
      <w:r w:rsidRPr="00271E51">
        <w:rPr>
          <w:rFonts w:ascii="Times New Roman" w:hAnsi="Times New Roman"/>
          <w:color w:val="000000" w:themeColor="text1"/>
          <w:sz w:val="16"/>
          <w:szCs w:val="16"/>
        </w:rPr>
        <w:softHyphen/>
        <w:t>шлось отодвинуть назад на 80 мм. Эскизный проект понра</w:t>
      </w:r>
      <w:r w:rsidRPr="00271E51">
        <w:rPr>
          <w:rFonts w:ascii="Times New Roman" w:hAnsi="Times New Roman"/>
          <w:color w:val="000000" w:themeColor="text1"/>
          <w:sz w:val="16"/>
          <w:szCs w:val="16"/>
        </w:rPr>
        <w:softHyphen/>
        <w:t>вился, и в декабре началось изготовление опытного образца. 14 января указанный образец прошел заводские испытания и был передан на Гороховецкий полигон для проведения Го</w:t>
      </w:r>
      <w:r w:rsidRPr="00271E51">
        <w:rPr>
          <w:rFonts w:ascii="Times New Roman" w:hAnsi="Times New Roman"/>
          <w:color w:val="000000" w:themeColor="text1"/>
          <w:sz w:val="16"/>
          <w:szCs w:val="16"/>
        </w:rPr>
        <w:softHyphen/>
        <w:t>сударственных испытаний. Танковый вариант указанного орудия испытывался на танке ИС-3 («Объект 244»). Но к этому моменту интерес к 85-мм пушке с нач. скоростью 900-950 м/с значительно снизился, если не упал полностью (11417).</w:t>
      </w:r>
    </w:p>
    <w:p w14:paraId="44E377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32DF0"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самом конце октября 1943 года, то есть раньше срока несмотря на все проблемы, первые ИС-85 были собраны. Удалось это во многом благодаря тому, что завод №200 имел в запасе 2 комплекта корпусов и башен. Внешне серийные танки были очень похожи на Объект 237, но всё же отличить их довольно легко. У серийного танка люк-пробка механика-водителя находился выше, а конструкция выхлопных патрубков была переделана: они стали более простыми, а также получили специальные желоба, которые направляли выхлопную струю вбок, не давая попасть в воздухозаборники. Изменился и верхний кормовой лист, конструкция которого стала более простой.</w:t>
      </w:r>
    </w:p>
    <w:p w14:paraId="28E63FE8"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Благодаря имевшемуся заделу корпусов первый танк ноябрьского плана удалось сдать уже к 5 ноября. Дальше случился вполне ожидаемый провал в производстве. К 16 ноября было сдано всего 3 танка, к 20-му числу — 7, к 25-му — 14 и к 30-му — 24. Последний, 25-й «ноябрьский» танк, был сдан утром 1 декабря.</w:t>
      </w:r>
    </w:p>
    <w:p w14:paraId="242E7A74"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Танки строились в весьма напряжённом режиме. Как следует из отчёта ЧКЗ за 1943 год, к началу серийного выпуска ИС-85 основная часть рабочих машину попросту не знала. Первые 10 танков собирались при активном участии тех сотрудников, которые участвовали в сборке опытных Объектов 237. Благодаря этому эти первые 10 </w:t>
      </w:r>
      <w:r w:rsidRPr="00271E51">
        <w:rPr>
          <w:color w:val="000000" w:themeColor="text1"/>
          <w:sz w:val="16"/>
          <w:szCs w:val="16"/>
        </w:rPr>
        <w:lastRenderedPageBreak/>
        <w:t>танков имели вполне удовлетворительное качество. В тот момент, когда началось валовое производство, качество резко снизилось. Немало хлопот было связано с не доведённой до конца технической документацией. Только за ноябрь в ней было обнаружено 200 ошибок. В результате из 25 первых танков приёмо-сдаточный пробег прошло 14, оставшиеся пришлось дорабатывать.</w:t>
      </w:r>
    </w:p>
    <w:p w14:paraId="261C7F72"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Первые же пробеги выявили серьёзный конструктивный дефект — правая гусеница задевала фланец кронштейна первого балансира, что приводило к деформации траков. Также выявились проблемы с сепараторами подшипников планетарного механизма поворота. Этот дефект был обнаружен в конце ноября, из-за него пришлось временно прекратить приёмку танков и менять подшипники (17715).</w:t>
      </w:r>
    </w:p>
    <w:p w14:paraId="2E5200F2"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1AFB1729"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концу октября 1943 года появился проект танкового 122-мм орудия ОБМ-51 Артиллерийской «шарашки» ОКБ-172. Работа велась в рамках задания, полученного от Народного комиссариата вооружения (НКВ) и ГБТУ КА.</w:t>
      </w:r>
    </w:p>
    <w:p w14:paraId="2DB4522B"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26 октября проект был рассмотрен на техническом совещании. Сохранилась только описательная часть проекта, но и по ней ясно, что дело не ограничивалось установкой на танк нового орудия. Под него пришлось делать новую башню, большую по размерам. Система устанавливалась в танке на станке от СУ-152. Толщина лобового листа башни составляла 76 мм, бортов 60 мм и крыши 30 мм. Компенсировать вес длинного ствола должен был толстый 150-мм кормовой лист. Боекомплект КВ с таким орудием должен был составить 45 выстрелов, разместить его планировалось в башне и на полу боевого отделения. При этом в башне должна была находиться основная часть боекомплекта, и это дополнительное свидетельство в пользу того, что она получалась значительно крупнее башни базового танка.</w:t>
      </w:r>
    </w:p>
    <w:p w14:paraId="79C10007"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Система ОБМ-51 несколько отличалась от самоходной версии орудия. У танковой пушки длину ствола сократили до 58,5 калибров. При этом начальная скорость снаряда оценивалась в 950 м/с. Помимо орудия, в башне были размещены спаренный и кормовой пулемёты ДТ.</w:t>
      </w:r>
    </w:p>
    <w:p w14:paraId="7C2B0686"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 совещании было принято решение продолжить работы над проектом, при этом на ОКБ-172 оставалась разработка башни. Правда, как башню, так и орудие предписывалось несколько переделать. От идеи использовать установку по типу СУ-152 пришлось отказаться, поскольку она была слишком громоздкой. Вместо неё было предложено использовать более компактную установку по типу Д-5Т. Требовалось сделать клиновой затвор с горизонтальным его расположением, а начальную скорость снаряда довести до 1000 м/с. Боекомплект в башне сокращался до 30 выстрелов, а её габариты уменьшались. Кроме того, башню предложили сделать литой. Самым же главным изменением стало то, что вместо шасси КВ-85 приоритетом стало шасси ИС. Таким образом, произошла серьёзная перемена как системы, так и базы. Проект ОБМ-51 превратился в систему, более известную как БЛ-13 (17722).</w:t>
      </w:r>
    </w:p>
    <w:p w14:paraId="19A637CC"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18B73CF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8AB9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1B25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октября 1943 г. французская военная миссия обратилась к совет</w:t>
      </w:r>
      <w:r w:rsidRPr="00271E51">
        <w:rPr>
          <w:rFonts w:ascii="Times New Roman" w:hAnsi="Times New Roman"/>
          <w:color w:val="000000" w:themeColor="text1"/>
          <w:sz w:val="16"/>
          <w:szCs w:val="16"/>
        </w:rPr>
        <w:softHyphen/>
        <w:t>скому командованию с просьбой об от</w:t>
      </w:r>
      <w:r w:rsidRPr="00271E51">
        <w:rPr>
          <w:rFonts w:ascii="Times New Roman" w:hAnsi="Times New Roman"/>
          <w:color w:val="000000" w:themeColor="text1"/>
          <w:sz w:val="16"/>
          <w:szCs w:val="16"/>
        </w:rPr>
        <w:softHyphen/>
        <w:t>воде полка на зимние квартиры, или в крайнем случае, на другой участок фронта куда-нибудь на юг. Пилотов “Нормандии” пугала приближавшаяся русская зима. Настроение летчиков в предвидении лютых морозов ухудша</w:t>
      </w:r>
      <w:r w:rsidRPr="00271E51">
        <w:rPr>
          <w:rFonts w:ascii="Times New Roman" w:hAnsi="Times New Roman"/>
          <w:color w:val="000000" w:themeColor="text1"/>
          <w:sz w:val="16"/>
          <w:szCs w:val="16"/>
        </w:rPr>
        <w:softHyphen/>
        <w:t>лось с каждым днем.</w:t>
      </w:r>
    </w:p>
    <w:p w14:paraId="2189A4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4017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B385C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C2F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 НИИ ВВС КА был предъявлен на прохождение гос. испытаний самолет Ил-2 АМ-38Ф (N 6767 завода 18 с винтом АВ-5А-158В) с увеличенной на 6 гр. стреловидностью крыла (462,42-44).</w:t>
      </w:r>
    </w:p>
    <w:p w14:paraId="2BF657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3DC77" w14:textId="77777777" w:rsidR="006B0025" w:rsidRPr="00271E51" w:rsidRDefault="006B002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октябре 1943 вышел приказ НКАП № 594сс</w:t>
      </w:r>
    </w:p>
    <w:p w14:paraId="71AD9718" w14:textId="77777777" w:rsidR="006B0025" w:rsidRPr="00271E51" w:rsidRDefault="006B002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О выпуске и испытаниях Ил-2 с мотором АМ-42 (19706).</w:t>
      </w:r>
    </w:p>
    <w:p w14:paraId="2B8A7A11" w14:textId="77777777" w:rsidR="006B0025" w:rsidRPr="00271E51" w:rsidRDefault="006B0025" w:rsidP="00271E51">
      <w:pPr>
        <w:spacing w:after="0" w:line="240" w:lineRule="auto"/>
        <w:jc w:val="both"/>
        <w:rPr>
          <w:rFonts w:ascii="Times New Roman" w:hAnsi="Times New Roman"/>
          <w:color w:val="000000" w:themeColor="text1"/>
          <w:sz w:val="16"/>
          <w:szCs w:val="16"/>
        </w:rPr>
      </w:pPr>
    </w:p>
    <w:p w14:paraId="7A79AB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начался серийный выпуск ВМШ-1 и ВМШ-2, которые были разработаны С.И.Буяновером - зам ГК - новые прицельные устройства. Идея была предложена Я.М.Ивандиковым и состояла в том, что в момент совмещения цели с визиром запускался временной механизм, который давал команду на сброс бом в заданное время с учетом высоты и относа (177,331).</w:t>
      </w:r>
    </w:p>
    <w:p w14:paraId="28C398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автором ВМШ-2 был М.К.Цветков. Цель - сброс бомб с горизонтального полета, когда цель - закрыта носом (85,474).</w:t>
      </w:r>
    </w:p>
    <w:p w14:paraId="72ADF9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232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было письмо С.В. Ильюшина наркому авиапромышленности А.И. Шахурину (сохранена орфография и пунктуация оригинала).</w:t>
      </w:r>
    </w:p>
    <w:p w14:paraId="4774DC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комуфлируется при выпуске с заводов летним и зимним комуфляжем.</w:t>
      </w:r>
    </w:p>
    <w:p w14:paraId="6935A9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Зимний камуфляж производится покраской самолета меловой краской, которая по своему качеству пригодна лишь для покраски заборов, но никак не годится для покраски самолетов, во-первых потому, что она делает поверхность самолета неимоверно шероховатой, во-вторых, в процессе эксплоатации краска лупится и самолет становится грязным и еще более шероховатым и в третьих, при смывке этой краски горячей водой нарушается полотняное покрытие самолета и тем самым деревянные части будут загнивать.</w:t>
      </w:r>
    </w:p>
    <w:p w14:paraId="4AB87B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30 по согласованию со мной предложил покраску самолетов Ил-2 производить по типу самолетов истребителей, т.е. чтобы эта покраска являлась единой для зимы и для лета.</w:t>
      </w:r>
    </w:p>
    <w:p w14:paraId="2262B4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покрашен один самолет Ил-2 по типу истребителей ЯК и ЛА и предъявлен для утверждения Главному Инженеру ВВС КА т. РЕПИНУ. Тов. РЕПИН отклонил наше предложение. Таким образом по прежнему для зимнего камуфляжа остается меловая окраска самолета Ил-2. Тов. РЕПИН в беседе с директором завода № 30 тов. СМИРНОВЫМ высказался, что потеря скорости вызываемая меловой краской не имеет значения для самолета Ил-2.</w:t>
      </w:r>
    </w:p>
    <w:p w14:paraId="3FB722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 доложить Вам свое несогласие с окраской самолета Ип-2 меловой краской.</w:t>
      </w:r>
    </w:p>
    <w:p w14:paraId="6FB0AF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авиационной промышленности проводят большую работу по улучшению производства самолета Ил-2 с тем, чтобы увеличить максимальную скорость самолета, при чем улучшения проводимые заводами стоят больших усилий и трудов. Тем не менее, не взирая на это, тут-же на заводе после того, как поверхность самолета хорошо отделана, самолет размалевывается как самый обыкновенный забор. Конечно, никакого желания у работников заводов вести работу по улучшению аэродинамики самолета Ил-2 не будет, так как все эти труды тут-же уничтожаются.</w:t>
      </w:r>
    </w:p>
    <w:p w14:paraId="6846BD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поставить этот вопрос перед секретарем ЦК ВКП(б) тов. МАЛЕНКОВЫМ об отмене покраски самолетов Ил-2 в белый комуфляж и утвердить единую окраску по типу истребителей".</w:t>
      </w:r>
    </w:p>
    <w:p w14:paraId="7CEBDC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текста видно не только недовольство краской МК-7, но и то, на каком уровне решались вопросы окраски: свободы действий главного конструктора хватило только на окраску одного "своего" самолета. Впрочем, случайно или нет, но его хлопоты оказались не совсем пустыми и получили свое развитие в конце 1944 г. (11989).</w:t>
      </w:r>
    </w:p>
    <w:p w14:paraId="7F7521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185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была проведена модер</w:t>
      </w:r>
      <w:r w:rsidRPr="00271E51">
        <w:rPr>
          <w:rFonts w:ascii="Times New Roman" w:hAnsi="Times New Roman"/>
          <w:color w:val="000000" w:themeColor="text1"/>
          <w:sz w:val="16"/>
          <w:szCs w:val="16"/>
        </w:rPr>
        <w:softHyphen/>
        <w:t>низация бомбардировочного вооружения Ил-2. Из состава вооружения самолета были изъяты КМБ-2 и балки для подвес</w:t>
      </w:r>
      <w:r w:rsidRPr="00271E51">
        <w:rPr>
          <w:rFonts w:ascii="Times New Roman" w:hAnsi="Times New Roman"/>
          <w:color w:val="000000" w:themeColor="text1"/>
          <w:sz w:val="16"/>
          <w:szCs w:val="16"/>
        </w:rPr>
        <w:softHyphen/>
        <w:t>ки 250-кг бомб и спецприборов (ВАП-250, УХАП-250). Это упростило производство штурмовика на заводах и одновре</w:t>
      </w:r>
      <w:r w:rsidRPr="00271E51">
        <w:rPr>
          <w:rFonts w:ascii="Times New Roman" w:hAnsi="Times New Roman"/>
          <w:color w:val="000000" w:themeColor="text1"/>
          <w:sz w:val="16"/>
          <w:szCs w:val="16"/>
        </w:rPr>
        <w:softHyphen/>
        <w:t>менно облегчило его эксплуатацию в строевых частях. Калиб</w:t>
      </w:r>
      <w:r w:rsidRPr="00271E51">
        <w:rPr>
          <w:rFonts w:ascii="Times New Roman" w:hAnsi="Times New Roman"/>
          <w:color w:val="000000" w:themeColor="text1"/>
          <w:sz w:val="16"/>
          <w:szCs w:val="16"/>
        </w:rPr>
        <w:softHyphen/>
        <w:t>ры загружаемых бомб и спецприборов, управление сбрасыва</w:t>
      </w:r>
      <w:r w:rsidRPr="00271E51">
        <w:rPr>
          <w:rFonts w:ascii="Times New Roman" w:hAnsi="Times New Roman"/>
          <w:color w:val="000000" w:themeColor="text1"/>
          <w:sz w:val="16"/>
          <w:szCs w:val="16"/>
        </w:rPr>
        <w:softHyphen/>
        <w:t>нием (пиротехническое и механическое) остались прежними. Изменился лишь способ загрузки бомб.</w:t>
      </w:r>
    </w:p>
    <w:p w14:paraId="28AC43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Мелкие бомбы калибра 1—25 кг теперь загружались непо</w:t>
      </w:r>
      <w:r w:rsidRPr="00271E51">
        <w:rPr>
          <w:rFonts w:ascii="Times New Roman" w:hAnsi="Times New Roman"/>
          <w:color w:val="000000" w:themeColor="text1"/>
          <w:sz w:val="16"/>
          <w:szCs w:val="16"/>
        </w:rPr>
        <w:softHyphen/>
        <w:t>средственно в бомбоотсеки самолета на створки бомболюков, через окна, сделанные в верхней обшивке крыла. Для подвески 50 кг и 100 кг бомб внутри бомболюка оставлены замки Дер-21, но ухваты, служившие для предотвращения качания бомб, лик</w:t>
      </w:r>
      <w:r w:rsidRPr="00271E51">
        <w:rPr>
          <w:rFonts w:ascii="Times New Roman" w:hAnsi="Times New Roman"/>
          <w:color w:val="000000" w:themeColor="text1"/>
          <w:sz w:val="16"/>
          <w:szCs w:val="16"/>
        </w:rPr>
        <w:softHyphen/>
        <w:t>видированы — их роль выполняли наклонные боковые стенки бомболюка.</w:t>
      </w:r>
    </w:p>
    <w:p w14:paraId="73A7B9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Подвеска бомб калибров 50, 100, 250 кг и спецприборов снаружи осуществлялась на замки МДЗ-40, вмонтированные в нижние балки нервюр центроплана. При этом для бомб 50 кг и 100 кг были оставлены складывающиеся ухваты, а для бомб 250 кг и спецприборов сделаны легкосъемные ухваты.</w:t>
      </w:r>
    </w:p>
    <w:p w14:paraId="048D28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эксплуатации универсальных бомбоотсеков имели ме</w:t>
      </w:r>
      <w:r w:rsidRPr="00271E51">
        <w:rPr>
          <w:rFonts w:ascii="Times New Roman" w:hAnsi="Times New Roman"/>
          <w:color w:val="000000" w:themeColor="text1"/>
          <w:sz w:val="16"/>
          <w:szCs w:val="16"/>
        </w:rPr>
        <w:softHyphen/>
        <w:t>сто случаи, особенно «при полетах с полевых неблагоустроенных аэродромов», самопроизвольного раскрытия створок бомболю</w:t>
      </w:r>
      <w:r w:rsidRPr="00271E51">
        <w:rPr>
          <w:rFonts w:ascii="Times New Roman" w:hAnsi="Times New Roman"/>
          <w:color w:val="000000" w:themeColor="text1"/>
          <w:sz w:val="16"/>
          <w:szCs w:val="16"/>
        </w:rPr>
        <w:softHyphen/>
        <w:t>ков с последующим выпадением и взрывом бомб под фюзеля</w:t>
      </w:r>
      <w:r w:rsidRPr="00271E51">
        <w:rPr>
          <w:rFonts w:ascii="Times New Roman" w:hAnsi="Times New Roman"/>
          <w:color w:val="000000" w:themeColor="text1"/>
          <w:sz w:val="16"/>
          <w:szCs w:val="16"/>
        </w:rPr>
        <w:softHyphen/>
        <w:t>жем. В ряде случаев это приводило к тяжелым последствиям.</w:t>
      </w:r>
    </w:p>
    <w:p w14:paraId="3653DF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дефект был связан с неправильной регулировкой дли</w:t>
      </w:r>
      <w:r w:rsidRPr="00271E51">
        <w:rPr>
          <w:rFonts w:ascii="Times New Roman" w:hAnsi="Times New Roman"/>
          <w:color w:val="000000" w:themeColor="text1"/>
          <w:sz w:val="16"/>
          <w:szCs w:val="16"/>
        </w:rPr>
        <w:softHyphen/>
        <w:t>ны штока тяги замка, при которой крюк не полностью входит в свое гнездо и между концами трубы и крюком образуется за</w:t>
      </w:r>
      <w:r w:rsidRPr="00271E51">
        <w:rPr>
          <w:rFonts w:ascii="Times New Roman" w:hAnsi="Times New Roman"/>
          <w:color w:val="000000" w:themeColor="text1"/>
          <w:sz w:val="16"/>
          <w:szCs w:val="16"/>
        </w:rPr>
        <w:softHyphen/>
        <w:t>зор. После усиления тяги замка запирания створок бомболю-ков дефект больше не проявлялся.</w:t>
      </w:r>
    </w:p>
    <w:p w14:paraId="4ABD49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«Негладкая внутренняя поверхность стенок и створок бом-болкжов благодаря выступанию заклепок, листов жесткости и др. деталей люка» иногда приводила к зависанию бомб после сброса. При посадке зависшая бомба срывалась и от соударе</w:t>
      </w:r>
      <w:r w:rsidRPr="00271E51">
        <w:rPr>
          <w:rFonts w:ascii="Times New Roman" w:hAnsi="Times New Roman"/>
          <w:color w:val="000000" w:themeColor="text1"/>
          <w:sz w:val="16"/>
          <w:szCs w:val="16"/>
        </w:rPr>
        <w:softHyphen/>
        <w:t>ния с землей взрывалась под фюзеляжем.</w:t>
      </w:r>
    </w:p>
    <w:p w14:paraId="5ABBD2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«система самозакрывания створок люков си</w:t>
      </w:r>
      <w:r w:rsidRPr="00271E51">
        <w:rPr>
          <w:rFonts w:ascii="Times New Roman" w:hAnsi="Times New Roman"/>
          <w:color w:val="000000" w:themeColor="text1"/>
          <w:sz w:val="16"/>
          <w:szCs w:val="16"/>
        </w:rPr>
        <w:softHyphen/>
        <w:t>лою пружин не обеспечивает надежную и безопасную работу». После сброса бомб люки оставались открытыми, что ухудшало аэродинамику и затрудняло пилотирование самолета.</w:t>
      </w:r>
    </w:p>
    <w:p w14:paraId="7286A9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Прочность замков МДЗ-40 оказалась недостаточной при подвеске бомб калибра более 100 кг. Уже после 7—8 подвесок ФАБ-250 отмечались случаи поломок </w:t>
      </w:r>
      <w:r w:rsidRPr="00271E51">
        <w:rPr>
          <w:rFonts w:ascii="Times New Roman" w:hAnsi="Times New Roman"/>
          <w:color w:val="000000" w:themeColor="text1"/>
          <w:sz w:val="16"/>
          <w:szCs w:val="16"/>
        </w:rPr>
        <w:lastRenderedPageBreak/>
        <w:t>переднего упора замка.</w:t>
      </w:r>
    </w:p>
    <w:p w14:paraId="3316E9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подвеске бомб ФАБ-50 на замки МДЗ-40 установка ух</w:t>
      </w:r>
      <w:r w:rsidRPr="00271E51">
        <w:rPr>
          <w:rFonts w:ascii="Times New Roman" w:hAnsi="Times New Roman"/>
          <w:color w:val="000000" w:themeColor="text1"/>
          <w:sz w:val="16"/>
          <w:szCs w:val="16"/>
        </w:rPr>
        <w:softHyphen/>
        <w:t>ватов производилась путем ввинчивания их в гнезда, что занима</w:t>
      </w:r>
      <w:r w:rsidRPr="00271E51">
        <w:rPr>
          <w:rFonts w:ascii="Times New Roman" w:hAnsi="Times New Roman"/>
          <w:color w:val="000000" w:themeColor="text1"/>
          <w:sz w:val="16"/>
          <w:szCs w:val="16"/>
        </w:rPr>
        <w:softHyphen/>
        <w:t>ло много времени при подготовке самолета к боевому вылету.</w:t>
      </w:r>
    </w:p>
    <w:p w14:paraId="10FBDB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50—70 вылетов с бомбами или после 5—10 посадок с бомбами происходила «осадка болтов защелок замков Дер-21». В результате нарушалась «соосность между спусковым штоком замка и предохранительно-спусковым штырем». Как следст</w:t>
      </w:r>
      <w:r w:rsidRPr="00271E51">
        <w:rPr>
          <w:rFonts w:ascii="Times New Roman" w:hAnsi="Times New Roman"/>
          <w:color w:val="000000" w:themeColor="text1"/>
          <w:sz w:val="16"/>
          <w:szCs w:val="16"/>
        </w:rPr>
        <w:softHyphen/>
        <w:t>вие, открыть замок было невозможно. Техническому составу приходилось предпринимать неординарные меры.</w:t>
      </w:r>
    </w:p>
    <w:p w14:paraId="290E95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сигнализации подвешенных бомб на замок Дер-21 не отвечала своему назначению. При загрузке бомбоот-сека мелкими бомбами и при подвеске на Дер-21 нестандарт</w:t>
      </w:r>
      <w:r w:rsidRPr="00271E51">
        <w:rPr>
          <w:rFonts w:ascii="Times New Roman" w:hAnsi="Times New Roman"/>
          <w:color w:val="000000" w:themeColor="text1"/>
          <w:sz w:val="16"/>
          <w:szCs w:val="16"/>
        </w:rPr>
        <w:softHyphen/>
        <w:t>ных бомб калибра 50 кг сигнализация не работала. При загрузке стандартных ФАБ-50 вследствие раскачивания бомбы контакт</w:t>
      </w:r>
      <w:r w:rsidRPr="00271E51">
        <w:rPr>
          <w:rFonts w:ascii="Times New Roman" w:hAnsi="Times New Roman"/>
          <w:color w:val="000000" w:themeColor="text1"/>
          <w:sz w:val="16"/>
          <w:szCs w:val="16"/>
        </w:rPr>
        <w:softHyphen/>
        <w:t>ный стержень заклинивался и сигнализация также не работала.</w:t>
      </w:r>
    </w:p>
    <w:p w14:paraId="2F8B2A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Вследствие недостаточной прочности кронштейна крепле</w:t>
      </w:r>
      <w:r w:rsidRPr="00271E51">
        <w:rPr>
          <w:rFonts w:ascii="Times New Roman" w:hAnsi="Times New Roman"/>
          <w:color w:val="000000" w:themeColor="text1"/>
          <w:sz w:val="16"/>
          <w:szCs w:val="16"/>
        </w:rPr>
        <w:softHyphen/>
        <w:t>ния сигнализации его часто ломали и гнули во время загрузки бомб в бомбоотсеки.</w:t>
      </w:r>
    </w:p>
    <w:p w14:paraId="08F583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отмечалось в докладах инженеров полков, из-за нена</w:t>
      </w:r>
      <w:r w:rsidRPr="00271E51">
        <w:rPr>
          <w:rFonts w:ascii="Times New Roman" w:hAnsi="Times New Roman"/>
          <w:color w:val="000000" w:themeColor="text1"/>
          <w:sz w:val="16"/>
          <w:szCs w:val="16"/>
        </w:rPr>
        <w:softHyphen/>
        <w:t>дежной работы системы сигнализации «летный состав ей не пользуется и в большинстве случаев ей не доверяет» (11474,258).</w:t>
      </w:r>
    </w:p>
    <w:p w14:paraId="4DD27D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257B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Су-8 прибыл в Тушино. Размещение завода № 289 в под</w:t>
      </w:r>
      <w:r w:rsidRPr="00271E51">
        <w:rPr>
          <w:rFonts w:ascii="Times New Roman" w:hAnsi="Times New Roman"/>
          <w:color w:val="000000" w:themeColor="text1"/>
          <w:sz w:val="16"/>
          <w:szCs w:val="16"/>
        </w:rPr>
        <w:softHyphen/>
        <w:t>московном поселке Тушино стало результатом организационных не</w:t>
      </w:r>
      <w:r w:rsidRPr="00271E51">
        <w:rPr>
          <w:rFonts w:ascii="Times New Roman" w:hAnsi="Times New Roman"/>
          <w:color w:val="000000" w:themeColor="text1"/>
          <w:sz w:val="16"/>
          <w:szCs w:val="16"/>
        </w:rPr>
        <w:softHyphen/>
        <w:t>увязок, возникших между Наркома</w:t>
      </w:r>
      <w:r w:rsidRPr="00271E51">
        <w:rPr>
          <w:rFonts w:ascii="Times New Roman" w:hAnsi="Times New Roman"/>
          <w:color w:val="000000" w:themeColor="text1"/>
          <w:sz w:val="16"/>
          <w:szCs w:val="16"/>
        </w:rPr>
        <w:softHyphen/>
        <w:t>тами Обороны и авиационной про</w:t>
      </w:r>
      <w:r w:rsidRPr="00271E51">
        <w:rPr>
          <w:rFonts w:ascii="Times New Roman" w:hAnsi="Times New Roman"/>
          <w:color w:val="000000" w:themeColor="text1"/>
          <w:sz w:val="16"/>
          <w:szCs w:val="16"/>
        </w:rPr>
        <w:softHyphen/>
        <w:t>мышленности. На новом месте са</w:t>
      </w:r>
      <w:r w:rsidRPr="00271E51">
        <w:rPr>
          <w:rFonts w:ascii="Times New Roman" w:hAnsi="Times New Roman"/>
          <w:color w:val="000000" w:themeColor="text1"/>
          <w:sz w:val="16"/>
          <w:szCs w:val="16"/>
        </w:rPr>
        <w:softHyphen/>
        <w:t>молет был доукомплектован (за ис</w:t>
      </w:r>
      <w:r w:rsidRPr="00271E51">
        <w:rPr>
          <w:rFonts w:ascii="Times New Roman" w:hAnsi="Times New Roman"/>
          <w:color w:val="000000" w:themeColor="text1"/>
          <w:sz w:val="16"/>
          <w:szCs w:val="16"/>
        </w:rPr>
        <w:softHyphen/>
        <w:t>ключением стрелково-пушечного вооружения) и в ноябре перевезен на Тушинский аэродром для подго</w:t>
      </w:r>
      <w:r w:rsidRPr="00271E51">
        <w:rPr>
          <w:rFonts w:ascii="Times New Roman" w:hAnsi="Times New Roman"/>
          <w:color w:val="000000" w:themeColor="text1"/>
          <w:sz w:val="16"/>
          <w:szCs w:val="16"/>
        </w:rPr>
        <w:softHyphen/>
        <w:t>товки к летным испытаниям (веду</w:t>
      </w:r>
      <w:r w:rsidRPr="00271E51">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271E51">
        <w:rPr>
          <w:rFonts w:ascii="Times New Roman" w:hAnsi="Times New Roman"/>
          <w:color w:val="000000" w:themeColor="text1"/>
          <w:sz w:val="16"/>
          <w:szCs w:val="16"/>
        </w:rPr>
        <w:softHyphen/>
        <w:t>работке самолета Су-6 под двига</w:t>
      </w:r>
      <w:r w:rsidRPr="00271E51">
        <w:rPr>
          <w:rFonts w:ascii="Times New Roman" w:hAnsi="Times New Roman"/>
          <w:color w:val="000000" w:themeColor="text1"/>
          <w:sz w:val="16"/>
          <w:szCs w:val="16"/>
        </w:rPr>
        <w:softHyphen/>
        <w:t>тель АМ-42. Под эти же двигатели, но уже в инициативном порядке до</w:t>
      </w:r>
      <w:r w:rsidRPr="00271E51">
        <w:rPr>
          <w:rFonts w:ascii="Times New Roman" w:hAnsi="Times New Roman"/>
          <w:color w:val="000000" w:themeColor="text1"/>
          <w:sz w:val="16"/>
          <w:szCs w:val="16"/>
        </w:rPr>
        <w:softHyphen/>
        <w:t>работали и проект самолета Су-8, однако проект ДДБШ 2АМ-42 остал</w:t>
      </w:r>
      <w:r w:rsidRPr="00271E51">
        <w:rPr>
          <w:rFonts w:ascii="Times New Roman" w:hAnsi="Times New Roman"/>
          <w:color w:val="000000" w:themeColor="text1"/>
          <w:sz w:val="16"/>
          <w:szCs w:val="16"/>
        </w:rPr>
        <w:softHyphen/>
        <w:t>ся нереализованным (11853).</w:t>
      </w:r>
    </w:p>
    <w:p w14:paraId="7BECB7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4C2114"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С октября 1943 г., пока самолеты «Харрикейн» </w:t>
      </w:r>
      <w:r w:rsidRPr="00271E51">
        <w:rPr>
          <w:color w:val="000000" w:themeColor="text1"/>
          <w:sz w:val="16"/>
          <w:szCs w:val="16"/>
          <w:lang w:val="en-US"/>
        </w:rPr>
        <w:t>IID</w:t>
      </w:r>
      <w:r w:rsidRPr="00271E51">
        <w:rPr>
          <w:color w:val="000000" w:themeColor="text1"/>
          <w:sz w:val="16"/>
          <w:szCs w:val="16"/>
        </w:rPr>
        <w:t xml:space="preserve"> зав. № КХ-171 и № КХ-305 испыты- вались и принималось решение о целесообразности применения самолетов этого типа в ВВС КА, лич</w:t>
      </w:r>
      <w:r w:rsidRPr="00271E51">
        <w:rPr>
          <w:color w:val="000000" w:themeColor="text1"/>
          <w:sz w:val="16"/>
          <w:szCs w:val="16"/>
        </w:rPr>
        <w:softHyphen/>
        <w:t>ный состав 246-го иап начиная прошел полный курс переучивания на английский противотанковый истребитель в 25-м запасном ис</w:t>
      </w:r>
      <w:r w:rsidRPr="00271E51">
        <w:rPr>
          <w:color w:val="000000" w:themeColor="text1"/>
          <w:sz w:val="16"/>
          <w:szCs w:val="16"/>
        </w:rPr>
        <w:softHyphen/>
        <w:t>требительном авиаполку ВВС Закавказского воен</w:t>
      </w:r>
      <w:r w:rsidRPr="00271E51">
        <w:rPr>
          <w:color w:val="000000" w:themeColor="text1"/>
          <w:sz w:val="16"/>
          <w:szCs w:val="16"/>
        </w:rPr>
        <w:softHyphen/>
        <w:t>ного округа (г. Аджи-Кабул).</w:t>
      </w:r>
    </w:p>
    <w:p w14:paraId="5A9DD49B"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фронт 246-й иап попал 26 июня 1944 г., не</w:t>
      </w:r>
      <w:r w:rsidRPr="00271E51">
        <w:rPr>
          <w:color w:val="000000" w:themeColor="text1"/>
          <w:sz w:val="16"/>
          <w:szCs w:val="16"/>
        </w:rPr>
        <w:softHyphen/>
        <w:t>много не успев к началу операции «Багратион». В этот день полк в составе 26 самолетов «Харри</w:t>
      </w:r>
      <w:r w:rsidRPr="00271E51">
        <w:rPr>
          <w:color w:val="000000" w:themeColor="text1"/>
          <w:sz w:val="16"/>
          <w:szCs w:val="16"/>
        </w:rPr>
        <w:softHyphen/>
        <w:t xml:space="preserve">кейн» </w:t>
      </w:r>
      <w:r w:rsidRPr="00271E51">
        <w:rPr>
          <w:color w:val="000000" w:themeColor="text1"/>
          <w:sz w:val="16"/>
          <w:szCs w:val="16"/>
          <w:lang w:val="en-US"/>
        </w:rPr>
        <w:t>IID</w:t>
      </w:r>
      <w:r w:rsidRPr="00271E51">
        <w:rPr>
          <w:color w:val="000000" w:themeColor="text1"/>
          <w:sz w:val="16"/>
          <w:szCs w:val="16"/>
        </w:rPr>
        <w:t xml:space="preserve"> совершил посадку на аэродром около ме</w:t>
      </w:r>
      <w:r w:rsidRPr="00271E51">
        <w:rPr>
          <w:color w:val="000000" w:themeColor="text1"/>
          <w:sz w:val="16"/>
          <w:szCs w:val="16"/>
        </w:rPr>
        <w:softHyphen/>
        <w:t>стечка Брянчицы. Перелет был выполнен с 10 про</w:t>
      </w:r>
      <w:r w:rsidRPr="00271E51">
        <w:rPr>
          <w:color w:val="000000" w:themeColor="text1"/>
          <w:sz w:val="16"/>
          <w:szCs w:val="16"/>
        </w:rPr>
        <w:softHyphen/>
        <w:t>межуточными посадками. В ходе перелета из строя вышли 8 самолетов. Ввиду невозможности ремонта своими силами и отсутствия запчастей их пришлось оставить на промежуточных аэродромах. В полку к этому времени числился 31 боеготовый летчик.</w:t>
      </w:r>
    </w:p>
    <w:p w14:paraId="73F21E10"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Полк вошел в состав 215-й иад 16 ВА, но к бо</w:t>
      </w:r>
      <w:r w:rsidRPr="00271E51">
        <w:rPr>
          <w:color w:val="000000" w:themeColor="text1"/>
          <w:sz w:val="16"/>
          <w:szCs w:val="16"/>
        </w:rPr>
        <w:softHyphen/>
        <w:t>евым действиям не привлекался. Дело в том, что на складах воздушной армии отсутствовал высоко</w:t>
      </w:r>
      <w:r w:rsidRPr="00271E51">
        <w:rPr>
          <w:color w:val="000000" w:themeColor="text1"/>
          <w:sz w:val="16"/>
          <w:szCs w:val="16"/>
        </w:rPr>
        <w:softHyphen/>
        <w:t xml:space="preserve">октановый бензин в достаточном количестве. Но главное, не было бронебойных снарядов к пушкам Виккерс </w:t>
      </w:r>
      <w:r w:rsidRPr="00271E51">
        <w:rPr>
          <w:color w:val="000000" w:themeColor="text1"/>
          <w:sz w:val="16"/>
          <w:szCs w:val="16"/>
          <w:lang w:val="en-US"/>
        </w:rPr>
        <w:t>S</w:t>
      </w:r>
      <w:r w:rsidRPr="00271E51">
        <w:rPr>
          <w:color w:val="000000" w:themeColor="text1"/>
          <w:sz w:val="16"/>
          <w:szCs w:val="16"/>
        </w:rPr>
        <w:t>.</w:t>
      </w:r>
    </w:p>
    <w:p w14:paraId="2A785143"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этим причинам 246-й иап никаких указа</w:t>
      </w:r>
      <w:r w:rsidRPr="00271E51">
        <w:rPr>
          <w:color w:val="000000" w:themeColor="text1"/>
          <w:sz w:val="16"/>
          <w:szCs w:val="16"/>
        </w:rPr>
        <w:softHyphen/>
        <w:t>ний по учебно-боевой работе на июль не получил и конкретных задач не имел, занятия с летным со</w:t>
      </w:r>
      <w:r w:rsidRPr="00271E51">
        <w:rPr>
          <w:color w:val="000000" w:themeColor="text1"/>
          <w:sz w:val="16"/>
          <w:szCs w:val="16"/>
        </w:rPr>
        <w:softHyphen/>
        <w:t>ставом проводились по плану командирской под</w:t>
      </w:r>
      <w:r w:rsidRPr="00271E51">
        <w:rPr>
          <w:color w:val="000000" w:themeColor="text1"/>
          <w:sz w:val="16"/>
          <w:szCs w:val="16"/>
        </w:rPr>
        <w:softHyphen/>
        <w:t>готовки, составленным штабом полка. Тренировоч</w:t>
      </w:r>
      <w:r w:rsidRPr="00271E51">
        <w:rPr>
          <w:color w:val="000000" w:themeColor="text1"/>
          <w:sz w:val="16"/>
          <w:szCs w:val="16"/>
        </w:rPr>
        <w:softHyphen/>
        <w:t>ные полеты из-за недостатка горючего также не производились.</w:t>
      </w:r>
    </w:p>
    <w:p w14:paraId="64D23E25"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14 июля по распоряжению командира 215-й иад полковника М. Н. Якушина полк в полном составе перелетел с аэродрома Брянчицы на аэродром Омговичи.</w:t>
      </w:r>
    </w:p>
    <w:p w14:paraId="70A7043B"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Передислокация полка на новую площадку бы</w:t>
      </w:r>
      <w:r w:rsidRPr="00271E51">
        <w:rPr>
          <w:color w:val="000000" w:themeColor="text1"/>
          <w:sz w:val="16"/>
          <w:szCs w:val="16"/>
        </w:rPr>
        <w:softHyphen/>
        <w:t>ла омрачена целым рядом происшествий. Так, в дорожной катастрофе погибли старший сержант Н. Л. Коробельщиков и младший сержант В. Г. Гари- бян. При перелете заместитель командира 2-й эска</w:t>
      </w:r>
      <w:r w:rsidRPr="00271E51">
        <w:rPr>
          <w:color w:val="000000" w:themeColor="text1"/>
          <w:sz w:val="16"/>
          <w:szCs w:val="16"/>
        </w:rPr>
        <w:softHyphen/>
        <w:t>дрильи лейтенант Анохин допустил ошибку в рас</w:t>
      </w:r>
      <w:r w:rsidRPr="00271E51">
        <w:rPr>
          <w:color w:val="000000" w:themeColor="text1"/>
          <w:sz w:val="16"/>
          <w:szCs w:val="16"/>
        </w:rPr>
        <w:softHyphen/>
        <w:t>чете при заходе на посадку, выкатился за пределы рабочего поля аэродрома на непригодную полосу и «поставил самолет на нос». Получили поврежде</w:t>
      </w:r>
      <w:r w:rsidRPr="00271E51">
        <w:rPr>
          <w:color w:val="000000" w:themeColor="text1"/>
          <w:sz w:val="16"/>
          <w:szCs w:val="16"/>
        </w:rPr>
        <w:softHyphen/>
        <w:t>ния винт и кок винта, задние и боковые подкосы шасси, помялись обтекатели шасси, а также по</w:t>
      </w:r>
      <w:r w:rsidRPr="00271E51">
        <w:rPr>
          <w:color w:val="000000" w:themeColor="text1"/>
          <w:sz w:val="16"/>
          <w:szCs w:val="16"/>
        </w:rPr>
        <w:softHyphen/>
        <w:t>гнулись оба пояса второй нервюры центроплана. Самолет подлежал списанию. Властью командира полка на Анохина было наложено дисциплинарное взыскание.</w:t>
      </w:r>
    </w:p>
    <w:p w14:paraId="525A2FC3"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Вечером этого же дня, в 19.40, «во время силь</w:t>
      </w:r>
      <w:r w:rsidRPr="00271E51">
        <w:rPr>
          <w:color w:val="000000" w:themeColor="text1"/>
          <w:sz w:val="16"/>
          <w:szCs w:val="16"/>
        </w:rPr>
        <w:softHyphen/>
        <w:t>ных грозовых разрядов при разговоре по телефону был ранен командир авиаполка майор Попрыкин /.../ и убит командир 2-й эскадрильи лейтенант Фомичев». Комполка отправили в госпиталь, а лей</w:t>
      </w:r>
      <w:r w:rsidRPr="00271E51">
        <w:rPr>
          <w:color w:val="000000" w:themeColor="text1"/>
          <w:sz w:val="16"/>
          <w:szCs w:val="16"/>
        </w:rPr>
        <w:softHyphen/>
        <w:t>тенанта Фомичева похоронили с почестями.</w:t>
      </w:r>
    </w:p>
    <w:p w14:paraId="68E72E12"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Временно исполняющим должность командира полка был назначен заместитель Попрыкина майор Трошин.</w:t>
      </w:r>
    </w:p>
    <w:p w14:paraId="07DF4767"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Здесь следует сказать, что с дисциплиной в пол</w:t>
      </w:r>
      <w:r w:rsidRPr="00271E51">
        <w:rPr>
          <w:color w:val="000000" w:themeColor="text1"/>
          <w:sz w:val="16"/>
          <w:szCs w:val="16"/>
        </w:rPr>
        <w:softHyphen/>
        <w:t>ку было не все благополучно. Видимо, сказыва</w:t>
      </w:r>
      <w:r w:rsidRPr="00271E51">
        <w:rPr>
          <w:color w:val="000000" w:themeColor="text1"/>
          <w:sz w:val="16"/>
          <w:szCs w:val="16"/>
        </w:rPr>
        <w:softHyphen/>
        <w:t>лось длительное — почти 1,5 года — пребывание полка в глубоком тылу. Свое негативное влияние оказывала и материальная часть, на которой вско</w:t>
      </w:r>
      <w:r w:rsidRPr="00271E51">
        <w:rPr>
          <w:color w:val="000000" w:themeColor="text1"/>
          <w:sz w:val="16"/>
          <w:szCs w:val="16"/>
        </w:rPr>
        <w:softHyphen/>
        <w:t>ре предполагалось вступить в бой. Летно-боевые качества английской машины оптимизма летчикам не добавляли. Вдобавок боевые задачи полку не ставились. Это отрицательно сказывалось как на моральном климате в полку, так и на состоянии летного состава.</w:t>
      </w:r>
    </w:p>
    <w:p w14:paraId="1BC2EC3F"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этому поводу 28 июля майор Трошин докла</w:t>
      </w:r>
      <w:r w:rsidRPr="00271E51">
        <w:rPr>
          <w:color w:val="000000" w:themeColor="text1"/>
          <w:sz w:val="16"/>
          <w:szCs w:val="16"/>
        </w:rPr>
        <w:softHyphen/>
        <w:t>дывал командованию: «Задачи боевой подготовки на август полку являются неясными, что затрудняет правильно нацелить личный состав в его работе. Личный состав проявляет большое желание бы</w:t>
      </w:r>
      <w:r w:rsidRPr="00271E51">
        <w:rPr>
          <w:color w:val="000000" w:themeColor="text1"/>
          <w:sz w:val="16"/>
          <w:szCs w:val="16"/>
        </w:rPr>
        <w:softHyphen/>
        <w:t>стрее принять участие в боевой работе». Вот толь</w:t>
      </w:r>
      <w:r w:rsidRPr="00271E51">
        <w:rPr>
          <w:color w:val="000000" w:themeColor="text1"/>
          <w:sz w:val="16"/>
          <w:szCs w:val="16"/>
        </w:rPr>
        <w:softHyphen/>
        <w:t>ко бы заменить полку материальную часть более современной.</w:t>
      </w:r>
    </w:p>
    <w:p w14:paraId="1FEDFEB6"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Через два дня Трошин по согласованию с ко</w:t>
      </w:r>
      <w:r w:rsidRPr="00271E51">
        <w:rPr>
          <w:color w:val="000000" w:themeColor="text1"/>
          <w:sz w:val="16"/>
          <w:szCs w:val="16"/>
        </w:rPr>
        <w:softHyphen/>
        <w:t>мандиром 215-й иад полковником Якушиным офи</w:t>
      </w:r>
      <w:r w:rsidRPr="00271E51">
        <w:rPr>
          <w:color w:val="000000" w:themeColor="text1"/>
          <w:sz w:val="16"/>
          <w:szCs w:val="16"/>
        </w:rPr>
        <w:softHyphen/>
        <w:t>циально направил на его имя рапорт, в котором просил «ходатайства перед вышестоящим командо</w:t>
      </w:r>
      <w:r w:rsidRPr="00271E51">
        <w:rPr>
          <w:color w:val="000000" w:themeColor="text1"/>
          <w:sz w:val="16"/>
          <w:szCs w:val="16"/>
        </w:rPr>
        <w:softHyphen/>
        <w:t xml:space="preserve">ванием о перевооружении полка на современные отечественные самолеты». В качестве обоснования он указывал, что самолет «Харрикейн» </w:t>
      </w:r>
      <w:r w:rsidRPr="00271E51">
        <w:rPr>
          <w:color w:val="000000" w:themeColor="text1"/>
          <w:sz w:val="16"/>
          <w:szCs w:val="16"/>
          <w:lang w:val="en-US"/>
        </w:rPr>
        <w:t>IID</w:t>
      </w:r>
      <w:r w:rsidRPr="00271E51">
        <w:rPr>
          <w:color w:val="000000" w:themeColor="text1"/>
          <w:sz w:val="16"/>
          <w:szCs w:val="16"/>
        </w:rPr>
        <w:t xml:space="preserve"> «как ис</w:t>
      </w:r>
      <w:r w:rsidRPr="00271E51">
        <w:rPr>
          <w:color w:val="000000" w:themeColor="text1"/>
          <w:sz w:val="16"/>
          <w:szCs w:val="16"/>
        </w:rPr>
        <w:softHyphen/>
        <w:t>требитель по своим летным качествам является устаревшим и отсталым по сравнению с нашими современными истребителями». Фактические мак</w:t>
      </w:r>
      <w:r w:rsidRPr="00271E51">
        <w:rPr>
          <w:color w:val="000000" w:themeColor="text1"/>
          <w:sz w:val="16"/>
          <w:szCs w:val="16"/>
        </w:rPr>
        <w:softHyphen/>
        <w:t>симальные скорости самолетов у земли не превы</w:t>
      </w:r>
      <w:r w:rsidRPr="00271E51">
        <w:rPr>
          <w:color w:val="000000" w:themeColor="text1"/>
          <w:sz w:val="16"/>
          <w:szCs w:val="16"/>
        </w:rPr>
        <w:softHyphen/>
        <w:t>шали 360—370 км/ч, время набора высоты 1000 м достигало 4—5 мин, а набор высоты за боевой раз</w:t>
      </w:r>
      <w:r w:rsidRPr="00271E51">
        <w:rPr>
          <w:color w:val="000000" w:themeColor="text1"/>
          <w:sz w:val="16"/>
          <w:szCs w:val="16"/>
        </w:rPr>
        <w:softHyphen/>
        <w:t>ворот составлял всего 450—500 м.</w:t>
      </w:r>
    </w:p>
    <w:p w14:paraId="08514D15"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применение самолета в качестве штурмовика было невозможно по причине отсут</w:t>
      </w:r>
      <w:r w:rsidRPr="00271E51">
        <w:rPr>
          <w:color w:val="000000" w:themeColor="text1"/>
          <w:sz w:val="16"/>
          <w:szCs w:val="16"/>
        </w:rPr>
        <w:softHyphen/>
        <w:t>ствия должного бронирования летчика и винтомо</w:t>
      </w:r>
      <w:r w:rsidRPr="00271E51">
        <w:rPr>
          <w:color w:val="000000" w:themeColor="text1"/>
          <w:sz w:val="16"/>
          <w:szCs w:val="16"/>
        </w:rPr>
        <w:softHyphen/>
        <w:t>торной группы. По заявлению Трошина, установ</w:t>
      </w:r>
      <w:r w:rsidRPr="00271E51">
        <w:rPr>
          <w:color w:val="000000" w:themeColor="text1"/>
          <w:sz w:val="16"/>
          <w:szCs w:val="16"/>
        </w:rPr>
        <w:softHyphen/>
        <w:t>ленная на самолете броня пробивается винтовоч</w:t>
      </w:r>
      <w:r w:rsidRPr="00271E51">
        <w:rPr>
          <w:color w:val="000000" w:themeColor="text1"/>
          <w:sz w:val="16"/>
          <w:szCs w:val="16"/>
        </w:rPr>
        <w:softHyphen/>
        <w:t>ными и автоматными пулями с дистанции 70—80 м. Надо полагать, постреляли по бронеплитам списан</w:t>
      </w:r>
      <w:r w:rsidRPr="00271E51">
        <w:rPr>
          <w:color w:val="000000" w:themeColor="text1"/>
          <w:sz w:val="16"/>
          <w:szCs w:val="16"/>
        </w:rPr>
        <w:softHyphen/>
        <w:t>ного «Харрикейна».</w:t>
      </w:r>
    </w:p>
    <w:p w14:paraId="3206E49D"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Кроме того, все самолеты «Харрикейн» </w:t>
      </w:r>
      <w:r w:rsidRPr="00271E51">
        <w:rPr>
          <w:color w:val="000000" w:themeColor="text1"/>
          <w:sz w:val="16"/>
          <w:szCs w:val="16"/>
          <w:lang w:val="en-US"/>
        </w:rPr>
        <w:t>IID</w:t>
      </w:r>
      <w:r w:rsidRPr="00271E51">
        <w:rPr>
          <w:color w:val="000000" w:themeColor="text1"/>
          <w:sz w:val="16"/>
          <w:szCs w:val="16"/>
        </w:rPr>
        <w:t xml:space="preserve"> до поступления в полк уже имели значительный налет и многочисленные дефекты. Основными из них яв</w:t>
      </w:r>
      <w:r w:rsidRPr="00271E51">
        <w:rPr>
          <w:color w:val="000000" w:themeColor="text1"/>
          <w:sz w:val="16"/>
          <w:szCs w:val="16"/>
        </w:rPr>
        <w:softHyphen/>
        <w:t>лялись следующие: изношенные моторы, которые недодавали мощности, выбоины и трещины на де</w:t>
      </w:r>
      <w:r w:rsidRPr="00271E51">
        <w:rPr>
          <w:color w:val="000000" w:themeColor="text1"/>
          <w:sz w:val="16"/>
          <w:szCs w:val="16"/>
        </w:rPr>
        <w:softHyphen/>
        <w:t>ревянных винтах, выработавшие ресурс бортовые аккумуляторы, множественные порезы резины ко</w:t>
      </w:r>
      <w:r w:rsidRPr="00271E51">
        <w:rPr>
          <w:color w:val="000000" w:themeColor="text1"/>
          <w:sz w:val="16"/>
          <w:szCs w:val="16"/>
        </w:rPr>
        <w:softHyphen/>
        <w:t>лес шасси, частично неисправное приборное обо</w:t>
      </w:r>
      <w:r w:rsidRPr="00271E51">
        <w:rPr>
          <w:color w:val="000000" w:themeColor="text1"/>
          <w:sz w:val="16"/>
          <w:szCs w:val="16"/>
        </w:rPr>
        <w:softHyphen/>
        <w:t>рудование, отстающая от стрингеров фюзеляжа перкалевая обшивка (местами гнилая), нарушенное лакокрасочное покрытие фюзеляжа и низа плоско</w:t>
      </w:r>
      <w:r w:rsidRPr="00271E51">
        <w:rPr>
          <w:color w:val="000000" w:themeColor="text1"/>
          <w:sz w:val="16"/>
          <w:szCs w:val="16"/>
        </w:rPr>
        <w:softHyphen/>
        <w:t>стей. К моторам и самолетам отсутствовали необхо</w:t>
      </w:r>
      <w:r w:rsidRPr="00271E51">
        <w:rPr>
          <w:color w:val="000000" w:themeColor="text1"/>
          <w:sz w:val="16"/>
          <w:szCs w:val="16"/>
        </w:rPr>
        <w:softHyphen/>
        <w:t>димые запчасти.</w:t>
      </w:r>
    </w:p>
    <w:p w14:paraId="4D7D2789"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Между тем низкие фактические летно-боевые данные самолетов «Харрикейн» </w:t>
      </w:r>
      <w:r w:rsidRPr="00271E51">
        <w:rPr>
          <w:color w:val="000000" w:themeColor="text1"/>
          <w:sz w:val="16"/>
          <w:szCs w:val="16"/>
          <w:lang w:val="en-US"/>
        </w:rPr>
        <w:t>IID</w:t>
      </w:r>
      <w:r w:rsidRPr="00271E51">
        <w:rPr>
          <w:color w:val="000000" w:themeColor="text1"/>
          <w:sz w:val="16"/>
          <w:szCs w:val="16"/>
        </w:rPr>
        <w:t xml:space="preserve"> явно не вписы</w:t>
      </w:r>
      <w:r w:rsidRPr="00271E51">
        <w:rPr>
          <w:color w:val="000000" w:themeColor="text1"/>
          <w:sz w:val="16"/>
          <w:szCs w:val="16"/>
        </w:rPr>
        <w:softHyphen/>
        <w:t>вались в тактику применения истребителей и штур</w:t>
      </w:r>
      <w:r w:rsidRPr="00271E51">
        <w:rPr>
          <w:color w:val="000000" w:themeColor="text1"/>
          <w:sz w:val="16"/>
          <w:szCs w:val="16"/>
        </w:rPr>
        <w:softHyphen/>
        <w:t>мовиков, сложившуюся в условиях реальных бое</w:t>
      </w:r>
      <w:r w:rsidRPr="00271E51">
        <w:rPr>
          <w:color w:val="000000" w:themeColor="text1"/>
          <w:sz w:val="16"/>
          <w:szCs w:val="16"/>
        </w:rPr>
        <w:softHyphen/>
        <w:t xml:space="preserve">вых действий на советско-германском фронте. Как истребитель «Харрикейн» </w:t>
      </w:r>
      <w:r w:rsidRPr="00271E51">
        <w:rPr>
          <w:color w:val="000000" w:themeColor="text1"/>
          <w:sz w:val="16"/>
          <w:szCs w:val="16"/>
          <w:lang w:val="en-US"/>
        </w:rPr>
        <w:t>IID</w:t>
      </w:r>
      <w:r w:rsidRPr="00271E51">
        <w:rPr>
          <w:color w:val="000000" w:themeColor="text1"/>
          <w:sz w:val="16"/>
          <w:szCs w:val="16"/>
        </w:rPr>
        <w:t xml:space="preserve"> использовать было нельзя, так как он не мог догнать даже </w:t>
      </w:r>
      <w:r w:rsidRPr="00271E51">
        <w:rPr>
          <w:color w:val="000000" w:themeColor="text1"/>
          <w:sz w:val="16"/>
          <w:szCs w:val="16"/>
          <w:lang w:val="en-US"/>
        </w:rPr>
        <w:t>Ju</w:t>
      </w:r>
      <w:r w:rsidRPr="00271E51">
        <w:rPr>
          <w:color w:val="000000" w:themeColor="text1"/>
          <w:sz w:val="16"/>
          <w:szCs w:val="16"/>
        </w:rPr>
        <w:t>88, а для штурмовых действий самолет был совершенно не</w:t>
      </w:r>
      <w:r w:rsidRPr="00271E51">
        <w:rPr>
          <w:color w:val="000000" w:themeColor="text1"/>
          <w:sz w:val="16"/>
          <w:szCs w:val="16"/>
        </w:rPr>
        <w:softHyphen/>
        <w:t>пригоден вследствие слабого бронирования и во</w:t>
      </w:r>
      <w:r w:rsidRPr="00271E51">
        <w:rPr>
          <w:color w:val="000000" w:themeColor="text1"/>
          <w:sz w:val="16"/>
          <w:szCs w:val="16"/>
        </w:rPr>
        <w:softHyphen/>
        <w:t>оружения. Кроме того, бронебойные снаряды кали</w:t>
      </w:r>
      <w:r w:rsidRPr="00271E51">
        <w:rPr>
          <w:color w:val="000000" w:themeColor="text1"/>
          <w:sz w:val="16"/>
          <w:szCs w:val="16"/>
        </w:rPr>
        <w:softHyphen/>
        <w:t xml:space="preserve">бра 40 мм к пушкам Виккерс </w:t>
      </w:r>
      <w:r w:rsidRPr="00271E51">
        <w:rPr>
          <w:color w:val="000000" w:themeColor="text1"/>
          <w:sz w:val="16"/>
          <w:szCs w:val="16"/>
          <w:lang w:val="en-US"/>
        </w:rPr>
        <w:t>S</w:t>
      </w:r>
      <w:r w:rsidRPr="00271E51">
        <w:rPr>
          <w:color w:val="000000" w:themeColor="text1"/>
          <w:sz w:val="16"/>
          <w:szCs w:val="16"/>
        </w:rPr>
        <w:t xml:space="preserve"> все еще отсутствова</w:t>
      </w:r>
      <w:r w:rsidRPr="00271E51">
        <w:rPr>
          <w:color w:val="000000" w:themeColor="text1"/>
          <w:sz w:val="16"/>
          <w:szCs w:val="16"/>
        </w:rPr>
        <w:softHyphen/>
        <w:t>ли на складах армии.</w:t>
      </w:r>
    </w:p>
    <w:p w14:paraId="55629E11"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Итогом «хождения» рапорта майора Трошина стал приказ о перевооружении 246-го иап на оте</w:t>
      </w:r>
      <w:r w:rsidRPr="00271E51">
        <w:rPr>
          <w:color w:val="000000" w:themeColor="text1"/>
          <w:sz w:val="16"/>
          <w:szCs w:val="16"/>
        </w:rPr>
        <w:softHyphen/>
        <w:t>чественный истребитель Як-1. Уже к 19 сентября все противотанковые «Харрикейны» были либо списаны, либо переданы в реморганы, а вместо них получены самолеты Як-1. После освоения новой техники 246-й иап был переформирован в 10-й иап Войска польского и вошел в состав 3-й польской авиационной дивизии.</w:t>
      </w:r>
    </w:p>
    <w:p w14:paraId="4356D036"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На этом история английского противотанкового истребителя «Харрикейн» </w:t>
      </w:r>
      <w:r w:rsidRPr="00271E51">
        <w:rPr>
          <w:color w:val="000000" w:themeColor="text1"/>
          <w:sz w:val="16"/>
          <w:szCs w:val="16"/>
          <w:lang w:val="en-US"/>
        </w:rPr>
        <w:t>IID</w:t>
      </w:r>
      <w:r w:rsidRPr="00271E51">
        <w:rPr>
          <w:color w:val="000000" w:themeColor="text1"/>
          <w:sz w:val="16"/>
          <w:szCs w:val="16"/>
        </w:rPr>
        <w:t xml:space="preserve"> в ВВС КА закончилась. Не сделав ни одного боевого вылета, они были сня</w:t>
      </w:r>
      <w:r w:rsidRPr="00271E51">
        <w:rPr>
          <w:color w:val="000000" w:themeColor="text1"/>
          <w:sz w:val="16"/>
          <w:szCs w:val="16"/>
        </w:rPr>
        <w:softHyphen/>
        <w:t>ты с вооружения фронтовых частей (17500).</w:t>
      </w:r>
    </w:p>
    <w:p w14:paraId="747E7FE1" w14:textId="77777777" w:rsidR="00617503" w:rsidRPr="00271E51" w:rsidRDefault="00617503" w:rsidP="00271E51">
      <w:pPr>
        <w:pStyle w:val="12a"/>
        <w:shd w:val="clear" w:color="auto" w:fill="auto"/>
        <w:spacing w:after="0" w:line="240" w:lineRule="auto"/>
        <w:jc w:val="both"/>
        <w:rPr>
          <w:color w:val="000000" w:themeColor="text1"/>
          <w:sz w:val="16"/>
          <w:szCs w:val="16"/>
        </w:rPr>
      </w:pPr>
    </w:p>
    <w:p w14:paraId="33FCD9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завод № 23 стал комплекто</w:t>
      </w:r>
      <w:r w:rsidRPr="00271E51">
        <w:rPr>
          <w:rFonts w:ascii="Times New Roman" w:hAnsi="Times New Roman"/>
          <w:color w:val="000000" w:themeColor="text1"/>
          <w:sz w:val="16"/>
          <w:szCs w:val="16"/>
        </w:rPr>
        <w:softHyphen/>
        <w:t>вать ГАМ-9 все выпускающиеся бом</w:t>
      </w:r>
      <w:r w:rsidRPr="00271E51">
        <w:rPr>
          <w:rFonts w:ascii="Times New Roman" w:hAnsi="Times New Roman"/>
          <w:color w:val="000000" w:themeColor="text1"/>
          <w:sz w:val="16"/>
          <w:szCs w:val="16"/>
        </w:rPr>
        <w:softHyphen/>
        <w:t>бардировщики Ил-4 (10734,78).</w:t>
      </w:r>
    </w:p>
    <w:p w14:paraId="063FE3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F8767F" w14:textId="77777777" w:rsidR="00E53197" w:rsidRPr="00271E51" w:rsidRDefault="00E53197"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октября 1943 года, завод № 39 ежемесячно выпускал по 30 бомбардировщиков. В 1944 году завод отправил фронтовым авиационным частям 125 самолетов Ил-4. (210). Бомбардировщики пополняли дивизии Авиации дальнего действия (АДД), выведенную из состава ВВС и подчиненную непосредственно Ставке. В нее первоначально вошли восемь дивизий, из них пять – воруженных Ил-4 (15223).</w:t>
      </w:r>
    </w:p>
    <w:p w14:paraId="65E6D15B" w14:textId="77777777" w:rsidR="00E53197" w:rsidRPr="00271E51" w:rsidRDefault="00E53197" w:rsidP="00271E51">
      <w:pPr>
        <w:shd w:val="clear" w:color="auto" w:fill="FFFFFF"/>
        <w:spacing w:after="0" w:line="240" w:lineRule="auto"/>
        <w:jc w:val="both"/>
        <w:rPr>
          <w:rFonts w:ascii="Times New Roman" w:hAnsi="Times New Roman"/>
          <w:color w:val="000000" w:themeColor="text1"/>
          <w:sz w:val="16"/>
          <w:szCs w:val="16"/>
        </w:rPr>
      </w:pPr>
    </w:p>
    <w:p w14:paraId="62FA8D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освобождения Запорожья правительство приняло решение об организации на территории бывшего завода № 29 базы ремонта авиадвигателей М-88Б, получившей наименование завод № 478. В соответствии с приказом наркома авиапромышленности на заводе было создано опытно-конструкторское бюро № 478. Впоследствии это ОКБ переименовали в Запорожское машиностроительное конструкторское бюро (ЗМКБ) "Прогресс", получившее широкую известность не только в отечественном, но и в мировом авиадвигателестроении. Возглавил ОКБ № 478 кадровый конструктор завода А.Г. Ивченко, ставший позже генеральным конструктором. Его имя затем было присвоено ЗМКБ "Прогресс" (9031).</w:t>
      </w:r>
    </w:p>
    <w:p w14:paraId="4112D0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0FA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проводились гос. испытания Як-1М дублера в НИИ ВВС (715).</w:t>
      </w:r>
    </w:p>
    <w:p w14:paraId="16F7C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FE9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 ЛИИ закончились испытания модифицированного Як-1 N 23-148 с М-105ПФ, которые начались в сентябре 1943. Летал М.Л.Галлай (65,61).</w:t>
      </w:r>
    </w:p>
    <w:p w14:paraId="1B070B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0C9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первый серийный самолет Як-9 с мотором М-107А (зав. №12001) был построен на заводе № 166 и собран на заводе №301 в Химках. До конца года за ним последовало еще десять машин. Однако, результаты работы не вселяли оптимизма: самолеты практически не могли летать. Установленные нa них моторы выпуска начала-середины 1943 г. имели 50-часовой ресурс, а наработка на отказ у этих весьма капризных изделий в среднем составляла по 10-15 часов (суммарно в воздухе и на земле), отмечались и другие существенные дефекты. Не лишне напомнить. что только в декабре в ОКБ-115 закончили работу над опытным Як-9У. и только в апреле 1944 начались государственные испытания (4842).</w:t>
      </w:r>
    </w:p>
    <w:p w14:paraId="4E3EB1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5D0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вышел отчет ЛИИ НКАП N 647с, согласно которому Як-9 N 29 с М-105ПД без водо-воздушных радиаторов достиг высоты 13000 м (1824,18).</w:t>
      </w:r>
    </w:p>
    <w:p w14:paraId="697DDF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A9B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был сделан и передан в НИИ ВВС Як-9ТК для испытания различных пушек и на нем ставили и НС-45 (65,130).</w:t>
      </w:r>
    </w:p>
    <w:p w14:paraId="553EC5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B86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 гос. испытания был предъявлен Як-9ТК с М-105ПФ (модификация Як-9Т с тем же двигателем) со сменными мотор-пушками (ШВАК, ВЯ-23, НС-37 и НС-45). Испытания вели л В.И.Хомяков и ви по вооружению А.Г.Аронов. При скорости 400 км/час стрельба из ШВАК и ВЯ была возможна длинными очередями. При стрельбе из 37 мм пушки машина раскачивалась, а стрельба из 45 мм была возможна только отдельными выстрелами. Наличие трассера увеличивало вероятность поражения. В серии так и не был, так как мощность ВЯ-23 не сильно отличалась от ШВАК, а НС-45 была не доработана (65,130).</w:t>
      </w:r>
    </w:p>
    <w:p w14:paraId="74DD90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F798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был создан и представлен в НИИ ВВС Як-9ТК со сменными мотор-пушками М-105ПФ под ВЯ-23, НС-37 и НС-45. ВЯ не давала преимуществ перед НС-23, а НС-45 работала ненадежно (4237,22).</w:t>
      </w:r>
    </w:p>
    <w:p w14:paraId="1F9A80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0BC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на испытания в НИИ ВВС поступил истребитель Як-9ТК, отличавшийся от Як-9Т возможностью установки в развале цилиндров двигателя различных орудий, втом числе ШВАК, ВЯ-23, НС- 37 и НС-45. На разных самолетах семейства Як-9 для установки каждой из отмеченных выше пушек требовались свои крепления, патронные коробки, звенье- и гильзосбор- ники, и прочие сопутствующие оружию изделия. Унифицировать их не представлялось возможным, но можно было изготовить Як-ЯК с двигателем съемные узлы. По этому пути и пошли кон- ВК-105ПФ на войсковых структоры (12046).</w:t>
      </w:r>
    </w:p>
    <w:p w14:paraId="39AF47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74588" w14:textId="77777777" w:rsidR="00BA6FD2" w:rsidRPr="00271E51" w:rsidRDefault="00BA6FD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1943 г. в НИИ ВВС поступил ис</w:t>
      </w:r>
      <w:r w:rsidRPr="00271E51">
        <w:rPr>
          <w:rFonts w:ascii="Times New Roman" w:cs="Times New Roman"/>
          <w:color w:val="000000" w:themeColor="text1"/>
          <w:spacing w:val="0"/>
        </w:rPr>
        <w:softHyphen/>
        <w:t>требитель Як-9ТК, допускавший установку в развале блоков двигателя орудий ШВАК, ВЯ-23, НС-37 и НС-45. На разных самолё</w:t>
      </w:r>
      <w:r w:rsidRPr="00271E51">
        <w:rPr>
          <w:rFonts w:ascii="Times New Roman" w:cs="Times New Roman"/>
          <w:color w:val="000000" w:themeColor="text1"/>
          <w:spacing w:val="0"/>
        </w:rPr>
        <w:softHyphen/>
        <w:t>тах семейства для установки каждой из от</w:t>
      </w:r>
      <w:r w:rsidRPr="00271E51">
        <w:rPr>
          <w:rFonts w:ascii="Times New Roman" w:cs="Times New Roman"/>
          <w:color w:val="000000" w:themeColor="text1"/>
          <w:spacing w:val="0"/>
        </w:rPr>
        <w:softHyphen/>
        <w:t>меченных выше пушек требовались свои крепления, патронные коробки, звенье- и гильзосборники и прочее. Унифицировать их не представлялось возможным, но можно было изготовить съёмные узлы. По этому пути и пошли конструкторы (19103).</w:t>
      </w:r>
    </w:p>
    <w:p w14:paraId="73133D2F" w14:textId="77777777" w:rsidR="00BA6FD2" w:rsidRPr="00271E51" w:rsidRDefault="00BA6FD2" w:rsidP="00271E51">
      <w:pPr>
        <w:pStyle w:val="27"/>
        <w:shd w:val="clear" w:color="auto" w:fill="auto"/>
        <w:spacing w:after="0" w:line="240" w:lineRule="auto"/>
        <w:ind w:firstLine="0"/>
        <w:rPr>
          <w:rFonts w:ascii="Times New Roman" w:cs="Times New Roman"/>
          <w:color w:val="000000" w:themeColor="text1"/>
          <w:spacing w:val="0"/>
        </w:rPr>
      </w:pPr>
    </w:p>
    <w:p w14:paraId="441F188E"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в качестве эксперимента в ЛИИ на том же высотном Як-9, что летал в августе-сентябре, мотор М-105ПД за</w:t>
      </w:r>
      <w:r w:rsidRPr="00271E51">
        <w:rPr>
          <w:rFonts w:ascii="Times New Roman" w:hAnsi="Times New Roman"/>
          <w:color w:val="000000" w:themeColor="text1"/>
          <w:sz w:val="16"/>
          <w:szCs w:val="16"/>
        </w:rPr>
        <w:softHyphen/>
        <w:t>менили на М-106ПВ — повышенный высотности, также оснащённый нагнетателем Э-100, но с высотностью 9500 м. 16 октября 1943 г. на Як-9 с М-106ПВ В.Н. Юганову удалось достичь высоты 12800 м по прибору, что соответствовало 13000 м в стандартных усло</w:t>
      </w:r>
      <w:r w:rsidRPr="00271E51">
        <w:rPr>
          <w:rFonts w:ascii="Times New Roman" w:hAnsi="Times New Roman"/>
          <w:color w:val="000000" w:themeColor="text1"/>
          <w:sz w:val="16"/>
          <w:szCs w:val="16"/>
        </w:rPr>
        <w:softHyphen/>
        <w:t>виях. Как выяснилось, эта высота являлась потолком самолёта — скороподъёмность на ней составляла 0,5-0,75 м/с. Однако М-106ПВ имел те же недостатки, что и М-105ПД. На высоте более 12000 м, при увеличении числа оборотов мотора до номинального (2650 об./мин.), из-за высокой температуры воздуха за нагнетателем и низкого давле</w:t>
      </w:r>
      <w:r w:rsidRPr="00271E51">
        <w:rPr>
          <w:rFonts w:ascii="Times New Roman" w:hAnsi="Times New Roman"/>
          <w:color w:val="000000" w:themeColor="text1"/>
          <w:sz w:val="16"/>
          <w:szCs w:val="16"/>
        </w:rPr>
        <w:softHyphen/>
        <w:t>ния масла в главной магистрали, мотор работал неудовлетворительно. Кроме того, имел место перегрев воды и масла (15830).</w:t>
      </w:r>
    </w:p>
    <w:p w14:paraId="77FDC963"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5E23D7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 НИИ спецслужб проводились полигонные испытания Як-7Б 82 завода N 14-10 с АФА-ИМ, сделанном на 82 заводе по ТТТ НИИ спецслужб. Всего на 153 и 82 заводах сделали 350 Як-7Р с АФА-ИМ (65,92).</w:t>
      </w:r>
    </w:p>
    <w:p w14:paraId="202037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B97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проводились гос. испытания модифицированного ЛаГГ-3 первого с ВК-105ПФ-2 с винтом ВИШ-105СВ (N 105-1 производства 31 завода, ГК В.П.Горбунов) (764,2).</w:t>
      </w:r>
    </w:p>
    <w:p w14:paraId="4AB9A2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45C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ЛаГГ-3 с двигателем М-105ПТ, получивший обозначение «объект 105»,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(11749).</w:t>
      </w:r>
    </w:p>
    <w:p w14:paraId="128E32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11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ЛаГГ-3 под обозначением "105" с мотором М-105ПФ предъявили на государственные испытания.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Дальнейшие планы конструкторов тбилисского завода оказались нереализованными. В частности, они планировали внедрить на истребителе мягкие топливные баки. В отличие от жестких протектированных баков, утечка горючего при их простреле или других повреждениях прекращалась за счет механических свойств резины, из которой они изготавливались. Протектор, значительно увеличивающий вес, такому баку не нужен. Новые баки оказались более технологичными и удобными в эксплуатации, и применяются в авиации до настоящего времени (11983).</w:t>
      </w:r>
    </w:p>
    <w:p w14:paraId="006161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C493D" w14:textId="77777777" w:rsidR="008E7E8D" w:rsidRPr="00271E51" w:rsidRDefault="008E7E8D"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получила рекомендацию в производство но</w:t>
      </w:r>
      <w:r w:rsidRPr="00271E51">
        <w:rPr>
          <w:rFonts w:ascii="Times New Roman" w:hAnsi="Times New Roman"/>
          <w:color w:val="000000" w:themeColor="text1"/>
          <w:sz w:val="16"/>
          <w:szCs w:val="16"/>
        </w:rPr>
        <w:softHyphen/>
        <w:t>вая приборная доска, разработанная для Ла-5 и ЛаГГ-3 в ОКБ-21 совместно с ЛИИ. Она была более эргономичная, без экрана осве</w:t>
      </w:r>
      <w:r w:rsidRPr="00271E51">
        <w:rPr>
          <w:rFonts w:ascii="Times New Roman" w:hAnsi="Times New Roman"/>
          <w:color w:val="000000" w:themeColor="text1"/>
          <w:sz w:val="16"/>
          <w:szCs w:val="16"/>
        </w:rPr>
        <w:softHyphen/>
        <w:t>щения отраженным светом, который загораживал часть панели, с откидной или съемной средней частью, что облегчало доступ к рас</w:t>
      </w:r>
      <w:r w:rsidRPr="00271E51">
        <w:rPr>
          <w:rFonts w:ascii="Times New Roman" w:hAnsi="Times New Roman"/>
          <w:color w:val="000000" w:themeColor="text1"/>
          <w:sz w:val="16"/>
          <w:szCs w:val="16"/>
        </w:rPr>
        <w:softHyphen/>
        <w:t>положенному за ней оборудованию (11123).</w:t>
      </w:r>
    </w:p>
    <w:p w14:paraId="47F2681A" w14:textId="77777777" w:rsidR="008E7E8D" w:rsidRPr="00271E51" w:rsidRDefault="008E7E8D"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EC0E5" w14:textId="77777777" w:rsidR="007C0FF9" w:rsidRPr="00271E51" w:rsidRDefault="007C0F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октябре 1943 года в НИИ ВВС поступил на испытания самолет «105» главного конструктора В.П. Горбунова постройки завода № 31. К сожалению, о нем известно пока немного, по описанию специалистов НИИ ВВС это был ЛаГГ-3 «60-й серии» с мотором М-105ПФ с пониженным гаргротом и улучшенной отделкой, на котором КБ 31 завода был проведен комплекс ОКР по снижению веса ряда узлов и агрегатов. Самолет 105 стал самым легким из всех ЛаГГов: вес пустого составил 2234 кг, а полетный вес – 2818 кг. На II границе высотности самолет разгонялся до 612 км/ч, а высоту в 5 км набирал за 5,1 минуты. Могло показаться, что это весьма неплохие результаты. Но практически одновременно с самолетом Горбунова в октябре 1943 года в НИИ ВВС испытывался еще один истребитель – Як-3М-105ПФ2 «Дублер» на котором Александру Сергеевичу Яковлеву удалось «поднять планку» значительно выше. Новый «Як» высоту 5000 метров набирал всего за 4,1 минуты, а на II границе высотности 4300 метров разгонялся до 651 км/ч (23197).</w:t>
      </w:r>
    </w:p>
    <w:p w14:paraId="588AE08A" w14:textId="77777777" w:rsidR="007C0FF9" w:rsidRPr="00271E51" w:rsidRDefault="007C0FF9" w:rsidP="00271E51">
      <w:pPr>
        <w:spacing w:after="0" w:line="240" w:lineRule="auto"/>
        <w:jc w:val="both"/>
        <w:rPr>
          <w:rFonts w:ascii="Times New Roman" w:hAnsi="Times New Roman"/>
          <w:color w:val="0070C0"/>
          <w:sz w:val="16"/>
          <w:szCs w:val="16"/>
        </w:rPr>
      </w:pPr>
    </w:p>
    <w:p w14:paraId="399085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после ремонта первая опытная машина И-220 с двигателем АМ-38Ф поступила в НИИ ВВС на госиспытания. Летчику-испытателю П.М. Стефановскому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785DD0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420CBC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4633B" w14:textId="77777777" w:rsidR="00E53197" w:rsidRPr="00271E51" w:rsidRDefault="00E5319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1943 Сталин поставил перед НКАП и ВВС задачу увеличить дальность полёта истребителей (15813).</w:t>
      </w:r>
    </w:p>
    <w:p w14:paraId="0C4FCF50" w14:textId="77777777" w:rsidR="00E53197" w:rsidRPr="00271E51" w:rsidRDefault="00E53197" w:rsidP="00271E51">
      <w:pPr>
        <w:pStyle w:val="27"/>
        <w:shd w:val="clear" w:color="auto" w:fill="auto"/>
        <w:spacing w:after="0" w:line="240" w:lineRule="auto"/>
        <w:ind w:firstLine="0"/>
        <w:rPr>
          <w:rFonts w:ascii="Times New Roman" w:cs="Times New Roman"/>
          <w:color w:val="000000" w:themeColor="text1"/>
          <w:spacing w:val="0"/>
        </w:rPr>
      </w:pPr>
    </w:p>
    <w:p w14:paraId="6CD0F3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Николай Николаевич принял реше</w:t>
      </w:r>
      <w:r w:rsidRPr="00271E51">
        <w:rPr>
          <w:rFonts w:ascii="Times New Roman" w:hAnsi="Times New Roman"/>
          <w:color w:val="000000" w:themeColor="text1"/>
          <w:sz w:val="16"/>
          <w:szCs w:val="16"/>
        </w:rPr>
        <w:softHyphen/>
        <w:t>ние выпустить второй экземпляр НВ (Т) с моторами жидкост</w:t>
      </w:r>
      <w:r w:rsidRPr="00271E51">
        <w:rPr>
          <w:rFonts w:ascii="Times New Roman" w:hAnsi="Times New Roman"/>
          <w:color w:val="000000" w:themeColor="text1"/>
          <w:sz w:val="16"/>
          <w:szCs w:val="16"/>
        </w:rPr>
        <w:softHyphen/>
        <w:t xml:space="preserve">ного охлаждения АМ-39Б вместо М-71. Он определял назначение самолета как бомбардировщик для дневных и ночных действий на ближних и дальних дистанциях. В известной степени смена моторов обуславливалась </w:t>
      </w:r>
      <w:r w:rsidRPr="00271E51">
        <w:rPr>
          <w:rFonts w:ascii="Times New Roman" w:hAnsi="Times New Roman"/>
          <w:color w:val="000000" w:themeColor="text1"/>
          <w:sz w:val="16"/>
          <w:szCs w:val="16"/>
        </w:rPr>
        <w:lastRenderedPageBreak/>
        <w:t>разочарованием Поликарпова в двигателе воздушного охлаждения М-71. Он писал в пояснительной записке: «В связи с бесперспективностью моторов М-71, под кои проектировался второй летный экземпляр самолета «НБ», мы были вынуждены прикинуть под него уста</w:t>
      </w:r>
      <w:r w:rsidRPr="00271E51">
        <w:rPr>
          <w:rFonts w:ascii="Times New Roman" w:hAnsi="Times New Roman"/>
          <w:color w:val="000000" w:themeColor="text1"/>
          <w:sz w:val="16"/>
          <w:szCs w:val="16"/>
        </w:rPr>
        <w:softHyphen/>
        <w:t>новку моторов М-39 и М-39ТК. Моторы эти ставятся сравнительно хорошо, летные данные получаются не</w:t>
      </w:r>
      <w:r w:rsidRPr="00271E51">
        <w:rPr>
          <w:rFonts w:ascii="Times New Roman" w:hAnsi="Times New Roman"/>
          <w:color w:val="000000" w:themeColor="text1"/>
          <w:sz w:val="16"/>
          <w:szCs w:val="16"/>
        </w:rPr>
        <w:softHyphen/>
        <w:t>плохие. Просим утвердить установку моторов М-39А с ТК или, в крайнем случае, М-39 на самолете «НБ», вто</w:t>
      </w:r>
      <w:r w:rsidRPr="00271E51">
        <w:rPr>
          <w:rFonts w:ascii="Times New Roman" w:hAnsi="Times New Roman"/>
          <w:color w:val="000000" w:themeColor="text1"/>
          <w:sz w:val="16"/>
          <w:szCs w:val="16"/>
        </w:rPr>
        <w:softHyphen/>
        <w:t>рой экземпляр» (10667).</w:t>
      </w:r>
    </w:p>
    <w:p w14:paraId="2722DA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36E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оценки бомбардировщика НБ с моторами АМ-39 и АМ-39ТК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74"/>
        <w:gridCol w:w="854"/>
        <w:gridCol w:w="893"/>
      </w:tblGrid>
      <w:tr w:rsidR="00A907A5" w:rsidRPr="00271E51" w14:paraId="771EE479" w14:textId="77777777" w:rsidTr="00ED5B0A">
        <w:trPr>
          <w:trHeight w:val="259"/>
        </w:trPr>
        <w:tc>
          <w:tcPr>
            <w:tcW w:w="3274" w:type="dxa"/>
            <w:tcBorders>
              <w:top w:val="single" w:sz="12" w:space="0" w:color="auto"/>
            </w:tcBorders>
          </w:tcPr>
          <w:p w14:paraId="732CE8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12" w:space="0" w:color="auto"/>
            </w:tcBorders>
          </w:tcPr>
          <w:p w14:paraId="1CED24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w:t>
            </w:r>
          </w:p>
        </w:tc>
        <w:tc>
          <w:tcPr>
            <w:tcW w:w="893" w:type="dxa"/>
            <w:tcBorders>
              <w:top w:val="single" w:sz="12" w:space="0" w:color="auto"/>
            </w:tcBorders>
          </w:tcPr>
          <w:p w14:paraId="508AC7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АМ-39ТК</w:t>
            </w:r>
          </w:p>
        </w:tc>
      </w:tr>
      <w:tr w:rsidR="00A907A5" w:rsidRPr="00271E51" w14:paraId="77228E56" w14:textId="77777777" w:rsidTr="00ED5B0A">
        <w:trPr>
          <w:trHeight w:val="307"/>
        </w:trPr>
        <w:tc>
          <w:tcPr>
            <w:tcW w:w="3274" w:type="dxa"/>
          </w:tcPr>
          <w:p w14:paraId="772FE5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854" w:type="dxa"/>
          </w:tcPr>
          <w:p w14:paraId="0379B1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EA97C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40CA1A" w14:textId="77777777" w:rsidTr="00ED5B0A">
        <w:trPr>
          <w:trHeight w:val="221"/>
        </w:trPr>
        <w:tc>
          <w:tcPr>
            <w:tcW w:w="3274" w:type="dxa"/>
          </w:tcPr>
          <w:p w14:paraId="03BB5D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номинальной мощности, км/ч</w:t>
            </w:r>
          </w:p>
        </w:tc>
        <w:tc>
          <w:tcPr>
            <w:tcW w:w="854" w:type="dxa"/>
          </w:tcPr>
          <w:p w14:paraId="460D0B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440</w:t>
            </w:r>
          </w:p>
        </w:tc>
        <w:tc>
          <w:tcPr>
            <w:tcW w:w="893" w:type="dxa"/>
          </w:tcPr>
          <w:p w14:paraId="7D88B9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435</w:t>
            </w:r>
          </w:p>
        </w:tc>
      </w:tr>
      <w:tr w:rsidR="00A907A5" w:rsidRPr="00271E51" w14:paraId="175D0AAD" w14:textId="77777777" w:rsidTr="00ED5B0A">
        <w:trPr>
          <w:trHeight w:val="250"/>
        </w:trPr>
        <w:tc>
          <w:tcPr>
            <w:tcW w:w="3274" w:type="dxa"/>
          </w:tcPr>
          <w:p w14:paraId="2D960B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854" w:type="dxa"/>
          </w:tcPr>
          <w:p w14:paraId="703AA5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4E103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483933" w14:textId="77777777" w:rsidTr="00ED5B0A">
        <w:trPr>
          <w:trHeight w:val="240"/>
        </w:trPr>
        <w:tc>
          <w:tcPr>
            <w:tcW w:w="3274" w:type="dxa"/>
          </w:tcPr>
          <w:p w14:paraId="676F51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форсированной мощности, км/ч</w:t>
            </w:r>
          </w:p>
        </w:tc>
        <w:tc>
          <w:tcPr>
            <w:tcW w:w="854" w:type="dxa"/>
          </w:tcPr>
          <w:p w14:paraId="34A341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466</w:t>
            </w:r>
          </w:p>
        </w:tc>
        <w:tc>
          <w:tcPr>
            <w:tcW w:w="893" w:type="dxa"/>
          </w:tcPr>
          <w:p w14:paraId="760386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468</w:t>
            </w:r>
          </w:p>
        </w:tc>
      </w:tr>
      <w:tr w:rsidR="00A907A5" w:rsidRPr="00271E51" w14:paraId="572945AB" w14:textId="77777777" w:rsidTr="00ED5B0A">
        <w:trPr>
          <w:trHeight w:val="240"/>
        </w:trPr>
        <w:tc>
          <w:tcPr>
            <w:tcW w:w="3274" w:type="dxa"/>
          </w:tcPr>
          <w:p w14:paraId="6DC6FE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tc>
        <w:tc>
          <w:tcPr>
            <w:tcW w:w="854" w:type="dxa"/>
          </w:tcPr>
          <w:p w14:paraId="062E49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506</w:t>
            </w:r>
          </w:p>
        </w:tc>
        <w:tc>
          <w:tcPr>
            <w:tcW w:w="893" w:type="dxa"/>
          </w:tcPr>
          <w:p w14:paraId="38C0CA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527</w:t>
            </w:r>
          </w:p>
        </w:tc>
      </w:tr>
      <w:tr w:rsidR="00A907A5" w:rsidRPr="00271E51" w14:paraId="1EF6BDFC" w14:textId="77777777" w:rsidTr="00ED5B0A">
        <w:trPr>
          <w:trHeight w:val="240"/>
        </w:trPr>
        <w:tc>
          <w:tcPr>
            <w:tcW w:w="3274" w:type="dxa"/>
          </w:tcPr>
          <w:p w14:paraId="656295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расчетной высоте</w:t>
            </w:r>
          </w:p>
        </w:tc>
        <w:tc>
          <w:tcPr>
            <w:tcW w:w="854" w:type="dxa"/>
          </w:tcPr>
          <w:p w14:paraId="1200BF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 м)</w:t>
            </w:r>
          </w:p>
        </w:tc>
        <w:tc>
          <w:tcPr>
            <w:tcW w:w="893" w:type="dxa"/>
          </w:tcPr>
          <w:p w14:paraId="41BD87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(8350 м)</w:t>
            </w:r>
          </w:p>
        </w:tc>
      </w:tr>
      <w:tr w:rsidR="00A907A5" w:rsidRPr="00271E51" w14:paraId="55411AF1" w14:textId="77777777" w:rsidTr="00ED5B0A">
        <w:trPr>
          <w:trHeight w:val="240"/>
        </w:trPr>
        <w:tc>
          <w:tcPr>
            <w:tcW w:w="3274" w:type="dxa"/>
          </w:tcPr>
          <w:p w14:paraId="7AE325B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высоту 5000 м, мин.</w:t>
            </w:r>
          </w:p>
        </w:tc>
        <w:tc>
          <w:tcPr>
            <w:tcW w:w="854" w:type="dxa"/>
          </w:tcPr>
          <w:p w14:paraId="772ACE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w:t>
            </w:r>
          </w:p>
        </w:tc>
        <w:tc>
          <w:tcPr>
            <w:tcW w:w="893" w:type="dxa"/>
          </w:tcPr>
          <w:p w14:paraId="402E8F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13,7</w:t>
            </w:r>
          </w:p>
        </w:tc>
      </w:tr>
      <w:tr w:rsidR="00A907A5" w:rsidRPr="00271E51" w14:paraId="5E885B3C" w14:textId="77777777" w:rsidTr="00ED5B0A">
        <w:trPr>
          <w:trHeight w:val="240"/>
        </w:trPr>
        <w:tc>
          <w:tcPr>
            <w:tcW w:w="3274" w:type="dxa"/>
          </w:tcPr>
          <w:p w14:paraId="3DB381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854" w:type="dxa"/>
          </w:tcPr>
          <w:p w14:paraId="2A73E9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8150</w:t>
            </w:r>
          </w:p>
        </w:tc>
        <w:tc>
          <w:tcPr>
            <w:tcW w:w="893" w:type="dxa"/>
          </w:tcPr>
          <w:p w14:paraId="3BDB13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10500</w:t>
            </w:r>
          </w:p>
        </w:tc>
      </w:tr>
      <w:tr w:rsidR="00A907A5" w:rsidRPr="00271E51" w14:paraId="05B62915" w14:textId="77777777" w:rsidTr="00ED5B0A">
        <w:trPr>
          <w:trHeight w:val="240"/>
        </w:trPr>
        <w:tc>
          <w:tcPr>
            <w:tcW w:w="3274" w:type="dxa"/>
          </w:tcPr>
          <w:p w14:paraId="3020F4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Посадочная скорость, км/ч</w:t>
            </w:r>
          </w:p>
        </w:tc>
        <w:tc>
          <w:tcPr>
            <w:tcW w:w="854" w:type="dxa"/>
          </w:tcPr>
          <w:p w14:paraId="7B3F55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w:t>
            </w:r>
          </w:p>
        </w:tc>
        <w:tc>
          <w:tcPr>
            <w:tcW w:w="893" w:type="dxa"/>
          </w:tcPr>
          <w:p w14:paraId="47C904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r>
      <w:tr w:rsidR="00A907A5" w:rsidRPr="00271E51" w14:paraId="5C454F03" w14:textId="77777777" w:rsidTr="00ED5B0A">
        <w:trPr>
          <w:trHeight w:val="240"/>
        </w:trPr>
        <w:tc>
          <w:tcPr>
            <w:tcW w:w="3274" w:type="dxa"/>
          </w:tcPr>
          <w:p w14:paraId="3852C5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при взлете, м</w:t>
            </w:r>
          </w:p>
        </w:tc>
        <w:tc>
          <w:tcPr>
            <w:tcW w:w="854" w:type="dxa"/>
          </w:tcPr>
          <w:p w14:paraId="5A7BF6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790</w:t>
            </w:r>
          </w:p>
        </w:tc>
        <w:tc>
          <w:tcPr>
            <w:tcW w:w="893" w:type="dxa"/>
          </w:tcPr>
          <w:p w14:paraId="609F59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790</w:t>
            </w:r>
          </w:p>
        </w:tc>
      </w:tr>
      <w:tr w:rsidR="00A907A5" w:rsidRPr="00271E51" w14:paraId="1532ADB4" w14:textId="77777777" w:rsidTr="00ED5B0A">
        <w:trPr>
          <w:trHeight w:val="240"/>
        </w:trPr>
        <w:tc>
          <w:tcPr>
            <w:tcW w:w="3274" w:type="dxa"/>
          </w:tcPr>
          <w:p w14:paraId="69F506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пробега при посадке, м</w:t>
            </w:r>
          </w:p>
        </w:tc>
        <w:tc>
          <w:tcPr>
            <w:tcW w:w="854" w:type="dxa"/>
          </w:tcPr>
          <w:p w14:paraId="7810B3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965</w:t>
            </w:r>
          </w:p>
        </w:tc>
        <w:tc>
          <w:tcPr>
            <w:tcW w:w="893" w:type="dxa"/>
          </w:tcPr>
          <w:p w14:paraId="33BDD8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965</w:t>
            </w:r>
          </w:p>
        </w:tc>
      </w:tr>
      <w:tr w:rsidR="00A907A5" w:rsidRPr="00271E51" w14:paraId="699615EE" w14:textId="77777777" w:rsidTr="00ED5B0A">
        <w:trPr>
          <w:trHeight w:val="278"/>
        </w:trPr>
        <w:tc>
          <w:tcPr>
            <w:tcW w:w="3274" w:type="dxa"/>
            <w:tcBorders>
              <w:bottom w:val="single" w:sz="12" w:space="0" w:color="auto"/>
            </w:tcBorders>
          </w:tcPr>
          <w:p w14:paraId="543E90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на 0,8Утах, км</w:t>
            </w:r>
          </w:p>
        </w:tc>
        <w:tc>
          <w:tcPr>
            <w:tcW w:w="854" w:type="dxa"/>
            <w:tcBorders>
              <w:bottom w:val="single" w:sz="12" w:space="0" w:color="auto"/>
            </w:tcBorders>
          </w:tcPr>
          <w:p w14:paraId="7F3D74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2607</w:t>
            </w:r>
          </w:p>
        </w:tc>
        <w:tc>
          <w:tcPr>
            <w:tcW w:w="893" w:type="dxa"/>
            <w:tcBorders>
              <w:bottom w:val="single" w:sz="12" w:space="0" w:color="auto"/>
            </w:tcBorders>
          </w:tcPr>
          <w:p w14:paraId="73B7B4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2607</w:t>
            </w:r>
          </w:p>
        </w:tc>
      </w:tr>
    </w:tbl>
    <w:p w14:paraId="3DD438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(10667).</w:t>
      </w:r>
    </w:p>
    <w:p w14:paraId="11932B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63A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работая над проектом НБ, из анализа тенденций данного вида тех</w:t>
      </w:r>
      <w:r w:rsidRPr="00271E51">
        <w:rPr>
          <w:rFonts w:ascii="Times New Roman" w:hAnsi="Times New Roman"/>
          <w:color w:val="000000" w:themeColor="text1"/>
          <w:sz w:val="16"/>
          <w:szCs w:val="16"/>
        </w:rPr>
        <w:softHyphen/>
        <w:t>ники Николай Николаевич понял, что и НБ, и другие дальние бомбардировщики скоро не будут удовлетво</w:t>
      </w:r>
      <w:r w:rsidRPr="00271E51">
        <w:rPr>
          <w:rFonts w:ascii="Times New Roman" w:hAnsi="Times New Roman"/>
          <w:color w:val="000000" w:themeColor="text1"/>
          <w:sz w:val="16"/>
          <w:szCs w:val="16"/>
        </w:rPr>
        <w:softHyphen/>
        <w:t>рять перспективным требованиям. На повестке дня стояла задача создания тяжелого стратегического бомбар</w:t>
      </w:r>
      <w:r w:rsidRPr="00271E51">
        <w:rPr>
          <w:rFonts w:ascii="Times New Roman" w:hAnsi="Times New Roman"/>
          <w:color w:val="000000" w:themeColor="text1"/>
          <w:sz w:val="16"/>
          <w:szCs w:val="16"/>
        </w:rPr>
        <w:softHyphen/>
        <w:t>дировщика с хорошими летными характеристиками и большой бомбовой нагрузкой. Опыт боевого примене</w:t>
      </w:r>
      <w:r w:rsidRPr="00271E51">
        <w:rPr>
          <w:rFonts w:ascii="Times New Roman" w:hAnsi="Times New Roman"/>
          <w:color w:val="000000" w:themeColor="text1"/>
          <w:sz w:val="16"/>
          <w:szCs w:val="16"/>
        </w:rPr>
        <w:softHyphen/>
        <w:t>ния Пе-8, авиации союзников против Германии и Япо</w:t>
      </w:r>
      <w:r w:rsidRPr="00271E51">
        <w:rPr>
          <w:rFonts w:ascii="Times New Roman" w:hAnsi="Times New Roman"/>
          <w:color w:val="000000" w:themeColor="text1"/>
          <w:sz w:val="16"/>
          <w:szCs w:val="16"/>
        </w:rPr>
        <w:softHyphen/>
        <w:t>нии показал, что воздушные налеты имеют успех, если бомбардировщики имеют мощное оборонительное во</w:t>
      </w:r>
      <w:r w:rsidRPr="00271E51">
        <w:rPr>
          <w:rFonts w:ascii="Times New Roman" w:hAnsi="Times New Roman"/>
          <w:color w:val="000000" w:themeColor="text1"/>
          <w:sz w:val="16"/>
          <w:szCs w:val="16"/>
        </w:rPr>
        <w:softHyphen/>
        <w:t>оружение, способное на дальних дистанциях расстрели</w:t>
      </w:r>
      <w:r w:rsidRPr="00271E51">
        <w:rPr>
          <w:rFonts w:ascii="Times New Roman" w:hAnsi="Times New Roman"/>
          <w:color w:val="000000" w:themeColor="text1"/>
          <w:sz w:val="16"/>
          <w:szCs w:val="16"/>
        </w:rPr>
        <w:softHyphen/>
        <w:t>вать атакующие истребители ПВО противника, обладают хорошей живучестью (10667).</w:t>
      </w:r>
    </w:p>
    <w:p w14:paraId="7C6E92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379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г. началось проек</w:t>
      </w:r>
      <w:r w:rsidRPr="00271E51">
        <w:rPr>
          <w:rFonts w:ascii="Times New Roman" w:hAnsi="Times New Roman"/>
          <w:color w:val="000000" w:themeColor="text1"/>
          <w:sz w:val="16"/>
          <w:szCs w:val="16"/>
        </w:rPr>
        <w:softHyphen/>
        <w:t>тирование высотного перехватчика (отсюда и его обо</w:t>
      </w:r>
      <w:r w:rsidRPr="00271E51">
        <w:rPr>
          <w:rFonts w:ascii="Times New Roman" w:hAnsi="Times New Roman"/>
          <w:color w:val="000000" w:themeColor="text1"/>
          <w:sz w:val="16"/>
          <w:szCs w:val="16"/>
        </w:rPr>
        <w:softHyphen/>
        <w:t>значение «ВП»; другое обозначение «К» - по заводской документации) Н.Н.П. Оно проводи</w:t>
      </w:r>
      <w:r w:rsidRPr="00271E51">
        <w:rPr>
          <w:rFonts w:ascii="Times New Roman" w:hAnsi="Times New Roman"/>
          <w:color w:val="000000" w:themeColor="text1"/>
          <w:sz w:val="16"/>
          <w:szCs w:val="16"/>
        </w:rPr>
        <w:softHyphen/>
        <w:t>лось на основе опыта, полученного при работе по истре</w:t>
      </w:r>
      <w:r w:rsidRPr="00271E51">
        <w:rPr>
          <w:rFonts w:ascii="Times New Roman" w:hAnsi="Times New Roman"/>
          <w:color w:val="000000" w:themeColor="text1"/>
          <w:sz w:val="16"/>
          <w:szCs w:val="16"/>
        </w:rPr>
        <w:softHyphen/>
        <w:t>бителям И-185 - И-188. Первоначально планировалось поставить двигатель М-71Ф с двумя турбокомпрессорами для повышения высотности. Первый вариант эскизного проекта завер</w:t>
      </w:r>
      <w:r w:rsidRPr="00271E51">
        <w:rPr>
          <w:rFonts w:ascii="Times New Roman" w:hAnsi="Times New Roman"/>
          <w:color w:val="000000" w:themeColor="text1"/>
          <w:sz w:val="16"/>
          <w:szCs w:val="16"/>
        </w:rPr>
        <w:softHyphen/>
        <w:t>шили к 2 ноября. Согласно предварительным планам, летные испытания ВП должны начаться в конце второ</w:t>
      </w:r>
      <w:r w:rsidRPr="00271E51">
        <w:rPr>
          <w:rFonts w:ascii="Times New Roman" w:hAnsi="Times New Roman"/>
          <w:color w:val="000000" w:themeColor="text1"/>
          <w:sz w:val="16"/>
          <w:szCs w:val="16"/>
        </w:rPr>
        <w:softHyphen/>
        <w:t>го квартала 1944 г. Ввиду разочарования Поликарпова в моторе М-71, первый вариант проекта переделали сна</w:t>
      </w:r>
      <w:r w:rsidRPr="00271E51">
        <w:rPr>
          <w:rFonts w:ascii="Times New Roman" w:hAnsi="Times New Roman"/>
          <w:color w:val="000000" w:themeColor="text1"/>
          <w:sz w:val="16"/>
          <w:szCs w:val="16"/>
        </w:rPr>
        <w:softHyphen/>
        <w:t>чала под АМ-39А с турбокомпрессором ТК-300, затем под АМ-39Б с ТК-3 и, окончательно, под АМ-39Б с ТК-ЗООБ. Все это вместе с требованиями по увеличению площади радиаторов, расположенных в крыле, привело к необходимости существенной переработки конструк</w:t>
      </w:r>
      <w:r w:rsidRPr="00271E51">
        <w:rPr>
          <w:rFonts w:ascii="Times New Roman" w:hAnsi="Times New Roman"/>
          <w:color w:val="000000" w:themeColor="text1"/>
          <w:sz w:val="16"/>
          <w:szCs w:val="16"/>
        </w:rPr>
        <w:softHyphen/>
        <w:t>ции и эскизный проект ВП (К) был закончен только в летом 1944 г. Срок предъявления ВП на испытания пе</w:t>
      </w:r>
      <w:r w:rsidRPr="00271E51">
        <w:rPr>
          <w:rFonts w:ascii="Times New Roman" w:hAnsi="Times New Roman"/>
          <w:color w:val="000000" w:themeColor="text1"/>
          <w:sz w:val="16"/>
          <w:szCs w:val="16"/>
        </w:rPr>
        <w:softHyphen/>
        <w:t>ренесли на декабрь 1944 г. ВП представлял собой низкоплан с цельнометалличе</w:t>
      </w:r>
      <w:r w:rsidRPr="00271E51">
        <w:rPr>
          <w:rFonts w:ascii="Times New Roman" w:hAnsi="Times New Roman"/>
          <w:color w:val="000000" w:themeColor="text1"/>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Вооружение состояло из двух 23-мм пушек. С мотором АМ-39А истребитель мог развить максималь</w:t>
      </w:r>
      <w:r w:rsidRPr="00271E51">
        <w:rPr>
          <w:rFonts w:ascii="Times New Roman" w:hAnsi="Times New Roman"/>
          <w:color w:val="000000" w:themeColor="text1"/>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271E51">
        <w:rPr>
          <w:rFonts w:ascii="Times New Roman" w:hAnsi="Times New Roman"/>
          <w:color w:val="000000" w:themeColor="text1"/>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271E51">
        <w:rPr>
          <w:rFonts w:ascii="Times New Roman" w:hAnsi="Times New Roman"/>
          <w:color w:val="000000" w:themeColor="text1"/>
          <w:sz w:val="16"/>
          <w:szCs w:val="16"/>
        </w:rPr>
        <w:softHyphen/>
        <w:t>ниям, предъявляемым к высотным перехватчикам. Ма</w:t>
      </w:r>
      <w:r w:rsidRPr="00271E51">
        <w:rPr>
          <w:rFonts w:ascii="Times New Roman" w:hAnsi="Times New Roman"/>
          <w:color w:val="000000" w:themeColor="text1"/>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271E51">
        <w:rPr>
          <w:rFonts w:ascii="Times New Roman" w:hAnsi="Times New Roman"/>
          <w:color w:val="000000" w:themeColor="text1"/>
          <w:sz w:val="16"/>
          <w:szCs w:val="16"/>
        </w:rPr>
        <w:softHyphen/>
        <w:t>ли, что он не является оптимальным на высотах. Поэто</w:t>
      </w:r>
      <w:r w:rsidRPr="00271E51">
        <w:rPr>
          <w:rFonts w:ascii="Times New Roman" w:hAnsi="Times New Roman"/>
          <w:color w:val="000000" w:themeColor="text1"/>
          <w:sz w:val="16"/>
          <w:szCs w:val="16"/>
        </w:rPr>
        <w:softHyphen/>
        <w:t>му для второго экземпляра решили изготовить новое крыло с профилем, рекомендованным ЦАГИ. Кроме то</w:t>
      </w:r>
      <w:r w:rsidRPr="00271E51">
        <w:rPr>
          <w:rFonts w:ascii="Times New Roman" w:hAnsi="Times New Roman"/>
          <w:color w:val="000000" w:themeColor="text1"/>
          <w:sz w:val="16"/>
          <w:szCs w:val="16"/>
        </w:rPr>
        <w:softHyphen/>
        <w:t>го, на нем предполагалось установить более высокое шасси, необходимое для использования винта с боль</w:t>
      </w:r>
      <w:r w:rsidRPr="00271E51">
        <w:rPr>
          <w:rFonts w:ascii="Times New Roman" w:hAnsi="Times New Roman"/>
          <w:color w:val="000000" w:themeColor="text1"/>
          <w:sz w:val="16"/>
          <w:szCs w:val="16"/>
        </w:rPr>
        <w:softHyphen/>
        <w:t>шим диаметром (10667).</w:t>
      </w:r>
    </w:p>
    <w:p w14:paraId="5558FD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F044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английский журнал “Flight” опуб</w:t>
      </w:r>
      <w:r w:rsidRPr="00271E51">
        <w:rPr>
          <w:rFonts w:ascii="Times New Roman" w:hAnsi="Times New Roman"/>
          <w:color w:val="000000" w:themeColor="text1"/>
          <w:sz w:val="16"/>
          <w:szCs w:val="16"/>
        </w:rPr>
        <w:softHyphen/>
        <w:t>ликовал статью о Н.Н.Поликарпове и небольшое ин</w:t>
      </w:r>
      <w:r w:rsidRPr="00271E51">
        <w:rPr>
          <w:rFonts w:ascii="Times New Roman" w:hAnsi="Times New Roman"/>
          <w:color w:val="000000" w:themeColor="text1"/>
          <w:sz w:val="16"/>
          <w:szCs w:val="16"/>
        </w:rPr>
        <w:softHyphen/>
        <w:t>тервью с ним, о том, что он является хозяином большого современного предприятия, способного ре</w:t>
      </w:r>
      <w:r w:rsidRPr="00271E51">
        <w:rPr>
          <w:rFonts w:ascii="Times New Roman" w:hAnsi="Times New Roman"/>
          <w:color w:val="000000" w:themeColor="text1"/>
          <w:sz w:val="16"/>
          <w:szCs w:val="16"/>
        </w:rPr>
        <w:softHyphen/>
        <w:t>шать сложные задачи, описал боевое применение неко</w:t>
      </w:r>
      <w:r w:rsidRPr="00271E51">
        <w:rPr>
          <w:rFonts w:ascii="Times New Roman" w:hAnsi="Times New Roman"/>
          <w:color w:val="000000" w:themeColor="text1"/>
          <w:sz w:val="16"/>
          <w:szCs w:val="16"/>
        </w:rPr>
        <w:softHyphen/>
        <w:t>торых поликарповских машин на фронте. В статье не соответствовали истине размер фирмы, но в остальном все было правильно: конструкторский коллектив неус</w:t>
      </w:r>
      <w:r w:rsidRPr="00271E51">
        <w:rPr>
          <w:rFonts w:ascii="Times New Roman" w:hAnsi="Times New Roman"/>
          <w:color w:val="000000" w:themeColor="text1"/>
          <w:sz w:val="16"/>
          <w:szCs w:val="16"/>
        </w:rPr>
        <w:softHyphen/>
        <w:t>танно работал над созданием новой боевой техники (10667).</w:t>
      </w:r>
    </w:p>
    <w:p w14:paraId="098C09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9E5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после доводочных испытаний сделанный в июле 1943 согласно принятому в июне 1942 решению самолет Ту-2Р на базе N 406 был передан на гос. испытания. На самолете был дополнительный бензобак на 750 л и доработали топливную систему. Фотооборудование включало два качающихся АФА-3с/50 (1835,53).</w:t>
      </w:r>
    </w:p>
    <w:p w14:paraId="7FC5C6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356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согласно приказа N 523с от 31 августа 1943 г., самолет Пе-2 с 2М-105ПД был передан заводу N 482 и ЛИИ для доводки винтомоторной группы, герметической кабины. После доводки винтомоторной группы, в ЛИИ самолет произвел 9 полетов, в течении которых имело место попадание газов из цилиндра в рубашку блока у одного из моторов. За время летных испытаний на самолете достигнута наибольшая высота 10500 м. По заключению ЛИИ практический потолок самолета не превышает 11000 м. (1825,208).</w:t>
      </w:r>
    </w:p>
    <w:p w14:paraId="553A75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1DA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прошли испытания Пе-8 с М-82 на максимальную дальность полёта Предстояло выбрать трассу протяжённостью не менее 5000 км, в конце которой требовалось сбросить 3000 кг бомб. Продолжительность полёта планировалась порядка 15 часов. После рассмотрения ряда вариантов, остановились на маршруте в Среднюю Азию со сбросом бомб в пустыне за Ташкентом.</w:t>
      </w:r>
    </w:p>
    <w:p w14:paraId="481BBC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Самолёт стартовал в Казани, долетел до полигона и сбросил бомбы, а затем лёг на обратный курс. После посадки в баках ещё оставалось топливо. По результатам этих испытаний подсчитали, что Пе-8 с М-82 при полётном весе 35 000 кг (с 2000 кг бомб) имел дальность 5800 км.</w:t>
      </w:r>
    </w:p>
    <w:p w14:paraId="6B241E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установкой М-82 вместо АМ-35А улучшились взлётные характеристики (разбег стал короче на 20%), дальность с 3000 кг бомб возросла до 4400 км, за счёт отсутствия системы водяного охлаждения повысилась боевая живучесть. Однако скорость упала примерно на 10 км/ч, а потолок - на 1000 м.</w:t>
      </w:r>
    </w:p>
    <w:p w14:paraId="63B913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Результаты испытаний легли в основу решения о запуске новой модификации в серию. Опытный образец стал эталоном на 1943 г., до конца 1942 г. завод выпустил ещё один Пе-8 с моторами М-82.</w:t>
      </w:r>
    </w:p>
    <w:p w14:paraId="4E23B6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 и выбирать особо не приходилось. Уже в первой половине 1942 г. начались задержки с поставками АМ-35А, а уже Дементьев предупредил Незваля, что АМ-35А для Пе-8 больше выделяться не будут. Так что на последние машины выпуска 1942 г. их наскребали из всех возможных мест. Рассчитывать могли только на М-82, какие бы недостатки эти двигатели не имели на начальном этапе.</w:t>
      </w:r>
    </w:p>
    <w:p w14:paraId="4B1ED2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1943 - 1944 гг. завод № 22 ритмично, по одной-две машины в месяц, сдавал бомбардировщики с М-82 (АШ-82). Всего за 1943 г. выпустили 18 таких самолётов (11996).</w:t>
      </w:r>
    </w:p>
    <w:p w14:paraId="788BE5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676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Нарком приказал заводу № 22 спроектировать и изготовить модернизированный Пе-8 с улучшенной аэродинамикой, увеличенной бомбовой нагрузкой (до 6 тонн) и моторами М-82ФН. Самолет с полностью закапотированными колесами, уменьшенным миделем фюзеляжа и переделанной носовой частью, где пилоты разместятся рядом, предъявить на испытания к 1 апреля 1944 г. (12049).</w:t>
      </w:r>
    </w:p>
    <w:p w14:paraId="6F3BAA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8EC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 заводе № 22 закончилась проверка, проведенная старшим контролером Наркомата госконтроля. Вот некоторые выписки из его Акта:</w:t>
      </w:r>
    </w:p>
    <w:p w14:paraId="5A2305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августе завод должен был сдать 50 Пе-2 с М-82, но не сдал, так как не отработана винтомоторная группа и присутствуют грубые конструктивные дефекты самолета с передней центровкой. Технологическая дисциплина низка. Большинство плазов и шаблонов изготовления крыла неисправно, некоторые отсутствуют вовсе. В лонжеронном цехе наблюдаются отклонения от технологии. Фиксируются трещины в моторных рамах.</w:t>
      </w:r>
    </w:p>
    <w:p w14:paraId="0C9BE9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августа на заводе потерпел аварию Пе-2 № 4/224 из-за неисправного бензопровода. Из частей приходит информация о разрушении моторам (трещины), разрушении коков винтов (на Пе-2 № 15/137 коком в полете убит летчик), трещинах в бензотрубах, обнаружении выпадения и болтания заклепок.</w:t>
      </w:r>
    </w:p>
    <w:p w14:paraId="546612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находится под открытым небом 340 тонн импортного дюраля, наблюдается локальная коррозия, а на листах с заводов № 95 и № 150 НКАП (41 тонна) сплошная коррозия. В сентябре с завода № 39 прибыл вагон с заделом (самолетов Пе-3 - авт.), детали свалены в кучи и разбросаны по цехам.</w:t>
      </w:r>
    </w:p>
    <w:p w14:paraId="6AE28F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излишки двигателей и перерасход спирта» (12049).</w:t>
      </w:r>
    </w:p>
    <w:p w14:paraId="10A156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A8189"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октябре 1943 г. ОКБ Поликарпова из 7-го Главного управления НКАП перешло в подчинение 18-го Главного управ</w:t>
      </w:r>
      <w:r w:rsidRPr="00271E51">
        <w:rPr>
          <w:color w:val="000000" w:themeColor="text1"/>
          <w:sz w:val="16"/>
          <w:szCs w:val="16"/>
        </w:rPr>
        <w:softHyphen/>
        <w:t>ления наркомата, в задачу которого входило разви</w:t>
      </w:r>
      <w:r w:rsidRPr="00271E51">
        <w:rPr>
          <w:color w:val="000000" w:themeColor="text1"/>
          <w:sz w:val="16"/>
          <w:szCs w:val="16"/>
        </w:rPr>
        <w:softHyphen/>
        <w:t xml:space="preserve">тие реактивной техники. Одной из тематик главка являлось создание самолета-снаряда с ракетным двигателем (прообраз крылатой ракеты) по типу немецкого снаряда </w:t>
      </w:r>
      <w:r w:rsidRPr="00271E51">
        <w:rPr>
          <w:color w:val="000000" w:themeColor="text1"/>
          <w:sz w:val="16"/>
          <w:szCs w:val="16"/>
          <w:lang w:val="en-US"/>
        </w:rPr>
        <w:t>Fi</w:t>
      </w:r>
      <w:r w:rsidRPr="00271E51">
        <w:rPr>
          <w:color w:val="000000" w:themeColor="text1"/>
          <w:sz w:val="16"/>
          <w:szCs w:val="16"/>
        </w:rPr>
        <w:t xml:space="preserve"> 103 (</w:t>
      </w:r>
      <w:r w:rsidRPr="00271E51">
        <w:rPr>
          <w:color w:val="000000" w:themeColor="text1"/>
          <w:sz w:val="16"/>
          <w:szCs w:val="16"/>
          <w:lang w:val="en-US"/>
        </w:rPr>
        <w:t>V</w:t>
      </w:r>
      <w:r w:rsidRPr="00271E51">
        <w:rPr>
          <w:color w:val="000000" w:themeColor="text1"/>
          <w:sz w:val="16"/>
          <w:szCs w:val="16"/>
        </w:rPr>
        <w:t>-1), ответственным ис</w:t>
      </w:r>
      <w:r w:rsidRPr="00271E51">
        <w:rPr>
          <w:color w:val="000000" w:themeColor="text1"/>
          <w:sz w:val="16"/>
          <w:szCs w:val="16"/>
        </w:rPr>
        <w:softHyphen/>
        <w:t>полнителем по которому являлся Н. Н. Поликарпов. Фактически это означало отлучение Поликарпова от самолетного направления и, как следствие, сни</w:t>
      </w:r>
      <w:r w:rsidRPr="00271E51">
        <w:rPr>
          <w:color w:val="000000" w:themeColor="text1"/>
          <w:sz w:val="16"/>
          <w:szCs w:val="16"/>
        </w:rPr>
        <w:softHyphen/>
        <w:t>жение интереса заказывающих органов ВВС к опыт</w:t>
      </w:r>
      <w:r w:rsidRPr="00271E51">
        <w:rPr>
          <w:color w:val="000000" w:themeColor="text1"/>
          <w:sz w:val="16"/>
          <w:szCs w:val="16"/>
        </w:rPr>
        <w:softHyphen/>
        <w:t>ным самолетам, которые отрабатывались на заво</w:t>
      </w:r>
      <w:r w:rsidRPr="00271E51">
        <w:rPr>
          <w:color w:val="000000" w:themeColor="text1"/>
          <w:sz w:val="16"/>
          <w:szCs w:val="16"/>
        </w:rPr>
        <w:softHyphen/>
        <w:t>де № 51.</w:t>
      </w:r>
    </w:p>
    <w:p w14:paraId="14982091"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Надо полагать, Яковлев, заранее зная о готовя</w:t>
      </w:r>
      <w:r w:rsidRPr="00271E51">
        <w:rPr>
          <w:color w:val="000000" w:themeColor="text1"/>
          <w:sz w:val="16"/>
          <w:szCs w:val="16"/>
        </w:rPr>
        <w:softHyphen/>
        <w:t>щемся выделении ОКБ Поликарпова в состав 18-го ГУ НКАП, решил сыграть на опережение. Приказ от 13 июля следует рассматривать в том числе и как одно из мероприятий в рамках подготовки вопро</w:t>
      </w:r>
      <w:r w:rsidRPr="00271E51">
        <w:rPr>
          <w:color w:val="000000" w:themeColor="text1"/>
          <w:sz w:val="16"/>
          <w:szCs w:val="16"/>
        </w:rPr>
        <w:softHyphen/>
        <w:t>са о целесообразности перевода ОКБ Поликарпова в реактивный главк перед вынесением его на засе</w:t>
      </w:r>
      <w:r w:rsidRPr="00271E51">
        <w:rPr>
          <w:color w:val="000000" w:themeColor="text1"/>
          <w:sz w:val="16"/>
          <w:szCs w:val="16"/>
        </w:rPr>
        <w:softHyphen/>
        <w:t>дание ГКО (17500).</w:t>
      </w:r>
    </w:p>
    <w:p w14:paraId="2B260C34"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6DAF03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Ще-2 был запущен в серию на 47 заводе в Чкалове - уникальный случай в годы войны, но повезло, так как перестали делать Як-6 и А.Я.Щербаков туда поехал с ОКБ (576,4).</w:t>
      </w:r>
    </w:p>
    <w:p w14:paraId="6E1AB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ED5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М-106ПВ («повышенной высотности»), вариант с двухступенчатым ПЦН Э-100 с гидромуфтой, аналогичный М-105ПД испытывался на истребителе Як-9ПД. В 1944 г. увеличили обо</w:t>
      </w:r>
      <w:r w:rsidRPr="00271E51">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271E51">
        <w:rPr>
          <w:rFonts w:ascii="Times New Roman" w:hAnsi="Times New Roman"/>
          <w:color w:val="000000" w:themeColor="text1"/>
          <w:sz w:val="16"/>
          <w:szCs w:val="16"/>
        </w:rPr>
        <w:softHyphen/>
        <w:t>ся на Як-9ПД в апреле 1944 г. Было выпущено более 50 модерни</w:t>
      </w:r>
      <w:r w:rsidRPr="00271E51">
        <w:rPr>
          <w:rFonts w:ascii="Times New Roman" w:hAnsi="Times New Roman"/>
          <w:color w:val="000000" w:themeColor="text1"/>
          <w:sz w:val="16"/>
          <w:szCs w:val="16"/>
        </w:rPr>
        <w:softHyphen/>
        <w:t>зированных М-106ПВ. На этом типе двигателя устанавливалась об</w:t>
      </w:r>
      <w:r w:rsidRPr="00271E51">
        <w:rPr>
          <w:rFonts w:ascii="Times New Roman" w:hAnsi="Times New Roman"/>
          <w:color w:val="000000" w:themeColor="text1"/>
          <w:sz w:val="16"/>
          <w:szCs w:val="16"/>
        </w:rPr>
        <w:softHyphen/>
        <w:t>легченная пушка ША-20М (20 мм) (11852).</w:t>
      </w:r>
    </w:p>
    <w:p w14:paraId="7E248D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64314D" w14:textId="77777777" w:rsidR="00BA6FD2" w:rsidRPr="00271E51" w:rsidRDefault="00BA6FD2"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октябре 1943 г. был предложен на рассмотрение еще один проект ЦАГИ, который существенно отличался от предыдущих проектов. Самолет по этому проекту предполагалось ис пользовать, как фоторазведчик без вооружения. На самолете для ухода от истребителей противника предполагалось уста новить под крыльями два почти что турбореактивных двига теля. Турбина, вращающая компрессор, приводилась в дей ствие выхлопными газами от ПД АЧ-30Б, который был дизе лем, использующимся на тяжелых бомбардировщиках Пе-8 и Ер-2. При этом была учтена экономичность двигателя и воз можность противодавления на выхлопе. Выхлопные газы пред полагалось по теплоизолированным трубам в носках крыльев подводить к ВРДК, размещенным в обтекаемых гондолах. Ком пактность компоновки обеспечивала малые потери скоростно го напора в воздухозаборнике, а короткая выхлопная труба гарантировала низкое гидравлическое сопротивление. В этой  схеме отсутствовали массивный редуктор и валы, что давало •• самолету иметь хорошую весовую отдачу. Такой фоторазвед-' чик должен был держаться в воздухе в течение 3 ч, и в случав атаки на него истребителей противника летчик включал ВРДК и на скорости 800 км/ч с набором высоты он мог уйти от преследования (19586).</w:t>
      </w:r>
    </w:p>
    <w:p w14:paraId="2DC45048" w14:textId="77777777" w:rsidR="00BA6FD2" w:rsidRPr="00271E51" w:rsidRDefault="00BA6FD2" w:rsidP="00271E51">
      <w:pPr>
        <w:pStyle w:val="ae"/>
        <w:shd w:val="clear" w:color="auto" w:fill="FFFFFF"/>
        <w:spacing w:before="0" w:after="0"/>
        <w:jc w:val="both"/>
        <w:rPr>
          <w:color w:val="000000" w:themeColor="text1"/>
          <w:sz w:val="16"/>
          <w:szCs w:val="16"/>
        </w:rPr>
      </w:pPr>
    </w:p>
    <w:p w14:paraId="5F48B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 ЦАГИ в отделе реактивных систем во главес Г.Н.Абрамовичем был разработан проект и с дизель-мотором и двумя ВРД (3808,81).</w:t>
      </w:r>
    </w:p>
    <w:p w14:paraId="039E2A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844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А.Прошаков испытывал в НИИ ВВС Ме-109Г-4 (1134,27).</w:t>
      </w:r>
    </w:p>
    <w:p w14:paraId="4F052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BAA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ПС-30 совершил спецрейс. На нем вывезли в Хабаровск экипажи американских бомбардировщиков, совершивших вынужденные посадки на Камчатке. Согласно советско-японскому договору они считались интернированными. Затем летчики проследовали под Ташкент, где организовали сборный лагерь. Оттуда американцев в тайне от японского посольства перебрасывали на базы в Иране. Интенсивность полетов ПС-30 ограничивалась нехваткой авиабензина в Петропавловске, но все равно итог за 1943 год составил 115 летных часов (8943).</w:t>
      </w:r>
    </w:p>
    <w:p w14:paraId="15C00D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A5BD4" w14:textId="77777777" w:rsidR="007C0FF9" w:rsidRPr="00271E51" w:rsidRDefault="007C0FF9" w:rsidP="00271E51">
      <w:pPr>
        <w:pStyle w:val="article-renderblock"/>
        <w:shd w:val="clear" w:color="auto" w:fill="FFFFFF"/>
        <w:spacing w:before="0" w:beforeAutospacing="0" w:after="0" w:afterAutospacing="0"/>
        <w:jc w:val="both"/>
        <w:rPr>
          <w:color w:val="0070C0"/>
          <w:sz w:val="16"/>
          <w:szCs w:val="16"/>
          <w:shd w:val="clear" w:color="auto" w:fill="FFFFFF"/>
        </w:rPr>
      </w:pPr>
      <w:r w:rsidRPr="00271E51">
        <w:rPr>
          <w:color w:val="0070C0"/>
          <w:sz w:val="16"/>
          <w:szCs w:val="16"/>
          <w:shd w:val="clear" w:color="auto" w:fill="FFFFFF"/>
        </w:rPr>
        <w:t>В октябре </w:t>
      </w:r>
      <w:hyperlink r:id="rId119" w:tooltip="1943 год" w:history="1">
        <w:r w:rsidRPr="00271E51">
          <w:rPr>
            <w:rStyle w:val="a5"/>
            <w:color w:val="0070C0"/>
            <w:sz w:val="16"/>
            <w:szCs w:val="16"/>
            <w:shd w:val="clear" w:color="auto" w:fill="FFFFFF"/>
          </w:rPr>
          <w:t>1943 года</w:t>
        </w:r>
      </w:hyperlink>
      <w:r w:rsidRPr="00271E51">
        <w:rPr>
          <w:color w:val="0070C0"/>
          <w:sz w:val="16"/>
          <w:szCs w:val="16"/>
          <w:shd w:val="clear" w:color="auto" w:fill="FFFFFF"/>
        </w:rPr>
        <w:t> самолёт был запущен в производство на заводе № 47 (теперь это ФГУП ПО «Стрела») в городе Чкалове (</w:t>
      </w:r>
      <w:hyperlink r:id="rId120" w:tooltip="Оренбург" w:history="1">
        <w:r w:rsidRPr="00271E51">
          <w:rPr>
            <w:rStyle w:val="a5"/>
            <w:color w:val="0070C0"/>
            <w:sz w:val="16"/>
            <w:szCs w:val="16"/>
            <w:shd w:val="clear" w:color="auto" w:fill="FFFFFF"/>
          </w:rPr>
          <w:t>Оренбурге</w:t>
        </w:r>
      </w:hyperlink>
      <w:r w:rsidRPr="00271E51">
        <w:rPr>
          <w:color w:val="0070C0"/>
          <w:sz w:val="16"/>
          <w:szCs w:val="16"/>
          <w:shd w:val="clear" w:color="auto" w:fill="FFFFFF"/>
        </w:rPr>
        <w:t>) под названием Ще-2. Было выпущено 567 машин (19837).</w:t>
      </w:r>
    </w:p>
    <w:p w14:paraId="2EB1A8C3" w14:textId="77777777" w:rsidR="007C0FF9" w:rsidRPr="00271E51" w:rsidRDefault="007C0FF9" w:rsidP="00271E51">
      <w:pPr>
        <w:pStyle w:val="article-renderblock"/>
        <w:shd w:val="clear" w:color="auto" w:fill="FFFFFF"/>
        <w:spacing w:before="0" w:beforeAutospacing="0" w:after="0" w:afterAutospacing="0"/>
        <w:jc w:val="both"/>
        <w:rPr>
          <w:color w:val="0070C0"/>
          <w:sz w:val="16"/>
          <w:szCs w:val="16"/>
        </w:rPr>
      </w:pPr>
    </w:p>
    <w:p w14:paraId="70A40506" w14:textId="77777777" w:rsidR="007C0FF9" w:rsidRPr="00271E51" w:rsidRDefault="007C0FF9"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 xml:space="preserve">В октябре 1943 г. на самолете Ю-52 Л-23 смонтировали специально разработанные в НИИ ГВФ лыжи для Ю-52 (21550). </w:t>
      </w:r>
    </w:p>
    <w:p w14:paraId="5F619C42" w14:textId="77777777" w:rsidR="007C0FF9" w:rsidRPr="00271E51" w:rsidRDefault="007C0FF9" w:rsidP="00271E51">
      <w:pPr>
        <w:pStyle w:val="article-renderblock"/>
        <w:shd w:val="clear" w:color="auto" w:fill="FFFFFF"/>
        <w:spacing w:before="0" w:beforeAutospacing="0" w:after="0" w:afterAutospacing="0"/>
        <w:jc w:val="both"/>
        <w:rPr>
          <w:color w:val="0070C0"/>
          <w:sz w:val="16"/>
          <w:szCs w:val="16"/>
        </w:rPr>
      </w:pPr>
    </w:p>
    <w:p w14:paraId="03D012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на трофейном самолёте Ю-52 Л-23 ГВФ впервые смонтировали специальные лыжи для Ю-52, разработанные НИИ ГВФ (6393).</w:t>
      </w:r>
    </w:p>
    <w:p w14:paraId="6055FA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121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после освобождения Днепропетровска на площадке ранее занимаемой заводом № 462 были созданы мастерские по ремонту автомашин ГАЗ-АА.</w:t>
      </w:r>
    </w:p>
    <w:p w14:paraId="582EC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приказом НКАП № 679с от 15 ноября 1943 года на базе площадей бывш. завода № 462 НКАП были организованы ремонтные мастерские, а приказом по 4 гл. управлению НКАП от 3 декабря 1943 года за № 33с созданным мастерским была утверждена номенклатура изделия для ремонта и выпуска, а именно магнето, авиасвечи и т.д.</w:t>
      </w:r>
    </w:p>
    <w:p w14:paraId="158AB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0627F7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1D1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первая конструкция ФАБ-250сч поступила на полигонные испытания, но не выдержала их из-за аэродинамического затенения крыльчаток взрывателей, установленных в донное очко авиабомб вследствие неудачной конструкции конической части боеприпасов. В конструкции авиабомб второго варианта, предъявленных на испытания в конце октября, указанный недостаток устранили, оставив корпус в целом без изменений, просто увеличив высоту конической части корпуса и уменьшив тем самым до 0,57 отношение диаметра хвостового среза конуса к его высоте. В целях унификации стабилизаторы бомб ФАБ-250сч второго варианта выполнили по типу ФАБ-250М43, за исключением крепления к корпусу, поскольку сначала перья стабилизатора планировали приваривать непосредственно к конической части корпуса авиабомбы (7453).</w:t>
      </w:r>
    </w:p>
    <w:p w14:paraId="4BD40C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A70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началась разработка ФАБ-2000 модели 1943 г. Единая цилиндрическая часть корпуса была свальцована из листового проката толщиной 12 мм и сварена по образующей. Коническая часть - из листовой стали толщиной 6 мм. Снаряжали авиабомбы через специальный лючок на конусной части. Перисто-цилиндрический стабилизатор был приварен к конусу корпуса прерывистым швом. Оба запальных стакана были приварены к корпусу авиабомбы.</w:t>
      </w:r>
    </w:p>
    <w:p w14:paraId="42B13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Подвесная система из двух бугелей - основного и дополнительного - имела ушки упрощенной конструкции из стали круглого сечения. При этом ушки основного бугеля изготавливали из стали марки ст.4 или ст.5 с валиком диаметром 15,5 мм, а дополнительное - из стали марки ст. 2 или ст.3 с валиком диаметром 12 мм. У ФАБ-2000М43 увеличился коэффициент наполнения взрывчатым веществом и примерно на 42,5% уменьшился расход литья и проката. Суммарная трудоемкость всех операций снизилась на 50% (7453).</w:t>
      </w:r>
    </w:p>
    <w:p w14:paraId="23C499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5E9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Лишь к октябрю 1943 г. удалось полностью восстановить производство на заводе № 292. Тем не менее, официальной реакции на это письмо не последовало и никакого воздействия на решение об ор</w:t>
      </w:r>
      <w:r w:rsidRPr="00271E51">
        <w:rPr>
          <w:rFonts w:ascii="Times New Roman" w:hAnsi="Times New Roman"/>
          <w:color w:val="000000" w:themeColor="text1"/>
          <w:sz w:val="16"/>
          <w:szCs w:val="16"/>
        </w:rPr>
        <w:softHyphen/>
        <w:t>ганизации серийной постройки И-185 оно не оказало (10667).</w:t>
      </w:r>
    </w:p>
    <w:p w14:paraId="574257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3B1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в правительстве обсуждался вопрос о развитии реактивной авиации и ракетной техники. В начале 1944 г. появилось решение о разработке самоле</w:t>
      </w:r>
      <w:r w:rsidRPr="00271E51">
        <w:rPr>
          <w:rFonts w:ascii="Times New Roman" w:hAnsi="Times New Roman"/>
          <w:color w:val="000000" w:themeColor="text1"/>
          <w:sz w:val="16"/>
          <w:szCs w:val="16"/>
        </w:rPr>
        <w:softHyphen/>
        <w:t>та-снаряда по типу немецкого Fi-103 (V-1). Отсюда сле</w:t>
      </w:r>
      <w:r w:rsidRPr="00271E51">
        <w:rPr>
          <w:rFonts w:ascii="Times New Roman" w:hAnsi="Times New Roman"/>
          <w:color w:val="000000" w:themeColor="text1"/>
          <w:sz w:val="16"/>
          <w:szCs w:val="16"/>
        </w:rPr>
        <w:softHyphen/>
        <w:t xml:space="preserve">дует, что какие-то описания конструкции и чертежи уже были добыты нашей разведкой. В.Н.Челомей должен </w:t>
      </w:r>
      <w:r w:rsidRPr="00271E51">
        <w:rPr>
          <w:rFonts w:ascii="Times New Roman" w:hAnsi="Times New Roman"/>
          <w:color w:val="000000" w:themeColor="text1"/>
          <w:sz w:val="16"/>
          <w:szCs w:val="16"/>
        </w:rPr>
        <w:lastRenderedPageBreak/>
        <w:t>был создать пульсирующий двигатель на базе немецко</w:t>
      </w:r>
      <w:r w:rsidRPr="00271E51">
        <w:rPr>
          <w:rFonts w:ascii="Times New Roman" w:hAnsi="Times New Roman"/>
          <w:color w:val="000000" w:themeColor="text1"/>
          <w:sz w:val="16"/>
          <w:szCs w:val="16"/>
        </w:rPr>
        <w:softHyphen/>
        <w:t>го фирмы «Аргус», а Н.Н.Поликарпов - спроектировать планер; соответствующие организации подключались для производства бортового оборудования. Николай Николаевич выделил группу инженеров, которые работали над полученным заданием изолиро</w:t>
      </w:r>
      <w:r w:rsidRPr="00271E51">
        <w:rPr>
          <w:rFonts w:ascii="Times New Roman" w:hAnsi="Times New Roman"/>
          <w:color w:val="000000" w:themeColor="text1"/>
          <w:sz w:val="16"/>
          <w:szCs w:val="16"/>
        </w:rPr>
        <w:softHyphen/>
        <w:t>ванно, в отдельном помещении на территории ОТБ ЦИАМ. Впрочем, сам Николай Николаевич по состоя</w:t>
      </w:r>
      <w:r w:rsidRPr="00271E51">
        <w:rPr>
          <w:rFonts w:ascii="Times New Roman" w:hAnsi="Times New Roman"/>
          <w:color w:val="000000" w:themeColor="text1"/>
          <w:sz w:val="16"/>
          <w:szCs w:val="16"/>
        </w:rPr>
        <w:softHyphen/>
        <w:t>нию здоровья уделял этому направлению относительно мало внимания. Однако труд оказался не напрасным и в итоге привел к созданию первой в СССР крылатой раке</w:t>
      </w:r>
      <w:r w:rsidRPr="00271E51">
        <w:rPr>
          <w:rFonts w:ascii="Times New Roman" w:hAnsi="Times New Roman"/>
          <w:color w:val="000000" w:themeColor="text1"/>
          <w:sz w:val="16"/>
          <w:szCs w:val="16"/>
        </w:rPr>
        <w:softHyphen/>
        <w:t>ты 10Х (10667).</w:t>
      </w:r>
    </w:p>
    <w:p w14:paraId="1F4EFA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EC23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w:t>
      </w:r>
      <w:r w:rsidRPr="00271E51">
        <w:rPr>
          <w:rFonts w:ascii="Times New Roman" w:hAnsi="Times New Roman"/>
          <w:color w:val="000000" w:themeColor="text1"/>
          <w:sz w:val="16"/>
          <w:szCs w:val="16"/>
        </w:rPr>
        <w:softHyphen/>
        <w:t>тябре 1943 И.В.Сталин поставил перед НКАП и ВВС задачу увеличить дальность по</w:t>
      </w:r>
      <w:r w:rsidRPr="00271E51">
        <w:rPr>
          <w:rFonts w:ascii="Times New Roman" w:hAnsi="Times New Roman"/>
          <w:color w:val="000000" w:themeColor="text1"/>
          <w:sz w:val="16"/>
          <w:szCs w:val="16"/>
        </w:rPr>
        <w:softHyphen/>
        <w:t>лета истребителей. Неудовлетвори</w:t>
      </w:r>
      <w:r w:rsidRPr="00271E51">
        <w:rPr>
          <w:rFonts w:ascii="Times New Roman" w:hAnsi="Times New Roman"/>
          <w:color w:val="000000" w:themeColor="text1"/>
          <w:sz w:val="16"/>
          <w:szCs w:val="16"/>
        </w:rPr>
        <w:softHyphen/>
        <w:t>тельная работа АК-82БП и здесь сыг</w:t>
      </w:r>
      <w:r w:rsidRPr="00271E51">
        <w:rPr>
          <w:rFonts w:ascii="Times New Roman" w:hAnsi="Times New Roman"/>
          <w:color w:val="000000" w:themeColor="text1"/>
          <w:sz w:val="16"/>
          <w:szCs w:val="16"/>
        </w:rPr>
        <w:softHyphen/>
        <w:t>рала свою отрицательную роль (10705).</w:t>
      </w:r>
    </w:p>
    <w:p w14:paraId="050A099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F759E"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1943 ЦКБ-22 в авральном порядке изготови</w:t>
      </w:r>
      <w:r w:rsidRPr="00271E51">
        <w:rPr>
          <w:rFonts w:ascii="Times New Roman" w:cs="Times New Roman"/>
          <w:color w:val="000000" w:themeColor="text1"/>
          <w:spacing w:val="0"/>
        </w:rPr>
        <w:softHyphen/>
        <w:t>ло партию опытных бомб и предъ</w:t>
      </w:r>
      <w:r w:rsidRPr="00271E51">
        <w:rPr>
          <w:rFonts w:ascii="Times New Roman" w:cs="Times New Roman"/>
          <w:color w:val="000000" w:themeColor="text1"/>
          <w:spacing w:val="0"/>
        </w:rPr>
        <w:softHyphen/>
        <w:t>явило их на государственные испытания в НИИ АВ ВВС.</w:t>
      </w:r>
    </w:p>
    <w:p w14:paraId="6AF0275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От ПТАБ-2,5-1,5 «десятка» отличалась формой, габаритами и весом боевой части.</w:t>
      </w:r>
    </w:p>
    <w:p w14:paraId="1A21C85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271E51">
        <w:rPr>
          <w:rFonts w:ascii="Times New Roman" w:hAnsi="Times New Roman"/>
          <w:color w:val="000000" w:themeColor="text1"/>
          <w:sz w:val="16"/>
          <w:szCs w:val="16"/>
        </w:rPr>
        <w:softHyphen/>
        <w:t>шего действия бомбы по массивным и экра</w:t>
      </w:r>
      <w:r w:rsidRPr="00271E51">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271E51">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271E51">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w:t>
      </w:r>
    </w:p>
    <w:p w14:paraId="1D0E763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Всего на испытания поступило 1455 ПТАБ-10-2,5, из них 390 корпусов и 1065 бомб были снаряжены боевыми взрывча</w:t>
      </w:r>
      <w:r w:rsidRPr="00271E51">
        <w:rPr>
          <w:rFonts w:ascii="Times New Roman" w:cs="Times New Roman"/>
          <w:color w:val="000000" w:themeColor="text1"/>
          <w:spacing w:val="0"/>
        </w:rPr>
        <w:softHyphen/>
        <w:t>тыми веществами трех типов: тринитро</w:t>
      </w:r>
      <w:r w:rsidRPr="00271E51">
        <w:rPr>
          <w:rFonts w:ascii="Times New Roman" w:cs="Times New Roman"/>
          <w:color w:val="000000" w:themeColor="text1"/>
          <w:spacing w:val="0"/>
        </w:rPr>
        <w:softHyphen/>
        <w:t>толуолом - 500 бомб, ТГ-30 (тротил - 70%, гексоген - 30%) - 515 бомб, ТГА (тротил - 50%, гексоген - 40%, алюминиевая пудра -10%) -50 бомб.</w:t>
      </w:r>
    </w:p>
    <w:p w14:paraId="4ED9C49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проводились специалиста</w:t>
      </w:r>
      <w:r w:rsidRPr="00271E51">
        <w:rPr>
          <w:rFonts w:ascii="Times New Roman" w:cs="Times New Roman"/>
          <w:color w:val="000000" w:themeColor="text1"/>
          <w:spacing w:val="0"/>
        </w:rPr>
        <w:softHyphen/>
        <w:t>ми 3-го отдела НИИ АВ ВВС. Ответственным по испытаниям был назначен инженер-ка- питан В.П. Федоров, ведущим летчиком- испытателем - капитан А.В. Кусакин. От промышленности в испытаниях участвовал конструктор бомбы И.А. Ларионов и пред</w:t>
      </w:r>
      <w:r w:rsidRPr="00271E51">
        <w:rPr>
          <w:rFonts w:ascii="Times New Roman" w:cs="Times New Roman"/>
          <w:color w:val="000000" w:themeColor="text1"/>
          <w:spacing w:val="0"/>
        </w:rPr>
        <w:softHyphen/>
        <w:t>ставитель завода №240 инженер Коклин. Отчет по испытаниям ПТАБ-10-2,5 началь</w:t>
      </w:r>
      <w:r w:rsidRPr="00271E51">
        <w:rPr>
          <w:rFonts w:ascii="Times New Roman" w:cs="Times New Roman"/>
          <w:color w:val="000000" w:themeColor="text1"/>
          <w:spacing w:val="0"/>
        </w:rPr>
        <w:softHyphen/>
        <w:t>ник НИИ АВ генерал-майор М.В. Гуревич утвердил 19 ноября 1943 г.</w:t>
      </w:r>
    </w:p>
    <w:p w14:paraId="1357BFEE"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новой бомбы опреде</w:t>
      </w:r>
      <w:r w:rsidRPr="00271E51">
        <w:rPr>
          <w:rFonts w:ascii="Times New Roman" w:cs="Times New Roman"/>
          <w:color w:val="000000" w:themeColor="text1"/>
          <w:spacing w:val="0"/>
        </w:rPr>
        <w:softHyphen/>
        <w:t>лялась путем подрыва непосредственно на броне немецких танков и в воздухе при бомбометании с самолета Ил-2 по колонне трофейной бронетехники.</w:t>
      </w:r>
    </w:p>
    <w:p w14:paraId="286AD69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Результаты подрывов ПТАБ-10-2,5 в основном сводились к следующему: при действии по основной броне (без экрана) бомбы при нормальном положении обеспе</w:t>
      </w:r>
      <w:r w:rsidRPr="00271E51">
        <w:rPr>
          <w:rFonts w:ascii="Times New Roman" w:cs="Times New Roman"/>
          <w:color w:val="000000" w:themeColor="text1"/>
          <w:spacing w:val="0"/>
        </w:rPr>
        <w:softHyphen/>
        <w:t>чивали сквозное пробитие брони толщиной 90-100 мм, но не пробивали 50-мм броню, находящуюся на удалении 300-500 мм от броневого экрана толщиной 10-15 мм.</w:t>
      </w:r>
    </w:p>
    <w:p w14:paraId="25B7437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ходе испытаний обнаружился стран</w:t>
      </w:r>
      <w:r w:rsidRPr="00271E51">
        <w:rPr>
          <w:rFonts w:ascii="Times New Roman" w:cs="Times New Roman"/>
          <w:color w:val="000000" w:themeColor="text1"/>
          <w:spacing w:val="0"/>
        </w:rPr>
        <w:softHyphen/>
        <w:t>ный эффект «непостоянства фугасного дей</w:t>
      </w:r>
      <w:r w:rsidRPr="00271E51">
        <w:rPr>
          <w:rFonts w:ascii="Times New Roman" w:cs="Times New Roman"/>
          <w:color w:val="000000" w:themeColor="text1"/>
          <w:spacing w:val="0"/>
        </w:rPr>
        <w:softHyphen/>
        <w:t>ствия авиабомб». При детальном осмотре бомб обнаружили сквозные раковины во взрывчатом веществе. Кроме того, вместо тетриловых детонаторных шашек во всех бомбах были установлены шашки из пикри- ловой кислоты. Налицо был брак и наруше</w:t>
      </w:r>
      <w:r w:rsidRPr="00271E51">
        <w:rPr>
          <w:rFonts w:ascii="Times New Roman" w:cs="Times New Roman"/>
          <w:color w:val="000000" w:themeColor="text1"/>
          <w:spacing w:val="0"/>
        </w:rPr>
        <w:softHyphen/>
        <w:t>ние технологии при изготовлении бомб на снаряжательном заводе.</w:t>
      </w:r>
    </w:p>
    <w:p w14:paraId="02A4C3B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Загрузка ПТАБ-10-2,5 в штатные кассе</w:t>
      </w:r>
      <w:r w:rsidRPr="00271E51">
        <w:rPr>
          <w:rFonts w:ascii="Times New Roman" w:cs="Times New Roman"/>
          <w:color w:val="000000" w:themeColor="text1"/>
          <w:spacing w:val="0"/>
        </w:rPr>
        <w:softHyphen/>
        <w:t>ты мелких бомб самолета Пе-2 (КМБ-Пе-2) показала, что в них можно было уложить го</w:t>
      </w:r>
      <w:r w:rsidRPr="00271E51">
        <w:rPr>
          <w:rFonts w:ascii="Times New Roman" w:cs="Times New Roman"/>
          <w:color w:val="000000" w:themeColor="text1"/>
          <w:spacing w:val="0"/>
        </w:rPr>
        <w:softHyphen/>
        <w:t>ризонтально головной частью назад только 20 бомб (или 40 бомб на самолет, всего 108 кг), что было совсем мало.</w:t>
      </w:r>
    </w:p>
    <w:p w14:paraId="05F50AE4"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укладке бомб вертикально вниз стабилизатором в штатные ампульно-бом- бовые кассеты типа АБК-1 самолета СБ умещалось 15 бомб в кассету - в три ряда по пять бомб в каждом (всего 90 шт., вес 213 кг). Но верхний ряд бомб выходил за пределы края кассеты на 75 мм.</w:t>
      </w:r>
    </w:p>
    <w:p w14:paraId="24AF844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То же самое наблюдалось и на бом</w:t>
      </w:r>
      <w:r w:rsidRPr="00271E51">
        <w:rPr>
          <w:rFonts w:ascii="Times New Roman" w:cs="Times New Roman"/>
          <w:color w:val="000000" w:themeColor="text1"/>
          <w:spacing w:val="0"/>
        </w:rPr>
        <w:softHyphen/>
        <w:t>бардировщике Ил-4 при загрузке кассеты АБК-3 (120 бомб, 324 кг). В каждую кассету входило 60 бомб при их укладке в 3 ряда по 5 бомб в каждом вертикально стабилизато</w:t>
      </w:r>
      <w:r w:rsidRPr="00271E51">
        <w:rPr>
          <w:rFonts w:ascii="Times New Roman" w:cs="Times New Roman"/>
          <w:color w:val="000000" w:themeColor="text1"/>
          <w:spacing w:val="0"/>
        </w:rPr>
        <w:softHyphen/>
        <w:t>ром вниз. Верхний ряд бомб также «выгля</w:t>
      </w:r>
      <w:r w:rsidRPr="00271E51">
        <w:rPr>
          <w:rFonts w:ascii="Times New Roman" w:cs="Times New Roman"/>
          <w:color w:val="000000" w:themeColor="text1"/>
          <w:spacing w:val="0"/>
        </w:rPr>
        <w:softHyphen/>
        <w:t>дывал» на 75 мм из кассеты.</w:t>
      </w:r>
    </w:p>
    <w:p w14:paraId="7C72722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штатные кассеты мелких бомб само</w:t>
      </w:r>
      <w:r w:rsidRPr="00271E51">
        <w:rPr>
          <w:rFonts w:ascii="Times New Roman" w:cs="Times New Roman"/>
          <w:color w:val="000000" w:themeColor="text1"/>
          <w:spacing w:val="0"/>
        </w:rPr>
        <w:softHyphen/>
        <w:t>лета Ил-2 (КМБ-2) можно было уложить 26 ПТАБ-10-2,5 вертикально стабилиза</w:t>
      </w:r>
      <w:r w:rsidRPr="00271E51">
        <w:rPr>
          <w:rFonts w:ascii="Times New Roman" w:cs="Times New Roman"/>
          <w:color w:val="000000" w:themeColor="text1"/>
          <w:spacing w:val="0"/>
        </w:rPr>
        <w:softHyphen/>
        <w:t>тором вниз. То есть полная загрузка Ил-2 бомбами этого типа составляла 104 штуки (290 кг).</w:t>
      </w:r>
    </w:p>
    <w:p w14:paraId="4D91E8A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Универсальные бомбоотсеки Ил-2 вме</w:t>
      </w:r>
      <w:r w:rsidRPr="00271E51">
        <w:rPr>
          <w:rFonts w:ascii="Times New Roman" w:cs="Times New Roman"/>
          <w:color w:val="000000" w:themeColor="text1"/>
          <w:spacing w:val="0"/>
        </w:rPr>
        <w:softHyphen/>
        <w:t>щали 142 «десятки» (по 36 в средние отсеки и по 35 в крайние отсеки), уложенных гори</w:t>
      </w:r>
      <w:r w:rsidRPr="00271E51">
        <w:rPr>
          <w:rFonts w:ascii="Times New Roman" w:cs="Times New Roman"/>
          <w:color w:val="000000" w:themeColor="text1"/>
          <w:spacing w:val="0"/>
        </w:rPr>
        <w:softHyphen/>
        <w:t>зонтально вперед стабилизатором (по по</w:t>
      </w:r>
      <w:r w:rsidRPr="00271E51">
        <w:rPr>
          <w:rFonts w:ascii="Times New Roman" w:cs="Times New Roman"/>
          <w:color w:val="000000" w:themeColor="text1"/>
          <w:spacing w:val="0"/>
        </w:rPr>
        <w:softHyphen/>
        <w:t>лету) по 3 штуки по ширине и в 3 ряда по длине отсека. При этом по согласованию с представителем завода №240 инженером Коклиным в каждом бомбоотсеке устанав</w:t>
      </w:r>
      <w:r w:rsidRPr="00271E51">
        <w:rPr>
          <w:rFonts w:ascii="Times New Roman" w:cs="Times New Roman"/>
          <w:color w:val="000000" w:themeColor="text1"/>
          <w:spacing w:val="0"/>
        </w:rPr>
        <w:softHyphen/>
        <w:t>ливались 6 боковых деревянных реек, а также «впереди штанги бомбоотсека» спе</w:t>
      </w:r>
      <w:r w:rsidRPr="00271E51">
        <w:rPr>
          <w:rFonts w:ascii="Times New Roman" w:cs="Times New Roman"/>
          <w:color w:val="000000" w:themeColor="text1"/>
          <w:spacing w:val="0"/>
        </w:rPr>
        <w:softHyphen/>
        <w:t>циальные щитки. Боковые рейки были вве</w:t>
      </w:r>
      <w:r w:rsidRPr="00271E51">
        <w:rPr>
          <w:rFonts w:ascii="Times New Roman" w:cs="Times New Roman"/>
          <w:color w:val="000000" w:themeColor="text1"/>
          <w:spacing w:val="0"/>
        </w:rPr>
        <w:softHyphen/>
        <w:t>дены «с целью предохранения от зажима бомб между собой в бомбоотсеке». Кроме того, было ослаблено напряжение пружины створок бомбоотсеков таким образом, что</w:t>
      </w:r>
      <w:r w:rsidRPr="00271E51">
        <w:rPr>
          <w:rFonts w:ascii="Times New Roman" w:cs="Times New Roman"/>
          <w:color w:val="000000" w:themeColor="text1"/>
          <w:spacing w:val="0"/>
        </w:rPr>
        <w:softHyphen/>
        <w:t>бы открытие створок отсека происходило от веса двух бомб.</w:t>
      </w:r>
    </w:p>
    <w:p w14:paraId="7196D31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дооборудования бомбоотсеков самолета Ил-2 было произведено на зем</w:t>
      </w:r>
      <w:r w:rsidRPr="00271E51">
        <w:rPr>
          <w:rFonts w:ascii="Times New Roman" w:cs="Times New Roman"/>
          <w:color w:val="000000" w:themeColor="text1"/>
          <w:spacing w:val="0"/>
        </w:rPr>
        <w:softHyphen/>
        <w:t>ле 10 сбрасываний из бомбоотсеков кор</w:t>
      </w:r>
      <w:r w:rsidRPr="00271E51">
        <w:rPr>
          <w:rFonts w:ascii="Times New Roman" w:cs="Times New Roman"/>
          <w:color w:val="000000" w:themeColor="text1"/>
          <w:spacing w:val="0"/>
        </w:rPr>
        <w:softHyphen/>
        <w:t>пусов бомб,заполненных до полного веса песком. Ни одного случая зависания бомб не отмечено.</w:t>
      </w:r>
    </w:p>
    <w:p w14:paraId="422CE85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проверки надежности контровки ветрянок взрывателей бомб было выпол</w:t>
      </w:r>
      <w:r w:rsidRPr="00271E51">
        <w:rPr>
          <w:rFonts w:ascii="Times New Roman" w:cs="Times New Roman"/>
          <w:color w:val="000000" w:themeColor="text1"/>
          <w:spacing w:val="0"/>
        </w:rPr>
        <w:softHyphen/>
        <w:t>нено три взлета и три посадки с полностью загруженными бомбоотсеками корпусами бомб (с песком) снаряженными взрывате</w:t>
      </w:r>
      <w:r w:rsidRPr="00271E51">
        <w:rPr>
          <w:rFonts w:ascii="Times New Roman" w:cs="Times New Roman"/>
          <w:color w:val="000000" w:themeColor="text1"/>
          <w:spacing w:val="0"/>
        </w:rPr>
        <w:softHyphen/>
        <w:t>лями АД-А, а также три полета на растряску укладки бомб. Случаев нарушения центров</w:t>
      </w:r>
      <w:r w:rsidRPr="00271E51">
        <w:rPr>
          <w:rFonts w:ascii="Times New Roman" w:cs="Times New Roman"/>
          <w:color w:val="000000" w:themeColor="text1"/>
          <w:spacing w:val="0"/>
        </w:rPr>
        <w:softHyphen/>
        <w:t>ки не было.</w:t>
      </w:r>
    </w:p>
    <w:p w14:paraId="4FD9C9B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Поскольку при полной загрузке бомб в средние отсеки край створки бомбоотсе</w:t>
      </w:r>
      <w:r w:rsidRPr="00271E51">
        <w:rPr>
          <w:rFonts w:ascii="Times New Roman" w:cs="Times New Roman"/>
          <w:color w:val="000000" w:themeColor="text1"/>
          <w:spacing w:val="0"/>
        </w:rPr>
        <w:softHyphen/>
        <w:t>ка слегка отгибался, то решили загружать в отсек на одну бомбу меньше - 35 штук. В этом случае общий вес бомбовой нагруз</w:t>
      </w:r>
      <w:r w:rsidRPr="00271E51">
        <w:rPr>
          <w:rFonts w:ascii="Times New Roman" w:cs="Times New Roman"/>
          <w:color w:val="000000" w:themeColor="text1"/>
          <w:spacing w:val="0"/>
        </w:rPr>
        <w:softHyphen/>
        <w:t>ки составлял 378 кг (140 бомб).</w:t>
      </w:r>
    </w:p>
    <w:p w14:paraId="711D2EB9" w14:textId="77777777" w:rsidR="00473181" w:rsidRPr="00271E51" w:rsidRDefault="00473181" w:rsidP="00271E51">
      <w:pPr>
        <w:pStyle w:val="72"/>
        <w:shd w:val="clear" w:color="auto" w:fill="auto"/>
        <w:spacing w:line="240" w:lineRule="auto"/>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ямт</w:t>
      </w:r>
    </w:p>
    <w:p w14:paraId="079671F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Специалисты полигона отметили, что предъявленная на государственные испы</w:t>
      </w:r>
      <w:r w:rsidRPr="00271E51">
        <w:rPr>
          <w:rFonts w:ascii="Times New Roman" w:cs="Times New Roman"/>
          <w:color w:val="000000" w:themeColor="text1"/>
          <w:spacing w:val="0"/>
        </w:rPr>
        <w:softHyphen/>
        <w:t>тания бомба ПТАБ-10,2,5 по габаритным размерам не полностью соответствует</w:t>
      </w:r>
    </w:p>
    <w:p w14:paraId="319E9C7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ТУ-5-40 (диаметр 85 мм, длина 356-360 мм) и неудобна для загрузки в существующие кассеты и бомбоотсеки. Несоответствие габаритов требовало дооборудования отсеков.</w:t>
      </w:r>
    </w:p>
    <w:p w14:paraId="2CE67B7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Воздушные испытания проходили в те</w:t>
      </w:r>
      <w:r w:rsidRPr="00271E51">
        <w:rPr>
          <w:rFonts w:ascii="Times New Roman" w:cs="Times New Roman"/>
          <w:color w:val="000000" w:themeColor="text1"/>
          <w:spacing w:val="0"/>
        </w:rPr>
        <w:softHyphen/>
        <w:t>чение двух дней - 24 и 28 октября. Сначала выполнили пять полетов на сброс корпу</w:t>
      </w:r>
      <w:r w:rsidRPr="00271E51">
        <w:rPr>
          <w:rFonts w:ascii="Times New Roman" w:cs="Times New Roman"/>
          <w:color w:val="000000" w:themeColor="text1"/>
          <w:spacing w:val="0"/>
        </w:rPr>
        <w:softHyphen/>
        <w:t>сов бомб снаряженных взрывателями. По</w:t>
      </w:r>
      <w:r w:rsidRPr="00271E51">
        <w:rPr>
          <w:rFonts w:ascii="Times New Roman" w:cs="Times New Roman"/>
          <w:color w:val="000000" w:themeColor="text1"/>
          <w:spacing w:val="0"/>
        </w:rPr>
        <w:softHyphen/>
        <w:t>сле чего выполнили два полета на боевое бомбометание с самолета Ил-2. Бомбили колонну трофейных танков. Высота сброса - 100 м, скорость самолета - 300 км/ч.</w:t>
      </w:r>
    </w:p>
    <w:p w14:paraId="211B8170"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первом вылете использовали две кас</w:t>
      </w:r>
      <w:r w:rsidRPr="00271E51">
        <w:rPr>
          <w:rFonts w:ascii="Times New Roman" w:cs="Times New Roman"/>
          <w:color w:val="000000" w:themeColor="text1"/>
          <w:spacing w:val="0"/>
        </w:rPr>
        <w:softHyphen/>
        <w:t>сеты одиночно, во втором - также две кас</w:t>
      </w:r>
      <w:r w:rsidRPr="00271E51">
        <w:rPr>
          <w:rFonts w:ascii="Times New Roman" w:cs="Times New Roman"/>
          <w:color w:val="000000" w:themeColor="text1"/>
          <w:spacing w:val="0"/>
        </w:rPr>
        <w:softHyphen/>
        <w:t>сеты, но серией с интервалом 0,5 с.</w:t>
      </w:r>
    </w:p>
    <w:p w14:paraId="37416D2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 втором полете при посадке самолета из среднего отсека правой плоскости выпа</w:t>
      </w:r>
      <w:r w:rsidRPr="00271E51">
        <w:rPr>
          <w:rFonts w:ascii="Times New Roman" w:cs="Times New Roman"/>
          <w:color w:val="000000" w:themeColor="text1"/>
          <w:spacing w:val="0"/>
        </w:rPr>
        <w:softHyphen/>
        <w:t>ли три бомбы, из которых две взорвались. От взрыва самолет загорелся. Потушить машину не удалось.</w:t>
      </w:r>
    </w:p>
    <w:p w14:paraId="6405EF6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осмотра места взрыва было установлено, что взрыв второй бомбы был инициирован подрывом первой бомбы (най</w:t>
      </w:r>
      <w:r w:rsidRPr="00271E51">
        <w:rPr>
          <w:rFonts w:ascii="Times New Roman" w:cs="Times New Roman"/>
          <w:color w:val="000000" w:themeColor="text1"/>
          <w:spacing w:val="0"/>
        </w:rPr>
        <w:softHyphen/>
        <w:t>ден взрыватель с несвернутой ветрянкой). У третьей выпавшей бомбы произошел от</w:t>
      </w:r>
      <w:r w:rsidRPr="00271E51">
        <w:rPr>
          <w:rFonts w:ascii="Times New Roman" w:cs="Times New Roman"/>
          <w:color w:val="000000" w:themeColor="text1"/>
          <w:spacing w:val="0"/>
        </w:rPr>
        <w:softHyphen/>
        <w:t>каз в действии взрывателя.</w:t>
      </w:r>
    </w:p>
    <w:p w14:paraId="52BE01A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мнению специалистов института, вероятной причиной зависания бомб в бомбоотсеке Ил-2 являлось «запаздыва</w:t>
      </w:r>
      <w:r w:rsidRPr="00271E51">
        <w:rPr>
          <w:rFonts w:ascii="Times New Roman" w:cs="Times New Roman"/>
          <w:color w:val="000000" w:themeColor="text1"/>
          <w:spacing w:val="0"/>
        </w:rPr>
        <w:softHyphen/>
        <w:t>ние выпадения некоторых бомб, из которых одна была зажата створками бомболюка». Вес оставшихся трех бомб оказался не в состоянии преодолеть сопротивление пру</w:t>
      </w:r>
      <w:r w:rsidRPr="00271E51">
        <w:rPr>
          <w:rFonts w:ascii="Times New Roman" w:cs="Times New Roman"/>
          <w:color w:val="000000" w:themeColor="text1"/>
          <w:spacing w:val="0"/>
        </w:rPr>
        <w:softHyphen/>
        <w:t>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rFonts w:ascii="Times New Roman" w:cs="Times New Roman"/>
          <w:color w:val="000000" w:themeColor="text1"/>
          <w:spacing w:val="0"/>
        </w:rPr>
        <w:softHyphen/>
        <w:t>жение и на посадке, когда бомба выпала из отсека, «при ударе бомбы о преграду произошел взрыв, вследствие чего само</w:t>
      </w:r>
      <w:r w:rsidRPr="00271E51">
        <w:rPr>
          <w:rFonts w:ascii="Times New Roman" w:cs="Times New Roman"/>
          <w:color w:val="000000" w:themeColor="text1"/>
          <w:spacing w:val="0"/>
        </w:rPr>
        <w:softHyphen/>
        <w:t>лет сгорел».</w:t>
      </w:r>
    </w:p>
    <w:p w14:paraId="5E526F8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выводах отчета по результатам ис</w:t>
      </w:r>
      <w:r w:rsidRPr="00271E51">
        <w:rPr>
          <w:rFonts w:ascii="Times New Roman" w:cs="Times New Roman"/>
          <w:color w:val="000000" w:themeColor="text1"/>
          <w:spacing w:val="0"/>
        </w:rPr>
        <w:softHyphen/>
        <w:t>пытаний отмечалось: «Существующие бомбоотсеки для мелких бомб на Ил-2 не обеспечивают 100% выпадения бомб в момент открывания створок, что приводит к зависанию части бомб в отсеке. При по</w:t>
      </w:r>
      <w:r w:rsidRPr="00271E51">
        <w:rPr>
          <w:rFonts w:ascii="Times New Roman" w:cs="Times New Roman"/>
          <w:color w:val="000000" w:themeColor="text1"/>
          <w:spacing w:val="0"/>
        </w:rPr>
        <w:softHyphen/>
        <w:t>садке зависшие бомбы падают - при этом не исключены случаи их взрыва с последу</w:t>
      </w:r>
      <w:r w:rsidRPr="00271E51">
        <w:rPr>
          <w:rFonts w:ascii="Times New Roman" w:cs="Times New Roman"/>
          <w:color w:val="000000" w:themeColor="text1"/>
          <w:spacing w:val="0"/>
        </w:rPr>
        <w:softHyphen/>
        <w:t>ющим разрушением самолета».</w:t>
      </w:r>
    </w:p>
    <w:p w14:paraId="1B8E9F83"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Вместе с тем по надежности действия бомбы показали вполне удовлетворитель</w:t>
      </w:r>
      <w:r w:rsidRPr="00271E51">
        <w:rPr>
          <w:rFonts w:ascii="Times New Roman" w:cs="Times New Roman"/>
          <w:color w:val="000000" w:themeColor="text1"/>
          <w:spacing w:val="0"/>
        </w:rPr>
        <w:softHyphen/>
        <w:t>ные результаты - «отказов в действии бомб при срабатывании взрывателей не было». Отказы самих взрывателей АД-А произ</w:t>
      </w:r>
      <w:r w:rsidRPr="00271E51">
        <w:rPr>
          <w:rFonts w:ascii="Times New Roman" w:cs="Times New Roman"/>
          <w:color w:val="000000" w:themeColor="text1"/>
          <w:spacing w:val="0"/>
        </w:rPr>
        <w:softHyphen/>
        <w:t>водства завода №398 - всего около 5,5%, происходили главным образом «по при</w:t>
      </w:r>
      <w:r w:rsidRPr="00271E51">
        <w:rPr>
          <w:rFonts w:ascii="Times New Roman" w:cs="Times New Roman"/>
          <w:color w:val="000000" w:themeColor="text1"/>
          <w:spacing w:val="0"/>
        </w:rPr>
        <w:softHyphen/>
        <w:t>чине несвертывания ветрянок». В полете на траектории падения бомбы вели себя устойчиво.</w:t>
      </w:r>
    </w:p>
    <w:p w14:paraId="498A20E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Как следствие, бомбу военные забрако</w:t>
      </w:r>
      <w:r w:rsidRPr="00271E51">
        <w:rPr>
          <w:rFonts w:ascii="Times New Roman" w:cs="Times New Roman"/>
          <w:color w:val="000000" w:themeColor="text1"/>
          <w:spacing w:val="0"/>
        </w:rPr>
        <w:softHyphen/>
        <w:t>вали. «ПТАБ-10-2,5 государственных испы</w:t>
      </w:r>
      <w:r w:rsidRPr="00271E51">
        <w:rPr>
          <w:rFonts w:ascii="Times New Roman" w:cs="Times New Roman"/>
          <w:color w:val="000000" w:themeColor="text1"/>
          <w:spacing w:val="0"/>
        </w:rPr>
        <w:softHyphen/>
        <w:t>таний не выдержала», - констатировалось в заключении отчета по результатам испы</w:t>
      </w:r>
      <w:r w:rsidRPr="00271E51">
        <w:rPr>
          <w:rFonts w:ascii="Times New Roman" w:cs="Times New Roman"/>
          <w:color w:val="000000" w:themeColor="text1"/>
          <w:spacing w:val="0"/>
        </w:rPr>
        <w:softHyphen/>
        <w:t>таний. Требовалось устранить выявленные недостатки бомбы, изготовить 1200 штук таких бомб (400 - боевых, 600 - «нейтраль</w:t>
      </w:r>
      <w:r w:rsidRPr="00271E51">
        <w:rPr>
          <w:rFonts w:ascii="Times New Roman" w:cs="Times New Roman"/>
          <w:color w:val="000000" w:themeColor="text1"/>
          <w:spacing w:val="0"/>
        </w:rPr>
        <w:softHyphen/>
        <w:t>ных») и предъявить их для испытания в НИИ АВ, а также переделать систему закры</w:t>
      </w:r>
      <w:r w:rsidRPr="00271E51">
        <w:rPr>
          <w:rFonts w:ascii="Times New Roman" w:cs="Times New Roman"/>
          <w:color w:val="000000" w:themeColor="text1"/>
          <w:spacing w:val="0"/>
        </w:rPr>
        <w:softHyphen/>
        <w:t>вания бомбоотсеков самолета Ил-2.</w:t>
      </w:r>
    </w:p>
    <w:p w14:paraId="531D4696"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Бомбу срочно доработали. На госу</w:t>
      </w:r>
      <w:r w:rsidRPr="00271E51">
        <w:rPr>
          <w:rFonts w:ascii="Times New Roman" w:cs="Times New Roman"/>
          <w:color w:val="000000" w:themeColor="text1"/>
          <w:spacing w:val="0"/>
        </w:rPr>
        <w:softHyphen/>
        <w:t>дарственных испытаниях в ГК НИИ ВВС, проходивших с 5 июня по 18 июля 1944 г., ПТАБ-10-2,5 уверенно пробивала танковую броню толщиной до 160 мм при углах встречи до 30° и обеспечивала пробитие 40-мм брони, расположен</w:t>
      </w:r>
      <w:r w:rsidRPr="00271E51">
        <w:rPr>
          <w:rFonts w:ascii="Times New Roman" w:cs="Times New Roman"/>
          <w:color w:val="000000" w:themeColor="text1"/>
          <w:spacing w:val="0"/>
        </w:rPr>
        <w:softHyphen/>
        <w:t>ной на расстоянии 500 мм от броневого экрана тол</w:t>
      </w:r>
      <w:r w:rsidRPr="00271E51">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271E51">
        <w:rPr>
          <w:rFonts w:ascii="Times New Roman" w:cs="Times New Roman"/>
          <w:color w:val="000000" w:themeColor="text1"/>
          <w:spacing w:val="0"/>
        </w:rPr>
        <w:softHyphen/>
        <w:t>либров и самолеты на аэро</w:t>
      </w:r>
      <w:r w:rsidRPr="00271E51">
        <w:rPr>
          <w:rFonts w:ascii="Times New Roman" w:cs="Times New Roman"/>
          <w:color w:val="000000" w:themeColor="text1"/>
          <w:spacing w:val="0"/>
        </w:rPr>
        <w:softHyphen/>
        <w:t>дромах, железнодорожные объекты (ж.д. узлы, эшело</w:t>
      </w:r>
      <w:r w:rsidRPr="00271E51">
        <w:rPr>
          <w:rFonts w:ascii="Times New Roman" w:cs="Times New Roman"/>
          <w:color w:val="000000" w:themeColor="text1"/>
          <w:spacing w:val="0"/>
        </w:rPr>
        <w:softHyphen/>
        <w:t>ны, паровозы, цистерны), мотомехчасти и автотран</w:t>
      </w:r>
      <w:r w:rsidRPr="00271E51">
        <w:rPr>
          <w:rFonts w:ascii="Times New Roman" w:cs="Times New Roman"/>
          <w:color w:val="000000" w:themeColor="text1"/>
          <w:spacing w:val="0"/>
        </w:rPr>
        <w:softHyphen/>
        <w:t>спорт, а также надводные переправы, наземные ре</w:t>
      </w:r>
      <w:r w:rsidRPr="00271E51">
        <w:rPr>
          <w:rFonts w:ascii="Times New Roman" w:cs="Times New Roman"/>
          <w:color w:val="000000" w:themeColor="text1"/>
          <w:spacing w:val="0"/>
        </w:rPr>
        <w:softHyphen/>
        <w:t>зервуары с нефтепродукта</w:t>
      </w:r>
      <w:r w:rsidRPr="00271E51">
        <w:rPr>
          <w:rFonts w:ascii="Times New Roman" w:cs="Times New Roman"/>
          <w:color w:val="000000" w:themeColor="text1"/>
          <w:spacing w:val="0"/>
        </w:rPr>
        <w:softHyphen/>
        <w:t>ми и склады боеприпасов. Бомбу рекомендовали при</w:t>
      </w:r>
      <w:r w:rsidRPr="00271E51">
        <w:rPr>
          <w:rFonts w:ascii="Times New Roman" w:cs="Times New Roman"/>
          <w:color w:val="000000" w:themeColor="text1"/>
          <w:spacing w:val="0"/>
        </w:rPr>
        <w:softHyphen/>
        <w:t>нять на вооружение ВВС КА после устранения всех вы</w:t>
      </w:r>
      <w:r w:rsidRPr="00271E51">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2529CE52"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FDCF3DC"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октябре 1943 ЦКБ-22 в авральном порядке изготовило пар</w:t>
      </w:r>
      <w:r w:rsidRPr="00271E51">
        <w:rPr>
          <w:color w:val="000000" w:themeColor="text1"/>
          <w:sz w:val="16"/>
          <w:szCs w:val="16"/>
        </w:rPr>
        <w:softHyphen/>
        <w:t>тию опытных бомб ПТАБ-10-2,5 с взрыва</w:t>
      </w:r>
      <w:r w:rsidRPr="00271E51">
        <w:rPr>
          <w:color w:val="000000" w:themeColor="text1"/>
          <w:sz w:val="16"/>
          <w:szCs w:val="16"/>
        </w:rPr>
        <w:softHyphen/>
        <w:t>телем АД-А и предъявило их на государственные испытания в НИИ АВ ВВС.</w:t>
      </w:r>
    </w:p>
    <w:p w14:paraId="6A84111E"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От ПТАБ-2,5-1,5 «десятка» отличалась формой, габаритами и весом боевой части. Размер куму</w:t>
      </w:r>
      <w:r w:rsidRPr="00271E51">
        <w:rPr>
          <w:color w:val="000000" w:themeColor="text1"/>
          <w:sz w:val="16"/>
          <w:szCs w:val="16"/>
        </w:rPr>
        <w:softHyphen/>
        <w:t>лятивного конуса и толщина материала были вы</w:t>
      </w:r>
      <w:r w:rsidRPr="00271E51">
        <w:rPr>
          <w:color w:val="000000" w:themeColor="text1"/>
          <w:sz w:val="16"/>
          <w:szCs w:val="16"/>
        </w:rPr>
        <w:softHyphen/>
        <w:t>браны исходя из наилучшего действия бомбы по массивным и экранированным преградам. При этом, чтобы не превысить заданных весовых огра</w:t>
      </w:r>
      <w:r w:rsidRPr="00271E51">
        <w:rPr>
          <w:color w:val="000000" w:themeColor="text1"/>
          <w:sz w:val="16"/>
          <w:szCs w:val="16"/>
        </w:rPr>
        <w:softHyphen/>
        <w:t>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усиления кумулятивного эф</w:t>
      </w:r>
      <w:r w:rsidRPr="00271E51">
        <w:rPr>
          <w:color w:val="000000" w:themeColor="text1"/>
          <w:sz w:val="16"/>
          <w:szCs w:val="16"/>
        </w:rPr>
        <w:softHyphen/>
        <w:t>фекта и поражения живой силы осколками на кор</w:t>
      </w:r>
      <w:r w:rsidRPr="00271E51">
        <w:rPr>
          <w:color w:val="000000" w:themeColor="text1"/>
          <w:sz w:val="16"/>
          <w:szCs w:val="16"/>
        </w:rPr>
        <w:softHyphen/>
        <w:t>пус бомбы была надета стальная 2-мм «рубашка». Стабилизатор сварной, состоял из 4 одинаковых секторов, отштампованных с зигой на цилиндри</w:t>
      </w:r>
      <w:r w:rsidRPr="00271E51">
        <w:rPr>
          <w:color w:val="000000" w:themeColor="text1"/>
          <w:sz w:val="16"/>
          <w:szCs w:val="16"/>
        </w:rPr>
        <w:softHyphen/>
        <w:t>ческой части. К бомбе стабилизатор крепился по</w:t>
      </w:r>
      <w:r w:rsidRPr="00271E51">
        <w:rPr>
          <w:color w:val="000000" w:themeColor="text1"/>
          <w:sz w:val="16"/>
          <w:szCs w:val="16"/>
        </w:rPr>
        <w:softHyphen/>
        <w:t>средством взрывателя АД-А, как на ПТАБ-2,5-1,5. По сравнению с «двойкой» вес взрывчатого веще ства на «десятке» был увеличен до 0,8—0,9 кг. Вес бомбы составлял — 2,7 кг, вес корпуса — 1,9— 1,8 кг.</w:t>
      </w:r>
    </w:p>
    <w:p w14:paraId="67918FB3"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Всего на испытания поступило 1455 ПТАБ-10-2,5, из них 390 корпусов и 1065 бомб были снаряжены боевыми взрывчатыми веществами трех типов: три</w:t>
      </w:r>
      <w:r w:rsidRPr="00271E51">
        <w:rPr>
          <w:color w:val="000000" w:themeColor="text1"/>
          <w:sz w:val="16"/>
          <w:szCs w:val="16"/>
        </w:rPr>
        <w:softHyphen/>
        <w:t>нитротолуолом — 500 бомб, ТГ-30 (тротил — 70%, гексоген — 30%) — 515 бомб, ТГА (тротил — 50%, гексоген — 40%, алюминиевая пудра — 10%) — 50 бомб.</w:t>
      </w:r>
    </w:p>
    <w:p w14:paraId="5642C421"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Испытания проводились специалистами 3-го от</w:t>
      </w:r>
      <w:r w:rsidRPr="00271E51">
        <w:rPr>
          <w:color w:val="000000" w:themeColor="text1"/>
          <w:sz w:val="16"/>
          <w:szCs w:val="16"/>
        </w:rPr>
        <w:softHyphen/>
        <w:t>дела НИИ АВ ВВС. Ответственным по испытаниям был назначен инженер-капитан В. П. Федоров, ве</w:t>
      </w:r>
      <w:r w:rsidRPr="00271E51">
        <w:rPr>
          <w:color w:val="000000" w:themeColor="text1"/>
          <w:sz w:val="16"/>
          <w:szCs w:val="16"/>
        </w:rPr>
        <w:softHyphen/>
        <w:t>дущим летчиком-испытателем — капитан А. В. Куса- кин. От промышленности в испытаниях участвовали конструктор бомбы И. А. Ларионов и представитель завода № 240 инженер Коклин. Отчет по испытани</w:t>
      </w:r>
      <w:r w:rsidRPr="00271E51">
        <w:rPr>
          <w:color w:val="000000" w:themeColor="text1"/>
          <w:sz w:val="16"/>
          <w:szCs w:val="16"/>
        </w:rPr>
        <w:softHyphen/>
        <w:t>ям ПТАБ-10-2,5 начальник НИИ АВ генерал-майор М. В. Гуревич утвердил 19 ноября 1943 г.</w:t>
      </w:r>
    </w:p>
    <w:p w14:paraId="5A6B1ABA"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Эффективность новой бомбы определялась пу</w:t>
      </w:r>
      <w:r w:rsidRPr="00271E51">
        <w:rPr>
          <w:color w:val="000000" w:themeColor="text1"/>
          <w:sz w:val="16"/>
          <w:szCs w:val="16"/>
        </w:rPr>
        <w:softHyphen/>
        <w:t>тем подрыва непосредственно на броне немецких танков и в воздухе при бомбометании с самолета Ил-2 по колонне трофейной бронетехники.</w:t>
      </w:r>
    </w:p>
    <w:p w14:paraId="59ED2B42"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Результаты подрывов ПТАБ-10-2,5 в основном сводились к следующему: при действии по основ</w:t>
      </w:r>
      <w:r w:rsidRPr="00271E51">
        <w:rPr>
          <w:color w:val="000000" w:themeColor="text1"/>
          <w:sz w:val="16"/>
          <w:szCs w:val="16"/>
        </w:rPr>
        <w:softHyphen/>
        <w:t>ной броне (без экрана) бомбы при нормальном положении обеспечивали сквозное пробитие бро</w:t>
      </w:r>
      <w:r w:rsidRPr="00271E51">
        <w:rPr>
          <w:color w:val="000000" w:themeColor="text1"/>
          <w:sz w:val="16"/>
          <w:szCs w:val="16"/>
        </w:rPr>
        <w:softHyphen/>
        <w:t>ни толщиной 90—100 мм, но не пробивали 50-мм броню, находящуюся на удалении 300—500 мм от броневого экрана толщиной 10—15 мм.</w:t>
      </w:r>
    </w:p>
    <w:p w14:paraId="7AA16D12"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ходе испытаний обнаружился странный эф</w:t>
      </w:r>
      <w:r w:rsidRPr="00271E51">
        <w:rPr>
          <w:color w:val="000000" w:themeColor="text1"/>
          <w:sz w:val="16"/>
          <w:szCs w:val="16"/>
        </w:rPr>
        <w:softHyphen/>
        <w:t>фект «непостоянства фугасного действия авиа</w:t>
      </w:r>
      <w:r w:rsidRPr="00271E51">
        <w:rPr>
          <w:color w:val="000000" w:themeColor="text1"/>
          <w:sz w:val="16"/>
          <w:szCs w:val="16"/>
        </w:rPr>
        <w:softHyphen/>
        <w:t>бомб». При детальном осмотре бомб обнаружили сквозные раковины во взрывчатом веществе. Кро</w:t>
      </w:r>
      <w:r w:rsidRPr="00271E51">
        <w:rPr>
          <w:color w:val="000000" w:themeColor="text1"/>
          <w:sz w:val="16"/>
          <w:szCs w:val="16"/>
        </w:rPr>
        <w:softHyphen/>
        <w:t>ме того, вместо тетриловых детонаторных шашек во всех бомбах были установлены шашки из пикрило- вой кислоты. Налицо брак и нарушение технологии при изготовлении бомб на снаряжательном заводе.</w:t>
      </w:r>
    </w:p>
    <w:p w14:paraId="1DE25389"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Загрузка ПТАБ-10-2,5 в штатные кассеты мелких бомб самолета Пе-2 — КМБ-Пе-2 — показала, что в них можно было уложить горизонтально голов</w:t>
      </w:r>
      <w:r w:rsidRPr="00271E51">
        <w:rPr>
          <w:color w:val="000000" w:themeColor="text1"/>
          <w:sz w:val="16"/>
          <w:szCs w:val="16"/>
        </w:rPr>
        <w:softHyphen/>
        <w:t>ной частью назад только 20 бомб (или 40 бомб на самолет, всего 108 кг), что было совсем мало.</w:t>
      </w:r>
    </w:p>
    <w:p w14:paraId="0EAB7C53"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укладке бомб вертикально вниз стабилиза</w:t>
      </w:r>
      <w:r w:rsidRPr="00271E51">
        <w:rPr>
          <w:color w:val="000000" w:themeColor="text1"/>
          <w:sz w:val="16"/>
          <w:szCs w:val="16"/>
        </w:rPr>
        <w:softHyphen/>
        <w:t>тором в штатные ампульно-бомбовые кассеты типа АБК-1 самолета СБ умещалось 15 бомб в кассету — в три ряда по 5 бомб в каждом (всего 90 шт., вес213 кг). Но верхний ряд бомб выходил за пределы края кассеты на 75 мм.</w:t>
      </w:r>
    </w:p>
    <w:p w14:paraId="63CD2F8D"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То же самое наблюдалось и на бомбардиров</w:t>
      </w:r>
      <w:r w:rsidRPr="00271E51">
        <w:rPr>
          <w:color w:val="000000" w:themeColor="text1"/>
          <w:sz w:val="16"/>
          <w:szCs w:val="16"/>
        </w:rPr>
        <w:softHyphen/>
        <w:t>щике Ил-4 при загрузке кассеты АБК-3 (120 бомб, 324 кг). В каждую кассету входило 60 бомб при их укладке в 3 ряда по 5 бомб в каждом вертикально стабилизатором вниз. Верхний ряд бомб также «вы</w:t>
      </w:r>
      <w:r w:rsidRPr="00271E51">
        <w:rPr>
          <w:color w:val="000000" w:themeColor="text1"/>
          <w:sz w:val="16"/>
          <w:szCs w:val="16"/>
        </w:rPr>
        <w:softHyphen/>
        <w:t>глядывал» на 75 мм из кассеты.</w:t>
      </w:r>
    </w:p>
    <w:p w14:paraId="51A6254A"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штатные кассеты мелких бомб самолета Ил-2 КМБ-2 можно было уложить 26 ПТАБ-10-2,5 верти</w:t>
      </w:r>
      <w:r w:rsidRPr="00271E51">
        <w:rPr>
          <w:color w:val="000000" w:themeColor="text1"/>
          <w:sz w:val="16"/>
          <w:szCs w:val="16"/>
        </w:rPr>
        <w:softHyphen/>
        <w:t>кально стабилизатором вниз. То есть полная за</w:t>
      </w:r>
      <w:r w:rsidRPr="00271E51">
        <w:rPr>
          <w:color w:val="000000" w:themeColor="text1"/>
          <w:sz w:val="16"/>
          <w:szCs w:val="16"/>
        </w:rPr>
        <w:softHyphen/>
        <w:t>грузка Ил-2 бомбами этого типа составляла 104 штуки (290 кг).</w:t>
      </w:r>
    </w:p>
    <w:p w14:paraId="6DF16564"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Универсальные бомбоотсеки Ил-2 вмещали 142 «десятки» (по 36 в средние отсеки и по 35 в край</w:t>
      </w:r>
      <w:r w:rsidRPr="00271E51">
        <w:rPr>
          <w:color w:val="000000" w:themeColor="text1"/>
          <w:sz w:val="16"/>
          <w:szCs w:val="16"/>
        </w:rPr>
        <w:softHyphen/>
        <w:t>ние отсеки), уложенных горизонтально вперед стабилизатором (по полету) по 3 штуки по ширине и в 3 ряда по длине отсека. При этом по согласо</w:t>
      </w:r>
      <w:r w:rsidRPr="00271E51">
        <w:rPr>
          <w:color w:val="000000" w:themeColor="text1"/>
          <w:sz w:val="16"/>
          <w:szCs w:val="16"/>
        </w:rPr>
        <w:softHyphen/>
        <w:t>ванию с представителем завода № 240 инженером Коклиным в каждом бомбоотсеке устанавливались 6 боковых деревянных реек, а также «впереди штанги бомбоотсека» специальные щитки. Боковые рейки были введены «с целью предохранения от зажима бомб между собой в бомбоотсеке». Кроме того, было ослаблено напряжение пружины ство</w:t>
      </w:r>
      <w:r w:rsidRPr="00271E51">
        <w:rPr>
          <w:color w:val="000000" w:themeColor="text1"/>
          <w:sz w:val="16"/>
          <w:szCs w:val="16"/>
        </w:rPr>
        <w:softHyphen/>
        <w:t>рок бомбоотсеков таким образом, чтобы открытие створок отсека происходило от веса 2 бомб.</w:t>
      </w:r>
    </w:p>
    <w:p w14:paraId="60CBA18A"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дооборудования бомбоотсеков самолета Ил-2 было произведено на земле 10 сбрасываний из бомбоотсеков корпусов бомб, заполненных до полного веса песком. Ни одного случая зависания бомб не отмечено.</w:t>
      </w:r>
    </w:p>
    <w:p w14:paraId="7F0120D7"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проверки надежности контровки ветрянок взрывателей бомб было выполнено 3 взлета и 3 по</w:t>
      </w:r>
      <w:r w:rsidRPr="00271E51">
        <w:rPr>
          <w:color w:val="000000" w:themeColor="text1"/>
          <w:sz w:val="16"/>
          <w:szCs w:val="16"/>
        </w:rPr>
        <w:softHyphen/>
        <w:t>садки с полностью загруженными бомбоотсеками корпусами бомб (с песком) снаряженными взры</w:t>
      </w:r>
      <w:r w:rsidRPr="00271E51">
        <w:rPr>
          <w:color w:val="000000" w:themeColor="text1"/>
          <w:sz w:val="16"/>
          <w:szCs w:val="16"/>
        </w:rPr>
        <w:softHyphen/>
        <w:t>вателями АД-А, а также три полета на растряску укладки бомб. Случаев нарушения центровки не было.</w:t>
      </w:r>
    </w:p>
    <w:p w14:paraId="6955E604"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Поскольку при полной загрузке бомб в средние отсеки край створки бомбоотсека слегка отгибался, то решили загружать в отсек на одну бомбу мень</w:t>
      </w:r>
      <w:r w:rsidRPr="00271E51">
        <w:rPr>
          <w:color w:val="000000" w:themeColor="text1"/>
          <w:sz w:val="16"/>
          <w:szCs w:val="16"/>
        </w:rPr>
        <w:softHyphen/>
        <w:t>ше — 35 штук. В этом случае общий вес бомбовой нагрузки составлял 378 кг (140 бомб).</w:t>
      </w:r>
    </w:p>
    <w:p w14:paraId="1F6628DB"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Специалисты полигона отметили, что предъ</w:t>
      </w:r>
      <w:r w:rsidRPr="00271E51">
        <w:rPr>
          <w:color w:val="000000" w:themeColor="text1"/>
          <w:sz w:val="16"/>
          <w:szCs w:val="16"/>
        </w:rPr>
        <w:softHyphen/>
        <w:t>явленная на государственные испытания бомба ПТАБ-10,2,5 по габаритным размерам не полностью соответствуют ТУ-5-40 (диаметр 85 мм, длина 356— 360 мм) и неудобна для загрузки в существующие кассеты и бомбоотсеки. Несоответствие габаритов требует дооборудования отсеков.</w:t>
      </w:r>
    </w:p>
    <w:p w14:paraId="2D3A27A3"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Воздушные испытания проходили в течение двух дней — 24 и 28 октября. Сначала выполнили 5 полетов на сброс корпусов бомб, снаряженных взрывателями. После чего выполнили 2 полета на боевое бомбометание с самолета Ил-2. Бомбили ко</w:t>
      </w:r>
      <w:r w:rsidRPr="00271E51">
        <w:rPr>
          <w:color w:val="000000" w:themeColor="text1"/>
          <w:sz w:val="16"/>
          <w:szCs w:val="16"/>
        </w:rPr>
        <w:softHyphen/>
        <w:t>лонну трофейных танков. Высота сброса — 100 м, скорость самолета — 300 км/ч.</w:t>
      </w:r>
    </w:p>
    <w:p w14:paraId="2B0F5608"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первом вылете использовали 2 кассеты оди</w:t>
      </w:r>
      <w:r w:rsidRPr="00271E51">
        <w:rPr>
          <w:color w:val="000000" w:themeColor="text1"/>
          <w:sz w:val="16"/>
          <w:szCs w:val="16"/>
        </w:rPr>
        <w:softHyphen/>
        <w:t>ночно, во втором — также 2 кассеты, но серией с интервалом 0,5 сек.</w:t>
      </w:r>
    </w:p>
    <w:p w14:paraId="06644521"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 втором полете при посадке самолета из среднего отсека правой плоскости выпали 3 бом</w:t>
      </w:r>
      <w:r w:rsidRPr="00271E51">
        <w:rPr>
          <w:color w:val="000000" w:themeColor="text1"/>
          <w:sz w:val="16"/>
          <w:szCs w:val="16"/>
        </w:rPr>
        <w:softHyphen/>
        <w:t>бы, из которых две взорвались. От взрыва самолет загорелся. Потушить машину не удалось.</w:t>
      </w:r>
    </w:p>
    <w:p w14:paraId="4FBCBCC2"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осмотра места взрыва установлено, что взрыв второй бомбы был инициирован подрывом первой бомбы (найден взрыватель с несвернутой ветрянкой). У третьей выпавшей бомбы произошел отказ в действии взрывателя По мнению специалистов института, вероятной причиной зависания бомб в бомбоотсеке Ил-2 яв</w:t>
      </w:r>
      <w:r w:rsidRPr="00271E51">
        <w:rPr>
          <w:color w:val="000000" w:themeColor="text1"/>
          <w:sz w:val="16"/>
          <w:szCs w:val="16"/>
        </w:rPr>
        <w:softHyphen/>
        <w:t>лялось «запаздывание выпадения некоторых бомб, из которых одна была зажата створками бомболю- ка». Вес оставшихся трех бомб оказался не в состо</w:t>
      </w:r>
      <w:r w:rsidRPr="00271E51">
        <w:rPr>
          <w:color w:val="000000" w:themeColor="text1"/>
          <w:sz w:val="16"/>
          <w:szCs w:val="16"/>
        </w:rPr>
        <w:softHyphen/>
        <w:t>янии преодолеть сопротивление пружины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color w:val="000000" w:themeColor="text1"/>
          <w:sz w:val="16"/>
          <w:szCs w:val="16"/>
        </w:rPr>
        <w:softHyphen/>
        <w:t>жение, и на посадке, когда бомба выпала из отсека, «при ударе бомбы о преграду произошел взрыв, вследствие чего самолет сгорел».</w:t>
      </w:r>
    </w:p>
    <w:p w14:paraId="16A23A0B"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выводах отчета по результатам испытаний от</w:t>
      </w:r>
      <w:r w:rsidRPr="00271E51">
        <w:rPr>
          <w:color w:val="000000" w:themeColor="text1"/>
          <w:sz w:val="16"/>
          <w:szCs w:val="16"/>
        </w:rPr>
        <w:softHyphen/>
        <w:t>мечалось, что «...существующие бомбоотсеки для мелких бомб на Ил-2 не обеспечивают 100% вы</w:t>
      </w:r>
      <w:r w:rsidRPr="00271E51">
        <w:rPr>
          <w:color w:val="000000" w:themeColor="text1"/>
          <w:sz w:val="16"/>
          <w:szCs w:val="16"/>
        </w:rPr>
        <w:softHyphen/>
        <w:t>падения бомб в момент открывания створок, что приводит к зависанию части бомб в отсеке. При посадке зависшие бомбы падают — при этом не исключены случаи их взрыва с последующим раз</w:t>
      </w:r>
      <w:r w:rsidRPr="00271E51">
        <w:rPr>
          <w:color w:val="000000" w:themeColor="text1"/>
          <w:sz w:val="16"/>
          <w:szCs w:val="16"/>
        </w:rPr>
        <w:softHyphen/>
        <w:t>рушением самолета».</w:t>
      </w:r>
    </w:p>
    <w:p w14:paraId="68996A1F"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Вместе с тем по надежности действия бомбы показали вполне удовлетворительные результа</w:t>
      </w:r>
      <w:r w:rsidRPr="00271E51">
        <w:rPr>
          <w:color w:val="000000" w:themeColor="text1"/>
          <w:sz w:val="16"/>
          <w:szCs w:val="16"/>
        </w:rPr>
        <w:softHyphen/>
        <w:t>ты — «отказов в действии бомб при срабатывании взрывателей не было». Отказы самих взрывателей АД-А производства завода № 398 — всего около 5,5% — происходили главным образом «по причи</w:t>
      </w:r>
      <w:r w:rsidRPr="00271E51">
        <w:rPr>
          <w:color w:val="000000" w:themeColor="text1"/>
          <w:sz w:val="16"/>
          <w:szCs w:val="16"/>
        </w:rPr>
        <w:softHyphen/>
        <w:t>не несвертывания ветрянок». В полете на траекто</w:t>
      </w:r>
      <w:r w:rsidRPr="00271E51">
        <w:rPr>
          <w:color w:val="000000" w:themeColor="text1"/>
          <w:sz w:val="16"/>
          <w:szCs w:val="16"/>
        </w:rPr>
        <w:softHyphen/>
        <w:t>рии падения бомбы вели себя устойчиво.</w:t>
      </w:r>
    </w:p>
    <w:p w14:paraId="608914F4"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следствие, бомбу военные забраковали. «ПТАБ-10-2,5 государственных испытаний не выдер</w:t>
      </w:r>
      <w:r w:rsidRPr="00271E51">
        <w:rPr>
          <w:color w:val="000000" w:themeColor="text1"/>
          <w:sz w:val="16"/>
          <w:szCs w:val="16"/>
        </w:rPr>
        <w:softHyphen/>
        <w:t>жала», — констатировалось в заключении отчета по результатам испытаний. Требовалось устранить вы</w:t>
      </w:r>
      <w:r w:rsidRPr="00271E51">
        <w:rPr>
          <w:color w:val="000000" w:themeColor="text1"/>
          <w:sz w:val="16"/>
          <w:szCs w:val="16"/>
        </w:rPr>
        <w:softHyphen/>
        <w:t>явленные недостатки бомбы, изготовить 1200 штук таких бомб (400 — боевых, 600 — «нейтральных») и предъявить их для испытания в НИИ АВ, а также переделать систему закрывания бомбоотсеков са</w:t>
      </w:r>
      <w:r w:rsidRPr="00271E51">
        <w:rPr>
          <w:color w:val="000000" w:themeColor="text1"/>
          <w:sz w:val="16"/>
          <w:szCs w:val="16"/>
        </w:rPr>
        <w:softHyphen/>
        <w:t>молета Ил-2.</w:t>
      </w:r>
    </w:p>
    <w:p w14:paraId="05F5D1DA" w14:textId="77777777" w:rsidR="00617503" w:rsidRPr="00271E51" w:rsidRDefault="0061750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Бомбу срочно доработали (17500).</w:t>
      </w:r>
    </w:p>
    <w:p w14:paraId="42803950" w14:textId="77777777" w:rsidR="00617503" w:rsidRPr="00271E51" w:rsidRDefault="00617503" w:rsidP="00271E51">
      <w:pPr>
        <w:pStyle w:val="12a"/>
        <w:shd w:val="clear" w:color="auto" w:fill="auto"/>
        <w:spacing w:after="0" w:line="240" w:lineRule="auto"/>
        <w:jc w:val="both"/>
        <w:rPr>
          <w:color w:val="000000" w:themeColor="text1"/>
          <w:sz w:val="16"/>
          <w:szCs w:val="16"/>
        </w:rPr>
      </w:pPr>
    </w:p>
    <w:p w14:paraId="4C2396D7"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5E9B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885449" w14:textId="77777777" w:rsidR="006B0025" w:rsidRPr="00271E51" w:rsidRDefault="006B00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октябрь 1943 г. с апреля 1942 г. в среднем по народному хозяйству производительность труда увеличилась на 39,2%, то в авиаиндустрии — на 40,9%. В дальнейшем эта тенденция усилилась и 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(18305).</w:t>
      </w:r>
    </w:p>
    <w:p w14:paraId="1D162CB8" w14:textId="77777777" w:rsidR="006B0025" w:rsidRPr="00271E51" w:rsidRDefault="006B0025" w:rsidP="00271E51">
      <w:pPr>
        <w:spacing w:after="0" w:line="240" w:lineRule="auto"/>
        <w:jc w:val="both"/>
        <w:rPr>
          <w:rFonts w:ascii="Times New Roman" w:hAnsi="Times New Roman"/>
          <w:color w:val="000000" w:themeColor="text1"/>
          <w:sz w:val="16"/>
          <w:szCs w:val="16"/>
        </w:rPr>
      </w:pPr>
    </w:p>
    <w:p w14:paraId="76BE4B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октябре 1943 года ЦКБ-19 разработало эскизный проект 406-мм ж. д. установки ТМ-1-16 с качающейся частью Б-37, которую предполагалось установить на линкоре типа "Советский Союз". Материалы ЦКБ-19 были частично использованы ЦКБ-34, которое в 1951 году выпустило эскизный проект 406-мм ж. д. установки СМ-36. В конструкции СМ-36 впервые в СССР был применен двойной откат. Для СМ-36 создавалась специальная ПУС "Б-30" с РЛС "Редан-3". Работы над "Редан-3" были начаты в 1948 году В РЛС был применен индикатор точных координат для корректировки стрельбы по наблюдению всплесков от снарядов. В декабре 1954 года последовало распоряжение Артуправления ВМФ о прекращении работы над СМ-36. К этому времени ЦКБ-34 разработало рабочие чертежи и техническую документацию, были изготовлены отдельные узлы установки. Кроме того, в декабре 1954 года ЦКБ-34 прекратило разработку еще двух ж. д. установок: ТМ-2-180 и СМ-41. 180-мм установка ТМ-2-180 разрабатывалась с качающейся часть. СМ-45 от корабельной башенной установки СМ-48. Принципиальным отличием СМ-45 от Б-1-П была высока скорострельность, раздельно-гильзовое заряжание вместо картузного и больший угол возвышения, +76, что давало возможность вести огонь по самолетам на высотах до 23 км. Технический проект ТМ-2-180 был выпущен в июне 1954 года, а к моменту окончания работ закладывалась разработка рабочих чертежей. 305-мм ж.д. установка СМ-41 имела качающуюся часть СМ-33 от трехорудийной башенной установки СМ-31 тяжелого крейсера "Сталинград" пр. 82. Орудие СМ-33 было сильнейшей и самой дальнобойной пушкой из когда-либо испытанных в истории. Установка СМ-41 имела двойной откат. Разработка рабочих чертежей и технической документации СМ-41 была закончена в июле 1954 года. Прекращение работ над ж. д. установками было одним из элементов политики Н. С. </w:t>
      </w:r>
      <w:r w:rsidRPr="00271E51">
        <w:rPr>
          <w:rFonts w:ascii="Times New Roman" w:hAnsi="Times New Roman"/>
          <w:color w:val="000000" w:themeColor="text1"/>
          <w:sz w:val="16"/>
          <w:szCs w:val="16"/>
        </w:rPr>
        <w:lastRenderedPageBreak/>
        <w:t>Хрущева по свертыванию работ по морской артиллерии. Тем не менее тяжелые ж. д. установки второго поколения длительно время состояли на вооружении. Так, на 1 января 1984 года в составе ВМФ их было 13. Из них на Черноморском флоте имелось восемь ТМ-1-180, в Ленинградской военно-морской базе два ТМ-3-12 и три ТМ-1-180. Еще две установки ТМ-1-180 и ТМ-3-12 установлены на вечной стоянке вблизи форта Краснофлотский под Санкт-Петербургом (3861).</w:t>
      </w:r>
    </w:p>
    <w:p w14:paraId="7D5646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FF85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ЦКБ-19 закончило разработку проекта транспортера ТМ-1-16 с пушкой 406-мм калибра (11454).</w:t>
      </w:r>
    </w:p>
    <w:p w14:paraId="52778F3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4FBD9721"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октября 1943 г. 19-я батарея провела 118 выходов на огневые позиции и в 89 случаях подверглась ответному огневому воздействию. Немцы выпустили по батарее до 1500 снарядов калибром 150-240-мм, но ни один транспортёр не был выведен из строя (15132).</w:t>
      </w:r>
    </w:p>
    <w:p w14:paraId="375BB3A4"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54076E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 вооружение был принят 76 мм выстрел патронного заряжания с подкалиберным бронебойно-трассирующим снарядом БР-354П, пробивающий с 500 м 90 мм по вертикали (7377, 27)</w:t>
      </w:r>
    </w:p>
    <w:p w14:paraId="3C29C8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головной катер пр. ОД-200 испытывался на Каспии. В 1943—1945 гг. завод 640 сдал ВМФ 103 катера пр. ОД-200 (всего до завершения постройки серии в 1947 г. 167 единиц), при этом время постройки одной единицы на конвейере составило около 2 мес. По результатам испытаний головного катера в дополнение к 37-мм орудию и двум крупнока</w:t>
      </w:r>
      <w:r w:rsidRPr="00271E51">
        <w:rPr>
          <w:rFonts w:ascii="Times New Roman" w:hAnsi="Times New Roman"/>
          <w:color w:val="000000" w:themeColor="text1"/>
          <w:sz w:val="16"/>
          <w:szCs w:val="16"/>
        </w:rPr>
        <w:softHyphen/>
        <w:t>либерным пулеметам на баке серийных катеров был установлен 20-мм автомат "Эрликон", что привело к увеличению водоизмеще</w:t>
      </w:r>
      <w:r w:rsidRPr="00271E51">
        <w:rPr>
          <w:rFonts w:ascii="Times New Roman" w:hAnsi="Times New Roman"/>
          <w:color w:val="000000" w:themeColor="text1"/>
          <w:sz w:val="16"/>
          <w:szCs w:val="16"/>
        </w:rPr>
        <w:softHyphen/>
        <w:t>ния на 1,1 т и уменьшению скорости до 24,3 уз. На серийных кате</w:t>
      </w:r>
      <w:r w:rsidRPr="00271E51">
        <w:rPr>
          <w:rFonts w:ascii="Times New Roman" w:hAnsi="Times New Roman"/>
          <w:color w:val="000000" w:themeColor="text1"/>
          <w:sz w:val="16"/>
          <w:szCs w:val="16"/>
        </w:rPr>
        <w:softHyphen/>
        <w:t>рах устанавливались моторы экономического хода типа "Крейслер" (120 л. с.), дымоаппаратура ДА-7, дополнявшаяся дымовыми шашками МДШ, гидроакустические станции типа "Тамир", проти-вопульная защита ходового мостика и боевых постов у орудий и пулеметов (3898).</w:t>
      </w:r>
    </w:p>
    <w:p w14:paraId="2A02B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6A9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к процессу создания 85-мм танковой пушки для Т-34 присоединились ЦАКБ под руководством В. Грабина и КБ завода № 92 под руководством А. Савина (11135).</w:t>
      </w:r>
    </w:p>
    <w:p w14:paraId="001FC8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2ED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стали заниматься проблемой повышения огневой мощи Т-34. Для установки 85-мм пушки С-53 КБ Грабина (разработчик Ф-34) предложило увеличить башню и расширить ее погон. Также компоновалась 85-мм пушка КБ Ф.Ф. Петрова. Был создан совместный образец ЗИС-С-53, установленный в новой башне с усиленным бронированием (лоб - 90 мм, борт - 75 мм). Выпуск этой машины под обозначением Т-34-85 начался в марте 1944 г. Попытку радикального усовершенствования Т-34 предприняли в 1945 г., с началом выпуска Т-44, который при равной с Т-34-85 боевой массе (31,5 т) имел лобовое бронирование корпуса 120 мм. Бронирование башни не изменилось, но ее сместили наконец-то к центру корпуса, одновременно увеличив в размерах. Тем самым постарались улучшить условия деятельности экипажа, как в бою, так и на марше (стало просторнее и уменьшилась укачиваемость). Повысилась маневренность и проходимость машины с длинноствольной пушкой (длина ствола - 50,1 калибра). Этому же способствовало использование торсионной подвески и планетарного механизма поворота. Увеличение бронирования и боевого отделения стало возможным при установке двигателя поперек корпуса. Сравним теперь наш танк с германскими соперниками. Т-III разрабатывался фирмой "Даймлер-Бенц" и выпускался серийно с 1938 г. Оснащался карбюраторным "Майбахом" мощностью 230-300 л.с. и по удельной энерговооруженности не уступал Т-34. Бронирование поначалу было противопульным, но уже в 1939 г. оно возросло до 30 мм. С середины 1940 г. танки имели бронирование 50 мм (башня и лобовой лист корпуса) и пушку калибра 50 мм, которая по бронепробиваемости на дистанциях до 500 м не уступала пушке Л-11 (при стрельбе подкалиберным выстрелом). В боекомплекте Т-34, напомним, такие выстрелы появились только в 1943 г. С лета 1941 г. преимущество в вооружении постепенно перешло к нашему танку, когда на него стали устанавливать Ф-34 (с сентября этого года машины выпускались только с такой пушкой). Поэтому с декабря 1941 г. на германский танк установили 50-мм пушку с длиной ствола 60 калибров. В 1942 г. танк Т-III по бронепробиваемости на дистанциях до 700 м превосходил Т-34 с пушкой Ф-34. Бронирование их было примерно одинаковым. Дефицит вольфрама для сердечников подкалиберных выстрелов заставил выпускать в 1942 и 1943 гг. некоторое количество танков Т-III с короткоствольной 75-мм пушкой, стрелявшей по танкам кумулятивной гранатой. При неплохой бронепробиваемости (до 70 мм) эти системы могли эффективно применяться на малых дистанциях. В 1942 г. начался массовый выпуск штурмовых орудий на шасси Т-III с пушками калибра 75 мм и длиной ствола 43 и 48 калибров, которые по бронепробиваемости имели большое превосходство перед пушкой Ф-34. Эти самоходные установки стали весьма эффективным средством боевой поддержки наиболее массового германского танка Т-IV. Машина фирмы "Крупп" выпускалась с 1938 г. и оснащалась таким же двигателем, что и Т-III. Сварной корпус простой конфигурации разделялся внутренними перегородками на три отделения для повышения живучести. В переднем отделении находились механик-водитель и стрелок-радист. В боевом отделении с башней многогранной формы (размещавшейся по центру танка) находились командир, наводчик и заряжающий. На башне стояла командирская башенка с пятью смотровыми приборами с броневыми заслонками. В Т-IV по сравнению с Т-34 не было такой стесненности, намного лучше был обзор. Бронирование и вооружение выпускавшихся массовой серией в 1941 г. Т-IV примерно соответствовало показателям первых серий Т-34 с пушкой Л-11. Поэтому во второй половине 1941 и в начале 1942 гг. германский танк стал уступать в боевом единоборстве Т-34. Но уже с марта 1942 г. начался выпуск Т-IV с пушкой калибра 75 мм и длиной ствола 43 калибра. В 1943 и 1944 гг. крупными сериями выпускались танки Т-IV с еще более мощными 75-мм пушками (длина ствола 48 калибров) и бронированием лобовым корпуса до 85 мм. Вместе со штурмовыми орудиями на шасси Т-III и T-IV c таким же бронированием и вооружением они превосходили советские средние танки вплоть до середины 1944 г., когда в массовых количествах стал выпускаться Т-34-85. При отработке и принятии на вооружение танка Т-34 было проигнорировано мнение военных. Не проведены в полном объеме испытания. В итоге в конструкции машины были законсервированы очень существенные недостатки. Поэтому некоторое превосходство Т-34 над серийными германскими танками Т-III и Т-IV быстро было утеряно и восстановилось лишь к середине 1944г. (причем только по мощности пушки, а не по условиям обитания экипажа) (11224).</w:t>
      </w:r>
    </w:p>
    <w:p w14:paraId="2E68CA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31D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г. по январь 1944 г. на ЧКЗ серийно выпускался танк ИС-1.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271E51">
        <w:rPr>
          <w:rFonts w:ascii="Times New Roman" w:hAnsi="Times New Roman"/>
          <w:color w:val="000000" w:themeColor="text1"/>
          <w:sz w:val="16"/>
          <w:szCs w:val="16"/>
        </w:rPr>
        <w:softHyphen/>
        <w:t>ступательной операции (10703).</w:t>
      </w:r>
    </w:p>
    <w:p w14:paraId="150226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1D2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при наступлении на Киев танки 5 гв. тк в количе</w:t>
      </w:r>
      <w:r w:rsidRPr="00271E51">
        <w:rPr>
          <w:rFonts w:ascii="Times New Roman" w:hAnsi="Times New Roman"/>
          <w:color w:val="000000" w:themeColor="text1"/>
          <w:sz w:val="16"/>
          <w:szCs w:val="16"/>
        </w:rPr>
        <w:softHyphen/>
        <w:t>стве 65 единиц форсировали по дну р. Десна, глубина которой в месте форсирования достигала 2 м, а ширина 280 м. Для подготовки танков использовались подручные материалы - пакля, солидол, брезент. Выпиые трубы были наращены брезентовыми шлангами. Верхние концы брезентовых шлангов крепились проволокой к стволу пушки (при рнутой назад башне). Нижние концы - к выхлопным трубам непо-яственно перед входом танка в воду (10703).</w:t>
      </w:r>
    </w:p>
    <w:p w14:paraId="0B52A4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7127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были изготовлены первые серийные танки ИС-85. (3862).</w:t>
      </w:r>
    </w:p>
    <w:p w14:paraId="1C1526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21ADE" w14:textId="77777777" w:rsidR="00E53197" w:rsidRPr="00271E51" w:rsidRDefault="00E5319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октябре 1943 года, несмотря на проблемы с поставкой де</w:t>
      </w:r>
      <w:r w:rsidRPr="00271E51">
        <w:rPr>
          <w:rFonts w:ascii="Times New Roman" w:cs="Times New Roman"/>
          <w:color w:val="000000" w:themeColor="text1"/>
          <w:spacing w:val="0"/>
        </w:rPr>
        <w:softHyphen/>
        <w:t>талей заводами-смежниками, ЧКЗ заводу выполнить месячную програм</w:t>
      </w:r>
      <w:r w:rsidRPr="00271E51">
        <w:rPr>
          <w:rFonts w:ascii="Times New Roman" w:cs="Times New Roman"/>
          <w:color w:val="000000" w:themeColor="text1"/>
          <w:spacing w:val="0"/>
        </w:rPr>
        <w:softHyphen/>
        <w:t>му по КВ-85, сдав военпредам 63 танка:</w:t>
      </w:r>
    </w:p>
    <w:p w14:paraId="1E7D9CDA" w14:textId="77777777" w:rsidR="00E53197" w:rsidRPr="00271E51" w:rsidRDefault="00E5319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«Ритмичность работы по графику Киров</w:t>
      </w:r>
      <w:r w:rsidRPr="00271E51">
        <w:rPr>
          <w:rFonts w:ascii="Times New Roman" w:cs="Times New Roman"/>
          <w:color w:val="000000" w:themeColor="text1"/>
          <w:spacing w:val="0"/>
        </w:rPr>
        <w:softHyphen/>
        <w:t>ского завода нарушали заводы-поставщики. Особенно плохо обстояло по КВ-85 - по</w:t>
      </w:r>
      <w:r w:rsidRPr="00271E51">
        <w:rPr>
          <w:rFonts w:ascii="Times New Roman" w:cs="Times New Roman"/>
          <w:color w:val="000000" w:themeColor="text1"/>
          <w:spacing w:val="0"/>
        </w:rPr>
        <w:softHyphen/>
        <w:t>следние корпуса, башни и погоны прибыли на завод 29—30 октября...</w:t>
      </w:r>
    </w:p>
    <w:p w14:paraId="53F727BE" w14:textId="77777777" w:rsidR="00E53197" w:rsidRPr="00271E51" w:rsidRDefault="00E53197"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введением в серию танков КВ-85 техно</w:t>
      </w:r>
      <w:r w:rsidRPr="00271E51">
        <w:rPr>
          <w:rFonts w:ascii="Times New Roman" w:cs="Times New Roman"/>
          <w:color w:val="000000" w:themeColor="text1"/>
          <w:spacing w:val="0"/>
        </w:rPr>
        <w:softHyphen/>
        <w:t>логия на артвооружение и башенную группу до сего времени не доработана, сборка этой группы шла без всякой подведенной техни</w:t>
      </w:r>
      <w:r w:rsidRPr="00271E51">
        <w:rPr>
          <w:rFonts w:ascii="Times New Roman" w:cs="Times New Roman"/>
          <w:color w:val="000000" w:themeColor="text1"/>
          <w:spacing w:val="0"/>
        </w:rPr>
        <w:softHyphen/>
        <w:t>ческой базы, оснастка отсутствовала, а сле</w:t>
      </w:r>
      <w:r w:rsidRPr="00271E51">
        <w:rPr>
          <w:rFonts w:ascii="Times New Roman" w:cs="Times New Roman"/>
          <w:color w:val="000000" w:themeColor="text1"/>
          <w:spacing w:val="0"/>
        </w:rPr>
        <w:softHyphen/>
        <w:t>довательно, и качество по этой группе в ос</w:t>
      </w:r>
      <w:r w:rsidRPr="00271E51">
        <w:rPr>
          <w:rFonts w:ascii="Times New Roman" w:cs="Times New Roman"/>
          <w:color w:val="000000" w:themeColor="text1"/>
          <w:spacing w:val="0"/>
        </w:rPr>
        <w:softHyphen/>
        <w:t>новном было низкое, особенно затрудняли сборку такие массовые дефекты как:</w:t>
      </w:r>
    </w:p>
    <w:p w14:paraId="4BBC87FA"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Заклинивание башни</w:t>
      </w:r>
    </w:p>
    <w:p w14:paraId="1AB96780" w14:textId="77777777" w:rsidR="00E53197" w:rsidRPr="00271E51" w:rsidRDefault="00E53197" w:rsidP="00271E51">
      <w:pPr>
        <w:pStyle w:val="27"/>
        <w:shd w:val="clear" w:color="auto" w:fill="auto"/>
        <w:tabs>
          <w:tab w:val="left" w:pos="498"/>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Чрезмерно велико усилие на маховике поворотного механизма.</w:t>
      </w:r>
    </w:p>
    <w:p w14:paraId="55C45FA2" w14:textId="77777777" w:rsidR="00E53197" w:rsidRPr="00271E51" w:rsidRDefault="00E53197" w:rsidP="00271E51">
      <w:pPr>
        <w:pStyle w:val="27"/>
        <w:shd w:val="clear" w:color="auto" w:fill="auto"/>
        <w:tabs>
          <w:tab w:val="left" w:pos="455"/>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3. Необеспеченность угла склонения и воз</w:t>
      </w:r>
      <w:r w:rsidRPr="00271E51">
        <w:rPr>
          <w:rFonts w:ascii="Times New Roman" w:cs="Times New Roman"/>
          <w:color w:val="000000" w:themeColor="text1"/>
          <w:spacing w:val="0"/>
        </w:rPr>
        <w:softHyphen/>
        <w:t>вышения пушки.</w:t>
      </w:r>
    </w:p>
    <w:p w14:paraId="6995A44A" w14:textId="77777777" w:rsidR="00E53197" w:rsidRPr="00271E51" w:rsidRDefault="00E53197" w:rsidP="00271E51">
      <w:pPr>
        <w:pStyle w:val="27"/>
        <w:shd w:val="clear" w:color="auto" w:fill="auto"/>
        <w:tabs>
          <w:tab w:val="left" w:pos="297"/>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4. Работа электроспуска с задержками» (15226).</w:t>
      </w:r>
    </w:p>
    <w:p w14:paraId="2CCC8DF1" w14:textId="77777777" w:rsidR="00E53197" w:rsidRPr="00271E51" w:rsidRDefault="00E53197" w:rsidP="00271E51">
      <w:pPr>
        <w:pStyle w:val="27"/>
        <w:shd w:val="clear" w:color="auto" w:fill="auto"/>
        <w:tabs>
          <w:tab w:val="left" w:pos="297"/>
        </w:tabs>
        <w:spacing w:after="0" w:line="240" w:lineRule="auto"/>
        <w:ind w:firstLine="0"/>
        <w:rPr>
          <w:rFonts w:ascii="Times New Roman" w:cs="Times New Roman"/>
          <w:color w:val="000000" w:themeColor="text1"/>
          <w:spacing w:val="0"/>
        </w:rPr>
      </w:pPr>
    </w:p>
    <w:p w14:paraId="3E6E0EF9"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производство танков КВ-85 прекрати</w:t>
      </w:r>
      <w:r w:rsidRPr="00271E51">
        <w:rPr>
          <w:rFonts w:ascii="Times New Roman" w:hAnsi="Times New Roman"/>
          <w:color w:val="000000" w:themeColor="text1"/>
          <w:sz w:val="16"/>
          <w:szCs w:val="16"/>
        </w:rPr>
        <w:softHyphen/>
        <w:t>лось. Всего за три меся</w:t>
      </w:r>
      <w:r w:rsidRPr="00271E51">
        <w:rPr>
          <w:rFonts w:ascii="Times New Roman" w:hAnsi="Times New Roman"/>
          <w:color w:val="000000" w:themeColor="text1"/>
          <w:sz w:val="16"/>
          <w:szCs w:val="16"/>
        </w:rPr>
        <w:softHyphen/>
        <w:t>ца Кировский завод изготовил 148 машин этого типа, после чего перешел на выпуск танков ИС-85. Из-за того, что производ</w:t>
      </w:r>
      <w:r w:rsidRPr="00271E51">
        <w:rPr>
          <w:rFonts w:ascii="Times New Roman" w:hAnsi="Times New Roman"/>
          <w:color w:val="000000" w:themeColor="text1"/>
          <w:sz w:val="16"/>
          <w:szCs w:val="16"/>
        </w:rPr>
        <w:softHyphen/>
        <w:t>ство танков КВ-85 шло по неотработан</w:t>
      </w:r>
      <w:r w:rsidRPr="00271E51">
        <w:rPr>
          <w:rFonts w:ascii="Times New Roman" w:hAnsi="Times New Roman"/>
          <w:color w:val="000000" w:themeColor="text1"/>
          <w:sz w:val="16"/>
          <w:szCs w:val="16"/>
        </w:rPr>
        <w:softHyphen/>
        <w:t>ной технологии, многие операции делались что называется «на коленке». А отсутствие полностью выверенных чертежей приводи</w:t>
      </w:r>
      <w:r w:rsidRPr="00271E51">
        <w:rPr>
          <w:rFonts w:ascii="Times New Roman" w:hAnsi="Times New Roman"/>
          <w:color w:val="000000" w:themeColor="text1"/>
          <w:sz w:val="16"/>
          <w:szCs w:val="16"/>
        </w:rPr>
        <w:softHyphen/>
        <w:t>ло к тому, что ряд деталей и агрегатов при</w:t>
      </w:r>
      <w:r w:rsidRPr="00271E51">
        <w:rPr>
          <w:rFonts w:ascii="Times New Roman" w:hAnsi="Times New Roman"/>
          <w:color w:val="000000" w:themeColor="text1"/>
          <w:sz w:val="16"/>
          <w:szCs w:val="16"/>
        </w:rPr>
        <w:softHyphen/>
        <w:t>ходилось монтировать в танке «по месту». В результате, у КВ-85 было множество не</w:t>
      </w:r>
      <w:r w:rsidRPr="00271E51">
        <w:rPr>
          <w:rFonts w:ascii="Times New Roman" w:hAnsi="Times New Roman"/>
          <w:color w:val="000000" w:themeColor="text1"/>
          <w:sz w:val="16"/>
          <w:szCs w:val="16"/>
        </w:rPr>
        <w:softHyphen/>
        <w:t>доработок и «детских болезней», особен</w:t>
      </w:r>
      <w:r w:rsidRPr="00271E51">
        <w:rPr>
          <w:rFonts w:ascii="Times New Roman" w:hAnsi="Times New Roman"/>
          <w:color w:val="000000" w:themeColor="text1"/>
          <w:sz w:val="16"/>
          <w:szCs w:val="16"/>
        </w:rPr>
        <w:softHyphen/>
        <w:t>но в части установки башни и вооружения (15226).</w:t>
      </w:r>
    </w:p>
    <w:p w14:paraId="1F4137AE"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2401E4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экспериментальным цехом завода № 112 был изготовлен опытный образец танка СГ-34, который в октябре-ноя</w:t>
      </w:r>
      <w:r w:rsidRPr="00271E51">
        <w:rPr>
          <w:rFonts w:ascii="Times New Roman" w:hAnsi="Times New Roman"/>
          <w:color w:val="000000" w:themeColor="text1"/>
          <w:sz w:val="16"/>
          <w:szCs w:val="16"/>
        </w:rPr>
        <w:softHyphen/>
        <w:t xml:space="preserve">бре того же года прошел заводские испытания. На вооружение танк СГ-34 не принимался и в серийном производстве не состоял. Танк СГ-34 был создан на базе серийного танка Т-34-76 обр. 1941 г. Он </w:t>
      </w:r>
      <w:r w:rsidRPr="00271E51">
        <w:rPr>
          <w:rFonts w:ascii="Times New Roman" w:hAnsi="Times New Roman"/>
          <w:color w:val="000000" w:themeColor="text1"/>
          <w:sz w:val="16"/>
          <w:szCs w:val="16"/>
        </w:rPr>
        <w:lastRenderedPageBreak/>
        <w:t>отличался от него максимальной герметизацией всей машины в це</w:t>
      </w:r>
      <w:r w:rsidRPr="00271E51">
        <w:rPr>
          <w:rFonts w:ascii="Times New Roman" w:hAnsi="Times New Roman"/>
          <w:color w:val="000000" w:themeColor="text1"/>
          <w:sz w:val="16"/>
          <w:szCs w:val="16"/>
        </w:rPr>
        <w:softHyphen/>
        <w:t>лом, а также монтажом специального комплекта оборудования, обеспе</w:t>
      </w:r>
      <w:r w:rsidRPr="00271E51">
        <w:rPr>
          <w:rFonts w:ascii="Times New Roman" w:hAnsi="Times New Roman"/>
          <w:color w:val="000000" w:themeColor="text1"/>
          <w:sz w:val="16"/>
          <w:szCs w:val="16"/>
        </w:rPr>
        <w:softHyphen/>
        <w:t>чивавшего работоспособность двигателя и членов экипажа танка при его движении под водой. В связи с установкой комплекта ОПВТ на тан</w:t>
      </w:r>
      <w:r w:rsidRPr="00271E51">
        <w:rPr>
          <w:rFonts w:ascii="Times New Roman" w:hAnsi="Times New Roman"/>
          <w:color w:val="000000" w:themeColor="text1"/>
          <w:sz w:val="16"/>
          <w:szCs w:val="16"/>
        </w:rPr>
        <w:softHyphen/>
        <w:t>ке был демонтирован левый верхний носовой топливный бак, в резуль</w:t>
      </w:r>
      <w:r w:rsidRPr="00271E51">
        <w:rPr>
          <w:rFonts w:ascii="Times New Roman" w:hAnsi="Times New Roman"/>
          <w:color w:val="000000" w:themeColor="text1"/>
          <w:sz w:val="16"/>
          <w:szCs w:val="16"/>
        </w:rPr>
        <w:softHyphen/>
        <w:t>тате чего запас топлива уменьшился на 56 л, а из-за установки аппара</w:t>
      </w:r>
      <w:r w:rsidRPr="00271E51">
        <w:rPr>
          <w:rFonts w:ascii="Times New Roman" w:hAnsi="Times New Roman"/>
          <w:color w:val="000000" w:themeColor="text1"/>
          <w:sz w:val="16"/>
          <w:szCs w:val="16"/>
        </w:rPr>
        <w:softHyphen/>
        <w:t>туры забортного охлаждения радиаторов двигателя был сокращен бое</w:t>
      </w:r>
      <w:r w:rsidRPr="00271E51">
        <w:rPr>
          <w:rFonts w:ascii="Times New Roman" w:hAnsi="Times New Roman"/>
          <w:color w:val="000000" w:themeColor="text1"/>
          <w:sz w:val="16"/>
          <w:szCs w:val="16"/>
        </w:rPr>
        <w:softHyphen/>
        <w:t>комплект пушки на 14 выстрелов и изменена укладка ЗИП. Танк СГ-34 мог преодолевать водные преграды глубиной до 5 м с возможностью ве</w:t>
      </w:r>
      <w:r w:rsidRPr="00271E51">
        <w:rPr>
          <w:rFonts w:ascii="Times New Roman" w:hAnsi="Times New Roman"/>
          <w:color w:val="000000" w:themeColor="text1"/>
          <w:sz w:val="16"/>
          <w:szCs w:val="16"/>
        </w:rPr>
        <w:softHyphen/>
        <w:t>дения боевых действий после преодоления водной преграды (10703).</w:t>
      </w:r>
    </w:p>
    <w:p w14:paraId="779A93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AD5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по инициативе В.А.Малышева Для того, чтобы ускорить процесс увязки 85-мм пушки для Т-34 группа Набутовского была отправлена в ЦАКБ. Набутовский явился к Малышеву, и тот распорядился организовать филиал Морозовского КБ на артиллерийском заводе при котором работало ЦАКБ Грабина. Совместная работа с Грабиным продолжалась недолго. Выяснилось, что под пушку С-53 потребуются большая по размерам башня и уширенный погон. Затем Набутовский направился к Ф. Ф. Петрову. Они вместе пришли к выводу, что его пушка нуждается в такой же переделке башни, что и пушка Грабина. На состоявшемся вскоре совещании, с участием наркома вооружения Д. Ф. Устинова, В. Г. Грабина, Ф. Ф. Петрова, было решено провести сравнительные испытания обеих пушек. По результатам испытаний оба артиллерийских конструкторских бюро создали новую пушку ЗИС-С-53, в которой были устранены недостатки "прародительских" систем. Пушка была испытана и показала отличные результаты (отметим, что работа по созданию новой пушки заняла всего лишь один месяц). Но башня под эту пушку подготовлена не была. Группа Крылова на заводе №112 сконструировала литую башню с погоном 1600 мм под пушку С-53. Однако группа бронирования, руководимая А. Окуневым, установила, что в новой башне ограничен угол вертикальной наводки пушки. Нужно было либо изменить конструкцию башни, либо взять другую пушку.</w:t>
      </w:r>
    </w:p>
    <w:p w14:paraId="3AB7A1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Грабин же, человек честолюбивый и нетерпеливый, решил "натянуть нос" танкистам, опередив их. Для этого он добился того, чтобы завод №112 выделил ему один из серийных танков Т-34, на котором переделали переднюю часть башни и кое-как впихнули туда новую пушку. Не долго думая, Грабин передал Д. Ф. Устинову и В. А. Малышеву свой проект на утверждение, в соответствии с которым завод №112 должен был начать выпуск опытных образцов модернизированного танка. Однако многие специалисты Научно-танкового комитета (НТК) и Наркомата вооружений законно усомнились в достоинствах "грабинского проекта". Малышев срочно приказал Набутовскому с группой вылететь на завод №112 и разобраться в этом деле. И вот Набутовский на специальном совещании в присутствии Д. Ф. Устинова, Я. Н. Федоренко и В. Г. Грабина подвергают идею последнего уничтожающей критике. "Конечно, - замечает он, - было бы весьма заманчиво поместить новую пушку в танк без существенных переделок. Решение это простое, но абсолютно неприемлемое по той причине, что при такой установке пушки крепление ее окажется слабым, возникнет большой неуравновешенный момент. Кроме того, это создает тесноту в боевом отделении и существенно усложнит работу экипажа. Более того, при попадании снарядов в лобовую броню, пушка вывалится". Набутовский заявил даже, что, приняв этот проект, мы подведем армию. Наступившие молчание нарушил Грабин. "Я - не танкист, - сказал он, - и не могу учесть всего. А для осуществления вашего проекта потребуется много времени, снижение производства". Устинов спросил, сколько времени надо, чтобы представить проект КБ завода №183 на утверждение данного совещания. Набутовский попросил неделю, директор завода №112 К. Э. Рубинчик любезно предоставил ему все свое КБ. Устинов же назначил следующую встречу через три дня. На помощь прибыл А. А. Молоштанов и после трех дней круглосуточной работы техническая документация была готова (3905).</w:t>
      </w:r>
    </w:p>
    <w:p w14:paraId="31B71C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035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был изготовлен опытный образец машины ИСУ-152. В октяб</w:t>
      </w:r>
      <w:r w:rsidRPr="00271E51">
        <w:rPr>
          <w:rFonts w:ascii="Times New Roman" w:hAnsi="Times New Roman"/>
          <w:color w:val="000000" w:themeColor="text1"/>
          <w:sz w:val="16"/>
          <w:szCs w:val="16"/>
        </w:rPr>
        <w:softHyphen/>
        <w:t>ре — ноябре установка прошла заводские и полигонные испытания на НИБТ полигоне и Гороховецком АНИОПе и 6 ноября 1943 г. поста</w:t>
      </w:r>
      <w:r w:rsidRPr="00271E51">
        <w:rPr>
          <w:rFonts w:ascii="Times New Roman" w:hAnsi="Times New Roman"/>
          <w:color w:val="000000" w:themeColor="text1"/>
          <w:sz w:val="16"/>
          <w:szCs w:val="16"/>
        </w:rPr>
        <w:softHyphen/>
        <w:t>новлением ГКО была принята на вооружение. В декабре того же года на ЧКЗ началось серийное производство самоходной установки ИСУ-152, которое продолжалось до 1946 г. Всего с 1943 г по май 1945 г. включительно было выпущено 1885 самоходных установок ИСУ-152, которые широко применялись на фронтах Великой Отечественной войны на ее завершающем этапе. Простота конструкции и эксплуата</w:t>
      </w:r>
      <w:r w:rsidRPr="00271E51">
        <w:rPr>
          <w:rFonts w:ascii="Times New Roman" w:hAnsi="Times New Roman"/>
          <w:color w:val="000000" w:themeColor="text1"/>
          <w:sz w:val="16"/>
          <w:szCs w:val="16"/>
        </w:rPr>
        <w:softHyphen/>
        <w:t>ции способствовали быстрому освоению машины экипажами. В по</w:t>
      </w:r>
      <w:r w:rsidRPr="00271E51">
        <w:rPr>
          <w:rFonts w:ascii="Times New Roman" w:hAnsi="Times New Roman"/>
          <w:color w:val="000000" w:themeColor="text1"/>
          <w:sz w:val="16"/>
          <w:szCs w:val="16"/>
        </w:rPr>
        <w:softHyphen/>
        <w:t>слевоенный период ИСУ-152 была модернизирована, а ее шасси ис</w:t>
      </w:r>
      <w:r w:rsidRPr="00271E51">
        <w:rPr>
          <w:rFonts w:ascii="Times New Roman" w:hAnsi="Times New Roman"/>
          <w:color w:val="000000" w:themeColor="text1"/>
          <w:sz w:val="16"/>
          <w:szCs w:val="16"/>
        </w:rPr>
        <w:softHyphen/>
        <w:t>пользовалось при создании самоходных ракетных пусковых устано</w:t>
      </w:r>
      <w:r w:rsidRPr="00271E51">
        <w:rPr>
          <w:rFonts w:ascii="Times New Roman" w:hAnsi="Times New Roman"/>
          <w:color w:val="000000" w:themeColor="text1"/>
          <w:sz w:val="16"/>
          <w:szCs w:val="16"/>
        </w:rPr>
        <w:softHyphen/>
        <w:t>вок и тягачей - эвакуаторов (10703).</w:t>
      </w:r>
    </w:p>
    <w:p w14:paraId="2C6EB2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538F1" w14:textId="77777777" w:rsidR="00E53197" w:rsidRPr="00271E51" w:rsidRDefault="00E5319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прекратили и ра</w:t>
      </w:r>
      <w:r w:rsidRPr="00271E51">
        <w:rPr>
          <w:rFonts w:ascii="Times New Roman" w:hAnsi="Times New Roman"/>
          <w:color w:val="000000" w:themeColor="text1"/>
          <w:sz w:val="16"/>
          <w:szCs w:val="16"/>
        </w:rPr>
        <w:softHyphen/>
        <w:t>боты по 152-мм гаубицам для тяжелых танков. На вооружение уже поступала САУ СУ-152 и ожидались ИСУ-152 и ИС-2. Последний, вооруженный дорабо</w:t>
      </w:r>
      <w:r w:rsidRPr="00271E51">
        <w:rPr>
          <w:rFonts w:ascii="Times New Roman" w:hAnsi="Times New Roman"/>
          <w:color w:val="000000" w:themeColor="text1"/>
          <w:sz w:val="16"/>
          <w:szCs w:val="16"/>
        </w:rPr>
        <w:softHyphen/>
        <w:t>танной для установки в танк корпусной пушкой, вполне можно рассматривать как артиллерийский или штурмовой танк. Особенно на фоне его, вооружен</w:t>
      </w:r>
      <w:r w:rsidRPr="00271E51">
        <w:rPr>
          <w:rFonts w:ascii="Times New Roman" w:hAnsi="Times New Roman"/>
          <w:color w:val="000000" w:themeColor="text1"/>
          <w:sz w:val="16"/>
          <w:szCs w:val="16"/>
        </w:rPr>
        <w:softHyphen/>
        <w:t>ных гаубицами, собратьев (15232).</w:t>
      </w:r>
    </w:p>
    <w:p w14:paraId="1C5646ED" w14:textId="77777777" w:rsidR="00E53197" w:rsidRPr="00271E51" w:rsidRDefault="00E53197" w:rsidP="00271E51">
      <w:pPr>
        <w:spacing w:after="0" w:line="240" w:lineRule="auto"/>
        <w:jc w:val="both"/>
        <w:rPr>
          <w:rFonts w:ascii="Times New Roman" w:hAnsi="Times New Roman"/>
          <w:color w:val="000000" w:themeColor="text1"/>
          <w:sz w:val="16"/>
          <w:szCs w:val="16"/>
        </w:rPr>
      </w:pPr>
    </w:p>
    <w:p w14:paraId="34EBAF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октябре 1943 на ЧКЗ изготовили опытный образец ИМУ-152. При разработке установка получила заводское обозначение «объект 241». Ведущим конструктором был назначен Г.Н.Москвин. В течение нескольких недель САУ проходила испытания на НИБТПолигоне в Кубинке и АНИОПе в Гороховце. 6 ноября 1943 года постановлением ГКО новую машину приняли на вооружение под обозначением ИСУ-152, а в декабре началось ее серийное производство. </w:t>
      </w:r>
    </w:p>
    <w:p w14:paraId="50BCF8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Компоновка ИСУ-152 принципиальными новшествами не отличалась. Боевая рубка, изготовленная из катаных броневых листов, устанавливалась в передней части корпуса, объединяя в один объем отделения управления и боевое. Мотор-но-трансмиссионное отделение находилось в кормовой части корпуса. Носовая часть корпуса на установках первых выпусков изготавливалась литой, на машинах последних выпусков имела сварную конструкцию. Количество и размещение членов экипажа были такими же, как и у СУ-152. Если экипаж состоял из четырех человек, то обязанности заряжающего выполнял замковый. Для посадки экипажа в крыше рубки имелись два круглых люка в передней части и один прямоугольный в кормовой. Все люки закрывались двухстворчатыми крышками, в верхних створках которых были установлены приборы наблюдения МК-4. В лобовом листе рубки располагался смотровой лючок механика-водителя, закрывавшийся броневой пробкой со стеклоблоком и смотровой щелью. </w:t>
      </w:r>
    </w:p>
    <w:p w14:paraId="7C9F81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Сама по себе конструкция боевой рубки принципиальным изменениям не подверглась. Из-за меньшей ширины танка ИС, по сравнению с KB, пришлось уменьшить наклон бортовых листов с 25° до 15° к вертикали, а наклон кормового листа ликвидировать совсем. Толщина брони при этом возросла с 75 до 90 мм у лобового листа рубки и с 60 до 75 мм у бортовых. Маска пушки имела толщину 60 мм, а впоследствии была доведена до 100 мм. </w:t>
      </w:r>
    </w:p>
    <w:p w14:paraId="0E3D4A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рубки состояла из двух частей. Передняя часть крыши приваривалась к передним, скуловым и бортовым листам. В ней, помимо двух круглых люков, делалось отверстие для установки вентилятора боевого отделения (посередине), которое снаружи закрывалось броневым колпаком, и также предусматривались лючок для доступа к заливной горловине левого переднего топливного бака (слева) и отверстие антенного ввода (справа). Задний лист крыши выполнялся съемным и крепился болтами. Следует отметить, что установка вытяжного вентилятора стала существенным достоинством ИСУ-152, по сравнению с СУ-152, в которой вытяжной принудительной вентиляции не было вообще и члены экипажа во время боя порой теряли сознание от скапливавшихся пороховых газов. Впрочем, по воспоминаниям самоходчиков, и на новой машине вентиляция оставляла желать лучшего — при открывании затвора после выстрела лавина густого порохового дыма, похожая на сметану, струилась из ствола орудия и медленно растекалась по полу боевого отделения. </w:t>
      </w:r>
    </w:p>
    <w:p w14:paraId="60655C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над моторно-трансмиссионным отделением состояла из съемного листа над двигателем, сеток над окнами воздухопритока к двигателю и броневых решеток над жалюзи. В съемном листе имелся люк для доступа к узлам и агрегатам двигателя, закрывавшийся откидной крышкой. В задней части листа располагались два лючка для доступа к заправочным горловинам топливного и масляного баков. Средний кормовой лист корпуса в боевом положении привинчивался болтами, при ремонте он мог быть откинут на петлях. Для доступа к агрегатам трансмиссии в нем имелись два круглых люка, закрывавшихся откидными броневыми крышками. Днище корпуса было сварено из трех броневых листов и имело лючки и отверстия, закрывавшиеся броневыми крышками и пробками. </w:t>
      </w:r>
    </w:p>
    <w:p w14:paraId="2B92F7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152-мм гаубица-пушка МЛ-20С обр. 1937/43 г. монтировалась в литой рамке, игравшей роль верхнего станка орудия, и защищалась литой же броневой маской, заимствованной у СУ-152. Качающаяся часть самоходной гаубицы-пушки имела незначительные отличия, по сравнению с полевой: были установлены откидной лоток для облегчения заряжания и дополнительная тяга к спусковому механизму, ручки маховиков подъемного и поворотного механизмов находились у наводчика слева по ходу машины, цапфы были вынесены вперед для естественного уравновешивания. Вертикальные углы наведения колебались в пределах от -3° до +20°, горизонтальные — в секторе 10°. Высота линии огня составляла 1800 мм. Для стрельбы прямой наводкой применялся телескопический прицел СТ-10 с полунезависимой линией прицеливания, для ведения огня с закрытых огневых позиций служила панорама Герца с удлинителем, объектив которой выходил из рубки через открытый левый верхний люк. При стрельбе в ночных условиях шкалы прицела и панорамы, а также прицельная и орудийная стрелки подсвечивались электрическими лампочками прибора «Луч 5». Дальность стрельбы прямой наводкой составляла 3800 м, наибольшая — 6200 м. Скорострельность — 2 — 3 выстр./мин. Орудие имело электрический и механический (ручной) спуски. Гашетка электроспуска находилась на ручке маховика подъемного механизма. На орудиях первых выпусков использовался механический (ручной) спуск. Подъемный и поворотный механизмы секторного типа крепились на кронштейнах к левой щеке рамки. </w:t>
      </w:r>
    </w:p>
    <w:p w14:paraId="40260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Боекомплект состоял из 21 выстрела раздельного гильзового заряжания с бронебойно-трассирующими остроголовыми снарядами БР-540, осколочно-фугасными пушечными и стальными гаубичными гранатами ОФ-540 и ОФ-530, осколочными гаубичными гранатами из сталистого чугуна О-530А. Бронебойно-трассирующие снаряды находились в нише боевой рубки с левой стороны в специальных рамках, осколочно-фугасные гранаты — там же, гильзы с боевыми зарядами в нише рубки в специальных рамках и в хомутиковой укладке. Часть гильз с боевыми зарядами размещалась на днище под орудием. Начальная скорость бронебойного снаряда при массе 48,78 кг составляла 600 м/с, на дальности 1000 м он пробивал броню толщиной 123 мм. </w:t>
      </w:r>
    </w:p>
    <w:p w14:paraId="0EAA43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На части машин с октября 1944 года на вращающемся погоне командирского люка стала устанавливаться зенитная турель с 12,7-мм пулеметом ДШК обр. 1938 г. Боекомплект к пулемету составлял 250 патронов. Кроме того, в боевом отделении укладывались два пистолета-пулемета ППШ (позже — ППС) с боекомплектом 1491 патрон и 20 ручных гранат Ф-1. </w:t>
      </w:r>
    </w:p>
    <w:p w14:paraId="34EEE5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Силовая установка и трансмиссия были заимствованы у танка ИС-1 (ИС-2). На ИСУ-152 устанавливался 12-цилиндровый четырехтактный дизель В-2ИС (В-2-10) мощностью 520 л.с. при 2000 об/мин. Цилиндры располагались V-образно под углом 60°. Степень сжатия 14 — 15. Масса двигателя 1000 кг. </w:t>
      </w:r>
    </w:p>
    <w:p w14:paraId="4BE802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Общая емкость трех топливных баков составляла 520 л. Еще 300 л перевозилось в трех наружных баках, не подключенных к системе питания. Подача топлива принудительная, с помощью двенадцатиплунжерного топливного насоса высокого давления НК1. </w:t>
      </w:r>
    </w:p>
    <w:p w14:paraId="1EC6D4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смазки — циркуляционная, под давлением. В бак встроен циркуляционный бачок, обеспечивавший быстрый прогрев масла и возможность пользоваться методом разжижения масла бензином. </w:t>
      </w:r>
    </w:p>
    <w:p w14:paraId="4CC9E4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охлаждения — жидкостная, закрытая, с принудительной циркуляцией. Радиаторов — два, пластинчато-трубчатых, подковообразной формы, установленных над центробежным вентилятором. </w:t>
      </w:r>
    </w:p>
    <w:p w14:paraId="786163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очистки воздуха, поступающего в цилиндры двигателя, на танке устанавли¬вались два воздухоочистителя марки ВТ-5 типа «мультициклон». В головки воз¬духоочистителей были встроены форсун¬ки и запальные свечи для подогрева всасываемого воздуха зимой. Кроме того, для подогрева охлаждающей жидкости в системе охлаждения двигателя использовались фитильные обогреватели, работавшие на дизельном топливе. Эти же обогреватели обеспечивали и обогрев боевого отделения машины на длительных стоянках. Пуск двигателя осуществлялся инерционным стартером, имевшим ручной и электрический приводы, или с помощью баллонов со сжатым воздухом. </w:t>
      </w:r>
    </w:p>
    <w:p w14:paraId="4B4405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Трансмиссия САУ включала в себя многодисковый главный фрикцион сухого трения (сталь по ферродо), четырехступенчатую восьмискоростную коробку передач с демультипликатором, двухступенчатые планетарные механизмы поворота с многодисковым блокировочным фрикционом и двухступенчатые бортовые передачи с планетарным рядом. Ходовая часть САУ применительно к одному борту состояла из шести сдвоенных литых опорных катков диаметром 550 мм и трех поддерживающих катков. Ведущие колеса заднего расположения имели два съемных зубчатых венца с 14-ю зубьями каждый. Направляющие колеса — литые, с кривошипным механизмом натяжения гусениц, взаимозаменяемые с опорными катками. Подвеска — индивидуальная торсионная. Гусеницы стальные, мелкозвенчатые, из 86 одно-гребневых траков каждая. Траки штампованные, шириной 650 мм и шагом 162 мм. Зацепление цевочное. </w:t>
      </w:r>
    </w:p>
    <w:p w14:paraId="0B9B3B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внешней радиосвязи на машинах устанавливалась радиостанция ЮР или 10РК, для внутренней — переговорное устройство ТПУ-4-бисФ. Для связи с десантом на корме имелась кнопка звуковой сигнализации (11638).</w:t>
      </w:r>
    </w:p>
    <w:p w14:paraId="5D56F1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D4665" w14:textId="77777777" w:rsidR="006B0025" w:rsidRPr="00271E51" w:rsidRDefault="006B00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подготовка к производству ИСУ-152 если и шла, то очень медленно. Особенно это касается корпусного производства. На тот момент единственным поставщиком корпусов был завод №200, который работал на пределе возможностей. В октябре 1943 года здесь планировалось сдать 70 корпусов и рубок СУ-152, 57 корпусов и башен КВ-85 и 15 комплектов для ИС-85. Завод сконцентрировался на выпуске комплектующих для СУ-152 и КВ-85, не сдав ни одного комплекта на ИС-152, хотя за октябрь планировалось получить пять корпусов и рубок для этих машин (интересно, что в переписке рубки традиционно называли башнями).</w:t>
      </w:r>
    </w:p>
    <w:p w14:paraId="5A326E80" w14:textId="77777777" w:rsidR="006B0025" w:rsidRPr="00271E51" w:rsidRDefault="006B00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Серийное производство по программе ИС-152 началось в ноябре, причём при запланированных 26 комплектах завод сдал 30, а в декабре — ещё 46 комплектов. Декабрь стал переломным: закончился ералаш с одновременным выпуском 3–4 типов боевых машин. ИС-85 и ИС-2 отличались в основном башнями, так что эти машины с точки зрения производства корпусов можно считать однотипными (18171).</w:t>
      </w:r>
    </w:p>
    <w:p w14:paraId="5BC60E39" w14:textId="77777777" w:rsidR="006B0025" w:rsidRPr="00271E51" w:rsidRDefault="006B0025" w:rsidP="00271E51">
      <w:pPr>
        <w:spacing w:after="0" w:line="240" w:lineRule="auto"/>
        <w:jc w:val="both"/>
        <w:rPr>
          <w:rFonts w:ascii="Times New Roman" w:hAnsi="Times New Roman"/>
          <w:color w:val="000000" w:themeColor="text1"/>
          <w:sz w:val="16"/>
          <w:szCs w:val="16"/>
        </w:rPr>
      </w:pPr>
    </w:p>
    <w:p w14:paraId="581C85DC" w14:textId="77777777" w:rsidR="00617503" w:rsidRPr="00271E51" w:rsidRDefault="00617503" w:rsidP="00271E51">
      <w:pPr>
        <w:pStyle w:val="a3"/>
        <w:rPr>
          <w:color w:val="000000" w:themeColor="text1"/>
          <w:lang w:val="ru-RU"/>
        </w:rPr>
      </w:pPr>
      <w:r w:rsidRPr="00271E51">
        <w:rPr>
          <w:color w:val="000000" w:themeColor="text1"/>
          <w:lang w:val="ru-RU"/>
        </w:rPr>
        <w:t>В октябре 1943 года на испы</w:t>
      </w:r>
      <w:r w:rsidRPr="00271E51">
        <w:rPr>
          <w:color w:val="000000" w:themeColor="text1"/>
          <w:lang w:val="ru-RU"/>
        </w:rPr>
        <w:softHyphen/>
        <w:t xml:space="preserve">тания вышла самоходная установка ИС-152 (ИСУ-152). 6 ноября по постановлению ГКО №4504 «О тяжелой самоходной артиллерийской установке ИС-152 с гаубицей-пушкой МЛ-20с» новую самоходную установку приняли на вооружение. Еще раньше, 31 октября 1943 года, приняли на вооружение тяжелый танк ИС-2, который служил базой для ИСУ-152. Таким образом, эпоха тяжелых танков </w:t>
      </w:r>
      <w:r w:rsidRPr="00271E51">
        <w:rPr>
          <w:color w:val="000000" w:themeColor="text1"/>
        </w:rPr>
        <w:t>KB</w:t>
      </w:r>
      <w:r w:rsidRPr="00271E51">
        <w:rPr>
          <w:color w:val="000000" w:themeColor="text1"/>
          <w:lang w:val="ru-RU"/>
        </w:rPr>
        <w:t xml:space="preserve"> и самоходной установки на ее базе подошла к концу.</w:t>
      </w:r>
    </w:p>
    <w:p w14:paraId="59482B00" w14:textId="77777777" w:rsidR="00617503" w:rsidRPr="00271E51" w:rsidRDefault="00617503" w:rsidP="00271E51">
      <w:pPr>
        <w:pStyle w:val="a3"/>
        <w:rPr>
          <w:color w:val="000000" w:themeColor="text1"/>
          <w:lang w:val="ru-RU"/>
        </w:rPr>
      </w:pPr>
      <w:r w:rsidRPr="00271E51">
        <w:rPr>
          <w:color w:val="000000" w:themeColor="text1"/>
          <w:lang w:val="ru-RU"/>
        </w:rPr>
        <w:t>На ЧКЗ началась подготовка к производству ИСУ-152. В день при</w:t>
      </w:r>
      <w:r w:rsidRPr="00271E51">
        <w:rPr>
          <w:color w:val="000000" w:themeColor="text1"/>
          <w:lang w:val="ru-RU"/>
        </w:rPr>
        <w:softHyphen/>
        <w:t>нятия новой самоходной установки на вооружение был издан при</w:t>
      </w:r>
      <w:r w:rsidRPr="00271E51">
        <w:rPr>
          <w:color w:val="000000" w:themeColor="text1"/>
          <w:lang w:val="ru-RU"/>
        </w:rPr>
        <w:softHyphen/>
        <w:t>каз о прекращении выпуска СУ-152. План по производству машины был сокращен до 42 штук. Последние СУ-152 изготовили к 20 ноября, а уже к концу месяца в Челябинске сдали первые 5 ИСУ-152. Ввиду того, что завод был вынужден одновременно выпускать старые маши</w:t>
      </w:r>
      <w:r w:rsidRPr="00271E51">
        <w:rPr>
          <w:color w:val="000000" w:themeColor="text1"/>
          <w:lang w:val="ru-RU"/>
        </w:rPr>
        <w:softHyphen/>
        <w:t>ны и осваивать производство новой, имели место некоторые накладки. Дело в том, что ряд деталей, в расчете на ИСУ-152, изготавливался из новой стали марки «40», а поскольку детали под новую сталь неверно рассчитали, имелись массовые случаи поломок. Поломки, впрочем, устранили по итогам ротных учений (17484).</w:t>
      </w:r>
    </w:p>
    <w:p w14:paraId="40A69649"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51E04EF4" w14:textId="77777777" w:rsidR="00617503" w:rsidRPr="00271E51" w:rsidRDefault="0061750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октябре 1943 года стало понятно, что дни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-1С и СУ-152 на конвейере сочтены. Поэтому в дополнение к за</w:t>
      </w:r>
      <w:r w:rsidRPr="00271E51">
        <w:rPr>
          <w:rFonts w:ascii="Times New Roman" w:hAnsi="Times New Roman"/>
          <w:color w:val="000000" w:themeColor="text1"/>
          <w:sz w:val="16"/>
          <w:szCs w:val="16"/>
        </w:rPr>
        <w:softHyphen/>
        <w:t xml:space="preserve">явке на два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-1С и один СУ-152 начальник ЦАКБ просил также один образец танка ИС и чертежную документацию по нему. По этому пово</w:t>
      </w:r>
      <w:r w:rsidRPr="00271E51">
        <w:rPr>
          <w:rFonts w:ascii="Times New Roman" w:hAnsi="Times New Roman"/>
          <w:color w:val="000000" w:themeColor="text1"/>
          <w:sz w:val="16"/>
          <w:szCs w:val="16"/>
        </w:rPr>
        <w:softHyphen/>
        <w:t>ду 11 октября в адрес Берии был направлен доклад из ГАБТУ:</w:t>
      </w:r>
    </w:p>
    <w:p w14:paraId="2541B7B7" w14:textId="77777777" w:rsidR="00617503" w:rsidRPr="00271E51" w:rsidRDefault="00617503"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«По письму Народного комиссара Вооружения СССР т. Устинова от 6.10.43 года за №НВ-10/5070 докладываю:</w:t>
      </w:r>
    </w:p>
    <w:p w14:paraId="6531AF7C" w14:textId="77777777" w:rsidR="00617503" w:rsidRPr="00271E51" w:rsidRDefault="00617503" w:rsidP="00271E51">
      <w:pPr>
        <w:pStyle w:val="Bodytext141"/>
        <w:shd w:val="clear" w:color="auto" w:fill="auto"/>
        <w:tabs>
          <w:tab w:val="left" w:pos="478"/>
        </w:tabs>
        <w:spacing w:line="240" w:lineRule="auto"/>
        <w:ind w:firstLine="0"/>
        <w:jc w:val="both"/>
        <w:rPr>
          <w:i w:val="0"/>
          <w:color w:val="000000" w:themeColor="text1"/>
          <w:sz w:val="16"/>
          <w:szCs w:val="16"/>
        </w:rPr>
      </w:pPr>
      <w:r w:rsidRPr="00271E51">
        <w:rPr>
          <w:i w:val="0"/>
          <w:color w:val="000000" w:themeColor="text1"/>
          <w:sz w:val="16"/>
          <w:szCs w:val="16"/>
        </w:rPr>
        <w:t>1. Для опытных образцов изготовляемых в ЦАКБ НКВ могут быть от</w:t>
      </w:r>
      <w:r w:rsidRPr="00271E51">
        <w:rPr>
          <w:i w:val="0"/>
          <w:color w:val="000000" w:themeColor="text1"/>
          <w:sz w:val="16"/>
          <w:szCs w:val="16"/>
        </w:rPr>
        <w:softHyphen/>
        <w:t xml:space="preserve">пущены два танка типа </w:t>
      </w:r>
      <w:r w:rsidRPr="00271E51">
        <w:rPr>
          <w:i w:val="0"/>
          <w:color w:val="000000" w:themeColor="text1"/>
          <w:sz w:val="16"/>
          <w:szCs w:val="16"/>
          <w:lang w:val="en-US"/>
        </w:rPr>
        <w:t>KB</w:t>
      </w:r>
      <w:r w:rsidRPr="00271E51">
        <w:rPr>
          <w:i w:val="0"/>
          <w:color w:val="000000" w:themeColor="text1"/>
          <w:sz w:val="16"/>
          <w:szCs w:val="16"/>
        </w:rPr>
        <w:t>- 1с без вооружения и башни из капиталь</w:t>
      </w:r>
      <w:r w:rsidRPr="00271E51">
        <w:rPr>
          <w:i w:val="0"/>
          <w:color w:val="000000" w:themeColor="text1"/>
          <w:sz w:val="16"/>
          <w:szCs w:val="16"/>
        </w:rPr>
        <w:softHyphen/>
        <w:t xml:space="preserve">ного ремонта, так как новые танки </w:t>
      </w:r>
      <w:r w:rsidRPr="00271E51">
        <w:rPr>
          <w:i w:val="0"/>
          <w:color w:val="000000" w:themeColor="text1"/>
          <w:sz w:val="16"/>
          <w:szCs w:val="16"/>
          <w:lang w:val="en-US"/>
        </w:rPr>
        <w:t>KB</w:t>
      </w:r>
      <w:r w:rsidRPr="00271E51">
        <w:rPr>
          <w:i w:val="0"/>
          <w:color w:val="000000" w:themeColor="text1"/>
          <w:sz w:val="16"/>
          <w:szCs w:val="16"/>
        </w:rPr>
        <w:t>-1с больше не производятся.</w:t>
      </w:r>
    </w:p>
    <w:p w14:paraId="3E26173E" w14:textId="77777777" w:rsidR="00617503" w:rsidRPr="00271E51" w:rsidRDefault="00617503" w:rsidP="00271E51">
      <w:pPr>
        <w:pStyle w:val="Bodytext141"/>
        <w:shd w:val="clear" w:color="auto" w:fill="auto"/>
        <w:tabs>
          <w:tab w:val="left" w:pos="545"/>
        </w:tabs>
        <w:spacing w:line="240" w:lineRule="auto"/>
        <w:ind w:firstLine="0"/>
        <w:jc w:val="both"/>
        <w:rPr>
          <w:i w:val="0"/>
          <w:color w:val="000000" w:themeColor="text1"/>
          <w:sz w:val="16"/>
          <w:szCs w:val="16"/>
        </w:rPr>
      </w:pPr>
      <w:r w:rsidRPr="00271E51">
        <w:rPr>
          <w:i w:val="0"/>
          <w:color w:val="000000" w:themeColor="text1"/>
          <w:sz w:val="16"/>
          <w:szCs w:val="16"/>
        </w:rPr>
        <w:t>2. Также из капитального ремонта может быть отпущена одна само</w:t>
      </w:r>
      <w:r w:rsidRPr="00271E51">
        <w:rPr>
          <w:i w:val="0"/>
          <w:color w:val="000000" w:themeColor="text1"/>
          <w:sz w:val="16"/>
          <w:szCs w:val="16"/>
        </w:rPr>
        <w:softHyphen/>
        <w:t>ходная установка СУ-152.</w:t>
      </w:r>
    </w:p>
    <w:p w14:paraId="56566E47" w14:textId="77777777" w:rsidR="00617503" w:rsidRPr="00271E51" w:rsidRDefault="00617503" w:rsidP="00271E51">
      <w:pPr>
        <w:pStyle w:val="Bodytext141"/>
        <w:shd w:val="clear" w:color="auto" w:fill="auto"/>
        <w:tabs>
          <w:tab w:val="left" w:pos="511"/>
        </w:tabs>
        <w:spacing w:line="240" w:lineRule="auto"/>
        <w:ind w:firstLine="0"/>
        <w:jc w:val="both"/>
        <w:rPr>
          <w:i w:val="0"/>
          <w:color w:val="000000" w:themeColor="text1"/>
          <w:sz w:val="16"/>
          <w:szCs w:val="16"/>
        </w:rPr>
      </w:pPr>
      <w:r w:rsidRPr="00271E51">
        <w:rPr>
          <w:i w:val="0"/>
          <w:color w:val="000000" w:themeColor="text1"/>
          <w:sz w:val="16"/>
          <w:szCs w:val="16"/>
        </w:rPr>
        <w:t xml:space="preserve">3. Чертежи общих видов и корпусов танка </w:t>
      </w:r>
      <w:r w:rsidRPr="00271E51">
        <w:rPr>
          <w:i w:val="0"/>
          <w:color w:val="000000" w:themeColor="text1"/>
          <w:sz w:val="16"/>
          <w:szCs w:val="16"/>
          <w:lang w:val="en-US"/>
        </w:rPr>
        <w:t>KB</w:t>
      </w:r>
      <w:r w:rsidRPr="00271E51">
        <w:rPr>
          <w:i w:val="0"/>
          <w:color w:val="000000" w:themeColor="text1"/>
          <w:sz w:val="16"/>
          <w:szCs w:val="16"/>
        </w:rPr>
        <w:t>-1с и СУ-152 могут быть отпущены Наркомтанкопромом, на что Народный Комиссар тов. Малышев дал согласие.</w:t>
      </w:r>
    </w:p>
    <w:p w14:paraId="4CD181F1" w14:textId="77777777" w:rsidR="00617503" w:rsidRPr="00271E51" w:rsidRDefault="00617503"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Танки "ИС" и чертежи на нах могут быть отпущены Наркомтанко</w:t>
      </w:r>
      <w:r w:rsidRPr="00271E51">
        <w:rPr>
          <w:i w:val="0"/>
          <w:color w:val="000000" w:themeColor="text1"/>
          <w:sz w:val="16"/>
          <w:szCs w:val="16"/>
        </w:rPr>
        <w:softHyphen/>
        <w:t>промом только после окончательного испытания танков и отработки чертежей, так как танки "ИС" в настоящее время изготовлены только в опытных образцах, проходят испытания и будут изготовляться только с ноября сего года» (17484)..</w:t>
      </w:r>
    </w:p>
    <w:p w14:paraId="1C72E6D3" w14:textId="77777777" w:rsidR="00617503" w:rsidRPr="00271E51" w:rsidRDefault="00617503" w:rsidP="00271E51">
      <w:pPr>
        <w:spacing w:after="0" w:line="240" w:lineRule="auto"/>
        <w:jc w:val="both"/>
        <w:rPr>
          <w:rFonts w:ascii="Times New Roman" w:hAnsi="Times New Roman"/>
          <w:color w:val="000000" w:themeColor="text1"/>
          <w:sz w:val="16"/>
          <w:szCs w:val="16"/>
        </w:rPr>
      </w:pPr>
    </w:p>
    <w:p w14:paraId="7F0DF22F" w14:textId="77777777" w:rsidR="00617503" w:rsidRPr="00271E51" w:rsidRDefault="0061750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октябре 1943 ситуация с СУ-152 на ЧКЗ начала меняться. Дело в том, что в этом месяце на испытания вышла самоходная установка ИС-152 (ИСУ-152). 6 ноября постановлением ГКО №4504 «О тяжелой самоходной артиллерийской установке ИС-152 с гаубицей-пушкой МЛ-20с» новую самоходную установку приняли на вооружение. На ЧКЗ началась подготовка к началу производства ИСУ-152. В день принятия новой самоходной установки на вооружение был издан приказ о прекращении выпуска СУ-152. Месячный план по производству машины был сокращен до 42 штук. Последние СУ-152 были изготовлены к 20 ноября, а уже к концу месяца в Челябинске сдали первые 5 ИСУ-152.</w:t>
      </w:r>
    </w:p>
    <w:p w14:paraId="5510E47E" w14:textId="77777777" w:rsidR="00617503" w:rsidRPr="00271E51" w:rsidRDefault="00617503"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Последние СУ-152 ЧКЗ сдал уже после официального прекращения их производства. В сводках завода данные машины не проходят, зато они фигурируют в докладах о сдаче заводами самоходных установок, которые каждые 5 дней высылались Сталину, Молотову и Берии. Согласно им, в декабре 1943 года ЧКЗ сдал 4 СУ-152, причём последние две серийные машины были приняты в конце января 1944 года. Таким образом, общий объем выпуска СУ-152, включая опытный образец, составил 670 машин (17695).</w:t>
      </w:r>
    </w:p>
    <w:p w14:paraId="041A9383" w14:textId="77777777" w:rsidR="00617503" w:rsidRPr="00271E51" w:rsidRDefault="00617503" w:rsidP="00271E51">
      <w:pPr>
        <w:pStyle w:val="12a"/>
        <w:shd w:val="clear" w:color="auto" w:fill="auto"/>
        <w:spacing w:after="0" w:line="240" w:lineRule="auto"/>
        <w:jc w:val="both"/>
        <w:rPr>
          <w:color w:val="000000" w:themeColor="text1"/>
          <w:sz w:val="16"/>
          <w:szCs w:val="16"/>
        </w:rPr>
      </w:pPr>
    </w:p>
    <w:p w14:paraId="0A99C4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в МВТУ им. Баумана был разработан проект ис</w:t>
      </w:r>
      <w:r w:rsidRPr="00271E51">
        <w:rPr>
          <w:rFonts w:ascii="Times New Roman" w:hAnsi="Times New Roman"/>
          <w:color w:val="000000" w:themeColor="text1"/>
          <w:sz w:val="16"/>
          <w:szCs w:val="16"/>
        </w:rPr>
        <w:softHyphen/>
        <w:t>требителя танков (самоходной установки) с закрытым броневым кор</w:t>
      </w:r>
      <w:r w:rsidRPr="00271E51">
        <w:rPr>
          <w:rFonts w:ascii="Times New Roman" w:hAnsi="Times New Roman"/>
          <w:color w:val="000000" w:themeColor="text1"/>
          <w:sz w:val="16"/>
          <w:szCs w:val="16"/>
        </w:rPr>
        <w:softHyphen/>
        <w:t>пусом и боевой массой 11т. На машине предполагалось использовать дизель СМС. В качестве основного оружия предусматривалась уста</w:t>
      </w:r>
      <w:r w:rsidRPr="00271E51">
        <w:rPr>
          <w:rFonts w:ascii="Times New Roman" w:hAnsi="Times New Roman"/>
          <w:color w:val="000000" w:themeColor="text1"/>
          <w:sz w:val="16"/>
          <w:szCs w:val="16"/>
        </w:rPr>
        <w:softHyphen/>
        <w:t>новка 76,2- или 57-мм пушки. В состав экипажа машины входили три человека. Проект в металле реализован не был (10703).</w:t>
      </w:r>
    </w:p>
    <w:p w14:paraId="4826BA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CBFC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был изготовлен опытный образец самоходной установки НАТИ-ЦАКБ, которая была разработана в НАТИ совместно с ЦАКБ в инициативном порядке в июле 1943 г. К полигонным испытаниям машина не была допущена, так как имела серьезные конструктивные недостатки, связанные с параллельным расположением двигателей и аг</w:t>
      </w:r>
      <w:r w:rsidRPr="00271E51">
        <w:rPr>
          <w:rFonts w:ascii="Times New Roman" w:hAnsi="Times New Roman"/>
          <w:color w:val="000000" w:themeColor="text1"/>
          <w:sz w:val="16"/>
          <w:szCs w:val="16"/>
        </w:rPr>
        <w:softHyphen/>
        <w:t>регатов трансмиссии, неудобным размещением экипажа, а также малой суммарной мощностью двух двигателей. На вооружении и в серийном производстве не состояла.</w:t>
      </w:r>
    </w:p>
    <w:p w14:paraId="7C9778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(10703).</w:t>
      </w:r>
    </w:p>
    <w:p w14:paraId="59E5CC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E2A6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ГАЗ упорно продолжал работы над “русским Хетцером”. Причем шло и создание машины ГАЗ-746 с вооружением из 57-мм длинноствольной пушки С-1-57 и совершенствование версии, оснащенной 76-мм пушкой (для нее из ЦАКБ ждали 76-мм пушку С-54 с длиной ствола около 60 калибров) (5742, 14).</w:t>
      </w:r>
    </w:p>
    <w:p w14:paraId="152448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отличить изделие ГАЗ, вооруженное 57-мм пушкой от САУ, выпущенной заводом № 38, ей дали условный индекс СУ-576, в то время как прошедшая испытания машина завода № 38 (СУ-76, перевооруженная пушкой ЗИС-2) именовалась в переписке по НКТП СУ-57а (5742, 14).</w:t>
      </w:r>
    </w:p>
    <w:p w14:paraId="2BEC0F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СУ-576 выдержала почти все предложенные испытания, на вооружение она не принималась. К числу причин непринятия на вооружение назывались высокая стоимость САУ, наличие специального дизеля, не освоенного отечественной промышленностью, а зависеть от зарубежных поставок в условиях войны никто не желал (5742, 14).</w:t>
      </w:r>
    </w:p>
    <w:p w14:paraId="1A18D5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1FC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октябре 1943 года началось серийное производство СУ-76 (3862).</w:t>
      </w:r>
    </w:p>
    <w:p w14:paraId="3DF876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Суммарный выпуск всех модификаций СУ-76 по июнь 1945 года составил 14292 машины - примерно 60% от объема выпуска всех САУ за годы войны. Производство велось заводами №38 (г. Киров), №40 (г. Мытищи) и ГАЗ им. Молотова (г. Горький) (3862).</w:t>
      </w:r>
    </w:p>
    <w:p w14:paraId="7FE141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Модернизированная машина поступила в войска вовремя, но была встречена личным составом неоднозначно - отношение варьировалось от "суки" до "коломбины". Первое отрицательное впечатление сформировалось из-за того, что поначалу самоходки попытались использовать как танки и первые СУ-76 были направлены в самоходно-артиллерийские полки (сап) смешанного состава (3862).</w:t>
      </w:r>
    </w:p>
    <w:p w14:paraId="7FA8E6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C91FB"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октябре 1943 при плане в 30 СУ-76И была сдана 31 штука. При этом из имевшегося на 1 октября ремфонда в 160 трофейных машин 85 шасси оказались полностью разукомплектованными. В ноябре план в 30 САУ снова был перевыполнен на 1 машину, но этот успех оказался одновременно и лебединой песней СУ-76И. В ноябре нарком танковой промышленности Малышев распорядился выпуск машин на трофейных шасси на заводе №37 прекратить, а с декабря перейти на производство дизелей.</w:t>
      </w:r>
    </w:p>
    <w:p w14:paraId="4A990E71" w14:textId="77777777" w:rsidR="00617503" w:rsidRPr="00271E51" w:rsidRDefault="0061750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Всего была построена 201 СУ-76И — 1 опытная и 200 серийных. Уже после прекращения производства САУ на трофейных шасси, в конце декабря 1943 года, в Москве оставалось 210 шасси Pz.Kpfw.III и StuG III, в том числе 91 на территории завода №37. Понадобился не один месяц, чтобы разобрать эти завалы (18090).</w:t>
      </w:r>
    </w:p>
    <w:p w14:paraId="6CCBF118" w14:textId="77777777" w:rsidR="00617503" w:rsidRPr="00271E51" w:rsidRDefault="00617503" w:rsidP="00271E51">
      <w:pPr>
        <w:pStyle w:val="ae"/>
        <w:shd w:val="clear" w:color="auto" w:fill="FFFFFF"/>
        <w:spacing w:before="0" w:after="0"/>
        <w:jc w:val="both"/>
        <w:rPr>
          <w:color w:val="000000" w:themeColor="text1"/>
          <w:sz w:val="16"/>
          <w:szCs w:val="16"/>
        </w:rPr>
      </w:pPr>
    </w:p>
    <w:p w14:paraId="66ED2312" w14:textId="77777777" w:rsidR="00E53197" w:rsidRPr="00271E51" w:rsidRDefault="00E53197"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по новому штату №010/484 самоходно-артиллерийские полки РГВК, оснащенные уже модернизированными установками СУ-76М, стали четырехбатарейными. В период с октября 1943 года по февраль 1944 года все подобные артполки получили самоходные установки для командиров батарей и были переведены на новые штаты (согласно последним полки имели по четыре батареи и в батареях по 5 САУ). 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32676566" w14:textId="77777777" w:rsidR="00E53197" w:rsidRPr="00271E51" w:rsidRDefault="00E53197" w:rsidP="00271E51">
      <w:pPr>
        <w:widowControl w:val="0"/>
        <w:spacing w:after="0" w:line="240" w:lineRule="auto"/>
        <w:jc w:val="both"/>
        <w:rPr>
          <w:rFonts w:ascii="Times New Roman" w:hAnsi="Times New Roman"/>
          <w:color w:val="000000" w:themeColor="text1"/>
          <w:sz w:val="16"/>
          <w:szCs w:val="16"/>
        </w:rPr>
      </w:pPr>
    </w:p>
    <w:p w14:paraId="43A9B732" w14:textId="77777777" w:rsidR="00E53197" w:rsidRPr="00271E51" w:rsidRDefault="00E53197"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октября 1943 года по февраль 1944 года артполки</w:t>
      </w:r>
      <w:r w:rsidR="00D7691F"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rPr>
        <w:t xml:space="preserve"> оснащенные уже модернизированными установками СУ-76М были переведены на новые штаты (согласно последним полки имели по четыре батареи и в батареях по 5 САУ). 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60E5DB65" w14:textId="77777777" w:rsidR="00E53197" w:rsidRPr="00271E51" w:rsidRDefault="00E53197" w:rsidP="00271E51">
      <w:pPr>
        <w:widowControl w:val="0"/>
        <w:spacing w:after="0" w:line="240" w:lineRule="auto"/>
        <w:jc w:val="both"/>
        <w:rPr>
          <w:rFonts w:ascii="Times New Roman" w:hAnsi="Times New Roman"/>
          <w:color w:val="000000" w:themeColor="text1"/>
          <w:sz w:val="16"/>
          <w:szCs w:val="16"/>
        </w:rPr>
      </w:pPr>
    </w:p>
    <w:p w14:paraId="6D1E90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г. завод № 112 начал выпускать огнеметные танки Т-О34 с увеличенным до 200 л. резервуаром для огнесмеси.</w:t>
      </w:r>
    </w:p>
    <w:p w14:paraId="489C49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№174 продолжал до февраля 1944 выпускать танки Т-О34 с резервуарами в 100 л., т.к. не имеет указаний НКТП о сроках ввода в производство увеличенного резервуара по чертежам завода №112.</w:t>
      </w:r>
    </w:p>
    <w:p w14:paraId="2EB939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Протокол утверждения чертежей танка Т-О34 с увеличенным резервуаром и сроками ввода в производство согласован с представителями ГБТУ КА в начале ноября 1943 г.</w:t>
      </w:r>
    </w:p>
    <w:p w14:paraId="12DC1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2218. Л. 13. Копия (11403).</w:t>
      </w:r>
    </w:p>
    <w:p w14:paraId="1FC6B8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AD4D9"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уже был налажен серийный выпуск ГАЗ-67. До конца года сделали 718, а всего по 1945 год-6068 штук (до конца войны-4851).</w:t>
      </w:r>
    </w:p>
    <w:p w14:paraId="3FE44A3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освоения производства ГАЗ-67 в его конструкцию непрерывно вносились изменения (9638).</w:t>
      </w:r>
    </w:p>
    <w:p w14:paraId="34011C5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ГАЗ-67 приняли участие в заключительном этапе войны, когда машин подобного типа, в основном американских, в армии уже было достаточно. Но они тоже получили некоторое распространение и даже известную популярность как самобытный, типично "русский" образец автомобиля (то есть тяговый, прочный, неприхотливый, вездепроходимый). Европа раньше не встречала таких упрямых, крепко сбитых "газиков"-вездеходов, уверенно стоящих на земле своими широко расставленными колесами.</w:t>
      </w:r>
    </w:p>
    <w:p w14:paraId="29A8299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производство ГАЗ-67Б было расширено, причем не только как армейского автомобиля, но и для работы в сельском хозяйстве. Скоро ГАЗ-67Б стал любимым и желанным для председателей колхозов, агрономов и механиков МТС; разошелся не только по всей стране, но попал даже в Австралию (9638).</w:t>
      </w:r>
    </w:p>
    <w:p w14:paraId="334F66DC"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0829CED5"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был построен вариант ГАЗ-67-420 с деревянным закрытым кузовом, более практичным в наших природных условиях. Развития эта инициатива автобусного цеха завода не имела, но вызвала многочисленные подражания в войсках (9638).</w:t>
      </w:r>
    </w:p>
    <w:p w14:paraId="46F06AB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103BB8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были ликвидированы подразделения служебных собак для уничтожения танков. Вместо них стали создавать роты минно-розыскной службы с использованием собак. Служебными собаками-подрывниками в годы Великой Отечественной войны было уничтожено свыше 300 танков, штурмовых орудий и много другой боевой техники, вооружения и живой силы врага (3861).</w:t>
      </w:r>
    </w:p>
    <w:p w14:paraId="5E2924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D50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июне 1943 года Черноморский флот пополнился еще ше</w:t>
      </w:r>
      <w:r w:rsidRPr="00271E51">
        <w:rPr>
          <w:rFonts w:ascii="Times New Roman" w:hAnsi="Times New Roman"/>
          <w:color w:val="000000" w:themeColor="text1"/>
          <w:sz w:val="16"/>
          <w:szCs w:val="16"/>
        </w:rPr>
        <w:softHyphen/>
        <w:t>стью катерами пр. 213, которые полуофициально именовались "ар</w:t>
      </w:r>
      <w:r w:rsidRPr="00271E51">
        <w:rPr>
          <w:rFonts w:ascii="Times New Roman" w:hAnsi="Times New Roman"/>
          <w:color w:val="000000" w:themeColor="text1"/>
          <w:sz w:val="16"/>
          <w:szCs w:val="16"/>
        </w:rPr>
        <w:softHyphen/>
        <w:t>тиллерийскими" (3898).</w:t>
      </w:r>
    </w:p>
    <w:p w14:paraId="5BB63F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5AF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катеростроители сдали флоту 18 и отремонтировали 30 боевых катеров. Рабочие завода им. А. А. Кулакова изготовили 8793 автомата ППС (10671).</w:t>
      </w:r>
    </w:p>
    <w:p w14:paraId="4A160C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527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с учетом того, что испытания головного катера выявили недобор скорости (13 уз вместо 15 уз по проекту), а боевое использование — ограниченные возможности танковых пушек при стрельбе по морским целям, ГМШ выдал ОТЗ на проектирование нового бронекатера с 76—85-мм орудиями в универсальных башнях и броней, защищающей от по</w:t>
      </w:r>
      <w:r w:rsidRPr="00271E51">
        <w:rPr>
          <w:rFonts w:ascii="Times New Roman" w:hAnsi="Times New Roman"/>
          <w:color w:val="000000" w:themeColor="text1"/>
          <w:sz w:val="16"/>
          <w:szCs w:val="16"/>
        </w:rPr>
        <w:softHyphen/>
        <w:t>падания 20—37-мм снарядов (3898).</w:t>
      </w:r>
    </w:p>
    <w:p w14:paraId="3A089B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366B3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DBBC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A54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г. за пять месяцев (по февраль 1944 г.) введенная в бой «молодая» 311-я шад 1-й ВА имела 68 безвозвратных потерь самолетов Ил-2 и 39 летчиков, что составляет потерю одного самолета Ил-2 на 11,4 боевых вылетов и одного летчика на 20 боевых вылетов. В то же время 233-я шад 1-й ВА, имевшая значительный боевой опыт, за весь 1943 г. потеряла в бою 111 самолетов Ил-2 и 100 летчиков. Это составляет потерю одного самолета на 37,2 боевых вылетов и одного летчика на 41 боевой вылет (11921).</w:t>
      </w:r>
    </w:p>
    <w:p w14:paraId="46A844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794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 Балтийском флоте сформировали 51-й полк, вооруженный только A-20G - торпедоносцами (3457,107).</w:t>
      </w:r>
    </w:p>
    <w:p w14:paraId="60C927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C7C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на СФ торпедой 45-36 АВ повредили транспорт (561,22).</w:t>
      </w:r>
    </w:p>
    <w:p w14:paraId="3438FE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D94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октябре 1943-го все пять эскадрилий "Хеншелей" на Восточном фронте свели вместе в 4-ю танковую группу 9-й штурмовой авиационной эскадры. Вместе с немецкими летчиками в боевых вылетах на Hs 129 на Восточном фронте участвовали и пилоты 8-й штурмовой группы Королевских ВВС Румынии. Причём одновременно с 62 Hs 129B румынам передали и семь Hs 129А-1 с двигателями "Аргус", от которых "Люфтваффе" отказались еще в 1940-м и использовавшихся в качестве учебных. Заменив два пулемета MG 17 в носу на 13-мм MG 131, получили модификацию Hs 129B-2. Так же, как и на Hs 129B-1, на нем можно было подвешивать различные варианты вооружения на наружных узлах. Поскольку основной задачей "Хеншелей" оставалась борьба с танками, то решили, что гораздо удобнее сразу на заводе оборудовать самолет стационарным противотанковым орудием. Так появился Hs 129B-2/Wa (от немецкого слова "waffentrager" - носитель </w:t>
      </w:r>
      <w:r w:rsidRPr="00271E51">
        <w:rPr>
          <w:rFonts w:ascii="Times New Roman" w:hAnsi="Times New Roman"/>
          <w:color w:val="000000" w:themeColor="text1"/>
          <w:sz w:val="16"/>
          <w:szCs w:val="16"/>
        </w:rPr>
        <w:lastRenderedPageBreak/>
        <w:t>оружия). Этот вариант штурмовика имел 30-мм пушку МК 103 с большей начальной скоростью снаряда, чем у МК 101. На некоторых самолётах устанавливали 37мм орудие ВК 3,7, правда, для этого приходилось убирать оба пулемета MG 131 в носу. Однако даже с этими орудиями "летающий консервный нож" оказался бессильным перед лобовой броней советских танков (3039,30).</w:t>
      </w:r>
    </w:p>
    <w:p w14:paraId="31AED4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BF7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первые АМД-500 были выставлены на Черном море, на Балтике - в январе 1944 г. (на Севере из-за больших глубин донные мины не применялись вовсе). АМД-1000 применялись только на Балтийском море начиная с июля 1944 г. В ходе производства новые мины получили приборы срочности и кратности, существенно улучшавшие их противотральные свойства. Ил-4 мог нести до трех АМД-500 или одну АМД-1000, "Бостон" - две мины независимо от калибра. Количество произведенных мин несколько разнится в документах и составляет для АМД-500 1080 штук, для АМД-1000 - 625 штук (по другим данным, до октября 1945 г. произвели 2066 мин обоих типов) (12002).</w:t>
      </w:r>
    </w:p>
    <w:p w14:paraId="00B9E4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102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в МВО была создана Высшая офицерская школа воздушного боя. Изучали приемы воздушного боя, трофейную технику, применение радиосвязи. Учились от 2 до 7 месяцев (505,209).</w:t>
      </w:r>
    </w:p>
    <w:p w14:paraId="687609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38D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иап и шап были переведены на новые штаты и укрупнены до 40 самолетов (340,153).</w:t>
      </w:r>
    </w:p>
    <w:p w14:paraId="076E4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0A9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Управление воздухоплавания передали из Центрального штаба войск ПВО в Главное артиллерийское управление (ГАУ)(ЦАМО. Ф. 72. Оп. 12278. Д. 2. Л. 76). Начальником управления остался генерал-майор инженерно-авиационной службы А.А. Сахаров (11168).</w:t>
      </w:r>
    </w:p>
    <w:p w14:paraId="3BF611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Великой Отечественной войны воздухоплавательные части находились в четырех родах войск, выполняя в каждом из них свои боевые задачи (Воздухоплаватель. 1999. № 2 (16)). В войсках ПВО страны и в ПВО ВМФ применялись отдельные отряды, дивизионы, полки и дивизии аэростатов заграждения (АЗ), входившие во фронты ПВО на территории от Баренцева до Черного и Каспийского морей и на Дальнем Востоке. Располагались они в боевых порядках, взаимодействуя комплексно с истребительной авиацией (ИА) и зенитной артиллерией (ЗА). Аэростаты заграждения вместе с ИА и ЗА защищали от налетов вражеской авиации промышленные города, отдельные особо важные стратегические узлы. Аэростаты заграждения, уходя на высоту до 4—5 км, поднимали за собой стальной трос, оснащенный автоматикой и минами фугасного действия, образуя минно-тросовое поле заграждения.</w:t>
      </w:r>
    </w:p>
    <w:p w14:paraId="6A0145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Противник вынужден был совершать налеты на высотах более 5 км, что уменьшало прицельность бомбометания.</w:t>
      </w:r>
    </w:p>
    <w:p w14:paraId="4DD908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сухопутных войсках применялись аэростаты артиллерийского наблюдения (АН). В их задачу входила визуальная разведка переднего края и тыла противника на глубину до 10—20 км: выявление его боевых (огневых) средств, перемещение войск, выдача целеуказаний, корректировка огня. Решать их было не легко в условиях открытой гондолы при сильной качке под напором ветра, сильном морозе, а особенно, когда по аэростату либо бьют шрапнелью, либо вражеские истребители расстреливают его с близкой дистанции.</w:t>
      </w:r>
    </w:p>
    <w:p w14:paraId="1A358B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 фронтах Великой Отечественной войны действовало до 30 отрядов АН, сведенных в девять дивизионов. Ими совершено 19 985 ночных и дневных подъемов, разведано 4617 артбатарей, 155 танковых колонн, 506 скоплений пехоты и других целей, проведено 2696 корректировок огня, уничтожено и подавлено 1716 артиллерийских батарей противника (Воздухоплаватель России. 1995. - С. 20.).</w:t>
      </w:r>
    </w:p>
    <w:p w14:paraId="1333CF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воздушно-десантных войск (ВДВ) с помощью привязных аэростатов велось обучение парашютистов-десантников боевым прыжкам. В 1942 году для ускорения подготовки десантников в ВДВ был сформирован воздухоплавательный дивизион. Его отряды находились непосредственно в полках и дивизиях ВДВ. Учебный прыжок с аэростата с высоты 500—600 м оказывался в 100 раз экономичнее, чем с самолета. В некоторых отрядах при круглосуточных подъемах совершалось до 2000 прыжков в сутки. За годы войны (с апреля 1942 г.) было совершено 540152 учебно-тренировочных парашютных прыжка, причем почти все безаварийные (Воздухоплаватель России. 1995. - С. 20.).</w:t>
      </w:r>
    </w:p>
    <w:p w14:paraId="45A9BD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годы Великой Отечественной войны (Воздухоплаватель. 1999. № 2(16). С. 27.) было выпущено около 10 тыс. аэростатов, более 1500 лебедок ЛЗ-3, до 30 млн м аэростатных тросов, добыто и использовано для аэростатов не менее 30—40 млн м3 водорода (11168).</w:t>
      </w:r>
    </w:p>
    <w:p w14:paraId="1BD99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681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w:t>
      </w:r>
      <w:r w:rsidRPr="00271E51">
        <w:rPr>
          <w:rFonts w:ascii="Times New Roman" w:hAnsi="Times New Roman"/>
          <w:color w:val="000000" w:themeColor="text1"/>
          <w:sz w:val="16"/>
          <w:szCs w:val="16"/>
        </w:rPr>
        <w:softHyphen/>
        <w:t>тябре 1943 в отдельных танковых корпусах, а в ноябре во всех остальных вместо бронеавтомобильного батальона вводит</w:t>
      </w:r>
      <w:r w:rsidRPr="00271E51">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271E51">
        <w:rPr>
          <w:rFonts w:ascii="Times New Roman" w:hAnsi="Times New Roman"/>
          <w:color w:val="000000" w:themeColor="text1"/>
          <w:sz w:val="16"/>
          <w:szCs w:val="16"/>
        </w:rPr>
        <w:softHyphen/>
        <w:t>спортеров и истребительно-противотанковой артиллерий</w:t>
      </w:r>
      <w:r w:rsidRPr="00271E51">
        <w:rPr>
          <w:rFonts w:ascii="Times New Roman" w:hAnsi="Times New Roman"/>
          <w:color w:val="000000" w:themeColor="text1"/>
          <w:sz w:val="16"/>
          <w:szCs w:val="16"/>
        </w:rPr>
        <w:softHyphen/>
        <w:t>ской батареи (45-мм пушки) (11135).</w:t>
      </w:r>
    </w:p>
    <w:p w14:paraId="14309E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D577B" w14:textId="77777777" w:rsidR="00D51A06" w:rsidRPr="00271E51" w:rsidRDefault="00D51A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октябре 1943 г. Управление воздухоплава</w:t>
      </w:r>
      <w:r w:rsidRPr="00271E51">
        <w:rPr>
          <w:rFonts w:ascii="Times New Roman" w:hAnsi="Times New Roman"/>
          <w:color w:val="0070C0"/>
          <w:sz w:val="16"/>
          <w:szCs w:val="16"/>
        </w:rPr>
        <w:softHyphen/>
        <w:t>ния, созданное Постановлением ГКО от 23 сен</w:t>
      </w:r>
      <w:r w:rsidRPr="00271E51">
        <w:rPr>
          <w:rFonts w:ascii="Times New Roman" w:hAnsi="Times New Roman"/>
          <w:color w:val="0070C0"/>
          <w:sz w:val="16"/>
          <w:szCs w:val="16"/>
        </w:rPr>
        <w:softHyphen/>
        <w:t>тября 1943 г. на основе Воздухоплавательного отдела, из состава ПВО передали в Главное артилле</w:t>
      </w:r>
      <w:r w:rsidRPr="00271E51">
        <w:rPr>
          <w:rFonts w:ascii="Times New Roman" w:hAnsi="Times New Roman"/>
          <w:color w:val="0070C0"/>
          <w:sz w:val="16"/>
          <w:szCs w:val="16"/>
        </w:rPr>
        <w:softHyphen/>
        <w:t>рийское управление (ГАУ). При этом функции руководства подготовкой и её инспектирования в соединениях и частях аэростатов заграждения войск ПВО остались в Управлении боевой под</w:t>
      </w:r>
      <w:r w:rsidRPr="00271E51">
        <w:rPr>
          <w:rFonts w:ascii="Times New Roman" w:hAnsi="Times New Roman"/>
          <w:color w:val="0070C0"/>
          <w:sz w:val="16"/>
          <w:szCs w:val="16"/>
        </w:rPr>
        <w:softHyphen/>
        <w:t>готовки штаба войск ПВО. Начальником Управ</w:t>
      </w:r>
      <w:r w:rsidRPr="00271E51">
        <w:rPr>
          <w:rFonts w:ascii="Times New Roman" w:hAnsi="Times New Roman"/>
          <w:color w:val="0070C0"/>
          <w:sz w:val="16"/>
          <w:szCs w:val="16"/>
        </w:rPr>
        <w:softHyphen/>
        <w:t>ления воздухоплавания остался генерал-майор инженерно-авиационной службы А.А. Сахаров. В штате Управления воздухоплавания предус</w:t>
      </w:r>
      <w:r w:rsidRPr="00271E51">
        <w:rPr>
          <w:rFonts w:ascii="Times New Roman" w:hAnsi="Times New Roman"/>
          <w:color w:val="0070C0"/>
          <w:sz w:val="16"/>
          <w:szCs w:val="16"/>
        </w:rPr>
        <w:softHyphen/>
        <w:t>матривалось иметь пять отделов: 1-й — боевой подготовки и технической эксплуатации, 2-й — заказов и ремонта, 3-й — водородный, 4-й —опытного строительства, 5-й — технического снабжения. Всего в Управлении воздухоплавания по штату предусматривалось иметь 39 офицеров и 23 вольнонаёмных.</w:t>
      </w:r>
    </w:p>
    <w:p w14:paraId="0781D763" w14:textId="77777777" w:rsidR="00D51A06" w:rsidRPr="00271E51" w:rsidRDefault="00D51A0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Управление воздухоплавания подчинялось заместителю начальника ГАУ по производству генерал-лейтенанту инженерно-артиллерийской службы П.П. Чечулину и взаимодействовало с рядом других отделов ГАУ.</w:t>
      </w:r>
    </w:p>
    <w:p w14:paraId="1B30B24E" w14:textId="77777777" w:rsidR="00D51A06" w:rsidRPr="00271E51" w:rsidRDefault="00D51A06" w:rsidP="00271E51">
      <w:pPr>
        <w:spacing w:after="0" w:line="240" w:lineRule="auto"/>
        <w:jc w:val="both"/>
        <w:rPr>
          <w:rFonts w:ascii="Times New Roman" w:hAnsi="Times New Roman"/>
          <w:color w:val="0070C0"/>
          <w:sz w:val="16"/>
          <w:szCs w:val="16"/>
        </w:rPr>
      </w:pPr>
    </w:p>
    <w:p w14:paraId="2837BC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Мальцев объехал лагеря, агитируя пленных. В ого обращении говорилось: -“Я весь свой сознательный век был коммунистом и не для того. чтобы носить партийный билет как дополнительную поодовольственную карточку; я искренне и глубоко верил, что этим путем мы пойдем к счастливой жизни. Но вот прошли лучшие годы. побелела голова, а вместе с этим пришло и самое страшное - разочарование во всем. чему я верил и чему поклонялся. Сказались оплеванными лучшие идеалы. Но самым горьким было сознание того, что я всю жизнь являлся слепым орудием политических авантюр Сталина... Многие из вас помнят и знают меня по совместной службе. Неужели же вы можете поверить, что я - изменник, немецкий наймит, шпион и все прочее?</w:t>
      </w:r>
    </w:p>
    <w:p w14:paraId="7D5424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Пусть тяжело было разочарование в своих лучших идеалах, пусть большая часть жизни пропала, но остаток дней я посвящу борьбе с паразитами руссксго народа. за мвободную, счастливую, великую Россию” (4538).</w:t>
      </w:r>
    </w:p>
    <w:p w14:paraId="201961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B33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г. отобранные по лагерям для военнопленных авиаторы начали собираться на базе в Сувалках. Там они проходили отбор по профессиональным и медицинским показателям, подвергаясь обязательной проверке, поскольку немцы не без оснований опасались, что значительная часть не очень надежных “волонтеров”, презрев обещанные ужасы и положившись на знаменитое русское "авось" тут же махнет к своим на немецких самолетах (4538).</w:t>
      </w:r>
    </w:p>
    <w:p w14:paraId="2AD696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791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была переброшена итальянская группа (8983).</w:t>
      </w:r>
    </w:p>
    <w:p w14:paraId="714012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076B5" w14:textId="77777777" w:rsidR="00EC6ED4" w:rsidRPr="00271E51" w:rsidRDefault="00EC6ED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CA6C8C3" w14:textId="77777777" w:rsidR="00EC6ED4" w:rsidRPr="00271E51" w:rsidRDefault="00EC6ED4"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708D7F" w14:textId="77777777" w:rsidR="00EC6ED4" w:rsidRPr="00271E51" w:rsidRDefault="00EC6ED4" w:rsidP="00271E51">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271E51">
        <w:rPr>
          <w:rFonts w:ascii="Times New Roman" w:hAnsi="Times New Roman"/>
          <w:color w:val="000000" w:themeColor="text1"/>
          <w:sz w:val="16"/>
          <w:szCs w:val="16"/>
        </w:rPr>
        <w:t>В октябре 1943 г. на Московской встрече министров иностранных дел было решено передать рассмотрение всех спорных вопросов о послевоенном устройстве Германии специально созданной Европейской консультативной комиссии (ЕКК — European Advisory Commission). Комиссия была уполномочена заниматься и выработкой репарационного плана (ЕКК заседала около года в Лондоне, начиная с января 1944 г.). То, что «большая тройка» делегировала выработку решений по репарационному вопросу ЕКК, отражало недостаточно ясное видение концепции репараций самими державами (19850).</w:t>
      </w:r>
    </w:p>
    <w:p w14:paraId="79F124DD" w14:textId="77777777" w:rsidR="00EC6ED4" w:rsidRPr="00271E51" w:rsidRDefault="00EC6ED4" w:rsidP="00271E51">
      <w:pPr>
        <w:spacing w:after="0" w:line="240" w:lineRule="auto"/>
        <w:jc w:val="both"/>
        <w:rPr>
          <w:rFonts w:ascii="Times New Roman" w:hAnsi="Times New Roman"/>
          <w:color w:val="000000" w:themeColor="text1"/>
          <w:sz w:val="16"/>
          <w:szCs w:val="16"/>
          <w:bdr w:val="none" w:sz="0" w:space="0" w:color="auto" w:frame="1"/>
          <w:shd w:val="clear" w:color="auto" w:fill="FBFCFC"/>
        </w:rPr>
      </w:pPr>
    </w:p>
    <w:p w14:paraId="3320297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3E4C6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6B7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октября 1943 завод "Белл" в Буффало начал параллельно с Р-39 собирать серийные Р-63А-1. До конца года военным сдали четыре самолета. Когда принималось решение о запуске истребителя в серию, уже было совершенно ясно, что основным "потребителем" этих машин станет советская авиация (3457,78).</w:t>
      </w:r>
    </w:p>
    <w:p w14:paraId="58C7B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AED6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октябре 1943 г. первые серийные Р-63А изготовили на заводе в Буффало. До конца года построили всего 31 машину типа Р-63А-1, практически идентичных опытному ХР-63А, но без бомбодержателей под крыльями и фюзеляжем (самолёт не мог нести ни бомбы, ни подвесные топливные баки) и отличающимися по очертаниям подкрыльными пулемётными гондолами. Истребитель комплектовался мотором «Аллисон» \/-1710-93 номинальной мощностью 1325 л.е., вращавшим </w:t>
      </w:r>
      <w:r w:rsidRPr="00271E51">
        <w:rPr>
          <w:rFonts w:ascii="Times New Roman" w:hAnsi="Times New Roman"/>
          <w:color w:val="000000" w:themeColor="text1"/>
          <w:sz w:val="16"/>
          <w:szCs w:val="16"/>
        </w:rPr>
        <w:lastRenderedPageBreak/>
        <w:t>четырёхлопастный пропеллер «Аэро- продактс». На первых серийных истребителях сохранялись внутренние щитки шасси, навешивавшиеся на центроплане. Далее от них отказались, и часть колеса в убранном положении оставалась в полёте открытой. К крупносерийному выпуску «Кингкобр» приступили уже в начале 1944 г., их собирали на конвейерных линиях параллельно с Р-390.</w:t>
      </w:r>
    </w:p>
    <w:p w14:paraId="5872CD1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выпуска 50 истребителей Р-63А-1 их сменили в производстве Р-63А-5.</w:t>
      </w:r>
    </w:p>
    <w:p w14:paraId="4733574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этом варианте ввели держатель под фюзеляжем для одной бомбы весом до 227 кг или подвесного бака. Применялись баки двух типов, оба металлические. В боевых условиях должен был использоваться бак ёмкостью 284 л. Он имел форму, близкую к сигарообразной, и сваривался в горизонтальной плоскости из двух штампованных половинок. Для перегонки предназначался специальный бак на 663 л, имевший вид огромной по-лукапли, вплотную прилегавшей снизу к фюзеляжу.</w:t>
      </w:r>
    </w:p>
    <w:p w14:paraId="17A924A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А-5 значительно усилили бронеза- щиту, состоявшую из набора стальных и дюралюминиевых пластин. Она прикрывала пилота и некоторые жизненно важные узлы самолёта. Общий вес брони достиг 81 кг - вдвое больше, чем у типа А-1. Заметным внешним отличием стало введение радиомачты, смонтированной сверху за воздухозаборником двигателя. Эта мачта присутствовала потом на всех последующих вариантах «Кингкобры». Р-63А-5 изготовили всего в 20 экземплярах.</w:t>
      </w:r>
    </w:p>
    <w:p w14:paraId="4EEFE1E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модификации А-6 появились два подкрыльных держателя. Это позволило брать дополнительно две бомбы по 227 кг или два бака по 284 л. При этом подвеска под фюзеляжем сохранялась, так что можно было комбинировать бомбы и баки в зависимости от потребности или брать три бака при перегонке на большое расстояние. Таких истребителей собрали уже 130 (12265).</w:t>
      </w:r>
    </w:p>
    <w:p w14:paraId="63BB10F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A86EC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начались летные испытания ТРД фирмы BMW начались, а к августу 1944 г. была изготовлена первая сотня серийных 003А-1 тягой 800 кгс. Следующий вариант двигателя 003А-2 предназначался для реактивного самолета Не 162, так называемого "народного истребителя" (9026).</w:t>
      </w:r>
    </w:p>
    <w:p w14:paraId="451ADF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A97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завершились испытания опытного Hsl29B-2 (зав. № 0280), оснащенного противотанковой пушкой ВКЗ.7 в подвесном подфюзеляжном контейнере (боекомплект 12 снарядов) - так называемый "рустзатц" 3. Пушки MG151/20 в этом варианте снимались.</w:t>
      </w:r>
    </w:p>
    <w:p w14:paraId="385BF8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Пилотирование штурмовика с пушкой ВКЗ.7 в сравнении с машинами со стандартным составом вооружения усложнилось еще более. Из-за сильной отдачи ВКЗ.7 при стрельбе в воздухе и специфики размещения их на машине, Hsl29B-2/R3 испытывал сильный пикирующий момент и возникала раскачка самолета в продольной плоскости. По показаниям пленных немецких летчиков управление Hsl29B-2/R3 оказалось настолько трудным, что точное прицеливание и удерживание линии визирования на цели во время стрельбы стало почти невозможным. Прицельным мог быть только первый выстрел. Пикирование под углом 30 фактически было невыполнимым.</w:t>
      </w:r>
    </w:p>
    <w:p w14:paraId="3B5B62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схемы бронирования советского среднего танка Т-34-76 и возможностей немецкой пушки ВК 3.7 показывает, что при углах планирования Hsl29B-2/R3 около 20° подкалиберный снаряд к пушке мог пробить 52 мм броню башни "тридцатьчетверки" только при стрельбе с дистанции не более 300 м, а бортовую 40-мм броню - 600 м. Однако время ведения эффективной стрельбы составляло 2,8 сек при стрельбе по башне и 7 сек при стрельбе в борт (минимально допустимая высота для маневра на выводе 25-20 м). То есть "эффективным" при поражении башни мог быть лишь один снаряд, а при поражении борта - максимум три снаряда...</w:t>
      </w:r>
    </w:p>
    <w:p w14:paraId="3BE3D5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Поражение танка Т-34-85 было возможным только с пикирования под углом 10-20° в случае попадания снаряда в заднюю часть башни (толщина брони 52 мм) с дистанций до 400 м и в борт танка (толщина брони 45 мм) с дистанции до 500 м. Но площадь этих частей танка была небольшой.</w:t>
      </w:r>
    </w:p>
    <w:p w14:paraId="2E749C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Надмоторная броня и броня крыши башни советских "тридцатьчетверок" поражалась подкалиберным снарядом к пушке ВК 3.7 при стрельбе с 300 м только при углах пикирования не менее 30°. Однако пилотирование Hsl29B-2/R3. прицеливание и стрельба из пушки на таких углах было исключительно сложным делом. При меньших углах пикирования стрельба с любых дистанций давала рикошеты.</w:t>
      </w:r>
    </w:p>
    <w:p w14:paraId="4A9DD2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Оценки показывают, что в реальных боевых условиях пилот Hsl29B-2/R3 с пушкой ВК 3.7 мог обеспечить вероятность поражения среднего советского танка Т-34-76 в одном заходе при стрельбе подкалиберными снарядами (атака сбоку, угол планирования около 20°, дистанция открытия огня 300-400 м) в самом лучшем случае не выше 0,01. То есть для гарантированного выведения из строя на поле боя одной "тридцатьчетверки" командованию люфтваффе необходимо было выделять свыше пяти десятков Hsl29B-2/R3.</w:t>
      </w:r>
    </w:p>
    <w:p w14:paraId="2397C0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Hsl29B-2/R3 с пушкой ВК 3.7 в крупную серию не запускался. По имеющимся данным было построено около 10-12 таких штурмовиков, но ни один из них на фронт не попал.</w:t>
      </w:r>
    </w:p>
    <w:p w14:paraId="0FC5E9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при оценке противотанковых возможностей люфтваффе необходимо учитывать весьма ограниченные возможности немецкой промышленности по производству подкалиберных снарядов всех типов (главным образом, из-за недостатка вольфрама и молибдена) и снабжению ими боевых авиагрупп. Легирующих материалов в Германии не хватало даже для изготовления танковой брони. Поэтому говорить о массовом производстве подкалиберных бронебойных авиационных снарядов и, соответственно, о массовом их боевом применении на поле боя, в сравнении с тем эффектом, который давали подкалиберные бронебойные снаряды больших калибров (орудия ПТО, противотанковых СУ, танков и САУ), видимо, все же не правомерно.</w:t>
      </w:r>
    </w:p>
    <w:p w14:paraId="369A08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известно, несмотря на наличие крупных месторождений никеля, вольфрама и молибдена, в СССР подкалиберные бронебойные снаряды к 37-мм и 45-мм авиационным пушкам серийно не производились (хотя и были отработаны опытные образцы) - предпочтение было отдано обеспечению необходимыми материалами производства подкалиберных снарядов для танковых пушек и орудий ПТО. При этом в войсках Красной Армии подкалиберные снаряды выдавались командирам орудий истребительно-противотанковых полков только под личную ответственность и на счет, а утрата хотя бы одного снаряда грозила последним, суровым наказанием - вплоть до разжалования в рядовые...(9084).</w:t>
      </w:r>
    </w:p>
    <w:p w14:paraId="4E520A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88EC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завершились испыта</w:t>
      </w:r>
      <w:r w:rsidRPr="00271E51">
        <w:rPr>
          <w:rFonts w:ascii="Times New Roman" w:hAnsi="Times New Roman"/>
          <w:color w:val="000000" w:themeColor="text1"/>
          <w:sz w:val="16"/>
          <w:szCs w:val="16"/>
        </w:rPr>
        <w:softHyphen/>
        <w:t>ния опытного Нз129В-2, оснащенного про</w:t>
      </w:r>
      <w:r w:rsidRPr="00271E51">
        <w:rPr>
          <w:rFonts w:ascii="Times New Roman" w:hAnsi="Times New Roman"/>
          <w:color w:val="000000" w:themeColor="text1"/>
          <w:sz w:val="16"/>
          <w:szCs w:val="16"/>
        </w:rPr>
        <w:softHyphen/>
        <w:t>тивотанковой пушкой ВК 3.7 в подвесном подфюзеляжном контейнере (боекомплект 12 снарядов). Пушки М0151/20 в этом ва</w:t>
      </w:r>
      <w:r w:rsidRPr="00271E51">
        <w:rPr>
          <w:rFonts w:ascii="Times New Roman" w:hAnsi="Times New Roman"/>
          <w:color w:val="000000" w:themeColor="text1"/>
          <w:sz w:val="16"/>
          <w:szCs w:val="16"/>
        </w:rPr>
        <w:softHyphen/>
        <w:t>рианте снимались.</w:t>
      </w:r>
    </w:p>
    <w:p w14:paraId="2C6A646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Пилотирование штурмовика с пушкой ВК 3.7, по сравнению с машинами со стан</w:t>
      </w:r>
      <w:r w:rsidRPr="00271E51">
        <w:rPr>
          <w:rFonts w:ascii="Times New Roman" w:hAnsi="Times New Roman"/>
          <w:color w:val="000000" w:themeColor="text1"/>
          <w:sz w:val="16"/>
          <w:szCs w:val="16"/>
        </w:rPr>
        <w:softHyphen/>
        <w:t>дартным составом вооружения, усложни</w:t>
      </w:r>
      <w:r w:rsidRPr="00271E51">
        <w:rPr>
          <w:rFonts w:ascii="Times New Roman" w:hAnsi="Times New Roman"/>
          <w:color w:val="000000" w:themeColor="text1"/>
          <w:sz w:val="16"/>
          <w:szCs w:val="16"/>
        </w:rPr>
        <w:softHyphen/>
        <w:t>лось еще более. Из-за сильной отдачи ВК 3.7 при стрельбе в воздухе и специфики размещения их на машине, Нз129В-2/ВЗ испытывал сильный пикирующий момент, возникала раскачка самолета в продоль</w:t>
      </w:r>
      <w:r w:rsidRPr="00271E51">
        <w:rPr>
          <w:rFonts w:ascii="Times New Roman" w:hAnsi="Times New Roman"/>
          <w:color w:val="000000" w:themeColor="text1"/>
          <w:sz w:val="16"/>
          <w:szCs w:val="16"/>
        </w:rPr>
        <w:softHyphen/>
        <w:t>ной плоскости. По показаниям пленных не</w:t>
      </w:r>
      <w:r w:rsidRPr="00271E51">
        <w:rPr>
          <w:rFonts w:ascii="Times New Roman" w:hAnsi="Times New Roman"/>
          <w:color w:val="000000" w:themeColor="text1"/>
          <w:sz w:val="16"/>
          <w:szCs w:val="16"/>
        </w:rPr>
        <w:softHyphen/>
        <w:t>мецких летчиков управление Нз129В-2/ВЗ оказалось настолько трудным, что точ</w:t>
      </w:r>
      <w:r w:rsidRPr="00271E51">
        <w:rPr>
          <w:rFonts w:ascii="Times New Roman" w:hAnsi="Times New Roman"/>
          <w:color w:val="000000" w:themeColor="text1"/>
          <w:sz w:val="16"/>
          <w:szCs w:val="16"/>
        </w:rPr>
        <w:softHyphen/>
        <w:t>ное прицеливание и удерживание линии визирования на цели во время стрельбы стало почти невозможным. Прицельным мог быть только первый выстрел. Пики</w:t>
      </w:r>
      <w:r w:rsidRPr="00271E51">
        <w:rPr>
          <w:rFonts w:ascii="Times New Roman" w:hAnsi="Times New Roman"/>
          <w:color w:val="000000" w:themeColor="text1"/>
          <w:sz w:val="16"/>
          <w:szCs w:val="16"/>
        </w:rPr>
        <w:softHyphen/>
        <w:t>рование под углом более 30° было невы</w:t>
      </w:r>
      <w:r w:rsidRPr="00271E51">
        <w:rPr>
          <w:rFonts w:ascii="Times New Roman" w:hAnsi="Times New Roman"/>
          <w:color w:val="000000" w:themeColor="text1"/>
          <w:sz w:val="16"/>
          <w:szCs w:val="16"/>
        </w:rPr>
        <w:softHyphen/>
        <w:t>полнимым.</w:t>
      </w:r>
    </w:p>
    <w:p w14:paraId="089988E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схемы бронирования советско</w:t>
      </w:r>
      <w:r w:rsidRPr="00271E51">
        <w:rPr>
          <w:rFonts w:ascii="Times New Roman" w:hAnsi="Times New Roman"/>
          <w:color w:val="000000" w:themeColor="text1"/>
          <w:sz w:val="16"/>
          <w:szCs w:val="16"/>
        </w:rPr>
        <w:softHyphen/>
        <w:t>го среднего танка Т-34-76 и возможностей немецкой пушки ВК 3.7 показывает, что при углах планирования Нз129В-2/РЗ око</w:t>
      </w:r>
      <w:r w:rsidRPr="00271E51">
        <w:rPr>
          <w:rFonts w:ascii="Times New Roman" w:hAnsi="Times New Roman"/>
          <w:color w:val="000000" w:themeColor="text1"/>
          <w:sz w:val="16"/>
          <w:szCs w:val="16"/>
        </w:rPr>
        <w:softHyphen/>
        <w:t>ло 20° подкалиберный снаряд к пушке мог пробить 52 мм броню башни «тридцатьчет</w:t>
      </w:r>
      <w:r w:rsidRPr="00271E51">
        <w:rPr>
          <w:rFonts w:ascii="Times New Roman" w:hAnsi="Times New Roman"/>
          <w:color w:val="000000" w:themeColor="text1"/>
          <w:sz w:val="16"/>
          <w:szCs w:val="16"/>
        </w:rPr>
        <w:softHyphen/>
        <w:t>верки» только при стрельбе с дистанции не более 300 м, а бортовую - с 600 м. Однако время ведения эффективной стрельбы составляло 2,8 с при стрельбе по башне и 7 сек при стрельбе в борт (минимально допустимая высота для маневра на выво</w:t>
      </w:r>
      <w:r w:rsidRPr="00271E51">
        <w:rPr>
          <w:rFonts w:ascii="Times New Roman" w:hAnsi="Times New Roman"/>
          <w:color w:val="000000" w:themeColor="text1"/>
          <w:sz w:val="16"/>
          <w:szCs w:val="16"/>
        </w:rPr>
        <w:softHyphen/>
        <w:t>де 25-20 м). То есть, «эффективным» при поражении башни мог быть лишь один сна</w:t>
      </w:r>
      <w:r w:rsidRPr="00271E51">
        <w:rPr>
          <w:rFonts w:ascii="Times New Roman" w:hAnsi="Times New Roman"/>
          <w:color w:val="000000" w:themeColor="text1"/>
          <w:sz w:val="16"/>
          <w:szCs w:val="16"/>
        </w:rPr>
        <w:softHyphen/>
        <w:t>ряд, а при поражении борта - максимум три снаряда... Стрельба по надмоторной броне и крыше башни давала рикошеты с любых дистанций.</w:t>
      </w:r>
    </w:p>
    <w:p w14:paraId="05269B9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Нз129В-2/ВЗ с пушкой ВК 3.7 в крупную серию не запускался. По имеющимся данным было построено око</w:t>
      </w:r>
      <w:r w:rsidRPr="00271E51">
        <w:rPr>
          <w:rFonts w:ascii="Times New Roman" w:hAnsi="Times New Roman"/>
          <w:color w:val="000000" w:themeColor="text1"/>
          <w:sz w:val="16"/>
          <w:szCs w:val="16"/>
        </w:rPr>
        <w:softHyphen/>
        <w:t>ло 10-12 таких штурмовиков, но ни один из них на фронт не попал (12728).</w:t>
      </w:r>
    </w:p>
    <w:p w14:paraId="352C42EE"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3EAB5B73" w14:textId="77777777" w:rsidR="000F2812" w:rsidRPr="00271E51" w:rsidRDefault="000F281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октябре ВМС США получают свой первый вертолет Sikorsky HNS-1 (20376).</w:t>
      </w:r>
    </w:p>
    <w:p w14:paraId="4EE00F43" w14:textId="77777777" w:rsidR="000F2812" w:rsidRPr="00271E51" w:rsidRDefault="000F2812" w:rsidP="00271E51">
      <w:pPr>
        <w:spacing w:after="0" w:line="240" w:lineRule="auto"/>
        <w:jc w:val="both"/>
        <w:rPr>
          <w:rFonts w:ascii="Times New Roman" w:hAnsi="Times New Roman"/>
          <w:color w:val="0070C0"/>
          <w:sz w:val="16"/>
          <w:szCs w:val="16"/>
        </w:rPr>
      </w:pPr>
    </w:p>
    <w:p w14:paraId="676E18E5" w14:textId="77777777" w:rsidR="000F2812" w:rsidRPr="00271E51" w:rsidRDefault="000F281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Октябрь 1943 первый полет Савойя-Маркетти SM.92 (20376).</w:t>
      </w:r>
    </w:p>
    <w:p w14:paraId="05BE0188"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p>
    <w:p w14:paraId="654D66F1"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lang w:val="ru-RU"/>
        </w:rPr>
        <w:t>В октябре 1943 испытали</w:t>
      </w:r>
      <w:r w:rsidRPr="00271E51">
        <w:rPr>
          <w:rFonts w:ascii="Times New Roman" w:hAnsi="Times New Roman" w:cs="Times New Roman"/>
          <w:color w:val="0070C0"/>
          <w:sz w:val="16"/>
          <w:szCs w:val="16"/>
        </w:rPr>
        <w:t xml:space="preserve"> XPB4Y-2 </w:t>
      </w:r>
      <w:r w:rsidRPr="00271E51">
        <w:rPr>
          <w:rFonts w:ascii="Times New Roman" w:hAnsi="Times New Roman" w:cs="Times New Roman"/>
          <w:color w:val="0070C0"/>
          <w:sz w:val="16"/>
          <w:szCs w:val="16"/>
          <w:lang w:val="ru-RU"/>
        </w:rPr>
        <w:t xml:space="preserve">с центральным килем </w:t>
      </w:r>
      <w:r w:rsidRPr="00271E51">
        <w:rPr>
          <w:rFonts w:ascii="Times New Roman" w:hAnsi="Times New Roman" w:cs="Times New Roman"/>
          <w:color w:val="0070C0"/>
          <w:sz w:val="16"/>
          <w:szCs w:val="16"/>
        </w:rPr>
        <w:t>завод</w:t>
      </w:r>
      <w:r w:rsidRPr="00271E51">
        <w:rPr>
          <w:rFonts w:ascii="Times New Roman" w:hAnsi="Times New Roman" w:cs="Times New Roman"/>
          <w:color w:val="0070C0"/>
          <w:sz w:val="16"/>
          <w:szCs w:val="16"/>
          <w:lang w:val="ru-RU"/>
        </w:rPr>
        <w:t>а</w:t>
      </w:r>
      <w:r w:rsidRPr="00271E51">
        <w:rPr>
          <w:rFonts w:ascii="Times New Roman" w:hAnsi="Times New Roman" w:cs="Times New Roman"/>
          <w:color w:val="0070C0"/>
          <w:sz w:val="16"/>
          <w:szCs w:val="16"/>
        </w:rPr>
        <w:t xml:space="preserve"> «Форд» в городе Уиллоу-Ран, строившему В-24 с лета 1943 года</w:t>
      </w:r>
      <w:r w:rsidRPr="00271E51">
        <w:rPr>
          <w:rFonts w:ascii="Times New Roman" w:hAnsi="Times New Roman" w:cs="Times New Roman"/>
          <w:color w:val="0070C0"/>
          <w:sz w:val="16"/>
          <w:szCs w:val="16"/>
          <w:lang w:val="ru-RU"/>
        </w:rPr>
        <w:t>.</w:t>
      </w:r>
    </w:p>
    <w:p w14:paraId="65730FA7"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rPr>
        <w:t xml:space="preserve">Улучшенный морской PB4Y-2 «Прайвэтир» постепенно превратился из модификации В-24 «модель 32» в новую «модель 100». Работая над ним, конструкторское бюро «Консолидейтед» практически не уделяло внимания работе над улучшением устойчивости самого В-24, и случилось неизбежное: конструкции центрального вертикального оперения и переделанной под него хвостовой части фюзеляжа морского PB4Y-2 и новой модификации B-24N для ВВС получились невзаимозаменяемыми и требовали разной технологической оснастки. </w:t>
      </w:r>
      <w:r w:rsidRPr="00271E51">
        <w:rPr>
          <w:rFonts w:ascii="Times New Roman" w:hAnsi="Times New Roman" w:cs="Times New Roman"/>
          <w:color w:val="0070C0"/>
          <w:sz w:val="16"/>
          <w:szCs w:val="16"/>
          <w:lang w:val="ru-RU"/>
        </w:rPr>
        <w:t xml:space="preserve"> (22899).</w:t>
      </w:r>
    </w:p>
    <w:p w14:paraId="0A2C6D49"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p>
    <w:p w14:paraId="65694769"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lang w:val="ru-RU"/>
        </w:rPr>
        <w:t xml:space="preserve">В </w:t>
      </w:r>
      <w:r w:rsidRPr="00271E51">
        <w:rPr>
          <w:rFonts w:ascii="Times New Roman" w:hAnsi="Times New Roman" w:cs="Times New Roman"/>
          <w:color w:val="0070C0"/>
          <w:sz w:val="16"/>
          <w:szCs w:val="16"/>
        </w:rPr>
        <w:t xml:space="preserve">октябре 1943 г. Командование снабжения ВВС Армии США направило фирме «Дуглас» предложение создать реактивный бомбардировщик на базе экспериментального поршневого самолета большой дальности ХВ-42. </w:t>
      </w:r>
      <w:r w:rsidRPr="00271E51">
        <w:rPr>
          <w:rFonts w:ascii="Times New Roman" w:hAnsi="Times New Roman" w:cs="Times New Roman"/>
          <w:color w:val="0070C0"/>
          <w:sz w:val="16"/>
          <w:szCs w:val="16"/>
          <w:lang w:val="ru-RU"/>
        </w:rPr>
        <w:t>Б</w:t>
      </w:r>
      <w:r w:rsidRPr="00271E51">
        <w:rPr>
          <w:rFonts w:ascii="Times New Roman" w:hAnsi="Times New Roman" w:cs="Times New Roman"/>
          <w:color w:val="0070C0"/>
          <w:sz w:val="16"/>
          <w:szCs w:val="16"/>
        </w:rPr>
        <w:t>лагодаря размещению двух поршневых моторов в хвостовой части его ламинарное крыло получилось идеально чистым. Это обеспечило самолету, названному «Миксматер», высокие качества по скорости и дальности полета. Их планировали еще более улучшить за счет реактивной силовой установки</w:t>
      </w:r>
      <w:r w:rsidRPr="00271E51">
        <w:rPr>
          <w:rFonts w:ascii="Times New Roman" w:hAnsi="Times New Roman" w:cs="Times New Roman"/>
          <w:color w:val="0070C0"/>
          <w:sz w:val="16"/>
          <w:szCs w:val="16"/>
          <w:lang w:val="ru-RU"/>
        </w:rPr>
        <w:t xml:space="preserve"> (23003).</w:t>
      </w:r>
    </w:p>
    <w:p w14:paraId="12E56256"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p>
    <w:p w14:paraId="04FA32E5"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r w:rsidRPr="00271E51">
        <w:rPr>
          <w:rFonts w:ascii="Times New Roman" w:hAnsi="Times New Roman" w:cs="Times New Roman"/>
          <w:color w:val="0070C0"/>
          <w:sz w:val="16"/>
          <w:szCs w:val="16"/>
          <w:lang w:val="ru-RU"/>
        </w:rPr>
        <w:lastRenderedPageBreak/>
        <w:t>В</w:t>
      </w:r>
      <w:r w:rsidRPr="00271E51">
        <w:rPr>
          <w:rFonts w:ascii="Times New Roman" w:hAnsi="Times New Roman" w:cs="Times New Roman"/>
          <w:color w:val="0070C0"/>
          <w:sz w:val="16"/>
          <w:szCs w:val="16"/>
        </w:rPr>
        <w:t xml:space="preserve"> октябре 1943 г. началось </w:t>
      </w:r>
      <w:r w:rsidRPr="00271E51">
        <w:rPr>
          <w:rFonts w:ascii="Times New Roman" w:hAnsi="Times New Roman" w:cs="Times New Roman"/>
          <w:color w:val="0070C0"/>
          <w:sz w:val="16"/>
          <w:szCs w:val="16"/>
          <w:lang w:val="ru-RU"/>
        </w:rPr>
        <w:t>п</w:t>
      </w:r>
      <w:r w:rsidRPr="00271E51">
        <w:rPr>
          <w:rFonts w:ascii="Times New Roman" w:hAnsi="Times New Roman" w:cs="Times New Roman"/>
          <w:color w:val="0070C0"/>
          <w:sz w:val="16"/>
          <w:szCs w:val="16"/>
        </w:rPr>
        <w:t xml:space="preserve">роектирование истребителя сопровождения NA-120 «Твин Мустанг» </w:t>
      </w:r>
      <w:r w:rsidRPr="00271E51">
        <w:rPr>
          <w:rFonts w:ascii="Times New Roman" w:hAnsi="Times New Roman" w:cs="Times New Roman"/>
          <w:color w:val="0070C0"/>
          <w:sz w:val="16"/>
          <w:szCs w:val="16"/>
          <w:lang w:val="ru-RU"/>
        </w:rPr>
        <w:t xml:space="preserve">по </w:t>
      </w:r>
      <w:r w:rsidRPr="00271E51">
        <w:rPr>
          <w:rFonts w:ascii="Times New Roman" w:hAnsi="Times New Roman" w:cs="Times New Roman"/>
          <w:color w:val="0070C0"/>
          <w:sz w:val="16"/>
          <w:szCs w:val="16"/>
        </w:rPr>
        <w:t>спецификаци</w:t>
      </w:r>
      <w:r w:rsidRPr="00271E51">
        <w:rPr>
          <w:rFonts w:ascii="Times New Roman" w:hAnsi="Times New Roman" w:cs="Times New Roman"/>
          <w:color w:val="0070C0"/>
          <w:sz w:val="16"/>
          <w:szCs w:val="16"/>
          <w:lang w:val="ru-RU"/>
        </w:rPr>
        <w:t>и</w:t>
      </w:r>
      <w:r w:rsidRPr="00271E51">
        <w:rPr>
          <w:rFonts w:ascii="Times New Roman" w:hAnsi="Times New Roman" w:cs="Times New Roman"/>
          <w:color w:val="0070C0"/>
          <w:sz w:val="16"/>
          <w:szCs w:val="16"/>
        </w:rPr>
        <w:t xml:space="preserve"> VLR (Very Longrange Fighter — истребитель с очень большой дальностью)</w:t>
      </w:r>
      <w:r w:rsidRPr="00271E51">
        <w:rPr>
          <w:rFonts w:ascii="Times New Roman" w:hAnsi="Times New Roman" w:cs="Times New Roman"/>
          <w:color w:val="0070C0"/>
          <w:sz w:val="16"/>
          <w:szCs w:val="16"/>
          <w:lang w:val="ru-RU"/>
        </w:rPr>
        <w:t>, тре</w:t>
      </w:r>
      <w:r w:rsidRPr="00271E51">
        <w:rPr>
          <w:rFonts w:ascii="Times New Roman" w:hAnsi="Times New Roman" w:cs="Times New Roman"/>
          <w:color w:val="0070C0"/>
          <w:sz w:val="16"/>
          <w:szCs w:val="16"/>
        </w:rPr>
        <w:t>бова</w:t>
      </w:r>
      <w:r w:rsidRPr="00271E51">
        <w:rPr>
          <w:rFonts w:ascii="Times New Roman" w:hAnsi="Times New Roman" w:cs="Times New Roman"/>
          <w:color w:val="0070C0"/>
          <w:sz w:val="16"/>
          <w:szCs w:val="16"/>
          <w:lang w:val="ru-RU"/>
        </w:rPr>
        <w:t>вшей</w:t>
      </w:r>
      <w:r w:rsidRPr="00271E51">
        <w:rPr>
          <w:rFonts w:ascii="Times New Roman" w:hAnsi="Times New Roman" w:cs="Times New Roman"/>
          <w:color w:val="0070C0"/>
          <w:sz w:val="16"/>
          <w:szCs w:val="16"/>
        </w:rPr>
        <w:t xml:space="preserve"> создать самолет, способный сопровождать В-29 в налетах на Японию с Филиппин или Соломоновых островов на радиус более 3200 км</w:t>
      </w:r>
      <w:r w:rsidRPr="00271E51">
        <w:rPr>
          <w:rFonts w:ascii="Times New Roman" w:hAnsi="Times New Roman" w:cs="Times New Roman"/>
          <w:color w:val="0070C0"/>
          <w:sz w:val="16"/>
          <w:szCs w:val="16"/>
          <w:lang w:val="ru-RU"/>
        </w:rPr>
        <w:t>.</w:t>
      </w:r>
      <w:r w:rsidRPr="00271E51">
        <w:rPr>
          <w:rFonts w:ascii="Times New Roman" w:hAnsi="Times New Roman" w:cs="Times New Roman"/>
          <w:color w:val="0070C0"/>
          <w:sz w:val="16"/>
          <w:szCs w:val="16"/>
        </w:rPr>
        <w:t xml:space="preserve"> Идея была явно заимствована у немцев — разведка в 1943 г. добыла данные о самолете Мессершмитт Bf-109Z (Z — Zwilling, или двойняшки), и для обозначения первой модификации нового самолета также использовался этот индекс — в документах часто значилось «P-82Z». Два фюзеляжа Р-51 были связаны центропланом и стабилизатором, а консоли остались такие же, как на серийном самолете. Установка шести 12,7-мм пулеметов в центроплане и еще восьми в контейнере под ним давала высокую кучность боя. Под центроплан можно было подвешивать также пусковую раму для пяти 127-мм ракет, один бак на 2271 л бензина или два 1173-литровых. Под консолями установили держатели для четырех баков, 454-кг бомб или направляющие для двадцати ракет. Управление сделали из обеих кабин, чтобы в дальнем полете командир экипажа мог отдыхать. В каждом фюзеляже</w:t>
      </w:r>
      <w:r w:rsidRPr="00271E51">
        <w:rPr>
          <w:rFonts w:ascii="Times New Roman" w:hAnsi="Times New Roman" w:cs="Times New Roman"/>
          <w:color w:val="0070C0"/>
          <w:sz w:val="16"/>
          <w:szCs w:val="16"/>
          <w:lang w:val="ru-RU"/>
        </w:rPr>
        <w:t xml:space="preserve"> </w:t>
      </w:r>
      <w:r w:rsidRPr="00271E51">
        <w:rPr>
          <w:rFonts w:ascii="Times New Roman" w:hAnsi="Times New Roman" w:cs="Times New Roman"/>
          <w:color w:val="0070C0"/>
          <w:sz w:val="16"/>
          <w:szCs w:val="16"/>
        </w:rPr>
        <w:t>смонтировали по мотору Паккард V-1650-23/25 (левый/правый противоположного вращения), которые были созданы на базе английского двигателя Роллс-Ройс «Мерлин». Первоначально за основу были взяты агрегаты опытного легкого истребителя P-51F, а затем увеличенного Р-51Н с большими свободными объемами, но места для баков все равно оказалась мало, и фюзеляжи удлинили еще на 1737 мм. Теперь по расчету с внутренней заправкой 2180 л самолет мог пролететь 4045 км и держаться в воздухе 9,5 ч, подвеска под центропланом одного «большого» бака увеличивала дальность до 8045 км, а шесть 1173-литровых баков позволяли пройти 11263 км при крейсерской скорости 386 км/ч — для истребителя просто немыслимо</w:t>
      </w:r>
      <w:r w:rsidRPr="00271E51">
        <w:rPr>
          <w:rFonts w:ascii="Times New Roman" w:hAnsi="Times New Roman" w:cs="Times New Roman"/>
          <w:color w:val="0070C0"/>
          <w:sz w:val="16"/>
          <w:szCs w:val="16"/>
          <w:lang w:val="ru-RU"/>
        </w:rPr>
        <w:t xml:space="preserve"> (23019).</w:t>
      </w:r>
    </w:p>
    <w:p w14:paraId="0D7F30C5" w14:textId="77777777" w:rsidR="000F2812" w:rsidRPr="00271E51" w:rsidRDefault="000F2812" w:rsidP="00271E51">
      <w:pPr>
        <w:pStyle w:val="1131"/>
        <w:shd w:val="clear" w:color="auto" w:fill="auto"/>
        <w:spacing w:line="240" w:lineRule="auto"/>
        <w:ind w:firstLine="0"/>
        <w:rPr>
          <w:rFonts w:ascii="Times New Roman" w:hAnsi="Times New Roman" w:cs="Times New Roman"/>
          <w:color w:val="0070C0"/>
          <w:sz w:val="16"/>
          <w:szCs w:val="16"/>
          <w:lang w:val="ru-RU"/>
        </w:rPr>
      </w:pPr>
    </w:p>
    <w:p w14:paraId="7E1072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был заключен контракт с «Миттельверке» на производство «V-2». В нем говорилось:</w:t>
      </w:r>
    </w:p>
    <w:p w14:paraId="57F596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«Производить 12000 ракет А-4 темпом 900 ракет ежемесячно, не включая электронное оборудование, боеголовки или другое оборудование (упаковочный материал), а также окончательная сборка этих 12 тыс. ракет, включая внутреннее оборудование, боеголовку и другое оборудование (упаковочный материал) по стандартной цене 40000 рейхсмарок за штуку. Общая цена 480 млн. рейхсмарок, (подпись) Лееб (генерал)».</w:t>
      </w:r>
    </w:p>
    <w:p w14:paraId="03A42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фактическая стоимость первой тысячи «V-2» на заводе фирмы в Нордхаузене составила 100 тысяч марок за штуку, последующие 5000 ракет – по 50 тысяч марок за каждую, не включая стоимости боевого заряда, сырья, горючего и навигационного оборудования. Вместе с этими затратами стоимость одной «V-2» составляла 133 400 марок, а с учетом ассигнований на строительство и оборудование ракетного центра в Пенемюнде она возрастала до 300 000 марок.</w:t>
      </w:r>
    </w:p>
    <w:p w14:paraId="4B0EA9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себестоимости в 38 000 марок, обещанной Вальтером Дорнбергером, уже никто не вспоминал.</w:t>
      </w:r>
    </w:p>
    <w:p w14:paraId="0C99AF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 это или мало – 300 тысяч рейхсмарок обраца 1943-44 годов? Например, 260 тысяч стоил знаменитый танк «Тигр». А тяжелое пехотное оружие на шасси танка стоило 53 тысячи марок. А самолет-истребитель «Ме-109» стоил 100 тысяч марок. Много это или мало? Приличные продукты в Берлине можно было купить только на «черном рынке», а там килограмм муки и килограмм кофе стоят одинаково – 300 марок. А фальшивые документы можно купить за 1000 марок. Много это или мало?..</w:t>
      </w:r>
    </w:p>
    <w:p w14:paraId="7EE724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серийном производстве различных компонентов ракет приняло участие около 800 различных фирм, имевших заводы, разбросанные по всей Европе. Так, только в районе Фрейбурга (южная Германия) компоненты «V-2» производили 38 фирм, каждая по 200 рабочих. Сложное взаимодействие и конкуренция между фирмами, заводами, конструкторскими бюро, полигонами еще больше замедляли налаживание серийного производства ракет.</w:t>
      </w:r>
    </w:p>
    <w:p w14:paraId="04796B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Наконец, запланированное производство ракет создавало большие трудности для химической промышленности Германии. Так, для ежемесячного производства 3000 «V-1» требовалось 300 т перекиси водорода, 2000 т низкооктанового горючего и 4500 т взрывчатых веществ. Производство 900 «V-2» требовало 13000 т жидкого кислорода, 4000 т чистого спирта, 2000 т метилового спирта, 500 т перекиси водорода и 1500 т взрывчатых веществ (11688).</w:t>
      </w:r>
    </w:p>
    <w:p w14:paraId="412F75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179D4" w14:textId="77777777" w:rsidR="00F96B9F" w:rsidRPr="00271E51" w:rsidRDefault="00F96B9F" w:rsidP="00271E51">
      <w:pPr>
        <w:pStyle w:val="book"/>
        <w:ind w:firstLine="0"/>
        <w:jc w:val="both"/>
        <w:rPr>
          <w:color w:val="000000" w:themeColor="text1"/>
          <w:sz w:val="16"/>
          <w:szCs w:val="16"/>
        </w:rPr>
      </w:pPr>
      <w:r w:rsidRPr="00271E51">
        <w:rPr>
          <w:color w:val="000000" w:themeColor="text1"/>
          <w:sz w:val="16"/>
          <w:szCs w:val="16"/>
        </w:rPr>
        <w:t>В октябре 1943 г. впервые в истории самонаводящиеся торпеды были применены немцами против американских конвоев в Атлантике. В ходе первой же операции было потоплено четыре американских корабля, а один поврежден. Немцы использовали торпеды Т-5 (другой индекс G7eS). Калибр торпеды был 533 мм, длина 7175 мм, вес 1495 кг. В боевой части размещалось 260 кг взрывчатого вещества. Торпеда имела два режима: при скорости 23 узла дальность хода составляла 6 км, а при скорости 20 узлов — 7,5 км соответственно. Торпеда Т-5 оснащалась пассивной акустической головкой самонаведения «Цаункёниг». Головка самонаведения обнаруживала цель в секторе ±30° от продольной оси торпеды. Головка самонаведения обнаруживала корабль класса «эсминец», идущий со скоростью 15 узлов на дистанции до 450 м. Спустя несколько месяцев после начала применения торпед Т-5 союзники нашли довольно эффективное средство противодействия им — источники акустических помех («фоксеры»), которые буксировались за кораблем или просто выбрасывались за корму. Чтобы сделать «фоксеры» неэффективными, в Германии в конце войны была разработана активная головка самонаведения «Гайер» («Geier») (15225).</w:t>
      </w:r>
    </w:p>
    <w:p w14:paraId="379B9D99" w14:textId="77777777" w:rsidR="00F96B9F" w:rsidRPr="00271E51" w:rsidRDefault="00F96B9F" w:rsidP="00271E51">
      <w:pPr>
        <w:pStyle w:val="book"/>
        <w:ind w:firstLine="0"/>
        <w:jc w:val="both"/>
        <w:rPr>
          <w:color w:val="000000" w:themeColor="text1"/>
          <w:sz w:val="16"/>
          <w:szCs w:val="16"/>
        </w:rPr>
      </w:pPr>
    </w:p>
    <w:p w14:paraId="67F9B9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во время одного из массированных налетов союзной авиации на объекты, расположенные на территории Германии, строй бомбардировщиков был атакован поднимавшейся снизу группой больших блестящих дисков (11620).</w:t>
      </w:r>
    </w:p>
    <w:p w14:paraId="724B18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BF1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года полковник Хайнрих Ланге, Ханна Райч и доктор Теодор Бензингер, руководитель Института авиационной медицины, задумали разработать проект пилотируемых самолетов-снарядов. Ханна Райч, используя свои связи среди высокопоставленных руководителей Германии, обратилась с этой идеей в Министерство авиации рейха, однако фельдмаршал Мильх ответил отказом, и ей пришлось обратиться в Летную Академию, которая являлась главной научной организацией в данной области и имела право на проведение самостоятельных исследований. К зиме 1943-44 годов был начат набор добровольцев для участия в этой программе.</w:t>
      </w:r>
    </w:p>
    <w:p w14:paraId="6D627F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Коимандование войск СС поддержало эту идею, предложив использовать пилотируемый самолет-снаряд для бомбардировки индустриальных комплексов Куйбышева, Челябинска, Магнитогорска, а также регионов, расположенных за Уралом.</w:t>
      </w:r>
    </w:p>
    <w:p w14:paraId="76C664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марту 1944 года восемьдесят высококвалифицированных летчиков составили группу пилотов, проходивших теоретическую и практическую подготовку – первоначально для полетов на одноразовом реактивном самолете «Me-328» («Messerschmitt»). Однако возможностей развернуть серийное производство нового самолета не существовало, и было принято решение использовать для реализации этого проекта серийно изготавливаемый «Fi-103».</w:t>
      </w:r>
    </w:p>
    <w:p w14:paraId="3403D0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самолетов-носителей командование люфтваффе выделило два бомбардировочных полка KG-3 и KG-53, вооруженных бомбардировщиками «He-111» («Heinkel») различных модификаций, в том числе и специальной версией этого самолета, обозначенной «Не-111Н-22» и изначально разработанной как носитель крылатой ракеты.</w:t>
      </w:r>
    </w:p>
    <w:p w14:paraId="116813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Работу по созданию пилотируемого варианта самолета-снаряда возглавил Вилли Фидлер, технический директор заводов в Пенемюнде. Комплекс мероприятий получил наименование «Reichenberg» («Рейхенберг»), поэтому впоследствии все самолеты-снаряды этого типа носили такое же название.</w:t>
      </w:r>
    </w:p>
    <w:p w14:paraId="60C49D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Замысел был довольно прост. На ракету требовалось установить только пилотскую кабину, и получалось оружие совершенно нового типа. Поэтому на протяжении всего четырнадцати дней с начала работ инженеры Пенемюнде выпустили первые прототипы для тренировочных и практических целей.</w:t>
      </w:r>
    </w:p>
    <w:p w14:paraId="71D1F4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Впоследствии было построено четыре различных пилотируемых версии «Fi-103». «Reichenberg I» («Fi-103R-I») являлся бездвигательным пилотируемым самолетом-снарядом, предназначенным для натурных аэродинамических испытаний, «Reichenberg II» («Fi-103R-II») – двухместным учебным для выработки навыков пилотажа, «Reichenberg III» («Fi-103R-III») – одноместным учебным, оборудованным двигателем и посадочной лыжей, «Reichenberg IV» («Fi-103R-IV») – боевым, оснащенным боезарядом, но без шасси.</w:t>
      </w:r>
    </w:p>
    <w:p w14:paraId="1E9E82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«Reichenberg IV» отличался от «Fi-103» только наличием кабины летчика перед воздухозаборником двигателя (вместо отсека с баллонами сжатого воздуха) и элеронами на крыле. В кабине устанавливались сиденье летчика, приборная доска с прицелом, высотомером, авиагоризонтом, указателем скорости и часами. Кроме того, в кабине располагались гирокомпас и электрическая батарея с преобразователем. Управление самолетом осуществлялось при помощи обычной ручки и педалей. Фонарь кабины открывался вправо, лобовое стекло было бронированным (11688).</w:t>
      </w:r>
    </w:p>
    <w:p w14:paraId="420945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381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г. два MkI вошли в состав 1577-го отдельного крыла, базирующегося в Марипуре (Индия). Здесь пару четырехмоторных «авро» использовали в качестве буксировщиков планеров «Хор-са» («Horsa») и «Гамилькар» («Hamilcar»). Специально для тропического климата разработали «южные» модификации BMkI (FE) и BMkVII (FE). Этими бомбардировщиками планировали оснастить несколько эскадрилий ВВС Австралии и Новой Зеландии. Однако война с Японией закончилась раньше, чем первые самолеты поступили на Тихий океан. Огромные просторы театра военных действий на востоке требовали увеличения дальности «Ланкастера». Специально для сверхдальних маршрутов два MkI из 1577-го крыла в Индии прошли необходимую доработку. На самолетах появился огромный дополнительный бак (емкостью 5455 л), расположенный сверху за кабиной в обтекателе, который шел вплоть до места снятой верхней турели. Первый самолет совершил в мае 1945 г. испытательный полет в Англию, а второй - в августе в Австралию С окончанием войны этот вариант не получил дальнейшего развития. Для увеличения дальности прорабатывалась и возможность дозаправки «Ланкастеров» в воздухе друг от друга. Английская фирма «Рефьюлинг Лтд» получила заказ на соответствующее оборудование для 600 (!) бомбардировщиков, но и здесь после капитуляции Японии все работы остановили (11860).</w:t>
      </w:r>
    </w:p>
    <w:p w14:paraId="1976E5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BB3DBE" w14:textId="77777777" w:rsidR="00CA15B2" w:rsidRPr="00271E51" w:rsidRDefault="00CA15B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В октябре 1943 в течение месяца американские самолеты наземного базирования совершили 3187 боевых вылетов в южной части Тихого океана и только 71 самолето-пролет в центральной части Тихого океана (20376).</w:t>
      </w:r>
    </w:p>
    <w:p w14:paraId="453C7A70" w14:textId="77777777" w:rsidR="00CA15B2" w:rsidRPr="00271E51" w:rsidRDefault="00CA15B2" w:rsidP="00271E51">
      <w:pPr>
        <w:spacing w:after="0" w:line="240" w:lineRule="auto"/>
        <w:jc w:val="both"/>
        <w:rPr>
          <w:rFonts w:ascii="Times New Roman" w:hAnsi="Times New Roman"/>
          <w:color w:val="0070C0"/>
          <w:sz w:val="16"/>
          <w:szCs w:val="16"/>
        </w:rPr>
      </w:pPr>
    </w:p>
    <w:p w14:paraId="014BED8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8E300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A070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октябре-декабре 1943 в ЛИИ были проведены совместные испытания 103В с двигателями М-82ФН с различной степенью редукции и лучшие данные оказались при редукции 9:16 и трехлопастным винтом АВ5-167А диаметром 3.8 м. Новые винты дали + 10-11 км/час. Испытывали и редукцию 11:16 с винтом АВ-5-118А диаметром 372 м и с четырехлопастным винтом АВ-9-118Д диаметром 3.2 м (1835,28).</w:t>
      </w:r>
    </w:p>
    <w:p w14:paraId="010A12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95E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1943 - январе 1944 в ЛИИ проходили летные испытания Пе-2 N 19/205, модифицированного в ЦАГИ. Летали М.Галлай, С.Машковский, Н.Рыбко (1077,326).</w:t>
      </w:r>
    </w:p>
    <w:p w14:paraId="3753DB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800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октябре-ноябре 1943 велась переделка одного “юнкерса” под пару М-62ИР, но неизвестно, была ли она завершена. По-видимому, в связи с увеличением количества трофейных двигателей и освоением у нас производства запчастей к ним интерес к подобной модификации угас (6393).</w:t>
      </w:r>
    </w:p>
    <w:p w14:paraId="5EE6B9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906B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20411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1290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октябре-ноя</w:t>
      </w:r>
      <w:r w:rsidRPr="00271E51">
        <w:rPr>
          <w:rFonts w:ascii="Times New Roman" w:hAnsi="Times New Roman"/>
          <w:color w:val="000000" w:themeColor="text1"/>
          <w:sz w:val="16"/>
          <w:szCs w:val="16"/>
        </w:rPr>
        <w:softHyphen/>
        <w:t>бре 1943 года танк СГ-34 прошел заводские испытания. На вооружение танк СГ-34 не принимался и в серийном производстве не состоял. Танк СГ-34 был создан на базе серийного танка Т-34-76 обр. 1941 г. Он отличался от него максимальной герметизацией всей машины в це</w:t>
      </w:r>
      <w:r w:rsidRPr="00271E51">
        <w:rPr>
          <w:rFonts w:ascii="Times New Roman" w:hAnsi="Times New Roman"/>
          <w:color w:val="000000" w:themeColor="text1"/>
          <w:sz w:val="16"/>
          <w:szCs w:val="16"/>
        </w:rPr>
        <w:softHyphen/>
        <w:t>лом, а также монтажом специального комплекта оборудования, обеспе</w:t>
      </w:r>
      <w:r w:rsidRPr="00271E51">
        <w:rPr>
          <w:rFonts w:ascii="Times New Roman" w:hAnsi="Times New Roman"/>
          <w:color w:val="000000" w:themeColor="text1"/>
          <w:sz w:val="16"/>
          <w:szCs w:val="16"/>
        </w:rPr>
        <w:softHyphen/>
        <w:t>чивавшего работоспособность двигателя и членов экипажа танка при его движении под водой. В связи с установкой комплекта ОПВТ на тан</w:t>
      </w:r>
      <w:r w:rsidRPr="00271E51">
        <w:rPr>
          <w:rFonts w:ascii="Times New Roman" w:hAnsi="Times New Roman"/>
          <w:color w:val="000000" w:themeColor="text1"/>
          <w:sz w:val="16"/>
          <w:szCs w:val="16"/>
        </w:rPr>
        <w:softHyphen/>
        <w:t>ке был демонтирован левый верхний носовой топливный бак, в резуль</w:t>
      </w:r>
      <w:r w:rsidRPr="00271E51">
        <w:rPr>
          <w:rFonts w:ascii="Times New Roman" w:hAnsi="Times New Roman"/>
          <w:color w:val="000000" w:themeColor="text1"/>
          <w:sz w:val="16"/>
          <w:szCs w:val="16"/>
        </w:rPr>
        <w:softHyphen/>
        <w:t>тате чего запас топлива уменьшился на 56 л, а из-за установки аппара</w:t>
      </w:r>
      <w:r w:rsidRPr="00271E51">
        <w:rPr>
          <w:rFonts w:ascii="Times New Roman" w:hAnsi="Times New Roman"/>
          <w:color w:val="000000" w:themeColor="text1"/>
          <w:sz w:val="16"/>
          <w:szCs w:val="16"/>
        </w:rPr>
        <w:softHyphen/>
        <w:t>туры забортного охлаждения радиаторов двигателя был сокращен бое</w:t>
      </w:r>
      <w:r w:rsidRPr="00271E51">
        <w:rPr>
          <w:rFonts w:ascii="Times New Roman" w:hAnsi="Times New Roman"/>
          <w:color w:val="000000" w:themeColor="text1"/>
          <w:sz w:val="16"/>
          <w:szCs w:val="16"/>
        </w:rPr>
        <w:softHyphen/>
        <w:t>комплект пушки на 14 выстрелов и изменена укладка ЗИП. Танк СГ-34 мог преодолевать водные преграды глубиной до 5 м с возможностью ве</w:t>
      </w:r>
      <w:r w:rsidRPr="00271E51">
        <w:rPr>
          <w:rFonts w:ascii="Times New Roman" w:hAnsi="Times New Roman"/>
          <w:color w:val="000000" w:themeColor="text1"/>
          <w:sz w:val="16"/>
          <w:szCs w:val="16"/>
        </w:rPr>
        <w:softHyphen/>
        <w:t>дения боевых действий после преодоления водной преграды (10703).</w:t>
      </w:r>
    </w:p>
    <w:p w14:paraId="304928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A0499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октябре-ноябре 1944 года мастерские Военной академии бронетанковых и механизированных войск приспособили серийный танк Т-34 для преодоления водных преград по дну. Для этого машина герметизировалась и оборудовалась воздухопи- тающей трубой диаметром 130 мм и длиной 3,4 м, установленной на башне. Для ориентировки движения под водой в танке монтировался магнитный компас. В ходе испытаний танк преодолевал водный рубеж шириной 215 м и глубиной до 4,5 м. Для движения под водой у механика-водителя устанавливался курсо- указатель (12217).</w:t>
      </w:r>
    </w:p>
    <w:p w14:paraId="7D3412F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1C7E0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 ноябре 1943 г. ЦАКБ НКВ и завод № 92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271E51">
        <w:rPr>
          <w:rFonts w:ascii="Times New Roman" w:hAnsi="Times New Roman"/>
          <w:color w:val="000000" w:themeColor="text1"/>
          <w:sz w:val="16"/>
          <w:szCs w:val="16"/>
        </w:rPr>
        <w:softHyphen/>
        <w:t>изводстве на заводе № 92 пушки С-53, наиболее полно отвечавшей тре</w:t>
      </w:r>
      <w:r w:rsidRPr="00271E51">
        <w:rPr>
          <w:rFonts w:ascii="Times New Roman" w:hAnsi="Times New Roman"/>
          <w:color w:val="000000" w:themeColor="text1"/>
          <w:sz w:val="16"/>
          <w:szCs w:val="16"/>
        </w:rPr>
        <w:softHyphen/>
        <w:t>бованиям по размещению в танке Т-34.1 января 1944 г. пушка С-53 бы</w:t>
      </w:r>
      <w:r w:rsidRPr="00271E51">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7BED13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045A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-ноябре 1943 г, ЦАКБ НКВ совместно с заводом № 92 разработали и представили на испытания три образца 85-мм пушек, специально рассчитанных на установку в танк Т-34. Они занимали меньший объем внутри башни и были проще в изготовлении. При про</w:t>
      </w:r>
      <w:r w:rsidRPr="00271E51">
        <w:rPr>
          <w:rFonts w:ascii="Times New Roman" w:hAnsi="Times New Roman"/>
          <w:color w:val="000000" w:themeColor="text1"/>
          <w:sz w:val="16"/>
          <w:szCs w:val="16"/>
        </w:rPr>
        <w:softHyphen/>
        <w:t>работке этого задания в соответствии с постановлениями ГКО от 15 и 27 декабря 1943 г. были изготовлены несколько танков Т-34 с разным г объемом их модернизации и вооруженных различными образцами пушек калибра 85 мм. Испытания опытных машин прошли на Гороховецком полигоне в период с 25 по 31 декабря 1943 г. На испытания были представлены опытные образцы танков Т-34 со следующим вооружением: 85-мм танковой пушкой ЛБ-1 конструкции и производства завода № 92, установленной в башне с диаметром опоры 1600 мм; 85-мм танковой пушкой С-53 конструкции и производства ЦАКБ НКВ, установленной в башне с диаметром опоры 1420 мм и 85-мм танковой пушкой С-50 конструкции и производства ЦАКБ, установленной в башне с диаметром опоры 1600 мм. Все три пушки, установленные в танках Т-34, испытаний не выдержали (10703).</w:t>
      </w:r>
    </w:p>
    <w:p w14:paraId="2F02FF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201F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w:t>
      </w:r>
      <w:r w:rsidRPr="00271E51">
        <w:rPr>
          <w:rFonts w:ascii="Times New Roman" w:hAnsi="Times New Roman"/>
          <w:color w:val="000000" w:themeColor="text1"/>
          <w:sz w:val="16"/>
          <w:szCs w:val="16"/>
        </w:rPr>
        <w:softHyphen/>
        <w:t>ре — ноябре 1943 установка ИСУ-152 прошла заводские и полигонные испытания на НИБТ полигоне и Гороховецком АНИОПе и 6 ноября 1943 г. поста</w:t>
      </w:r>
      <w:r w:rsidRPr="00271E51">
        <w:rPr>
          <w:rFonts w:ascii="Times New Roman" w:hAnsi="Times New Roman"/>
          <w:color w:val="000000" w:themeColor="text1"/>
          <w:sz w:val="16"/>
          <w:szCs w:val="16"/>
        </w:rPr>
        <w:softHyphen/>
        <w:t>новлением ГКО была принята на вооружение. В декабре того же года на ЧКЗ началось серийное производство самоходной установки ИСУ-152, которое продолжалось до 1946 г. Всего с 1943 г по май 1945 г. включительно было выпущено 1885 самоходных установок ИСУ-152, которые широко применялись на фронтах Великой Отечественной войны на ее завершающем этапе. Простота конструкции и эксплуата</w:t>
      </w:r>
      <w:r w:rsidRPr="00271E51">
        <w:rPr>
          <w:rFonts w:ascii="Times New Roman" w:hAnsi="Times New Roman"/>
          <w:color w:val="000000" w:themeColor="text1"/>
          <w:sz w:val="16"/>
          <w:szCs w:val="16"/>
        </w:rPr>
        <w:softHyphen/>
        <w:t>ции способствовали быстрому освоению машины экипажами. В по</w:t>
      </w:r>
      <w:r w:rsidRPr="00271E51">
        <w:rPr>
          <w:rFonts w:ascii="Times New Roman" w:hAnsi="Times New Roman"/>
          <w:color w:val="000000" w:themeColor="text1"/>
          <w:sz w:val="16"/>
          <w:szCs w:val="16"/>
        </w:rPr>
        <w:softHyphen/>
        <w:t>слевоенный период ИСУ-152 была модернизирована, а ее шасси ис</w:t>
      </w:r>
      <w:r w:rsidRPr="00271E51">
        <w:rPr>
          <w:rFonts w:ascii="Times New Roman" w:hAnsi="Times New Roman"/>
          <w:color w:val="000000" w:themeColor="text1"/>
          <w:sz w:val="16"/>
          <w:szCs w:val="16"/>
        </w:rPr>
        <w:softHyphen/>
        <w:t>пользовалось при создании самоходных ракетных пусковых устано</w:t>
      </w:r>
      <w:r w:rsidRPr="00271E51">
        <w:rPr>
          <w:rFonts w:ascii="Times New Roman" w:hAnsi="Times New Roman"/>
          <w:color w:val="000000" w:themeColor="text1"/>
          <w:sz w:val="16"/>
          <w:szCs w:val="16"/>
        </w:rPr>
        <w:softHyphen/>
        <w:t>вок и тягачей - эвакуаторов (10703).</w:t>
      </w:r>
    </w:p>
    <w:p w14:paraId="6858EE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C330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октябре-ноябре 1943 г. деятельность НИИ-49 восстановлена в Ленинграде. В 09.1944 г. из Свердловска возвратилась последняя группа работников.</w:t>
      </w:r>
    </w:p>
    <w:p w14:paraId="7931CD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Начата разработка аппаратуры специальных средств связи, наблюдения и автоматики для ВМФ. В годы ВОВ совместно с Уральским филиалом АН создан магнитометр для поиска затонувших судов (И.С. Монгейт).</w:t>
      </w:r>
      <w:r w:rsidRPr="00271E51">
        <w:rPr>
          <w:rFonts w:ascii="Times New Roman" w:hAnsi="Times New Roman"/>
          <w:color w:val="000000" w:themeColor="text1"/>
          <w:sz w:val="16"/>
          <w:szCs w:val="16"/>
          <w:vertAlign w:val="superscript"/>
        </w:rPr>
        <w:t>61</w:t>
      </w:r>
    </w:p>
    <w:p w14:paraId="069FD7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войны действовала лаборатория специальной связи, занималась проблемами приема и передачи фототелеграфных изображений. В 1946 г. она реорганизована в отдел № 30. В его составе 4 лаборатории: передающих устройств, антенно-волноводных устройств, приемных устройств, индикаторных устройств; макетная мастерская, испытательные базы.</w:t>
      </w:r>
    </w:p>
    <w:p w14:paraId="3D289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институт стал одним из основных разработчиков РЛ средств для ВМФ, определен головным по созданию РЛС для ПЛ (и оставался единственным их разработчиком на 2005 г.).</w:t>
      </w:r>
    </w:p>
    <w:p w14:paraId="5A4B4E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Велись также работы по изучению и воспроизводству приборов автоматики для немецких УРС.</w:t>
      </w:r>
      <w:r w:rsidRPr="00271E51">
        <w:rPr>
          <w:rFonts w:ascii="Times New Roman" w:hAnsi="Times New Roman"/>
          <w:color w:val="000000" w:themeColor="text1"/>
          <w:sz w:val="16"/>
          <w:szCs w:val="16"/>
          <w:vertAlign w:val="superscript"/>
        </w:rPr>
        <w:t>92</w:t>
      </w:r>
    </w:p>
    <w:p w14:paraId="15FDEB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 начата разработка корабельной аппаратуры «Факел» единой системы опознавания кораблей и самолетов «Кремний-1». В 04.1952 г. институту поручена разработка новой корабельной аппаратуры «Никель- Хром» единой системы опознавания «Кремний-2». В 1955-56 г. Проведена НИР «Утро» по модернизации системы опознавания.</w:t>
      </w:r>
    </w:p>
    <w:p w14:paraId="4942DE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в институте организован ученый совет, позже создан научно-технический совет.</w:t>
      </w:r>
    </w:p>
    <w:p w14:paraId="256E64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1947 г. начата разработка систем управления ПКР, РЛ средств. С 1952 г. начата разработка СУ стрельбой противолодочным оружием и оружием самообороны. В соответствии с пост, правительства от 7(17).06.1947 г. начата разработка первой отечественной РЛС для ПЛ «Флаг». Совместно с ЦКБ-18 создано устройство для подъема, опускания и вращения антенны РЛС. Пост. СМ СССР от 14.06.1950 г. РЛС пив. Пост, правительства в 03.1955 г. задано создание РЛС «Касатка» для ПЛ пр. 613 для сверхдальнего обнаружения самолетов (на дальности до 190 км). Впервые антенна РЛС изготовлена из титана. Пост, правительства № 1176-567 от 24.10.1958 г. РЛС «Касатка» пнв.</w:t>
      </w:r>
    </w:p>
    <w:p w14:paraId="170673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1948-50 г. были проведены две НИР: «Флексия»- по исследованию противо-РЛ средств (руководитель-А.В. Григоров; зам. руководителя- И.Л. Коган); «Фиалка»- по созданию комбинированного антенного устройства (руководитель- Н.А. Илларионова; зам. руководителя- Т. Г. Колотова). В результате разработана станция обнаружения РЛ сигналов (СОРС) «Анкер», которая пост. СМ СССР в 09.1953 г. пнв. В 1959 г. для разработки приборов обнаружения излучений РЛС противника и средств противодействия был организован отдел № 130.</w:t>
      </w:r>
    </w:p>
    <w:p w14:paraId="6D8CF5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от 16.02.1949 г. начата разработка: навигационной РЛС «Веха», пост, от 16.10.1950 г. она пнв; малогабаритной РЛС «Заря» управления торпедной стрельбой для надводных кораблей, пост. СМ СССР от 14.09.1951 г. она пнв. В соответствии с пост, правительства от 3.10.1951 г. начата разработка универсальной РЛС «Рея» обнаружения и управления торпедной стрельбой, пост. СМ СССР в 09.1953 г. она пнв.</w:t>
      </w:r>
    </w:p>
    <w:p w14:paraId="53AFDE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1951-56 г. проведены исследования в области миллиметровых волн, выполнены НИР: «Линза» по возможности создания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8-мм диапазона для ПЛ (руководитель- Н.Д. Файнштейн), создана РЛС «Буря»; «Окуляр» по возможности создания РЛС 6-мм диапазона с единой антенной (руководитель- А.Е. Исаев); «Буря».</w:t>
      </w:r>
    </w:p>
    <w:p w14:paraId="1D0A76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от 04.1953 г. о создании АЛЛ пр. 627 проведена НИР «Бухта» (руководитель- В.В. Павлов), результатом которой стало создание в 1956 г. РЛС «Призма».</w:t>
      </w:r>
    </w:p>
    <w:p w14:paraId="3581A5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1950-х  г. в институт переведена группа специалистов по РЛС из ОКБ завода «Северный пресс».</w:t>
      </w:r>
    </w:p>
    <w:p w14:paraId="49BD21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 правительства в 08.1955 г. начата разработка специальной РЛС «Рангоут» для катеров.</w:t>
      </w:r>
    </w:p>
    <w:p w14:paraId="77B670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пост. СМ СССР от 08.1959 г. начата разработка поисковой РЛС для ПЛ «Залив». В соответствии с пост, правительства в 05.1961 г. начата разработка автоматизированного РЛК для ПЛ пр. 705 в составе станций «Чибис», «Бухта» и станции опознавания «Хром-КМА». В 1960-е  г. проведены НИР «Филин» (А.С. </w:t>
      </w:r>
      <w:r w:rsidRPr="00271E51">
        <w:rPr>
          <w:rFonts w:ascii="Times New Roman" w:hAnsi="Times New Roman"/>
          <w:color w:val="000000" w:themeColor="text1"/>
          <w:sz w:val="16"/>
          <w:szCs w:val="16"/>
        </w:rPr>
        <w:lastRenderedPageBreak/>
        <w:t>Чефранов) и «Причал» (В.Н. Пушкин). По их результатам в 1968 г. начата разработка малогабаритной РЛС обнаружения надводных целей «Корма». В 1966-71 г. проведены НИР: «Причал-1» по активным РЛС обнаружения надводных целей с повышенной скрытностью (В.Н. Пушкин), «Стог» и «Фал» по принципам построения СОРС 3-го поколения (А.П. Цветков). На их основе в соответствии с пост. СМ СССР от 02.1975 г. начата разработка РЛС «Радиан» в составе активной РЛС «Радиан-Купол» и СОРС «Радиан-Буран». В соответствии с пост. СМ СССР от 7.06.1978 г. начата разработка РЛС «Радиан-М» для ПЛ пр. 865.</w:t>
      </w:r>
    </w:p>
    <w:p w14:paraId="2CF4F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от 05.1962 г. была создана опытная станция загоризонтной РЛ «Молния».</w:t>
      </w:r>
    </w:p>
    <w:p w14:paraId="4C76DB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из института в ЦНИИ-45 переведена группа специалистов по корабельной автоматике.</w:t>
      </w:r>
    </w:p>
    <w:p w14:paraId="06CA5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морскому приборостроению, гироскопической технике. Принимал участие (совместно со СНИИП) в разработке аппаратуры по выявлению радионуклидов в морской воде. Работы по выявлению аномалий гидрофизических полей морской среды (Б.И. Виленкин).</w:t>
      </w:r>
    </w:p>
    <w:p w14:paraId="1B7A66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НИР: «Магнолия», «Яшма», «Модуль», «Микрон», «Кристалл», «Решетка», «Линия», «Энергия», «Модулятор», «Документ», «Гроза», «Ванга», «Лена», «Шихта», «Меганом», «Эталон», «Фал», «Линза».</w:t>
      </w:r>
    </w:p>
    <w:p w14:paraId="41BB92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создано 2-е отделение института (работы по радиолокации).</w:t>
      </w:r>
    </w:p>
    <w:p w14:paraId="53FB62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 г. институт передан в ведение ГКРЭ. В 1966 г. НИИ-49 переименован в ЦНИИПА, в 1971 г. - в ЦНИИ «Гранит». В 1973(4)-90 г. ЦНИИ «Гранит»- головное предприятие Ленинградского НПО «Гранит», в которое вошли также заводы им. А.А. Кулакова, «Северный пресс», «Омега» и ЦКБ «Полюс». НПО имело наименование «п/я А-7284». 14.02.1997 г. ЦНИИ «Гранит» получил статус ФНПЦ, в этом же году он преобразован в ФГУП. В 2003 г. вошел в образованный Концерн «Гранит-Электрон». В начале 2000-х  г. имел статус ГНПЦ. В 2004 г. назывался Федеральный научно-исследовательский центр (ФНИЦ) «ЦНИИ «Гранит», в 2005 г.- ФГУП «ЦНИИ «Гранит». 18.05.2006 г. ФГУП «ЦНИИ «Гранит» преобразовано в ОАО «Концерн «Гранит-Электрон», в состав Концерна вошли ОАО «Северный пресс», ОАО «Завод им. А.А. Кулакова» и ОАО «Равенство».</w:t>
      </w:r>
    </w:p>
    <w:p w14:paraId="6DFD5E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Действовал филиал института - НПП «Гранит-Спецтехника».</w:t>
      </w:r>
    </w:p>
    <w:p w14:paraId="2C2204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1981 г. (и в 2000-е) велись работы по разработке СУ корабельных ОТРК.</w:t>
      </w:r>
    </w:p>
    <w:p w14:paraId="3003EC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(2005 г.): разработка и производство интегрированных информационно-управляющих систем морского, наземного и воздушного базирования для ВМФ (ПКР, ПЛ оружием, системы автоматики и телемеханики, управления подвижными объектами, средства освещения обстановки и целеуказания); наземные и корабельные РЛС; центры обучения и тренажеры, контрольно-проверочная аппаратура; РЭ- аппаратура; вычислительные средства; системы экологического контроля водной среды. Участвует в создании совместной с Индией ПКР «Брамос» (головной разработчик СУ).</w:t>
      </w:r>
    </w:p>
    <w:p w14:paraId="219C83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Имелся (2005 г.) динамический испытательный комплекс (ДИК) для отработки СУ ракетами с многоканальными ГСН.</w:t>
      </w:r>
    </w:p>
    <w:p w14:paraId="0C5B11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(1939 г.-)- К.В. Грудницкий, М.Л. Медведев, (1946-63 г.)- Н.А. Чарин,  Г.Н. Самохвалов, В.В. Павлов, И.Ю. Кривцов, В.А. Никольцев. Гендиректор (-2000-03 г.-)- В.А. Никольцев,</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И.Ю. Кривцов, В.В. Павлов; И.О. (2005 г.)-  Г.А. Коржавин; (2005 г.-)-  Г.А. Коржавин.</w:t>
      </w:r>
      <w:r w:rsidRPr="00271E51">
        <w:rPr>
          <w:rFonts w:ascii="Times New Roman" w:hAnsi="Times New Roman"/>
          <w:color w:val="000000" w:themeColor="text1"/>
          <w:sz w:val="16"/>
          <w:szCs w:val="16"/>
          <w:vertAlign w:val="superscript"/>
        </w:rPr>
        <w:t>42</w:t>
      </w:r>
    </w:p>
    <w:p w14:paraId="1CAF25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директора- В.А. Никольцев. 1-й зам. гендиректора (-2002-03 г.-)-  Г.А. Коржавин, И.Ю. Кривцов, (2005 г.)- Ю.Ф. Подоплекин. Зам. директора: по научной работе- И.Ю. Кривцов, И.У. Любченко, В.А. Никольцев, Ю.Ф. Подоплекин; А.А. Терещенко, П.А. Дроздов. Зам. гендиректора: по науке (-2003-05 г.)- Ю.Ф. Подоплекин; (-2003-05 г.-)- И. Симановский,  Г.А. Коржавин.</w:t>
      </w:r>
    </w:p>
    <w:p w14:paraId="062C0E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(-2000-02 г.-)- В.А. Никольцев; бортовой РЛ аппаратуры управления ПКР П-6- И.Ю. Кривцов.</w:t>
      </w:r>
    </w:p>
    <w:p w14:paraId="633CD9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по науке (2005 г.)- Ю. Подоплекин; НПК (2005 г.)- И. Симановский.</w:t>
      </w:r>
    </w:p>
    <w:p w14:paraId="307948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(1939-41 г.)- Ю.А. Шаровский, (-1942; 1944-46 г.)- Н.А. Чарин, С.Т. Зайцев, Е.М. Дубровский, И.У. Любченко, В.Н. Яковлев, И.Ю. Кривцов, В.А. Никольцев, Ю.Ф. Подоплекин.</w:t>
      </w:r>
    </w:p>
    <w:p w14:paraId="37ED9B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(-1940 г.)- В.М. Ястребилов, (1940 г.)- Н.А. Чарин, (1967 г.)- В.В. Павлов, В.П. Лапин, И.Ю. Кривцов, В.А. Никольцев, М.В. Яцковский.</w:t>
      </w:r>
    </w:p>
    <w:p w14:paraId="318007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(ВОВ)- Е.И. Аладышкин (ГАС), (-1949-56 г.-)- А.С. Полянский («Флаг», «Призма»), (1949 г.)- И.У. Любченко («Заря»), (1953 г.)- М.В. Яцковский («Никель-Хром», СУ ПКР П-6), (1951-56 г.-)- Б.И. Виленкин («Рея», «Кайра»), (-1953-54 г.-&gt; А.В. Григоров («Факел», «Анкер», «Накат»), (1955 г.)- В.Д. Николаев («Буря»), (1957 г.)- С.А. Онущенко («Касатка»), (1957 г.)- В.А. Кучеров («Рангоут», «Гравий», «Гарпун», «Гарпун- Бал»), (1950-е)- И.А. Замешаев («Чайка»), (1950-е)-  Г.А. Мирзоев («Баклан»), (1959-70-е)- А.С. Чефранов («Залив», «Радиан»), (1963 г.)- Б.А. Митрофанов («Тор»), (1960-е)- А.А. Шишагин («Чибис»), (1960-е)- И.М. Жовтис («Бухта»), (1967 г.)- А.П. Цветков («Молния»), (1970 г.)- А. Г. Елисеев («Скала»), (1968-92 г.-)- Б.М. Антонов («Корма», «Радиан-Купол-У», ЗЦ-ЗО), (1970-е)- А.Д. Протченко («Радиан»), (1970-е)- В.Н. Пушкин («Радиан»), (1978 г.)- М.М. Семов («Радиан-М»), (1980-е)- А.С. Загустин («Радиан-М»), В. Арефьев, Н.А. Чарин (СУ П-6), Р.Х. Галеев («Касатка», «Радиан-У»), (1980 г.)- Б.Л. Годлинник (СУ КР П-500), (-1963-81 г.-&gt; Б.М. Гольдин («Альбатрос», ЗМ-70, КПА для СУ КР П-500, для ЗМ-45), С.Т. Зайцев (М-2, «Тор»),  Г.А. Коржавин (СУ ПКР «Гранит»), (1992 г.)- И.Ю. Кривцов (системы мониторинга водной среды), В.А. Никольцев (БЦВМ для П- 500, для ЗМ-45), В.В. Павлов («Клотик»), Ю.Ф. Подоплекин (СУ ПКР), А.В. Чижов (аппаратура СУ КР П-500, СУ КР ЗМ-70); направления корабельных РЭ систем-  Г.А. Коржавин.</w:t>
      </w:r>
    </w:p>
    <w:p w14:paraId="17B74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(1947-58 г.-)- С.И. Портной («Флаг», «Касатка»), (1949 г.)- И.А. Замешаев («Заря»), (1949 г.)- Н.Д. Файнштейн («Заря»), (1949 г.)- В.М. Масленников («Заря»), (-1953-54 г.-)- И.П. Евреинов («Анкер», «Накат»), (-1953-54 г.-&gt; Н.Л. Коган («Анкер», «Накат»), (-1953-54 г.-)-  Г. Г. Попов («Анкер», «Накат»), (1953 г.)- Ю.П. Баркаев («Никель-Хром»), (1953 г.)- Н.А. Политов («Никель-Хром»), (1953 г.)- Я.А. Зорин («Рея»), (1953 г.)- В.К. Лисенко («Рея»), (1953 г.)- М.А. Яковлев («Рея»), (1953 г.)- Б.А. Митрофанов («Рея»), (1955 г.)- Б.П. Пинегин («Буря»), (1955 г.)- Ю.П. Сапожников («Буря»), (1956 г.)- В.А. Кучеров («Призма»), (1956 г.)- П.Т. Ренне («Призма»), (1956 г.)- Е.Ю. Сенятин («Призма»), (1957 г.)- М.М. Светлов («Касатка»), (1957 г.)- Е.В. Кюн («Касатка»), (1957 г.)-  Г.А. Мирзоев («Рангоут»), (1957 г.)- А.В. Моисеев («Рангоут»), (1957 г.)- А.Е. Сорокин («Рангоут»), (1960-е)- М.И. Брейдо («Залив»), (1960-е)- К.В. Востродовский («Залив»), (1960-е)- П.К. Панов («Чибис»), (1960-е)- Б.М. Васильев («Чибис»), (1960-е)- Л.В. Казачков («Бухта»), (1960-е)- П.А. Бобриков («Бухта»), (1967 г.)- В.Н. Самсонов («Молния»), (-1967-70-е)- К.И. Селиверстов («Молния», «Радиан»), (1972 г.)- A.А.Писаренко («Корма»), (1972 г.)- А. Г. Ярцев («Корма»), (1972 г.)- А.Ф. Анисимов («Корма»), (1980-е)- Ю.К. Пумбо («Радиан-М»), Б.И. Виленкин («Рьм»), Р.Х. Галеев, Б.Л. Годлинник, В.А. Никольцев, А.А. Шишагин («Нептун», «Антей»).</w:t>
      </w:r>
    </w:p>
    <w:p w14:paraId="6E711A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2-го (1965 г.-)- В.В. Павлов, Р.Х. Галеев; надежности и испытаний- В.А. Никольцев; Ю.Ф. Подоплекин, М.В. Яцковский.</w:t>
      </w:r>
    </w:p>
    <w:p w14:paraId="04255F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ОП- А.А. Терещенко; Центра внешних связей и развития экспорта (2005 г.)- А. Кривцов; НТК-  Г.А. Коржавин, Ю.Ф. Подоплекин. Директор НПЦ по комплексному проектированию радиотехнических систем (РТС) (2000 г.-)- Б.М. Антонов.</w:t>
      </w:r>
    </w:p>
    <w:p w14:paraId="28BBB1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научно-производственного комплекса РТС (-2000 г.)- Б.М. Антонов.</w:t>
      </w:r>
    </w:p>
    <w:p w14:paraId="438E2A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 20 (1954 г.)- С.Т. Зайцев; № 30 (1946 г.)- С.П. Обухов, (1947-53 г.)- Е.Л. Златкин; № 130 (1959 г.-)- В.В. Павлов; НИО- Б.М. Гольдин; радиопередающих устройств- В.А. Кучеров; ОГК- Д.М. Толстопятов; технологического- И. Г. Турбин, Я.А. Зорин, Н.В. Кашин;  Г.А. Коржавин, И.У. Любченко, Ю.Ф. Подоплекин, А.С. Чефранов, М.В. Яцковский.</w:t>
      </w:r>
    </w:p>
    <w:p w14:paraId="3FF2BB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М.В. Яцковский.</w:t>
      </w:r>
    </w:p>
    <w:p w14:paraId="5E1D9D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спецсвязи (-1946 г.)- С.П. Обухов; передающих устройств (1946 г.-)- Ю.Ю. Черноголовко-Бельский; антенно-волноводных устройств (1946 г.-)- Н.А. Илларионова; приемных устройств (1946 г.-)- А.В. Григоров; индикаторных устройств (1946 г.-)- Б.И. Виленкин; по конструированию РЛС- Б.М. Антонов; изоляционных материалов- К.И. Черняк; электровакуумных приборов- А.Е. Исаев; новой технологии - B.П.Иванов; микроэлектроники- Б.И. Виленкин; комплексной по новой тематике- Б.И. Виленкин; Р.Х. Галеев, В.А. Кучеров, В.А. Никольцев, А.П. Цветков, А.С. Чефранов, А.В. Чижов, (-1987 г.)- А.А. Шишагин.</w:t>
      </w:r>
    </w:p>
    <w:p w14:paraId="312367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лаборатории: по конструированию РЛС- Б.М. Антонов.</w:t>
      </w:r>
    </w:p>
    <w:p w14:paraId="365762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секторов: опознавания (-1953-55 г.-)- М.В. Яцковский; Б.М. Антонов,  Г.А. Коржавин, В.А. Никольцев, Ю.Ф. Подоплекин, А.С. Чефранов, А.В. Чижов.</w:t>
      </w:r>
    </w:p>
    <w:p w14:paraId="517A87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Научные руководители НИР: Б.И. .Виленкин («Модуль», «Микрон»), Р.Х. Галеев («Филин»), Б.Л. Годлинник («Гроза»), А.В. Григоров («Флексия», «Модуль», «Микрон»), В.В. Павлов («Бухта»),</w:t>
      </w:r>
    </w:p>
    <w:p w14:paraId="649D86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аппаратура опознавания «Факел» (1946), «Факел-М, -МЗ, -МО» (1948, пнв в 06.1952 г.), «Никель- Хром» (1953, пнв в 1955 г.); РЛС для ПЛ: «Флаг» (пнв 14.06.1950 г.), МР-200 «Касатка» (пнв 24.10.1958 г.), «Призма» для АПЛ пр. 627 (пнв в 1958 г.), «Буря» (1955); ЗГРЛС «Молния» для ПЛ пр. 651, 675 (пнв в 12.1968); корабельные РЛС: управления стрельбой: торпедной «Заря» (пнв 14,09.1951 г.), «Онега» (1953); для торпедных катеров «Баклан» (пнв в 1959 г.); для ПЛ: пр. 705 «Чибис-Бухта» (пнв в 10.1972 г.), «Залив» (пнв в 05.1969 г.), «Скала» (пнв в 1971 г.), «Корма» (пнв в 1974 г.), «Радиан» (1981), «Радиан-У» МРКП-59 (пнв в 1990 г.), «Радиан- М» МРКП-60 (пнв 20.12.1991 г.); «Рым-С», «Ряд», «Альбатрос», «Касатка», «Молния», «Гарпун» (1996); РЛС освещения обстановки и целеуказания: «Рея» (пнв в 09.1953 г.), для катеров «Рангоут» (пнв в 1959 г.), «Заря- Чайка», «Гравий», «Гарпун-Бал» (2000), «Монумент-Э» (2006), 4Ц-53, ЗЦ-51, ПЦ-23, ПЦ-24 (1970-е), экспортные ЗЦ-24Э, ЗЦ-25Э; для береговых РК: «Мыс» и «Бурун» для С-2 «Сопка» (1950-е), «Бал-Э»; навигационные «Нептун» («Веха», пнв 16.10.1950 г.), «Створ» (1955); СОРС «Анкер» (пнв в 09.1953 г.), «Накат» (пнв 20.10.1955 г.), «Накат-М» (пнв в 1958 г.); комплекс приема и обработки информации для ПЛ ЗЦ-ЗО (1992-); счетно- решающий прибор для ЗУР Р-101 (1948);</w:t>
      </w:r>
      <w:r w:rsidRPr="00271E51">
        <w:rPr>
          <w:rFonts w:ascii="Times New Roman" w:hAnsi="Times New Roman"/>
          <w:color w:val="000000" w:themeColor="text1"/>
          <w:sz w:val="16"/>
          <w:szCs w:val="16"/>
          <w:vertAlign w:val="superscript"/>
        </w:rPr>
        <w:t>57</w:t>
      </w:r>
      <w:r w:rsidRPr="00271E51">
        <w:rPr>
          <w:rFonts w:ascii="Times New Roman" w:hAnsi="Times New Roman"/>
          <w:color w:val="000000" w:themeColor="text1"/>
          <w:sz w:val="16"/>
          <w:szCs w:val="16"/>
        </w:rPr>
        <w:t xml:space="preserve"> приборы стабилизации по глубине и курсу для первой АПЛ пр. 627 (1958); ПУС «Клен» для РК П-15 (1950-е); СУ ПКР: «Антей» для П-6 (1959), «Тор» для П-70 «Аметист» (1963), «Рубеж» для «Термит-Р», для 15ХМ, комплексов П-500, «Базальт», «Вулкан», «Гранит», ЗМ-70, ЗМ-45, ЗМ-55; СУ стрельбой «Коралл», «Спрут», «Пурга», «Ленинград», «Лахна», «Брест», «Тифон», «Аккорд», «Онега», экспортные ЗР-24Э, ЗР-60УЭ; СУ ракетным оружием корвета КАСУ ЗР-60, 4Р-80 (1986); азимутально- дальномерная система для бомбардировщиков «Рым»; зенитный комплекс наземного базирования М-2; </w:t>
      </w:r>
      <w:r w:rsidRPr="00271E51">
        <w:rPr>
          <w:rFonts w:ascii="Times New Roman" w:hAnsi="Times New Roman"/>
          <w:color w:val="000000" w:themeColor="text1"/>
          <w:sz w:val="16"/>
          <w:szCs w:val="16"/>
        </w:rPr>
        <w:lastRenderedPageBreak/>
        <w:t>индикатор «Пальма» для РЛС «Веха» (1950); РЛ визир РЛВ для ПКР П-6 (1950-е); гироскопическая аппаратура для БР Р-1, Р-2, Р-3, Р-13, Р-14, Р-21; природоохранный комплекс (1995).</w:t>
      </w:r>
    </w:p>
    <w:p w14:paraId="0A4278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ЗАО «Гранит-7» /191014  г. Санкт-Петербург ул. Госпитальная, 3 тел. 271-34-92/</w:t>
      </w:r>
    </w:p>
    <w:p w14:paraId="3327C1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Предприятие создано в 1991 г. на базе специализированного отделения ЦНИИ «Гранит» для выполнения НИОКР в области создания информационных гидрофизических комплексов для ВМФ и автоматизированных судовых комплексов экологического обеспечения для оперативного контроля экологического состояния аваторий и ликвидации последствий загрязнения.</w:t>
      </w:r>
    </w:p>
    <w:p w14:paraId="17474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1995 г.- разработка средств измерений и контроля окружающей среды для ВМФ; разработка программно- математического обеспечения комплексов. Директор (2004 г.)- А.В. Гусев.</w:t>
      </w:r>
    </w:p>
    <w:p w14:paraId="25D225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судовые комплексы: контроля загрязненности окружающей среды «Гвоздь-К» на катере пр. 1927 «Эколог» (принят на снабжение в 1999 г.); природоохранный «Златица» (2004).</w:t>
      </w:r>
      <w:r w:rsidRPr="00271E51">
        <w:rPr>
          <w:rFonts w:ascii="Times New Roman" w:hAnsi="Times New Roman"/>
          <w:color w:val="000000" w:themeColor="text1"/>
          <w:sz w:val="16"/>
          <w:szCs w:val="16"/>
          <w:vertAlign w:val="superscript"/>
        </w:rPr>
        <w:t>по</w:t>
      </w:r>
    </w:p>
    <w:p w14:paraId="09E5D6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ОАО ФНПЦ «Концерн «Гранит-Электрон» Россудостроения /191014  г. Санкт-Петербург ул. Госпитальная, 3 тел. 271-45-85 </w:t>
      </w:r>
      <w:r w:rsidR="00875DC8" w:rsidRPr="00271E51">
        <w:rPr>
          <w:rFonts w:ascii="Times New Roman" w:hAnsi="Times New Roman"/>
          <w:color w:val="000000" w:themeColor="text1"/>
          <w:sz w:val="16"/>
          <w:szCs w:val="16"/>
        </w:rPr>
        <w:fldChar w:fldCharType="begin"/>
      </w:r>
      <w:r w:rsidR="00875DC8" w:rsidRPr="00271E51">
        <w:rPr>
          <w:rFonts w:ascii="Times New Roman" w:hAnsi="Times New Roman"/>
          <w:color w:val="000000" w:themeColor="text1"/>
          <w:sz w:val="16"/>
          <w:szCs w:val="16"/>
        </w:rPr>
        <w:instrText xml:space="preserve">ref  HYPERLINK "http://www.granit-electron.ru/"  \* MERGEFORMAT </w:instrText>
      </w:r>
      <w:r w:rsidR="00875DC8" w:rsidRPr="00271E51">
        <w:rPr>
          <w:rFonts w:ascii="Times New Roman" w:hAnsi="Times New Roman"/>
          <w:color w:val="000000" w:themeColor="text1"/>
          <w:sz w:val="16"/>
          <w:szCs w:val="16"/>
        </w:rPr>
        <w:fldChar w:fldCharType="separate"/>
      </w:r>
      <w:r w:rsidRPr="00271E51">
        <w:rPr>
          <w:rFonts w:ascii="Times New Roman" w:hAnsi="Times New Roman"/>
          <w:color w:val="000000" w:themeColor="text1"/>
          <w:sz w:val="16"/>
          <w:szCs w:val="16"/>
          <w:lang w:val="en-US"/>
        </w:rPr>
        <w:t>www</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granit</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electron</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ru</w:t>
      </w:r>
      <w:r w:rsidRPr="00271E51">
        <w:rPr>
          <w:rFonts w:ascii="Times New Roman" w:hAnsi="Times New Roman"/>
          <w:color w:val="000000" w:themeColor="text1"/>
          <w:sz w:val="16"/>
          <w:szCs w:val="16"/>
        </w:rPr>
        <w:t>/</w:t>
      </w:r>
      <w:r w:rsidR="00875DC8" w:rsidRPr="00271E51">
        <w:rPr>
          <w:rFonts w:ascii="Times New Roman" w:hAnsi="Times New Roman"/>
          <w:color w:val="000000" w:themeColor="text1"/>
          <w:sz w:val="16"/>
          <w:szCs w:val="16"/>
        </w:rPr>
        <w:fldChar w:fldCharType="end"/>
      </w:r>
    </w:p>
    <w:p w14:paraId="51524D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в 2003 г. в него вошли: ФНИЦ «ЦНИИ «Гранит», ПО «Равенство», ГП «Северный пресс», ФГУП «Завод им. Кулакова». По Указу Президента РФ № 1009 от 4.08.2004 г. вошел в число стратегических оборонных предприятий.</w:t>
      </w:r>
    </w:p>
    <w:p w14:paraId="5D8356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10.2004 г. концерн вошел в ОАО «ВПК «НПО машиностроения».</w:t>
      </w:r>
    </w:p>
    <w:p w14:paraId="12A700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(2006 г.)-  Г.А. Коржавин.</w:t>
      </w:r>
    </w:p>
    <w:p w14:paraId="2BDA31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(2004 г.)- А. Хромушкин.</w:t>
      </w:r>
    </w:p>
    <w:p w14:paraId="6C9799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ГП «Северный пресс» Россудостроения, ОАО «Государственный завод «Северный пресс» / г. Ленинград,  г. Санкт-Петербург/</w:t>
      </w:r>
    </w:p>
    <w:p w14:paraId="0EDE55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1974 г. завод «Северный пресс» вошел в состав НПО «Гранит». В 2003 г. вошел в Концерн «Гранит- Электрон». По Указу Президента РФ № 1009 от 4.08.2004 г. ОАО вошло в число стратегических оборонных предприятий.</w:t>
      </w:r>
    </w:p>
    <w:p w14:paraId="027F63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«Альбатрос» (1958-59)- опытная партия; РЖ для ПЛ пр. 705 «Чибис-Бухта» (1970-е).</w:t>
      </w:r>
    </w:p>
    <w:p w14:paraId="6C07D5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«Северный пресс»</w:t>
      </w:r>
    </w:p>
    <w:p w14:paraId="039AFD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пост, правительства от 04.1956 г. в ОКБ была разработана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xml:space="preserve"> «Альбатрос» для обнаружения надводных целей, выдачи целеуказания для торпед и обеспечения навигации ПЛ, пнв в 05.1959 г. Затем коллектив разработчиков был переведен в НИИ-49. Начальник- А.С. Чефранов.</w:t>
      </w:r>
    </w:p>
    <w:p w14:paraId="6C082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(1958 г.)- Б.М. Гольдин («Альбатрос»),</w:t>
      </w:r>
    </w:p>
    <w:p w14:paraId="111686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(1958 г.)- Я.И. Берман («Альбатрос»), (1958 г.)-  Г.В. Зябко («Альбатрос»).</w:t>
      </w:r>
      <w:r w:rsidRPr="00271E51">
        <w:rPr>
          <w:rFonts w:ascii="Times New Roman" w:hAnsi="Times New Roman"/>
          <w:color w:val="000000" w:themeColor="text1"/>
          <w:sz w:val="16"/>
          <w:szCs w:val="16"/>
          <w:vertAlign w:val="superscript"/>
        </w:rPr>
        <w:t xml:space="preserve">103 </w:t>
      </w:r>
      <w:r w:rsidRPr="00271E51">
        <w:rPr>
          <w:rFonts w:ascii="Times New Roman" w:hAnsi="Times New Roman"/>
          <w:color w:val="000000" w:themeColor="text1"/>
          <w:sz w:val="16"/>
          <w:szCs w:val="16"/>
        </w:rPr>
        <w:t>Завод «Омега», ОАО «Приборостроительный завод «Омега»</w:t>
      </w:r>
    </w:p>
    <w:p w14:paraId="2835A3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/Казахстан 417882  г. Уральск ул. Есенжанова, 42/ В 1974 г. завод «Омега» вошел в состав НПО «Гранит» (11982).</w:t>
      </w:r>
    </w:p>
    <w:p w14:paraId="2CD2EC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54CD1" w14:textId="77777777" w:rsidR="00473181" w:rsidRPr="00271E51" w:rsidRDefault="00DE5AB5"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050AE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25506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октябре—ноябре 1943 г. тяжелые самоходно-артилле-рийские полки СУ-152 были реорганизованы по штату № 010/482 (234 человек, 12 шт. СУ-152 и 1 «командирский» КВ-1С). Весной 1944 г. тяжелые самоходно-артиллерийские полки СУ-152 были перевооружены установками ИСУ-152 и ИСУ-122, переведены на штаты№010/461 (21 САУИСУ-152 в полку), в их состав были добавлены рота автоматчиков и са</w:t>
      </w:r>
      <w:r w:rsidRPr="00271E51">
        <w:rPr>
          <w:rFonts w:ascii="Times New Roman" w:hAnsi="Times New Roman"/>
          <w:color w:val="000000" w:themeColor="text1"/>
          <w:sz w:val="16"/>
          <w:szCs w:val="16"/>
        </w:rPr>
        <w:softHyphen/>
        <w:t>перный взвод и им было присвоено звание гвардейских (11417).</w:t>
      </w:r>
    </w:p>
    <w:p w14:paraId="72EE30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56F2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97734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2A63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ноябрю 1943 г., когда по пути в Тегеран на встречу со Сталиным Рузвельт и Черчилль сделали остановку в Каире, где к ним присоединился прибывший туда генералиссимус Чан Кайши, разногласия США и Британии по вопросам азиатской политики и послевоенного развития колониальных стран проступили еще более явно. Это был первый случай, когда последний участвовал в международной конференции наряду с руководителями двух великих держав мира. Китай, таким образом, получил весомое подтверждение своего нового статуса полноправного участника антияпонской коалиции.</w:t>
      </w:r>
    </w:p>
    <w:p w14:paraId="7E3302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Каирской декларации трех держав был сформулирован ряд ключевых условий послевоенного переустройства в Восточной Азии и на Тихом океане. США, Великобритания и Китай заявили, что целью их борьбы с Японией было остановить и "покарать агрессию Японии". При этом имелось в виду не просто восстановить довоенный статус-кво, но лишить Японию "всех островов на Тихом океане, которые она захватила или оккупировала с начала первой мировой войны". Иначе говоря, державы намеревались отобрать у Японии и те островные владения в Океании, которые после первой мировой войны перешли к ней от Германии на основании мандата Лиги Наций.</w:t>
      </w:r>
    </w:p>
    <w:p w14:paraId="05F05A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Каирская декларация гарантировала Китаю возвращение всех отнятых у него Японией территорий, включая Маньчжурию, Тайвань и Пескадорские о-ва, а так же порты Дальний и Порт-Артур. Причем делалось допущение, что Порт-Артур может перейти под американский контроль (3871).</w:t>
      </w:r>
    </w:p>
    <w:p w14:paraId="70C31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310C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2E697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4D00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ноября 1943 на серийном двухместном самолете Ил-2 зав. №303124, который поначалу был построен на заводе № 30 с НС-37, а затем переоборудован под НС-45  (50 снарядов на ствол), отстреляли вооружение в заводском тире и перегнали в НИИ АВ для завершения заводских и проведения государственных испытаний. Доводка автоматики пушки и проведение некоторых доработок на самом самолете затянулись до 8 февраля 1944 г.</w:t>
      </w:r>
    </w:p>
    <w:p w14:paraId="4C21B3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показали неудовлетворительную точность стрельбы из НС-45 в воздухе. Вновь, из-за сильной отдачи пушек при стрельбе. Тем не менее, в выводах отчета указывалось, что пушки НС-45 государственные испытания на самолете Ил-2 выдержали. Требовалось уменьшить силу отдачи пушек и установить их ближе к оси самолета.</w:t>
      </w:r>
    </w:p>
    <w:p w14:paraId="43E70D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отказом от установки на Ил-2 крупнокалиберных пушек не был проявлен интерес и к модернизированным пушкам НС-37М и НС-45М, имевшим почти вдвое меньшее усилие отдачи "на крыльевой установке самолета Ил-2" (12020).</w:t>
      </w:r>
    </w:p>
    <w:p w14:paraId="11FABA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93206" w14:textId="77777777" w:rsidR="000A3723" w:rsidRPr="00271E51" w:rsidRDefault="000A372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 ноября 1943 самолет Ил-2 зав. № 303124, ко</w:t>
      </w:r>
      <w:r w:rsidRPr="00271E51">
        <w:rPr>
          <w:color w:val="000000" w:themeColor="text1"/>
          <w:sz w:val="16"/>
          <w:szCs w:val="16"/>
        </w:rPr>
        <w:softHyphen/>
        <w:t>торый был построен 19 октября 1943 г. с пушками 11 П и в течение последующих 10 дней вместо 11П получил пушки 111П с боекомплек</w:t>
      </w:r>
      <w:r w:rsidRPr="00271E51">
        <w:rPr>
          <w:color w:val="000000" w:themeColor="text1"/>
          <w:sz w:val="16"/>
          <w:szCs w:val="16"/>
        </w:rPr>
        <w:softHyphen/>
        <w:t>том по 50 снарядов на каждую и был отстрелян в тире летно-испытательной станции завода, перегнали в НИИ АВ для проведения заводских и государственных испыта</w:t>
      </w:r>
      <w:r w:rsidRPr="00271E51">
        <w:rPr>
          <w:color w:val="000000" w:themeColor="text1"/>
          <w:sz w:val="16"/>
          <w:szCs w:val="16"/>
        </w:rPr>
        <w:softHyphen/>
        <w:t>ний. На следующий день самолет официально был принят на испытания. В период с 10 по 17 ноября был проведен «заводской отстрел пушек» и подго</w:t>
      </w:r>
      <w:r w:rsidRPr="00271E51">
        <w:rPr>
          <w:color w:val="000000" w:themeColor="text1"/>
          <w:sz w:val="16"/>
          <w:szCs w:val="16"/>
        </w:rPr>
        <w:softHyphen/>
        <w:t>товка самолета для передачи на государственные испытания. Этап государственных испытаний про</w:t>
      </w:r>
      <w:r w:rsidRPr="00271E51">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7390F029" w14:textId="77777777" w:rsidR="000A3723" w:rsidRPr="00271E51" w:rsidRDefault="000A372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 xml:space="preserve">дротормоз пушки был залит керосин сорта «А». — </w:t>
      </w:r>
      <w:r w:rsidRPr="00271E51">
        <w:rPr>
          <w:rStyle w:val="BodytextItalic"/>
          <w:i w:val="0"/>
          <w:color w:val="000000" w:themeColor="text1"/>
          <w:sz w:val="16"/>
          <w:szCs w:val="16"/>
        </w:rPr>
        <w:t>Авт.).</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1A5A48E3" w14:textId="77777777" w:rsidR="000A3723" w:rsidRPr="00271E51" w:rsidRDefault="000A3723" w:rsidP="00271E51">
      <w:pPr>
        <w:pStyle w:val="12a"/>
        <w:shd w:val="clear" w:color="auto" w:fill="auto"/>
        <w:spacing w:after="0" w:line="240" w:lineRule="auto"/>
        <w:jc w:val="both"/>
        <w:rPr>
          <w:color w:val="000000" w:themeColor="text1"/>
          <w:sz w:val="16"/>
          <w:szCs w:val="16"/>
        </w:rPr>
      </w:pPr>
    </w:p>
    <w:p w14:paraId="14AAE6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состоялась общеотраслевая конференция НКАП, а потом по управлениям по внедрению поточных методов производства (173,224).</w:t>
      </w:r>
    </w:p>
    <w:p w14:paraId="7B6666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05C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г. состоялась общеотраслевая конференция руководящих сотрудников НКАП, посвященная проблемам организации и внедрения поточного метода. По её следам прошла целая серия подобных конференций, проведённых в масштабах отдельных ГУ НКАП. Эти конференции в при</w:t>
      </w:r>
      <w:r w:rsidRPr="00271E51">
        <w:rPr>
          <w:rFonts w:ascii="Times New Roman" w:hAnsi="Times New Roman"/>
          <w:color w:val="000000" w:themeColor="text1"/>
          <w:sz w:val="16"/>
          <w:szCs w:val="16"/>
        </w:rPr>
        <w:softHyphen/>
        <w:t>менении к специфике конкретного производства наметили основные пути развития поточного производства. В даль</w:t>
      </w:r>
      <w:r w:rsidRPr="00271E51">
        <w:rPr>
          <w:rFonts w:ascii="Times New Roman" w:hAnsi="Times New Roman"/>
          <w:color w:val="000000" w:themeColor="text1"/>
          <w:sz w:val="16"/>
          <w:szCs w:val="16"/>
        </w:rPr>
        <w:softHyphen/>
        <w:t>нейшем число поточных линий на заводах постоянно воз</w:t>
      </w:r>
      <w:r w:rsidRPr="00271E51">
        <w:rPr>
          <w:rFonts w:ascii="Times New Roman" w:hAnsi="Times New Roman"/>
          <w:color w:val="000000" w:themeColor="text1"/>
          <w:sz w:val="16"/>
          <w:szCs w:val="16"/>
        </w:rPr>
        <w:softHyphen/>
        <w:t>растало.</w:t>
      </w:r>
    </w:p>
    <w:p w14:paraId="4B87B6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Поточный метод достаточно широко применялся и на мо</w:t>
      </w:r>
      <w:r w:rsidRPr="00271E51">
        <w:rPr>
          <w:rFonts w:ascii="Times New Roman" w:hAnsi="Times New Roman"/>
          <w:color w:val="000000" w:themeColor="text1"/>
          <w:sz w:val="16"/>
          <w:szCs w:val="16"/>
        </w:rPr>
        <w:softHyphen/>
        <w:t>торостроительных заводах. Так, к 1945 г. на заводе № 16 функ</w:t>
      </w:r>
      <w:r w:rsidRPr="00271E51">
        <w:rPr>
          <w:rFonts w:ascii="Times New Roman" w:hAnsi="Times New Roman"/>
          <w:color w:val="000000" w:themeColor="text1"/>
          <w:sz w:val="16"/>
          <w:szCs w:val="16"/>
        </w:rPr>
        <w:softHyphen/>
        <w:t>ционировало уже 35 поточных линий (На 1944 г. — 25 поточных линий, на которые приходилось 65 % всей трудоёмкости производства моторов), на заводах № 19 и 24 — по 28 (Самолётостроение в СССР. 1917—1945. Кн. 2. М„ 1994. С. 225).</w:t>
      </w:r>
    </w:p>
    <w:p w14:paraId="305F5F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Суть поточного метода была достаточно чётко сформу</w:t>
      </w:r>
      <w:r w:rsidRPr="00271E51">
        <w:rPr>
          <w:rFonts w:ascii="Times New Roman" w:hAnsi="Times New Roman"/>
          <w:color w:val="000000" w:themeColor="text1"/>
          <w:sz w:val="16"/>
          <w:szCs w:val="16"/>
        </w:rPr>
        <w:softHyphen/>
        <w:t>лирована в обзоре Госплана «О перестройке и развитии народного хозяйства СССР в период Великой Отечествен</w:t>
      </w:r>
      <w:r w:rsidRPr="00271E51">
        <w:rPr>
          <w:rFonts w:ascii="Times New Roman" w:hAnsi="Times New Roman"/>
          <w:color w:val="000000" w:themeColor="text1"/>
          <w:sz w:val="16"/>
          <w:szCs w:val="16"/>
        </w:rPr>
        <w:softHyphen/>
        <w:t>ной войны»: «...Что касается организации массового по</w:t>
      </w:r>
      <w:r w:rsidRPr="00271E51">
        <w:rPr>
          <w:rFonts w:ascii="Times New Roman" w:hAnsi="Times New Roman"/>
          <w:color w:val="000000" w:themeColor="text1"/>
          <w:sz w:val="16"/>
          <w:szCs w:val="16"/>
        </w:rPr>
        <w:softHyphen/>
        <w:t>точного производства, то его основным условием является дробление технологического процесса на множество мел</w:t>
      </w:r>
      <w:r w:rsidRPr="00271E51">
        <w:rPr>
          <w:rFonts w:ascii="Times New Roman" w:hAnsi="Times New Roman"/>
          <w:color w:val="000000" w:themeColor="text1"/>
          <w:sz w:val="16"/>
          <w:szCs w:val="16"/>
        </w:rPr>
        <w:softHyphen/>
        <w:t>ких последовательно совершаемых операций, которые, не требуя от работника высокой квалификации, в целом со</w:t>
      </w:r>
      <w:r w:rsidRPr="00271E51">
        <w:rPr>
          <w:rFonts w:ascii="Times New Roman" w:hAnsi="Times New Roman"/>
          <w:color w:val="000000" w:themeColor="text1"/>
          <w:sz w:val="16"/>
          <w:szCs w:val="16"/>
        </w:rPr>
        <w:softHyphen/>
        <w:t>кращают расход материалов и время производства готово</w:t>
      </w:r>
      <w:r w:rsidRPr="00271E51">
        <w:rPr>
          <w:rFonts w:ascii="Times New Roman" w:hAnsi="Times New Roman"/>
          <w:color w:val="000000" w:themeColor="text1"/>
          <w:sz w:val="16"/>
          <w:szCs w:val="16"/>
        </w:rPr>
        <w:softHyphen/>
        <w:t>го изделия» (Цит. по:</w:t>
      </w:r>
      <w:r w:rsidRPr="00271E51">
        <w:rPr>
          <w:rFonts w:ascii="Times New Roman" w:hAnsi="Times New Roman"/>
          <w:iCs/>
          <w:color w:val="000000" w:themeColor="text1"/>
          <w:sz w:val="16"/>
          <w:szCs w:val="16"/>
        </w:rPr>
        <w:t xml:space="preserve"> Симонов Н.С.</w:t>
      </w:r>
      <w:r w:rsidRPr="00271E51">
        <w:rPr>
          <w:rFonts w:ascii="Times New Roman" w:hAnsi="Times New Roman"/>
          <w:color w:val="000000" w:themeColor="text1"/>
          <w:sz w:val="16"/>
          <w:szCs w:val="16"/>
        </w:rPr>
        <w:t xml:space="preserve"> Военно-промышленный комплекс СССР в 1920— 1950-е годы: темпы экономического роста, структура, </w:t>
      </w:r>
      <w:r w:rsidRPr="00271E51">
        <w:rPr>
          <w:rFonts w:ascii="Times New Roman" w:hAnsi="Times New Roman"/>
          <w:color w:val="000000" w:themeColor="text1"/>
          <w:sz w:val="16"/>
          <w:szCs w:val="16"/>
        </w:rPr>
        <w:lastRenderedPageBreak/>
        <w:t>организация производ</w:t>
      </w:r>
      <w:r w:rsidRPr="00271E51">
        <w:rPr>
          <w:rFonts w:ascii="Times New Roman" w:hAnsi="Times New Roman"/>
          <w:color w:val="000000" w:themeColor="text1"/>
          <w:sz w:val="16"/>
          <w:szCs w:val="16"/>
        </w:rPr>
        <w:softHyphen/>
        <w:t>ства и управление. М.,1996. С. 149) (12011).</w:t>
      </w:r>
    </w:p>
    <w:p w14:paraId="55D6B8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D1532"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8D2E7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06CB4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года начальник технического управления ГБТУ КА генерал-майор танковой службы Афонин переслал военпредам заводов № 100, № 183 и Кировского следующее письмо:</w:t>
      </w:r>
    </w:p>
    <w:p w14:paraId="55B2013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«Сообщаю для сведения выдержки из доклада командующего 5-й гвардейской танковой армией гвардии генерал-полковника танковых войск Ротмистрова.</w:t>
      </w:r>
    </w:p>
    <w:p w14:paraId="28E6912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 Ротмистров отмечает, что в танковых боях и сражениях с 12 июля по 20 августа 1943 года. 5-я гвардейская танковая армия встретилась с большим количеством новых типов танков противника. Больше всего на поле боя было танков Т-У («Пантера»), в значительном количестве Т-У1 («Тиф»), а также модернизированные Т-111 и Т-1У.</w:t>
      </w:r>
    </w:p>
    <w:p w14:paraId="305C232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т. Ротмистров отмечает:</w:t>
      </w:r>
    </w:p>
    <w:p w14:paraId="59BE0ED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танки на сегодня потеряли свое превосходство перед танками противника в броне и вооружении. Вооружение, броня и прицельность огня из немецких танков стали гораздо выше, и только исключительное мужество наших танкистов, большая насыщенность танковых частей артиллерией не дали противнику возможности использовать до конца преимущества своих танков. Наличие мощного вооружения, сильной брони и хороших прицельных приспособлений у немецких танков, ставит в явно невыгодное положение наши танки, сильно снижает эффективность использования наших танков и увеличивает их выход из строя.</w:t>
      </w:r>
    </w:p>
    <w:p w14:paraId="6B4B853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Приходится с горечью констатировать, что наша танковая техника, если не считать введение на вооружение самоходно-артиллерийских установок СУ-122 и СУ-152, за годы войны не дала ничего нового, а имевшие место недочеты на танках первого выпуска, как несовершенство трансмиссионной группы, (главный фрикцион, коробка перемены передач и бортовые фрикционы), крайне медленный и неравномерный поворот башни, исключительно плохая видимость и теснота размещения экипажа, остались не полностью устраненными ими на сегодня.</w:t>
      </w:r>
    </w:p>
    <w:p w14:paraId="4B41D97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наша авиация за годы Отечественной войны по своим тактико-техническим данным неуклонно идет вперед, давая все новые и новые, более совершенные боевые самолеты, то, к сожалению, этого нельзя сказать про наши танки.</w:t>
      </w:r>
    </w:p>
    <w:p w14:paraId="3841298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Ныне Т-34 и КВ потеряли свое первое место, которое они по праву имели среди танков воюющих стран В первые дни войны».</w:t>
      </w:r>
    </w:p>
    <w:p w14:paraId="36E25AA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 Ротмистров отмечает «консерватизм и зазнайство наших танковых конструкторов и производственников», и ставит вопрос о «массовом выпуске уже к зиме 1943 года новых танков, превосходящих по своим боевым качествам и конструктивному оформлению ныне существующие типы немецких танков» (12217).</w:t>
      </w:r>
    </w:p>
    <w:p w14:paraId="24BCD798"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BA79FA8"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 1 по 12 ноября 1943 года проходил испытания на гарантийный ки</w:t>
      </w:r>
      <w:r w:rsidRPr="00271E51">
        <w:rPr>
          <w:rFonts w:ascii="Times New Roman" w:cs="Times New Roman"/>
          <w:color w:val="000000" w:themeColor="text1"/>
          <w:spacing w:val="0"/>
        </w:rPr>
        <w:softHyphen/>
        <w:t>лометраж в подмосковной Кубинке один из КВ-85 октябрьского выпуска (за</w:t>
      </w:r>
      <w:r w:rsidRPr="00271E51">
        <w:rPr>
          <w:rFonts w:ascii="Times New Roman" w:cs="Times New Roman"/>
          <w:color w:val="000000" w:themeColor="text1"/>
          <w:spacing w:val="0"/>
        </w:rPr>
        <w:softHyphen/>
        <w:t>водской № 3107). Испы</w:t>
      </w:r>
      <w:r w:rsidRPr="00271E51">
        <w:rPr>
          <w:rFonts w:ascii="Times New Roman" w:cs="Times New Roman"/>
          <w:color w:val="000000" w:themeColor="text1"/>
          <w:spacing w:val="0"/>
        </w:rPr>
        <w:softHyphen/>
        <w:t>тания танка прекратили на 504 километре из-за отправки танка в Центральное артил</w:t>
      </w:r>
      <w:r w:rsidRPr="00271E51">
        <w:rPr>
          <w:rFonts w:ascii="Times New Roman" w:cs="Times New Roman"/>
          <w:color w:val="000000" w:themeColor="text1"/>
          <w:spacing w:val="0"/>
        </w:rPr>
        <w:softHyphen/>
        <w:t>лерийское конструкторское бюро по распо</w:t>
      </w:r>
      <w:r w:rsidRPr="00271E51">
        <w:rPr>
          <w:rFonts w:ascii="Times New Roman" w:cs="Times New Roman"/>
          <w:color w:val="000000" w:themeColor="text1"/>
          <w:spacing w:val="0"/>
        </w:rPr>
        <w:softHyphen/>
        <w:t>ряжению заместителя начальника ГБТУ КА генерал-майора Лебедева.</w:t>
      </w:r>
    </w:p>
    <w:p w14:paraId="68A4EE22"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 присланного взамен другого КВ-85 (за</w:t>
      </w:r>
      <w:r w:rsidRPr="00271E51">
        <w:rPr>
          <w:rFonts w:ascii="Times New Roman" w:cs="Times New Roman"/>
          <w:color w:val="000000" w:themeColor="text1"/>
          <w:spacing w:val="0"/>
        </w:rPr>
        <w:softHyphen/>
        <w:t>водской № 31058) на 35 километре пробега (при движении на полигон) поломалась сту</w:t>
      </w:r>
      <w:r w:rsidRPr="00271E51">
        <w:rPr>
          <w:rFonts w:ascii="Times New Roman" w:cs="Times New Roman"/>
          <w:color w:val="000000" w:themeColor="text1"/>
          <w:spacing w:val="0"/>
        </w:rPr>
        <w:softHyphen/>
        <w:t>пица внутреннего барабана левого фрикцио</w:t>
      </w:r>
      <w:r w:rsidRPr="00271E51">
        <w:rPr>
          <w:rFonts w:ascii="Times New Roman" w:cs="Times New Roman"/>
          <w:color w:val="000000" w:themeColor="text1"/>
          <w:spacing w:val="0"/>
        </w:rPr>
        <w:softHyphen/>
        <w:t>на, и его испытания прекратили. В заключе</w:t>
      </w:r>
      <w:r w:rsidRPr="00271E51">
        <w:rPr>
          <w:rFonts w:ascii="Times New Roman" w:cs="Times New Roman"/>
          <w:color w:val="000000" w:themeColor="text1"/>
          <w:spacing w:val="0"/>
        </w:rPr>
        <w:softHyphen/>
        <w:t>ние отчета по испытаниям КВ-85 говорилось:</w:t>
      </w:r>
    </w:p>
    <w:p w14:paraId="1A50832B"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«Танк № 3107 испытания не выдержал вследствие излома выжимного рычага глав</w:t>
      </w:r>
      <w:r w:rsidRPr="00271E51">
        <w:rPr>
          <w:rFonts w:ascii="Times New Roman" w:cs="Times New Roman"/>
          <w:color w:val="000000" w:themeColor="text1"/>
          <w:spacing w:val="0"/>
        </w:rPr>
        <w:softHyphen/>
        <w:t>ного фрикциона на 119 км.</w:t>
      </w:r>
    </w:p>
    <w:p w14:paraId="1DC4C2EB"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Наименее надежным агрегатом в танке яв</w:t>
      </w:r>
      <w:r w:rsidRPr="00271E51">
        <w:rPr>
          <w:rFonts w:ascii="Times New Roman" w:cs="Times New Roman"/>
          <w:color w:val="000000" w:themeColor="text1"/>
          <w:spacing w:val="0"/>
        </w:rPr>
        <w:softHyphen/>
        <w:t>ляется главный фрикцион, у которого на 119 км пробега произошел излом выжимного рычага. Недостатками танка, выявленными в процессе ходовых и специальных испыта</w:t>
      </w:r>
      <w:r w:rsidRPr="00271E51">
        <w:rPr>
          <w:rFonts w:ascii="Times New Roman" w:cs="Times New Roman"/>
          <w:color w:val="000000" w:themeColor="text1"/>
          <w:spacing w:val="0"/>
        </w:rPr>
        <w:softHyphen/>
        <w:t>ний, являются ненадежная фиксация гайки кривошипа направляющего колеса, низкая износоустойчивость пальцев и проушин тра</w:t>
      </w:r>
      <w:r w:rsidRPr="00271E51">
        <w:rPr>
          <w:rFonts w:ascii="Times New Roman" w:cs="Times New Roman"/>
          <w:color w:val="000000" w:themeColor="text1"/>
          <w:spacing w:val="0"/>
        </w:rPr>
        <w:softHyphen/>
        <w:t>ков. Необходимо отметить повышение каче</w:t>
      </w:r>
      <w:r w:rsidRPr="00271E51">
        <w:rPr>
          <w:rFonts w:ascii="Times New Roman" w:cs="Times New Roman"/>
          <w:color w:val="000000" w:themeColor="text1"/>
          <w:spacing w:val="0"/>
        </w:rPr>
        <w:softHyphen/>
        <w:t>ства изготовления и сборки двигателя и ко</w:t>
      </w:r>
      <w:r w:rsidRPr="00271E51">
        <w:rPr>
          <w:rFonts w:ascii="Times New Roman" w:cs="Times New Roman"/>
          <w:color w:val="000000" w:themeColor="text1"/>
          <w:spacing w:val="0"/>
        </w:rPr>
        <w:softHyphen/>
        <w:t>робки перемены передач, которые на про</w:t>
      </w:r>
      <w:r w:rsidRPr="00271E51">
        <w:rPr>
          <w:rFonts w:ascii="Times New Roman" w:cs="Times New Roman"/>
          <w:color w:val="000000" w:themeColor="text1"/>
          <w:spacing w:val="0"/>
        </w:rPr>
        <w:softHyphen/>
        <w:t>тяжении 504 км пробега работали надежно, без поломок и неисправностей...</w:t>
      </w:r>
    </w:p>
    <w:p w14:paraId="207670FD"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Средние скорости чистого движения по шоссе - 23,4 км/ч и по проселочной дороге - 14,3 км/ч являются достаточными» (15226).</w:t>
      </w:r>
    </w:p>
    <w:p w14:paraId="7AD9558D" w14:textId="77777777" w:rsidR="00F96B9F" w:rsidRPr="00271E51" w:rsidRDefault="00F96B9F" w:rsidP="00271E51">
      <w:pPr>
        <w:pStyle w:val="27"/>
        <w:shd w:val="clear" w:color="auto" w:fill="auto"/>
        <w:spacing w:after="0" w:line="240" w:lineRule="auto"/>
        <w:ind w:firstLine="0"/>
        <w:rPr>
          <w:rFonts w:ascii="Times New Roman" w:cs="Times New Roman"/>
          <w:color w:val="000000" w:themeColor="text1"/>
          <w:spacing w:val="0"/>
        </w:rPr>
      </w:pPr>
    </w:p>
    <w:p w14:paraId="308D1A72" w14:textId="77777777" w:rsidR="00FC29A4" w:rsidRPr="00271E51" w:rsidRDefault="00FC29A4"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К 1 ноября 1943 года опытный образец 76 мм С-54 был не только изготовлен, но и прошел заводские испытания. В их ходе из орудия сделали 387 выстрелов, а также обкатали в танке на дистанцию 280 километров. На этом фоне у ЗИС-4 дела не клеились, пушку продолжали дорабатывать. Тем самым завод №92 потерял последние шансы направить орудие в крупную серию. Что же касается С-54, то ее испытания на Гороховецком АНИОП начались 14 ноября 1943 года, и закончились 19 числа того же месяца. Поскольку боеприпасы 3-К отличались от Ф-34, боеукладки пришлось переделать. Боекомплект снизился до 68 патронов, из них 7 разместили в кормовой нише башни, еще 9 в боковых гнездах, а оставшиеся патроны уложили в ящики на полу боевого отделения.</w:t>
      </w:r>
    </w:p>
    <w:p w14:paraId="303C5D48" w14:textId="77777777" w:rsidR="00FC29A4" w:rsidRPr="00271E51" w:rsidRDefault="00FC29A4"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Всего за время испытаний было произведено 610 выстрелов, из них 324 на усиленном заряде. Помимо бронебойных и осколочно-фугасных снарядов, С-54 получила и подкалиберные снаряды. И вот тут результаты стрельбы отличались от обстрела "Тигра". При стрельбе бронебойным снарядом удалось поразить плиту толщиной 75 мм, установленную под углом 30 градусов от вертикали и находившуюся на дистанции 800 метров. Броня гомогенная, высокой твердости. В упор удалось пробить ту же плиту, но уже толщиной 90 мм. Более впечатляющими оказались результаты стрельбы подкалиберным снарядом. На дистанции 300 метров удалось пробить составную плиту (100 мм цементированную + 40 мм гомогенную), установленную под углом 0 градусов от вертикали. С 80 метров подкалиберный снаряд пробил плиту 100+60 мм, также цементированная броня + гомогенная. При установке плиты под углом 30 градусов с дистанции 800 метров удалось пробить составную броню общей толщиной 110 мм.</w:t>
      </w:r>
    </w:p>
    <w:p w14:paraId="16D37324" w14:textId="77777777" w:rsidR="00FC29A4" w:rsidRPr="00271E51" w:rsidRDefault="00FC29A4"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Естественно, из одних достоинств С-54 не состояла. В виду того, что унитары 3-К были длиннее, удобство заряжания снизилось. Имелись претензии к механизмам наводки как орудия, так и башни. Также возникли претензии к гильзоулавливателю, загазованность боевого отделения при стрельбе выросла. Имелись претензии и по уравновешиванию системы. Вместе с тем, комиссия рекомендовала принять С-54 на вооружение. Аргументы были очевидными: орудие могло использоваться в штатной башне Т-34, при этом на С-54 имелась возможность перевооружать и ранее выпущенные танки. Именно это, во время ремонта, и предлагала делать комиссия. Также комиссия предлагала дополнительно проработать вопрос создания аналогичного орудия для замены систем ЗИС-5 в КВ-1 и КВ-1с (22229).</w:t>
      </w:r>
    </w:p>
    <w:p w14:paraId="48F4F9B4" w14:textId="77777777" w:rsidR="00FC29A4" w:rsidRPr="00271E51" w:rsidRDefault="00FC29A4" w:rsidP="00271E51">
      <w:pPr>
        <w:spacing w:after="0" w:line="240" w:lineRule="auto"/>
        <w:jc w:val="both"/>
        <w:rPr>
          <w:rFonts w:ascii="Times New Roman" w:hAnsi="Times New Roman"/>
          <w:color w:val="0070C0"/>
          <w:sz w:val="16"/>
          <w:szCs w:val="16"/>
        </w:rPr>
      </w:pPr>
    </w:p>
    <w:p w14:paraId="7EB3F2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вышел приказ НКТП В.А.Малышева N 651сс о том, что ГКО постановлением N 4479сс от 31 октября 1943 принял на вооружение тяжелый танк ИС Котина с 122 мм Д-25 и приказал Кировскому заводу (Зальцман) обеспечить выпуск 35 танков ИС-2 в декабре 1943 (3093,32).</w:t>
      </w:r>
    </w:p>
    <w:p w14:paraId="586C7C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B1C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вышло Постановление ГКО № 4484 О поставке обознохозяйственного имущества Наркомату обороны, Наркомвоенморфлоту и войскам НКВД СССР в IV квартале 1943 года. (7153, 110,111-115).</w:t>
      </w:r>
    </w:p>
    <w:p w14:paraId="40844E8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C4848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вышло Распоряжение ГКО № 4485 [Об обеспечении вывоза готовой спецпродукции с фабрики им. Калинина силами 2-го Горьковского танкового училища.] (7153, 116).</w:t>
      </w:r>
    </w:p>
    <w:p w14:paraId="441DFF5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D8CE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Балтийцы выполнили текущий ремонт на линкоре "Октябрьская революция" (10671).</w:t>
      </w:r>
    </w:p>
    <w:p w14:paraId="1173D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762E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04A79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0BD84"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оперативная сводка Совинформбюро:</w:t>
      </w:r>
    </w:p>
    <w:p w14:paraId="6CE34253"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ноября в районе между рекой Днепр и побережьем Сиваша наши войска продолжали преследовать отступающего противника и заняли более 60 населённых пунктов, в том числе крупные населённые пункты Николаевка, Марьинск, Западные Каиры, Любимовка, Черненька, Преображенка, Макаровка, Перво-Константиновка, Строгановка, Перекоп, Ивановка, Ново-Николаевка, Новая Покровка, Громовка, Благовещенка, Захаровка, Новая Дмитриевка, и железнодорожную станцию Сальково. На Перекопском перешейке наши войска стремительным ударом опрокинули противостоящие части противника, преодолели Турецкий вал и прорвались к Армянску. Таким образом, пути отхода по суше для войск противника, расположенных в Крыму, отрезаны нашими войсками. Поспешно отступая под ударами наших войск, противник несёт огромные потери в живой силе и технике. Только за 31 октября и 1 ноября нашими войсками захвачено в плен более 6.000 солдат и офицеров противника.</w:t>
      </w:r>
    </w:p>
    <w:p w14:paraId="65744E0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преодолевая сопротивление противника, продолжали наступление и заняли несколько населённых пунктов.</w:t>
      </w:r>
    </w:p>
    <w:p w14:paraId="39E267B1"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продолжали отбивать контратаки крупных сил пехоты и танков противника.</w:t>
      </w:r>
    </w:p>
    <w:p w14:paraId="3DB0C28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усиленная разведка и артиллерийско-миномётная перестрелка.</w:t>
      </w:r>
    </w:p>
    <w:p w14:paraId="4123649F"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31 октября наши войска на всех фронтах подбили и уничтожили 85 немецких танков. В воздушных боях и огнём зенитной артиллерии сбито 17 самолётов противника.</w:t>
      </w:r>
    </w:p>
    <w:p w14:paraId="05D80EB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побережьем Сиваша наши войска продолжали успешное наступление и заняли более 60 населённых пунктов. Части Н-ского соединения окружили группу немецких войск и ведут бои на её уничтожение. Немцы несут огромные потери. По неполным данным, истреблено до 2.000 немецких солдат и офицеров, уничтожено 29 танков, 5 самоходных и 28 полевых орудий. Захвачено у немцев 60 орудий, несколько самоходных пушек, много автомашин и тягачей, 7 окладов с боеприпасами и продовольствием. За 31 октября и 1 ноября взято в плен более 6.000 солдат и офицеров противника.</w:t>
      </w:r>
    </w:p>
    <w:p w14:paraId="4CB94BFC"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Перекопском перешейке наши войска, продвигаясь вперёд, вышли к Турецкому валу. Немцы соорудили в полосе Турецкого вала многочисленные траншеи и окопы. Опираясь на эти сильнейшие позиции, они рассчитывали остановить наши наступающиевойска. Стремительным ударом наши бойцы опрокинули противника, преодолели Турецкий вал и прорвались к городу Армянск. Этой победой советских войск закрыты и отрезаны все пути отхода по суше находящимся в Крыму войскам противника.</w:t>
      </w:r>
    </w:p>
    <w:p w14:paraId="7BA4E3A7"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части Н-ского соединения, преодолевая сопротивление противника, продвигались вперёд и освободили от немецко-фашистских захватчиков несколько населённых пунктов. В боях за один из этих населённых пунктов наши артиллеристы и бронебойщики подбили и сожгли 8 немецких танков и 6 самоходных орудий типа «Фердинанд». Противник отступил, оставив на поле боя свыше 400 трупов, 16 полевых орудий и 22 миномёта. На другом участке немцы собрали свои потрёпанные части и бросили их в контратаку. Наши бойцы подпустили гитлеровцев на близкое расстояние, а затем обрушились на них сосредоточенным миномётным и ружейно-пулемётным огнем. Противник в беспорядке отступил, потеряв в этом бою до 900 солдат и офицеров. Захвачены трофеи и пленные.</w:t>
      </w:r>
    </w:p>
    <w:p w14:paraId="7FBE6717"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отражали контратаки крупных сил пехоты и танков противника. На одном участке немцы бросили в контратаку до ста танков, поддержанных самоходными орудиями и мотопехотой. В результате ожесточенного боя, длившегося весь день, наши бойцы нанесли противнику тяжёлый урон. Уничтожено 42 немецких танка, 7 самоходных орудий и много автомашин. Истреблено до полка мотопехоты противника. На другом участке бойцы Н-ской части отбили неоднократные контратаки гитлеровцев, пытавшихся прорваться к одному населённому пункту. На поле боя осталось свыше 400 вражеских трупов.</w:t>
      </w:r>
    </w:p>
    <w:p w14:paraId="4685CD13"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партизан житомирского отряда заминировала большой участок железной дороги. Немецкий эшелон, следовавший к линии фронта, наскочил на мины и слетел под откос. Разбит паровоз, 12 вагонов и 10 платформ с военными материалами. Движение поездов на этом участке железной дороги было прекращено на несколько суток. Эта же группа партизан организовала в другом районе крушение немецкого воинского эшелона. Разбито 19 платформ с дальнобойными орудиями и 2 вагона с боеприпасами. Вышедший к месту крушения аварийно-восстановительный поезд тоже подорвался на минах.</w:t>
      </w:r>
    </w:p>
    <w:p w14:paraId="16192527"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Взятый в плен немецкий пилот с самолёта, входившего в первый боевой отряд, подчинённый непосредственно ставке верховного немецкого командования, лейтенант Гейнц Тэлле рассказал: «Я окончил лётную школу в августе 1943 года. Большинство выпускников школы было направлено на Восточный фронт. Я некоторое время оставался в Германии и только 15 октября прибыл в Киев. Совершил всего лишь два боевых вылета. Второй вылет был для меня и последним. Русские сбили самолёт, а меня захватили в плен. Печальная судьба постигла и моих товарищей. После окончания школы я переписывался с шестью лётчиками, с которыми учился в одном классе. Переписка длилась недолго, так как пятеро из них уже погибли в воздушных боях, а шестой потерял ногу и лежит в госпитале. Среди значительной группы немецких офицеров за последнее время существует мнение, что Германия проиграла войну. Это мнение разделяет и часть лётчиков, с которыми мне пришлось встретиться на фронте».</w:t>
      </w:r>
    </w:p>
    <w:p w14:paraId="5DB2F513"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 сообщение о новых зверствах, совершённых немецко-фашистскими мерзавцами в городе Олевск, Житомирской области. Недавно гитлеровцы устроили вгороде облаву, задержали первых попавшихся им 125 местных жителей, в том числе женщин и детей, и расстреляли их. За время с 12 по 18 октября фашистские изверги произвели массовые аресты в окрестных селах Жубровичи, Лопатичи, Болярка, Рудня Быстрая и других. Арестованных препроводили в Олевскую тюрьму, где гестаповцы подвергли их пыткам. 18 октября гитлеровские палачи расстреляли группу арестованных около железнодорожного моста. Убито свыше 100 человек ни в чём неповинных мирных граждан.» (14817).</w:t>
      </w:r>
    </w:p>
    <w:p w14:paraId="3570C4AD"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4235F4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1 ноября по 8 декабря 1943 г. 8-й гвардейский и 47-й </w:t>
      </w:r>
      <w:r w:rsidRPr="00271E51">
        <w:rPr>
          <w:rFonts w:ascii="Times New Roman" w:hAnsi="Times New Roman"/>
          <w:iCs/>
          <w:color w:val="000000" w:themeColor="text1"/>
          <w:sz w:val="16"/>
          <w:szCs w:val="16"/>
        </w:rPr>
        <w:t xml:space="preserve">шап </w:t>
      </w:r>
      <w:r w:rsidRPr="00271E51">
        <w:rPr>
          <w:rFonts w:ascii="Times New Roman" w:hAnsi="Times New Roman"/>
          <w:color w:val="000000" w:themeColor="text1"/>
          <w:sz w:val="16"/>
          <w:szCs w:val="16"/>
        </w:rPr>
        <w:t>ВВС ЧФ на удары по боевым кораб</w:t>
      </w:r>
      <w:r w:rsidRPr="00271E51">
        <w:rPr>
          <w:rFonts w:ascii="Times New Roman" w:hAnsi="Times New Roman"/>
          <w:color w:val="000000" w:themeColor="text1"/>
          <w:sz w:val="16"/>
          <w:szCs w:val="16"/>
        </w:rPr>
        <w:softHyphen/>
        <w:t>лям противника на коммуникации Ка</w:t>
      </w:r>
      <w:r w:rsidRPr="00271E51">
        <w:rPr>
          <w:rFonts w:ascii="Times New Roman" w:hAnsi="Times New Roman"/>
          <w:color w:val="000000" w:themeColor="text1"/>
          <w:sz w:val="16"/>
          <w:szCs w:val="16"/>
        </w:rPr>
        <w:softHyphen/>
        <w:t>мыш-Бурун - Феодосия и в портах Ка</w:t>
      </w:r>
      <w:r w:rsidRPr="00271E51">
        <w:rPr>
          <w:rFonts w:ascii="Times New Roman" w:hAnsi="Times New Roman"/>
          <w:color w:val="000000" w:themeColor="text1"/>
          <w:sz w:val="16"/>
          <w:szCs w:val="16"/>
        </w:rPr>
        <w:softHyphen/>
        <w:t>мыш-Бурун, Феодосия и Киик-Атлама выполнили всего 15% всех самолето-вылетов. Остальные боевые вылеты при</w:t>
      </w:r>
      <w:r w:rsidRPr="00271E51">
        <w:rPr>
          <w:rFonts w:ascii="Times New Roman" w:hAnsi="Times New Roman"/>
          <w:color w:val="000000" w:themeColor="text1"/>
          <w:sz w:val="16"/>
          <w:szCs w:val="16"/>
        </w:rPr>
        <w:softHyphen/>
        <w:t>шлись на поддержку десантников и сброс грузов. Как следствие, по подтвер</w:t>
      </w:r>
      <w:r w:rsidRPr="00271E51">
        <w:rPr>
          <w:rFonts w:ascii="Times New Roman" w:hAnsi="Times New Roman"/>
          <w:color w:val="000000" w:themeColor="text1"/>
          <w:sz w:val="16"/>
          <w:szCs w:val="16"/>
        </w:rPr>
        <w:softHyphen/>
        <w:t xml:space="preserve">жденным данным экипажам 11-й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удалось уничтожить лишь 14 плавединиц противника, в том числе 11 БДБ, один тральщик, один ТКА и один лихтер. Кро</w:t>
      </w:r>
      <w:r w:rsidRPr="00271E51">
        <w:rPr>
          <w:rFonts w:ascii="Times New Roman" w:hAnsi="Times New Roman"/>
          <w:color w:val="000000" w:themeColor="text1"/>
          <w:sz w:val="16"/>
          <w:szCs w:val="16"/>
        </w:rPr>
        <w:softHyphen/>
        <w:t>ме того, штурмовики повредили 4 БДБ и 2 тральщика.</w:t>
      </w:r>
    </w:p>
    <w:p w14:paraId="2AF06E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Отметим, что штаб 11-й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заявил об уничтожении 26 БДБ, 6 сторожевых катеров, одного СП "Зибель" и нанесе</w:t>
      </w:r>
      <w:r w:rsidRPr="00271E51">
        <w:rPr>
          <w:rFonts w:ascii="Times New Roman" w:hAnsi="Times New Roman"/>
          <w:color w:val="000000" w:themeColor="text1"/>
          <w:sz w:val="16"/>
          <w:szCs w:val="16"/>
        </w:rPr>
        <w:softHyphen/>
        <w:t>нии повреждений 41 БДБ, 11 стороже</w:t>
      </w:r>
      <w:r w:rsidRPr="00271E51">
        <w:rPr>
          <w:rFonts w:ascii="Times New Roman" w:hAnsi="Times New Roman"/>
          <w:color w:val="000000" w:themeColor="text1"/>
          <w:sz w:val="16"/>
          <w:szCs w:val="16"/>
        </w:rPr>
        <w:softHyphen/>
        <w:t>вым катерам, 4 баржам, одному СП "Зи</w:t>
      </w:r>
      <w:r w:rsidRPr="00271E51">
        <w:rPr>
          <w:rFonts w:ascii="Times New Roman" w:hAnsi="Times New Roman"/>
          <w:color w:val="000000" w:themeColor="text1"/>
          <w:sz w:val="16"/>
          <w:szCs w:val="16"/>
        </w:rPr>
        <w:softHyphen/>
        <w:t>бель" и одному ТКА.</w:t>
      </w:r>
    </w:p>
    <w:p w14:paraId="64C5FC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Настоящей "головной болью" для лет</w:t>
      </w:r>
      <w:r w:rsidRPr="00271E51">
        <w:rPr>
          <w:rFonts w:ascii="Times New Roman" w:hAnsi="Times New Roman"/>
          <w:color w:val="000000" w:themeColor="text1"/>
          <w:sz w:val="16"/>
          <w:szCs w:val="16"/>
        </w:rPr>
        <w:softHyphen/>
        <w:t>чиков-штурмовиков в этот период была чрезвычайно сильная ПВО противника как в районе боев десантников на Эльтигене, куда немцы к концу ноября до</w:t>
      </w:r>
      <w:r w:rsidRPr="00271E51">
        <w:rPr>
          <w:rFonts w:ascii="Times New Roman" w:hAnsi="Times New Roman"/>
          <w:color w:val="000000" w:themeColor="text1"/>
          <w:sz w:val="16"/>
          <w:szCs w:val="16"/>
        </w:rPr>
        <w:softHyphen/>
        <w:t>полнительно стянули до 70 батарей зе</w:t>
      </w:r>
      <w:r w:rsidRPr="00271E51">
        <w:rPr>
          <w:rFonts w:ascii="Times New Roman" w:hAnsi="Times New Roman"/>
          <w:color w:val="000000" w:themeColor="text1"/>
          <w:sz w:val="16"/>
          <w:szCs w:val="16"/>
        </w:rPr>
        <w:softHyphen/>
        <w:t>нитной артиллерии и большое количе</w:t>
      </w:r>
      <w:r w:rsidRPr="00271E51">
        <w:rPr>
          <w:rFonts w:ascii="Times New Roman" w:hAnsi="Times New Roman"/>
          <w:color w:val="000000" w:themeColor="text1"/>
          <w:sz w:val="16"/>
          <w:szCs w:val="16"/>
        </w:rPr>
        <w:softHyphen/>
        <w:t>ство крупнокалиберных зенитных пуле</w:t>
      </w:r>
      <w:r w:rsidRPr="00271E51">
        <w:rPr>
          <w:rFonts w:ascii="Times New Roman" w:hAnsi="Times New Roman"/>
          <w:color w:val="000000" w:themeColor="text1"/>
          <w:sz w:val="16"/>
          <w:szCs w:val="16"/>
        </w:rPr>
        <w:softHyphen/>
        <w:t>метов, так и портов Камыш-Бурун, Фео</w:t>
      </w:r>
      <w:r w:rsidRPr="00271E51">
        <w:rPr>
          <w:rFonts w:ascii="Times New Roman" w:hAnsi="Times New Roman"/>
          <w:color w:val="000000" w:themeColor="text1"/>
          <w:sz w:val="16"/>
          <w:szCs w:val="16"/>
        </w:rPr>
        <w:softHyphen/>
        <w:t>досия и Киик-Атлама. Например, порт Камыш-Бурун был "защищен" трехкило</w:t>
      </w:r>
      <w:r w:rsidRPr="00271E51">
        <w:rPr>
          <w:rFonts w:ascii="Times New Roman" w:hAnsi="Times New Roman"/>
          <w:color w:val="000000" w:themeColor="text1"/>
          <w:sz w:val="16"/>
          <w:szCs w:val="16"/>
        </w:rPr>
        <w:softHyphen/>
        <w:t>метровой косой, на которой немцы со</w:t>
      </w:r>
      <w:r w:rsidRPr="00271E51">
        <w:rPr>
          <w:rFonts w:ascii="Times New Roman" w:hAnsi="Times New Roman"/>
          <w:color w:val="000000" w:themeColor="text1"/>
          <w:sz w:val="16"/>
          <w:szCs w:val="16"/>
        </w:rPr>
        <w:softHyphen/>
        <w:t>средоточили две крупнокалиберные зе</w:t>
      </w:r>
      <w:r w:rsidRPr="00271E51">
        <w:rPr>
          <w:rFonts w:ascii="Times New Roman" w:hAnsi="Times New Roman"/>
          <w:color w:val="000000" w:themeColor="text1"/>
          <w:sz w:val="16"/>
          <w:szCs w:val="16"/>
        </w:rPr>
        <w:softHyphen/>
        <w:t>нитные батареи четырехорудийного со</w:t>
      </w:r>
      <w:r w:rsidRPr="00271E51">
        <w:rPr>
          <w:rFonts w:ascii="Times New Roman" w:hAnsi="Times New Roman"/>
          <w:color w:val="000000" w:themeColor="text1"/>
          <w:sz w:val="16"/>
          <w:szCs w:val="16"/>
        </w:rPr>
        <w:softHyphen/>
        <w:t>става, до десятка батарей "Эрликонов". Портовую ПВО усиливали зенитные средства боевых кораблей, находящих</w:t>
      </w:r>
      <w:r w:rsidRPr="00271E51">
        <w:rPr>
          <w:rFonts w:ascii="Times New Roman" w:hAnsi="Times New Roman"/>
          <w:color w:val="000000" w:themeColor="text1"/>
          <w:sz w:val="16"/>
          <w:szCs w:val="16"/>
        </w:rPr>
        <w:softHyphen/>
        <w:t>ся в порту - воздушная разведка флота ежедневно фиксировала на рейде и у причалов порта от 10 до 15 БДБ. Други</w:t>
      </w:r>
      <w:r w:rsidRPr="00271E51">
        <w:rPr>
          <w:rFonts w:ascii="Times New Roman" w:hAnsi="Times New Roman"/>
          <w:color w:val="000000" w:themeColor="text1"/>
          <w:sz w:val="16"/>
          <w:szCs w:val="16"/>
        </w:rPr>
        <w:softHyphen/>
        <w:t>ми словами, Камыш-Бурун, также как и другие порты, был весьма крепким ореш</w:t>
      </w:r>
      <w:r w:rsidRPr="00271E51">
        <w:rPr>
          <w:rFonts w:ascii="Times New Roman" w:hAnsi="Times New Roman"/>
          <w:color w:val="000000" w:themeColor="text1"/>
          <w:sz w:val="16"/>
          <w:szCs w:val="16"/>
        </w:rPr>
        <w:softHyphen/>
        <w:t>ком для авиации Черноморского флота - своеобразной "крепостью ПВО".</w:t>
      </w:r>
    </w:p>
    <w:p w14:paraId="1A66A0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следствие, удельный вес безвоз</w:t>
      </w:r>
      <w:r w:rsidRPr="00271E51">
        <w:rPr>
          <w:rFonts w:ascii="Times New Roman" w:hAnsi="Times New Roman"/>
          <w:color w:val="000000" w:themeColor="text1"/>
          <w:sz w:val="16"/>
          <w:szCs w:val="16"/>
        </w:rPr>
        <w:softHyphen/>
        <w:t>вратных боевых потерь штурмовиков от огня немецкой зенитной артиллерии достиг огромных величин - 80-90% всех потерь.</w:t>
      </w:r>
    </w:p>
    <w:p w14:paraId="6E1CF4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 полки 230-й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4-й ВА, действо</w:t>
      </w:r>
      <w:r w:rsidRPr="00271E51">
        <w:rPr>
          <w:rFonts w:ascii="Times New Roman" w:hAnsi="Times New Roman"/>
          <w:color w:val="000000" w:themeColor="text1"/>
          <w:sz w:val="16"/>
          <w:szCs w:val="16"/>
        </w:rPr>
        <w:softHyphen/>
        <w:t>вавшие в сентябре-ноябре по портам Керчь, Камыш-Бурун, Темрюк и на поле боя, потеряли 82 Ил-2, из них 62 маши</w:t>
      </w:r>
      <w:r w:rsidRPr="00271E51">
        <w:rPr>
          <w:rFonts w:ascii="Times New Roman" w:hAnsi="Times New Roman"/>
          <w:color w:val="000000" w:themeColor="text1"/>
          <w:sz w:val="16"/>
          <w:szCs w:val="16"/>
        </w:rPr>
        <w:softHyphen/>
        <w:t>ны - от зенитного огня, остальные - от истребителей Люфтваффе. Только в сен</w:t>
      </w:r>
      <w:r w:rsidRPr="00271E51">
        <w:rPr>
          <w:rFonts w:ascii="Times New Roman" w:hAnsi="Times New Roman"/>
          <w:color w:val="000000" w:themeColor="text1"/>
          <w:sz w:val="16"/>
          <w:szCs w:val="16"/>
        </w:rPr>
        <w:softHyphen/>
        <w:t>тябре месяце, когда дивизия работала по порту Темрюк, потери от огня зенит</w:t>
      </w:r>
      <w:r w:rsidRPr="00271E51">
        <w:rPr>
          <w:rFonts w:ascii="Times New Roman" w:hAnsi="Times New Roman"/>
          <w:color w:val="000000" w:themeColor="text1"/>
          <w:sz w:val="16"/>
          <w:szCs w:val="16"/>
        </w:rPr>
        <w:softHyphen/>
        <w:t>ной артиллерии составили 30 Ил-2, еще 10 штурмовиков были сбиты немецкими истребителями. В ноябре во время уда</w:t>
      </w:r>
      <w:r w:rsidRPr="00271E51">
        <w:rPr>
          <w:rFonts w:ascii="Times New Roman" w:hAnsi="Times New Roman"/>
          <w:color w:val="000000" w:themeColor="text1"/>
          <w:sz w:val="16"/>
          <w:szCs w:val="16"/>
        </w:rPr>
        <w:softHyphen/>
        <w:t>ров по портам Камыш-Бурун и Керчь потери дивизии составили 36 Ил-2, из которых 32 "Ила" были сбиты зенитной артиллерией, остальные - истребителями.</w:t>
      </w:r>
    </w:p>
    <w:p w14:paraId="67E698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Безвозвратные боевые потери наи</w:t>
      </w:r>
      <w:r w:rsidRPr="00271E51">
        <w:rPr>
          <w:rFonts w:ascii="Times New Roman" w:hAnsi="Times New Roman"/>
          <w:color w:val="000000" w:themeColor="text1"/>
          <w:sz w:val="16"/>
          <w:szCs w:val="16"/>
        </w:rPr>
        <w:softHyphen/>
        <w:t xml:space="preserve">более пострадавшего в эльтигентской операции 47-го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ВВС ЧФ в период с 01.11.43 г. по 08.12.43 г. составили 20 самолетов Ил-2 и все от огня зенитной артиллерии немцев. Самым черным днем в истории полка стал 1 декабря 43-го. В этот день только за один бое</w:t>
      </w:r>
      <w:r w:rsidRPr="00271E51">
        <w:rPr>
          <w:rFonts w:ascii="Times New Roman" w:hAnsi="Times New Roman"/>
          <w:color w:val="000000" w:themeColor="text1"/>
          <w:sz w:val="16"/>
          <w:szCs w:val="16"/>
        </w:rPr>
        <w:softHyphen/>
        <w:t>вой вылет полк потерял над Камыш-Бу</w:t>
      </w:r>
      <w:r w:rsidRPr="00271E51">
        <w:rPr>
          <w:rFonts w:ascii="Times New Roman" w:hAnsi="Times New Roman"/>
          <w:color w:val="000000" w:themeColor="text1"/>
          <w:sz w:val="16"/>
          <w:szCs w:val="16"/>
        </w:rPr>
        <w:softHyphen/>
        <w:t>руном всю 3-ю эскадрилью в полном составе - 8 Ил-2 и 16 боевых товари</w:t>
      </w:r>
      <w:r w:rsidRPr="00271E51">
        <w:rPr>
          <w:rFonts w:ascii="Times New Roman" w:hAnsi="Times New Roman"/>
          <w:color w:val="000000" w:themeColor="text1"/>
          <w:sz w:val="16"/>
          <w:szCs w:val="16"/>
        </w:rPr>
        <w:softHyphen/>
        <w:t>щей...</w:t>
      </w:r>
    </w:p>
    <w:p w14:paraId="147D36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группы истребителей при</w:t>
      </w:r>
      <w:r w:rsidRPr="00271E51">
        <w:rPr>
          <w:rFonts w:ascii="Times New Roman" w:hAnsi="Times New Roman"/>
          <w:color w:val="000000" w:themeColor="text1"/>
          <w:sz w:val="16"/>
          <w:szCs w:val="16"/>
        </w:rPr>
        <w:softHyphen/>
        <w:t xml:space="preserve">крытия из 9-го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м-р Е.А.Шаркевич в своем отчете об этом боевом вылете доложил следующее:</w:t>
      </w:r>
    </w:p>
    <w:p w14:paraId="22A7DD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"...ведущий группы штурмовиков командир 3-й эскадрильи майор Каверзин за 12-15 км от цели начал сни</w:t>
      </w:r>
      <w:r w:rsidRPr="00271E51">
        <w:rPr>
          <w:rFonts w:ascii="Times New Roman" w:hAnsi="Times New Roman"/>
          <w:iCs/>
          <w:color w:val="000000" w:themeColor="text1"/>
          <w:sz w:val="16"/>
          <w:szCs w:val="16"/>
        </w:rPr>
        <w:softHyphen/>
        <w:t>жаться, на высоте 30-50 м вывел груп</w:t>
      </w:r>
      <w:r w:rsidRPr="00271E51">
        <w:rPr>
          <w:rFonts w:ascii="Times New Roman" w:hAnsi="Times New Roman"/>
          <w:iCs/>
          <w:color w:val="000000" w:themeColor="text1"/>
          <w:sz w:val="16"/>
          <w:szCs w:val="16"/>
        </w:rPr>
        <w:softHyphen/>
        <w:t>пу в горизонтальный полет. Этим так</w:t>
      </w:r>
      <w:r w:rsidRPr="00271E51">
        <w:rPr>
          <w:rFonts w:ascii="Times New Roman" w:hAnsi="Times New Roman"/>
          <w:iCs/>
          <w:color w:val="000000" w:themeColor="text1"/>
          <w:sz w:val="16"/>
          <w:szCs w:val="16"/>
        </w:rPr>
        <w:softHyphen/>
        <w:t>тически неграмотным маневром по</w:t>
      </w:r>
      <w:r w:rsidRPr="00271E51">
        <w:rPr>
          <w:rFonts w:ascii="Times New Roman" w:hAnsi="Times New Roman"/>
          <w:iCs/>
          <w:color w:val="000000" w:themeColor="text1"/>
          <w:sz w:val="16"/>
          <w:szCs w:val="16"/>
        </w:rPr>
        <w:softHyphen/>
        <w:t>терял один из важнейших элементов в бою - высоту, что дало противнику возможность безнаказанно вести пря</w:t>
      </w:r>
      <w:r w:rsidRPr="00271E51">
        <w:rPr>
          <w:rFonts w:ascii="Times New Roman" w:hAnsi="Times New Roman"/>
          <w:iCs/>
          <w:color w:val="000000" w:themeColor="text1"/>
          <w:sz w:val="16"/>
          <w:szCs w:val="16"/>
        </w:rPr>
        <w:softHyphen/>
        <w:t>мой наводкой огонь по всей группе наших Илов. Один из Илов вследствие малой высоты был поглощен столбом воды, взметнувшимся перед ним от разрыва снаряда. Нарушился строй, в замешательстве столкнулись два Ила и упали на внешнем рейде, а осталь</w:t>
      </w:r>
      <w:r w:rsidRPr="00271E51">
        <w:rPr>
          <w:rFonts w:ascii="Times New Roman" w:hAnsi="Times New Roman"/>
          <w:iCs/>
          <w:color w:val="000000" w:themeColor="text1"/>
          <w:sz w:val="16"/>
          <w:szCs w:val="16"/>
        </w:rPr>
        <w:softHyphen/>
        <w:t>ные самолеты были расстреляны в порту... "</w:t>
      </w:r>
    </w:p>
    <w:p w14:paraId="1CD9D5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Вины истребителей 9-го </w:t>
      </w:r>
      <w:r w:rsidRPr="00271E51">
        <w:rPr>
          <w:rFonts w:ascii="Times New Roman" w:hAnsi="Times New Roman"/>
          <w:iCs/>
          <w:color w:val="000000" w:themeColor="text1"/>
          <w:sz w:val="16"/>
          <w:szCs w:val="16"/>
        </w:rPr>
        <w:t>иап</w:t>
      </w:r>
      <w:r w:rsidRPr="00271E51">
        <w:rPr>
          <w:rFonts w:ascii="Times New Roman" w:hAnsi="Times New Roman"/>
          <w:color w:val="000000" w:themeColor="text1"/>
          <w:sz w:val="16"/>
          <w:szCs w:val="16"/>
        </w:rPr>
        <w:t xml:space="preserve"> в гибе</w:t>
      </w:r>
      <w:r w:rsidRPr="00271E51">
        <w:rPr>
          <w:rFonts w:ascii="Times New Roman" w:hAnsi="Times New Roman"/>
          <w:color w:val="000000" w:themeColor="text1"/>
          <w:sz w:val="16"/>
          <w:szCs w:val="16"/>
        </w:rPr>
        <w:softHyphen/>
        <w:t>ли восьми экипажей, как показал раз</w:t>
      </w:r>
      <w:r w:rsidRPr="00271E51">
        <w:rPr>
          <w:rFonts w:ascii="Times New Roman" w:hAnsi="Times New Roman"/>
          <w:color w:val="000000" w:themeColor="text1"/>
          <w:sz w:val="16"/>
          <w:szCs w:val="16"/>
        </w:rPr>
        <w:softHyphen/>
        <w:t>бор полета, проведенный комдивом Манжосовым, не усматривалось. Вывод командира был суров:</w:t>
      </w:r>
    </w:p>
    <w:p w14:paraId="6BEB41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w:t>
      </w:r>
      <w:r w:rsidRPr="00271E51">
        <w:rPr>
          <w:rFonts w:ascii="Times New Roman" w:hAnsi="Times New Roman"/>
          <w:iCs/>
          <w:color w:val="000000" w:themeColor="text1"/>
          <w:sz w:val="16"/>
          <w:szCs w:val="16"/>
        </w:rPr>
        <w:t>отсутствие высоты для выполне</w:t>
      </w:r>
      <w:r w:rsidRPr="00271E51">
        <w:rPr>
          <w:rFonts w:ascii="Times New Roman" w:hAnsi="Times New Roman"/>
          <w:iCs/>
          <w:color w:val="000000" w:themeColor="text1"/>
          <w:sz w:val="16"/>
          <w:szCs w:val="16"/>
        </w:rPr>
        <w:softHyphen/>
        <w:t>ния противозенитного маневра, непри</w:t>
      </w:r>
      <w:r w:rsidRPr="00271E51">
        <w:rPr>
          <w:rFonts w:ascii="Times New Roman" w:hAnsi="Times New Roman"/>
          <w:iCs/>
          <w:color w:val="000000" w:themeColor="text1"/>
          <w:sz w:val="16"/>
          <w:szCs w:val="16"/>
        </w:rPr>
        <w:softHyphen/>
        <w:t>нятие мер подавления противозенит</w:t>
      </w:r>
      <w:r w:rsidRPr="00271E51">
        <w:rPr>
          <w:rFonts w:ascii="Times New Roman" w:hAnsi="Times New Roman"/>
          <w:iCs/>
          <w:color w:val="000000" w:themeColor="text1"/>
          <w:sz w:val="16"/>
          <w:szCs w:val="16"/>
        </w:rPr>
        <w:softHyphen/>
        <w:t>ных средств противника ведущим группы штурмовиков Каверзиным при</w:t>
      </w:r>
      <w:r w:rsidRPr="00271E51">
        <w:rPr>
          <w:rFonts w:ascii="Times New Roman" w:hAnsi="Times New Roman"/>
          <w:iCs/>
          <w:color w:val="000000" w:themeColor="text1"/>
          <w:sz w:val="16"/>
          <w:szCs w:val="16"/>
        </w:rPr>
        <w:softHyphen/>
        <w:t>вело к этой трагедии. За ошибку, до</w:t>
      </w:r>
      <w:r w:rsidRPr="00271E51">
        <w:rPr>
          <w:rFonts w:ascii="Times New Roman" w:hAnsi="Times New Roman"/>
          <w:iCs/>
          <w:color w:val="000000" w:themeColor="text1"/>
          <w:sz w:val="16"/>
          <w:szCs w:val="16"/>
        </w:rPr>
        <w:softHyphen/>
        <w:t>пущенную комэском, пришлось попла</w:t>
      </w:r>
      <w:r w:rsidRPr="00271E51">
        <w:rPr>
          <w:rFonts w:ascii="Times New Roman" w:hAnsi="Times New Roman"/>
          <w:iCs/>
          <w:color w:val="000000" w:themeColor="text1"/>
          <w:sz w:val="16"/>
          <w:szCs w:val="16"/>
        </w:rPr>
        <w:softHyphen/>
        <w:t>титься дорогой ценой... Война преподносит разные неожиданные сюрпри</w:t>
      </w:r>
      <w:r w:rsidRPr="00271E51">
        <w:rPr>
          <w:rFonts w:ascii="Times New Roman" w:hAnsi="Times New Roman"/>
          <w:iCs/>
          <w:color w:val="000000" w:themeColor="text1"/>
          <w:sz w:val="16"/>
          <w:szCs w:val="16"/>
        </w:rPr>
        <w:softHyphen/>
        <w:t>зы, на них нужно вовремя и правильно со здравым смыслом реагировать, иначе это может обернуться несчас</w:t>
      </w:r>
      <w:r w:rsidRPr="00271E51">
        <w:rPr>
          <w:rFonts w:ascii="Times New Roman" w:hAnsi="Times New Roman"/>
          <w:iCs/>
          <w:color w:val="000000" w:themeColor="text1"/>
          <w:sz w:val="16"/>
          <w:szCs w:val="16"/>
        </w:rPr>
        <w:softHyphen/>
        <w:t>тьем. Для того и назначается коман</w:t>
      </w:r>
      <w:r w:rsidRPr="00271E51">
        <w:rPr>
          <w:rFonts w:ascii="Times New Roman" w:hAnsi="Times New Roman"/>
          <w:iCs/>
          <w:color w:val="000000" w:themeColor="text1"/>
          <w:sz w:val="16"/>
          <w:szCs w:val="16"/>
        </w:rPr>
        <w:softHyphen/>
        <w:t>дир, чтобы в зависимости от создав</w:t>
      </w:r>
      <w:r w:rsidRPr="00271E51">
        <w:rPr>
          <w:rFonts w:ascii="Times New Roman" w:hAnsi="Times New Roman"/>
          <w:iCs/>
          <w:color w:val="000000" w:themeColor="text1"/>
          <w:sz w:val="16"/>
          <w:szCs w:val="16"/>
        </w:rPr>
        <w:softHyphen/>
        <w:t>шихся условий принимать правильное решение. Выполнение боевого зада</w:t>
      </w:r>
      <w:r w:rsidRPr="00271E51">
        <w:rPr>
          <w:rFonts w:ascii="Times New Roman" w:hAnsi="Times New Roman"/>
          <w:iCs/>
          <w:color w:val="000000" w:themeColor="text1"/>
          <w:sz w:val="16"/>
          <w:szCs w:val="16"/>
        </w:rPr>
        <w:softHyphen/>
        <w:t>ния в роли ведущего - это не отчет, составленный штабистами, заново не перепишешь. Почтим память погиб</w:t>
      </w:r>
      <w:r w:rsidRPr="00271E51">
        <w:rPr>
          <w:rFonts w:ascii="Times New Roman" w:hAnsi="Times New Roman"/>
          <w:iCs/>
          <w:color w:val="000000" w:themeColor="text1"/>
          <w:sz w:val="16"/>
          <w:szCs w:val="16"/>
        </w:rPr>
        <w:softHyphen/>
        <w:t>ших товарищей... "</w:t>
      </w:r>
      <w:r w:rsidRPr="00271E51">
        <w:rPr>
          <w:rFonts w:ascii="Times New Roman" w:hAnsi="Times New Roman"/>
          <w:color w:val="000000" w:themeColor="text1"/>
          <w:sz w:val="16"/>
          <w:szCs w:val="16"/>
        </w:rPr>
        <w:t xml:space="preserve"> (6467).</w:t>
      </w:r>
    </w:p>
    <w:p w14:paraId="3B3728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844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 по 2 ноября 1943, т.е. с мо</w:t>
      </w:r>
      <w:r w:rsidRPr="00271E51">
        <w:rPr>
          <w:rFonts w:ascii="Times New Roman" w:hAnsi="Times New Roman"/>
          <w:color w:val="000000" w:themeColor="text1"/>
          <w:sz w:val="16"/>
          <w:szCs w:val="16"/>
        </w:rPr>
        <w:softHyphen/>
        <w:t>мента высадки десанта и до момента его закрепления в поселке Эльтиген, штурмовики Ил-2 сводной морской авиагруппы непрерывными бомбоштурмовыми ударами в составе по 8-10 са</w:t>
      </w:r>
      <w:r w:rsidRPr="00271E51">
        <w:rPr>
          <w:rFonts w:ascii="Times New Roman" w:hAnsi="Times New Roman"/>
          <w:color w:val="000000" w:themeColor="text1"/>
          <w:sz w:val="16"/>
          <w:szCs w:val="16"/>
        </w:rPr>
        <w:softHyphen/>
        <w:t>молетов в группе уничтожали огневые точки и технику противника на плацдар</w:t>
      </w:r>
      <w:r w:rsidRPr="00271E51">
        <w:rPr>
          <w:rFonts w:ascii="Times New Roman" w:hAnsi="Times New Roman"/>
          <w:color w:val="000000" w:themeColor="text1"/>
          <w:sz w:val="16"/>
          <w:szCs w:val="16"/>
        </w:rPr>
        <w:softHyphen/>
        <w:t>ме, обеспечивая огневой поддержкой де</w:t>
      </w:r>
      <w:r w:rsidRPr="00271E51">
        <w:rPr>
          <w:rFonts w:ascii="Times New Roman" w:hAnsi="Times New Roman"/>
          <w:color w:val="000000" w:themeColor="text1"/>
          <w:sz w:val="16"/>
          <w:szCs w:val="16"/>
        </w:rPr>
        <w:softHyphen/>
        <w:t>сантников, позиции которых противник в течение этих двух дней атаковал 37 раз, в том числе с применением танков. Только благодаря напряженной "рабо</w:t>
      </w:r>
      <w:r w:rsidRPr="00271E51">
        <w:rPr>
          <w:rFonts w:ascii="Times New Roman" w:hAnsi="Times New Roman"/>
          <w:color w:val="000000" w:themeColor="text1"/>
          <w:sz w:val="16"/>
          <w:szCs w:val="16"/>
        </w:rPr>
        <w:softHyphen/>
        <w:t>те" штурмовиков морской авиагруппы все контратаки противника были отби</w:t>
      </w:r>
      <w:r w:rsidRPr="00271E51">
        <w:rPr>
          <w:rFonts w:ascii="Times New Roman" w:hAnsi="Times New Roman"/>
          <w:color w:val="000000" w:themeColor="text1"/>
          <w:sz w:val="16"/>
          <w:szCs w:val="16"/>
        </w:rPr>
        <w:softHyphen/>
        <w:t>ты с большими для него потерями.</w:t>
      </w:r>
    </w:p>
    <w:p w14:paraId="79D64A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последующие дни активность штур</w:t>
      </w:r>
      <w:r w:rsidRPr="00271E51">
        <w:rPr>
          <w:rFonts w:ascii="Times New Roman" w:hAnsi="Times New Roman"/>
          <w:color w:val="000000" w:themeColor="text1"/>
          <w:sz w:val="16"/>
          <w:szCs w:val="16"/>
        </w:rPr>
        <w:softHyphen/>
        <w:t>мовиков Ил-2 на эльтигентском плац</w:t>
      </w:r>
      <w:r w:rsidRPr="00271E51">
        <w:rPr>
          <w:rFonts w:ascii="Times New Roman" w:hAnsi="Times New Roman"/>
          <w:color w:val="000000" w:themeColor="text1"/>
          <w:sz w:val="16"/>
          <w:szCs w:val="16"/>
        </w:rPr>
        <w:softHyphen/>
        <w:t>дарме несколько снизилась, но их дей</w:t>
      </w:r>
      <w:r w:rsidRPr="00271E51">
        <w:rPr>
          <w:rFonts w:ascii="Times New Roman" w:hAnsi="Times New Roman"/>
          <w:color w:val="000000" w:themeColor="text1"/>
          <w:sz w:val="16"/>
          <w:szCs w:val="16"/>
        </w:rPr>
        <w:softHyphen/>
        <w:t>ствия оставались эффективными (6467).</w:t>
      </w:r>
    </w:p>
    <w:p w14:paraId="2CF37F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08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и 2 ноября 1943 экипажи 11-й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выполнив в течение 263 боевых само</w:t>
      </w:r>
      <w:r w:rsidRPr="00271E51">
        <w:rPr>
          <w:rFonts w:ascii="Times New Roman" w:hAnsi="Times New Roman"/>
          <w:color w:val="000000" w:themeColor="text1"/>
          <w:sz w:val="16"/>
          <w:szCs w:val="16"/>
        </w:rPr>
        <w:softHyphen/>
        <w:t>лето-вылетов, доложили об уничтожен</w:t>
      </w:r>
      <w:r w:rsidRPr="00271E51">
        <w:rPr>
          <w:rFonts w:ascii="Times New Roman" w:hAnsi="Times New Roman"/>
          <w:color w:val="000000" w:themeColor="text1"/>
          <w:sz w:val="16"/>
          <w:szCs w:val="16"/>
        </w:rPr>
        <w:softHyphen/>
        <w:t>ии 8 танков, 33 автомашин и 4 мино</w:t>
      </w:r>
      <w:r w:rsidRPr="00271E51">
        <w:rPr>
          <w:rFonts w:ascii="Times New Roman" w:hAnsi="Times New Roman"/>
          <w:color w:val="000000" w:themeColor="text1"/>
          <w:sz w:val="16"/>
          <w:szCs w:val="16"/>
        </w:rPr>
        <w:softHyphen/>
        <w:t>метных батарей. Кроме того, штурмови</w:t>
      </w:r>
      <w:r w:rsidRPr="00271E51">
        <w:rPr>
          <w:rFonts w:ascii="Times New Roman" w:hAnsi="Times New Roman"/>
          <w:color w:val="000000" w:themeColor="text1"/>
          <w:sz w:val="16"/>
          <w:szCs w:val="16"/>
        </w:rPr>
        <w:softHyphen/>
        <w:t>ки подавили огонь 4 артбатарей, одной батареи ЗА и 4 батарей МЗА и подбили одну БД Б. В воздушных боях над полем боя сбиты 2 "мессера". Свои потери составили 4 Ил-2 и 2 истребителя (6467).</w:t>
      </w:r>
    </w:p>
    <w:p w14:paraId="3D3FD3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последующие дни активность штур</w:t>
      </w:r>
      <w:r w:rsidRPr="00271E51">
        <w:rPr>
          <w:rFonts w:ascii="Times New Roman" w:hAnsi="Times New Roman"/>
          <w:color w:val="000000" w:themeColor="text1"/>
          <w:sz w:val="16"/>
          <w:szCs w:val="16"/>
        </w:rPr>
        <w:softHyphen/>
        <w:t>мовиков Ил-2 на эльтигентском плац</w:t>
      </w:r>
      <w:r w:rsidRPr="00271E51">
        <w:rPr>
          <w:rFonts w:ascii="Times New Roman" w:hAnsi="Times New Roman"/>
          <w:color w:val="000000" w:themeColor="text1"/>
          <w:sz w:val="16"/>
          <w:szCs w:val="16"/>
        </w:rPr>
        <w:softHyphen/>
        <w:t>дарме несколько снизилась, но их дей</w:t>
      </w:r>
      <w:r w:rsidRPr="00271E51">
        <w:rPr>
          <w:rFonts w:ascii="Times New Roman" w:hAnsi="Times New Roman"/>
          <w:color w:val="000000" w:themeColor="text1"/>
          <w:sz w:val="16"/>
          <w:szCs w:val="16"/>
        </w:rPr>
        <w:softHyphen/>
        <w:t>ствия оставались эффективными.</w:t>
      </w:r>
    </w:p>
    <w:p w14:paraId="54A03B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Отличную работу штурмовиков под</w:t>
      </w:r>
      <w:r w:rsidRPr="00271E51">
        <w:rPr>
          <w:rFonts w:ascii="Times New Roman" w:hAnsi="Times New Roman"/>
          <w:color w:val="000000" w:themeColor="text1"/>
          <w:sz w:val="16"/>
          <w:szCs w:val="16"/>
        </w:rPr>
        <w:softHyphen/>
        <w:t>тверждают и документы противника. В журнале боевых действий 5-го армейс</w:t>
      </w:r>
      <w:r w:rsidRPr="00271E51">
        <w:rPr>
          <w:rFonts w:ascii="Times New Roman" w:hAnsi="Times New Roman"/>
          <w:color w:val="000000" w:themeColor="text1"/>
          <w:sz w:val="16"/>
          <w:szCs w:val="16"/>
        </w:rPr>
        <w:softHyphen/>
        <w:t xml:space="preserve">кого корпуса вермахта имеются такие записи: </w:t>
      </w:r>
      <w:r w:rsidRPr="00271E51">
        <w:rPr>
          <w:rFonts w:ascii="Times New Roman" w:hAnsi="Times New Roman"/>
          <w:iCs/>
          <w:color w:val="000000" w:themeColor="text1"/>
          <w:sz w:val="16"/>
          <w:szCs w:val="16"/>
        </w:rPr>
        <w:lastRenderedPageBreak/>
        <w:t>"...3.11.1943 г....Сильная под</w:t>
      </w:r>
      <w:r w:rsidRPr="00271E51">
        <w:rPr>
          <w:rFonts w:ascii="Times New Roman" w:hAnsi="Times New Roman"/>
          <w:iCs/>
          <w:color w:val="000000" w:themeColor="text1"/>
          <w:sz w:val="16"/>
          <w:szCs w:val="16"/>
        </w:rPr>
        <w:softHyphen/>
        <w:t>держка десантников на обоих плацдар</w:t>
      </w:r>
      <w:r w:rsidRPr="00271E51">
        <w:rPr>
          <w:rFonts w:ascii="Times New Roman" w:hAnsi="Times New Roman"/>
          <w:iCs/>
          <w:color w:val="000000" w:themeColor="text1"/>
          <w:sz w:val="16"/>
          <w:szCs w:val="16"/>
        </w:rPr>
        <w:softHyphen/>
        <w:t>мах русской штурмовой авиацией.</w:t>
      </w:r>
    </w:p>
    <w:p w14:paraId="221370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...4.11.1943 г.... Сильную поддержку рус</w:t>
      </w:r>
      <w:r w:rsidRPr="00271E51">
        <w:rPr>
          <w:rFonts w:ascii="Times New Roman" w:hAnsi="Times New Roman"/>
          <w:iCs/>
          <w:color w:val="000000" w:themeColor="text1"/>
          <w:sz w:val="16"/>
          <w:szCs w:val="16"/>
        </w:rPr>
        <w:softHyphen/>
        <w:t>ским оказывают штурмовики....5.11.1943 г.... Сильно действует рус</w:t>
      </w:r>
      <w:r w:rsidRPr="00271E51">
        <w:rPr>
          <w:rFonts w:ascii="Times New Roman" w:hAnsi="Times New Roman"/>
          <w:iCs/>
          <w:color w:val="000000" w:themeColor="text1"/>
          <w:sz w:val="16"/>
          <w:szCs w:val="16"/>
        </w:rPr>
        <w:softHyphen/>
        <w:t>ская авиация"</w:t>
      </w:r>
      <w:r w:rsidRPr="00271E51">
        <w:rPr>
          <w:rFonts w:ascii="Times New Roman" w:hAnsi="Times New Roman"/>
          <w:color w:val="000000" w:themeColor="text1"/>
          <w:sz w:val="16"/>
          <w:szCs w:val="16"/>
        </w:rPr>
        <w:t xml:space="preserve"> и т.д.</w:t>
      </w:r>
    </w:p>
    <w:p w14:paraId="5EC629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Особенностью этих боев являлось применение штурмовиков Ил-2 для постановки дымовых завес в обеспече</w:t>
      </w:r>
      <w:r w:rsidRPr="00271E51">
        <w:rPr>
          <w:rFonts w:ascii="Times New Roman" w:hAnsi="Times New Roman"/>
          <w:color w:val="000000" w:themeColor="text1"/>
          <w:sz w:val="16"/>
          <w:szCs w:val="16"/>
        </w:rPr>
        <w:softHyphen/>
        <w:t>нии отхода пласредств 3-го отряда вы</w:t>
      </w:r>
      <w:r w:rsidRPr="00271E51">
        <w:rPr>
          <w:rFonts w:ascii="Times New Roman" w:hAnsi="Times New Roman"/>
          <w:color w:val="000000" w:themeColor="text1"/>
          <w:sz w:val="16"/>
          <w:szCs w:val="16"/>
        </w:rPr>
        <w:softHyphen/>
        <w:t>садочных средств Черноморского фло</w:t>
      </w:r>
      <w:r w:rsidRPr="00271E51">
        <w:rPr>
          <w:rFonts w:ascii="Times New Roman" w:hAnsi="Times New Roman"/>
          <w:color w:val="000000" w:themeColor="text1"/>
          <w:sz w:val="16"/>
          <w:szCs w:val="16"/>
        </w:rPr>
        <w:softHyphen/>
        <w:t>та после выгрузки десанта и грузов.</w:t>
      </w:r>
    </w:p>
    <w:p w14:paraId="734371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года началась керченско-эльтигенская десантная операция. Бои длились целый день. Советские летчики заявили победы над 3 ВГ109 и 2 Ю-87 (11-й ГИАП и 25-й ИАП), а еще одного "мессера" записали на свой чет пилоты 214-й ИАД. Черноморская авиация потеряла 7 Ил-2 и 1 Як-1, главным образом в результате зенитного огня. На следующий день истребители прикрытия сбили 18 самолетов противника(13 пилоты 25-го ИАП, 5 - пилоты 11-го ГИАП), но и советская авиация понесла ощутимые потери: 15 Ил-2, 2 Як-1 и 1 Як-9. Очередных побед удалось добиться 3 ноября. Несмотря на плохую погоду, пилоты 11-го ГЦАП записали на свой счет 2 Вf109 и Ю-87. Лейтенант Б.Н. Володов таранил своим Ил-2 немецкий Ю-88 (2691).</w:t>
      </w:r>
    </w:p>
    <w:p w14:paraId="7D7052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7D1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1 ноября 1943 г., ввиду необходимости увеличения численности личного состава самоходной артиллерии, помимо центра подготовки кадров самоходной артиллерии в пос. Клязьма Московской обл., были открыты две школы подготовки самоходчиков легких и средних САУ, а также 12 самоходно-артиллерийских учебных полков.</w:t>
      </w:r>
    </w:p>
    <w:p w14:paraId="1BEBB8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Интересная особенность. Ветеран В.Б. Ананьев расска</w:t>
      </w:r>
      <w:r w:rsidRPr="00271E51">
        <w:rPr>
          <w:rFonts w:ascii="Times New Roman" w:hAnsi="Times New Roman"/>
          <w:color w:val="000000" w:themeColor="text1"/>
          <w:sz w:val="16"/>
          <w:szCs w:val="16"/>
        </w:rPr>
        <w:softHyphen/>
        <w:t>зывал: «После Днепра наш полк был отведен на переформиров</w:t>
      </w:r>
      <w:r w:rsidRPr="00271E51">
        <w:rPr>
          <w:rFonts w:ascii="Times New Roman" w:hAnsi="Times New Roman"/>
          <w:color w:val="000000" w:themeColor="text1"/>
          <w:sz w:val="16"/>
          <w:szCs w:val="16"/>
        </w:rPr>
        <w:softHyphen/>
        <w:t>ку. И тут на одном из совещаний, ставя задачи батареям на проведение учений, командир вдруг сказал троим офицерам, в том числе и мне, остаться. И совершенно неожиданно объявил, что мы откомандируемся в распоряжение штаба бронетанко</w:t>
      </w:r>
      <w:r w:rsidRPr="00271E51">
        <w:rPr>
          <w:rFonts w:ascii="Times New Roman" w:hAnsi="Times New Roman"/>
          <w:color w:val="000000" w:themeColor="text1"/>
          <w:sz w:val="16"/>
          <w:szCs w:val="16"/>
        </w:rPr>
        <w:softHyphen/>
        <w:t>вых войск для прохождения дальнейшей службы. Ходили слухи, что нас отправляют в академию, но на самом деле я закончил курсы, после которых оказался в самоходно-артиллерийской школе, где преподавал тактико-специальную подготовку... В нашей школе все преподаватели были орденоносцами, и мы получили строжайшее указание не щадить курсантов... Да мы и сами это хорошо понимали. Каждый огрех подготовки в тылу на фронте стоил жизни, а мальчишек надо было готовить как следует... Я старался, как мог, хотя сам по возрасту был стар</w:t>
      </w:r>
      <w:r w:rsidRPr="00271E51">
        <w:rPr>
          <w:rFonts w:ascii="Times New Roman" w:hAnsi="Times New Roman"/>
          <w:color w:val="000000" w:themeColor="text1"/>
          <w:sz w:val="16"/>
          <w:szCs w:val="16"/>
        </w:rPr>
        <w:softHyphen/>
        <w:t>ше своих курсантов всего на два-три года. За требователь</w:t>
      </w:r>
      <w:r w:rsidRPr="00271E51">
        <w:rPr>
          <w:rFonts w:ascii="Times New Roman" w:hAnsi="Times New Roman"/>
          <w:color w:val="000000" w:themeColor="text1"/>
          <w:sz w:val="16"/>
          <w:szCs w:val="16"/>
        </w:rPr>
        <w:softHyphen/>
        <w:t>ность они меня прозвали за глаза «жандарм» и «ходячий ус</w:t>
      </w:r>
      <w:r w:rsidRPr="00271E51">
        <w:rPr>
          <w:rFonts w:ascii="Times New Roman" w:hAnsi="Times New Roman"/>
          <w:color w:val="000000" w:themeColor="text1"/>
          <w:sz w:val="16"/>
          <w:szCs w:val="16"/>
        </w:rPr>
        <w:softHyphen/>
        <w:t>тав». Только награды выручали. Все-таки против боевого офи</w:t>
      </w:r>
      <w:r w:rsidRPr="00271E51">
        <w:rPr>
          <w:rFonts w:ascii="Times New Roman" w:hAnsi="Times New Roman"/>
          <w:color w:val="000000" w:themeColor="text1"/>
          <w:sz w:val="16"/>
          <w:szCs w:val="16"/>
        </w:rPr>
        <w:softHyphen/>
        <w:t>цера выступать не решались... Сначала было очень обидно, что ребята из моего полка освобождают города, гибнут, а нехоро</w:t>
      </w:r>
      <w:r w:rsidRPr="00271E51">
        <w:rPr>
          <w:rFonts w:ascii="Times New Roman" w:hAnsi="Times New Roman"/>
          <w:color w:val="000000" w:themeColor="text1"/>
          <w:sz w:val="16"/>
          <w:szCs w:val="16"/>
        </w:rPr>
        <w:softHyphen/>
        <w:t>шим боевым опытом ошиваюсь в тылу и вдалбливаю этим не</w:t>
      </w:r>
      <w:r w:rsidRPr="00271E51">
        <w:rPr>
          <w:rFonts w:ascii="Times New Roman" w:hAnsi="Times New Roman"/>
          <w:color w:val="000000" w:themeColor="text1"/>
          <w:sz w:val="16"/>
          <w:szCs w:val="16"/>
        </w:rPr>
        <w:softHyphen/>
        <w:t>благодарным своенравным юнцам азы военного искусства. Но когда начали приходить благодарные письма с фронта о наших «орлятах» и от них, настроение улучшилось...»</w:t>
      </w:r>
    </w:p>
    <w:p w14:paraId="3D239C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Практика отправки опытных командиров батарей в во</w:t>
      </w:r>
      <w:r w:rsidRPr="00271E51">
        <w:rPr>
          <w:rFonts w:ascii="Times New Roman" w:hAnsi="Times New Roman"/>
          <w:color w:val="000000" w:themeColor="text1"/>
          <w:sz w:val="16"/>
          <w:szCs w:val="16"/>
        </w:rPr>
        <w:softHyphen/>
        <w:t>енные училища и школы дала свои плоды, но через год. Если на Курской дуге самоходчики применяли свои машины большей частью по-танковому, то весной—летом 1944 г. уро</w:t>
      </w:r>
      <w:r w:rsidRPr="00271E51">
        <w:rPr>
          <w:rFonts w:ascii="Times New Roman" w:hAnsi="Times New Roman"/>
          <w:color w:val="000000" w:themeColor="text1"/>
          <w:sz w:val="16"/>
          <w:szCs w:val="16"/>
        </w:rPr>
        <w:softHyphen/>
        <w:t>вень их подготовки в среднем вырос в несколько раз (11417).</w:t>
      </w:r>
    </w:p>
    <w:p w14:paraId="1A253F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0DD9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1943г. вышел ОТЧЕТ КОМАНДУЮЩЕГО БТ и МВ СЗФ В УК БТ и МВ КА ОБ ИСПОЛЬЗОВАНИИ АМЕРИКАНСКИХ ТАНКОВ МЗ-С и МЗ-Л</w:t>
      </w:r>
    </w:p>
    <w:p w14:paraId="086902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применения танков иностранных марок на Северо-Западном фронте незначителен и имел место только в зимнее время.</w:t>
      </w:r>
    </w:p>
    <w:p w14:paraId="3F8A68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Применение небольшого количества американских танков в 1 -и ударной армии позволяет сделать краткие выводы по их боевому использованию, которые нельзя считать полными и исчерпывающими.</w:t>
      </w:r>
    </w:p>
    <w:p w14:paraId="3BC726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Марш</w:t>
      </w:r>
    </w:p>
    <w:p w14:paraId="620C6E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марше танки МЗ-с и МЗ-л выносливы и безотказны. В обслуживании не сложны. Позволяют совер</w:t>
      </w:r>
      <w:r w:rsidRPr="00271E51">
        <w:rPr>
          <w:rFonts w:ascii="Times New Roman" w:hAnsi="Times New Roman"/>
          <w:color w:val="000000" w:themeColor="text1"/>
          <w:sz w:val="16"/>
          <w:szCs w:val="16"/>
        </w:rPr>
        <w:softHyphen/>
        <w:t>шать марши при более высоких средних скоростях движения по сравнению с отечественными танками.</w:t>
      </w:r>
    </w:p>
    <w:p w14:paraId="1204C9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выборе маршрута предпочтительно должны избираться более прямые и широкие дороги. Наличие большого радиуса поворота у танков МЗ-с и МЗ-л, на узких дорогах с частыми закруглени</w:t>
      </w:r>
      <w:r w:rsidRPr="00271E51">
        <w:rPr>
          <w:rFonts w:ascii="Times New Roman" w:hAnsi="Times New Roman"/>
          <w:color w:val="000000" w:themeColor="text1"/>
          <w:sz w:val="16"/>
          <w:szCs w:val="16"/>
        </w:rPr>
        <w:softHyphen/>
        <w:t>ями вызывают опасность схода машин в придорожные кюветы и снижают скорости движения.</w:t>
      </w:r>
    </w:p>
    <w:p w14:paraId="5CB70C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совершении марша в зимних условиях танки имеют следующие недостатки:</w:t>
      </w:r>
    </w:p>
    <w:p w14:paraId="755B4E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Малое сцепление гусеницы с грунтом, что ведет к пробуксовке, боковому и прямому сколь</w:t>
      </w:r>
      <w:r w:rsidRPr="00271E51">
        <w:rPr>
          <w:rFonts w:ascii="Times New Roman" w:hAnsi="Times New Roman"/>
          <w:color w:val="000000" w:themeColor="text1"/>
          <w:sz w:val="16"/>
          <w:szCs w:val="16"/>
        </w:rPr>
        <w:softHyphen/>
        <w:t>жению (при неумелых действиях механика-водителя на подъемах, спусках и кренах танк теряет управление).</w:t>
      </w:r>
    </w:p>
    <w:p w14:paraId="4AECCA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Шпоры существующей конструкции недостаточно обеспечивают танк от пробуксовки и скольжения гусениц и очень быстро выходят из строя. Необходимо изменение конструкции шпоры и крепления ее к траку для обеспечения большего сцепления с грунтом и предупреждения бокового скольжения.</w:t>
      </w:r>
    </w:p>
    <w:p w14:paraId="792636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попадании одной гусеницы в кювет, воронку — танк, имея в управлении поворотом систе</w:t>
      </w:r>
      <w:r w:rsidRPr="00271E51">
        <w:rPr>
          <w:rFonts w:ascii="Times New Roman" w:hAnsi="Times New Roman"/>
          <w:color w:val="000000" w:themeColor="text1"/>
          <w:sz w:val="16"/>
          <w:szCs w:val="16"/>
        </w:rPr>
        <w:softHyphen/>
        <w:t>му двойного дифференциала, вследствие пробуксовки гусеницы, оказавшейся под малой нагрузкой, не может самостоятельно преодолевать препятствия. Пробуксовывающая гусеница, находящаяся в наклонном положении, как правило, спадает.</w:t>
      </w:r>
    </w:p>
    <w:p w14:paraId="49FC95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Гусеница из резиновых траков с запрессованными пальцами — прочна. В течение длительной эксплуатации (с совершением маршей до 250 км) не было ни одного случая разрыва гусениц.</w:t>
      </w:r>
    </w:p>
    <w:p w14:paraId="7A0EEE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проведенных маршей в составе полка выявлено:</w:t>
      </w:r>
    </w:p>
    <w:p w14:paraId="29E141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Запас хода по зимней укатанной дороге:</w:t>
      </w:r>
    </w:p>
    <w:p w14:paraId="41ACEF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МЗ-с - 180-190 км,</w:t>
      </w:r>
    </w:p>
    <w:p w14:paraId="2276BA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дляМЗ-л - 150-160 км.</w:t>
      </w:r>
    </w:p>
    <w:p w14:paraId="3FDB80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Средняя техническая скорость движения по грунтовой дороге зимой:</w:t>
      </w:r>
    </w:p>
    <w:p w14:paraId="62DDAD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МЗ-с — 15-20 км,</w:t>
      </w:r>
    </w:p>
    <w:p w14:paraId="6D58E3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МЗ-л - 20-25 км.</w:t>
      </w:r>
    </w:p>
    <w:p w14:paraId="060967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Размещение экипажа в танках</w:t>
      </w:r>
    </w:p>
    <w:p w14:paraId="31E192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танке МЗ-с экипаж размещен удобно, посадка свободна. Вентилятор мотора обеспечивает чистый воздух и нормальную температуру внутри танка.</w:t>
      </w:r>
    </w:p>
    <w:p w14:paraId="35B37C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физической напряженности не требует.</w:t>
      </w:r>
    </w:p>
    <w:p w14:paraId="41C9C9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Подвеска танка обеспечивает плавность хода.</w:t>
      </w:r>
    </w:p>
    <w:p w14:paraId="7550B5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Утомляемость экипажа незначительна.</w:t>
      </w:r>
    </w:p>
    <w:p w14:paraId="345F9B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танке МЗ-л с люлькой размещение экипажа стесненное, управление танком затруднительное и при продолжительной работе экипажа в танке утомляемость его по сравнению с МЗ-с большая. Из-за отсутствия облегчающих приспособлений механик-водитель по сравнению с МЗ-с затрачивает большее усилие на управление танком.</w:t>
      </w:r>
    </w:p>
    <w:p w14:paraId="52CC92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танка МЗ-л (с люлькой) находится почти изолированно от экипажа — размещается позади люльки и управление другими средствами, кроме ТПУ, затруднено.</w:t>
      </w:r>
    </w:p>
    <w:p w14:paraId="0D1EE7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Проходимость</w:t>
      </w:r>
    </w:p>
    <w:p w14:paraId="75A85B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сухой твердой почве танки МЗ-с и МЗ-л практически показали следующие возможности пре</w:t>
      </w:r>
      <w:r w:rsidRPr="00271E51">
        <w:rPr>
          <w:rFonts w:ascii="Times New Roman" w:hAnsi="Times New Roman"/>
          <w:color w:val="000000" w:themeColor="text1"/>
          <w:sz w:val="16"/>
          <w:szCs w:val="16"/>
        </w:rPr>
        <w:softHyphen/>
        <w:t>одоления препятствий:</w:t>
      </w:r>
    </w:p>
    <w:tbl>
      <w:tblPr>
        <w:tblW w:w="0" w:type="auto"/>
        <w:tblInd w:w="40" w:type="dxa"/>
        <w:tblLayout w:type="fixed"/>
        <w:tblCellMar>
          <w:left w:w="40" w:type="dxa"/>
          <w:right w:w="40" w:type="dxa"/>
        </w:tblCellMar>
        <w:tblLook w:val="0000" w:firstRow="0" w:lastRow="0" w:firstColumn="0" w:lastColumn="0" w:noHBand="0" w:noVBand="0"/>
      </w:tblPr>
      <w:tblGrid>
        <w:gridCol w:w="2659"/>
        <w:gridCol w:w="1507"/>
        <w:gridCol w:w="1536"/>
      </w:tblGrid>
      <w:tr w:rsidR="00A907A5" w:rsidRPr="00271E51" w14:paraId="26C5ACF1"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56C3C7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5B5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EC640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МЗ-с</w:t>
            </w:r>
          </w:p>
          <w:p w14:paraId="26AEAE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66C8A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МЗ-л</w:t>
            </w:r>
          </w:p>
          <w:p w14:paraId="5CFB10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6042F5"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088866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Подъем в градусах</w:t>
            </w:r>
          </w:p>
          <w:p w14:paraId="73D6EA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701A8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p w14:paraId="35BC5A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5DB9A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24C234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2670747"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0CF583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Боковой крен</w:t>
            </w:r>
          </w:p>
          <w:p w14:paraId="41B15F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CAD03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24791C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55012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7BE8F0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45E040"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358EF9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Ров</w:t>
            </w:r>
          </w:p>
          <w:p w14:paraId="48FADB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AB6B8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- 200 см</w:t>
            </w:r>
          </w:p>
          <w:p w14:paraId="2ED46C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6663A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- 170см</w:t>
            </w:r>
          </w:p>
          <w:p w14:paraId="3AF014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54F4BE" w14:textId="77777777" w:rsidTr="00ED5B0A">
        <w:trPr>
          <w:trHeight w:val="221"/>
        </w:trPr>
        <w:tc>
          <w:tcPr>
            <w:tcW w:w="2659" w:type="dxa"/>
            <w:tcBorders>
              <w:top w:val="single" w:sz="6" w:space="0" w:color="auto"/>
              <w:left w:val="single" w:sz="6" w:space="0" w:color="auto"/>
              <w:bottom w:val="single" w:sz="6" w:space="0" w:color="auto"/>
              <w:right w:val="single" w:sz="6" w:space="0" w:color="auto"/>
            </w:tcBorders>
          </w:tcPr>
          <w:p w14:paraId="3EB8BA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Брод</w:t>
            </w:r>
          </w:p>
          <w:p w14:paraId="4FD8F7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1AD31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7C5DFC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3C9A09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7C67C0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29A461"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5D3DEF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Воронка (глубина)</w:t>
            </w:r>
          </w:p>
          <w:p w14:paraId="2C14DA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1E2C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- 200 см</w:t>
            </w:r>
          </w:p>
          <w:p w14:paraId="1B9761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1989A3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- 150см</w:t>
            </w:r>
          </w:p>
          <w:p w14:paraId="5047A8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D16F94" w14:textId="77777777" w:rsidTr="00ED5B0A">
        <w:trPr>
          <w:trHeight w:val="211"/>
        </w:trPr>
        <w:tc>
          <w:tcPr>
            <w:tcW w:w="2659" w:type="dxa"/>
            <w:tcBorders>
              <w:top w:val="single" w:sz="6" w:space="0" w:color="auto"/>
              <w:left w:val="single" w:sz="6" w:space="0" w:color="auto"/>
              <w:bottom w:val="single" w:sz="6" w:space="0" w:color="auto"/>
              <w:right w:val="single" w:sz="6" w:space="0" w:color="auto"/>
            </w:tcBorders>
          </w:tcPr>
          <w:p w14:paraId="209414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Эскарп</w:t>
            </w:r>
          </w:p>
          <w:p w14:paraId="6BD8B9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45637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A8A8E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207714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- 60 см</w:t>
            </w:r>
          </w:p>
          <w:p w14:paraId="1355C0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4D9CA9" w14:textId="77777777" w:rsidTr="00ED5B0A">
        <w:trPr>
          <w:trHeight w:val="230"/>
        </w:trPr>
        <w:tc>
          <w:tcPr>
            <w:tcW w:w="2659" w:type="dxa"/>
            <w:tcBorders>
              <w:top w:val="single" w:sz="6" w:space="0" w:color="auto"/>
              <w:left w:val="single" w:sz="6" w:space="0" w:color="auto"/>
              <w:bottom w:val="single" w:sz="6" w:space="0" w:color="auto"/>
              <w:right w:val="single" w:sz="6" w:space="0" w:color="auto"/>
            </w:tcBorders>
          </w:tcPr>
          <w:p w14:paraId="0CB260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Валка деревьев</w:t>
            </w:r>
          </w:p>
          <w:p w14:paraId="321C94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D7B51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- 40-45</w:t>
            </w:r>
          </w:p>
          <w:p w14:paraId="4EF5F7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4D220E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- 25-30 см</w:t>
            </w:r>
          </w:p>
          <w:p w14:paraId="2E86BE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67FC0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Боевые свойства</w:t>
      </w:r>
    </w:p>
    <w:p w14:paraId="1E090F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Маневренность по болотистому грунту плохая ввиду большого удельного давления (особо для МЗ-с), что ведет к глубокому погружению гусеницы в грунт, резкому </w:t>
      </w:r>
      <w:r w:rsidRPr="00271E51">
        <w:rPr>
          <w:rFonts w:ascii="Times New Roman" w:hAnsi="Times New Roman"/>
          <w:color w:val="000000" w:themeColor="text1"/>
          <w:sz w:val="16"/>
          <w:szCs w:val="16"/>
        </w:rPr>
        <w:lastRenderedPageBreak/>
        <w:t>снижению скорости и труд</w:t>
      </w:r>
      <w:r w:rsidRPr="00271E51">
        <w:rPr>
          <w:rFonts w:ascii="Times New Roman" w:hAnsi="Times New Roman"/>
          <w:color w:val="000000" w:themeColor="text1"/>
          <w:sz w:val="16"/>
          <w:szCs w:val="16"/>
        </w:rPr>
        <w:softHyphen/>
        <w:t>ности поворотов.</w:t>
      </w:r>
    </w:p>
    <w:p w14:paraId="5C9700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лучшую сторону выделяется МЗ-л, имеющий возможность преодолевать незначительные по длине заболоченные участки на больших скоростях.</w:t>
      </w:r>
    </w:p>
    <w:p w14:paraId="27ED4F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Движение в лесу при наличии пней затруднено.</w:t>
      </w:r>
    </w:p>
    <w:p w14:paraId="55FD93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 на МЗ-с и МЗ-л безотказны в бою. Вследствие специального устройства прицелов из пушек огонь ведется только прямой наводкой.</w:t>
      </w:r>
    </w:p>
    <w:p w14:paraId="7C0660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Телескопические прицелы пушек просты в устройстве и точны при стрельбе. Командиры ору</w:t>
      </w:r>
      <w:r w:rsidRPr="00271E51">
        <w:rPr>
          <w:rFonts w:ascii="Times New Roman" w:hAnsi="Times New Roman"/>
          <w:color w:val="000000" w:themeColor="text1"/>
          <w:sz w:val="16"/>
          <w:szCs w:val="16"/>
        </w:rPr>
        <w:softHyphen/>
        <w:t>дий легче по сравнению с другими прицелами обнаруживают через них цели, устойчивее держат их в поле зрения и быстро устанавливают прицел.</w:t>
      </w:r>
    </w:p>
    <w:p w14:paraId="1BBF69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Отрицательной стороной 75-мм пушки танка МЗ-с является малый горизонтальный угол обстрела (32 град.).</w:t>
      </w:r>
    </w:p>
    <w:p w14:paraId="194A19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мощность пулеметного огня (четыре пулемета «Браунинг») не дают должного эффекта из-за отсутствия прицелов на пулеметах, за исключением пулемета, спаренного с 37-мм пушкой. В лобовых пулеметах совершенно отсутствует возможность наблюдения за огнем, что позволяет использовать их огонь только после прохождения боевых порядков своей пехоты.</w:t>
      </w:r>
    </w:p>
    <w:p w14:paraId="4AD2D9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ведении огня из пулемета «Браунинг» часто нарушается зазор между пеньком ствола и зер</w:t>
      </w:r>
      <w:r w:rsidRPr="00271E51">
        <w:rPr>
          <w:rFonts w:ascii="Times New Roman" w:hAnsi="Times New Roman"/>
          <w:color w:val="000000" w:themeColor="text1"/>
          <w:sz w:val="16"/>
          <w:szCs w:val="16"/>
        </w:rPr>
        <w:softHyphen/>
        <w:t>калом затвора, что ведет к разрыву гильз и вызывает необходимость замены ствола.</w:t>
      </w:r>
    </w:p>
    <w:p w14:paraId="15E7E8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Расположение боеукладки в танке удобное. Комплект снарядов 75-мм пушки недостаточен (41 шт.). Производились увеличения боекомплекта на 8-10 снарядов за счет свободных мест между броней и бое-укладкой другими агрегатами без стеснения работы экипажа в боевых условиях.</w:t>
      </w:r>
    </w:p>
    <w:p w14:paraId="7CC766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Достаточное количество смотровых приборов на танке МЗ-с дает возможность экипажу вести хорошее наблюдение.</w:t>
      </w:r>
    </w:p>
    <w:p w14:paraId="08AE74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Плавный ход танка, хороший обзор и простота устройства прицельных приспособлений обе</w:t>
      </w:r>
      <w:r w:rsidRPr="00271E51">
        <w:rPr>
          <w:rFonts w:ascii="Times New Roman" w:hAnsi="Times New Roman"/>
          <w:color w:val="000000" w:themeColor="text1"/>
          <w:sz w:val="16"/>
          <w:szCs w:val="16"/>
        </w:rPr>
        <w:softHyphen/>
        <w:t>спечивают достаточно точный пушечный огонь с хода.</w:t>
      </w:r>
    </w:p>
    <w:p w14:paraId="27A992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возвышения спаренной установки 37-мм пушки и пулемета танка МЗ-с, достигающий 56 град, позволяет вести огонь по самолетам.</w:t>
      </w:r>
    </w:p>
    <w:p w14:paraId="2F6A8A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Обзор из танка МЗ-л без люльки плохой ввиду недостатка смотровых приборов. В танках МЗ-л с люлькой обзор хороший. Наблюдение механика-водителя из правого смотрового прибо</w:t>
      </w:r>
      <w:r w:rsidRPr="00271E51">
        <w:rPr>
          <w:rFonts w:ascii="Times New Roman" w:hAnsi="Times New Roman"/>
          <w:color w:val="000000" w:themeColor="text1"/>
          <w:sz w:val="16"/>
          <w:szCs w:val="16"/>
        </w:rPr>
        <w:softHyphen/>
        <w:t>ра неудобное, особенно при пользовании правым рычагом управления, так как наклоном своего туловища закрывается смотровой прибор.</w:t>
      </w:r>
    </w:p>
    <w:p w14:paraId="2552CE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Местонахождение командира танка МЗ-с в центральной башне совершенно исключает возмож</w:t>
      </w:r>
      <w:r w:rsidRPr="00271E51">
        <w:rPr>
          <w:rFonts w:ascii="Times New Roman" w:hAnsi="Times New Roman"/>
          <w:color w:val="000000" w:themeColor="text1"/>
          <w:sz w:val="16"/>
          <w:szCs w:val="16"/>
        </w:rPr>
        <w:softHyphen/>
        <w:t>ность управления экипажем и подразделением при отказе в работе переговорного устройства.</w:t>
      </w:r>
    </w:p>
    <w:p w14:paraId="74C2CE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интенсивном ведении огня из пушек в командирской башне собирается много пороховых газов, мешающих наблюдению и управлению. Целесообразнее и удобнее командиру танка во время боя находиться на месте командира 75-мм орудия.</w:t>
      </w:r>
    </w:p>
    <w:p w14:paraId="7078D7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экипажем на танке МЗ-л без люльки хорошее. На танке МЗ-л с люлькой при отказе в работе ТПУ управление делается невозможным, так как командир танка изолирован от экипажа.</w:t>
      </w:r>
    </w:p>
    <w:p w14:paraId="66F98C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Радиостанции на танках МЗ-с и МЗ-л работают безотказно, имеют легкую настройку и хорошую слышимость. Радиус действия до 25 км.</w:t>
      </w:r>
    </w:p>
    <w:p w14:paraId="0E98D3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Маневренность танка МЗ-с на поле боя в силу большого радиуса поворота недостаточна. На боло</w:t>
      </w:r>
      <w:r w:rsidRPr="00271E51">
        <w:rPr>
          <w:rFonts w:ascii="Times New Roman" w:hAnsi="Times New Roman"/>
          <w:color w:val="000000" w:themeColor="text1"/>
          <w:sz w:val="16"/>
          <w:szCs w:val="16"/>
        </w:rPr>
        <w:softHyphen/>
        <w:t>тистых грунтах за счет большого удельного давления еще более ухудшается. Танк движется почти прямолинейно с небольшой скоростью, что дает возможность противнику выводить его из строя на расстоянии до 800 м из противотанковых орудий любого калибра (броня незначительной толщины, большое количество вертикально расположенных броневых листов, большие габариты танка).</w:t>
      </w:r>
    </w:p>
    <w:p w14:paraId="180043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МЗ-л имеет более высокую маневренность за счет меньшего радиуса поворота и большей мощности мотора танка. Имея меньшие габариты и большую маневренность, легче выходит из-под огня противника.</w:t>
      </w:r>
    </w:p>
    <w:p w14:paraId="5D1F86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Огонь минометов для танков не действителен. При прямом попадании мин броня не пробивается.</w:t>
      </w:r>
    </w:p>
    <w:p w14:paraId="1D71D7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Сопротивляемость брони низкая. С дистанции 800 м пробивается всей противотанковой артил</w:t>
      </w:r>
      <w:r w:rsidRPr="00271E51">
        <w:rPr>
          <w:rFonts w:ascii="Times New Roman" w:hAnsi="Times New Roman"/>
          <w:color w:val="000000" w:themeColor="text1"/>
          <w:sz w:val="16"/>
          <w:szCs w:val="16"/>
        </w:rPr>
        <w:softHyphen/>
        <w:t>лерией. Крупнокалиберный пулемет пробивает броню МЗ-л с дистанции 500 м. Броня МЗ-с крупно</w:t>
      </w:r>
      <w:r w:rsidRPr="00271E51">
        <w:rPr>
          <w:rFonts w:ascii="Times New Roman" w:hAnsi="Times New Roman"/>
          <w:color w:val="000000" w:themeColor="text1"/>
          <w:sz w:val="16"/>
          <w:szCs w:val="16"/>
        </w:rPr>
        <w:softHyphen/>
        <w:t>калиберным пулеметом не пробивается.</w:t>
      </w:r>
    </w:p>
    <w:p w14:paraId="335F7B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МЗ-с и МЗ-л, работая на бензиновых двигателях, имеют легкую воспламеняемость. При попадании снарядов в боевое или моторное отделение от наличия паров бензина внутри танка часто возникает пожар. Имеет место воспламеняемость топлива от детонации. Эти причины вызывают большие потери личного состава экипажей.</w:t>
      </w:r>
    </w:p>
    <w:p w14:paraId="710ED5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Имеющиеся на танке два стационарных и два переносных огнетушителя действуют эффективно. При своевременном использовании их пожар, как правило, прекращается.</w:t>
      </w:r>
    </w:p>
    <w:p w14:paraId="611C70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Обслуживание танков</w:t>
      </w:r>
    </w:p>
    <w:p w14:paraId="1B01D6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Уход и обслуживание танков МЗ-с и МЗ-л просты. Основные агрегаты (мотор, КПП, двойной дифференциал) при правильном уходе за ними работают безотказно в течение всего межремонтно</w:t>
      </w:r>
      <w:r w:rsidRPr="00271E51">
        <w:rPr>
          <w:rFonts w:ascii="Times New Roman" w:hAnsi="Times New Roman"/>
          <w:color w:val="000000" w:themeColor="text1"/>
          <w:sz w:val="16"/>
          <w:szCs w:val="16"/>
        </w:rPr>
        <w:softHyphen/>
        <w:t>го срока (200-250 моточасов до очередного среднего ремонта).</w:t>
      </w:r>
    </w:p>
    <w:p w14:paraId="30800B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Заводка двигателей производится легко как летом, так и зимой благодаря наличию у танков МЗ-с специального агрегата для прогрева мотора.</w:t>
      </w:r>
    </w:p>
    <w:p w14:paraId="3B3796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Заправка танков производится быстро. Заправочное отверстие достаточно и легко доступно. К недо</w:t>
      </w:r>
      <w:r w:rsidRPr="00271E51">
        <w:rPr>
          <w:rFonts w:ascii="Times New Roman" w:hAnsi="Times New Roman"/>
          <w:color w:val="000000" w:themeColor="text1"/>
          <w:sz w:val="16"/>
          <w:szCs w:val="16"/>
        </w:rPr>
        <w:softHyphen/>
        <w:t>статкам относится затрудненность доступа к карбюратору, свечам. Затруднена регулировка клапанов.</w:t>
      </w:r>
    </w:p>
    <w:p w14:paraId="5E90D3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Низкое расположение карбюратора приводит к засасыванию воды в цилиндрах двигателя при попадании ее на днище моторного отделения. У танков недостаточно прочны буксирные серьги. При тяжелых застреваниях танков имели место обрывы их во время буксировки.</w:t>
      </w:r>
    </w:p>
    <w:p w14:paraId="7503C5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марше был случай сгорания главного фрикциона у танка МЗ-с при буксировке другого танка.</w:t>
      </w:r>
    </w:p>
    <w:p w14:paraId="2CCA83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Общий вывод</w:t>
      </w:r>
    </w:p>
    <w:p w14:paraId="702F4B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Танк МЗ-с по своим маневренным качествам и по мощности брони на много уступает отече</w:t>
      </w:r>
      <w:r w:rsidRPr="00271E51">
        <w:rPr>
          <w:rFonts w:ascii="Times New Roman" w:hAnsi="Times New Roman"/>
          <w:color w:val="000000" w:themeColor="text1"/>
          <w:sz w:val="16"/>
          <w:szCs w:val="16"/>
        </w:rPr>
        <w:softHyphen/>
        <w:t>ственным танкам КВ и Т-34.</w:t>
      </w:r>
    </w:p>
    <w:p w14:paraId="616F78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лесисто-болотистой местности применение танка МЗ-с вследствие большого удельного веса на грунт узкой гусеницы и больших габаритных размеров крайне ограничено.</w:t>
      </w:r>
    </w:p>
    <w:p w14:paraId="0C78AA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 МЗ-л полностью уступает отечественным танкам КВ и Т-34, особо по мощности брони и артвооружению, исключая пулеметное вооружение и скорость движения. Танк МЗ-л превосходит отечественные танки Т-70, Т-60, Т-30. Танк МЗ-л с его большой мощностью пулеметного огня, боль</w:t>
      </w:r>
      <w:r w:rsidRPr="00271E51">
        <w:rPr>
          <w:rFonts w:ascii="Times New Roman" w:hAnsi="Times New Roman"/>
          <w:color w:val="000000" w:themeColor="text1"/>
          <w:sz w:val="16"/>
          <w:szCs w:val="16"/>
        </w:rPr>
        <w:softHyphen/>
        <w:t>шой подвижностью и маневренностью более целесообразно использовать при развитии успеха после прорыва укрепленной полосы, при преследовании и во вторых эшелонах при прорыве укре</w:t>
      </w:r>
      <w:r w:rsidRPr="00271E51">
        <w:rPr>
          <w:rFonts w:ascii="Times New Roman" w:hAnsi="Times New Roman"/>
          <w:color w:val="000000" w:themeColor="text1"/>
          <w:sz w:val="16"/>
          <w:szCs w:val="16"/>
        </w:rPr>
        <w:softHyphen/>
        <w:t>пленной полосы противника.</w:t>
      </w:r>
    </w:p>
    <w:p w14:paraId="0C4426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ВТ и МВ СЗФ генерал-майор танковых войск Рабинович</w:t>
      </w:r>
    </w:p>
    <w:p w14:paraId="2D80AD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ВТ и МВ СЗФ полковник Булгак</w:t>
      </w:r>
    </w:p>
    <w:p w14:paraId="3C7BC1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11360. Д. 192. Л. 152-153. Подлинник (11403).</w:t>
      </w:r>
    </w:p>
    <w:p w14:paraId="72C706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6CB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 1943: The Red Army achieves a landing across the Strait of Kertch from the Taman peninsula to the Crimea (3819).</w:t>
      </w:r>
    </w:p>
    <w:p w14:paraId="2F0214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C653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 1943 Soviet offensive against the Crimea makes progress (1037).</w:t>
      </w:r>
    </w:p>
    <w:p w14:paraId="3C6F56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62CE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началось советское наступление на Крым (1037) и высадили десант южнее Керчи (2440).</w:t>
      </w:r>
    </w:p>
    <w:p w14:paraId="678668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0BD79"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части 318-й Новороссийской стрелковой дивизии и 386-й отдельный батальон морской пехоты высадились в районе поселка Эльтиген; начались бои за освобождение Крымского полуострова от фашистских захватчиков (операция "Огненная земля") (14817).</w:t>
      </w:r>
    </w:p>
    <w:p w14:paraId="42219BBB"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1E6027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вышло Распоряжение ГКО № 4483. О распространении на генералов и офицеров, работающих в ГУГМР при СНК СССР, действия распоряжения ГКО № 3698 от 8 июля 1943 г.РГАНИР, Фонд ГКО, д. 171, лл. 109 (11012).</w:t>
      </w:r>
    </w:p>
    <w:p w14:paraId="69D580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6EB0D"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началась Керченская десантная операция (1-11 ноября) Северо-Кавказского фронта, Черноморского флота и Азовской флотилии (14817).</w:t>
      </w:r>
    </w:p>
    <w:p w14:paraId="24942199"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61D9B62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82F0D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24EA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В.М.М., Корделл Хэлл и Антони Иден подписали секретный протокол, в котором говорилось "Делегаты США представили конференции следующие предложения: 1. Чтобы, в целях сквозной бомбардировки промышленной Германии, были предоставлены базы на территории СССР, на которых самолеты США могли бы пополнять запасы горючего, производить срочный ремонт и пополнять боеприпасы; 2. Чтобы более эффективно осуществлялся взаимный обмен сведениями о погоде...; 3. Чтобы было улучшено воздушное сообщение между этими двумя странами" (1261,32).</w:t>
      </w:r>
    </w:p>
    <w:p w14:paraId="6342EB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826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November 01 1943 U.S. President Roosevelt, British Prime Minister Churchill, and Russian Marshall Joseph Stalin issue a joint statement on war crimes, indicating an intent to prosecute war criminals. The statement included the sentence: "Let those who have hitherto not imbrued their hands with innocent blood beware lest they join the ranks of the guilty, for most assuredly the three Allied Powers will pursue them to the uttermost ends of the earth and will deliver them to their accusors in order that justice may be done." </w:t>
      </w:r>
      <w:r w:rsidRPr="00271E51">
        <w:rPr>
          <w:rFonts w:ascii="Times New Roman" w:hAnsi="Times New Roman"/>
          <w:color w:val="000000" w:themeColor="text1"/>
          <w:sz w:val="16"/>
          <w:szCs w:val="16"/>
        </w:rPr>
        <w:t>(1769).</w:t>
      </w:r>
    </w:p>
    <w:p w14:paraId="7FFEDE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0A9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руководители СССР, США и Англии выступили с декларацией по военным преступлениям и преступникам (1769).</w:t>
      </w:r>
    </w:p>
    <w:p w14:paraId="67691E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A21B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DAD3B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5EA30B" w14:textId="77777777" w:rsidR="00EA3D58" w:rsidRPr="00271E51" w:rsidRDefault="00EA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ноября (ночь) 1943 627 британских бомбардировщиков атакуют Дюссельдорф, Германия, с потерей 20 самолетов. Некоторые бомбардировщики впервые используют в бою оборудование системы слепого бомбометания Gee-H. В результате рейда был нанесен большой ущерб жилой и промышленной нелвижимости. Лейтенант Уильям Рид из 61-й эскадрильи , тяжело раненный двумя атаками немецких ночных истребителей, направляет свой сильно поврежденный бомбардировщик к цели и возвращается обратно, за что получает за свои действия Крест Виктории (20376).</w:t>
      </w:r>
    </w:p>
    <w:p w14:paraId="34A1C84B" w14:textId="77777777" w:rsidR="00EA3D58" w:rsidRPr="00271E51" w:rsidRDefault="00EA3D58" w:rsidP="00271E51">
      <w:pPr>
        <w:spacing w:after="0" w:line="240" w:lineRule="auto"/>
        <w:jc w:val="both"/>
        <w:rPr>
          <w:rFonts w:ascii="Times New Roman" w:hAnsi="Times New Roman"/>
          <w:color w:val="0070C0"/>
          <w:sz w:val="16"/>
          <w:szCs w:val="16"/>
        </w:rPr>
      </w:pPr>
    </w:p>
    <w:p w14:paraId="39421E2D" w14:textId="77777777" w:rsidR="00FC29A4" w:rsidRPr="00271E51" w:rsidRDefault="00FC29A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ноября 1943 морские пехотинцы США высаживаются на мысе Торокина на острове Бугенвиль. Два налета японской авиации на корабли в открытом море - первый 53-мя и второй примерно 100 японскими самолетами – неэффективны (20376).</w:t>
      </w:r>
    </w:p>
    <w:p w14:paraId="388C8635" w14:textId="77777777" w:rsidR="00FC29A4" w:rsidRPr="00271E51" w:rsidRDefault="00FC29A4" w:rsidP="00271E51">
      <w:pPr>
        <w:spacing w:after="0" w:line="240" w:lineRule="auto"/>
        <w:jc w:val="both"/>
        <w:rPr>
          <w:rFonts w:ascii="Times New Roman" w:hAnsi="Times New Roman"/>
          <w:color w:val="0070C0"/>
          <w:sz w:val="16"/>
          <w:szCs w:val="16"/>
        </w:rPr>
      </w:pPr>
    </w:p>
    <w:p w14:paraId="02057247" w14:textId="77777777" w:rsidR="00FC29A4" w:rsidRPr="00271E51" w:rsidRDefault="00FC29A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ноября 1943 173 японских самолетов с авиносцев приземляются на береговых базах в Рабауле, чтобы усилить там уже имеющиеся там около 200 самолетов 11-го воздушного флота Императорского флота Японии (20376).</w:t>
      </w:r>
    </w:p>
    <w:p w14:paraId="25FDCB29" w14:textId="77777777" w:rsidR="00FC29A4" w:rsidRPr="00271E51" w:rsidRDefault="00FC29A4" w:rsidP="00271E51">
      <w:pPr>
        <w:spacing w:after="0" w:line="240" w:lineRule="auto"/>
        <w:jc w:val="both"/>
        <w:rPr>
          <w:rFonts w:ascii="Times New Roman" w:hAnsi="Times New Roman"/>
          <w:color w:val="0070C0"/>
          <w:sz w:val="16"/>
          <w:szCs w:val="16"/>
        </w:rPr>
      </w:pPr>
    </w:p>
    <w:p w14:paraId="1467B4AC" w14:textId="77777777" w:rsidR="00FC29A4" w:rsidRPr="00271E51" w:rsidRDefault="00FC29A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ноября 1943 военно-воздушные силы армии США задействуют Пятнадцатую воздушную армию в Средиземном море в качестве стратегической авиации (20376).</w:t>
      </w:r>
    </w:p>
    <w:p w14:paraId="698AED9E" w14:textId="77777777" w:rsidR="00FC29A4" w:rsidRPr="00271E51" w:rsidRDefault="00FC29A4" w:rsidP="00271E51">
      <w:pPr>
        <w:spacing w:after="0" w:line="240" w:lineRule="auto"/>
        <w:jc w:val="both"/>
        <w:rPr>
          <w:rFonts w:ascii="Times New Roman" w:hAnsi="Times New Roman"/>
          <w:color w:val="0070C0"/>
          <w:sz w:val="16"/>
          <w:szCs w:val="16"/>
        </w:rPr>
      </w:pPr>
    </w:p>
    <w:p w14:paraId="11CABD03" w14:textId="77777777" w:rsidR="00FC29A4" w:rsidRPr="00271E51" w:rsidRDefault="00FC29A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ноября 1943 авианосцы USS Saratoga и USS Princeton совершают налет на два японских аэродромы, расположенные рядом с Пассаж Буки между Island Буки и Бугенвиль (20376).</w:t>
      </w:r>
    </w:p>
    <w:p w14:paraId="29C1E42C" w14:textId="77777777" w:rsidR="00FC29A4" w:rsidRPr="00271E51" w:rsidRDefault="00FC29A4" w:rsidP="00271E51">
      <w:pPr>
        <w:spacing w:after="0" w:line="240" w:lineRule="auto"/>
        <w:jc w:val="both"/>
        <w:rPr>
          <w:rFonts w:ascii="Times New Roman" w:hAnsi="Times New Roman"/>
          <w:color w:val="0070C0"/>
          <w:sz w:val="16"/>
          <w:szCs w:val="16"/>
        </w:rPr>
      </w:pPr>
    </w:p>
    <w:p w14:paraId="7C9CB931" w14:textId="77777777" w:rsidR="00FC29A4" w:rsidRPr="00271E51" w:rsidRDefault="00FC29A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ноября (ночь) 1943 диверсионный налет на Кельн 62 бомбардировщиков обошелся без потерь (20376).</w:t>
      </w:r>
    </w:p>
    <w:p w14:paraId="2379758D" w14:textId="77777777" w:rsidR="00FC29A4" w:rsidRPr="00271E51" w:rsidRDefault="00FC29A4" w:rsidP="00271E51">
      <w:pPr>
        <w:spacing w:after="0" w:line="240" w:lineRule="auto"/>
        <w:jc w:val="both"/>
        <w:rPr>
          <w:rFonts w:ascii="Times New Roman" w:hAnsi="Times New Roman"/>
          <w:color w:val="0070C0"/>
          <w:sz w:val="16"/>
          <w:szCs w:val="16"/>
        </w:rPr>
      </w:pPr>
    </w:p>
    <w:p w14:paraId="29C166C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(1-2 ноября) морское и воздушное сражение в заливе Императрицы Августы у острова Бугенвиль между военно-морскими силами США и Японии. Япония потеряла крейсер и эсминец. Американцам удалось прикрыть район своей высадки (14817).</w:t>
      </w:r>
    </w:p>
    <w:p w14:paraId="7B90D6C0"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7E8B8A9E"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американские войска начали операцию под кодовым названием "Goodtime". Около 14 000 морских пехотинцев под командованием генерала Вандергрифта высадились на западном побережье острова Бугенвиль (самом крупном из Соломоновых островов) (14817).</w:t>
      </w:r>
    </w:p>
    <w:p w14:paraId="4A51CDCD"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3F511B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ноября 1943 американские войска высадились в Бугенвиле, Соломоновы острова (2246,6).</w:t>
      </w:r>
    </w:p>
    <w:p w14:paraId="25A431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37EA2"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ноября </w:t>
      </w:r>
      <w:r w:rsidRPr="00271E51">
        <w:rPr>
          <w:rFonts w:ascii="Times New Roman" w:hAnsi="Times New Roman"/>
          <w:color w:val="000000" w:themeColor="text1"/>
          <w:sz w:val="16"/>
          <w:szCs w:val="16"/>
        </w:rPr>
        <w:t>в 1943 году в юго-западной части Тихого океана американцы высаживаются на острове Бугенвиль, входящий в группу Соломоновых островов (бои продолжаются до апреля 1944) (14817).</w:t>
      </w:r>
    </w:p>
    <w:p w14:paraId="4C1DE0C5"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3144D03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7F3AD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53450B" w14:textId="77777777" w:rsidR="000A3723" w:rsidRPr="00271E51" w:rsidRDefault="000A372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 ноября 1943 самолет Ил-2 зав. № 303124, ко</w:t>
      </w:r>
      <w:r w:rsidRPr="00271E51">
        <w:rPr>
          <w:color w:val="000000" w:themeColor="text1"/>
          <w:sz w:val="16"/>
          <w:szCs w:val="16"/>
        </w:rPr>
        <w:softHyphen/>
        <w:t>торый был построен 19 октября 1943 г. с пушками 11 П и в течение последующих 10 дней вместо 11П получил пушки 111П с боекомплек</w:t>
      </w:r>
      <w:r w:rsidRPr="00271E51">
        <w:rPr>
          <w:color w:val="000000" w:themeColor="text1"/>
          <w:sz w:val="16"/>
          <w:szCs w:val="16"/>
        </w:rPr>
        <w:softHyphen/>
        <w:t>том по 50 снарядов на каждую и был отстрелян в тире летно-испытательной станции завода, официально был принят на испытания. В период с 10 по 17 ноября был проведен «заводской отстрел пушек» и подго</w:t>
      </w:r>
      <w:r w:rsidRPr="00271E51">
        <w:rPr>
          <w:color w:val="000000" w:themeColor="text1"/>
          <w:sz w:val="16"/>
          <w:szCs w:val="16"/>
        </w:rPr>
        <w:softHyphen/>
        <w:t>товка самолета для передачи на государственные испытания. Этап государственных испытаний про</w:t>
      </w:r>
      <w:r w:rsidRPr="00271E51">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078C660E" w14:textId="77777777" w:rsidR="000A3723" w:rsidRPr="00271E51" w:rsidRDefault="000A372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 xml:space="preserve">дротормоз пушки был залит керосин сорта «А». — </w:t>
      </w:r>
      <w:r w:rsidRPr="00271E51">
        <w:rPr>
          <w:rStyle w:val="BodytextItalic"/>
          <w:i w:val="0"/>
          <w:color w:val="000000" w:themeColor="text1"/>
          <w:sz w:val="16"/>
          <w:szCs w:val="16"/>
        </w:rPr>
        <w:t>Авт.).</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3033DD43" w14:textId="77777777" w:rsidR="000A3723" w:rsidRPr="00271E51" w:rsidRDefault="000A3723" w:rsidP="00271E51">
      <w:pPr>
        <w:pStyle w:val="12a"/>
        <w:shd w:val="clear" w:color="auto" w:fill="auto"/>
        <w:spacing w:after="0" w:line="240" w:lineRule="auto"/>
        <w:jc w:val="both"/>
        <w:rPr>
          <w:color w:val="000000" w:themeColor="text1"/>
          <w:sz w:val="16"/>
          <w:szCs w:val="16"/>
        </w:rPr>
      </w:pPr>
    </w:p>
    <w:p w14:paraId="50BC13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г. ОКБ завода N 240 досрочно выполнило задание по Ил-2 с пушками ОКБ-16 НКВ калибра 45 мм и самолет был подан на испытания в НИИ АВ (1825,231).</w:t>
      </w:r>
    </w:p>
    <w:p w14:paraId="5A3E5C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C47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вышел приказ НКАП N 657 в исполнение постановления ГОКО N 4290 от 8 октября 1943:</w:t>
      </w:r>
    </w:p>
    <w:p w14:paraId="6037F7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наркома и нач. ПГУ Воронину и директору завода 153 Лисицину:</w:t>
      </w:r>
    </w:p>
    <w:p w14:paraId="5E2074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осуществить на заводе 153 переход полностью на производство самолетов Як-9 без снижения достигнутого уровня выпуска самолетов. Производство самолетов Як-7 к концу декабря 1943 прекратить.</w:t>
      </w:r>
    </w:p>
    <w:p w14:paraId="1E3365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 общего количества самолетов Як-9 выпускать ежемесячно 100 самолетов с 37 мм пушкой ОКБ-16 и п Березина</w:t>
      </w:r>
    </w:p>
    <w:p w14:paraId="34D7DC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самолеты Як-9 выпускать в серийном производстве с нормальным вооружением, а также пушкой 37 мм, со след. дальностью: 1100 км на 0.9 макс. на высоте 4000 м и 1400 км на наивыгоднейшей скорости 350 км/час на высоте 1000 м</w:t>
      </w:r>
    </w:p>
    <w:p w14:paraId="583109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ГК А.С.Я.:</w:t>
      </w:r>
    </w:p>
    <w:p w14:paraId="6C4E4E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месячный срок изготовить эталонный самолет Як-9, вооруженный одной пушкой 23 мм и 2хБерезина с установкой, позволяющей заменять пушку 23 мм на пушку 37 мм и 20 мм.</w:t>
      </w:r>
    </w:p>
    <w:p w14:paraId="131724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изготовить к 1 января 1944 2-х местный учебный самолет Як-9 с 2 экз. (1761,148).</w:t>
      </w:r>
    </w:p>
    <w:p w14:paraId="79D189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AEE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вышел приказ НКАП N 659 в исполнение постановления ГОКО N 4429 от 26 октября 1943:</w:t>
      </w:r>
    </w:p>
    <w:p w14:paraId="30B920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наркома Воронину и директору завода 82 Климовицкому осуществить переход к концу 1 кв. 1944 полностью на производство самолетов Як-9 с вооружением: одна п 20 мм и один п Березина, с увеличенной дальностью по образцу, выпускаемому заводом 153, без снижения достигнутого уровня выпуска самолетов" (1761,169).</w:t>
      </w:r>
    </w:p>
    <w:p w14:paraId="490FF1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5BC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вышел приказ НКАП N 658 в исполнение постановления ГКО N 4430 от 26 октября о производстве самолетов Як-3 на заводе 292 без снижения темпов (946,159) приказываю:</w:t>
      </w:r>
    </w:p>
    <w:p w14:paraId="6E05B7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НКАП и нач. ПГУ тов. Воронину и дир. З-да № 292 тов. Левину осуществить к 1 июля 1944 на заводе № 292 переход полностью на производство с-та Як-3 без снижения достигнутого уровня выпуска самолетов со следующими данными:</w:t>
      </w:r>
    </w:p>
    <w:p w14:paraId="6C674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 Вес. 2670 кг</w:t>
      </w:r>
    </w:p>
    <w:p w14:paraId="506FFF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 На 4440 м 650 км/час</w:t>
      </w:r>
    </w:p>
    <w:p w14:paraId="73AD60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 На 1000 м 570 км/час</w:t>
      </w:r>
    </w:p>
    <w:p w14:paraId="5D5194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подъема на 5000 м 4 мин.</w:t>
      </w:r>
    </w:p>
    <w:p w14:paraId="1DBA96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1х20мм и 1х12,7 Березина (946,159).</w:t>
      </w:r>
    </w:p>
    <w:p w14:paraId="1A33D3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D6E21" w14:textId="77777777" w:rsidR="00923604" w:rsidRPr="00271E51" w:rsidRDefault="0092360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 ноября 1943 г. во исполнение Постановления ГКО № 4410, вышел приказ по НКАП № 658, определявший выпуск Як-3 на заводе № 292 в Саратове, который в то время строил истребители Як-1б. В ночь на 24 июня 1943 г. предприятие подверглось внезапной сильнейшей бомбардировке и почти все сгорело, но сдача самолетов возобновилась уже 29 июня, 13 сентября вышли на плановый темп сдачи, а к концу осени начали подготовку производства новой машины — сооружались стапели агрегатов, изготавливались плазы, шаблоны, штамповочная и литьевая оснастка, кондукторы для точного сверления отверстий и т. п. Но поначалу оснастки очень не хватало, что увеличивало число ручных операций. В том же месяце специально для выпуска Як-3 была пущена поточно-конвейерная линия с принудительным движением. Бригады теперь располагались на «станциях» конвейера, а не следовали за машиной. Это не только улучшило ритмичность производства и подняло производительность труда, но позволило повысить качество и улучшить взаимозаменяемость — агрегатные цехи вынуждены были наконец-то создать полный комплект технологической оснастки, который позволил делать стыковые узлы так, что подгонка при окончательной сборке самолета была уже не нужна (22751).</w:t>
      </w:r>
    </w:p>
    <w:p w14:paraId="6A86BA08" w14:textId="77777777" w:rsidR="00923604" w:rsidRPr="00271E51" w:rsidRDefault="00923604" w:rsidP="00271E51">
      <w:pPr>
        <w:spacing w:after="0" w:line="240" w:lineRule="auto"/>
        <w:jc w:val="both"/>
        <w:rPr>
          <w:rFonts w:ascii="Times New Roman" w:hAnsi="Times New Roman"/>
          <w:color w:val="0070C0"/>
          <w:sz w:val="16"/>
          <w:szCs w:val="16"/>
        </w:rPr>
      </w:pPr>
    </w:p>
    <w:p w14:paraId="51540E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 ноября 1943 завершили первый вариант эскизного проекта ВП Н.Н.П.. Согласно предварительным планам, летные испытания ВП должны начаться в конце второ</w:t>
      </w:r>
      <w:r w:rsidRPr="00271E51">
        <w:rPr>
          <w:rFonts w:ascii="Times New Roman" w:hAnsi="Times New Roman"/>
          <w:color w:val="000000" w:themeColor="text1"/>
          <w:sz w:val="16"/>
          <w:szCs w:val="16"/>
        </w:rPr>
        <w:softHyphen/>
        <w:t>го квартала 1944 г. Ввиду разочарования Поликарпова в моторе М-71, первый вариант проекта переделали сна</w:t>
      </w:r>
      <w:r w:rsidRPr="00271E51">
        <w:rPr>
          <w:rFonts w:ascii="Times New Roman" w:hAnsi="Times New Roman"/>
          <w:color w:val="000000" w:themeColor="text1"/>
          <w:sz w:val="16"/>
          <w:szCs w:val="16"/>
        </w:rPr>
        <w:softHyphen/>
        <w:t>чала под АМ-39А с турбокомпрессором ТК-300, затем под АМ-39Б с ТК-3 и, окончательно, под АМ-39Б с ТК-300Б. Все это вместе с требованиями по увеличению площади радиаторов, расположенных в крыле, привело к необходимости существенной переработки конструк</w:t>
      </w:r>
      <w:r w:rsidRPr="00271E51">
        <w:rPr>
          <w:rFonts w:ascii="Times New Roman" w:hAnsi="Times New Roman"/>
          <w:color w:val="000000" w:themeColor="text1"/>
          <w:sz w:val="16"/>
          <w:szCs w:val="16"/>
        </w:rPr>
        <w:softHyphen/>
        <w:t>ции и эскизный проект ВП (К) был закончен только в летом 1944 г. Срок предъявления ВП на испытания пе</w:t>
      </w:r>
      <w:r w:rsidRPr="00271E51">
        <w:rPr>
          <w:rFonts w:ascii="Times New Roman" w:hAnsi="Times New Roman"/>
          <w:color w:val="000000" w:themeColor="text1"/>
          <w:sz w:val="16"/>
          <w:szCs w:val="16"/>
        </w:rPr>
        <w:softHyphen/>
        <w:t>ренесли на декабрь 1944 г. ВП представлял собой низкоплан с цельнометалличе</w:t>
      </w:r>
      <w:r w:rsidRPr="00271E51">
        <w:rPr>
          <w:rFonts w:ascii="Times New Roman" w:hAnsi="Times New Roman"/>
          <w:color w:val="000000" w:themeColor="text1"/>
          <w:sz w:val="16"/>
          <w:szCs w:val="16"/>
        </w:rPr>
        <w:softHyphen/>
        <w:t>ским крылом и выклеенным из шпона фюзеляжем с гер-мокабиной для летчика. Расчетный полетный вес равнялся 3320 кг. Крыло имело размах 11м, площадь -16,2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Вооружение состояло из двух 23-мм пушек. С мотором АМ-39А истребитель мог развить максималь</w:t>
      </w:r>
      <w:r w:rsidRPr="00271E51">
        <w:rPr>
          <w:rFonts w:ascii="Times New Roman" w:hAnsi="Times New Roman"/>
          <w:color w:val="000000" w:themeColor="text1"/>
          <w:sz w:val="16"/>
          <w:szCs w:val="16"/>
        </w:rPr>
        <w:softHyphen/>
        <w:t>ную скорость у земли 500 км/ч, а на высоте 13750 м - 715 км/ч. С мотором АМ-39Б скорость у земли становилась еще выше: 586 км/ч, но на больших высотах немного по</w:t>
      </w:r>
      <w:r w:rsidRPr="00271E51">
        <w:rPr>
          <w:rFonts w:ascii="Times New Roman" w:hAnsi="Times New Roman"/>
          <w:color w:val="000000" w:themeColor="text1"/>
          <w:sz w:val="16"/>
          <w:szCs w:val="16"/>
        </w:rPr>
        <w:softHyphen/>
        <w:t>нижалась (681 км/ч на 13000 м). ВП мог достичь потолка 14500-14750 м, на набор высоты 14000 м истребителю с АМ-39А требовалось 24,48 мин, а с АМ-39Б - 18 мин. Было признано, что самолет удовлетворяет требова</w:t>
      </w:r>
      <w:r w:rsidRPr="00271E51">
        <w:rPr>
          <w:rFonts w:ascii="Times New Roman" w:hAnsi="Times New Roman"/>
          <w:color w:val="000000" w:themeColor="text1"/>
          <w:sz w:val="16"/>
          <w:szCs w:val="16"/>
        </w:rPr>
        <w:softHyphen/>
        <w:t>ниям, предъявляемым к высотным перехватчикам. Ма</w:t>
      </w:r>
      <w:r w:rsidRPr="00271E51">
        <w:rPr>
          <w:rFonts w:ascii="Times New Roman" w:hAnsi="Times New Roman"/>
          <w:color w:val="000000" w:themeColor="text1"/>
          <w:sz w:val="16"/>
          <w:szCs w:val="16"/>
        </w:rPr>
        <w:softHyphen/>
        <w:t>шину предполагалось строить в четырех экземплярах. На заводе № 51 началось изготовление стендов для наземной отработки винтомоторной группы и гермокабины. В нервюрах крыла применялся профиль серии НАСА-230. Проведенные в ЦАГИ исследования показа</w:t>
      </w:r>
      <w:r w:rsidRPr="00271E51">
        <w:rPr>
          <w:rFonts w:ascii="Times New Roman" w:hAnsi="Times New Roman"/>
          <w:color w:val="000000" w:themeColor="text1"/>
          <w:sz w:val="16"/>
          <w:szCs w:val="16"/>
        </w:rPr>
        <w:softHyphen/>
        <w:t>ли, что он не является оптимальным на высотах. Поэто</w:t>
      </w:r>
      <w:r w:rsidRPr="00271E51">
        <w:rPr>
          <w:rFonts w:ascii="Times New Roman" w:hAnsi="Times New Roman"/>
          <w:color w:val="000000" w:themeColor="text1"/>
          <w:sz w:val="16"/>
          <w:szCs w:val="16"/>
        </w:rPr>
        <w:softHyphen/>
        <w:t>му для второго экземпляра решили изготовить новое крыло с профилем, рекомендованным ЦАГИ. Кроме то</w:t>
      </w:r>
      <w:r w:rsidRPr="00271E51">
        <w:rPr>
          <w:rFonts w:ascii="Times New Roman" w:hAnsi="Times New Roman"/>
          <w:color w:val="000000" w:themeColor="text1"/>
          <w:sz w:val="16"/>
          <w:szCs w:val="16"/>
        </w:rPr>
        <w:softHyphen/>
        <w:t>го, на нем предполагалось установить более высокое шасси, необходимое для использования винта с боль</w:t>
      </w:r>
      <w:r w:rsidRPr="00271E51">
        <w:rPr>
          <w:rFonts w:ascii="Times New Roman" w:hAnsi="Times New Roman"/>
          <w:color w:val="000000" w:themeColor="text1"/>
          <w:sz w:val="16"/>
          <w:szCs w:val="16"/>
        </w:rPr>
        <w:softHyphen/>
        <w:t>шим диаметром (10667).</w:t>
      </w:r>
    </w:p>
    <w:p w14:paraId="20BBE0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1C68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D79E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13E2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вышло Распоряжение ГКО № 4486 [О продлении до 15 ноября 1943 г. лимитов мощности и отпуска электроэнергии потребителям по Уральской энергосистеме.] (7153, 117).</w:t>
      </w:r>
    </w:p>
    <w:p w14:paraId="19FA249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5AF7E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вышло Распоряжение ГКО № 4487 [О демобилизации и направлении на завод "Электросила" им. Кирова НКЭП 43 квалифицированных рабочих и ИТР, работавших там ранее.] (7153, 118,119-121).</w:t>
      </w:r>
    </w:p>
    <w:p w14:paraId="38E4DEC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2BF20" w14:textId="77777777" w:rsidR="00F96B9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EAAF1C2" w14:textId="77777777" w:rsidR="00F96B9F" w:rsidRPr="00271E51" w:rsidRDefault="00F96B9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9961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 ноября </w:t>
      </w:r>
      <w:r w:rsidRPr="00271E51">
        <w:rPr>
          <w:rFonts w:ascii="Times New Roman" w:hAnsi="Times New Roman"/>
          <w:color w:val="000000" w:themeColor="text1"/>
          <w:sz w:val="16"/>
          <w:szCs w:val="16"/>
        </w:rPr>
        <w:t>в 1943 году оперативная сводка Совинформбюро:</w:t>
      </w:r>
    </w:p>
    <w:p w14:paraId="2DCFB883"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ноября в районе между рекой Днепр и побережьем Каркинитского залива наши войска продолжали преследовать отступающего противника и с боями овладели городом Каховка, городом Скадовск, районными центрами Николаевской области Горностаевка, Каланчак, а также заняли более 70 других населённых пунктов, среди которых крупные населённые пункты Завадовка, Малая Каховка, Британы. Большая Маячка, Малая Маячка, Белоцерковка, Ново-Киевка, Брилевка, Птаховка, Кованский, Бугаевка, Чабурда, Карга.</w:t>
      </w:r>
    </w:p>
    <w:p w14:paraId="14E6506F"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заняли несколько населённых пунктов, среди которых Ягодный, Дубровка, Южный, Николаевка и железнодорожная станция Милорадовка.</w:t>
      </w:r>
    </w:p>
    <w:p w14:paraId="62A879CE"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наши войска отбили все контратаки крупных сил пехоты и танков противника, нанеся ему большие потери в живой силе и технике.</w:t>
      </w:r>
    </w:p>
    <w:p w14:paraId="7455B89D"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артиллерийско-минометная перестрелка.</w:t>
      </w:r>
    </w:p>
    <w:p w14:paraId="179844A4"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ноября наши войска на всех фронтах подбили и уничтожили 82 немецких танка. В воздушных боях и огнем зенитной артиллерии сбито 17 самолётов противника.</w:t>
      </w:r>
    </w:p>
    <w:p w14:paraId="478E06BE"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побережьем Каркинитского залива наши войска продолжали успешное наступление. Бойцы Н-ского соединения сломили сопротивление противника и в результате ожесточённых уличных боёв овладели городом Каховка. Нашими войсками с боем занят районный центр Николаевской области Горностаевка и другие населённые пункты на берегу Днепра. Под артиллерийским огнём противник пытался переправить свои разгромленные части на правый берег реки и понёс огромные потери. Уничтожено и утоплено в Днепре несколько тысяч гитлеровцев. Захвачены большие трофеи, в числе которых танки, орудия, миномёты и склады с военным имуществом. Окружённая вчера группа немецких войск сегодня была прижата к Сивашу и полностью ликвидирована. Взято большое число пленных. Продолжая преследовать отступающего противника, советские войска на побережье залива стремительным ударом заняли город Скадовск.</w:t>
      </w:r>
    </w:p>
    <w:p w14:paraId="2EA5859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днём и ночью продолжала наносить удары по отступающим войскам противника и нанесла им большой урон.</w:t>
      </w:r>
    </w:p>
    <w:p w14:paraId="1F0287D0"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наши войска заняли несколько населённых пунктов и железнодорожную станцию Милорадовка. За день боёв уничтожено до 1.500 немецких солдат и офицеров, 14 танков и 25 орудий разногокалибра. Наши разведчики донесли, что в районе одного населённого пункта немцы сосредоточивают пехоту и самоходные орудия для контратаки. Советские танкисты упредили противника и стремительным ударом разгромили его. Уничтожено свыше 400 немецких солдат и офицеров. Захвачены трофеи, в числе которых 5 самоходных орудий «Фердинанд».</w:t>
      </w:r>
    </w:p>
    <w:p w14:paraId="3F20F281"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лётчиками уничтожено несколько немецких танков, разбито и поврежденодо 200 автомашин и повозок с войсками и грузами, взорвано 3 склада с боеприпасами.</w:t>
      </w:r>
    </w:p>
    <w:p w14:paraId="6E0424B0"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Криворожском направлении противник неоднократно предпринимал контратаки и вновь понёс большие потери в живой силе и технике. На одном участке крупные силы немецкой пехоты и танков пытались нанести удар в стык советских частей. Наши бойцы ответили противнику контрударом во фланги и вынудили гитлеровцев отступить. На поле боя осталось до 800 вражеских трупов, 18 подбитых и сгоревшихтанков. На другом участке артиллеристы и бронебойщики Н-ского соединения, отбивая контратаки противника, уничтожили 22 немецких танка, 5 самоходных орудийи несколько десятков автомашин. В этом бою немцы потеряли только убитыми свыше 600 солдат и офицеров.</w:t>
      </w:r>
    </w:p>
    <w:p w14:paraId="30006E5F"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Витебска бойцы Н-ской части атаковали противника и овладели высотой, имеющей важное значение. Немцы в течение долгого времени укрепляли эту высоту, построили много дзотов, а подступы к ней заминировали противотанковыми и противопехотными минами. Наши подразделения предприняли отвлекающие действия сфронта, а основной удар нанесли с флангов. В бою за высоту уничтожено до батальона гитлеровцев, разбито 30 дзотов и обезврежено свыше 3 тысяч мин. Захвачено у немцев 10 орудий, 17 миномётов, 80 пулемётов, 5 радиостанций, склады с продовольствием и боеприпасами.</w:t>
      </w:r>
    </w:p>
    <w:p w14:paraId="1B9704DC"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немецкий транспорт водоизмещением в 12.000тонн.</w:t>
      </w:r>
    </w:p>
    <w:p w14:paraId="0BA2374E"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напал на немцев, поджигавших деревню Речки. В завязавшемся бою советские патриоты истребили 46 гитлеровцев, а остальные спаслись бегством. Партизаны другого отряда освободили 6 тысяч советских граждан, которых немцы насильно угоняли на каторгу в Германию. В этом же районе партизаны отбили у противника и вернули населению много зерна, 800 голов крупного рогатого скота и 120 лошадей.</w:t>
      </w:r>
    </w:p>
    <w:p w14:paraId="6930547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города Старая Русса перешли на сторону Красной Армии четыре ефрейтора одного из подразделений 8 немецкой пехотной дивизии. Перебежчики заявили: «Мы знали об успехах советских войск на юге. Чем дальше немецкая армия отступает, тем большее количество солдат убеждается в том, что Германия проиграла войну. Мы находились на сравнительно спокойном участке фронта, но темне менее несли значительные потери. Только с 5 по 20 октября от огня русских снайперов и миномётчиков погибло 25 солдат нашей роты. За год, находясь в обороне, рота потеряла 150 человек убитыми. Солдаты очень боятся предстоящей зимы. Многие говорят: «Все погибнем здесь, никто не выберется отсюда живым».</w:t>
      </w:r>
    </w:p>
    <w:p w14:paraId="7E257514"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посёлке Хотимск, Могилёвской области: «За время оккупации Хотимска гитлеровцы истребили многих мирных жителей. Массовые казни происходили на окраине посёлка упротивотанкового рва и в саду больницы.</w:t>
      </w:r>
    </w:p>
    <w:p w14:paraId="7E097945"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Немецкие изверги сожгли дотла деревни Черновка, Садовое и Васильевка. Население этих деревень было угнано в немецкое рабство. Из Хотимска гитлеровцы угнали на каторгу в Германию несколько сот женщин и мужчин. Немецкие оккупанты запретили населению разговаривать на родном белорусском языке. Они сжигали и </w:t>
      </w:r>
      <w:r w:rsidRPr="00271E51">
        <w:rPr>
          <w:rFonts w:ascii="Times New Roman" w:hAnsi="Times New Roman"/>
          <w:color w:val="000000" w:themeColor="text1"/>
          <w:sz w:val="16"/>
          <w:szCs w:val="16"/>
        </w:rPr>
        <w:lastRenderedPageBreak/>
        <w:t>уничтожали культурные ценности и белорусские книги. Отступая под ударами Красной Армии, гитлеровцы взорвали и сожгли среднюю шкоду, Дом культуры, Дом колхозника,больницу, ветлечебницу, здание почты и до тысячи домов рабочих, служащих и колхозников».</w:t>
      </w:r>
    </w:p>
    <w:p w14:paraId="4C7E59C1"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посёлка Хотимска: учительницы Василевич, Сморщикова и Хучева, телеграфистка Касинёва, колхозники Громов, Москалёва и другие.» (14818).</w:t>
      </w:r>
    </w:p>
    <w:p w14:paraId="26462D89"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6D4DB43D" w14:textId="77777777" w:rsidR="00F96B9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9086F56" w14:textId="77777777" w:rsidR="00F96B9F" w:rsidRPr="00271E51" w:rsidRDefault="00F96B9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A414BA"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 ноября </w:t>
      </w:r>
      <w:r w:rsidRPr="00271E51">
        <w:rPr>
          <w:rFonts w:ascii="Times New Roman" w:hAnsi="Times New Roman"/>
          <w:color w:val="000000" w:themeColor="text1"/>
          <w:sz w:val="16"/>
          <w:szCs w:val="16"/>
        </w:rPr>
        <w:t>в 1943 году массовая депортация карачаевцев в Казахстан и Киргизию. Всего депортировано 69 тысяч человек. Из Советской армии демобилизовано 2543 карачевца, которые также депортированы (14818).</w:t>
      </w:r>
    </w:p>
    <w:p w14:paraId="38BBFF49"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1F3D539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 ноября </w:t>
      </w:r>
      <w:r w:rsidRPr="00271E51">
        <w:rPr>
          <w:rFonts w:ascii="Times New Roman" w:hAnsi="Times New Roman"/>
          <w:color w:val="000000" w:themeColor="text1"/>
          <w:sz w:val="16"/>
          <w:szCs w:val="16"/>
        </w:rPr>
        <w:t>в 1943 году на основании принятого Президиумом Верховного Совета СССР 12 октября 1943 г. указа "О ликвидации Карачаевской автономной области и административном устройстве ее территории" около 80 тысяч карачаевцев были подвергнуты насильственной депортации из мест исконного проживания в Казахстан и Киргизию. По разным данным, карачаевцы потеряли от трети до половины всей численности народа. В ноябре 1956 г. пленум ЦК КПСС принял постановление о возвращении карачаевцев на Северный Кавказ. День депортации карачаевского народа (14818).</w:t>
      </w:r>
    </w:p>
    <w:p w14:paraId="0EBC6096"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6BD20BB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41878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933DF"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 ноября </w:t>
      </w:r>
      <w:r w:rsidRPr="00271E51">
        <w:rPr>
          <w:rFonts w:ascii="Times New Roman" w:hAnsi="Times New Roman"/>
          <w:color w:val="000000" w:themeColor="text1"/>
          <w:sz w:val="16"/>
          <w:szCs w:val="16"/>
        </w:rPr>
        <w:t>в 1943 году при посещении предприятий Мессершмитта в Аугсбурге Геринг впервые ставит вопрос, может ли «Ме-262» нести и бомбы. Профессор Мессершмитт подтверждает.</w:t>
      </w:r>
    </w:p>
    <w:p w14:paraId="4CA7DB6F"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Hестандартный подход к проблеме предусматривал использование варианта с буксировкой 500-1000 кг бомбы на жесткой балке длиной 7 м. Буксир крепился под хвостом Ме.262 на шарнире, обеспечивающим горизонтальное и вертикальное склонение. Через трубу буксира шла электропроводка к разрывным болтам, обеспечивающим отделение бомбы и одновременный отстрел крыльев на последней. Для взлета к бомбе крепилась тележка, отделяемая после отрыва от земли при помощи разрывных болтов. Использование такой бомбы требовало от пилота прицеливания через Реви в пологом пикировании. Первым буксир для бомбы получил «Me.262-V10». Испытания проводил Герд Линднер. C бомбой на буксире скорость «Ме.262» снижалась до 510-530 км/ч, но полеты с 500 кг бомбой прошли успешно. Зато возникли трудности с буксировкой 1000 кг бомбы, так как вспомогательное крыло оказалось слишком эффективным, что оказывало влияние на поведение самолета. Во время одного из полетов Линднер был вынужден оставить самолет, так как тот стал совсем неуправляемым. Испытания были продолжены на предсерийном «Me.262A-0». Во время полета разрывные болты, освобождающие бомбу, отказали, и Линднер был вынужден садиться с бомбой на буксире. В другой раз шарнир крепления буксира вообще отлетел при резком маневре. В конце концов сошлись, что буксировка бомбы вещь слишком рискованная, и остановились на более традиционных способах (14818).</w:t>
      </w:r>
    </w:p>
    <w:p w14:paraId="5E9A20F7"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0C703FCC" w14:textId="77777777" w:rsidR="00923604" w:rsidRPr="00271E51" w:rsidRDefault="0092360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ноября 1943 75 самолетов B-25 Mitchell пятой армии ВВС в сопровождении 80 P-38 Lightning совершают налет на Рабаул, где сталкиваются с недавно прибывшим японским авианосцем и теряют девять сбитых B-25 и 10 P-38. Они сбили 20 японских самолетов и потопили два торговых корабля и тральщик (20376).</w:t>
      </w:r>
    </w:p>
    <w:p w14:paraId="494C2FC7" w14:textId="77777777" w:rsidR="00923604" w:rsidRPr="00271E51" w:rsidRDefault="00923604" w:rsidP="00271E51">
      <w:pPr>
        <w:spacing w:after="0" w:line="240" w:lineRule="auto"/>
        <w:jc w:val="both"/>
        <w:rPr>
          <w:rFonts w:ascii="Times New Roman" w:hAnsi="Times New Roman"/>
          <w:color w:val="0070C0"/>
          <w:sz w:val="16"/>
          <w:szCs w:val="16"/>
        </w:rPr>
      </w:pPr>
    </w:p>
    <w:p w14:paraId="0AD1C7C1" w14:textId="77777777" w:rsidR="00923604" w:rsidRPr="00271E51" w:rsidRDefault="0092360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ноября 1943 - Первый полёт Grumman F7F Tigercat. Во время  одной из пробежек по ВПП, лётчик-испытатель Боб Холл по достижении скорости превышавшей взлётную, обнаружил, что самолёт оторвался от земли. Ему пришлось убрать газ и приземлиться. Так состоялось первое воздушное крещение XF7F, продолжавшееся 15 секунд. Tigercat был первым двухмоторным истребителем, поступившим в ВМС США. Создан для нового авианосца Мидуэй, самолёты были слишком велики, чтобы взлететь с более ранних авианосцев. Участия во Второй Мировой войне не принял. Большинство F7F были наземного базирования, применялись как штурмовики или ночные истребители; только с модификации F7F-4N они стали применяться как палубные.Приняли участие в Корейской войне и были выведены из эксплуатации в 1954 году (22318).</w:t>
      </w:r>
    </w:p>
    <w:p w14:paraId="2CE8DE27" w14:textId="77777777" w:rsidR="00923604" w:rsidRPr="00271E51" w:rsidRDefault="00923604" w:rsidP="00271E51">
      <w:pPr>
        <w:spacing w:after="0" w:line="240" w:lineRule="auto"/>
        <w:jc w:val="both"/>
        <w:rPr>
          <w:rFonts w:ascii="Times New Roman" w:hAnsi="Times New Roman"/>
          <w:color w:val="0070C0"/>
          <w:sz w:val="16"/>
          <w:szCs w:val="16"/>
        </w:rPr>
      </w:pPr>
    </w:p>
    <w:p w14:paraId="59EF964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1943 бельгийским подпольем отпечатан фальшивый номер фашистской газеты “Ле Суар”, высмеивающий нацистский режим (4962).</w:t>
      </w:r>
    </w:p>
    <w:p w14:paraId="5765B10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456E6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9AA22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530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С.В.И. писал А.И.Ш. письмо N 1/1162с:</w:t>
      </w:r>
    </w:p>
    <w:p w14:paraId="3F5E6C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добавлением на самолет Ил-2 2-го человека с оружием и броней, а также вследствие добавления горючего центровка самолета продвинулась назад и в данный момент составляет 32.3%. Вследствие этого самолет стал в продольном отношении неустойчив.</w:t>
      </w:r>
    </w:p>
    <w:p w14:paraId="246372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центровки самолета Ил-2 требуется подать концы консолей назад, что возвращает центровку самолета до центровки одноместного самолета Ил-2, т.е. до 28%</w:t>
      </w:r>
    </w:p>
    <w:p w14:paraId="162311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завода 18 с отведенными концами консолей крыла, с центровкой 28% прошел гос. испытания в НИИ ВВС.</w:t>
      </w:r>
    </w:p>
    <w:p w14:paraId="5A5FD5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Возвращение центровки к одноместному варианту значит. повысило продольную устойчивость и самолет стал по-прежнему простым в управлении.</w:t>
      </w:r>
    </w:p>
    <w:p w14:paraId="29856F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Проведение на заводе 18 стат. испытаний крыла со стрелкой показали прочность 120%.</w:t>
      </w:r>
    </w:p>
    <w:p w14:paraId="7F199E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директорам заводов 1, 18 и 30 о переходе на выпуск серийных самолетов Ил-2 с отведенными концами консолей крыла назад.</w:t>
      </w:r>
    </w:p>
    <w:p w14:paraId="14D15C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проект приказа (1775,196).</w:t>
      </w:r>
    </w:p>
    <w:p w14:paraId="3EC328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44D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года была подготовлена Справка.</w:t>
      </w:r>
    </w:p>
    <w:p w14:paraId="3A4CF8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конструкции Ермолаева В.Г. Ер-2 находился в серийном производстве в 1940 г. Всего выпущено 80 самолетов.</w:t>
      </w:r>
    </w:p>
    <w:p w14:paraId="35E7C1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постановления ГОКО N 4170сс от 21.IX.43 г. самолет Ер-2, модифицированный под мотор 2М-30Б, принят в серийное производство на заводе N 39.</w:t>
      </w:r>
    </w:p>
    <w:p w14:paraId="16F00B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Шульгин А.И. руководит конструкторским бюро более 9 лет, под его руководством разработаны установки бомбардировочного вооружения самолетов, многие из которых приняты на вооружение самолетов - замки Д-3-40, кассеты Дер-21, КД-2-439, электросбрасыватель ЭСБР-ЭП, лебедка БЛ-4 и т.п.</w:t>
      </w:r>
    </w:p>
    <w:p w14:paraId="11F90D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годы отечественной войны ОКБ, руководимое Шульгиным, выполнило работу по перевооружению иностранных самолетов и по приспособлению иностранных установок бомбардировочного вооружения под отечественные бомбы (перевооружение самолетов Бостон-3, В-25, А-20В, вооружение торпедодержателями самолета А-20С, вооружение бомбодержателями самолета Ли-2 и т.д.).</w:t>
      </w:r>
    </w:p>
    <w:p w14:paraId="1A904D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бомбардировочного вооружения самолета Ер-2 разработаны ОКБ, руководимым Шульгиным (1458,296).</w:t>
      </w:r>
    </w:p>
    <w:p w14:paraId="2D0177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637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Нач. ЛИИ Чесалов писал Зам. НКАП П.А.Воронину письмо N 671с о результатах контрольных испытаний серийных самолетов, проведенных в октябре по приказу 505с:</w:t>
      </w:r>
    </w:p>
    <w:p w14:paraId="1CDAFC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N 011555 производства завода 292 октября</w:t>
      </w:r>
    </w:p>
    <w:p w14:paraId="180DBA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N 5180 производства завода 153 сентября</w:t>
      </w:r>
    </w:p>
    <w:p w14:paraId="61BCEC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ЛаГГ-3 N 6631 производства завода 21 сентября</w:t>
      </w:r>
    </w:p>
    <w:p w14:paraId="27B8B8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Ла-5ФН N 38210531 и 39210540 (1783,302).</w:t>
      </w:r>
    </w:p>
    <w:p w14:paraId="7496FA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C77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года письмо N 671с зам. наркома Воронину П.А.</w:t>
      </w:r>
    </w:p>
    <w:p w14:paraId="622229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Довожу до Вашего сведения результаты испытаний серийных самолетов, проведенных ЛИИ в октябре с.г. согласно приказу N 505с.</w:t>
      </w:r>
    </w:p>
    <w:p w14:paraId="538E65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ЯК-1 N 011555 производства завода N 292, октябрьского выпуска: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047AB11" w14:textId="77777777" w:rsidTr="00ED5B0A">
        <w:tc>
          <w:tcPr>
            <w:tcW w:w="5636" w:type="dxa"/>
          </w:tcPr>
          <w:p w14:paraId="18E2DB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636" w:type="dxa"/>
          </w:tcPr>
          <w:p w14:paraId="521D11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2870 кг</w:t>
            </w:r>
          </w:p>
        </w:tc>
      </w:tr>
      <w:tr w:rsidR="00A907A5" w:rsidRPr="00271E51" w14:paraId="3EAF92C7" w14:textId="77777777" w:rsidTr="00ED5B0A">
        <w:tc>
          <w:tcPr>
            <w:tcW w:w="5636" w:type="dxa"/>
          </w:tcPr>
          <w:p w14:paraId="187A7F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2E81A5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 км/час</w:t>
            </w:r>
          </w:p>
        </w:tc>
      </w:tr>
      <w:tr w:rsidR="00A907A5" w:rsidRPr="00271E51" w14:paraId="58D37B59" w14:textId="77777777" w:rsidTr="00ED5B0A">
        <w:tc>
          <w:tcPr>
            <w:tcW w:w="5636" w:type="dxa"/>
          </w:tcPr>
          <w:p w14:paraId="709EB6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13C3C7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F4104C" w14:textId="77777777" w:rsidTr="00ED5B0A">
        <w:tc>
          <w:tcPr>
            <w:tcW w:w="5636" w:type="dxa"/>
          </w:tcPr>
          <w:p w14:paraId="442FFA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(Н=4150 м)</w:t>
            </w:r>
          </w:p>
        </w:tc>
        <w:tc>
          <w:tcPr>
            <w:tcW w:w="5636" w:type="dxa"/>
          </w:tcPr>
          <w:p w14:paraId="7FB05D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 км/час</w:t>
            </w:r>
          </w:p>
        </w:tc>
      </w:tr>
      <w:tr w:rsidR="00A907A5" w:rsidRPr="00271E51" w14:paraId="4C13CB67" w14:textId="77777777" w:rsidTr="00ED5B0A">
        <w:tc>
          <w:tcPr>
            <w:tcW w:w="5636" w:type="dxa"/>
          </w:tcPr>
          <w:p w14:paraId="4D21F1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5636" w:type="dxa"/>
          </w:tcPr>
          <w:p w14:paraId="2A48F6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мин.</w:t>
            </w:r>
          </w:p>
        </w:tc>
      </w:tr>
    </w:tbl>
    <w:p w14:paraId="2E6F0C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самолета: отсос посадочных щитков в полете, неудовлетворительная подгонка щитков шасси.</w:t>
      </w:r>
    </w:p>
    <w:p w14:paraId="7534F6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 Самолет ЯК-7 N 5180 производства завода N 153 сентябрьского выпуска (испытания филиала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6DDEF0E0" w14:textId="77777777" w:rsidTr="00ED5B0A">
        <w:tc>
          <w:tcPr>
            <w:tcW w:w="3757" w:type="dxa"/>
          </w:tcPr>
          <w:p w14:paraId="0BECAE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757" w:type="dxa"/>
          </w:tcPr>
          <w:p w14:paraId="11FE8F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3014 кг</w:t>
            </w:r>
          </w:p>
        </w:tc>
      </w:tr>
      <w:tr w:rsidR="00A907A5" w:rsidRPr="00271E51" w14:paraId="371B945B" w14:textId="77777777" w:rsidTr="00ED5B0A">
        <w:tc>
          <w:tcPr>
            <w:tcW w:w="3757" w:type="dxa"/>
          </w:tcPr>
          <w:p w14:paraId="1CCBB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3757" w:type="dxa"/>
          </w:tcPr>
          <w:p w14:paraId="4F8EDF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 км/час</w:t>
            </w:r>
          </w:p>
        </w:tc>
      </w:tr>
      <w:tr w:rsidR="00A907A5" w:rsidRPr="00271E51" w14:paraId="1C95F273" w14:textId="77777777" w:rsidTr="00ED5B0A">
        <w:tc>
          <w:tcPr>
            <w:tcW w:w="3757" w:type="dxa"/>
          </w:tcPr>
          <w:p w14:paraId="381728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3757" w:type="dxa"/>
          </w:tcPr>
          <w:p w14:paraId="6B89B2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52B9C3" w14:textId="77777777" w:rsidTr="00ED5B0A">
        <w:tc>
          <w:tcPr>
            <w:tcW w:w="3757" w:type="dxa"/>
          </w:tcPr>
          <w:p w14:paraId="3F82EF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(Н=3900 м)</w:t>
            </w:r>
          </w:p>
        </w:tc>
        <w:tc>
          <w:tcPr>
            <w:tcW w:w="3757" w:type="dxa"/>
          </w:tcPr>
          <w:p w14:paraId="1D227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км/час</w:t>
            </w:r>
          </w:p>
        </w:tc>
      </w:tr>
      <w:tr w:rsidR="00A907A5" w:rsidRPr="00271E51" w14:paraId="11A9A8AD" w14:textId="77777777" w:rsidTr="00ED5B0A">
        <w:tc>
          <w:tcPr>
            <w:tcW w:w="3757" w:type="dxa"/>
          </w:tcPr>
          <w:p w14:paraId="33AD5D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3757" w:type="dxa"/>
          </w:tcPr>
          <w:p w14:paraId="1CE82A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 мин.</w:t>
            </w:r>
          </w:p>
        </w:tc>
      </w:tr>
    </w:tbl>
    <w:p w14:paraId="34B8BD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Самолет Лагг-3 N 6631 производства завода N 31 сентябрьского выпуска: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A907A5" w:rsidRPr="00271E51" w14:paraId="4FF8D52F" w14:textId="77777777" w:rsidTr="00ED5B0A">
        <w:tc>
          <w:tcPr>
            <w:tcW w:w="3757" w:type="dxa"/>
          </w:tcPr>
          <w:p w14:paraId="2E37A6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3757" w:type="dxa"/>
          </w:tcPr>
          <w:p w14:paraId="27ED26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2986 кг</w:t>
            </w:r>
          </w:p>
        </w:tc>
      </w:tr>
      <w:tr w:rsidR="00A907A5" w:rsidRPr="00271E51" w14:paraId="241D12FC" w14:textId="77777777" w:rsidTr="00ED5B0A">
        <w:tc>
          <w:tcPr>
            <w:tcW w:w="3757" w:type="dxa"/>
          </w:tcPr>
          <w:p w14:paraId="181751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3757" w:type="dxa"/>
          </w:tcPr>
          <w:p w14:paraId="5196E0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537 км/час</w:t>
            </w:r>
          </w:p>
        </w:tc>
      </w:tr>
      <w:tr w:rsidR="00A907A5" w:rsidRPr="00271E51" w14:paraId="2E03406B" w14:textId="77777777" w:rsidTr="00ED5B0A">
        <w:tc>
          <w:tcPr>
            <w:tcW w:w="3757" w:type="dxa"/>
          </w:tcPr>
          <w:p w14:paraId="0A6E07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3757" w:type="dxa"/>
          </w:tcPr>
          <w:p w14:paraId="3A3568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32D9DDC" w14:textId="77777777" w:rsidTr="00ED5B0A">
        <w:tc>
          <w:tcPr>
            <w:tcW w:w="3757" w:type="dxa"/>
          </w:tcPr>
          <w:p w14:paraId="4DCB13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(Н=3350 м)</w:t>
            </w:r>
          </w:p>
        </w:tc>
        <w:tc>
          <w:tcPr>
            <w:tcW w:w="3757" w:type="dxa"/>
          </w:tcPr>
          <w:p w14:paraId="02BACB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05E6CB1" w14:textId="77777777" w:rsidTr="00ED5B0A">
        <w:tc>
          <w:tcPr>
            <w:tcW w:w="3757" w:type="dxa"/>
          </w:tcPr>
          <w:p w14:paraId="180DD0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п=2550 об/мин.</w:t>
            </w:r>
          </w:p>
        </w:tc>
        <w:tc>
          <w:tcPr>
            <w:tcW w:w="3757" w:type="dxa"/>
          </w:tcPr>
          <w:p w14:paraId="64F905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 км/час</w:t>
            </w:r>
          </w:p>
        </w:tc>
      </w:tr>
      <w:tr w:rsidR="00A907A5" w:rsidRPr="00271E51" w14:paraId="14F01C02" w14:textId="77777777" w:rsidTr="00ED5B0A">
        <w:tc>
          <w:tcPr>
            <w:tcW w:w="3757" w:type="dxa"/>
          </w:tcPr>
          <w:p w14:paraId="017CA9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3757" w:type="dxa"/>
          </w:tcPr>
          <w:p w14:paraId="2675EC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мин.</w:t>
            </w:r>
          </w:p>
        </w:tc>
      </w:tr>
    </w:tbl>
    <w:p w14:paraId="5A6F47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неудовлетворительное крепление всасывающих патрубков, плохая окраска крыльев и лопастей винтов.</w:t>
      </w:r>
    </w:p>
    <w:p w14:paraId="7A0EB9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Самолеты Ла-5 ФН N 39210531 производства завода N 21 октябрьского выпуска: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A907A5" w:rsidRPr="00271E51" w14:paraId="51643781" w14:textId="77777777" w:rsidTr="00ED5B0A">
        <w:tc>
          <w:tcPr>
            <w:tcW w:w="2818" w:type="dxa"/>
          </w:tcPr>
          <w:p w14:paraId="21FB2D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BFF8A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N 0531</w:t>
            </w:r>
          </w:p>
        </w:tc>
        <w:tc>
          <w:tcPr>
            <w:tcW w:w="2818" w:type="dxa"/>
          </w:tcPr>
          <w:p w14:paraId="5562FB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N 0540</w:t>
            </w:r>
          </w:p>
        </w:tc>
      </w:tr>
      <w:tr w:rsidR="00A907A5" w:rsidRPr="00271E51" w14:paraId="6D64B1C6" w14:textId="77777777" w:rsidTr="00ED5B0A">
        <w:tc>
          <w:tcPr>
            <w:tcW w:w="2818" w:type="dxa"/>
          </w:tcPr>
          <w:p w14:paraId="0CB225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2818" w:type="dxa"/>
          </w:tcPr>
          <w:p w14:paraId="296416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3325 кг</w:t>
            </w:r>
          </w:p>
        </w:tc>
        <w:tc>
          <w:tcPr>
            <w:tcW w:w="2818" w:type="dxa"/>
          </w:tcPr>
          <w:p w14:paraId="7FC616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3340 кг</w:t>
            </w:r>
          </w:p>
        </w:tc>
      </w:tr>
      <w:tr w:rsidR="00A907A5" w:rsidRPr="00271E51" w14:paraId="0ADF6C31" w14:textId="77777777" w:rsidTr="00ED5B0A">
        <w:tc>
          <w:tcPr>
            <w:tcW w:w="2818" w:type="dxa"/>
          </w:tcPr>
          <w:p w14:paraId="4B04DE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2818" w:type="dxa"/>
          </w:tcPr>
          <w:p w14:paraId="14E84C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EC65C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E07043" w14:textId="77777777" w:rsidTr="00ED5B0A">
        <w:tc>
          <w:tcPr>
            <w:tcW w:w="2818" w:type="dxa"/>
          </w:tcPr>
          <w:p w14:paraId="38463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режиме повышенной боевой </w:t>
            </w:r>
          </w:p>
        </w:tc>
        <w:tc>
          <w:tcPr>
            <w:tcW w:w="2818" w:type="dxa"/>
          </w:tcPr>
          <w:p w14:paraId="79D8EF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26C89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08E73A" w14:textId="77777777" w:rsidTr="00ED5B0A">
        <w:tc>
          <w:tcPr>
            <w:tcW w:w="2818" w:type="dxa"/>
          </w:tcPr>
          <w:p w14:paraId="053FA2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мощности</w:t>
            </w:r>
          </w:p>
        </w:tc>
        <w:tc>
          <w:tcPr>
            <w:tcW w:w="2818" w:type="dxa"/>
          </w:tcPr>
          <w:p w14:paraId="754981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 км/час</w:t>
            </w:r>
          </w:p>
        </w:tc>
        <w:tc>
          <w:tcPr>
            <w:tcW w:w="2818" w:type="dxa"/>
          </w:tcPr>
          <w:p w14:paraId="2000DC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 км/час</w:t>
            </w:r>
          </w:p>
        </w:tc>
      </w:tr>
      <w:tr w:rsidR="00A907A5" w:rsidRPr="00271E51" w14:paraId="5C938B7E" w14:textId="77777777" w:rsidTr="00ED5B0A">
        <w:tc>
          <w:tcPr>
            <w:tcW w:w="2818" w:type="dxa"/>
          </w:tcPr>
          <w:p w14:paraId="5C9B79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2818" w:type="dxa"/>
          </w:tcPr>
          <w:p w14:paraId="5399D6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FCF3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B33399" w14:textId="77777777" w:rsidTr="00ED5B0A">
        <w:tc>
          <w:tcPr>
            <w:tcW w:w="2818" w:type="dxa"/>
          </w:tcPr>
          <w:p w14:paraId="235B38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w:t>
            </w:r>
          </w:p>
        </w:tc>
        <w:tc>
          <w:tcPr>
            <w:tcW w:w="2818" w:type="dxa"/>
          </w:tcPr>
          <w:p w14:paraId="7D9C8D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 км/час/</w:t>
            </w:r>
          </w:p>
        </w:tc>
        <w:tc>
          <w:tcPr>
            <w:tcW w:w="2818" w:type="dxa"/>
          </w:tcPr>
          <w:p w14:paraId="79FE23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 км/час/</w:t>
            </w:r>
          </w:p>
        </w:tc>
      </w:tr>
      <w:tr w:rsidR="00A907A5" w:rsidRPr="00271E51" w14:paraId="09C6DC6A" w14:textId="77777777" w:rsidTr="00ED5B0A">
        <w:tc>
          <w:tcPr>
            <w:tcW w:w="2818" w:type="dxa"/>
          </w:tcPr>
          <w:p w14:paraId="66CF4B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998DB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6200 м</w:t>
            </w:r>
          </w:p>
        </w:tc>
        <w:tc>
          <w:tcPr>
            <w:tcW w:w="2818" w:type="dxa"/>
          </w:tcPr>
          <w:p w14:paraId="382BF7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6100 м</w:t>
            </w:r>
          </w:p>
        </w:tc>
      </w:tr>
      <w:tr w:rsidR="00A907A5" w:rsidRPr="00271E51" w14:paraId="35F09F09" w14:textId="77777777" w:rsidTr="00ED5B0A">
        <w:tc>
          <w:tcPr>
            <w:tcW w:w="2818" w:type="dxa"/>
          </w:tcPr>
          <w:p w14:paraId="2D027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2818" w:type="dxa"/>
          </w:tcPr>
          <w:p w14:paraId="53E576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 мин.</w:t>
            </w:r>
          </w:p>
        </w:tc>
        <w:tc>
          <w:tcPr>
            <w:tcW w:w="2818" w:type="dxa"/>
          </w:tcPr>
          <w:p w14:paraId="24FA6B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 мин.</w:t>
            </w:r>
          </w:p>
        </w:tc>
      </w:tr>
    </w:tbl>
    <w:p w14:paraId="6B11E5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Дефекты: ухудшение герметизации капота и фюзеляжа, в полете костыльное колесо выпадает после уборки, плохая работа свечей ВГ-12 (1783,302).</w:t>
      </w:r>
    </w:p>
    <w:p w14:paraId="28A2FE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275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вышел приказ 666с о передаче оснастки на самолет 302 с 464 завода в НИИ-3 (1782).</w:t>
      </w:r>
    </w:p>
    <w:p w14:paraId="4951B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73E28"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вышел приказ НКАП № 666с:</w:t>
      </w:r>
    </w:p>
    <w:p w14:paraId="5F787DE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распоряжения ГКО № 4306 от 11 октября 1943 о передаче з-да № 55 Гос. инт-ту реактивной техники при СНК.</w:t>
      </w:r>
    </w:p>
    <w:p w14:paraId="2C835DB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(1752, 73).</w:t>
      </w:r>
    </w:p>
    <w:p w14:paraId="46AFEC6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60E30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г. приказом НКАП № 666с в соответствии с распоряжением ГКО № 4306с от 11.10.1943 г. завод № 55 НКАП со всем оборудованием и кадрами был передан с 7.11.1943 г. в подчинение ГИРТ.</w:t>
      </w:r>
    </w:p>
    <w:p w14:paraId="4973C1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(1942 г.О- А. Г. Костиков, (1942 г.)- Шаройко.</w:t>
      </w:r>
    </w:p>
    <w:p w14:paraId="78D71E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завода (1942-44 г.)- М.Р. Бисноват (11982).</w:t>
      </w:r>
    </w:p>
    <w:p w14:paraId="6FBC70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69CF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930EE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48C8D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г.из ОТЧЕТА ДИРЕКТОРА ЗАВОДА № 556 А.В. ДОМРАЧЕВА О РАБОТЕ ПРЕДПРИЯТИЯ ЗА ПЕРИОД 1941-1943 гг.</w:t>
      </w:r>
    </w:p>
    <w:p w14:paraId="244E96A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Эвакуация и восстановление завода № 556 в городе Новосибирске</w:t>
      </w:r>
    </w:p>
    <w:p w14:paraId="75F78D9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 октября 1941 года по решению Государственного Комитета Обороны СССР и народного комиссара боеприпасов завод № 556 (бывший [№] 187) из города Тулы был эвакуирован: производство 23 мм гильз и часть производства патронирования в г. Кемерово; производство 20 мм гильз и всех звеньев к авиапушкам в город Омск; производство взрывателей и корпусов к авиапушкам в город Новосибирск, завод № 677; производство орудийных гильз, производство патронирования и снаряжения авиавыстрела, инструментальный и механический цеха в гор[од] Новосибирск, комбинат № 179, на базе этого и организовался завод № 556. Прокатное производство по изготовлению звеньевой ленты эвакуировано на Сикарский завод. По Генеральному плану завод № 556 восстанавливался на следующую программу: выпуск горячего проката - 136 350 тонн/год, выпуск 76 мм латунных гильз — 4 800,0 тысячи штук в год, выпуск 76 мм железных гильз - 3 720,0 тысячи штук в год, выпуск 152 мм латунных гильз 1937 г.— 2 250,0 тысяч штук в год, патронирование и снаряжение 20 и 23 мм осколочно- и бронебойно-зажигательных патронов -45 000,0 тысячи в год. На 1 октября 1943 года завод Мё 556 имеет 23 345 мг производственной площади, смонтировано в основных и вспомогательных цехах всего (без моторов) 567 единиц оборудования, 3 841 человек работающих и достиг ежемесячного валового выпуска в объеме 11 000—12 000 тысяч рублей. Восстановление всего эвакуированного оборудования велось исключительно силами коллектива рабочих и инженерно-технических работников завода № 556. Завод выпускает следующую номенклатуру изделий: горячий прокат латуни для производства 57, 76 и 152 мм орудийных гильз; 57 мм латунная противотанковая гильза; 76 мм латунная дивизионная гильза; 76 мм железная дивизионная гильза; 152 мм латунная гаубичная гильза (19J37 года; 20 мм осколочно-зажигательный патрон; 20 мм осколочно-трассирующий патрон; 20 мм бронебойно-зажигательный патрон; 23 мм осколочно-зажигательный патрон; 23 мм бронебойно-зажигательный патрон. Восстановление завода № 556 на комбинате № 179 производилось по проектам ГСПИ-4. Причем в основе восстановления лежало два момента: во-первых, он восстанавливался на имеющихся свободных площадях комбината и, во-вторых, не как самостоятельный завод, а как одно из производств комбината № 179. Эти два момента и привели к тому, что завод № 556 разбросан по всему комбинату № 179. Приказом заместителя народного комиссара боеприпасов тов. Ивановского № 035/Н от 9 апреля 1942 года завод № 556 выделен из системы комбината № 179 в самостоятельный завод, а приказом народного комиссара боеприпасов тов. Ванникова № 120 от 23 марта 1942 года заводу был присвоен номер «556». Будучи разбросан по всей территории комбината, завод X? 556, по существу, не имеет даже собственной промышленной площадки, своего энергетического хозяйства, связи, подъездных путей, охранной службы и обслуживающих объектов, что крайне затрудняет и осложняет работу, а подчас встречаются непреодолимые трудности. В силу указанных обстоятельств дальнейшее расширение мощностей завода возможно только за счет усовершенствования технологического процесса и проведения рационализаторских мероприятий, над чем завод очень много работает в настоящее время.</w:t>
      </w:r>
    </w:p>
    <w:p w14:paraId="34FFC7C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авиавыстрела восстановлено и пущено в эксплуатацию с января, производство орудийных гильз - с апреля, а производство пушечной латуни — с июля месяца 1942 года. </w:t>
      </w:r>
    </w:p>
    <w:p w14:paraId="539FE2C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Выполнение программы в натуральном выражении по главнейшим изделиям </w:t>
      </w:r>
    </w:p>
    <w:p w14:paraId="37CAC83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причинами невыполнения производственной программы являются следующие:</w:t>
      </w:r>
    </w:p>
    <w:p w14:paraId="796F2E4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орудийным гильзам. В 1942 году программа по производству 76 и 152 мм гильз в течение 1-го квартала не выполнена в связи со срывом сроков монтажа прессово-термического цеха, по вине строительно-монтажного треста. Программа 2-го квартала по 76 мм латунным гильзам, а по 152 мм в течение 2-го и 3-го квартала не выполнена из-за необеспеченности завода металлом. Обеспеченность 2-го квартала металлом составила по 76 мм латунным гильзам 80%, а по 152 мм -лишь 20% потребности. В 3-м квартале по 152 мм гильзам обеспеченность составляла 50%. Программа 4-го квартала 1942 года не выполнена исключительно из-за необеспеченности рабочей силой, так как в этот момент завод вынужден был укомплектовать рабочей силой металлургическое производство за счет производства орудийных гильз. В 1943 году невыполнение программы по орудийным гильзам в основном не выполнено в связи с необеспеченностью рабочей силой завода, инструментальными сталями и их заменителями, монтажной кожей и абразивами. Программа по 76 мм стальным гильзам как в 1942 году, так и 1943 году не выполнена в связи с неотработанностью технологического процесса.</w:t>
      </w:r>
    </w:p>
    <w:p w14:paraId="3950681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производству авиавыстрела. Невыполнение программы образовалось как в 1942 году, так и в 1943 году исключительно в связи с необеспеченностью элементами авиавыстрела. Производство патронирования и снаряжения кооперируется в получении элементов с 24 предприятиями. Постоянными заводами-поставщиками являются [№] 14» 15, 40, 62, 80, 188, 192, 206, 252, 254, 309, 325, 392, 398, 513, 564, 572, 606, 677. Из этих заводов в 1942 году только один завод [№] 15 выполнил свои обязательства. Остальные не выполнили. Такое же положение обстоит с поставкой элементов и в 1943 году.</w:t>
      </w:r>
    </w:p>
    <w:p w14:paraId="5CB6EB1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Несмотря на указанные причины, приведшие к невыполнению производственной программы, все же выпуск продукции для фронта по полугодиям как в натуральном, так и в ценностном выражении неуклонно растет, что видно из следующей таблицы (1-е полугодие 1942 года взято за 100%).</w:t>
      </w:r>
    </w:p>
    <w:p w14:paraId="7065A0E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Производительность труда за отчетный период по полугодиям составила: 1-е полугодие 1942 года - 22 575 рублей, 2-е полугодие 1942 года -28 788 рублей, 1-е полугодие 1943 года - 28 202 рубля. Проведенные заводом мероприятия были направлены, главным образом, на всемерное увеличение выпуска боеприпасов по всей установленной номенклатуре. Сразу после восстановления завода для выполнения производственной программы потребовалось большое количество рабочих. Получать их со стороны в условиях Отечественной войны, по существу, не представлялось возможным. Поэтому коллектив завода в решении этой задачи пошел по линии усовершенствования технологического процесса, механизации трудоемких работ и рационализации производства. За отчетный период наиболее важные работы были проведены следующие. Разработан и внедрен сокращенный двухвытяжной технологический процесс производства 76 мм латунной дивизионной гильзы. В начале 1942 года технологический процесс производств этого изделия имел 27 операций, из них: 12 прессовых, 8 термических и 7 химических. К середине 1942 года технический процесс был сокращен до 13 операций, т.е. 7 прессовых, 3 термических и 3 химических. Внедрен сокращенный двухвытяжной техпроцесс производства 152 мм латунной гаубичной гильзы. В 1942 году технологический процесс производства данного изделия состоял из 22 операций, из них: 10 прессовых, 6 термических и 6 химических. В 1943 году после перехода на сокращенный техпроцесс осталось 13 операций. Из них: 7 прессовых, 3 термических и 3 химических.</w:t>
      </w:r>
    </w:p>
    <w:p w14:paraId="05DBA08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 и внедрен в производство новый технологический процесс для 57 мм латунной противотанковой гильзы. Вместо производства в 6 вытяжек, 5 обжимов и 3 отжига дульц внедрено производство в 3 вытяжки, 2 отжига и 2 обжига дульц. Впервые в СССР разработан и внедрен метод производства горячекатанной латуни. Этот метод исключает такие операции, как шабровка или фрезеровка, холодная прокатка, отжиг кружка после их вырубки. Этот метод кроме большой экономичности дает латунь значительно лучшего качества. Кроме того, проведен целый ряд других мероприятий по усовершенствованию технологического процесса и механизации производства. Все это дало заводу большую экономию в рабочей силе, облегчило труд рабочих и внесло культуру в производство. На протяжении всего периода завод имеет большую недоукомплектованность в рабочей силе. Основной причиной, тормозившей комплектование рабочей силы завода, являлась текучесть. В 1942 году было принято на завод рабочих 4 337 человек. Убыло за этот же период - 2 316 человек. В 1943 году за 9 месяцев было принято на завод 1 493 человека, убыло с завода 1 549 человек. Такая текучесть рабочих вредно отразилась на производстве и не давала возможности правильно организовать подготовку кадров на заводе. Основными причинами большой текучести рабочей силы являются следующие: неудовлетворительные материально-бытовые условия, сложившиеся на заводе; слабая трудовая дисциплина среди мобилизованных из сельских местностей, не привыкших к заводской дисциплине. Кроме того, в 1943 году среди мобилизованных много было подростков из прифронтовой полосы, которые при первой возможности стремились снова уехать на родину. В настоящее время заводом большая работа проводится по закреплению рабочих, прежде всего путем улучшения материально-бытовых условий. Завод имеет свой жилищно-коммунальный отдел, состоящий из 3 домоуправлений. 1-е домоуправление расположено с южной стороны соцгорода. Состоит из десяти 2-этажных брусчатых домов, общей площадью 6 660 квадратных метров. Все дома с центральным отоплением. В поселке имеются заводская баня, прачечная. Поселок находится на расстоянии 4,5—5 километров от завода. В 300 метрах от поселка проходит трамвай, связывающий поселок со станцией Криво-щеково. 2-е домоуправление находится с юго-западной стороны завода и с западной стороны соцгорода. Поселок состоит из 12 каркасно-засыпных жилых домов, общей площадью 5 953 квадратных метра. Все дома с печным отоплением. В этом же поселке имеется заводской клуб, баня, прачечная, парикмахерская, столовая, здравпункт и магазин. В поселке проживают только рабочие завода. Поселок находится на расстоянии 4 километров от завода, трамвая нет, организуется остановка рабочего поезда на поселке. 3-е домоуправление расположено в центральной части соцгорода. Домоуправление состоит из двух 5-этажных кирпичных домов с центральным отоплением. Общая площадь 5 127 квадратных метров. В этих домах размещен главным образом инженерно-технический персонал завода. В нижнем этаже этих домов завод имеет свой хорошо оборудованный магазин и сапожно-пошивочную мастерскую. Завод имеет свою хорошо оборудованную поликлинику. Кроме указанного, для лучшего обслуживания рабочих на территории завода открыт здравпункт, при каждом цехе сапожные мастерские для починки обуви, две парикмахерских, а также при каждом цехе имеется своя столовая. Все жилищные и культурно-бытовые помещения в 1943 году капитально отремонтированы. На капитальный ремонт в 1943 году затрачено 350,0 тысячи рублей. Постельными принадлежностями рабочие, проживающие в общежитиях, обеспечены 1,5 смены. Завод имеет в 13 километрах от станции Кривощеково свое подсобное хозяйство. Направление подсобного хозяйства — мясомолочное и овощное. В 1943 году посевная площадь подсобного хозяйства составила 1 384 гектара. На 1 октября 1943 года в хозяйстве имелось 785 голов крупного рогатого скота и 735 голов прочего скота. Осенью 1943 года из подсобного хозяйства выдано овощей семьям фронтовиков на каждого человека: капусты — 50 килограмм, моркови — 5 килограмм, луку — 3 килограмма, картофеля — от 100 до 500 килограммов на семью. Руководящему составу выдано на члена семьи капусты - 50 килограмм, луку — 3 килограмма, моркови - 5 килограмм, капусты всему инженерно-техническому составу — по 50 килограмм на каждого члена семьи.</w:t>
      </w:r>
    </w:p>
    <w:p w14:paraId="55AB362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зиме 1943 года рабочим и инженерно-техническому персоналу выдано:</w:t>
      </w:r>
    </w:p>
    <w:p w14:paraId="244A97A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Телогреек ватных - 2 700 штук.</w:t>
      </w:r>
    </w:p>
    <w:p w14:paraId="5CA958D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Брюк ватных — 2 700 штук.</w:t>
      </w:r>
    </w:p>
    <w:p w14:paraId="67C2AC5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Ботинок - 1 700 пар.</w:t>
      </w:r>
    </w:p>
    <w:p w14:paraId="3259625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Шапок - 200 штук.</w:t>
      </w:r>
    </w:p>
    <w:p w14:paraId="2A1E5EF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Валяной обуви - 825 пар.</w:t>
      </w:r>
    </w:p>
    <w:p w14:paraId="6A2D64B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полностью теплой одеждой и обувью к зиме заводу нужна помощь в приобретении 2 500 штук ватных пиджаков или пальто, 3 000 штук шапок и 1 500 пар валяной обуви.</w:t>
      </w:r>
    </w:p>
    <w:p w14:paraId="6A7DDBE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556 НКБ СССР Домрачев</w:t>
      </w:r>
    </w:p>
    <w:p w14:paraId="79693C4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инженер завода № 556 Малыгин</w:t>
      </w:r>
    </w:p>
    <w:p w14:paraId="553B2F9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7. Д. 514. Л. 25-35. Подлинник. Подписи-автографы Домрачева и Малыгина (12160).</w:t>
      </w:r>
    </w:p>
    <w:p w14:paraId="5A9D709F"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64F669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г. приказом Наркомата электропромышленности СССР создана Центральная научно-исследовательская электроугольная и электрощеточная лаборатория (ЦНИЛЭТ) при заводе N 701. В соответствии с приказом наркомата от 29 апреля 1944 г. лаборатория становится самостоятельной. Приказом Министерства промышленности средств связи СССР от 9 октября 1946 г. лаборатория переименована в Филиал Научно-исследовательского элементно-электроугольного института (НИЭЭИ), который приказом Госкомитета Совета Министров СССР по автоматизации и машиностроению от 28 октября 1959 г. переименован в Филиал Всесоюзного научно-исследовательского института электромеханики (ВНИИЭМ), с июня 1961 г. - Филиал Всесоюзного ордена Трудового Красного Знамени научно-исследовательского института электромеханики (ВНИИЭМ). Приказом Министерства электротехнической промышленности СССР от 24 июня 1969 г. был преобразован во Всесоюзный научно-исследовательский и проектно-технологический институт электроугольных изделий (ВНИИЭИ) (12102).</w:t>
      </w:r>
    </w:p>
    <w:p w14:paraId="5C3ABA0E" w14:textId="77777777" w:rsidR="00F96B9F" w:rsidRPr="00271E51" w:rsidRDefault="00F96B9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0816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4488 [О поставке НКЭП для НКГБ 10 подвижных радиостанций РАФ.] (7153, 122).</w:t>
      </w:r>
    </w:p>
    <w:p w14:paraId="32712FD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573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4489. О поставках НКЧМ кислородных, хлорных и аммиачных баллонов Главгазтоппрому при СНК СССР и НКХП.РГАНИР, Фонд ГКО, д. 171, лл. 123 (11012).</w:t>
      </w:r>
    </w:p>
    <w:p w14:paraId="725D4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4A4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4490. О выделении строительному тресту № 18 800 мобилизованных, ограниченно годных к военной службе, и военнослужащих старших возрастов для строительства завода № 500 HКАП.РГАНИР, Фонд ГКО, д. 171, лл. 124 (11012).</w:t>
      </w:r>
    </w:p>
    <w:p w14:paraId="3EC4C7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24C3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4491 [О мерах по обеспечению бесперебойной работы в осенне-зимний период 1943-44 гг. Марийского целлюлозно-бумажного комбината НКБП.] (7153, 125).</w:t>
      </w:r>
    </w:p>
    <w:p w14:paraId="0AA2585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38ED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4492 [О мерах по увеличению производства и улучшению качества кристаллического графита.] (7153, 126-128).</w:t>
      </w:r>
    </w:p>
    <w:p w14:paraId="1C2CBA4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F247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4493 О восстановлении метизного филиала Сталинградского тракторного завода Наркомтанкопрома.РГАНИР, Фонд ГКО, д. 171, лл. 129-132, 133-134 (11012).</w:t>
      </w:r>
    </w:p>
    <w:p w14:paraId="3B9F65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989C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4494 О мероприятиях по увеличению производства кинопленки и киноаппаратуры. (7153, 135-138,139-144).</w:t>
      </w:r>
    </w:p>
    <w:p w14:paraId="21F87AE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FCC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4495 Об отводе лесосечного фонда на IV квартал 1943 года и на 1944 год и о плане лесозаготовок и лесовывозки на осенне-зимний сезон 1943/44 гг. по Украинской ССР.РГАНИР, Фонд ГКО, д. 171, лл. 145-151, 152-162 (11012).</w:t>
      </w:r>
    </w:p>
    <w:p w14:paraId="2BA364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314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4496 О производстве аккумуляторного шпона.РГАНИР, Фонд ГКО, д. 171, лл. 163-165, 166-168 (11012).</w:t>
      </w:r>
    </w:p>
    <w:p w14:paraId="2C3D03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35D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4497 О восстановлении гидроагрегатов № 7 и № 8 Волховской ГЭС.РГАНИР, Фонд ГКО, д. 171, лл. 169-171, 172-174 (11012).</w:t>
      </w:r>
    </w:p>
    <w:p w14:paraId="50E19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061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Распоряжение ГКО № 4498. О выделении 700 военнообязанных, не годных к воинской службе, НКМТП РСФСР в IV кв. 1943 г.РГАНИР, Фонд ГКО, д. 171, лл. 175 (11012).</w:t>
      </w:r>
    </w:p>
    <w:p w14:paraId="2A32E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6A8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4499 О плане ремонта и производства военно-технического имущества на предприятиях НКО в IV квартале 1943 г.РГАНИР, Фонд ГКО, д. 171, лл. 176-177, 178-196 (11012).</w:t>
      </w:r>
    </w:p>
    <w:p w14:paraId="11DDC9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8B5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вышло Постановление ГКО № 4500 О неотложных мерах по увеличению производства запасных частей для тракторов и комбайнов.РГАНИР, Фонд ГКО, д. 171, лл. 197-219, 220-240 (11012).</w:t>
      </w:r>
    </w:p>
    <w:p w14:paraId="0BB271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BB1B6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016BE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8693A"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оперативная сводка Совинформбюро:</w:t>
      </w:r>
    </w:p>
    <w:p w14:paraId="6339B839"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ноября в районе между рекой Днепр и побережьем Каркинитского залива наши войска продолжали развивать наступление и, продвинувшись вперёд, заняли более 80 населённых пунктов, среди которых крупные населённые пункты Большие Копани, Чалбасы, Малые Копани, Келегейские, Михайловка, Николаевка, Красное, Владимировка.</w:t>
      </w:r>
    </w:p>
    <w:p w14:paraId="385D60F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заняли несколько населённых пунктов, среди которых Криничеваты, Красный Кут, Любимый, Первомайское, Красный Орлик, Грузиновка, Новокиевка.</w:t>
      </w:r>
    </w:p>
    <w:p w14:paraId="715D99AD"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 перестрелка.</w:t>
      </w:r>
    </w:p>
    <w:p w14:paraId="2EDD79A9"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ноября наши войска на всех фронтах подбили и уничтожили 77 немецких танков. В воздушных боях и огнём зенитной артиллерии сбито 24 самолёта противника.</w:t>
      </w:r>
    </w:p>
    <w:p w14:paraId="01910CF5"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побережьем Каркинитского залива наши войска продолжали успешное наступление. На одном участке немцы укрепились на промежуточном рубеже и оказывали упорное сопротивление. Бойцы Н-ской части совершили удачный манёвр и, выйдя в тыл противнику, нанесли ему внезапный удар. Рассеяно и частью уничтожено до полка немецкой пехоты. Захвачено много пленных и всё вооружение полка. На другом участке наши подвижные части, стремительно продвигаясь вперёд, заняли ряд крупных населённых пунктов. Уничтожено не менее 2000 гитлеровцев. Захвачено у немцев 16 танков, 34 орудия, 13 шестиствольных миномётов, свыше 100 автомашин, 800 лошадей, 10 тысяч голов рогатого скота, двасклада боеприпасов, вещевой склад и 3 крупных склада с зерном.</w:t>
      </w:r>
    </w:p>
    <w:p w14:paraId="34AACE33"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летчики бомбардировали отступающие колонны немецких войск и скопления автомашин у переправ через реку Днепр. В результате бомбардировки противник понёс тяжёлые потери в живой силе и технике. В воздушных боях сбито 15 немецкихсамолётов.</w:t>
      </w:r>
    </w:p>
    <w:p w14:paraId="17B5410A"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наши войска с боями продвигались вперёд и заняли несколько населённых пунктов. В бою за эти пункты наши артиллеристы и бронебойщики уничтожили 22 немецких танка, 6 самоходных и 43полевых орудия, 3 транспортёра и более 100 пулемётов. Уничтожено до 1.500 немецких солдат и офицеров. Взяты пленные. Захвачено у противника 4 самоходных и 24 полевых орудия, 100 вагонов с зерном, железнодорожный состав с военным имуществом и другие трофеи. На другом участке наши гвардейцы отбили пять контратак противника и истребили до батальона гитлеровцев. Пленные немецкие солдаты показали, что 15 немецкая пехотная дивизия в последних боях понесла огромные потери. В большей части стрелковых рот осталось по 15—20 человек.</w:t>
      </w:r>
    </w:p>
    <w:p w14:paraId="1F8CD8B1"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наносила штурмовые и бомбардировочные удары по боевым порядкам противника. Уничтожено и повреждено 4 немецких танка, свыше 60 автомашин с войсками и грузами, подавлен огонь 20 орудий и взорван склад с горючим.</w:t>
      </w:r>
    </w:p>
    <w:p w14:paraId="7961B50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транспорт противника водоизмещением в 10 тысяч тонн.</w:t>
      </w:r>
    </w:p>
    <w:p w14:paraId="346AFB57"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Минский партизанский отряд с 17 по 24 октября уничтожил 58 немецких автомашин с боеприпасами и солдатами, следовавшими к линии фронта. Убито более 200 гитлеровцев. Кроме того, советские патриоты взорвали 6 шоссейных мостов и разрушили 8 километров телеграфно-телефонной линии связи. Партизаны совершили нападение на вражеский гарнизон в крупном населённом пункте и разгромили его. Группа немецких солдат из этого гарнизона в количестве 30 человек сложила оружиеи сдалась в плен. Советские патриоты захватили 8 пулемётов, 60 винтовок, много гранат и патронов.</w:t>
      </w:r>
    </w:p>
    <w:p w14:paraId="07390B68"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танкового полка немецкой танковой дивизии СС «Великая Германия» Георг Кунечни рассказал: «Наш полк получил приказ захватить две высоты и закрепиться на них. Для выполнения этой задачи была образована ударная группав составе шести танков «Тигр» и 12 грузовых автомашин с пехотой. Ночью группа двинулась по направлению к русским позициям. Во время движения в мой танк попал снаряд, и он загорелся. Остальные танки также были подбиты и застряли, не дойдя до русских позиций». Пленный ефрейтор того же полка Эрих Эйхингер заявил: «За один месяц полк потерял 14 танков типа «Тигр». В результате последнего боя в полку не осталось ни одного исправного танка. Раньше мы были убеждены, что при помощи «Тигров» можно подавить любые средства сопротивления. Теперь многие солдаты поняли, что мы переоценили силу танков «Тигр» и недооценили русскую артиллерию. Эти танки были нашей последней надеждой. Однако эта надежда теперь так же похоронена, как и многие другие. Русские научились бороться с «Тиграми».</w:t>
      </w:r>
    </w:p>
    <w:p w14:paraId="32773D3E"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Гореново, Смоленской области, рассказали о зверствах немецко-фашистских мерзавцев: «Немцы ворвались в наше село 5 августа 1941 года и хозяйничали в нём более двух лет. В первые же дни оккупации гитлеровцы выгнали всех жителей из домов. Женщины с маленькими детьми вынуждены были ютиться в сараях, землянках и щелях. Бандиты разграбили колхоз, забрали у колхозников продовольствие и все сколько-нибудь ценные вещи. Немцы угнали на каторгу в Германию более 60 девушек и подростков. Отступая под ударами Красной Армии, гитлеровцы подожгли село с двух сторон. Огнём уничтожено свыше 100 домов. Немцы пытались угнать всех жителей села, но части Красной Армии перехватили колонну и освободили нас от немецкого рабства» (14819).</w:t>
      </w:r>
    </w:p>
    <w:p w14:paraId="237550A9"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66A434C4"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в районе между рекой Днепр и побережьем Каркинитского залива наши войска заняли более 80 населенных пунктов, среди которых крупные населенные пункты Большие Копани, Чалбасы, Малые Копани, Келегейские, Михайловка, Николаевка, Красное, Владимировка. В излучине Днепра, юго-западнее Днепропетровска, наши войска заняли несколько населенных пунктов, среди которых Криничеваты, Красный Кут, Любимый, Первомайское, Красный Орлик, Грузиновка, Ново-Киевка. На остальных участках фронта - разведка и артиллерийско-минометная перестрелка (14819).</w:t>
      </w:r>
    </w:p>
    <w:p w14:paraId="44892715"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3C0EFF97" w14:textId="77777777" w:rsidR="00595253" w:rsidRPr="00271E51" w:rsidRDefault="0059525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ноября 1943 на истребителе Фокке-Вульф Fw 190 A, немецкий ас Эмиль Ланг сбил 18 советских самолетов над во время четырех боевых вылетов под Киевом. Это остается рекордом по количеству воздушных побед пилота за один день (20376).</w:t>
      </w:r>
    </w:p>
    <w:p w14:paraId="26702484" w14:textId="77777777" w:rsidR="00595253" w:rsidRPr="00271E51" w:rsidRDefault="00595253" w:rsidP="00271E51">
      <w:pPr>
        <w:spacing w:after="0" w:line="240" w:lineRule="auto"/>
        <w:jc w:val="both"/>
        <w:rPr>
          <w:rFonts w:ascii="Times New Roman" w:hAnsi="Times New Roman"/>
          <w:color w:val="0070C0"/>
          <w:sz w:val="16"/>
          <w:szCs w:val="16"/>
        </w:rPr>
      </w:pPr>
    </w:p>
    <w:p w14:paraId="5CAD2F56"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начало Киевской наступательной операции (3 – 13 ноября) войск 1-го Украинского фронта (генерал армии Н.Ф.Ватутин). Завершилась 13 декабря прорывом обороны немецко-фашистской группы армий «Юг», освобожден Киев (6 ноября) и создан стратегический плацдарм на правом берегу Днепра (14819).</w:t>
      </w:r>
    </w:p>
    <w:p w14:paraId="7AFDE6DB"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798E5FFC" w14:textId="77777777" w:rsidR="00F96B9F" w:rsidRPr="00271E51" w:rsidRDefault="00F96B9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в ночь корабли Азовской военной флотилии высадили северо-восточнее Керчи десант 56-й армии, который к 12 ноября захватил плацдарм на участке от Азовского моря до предместьев Керчи и удерживал его до начала Крымской наступательной операции (8 апреля 1944) (14819).</w:t>
      </w:r>
    </w:p>
    <w:p w14:paraId="66052D46" w14:textId="77777777" w:rsidR="00F96B9F" w:rsidRPr="00271E51" w:rsidRDefault="00F96B9F" w:rsidP="00271E51">
      <w:pPr>
        <w:spacing w:after="0" w:line="240" w:lineRule="auto"/>
        <w:jc w:val="both"/>
        <w:rPr>
          <w:rFonts w:ascii="Times New Roman" w:hAnsi="Times New Roman"/>
          <w:color w:val="000000" w:themeColor="text1"/>
          <w:sz w:val="16"/>
          <w:szCs w:val="16"/>
        </w:rPr>
      </w:pPr>
    </w:p>
    <w:p w14:paraId="6FA6B17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началась Киевская наступательная операция советских войск (4962).</w:t>
      </w:r>
    </w:p>
    <w:p w14:paraId="68F316A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B9827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Немецко-фашистские войска окружили город Харьков (4963 ).</w:t>
      </w:r>
    </w:p>
    <w:p w14:paraId="77CE57E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043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3, 1943: Start of a Soviet offensive north of Kiev (3819).</w:t>
      </w:r>
    </w:p>
    <w:p w14:paraId="05029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BBE0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3 по 13 ноября (13 декабря - 3398,379) 1943 проходила Киевская наступательная операция СА (1УФ Н.Ф.Ватутин). Наступали с букринского (с 1 ноября - отвлекающий) и лютежского плацдармов (с 3 ноября - главный) и 6 ноября освободили (2438,312).</w:t>
      </w:r>
    </w:p>
    <w:p w14:paraId="528FAC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B05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ноября 1943 сотни Ил-2 и Пе-2 наносили удары севернее Киева (430,174).</w:t>
      </w:r>
    </w:p>
    <w:p w14:paraId="295F57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0B4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советская авиаразведка засекла в районе Сюльте-фьорда четыре транспорта, шедшие в сопровождении 21 корабля охранения в общем направлении на мыс Кибергнес. Вылетевшие для удара по конвою шесть Пе-2 в сопровождении 10 "Аэрокобр" цель не нашли и отбомбились по Киркинесу. Направленные следом шесть Ил-2 и дюжина Яков также не нашли судов и снова отработали по береговым объектам. Если вторая группа, несмотря на схватку с FW190 из состава 14(Jabo)/JG5, смогла вернуться без потерь, то первой пришлось туго: один пикировщик сбили зенитки, а три "кобры" стали добычей "мессеров" 6-й эскадрильи. Поединок происходил в сумрачном небе и это обстоятельство не позволило точно идентифицировать противника. В результате, на счет Тео Вайссенбергера были записаны два "Бостона", Ил-2 и "Харрикейн". (3480).</w:t>
      </w:r>
    </w:p>
    <w:p w14:paraId="35456A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0EC469" w14:textId="77777777" w:rsidR="00BA6FD2" w:rsidRPr="00271E51" w:rsidRDefault="00BA6FD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2891BA53" w14:textId="77777777" w:rsidR="00BA6FD2" w:rsidRPr="00271E51" w:rsidRDefault="00BA6FD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A5D53F" w14:textId="77777777" w:rsidR="00BA6FD2" w:rsidRPr="00271E51" w:rsidRDefault="00BA6FD2" w:rsidP="00271E51">
      <w:pPr>
        <w:pStyle w:val="rteright"/>
        <w:spacing w:before="0" w:beforeAutospacing="0" w:after="0" w:afterAutospacing="0"/>
        <w:jc w:val="both"/>
        <w:rPr>
          <w:color w:val="000000" w:themeColor="text1"/>
          <w:sz w:val="16"/>
          <w:szCs w:val="16"/>
        </w:rPr>
      </w:pPr>
      <w:r w:rsidRPr="00271E51">
        <w:rPr>
          <w:color w:val="000000" w:themeColor="text1"/>
          <w:sz w:val="16"/>
          <w:szCs w:val="16"/>
        </w:rPr>
        <w:t>3 ноября 1943 г.</w:t>
      </w:r>
    </w:p>
    <w:p w14:paraId="69F2BC95"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rStyle w:val="a7"/>
          <w:b w:val="0"/>
          <w:color w:val="000000" w:themeColor="text1"/>
          <w:sz w:val="16"/>
          <w:szCs w:val="16"/>
        </w:rPr>
        <w:t>ВОПРОСЫ ДЕНЕЖНОЙ РЕФОРМЫ</w:t>
      </w:r>
    </w:p>
    <w:p w14:paraId="20399325"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rStyle w:val="a7"/>
          <w:b w:val="0"/>
          <w:color w:val="000000" w:themeColor="text1"/>
          <w:sz w:val="16"/>
          <w:szCs w:val="16"/>
        </w:rPr>
        <w:t>ПРОЕКТ </w:t>
      </w:r>
      <w:r w:rsidRPr="00271E51">
        <w:rPr>
          <w:color w:val="000000" w:themeColor="text1"/>
          <w:sz w:val="16"/>
          <w:szCs w:val="16"/>
        </w:rPr>
        <w:t>[</w:t>
      </w:r>
      <w:bookmarkStart w:id="7" w:name="_rtnref1"/>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"_rtnref1.1"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rPr>
        <w:t>*</w:t>
      </w:r>
      <w:r w:rsidR="00C17CA1" w:rsidRPr="00271E51">
        <w:rPr>
          <w:color w:val="000000" w:themeColor="text1"/>
          <w:sz w:val="16"/>
          <w:szCs w:val="16"/>
        </w:rPr>
        <w:fldChar w:fldCharType="end"/>
      </w:r>
      <w:bookmarkEnd w:id="7"/>
      <w:r w:rsidRPr="00271E51">
        <w:rPr>
          <w:color w:val="000000" w:themeColor="text1"/>
          <w:sz w:val="16"/>
          <w:szCs w:val="16"/>
        </w:rPr>
        <w:t>]</w:t>
      </w:r>
      <w:r w:rsidRPr="00271E51">
        <w:rPr>
          <w:color w:val="000000" w:themeColor="text1"/>
          <w:sz w:val="16"/>
          <w:szCs w:val="16"/>
          <w:vertAlign w:val="superscript"/>
        </w:rPr>
        <w:t>[</w:t>
      </w:r>
      <w:bookmarkStart w:id="8" w:name="_rtnref_1"/>
      <w:r w:rsidR="00C17CA1" w:rsidRPr="00271E51">
        <w:rPr>
          <w:color w:val="000000" w:themeColor="text1"/>
          <w:sz w:val="16"/>
          <w:szCs w:val="16"/>
          <w:vertAlign w:val="superscript"/>
        </w:rPr>
        <w:fldChar w:fldCharType="begin"/>
      </w:r>
      <w:r w:rsidRPr="00271E51">
        <w:rPr>
          <w:color w:val="000000" w:themeColor="text1"/>
          <w:sz w:val="16"/>
          <w:szCs w:val="16"/>
          <w:vertAlign w:val="superscript"/>
        </w:rPr>
        <w:instrText xml:space="preserve"> HYPERLINK "http://istmat.info/node/62259" \l "_rtnref_1.1" </w:instrText>
      </w:r>
      <w:r w:rsidR="00C17CA1" w:rsidRPr="00271E51">
        <w:rPr>
          <w:color w:val="000000" w:themeColor="text1"/>
          <w:sz w:val="16"/>
          <w:szCs w:val="16"/>
          <w:vertAlign w:val="superscript"/>
        </w:rPr>
        <w:fldChar w:fldCharType="separate"/>
      </w:r>
      <w:r w:rsidRPr="00271E51">
        <w:rPr>
          <w:rStyle w:val="a5"/>
          <w:rFonts w:eastAsiaTheme="majorEastAsia"/>
          <w:color w:val="000000" w:themeColor="text1"/>
          <w:sz w:val="16"/>
          <w:szCs w:val="16"/>
          <w:vertAlign w:val="superscript"/>
        </w:rPr>
        <w:t>6</w:t>
      </w:r>
      <w:r w:rsidR="00C17CA1" w:rsidRPr="00271E51">
        <w:rPr>
          <w:color w:val="000000" w:themeColor="text1"/>
          <w:sz w:val="16"/>
          <w:szCs w:val="16"/>
          <w:vertAlign w:val="superscript"/>
        </w:rPr>
        <w:fldChar w:fldCharType="end"/>
      </w:r>
      <w:bookmarkEnd w:id="8"/>
      <w:r w:rsidRPr="00271E51">
        <w:rPr>
          <w:color w:val="000000" w:themeColor="text1"/>
          <w:sz w:val="16"/>
          <w:szCs w:val="16"/>
          <w:vertAlign w:val="superscript"/>
        </w:rPr>
        <w:t>]</w:t>
      </w:r>
    </w:p>
    <w:p w14:paraId="5BCEC550" w14:textId="77777777" w:rsidR="00BA6FD2" w:rsidRPr="00271E51" w:rsidRDefault="00BA6FD2" w:rsidP="00271E51">
      <w:pPr>
        <w:pStyle w:val="rteright"/>
        <w:spacing w:before="0" w:beforeAutospacing="0" w:after="0" w:afterAutospacing="0"/>
        <w:jc w:val="both"/>
        <w:rPr>
          <w:color w:val="000000" w:themeColor="text1"/>
          <w:sz w:val="16"/>
          <w:szCs w:val="16"/>
        </w:rPr>
      </w:pPr>
      <w:r w:rsidRPr="00271E51">
        <w:rPr>
          <w:color w:val="000000" w:themeColor="text1"/>
          <w:sz w:val="16"/>
          <w:szCs w:val="16"/>
        </w:rPr>
        <w:t>3 ноября 1943 г.</w:t>
      </w:r>
    </w:p>
    <w:p w14:paraId="267463DB" w14:textId="77777777" w:rsidR="00BA6FD2" w:rsidRPr="00271E51" w:rsidRDefault="00BA6FD2" w:rsidP="00271E51">
      <w:pPr>
        <w:pStyle w:val="rteright"/>
        <w:spacing w:before="0" w:beforeAutospacing="0" w:after="0" w:afterAutospacing="0"/>
        <w:jc w:val="both"/>
        <w:rPr>
          <w:color w:val="000000" w:themeColor="text1"/>
          <w:sz w:val="16"/>
          <w:szCs w:val="16"/>
        </w:rPr>
      </w:pPr>
      <w:r w:rsidRPr="00271E51">
        <w:rPr>
          <w:color w:val="000000" w:themeColor="text1"/>
          <w:sz w:val="16"/>
          <w:szCs w:val="16"/>
          <w:u w:val="single"/>
        </w:rPr>
        <w:t>Секретно</w:t>
      </w:r>
    </w:p>
    <w:p w14:paraId="5A27A19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Разработка проекта денежной реформы включает следующие основные вопросы:</w:t>
      </w:r>
    </w:p>
    <w:p w14:paraId="3D6E5626"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Задачи реформы.</w:t>
      </w:r>
    </w:p>
    <w:p w14:paraId="4CEBD029"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Пути и методы проведения реформы.</w:t>
      </w:r>
    </w:p>
    <w:p w14:paraId="0D9DA55E"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Время проведения и предпосылки реформы.</w:t>
      </w:r>
    </w:p>
    <w:p w14:paraId="73DDACE9"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Необходимые мероприятия в ходе реформы.</w:t>
      </w:r>
    </w:p>
    <w:p w14:paraId="1A3F5577"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Уровень стабилизации.</w:t>
      </w:r>
    </w:p>
    <w:p w14:paraId="0ABE8296"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Порядок обмена обращающихся денежных знаков на новые.</w:t>
      </w:r>
    </w:p>
    <w:p w14:paraId="49A46B7D"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Организация эмиссии новых денежных знаков.</w:t>
      </w:r>
    </w:p>
    <w:p w14:paraId="43BC80B0"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Кроме того, возникает и требует своего разрешения частный вопрос — о денежном обращении в освобождаемых от врага районах.</w:t>
      </w:r>
    </w:p>
    <w:p w14:paraId="31A1B774"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1. </w:t>
      </w:r>
      <w:r w:rsidRPr="00271E51">
        <w:rPr>
          <w:color w:val="000000" w:themeColor="text1"/>
          <w:sz w:val="16"/>
          <w:szCs w:val="16"/>
          <w:u w:val="single"/>
        </w:rPr>
        <w:t>Задачи реформы</w:t>
      </w:r>
    </w:p>
    <w:p w14:paraId="2407BCF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Определение задач денежной реформы имеет решающее значение, так как от этого зависит разработка всех других вопросов реформы (пути и методы проведения, сроки, необходимые мероприятия в ходе реформы, организация новой эмиссии и пр.)</w:t>
      </w:r>
    </w:p>
    <w:p w14:paraId="57E9828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Реформа должна разрешить две основные задачи:</w:t>
      </w:r>
    </w:p>
    <w:p w14:paraId="34409E34"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A. Достичь соответствия между количеством денег в обращении и потребностями хозяйственного оборота в деньгах.</w:t>
      </w:r>
    </w:p>
    <w:p w14:paraId="2E01F6BA"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Создать условия, устраняющие возможность и необходимость чрезмерного выпуска денег в обращение и связанного с этим роста цен (обесценения рубля) в послереформенное время.</w:t>
      </w:r>
    </w:p>
    <w:p w14:paraId="1C62FC23"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исключена возможность того, что задачей денежной реформы будет также:</w:t>
      </w:r>
    </w:p>
    <w:p w14:paraId="1C6F97E5"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 Преодоление последствий и пресечение валютной диверсии врага (в случае злонамеренного выпуска немцами в оккупированных ими районах денежных знаков советского образца).</w:t>
      </w:r>
    </w:p>
    <w:p w14:paraId="0022E31E"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2. </w:t>
      </w:r>
      <w:r w:rsidRPr="00271E51">
        <w:rPr>
          <w:color w:val="000000" w:themeColor="text1"/>
          <w:sz w:val="16"/>
          <w:szCs w:val="16"/>
          <w:u w:val="single"/>
        </w:rPr>
        <w:t>Пути и методы проведения реформы</w:t>
      </w:r>
    </w:p>
    <w:p w14:paraId="556FAED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Соответствие между количеством денег в обращении и потребностями хозяйственного оборота в деньгах может быть достигнуто путем:</w:t>
      </w:r>
    </w:p>
    <w:p w14:paraId="3893701C"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сокращения денежной массы в обращении до уровня, определяемого потребностями хозяйственного оборота в деньгах, и</w:t>
      </w:r>
    </w:p>
    <w:p w14:paraId="0B40A9A8"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расширения потребности хозяйственного оборота в деньгах.</w:t>
      </w:r>
    </w:p>
    <w:p w14:paraId="4AB9507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Потребности хозяйственного оборота в деньгах, в свою очередь, зависят от размеров товарооборота в натуральном выражении (количество реализуемых товаров и услуг) и от уровня цен (уровень покупательной силы денег).</w:t>
      </w:r>
    </w:p>
    <w:p w14:paraId="42500B04"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связи с этим соответствие между количеством денег в обращении и потребностями хозяйственного оборота в деньгах может быть в ходе реформы достигнуто:</w:t>
      </w:r>
    </w:p>
    <w:p w14:paraId="13C37DFC"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основе снижения цен или повышения покупательной силы денег до довоенного уровня;</w:t>
      </w:r>
    </w:p>
    <w:p w14:paraId="4DC4E4BE"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основе сохранения уровня цен государственно-кооперативной торговли, сложившегося в настоящее время;</w:t>
      </w:r>
    </w:p>
    <w:p w14:paraId="15882FB5"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 основе повышения цен государственно-кооперативной торговли или снижения покупательной силы денег до уровня, обеспечивающего рассасывание в обороте избыточной денежной массы.</w:t>
      </w:r>
    </w:p>
    <w:p w14:paraId="249AEEB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Сочетание указанных выше двух путей достижения соответствия между количеством денег в обращении и потребностями хозяйственного оборота в деньгах, а также уровень цен или уровень покупательной силы денег, на котором предполагается достижение этого соответствия, определяют метод проведения реформы.</w:t>
      </w:r>
    </w:p>
    <w:p w14:paraId="66C4087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Могут быть предложены следующие методы проведения денежной реформы:</w:t>
      </w:r>
    </w:p>
    <w:p w14:paraId="09869DD9"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Аннулирование всех ранее выпущенных в обращение денежных знаков и выпуск новых, не связанных с ними денежных знаков в пределах действительной потребности хозяйственного оборота в деньгах </w:t>
      </w:r>
      <w:r w:rsidRPr="00271E51">
        <w:rPr>
          <w:rFonts w:ascii="Times New Roman" w:hAnsi="Times New Roman"/>
          <w:color w:val="000000" w:themeColor="text1"/>
          <w:sz w:val="16"/>
          <w:szCs w:val="16"/>
          <w:u w:val="single"/>
        </w:rPr>
        <w:t>(полная нулификация)</w:t>
      </w:r>
      <w:r w:rsidRPr="00271E51">
        <w:rPr>
          <w:rFonts w:ascii="Times New Roman" w:hAnsi="Times New Roman"/>
          <w:color w:val="000000" w:themeColor="text1"/>
          <w:sz w:val="16"/>
          <w:szCs w:val="16"/>
        </w:rPr>
        <w:t>.</w:t>
      </w:r>
    </w:p>
    <w:p w14:paraId="0C6239A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Этот метод проведения реформы должен быть безоговорочно отвергнут по политическим и экономическим соображениям (см. ниже). Полной нулификации бесспорно подлежат (как это уже определено правительственным постановлением) лишь денежные знаки, выпущенные оккупантами на временно занятых ими территориях, но не советские денежные знаки.</w:t>
      </w:r>
    </w:p>
    <w:p w14:paraId="2F4B1290"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Замена ЧАСТИ выпущенных в обращение денежных знаков новыми в пределах действительной потребности хозяйственного оборота в деньгах (по установленным нормам обмена) с учетом срочных платежей государства и аннулирование остальной (излишней) денежной массы, ранее выпущенной в обращение </w:t>
      </w:r>
      <w:r w:rsidRPr="00271E51">
        <w:rPr>
          <w:rFonts w:ascii="Times New Roman" w:hAnsi="Times New Roman"/>
          <w:color w:val="000000" w:themeColor="text1"/>
          <w:sz w:val="16"/>
          <w:szCs w:val="16"/>
          <w:u w:val="single"/>
        </w:rPr>
        <w:t>(частичная нулификация)</w:t>
      </w:r>
      <w:r w:rsidRPr="00271E51">
        <w:rPr>
          <w:rFonts w:ascii="Times New Roman" w:hAnsi="Times New Roman"/>
          <w:color w:val="000000" w:themeColor="text1"/>
          <w:sz w:val="16"/>
          <w:szCs w:val="16"/>
        </w:rPr>
        <w:t>.</w:t>
      </w:r>
    </w:p>
    <w:p w14:paraId="6E13F60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ПРИМЕР: Денежная масса, выпущенная в обращение =100 млрд руб. Потребности хоз[яйственного] оборота в деньгах = 25 млрд руб. Срочные платежи государства (полумесячный фонд выплачиваемой наличными зарплаты, очередные выплаты пенсий и пособий, срочные выплаты по заготовкам, срочные хоз.-операционные расходы, ожидаемое восстановление вкладов из сберкасс, ожидаемая сброска облигаций госзаймов и пр.) = 5 млрд руб. Следовательно, из выпущенной ранее в обращение денежной массы обмениваются на новые денежные знаки 25 - 5 = 20 млрд руб., аннулируются 100 - 20 = 80 млрд руб.</w:t>
      </w:r>
    </w:p>
    <w:p w14:paraId="0ED3457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Этот метод проведения реформы также должен быть отвергнут, так как он:</w:t>
      </w:r>
    </w:p>
    <w:p w14:paraId="5A1C99B4"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подрывает доверие к советским деньгам, неизбежно вызовет серьезные нарушения хоз. оборота в период обмена ранее выпущенных денежных знаков на новые («бегство» от старых дензнаков, расхватывание товаров, спекулятивный рост цен, прекращение продажи за деньги на рынке и т. п.);</w:t>
      </w:r>
    </w:p>
    <w:p w14:paraId="1641866E"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нанесет крупный экономический ущерб крестьянству, причем — неравномерный по отношению отдельных хозяйств и групп крестьянства;</w:t>
      </w:r>
    </w:p>
    <w:p w14:paraId="6ACEDCFC"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нанесет огромный удар по вкладной операции сберкасс, поскольку в период обмена держатели денежных сумм будут стремиться внести их в сберкассу в целях охранения от аннулирования; сразу же после реформы, наоборот, наступит широкий отлив вкладов из сберкасс для использования наличных денег в качестве покупательного средства; государство вынуждено будет прекратить прием во вклады ранее выпущенных денежных знаков и либо установить после реформы длительный мораторий по старым вкладам, либо аннулировать большую часть старых вкладов.</w:t>
      </w:r>
    </w:p>
    <w:p w14:paraId="1D00A42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Кроме того, проведение реформы этим методом встретит большие организационно-технические затруднения: как, например, устанавливать дифференцированные нормы обмена ранее выпущенных денежных знаков на новые? Как обеспечить строгое соблюдение установленных норм обмена? Как разрешить вопрос о старых обязательствах между населением и государством — по займам, вкладам, страхованию и т. п.? Как ограничить прежние обязательства от новых и т. д.</w:t>
      </w:r>
    </w:p>
    <w:p w14:paraId="3CA59E7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ПРИМЕЧАНИЕ: Метод частичной нулификации (аннулирование запасов денежных знаков, превышающих установленные нормы обмена) выдвигался в ленинском проекте денежной реформы в 1918 г. и практически проводился при разрешении вопросов денежного обращения в Прибалтике, в Западных областях Украины и Белоруссии и в Бессарабии в 1939-1940 гг. Однако следует иметь в виду, что и в том, и в другом случае аннулировались не советские деньги, а денежные знаки буржуазно-помещичьих правительств и что крупные запасы денежных знаков сосредоточивались у капиталистических элементов и у зажиточной верхушки крестьянства.</w:t>
      </w:r>
    </w:p>
    <w:p w14:paraId="38BD2D9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3. Восстановление ДОВОЕННОЙ покупательной силы денег посредством: а) насыщения платежеспособного спроса предложением товаров по снижающимся до довоенного уровня ценам и б) изъятия из обращения излишней (по сравнению с потребностями хозяйственного оборота) денежной массы на основе активного кассового плана Госбанка (дефляция)[</w:t>
      </w:r>
      <w:bookmarkStart w:id="9" w:name="_rtnref2"/>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"_rtnref2.2"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rPr>
        <w:t>**</w:t>
      </w:r>
      <w:r w:rsidR="00C17CA1" w:rsidRPr="00271E51">
        <w:rPr>
          <w:color w:val="000000" w:themeColor="text1"/>
          <w:sz w:val="16"/>
          <w:szCs w:val="16"/>
        </w:rPr>
        <w:fldChar w:fldCharType="end"/>
      </w:r>
      <w:bookmarkEnd w:id="9"/>
      <w:r w:rsidRPr="00271E51">
        <w:rPr>
          <w:color w:val="000000" w:themeColor="text1"/>
          <w:sz w:val="16"/>
          <w:szCs w:val="16"/>
        </w:rPr>
        <w:t>], либо</w:t>
      </w:r>
    </w:p>
    <w:p w14:paraId="4C8A1AE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lastRenderedPageBreak/>
        <w:t>4. Стабилизация покупательной силы денег на уровне действующих цен государственно-кооперативной торговли посредством: а) насыщения платежеспособного спроса предложением товаров по этим ценам и б) изъятия из обращения излишней денежной массы на основе активного кассового плана Госбанка </w:t>
      </w:r>
      <w:r w:rsidRPr="00271E51">
        <w:rPr>
          <w:color w:val="000000" w:themeColor="text1"/>
          <w:sz w:val="16"/>
          <w:szCs w:val="16"/>
          <w:u w:val="single"/>
        </w:rPr>
        <w:t>(неполная дефляция)</w:t>
      </w:r>
      <w:r w:rsidRPr="00271E51">
        <w:rPr>
          <w:color w:val="000000" w:themeColor="text1"/>
          <w:sz w:val="16"/>
          <w:szCs w:val="16"/>
        </w:rPr>
        <w:t>.</w:t>
      </w:r>
    </w:p>
    <w:p w14:paraId="6937A440"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Практически эти два метода проведения реформы мало различаются друг от друга, поскольку действующие цены государственно-кооперативной торговли превышают довоенный уровень лишь на... %, тогда как денежная масса, выпущенная в обращение, возросла по сравнению с довоенной в... раз, а розничный товарооборот государственнокооперативной торговли сократился на... %. Исходя из этого, оба эти метода нами определяются как ДЕФЛЯЦИЯ.</w:t>
      </w:r>
    </w:p>
    <w:p w14:paraId="16A5274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Следующие соображения показывают практическую неосуществимость и экономическую нецелесообразность проведения реформы этими методами, т. е. путем дефляции:</w:t>
      </w:r>
    </w:p>
    <w:p w14:paraId="58DFDA0E"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В первом полугодии 1941 г. среднемесячный розничный товарооборот государственно-кооперативной торговли составлял... млрд руб., а среднемесячная денежная масса, выпущенная в обращение ... млрд руб.; отношение денежной массы к розничному товарообороту ....</w:t>
      </w:r>
    </w:p>
    <w:p w14:paraId="1EBD2514"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 1943 г. розничный товарооборот государственно-кооперативной торговли равнялся ... млрд руб., среднемесячная денежная масса, выпущенная в обращение —... млрд руб.; отношение денежной массы к розничному товарообороту —.... При этом, как указывалось выше, цены государственно-кооперативной торговли превышали довоенные на... %.</w:t>
      </w:r>
    </w:p>
    <w:p w14:paraId="5944298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Чтобы вовлечь в оборот всю выпущенную в обращение на... 1943 г. денежную массу и тем самым обеспечить ее соответствие потребностям хозяйственного оборота, необходимо, при прочих равных условиях, довести розничный товарооборот государственно-кооперативной торговли до... млрд руб., т. е. увеличить его по сравнению с первым полугодием 1941 г. в... раз, а по сравнению с... 1943 г. в... раз при сохранении действующих цен государственно-кооперативной торговли или в ... раз при понижении цен до довоенного уровня. И это лишь в том случае, если с ... 1943 г. прекращается полностью дальнейшая эмиссия денежных знаков в обращение. Так как на деле эмиссия неизбежно будет продолжаться, то масштабы увеличения размеров товарооборота должны быть соответственно повышены.</w:t>
      </w:r>
    </w:p>
    <w:p w14:paraId="26F957B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Совершенно очевидно, что такое увеличение розничного товарооборота недостижимо. Тем самым совершенно нереальной является и задача — вовлечь в оборот всю выпущенную в обращение денежную массу путем расширения розничного товарооборота государственно-кооперативной торговли по довоенным или хотя бы по действующим ценам. Серьезной задачей будет доведение розничного товарооборота (в натуральном выражении) до довоенного уровня.</w:t>
      </w:r>
    </w:p>
    <w:p w14:paraId="46A7BCA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Доведение розничного товарооборота государственно-кооперативной торговли до довоенного уровня увеличит потребности хозяйственного оборота в деньгах (принимая довоенное отношение денежной массы к розничному товарообороту) до... млрд руб. — при сохранении действующих цен государственно-кооперативной торговли или до... млрд руб. — при снижении цен до довоенного уровня.</w:t>
      </w:r>
    </w:p>
    <w:p w14:paraId="2BFC7DE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При этих условиях из общей денежной массы, выпущенной в обращение на... 1943 г. (... млрд руб.), излишняя денежная масса сократится до ... или ... млрд руб. Чтобы провести реформу методами дефляции, необходимо из обращения изъять эту денежную массу плюс все количество денег, которое будет выпущено в обращение после... 1943 г. Реальна ли эта задача?</w:t>
      </w:r>
    </w:p>
    <w:p w14:paraId="1077B63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Изъятие излишней денежной массы из обращения посредством увеличения платежей населения в бюджет представляется совершенно невозможным. Имеющийся опыт свидетельствует о том, что эти платежи не в состоянии ни предотвратить сосредоточение больших денежных сумм в руках отдельных лиц и хозяйств, ни обеспечить изъятие накопленных денежных сумм. Платежи в бюджет — недостаточно гибкий, эластичный для этого инструмент. С другой стороны, общий уровень изъятий в бюджет из текущих доходов населения в настоящее время высок, в значительной степени основывается на обстоятельствах военного времени и после войны вопрос будет стоять скорее о понижении, чем об увеличении относительных размеров изъятий.</w:t>
      </w:r>
    </w:p>
    <w:p w14:paraId="5B96B3B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Изъятие излишней денежной массы методами товарной интервенции предполагает, что государство, сверх удовлетворения текущего платежеспособного спроса, обусловливаемого текущими денежными доходами населения, должно будет продать населению товаров на ... млрд руб. плюс [на] сумму, выражающую дальнейшую (после ... 1943 г.) эмиссию денежных знаков в обращение, причем вырученные от продажи этих товаров суммы государство не должно расходовать. Очевидно, что такое дополнительное предложение товаров по действующим или довоенным ценам реально не может быть обеспечено.</w:t>
      </w:r>
    </w:p>
    <w:p w14:paraId="3F78B1B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Изъятие из обращения всей излишней денежной массы на основе соответствующего превышения общей суммы доходов государства над расходами вызвало бы крайнее напряжение финансового положения государства, нанесло бы большой ущерб текущим государственным потребностям. Следует учесть, что после войны больших затрат потребует демилитаризация народного хозяйства, демобилизация армии, восстановление разрушенных войной производительных сил страны. В этой связи не исключена возможность и необходимость использования эмиссии как источника доходов и в первое время после войны.</w:t>
      </w:r>
    </w:p>
    <w:p w14:paraId="1445C11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Проведение реформы методами дефляции означает, что вплоть до завершения реформы сохраняется (хотя и в снижающихся размерах) избыточная денежная масса в обращении и, стало быть, продолжается ее отрицательное влияние на хозяйственный оборот: перекачка денег в руки рыночных продавцов, ослабление стимулов к продаже с/х продуктов за деньги, рыночная спекуляция и т. п.</w:t>
      </w:r>
    </w:p>
    <w:p w14:paraId="530CAD5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настоящее время рыночные цены примерно в ... раз выше цен государственно-кооперативной торговли (по сопоставимому кругу товаров). Снижение рыночных цен до довоенного их уровня (т. е. примерно в... раз) и восстановление довоенного их отношения к ценам государственно-кооперативной торговли (были выше в первом полугодии 1941г. на... %), — задача, разрешение которой потребовало бы непосильной для государства товарной интервенции. Сближение цен государственно-кооперативной торговли и рыночных цен может быть реально достигнуто не только снижением рыночных цен, но и повышением цен государственно-кооперативной торговли.</w:t>
      </w:r>
    </w:p>
    <w:p w14:paraId="2863190F"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г) Дефляция привела бы к сосредоточению громадных товарных запасов в руках лиц и хозяйств, накопивших за время войны крупные денежные суммы, в ущерб снабжению лиц, получающих фиксированные доходы. Владельцы крупных денежных сумм получили бы возможность приобретать товары по низким ценам государственнокооперативной торговли, тогда как накопление у них крупных денежных сумм является в основном результатом продажи ими товаров и продуктов по высоким рыночным ценам. Это означало бы не только освобождение владельцев крупных денежных сумм от несения тяжести войны, но их обогащение в результате войны.</w:t>
      </w:r>
    </w:p>
    <w:p w14:paraId="7CC5133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5) Снижение покупательной силы денег — повышение цен государственно-кооперативной торговли до уровня, обеспечивающего соответствие выпущенной в обращение денежной массы потребностям хозяйственного оборота в деньгах, с последующей заменой обращающихся денежных знаков новыми (_______________).</w:t>
      </w:r>
    </w:p>
    <w:p w14:paraId="2F7FED3E"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Этот метод проведения реформы представляется наиболее реальным. Он положен нами в основу разрабатываемого проекта реформы.</w:t>
      </w:r>
    </w:p>
    <w:p w14:paraId="59BD3485"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 приведенных выше данных видно, что для обеспечения соответствия между выпущенной в обращение до... 1943 г. денежной массой и потребностями хозяйственного оборота в деньгах при нынешнем объеме розничного товарооборота государственно-кооперативной торговли потребуется увеличение цен государственно-кооперативной торговли в... раз, а при доведении объема розничного товарооборота государственно-кооперативной торговли до довоенного уровня — в... раз. В первом случае цены государственно-кооперативной торговли будут ниже нынешних рыночных цен на... %, во втором случае — на... %. Поскольку выпуск в обращение денежных знаков будет продолжаться до окончания войны, а возможно, и в первое время после войны, повышение цен государственно-кооперативной торговли, необходимое для достижения указанного выше соответствия между денежной массой и потребностями хозяйственного оборота, соответственно увеличится.</w:t>
      </w:r>
    </w:p>
    <w:p w14:paraId="4A94B9B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Однако нет необходимости добиваться соответствия между выпущенной в обращение денежной массой и потребностями хозяйственного оборота в деньгах только путем увеличения объема розничного товарооборота и повышения цен государственно-кооперативной торговли. Наряду с этим могут и должны быть использованы все возможные пути и способы уменьшения денежной массы в обращении: сокращение государственных расходов, увеличение государственных доходов, более эффективное использование оборотных средств, пересмотр системы платежей населения в бюджет и т. п.</w:t>
      </w:r>
    </w:p>
    <w:p w14:paraId="46A594C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Замена обращающихся ныне денежных знаков новыми вызывается причинами организационно-технического характера: упрощение счета, преодоление затруднений, связанных с платежами крупными суммами денежных знаков, уменьшение расходов по эмиссии денежных знаков и т. д., а также необходимостью изменить реквизиты денежных знаков и оформление их эмиссии в соответствии с установившейся практикой, отличной от введенной при проведении денежной реформы 1922-1924 гг. Если замена ограничивается только этими задачами, она, по сути дела, сведется к деноминации[</w:t>
      </w:r>
      <w:bookmarkStart w:id="10" w:name="_rtnref3"/>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"_rtnref3.3"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0"/>
      <w:r w:rsidRPr="00271E51">
        <w:rPr>
          <w:color w:val="000000" w:themeColor="text1"/>
          <w:sz w:val="16"/>
          <w:szCs w:val="16"/>
        </w:rPr>
        <w:t>], как завершающему этапу реформы.</w:t>
      </w:r>
    </w:p>
    <w:p w14:paraId="594A1E7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Но наряду с этим замена обращающихся ныне денежных знаков новыми может быть использована также и как способ уменьшения денежной массы в обращении — посредством установления повышенного (по сравнению со сложившимся уровнем цен) обменного курса новых денежных знаков.</w:t>
      </w:r>
    </w:p>
    <w:p w14:paraId="0B808D1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ПРИМЕР: Денежная масса, выпущенная в обращение к моменту завершения реформы, = 100 млрд руб. Потребности хозяйственного оборота в деньгах = 85 млрд руб. Срочные платежи государства (выпуск новых денежных знаков сверх обменной операции) = 10 млрд руб. Обменный курс = 100: (85 - 10) = 100:75 = 1 рубль в обращающихся денежных знаках за 75 коп. в новых денежных знаках.</w:t>
      </w:r>
    </w:p>
    <w:p w14:paraId="5DB13924"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rStyle w:val="a7"/>
          <w:b w:val="0"/>
          <w:color w:val="000000" w:themeColor="text1"/>
          <w:sz w:val="16"/>
          <w:szCs w:val="16"/>
        </w:rPr>
        <w:t>* * *</w:t>
      </w:r>
    </w:p>
    <w:p w14:paraId="72EA041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Как указывалось выше, разработка проекта денежной реформы должна считаться с возможностью валютной диверсии врага.</w:t>
      </w:r>
    </w:p>
    <w:p w14:paraId="16AC341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Выпуск немцами в оккупированных ими районах крупных сумм денежных знаков советского образца в целях нанесения удара по нашей денежной системе и по финансовому положению страны может потребовать проведения срочных мероприятий, органически не связанных со всей денежной реформой и направленных на пресечение и ликвидацию последствий валютной диверсии. Характер мер будет зависеть от условий и масштабов диверсии.</w:t>
      </w:r>
    </w:p>
    <w:p w14:paraId="6757E7E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lastRenderedPageBreak/>
        <w:t>В том случае, если диверсия будет предпринята в широком масштабе, возникнет необходимость внесения изменений в реквизит обращающихся денежных знаков посредством: а) штемпелевания денежных знаков или б) замены их новыми. Все владельцы денежных знаков обязуются в установленный срок сдать их в кассы кредитных учреждений для нанесения особого штампа или для обмена на новые денежные знаки. Не сданные в установленный срок денежные знаки аннулируются. В обращение выпускаются только штемпелеванные или новые денежные знаки.</w:t>
      </w:r>
    </w:p>
    <w:p w14:paraId="326902B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Ввиду невозможности и нецелесообразности установления барьера между освобождаемыми районами и другими районами страны, препятствующего переходу денежных знаков из одних районов в другие, указанные мероприятия придется, по-видимому, распространить на всю территорию СССР, а не ограничиться только территорией освобождаемых районов. Поэтому эти мероприятия должны быть проведены лишь ввиду крайней необходимости.</w:t>
      </w:r>
    </w:p>
    <w:p w14:paraId="019A8A0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Очевидно, что штемпелевание или замена обращающихся денежных знаков новыми, предпринятые в ходе войны, не могут обеспечить стабилизацию рубля. Однако эти мероприятия могут быть использованы для сокращения денежной массы, выпущенной в обращение. В этих целях могут быть установлены ограничения выдачи штемпелеванных или новых денежных знаков определенными нормами. Но сданные суммы старых денежных знаков, превышающие обменные нормы, должны не аннулироваться (кроме особых случаев, когда устанавливаются незаконные пути накопления денежных сумм или связи лиц — владельцев денежных сумм — с оккупантами), а либо зачисляться на особые вклады, либо конвертироваться в особый государственный заем, с тем, что вопрос об этих вкладах или облигациях подлежит разрешению после войны, т. е. практически — при проведении денежной реформы.</w:t>
      </w:r>
    </w:p>
    <w:p w14:paraId="20AE6DC3"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3. </w:t>
      </w:r>
      <w:r w:rsidRPr="00271E51">
        <w:rPr>
          <w:color w:val="000000" w:themeColor="text1"/>
          <w:sz w:val="16"/>
          <w:szCs w:val="16"/>
          <w:u w:val="single"/>
        </w:rPr>
        <w:t>Время проведения и предпосылки реформы</w:t>
      </w:r>
    </w:p>
    <w:p w14:paraId="5EB59A4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Время (сроки) проведения реформы зависит от: а) хода и экономических итогов войны, б) темпов перевода народного хозяйства на рельсы мирного строительства и темпов восстановления народного хозяйства, в) выбора путей и методов проведения реформы.</w:t>
      </w:r>
    </w:p>
    <w:p w14:paraId="77ED2D6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Достижением соответствия между выпущенной в обращение денежной массой и потребностями хозяйственного оборота в деньгах, как указывалось выше, не ограничиваются задачи реформы. Реформа должна создать условия, при которых устранялась бы возможность и необходимость чрезмерного выпуска денег в обращение и связанного с этим обесценения рубля в послереформенное время. Это предполагает:</w:t>
      </w:r>
    </w:p>
    <w:p w14:paraId="60F313F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нормализацию экономических отношений, пересмотр системы цен, тарифов, заработной платы, основ финансирования и кредитования, системы изъятий в госбюджет и т. п.;</w:t>
      </w:r>
    </w:p>
    <w:p w14:paraId="6851E53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соответствующего разрешения вопроса о порядке, условиях, основах обеспечения эмиссии новых денежных знаков.</w:t>
      </w:r>
    </w:p>
    <w:p w14:paraId="28D42E54"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Денежная реформа, имеющая своей целью стабилизацию валюты, будет успешной при условии, если в ходе реформы:</w:t>
      </w:r>
    </w:p>
    <w:p w14:paraId="6F0205D5"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будет достигнуто соответствие между платежеспособным спросом населения и товарным предложением по ценам, установленным для государственно-кооперативной торговли;</w:t>
      </w:r>
    </w:p>
    <w:p w14:paraId="3BA6BAD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будет ликвидирован бюджетный дефицит и тем самым устранена необходимость бумажно-денежной эмиссии для его покрытия.</w:t>
      </w:r>
    </w:p>
    <w:p w14:paraId="065B54C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Первая предпосылка имеет определяющее значение. Выпускаемые вновь денежные знаки должны быть с самого начала их выпуска обеспечены товарным предложением по устойчивым ценам (конечно, с условием нетоварных оборотов). Это означает, что к моменту выпуска новых денежных знаков (завершения реформы) должно быть достигнуто относительное равновесие между спросом и предложением товаров, преодолен разрыв между ценами государственнокооперативной торговли и рыночными ценами, устранены условия, вызывающие рост рыночных цен и перекачку денег в деревню. Это предполагает:</w:t>
      </w:r>
    </w:p>
    <w:p w14:paraId="78D01B60"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насыщение минимальных потребностей населения в товарах и продуктах, создание всех необходимых условий для ликвидации системы рационирования потребления (карточной и ордерной системы);</w:t>
      </w:r>
    </w:p>
    <w:p w14:paraId="62B71DD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устранение имеющегося избытка покупательной способности населения и создание условий, при которых в дальнейшем новая покупательная способность населения могла бы быть удовлетворена предложением товаров по устойчивым ценам.</w:t>
      </w:r>
    </w:p>
    <w:p w14:paraId="2600DDEF"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Ликвидация бюджетного дефицита — непременное условие успеха реформы. При бюджетном дефиците сохраняется необходимость выпуска в обращение избыточной денежной массы, тогда как в ходе реформы должно быть обеспечено в максимально возможных размерах сокращение денежной массы в обращении. Однако, в отличие от первой предпосылки (достижение соответствия между платежеспособным спросом населения и товарным предложением по установленным для государственно-кооперативной торговли ценам), ликвидация бюджетного дефицита может быть РЕЗУЛЬТАТОМ реформы. Иначе говоря, в течение всей реформы бюджетный дефицит может иметь место (в сокращающихся размерах, как следствие и выражение восстановления народного хозяйства), но при завершении реформы он должен быть полностью ликвидирован. Опыт реформы 1922-1924 гг. показывает, что это может быть достигнуто в процессе замены обращающихся денежных знаков новыми, за счет заполнения образующейся при такой замене «пустоты», либо за счет указанного выше повышенного обменного курса.</w:t>
      </w:r>
    </w:p>
    <w:p w14:paraId="0A4ED3F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Совершенно очевидно, что после окончания войны потребуется значительное время (не менее одного-двух лет) для того, чтобы создать необходимые для успеха денежной реформы предпосылки. Следовательно, завершение реформы предполагается возможным не ранее чем через один-два года после окончания войны. Однако такое сравнительно быстрое проведение реформы предполагает, что подготовительные к ней мероприятия должны проводиться уже в настоящее время, в ходе войны.</w:t>
      </w:r>
    </w:p>
    <w:p w14:paraId="0D26A923"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4. </w:t>
      </w:r>
      <w:r w:rsidRPr="00271E51">
        <w:rPr>
          <w:color w:val="000000" w:themeColor="text1"/>
          <w:sz w:val="16"/>
          <w:szCs w:val="16"/>
          <w:u w:val="single"/>
        </w:rPr>
        <w:t>Необходимые мероприятия в ходе реформы</w:t>
      </w:r>
    </w:p>
    <w:p w14:paraId="1F33679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Денежная реформа вообще является сугубо важным мероприятием, имеющим огромное экономическое и политическое значение. Она затрагивает интересы широких масс населения, заставляет пересмотреть всю систему экономических связей внутри страны. Обычно реформа начинается задолго до ее завершения и включает в себя ряд многообразных экономических, политических, финансовых мероприятий.</w:t>
      </w:r>
    </w:p>
    <w:p w14:paraId="121A482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Необходимые в ходе реформы мероприятия должны быть направлены на: 1) расширение розничного товарооборота государственнокооперативной торговли и 2) ликвидацию бюджетного дефицита, создание активного бюджетного баланса.</w:t>
      </w:r>
    </w:p>
    <w:p w14:paraId="154EC56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РАСШИРЕНИЕ РАЗМЕРОВ РОЗНИЧНОГО ТОВАРООБОРОТА государственно-кооперативной торговли достигается:</w:t>
      </w:r>
    </w:p>
    <w:p w14:paraId="09F7D3F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увеличением производства товаров государственными и кооперативными предприятиями и хозорганизациями;</w:t>
      </w:r>
    </w:p>
    <w:p w14:paraId="038B7284"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увеличением заготовок с/х продуктов;</w:t>
      </w:r>
    </w:p>
    <w:p w14:paraId="17B4E5E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сжатием экспорта и расширением импорта товаров;</w:t>
      </w:r>
    </w:p>
    <w:p w14:paraId="11E3BDD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г) сокращением внерыночного потребления;</w:t>
      </w:r>
    </w:p>
    <w:p w14:paraId="68F76195"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 повышением розничных цен;</w:t>
      </w:r>
    </w:p>
    <w:p w14:paraId="756787F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е) ускорением продвижения товаров от производства к потребителям.</w:t>
      </w:r>
    </w:p>
    <w:p w14:paraId="1FD7EBB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Возможности увеличения производства товаров определяются народнохозяйственным планом и его выполнением. Громадное значение в этом деле имеет широкое использование местных ресурсов и отходов производства. Необходимо отметить, что действующие в настоящее время цены на сырье, материал и топливо, весьма низкие по сравнению с общественными затратами на их производство, не стимулируют выявление и использование местных ресурсов и отходов производства.</w:t>
      </w:r>
    </w:p>
    <w:p w14:paraId="397AB55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Увеличение заготовок с/х продуктов может идти по линии изменения норм обязательных госпоставок, по линии стимулирования сдачи с/х продуктов по централизованным заготовкам посредством системы отоваривания заготовок и по линии развития децентрализованных заготовок. Следует отметить, что повышение цен государственно-кооперативной торговли и переход на новый счет в связи с заменой обращающихся денежных знаков новыми потребуют повышения заготовительных цен, в том числе и цен обязательных госпоставок. Вопрос об уровне новых заготовительных цен должен быть подвергнут тщательной разработке в связи с пересмотром цен на промышленные товары, реализуемые в деревне (Установки[</w:t>
      </w:r>
      <w:bookmarkStart w:id="11" w:name="_rtnref4"/>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"_rtnref4.4"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1"/>
      <w:r w:rsidRPr="00271E51">
        <w:rPr>
          <w:color w:val="000000" w:themeColor="text1"/>
          <w:sz w:val="16"/>
          <w:szCs w:val="16"/>
        </w:rPr>
        <w:t>]?).</w:t>
      </w:r>
    </w:p>
    <w:p w14:paraId="338C30C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Вопрос о перспективах развития внешней торговли в связи с задачами проведения денежной реформы необходимо поручить для разработки Валютному управлению.</w:t>
      </w:r>
    </w:p>
    <w:p w14:paraId="243868D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г) Расширение розничного товарооборота зависит не только от размеров производства товаров и размеров заготовок с/х продуктов, но и от того, какая доля товарных масс, сосредоточенных в руках государства, направляется в рыночные фонды и какая — для внерыночного потребления.</w:t>
      </w:r>
    </w:p>
    <w:p w14:paraId="231B919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(Что включается во внерыночное потребление? Каково соотношение рыночного фонда и внерыночного потребления? От чего зависит это соотношение? Каковы перспективы, возможности расширения рыночного фонда за счет сокращения внерыночного потребления? Предложения.)</w:t>
      </w:r>
    </w:p>
    <w:p w14:paraId="73AD4D9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 Быстрое всеобщее повышение цен государственно-кооперативной торговли до уровня, обеспечивающего соответствие между платежеспособным спросом на товары и товарным предложением, нанесло бы большой ущерб снабжению товарами и продуктами лиц, получающих фиксированные доходы (зарплаты, пенсии и пр.). Поэтому задача повышения цен до указанного уровня может быть разрешена лишь в несколько этапов, в соответствии со степенью насыщения минимальных потребностей населения в товарах и продуктах.</w:t>
      </w:r>
    </w:p>
    <w:p w14:paraId="5A8727E5"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ЭТАП: сохранение действующих цен на товары нормированного снабжения и введение коммерческих цен [</w:t>
      </w:r>
      <w:bookmarkStart w:id="12" w:name="_rtnref_2"/>
      <w:r w:rsidR="00C17CA1" w:rsidRPr="00271E51">
        <w:rPr>
          <w:rFonts w:ascii="Times New Roman" w:hAnsi="Times New Roman"/>
          <w:color w:val="000000" w:themeColor="text1"/>
          <w:sz w:val="16"/>
          <w:szCs w:val="16"/>
        </w:rPr>
        <w:fldChar w:fldCharType="begin"/>
      </w:r>
      <w:r w:rsidRPr="00271E51">
        <w:rPr>
          <w:rFonts w:ascii="Times New Roman" w:hAnsi="Times New Roman"/>
          <w:color w:val="000000" w:themeColor="text1"/>
          <w:sz w:val="16"/>
          <w:szCs w:val="16"/>
        </w:rPr>
        <w:instrText xml:space="preserve"> HYPERLINK "http://istmat.info/node/62259" \l "_rtnref_2.1" </w:instrText>
      </w:r>
      <w:r w:rsidR="00C17CA1" w:rsidRPr="00271E51">
        <w:rPr>
          <w:rFonts w:ascii="Times New Roman" w:hAnsi="Times New Roman"/>
          <w:color w:val="000000" w:themeColor="text1"/>
          <w:sz w:val="16"/>
          <w:szCs w:val="16"/>
        </w:rPr>
        <w:fldChar w:fldCharType="separate"/>
      </w:r>
      <w:r w:rsidRPr="00271E51">
        <w:rPr>
          <w:rStyle w:val="a5"/>
          <w:rFonts w:ascii="Times New Roman" w:hAnsi="Times New Roman"/>
          <w:color w:val="000000" w:themeColor="text1"/>
          <w:sz w:val="16"/>
          <w:szCs w:val="16"/>
          <w:vertAlign w:val="superscript"/>
        </w:rPr>
        <w:t>7</w:t>
      </w:r>
      <w:r w:rsidR="00C17CA1" w:rsidRPr="00271E51">
        <w:rPr>
          <w:rFonts w:ascii="Times New Roman" w:hAnsi="Times New Roman"/>
          <w:color w:val="000000" w:themeColor="text1"/>
          <w:sz w:val="16"/>
          <w:szCs w:val="16"/>
        </w:rPr>
        <w:fldChar w:fldCharType="end"/>
      </w:r>
      <w:bookmarkEnd w:id="12"/>
      <w:r w:rsidRPr="00271E51">
        <w:rPr>
          <w:rFonts w:ascii="Times New Roman" w:hAnsi="Times New Roman"/>
          <w:color w:val="000000" w:themeColor="text1"/>
          <w:sz w:val="16"/>
          <w:szCs w:val="16"/>
        </w:rPr>
        <w:t xml:space="preserve">] на товары, реализуемые в порядке открытой торговли. Коммерческие цены должны быть установлены, ориентируясь на рыночные цены. Это позволит: 1) в значительной мере преодолеть дальнейшую перекачку денежных сумм в деревню через рынок, 2) устранить значительную часть избыточной покупательной способности населения, вовлечь в оборот большую часть избыточной по сравнению с потребностями хоз. оборота денежной массы, 3) добиться снижения рыночных цен. Указанные результаты будут достигнуты лишь в том случае, если: а) коммерческие цены будут установлены на уровне, близком к рыночным ценам (несколько ниже рыночных цен), б) выделяемые для продажи по коммерческим ценам товарные фонды достаточны для удовлетворения платежеспособного спроса на товары по этим ценам, в) тем самым не только исключается </w:t>
      </w:r>
      <w:r w:rsidRPr="00271E51">
        <w:rPr>
          <w:rFonts w:ascii="Times New Roman" w:hAnsi="Times New Roman"/>
          <w:color w:val="000000" w:themeColor="text1"/>
          <w:sz w:val="16"/>
          <w:szCs w:val="16"/>
        </w:rPr>
        <w:lastRenderedPageBreak/>
        <w:t>возможность и необходимость дальнейшего повышения коммерческих цен, но обеспечиваются условия для их снижения. Практически это означает, что коммерческая торговля, как этап денежной реформы, может быть введена в тот момент, когда товарные фонды государства устойчиво превышают минимум нормированного снабжения. Это не исключает возможности введения коммерческой торговли и ранее, но не как этапа денежной реформы, а как средства увеличения бюджетных доходов.</w:t>
      </w:r>
    </w:p>
    <w:p w14:paraId="0E126E50"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2-й ЭТАП: снижение коммерческих цен и расширение коммерческой торговли при одновременном сжатии объема и частичном повышении цен нормированного снабжения. Снижение коммерческих цен должно производиться последовательно, ориентируясь на снижающиеся рыночные цены и на увеличивающиеся товарные фонды, реализуемые по коммерческим ценам. Сжатие нормированного снабжения может осуществляться за счет сокращения числа лиц, состоящих на нормированном снабжении, и исключения из нормированного снабжения некоторых товаров и продуктов; сжатие нормированного снабжения путем снижения норм снабжения представляется мерой неприемлемой. Цены товаров, отпускаемых в порядке нормированного снабжения, должны повышаться дифференцированно, — в зависимости от отклонения от коммерческих цен и от значения товаров в потребительском бюджете.</w:t>
      </w:r>
    </w:p>
    <w:p w14:paraId="741E98AC" w14:textId="77777777" w:rsidR="00BA6FD2" w:rsidRPr="00271E51" w:rsidRDefault="00BA6FD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3-й ЭТАП: отмена нормированного снабжения, переход к открытой торговле всеми товарами и продуктами по единым розничным ценам. Это мероприятие может быть проведено при условии насыщения минимальных потребностей населения в товарах и продуктах и предварительного повышения уровня заработной платы. Цены открытой торговли устанавливаются на уровне ниже коммерческих цен, но выше цен нормированного снабжения.</w:t>
      </w:r>
    </w:p>
    <w:p w14:paraId="54D405BB"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Отмена нормированного снабжения и переход к открытой торговле всеми товарами и продуктами могут быть приурочены к завершению денежной реформы, т. е. к выпуску в обращение новых денежных знаков и обмену на них обращающихся ныне денежных знаков.</w:t>
      </w:r>
    </w:p>
    <w:p w14:paraId="64ECAB8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е) Вопрос об ускорении продвижения товаров от производства к потребителям приобретает большое значение в связи с введением коммерческой торговли и постепенным насыщением платежеспособного спроса на товары и продукты. Оно зависит от 1) звенности товаропроводящей системы, 2) сети и пропускной способности торговых точек, 3) планирования распределения и завоза товаров с надлежащим учетом потребностей населения. Развертывание сети торговых учреждений будет совершаться, по-видимому, по мере развития коммерческой торговли. (Предложения.)</w:t>
      </w:r>
    </w:p>
    <w:p w14:paraId="667D36A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ЛИКВИДАЦИЯ БЮДЖЕТНОГО ДЕФИЦИТА, СОЗДАНИЕ АКТИВНОГО БЮДЖЕТНОГО БАЛАНСА предполагает увеличение доходов и сокращение расходов государственного бюджета.</w:t>
      </w:r>
    </w:p>
    <w:p w14:paraId="6CA691F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условиях социалистической системы хозяйства государственный бюджет связан со всей экономикой страны. Поэтому мероприятия, направленные к достижению указанных целей, неизбежно затрагивают самые разнообразные участки народного хозяйства СССР.</w:t>
      </w:r>
    </w:p>
    <w:p w14:paraId="4D3B714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Увеличение доходов госбюджета достигается ростом изъятий из доходов колхозов, кооперации и населения и ростом доходов государственных предприятий, учреждений и организаций.</w:t>
      </w:r>
    </w:p>
    <w:p w14:paraId="7C7566A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Как уже указывалось выше, возможности увеличения доходов госбюджета посредством повышения изъятий из доходов населения весьма незначительны. Скорее можно предполагать, что размеры изъятий из доходов населения после окончания войны относительно будут снижаться.</w:t>
      </w:r>
    </w:p>
    <w:p w14:paraId="3EF0789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Изъятия из доходов колхозов и кооперации могут и должны увеличиваться в связи с развитием колхозного хозяйства и развертыванием деятельности всех видов кооперации. Перед налоговым управлением должна быть поставлена задача — разработать вопрос о возможности увеличения дифференциации обложения колхозов и кооперации.</w:t>
      </w:r>
    </w:p>
    <w:p w14:paraId="2A4F74B4"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Решающее значение имеет увеличение доходов государственных предприятий, учреждений и организаций, а также рост доходов, связанных с ценообразованием.</w:t>
      </w:r>
    </w:p>
    <w:p w14:paraId="453CDF2D"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Борьба за увеличение накоплений государственных предприятий и хозорганизаций, за наиболее эффективное использование имеющихся в их распоряжении ресурсов требует пересмотра действующей системы цен и тарифов.</w:t>
      </w:r>
    </w:p>
    <w:p w14:paraId="4B4AAD9E"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(Каковы недостатки действующей системы цен и тарифов? Какое они оказывают влияние? В каком направлении должны быть пересмотрены цены и тарифы? Какая система цен и тарифов предлагается? Отметить, что несоответствие цен на средства производства и предметы личного потребления еще более усилится в связи с коммерческими ценами и последующим переходом на единые более высокие цены, и что повышения цен на ряд товаров и услуг потребует переход на новый учет в связи с выпуском новых денежных знаков; напр., цена коробки спичек, цена трамвайного билета, цена тонны угля и т. д. Предложения.)</w:t>
      </w:r>
    </w:p>
    <w:p w14:paraId="0AF3724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Перестройка системы цен и тарифов должна повлечь за собой изменение системы изъятия в бюджет части доходов госпредприятий и организаций. Необходимо поручить Управлению госдоходов [</w:t>
      </w:r>
      <w:bookmarkStart w:id="13" w:name="_rtnref_3"/>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"_rtnref_3.1"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8</w:t>
      </w:r>
      <w:r w:rsidR="00C17CA1" w:rsidRPr="00271E51">
        <w:rPr>
          <w:color w:val="000000" w:themeColor="text1"/>
          <w:sz w:val="16"/>
          <w:szCs w:val="16"/>
        </w:rPr>
        <w:fldChar w:fldCharType="end"/>
      </w:r>
      <w:bookmarkEnd w:id="13"/>
      <w:r w:rsidRPr="00271E51">
        <w:rPr>
          <w:color w:val="000000" w:themeColor="text1"/>
          <w:sz w:val="16"/>
          <w:szCs w:val="16"/>
        </w:rPr>
        <w:t>] разработать вопрос о перестройке налога с оборота и отчислений от прибылей исходя из изложенных выше установок в области пересмотра цен и тарифов.</w:t>
      </w:r>
    </w:p>
    <w:p w14:paraId="387496A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Большое внимание должно быть уделено также увеличению доходов от государственных имуществ. (Предложения.)</w:t>
      </w:r>
    </w:p>
    <w:p w14:paraId="6BC4D56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Сокращение расходов госбюджета составляет более трудную задачу, чем увеличение его доходов. Очевидно, что интересы родины не позволят сразу же после войны сильно сократить расходы на оборону, хотя некоторое сокращение этих расходов несомненно будет иметь место. С другой стороны, после войны потребуются крупные затраты из госбюджета на восстановление производительных сил, разрушенных войной, и на демилитаризацию хозяйства. Также будут увеличиваться затраты на социально-культурные мероприятия, особенно в той их части, которая была вынужденно сжата в годы войны. Следовательно, основным участком сокращения расходов госбюджета являются затраты на управленческий аппарат. Штатному управлению необходимо поручить разработать вопрос о возможности сокращения размеров управленческого аппарата и расходов на него, обратив особое внимание на управленческий аппарат предприятий и их объединений. (Показатели. Предложения.)</w:t>
      </w:r>
    </w:p>
    <w:p w14:paraId="793C45A8"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Большое значение будет иметь направление бюджетных средств, создание строгого режима контроля за их использованием и привлечение ресурсов колхозов, кооперации и населения к покрытию затрат по восстановительным работам. В частности, может быть более широко применена система сельского самообложения [</w:t>
      </w:r>
      <w:bookmarkStart w:id="14" w:name="_rtnref5"/>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"_rtnref5.5"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4"/>
      <w:r w:rsidRPr="00271E51">
        <w:rPr>
          <w:color w:val="000000" w:themeColor="text1"/>
          <w:sz w:val="16"/>
          <w:szCs w:val="16"/>
        </w:rPr>
        <w:t>] (расширение его норм и целей), система трудучастия [</w:t>
      </w:r>
      <w:bookmarkStart w:id="15" w:name="_rtnref6"/>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"_rtnref6.6"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5"/>
      <w:r w:rsidRPr="00271E51">
        <w:rPr>
          <w:color w:val="000000" w:themeColor="text1"/>
          <w:sz w:val="16"/>
          <w:szCs w:val="16"/>
        </w:rPr>
        <w:t>] населения и колхозов и т. п.</w:t>
      </w:r>
    </w:p>
    <w:p w14:paraId="18492B81"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Следует иметь в виду, что дополнительные требования к бюджету как в направлении увеличения его расходов, так и в направлении уменьшения его доходов, вызовет пересмотр заработной платы.</w:t>
      </w:r>
    </w:p>
    <w:p w14:paraId="4A16B5E0"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Изменение заработной платы должно будет, прежде всего, выразиться в общем повышении ее уровня. Это повышение обусловливается необходимостью обеспечения соответствия зарплаты повышенному уровню цен. Как указывалось выше, отмене системы нормированного снабжения и переходу к открытой торговле по повышенным ценам должно предшествовать увеличение ставок зарплаты. Кроме того, нынешний уровень зарплаты не будет отвечать потребностям перехода на новый счет, связанного с выпуском в обращение новых денежных знаков. (Предложения.)</w:t>
      </w:r>
    </w:p>
    <w:p w14:paraId="644C2D30"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Повышение заработной платы должно будет производиться дифференцированно, с тем, чтобы в ходе этого повышения обеспечить выправление неправильностей в системе зарплаты. (В чем они выражаются? Какое оказывают влияние? Какова предлагаемая система? Каков подход к ней?)</w:t>
      </w:r>
    </w:p>
    <w:p w14:paraId="596E69F8"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5. </w:t>
      </w:r>
      <w:r w:rsidRPr="00271E51">
        <w:rPr>
          <w:color w:val="000000" w:themeColor="text1"/>
          <w:sz w:val="16"/>
          <w:szCs w:val="16"/>
          <w:u w:val="single"/>
        </w:rPr>
        <w:t>Уровень стабилизации</w:t>
      </w:r>
      <w:r w:rsidRPr="00271E51">
        <w:rPr>
          <w:color w:val="000000" w:themeColor="text1"/>
          <w:sz w:val="16"/>
          <w:szCs w:val="16"/>
        </w:rPr>
        <w:t>             </w:t>
      </w:r>
    </w:p>
    <w:p w14:paraId="7BE43FA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Под уровнем стабилизации мы подразумеваем тот уровень цен или, иначе, уровень покупательной силы денег, который устанавливается и закрепляется в результате реформы. Он предопределит и решение вопроса об обменном курсе при замене обращающихся ныне денежных знаков новыми.</w:t>
      </w:r>
    </w:p>
    <w:p w14:paraId="7E6A234F"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Решение вопроса об уровне стабилизации будет зависеть от проводимых мероприятий по сбалансированию платежеспособного спроса населения и товарного предложения, в частности, от того, какое относительное значение в ходе реформы будут иметь мероприятия по увеличению объема розничного товарооборота и по снижению денежной массы в обращении. Здесь могут быть изложены лишь некоторые общие соображения.</w:t>
      </w:r>
    </w:p>
    <w:p w14:paraId="48D97879"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Уровень стабилизации не может быть принят чрезвычайно низким для обращающихся ныне денежных знаков. В 1922-1924 гг. избыточная масса денег в обращении была в основном преодолена посредством обесценения рубля. Такой путь, неизбежный в тех условиях, в настоящее время не вызывается необходимостью. В предполагаемой денежной реформе большое значение в преодолении избыточной денежной массы в обращении должно сыграть расширение размеров товарооборота.</w:t>
      </w:r>
    </w:p>
    <w:p w14:paraId="59EF8DA7"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Вместе с тем уровень стабилизации должен быть установлен с некоторым резервом, позволяющим предотвратить снижение покупательной силы рубля в силу каких-либо полностью непредвиденных обстоятельств.</w:t>
      </w:r>
    </w:p>
    <w:p w14:paraId="561A156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При решении вопроса об уровне стабилизации должно быть принято во внимание соотношение между внутренней покупательной силой рубля и валютными курсами, с тем, чтобы в максимальной степени сблизить их между собою. Разумеется, это отнюдь не означает установления в СССР такой же системы цен, как и [в] важнейших зарубежных странах. Валютному управлению необходимо поручить разработать вопрос о том, какие товары должны быть положены в основу при решении вопроса о соответствии покупательной силы рубля и внешнего курса советской валюты.</w:t>
      </w:r>
    </w:p>
    <w:p w14:paraId="41B34903"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6. По</w:t>
      </w:r>
      <w:r w:rsidRPr="00271E51">
        <w:rPr>
          <w:color w:val="000000" w:themeColor="text1"/>
          <w:sz w:val="16"/>
          <w:szCs w:val="16"/>
          <w:u w:val="single"/>
        </w:rPr>
        <w:t>рядок обмена обращающихся денежных знаков на новые</w:t>
      </w:r>
    </w:p>
    <w:p w14:paraId="1604CDF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Обмен обращающихся денежных знаков на новые — заключительный этап реформы — должен быть ограничен определенным сроком, достаточным для оповещения всего населения и для совершения самой операции обмена. Денежные знаки, не предъявленные к обмену в установленный срок, лишаются силы законного платежного средства. Выпуск денежных знаков нынешнего образца прекращается с момента объявления обмена.</w:t>
      </w:r>
    </w:p>
    <w:p w14:paraId="515E0FF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 xml:space="preserve">В период завершения реформы новые денежные знаки будут выпускаться в обращение по двум каналам: а) обмен обращающихся ранее денежных знаков и б) покрытие текущих платежей государства. Необходимо обеспечить, чтобы общая масса новых денежных знаков, внедряемая в оборот по этим двум каналам, не </w:t>
      </w:r>
      <w:r w:rsidRPr="00271E51">
        <w:rPr>
          <w:color w:val="000000" w:themeColor="text1"/>
          <w:sz w:val="16"/>
          <w:szCs w:val="16"/>
        </w:rPr>
        <w:lastRenderedPageBreak/>
        <w:t>превысила потребности хозяйственного оборота в деньгах. В этих целях обменный курс должен соответствовать отношению всей подлежащей обмену денежной массы к количеству денег, определяемому действительными потребностями хозяйственного оборота, за вычетом срочных платежей государства.</w:t>
      </w:r>
    </w:p>
    <w:p w14:paraId="20982A8A"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 качестве резерва стабилизационного уровня (см. выше) может быть использован тот момент, что, как показывает опыт всех реформ, часть выпущенных в обращение денежных знаков не предъявляется к обмену (утерянные и уничтоженные денежные знаки, коллекционирование, ветхие дензнаки и т. п.).</w:t>
      </w:r>
    </w:p>
    <w:p w14:paraId="08A4AA81"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Весьма серьезным вопросом завершения реформы является вопрос о перечислении в новую валюту взаимных обязательств государства и населения. Эти обязательства включают в себя расчеты по займам, вкладам, страхованию и индивидуальному кредитованию. Должен ли к этим обязательствам применен обменный курс, или они должны сохранить свой номинал и в новых денежных знаках? Нужно учесть, что обязательства государства перед населением играют решающее значение как по своему объему, так и по своей значимости. Государственный долг СССР в настоящее время (без Второго военного займа) равен ... млрд руб., сумма вкладов в сберкассах составляет ... млрд руб., остаток на текущих счетах колхозов —... млрд руб., средства неделимых фондов колхозов на счетах в Сельхозбанке —... млрд руб. Обязательства Госстраха СССР по долгосрочным видам страхования —... млрд руб. (Предложения.)</w:t>
      </w:r>
    </w:p>
    <w:p w14:paraId="302DDD7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Должны быть также приняты меры к предотвращению перенасыщения каналов денежного обращения за счет истребования средств с вкладов в сберкассах и продаж населением облигаций займа 1938 г.</w:t>
      </w:r>
    </w:p>
    <w:p w14:paraId="6A953C4C" w14:textId="77777777" w:rsidR="00BA6FD2" w:rsidRPr="00271E51" w:rsidRDefault="00BA6FD2" w:rsidP="00271E51">
      <w:pPr>
        <w:pStyle w:val="rtecenter"/>
        <w:spacing w:before="0" w:beforeAutospacing="0" w:after="0" w:afterAutospacing="0"/>
        <w:jc w:val="both"/>
        <w:rPr>
          <w:color w:val="000000" w:themeColor="text1"/>
          <w:sz w:val="16"/>
          <w:szCs w:val="16"/>
        </w:rPr>
      </w:pPr>
      <w:r w:rsidRPr="00271E51">
        <w:rPr>
          <w:color w:val="000000" w:themeColor="text1"/>
          <w:sz w:val="16"/>
          <w:szCs w:val="16"/>
        </w:rPr>
        <w:t>7. </w:t>
      </w:r>
      <w:r w:rsidRPr="00271E51">
        <w:rPr>
          <w:color w:val="000000" w:themeColor="text1"/>
          <w:sz w:val="16"/>
          <w:szCs w:val="16"/>
          <w:u w:val="single"/>
        </w:rPr>
        <w:t>Организация эмиссии новых денежных знаков</w:t>
      </w:r>
    </w:p>
    <w:p w14:paraId="7A37204C"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Сюда входят два вопроса:</w:t>
      </w:r>
    </w:p>
    <w:p w14:paraId="2FDF0B02"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а) Характер и реквизит новых денежных знаков. Реформа должна ликвидировать имеющийся формально дуализм нашей денежной системы, вызванный в прошлом условиями реформы 1922-1924 гг. Взамен билетов Госбанка СССР и казначейской валюты должны быть выпущены единые государственные кредитные билеты, дополняемые разменной никелевой и бронзовой монетой. Эмитент [</w:t>
      </w:r>
      <w:bookmarkStart w:id="16" w:name="_rtnref7"/>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"_rtnref7.7"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6"/>
      <w:r w:rsidRPr="00271E51">
        <w:rPr>
          <w:color w:val="000000" w:themeColor="text1"/>
          <w:sz w:val="16"/>
          <w:szCs w:val="16"/>
        </w:rPr>
        <w:t>] — Государственный банк СССР, действующий, однако, не от своего имени, как хозрасчетной организации, а от имени государства. Государственные кредитные билеты наделяются силой обязательного платежного средства на всей территории СССР, принимаются в платежи по номиналу.</w:t>
      </w:r>
    </w:p>
    <w:p w14:paraId="1AB607E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б) Обеспечение выпуска новых денежных знаков в соответствии с потребностями хозяйственного оборота. Эмиссия должна быть организована таким образом, чтобы обеспечивалась необходимая эластичность денежного обращения, возможность расширения или сокращения денежной массы в обращении в соответствии с изменениями потребности хозяйственного оборота в деньгах. Это требует разрешения вопроса о том, в порядке каких операций, на какие потребности может производиться выпуск денежных знаков в обращение и через какие каналы, каким путем, в порядке каких операций обеспечивается обратный приток денежных знаков в кассы эмитента.</w:t>
      </w:r>
    </w:p>
    <w:p w14:paraId="5459B08F"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(Критика действующей системы. В 1922 г. предполагалось: выпуск в порядке кредитных операций, тем самым — возврат при погашении кредитов. В настоящее время эмиссия утратила кредитный характер, приобрела расчетно-кассовый характер. Размеры эмиссии определяются сальдо кассового плана. Решающие его статьи — зарплата, заготовки, хозоперационные расходы, пенсии и пособия — в расходной части, выручка торговых организаций, платежи в фин[ансовую] систему, выручка транспортных и жилищно-коммунальных предприятий — в доходной части. Между доходной и расходной частью кассового плана прямой зависимости нет. Выплаты зарплаты могут изменяться вне всякого соответствия с изменениями торговой выручки и т. д. Предложения.)</w:t>
      </w:r>
    </w:p>
    <w:p w14:paraId="0FD74C06"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(Критика действующей системы организации оборотных средств и кредитования. Организация фонда зарплаты. ...[</w:t>
      </w:r>
      <w:bookmarkStart w:id="17" w:name="_rtnref8"/>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"_rtnref8.8"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7"/>
      <w:r w:rsidRPr="00271E51">
        <w:rPr>
          <w:color w:val="000000" w:themeColor="text1"/>
          <w:sz w:val="16"/>
          <w:szCs w:val="16"/>
        </w:rPr>
        <w:t>] векселей, как в</w:t>
      </w:r>
    </w:p>
    <w:p w14:paraId="518C2F23"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прошлом обеспечения банковых билетов. Предложения.)</w:t>
      </w:r>
    </w:p>
    <w:p w14:paraId="09F92AF5" w14:textId="77777777" w:rsidR="00BA6FD2" w:rsidRPr="00271E51" w:rsidRDefault="00BA6FD2" w:rsidP="00271E51">
      <w:pPr>
        <w:pStyle w:val="rtejustify"/>
        <w:spacing w:before="0" w:after="0"/>
        <w:rPr>
          <w:color w:val="000000" w:themeColor="text1"/>
          <w:sz w:val="16"/>
          <w:szCs w:val="16"/>
        </w:rPr>
      </w:pPr>
      <w:r w:rsidRPr="00271E51">
        <w:rPr>
          <w:color w:val="000000" w:themeColor="text1"/>
          <w:sz w:val="16"/>
          <w:szCs w:val="16"/>
        </w:rPr>
        <w:t>(Вопрос об эмитенте. С чем связать эмиссию: с кассово-расчетными или кредитными операциями? Может ли единый кассово-расчетно-кредитно-эмиссионный институт обеспечить потребную эластичность денежного обращения? Вопрос о размежевании функций. В связи с этим — вопрос о сберкассах — опыт военно-полевых сберкасс. Предложения.)</w:t>
      </w:r>
    </w:p>
    <w:p w14:paraId="36F1B94B" w14:textId="77777777" w:rsidR="00BA6FD2" w:rsidRPr="00271E51" w:rsidRDefault="00BA6FD2" w:rsidP="00271E51">
      <w:pPr>
        <w:pStyle w:val="rtejustify"/>
        <w:spacing w:before="0" w:after="0"/>
        <w:rPr>
          <w:color w:val="000000" w:themeColor="text1"/>
          <w:sz w:val="16"/>
          <w:szCs w:val="16"/>
        </w:rPr>
      </w:pPr>
      <w:r w:rsidRPr="00271E51">
        <w:rPr>
          <w:rStyle w:val="af0"/>
          <w:color w:val="000000" w:themeColor="text1"/>
          <w:sz w:val="16"/>
          <w:szCs w:val="16"/>
        </w:rPr>
        <w:t>РГАЭ. Ф. 7733. Оп. 36.Д. 1574. Л. 135-152. Машинописная копия </w:t>
      </w:r>
      <w:r w:rsidRPr="00271E51">
        <w:rPr>
          <w:color w:val="000000" w:themeColor="text1"/>
          <w:sz w:val="16"/>
          <w:szCs w:val="16"/>
        </w:rPr>
        <w:t>[</w:t>
      </w:r>
      <w:bookmarkStart w:id="18" w:name="_rtnref9"/>
      <w:r w:rsidR="00C17CA1" w:rsidRPr="00271E51">
        <w:rPr>
          <w:color w:val="000000" w:themeColor="text1"/>
          <w:sz w:val="16"/>
          <w:szCs w:val="16"/>
        </w:rPr>
        <w:fldChar w:fldCharType="begin"/>
      </w:r>
      <w:r w:rsidRPr="00271E51">
        <w:rPr>
          <w:color w:val="000000" w:themeColor="text1"/>
          <w:sz w:val="16"/>
          <w:szCs w:val="16"/>
        </w:rPr>
        <w:instrText xml:space="preserve"> HYPERLINK "http://istmat.info/node/62259" \l "_rtnref9.9" </w:instrText>
      </w:r>
      <w:r w:rsidR="00C17CA1" w:rsidRPr="00271E51">
        <w:rPr>
          <w:color w:val="000000" w:themeColor="text1"/>
          <w:sz w:val="16"/>
          <w:szCs w:val="16"/>
        </w:rPr>
        <w:fldChar w:fldCharType="separate"/>
      </w:r>
      <w:r w:rsidRPr="00271E51">
        <w:rPr>
          <w:rStyle w:val="a5"/>
          <w:rFonts w:eastAsiaTheme="majorEastAsia"/>
          <w:color w:val="000000" w:themeColor="text1"/>
          <w:sz w:val="16"/>
          <w:szCs w:val="16"/>
          <w:vertAlign w:val="superscript"/>
        </w:rPr>
        <w:t>*********</w:t>
      </w:r>
      <w:r w:rsidR="00C17CA1" w:rsidRPr="00271E51">
        <w:rPr>
          <w:color w:val="000000" w:themeColor="text1"/>
          <w:sz w:val="16"/>
          <w:szCs w:val="16"/>
        </w:rPr>
        <w:fldChar w:fldCharType="end"/>
      </w:r>
      <w:bookmarkEnd w:id="18"/>
      <w:r w:rsidRPr="00271E51">
        <w:rPr>
          <w:color w:val="000000" w:themeColor="text1"/>
          <w:sz w:val="16"/>
          <w:szCs w:val="16"/>
        </w:rPr>
        <w:t>]</w:t>
      </w:r>
    </w:p>
    <w:p w14:paraId="725E463D"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19" w:name="_rtnref1.1"/>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"_rtnref1"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19"/>
      <w:r w:rsidRPr="00271E51">
        <w:rPr>
          <w:i/>
          <w:color w:val="000000" w:themeColor="text1"/>
          <w:sz w:val="16"/>
          <w:szCs w:val="16"/>
        </w:rPr>
        <w:t>] </w:t>
      </w:r>
      <w:r w:rsidRPr="00271E51">
        <w:rPr>
          <w:rStyle w:val="af0"/>
          <w:i w:val="0"/>
          <w:color w:val="000000" w:themeColor="text1"/>
          <w:sz w:val="16"/>
          <w:szCs w:val="16"/>
        </w:rPr>
        <w:t>Название документа подчеркнуто двумя прерывистыми линиями. В левом верхнем углу первой страницы документа имеется помега В.П. Дьяченко, сделанная карандашом: «В дело 285 "Вопросы ден. обращ."». Ниже пометы, под чертой — личная подпись Дьяченко.</w:t>
      </w:r>
    </w:p>
    <w:p w14:paraId="25B983C1"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0" w:name="_rtnref2.2"/>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"_rtnref2"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0"/>
      <w:r w:rsidRPr="00271E51">
        <w:rPr>
          <w:i/>
          <w:color w:val="000000" w:themeColor="text1"/>
          <w:sz w:val="16"/>
          <w:szCs w:val="16"/>
        </w:rPr>
        <w:t>] </w:t>
      </w:r>
      <w:r w:rsidRPr="00271E51">
        <w:rPr>
          <w:rStyle w:val="af0"/>
          <w:i w:val="0"/>
          <w:color w:val="000000" w:themeColor="text1"/>
          <w:sz w:val="16"/>
          <w:szCs w:val="16"/>
        </w:rPr>
        <w:t>Дефляция — искусственное изъятие из обращения избыточной денежной массы, проводимое правительством страны с целью снижения темпов (ликвидации последствий) инфляции, посредством увеличения налогов, повышения учетной ставки, предотвращения роста заработной платы или ее замораживания, снижения расходов государственного бюджета путем кредитной рестрикции (сокращения объемов кредитов) и т. д.</w:t>
      </w:r>
    </w:p>
    <w:p w14:paraId="590044AD"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1" w:name="_rtnref3.3"/>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"_rtnref3"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1"/>
      <w:r w:rsidRPr="00271E51">
        <w:rPr>
          <w:i/>
          <w:color w:val="000000" w:themeColor="text1"/>
          <w:sz w:val="16"/>
          <w:szCs w:val="16"/>
        </w:rPr>
        <w:t>] </w:t>
      </w:r>
      <w:r w:rsidRPr="00271E51">
        <w:rPr>
          <w:rStyle w:val="af0"/>
          <w:i w:val="0"/>
          <w:color w:val="000000" w:themeColor="text1"/>
          <w:sz w:val="16"/>
          <w:szCs w:val="16"/>
        </w:rPr>
        <w:t>Деноминация - укрупнение денежной единицы (без изменения ее названия) путем обмена по единому твердому курсу старых денежных знаков на новые в целях придания деньгам большей полноценности, облегчения учета и расчетов в стране.</w:t>
      </w:r>
    </w:p>
    <w:p w14:paraId="7A577836"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2" w:name="_rtnref4.4"/>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"_rtnref4"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2"/>
      <w:r w:rsidRPr="00271E51">
        <w:rPr>
          <w:i/>
          <w:color w:val="000000" w:themeColor="text1"/>
          <w:sz w:val="16"/>
          <w:szCs w:val="16"/>
        </w:rPr>
        <w:t>] </w:t>
      </w:r>
      <w:r w:rsidRPr="00271E51">
        <w:rPr>
          <w:rStyle w:val="af0"/>
          <w:i w:val="0"/>
          <w:color w:val="000000" w:themeColor="text1"/>
          <w:sz w:val="16"/>
          <w:szCs w:val="16"/>
        </w:rPr>
        <w:t>Так в тексте документа.</w:t>
      </w:r>
    </w:p>
    <w:p w14:paraId="08ABA7E1"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3" w:name="_rtnref5.5"/>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"_rtnref5"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3"/>
      <w:r w:rsidRPr="00271E51">
        <w:rPr>
          <w:i/>
          <w:color w:val="000000" w:themeColor="text1"/>
          <w:sz w:val="16"/>
          <w:szCs w:val="16"/>
        </w:rPr>
        <w:t>] </w:t>
      </w:r>
      <w:r w:rsidRPr="00271E51">
        <w:rPr>
          <w:rStyle w:val="af0"/>
          <w:i w:val="0"/>
          <w:color w:val="000000" w:themeColor="text1"/>
          <w:sz w:val="16"/>
          <w:szCs w:val="16"/>
        </w:rPr>
        <w:t>Самообложение — одна из форм привлечения средств сельского населения на финансирование хозяйственного и культурного строительства в деревне. Решение о самообложении принималось большинством голосов на общем собрании и было обязательным для всех жителей селения. Допускалось как в денежной и натуральной форме (не превышая 25 % размера единого сельскохозяйственного налога), так и в виде трудового участия.</w:t>
      </w:r>
    </w:p>
    <w:p w14:paraId="3C542ABF"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4" w:name="_rtnref6.6"/>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"_rtnref6"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4"/>
      <w:r w:rsidRPr="00271E51">
        <w:rPr>
          <w:i/>
          <w:color w:val="000000" w:themeColor="text1"/>
          <w:sz w:val="16"/>
          <w:szCs w:val="16"/>
        </w:rPr>
        <w:t>]</w:t>
      </w:r>
      <w:r w:rsidRPr="00271E51">
        <w:rPr>
          <w:rStyle w:val="af0"/>
          <w:i w:val="0"/>
          <w:color w:val="000000" w:themeColor="text1"/>
          <w:sz w:val="16"/>
          <w:szCs w:val="16"/>
        </w:rPr>
        <w:t> Трудучастие — вид самообложения, заключающийся в бесплатном участии жителей в хозяйственном и культурном строительстве на селе (ремонт дорог, строительство клуба, школы и проч.).</w:t>
      </w:r>
    </w:p>
    <w:p w14:paraId="03F8AA39"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5" w:name="_rtnref7.7"/>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"_rtnref7"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5"/>
      <w:r w:rsidRPr="00271E51">
        <w:rPr>
          <w:i/>
          <w:color w:val="000000" w:themeColor="text1"/>
          <w:sz w:val="16"/>
          <w:szCs w:val="16"/>
        </w:rPr>
        <w:t>] </w:t>
      </w:r>
      <w:r w:rsidRPr="00271E51">
        <w:rPr>
          <w:rStyle w:val="af0"/>
          <w:i w:val="0"/>
          <w:color w:val="000000" w:themeColor="text1"/>
          <w:sz w:val="16"/>
          <w:szCs w:val="16"/>
        </w:rPr>
        <w:t>Эмитент - юридическое лицо, которому в установленном порядке, на определенных условиях предоставлено право эмиссии (выпуска в обращение) денег, облигаций, акций и других ценных бумаг.</w:t>
      </w:r>
    </w:p>
    <w:p w14:paraId="75A6EF19"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6" w:name="_rtnref8.8"/>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"_rtnref8"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6"/>
      <w:r w:rsidRPr="00271E51">
        <w:rPr>
          <w:i/>
          <w:color w:val="000000" w:themeColor="text1"/>
          <w:sz w:val="16"/>
          <w:szCs w:val="16"/>
        </w:rPr>
        <w:t>] </w:t>
      </w:r>
      <w:r w:rsidRPr="00271E51">
        <w:rPr>
          <w:rStyle w:val="af0"/>
          <w:i w:val="0"/>
          <w:color w:val="000000" w:themeColor="text1"/>
          <w:sz w:val="16"/>
          <w:szCs w:val="16"/>
        </w:rPr>
        <w:t>Слово напечатано неразборчиво.</w:t>
      </w:r>
    </w:p>
    <w:p w14:paraId="202F7A3C" w14:textId="77777777" w:rsidR="00BA6FD2" w:rsidRPr="00271E51" w:rsidRDefault="00BA6FD2" w:rsidP="00271E51">
      <w:pPr>
        <w:pStyle w:val="rtejustify"/>
        <w:spacing w:before="0" w:after="0"/>
        <w:rPr>
          <w:i/>
          <w:color w:val="000000" w:themeColor="text1"/>
          <w:sz w:val="16"/>
          <w:szCs w:val="16"/>
        </w:rPr>
      </w:pPr>
      <w:r w:rsidRPr="00271E51">
        <w:rPr>
          <w:i/>
          <w:color w:val="000000" w:themeColor="text1"/>
          <w:sz w:val="16"/>
          <w:szCs w:val="16"/>
        </w:rPr>
        <w:t>[</w:t>
      </w:r>
      <w:bookmarkStart w:id="27" w:name="_rtnref9.9"/>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"_rtnref9"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w:t>
      </w:r>
      <w:r w:rsidR="00C17CA1" w:rsidRPr="00271E51">
        <w:rPr>
          <w:i/>
          <w:color w:val="000000" w:themeColor="text1"/>
          <w:sz w:val="16"/>
          <w:szCs w:val="16"/>
        </w:rPr>
        <w:fldChar w:fldCharType="end"/>
      </w:r>
      <w:bookmarkEnd w:id="27"/>
      <w:r w:rsidRPr="00271E51">
        <w:rPr>
          <w:i/>
          <w:color w:val="000000" w:themeColor="text1"/>
          <w:sz w:val="16"/>
          <w:szCs w:val="16"/>
        </w:rPr>
        <w:t>] </w:t>
      </w:r>
      <w:r w:rsidRPr="00271E51">
        <w:rPr>
          <w:rStyle w:val="af0"/>
          <w:i w:val="0"/>
          <w:color w:val="000000" w:themeColor="text1"/>
          <w:sz w:val="16"/>
          <w:szCs w:val="16"/>
        </w:rPr>
        <w:t>Документ не содержит данных, указывающих на его авторство. Однако помета В. П. Дьяченко на первой странице проекта, а также ряд идей, присутствующих уже в этом документе и отстаиваемых в дальнейшем членами Группы денежного обращения (в частности, идея Дьяченко об отходе от дуализма денежной системы, сложившегося после реформы 1922-1924 гг. — см. раздел 2 следующего документа), позволяют сделать вывод, что документ готовился в рамках Группы и может рассматриваться как результат ее творческих усилий. На последней странице проекта имеется помета — автограф невыясненного лица: «1 экз. уничтожен. 30/I — 45 (Подпись)».</w:t>
      </w:r>
    </w:p>
    <w:p w14:paraId="587115DB" w14:textId="77777777" w:rsidR="00BA6FD2" w:rsidRPr="00271E51" w:rsidRDefault="00BA6FD2" w:rsidP="00271E51">
      <w:pPr>
        <w:pStyle w:val="ae"/>
        <w:spacing w:before="0" w:after="0"/>
        <w:jc w:val="both"/>
        <w:rPr>
          <w:i/>
          <w:color w:val="000000" w:themeColor="text1"/>
          <w:sz w:val="16"/>
          <w:szCs w:val="16"/>
        </w:rPr>
      </w:pPr>
      <w:r w:rsidRPr="00271E51">
        <w:rPr>
          <w:i/>
          <w:color w:val="000000" w:themeColor="text1"/>
          <w:sz w:val="16"/>
          <w:szCs w:val="16"/>
        </w:rPr>
        <w:t>[</w:t>
      </w:r>
      <w:bookmarkStart w:id="28" w:name="_rtnref_1.1"/>
      <w:r w:rsidR="00C17CA1" w:rsidRPr="00271E51">
        <w:rPr>
          <w:i/>
          <w:color w:val="000000" w:themeColor="text1"/>
          <w:sz w:val="16"/>
          <w:szCs w:val="16"/>
        </w:rPr>
        <w:fldChar w:fldCharType="begin"/>
      </w:r>
      <w:r w:rsidRPr="00271E51">
        <w:rPr>
          <w:i/>
          <w:color w:val="000000" w:themeColor="text1"/>
          <w:sz w:val="16"/>
          <w:szCs w:val="16"/>
        </w:rPr>
        <w:instrText xml:space="preserve"> HYPERLINK "http://istmat.info/node/62259" \l "_rtnref_1" </w:instrText>
      </w:r>
      <w:r w:rsidR="00C17CA1" w:rsidRPr="00271E51">
        <w:rPr>
          <w:i/>
          <w:color w:val="000000" w:themeColor="text1"/>
          <w:sz w:val="16"/>
          <w:szCs w:val="16"/>
        </w:rPr>
        <w:fldChar w:fldCharType="separate"/>
      </w:r>
      <w:r w:rsidRPr="00271E51">
        <w:rPr>
          <w:rStyle w:val="a5"/>
          <w:rFonts w:eastAsiaTheme="majorEastAsia"/>
          <w:i/>
          <w:color w:val="000000" w:themeColor="text1"/>
          <w:sz w:val="16"/>
          <w:szCs w:val="16"/>
          <w:vertAlign w:val="superscript"/>
        </w:rPr>
        <w:t>6</w:t>
      </w:r>
      <w:r w:rsidR="00C17CA1" w:rsidRPr="00271E51">
        <w:rPr>
          <w:i/>
          <w:color w:val="000000" w:themeColor="text1"/>
          <w:sz w:val="16"/>
          <w:szCs w:val="16"/>
        </w:rPr>
        <w:fldChar w:fldCharType="end"/>
      </w:r>
      <w:bookmarkEnd w:id="28"/>
      <w:r w:rsidRPr="00271E51">
        <w:rPr>
          <w:i/>
          <w:color w:val="000000" w:themeColor="text1"/>
          <w:sz w:val="16"/>
          <w:szCs w:val="16"/>
        </w:rPr>
        <w:t>] </w:t>
      </w:r>
      <w:r w:rsidRPr="00271E51">
        <w:rPr>
          <w:rStyle w:val="af0"/>
          <w:i w:val="0"/>
          <w:color w:val="000000" w:themeColor="text1"/>
          <w:sz w:val="16"/>
          <w:szCs w:val="16"/>
        </w:rPr>
        <w:t>Данный документ свидетельствует о первых итогах работы Группы денежного обращения, которой за несколько месяцев удалось «сверстать» (пока еще «вчерне») план послевоенного преобразования денежной системы. Обращает на себя внимание, что речь в документе идет уже о денежной реформе, ее задачах, путях и методах проведения и проч. На трудности, с которыми столкнулись разработчики, указывают имеющиеся текстовые лакуны и более десятка вопросов по тексту документа, на которые им еще предстояло найти ответ. Обращает на себя внимание тот факт, что все эти вопросы находятся в разделах, напрямую связанных с практикой реализации реформы («необходимые мероприятия в ходе реформы», «порядок обмена обращающихся денежных знаков на новые», «организация эмиссии новых денежных знаков»). В документе впервые поднимается проблема ликвидации «имеющегося формально дуализма» существующей денежной системы, вызванного, по словам авторов проекта, условиями реформы 1922-1924 гг. Видимо, этот, пока еще несовершенный проект денежной реформы был близок к тому варианту документа, который был представлен И. В. Сталину и на основании которого было принято </w:t>
      </w:r>
      <w:r w:rsidRPr="00271E51">
        <w:rPr>
          <w:rStyle w:val="a7"/>
          <w:b w:val="0"/>
          <w:i/>
          <w:iCs/>
          <w:color w:val="000000" w:themeColor="text1"/>
          <w:sz w:val="16"/>
          <w:szCs w:val="16"/>
        </w:rPr>
        <w:t>политическое</w:t>
      </w:r>
      <w:r w:rsidRPr="00271E51">
        <w:rPr>
          <w:rStyle w:val="af0"/>
          <w:i w:val="0"/>
          <w:color w:val="000000" w:themeColor="text1"/>
          <w:sz w:val="16"/>
          <w:szCs w:val="16"/>
        </w:rPr>
        <w:t> решение о начале практической подготовки денежной реформы. (См. об этом: Зверев А. Г. Записки министра. М., 1973. С 233-235).</w:t>
      </w:r>
    </w:p>
    <w:p w14:paraId="05604608" w14:textId="77777777" w:rsidR="00BA6FD2" w:rsidRPr="00271E51" w:rsidRDefault="00BA6FD2" w:rsidP="00271E51">
      <w:pPr>
        <w:pStyle w:val="ae"/>
        <w:spacing w:before="0" w:after="0"/>
        <w:jc w:val="both"/>
        <w:rPr>
          <w:i/>
          <w:color w:val="000000" w:themeColor="text1"/>
          <w:sz w:val="16"/>
          <w:szCs w:val="16"/>
        </w:rPr>
      </w:pPr>
      <w:r w:rsidRPr="00271E51">
        <w:rPr>
          <w:i/>
          <w:color w:val="000000" w:themeColor="text1"/>
          <w:sz w:val="16"/>
          <w:szCs w:val="16"/>
        </w:rPr>
        <w:t>[</w:t>
      </w:r>
      <w:bookmarkStart w:id="29" w:name="_rtnref_2.1"/>
      <w:r w:rsidR="00C17CA1" w:rsidRPr="00271E51">
        <w:rPr>
          <w:i/>
          <w:color w:val="000000" w:themeColor="text1"/>
          <w:sz w:val="16"/>
          <w:szCs w:val="16"/>
          <w:vertAlign w:val="superscript"/>
        </w:rPr>
        <w:fldChar w:fldCharType="begin"/>
      </w:r>
      <w:r w:rsidRPr="00271E51">
        <w:rPr>
          <w:i/>
          <w:color w:val="000000" w:themeColor="text1"/>
          <w:sz w:val="16"/>
          <w:szCs w:val="16"/>
          <w:vertAlign w:val="superscript"/>
        </w:rPr>
        <w:instrText xml:space="preserve"> HYPERLINK "http://istmat.info/node/62259" \l "_rtnref_2" </w:instrText>
      </w:r>
      <w:r w:rsidR="00C17CA1" w:rsidRPr="00271E51">
        <w:rPr>
          <w:i/>
          <w:color w:val="000000" w:themeColor="text1"/>
          <w:sz w:val="16"/>
          <w:szCs w:val="16"/>
          <w:vertAlign w:val="superscript"/>
        </w:rPr>
        <w:fldChar w:fldCharType="separate"/>
      </w:r>
      <w:r w:rsidRPr="00271E51">
        <w:rPr>
          <w:rStyle w:val="a5"/>
          <w:rFonts w:eastAsiaTheme="majorEastAsia"/>
          <w:i/>
          <w:color w:val="000000" w:themeColor="text1"/>
          <w:sz w:val="16"/>
          <w:szCs w:val="16"/>
          <w:vertAlign w:val="superscript"/>
        </w:rPr>
        <w:t>7</w:t>
      </w:r>
      <w:r w:rsidR="00C17CA1" w:rsidRPr="00271E51">
        <w:rPr>
          <w:i/>
          <w:color w:val="000000" w:themeColor="text1"/>
          <w:sz w:val="16"/>
          <w:szCs w:val="16"/>
          <w:vertAlign w:val="superscript"/>
        </w:rPr>
        <w:fldChar w:fldCharType="end"/>
      </w:r>
      <w:bookmarkEnd w:id="29"/>
      <w:r w:rsidRPr="00271E51">
        <w:rPr>
          <w:i/>
          <w:color w:val="000000" w:themeColor="text1"/>
          <w:sz w:val="16"/>
          <w:szCs w:val="16"/>
        </w:rPr>
        <w:t>] </w:t>
      </w:r>
      <w:r w:rsidRPr="00271E51">
        <w:rPr>
          <w:rStyle w:val="af0"/>
          <w:i w:val="0"/>
          <w:color w:val="000000" w:themeColor="text1"/>
          <w:sz w:val="16"/>
          <w:szCs w:val="16"/>
        </w:rPr>
        <w:t>Коммерческая торговля, т. е. открытая продажа товаров по повышенным ценам, была развернута в крупных городах страны через сеть торговых предприятий так называемого Особторга («Главособторга») с мая 1944 г. Население страны, располагавшее значительными денежными суммами, в магазинах Особторга могло приобретать в свободной продаже дефицитные в то время продукты питания и промышленные товары массового спроса. Коммерческие цены устанавливались в соответствии с конъюнктурой внутреннего рынка, т. е. с ориентацией на спрос и предложение, но несколько ниже рыночных цен, что позволяло использовать этот инструмент для воздействия на последние. Достаточно широко развернулась коммерческая торговля уже после войны. Обороты предприятий Особторга в 1946 г. составили 71 806 млн руб. Полученная прибыль позволила государству в 1946 г. изъять из обращения 8 млрд руб., а в 1947 г. еще 2,4 млрд руб. (См.: РГАЭ. Ф.7733.Оп.31.Д 1156. Л. 9; Оп. 32. Д 1092. Л. 42; Оп. 36. Д 2530. Л. 55-56).</w:t>
      </w:r>
    </w:p>
    <w:p w14:paraId="596B61B8" w14:textId="77777777" w:rsidR="00BA6FD2" w:rsidRPr="00271E51" w:rsidRDefault="00BA6FD2" w:rsidP="00271E51">
      <w:pPr>
        <w:pStyle w:val="ae"/>
        <w:spacing w:before="0" w:after="0"/>
        <w:jc w:val="both"/>
        <w:rPr>
          <w:i/>
          <w:color w:val="000000" w:themeColor="text1"/>
          <w:sz w:val="16"/>
          <w:szCs w:val="16"/>
        </w:rPr>
      </w:pPr>
      <w:r w:rsidRPr="00271E51">
        <w:rPr>
          <w:i/>
          <w:color w:val="000000" w:themeColor="text1"/>
          <w:sz w:val="16"/>
          <w:szCs w:val="16"/>
        </w:rPr>
        <w:t>[</w:t>
      </w:r>
      <w:bookmarkStart w:id="30" w:name="_rtnref_3.1"/>
      <w:r w:rsidR="00C17CA1" w:rsidRPr="00271E51">
        <w:rPr>
          <w:i/>
          <w:color w:val="000000" w:themeColor="text1"/>
          <w:sz w:val="16"/>
          <w:szCs w:val="16"/>
          <w:vertAlign w:val="superscript"/>
        </w:rPr>
        <w:fldChar w:fldCharType="begin"/>
      </w:r>
      <w:r w:rsidRPr="00271E51">
        <w:rPr>
          <w:i/>
          <w:color w:val="000000" w:themeColor="text1"/>
          <w:sz w:val="16"/>
          <w:szCs w:val="16"/>
          <w:vertAlign w:val="superscript"/>
        </w:rPr>
        <w:instrText xml:space="preserve"> HYPERLINK "http://istmat.info/node/62259" \l "_rtnref_3" </w:instrText>
      </w:r>
      <w:r w:rsidR="00C17CA1" w:rsidRPr="00271E51">
        <w:rPr>
          <w:i/>
          <w:color w:val="000000" w:themeColor="text1"/>
          <w:sz w:val="16"/>
          <w:szCs w:val="16"/>
          <w:vertAlign w:val="superscript"/>
        </w:rPr>
        <w:fldChar w:fldCharType="separate"/>
      </w:r>
      <w:r w:rsidRPr="00271E51">
        <w:rPr>
          <w:rStyle w:val="a5"/>
          <w:rFonts w:eastAsiaTheme="majorEastAsia"/>
          <w:i/>
          <w:color w:val="000000" w:themeColor="text1"/>
          <w:sz w:val="16"/>
          <w:szCs w:val="16"/>
          <w:vertAlign w:val="superscript"/>
        </w:rPr>
        <w:t>8</w:t>
      </w:r>
      <w:r w:rsidR="00C17CA1" w:rsidRPr="00271E51">
        <w:rPr>
          <w:i/>
          <w:color w:val="000000" w:themeColor="text1"/>
          <w:sz w:val="16"/>
          <w:szCs w:val="16"/>
          <w:vertAlign w:val="superscript"/>
        </w:rPr>
        <w:fldChar w:fldCharType="end"/>
      </w:r>
      <w:bookmarkEnd w:id="30"/>
      <w:r w:rsidRPr="00271E51">
        <w:rPr>
          <w:i/>
          <w:color w:val="000000" w:themeColor="text1"/>
          <w:sz w:val="16"/>
          <w:szCs w:val="16"/>
        </w:rPr>
        <w:t>] </w:t>
      </w:r>
      <w:r w:rsidRPr="00271E51">
        <w:rPr>
          <w:rStyle w:val="af0"/>
          <w:i w:val="0"/>
          <w:color w:val="000000" w:themeColor="text1"/>
          <w:sz w:val="16"/>
          <w:szCs w:val="16"/>
        </w:rPr>
        <w:t>Речь идет об одном из управлений Наркомата финансов СССР — Управлении государственных доходов (19661).</w:t>
      </w:r>
    </w:p>
    <w:p w14:paraId="0790AE42" w14:textId="77777777" w:rsidR="00BA6FD2" w:rsidRPr="00271E51" w:rsidRDefault="00BA6FD2" w:rsidP="00271E51">
      <w:pPr>
        <w:spacing w:after="0" w:line="240" w:lineRule="auto"/>
        <w:jc w:val="both"/>
        <w:rPr>
          <w:rFonts w:ascii="Times New Roman" w:hAnsi="Times New Roman"/>
          <w:color w:val="000000" w:themeColor="text1"/>
          <w:sz w:val="16"/>
          <w:szCs w:val="16"/>
        </w:rPr>
      </w:pPr>
    </w:p>
    <w:p w14:paraId="5479C85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F0835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36D8DA" w14:textId="77777777" w:rsidR="00595253" w:rsidRPr="00271E51" w:rsidRDefault="00595253"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ноября 1943 года командующий английской бомбардировочной авиацией маршал Харрис направил премьеру Черчиллю ноту: «Мы можем превратить Берлин в развалины от края и до края, если ВВС США присоединятся к этому. Это будет стоить нам примерно 400-500 самолетов. Такова цена вывода Германии из войны!». Черчилль понимал, что для разрушения Берлина могут понадобиться гораздо большие жертвы, ведь в ночь на 17 января 1943 года потери составили 15,5%, а в налетах 30 марта, 24 августа и 1 сентября — более 9%. Он знал также, что 8-я Воздушная Армия США пока не планирует систематических ударов по Берлину. Тем не менее он поддержал Харриса (22866).</w:t>
      </w:r>
    </w:p>
    <w:p w14:paraId="782A0041" w14:textId="77777777" w:rsidR="00595253" w:rsidRPr="00271E51" w:rsidRDefault="00595253" w:rsidP="00271E51">
      <w:pPr>
        <w:spacing w:after="0" w:line="240" w:lineRule="auto"/>
        <w:jc w:val="both"/>
        <w:rPr>
          <w:rFonts w:ascii="Times New Roman" w:hAnsi="Times New Roman"/>
          <w:color w:val="0070C0"/>
          <w:sz w:val="16"/>
          <w:szCs w:val="16"/>
        </w:rPr>
      </w:pPr>
    </w:p>
    <w:p w14:paraId="58FD606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ноября 1943 около 17 тысяч поляков и евреев расстреляны фашистами в районе Люблина (“Кровавая среда”) (4962).</w:t>
      </w:r>
    </w:p>
    <w:p w14:paraId="0B67911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358150" w14:textId="77777777" w:rsidR="00BA6209" w:rsidRPr="00271E51" w:rsidRDefault="00BA620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рейд американских торпедоносцев против Рабаула (остров Новая Британия); тяжело повреждены 6 японских крейсеров (14819).</w:t>
      </w:r>
    </w:p>
    <w:p w14:paraId="62AE93C1" w14:textId="77777777" w:rsidR="00BA6209" w:rsidRPr="00271E51" w:rsidRDefault="00BA6209" w:rsidP="00271E51">
      <w:pPr>
        <w:spacing w:after="0" w:line="240" w:lineRule="auto"/>
        <w:jc w:val="both"/>
        <w:rPr>
          <w:rFonts w:ascii="Times New Roman" w:hAnsi="Times New Roman"/>
          <w:color w:val="000000" w:themeColor="text1"/>
          <w:sz w:val="16"/>
          <w:szCs w:val="16"/>
        </w:rPr>
      </w:pPr>
    </w:p>
    <w:p w14:paraId="5E674E12" w14:textId="77777777" w:rsidR="00BA6209" w:rsidRPr="00271E51" w:rsidRDefault="00BA6209"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ноября </w:t>
      </w:r>
      <w:r w:rsidRPr="00271E51">
        <w:rPr>
          <w:rFonts w:ascii="Times New Roman" w:hAnsi="Times New Roman"/>
          <w:color w:val="000000" w:themeColor="text1"/>
          <w:sz w:val="16"/>
          <w:szCs w:val="16"/>
        </w:rPr>
        <w:t>в 1943 году (3-6 ноября) конференция стран Великой Восточной Азии в Токио. Принимали участие представители Японии, Маньчжурии, ванцзинвеевского правительства Китая, Филиппин, Бирмы, Сиама и правительства «Свободной Индии» (14819).</w:t>
      </w:r>
    </w:p>
    <w:p w14:paraId="3C2AE527" w14:textId="77777777" w:rsidR="00BA6209" w:rsidRPr="00271E51" w:rsidRDefault="00BA6209" w:rsidP="00271E51">
      <w:pPr>
        <w:spacing w:after="0" w:line="240" w:lineRule="auto"/>
        <w:jc w:val="both"/>
        <w:rPr>
          <w:rFonts w:ascii="Times New Roman" w:hAnsi="Times New Roman"/>
          <w:color w:val="000000" w:themeColor="text1"/>
          <w:sz w:val="16"/>
          <w:szCs w:val="16"/>
        </w:rPr>
      </w:pPr>
    </w:p>
    <w:p w14:paraId="54A5D02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82E35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A0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вышел приказ НКАП N 663с:</w:t>
      </w:r>
    </w:p>
    <w:p w14:paraId="0A4B4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"Пункт "а" пар. 3 приказа НКАП N 594сс от 11 октября 1943 в отношении постройки самолета Ил-1 заводом 18 в одноместном варианте отменить" (1752,38).</w:t>
      </w:r>
    </w:p>
    <w:p w14:paraId="050750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09816" w14:textId="77777777" w:rsidR="0002349F" w:rsidRPr="00271E51" w:rsidRDefault="0002349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ноября 1943 года вышел приказ НКАП № 663с, отменявший пункт приказа НКАП № 594сс от 11 октября в отношении постройки самолета Ил-1 заводом № 18 в одноместном варианте. Таким образом, в производстве оставались по одному Ил-1 на каждом из заводов – одноместный и двухместный (21005).</w:t>
      </w:r>
    </w:p>
    <w:p w14:paraId="34B734B2" w14:textId="77777777" w:rsidR="0002349F" w:rsidRPr="00271E51" w:rsidRDefault="0002349F" w:rsidP="00271E51">
      <w:pPr>
        <w:spacing w:after="0" w:line="240" w:lineRule="auto"/>
        <w:jc w:val="both"/>
        <w:rPr>
          <w:rFonts w:ascii="Times New Roman" w:hAnsi="Times New Roman"/>
          <w:color w:val="0070C0"/>
          <w:sz w:val="16"/>
          <w:szCs w:val="16"/>
        </w:rPr>
      </w:pPr>
    </w:p>
    <w:p w14:paraId="049D2354" w14:textId="77777777" w:rsidR="00BA6FD2" w:rsidRPr="00271E51" w:rsidRDefault="00BA6FD2" w:rsidP="00271E51">
      <w:pPr>
        <w:pStyle w:val="184"/>
        <w:shd w:val="clear" w:color="auto" w:fill="auto"/>
        <w:spacing w:before="0" w:after="0" w:line="240" w:lineRule="auto"/>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 ноября 1943 нарком Шахурин своим при</w:t>
      </w:r>
      <w:r w:rsidRPr="00271E51">
        <w:rPr>
          <w:rFonts w:ascii="Times New Roman" w:hAnsi="Times New Roman" w:cs="Times New Roman"/>
          <w:color w:val="000000" w:themeColor="text1"/>
          <w:sz w:val="16"/>
          <w:szCs w:val="16"/>
        </w:rPr>
        <w:softHyphen/>
        <w:t>казом обязал заводы внедрить новое крыло в серийное производство и нала</w:t>
      </w:r>
      <w:r w:rsidRPr="00271E51">
        <w:rPr>
          <w:rFonts w:ascii="Times New Roman" w:hAnsi="Times New Roman" w:cs="Times New Roman"/>
          <w:color w:val="000000" w:themeColor="text1"/>
          <w:sz w:val="16"/>
          <w:szCs w:val="16"/>
        </w:rPr>
        <w:softHyphen/>
        <w:t>дить выпуск штурмовиков Ил-2 с крылом повышенной стреловидности по образцу прошедшего государ</w:t>
      </w:r>
      <w:r w:rsidRPr="00271E51">
        <w:rPr>
          <w:rFonts w:ascii="Times New Roman" w:hAnsi="Times New Roman" w:cs="Times New Roman"/>
          <w:color w:val="000000" w:themeColor="text1"/>
          <w:sz w:val="16"/>
          <w:szCs w:val="16"/>
        </w:rPr>
        <w:softHyphen/>
        <w:t>ственные испытания самолета. При этом предполагалось, что завод №18 будет вы</w:t>
      </w:r>
      <w:r w:rsidRPr="00271E51">
        <w:rPr>
          <w:rFonts w:ascii="Times New Roman" w:hAnsi="Times New Roman" w:cs="Times New Roman"/>
          <w:color w:val="000000" w:themeColor="text1"/>
          <w:sz w:val="16"/>
          <w:szCs w:val="16"/>
        </w:rPr>
        <w:softHyphen/>
        <w:t>пускать самолеты с металлическим кры</w:t>
      </w:r>
      <w:r w:rsidRPr="00271E51">
        <w:rPr>
          <w:rFonts w:ascii="Times New Roman" w:hAnsi="Times New Roman" w:cs="Times New Roman"/>
          <w:color w:val="000000" w:themeColor="text1"/>
          <w:sz w:val="16"/>
          <w:szCs w:val="16"/>
        </w:rPr>
        <w:softHyphen/>
        <w:t>лом, а заводы №№1 и 30 - с крылом сме</w:t>
      </w:r>
      <w:r w:rsidRPr="00271E51">
        <w:rPr>
          <w:rFonts w:ascii="Times New Roman" w:hAnsi="Times New Roman" w:cs="Times New Roman"/>
          <w:color w:val="000000" w:themeColor="text1"/>
          <w:sz w:val="16"/>
          <w:szCs w:val="16"/>
        </w:rPr>
        <w:softHyphen/>
        <w:t>шанной конструкции (лонжероны консо</w:t>
      </w:r>
      <w:r w:rsidRPr="00271E51">
        <w:rPr>
          <w:rFonts w:ascii="Times New Roman" w:hAnsi="Times New Roman" w:cs="Times New Roman"/>
          <w:color w:val="000000" w:themeColor="text1"/>
          <w:sz w:val="16"/>
          <w:szCs w:val="16"/>
        </w:rPr>
        <w:softHyphen/>
        <w:t>лей металлические, обшивка - фанерная). С таким «подходом» не согласились военные. Они потребовали выпускать Ил-2 только с цельнометаллическим кры</w:t>
      </w:r>
      <w:r w:rsidRPr="00271E51">
        <w:rPr>
          <w:rFonts w:ascii="Times New Roman" w:hAnsi="Times New Roman" w:cs="Times New Roman"/>
          <w:color w:val="000000" w:themeColor="text1"/>
          <w:sz w:val="16"/>
          <w:szCs w:val="16"/>
        </w:rPr>
        <w:softHyphen/>
        <w:t>лом. В итоге 18 января 1944 г. вышло по</w:t>
      </w:r>
      <w:r w:rsidRPr="00271E51">
        <w:rPr>
          <w:rFonts w:ascii="Times New Roman" w:hAnsi="Times New Roman" w:cs="Times New Roman"/>
          <w:color w:val="000000" w:themeColor="text1"/>
          <w:sz w:val="16"/>
          <w:szCs w:val="16"/>
        </w:rPr>
        <w:softHyphen/>
        <w:t>становление ГКО, согласно которому все три авиазавода к началу лета должны были полностью перейти на выпуск Ил-2 с металлическим крылом «со стрелкой»: завод №18 - до 15 апреля, а 1-й и 30-й авиазаводы - до 15 мая. При этом сни</w:t>
      </w:r>
      <w:r w:rsidRPr="00271E51">
        <w:rPr>
          <w:rFonts w:ascii="Times New Roman" w:hAnsi="Times New Roman" w:cs="Times New Roman"/>
          <w:color w:val="000000" w:themeColor="text1"/>
          <w:sz w:val="16"/>
          <w:szCs w:val="16"/>
        </w:rPr>
        <w:softHyphen/>
        <w:t>жать достигнутый уровень производства самолетов запрещалось. Соответствую</w:t>
      </w:r>
      <w:r w:rsidRPr="00271E51">
        <w:rPr>
          <w:rFonts w:ascii="Times New Roman" w:hAnsi="Times New Roman" w:cs="Times New Roman"/>
          <w:color w:val="000000" w:themeColor="text1"/>
          <w:sz w:val="16"/>
          <w:szCs w:val="16"/>
        </w:rPr>
        <w:softHyphen/>
        <w:t>щий приказ НКАП был подписан на сле</w:t>
      </w:r>
      <w:r w:rsidRPr="00271E51">
        <w:rPr>
          <w:rFonts w:ascii="Times New Roman" w:hAnsi="Times New Roman" w:cs="Times New Roman"/>
          <w:color w:val="000000" w:themeColor="text1"/>
          <w:sz w:val="16"/>
          <w:szCs w:val="16"/>
        </w:rPr>
        <w:softHyphen/>
        <w:t>дующий день (19558).</w:t>
      </w:r>
    </w:p>
    <w:p w14:paraId="1B60FCB9" w14:textId="77777777" w:rsidR="00BA6FD2" w:rsidRPr="00271E51" w:rsidRDefault="00BA6FD2" w:rsidP="00271E51">
      <w:pPr>
        <w:pStyle w:val="184"/>
        <w:shd w:val="clear" w:color="auto" w:fill="auto"/>
        <w:spacing w:before="0" w:after="0" w:line="240" w:lineRule="auto"/>
        <w:rPr>
          <w:rFonts w:ascii="Times New Roman" w:hAnsi="Times New Roman" w:cs="Times New Roman"/>
          <w:color w:val="000000" w:themeColor="text1"/>
          <w:sz w:val="16"/>
          <w:szCs w:val="16"/>
        </w:rPr>
      </w:pPr>
    </w:p>
    <w:p w14:paraId="72CC09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ГИ ВВС Репин писал письмо ЦК ВКП(б) Г.М.М. и НКАП А.И.Ш. о том, что немцы внедрили полную автоматику управления ВМГ, а у нас она только частичная и в основном на Як-1, Як-7 и Як-9:</w:t>
      </w:r>
    </w:p>
    <w:p w14:paraId="188E46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следует отметить, что:</w:t>
      </w:r>
    </w:p>
    <w:p w14:paraId="2534D5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Серийные самолеты Ил-2 с АМ-38Ф, Ла-5 с М-82Ф и М-82ФН, а также пе-2 с М-105ПФ не имеют совместного управления газом и винтом, что при выполнении боевого задания неизбежно приводит к перерасходу топлива и снижению дальности полета.</w:t>
      </w:r>
    </w:p>
    <w:p w14:paraId="76DC5C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Серийные Як-1, Як-7, Як-9, Пе-2 с М-105ПФ и Ил-2 с АМ-38Ф не имеют автоматического регулятора состава смеси по высоте полета, что при выполнении боевых заданий также приводит к перерасходу топлива и снижению дальности полета..."</w:t>
      </w:r>
    </w:p>
    <w:p w14:paraId="7EC382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Требовал разработать, укрепив ЛКБ завода 315 (1780).</w:t>
      </w:r>
    </w:p>
    <w:p w14:paraId="2D71B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903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ГИ ВВС А.К.Репин приказал направить Як-7П с тремя ШВАК в НИИ ВВС для испытаний вооружения. Летал В.А.Модестов, а ви были по самолету В.П.Белодеденко, а по вооружению - А.Г.Аронов. В облете участвовали В.И.Хомяков и Ю.А.Антипов. Испытания (в основном вооружения) шли до 13 декабря (13 полетов - 4:15). В серию не пошел, хотя все было нормально (65,108).</w:t>
      </w:r>
    </w:p>
    <w:p w14:paraId="1ACAD3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ED3B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вышел приказ НКАП № 660с:</w:t>
      </w:r>
    </w:p>
    <w:p w14:paraId="23AC233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 4290с от 8 октября 1943:</w:t>
      </w:r>
    </w:p>
    <w:p w14:paraId="1DD0B168" w14:textId="77777777" w:rsidR="00473181" w:rsidRPr="00271E51" w:rsidRDefault="00473181"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5 ГУ Балакиреву организовать на площадке б. З-да 155 в Харькове пр-во по ремонту авиаприборов с дальнейшем развитием выпуска электрических авиаприборов ВМГ,</w:t>
      </w:r>
    </w:p>
    <w:p w14:paraId="6A3298E1" w14:textId="77777777" w:rsidR="00473181" w:rsidRPr="00271E51" w:rsidRDefault="00473181"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З-ду № 155 в Харькове присвоить № 157 и подчинить 5 ГУ</w:t>
      </w:r>
    </w:p>
    <w:p w14:paraId="321FCF2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(1761, 191).</w:t>
      </w:r>
    </w:p>
    <w:p w14:paraId="0959BAD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5262B1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ноября 1943 г. приказом № 660с в соответствии с пост. ГКО № 4290с от 8.10.1943 г. для организации ремонта авиаприборов на площадке бывшего завода № 155 НКАП был организован завод № 157 НКАП (ГС Завод № 157 НКАП, Завод электроаппаратуры СНХ, Харьковский завод электроаппаратуры (ХЗЭА)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ГП «Харьковский завод электрорадиоаппаратуры» /Украина 61139  г. Харьков ул. Лозовская, 5 тел. 14-24-68/). Введен в эксплуатацию в 1944 г.</w:t>
      </w:r>
    </w:p>
    <w:p w14:paraId="2F52FA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169с от 8.03.1944 г. сюда передано с завода № 339 НКАП производство авиационных приборов вместе с кадрами и оборудованием.</w:t>
      </w:r>
    </w:p>
    <w:p w14:paraId="1D60AD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1955 г. на заводе действовал филиал ОКБ-133 МАП.</w:t>
      </w:r>
    </w:p>
    <w:p w14:paraId="20F99A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пост. СМ СССР № 713-342 от 26.06.1957 г. завод № 157 передан в ведение СНХ УССР, затем передан из системы СНХ в подчинение 5ГУ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и по приказу от 6.03.1966 г. переименован в Харьковский завод электроаппаратуры.</w:t>
      </w:r>
    </w:p>
    <w:p w14:paraId="229983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авиаприборов, автономных систем управления для РКТ, аппаратуры энергообеспечения.</w:t>
      </w:r>
    </w:p>
    <w:p w14:paraId="76485E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системы управления и энергообеспечения, телеметрическое оборудование, приборы управления и автоматики; электросчетчики, водомеры, теплосчетчики.</w:t>
      </w:r>
    </w:p>
    <w:p w14:paraId="516BD7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Имеет подазделения (2002 г.)- Завод приборов личной гигиены, Завод электрических изделий, Завод контрольно-испытательной аппаратуры и автоматики, Завод изделий промышленного и специального назначения, СКТБ, испытательный центр, сервисный центр.</w:t>
      </w:r>
    </w:p>
    <w:p w14:paraId="3138BD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(11.1943-60-е)- И(П).С. Стрелецкий.</w:t>
      </w:r>
      <w:r w:rsidRPr="00271E51">
        <w:rPr>
          <w:rFonts w:ascii="Times New Roman" w:hAnsi="Times New Roman"/>
          <w:color w:val="000000" w:themeColor="text1"/>
          <w:sz w:val="16"/>
          <w:szCs w:val="16"/>
          <w:vertAlign w:val="superscript"/>
        </w:rPr>
        <w:t>77</w:t>
      </w:r>
      <w:r w:rsidRPr="00271E51">
        <w:rPr>
          <w:rFonts w:ascii="Times New Roman" w:hAnsi="Times New Roman"/>
          <w:color w:val="000000" w:themeColor="text1"/>
          <w:sz w:val="16"/>
          <w:szCs w:val="16"/>
        </w:rPr>
        <w:t xml:space="preserve"> Гендиректор (2002 г.)- В.П. Улитенко.</w:t>
      </w:r>
    </w:p>
    <w:p w14:paraId="68BF0E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(2002 г.)- В.П. Улитенко.</w:t>
      </w:r>
      <w:r w:rsidRPr="00271E51">
        <w:rPr>
          <w:rFonts w:ascii="Times New Roman" w:hAnsi="Times New Roman"/>
          <w:color w:val="000000" w:themeColor="text1"/>
          <w:sz w:val="16"/>
          <w:szCs w:val="16"/>
          <w:vertAlign w:val="superscript"/>
        </w:rPr>
        <w:t>69</w:t>
      </w:r>
    </w:p>
    <w:p w14:paraId="04AA1D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электроклапаны ЭК-44 (1945), трансформаторы (1956), автопилоты АП-15 (1950-е) (11982).</w:t>
      </w:r>
    </w:p>
    <w:p w14:paraId="0D2B99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9FE2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0872A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80F8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г. была подготовлена ДОКЛАДНАЯ ЗАПИСКА НАЧАЛЬНИКА ТУ ГБТУ КА НАЧАЛЬНИКУ ГБТУ КА ПО ВОПРОСУ ПРОИЗВОДСТВА ОГНЕМЕТНЫХ ТАНКОВ Т-О34</w:t>
      </w:r>
    </w:p>
    <w:p w14:paraId="5ACECD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по вопросу производства огнеметных танков Т-О34.</w:t>
      </w:r>
    </w:p>
    <w:p w14:paraId="4ABE93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 1 ноября 1943 г. имеется принятых военпредом ГБТУ КА около 1000 шт. танковых огнеме</w:t>
      </w:r>
      <w:r w:rsidRPr="00271E51">
        <w:rPr>
          <w:rFonts w:ascii="Times New Roman" w:hAnsi="Times New Roman"/>
          <w:color w:val="000000" w:themeColor="text1"/>
          <w:sz w:val="16"/>
          <w:szCs w:val="16"/>
        </w:rPr>
        <w:softHyphen/>
        <w:t>тов АТО-42.</w:t>
      </w:r>
    </w:p>
    <w:p w14:paraId="0C361A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существующей программе выпуска огнеметных танков (60 шт. в месяц) указанного количе</w:t>
      </w:r>
      <w:r w:rsidRPr="00271E51">
        <w:rPr>
          <w:rFonts w:ascii="Times New Roman" w:hAnsi="Times New Roman"/>
          <w:color w:val="000000" w:themeColor="text1"/>
          <w:sz w:val="16"/>
          <w:szCs w:val="16"/>
        </w:rPr>
        <w:softHyphen/>
        <w:t>ства огнеметов хватит на 17 месяцев, и неизбежно встает вопрос о дальнейшем производстве огне</w:t>
      </w:r>
      <w:r w:rsidRPr="00271E51">
        <w:rPr>
          <w:rFonts w:ascii="Times New Roman" w:hAnsi="Times New Roman"/>
          <w:color w:val="000000" w:themeColor="text1"/>
          <w:sz w:val="16"/>
          <w:szCs w:val="16"/>
        </w:rPr>
        <w:softHyphen/>
        <w:t>метов АТО-42 и существовании специализированного по производству огнеметов завода №222.</w:t>
      </w:r>
    </w:p>
    <w:p w14:paraId="12B177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Основные причины образования большого запаса огнеметов АТО-42:</w:t>
      </w:r>
    </w:p>
    <w:p w14:paraId="3D3DE8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небольшой план заказов огнеметных танков (60-70 шт. в месяц) по сравнению с производ</w:t>
      </w:r>
      <w:r w:rsidRPr="00271E51">
        <w:rPr>
          <w:rFonts w:ascii="Times New Roman" w:hAnsi="Times New Roman"/>
          <w:color w:val="000000" w:themeColor="text1"/>
          <w:sz w:val="16"/>
          <w:szCs w:val="16"/>
        </w:rPr>
        <w:softHyphen/>
        <w:t>ственными возможностями и планом выпуска огнеметов АТО-42 (200-220 шт. в месяц);</w:t>
      </w:r>
    </w:p>
    <w:p w14:paraId="0B09B6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систематическое невыполнение плана поставки огнеметных танков Т-О34 и КВ-8:</w:t>
      </w:r>
    </w:p>
    <w:tbl>
      <w:tblPr>
        <w:tblW w:w="0" w:type="auto"/>
        <w:tblInd w:w="40" w:type="dxa"/>
        <w:tblLayout w:type="fixed"/>
        <w:tblCellMar>
          <w:left w:w="40" w:type="dxa"/>
          <w:right w:w="40" w:type="dxa"/>
        </w:tblCellMar>
        <w:tblLook w:val="0000" w:firstRow="0" w:lastRow="0" w:firstColumn="0" w:lastColumn="0" w:noHBand="0" w:noVBand="0"/>
      </w:tblPr>
      <w:tblGrid>
        <w:gridCol w:w="1930"/>
        <w:gridCol w:w="806"/>
        <w:gridCol w:w="1402"/>
      </w:tblGrid>
      <w:tr w:rsidR="00A907A5" w:rsidRPr="00271E51" w14:paraId="381A8673" w14:textId="77777777" w:rsidTr="00ED5B0A">
        <w:trPr>
          <w:trHeight w:val="269"/>
        </w:trPr>
        <w:tc>
          <w:tcPr>
            <w:tcW w:w="1930" w:type="dxa"/>
            <w:tcBorders>
              <w:top w:val="single" w:sz="6" w:space="0" w:color="auto"/>
              <w:left w:val="single" w:sz="6" w:space="0" w:color="auto"/>
              <w:bottom w:val="single" w:sz="6" w:space="0" w:color="auto"/>
              <w:right w:val="single" w:sz="6" w:space="0" w:color="auto"/>
            </w:tcBorders>
          </w:tcPr>
          <w:p w14:paraId="0EB0C2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3BB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5FEF7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p w14:paraId="615940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81451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Выполнено</w:t>
            </w:r>
          </w:p>
          <w:p w14:paraId="7E8464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1721F8" w14:textId="77777777" w:rsidTr="00ED5B0A">
        <w:trPr>
          <w:trHeight w:val="278"/>
        </w:trPr>
        <w:tc>
          <w:tcPr>
            <w:tcW w:w="1930" w:type="dxa"/>
            <w:tcBorders>
              <w:top w:val="single" w:sz="6" w:space="0" w:color="auto"/>
              <w:left w:val="single" w:sz="6" w:space="0" w:color="auto"/>
              <w:bottom w:val="single" w:sz="6" w:space="0" w:color="auto"/>
              <w:right w:val="single" w:sz="6" w:space="0" w:color="auto"/>
            </w:tcBorders>
          </w:tcPr>
          <w:p w14:paraId="6CA4BC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квартал 1943 г.</w:t>
            </w:r>
          </w:p>
          <w:p w14:paraId="06D1E3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CFE6D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07A8E9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60547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p w14:paraId="439794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BB4E17" w14:textId="77777777" w:rsidTr="00ED5B0A">
        <w:trPr>
          <w:trHeight w:val="278"/>
        </w:trPr>
        <w:tc>
          <w:tcPr>
            <w:tcW w:w="1930" w:type="dxa"/>
            <w:tcBorders>
              <w:top w:val="single" w:sz="6" w:space="0" w:color="auto"/>
              <w:left w:val="single" w:sz="6" w:space="0" w:color="auto"/>
              <w:bottom w:val="single" w:sz="6" w:space="0" w:color="auto"/>
              <w:right w:val="single" w:sz="6" w:space="0" w:color="auto"/>
            </w:tcBorders>
          </w:tcPr>
          <w:p w14:paraId="777EF4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квартал 1943 г.</w:t>
            </w:r>
          </w:p>
          <w:p w14:paraId="5C84D7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F4523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214</w:t>
            </w:r>
          </w:p>
          <w:p w14:paraId="4A6467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8E332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0F0D92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650180" w14:textId="77777777" w:rsidTr="00ED5B0A">
        <w:trPr>
          <w:trHeight w:val="278"/>
        </w:trPr>
        <w:tc>
          <w:tcPr>
            <w:tcW w:w="1930" w:type="dxa"/>
            <w:tcBorders>
              <w:top w:val="single" w:sz="6" w:space="0" w:color="auto"/>
              <w:left w:val="single" w:sz="6" w:space="0" w:color="auto"/>
              <w:bottom w:val="single" w:sz="6" w:space="0" w:color="auto"/>
              <w:right w:val="single" w:sz="6" w:space="0" w:color="auto"/>
            </w:tcBorders>
          </w:tcPr>
          <w:p w14:paraId="2AAF84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 1943 г.</w:t>
            </w:r>
          </w:p>
          <w:p w14:paraId="2A733D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208C5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59775A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8A2B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p w14:paraId="75AB8D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D1EDF1" w14:textId="77777777" w:rsidTr="00ED5B0A">
        <w:trPr>
          <w:trHeight w:val="278"/>
        </w:trPr>
        <w:tc>
          <w:tcPr>
            <w:tcW w:w="1930" w:type="dxa"/>
            <w:tcBorders>
              <w:top w:val="single" w:sz="6" w:space="0" w:color="auto"/>
              <w:left w:val="single" w:sz="6" w:space="0" w:color="auto"/>
              <w:bottom w:val="single" w:sz="6" w:space="0" w:color="auto"/>
              <w:right w:val="single" w:sz="6" w:space="0" w:color="auto"/>
            </w:tcBorders>
          </w:tcPr>
          <w:p w14:paraId="2AF765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Август 1 943 г.</w:t>
            </w:r>
          </w:p>
          <w:p w14:paraId="6FF78C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6CD59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w:t>
            </w:r>
          </w:p>
          <w:p w14:paraId="0EE32E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76EB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p w14:paraId="393914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DE7EBD" w14:textId="77777777" w:rsidTr="00ED5B0A">
        <w:trPr>
          <w:trHeight w:val="269"/>
        </w:trPr>
        <w:tc>
          <w:tcPr>
            <w:tcW w:w="1930" w:type="dxa"/>
            <w:tcBorders>
              <w:top w:val="single" w:sz="6" w:space="0" w:color="auto"/>
              <w:left w:val="single" w:sz="6" w:space="0" w:color="auto"/>
              <w:bottom w:val="single" w:sz="6" w:space="0" w:color="auto"/>
              <w:right w:val="single" w:sz="6" w:space="0" w:color="auto"/>
            </w:tcBorders>
          </w:tcPr>
          <w:p w14:paraId="59A22D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 1943 г.</w:t>
            </w:r>
          </w:p>
          <w:p w14:paraId="3DC82B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32838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79051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44763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p w14:paraId="51C98A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11B019" w14:textId="77777777" w:rsidTr="00ED5B0A">
        <w:trPr>
          <w:trHeight w:val="298"/>
        </w:trPr>
        <w:tc>
          <w:tcPr>
            <w:tcW w:w="1930" w:type="dxa"/>
            <w:tcBorders>
              <w:top w:val="single" w:sz="6" w:space="0" w:color="auto"/>
              <w:left w:val="single" w:sz="6" w:space="0" w:color="auto"/>
              <w:bottom w:val="single" w:sz="6" w:space="0" w:color="auto"/>
              <w:right w:val="single" w:sz="6" w:space="0" w:color="auto"/>
            </w:tcBorders>
          </w:tcPr>
          <w:p w14:paraId="61B0EF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5BD56F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63140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666</w:t>
            </w:r>
          </w:p>
          <w:p w14:paraId="4A782F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FB6C4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w:t>
            </w:r>
          </w:p>
          <w:p w14:paraId="21AEF5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19D99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за три квартала 1943 г. танковые заводы недопоставили 387 огнеметных танков, в) производству и выпуску огнеметных танков не уделялось необходимое внимания.</w:t>
      </w:r>
    </w:p>
    <w:p w14:paraId="26049B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Производство и монтаж огнеметных установок в танках Т-О34 вполне освоили заводы №112 и №174. Изготовление и монтаж огнеметных установок прост и нетрудоемок.</w:t>
      </w:r>
    </w:p>
    <w:p w14:paraId="19D238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Наличие огнеметной установки в танке Т-О34 не снижает его боевых качеств по сравнению с обычным танком Т-34, а наоборот, усиливает, так как артиллерийское вооружение и боекомплект снарядов в танке Т-О34 такие же, как и в Т-34, огнеметная же установка в танке Т-О34 является дополнительным вооружением.</w:t>
      </w:r>
    </w:p>
    <w:p w14:paraId="30D4A3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Имеющийся недостаток в танке Т-О34 (отсутствие рации) в ближайшее время будет устранен, так как на заводе № 112 отработана и испытана установка рации в башне танка.</w:t>
      </w:r>
    </w:p>
    <w:p w14:paraId="689CEB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Предложения:</w:t>
      </w:r>
    </w:p>
    <w:p w14:paraId="670B38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Выпуск огнеметных танков Т-О34 увеличить с 60 до 300 танков в месяц. Причем с 1.01.1944 г. завод №174 целиком перевести на производство танков Т-О34.</w:t>
      </w:r>
    </w:p>
    <w:p w14:paraId="347E88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Танки Т-О34 использовать для укомплектования обычных танковых бригад и танковых пол</w:t>
      </w:r>
      <w:r w:rsidRPr="00271E51">
        <w:rPr>
          <w:rFonts w:ascii="Times New Roman" w:hAnsi="Times New Roman"/>
          <w:color w:val="000000" w:themeColor="text1"/>
          <w:sz w:val="16"/>
          <w:szCs w:val="16"/>
        </w:rPr>
        <w:softHyphen/>
        <w:t>ков, внеся небольшие изменения в их штаты (добавить одну компрессорную станцию АКС-2, 5-3 транспортных машин для перевозки огнесмеси, одного техника по ремонту огнеметов).</w:t>
      </w:r>
    </w:p>
    <w:p w14:paraId="754777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Заводу №222 установить программу выпуска огнеметов АТО-42 на декабрь 1943 г. и январь-март 1944 г. по 100 шт. в месяц.</w:t>
      </w:r>
    </w:p>
    <w:p w14:paraId="51B5FF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мощности завода использовать на изготовление траншейных огнеметов ТОП-42 и запасных частей к дизель-моторам В-2.</w:t>
      </w:r>
    </w:p>
    <w:p w14:paraId="4E130A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При выпуске в месяц 300 танков Т-О34 и 100 шт. АТО-42 к концу I квартала 1944 г. будет использован имеющийся запас АТО-42 и установится нормальный задел огнеметов АТО-42 в коли</w:t>
      </w:r>
      <w:r w:rsidRPr="00271E51">
        <w:rPr>
          <w:rFonts w:ascii="Times New Roman" w:hAnsi="Times New Roman"/>
          <w:color w:val="000000" w:themeColor="text1"/>
          <w:sz w:val="16"/>
          <w:szCs w:val="16"/>
        </w:rPr>
        <w:softHyphen/>
        <w:t>честве 200-300 шт. в месяц.</w:t>
      </w:r>
    </w:p>
    <w:p w14:paraId="4B7DF7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решений.</w:t>
      </w:r>
    </w:p>
    <w:p w14:paraId="3A9440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ТУ ГБТУ КА генерал-майор инженерно-танковой службы Афонин</w:t>
      </w:r>
    </w:p>
    <w:p w14:paraId="647985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1-го отдела ТУ ГБТУ КА инженер-подполковник Егоров</w:t>
      </w:r>
    </w:p>
    <w:p w14:paraId="24FD6D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2727. Л. 38-39. Подлинник (11403).</w:t>
      </w:r>
    </w:p>
    <w:p w14:paraId="2965E8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CE8D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вышло Распоряжение ГКО № 4501 [О запрещении мобилизации и призыва в КА рабочих предприятий НКЧМ в Днепропетровской и Запорожской обл.] (7154, 1).</w:t>
      </w:r>
    </w:p>
    <w:p w14:paraId="49CDACB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8BBA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вышло Распоряжение ГКО № 4502 [Об отгрузке НКторгом 2 тыс. т картофеля Тагилстрою НКВД.] (7154, 2).</w:t>
      </w:r>
    </w:p>
    <w:p w14:paraId="36F4E71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13D88" w14:textId="77777777" w:rsidR="000F6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3B279C1" w14:textId="77777777" w:rsidR="000F6181" w:rsidRPr="00271E51" w:rsidRDefault="000F6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F59197"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17DF3BB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ноября в районе между рекой Днепр и побережьем Каркинитского залива наши войска продолжали развивать наступление и с боями овладели районными центрами Николаевской области городом Цюрупинск (Алешки), городом Голаяпристань, а также заняли более 30 других населённых пунктов, в том числе крупные населённые пункты Казачьи Лагери, Раденское, Костогрызово, Большая Кардашинка, Старая и Новая Збурьевка, Долматовка, Ново-Софиевка, Новая Алексеевка, Кларовка, Бехтеры, Железный Порт.</w:t>
      </w:r>
    </w:p>
    <w:p w14:paraId="6A0226F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преодолевая сопротивление противника, заняли несколько населённых пунктов.</w:t>
      </w:r>
    </w:p>
    <w:p w14:paraId="6F9D522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вели бои по расширению плацдарма на правом берегуДнепра и после ожесточённых боёв овладели районным центром Киевской области Дымер и сильно укреплёнными опорными пунктами противника Мануильск, Фёдоровка, Глебовка, Козаровичи, Горянка, Дачи, Пуща, Водица.</w:t>
      </w:r>
    </w:p>
    <w:p w14:paraId="01668C00"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Невеля наши войска вели бои местного значения, в результате которых заняли более 70 населённых пунктов и среди них Мякинчино, Босюрово, Пушнарёво, Бордино, Туричино, Литвиново, Жулево, Шведы, Городище, Харина, Позднево и железнодорожные станции Новохованск, Железница, Молокоедово.</w:t>
      </w:r>
    </w:p>
    <w:p w14:paraId="5615950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1502C36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ноября наши войска на всех фронтах подбили и уничтожили 81 танк. В воздушных боях и огнём зенитной артиллерии сбито 40 самолётов противника.</w:t>
      </w:r>
    </w:p>
    <w:p w14:paraId="260FED0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между рекой Днепр и Каркинитским заливом наши войска продолжали успешное наступление и с боями овладелм районными центрами Николаевской области городом Цюрупинск (Алешки) и городом Голая Пристань. Занято также более 30 других населённых пунктов. Противник несёт огромные потери. За день боёв убито свыше 2.000 немецких солдат и офицеров. Уничтожено 26 танков, 10 самоходных орудий, 5 бронемашин и свыше 100 автомашин с войсками и военными грузами противника. Остатки разбитых и рассеянных немецких частей группами сдаются в плен. Захвачены большие трофеи.</w:t>
      </w:r>
    </w:p>
    <w:p w14:paraId="4C05543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части Н-скогосоединения продолжали продвигаться вперёд и заняли несколько населённых пунктов. В боях за эти пункты наши бойцы истребили свыше 800 солдат и офицеров противника. Уничтожено 3 танка, 2 самоходных и 12 полевых орудий. Взяты пленные и трофеи. Захваченные в плен немецкие солдаты показали, что 46 немецкая пехотна я дивизия обескровлена в последних боях и потеряла всю свою артиллерию. Остатки частей этой дивизии ввиду больших потерь отводятся с линии фронта.</w:t>
      </w:r>
    </w:p>
    <w:p w14:paraId="037C11E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Киева наши войска вели бои по расширению плацдарма на правом берегуДнепра. Части Н-ского соединения, в результате ожесточённых боёв, сломили сопротивление противника и заняли районный центр Киевской области Дымер и несколько других сильно укреплённых опорных пунктов. Немцы подтягивают силы сдругих участков и всеми мерами стараются задержать продвижение советских войск. Неоднократные контратаки противника, пытавшегося восстановить положение, отбиты с большими для него потерями. За день боёв уничтожено до полка немецкой пехоты. Нашими войсками захвачены трофеи, в числе которых 34 полевых орудия, 5 самоходных орудий типа «Фердинанд», 4 шестиствольных миномёта, дивизионные склады боеприпасов и военного имущества.</w:t>
      </w:r>
    </w:p>
    <w:p w14:paraId="49C6A70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активно поддерживали действия наземных войск. Нашей авиацией уничтожено и повреждено до 20 немецких танков, 150 автомашин, подавлен огонь 28 артиллерийских и миномётных батарей. В воздушных боях за день сбито 32 немецких самолёта.</w:t>
      </w:r>
    </w:p>
    <w:p w14:paraId="65036E0B"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Невеля наши войска вели бои местного значения и заняли более 70 населённых пунктов. Особенно ожесточённые бои развернулись в районе одного крупного населённого пункта. Противник, пользуясь выгодными позициями, оказывал упорное сопротивление. Наши танкисты обошли населённый пункти вместе с автоматчиками ворвались на его улицы. Батальон гитлеровцев, оборонявший этот пункт, в большей своей части был уничтожен, а его остатки сдались в плен. Захвачено у немцев 13 орудий и крупный склад боеприпасов.</w:t>
      </w:r>
    </w:p>
    <w:p w14:paraId="4FA19168"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Брестской области, предприняли совместную операцию по разрушению путей сообщения противника. Партизаны истребили свыше 100 гитлеровцев, охранявших железную дорогу, и разрушили 15 километров пути. Кроме того, советские патриоты взорвали железнодорожный мост и пустили под откос два немецких воинских эшелона. В результате крушений разбиты 2 паровоза, 14 платформ с боевой техникой и 6 вагонов с солдатами. На шоссейнойдороге уничтожены 22 немецких автомашины.</w:t>
      </w:r>
    </w:p>
    <w:p w14:paraId="045434D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Днепропетровска захвачена в плен группа солдат 125 немецкой пехотной дивизии. Пленный ефрейтор 12 роты 419 полка Иозеф Шеттген рассказал:«Сильной атакой русские выбили наш батальон из занимаемых позиций и нанесли ему тяжёлые потери. Остаткам батальона удалось бежать в ближайший лес. Оттуда мы отошли в деревню, где и заняли оборону. Обер-лейтенант Шустер предупредил нас, что всякий, кто ещё раз оставит позиции и отойдёт назад, будет расстрелян. Несмотря на такое суровое предостережение, солдаты разбежались, как только узнали, что русские подошли к деревне с двух сторон. Я с группой солдат спрятался в стог сена и, дождавшись русских, сдался в плен».</w:t>
      </w:r>
    </w:p>
    <w:p w14:paraId="2D7B47A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во время оккупации Дрибинского района Могилёвской области творили зверскую расправу над мирным населением. В селе Дрибине осенью1941 года гитлеровцы расстреляли 450 ни в чём не повинных жителей, в том числе женщин и детей. Многих крестьян гитлеровцы подвергали публичной порке за неуплату непосильных налогов. За время оккупации и при отступлении фашистские бандиты разрушили и сожгли в селе Дрибине школу, больницу, МТС и 350 жилых домов. Немцы угнали на каторгу в Германию большое число жителей Дрибинского района.»</w:t>
      </w:r>
    </w:p>
    <w:p w14:paraId="6D79036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Итоги летней кампании Красной Армии (с 5 июля по 5 ноября 1943 года):</w:t>
      </w:r>
    </w:p>
    <w:p w14:paraId="5684343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«Красная Армия, в результате напряжённых четырёхмесячных боёв, успешно выполнила оперативно-стратегический план Верховного Главнокомандования. Задача, поставленная перед вооружёнными силами Советского Союза — изгнать в течение лета и осени вражеские войска за линию Смоленска, реки Сож, среднего и нижнего течения Днепра, а также ликвидировать Кубанский плацдарм немцев — полностью осуществлена.</w:t>
      </w:r>
    </w:p>
    <w:p w14:paraId="28D361C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Летняя кампания 1943 года, как известно, началась 5 июля решающим, по заявлению гитлеровского командования, наступлением немецко-фашистских войск на Орловско-Курском и Белгородско-Курском направлениях. Противник ставил перед собой задачу окружить и уничтожить советские войска, расположенные в Курском выступе, выйти в глубокие тылы Красной Армии и решить исход войны в свою пользу.</w:t>
      </w:r>
    </w:p>
    <w:p w14:paraId="505A82DB"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Итоги летних боёв показали, что этот новый стратегический план немцев, построенный без реального учёта соотношения сил, оказался от начала до конца авантюристическим и позорно провалился. Красная Армия в упорных оборонительных боях измотала и обескровила главные силы немецко-фашистской армии, начавшие 5 июля наступление. Немцы понесли огромные потери, но не добились успеха.</w:t>
      </w:r>
    </w:p>
    <w:p w14:paraId="3B5ADF8E"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Разгромив наступавшие на Курск немецко-фашистские войска, Красная Армия, по приказу Ставки Верховного Главнокомандования, 12 июля сама перешла в решительное наступление, прорвала сильно укреплённую оборону немцев и после многодневных ожесточённых боёв, 5 августа — ровно через месяц после начала наступления немецких войск — овладела городами Орёл и Белгород.</w:t>
      </w:r>
    </w:p>
    <w:p w14:paraId="283F15D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самый мощный и опасный для нашей страны Орловский укреплённый стратегический плацдарм врага, который гитлеровское командование рассчитывало использовать как трамплин для наступления на Москву, был ликвидирован.</w:t>
      </w:r>
    </w:p>
    <w:p w14:paraId="1734B47E"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Вторым важнейшим укреплённым плацдармом немецкой армии являлся район Белгорода и Харькова.</w:t>
      </w:r>
    </w:p>
    <w:p w14:paraId="5BFCF6C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сосредоточили в этом районе свою основную танковую группировку, в том числе отборные танковые дивизии «СС», создали крупные склады вооружения и боеприпасов и соорудили мощные укреплённые линии обороны.</w:t>
      </w:r>
    </w:p>
    <w:p w14:paraId="1294023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Начав наступление на Харьковском направлении, наши войска прорвали оборону противника и, сломив его упорное сопротивление, 23 августа штурмом овладели городом Харьков.</w:t>
      </w:r>
    </w:p>
    <w:p w14:paraId="5324D9BB"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самым Белгородско-Харьковский плацдарм немцев был успешно ликвидирован.</w:t>
      </w:r>
    </w:p>
    <w:p w14:paraId="47C1C329"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Ликвидация Орловского и Белгородско-Харьковского плацдармов противника явилась крупнейшей операцией наших войск после разгрома немцев под Сталинградом. Победы Красной Армии в районе Орла и Харькова создали прочную основу для дальнейшего развития наступления наших войск и осуществления плана Верховного Главнокомандования по освобождению Донбасса и всей левобережной Украины.</w:t>
      </w:r>
    </w:p>
    <w:p w14:paraId="6F68C8C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Третьим важнейшим укреплённым плацдармом немцев являлась восточная часть Донбасса с основным рубежом обороны по линии реки Северный Донец и реки Миус.</w:t>
      </w:r>
    </w:p>
    <w:p w14:paraId="21EB1558"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Верховного Главнокомандования наши Южные армии перешли в наступление, форсировали реки Миус и Северный Донец, прорвали оборону немцев и одержали крупную победу над немецкими захватчиками в Донецком бассейне. В течение шести дней стремительного наступления наших войск был освобождён весь Донбасс — важнейший угольный и промышленный район страны.</w:t>
      </w:r>
    </w:p>
    <w:p w14:paraId="529E9A79"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Развивая успешное наступление, наши войска быстро погнали немцев на запад, освободили почти всё побережье Азовского моря и вышли к Мелитополю и Запорожью —сильным укреплённым районам на подступах к Крыму и низовьям Днепра.</w:t>
      </w:r>
    </w:p>
    <w:p w14:paraId="2998F51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Потерпев тяжёлые поражения под Орлом, Белгородом, Харьковом и в Донбассе, немецкое командование предприняло отчаянную попытку остановить наступление советских войск на рубеже реки Десны, превращённом на всём её протяжении в мощную линию современной обороны, укреплявшуюся в течение двух лет и считавшуюся немцами непреодолимой. Наши войска решительными действиями в трудных условиях форсировали Десну и взломали эту линию немецкой обороны.</w:t>
      </w:r>
    </w:p>
    <w:p w14:paraId="6BFE503C"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время как наши войска южнее Брянска гнали немцев на запад, был также нанесён удар по вражеским войскам на Смоленском и Рославльском направлениях. Взломав сильно укреплённую долговременную оборонительную полосу врага, наши войска форсировали Днепр в его верхнем течении, овладели междуречьем Западной Двины и Днепра — так называемыми Смоленскими воротами, и освободили город Смоленск — важнейший стратегический узел обороны немцев на Западном направлении.</w:t>
      </w:r>
    </w:p>
    <w:p w14:paraId="1658FD7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Решительными действиями наших войск на Кубани было сломлено также сопротивление противника в районе Новороссийска, в низовьях реки Кубани и на Таманском полуострове. Тем самым был ликвидирован оперативно-важный плацдарм немцев на Кубани, который обеспечивал им оборону Крыма и возможность наступательных действий в сторону Кавказа.</w:t>
      </w:r>
    </w:p>
    <w:p w14:paraId="6EFFA46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Потерпев тяжёлые поражения в предыдущих боях, немцы пытались во что бы то ни стало остановить наступающие советские войска на Днепре. Немецкое командование стянуло основные силы своей армии на защиту мощной полосы обороны по Днепру и реке Молочная, рассчитывая прочно обосноваться на этом выгодном для обороны рубеже. Но и эти расчёты немцев провалились. Красная Армия форсировала крупнейшую водную преграду — Днепр, взломала мощные долговременные оборонительные сооружения противника и создала на правом берегу Днепра ряд стратегически важных плацдармов. Развивая наступление, Красная Армия нанесла немецко-фашистским войскам тяжёлое поражение в излучине Днепра и освободила Днепропетровск и Днепродзержинск — важнейшие промышленные центры юга нашейстраны, и железнодорожный узел Пятихатку. Вместе с тем, наши войска прорвали мощную оборонительную полосу немцев на рубеже реки Молочная, которая по своему инженерному оборудованию противотанковыми препятствиями, по плотности насыщения пехотой, артиллерией и танками была ещё более сильной, чем оборона немцев на реке Миус. Таким образом, наши войска взломали всю оборону противника от Запорожья до Азовского моря, и вышли к нижнему течению Днепра, отрезав с суши войска противника в Крыму.</w:t>
      </w:r>
    </w:p>
    <w:p w14:paraId="6052E0C7"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этих умело осуществлённых по плану Верховного Главнокомандования операций Красная Армия освободила от противника огромную территорию, лишила немцев стратегически важных районов и коммуникаций. Враг на протяжении 1.200 километров — от устья реки Сож до Чёрного моря — был отброшен за Днепр. Вся левобережная Украина была в короткий срок освобождена от немецких захватчиков.</w:t>
      </w:r>
    </w:p>
    <w:p w14:paraId="668618B8"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наступательных боёв наши войска форсировали четыре серьёзных водных преграды: Северный Донец, Десну, Сож и Днепр, проявив при этом высокую маневренность и военное мастерство.</w:t>
      </w:r>
    </w:p>
    <w:p w14:paraId="416F304C"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менее чем за четыре месяца наступления на советско-германскомфронте Красная Армия возвратила Родине огромную территорию в 350.000 кв. километров, имеющую важнейшее экономическое и военно-стратегическое значение. Полностью очищены от немецко-фашистских захватчиков Краснодарский край, Ростовская, Ворошиловградская, Сталинская, Харьковская, Полтавская, Сумская,Черниговская, Курская, Орловская и Смоленская области. Освобождена значительная часть Запорожской, Днепропетровской и Киевской областей. Началось изгнание немцев из Белоруссии. Ведя наступление на фронте в 2.000 километров, Красная Армия продвинулась на запад от 300 до 450 километров и освободила более 38.000 населённых пунктов, из них 162 города. Вызволены из фашистской неволи миллионы советских людей.</w:t>
      </w:r>
    </w:p>
    <w:p w14:paraId="619CAB3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Освобождение Донбасса, Харькова, Орла, Таганрога, Брянска, Смоленска,Днепропетровска, Днепродзержинска, Запорожья и других крупных промышленных центров значительно увеличивает экономические ресурсы Советского Союза и ещё более усиливает могущество Красной Армии. Очистив от немецко-фашистских захватчиков громадную территорию между Северным Донцом и Днепром, Красная Армия вернула Родине богатейшую житницу, один из плодороднейших сельскохозяйственных районов страны. С потерей этого обширного хлебородного края гитлеровцы лишились крупной продовольственной базы, за которую они так неистово цеплялись.</w:t>
      </w:r>
    </w:p>
    <w:p w14:paraId="5260AA5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Красная Армия освободила от врага крупные железнодорожные узлы: Смоленск,Рославль, Невель, Брянск, Кричев, Унеча, Орёл, Хутор Михайловский, Ворожба, Конотоп, Бахмач, Нежин, Харьков, Полтава, Сумы, Ромодан, Гребенка, Дебальцево, Ясиноватая, Никитовка, Павлоград, Красноград, Лозовая, Красноармейское, Волноваха, Синельниково, Пятихатка, Днепропетровск, Запорожье и др. Тем самым вруках советских войск оказались важнейшие железнодорожные магистрали:Москва—Смоленск, Москва—Орёл—Курск—Белгород—Харьков—Ростов, Харьков—Сталино—Мариуполь, Москва—Брянск—Новобелица, Курск—Ворожба—Дарница, Орёл—Брянск—Рославль—Смоленск, Харьков—Красноград—Днепропетровск,Сухиничи—Брянск—Ворожба, Вязьма—Брянск—Конотоп,Кричев—Унеча—Ворожба—Сумы—Харьков, Бахмач—Ромодан—Полтава, Новобелица—Нежин—Гребёнка—Золотоноша, Харьков—Полтава—Кременчуг, Харьков—Полтава—Ромодан—Дарница, Сталино—Волноваха—Пологи—Запорожье, Запорожье—Мелитополь—Геническ, Днепропетровск—Пятихатка и другие.</w:t>
      </w:r>
    </w:p>
    <w:p w14:paraId="61733A72"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Размеры территории, освобожденной Красной Армией от немецкой оккупации за период с 12 июля по 5 ноября 1943 г.</w:t>
      </w:r>
    </w:p>
    <w:p w14:paraId="1C9610C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Красная Армия отвоевала важнейшие железнодорожные магистрали, связывающие центр нашей страны с югом, и тем самым серьёзно улучшила условия манёвра войск, изменив оперативно-тактические возможности дальнейшей борьбы всвою пользу. В то же время с потерей этих важных стратегических коммуникаций немецкая армия в значительной степени лишилась благоприятных условий для манёвра войск и её оперативно-тактические возможности ухудшились.</w:t>
      </w:r>
    </w:p>
    <w:p w14:paraId="440DF18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наступления наши войска освободили от захватчиков морские порты: Анапа, Тамань, Таганрог, Мариуполь, Осипенко (Бердянск) и важнейший порт и вторую военно-морскую базу Черноморского флота — Новороссийск.</w:t>
      </w:r>
    </w:p>
    <w:p w14:paraId="65F7254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5 июля по 5 ноября 1943 года Красная Армия нанесла немецко-фашистским войскам тяжёлые потери в людях и технике. За этот период наши войска разбили 144 дивизии противника, из них танковых и моторизованных 28 дивизий. Все эти дивизии за время летней кампании неоднократно пополнялись живой силой и техникой. </w:t>
      </w:r>
      <w:r w:rsidRPr="00271E51">
        <w:rPr>
          <w:rFonts w:ascii="Times New Roman" w:hAnsi="Times New Roman"/>
          <w:color w:val="000000" w:themeColor="text1"/>
          <w:sz w:val="16"/>
          <w:szCs w:val="16"/>
        </w:rPr>
        <w:lastRenderedPageBreak/>
        <w:t>Противник потерял только убитыми до 900.000 солдат и офицеров. Взято в плен 98.000 немецких солдат и офицеров, из коих более половины раненых. Всего же за время летних боёв противник потерял убитыми, ранеными и пленными более 2.700.000 солдат и офицеров.</w:t>
      </w:r>
    </w:p>
    <w:p w14:paraId="555DE3D7"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этот период нашими войсками уничтожено: самолётов противника — 9.900, уничтожено и подбито танков — 15.400, из них «тигров» и «пантер» — 800, бронемашин — 890, уничтожено орудий разного калибра — 13.000, из них самоходных орудий «Фердинанд» — 1.350, миномётов—около 13.000, пулемётов—свыше 50.000, автомашин—60.500, автоцистерн — 390, мотоциклов — 2.500, тракторов — 900, повозок с грузами—13.000, железнодорожных вагонов—более 4.000, паровозов—более300, разных складов — более 2.000.</w:t>
      </w:r>
    </w:p>
    <w:p w14:paraId="0DFAA12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нашими войсками захвачены следующие трофеи: самолётов — 289, танков — 2.300, из них «тигров» и «пантер» — 204, бронемашин — 190, орудий разного калибра — 6.800, в том числе самоходных типа «Фердинанд» — 139, миномётов — 6.180, пулемётов — 24.460, снарядов — 7.759.000, мин — 2.100.000, авиабомб — 300.000, противотанковых, противопехотных мин и фугасов — 1.500.000, винтовок и автоматов—свыше 450.000, винтовочных патронов—100.500.000, кабеля разного— свыше 50.000 километров, автомашин — 15.482, паровозов — 414, вагонов —13.210, повозок с грузами — 5.400, лошадей — 30.400, тракторов и тягачей — 873, складов с различным военным имуществом — 1.889, мотоциклов — около 3.000, велосипедов — 16.685, радиостанций — 1.201.</w:t>
      </w:r>
    </w:p>
    <w:p w14:paraId="6304F3D0"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противник с 5 июля по 5 ноября 1943 года потерял: самолётов — 10.189, танков — 17.700, орудий — 19.800, пулемётов — 74.460, миномётов — 19.180,автомашин — 75.982.</w:t>
      </w:r>
    </w:p>
    <w:p w14:paraId="500A5791"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Координацию действий войск фронтов и помощь в руководстве боевыми операциями наших войск по общевойсковой части осуществляли представители Верховного Главнокомандования маршал Василевский, маршал Воронов, маршал Жуков, маршал Тимошенко, а по авиационной части — маршалы авиации Голованов и Новиков и генерал-полковники авиации Ворожейкин, Фалалеев, Худяков.» (14820).</w:t>
      </w:r>
    </w:p>
    <w:p w14:paraId="37CE29D2"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7B27367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4 ноября</w:t>
      </w:r>
      <w:r w:rsidRPr="00271E51">
        <w:rPr>
          <w:rFonts w:ascii="Times New Roman" w:hAnsi="Times New Roman"/>
          <w:color w:val="000000" w:themeColor="text1"/>
          <w:sz w:val="16"/>
          <w:szCs w:val="16"/>
        </w:rPr>
        <w:t xml:space="preserve"> в 1943 году личный состав 1-й Казачьей немецкой дивизии на Балканах насчитывает 18555 человек, в том числе 191 казачий офицер и 14315 казачьих унтер-офицеров и рядовых, а также 222 немецких офицера и 3827 немецких унтер-офицеров и рядовых (14820).</w:t>
      </w:r>
    </w:p>
    <w:p w14:paraId="2A60DFD3"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617779D7"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F8A254A"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56F36"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ноября 1943. В Большом зале Московской консерватории состоялось первое исполнение Восьмой симфонии Д. Д. Шостаковича. Дирижировал Е. А. Мравинский. Писатель Михаил Пришвин записывает: "На 8-й симфонии Шостаковича. Это музыкальный миф о современной войне, вещь настоящая, без подтяжек. Сам Шостакович, маленький человечек, издали будто гимназист 6-го класса, капризное дитя современности, вместивший в себя весь ад жизни с мечтой о выходе в рай" (18693).</w:t>
      </w:r>
    </w:p>
    <w:p w14:paraId="7E483099"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327D507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C8410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4D4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 С.В.Ильюшин обра</w:t>
      </w:r>
      <w:r w:rsidRPr="00271E51">
        <w:rPr>
          <w:rFonts w:ascii="Times New Roman" w:hAnsi="Times New Roman"/>
          <w:color w:val="000000" w:themeColor="text1"/>
          <w:sz w:val="16"/>
          <w:szCs w:val="16"/>
        </w:rPr>
        <w:softHyphen/>
        <w:t xml:space="preserve">тился к А.И.Шахурину с письмом №1/ 1162, в котором писал, что: </w:t>
      </w:r>
      <w:r w:rsidRPr="00271E51">
        <w:rPr>
          <w:rFonts w:ascii="Times New Roman" w:hAnsi="Times New Roman"/>
          <w:iCs/>
          <w:color w:val="000000" w:themeColor="text1"/>
          <w:sz w:val="16"/>
          <w:szCs w:val="16"/>
        </w:rPr>
        <w:t>"В связи с добавлением на самолет Ил-2 второго человека с оружием и броней, а также вследствие добав</w:t>
      </w:r>
      <w:r w:rsidRPr="00271E51">
        <w:rPr>
          <w:rFonts w:ascii="Times New Roman" w:hAnsi="Times New Roman"/>
          <w:iCs/>
          <w:color w:val="000000" w:themeColor="text1"/>
          <w:sz w:val="16"/>
          <w:szCs w:val="16"/>
        </w:rPr>
        <w:softHyphen/>
        <w:t>ления горючего, - центровка самоле</w:t>
      </w:r>
      <w:r w:rsidRPr="00271E51">
        <w:rPr>
          <w:rFonts w:ascii="Times New Roman" w:hAnsi="Times New Roman"/>
          <w:iCs/>
          <w:color w:val="000000" w:themeColor="text1"/>
          <w:sz w:val="16"/>
          <w:szCs w:val="16"/>
        </w:rPr>
        <w:softHyphen/>
        <w:t>та продвинулась назад и в данный момент составляет 32,3%. Вследствие этого самолет стал в продольном от</w:t>
      </w:r>
      <w:r w:rsidRPr="00271E51">
        <w:rPr>
          <w:rFonts w:ascii="Times New Roman" w:hAnsi="Times New Roman"/>
          <w:iCs/>
          <w:color w:val="000000" w:themeColor="text1"/>
          <w:sz w:val="16"/>
          <w:szCs w:val="16"/>
        </w:rPr>
        <w:softHyphen/>
        <w:t>ношении неустойчив.</w:t>
      </w:r>
    </w:p>
    <w:p w14:paraId="1FC6BE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Для улучшения центровки самоле</w:t>
      </w:r>
      <w:r w:rsidRPr="00271E51">
        <w:rPr>
          <w:rFonts w:ascii="Times New Roman" w:hAnsi="Times New Roman"/>
          <w:iCs/>
          <w:color w:val="000000" w:themeColor="text1"/>
          <w:sz w:val="16"/>
          <w:szCs w:val="16"/>
        </w:rPr>
        <w:softHyphen/>
        <w:t>та Ил-2 требуется подать концы кон</w:t>
      </w:r>
      <w:r w:rsidRPr="00271E51">
        <w:rPr>
          <w:rFonts w:ascii="Times New Roman" w:hAnsi="Times New Roman"/>
          <w:iCs/>
          <w:color w:val="000000" w:themeColor="text1"/>
          <w:sz w:val="16"/>
          <w:szCs w:val="16"/>
        </w:rPr>
        <w:softHyphen/>
        <w:t>солей крыла назад, что возвращает центровку самолета до центровки одно</w:t>
      </w:r>
      <w:r w:rsidRPr="00271E51">
        <w:rPr>
          <w:rFonts w:ascii="Times New Roman" w:hAnsi="Times New Roman"/>
          <w:iCs/>
          <w:color w:val="000000" w:themeColor="text1"/>
          <w:sz w:val="16"/>
          <w:szCs w:val="16"/>
        </w:rPr>
        <w:softHyphen/>
        <w:t>местного самолета Ил-2, т.е. до 28,0%.</w:t>
      </w:r>
    </w:p>
    <w:p w14:paraId="26804F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Самолет Ил-2 завода</w:t>
      </w:r>
      <w:r w:rsidRPr="00271E51">
        <w:rPr>
          <w:rFonts w:ascii="Times New Roman" w:hAnsi="Times New Roman"/>
          <w:color w:val="000000" w:themeColor="text1"/>
          <w:sz w:val="16"/>
          <w:szCs w:val="16"/>
        </w:rPr>
        <w:t xml:space="preserve"> Л/о </w:t>
      </w:r>
      <w:r w:rsidRPr="00271E51">
        <w:rPr>
          <w:rFonts w:ascii="Times New Roman" w:hAnsi="Times New Roman"/>
          <w:iCs/>
          <w:color w:val="000000" w:themeColor="text1"/>
          <w:sz w:val="16"/>
          <w:szCs w:val="16"/>
        </w:rPr>
        <w:t>18 с отве</w:t>
      </w:r>
      <w:r w:rsidRPr="00271E51">
        <w:rPr>
          <w:rFonts w:ascii="Times New Roman" w:hAnsi="Times New Roman"/>
          <w:iCs/>
          <w:color w:val="000000" w:themeColor="text1"/>
          <w:sz w:val="16"/>
          <w:szCs w:val="16"/>
        </w:rPr>
        <w:softHyphen/>
        <w:t>денными концами консолей крыла на</w:t>
      </w:r>
      <w:r w:rsidRPr="00271E51">
        <w:rPr>
          <w:rFonts w:ascii="Times New Roman" w:hAnsi="Times New Roman"/>
          <w:iCs/>
          <w:color w:val="000000" w:themeColor="text1"/>
          <w:sz w:val="16"/>
          <w:szCs w:val="16"/>
        </w:rPr>
        <w:softHyphen/>
        <w:t>зад, с центровкой 28,0% прошел Го</w:t>
      </w:r>
      <w:r w:rsidRPr="00271E51">
        <w:rPr>
          <w:rFonts w:ascii="Times New Roman" w:hAnsi="Times New Roman"/>
          <w:iCs/>
          <w:color w:val="000000" w:themeColor="text1"/>
          <w:sz w:val="16"/>
          <w:szCs w:val="16"/>
        </w:rPr>
        <w:softHyphen/>
        <w:t>сударственные испытания в НИИ ВВС КА. Возвращение центровки к одно</w:t>
      </w:r>
      <w:r w:rsidRPr="00271E51">
        <w:rPr>
          <w:rFonts w:ascii="Times New Roman" w:hAnsi="Times New Roman"/>
          <w:iCs/>
          <w:color w:val="000000" w:themeColor="text1"/>
          <w:sz w:val="16"/>
          <w:szCs w:val="16"/>
        </w:rPr>
        <w:softHyphen/>
        <w:t>местному варианту значительно повы</w:t>
      </w:r>
      <w:r w:rsidRPr="00271E51">
        <w:rPr>
          <w:rFonts w:ascii="Times New Roman" w:hAnsi="Times New Roman"/>
          <w:iCs/>
          <w:color w:val="000000" w:themeColor="text1"/>
          <w:sz w:val="16"/>
          <w:szCs w:val="16"/>
        </w:rPr>
        <w:softHyphen/>
        <w:t>сило продольную устойчивость, и са</w:t>
      </w:r>
      <w:r w:rsidRPr="00271E51">
        <w:rPr>
          <w:rFonts w:ascii="Times New Roman" w:hAnsi="Times New Roman"/>
          <w:iCs/>
          <w:color w:val="000000" w:themeColor="text1"/>
          <w:sz w:val="16"/>
          <w:szCs w:val="16"/>
        </w:rPr>
        <w:softHyphen/>
        <w:t>молет стал по-прежнему простым в управлении.</w:t>
      </w:r>
    </w:p>
    <w:p w14:paraId="236FB6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Прошу Вашего распоряжения Ди</w:t>
      </w:r>
      <w:r w:rsidRPr="00271E51">
        <w:rPr>
          <w:rFonts w:ascii="Times New Roman" w:hAnsi="Times New Roman"/>
          <w:iCs/>
          <w:color w:val="000000" w:themeColor="text1"/>
          <w:sz w:val="16"/>
          <w:szCs w:val="16"/>
        </w:rPr>
        <w:softHyphen/>
        <w:t>ректорам заводов №№ 1, 18 и 30 о переходе на выпуск серийных само</w:t>
      </w:r>
      <w:r w:rsidRPr="00271E51">
        <w:rPr>
          <w:rFonts w:ascii="Times New Roman" w:hAnsi="Times New Roman"/>
          <w:iCs/>
          <w:color w:val="000000" w:themeColor="text1"/>
          <w:sz w:val="16"/>
          <w:szCs w:val="16"/>
        </w:rPr>
        <w:softHyphen/>
        <w:t xml:space="preserve">летов Ил-2 с отведенными концами консолей крыла назад". </w:t>
      </w:r>
      <w:r w:rsidRPr="00271E51">
        <w:rPr>
          <w:rFonts w:ascii="Times New Roman" w:hAnsi="Times New Roman"/>
          <w:color w:val="000000" w:themeColor="text1"/>
          <w:sz w:val="16"/>
          <w:szCs w:val="16"/>
        </w:rPr>
        <w:t>Улучшение продольной статической устойчивости штурмовика и упрощение в связи с этим пилотирования машины способствовало повышению боевых и эксплуатационных свойств Ил-2. Моло</w:t>
      </w:r>
      <w:r w:rsidRPr="00271E51">
        <w:rPr>
          <w:rFonts w:ascii="Times New Roman" w:hAnsi="Times New Roman"/>
          <w:color w:val="000000" w:themeColor="text1"/>
          <w:sz w:val="16"/>
          <w:szCs w:val="16"/>
        </w:rPr>
        <w:softHyphen/>
        <w:t>дые летчики быстрее осваивали само</w:t>
      </w:r>
      <w:r w:rsidRPr="00271E51">
        <w:rPr>
          <w:rFonts w:ascii="Times New Roman" w:hAnsi="Times New Roman"/>
          <w:color w:val="000000" w:themeColor="text1"/>
          <w:sz w:val="16"/>
          <w:szCs w:val="16"/>
        </w:rPr>
        <w:softHyphen/>
        <w:t>лет и входили в строй. Прицеливаться, вводить поправки в прицеливание и удерживать линию визирования цели на ней во время стрельбы летчикам стало легче. Последнее увеличивало вероят</w:t>
      </w:r>
      <w:r w:rsidRPr="00271E51">
        <w:rPr>
          <w:rFonts w:ascii="Times New Roman" w:hAnsi="Times New Roman"/>
          <w:color w:val="000000" w:themeColor="text1"/>
          <w:sz w:val="16"/>
          <w:szCs w:val="16"/>
        </w:rPr>
        <w:softHyphen/>
        <w:t>ность поражения цели в одной атаке.</w:t>
      </w:r>
    </w:p>
    <w:p w14:paraId="0FAA28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установка металличес</w:t>
      </w:r>
      <w:r w:rsidRPr="00271E51">
        <w:rPr>
          <w:rFonts w:ascii="Times New Roman" w:hAnsi="Times New Roman"/>
          <w:color w:val="000000" w:themeColor="text1"/>
          <w:sz w:val="16"/>
          <w:szCs w:val="16"/>
        </w:rPr>
        <w:softHyphen/>
        <w:t>кого крыла повышало живучесть и улуч</w:t>
      </w:r>
      <w:r w:rsidRPr="00271E51">
        <w:rPr>
          <w:rFonts w:ascii="Times New Roman" w:hAnsi="Times New Roman"/>
          <w:color w:val="000000" w:themeColor="text1"/>
          <w:sz w:val="16"/>
          <w:szCs w:val="16"/>
        </w:rPr>
        <w:softHyphen/>
        <w:t>шало ремонтно-эксплуатационные каче</w:t>
      </w:r>
      <w:r w:rsidRPr="00271E51">
        <w:rPr>
          <w:rFonts w:ascii="Times New Roman" w:hAnsi="Times New Roman"/>
          <w:color w:val="000000" w:themeColor="text1"/>
          <w:sz w:val="16"/>
          <w:szCs w:val="16"/>
        </w:rPr>
        <w:softHyphen/>
        <w:t>ства Ил-2. Дело в том, что пробоины в деревянных плоскостях от снарядов зе</w:t>
      </w:r>
      <w:r w:rsidRPr="00271E51">
        <w:rPr>
          <w:rFonts w:ascii="Times New Roman" w:hAnsi="Times New Roman"/>
          <w:color w:val="000000" w:themeColor="text1"/>
          <w:sz w:val="16"/>
          <w:szCs w:val="16"/>
        </w:rPr>
        <w:softHyphen/>
        <w:t>нитных и авиационных пушек получались размерами свыше квадратного метра, при этом, как правило, происходило раз</w:t>
      </w:r>
      <w:r w:rsidRPr="00271E51">
        <w:rPr>
          <w:rFonts w:ascii="Times New Roman" w:hAnsi="Times New Roman"/>
          <w:color w:val="000000" w:themeColor="text1"/>
          <w:sz w:val="16"/>
          <w:szCs w:val="16"/>
        </w:rPr>
        <w:softHyphen/>
        <w:t>рушение стрингеров и нервюр крыла. Ремонт таких повреждений крыла в по</w:t>
      </w:r>
      <w:r w:rsidRPr="00271E51">
        <w:rPr>
          <w:rFonts w:ascii="Times New Roman" w:hAnsi="Times New Roman"/>
          <w:color w:val="000000" w:themeColor="text1"/>
          <w:sz w:val="16"/>
          <w:szCs w:val="16"/>
        </w:rPr>
        <w:softHyphen/>
        <w:t>левых условиях, по сравнению с метал</w:t>
      </w:r>
      <w:r w:rsidRPr="00271E51">
        <w:rPr>
          <w:rFonts w:ascii="Times New Roman" w:hAnsi="Times New Roman"/>
          <w:color w:val="000000" w:themeColor="text1"/>
          <w:sz w:val="16"/>
          <w:szCs w:val="16"/>
        </w:rPr>
        <w:softHyphen/>
        <w:t>лическим крылом, был затруднителен, а сроки ремонта - увеличенными (6467).</w:t>
      </w:r>
    </w:p>
    <w:p w14:paraId="0DD869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D3C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разбили 2Д МиГ - вынужденная посадка в Ногинске из-за разрушения нагнетателя (992,11).</w:t>
      </w:r>
    </w:p>
    <w:p w14:paraId="0DF03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476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согласно журнала наблюдения за проектированием, постройкой и испытаниями МиГ-3 за 10 ноября 1943 МиГ-3 2Д при выполнении полета потерпел аварию. Совершил вынужденную посадку в Ногинске. Причина - разрушение нагнетателя. Проводится ремонт (992,11).</w:t>
      </w:r>
    </w:p>
    <w:p w14:paraId="24990A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54E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согласно журнала наблюдения за проектированием, постройкой и испытаниями высотного истребителя МиГ-1 за 10 ноября 1943 высотный самолет передан на ЛЭС завода. Из 12 гиап прикомандирован л Журавлев (991,10).</w:t>
      </w:r>
    </w:p>
    <w:p w14:paraId="63F403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412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 истребитель И-221 передали на заводские испытания, которые проводил прикомандированный из 12 гв. иап летчик П.А. Журавлев.</w:t>
      </w:r>
    </w:p>
    <w:p w14:paraId="1FC841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июня 1943 г. в соответствии с приказом наркомата коллективу ОКБ-155 поручалось к 1 сентября построить истребитель-перехватчик с высотой боевого применения 14 000 м. Для ускорения работ в качестве прототипа приняли И-220.</w:t>
      </w:r>
    </w:p>
    <w:p w14:paraId="607A5F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отличия истребителя И-221 (шифр "2А") от И-220 заключались в использовании двигателя АМ-39А с двумя турбокомпрессорами ТК-2Б и четырехлопа- стного винта серии АВ-9 диаметром 3,5 м. Кроме того, размах крыла машины увеличили до 13 м, а площадь крыла - на 2 м2. Стремясь уменьшить взлетную массу, вооружение сократили до двух 20-мм синхронных пушек ШВАК с боезапасом по 100 патронов. По расчетам, самолет И-221 должен был иметь максимальную скорость 685 км/ч на высоте 12 500 м и потолок 15 000 м. Рабочую высоту 14 000 м предполагалось набирать за 22 мин.</w:t>
      </w:r>
    </w:p>
    <w:p w14:paraId="51BEE0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опытный И-221 выполнил первый полет, а 7 февраля 1944 г. под управлением П.А. Журавлева он поднялся в воздух в десятый раз. Летчик доложил, что на высоте 9000 м машина загорелась, и он был вынужден покинуть ее с парашютом. Впоследствии комиссия, созданная для расследования аварии, установила, что причиной явилась неправильная оценка обстановки летчиком, который принял появление длинных факе- Двигатель АМ-39В лов пламени из выхлопных патрубков турбокомпрессоров и дыма в кабине за начавшийся пожар. Увы, опытный самолет был безвозвратно потерян.</w:t>
      </w:r>
    </w:p>
    <w:p w14:paraId="22B6E9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Пришлось быстро построить новый. Этот вариант высотного истребителя отличался от предшественника наличием герметической кабины. Машину, получившую обозначение И-222 и шифр "ЗА", закончили в производстве 23 апреля 1944 г.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5E2DDD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A93F1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вышел приказ НКАП № 665с:</w:t>
      </w:r>
    </w:p>
    <w:p w14:paraId="17E5766D"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 4290с от 8 октября 1943:</w:t>
      </w:r>
    </w:p>
    <w:p w14:paraId="58FCE1C1" w14:textId="77777777" w:rsidR="00473181" w:rsidRPr="00271E51" w:rsidRDefault="00473181"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Организовать в Харькове на базе б. З-да 135 ремонтно-самолетный з-д с изготовлением самолетных агрегатов и провом ремонта с-тов в в/ч, с отнесением к предприятиям 2-й категории,</w:t>
      </w:r>
    </w:p>
    <w:p w14:paraId="786D7EC1" w14:textId="77777777" w:rsidR="00473181" w:rsidRPr="00271E51" w:rsidRDefault="00473181"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Вновь организованному з-ду присвоить № 135 и подчинить его 6 ГУ.</w:t>
      </w:r>
    </w:p>
    <w:p w14:paraId="1BA4A3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 после отстрела пушечного вооружения в тире. И-221 передали на ЛЭС завода №155. Для проведения заводских испытаний был назначен прикомандированный из 12 гв. иап летчик П.А.Журавлев. Намеченный на 22 ноября первый вылет не состоялся, так как мотор работал с перебоями, да к тому же на рулежке самопроизвольно сложился костыль, а при торможении разрушились пневматики колес (5852,38).</w:t>
      </w:r>
    </w:p>
    <w:p w14:paraId="162358BA"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(1752, 50).</w:t>
      </w:r>
    </w:p>
    <w:p w14:paraId="650F9EC0"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234A1B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ноября 1943 г. по приказу №667 на заводе № 339 началось производство РЛ систем опознавания "свой-чужой" СЧ-2 (1942г), далее СЧ-3 (1945г), наземной РЛС </w:t>
      </w:r>
      <w:r w:rsidRPr="00271E51">
        <w:rPr>
          <w:rFonts w:ascii="Times New Roman" w:hAnsi="Times New Roman"/>
          <w:color w:val="000000" w:themeColor="text1"/>
          <w:sz w:val="16"/>
          <w:szCs w:val="16"/>
        </w:rPr>
        <w:lastRenderedPageBreak/>
        <w:t>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(10778).</w:t>
      </w:r>
    </w:p>
    <w:p w14:paraId="6CFB5E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6B8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ноября 1943 г. приказом № 667сс в соответствии с пост. ГКО № 4314сс от 12.10.1943 г. на заводе № 339 (Завод № 339 НКАП, МАП, МОП, ГКРЭ /г. Москва Электрический пер., 1/) началось производство </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39B3E9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605сс от 13.10.1944 г. завод с 1.01.1945 г. передан из 5ГУ в 17ГУ НКАП.</w:t>
      </w:r>
    </w:p>
    <w:p w14:paraId="46161B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образования МОП приказом № 415с от 26.06.1953 г. завод № 339 подчинен 4ГУ МОП, а вскоре с восстановлением МАП с 08.1953 г. передан в 4ГУ МАП, с 08.1955 г. - в 11ГУ МАП (как опытный завод). С 08.1957 г. при реорганизации аппарата МАП (после передачи серийных заводов в СНХ) завод № 339 передан в новое 4ГУ ГКАТ. В 12.1958 г. завод № 339 передан в ведение ГКРЭ.</w:t>
      </w:r>
    </w:p>
    <w:p w14:paraId="592545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899-385сс от 13.05.1954 г. РЛС «Сокол» пнв.</w:t>
      </w:r>
    </w:p>
    <w:p w14:paraId="05F8B8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ОКБ слито с заводом в НИИ-339.</w:t>
      </w:r>
    </w:p>
    <w:p w14:paraId="31D13F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(1942-44 г.)- И.И. Домбровский, (1944-47 г.)- Н.Б. Валаев, (1947-48 г.)- Н.А. Забелин, (1948-49 г.)- И.И. Штейнберг (репрессирован), (1949-51 г.)- Н.В. Федосов, (1951-52 г.)- П.К. Объедков, (1952-54 г.)- А.Н. Голеншцев, (1954-62 г.)- М.И. Комиссаров.</w:t>
      </w:r>
    </w:p>
    <w:p w14:paraId="4381DB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(1948-49 г.)- Н.В. Федосов.</w:t>
      </w:r>
    </w:p>
    <w:p w14:paraId="67D72D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lang w:val="en-US"/>
        </w:rPr>
        <w:t>PJI</w:t>
      </w:r>
      <w:r w:rsidRPr="00271E51">
        <w:rPr>
          <w:rFonts w:ascii="Times New Roman" w:hAnsi="Times New Roman"/>
          <w:color w:val="000000" w:themeColor="text1"/>
          <w:sz w:val="16"/>
          <w:szCs w:val="16"/>
        </w:rPr>
        <w:t xml:space="preserve"> системы опознавания «свой-чужой»: СЧ-1, СЧ-2 (1942-), СЧ-3 (1945-);</w:t>
      </w:r>
      <w:r w:rsidRPr="00271E51">
        <w:rPr>
          <w:rFonts w:ascii="Times New Roman" w:hAnsi="Times New Roman"/>
          <w:iCs/>
          <w:color w:val="000000" w:themeColor="text1"/>
          <w:sz w:val="16"/>
          <w:szCs w:val="16"/>
        </w:rPr>
        <w:t xml:space="preserve"> РЛС:</w:t>
      </w:r>
      <w:r w:rsidRPr="00271E51">
        <w:rPr>
          <w:rFonts w:ascii="Times New Roman" w:hAnsi="Times New Roman"/>
          <w:color w:val="000000" w:themeColor="text1"/>
          <w:sz w:val="16"/>
          <w:szCs w:val="16"/>
        </w:rPr>
        <w:t xml:space="preserve"> наземные обнаружения и опознавания «Редут» (РУС-2) (12.1941-), «Пегматит» (РУС-2с) (1942-), «Пегматит-3» (1944-); авиационные: «Гнейс-5с» (1945-), «Барий-М», «Магний-М», «Ротор-С» (1950), «Сокол» для Як-25 (пнв 13.05.1954 г.), «Сокол-2».</w:t>
      </w:r>
    </w:p>
    <w:p w14:paraId="450543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ОКБ-339 МАП, ГКРЭ, НИИ-339 МРП, НИИ Аппаратостроения, п/я 2264, НИИ радиостроения (НИИР), Государственный НИИР, ФГУП «Ордена Трудового Красного Знамени НИИ радио» (НИИР) /103064  г. Москва ул. Казакова, 16 тел. 261-36-94/</w:t>
      </w:r>
    </w:p>
    <w:p w14:paraId="760415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15AB75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6DCE03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УРВБ «211» (В.А. Малаха).</w:t>
      </w:r>
    </w:p>
    <w:p w14:paraId="13693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w:t>
      </w:r>
      <w:r w:rsidRPr="00271E51">
        <w:rPr>
          <w:rFonts w:ascii="Times New Roman" w:hAnsi="Times New Roman"/>
          <w:color w:val="000000" w:themeColor="text1"/>
          <w:sz w:val="16"/>
          <w:szCs w:val="16"/>
          <w:lang w:val="en-US"/>
        </w:rPr>
        <w:t>PJIC</w:t>
      </w:r>
      <w:r w:rsidRPr="00271E51">
        <w:rPr>
          <w:rFonts w:ascii="Times New Roman" w:hAnsi="Times New Roman"/>
          <w:color w:val="000000" w:themeColor="text1"/>
          <w:sz w:val="16"/>
          <w:szCs w:val="16"/>
        </w:rPr>
        <w:t>. В 08.1955 г. ОКБ переведеново вновь образованное 11ГУ.</w:t>
      </w:r>
    </w:p>
    <w:p w14:paraId="45BB5D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ОКБ была выделена из НИИ-17 тематика БРЛС «Сокол» с частью коллектива во главе с Кунявским.</w:t>
      </w:r>
    </w:p>
    <w:p w14:paraId="400109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1950-х  г. образовался филиал ОКБ при серийном заводе № 463 МАП ( г. Рязань) для решения вопросов, связанных с серийным производством БРЛС.</w:t>
      </w:r>
    </w:p>
    <w:p w14:paraId="02D713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1017BE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1955 г. начата разработка самолетных РЛС. В 1958 г. сюда из ОСКБ-15 переданы работы по системе «Ураган- 5Б-80»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УРВБ. В 12.1958 г. ОКБ передано в ведение ГКРЭ.</w:t>
      </w:r>
    </w:p>
    <w:p w14:paraId="79E3FB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ОКБ-339 в 1960 г. образовался коллектив по разработке РЛГСН для УРВБ.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 «Агат», объединившись с такой же группой из НИИП.</w:t>
      </w:r>
    </w:p>
    <w:p w14:paraId="3A42C5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опытный завод № 339 и ОКБ-339 объединены в НИИ-339. Имел также наименование НИИ аппаратостроеня (1969 г.), «п/я 2264». В 1970 г. НИИ-339 (НИИ аппаратостроения) переименован в НИИ радиостроения (НИИР). В 1969 г. образовано НКО аппаратостроения (с 1970 г. - «Фазотрон») путем объединения НИИР и КБ радиостроения (НИИП), НИИР являлся головным предприятием объединения.</w:t>
      </w:r>
    </w:p>
    <w:p w14:paraId="2EABF6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Создана БРЛС «Сапфир-23» - первая отечественная РЛС, обеспечившая поражение низколетящих целей на фоне земли.</w:t>
      </w:r>
    </w:p>
    <w:p w14:paraId="161AD9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инициативе  Г.М. Кунявского начато новое направление - разработка контрольно-индикаторных систем для пилотируемых космических кораблей (шифр «Стрелка»).</w:t>
      </w:r>
    </w:p>
    <w:p w14:paraId="1F0EF6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Выполнены НИР: «Гроза», «Вихрь», «Смерч-100».</w:t>
      </w:r>
    </w:p>
    <w:p w14:paraId="1C1647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DC410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Сотрудничало с АО «Рост», РосНИИКП, ГПКС и ЦНИИС. По Указу Президента РФ № 1009 от 4.08.2004 г. вошло в число стратегических оборонных предприятий.</w:t>
      </w:r>
    </w:p>
    <w:p w14:paraId="05C6E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(1946 г.-)- Е.А. Левитин. Директор (1962-67 г.)- М.И. Комиссаров, (1967 г.-)- Я.И. Павлов, (1969- 78 г.)- Ю.Н. Фшуровский, (1978-82г&gt; В.К. Гришин, (1982-85 г.)- А. Г. Невструев, (1985 г.-)- А.И. Канащенков. Гендиректор (1990-е)- А.И. Канащенков, (-2000-03 г.-)- Ю.Б. Зубарев.</w:t>
      </w:r>
    </w:p>
    <w:p w14:paraId="3A35AE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(2002 г.)- М.М. Симонов, (2002 г.)- А.И. Куштуев. Зам. директора, Гендиректора: по научной работе (-1969 г.)- Я.о технико-производственным вопросам (1962 г.-)- Н.В. Федосов; И. Павлов, (1970- 73 г.)- В.К. Гришин, по науке (2002 г.)- И.С. Цирлин; по науке и экономике (2002 г.)- В.П. Кокошкин; по общим вопросам (2002 г.)- Е.В. Ляхницкий, (2002 г.)- С.Н. Астахов;</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по вычислительным системам и ПО СУВ (2000-е)- О.Ф. Самарин.</w:t>
      </w:r>
    </w:p>
    <w:p w14:paraId="386D44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Гл. конструктора (1948 г.)- Б.А. Веселов. Гл. конструктор (1955-62 г.-)-  Г.М. Кунявский, (1967 г.-)- Я.И. Павлов.</w:t>
      </w:r>
    </w:p>
    <w:p w14:paraId="52E10C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(-1986 г.)- Б.С. Архипов, М.А. Виноградов.</w:t>
      </w:r>
    </w:p>
    <w:p w14:paraId="1E96E6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Научный руководитель (1962 г.-)- Ф.Ф. Волков.</w:t>
      </w:r>
    </w:p>
    <w:p w14:paraId="1E137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(1953-62 г.)- Н.В. Федосов, (1967-82 г.)- А. Г. Невструев, (1982 г.-)- Д.С. Трифонов.</w:t>
      </w:r>
    </w:p>
    <w:p w14:paraId="6C3A7D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(-1967 г.)- А. Г. Невструев.</w:t>
      </w:r>
    </w:p>
    <w:p w14:paraId="1AFFAE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(1954 г.)- В.А. Малаха,  Г.М. Кунявский («Орел», «Сапфир-23») (затем- в ГосННИАС), (1958 г.-)- Ф.Ф. Волков («Смерч», «Смерч-А», «Тайфун-М», «Салфир-21»), В.К. Гришин («Сапфир-23»), (1980 г.-)- Ю. Г. Винник (НО 19), Ю.П. Кирпичев («Сапфир-25», Н019), (1984-2000-е)- Ю.Н. Гуськов (НОЮ), (1986-96 г.-)- В.В. Францев (Н019М, «Жук-МСЭ, -МСФЭ»), Н.В. Шерстюк («Стрелка», «Символ-Ц, -Д»).</w:t>
      </w:r>
    </w:p>
    <w:p w14:paraId="5DDEA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гл. конструктора: Ю.П. Кирпичев («Смерч-А»), Зам. гл. конструктора: В.А. Бабичев («Жук», «Копье»), (-1974-2003 г.-&gt; Ю. Г. Винник («Сапфир-23», Н019, «Жук-МСФЭ»), Ю.Н. Гуськов («Смерч-А2», «Сапфир-25». «Тайфун-М», СУВ-29), (2000-е)- Л.С. Ривес, О.Ф. Самарин (ПО СУВ МиГ-29), В.В. Францев (НО 19), (-1986 г.)- В.В. Чубров.</w:t>
      </w:r>
    </w:p>
    <w:p w14:paraId="42A093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НИО (1971-82 г.)- Д.С. Трифонов, Б.С. Архипов, (1984 г.-)- Ю.Н. Гуськов, (-2001 г.)- В.В. Овсянников. Начальник НИЦ- В.В. Францев.</w:t>
      </w:r>
    </w:p>
    <w:p w14:paraId="254390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отделов: комплексного по БРЛС- М.А. Виноградов; комплексного по ГСН для УРВВ (1967-71 г.)- Д.С. Трифонов; перспективных научных исследований (1987 г.-)- И.С. Рыжак, И.П. Цивлин; конструкторского (- 1986 г.)- У.Д. Шапиро; (-1986 г.)- Д.И. Аверин, Б.С. Архипов, </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Когель, А.К. Кантаровский, (1978 г.-)- В.В. Овсянников.</w:t>
      </w:r>
    </w:p>
    <w:p w14:paraId="2BFF5D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комплексной по БРЛС (1964-97 г.)- В.А. Бабичев; Д.И. Аверин, (-1986 г.)-  Г.М. Борзенко, (1968 г.-)- Ю. Г. Винник, М.Л. Когель, А.К. Кантаровский, (-1986 г.)- Ю.В. Медведев, (1958 г.-)- А. Г. Невструев, (2000-е)- Л.С. Ривес, (1984-87 г.)- И.С. Рыжак, (-1986 г.)- В.А. Сулим, (-1967 г.)- Д.С. Трифонов, (1964 г.- )- В.В. Чубров. Начальник комплекса-  Г.М. Кунявский.</w:t>
      </w:r>
      <w:r w:rsidRPr="00271E51">
        <w:rPr>
          <w:rFonts w:ascii="Times New Roman" w:hAnsi="Times New Roman"/>
          <w:color w:val="000000" w:themeColor="text1"/>
          <w:sz w:val="16"/>
          <w:szCs w:val="16"/>
          <w:vertAlign w:val="superscript"/>
        </w:rPr>
        <w:t>130</w:t>
      </w:r>
    </w:p>
    <w:p w14:paraId="7E9FA1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лаборатории: комплексной по БРЛС (1974 г.)- Ю. Г. Винник.</w:t>
      </w:r>
    </w:p>
    <w:p w14:paraId="4D032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секторов: (1976-86 г.)- В.М. Чкунин.</w:t>
      </w:r>
    </w:p>
    <w:p w14:paraId="0CD9B0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Научные руководители НИР: (1959-63 г.)- В.А. Бабичев («Гроза»).</w:t>
      </w:r>
    </w:p>
    <w:p w14:paraId="165ABE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бригад: конструкторской (1958 г.-)- У.Д. Шапиро.</w:t>
      </w:r>
    </w:p>
    <w:p w14:paraId="323D9C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БРЛС:</w:t>
      </w:r>
      <w:r w:rsidRPr="00271E51">
        <w:rPr>
          <w:rFonts w:ascii="Times New Roman" w:hAnsi="Times New Roman"/>
          <w:color w:val="000000" w:themeColor="text1"/>
          <w:sz w:val="16"/>
          <w:szCs w:val="16"/>
        </w:rPr>
        <w:t xml:space="preserve"> «Барий», «Барий-М» (1950), «Магний-М» (1950), «Ротор-С», «Протон», «Сокол» для Як-25, «Сокол-2», «Сокол-2К», «Пантера-2» (проект) для комплекса Як-35МВ, «Орел» для Су-11, «Орел-Д» для Як-28П, «Смерч» для Ту-28-80, «Смерч-А, -А2» для МиГ-25П, «Коршун», «Тайфун» и «Тайфун-М» для Су-15ТМ (пнв в 1977 г.), «Сапфир-21» для МиГ-21, «Сапфир-23» для МиГ-23, «Сапфир-25» для МиГ-25ПД, Н019 для МиГ-29, Н019М для МиГ-29С, НОЮ «Жук» для МиГ-29М, «Жук-АЭ» с АФАР для МиГ-35, «Жук-МЭ» для МиГ-29К, «Жук-МФЭ» для МиГ-29СМТ, «Жук-МСФЭ» («Сокол») для Су-27КУБ, «Жук-МСЭ» для Су-ЗОМКЗ, «Жук-8П» для</w:t>
      </w:r>
      <w:r w:rsidRPr="00271E51">
        <w:rPr>
          <w:rFonts w:ascii="Times New Roman" w:hAnsi="Times New Roman"/>
          <w:smallCaps/>
          <w:color w:val="000000" w:themeColor="text1"/>
          <w:sz w:val="16"/>
          <w:szCs w:val="16"/>
          <w:lang w:val="en-US"/>
        </w:rPr>
        <w:t>F</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IIM</w:t>
      </w:r>
      <w:r w:rsidRPr="00271E51">
        <w:rPr>
          <w:rFonts w:ascii="Times New Roman" w:hAnsi="Times New Roman"/>
          <w:color w:val="000000" w:themeColor="text1"/>
          <w:sz w:val="16"/>
          <w:szCs w:val="16"/>
        </w:rPr>
        <w:t>», НО 14 для</w:t>
      </w:r>
      <w:r w:rsidRPr="00271E51">
        <w:rPr>
          <w:rFonts w:ascii="Times New Roman" w:hAnsi="Times New Roman"/>
          <w:smallCaps/>
          <w:color w:val="000000" w:themeColor="text1"/>
          <w:sz w:val="16"/>
          <w:szCs w:val="16"/>
        </w:rPr>
        <w:t xml:space="preserve"> «1</w:t>
      </w:r>
      <w:r w:rsidRPr="00271E51">
        <w:rPr>
          <w:rFonts w:ascii="Times New Roman" w:hAnsi="Times New Roman"/>
          <w:color w:val="000000" w:themeColor="text1"/>
          <w:sz w:val="16"/>
          <w:szCs w:val="16"/>
        </w:rPr>
        <w:t>-42», «Копье», «Копье-А» для Ми-28, «Копье-21И» для МиГ-21 6</w:t>
      </w:r>
      <w:r w:rsidRPr="00271E51">
        <w:rPr>
          <w:rFonts w:ascii="Times New Roman" w:hAnsi="Times New Roman"/>
          <w:smallCaps/>
          <w:color w:val="000000" w:themeColor="text1"/>
          <w:sz w:val="16"/>
          <w:szCs w:val="16"/>
          <w:lang w:val="en-US"/>
        </w:rPr>
        <w:t>hcUPG</w:t>
      </w:r>
      <w:r w:rsidRPr="00271E51">
        <w:rPr>
          <w:rFonts w:ascii="Times New Roman" w:hAnsi="Times New Roman"/>
          <w:color w:val="000000" w:themeColor="text1"/>
          <w:sz w:val="16"/>
          <w:szCs w:val="16"/>
        </w:rPr>
        <w:t xml:space="preserve">, «Копье-М» для Су-25, «Арбалет» для Ка-52, М002 (для «48М»), «Шлем» для ЗПРК «Панцирь-С1», «Жемчуг» (экспортная); </w:t>
      </w:r>
      <w:r w:rsidRPr="00271E51">
        <w:rPr>
          <w:rFonts w:ascii="Times New Roman" w:hAnsi="Times New Roman"/>
          <w:iCs/>
          <w:color w:val="000000" w:themeColor="text1"/>
          <w:sz w:val="16"/>
          <w:szCs w:val="16"/>
        </w:rPr>
        <w:t>РЛГСН:</w:t>
      </w:r>
      <w:r w:rsidRPr="00271E51">
        <w:rPr>
          <w:rFonts w:ascii="Times New Roman" w:hAnsi="Times New Roman"/>
          <w:color w:val="000000" w:themeColor="text1"/>
          <w:sz w:val="16"/>
          <w:szCs w:val="16"/>
        </w:rPr>
        <w:t xml:space="preserve"> «Магнит» для ЗУР «Даль» (конец 1950-х), ПАРГС-12ВВ (ПАРГ-12) для Р-40Р, РГС-23 для Р-23, РГС-24 для Р-24, РГС-27 (9Б-1101К) для Р-27Р1; система углового сопровождения «Орел» для ракет (конец 1950-х); РЛ- дальномер для СРД-3; СУВ-</w:t>
      </w:r>
      <w:r w:rsidRPr="00271E51">
        <w:rPr>
          <w:rFonts w:ascii="Times New Roman" w:hAnsi="Times New Roman"/>
          <w:color w:val="000000" w:themeColor="text1"/>
          <w:sz w:val="16"/>
          <w:szCs w:val="16"/>
        </w:rPr>
        <w:lastRenderedPageBreak/>
        <w:t>29 для МиГ-29; контрольно-индикаторная система «Стрелка» для РН «Союз», комплексы операторского контроля «Символ-Д, -Ц» для станции «Мир».</w:t>
      </w:r>
    </w:p>
    <w:p w14:paraId="00ACE5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Научно-конструкторское объединение (НКО) аппаратостроения, «Фазотрон», НПО, МПК «Фазотрон» МРП, Научно-производственная компания (НПК) «Фазотрон», Концерн «Фазотрон»,</w:t>
      </w:r>
    </w:p>
    <w:p w14:paraId="03F61C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«Корпорация «Фазотрон-НИИР» /123557  г. Москва пер. Электрический, 1 тел. 253-16-42;  г. Жуковский;  г. Москва ул. М. Грузинская, 54; ул. М. Грузинская, 52/34/</w:t>
      </w:r>
    </w:p>
    <w:p w14:paraId="13AEB9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НКО аппаратостроения (с 1970 г. - «Фазотрон») образовано 22.12.1969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1985 г.- НПО «Фазотрон», в 1991 г.- Концерн «Фазотрон», в 1997 г.- ОАО «Корпорация «Фазотрон-НИИР». В конце 1990-х  г. из состава «Фазотрона» вышел НИИП, потом ГРПЗ.</w:t>
      </w:r>
    </w:p>
    <w:p w14:paraId="310C78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46822D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0B0F2D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Корпорации (2007 г.)- НИЦ «Фазотрон».</w:t>
      </w:r>
    </w:p>
    <w:p w14:paraId="60521A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(1969-78 г.)- Ю.Н. Фигуровский, (1978-82 г.)- В.К. Гришин, (1982-85 г.)- А. Г. Невструев, (1985- 05.2006 г.)- А.И. Канащенков, (2006-07 г.-)- М.В. Коржуев.</w:t>
      </w:r>
    </w:p>
    <w:p w14:paraId="48CC18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(1982 г.-)- Д.С. Трифонов, (1995-2006 г.)- В.Я. Рогов. Зам. гендиректора: по науке (05.2006-07 г.-)- А.И. Канащенков; по электронной технике (1999-2007 г.-&gt; В.В. Копылов; (1971-81 г.)- М.С. Гоцеридзе, (1980-85 г.)- А.Н. Осокин, В.Я. Рогов, (-2000-02 г.-)- Ю.Н. Гуськов, (2006-07 г.-)- А.И. Гридчин, (1998- 2007 г.-)- А.Н. Могуев.</w:t>
      </w:r>
    </w:p>
    <w:p w14:paraId="58E1E3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(1969-78 г.)- Ю.Н. Фигуровский, (1978-82 г.)- В.К. Гришин, (1982-85 г.)- А. Г. Невоструев, (1985-2007 г.-)-А.И. Канащенков {19.09.1937-}.</w:t>
      </w:r>
    </w:p>
    <w:p w14:paraId="6CD2EF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по разработке РЛ СУВ для истребителей и штурмовиков (1994 г.-)- А.И. Канащенков.</w:t>
      </w:r>
    </w:p>
    <w:p w14:paraId="732CC1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 конструктора (-2000-07 г.-)- Ю.Н. Гуськов. Зам. ген. конструктора: по системам управления (1979 г.-)- Т.О. Бекирбаев; (1972-73 г.)- В.К. Гришин, Л. Г. Волошин.</w:t>
      </w:r>
    </w:p>
    <w:p w14:paraId="16FA81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Исполнительный директор (1995-2006 г.)- В.Я. Рогов.</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Директор департамента: анализа рынков (2001-06 г.-)- В.Ф. Медовников; информационных стратегий (2000-07 г.-)- А.Н. Осокин.</w:t>
      </w:r>
    </w:p>
    <w:p w14:paraId="234817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исполнительного директора (2006-07 г.-)- В.Я. Рогов.</w:t>
      </w:r>
    </w:p>
    <w:p w14:paraId="1FAEBC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(1967-82 г.)- А. Г. Невструев, (1982 г.-)- Д.С. Трифонов, (1995-2006 г.)- В.Я. Рогов.</w:t>
      </w:r>
    </w:p>
    <w:p w14:paraId="0D7D4E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 (1988 г.-)- В.Я. Рогов, Л. Г. Волошин.</w:t>
      </w:r>
    </w:p>
    <w:p w14:paraId="1B4789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В.В. Францев, В.И. Кустов, В.Д. Ратнер, А.С. Матюшин, (-2005-07 г.-)- Ю.Н. Гуськов.</w:t>
      </w:r>
      <w:r w:rsidRPr="00271E51">
        <w:rPr>
          <w:rFonts w:ascii="Times New Roman" w:hAnsi="Times New Roman"/>
          <w:color w:val="000000" w:themeColor="text1"/>
          <w:sz w:val="16"/>
          <w:szCs w:val="16"/>
          <w:vertAlign w:val="superscript"/>
        </w:rPr>
        <w:t>101</w:t>
      </w:r>
    </w:p>
    <w:p w14:paraId="2285AB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(1979 г.-)- А.Н. Осокин.</w:t>
      </w:r>
    </w:p>
    <w:p w14:paraId="7D2302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комплекса научно-информационного обеспечения (1994-2000 г.)- А.Н. Осокин.</w:t>
      </w:r>
    </w:p>
    <w:p w14:paraId="432914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стандартизции (1985-94 г.)- А.Н. Осокин.</w:t>
      </w:r>
    </w:p>
    <w:p w14:paraId="19FA2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БРЛС: «Копье-21И», «Жук-МЭ».</w:t>
      </w:r>
    </w:p>
    <w:p w14:paraId="2CAC7A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Московский НИИ (МНИИ) «Агат», ФГУП, ОАО «МНИИ «Агат» ФАП /140182  г. Жуковский-2 Московской обл. ул. Туполева, 2А тел. (095) 556-50-87, 742-35-87/ /Московское представительство: 123557 ул. М. Грузинская, 54 тел. 253-09-96/</w:t>
      </w:r>
    </w:p>
    <w:p w14:paraId="6FEDCE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Бывший НИО-4 при НИИР, МНИИ «Агат» образован 27.01.1986 г. в составе НПО «Фазотрон» путем объединения разрозненных подразделений НИИР и НИИП, специализирующихся на РЛГСН. В 2002 г. имел форму ФГУП. По решению правительства № 22-р от 9.01.2004 г. и Указу Президента РФ № 1009 от 4.08.2004 г. ОАО МНИИ «Агат» вошло в число стратегических оборонных предприятий. Входит в концерн «Алмаз-Антей» (2005 г.).</w:t>
      </w:r>
    </w:p>
    <w:p w14:paraId="111E7B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Выполнены НИР: «Союз» (совместно с ГНПП «Исток») по созданию </w:t>
      </w:r>
      <w:r w:rsidRPr="00271E51">
        <w:rPr>
          <w:rFonts w:ascii="Times New Roman" w:hAnsi="Times New Roman"/>
          <w:color w:val="000000" w:themeColor="text1"/>
          <w:sz w:val="16"/>
          <w:szCs w:val="16"/>
          <w:lang w:val="en-US"/>
        </w:rPr>
        <w:t>APJI</w:t>
      </w:r>
      <w:r w:rsidRPr="00271E51">
        <w:rPr>
          <w:rFonts w:ascii="Times New Roman" w:hAnsi="Times New Roman"/>
          <w:color w:val="000000" w:themeColor="text1"/>
          <w:sz w:val="16"/>
          <w:szCs w:val="16"/>
        </w:rPr>
        <w:t xml:space="preserve"> ГСН 9Б-1348 для Р-77; «Агат» по созданию АРЛ ГСН 9Б-И03М для Р-27.</w:t>
      </w:r>
    </w:p>
    <w:p w14:paraId="597FF6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Принимал участие в программе создания ОК «Буран».</w:t>
      </w:r>
    </w:p>
    <w:p w14:paraId="1D1BED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Ведущее предприятие России по разработке РЛ ГСН для УРВВ и ЗУР.</w:t>
      </w:r>
    </w:p>
    <w:p w14:paraId="536242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7B8BB7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автомат «Араке-1» для сборки электронных модулей методом тонкопроводного монтажа.</w:t>
      </w:r>
    </w:p>
    <w:p w14:paraId="3A0788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и производство (2002 г.): РЛ ГСН для УРВВ и ЗУР, антенные устройства для них и малогабаритные бортовые ЭВМ; диагностическая медицинская аппаратура.</w:t>
      </w:r>
    </w:p>
    <w:p w14:paraId="4DF9D1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(1986-94 г.)- И. Г. Акопян. Ген. Конструктор (1994-2007 г.-)- И. Г. Акопян {28.08.1931-}, (2005 г.)- Е. Новиков.</w:t>
      </w:r>
    </w:p>
    <w:p w14:paraId="03EEA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 конструктора (2004-07 г.-&gt; С.И. Вексин.</w:t>
      </w:r>
    </w:p>
    <w:p w14:paraId="76A827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(1986 г.-)- И. Г. Акопян. Гендиректор (2002 г.)- А. Касьян, (2002-06 г.)- И. Г. Акопян, (2006 г.)- Е. Новиков.</w:t>
      </w:r>
    </w:p>
    <w:p w14:paraId="2C0A02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директора, гендиректора по научной работе (1986-2002 г.-)- Б.С. Архипов. Зам. Директора: по научной работе (2002 г.)- В.Д. Чернов; по военно-техническим вопросам- Н.Д. Лановский; по экономическим вопросам- Е.И. Скороходов. Зам. гендиректора: по научной работе (2007 г.)- В.Д. Чернов; по военно-техническим вопросам (2007 г.)- Н.Д. Лановский; по ВЭД (2007 г.)- Е.И. Скороходов; (2006-07 г.-)- И. Г. Акопян.</w:t>
      </w:r>
    </w:p>
    <w:p w14:paraId="16FFD4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(-2002-07 г.-)- Б.С. Архипов.</w:t>
      </w:r>
    </w:p>
    <w:p w14:paraId="6F8F99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(2007 г.)- Р.Б. Сухолинский.</w:t>
      </w:r>
    </w:p>
    <w:p w14:paraId="72FD4E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конструкторы: (2007 г.)-  Г.М. Борзенко, С.И. Вексин, (2007 г.)- В.П. Герасимов, (2007 г.)- А.Н. Лагуткин, (2007 г.)- Л.М. Липкин, (2007 г.)- А.В. Мохонько, (2007 г.)- Ю.И. Рудаков, (2007 г.)- В.А. Сулим, (2007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Сухов, В.М. Чкунин, (2007 г.)- В.В. Чубров.</w:t>
      </w:r>
    </w:p>
    <w:p w14:paraId="7AC4D9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 гл. конструкторов:  Г.М. Борзенко, (2007 г.)- Э.П. Рослик,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Сухов, (2007 г.)- В.М. Чкунин, (2007 г.)- В.Д. Шадрин.</w:t>
      </w:r>
    </w:p>
    <w:p w14:paraId="6CD7F0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НИО (1986-2007 г.-)- Д.И. Аверин, (2007 г.)-  Г.Н. Валаев, (1986 г.-)- В.Д. Чернов; конструкторского (1986-94 г.)- У.Д. Шапиро.</w:t>
      </w:r>
    </w:p>
    <w:p w14:paraId="332EF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комплексного (2007 г.)-  Г.М. Борзенко, (1986-2007 г.-)- Е.Д. Вастягин; (1986 г.-)-  Г.Н. Валаев, А.Н. Лагуткин, (2007 г.)- Ю.В. Медведев.</w:t>
      </w:r>
    </w:p>
    <w:p w14:paraId="2CB78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лабораторий: (1986 г.-)-  Г.М. Борзенко, (1986 г.-)- В.П. Герасимов, (1986 г.-)- А.Н. Лагуткин, (2007 г.)- А.Я. Лаппо, (1986 г.-)- Ю.В. Медведев, А.В. Мохонько, (2007 г.)- В.А. Нефедов, (1986 г.-)- Ю.И. Рудаков, (1986-2007 г.-)- В .А. Сулим, (1986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Сухов, (1986 г.-)- В.В. Чубров.</w:t>
      </w:r>
    </w:p>
    <w:p w14:paraId="17BD2E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секторов: С.И. Вексин, (1995 г.-)- А</w:t>
      </w:r>
      <w:r w:rsidRPr="00271E51">
        <w:rPr>
          <w:rFonts w:ascii="Times New Roman" w:hAnsi="Times New Roman"/>
          <w:iCs/>
          <w:color w:val="000000" w:themeColor="text1"/>
          <w:sz w:val="16"/>
          <w:szCs w:val="16"/>
        </w:rPr>
        <w:t xml:space="preserve"> .Я.</w:t>
      </w:r>
      <w:r w:rsidRPr="00271E51">
        <w:rPr>
          <w:rFonts w:ascii="Times New Roman" w:hAnsi="Times New Roman"/>
          <w:color w:val="000000" w:themeColor="text1"/>
          <w:sz w:val="16"/>
          <w:szCs w:val="16"/>
        </w:rPr>
        <w:t xml:space="preserve"> Лаппо, (1986 г.-)- В.М. Чкунин, (1994 г.-)- В.Д. Шадрин.</w:t>
      </w:r>
    </w:p>
    <w:p w14:paraId="4FBD99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научный сотрудник (2005 г.)-</w:t>
      </w:r>
      <w:r w:rsidRPr="00271E51">
        <w:rPr>
          <w:rFonts w:ascii="Times New Roman" w:hAnsi="Times New Roman"/>
          <w:iCs/>
          <w:color w:val="000000" w:themeColor="text1"/>
          <w:sz w:val="16"/>
          <w:szCs w:val="16"/>
        </w:rPr>
        <w:t xml:space="preserve"> Я.</w:t>
      </w:r>
      <w:r w:rsidRPr="00271E51">
        <w:rPr>
          <w:rFonts w:ascii="Times New Roman" w:hAnsi="Times New Roman"/>
          <w:color w:val="000000" w:themeColor="text1"/>
          <w:sz w:val="16"/>
          <w:szCs w:val="16"/>
        </w:rPr>
        <w:t xml:space="preserve"> Хетагуров, (2005 г.)- П. Мелик-Огандасанян.</w:t>
      </w:r>
    </w:p>
    <w:p w14:paraId="37A583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групп: Л.М. Липкин.</w:t>
      </w:r>
    </w:p>
    <w:p w14:paraId="63C407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РЛГСН:</w:t>
      </w:r>
      <w:r w:rsidRPr="00271E51">
        <w:rPr>
          <w:rFonts w:ascii="Times New Roman" w:hAnsi="Times New Roman"/>
          <w:color w:val="000000" w:themeColor="text1"/>
          <w:sz w:val="16"/>
          <w:szCs w:val="16"/>
        </w:rPr>
        <w:t xml:space="preserve"> для УРВВ: активная 9Б-1103, 9Б-1103М для Р-27, ПАРГС 9Б-1101К для Р-27Р, 9Б-1388, 9Б- 1348Э для Р-77, ПАРЛ ГСН для Р-40Р, РЛ ГСН дня Р-23Р, Р-24Р, РГС-23, РГС-24, РГС-27; для ЗУР: инерциально- полуактивная РГС 9Э50М1Э для 9М38М1Э (ЗРК «Ганг» и «Штиль»), для ЗМ9, для 9М38, для ЗРК «Куб», «Квадрат», «Урал»;</w:t>
      </w:r>
      <w:r w:rsidRPr="00271E51">
        <w:rPr>
          <w:rFonts w:ascii="Times New Roman" w:hAnsi="Times New Roman"/>
          <w:iCs/>
          <w:color w:val="000000" w:themeColor="text1"/>
          <w:sz w:val="16"/>
          <w:szCs w:val="16"/>
        </w:rPr>
        <w:t xml:space="preserve"> тепловые ГСН:</w:t>
      </w:r>
      <w:r w:rsidRPr="00271E51">
        <w:rPr>
          <w:rFonts w:ascii="Times New Roman" w:hAnsi="Times New Roman"/>
          <w:color w:val="000000" w:themeColor="text1"/>
          <w:sz w:val="16"/>
          <w:szCs w:val="16"/>
        </w:rPr>
        <w:t xml:space="preserve"> для Р-40Т, Р-23Т, Р-24Т; медицинское оборудование: электрокардиограф ЭК15ЦП-01, анализатор уровня билирубина в крови АБЧК-02, аппарат диагностики урологических заболеваний «Урофлоуметр-Агат» (11982).</w:t>
      </w:r>
    </w:p>
    <w:p w14:paraId="726552BF" w14:textId="77777777" w:rsidR="000F6181" w:rsidRPr="00271E51" w:rsidRDefault="000F6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24707C"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4FC0B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59DD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вышло Распоряжение ГКО № 4503. О выделении артскладу НКО № 621 паровоза, 4 платформ и бараков.РГАНИР, Фонд ГКО, д. 172, лл. 3 (11012).</w:t>
      </w:r>
    </w:p>
    <w:p w14:paraId="068980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9B9DD"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5 ноября 1943 благодаря имевшемуся заделу корпусов первый танк ноябрьского плана удалось сдать. Дальше случился вполне ожидаемый провал в производстве. К 16 ноября было сдано всего 3 танка, к 20-му числу — 7, к 25-му — 14 и к 30-му — 24. Последний, 25-й «ноябрьский» танк, был сдан утром 1 декабря.</w:t>
      </w:r>
    </w:p>
    <w:p w14:paraId="642C5057"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Танки строились в весьма напряжённом режиме. Как следует из отчёта ЧКЗ за 1943 год, к началу серийного выпуска ИС-85 основная часть рабочих машину попросту не знала. Первые 10 танков собирались при активном участии тех сотрудников, которые участвовали в сборке опытных Объектов 237. Благодаря этому эти первые 10 танков имели вполне удовлетворительное качество. В тот момент, когда началось валовое производство, качество резко снизилось. Немало хлопот было связано с не доведённой до конца технической документацией. Только за ноябрь в ней было обнаружено 200 ошибок. В результате из 25 первых танков приёмо-сдаточный пробег прошло 14, оставшиеся пришлось дорабатывать.</w:t>
      </w:r>
    </w:p>
    <w:p w14:paraId="1312F984"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Первые же пробеги выявили серьёзный конструктивный дефект — правая гусеница задевала фланец кронштейна первого балансира, что приводило к деформации траков. Также выявились проблемы с сепараторами подшипников планетарного механизма поворота. Этот дефект был обнаружен в конце ноября, из-за него пришлось временно прекратить приёмку танков и менять подшипники.</w:t>
      </w:r>
    </w:p>
    <w:p w14:paraId="59FB039C"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lastRenderedPageBreak/>
        <w:t>Хватало проблем и у корпусного производства. За первую декаду ноября завод сдал всего один корпус и башню, к 20-м числу было готово 22 корпуса и 13 башен, всего же за ноябрь было построено 58 комплектов. Изготавливали их из стали 42с. Также по заданию НКТП было заложено 5 корпусов и башен из стали высокой твёрдости 52с, из них за ноябрь удалось сдать 2. На декабрь было запланировано ещё 10 таких корпусов.</w:t>
      </w:r>
    </w:p>
    <w:p w14:paraId="0DC65C87"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Масса проблем выявилась при литье. Свою лепту внесло и то, что объём работ по монтажу и сварке, в сравнении с КВ-1с, вырос почти в 2 раза. Отмечалась острая нехватка кислорода для сварки. Вторая за год смена типа выпускаемого заводом тяжёлого танка тоже нисколько не способствовала нормальной работе. Заводу приходилось одновременно выпускать по 3, а в октябре 1943 года — и по 4 типа корпусов.</w:t>
      </w:r>
    </w:p>
    <w:p w14:paraId="0DD86D41"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Как бы то ни было, запуск ИС-85 в серию выглядел менее драматично, чем запуск КВ-85. И это при том, что КВ-85 являлся модернизацией КВ-1с, а ИС-85 был во многом новой машиной.</w:t>
      </w:r>
    </w:p>
    <w:p w14:paraId="42E411A8"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Вдобавок на ЧКЗ и завод №200 оказывалось дополнительное давление, связанное с тем, что ИС-85 являлся промежуточной машиной. Из текста постановления ГКО №4043 следовало, что в скором времени ИС-85 будет заменён на новый танк. Им стал ИС-122, он же ИС-2, принятый на вооружение Красной армии 31 октября 1943 года. Фактически это был тот же ИС-85, но с более мощным орудием Д-25Т калибра 122 мм и небольшими переделками башни. Принятие ИС-122 на вооружение привело к тому, что программа производства ИС-85 была сокращена. Вместо 75 танков их число сократилось до 40, но заводам вряд ли стало легче: вместо «урезанных» ИС-85 в декабре требовалось построить 35 ИС-122.</w:t>
      </w:r>
    </w:p>
    <w:p w14:paraId="428638F7"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План завода №200 на изготовление в декабре 1943 года 90 комплектов корпусов и башен для ИС-85 тоже был подкорректирован: теперь 40 башен изготавливалось с расчётом на установку систем Д-25Т. В общей же сложности за 1943 год завод №200 изготовил 163 комплекта корпусов и башен для ИС, из них 123 для ИС-85.</w:t>
      </w:r>
    </w:p>
    <w:p w14:paraId="32443AE4"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Новые проблемы появились у завода в декабре. В большой и сложной детали носовой части корпуса обнаружилась усадочная полость, а в нижней её части — усадочная рыхлость. Слегка изменив технологию, проблему удалось решить, но только частично. В результате своих постов лишилось руководство цеха №1. Впрочем, этот дефект был не единственной причиной снятия с должностей: как следует из переписки, даже в начале 1944 года приёмка корпусов и башен происходила без окончательно утверждённых технических условий.</w:t>
      </w:r>
    </w:p>
    <w:p w14:paraId="7E940A86"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Задел по корпусам и башням стал причиной того, что ИС-85 немного задержался в производстве. Как и было предусмотрено планом, за декабрь ЧКЗ сдал 40 ИС-85 и 35 ИС-122, а в январе удалось сдать ещё 40 ИС-85. Таким образом, всего было изготовлено 107 ИС-85. Танк не претерпел существенных изменений внешнего вида за небольшой период своего выпуска. Помимо упомянутого разнобоя в траках, также в январе 1944 года в конструкцию был введён новый поворотный механизм. Примерно в это же время ИС получили новый танковый прицел ТШ-15, но, скорее всего, все ИС-85 январского выпуска оснастили более ранним 10Т-15.</w:t>
      </w:r>
    </w:p>
    <w:p w14:paraId="1064C4BF" w14:textId="77777777" w:rsidR="000879ED" w:rsidRPr="00271E51" w:rsidRDefault="000879ED"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декабре 1943 и январе 1944 года положение с качеством постепенно улучшалось, но всё равно претензий хватало. До самого конца производства технические условия на машину так и не были утверждены. Часть требований по улучшению конструкции танка осталась на бумаге (17715).</w:t>
      </w:r>
    </w:p>
    <w:p w14:paraId="04DC95DA" w14:textId="77777777" w:rsidR="000879ED" w:rsidRPr="00271E51" w:rsidRDefault="000879ED" w:rsidP="00271E51">
      <w:pPr>
        <w:spacing w:after="0" w:line="240" w:lineRule="auto"/>
        <w:jc w:val="both"/>
        <w:rPr>
          <w:rFonts w:ascii="Times New Roman" w:hAnsi="Times New Roman"/>
          <w:color w:val="000000" w:themeColor="text1"/>
          <w:sz w:val="16"/>
          <w:szCs w:val="16"/>
        </w:rPr>
      </w:pPr>
    </w:p>
    <w:p w14:paraId="1D6D8418"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года ГБТУ КА утвердило тактико-технические требования на улучшенный вариант Т-43 с усилением брони и 85-мм пушкой Д-5Т. Согласно ТТТ, боевая масса оценивалась в 33-34 т. Фактически эти требования стали для Т-43 приговором — в требуемую массу вписать машину уже не представлялось возможным, кроме того, приоритеты работ всё больше смещались к усилению вооружения Т-34 (18587).</w:t>
      </w:r>
    </w:p>
    <w:p w14:paraId="0D715388"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4F9E2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нарком среднего машиностроения С. Акопов гневался на работников завода ГАЗ за невыполнение программы. В телеграмме на имя Лоскутова он писал:  «В течение IIIквартала и октября 1943 г. недопоставлено заводу № 183 НКТП 70% автодеталей, вследствие чего на указанном заводе срыв производства».  26 декабря ГАЗ получил новую телеграмму от главы НКВД Берии:  «Сорвано задание по производству деталей к снарядам М-13 и М-30. Ноябрьский план 40тыс. – изготовлено 21,6тыс. До 20декабря изготовлено 13,7тыс. при плане 45 тыс. В результате не выполнен план на заводах шлифовальных станков, № 26 НКАП, ЗИС, №172,№ 70НКБ и план сборки снарядов М-13, М-20 и М-30 на заводе № 586 НКБ». Впрочем, разрушенный бомбами автозавод им. Молотова был отнюдь не единственным, так сказать, «злостным непоставщиком». Нарушение системы поставок и кооперативных связей между предприятиями, хаос на железных дорогах привели к тому, что все планы и обязательства стали рушиться как карточный домик. Так, в III квартале челябинский завод № 701 совсем не отгрузил заводу авиавинтов № 467 в Павлове штамповок. Свердловский завод №95 неудовлетворительно поставлял тому же предприятию штамповку лопастей для винтов. При плане июля в 3500 штук были получены всего 504, а в августе отгрузки не было вовсе! Саратовский ГПЗ-3, также пострадавший от налетов немецкой авиации, с грехом пополам поставлял заводу № 467 только четверть необходимого количества подшипников. В результате всего этого предприятие оказалось у разбитого корыта и выпуск авиавинтов был почти полностью парализован. Свердловский металлургический завод полностью сорвал поставки калиброванного проката. В июле с него не поступило ни одного килограмма! Ковровский завод № 2 сорвал поставку пушек СШ-20 горьковскому авиазаводу № 21. В июле вместо 2300 пушек были поставлены лишь 700. Завод № 212 плохо обеспечивался сталью с разных заводов Кирова, Молотова (Перми) и Свердловска. Заводы №№ 808 и 765 (г. Рыбинск) не выполнили план поставки корпусов 120-мм мин химическому заводу № 80 в Дзержинске. Августовский план составлял 119 тыс. штук, фактически были получены 51 тыс. Выпуск продукции полностью сорвали и заводы № 187 и 176 в Туле. Свердловский завод № 76 вместо 30 тыс. корпусов мин поставил 2900. Завод № 326 (г. Киров) вместо 30 тыс. единиц продукции поставил только 3900. Заводы Наркомхимпрома в августе и сентябре неудовлетворительно выполняли планы поставки лакокрасочных изделий авиазаводам. В результате из-за нехватки шпатлевки, аэролака, эмали и растворителей там тормозилась сборка самолетов. Перебои возникли даже в пищевой промышленности. В частности, все горьковские мельзаводы из-за отсутствия сырья простаивали, полностью сорвав отгрузку для Западного фронта и Ленинграда. Решением Горьковского горкомитета обороны от 6 августа на мельницы должны были быть завезены 200 тыс. т зерна, в т.ч. 117 тыс. в сентябре. Фактически же к 16 сентября было доставлено всего 7% от этого количества. Неумолимую статистику можно продолжить. Минометный завод «Двигатель революции» уже с середины июня не справлялся с производственной программой. К 15 июня вместо 255 минометов был выпущен 91, план же по снарядам М-8 и М-31 был вообще сорван. С июля производство 120-мм минометов пришлось полностью прекратить, цеха делали только ходы к ним, но и в последнем не преуспели. План не был выполнен из-за неполучения обрезиненных колес ГАЗ-АА с Ярославского шинного завода № 736 и деталей ступичного устройства от автозавода. После полученных разрушений отливку картеров для коробки передач танка Т-34 пришлось передать соседнему станкозаводу. Не был выполнен даже сокращенный план производства реактивных снарядов для «Катюш». Вместо 121 тыс. штук удалось сдать фронту лишь 60,5 тыс., т.е. около 50%. Из-за налетов и восстановительных работ осталось невыполненным строительство термического отделения инструментального цеха и оборудования для него. Его пришлось перенести на 1944 г. Таким образом, в результате повторных бомбардировок (первый раз «Двигатель революции» пострадал еще в ноябре 1941 г.) один из лучших заводов Горького был фактически выведен из строя до конца войны, превратившись, по сути, в мелкое предприятие, не игравшее большой роли в обеспечении фронта военной техникой. Горьковский автозавод в конце года отчитался о «перевыполнении» плана! Впрочем, о подобных «достижениях» в пропагандистских целях заявили и руководители других предприятий, пострадавших от налетов. Причем зачастую получилось так, что если до бомбежек графики производства хронически не выполнялись, то после них дела резко шли в гору. Фактически же план ГАЗа на 1943 г. по основным видам продукции составлял: 50 тыс. автомобилей, 6200 танков Т-70, 4800 броневиков БА-64 и др. Однако в годовом отчете завода говорилось, что он выпустил 18,8 тыс. автомашин, 3346 Т-70 и 1100 БА-64, т.е. в 1,5 – 4 раза меныпе положенного. Причем и эти цифры подвергаются сомнению, т.к. руководство завода вынуждено было прибегать к припискам. Как же тогда удалось перевыполнить план? Просто после налетов его постоянно пересматривали и в конце концов подогнали под реальный выпуск. Все это вполне было в духе времени (11774).</w:t>
      </w:r>
    </w:p>
    <w:p w14:paraId="026995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960E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7F6E2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64A029"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40610D47"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ноября в районе между Днепровским лиманом и побережьем Чёрного моря наши войска продолжали наступление и заняли более 30 населённых пунктов,среди которых Чулаковка, Черниговка, Рыбальче, Ивановка, Очаковский, Красная Знаменка, Свободная Украина, Черноморские Колодцы, Облои, Свободный Порт, Прогнои, Покровка, Покровские Хутора, Форштадт.</w:t>
      </w:r>
    </w:p>
    <w:p w14:paraId="6647221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отбивали контратаки противника и вели бои местного значения.</w:t>
      </w:r>
    </w:p>
    <w:p w14:paraId="51F419F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Киева наши войска, преодолевая сопротивление и контратаки противника, продолжали вести упорные бои по расширению плацдарма на правом берегу Днепра. В ходе боёв наши войска продвинулись вперёд и овладели сильно укреплёнными опорными пунктами противника Литвиновка, Тарасовщина, Гавриловка, Воронковка, Раковка, Синяк, Мостище, Берковец, Беличи, Святошино, Петропавловская-Борщаговка, Приорка и перерезали шоссе Киев—Житомир.</w:t>
      </w:r>
    </w:p>
    <w:p w14:paraId="1C94B608"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Невеля наши войска продолжали вести бои местного значения, в результате которых заняли несколько населённых пунктов.</w:t>
      </w:r>
    </w:p>
    <w:p w14:paraId="1018053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 перестрелка.</w:t>
      </w:r>
    </w:p>
    <w:p w14:paraId="048C93DB"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ноября наши войска на всех фронтах подбили и уничтожили 49 немецких танков. В воздушных боях и огнём зенитной артиллерии сбито 23 самолёта противника.</w:t>
      </w:r>
    </w:p>
    <w:p w14:paraId="2010E49E"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районе между Днепровским лиманом и побережьем Чёрного моря наши войска продолжали успешное наступление и заняли более 30 населённых пунктов. Овладев населёнными пунктами Прогнои, Покровка, Покровские хутора и Форштадт, советские войска полностью очистили от немецко-фашистских захватчиков территорию </w:t>
      </w:r>
      <w:r w:rsidRPr="00271E51">
        <w:rPr>
          <w:rFonts w:ascii="Times New Roman" w:hAnsi="Times New Roman"/>
          <w:color w:val="000000" w:themeColor="text1"/>
          <w:sz w:val="16"/>
          <w:szCs w:val="16"/>
        </w:rPr>
        <w:lastRenderedPageBreak/>
        <w:t>полуострова южнее Днепровского лимана. Наши подвижные части ликвидировали разрозненные группы противника. Только на одном участке бойцы Н-ской части уничтожили свыше 1.200 немецких солдат и офицеров. Взяты пленные. Захвачено много оружия, крупный склад с горючим, 500 повозок, 1.500 лошадей и другие трофеи.</w:t>
      </w:r>
    </w:p>
    <w:p w14:paraId="431F53BF"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Киева наши войска вели бои за расширение плацдарма на правом берегуДнепра. Преодолевая упорное сопротивление противника, части Н-ского соединения прорвали одну за другой две оборонительных полосы немцев и заняли ряд сильно укреплённых населённых пунктов. Разгромлены крупные силы противника. Развивая успех, наши войска штурмом овладели крупным населённым пунктом Святошино и,таким образом, перерезали шоссе Киев — Житомир и железную дорогу Киев —Коростень. Противник отчаянно стремится задержать продвижение советских частей. Он спешно подвозит резервы пехоты и танков и с хода бросает их в бой.</w:t>
      </w:r>
    </w:p>
    <w:p w14:paraId="23DC91C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контратаки гитлеровцев отбиты с большими для них потерями. Уничтожено до 3000 немецких солдат и офицеров, 38 танков, десятки орудий и много автомашин.Частями Н-ского соединения на одном участке захвачено 5 самоходных и 40 полевых орудий, 72 миномёта, из них 6 шестиствольных, 140 пулемётов, 9 крупных складов и другие трофеи.</w:t>
      </w:r>
    </w:p>
    <w:p w14:paraId="5FD0DBB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Невеля части Н-ского соединения вели бои местного значения и заняли несколько населённых пунктов. В течение дня уничтожено до тысячи немецких солдат и офицеров, 3 самоходных и 20 полевых орудий. На отдельных участках противник переходил в контратаки, но был отброшен с большими для него потерями. Подразделения Н-ской части удачным манёвром окружили вражеский опорный пункт Ермошино. В результате ожесточённого боя немецкий гарнизон полностью уничтожен. Захвачены 11 орудий, склад боеприпасов, два вещевых склада и другие трофеи.</w:t>
      </w:r>
    </w:p>
    <w:p w14:paraId="6A89578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немецкий транспорт водоизмещением в 5 тысяч тонн, сторожевой корабль и буксир противника.</w:t>
      </w:r>
    </w:p>
    <w:p w14:paraId="31EF359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ноября наши катерные тральщики, выполнявшие боевое задание в Нарвском заливе, подверглись нападению противника. Восемь немецких тральщиков открыли артиллерийский огонь по нашим катерам. Подоспевшие советские торпедные катеры потопили 5 немецких тральщиков. Двум тральщикам противника причинены повреждения. Таким образом, отряд кораблей противника, состоявший из 8 тральщиков, был полностью разгромлен.</w:t>
      </w:r>
    </w:p>
    <w:p w14:paraId="40E815D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Латвийский партизанский отряд за пятнадцать дней октября пустил под откос 4 немецких воинских эшелона, следовавших к линии фронта. В результате крушений разбито 32 вагона с военными грузами. В ряде мест партизаны разрушили железнодорожное полотно. Движение поездов на этом участке дороги было прервано на длительное время. Группа партизан проникла в большой город и подожгла немецкий склад с бензином.</w:t>
      </w:r>
    </w:p>
    <w:p w14:paraId="229A71C2"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обер-ефрейтор 144 полка 3 немецкой горнострелковой дивизии австриец Эдуард М. рассказал: «Австрия наводнена немцами, приехавшими из тех районов Германии, которые подвергаются бомбардировкам. Немецкие беженцы называют Австрию своим бомбоубежищем. Месяц назад я побывал на родине. Всюду господствует угнетённое настроение. Тысячи австрийских матерей оплакивают своих сыновей, погибших на фронте, и проклинают Гитлера. В небольшом городке Оствальде недавно состоялось богослужение в память 40 местных жителей, убитых под Сталинградом. В самое последнее время хлынул новый поток траурных повесток. В деревне Сандел 42 семьи получили извещения, что их родственники погибли в районе Орла и Белгорода. Мне пришлось беседовать с одним моим другом архитектором. Он заявил: «В 1938 году кучка австрийцев, предавших свою родину и переметнувшихся на сторону нацистов, кричала на всех перекрёстках: «Австриец Гитлер управляет 70 миллионами пруссаков». Теперь миллионы австрийцев говорят: «Скотина Гитлер — ставленник пруссаков, поработил Австрию и уничтожает австрийцев». Все, с кем мне приходилось говорить, с нетерпением ждут крушения гитлеровского режима».</w:t>
      </w:r>
    </w:p>
    <w:p w14:paraId="1A0AF01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местечка Хиславичи, Смоленской области, рассказали о кровавых зверствах немецко-фашистских мерзавцев: «От первого и до самого последнего дня пребывания в Хиславичах гитлеровцы измывались над населением, грабили и убивали советских граждан. В октябре 1941 года немцы согнали в МТС 150 жителей якобы на собрание и расстреляли их. Гитлеровцы устроили концлагерь для гражданского населения. В апреле прошлого года немецкие палачи учинили кровавую расправу над заключёнными. В одну ночь фашистские звери убили более 800 человек. Случайно уцелевшие — мальчик 10 лет и девочка 12 лет — пролежали среди трупов до вечера, а потом поползли к местечку. Обессиленные и обмороженные, они попали в руки немецкого патруля и были застрелены начальником района — немецким палачом Шванде. Всё имущество убитых советских граждан гитлеровцы разграбили. Массовыми убийствами мирных жителей руководили немецкий комендант местечка Долерман, его заместитель Майс и начальник района Шванде» (14821).</w:t>
      </w:r>
    </w:p>
    <w:p w14:paraId="30A9DA02"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7F1D39EB"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немцы начали отвод войск из Киева (14821).</w:t>
      </w:r>
    </w:p>
    <w:p w14:paraId="1F43D93F"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08F1F68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завершилась Мелитопольская операция: войска 4-го Украинского фронта вышли к низовьям Днепра и захватили плацдарм на южном берегу озере Сиваш; продвинулись к югу и юго-западу на 50—320 км, освободили почти всю Северную Таврию и блокировали с суши крымскую группировку противника, разгромили 8 дивизий противника и 12 нанесли значительный урон. 79 воинам было присвоено звание Героя Советского Союза; 18 частей и соединений получили почетные наименования (14821).</w:t>
      </w:r>
    </w:p>
    <w:p w14:paraId="458AFB5F"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7FDA48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Началась ночная перевозка войск и техники на кораблях на Ораниенбаумский плацдарм в целях подготовки к полному снятию блокады. Петрозавод осуществлял срочный ремонт кораблей, участвовавших в перевозках. Балтийцы сдали ВМФ головной ТЩ типа МТ-1, а два стотонника спустили на воду (10671).</w:t>
      </w:r>
    </w:p>
    <w:p w14:paraId="740AD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556C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38DED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C20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года</w:t>
      </w:r>
    </w:p>
    <w:p w14:paraId="25C8B4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И СЕКРЕТНО ОТ ПРЕМЬЕРА И. В. СТАЛИНА ПРЕЗИДЕНТУ ФРАНКЛИНУ Д. РУЗВЕЛЬТУ</w:t>
      </w:r>
    </w:p>
    <w:p w14:paraId="1FB7F2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Г-н Хэлл передал мне 25 октября Ваше последнее послание, и я имел с ним беседу по поводу этого послания. Мой ответ запоздал в связи с тем, что я был уверен, что г-н Хэлл передал Вам содержание состоявшейся беседы и мои соображения по вопросу о встрече с Вами и с г. Черчиллем.</w:t>
      </w:r>
    </w:p>
    <w:p w14:paraId="6EE052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не могу не считаться с приведенными Вами аргументами относительно обстоятельств, мешающих Вам приехать в Тегеран. Разумеется, только Вам может принадлежать решение вопроса о возможности Вашего приезда в Тегеран.</w:t>
      </w:r>
    </w:p>
    <w:p w14:paraId="2EBE65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 своей стороны я должен сказать, что не вижу более подводящего пункта для встречи, чем указанный город.</w:t>
      </w:r>
    </w:p>
    <w:p w14:paraId="595A7C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меня возложены обязанности Верховного Главнокомандующего советских войск, и это обязывает меня к повседневному руководству военными операциями на нашем фронте. Это особенно важно в данное время, когда непрерывная четырехмесячная летняя кампания переходит в зимнюю и военные операции продолжают развиваться почти на всем фронте протяжением 2600 километров. При таком положении для меня, как Главнокомандующего, исключена возможность направиться дальше Тегерана. Мои коллеги в Правительстве считают вообще невозможным мой выезд за пределы СССР в данное время ввиду большой сложности обстановки на фронте.</w:t>
      </w:r>
    </w:p>
    <w:p w14:paraId="7F75E7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Вот почему у меня возникла мысль, о которой я уже говорил г-ну Хэллу. Меня мог бы вполне заменить на этой встрече мой первый заместитель в Правительстве В. М. Молотов, который при переговорах будет пользоваться, согласно нашей Конституции, всеми правами главы Советского Правительства. В этом случае могли бы отпасть затруднения в выборе места встречи. Надеюсь, что это предложение могло бы в настоящее время нас устроить (7430).</w:t>
      </w:r>
    </w:p>
    <w:p w14:paraId="6934A9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5024AD"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19BC6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21E62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был потоплен в результате воздушной атаки №29 в списке немецких асов-подводников Вильгельм Рольман (Wilhelm Rollmann). Это был его первый и последний выход на новой подводной лодке «U-848», на которой он успел потопить только одно судно (4 573 т). Общий счет Рольмана - 25 судов (103.884 тонн) а так же эсминец «HMS Whirlwind» и британская лодка «Spearfish». До этого командовал лодкой «U-34», на которой и набрал наибольшее число побед (14821).</w:t>
      </w:r>
    </w:p>
    <w:p w14:paraId="6F86C040"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1F8A5A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с полигона близ Близна был произведен первый экспериментальный пуск А-4 (Фау-2) (2990).</w:t>
      </w:r>
    </w:p>
    <w:p w14:paraId="19CE08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9C1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группа американских кораблей и ВВС повредили пять японских крейсеров, два эсминца и повредили доки в Табауле (2262).</w:t>
      </w:r>
    </w:p>
    <w:p w14:paraId="12CC64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8639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(5-11 ноября) в результате авианалетов на Рабаул американская авиация вывела из строя 7 японских крейсеров (14821).</w:t>
      </w:r>
    </w:p>
    <w:p w14:paraId="1680F877"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6CC89C95" w14:textId="77777777" w:rsidR="000F6181" w:rsidRPr="00271E51" w:rsidRDefault="000F6181"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(5-11 ноября) в результате авианалетов на Рабаул американская авиация вывела из строя 7 японских крейсеров. Авианосцы оперативного соединения TF 38 – «Саратога» и «Принстон» направились к Новой Британии на Рабаул под прикрытием погодного фронта и подняли в воздух 97 самолётов. Несмотря на то, что в ходе этого рейда не был потоплен ни один корабль, шесть крейсеров (в том числе четыре тяжёлые) получили повреждения: «Атаго», «Мая», «Могами», «Такао», «Тикума», «Агано».</w:t>
      </w:r>
    </w:p>
    <w:p w14:paraId="672BF889" w14:textId="77777777" w:rsidR="000F6181" w:rsidRPr="00271E51" w:rsidRDefault="000F6181"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color w:val="000000" w:themeColor="text1"/>
          <w:sz w:val="16"/>
          <w:szCs w:val="16"/>
        </w:rPr>
        <w:lastRenderedPageBreak/>
        <w:t>Пятая воздушная армия через час после самолётов авианосцев совершила рейд 27 тяжёлыми бомбардировщиками «B-24» «Liberator»</w:t>
      </w:r>
    </w:p>
    <w:p w14:paraId="1CEA9C1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эскортом 58 истребителей «P-38».</w:t>
      </w:r>
    </w:p>
    <w:p w14:paraId="6F726BDA"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Ещё одно авианосное оперативное соединение Пятого флота США - TF 50.3 было отправлено 7 ноября. «Агано, который остался в Рабауле после налёта 5 ноября, был торпедирован во время этих атак и получил тяжёлые повреждения. Японцы подняли в воздух несколько волн самолётов общим числом 120 в контратаку на американские авианосцы, но они были перехвачены, при этом 35 самолётов было сбито, а корабли не пострадали (14821).</w:t>
      </w:r>
    </w:p>
    <w:p w14:paraId="13A07A11"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4F1E9393" w14:textId="77777777" w:rsidR="0002349F" w:rsidRPr="00271E51" w:rsidRDefault="0002349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ноября 1943 27 B-24 в сопровождении 67 P-38 Lighntings совершют налет на город Рабаул и его пристани. Контрудар 18 японских бомбардировщиков-торпедоносцев Nakajima B5N (союзное название "Кейт") по авианосцам США по ошибке нанес удар по группе катеров и танкодесантному катеру. Японцы больше никогда не будут рисковать тяжелыми кораблями на Соломоновых островах (20376).</w:t>
      </w:r>
    </w:p>
    <w:p w14:paraId="6310508E" w14:textId="77777777" w:rsidR="0002349F" w:rsidRPr="00271E51" w:rsidRDefault="0002349F" w:rsidP="00271E51">
      <w:pPr>
        <w:spacing w:after="0" w:line="240" w:lineRule="auto"/>
        <w:jc w:val="both"/>
        <w:rPr>
          <w:rFonts w:ascii="Times New Roman" w:hAnsi="Times New Roman"/>
          <w:color w:val="0070C0"/>
          <w:sz w:val="16"/>
          <w:szCs w:val="16"/>
        </w:rPr>
      </w:pPr>
    </w:p>
    <w:p w14:paraId="0E7798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5, 1943: The US Fifth Army (Clark) reaches the Sangro river in southern Italy (3819).</w:t>
      </w:r>
    </w:p>
    <w:p w14:paraId="1D3538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F76105" w14:textId="77777777" w:rsidR="0002349F" w:rsidRPr="00271E51" w:rsidRDefault="0002349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ноября 1943 97 самолетов с американских кораблей «Саратога» и «Принстон» наносят удар по японской оперативной группе в Симпсон-Харбор, Рабаул, повредив тяжелые крейсеры «Атаго», «Майя» , «Могами» и «Такао», легкие крейсеры «Агано» и «Ноширо» и один эсминец ценой потери 10 самолетов (20376).</w:t>
      </w:r>
    </w:p>
    <w:p w14:paraId="6151C771" w14:textId="77777777" w:rsidR="0002349F" w:rsidRPr="00271E51" w:rsidRDefault="0002349F" w:rsidP="00271E51">
      <w:pPr>
        <w:spacing w:after="0" w:line="240" w:lineRule="auto"/>
        <w:jc w:val="both"/>
        <w:rPr>
          <w:rFonts w:ascii="Times New Roman" w:hAnsi="Times New Roman"/>
          <w:color w:val="0070C0"/>
          <w:sz w:val="16"/>
          <w:szCs w:val="16"/>
        </w:rPr>
      </w:pPr>
    </w:p>
    <w:p w14:paraId="1DCBBD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ноября 1943 5А США (Кларк) достигла Сангро (3819).</w:t>
      </w:r>
    </w:p>
    <w:p w14:paraId="2C293F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EDB33"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ноября</w:t>
      </w:r>
      <w:r w:rsidRPr="00271E51">
        <w:rPr>
          <w:rFonts w:ascii="Times New Roman" w:hAnsi="Times New Roman"/>
          <w:color w:val="000000" w:themeColor="text1"/>
          <w:sz w:val="16"/>
          <w:szCs w:val="16"/>
        </w:rPr>
        <w:t xml:space="preserve"> в 1943 году китайские войска освободили Сяофын и Сюаньчэн (14821).</w:t>
      </w:r>
    </w:p>
    <w:p w14:paraId="2EAC0D71"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198C80B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E31DB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C13E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вышел приказ НКАП N 671сс:</w:t>
      </w:r>
    </w:p>
    <w:p w14:paraId="258CE1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формирований ВВС самолетами-корректировщиками:</w:t>
      </w:r>
    </w:p>
    <w:p w14:paraId="28BF9F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завода 1 Третьякову в ноябре и декабре с.г. сдать по 25 самолетов Ил-2 в варианте корректировщика.</w:t>
      </w:r>
    </w:p>
    <w:p w14:paraId="5A6776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Нач. 12 ГУ Васильеву обеспечить выпуск Ил-2 в варианте корректировщика радиоаппаратурой и готовыми изделиями" (1752,182).</w:t>
      </w:r>
    </w:p>
    <w:p w14:paraId="4E3CF5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162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Зам. командующего ВВС Новиков писал А.И.Ш. письмо N 53389:</w:t>
      </w:r>
    </w:p>
    <w:p w14:paraId="4B7678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предварительные выводы о боевом применении Ил-2 с 37-мм пушками во 2 шак.</w:t>
      </w:r>
    </w:p>
    <w:p w14:paraId="1AE859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Окончательные выводы получим после боевого использования 227 шад.</w:t>
      </w:r>
    </w:p>
    <w:p w14:paraId="5EBA6D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"3" листах.</w:t>
      </w:r>
    </w:p>
    <w:p w14:paraId="30FE30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штаба 1 ВА</w:t>
      </w:r>
    </w:p>
    <w:p w14:paraId="228D04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по вопросу эксплуатации самолетов Ил-2, вооруженных 37-мм пушками.</w:t>
      </w:r>
    </w:p>
    <w:p w14:paraId="16E6F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Всего 2 Смоленским шак было получено с завода 30 26 самолетов Ил-2 с пушками 37 мм, из них в 7 гв. шад находились в эксплуатации 12 самолетов, а в 231 Рославльской шад - 14 самолетов.</w:t>
      </w:r>
    </w:p>
    <w:p w14:paraId="36B5DD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Этими самолетами произведено 146 боевых вылета. Самолеты частично включались по 2-4 в общие группы самолетов с основным вооружением, в числе которых произведено 72 боевых вылета. 74 боевых вылета были произведены отдельными группами составом 6-8 самолетов в каждом.</w:t>
      </w:r>
    </w:p>
    <w:p w14:paraId="79F603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Действовали по целям главным образом: подавление огня ЗА и ЗП, подавление огня артбатарей противника, по автоколоннам, по танкам, бронемашинам, бронепоездам и ж/д составам.</w:t>
      </w:r>
    </w:p>
    <w:p w14:paraId="6DE937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Наблюдением летного состава установлено:</w:t>
      </w:r>
    </w:p>
    <w:p w14:paraId="2709C3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стрельбе по ведущим огонь зенитным точкам противника с дистанции до 2 км, ЗА противника на некоторое время огонь прекращает.</w:t>
      </w:r>
    </w:p>
    <w:p w14:paraId="3C91CC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попадании в автоколонны - автомашины загорались и прекращали движение.</w:t>
      </w:r>
    </w:p>
    <w:p w14:paraId="404FB5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 обстреле артпозиций артминбатарей противника, последние огонь временно прекращали.</w:t>
      </w:r>
    </w:p>
    <w:p w14:paraId="4CFC31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Эффективность применения по другим целям экипажи не наблюдали.</w:t>
      </w:r>
    </w:p>
    <w:p w14:paraId="021662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Находясь в смешанных группах и в группах только с пушками 37 мм, действие самолетов и групп самолетов производилась в обычных условиях. Подход к цели совершался на Н 1300-1100 м, огонь по целям открывался с ввода в планирование (пикирование) в пределах 15-50 град. с высоты 1000-800 м и велся до высоты 400-300 м. Дистанция стрельбы в этих случаях составляла от 1200 м до 400 м. Поэтому существующая пристрелка на 400 м не удовлетворяет более лучшей эффективности поражения целей. Необходимо пристрелку пушек иметь на дистанции 500 м.</w:t>
      </w:r>
    </w:p>
    <w:p w14:paraId="2FDF96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Поведение самолета в воздухе при различных режимах полета и эволюциях:</w:t>
      </w:r>
    </w:p>
    <w:p w14:paraId="2F9B38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скорости 260-270 км/час самолет легко вводится в вираж и имеет тенденцию увеличивать кроен виража.</w:t>
      </w:r>
    </w:p>
    <w:p w14:paraId="70D0BA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скоростях 330-320 км/час самолет ничем не отличается от обычных Ил-2 за исключением более послушного выполнения 2 половины горки. Охотно входит в пикирование, легко набирает скорость, при выводе из пикирования требует больших усилий (л при выводе из пикирования пользуется дополнительно триммером).</w:t>
      </w:r>
    </w:p>
    <w:p w14:paraId="128E2D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самолет ведет себя устойчиво. При посадке, вследствие доп. сопротивления от гондол пушек, глиссада планирования несколько круче. При взлете самолет имеет больше пробег и до отрыва от земли скорость набирает медленнее.</w:t>
      </w:r>
    </w:p>
    <w:p w14:paraId="736C43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стрельбе из двух пушек нормальными очередями 2-3 патрона, ведет себя нормально. При очередях 5-6 патронов скорость самолета падает до 30 км/час.</w:t>
      </w:r>
    </w:p>
    <w:p w14:paraId="1B639A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стрельбе из одной пушки имеет тенденцию разворачиваться в сторону стреляющей пушки до 10 град., разворот парируется ногой.</w:t>
      </w:r>
    </w:p>
    <w:p w14:paraId="57344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Эксплуатационные замечания:</w:t>
      </w:r>
    </w:p>
    <w:p w14:paraId="0B59A2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 неполной разборке трудно установить прибор для поджатия пружины рычага подачи, для его не хватает места в плоскости, нужно увеличить вырез в верхней части.</w:t>
      </w:r>
    </w:p>
    <w:p w14:paraId="08CC16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Наблюдались случаи рассоединения патронной ленты при стрельбе по причине крутого подъема ленты в передней части снарядного отсека. Необходимо сделать направляющие вкладыши в указанном месте.</w:t>
      </w:r>
    </w:p>
    <w:p w14:paraId="1888B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конструкция 2 крышек над снарядным отсеком затрудняет укладку ленты. Лучше сделать одну общую крышку.</w:t>
      </w:r>
    </w:p>
    <w:p w14:paraId="50DC2D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Замечены случаи разрыва звеньев.</w:t>
      </w:r>
    </w:p>
    <w:p w14:paraId="29BA18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Наблюдались случаи в вытяжке тросов и в особенности тросов боевого взвода.</w:t>
      </w:r>
    </w:p>
    <w:p w14:paraId="635853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Недостаточная конструкция люков, вследствие чего после дождей в приемник попадает вода, проходит в затыльник и накапливается до 3-х стаканов, что затрудняет отход частей назад и вызывает задержки.</w:t>
      </w:r>
    </w:p>
    <w:p w14:paraId="4E776D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задержки, как то: неотдача, неподача очередного снаряда - легко устраняется перезарядкой.</w:t>
      </w:r>
    </w:p>
    <w:p w14:paraId="56C0B9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 В основном пушки работали хорошо.</w:t>
      </w:r>
    </w:p>
    <w:p w14:paraId="3AA490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564418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Для применения непосредственно на поле боя отдельными группами и в смешанных группах с обыкновенными самолетами Ил-2 нет необходимости, т.к. по целям на поле боя эффективнее действуют 2-х местные Ил-2 с ВЯ, позволяющие брать до 400 кг бомб и с большим боекомплектом снарядов.</w:t>
      </w:r>
    </w:p>
    <w:p w14:paraId="0D6DE8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Использование как самолета разведчика и охотника из-за недостатка скорости и меньшей маневренности в силу своей конструкции (наличие 37 мм пушек) нецелесообразно.</w:t>
      </w:r>
    </w:p>
    <w:p w14:paraId="4C89FB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основном необходимо оставить существующий тип 2-х местного самолета Ил-2 с пушками ВЯ, защитив боковой плексиглас кабины бронестеклом.</w:t>
      </w:r>
    </w:p>
    <w:p w14:paraId="64838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звена 1 АЭ 657 шап мл. л. А.М.Белов:</w:t>
      </w:r>
    </w:p>
    <w:p w14:paraId="25D9A7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с 37 мм пушками П-11 сделал 8 боевых вылетов.</w:t>
      </w:r>
    </w:p>
    <w:p w14:paraId="2A014D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имеет недостатки:</w:t>
      </w:r>
    </w:p>
    <w:p w14:paraId="0F1416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пилотировании самолет тяжелее</w:t>
      </w:r>
    </w:p>
    <w:p w14:paraId="10A9A3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 стрельбе самолет имеет тенденцию увеличивать угол пикирования</w:t>
      </w:r>
    </w:p>
    <w:p w14:paraId="5702AE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стрельбе длинными очередями невозможно вести точный прицельный огонь, т.к. сбивается прицел</w:t>
      </w:r>
    </w:p>
    <w:p w14:paraId="1CE421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При отказе одной пушки самолет разворачивается и не позволяет вести дальнейший огонь</w:t>
      </w:r>
    </w:p>
    <w:p w14:paraId="76D87C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Имелись случаи отказа пушки (заедание ленты).</w:t>
      </w:r>
    </w:p>
    <w:p w14:paraId="6A2788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6. Большая часть боевых вылетов выпадает на штурмовку переднего края обороны по площадным целям, вести точный прицельный огонь не приходится, а потому использование пушек П-11 в этих случаях нецелесообразно.</w:t>
      </w:r>
    </w:p>
    <w:p w14:paraId="09B8D1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Малая бомбовая нагрузка 100 кг, а также отсутствие РС дает меньший эффект при штурмовке цели.</w:t>
      </w:r>
    </w:p>
    <w:p w14:paraId="124A2D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Большим авторитетом у летного состава пользуются самолеты 18 завода с ВЯ 23 мм.</w:t>
      </w:r>
    </w:p>
    <w:p w14:paraId="42B91B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 2АЭ 657 шап мл. л А.И.Зенина</w:t>
      </w:r>
    </w:p>
    <w:p w14:paraId="526765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30 завода с пушками П-11 (37 мм) я сделал 4 боевых вылета.</w:t>
      </w:r>
    </w:p>
    <w:p w14:paraId="63AE05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управлении машина тяжелее, чем заводов 1 и 18.</w:t>
      </w:r>
    </w:p>
    <w:p w14:paraId="26200C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 П-11 отказывают при стрельбе.</w:t>
      </w:r>
    </w:p>
    <w:p w14:paraId="368735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4-х вылетов пушки работали нормально только в одном и то после боя, когда был проведен осмотр израсходованных боеприпасов, то оказалось, что лента порвана. А в остальных 3-х вылетах пушки или вообще не стреляли или стреляла только одна и то только после перезарядки. Причем, если воздуха меньше, чем 35 атмосфер, то пушки не перезаряжаются.</w:t>
      </w:r>
    </w:p>
    <w:p w14:paraId="7C2261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Огонь пушек П-11 хорошо использовать против танков, автомашин.</w:t>
      </w:r>
    </w:p>
    <w:p w14:paraId="4DF4BC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основном самолет завода 30 с пушками 37 мм хорошо может быть использован по скоплению войск на дорогах, как грунтовых (шоссе)б так и по ж/дорогам по бронепоездам и поездам с войсками и грузами.</w:t>
      </w:r>
    </w:p>
    <w:p w14:paraId="40E103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Недостатки пушек П-11 и самолета:</w:t>
      </w:r>
    </w:p>
    <w:p w14:paraId="13444F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Обрыв ленты.</w:t>
      </w:r>
    </w:p>
    <w:p w14:paraId="3E9DA2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Несинхронность работы пушек.</w:t>
      </w:r>
    </w:p>
    <w:p w14:paraId="405CA6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Отказ в работе.</w:t>
      </w:r>
    </w:p>
    <w:p w14:paraId="3D5E08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Стрельба ведется не всегда прицельно.</w:t>
      </w:r>
    </w:p>
    <w:p w14:paraId="5B76C9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Кроме пушек и пулеметов самолет лишен РС и ограничен бомбовой нагрузкой (не более 100 кг). Так что по площадным целям самолет использовать нецелесообразно.</w:t>
      </w:r>
    </w:p>
    <w:p w14:paraId="772461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что наиболее лучшим штурмовиком является самолет, выпущенный заводом 18 (металлический, пушки ВЯ, бомбовая нагрузка достаточная).</w:t>
      </w:r>
    </w:p>
    <w:p w14:paraId="49C4AD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Командир 2 АЭ 657 шап</w:t>
      </w:r>
    </w:p>
    <w:p w14:paraId="194883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машинах 30 завода с 37 мм пушками имею 2 боевых вылета на Смоленском направлении.</w:t>
      </w:r>
    </w:p>
    <w:p w14:paraId="0DDCEB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Реальность применения данных машин нецелесообразна ибо бомбовая нагрузка, которую мы берем (100 кг) наносит малый эффект, а прицельная стрельба из этих пушек мало вероятна, ибо плохая синхронность пушек, частые задержки, большая насыщенность целей огнем ЗА. Летный состав с большой неохотой летят на данных машинах. Сами машины тяжеловаты, при отказе одной пушки стрельба из второй сопровождается разворотом машины.</w:t>
      </w:r>
    </w:p>
    <w:p w14:paraId="6F55AA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Самой лучшей машиной считаю машину 18 завода с пушками ВЯ, которые работают безотказно. Деревянные машины 1 и 30 завода неудобные, ибо от попадания снаряда срывает обшивку из фанеры. На серийных машинах 18 и 1 заводов нужно переконструировать колпаки стрелка и большим недостатком является малый угол обстрела, для чего нужно увеличить турель вправо и влево, довести до сектора 180 гр.</w:t>
      </w:r>
    </w:p>
    <w:p w14:paraId="446C01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 Смолин</w:t>
      </w:r>
    </w:p>
    <w:p w14:paraId="7E87A1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 2 АЭ 657 шап мл. л П.П.Тюшков</w:t>
      </w:r>
    </w:p>
    <w:p w14:paraId="345182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Ил-2 с 37 мм пушками П-11 сделано 3 боевых вылета.</w:t>
      </w:r>
    </w:p>
    <w:p w14:paraId="361775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вылета штурмовал передний край обороны противника и 1 вылет на разведку боем в тыл противника.</w:t>
      </w:r>
    </w:p>
    <w:p w14:paraId="3D0419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 полете атаковал противника на высоте 1300 м при угле пикирования 25-30 гр., открыл пушечно-пулеметный огонь по площадной цели. После первой короткой очереди отказала первая пушка 9обрыв звена), а из одной стрелять невозможно - сильно разворачивает. Бомб сбросил 100 кг. При втором вылете успел дать одну очередь по площадной цели, бомбы сбросил 100 кг. В 3-м вылете на разведку из пушек стрелять не пришлось. На высоте 900 м сбросил бомбы 900 кг.</w:t>
      </w:r>
    </w:p>
    <w:p w14:paraId="6144C8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пушками ВЯ на самолете Ил-2 нет такой мощи огня, как 400 кг бомб, 4 РС и длинных очередей огня из пушек и пулеметов.</w:t>
      </w:r>
    </w:p>
    <w:p w14:paraId="26BD61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 маневренности после сбрасывания бомб (машина тяжелая) и трудно оборонятся от истребителей противника.</w:t>
      </w:r>
    </w:p>
    <w:p w14:paraId="4A4D17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Мое мнение, самолетам Ил-2 с пушками П-11 давать задания лучше всего в тыл противника. Цель выбирать одиночно каждому л." (1779,247).</w:t>
      </w:r>
    </w:p>
    <w:p w14:paraId="0A87DC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F8803"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6 ноября 1943 Зам. командующего ВВС Новиков писал А.И.Ш. письмо N 53389:</w:t>
      </w:r>
    </w:p>
    <w:p w14:paraId="4F818A25"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Представляю предварительные выводы о боевом применении Ил-2 с 37-мм пушками во 2 шак…</w:t>
      </w:r>
    </w:p>
    <w:p w14:paraId="379D89FB"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В конце письма прикладываются мнения летчиков о самолете Ил-2:</w:t>
      </w:r>
    </w:p>
    <w:p w14:paraId="31C3222C"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Летчик 2АЭ 657 шап мл. л А.И.Зенина</w:t>
      </w:r>
    </w:p>
    <w:p w14:paraId="2602D079"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w:t>
      </w:r>
    </w:p>
    <w:p w14:paraId="5504674E"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Недостатки пушек П-11 и самолета:</w:t>
      </w:r>
    </w:p>
    <w:p w14:paraId="24FC01C4"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1. Обрыв ленты.</w:t>
      </w:r>
    </w:p>
    <w:p w14:paraId="72DC7B4A"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2. Несинхронность работы пушек.</w:t>
      </w:r>
    </w:p>
    <w:p w14:paraId="0F72C3D7"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3. Отказ в работе.</w:t>
      </w:r>
    </w:p>
    <w:p w14:paraId="40CFCF9E"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4. Стрельба ведется не всегда прицельно.</w:t>
      </w:r>
    </w:p>
    <w:p w14:paraId="7F5CC94B"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5. Кроме пушек и пулеметов самолет лишен РС и ограничен бомбовой нагрузкой (не более 100 кг). Так что по площадным целям самолет использовать нецелесообразно.</w:t>
      </w:r>
    </w:p>
    <w:p w14:paraId="25A34DD7"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Считаю, что наиболее лучшим штурмовиком является самолет, выпущенный заводом 18 (металлический, пушки ВЯ, бомбовая нагрузка достаточная).</w:t>
      </w:r>
    </w:p>
    <w:p w14:paraId="04EDF3DF"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Командир 2 АЭ 657 шап, ст. л-т Смолин</w:t>
      </w:r>
    </w:p>
    <w:p w14:paraId="37B15F6B"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w:t>
      </w:r>
    </w:p>
    <w:p w14:paraId="2AA6688F"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Самой лучшей машиной считаю машину 18 завода с пушками ВЯ, которые работают безотказно. Деревянные машины 1 и 30 завода неудобные, ибо от попадания снаряда срывает обшивку из фанеры. На серийных машинах 18 и 1 заводов нужно переконструировать колпаки стрелка и большим недостатком является малый угол обстрела, для чего нужно увеличить турель вправо и влево, довести до сектора 180 гр (19206).</w:t>
      </w:r>
    </w:p>
    <w:p w14:paraId="4D0603E0"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7ACF7E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ГИ ВВС Репин писал письмо N 615638с НКАП А.И.Ш. о том, что согласно испытаниям в НИИ ВВС и в ЛИИ НКАП на Ла-5 с М-82 и М-82Ф с хорошо отлаженном карбюратором можно получить большую экономию топлива и, следовательно, улучшение дальности. Просил улучшить карбюратор (1780).</w:t>
      </w:r>
    </w:p>
    <w:p w14:paraId="05394F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98A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из-за аварийной посадки в Ногинске из-за разрушения нагнетателя закончились заводские испытания И-231 (МиГ-3У АМ-39А с удлиненными консолями). В.Н.Савкин сел с выпущенными шасси и спас машину, получив ОКЗвезды. Полеты возобновили 23 ноября 1943 (5046,34).</w:t>
      </w:r>
    </w:p>
    <w:p w14:paraId="230174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630A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 9 ноября, и 2 декабря 1943 г. три полёта, совершенные на доработанном высотном Ла-5, ничего нового не дали, разве что для улучшения охлаждения масла вместо маслорадиатора с толщиной стенок трубок 0,2 мм, установили маслорадиатор с толщиной стенок трубок 0,1 мм, и в фюзе</w:t>
      </w:r>
      <w:r w:rsidRPr="00271E51">
        <w:rPr>
          <w:rFonts w:ascii="Times New Roman" w:hAnsi="Times New Roman"/>
          <w:color w:val="000000" w:themeColor="text1"/>
          <w:sz w:val="16"/>
          <w:szCs w:val="16"/>
        </w:rPr>
        <w:softHyphen/>
        <w:t>ляже самолёта позади пилота разместили дополнительный бензобак емкостью 60 л. Всего по 2 декабря 1943 г. включительно произвели 17 полётов, из них 11 с впрыском воды. Метеорологические условия в зимний период позволили произвести только не</w:t>
      </w:r>
      <w:r w:rsidRPr="00271E51">
        <w:rPr>
          <w:rFonts w:ascii="Times New Roman" w:hAnsi="Times New Roman"/>
          <w:color w:val="000000" w:themeColor="text1"/>
          <w:sz w:val="16"/>
          <w:szCs w:val="16"/>
        </w:rPr>
        <w:softHyphen/>
        <w:t>сколько полётов. В марте 1944 г. Ла-5ФН с 2ТК-3 совершил ещё три полёта до высо</w:t>
      </w:r>
      <w:r w:rsidRPr="00271E51">
        <w:rPr>
          <w:rFonts w:ascii="Times New Roman" w:hAnsi="Times New Roman"/>
          <w:color w:val="000000" w:themeColor="text1"/>
          <w:sz w:val="16"/>
          <w:szCs w:val="16"/>
        </w:rPr>
        <w:softHyphen/>
        <w:t>ты 12000 м, в которых винтомоторная группа работала нормально, а в начале апреля, по причине изношенности материальной части, самолёт поставили в цех на восстано</w:t>
      </w:r>
      <w:r w:rsidRPr="00271E51">
        <w:rPr>
          <w:rFonts w:ascii="Times New Roman" w:hAnsi="Times New Roman"/>
          <w:color w:val="000000" w:themeColor="text1"/>
          <w:sz w:val="16"/>
          <w:szCs w:val="16"/>
        </w:rPr>
        <w:softHyphen/>
        <w:t>вительный ремонт (15830).</w:t>
      </w:r>
    </w:p>
    <w:p w14:paraId="5EE611D2"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3B468F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закончились гос. испытания опытный мотопланер "МП" с двумя моторами М-11Ф и винтами У-2 - модификации БДП, изготовленного на заводе 51 Н.Н.П., начатые 4 октября (515).</w:t>
      </w:r>
    </w:p>
    <w:p w14:paraId="1CF1EA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Ще-2 оказался лучше.</w:t>
      </w:r>
    </w:p>
    <w:p w14:paraId="07CBA9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9DA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ноября 1943 г. Опытно-конструкторское бюро N 250, приказом наркомата было переведено из Уфы в г. Рыбинск и переименовано в Опытно-конструкторское бюро N 36. Приказом Министерства авиационной промышленности СССР от 30 апреля 1966 г. переименовано в Рыбинское конструкторское бюро моторостроения (РКБМ) (12102). </w:t>
      </w:r>
    </w:p>
    <w:p w14:paraId="7FBD3FF8" w14:textId="77777777" w:rsidR="000F6181" w:rsidRPr="00271E51" w:rsidRDefault="000F6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4C137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Другие оборонные отрасли:</w:t>
      </w:r>
    </w:p>
    <w:p w14:paraId="7392A3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0E4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4504 О тяжелой самоходной артиллерийской установке ИС-152 с гаубицей-пушкой МЛ-20с.РГАНИР, Фонд ГКО, д. 172, лл. 4, 5-7 (11012).</w:t>
      </w:r>
    </w:p>
    <w:p w14:paraId="4668F8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60A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 поста</w:t>
      </w:r>
      <w:r w:rsidRPr="00271E51">
        <w:rPr>
          <w:rFonts w:ascii="Times New Roman" w:hAnsi="Times New Roman"/>
          <w:color w:val="000000" w:themeColor="text1"/>
          <w:sz w:val="16"/>
          <w:szCs w:val="16"/>
        </w:rPr>
        <w:softHyphen/>
        <w:t>новлением ГКО ИСУ-152 была принята на вооружение. В декабре того же года на ЧКЗ началось серийное производство самоходной установки ИСУ-152, которое продолжалось до 1946 г. Всего с 1943 г по май 1945 г. включительно было выпущено 1885 самоходных установок ИСУ-152, которые широко применялись на фронтах Великой Отечественной войны на ее завершающем этапе. Простота конструкции и эксплуата</w:t>
      </w:r>
      <w:r w:rsidRPr="00271E51">
        <w:rPr>
          <w:rFonts w:ascii="Times New Roman" w:hAnsi="Times New Roman"/>
          <w:color w:val="000000" w:themeColor="text1"/>
          <w:sz w:val="16"/>
          <w:szCs w:val="16"/>
        </w:rPr>
        <w:softHyphen/>
        <w:t>ции способствовали быстрому освоению машины экипажами. В по</w:t>
      </w:r>
      <w:r w:rsidRPr="00271E51">
        <w:rPr>
          <w:rFonts w:ascii="Times New Roman" w:hAnsi="Times New Roman"/>
          <w:color w:val="000000" w:themeColor="text1"/>
          <w:sz w:val="16"/>
          <w:szCs w:val="16"/>
        </w:rPr>
        <w:softHyphen/>
        <w:t>слевоенный период ИСУ-152 была модернизирована, а ее шасси ис</w:t>
      </w:r>
      <w:r w:rsidRPr="00271E51">
        <w:rPr>
          <w:rFonts w:ascii="Times New Roman" w:hAnsi="Times New Roman"/>
          <w:color w:val="000000" w:themeColor="text1"/>
          <w:sz w:val="16"/>
          <w:szCs w:val="16"/>
        </w:rPr>
        <w:softHyphen/>
        <w:t>пользовалось при создании самоходных ракетных пусковых устано</w:t>
      </w:r>
      <w:r w:rsidRPr="00271E51">
        <w:rPr>
          <w:rFonts w:ascii="Times New Roman" w:hAnsi="Times New Roman"/>
          <w:color w:val="000000" w:themeColor="text1"/>
          <w:sz w:val="16"/>
          <w:szCs w:val="16"/>
        </w:rPr>
        <w:softHyphen/>
        <w:t>вок и тягачей - эвакуаторов (10703).</w:t>
      </w:r>
    </w:p>
    <w:p w14:paraId="1C925A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61B4D" w14:textId="77777777" w:rsidR="003F06D0" w:rsidRPr="00271E51" w:rsidRDefault="003F06D0"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6 ноября 1943 года на вооружение была принята самоходная установка ИСУ-152, созданная на базе тяжелого танка ИС-85 (20289).</w:t>
      </w:r>
    </w:p>
    <w:p w14:paraId="08C253DC" w14:textId="77777777" w:rsidR="003F06D0" w:rsidRPr="00271E51" w:rsidRDefault="003F06D0"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3595E4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w:t>
      </w:r>
      <w:r w:rsidRPr="00271E51">
        <w:rPr>
          <w:rFonts w:ascii="Times New Roman" w:hAnsi="Times New Roman"/>
          <w:color w:val="000000" w:themeColor="text1"/>
          <w:sz w:val="16"/>
          <w:szCs w:val="16"/>
        </w:rPr>
        <w:softHyphen/>
        <w:t>ря 1943 г. с учетом того, что нбвый ва</w:t>
      </w:r>
      <w:r w:rsidRPr="00271E51">
        <w:rPr>
          <w:rFonts w:ascii="Times New Roman" w:hAnsi="Times New Roman"/>
          <w:color w:val="000000" w:themeColor="text1"/>
          <w:sz w:val="16"/>
          <w:szCs w:val="16"/>
        </w:rPr>
        <w:softHyphen/>
        <w:t>риант ИС-152 по цене стал сопоставим с СУ-152, он принимается в валовое производство на ЧКЗ взамен предшественника, выпуск которого прекращался (11417).</w:t>
      </w:r>
    </w:p>
    <w:p w14:paraId="5261DC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489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 ноября 1943 года постановлением ГКО новую машину приняли на вооружение под обозначением ИСУ-152, а в декабре началось ее серийное производство. </w:t>
      </w:r>
    </w:p>
    <w:p w14:paraId="392E57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Компоновка ИСУ-152 принципиальными новшествами не отличалась. Боевая рубка, изготовленная из катаных броневых листов, устанавливалась в передней части корпуса, объединяя в один объем отделения управления и боевое. Мотор-но-трансмиссионное отделение находилось в кормовой части корпуса. Носовая часть корпуса на установках первых выпусков изготавливалась литой, на машинах последних выпусков имела сварную конструкцию. Количество и размещение членов экипажа были такими же, как и у СУ-152. Если экипаж состоял из четырех человек, то обязанности заряжающего выполнял замковый. Для посадки экипажа в крыше рубки имелись два круглых люка в передней части и один прямоугольный в кормовой. Все люки закрывались двухстворчатыми крышками, в верхних створках которых были установлены приборы наблюдения МК-4. В лобовом листе рубки располагался смотровой лючок механика-водителя, закрывавшийся броневой пробкой со стеклоблоком и смотровой щелью. </w:t>
      </w:r>
    </w:p>
    <w:p w14:paraId="41E231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Сама по себе конструкция боевой рубки принципиальным изменениям не подверглась. Из-за меньшей ширины танка ИС, по сравнению с KB, пришлось уменьшить наклон бортовых листов с 25° до 15° к вертикали, а наклон кормового листа ликвидировать совсем. Толщина брони при этом возросла с 75 до 90 мм у лобового листа рубки и с 60 до 75 мм у бортовых. Маска пушки имела толщину 60 мм, а впоследствии была доведена до 100 мм. </w:t>
      </w:r>
    </w:p>
    <w:p w14:paraId="1DA488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рубки состояла из двух частей. Передняя часть крыши приваривалась к передним, скуловым и бортовым листам. В ней, помимо двух круглых люков, делалось отверстие для установки вентилятора боевого отделения (посередине), которое снаружи закрывалось броневым колпаком, и также предусматривались лючок для доступа к заливной горловине левого переднего топливного бака (слева) и отверстие антенного ввода (справа). Задний лист крыши выполнялся съемным и крепился болтами. Следует отметить, что установка вытяжного вентилятора стала существенным достоинством ИСУ-152, по сравнению с СУ-152, в которой вытяжной принудительной вентиляции не было вообще и члены экипажа во время боя порой теряли сознание от скапливавшихся пороховых газов. Впрочем, по воспоминаниям самоходчиков, и на новой машине вентиляция оставляла желать лучшего — при открывании затвора после выстрела лавина густого порохового дыма, похожая на сметану, струилась из ствола орудия и медленно растекалась по полу боевого отделения. </w:t>
      </w:r>
    </w:p>
    <w:p w14:paraId="4C0FF5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Крыша над моторно-трансмиссионным отделением состояла из съемного листа над двигателем, сеток над окнами воздухопритока к двигателю и броневых решеток над жалюзи. В съемном листе имелся люк для доступа к узлам и агрегатам двигателя, закрывавшийся откидной крышкой. В задней части листа располагались два лючка для доступа к заправочным горловинам топливного и масляного баков. Средний кормовой лист корпуса в боевом положении привинчивался болтами, при ремонте он мог быть откинут на петлях. Для доступа к агрегатам трансмиссии в нем имелись два круглых люка, закрывавшихся откидными броневыми крышками. Днище корпуса было сварено из трех броневых листов и имело лючки и отверстия, закрывавшиеся броневыми крышками и пробками. </w:t>
      </w:r>
    </w:p>
    <w:p w14:paraId="1B599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152-мм гаубица-пушка МЛ-20С обр. 1937/43 г. монтировалась в литой рамке, игравшей роль верхнего станка орудия, и защищалась литой же броневой маской, заимствованной у СУ-152. Качающаяся часть самоходной гаубицы-пушки имела незначительные отличия, по сравнению с полевой: были установлены откидной лоток для облегчения заряжания и дополнительная тяга к спусковому механизму, ручки маховиков подъемного и поворотного механизмов находились у наводчика слева по ходу машины, цапфы были вынесены вперед для естественного уравновешивания. Вертикальные углы наведения колебались в пределах от -3° до +20°, горизонтальные — в секторе 10°. Высота линии огня составляла 1800 мм. Для стрельбы прямой наводкой применялся телескопический прицел СТ-10 с полунезависимой линией прицеливания, для ведения огня с закрытых огневых позиций служила панорама Герца с удлинителем, объектив которой выходил из рубки через открытый левый верхний люк. При стрельбе в ночных условиях шкалы прицела и панорамы, а также прицельная и орудийная стрелки подсвечивались электрическими лампочками прибора «Луч 5». Дальность стрельбы прямой наводкой составляла 3800 м, наибольшая — 6200 м. Скорострельность — 2 — 3 выстр./мин. Орудие имело электрический и механический (ручной) спуски. Гашетка электроспуска находилась на ручке маховика подъемного механизма. На орудиях первых выпусков использовался механический (ручной) спуск. Подъемный и поворотный механизмы секторного типа крепились на кронштейнах к левой щеке рамки. </w:t>
      </w:r>
    </w:p>
    <w:p w14:paraId="5856F8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Боекомплект состоял из 21 выстрела раздельного гильзового заряжания с бронебойно-трассирующими остроголовыми снарядами БР-540, осколочно-фугасными пушечными и стальными гаубичными гранатами ОФ-540 и ОФ-530, осколочными гаубичными гранатами из сталистого чугуна О-530А. Бронебойно-трассирующие снаряды находились в нише боевой рубки с левой стороны в специальных рамках, осколочно-фугасные гранаты — там же, гильзы с боевыми зарядами в нише рубки в специальных рамках и в хомутиковой укладке. Часть гильз с боевыми зарядами размещалась на днище под орудием. Начальная скорость бронебойного снаряда при массе 48,78 кг составляла 600 м/с, на дальности 1000 м он пробивал броню толщиной 123 мм. </w:t>
      </w:r>
    </w:p>
    <w:p w14:paraId="1B8D82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части машин с октября 1944 года на вращающемся погоне командирского люка стала устанавливаться зенитная турель с 12,7-мм пулеметом ДШК обр. 1938 г. Боекомплект к пулемету составлял 250 патронов. Кроме того, в боевом отделении укладывались два пистолета-пулемета ППШ (позже — ППС) с боекомплектом 1491 патрон и 20 ручных гранат Ф-1. </w:t>
      </w:r>
    </w:p>
    <w:p w14:paraId="1EC5B1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Силовая установка и трансмиссия были заимствованы у танка ИС-1 (ИС-2). На ИСУ-152 устанавливался 12-цилиндровый четырехтактный дизель В-2ИС (В-2-10) мощностью 520 л.с. при 2000 об/мин. Цилиндры располагались V-образно под углом 60°. Степень сжатия 14 — 15. Масса двигателя 1000 кг. </w:t>
      </w:r>
    </w:p>
    <w:p w14:paraId="212D19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Общая емкость трех топливных баков составляла 520 л. Еще 300 л перевозилось в трех наружных баках, не подключенных к системе питания. Подача топлива принудительная, с помощью двенадцатиплунжерного топливного насоса высокого давления НК1. </w:t>
      </w:r>
    </w:p>
    <w:p w14:paraId="5A3FA5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смазки — циркуляционная, под давлением. В бак встроен циркуляционный бачок, обеспечивавший быстрый прогрев масла и возможность пользоваться методом разжижения масла бензином. </w:t>
      </w:r>
    </w:p>
    <w:p w14:paraId="56C743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Система охлаждения — жидкостная, закрытая, с принудительной циркуляцией. Радиаторов — два, пластинчато-трубчатых, подковообразной формы, установленных над центробежным вентилятором. </w:t>
      </w:r>
    </w:p>
    <w:p w14:paraId="35818D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очистки воздуха, поступающего в цилиндры двигателя, на танке устанавли¬вались два воздухоочистителя марки ВТ-5 типа «мультициклон». В головки воз¬духоочистителей были встроены форсун¬ки и запальные свечи для подогрева всасываемого воздуха зимой. Кроме того, для подогрева охлаждающей жидкости в системе охлаждения двигателя использовались фитильные обогреватели, работавшие на дизельном топливе. Эти же обогреватели обеспечивали и обогрев боевого отделения машины на длительных стоянках. Пуск двигателя осуществлялся инерционным стартером, имевшим ручной и электрический приводы, или с помощью баллонов со сжатым воздухом. </w:t>
      </w:r>
    </w:p>
    <w:p w14:paraId="4611F8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Трансмиссия САУ включала в себя многодисковый главный фрикцион сухого трения (сталь по ферродо), четырехступенчатую восьмискоростную коробку передач с демультипликатором, двухступенчатые планетарные механизмы поворота с многодисковым блокировочным фрикционом и двухступенчатые бортовые передачи с планетарным рядом. Ходовая часть САУ применительно к одному борту состояла из шести сдвоенных литых опорных катков диаметром 550 мм и трех поддерживающих катков. Ведущие колеса заднего расположения имели два съемных зубчатых венца с 14-ю зубьями каждый. Направляющие колеса — литые, с кривошипным механизмом натяжения гусениц, взаимозаменяемые с опорными катками. Подвеска — индивидуальная торсионная. Гусеницы стальные, мелкозвенчатые, из 86 одно-гребневых траков каждая. Траки штампованные, шириной 650 мм и шагом 162 мм. Зацепление цевочное. </w:t>
      </w:r>
    </w:p>
    <w:p w14:paraId="3A866B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внешней радиосвязи на машинах устанавливалась радиостанция ЮР или 10РК, для внутренней — переговорное устройство ТПУ-4-бисФ. Для связи с десантом на корме имелась кнопка звуковой сигнализации (11638).</w:t>
      </w:r>
    </w:p>
    <w:p w14:paraId="51D975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1DD02" w14:textId="77777777" w:rsidR="00473181" w:rsidRPr="00271E51" w:rsidRDefault="00473181" w:rsidP="00271E51">
      <w:pPr>
        <w:pStyle w:val="a3"/>
        <w:rPr>
          <w:color w:val="000000" w:themeColor="text1"/>
          <w:lang w:val="ru-RU"/>
        </w:rPr>
      </w:pPr>
      <w:r w:rsidRPr="00271E51">
        <w:rPr>
          <w:color w:val="000000" w:themeColor="text1"/>
          <w:lang w:val="ru-RU"/>
        </w:rPr>
        <w:t>6 ноября 1943 года СУ-152 на базе КВ была принята на вооружение. В 1944 году вместо 152-мм пушки-гаубицы МЛ-20 в самоходку стали устанавливать сначала 122</w:t>
      </w:r>
      <w:r w:rsidRPr="00271E51">
        <w:rPr>
          <w:color w:val="000000" w:themeColor="text1"/>
          <w:lang w:val="ru-RU"/>
        </w:rPr>
        <w:softHyphen/>
        <w:t xml:space="preserve">мм пушку А-19, а затем и 122-мм пушку Д25. Получившуюся в результате машину стали называть ИСУ-122. Тем самым повысилась бронепробиваемость и </w:t>
      </w:r>
      <w:r w:rsidRPr="00271E51">
        <w:rPr>
          <w:color w:val="000000" w:themeColor="text1"/>
          <w:lang w:val="ru-RU"/>
        </w:rPr>
        <w:lastRenderedPageBreak/>
        <w:t>скорострельность, но фугасное действие снаряда самоходки снизилось (12290).</w:t>
      </w:r>
    </w:p>
    <w:p w14:paraId="77084873"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3D062DC"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года Сталин подписал постановление ГКО №4504сс «О тяжёлой самоходной артиллерийской установке ИС-152 с гаубицей-пушкой МЛ-20с». Документ предусматривал начало серийного производства машины, сохраняя объёмы, заданные в постановлении ГКО №4043. Первые машины получились очень дорогими: каждая из них обходилась в 400 тысяч рублей, что было заметно выше СУ-152. Впрочем, уже в первом квартале 1944 года стоимость снизилась до 350 тысяч рублей, а с апреля — до 295 тысяч (18171).</w:t>
      </w:r>
    </w:p>
    <w:p w14:paraId="3C6D47CC"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47682797"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года ИСУ-152 приняли на вооружение Красной армии (18335).</w:t>
      </w:r>
    </w:p>
    <w:p w14:paraId="01C39477"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47234D15" w14:textId="77777777" w:rsidR="000879ED" w:rsidRPr="00271E51" w:rsidRDefault="000879E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 ноября 1943 постановлением ГКО №4504 «О тяжелой самоходной артиллерийской установке ИС-152 с гаубицей-пушкой МЛ-20с» новую самоходную установку приняли на вооружение. На ЧКЗ началась подготовка к началу производства ИСУ-152. В день принятия новой самоходной установки на вооружение был издан приказ о прекращении выпуска СУ-152. Месячный план по производству машины был сокращен до 42 штук. Последние СУ-152 были изготовлены к 20 ноября, а уже к концу месяца в Челябинске сдали первые 5 ИСУ-152.</w:t>
      </w:r>
    </w:p>
    <w:p w14:paraId="3050ECC8" w14:textId="77777777" w:rsidR="000879ED" w:rsidRPr="00271E51" w:rsidRDefault="000879ED"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Последние СУ-152 ЧКЗ сдал уже после официального прекращения их производства. В сводках завода данные машины не проходят, зато они фигурируют в докладах о сдаче заводами самоходных установок, которые каждые 5 дней высылались Сталину, Молотову и Берии. Согласно им, в декабре 1943 года ЧКЗ сдал 4 СУ-152, причём последние две серийные машины были приняты в конце января 1944 года. Таким образом, общий объем выпуска СУ-152, включая опытный образец, составил 670 машин (17695).</w:t>
      </w:r>
    </w:p>
    <w:p w14:paraId="2B989072" w14:textId="77777777" w:rsidR="000879ED" w:rsidRPr="00271E51" w:rsidRDefault="000879ED" w:rsidP="00271E51">
      <w:pPr>
        <w:pStyle w:val="12a"/>
        <w:shd w:val="clear" w:color="auto" w:fill="auto"/>
        <w:spacing w:after="0" w:line="240" w:lineRule="auto"/>
        <w:jc w:val="both"/>
        <w:rPr>
          <w:color w:val="000000" w:themeColor="text1"/>
          <w:sz w:val="16"/>
          <w:szCs w:val="16"/>
        </w:rPr>
      </w:pPr>
    </w:p>
    <w:p w14:paraId="16EA2C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4505 О поставке НКО и НКВМФ боеприпасов в ноябре 1943 года.РГАНИР, Фонд ГКО, д. 172, лл. 8-24, 25-56 (11012).</w:t>
      </w:r>
    </w:p>
    <w:p w14:paraId="30B7F2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861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4506 О плане производства танков, самоходных установок, дизелей, запасных частей к ним и ремонта танков, самоходных установок и дизелей на ноябрь 1943 года.РГАНИР, Фонд ГКО, д. 172, лл. 37-67, 68-73 (11012).</w:t>
      </w:r>
    </w:p>
    <w:p w14:paraId="3CEB9C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1F0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года Постановлением ГОКО № 4507сс в ведение НКВ был передан Крюковский стекольный завод для восстановления его и организации производства, на правах филиала завода № 393 (9277)</w:t>
      </w:r>
    </w:p>
    <w:p w14:paraId="1D96A6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849E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4507 О плане производства и поставок артиллерийского, минометного и стрелкового вооружения и военных приборов на ноябрь 1943 года.РГАНИР, Фонд ГКО, д. 172, лл. 74-92, 93-113 (11012).</w:t>
      </w:r>
    </w:p>
    <w:p w14:paraId="75CDE1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F15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4508 О плане производства и поставок пулеметов-пистолетов Шпагина и ПП-43 в ноябре 1943 года.РГАНИР, Фонд ГКО, д. 172, лл. 114-120, 121-132 (11012).</w:t>
      </w:r>
    </w:p>
    <w:p w14:paraId="6D1754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1AB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4509 О плане производства и поставок патронов и звеньев Наркоматом вооружения в ноябре 1943 г.РГАНИР, Фонд ГКО, д. 172, лл. 133-137, 138-144 (11012).</w:t>
      </w:r>
    </w:p>
    <w:p w14:paraId="620B20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9A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4510 О добыче нефти и выработке нефтепродуктов в ноябре 1943 года.РГАНИР, Фонд ГКО, д. 172, лл. 145-150, 151-152 (11012).</w:t>
      </w:r>
    </w:p>
    <w:p w14:paraId="3B7E61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E6E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4511 О мероприятиях по восстановлению нефтяной промышленности Краснодарского края.РГАНИР, Фонд ГКО, д. 172, лл. 153-162, 163-168 (11012).</w:t>
      </w:r>
    </w:p>
    <w:p w14:paraId="5F69A1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4F3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4512 О плане добычи угля и сланца на ноябрь 1943 года по Наркомуглю.РГАНИР, Фонд ГКО, д. 172, лл. 169-174, 175 (11012).</w:t>
      </w:r>
    </w:p>
    <w:p w14:paraId="400E45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3BF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4513 О строительстве Михайловского содового комбината.РГАНИР, Фонд ГКО, д. 172, лл. 176-182, 183-190 (11012).</w:t>
      </w:r>
    </w:p>
    <w:p w14:paraId="051777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E2A1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Распоряжение ГКО № 4515 [О направлении в Распоряжение ГКО НКздрава СССР 50 военнообязанных, не годных к воинской службе.] (7154, 192).</w:t>
      </w:r>
    </w:p>
    <w:p w14:paraId="1BE0EF4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48184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Постановление ГКО № 4516 Об увеличении производства алмазных и победитовых фильер на заводах Наркомэлектропрома. (7154, 193-195,196-197).</w:t>
      </w:r>
    </w:p>
    <w:p w14:paraId="2BD889C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A68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Распоряжение ГКО № 4517. О поставке для HКСП изделий для комплектации специальных приборов в IV кв. 1943 г.РГАНИР, Фонд ГКО, д. 172, лл. 198-199, 200-203 (11012).</w:t>
      </w:r>
    </w:p>
    <w:p w14:paraId="4EEFC6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6AB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Распоряжение ГКО № 4518. О поставке НКПП СССР сырья для выработки 500 т тунгового масла в 1943-1944 гг.РГАНИР, Фонд ГКО, д. 172, лл. 204 (11012).</w:t>
      </w:r>
    </w:p>
    <w:p w14:paraId="323D09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C13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Распоряжение ГКО № 4519. О мерах по восстановлению предприятий Донбассводтреста НКЧМ.РГАНИР, Фонд ГКО, д. 172, лл. 205-206 (11012).</w:t>
      </w:r>
    </w:p>
    <w:p w14:paraId="00B4D2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D2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вышло Распоряжение ГКО № 4520. О продлении до 1 апреля 1944 г. срока работы 6,5 тыс. красноармейцев из нестроевых частей САВО на хлопкоочистительных предприятиях НКтекстиля СССР.РГАНИР, Фонд ГКО, д. 172, лл. 207 (11012).</w:t>
      </w:r>
    </w:p>
    <w:p w14:paraId="111B3E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0BA2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162BE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2C6F3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27B43F0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в результате стремительно проведённой наступательной операции и обходного манёвра, разгромили противостоящие немецкие войска и на рассвете 6 ноября штурмом овладели столицей Советской Украины —городом Киев. Противник понёс огромные потери в живой силе и технике. Продолжая развивать успешное наступление, войска 1-го Украинского фронта овладели районным центром Киевской области городом Васильков, а также заняли более 60 других населённых пунктов, среди которых крупные населённые пункты Лубянка, Озёры, Гостомель, Блиставица, Буча, Яблонка, Софиевская и Никольская Борщаговка, Шевченко, Петровский, Жуляны, Мышеловка, Крюковщина, Гатное, Хотив, Пирогово, Вита Литовская, Заборье, Боярка-Будаевка, Тарасовка, Юровка, Beтa Почтовая, Глеваха и железнодорожные станции Буча, Жуляны, Боярка.</w:t>
      </w:r>
    </w:p>
    <w:p w14:paraId="48E25DB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Северо-Кавказского фронта во взаимодействии с Черноморским флотом и Азовской военной флотилией провели успешную десантную операцию с высадкой войск на восточном берегу Керченского полуострова в районах северо-восточнее и южнее города Керчь. Северо-восточнее города Керчь наши войска, сломив сопротивление противника, овладели сильно укреплёнными опорными пунктами Оссовина, Маяк, Жуковка, Опасная, Крепость Еникале, Баксы, Капканы, создав в этом районе плацдарм шириной по фронту 10 километров и в глубину 6 километров. Южнее города Керчь наши десантные части овладели сильно укреплённым опорным пунктом противника Эльтиген. Неоднократные контратаки против наших высадившихся частей были отбиты с большими для противника потерями.</w:t>
      </w:r>
    </w:p>
    <w:p w14:paraId="2F31E01E"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Никополя, на левом берегу Днепра, наши войска отбивали контратаки пехоты и танков противника, нанеся ему большие потери в живой силе и технике.</w:t>
      </w:r>
    </w:p>
    <w:p w14:paraId="276F9FF0"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излучине Днепра, юго-западнее Днепропетровска, наши войска отбили атаки крупных сил пехоты и танков противника. В ходе боёв противник понёс огромные потери в живой силе и технике.</w:t>
      </w:r>
    </w:p>
    <w:p w14:paraId="0057872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Невеля наши войска, преодолевая сопротивление противника, продолжали вести бои местного значения, в ходе которых овладели рядом населённых пунктов, среди которых Кранополье, Булыги, Большое Ситно и железнодорожные станции Клястицы, Алеша.</w:t>
      </w:r>
    </w:p>
    <w:p w14:paraId="38E83876"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3FCACC2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ноября наши войска на всех фронтах подбили и уничтожили 141 немецкий танк. В воздушных боях и огнём зенитной артиллерии сбито 57 самолётов противника.</w:t>
      </w:r>
    </w:p>
    <w:p w14:paraId="6207C33F"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наши войска штурмом овладели столицей Украинской Советской Социалистической Республики — городом Киев. Советские войска смелым манёвром полуокружили город и стремительным броском ворвались на его северную и западную окраины. Всю ночь продолжались ожесточённые уличные бои. К утру наши войска завершили разгром немецкого гарнизона, оборонявшего Киев, и штурмом овладели городом. Крупное сражение закончилось полной победой советского оружия. Все роды наших войск, участвовавшие в этом бою, ещё раз показали беспредельное мужество и героизм. Противнику нанесён чрезвычайно тяжёлый урон в людях и технике. По неполным данным, за день боёв подбито и сожжено до 100 немецких танков. Взято много пленных. Захвачены большие трофеи, склады боеприпасов, вооружения и снаряжения. Солдаты и офицеры разгромленных немецких соединений в панике устремились по шоссейной дороге на город Васильков. Здесь на вражеские колонны обрушились наши штурмовики и бомбардировщики. К исходу дня наши войска, развивая успешное наступление и преследуя противника, заняли город Васильков и много других населённых пунктов.</w:t>
      </w:r>
    </w:p>
    <w:p w14:paraId="5EDA2D1D"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Северо - Кавказского фронта, во взаимодействии с кораблями Черноморского флота и Азовской военной флотилии, успешно высадили десант на восточном берегу Керченского полуострова. Северо-восточнее города Керчь советские бойцы, высадившись с десантных судов, атаковали противника и выбили его из укреплений, прикрывающих побережье. Развивая успех, наши части овладели рядом сильно укреплённых опорных пунктов и крепостью Еникале. Захвачено у немцев много орудий, в том числе дальнобойных, склады боеприпасов и другие трофеи. Южнее города Керчь наши десантные подразделения, заняв опорный пункт Эльтиген, отбили несколько ожесточённых контратак гитлеровцев и нанесли им большой урон. Все попытки противника оттеснить к проливу высадившиеся советские войска успеха не имели.</w:t>
      </w:r>
    </w:p>
    <w:p w14:paraId="73019A95"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танки и пехота противника, стремясь задержать продвижение советских войск, предприняли ряд ожесточённых контратак. На одном участке немцам удалось несколько продвинуться вперёд. Стремительными ударами во фланги советские части опрокинули гитлеровцев и принудили их отступить. В этом бою уничтожено до 2000 немецких солдат и офицеров, 22 танка и 19 орудий. На других участках также отбиты все контратаки противника.</w:t>
      </w:r>
    </w:p>
    <w:p w14:paraId="1F94394C"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за день сбили 19 немецких самолётов.</w:t>
      </w:r>
    </w:p>
    <w:p w14:paraId="1466D322"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Невеля части Н-ского соединения, преодолевая лесисто-болотистую местность и уничтожая гарнизоны противника, заняли ряд населённых пунктов. На одном участке немцы предприняли свыше десяти контратак, но успеха не добились. Уничтожено до батальона гитлеровцев, захвачены пленные итрофеи. Советские лётчики в воздушных боях сбили 22 немецких самолёта.</w:t>
      </w:r>
    </w:p>
    <w:p w14:paraId="47BE6D82"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Пархоменко, действующий в Вилейской области, в ночь на 28 октября совершил налёт на одну железнодорожную станцию. Советские патриоты уничтожили железнодорожную охрану немцев, подожгли два крупных воинских склада противника, разрушили стрелки и взорвали железнодорожные пути. Партизанский отряд имени Александра Невского за последние дни пустил под откос 14 вражеских эшелонов с двойной тягой, следовавших к линии фронта. Разбиты 11 паровозов и 180 вагонов и платформ с военными грузами.</w:t>
      </w:r>
    </w:p>
    <w:p w14:paraId="6F7BE9DE"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Третьего ноября севернее Киева добровольно сдался в плен командир роты 327 немецкой пехотной дивизии лейтенант Карл П. Пленный заявил: «Мы не ожидали такого стремительного наступления русских. Советская артиллерия била настолько метко, что мои люди были ошеломлены. Половина солдат роты погибла. Остальные остались на месте и вместе со мной сдались в плен. Настроение не только солдат, но и большинства офицеров, с которыми мне приходилось встречаться, чрезвычайно подавленное. Мы все видим, как приближается развязка. Зимой, когда была объявлена тотальная мобилизация, нас уверяли, что теперь Германия выиграет войнув ближайшие шесть месяцев. После этого прошло десять месяцев, но Германия пришла не к победе, а к катастрофе» (14822).</w:t>
      </w:r>
    </w:p>
    <w:p w14:paraId="7FC7DB16"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312CDB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6 ноября 1943 штурмовые авиа</w:t>
      </w:r>
      <w:r w:rsidRPr="00271E51">
        <w:rPr>
          <w:rFonts w:ascii="Times New Roman" w:hAnsi="Times New Roman"/>
          <w:color w:val="000000" w:themeColor="text1"/>
          <w:sz w:val="16"/>
          <w:szCs w:val="16"/>
        </w:rPr>
        <w:softHyphen/>
        <w:t>полки морской авиагруппы приступили к сбросу в расположение десантников боеприпасов, медикаментов и продо</w:t>
      </w:r>
      <w:r w:rsidRPr="00271E51">
        <w:rPr>
          <w:rFonts w:ascii="Times New Roman" w:hAnsi="Times New Roman"/>
          <w:color w:val="000000" w:themeColor="text1"/>
          <w:sz w:val="16"/>
          <w:szCs w:val="16"/>
        </w:rPr>
        <w:softHyphen/>
        <w:t>вольствия, а вскоре флотским экипажам группы пришлось поработать и по пор</w:t>
      </w:r>
      <w:r w:rsidRPr="00271E51">
        <w:rPr>
          <w:rFonts w:ascii="Times New Roman" w:hAnsi="Times New Roman"/>
          <w:color w:val="000000" w:themeColor="text1"/>
          <w:sz w:val="16"/>
          <w:szCs w:val="16"/>
        </w:rPr>
        <w:softHyphen/>
        <w:t>там Камыш-Бурун, Феодосия, Киик-Атлама, в которых противник сосредоточил 36 БДБ, 37 ТКА, 25 сторожевых катеров и 6 тральщиков и с началом высадки советских десантов дополнительно еще около 60 БДБ.</w:t>
      </w:r>
    </w:p>
    <w:p w14:paraId="20ED5E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в том, что, несмотря на полное превосходство Черноморского флота на море, немецкие БДБ и ТКА, базировав</w:t>
      </w:r>
      <w:r w:rsidRPr="00271E51">
        <w:rPr>
          <w:rFonts w:ascii="Times New Roman" w:hAnsi="Times New Roman"/>
          <w:color w:val="000000" w:themeColor="text1"/>
          <w:sz w:val="16"/>
          <w:szCs w:val="16"/>
        </w:rPr>
        <w:softHyphen/>
        <w:t>шиеся в этих портах, уже к 9 ноября су</w:t>
      </w:r>
      <w:r w:rsidRPr="00271E51">
        <w:rPr>
          <w:rFonts w:ascii="Times New Roman" w:hAnsi="Times New Roman"/>
          <w:color w:val="000000" w:themeColor="text1"/>
          <w:sz w:val="16"/>
          <w:szCs w:val="16"/>
        </w:rPr>
        <w:softHyphen/>
        <w:t>мели блокировать с моря плацдарм у Эльтигена и нарушить нормальное дви</w:t>
      </w:r>
      <w:r w:rsidRPr="00271E51">
        <w:rPr>
          <w:rFonts w:ascii="Times New Roman" w:hAnsi="Times New Roman"/>
          <w:color w:val="000000" w:themeColor="text1"/>
          <w:sz w:val="16"/>
          <w:szCs w:val="16"/>
        </w:rPr>
        <w:softHyphen/>
        <w:t>жение советских конвоев на коммуни</w:t>
      </w:r>
      <w:r w:rsidRPr="00271E51">
        <w:rPr>
          <w:rFonts w:ascii="Times New Roman" w:hAnsi="Times New Roman"/>
          <w:color w:val="000000" w:themeColor="text1"/>
          <w:sz w:val="16"/>
          <w:szCs w:val="16"/>
        </w:rPr>
        <w:softHyphen/>
        <w:t>кации Туапсе-Тамань. Отряды БДБ и ТКА (до 8-10 плавединиц) каждую ночь ходи</w:t>
      </w:r>
      <w:r w:rsidRPr="00271E51">
        <w:rPr>
          <w:rFonts w:ascii="Times New Roman" w:hAnsi="Times New Roman"/>
          <w:color w:val="000000" w:themeColor="text1"/>
          <w:sz w:val="16"/>
          <w:szCs w:val="16"/>
        </w:rPr>
        <w:softHyphen/>
        <w:t>ли в 700-800 м от берега в районе вы</w:t>
      </w:r>
      <w:r w:rsidRPr="00271E51">
        <w:rPr>
          <w:rFonts w:ascii="Times New Roman" w:hAnsi="Times New Roman"/>
          <w:color w:val="000000" w:themeColor="text1"/>
          <w:sz w:val="16"/>
          <w:szCs w:val="16"/>
        </w:rPr>
        <w:softHyphen/>
        <w:t>садки десанта, маскируясь на его фоне. Перед рассветом БДБ и ТКА уходили на свои базы. Обнаружив советские кате</w:t>
      </w:r>
      <w:r w:rsidRPr="00271E51">
        <w:rPr>
          <w:rFonts w:ascii="Times New Roman" w:hAnsi="Times New Roman"/>
          <w:color w:val="000000" w:themeColor="text1"/>
          <w:sz w:val="16"/>
          <w:szCs w:val="16"/>
        </w:rPr>
        <w:softHyphen/>
        <w:t>ра и высадочные плавсредства, немцы открывали по ним интенсивный огонь из всех имеющихся средств поражения. Поскольку немецкие БДБ были значи</w:t>
      </w:r>
      <w:r w:rsidRPr="00271E51">
        <w:rPr>
          <w:rFonts w:ascii="Times New Roman" w:hAnsi="Times New Roman"/>
          <w:color w:val="000000" w:themeColor="text1"/>
          <w:sz w:val="16"/>
          <w:szCs w:val="16"/>
        </w:rPr>
        <w:softHyphen/>
        <w:t>тельно сильнее по вооружению и бронезащите сторожевых (СКА) и бронека</w:t>
      </w:r>
      <w:r w:rsidRPr="00271E51">
        <w:rPr>
          <w:rFonts w:ascii="Times New Roman" w:hAnsi="Times New Roman"/>
          <w:color w:val="000000" w:themeColor="text1"/>
          <w:sz w:val="16"/>
          <w:szCs w:val="16"/>
        </w:rPr>
        <w:softHyphen/>
        <w:t>теров (БКА) Черноморского флота, то последние не могли успешно противо</w:t>
      </w:r>
      <w:r w:rsidRPr="00271E51">
        <w:rPr>
          <w:rFonts w:ascii="Times New Roman" w:hAnsi="Times New Roman"/>
          <w:color w:val="000000" w:themeColor="text1"/>
          <w:sz w:val="16"/>
          <w:szCs w:val="16"/>
        </w:rPr>
        <w:softHyphen/>
        <w:t>стоять противнику в артиллерийской дуэли и несли потери. Применение же крупных боевых кораблей ЧФ в узком и мелководном Керченском проливе пол</w:t>
      </w:r>
      <w:r w:rsidRPr="00271E51">
        <w:rPr>
          <w:rFonts w:ascii="Times New Roman" w:hAnsi="Times New Roman"/>
          <w:color w:val="000000" w:themeColor="text1"/>
          <w:sz w:val="16"/>
          <w:szCs w:val="16"/>
        </w:rPr>
        <w:softHyphen/>
        <w:t>ностью исключалось из-за минной опас</w:t>
      </w:r>
      <w:r w:rsidRPr="00271E51">
        <w:rPr>
          <w:rFonts w:ascii="Times New Roman" w:hAnsi="Times New Roman"/>
          <w:color w:val="000000" w:themeColor="text1"/>
          <w:sz w:val="16"/>
          <w:szCs w:val="16"/>
        </w:rPr>
        <w:softHyphen/>
        <w:t>ности и угрозы с воздуха. В итоге, уже начиная с 3 ноября перевозки войск, техники и боеприпасов на эльтигенский плацдарм стали непрерывно сокращать</w:t>
      </w:r>
      <w:r w:rsidRPr="00271E51">
        <w:rPr>
          <w:rFonts w:ascii="Times New Roman" w:hAnsi="Times New Roman"/>
          <w:color w:val="000000" w:themeColor="text1"/>
          <w:sz w:val="16"/>
          <w:szCs w:val="16"/>
        </w:rPr>
        <w:softHyphen/>
        <w:t>ся и к 9 ноября - полностью прекрати</w:t>
      </w:r>
      <w:r w:rsidRPr="00271E51">
        <w:rPr>
          <w:rFonts w:ascii="Times New Roman" w:hAnsi="Times New Roman"/>
          <w:color w:val="000000" w:themeColor="text1"/>
          <w:sz w:val="16"/>
          <w:szCs w:val="16"/>
        </w:rPr>
        <w:softHyphen/>
        <w:t>лись, хотя отдельные катера все же про</w:t>
      </w:r>
      <w:r w:rsidRPr="00271E51">
        <w:rPr>
          <w:rFonts w:ascii="Times New Roman" w:hAnsi="Times New Roman"/>
          <w:color w:val="000000" w:themeColor="text1"/>
          <w:sz w:val="16"/>
          <w:szCs w:val="16"/>
        </w:rPr>
        <w:softHyphen/>
        <w:t>рывались к морским десантникам, 3-й отряд высадочных средств Черноморс</w:t>
      </w:r>
      <w:r w:rsidRPr="00271E51">
        <w:rPr>
          <w:rFonts w:ascii="Times New Roman" w:hAnsi="Times New Roman"/>
          <w:color w:val="000000" w:themeColor="text1"/>
          <w:sz w:val="16"/>
          <w:szCs w:val="16"/>
        </w:rPr>
        <w:softHyphen/>
        <w:t>кого флота ликвидировать блокаду Эль</w:t>
      </w:r>
      <w:r w:rsidRPr="00271E51">
        <w:rPr>
          <w:rFonts w:ascii="Times New Roman" w:hAnsi="Times New Roman"/>
          <w:color w:val="000000" w:themeColor="text1"/>
          <w:sz w:val="16"/>
          <w:szCs w:val="16"/>
        </w:rPr>
        <w:softHyphen/>
        <w:t>тигена своими силами при малом коли</w:t>
      </w:r>
      <w:r w:rsidRPr="00271E51">
        <w:rPr>
          <w:rFonts w:ascii="Times New Roman" w:hAnsi="Times New Roman"/>
          <w:color w:val="000000" w:themeColor="text1"/>
          <w:sz w:val="16"/>
          <w:szCs w:val="16"/>
        </w:rPr>
        <w:softHyphen/>
        <w:t>честве БКА и явном превосходстве БДБ противника был не в состоянии. В свою очередь, Ставка ВГК и нарком ВМФ ад</w:t>
      </w:r>
      <w:r w:rsidRPr="00271E51">
        <w:rPr>
          <w:rFonts w:ascii="Times New Roman" w:hAnsi="Times New Roman"/>
          <w:color w:val="000000" w:themeColor="text1"/>
          <w:sz w:val="16"/>
          <w:szCs w:val="16"/>
        </w:rPr>
        <w:softHyphen/>
        <w:t>мирал Н.Г.Кузнецов "давили" на коман</w:t>
      </w:r>
      <w:r w:rsidRPr="00271E51">
        <w:rPr>
          <w:rFonts w:ascii="Times New Roman" w:hAnsi="Times New Roman"/>
          <w:color w:val="000000" w:themeColor="text1"/>
          <w:sz w:val="16"/>
          <w:szCs w:val="16"/>
        </w:rPr>
        <w:softHyphen/>
        <w:t>дующего Черноморским флотом вице-адмирала Л.А. Владимирского, требуя прорыва блокады, но дополнительных сил для решения этой задачи не выде</w:t>
      </w:r>
      <w:r w:rsidRPr="00271E51">
        <w:rPr>
          <w:rFonts w:ascii="Times New Roman" w:hAnsi="Times New Roman"/>
          <w:color w:val="000000" w:themeColor="text1"/>
          <w:sz w:val="16"/>
          <w:szCs w:val="16"/>
        </w:rPr>
        <w:softHyphen/>
        <w:t>лялось. В пылу полемики по этому воп</w:t>
      </w:r>
      <w:r w:rsidRPr="00271E51">
        <w:rPr>
          <w:rFonts w:ascii="Times New Roman" w:hAnsi="Times New Roman"/>
          <w:color w:val="000000" w:themeColor="text1"/>
          <w:sz w:val="16"/>
          <w:szCs w:val="16"/>
        </w:rPr>
        <w:softHyphen/>
        <w:t>росу Л.А.Владимирский официально донес в Ставку и НК ВМФ, что ему при</w:t>
      </w:r>
      <w:r w:rsidRPr="00271E51">
        <w:rPr>
          <w:rFonts w:ascii="Times New Roman" w:hAnsi="Times New Roman"/>
          <w:color w:val="000000" w:themeColor="text1"/>
          <w:sz w:val="16"/>
          <w:szCs w:val="16"/>
        </w:rPr>
        <w:softHyphen/>
        <w:t xml:space="preserve">ходится в Керченком проливе </w:t>
      </w:r>
      <w:r w:rsidRPr="00271E51">
        <w:rPr>
          <w:rFonts w:ascii="Times New Roman" w:hAnsi="Times New Roman"/>
          <w:iCs/>
          <w:color w:val="000000" w:themeColor="text1"/>
          <w:sz w:val="16"/>
          <w:szCs w:val="16"/>
        </w:rPr>
        <w:t>"драться телегами против танков... "</w:t>
      </w:r>
      <w:r w:rsidRPr="00271E51">
        <w:rPr>
          <w:rFonts w:ascii="Times New Roman" w:hAnsi="Times New Roman"/>
          <w:color w:val="000000" w:themeColor="text1"/>
          <w:sz w:val="16"/>
          <w:szCs w:val="16"/>
        </w:rPr>
        <w:t xml:space="preserve"> (6467).</w:t>
      </w:r>
    </w:p>
    <w:p w14:paraId="4D4B18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A3E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года во время 17-минутного боя над озером Ладога Рудорффер объявил о подбитых им 13 советских машинах. Это был, естественно, один из самых больших успехов в истребительной авиации и одновременно один из наиболее противоречивых боев. На сегодняшний день нет документов, подтверждающих этот успех (3573).</w:t>
      </w:r>
    </w:p>
    <w:p w14:paraId="1F340E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17D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выпол</w:t>
      </w:r>
      <w:r w:rsidRPr="00271E51">
        <w:rPr>
          <w:rFonts w:ascii="Times New Roman" w:hAnsi="Times New Roman"/>
          <w:color w:val="000000" w:themeColor="text1"/>
          <w:sz w:val="16"/>
          <w:szCs w:val="16"/>
        </w:rPr>
        <w:softHyphen/>
        <w:t>няя пожелание французов, полк был передислоцирован в Тулу и подчинен командующему ВВС МВО. Вскоре представитель ВВС Сражающейся Франции полковник де Мармье вручил отличившимся пилотам французские боевые награды, а сама “Нормандия” удостоилась ордена “Освобождение” (3956).</w:t>
      </w:r>
    </w:p>
    <w:p w14:paraId="590053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60A5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советские войска освободили Киев от фашистов (4962).</w:t>
      </w:r>
    </w:p>
    <w:p w14:paraId="231812F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D23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6 November 1943 Kiev recaptured by Russians after two years in German hands (270).</w:t>
      </w:r>
    </w:p>
    <w:p w14:paraId="4072D8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0F5B6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1УФ Н.Ф.Ватутин был освобожден Киев после 2 лет оккупации (270).</w:t>
      </w:r>
    </w:p>
    <w:p w14:paraId="3D540E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EBD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1943, когда взяли Киев, выяснилось, что старик С.Д.Вовченко, работник аэродрома Жуляны, после ухода КА устроил огород над бензохранилищем и спас горючее, додержав его до прихода КА (438,889).</w:t>
      </w:r>
    </w:p>
    <w:p w14:paraId="1C7C34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202AC" w14:textId="56837740" w:rsidR="003F06D0" w:rsidRPr="00271E51" w:rsidRDefault="003F06D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D641628" w14:textId="77777777" w:rsidR="003F06D0" w:rsidRPr="00271E51" w:rsidRDefault="003F06D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C82B981"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ноября 1943 г., посвящённом 26-й го</w:t>
      </w:r>
      <w:r w:rsidRPr="00271E51">
        <w:rPr>
          <w:rFonts w:ascii="Times New Roman" w:hAnsi="Times New Roman"/>
          <w:color w:val="0070C0"/>
          <w:sz w:val="16"/>
          <w:szCs w:val="16"/>
        </w:rPr>
        <w:softHyphen/>
        <w:t>довщине Октябрьской социалистической рево</w:t>
      </w:r>
      <w:r w:rsidRPr="00271E51">
        <w:rPr>
          <w:rFonts w:ascii="Times New Roman" w:hAnsi="Times New Roman"/>
          <w:color w:val="0070C0"/>
          <w:sz w:val="16"/>
          <w:szCs w:val="16"/>
        </w:rPr>
        <w:softHyphen/>
        <w:t>люции, И.В. Сталин отметил, что истекший год был переломным годом не только в ходе военных действий, но и в работе тыла. Уже не стояли та</w:t>
      </w:r>
      <w:r w:rsidRPr="00271E51">
        <w:rPr>
          <w:rFonts w:ascii="Times New Roman" w:hAnsi="Times New Roman"/>
          <w:color w:val="0070C0"/>
          <w:sz w:val="16"/>
          <w:szCs w:val="16"/>
        </w:rPr>
        <w:softHyphen/>
        <w:t>кие задачи, как эвакуация предприятий на Вос</w:t>
      </w:r>
      <w:r w:rsidRPr="00271E51">
        <w:rPr>
          <w:rFonts w:ascii="Times New Roman" w:hAnsi="Times New Roman"/>
          <w:color w:val="0070C0"/>
          <w:sz w:val="16"/>
          <w:szCs w:val="16"/>
        </w:rPr>
        <w:softHyphen/>
        <w:t>ток и перевод промышленности на производство вооружения. СССР создал слаженное и быстро растущее военное хозяйство. Все усилия народа сосредоточились на увеличении производства и дальнейшем совершенствовании вооружения, особенно танков, самолётов, орудий, самоходной артиллерии. В этом были достигнуты крупные успехи. Красная армия бесперебойно получала вооружение [20, c. 73] (21521).</w:t>
      </w:r>
    </w:p>
    <w:p w14:paraId="0E1348E2" w14:textId="77777777" w:rsidR="003F06D0" w:rsidRPr="00271E51" w:rsidRDefault="003F06D0" w:rsidP="00271E51">
      <w:pPr>
        <w:spacing w:after="0" w:line="240" w:lineRule="auto"/>
        <w:jc w:val="both"/>
        <w:rPr>
          <w:rFonts w:ascii="Times New Roman" w:hAnsi="Times New Roman"/>
          <w:color w:val="0070C0"/>
          <w:sz w:val="16"/>
          <w:szCs w:val="16"/>
        </w:rPr>
      </w:pPr>
    </w:p>
    <w:p w14:paraId="63F8F83C" w14:textId="058D6B90" w:rsidR="000F6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61580F07" w14:textId="77777777" w:rsidR="000F6181" w:rsidRPr="00271E51" w:rsidRDefault="000F6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457BB4" w14:textId="77777777" w:rsidR="000F6181" w:rsidRPr="00271E51" w:rsidRDefault="000F6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lastRenderedPageBreak/>
        <w:t>6 ноября</w:t>
      </w:r>
      <w:r w:rsidRPr="00271E51">
        <w:rPr>
          <w:rFonts w:ascii="Times New Roman" w:hAnsi="Times New Roman"/>
          <w:color w:val="000000" w:themeColor="text1"/>
          <w:sz w:val="16"/>
          <w:szCs w:val="16"/>
        </w:rPr>
        <w:t xml:space="preserve"> в 1943 году в докладе И.В.Сталина на торжественном заседании Московского Совета депутатов трудящихся, посвящённом 26-й годовщине Октябрьской революции, изложена разработанная ЦК ВКП(б) программа послевоенного переустройства мира (14822).</w:t>
      </w:r>
    </w:p>
    <w:p w14:paraId="26A75B0B" w14:textId="77777777" w:rsidR="000F6181" w:rsidRPr="00271E51" w:rsidRDefault="000F6181" w:rsidP="00271E51">
      <w:pPr>
        <w:spacing w:after="0" w:line="240" w:lineRule="auto"/>
        <w:jc w:val="both"/>
        <w:rPr>
          <w:rFonts w:ascii="Times New Roman" w:hAnsi="Times New Roman"/>
          <w:color w:val="000000" w:themeColor="text1"/>
          <w:sz w:val="16"/>
          <w:szCs w:val="16"/>
        </w:rPr>
      </w:pPr>
    </w:p>
    <w:p w14:paraId="6A394D87" w14:textId="6AF4F2FC" w:rsidR="003F06D0" w:rsidRPr="00271E51" w:rsidRDefault="003F06D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0806FD02" w14:textId="77777777" w:rsidR="003F06D0" w:rsidRPr="00271E51" w:rsidRDefault="003F06D0"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21AB05F"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6–7 ноября (ночь) 1943 был последний налет японцев на аэродром Мунда (20376).</w:t>
      </w:r>
    </w:p>
    <w:p w14:paraId="64ED0C0B" w14:textId="77777777" w:rsidR="003F06D0" w:rsidRPr="00271E51" w:rsidRDefault="003F06D0" w:rsidP="00271E51">
      <w:pPr>
        <w:spacing w:after="0" w:line="240" w:lineRule="auto"/>
        <w:jc w:val="both"/>
        <w:rPr>
          <w:rFonts w:ascii="Times New Roman" w:hAnsi="Times New Roman"/>
          <w:color w:val="0070C0"/>
          <w:sz w:val="16"/>
          <w:szCs w:val="16"/>
        </w:rPr>
      </w:pPr>
    </w:p>
    <w:p w14:paraId="7D5C86BD" w14:textId="336014B4"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1AA07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EA04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w:t>
      </w:r>
      <w:r w:rsidRPr="00271E51">
        <w:rPr>
          <w:rFonts w:ascii="Times New Roman" w:hAnsi="Times New Roman"/>
          <w:color w:val="000000" w:themeColor="text1"/>
          <w:sz w:val="16"/>
          <w:szCs w:val="16"/>
        </w:rPr>
        <w:softHyphen/>
        <w:t>ле ноября 1943 С.В.И. выходит с предложением во исполнение Постановления ГОКО от 26 октября передать на государ</w:t>
      </w:r>
      <w:r w:rsidRPr="00271E51">
        <w:rPr>
          <w:rFonts w:ascii="Times New Roman" w:hAnsi="Times New Roman"/>
          <w:color w:val="000000" w:themeColor="text1"/>
          <w:sz w:val="16"/>
          <w:szCs w:val="16"/>
        </w:rPr>
        <w:softHyphen/>
        <w:t>ственные испытания опытный развед</w:t>
      </w:r>
      <w:r w:rsidRPr="00271E51">
        <w:rPr>
          <w:rFonts w:ascii="Times New Roman" w:hAnsi="Times New Roman"/>
          <w:color w:val="000000" w:themeColor="text1"/>
          <w:sz w:val="16"/>
          <w:szCs w:val="16"/>
        </w:rPr>
        <w:softHyphen/>
        <w:t>чик-корректировщик Ил-2 АМ-42 (РК) в варианте штурмовика. Как следу</w:t>
      </w:r>
      <w:r w:rsidRPr="00271E51">
        <w:rPr>
          <w:rFonts w:ascii="Times New Roman" w:hAnsi="Times New Roman"/>
          <w:color w:val="000000" w:themeColor="text1"/>
          <w:sz w:val="16"/>
          <w:szCs w:val="16"/>
        </w:rPr>
        <w:softHyphen/>
        <w:t>ет из документов, основной причи</w:t>
      </w:r>
      <w:r w:rsidRPr="00271E51">
        <w:rPr>
          <w:rFonts w:ascii="Times New Roman" w:hAnsi="Times New Roman"/>
          <w:color w:val="000000" w:themeColor="text1"/>
          <w:sz w:val="16"/>
          <w:szCs w:val="16"/>
        </w:rPr>
        <w:softHyphen/>
        <w:t>ной такого выбора стало лучшее производственное исполнение этого самолета в сравнении с Ил-2М про</w:t>
      </w:r>
      <w:r w:rsidRPr="00271E51">
        <w:rPr>
          <w:rFonts w:ascii="Times New Roman" w:hAnsi="Times New Roman"/>
          <w:color w:val="000000" w:themeColor="text1"/>
          <w:sz w:val="16"/>
          <w:szCs w:val="16"/>
        </w:rPr>
        <w:softHyphen/>
        <w:t>изводства завода № 18. Штурмовой вариант "следопыта" имел бы увели</w:t>
      </w:r>
      <w:r w:rsidRPr="00271E51">
        <w:rPr>
          <w:rFonts w:ascii="Times New Roman" w:hAnsi="Times New Roman"/>
          <w:color w:val="000000" w:themeColor="text1"/>
          <w:sz w:val="16"/>
          <w:szCs w:val="16"/>
        </w:rPr>
        <w:softHyphen/>
        <w:t>ченную дальность полета за счет большего запаса горючего (1020 л вместо 840 л), нормальную бомбо</w:t>
      </w:r>
      <w:r w:rsidRPr="00271E51">
        <w:rPr>
          <w:rFonts w:ascii="Times New Roman" w:hAnsi="Times New Roman"/>
          <w:color w:val="000000" w:themeColor="text1"/>
          <w:sz w:val="16"/>
          <w:szCs w:val="16"/>
        </w:rPr>
        <w:softHyphen/>
        <w:t>вую нагрузку 600 кг и в перегрузку 1000 кг (за счет внешней подвески), менее мощное радиосвязное обору</w:t>
      </w:r>
      <w:r w:rsidRPr="00271E51">
        <w:rPr>
          <w:rFonts w:ascii="Times New Roman" w:hAnsi="Times New Roman"/>
          <w:color w:val="000000" w:themeColor="text1"/>
          <w:sz w:val="16"/>
          <w:szCs w:val="16"/>
        </w:rPr>
        <w:softHyphen/>
        <w:t>дование и один фотоаппарат для плановой съемки вместо двух. Дру</w:t>
      </w:r>
      <w:r w:rsidRPr="00271E51">
        <w:rPr>
          <w:rFonts w:ascii="Times New Roman" w:hAnsi="Times New Roman"/>
          <w:color w:val="000000" w:themeColor="text1"/>
          <w:sz w:val="16"/>
          <w:szCs w:val="16"/>
        </w:rPr>
        <w:softHyphen/>
        <w:t>гих отличий не было. Фактически предлагался один и тот же самолет, но с разными вариантами полезной нагрузки (различные веса бомб, го</w:t>
      </w:r>
      <w:r w:rsidRPr="00271E51">
        <w:rPr>
          <w:rFonts w:ascii="Times New Roman" w:hAnsi="Times New Roman"/>
          <w:color w:val="000000" w:themeColor="text1"/>
          <w:sz w:val="16"/>
          <w:szCs w:val="16"/>
        </w:rPr>
        <w:softHyphen/>
        <w:t>рючего и съемного оборудования). То есть Ильюшин сделал ставку на универсальность построенного опытного самолета Ил-2 АМ-42. Вместо пушек ВЯ-23, как и ранее, предлага</w:t>
      </w:r>
      <w:r w:rsidRPr="00271E51">
        <w:rPr>
          <w:rFonts w:ascii="Times New Roman" w:hAnsi="Times New Roman"/>
          <w:color w:val="000000" w:themeColor="text1"/>
          <w:sz w:val="16"/>
          <w:szCs w:val="16"/>
        </w:rPr>
        <w:softHyphen/>
        <w:t>лось в перспективе установить 37-мм авиапушки 1 1 П.</w:t>
      </w:r>
    </w:p>
    <w:p w14:paraId="76C91F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сказать, что Ильюшин, бу</w:t>
      </w:r>
      <w:r w:rsidRPr="00271E51">
        <w:rPr>
          <w:rFonts w:ascii="Times New Roman" w:hAnsi="Times New Roman"/>
          <w:color w:val="000000" w:themeColor="text1"/>
          <w:sz w:val="16"/>
          <w:szCs w:val="16"/>
        </w:rPr>
        <w:softHyphen/>
        <w:t>дучи в прошлом чиновником с боль</w:t>
      </w:r>
      <w:r w:rsidRPr="00271E51">
        <w:rPr>
          <w:rFonts w:ascii="Times New Roman" w:hAnsi="Times New Roman"/>
          <w:color w:val="000000" w:themeColor="text1"/>
          <w:sz w:val="16"/>
          <w:szCs w:val="16"/>
        </w:rPr>
        <w:softHyphen/>
        <w:t>шим опытом, хорошо усвоил науку "аппаратного" решения вопросов и "правильной" подачи материалов "в верхах". Обладая обширными связя</w:t>
      </w:r>
      <w:r w:rsidRPr="00271E51">
        <w:rPr>
          <w:rFonts w:ascii="Times New Roman" w:hAnsi="Times New Roman"/>
          <w:color w:val="000000" w:themeColor="text1"/>
          <w:sz w:val="16"/>
          <w:szCs w:val="16"/>
        </w:rPr>
        <w:softHyphen/>
        <w:t>ми в аппарате НКАП, Ильюшин имел возможность получать информацию о "настроениях" и планах руковод</w:t>
      </w:r>
      <w:r w:rsidRPr="00271E51">
        <w:rPr>
          <w:rFonts w:ascii="Times New Roman" w:hAnsi="Times New Roman"/>
          <w:color w:val="000000" w:themeColor="text1"/>
          <w:sz w:val="16"/>
          <w:szCs w:val="16"/>
        </w:rPr>
        <w:softHyphen/>
        <w:t>ства в отношении тех или иных воп</w:t>
      </w:r>
      <w:r w:rsidRPr="00271E51">
        <w:rPr>
          <w:rFonts w:ascii="Times New Roman" w:hAnsi="Times New Roman"/>
          <w:color w:val="000000" w:themeColor="text1"/>
          <w:sz w:val="16"/>
          <w:szCs w:val="16"/>
        </w:rPr>
        <w:softHyphen/>
        <w:t>росов авиационного строительства. Как следствие, Ильюшин весьма объективно оценивал обстановку, в силу чего предпринимал вполне адек</w:t>
      </w:r>
      <w:r w:rsidRPr="00271E51">
        <w:rPr>
          <w:rFonts w:ascii="Times New Roman" w:hAnsi="Times New Roman"/>
          <w:color w:val="000000" w:themeColor="text1"/>
          <w:sz w:val="16"/>
          <w:szCs w:val="16"/>
        </w:rPr>
        <w:softHyphen/>
        <w:t>ватные шаги и достигал своей цели.</w:t>
      </w:r>
    </w:p>
    <w:p w14:paraId="1CCEFD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ожидалось, ВВС отклонили предложение С. В. Ильюшина по са</w:t>
      </w:r>
      <w:r w:rsidRPr="00271E51">
        <w:rPr>
          <w:rFonts w:ascii="Times New Roman" w:hAnsi="Times New Roman"/>
          <w:color w:val="000000" w:themeColor="text1"/>
          <w:sz w:val="16"/>
          <w:szCs w:val="16"/>
        </w:rPr>
        <w:softHyphen/>
        <w:t>молету Ил-8 М-71, поскольку по ма</w:t>
      </w:r>
      <w:r w:rsidRPr="00271E51">
        <w:rPr>
          <w:rFonts w:ascii="Times New Roman" w:hAnsi="Times New Roman"/>
          <w:color w:val="000000" w:themeColor="text1"/>
          <w:sz w:val="16"/>
          <w:szCs w:val="16"/>
        </w:rPr>
        <w:softHyphen/>
        <w:t>невренности и максимальным скоро</w:t>
      </w:r>
      <w:r w:rsidRPr="00271E51">
        <w:rPr>
          <w:rFonts w:ascii="Times New Roman" w:hAnsi="Times New Roman"/>
          <w:color w:val="000000" w:themeColor="text1"/>
          <w:sz w:val="16"/>
          <w:szCs w:val="16"/>
        </w:rPr>
        <w:softHyphen/>
        <w:t>стям ильюшинский "броненосец" ус</w:t>
      </w:r>
      <w:r w:rsidRPr="00271E51">
        <w:rPr>
          <w:rFonts w:ascii="Times New Roman" w:hAnsi="Times New Roman"/>
          <w:color w:val="000000" w:themeColor="text1"/>
          <w:sz w:val="16"/>
          <w:szCs w:val="16"/>
        </w:rPr>
        <w:softHyphen/>
        <w:t>тупал "сухому". Однако идея стро</w:t>
      </w:r>
      <w:r w:rsidRPr="00271E51">
        <w:rPr>
          <w:rFonts w:ascii="Times New Roman" w:hAnsi="Times New Roman"/>
          <w:color w:val="000000" w:themeColor="text1"/>
          <w:sz w:val="16"/>
          <w:szCs w:val="16"/>
        </w:rPr>
        <w:softHyphen/>
        <w:t>ить штурмовой вариант Ил-1 АМ-42 и продвигать универсальный штурмо</w:t>
      </w:r>
      <w:r w:rsidRPr="00271E51">
        <w:rPr>
          <w:rFonts w:ascii="Times New Roman" w:hAnsi="Times New Roman"/>
          <w:color w:val="000000" w:themeColor="text1"/>
          <w:sz w:val="16"/>
          <w:szCs w:val="16"/>
        </w:rPr>
        <w:softHyphen/>
        <w:t>вик-разведчик Ил-2 с АМ-42 руко</w:t>
      </w:r>
      <w:r w:rsidRPr="00271E51">
        <w:rPr>
          <w:rFonts w:ascii="Times New Roman" w:hAnsi="Times New Roman"/>
          <w:color w:val="000000" w:themeColor="text1"/>
          <w:sz w:val="16"/>
          <w:szCs w:val="16"/>
        </w:rPr>
        <w:softHyphen/>
        <w:t>водству НКАП понравилась. В этом случае появлялась альтернатива бро</w:t>
      </w:r>
      <w:r w:rsidRPr="00271E51">
        <w:rPr>
          <w:rFonts w:ascii="Times New Roman" w:hAnsi="Times New Roman"/>
          <w:color w:val="000000" w:themeColor="text1"/>
          <w:sz w:val="16"/>
          <w:szCs w:val="16"/>
        </w:rPr>
        <w:softHyphen/>
        <w:t>нированному Су-6 М-71ф и возмож</w:t>
      </w:r>
      <w:r w:rsidRPr="00271E51">
        <w:rPr>
          <w:rFonts w:ascii="Times New Roman" w:hAnsi="Times New Roman"/>
          <w:color w:val="000000" w:themeColor="text1"/>
          <w:sz w:val="16"/>
          <w:szCs w:val="16"/>
        </w:rPr>
        <w:softHyphen/>
        <w:t>ность "отодвинуть" решение неудоб</w:t>
      </w:r>
      <w:r w:rsidRPr="00271E51">
        <w:rPr>
          <w:rFonts w:ascii="Times New Roman" w:hAnsi="Times New Roman"/>
          <w:color w:val="000000" w:themeColor="text1"/>
          <w:sz w:val="16"/>
          <w:szCs w:val="16"/>
        </w:rPr>
        <w:softHyphen/>
        <w:t>ного вопроса о запуске в серийное производство "семьдесят первого" мотора до проведения сравнитель</w:t>
      </w:r>
      <w:r w:rsidRPr="00271E51">
        <w:rPr>
          <w:rFonts w:ascii="Times New Roman" w:hAnsi="Times New Roman"/>
          <w:color w:val="000000" w:themeColor="text1"/>
          <w:sz w:val="16"/>
          <w:szCs w:val="16"/>
        </w:rPr>
        <w:softHyphen/>
        <w:t>ных испытаний опытных самолетов и выбора лучшего из них (11427).</w:t>
      </w:r>
    </w:p>
    <w:p w14:paraId="4BD9BF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9C591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811EA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7007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ноября 1943 г. расчеты МВТУ, КБ Уралмашза</w:t>
      </w:r>
      <w:r w:rsidRPr="00271E51">
        <w:rPr>
          <w:rFonts w:ascii="Times New Roman" w:hAnsi="Times New Roman"/>
          <w:color w:val="000000" w:themeColor="text1"/>
          <w:sz w:val="16"/>
          <w:szCs w:val="16"/>
        </w:rPr>
        <w:softHyphen/>
        <w:t>вода и Техуправления НКВ показали, что наиболее рацио</w:t>
      </w:r>
      <w:r w:rsidRPr="00271E51">
        <w:rPr>
          <w:rFonts w:ascii="Times New Roman" w:hAnsi="Times New Roman"/>
          <w:color w:val="000000" w:themeColor="text1"/>
          <w:sz w:val="16"/>
          <w:szCs w:val="16"/>
        </w:rPr>
        <w:softHyphen/>
        <w:t>нальным, с точки зрения значительного увеличения броне-пробиваемости при сохранении наиболее экономного поро</w:t>
      </w:r>
      <w:r w:rsidRPr="00271E51">
        <w:rPr>
          <w:rFonts w:ascii="Times New Roman" w:hAnsi="Times New Roman"/>
          <w:color w:val="000000" w:themeColor="text1"/>
          <w:sz w:val="16"/>
          <w:szCs w:val="16"/>
        </w:rPr>
        <w:softHyphen/>
        <w:t>хового заряда и сильном фугасном снаряде, был путь пере</w:t>
      </w:r>
      <w:r w:rsidRPr="00271E51">
        <w:rPr>
          <w:rFonts w:ascii="Times New Roman" w:hAnsi="Times New Roman"/>
          <w:color w:val="000000" w:themeColor="text1"/>
          <w:sz w:val="16"/>
          <w:szCs w:val="16"/>
        </w:rPr>
        <w:softHyphen/>
        <w:t>хода к самоходным и танковым пушкам калибра 100-107 мм. Но выпуск 107-мм пушек прекратился еще в 1941 г., поэтому все конструкторские коллективы кинулись проектировать 100-мм танковые ш:амоходные орудия, имея в виду баллистику морского орудия Б-34 (11417).</w:t>
      </w:r>
    </w:p>
    <w:p w14:paraId="3ED9F0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BEE5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0F355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D23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г на завод № 22 пришло благодарственное письмо, подписанное Зам. Командующего ВВС КА генерал-полковником авиации Никитиным и членом Военного совета ВВС КА Шимановым, в котором есть и такие строчки: “Славные Сталинские соколы, выполняя военные задания на самолётах, созданными Вашим заводом, беспощадно громят немецких захватчиков. Успешное выполнение Октябрьского задания по производству боевых самолётов даёт возможность непрерывно пополнять могучей техникой действующую армию. Личный состав ВВС КА благодарит коллектив завода и выражает уверенность в том, что и в дальнейшем Вами будет проводиться работа по непрерывному совершенствованию и улучшению качества выпускаемых Вами самолётов” (6394).</w:t>
      </w:r>
    </w:p>
    <w:p w14:paraId="62DC31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FCFD3"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ноября</w:t>
      </w:r>
      <w:r w:rsidRPr="00271E51">
        <w:rPr>
          <w:rFonts w:ascii="Times New Roman" w:hAnsi="Times New Roman"/>
          <w:color w:val="000000" w:themeColor="text1"/>
          <w:sz w:val="16"/>
          <w:szCs w:val="16"/>
        </w:rPr>
        <w:t xml:space="preserve"> в 1943 году начало серийного выпуска на заводе № 29 в Омске двигателй «АШ-82ФН» для «Ту-2» и «Ла-7» (14823).</w:t>
      </w:r>
    </w:p>
    <w:p w14:paraId="5AB4AD37" w14:textId="77777777" w:rsidR="00905C53" w:rsidRPr="00271E51" w:rsidRDefault="00905C53" w:rsidP="00271E51">
      <w:pPr>
        <w:spacing w:after="0" w:line="240" w:lineRule="auto"/>
        <w:jc w:val="both"/>
        <w:rPr>
          <w:rFonts w:ascii="Times New Roman" w:hAnsi="Times New Roman"/>
          <w:color w:val="000000" w:themeColor="text1"/>
          <w:sz w:val="16"/>
          <w:szCs w:val="16"/>
        </w:rPr>
      </w:pPr>
    </w:p>
    <w:p w14:paraId="6065EF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ноября 1943 года вышел приказ № 404, 29 сентября 1943 года вышел приказ № 321 и 29 февраля 1944 года вышел приказ № 102 во исполнение Постановление СНК № 941 от 1 сентября 1943 года согласно которым проектировался Часовой завод № 5 в Сердобске Пензенской области </w:t>
      </w:r>
    </w:p>
    <w:p w14:paraId="41A0BC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Первоначальное назначение завода – выпуск миниатюрных будильников типа Юнгана и настольных часов.</w:t>
      </w:r>
    </w:p>
    <w:p w14:paraId="4E6439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приказом НКВМ № 102 от 29 февраля 1944 года проектирование было приостановлено.</w:t>
      </w:r>
    </w:p>
    <w:p w14:paraId="76075C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Здания и сооружения под часовой завод, приспособленные для пуска первой очереди из зданий, в которых размещались НКВД, НКГБ и Райвоенкомат Сердобска. К организации завода на месте приступили в январе 1944 года (10425).</w:t>
      </w:r>
    </w:p>
    <w:p w14:paraId="13634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216B2D"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71989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9FDE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eastAsia="TimesNewRoman" w:hAnsi="Times New Roman"/>
          <w:color w:val="000000" w:themeColor="text1"/>
          <w:sz w:val="16"/>
          <w:szCs w:val="16"/>
        </w:rPr>
        <w:t>7 ноября 1943 на следующий день после освобождения для проведения восстановительных работ на Киевском авиазаводе в Киев приехала специальная группа ЦК КП Украины под руководством Ф. А. Федотова.</w:t>
      </w:r>
    </w:p>
    <w:p w14:paraId="051E9057"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Следом прибыли направленные наркоматом специалисты и организаторы производства. Завод сразу же начал пополняться рабочими. Большинство из них вернулось из эвакуации, другие приходили в цехи из госпиталей, третьи шли из партизанских лесов, четвертые, в основном, женщины и старики, шли из деревень, где переживали военное лихолетье. Отдельные рабочие пережили тяжелое время в городе [5, с. 129].</w:t>
      </w:r>
    </w:p>
    <w:p w14:paraId="00941208"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До конца войны завод главным образом собирал из присланных с других предприятий частей истребители Як-9 и Як-3, испытывал их и отправлял на фронт. Из-за отсутствия помещений часть ремонтных и все малярные работы велись непосредственно на Жулянском аэродроме. Завод посылал бригады рабочих для ремонта поврежденных самолетов и производил его своими силами непосредственно в воинских частях. Для этого был специально сформирован отдел полевого ремонта.</w:t>
      </w:r>
    </w:p>
    <w:p w14:paraId="4B8467C4"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Основной территорией завода стала в это время площадка бывшей фабрики клавишных музыкальных инструментов, где до войны успели соорудить только один корпус, заложить фундамент для нескольких зданий и построить бараки для жилья. Единственный уцелевший заводской корпус не имел ни отопления, ни воды, ни канализации [Там же, с. 130-131].</w:t>
      </w:r>
    </w:p>
    <w:p w14:paraId="318DA026"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За год после освобождения на заводе было восстановлено 22 тыс. кв. м. производственной площади со всем энергетическим оборудованием, всего десять цехов. Некоторые цехи оснащались необходимыми лабораториями. Например, в начале 1945 г. при литейном цехе были созданы мастерские: литейная, монтажная, приспособлений и инвентаря, а также ширпотреба. Через некоторое время в строй вступили ацетиленовая и кислородная станции [Там же, с. 131].</w:t>
      </w:r>
    </w:p>
    <w:p w14:paraId="21459DDC"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Вопрос подготовки кадров стоял настолько серьезно, что в 1944 г. был создан специальный отдел для организации обучения молодежи авиастроительным специальностям. В стахановских школах в 1944 году прошли обучение свыше ста человек. В 1945 г. администрация завода открыла на предприятии школу фабричнозаводского обучения. В первый учебный год в школе обучалось около трехсот учеников [Там же, с. 133].</w:t>
      </w:r>
    </w:p>
    <w:p w14:paraId="06C5C26A"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конце 1940-х и начале 1950-х годов на территории предприятия были построены корпуса цехов: дюралезаготовительного, цеха покрытий, сборочного. В кратчайшие сроки была организована металлургическая служба. К концу 1946 г. было организовано бюро стандартизации и нормализации, заработала тигельная электропечь для плавки алюминия. В связи с сокращением подачи электроэнергии, в 1946 г. на заводе начали использовать дизель-генератор и создали собственную блок-станцию. Выполнялась работа по подводке транспортных коммуникаций на предприятие, на выполнение которых государство ассигновало свыше 7 млн руб. Тогда же был проложен на завод железнодорожный путь, а также водопровод и теплотоннели.</w:t>
      </w:r>
    </w:p>
    <w:p w14:paraId="6BC0068A"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Вскоре был сдан в эксплуатацию временный корпус заводоуправления, построена внешняя ограда для всей территории завода, заложены фундаменты нескольких зданий новых цехов. В те дни определилось место завода в семье авиационных предприятий страны: он взялся за одну из самых нужных задач – строительство геликоптеров (вертолетов) для Гражданского Воздушного Флота. В 1945-1946 гг. коллектив завода работал над изготовлением опытных образцов геликоптера конструкции И. П. Братухина [Там же, с. 140-142].</w:t>
      </w:r>
    </w:p>
    <w:p w14:paraId="40C7D884"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1947 г. было запланировано освоение нового геликоптера Ми-1 конструкции М. Л. Миля [Там же, с. 143].</w:t>
      </w:r>
    </w:p>
    <w:p w14:paraId="4DCA0782"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 xml:space="preserve">В годы четвертой пятилетки, наряду с изготовлением геликоптеров, завод по-прежнему ремонтировал самолеты разных типов и выполнял заказы хозяйственного характера: изготовлял запасные части к тракторам и машинам, формы для производства сухой штукатурки, снабжал предприятия молочной промышленности, а также </w:t>
      </w:r>
      <w:r w:rsidRPr="00271E51">
        <w:rPr>
          <w:rFonts w:ascii="Times New Roman" w:eastAsia="TimesNewRoman" w:hAnsi="Times New Roman"/>
          <w:color w:val="000000" w:themeColor="text1"/>
          <w:sz w:val="16"/>
          <w:szCs w:val="16"/>
        </w:rPr>
        <w:lastRenderedPageBreak/>
        <w:t>колхозы и совхозы алюминиевой посудой и приборами. Кроме того, приходилось выполнять и другие работы: восстанавливать трамвайные вагоны, изготовлять газовую аппаратуру для газопровода Дашава Киев, делать всевозможные хозяйственные металлические товары.</w:t>
      </w:r>
    </w:p>
    <w:p w14:paraId="5A8EF1F9"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r w:rsidRPr="00271E51">
        <w:rPr>
          <w:rFonts w:ascii="Times New Roman" w:eastAsia="TimesNewRoman" w:hAnsi="Times New Roman"/>
          <w:color w:val="000000" w:themeColor="text1"/>
          <w:sz w:val="16"/>
          <w:szCs w:val="16"/>
        </w:rPr>
        <w:t>В 1948 году завод приступил к изготовлению нового самолета Ан-2 [Там же, с. 144-145]. Для этого пришлось фактически реконструировать почти весь завод. Появились новые цехи и службы, без которых было невозможно серийно изготовлять самолеты подобной конструкции: плазово-шаблонный, кузнечный, агрегатные, сборочный и малярный, а также литейная мастерская [Там же, с. 145]. В 1954-1956 гг., наряду с возраставшим выпуском Ан-2, завод изготовлял опытные образцы турбовинтового транспортного самолета Ан-8, затем принимало участие в создании узлов и агрегатов к самолетам Ан-10 и Ан-14 («Пчелка») [Там же, с. 148] (12696).</w:t>
      </w:r>
    </w:p>
    <w:p w14:paraId="38E5BEF1" w14:textId="77777777" w:rsidR="00473181" w:rsidRPr="00271E51" w:rsidRDefault="00473181" w:rsidP="00271E51">
      <w:pPr>
        <w:spacing w:after="0" w:line="240" w:lineRule="auto"/>
        <w:jc w:val="both"/>
        <w:rPr>
          <w:rFonts w:ascii="Times New Roman" w:eastAsia="TimesNewRoman" w:hAnsi="Times New Roman"/>
          <w:color w:val="000000" w:themeColor="text1"/>
          <w:sz w:val="16"/>
          <w:szCs w:val="16"/>
        </w:rPr>
      </w:pPr>
    </w:p>
    <w:p w14:paraId="60DAE3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Распоряжение ГКО № 4514. О направлении 1,5 тыс. освобождаемых из заключения на комбинат "Апатит" НКХП.РГАНИР, Фонд ГКО, д. 172, лл. 191 (11012).</w:t>
      </w:r>
    </w:p>
    <w:p w14:paraId="4846C4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924C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Распоряжение ГКО № 4521 [О выделении автомашин и запасных частей к ним для восстанавливаемых предприятий черной металлургии Донбасса.] (7155, 1-3).</w:t>
      </w:r>
    </w:p>
    <w:p w14:paraId="5434576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91E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4522 О мерах помощи по восстановлению и пуску в эксплуатацию предприятий сахарной промышленности в районах левобережья Украины.РГАНИР, Фонд ГКО, д. 173, лл. 4-12, 13-29 (11012).</w:t>
      </w:r>
    </w:p>
    <w:p w14:paraId="33F03E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790E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4523 О производстве специальных электродвигателей для радиолокационных установок. (7155, 30-33,34-42).</w:t>
      </w:r>
    </w:p>
    <w:p w14:paraId="2B9D9A7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3BD72B"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г. вышло Постановление ГКО за № 4523 «О производстве специальных электродвигателей для радиолокационных установок» и за № 4524 «О производстве на заводе № 465 Наркомэлектропрома станций орудийной наводки и установок для наведения на цель бомбардировочной авиации» (15736).</w:t>
      </w:r>
    </w:p>
    <w:p w14:paraId="0ABA63D7" w14:textId="77777777" w:rsidR="00905C53" w:rsidRPr="00271E51" w:rsidRDefault="00905C53" w:rsidP="00271E51">
      <w:pPr>
        <w:spacing w:after="0" w:line="240" w:lineRule="auto"/>
        <w:jc w:val="both"/>
        <w:rPr>
          <w:rFonts w:ascii="Times New Roman" w:hAnsi="Times New Roman"/>
          <w:color w:val="000000" w:themeColor="text1"/>
          <w:sz w:val="16"/>
          <w:szCs w:val="16"/>
        </w:rPr>
      </w:pPr>
    </w:p>
    <w:p w14:paraId="2B94F31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4524 О производстве на заводе № 465 Наркомэлектропрома станций орудийной наводки и установок для наведения на цель бомбардировочной авиации. (7155, 43-46,47-60).</w:t>
      </w:r>
    </w:p>
    <w:p w14:paraId="0C3DA35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B074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г. вышло постановление ГКО № 4524 о производстве на заводе (Завод № 465 НКЭП, НКВ /г. Москва Ленинградский пр., 80; ул. Верейская, 41/) станций орудийной наводки и установок наведения бомбардировочной авиации. 6.08.1944 г. вышло постановление ГКО № 6328 об обеспечении строительства завода. В 1945 г. КБ завода преобразовано в ЦКБ-20. В соответствии с пост. СНК от 29.09.1945 г.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137DFD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Затем на его месте образовано СБ-1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 а завод вместе с НИИ-20 переведен в Кунцево.</w:t>
      </w:r>
    </w:p>
    <w:p w14:paraId="636452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РЛС разработки НИИ-20.</w:t>
      </w:r>
      <w:r w:rsidRPr="00271E51">
        <w:rPr>
          <w:rFonts w:ascii="Times New Roman" w:hAnsi="Times New Roman"/>
          <w:color w:val="000000" w:themeColor="text1"/>
          <w:sz w:val="16"/>
          <w:szCs w:val="16"/>
          <w:vertAlign w:val="superscript"/>
        </w:rPr>
        <w:t>60</w:t>
      </w:r>
    </w:p>
    <w:p w14:paraId="1ABEA4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(1942 г.)- М.Л. Слиозберг, (1942-45 г.)- А.А. Форштер.</w:t>
      </w:r>
    </w:p>
    <w:p w14:paraId="1EB45A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И.О. гл. инженера (1942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Кугушев.</w:t>
      </w:r>
    </w:p>
    <w:p w14:paraId="080B59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(-1945 г.)- С.П. Рабинович (СОН-2).</w:t>
      </w:r>
    </w:p>
    <w:p w14:paraId="367D77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ОТК (-1945 г.)- В.В. Вюнш; (1942 г.-)- С.П. Рабинович.</w:t>
      </w:r>
    </w:p>
    <w:p w14:paraId="066428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(1942-44 г.)- Е.Н. Майзельс, (1942 г.-)- С.П. Рабинович.</w:t>
      </w:r>
    </w:p>
    <w:p w14:paraId="4B6026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объекта- В.В. Вюнш.</w:t>
      </w:r>
    </w:p>
    <w:p w14:paraId="42AA33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РЛС: СОН-2, «Нептун», «Плутон», СОН-4, «Арсом-1», «Восход», «Март», «Снайпер», «Визир», «Тантал».</w:t>
      </w:r>
      <w:r w:rsidRPr="00271E51">
        <w:rPr>
          <w:rFonts w:ascii="Times New Roman" w:hAnsi="Times New Roman"/>
          <w:color w:val="000000" w:themeColor="text1"/>
          <w:sz w:val="16"/>
          <w:szCs w:val="16"/>
          <w:vertAlign w:val="superscript"/>
        </w:rPr>
        <w:t>101</w:t>
      </w:r>
    </w:p>
    <w:p w14:paraId="168DA7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завода № 465 НКЭП /г. Москва/</w:t>
      </w:r>
    </w:p>
    <w:p w14:paraId="534C90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3B4E89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(1942 г.-)- А.Я. Брейтбарт (СОН-2).</w:t>
      </w:r>
    </w:p>
    <w:p w14:paraId="4F06B1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(1942 г.-)- С.П. Рабинович (СОН-2) (11982).</w:t>
      </w:r>
    </w:p>
    <w:p w14:paraId="4EDD5B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1A96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4525 О подготовке полей добычи торфа по предприятиям Наркомэлектростанций к торфяному сезону 1944 года. (7155, 61-64,65-71).</w:t>
      </w:r>
    </w:p>
    <w:p w14:paraId="63CD568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7E09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4526 О неотложных мерах по обеспечению дровами Омутнинского металлургического завода Наркомчермета.РГАНИР, Фонд ГКО, д. 173, лл. 72-74, 75-76 (11012).</w:t>
      </w:r>
    </w:p>
    <w:p w14:paraId="19331F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DDA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вышло Постановление ГКО № 4527 О материально-техническом снабжении предприятий целлюлозной и бумажной промышленности в IV квартале 1943 года.РГАНИР, Фонд ГКО, д. 173, лл. 77-82, 83-95 (11012).</w:t>
      </w:r>
    </w:p>
    <w:p w14:paraId="34ECA7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CBFF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0BD87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07F82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36C909BA"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продолжая развивать наступление, овладели городом и крупным железнодорожным узлом Фастов, а также заняли более 70 других населённых пунктов, в том числе крупные населённые пункты Владимировка, Млынок, Катюжанка, Абрамовка, Фелициаловка, Бабинцы, Микуличи, Дачи, Клавдиево, Дуброваленина, Козинцы, Хмельная, Колонщина, Гавронщина, Маковище, Петрушки, Белгородка, Бобрица, Княжичи, Жорновка, Кожуховка, Плесецкое, Казенная, Мотовиловка, Рословичи, Гвоздов, Малая и Большая Бугаевка, Малые и Большие Дмитровичи, Безрадичи и железнодорожные станции Ворзель, Немешаево, Клавдиево, Глеваха, Васильков 1-й, Мотовиловка.</w:t>
      </w:r>
    </w:p>
    <w:p w14:paraId="5986F8B7"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по расширению плацдарма, в ходе которых улучшили свои позиции.</w:t>
      </w:r>
    </w:p>
    <w:p w14:paraId="2A005DA6"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города Невель наши войска продолжали вести бои местного значения, в ходе которых заняли несколько населённых пунктов и среди них Дербиха, Лешни, Прудок, Артёмовка, Дворище, Рюм.</w:t>
      </w:r>
    </w:p>
    <w:p w14:paraId="6B15629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 перестрелка.</w:t>
      </w:r>
    </w:p>
    <w:p w14:paraId="2E756C3E"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ноября наши войска на всех фронтах подбили и уничтожили 219 немецких танков. В воздушных боях и огнем зенитной артиллерии сбито 74 самолёта противника.</w:t>
      </w:r>
    </w:p>
    <w:p w14:paraId="69C65160"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успешное наступление. Наши танкисты, стремительно продвигаясь вперёд, ворвались в город Фастов и сегодня полностью овладели этим важнейшим железнодорожным узлом и опорным пунктом противника. Заняв Фастов, наши войска перерезали основную железную дорогу,связывавшую Киевскую группировку немецких войск с Криворожской группировкой немцев. Захвачены железнодорожные эшелоны с грузами, крупные склады свооружением, боеприпасами и военным имуществом, много орудий, миномётов и пулемётов. На других участках наши войска, успешно продвигаясь вперёд, заняли более 70 населённых пунктов. Противник понёс огромные потери в живой силе.Уничтожено и повреждено много немецких танков, орудий и другой военной техники.Взято большое число пленных. Части Н-ского соединения захватили железнодорожный эшелон с бензином, склад с горючим, 19 самоходных и 70 полевых орудий, 400 автомашин и повозок с грузами и другие трофеи. На одном из аэродромов уничтожено 10 немецких самолётов, не успевших подняться в воздух. Бойцы Н-ской части, очистив от противника несколько населённых пунктов, захватили 10 самоходных и 25 полевых орудий, большое число автомашин и склады с продовольствием. В районе Плесецкой советские бойцы захватили всю материальную часть 175 немецкого артиллерийского полка.</w:t>
      </w:r>
    </w:p>
    <w:p w14:paraId="782CBB52"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плацдарма и улучшили свои позиции. Неоднократные контратаки немцев были отбиты с большими для них потерями. Только на одном участке северо-восточнее горожа Керчь за день боёв уничтожено свыше 1000 гитлеровцев. Советские бойцы захватили 16 орудий, 3 склада боеприпасов и несколько радиостанций. Южнее города Керчь наши подразделения вели разведку и огневой бой с противником.</w:t>
      </w:r>
    </w:p>
    <w:p w14:paraId="671B24C2"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Западнее и юго-западнее Невеля части Н-ского соединения продолжали продвигаться вперёд и заняли несколько населённых пунктов. Противник оказывает упорное сопротивление, но под ударами советских войск теряет одну позицию за другой. На одном участке батальон вражеской пехоты, поддержанный 20 танками, </w:t>
      </w:r>
      <w:r w:rsidRPr="00271E51">
        <w:rPr>
          <w:rFonts w:ascii="Times New Roman" w:hAnsi="Times New Roman"/>
          <w:color w:val="000000" w:themeColor="text1"/>
          <w:sz w:val="16"/>
          <w:szCs w:val="16"/>
        </w:rPr>
        <w:lastRenderedPageBreak/>
        <w:t>контратаковал подразделения Н-ской части. Советские бойцы подбили 8 немецких танков, истребили до 400 гитлеровцев и, продвигаясь вперёд, овладели вражеским опорным пунктом. Захвачены пленные и трофеи.</w:t>
      </w:r>
    </w:p>
    <w:p w14:paraId="175E1CF1"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отряда ленинградских партизан совершили налёт на железнодорожную станцию. Истребив немецкий гарнизон, партизаны сожгли станционные сооружения, военны есклады противника, уничтожили сигнализацию и связь. Одновременно группа партизан проникла в населённый пункт, расположенный в двух километрах от станции. Советские патриоты разгромили немецкий гарнизон и захватили трофеи.</w:t>
      </w:r>
    </w:p>
    <w:p w14:paraId="108903B3"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Трудящиеся Советского Союза с огромным вниманием слушали передававшийся по радио доклад Председателя Государственного Комитета Обороны товарища И.В.Сталина на торжественном заседании Московского Совета депутатов трудящихся с партийными и общественными организациями города Москвы 6 ноября 1943 года. Мудрая речь вождя, сталинский анализ событий истекшего года, года коренного перелома в ходе войны, вызвали в тылу и на фронте новый величайший патриотический подъём. На многих предприятиях и в колхозах состоялись митинги. Рабочие, колхозники и советская интеллигенция горячо приветствуют Верховного Главнокомандующего товарища Сталина и героическую Красную Армию.</w:t>
      </w:r>
    </w:p>
    <w:p w14:paraId="735F9BB4"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митинге рабочих мартеновского цеха Московского завода «Серп и Молот» взволнованную речь произнёс тов. Харитонский.</w:t>
      </w:r>
    </w:p>
    <w:p w14:paraId="35E532A4"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«Сегодня, — заявил он, — мы услышали родной голос товарища Сталина, возвестившего, что победа над заклятым врагом уже близка. Величайшую радость вселяют эти слова в сердца советских людей. Вместе с тем товарищ Сталин ещё раз напомнил нам, что победа не даётся без борьбы и напряжения, а берётся с боя. В наших рядах не должно быть места благодушию и самоуспокоенности. Мы должны сделать, и сделаем всё, что необходимо для ускорения победы над немецко-фашистскими захватчиками». Сталевар Шеланков сказал: «В докладе товарища Сталина советские люди почерпнут новые силы для достижения ещё более выдающихся подвигов на фронте и в тылу. Мы, рабочие, на третьем году войны во имя победы будем работать ещё лучше и производительнее, чем раньше».</w:t>
      </w:r>
    </w:p>
    <w:p w14:paraId="34D486E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цехах Горьковского автозавода имени Молотова рабочие коллективно слушали доклад товарища Сталина. На митинге в цехе № 1 выступил стахановец тов. Григорьев. Он заявил: «Товарищ Сталин в своём докладе подчеркнул самоотверженную работу тыла и заслуги нашего рабочего класса. Эта высокая оценка вдохновляет нас на новые подвиги во славу Родины. Мы, рабочие автозавода, приложим все свои силыи способности, чтобы ускорить желанный час полной победы над немецкими варварами». Многие рабочие литейного, инструментального, штамповочного и других цехов взяли на себя обязательство перевыполнить производственные задания.</w:t>
      </w:r>
    </w:p>
    <w:p w14:paraId="584951FE"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Стахановец передового в Узбекистане Андижанского нефтепромысла имени Орджоникидзе тов. Ага Нейматулла заявил: «Мы счастливы рапортовать Родине, что к сегодняшнему дню наш коллектив дал уже 6 тысяч тонн горючего сверх годового плана. До конца года мы дадим фронту и стране ещё много тонн сверхплановой нефти» (14823).</w:t>
      </w:r>
    </w:p>
    <w:p w14:paraId="0FDB6EF1" w14:textId="77777777" w:rsidR="00905C53" w:rsidRPr="00271E51" w:rsidRDefault="00905C53" w:rsidP="00271E51">
      <w:pPr>
        <w:spacing w:after="0" w:line="240" w:lineRule="auto"/>
        <w:jc w:val="both"/>
        <w:rPr>
          <w:rFonts w:ascii="Times New Roman" w:hAnsi="Times New Roman"/>
          <w:color w:val="000000" w:themeColor="text1"/>
          <w:sz w:val="16"/>
          <w:szCs w:val="16"/>
        </w:rPr>
      </w:pPr>
    </w:p>
    <w:p w14:paraId="703BD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10, 11, 18 и 22 ноября 1943 предпринима</w:t>
      </w:r>
      <w:r w:rsidRPr="00271E51">
        <w:rPr>
          <w:rFonts w:ascii="Times New Roman" w:hAnsi="Times New Roman"/>
          <w:color w:val="000000" w:themeColor="text1"/>
          <w:sz w:val="16"/>
          <w:szCs w:val="16"/>
        </w:rPr>
        <w:softHyphen/>
        <w:t>лись попытки прорыва бло</w:t>
      </w:r>
      <w:r w:rsidRPr="00271E51">
        <w:rPr>
          <w:rFonts w:ascii="Times New Roman" w:hAnsi="Times New Roman"/>
          <w:color w:val="000000" w:themeColor="text1"/>
          <w:sz w:val="16"/>
          <w:szCs w:val="16"/>
        </w:rPr>
        <w:softHyphen/>
        <w:t>кады Эльтигена морем, но в целом безуспешно. В проливе завязывались ожесточенные морские бои, которые только подтверждали превосходство немецких БДБ в вооружении над совет</w:t>
      </w:r>
      <w:r w:rsidRPr="00271E51">
        <w:rPr>
          <w:rFonts w:ascii="Times New Roman" w:hAnsi="Times New Roman"/>
          <w:color w:val="000000" w:themeColor="text1"/>
          <w:sz w:val="16"/>
          <w:szCs w:val="16"/>
        </w:rPr>
        <w:softHyphen/>
        <w:t>скими катерами и приносили очеред</w:t>
      </w:r>
      <w:r w:rsidRPr="00271E51">
        <w:rPr>
          <w:rFonts w:ascii="Times New Roman" w:hAnsi="Times New Roman"/>
          <w:color w:val="000000" w:themeColor="text1"/>
          <w:sz w:val="16"/>
          <w:szCs w:val="16"/>
        </w:rPr>
        <w:softHyphen/>
        <w:t>ные потери (6467).</w:t>
      </w:r>
    </w:p>
    <w:p w14:paraId="4376E4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737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И.В.С. рассматривая статут Ордена Славы обратил внимание, что авиации касалось только несколько пунктов и дополнил его (3020,118).</w:t>
      </w:r>
    </w:p>
    <w:p w14:paraId="38617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86CFF"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42A1B66"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69EAB3"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Писатель Илья Эренбург вспоминал: "Нарком иностранных дел устроил в особняке на Спиридоновке пышный прием; собрались члены правительства, дипломатический корпус генералы, писатели, актеры, журналисты - словом, все те, кого парикмахер Клуба писателей называл "тузами и шишками". Оглядев зал, ПЛ. Кончаловский шепнул мне: "Напоминает холст Эдуарда Мане"... Советские дипломаты были одеты в только что придуманные мундиры. Военные атташе различных посольств сверкали золотом. Груди генералов изнемогали от орденов. Гарро неистово размахивал фалдами фрака и, выпив несколько бокалов шампанского, стал рассказывать об интригах англичан в Алжире: "К счастью мне удалось сразу повидать Молотова. Мы умеем отличать подлинных друзей от фальшивых..." Английский посол Керр, забыв о присущей ему чопорности, со всеми чокался "за победу", пил водку и вскоре стал походить скорее на советского писателя, чем на британского дипломата. С. А. Лозовский2 обнимал генерала Пети... А. Н. Толстой явился во фраке и по-барски благодушно дразнил одного из американских дипломатов: "Конечно, Италия красивая страна, но ведь и Париж стоит мессы". И. С. Козловский сидел на полу и пел старинные романсы. Маргарита Алигер, испуганно поглядывая на посланника Эфиопии, блиставшего позументами, сказала: "Илья Григорьевич, а вы помните сорок первый".." Американский журналист Шапиро говорил: "Впервые за восемь лет я чувствую себя в Москве хорошо. Вот что значит союз!..." Положение казалось обнадеживаю щим. Во время приема грохотали пушки: освобожден Киев. Союзники были удовлетворены своими операциями в Италии. В конце октября закончилось Московское совещание министров иностранных дел Советского Союза, Соединенных Штатов и Англии" (18693).</w:t>
      </w:r>
    </w:p>
    <w:p w14:paraId="505DBC47"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370CD52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25AC9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F52A3B"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7 ноября</w:t>
      </w:r>
      <w:r w:rsidRPr="00271E51">
        <w:rPr>
          <w:rFonts w:ascii="Times New Roman" w:hAnsi="Times New Roman"/>
          <w:color w:val="000000" w:themeColor="text1"/>
          <w:sz w:val="16"/>
          <w:szCs w:val="16"/>
        </w:rPr>
        <w:t xml:space="preserve"> в 1943 году после полной неудачи расформирована последняя группа немецких подводных лодок в Северной Атлантике, в результате - создание временных одиночных групп (14823).</w:t>
      </w:r>
    </w:p>
    <w:p w14:paraId="2B61FAFF" w14:textId="77777777" w:rsidR="00905C53" w:rsidRPr="00271E51" w:rsidRDefault="00905C53" w:rsidP="00271E51">
      <w:pPr>
        <w:spacing w:after="0" w:line="240" w:lineRule="auto"/>
        <w:jc w:val="both"/>
        <w:rPr>
          <w:rFonts w:ascii="Times New Roman" w:hAnsi="Times New Roman"/>
          <w:color w:val="000000" w:themeColor="text1"/>
          <w:sz w:val="16"/>
          <w:szCs w:val="16"/>
        </w:rPr>
      </w:pPr>
    </w:p>
    <w:p w14:paraId="68E6BF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ноября 1943 в Бугенвилле высадилось японское подкрепление (2262).</w:t>
      </w:r>
    </w:p>
    <w:p w14:paraId="775B2F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3572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2743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07DB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ноября 1943 г. нарком боеприпасов Б.Л.Ванников и Уполномоченный ГКО Г.Ивановский обратились к заместителю председателя СНК Л.П.Берии по вопросу о восстановлении заводов НКБ в освобожденных от оккупации районах Юга. В записке констатировалось, что «в ныне освобожденных от немецкий оккупации южных районах СССР находятся 12 предприятий промышленности НКБ, в том числе: 3 завода по производству корпусов снарядов (№ 81, 110, 79), 2 пороховых завода (№ 101 и 59), 2 снаряжательных завода (№ 55 и 107), 1 завод по производству авиавыстрела (№ 359), артполигон. До эвакуации перечисленные заводы являлись крупнейшими предприятиями промышленности боеприпасов, производственные корпуса этих заводов в настоящее время сохранились в значительной степени и на ряде заводов осталось некоторое оборудование».</w:t>
      </w:r>
    </w:p>
    <w:p w14:paraId="3812F17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докладывал Б.Ванников, НКБ получил решение ГКО о восстановлении этих заводов и приступил к его реализации: «на сегодня уже на этих заводах работает около 10 тыс. рабочих. За счет мобилизации внутренних ресурсов наркоматом боеприпасов направлено на восстанавливаемые заводы некоторые количество производственного и энергетического оборудования,.. однако удовлетворить полностью нужды восстанавливаемых заводов НКБ не может из-за отсутствия ресурсов». Вместе с тем, авторы записки подчеркивали, что «восстановление этих заводов значительно увеличит производство и поставку Красной Армии таких калибров, как 122 мм, 152 мм» и просили Берию «войти с ходатайством в ГОКО о принятии специального решения по восстановлению заводов боеприпасов, расположенных в освобождаемых районах Юга» (резолюция на документе гласила: «Справка. Проект проработан. Просмотрен и послан на утверждение ГОКО 13/XII. 28/XII) (12291).</w:t>
      </w:r>
    </w:p>
    <w:p w14:paraId="49C5B62C"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0EA975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2BBD6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C9D9B"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8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13D73701"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ноября войска 1-го Украинского фронта, продолжая развивать успешное наступление, овладели районными центрами Киевской области Макаров, Бышев, Обухов, а также заняли более 60 других населённых пунктов, среди которых крупные населённые пункты Горнастайполь, Любыдва, Воропаевка, Феневичи, Оцитель,Шибеное, Берестянка, Филипповичи, Новая Гребля, Андреевка, Липовка, Копылов,Мотыжин, Юров, Фасовая, Ясногородка, Мостище, Черногородка, Дрогинцы, Фастовец, Марьяновка 1-я и 2-я, Ксаверовка, Кодаки, Барахты, Большая и Малая Вильшанка, Трипилля и железнодорожные станции Трилесы, Кожанка.</w:t>
      </w:r>
    </w:p>
    <w:p w14:paraId="4265D6F0"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отбивая контратаки противника, продолжали вести бои по расширению плацдармов в прежних районах.</w:t>
      </w:r>
    </w:p>
    <w:p w14:paraId="57F38A28"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юго-западнее города Невель наши войска продолжали вестибои местного значения, в ходе которых улучшили свои позиции.</w:t>
      </w:r>
    </w:p>
    <w:p w14:paraId="3507F99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E00217B"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ноября наши войска на всех фронтах подбили и уничтожили 24 немецких танка. В воздушных боях и огнём зенитной артиллерии сбито 15 самолётов противника.</w:t>
      </w:r>
    </w:p>
    <w:p w14:paraId="3611218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немцев и наши трофеи под Киевом</w:t>
      </w:r>
    </w:p>
    <w:p w14:paraId="4A41356D"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Войска 1-го Украинского фронта в боях за Киев с 3 по 6 ноября разбили: 68,75, 82, 88, 183, 217, 323, 327 и 340 пехотные дивизии противника, 7 и 8 танковые дивизии и 20 мотодивизию, а всего разбито в боях за Киев 9 пехотных, 2 танковыхи одна мотодивизия немцев. Противник оставил на поле боя до 15.000 трупов своих солдат и офицеров.</w:t>
      </w:r>
    </w:p>
    <w:p w14:paraId="42AB8591"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 же время нашими войсками уничтожено: танков — 244, самолётов — 126, артиллерийских орудий — 174, из них 48 самоходных, миномётов — 158, пулемётов —246, складов разных — 28.</w:t>
      </w:r>
    </w:p>
    <w:p w14:paraId="492FE5E4"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неполным данным, нашими войсками взяты следующие трофеи: самолётов — 30, танков — 42, артиллерийских орудий — 314, из них самоходных орудий — 70,миномётов — 140, из них 30 шестиствольных миномётов, пулемётов — 640, автомашин— 660, повозок с грузами — 700, лошадей — более 2.000, радиостанций — 18, складов с вооружением, боеприпасами и другим военным имуществом — 34.</w:t>
      </w:r>
    </w:p>
    <w:p w14:paraId="4D9329FA"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Взято в плен 6.200 немецких солдат и офицеров.</w:t>
      </w:r>
    </w:p>
    <w:p w14:paraId="21BE46F8"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успешное наступление. Части Н-ского соединения, преодолевая сопротивление противника, овладели рядом населённых пунктов. Уничтожено до 1.500 гитлеровцев, подбито и сожжено 8 немецких танков. Захвачено 14 орудий, из них 3 самоходных, 2 бронемашины, 5 бронетранспортёров, склад боеприпасов и склад с инженерным имуществом. Бойцы Н-ского соединения,стремительно продвигаясь вперёд вдоль шоссе Киев—Житомир, форсировали реку Здвижи овладели районным центром Киевской области Макаров. Заняты также районные центры Бышев, Обухов и другие населённые пункты. Противнику нанесён тяжёлый уронв живой силе и технике. На железнодорожном узле Фастов и на станции Васильков захвачены у немцев крупные армейские склады. На одном из аэродромов наши войска захватили 15 исправных немецких самолётов, склад горючего и склад авиабомб.</w:t>
      </w:r>
    </w:p>
    <w:p w14:paraId="1BB56832"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плацдарма и улучшили свои позиции. Северо-восточнее гор. Керчь полк немецкой пехоты, при поддержке 15 танков, четыре раза переходил в контратаки. Гвардейцы Н-ского соединения отбросили противника. В ходе боя уничтожено 6 танков и более 800 немецких солдат и офицеров. На других участках также отбиты все контратаки противника с большими для него потерями.</w:t>
      </w:r>
    </w:p>
    <w:p w14:paraId="196B0050"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Невеля наши войска продолжали вести бои местногозначения. Части Н-ского соединения, сломив сопротивление немцев, ворвались на окраины сильно укреплённого опорного пункта противника. На другом участке немцы, стремясь вернуть потерянные позиции, предприняли ожесточённую контратаку. В пятичасовом бою советские бойцы истребили 500 гитлеровцев и вынудили противника отступить. Захвачены трофеи и пленные.</w:t>
      </w:r>
    </w:p>
    <w:p w14:paraId="38F7AEBE"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Литовский партизанский отряд совершил внезапное нападение на колонну пехоты противника. В рукопашной схватке советские патриоты разгромили гитлеровцев и захватили много трофеев. Группа партизан этого же отряда взорвала в 49 местах железнодорожное полотно и пустила под откос 2 немецких воинских эшелона. Движение поездов на этом участке было прервано на несколько суток.</w:t>
      </w:r>
    </w:p>
    <w:p w14:paraId="10F772E9"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 товарища Сталина о 26-й годовщине Великой Октябрьской социалистическойреволюции вызвал в городах и сёлах нашей страны огромное воодушевление. Рабочие, колхозники, советская интеллигенция, бойцы и командиры Красной Армии, обсуждая доклад своего любимого вождя, единодушно заявляют, что они отдадут все свои силы на разрешение задач, поставленных товарищем Сталиным.</w:t>
      </w:r>
    </w:p>
    <w:p w14:paraId="00001DDB"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митинге коллектива станции Придача, Юго-Восточной железной дороги, общее мнение собравшихся выразил дорожный мастер стахановец тов. Карасёв: «Товарищ Сталин, — заявил он,—высоко оценил работу железнодорожного транспорта. Это обязывает нас трудиться с удвоенной энергией. В предоктябрьском социалистическом соревновании наш околодок занял первое место. Мы полностью восстановили разрушенное немцами железнодорожное хозяйство. И в дальнейшем мы будем выполнять производственное задание не менее чем на 200 процентов. Таков наш ответ товарищу Сталину».</w:t>
      </w:r>
    </w:p>
    <w:p w14:paraId="1F85F96E"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Инвалид отечественной войны, председатель колхоза «Красная Заря» станицы Пролетарской, Ростовской области, тов. Гребенников заявил: «Немецко-фашистские оккупанты дотла разорили наш колхоз. К 26-й годовщине Великой Октябрьской социалистической революции мы полностью восстановили коллективное хозяйство: построили новые конюшню и свинарник, заложили 250 тонн силоса, засеяли 500 гектаров озимых, выполнили план подъёма зяби. Казаки и казачки будут с удесятерённой силой работать для того, чтобы скорее разгромить ненавистного врага».</w:t>
      </w:r>
    </w:p>
    <w:p w14:paraId="71BEC481"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собрании колхозников сельхозартели «Канаш», Похвистневского района,Куйбышевской области, выступил председатель колхоза тов. Трофимов. «В этом году,— сказал он, — наши колхозники хорошо потрудились и вырастили богатый урожай. Мы досрочно рассчитались с государством по всем видам поставок и сдали дополнительно сверх плана 100 центнеров хлеба. Товарищ Сталин высоко оценил работу колхозников. Мы не пожалеем сил в борьбе за высокий урожай для того,чтобы бесперебойно снабжать Красную Армию и города продовольствием, а промышленность — сырьём».</w:t>
      </w:r>
    </w:p>
    <w:p w14:paraId="3E8584CC"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колхозе «Карачу», Свердловского района, Джамбулской области, знатный свекловод Казахстана тов. Толкумбай Туменбаев заявил: «Доклад товарища Сталина —это путеводная звезда, показывающая путь к победе. Радостно сознавать, что и мы, казахстанские колхозники, способствуем своей работой изгнанию врагов с советской земли. Наше звено вырастило в этом году 575 центнеров свёклы с гектара. Это значит, что Красная Армия получит сверх плана 1.890 пудов сахара. Мы даём словов будущем году добиться ещё более высокого урожая».</w:t>
      </w:r>
    </w:p>
    <w:p w14:paraId="23444A5F" w14:textId="77777777" w:rsidR="00905C53" w:rsidRPr="00271E51" w:rsidRDefault="00905C5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Колхозы Татарии ответили на доклад товарища Сталина организацией красных обозов с хлебом. Сельхозартель «Спартак», Арского района, досрочно выполнила план хлебосдачи и сдала сверх плана 125 центнеров зерна. Обсудив доклад товарища Сталина, колхозники решили продать государству ещё 50 центнеров зерна. Колхозники сельхозартели «Урнайш-Баш», того же района, отправили на ссыпной пункт красный обоз с зерном.» (14824).</w:t>
      </w:r>
    </w:p>
    <w:p w14:paraId="0DE5E433" w14:textId="77777777" w:rsidR="00905C53" w:rsidRPr="00271E51" w:rsidRDefault="00905C53" w:rsidP="00271E51">
      <w:pPr>
        <w:spacing w:after="0" w:line="240" w:lineRule="auto"/>
        <w:jc w:val="both"/>
        <w:rPr>
          <w:rFonts w:ascii="Times New Roman" w:hAnsi="Times New Roman"/>
          <w:color w:val="000000" w:themeColor="text1"/>
          <w:sz w:val="16"/>
          <w:szCs w:val="16"/>
        </w:rPr>
      </w:pPr>
    </w:p>
    <w:p w14:paraId="477029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ноября 1943 был учрежден Орден Славы и орден Победа (2990).</w:t>
      </w:r>
    </w:p>
    <w:p w14:paraId="34E7B8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AF1ED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ноября 1943 в СССР учреждены орден “Победа” и орден Славы (4962).</w:t>
      </w:r>
    </w:p>
    <w:p w14:paraId="313DF7E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5CAA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ноября 1943 г. вышелУКАЗ ПРЕЗИДИУМА ВЕРХОВНОГО СОВЕТА СССР ОБ УЧРЕЖДЕНИИ ОРДЕНА СЛАВЫ I, II и III СТЕПЕНИ</w:t>
      </w:r>
    </w:p>
    <w:p w14:paraId="4B057F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Президиум Верховного Совета Союза Советских Социалистических Республик постановляет:</w:t>
      </w:r>
    </w:p>
    <w:p w14:paraId="2CF89E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Учредить для награждения лиц рядового и сержантскрго состава Красной Армии, а в авиации и лиц, имеющих звание младшего лейтенанта, отличившихся в боях за Советскую Родину, орден Славы I, II и III степени.</w:t>
      </w:r>
    </w:p>
    <w:p w14:paraId="58E46D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Утвердить статут ордена Славы I, II и III степени.</w:t>
      </w:r>
    </w:p>
    <w:p w14:paraId="4E462C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Утвердить описание ордена Славы I, II и III степени.</w:t>
      </w:r>
    </w:p>
    <w:p w14:paraId="752F0F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Председатель Президиума Верховного Совета СССР М. КАЛИНИН</w:t>
      </w:r>
    </w:p>
    <w:p w14:paraId="296314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 xml:space="preserve">Секретарь Президиума Верховного Совета СССР </w:t>
      </w:r>
      <w:r w:rsidRPr="00271E51">
        <w:rPr>
          <w:rFonts w:ascii="Times New Roman" w:hAnsi="Times New Roman"/>
          <w:color w:val="000000" w:themeColor="text1"/>
          <w:sz w:val="16"/>
          <w:szCs w:val="16"/>
        </w:rPr>
        <w:t xml:space="preserve">А </w:t>
      </w:r>
      <w:r w:rsidRPr="00271E51">
        <w:rPr>
          <w:rFonts w:ascii="Times New Roman" w:hAnsi="Times New Roman"/>
          <w:iCs/>
          <w:color w:val="000000" w:themeColor="text1"/>
          <w:sz w:val="16"/>
          <w:szCs w:val="16"/>
        </w:rPr>
        <w:t>ГОРКИН</w:t>
      </w:r>
    </w:p>
    <w:p w14:paraId="5903A0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Москва, Кремль (9844).</w:t>
      </w:r>
    </w:p>
    <w:p w14:paraId="7B31B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СТАТУТ ОРДЕНА СЛАВЫ</w:t>
      </w:r>
    </w:p>
    <w:p w14:paraId="3C691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Орденом Славы награждаются лица рядового и сержантского состава Красной Армии, а в авиации и лица, имеющие звание младшего лейтенанта, проявившие в боях за Советскую Родину славные подвиги храбрости, мужества и бесстрашия.</w:t>
      </w:r>
    </w:p>
    <w:p w14:paraId="26A42A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Орден Славы состоит из трех степеней: Орден Славы I степени Орден Славы II степени Орден Славы III степени.</w:t>
      </w:r>
    </w:p>
    <w:p w14:paraId="02FF3F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Высшей степенью является I степень, награждение же производится последовательно: третьей степенью, второй степенью и первой степенью.</w:t>
      </w:r>
    </w:p>
    <w:p w14:paraId="1538AF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Орденом Славы награждаются за то, что:</w:t>
      </w:r>
    </w:p>
    <w:p w14:paraId="3ABBFF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ворвавшись первым в расположение противника, личной храбростью содействовал успеху общего дела;</w:t>
      </w:r>
    </w:p>
    <w:p w14:paraId="5951F1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находясь в загоревшемся танке, продолжал выполнять боевую задачу;</w:t>
      </w:r>
    </w:p>
    <w:p w14:paraId="37A32B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минуту опасности спас знамя своей части от захвата противником;</w:t>
      </w:r>
    </w:p>
    <w:p w14:paraId="09BF48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личного оружия меткой стрельбой уничтожил от 10 до 50 солдат и офицеров противника;</w:t>
      </w:r>
    </w:p>
    <w:p w14:paraId="0A47D2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бою огнем противотанкового ружья вывел из строя не менее двух танков противника;</w:t>
      </w:r>
    </w:p>
    <w:p w14:paraId="0072CD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уничтожил ручными гранатами на поле боя или в тылу противника от одного до трех танков;</w:t>
      </w:r>
    </w:p>
    <w:p w14:paraId="4F4ECC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уничтожил огнем артиллерии или пулемета не менее трех самолетов противника;</w:t>
      </w:r>
    </w:p>
    <w:p w14:paraId="1D0180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презирая опасность, первым ворвался в ДЗОТ (ДОТ, окоп или блиндаж) противника, решительными действиями уничтожил его гарнизон;</w:t>
      </w:r>
    </w:p>
    <w:p w14:paraId="5DAF10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личной разведки установил слабые места обороны противника и вывел наши войска в тыл противника;</w:t>
      </w:r>
    </w:p>
    <w:p w14:paraId="2018CA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захватил в плен вражеского офицера;</w:t>
      </w:r>
    </w:p>
    <w:p w14:paraId="72252A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ночью снял сторожевой пост (дозор, секрет) противника или захватил его;</w:t>
      </w:r>
    </w:p>
    <w:p w14:paraId="16E85C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с находчивостью и смелостью пробравшись к позиции противника, уничтожил его пулемет или миномет;</w:t>
      </w:r>
    </w:p>
    <w:p w14:paraId="6B2168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будучи в ночной вылазке, уничтожил склад противника с военным имуществом;</w:t>
      </w:r>
    </w:p>
    <w:p w14:paraId="7BB1B1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рискуя жизнью, спас в бою командира от угрожавшей ему непосредственной опасности;</w:t>
      </w:r>
    </w:p>
    <w:p w14:paraId="6AF0FA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пренебрегая личной опасностью, в бою захватил неприятельское знамя;</w:t>
      </w:r>
    </w:p>
    <w:p w14:paraId="39CB4C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будучи ранен, после перевязки снова вернулся в строй;</w:t>
      </w:r>
    </w:p>
    <w:p w14:paraId="474860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личного оружия сбил самолет противника;</w:t>
      </w:r>
    </w:p>
    <w:p w14:paraId="3EB009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уничтожив огнем артиллерии или миномета огневые средства противника, обеспечил успешные действия своего подразделения;</w:t>
      </w:r>
    </w:p>
    <w:p w14:paraId="025669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огнем противника проделал для наступающего подразделения проход в проволочных заграждениях противника;</w:t>
      </w:r>
    </w:p>
    <w:p w14:paraId="481EAE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рискуя жизнью, под огнем противника оказывал помощь раненым в течение ряда боев;</w:t>
      </w:r>
    </w:p>
    <w:p w14:paraId="5C214D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находясь в подбитом танке, продолжал из оружия танка выполнять боевую задачу;</w:t>
      </w:r>
    </w:p>
    <w:p w14:paraId="04A98F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стремительно врезавшись на своем танке в колонну противника, смял ее и продолжал выполнять боевое задание;</w:t>
      </w:r>
    </w:p>
    <w:p w14:paraId="77E60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своим танком смял одно или несколько орудий противника или уничтожил не менее двух пулеметных гнезд;</w:t>
      </w:r>
    </w:p>
    <w:p w14:paraId="4FF837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находясь в разведке, добыл ценные сведения о противнке;</w:t>
      </w:r>
    </w:p>
    <w:p w14:paraId="006703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летчик-истребитель уничтожил в воздушном бою от двух до четырех самолетов-истребителей противника или от трех до шести самолетов-бомбардировщиков;</w:t>
      </w:r>
    </w:p>
    <w:p w14:paraId="0B0655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летчик-штурмовик в результате штурмового налета уничтожил от двух до пяти танков противника или от трех до шести паровозов, или взорвал эшелон на железнодорожной станции или перегоне, или уничтожил на аэродроме противника не менее двух самолетов;</w:t>
      </w:r>
    </w:p>
    <w:p w14:paraId="0D0912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летчик-штурмовик в результате смелых инициативных действий уничтожил в воздушном бою один или два самолета противника;</w:t>
      </w:r>
    </w:p>
    <w:p w14:paraId="3005FC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дневного бомбардировщика уничтожил железнодорожный эшелон, взорвал мост, склад боеприпасов, горючего, уничтожил штаб какого-либо соединения противника, разрушил железнодорожную станцию или перегон, взорвал электростанцию, подорвал плотину, уничтожил военное судно, транспорт, катер, уничтожил на аэродроме противника не менее двух самолетов;</w:t>
      </w:r>
    </w:p>
    <w:p w14:paraId="70A5C4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легкого ночного бомбардировщика взорвал склад боеприпасов, горючего, уничтожил штаб противника, взорвал железнодорожный эшелон, подорвал мост;</w:t>
      </w:r>
    </w:p>
    <w:p w14:paraId="2260C4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дальнего ночного бомбардировщика разрушил железнодорожную станцию, взорвал склад боеприпасов, горючего, разрушил портовое сооружение, уничтожил морской транспорт или железнодорожный эшелон, разрушил или сжег важный завод или фабрику;</w:t>
      </w:r>
    </w:p>
    <w:p w14:paraId="756619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дневного бомбардировщика за смелое действие в воздушном бою, в результате чего было сбито от одного до двух самолетов;</w:t>
      </w:r>
    </w:p>
    <w:p w14:paraId="68F50E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разведчика за успешно выполненную разведку, в результате которой получены ценные данные о противнике.</w:t>
      </w:r>
    </w:p>
    <w:p w14:paraId="1C298F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Награждение орденом Славы I степени производится Президиумом Верховного Совета СССР.</w:t>
      </w:r>
    </w:p>
    <w:p w14:paraId="017E54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Награждение орденом Славы от имени Президиума Верховного Совета СССР предоставляется:</w:t>
      </w:r>
    </w:p>
    <w:p w14:paraId="668F13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орденом Славы II и III степени — командующим фронтами и армиями;</w:t>
      </w:r>
    </w:p>
    <w:p w14:paraId="19DE7D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орденом Славы III степени — командирам корпусов и дивизий (стрелковых, артиллерийских, минометных, авиационных, танковых и кавалерийских).</w:t>
      </w:r>
    </w:p>
    <w:p w14:paraId="07764E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Награжденным орденом Славы ежемесячно выплачивается: по ордену Славы III степени — 5 рублей в месяц; по ордену Славы II степени — 10 рублей в месяц; по ордену Славы I степени — 15 рублей в месяц.</w:t>
      </w:r>
    </w:p>
    <w:p w14:paraId="60BB80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Награжденные орденами Славы всех трех степеней, кроме льгот и преимуществ, установленных общим положением об орденах СССР, удостаиваются права:</w:t>
      </w:r>
    </w:p>
    <w:p w14:paraId="1432D6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присвоения воинского звания: рядовые, ефрейторы и сержанты — старшины; имеющие звания старшины — младшего лейтенанта; младшие лейтенанты в авиации — лейтенанта;</w:t>
      </w:r>
    </w:p>
    <w:p w14:paraId="7D62D8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увеличения пенсии при утрате ими трудоспособности против положенной пенсии на 50%;</w:t>
      </w:r>
    </w:p>
    <w:p w14:paraId="5416D5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бесплатного обучения детей в средних и высших учебных заведениях.</w:t>
      </w:r>
    </w:p>
    <w:p w14:paraId="0AF71C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Ордена Славы носятся на левой стороне груди по старшинству орденов справа налево. При наличии других орденов и медалей ордена Славы (или ленточки их, при повседневном ношении) располагаются левее других орденов, но правее медалей.</w:t>
      </w:r>
    </w:p>
    <w:p w14:paraId="451995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Описание ОРДЕНА СЛАВЫ I, II и IIIСТЕПЕНИ</w:t>
      </w:r>
    </w:p>
    <w:p w14:paraId="019200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Знак ордена Славы представляет собой пятиконечную звезду размером между противолежащими вершинами 46 мм. Поверхность лучей звезды слегка выпуклая.</w:t>
      </w:r>
    </w:p>
    <w:p w14:paraId="593A3D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лицевой стороне в средней части звезды — круг диаметром 23 мм с рельефным изображением Кремля со Спасской башней в центре. По кругу — лавровый венок. В нижней части круга выпуклая надпись “Слава” на красной эмалевой ленточке.</w:t>
      </w:r>
    </w:p>
    <w:p w14:paraId="2A502A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оборотной стороне ордена круг диаметром 19 мм с рельефной надписью в середине “СССР”.</w:t>
      </w:r>
    </w:p>
    <w:p w14:paraId="606C9B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краю звезды и круга на лицевой и оборотной стороне — выпуклые бортики.</w:t>
      </w:r>
    </w:p>
    <w:p w14:paraId="419015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Орден при помощи ушка и кольца соединяется с пятиугольной колодочкой, покрытой шелковой муаровой лентой шириной 24 мм. На ленте пять продольных, равных по ширине, чередующихся полосок: три черного и две оранжевого цвета. По краям лента имеет по одной узкой оранжевой полоске шириной 1 мм.</w:t>
      </w:r>
    </w:p>
    <w:p w14:paraId="4F8DE3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Знак ордена I степени изготовляется из золота. Знак ордена II степени изготвляется из серебра. Круг с изображением Кремля со Спасской башней позолочен. Знак ордена III степени — серебряный (9844).</w:t>
      </w:r>
    </w:p>
    <w:p w14:paraId="11596A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768F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503219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FEB5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ноября 1943 года</w:t>
      </w:r>
    </w:p>
    <w:p w14:paraId="429699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 И ЛИЧНО МАРШАЛУ СТАЛИНУ ОТ ПРЕЗИДЕНТА</w:t>
      </w:r>
    </w:p>
    <w:p w14:paraId="2683BB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Ваш Посол г-н Громыко соблаговолил передать мне Ваше послание от 5 ноября, и я благодарю Вас за него.</w:t>
      </w:r>
    </w:p>
    <w:p w14:paraId="26C37E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надеюсь через несколько дней выехать отсюда и прибыть в Каир к 22 ноября.</w:t>
      </w:r>
    </w:p>
    <w:p w14:paraId="34E2F1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 будете рады узнать, что я выработал метод, при помощи которого, в случае если я получу сообщение о том, что закон, требующий моего вето, прошел через Конгресс и направлен мне, я вылечу в Тунис, чтобы получить его там, а затем вернусь на конференцию.</w:t>
      </w:r>
    </w:p>
    <w:p w14:paraId="0153F2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поэтому решил отправиться в Тегеран, и это меня особенно радует.</w:t>
      </w:r>
    </w:p>
    <w:p w14:paraId="0C7FA3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я сообщал Вам, я придаю чрезвычайное значение тому, чтобы Вы, г-н Черчилль и я встретились. Даже если наша встреча продлится только два дня, нынешние настроения действительно этого требуют. Поэтому я думаю, что сопровождающие лица должны начать свою работу 22 ноября в Каире, и я надеюсь, что г-н Молотов и Ваш военный представитель прибудут в Каир к этому времени.</w:t>
      </w:r>
    </w:p>
    <w:p w14:paraId="17ACC9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все можем затем отправиться в Тегеран 26 ноября и встретиться с Вами там 27, 28, 29 или 30 и будем совещаться столько, сколько Вы сочтете возможным находиться в отъезде. Черчилль, я и главные сопровождающие лица могут затем вернуться в Каир для завершения работы.</w:t>
      </w:r>
    </w:p>
    <w:p w14:paraId="5ACAE2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 мир ожидает этой встречи нас троих, и тот факт, что Вы, Черчилль и я познакомимся друг с другом лично, будет иметь далеко идущие последствия для доброй воли в наших трех государствах, будет содействовать дальнейшему расстройству морального состояния нацистов, даже если мы не сделаем публичных заявлений, столь жизненно важных, как те, которые были опубликованы во время недавней весьма успешной встречи в Москве. Я с удовольствием ожидаю хорошей беседы с Вами.</w:t>
      </w:r>
    </w:p>
    <w:p w14:paraId="344DD1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РУЗВЕЛЬТ (7430).</w:t>
      </w:r>
    </w:p>
    <w:p w14:paraId="2865C2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F357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81401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83FC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 по 10 ноября 1943 число пусковых установок V-1 на берегах Ла-Манша выросло с 19 до 26, а потом в течение двух недель - до 95 (1608,21).</w:t>
      </w:r>
    </w:p>
    <w:p w14:paraId="3C7CDC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279D2"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ноября 1843 утренний удар 97 японских пикирующих бомбардировщиков и истребителей и нескольких бомбардировщиков-торпедоносцев повредил американский боевой транспорт у побережья Буганивиль. Вечерний удар 30-40 самолетов повредил легкий крейсер USS Birmingham (20376).</w:t>
      </w:r>
    </w:p>
    <w:p w14:paraId="64682EC6" w14:textId="77777777" w:rsidR="003F06D0" w:rsidRPr="00271E51" w:rsidRDefault="003F06D0" w:rsidP="00271E51">
      <w:pPr>
        <w:spacing w:after="0" w:line="240" w:lineRule="auto"/>
        <w:jc w:val="both"/>
        <w:rPr>
          <w:rFonts w:ascii="Times New Roman" w:hAnsi="Times New Roman"/>
          <w:color w:val="0070C0"/>
          <w:sz w:val="16"/>
          <w:szCs w:val="16"/>
        </w:rPr>
      </w:pPr>
    </w:p>
    <w:p w14:paraId="1D1A8F7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EFDB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4095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года А.Кузнецов писал письмо N Н-34/4507 зам. гл. инженера ВВС генерал-лейтенанту ИАС Лапину А.А.</w:t>
      </w:r>
    </w:p>
    <w:p w14:paraId="76B28D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Вам заключение ВИАМ'а по исследованию аварийных деталей самолета Ил-2 N 302932 и материалы исследования этих же деталей в центральной лаборатории завода N 30.</w:t>
      </w:r>
    </w:p>
    <w:p w14:paraId="3AE3E7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10 лист. секретно (н/вх. N 9987) и не секретно на 5-ти листах (1779).</w:t>
      </w:r>
    </w:p>
    <w:p w14:paraId="5432A8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717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вышел приказ НКАП N 664с по введению металлического крыла с увеличенной стреловидностью. На 1 февраля 1944 на заводе 1 было изготовлено 2 комплекта деталей, к сборке крыла не приступали (462,44).</w:t>
      </w:r>
    </w:p>
    <w:p w14:paraId="11C03F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Очевидно, что улучшение продольной устойчивости Ил-2 повышало его боевые качества и облегчало освоение самолета молодыми летчиками. Нормальная бомбовая нагрузка была поднята до 400 кг, а максимальная — до 600 кг. Прицеливать</w:t>
      </w:r>
      <w:r w:rsidRPr="00271E51">
        <w:rPr>
          <w:rFonts w:ascii="Times New Roman" w:hAnsi="Times New Roman"/>
          <w:color w:val="000000" w:themeColor="text1"/>
          <w:sz w:val="16"/>
          <w:szCs w:val="16"/>
        </w:rPr>
        <w:softHyphen/>
        <w:t>ся, вводить поправки в прицеливание и вести стрельбу летчи</w:t>
      </w:r>
      <w:r w:rsidRPr="00271E51">
        <w:rPr>
          <w:rFonts w:ascii="Times New Roman" w:hAnsi="Times New Roman"/>
          <w:color w:val="000000" w:themeColor="text1"/>
          <w:sz w:val="16"/>
          <w:szCs w:val="16"/>
        </w:rPr>
        <w:softHyphen/>
        <w:t>кам стало легче. Соответственно повышалась вероятность по</w:t>
      </w:r>
      <w:r w:rsidRPr="00271E51">
        <w:rPr>
          <w:rFonts w:ascii="Times New Roman" w:hAnsi="Times New Roman"/>
          <w:color w:val="000000" w:themeColor="text1"/>
          <w:sz w:val="16"/>
          <w:szCs w:val="16"/>
        </w:rPr>
        <w:softHyphen/>
        <w:t>ражения цели. Кроме этого, установка металлического крыла повышала боевую живучесть и улучшала ремонтно-эксгогуата-ционные качества самолета.</w:t>
      </w:r>
    </w:p>
    <w:p w14:paraId="175140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серийное производство модифицированного штурмовика разворачивалось заводчанами крайне медленно. Ни в ноябре, ни в декабре не было собрано ни одного Ил-2 с металлическим крылом «стрельчатой конструкции». Дело в том, что авиазаводы производили до этого самолеты с деревян</w:t>
      </w:r>
      <w:r w:rsidRPr="00271E51">
        <w:rPr>
          <w:rFonts w:ascii="Times New Roman" w:hAnsi="Times New Roman"/>
          <w:color w:val="000000" w:themeColor="text1"/>
          <w:sz w:val="16"/>
          <w:szCs w:val="16"/>
        </w:rPr>
        <w:softHyphen/>
        <w:t>ным крылом, в силу чего испытывали затруднения при перехо</w:t>
      </w:r>
      <w:r w:rsidRPr="00271E51">
        <w:rPr>
          <w:rFonts w:ascii="Times New Roman" w:hAnsi="Times New Roman"/>
          <w:color w:val="000000" w:themeColor="text1"/>
          <w:sz w:val="16"/>
          <w:szCs w:val="16"/>
        </w:rPr>
        <w:softHyphen/>
        <w:t>де к металлическому крылу. К тому же совершенно неудовле</w:t>
      </w:r>
      <w:r w:rsidRPr="00271E51">
        <w:rPr>
          <w:rFonts w:ascii="Times New Roman" w:hAnsi="Times New Roman"/>
          <w:color w:val="000000" w:themeColor="text1"/>
          <w:sz w:val="16"/>
          <w:szCs w:val="16"/>
        </w:rPr>
        <w:softHyphen/>
        <w:t>творительной была обеспеченность заводов металлом и обору</w:t>
      </w:r>
      <w:r w:rsidRPr="00271E51">
        <w:rPr>
          <w:rFonts w:ascii="Times New Roman" w:hAnsi="Times New Roman"/>
          <w:color w:val="000000" w:themeColor="text1"/>
          <w:sz w:val="16"/>
          <w:szCs w:val="16"/>
        </w:rPr>
        <w:softHyphen/>
        <w:t>дованием.</w:t>
      </w:r>
    </w:p>
    <w:p w14:paraId="231A07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Такое положение дел не могло устроить ни ВВС, ни руково</w:t>
      </w:r>
      <w:r w:rsidRPr="00271E51">
        <w:rPr>
          <w:rFonts w:ascii="Times New Roman" w:hAnsi="Times New Roman"/>
          <w:color w:val="000000" w:themeColor="text1"/>
          <w:sz w:val="16"/>
          <w:szCs w:val="16"/>
        </w:rPr>
        <w:softHyphen/>
        <w:t>дство страны. Поэтому 18 января 1944 г. вышло Постановление ГОКО, которое обязывало все три авиазавода к началу лета пол</w:t>
      </w:r>
      <w:r w:rsidRPr="00271E51">
        <w:rPr>
          <w:rFonts w:ascii="Times New Roman" w:hAnsi="Times New Roman"/>
          <w:color w:val="000000" w:themeColor="text1"/>
          <w:sz w:val="16"/>
          <w:szCs w:val="16"/>
        </w:rPr>
        <w:softHyphen/>
        <w:t>ностью перейти на выпуск Ил-2 с металлическим крылом «со стрелкой» (угол стреловидности по передней кромке консолей 15°): завод № 18'— до 15 апреля, а 1-й и 30-й авиазаводы — до 15 мая. При этом снижать достигнутый уровень производства самолетов запрещалось. Соответствующий приказ НКАП был подписан на следующий день (11474,309).</w:t>
      </w:r>
    </w:p>
    <w:p w14:paraId="38A835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1C2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наркомавиапрома своим приказом обязал заводы внедрить новое крыло в серийное производство и наладить выпуск штурмовиков Ил-2 со стрельчатым крылом по образцу прошедшего государственные испытания самолета.</w:t>
      </w:r>
    </w:p>
    <w:p w14:paraId="4C4D9E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Очевидно, что улучшение продольной устойчивости Ил-2 повышало его боевые качества и облегчало освоение самолета молодыми летчиками. Нормальная бомбовая нагрузка была поднята до 400 кг, а максимальная - до 600 кг. Прицеливаться, вводить поправки в прицеливание и вести стрельбу летчикам стало легче. Соответственно, повышалась вероятность поражения цели. Кроме этого, установка металлического крыла повышала боевую живучесть и улучшала ремонтно-эксплуатационные качества самолета.</w:t>
      </w:r>
    </w:p>
    <w:p w14:paraId="58D1D5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серийное производство модифицированного штурмовика разворачивалось заводчанами крайне медленно. Ни в ноябре, ни в декабре не было собрано ни одного Ил-2 с металлическим крылом "стрельчатой конструкции". Дело в том, что авиазаводы производили до этого самолеты с деревянным крылом, в силу чего испытывали затруднения при переходе к металлическому крылу. К тому же совершенно неудовлетворительной была обеспеченность заводов металлом и оборудованием (12020).</w:t>
      </w:r>
    </w:p>
    <w:p w14:paraId="04FA22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3A6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года начальник 1 отдела НИИ ВВС инж.-полковник Рудинцев писал письмо N 1/0182 Шахурину.</w:t>
      </w:r>
    </w:p>
    <w:p w14:paraId="0BE437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карточки летно-тактических данных самолетов, прошедших испытания в НИИ ВВС, для включения их в альбом самолетов ВВС 1943 года:</w:t>
      </w:r>
    </w:p>
    <w:p w14:paraId="4D21DC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Як-1М с М-105ПФ (с наддувом 1100 мм рт. ст.).</w:t>
      </w:r>
    </w:p>
    <w:p w14:paraId="272052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Ла-5 с М-82Ф N 3810311.</w:t>
      </w:r>
    </w:p>
    <w:p w14:paraId="1E0900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Ла-5 с М-82Ф в 2-х местном варианте.</w:t>
      </w:r>
    </w:p>
    <w:p w14:paraId="5A60CF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Ил-2 с АМ-38Ф с улучшенной аэродинамикой (1783,276).</w:t>
      </w:r>
    </w:p>
    <w:p w14:paraId="4F0AEC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177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года С.Шишкин писал письмо N 2709 Шахурину.</w:t>
      </w:r>
    </w:p>
    <w:p w14:paraId="2BE4C0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с.г. на самолете Ла-5 М-82ФН закончены летные испытания трех опытных винтов с лопастями ЦАГИ. Опытные винты изготовлены на заводе N 467, испытания винтов проводились в ЛИИ.</w:t>
      </w:r>
    </w:p>
    <w:p w14:paraId="01C543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три винта с лопастями ЦАГИ дали существенное улучшение летных характеристик самолета по сравнению с серийным винтом. Наилучшие результаты показал винт ВИШ-105В-4. С этим винтом максимальная скорость самолета на высоте 6250 м (2-я граница высотности) увеличилась на 11 км/час, разбег самолета сократился на 30 м (9,7%), взлетная дистанция уменьшилась на 75 м (9,4%); скороподъемность самолета осталась неизменной. Механизм винта работал нормально на всех режимах.</w:t>
      </w:r>
    </w:p>
    <w:p w14:paraId="07C5F1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ВИШ-105В-4 рекомендован ЛИИ для запуска в серийное производство к самолетам Ла-5 М-82ФН взамен серийного винта ВИШ-105В.</w:t>
      </w:r>
    </w:p>
    <w:p w14:paraId="4FDAFE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лопасть ЦАГИ винта ВИШ-105В-4 по своим конструктивным характеристикам мало отличается от лопасти серийного винта ВИШ-105В (на лопасти поставлены новые скоростные профили ЦАГИ и несколько изменена крутка), то никаких технических препятствий к внедрению ее в серийное производство не имеется - она может изготовляться из серийных штамповок.</w:t>
      </w:r>
    </w:p>
    <w:p w14:paraId="1F71A6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повышения летных качеств серийных самолетов Ла-5, прошу Вашего распоряжения о внедрении в серийное производство новых винтов ВИШ-105В-4 с лопастями ЦАГИ взамен серийного винта ВИШ-105В (1458,339).</w:t>
      </w:r>
    </w:p>
    <w:p w14:paraId="661998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450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В.С.Пышнов писал "Данные, полученные при испытании самолета Аэрокобра, типичны для самолета, имеющего весьма малый запас продольной устойчивости и не очень мощное вертикальное оперение...Поскольку центровка самолета не может быть значительно улучшена, инструктаж и тренировки летного состава в штопоре необходимы" (172,167).</w:t>
      </w:r>
    </w:p>
    <w:p w14:paraId="638FB0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72053"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71FC6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1C63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года была подготовлена справка:</w:t>
      </w:r>
    </w:p>
    <w:p w14:paraId="6125CC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бывших в системе НКОМ 11 весовых заводов в настоящее время в системе НКМВ имеется 3 восстанавливаемых завода, из которых:</w:t>
      </w:r>
    </w:p>
    <w:p w14:paraId="02264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774 (Армавир) специализируется на тяжелых промышленных весах для черной и цветной металлургии, ж/д транспорта и т.п.</w:t>
      </w:r>
    </w:p>
    <w:p w14:paraId="129CF9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776 (Краснодар) – на товарных весах</w:t>
      </w:r>
    </w:p>
    <w:p w14:paraId="2B098A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841 (Ленинград) – на точных лабораторных весах и порционных автоматах малой грузоподъемности (9153).</w:t>
      </w:r>
    </w:p>
    <w:p w14:paraId="280150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E6C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вышло Распоряжение ГКО № 4528. О продлении до 1 июня 1944 г. срока работы нестроевых красноармейцев на предприятиях НКБП.РГАНИР, Фонд ГКО, д. 173, лл. 96 (11012).</w:t>
      </w:r>
    </w:p>
    <w:p w14:paraId="6E193A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2F8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вышло Распоряжение ГКО № 4529. О создании бригады из учащихся РУ.РГАНИР, Фонд ГКО, д. 173, лл. 97 (11012).</w:t>
      </w:r>
    </w:p>
    <w:p w14:paraId="167694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8A1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ноября 1943 Адмиралтейцы заложили на стапеле 11-й МБК (10671).</w:t>
      </w:r>
    </w:p>
    <w:p w14:paraId="57CA0E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3455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BA70F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FD96E6"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9 ноября </w:t>
      </w:r>
      <w:r w:rsidRPr="00271E51">
        <w:rPr>
          <w:rFonts w:ascii="Times New Roman" w:hAnsi="Times New Roman"/>
          <w:color w:val="000000" w:themeColor="text1"/>
          <w:sz w:val="16"/>
          <w:szCs w:val="16"/>
        </w:rPr>
        <w:t>в 1943 году оперативная сводка Совинформбюро:</w:t>
      </w:r>
    </w:p>
    <w:p w14:paraId="6592CAE5"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ноября войска 1-го украинского фронта продолжали наступление и овладели районным центром Киевской области Бородянка, а также заняли более 80 других населённых пунктов, среди которых крупные населённые пункты Рудня-Вересня, Дитятки, Оранное, Приборск, Шпили, Блитча, Леоновка, Качалы, Наливайковка, Нежиловичи, Небылица, Ситняки, Грузкое, Юровка, Бертники,Королевка, Паляниченцы, Тростинка, Яцки, Германовка, Долина, Жуковцы, Витачев и железнодорожные станции Бородянка, Спартак.</w:t>
      </w:r>
    </w:p>
    <w:p w14:paraId="4B7EAF1F"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по расширению плацдармов в прежних районах.</w:t>
      </w:r>
    </w:p>
    <w:p w14:paraId="561122BC"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северо-западнее города Невель наши войска продолжаливести бои местного значения, в ходе которых продвинулись вперёд и занялинесколько населенных пунктов.</w:t>
      </w:r>
    </w:p>
    <w:p w14:paraId="6A6E6468"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артиллерийско-миномётнаяперестрелка.</w:t>
      </w:r>
    </w:p>
    <w:p w14:paraId="280EC904"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ноября наши войска на всех фронтах подбили и уничтожили 71 немецкий танк. В воздушных боях и огнём зенитной артиллерии сбито 13 самолётов противника.</w:t>
      </w:r>
    </w:p>
    <w:p w14:paraId="5A42731F"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1-го Украинского фронта продолжали наступление. Части Н-ского соединения, продвигаясь вперёд, овладели районным центром Киевской области Бородянка, а также заняли ряд других населённых пунктов. В районе Бородянка уничтожен батальон немецкой пехоты. Захвачено у противника 8 орудий, несколько шестиствольных миномётов и другие трофеи. Юго-западнее Киева наши войска, развивая наступление, заняли населённый пункт Германовка и ведут ожесточённыебои с подошедшими крупными силами танков и мотопехоты противника. Немцы несут большие потери. Только на одном участке подбито и сожжено </w:t>
      </w:r>
      <w:r w:rsidRPr="00271E51">
        <w:rPr>
          <w:rFonts w:ascii="Times New Roman" w:hAnsi="Times New Roman"/>
          <w:color w:val="000000" w:themeColor="text1"/>
          <w:sz w:val="16"/>
          <w:szCs w:val="16"/>
        </w:rPr>
        <w:lastRenderedPageBreak/>
        <w:t>до 30 немецких танков и истреблено свыше 1.000 вражеских солдат и офицеров. В районе Фастова советские войска захватили у противника 50 зенитных и 22 полевых орудия, 60 автомашин, 9 железнодорожных эшелонов с военными грузами, 15 паровозов, 6 автодрезин, склад с железнодорожными материалами, зернохранилище и около 3.000 тонн бензина.</w:t>
      </w:r>
    </w:p>
    <w:p w14:paraId="42474FD7"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за расширение плацдармов. Северо-восточнее города Керчь немцы, стремясь потеснить наши подразделения, предприняли одну за другой пять ожесточённых контратак. Советские бойцы отбили контратаки противника и уничтожили 600 немецких солдат и офицеров. Взяты пленные. Южнее города Керчь батальон пехоты противника пытался атаковать наши позиции. Гитлеровцы, встреченные миномётным и ружейно-пулемётным огнём, в беспорядке откатились, оставив на поле боя свыше 100 трупов.</w:t>
      </w:r>
    </w:p>
    <w:p w14:paraId="44CED44E"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северо-западнее Невеля наши войска вели бои местного значения. Преодолевая упорное сопротивление немцев, части Н-ского соединения продвинулись вперёд и заняли несколько населённых пунктов. На другом участке 8 пехотных батальонов и 50 танков противника атаковали наши позиции. К исходу дня контрударом наших войск противник был отброшен. В этом бою немцы потеряли убитыми до 1.500 своих солдат и офицеров. Огнём из противотанковых орудий подбито и сожжено 39 немецких танков.</w:t>
      </w:r>
    </w:p>
    <w:p w14:paraId="4DB38F13"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корабли потопили в Чёрном море транспорт противника водоизмещением в 3тысячи тонн.</w:t>
      </w:r>
    </w:p>
    <w:p w14:paraId="7C84A477"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Гомельской области, из засад на шоссейной дороге уничтожил 11 немецких автомашин с грузами и истребил 40 вражеских солдат и офицеров. Группа партизан проникла в один населённый пункти подожгла немецкий склад с горючим. В этом же районе советские патриоты уничтожили немецкий конвой и освободили 800 советских граждан, которых гитлеровцы угоняли на каторжные работы в Германию.</w:t>
      </w:r>
    </w:p>
    <w:p w14:paraId="07A65DE6"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огромным воодушевлением встретили красноармейцы, краснофлотцы, сержанты,офицеры и генералы доклад и приказ товарища Сталина к 26-й годовщине Великой Октябрьской социалистической революции. В тыловых и прифронтовых гарнизонах, а также на многих участках фронта, где это позволяла военная обстановка, состоялись массовые митинги. Речи советских воинов проникнуты горячей любовью к великому вождю и организатору славных побед Красной Армии — товарищу Сталину. Бойцы и командиры заявляют о своей непреклонной решимости с честью выполнить приказ Верховного Главнокомандующего и полностью разгромить немецко-фашистских захватчиков.</w:t>
      </w:r>
    </w:p>
    <w:p w14:paraId="146CECFD"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4-го Украинского фронта на митинге в Н-ской гвардейской части с яркой речью выступил гвардии красноармеец Герой Советского Союза тов. Стрелин. Он заявил: «Товарищ Сталин приказал нам неустанно совершенствовать своё боевое мастерство, строжайше выполнять требования уставов и наставлений, приказы начальников и командиров. Поклянёмся же, что мы отдадим все свои силы на уничтожение гитлеровских бандитов. Я с боями прошёл от Сталинграда до Днепра. Воодушевлённый приказом товарища Сталина, буду ещё беспощаднее бить гитлеровцевза Днепром».</w:t>
      </w:r>
    </w:p>
    <w:p w14:paraId="31CC74BC"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Ленинградском фронте, на митинге в Н-ской части выступил капитан тов.Смирнов. Он сказал: «Взятие Киева — большая победа советских войск. Но мы не имеем права успокаиваться на достигнутых успехах. Товарищ Сталин призывает насполностью разгромить и уничтожить врага. Этот приказ вождя будет выполнен Красной Армией».</w:t>
      </w:r>
    </w:p>
    <w:p w14:paraId="0BA72D70"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Выступивший на митинге в Н-ской авиационной части лётчик лейтенант тов.Кириков заявил: «Мудрые слова вождя воодушевляют нас на ратные подвиги. Хочется сделать как можно больше боевых вылетов, нещадно бить и уничтожать коричневую чуму. Мы, лётчики, удвоим и утроим удары по врагу с воздуха».</w:t>
      </w:r>
    </w:p>
    <w:p w14:paraId="2786CCB3"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Волховском фронте на митинге бойцов и командиров Н-ской части красноармеец-казах тов. Антипин сказал: «Я счастлив, что вместе с русскими,украинцами, белорусами и трудящимися других национальностей сражаюсь против нашего общего врага. Я безжалостно буду истреблять немцев. Пусть своей кровью гитлеровские мерзавцы ответят за все злодеяния, которые они натворили на нашей земле».</w:t>
      </w:r>
    </w:p>
    <w:p w14:paraId="7967AC8A"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митинге в Н-ской части Северо-Кавказского фронта выступил красноармеецтов. Словотанюк. Он сказал: «Красная Армия вступила на крымскую землю. Воодушевлённые докладом и приказом товарища Сталина, мы с удесятерённой энергией будем бить врага. Мы сделаем всё для того, чтобы Крым стал могилой для окружённых на полуострове немецких войск».</w:t>
      </w:r>
    </w:p>
    <w:p w14:paraId="19532F35"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Рядовой Н-ской части 1-го Украинского фронта тов. Вепинский на митингезаявил: «Товарищ Сталин учит нас день и ночь преследовать врага, не давать ему опомниться и закрепиться. С новыми силами мы пойдём в бой. Весь гнев, всю своюненависть обрушим мы на трижды проклятых фашистских убийц».</w:t>
      </w:r>
    </w:p>
    <w:p w14:paraId="2746CE82"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Красноармейцы, сержанты и офицеры; тыловых частей Красной Армии и военныхучилищ в своих выступлениях выразили горячее стремление скорее отправиться в Действующую Армию, чтобы принять непосредственное участие в боях против немецких захватчиков.» (14825).</w:t>
      </w:r>
    </w:p>
    <w:p w14:paraId="626D2B4A"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11229C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19 и 20 ноября, 5 и 9 декабря 1943 с целью противодействия блокаде Этильгена ВВС ЧФ нанесли 5 массированных уда</w:t>
      </w:r>
      <w:r w:rsidRPr="00271E51">
        <w:rPr>
          <w:rFonts w:ascii="Times New Roman" w:hAnsi="Times New Roman"/>
          <w:color w:val="000000" w:themeColor="text1"/>
          <w:sz w:val="16"/>
          <w:szCs w:val="16"/>
        </w:rPr>
        <w:softHyphen/>
        <w:t>ров по порту Камыш-Бурун -, 4 удара - по пор</w:t>
      </w:r>
      <w:r w:rsidRPr="00271E51">
        <w:rPr>
          <w:rFonts w:ascii="Times New Roman" w:hAnsi="Times New Roman"/>
          <w:color w:val="000000" w:themeColor="text1"/>
          <w:sz w:val="16"/>
          <w:szCs w:val="16"/>
        </w:rPr>
        <w:softHyphen/>
        <w:t>ту Феодосия и 3 удара - по порту Киик-Атлама. Кроме того, авиация 16 - атако</w:t>
      </w:r>
      <w:r w:rsidRPr="00271E51">
        <w:rPr>
          <w:rFonts w:ascii="Times New Roman" w:hAnsi="Times New Roman"/>
          <w:color w:val="000000" w:themeColor="text1"/>
          <w:sz w:val="16"/>
          <w:szCs w:val="16"/>
        </w:rPr>
        <w:softHyphen/>
        <w:t>вала немецкие корабли на переходе морем. Трижды, 16 ноября, 5 и 9 декаб</w:t>
      </w:r>
      <w:r w:rsidRPr="00271E51">
        <w:rPr>
          <w:rFonts w:ascii="Times New Roman" w:hAnsi="Times New Roman"/>
          <w:color w:val="000000" w:themeColor="text1"/>
          <w:sz w:val="16"/>
          <w:szCs w:val="16"/>
        </w:rPr>
        <w:softHyphen/>
        <w:t>ря, специальные поиски вели торпедные и бронекатера. В районе Камыш-Бурун было поставлено новое минное поле. Но все эти действия не смогли даже осла</w:t>
      </w:r>
      <w:r w:rsidRPr="00271E51">
        <w:rPr>
          <w:rFonts w:ascii="Times New Roman" w:hAnsi="Times New Roman"/>
          <w:color w:val="000000" w:themeColor="text1"/>
          <w:sz w:val="16"/>
          <w:szCs w:val="16"/>
        </w:rPr>
        <w:softHyphen/>
        <w:t>бить блокаду, так как носили эпизоди</w:t>
      </w:r>
      <w:r w:rsidRPr="00271E51">
        <w:rPr>
          <w:rFonts w:ascii="Times New Roman" w:hAnsi="Times New Roman"/>
          <w:color w:val="000000" w:themeColor="text1"/>
          <w:sz w:val="16"/>
          <w:szCs w:val="16"/>
        </w:rPr>
        <w:softHyphen/>
        <w:t>ческий характер.</w:t>
      </w:r>
    </w:p>
    <w:p w14:paraId="77D927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в том, что задачи огневого обес</w:t>
      </w:r>
      <w:r w:rsidRPr="00271E51">
        <w:rPr>
          <w:rFonts w:ascii="Times New Roman" w:hAnsi="Times New Roman"/>
          <w:color w:val="000000" w:themeColor="text1"/>
          <w:sz w:val="16"/>
          <w:szCs w:val="16"/>
        </w:rPr>
        <w:softHyphen/>
        <w:t>печения десантников на поле боя и сброс боеприпасов, оружия, медикамен</w:t>
      </w:r>
      <w:r w:rsidRPr="00271E51">
        <w:rPr>
          <w:rFonts w:ascii="Times New Roman" w:hAnsi="Times New Roman"/>
          <w:color w:val="000000" w:themeColor="text1"/>
          <w:sz w:val="16"/>
          <w:szCs w:val="16"/>
        </w:rPr>
        <w:softHyphen/>
        <w:t>тов и продовольствия командованием Отдельной Приморской армии и Черно</w:t>
      </w:r>
      <w:r w:rsidRPr="00271E51">
        <w:rPr>
          <w:rFonts w:ascii="Times New Roman" w:hAnsi="Times New Roman"/>
          <w:color w:val="000000" w:themeColor="text1"/>
          <w:sz w:val="16"/>
          <w:szCs w:val="16"/>
        </w:rPr>
        <w:softHyphen/>
        <w:t>морского флота считались для морской авиагруппы приоритетными, так как авиа</w:t>
      </w:r>
      <w:r w:rsidRPr="00271E51">
        <w:rPr>
          <w:rFonts w:ascii="Times New Roman" w:hAnsi="Times New Roman"/>
          <w:color w:val="000000" w:themeColor="text1"/>
          <w:sz w:val="16"/>
          <w:szCs w:val="16"/>
        </w:rPr>
        <w:softHyphen/>
        <w:t>ция, а главным образом штурмовики Ил-2 и ночные легкие бомбардировщики У-2, была единственной надеждой десант</w:t>
      </w:r>
      <w:r w:rsidRPr="00271E51">
        <w:rPr>
          <w:rFonts w:ascii="Times New Roman" w:hAnsi="Times New Roman"/>
          <w:color w:val="000000" w:themeColor="text1"/>
          <w:sz w:val="16"/>
          <w:szCs w:val="16"/>
        </w:rPr>
        <w:softHyphen/>
        <w:t>ников на спасение и жизнь. По этим причинам никакого перераспределения наличных сил авиагруппы в пользу на</w:t>
      </w:r>
      <w:r w:rsidRPr="00271E51">
        <w:rPr>
          <w:rFonts w:ascii="Times New Roman" w:hAnsi="Times New Roman"/>
          <w:color w:val="000000" w:themeColor="text1"/>
          <w:sz w:val="16"/>
          <w:szCs w:val="16"/>
        </w:rPr>
        <w:softHyphen/>
        <w:t>несения систематических массирован</w:t>
      </w:r>
      <w:r w:rsidRPr="00271E51">
        <w:rPr>
          <w:rFonts w:ascii="Times New Roman" w:hAnsi="Times New Roman"/>
          <w:color w:val="000000" w:themeColor="text1"/>
          <w:sz w:val="16"/>
          <w:szCs w:val="16"/>
        </w:rPr>
        <w:softHyphen/>
        <w:t>ных бомбоштурмовых ударов по немец</w:t>
      </w:r>
      <w:r w:rsidRPr="00271E51">
        <w:rPr>
          <w:rFonts w:ascii="Times New Roman" w:hAnsi="Times New Roman"/>
          <w:color w:val="000000" w:themeColor="text1"/>
          <w:sz w:val="16"/>
          <w:szCs w:val="16"/>
        </w:rPr>
        <w:softHyphen/>
        <w:t>ким БДБ и ТКА на переходе морем и в базах сделано не было (6467).</w:t>
      </w:r>
    </w:p>
    <w:p w14:paraId="60DC4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AD4C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7D0F8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D3B7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9 ноября 1943 44 страны подписали в Вашингтоне декларацию </w:t>
      </w:r>
      <w:r w:rsidRPr="00271E51">
        <w:rPr>
          <w:rFonts w:ascii="Times New Roman" w:hAnsi="Times New Roman"/>
          <w:color w:val="000000" w:themeColor="text1"/>
          <w:sz w:val="16"/>
          <w:szCs w:val="16"/>
          <w:lang w:val="en-US"/>
        </w:rPr>
        <w:t>United nations relief and Rehabilitation Asssociation (2246,6).</w:t>
      </w:r>
    </w:p>
    <w:p w14:paraId="43300B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368EA9"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9 ноября </w:t>
      </w:r>
      <w:r w:rsidRPr="00271E51">
        <w:rPr>
          <w:rFonts w:ascii="Times New Roman" w:hAnsi="Times New Roman"/>
          <w:color w:val="000000" w:themeColor="text1"/>
          <w:sz w:val="16"/>
          <w:szCs w:val="16"/>
        </w:rPr>
        <w:t>в 1943 году 44 государства, включая СССР, подписали в Вашингтоне соглашение о создании Администрации по оказанию помощи и восстановлению Объединенных Наций (ЮНРРА) (14825).</w:t>
      </w:r>
    </w:p>
    <w:p w14:paraId="390BBCB7"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125391B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B0A26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73AA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были закончены доводочные работы по винтам, так как в ходе испытаний 2-го экз. Ил-2 2М-88Б с ТК и гермокабиной второго типа, которые шли с 10 августа 1943, обнаружилась раскрутка сначала 3-х лопастных, а потом и заменивших их 4-х лопастных винтов. Из-за раскрутки винтов на данном экз. самолета полеты выше 7500 м не проводились. Дальнейшие испытания самолета прекращены по распоряжению С.В.И., ввиду загрузки завода 240 по проведению испытаний самолетов Ил-2 с АМ-42 (1825,208).</w:t>
      </w:r>
    </w:p>
    <w:p w14:paraId="5352A5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706B1"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период с 10 по 17 ноября 1943 на НИПАВ на поступившем 2 ноября 1943 самолете Ил-2 зав. № 303124 был проведен «заводской отстрел пушек» и подго</w:t>
      </w:r>
      <w:r w:rsidRPr="00271E51">
        <w:rPr>
          <w:color w:val="000000" w:themeColor="text1"/>
          <w:sz w:val="16"/>
          <w:szCs w:val="16"/>
        </w:rPr>
        <w:softHyphen/>
        <w:t>товка самолета для передачи на государственные испытания. Этап государственных испытаний про</w:t>
      </w:r>
      <w:r w:rsidRPr="00271E51">
        <w:rPr>
          <w:color w:val="000000" w:themeColor="text1"/>
          <w:sz w:val="16"/>
          <w:szCs w:val="16"/>
        </w:rPr>
        <w:softHyphen/>
        <w:t>должался до 2 декабря, когда забарахлил мотор.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36B88BAB"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дротормоз пушки был залит керосин сорта «А»</w:t>
      </w:r>
      <w:r w:rsidRPr="00271E51">
        <w:rPr>
          <w:rStyle w:val="BodytextItalic"/>
          <w:i w:val="0"/>
          <w:color w:val="000000" w:themeColor="text1"/>
          <w:sz w:val="16"/>
          <w:szCs w:val="16"/>
        </w:rPr>
        <w:t>).</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60D2F104" w14:textId="77777777" w:rsidR="00B92D51" w:rsidRPr="00271E51" w:rsidRDefault="00B92D51" w:rsidP="00271E51">
      <w:pPr>
        <w:pStyle w:val="12a"/>
        <w:shd w:val="clear" w:color="auto" w:fill="auto"/>
        <w:spacing w:after="0" w:line="240" w:lineRule="auto"/>
        <w:jc w:val="both"/>
        <w:rPr>
          <w:color w:val="000000" w:themeColor="text1"/>
          <w:sz w:val="16"/>
          <w:szCs w:val="16"/>
        </w:rPr>
      </w:pPr>
    </w:p>
    <w:p w14:paraId="177514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Начальник Технического отдела НКАП А. Туманов писал письмо зам. наркома Авиапрома Дементьеву П.В.</w:t>
      </w:r>
    </w:p>
    <w:p w14:paraId="01A9CB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акта комиссии по качеству самолетов Ил-2 выпуска завода N 30.</w:t>
      </w:r>
    </w:p>
    <w:p w14:paraId="69F512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Актом комиссии отмечается, что одним из самых существенных дефектов самолета Ил-2 выпуска завода N 30 является непроклей обшивки крыла, приводящий к срыву ее при выполнении определенных упражнений курса боевой подготовки штурмовой авиации.</w:t>
      </w:r>
    </w:p>
    <w:p w14:paraId="79E35C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Анализируя причины этого, а также и прочих дефектов, Комиссия устанавливает, что главными причинами явились недоброкачественность применявшихся материалов и нарушения технологического процесса склейки, окраски, термообработки и т.п. деталей и агрегатов самолета.</w:t>
      </w:r>
    </w:p>
    <w:p w14:paraId="225D70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отрицая ряд подобных фактов, имевших место на заводе N 30, считаю необходимым внести уточнения в материалы, представленные Комиссией, а также отметить и некоторые дополнительные факторы, оказавшие весьма существенное влияние на срыв обшивок самолета Ил-2.</w:t>
      </w:r>
    </w:p>
    <w:p w14:paraId="75A374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Утверждение, что клей АК-20, как правило, выпускался с 27% активных растворителей и с пониженной до 25 кг/м прочностью приклейки полотна неверно, так как за весь период военного времени на завод N 30 была поставлена лишь одна опытная партия такого клея, которая в производство не была запущена.</w:t>
      </w:r>
    </w:p>
    <w:p w14:paraId="1AAD12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Завод N 30 шпатлевкой АШ-22 выпуска завода N 34 НКХП не пользовался.</w:t>
      </w:r>
    </w:p>
    <w:p w14:paraId="7CBA19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Замена ткани маркизет тканью АОД была произведена еще до войны, и материалы длительной эксплуатации самолетов с этой тканью доказывают ее полноценность, как заменителя ткани маркизет.</w:t>
      </w:r>
    </w:p>
    <w:p w14:paraId="0A7052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Весьма существенной и, пожалуй, наиболее важной причиной срыва обшивок самолета Ил-2, по нашему мнению, является конструкция крепления верхней и нижней обшивок крыла. Это крепление схематически изображено на эскизе N 1, где</w:t>
      </w:r>
    </w:p>
    <w:p w14:paraId="1208E3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 2 - усиленные стрингера,</w:t>
      </w:r>
    </w:p>
    <w:p w14:paraId="7A045F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 фанерная накладка для малковки,</w:t>
      </w:r>
    </w:p>
    <w:p w14:paraId="14D2A3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 фанерная полоса, приклепываемая вдоль лонжерона к его полкам, через дюралевую 1,5 мм накладку (7).</w:t>
      </w:r>
    </w:p>
    <w:p w14:paraId="6FE97C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 стык (усовое соединение) межлонжеронной части обшивки с фанерной полосой.</w:t>
      </w:r>
    </w:p>
    <w:p w14:paraId="6B4B83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это следует из схемы, стык N 6 является наиболее слабым местом в креплении обшивки по следующим причинам:</w:t>
      </w:r>
    </w:p>
    <w:p w14:paraId="4B1322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Так как это усовое соединение расположено на стрингере, исключалась возможность гарантировать качественную приклейку из-за невозможности создать равномерное и при том достаточное давление при запрессовке за счет деформации стрингера.</w:t>
      </w:r>
    </w:p>
    <w:p w14:paraId="381BAA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Расположение усового соединения против потока.</w:t>
      </w:r>
    </w:p>
    <w:p w14:paraId="18725F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Отсутствовали выравнивающие и перекрывающие стыки фанерные накладки в местах перехода с выступающей металлической накладки N 7 на обшивку.</w:t>
      </w:r>
    </w:p>
    <w:p w14:paraId="76CED2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это усугублялось отсутствием из-за двухсторонней фанеровки крыла, должного контроля качества приклейки, имевшими место нарушениями технологии склейки и постановкой металлической накладки N 7 без снятия фасок, что приводили к подрезыванию и перетиранию оклеечной ткани.</w:t>
      </w:r>
    </w:p>
    <w:p w14:paraId="777850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пересмотра усового соединения верхней обшивки и усиления крепления ее на переднем лонжероне, крыло имеет большой запас прочности. С тех пор нам неизвестно ни одного случая срыва обшивок в эксплуатации у самолета Ил-2 (1779).</w:t>
      </w:r>
    </w:p>
    <w:p w14:paraId="5DA846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4DD15"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10 ноября 1943 г. в ОКБ завода №289 были подготовлены чертежи мо</w:t>
      </w:r>
      <w:r w:rsidRPr="00271E51">
        <w:rPr>
          <w:rFonts w:ascii="Times New Roman" w:hAnsi="Times New Roman" w:cs="Times New Roman"/>
          <w:color w:val="0070C0"/>
          <w:sz w:val="16"/>
          <w:szCs w:val="16"/>
        </w:rPr>
        <w:softHyphen/>
        <w:t>дернизации опытного Су-6 под установку мотора АМ-42, «которые спущены (ча</w:t>
      </w:r>
      <w:r w:rsidRPr="00271E51">
        <w:rPr>
          <w:rFonts w:ascii="Times New Roman" w:hAnsi="Times New Roman" w:cs="Times New Roman"/>
          <w:color w:val="0070C0"/>
          <w:sz w:val="16"/>
          <w:szCs w:val="16"/>
        </w:rPr>
        <w:softHyphen/>
        <w:t>стично) в производство».</w:t>
      </w:r>
    </w:p>
    <w:p w14:paraId="1CB24BD8"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этому же времени собрали новое цельнометаллическое крыло увеличен</w:t>
      </w:r>
      <w:r w:rsidRPr="00271E51">
        <w:rPr>
          <w:rFonts w:ascii="Times New Roman" w:hAnsi="Times New Roman" w:cs="Times New Roman"/>
          <w:color w:val="0070C0"/>
          <w:sz w:val="16"/>
          <w:szCs w:val="16"/>
        </w:rPr>
        <w:softHyphen/>
        <w:t>ной до 28,6 м</w:t>
      </w:r>
      <w:r w:rsidRPr="00271E51">
        <w:rPr>
          <w:rFonts w:ascii="Times New Roman" w:hAnsi="Times New Roman" w:cs="Times New Roman"/>
          <w:color w:val="0070C0"/>
          <w:sz w:val="16"/>
          <w:szCs w:val="16"/>
          <w:vertAlign w:val="superscript"/>
        </w:rPr>
        <w:t>2</w:t>
      </w:r>
      <w:r w:rsidRPr="00271E51">
        <w:rPr>
          <w:rFonts w:ascii="Times New Roman" w:hAnsi="Times New Roman" w:cs="Times New Roman"/>
          <w:color w:val="0070C0"/>
          <w:sz w:val="16"/>
          <w:szCs w:val="16"/>
        </w:rPr>
        <w:t xml:space="preserve"> площади без предкрылков. Дело в том, что в ходе госиспытаний са</w:t>
      </w:r>
      <w:r w:rsidRPr="00271E51">
        <w:rPr>
          <w:rFonts w:ascii="Times New Roman" w:hAnsi="Times New Roman" w:cs="Times New Roman"/>
          <w:color w:val="0070C0"/>
          <w:sz w:val="16"/>
          <w:szCs w:val="16"/>
        </w:rPr>
        <w:softHyphen/>
        <w:t>молета Су-6 М-71ф отмечался несколько неравномерный выход предкрылков, и военные потребовали их доработать либо снять. Поэтому с целью экономии вре</w:t>
      </w:r>
      <w:r w:rsidRPr="00271E51">
        <w:rPr>
          <w:rFonts w:ascii="Times New Roman" w:hAnsi="Times New Roman" w:cs="Times New Roman"/>
          <w:color w:val="0070C0"/>
          <w:sz w:val="16"/>
          <w:szCs w:val="16"/>
        </w:rPr>
        <w:softHyphen/>
        <w:t>мени решили ограничиться установкой на крыле только щитков Шренка. Одновре</w:t>
      </w:r>
      <w:r w:rsidRPr="00271E51">
        <w:rPr>
          <w:rFonts w:ascii="Times New Roman" w:hAnsi="Times New Roman" w:cs="Times New Roman"/>
          <w:color w:val="0070C0"/>
          <w:sz w:val="16"/>
          <w:szCs w:val="16"/>
        </w:rPr>
        <w:softHyphen/>
        <w:t>менно изменили стабилизатор. Увеличили компенсацию рулей высоты (на 5,5%), на</w:t>
      </w:r>
      <w:r w:rsidRPr="00271E51">
        <w:rPr>
          <w:rFonts w:ascii="Times New Roman" w:hAnsi="Times New Roman" w:cs="Times New Roman"/>
          <w:color w:val="0070C0"/>
          <w:sz w:val="16"/>
          <w:szCs w:val="16"/>
        </w:rPr>
        <w:softHyphen/>
        <w:t>правления (на 1,9%) и элеронов (на 3,3%).</w:t>
      </w:r>
    </w:p>
    <w:p w14:paraId="7F144F71"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Для упрощения конструкции бронекапота и сокращения времени его изготов</w:t>
      </w:r>
      <w:r w:rsidRPr="00271E51">
        <w:rPr>
          <w:rFonts w:ascii="Times New Roman" w:hAnsi="Times New Roman" w:cs="Times New Roman"/>
          <w:color w:val="0070C0"/>
          <w:sz w:val="16"/>
          <w:szCs w:val="16"/>
        </w:rPr>
        <w:softHyphen/>
        <w:t>ления толщина брони везде была одина</w:t>
      </w:r>
      <w:r w:rsidRPr="00271E51">
        <w:rPr>
          <w:rFonts w:ascii="Times New Roman" w:hAnsi="Times New Roman" w:cs="Times New Roman"/>
          <w:color w:val="0070C0"/>
          <w:sz w:val="16"/>
          <w:szCs w:val="16"/>
        </w:rPr>
        <w:softHyphen/>
        <w:t>ковой - 4 мм. Помимо мотора, его агре</w:t>
      </w:r>
      <w:r w:rsidRPr="00271E51">
        <w:rPr>
          <w:rFonts w:ascii="Times New Roman" w:hAnsi="Times New Roman" w:cs="Times New Roman"/>
          <w:color w:val="0070C0"/>
          <w:sz w:val="16"/>
          <w:szCs w:val="16"/>
        </w:rPr>
        <w:softHyphen/>
        <w:t>гатов и водяной системы, бронировались маслопровод, маслорадиаторы и втулка винта. Общий вес брони на самолете вы</w:t>
      </w:r>
      <w:r w:rsidRPr="00271E51">
        <w:rPr>
          <w:rFonts w:ascii="Times New Roman" w:hAnsi="Times New Roman" w:cs="Times New Roman"/>
          <w:color w:val="0070C0"/>
          <w:sz w:val="16"/>
          <w:szCs w:val="16"/>
        </w:rPr>
        <w:softHyphen/>
        <w:t>рос до 895 кг. При этом на бронекапот мотора приходилось 295 кг брони, на ка</w:t>
      </w:r>
      <w:r w:rsidRPr="00271E51">
        <w:rPr>
          <w:rFonts w:ascii="Times New Roman" w:hAnsi="Times New Roman" w:cs="Times New Roman"/>
          <w:color w:val="0070C0"/>
          <w:sz w:val="16"/>
          <w:szCs w:val="16"/>
        </w:rPr>
        <w:softHyphen/>
        <w:t>бину летчика - 382 кг, на кабину воздуш</w:t>
      </w:r>
      <w:r w:rsidRPr="00271E51">
        <w:rPr>
          <w:rFonts w:ascii="Times New Roman" w:hAnsi="Times New Roman" w:cs="Times New Roman"/>
          <w:color w:val="0070C0"/>
          <w:sz w:val="16"/>
          <w:szCs w:val="16"/>
        </w:rPr>
        <w:softHyphen/>
        <w:t>ного стрелка - 200 кг.</w:t>
      </w:r>
    </w:p>
    <w:p w14:paraId="4938A82C"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Водо-воздушный радиатор подково</w:t>
      </w:r>
      <w:r w:rsidRPr="00271E51">
        <w:rPr>
          <w:rFonts w:ascii="Times New Roman" w:hAnsi="Times New Roman" w:cs="Times New Roman"/>
          <w:color w:val="0070C0"/>
          <w:sz w:val="16"/>
          <w:szCs w:val="16"/>
        </w:rPr>
        <w:softHyphen/>
        <w:t>образной формы предполагалось разме</w:t>
      </w:r>
      <w:r w:rsidRPr="00271E51">
        <w:rPr>
          <w:rFonts w:ascii="Times New Roman" w:hAnsi="Times New Roman" w:cs="Times New Roman"/>
          <w:color w:val="0070C0"/>
          <w:sz w:val="16"/>
          <w:szCs w:val="16"/>
        </w:rPr>
        <w:softHyphen/>
        <w:t>стить под мотором в его передней части внутри бронекапота. Регулирование воз</w:t>
      </w:r>
      <w:r w:rsidRPr="00271E51">
        <w:rPr>
          <w:rFonts w:ascii="Times New Roman" w:hAnsi="Times New Roman" w:cs="Times New Roman"/>
          <w:color w:val="0070C0"/>
          <w:sz w:val="16"/>
          <w:szCs w:val="16"/>
        </w:rPr>
        <w:softHyphen/>
        <w:t>душного потока для продува радиатора осуществлялось на выходе при помощи подвижной 4-мм бронезаслонки.</w:t>
      </w:r>
    </w:p>
    <w:p w14:paraId="1D987F38"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 связи с установкой более тяжелого мотора и бронекапота основные стойки шасси вынесли вперед на 91 мм. Это по</w:t>
      </w:r>
      <w:r w:rsidRPr="00271E51">
        <w:rPr>
          <w:rFonts w:ascii="Times New Roman" w:hAnsi="Times New Roman" w:cs="Times New Roman"/>
          <w:color w:val="0070C0"/>
          <w:sz w:val="16"/>
          <w:szCs w:val="16"/>
        </w:rPr>
        <w:softHyphen/>
        <w:t>зволило несколько повысить «угол капо</w:t>
      </w:r>
      <w:r w:rsidRPr="00271E51">
        <w:rPr>
          <w:rFonts w:ascii="Times New Roman" w:hAnsi="Times New Roman" w:cs="Times New Roman"/>
          <w:color w:val="0070C0"/>
          <w:sz w:val="16"/>
          <w:szCs w:val="16"/>
        </w:rPr>
        <w:softHyphen/>
        <w:t>тажа при торможении». Одновременно усилили амортизационную стойку шасси и улучшили амортизацию. Установили но</w:t>
      </w:r>
      <w:r w:rsidRPr="00271E51">
        <w:rPr>
          <w:rFonts w:ascii="Times New Roman" w:hAnsi="Times New Roman" w:cs="Times New Roman"/>
          <w:color w:val="0070C0"/>
          <w:sz w:val="16"/>
          <w:szCs w:val="16"/>
        </w:rPr>
        <w:softHyphen/>
        <w:t>вые гидроподъемники шасси (с увеличен</w:t>
      </w:r>
      <w:r w:rsidRPr="00271E51">
        <w:rPr>
          <w:rFonts w:ascii="Times New Roman" w:hAnsi="Times New Roman" w:cs="Times New Roman"/>
          <w:color w:val="0070C0"/>
          <w:sz w:val="16"/>
          <w:szCs w:val="16"/>
        </w:rPr>
        <w:softHyphen/>
        <w:t>ным диаметром поршня), изменили ко</w:t>
      </w:r>
      <w:r w:rsidRPr="00271E51">
        <w:rPr>
          <w:rFonts w:ascii="Times New Roman" w:hAnsi="Times New Roman" w:cs="Times New Roman"/>
          <w:color w:val="0070C0"/>
          <w:sz w:val="16"/>
          <w:szCs w:val="16"/>
        </w:rPr>
        <w:softHyphen/>
        <w:t>стыльную установку, поставили основные</w:t>
      </w:r>
    </w:p>
    <w:p w14:paraId="7E555C02"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колеса и хвостовое колесо шасси боль</w:t>
      </w:r>
      <w:r w:rsidRPr="00271E51">
        <w:rPr>
          <w:rFonts w:ascii="Times New Roman" w:hAnsi="Times New Roman" w:cs="Times New Roman"/>
          <w:color w:val="0070C0"/>
          <w:sz w:val="16"/>
          <w:szCs w:val="16"/>
        </w:rPr>
        <w:softHyphen/>
        <w:t>ших размеров (800*260 и 400*150 мм). Переделали всю воздушную систему пе</w:t>
      </w:r>
      <w:r w:rsidRPr="00271E51">
        <w:rPr>
          <w:rFonts w:ascii="Times New Roman" w:hAnsi="Times New Roman" w:cs="Times New Roman"/>
          <w:color w:val="0070C0"/>
          <w:sz w:val="16"/>
          <w:szCs w:val="16"/>
        </w:rPr>
        <w:softHyphen/>
        <w:t>резарядки и спусков («в соответствии с указаниями, данными в акте по государ</w:t>
      </w:r>
      <w:r w:rsidRPr="00271E51">
        <w:rPr>
          <w:rFonts w:ascii="Times New Roman" w:hAnsi="Times New Roman" w:cs="Times New Roman"/>
          <w:color w:val="0070C0"/>
          <w:sz w:val="16"/>
          <w:szCs w:val="16"/>
        </w:rPr>
        <w:softHyphen/>
        <w:t>ственным испытаниям») и систему ава</w:t>
      </w:r>
      <w:r w:rsidRPr="00271E51">
        <w:rPr>
          <w:rFonts w:ascii="Times New Roman" w:hAnsi="Times New Roman" w:cs="Times New Roman"/>
          <w:color w:val="0070C0"/>
          <w:sz w:val="16"/>
          <w:szCs w:val="16"/>
        </w:rPr>
        <w:softHyphen/>
        <w:t>рийного сбрасывания фонарей летчика и воздушного стрелка (фонарь сбрасывался от одной ручки).</w:t>
      </w:r>
    </w:p>
    <w:p w14:paraId="2BB7C2AC"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Стрелково-пушечное и ракетное во</w:t>
      </w:r>
      <w:r w:rsidRPr="00271E51">
        <w:rPr>
          <w:rFonts w:ascii="Times New Roman" w:hAnsi="Times New Roman" w:cs="Times New Roman"/>
          <w:color w:val="0070C0"/>
          <w:sz w:val="16"/>
          <w:szCs w:val="16"/>
        </w:rPr>
        <w:softHyphen/>
        <w:t>оружение оставили без изменений, но бомбовую нагрузку в нормальном вари</w:t>
      </w:r>
      <w:r w:rsidRPr="00271E51">
        <w:rPr>
          <w:rFonts w:ascii="Times New Roman" w:hAnsi="Times New Roman" w:cs="Times New Roman"/>
          <w:color w:val="0070C0"/>
          <w:sz w:val="16"/>
          <w:szCs w:val="16"/>
        </w:rPr>
        <w:softHyphen/>
        <w:t>анте загрузки увеличили до 400 кг при максимальной емкости в 600 кг.</w:t>
      </w:r>
    </w:p>
    <w:p w14:paraId="43B40365" w14:textId="77777777" w:rsidR="003F06D0" w:rsidRPr="00271E51" w:rsidRDefault="003F06D0"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При этом бомбардировочное воору</w:t>
      </w:r>
      <w:r w:rsidRPr="00271E51">
        <w:rPr>
          <w:rFonts w:ascii="Times New Roman" w:hAnsi="Times New Roman" w:cs="Times New Roman"/>
          <w:color w:val="0070C0"/>
          <w:sz w:val="16"/>
          <w:szCs w:val="16"/>
        </w:rPr>
        <w:softHyphen/>
        <w:t>жение доработали так, что количество осколочных бомб калибра 25 кг и ме</w:t>
      </w:r>
      <w:r w:rsidRPr="00271E51">
        <w:rPr>
          <w:rFonts w:ascii="Times New Roman" w:hAnsi="Times New Roman" w:cs="Times New Roman"/>
          <w:color w:val="0070C0"/>
          <w:sz w:val="16"/>
          <w:szCs w:val="16"/>
        </w:rPr>
        <w:softHyphen/>
        <w:t>нее возросло. Теперь в отсеки самолета можно было загрузить 20 АО-25 (500 кг), 20 А0-20 (400 кг), 26 АО-15 (390 кг), 60 АО-Юсч (600 кг), 75 АО-8ук (600 кг), 200 АО-2,5сч (600 кг).</w:t>
      </w:r>
    </w:p>
    <w:p w14:paraId="6BF31B65"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Style w:val="128pt100"/>
          <w:rFonts w:ascii="Times New Roman" w:hAnsi="Times New Roman" w:cs="Times New Roman"/>
          <w:i w:val="0"/>
          <w:iCs w:val="0"/>
          <w:color w:val="0070C0"/>
        </w:rPr>
        <w:t>Ведущий инженер по самолету Су-6 от НИИ ВВС инженер-майор Синельни</w:t>
      </w:r>
      <w:r w:rsidRPr="00271E51">
        <w:rPr>
          <w:rStyle w:val="128pt100"/>
          <w:rFonts w:ascii="Times New Roman" w:hAnsi="Times New Roman" w:cs="Times New Roman"/>
          <w:i w:val="0"/>
          <w:iCs w:val="0"/>
          <w:color w:val="0070C0"/>
        </w:rPr>
        <w:softHyphen/>
        <w:t>ков после посещения завода №289 и бе</w:t>
      </w:r>
      <w:r w:rsidRPr="00271E51">
        <w:rPr>
          <w:rStyle w:val="128pt100"/>
          <w:rFonts w:ascii="Times New Roman" w:hAnsi="Times New Roman" w:cs="Times New Roman"/>
          <w:i w:val="0"/>
          <w:iCs w:val="0"/>
          <w:color w:val="0070C0"/>
        </w:rPr>
        <w:softHyphen/>
        <w:t>седы с главным конструктором Сухим до</w:t>
      </w:r>
      <w:r w:rsidRPr="00271E51">
        <w:rPr>
          <w:rStyle w:val="128pt100"/>
          <w:rFonts w:ascii="Times New Roman" w:hAnsi="Times New Roman" w:cs="Times New Roman"/>
          <w:i w:val="0"/>
          <w:iCs w:val="0"/>
          <w:color w:val="0070C0"/>
        </w:rPr>
        <w:softHyphen/>
        <w:t>кладывал:</w:t>
      </w:r>
      <w:r w:rsidRPr="00271E51">
        <w:rPr>
          <w:rFonts w:ascii="Times New Roman" w:hAnsi="Times New Roman"/>
          <w:i/>
          <w:iCs/>
          <w:color w:val="0070C0"/>
          <w:sz w:val="16"/>
          <w:szCs w:val="16"/>
        </w:rPr>
        <w:t xml:space="preserve"> </w:t>
      </w:r>
      <w:r w:rsidRPr="00271E51">
        <w:rPr>
          <w:rFonts w:ascii="Times New Roman" w:hAnsi="Times New Roman"/>
          <w:color w:val="0070C0"/>
          <w:sz w:val="16"/>
          <w:szCs w:val="16"/>
        </w:rPr>
        <w:t>«Опытные водяной и масляный радиаторы конструкции т. Воронина бу</w:t>
      </w:r>
      <w:r w:rsidRPr="00271E51">
        <w:rPr>
          <w:rFonts w:ascii="Times New Roman" w:hAnsi="Times New Roman"/>
          <w:color w:val="0070C0"/>
          <w:sz w:val="16"/>
          <w:szCs w:val="16"/>
        </w:rPr>
        <w:softHyphen/>
        <w:t>дут изготовлены в начале декабря 1943 г., соответственно, готовность самолета ожидается на 20 декабря 1943 г. После со</w:t>
      </w:r>
      <w:r w:rsidRPr="00271E51">
        <w:rPr>
          <w:rFonts w:ascii="Times New Roman" w:hAnsi="Times New Roman"/>
          <w:color w:val="0070C0"/>
          <w:sz w:val="16"/>
          <w:szCs w:val="16"/>
        </w:rPr>
        <w:softHyphen/>
        <w:t>кращенных заводских летных испытаний самолет будет передан в НИИ ВВС. В на</w:t>
      </w:r>
      <w:r w:rsidRPr="00271E51">
        <w:rPr>
          <w:rFonts w:ascii="Times New Roman" w:hAnsi="Times New Roman"/>
          <w:color w:val="0070C0"/>
          <w:sz w:val="16"/>
          <w:szCs w:val="16"/>
        </w:rPr>
        <w:softHyphen/>
        <w:t>стоящее время работы задерживаются из-за отсутствия мотора АМ-42 на за</w:t>
      </w:r>
      <w:r w:rsidRPr="00271E51">
        <w:rPr>
          <w:rFonts w:ascii="Times New Roman" w:hAnsi="Times New Roman"/>
          <w:color w:val="0070C0"/>
          <w:sz w:val="16"/>
          <w:szCs w:val="16"/>
        </w:rPr>
        <w:softHyphen/>
        <w:t>воде №289 (19853).</w:t>
      </w:r>
    </w:p>
    <w:p w14:paraId="686EEC7F" w14:textId="77777777" w:rsidR="003F06D0" w:rsidRPr="00271E51" w:rsidRDefault="003F06D0" w:rsidP="00271E51">
      <w:pPr>
        <w:spacing w:after="0" w:line="240" w:lineRule="auto"/>
        <w:jc w:val="both"/>
        <w:rPr>
          <w:rFonts w:ascii="Times New Roman" w:hAnsi="Times New Roman"/>
          <w:color w:val="0070C0"/>
          <w:sz w:val="16"/>
          <w:szCs w:val="16"/>
        </w:rPr>
      </w:pPr>
    </w:p>
    <w:p w14:paraId="1BA4B3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Ильюшин распоря</w:t>
      </w:r>
      <w:r w:rsidRPr="00271E51">
        <w:rPr>
          <w:rFonts w:ascii="Times New Roman" w:hAnsi="Times New Roman"/>
          <w:color w:val="000000" w:themeColor="text1"/>
          <w:sz w:val="16"/>
          <w:szCs w:val="16"/>
        </w:rPr>
        <w:softHyphen/>
        <w:t>дился прекратить работы по Ил-4ТК (10734,87).</w:t>
      </w:r>
    </w:p>
    <w:p w14:paraId="189389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BE6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Ильюшин распорядился прекратить работы по Ил-4ТК (12021).</w:t>
      </w:r>
    </w:p>
    <w:p w14:paraId="50B434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EF2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взлетные лыжи приняли на вооружение: ГВФ - приказом начальника ГУ ГВФ № 171, а ВВС ВМФ - 15 ноября 1943 г. приказом начальника ВВС ВМФ № 136.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5195EE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8B5C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вышел приказ НКАП № 673с о расформировании з-да 9 Оргавиапрома</w:t>
      </w:r>
    </w:p>
    <w:p w14:paraId="1D922F2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(1752, 198).</w:t>
      </w:r>
    </w:p>
    <w:p w14:paraId="0C284DF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014442FF"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shd w:val="clear" w:color="auto" w:fill="FFFFFF"/>
        </w:rPr>
        <w:t>10 ноября 1943 г. Завод № 9, созданный в Бердянске как инструментальный завод ОАП и эвакуированный в Бердск, приказу НКАП № 673с был расформирован, и выбыл из числа действующих. Все сооружения переданы заводу № 296 НКАП в г. Бердске, часть оборудования передана авиастроительному производству завода № 125. производственная площадка завода № 9 в г. Осипенко по приказу № 279/168 от 31.07.1945 г. была передана в НКЭС, далее это — Южный завод гидравлических машин. Так появился в Бердянске завод гидравлических машин — ныне «Южгидромаш» (19584).</w:t>
      </w:r>
    </w:p>
    <w:p w14:paraId="32CAD594"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2A70574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генерал А. Аполлонов с группой офи</w:t>
      </w:r>
      <w:r w:rsidRPr="00271E51">
        <w:rPr>
          <w:rFonts w:ascii="Times New Roman" w:hAnsi="Times New Roman"/>
          <w:color w:val="000000" w:themeColor="text1"/>
          <w:sz w:val="16"/>
          <w:szCs w:val="16"/>
        </w:rPr>
        <w:softHyphen/>
        <w:t>церов на самолете Ли-2 (командир экипажа майор М. Скрыльников) прилетел в Баку. Там его уже ждал Н. Комолов, который доложил ему прогноз погоды по маршруту и в пункте посадки. Он просил Аполлонова дать разрешение на вылет группе правительственных самолетов из Баку в Тегеран, пока не за</w:t>
      </w:r>
      <w:r w:rsidRPr="00271E51">
        <w:rPr>
          <w:rFonts w:ascii="Times New Roman" w:hAnsi="Times New Roman"/>
          <w:color w:val="000000" w:themeColor="text1"/>
          <w:sz w:val="16"/>
          <w:szCs w:val="16"/>
        </w:rPr>
        <w:softHyphen/>
        <w:t>крыты горы и перевалы. Комолов утверждал, что к прилету самолетов в Теге</w:t>
      </w:r>
      <w:r w:rsidRPr="00271E51">
        <w:rPr>
          <w:rFonts w:ascii="Times New Roman" w:hAnsi="Times New Roman"/>
          <w:color w:val="000000" w:themeColor="text1"/>
          <w:sz w:val="16"/>
          <w:szCs w:val="16"/>
        </w:rPr>
        <w:softHyphen/>
        <w:t>ран аэродром там откроется. После некоторых сомнений разрешение на вылет из Баку в Тегеран было дано. Самолеты один за другим поднялись в воздух и взяли заданный курс.</w:t>
      </w:r>
    </w:p>
    <w:p w14:paraId="32D1DD5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перелета, командование ВВС и другие специалисты настаи</w:t>
      </w:r>
      <w:r w:rsidRPr="00271E51">
        <w:rPr>
          <w:rFonts w:ascii="Times New Roman" w:hAnsi="Times New Roman"/>
          <w:color w:val="000000" w:themeColor="text1"/>
          <w:sz w:val="16"/>
          <w:szCs w:val="16"/>
        </w:rPr>
        <w:softHyphen/>
        <w:t>вали на возвращении самолетов в Баку. Им было не понятно как можно лететь на закрытый аэродром. Комолов настаивал на том, чтобы самолеты не возвра</w:t>
      </w:r>
      <w:r w:rsidRPr="00271E51">
        <w:rPr>
          <w:rFonts w:ascii="Times New Roman" w:hAnsi="Times New Roman"/>
          <w:color w:val="000000" w:themeColor="text1"/>
          <w:sz w:val="16"/>
          <w:szCs w:val="16"/>
        </w:rPr>
        <w:softHyphen/>
        <w:t>щались. Его прогноз оправдался: за час до подхода к Тегерану туман над аэродромом рассеялся, и самолеты благополучно произвели посадку на теге</w:t>
      </w:r>
      <w:r w:rsidRPr="00271E51">
        <w:rPr>
          <w:rFonts w:ascii="Times New Roman" w:hAnsi="Times New Roman"/>
          <w:color w:val="000000" w:themeColor="text1"/>
          <w:sz w:val="16"/>
          <w:szCs w:val="16"/>
        </w:rPr>
        <w:softHyphen/>
        <w:t>ранском аэродроме. Все самолеты были взяты под охрану, а экипажи отправ</w:t>
      </w:r>
      <w:r w:rsidRPr="00271E51">
        <w:rPr>
          <w:rFonts w:ascii="Times New Roman" w:hAnsi="Times New Roman"/>
          <w:color w:val="000000" w:themeColor="text1"/>
          <w:sz w:val="16"/>
          <w:szCs w:val="16"/>
        </w:rPr>
        <w:softHyphen/>
        <w:t>лены в советское посольство. Кстати, для охраны советской правительствен</w:t>
      </w:r>
      <w:r w:rsidRPr="00271E51">
        <w:rPr>
          <w:rFonts w:ascii="Times New Roman" w:hAnsi="Times New Roman"/>
          <w:color w:val="000000" w:themeColor="text1"/>
          <w:sz w:val="16"/>
          <w:szCs w:val="16"/>
        </w:rPr>
        <w:softHyphen/>
        <w:t>ной делегации в Тегеране привлекался полнокровный полк НКВД, полностью состоящий из пограничников....</w:t>
      </w:r>
    </w:p>
    <w:p w14:paraId="3825CCF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менее успешно прошел вылет самолетов правительственной делегации из Тегерана в Баку, а затем и в Москву после окончания конференции глав трех великих держав.</w:t>
      </w:r>
    </w:p>
    <w:p w14:paraId="1D357E0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успешное выполнение специального правительственного задания М. Красильников был награжден орденом Красного Знамени, были отмечены высокими наградами все члены группы обеспечения. В 1946 г. полковник М. Красильников по состоянию здоровья вышел в отставку. Но неуемный ха</w:t>
      </w:r>
      <w:r w:rsidRPr="00271E51">
        <w:rPr>
          <w:rFonts w:ascii="Times New Roman" w:hAnsi="Times New Roman"/>
          <w:color w:val="000000" w:themeColor="text1"/>
          <w:sz w:val="16"/>
          <w:szCs w:val="16"/>
        </w:rPr>
        <w:softHyphen/>
        <w:t>рактер не позволял ему сидеть без работы. С 1947 по 1954 г. он трудился стар</w:t>
      </w:r>
      <w:r w:rsidRPr="00271E51">
        <w:rPr>
          <w:rFonts w:ascii="Times New Roman" w:hAnsi="Times New Roman"/>
          <w:color w:val="000000" w:themeColor="text1"/>
          <w:sz w:val="16"/>
          <w:szCs w:val="16"/>
        </w:rPr>
        <w:softHyphen/>
        <w:t>шим инженером ВНИИ ВВС № 4, затем главным механиком Ярославского тех</w:t>
      </w:r>
      <w:r w:rsidRPr="00271E51">
        <w:rPr>
          <w:rFonts w:ascii="Times New Roman" w:hAnsi="Times New Roman"/>
          <w:color w:val="000000" w:themeColor="text1"/>
          <w:sz w:val="16"/>
          <w:szCs w:val="16"/>
        </w:rPr>
        <w:softHyphen/>
        <w:t>нологического института и в других организациях. Михаил Сергеевич прини</w:t>
      </w:r>
      <w:r w:rsidRPr="00271E51">
        <w:rPr>
          <w:rFonts w:ascii="Times New Roman" w:hAnsi="Times New Roman"/>
          <w:color w:val="000000" w:themeColor="text1"/>
          <w:sz w:val="16"/>
          <w:szCs w:val="16"/>
        </w:rPr>
        <w:softHyphen/>
        <w:t>мал активное участие в общественной работе. На общественных началах рабо</w:t>
      </w:r>
      <w:r w:rsidRPr="00271E51">
        <w:rPr>
          <w:rFonts w:ascii="Times New Roman" w:hAnsi="Times New Roman"/>
          <w:color w:val="000000" w:themeColor="text1"/>
          <w:sz w:val="16"/>
          <w:szCs w:val="16"/>
        </w:rPr>
        <w:softHyphen/>
        <w:t>тал старшим инженером Кировского райисполкома, вел технический надзор за строительством зданий университета, райвоенкомата и райисполкома. На</w:t>
      </w:r>
      <w:r w:rsidRPr="00271E51">
        <w:rPr>
          <w:rFonts w:ascii="Times New Roman" w:hAnsi="Times New Roman"/>
          <w:color w:val="000000" w:themeColor="text1"/>
          <w:sz w:val="16"/>
          <w:szCs w:val="16"/>
        </w:rPr>
        <w:softHyphen/>
        <w:t>гражден двумя орденами Красного Знамени, орденами Красной Звезды, Оте</w:t>
      </w:r>
      <w:r w:rsidRPr="00271E51">
        <w:rPr>
          <w:rFonts w:ascii="Times New Roman" w:hAnsi="Times New Roman"/>
          <w:color w:val="000000" w:themeColor="text1"/>
          <w:sz w:val="16"/>
          <w:szCs w:val="16"/>
        </w:rPr>
        <w:softHyphen/>
        <w:t>чественной войны, «Знак Почета», медалями.</w:t>
      </w:r>
    </w:p>
    <w:p w14:paraId="282FD32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 успешное выполнение правительственного задания летный и техниче</w:t>
      </w:r>
      <w:r w:rsidRPr="00271E51">
        <w:rPr>
          <w:rFonts w:ascii="Times New Roman" w:hAnsi="Times New Roman"/>
          <w:color w:val="000000" w:themeColor="text1"/>
          <w:sz w:val="16"/>
          <w:szCs w:val="16"/>
        </w:rPr>
        <w:softHyphen/>
        <w:t>ский состав авиационной бригады погранвойск, принимавший участие в обес</w:t>
      </w:r>
      <w:r w:rsidRPr="00271E51">
        <w:rPr>
          <w:rFonts w:ascii="Times New Roman" w:hAnsi="Times New Roman"/>
          <w:color w:val="000000" w:themeColor="text1"/>
          <w:sz w:val="16"/>
          <w:szCs w:val="16"/>
        </w:rPr>
        <w:softHyphen/>
        <w:t>печении Тегеранской конференции глав правительств СССР, США и Велико</w:t>
      </w:r>
      <w:r w:rsidRPr="00271E51">
        <w:rPr>
          <w:rFonts w:ascii="Times New Roman" w:hAnsi="Times New Roman"/>
          <w:color w:val="000000" w:themeColor="text1"/>
          <w:sz w:val="16"/>
          <w:szCs w:val="16"/>
        </w:rPr>
        <w:softHyphen/>
        <w:t>британии был награжден правительственными наградами, в том числе коман</w:t>
      </w:r>
      <w:r w:rsidRPr="00271E51">
        <w:rPr>
          <w:rFonts w:ascii="Times New Roman" w:hAnsi="Times New Roman"/>
          <w:color w:val="000000" w:themeColor="text1"/>
          <w:sz w:val="16"/>
          <w:szCs w:val="16"/>
        </w:rPr>
        <w:softHyphen/>
        <w:t>дир авиабригады генерал-майор И. Чупров был награжден орденом Красной Звезды (12299).</w:t>
      </w:r>
    </w:p>
    <w:p w14:paraId="4DC4D430"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30D1EC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962ED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4595F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из КРАТКОГО ОТЧЕТА ДИРЕКТОРА ЗАВОДА № 677 Г-Н. БРУКА И НАЧАЛЬНИКА ПЛАНОВО-ЭКОНОМИЧЕСКОГО ОТДЕЛА ЗАВОДА ДОЛГОВЕСОВА В ОТДЕЛ БОЕПРИПАСОВ ОБКОМА ВКП(б) Н.Н. ВАСИЛЬЕВУ О РАБОТЕ ЗА ПЕРИОД 1941-1943 гг.</w:t>
      </w:r>
    </w:p>
    <w:p w14:paraId="7F97D9F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 Васильеву</w:t>
      </w:r>
    </w:p>
    <w:p w14:paraId="7F917E0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677 НКБ СССР до 1 октября 1942 года входил в состав комбината № 179 и именовался ВТОРЫМ ЗАВОДОМ. С 1 октября 1942 года во исполнение Постановления СНК СССР от 26 сентября 1942 года за № 18 398 PC, приказ народного комиссара боеприпасов за № 740 от 28 сентября,- был выделен в самостоятельный государственный завод НКБ СССР с подчинением 2-му Главному управлению за № 677. До октября 1941 года завод изготовлял только одно изделие — взрыватель ГВМЗ. В октябре 1941 года в завод влилось снарядное производство корпусов 20 мм ОЗС с производственной мощностью 450 тысяч штук в месяц, или в неизменных ценах 2 250 тысяч рублей, 23 мм ОЗС с производственной мощностью 450 тысяч штук, или в неизменных ценах 2 250 тысяч рублей, и взрывателя К-6 с производственной мощностью 750 тысяч штук, или в неизменных ценах 7 000 тысяч рублей, тульского завода № 187, эвакуированного из города Тулы. Таким образом, к 1 января 1942 года заводом была освоена и изготовлялась следующая номенклатура изделий. Взрыватели ГВМЗ арт., К-6, корпуса 20 мм и 23 мм ОЗС с производственной мощностью 30 200 тысяч рублей, н к маю 1942 года завод освоил и стал изготовлять взрыватели К-20, ВТ-6 и взрыватель ГВМЗ для мин, в августе было освоено изготовление изделия МЯДШ, кроме этого завод снаряжал взрыватель ГВМЗ для мин Шадринскому заводу имени Сталина, освоил снаряжение взрывателя КТМ-1 завода № 564 с общей производственной мощностью 30 460 тысяч рублей в неизменных ценах и ведет освоение изготовления взрывателя В-195. С марта 1943 года с производства завода сняты корпус 20 мм ОЗС и взрыватель К-20. Причины невыполнения производственной программы: Неудовлетворительное обеспечение производства материалом и транспортом. В течение всего периода времени завод имел большие перебои в снабжении сталями ... латунями ... трубой красной меди и другими материалами, как-то абразивы, покупной инструмент, ремни и так далее. Указанное обстоятельство приводим к тому, что автоматный парк завода, и без того не обеспечивающий покрытие плана мощностями, вследствие малой квалификации рабочих простаивал, вызывая тем самым простои рабочих на доделочных операциях, что пагубно сказалось на выполнении плана завода, и без того плохо обеспечившего рабочей силой. Простои, вызываемые отсутствием материалов в цехах, также увеличенные из-за плохой работы и [не)обеспеченности завода транспортом, в силу чего часть даже и имеющихся материалов на складах завозилась в механические цеха с большими задержками. Из 28 автомашин, числящихся по списку, находилось в эксплуатации единовременно не более 10—12 машин. Причем парк ходовых машин, вследствие отсутствия ремонтной базы, не увеличивался. Неудовлетворительное снабжение производства инструментом и приспособлениями. До выделения из системы комбината № 179 завод не имел собственного инструментального производства, весь инструмент получал со стороны - завод № 5 комбината № 179, который выполнял заказы по режущему и мерительному инструменту на 50-60% и по приспособлениям на 10-15%. Быстро создать собственное инструментальное производство завод не мог вследствие отсутствия подготовленных площадей, сдача в эксплуатацию которых частично была произведена только в марте - апреле месяце 1943 года. Это обстоятельство привело к тому, что к моменту пуска своего инструментального цеха (март — апрель 1943 г.) нулевой запас инструмента в ЦИСе составлял из 180 номенклатур режущего инструмента — 31 номенклатуру. Наряду с инструментальным хозяйством, завод также не имел и ремонтного хозяйства, создание которого, кроме отсутствия производственных площадей, задерживалось отсутствием квалифицированных рабочих кадров. Создание РМЦ в марте 1943 года, принявшей оборудование в подношенном состоянии, требующего текущего и капитального ремонта на 60,0%. Резкое недоукомплектование завода рабочей силой, особенно квалифицированной ее частью и мужской для укомплектования автоматного парка завода и погрузочно-разгрузочных работ, также из месяца в месяц влияет на выполнение плана заводом и вызывает простои рабочих доделочных операций. Помимо указанных производственных причин, на результатах работы завода отразилось: позднее создание ОРСа на заводе и собственного подсобного хозяйства (март месяц 1943 г.). Отсутствие необходимой базы ОКСа завода, вынужденного проводить работы подрядным способом, что затягивало строительство нужных заводу объектов. На первое ноября 1943 года завод обеспечен рабочей силой всего лишь на 71,2%, из которых рабочие до 18-летнего возраста составляют 62%. Из общего количества рабочих 4 517 человек — женщин 3 142 человека. Таким образом, основной контингент - женщины и рабочие до 18-летнего возраста. Подавляющее большинство рабочих - малоквалифицированные, не имеющие опыта и сноровки в работе, поэтому большое количество рабочих проходит производственное обучение по форме бригадно-индивидуального ученичества путем прикрепления учеников к квалифицированным рабочим и обучение по договорам, а также показа на рабочем месте, индивидуальное шефство квалифицированных рабочих над рабочими низких квалификаций. Для нормальной работы заводу необходимо получить рабочих в плановом порядке как минимум до 1 200 человек. Материально-бытовое обеспечение рабочих завода на сегодняшний день все еще является неудовлетворительным. Вследствие позднего выделения заводу подсобного хозяйства завод оказался необеспеченным на зиму овощами и другими продуктами питания, приобрести же их завод собственными силами, путем децентрализованных заготовок, полностью потребное количество не сможет, других источников покрытия завод не имеет, поэтому необходимо дополнительно в плановом порядке выделить заводу фонды овощей и продуктов на контингент 5 000 человек. Завод располагает 36 000 квадратными метрами жилплощади, из которой занимается рабочими завода только 21%, остальная площадь занята контингентом других заводов, предприятий и организаций. Рабочие завода полностью не обеспечены квартирами. На 1 ноября около ста семей нуждаются в жилой площади и около 10% контингента живет на подселении в порядке уплотнения. Состояние трудовой дисциплины на заводе за период 1942-1943 гг. является неудовлетворительным. За этот период 1 536 человек сбежало с завода и 1704 человека являются прогульщиками. Большое количество дезертирства падало на молодых рабочих, мобилизованных из сельских районов, вследствие слабой политико-массовой работы, низкого уровня материально-бытовых условий.</w:t>
      </w:r>
    </w:p>
    <w:p w14:paraId="0B9D578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677 Брук</w:t>
      </w:r>
    </w:p>
    <w:p w14:paraId="2E3355F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ПЭО Долговесов</w:t>
      </w:r>
    </w:p>
    <w:p w14:paraId="0275DDF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514. Л. 45-49. Подлинник.</w:t>
      </w:r>
    </w:p>
    <w:p w14:paraId="7ED1228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Подписи-автографы Брука н Долговесова. Справка составлена в 2 экз. на бланке завода X? 677. В левом верхнем углу - штамп завода и дата: «10/Х1.1943 г.».</w:t>
      </w:r>
    </w:p>
    <w:p w14:paraId="382647B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таблице, показывающей выпуск продукции по годам, последняя графа - «Ожидаемое выполнение 1943 года» - сокращена.</w:t>
      </w:r>
    </w:p>
    <w:p w14:paraId="2F99607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514. Л. 62-62об. Подлинник.</w:t>
      </w:r>
    </w:p>
    <w:p w14:paraId="2A1779A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Подписи-автографы фиолетовыми чернилами не читаются (12194).</w:t>
      </w:r>
    </w:p>
    <w:p w14:paraId="61A3824A"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58CA43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по приказу НКБ № 1045с с завода № 549 (Завод № 549 НКБ /г. Челябинск/) на завод № 599 переведено 3 специалиста.</w:t>
      </w:r>
    </w:p>
    <w:p w14:paraId="629301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завода основные цехи (1943 г.): механический, кузнечно-прессовый, литейный.</w:t>
      </w:r>
    </w:p>
    <w:p w14:paraId="3CB96A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22.06.1944 г. вышло распоряжение ГКО № 6088 об освобождении завода во 2-м квартале от изготовления замков направляющих для М-13.</w:t>
      </w:r>
    </w:p>
    <w:p w14:paraId="303FEC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(1943 г.): производственная- 2439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вспомогательная- 450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F69C4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(12.1942 г.)- 1176 чел.</w:t>
      </w:r>
    </w:p>
    <w:p w14:paraId="37A866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(04.1943 г.)- Ильин, (11.1943 г.)- Заикин.</w:t>
      </w:r>
    </w:p>
    <w:p w14:paraId="526277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планового (04.1943 г.)- Самойлов.</w:t>
      </w:r>
    </w:p>
    <w:p w14:paraId="2698B4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корпуса снарядов; узлы М-13; станок Т-50 (1943) (11982).</w:t>
      </w:r>
    </w:p>
    <w:p w14:paraId="4B63A5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F03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1943г. была подготовлена ДОКЛАДНАЯ ЗАПИСКА И.В. СТАЛИНУ О ТЯЖЕЛОМ ТАНКЕ ИС СО 122-мм ПУШКОЙ</w:t>
      </w:r>
    </w:p>
    <w:p w14:paraId="48BF32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тяжелом танке ИС со 122-мм пушкой.</w:t>
      </w:r>
    </w:p>
    <w:p w14:paraId="6A0B31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постановления ГОКО от 4 сентября с.г. за №4043 Наркомтанкопромом изготов</w:t>
      </w:r>
      <w:r w:rsidRPr="00271E51">
        <w:rPr>
          <w:rFonts w:ascii="Times New Roman" w:hAnsi="Times New Roman"/>
          <w:color w:val="000000" w:themeColor="text1"/>
          <w:sz w:val="16"/>
          <w:szCs w:val="16"/>
        </w:rPr>
        <w:softHyphen/>
        <w:t>лен тяжелый танк ИС-2 конструкции т. Котина, с пушкой 122 мм завода №9 НКВ.</w:t>
      </w:r>
    </w:p>
    <w:p w14:paraId="4A8003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ИС-2 с 1 по 23 октября с.г. прошел и выдержал ходовые и артиллерийские испытания и при устранении обнаруженных недостатков может быть принят на вооружение армии.</w:t>
      </w:r>
    </w:p>
    <w:p w14:paraId="2C1D43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ИС-2, обладая хорошими маневренностью и броней, вооружен самой мощной танковой пуш</w:t>
      </w:r>
      <w:r w:rsidRPr="00271E51">
        <w:rPr>
          <w:rFonts w:ascii="Times New Roman" w:hAnsi="Times New Roman"/>
          <w:color w:val="000000" w:themeColor="text1"/>
          <w:sz w:val="16"/>
          <w:szCs w:val="16"/>
        </w:rPr>
        <w:softHyphen/>
        <w:t>кой калибра 122 мм, способной поражать наиболее тяжелые немецкие танки с дистанции 1,5-2 км.</w:t>
      </w:r>
    </w:p>
    <w:p w14:paraId="79B19D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прилагаемом проекте постановления ГОКО предусматривается выпуск уже в декабре месяце с.г. 50 танков ИС-2 со 122-мм пушкой.</w:t>
      </w:r>
    </w:p>
    <w:p w14:paraId="2DF006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Просим утвердить проект постановления ГОКО.</w:t>
      </w:r>
    </w:p>
    <w:p w14:paraId="6C44C1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 Берия</w:t>
      </w:r>
    </w:p>
    <w:p w14:paraId="24CC9E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Малышев</w:t>
      </w:r>
    </w:p>
    <w:p w14:paraId="58EBA4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 Устинов</w:t>
      </w:r>
    </w:p>
    <w:p w14:paraId="631DFF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Федоренко</w:t>
      </w:r>
    </w:p>
    <w:p w14:paraId="10E27F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p>
    <w:p w14:paraId="5C45D8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ПОСТАНОВЛЕНИЯ ГОСУДАРСТВЕННОГО КОМИТЕТА ОБОРОНЫ О тяжелом танке ИС со 122-мм пушкой</w:t>
      </w:r>
    </w:p>
    <w:p w14:paraId="7E8482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3C88D4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Принять на вооружение Красной Армии тяжелый танк ИС-2 конструкции т. Котина со 122-мм пушкой Д-25 конструкции завода №9 НКВ с тактико-технической характеристикой согласно приложению</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w:t>
      </w:r>
    </w:p>
    <w:p w14:paraId="68430E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Наркомтанкопром (т. Малышева), главного конструктора НКТП т. Котина и директо</w:t>
      </w:r>
      <w:r w:rsidRPr="00271E51">
        <w:rPr>
          <w:rFonts w:ascii="Times New Roman" w:hAnsi="Times New Roman"/>
          <w:color w:val="000000" w:themeColor="text1"/>
          <w:sz w:val="16"/>
          <w:szCs w:val="16"/>
        </w:rPr>
        <w:softHyphen/>
        <w:t>ра Кировского завода т. Сальцмана обеспечить в декабре месяце 1943 г. выпуск 50 танков ИС-2 в счет плана выпуска танков ИС, утвержденного постановлением ГОКО от сентября с.г. за №4043сс.</w:t>
      </w:r>
    </w:p>
    <w:p w14:paraId="6F9375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Наркомвооружения (т. Устинова) и директора завода №9 НКВ т. Гонора обеспечить подачу пушек Д-25 Кировскому заводу ИКТП в следующие сроки и количестве: с 20 ноября по 1 декабря 1943 г. — 10 шт.; с 1 по 15 декабря 1943 г — 20 шт.; с 15 декабря 1943 г. по 1 января 1944 г. — 30 шт.; в январе 1944 г. — 100 шт.</w:t>
      </w:r>
    </w:p>
    <w:p w14:paraId="07209C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Установить, что с января месяца 1944 г. все танки ИС-2 должны выпускаться с пушками Д-25 калибра 122 мм.</w:t>
      </w:r>
    </w:p>
    <w:p w14:paraId="0920E7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Наркомвооружения (т. Устинова) и директора завода №9 НКВ т. Гонора обеспечить выпуск пушке Д-25 с клиновым полуавтоматическим затвором вместо ныне существующего порш</w:t>
      </w:r>
      <w:r w:rsidRPr="00271E51">
        <w:rPr>
          <w:rFonts w:ascii="Times New Roman" w:hAnsi="Times New Roman"/>
          <w:color w:val="000000" w:themeColor="text1"/>
          <w:sz w:val="16"/>
          <w:szCs w:val="16"/>
        </w:rPr>
        <w:softHyphen/>
        <w:t>невого затвора и с электроспуском.</w:t>
      </w:r>
    </w:p>
    <w:p w14:paraId="4E6726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Государственного комитета обороны И. Сталин</w:t>
      </w:r>
    </w:p>
    <w:p w14:paraId="663F21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1401. Л. 43-44. Копия (11403).</w:t>
      </w:r>
    </w:p>
    <w:p w14:paraId="1EE8A4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7A9DB"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10 ноября 1943 Грабин в письме о танках для своих работ пытался заменить один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-1С на КВ-85. Прось</w:t>
      </w:r>
      <w:r w:rsidRPr="00271E51">
        <w:rPr>
          <w:rFonts w:ascii="Times New Roman" w:hAnsi="Times New Roman"/>
          <w:color w:val="000000" w:themeColor="text1"/>
          <w:sz w:val="16"/>
          <w:szCs w:val="16"/>
        </w:rPr>
        <w:softHyphen/>
        <w:t>ба была удовлетворена: на переданном ЦАКБ КВ-85 испытывалась 100-мм пушка С-34 (17484).</w:t>
      </w:r>
    </w:p>
    <w:p w14:paraId="013C175F"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79593E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была подготовлена ДОКЛАДНАЯ ЗАПИСКА НАЧАЛЬНИКА ГАВТУ КА А.В. ХРУЛЕВУ О ВЫПОЛНЕНИИ ПЛАНА ПРОИЗВОДСТВА И ОБЕСПЕЧЕНИЯ АВТОМОБИЛЬНЫМ ТРАНСПОРТОМ ВОЙСКОВЫХ ЧАСТЕЙ И СОЕДИНЕНИЙ КРАСНОЙ АРМИИ</w:t>
      </w:r>
    </w:p>
    <w:p w14:paraId="6FC732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о выполнении плана производства и обеспечения автомобильным транспортом войсковых частей и соединений Красной Армии за октябрь месяц 1943 года:</w:t>
      </w:r>
    </w:p>
    <w:p w14:paraId="47F46B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Производство По плану предусмотрено поступление автомашин за месяц:</w:t>
      </w:r>
    </w:p>
    <w:tbl>
      <w:tblPr>
        <w:tblW w:w="0" w:type="auto"/>
        <w:tblInd w:w="40" w:type="dxa"/>
        <w:tblLayout w:type="fixed"/>
        <w:tblCellMar>
          <w:left w:w="40" w:type="dxa"/>
          <w:right w:w="40" w:type="dxa"/>
        </w:tblCellMar>
        <w:tblLook w:val="0000" w:firstRow="0" w:lastRow="0" w:firstColumn="0" w:lastColumn="0" w:noHBand="0" w:noVBand="0"/>
      </w:tblPr>
      <w:tblGrid>
        <w:gridCol w:w="2093"/>
        <w:gridCol w:w="2074"/>
        <w:gridCol w:w="2198"/>
        <w:gridCol w:w="2093"/>
      </w:tblGrid>
      <w:tr w:rsidR="00A907A5" w:rsidRPr="00271E51" w14:paraId="33D286E6" w14:textId="77777777" w:rsidTr="00ED5B0A">
        <w:trPr>
          <w:trHeight w:val="278"/>
        </w:trPr>
        <w:tc>
          <w:tcPr>
            <w:tcW w:w="2093" w:type="dxa"/>
            <w:tcBorders>
              <w:top w:val="single" w:sz="6" w:space="0" w:color="auto"/>
              <w:left w:val="single" w:sz="6" w:space="0" w:color="auto"/>
              <w:bottom w:val="single" w:sz="6" w:space="0" w:color="auto"/>
              <w:right w:val="nil"/>
            </w:tcBorders>
          </w:tcPr>
          <w:p w14:paraId="06DFA5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AEC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nil"/>
              <w:bottom w:val="single" w:sz="6" w:space="0" w:color="auto"/>
              <w:right w:val="nil"/>
            </w:tcBorders>
          </w:tcPr>
          <w:p w14:paraId="05B9F9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p w14:paraId="4AACB0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nil"/>
              <w:bottom w:val="single" w:sz="6" w:space="0" w:color="auto"/>
              <w:right w:val="nil"/>
            </w:tcBorders>
          </w:tcPr>
          <w:p w14:paraId="5E01B6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 поступило</w:t>
            </w:r>
          </w:p>
          <w:p w14:paraId="02CC09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nil"/>
              <w:bottom w:val="single" w:sz="6" w:space="0" w:color="auto"/>
              <w:right w:val="single" w:sz="6" w:space="0" w:color="auto"/>
            </w:tcBorders>
          </w:tcPr>
          <w:p w14:paraId="6890F2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выполнения</w:t>
            </w:r>
          </w:p>
          <w:p w14:paraId="1BB618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E236C5" w14:textId="77777777" w:rsidTr="00ED5B0A">
        <w:trPr>
          <w:trHeight w:val="278"/>
        </w:trPr>
        <w:tc>
          <w:tcPr>
            <w:tcW w:w="8458" w:type="dxa"/>
            <w:gridSpan w:val="4"/>
            <w:tcBorders>
              <w:top w:val="single" w:sz="6" w:space="0" w:color="auto"/>
              <w:left w:val="single" w:sz="6" w:space="0" w:color="auto"/>
              <w:bottom w:val="single" w:sz="6" w:space="0" w:color="auto"/>
              <w:right w:val="single" w:sz="6" w:space="0" w:color="auto"/>
            </w:tcBorders>
          </w:tcPr>
          <w:p w14:paraId="2E8E05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Новое производство</w:t>
            </w:r>
          </w:p>
          <w:p w14:paraId="1982CC3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A7BD3B"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065C12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Сталина</w:t>
            </w:r>
          </w:p>
          <w:p w14:paraId="152BCC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4C600B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p w14:paraId="1BA496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142A63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2577</w:t>
            </w:r>
          </w:p>
          <w:p w14:paraId="3927CD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705B1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5D0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CCF848" w14:textId="77777777" w:rsidTr="00ED5B0A">
        <w:trPr>
          <w:trHeight w:val="269"/>
        </w:trPr>
        <w:tc>
          <w:tcPr>
            <w:tcW w:w="2093" w:type="dxa"/>
            <w:tcBorders>
              <w:top w:val="single" w:sz="6" w:space="0" w:color="auto"/>
              <w:left w:val="single" w:sz="6" w:space="0" w:color="auto"/>
              <w:bottom w:val="single" w:sz="6" w:space="0" w:color="auto"/>
              <w:right w:val="single" w:sz="6" w:space="0" w:color="auto"/>
            </w:tcBorders>
          </w:tcPr>
          <w:p w14:paraId="061377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Горьковский завод</w:t>
            </w:r>
          </w:p>
          <w:p w14:paraId="33D08F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311C5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3BD79D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9B7E8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1731</w:t>
            </w:r>
          </w:p>
          <w:p w14:paraId="7F56D1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0B774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04EB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7DB8FB"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4E5DB2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Ульяновский завод</w:t>
            </w:r>
          </w:p>
          <w:p w14:paraId="7B8C48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4FB7A5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p w14:paraId="534D65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B33E4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w:t>
            </w:r>
          </w:p>
          <w:p w14:paraId="70DCB4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5DF750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CF51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B87BE3"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392E72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p w14:paraId="45F2AD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09F1CA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p w14:paraId="1BEF01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B0B00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4692</w:t>
            </w:r>
          </w:p>
          <w:p w14:paraId="301CC4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5AA72C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117,3</w:t>
            </w:r>
          </w:p>
          <w:p w14:paraId="5A59CA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72DD3E" w14:textId="77777777" w:rsidTr="00ED5B0A">
        <w:trPr>
          <w:trHeight w:val="278"/>
        </w:trPr>
        <w:tc>
          <w:tcPr>
            <w:tcW w:w="8458" w:type="dxa"/>
            <w:gridSpan w:val="4"/>
            <w:tcBorders>
              <w:top w:val="single" w:sz="6" w:space="0" w:color="auto"/>
              <w:left w:val="single" w:sz="6" w:space="0" w:color="auto"/>
              <w:bottom w:val="single" w:sz="6" w:space="0" w:color="auto"/>
              <w:right w:val="single" w:sz="6" w:space="0" w:color="auto"/>
            </w:tcBorders>
          </w:tcPr>
          <w:p w14:paraId="5D7592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Сборка импортных машин</w:t>
            </w:r>
          </w:p>
          <w:p w14:paraId="0289B1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29EC27" w14:textId="77777777" w:rsidTr="00ED5B0A">
        <w:trPr>
          <w:trHeight w:val="269"/>
        </w:trPr>
        <w:tc>
          <w:tcPr>
            <w:tcW w:w="2093" w:type="dxa"/>
            <w:tcBorders>
              <w:top w:val="single" w:sz="6" w:space="0" w:color="auto"/>
              <w:left w:val="single" w:sz="6" w:space="0" w:color="auto"/>
              <w:bottom w:val="single" w:sz="6" w:space="0" w:color="auto"/>
              <w:right w:val="single" w:sz="6" w:space="0" w:color="auto"/>
            </w:tcBorders>
          </w:tcPr>
          <w:p w14:paraId="0C9E7C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Сталина</w:t>
            </w:r>
          </w:p>
          <w:p w14:paraId="3723B7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03137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w:t>
            </w:r>
          </w:p>
          <w:p w14:paraId="2B30A6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0468F7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1543</w:t>
            </w:r>
          </w:p>
          <w:p w14:paraId="49F711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6650F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FD2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4AC3E7"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25556D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Горьковский завод</w:t>
            </w:r>
          </w:p>
          <w:p w14:paraId="594A75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896D9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p w14:paraId="6E287F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22ACAB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p w14:paraId="553364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FB224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863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76F133"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454A72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Коломенский завод</w:t>
            </w:r>
          </w:p>
          <w:p w14:paraId="54147C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0FF61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p w14:paraId="5039DF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74B6C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1603</w:t>
            </w:r>
          </w:p>
          <w:p w14:paraId="039E95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75D7E5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90C8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24F4C6"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0D0FF1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p w14:paraId="37AE53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5C8C1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3300</w:t>
            </w:r>
          </w:p>
          <w:p w14:paraId="71B47E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45D52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3710</w:t>
            </w:r>
          </w:p>
          <w:p w14:paraId="7B3D15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716DAED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112,4</w:t>
            </w:r>
          </w:p>
          <w:p w14:paraId="17D9D0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353A84" w14:textId="77777777" w:rsidTr="00ED5B0A">
        <w:trPr>
          <w:trHeight w:val="278"/>
        </w:trPr>
        <w:tc>
          <w:tcPr>
            <w:tcW w:w="8458" w:type="dxa"/>
            <w:gridSpan w:val="4"/>
            <w:tcBorders>
              <w:top w:val="single" w:sz="6" w:space="0" w:color="auto"/>
              <w:left w:val="single" w:sz="6" w:space="0" w:color="auto"/>
              <w:bottom w:val="single" w:sz="6" w:space="0" w:color="auto"/>
              <w:right w:val="single" w:sz="6" w:space="0" w:color="auto"/>
            </w:tcBorders>
          </w:tcPr>
          <w:p w14:paraId="16CF0C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Поступление из Ирана</w:t>
            </w:r>
          </w:p>
          <w:p w14:paraId="20188F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2B18C8"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3A12D4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Машины в сборке</w:t>
            </w:r>
          </w:p>
          <w:p w14:paraId="7F790B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1BB96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6600</w:t>
            </w:r>
          </w:p>
          <w:p w14:paraId="747C2F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B44CE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5754</w:t>
            </w:r>
          </w:p>
          <w:p w14:paraId="79B8E4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5291B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87,2</w:t>
            </w:r>
          </w:p>
          <w:p w14:paraId="55069F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EE0D0D" w14:textId="77777777" w:rsidTr="00ED5B0A">
        <w:trPr>
          <w:trHeight w:val="269"/>
        </w:trPr>
        <w:tc>
          <w:tcPr>
            <w:tcW w:w="2093" w:type="dxa"/>
            <w:tcBorders>
              <w:top w:val="single" w:sz="6" w:space="0" w:color="auto"/>
              <w:left w:val="single" w:sz="6" w:space="0" w:color="auto"/>
              <w:bottom w:val="single" w:sz="6" w:space="0" w:color="auto"/>
              <w:right w:val="single" w:sz="6" w:space="0" w:color="auto"/>
            </w:tcBorders>
          </w:tcPr>
          <w:p w14:paraId="6262AB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новых машин</w:t>
            </w:r>
          </w:p>
          <w:p w14:paraId="7E6A02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43E368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13900</w:t>
            </w:r>
          </w:p>
          <w:p w14:paraId="06344C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1F64002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14156</w:t>
            </w:r>
          </w:p>
          <w:p w14:paraId="5A66D8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3681C6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101,8</w:t>
            </w:r>
          </w:p>
          <w:p w14:paraId="2BA6BE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DCD937" w14:textId="77777777" w:rsidTr="00ED5B0A">
        <w:trPr>
          <w:trHeight w:val="278"/>
        </w:trPr>
        <w:tc>
          <w:tcPr>
            <w:tcW w:w="8458" w:type="dxa"/>
            <w:gridSpan w:val="4"/>
            <w:tcBorders>
              <w:top w:val="single" w:sz="6" w:space="0" w:color="auto"/>
              <w:left w:val="single" w:sz="6" w:space="0" w:color="auto"/>
              <w:bottom w:val="single" w:sz="6" w:space="0" w:color="auto"/>
              <w:right w:val="single" w:sz="6" w:space="0" w:color="auto"/>
            </w:tcBorders>
          </w:tcPr>
          <w:p w14:paraId="65777E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авточастей РВГК</w:t>
            </w:r>
          </w:p>
          <w:p w14:paraId="343D832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16756A"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5185E4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передаче</w:t>
            </w:r>
          </w:p>
          <w:p w14:paraId="189634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56BCA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2412</w:t>
            </w:r>
          </w:p>
          <w:p w14:paraId="233584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73413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w:t>
            </w:r>
          </w:p>
          <w:p w14:paraId="03DAE2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7F42F7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1614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3C7DC4" w14:textId="77777777" w:rsidTr="00ED5B0A">
        <w:trPr>
          <w:trHeight w:val="278"/>
        </w:trPr>
        <w:tc>
          <w:tcPr>
            <w:tcW w:w="2093" w:type="dxa"/>
            <w:tcBorders>
              <w:top w:val="single" w:sz="6" w:space="0" w:color="auto"/>
              <w:left w:val="single" w:sz="6" w:space="0" w:color="auto"/>
              <w:bottom w:val="single" w:sz="6" w:space="0" w:color="auto"/>
              <w:right w:val="single" w:sz="6" w:space="0" w:color="auto"/>
            </w:tcBorders>
          </w:tcPr>
          <w:p w14:paraId="39A345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ремонта</w:t>
            </w:r>
          </w:p>
          <w:p w14:paraId="47A8E3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51FAF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521</w:t>
            </w:r>
          </w:p>
          <w:p w14:paraId="1B8B7C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12237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w:t>
            </w:r>
          </w:p>
          <w:p w14:paraId="28C513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2B85A6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4FF3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F9FCB7" w14:textId="77777777" w:rsidTr="00ED5B0A">
        <w:trPr>
          <w:trHeight w:val="298"/>
        </w:trPr>
        <w:tc>
          <w:tcPr>
            <w:tcW w:w="2093" w:type="dxa"/>
            <w:tcBorders>
              <w:top w:val="single" w:sz="6" w:space="0" w:color="auto"/>
              <w:left w:val="single" w:sz="6" w:space="0" w:color="auto"/>
              <w:bottom w:val="single" w:sz="6" w:space="0" w:color="auto"/>
              <w:right w:val="single" w:sz="6" w:space="0" w:color="auto"/>
            </w:tcBorders>
          </w:tcPr>
          <w:p w14:paraId="32B198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622122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C4879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16833</w:t>
            </w:r>
          </w:p>
          <w:p w14:paraId="735D02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523B4B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15540</w:t>
            </w:r>
          </w:p>
          <w:p w14:paraId="47C207C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79B216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92,3</w:t>
            </w:r>
          </w:p>
          <w:p w14:paraId="4015C3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60AB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Главного автомобильного управления КА генерал-майор технических войск И. Тягунов</w:t>
      </w:r>
    </w:p>
    <w:p w14:paraId="09A34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11584. Д. 104. Л. 65-67. Подлинник (11403).</w:t>
      </w:r>
    </w:p>
    <w:p w14:paraId="581A5F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96E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1943г. ДОКЛАДНАЯ ЗАПИСКА НАЧАЛЬНИКА УС ГАВТУ КА ЗАМЕСТИТЕЛЮ НАРКОМА ВНЕШНЕЙ ТОРГОВЛИ СССР И.Ф. СЕМИЧАСТНОВУ О ПОСТУПАЮЩЕЙ ИМПОРТНОЙ АВТОТЕХНИКЕ №1191896</w:t>
      </w:r>
    </w:p>
    <w:p w14:paraId="5E6C0F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 доложить Вам еще раз о том, что в результате имеющих место аварий и поломок при перегоне импортных автомашин по Ирану, на склады ГАВТУ КА №403 и 402 прибывает значительное количество дефектных машин.</w:t>
      </w:r>
    </w:p>
    <w:p w14:paraId="72A9C4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дефектами при перегоне машин являются случаи массовых хищений инструмента, запасных колес, аккумуляторных батарей, ключей зажигания, перекрывателей и др. принадлежностей.</w:t>
      </w:r>
    </w:p>
    <w:p w14:paraId="75DC22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например, по донесению т. Погосова и капитанат. Фролова в Джульфе на 1 ноября скопилось 500 машин с наличием разного рода неисправностей и по донесению подполковника т. Колотбина на складе 402 имеются более 1200 машин, требующих текущего ремонта и друкомплектования.</w:t>
      </w:r>
    </w:p>
    <w:p w14:paraId="192082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полковнику т. Зорину о такой организации перегона автомашин, при которой случаи поломок и хищения были бы минимальны и машины в Джульфе предъявлялись для сдачи военной приемке ГАВТУ КА технически исправными и полностью укомплектованными.</w:t>
      </w:r>
    </w:p>
    <w:p w14:paraId="0F4A24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снабжения ГАВТУ КА инженер-полковник Гольберг</w:t>
      </w:r>
    </w:p>
    <w:p w14:paraId="2A6AA4C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11593. Д. 108. Л. 129. Копия (11403).</w:t>
      </w:r>
    </w:p>
    <w:p w14:paraId="58410E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E08D5"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10 ноября 1943 г. на основании совместного приказа НКТП, НКВ, ГБТУ КА и ГАУ КА № 064 Еульчицкий возглавил комиссию по испытанию опытного образца 76-мм танковой пушки повышенной мощности С-54 конструкции ЦАКБ. Испытания опытного образца пушки С-54, установленной в танке Т-34, были проведены на </w:t>
      </w:r>
      <w:r w:rsidRPr="00271E51">
        <w:rPr>
          <w:rFonts w:ascii="Times New Roman" w:hAnsi="Times New Roman"/>
          <w:color w:val="0070C0"/>
          <w:sz w:val="16"/>
          <w:szCs w:val="16"/>
        </w:rPr>
        <w:lastRenderedPageBreak/>
        <w:t>Гороховецком артиллерийском научно-испытательном опытном полигоне (ГАНИОП) ГАУ КА в период с 14 по 19 ноября 1943 г. В заключительной части протокола, составленного по итогам испытаний 24 ноября 1943 г., было записано:</w:t>
      </w:r>
    </w:p>
    <w:p w14:paraId="5FF58FD8"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«Учитывая требования Армии в необходимости срочного перевооружения танков "Т-34" более мощной пушкой, комиссия считает необходимым рекомендовать пушку "С-54" для вооружения танков "Т-34", с перевооружением, в кратчайший срок, всего парка танков "Т-34" Красной Армии».</w:t>
      </w:r>
    </w:p>
    <w:p w14:paraId="6A9C41B6" w14:textId="77777777" w:rsidR="003F06D0" w:rsidRPr="00271E51" w:rsidRDefault="003F06D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1427. Л. 1] (21209).</w:t>
      </w:r>
    </w:p>
    <w:p w14:paraId="0791C0B5" w14:textId="77777777" w:rsidR="003F06D0" w:rsidRPr="00271E51" w:rsidRDefault="003F06D0" w:rsidP="00271E51">
      <w:pPr>
        <w:spacing w:after="0" w:line="240" w:lineRule="auto"/>
        <w:jc w:val="both"/>
        <w:rPr>
          <w:rFonts w:ascii="Times New Roman" w:hAnsi="Times New Roman"/>
          <w:color w:val="0070C0"/>
          <w:sz w:val="16"/>
          <w:szCs w:val="16"/>
        </w:rPr>
      </w:pPr>
    </w:p>
    <w:p w14:paraId="52CA06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Распоряжение ГКО № 4530 [О продлении до 1 января 1945 г. отсрочки от призыва 4 тыс. квалифицированных рабочих 1926 года рождения, работающих на предприятиях НКтекстиля СССР.] (7155, 98).</w:t>
      </w:r>
    </w:p>
    <w:p w14:paraId="2B6380E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5499E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4531 О слиянии Тюменского и Горьковского мотоциклетных заводов Наркомсредмаша.РГАНИР, Фонд ГКО, д. 173, лл. 99-100 (11012).</w:t>
      </w:r>
    </w:p>
    <w:p w14:paraId="7F9FE1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F05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Распоряжение ГКО № 4532. О направлении на ЗИС 800 призывников 1925 года рождения, не годных к строевой службе.РГАНИР, Фонд ГКО, д. 173, лл. 101 (11012).</w:t>
      </w:r>
    </w:p>
    <w:p w14:paraId="10C714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380B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Распоряжение ГКО № 4533 [О поставке материалов и подготовке к зимнему периоду на строительстве Алтайского, Липецкого и Владимирского тракторных заводов НКСМ.] (7155, 102,103).</w:t>
      </w:r>
    </w:p>
    <w:p w14:paraId="444E51D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A658A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4534 О материально-техническом обеспечении строительства Ульяновского автозавода им. Сталина Наркомсредмаша. (7155, 104-110,111-114).</w:t>
      </w:r>
    </w:p>
    <w:p w14:paraId="07A3FDA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4784C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4535 О плане распределения тракторов СХТЗ-НАТИ на IV квартал 1943 года. (7155, 115,116-117).</w:t>
      </w:r>
    </w:p>
    <w:p w14:paraId="07BCAEB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76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4536 О первоочередных мероприятиях по восстановлению Харьковского ордена Ленина тракторного завода им. Орджоникидзе.РГАНИР, Фонд ГКО, д. 173, лл. 118-128, 129-130 (11012).</w:t>
      </w:r>
    </w:p>
    <w:p w14:paraId="2215A5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87F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Распоряжение ГКО № 4537. О мерах по обеспечению производства думпкаров для НКУП на Калининском вагоностроительном заводе в IV кв. 1943 г.РГАНИР, Фонд ГКО, д. 173, лл. 131-132, 133-134 (11012).</w:t>
      </w:r>
    </w:p>
    <w:p w14:paraId="167DF9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681D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4538 О материально-техническом обеспечении строительства танковых заводов в IV квартале 1943 г. (7155, 135-142,143-149).</w:t>
      </w:r>
    </w:p>
    <w:p w14:paraId="353F2A1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F3F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вышло Постановление ГКО № 4539 О мероприятиях по обеспечению плана производства мотоциклов для мотомеханизированных соединений Красной Армии в IV квартале 1943 года.РГАНИР, Фонд ГКО, д. 173, лл. 150-155, 156-162 (11012).</w:t>
      </w:r>
    </w:p>
    <w:p w14:paraId="3C6D34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4F1A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567B1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214FD4"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10 ноября </w:t>
      </w:r>
      <w:r w:rsidRPr="00271E51">
        <w:rPr>
          <w:rFonts w:ascii="Times New Roman" w:hAnsi="Times New Roman"/>
          <w:color w:val="000000" w:themeColor="text1"/>
          <w:sz w:val="16"/>
          <w:szCs w:val="16"/>
        </w:rPr>
        <w:t>в 1943 году оперативная сводка Совинформбюро:</w:t>
      </w:r>
    </w:p>
    <w:p w14:paraId="4700281F"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ноября войска 1-го Украинского фронта, продолжая развивать наступление, овладели районными центрами Киевской области Иванков, Гребенки, а также заняли более 60 других населённых пунктов, в том числе Россоха, Карпиловка, Ковалёвка, Конная Выдумка, Домановка, Русаки, Фёдоровка, Сукачи,Яхновка, Раска, Песковка, Майдановка, Забуянье, Комаровка, Раевка, Раковичи,Ставище, Высокое, Лазаревка, Дубровка, Хомутец, Вильшка, Дедовщина, Веприк,Пинчуки, Степановка, Макеевка, Василево, Черняхов, Мировка.</w:t>
      </w:r>
    </w:p>
    <w:p w14:paraId="6C0FF843"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по расширению плацдармов в прежних районах и улучшили свои позиции.</w:t>
      </w:r>
    </w:p>
    <w:p w14:paraId="3BB41BB9"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северо-западнее города Невель наши войска продолжали вести бои местного значения и заняли несколько населённых пунктов.</w:t>
      </w:r>
    </w:p>
    <w:p w14:paraId="07986BF1"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 перестрелка.</w:t>
      </w:r>
    </w:p>
    <w:p w14:paraId="7D71A6F5"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ноября наши войска на всех фронтах подбили и уничтожили 53 немецких танка. В воздушных боях и огнём зенитной артиллерии сбито 12 самолётов противника.</w:t>
      </w:r>
    </w:p>
    <w:p w14:paraId="0C1EFDDE"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Бойцы Н-ского соединения с боем форсировали реку Тетерев и овладели районным центром Киевской области Иванков. В этом же районе наши подразделения прижали к реке и разгромили группу гитлеровцев численностью до 1.500 человек. Захвачены 30 орудий и большой обоз с военными грузами. Бойцы Н-ской части захватили 12 исправных немецких танков, 8 самоходных орудий, бронепоезд, 20 тракторов и 75 автомашин, 40 вагонов с продовольствием, склад боеприпасов, склад химимущества и склад радиоимущества.Отступая, немцы подорвали 19 своих танков и 8 самоходных орудий. На другом участке советские части, продвигаясь вперёд, заняли районный центр Гребенки и ряд других населённых пунктов. Уничтожено до 2.000 гитлеровцев, 25 танков, 40 орудий, 50 бронемашин и бронетранспортёров. Взяты пленные, и захвачены крупные военные склады противника.</w:t>
      </w:r>
    </w:p>
    <w:p w14:paraId="1BFDE0AD"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плацдармов.Северо-восточнее города Керчь советские подразделения атаковали противника и в результате ожесточённого боя заняли сильно укреплённый опорный пункт немцев. На поле боя остались сотни вражеских трупов. Захвачены трофеи и пленные. Южнее города Керчь противник пытался препятствовать переправе наших войск через Керченский пролив. Артиллеристы Н-ской части потопили 2 торпедных катера. Кроме того, авиацией флота потоплены сторожевой катер и быстроходная десантная баржа противника.</w:t>
      </w:r>
    </w:p>
    <w:p w14:paraId="75A11B12"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северо-западнее Невеля наши войска продолжали вести бои местного значения. Части Н-ского соединения, преодолев минные поля и проволочные заграждения противника, продвинулись вперёд и заняли несколько сильноукреплённых населённых пунктов. Немцы, стремясь задержать продвижение советских частей, предприняли пять контратак. Наши бойцы успешно отбили все контратаки противника и уничтожили до батальона гитлеровцев. На другом участке наши войска ликвидировали попытки немцев вернуть потерянные недавно позиции. Встреченные огнём из всех видов оружия, гитлеровцы отступили, оставив на поле боя свыше 600 трупов своих солдат и офицеров и 6 подбитых танков. Взяты пленные и трофеи.</w:t>
      </w:r>
    </w:p>
    <w:p w14:paraId="409873A8"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Разведчики украинского партизанского отряда имени 24 годовщины Красной Армии выяснили, что по реке Припять следует караван барж противника с военными грузами. Устроив засаду, партизаны обстреляли из противотанковых ружей и пулемётов буксирный пароход и баржи. Потоплены пароход и две баржи с грузами. Группа партизан отряда, действующего в Ровенской области, заминировала железнодорожное полотно. Немецкий воинский эшелон наскочил на мины и полетел под откос. Убито и ранено свыше 100 немецко-фашистских захватчиков.</w:t>
      </w:r>
    </w:p>
    <w:p w14:paraId="3399C016"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Киева взято в плен большое количество немецких солдат и офицеров. Обер-фельдфебель 596 немецкого пехотного полка Бернгард Вельтзак рассказал: «Мой взвод не мог удержать позицию и отступил. Узнав об этом, майор Лауц вызвал меня на командный пункт. «За самовольное оставление позиций я вас расстреляю», —кричал он с пеной у рта. Однако назавтра, когда русские перешли в атаку, весь взвод в панике побежал в лес. Солдаты снова заговорили о плене. Увидав трёх красноармейцев, мы отдали им наше вооружение и всем взводом сдались в плен». Пленный писарь штаба 172 немецкого пехотного полка ефрейтор Ганс Зимбах рассказал: «В октябре в штабе полка был получен приказ, в котором говорилось,что Киев — это сердце Украины. Этот город никогда не будет сдан русским, скольких бы жертв это ни стоило. Оборона Киева действительно потребовала колоссальных жертв. Немецкие войска понесли тяжёлые потери. Но русские сломили наше сопротивление и взяли Киев».</w:t>
      </w:r>
    </w:p>
    <w:p w14:paraId="2C6ACD7B"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Алешковичи, Орловской области: «Немецкие оккупанты разрушили и опустошили наше село. Гитлеровские убийцы 7 мая загнали в подвал группу стариков, женщин и детей и заживо сожгли их. В огне сгорели 40 человек, среди которых Степан Журавков, Мария Лунькова и её двухлетний сын, Мария Журавкова и её годовалая дочь, и другие жители. Гитлеровские бандиты ограбили село и отняли у населения все ценные вещи. Отступая, немцы сожгли 500 домов и хозяйственных построек колхозников».</w:t>
      </w:r>
    </w:p>
    <w:p w14:paraId="1859B816"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колхозницы: В.Журавкова, А.Филаченкова, М.Тимошина, Т.Слепухова, В.Морозова, А.Журавкова и другие.» (14826).</w:t>
      </w:r>
    </w:p>
    <w:p w14:paraId="44F7D3A6"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727F4EDC"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10 ноября </w:t>
      </w:r>
      <w:r w:rsidRPr="00271E51">
        <w:rPr>
          <w:rFonts w:ascii="Times New Roman" w:hAnsi="Times New Roman"/>
          <w:color w:val="000000" w:themeColor="text1"/>
          <w:sz w:val="16"/>
          <w:szCs w:val="16"/>
        </w:rPr>
        <w:t>в 1943 году войска Белорусского фронта (генерал армии К.К.Рокоссовский) начали Гомельско-Речицкую операцию. Завершилась 30 ноября, советские войска прорвали оборону противника на фронте в 100 км и освободили значительную часть Восточной Белоруссии (14826).</w:t>
      </w:r>
    </w:p>
    <w:p w14:paraId="190139AC"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5F0E36C0"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10 ноября </w:t>
      </w:r>
      <w:r w:rsidRPr="00271E51">
        <w:rPr>
          <w:rFonts w:ascii="Times New Roman" w:hAnsi="Times New Roman"/>
          <w:color w:val="000000" w:themeColor="text1"/>
          <w:sz w:val="16"/>
          <w:szCs w:val="16"/>
        </w:rPr>
        <w:t>в 1943 году в «Декларации казачьего правительства» П.Н.Краснов и А.Розенберг отмечали, что за оказанную немецким войскам помощь во время войны германское правительство признает казаков своими союзниками и обещает после победы над СССР возвратить им землю, личную собственность и былые привилегии (14826).</w:t>
      </w:r>
    </w:p>
    <w:p w14:paraId="3F575797"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14C80EA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ноября 1943 г. П. Тетерев и И. Мазеев в паре за одним самолётом СБ выле</w:t>
      </w:r>
      <w:r w:rsidRPr="00271E51">
        <w:rPr>
          <w:rFonts w:ascii="Times New Roman" w:hAnsi="Times New Roman"/>
          <w:color w:val="000000" w:themeColor="text1"/>
          <w:sz w:val="16"/>
          <w:szCs w:val="16"/>
        </w:rPr>
        <w:softHyphen/>
        <w:t>тели на прифронтовой аэродром Бело</w:t>
      </w:r>
      <w:r w:rsidRPr="00271E51">
        <w:rPr>
          <w:rFonts w:ascii="Times New Roman" w:hAnsi="Times New Roman"/>
          <w:color w:val="000000" w:themeColor="text1"/>
          <w:sz w:val="16"/>
          <w:szCs w:val="16"/>
        </w:rPr>
        <w:softHyphen/>
        <w:t>русского фронта. Погода была плохая. Аэропоезд оказался выше облаков. Часа через два лётчик-буксировщик Кренин и его штурман Царик потеряли ориентировку и взяли обратный курс на восток. Длительное время летели вне видимости земли, устали. Нырнули в просвет облаков, снизились. Вышли на двухколейную железную дорогу, по ней на Ярославль, а затем на свой базовый аэродром.</w:t>
      </w:r>
    </w:p>
    <w:p w14:paraId="59E6EB7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Мазеев от большой усталости (полёт продолжался более четырёх часов) дальше уже лететь не мог, отцепился и сел, считая, что совершил вынужден</w:t>
      </w:r>
      <w:r w:rsidRPr="00271E51">
        <w:rPr>
          <w:rFonts w:ascii="Times New Roman" w:hAnsi="Times New Roman"/>
          <w:color w:val="000000" w:themeColor="text1"/>
          <w:sz w:val="16"/>
          <w:szCs w:val="16"/>
        </w:rPr>
        <w:softHyphen/>
        <w:t>ную посадку. Позже он признался Тете</w:t>
      </w:r>
      <w:r w:rsidRPr="00271E51">
        <w:rPr>
          <w:rFonts w:ascii="Times New Roman" w:hAnsi="Times New Roman"/>
          <w:color w:val="000000" w:themeColor="text1"/>
          <w:sz w:val="16"/>
          <w:szCs w:val="16"/>
        </w:rPr>
        <w:softHyphen/>
        <w:t>реву, что своего аэродрома не узнал, да и куда приземлился, видел плохо. Через два дня, 13 ноября, они в том же соста</w:t>
      </w:r>
      <w:r w:rsidRPr="00271E51">
        <w:rPr>
          <w:rFonts w:ascii="Times New Roman" w:hAnsi="Times New Roman"/>
          <w:color w:val="000000" w:themeColor="text1"/>
          <w:sz w:val="16"/>
          <w:szCs w:val="16"/>
        </w:rPr>
        <w:softHyphen/>
        <w:t>ве повторили полёт. Погода снова была сложной, но всё же до цели долетели. От снегопада на планёрах забились и замерзли трубки Пито и Вентури; как следствие - отказали указатели скоро</w:t>
      </w:r>
      <w:r w:rsidRPr="00271E51">
        <w:rPr>
          <w:rFonts w:ascii="Times New Roman" w:hAnsi="Times New Roman"/>
          <w:color w:val="000000" w:themeColor="text1"/>
          <w:sz w:val="16"/>
          <w:szCs w:val="16"/>
        </w:rPr>
        <w:softHyphen/>
        <w:t>сти и высоты. Пришлось планеристам садиться, определяя высоту на глазок, а скорость на слух. Мазеев, видимо, допустил ошибку, потерял скорость на четвёртом развороте и свалился в што</w:t>
      </w:r>
      <w:r w:rsidRPr="00271E51">
        <w:rPr>
          <w:rFonts w:ascii="Times New Roman" w:hAnsi="Times New Roman"/>
          <w:color w:val="000000" w:themeColor="text1"/>
          <w:sz w:val="16"/>
          <w:szCs w:val="16"/>
        </w:rPr>
        <w:softHyphen/>
        <w:t>пор. Не хватило ему сил и опыта на эти два изнурительно сложных полёта...(12266).</w:t>
      </w:r>
    </w:p>
    <w:p w14:paraId="0AE51DEA"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12B945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 по 30 ноября 1943 прошла Гомельско-Речицкая операция БФ (К.К.Рокосовский). Прорвали оборону на фронте 100 км и освободили значительную часть Восточной Белоруссии (3398,389).</w:t>
      </w:r>
    </w:p>
    <w:p w14:paraId="68998E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631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10, 1943: The Red Army achieves a breakthrough near Gomel in Belorussia (3819).</w:t>
      </w:r>
    </w:p>
    <w:p w14:paraId="30D938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84A64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 по 30 ноября 1943 была Гомельско-Речицкая операция СА. Прорвали оборону на фронте 100 км и продвинулись на 130 км, форсировав Днепр и Березину, освободив Гомель и Речицу (2438,187).</w:t>
      </w:r>
    </w:p>
    <w:p w14:paraId="78F438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3D208" w14:textId="63BD7DC0" w:rsidR="00B23CFC" w:rsidRPr="00271E51" w:rsidRDefault="00B23CF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5986DFA1" w14:textId="77777777" w:rsidR="00B23CFC" w:rsidRPr="00271E51" w:rsidRDefault="00B23CF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8E1327"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10–11 ноября (ночь) 1943 313 бомбардировщиков Ланкастер атакуют железнодорожные станции в Модане, Франция, и главную железнодорожную линию между Францией и Италией, нанося серьезный ущерб железнодорожной системе (20376).</w:t>
      </w:r>
    </w:p>
    <w:p w14:paraId="2081B6AE" w14:textId="77777777" w:rsidR="00B23CFC" w:rsidRPr="00271E51" w:rsidRDefault="00B23CFC" w:rsidP="00271E51">
      <w:pPr>
        <w:spacing w:after="0" w:line="240" w:lineRule="auto"/>
        <w:jc w:val="both"/>
        <w:rPr>
          <w:rFonts w:ascii="Times New Roman" w:hAnsi="Times New Roman"/>
          <w:color w:val="0070C0"/>
          <w:sz w:val="16"/>
          <w:szCs w:val="16"/>
        </w:rPr>
      </w:pPr>
    </w:p>
    <w:p w14:paraId="4C2387E7" w14:textId="00CD2812"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A2178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0FB0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В.К.Коккинаки писал А.И.Ш. докладную записку N 5484:</w:t>
      </w:r>
    </w:p>
    <w:p w14:paraId="11E988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"Докладная записка</w:t>
      </w:r>
    </w:p>
    <w:p w14:paraId="47267D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посещении ВВС ЧМ, 4-й, 48-й ВА для ознакомления с эксплуатацией и пожеланиями по улучшению самолета Ил-2, получены следующим замечания:</w:t>
      </w:r>
    </w:p>
    <w:p w14:paraId="2A9655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Необходимо облегчить управление самолетом. Находясь над целью до 20-30 мин. л вынужден все время маневрировать, вводы, выводы из пике, развороты сопряжены с большими физическими нагрузками. Пилот устает, машиной трудно маневрировать уклоняясь от огня противника.</w:t>
      </w:r>
    </w:p>
    <w:p w14:paraId="6457E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Ввести триммера на РН и элероны, т.к. нельзя сбалансировать самолет нейтрально для всего диапазона скоростей.</w:t>
      </w:r>
    </w:p>
    <w:p w14:paraId="1AC757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Увязать управление мотором и винтом в один сектор. Это намного облегчит работу пилота и уменьшит износ мотора.</w:t>
      </w:r>
    </w:p>
    <w:p w14:paraId="6C7734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Улучшить обзор пилота. Бронестекла ставить без нарезанных крестовин, чистые. Боковые стекла ставить триплекс, т.к. пластмассовые тускнеет, задираются и почти полностью лишают бокового обзора.</w:t>
      </w:r>
    </w:p>
    <w:p w14:paraId="341604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Заднюю башню стрелка иметь сферическую. Увеличивается зона обстрела, уменьшаются мертвые углы, облегчается работа стрелка.</w:t>
      </w:r>
    </w:p>
    <w:p w14:paraId="4BC08A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Ряд жалоб на качество брони. Довольно легко прошивается 20 мм снарядом под острыми углами. Надо проверить качество брони.</w:t>
      </w:r>
    </w:p>
    <w:p w14:paraId="349E45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Очень значительные трески при работе рации РСИ-4. Необходимо улучшить работу (экранировка). Управление переключением расположено неудобно. В частях переставляют на ручки.</w:t>
      </w:r>
    </w:p>
    <w:p w14:paraId="36D9F0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Установить сирену, т.к. при длительном пребывании над полем боя не хватает боекомплекта. эффект от воя сирены - положительный.</w:t>
      </w:r>
    </w:p>
    <w:p w14:paraId="61FA23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Необходимо иметь в частях запас групповых комплектов оружия. В связи с большим выстрелом пушек ВЯ и ШВАК и пулеметов ШКАС и УБТ только для 7 шак надо ВЯ - 40 шт., ШВАК - 25 шт., ШКАС - 50 шт.</w:t>
      </w:r>
    </w:p>
    <w:p w14:paraId="54388C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Много жалоб на крайне низкое качество моторов АМ-038, отремонтированных в армейских мастерских.</w:t>
      </w:r>
    </w:p>
    <w:p w14:paraId="188346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Особо отмечается низкое качество продукции завода 1 - низкие скорости, тяжелое управление, много дефектов.</w:t>
      </w:r>
    </w:p>
    <w:p w14:paraId="7F3288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дальнейшего улучшения ш желательно:</w:t>
      </w:r>
    </w:p>
    <w:p w14:paraId="50A24E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повышение маневренности</w:t>
      </w:r>
    </w:p>
    <w:p w14:paraId="7D992F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улучшение управляемости</w:t>
      </w:r>
    </w:p>
    <w:p w14:paraId="78B2AA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увеличение калибра и мощи боевого огня</w:t>
      </w:r>
    </w:p>
    <w:p w14:paraId="793A7D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усиление брони, хотя бы кабины пилота</w:t>
      </w:r>
    </w:p>
    <w:p w14:paraId="53F5CA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переход на металлическое крыло</w:t>
      </w:r>
    </w:p>
    <w:p w14:paraId="175E7F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увеличение бомбовой нагрузки.</w:t>
      </w:r>
    </w:p>
    <w:p w14:paraId="1F6086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последним пунктом необходимо отметить, что самолет Ил-2 может возить 600 кг бомб, возят только 300 кг, ссылаясь на существующие инструкции.</w:t>
      </w:r>
    </w:p>
    <w:p w14:paraId="551EEB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АМ-38Ф используется как АМ-38, т.к. по заявлению нач. эксплуатационного отдела 8 ВА, он же зам. ГИ армии Семенова, при существующей бомбовой нагрузке достаточно номинальной мощности для взлета.</w:t>
      </w:r>
    </w:p>
    <w:p w14:paraId="1E2D9B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Создается такое положение: бомб недогружают из-за недостаточной мощности, а мощность не используют, т.к. нет нужды при 300 кг бомб форсировать мотор.</w:t>
      </w:r>
    </w:p>
    <w:p w14:paraId="56BA69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Заметна некоторая перестраховка со стороны технического руководства в эксплуатации АМ-38Ф.</w:t>
      </w:r>
    </w:p>
    <w:p w14:paraId="487241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авиации НК ВМФ</w:t>
      </w:r>
    </w:p>
    <w:p w14:paraId="6251C9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задачей штурмовой авиации ВВС ЧМ является уничтожение плавсредств противника (баржи, катера, шаланды, ПЛ, ТК). Цели по размерам не велики. При существующем методе бомбометания с самолета Ил-2 процент попаданий незначителен, остается эффективным бортовой огонь. В ВВС ЧФ имеются самолеты Ил-2 с пушками ВЯ и даже 20 мм ШВАК. Калибр указанных пушек явно недостаточен для потопления судов. Необходимо укомплектовать шап ВВС морей самолетами Ил-2 с 37 мм пушками.</w:t>
      </w:r>
    </w:p>
    <w:p w14:paraId="76B00B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Выпущены тысячи самолетов Ил-2 с оборудованием для подвесных баков с бензином. В частях ВВС ими не пользуются. В это же время в штурмовых частях ВВС НК ВМФ занимаются устройством проводки для подвесных баков кустарным способом." (1784,29).</w:t>
      </w:r>
    </w:p>
    <w:p w14:paraId="5AA810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400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С.В.И. писал письмо А.И.Ш N 1/1185с:</w:t>
      </w:r>
    </w:p>
    <w:p w14:paraId="54D9B3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Вашему приказу N 664 от 4 ноября 1943 для улучшения продольной устойчивости самолета Ил-2 отводятся назад концы крыла.</w:t>
      </w:r>
    </w:p>
    <w:p w14:paraId="3EC038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переходе на измененную консоль со стрелкой на самолете Ил-2 необходимо делать ее не смешанной конструкции, а полностью металлическую по следующим соображениям:</w:t>
      </w:r>
    </w:p>
    <w:p w14:paraId="6F4E55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Вес существующей смешанной конструкции на 100 кг больше, чем полностью металлической</w:t>
      </w:r>
    </w:p>
    <w:p w14:paraId="2B37AB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 даче стрелки консоли назад, разница в весе деревянных и металлических консолей увеличится еще больше.</w:t>
      </w:r>
    </w:p>
    <w:p w14:paraId="11B08A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Нормальная бомбовая нагрузка увеличится с 300 до 400 кг</w:t>
      </w:r>
    </w:p>
    <w:p w14:paraId="3CB617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Опыт войны показал, что мы несем потери самолетов с деревянными консолями больше, чем с металлическими. Доказательством этого служит то обстоятельство, что очень часто с боевых операций самолеты возвращались с прострелянными металлическими консолями крупнокалиберными снарядами. Самолеты, имеющие деревянные консоли с такими пробоинами не возвращаются, так как вся фанерная обшивка от ударной воздушной нагрузки снимается с консолей.</w:t>
      </w:r>
    </w:p>
    <w:p w14:paraId="30BF6B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Производственная трудоемкость смешанной консоли 1450 час., а металлической - 1100 час.</w:t>
      </w:r>
    </w:p>
    <w:p w14:paraId="3A9D5F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Ремонт в полевых условиях консолей смешанной конструкции невозможен. особенно во время весны, осени и зимы, а также летом в сырую погоду. По этой причине значительный процент самолетов бездействует.</w:t>
      </w:r>
    </w:p>
    <w:p w14:paraId="4268BF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7. Защитные покрытия, состоящие из высококачественного полотна, нитрокрасок и высококачественных и дефицитных шпаклевок, а также высокой требовательностью деревянной конструкции к условиям производства (температура, влажность и т.п.) делают ее очень высокой по стоимости.</w:t>
      </w:r>
    </w:p>
    <w:p w14:paraId="477C13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Дополнительный вес дюраля на один самолет Ил-2 выразится в 175 кг (1698,38).</w:t>
      </w:r>
    </w:p>
    <w:p w14:paraId="7DF92E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5F6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ГИ ВВС А.Репин подписал "Акт по результатам гос. испытаний эталонного самолета Ил-2 с мотором АМ-38Ф и винтом АВ-5Л-158" (самолет N 302804 производства 30 завода сентября 1943). Ви и-м В.С.Холопов, вл и-м А.В.Синельников (1863).</w:t>
      </w:r>
    </w:p>
    <w:p w14:paraId="3D6069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952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два КОР-2 (Бе-4) №№ 28811 и 28812, которые в конце июля 1943 решили использовать для патрулирования в районе о Диксон, получили опозновательные знаки УПА СССР-Н330 (л В.В.Мальков) и СССР-Н331 (л М.В.Тейман) (9079).</w:t>
      </w:r>
    </w:p>
    <w:p w14:paraId="7EA141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E31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парторг ЦК в ГИРТ писал куратору Г.М.М. с жалобой на Костикова и предлагал его подчинить НКВД. Потом Костиков писал В.М.М. (2393,23).</w:t>
      </w:r>
    </w:p>
    <w:p w14:paraId="379F8C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645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по приказу НКАП № 655с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6314D8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31B083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(1941-43 г.-)- А.П. Голубков.</w:t>
      </w:r>
    </w:p>
    <w:p w14:paraId="5BADA7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самолеты</w:t>
      </w:r>
      <w:r w:rsidRPr="00271E51">
        <w:rPr>
          <w:rFonts w:ascii="Times New Roman" w:hAnsi="Times New Roman"/>
          <w:color w:val="000000" w:themeColor="text1"/>
          <w:sz w:val="16"/>
          <w:szCs w:val="16"/>
        </w:rPr>
        <w:t>. ПС-9 (1934), ПС-89- 7 шт. (11982).</w:t>
      </w:r>
    </w:p>
    <w:p w14:paraId="2FFB57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467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по приказу № 676с  личный состав КБ гл. конструктора В .Я. Шатерникова на заводе № 156 передан для сосредоточения работ по данной тематике в ЛИИНКАП.</w:t>
      </w:r>
    </w:p>
    <w:p w14:paraId="1EEA62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(11.1943 г.)- В.Я. Шатерников (11982).</w:t>
      </w:r>
    </w:p>
    <w:p w14:paraId="20E469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0AC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по приказу № 655с завод № 482 (ГС Завод № 482 НКСП /г. Москва Ново-Владыкино; Ленинградское ш., 55 (1944 г.-)/)  передан из 6ГУ в 7ГУ (в опытные). Работы по ремонту и выпуску запчастей переданы на другие заводы 6ГУ.</w:t>
      </w:r>
    </w:p>
    <w:p w14:paraId="15C7D9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2EEE40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заводе № 482 образован филиал ОКБ-22.</w:t>
      </w:r>
    </w:p>
    <w:p w14:paraId="0526ED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свой аэродром на Ходынке (1943  г.).</w:t>
      </w:r>
    </w:p>
    <w:p w14:paraId="41639B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255EA8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3B78D9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26492E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608002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29E7EE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41B18A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(04.1941 г.-)- А.И. Меркулов.</w:t>
      </w:r>
    </w:p>
    <w:p w14:paraId="531B73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(1941-06.1943 г.)- А.Я. Щербаков, (06.1943-46 г.)- В.М. Мясищев.</w:t>
      </w:r>
    </w:p>
    <w:p w14:paraId="5F323E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(1946 г.-)- Е.П. Шекунов.</w:t>
      </w:r>
    </w:p>
    <w:p w14:paraId="259AF9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(04.1941 г.-)- А.И. Меркулов.</w:t>
      </w:r>
    </w:p>
    <w:p w14:paraId="4554BD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гл. конструктора А.Я. Щербакова при заводе № 482 НКАП</w:t>
      </w:r>
    </w:p>
    <w:p w14:paraId="5F027E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7DCDE8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5F6EB1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34ADCB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A5B99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-5 и Пе-2ВИ.</w:t>
      </w:r>
    </w:p>
    <w:p w14:paraId="77119E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79FD9E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ОКБ завода № 22 гл. конструктора В.М. Мясищева, ОКБ-482 НКАП, МАП /г. Москва/</w:t>
      </w:r>
    </w:p>
    <w:p w14:paraId="11B7B0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EFC25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3A2DEB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0EBFED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73F73B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6EB6A8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06F59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(1944-46 г.)- В.М. Мясищев.</w:t>
      </w:r>
    </w:p>
    <w:p w14:paraId="7AD844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55DB6A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3E9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Зам. Командующего ВДВ КА Спирин письмом N 294436с НКАП А.И.Ш. пытался получить для ВДВ используемые ВДВ эллинги, расположенные на территории аэродрома завода 464 НКАП (ст. Долгопрудная) (1780).</w:t>
      </w:r>
    </w:p>
    <w:p w14:paraId="0E6865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3D88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26791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4DA9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был подготовлен ПЛАН ОПЫТНЫХ РАБОТ УПРАВЛЕНИЯ САМОХОДНОЙ АРТИЛЛЕРИИ ГБТУКАНА1944г.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58"/>
        <w:gridCol w:w="2784"/>
        <w:gridCol w:w="115"/>
        <w:gridCol w:w="2650"/>
        <w:gridCol w:w="115"/>
        <w:gridCol w:w="605"/>
        <w:gridCol w:w="115"/>
        <w:gridCol w:w="787"/>
        <w:gridCol w:w="106"/>
        <w:gridCol w:w="979"/>
        <w:gridCol w:w="106"/>
        <w:gridCol w:w="700"/>
        <w:gridCol w:w="68"/>
      </w:tblGrid>
      <w:tr w:rsidR="00A907A5" w:rsidRPr="00271E51" w14:paraId="7EAC46DE" w14:textId="77777777" w:rsidTr="00ED5B0A">
        <w:trPr>
          <w:trHeight w:val="221"/>
        </w:trPr>
        <w:tc>
          <w:tcPr>
            <w:tcW w:w="480" w:type="dxa"/>
            <w:gridSpan w:val="2"/>
            <w:tcBorders>
              <w:top w:val="single" w:sz="6" w:space="0" w:color="auto"/>
              <w:left w:val="single" w:sz="6" w:space="0" w:color="auto"/>
              <w:bottom w:val="nil"/>
              <w:right w:val="single" w:sz="6" w:space="0" w:color="auto"/>
            </w:tcBorders>
          </w:tcPr>
          <w:p w14:paraId="406FE1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31D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070CC4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21F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70E143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9D3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gridSpan w:val="4"/>
            <w:tcBorders>
              <w:top w:val="single" w:sz="6" w:space="0" w:color="auto"/>
              <w:left w:val="single" w:sz="6" w:space="0" w:color="auto"/>
              <w:bottom w:val="single" w:sz="6" w:space="0" w:color="auto"/>
              <w:right w:val="single" w:sz="6" w:space="0" w:color="auto"/>
            </w:tcBorders>
          </w:tcPr>
          <w:p w14:paraId="672AC4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Сроки</w:t>
            </w:r>
          </w:p>
          <w:p w14:paraId="6ECF91C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2C1949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Чем должна</w:t>
            </w:r>
          </w:p>
          <w:p w14:paraId="61311F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349A1B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Источник</w:t>
            </w:r>
          </w:p>
          <w:p w14:paraId="17143E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652280" w14:textId="77777777" w:rsidTr="00ED5B0A">
        <w:trPr>
          <w:trHeight w:val="317"/>
        </w:trPr>
        <w:tc>
          <w:tcPr>
            <w:tcW w:w="480" w:type="dxa"/>
            <w:gridSpan w:val="2"/>
            <w:tcBorders>
              <w:top w:val="nil"/>
              <w:left w:val="single" w:sz="6" w:space="0" w:color="auto"/>
              <w:bottom w:val="nil"/>
              <w:right w:val="single" w:sz="6" w:space="0" w:color="auto"/>
            </w:tcBorders>
          </w:tcPr>
          <w:p w14:paraId="3227C0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п/п</w:t>
            </w:r>
          </w:p>
          <w:p w14:paraId="3A0A8F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423640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Подробное наименование</w:t>
            </w:r>
          </w:p>
          <w:p w14:paraId="364AD8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7056C7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Целевое значение</w:t>
            </w:r>
          </w:p>
          <w:p w14:paraId="4C2883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4943FE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Начало</w:t>
            </w:r>
          </w:p>
          <w:p w14:paraId="5080557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665BD9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Конец</w:t>
            </w:r>
          </w:p>
          <w:p w14:paraId="6CC514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5FB7CD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закончиться работа</w:t>
            </w:r>
          </w:p>
          <w:p w14:paraId="294803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4ACC8D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финанси</w:t>
            </w:r>
            <w:r w:rsidRPr="00271E51">
              <w:rPr>
                <w:rFonts w:ascii="Times New Roman" w:hAnsi="Times New Roman"/>
                <w:color w:val="000000" w:themeColor="text1"/>
                <w:sz w:val="16"/>
                <w:szCs w:val="16"/>
              </w:rPr>
              <w:softHyphen/>
              <w:t>рования</w:t>
            </w:r>
          </w:p>
          <w:p w14:paraId="244DA9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37289F" w14:textId="77777777" w:rsidTr="00ED5B0A">
        <w:trPr>
          <w:trHeight w:val="173"/>
        </w:trPr>
        <w:tc>
          <w:tcPr>
            <w:tcW w:w="480" w:type="dxa"/>
            <w:gridSpan w:val="2"/>
            <w:tcBorders>
              <w:top w:val="nil"/>
              <w:left w:val="single" w:sz="6" w:space="0" w:color="auto"/>
              <w:bottom w:val="single" w:sz="6" w:space="0" w:color="auto"/>
              <w:right w:val="single" w:sz="6" w:space="0" w:color="auto"/>
            </w:tcBorders>
          </w:tcPr>
          <w:p w14:paraId="0CE96A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4E7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5E4AAA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6F5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7BAC54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087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69C4B3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EC2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2EE7A4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F54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20B746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w:t>
            </w:r>
          </w:p>
          <w:p w14:paraId="321785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4B7878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w:t>
            </w:r>
          </w:p>
          <w:p w14:paraId="67AB57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D325B2" w14:textId="77777777" w:rsidTr="00ED5B0A">
        <w:trPr>
          <w:trHeight w:val="221"/>
        </w:trPr>
        <w:tc>
          <w:tcPr>
            <w:tcW w:w="480" w:type="dxa"/>
            <w:gridSpan w:val="2"/>
            <w:tcBorders>
              <w:top w:val="single" w:sz="6" w:space="0" w:color="auto"/>
              <w:left w:val="single" w:sz="6" w:space="0" w:color="auto"/>
              <w:bottom w:val="nil"/>
              <w:right w:val="single" w:sz="6" w:space="0" w:color="auto"/>
            </w:tcBorders>
          </w:tcPr>
          <w:p w14:paraId="661E3D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312EB8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687397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Модернизация 85-мм танковой</w:t>
            </w:r>
          </w:p>
          <w:p w14:paraId="35781D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5C090B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Повышение бронебойных качеств</w:t>
            </w:r>
          </w:p>
          <w:p w14:paraId="621AA3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3301B4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25F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1BA276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AE67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37CEA8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291D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5A5FB9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5EF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6BA874" w14:textId="77777777" w:rsidTr="00ED5B0A">
        <w:trPr>
          <w:trHeight w:val="221"/>
        </w:trPr>
        <w:tc>
          <w:tcPr>
            <w:tcW w:w="480" w:type="dxa"/>
            <w:gridSpan w:val="2"/>
            <w:tcBorders>
              <w:top w:val="nil"/>
              <w:left w:val="single" w:sz="6" w:space="0" w:color="auto"/>
              <w:bottom w:val="nil"/>
              <w:right w:val="single" w:sz="6" w:space="0" w:color="auto"/>
            </w:tcBorders>
          </w:tcPr>
          <w:p w14:paraId="7B5A10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7B7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13ABAA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самоходной пушек (повышение</w:t>
            </w:r>
          </w:p>
          <w:p w14:paraId="3BAEE5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3FA2F1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пушек. Предназначаются для уста-</w:t>
            </w:r>
          </w:p>
          <w:p w14:paraId="6909B4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345750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•Ю.Л-Э </w:t>
            </w:r>
            <w:r w:rsidRPr="00271E51">
              <w:rPr>
                <w:rFonts w:ascii="Times New Roman" w:hAnsi="Times New Roman"/>
                <w:color w:val="000000" w:themeColor="text1"/>
                <w:sz w:val="16"/>
                <w:szCs w:val="16"/>
                <w:vertAlign w:val="subscript"/>
              </w:rPr>
              <w:t>г</w:t>
            </w:r>
          </w:p>
          <w:p w14:paraId="14C2DB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12781F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255655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7C13FE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w:t>
            </w:r>
          </w:p>
          <w:p w14:paraId="260571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39E1A6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К ГД\/</w:t>
            </w:r>
          </w:p>
          <w:p w14:paraId="20AC48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330C73" w14:textId="77777777" w:rsidTr="00ED5B0A">
        <w:trPr>
          <w:trHeight w:val="182"/>
        </w:trPr>
        <w:tc>
          <w:tcPr>
            <w:tcW w:w="480" w:type="dxa"/>
            <w:gridSpan w:val="2"/>
            <w:tcBorders>
              <w:top w:val="nil"/>
              <w:left w:val="single" w:sz="6" w:space="0" w:color="auto"/>
              <w:bottom w:val="nil"/>
              <w:right w:val="single" w:sz="6" w:space="0" w:color="auto"/>
            </w:tcBorders>
          </w:tcPr>
          <w:p w14:paraId="192A1A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EED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11EB52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начальной скорости до 900-1000 м/с</w:t>
            </w:r>
          </w:p>
          <w:p w14:paraId="0BBD07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6DE5FF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новки в танки Т-34, ИС и в само-</w:t>
            </w:r>
          </w:p>
          <w:p w14:paraId="2B760A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6A85A7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993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015EA2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1944г.</w:t>
            </w:r>
          </w:p>
          <w:p w14:paraId="268844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54C40C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образца</w:t>
            </w:r>
          </w:p>
          <w:p w14:paraId="0024EB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23778D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8EED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B92441" w14:textId="77777777" w:rsidTr="00ED5B0A">
        <w:trPr>
          <w:trHeight w:val="202"/>
        </w:trPr>
        <w:tc>
          <w:tcPr>
            <w:tcW w:w="480" w:type="dxa"/>
            <w:gridSpan w:val="2"/>
            <w:tcBorders>
              <w:top w:val="nil"/>
              <w:left w:val="single" w:sz="6" w:space="0" w:color="auto"/>
              <w:bottom w:val="single" w:sz="6" w:space="0" w:color="auto"/>
              <w:right w:val="single" w:sz="6" w:space="0" w:color="auto"/>
            </w:tcBorders>
          </w:tcPr>
          <w:p w14:paraId="0B7171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50C9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3490C0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0A2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54E545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 СУ-85</w:t>
            </w:r>
          </w:p>
          <w:p w14:paraId="7A9D20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78FA80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0F8D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18BDD1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CB6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799934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7FB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4CC7CE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478B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84C8E8" w14:textId="77777777" w:rsidTr="00ED5B0A">
        <w:trPr>
          <w:trHeight w:val="230"/>
        </w:trPr>
        <w:tc>
          <w:tcPr>
            <w:tcW w:w="480" w:type="dxa"/>
            <w:gridSpan w:val="2"/>
            <w:tcBorders>
              <w:top w:val="single" w:sz="6" w:space="0" w:color="auto"/>
              <w:left w:val="single" w:sz="6" w:space="0" w:color="auto"/>
              <w:bottom w:val="nil"/>
              <w:right w:val="single" w:sz="6" w:space="0" w:color="auto"/>
            </w:tcBorders>
          </w:tcPr>
          <w:p w14:paraId="68B0AC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5CD3B1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403F2F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76,2-мм полуав-</w:t>
            </w:r>
          </w:p>
          <w:p w14:paraId="530F47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0C36E4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мощной танковой и</w:t>
            </w:r>
          </w:p>
          <w:p w14:paraId="30DD45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33B3C8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2D1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39DC23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44E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36543E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EE58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4ABC0E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AE5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D62663" w14:textId="77777777" w:rsidTr="00ED5B0A">
        <w:trPr>
          <w:trHeight w:val="211"/>
        </w:trPr>
        <w:tc>
          <w:tcPr>
            <w:tcW w:w="480" w:type="dxa"/>
            <w:gridSpan w:val="2"/>
            <w:tcBorders>
              <w:top w:val="nil"/>
              <w:left w:val="single" w:sz="6" w:space="0" w:color="auto"/>
              <w:bottom w:val="nil"/>
              <w:right w:val="single" w:sz="6" w:space="0" w:color="auto"/>
            </w:tcBorders>
          </w:tcPr>
          <w:p w14:paraId="231C1C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76ED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5572AF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томатической танковой и само-</w:t>
            </w:r>
          </w:p>
          <w:p w14:paraId="2BB901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736A97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самоходной (противотанковой)</w:t>
            </w:r>
          </w:p>
          <w:p w14:paraId="5B33CD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6D6F3B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1О,ло </w:t>
            </w:r>
            <w:r w:rsidRPr="00271E51">
              <w:rPr>
                <w:rFonts w:ascii="Times New Roman" w:hAnsi="Times New Roman"/>
                <w:color w:val="000000" w:themeColor="text1"/>
                <w:sz w:val="16"/>
                <w:szCs w:val="16"/>
                <w:vertAlign w:val="subscript"/>
              </w:rPr>
              <w:t>г</w:t>
            </w:r>
          </w:p>
          <w:p w14:paraId="5F3A93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654722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p w14:paraId="751208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4FD44C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w:t>
            </w:r>
          </w:p>
          <w:p w14:paraId="1E9734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29BD53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 ГАУ</w:t>
            </w:r>
          </w:p>
          <w:p w14:paraId="5F26CE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B8740E" w14:textId="77777777" w:rsidTr="00ED5B0A">
        <w:trPr>
          <w:trHeight w:val="182"/>
        </w:trPr>
        <w:tc>
          <w:tcPr>
            <w:tcW w:w="480" w:type="dxa"/>
            <w:gridSpan w:val="2"/>
            <w:tcBorders>
              <w:top w:val="nil"/>
              <w:left w:val="single" w:sz="6" w:space="0" w:color="auto"/>
              <w:bottom w:val="nil"/>
              <w:right w:val="single" w:sz="6" w:space="0" w:color="auto"/>
            </w:tcBorders>
          </w:tcPr>
          <w:p w14:paraId="288B9C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F525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6D9C39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ходной пушки с начальной ско-</w:t>
            </w:r>
          </w:p>
          <w:p w14:paraId="1D473C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50F5C5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пушек с большой скорострель-</w:t>
            </w:r>
          </w:p>
          <w:p w14:paraId="7FB887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65451C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7160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439089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1944г.</w:t>
            </w:r>
          </w:p>
          <w:p w14:paraId="1AE6ED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284073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образца</w:t>
            </w:r>
          </w:p>
          <w:p w14:paraId="4BA1C0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17588D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E8B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A53EAD" w14:textId="77777777" w:rsidTr="00ED5B0A">
        <w:trPr>
          <w:trHeight w:val="211"/>
        </w:trPr>
        <w:tc>
          <w:tcPr>
            <w:tcW w:w="480" w:type="dxa"/>
            <w:gridSpan w:val="2"/>
            <w:tcBorders>
              <w:top w:val="nil"/>
              <w:left w:val="single" w:sz="6" w:space="0" w:color="auto"/>
              <w:bottom w:val="single" w:sz="6" w:space="0" w:color="auto"/>
              <w:right w:val="single" w:sz="6" w:space="0" w:color="auto"/>
            </w:tcBorders>
          </w:tcPr>
          <w:p w14:paraId="5648FD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35BF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2DFFB6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ростью снаряда до 1000 м/с</w:t>
            </w:r>
          </w:p>
          <w:p w14:paraId="4618F1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45FD06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ностью</w:t>
            </w:r>
          </w:p>
          <w:p w14:paraId="16EDE4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3F5221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FE1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5E17BF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645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674D24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900D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525DAF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2B77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7A4820" w14:textId="77777777" w:rsidTr="00ED5B0A">
        <w:trPr>
          <w:trHeight w:val="672"/>
        </w:trPr>
        <w:tc>
          <w:tcPr>
            <w:tcW w:w="480" w:type="dxa"/>
            <w:gridSpan w:val="2"/>
            <w:tcBorders>
              <w:top w:val="single" w:sz="6" w:space="0" w:color="auto"/>
              <w:left w:val="single" w:sz="6" w:space="0" w:color="auto"/>
              <w:bottom w:val="nil"/>
              <w:right w:val="single" w:sz="6" w:space="0" w:color="auto"/>
            </w:tcBorders>
          </w:tcPr>
          <w:p w14:paraId="6B6262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3877A7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615E02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клинового полу</w:t>
            </w:r>
            <w:r w:rsidRPr="00271E51">
              <w:rPr>
                <w:rFonts w:ascii="Times New Roman" w:hAnsi="Times New Roman"/>
                <w:color w:val="000000" w:themeColor="text1"/>
                <w:sz w:val="16"/>
                <w:szCs w:val="16"/>
              </w:rPr>
              <w:softHyphen/>
              <w:t>автоматического затвора для 122 и 1 52-мм танковых и самоходных</w:t>
            </w:r>
          </w:p>
          <w:p w14:paraId="6E9840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61FB79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Повышение скорострельности из тяжелых артсистем, установ</w:t>
            </w:r>
            <w:r w:rsidRPr="00271E51">
              <w:rPr>
                <w:rFonts w:ascii="Times New Roman" w:hAnsi="Times New Roman"/>
                <w:color w:val="000000" w:themeColor="text1"/>
                <w:sz w:val="16"/>
                <w:szCs w:val="16"/>
              </w:rPr>
              <w:softHyphen/>
              <w:t>ленных в танки и самоходы</w:t>
            </w:r>
          </w:p>
          <w:p w14:paraId="0778B7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3D33AD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028C26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559BF0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 1944г.</w:t>
            </w:r>
          </w:p>
          <w:p w14:paraId="5A681D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673DC5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образца</w:t>
            </w:r>
          </w:p>
          <w:p w14:paraId="47BC5C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203A8A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АКГАУ</w:t>
            </w:r>
          </w:p>
          <w:p w14:paraId="00DDF7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4F74E39" w14:textId="77777777" w:rsidTr="00ED5B0A">
        <w:trPr>
          <w:trHeight w:val="154"/>
        </w:trPr>
        <w:tc>
          <w:tcPr>
            <w:tcW w:w="480" w:type="dxa"/>
            <w:gridSpan w:val="2"/>
            <w:tcBorders>
              <w:top w:val="nil"/>
              <w:left w:val="single" w:sz="6" w:space="0" w:color="auto"/>
              <w:bottom w:val="single" w:sz="6" w:space="0" w:color="auto"/>
              <w:right w:val="single" w:sz="6" w:space="0" w:color="auto"/>
            </w:tcBorders>
          </w:tcPr>
          <w:p w14:paraId="142DDC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8330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49EC25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артсистем</w:t>
            </w:r>
          </w:p>
          <w:p w14:paraId="03765A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6E6E02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961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38F525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B32B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079D61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AF9D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5B4061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522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247BAF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59F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D0724E" w14:textId="77777777" w:rsidTr="00ED5B0A">
        <w:trPr>
          <w:trHeight w:val="230"/>
        </w:trPr>
        <w:tc>
          <w:tcPr>
            <w:tcW w:w="480" w:type="dxa"/>
            <w:gridSpan w:val="2"/>
            <w:tcBorders>
              <w:top w:val="single" w:sz="6" w:space="0" w:color="auto"/>
              <w:left w:val="single" w:sz="6" w:space="0" w:color="auto"/>
              <w:bottom w:val="nil"/>
              <w:right w:val="single" w:sz="6" w:space="0" w:color="auto"/>
            </w:tcBorders>
          </w:tcPr>
          <w:p w14:paraId="7E80C4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p w14:paraId="2D056D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443638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122-мм пушки с</w:t>
            </w:r>
          </w:p>
          <w:p w14:paraId="6F136B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5712EB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мощной самоходной</w:t>
            </w:r>
          </w:p>
          <w:p w14:paraId="0BE911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07480C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18C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407075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9E3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5479CA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59C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58204B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ED2C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16D783" w14:textId="77777777" w:rsidTr="00ED5B0A">
        <w:trPr>
          <w:trHeight w:val="614"/>
        </w:trPr>
        <w:tc>
          <w:tcPr>
            <w:tcW w:w="480" w:type="dxa"/>
            <w:gridSpan w:val="2"/>
            <w:tcBorders>
              <w:top w:val="nil"/>
              <w:left w:val="single" w:sz="6" w:space="0" w:color="auto"/>
              <w:bottom w:val="nil"/>
              <w:right w:val="single" w:sz="6" w:space="0" w:color="auto"/>
            </w:tcBorders>
          </w:tcPr>
          <w:p w14:paraId="39BDEB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FA03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235CAE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начальной скоростью снаряда до 1 000 м/с, для установки в самоход</w:t>
            </w:r>
          </w:p>
          <w:p w14:paraId="359030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77A37C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для борьбы с тяже</w:t>
            </w:r>
            <w:r w:rsidRPr="00271E51">
              <w:rPr>
                <w:rFonts w:ascii="Times New Roman" w:hAnsi="Times New Roman"/>
                <w:color w:val="000000" w:themeColor="text1"/>
                <w:sz w:val="16"/>
                <w:szCs w:val="16"/>
              </w:rPr>
              <w:softHyphen/>
              <w:t>лыми танками, самоходными уста</w:t>
            </w:r>
            <w:r w:rsidRPr="00271E51">
              <w:rPr>
                <w:rFonts w:ascii="Times New Roman" w:hAnsi="Times New Roman"/>
                <w:color w:val="000000" w:themeColor="text1"/>
                <w:sz w:val="16"/>
                <w:szCs w:val="16"/>
              </w:rPr>
              <w:softHyphen/>
              <w:t>новками и др. броневыми и бето-</w:t>
            </w:r>
          </w:p>
          <w:p w14:paraId="55FB37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2194DE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672563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205A60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1944г.</w:t>
            </w:r>
          </w:p>
          <w:p w14:paraId="463806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6E6021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образца</w:t>
            </w:r>
          </w:p>
          <w:p w14:paraId="78F4A9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5D143D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АКГАУ</w:t>
            </w:r>
          </w:p>
          <w:p w14:paraId="6C88F4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7FC3CD" w14:textId="77777777" w:rsidTr="00ED5B0A">
        <w:trPr>
          <w:trHeight w:val="182"/>
        </w:trPr>
        <w:tc>
          <w:tcPr>
            <w:tcW w:w="480" w:type="dxa"/>
            <w:gridSpan w:val="2"/>
            <w:tcBorders>
              <w:top w:val="nil"/>
              <w:left w:val="single" w:sz="6" w:space="0" w:color="auto"/>
              <w:bottom w:val="single" w:sz="6" w:space="0" w:color="auto"/>
              <w:right w:val="single" w:sz="6" w:space="0" w:color="auto"/>
            </w:tcBorders>
          </w:tcPr>
          <w:p w14:paraId="5056A0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CBA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4E5A20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8B7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67BDCA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нированными точками противника</w:t>
            </w:r>
          </w:p>
          <w:p w14:paraId="77158C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10B00D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0BE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165654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364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168794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97D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205863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F6E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1C3EA7A" w14:textId="77777777" w:rsidTr="00ED5B0A">
        <w:trPr>
          <w:trHeight w:val="682"/>
        </w:trPr>
        <w:tc>
          <w:tcPr>
            <w:tcW w:w="480" w:type="dxa"/>
            <w:gridSpan w:val="2"/>
            <w:tcBorders>
              <w:top w:val="single" w:sz="6" w:space="0" w:color="auto"/>
              <w:left w:val="single" w:sz="6" w:space="0" w:color="auto"/>
              <w:bottom w:val="nil"/>
              <w:right w:val="single" w:sz="6" w:space="0" w:color="auto"/>
            </w:tcBorders>
          </w:tcPr>
          <w:p w14:paraId="4D878EC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p w14:paraId="647D33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321FFD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станка под спаренную установку 25-мм зенитных пушек, для установки его на легком само-</w:t>
            </w:r>
          </w:p>
          <w:p w14:paraId="105BD9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2EB16D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средств зенитной защиты мотомеханизированных войск</w:t>
            </w:r>
          </w:p>
          <w:p w14:paraId="67CAB8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671AE1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0D3DFE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1E5FFF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 г.</w:t>
            </w:r>
          </w:p>
          <w:p w14:paraId="63DC84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1DCA10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образца</w:t>
            </w:r>
          </w:p>
          <w:p w14:paraId="6BDC27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77E640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575137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BA0457" w14:textId="77777777" w:rsidTr="00ED5B0A">
        <w:trPr>
          <w:trHeight w:val="144"/>
        </w:trPr>
        <w:tc>
          <w:tcPr>
            <w:tcW w:w="480" w:type="dxa"/>
            <w:gridSpan w:val="2"/>
            <w:tcBorders>
              <w:top w:val="nil"/>
              <w:left w:val="single" w:sz="6" w:space="0" w:color="auto"/>
              <w:bottom w:val="single" w:sz="6" w:space="0" w:color="auto"/>
              <w:right w:val="single" w:sz="6" w:space="0" w:color="auto"/>
            </w:tcBorders>
          </w:tcPr>
          <w:p w14:paraId="340732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C92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4A288F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ходе</w:t>
            </w:r>
          </w:p>
          <w:p w14:paraId="111A8E5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42D2A5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176A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6B5C3D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21C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0227F6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791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530478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715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582C9B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57C1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E576F9" w14:textId="77777777" w:rsidTr="00ED5B0A">
        <w:trPr>
          <w:trHeight w:val="230"/>
        </w:trPr>
        <w:tc>
          <w:tcPr>
            <w:tcW w:w="480" w:type="dxa"/>
            <w:gridSpan w:val="2"/>
            <w:tcBorders>
              <w:top w:val="single" w:sz="6" w:space="0" w:color="auto"/>
              <w:left w:val="single" w:sz="6" w:space="0" w:color="auto"/>
              <w:bottom w:val="nil"/>
              <w:right w:val="single" w:sz="6" w:space="0" w:color="auto"/>
            </w:tcBorders>
          </w:tcPr>
          <w:p w14:paraId="6A4559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p w14:paraId="019A3D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153D6F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14,5-мм зенитного</w:t>
            </w:r>
          </w:p>
          <w:p w14:paraId="70F1A7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01BC36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FC0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21DD85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5D4C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783D8B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303D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11A5FB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FAF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342BEA0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BD5E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59AC2F" w14:textId="77777777" w:rsidTr="00ED5B0A">
        <w:trPr>
          <w:trHeight w:val="211"/>
        </w:trPr>
        <w:tc>
          <w:tcPr>
            <w:tcW w:w="480" w:type="dxa"/>
            <w:gridSpan w:val="2"/>
            <w:tcBorders>
              <w:top w:val="nil"/>
              <w:left w:val="single" w:sz="6" w:space="0" w:color="auto"/>
              <w:bottom w:val="nil"/>
              <w:right w:val="single" w:sz="6" w:space="0" w:color="auto"/>
            </w:tcBorders>
          </w:tcPr>
          <w:p w14:paraId="181218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D80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7D542C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пулемета с начальной скоростью</w:t>
            </w:r>
          </w:p>
          <w:p w14:paraId="213BB1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0A1CBD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средств зенитной защи-</w:t>
            </w:r>
          </w:p>
          <w:p w14:paraId="0BAEF2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51A4B9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p w14:paraId="3772EA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4EA397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p w14:paraId="75013A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4B2953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w:t>
            </w:r>
          </w:p>
          <w:p w14:paraId="0B6FCC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5AF9FA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ДК ГАУ</w:t>
            </w:r>
          </w:p>
          <w:p w14:paraId="431193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A3869E" w14:textId="77777777" w:rsidTr="00ED5B0A">
        <w:trPr>
          <w:trHeight w:val="211"/>
        </w:trPr>
        <w:tc>
          <w:tcPr>
            <w:tcW w:w="480" w:type="dxa"/>
            <w:gridSpan w:val="2"/>
            <w:tcBorders>
              <w:top w:val="nil"/>
              <w:left w:val="single" w:sz="6" w:space="0" w:color="auto"/>
              <w:bottom w:val="nil"/>
              <w:right w:val="single" w:sz="6" w:space="0" w:color="auto"/>
            </w:tcBorders>
          </w:tcPr>
          <w:p w14:paraId="4F2F43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034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16FEBC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пули до 1300 м/с, для установки на</w:t>
            </w:r>
          </w:p>
          <w:p w14:paraId="459E01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59BBD7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ты мотомеханизированных войск</w:t>
            </w:r>
          </w:p>
          <w:p w14:paraId="163FA3C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2279E3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 г.</w:t>
            </w:r>
          </w:p>
          <w:p w14:paraId="39189A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7FE3A9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1944г.</w:t>
            </w:r>
          </w:p>
          <w:p w14:paraId="5BEF47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0593F4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образца</w:t>
            </w:r>
          </w:p>
          <w:p w14:paraId="181576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0A77C7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2F8F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F13196" w14:textId="77777777" w:rsidTr="00ED5B0A">
        <w:trPr>
          <w:trHeight w:val="182"/>
        </w:trPr>
        <w:tc>
          <w:tcPr>
            <w:tcW w:w="480" w:type="dxa"/>
            <w:gridSpan w:val="2"/>
            <w:tcBorders>
              <w:top w:val="nil"/>
              <w:left w:val="single" w:sz="6" w:space="0" w:color="auto"/>
              <w:bottom w:val="single" w:sz="6" w:space="0" w:color="auto"/>
              <w:right w:val="single" w:sz="6" w:space="0" w:color="auto"/>
            </w:tcBorders>
          </w:tcPr>
          <w:p w14:paraId="3B7026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570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2C763E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в качестве зенитных средств</w:t>
            </w:r>
          </w:p>
          <w:p w14:paraId="4F51F5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163237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182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466FEC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398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40CC4A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FFF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301925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C523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58EBC3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1BE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7A9F84" w14:textId="77777777" w:rsidTr="00ED5B0A">
        <w:trPr>
          <w:trHeight w:val="221"/>
        </w:trPr>
        <w:tc>
          <w:tcPr>
            <w:tcW w:w="480" w:type="dxa"/>
            <w:gridSpan w:val="2"/>
            <w:tcBorders>
              <w:top w:val="single" w:sz="6" w:space="0" w:color="auto"/>
              <w:left w:val="single" w:sz="6" w:space="0" w:color="auto"/>
              <w:bottom w:val="nil"/>
              <w:right w:val="single" w:sz="6" w:space="0" w:color="auto"/>
            </w:tcBorders>
          </w:tcPr>
          <w:p w14:paraId="480818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798F1B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02222F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смотрового перископа,</w:t>
            </w:r>
          </w:p>
          <w:p w14:paraId="747871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4B9B46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155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4590EE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49F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6C0BE5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8E6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164DB5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2A35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7454A9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1C0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7409DC" w14:textId="77777777" w:rsidTr="00ED5B0A">
        <w:trPr>
          <w:trHeight w:val="595"/>
        </w:trPr>
        <w:tc>
          <w:tcPr>
            <w:tcW w:w="480" w:type="dxa"/>
            <w:gridSpan w:val="2"/>
            <w:tcBorders>
              <w:top w:val="nil"/>
              <w:left w:val="single" w:sz="6" w:space="0" w:color="auto"/>
              <w:bottom w:val="nil"/>
              <w:right w:val="single" w:sz="6" w:space="0" w:color="auto"/>
            </w:tcBorders>
          </w:tcPr>
          <w:p w14:paraId="3A467A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86B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3B62FE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самоходов на базе «Перископа-разведчика» ТР с переменным увеличением I</w:t>
            </w:r>
            <w:r w:rsidRPr="00271E51">
              <w:rPr>
                <w:rFonts w:ascii="Times New Roman" w:hAnsi="Times New Roman"/>
                <w:color w:val="000000" w:themeColor="text1"/>
                <w:sz w:val="16"/>
                <w:szCs w:val="16"/>
                <w:vertAlign w:val="superscript"/>
              </w:rPr>
              <w:t>?</w:t>
            </w:r>
            <w:r w:rsidRPr="00271E51">
              <w:rPr>
                <w:rFonts w:ascii="Times New Roman" w:hAnsi="Times New Roman"/>
                <w:color w:val="000000" w:themeColor="text1"/>
                <w:sz w:val="16"/>
                <w:szCs w:val="16"/>
              </w:rPr>
              <w:t xml:space="preserve"> и 4</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при поле зрения</w:t>
            </w:r>
          </w:p>
          <w:p w14:paraId="5FD987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37334A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дополнительных средств обзора из самоходных установок</w:t>
            </w:r>
          </w:p>
          <w:p w14:paraId="45C3B5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000CFD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1944г.</w:t>
            </w:r>
          </w:p>
          <w:p w14:paraId="0D7108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445824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1944г.</w:t>
            </w:r>
          </w:p>
          <w:p w14:paraId="04738E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60221D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опытных образцов</w:t>
            </w:r>
          </w:p>
          <w:p w14:paraId="17CBF6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06B12F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566B24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414FA8" w14:textId="77777777" w:rsidTr="00ED5B0A">
        <w:trPr>
          <w:trHeight w:val="211"/>
        </w:trPr>
        <w:tc>
          <w:tcPr>
            <w:tcW w:w="480" w:type="dxa"/>
            <w:gridSpan w:val="2"/>
            <w:tcBorders>
              <w:top w:val="nil"/>
              <w:left w:val="single" w:sz="6" w:space="0" w:color="auto"/>
              <w:bottom w:val="single" w:sz="6" w:space="0" w:color="auto"/>
              <w:right w:val="single" w:sz="6" w:space="0" w:color="auto"/>
            </w:tcBorders>
          </w:tcPr>
          <w:p w14:paraId="69AB29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63A8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1837CB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50°-60° и 15" соответственно</w:t>
            </w:r>
          </w:p>
          <w:p w14:paraId="2F8C58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361CAB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DE92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699957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E17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0F5C06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2E8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4B57A5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F4F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555736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2C6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A29194" w14:textId="77777777" w:rsidTr="00ED5B0A">
        <w:trPr>
          <w:trHeight w:val="230"/>
        </w:trPr>
        <w:tc>
          <w:tcPr>
            <w:tcW w:w="480" w:type="dxa"/>
            <w:gridSpan w:val="2"/>
            <w:tcBorders>
              <w:top w:val="single" w:sz="6" w:space="0" w:color="auto"/>
              <w:left w:val="single" w:sz="6" w:space="0" w:color="auto"/>
              <w:bottom w:val="nil"/>
              <w:right w:val="single" w:sz="6" w:space="0" w:color="auto"/>
            </w:tcBorders>
          </w:tcPr>
          <w:p w14:paraId="5899A0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p w14:paraId="18AB1D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779D7D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ломающихся при-</w:t>
            </w:r>
          </w:p>
          <w:p w14:paraId="6FD690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155FBD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EDF0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072A0A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CFD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22FEEE9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2914C44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1CBB41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E0D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5426BB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FB38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1CDC3A" w14:textId="77777777" w:rsidTr="00ED5B0A">
        <w:trPr>
          <w:trHeight w:val="202"/>
        </w:trPr>
        <w:tc>
          <w:tcPr>
            <w:tcW w:w="480" w:type="dxa"/>
            <w:gridSpan w:val="2"/>
            <w:tcBorders>
              <w:top w:val="nil"/>
              <w:left w:val="single" w:sz="6" w:space="0" w:color="auto"/>
              <w:bottom w:val="nil"/>
              <w:right w:val="single" w:sz="6" w:space="0" w:color="auto"/>
            </w:tcBorders>
          </w:tcPr>
          <w:p w14:paraId="03B7DD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CB28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6FE3FD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целов 2,5</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и 4</w:t>
            </w:r>
            <w:r w:rsidRPr="00271E51">
              <w:rPr>
                <w:rFonts w:ascii="Times New Roman" w:hAnsi="Times New Roman"/>
                <w:color w:val="000000" w:themeColor="text1"/>
                <w:sz w:val="16"/>
                <w:szCs w:val="16"/>
                <w:vertAlign w:val="superscript"/>
              </w:rPr>
              <w:t>х</w:t>
            </w:r>
            <w:r w:rsidRPr="00271E51">
              <w:rPr>
                <w:rFonts w:ascii="Times New Roman" w:hAnsi="Times New Roman"/>
                <w:color w:val="000000" w:themeColor="text1"/>
                <w:sz w:val="16"/>
                <w:szCs w:val="16"/>
              </w:rPr>
              <w:t xml:space="preserve"> увеличения для всех</w:t>
            </w:r>
          </w:p>
          <w:p w14:paraId="1871347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49F5D2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удобства обслужи-</w:t>
            </w:r>
          </w:p>
          <w:p w14:paraId="768DF8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3F739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BC1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2DDC06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1944г. /д/</w:t>
            </w:r>
          </w:p>
          <w:p w14:paraId="6CF105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756847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0F3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1FCE2A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284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D86750" w14:textId="77777777" w:rsidTr="00ED5B0A">
        <w:trPr>
          <w:trHeight w:val="211"/>
        </w:trPr>
        <w:tc>
          <w:tcPr>
            <w:tcW w:w="480" w:type="dxa"/>
            <w:gridSpan w:val="2"/>
            <w:tcBorders>
              <w:top w:val="nil"/>
              <w:left w:val="single" w:sz="6" w:space="0" w:color="auto"/>
              <w:bottom w:val="nil"/>
              <w:right w:val="single" w:sz="6" w:space="0" w:color="auto"/>
            </w:tcBorders>
          </w:tcPr>
          <w:p w14:paraId="623962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7D1D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30F02E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видов танковых и самоходных арт-</w:t>
            </w:r>
          </w:p>
          <w:p w14:paraId="09436E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7AEEC7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вания артсистем и повышение</w:t>
            </w:r>
          </w:p>
          <w:p w14:paraId="356647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2FCF8A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1943г.</w:t>
            </w:r>
          </w:p>
          <w:p w14:paraId="4804F3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00FFB4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артсистем</w:t>
            </w:r>
          </w:p>
          <w:p w14:paraId="6CBA65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45E476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w:t>
            </w:r>
          </w:p>
          <w:p w14:paraId="6892F2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6866325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 ГАУ</w:t>
            </w:r>
          </w:p>
          <w:p w14:paraId="33A505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83B6981" w14:textId="77777777" w:rsidTr="00ED5B0A">
        <w:trPr>
          <w:trHeight w:val="182"/>
        </w:trPr>
        <w:tc>
          <w:tcPr>
            <w:tcW w:w="480" w:type="dxa"/>
            <w:gridSpan w:val="2"/>
            <w:tcBorders>
              <w:top w:val="nil"/>
              <w:left w:val="single" w:sz="6" w:space="0" w:color="auto"/>
              <w:bottom w:val="nil"/>
              <w:right w:val="single" w:sz="6" w:space="0" w:color="auto"/>
            </w:tcBorders>
          </w:tcPr>
          <w:p w14:paraId="7500463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93C5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0DFCD3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 имеющихся и поступающих</w:t>
            </w:r>
          </w:p>
          <w:p w14:paraId="375A28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18DED8B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меткости стрельбы на большие</w:t>
            </w:r>
          </w:p>
          <w:p w14:paraId="382BC46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021BB0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90B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222A2E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w:t>
            </w:r>
          </w:p>
          <w:p w14:paraId="475915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3F893A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образцов</w:t>
            </w:r>
          </w:p>
          <w:p w14:paraId="0E8BF7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2AA58B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F244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A06FA4" w14:textId="77777777" w:rsidTr="00ED5B0A">
        <w:trPr>
          <w:trHeight w:val="221"/>
        </w:trPr>
        <w:tc>
          <w:tcPr>
            <w:tcW w:w="480" w:type="dxa"/>
            <w:gridSpan w:val="2"/>
            <w:tcBorders>
              <w:top w:val="nil"/>
              <w:left w:val="single" w:sz="6" w:space="0" w:color="auto"/>
              <w:bottom w:val="nil"/>
              <w:right w:val="single" w:sz="6" w:space="0" w:color="auto"/>
            </w:tcBorders>
          </w:tcPr>
          <w:p w14:paraId="6A4B1C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8D91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7813E5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вооружение Красной Армии</w:t>
            </w:r>
          </w:p>
          <w:p w14:paraId="2E6748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4B5432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дистанции</w:t>
            </w:r>
          </w:p>
          <w:p w14:paraId="782181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386F56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AB6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0D1460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щих на</w:t>
            </w:r>
          </w:p>
          <w:p w14:paraId="61C48C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4C4BB5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44D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619B9B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63C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C16025" w14:textId="77777777" w:rsidTr="00ED5B0A">
        <w:trPr>
          <w:trHeight w:val="182"/>
        </w:trPr>
        <w:tc>
          <w:tcPr>
            <w:tcW w:w="480" w:type="dxa"/>
            <w:gridSpan w:val="2"/>
            <w:tcBorders>
              <w:top w:val="nil"/>
              <w:left w:val="single" w:sz="6" w:space="0" w:color="auto"/>
              <w:bottom w:val="single" w:sz="6" w:space="0" w:color="auto"/>
              <w:right w:val="single" w:sz="6" w:space="0" w:color="auto"/>
            </w:tcBorders>
          </w:tcPr>
          <w:p w14:paraId="3CE78BD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BB5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029840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4A7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35C4DE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864A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26EE4E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8C7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461E17E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w:t>
            </w:r>
          </w:p>
          <w:p w14:paraId="0B8761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63B2F1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EED6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7FA836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B67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444A97" w14:textId="77777777" w:rsidTr="00ED5B0A">
        <w:trPr>
          <w:trHeight w:val="221"/>
        </w:trPr>
        <w:tc>
          <w:tcPr>
            <w:tcW w:w="480" w:type="dxa"/>
            <w:gridSpan w:val="2"/>
            <w:tcBorders>
              <w:top w:val="single" w:sz="6" w:space="0" w:color="auto"/>
              <w:left w:val="single" w:sz="6" w:space="0" w:color="auto"/>
              <w:bottom w:val="nil"/>
              <w:right w:val="single" w:sz="6" w:space="0" w:color="auto"/>
            </w:tcBorders>
          </w:tcPr>
          <w:p w14:paraId="4B9233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p w14:paraId="42D24B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18A17C3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152-мм самоходной</w:t>
            </w:r>
          </w:p>
          <w:p w14:paraId="0626E6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1D584B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14A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4CAD27D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DDAA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37E13E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2468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2ACEFFE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CB7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4E6726F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E2DE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E22E4E" w14:textId="77777777" w:rsidTr="00ED5B0A">
        <w:trPr>
          <w:trHeight w:val="221"/>
        </w:trPr>
        <w:tc>
          <w:tcPr>
            <w:tcW w:w="480" w:type="dxa"/>
            <w:gridSpan w:val="2"/>
            <w:tcBorders>
              <w:top w:val="nil"/>
              <w:left w:val="single" w:sz="6" w:space="0" w:color="auto"/>
              <w:bottom w:val="nil"/>
              <w:right w:val="single" w:sz="6" w:space="0" w:color="auto"/>
            </w:tcBorders>
          </w:tcPr>
          <w:p w14:paraId="36EE61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2D41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4D3349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пушки с баллистикой пушки Бр-2 и</w:t>
            </w:r>
          </w:p>
          <w:p w14:paraId="4387B9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48D966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мощной самоходной</w:t>
            </w:r>
          </w:p>
          <w:p w14:paraId="57335A1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681520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0D9400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01E1B6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4B18E4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150A9D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w:t>
            </w:r>
          </w:p>
          <w:p w14:paraId="533A5C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00FE0A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 ГАУ,</w:t>
            </w:r>
          </w:p>
          <w:p w14:paraId="2CDC48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F2E817" w14:textId="77777777" w:rsidTr="00ED5B0A">
        <w:trPr>
          <w:trHeight w:val="202"/>
        </w:trPr>
        <w:tc>
          <w:tcPr>
            <w:tcW w:w="480" w:type="dxa"/>
            <w:gridSpan w:val="2"/>
            <w:tcBorders>
              <w:top w:val="nil"/>
              <w:left w:val="single" w:sz="6" w:space="0" w:color="auto"/>
              <w:bottom w:val="nil"/>
              <w:right w:val="single" w:sz="6" w:space="0" w:color="auto"/>
            </w:tcBorders>
          </w:tcPr>
          <w:p w14:paraId="151724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CE70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11C1D7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клиновым затвором, для установки</w:t>
            </w:r>
          </w:p>
          <w:p w14:paraId="546C00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4E55E7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w:t>
            </w:r>
          </w:p>
          <w:p w14:paraId="509A47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49AC92B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4FA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148BDF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 г.</w:t>
            </w:r>
          </w:p>
          <w:p w14:paraId="550B8A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36CE04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образцов</w:t>
            </w:r>
          </w:p>
          <w:p w14:paraId="189F04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276A99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3F85E6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E4353B" w14:textId="77777777" w:rsidTr="00ED5B0A">
        <w:trPr>
          <w:trHeight w:val="192"/>
        </w:trPr>
        <w:tc>
          <w:tcPr>
            <w:tcW w:w="480" w:type="dxa"/>
            <w:gridSpan w:val="2"/>
            <w:tcBorders>
              <w:top w:val="nil"/>
              <w:left w:val="single" w:sz="6" w:space="0" w:color="auto"/>
              <w:bottom w:val="single" w:sz="6" w:space="0" w:color="auto"/>
              <w:right w:val="single" w:sz="6" w:space="0" w:color="auto"/>
            </w:tcBorders>
          </w:tcPr>
          <w:p w14:paraId="17BE69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E75D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0CF2E0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самоход</w:t>
            </w:r>
          </w:p>
          <w:p w14:paraId="5C913D7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4AF06FC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DD6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191419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26EE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779A8D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3773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0D4BBAD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4C2E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5E91DE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02AE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1C1C19" w14:textId="77777777" w:rsidTr="00ED5B0A">
        <w:trPr>
          <w:trHeight w:val="240"/>
        </w:trPr>
        <w:tc>
          <w:tcPr>
            <w:tcW w:w="480" w:type="dxa"/>
            <w:gridSpan w:val="2"/>
            <w:tcBorders>
              <w:top w:val="single" w:sz="6" w:space="0" w:color="auto"/>
              <w:left w:val="single" w:sz="6" w:space="0" w:color="auto"/>
              <w:bottom w:val="nil"/>
              <w:right w:val="single" w:sz="6" w:space="0" w:color="auto"/>
            </w:tcBorders>
          </w:tcPr>
          <w:p w14:paraId="6FDAD9B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p w14:paraId="39DE63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single" w:sz="6" w:space="0" w:color="auto"/>
              <w:left w:val="single" w:sz="6" w:space="0" w:color="auto"/>
              <w:bottom w:val="nil"/>
              <w:right w:val="single" w:sz="6" w:space="0" w:color="auto"/>
            </w:tcBorders>
          </w:tcPr>
          <w:p w14:paraId="239CC7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Разработка 100-мм танковой и</w:t>
            </w:r>
          </w:p>
          <w:p w14:paraId="50ABA4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nil"/>
              <w:right w:val="single" w:sz="6" w:space="0" w:color="auto"/>
            </w:tcBorders>
          </w:tcPr>
          <w:p w14:paraId="63C726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08E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nil"/>
              <w:right w:val="single" w:sz="6" w:space="0" w:color="auto"/>
            </w:tcBorders>
          </w:tcPr>
          <w:p w14:paraId="7E170D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09E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nil"/>
              <w:right w:val="single" w:sz="6" w:space="0" w:color="auto"/>
            </w:tcBorders>
          </w:tcPr>
          <w:p w14:paraId="76A145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94E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nil"/>
              <w:right w:val="single" w:sz="6" w:space="0" w:color="auto"/>
            </w:tcBorders>
          </w:tcPr>
          <w:p w14:paraId="4875B1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1672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6" w:space="0" w:color="auto"/>
              <w:left w:val="single" w:sz="6" w:space="0" w:color="auto"/>
              <w:bottom w:val="nil"/>
              <w:right w:val="single" w:sz="6" w:space="0" w:color="auto"/>
            </w:tcBorders>
          </w:tcPr>
          <w:p w14:paraId="063381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AEB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7D4617" w14:textId="77777777" w:rsidTr="00ED5B0A">
        <w:trPr>
          <w:trHeight w:val="432"/>
        </w:trPr>
        <w:tc>
          <w:tcPr>
            <w:tcW w:w="480" w:type="dxa"/>
            <w:gridSpan w:val="2"/>
            <w:tcBorders>
              <w:top w:val="nil"/>
              <w:left w:val="single" w:sz="6" w:space="0" w:color="auto"/>
              <w:bottom w:val="nil"/>
              <w:right w:val="single" w:sz="6" w:space="0" w:color="auto"/>
            </w:tcBorders>
          </w:tcPr>
          <w:p w14:paraId="126EB8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FA4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5380BA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самоходной пушки с начальной ско</w:t>
            </w:r>
            <w:r w:rsidRPr="00271E51">
              <w:rPr>
                <w:rFonts w:ascii="Times New Roman" w:hAnsi="Times New Roman"/>
                <w:color w:val="000000" w:themeColor="text1"/>
                <w:sz w:val="16"/>
                <w:szCs w:val="16"/>
              </w:rPr>
              <w:softHyphen/>
              <w:t>ростью снаряда 900 м/с, с клиновым</w:t>
            </w:r>
          </w:p>
          <w:p w14:paraId="0C8B00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4B9081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мощной самоходной и танковой пушки</w:t>
            </w:r>
          </w:p>
          <w:p w14:paraId="01B956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3E381F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1943г.</w:t>
            </w:r>
          </w:p>
          <w:p w14:paraId="0A12CC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0E472E4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1944г.</w:t>
            </w:r>
          </w:p>
          <w:p w14:paraId="5BC681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696C92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053EB8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523E0C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 ГАУ</w:t>
            </w:r>
          </w:p>
          <w:p w14:paraId="316E6D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28491B" w14:textId="77777777" w:rsidTr="00ED5B0A">
        <w:trPr>
          <w:trHeight w:val="154"/>
        </w:trPr>
        <w:tc>
          <w:tcPr>
            <w:tcW w:w="480" w:type="dxa"/>
            <w:gridSpan w:val="2"/>
            <w:tcBorders>
              <w:top w:val="nil"/>
              <w:left w:val="single" w:sz="6" w:space="0" w:color="auto"/>
              <w:bottom w:val="nil"/>
              <w:right w:val="single" w:sz="6" w:space="0" w:color="auto"/>
            </w:tcBorders>
          </w:tcPr>
          <w:p w14:paraId="04F6C4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D0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nil"/>
              <w:right w:val="single" w:sz="6" w:space="0" w:color="auto"/>
            </w:tcBorders>
          </w:tcPr>
          <w:p w14:paraId="5DBCC9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полуавтоматическим затвором (для</w:t>
            </w:r>
          </w:p>
          <w:p w14:paraId="2E7CF4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nil"/>
              <w:right w:val="single" w:sz="6" w:space="0" w:color="auto"/>
            </w:tcBorders>
          </w:tcPr>
          <w:p w14:paraId="0AAB29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36F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nil"/>
              <w:right w:val="single" w:sz="6" w:space="0" w:color="auto"/>
            </w:tcBorders>
          </w:tcPr>
          <w:p w14:paraId="5E9A2F0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B7F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nil"/>
              <w:right w:val="single" w:sz="6" w:space="0" w:color="auto"/>
            </w:tcBorders>
          </w:tcPr>
          <w:p w14:paraId="401BCF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EC75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nil"/>
              <w:right w:val="single" w:sz="6" w:space="0" w:color="auto"/>
            </w:tcBorders>
          </w:tcPr>
          <w:p w14:paraId="5B6634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FEDEB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nil"/>
              <w:right w:val="single" w:sz="6" w:space="0" w:color="auto"/>
            </w:tcBorders>
          </w:tcPr>
          <w:p w14:paraId="1EB393A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396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A3C992" w14:textId="77777777" w:rsidTr="00ED5B0A">
        <w:trPr>
          <w:trHeight w:val="221"/>
        </w:trPr>
        <w:tc>
          <w:tcPr>
            <w:tcW w:w="480" w:type="dxa"/>
            <w:gridSpan w:val="2"/>
            <w:tcBorders>
              <w:top w:val="nil"/>
              <w:left w:val="single" w:sz="6" w:space="0" w:color="auto"/>
              <w:bottom w:val="single" w:sz="6" w:space="0" w:color="auto"/>
              <w:right w:val="single" w:sz="6" w:space="0" w:color="auto"/>
            </w:tcBorders>
          </w:tcPr>
          <w:p w14:paraId="1C897D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2D2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gridSpan w:val="2"/>
            <w:tcBorders>
              <w:top w:val="nil"/>
              <w:left w:val="single" w:sz="6" w:space="0" w:color="auto"/>
              <w:bottom w:val="single" w:sz="6" w:space="0" w:color="auto"/>
              <w:right w:val="single" w:sz="6" w:space="0" w:color="auto"/>
            </w:tcBorders>
          </w:tcPr>
          <w:p w14:paraId="24468F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в танк ИС)</w:t>
            </w:r>
          </w:p>
          <w:p w14:paraId="41E8D5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nil"/>
              <w:left w:val="single" w:sz="6" w:space="0" w:color="auto"/>
              <w:bottom w:val="single" w:sz="6" w:space="0" w:color="auto"/>
              <w:right w:val="single" w:sz="6" w:space="0" w:color="auto"/>
            </w:tcBorders>
          </w:tcPr>
          <w:p w14:paraId="1C4637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906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nil"/>
              <w:left w:val="single" w:sz="6" w:space="0" w:color="auto"/>
              <w:bottom w:val="single" w:sz="6" w:space="0" w:color="auto"/>
              <w:right w:val="single" w:sz="6" w:space="0" w:color="auto"/>
            </w:tcBorders>
          </w:tcPr>
          <w:p w14:paraId="570CFA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EB6D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nil"/>
              <w:left w:val="single" w:sz="6" w:space="0" w:color="auto"/>
              <w:bottom w:val="single" w:sz="6" w:space="0" w:color="auto"/>
              <w:right w:val="single" w:sz="6" w:space="0" w:color="auto"/>
            </w:tcBorders>
          </w:tcPr>
          <w:p w14:paraId="0DC87E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00A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nil"/>
              <w:left w:val="single" w:sz="6" w:space="0" w:color="auto"/>
              <w:bottom w:val="single" w:sz="6" w:space="0" w:color="auto"/>
              <w:right w:val="single" w:sz="6" w:space="0" w:color="auto"/>
            </w:tcBorders>
          </w:tcPr>
          <w:p w14:paraId="7F8B4E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4FA3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nil"/>
              <w:left w:val="single" w:sz="6" w:space="0" w:color="auto"/>
              <w:bottom w:val="single" w:sz="6" w:space="0" w:color="auto"/>
              <w:right w:val="single" w:sz="6" w:space="0" w:color="auto"/>
            </w:tcBorders>
          </w:tcPr>
          <w:p w14:paraId="7034AA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0BB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E23A91" w14:textId="77777777" w:rsidTr="00ED5B0A">
        <w:trPr>
          <w:gridAfter w:val="1"/>
          <w:wAfter w:w="68" w:type="dxa"/>
          <w:trHeight w:val="835"/>
        </w:trPr>
        <w:tc>
          <w:tcPr>
            <w:tcW w:w="422" w:type="dxa"/>
            <w:tcBorders>
              <w:top w:val="single" w:sz="6" w:space="0" w:color="auto"/>
              <w:left w:val="single" w:sz="6" w:space="0" w:color="auto"/>
              <w:bottom w:val="single" w:sz="6" w:space="0" w:color="auto"/>
              <w:right w:val="single" w:sz="6" w:space="0" w:color="auto"/>
            </w:tcBorders>
          </w:tcPr>
          <w:p w14:paraId="3E78D8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p w14:paraId="3D28E1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6455A2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Доработка 122-мм самоходной гаубицы с клиновым затвором и установка ее на легкий самоход открытого танка</w:t>
            </w:r>
          </w:p>
          <w:p w14:paraId="444D8A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6DCEF1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огневой мощи легких самоходных установок</w:t>
            </w:r>
          </w:p>
          <w:p w14:paraId="371010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7E5D8E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1943г.</w:t>
            </w:r>
          </w:p>
          <w:p w14:paraId="663E03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410C3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 1944г.</w:t>
            </w:r>
          </w:p>
          <w:p w14:paraId="42190C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55FB4E6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24FCB0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0D0141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АКГАУ</w:t>
            </w:r>
          </w:p>
          <w:p w14:paraId="043B31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21BD86" w14:textId="77777777" w:rsidTr="00ED5B0A">
        <w:trPr>
          <w:gridAfter w:val="1"/>
          <w:wAfter w:w="68" w:type="dxa"/>
          <w:trHeight w:val="1027"/>
        </w:trPr>
        <w:tc>
          <w:tcPr>
            <w:tcW w:w="422" w:type="dxa"/>
            <w:tcBorders>
              <w:top w:val="single" w:sz="6" w:space="0" w:color="auto"/>
              <w:left w:val="single" w:sz="6" w:space="0" w:color="auto"/>
              <w:bottom w:val="single" w:sz="6" w:space="0" w:color="auto"/>
              <w:right w:val="single" w:sz="6" w:space="0" w:color="auto"/>
            </w:tcBorders>
          </w:tcPr>
          <w:p w14:paraId="1AEDAE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p w14:paraId="2B58F96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0F6568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203-мм самоходной гаубицы с баллистикой Б-4 для уста</w:t>
            </w:r>
            <w:r w:rsidRPr="00271E51">
              <w:rPr>
                <w:rFonts w:ascii="Times New Roman" w:hAnsi="Times New Roman"/>
                <w:color w:val="000000" w:themeColor="text1"/>
                <w:sz w:val="16"/>
                <w:szCs w:val="16"/>
              </w:rPr>
              <w:softHyphen/>
              <w:t>новки на открытый самоход</w:t>
            </w:r>
          </w:p>
          <w:p w14:paraId="405836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132E5E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мощных самоходных установок открытого типа</w:t>
            </w:r>
          </w:p>
          <w:p w14:paraId="74F8BE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05B362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1944г.</w:t>
            </w:r>
          </w:p>
          <w:p w14:paraId="4DC70D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8509A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 1944г.</w:t>
            </w:r>
          </w:p>
          <w:p w14:paraId="77474B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051FB4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Изготовле</w:t>
            </w:r>
            <w:r w:rsidRPr="00271E51">
              <w:rPr>
                <w:rFonts w:ascii="Times New Roman" w:hAnsi="Times New Roman"/>
                <w:color w:val="000000" w:themeColor="text1"/>
                <w:sz w:val="16"/>
                <w:szCs w:val="16"/>
              </w:rPr>
              <w:softHyphen/>
              <w:t>нием и испытанием опытного образца</w:t>
            </w:r>
          </w:p>
          <w:p w14:paraId="2C49D3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273FB0A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АКГАУ</w:t>
            </w:r>
          </w:p>
          <w:p w14:paraId="516873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235724" w14:textId="77777777" w:rsidTr="00ED5B0A">
        <w:trPr>
          <w:gridAfter w:val="1"/>
          <w:wAfter w:w="68" w:type="dxa"/>
          <w:trHeight w:val="826"/>
        </w:trPr>
        <w:tc>
          <w:tcPr>
            <w:tcW w:w="422" w:type="dxa"/>
            <w:tcBorders>
              <w:top w:val="single" w:sz="6" w:space="0" w:color="auto"/>
              <w:left w:val="single" w:sz="6" w:space="0" w:color="auto"/>
              <w:bottom w:val="single" w:sz="6" w:space="0" w:color="auto"/>
              <w:right w:val="single" w:sz="6" w:space="0" w:color="auto"/>
            </w:tcBorders>
          </w:tcPr>
          <w:p w14:paraId="3C7080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4307C2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1BB5F6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более совершенных механических и электромагнитных спусков для танковых и самоходных артсистем</w:t>
            </w:r>
          </w:p>
          <w:p w14:paraId="2EBFDB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1156C5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удобства обслужи</w:t>
            </w:r>
            <w:r w:rsidRPr="00271E51">
              <w:rPr>
                <w:rFonts w:ascii="Times New Roman" w:hAnsi="Times New Roman"/>
                <w:color w:val="000000" w:themeColor="text1"/>
                <w:sz w:val="16"/>
                <w:szCs w:val="16"/>
              </w:rPr>
              <w:softHyphen/>
              <w:t>вания и повышение скоро</w:t>
            </w:r>
            <w:r w:rsidRPr="00271E51">
              <w:rPr>
                <w:rFonts w:ascii="Times New Roman" w:hAnsi="Times New Roman"/>
                <w:color w:val="000000" w:themeColor="text1"/>
                <w:sz w:val="16"/>
                <w:szCs w:val="16"/>
              </w:rPr>
              <w:softHyphen/>
              <w:t>стрельности из танковых и само</w:t>
            </w:r>
            <w:r w:rsidRPr="00271E51">
              <w:rPr>
                <w:rFonts w:ascii="Times New Roman" w:hAnsi="Times New Roman"/>
                <w:color w:val="000000" w:themeColor="text1"/>
                <w:sz w:val="16"/>
                <w:szCs w:val="16"/>
              </w:rPr>
              <w:softHyphen/>
              <w:t>ходных артсистем</w:t>
            </w:r>
          </w:p>
          <w:p w14:paraId="48D4739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1962B5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1943г.</w:t>
            </w:r>
          </w:p>
          <w:p w14:paraId="7AD14D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A9E648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1944г.</w:t>
            </w:r>
          </w:p>
          <w:p w14:paraId="3983782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03A5DD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0D2B22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AC4C1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 ГАУ, ГБТУКА</w:t>
            </w:r>
          </w:p>
          <w:p w14:paraId="793B7C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01F80F" w14:textId="77777777" w:rsidTr="00ED5B0A">
        <w:trPr>
          <w:gridAfter w:val="1"/>
          <w:wAfter w:w="68" w:type="dxa"/>
          <w:trHeight w:val="634"/>
        </w:trPr>
        <w:tc>
          <w:tcPr>
            <w:tcW w:w="422" w:type="dxa"/>
            <w:tcBorders>
              <w:top w:val="single" w:sz="6" w:space="0" w:color="auto"/>
              <w:left w:val="single" w:sz="6" w:space="0" w:color="auto"/>
              <w:bottom w:val="single" w:sz="6" w:space="0" w:color="auto"/>
              <w:right w:val="single" w:sz="6" w:space="0" w:color="auto"/>
            </w:tcBorders>
          </w:tcPr>
          <w:p w14:paraId="38D305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w:t>
            </w:r>
          </w:p>
          <w:p w14:paraId="129912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15573C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приспособлений для продувки канала ствола у самоход</w:t>
            </w:r>
            <w:r w:rsidRPr="00271E51">
              <w:rPr>
                <w:rFonts w:ascii="Times New Roman" w:hAnsi="Times New Roman"/>
                <w:color w:val="000000" w:themeColor="text1"/>
                <w:sz w:val="16"/>
                <w:szCs w:val="16"/>
              </w:rPr>
              <w:softHyphen/>
              <w:t>ных и танковых артсистем</w:t>
            </w:r>
          </w:p>
          <w:p w14:paraId="4ECAB6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51C0C1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условий работы эки</w:t>
            </w:r>
            <w:r w:rsidRPr="00271E51">
              <w:rPr>
                <w:rFonts w:ascii="Times New Roman" w:hAnsi="Times New Roman"/>
                <w:color w:val="000000" w:themeColor="text1"/>
                <w:sz w:val="16"/>
                <w:szCs w:val="16"/>
              </w:rPr>
              <w:softHyphen/>
              <w:t>пажам боевых машин</w:t>
            </w:r>
          </w:p>
          <w:p w14:paraId="6AD4CB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009FDD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101181C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AAC57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 1944 г.</w:t>
            </w:r>
          </w:p>
          <w:p w14:paraId="1092B10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669ED5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767F5F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0F8C36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 КА</w:t>
            </w:r>
          </w:p>
          <w:p w14:paraId="111D9C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D28E671" w14:textId="77777777" w:rsidTr="00ED5B0A">
        <w:trPr>
          <w:gridAfter w:val="1"/>
          <w:wAfter w:w="68" w:type="dxa"/>
          <w:trHeight w:val="1229"/>
        </w:trPr>
        <w:tc>
          <w:tcPr>
            <w:tcW w:w="422" w:type="dxa"/>
            <w:tcBorders>
              <w:top w:val="single" w:sz="6" w:space="0" w:color="auto"/>
              <w:left w:val="single" w:sz="6" w:space="0" w:color="auto"/>
              <w:bottom w:val="single" w:sz="6" w:space="0" w:color="auto"/>
              <w:right w:val="single" w:sz="6" w:space="0" w:color="auto"/>
            </w:tcBorders>
          </w:tcPr>
          <w:p w14:paraId="3E9639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p w14:paraId="241E67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3D82BA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более совершен</w:t>
            </w:r>
            <w:r w:rsidRPr="00271E51">
              <w:rPr>
                <w:rFonts w:ascii="Times New Roman" w:hAnsi="Times New Roman"/>
                <w:color w:val="000000" w:themeColor="text1"/>
                <w:sz w:val="16"/>
                <w:szCs w:val="16"/>
              </w:rPr>
              <w:softHyphen/>
              <w:t>ной укладки боеприпасов в тан</w:t>
            </w:r>
            <w:r w:rsidRPr="00271E51">
              <w:rPr>
                <w:rFonts w:ascii="Times New Roman" w:hAnsi="Times New Roman"/>
                <w:color w:val="000000" w:themeColor="text1"/>
                <w:sz w:val="16"/>
                <w:szCs w:val="16"/>
              </w:rPr>
              <w:softHyphen/>
              <w:t>ках и самоходных установках. Механизация подачи боеприпасов и заряжения в тяжелых танковых и самоходных артсистемах</w:t>
            </w:r>
          </w:p>
          <w:p w14:paraId="5B3537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23A07F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Облегчение работы экипажам боевых машин и повышение ско</w:t>
            </w:r>
            <w:r w:rsidRPr="00271E51">
              <w:rPr>
                <w:rFonts w:ascii="Times New Roman" w:hAnsi="Times New Roman"/>
                <w:color w:val="000000" w:themeColor="text1"/>
                <w:sz w:val="16"/>
                <w:szCs w:val="16"/>
              </w:rPr>
              <w:softHyphen/>
              <w:t>рострельности</w:t>
            </w:r>
          </w:p>
          <w:p w14:paraId="5F3DA2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5A9388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68F5A8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3475A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 1944 г.</w:t>
            </w:r>
          </w:p>
          <w:p w14:paraId="5369003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7E399A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02F5FC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31EB59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2CCCF0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A5A31D" w14:textId="77777777" w:rsidTr="00ED5B0A">
        <w:trPr>
          <w:gridAfter w:val="1"/>
          <w:wAfter w:w="68" w:type="dxa"/>
          <w:trHeight w:val="826"/>
        </w:trPr>
        <w:tc>
          <w:tcPr>
            <w:tcW w:w="422" w:type="dxa"/>
            <w:tcBorders>
              <w:top w:val="single" w:sz="6" w:space="0" w:color="auto"/>
              <w:left w:val="single" w:sz="6" w:space="0" w:color="auto"/>
              <w:bottom w:val="single" w:sz="6" w:space="0" w:color="auto"/>
              <w:right w:val="single" w:sz="6" w:space="0" w:color="auto"/>
            </w:tcBorders>
          </w:tcPr>
          <w:p w14:paraId="351D63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p w14:paraId="4372A5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203BEF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зенитной самоходной установки 37-мм автоматической пушки обр. 1939 г. и морской 37-мм пушки 70К на шасси СУ-76</w:t>
            </w:r>
          </w:p>
          <w:p w14:paraId="36716F4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38C7F3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средств зенитной защиты мотомеханизированных войск</w:t>
            </w:r>
          </w:p>
          <w:p w14:paraId="69CFB2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6008DD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4F33717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39600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1944 г.</w:t>
            </w:r>
          </w:p>
          <w:p w14:paraId="2CA41F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2F6B5F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453626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96989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70DB785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48D8DA" w14:textId="77777777" w:rsidTr="00ED5B0A">
        <w:trPr>
          <w:gridAfter w:val="1"/>
          <w:wAfter w:w="68" w:type="dxa"/>
          <w:trHeight w:val="634"/>
        </w:trPr>
        <w:tc>
          <w:tcPr>
            <w:tcW w:w="422" w:type="dxa"/>
            <w:tcBorders>
              <w:top w:val="single" w:sz="6" w:space="0" w:color="auto"/>
              <w:left w:val="single" w:sz="6" w:space="0" w:color="auto"/>
              <w:bottom w:val="single" w:sz="6" w:space="0" w:color="auto"/>
              <w:right w:val="single" w:sz="6" w:space="0" w:color="auto"/>
            </w:tcBorders>
          </w:tcPr>
          <w:p w14:paraId="236F57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w:t>
            </w:r>
          </w:p>
          <w:p w14:paraId="0189B7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1B5D5E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танковой зенитной установки под 14,5-мм пулемет</w:t>
            </w:r>
          </w:p>
          <w:p w14:paraId="680BFB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2EAA25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Создание средств зенитной защиты мотомеханизированных войск</w:t>
            </w:r>
          </w:p>
          <w:p w14:paraId="506316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04749C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p w14:paraId="08A9AE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709248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 1944г.</w:t>
            </w:r>
          </w:p>
          <w:p w14:paraId="36EE6B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7390A0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Испытанием образцов</w:t>
            </w:r>
          </w:p>
          <w:p w14:paraId="0E7AE9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1C6697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26DE96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1640A1B" w14:textId="77777777" w:rsidTr="00ED5B0A">
        <w:trPr>
          <w:gridAfter w:val="1"/>
          <w:wAfter w:w="68" w:type="dxa"/>
          <w:trHeight w:val="845"/>
        </w:trPr>
        <w:tc>
          <w:tcPr>
            <w:tcW w:w="422" w:type="dxa"/>
            <w:tcBorders>
              <w:top w:val="single" w:sz="6" w:space="0" w:color="auto"/>
              <w:left w:val="single" w:sz="6" w:space="0" w:color="auto"/>
              <w:bottom w:val="single" w:sz="6" w:space="0" w:color="auto"/>
              <w:right w:val="single" w:sz="6" w:space="0" w:color="auto"/>
            </w:tcBorders>
          </w:tcPr>
          <w:p w14:paraId="39B3EC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p w14:paraId="467291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42" w:type="dxa"/>
            <w:gridSpan w:val="2"/>
            <w:tcBorders>
              <w:top w:val="single" w:sz="6" w:space="0" w:color="auto"/>
              <w:left w:val="single" w:sz="6" w:space="0" w:color="auto"/>
              <w:bottom w:val="single" w:sz="6" w:space="0" w:color="auto"/>
              <w:right w:val="single" w:sz="6" w:space="0" w:color="auto"/>
            </w:tcBorders>
          </w:tcPr>
          <w:p w14:paraId="343CF8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Разработать более совершенные механизмы поворота башни средне</w:t>
            </w:r>
            <w:r w:rsidRPr="00271E51">
              <w:rPr>
                <w:rFonts w:ascii="Times New Roman" w:hAnsi="Times New Roman"/>
                <w:color w:val="000000" w:themeColor="text1"/>
                <w:sz w:val="16"/>
                <w:szCs w:val="16"/>
              </w:rPr>
              <w:softHyphen/>
              <w:t>го и тяжелого танков (совместно с НИТП)</w:t>
            </w:r>
          </w:p>
          <w:p w14:paraId="222016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gridSpan w:val="2"/>
            <w:tcBorders>
              <w:top w:val="single" w:sz="6" w:space="0" w:color="auto"/>
              <w:left w:val="single" w:sz="6" w:space="0" w:color="auto"/>
              <w:bottom w:val="single" w:sz="6" w:space="0" w:color="auto"/>
              <w:right w:val="single" w:sz="6" w:space="0" w:color="auto"/>
            </w:tcBorders>
          </w:tcPr>
          <w:p w14:paraId="441589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скорострельности и меткости огня с ходу и с места</w:t>
            </w:r>
          </w:p>
          <w:p w14:paraId="09407E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0A44AB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 1944 г.</w:t>
            </w:r>
          </w:p>
          <w:p w14:paraId="076360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A7DBAF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 1944 г.</w:t>
            </w:r>
          </w:p>
          <w:p w14:paraId="147AEA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4A75B2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Опытными образцами</w:t>
            </w:r>
          </w:p>
          <w:p w14:paraId="203FA5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44C205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ГБТУКА</w:t>
            </w:r>
          </w:p>
          <w:p w14:paraId="624D7A9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5E48A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самоходной артиллерии ГБТУ КА генерал-майор инженерно-танковой службы Алымов</w:t>
      </w:r>
    </w:p>
    <w:p w14:paraId="2B9678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3 отдела УСА ГБТУ КА инженер-подполковник Ковалев</w:t>
      </w:r>
    </w:p>
    <w:p w14:paraId="469CAC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15. Л. 16-18. Подлинник (11403).</w:t>
      </w:r>
    </w:p>
    <w:p w14:paraId="039238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771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вышел приказ НКВ о созда</w:t>
      </w:r>
      <w:r w:rsidRPr="00271E51">
        <w:rPr>
          <w:rFonts w:ascii="Times New Roman" w:hAnsi="Times New Roman"/>
          <w:color w:val="000000" w:themeColor="text1"/>
          <w:sz w:val="16"/>
          <w:szCs w:val="16"/>
        </w:rPr>
        <w:softHyphen/>
        <w:t>нии 100-мм танковой и самоходной пушек, а уже 5 декабря 1943 г. эскизный проект СУ-100, выполненный Г.Ф. Ксю-ниным, А.Г. Гайворонским, А.Д. Нехлюдовым, В.Л. Дихо-мандовым под руководством Л.И. Горлицкого, был передан в ОГК НКТП и копия - в Управление Самоходной Артил</w:t>
      </w:r>
      <w:r w:rsidRPr="00271E51">
        <w:rPr>
          <w:rFonts w:ascii="Times New Roman" w:hAnsi="Times New Roman"/>
          <w:color w:val="000000" w:themeColor="text1"/>
          <w:sz w:val="16"/>
          <w:szCs w:val="16"/>
        </w:rPr>
        <w:softHyphen/>
        <w:t>лерии Красной Армии. 27 декабря 1943 г. ГКО принял по</w:t>
      </w:r>
      <w:r w:rsidRPr="00271E51">
        <w:rPr>
          <w:rFonts w:ascii="Times New Roman" w:hAnsi="Times New Roman"/>
          <w:color w:val="000000" w:themeColor="text1"/>
          <w:sz w:val="16"/>
          <w:szCs w:val="16"/>
        </w:rPr>
        <w:softHyphen/>
        <w:t>становление № 4851сс о вооружении тяжелого танка ИС и средних артсамоходов 100-мм орудием. Во исполнение этого постановления НКТП приказом № 765 от 28/ХН—1943 г. предписывал Уралмашу:</w:t>
      </w:r>
    </w:p>
    <w:p w14:paraId="1BF454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Спроектировать к 15/1 44 г. средний самоход на базе аг</w:t>
      </w:r>
      <w:r w:rsidRPr="00271E51">
        <w:rPr>
          <w:rFonts w:ascii="Times New Roman" w:hAnsi="Times New Roman"/>
          <w:color w:val="000000" w:themeColor="text1"/>
          <w:sz w:val="16"/>
          <w:szCs w:val="16"/>
        </w:rPr>
        <w:softHyphen/>
        <w:t>регатов танка Т-34 с вооружением 100-мм пушкой С-34 конструкции ЦАКБ;</w:t>
      </w:r>
    </w:p>
    <w:p w14:paraId="075AAC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 25/1 44 г. получить с завода № 92 опытный образец 100-мм орудия С-34.</w:t>
      </w:r>
    </w:p>
    <w:p w14:paraId="3CA07F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20/П 44 г. изготовить и провести заводские испытания самохода.</w:t>
      </w:r>
    </w:p>
    <w:p w14:paraId="7444A8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 25/П 44 г. передать самоход для государственных испы</w:t>
      </w:r>
      <w:r w:rsidRPr="00271E51">
        <w:rPr>
          <w:rFonts w:ascii="Times New Roman" w:hAnsi="Times New Roman"/>
          <w:color w:val="000000" w:themeColor="text1"/>
          <w:sz w:val="16"/>
          <w:szCs w:val="16"/>
        </w:rPr>
        <w:softHyphen/>
        <w:t>таний».</w:t>
      </w:r>
    </w:p>
    <w:p w14:paraId="091248E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получении чертежей 100-мм пушки С-34 было уста</w:t>
      </w:r>
      <w:r w:rsidRPr="00271E51">
        <w:rPr>
          <w:rFonts w:ascii="Times New Roman" w:hAnsi="Times New Roman"/>
          <w:color w:val="000000" w:themeColor="text1"/>
          <w:sz w:val="16"/>
          <w:szCs w:val="16"/>
        </w:rPr>
        <w:softHyphen/>
        <w:t>новлено, что пушка имеет значительно большую ширину, чем предусматривалось заданием. При наведении влево гильзоулавливатель орудия будет упираться во вторую пру</w:t>
      </w:r>
      <w:r w:rsidRPr="00271E51">
        <w:rPr>
          <w:rFonts w:ascii="Times New Roman" w:hAnsi="Times New Roman"/>
          <w:color w:val="000000" w:themeColor="text1"/>
          <w:sz w:val="16"/>
          <w:szCs w:val="16"/>
        </w:rPr>
        <w:softHyphen/>
        <w:t>жину подвески, а его маска не позволит разместить на лобо</w:t>
      </w:r>
      <w:r w:rsidRPr="00271E51">
        <w:rPr>
          <w:rFonts w:ascii="Times New Roman" w:hAnsi="Times New Roman"/>
          <w:color w:val="000000" w:themeColor="text1"/>
          <w:sz w:val="16"/>
          <w:szCs w:val="16"/>
        </w:rPr>
        <w:softHyphen/>
        <w:t>вом листе люк водителя. Для устранения всех отмеченных недостатков необходимо было значительно (до внешних об</w:t>
      </w:r>
      <w:r w:rsidRPr="00271E51">
        <w:rPr>
          <w:rFonts w:ascii="Times New Roman" w:hAnsi="Times New Roman"/>
          <w:color w:val="000000" w:themeColor="text1"/>
          <w:sz w:val="16"/>
          <w:szCs w:val="16"/>
        </w:rPr>
        <w:softHyphen/>
        <w:t>водов гусениц) расширить корпус САУ, вместо наклонных бортов разместить вертикальные (как у СУ-Д-25), поднять орудие на 80 мм выше, разработать новые сварочные стен</w:t>
      </w:r>
      <w:r w:rsidRPr="00271E51">
        <w:rPr>
          <w:rFonts w:ascii="Times New Roman" w:hAnsi="Times New Roman"/>
          <w:color w:val="000000" w:themeColor="text1"/>
          <w:sz w:val="16"/>
          <w:szCs w:val="16"/>
        </w:rPr>
        <w:softHyphen/>
        <w:t>ды, перейти в подвеске от свечных пружин на торсионы, сместить место механика-водителя влево. Кроме того, для пушки С-34, имевшей правое расположение наводчика, уралмашевцам нужно было перекомпоновывать все боевое отделение, с чем они тоже согласиться, понятно, не могли... Реализация всех необходимых доработок приводила к уве</w:t>
      </w:r>
      <w:r w:rsidRPr="00271E51">
        <w:rPr>
          <w:rFonts w:ascii="Times New Roman" w:hAnsi="Times New Roman"/>
          <w:color w:val="000000" w:themeColor="text1"/>
          <w:sz w:val="16"/>
          <w:szCs w:val="16"/>
        </w:rPr>
        <w:softHyphen/>
        <w:t>личению массы САУ на 3,5—3,8 тонны относительно СУ-85 и сдвигала срок готовности САУ, по крайней мере, на 3 ме</w:t>
      </w:r>
      <w:r w:rsidRPr="00271E51">
        <w:rPr>
          <w:rFonts w:ascii="Times New Roman" w:hAnsi="Times New Roman"/>
          <w:color w:val="000000" w:themeColor="text1"/>
          <w:sz w:val="16"/>
          <w:szCs w:val="16"/>
        </w:rPr>
        <w:softHyphen/>
        <w:t>сяца, с чем заказчик согласиться не мог. Находясь в жестком цейтноте, Л.И. Горлицкий связался с начальником КБ заво</w:t>
      </w:r>
      <w:r w:rsidRPr="00271E51">
        <w:rPr>
          <w:rFonts w:ascii="Times New Roman" w:hAnsi="Times New Roman"/>
          <w:color w:val="000000" w:themeColor="text1"/>
          <w:sz w:val="16"/>
          <w:szCs w:val="16"/>
        </w:rPr>
        <w:softHyphen/>
        <w:t>да № 9 Ф.Ф. Петровым и попросил его выполнить проект 100-мм пушки для вооружения СУ-85 не позднее февраля 1944 г., с чем последний согласился (11417).</w:t>
      </w:r>
    </w:p>
    <w:p w14:paraId="1D8352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F2AD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вышло Постановление № 4531с ГКО «О слиянии Тюменского и Горьковского заводов НКСМ», в котором директору ТМЗ предписывалось до 15 декабря 1943 г. обеспечить перевозку оборудования и пер</w:t>
      </w:r>
      <w:r w:rsidRPr="00271E51">
        <w:rPr>
          <w:rFonts w:ascii="Times New Roman" w:hAnsi="Times New Roman"/>
          <w:color w:val="000000" w:themeColor="text1"/>
          <w:sz w:val="16"/>
          <w:szCs w:val="16"/>
        </w:rPr>
        <w:softHyphen/>
        <w:t>сонала с ТМЗ на ГМЗ. Выделили 60 железнодорожных вагонов для доставки в Горький оборудования и сотрудников с ТМЗ и ещё 60 для перевозки туда же со станции Шатки стандартных домов для размещения в них персонала ТМЗ [5.61]. К концу 1943 г. обо</w:t>
      </w:r>
      <w:r w:rsidRPr="00271E51">
        <w:rPr>
          <w:rFonts w:ascii="Times New Roman" w:hAnsi="Times New Roman"/>
          <w:color w:val="000000" w:themeColor="text1"/>
          <w:sz w:val="16"/>
          <w:szCs w:val="16"/>
        </w:rPr>
        <w:softHyphen/>
        <w:t>рудование и людей с ТМЗ переправили на новое место назначе</w:t>
      </w:r>
      <w:r w:rsidRPr="00271E51">
        <w:rPr>
          <w:rFonts w:ascii="Times New Roman" w:hAnsi="Times New Roman"/>
          <w:color w:val="000000" w:themeColor="text1"/>
          <w:sz w:val="16"/>
          <w:szCs w:val="16"/>
        </w:rPr>
        <w:softHyphen/>
        <w:t>ния, и на этом история Тюменского мотоциклетного завода за</w:t>
      </w:r>
      <w:r w:rsidRPr="00271E51">
        <w:rPr>
          <w:rFonts w:ascii="Times New Roman" w:hAnsi="Times New Roman"/>
          <w:color w:val="000000" w:themeColor="text1"/>
          <w:sz w:val="16"/>
          <w:szCs w:val="16"/>
        </w:rPr>
        <w:softHyphen/>
        <w:t>вершилась. За период с 13 декабря 1941 г. по 26 октября 1943 г. в разное время директорами ТМЗ работали И.М. Мизрухин [5.62], Г.Д. Ударов [5.63] и И.З. Соколов [5.64] (11429).</w:t>
      </w:r>
    </w:p>
    <w:p w14:paraId="65E8AF7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A058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 приказом Наркомата нефтяной промышленности СССР была создана Центральная научно-исследовательская лаборатория (ЦНИЛ) Объединения "Краснодарнефть" Министерства нефтяной промышленности СССР, г. Краснодар. Приказом Министерства нефтяной промышленности СССР от 6 апреля 1953 г. на базе ЦНИЛ был образован Краснодарский филиал ВНИИ (12102).</w:t>
      </w:r>
    </w:p>
    <w:p w14:paraId="646937CD" w14:textId="77777777" w:rsidR="0047343F" w:rsidRPr="00271E51" w:rsidRDefault="0047343F"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8E908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 ноября 1943 вышло Постановление ГКО № 4540 О неотложных мерах по увеличению выработки лесоматериалов лесозаготовительными организациями </w:t>
      </w:r>
      <w:r w:rsidRPr="00271E51">
        <w:rPr>
          <w:rFonts w:ascii="Times New Roman" w:hAnsi="Times New Roman"/>
          <w:color w:val="000000" w:themeColor="text1"/>
          <w:sz w:val="16"/>
          <w:szCs w:val="16"/>
        </w:rPr>
        <w:lastRenderedPageBreak/>
        <w:t>Архангельской области. (7155, 163-173,174-178).</w:t>
      </w:r>
    </w:p>
    <w:p w14:paraId="7F4BA22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9959F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вышло Постановление ГКО № 4541 [Об освобождении от призыва рабочих и ИТР 1926 года рождения с предприятий НКСП.] (7155, 179).</w:t>
      </w:r>
    </w:p>
    <w:p w14:paraId="7D1DF6E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509E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вышло Постановление ГКО № 4542 [Об освобождении от призыва рабочих и ИТР 1926 года рождения - строителей предприятий военной и химической промышленности, электростанций, топливных предприятий, черной и цветной металлургии и машиностроения.] (7155, 180).</w:t>
      </w:r>
    </w:p>
    <w:p w14:paraId="4DA8C53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1DB7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26C5F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829AA"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11 ноября </w:t>
      </w:r>
      <w:r w:rsidRPr="00271E51">
        <w:rPr>
          <w:rFonts w:ascii="Times New Roman" w:hAnsi="Times New Roman"/>
          <w:color w:val="000000" w:themeColor="text1"/>
          <w:sz w:val="16"/>
          <w:szCs w:val="16"/>
        </w:rPr>
        <w:t>в 1943 году оперативная сводка Совинформбюро:</w:t>
      </w:r>
    </w:p>
    <w:p w14:paraId="58532531"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ноября войска 1-го Украинского фронта, продолжая наступление, овладели районными центрами Житомирской области городом Радомышль, Брусилов, Корнин, а также заняли более 100 других населённых пунктов, в том числе крупные населённые пункты Унин, Ханев, Кухары, Зарудье, Макалевичи, Веприн, Межиричка,Вышевичи, Великая Рача, Кичкиры, Глиница, Березовка, Минейки, Козиевка, Царевка,Войташивка, Кочерово, Озеряны, Великие Голяки, Сущанка. Белки, Мохначка и железнодорожные станции Тетерев, Чернявка.</w:t>
      </w:r>
    </w:p>
    <w:p w14:paraId="08C6AFC2"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по расширению плацдарма в прежних районах и, овладев рядом важных опорных пунктов противника, значительно улучшили свои позиции.</w:t>
      </w:r>
    </w:p>
    <w:p w14:paraId="4951489E"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Речица наши войска вели бои по расширению плацдарма на правом берегу реки Днепр и, сломив сопротивление противника, овладели сильно укреплёнными опорными пунктами Надвин, Гончаров Подел, Громыки, Ястребка, Новая Кузнечная, Ручаевка.</w:t>
      </w:r>
    </w:p>
    <w:p w14:paraId="4E5BB681"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и северо-западнее города Невель наши войска, преодолевая сопротивление и контратаки противника, продолжали вести бои местного значения и заняли несколько населённых пунктов.</w:t>
      </w:r>
    </w:p>
    <w:p w14:paraId="2F755C4A"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остальных участках фронта — разведка и артиллерийско-миномётная перестрелка.</w:t>
      </w:r>
    </w:p>
    <w:p w14:paraId="44624C2A"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ноября наши войска на всех фронтах подбили и уничтожили 87 немецких танков. В воздушных боях и огнём зенитной артиллерии сбито 30 самолётов противника.</w:t>
      </w:r>
    </w:p>
    <w:p w14:paraId="0A10B377"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Советские подвижные части с боем форсировали реку Тетерев и овладели районным центром Житомирской области городом Радомышль. Захвачены большие трофеи и пленные. На другом участке части Н-ского соединения вели ожесточённые бои с танками и мотопехотой противника. Уничтожено 42 немецких танка и до 800 гитлеровцев. Сломив сопротивление противника, наши бойцы продвинулись вперёд, заняли районные центры Житомирской области Брусилов, Корнин, а также ряд других населённых пунктов. Наши танкисты стремительно ворвались в одно село, занятое противником, и разгромили штаб немецкой танковой дивизии. Захвачены документы штаба и другие трофеи.</w:t>
      </w:r>
    </w:p>
    <w:p w14:paraId="3DC1854B"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плацдармов.Северо-восточнее гор. Керчь советские бойцы заняли несколько сильно укреплённых опорных пунктов противника. Уничтожено 700 вражеских солдат и офицеров. Захвачены артиллерийская и две миномётных батареи, склад боеприпасов и другие трофеи. Взяты пленные. Южнее города Керчь происходила артиллерийско-миномётная перестрелка с противником.</w:t>
      </w:r>
    </w:p>
    <w:p w14:paraId="44235667"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 правом берегу Днепра, наши части после артиллерийской подготовки атаковали противника и, сломив его сопротивление, заняли ряд населённых пунктов. Немцы сильно укрепили эти населённые пункты, но под ударами наших войск понесли большие потери и вынуждены были отступить. За день боёв противник потерял только убитыми более 2.000 солдат и офицеров. Уничтожено 12 артиллерийских и миномётных батарей, подбито 5 танков и 2 самоходных орудия. Захвачено много трофеев, в том числе 53 орудия, 13 миномётов, 102 пулемёта и несколько складов с боеприпасами. Взято значительное число пленных.</w:t>
      </w:r>
    </w:p>
    <w:p w14:paraId="1AB68430"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северо-западнее Невеля наши войска вели бои местного значения. Наодном участке немцы крупными силами пехоты, при поддержке танков и самоходных орудий, пытались задержать продвижение советских частей. В течение дня наши бойцы отбили двенадцать контратак противника и нанесли ему тяжёлые потери. В этом бою истреблено свыше 1.500 немецких солдат и офицеров, сожжено и подбито 18танков и 4 самоходных орудия типа «Фердинанд». Захвачены трофеи, в числе которых 28 орудий. В другом районе части Н-ского соединения, с боями продвигаясь вперёд, заняли несколько населённых пунктов. В боях за эти пункты подбито 9 тяжёлых танков и уничтожено до полка немецкой пехоты.</w:t>
      </w:r>
    </w:p>
    <w:p w14:paraId="66F9E5F3"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за день сбили 19 самолётов противника.</w:t>
      </w:r>
    </w:p>
    <w:p w14:paraId="1BF7842E"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 Краснознамённого Балтийского флота потопили в Финском заливе тральщики транспорт противника водоизмещением в 1.000 тонн.</w:t>
      </w:r>
    </w:p>
    <w:p w14:paraId="01969794"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Калининской области, совершил налёт нанемецкий гарнизон в одном населённом пункте. Атаковав противника со всех сторон, партизаны истребили до роты гитлеровцев. Захвачены 11 пулемётов, миномёт, радиостанция, 60 винтовок и много патронов. Другой отряд калининских партизан за две недели пустил под откос 8 немецких воинских эшелонов. В результате крушений разбиты 6 паровозов и до 50 вагонов с военными грузами противника.</w:t>
      </w:r>
    </w:p>
    <w:p w14:paraId="0941CB75"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правом берегу Днепра захвачена в плен группа солдат 24 немецкой танковойдивизии. Пленный обер-ефрейтор мотострелкового эскадрона 26 моторизованного гренадерского полка Вилли Кулек рассказал: «24 танковая дивизия входила в состав6-й немецкой армии и была целиком уничтожена под Сталинградом. Весной нынешнего года во Франции началось формирование новой танковой дивизии под старым номером. Летом дивизия была переброшена в Италию, в город Болонья. Десятого октября дивизию в полном составе погрузили в эшелоны и спешно отправили в Россию. Ехали мы по маршруту: Болонья — Прага — Бреславль — Польша, и 20 октября прибыли в Одессу. Из Одессы дивизию перебросили в Кировоград, а оттуда — на отведённый участок фронта. Перед нами была поставлена задача — отрезать русские войска и уничтожить их, а остатки отбросить за Днепр. Но первые же бои принесли горькое разочарование. Мы понесли ужасные потери, но не добились никакого успеха».</w:t>
      </w:r>
    </w:p>
    <w:p w14:paraId="3C26EDF2"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Павлово,Смоленской области: «За время оккупации немецкие захватчики разграбили колхоз«Новая жизнь». Гитлеровцы забрали весь скот, продовольствие, разорили колхозную пасеку, растащили и уничтожили сельскохозяйственный инвентарь. Отступая под ударами советских войск, немцы сожгли более 40 жилых домов с надворными постройками и имуществом крестьян. Колхозницу Феодосию Черненкову фашистские изверги сожгли живьём. Всех жителей села гитлеровцы пытались насильно угнать в немецкий тыл. Подоспевшие бойцы Красной Армии освободили нас и спасли от фашистского рабства».</w:t>
      </w:r>
    </w:p>
    <w:p w14:paraId="3C8322DC"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колхоза «Новая жизнь» Мария Жанжарова, колхозники Сергей Петраков, Егор Жанжаров, Макар Жанжаров и другие.» (14827).</w:t>
      </w:r>
    </w:p>
    <w:p w14:paraId="0DDD2E16"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793DC5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в неравном бою с 12 немецкими БДБ погиб герой обороны Севастополя командир 1-го дивизиона сторожевых катеров капитан 3-го ранга Д.А.Глухов. Его катер полу</w:t>
      </w:r>
      <w:r w:rsidRPr="00271E51">
        <w:rPr>
          <w:rFonts w:ascii="Times New Roman" w:hAnsi="Times New Roman"/>
          <w:color w:val="000000" w:themeColor="text1"/>
          <w:sz w:val="16"/>
          <w:szCs w:val="16"/>
        </w:rPr>
        <w:softHyphen/>
        <w:t>чил более 250 пробоин и был приведен в базу на буксире (6467).</w:t>
      </w:r>
    </w:p>
    <w:p w14:paraId="51CEB2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624B3"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DDA9256" w14:textId="77777777" w:rsidR="009A1BAB" w:rsidRPr="00271E51" w:rsidRDefault="009A1B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2CC6A3"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Газета "Правда" сообщила, что сдана в эксплуатацию новая электрифицированная железнодорожная линия Курский вокзал - Кунцево, соединившая между собой семь вокзалов столицы (18693).</w:t>
      </w:r>
    </w:p>
    <w:p w14:paraId="41CD0E8A"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72B3AE3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22FEF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F32CBA" w14:textId="77777777" w:rsidR="0047343F" w:rsidRPr="00271E51" w:rsidRDefault="0047343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на 11 ноября 1943 ракетоносцы нанесли удар по отряду английских эсминцев, обстреливавшему остров Кос. Эскортный миноносец "Роквуд" был прошит неразорвавшейся бомбой Hs293. Полученные повреждения оказались, однако, достаточно серьезными, чтобы англичане сочли его ремонт нецелесообразным. А через сутки настала очередь эскортного миноносца “Далвертон”. Не имея возможности отбуксировать поврежденного “собрата” на базу, эсминцы “Эхо” и “Бельвуар” сняли с него экипаж и добили торпедами. Конец активному использованию ракетоносцев над Эгейским морем положил налет союзной авиации 15 ноября 1943 г., в ходе которого на аэродроме Каламаки было выведено из строя сразу семь Do217. Общие результаты применения планирующих бомб за период с июля 1943 г. по апрель 1944 г. в статистическом виде выглядят следующим образом: использовано 392 бомбы Hs293 и 108 FX1400, из них применено над целью соответственно 259 и 60 (в остальных случаях применение по разным причинам было затруднено или погибал самолет-носитель). В цель, по немецким данным, попало 171 Hs293 и 44 FX1400, при этом только KG100 претендует на уничтожение одного линкора, двух крейсеров, девяти эсминцев, одного шлюпа и 10 торговых судов, а также нанесение различных повреждений четырём линкорам, шести крейсерам, 12 эсминцам и 29 торговым судам (9524).</w:t>
      </w:r>
    </w:p>
    <w:p w14:paraId="1307B56A" w14:textId="77777777" w:rsidR="0047343F" w:rsidRPr="00271E51" w:rsidRDefault="0047343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74ED1"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11 ноября </w:t>
      </w:r>
      <w:r w:rsidRPr="00271E51">
        <w:rPr>
          <w:rFonts w:ascii="Times New Roman" w:hAnsi="Times New Roman"/>
          <w:color w:val="000000" w:themeColor="text1"/>
          <w:sz w:val="16"/>
          <w:szCs w:val="16"/>
        </w:rPr>
        <w:t>в 1943 году новый американский торпедоносный рейд на Рабаул, повреждено 2 японских крейсера (14827).</w:t>
      </w:r>
    </w:p>
    <w:p w14:paraId="5E278150"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6D1D9645"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11 ноября 1943 удар авианосцев с USS Saratoga и USS Princeton по японским кораблям в Рабауле неэффективен из-за плохой погоды. Еще один удар примерно 185 самолетов с авианосцев USS Essex, USS Bunker Hill и USS независимост привел к потоплению японского эсминца и повреждению легкого крейсер Агано и ф также миноносца; Рейд стал боеввм дебютом пикирующего бомбардировщика SB2C Helldiver. Контрудар 108 японских истребителей Zero, пикирующих бомбардировщиков Aichi D3A "Val", торпедоносцев Nakajima B5N "Kate" и ряда бомбардировщиков Mitsubishi G4M ("Betty") - неэффективен. США теряют 11 самолетов, а японцы теряют 39 одномоторных самолетов и несколько G4M. Во время операций с береговых баз в Рабауле японские авианосцы потеряли 50 процентов своих истребителей, 85 процентов пикирующих бомбардировщиков и 90 процентов своих торпедоносцев менее чем за две недели (20376).</w:t>
      </w:r>
    </w:p>
    <w:p w14:paraId="231AD38C" w14:textId="77777777" w:rsidR="00B23CFC" w:rsidRPr="00271E51" w:rsidRDefault="00B23CFC" w:rsidP="00271E51">
      <w:pPr>
        <w:spacing w:after="0" w:line="240" w:lineRule="auto"/>
        <w:jc w:val="both"/>
        <w:rPr>
          <w:rFonts w:ascii="Times New Roman" w:hAnsi="Times New Roman"/>
          <w:color w:val="0070C0"/>
          <w:sz w:val="16"/>
          <w:szCs w:val="16"/>
        </w:rPr>
      </w:pPr>
    </w:p>
    <w:p w14:paraId="57326CB6"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11–12 ноября (ночь) 1943 134 британских бомбардировщика совершили налет на железнодорожные сортировочные станции в Каннах, Франция, и главную железнодорожную линию между Францией и Италией, потеряв четыре самолета. Рейду не удалось поразить железнодорожные склады и получилось лишь нанести взрывные повреждения железнодорожным мастерским (20376).</w:t>
      </w:r>
    </w:p>
    <w:p w14:paraId="44816D90" w14:textId="77777777" w:rsidR="00B23CFC" w:rsidRPr="00271E51" w:rsidRDefault="00B23CFC" w:rsidP="00271E51">
      <w:pPr>
        <w:spacing w:after="0" w:line="240" w:lineRule="auto"/>
        <w:jc w:val="both"/>
        <w:rPr>
          <w:rFonts w:ascii="Times New Roman" w:hAnsi="Times New Roman"/>
          <w:color w:val="0070C0"/>
          <w:sz w:val="16"/>
          <w:szCs w:val="16"/>
        </w:rPr>
      </w:pPr>
    </w:p>
    <w:p w14:paraId="2C98CEA7"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11 ноября </w:t>
      </w:r>
      <w:r w:rsidRPr="00271E51">
        <w:rPr>
          <w:rFonts w:ascii="Times New Roman" w:hAnsi="Times New Roman"/>
          <w:color w:val="000000" w:themeColor="text1"/>
          <w:sz w:val="16"/>
          <w:szCs w:val="16"/>
        </w:rPr>
        <w:t>в 1943 году лорд Вултон назначается первым британским министром по восстановлению (в составе кабинета) (14827).</w:t>
      </w:r>
    </w:p>
    <w:p w14:paraId="7D3CA86B"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1B16033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ноября 1943 в связи с арестом французами президента Ливана Б. Хоури в Бейруте началось антифранцузское восстание мусульман (4962).</w:t>
      </w:r>
    </w:p>
    <w:p w14:paraId="36860FA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335C3" w14:textId="77777777" w:rsidR="0047343F" w:rsidRPr="00271E51" w:rsidRDefault="0047343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11 ноября </w:t>
      </w:r>
      <w:r w:rsidRPr="00271E51">
        <w:rPr>
          <w:rFonts w:ascii="Times New Roman" w:hAnsi="Times New Roman"/>
          <w:color w:val="000000" w:themeColor="text1"/>
          <w:sz w:val="16"/>
          <w:szCs w:val="16"/>
        </w:rPr>
        <w:t>в 1943 году (11–14 ноября) высадка германских войск на острове Лерос (Южные Спорады) (14827).</w:t>
      </w:r>
    </w:p>
    <w:p w14:paraId="0C02473F" w14:textId="77777777" w:rsidR="0047343F" w:rsidRPr="00271E51" w:rsidRDefault="0047343F" w:rsidP="00271E51">
      <w:pPr>
        <w:spacing w:after="0" w:line="240" w:lineRule="auto"/>
        <w:jc w:val="both"/>
        <w:rPr>
          <w:rFonts w:ascii="Times New Roman" w:hAnsi="Times New Roman"/>
          <w:color w:val="000000" w:themeColor="text1"/>
          <w:sz w:val="16"/>
          <w:szCs w:val="16"/>
        </w:rPr>
      </w:pPr>
    </w:p>
    <w:p w14:paraId="4E73E15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E990C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86CC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 связи с неудовлетворительными результатами войсковых испытаний Ил-2 с НС-37 ГКО Постановлением № 4154 прекратил их се</w:t>
      </w:r>
      <w:r w:rsidRPr="00271E51">
        <w:rPr>
          <w:rFonts w:ascii="Times New Roman" w:hAnsi="Times New Roman"/>
          <w:color w:val="000000" w:themeColor="text1"/>
          <w:sz w:val="16"/>
          <w:szCs w:val="16"/>
        </w:rPr>
        <w:softHyphen/>
        <w:t>рийный выпуск и обязал завод № 30 к 15 января 1944 г. осуществить полный переход к производству Ил-2 с пушка</w:t>
      </w:r>
      <w:r w:rsidRPr="00271E51">
        <w:rPr>
          <w:rFonts w:ascii="Times New Roman" w:hAnsi="Times New Roman"/>
          <w:color w:val="000000" w:themeColor="text1"/>
          <w:sz w:val="16"/>
          <w:szCs w:val="16"/>
        </w:rPr>
        <w:softHyphen/>
        <w:t>ми ВЯ, не снижая при этом достигнуто</w:t>
      </w:r>
      <w:r w:rsidRPr="00271E51">
        <w:rPr>
          <w:rFonts w:ascii="Times New Roman" w:hAnsi="Times New Roman"/>
          <w:color w:val="000000" w:themeColor="text1"/>
          <w:sz w:val="16"/>
          <w:szCs w:val="16"/>
        </w:rPr>
        <w:softHyphen/>
        <w:t>го заводом уровня производства штур</w:t>
      </w:r>
      <w:r w:rsidRPr="00271E51">
        <w:rPr>
          <w:rFonts w:ascii="Times New Roman" w:hAnsi="Times New Roman"/>
          <w:color w:val="000000" w:themeColor="text1"/>
          <w:sz w:val="16"/>
          <w:szCs w:val="16"/>
        </w:rPr>
        <w:softHyphen/>
        <w:t>мовиков. По состоянию на 7 декабря 43-го таких самолетов было выпущено 947 штук и к моменту окончания серийного производ</w:t>
      </w:r>
      <w:r w:rsidRPr="00271E51">
        <w:rPr>
          <w:rFonts w:ascii="Times New Roman" w:hAnsi="Times New Roman"/>
          <w:color w:val="000000" w:themeColor="text1"/>
          <w:sz w:val="16"/>
          <w:szCs w:val="16"/>
        </w:rPr>
        <w:softHyphen/>
        <w:t>ства планировалось выпустить еще 228 машин (6467).</w:t>
      </w:r>
    </w:p>
    <w:p w14:paraId="2E59FA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BD29F" w14:textId="77777777" w:rsidR="009A1BAB" w:rsidRPr="00271E51" w:rsidRDefault="009A1BAB"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12 ноября 1943 года этой связи постановлением ГКО № 4154 серийный выпуск Ил-2 с НС-37 был прекращен и к 15 января 1944 года завод №30 полностью перешел к производству Ил-2 с пушками ВЯ. Общее количество выпущенных Илов с пушками НС-37 оценивается в 1000 с небольшим штук. Характерно, что к концу 1944 года онипрактически полностью исчезли из действующих частей (19170).</w:t>
      </w:r>
    </w:p>
    <w:p w14:paraId="0DFBFA9A" w14:textId="77777777" w:rsidR="009A1BAB" w:rsidRPr="00271E51" w:rsidRDefault="009A1BAB" w:rsidP="00271E51">
      <w:pPr>
        <w:pStyle w:val="rtejustify"/>
        <w:shd w:val="clear" w:color="auto" w:fill="FFFFFF"/>
        <w:spacing w:before="0" w:after="0"/>
        <w:textAlignment w:val="baseline"/>
        <w:rPr>
          <w:color w:val="000000" w:themeColor="text1"/>
          <w:sz w:val="16"/>
          <w:szCs w:val="16"/>
        </w:rPr>
      </w:pPr>
    </w:p>
    <w:p w14:paraId="16C99B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 Постановлением № 4154 ГКО прекратил их серийный выпуск Ил-2 с НС-37 и обязал завод к 15 января 1944 г. осуществить полный переход к производству Ил-2 с пушками ВЯ (8687).</w:t>
      </w:r>
    </w:p>
    <w:p w14:paraId="4F5D32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отказом от использования пушек НС-37 на Ил-2 не получили развития работы по установке на штурмовик авиапушек калибра 45-мм - НС-45 и Ш-45.</w:t>
      </w:r>
    </w:p>
    <w:p w14:paraId="4563E9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был проявлен интерес и к модернизированным пушкам НС-37М и НС-45М. имевшим существенно меньшую силу отдачи при стрельбе за счет установки мощного ДУЛЬНОГО тормоза. Дульный тормоз НС-45М поглощал до 85% энергии отдачи пушки, а НС-37М - до 40%.</w:t>
      </w:r>
    </w:p>
    <w:p w14:paraId="250A10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признать, что такое, скажем, невнимательное отношение командования ВВС КА к боевым свойствам пушек Ш-37, НС-37М и НС-45М является грубейшей ошибкой, не позволившей в течение войны обеспечить необходимые противотанковые свойства советской авиации...(8687).</w:t>
      </w:r>
    </w:p>
    <w:p w14:paraId="0E1BBA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 о прекращении выпуска Ил-2 с НС-37 нельзя признать правильным. Анализ боевых возможностей самолета показывает, что в руках опытных бойцов с отличной летной и стрелковой подготовкой он мог стать неплохим противотанковым средством. Учитывая, что к этому времени промышленность освоила массовое производство реактивных снарядов РБС-132 и РОФС-132, то эффективность действий Ил-2 с НС-37 по танкам могла быть повышена за счет увеличения на штурмовике числа ракетных орудий - с 4-х до 12-16.</w:t>
      </w:r>
    </w:p>
    <w:p w14:paraId="58DB5C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Напрашивалась очевидная переделка Ил-2 в противотанковый самолет с мощным ракетно-пушечным вооружением и формирование на его основе противотанковых авиаполков, летный состав которых прошел бы специальную подготовку в ведении прицельной стрельбы из пушек и РСами по малоразмерным целям (танк, бронемашина, паровоз и т.д.). При этом имело смысл формировать на основе таких полков отдельные противотанковые авиадивизии (два штурмовых и два истребительных авиаполка), которые рассматривались бы как противотанковый резерв Ставки ВГК и придавались воздушным армиям для действий на танкоопасных направлениях или на направлении главного удара фронта.</w:t>
      </w:r>
    </w:p>
    <w:p w14:paraId="727707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что устойчивость оперативных порядков наступающих и обороняющихся войск во многом определяется плотностью бронетехники на 1 км фронта, то противотанковые авиаполки сильно пригодились бы при отражении контрударов танков вермахта и при прорыве укрепленных районов. Вывод из строя танков противника в боевых порядках в наступлении и в обороне снижал общую устойчивость оперативных порядков войск и позволял решить исход боя в свою пользу.</w:t>
      </w:r>
    </w:p>
    <w:p w14:paraId="5B7954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Особенно важным было поражение с воздуха танков и САУ противника в обороне, "врытых" в землю и действующих из засад.</w:t>
      </w:r>
    </w:p>
    <w:p w14:paraId="589F9D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Такие танки и САУ, как правило, располагались на танкоопасных направлениях и включались в единую систему противотанковой обороны. Они могли с высокой точностью и на больших дистанциях поражать атакующие советские танки и поддерживающие их САУ, оставаясь практически неуязвимыми от их огня.</w:t>
      </w:r>
    </w:p>
    <w:p w14:paraId="7E7BCF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тоже время наступающие советские войска для борьбы с немецкими танками и САУ не имели в своих боевых порядках эффективных огневых средств - противотанковые орудия и тяжелая артиллерия обычно не поспевали за ушедшей вперед пехотой и танками. Оставалось уничтожать противника силами самих танкистов и "самоходов", и нести большие потери...</w:t>
      </w:r>
    </w:p>
    <w:p w14:paraId="6EC589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известно, специальные противотанковые авиаполки на Як-9т, как это предлагалось штабом ВВС, так и не были сформированы, а имевшиеся на фронте танковые "Яки" применялись главным образом для борьбы с воздушным противником.</w:t>
      </w:r>
    </w:p>
    <w:p w14:paraId="2B2CE7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ошеломляющий эффект применения противотанковых авиабомб ПТАБ-2,5-1,5 имел место лишь непродолжительное время. При этом массовое уничтожение танков из авиационного оружия, широко разрекламированное как в отечественной, так и в зарубежной печати, в большинстве случаев относится все же к разряду "охотничьих рассказов" и остаются на совести авторов.</w:t>
      </w:r>
    </w:p>
    <w:p w14:paraId="74C59C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в бронетехнике от авиации на протяжении всей войны были незначительными в сравнении с потерями от огня артиллерии, мин и фугасов. Например, безвозвратные потери танков Красной Армии от всех видов огня Люфтваффе в среднем составляли 4-5% от общего числа потерь. В тоже время сведения о потерях противника завышались в несколько раз как немецкой, так и советской стороной (12020).</w:t>
      </w:r>
    </w:p>
    <w:p w14:paraId="5C2241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A8E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постановления ГКО N 4554сс "Об установке на самолетах Ил-2, выпускаемых заводом 30 пушек ВЯ 23 мм вместо пушек ОКБ-16 37 мм" (1751,119).</w:t>
      </w:r>
    </w:p>
    <w:p w14:paraId="60AB63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DD2BA" w14:textId="77777777" w:rsidR="00742358" w:rsidRPr="00271E51" w:rsidRDefault="00742358"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12 ноября 1943 вышло постановления ГКО N 4554сс "Об установке на самолетах Ил-2, выпускаемых заводом 30 пушек ВЯ 23 мм вместо пушек ОКБ-16 37 мм"</w:t>
      </w:r>
    </w:p>
    <w:p w14:paraId="552A0296" w14:textId="77777777" w:rsidR="00742358" w:rsidRPr="00271E51" w:rsidRDefault="00742358"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Государственный Комитет Обороны постановляет: Обязать Наркомавиапром (т.Шахурина) и директора заво</w:t>
      </w:r>
      <w:r w:rsidRPr="00271E51">
        <w:rPr>
          <w:rFonts w:ascii="Times New Roman" w:hAnsi="Times New Roman" w:cs="Times New Roman"/>
          <w:color w:val="000000" w:themeColor="text1"/>
          <w:sz w:val="16"/>
          <w:szCs w:val="16"/>
        </w:rPr>
        <w:softHyphen/>
        <w:t>да № 30 НКАП т.Смирнова:</w:t>
      </w:r>
    </w:p>
    <w:p w14:paraId="47B2063D" w14:textId="77777777" w:rsidR="00742358" w:rsidRPr="00271E51" w:rsidRDefault="00742358" w:rsidP="00271E51">
      <w:pPr>
        <w:pStyle w:val="47"/>
        <w:shd w:val="clear" w:color="auto" w:fill="auto"/>
        <w:tabs>
          <w:tab w:val="left" w:pos="126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 начать с 1 декабря 1943 года выпуск на заводе № 30 самолетов Ил-2 с пушками Волкова-Ярцева калибра 23 мм с тем, чтобы к 15 января 1944 года осуществить полный переход заво</w:t>
      </w:r>
      <w:r w:rsidRPr="00271E51">
        <w:rPr>
          <w:rFonts w:ascii="Times New Roman" w:hAnsi="Times New Roman" w:cs="Times New Roman"/>
          <w:color w:val="000000" w:themeColor="text1"/>
          <w:sz w:val="16"/>
          <w:szCs w:val="16"/>
        </w:rPr>
        <w:softHyphen/>
        <w:t>да на выпуск самолетов Ил-2 с пушками Волкова-Ярцева калибра 23 мм вместо пушек ОКБ-16 калибра 37 мм;</w:t>
      </w:r>
    </w:p>
    <w:p w14:paraId="13A63285" w14:textId="77777777" w:rsidR="00742358" w:rsidRPr="00271E51" w:rsidRDefault="00742358"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 перевод завода № 30 на выпуск самолетов Ил-2 с пуш</w:t>
      </w:r>
      <w:r w:rsidRPr="00271E51">
        <w:rPr>
          <w:rFonts w:ascii="Times New Roman" w:hAnsi="Times New Roman" w:cs="Times New Roman"/>
          <w:color w:val="000000" w:themeColor="text1"/>
          <w:sz w:val="16"/>
          <w:szCs w:val="16"/>
        </w:rPr>
        <w:softHyphen/>
        <w:t>ками Волкова-Ярцева калибра 23 мм осуществить, не снижая достигнутого заводом уровня выпуска самолетов (19433).</w:t>
      </w:r>
    </w:p>
    <w:p w14:paraId="69ECE26B" w14:textId="77777777" w:rsidR="00742358" w:rsidRPr="00271E51" w:rsidRDefault="0074235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715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4554 Об установке на самолетах Ил-2, выпускаемых заводом № 30 НКАП , пушек Волкова-Ярцева калибра 23 мм вместо пушек ОКБ-16 калибра 37 мм.РГАНИР, Фонд ГКО, д. 174, лл. 46 (11012).</w:t>
      </w:r>
    </w:p>
    <w:p w14:paraId="6DBB59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B6BCD"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12 ноября 1943 Государствен</w:t>
      </w:r>
      <w:r w:rsidRPr="00271E51">
        <w:rPr>
          <w:color w:val="000000" w:themeColor="text1"/>
          <w:sz w:val="16"/>
          <w:szCs w:val="16"/>
        </w:rPr>
        <w:softHyphen/>
        <w:t>ный Комитет Обороны своим постановлением прекратил серийный выпуск Ил-2 с 11П, сделав окончательный выбор в пользу установки на самолете пушек ВЯ. Согласно постановлению за</w:t>
      </w:r>
      <w:r w:rsidRPr="00271E51">
        <w:rPr>
          <w:color w:val="000000" w:themeColor="text1"/>
          <w:sz w:val="16"/>
          <w:szCs w:val="16"/>
        </w:rPr>
        <w:softHyphen/>
        <w:t>вод № 30 уже с 1 декабря должен был начать вы</w:t>
      </w:r>
      <w:r w:rsidRPr="00271E51">
        <w:rPr>
          <w:color w:val="000000" w:themeColor="text1"/>
          <w:sz w:val="16"/>
          <w:szCs w:val="16"/>
        </w:rPr>
        <w:softHyphen/>
        <w:t>пуск самолетов Ил-2 с пушками ВЯ, а с 15 января 1944 г. «полностью перейти на выпуск самолетов Ил-2 с пушками ВЯ вместо пушек ОКБ-16 калибра 37 мм».</w:t>
      </w:r>
    </w:p>
    <w:p w14:paraId="19436E04"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Надо полагать, донесения из действующей ар</w:t>
      </w:r>
      <w:r w:rsidRPr="00271E51">
        <w:rPr>
          <w:color w:val="000000" w:themeColor="text1"/>
          <w:sz w:val="16"/>
          <w:szCs w:val="16"/>
        </w:rPr>
        <w:softHyphen/>
        <w:t>мии по результатам опыта боевого применения Ил-2 с пушками 11П на фоне впечатляющих успе</w:t>
      </w:r>
      <w:r w:rsidRPr="00271E51">
        <w:rPr>
          <w:color w:val="000000" w:themeColor="text1"/>
          <w:sz w:val="16"/>
          <w:szCs w:val="16"/>
        </w:rPr>
        <w:softHyphen/>
        <w:t xml:space="preserve">хов ПТАБ выглядели не самым лучшим образом. Из документов следовало, что подавляющая масса летчиков будет просто не в состоянии поражать в бою танки с самолета Ил-2 из пушек </w:t>
      </w:r>
      <w:r w:rsidRPr="00271E51">
        <w:rPr>
          <w:color w:val="000000" w:themeColor="text1"/>
          <w:sz w:val="16"/>
          <w:szCs w:val="16"/>
        </w:rPr>
        <w:lastRenderedPageBreak/>
        <w:t>11П. В то же время обучение специально отобранных летчиков для действий по бронетехнике займет много вре</w:t>
      </w:r>
      <w:r w:rsidRPr="00271E51">
        <w:rPr>
          <w:color w:val="000000" w:themeColor="text1"/>
          <w:sz w:val="16"/>
          <w:szCs w:val="16"/>
        </w:rPr>
        <w:softHyphen/>
        <w:t>мени, а применение ПТАБ особой подготовки не требует. Свою роль, очевидно, сыграла и дискус</w:t>
      </w:r>
      <w:r w:rsidRPr="00271E51">
        <w:rPr>
          <w:color w:val="000000" w:themeColor="text1"/>
          <w:sz w:val="16"/>
          <w:szCs w:val="16"/>
        </w:rPr>
        <w:softHyphen/>
        <w:t>сия по поводу излишне большой силы отдачи пу</w:t>
      </w:r>
      <w:r w:rsidRPr="00271E51">
        <w:rPr>
          <w:color w:val="000000" w:themeColor="text1"/>
          <w:sz w:val="16"/>
          <w:szCs w:val="16"/>
        </w:rPr>
        <w:softHyphen/>
        <w:t>шек 11П.</w:t>
      </w:r>
    </w:p>
    <w:p w14:paraId="4AE0616D"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Необходимо отметить, что выводы о целесоо</w:t>
      </w:r>
      <w:r w:rsidRPr="00271E51">
        <w:rPr>
          <w:color w:val="000000" w:themeColor="text1"/>
          <w:sz w:val="16"/>
          <w:szCs w:val="16"/>
        </w:rPr>
        <w:softHyphen/>
        <w:t>бразности боевого применения Ил-2 с «большой» пушкой были сделаны на основе весьма ограничен</w:t>
      </w:r>
      <w:r w:rsidRPr="00271E51">
        <w:rPr>
          <w:color w:val="000000" w:themeColor="text1"/>
          <w:sz w:val="16"/>
          <w:szCs w:val="16"/>
        </w:rPr>
        <w:softHyphen/>
        <w:t>ного боевого опыта.</w:t>
      </w:r>
    </w:p>
    <w:p w14:paraId="1D066180"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Например, упоминавшийся выше «Доклад.» 4-го отдела НИИ ВВС основывался на анализе всего 12 групповых вылетов (50 самолето-вылетов) 10 са</w:t>
      </w:r>
      <w:r w:rsidRPr="00271E51">
        <w:rPr>
          <w:color w:val="000000" w:themeColor="text1"/>
          <w:sz w:val="16"/>
          <w:szCs w:val="16"/>
        </w:rPr>
        <w:softHyphen/>
        <w:t>молетов Ил-2 с 11П, выполненных летчиками 568- го шап.</w:t>
      </w:r>
    </w:p>
    <w:p w14:paraId="18D7293E"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следует из материалов «Доклада.», огонь из пушек 11П велся с больших дистанций: начало стрельбы — 1300—800 м и окончание — 500— 400 м. В этих условиях летчики за один заход дела</w:t>
      </w:r>
      <w:r w:rsidRPr="00271E51">
        <w:rPr>
          <w:color w:val="000000" w:themeColor="text1"/>
          <w:sz w:val="16"/>
          <w:szCs w:val="16"/>
        </w:rPr>
        <w:softHyphen/>
        <w:t>ли 2—3 очереди по 4—6 выстрелов с уточнением прицеливания после каждой очереди. При этом учет результативности боевых вылетов (количество уничтоженной и поврежденной боевой техники противника) «отдельно. по самолетам с 37-мм пушками не проводился».</w:t>
      </w:r>
    </w:p>
    <w:p w14:paraId="1155FCC7"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 документов 2-го шак следует, что никакими другими данными, кроме наблюдений экипажей, ни штабы полков, ни штаб корпуса не располагали, по</w:t>
      </w:r>
      <w:r w:rsidRPr="00271E51">
        <w:rPr>
          <w:color w:val="000000" w:themeColor="text1"/>
          <w:sz w:val="16"/>
          <w:szCs w:val="16"/>
        </w:rPr>
        <w:softHyphen/>
        <w:t>этому установить, какая из пушек является эффек тивнее, возможности не представлялось. Исчерпы</w:t>
      </w:r>
      <w:r w:rsidRPr="00271E51">
        <w:rPr>
          <w:color w:val="000000" w:themeColor="text1"/>
          <w:sz w:val="16"/>
          <w:szCs w:val="16"/>
        </w:rPr>
        <w:softHyphen/>
        <w:t>вающие данные об эффективности самолетов Ил-2 с 11П нельзя было дать еще и потому, что при дей</w:t>
      </w:r>
      <w:r w:rsidRPr="00271E51">
        <w:rPr>
          <w:color w:val="000000" w:themeColor="text1"/>
          <w:sz w:val="16"/>
          <w:szCs w:val="16"/>
        </w:rPr>
        <w:softHyphen/>
        <w:t>ствии по целям на поле боя летчики одновременно осуществляли пуск РС и сбрасывали бомбы. Тем не менее в материалах «Доклада.» делается вывод: «.для действий по танковым и мотомеханизиро</w:t>
      </w:r>
      <w:r w:rsidRPr="00271E51">
        <w:rPr>
          <w:color w:val="000000" w:themeColor="text1"/>
          <w:sz w:val="16"/>
          <w:szCs w:val="16"/>
        </w:rPr>
        <w:softHyphen/>
        <w:t>ванным колоннам, бронепоездам и ж.-д. эшело</w:t>
      </w:r>
      <w:r w:rsidRPr="00271E51">
        <w:rPr>
          <w:color w:val="000000" w:themeColor="text1"/>
          <w:sz w:val="16"/>
          <w:szCs w:val="16"/>
        </w:rPr>
        <w:softHyphen/>
        <w:t>нам более целесообразно применение Ил-2 с ВЯ и ШВАК и бомбами ПТАБ. Ил-2 с 37-мм пушками целесообразно в этом случае применять в смешан</w:t>
      </w:r>
      <w:r w:rsidRPr="00271E51">
        <w:rPr>
          <w:color w:val="000000" w:themeColor="text1"/>
          <w:sz w:val="16"/>
          <w:szCs w:val="16"/>
        </w:rPr>
        <w:softHyphen/>
        <w:t>ных группах для действий по огневым позициям ЗА с дальних дистанций».</w:t>
      </w:r>
    </w:p>
    <w:p w14:paraId="2ACF1C2F"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 времени выхода постановления ГКО о пре</w:t>
      </w:r>
      <w:r w:rsidRPr="00271E51">
        <w:rPr>
          <w:color w:val="000000" w:themeColor="text1"/>
          <w:sz w:val="16"/>
          <w:szCs w:val="16"/>
        </w:rPr>
        <w:softHyphen/>
        <w:t>кращении серии Ил-2 с 11П в НИИ АВ уже нако</w:t>
      </w:r>
      <w:r w:rsidRPr="00271E51">
        <w:rPr>
          <w:color w:val="000000" w:themeColor="text1"/>
          <w:sz w:val="16"/>
          <w:szCs w:val="16"/>
        </w:rPr>
        <w:softHyphen/>
        <w:t>пилась некоторая статистика работы пушки и пу</w:t>
      </w:r>
      <w:r w:rsidRPr="00271E51">
        <w:rPr>
          <w:color w:val="000000" w:themeColor="text1"/>
          <w:sz w:val="16"/>
          <w:szCs w:val="16"/>
        </w:rPr>
        <w:softHyphen/>
        <w:t>шечной установки на самолете при контрольных испытаниях вооружения. Оказалось, что на неко</w:t>
      </w:r>
      <w:r w:rsidRPr="00271E51">
        <w:rPr>
          <w:color w:val="000000" w:themeColor="text1"/>
          <w:sz w:val="16"/>
          <w:szCs w:val="16"/>
        </w:rPr>
        <w:softHyphen/>
        <w:t>торых Ил-2 после 1500—3000 выстрелов наруша</w:t>
      </w:r>
      <w:r w:rsidRPr="00271E51">
        <w:rPr>
          <w:color w:val="000000" w:themeColor="text1"/>
          <w:sz w:val="16"/>
          <w:szCs w:val="16"/>
        </w:rPr>
        <w:softHyphen/>
        <w:t>лась прочность заклепочных швов, связывавших переднее крепление пушечной установки с лон</w:t>
      </w:r>
      <w:r w:rsidRPr="00271E51">
        <w:rPr>
          <w:color w:val="000000" w:themeColor="text1"/>
          <w:sz w:val="16"/>
          <w:szCs w:val="16"/>
        </w:rPr>
        <w:softHyphen/>
        <w:t>жероном и нервюрами крыла. Это приводило к ослаблению жесткости установок и их перемещению отно</w:t>
      </w:r>
      <w:r w:rsidRPr="00271E51">
        <w:rPr>
          <w:color w:val="000000" w:themeColor="text1"/>
          <w:sz w:val="16"/>
          <w:szCs w:val="16"/>
        </w:rPr>
        <w:softHyphen/>
        <w:t>сительно крыла во время стрель</w:t>
      </w:r>
      <w:r w:rsidRPr="00271E51">
        <w:rPr>
          <w:color w:val="000000" w:themeColor="text1"/>
          <w:sz w:val="16"/>
          <w:szCs w:val="16"/>
        </w:rPr>
        <w:softHyphen/>
        <w:t>бы с последующим разрушением силовых элементов крыла. Оче</w:t>
      </w:r>
      <w:r w:rsidRPr="00271E51">
        <w:rPr>
          <w:color w:val="000000" w:themeColor="text1"/>
          <w:sz w:val="16"/>
          <w:szCs w:val="16"/>
        </w:rPr>
        <w:softHyphen/>
        <w:t>видно, это конструктивная недора</w:t>
      </w:r>
      <w:r w:rsidRPr="00271E51">
        <w:rPr>
          <w:color w:val="000000" w:themeColor="text1"/>
          <w:sz w:val="16"/>
          <w:szCs w:val="16"/>
        </w:rPr>
        <w:softHyphen/>
        <w:t>ботка.</w:t>
      </w:r>
    </w:p>
    <w:p w14:paraId="66791243"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на фронте и в тылу произошло несколько катастроф Ил-2 с пушками 11П. Так, 9-й запас</w:t>
      </w:r>
      <w:r w:rsidRPr="00271E51">
        <w:rPr>
          <w:color w:val="000000" w:themeColor="text1"/>
          <w:sz w:val="16"/>
          <w:szCs w:val="16"/>
        </w:rPr>
        <w:softHyphen/>
        <w:t>ной авиабригаде в ходе освоения новой материальной части летным составом 224-й шад при стрельбе в воздухе из пушек 11П над полиго</w:t>
      </w:r>
      <w:r w:rsidRPr="00271E51">
        <w:rPr>
          <w:color w:val="000000" w:themeColor="text1"/>
          <w:sz w:val="16"/>
          <w:szCs w:val="16"/>
        </w:rPr>
        <w:softHyphen/>
        <w:t>ном в Ногинске на 2 самолетах (зав. № 302913, 302932) разрушились консоли крыла. Оба экипажа погиб</w:t>
      </w:r>
      <w:r w:rsidRPr="00271E51">
        <w:rPr>
          <w:color w:val="000000" w:themeColor="text1"/>
          <w:sz w:val="16"/>
          <w:szCs w:val="16"/>
        </w:rPr>
        <w:softHyphen/>
        <w:t>ли. Эти случаи получили большой резонанс. Расследование возглавил лично командующий ВВС МВО гене</w:t>
      </w:r>
      <w:r w:rsidRPr="00271E51">
        <w:rPr>
          <w:color w:val="000000" w:themeColor="text1"/>
          <w:sz w:val="16"/>
          <w:szCs w:val="16"/>
        </w:rPr>
        <w:softHyphen/>
        <w:t>рал-лейтенант Н. А. Сбытов.</w:t>
      </w:r>
    </w:p>
    <w:p w14:paraId="4DBE705A"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сложившейся ситуации С. В. Ильюшин поспешил перевести «стрелку» на ОКБ-16. Свою позицию он мотивировал излишне большой силой отдачи пушки при стрельбе, которая значи</w:t>
      </w:r>
      <w:r w:rsidRPr="00271E51">
        <w:rPr>
          <w:color w:val="000000" w:themeColor="text1"/>
          <w:sz w:val="16"/>
          <w:szCs w:val="16"/>
        </w:rPr>
        <w:softHyphen/>
        <w:t>тельно превышает расчетные значения.</w:t>
      </w:r>
    </w:p>
    <w:p w14:paraId="1DE908A2"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свою очередь, вновь назначенный начальник и главный конструктор ОКБ-16 А. Э. Нудельман со</w:t>
      </w:r>
      <w:r w:rsidRPr="00271E51">
        <w:rPr>
          <w:color w:val="000000" w:themeColor="text1"/>
          <w:sz w:val="16"/>
          <w:szCs w:val="16"/>
        </w:rPr>
        <w:softHyphen/>
        <w:t>слался на материалы полигонных испытаний НИИ АВ и успешный опыт эксплуатации самолетов ЛаГГ-3, Як-9т и Ил-2 с пушкой 11П в строевых частях (17500).</w:t>
      </w:r>
    </w:p>
    <w:p w14:paraId="0FFD03D3" w14:textId="77777777" w:rsidR="00B92D51" w:rsidRPr="00271E51" w:rsidRDefault="00B92D51" w:rsidP="00271E51">
      <w:pPr>
        <w:spacing w:after="0" w:line="240" w:lineRule="auto"/>
        <w:jc w:val="both"/>
        <w:rPr>
          <w:rFonts w:ascii="Times New Roman" w:hAnsi="Times New Roman"/>
          <w:color w:val="000000" w:themeColor="text1"/>
          <w:sz w:val="16"/>
          <w:szCs w:val="16"/>
        </w:rPr>
      </w:pPr>
    </w:p>
    <w:p w14:paraId="78886860"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12 ноября 1943, отвечая на запрос С. В. Ильюшина, начальник НИИ АВ генерал-майор М. В. Гуревич и его замести</w:t>
      </w:r>
      <w:r w:rsidRPr="00271E51">
        <w:rPr>
          <w:color w:val="000000" w:themeColor="text1"/>
          <w:sz w:val="16"/>
          <w:szCs w:val="16"/>
        </w:rPr>
        <w:softHyphen/>
        <w:t>тель по научно-исследовательской работе доктор технических наук полковник В. С. Пугачев в пись</w:t>
      </w:r>
      <w:r w:rsidRPr="00271E51">
        <w:rPr>
          <w:color w:val="000000" w:themeColor="text1"/>
          <w:sz w:val="16"/>
          <w:szCs w:val="16"/>
        </w:rPr>
        <w:softHyphen/>
        <w:t>ме от были вынуждены пояснить, что «сила отдачи не может быть охарактеризована од</w:t>
      </w:r>
      <w:r w:rsidRPr="00271E51">
        <w:rPr>
          <w:color w:val="000000" w:themeColor="text1"/>
          <w:sz w:val="16"/>
          <w:szCs w:val="16"/>
        </w:rPr>
        <w:softHyphen/>
        <w:t>ним числом независимо от конструкции установки и в каждом конкретном случае должна вычислять</w:t>
      </w:r>
      <w:r w:rsidRPr="00271E51">
        <w:rPr>
          <w:color w:val="000000" w:themeColor="text1"/>
          <w:sz w:val="16"/>
          <w:szCs w:val="16"/>
        </w:rPr>
        <w:softHyphen/>
        <w:t>ся конструктором установки».</w:t>
      </w:r>
    </w:p>
    <w:p w14:paraId="241929F5"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ходе сравнительных испытаний по опреде</w:t>
      </w:r>
      <w:r w:rsidRPr="00271E51">
        <w:rPr>
          <w:color w:val="000000" w:themeColor="text1"/>
          <w:sz w:val="16"/>
          <w:szCs w:val="16"/>
        </w:rPr>
        <w:softHyphen/>
        <w:t>лению силы отдачи 37-мм и 23-мм пушек в равных условиях закрепления на наземном станке оказа</w:t>
      </w:r>
      <w:r w:rsidRPr="00271E51">
        <w:rPr>
          <w:color w:val="000000" w:themeColor="text1"/>
          <w:sz w:val="16"/>
          <w:szCs w:val="16"/>
        </w:rPr>
        <w:softHyphen/>
        <w:t>лось, что пушки 11П и ВЯ имеют одинаковую макси</w:t>
      </w:r>
      <w:r w:rsidRPr="00271E51">
        <w:rPr>
          <w:color w:val="000000" w:themeColor="text1"/>
          <w:sz w:val="16"/>
          <w:szCs w:val="16"/>
        </w:rPr>
        <w:softHyphen/>
        <w:t>мальную величину усилия отдачи 5500 кг, а отдача пушки Ш-37 не превышала 2325 кг. Причем макси</w:t>
      </w:r>
      <w:r w:rsidRPr="00271E51">
        <w:rPr>
          <w:color w:val="000000" w:themeColor="text1"/>
          <w:sz w:val="16"/>
          <w:szCs w:val="16"/>
        </w:rPr>
        <w:softHyphen/>
        <w:t>мальная сила отдачи действовала в течение весьма короткого промежутка времени.</w:t>
      </w:r>
    </w:p>
    <w:p w14:paraId="746B51E0"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Отмечалось, что в условиях стрельбы с само</w:t>
      </w:r>
      <w:r w:rsidRPr="00271E51">
        <w:rPr>
          <w:color w:val="000000" w:themeColor="text1"/>
          <w:sz w:val="16"/>
          <w:szCs w:val="16"/>
        </w:rPr>
        <w:softHyphen/>
        <w:t>летных пушечных установок сила отдачи пушек будет несколько меньше. Ее величина определяет</w:t>
      </w:r>
      <w:r w:rsidRPr="00271E51">
        <w:rPr>
          <w:color w:val="000000" w:themeColor="text1"/>
          <w:sz w:val="16"/>
          <w:szCs w:val="16"/>
        </w:rPr>
        <w:softHyphen/>
        <w:t>ся жесткостью установки. Так, отдача пушки ВЯ на самолете Ил-2 оценивалась «приблизительно от 3000 до 4000 кг».</w:t>
      </w:r>
    </w:p>
    <w:p w14:paraId="5430EF37"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Кроме этого, максимальное значение силы от</w:t>
      </w:r>
      <w:r w:rsidRPr="00271E51">
        <w:rPr>
          <w:color w:val="000000" w:themeColor="text1"/>
          <w:sz w:val="16"/>
          <w:szCs w:val="16"/>
        </w:rPr>
        <w:softHyphen/>
        <w:t>дачи пушки 11П могло быть уменьшено за счет со</w:t>
      </w:r>
      <w:r w:rsidRPr="00271E51">
        <w:rPr>
          <w:color w:val="000000" w:themeColor="text1"/>
          <w:sz w:val="16"/>
          <w:szCs w:val="16"/>
        </w:rPr>
        <w:softHyphen/>
        <w:t>ответствующей регулировки гидравлического тор</w:t>
      </w:r>
      <w:r w:rsidRPr="00271E51">
        <w:rPr>
          <w:color w:val="000000" w:themeColor="text1"/>
          <w:sz w:val="16"/>
          <w:szCs w:val="16"/>
        </w:rPr>
        <w:softHyphen/>
        <w:t>моза.</w:t>
      </w:r>
    </w:p>
    <w:p w14:paraId="74560019"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мнению военных специалистов, среднее зна</w:t>
      </w:r>
      <w:r w:rsidRPr="00271E51">
        <w:rPr>
          <w:color w:val="000000" w:themeColor="text1"/>
          <w:sz w:val="16"/>
          <w:szCs w:val="16"/>
        </w:rPr>
        <w:softHyphen/>
        <w:t>чение силы отдачи пушки 11П не могло превышать 2500 кг, а для пушки Ш-37 «максимальное значение силы отдачи близко к среднему ее значению».</w:t>
      </w:r>
    </w:p>
    <w:p w14:paraId="224EA73C"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этом подчеркивалось, что «существующая аппаратура не позволяет произвести замер «факти</w:t>
      </w:r>
      <w:r w:rsidRPr="00271E51">
        <w:rPr>
          <w:color w:val="000000" w:themeColor="text1"/>
          <w:sz w:val="16"/>
          <w:szCs w:val="16"/>
        </w:rPr>
        <w:softHyphen/>
        <w:t>ческой силы отдачи» на самолетах и тем более при стрельбе в воздухе».</w:t>
      </w:r>
    </w:p>
    <w:p w14:paraId="3E726EDB"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«Приведенные выше цифры имеют целью дать объективную сравнительную оценку действия пу</w:t>
      </w:r>
      <w:r w:rsidRPr="00271E51">
        <w:rPr>
          <w:color w:val="000000" w:themeColor="text1"/>
          <w:sz w:val="16"/>
          <w:szCs w:val="16"/>
        </w:rPr>
        <w:softHyphen/>
        <w:t>шек при выстреле на установку», — обращали вни</w:t>
      </w:r>
      <w:r w:rsidRPr="00271E51">
        <w:rPr>
          <w:color w:val="000000" w:themeColor="text1"/>
          <w:sz w:val="16"/>
          <w:szCs w:val="16"/>
        </w:rPr>
        <w:softHyphen/>
        <w:t>мание главного конструктора самолета М. В. Гуре</w:t>
      </w:r>
      <w:r w:rsidRPr="00271E51">
        <w:rPr>
          <w:color w:val="000000" w:themeColor="text1"/>
          <w:sz w:val="16"/>
          <w:szCs w:val="16"/>
        </w:rPr>
        <w:softHyphen/>
        <w:t>вич и В. С. Пугачев.</w:t>
      </w:r>
    </w:p>
    <w:p w14:paraId="47139B07" w14:textId="77777777" w:rsidR="00B92D51" w:rsidRPr="00271E51" w:rsidRDefault="00B92D5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Получалось так, что самолеты Ил-2 с пушками ВЯ с отдачей примерно такой же, как и у пушек 11П, уже пару лет честно воевали без особых претензий со стороны летного состава. Другое дело, неудач</w:t>
      </w:r>
      <w:r w:rsidRPr="00271E51">
        <w:rPr>
          <w:color w:val="000000" w:themeColor="text1"/>
          <w:sz w:val="16"/>
          <w:szCs w:val="16"/>
        </w:rPr>
        <w:softHyphen/>
        <w:t>ной оказалась сама установка 11П на Ил-2 — не</w:t>
      </w:r>
      <w:r w:rsidRPr="00271E51">
        <w:rPr>
          <w:color w:val="000000" w:themeColor="text1"/>
          <w:sz w:val="16"/>
          <w:szCs w:val="16"/>
        </w:rPr>
        <w:softHyphen/>
        <w:t>достаточная жесткость установки, расположение пушек под крылом и на большом удалении от строительной оси самолета, в то время как запас продольной устойчивости самолета был невелик. Именно по этим причинам стрельба из 11П значи</w:t>
      </w:r>
      <w:r w:rsidRPr="00271E51">
        <w:rPr>
          <w:color w:val="000000" w:themeColor="text1"/>
          <w:sz w:val="16"/>
          <w:szCs w:val="16"/>
        </w:rPr>
        <w:softHyphen/>
        <w:t>тельно сильнее сказывалась «на матчасти самолета Ил-2», чем при стрельбе из пушек ВЯ.</w:t>
      </w:r>
    </w:p>
    <w:p w14:paraId="562F42B8" w14:textId="77777777" w:rsidR="00B92D51" w:rsidRPr="00271E51" w:rsidRDefault="00B92D5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Несомненно, при подготовке ответа военные учитывали и результаты государственных испыта</w:t>
      </w:r>
      <w:r w:rsidRPr="00271E51">
        <w:rPr>
          <w:rFonts w:ascii="Times New Roman" w:hAnsi="Times New Roman"/>
          <w:color w:val="000000" w:themeColor="text1"/>
          <w:sz w:val="16"/>
          <w:szCs w:val="16"/>
        </w:rPr>
        <w:softHyphen/>
        <w:t>ний двухместного бронированного штурмовика Су-6 М-71ф, который также был вооружен 2 пушка</w:t>
      </w:r>
      <w:r w:rsidRPr="00271E51">
        <w:rPr>
          <w:rFonts w:ascii="Times New Roman" w:hAnsi="Times New Roman"/>
          <w:color w:val="000000" w:themeColor="text1"/>
          <w:sz w:val="16"/>
          <w:szCs w:val="16"/>
        </w:rPr>
        <w:softHyphen/>
        <w:t>ми 11П, но отдача при стрельбе даже из всех точек была незначительна и не влияла на устойчивость самолета (17500).</w:t>
      </w:r>
    </w:p>
    <w:p w14:paraId="6E1F6B40" w14:textId="77777777" w:rsidR="00B92D51" w:rsidRPr="00271E51" w:rsidRDefault="00B92D51" w:rsidP="00271E51">
      <w:pPr>
        <w:spacing w:after="0" w:line="240" w:lineRule="auto"/>
        <w:jc w:val="both"/>
        <w:rPr>
          <w:rFonts w:ascii="Times New Roman" w:hAnsi="Times New Roman"/>
          <w:color w:val="000000" w:themeColor="text1"/>
          <w:sz w:val="16"/>
          <w:szCs w:val="16"/>
        </w:rPr>
      </w:pPr>
    </w:p>
    <w:p w14:paraId="466271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начальник НИИ АВ генерал-майор М. В. Гуревич и его заместитель по научно-исследовательской работе доктор технических наук полковник В. С. Пугачев в письме, отвечая на запрос С.В.И., были вынуждены пояснить, что "сила отдачи не может быть охарактеризована одним числом независимо от конструкции установки и в каждом конкретном случае должна вычисляться конструктором установки".</w:t>
      </w:r>
    </w:p>
    <w:p w14:paraId="49A39A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сравнительных испытаний по определению силы отдачи 37-мм и 23-мм пушек в равных условиях закрепления на наземном станке оказалось, что пушки НС-37 и ВЯ-23 имеют одинаковую максимальную величину усилия отдачи 5500 кг, а отдача пушки Ш-37 не превышала 2325 кг. Причем максимальная сила отдачи действовала в течение весьма короткого промежутка времени.</w:t>
      </w:r>
    </w:p>
    <w:p w14:paraId="2471F1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Получалось так, что самолеты Ил-2 с Ил-2 с пушками НС-27 пушками ВЯ-23 с отдачей примерно такой из состава 566-го шап же, как и у пушек НС-37 уже пару лет честно на полевом аэродроме воевали без особых претензий со стороны летного состава. Другое дело, неудачной оказалась сама установка НС-37 на Ил-2 - недостаточная жесткость установки, расположение пушек под крылом и на большом удалении от строительной оси самолета, в то время как запас продольной устойчивости самолета был невелик. Именно по этим причинам стрельба из НС-37 значительно сильнее сказывалась "на матчасть самолета Ил-2", чем при стрельбе из пушек ВЯ-23.</w:t>
      </w:r>
    </w:p>
    <w:p w14:paraId="424147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Несомненно, при подготовке ответа военные учитывали и результаты государственных испытаний двухместного бронированного штурмовика Су-6 М-71ф, который также был вооружен двумя пушками НС-37. В отличие от Ил-2, на "сухом" пушки размещались в крыле и ближе к оси самолета, что в совокупности с более высоким запасом устойчивости штурмовика обеспечивало высокую эффективность стрельбы в воздухе по малоразмерным целям. Во время полигонных испытаний Су-6 никаких нареканий, связанных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(12020).</w:t>
      </w:r>
    </w:p>
    <w:p w14:paraId="5D72CA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FE0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заводы 1 и 18 получили моторы АМ-42 для новых штурмовиков Ил, но до середины декабря 1943 ничего не сделали, так как знали, что моторы не были доведены (1784,22).</w:t>
      </w:r>
    </w:p>
    <w:p w14:paraId="1CD611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C82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Дементьев писал Репину письмо N Н-34/4549:</w:t>
      </w:r>
    </w:p>
    <w:p w14:paraId="529FC6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связи с внедрением фибровых баков на самолеты Ил-2, прошу Вас к 20 декабря 1943 представить заключение по испытаниям войсковой серии в количестве 100 самолетов, оборудованных фибровыми баками, выпущенных заводом 18, которые находятся в эксплуатации с августа 1943" (1779,246).</w:t>
      </w:r>
    </w:p>
    <w:p w14:paraId="567DA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E24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вышел приказ НКАП N 835 по производству модификации Ил-4 с 2М-88 с ТК-3 и гермокабиной (2217).</w:t>
      </w:r>
    </w:p>
    <w:p w14:paraId="641A0D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69A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4552 О производстве двухмоторных истребителей Пе-3 на заводе № 22 Наркомавиапрома.РГАНИР, Фонд ГКО, д. 174, лл. 43-44 (11012).</w:t>
      </w:r>
    </w:p>
    <w:p w14:paraId="04E827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98480" w14:textId="77777777" w:rsidR="00201761" w:rsidRPr="00271E51" w:rsidRDefault="00201761"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12 ноября 1943 вышло Постановление ГКО № 4552 О производстве двухмоторных истребителей Пе-3 на заводе № 22 Наркомавиапрома</w:t>
      </w:r>
    </w:p>
    <w:p w14:paraId="0E9D0B2E"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Государственный Комитет Обороны постановляет:</w:t>
      </w:r>
    </w:p>
    <w:p w14:paraId="39C28DAC"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 Обязать Наркомавиапром - т.Шахурина, директора заэеда</w:t>
      </w:r>
      <w:r w:rsidRPr="00271E51">
        <w:rPr>
          <w:rStyle w:val="TrebuchetMS95pt0pt"/>
          <w:rFonts w:ascii="Times New Roman" w:hAnsi="Times New Roman" w:cs="Times New Roman"/>
          <w:color w:val="000000" w:themeColor="text1"/>
          <w:sz w:val="16"/>
          <w:szCs w:val="16"/>
        </w:rPr>
        <w:t xml:space="preserve"> № 22</w:t>
      </w:r>
      <w:r w:rsidRPr="00271E51">
        <w:rPr>
          <w:rFonts w:ascii="Times New Roman" w:cs="Times New Roman"/>
          <w:color w:val="000000" w:themeColor="text1"/>
          <w:spacing w:val="0"/>
          <w:sz w:val="16"/>
          <w:szCs w:val="16"/>
        </w:rPr>
        <w:t xml:space="preserve"> - т.Окулова и главного конструктора - т.Мясшцева, наряду с выпуском бомбардировщиков Пе-2, организовать на заводе №</w:t>
      </w:r>
      <w:r w:rsidRPr="00271E51">
        <w:rPr>
          <w:rStyle w:val="TrebuchetMS95pt0pt"/>
          <w:rFonts w:ascii="Times New Roman" w:hAnsi="Times New Roman" w:cs="Times New Roman"/>
          <w:color w:val="000000" w:themeColor="text1"/>
          <w:sz w:val="16"/>
          <w:szCs w:val="16"/>
        </w:rPr>
        <w:t xml:space="preserve"> 22</w:t>
      </w:r>
      <w:r w:rsidRPr="00271E51">
        <w:rPr>
          <w:rFonts w:ascii="Times New Roman" w:cs="Times New Roman"/>
          <w:color w:val="000000" w:themeColor="text1"/>
          <w:spacing w:val="0"/>
          <w:sz w:val="16"/>
          <w:szCs w:val="16"/>
        </w:rPr>
        <w:t xml:space="preserve"> серийное производство двухмоторных истребителей Пе-3, ранее выпускавшихся на заводе № </w:t>
      </w:r>
      <w:r w:rsidRPr="00271E51">
        <w:rPr>
          <w:rStyle w:val="0pt"/>
          <w:rFonts w:ascii="Times New Roman" w:cs="Times New Roman"/>
          <w:color w:val="000000" w:themeColor="text1"/>
          <w:spacing w:val="0"/>
          <w:sz w:val="16"/>
          <w:szCs w:val="16"/>
        </w:rPr>
        <w:t>39.</w:t>
      </w:r>
    </w:p>
    <w:p w14:paraId="77C1CE88"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lastRenderedPageBreak/>
        <w:t>Самолет Пе-2 с двумя моторами И-105ПФ выпускать со следующими данными:</w:t>
      </w:r>
    </w:p>
    <w:p w14:paraId="611D2972" w14:textId="77777777" w:rsidR="00201761" w:rsidRPr="00271E51" w:rsidRDefault="00201761" w:rsidP="00271E51">
      <w:pPr>
        <w:pStyle w:val="36"/>
        <w:shd w:val="clear" w:color="auto" w:fill="auto"/>
        <w:tabs>
          <w:tab w:val="left" w:pos="505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максимальная скорость у земли - </w:t>
      </w:r>
      <w:r w:rsidRPr="00271E51">
        <w:rPr>
          <w:rStyle w:val="0pt"/>
          <w:rFonts w:ascii="Times New Roman" w:cs="Times New Roman"/>
          <w:color w:val="000000" w:themeColor="text1"/>
          <w:spacing w:val="0"/>
          <w:sz w:val="16"/>
          <w:szCs w:val="16"/>
        </w:rPr>
        <w:t>460</w:t>
      </w:r>
      <w:r w:rsidRPr="00271E51">
        <w:rPr>
          <w:rFonts w:ascii="Times New Roman" w:cs="Times New Roman"/>
          <w:color w:val="000000" w:themeColor="text1"/>
          <w:spacing w:val="0"/>
          <w:sz w:val="16"/>
          <w:szCs w:val="16"/>
        </w:rPr>
        <w:t xml:space="preserve"> км/час</w:t>
      </w:r>
    </w:p>
    <w:p w14:paraId="36CBE5F0"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максимальная скорость на расчетной высоте (Н-3300 мт) - 530 км/час</w:t>
      </w:r>
    </w:p>
    <w:p w14:paraId="4740F4C4"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время под"ема на высоту </w:t>
      </w:r>
      <w:r w:rsidRPr="00271E51">
        <w:rPr>
          <w:rStyle w:val="0pt"/>
          <w:rFonts w:ascii="Times New Roman" w:cs="Times New Roman"/>
          <w:color w:val="000000" w:themeColor="text1"/>
          <w:spacing w:val="0"/>
          <w:sz w:val="16"/>
          <w:szCs w:val="16"/>
        </w:rPr>
        <w:t xml:space="preserve">5000 </w:t>
      </w:r>
      <w:r w:rsidRPr="00271E51">
        <w:rPr>
          <w:rStyle w:val="1pt"/>
          <w:rFonts w:ascii="Times New Roman" w:cs="Times New Roman"/>
          <w:color w:val="000000" w:themeColor="text1"/>
          <w:spacing w:val="0"/>
          <w:sz w:val="16"/>
          <w:szCs w:val="16"/>
        </w:rPr>
        <w:t>мт -9,5</w:t>
      </w:r>
      <w:r w:rsidRPr="00271E51">
        <w:rPr>
          <w:rFonts w:ascii="Times New Roman" w:cs="Times New Roman"/>
          <w:color w:val="000000" w:themeColor="text1"/>
          <w:spacing w:val="0"/>
          <w:sz w:val="16"/>
          <w:szCs w:val="16"/>
        </w:rPr>
        <w:t xml:space="preserve"> мин.</w:t>
      </w:r>
    </w:p>
    <w:p w14:paraId="21FACF1C" w14:textId="77777777" w:rsidR="00201761" w:rsidRPr="00271E51" w:rsidRDefault="00201761" w:rsidP="00271E51">
      <w:pPr>
        <w:pStyle w:val="36"/>
        <w:shd w:val="clear" w:color="auto" w:fill="auto"/>
        <w:tabs>
          <w:tab w:val="left" w:pos="5055"/>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практический потолок - </w:t>
      </w:r>
      <w:r w:rsidRPr="00271E51">
        <w:rPr>
          <w:rStyle w:val="0pt"/>
          <w:rFonts w:ascii="Times New Roman" w:cs="Times New Roman"/>
          <w:color w:val="000000" w:themeColor="text1"/>
          <w:spacing w:val="0"/>
          <w:sz w:val="16"/>
          <w:szCs w:val="16"/>
        </w:rPr>
        <w:t>3000 мт</w:t>
      </w:r>
    </w:p>
    <w:p w14:paraId="2DE818B9" w14:textId="77777777" w:rsidR="00201761" w:rsidRPr="00271E51" w:rsidRDefault="00201761" w:rsidP="00271E51">
      <w:pPr>
        <w:pStyle w:val="36"/>
        <w:shd w:val="clear" w:color="auto" w:fill="auto"/>
        <w:tabs>
          <w:tab w:val="left" w:pos="5063"/>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дальность полета на </w:t>
      </w:r>
      <w:r w:rsidRPr="00271E51">
        <w:rPr>
          <w:rStyle w:val="0pt"/>
          <w:rFonts w:ascii="Times New Roman" w:cs="Times New Roman"/>
          <w:color w:val="000000" w:themeColor="text1"/>
          <w:spacing w:val="0"/>
          <w:sz w:val="16"/>
          <w:szCs w:val="16"/>
        </w:rPr>
        <w:t>0,3</w:t>
      </w:r>
      <w:r w:rsidRPr="00271E51">
        <w:rPr>
          <w:rFonts w:ascii="Times New Roman" w:cs="Times New Roman"/>
          <w:color w:val="000000" w:themeColor="text1"/>
          <w:spacing w:val="0"/>
          <w:sz w:val="16"/>
          <w:szCs w:val="16"/>
        </w:rPr>
        <w:t xml:space="preserve"> от макси</w:t>
      </w:r>
      <w:r w:rsidRPr="00271E51">
        <w:rPr>
          <w:rFonts w:ascii="Times New Roman" w:cs="Times New Roman"/>
          <w:color w:val="000000" w:themeColor="text1"/>
          <w:spacing w:val="0"/>
          <w:sz w:val="16"/>
          <w:szCs w:val="16"/>
        </w:rPr>
        <w:softHyphen/>
        <w:t xml:space="preserve">мальной скорости (390 км/час на вы- соте </w:t>
      </w:r>
      <w:r w:rsidRPr="00271E51">
        <w:rPr>
          <w:rStyle w:val="0pt"/>
          <w:rFonts w:ascii="Times New Roman" w:cs="Times New Roman"/>
          <w:color w:val="000000" w:themeColor="text1"/>
          <w:spacing w:val="0"/>
          <w:sz w:val="16"/>
          <w:szCs w:val="16"/>
        </w:rPr>
        <w:t>1000</w:t>
      </w:r>
      <w:r w:rsidRPr="00271E51">
        <w:rPr>
          <w:rFonts w:ascii="Times New Roman" w:cs="Times New Roman"/>
          <w:color w:val="000000" w:themeColor="text1"/>
          <w:spacing w:val="0"/>
          <w:sz w:val="16"/>
          <w:szCs w:val="16"/>
        </w:rPr>
        <w:t xml:space="preserve"> мт) - </w:t>
      </w:r>
      <w:r w:rsidRPr="00271E51">
        <w:rPr>
          <w:rStyle w:val="0pt"/>
          <w:rFonts w:ascii="Times New Roman" w:cs="Times New Roman"/>
          <w:color w:val="000000" w:themeColor="text1"/>
          <w:spacing w:val="0"/>
          <w:sz w:val="16"/>
          <w:szCs w:val="16"/>
        </w:rPr>
        <w:t>190</w:t>
      </w:r>
      <w:r w:rsidRPr="00271E51">
        <w:rPr>
          <w:rStyle w:val="0pt"/>
          <w:rFonts w:ascii="Times New Roman" w:cs="Times New Roman"/>
          <w:color w:val="000000" w:themeColor="text1"/>
          <w:spacing w:val="0"/>
          <w:sz w:val="16"/>
          <w:szCs w:val="16"/>
          <w:lang w:val="en-US"/>
        </w:rPr>
        <w:t>C</w:t>
      </w:r>
      <w:r w:rsidRPr="00271E51">
        <w:rPr>
          <w:rStyle w:val="0pt"/>
          <w:rFonts w:ascii="Times New Roman" w:cs="Times New Roman"/>
          <w:color w:val="000000" w:themeColor="text1"/>
          <w:spacing w:val="0"/>
          <w:sz w:val="16"/>
          <w:szCs w:val="16"/>
        </w:rPr>
        <w:t xml:space="preserve"> км</w:t>
      </w:r>
    </w:p>
    <w:p w14:paraId="3C0949D9"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дальность полета на скорости </w:t>
      </w:r>
      <w:r w:rsidRPr="00271E51">
        <w:rPr>
          <w:rStyle w:val="0pt"/>
          <w:rFonts w:ascii="Times New Roman" w:cs="Times New Roman"/>
          <w:color w:val="000000" w:themeColor="text1"/>
          <w:spacing w:val="0"/>
          <w:sz w:val="16"/>
          <w:szCs w:val="16"/>
        </w:rPr>
        <w:t>330</w:t>
      </w:r>
    </w:p>
    <w:p w14:paraId="4B62DF1A" w14:textId="77777777" w:rsidR="00201761" w:rsidRPr="00271E51" w:rsidRDefault="00201761" w:rsidP="00271E51">
      <w:pPr>
        <w:pStyle w:val="36"/>
        <w:shd w:val="clear" w:color="auto" w:fill="auto"/>
        <w:tabs>
          <w:tab w:val="left" w:pos="504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км/час на высоте </w:t>
      </w:r>
      <w:r w:rsidRPr="00271E51">
        <w:rPr>
          <w:rStyle w:val="0pt"/>
          <w:rFonts w:ascii="Times New Roman" w:cs="Times New Roman"/>
          <w:color w:val="000000" w:themeColor="text1"/>
          <w:spacing w:val="0"/>
          <w:sz w:val="16"/>
          <w:szCs w:val="16"/>
        </w:rPr>
        <w:t>1000</w:t>
      </w:r>
      <w:r w:rsidRPr="00271E51">
        <w:rPr>
          <w:rFonts w:ascii="Times New Roman" w:cs="Times New Roman"/>
          <w:color w:val="000000" w:themeColor="text1"/>
          <w:spacing w:val="0"/>
          <w:sz w:val="16"/>
          <w:szCs w:val="16"/>
        </w:rPr>
        <w:t xml:space="preserve"> мт -  2100 км</w:t>
      </w:r>
    </w:p>
    <w:p w14:paraId="2B15B70C" w14:textId="77777777" w:rsidR="00201761" w:rsidRPr="00271E51" w:rsidRDefault="00201761" w:rsidP="00271E51">
      <w:pPr>
        <w:pStyle w:val="36"/>
        <w:shd w:val="clear" w:color="auto" w:fill="auto"/>
        <w:tabs>
          <w:tab w:val="left" w:pos="504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запас горючего - </w:t>
      </w:r>
      <w:r w:rsidRPr="00271E51">
        <w:rPr>
          <w:rStyle w:val="0pt"/>
          <w:rFonts w:ascii="Times New Roman" w:cs="Times New Roman"/>
          <w:color w:val="000000" w:themeColor="text1"/>
          <w:spacing w:val="0"/>
          <w:sz w:val="16"/>
          <w:szCs w:val="16"/>
        </w:rPr>
        <w:t>2200</w:t>
      </w:r>
      <w:r w:rsidRPr="00271E51">
        <w:rPr>
          <w:rFonts w:ascii="Times New Roman" w:cs="Times New Roman"/>
          <w:color w:val="000000" w:themeColor="text1"/>
          <w:spacing w:val="0"/>
          <w:sz w:val="16"/>
          <w:szCs w:val="16"/>
        </w:rPr>
        <w:t xml:space="preserve"> литров</w:t>
      </w:r>
    </w:p>
    <w:p w14:paraId="7B1C0F96" w14:textId="77777777" w:rsidR="00201761" w:rsidRPr="00271E51" w:rsidRDefault="00201761" w:rsidP="00271E51">
      <w:pPr>
        <w:pStyle w:val="36"/>
        <w:shd w:val="clear" w:color="auto" w:fill="auto"/>
        <w:tabs>
          <w:tab w:val="left" w:pos="5040"/>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экипаж - 2 человека</w:t>
      </w:r>
    </w:p>
    <w:p w14:paraId="7E8EF196"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Радиооборудование - радиостанция РСБ - Збис и радиополукомпас </w:t>
      </w:r>
      <w:r w:rsidRPr="00271E51">
        <w:rPr>
          <w:rFonts w:ascii="Times New Roman" w:cs="Times New Roman"/>
          <w:color w:val="000000" w:themeColor="text1"/>
          <w:spacing w:val="0"/>
          <w:sz w:val="16"/>
          <w:szCs w:val="16"/>
          <w:lang w:val="en-US"/>
        </w:rPr>
        <w:t>P</w:t>
      </w:r>
      <w:r w:rsidRPr="00271E51">
        <w:rPr>
          <w:rFonts w:ascii="Times New Roman" w:cs="Times New Roman"/>
          <w:color w:val="000000" w:themeColor="text1"/>
          <w:spacing w:val="0"/>
          <w:sz w:val="16"/>
          <w:szCs w:val="16"/>
        </w:rPr>
        <w:t>ПК-1</w:t>
      </w:r>
      <w:r w:rsidRPr="00271E51">
        <w:rPr>
          <w:rFonts w:ascii="Times New Roman" w:cs="Times New Roman"/>
          <w:color w:val="000000" w:themeColor="text1"/>
          <w:spacing w:val="0"/>
          <w:sz w:val="16"/>
          <w:szCs w:val="16"/>
          <w:lang w:val="en-US"/>
        </w:rPr>
        <w:t>O</w:t>
      </w:r>
      <w:r w:rsidRPr="00271E51">
        <w:rPr>
          <w:rStyle w:val="TimesNewRoman65pt0pt"/>
          <w:rFonts w:eastAsia="Gulim"/>
          <w:color w:val="000000" w:themeColor="text1"/>
          <w:sz w:val="16"/>
          <w:szCs w:val="16"/>
          <w:lang w:val="ru-RU"/>
        </w:rPr>
        <w:t>.</w:t>
      </w:r>
    </w:p>
    <w:p w14:paraId="4CD710AF"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Во</w:t>
      </w:r>
      <w:r w:rsidRPr="00271E51">
        <w:rPr>
          <w:rStyle w:val="16"/>
          <w:rFonts w:ascii="Times New Roman" w:cs="Times New Roman"/>
          <w:color w:val="000000" w:themeColor="text1"/>
          <w:spacing w:val="0"/>
        </w:rPr>
        <w:t>оружение</w:t>
      </w:r>
    </w:p>
    <w:p w14:paraId="71A7F9E4" w14:textId="77777777" w:rsidR="00201761" w:rsidRPr="00271E51" w:rsidRDefault="00201761"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 xml:space="preserve">Вперед - одна пушка калибра 20мм с боезапасом </w:t>
      </w:r>
      <w:r w:rsidRPr="00271E51">
        <w:rPr>
          <w:rStyle w:val="0pt"/>
          <w:rFonts w:ascii="Times New Roman" w:cs="Times New Roman"/>
          <w:color w:val="000000" w:themeColor="text1"/>
          <w:spacing w:val="0"/>
          <w:sz w:val="16"/>
          <w:szCs w:val="16"/>
        </w:rPr>
        <w:t xml:space="preserve">250 </w:t>
      </w:r>
      <w:r w:rsidRPr="00271E51">
        <w:rPr>
          <w:rFonts w:ascii="Times New Roman" w:cs="Times New Roman"/>
          <w:color w:val="000000" w:themeColor="text1"/>
          <w:spacing w:val="0"/>
          <w:sz w:val="16"/>
          <w:szCs w:val="16"/>
        </w:rPr>
        <w:t xml:space="preserve">снарядов и один пулемет калибра </w:t>
      </w:r>
      <w:r w:rsidRPr="00271E51">
        <w:rPr>
          <w:rStyle w:val="0pt"/>
          <w:rFonts w:ascii="Times New Roman" w:cs="Times New Roman"/>
          <w:color w:val="000000" w:themeColor="text1"/>
          <w:spacing w:val="0"/>
          <w:sz w:val="16"/>
          <w:szCs w:val="16"/>
        </w:rPr>
        <w:t>12,7</w:t>
      </w:r>
      <w:r w:rsidRPr="00271E51">
        <w:rPr>
          <w:rFonts w:ascii="Times New Roman" w:cs="Times New Roman"/>
          <w:color w:val="000000" w:themeColor="text1"/>
          <w:spacing w:val="0"/>
          <w:sz w:val="16"/>
          <w:szCs w:val="16"/>
        </w:rPr>
        <w:t xml:space="preserve"> мм с боезапасом </w:t>
      </w:r>
      <w:r w:rsidRPr="00271E51">
        <w:rPr>
          <w:rStyle w:val="0pt"/>
          <w:rFonts w:ascii="Times New Roman" w:cs="Times New Roman"/>
          <w:color w:val="000000" w:themeColor="text1"/>
          <w:spacing w:val="0"/>
          <w:sz w:val="16"/>
          <w:szCs w:val="16"/>
        </w:rPr>
        <w:t>250</w:t>
      </w:r>
      <w:r w:rsidRPr="00271E51">
        <w:rPr>
          <w:rFonts w:ascii="Times New Roman" w:cs="Times New Roman"/>
          <w:color w:val="000000" w:themeColor="text1"/>
          <w:spacing w:val="0"/>
          <w:sz w:val="16"/>
          <w:szCs w:val="16"/>
        </w:rPr>
        <w:t xml:space="preserve"> патронов.</w:t>
      </w:r>
      <w:r w:rsidRPr="00271E51">
        <w:rPr>
          <w:rFonts w:ascii="Times New Roman" w:cs="Times New Roman"/>
          <w:color w:val="000000" w:themeColor="text1"/>
          <w:spacing w:val="0"/>
          <w:sz w:val="16"/>
          <w:szCs w:val="16"/>
          <w:vertAlign w:val="superscript"/>
        </w:rPr>
        <w:t>-</w:t>
      </w:r>
    </w:p>
    <w:p w14:paraId="542A8462" w14:textId="77777777" w:rsidR="00201761" w:rsidRPr="00271E51" w:rsidRDefault="002017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вместо указанного вооружения уста</w:t>
      </w:r>
      <w:r w:rsidRPr="00271E51">
        <w:rPr>
          <w:rFonts w:ascii="Times New Roman" w:hAnsi="Times New Roman"/>
          <w:color w:val="000000" w:themeColor="text1"/>
          <w:sz w:val="16"/>
          <w:szCs w:val="16"/>
        </w:rPr>
        <w:softHyphen/>
        <w:t>новить вперед две облегченные пушки калибра 20</w:t>
      </w:r>
      <w:r w:rsidRPr="00271E51">
        <w:rPr>
          <w:rStyle w:val="0pt"/>
          <w:rFonts w:ascii="Times New Roman" w:hAnsi="Times New Roman" w:cs="Times New Roman"/>
          <w:color w:val="000000" w:themeColor="text1"/>
          <w:spacing w:val="0"/>
          <w:sz w:val="16"/>
          <w:szCs w:val="16"/>
        </w:rPr>
        <w:t xml:space="preserve"> </w:t>
      </w:r>
      <w:r w:rsidRPr="00271E51">
        <w:rPr>
          <w:rFonts w:ascii="Times New Roman" w:hAnsi="Times New Roman"/>
          <w:color w:val="000000" w:themeColor="text1"/>
          <w:sz w:val="16"/>
          <w:szCs w:val="16"/>
        </w:rPr>
        <w:t>мм.</w:t>
      </w:r>
    </w:p>
    <w:p w14:paraId="7E257472" w14:textId="77777777" w:rsidR="00201761" w:rsidRPr="00271E51" w:rsidRDefault="002017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Назад - один пулемет калибра 12,7мм на подвижной установке штурмана с боезапасом </w:t>
      </w:r>
      <w:r w:rsidRPr="00271E51">
        <w:rPr>
          <w:rStyle w:val="0pt"/>
          <w:rFonts w:ascii="Times New Roman" w:hAnsi="Times New Roman" w:cs="Times New Roman"/>
          <w:color w:val="000000" w:themeColor="text1"/>
          <w:spacing w:val="0"/>
          <w:sz w:val="16"/>
          <w:szCs w:val="16"/>
        </w:rPr>
        <w:t>200</w:t>
      </w:r>
      <w:r w:rsidRPr="00271E51">
        <w:rPr>
          <w:rFonts w:ascii="Times New Roman" w:hAnsi="Times New Roman"/>
          <w:color w:val="000000" w:themeColor="text1"/>
          <w:sz w:val="16"/>
          <w:szCs w:val="16"/>
        </w:rPr>
        <w:t xml:space="preserve"> патронов.</w:t>
      </w:r>
    </w:p>
    <w:p w14:paraId="7DF1393D" w14:textId="77777777" w:rsidR="00201761" w:rsidRPr="00271E51" w:rsidRDefault="002017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Две хвостовых установки ДАГ-10</w:t>
      </w:r>
      <w:r w:rsidRPr="00271E51">
        <w:rPr>
          <w:rStyle w:val="0pt"/>
          <w:rFonts w:ascii="Times New Roman" w:hAnsi="Times New Roman" w:cs="Times New Roman"/>
          <w:color w:val="000000" w:themeColor="text1"/>
          <w:spacing w:val="0"/>
          <w:sz w:val="16"/>
          <w:szCs w:val="16"/>
        </w:rPr>
        <w:t xml:space="preserve"> с 20-ю</w:t>
      </w:r>
      <w:r w:rsidRPr="00271E51">
        <w:rPr>
          <w:rFonts w:ascii="Times New Roman" w:hAnsi="Times New Roman"/>
          <w:color w:val="000000" w:themeColor="text1"/>
          <w:sz w:val="16"/>
          <w:szCs w:val="16"/>
        </w:rPr>
        <w:t xml:space="preserve"> дистанцион</w:t>
      </w:r>
      <w:r w:rsidRPr="00271E51">
        <w:rPr>
          <w:rFonts w:ascii="Times New Roman" w:hAnsi="Times New Roman"/>
          <w:color w:val="000000" w:themeColor="text1"/>
          <w:sz w:val="16"/>
          <w:szCs w:val="16"/>
        </w:rPr>
        <w:softHyphen/>
        <w:t>ными авиационными гранатами.</w:t>
      </w:r>
    </w:p>
    <w:p w14:paraId="2A2DD4DE" w14:textId="77777777" w:rsidR="00201761" w:rsidRPr="00271E51" w:rsidRDefault="0020176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замка для наружной подвески бомб.</w:t>
      </w:r>
    </w:p>
    <w:p w14:paraId="3B4C1E4B" w14:textId="77777777" w:rsidR="00201761" w:rsidRPr="00271E51" w:rsidRDefault="00201761" w:rsidP="00271E51">
      <w:pPr>
        <w:tabs>
          <w:tab w:val="left" w:pos="91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Установить заводу № 22 следующую программу выпуска, самолетов Пе-3 на </w:t>
      </w:r>
      <w:r w:rsidRPr="00271E51">
        <w:rPr>
          <w:rStyle w:val="16"/>
          <w:rFonts w:ascii="Times New Roman" w:hAnsi="Times New Roman" w:cs="Times New Roman"/>
          <w:color w:val="000000" w:themeColor="text1"/>
          <w:spacing w:val="0"/>
        </w:rPr>
        <w:t xml:space="preserve">январь </w:t>
      </w:r>
      <w:r w:rsidRPr="00271E51">
        <w:rPr>
          <w:rStyle w:val="0pt"/>
          <w:rFonts w:ascii="Times New Roman" w:hAnsi="Times New Roman" w:cs="Times New Roman"/>
          <w:color w:val="000000" w:themeColor="text1"/>
          <w:spacing w:val="0"/>
          <w:sz w:val="16"/>
          <w:szCs w:val="16"/>
        </w:rPr>
        <w:t>1944</w:t>
      </w:r>
      <w:r w:rsidRPr="00271E51">
        <w:rPr>
          <w:rStyle w:val="16"/>
          <w:rFonts w:ascii="Times New Roman" w:hAnsi="Times New Roman" w:cs="Times New Roman"/>
          <w:color w:val="000000" w:themeColor="text1"/>
          <w:spacing w:val="0"/>
        </w:rPr>
        <w:t xml:space="preserve"> года</w:t>
      </w:r>
      <w:r w:rsidRPr="00271E51">
        <w:rPr>
          <w:rFonts w:ascii="Times New Roman" w:hAnsi="Times New Roman"/>
          <w:color w:val="000000" w:themeColor="text1"/>
          <w:sz w:val="16"/>
          <w:szCs w:val="16"/>
        </w:rPr>
        <w:t xml:space="preserve"> - 20 само</w:t>
      </w:r>
      <w:r w:rsidRPr="00271E51">
        <w:rPr>
          <w:rFonts w:ascii="Times New Roman" w:hAnsi="Times New Roman"/>
          <w:color w:val="000000" w:themeColor="text1"/>
          <w:sz w:val="16"/>
          <w:szCs w:val="16"/>
        </w:rPr>
        <w:softHyphen/>
        <w:t>летов; в феврале перейти на выпуск 2-х самолетов в день и</w:t>
      </w:r>
      <w:r w:rsidRPr="00271E51">
        <w:rPr>
          <w:rStyle w:val="0pt3"/>
          <w:rFonts w:ascii="Times New Roman" w:hAnsi="Times New Roman" w:cs="Times New Roman"/>
          <w:color w:val="000000" w:themeColor="text1"/>
          <w:sz w:val="16"/>
          <w:szCs w:val="16"/>
        </w:rPr>
        <w:t xml:space="preserve"> б</w:t>
      </w:r>
      <w:r w:rsidRPr="00271E51">
        <w:rPr>
          <w:rFonts w:ascii="Times New Roman" w:hAnsi="Times New Roman"/>
          <w:color w:val="000000" w:themeColor="text1"/>
          <w:sz w:val="16"/>
          <w:szCs w:val="16"/>
        </w:rPr>
        <w:t xml:space="preserve"> марте перейти на выпуск 3-х самолетов в день.</w:t>
      </w:r>
    </w:p>
    <w:p w14:paraId="7232EE52" w14:textId="77777777" w:rsidR="00201761" w:rsidRPr="00271E51" w:rsidRDefault="00201761" w:rsidP="00271E51">
      <w:pPr>
        <w:tabs>
          <w:tab w:val="left" w:pos="91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Производство бомбардировщиков Пе-2 с моторами М-82 на заводе № 22 прекратить.</w:t>
      </w:r>
    </w:p>
    <w:p w14:paraId="26EDC025" w14:textId="77777777" w:rsidR="00201761" w:rsidRPr="00271E51" w:rsidRDefault="00201761" w:rsidP="00271E51">
      <w:pPr>
        <w:tabs>
          <w:tab w:val="left" w:pos="92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Наркомфин СССР - т.Зверева выделить Наркомавиапрому:</w:t>
      </w:r>
    </w:p>
    <w:p w14:paraId="09F104C4" w14:textId="77777777" w:rsidR="00201761" w:rsidRPr="00271E51" w:rsidRDefault="00201761" w:rsidP="00271E51">
      <w:pPr>
        <w:tabs>
          <w:tab w:val="left" w:pos="92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на постановку производства самолетов Пе-3 на заводе № 22 - 2000 тыс.рублей, в том числе </w:t>
      </w:r>
      <w:r w:rsidRPr="00271E51">
        <w:rPr>
          <w:rStyle w:val="0pt"/>
          <w:rFonts w:ascii="Times New Roman" w:hAnsi="Times New Roman" w:cs="Times New Roman"/>
          <w:color w:val="000000" w:themeColor="text1"/>
          <w:spacing w:val="0"/>
          <w:sz w:val="16"/>
          <w:szCs w:val="16"/>
        </w:rPr>
        <w:t>300</w:t>
      </w:r>
      <w:r w:rsidRPr="00271E51">
        <w:rPr>
          <w:rFonts w:ascii="Times New Roman" w:hAnsi="Times New Roman"/>
          <w:color w:val="000000" w:themeColor="text1"/>
          <w:sz w:val="16"/>
          <w:szCs w:val="16"/>
        </w:rPr>
        <w:t xml:space="preserve"> тыс.руб</w:t>
      </w:r>
      <w:r w:rsidRPr="00271E51">
        <w:rPr>
          <w:rFonts w:ascii="Times New Roman" w:hAnsi="Times New Roman"/>
          <w:color w:val="000000" w:themeColor="text1"/>
          <w:sz w:val="16"/>
          <w:szCs w:val="16"/>
        </w:rPr>
        <w:softHyphen/>
        <w:t>лей на премирование конструкторов и работников заво</w:t>
      </w:r>
      <w:r w:rsidRPr="00271E51">
        <w:rPr>
          <w:rFonts w:ascii="Times New Roman" w:hAnsi="Times New Roman"/>
          <w:color w:val="000000" w:themeColor="text1"/>
          <w:sz w:val="16"/>
          <w:szCs w:val="16"/>
        </w:rPr>
        <w:softHyphen/>
      </w:r>
      <w:r w:rsidRPr="00271E51">
        <w:rPr>
          <w:rStyle w:val="0pt"/>
          <w:rFonts w:ascii="Times New Roman" w:hAnsi="Times New Roman" w:cs="Times New Roman"/>
          <w:color w:val="000000" w:themeColor="text1"/>
          <w:spacing w:val="0"/>
          <w:sz w:val="16"/>
          <w:szCs w:val="16"/>
        </w:rPr>
        <w:t xml:space="preserve">да </w:t>
      </w:r>
      <w:r w:rsidRPr="00271E51">
        <w:rPr>
          <w:rStyle w:val="0pt"/>
          <w:rFonts w:ascii="Times New Roman" w:eastAsia="Arial Unicode MS" w:hAnsi="Times New Roman" w:cs="Times New Roman"/>
          <w:color w:val="000000" w:themeColor="text1"/>
          <w:spacing w:val="0"/>
          <w:sz w:val="16"/>
          <w:szCs w:val="16"/>
        </w:rPr>
        <w:t>№</w:t>
      </w:r>
      <w:r w:rsidRPr="00271E51">
        <w:rPr>
          <w:rStyle w:val="0pt"/>
          <w:rFonts w:ascii="Times New Roman" w:hAnsi="Times New Roman" w:cs="Times New Roman"/>
          <w:color w:val="000000" w:themeColor="text1"/>
          <w:spacing w:val="0"/>
          <w:sz w:val="16"/>
          <w:szCs w:val="16"/>
        </w:rPr>
        <w:t xml:space="preserve"> 22,</w:t>
      </w:r>
      <w:r w:rsidRPr="00271E51">
        <w:rPr>
          <w:rFonts w:ascii="Times New Roman" w:hAnsi="Times New Roman"/>
          <w:color w:val="000000" w:themeColor="text1"/>
          <w:sz w:val="16"/>
          <w:szCs w:val="16"/>
        </w:rPr>
        <w:t xml:space="preserve"> отличившихся при выполнении задания по вы</w:t>
      </w:r>
      <w:r w:rsidRPr="00271E51">
        <w:rPr>
          <w:rFonts w:ascii="Times New Roman" w:hAnsi="Times New Roman"/>
          <w:color w:val="000000" w:themeColor="text1"/>
          <w:sz w:val="16"/>
          <w:szCs w:val="16"/>
        </w:rPr>
        <w:softHyphen/>
        <w:t>пуску самолетов Пе-3 в установленные сроки;</w:t>
      </w:r>
    </w:p>
    <w:p w14:paraId="7E5084F4" w14:textId="77777777" w:rsidR="00201761" w:rsidRPr="00271E51" w:rsidRDefault="00201761" w:rsidP="00271E51">
      <w:pPr>
        <w:tabs>
          <w:tab w:val="left" w:pos="91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необходимые средства на покрытие убытков в связи со снятием с производства на заводе № 22 самоле</w:t>
      </w:r>
      <w:r w:rsidRPr="00271E51">
        <w:rPr>
          <w:rFonts w:ascii="Times New Roman" w:hAnsi="Times New Roman"/>
          <w:color w:val="000000" w:themeColor="text1"/>
          <w:sz w:val="16"/>
          <w:szCs w:val="16"/>
        </w:rPr>
        <w:softHyphen/>
      </w:r>
      <w:r w:rsidRPr="00271E51">
        <w:rPr>
          <w:rStyle w:val="0pt"/>
          <w:rFonts w:ascii="Times New Roman" w:hAnsi="Times New Roman" w:cs="Times New Roman"/>
          <w:color w:val="000000" w:themeColor="text1"/>
          <w:spacing w:val="0"/>
          <w:sz w:val="16"/>
          <w:szCs w:val="16"/>
        </w:rPr>
        <w:t xml:space="preserve">та </w:t>
      </w:r>
      <w:r w:rsidRPr="00271E51">
        <w:rPr>
          <w:rStyle w:val="0pt"/>
          <w:rFonts w:ascii="Times New Roman" w:eastAsia="Arial Unicode MS" w:hAnsi="Times New Roman" w:cs="Times New Roman"/>
          <w:color w:val="000000" w:themeColor="text1"/>
          <w:spacing w:val="0"/>
          <w:sz w:val="16"/>
          <w:szCs w:val="16"/>
        </w:rPr>
        <w:t xml:space="preserve">Пе-2 с мотором М-82 </w:t>
      </w:r>
      <w:r w:rsidRPr="00271E51">
        <w:rPr>
          <w:rFonts w:ascii="Times New Roman" w:hAnsi="Times New Roman"/>
          <w:color w:val="000000" w:themeColor="text1"/>
          <w:sz w:val="16"/>
          <w:szCs w:val="16"/>
        </w:rPr>
        <w:t>(19431).</w:t>
      </w:r>
    </w:p>
    <w:p w14:paraId="720975DB" w14:textId="77777777" w:rsidR="00D500AF" w:rsidRPr="00271E51" w:rsidRDefault="00D500AF"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B3E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4553 Об организации производства самолетов Як-3 на заводе № 31 Наркомавиапрома.РГАНИР, Фонд ГКО, д. 174, лл. 45 (11012).</w:t>
      </w:r>
    </w:p>
    <w:p w14:paraId="148978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83519" w14:textId="77777777" w:rsidR="00417D24" w:rsidRPr="00271E51" w:rsidRDefault="00417D24"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12 ноября 1943 вышло Постановление ГКО № 4553 Об организации производства самолетов Як-3 на заводе № 31 Наркомавиапрома</w:t>
      </w:r>
    </w:p>
    <w:p w14:paraId="197A0336" w14:textId="77777777" w:rsidR="00417D24" w:rsidRPr="00271E51" w:rsidRDefault="00417D2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Государственный Комитет Обороны постановляет:</w:t>
      </w:r>
    </w:p>
    <w:p w14:paraId="78D9DD4B" w14:textId="77777777" w:rsidR="00417D24" w:rsidRPr="00271E51" w:rsidRDefault="00417D24" w:rsidP="00271E51">
      <w:pPr>
        <w:pStyle w:val="36"/>
        <w:shd w:val="clear" w:color="auto" w:fill="auto"/>
        <w:tabs>
          <w:tab w:val="left" w:pos="928"/>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 Обязать Наркомавиапром т. Шахурина и директора завода №</w:t>
      </w:r>
      <w:r w:rsidRPr="00271E51">
        <w:rPr>
          <w:rFonts w:ascii="Times New Roman" w:eastAsia="SimHei" w:cs="Times New Roman"/>
          <w:color w:val="000000" w:themeColor="text1"/>
          <w:spacing w:val="0"/>
          <w:sz w:val="16"/>
          <w:szCs w:val="16"/>
        </w:rPr>
        <w:t xml:space="preserve"> 31 т.Салад</w:t>
      </w:r>
      <w:r w:rsidRPr="00271E51">
        <w:rPr>
          <w:rFonts w:ascii="Times New Roman" w:cs="Times New Roman"/>
          <w:color w:val="000000" w:themeColor="text1"/>
          <w:spacing w:val="0"/>
          <w:sz w:val="16"/>
          <w:szCs w:val="16"/>
        </w:rPr>
        <w:t>з</w:t>
      </w:r>
      <w:r w:rsidRPr="00271E51">
        <w:rPr>
          <w:rFonts w:ascii="Times New Roman" w:eastAsia="SimHei" w:cs="Times New Roman"/>
          <w:color w:val="000000" w:themeColor="text1"/>
          <w:spacing w:val="0"/>
          <w:sz w:val="16"/>
          <w:szCs w:val="16"/>
        </w:rPr>
        <w:t xml:space="preserve">е организовать на </w:t>
      </w:r>
      <w:r w:rsidRPr="00271E51">
        <w:rPr>
          <w:rFonts w:ascii="Times New Roman" w:cs="Times New Roman"/>
          <w:color w:val="000000" w:themeColor="text1"/>
          <w:spacing w:val="0"/>
          <w:sz w:val="16"/>
          <w:szCs w:val="16"/>
        </w:rPr>
        <w:t>з</w:t>
      </w:r>
      <w:r w:rsidRPr="00271E51">
        <w:rPr>
          <w:rFonts w:ascii="Times New Roman" w:eastAsia="SimHei" w:cs="Times New Roman"/>
          <w:color w:val="000000" w:themeColor="text1"/>
          <w:spacing w:val="0"/>
          <w:sz w:val="16"/>
          <w:szCs w:val="16"/>
        </w:rPr>
        <w:t xml:space="preserve">аводе </w:t>
      </w:r>
      <w:r w:rsidRPr="00271E51">
        <w:rPr>
          <w:rFonts w:ascii="Times New Roman" w:cs="Times New Roman"/>
          <w:color w:val="000000" w:themeColor="text1"/>
          <w:spacing w:val="0"/>
          <w:sz w:val="16"/>
          <w:szCs w:val="16"/>
        </w:rPr>
        <w:t>№ 31 производство истребителей Як-3, с началом серийного выпуска этих самолетов не позднее 1 марта 1944 года.</w:t>
      </w:r>
    </w:p>
    <w:p w14:paraId="590B8CAB" w14:textId="77777777" w:rsidR="00417D24" w:rsidRPr="00271E51" w:rsidRDefault="00417D24"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Сохранить на заводе № 31 на время перевода его на производство самолетов Як-3 выпуск истребителей Лагг-3, не допуская при этом ущерба для организации производства истребителей Як-3,</w:t>
      </w:r>
    </w:p>
    <w:p w14:paraId="2B2050DE" w14:textId="77777777" w:rsidR="00417D24" w:rsidRPr="00271E51" w:rsidRDefault="00417D24"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 Обявать Наркомфин СССР т.Зверева выделить заводу № 31 НКАП из резервного фонда СНК СССР 3 миллиона рублей на постановку производства самолета Як-3 (19432).</w:t>
      </w:r>
    </w:p>
    <w:p w14:paraId="11CB18D6" w14:textId="77777777" w:rsidR="00417D24" w:rsidRPr="00271E51" w:rsidRDefault="00417D2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48875" w14:textId="77777777" w:rsidR="00742358" w:rsidRPr="00271E51" w:rsidRDefault="0074235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N 4553 от 12 ноября 1943 об организации производства Як-3 на 31 заводе (947,106).</w:t>
      </w:r>
    </w:p>
    <w:p w14:paraId="7273CB9D" w14:textId="77777777" w:rsidR="00742358" w:rsidRPr="00271E51" w:rsidRDefault="0074235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B6DD5"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ноября 1943 г. Постановлением ГКО № 4553 и приказом по НКАП № 686 от 16 ноября того же года Як-3 шел в серию и в Тбилиси на заводе № 31. До 1 марта следующего года завод должен был еще и достраивать имевшийся задел истребителей ЛаГГ-3, а дальше полностью перейти на самолеты Яковлева. Свой первый Як-3 в Тбилиси построили в апреле 1944 г. (22751).</w:t>
      </w:r>
    </w:p>
    <w:p w14:paraId="75817777" w14:textId="77777777" w:rsidR="00B23CFC" w:rsidRPr="00271E51" w:rsidRDefault="00B23CFC" w:rsidP="00271E51">
      <w:pPr>
        <w:spacing w:after="0" w:line="240" w:lineRule="auto"/>
        <w:jc w:val="both"/>
        <w:rPr>
          <w:rFonts w:ascii="Times New Roman" w:hAnsi="Times New Roman"/>
          <w:color w:val="0070C0"/>
          <w:sz w:val="16"/>
          <w:szCs w:val="16"/>
        </w:rPr>
      </w:pPr>
    </w:p>
    <w:p w14:paraId="5F5741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Нач. ЛИИ А.В.Чесалов с письмом N 676с направил Зам. НКАП П.В.Дементьеву отчет о работах ЛИИ в октябре 1943:</w:t>
      </w:r>
    </w:p>
    <w:p w14:paraId="31766C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Ла-5</w:t>
      </w:r>
    </w:p>
    <w:p w14:paraId="272122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серийных Ла-5</w:t>
      </w:r>
    </w:p>
    <w:p w14:paraId="3D3A9F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Проведены летные испытания Ла-5ФН N 39210531 и 39210540 производства завода 21 октябрьского выпуска: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817"/>
      </w:tblGrid>
      <w:tr w:rsidR="00A907A5" w:rsidRPr="00271E51" w14:paraId="356F487D" w14:textId="77777777" w:rsidTr="00ED5B0A">
        <w:tc>
          <w:tcPr>
            <w:tcW w:w="5637" w:type="dxa"/>
          </w:tcPr>
          <w:p w14:paraId="0D0DAA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c>
        <w:tc>
          <w:tcPr>
            <w:tcW w:w="2817" w:type="dxa"/>
          </w:tcPr>
          <w:p w14:paraId="6042E4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531</w:t>
            </w:r>
          </w:p>
        </w:tc>
        <w:tc>
          <w:tcPr>
            <w:tcW w:w="2817" w:type="dxa"/>
          </w:tcPr>
          <w:p w14:paraId="0151AD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r>
      <w:tr w:rsidR="00A907A5" w:rsidRPr="00271E51" w14:paraId="4938FF37" w14:textId="77777777" w:rsidTr="00ED5B0A">
        <w:tc>
          <w:tcPr>
            <w:tcW w:w="5637" w:type="dxa"/>
          </w:tcPr>
          <w:p w14:paraId="093CA2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режиме пов. боевой мощности</w:t>
            </w:r>
          </w:p>
        </w:tc>
        <w:tc>
          <w:tcPr>
            <w:tcW w:w="2817" w:type="dxa"/>
          </w:tcPr>
          <w:p w14:paraId="7638AB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w:t>
            </w:r>
          </w:p>
        </w:tc>
        <w:tc>
          <w:tcPr>
            <w:tcW w:w="2817" w:type="dxa"/>
          </w:tcPr>
          <w:p w14:paraId="771059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r>
      <w:tr w:rsidR="00A907A5" w:rsidRPr="00271E51" w14:paraId="3CE9A729" w14:textId="77777777" w:rsidTr="00ED5B0A">
        <w:tc>
          <w:tcPr>
            <w:tcW w:w="5637" w:type="dxa"/>
          </w:tcPr>
          <w:p w14:paraId="2AA3B6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 Высотности</w:t>
            </w:r>
          </w:p>
        </w:tc>
        <w:tc>
          <w:tcPr>
            <w:tcW w:w="2817" w:type="dxa"/>
          </w:tcPr>
          <w:p w14:paraId="65AD62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2817" w:type="dxa"/>
          </w:tcPr>
          <w:p w14:paraId="47AFC3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w:t>
            </w:r>
          </w:p>
        </w:tc>
      </w:tr>
      <w:tr w:rsidR="00A907A5" w:rsidRPr="00271E51" w14:paraId="2BD62EA2" w14:textId="77777777" w:rsidTr="00ED5B0A">
        <w:tc>
          <w:tcPr>
            <w:tcW w:w="5637" w:type="dxa"/>
          </w:tcPr>
          <w:p w14:paraId="6ABE92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2817" w:type="dxa"/>
          </w:tcPr>
          <w:p w14:paraId="2C188A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2817" w:type="dxa"/>
          </w:tcPr>
          <w:p w14:paraId="447DDE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r>
    </w:tbl>
    <w:p w14:paraId="52C7C5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54DDB4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ухудшение герметизации капота и фюзеляжа, костыльное колесо в полете выпадает после уборки, плохая работа свечей ВГ-12.</w:t>
      </w:r>
    </w:p>
    <w:p w14:paraId="58622C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ЛИИ совместно с ГК занимаются выяснением причин ухудшения ЛД с целью восстановления макс7 скоростей.</w:t>
      </w:r>
    </w:p>
    <w:p w14:paraId="4957C5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летные испытания Ла-5Ф N 39213973 производства завода 21 сентябрьского выпуска:</w:t>
      </w:r>
    </w:p>
    <w:p w14:paraId="473541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EA1FF13" w14:textId="77777777" w:rsidTr="00ED5B0A">
        <w:tc>
          <w:tcPr>
            <w:tcW w:w="5636" w:type="dxa"/>
          </w:tcPr>
          <w:p w14:paraId="611004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режиме пов. боевой мощности</w:t>
            </w:r>
          </w:p>
        </w:tc>
        <w:tc>
          <w:tcPr>
            <w:tcW w:w="5636" w:type="dxa"/>
          </w:tcPr>
          <w:p w14:paraId="3E9AAB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552</w:t>
            </w:r>
          </w:p>
        </w:tc>
      </w:tr>
      <w:tr w:rsidR="00A907A5" w:rsidRPr="00271E51" w14:paraId="5E264EFC" w14:textId="77777777" w:rsidTr="00ED5B0A">
        <w:tc>
          <w:tcPr>
            <w:tcW w:w="5636" w:type="dxa"/>
          </w:tcPr>
          <w:p w14:paraId="37C349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 Высотности</w:t>
            </w:r>
          </w:p>
        </w:tc>
        <w:tc>
          <w:tcPr>
            <w:tcW w:w="5636" w:type="dxa"/>
          </w:tcPr>
          <w:p w14:paraId="59E5C0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w:t>
            </w:r>
          </w:p>
        </w:tc>
      </w:tr>
      <w:tr w:rsidR="00A907A5" w:rsidRPr="00271E51" w14:paraId="13CB0153" w14:textId="77777777" w:rsidTr="00ED5B0A">
        <w:tc>
          <w:tcPr>
            <w:tcW w:w="5636" w:type="dxa"/>
          </w:tcPr>
          <w:p w14:paraId="7EB0F7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5636" w:type="dxa"/>
          </w:tcPr>
          <w:p w14:paraId="6602C8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r>
    </w:tbl>
    <w:p w14:paraId="6DFE8E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Ла-5 М-82ФН с различной редукцией мотора</w:t>
      </w:r>
    </w:p>
    <w:p w14:paraId="59A77A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Проводятся испытания 2-х Ла-5 М-82ФН с редукцией 11/16 и 9/16 с винтами ВИШ-105В 3.1 м, АВ-5-118 3.2 м и АВ-6-153 3.1 м</w:t>
      </w:r>
    </w:p>
    <w:p w14:paraId="09131A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Получили по Ла-5 N 39310540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527"/>
        <w:gridCol w:w="1527"/>
        <w:gridCol w:w="4035"/>
      </w:tblGrid>
      <w:tr w:rsidR="00A907A5" w:rsidRPr="00271E51" w14:paraId="73A30930" w14:textId="77777777" w:rsidTr="00ED5B0A">
        <w:tc>
          <w:tcPr>
            <w:tcW w:w="3510" w:type="dxa"/>
          </w:tcPr>
          <w:p w14:paraId="3CE6BB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ABC77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11/16</w:t>
            </w:r>
          </w:p>
        </w:tc>
        <w:tc>
          <w:tcPr>
            <w:tcW w:w="1527" w:type="dxa"/>
          </w:tcPr>
          <w:p w14:paraId="2B436A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11/16</w:t>
            </w:r>
          </w:p>
        </w:tc>
        <w:tc>
          <w:tcPr>
            <w:tcW w:w="4035" w:type="dxa"/>
          </w:tcPr>
          <w:p w14:paraId="544B9B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w:t>
            </w:r>
          </w:p>
        </w:tc>
      </w:tr>
      <w:tr w:rsidR="00A907A5" w:rsidRPr="00271E51" w14:paraId="7D26D2C9" w14:textId="77777777" w:rsidTr="00ED5B0A">
        <w:tc>
          <w:tcPr>
            <w:tcW w:w="3510" w:type="dxa"/>
          </w:tcPr>
          <w:p w14:paraId="50A45A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C3533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w:t>
            </w:r>
          </w:p>
        </w:tc>
        <w:tc>
          <w:tcPr>
            <w:tcW w:w="1527" w:type="dxa"/>
          </w:tcPr>
          <w:p w14:paraId="300CF4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АВ-5</w:t>
            </w:r>
          </w:p>
        </w:tc>
        <w:tc>
          <w:tcPr>
            <w:tcW w:w="4035" w:type="dxa"/>
          </w:tcPr>
          <w:p w14:paraId="7C08EA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АВ-6</w:t>
            </w:r>
          </w:p>
        </w:tc>
      </w:tr>
      <w:tr w:rsidR="00A907A5" w:rsidRPr="00271E51" w14:paraId="12BD8D82" w14:textId="77777777" w:rsidTr="00ED5B0A">
        <w:tc>
          <w:tcPr>
            <w:tcW w:w="3510" w:type="dxa"/>
          </w:tcPr>
          <w:p w14:paraId="557153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режиме пов. боевой мощности</w:t>
            </w:r>
          </w:p>
        </w:tc>
        <w:tc>
          <w:tcPr>
            <w:tcW w:w="1527" w:type="dxa"/>
          </w:tcPr>
          <w:p w14:paraId="779727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w:t>
            </w:r>
          </w:p>
        </w:tc>
        <w:tc>
          <w:tcPr>
            <w:tcW w:w="1527" w:type="dxa"/>
          </w:tcPr>
          <w:p w14:paraId="7CC857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c>
          <w:tcPr>
            <w:tcW w:w="4035" w:type="dxa"/>
          </w:tcPr>
          <w:p w14:paraId="2CCEC0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r>
      <w:tr w:rsidR="00A907A5" w:rsidRPr="00271E51" w14:paraId="4E62FBB3" w14:textId="77777777" w:rsidTr="00ED5B0A">
        <w:tc>
          <w:tcPr>
            <w:tcW w:w="3510" w:type="dxa"/>
          </w:tcPr>
          <w:p w14:paraId="0CEA75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 гр. Высотности (1700 м)</w:t>
            </w:r>
          </w:p>
        </w:tc>
        <w:tc>
          <w:tcPr>
            <w:tcW w:w="1527" w:type="dxa"/>
          </w:tcPr>
          <w:p w14:paraId="199BBE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527" w:type="dxa"/>
          </w:tcPr>
          <w:p w14:paraId="06F7E7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594</w:t>
            </w:r>
          </w:p>
        </w:tc>
        <w:tc>
          <w:tcPr>
            <w:tcW w:w="4035" w:type="dxa"/>
          </w:tcPr>
          <w:p w14:paraId="6F7DF6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w:t>
            </w:r>
          </w:p>
        </w:tc>
      </w:tr>
      <w:tr w:rsidR="00A907A5" w:rsidRPr="00271E51" w14:paraId="19D37F68" w14:textId="77777777" w:rsidTr="00ED5B0A">
        <w:tc>
          <w:tcPr>
            <w:tcW w:w="3510" w:type="dxa"/>
          </w:tcPr>
          <w:p w14:paraId="465EEF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 Высотности (6100 м)</w:t>
            </w:r>
          </w:p>
        </w:tc>
        <w:tc>
          <w:tcPr>
            <w:tcW w:w="1527" w:type="dxa"/>
          </w:tcPr>
          <w:p w14:paraId="430584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w:t>
            </w:r>
          </w:p>
        </w:tc>
        <w:tc>
          <w:tcPr>
            <w:tcW w:w="1527" w:type="dxa"/>
          </w:tcPr>
          <w:p w14:paraId="45ADF8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626</w:t>
            </w:r>
          </w:p>
        </w:tc>
        <w:tc>
          <w:tcPr>
            <w:tcW w:w="4035" w:type="dxa"/>
          </w:tcPr>
          <w:p w14:paraId="3E172A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629</w:t>
            </w:r>
          </w:p>
        </w:tc>
      </w:tr>
      <w:tr w:rsidR="00A907A5" w:rsidRPr="00271E51" w14:paraId="7FD1F9DA" w14:textId="77777777" w:rsidTr="00ED5B0A">
        <w:tc>
          <w:tcPr>
            <w:tcW w:w="3510" w:type="dxa"/>
          </w:tcPr>
          <w:p w14:paraId="61CB71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1527" w:type="dxa"/>
          </w:tcPr>
          <w:p w14:paraId="54D108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1527" w:type="dxa"/>
          </w:tcPr>
          <w:p w14:paraId="723EA4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4035" w:type="dxa"/>
          </w:tcPr>
          <w:p w14:paraId="684A27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r>
      <w:tr w:rsidR="00A907A5" w:rsidRPr="00271E51" w14:paraId="0203F9F9" w14:textId="77777777" w:rsidTr="00ED5B0A">
        <w:tc>
          <w:tcPr>
            <w:tcW w:w="3510" w:type="dxa"/>
          </w:tcPr>
          <w:p w14:paraId="356B14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w:t>
            </w:r>
          </w:p>
        </w:tc>
        <w:tc>
          <w:tcPr>
            <w:tcW w:w="1527" w:type="dxa"/>
          </w:tcPr>
          <w:p w14:paraId="67F7EF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w:t>
            </w:r>
          </w:p>
        </w:tc>
        <w:tc>
          <w:tcPr>
            <w:tcW w:w="1527" w:type="dxa"/>
          </w:tcPr>
          <w:p w14:paraId="2DB372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w:t>
            </w:r>
          </w:p>
        </w:tc>
        <w:tc>
          <w:tcPr>
            <w:tcW w:w="4035" w:type="dxa"/>
          </w:tcPr>
          <w:p w14:paraId="5834F0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bl>
    <w:p w14:paraId="6D997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Получили по Ла-5 N 39310540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3101"/>
        <w:gridCol w:w="3101"/>
      </w:tblGrid>
      <w:tr w:rsidR="00A907A5" w:rsidRPr="00271E51" w14:paraId="15C14FDD" w14:textId="77777777" w:rsidTr="00ED5B0A">
        <w:tc>
          <w:tcPr>
            <w:tcW w:w="5070" w:type="dxa"/>
          </w:tcPr>
          <w:p w14:paraId="3359BF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01" w:type="dxa"/>
          </w:tcPr>
          <w:p w14:paraId="150726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11/16</w:t>
            </w:r>
          </w:p>
        </w:tc>
        <w:tc>
          <w:tcPr>
            <w:tcW w:w="3101" w:type="dxa"/>
          </w:tcPr>
          <w:p w14:paraId="4E5E61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w:t>
            </w:r>
          </w:p>
        </w:tc>
      </w:tr>
      <w:tr w:rsidR="00A907A5" w:rsidRPr="00271E51" w14:paraId="7D975995" w14:textId="77777777" w:rsidTr="00ED5B0A">
        <w:tc>
          <w:tcPr>
            <w:tcW w:w="5070" w:type="dxa"/>
          </w:tcPr>
          <w:p w14:paraId="342184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01" w:type="dxa"/>
          </w:tcPr>
          <w:p w14:paraId="04D51F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w:t>
            </w:r>
          </w:p>
        </w:tc>
        <w:tc>
          <w:tcPr>
            <w:tcW w:w="3101" w:type="dxa"/>
          </w:tcPr>
          <w:p w14:paraId="7F2D07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АВ-5</w:t>
            </w:r>
          </w:p>
        </w:tc>
      </w:tr>
      <w:tr w:rsidR="00A907A5" w:rsidRPr="00271E51" w14:paraId="632DE456" w14:textId="77777777" w:rsidTr="00ED5B0A">
        <w:tc>
          <w:tcPr>
            <w:tcW w:w="5070" w:type="dxa"/>
          </w:tcPr>
          <w:p w14:paraId="325494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на режиме пов. боевой мощности</w:t>
            </w:r>
          </w:p>
        </w:tc>
        <w:tc>
          <w:tcPr>
            <w:tcW w:w="3101" w:type="dxa"/>
          </w:tcPr>
          <w:p w14:paraId="71D797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w:t>
            </w:r>
          </w:p>
        </w:tc>
        <w:tc>
          <w:tcPr>
            <w:tcW w:w="3101" w:type="dxa"/>
          </w:tcPr>
          <w:p w14:paraId="76D4F7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562</w:t>
            </w:r>
          </w:p>
        </w:tc>
      </w:tr>
      <w:tr w:rsidR="00A907A5" w:rsidRPr="00271E51" w14:paraId="01655C71" w14:textId="77777777" w:rsidTr="00ED5B0A">
        <w:tc>
          <w:tcPr>
            <w:tcW w:w="5070" w:type="dxa"/>
          </w:tcPr>
          <w:p w14:paraId="729D9E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 гр. высотности (1700 м)</w:t>
            </w:r>
          </w:p>
        </w:tc>
        <w:tc>
          <w:tcPr>
            <w:tcW w:w="3101" w:type="dxa"/>
          </w:tcPr>
          <w:p w14:paraId="23CD8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w:t>
            </w:r>
          </w:p>
        </w:tc>
        <w:tc>
          <w:tcPr>
            <w:tcW w:w="3101" w:type="dxa"/>
          </w:tcPr>
          <w:p w14:paraId="1FBBC4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603</w:t>
            </w:r>
          </w:p>
        </w:tc>
      </w:tr>
      <w:tr w:rsidR="00A907A5" w:rsidRPr="00271E51" w14:paraId="756F33AA" w14:textId="77777777" w:rsidTr="00ED5B0A">
        <w:tc>
          <w:tcPr>
            <w:tcW w:w="5070" w:type="dxa"/>
          </w:tcPr>
          <w:p w14:paraId="289818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 высотности (6100 м)</w:t>
            </w:r>
          </w:p>
        </w:tc>
        <w:tc>
          <w:tcPr>
            <w:tcW w:w="3101" w:type="dxa"/>
          </w:tcPr>
          <w:p w14:paraId="6DF351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w:t>
            </w:r>
          </w:p>
        </w:tc>
        <w:tc>
          <w:tcPr>
            <w:tcW w:w="3101" w:type="dxa"/>
          </w:tcPr>
          <w:p w14:paraId="2A8618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tc>
      </w:tr>
      <w:tr w:rsidR="00A907A5" w:rsidRPr="00271E51" w14:paraId="1768C027" w14:textId="77777777" w:rsidTr="00ED5B0A">
        <w:tc>
          <w:tcPr>
            <w:tcW w:w="5070" w:type="dxa"/>
          </w:tcPr>
          <w:p w14:paraId="461E05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w:t>
            </w:r>
          </w:p>
        </w:tc>
        <w:tc>
          <w:tcPr>
            <w:tcW w:w="3101" w:type="dxa"/>
          </w:tcPr>
          <w:p w14:paraId="08C147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3101" w:type="dxa"/>
          </w:tcPr>
          <w:p w14:paraId="79E313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r w:rsidR="00A907A5" w:rsidRPr="00271E51" w14:paraId="03C4D690" w14:textId="77777777" w:rsidTr="00ED5B0A">
        <w:tc>
          <w:tcPr>
            <w:tcW w:w="5070" w:type="dxa"/>
          </w:tcPr>
          <w:p w14:paraId="28A054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w:t>
            </w:r>
          </w:p>
        </w:tc>
        <w:tc>
          <w:tcPr>
            <w:tcW w:w="3101" w:type="dxa"/>
          </w:tcPr>
          <w:p w14:paraId="29E17A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tc>
        <w:tc>
          <w:tcPr>
            <w:tcW w:w="3101" w:type="dxa"/>
          </w:tcPr>
          <w:p w14:paraId="4A3239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bl>
    <w:p w14:paraId="316816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Устранение неполноты выработки бензина из крыльевых бензобаков Ла-5</w:t>
      </w:r>
    </w:p>
    <w:p w14:paraId="01310B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Иногда при 100 л мотор обрезает</w:t>
      </w:r>
    </w:p>
    <w:p w14:paraId="518D0E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эксплуатации с-тов Ла-5 наблюдается недовыработка бензина из крыльевых бензобаков, являющаяся следствием заполнения дренажных трубок крыльевых бензобаков бензином. В некоторых случаях при наличии в системе до 100 литров бензина мотор обрезает.</w:t>
      </w:r>
    </w:p>
    <w:p w14:paraId="2B66B5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этого дефекта в дренажных трубках крыльевых бензобаков, проходящих внутри бензобаков, были просверлены сливные отверстия диаметром 8 мм.</w:t>
      </w:r>
    </w:p>
    <w:p w14:paraId="1E501D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мероприятие устранило разность давлений в крыльевых и центральном бензобаках, доходившую при серийном дренаже до 50 мм вод. ст.</w:t>
      </w:r>
    </w:p>
    <w:p w14:paraId="029B7A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Бензосистема при наличии отверстий в дренажных трубках работает бесперебойно; обрезаний мотора в полете не наблюдалось.</w:t>
      </w:r>
    </w:p>
    <w:p w14:paraId="21B5A4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результатов испытаний ЛИИ рекомендует на эксплуатирующих в частях ВВС с-тах Ла-5 сделать сверления в дренажных трубках внутри крыльевых бензобаков, а не вновь строящихся с-тах дренажные трубки, проходящие внутри бензобаков, изъять.</w:t>
      </w:r>
    </w:p>
    <w:p w14:paraId="5075E0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Проверка в полете равномерности распределения температур головок цилиндров М-82 с системой дефлектирования ЦАГИ</w:t>
      </w:r>
    </w:p>
    <w:p w14:paraId="5542EE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показали летные и лабораторные испытания в ЛИИ и ЦАГИ, распределение температур головок цилиндров мотора М-82 с серийными дефлекторами на с-те Ла-5 является весьма неравномерным. В целях получения более равномерного распределения температур по цилиндрам, в ЦАГИ, на основании лабораторных испытаний, были уменьшены выходные сечения дефлекторов цилиндров, имеющих низкие температуры, что привело к уменьшению расходов воздуха через эти дефлекторы и к повышению температур головок цилиндров. Система дефлектирования мотора М-82 на с-те Ла-5, разработанная ЦАГИ, обеспечивает равномерное распределение температур головок цилиндров, что подтверждается летными испытаниями в ЛИИ. Наибольшее расхождение между температурой головки самого горячего цилиндра (первый цилиндр) и самого холодного цилиндра (второй цилиндр), полученное в летных испытаниях, порядка 40 градусов Ц. Разница в температурах головок остальных цилиндров колеблется в пределах 20-25 градусов Ц. Работа продолжается.</w:t>
      </w:r>
    </w:p>
    <w:p w14:paraId="03B2DE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Испытание суфлерного бачка ЦИАМ для маслосистемы Ла-5</w:t>
      </w:r>
    </w:p>
    <w:p w14:paraId="001B6C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устранения дефекта выброса масла на с-те Ла-5, ЦИАМ рекомендовал для моторов М-82 новую схему суфлирования мотора и маслобака с применением специального маслоуловительного бачка по типу бачков на моторах BMW-801А.</w:t>
      </w:r>
    </w:p>
    <w:p w14:paraId="370F93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Летными испытаниями новой системы суфлирования с маслоуловительным бачком на серийном с-те Ла-5 ФН установлено, что при заправке маслобака маслом в количестве 40 кг в полете на разных режимах до высоты 8000 м выброса масла не наблюдалось.</w:t>
      </w:r>
    </w:p>
    <w:p w14:paraId="6B990A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Максимально допустимая заправка маслом нормальной серийной системы с-та Ла-5 ФН, при которой не наблюдается выброса масла, не выше 35 кг.</w:t>
      </w:r>
    </w:p>
    <w:p w14:paraId="6935E4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результатов испытаний маслоуловительный бачок рекомендуется для применения на самолетах, на которых имеет место выброс масла.</w:t>
      </w:r>
    </w:p>
    <w:p w14:paraId="538C5F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Испытание Ла-5 на устойчивость - на N 43210109 с М-82Ф</w:t>
      </w:r>
    </w:p>
    <w:p w14:paraId="4B25E5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с-та Ла-5 УТИ N 43210109 с мотором М-82 Ф.</w:t>
      </w:r>
    </w:p>
    <w:p w14:paraId="07EB29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получено, что</w:t>
      </w:r>
    </w:p>
    <w:p w14:paraId="63A3E2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Продольная устойчивость с-та недостаточна и благодаря смещению центровки назад хуже, чем у серийного с-та Ла-5.</w:t>
      </w:r>
    </w:p>
    <w:p w14:paraId="214566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Запас устойчивости пути у с-та Ла-5 УТИ недостаточен.</w:t>
      </w:r>
    </w:p>
    <w:p w14:paraId="7E70A2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Рекомендовано:</w:t>
      </w:r>
    </w:p>
    <w:p w14:paraId="42124A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улучшения продольной устойчивости с-та со свободным рулем высоты (при сохранении существующей центровки) установить в систему управления рулем высоты контрбалансир, создающий на ручке дополнительное усилие порядка 2-4 кг.</w:t>
      </w:r>
    </w:p>
    <w:p w14:paraId="52B223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Для улучшения путевой устойчивости увеличить площадь вертикального оперения на 15-20% в соответствии с данными ранее рекомендациями ЛИИ для с-та Ла-5.</w:t>
      </w:r>
    </w:p>
    <w:p w14:paraId="17091E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Испытание Ла-5 с измененными ЦАГИ консолями (без предкрылков - характеристики срыва ухудшились).</w:t>
      </w:r>
    </w:p>
    <w:p w14:paraId="53E0FA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с-та Ла-5 с измененными консолями (без предкрылков) установлено, что характеристики срыва по сравнению с серийным самолетом заметно ухудшились.</w:t>
      </w:r>
    </w:p>
    <w:p w14:paraId="78E9EA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на полном газе и на планировании при перетягивании ручки "на себя" с-т сваливается на крыло и входит в штопор.</w:t>
      </w:r>
    </w:p>
    <w:p w14:paraId="40D381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резкости срыва с-т близок к серийному Лагг-3 без предкрылков.</w:t>
      </w:r>
    </w:p>
    <w:p w14:paraId="0D201D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Разработка и внедрение новой приборной доски для Ла-5 (спроектирована в ЛИИ).</w:t>
      </w:r>
    </w:p>
    <w:p w14:paraId="240784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эксплуатации приборного оборудования с-та Ла-5 в ЛИИ выявлено, что существующая приборная доска обладает следующими недостатками:</w:t>
      </w:r>
    </w:p>
    <w:p w14:paraId="4F7A55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Разбросанность приборов навигационной и моторной группы затрудняет наблюдение летчика за ними.</w:t>
      </w:r>
    </w:p>
    <w:p w14:paraId="233438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Монтаж и демонтаж приборов, в особенности связанных жесткими подводками, чрезвычайно затруднителен из-за отсутствия подходов к пространству за приборной доской.</w:t>
      </w:r>
    </w:p>
    <w:p w14:paraId="255B76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Наличие дополнительной панели (экрана) оставшейся от подсвета приборов отраженным светом и загораживающей части шкал приборов, вынуждает летчика отклоняться на сидении для наблюдения за показаниями приборов.</w:t>
      </w:r>
    </w:p>
    <w:p w14:paraId="40EF44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ЛИИ была спроектирована, изготовлена и испытана на с-тах Ла-5 и Лагг-3 приборная доска, простая в производстве и свободная от указанных недостатков:</w:t>
      </w:r>
    </w:p>
    <w:p w14:paraId="361E4F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Приборы, за небольшим исключением, расположены в соответствии с рекомендуемым стандартом.</w:t>
      </w:r>
    </w:p>
    <w:p w14:paraId="43DB84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Монтаж приборов значительно упростился, т.к. доска снабжена откидной (или съемной) средней частью.</w:t>
      </w:r>
    </w:p>
    <w:p w14:paraId="577582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Дополнительная панель (экран) подсвета изъята.</w:t>
      </w:r>
    </w:p>
    <w:p w14:paraId="5229B2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Приборная доска одобрена НИИ ВВС и рекомендована для внедрения в серию.</w:t>
      </w:r>
    </w:p>
    <w:p w14:paraId="24BE03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Чертежи и макет доски переданы ОКБ Лавочкина. Заводом совместно с представителем ЛИИ разработан серийный вариант приборной доски.</w:t>
      </w:r>
    </w:p>
    <w:p w14:paraId="2886C3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испытания на Ла-5 амортизаторов шасси с увеличенным ходом (220 мм).</w:t>
      </w:r>
    </w:p>
    <w:p w14:paraId="5510ED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испытаниях проверялось качество работы амортизаторов шасси с ходом 220 мм и производился подбор рационального режима их зарядки. Испытанием амортизаторов с зарядкой, рекомендованной з-дом (начальное давление воздуха 40 атм, количество жидкости 550 см куб.) установлено, что амортизация при этой зарядке жестка как на рулежках, так и на посадках; использование хода амортизаторов недостаточное.</w:t>
      </w:r>
    </w:p>
    <w:p w14:paraId="057CC2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проведенных испытаний рекомендован новый режим зарядки (начальное давление воздуха - 25 атм., количество жидкости - 800 см куб.), который обеспечивает мягкую амортизацию на рулежках и посадках и одновременно обеспечивает запас хода амортизаторов для случаев грубой посадки. Кроме мягкости амортизации рекомендованный режим зарядки обеспечивает хорошее демпфирование энергии, благодаря чему уменьшены колебания с-та при посадках и пробегах.</w:t>
      </w:r>
    </w:p>
    <w:p w14:paraId="1E4DD2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Составляется отчет.</w:t>
      </w:r>
    </w:p>
    <w:p w14:paraId="2A94A6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Як-9</w:t>
      </w:r>
    </w:p>
    <w:p w14:paraId="23D58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Доводка мотора М-107 и моторного оборудования Як-9 с М-107А</w:t>
      </w:r>
    </w:p>
    <w:p w14:paraId="517630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предварительной доводки винтомоторной группы М-107А (см. отчет ЛИИ за август и сентябрь) были определены скорости с-та Як-9 с М-107 по высотам.</w:t>
      </w:r>
    </w:p>
    <w:p w14:paraId="3E1DC2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D76E04F" w14:textId="77777777" w:rsidTr="00ED5B0A">
        <w:tc>
          <w:tcPr>
            <w:tcW w:w="5636" w:type="dxa"/>
          </w:tcPr>
          <w:p w14:paraId="16BE84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25EF03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566 км/час</w:t>
            </w:r>
          </w:p>
        </w:tc>
      </w:tr>
      <w:tr w:rsidR="00A907A5" w:rsidRPr="00271E51" w14:paraId="4CD5F6DA" w14:textId="77777777" w:rsidTr="00ED5B0A">
        <w:tc>
          <w:tcPr>
            <w:tcW w:w="5636" w:type="dxa"/>
          </w:tcPr>
          <w:p w14:paraId="348813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 гр.</w:t>
            </w:r>
          </w:p>
        </w:tc>
        <w:tc>
          <w:tcPr>
            <w:tcW w:w="5636" w:type="dxa"/>
          </w:tcPr>
          <w:p w14:paraId="63624A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3F1106" w14:textId="77777777" w:rsidTr="00ED5B0A">
        <w:tc>
          <w:tcPr>
            <w:tcW w:w="5636" w:type="dxa"/>
          </w:tcPr>
          <w:p w14:paraId="476BE6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(Н=3000 м)</w:t>
            </w:r>
          </w:p>
        </w:tc>
        <w:tc>
          <w:tcPr>
            <w:tcW w:w="5636" w:type="dxa"/>
          </w:tcPr>
          <w:p w14:paraId="1172FC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632 км/час</w:t>
            </w:r>
          </w:p>
        </w:tc>
      </w:tr>
      <w:tr w:rsidR="00A907A5" w:rsidRPr="00271E51" w14:paraId="0A0F9A22" w14:textId="77777777" w:rsidTr="00ED5B0A">
        <w:tc>
          <w:tcPr>
            <w:tcW w:w="5636" w:type="dxa"/>
          </w:tcPr>
          <w:p w14:paraId="257CCB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w:t>
            </w:r>
          </w:p>
        </w:tc>
        <w:tc>
          <w:tcPr>
            <w:tcW w:w="5636" w:type="dxa"/>
          </w:tcPr>
          <w:p w14:paraId="3FA723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6DB83D" w14:textId="77777777" w:rsidTr="00ED5B0A">
        <w:tc>
          <w:tcPr>
            <w:tcW w:w="5636" w:type="dxa"/>
          </w:tcPr>
          <w:p w14:paraId="1398C3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(Н=5650 м)</w:t>
            </w:r>
          </w:p>
        </w:tc>
        <w:tc>
          <w:tcPr>
            <w:tcW w:w="5636" w:type="dxa"/>
          </w:tcPr>
          <w:p w14:paraId="668BF6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662 км/час</w:t>
            </w:r>
          </w:p>
        </w:tc>
      </w:tr>
      <w:tr w:rsidR="00A907A5" w:rsidRPr="00271E51" w14:paraId="74D2B958" w14:textId="77777777" w:rsidTr="00ED5B0A">
        <w:tc>
          <w:tcPr>
            <w:tcW w:w="5636" w:type="dxa"/>
          </w:tcPr>
          <w:p w14:paraId="6641BF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следующих условиях:</w:t>
            </w:r>
          </w:p>
        </w:tc>
        <w:tc>
          <w:tcPr>
            <w:tcW w:w="5636" w:type="dxa"/>
          </w:tcPr>
          <w:p w14:paraId="0365D6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D653A9" w14:textId="77777777" w:rsidTr="00ED5B0A">
        <w:tc>
          <w:tcPr>
            <w:tcW w:w="5636" w:type="dxa"/>
          </w:tcPr>
          <w:p w14:paraId="531D5D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давление наддува на</w:t>
            </w:r>
          </w:p>
        </w:tc>
        <w:tc>
          <w:tcPr>
            <w:tcW w:w="5636" w:type="dxa"/>
          </w:tcPr>
          <w:p w14:paraId="289428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DC97D6" w14:textId="77777777" w:rsidTr="00ED5B0A">
        <w:tc>
          <w:tcPr>
            <w:tcW w:w="5636" w:type="dxa"/>
          </w:tcPr>
          <w:p w14:paraId="77546A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земле</w:t>
            </w:r>
          </w:p>
        </w:tc>
        <w:tc>
          <w:tcPr>
            <w:tcW w:w="5636" w:type="dxa"/>
          </w:tcPr>
          <w:p w14:paraId="7C7D6D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 мм рт. ст.</w:t>
            </w:r>
          </w:p>
        </w:tc>
      </w:tr>
      <w:tr w:rsidR="00A907A5" w:rsidRPr="00271E51" w14:paraId="54CC20CE" w14:textId="77777777" w:rsidTr="00ED5B0A">
        <w:tc>
          <w:tcPr>
            <w:tcW w:w="5636" w:type="dxa"/>
          </w:tcPr>
          <w:p w14:paraId="13B9DC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обороты мотора</w:t>
            </w:r>
          </w:p>
        </w:tc>
        <w:tc>
          <w:tcPr>
            <w:tcW w:w="5636" w:type="dxa"/>
          </w:tcPr>
          <w:p w14:paraId="5C4B6E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3200 об/мин.</w:t>
            </w:r>
          </w:p>
        </w:tc>
      </w:tr>
      <w:tr w:rsidR="00A907A5" w:rsidRPr="00271E51" w14:paraId="77B960FE" w14:textId="77777777" w:rsidTr="00ED5B0A">
        <w:tc>
          <w:tcPr>
            <w:tcW w:w="5636" w:type="dxa"/>
          </w:tcPr>
          <w:p w14:paraId="361369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предельно-допустимая</w:t>
            </w:r>
          </w:p>
        </w:tc>
        <w:tc>
          <w:tcPr>
            <w:tcW w:w="5636" w:type="dxa"/>
          </w:tcPr>
          <w:p w14:paraId="21C759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46E9C3" w14:textId="77777777" w:rsidTr="00ED5B0A">
        <w:tc>
          <w:tcPr>
            <w:tcW w:w="5636" w:type="dxa"/>
          </w:tcPr>
          <w:p w14:paraId="1DCAEC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воды</w:t>
            </w:r>
          </w:p>
        </w:tc>
        <w:tc>
          <w:tcPr>
            <w:tcW w:w="5636" w:type="dxa"/>
          </w:tcPr>
          <w:p w14:paraId="0CEB70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 градусов Ц</w:t>
            </w:r>
          </w:p>
        </w:tc>
      </w:tr>
      <w:tr w:rsidR="00A907A5" w:rsidRPr="00271E51" w14:paraId="19710E46" w14:textId="77777777" w:rsidTr="00ED5B0A">
        <w:tc>
          <w:tcPr>
            <w:tcW w:w="5636" w:type="dxa"/>
          </w:tcPr>
          <w:p w14:paraId="1E82B7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масла</w:t>
            </w:r>
          </w:p>
        </w:tc>
        <w:tc>
          <w:tcPr>
            <w:tcW w:w="5636" w:type="dxa"/>
          </w:tcPr>
          <w:p w14:paraId="17D31F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 градусов Ц</w:t>
            </w:r>
          </w:p>
        </w:tc>
      </w:tr>
      <w:tr w:rsidR="00A907A5" w:rsidRPr="00271E51" w14:paraId="32544EE8" w14:textId="77777777" w:rsidTr="00ED5B0A">
        <w:tc>
          <w:tcPr>
            <w:tcW w:w="5636" w:type="dxa"/>
          </w:tcPr>
          <w:p w14:paraId="213D62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Заслонки туннелей</w:t>
            </w:r>
          </w:p>
        </w:tc>
        <w:tc>
          <w:tcPr>
            <w:tcW w:w="5636" w:type="dxa"/>
          </w:tcPr>
          <w:p w14:paraId="4AF4F4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72E474" w14:textId="77777777" w:rsidTr="00ED5B0A">
        <w:tc>
          <w:tcPr>
            <w:tcW w:w="5636" w:type="dxa"/>
          </w:tcPr>
          <w:p w14:paraId="6763D8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маслорадиаторов открыты</w:t>
            </w:r>
          </w:p>
        </w:tc>
        <w:tc>
          <w:tcPr>
            <w:tcW w:w="5636" w:type="dxa"/>
          </w:tcPr>
          <w:p w14:paraId="7C774A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83F607" w14:textId="77777777" w:rsidTr="00ED5B0A">
        <w:tc>
          <w:tcPr>
            <w:tcW w:w="5636" w:type="dxa"/>
          </w:tcPr>
          <w:p w14:paraId="5DB2ED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5636" w:type="dxa"/>
          </w:tcPr>
          <w:p w14:paraId="34545D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 мм</w:t>
            </w:r>
          </w:p>
        </w:tc>
      </w:tr>
      <w:tr w:rsidR="00A907A5" w:rsidRPr="00271E51" w14:paraId="2C84613A" w14:textId="77777777" w:rsidTr="00ED5B0A">
        <w:tc>
          <w:tcPr>
            <w:tcW w:w="5636" w:type="dxa"/>
          </w:tcPr>
          <w:p w14:paraId="188226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Макс. скорости</w:t>
            </w:r>
          </w:p>
        </w:tc>
        <w:tc>
          <w:tcPr>
            <w:tcW w:w="5636" w:type="dxa"/>
          </w:tcPr>
          <w:p w14:paraId="541108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337A06" w14:textId="77777777" w:rsidTr="00ED5B0A">
        <w:tc>
          <w:tcPr>
            <w:tcW w:w="5636" w:type="dxa"/>
          </w:tcPr>
          <w:p w14:paraId="6D92C1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приведены к положению</w:t>
            </w:r>
          </w:p>
        </w:tc>
        <w:tc>
          <w:tcPr>
            <w:tcW w:w="5636" w:type="dxa"/>
          </w:tcPr>
          <w:p w14:paraId="320393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44B8BA" w14:textId="77777777" w:rsidTr="00ED5B0A">
        <w:tc>
          <w:tcPr>
            <w:tcW w:w="5636" w:type="dxa"/>
          </w:tcPr>
          <w:p w14:paraId="27DD18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заслонки водорадиатора,</w:t>
            </w:r>
          </w:p>
        </w:tc>
        <w:tc>
          <w:tcPr>
            <w:tcW w:w="5636" w:type="dxa"/>
          </w:tcPr>
          <w:p w14:paraId="67F7B0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CF0105" w14:textId="77777777" w:rsidTr="00ED5B0A">
        <w:tc>
          <w:tcPr>
            <w:tcW w:w="5636" w:type="dxa"/>
          </w:tcPr>
          <w:p w14:paraId="7B6F7E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открытому на</w:t>
            </w:r>
          </w:p>
        </w:tc>
        <w:tc>
          <w:tcPr>
            <w:tcW w:w="5636" w:type="dxa"/>
          </w:tcPr>
          <w:p w14:paraId="7F55DB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мм</w:t>
            </w:r>
          </w:p>
        </w:tc>
      </w:tr>
    </w:tbl>
    <w:p w14:paraId="6F66E7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Упоры для бомб</w:t>
      </w:r>
    </w:p>
    <w:p w14:paraId="59C6F7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отсутствуют</w:t>
      </w:r>
    </w:p>
    <w:p w14:paraId="4101DD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оп доводке ВМГ продолжается.</w:t>
      </w:r>
    </w:p>
    <w:p w14:paraId="7F9123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Як-9 с М-106ПД (с Э-100).</w:t>
      </w:r>
    </w:p>
    <w:p w14:paraId="7E027A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с-те Як-9 был установлен опытный мотор М-106 ПД с нагнетателем Э-100.</w:t>
      </w:r>
    </w:p>
    <w:p w14:paraId="401CFE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Произведенное ЦИАМ"ом улучшение нагнетателя Э-100 значительно увеличило высотность мотора.</w:t>
      </w:r>
    </w:p>
    <w:p w14:paraId="334D0D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испытании с-та Як-9 с М-106 ПД в полете была достигнута высота по прибору летчика 12800 м, что соответствует 13000 м в стандартных условиях. Эта высота является практическим потолком с-та с мотором М-106 ПД, так как скороподъемность на указанной высоте равна 0,5-0,75 м/сек.</w:t>
      </w:r>
    </w:p>
    <w:p w14:paraId="2E1844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Дальнейший набор высоты был невозможен в виду падения давления масла в главной магистрали мотора до 2,8 кг/ см кв.</w:t>
      </w:r>
    </w:p>
    <w:p w14:paraId="7406BF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увеличения давления масла путем увеличения высотности нагнетающей маслопомпы мотора предполагалось увеличить давление в маслобаке до 0,20 кг/см кв. С этой целью маслобак был проверен на з-де N 115 под давлением 0,40-0,50 кг/см кв.</w:t>
      </w:r>
    </w:p>
    <w:p w14:paraId="41F615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с-та продолжаются.</w:t>
      </w:r>
    </w:p>
    <w:p w14:paraId="1895E6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Москит</w:t>
      </w:r>
    </w:p>
    <w:p w14:paraId="49B900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Москит улучшенного ЦАГИ - Як-1 Москит</w:t>
      </w:r>
    </w:p>
    <w:p w14:paraId="595B41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Начаты летные испытания с-та Як-1 "МОСКИТ", улучшенного ЦАГИ. Сделано 5 полетов.</w:t>
      </w:r>
    </w:p>
    <w:p w14:paraId="1CF6C5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p w14:paraId="41F1B3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при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043881FF" w14:textId="77777777" w:rsidTr="00ED5B0A">
        <w:tc>
          <w:tcPr>
            <w:tcW w:w="5636" w:type="dxa"/>
          </w:tcPr>
          <w:p w14:paraId="706DD5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п=2700 об/мин и Рк=1060 мм рт. ст.</w:t>
            </w:r>
          </w:p>
        </w:tc>
        <w:tc>
          <w:tcPr>
            <w:tcW w:w="5636" w:type="dxa"/>
          </w:tcPr>
          <w:p w14:paraId="409DE3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573 км/час</w:t>
            </w:r>
          </w:p>
        </w:tc>
      </w:tr>
      <w:tr w:rsidR="00A907A5" w:rsidRPr="00271E51" w14:paraId="23231BF8" w14:textId="77777777" w:rsidTr="00ED5B0A">
        <w:tc>
          <w:tcPr>
            <w:tcW w:w="5636" w:type="dxa"/>
          </w:tcPr>
          <w:p w14:paraId="06DFBD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скорости</w:t>
            </w:r>
          </w:p>
        </w:tc>
        <w:tc>
          <w:tcPr>
            <w:tcW w:w="5636" w:type="dxa"/>
          </w:tcPr>
          <w:p w14:paraId="506DE6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225A1C" w14:textId="77777777" w:rsidTr="00ED5B0A">
        <w:tc>
          <w:tcPr>
            <w:tcW w:w="5636" w:type="dxa"/>
          </w:tcPr>
          <w:p w14:paraId="14F4BC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нагнетателя при п=2700 об/мин и</w:t>
            </w:r>
          </w:p>
        </w:tc>
        <w:tc>
          <w:tcPr>
            <w:tcW w:w="5636" w:type="dxa"/>
          </w:tcPr>
          <w:p w14:paraId="0BF453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552DE25" w14:textId="77777777" w:rsidTr="00ED5B0A">
        <w:tc>
          <w:tcPr>
            <w:tcW w:w="5636" w:type="dxa"/>
          </w:tcPr>
          <w:p w14:paraId="3BE7B5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Рк=1100 мм рт. ст. на высоте</w:t>
            </w:r>
          </w:p>
        </w:tc>
        <w:tc>
          <w:tcPr>
            <w:tcW w:w="5636" w:type="dxa"/>
          </w:tcPr>
          <w:p w14:paraId="4337F8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F094FC" w14:textId="77777777" w:rsidTr="00ED5B0A">
        <w:tc>
          <w:tcPr>
            <w:tcW w:w="5636" w:type="dxa"/>
          </w:tcPr>
          <w:p w14:paraId="672123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4500 м</w:t>
            </w:r>
          </w:p>
        </w:tc>
        <w:tc>
          <w:tcPr>
            <w:tcW w:w="5636" w:type="dxa"/>
          </w:tcPr>
          <w:p w14:paraId="7D5DF0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653 км/час</w:t>
            </w:r>
          </w:p>
        </w:tc>
      </w:tr>
    </w:tbl>
    <w:p w14:paraId="039035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продолжаются.</w:t>
      </w:r>
    </w:p>
    <w:p w14:paraId="4E6BEF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Як-1</w:t>
      </w:r>
    </w:p>
    <w:p w14:paraId="1DDF5E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серийных Як-1 (N 01155 производства 292 в октябре 1943) - отсос щитков в полете, неудовлетворительная подгонка шасси</w:t>
      </w:r>
    </w:p>
    <w:p w14:paraId="1D2F24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с-та N 01155 производства завода N 292 октябрьского выпуска.</w:t>
      </w:r>
    </w:p>
    <w:p w14:paraId="349904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9B2965C" w14:textId="77777777" w:rsidTr="00ED5B0A">
        <w:tc>
          <w:tcPr>
            <w:tcW w:w="5636" w:type="dxa"/>
          </w:tcPr>
          <w:p w14:paraId="6D58B6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7F4F21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 км/час</w:t>
            </w:r>
          </w:p>
        </w:tc>
      </w:tr>
      <w:tr w:rsidR="00A907A5" w:rsidRPr="00271E51" w14:paraId="49EA961C" w14:textId="77777777" w:rsidTr="00ED5B0A">
        <w:tc>
          <w:tcPr>
            <w:tcW w:w="5636" w:type="dxa"/>
          </w:tcPr>
          <w:p w14:paraId="733EFD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w:t>
            </w:r>
          </w:p>
        </w:tc>
        <w:tc>
          <w:tcPr>
            <w:tcW w:w="5636" w:type="dxa"/>
          </w:tcPr>
          <w:p w14:paraId="528817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A02158" w14:textId="77777777" w:rsidTr="00ED5B0A">
        <w:tc>
          <w:tcPr>
            <w:tcW w:w="5636" w:type="dxa"/>
          </w:tcPr>
          <w:p w14:paraId="478D98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(Н=4150 м)</w:t>
            </w:r>
          </w:p>
        </w:tc>
        <w:tc>
          <w:tcPr>
            <w:tcW w:w="5636" w:type="dxa"/>
          </w:tcPr>
          <w:p w14:paraId="1E196E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592 км/час</w:t>
            </w:r>
          </w:p>
        </w:tc>
      </w:tr>
      <w:tr w:rsidR="00A907A5" w:rsidRPr="00271E51" w14:paraId="2214D8EA" w14:textId="77777777" w:rsidTr="00ED5B0A">
        <w:tc>
          <w:tcPr>
            <w:tcW w:w="5636" w:type="dxa"/>
          </w:tcPr>
          <w:p w14:paraId="2A2C1C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5636" w:type="dxa"/>
          </w:tcPr>
          <w:p w14:paraId="7949DF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21F596" w14:textId="77777777" w:rsidTr="00ED5B0A">
        <w:tc>
          <w:tcPr>
            <w:tcW w:w="5636" w:type="dxa"/>
          </w:tcPr>
          <w:p w14:paraId="14D250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5636" w:type="dxa"/>
          </w:tcPr>
          <w:p w14:paraId="635850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 мин.</w:t>
            </w:r>
          </w:p>
        </w:tc>
      </w:tr>
    </w:tbl>
    <w:p w14:paraId="07D75F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6C69FE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Отсос посадочных щитков в полете.</w:t>
      </w:r>
    </w:p>
    <w:p w14:paraId="39597D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Неудовлетворительная подготовка шасси.</w:t>
      </w:r>
    </w:p>
    <w:p w14:paraId="392858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Як-7</w:t>
      </w:r>
    </w:p>
    <w:p w14:paraId="5BE461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серийных Як-7 (N 5180 производства 153 в сентябре 1943).</w:t>
      </w:r>
    </w:p>
    <w:p w14:paraId="637A9D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с-та Як-7 N 5180 производства з-да N 153 сентябрьского выпуска.</w:t>
      </w:r>
    </w:p>
    <w:p w14:paraId="71F6C1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DD0F954" w14:textId="77777777" w:rsidTr="00ED5B0A">
        <w:tc>
          <w:tcPr>
            <w:tcW w:w="5636" w:type="dxa"/>
          </w:tcPr>
          <w:p w14:paraId="2274E5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798DB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536 км/час</w:t>
            </w:r>
          </w:p>
        </w:tc>
      </w:tr>
      <w:tr w:rsidR="00A907A5" w:rsidRPr="00271E51" w14:paraId="17AB1175" w14:textId="77777777" w:rsidTr="00ED5B0A">
        <w:tc>
          <w:tcPr>
            <w:tcW w:w="5636" w:type="dxa"/>
          </w:tcPr>
          <w:p w14:paraId="64F9EF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w:t>
            </w:r>
          </w:p>
        </w:tc>
        <w:tc>
          <w:tcPr>
            <w:tcW w:w="5636" w:type="dxa"/>
          </w:tcPr>
          <w:p w14:paraId="636794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51A987" w14:textId="77777777" w:rsidTr="00ED5B0A">
        <w:tc>
          <w:tcPr>
            <w:tcW w:w="5636" w:type="dxa"/>
          </w:tcPr>
          <w:p w14:paraId="18C969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(Н=3900 м)</w:t>
            </w:r>
          </w:p>
        </w:tc>
        <w:tc>
          <w:tcPr>
            <w:tcW w:w="5636" w:type="dxa"/>
          </w:tcPr>
          <w:p w14:paraId="01F295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 км/час</w:t>
            </w:r>
          </w:p>
        </w:tc>
      </w:tr>
      <w:tr w:rsidR="00A907A5" w:rsidRPr="00271E51" w14:paraId="7F285774" w14:textId="77777777" w:rsidTr="00ED5B0A">
        <w:tc>
          <w:tcPr>
            <w:tcW w:w="5636" w:type="dxa"/>
          </w:tcPr>
          <w:p w14:paraId="21E173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5636" w:type="dxa"/>
          </w:tcPr>
          <w:p w14:paraId="610B07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2963CF" w14:textId="77777777" w:rsidTr="00ED5B0A">
        <w:tc>
          <w:tcPr>
            <w:tcW w:w="5636" w:type="dxa"/>
          </w:tcPr>
          <w:p w14:paraId="49AFF7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5636" w:type="dxa"/>
          </w:tcPr>
          <w:p w14:paraId="7EAB35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 мин.</w:t>
            </w:r>
          </w:p>
        </w:tc>
      </w:tr>
    </w:tbl>
    <w:p w14:paraId="13E6A7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амортизации шасси Як-7</w:t>
      </w:r>
    </w:p>
    <w:p w14:paraId="12B7DF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двух экземпляров с-тов Як-7 установлено, что амортизаторы шасси плохо реагируют на изменения нагрузок, приложенных к колесам, в результате чего значительная часть пробегов и рулежек с-тов происходит на неработающих амортизаторах (как на необжатых, так и на обжатых амортизаторах).</w:t>
      </w:r>
    </w:p>
    <w:p w14:paraId="330588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установлено, что причинами этого является следующее:</w:t>
      </w:r>
    </w:p>
    <w:p w14:paraId="7652FC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Плохая затяжка или ослабление гайки, соединяющей нижнюю надставку цилиндра амортизатора с самим цилиндром, благодаря чему имело место защемление поршня в цилиндре амортизатора.</w:t>
      </w:r>
    </w:p>
    <w:p w14:paraId="689D7A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Трение поршня амортизатора о гайку, служащую для затяжки манжет.</w:t>
      </w:r>
    </w:p>
    <w:p w14:paraId="7C616A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Трение иглы (ныряла) в колодце поршня.</w:t>
      </w:r>
    </w:p>
    <w:p w14:paraId="40398F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устранения этих дефектов, а также после изъятия клапана, служащего для торможения жидкости при обратном ходе (распрямлении) амортизатора, работа амортизаторов значительно улучшилась; уменьшились вертикальные перегрузки в ц.т. с-та и увеличилась чувствительность амортизаторов к изменениям вертикальных перегрузок.</w:t>
      </w:r>
    </w:p>
    <w:p w14:paraId="7B3C6F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Составляется отчет.</w:t>
      </w:r>
    </w:p>
    <w:p w14:paraId="589F56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ЛаГГ-3</w:t>
      </w:r>
    </w:p>
    <w:p w14:paraId="73B33C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серийного ЛаГГ-3 (N 6631 производства 31 завода в сентябре 1943) - неудовлетворительное крепление всасывающих патрубков, плохая окраска крыльев и лопастей винта</w:t>
      </w:r>
    </w:p>
    <w:p w14:paraId="3E15A6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с-та Лагг-3 N 6631 производства з-да N 31 сентябрьского выпуска.</w:t>
      </w:r>
    </w:p>
    <w:p w14:paraId="5F9532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32BC0A3F" w14:textId="77777777" w:rsidTr="00ED5B0A">
        <w:tc>
          <w:tcPr>
            <w:tcW w:w="5636" w:type="dxa"/>
          </w:tcPr>
          <w:p w14:paraId="79CF0C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172648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537 км/час</w:t>
            </w:r>
          </w:p>
        </w:tc>
      </w:tr>
      <w:tr w:rsidR="00A907A5" w:rsidRPr="00271E51" w14:paraId="29A17160" w14:textId="77777777" w:rsidTr="00ED5B0A">
        <w:tc>
          <w:tcPr>
            <w:tcW w:w="5636" w:type="dxa"/>
          </w:tcPr>
          <w:p w14:paraId="72E1E5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w:t>
            </w:r>
          </w:p>
        </w:tc>
        <w:tc>
          <w:tcPr>
            <w:tcW w:w="5636" w:type="dxa"/>
          </w:tcPr>
          <w:p w14:paraId="5F3259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22314A" w14:textId="77777777" w:rsidTr="00ED5B0A">
        <w:tc>
          <w:tcPr>
            <w:tcW w:w="5636" w:type="dxa"/>
          </w:tcPr>
          <w:p w14:paraId="318747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(Н=3350 м,</w:t>
            </w:r>
          </w:p>
        </w:tc>
        <w:tc>
          <w:tcPr>
            <w:tcW w:w="5636" w:type="dxa"/>
          </w:tcPr>
          <w:p w14:paraId="2DDBE6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230EC4" w14:textId="77777777" w:rsidTr="00ED5B0A">
        <w:tc>
          <w:tcPr>
            <w:tcW w:w="5636" w:type="dxa"/>
          </w:tcPr>
          <w:p w14:paraId="02C9CF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п=2550 об/мин)</w:t>
            </w:r>
          </w:p>
        </w:tc>
        <w:tc>
          <w:tcPr>
            <w:tcW w:w="5636" w:type="dxa"/>
          </w:tcPr>
          <w:p w14:paraId="131B15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586 км/час</w:t>
            </w:r>
          </w:p>
        </w:tc>
      </w:tr>
      <w:tr w:rsidR="00A907A5" w:rsidRPr="00271E51" w14:paraId="61501400" w14:textId="77777777" w:rsidTr="00ED5B0A">
        <w:tc>
          <w:tcPr>
            <w:tcW w:w="5636" w:type="dxa"/>
          </w:tcPr>
          <w:p w14:paraId="08FA3E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5636" w:type="dxa"/>
          </w:tcPr>
          <w:p w14:paraId="033347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952372" w14:textId="77777777" w:rsidTr="00ED5B0A">
        <w:tc>
          <w:tcPr>
            <w:tcW w:w="5636" w:type="dxa"/>
          </w:tcPr>
          <w:p w14:paraId="581C31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5636" w:type="dxa"/>
          </w:tcPr>
          <w:p w14:paraId="4C9FE8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мин.</w:t>
            </w:r>
          </w:p>
        </w:tc>
      </w:tr>
    </w:tbl>
    <w:p w14:paraId="4D7D8A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дефекты:</w:t>
      </w:r>
    </w:p>
    <w:p w14:paraId="6429ED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неудовлетворительное крепление всасывающих патрубков, плохая окраска крыльев и лопастей винтов.</w:t>
      </w:r>
    </w:p>
    <w:p w14:paraId="3793F5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4289944" w14:textId="77777777" w:rsidTr="00ED5B0A">
        <w:tc>
          <w:tcPr>
            <w:tcW w:w="5636" w:type="dxa"/>
          </w:tcPr>
          <w:p w14:paraId="424DC6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4-х лопастного винта АВ-9Л-158</w:t>
            </w:r>
          </w:p>
        </w:tc>
        <w:tc>
          <w:tcPr>
            <w:tcW w:w="5636" w:type="dxa"/>
          </w:tcPr>
          <w:p w14:paraId="3CD1B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проведения летных испытаний установлено, что</w:t>
            </w:r>
          </w:p>
        </w:tc>
      </w:tr>
      <w:tr w:rsidR="00A907A5" w:rsidRPr="00271E51" w14:paraId="29DB8D1E" w14:textId="77777777" w:rsidTr="00ED5B0A">
        <w:tc>
          <w:tcPr>
            <w:tcW w:w="5636" w:type="dxa"/>
          </w:tcPr>
          <w:p w14:paraId="348C9A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Ил-2 с АМ-38Ф</w:t>
            </w:r>
          </w:p>
        </w:tc>
        <w:tc>
          <w:tcPr>
            <w:tcW w:w="5636" w:type="dxa"/>
          </w:tcPr>
          <w:p w14:paraId="111691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нормальной даче газа на планировании обороты мотора достигают</w:t>
            </w:r>
          </w:p>
        </w:tc>
      </w:tr>
      <w:tr w:rsidR="00A907A5" w:rsidRPr="00271E51" w14:paraId="2238BFC6" w14:textId="77777777" w:rsidTr="00ED5B0A">
        <w:tc>
          <w:tcPr>
            <w:tcW w:w="5636" w:type="dxa"/>
          </w:tcPr>
          <w:p w14:paraId="66C194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B5CCD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 об./мин. при равновесных оборотах 2050 об./мин....</w:t>
            </w:r>
          </w:p>
        </w:tc>
      </w:tr>
      <w:tr w:rsidR="00A907A5" w:rsidRPr="00271E51" w14:paraId="3DD50A0F" w14:textId="77777777" w:rsidTr="00ED5B0A">
        <w:tc>
          <w:tcPr>
            <w:tcW w:w="5636" w:type="dxa"/>
          </w:tcPr>
          <w:p w14:paraId="7621C2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3A40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неудовлетворительной работы механизма втулки винта при дачах</w:t>
            </w:r>
          </w:p>
        </w:tc>
      </w:tr>
      <w:tr w:rsidR="00A907A5" w:rsidRPr="00271E51" w14:paraId="7D5CEE04" w14:textId="77777777" w:rsidTr="00ED5B0A">
        <w:tc>
          <w:tcPr>
            <w:tcW w:w="5636" w:type="dxa"/>
          </w:tcPr>
          <w:p w14:paraId="30EFB8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7867C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газа винт не может быть рекомендован для серийного производства (1782,2)</w:t>
            </w:r>
          </w:p>
        </w:tc>
      </w:tr>
    </w:tbl>
    <w:p w14:paraId="71241C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Пе-2</w:t>
      </w:r>
    </w:p>
    <w:p w14:paraId="1167D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Контрольные испытания серийного Пе-2 (октябрьского выпуска).</w:t>
      </w:r>
    </w:p>
    <w:p w14:paraId="585DE4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Проведены испытания серийного самолета Пе-2 октябрьского выпуска.</w:t>
      </w:r>
    </w:p>
    <w:p w14:paraId="2523F6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0851447F" w14:textId="77777777" w:rsidTr="00ED5B0A">
        <w:tc>
          <w:tcPr>
            <w:tcW w:w="5636" w:type="dxa"/>
          </w:tcPr>
          <w:p w14:paraId="6FB51C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120FEF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453 км/час</w:t>
            </w:r>
          </w:p>
        </w:tc>
      </w:tr>
      <w:tr w:rsidR="00A907A5" w:rsidRPr="00271E51" w14:paraId="2357AE33" w14:textId="77777777" w:rsidTr="00ED5B0A">
        <w:tc>
          <w:tcPr>
            <w:tcW w:w="5636" w:type="dxa"/>
          </w:tcPr>
          <w:p w14:paraId="30BD80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 гран.</w:t>
            </w:r>
          </w:p>
        </w:tc>
        <w:tc>
          <w:tcPr>
            <w:tcW w:w="5636" w:type="dxa"/>
          </w:tcPr>
          <w:p w14:paraId="70E52F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3E4D203" w14:textId="77777777" w:rsidTr="00ED5B0A">
        <w:tc>
          <w:tcPr>
            <w:tcW w:w="5636" w:type="dxa"/>
          </w:tcPr>
          <w:p w14:paraId="75C2AE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(Н=1950 м)</w:t>
            </w:r>
          </w:p>
        </w:tc>
        <w:tc>
          <w:tcPr>
            <w:tcW w:w="5636" w:type="dxa"/>
          </w:tcPr>
          <w:p w14:paraId="489CD6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494 км/час</w:t>
            </w:r>
          </w:p>
        </w:tc>
      </w:tr>
      <w:tr w:rsidR="00A907A5" w:rsidRPr="00271E51" w14:paraId="1A00A44C" w14:textId="77777777" w:rsidTr="00ED5B0A">
        <w:tc>
          <w:tcPr>
            <w:tcW w:w="5636" w:type="dxa"/>
          </w:tcPr>
          <w:p w14:paraId="3C59A0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 гран.</w:t>
            </w:r>
          </w:p>
        </w:tc>
        <w:tc>
          <w:tcPr>
            <w:tcW w:w="5636" w:type="dxa"/>
          </w:tcPr>
          <w:p w14:paraId="55618A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4099CD5" w14:textId="77777777" w:rsidTr="00ED5B0A">
        <w:tc>
          <w:tcPr>
            <w:tcW w:w="5636" w:type="dxa"/>
          </w:tcPr>
          <w:p w14:paraId="25ABA7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 (Н=3850 м)</w:t>
            </w:r>
          </w:p>
        </w:tc>
        <w:tc>
          <w:tcPr>
            <w:tcW w:w="5636" w:type="dxa"/>
          </w:tcPr>
          <w:p w14:paraId="4539C3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 км/час</w:t>
            </w:r>
          </w:p>
        </w:tc>
      </w:tr>
      <w:tr w:rsidR="00A907A5" w:rsidRPr="00271E51" w14:paraId="791BE93C" w14:textId="77777777" w:rsidTr="00ED5B0A">
        <w:tc>
          <w:tcPr>
            <w:tcW w:w="5636" w:type="dxa"/>
          </w:tcPr>
          <w:p w14:paraId="0FD278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w:t>
            </w:r>
          </w:p>
        </w:tc>
        <w:tc>
          <w:tcPr>
            <w:tcW w:w="5636" w:type="dxa"/>
          </w:tcPr>
          <w:p w14:paraId="186516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261FA5" w14:textId="77777777" w:rsidTr="00ED5B0A">
        <w:tc>
          <w:tcPr>
            <w:tcW w:w="5636" w:type="dxa"/>
          </w:tcPr>
          <w:p w14:paraId="3ECF95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 м</w:t>
            </w:r>
          </w:p>
        </w:tc>
        <w:tc>
          <w:tcPr>
            <w:tcW w:w="5636" w:type="dxa"/>
          </w:tcPr>
          <w:p w14:paraId="3CA1E0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 мин.</w:t>
            </w:r>
          </w:p>
        </w:tc>
      </w:tr>
      <w:tr w:rsidR="00A907A5" w:rsidRPr="00271E51" w14:paraId="57372266" w14:textId="77777777" w:rsidTr="00ED5B0A">
        <w:tc>
          <w:tcPr>
            <w:tcW w:w="5636" w:type="dxa"/>
          </w:tcPr>
          <w:p w14:paraId="3698CF9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самолета</w:t>
            </w:r>
          </w:p>
        </w:tc>
        <w:tc>
          <w:tcPr>
            <w:tcW w:w="5636" w:type="dxa"/>
          </w:tcPr>
          <w:p w14:paraId="1F6094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8300 кг</w:t>
            </w:r>
          </w:p>
        </w:tc>
      </w:tr>
    </w:tbl>
    <w:p w14:paraId="792F9A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ВИШ-105 СВ. На с-те установлены моторы з-да N 466. Индивидуальные реактивные патрубки не установлены.</w:t>
      </w:r>
    </w:p>
    <w:p w14:paraId="32355C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Испытание Пе-2 2М-105ПД в варианте 2-х моторного истребителя с ГК (7 полетов до 10000 м).</w:t>
      </w:r>
    </w:p>
    <w:p w14:paraId="442C95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Проведено 7 полетов до высоты 10000 м по проверке работы винто-моторной группы и высотного оборудования герметической кабины.</w:t>
      </w:r>
    </w:p>
    <w:p w14:paraId="7D6552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Установлено следующее:</w:t>
      </w:r>
    </w:p>
    <w:p w14:paraId="332715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Из-за слишком передней центровки с-та полеты возможны только при наличии в хвосте с-та груза в 150 кг.</w:t>
      </w:r>
    </w:p>
    <w:p w14:paraId="7D60BB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Кабина с-та:</w:t>
      </w:r>
    </w:p>
    <w:p w14:paraId="0314FD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 обеспечивает необходимого обзора.</w:t>
      </w:r>
    </w:p>
    <w:p w14:paraId="575E87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 обеспечивает открытия фонаря изнутри силами летчика - в случае необходимости летчик не может покинуть кабину.</w:t>
      </w:r>
    </w:p>
    <w:p w14:paraId="0646966C" w14:textId="77777777" w:rsidR="004E18F4"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Фильтр для очистки воздуха в кабине работает неудовлетворительно, т.к. не обеспечивает очистку от масляного тумана. Фильтр заменен новым - конструкции ЛИИ.</w:t>
      </w:r>
    </w:p>
    <w:p w14:paraId="6070C828" w14:textId="69E4B6D2"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При полетах на высотах более 8000 м запотевают стекла кабины.</w:t>
      </w:r>
    </w:p>
    <w:p w14:paraId="61BB9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Аварийный выпуск шасси, к которому пришлось прибегнуть уже два раза, совершенно не приемлем. Выпуск занимает более 30 минут и, из-за неудобного расположения рычагов, требует больших физических усилий летчика.</w:t>
      </w:r>
    </w:p>
    <w:p w14:paraId="74DEC4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левом моторе с-та были неоднократные отказы включения турбомуфты. Турбомуфта стала включаться нормально лишь после изменения формы прорези золотника.</w:t>
      </w:r>
    </w:p>
    <w:p w14:paraId="2117E8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Оружие при отстреле на высоте 5000 м работало нормально.</w:t>
      </w:r>
    </w:p>
    <w:p w14:paraId="2D4FC7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ЛИИ считает, что до устранения основных дефектов с-та (Кабина с-та, центровка) дальнейшие испытания проводить опасно и нецелесообразно.</w:t>
      </w:r>
    </w:p>
    <w:p w14:paraId="68A57F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Испытание флюгерных винтов УФ-61ФП на Пе-2 2М-105ПФ</w:t>
      </w:r>
    </w:p>
    <w:p w14:paraId="302955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испытаний были проведены две схемы управления флюгерным винтом: гидропневматическая и электрогидравлическая.</w:t>
      </w:r>
    </w:p>
    <w:p w14:paraId="3CBB54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наземных испытаний установлено, что гидропневматическое управление флюгерным винтом на с-те Пе-2 не отработано, громоздко и ненадежно в эксплуатации.</w:t>
      </w:r>
    </w:p>
    <w:p w14:paraId="79973C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управлении винтом по электрогидравлической схеме (электромотор-помпа) механизм втулки винта работает нормально при вводе и выводе лопастей из флюгерного положения как на земле, так и в полете.</w:t>
      </w:r>
    </w:p>
    <w:p w14:paraId="3A09EA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Механизм втулки винта при выполнении пикирования с отрицательной перегрузкой при вводе (до - 0,4 g), при наличии специального компенсационного бачка, работает нормально.</w:t>
      </w:r>
    </w:p>
    <w:p w14:paraId="296D82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дачах газа наблюдается заброс оборотов мотора до 2900 об/мин, что выше допустимых оборотов мотора, но практически не отличается от забросов оборотов винта ВИШ-61 6 серии на серийных с-тах Пе-2:</w:t>
      </w:r>
    </w:p>
    <w:p w14:paraId="69223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Горизонтальный полет с одним работающим мотором при наличии флюгерного винта на остановленном моторе возможен в диапазоне скоростей 270-345 км/час по прибору.</w:t>
      </w:r>
    </w:p>
    <w:p w14:paraId="60B399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внедрении в серийное производство винта УФ-61-ФП необходимо:</w:t>
      </w:r>
    </w:p>
    <w:p w14:paraId="651750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Установить редукционный клапан в маслосистеме управления флюгерным винтом.</w:t>
      </w:r>
    </w:p>
    <w:p w14:paraId="4A6E9B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Провести эксплуатационную доводку реле давления, обеспечив надежную работу последнего при разных давлениях масла.</w:t>
      </w:r>
    </w:p>
    <w:p w14:paraId="105A72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688772D6" w14:textId="77777777" w:rsidTr="00ED5B0A">
        <w:tc>
          <w:tcPr>
            <w:tcW w:w="5636" w:type="dxa"/>
          </w:tcPr>
          <w:p w14:paraId="78FA24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Ил-4 N 316 с ТК-3</w:t>
            </w:r>
          </w:p>
        </w:tc>
        <w:tc>
          <w:tcPr>
            <w:tcW w:w="5636" w:type="dxa"/>
          </w:tcPr>
          <w:p w14:paraId="2F4441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Закончены испытания ТК-3 на самолете Ил-4</w:t>
            </w:r>
          </w:p>
        </w:tc>
      </w:tr>
      <w:tr w:rsidR="00A907A5" w:rsidRPr="00271E51" w14:paraId="2B2355EB" w14:textId="77777777" w:rsidTr="00ED5B0A">
        <w:tc>
          <w:tcPr>
            <w:tcW w:w="5636" w:type="dxa"/>
          </w:tcPr>
          <w:p w14:paraId="2F4D65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74E8A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определены границы высотности М-88Б с ТК-3</w:t>
            </w:r>
          </w:p>
        </w:tc>
      </w:tr>
      <w:tr w:rsidR="00A907A5" w:rsidRPr="00271E51" w14:paraId="628ED874" w14:textId="77777777" w:rsidTr="00ED5B0A">
        <w:tc>
          <w:tcPr>
            <w:tcW w:w="5636" w:type="dxa"/>
          </w:tcPr>
          <w:p w14:paraId="05A3EB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C9E5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 1 ск. нагнетателя с включенным ТК</w:t>
            </w:r>
          </w:p>
        </w:tc>
      </w:tr>
      <w:tr w:rsidR="00A907A5" w:rsidRPr="00271E51" w14:paraId="7F6F4EBE" w14:textId="77777777" w:rsidTr="00ED5B0A">
        <w:tc>
          <w:tcPr>
            <w:tcW w:w="5636" w:type="dxa"/>
          </w:tcPr>
          <w:p w14:paraId="1D12D5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69CFB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1 ск. нагнетателя с полностью включенным ТК</w:t>
            </w:r>
          </w:p>
        </w:tc>
      </w:tr>
      <w:tr w:rsidR="00A907A5" w:rsidRPr="00271E51" w14:paraId="457DCE1C" w14:textId="77777777" w:rsidTr="00ED5B0A">
        <w:tc>
          <w:tcPr>
            <w:tcW w:w="5636" w:type="dxa"/>
          </w:tcPr>
          <w:p w14:paraId="6C2CD2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EA0AF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Правый мотор при работе с полностью включенным ТК имеет </w:t>
            </w:r>
          </w:p>
        </w:tc>
      </w:tr>
      <w:tr w:rsidR="00A907A5" w:rsidRPr="00271E51" w14:paraId="1B8C18C9" w14:textId="77777777" w:rsidTr="00ED5B0A">
        <w:tc>
          <w:tcPr>
            <w:tcW w:w="5636" w:type="dxa"/>
          </w:tcPr>
          <w:p w14:paraId="0658EB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C44EE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границу высотности на 1300-1400 м ниже, чем левый мотор</w:t>
            </w:r>
          </w:p>
        </w:tc>
      </w:tr>
      <w:tr w:rsidR="00A907A5" w:rsidRPr="00271E51" w14:paraId="2DCB8B47" w14:textId="77777777" w:rsidTr="00ED5B0A">
        <w:tc>
          <w:tcPr>
            <w:tcW w:w="5636" w:type="dxa"/>
          </w:tcPr>
          <w:p w14:paraId="689F86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AFB82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ухудшения аэродинамики самолета, вследствие</w:t>
            </w:r>
          </w:p>
        </w:tc>
      </w:tr>
      <w:tr w:rsidR="00A907A5" w:rsidRPr="00271E51" w14:paraId="0F50D986" w14:textId="77777777" w:rsidTr="00ED5B0A">
        <w:tc>
          <w:tcPr>
            <w:tcW w:w="5636" w:type="dxa"/>
          </w:tcPr>
          <w:p w14:paraId="74AADD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A01BA3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ТК, скороподъемность у земли уменьшилась на</w:t>
            </w:r>
          </w:p>
        </w:tc>
      </w:tr>
      <w:tr w:rsidR="00A907A5" w:rsidRPr="00271E51" w14:paraId="6ED0A902" w14:textId="77777777" w:rsidTr="00ED5B0A">
        <w:tc>
          <w:tcPr>
            <w:tcW w:w="5636" w:type="dxa"/>
          </w:tcPr>
          <w:p w14:paraId="2BB596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5B04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0.7-0.9 м/с, т.е. на 13-14%, а макс. скорость - на 20-25 км/час</w:t>
            </w:r>
          </w:p>
        </w:tc>
      </w:tr>
      <w:tr w:rsidR="00A907A5" w:rsidRPr="00271E51" w14:paraId="018D703D" w14:textId="77777777" w:rsidTr="00ED5B0A">
        <w:tc>
          <w:tcPr>
            <w:tcW w:w="5636" w:type="dxa"/>
          </w:tcPr>
          <w:p w14:paraId="55F0AB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CE9D4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вместе с ЦИАМ производятся анализ материалов летных</w:t>
            </w:r>
          </w:p>
        </w:tc>
      </w:tr>
      <w:tr w:rsidR="00A907A5" w:rsidRPr="00271E51" w14:paraId="31195972" w14:textId="77777777" w:rsidTr="00ED5B0A">
        <w:tc>
          <w:tcPr>
            <w:tcW w:w="5636" w:type="dxa"/>
          </w:tcPr>
          <w:p w14:paraId="2A177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22E9B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испытаний для дачи заключения о работе ТК-3 на Ил-4 N 316 (1782)</w:t>
            </w:r>
          </w:p>
        </w:tc>
      </w:tr>
    </w:tbl>
    <w:p w14:paraId="348939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Ту-2</w:t>
      </w:r>
    </w:p>
    <w:p w14:paraId="0F8275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самолета 103В (Ту-2) с М-82ФН с различной редукцией</w:t>
      </w:r>
    </w:p>
    <w:p w14:paraId="1ACF75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проведенных испытаний с-та Ту-2 с моторами М-82 ФН редукции 9/16 с винтами АВ-5-167А диаметром 3,8 м получены исходные данные с-та для сравнения с данными при установке моторов редукции 11/16.</w:t>
      </w:r>
    </w:p>
    <w:p w14:paraId="23EA6D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с-те изменена редукция моторов и установлены винты Ав-5-118А диаметром 3,2 м. В полете на левом моторе произошел обрыв клапана у 13-го цилиндра. Мотор вышел из строя и был сменен.</w:t>
      </w:r>
    </w:p>
    <w:p w14:paraId="7367ED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продолжаются.</w:t>
      </w:r>
    </w:p>
    <w:p w14:paraId="750412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МиГ-3</w:t>
      </w:r>
    </w:p>
    <w:p w14:paraId="3859AD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МиГ-3 с АМ-35 серии 7 ЕА с целью определения скороподъемности и температурных режимов (N 5176 выпуска 1941).</w:t>
      </w:r>
    </w:p>
    <w:p w14:paraId="63622B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летными испытаниями установлено:</w:t>
      </w:r>
    </w:p>
    <w:p w14:paraId="4820D8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С-т Миг-3 N 5176 с мотором АМ-35 серии 7 ЕА с пониженной прокачкой масла имеет скороподъемность и потолок, практически мало отличающиеся от скороподъемности и потолка серийных с-тов Миг-3 выпуска 1941 года с моторами АМ-35.</w:t>
      </w:r>
    </w:p>
    <w:p w14:paraId="2F288D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Температуры воды и масла на выходе из мотора при температуре наружного воздуха у земли +10 градусов Ц близки к максимально допустимым температурам, а при пересчете на РАТУ (+30 градусов Ц у земли, температурный градиент - 6,5 градусов Ц/км) значительно превышают (по воде на 7 градусов Ц и по маслу на 14 градусов Ц).</w:t>
      </w:r>
    </w:p>
    <w:p w14:paraId="41C482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наборе высоты до практического потолка давление масла сохраняется в пределах технических норм.</w:t>
      </w:r>
    </w:p>
    <w:p w14:paraId="2AC4C9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результатов испытаний ЛИИ считает:</w:t>
      </w:r>
    </w:p>
    <w:p w14:paraId="5A7528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Нормальная эксплуатация мотора АМ-35 серии 7 ЕА на с-те Миг-3 возможна при температурах наружного воздуха у земли не выше 10 градусов Ц.</w:t>
      </w:r>
    </w:p>
    <w:p w14:paraId="5B97D2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Для нормальной эксплуатации этого мотора в летных условиях (при температуре наружного воздуха у земли до +30 градусов Ц) необходимо изменить системы охлаждения воды и масла.</w:t>
      </w:r>
    </w:p>
    <w:p w14:paraId="6A6188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302</w:t>
      </w:r>
    </w:p>
    <w:p w14:paraId="3AC6F8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302 (12 полетов на буксире за СБ).</w:t>
      </w:r>
    </w:p>
    <w:p w14:paraId="7E4390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Произведено 12 полетов с-та на буксире за с-том СБ.</w:t>
      </w:r>
    </w:p>
    <w:p w14:paraId="011B1C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на с-те 302 не установлен.</w:t>
      </w:r>
    </w:p>
    <w:p w14:paraId="08241C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полетах обнаружены боковые незатухающие колебания с-та на скоростях выше 200 км/час.</w:t>
      </w:r>
    </w:p>
    <w:p w14:paraId="6C72BA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Проведенные мероприятия по устранению колебаний (увеличение веса балансира р.н., установка щитков на компенсацию р.н., облагораживание хвостовой части </w:t>
      </w:r>
      <w:r w:rsidRPr="00271E51">
        <w:rPr>
          <w:rFonts w:ascii="Times New Roman" w:hAnsi="Times New Roman"/>
          <w:color w:val="000000" w:themeColor="text1"/>
          <w:sz w:val="16"/>
          <w:szCs w:val="16"/>
        </w:rPr>
        <w:lastRenderedPageBreak/>
        <w:t>фюзеляжа) положительных результатов не дали.</w:t>
      </w:r>
    </w:p>
    <w:p w14:paraId="0861CD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Исследуются дальнейшие мероприятия по устранению колебаний.</w:t>
      </w:r>
    </w:p>
    <w:p w14:paraId="2B0E54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Бостон-3</w:t>
      </w:r>
    </w:p>
    <w:p w14:paraId="5FC2DB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Испытание Бостон-3 по улучшению продольной устойчивости и управляемости (1782).</w:t>
      </w:r>
    </w:p>
    <w:p w14:paraId="515BD1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Проведенные летные испытания показали, что самолет Бостон-III не имеет требуемых запасов продольной статической устойчивости.</w:t>
      </w:r>
    </w:p>
    <w:p w14:paraId="4A906E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Существующая у с-та тенденция к непроизвольному выходу на большие углы атаки, при наличии недостаточной продольной устойчивости, часто приводит к непроизвольному срыву в штопор.</w:t>
      </w:r>
    </w:p>
    <w:p w14:paraId="21FA46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продольной устойчивости и управляемости с-та на больших углах атаки был спроектирован и установлен в систему управления рулем высоты контрбалансира.</w:t>
      </w:r>
    </w:p>
    <w:p w14:paraId="1976BA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контрбалансира дала положительные результаты. У с-та с контрбалансиром отсутствует тенденция к непроизвольному выходу с-та на большие углы атаки. Пилотирование с-та стало более безопасным.</w:t>
      </w:r>
    </w:p>
    <w:p w14:paraId="7ADB0E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Установку контрбалансира рекомендуется произвести на всех эксплуатируемых в частях ВВС с-тах.</w:t>
      </w:r>
    </w:p>
    <w:p w14:paraId="40D231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конструкции контрбалансир весьма прост, может быть изготовлен в мастерских действующих частей ВВС и смонтирован на с-те в полевых условиях (1782).</w:t>
      </w:r>
    </w:p>
    <w:p w14:paraId="5AD0FD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B93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w:t>
      </w:r>
      <w:r w:rsidRPr="00271E51">
        <w:rPr>
          <w:rFonts w:ascii="Times New Roman" w:hAnsi="Times New Roman"/>
          <w:color w:val="000000" w:themeColor="text1"/>
          <w:sz w:val="16"/>
          <w:szCs w:val="16"/>
        </w:rPr>
        <w:softHyphen/>
        <w:t>ября 1943 г. начальник ЛИИ Чесалов письмом № 676с сообщал заместителю наркома авиапро</w:t>
      </w:r>
      <w:r w:rsidRPr="00271E51">
        <w:rPr>
          <w:rFonts w:ascii="Times New Roman" w:hAnsi="Times New Roman"/>
          <w:color w:val="000000" w:themeColor="text1"/>
          <w:sz w:val="16"/>
          <w:szCs w:val="16"/>
        </w:rPr>
        <w:softHyphen/>
        <w:t xml:space="preserve">ма Дементьеву: </w:t>
      </w:r>
      <w:r w:rsidRPr="00271E51">
        <w:rPr>
          <w:rFonts w:ascii="Times New Roman" w:hAnsi="Times New Roman"/>
          <w:iCs/>
          <w:color w:val="000000" w:themeColor="text1"/>
          <w:sz w:val="16"/>
          <w:szCs w:val="16"/>
        </w:rPr>
        <w:t xml:space="preserve">«...ни продольная, ни путевая устойчивость машины не укладываются в требуемый диапазон». </w:t>
      </w:r>
      <w:r w:rsidRPr="00271E51">
        <w:rPr>
          <w:rFonts w:ascii="Times New Roman" w:hAnsi="Times New Roman"/>
          <w:color w:val="000000" w:themeColor="text1"/>
          <w:sz w:val="16"/>
          <w:szCs w:val="16"/>
        </w:rPr>
        <w:t>5 мая 1944 г. «провалил» контрольные ис</w:t>
      </w:r>
      <w:r w:rsidRPr="00271E51">
        <w:rPr>
          <w:rFonts w:ascii="Times New Roman" w:hAnsi="Times New Roman"/>
          <w:color w:val="000000" w:themeColor="text1"/>
          <w:sz w:val="16"/>
          <w:szCs w:val="16"/>
        </w:rPr>
        <w:softHyphen/>
        <w:t>пытания Ла-5УТИ, переделанный из серийного № 37210813 в 30-х полевых авиаремонтных мастер</w:t>
      </w:r>
      <w:r w:rsidRPr="00271E51">
        <w:rPr>
          <w:rFonts w:ascii="Times New Roman" w:hAnsi="Times New Roman"/>
          <w:color w:val="000000" w:themeColor="text1"/>
          <w:sz w:val="16"/>
          <w:szCs w:val="16"/>
        </w:rPr>
        <w:softHyphen/>
        <w:t>ских 1-й воздушной армии. Лишь установка центро</w:t>
      </w:r>
      <w:r w:rsidRPr="00271E51">
        <w:rPr>
          <w:rFonts w:ascii="Times New Roman" w:hAnsi="Times New Roman"/>
          <w:color w:val="000000" w:themeColor="text1"/>
          <w:sz w:val="16"/>
          <w:szCs w:val="16"/>
        </w:rPr>
        <w:softHyphen/>
        <w:t>вочных грузов и контрбалансира (пружины, создавав</w:t>
      </w:r>
      <w:r w:rsidRPr="00271E51">
        <w:rPr>
          <w:rFonts w:ascii="Times New Roman" w:hAnsi="Times New Roman"/>
          <w:color w:val="000000" w:themeColor="text1"/>
          <w:sz w:val="16"/>
          <w:szCs w:val="16"/>
        </w:rPr>
        <w:softHyphen/>
        <w:t>шей дополнительную нагрузку на ручку управления) позволила обеспечить безопасную эксплуатацию это</w:t>
      </w:r>
      <w:r w:rsidRPr="00271E51">
        <w:rPr>
          <w:rFonts w:ascii="Times New Roman" w:hAnsi="Times New Roman"/>
          <w:color w:val="000000" w:themeColor="text1"/>
          <w:sz w:val="16"/>
          <w:szCs w:val="16"/>
        </w:rPr>
        <w:softHyphen/>
        <w:t>го необходимого для ВВС самолета. Что же касается эффективности вертикального оперения, то и Ла-5 не был идеально устойчивым по курсу... В целом, Ла-5УТИ сдали мало, в основном переделывали при</w:t>
      </w:r>
      <w:r w:rsidRPr="00271E51">
        <w:rPr>
          <w:rFonts w:ascii="Times New Roman" w:hAnsi="Times New Roman"/>
          <w:color w:val="000000" w:themeColor="text1"/>
          <w:sz w:val="16"/>
          <w:szCs w:val="16"/>
        </w:rPr>
        <w:softHyphen/>
        <w:t>ходившие на ремонт самолеты всех основных моди</w:t>
      </w:r>
      <w:r w:rsidRPr="00271E51">
        <w:rPr>
          <w:rFonts w:ascii="Times New Roman" w:hAnsi="Times New Roman"/>
          <w:color w:val="000000" w:themeColor="text1"/>
          <w:sz w:val="16"/>
          <w:szCs w:val="16"/>
        </w:rPr>
        <w:softHyphen/>
        <w:t>фикаций, выбирая самые изношенные (11123).</w:t>
      </w:r>
    </w:p>
    <w:p w14:paraId="6BB153B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E5A1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года вышло Постановление ГКО № 455сс во исполнение которого 17 ноября 1943 был издан приказ № 698сс об организации на заводе № 36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60733A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3F913A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416CC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05C8EC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 завода:</w:t>
      </w:r>
    </w:p>
    <w:p w14:paraId="08328B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Сова С.М. – с 1942 года по 1944 год</w:t>
      </w:r>
    </w:p>
    <w:p w14:paraId="162680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Григорьев Г.М. – с 1944 года по 1947 год</w:t>
      </w:r>
    </w:p>
    <w:p w14:paraId="5E2C42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Петров А.П. – с 1947 года по 1949 год</w:t>
      </w:r>
    </w:p>
    <w:p w14:paraId="63015E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Субботин М.И. – с 1949 года по 1956 год</w:t>
      </w:r>
    </w:p>
    <w:p w14:paraId="46831D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Смирнов А.Д. – с 1956 года</w:t>
      </w:r>
    </w:p>
    <w:p w14:paraId="2EFF4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Должность гл. конструктора с 1943 года занимает Добрынин В.А.</w:t>
      </w:r>
    </w:p>
    <w:p w14:paraId="13303C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Смирнов</w:t>
      </w:r>
    </w:p>
    <w:p w14:paraId="3C87A0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Рыбинск, п/я 20</w:t>
      </w:r>
    </w:p>
    <w:p w14:paraId="3A1AF4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авиационный моторостроительный завод (9825).</w:t>
      </w:r>
    </w:p>
    <w:p w14:paraId="371C7F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71FA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866A0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60B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изготовили первый образец пушки "А-19 танковая" - в люльку Д-5Т установили ствол пушки Д-2 снятый с лафета М-30 с дополнительной обточкой его направляющей части до диаметра люльки. С орудия Д-2 позаимствовали и Т-образный дульный тормоз..</w:t>
      </w:r>
    </w:p>
    <w:p w14:paraId="38656B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Государственные испытания танка ИС-122 (объект 240) прошли очень быстро и, в общем, успешно. После чего танк перебросили на один из подмосковных полигонов на котором из 122-мм пушки с дистанции 1500 метров в присутствии К.Е.Ворошилова был сделан выстрел по пустому, уже расстрелянному трофейному немецкому танку "Пантера"..</w:t>
      </w:r>
    </w:p>
    <w:p w14:paraId="25C7A0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Снаряд, пробив бортовую броню развернутой вправо башни ударил в противоположный лист, оторвал его по сварке и отбросил на несколько метров. В ходе испытания у пушки А-19 разорвало Т-образный дульный тормоз, при этом Ворошилов едва не погиб. После этого дульный тормоз заменили на другой - двухкамерный, немецкого типа. (3862).</w:t>
      </w:r>
    </w:p>
    <w:p w14:paraId="766012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58AD4" w14:textId="77777777" w:rsidR="008D7419" w:rsidRPr="00271E51" w:rsidRDefault="008D7419" w:rsidP="00271E51">
      <w:pPr>
        <w:pStyle w:val="ae"/>
        <w:spacing w:before="0" w:after="0"/>
        <w:jc w:val="both"/>
        <w:textAlignment w:val="baseline"/>
        <w:rPr>
          <w:color w:val="000000" w:themeColor="text1"/>
          <w:sz w:val="16"/>
          <w:szCs w:val="16"/>
        </w:rPr>
      </w:pPr>
      <w:r w:rsidRPr="00271E51">
        <w:rPr>
          <w:color w:val="000000" w:themeColor="text1"/>
          <w:sz w:val="16"/>
          <w:szCs w:val="16"/>
        </w:rPr>
        <w:t>12 ноября 1943 Артком ГАУ КА дал своё заключение на проект 122 мм пушки ОКБ-172. Интересно, что Первый отдел Артиллерийского комитета предложил перед этим своё баллистическое решение по пушке. Длина ствола задавалась в 7440 мм, при этом максимальное давление достигало 3200 кг/м2. Таким образом, выбирать Арткому пришлось аж из четырёх проектов. Наиболее подходящим был выбран вариант II, поскольку он имел клиновой затвор. Вместе с тем было высказано требование увеличить расстояния между захватами ствола либо их переработать, так как имеющаяся конструкция могла приводить к большой качке и колебаниям. Также Артком требовал упростить казённик, поскольку тот требовал большого объёма механической обработки, и уменьшить его ширину до 420-450 мм. Упрощения требовал и затвор, который следовало снабдить полуавтоматикой копирного типа.</w:t>
      </w:r>
    </w:p>
    <w:p w14:paraId="0FCBE26D" w14:textId="77777777" w:rsidR="008D7419" w:rsidRPr="00271E51" w:rsidRDefault="008D7419" w:rsidP="00271E51">
      <w:pPr>
        <w:pStyle w:val="ae"/>
        <w:spacing w:before="0" w:after="0"/>
        <w:jc w:val="both"/>
        <w:textAlignment w:val="baseline"/>
        <w:rPr>
          <w:color w:val="000000" w:themeColor="text1"/>
          <w:sz w:val="16"/>
          <w:szCs w:val="16"/>
        </w:rPr>
      </w:pPr>
      <w:r w:rsidRPr="00271E51">
        <w:rPr>
          <w:color w:val="000000" w:themeColor="text1"/>
          <w:sz w:val="16"/>
          <w:szCs w:val="16"/>
        </w:rPr>
        <w:t>Параллельно в работу был пущен и проект ОБМ-53. Но время СУ-152 как базы для САУ подобного типа уже вышло. Последние СУ-152 Челябинский Кировский завод (ЧКЗ) построил в ноябре 1943 года, после чего началось производство ИСУ-152. Разумеется, работы по длинноствольным системам ОКБ-172 не прекратило. Их построили и даже испытали, но уже на базе ИСУ-152. К тому моменту ОБМ-53 стала называться БЛ-8 (Берия Лаврентий, такой индекс стали носить изделия ОКБ-172), а ОБМ-50 — БЛ-9 (17716).</w:t>
      </w:r>
    </w:p>
    <w:p w14:paraId="1BBA294C" w14:textId="77777777" w:rsidR="008D7419" w:rsidRPr="00271E51" w:rsidRDefault="008D7419" w:rsidP="00271E51">
      <w:pPr>
        <w:spacing w:after="0" w:line="240" w:lineRule="auto"/>
        <w:jc w:val="both"/>
        <w:rPr>
          <w:rFonts w:ascii="Times New Roman" w:hAnsi="Times New Roman"/>
          <w:color w:val="000000" w:themeColor="text1"/>
          <w:sz w:val="16"/>
          <w:szCs w:val="16"/>
        </w:rPr>
      </w:pPr>
    </w:p>
    <w:p w14:paraId="4FCEF6D7"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12 ноября 1943 года закончились испытания на гарантийный ки</w:t>
      </w:r>
      <w:r w:rsidRPr="00271E51">
        <w:rPr>
          <w:rFonts w:ascii="Times New Roman" w:cs="Times New Roman"/>
          <w:color w:val="000000" w:themeColor="text1"/>
          <w:spacing w:val="0"/>
        </w:rPr>
        <w:softHyphen/>
        <w:t>лометраж в подмосковной Кубинке одного из КВ-85 октябрьского выпуска (за</w:t>
      </w:r>
      <w:r w:rsidRPr="00271E51">
        <w:rPr>
          <w:rFonts w:ascii="Times New Roman" w:cs="Times New Roman"/>
          <w:color w:val="000000" w:themeColor="text1"/>
          <w:spacing w:val="0"/>
        </w:rPr>
        <w:softHyphen/>
        <w:t>водской № 3107), которые шли с 1 ноября. Испы</w:t>
      </w:r>
      <w:r w:rsidRPr="00271E51">
        <w:rPr>
          <w:rFonts w:ascii="Times New Roman" w:cs="Times New Roman"/>
          <w:color w:val="000000" w:themeColor="text1"/>
          <w:spacing w:val="0"/>
        </w:rPr>
        <w:softHyphen/>
        <w:t>тания танка прекратили на 504 километре из-за отправки танка в Центральное артил</w:t>
      </w:r>
      <w:r w:rsidRPr="00271E51">
        <w:rPr>
          <w:rFonts w:ascii="Times New Roman" w:cs="Times New Roman"/>
          <w:color w:val="000000" w:themeColor="text1"/>
          <w:spacing w:val="0"/>
        </w:rPr>
        <w:softHyphen/>
        <w:t>лерийское конструкторское бюро по распо</w:t>
      </w:r>
      <w:r w:rsidRPr="00271E51">
        <w:rPr>
          <w:rFonts w:ascii="Times New Roman" w:cs="Times New Roman"/>
          <w:color w:val="000000" w:themeColor="text1"/>
          <w:spacing w:val="0"/>
        </w:rPr>
        <w:softHyphen/>
        <w:t>ряжению заместителя начальника ГБТУ КА генерал-майора Лебедева.</w:t>
      </w:r>
    </w:p>
    <w:p w14:paraId="51E072B7"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 присланного взамен другого КВ-85 (за</w:t>
      </w:r>
      <w:r w:rsidRPr="00271E51">
        <w:rPr>
          <w:rFonts w:ascii="Times New Roman" w:cs="Times New Roman"/>
          <w:color w:val="000000" w:themeColor="text1"/>
          <w:spacing w:val="0"/>
        </w:rPr>
        <w:softHyphen/>
        <w:t>водской № 31058) на 35 километре пробега (при движении на полигон) поломалась сту</w:t>
      </w:r>
      <w:r w:rsidRPr="00271E51">
        <w:rPr>
          <w:rFonts w:ascii="Times New Roman" w:cs="Times New Roman"/>
          <w:color w:val="000000" w:themeColor="text1"/>
          <w:spacing w:val="0"/>
        </w:rPr>
        <w:softHyphen/>
        <w:t>пица внутреннего барабана левого фрикцио</w:t>
      </w:r>
      <w:r w:rsidRPr="00271E51">
        <w:rPr>
          <w:rFonts w:ascii="Times New Roman" w:cs="Times New Roman"/>
          <w:color w:val="000000" w:themeColor="text1"/>
          <w:spacing w:val="0"/>
        </w:rPr>
        <w:softHyphen/>
        <w:t>на, и его испытания прекратили. В заключе</w:t>
      </w:r>
      <w:r w:rsidRPr="00271E51">
        <w:rPr>
          <w:rFonts w:ascii="Times New Roman" w:cs="Times New Roman"/>
          <w:color w:val="000000" w:themeColor="text1"/>
          <w:spacing w:val="0"/>
        </w:rPr>
        <w:softHyphen/>
        <w:t>ние отчета по испытаниям КВ-85 говорилось:</w:t>
      </w:r>
    </w:p>
    <w:p w14:paraId="2A9DC3CD"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«Танк № 3107 испытания не выдержал вследствие излома выжимного рычага глав</w:t>
      </w:r>
      <w:r w:rsidRPr="00271E51">
        <w:rPr>
          <w:rFonts w:ascii="Times New Roman" w:cs="Times New Roman"/>
          <w:color w:val="000000" w:themeColor="text1"/>
          <w:spacing w:val="0"/>
        </w:rPr>
        <w:softHyphen/>
        <w:t>ного фрикциона на 119 км.</w:t>
      </w:r>
    </w:p>
    <w:p w14:paraId="016D69D7"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Наименее надежным агрегатом в танке яв</w:t>
      </w:r>
      <w:r w:rsidRPr="00271E51">
        <w:rPr>
          <w:rFonts w:ascii="Times New Roman" w:cs="Times New Roman"/>
          <w:color w:val="000000" w:themeColor="text1"/>
          <w:spacing w:val="0"/>
        </w:rPr>
        <w:softHyphen/>
        <w:t>ляется главный фрикцион, у которого на 119 км пробега произошел излом выжимного рычага. Недостатками танка, выявленными в процессе ходовых и специальных испыта</w:t>
      </w:r>
      <w:r w:rsidRPr="00271E51">
        <w:rPr>
          <w:rFonts w:ascii="Times New Roman" w:cs="Times New Roman"/>
          <w:color w:val="000000" w:themeColor="text1"/>
          <w:spacing w:val="0"/>
        </w:rPr>
        <w:softHyphen/>
        <w:t>ний, являются ненадежная фиксация гайки кривошипа направляющего колеса, низкая износоустойчивость пальцев и проушин тра</w:t>
      </w:r>
      <w:r w:rsidRPr="00271E51">
        <w:rPr>
          <w:rFonts w:ascii="Times New Roman" w:cs="Times New Roman"/>
          <w:color w:val="000000" w:themeColor="text1"/>
          <w:spacing w:val="0"/>
        </w:rPr>
        <w:softHyphen/>
        <w:t>ков. Необходимо отметить повышение каче</w:t>
      </w:r>
      <w:r w:rsidRPr="00271E51">
        <w:rPr>
          <w:rFonts w:ascii="Times New Roman" w:cs="Times New Roman"/>
          <w:color w:val="000000" w:themeColor="text1"/>
          <w:spacing w:val="0"/>
        </w:rPr>
        <w:softHyphen/>
        <w:t>ства изготовления и сборки двигателя и ко</w:t>
      </w:r>
      <w:r w:rsidRPr="00271E51">
        <w:rPr>
          <w:rFonts w:ascii="Times New Roman" w:cs="Times New Roman"/>
          <w:color w:val="000000" w:themeColor="text1"/>
          <w:spacing w:val="0"/>
        </w:rPr>
        <w:softHyphen/>
        <w:t>робки перемены передач, которые на про</w:t>
      </w:r>
      <w:r w:rsidRPr="00271E51">
        <w:rPr>
          <w:rFonts w:ascii="Times New Roman" w:cs="Times New Roman"/>
          <w:color w:val="000000" w:themeColor="text1"/>
          <w:spacing w:val="0"/>
        </w:rPr>
        <w:softHyphen/>
        <w:t>тяжении 504 км пробега работали надежно, без поломок и неисправностей...</w:t>
      </w:r>
    </w:p>
    <w:p w14:paraId="5D8212D4"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Средние скорости чистого движения по шоссе - 23,4 км/ч и по проселочной дороге - 14,3 км/ч являются достаточными» (15226).</w:t>
      </w:r>
    </w:p>
    <w:p w14:paraId="621931EC" w14:textId="77777777" w:rsidR="00827482" w:rsidRPr="00271E51" w:rsidRDefault="00827482" w:rsidP="00271E51">
      <w:pPr>
        <w:pStyle w:val="27"/>
        <w:shd w:val="clear" w:color="auto" w:fill="auto"/>
        <w:spacing w:after="0" w:line="240" w:lineRule="auto"/>
        <w:ind w:firstLine="0"/>
        <w:rPr>
          <w:rFonts w:ascii="Times New Roman" w:cs="Times New Roman"/>
          <w:color w:val="000000" w:themeColor="text1"/>
          <w:spacing w:val="0"/>
        </w:rPr>
      </w:pPr>
    </w:p>
    <w:p w14:paraId="7B9D070B" w14:textId="77777777" w:rsidR="00B95E55" w:rsidRPr="00271E51" w:rsidRDefault="00B95E55" w:rsidP="00271E51">
      <w:pPr>
        <w:pStyle w:val="a3"/>
        <w:rPr>
          <w:color w:val="000000" w:themeColor="text1"/>
          <w:lang w:val="ru-RU"/>
        </w:rPr>
      </w:pPr>
      <w:r w:rsidRPr="00271E51">
        <w:rPr>
          <w:color w:val="000000" w:themeColor="text1"/>
          <w:lang w:val="ru-RU"/>
        </w:rPr>
        <w:t>12 ноября 1943 года Артиллерийский ко</w:t>
      </w:r>
      <w:r w:rsidRPr="00271E51">
        <w:rPr>
          <w:color w:val="000000" w:themeColor="text1"/>
          <w:lang w:val="ru-RU"/>
        </w:rPr>
        <w:softHyphen/>
        <w:t>митет ГАУ КА дал Заключение к эскизному проекту ОБМ-50. Интересно, что в дополнение к трем вариантам пушки 1-й отдел Артиллерийского комитета предло</w:t>
      </w:r>
      <w:r w:rsidRPr="00271E51">
        <w:rPr>
          <w:color w:val="000000" w:themeColor="text1"/>
          <w:lang w:val="ru-RU"/>
        </w:rPr>
        <w:softHyphen/>
        <w:t>жил свое баллистическое решение по пушке. Длина ствола задавалась в 7440 мм, при этом максимальное давление достигало 3200 кг/м</w:t>
      </w:r>
      <w:r w:rsidRPr="00271E51">
        <w:rPr>
          <w:color w:val="000000" w:themeColor="text1"/>
          <w:vertAlign w:val="superscript"/>
          <w:lang w:val="ru-RU"/>
        </w:rPr>
        <w:t>2</w:t>
      </w:r>
      <w:r w:rsidRPr="00271E51">
        <w:rPr>
          <w:color w:val="000000" w:themeColor="text1"/>
          <w:lang w:val="ru-RU"/>
        </w:rPr>
        <w:t>. Та</w:t>
      </w:r>
      <w:r w:rsidRPr="00271E51">
        <w:rPr>
          <w:color w:val="000000" w:themeColor="text1"/>
          <w:lang w:val="ru-RU"/>
        </w:rPr>
        <w:softHyphen/>
        <w:t>ким образом, выбирать пришлось аж из четырех проектов:</w:t>
      </w:r>
    </w:p>
    <w:p w14:paraId="522428CE"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«Рассмотрение данных вариантов баллистических решении следует сделать, исходя из основных конструктивных и тактических требовании к орудию. Таких требовании следует указать три:</w:t>
      </w:r>
    </w:p>
    <w:p w14:paraId="503E51C2" w14:textId="77777777" w:rsidR="00B95E55" w:rsidRPr="00271E51" w:rsidRDefault="00B95E55" w:rsidP="00271E51">
      <w:pPr>
        <w:pStyle w:val="Bodytext141"/>
        <w:shd w:val="clear" w:color="auto" w:fill="auto"/>
        <w:tabs>
          <w:tab w:val="left" w:pos="562"/>
        </w:tabs>
        <w:spacing w:line="240" w:lineRule="auto"/>
        <w:ind w:firstLine="0"/>
        <w:jc w:val="both"/>
        <w:rPr>
          <w:i w:val="0"/>
          <w:color w:val="000000" w:themeColor="text1"/>
          <w:sz w:val="16"/>
          <w:szCs w:val="16"/>
        </w:rPr>
      </w:pPr>
      <w:r w:rsidRPr="00271E51">
        <w:rPr>
          <w:i w:val="0"/>
          <w:color w:val="000000" w:themeColor="text1"/>
          <w:sz w:val="16"/>
          <w:szCs w:val="16"/>
        </w:rPr>
        <w:t>1. Ствол орудия должен быть наименьшей длины; желательно полу</w:t>
      </w:r>
      <w:r w:rsidRPr="00271E51">
        <w:rPr>
          <w:i w:val="0"/>
          <w:color w:val="000000" w:themeColor="text1"/>
          <w:sz w:val="16"/>
          <w:szCs w:val="16"/>
        </w:rPr>
        <w:softHyphen/>
        <w:t>чить длину ствола около 55—58 калибров.</w:t>
      </w:r>
    </w:p>
    <w:p w14:paraId="01D3610A" w14:textId="77777777" w:rsidR="00B95E55" w:rsidRPr="00271E51" w:rsidRDefault="00B95E55" w:rsidP="00271E51">
      <w:pPr>
        <w:pStyle w:val="Bodytext141"/>
        <w:shd w:val="clear" w:color="auto" w:fill="auto"/>
        <w:tabs>
          <w:tab w:val="left" w:pos="555"/>
        </w:tabs>
        <w:spacing w:line="240" w:lineRule="auto"/>
        <w:ind w:firstLine="0"/>
        <w:jc w:val="both"/>
        <w:rPr>
          <w:i w:val="0"/>
          <w:color w:val="000000" w:themeColor="text1"/>
          <w:sz w:val="16"/>
          <w:szCs w:val="16"/>
        </w:rPr>
      </w:pPr>
      <w:r w:rsidRPr="00271E51">
        <w:rPr>
          <w:i w:val="0"/>
          <w:color w:val="000000" w:themeColor="text1"/>
          <w:sz w:val="16"/>
          <w:szCs w:val="16"/>
        </w:rPr>
        <w:t>2. Ствол должен иметь наименьшие диаметральные габариты.</w:t>
      </w:r>
    </w:p>
    <w:p w14:paraId="253E5CC7" w14:textId="77777777" w:rsidR="00B95E55" w:rsidRPr="00271E51" w:rsidRDefault="00B95E55" w:rsidP="00271E51">
      <w:pPr>
        <w:pStyle w:val="Bodytext141"/>
        <w:shd w:val="clear" w:color="auto" w:fill="auto"/>
        <w:tabs>
          <w:tab w:val="left" w:pos="582"/>
        </w:tabs>
        <w:spacing w:line="240" w:lineRule="auto"/>
        <w:ind w:firstLine="0"/>
        <w:jc w:val="both"/>
        <w:rPr>
          <w:i w:val="0"/>
          <w:color w:val="000000" w:themeColor="text1"/>
          <w:sz w:val="16"/>
          <w:szCs w:val="16"/>
        </w:rPr>
      </w:pPr>
      <w:r w:rsidRPr="00271E51">
        <w:rPr>
          <w:i w:val="0"/>
          <w:color w:val="000000" w:themeColor="text1"/>
          <w:sz w:val="16"/>
          <w:szCs w:val="16"/>
        </w:rPr>
        <w:t>3. Ствол-моноблок должен изготавливаться из стали с категорией прочности около 0— 70.</w:t>
      </w:r>
    </w:p>
    <w:p w14:paraId="647A1536"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lastRenderedPageBreak/>
        <w:t>Прикидочные расчеты, произведенные во 2 Отделе арткомитета, показывают, что величина наибольшего давления в канале ствола ни в коем случае не должна превосходить 3000 кг/см</w:t>
      </w:r>
      <w:r w:rsidRPr="00271E51">
        <w:rPr>
          <w:i w:val="0"/>
          <w:color w:val="000000" w:themeColor="text1"/>
          <w:sz w:val="16"/>
          <w:szCs w:val="16"/>
          <w:vertAlign w:val="superscript"/>
        </w:rPr>
        <w:t>2</w:t>
      </w:r>
      <w:r w:rsidRPr="00271E51">
        <w:rPr>
          <w:i w:val="0"/>
          <w:color w:val="000000" w:themeColor="text1"/>
          <w:sz w:val="16"/>
          <w:szCs w:val="16"/>
        </w:rPr>
        <w:t>. При наибольшем давлении 3200 кг/см</w:t>
      </w:r>
      <w:r w:rsidRPr="00271E51">
        <w:rPr>
          <w:i w:val="0"/>
          <w:color w:val="000000" w:themeColor="text1"/>
          <w:sz w:val="16"/>
          <w:szCs w:val="16"/>
          <w:vertAlign w:val="superscript"/>
        </w:rPr>
        <w:t>2</w:t>
      </w:r>
      <w:r w:rsidRPr="00271E51">
        <w:rPr>
          <w:i w:val="0"/>
          <w:color w:val="000000" w:themeColor="text1"/>
          <w:sz w:val="16"/>
          <w:szCs w:val="16"/>
        </w:rPr>
        <w:t xml:space="preserve"> наружный диаметр ствола будет 400 мм, что потребует от казенника ширины не менее 600 мм. Таким образом, по своей ширине орудие будет занимать 1/3 ширины боевого отделения. Далее — толстые стенки деталей ствола для моноблока (около 125 мм) будут создавать большие трудности в термообработке, а надежная прокаливаемость их может быть получена при использовании стали марки ОХНЗМ.</w:t>
      </w:r>
    </w:p>
    <w:p w14:paraId="3A8C9E12"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По условиям военного времени, введение скрепленных стволов исклю</w:t>
      </w:r>
      <w:r w:rsidRPr="00271E51">
        <w:rPr>
          <w:i w:val="0"/>
          <w:color w:val="000000" w:themeColor="text1"/>
          <w:sz w:val="16"/>
          <w:szCs w:val="16"/>
        </w:rPr>
        <w:softHyphen/>
        <w:t>чается вследствие сложности производства, и, кроме того, на заводе №172 процесс скрепления стволов в настоящее время прекращен.</w:t>
      </w:r>
    </w:p>
    <w:p w14:paraId="3F98F021"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Сточки зрения получения наименьшей длины ствола наибольшие давле</w:t>
      </w:r>
      <w:r w:rsidRPr="00271E51">
        <w:rPr>
          <w:rFonts w:ascii="Times New Roman" w:hAnsi="Times New Roman"/>
          <w:color w:val="000000" w:themeColor="text1"/>
          <w:sz w:val="16"/>
          <w:szCs w:val="16"/>
        </w:rPr>
        <w:softHyphen/>
        <w:t>ния ниже 2800 кг/см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также недопустимы, ибо, как показывает исследо</w:t>
      </w:r>
      <w:r w:rsidRPr="00271E51">
        <w:rPr>
          <w:rFonts w:ascii="Times New Roman" w:hAnsi="Times New Roman"/>
          <w:color w:val="000000" w:themeColor="text1"/>
          <w:sz w:val="16"/>
          <w:szCs w:val="16"/>
        </w:rPr>
        <w:softHyphen/>
        <w:t>вание, длина ствола при этом получается более 67калибров.</w:t>
      </w:r>
    </w:p>
    <w:p w14:paraId="694108CA"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Учитывая особое назначение орудия и предполагающееся сравни</w:t>
      </w:r>
      <w:r w:rsidRPr="00271E51">
        <w:rPr>
          <w:i w:val="0"/>
          <w:color w:val="000000" w:themeColor="text1"/>
          <w:sz w:val="16"/>
          <w:szCs w:val="16"/>
        </w:rPr>
        <w:softHyphen/>
        <w:t>тельно ограниченное распространение его в армии (не массовое орудие), следует отбросить обычно принятые требования экономичности ис</w:t>
      </w:r>
      <w:r w:rsidRPr="00271E51">
        <w:rPr>
          <w:i w:val="0"/>
          <w:color w:val="000000" w:themeColor="text1"/>
          <w:sz w:val="16"/>
          <w:szCs w:val="16"/>
        </w:rPr>
        <w:softHyphen/>
        <w:t>пользования зарядов. Коэффициент использования заряда для данного орудия следует установить в пределах 80—90, повысив относительный и абсолютный вес заряда. При этом отношение координаты точки кон</w:t>
      </w:r>
      <w:r w:rsidRPr="00271E51">
        <w:rPr>
          <w:i w:val="0"/>
          <w:color w:val="000000" w:themeColor="text1"/>
          <w:sz w:val="16"/>
          <w:szCs w:val="16"/>
        </w:rPr>
        <w:softHyphen/>
        <w:t>ца горения пороха к пути снаряда будет около 0,75, что с достаточной надежностью обеспечит полное сгорание пороха в канале ствола. Вслед</w:t>
      </w:r>
      <w:r w:rsidRPr="00271E51">
        <w:rPr>
          <w:i w:val="0"/>
          <w:color w:val="000000" w:themeColor="text1"/>
          <w:sz w:val="16"/>
          <w:szCs w:val="16"/>
        </w:rPr>
        <w:softHyphen/>
        <w:t>ствие этого увеличенного разброса начальных скоростей из-за неполного сгорания пороха не будет.</w:t>
      </w:r>
    </w:p>
    <w:p w14:paraId="7EFB0F5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современной артиллерийской практике для получения больших скоростей и мощных орудий данное мероприятие уже применяется, на</w:t>
      </w:r>
      <w:r w:rsidRPr="00271E51">
        <w:rPr>
          <w:i w:val="0"/>
          <w:color w:val="000000" w:themeColor="text1"/>
          <w:sz w:val="16"/>
          <w:szCs w:val="16"/>
        </w:rPr>
        <w:softHyphen/>
        <w:t>пример:</w:t>
      </w:r>
    </w:p>
    <w:p w14:paraId="0087596A"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88-мм самоходная пушка обр. 43/1 (Германия), 75-мм противотанко</w:t>
      </w:r>
      <w:r w:rsidRPr="00271E51">
        <w:rPr>
          <w:rFonts w:ascii="Times New Roman" w:hAnsi="Times New Roman"/>
          <w:color w:val="000000" w:themeColor="text1"/>
          <w:sz w:val="16"/>
          <w:szCs w:val="16"/>
        </w:rPr>
        <w:softHyphen/>
        <w:t>вая и танковая пушка (Германия, орудия валового производства), мощная 3-дюймовая танковая пушка (США, опытный образец).</w:t>
      </w:r>
    </w:p>
    <w:p w14:paraId="637DF9F8"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обеспечения наиболее рациональной конструкции каморы, обе</w:t>
      </w:r>
      <w:r w:rsidRPr="00271E51">
        <w:rPr>
          <w:rFonts w:ascii="Times New Roman" w:hAnsi="Times New Roman"/>
          <w:color w:val="000000" w:themeColor="text1"/>
          <w:sz w:val="16"/>
          <w:szCs w:val="16"/>
        </w:rPr>
        <w:softHyphen/>
        <w:t>спечивающей удобство заряжания, а также с целью получения наилучших конструктивных форм ствола следует увеличить бутылочность каморы до диаметров 152-мм орудия, а расчетную плотность заряжания иметь в пределах от 0,73 до 0,75».</w:t>
      </w:r>
    </w:p>
    <w:p w14:paraId="72EB7D5A" w14:textId="77777777" w:rsidR="00B95E55" w:rsidRPr="00271E51" w:rsidRDefault="00B95E55" w:rsidP="00271E51">
      <w:pPr>
        <w:pStyle w:val="a3"/>
        <w:rPr>
          <w:color w:val="000000" w:themeColor="text1"/>
          <w:lang w:val="ru-RU"/>
        </w:rPr>
      </w:pPr>
      <w:r w:rsidRPr="00271E51">
        <w:rPr>
          <w:color w:val="000000" w:themeColor="text1"/>
          <w:lang w:val="ru-RU"/>
        </w:rPr>
        <w:t xml:space="preserve">Таким образом, наиболее подходящим по конструкции проектом ОБМ-50 становился вариант </w:t>
      </w:r>
      <w:r w:rsidRPr="00271E51">
        <w:rPr>
          <w:color w:val="000000" w:themeColor="text1"/>
        </w:rPr>
        <w:t>II</w:t>
      </w:r>
      <w:r w:rsidRPr="00271E51">
        <w:rPr>
          <w:color w:val="000000" w:themeColor="text1"/>
          <w:lang w:val="ru-RU"/>
        </w:rPr>
        <w:t>. В выигрышном свете смотрелась и ка</w:t>
      </w:r>
      <w:r w:rsidRPr="00271E51">
        <w:rPr>
          <w:color w:val="000000" w:themeColor="text1"/>
          <w:lang w:val="ru-RU"/>
        </w:rPr>
        <w:softHyphen/>
        <w:t>зенная часть с клиновым затвором, указанная в требованиях на пушку. Вместе с тем было высказано требование увеличить расстояния между захватами ствола либо их переработать, поскольку имеющаяся кон</w:t>
      </w:r>
      <w:r w:rsidRPr="00271E51">
        <w:rPr>
          <w:color w:val="000000" w:themeColor="text1"/>
          <w:lang w:val="ru-RU"/>
        </w:rPr>
        <w:softHyphen/>
        <w:t>струкция могла приводить к большой качке и колебаниям. Также тре</w:t>
      </w:r>
      <w:r w:rsidRPr="00271E51">
        <w:rPr>
          <w:color w:val="000000" w:themeColor="text1"/>
          <w:lang w:val="ru-RU"/>
        </w:rPr>
        <w:softHyphen/>
        <w:t>бовалось упростить казенник, поскольку он требовал большого объема механической обработки, и уменьшить его ширину до 420—450 мм. Упрощения требовал и затвор, который следовало снабдить полуавто</w:t>
      </w:r>
      <w:r w:rsidRPr="00271E51">
        <w:rPr>
          <w:color w:val="000000" w:themeColor="text1"/>
          <w:lang w:val="ru-RU"/>
        </w:rPr>
        <w:softHyphen/>
        <w:t>матикой копирного типа.</w:t>
      </w:r>
    </w:p>
    <w:p w14:paraId="4F34DE54" w14:textId="77777777" w:rsidR="00B95E55" w:rsidRPr="00271E51" w:rsidRDefault="00B95E55" w:rsidP="00271E51">
      <w:pPr>
        <w:pStyle w:val="a3"/>
        <w:rPr>
          <w:color w:val="000000" w:themeColor="text1"/>
          <w:lang w:val="ru-RU"/>
        </w:rPr>
      </w:pPr>
      <w:r w:rsidRPr="00271E51">
        <w:rPr>
          <w:color w:val="000000" w:themeColor="text1"/>
          <w:lang w:val="ru-RU"/>
        </w:rPr>
        <w:t>Переделка пушки была не единственной задачей ОКБ-172. Дело в том, что к моменту подписания заключения по ОБМ-50 на ЧКЗ схо</w:t>
      </w:r>
      <w:r w:rsidRPr="00271E51">
        <w:rPr>
          <w:color w:val="000000" w:themeColor="text1"/>
          <w:lang w:val="ru-RU"/>
        </w:rPr>
        <w:softHyphen/>
        <w:t>дили с конвейера последние СУ-152, на установку в который и была рассчитана пушка. Таким образом, было необходимо менять и само</w:t>
      </w:r>
      <w:r w:rsidRPr="00271E51">
        <w:rPr>
          <w:color w:val="000000" w:themeColor="text1"/>
          <w:lang w:val="ru-RU"/>
        </w:rPr>
        <w:softHyphen/>
        <w:t>ходное орудие:</w:t>
      </w:r>
    </w:p>
    <w:p w14:paraId="3A42277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«1. Поручить ОКБ-172 к 15 декабря сего года представить на рассмо</w:t>
      </w:r>
      <w:r w:rsidRPr="00271E51">
        <w:rPr>
          <w:i w:val="0"/>
          <w:color w:val="000000" w:themeColor="text1"/>
          <w:sz w:val="16"/>
          <w:szCs w:val="16"/>
        </w:rPr>
        <w:softHyphen/>
        <w:t>трение Арткомитета технический проект 122-мм самоходной пуш</w:t>
      </w:r>
      <w:r w:rsidRPr="00271E51">
        <w:rPr>
          <w:i w:val="0"/>
          <w:color w:val="000000" w:themeColor="text1"/>
          <w:sz w:val="16"/>
          <w:szCs w:val="16"/>
        </w:rPr>
        <w:softHyphen/>
        <w:t>ки большой мощности, выполненный с учетом всех замечаний, изло</w:t>
      </w:r>
      <w:r w:rsidRPr="00271E51">
        <w:rPr>
          <w:i w:val="0"/>
          <w:color w:val="000000" w:themeColor="text1"/>
          <w:sz w:val="16"/>
          <w:szCs w:val="16"/>
        </w:rPr>
        <w:softHyphen/>
        <w:t>женных в разделах «Технический анализ» и «Выводы».</w:t>
      </w:r>
    </w:p>
    <w:p w14:paraId="16EFD53F" w14:textId="77777777" w:rsidR="00B95E55" w:rsidRPr="00271E51" w:rsidRDefault="00B95E55" w:rsidP="00271E51">
      <w:pPr>
        <w:pStyle w:val="Bodytext141"/>
        <w:shd w:val="clear" w:color="auto" w:fill="auto"/>
        <w:tabs>
          <w:tab w:val="left" w:pos="501"/>
        </w:tabs>
        <w:spacing w:line="240" w:lineRule="auto"/>
        <w:ind w:firstLine="0"/>
        <w:jc w:val="both"/>
        <w:rPr>
          <w:i w:val="0"/>
          <w:color w:val="000000" w:themeColor="text1"/>
          <w:sz w:val="16"/>
          <w:szCs w:val="16"/>
        </w:rPr>
      </w:pPr>
      <w:r w:rsidRPr="00271E51">
        <w:rPr>
          <w:i w:val="0"/>
          <w:color w:val="000000" w:themeColor="text1"/>
          <w:sz w:val="16"/>
          <w:szCs w:val="16"/>
        </w:rPr>
        <w:t>2. Установку пушки предусмотреть в корпус самохода «ИС-152». Про</w:t>
      </w:r>
      <w:r w:rsidRPr="00271E51">
        <w:rPr>
          <w:i w:val="0"/>
          <w:color w:val="000000" w:themeColor="text1"/>
          <w:sz w:val="16"/>
          <w:szCs w:val="16"/>
        </w:rPr>
        <w:softHyphen/>
        <w:t>ектирование установки пушки в корпус самохода просить Нарко</w:t>
      </w:r>
      <w:r w:rsidRPr="00271E51">
        <w:rPr>
          <w:i w:val="0"/>
          <w:color w:val="000000" w:themeColor="text1"/>
          <w:sz w:val="16"/>
          <w:szCs w:val="16"/>
        </w:rPr>
        <w:softHyphen/>
        <w:t>мат Танковой Промышленности поручить заводу №100 НКТП.</w:t>
      </w:r>
    </w:p>
    <w:p w14:paraId="09D49866" w14:textId="77777777" w:rsidR="00B95E55" w:rsidRPr="00271E51" w:rsidRDefault="00B95E55" w:rsidP="00271E51">
      <w:pPr>
        <w:pStyle w:val="Bodytext141"/>
        <w:shd w:val="clear" w:color="auto" w:fill="auto"/>
        <w:tabs>
          <w:tab w:val="left" w:pos="534"/>
        </w:tabs>
        <w:spacing w:line="240" w:lineRule="auto"/>
        <w:ind w:firstLine="0"/>
        <w:jc w:val="both"/>
        <w:rPr>
          <w:i w:val="0"/>
          <w:color w:val="000000" w:themeColor="text1"/>
          <w:sz w:val="16"/>
          <w:szCs w:val="16"/>
        </w:rPr>
      </w:pPr>
      <w:r w:rsidRPr="00271E51">
        <w:rPr>
          <w:i w:val="0"/>
          <w:color w:val="000000" w:themeColor="text1"/>
          <w:sz w:val="16"/>
          <w:szCs w:val="16"/>
        </w:rPr>
        <w:t>3. При разработке технического проекта, ОКБ-172 НКВ произвести с заводом №100 согласование установочных координат, и габарит</w:t>
      </w:r>
      <w:r w:rsidRPr="00271E51">
        <w:rPr>
          <w:i w:val="0"/>
          <w:color w:val="000000" w:themeColor="text1"/>
          <w:sz w:val="16"/>
          <w:szCs w:val="16"/>
        </w:rPr>
        <w:softHyphen/>
        <w:t>ных размеров пушки.</w:t>
      </w:r>
    </w:p>
    <w:p w14:paraId="3BE7319C"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Просить НКВ изготовить 122-мм пушку большой мощности на заво</w:t>
      </w:r>
      <w:r w:rsidRPr="00271E51">
        <w:rPr>
          <w:rFonts w:ascii="Times New Roman" w:hAnsi="Times New Roman"/>
          <w:color w:val="000000" w:themeColor="text1"/>
          <w:sz w:val="16"/>
          <w:szCs w:val="16"/>
        </w:rPr>
        <w:softHyphen/>
        <w:t xml:space="preserve">де №172 НКВ в первой декаде января 1944 года. </w:t>
      </w:r>
    </w:p>
    <w:p w14:paraId="2F66FC2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5. Изготовление 122-мм пушки особой мощности и установку ее в кор</w:t>
      </w:r>
      <w:r w:rsidRPr="00271E51">
        <w:rPr>
          <w:i w:val="0"/>
          <w:color w:val="000000" w:themeColor="text1"/>
          <w:sz w:val="16"/>
          <w:szCs w:val="16"/>
        </w:rPr>
        <w:softHyphen/>
        <w:t>пусе самохода просить НКТП осуществить к 25 января 1944 года» (17484).</w:t>
      </w:r>
    </w:p>
    <w:p w14:paraId="1CE311EC"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4E334A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 была подготовлена СПРАВКА ТУ ГБТУ КА ПО СПЕЦИАЛЬНОЙ ТЕЛЕТАНКОВОЙ ГРУППЕ (ПОДРЫВНИК), СОЗДАННОЙ НА БАЗЕ ТАНКА Т-26 С ТЕЛЕМЕХАНИЧЕСКОЙ АППАРАТУРОЙ ТОС-8</w:t>
      </w:r>
    </w:p>
    <w:p w14:paraId="20B81A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войны с Финляндией в г. Ленинграде на заводе №185 была построена одна специаль</w:t>
      </w:r>
      <w:r w:rsidRPr="00271E51">
        <w:rPr>
          <w:rFonts w:ascii="Times New Roman" w:hAnsi="Times New Roman"/>
          <w:color w:val="000000" w:themeColor="text1"/>
          <w:sz w:val="16"/>
          <w:szCs w:val="16"/>
        </w:rPr>
        <w:softHyphen/>
        <w:t>ная телетанковая группа «Подрывник», которая предназначалась для подрыва дотов, дзотов, а также для проделывания проходов через различные противотанковые заграждения.</w:t>
      </w:r>
    </w:p>
    <w:p w14:paraId="51D745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 телетанковой группы «Подрывник».</w:t>
      </w:r>
    </w:p>
    <w:p w14:paraId="4A94638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Телетанковая группа «Подрывник», как и обычные телетанковые группы, состоит из 2-х тан</w:t>
      </w:r>
      <w:r w:rsidRPr="00271E51">
        <w:rPr>
          <w:rFonts w:ascii="Times New Roman" w:hAnsi="Times New Roman"/>
          <w:color w:val="000000" w:themeColor="text1"/>
          <w:sz w:val="16"/>
          <w:szCs w:val="16"/>
        </w:rPr>
        <w:softHyphen/>
        <w:t>ков Т-26 с аппаратурой ТОС-8 и имеет один танк управления (ТУ), оборудованный радиопередаю-щим устройством, и один телетанк (ТТ), оборудованный радиоприемным устройством.</w:t>
      </w:r>
    </w:p>
    <w:p w14:paraId="39BA1C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Танк управления (ТУ).</w:t>
      </w:r>
    </w:p>
    <w:p w14:paraId="33E68B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Представляет собой обычный телетанк Т-26, но который имеет броневой экран с толщиной брони от 15 до 60 мм, ходовая часть специально была разработана заводом №185. Вооружение на ТУ-пушка 45 мм и пулемет ДТ. Экипаж: танка 3 человека (командир, водитель и стрелок), вес танка ТУ около 13 тонн.</w:t>
      </w:r>
    </w:p>
    <w:p w14:paraId="2E8F948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Телетанк (ТТ) «Подрывник» представляет собой в основном телетанк Т-26, с которого снята башня. Броневая защита корпуса телетанка усилена за счет дополнительного бронирования путем наложения экранов толщиной 30 - 60 мм.</w:t>
      </w:r>
    </w:p>
    <w:p w14:paraId="55425F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переднем лобовом листе имеется приспособление для установки броневого ящика, в кото</w:t>
      </w:r>
      <w:r w:rsidRPr="00271E51">
        <w:rPr>
          <w:rFonts w:ascii="Times New Roman" w:hAnsi="Times New Roman"/>
          <w:color w:val="000000" w:themeColor="text1"/>
          <w:sz w:val="16"/>
          <w:szCs w:val="16"/>
        </w:rPr>
        <w:softHyphen/>
        <w:t>рый укладывается взрывчатое вещество (ВВ).</w:t>
      </w:r>
    </w:p>
    <w:p w14:paraId="6E51DF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Броневой ящик изготовлен из листов брони толщиной в 60 мм, ящик вмещает в себя до 350 кг ВВ.</w:t>
      </w:r>
    </w:p>
    <w:p w14:paraId="55FD2A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Ящик ВВ может сбрасываться с телетанка по радио с танка управления или вручную, если води</w:t>
      </w:r>
      <w:r w:rsidRPr="00271E51">
        <w:rPr>
          <w:rFonts w:ascii="Times New Roman" w:hAnsi="Times New Roman"/>
          <w:color w:val="000000" w:themeColor="text1"/>
          <w:sz w:val="16"/>
          <w:szCs w:val="16"/>
        </w:rPr>
        <w:softHyphen/>
        <w:t>тель будет находится в телетанке.</w:t>
      </w:r>
    </w:p>
    <w:p w14:paraId="6C4363F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телетанка с ящиком ВВ составляет около 15 тонн. Скорость движения телетанка «Подрывник» по дороге 8-10 км в час, по местности и зимой по снегу 3-5 км в час.</w:t>
      </w:r>
    </w:p>
    <w:p w14:paraId="705F68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Телетанковая группа «Подрывник» проходила испытания как на фронте на Карельском пере</w:t>
      </w:r>
      <w:r w:rsidRPr="00271E51">
        <w:rPr>
          <w:rFonts w:ascii="Times New Roman" w:hAnsi="Times New Roman"/>
          <w:color w:val="000000" w:themeColor="text1"/>
          <w:sz w:val="16"/>
          <w:szCs w:val="16"/>
        </w:rPr>
        <w:softHyphen/>
        <w:t>шейке, так и после войны с Финляндией на полигоне ГБТУ КА (ст. Кубинка).</w:t>
      </w:r>
    </w:p>
    <w:p w14:paraId="173AD7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При испытаниях отмечено:</w:t>
      </w:r>
    </w:p>
    <w:p w14:paraId="4767EB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управлять телетанком «Подрывник» по радио можно только с дистанции 50-100 метров. С больших дистанций сбросить ящик ВВ точно у цели очень затруднительно, отсюда ящик с ВВ исполь</w:t>
      </w:r>
      <w:r w:rsidRPr="00271E51">
        <w:rPr>
          <w:rFonts w:ascii="Times New Roman" w:hAnsi="Times New Roman"/>
          <w:color w:val="000000" w:themeColor="text1"/>
          <w:sz w:val="16"/>
          <w:szCs w:val="16"/>
        </w:rPr>
        <w:softHyphen/>
        <w:t>зовать для подрыва эффективно не представлялось возможным.</w:t>
      </w:r>
    </w:p>
    <w:p w14:paraId="78BDE6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телетанковая аппаратура часто отказывала в работе, и телетанк уходил из управления.</w:t>
      </w:r>
    </w:p>
    <w:p w14:paraId="28432B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несмотря на модернизацию ходовой части телетанка, проходимость его была весьма слабой, и телетанк часто застревал на препятствиях, в особенности в воронках от снарядов.</w:t>
      </w:r>
    </w:p>
    <w:p w14:paraId="33FA23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Исходя из этого решено было специально телетанки «Подрывник» не строить. Целесообразно будет использовать телетанковый механизм перевозки и сброски ящика с ВВ на современных тан</w:t>
      </w:r>
      <w:r w:rsidRPr="00271E51">
        <w:rPr>
          <w:rFonts w:ascii="Times New Roman" w:hAnsi="Times New Roman"/>
          <w:color w:val="000000" w:themeColor="text1"/>
          <w:sz w:val="16"/>
          <w:szCs w:val="16"/>
        </w:rPr>
        <w:softHyphen/>
        <w:t>ках ручного управления.</w:t>
      </w:r>
    </w:p>
    <w:p w14:paraId="1E2D189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4315EB9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помощник 6 отдела ТУ ГБТУ КА подполковник Дорофеев</w:t>
      </w:r>
    </w:p>
    <w:p w14:paraId="3AFCE9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1423. Л. 179,180. Подлинник (11403).</w:t>
      </w:r>
    </w:p>
    <w:p w14:paraId="13899E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D7D82"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 из СООБЩЕНИЯ И.О. ДИРЕКТОРА ЗАВОДА № 208 Г.А. ЗЕЙТЛЕНКА И ПАРТОРГА ЦК ВКЩб) А.С. ГЕЦИНА СЕКРЕТАРЮ НОВОСИБИРСКОГО ОБКОМА ВКП(б) М.В. КУЛАГИНУ О ПРОДУКЦИИ, ВЫПУСКАЕМОЙ ДЛЯ КРАСНОЙ АРМИИ И ВОЕННО-МОРСКОГО ФЛОТА</w:t>
      </w:r>
    </w:p>
    <w:p w14:paraId="31E49AB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Новосибирского областного комитета ВКП(б) тов. Кулагину М.В Копия - тов. Семину А.В.</w:t>
      </w:r>
    </w:p>
    <w:p w14:paraId="2A0FA0E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208 НКЭП выпускает для Красной Армии и Военно—Морского Флота:</w:t>
      </w:r>
    </w:p>
    <w:p w14:paraId="349C18D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Радиостанции типа PAT для штабов фронта, армий и тяжелых аэродромов. Эти радиостанции являются самыми мощными, принятыми на вооружение КА и ВМФ, обладающими наиболее высокими показателями и обеспечивающими связь ставки Верховного Главнокомандующего со штабами фронтов и армий, тяжелых аэродромов с авиацией дальнего действия. Являются также основными радиостанциями радиоцентров генштабов КА и ВМФ, а также правительственной связи, устанавливаемой НКВД в освобожденных районах.</w:t>
      </w:r>
    </w:p>
    <w:p w14:paraId="63715A3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Радиоустановки типа РУС-2, служащие для противовоздушной обороны при налетах вражеской авиации путем дальнего обнаружения летящих самолетов противника, определения их числа, наведения своей истребительной авиации на вражескую, определения местонахождения вражеских аэродромов, расположенных в прифронтовой полосе, а также для контроля за полетами своей авиации при выполнении ею боевых заданий. Радиообнаружение самолетов, кораблей, подводных лодок, а также управление огнем зенитных батарей, прожекторных установок и корректировка огня корабельной артиллерии развились только в результате современной войны. Мы являемся единственным заводом, выпускающим подвижные установки для дальнего обнаружения, используемые в прифронтовых условиях.</w:t>
      </w:r>
    </w:p>
    <w:p w14:paraId="0E9F3B6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Радиоузлы типа РК-42 для дивизионной, корпусной и армейской сети, позволяющие штабам соединений вести одновременную связь по нескольким направлениям. Важность радиоузлов была определена во время войны, и мы являемся единственным в промышленности заводом, выпускающим радиоузлы.</w:t>
      </w:r>
    </w:p>
    <w:p w14:paraId="0DB70AE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Радиостанции т[ипа] БУХТА-42 изготовляются только на нашем заводе для всех типов подводных и надводных кораблей и береговой службы ВМФ.</w:t>
      </w:r>
    </w:p>
    <w:p w14:paraId="422A1F0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Таким образом, абсолютно вся аппаратура, выпускаемая заводом № 208, является уникальной, нигде более не производимой, имеющей особо важное значение для КА И ВМФ. Между тем, начиная с 1 ноября 1943 года, завод № 208, вопреки решению ГКО № 43 540 от 19 октября сего года, лимитируется электроэнергией, а с 5 </w:t>
      </w:r>
      <w:r w:rsidRPr="00271E51">
        <w:rPr>
          <w:rFonts w:ascii="Times New Roman" w:hAnsi="Times New Roman"/>
          <w:color w:val="000000" w:themeColor="text1"/>
          <w:sz w:val="16"/>
          <w:szCs w:val="16"/>
        </w:rPr>
        <w:lastRenderedPageBreak/>
        <w:t>ноября сего года по 10 ноября сего года остановлен полностью. В настоящее время ему установлен лимит 1 500 кВт в сутки, что является абсолютно не обеспечивающим выполнение плана ГКО. Для обеспечения плана ГКО прошу Вашего указания об установлении лимита минимально 6 000 кВт.час в сутки.</w:t>
      </w:r>
    </w:p>
    <w:p w14:paraId="64F4301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директора завода № 208 Зейтленок</w:t>
      </w:r>
    </w:p>
    <w:p w14:paraId="06E5F48B"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Парторг ЦК ВКП(б) Гецин</w:t>
      </w:r>
    </w:p>
    <w:p w14:paraId="3EE33A9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On. 7. Д. 490. Л. 268. Подлинник.</w:t>
      </w:r>
    </w:p>
    <w:p w14:paraId="2E4B47E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Подписи-автографы Зейтленка и Гецина. Документ составлен на бланке, в левом верхнем углу - штамп завода № 208 и дата отправления документа: 12.11.1943 г. Отпечатано 3 экз. Под документом резолюция: «Заводу № 208 выделить лимит на ноябрь по ГКО...». Дата: «22.11.1943 г.» Под ней две подписи-росчерка (12194).</w:t>
      </w:r>
    </w:p>
    <w:p w14:paraId="1912910F"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853B7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года вышел Приказ № 572с НКТП о перебазировании завода № 39 на площадку завода № 37, ликвидировав на последнем ремонт танков. На объединенный заводе было предложено перенести с завода № 39 ремонт дизельмоторов и развернуть производство запчастей к этим моторам. К концу 1943 года завод прекратил свое существование (8839).</w:t>
      </w:r>
    </w:p>
    <w:p w14:paraId="3EA070F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97D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Распоряжение ГКО № 4543. О мерах по завершению строительно-монтажных работ на заводе № 1600 НКБП и обеспечению увеличения выпуска коллоксилина.РГАНИР, Фонд ГКО, д. 174, лл. 1-3, 4-5 (11012).</w:t>
      </w:r>
    </w:p>
    <w:p w14:paraId="68EDC1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22B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4544 О прекращении эвакуации оборудования из г. Ленинграда.РГАНИР, Фонд ГКО, д. 174, лл. 6 (11012).</w:t>
      </w:r>
    </w:p>
    <w:p w14:paraId="2DF02F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814B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4545 Об обеспечении отгрузки импортных грузов из Владивостока в ноябре и декабре 1943 г. (7156, 7-9).</w:t>
      </w:r>
    </w:p>
    <w:p w14:paraId="524F00F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E54AA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4546 Об обеспечении вывоза импортных грузов в ноябре-декабре 1943 г. из Красноводска, Ашхабада и Кизыл-Арвата. (7156, 10-11).</w:t>
      </w:r>
    </w:p>
    <w:p w14:paraId="666E3F6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38F5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4547 Об обеспечении вывоза импортных грузов с Закавказской и Орджоникидзевской железных дорог в ноябре и декабре 1943 года. (7156, 12-14).</w:t>
      </w:r>
    </w:p>
    <w:p w14:paraId="081DC6A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5BDA2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4548 [О выделении грузовых автомашин с шоферами на восстановление керосинопровода Тихорецкая - Трудовая и нефтебаз Азово-Черноморского побережья.] (7156, 15).</w:t>
      </w:r>
    </w:p>
    <w:p w14:paraId="53CCD4F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22C8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4549 Об улучшении работы предприятий текстильной промышленности. (7156, 16-22,23-34).</w:t>
      </w:r>
    </w:p>
    <w:p w14:paraId="7843A82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71A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вышло Постановление ГКО № 4550 О поставках материалов и оборудования для завершения восстановления, ремонта и подготовки нефтебаз к зиме 1943/44 гг.РГАНИР, Фонд ГКО, д. 174, лл. 35, 36-41 (11012).</w:t>
      </w:r>
    </w:p>
    <w:p w14:paraId="7DEC89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F5D0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была подготовлена [Справка о выдаче мандата комиссии по проверке положения дел в 16-й запасной бригаде Орловского ВО.] № 4551 (7156, 42).</w:t>
      </w:r>
    </w:p>
    <w:p w14:paraId="43819DA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89F917" w14:textId="77777777" w:rsidR="009A1BAB" w:rsidRPr="00271E51" w:rsidRDefault="009A1B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года № 3а/268 завод «Красное Сормово» направляет в Наркомат Танковой промышленности, Наркомат Судостроительной промышленности и в Наркомат Военно-Морских Сил совершенно секретное письмо от о развитии работ по новому направлению в военном кораблестроении - катерам на подводных крыльях (19678).</w:t>
      </w:r>
    </w:p>
    <w:p w14:paraId="6E25D6FF" w14:textId="77777777" w:rsidR="009A1BAB" w:rsidRPr="00271E51" w:rsidRDefault="009A1BAB" w:rsidP="00271E51">
      <w:pPr>
        <w:spacing w:after="0" w:line="240" w:lineRule="auto"/>
        <w:jc w:val="both"/>
        <w:rPr>
          <w:rFonts w:ascii="Times New Roman" w:hAnsi="Times New Roman"/>
          <w:color w:val="000000" w:themeColor="text1"/>
          <w:sz w:val="16"/>
          <w:szCs w:val="16"/>
        </w:rPr>
      </w:pPr>
    </w:p>
    <w:p w14:paraId="3CB5E73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97385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D11C7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12 ноября </w:t>
      </w:r>
      <w:r w:rsidRPr="00271E51">
        <w:rPr>
          <w:rFonts w:ascii="Times New Roman" w:hAnsi="Times New Roman"/>
          <w:color w:val="000000" w:themeColor="text1"/>
          <w:sz w:val="16"/>
          <w:szCs w:val="16"/>
        </w:rPr>
        <w:t>в 1943 году оперативная сводка Совинформбюро:</w:t>
      </w:r>
    </w:p>
    <w:p w14:paraId="243D60C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ноября войска 1-го Украинского фронта овладели районным центром Житомирской области городом Коростышев, а также заняли более 100 других населённых пунктов, среди которых крупные населённые пункты Красиловка, Володарка, Термаховка, Обуховичи, Слобода Кухарская, Пенизевичи, Фёдоровка, Мирча, Детинец, Русановка, Ляховая, Заньки, Чайковка, Торчин, Слипчицы,Слободка, Шахворостивка, Водотый, Болячев, Гнилец, Соболевка, Липки, Кривое и железнодорожные станции Ирша, Пенизевичи, Скочище. В районе Фастова наши войска отбивали контратаки пехоты и танков противника.</w:t>
      </w:r>
    </w:p>
    <w:p w14:paraId="61B6E64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по расширению плацдарма и овладели рядом сильно укреплённых опорных пунктов противника.</w:t>
      </w:r>
    </w:p>
    <w:p w14:paraId="40ACCA72"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Речица наши войска, преодолевая сопротивление противника, продолжаливести бои по расширению плацдарма на правом берегу Днепра и заняли несколько населённых пунктов.</w:t>
      </w:r>
    </w:p>
    <w:p w14:paraId="3FDF480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3DB6C3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ноября наши войска на всех фронтах подбили и уничтожили 113 немецких танков. В воздушных боях и огнём зенитной артиллерии сбито 18 самолётов противника.</w:t>
      </w:r>
    </w:p>
    <w:p w14:paraId="43D2755C"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Наши части, продвигаясь вдоль шоссейной дороги Киев — Житомир, вышли к городу Коростышев и завязали бои с войсками противника, оборонявшими этот важный опорный пункт. В это время кавалеристы обошли город с севера и нанесли немцам внезапный удар.</w:t>
      </w:r>
    </w:p>
    <w:p w14:paraId="7BED1113"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ожесточённого боя вражеский гарнизон был разгромлен. Овладев городом Коростышев, наши войска захватили 24 орудия, из них 2 самоходных, 300 автомашин и повозок с грузами, 10 разных складов и другие трофеи. Взяты пленные. В районе южнее и юго-восточнее города Фастов немцы, сосредоточив крупные силыпехоты и танков, неоднократно контратаковали наши части. Весь день шли ожесточённые бои, в ходе которых противник понёс тяжёлые потери. Подбито и уничтожено до 70 немецких танков и бронемашин, 8 самоходных орудий и 26 бронетранспортёров. Противник потерял убитыми свыше 2.000 солдат и офицеров.</w:t>
      </w:r>
    </w:p>
    <w:p w14:paraId="50B5111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за расширение плацдарма и заняли несколько сильно укреплённых опорных пунктов.Северо-восточнее города Керчь наши части вклинились в оборону противника и смелым манёвром окружили немцев в районе одного населённого пункта. Противник пыталсяна катерах эвакуировать часть своих окружённых войск. Советские артиллеристы потопили несколько катеров и не подпустили к берегу другие вражеские суда. Наши бойцы в результате ожесточённой схватки ликвидировали окружённую группу противника. На поле боя осталось до 1.500 вражеских трупов. Многие гитлеровцы утонули в море. Захвачено 26 орудий, 14 миномётов, 70 пулемётов, более 1.500 винтовок и автоматов, 10 прожекторов, 8 складов с боеприпасами и разным военным имуществом. Взято значительное количество пленных. Южнее города Керчь противникпытался вести разведку боем, но был отброшен на исходные позиции.</w:t>
      </w:r>
    </w:p>
    <w:p w14:paraId="4D5E989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 правом берегу Днепра, наши войска, преодолевая сопротивление противника, шаг за шагом продвигались вперёд и заняли несколько населённых пунктов. В боях за эти пункты уничтожено свыше 1.000 гитлеровцев, 16 немецкихтанков, 5 самоходных и 38 полевых орудий, 35 миномётов и 2 бронетранспортёра. Захвачено у противника 15 орудий, 11 миномётов, 60 пулемётов, 4 радиостанции и другие трофеи. Взяты пленные.</w:t>
      </w:r>
    </w:p>
    <w:p w14:paraId="4111D4B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наносила удары по боевым порядкам немецких войск и уничтожила несколько танков, свыше 20 полевых и зенитных орудий, до 100 автомашин противника с войсками и грузами.</w:t>
      </w:r>
    </w:p>
    <w:p w14:paraId="641B53B7"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партизан, действующих в Белостокской области, взорвала большой железобетонный мост. Движение автотранспорта противника на важном участке шоссейной дороги прервано на длительный срок. Другая группа белостокских партизан пустила под откос немецкий воинский эшелон, следовавший к линии фронта. Разбиты паровоз и 15 вагонов с войсками. Партизаны отряда, действующего вМинской области, проникли в крупный населённый пункт и подожгли склад противника с горючим. Уничтожено свыше 80 тонн бензина.</w:t>
      </w:r>
    </w:p>
    <w:p w14:paraId="0767736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110 мотополка 11 немецкой танковой дивизии Бернгард Дассекрассказал: «Военное обучение я проходил во Франции в 372 запасном батальоне. В мае текущего года меня направили в 10 роту 369 гренадерского полка, охранявшего морское побережье у Тулона. После капитуляции Италии наш полк участвовал в разоружении итальянских альпийских батальонов. Во второй половине сентября третий батальон 369 полка был спешно переброшен на советско-германский фронт. Ехали мы по маршруту Марсель — Лион — Дижон — Нюрнберг — Прага — Львов. В район боёв батальон прибыл в середине октября. Нас передали в распоряжение 11 танковой дивизии. Обстановка на фронте меня ошеломила. После нескольких неудачных контратак солдаты ходили как обречённые. Всюду царила неразбериха ирастерянность. Я не хотел сражаться за безнадёжное дело и сдался в плен».</w:t>
      </w:r>
    </w:p>
    <w:p w14:paraId="26C289FD"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Жители села Кувечичи, Черниговской области, составили акт о зверствах немецких захватчиков. В акте говорится: «28 апреля текущего года немецкие изверги учинили зверскую расправу над мирным населением. Немецкие автоматчики оцепили село и начали жечь дома вместе с находившимися в них людьми. Из 340 домов </w:t>
      </w:r>
      <w:r w:rsidRPr="00271E51">
        <w:rPr>
          <w:rFonts w:ascii="Times New Roman" w:hAnsi="Times New Roman"/>
          <w:color w:val="000000" w:themeColor="text1"/>
          <w:sz w:val="16"/>
          <w:szCs w:val="16"/>
        </w:rPr>
        <w:lastRenderedPageBreak/>
        <w:t>огнём уничтожено 270. Сгорело 160 стариков, женщин и детей. Некоторые крестьяне, а также женщины с детьми пытались бежать. Гитлеровцы стреляли в них из автоматов. Весь день фашистские убийцы чинили кровавую расправу над ни в чём не повинным населением села. Мы никогда не забудем этого дня и надеемся, что Красная Армия отомстит немецким мерзавцам за наши слёзы и горе».</w:t>
      </w:r>
    </w:p>
    <w:p w14:paraId="10346D67"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сельсовета села Кувечичи И.Ланько, колхозники С.Кругляк, Д.Савченко, А.Ланькова, Н.Лясун, Е.Шуляк, А.Шестак и другие.» (14828).</w:t>
      </w:r>
    </w:p>
    <w:p w14:paraId="4655CEA0"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64E4B188" w14:textId="77777777" w:rsidR="009A1BAB" w:rsidRPr="00271E51" w:rsidRDefault="009A1BAB" w:rsidP="00271E51">
      <w:pPr>
        <w:pStyle w:val="book"/>
        <w:ind w:firstLine="0"/>
        <w:jc w:val="both"/>
        <w:rPr>
          <w:color w:val="000000" w:themeColor="text1"/>
          <w:sz w:val="16"/>
          <w:szCs w:val="16"/>
        </w:rPr>
      </w:pPr>
      <w:r w:rsidRPr="00271E51">
        <w:rPr>
          <w:color w:val="000000" w:themeColor="text1"/>
          <w:sz w:val="16"/>
          <w:szCs w:val="16"/>
        </w:rPr>
        <w:t>12 ноября 1943 г. действуя по артиллерийской батарее среднего калибра в районе Новосиль тремя группами самолётов Ил-2, были сброшены 37 самолётами бомбы ФАБ-100; кроме того, батарея была обстреляна пушечным огнем и РС. Непосредственно на позиции батареи было 7 попаданий ФАБ-100, однако материальная часть и расчёт потерь не имели (17737).</w:t>
      </w:r>
    </w:p>
    <w:p w14:paraId="347B8D57" w14:textId="77777777" w:rsidR="009A1BAB" w:rsidRPr="00271E51" w:rsidRDefault="009A1BAB" w:rsidP="00271E51">
      <w:pPr>
        <w:pStyle w:val="book"/>
        <w:ind w:firstLine="0"/>
        <w:jc w:val="both"/>
        <w:rPr>
          <w:color w:val="000000" w:themeColor="text1"/>
          <w:sz w:val="16"/>
          <w:szCs w:val="16"/>
        </w:rPr>
      </w:pPr>
    </w:p>
    <w:p w14:paraId="02EA21C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12 ноября </w:t>
      </w:r>
      <w:r w:rsidRPr="00271E51">
        <w:rPr>
          <w:rFonts w:ascii="Times New Roman" w:hAnsi="Times New Roman"/>
          <w:color w:val="000000" w:themeColor="text1"/>
          <w:sz w:val="16"/>
          <w:szCs w:val="16"/>
        </w:rPr>
        <w:t>в 1943 году подводная лодка Черноморского флота «М-111» потопила транспорт "Теодорикс" (14828).</w:t>
      </w:r>
    </w:p>
    <w:p w14:paraId="6B1E29E7"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7F3A6A9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12 ноября </w:t>
      </w:r>
      <w:r w:rsidRPr="00271E51">
        <w:rPr>
          <w:rFonts w:ascii="Times New Roman" w:hAnsi="Times New Roman"/>
          <w:color w:val="000000" w:themeColor="text1"/>
          <w:sz w:val="16"/>
          <w:szCs w:val="16"/>
        </w:rPr>
        <w:t>в 1943 году завершилась Киевская операция: советские войска разгромили 12 пехотных, 2 танковые и 1 моторизованные. дивизии противника. За отличия в боях 89 частей и соединений удостоены почетных наименований (14828).</w:t>
      </w:r>
    </w:p>
    <w:p w14:paraId="7F192F4C"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04387937"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12 ноября </w:t>
      </w:r>
      <w:r w:rsidRPr="00271E51">
        <w:rPr>
          <w:rFonts w:ascii="Times New Roman" w:hAnsi="Times New Roman"/>
          <w:color w:val="000000" w:themeColor="text1"/>
          <w:sz w:val="16"/>
          <w:szCs w:val="16"/>
        </w:rPr>
        <w:t>в 1943 году войска 1-го Украинского фронта вклинились в оборону противника на стыке групп армий «Центр» и «Юг» и создали в районе Киева на правом берегу Днепра плацдарм глубиной до 150 км (14828).</w:t>
      </w:r>
    </w:p>
    <w:p w14:paraId="058ED72D"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53E1828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советские войска освободили Житомир (4962).</w:t>
      </w:r>
    </w:p>
    <w:p w14:paraId="0D5A7E0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A23A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12 1943 Russians capture Zhitomir (1037).</w:t>
      </w:r>
    </w:p>
    <w:p w14:paraId="61ABE7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EDEA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12 </w:t>
      </w:r>
      <w:r w:rsidRPr="00271E51">
        <w:rPr>
          <w:rFonts w:ascii="Times New Roman" w:hAnsi="Times New Roman"/>
          <w:color w:val="000000" w:themeColor="text1"/>
          <w:sz w:val="16"/>
          <w:szCs w:val="16"/>
        </w:rPr>
        <w:t>ноября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былосвобожденЖитомир</w:t>
      </w:r>
      <w:r w:rsidRPr="00271E51">
        <w:rPr>
          <w:rFonts w:ascii="Times New Roman" w:hAnsi="Times New Roman"/>
          <w:color w:val="000000" w:themeColor="text1"/>
          <w:sz w:val="16"/>
          <w:szCs w:val="16"/>
          <w:lang w:val="en-US"/>
        </w:rPr>
        <w:t xml:space="preserve"> (1037).</w:t>
      </w:r>
    </w:p>
    <w:p w14:paraId="34467A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C963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Житомирско-Бердичевской операции противник, готовя контрудар, начал перебрасывать в полосу действий 1УФ резервы. Воздушная разведка выявила маневр. Соединения ш и б 2ВА совершив 2500 вылетов причинили большой урон и помогли войскам 40, 38 и 1ТА отразить контрудары (518,165).</w:t>
      </w:r>
    </w:p>
    <w:p w14:paraId="5F024D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A62D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48DF2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9FB49D" w14:textId="77777777" w:rsidR="009A1BAB" w:rsidRPr="00271E51" w:rsidRDefault="009A1BAB"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г. в сообщении Дзержинского горотдела НКВД сообщалось: «В последнее время в городе появились различные конторы по сбору у граждан за деньги макулатуры, железа и прочих ценностей. Между тем, как показала проверка, проведенная в октябре месяце, некоторые такие пункты существуют незаконно, не имея никаких документов, а работающие там лица не могут ответить на вопрос, куда и кому собранные у населения вещи и материалы поставляются». На улице Коммунаров, в частном секторе города, был выявлен нелегальный пункт, занимавшийся скупкой лома цветных и черных металлов. Металлолом хранился прямо на огороде одного из домов, причем кому и куда он предназначался, никто из задержанных толком ответить не смог. Попутно сотрудники НКВД задержали двух граждан — Никитина и Сидоренко, собиравшихся продать две болванки от 160-мм реактивных снарядов. Как оказалось, последние были каким-то образом вывезены ими с территории завода № 80. [384 — ГОПАНО, Ф. 1930, Оп. 5, Д. 9, Л. 41.]. Пользовался спросом в годы войны и металл. Многие думают, что пункты приема цветных и черных металлов, а равно и его хищение — это явление исключительно последних 10–15 лет. На самом деле спрос на металл зависел от его стоимости и ценности. В 60-е — 80-е годы ХХ века железо стоило дешево, поэтому горы металлолома валялись во дворах и на пустырях. Но в годы войны металла не хватало, посему заводы вынуждены были открывать пункты приема металлолома и платить за него наличные деньги (11741).</w:t>
      </w:r>
    </w:p>
    <w:p w14:paraId="0DE0C241" w14:textId="77777777" w:rsidR="009A1BAB" w:rsidRPr="00271E51" w:rsidRDefault="009A1BAB"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8FB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ноября 1943 ЦК ВЛКСМ призвал комсомольцев ехать на восстановление Донбасса (4962).</w:t>
      </w:r>
    </w:p>
    <w:p w14:paraId="5C28069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D8392" w14:textId="417A48B1" w:rsidR="00B23CFC" w:rsidRPr="00271E51" w:rsidRDefault="00B23CF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059FCDF4" w14:textId="77777777" w:rsidR="00B23CFC" w:rsidRPr="00271E51" w:rsidRDefault="00B23CFC"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B438BD1"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ноября 1943 удар пяти японских бомбардировщиков Mitsubishi G4M («Бетти») повредил легкий крейсер USS Denver у побережья Бугенвиля (20376).</w:t>
      </w:r>
    </w:p>
    <w:p w14:paraId="3957786A" w14:textId="77777777" w:rsidR="00B23CFC" w:rsidRPr="00271E51" w:rsidRDefault="00B23CFC" w:rsidP="00271E51">
      <w:pPr>
        <w:spacing w:after="0" w:line="240" w:lineRule="auto"/>
        <w:jc w:val="both"/>
        <w:rPr>
          <w:rFonts w:ascii="Times New Roman" w:hAnsi="Times New Roman"/>
          <w:color w:val="0070C0"/>
          <w:sz w:val="16"/>
          <w:szCs w:val="16"/>
        </w:rPr>
      </w:pPr>
    </w:p>
    <w:p w14:paraId="06911CE2" w14:textId="0A2D443F"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80DCE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BE0AF4"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13 ноября 1943 были начаты и закончены 23 декабря 1943 испытания двух противотанковых самолетов «Харрикейн» 1Ю зав. №№ КХ-171 и КХ-305 сначала в НИИ ВВС, а затем в НИИАВ. Машины прибыли на аэродром Чкаловское 26 августа 1943 г., но начало испытаний отложили из-за задержки правых пушек и боезапаса .</w:t>
      </w:r>
    </w:p>
    <w:p w14:paraId="59B6F926"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Акт по испытаниям утвержден главным инжене</w:t>
      </w:r>
      <w:r w:rsidRPr="00271E51">
        <w:rPr>
          <w:rFonts w:ascii="Times New Roman" w:hAnsi="Times New Roman" w:cs="Times New Roman"/>
          <w:color w:val="000000" w:themeColor="text1"/>
          <w:sz w:val="16"/>
          <w:szCs w:val="16"/>
        </w:rPr>
        <w:softHyphen/>
        <w:t>ром ВВС КА генерал-полковником А.К. Ре</w:t>
      </w:r>
      <w:r w:rsidRPr="00271E51">
        <w:rPr>
          <w:rFonts w:ascii="Times New Roman" w:hAnsi="Times New Roman" w:cs="Times New Roman"/>
          <w:color w:val="000000" w:themeColor="text1"/>
          <w:sz w:val="16"/>
          <w:szCs w:val="16"/>
        </w:rPr>
        <w:softHyphen/>
        <w:t>пиным 11 января 1944 г.</w:t>
      </w:r>
    </w:p>
    <w:p w14:paraId="5B80FDB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завершению полетов в НИИ ВВС са</w:t>
      </w:r>
      <w:r w:rsidRPr="00271E51">
        <w:rPr>
          <w:rFonts w:ascii="Times New Roman" w:hAnsi="Times New Roman" w:cs="Times New Roman"/>
          <w:color w:val="000000" w:themeColor="text1"/>
          <w:sz w:val="16"/>
          <w:szCs w:val="16"/>
        </w:rPr>
        <w:softHyphen/>
        <w:t>молет зав. № КХ-305 в феврале 1944 г. по</w:t>
      </w:r>
      <w:r w:rsidRPr="00271E51">
        <w:rPr>
          <w:rFonts w:ascii="Times New Roman" w:hAnsi="Times New Roman" w:cs="Times New Roman"/>
          <w:color w:val="000000" w:themeColor="text1"/>
          <w:sz w:val="16"/>
          <w:szCs w:val="16"/>
        </w:rPr>
        <w:softHyphen/>
        <w:t>ступил в НИИ АВ ВВС для производства кон</w:t>
      </w:r>
      <w:r w:rsidRPr="00271E51">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7E9270A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52F8BDB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271E51">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2B91EF11"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188D28C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271E51">
        <w:rPr>
          <w:rFonts w:ascii="Times New Roman" w:hAnsi="Times New Roman" w:cs="Times New Roman"/>
          <w:color w:val="000000" w:themeColor="text1"/>
          <w:sz w:val="16"/>
          <w:szCs w:val="16"/>
        </w:rPr>
        <w:softHyphen/>
        <w:t>душным и наземным целям.</w:t>
      </w:r>
    </w:p>
    <w:p w14:paraId="7A615C2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Судя по песчаному камуфляжу, само</w:t>
      </w:r>
      <w:r w:rsidRPr="00271E51">
        <w:rPr>
          <w:rFonts w:ascii="Times New Roman" w:hAnsi="Times New Roman" w:cs="Times New Roman"/>
          <w:color w:val="000000" w:themeColor="text1"/>
          <w:sz w:val="16"/>
          <w:szCs w:val="16"/>
        </w:rPr>
        <w:softHyphen/>
        <w:t>леты применялись в Северной Африке.</w:t>
      </w:r>
    </w:p>
    <w:p w14:paraId="041A82B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08167CA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271E51">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61B9E7E4"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самолете устанавливался дере</w:t>
      </w:r>
      <w:r w:rsidRPr="00271E51">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271E51">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271E51">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271E51">
        <w:rPr>
          <w:rFonts w:ascii="Times New Roman" w:hAnsi="Times New Roman" w:cs="Times New Roman"/>
          <w:color w:val="000000" w:themeColor="text1"/>
          <w:sz w:val="16"/>
          <w:szCs w:val="16"/>
        </w:rPr>
        <w:softHyphen/>
        <w:t>нов оставлен один.</w:t>
      </w:r>
    </w:p>
    <w:p w14:paraId="3401F703"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271E51">
        <w:rPr>
          <w:rFonts w:ascii="Times New Roman" w:hAnsi="Times New Roman" w:cs="Times New Roman"/>
          <w:color w:val="000000" w:themeColor="text1"/>
          <w:sz w:val="16"/>
          <w:szCs w:val="16"/>
        </w:rPr>
        <w:softHyphen/>
        <w:t>ным боекомплектом 30 снарядов и в кры</w:t>
      </w:r>
      <w:r w:rsidRPr="00271E51">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271E51">
        <w:rPr>
          <w:rFonts w:ascii="Times New Roman" w:hAnsi="Times New Roman" w:cs="Times New Roman"/>
          <w:color w:val="000000" w:themeColor="text1"/>
          <w:sz w:val="16"/>
          <w:szCs w:val="16"/>
        </w:rPr>
        <w:softHyphen/>
        <w:t>полнительных бензобаков.</w:t>
      </w:r>
    </w:p>
    <w:p w14:paraId="4A6DF81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77D4826B"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Управление огнем пушек и пулеме</w:t>
      </w:r>
      <w:r w:rsidRPr="00271E51">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271E51">
        <w:rPr>
          <w:rFonts w:ascii="Times New Roman" w:hAnsi="Times New Roman" w:cs="Times New Roman"/>
          <w:color w:val="000000" w:themeColor="text1"/>
          <w:sz w:val="16"/>
          <w:szCs w:val="16"/>
        </w:rPr>
        <w:softHyphen/>
        <w:t>кой, но смонтированной на секторе газа.</w:t>
      </w:r>
    </w:p>
    <w:p w14:paraId="2E9C35D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прицеливания при стрельбе ис</w:t>
      </w:r>
      <w:r w:rsidRPr="00271E51">
        <w:rPr>
          <w:rFonts w:ascii="Times New Roman" w:hAnsi="Times New Roman" w:cs="Times New Roman"/>
          <w:color w:val="000000" w:themeColor="text1"/>
          <w:sz w:val="16"/>
          <w:szCs w:val="16"/>
        </w:rPr>
        <w:softHyphen/>
        <w:t>пользовался коллиматорный прицел Реф</w:t>
      </w:r>
      <w:r w:rsidRPr="00271E51">
        <w:rPr>
          <w:rFonts w:ascii="Times New Roman" w:hAnsi="Times New Roman" w:cs="Times New Roman"/>
          <w:color w:val="000000" w:themeColor="text1"/>
          <w:sz w:val="16"/>
          <w:szCs w:val="16"/>
        </w:rPr>
        <w:softHyphen/>
        <w:t>лектор Сайт Мк.115 с электрической под</w:t>
      </w:r>
      <w:r w:rsidRPr="00271E51">
        <w:rPr>
          <w:rFonts w:ascii="Times New Roman" w:hAnsi="Times New Roman" w:cs="Times New Roman"/>
          <w:color w:val="000000" w:themeColor="text1"/>
          <w:sz w:val="16"/>
          <w:szCs w:val="16"/>
        </w:rPr>
        <w:softHyphen/>
        <w:t>светкой.</w:t>
      </w:r>
    </w:p>
    <w:p w14:paraId="39C9389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271E51">
        <w:rPr>
          <w:rFonts w:ascii="Times New Roman" w:hAnsi="Times New Roman" w:cs="Times New Roman"/>
          <w:color w:val="000000" w:themeColor="text1"/>
          <w:sz w:val="16"/>
          <w:szCs w:val="16"/>
        </w:rPr>
        <w:softHyphen/>
        <w:t>рийном самолете типа Мк.ПС, за исклю</w:t>
      </w:r>
      <w:r w:rsidRPr="00271E51">
        <w:rPr>
          <w:rFonts w:ascii="Times New Roman" w:hAnsi="Times New Roman" w:cs="Times New Roman"/>
          <w:color w:val="000000" w:themeColor="text1"/>
          <w:sz w:val="16"/>
          <w:szCs w:val="16"/>
        </w:rPr>
        <w:softHyphen/>
        <w:t>чением увеличенного боезапаса (лента в патронном ящике).</w:t>
      </w:r>
    </w:p>
    <w:p w14:paraId="778DC6E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помещались в специальном об</w:t>
      </w:r>
      <w:r w:rsidRPr="00271E51">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271E51">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1513C2D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Автоматика пушек Виккерс 8 работала на принципе отдачи с длинным ходом ство</w:t>
      </w:r>
      <w:r w:rsidRPr="00271E51">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271E51">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271E51">
        <w:rPr>
          <w:rFonts w:ascii="Times New Roman" w:hAnsi="Times New Roman" w:cs="Times New Roman"/>
          <w:color w:val="000000" w:themeColor="text1"/>
          <w:sz w:val="16"/>
          <w:szCs w:val="16"/>
        </w:rPr>
        <w:softHyphen/>
        <w:t>ном (в соотношении 60/40).</w:t>
      </w:r>
    </w:p>
    <w:p w14:paraId="32276E61"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271E51">
        <w:rPr>
          <w:rFonts w:ascii="Times New Roman" w:hAnsi="Times New Roman" w:cs="Times New Roman"/>
          <w:color w:val="000000" w:themeColor="text1"/>
          <w:sz w:val="16"/>
          <w:szCs w:val="16"/>
        </w:rPr>
        <w:softHyphen/>
        <w:t>лась непосредственно на самолете.</w:t>
      </w:r>
    </w:p>
    <w:p w14:paraId="2DC24DC4"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271E51">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271E51">
        <w:rPr>
          <w:rFonts w:ascii="Times New Roman" w:hAnsi="Times New Roman" w:cs="Times New Roman"/>
          <w:color w:val="000000" w:themeColor="text1"/>
          <w:sz w:val="16"/>
          <w:szCs w:val="16"/>
        </w:rPr>
        <w:softHyphen/>
        <w:t>шек и продолжить стрельбу.</w:t>
      </w:r>
    </w:p>
    <w:p w14:paraId="122E197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271E51">
        <w:rPr>
          <w:rFonts w:ascii="Times New Roman" w:hAnsi="Times New Roman" w:cs="Times New Roman"/>
          <w:color w:val="000000" w:themeColor="text1"/>
          <w:sz w:val="16"/>
          <w:szCs w:val="16"/>
        </w:rPr>
        <w:softHyphen/>
        <w:t>ки с магазином и 15 бронебойными снаря</w:t>
      </w:r>
      <w:r w:rsidRPr="00271E51">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0D93CC1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7A094A5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51770B4F" w14:textId="77777777" w:rsidR="00473181" w:rsidRPr="00271E51" w:rsidRDefault="00742358" w:rsidP="00271E51">
      <w:pPr>
        <w:pStyle w:val="47"/>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 </w:t>
      </w:r>
      <w:r w:rsidR="00473181" w:rsidRPr="00271E51">
        <w:rPr>
          <w:rFonts w:ascii="Times New Roman" w:hAnsi="Times New Roman" w:cs="Times New Roman"/>
          <w:color w:val="000000" w:themeColor="text1"/>
          <w:sz w:val="16"/>
          <w:szCs w:val="16"/>
        </w:rPr>
        <w:t>по 32 мм. Спереди сверху летчик защи</w:t>
      </w:r>
      <w:r w:rsidR="00473181" w:rsidRPr="00271E51">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5EF9A5A5" w14:textId="77777777" w:rsidR="00473181" w:rsidRPr="00271E51" w:rsidRDefault="00742358" w:rsidP="00271E51">
      <w:pPr>
        <w:pStyle w:val="47"/>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 </w:t>
      </w:r>
      <w:r w:rsidR="00473181" w:rsidRPr="00271E51">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00473181" w:rsidRPr="00271E51">
        <w:rPr>
          <w:rFonts w:ascii="Times New Roman" w:hAnsi="Times New Roman" w:cs="Times New Roman"/>
          <w:color w:val="000000" w:themeColor="text1"/>
          <w:sz w:val="16"/>
          <w:szCs w:val="16"/>
        </w:rPr>
        <w:softHyphen/>
        <w:t>щиной 7,5 мм. Со стороны задней полу</w:t>
      </w:r>
      <w:r w:rsidR="00473181" w:rsidRPr="00271E51">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2A54A3E1"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Водо- и маслорадиаторы защища</w:t>
      </w:r>
      <w:r w:rsidRPr="00271E51">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271E51">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0C1FA8A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35961E8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номинальном режиме работы мо</w:t>
      </w:r>
      <w:r w:rsidRPr="00271E51">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271E51">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271E51">
        <w:rPr>
          <w:rFonts w:ascii="Times New Roman" w:hAnsi="Times New Roman" w:cs="Times New Roman"/>
          <w:color w:val="000000" w:themeColor="text1"/>
          <w:sz w:val="16"/>
          <w:szCs w:val="16"/>
        </w:rPr>
        <w:softHyphen/>
        <w:t>вом режиме работы мотора, который мож</w:t>
      </w:r>
      <w:r w:rsidRPr="00271E51">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271E51">
        <w:rPr>
          <w:rFonts w:ascii="Times New Roman" w:hAnsi="Times New Roman" w:cs="Times New Roman"/>
          <w:color w:val="000000" w:themeColor="text1"/>
          <w:sz w:val="16"/>
          <w:szCs w:val="16"/>
        </w:rPr>
        <w:softHyphen/>
        <w:t>растала на 6-8 км/ч. При этом границы вы</w:t>
      </w:r>
      <w:r w:rsidRPr="00271E51">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5B1E17A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Вертикальная скорость у земли состав</w:t>
      </w:r>
      <w:r w:rsidRPr="00271E51">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271E51">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2C7E501D"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271E51">
        <w:rPr>
          <w:rFonts w:ascii="Times New Roman" w:hAnsi="Times New Roman" w:cs="Times New Roman"/>
          <w:color w:val="000000" w:themeColor="text1"/>
          <w:sz w:val="16"/>
          <w:szCs w:val="16"/>
        </w:rPr>
        <w:softHyphen/>
        <w:t>зил при сбросе газа до скорости 0,7 макси</w:t>
      </w:r>
      <w:r w:rsidRPr="00271E51">
        <w:rPr>
          <w:rFonts w:ascii="Times New Roman" w:hAnsi="Times New Roman" w:cs="Times New Roman"/>
          <w:color w:val="000000" w:themeColor="text1"/>
          <w:sz w:val="16"/>
          <w:szCs w:val="16"/>
        </w:rPr>
        <w:softHyphen/>
        <w:t>мальной за 0,48 мин.</w:t>
      </w:r>
    </w:p>
    <w:p w14:paraId="04D43856"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Скорость, скороподъемность и раз</w:t>
      </w:r>
      <w:r w:rsidRPr="00271E51">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271E51">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5C81FFE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 один боевой разворот (левый и пра</w:t>
      </w:r>
      <w:r w:rsidRPr="00271E51">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02421CE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3D5B8C4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271E51">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271E51">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7C2263A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Разбег самолета при взлете находил</w:t>
      </w:r>
      <w:r w:rsidRPr="00271E51">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4E54F96B"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2CF1674C"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испытаний было выполнено че</w:t>
      </w:r>
      <w:r w:rsidRPr="00271E51">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271E51">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441497E4"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271E51">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6513D20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271E51">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271E51">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271E51">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271E51">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446D4C55"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271E51">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271E51">
        <w:rPr>
          <w:rFonts w:ascii="Times New Roman" w:hAnsi="Times New Roman" w:cs="Times New Roman"/>
          <w:color w:val="000000" w:themeColor="text1"/>
          <w:sz w:val="16"/>
          <w:szCs w:val="16"/>
        </w:rPr>
        <w:softHyphen/>
        <w:t>жения бронебойными пулями нормально</w:t>
      </w:r>
      <w:r w:rsidRPr="00271E51">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271E51">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3016210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общему мнению летчиков увели</w:t>
      </w:r>
      <w:r w:rsidRPr="00271E51">
        <w:rPr>
          <w:rFonts w:ascii="Times New Roman" w:hAnsi="Times New Roman" w:cs="Times New Roman"/>
          <w:color w:val="000000" w:themeColor="text1"/>
          <w:sz w:val="16"/>
          <w:szCs w:val="16"/>
        </w:rPr>
        <w:softHyphen/>
        <w:t>чение полетного веса и ухудшение аэро</w:t>
      </w:r>
      <w:r w:rsidRPr="00271E51">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271E51">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271E51">
        <w:rPr>
          <w:rFonts w:ascii="Times New Roman" w:hAnsi="Times New Roman" w:cs="Times New Roman"/>
          <w:color w:val="000000" w:themeColor="text1"/>
          <w:sz w:val="16"/>
          <w:szCs w:val="16"/>
        </w:rPr>
        <w:softHyphen/>
        <w:t>тнее». Продольная и поперечная устойчи</w:t>
      </w:r>
      <w:r w:rsidRPr="00271E51">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271E51">
        <w:rPr>
          <w:rFonts w:ascii="Times New Roman" w:hAnsi="Times New Roman" w:cs="Times New Roman"/>
          <w:color w:val="000000" w:themeColor="text1"/>
          <w:sz w:val="16"/>
          <w:szCs w:val="16"/>
        </w:rPr>
        <w:softHyphen/>
        <w:t>тальном полете была затруднена и требо</w:t>
      </w:r>
      <w:r w:rsidRPr="00271E51">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271E51">
        <w:rPr>
          <w:rFonts w:ascii="Times New Roman" w:hAnsi="Times New Roman" w:cs="Times New Roman"/>
          <w:color w:val="000000" w:themeColor="text1"/>
          <w:sz w:val="16"/>
          <w:szCs w:val="16"/>
        </w:rPr>
        <w:softHyphen/>
        <w:t>та. На вертикальных фигурах самолет бы</w:t>
      </w:r>
      <w:r w:rsidRPr="00271E51">
        <w:rPr>
          <w:rFonts w:ascii="Times New Roman" w:hAnsi="Times New Roman" w:cs="Times New Roman"/>
          <w:color w:val="000000" w:themeColor="text1"/>
          <w:sz w:val="16"/>
          <w:szCs w:val="16"/>
        </w:rPr>
        <w:softHyphen/>
        <w:t>стро терял скорость, набор высоты на им</w:t>
      </w:r>
      <w:r w:rsidRPr="00271E51">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5BFE2D0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Проведенный 27 декабря 1943 г. учеб</w:t>
      </w:r>
      <w:r w:rsidRPr="00271E51">
        <w:rPr>
          <w:rFonts w:ascii="Times New Roman" w:hAnsi="Times New Roman" w:cs="Times New Roman"/>
          <w:color w:val="000000" w:themeColor="text1"/>
          <w:sz w:val="16"/>
          <w:szCs w:val="16"/>
        </w:rPr>
        <w:softHyphen/>
        <w:t>ный воздушный бой с трофейным истре</w:t>
      </w:r>
      <w:r w:rsidRPr="00271E51">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271E51">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271E51">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271E51">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271E51">
        <w:rPr>
          <w:rFonts w:ascii="Times New Roman" w:hAnsi="Times New Roman" w:cs="Times New Roman"/>
          <w:color w:val="000000" w:themeColor="text1"/>
          <w:sz w:val="16"/>
          <w:szCs w:val="16"/>
        </w:rPr>
        <w:softHyphen/>
        <w:t>имущество в вертикальном маневре не</w:t>
      </w:r>
      <w:r w:rsidRPr="00271E51">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271E51">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41129925"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После обмена мнениями летчика</w:t>
      </w:r>
      <w:r w:rsidRPr="00271E51">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271E51">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271E51">
        <w:rPr>
          <w:rFonts w:ascii="Times New Roman" w:hAnsi="Times New Roman" w:cs="Times New Roman"/>
          <w:color w:val="000000" w:themeColor="text1"/>
          <w:sz w:val="16"/>
          <w:szCs w:val="16"/>
        </w:rPr>
        <w:softHyphen/>
        <w:t>полняя ножницы с оттягиванием на свою территорию.</w:t>
      </w:r>
    </w:p>
    <w:p w14:paraId="018A095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Вооружение самолета отстрели</w:t>
      </w:r>
      <w:r w:rsidRPr="00271E51">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271E51">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271E51">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271E51">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271E51">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271E51">
        <w:rPr>
          <w:rFonts w:ascii="Times New Roman" w:hAnsi="Times New Roman" w:cs="Times New Roman"/>
          <w:color w:val="000000" w:themeColor="text1"/>
          <w:sz w:val="16"/>
          <w:szCs w:val="16"/>
        </w:rPr>
        <w:softHyphen/>
        <w:t>рядов союзники не поставили!</w:t>
      </w:r>
    </w:p>
    <w:p w14:paraId="279533D6"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общей сложности из пушек было вы</w:t>
      </w:r>
      <w:r w:rsidRPr="00271E51">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21F25B6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271E51">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69AA6343"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271E51">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271E51">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48AEF0CC"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левой пушки боковое отклоне</w:t>
      </w:r>
      <w:r w:rsidRPr="00271E51">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271E51">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271E51">
        <w:rPr>
          <w:rFonts w:ascii="Times New Roman" w:hAnsi="Times New Roman" w:cs="Times New Roman"/>
          <w:color w:val="000000" w:themeColor="text1"/>
          <w:sz w:val="16"/>
          <w:szCs w:val="16"/>
        </w:rPr>
        <w:softHyphen/>
        <w:t>ное отклонения для левого пулемета рав</w:t>
      </w:r>
      <w:r w:rsidRPr="00271E51">
        <w:rPr>
          <w:rFonts w:ascii="Times New Roman" w:hAnsi="Times New Roman" w:cs="Times New Roman"/>
          <w:color w:val="000000" w:themeColor="text1"/>
          <w:sz w:val="16"/>
          <w:szCs w:val="16"/>
        </w:rPr>
        <w:softHyphen/>
        <w:t>нялись 23,6 и 26,7 см, для правого пулеме</w:t>
      </w:r>
      <w:r w:rsidRPr="00271E51">
        <w:rPr>
          <w:rFonts w:ascii="Times New Roman" w:hAnsi="Times New Roman" w:cs="Times New Roman"/>
          <w:color w:val="000000" w:themeColor="text1"/>
          <w:sz w:val="16"/>
          <w:szCs w:val="16"/>
        </w:rPr>
        <w:softHyphen/>
        <w:t>та-20,6 и 35,8 см.</w:t>
      </w:r>
    </w:p>
    <w:p w14:paraId="7A58900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271E51">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271E51">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329A7F83"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271E51">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271E51">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6C1AA12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 стрельбе в воздухе пока</w:t>
      </w:r>
      <w:r w:rsidRPr="00271E51">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54A42EFA"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в горизонтальном поле</w:t>
      </w:r>
      <w:r w:rsidRPr="00271E51">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271E51">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271E51">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271E51">
        <w:rPr>
          <w:rFonts w:ascii="Times New Roman" w:hAnsi="Times New Roman" w:cs="Times New Roman"/>
          <w:color w:val="000000" w:themeColor="text1"/>
          <w:sz w:val="16"/>
          <w:szCs w:val="16"/>
        </w:rPr>
        <w:softHyphen/>
        <w:t>которое уменьшение угла.</w:t>
      </w:r>
    </w:p>
    <w:p w14:paraId="39AB0B75"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271E51">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271E51">
        <w:rPr>
          <w:rFonts w:ascii="Times New Roman" w:hAnsi="Times New Roman" w:cs="Times New Roman"/>
          <w:color w:val="000000" w:themeColor="text1"/>
          <w:sz w:val="16"/>
          <w:szCs w:val="16"/>
        </w:rPr>
        <w:softHyphen/>
        <w:t>новится затруднительно», «самолет начина</w:t>
      </w:r>
      <w:r w:rsidRPr="00271E51">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71E34AC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обеспечения более точного по</w:t>
      </w:r>
      <w:r w:rsidRPr="00271E51">
        <w:rPr>
          <w:rFonts w:ascii="Times New Roman" w:hAnsi="Times New Roman" w:cs="Times New Roman"/>
          <w:color w:val="000000" w:themeColor="text1"/>
          <w:sz w:val="16"/>
          <w:szCs w:val="16"/>
        </w:rPr>
        <w:softHyphen/>
        <w:t>ражения цели рекомендовалось произво</w:t>
      </w:r>
      <w:r w:rsidRPr="00271E51">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271E51">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37B9059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271E51">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271E51">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501771F4"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Наиболее удобными углами пикирова</w:t>
      </w:r>
      <w:r w:rsidRPr="00271E51">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271E51">
        <w:rPr>
          <w:rFonts w:ascii="Times New Roman" w:hAnsi="Times New Roman" w:cs="Times New Roman"/>
          <w:color w:val="000000" w:themeColor="text1"/>
          <w:sz w:val="16"/>
          <w:szCs w:val="16"/>
        </w:rPr>
        <w:softHyphen/>
        <w:t>сти на пикировании, а также удобства при</w:t>
      </w:r>
      <w:r w:rsidRPr="00271E51">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271E51">
        <w:rPr>
          <w:rFonts w:ascii="Times New Roman" w:hAnsi="Times New Roman" w:cs="Times New Roman"/>
          <w:color w:val="000000" w:themeColor="text1"/>
          <w:sz w:val="16"/>
          <w:szCs w:val="16"/>
        </w:rPr>
        <w:softHyphen/>
        <w:t>вания и производства 2-3 очередей.</w:t>
      </w:r>
    </w:p>
    <w:p w14:paraId="2E7B752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271E51">
        <w:rPr>
          <w:rFonts w:ascii="Times New Roman" w:hAnsi="Times New Roman" w:cs="Times New Roman"/>
          <w:color w:val="000000" w:themeColor="text1"/>
          <w:sz w:val="16"/>
          <w:szCs w:val="16"/>
        </w:rPr>
        <w:softHyphen/>
        <w:t>труднено, а порой неосуществимо, на са</w:t>
      </w:r>
      <w:r w:rsidRPr="00271E51">
        <w:rPr>
          <w:rFonts w:ascii="Times New Roman" w:hAnsi="Times New Roman" w:cs="Times New Roman"/>
          <w:color w:val="000000" w:themeColor="text1"/>
          <w:sz w:val="16"/>
          <w:szCs w:val="16"/>
        </w:rPr>
        <w:softHyphen/>
        <w:t>молете Ил-2 с 37-мм пушками».</w:t>
      </w:r>
    </w:p>
    <w:p w14:paraId="514A5F5D"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Летчикам понравилось удобное распо</w:t>
      </w:r>
      <w:r w:rsidRPr="00271E51">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271E51">
        <w:rPr>
          <w:rFonts w:ascii="Times New Roman" w:hAnsi="Times New Roman" w:cs="Times New Roman"/>
          <w:color w:val="000000" w:themeColor="text1"/>
          <w:sz w:val="16"/>
          <w:szCs w:val="16"/>
        </w:rPr>
        <w:softHyphen/>
        <w:t>ствие кнопкой на ручке управления само</w:t>
      </w:r>
      <w:r w:rsidRPr="00271E51">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2D3958D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271E51">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271E51">
        <w:rPr>
          <w:rFonts w:ascii="Times New Roman" w:hAnsi="Times New Roman" w:cs="Times New Roman"/>
          <w:color w:val="000000" w:themeColor="text1"/>
          <w:sz w:val="16"/>
          <w:szCs w:val="16"/>
        </w:rPr>
        <w:softHyphen/>
        <w:t>нить возможные задержки в стрельбе лет</w:t>
      </w:r>
      <w:r w:rsidRPr="00271E51">
        <w:rPr>
          <w:rFonts w:ascii="Times New Roman" w:hAnsi="Times New Roman" w:cs="Times New Roman"/>
          <w:color w:val="000000" w:themeColor="text1"/>
          <w:sz w:val="16"/>
          <w:szCs w:val="16"/>
        </w:rPr>
        <w:softHyphen/>
        <w:t>чик не мог. В полете в случае осечки лет</w:t>
      </w:r>
      <w:r w:rsidRPr="00271E51">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271E51">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0C11F2B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271E51">
        <w:rPr>
          <w:rFonts w:ascii="Times New Roman" w:hAnsi="Times New Roman" w:cs="Times New Roman"/>
          <w:color w:val="000000" w:themeColor="text1"/>
          <w:sz w:val="16"/>
          <w:szCs w:val="16"/>
        </w:rPr>
        <w:softHyphen/>
        <w:t>светки удобно.</w:t>
      </w:r>
    </w:p>
    <w:p w14:paraId="279942A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271E51">
        <w:rPr>
          <w:rFonts w:ascii="Times New Roman" w:hAnsi="Times New Roman" w:cs="Times New Roman"/>
          <w:color w:val="000000" w:themeColor="text1"/>
          <w:sz w:val="16"/>
          <w:szCs w:val="16"/>
        </w:rPr>
        <w:softHyphen/>
        <w:t>лась неудачной. Из-за низкой температу</w:t>
      </w:r>
      <w:r w:rsidRPr="00271E51">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271E51">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3D9FCBC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36595E7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271E51">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271E51">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271E51">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1D89FEE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Наблюдались значительные отклоне</w:t>
      </w:r>
      <w:r w:rsidRPr="00271E51">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271E51">
        <w:rPr>
          <w:rFonts w:ascii="Times New Roman" w:hAnsi="Times New Roman" w:cs="Times New Roman"/>
          <w:color w:val="000000" w:themeColor="text1"/>
          <w:sz w:val="16"/>
          <w:szCs w:val="16"/>
        </w:rPr>
        <w:softHyphen/>
        <w:t>кими очередями рассеивание центра груп</w:t>
      </w:r>
      <w:r w:rsidRPr="00271E51">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271E51">
        <w:rPr>
          <w:rFonts w:ascii="Times New Roman" w:hAnsi="Times New Roman" w:cs="Times New Roman"/>
          <w:color w:val="000000" w:themeColor="text1"/>
          <w:sz w:val="16"/>
          <w:szCs w:val="16"/>
        </w:rPr>
        <w:softHyphen/>
        <w:t>бе длинными очередями резко возраста</w:t>
      </w:r>
      <w:r w:rsidRPr="00271E51">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271E51">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5203DD0C"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с увели</w:t>
      </w:r>
      <w:r w:rsidRPr="00271E51">
        <w:rPr>
          <w:rFonts w:ascii="Times New Roman" w:hAnsi="Times New Roman" w:cs="Times New Roman"/>
          <w:color w:val="000000" w:themeColor="text1"/>
          <w:sz w:val="16"/>
          <w:szCs w:val="16"/>
        </w:rPr>
        <w:softHyphen/>
        <w:t>чением длины очереди центр группирова</w:t>
      </w:r>
      <w:r w:rsidRPr="00271E51">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A907A5" w:rsidRPr="00271E51" w14:paraId="383AC2C8"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943F0FE"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E814619"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06AF072"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1970435"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98920F9"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CC2CCE1"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ВЯ</w:t>
            </w:r>
          </w:p>
        </w:tc>
      </w:tr>
      <w:tr w:rsidR="00A907A5" w:rsidRPr="00271E51" w14:paraId="67321390"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14F53D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B50292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D46E8DF"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460A5F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ACB4DB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4706728"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23</w:t>
            </w:r>
          </w:p>
        </w:tc>
      </w:tr>
      <w:tr w:rsidR="00A907A5" w:rsidRPr="00271E51" w14:paraId="29491043" w14:textId="77777777" w:rsidTr="00ED5B0A">
        <w:trPr>
          <w:trHeight w:val="226"/>
        </w:trPr>
        <w:tc>
          <w:tcPr>
            <w:tcW w:w="2050" w:type="dxa"/>
            <w:tcBorders>
              <w:top w:val="single" w:sz="4" w:space="0" w:color="auto"/>
              <w:left w:val="single" w:sz="4" w:space="0" w:color="auto"/>
              <w:right w:val="single" w:sz="4" w:space="0" w:color="auto"/>
            </w:tcBorders>
            <w:shd w:val="clear" w:color="auto" w:fill="FFFFFF"/>
          </w:tcPr>
          <w:p w14:paraId="072577B2" w14:textId="77777777" w:rsidR="00473181" w:rsidRPr="00271E51" w:rsidRDefault="00473181" w:rsidP="00271E51">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436DAF38"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61E7E31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17FFCAD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4B1559A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0D1CE9F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Отвод газов</w:t>
            </w:r>
          </w:p>
        </w:tc>
      </w:tr>
      <w:tr w:rsidR="00A907A5" w:rsidRPr="00271E51" w14:paraId="3CF846F9" w14:textId="77777777" w:rsidTr="00ED5B0A">
        <w:trPr>
          <w:trHeight w:val="197"/>
        </w:trPr>
        <w:tc>
          <w:tcPr>
            <w:tcW w:w="2050" w:type="dxa"/>
            <w:tcBorders>
              <w:left w:val="single" w:sz="4" w:space="0" w:color="auto"/>
              <w:right w:val="single" w:sz="4" w:space="0" w:color="auto"/>
            </w:tcBorders>
            <w:shd w:val="clear" w:color="auto" w:fill="FFFFFF"/>
          </w:tcPr>
          <w:p w14:paraId="7301982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1F370AC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1DA447E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426684AA"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71FC463F"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761FCC9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из канала</w:t>
            </w:r>
          </w:p>
        </w:tc>
      </w:tr>
      <w:tr w:rsidR="00A907A5" w:rsidRPr="00271E51" w14:paraId="7135FA46" w14:textId="77777777" w:rsidTr="00ED5B0A">
        <w:trPr>
          <w:trHeight w:val="163"/>
        </w:trPr>
        <w:tc>
          <w:tcPr>
            <w:tcW w:w="2050" w:type="dxa"/>
            <w:tcBorders>
              <w:left w:val="single" w:sz="4" w:space="0" w:color="auto"/>
              <w:bottom w:val="single" w:sz="4" w:space="0" w:color="auto"/>
              <w:right w:val="single" w:sz="4" w:space="0" w:color="auto"/>
            </w:tcBorders>
            <w:shd w:val="clear" w:color="auto" w:fill="FFFFFF"/>
          </w:tcPr>
          <w:p w14:paraId="1BC78604" w14:textId="77777777" w:rsidR="00473181" w:rsidRPr="00271E51" w:rsidRDefault="00473181" w:rsidP="00271E51">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506D0CD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02924F3A"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41F6239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1AC0F2B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772C153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ствола</w:t>
            </w:r>
          </w:p>
        </w:tc>
      </w:tr>
      <w:tr w:rsidR="00A907A5" w:rsidRPr="00271E51" w14:paraId="3925A816"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ECF4AD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176D3E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6AB13F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C28B6AD"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0F4F88B"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70EFC35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Зеньевое</w:t>
            </w:r>
          </w:p>
        </w:tc>
      </w:tr>
      <w:tr w:rsidR="00A907A5" w:rsidRPr="00271E51" w14:paraId="56FC57A5"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4AE38EB"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ACA82E9"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60D021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C15A68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5A1C2F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9C21DC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600</w:t>
            </w:r>
          </w:p>
        </w:tc>
      </w:tr>
      <w:tr w:rsidR="00A907A5" w:rsidRPr="00271E51" w14:paraId="6A1A4E80"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9BB295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C2CA9C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879BDE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17686B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B1A8E0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64C80FFD"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915</w:t>
            </w:r>
          </w:p>
        </w:tc>
      </w:tr>
      <w:tr w:rsidR="00A907A5" w:rsidRPr="00271E51" w14:paraId="37650BEE"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E426C6E"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54668F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9359DA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8ECF16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4F67E18"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F5051F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66</w:t>
            </w:r>
          </w:p>
        </w:tc>
      </w:tr>
      <w:tr w:rsidR="00A907A5" w:rsidRPr="00271E51" w14:paraId="3311A5AB"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A8780D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B6616E9"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689D6F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1079D6A"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C2EB86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07646F6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0,197</w:t>
            </w:r>
          </w:p>
        </w:tc>
      </w:tr>
      <w:tr w:rsidR="00A907A5" w:rsidRPr="00271E51" w14:paraId="092E3AC3"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70D6B4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8D8B08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BF8CD9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2F3C33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C94F90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A21AE7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1,97</w:t>
            </w:r>
          </w:p>
        </w:tc>
      </w:tr>
      <w:tr w:rsidR="00A907A5" w:rsidRPr="00271E51" w14:paraId="084E078B"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4D90FB2B"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E00808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44FA81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EEF52AA"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E43305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2A1E80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w:t>
            </w:r>
          </w:p>
        </w:tc>
      </w:tr>
      <w:tr w:rsidR="00A907A5" w:rsidRPr="00271E51" w14:paraId="14CC3509"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484142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A06AA0F"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CB6E5A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F9425B6"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7770E3"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E329008"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84064</w:t>
            </w:r>
          </w:p>
        </w:tc>
      </w:tr>
      <w:tr w:rsidR="00A907A5" w:rsidRPr="00271E51" w14:paraId="128F43DA"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791B6199"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A7C27CA"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80F37F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AE1DDEE"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60BFB7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4BA850E"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1274</w:t>
            </w:r>
          </w:p>
        </w:tc>
      </w:tr>
    </w:tbl>
    <w:p w14:paraId="1D2ACCE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271E51">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271E51">
        <w:rPr>
          <w:rFonts w:ascii="Times New Roman" w:hAnsi="Times New Roman" w:cs="Times New Roman"/>
          <w:color w:val="000000" w:themeColor="text1"/>
          <w:sz w:val="16"/>
          <w:szCs w:val="16"/>
        </w:rPr>
        <w:softHyphen/>
        <w:t>средственно на самолете. При двух рабо</w:t>
      </w:r>
      <w:r w:rsidRPr="00271E51">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271E51">
        <w:rPr>
          <w:rFonts w:ascii="Times New Roman" w:hAnsi="Times New Roman" w:cs="Times New Roman"/>
          <w:color w:val="000000" w:themeColor="text1"/>
          <w:sz w:val="16"/>
          <w:szCs w:val="16"/>
        </w:rPr>
        <w:softHyphen/>
        <w:t>борка, чистка и смазка пушки, зарядка ма</w:t>
      </w:r>
      <w:r w:rsidRPr="00271E51">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0E03711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3515670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271E51">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271E51">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111E46D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518FA08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0E0D7A3D"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361735ED"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20366F4F"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37C8EAE"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C7A6AEC"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0F64C50A"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7E7DA4A"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4AE1191"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24E4A27F"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23AAC2A"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4FEBB2C7"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59ADEF73"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358FC9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lastRenderedPageBreak/>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7DE42D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4B6BE6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1B2FA71"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A3E7B0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A03457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A8CC95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615B42D"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132E705C" w14:textId="77777777" w:rsidTr="00ED5B0A">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00C7E519"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FACAD2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E7B661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0F0788A9"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F127B9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31CDCB2"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54B8E6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EA1E08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7799357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271E51">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271E51">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4BA3F67C"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271E51">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6C33C2F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271E51">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271E51">
        <w:rPr>
          <w:rFonts w:ascii="Times New Roman" w:hAnsi="Times New Roman" w:cs="Times New Roman"/>
          <w:color w:val="000000" w:themeColor="text1"/>
          <w:sz w:val="16"/>
          <w:szCs w:val="16"/>
        </w:rPr>
        <w:softHyphen/>
        <w:t>личие обороны задней полусферы и бом</w:t>
      </w:r>
      <w:r w:rsidRPr="00271E51">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271E51">
        <w:rPr>
          <w:rFonts w:ascii="Times New Roman" w:hAnsi="Times New Roman" w:cs="Times New Roman"/>
          <w:color w:val="000000" w:themeColor="text1"/>
          <w:sz w:val="16"/>
          <w:szCs w:val="16"/>
        </w:rPr>
        <w:softHyphen/>
        <w:t>ными.</w:t>
      </w:r>
    </w:p>
    <w:p w14:paraId="18CC8336"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Зато у «Харрикейна» было другое пре</w:t>
      </w:r>
      <w:r w:rsidRPr="00271E51">
        <w:rPr>
          <w:rFonts w:ascii="Times New Roman" w:hAnsi="Times New Roman" w:cs="Times New Roman"/>
          <w:color w:val="000000" w:themeColor="text1"/>
          <w:sz w:val="16"/>
          <w:szCs w:val="16"/>
        </w:rPr>
        <w:softHyphen/>
        <w:t>имущество. Рассеивание нескольких оче</w:t>
      </w:r>
      <w:r w:rsidRPr="00271E51">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271E51">
        <w:rPr>
          <w:rFonts w:ascii="Times New Roman" w:hAnsi="Times New Roman" w:cs="Times New Roman"/>
          <w:color w:val="000000" w:themeColor="text1"/>
          <w:sz w:val="16"/>
          <w:szCs w:val="16"/>
        </w:rPr>
        <w:softHyphen/>
        <w:t>мерно в 2-2,5 раза меньше, чем у само</w:t>
      </w:r>
      <w:r w:rsidRPr="00271E51">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271E51">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78D268A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271E51">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3B06F903"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158BB040"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2AF537A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1C64E88C"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663A0565" w14:textId="77777777" w:rsidR="00473181" w:rsidRPr="00271E51" w:rsidRDefault="00473181" w:rsidP="00271E51">
      <w:pPr>
        <w:pStyle w:val="aff1"/>
        <w:shd w:val="clear" w:color="auto" w:fill="auto"/>
        <w:spacing w:line="240" w:lineRule="auto"/>
        <w:rPr>
          <w:rFonts w:ascii="Times New Roman" w:hAnsi="Times New Roman" w:cs="Times New Roman"/>
          <w:i w:val="0"/>
          <w:color w:val="000000" w:themeColor="text1"/>
          <w:sz w:val="16"/>
          <w:szCs w:val="16"/>
          <w:lang w:val="ru-RU"/>
        </w:rPr>
      </w:pPr>
      <w:r w:rsidRPr="00271E51">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6EDA7B22"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AEDD8EB"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1A7986B"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458F3409"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1CC1E27"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EAD92B0"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3E13F94"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3510236"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5CE853E" w14:textId="77777777" w:rsidR="00473181" w:rsidRPr="00271E51" w:rsidRDefault="00473181"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5A1D3025"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EB2AF8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803ADEC"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00340A3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778541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E3DEE97"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8F6D39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0216084"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B807535"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0361CF12" w14:textId="77777777" w:rsidTr="00ED5B0A">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CCCD6A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952BA8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05C99C71"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228349A9"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21AD8B20"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19BEFCFB"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EFBDF0E"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FA90CEE" w14:textId="77777777" w:rsidR="00473181" w:rsidRPr="00271E51" w:rsidRDefault="00473181"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5A519963"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271E51">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271E51">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07765F7B"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271E51">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271E51">
        <w:rPr>
          <w:rFonts w:ascii="Times New Roman" w:hAnsi="Times New Roman" w:cs="Times New Roman"/>
          <w:color w:val="000000" w:themeColor="text1"/>
          <w:sz w:val="16"/>
          <w:szCs w:val="16"/>
        </w:rPr>
        <w:softHyphen/>
        <w:t>тически равны. В связи с появлением тря</w:t>
      </w:r>
      <w:r w:rsidRPr="00271E51">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271E51">
        <w:rPr>
          <w:rFonts w:ascii="Times New Roman" w:hAnsi="Times New Roman" w:cs="Times New Roman"/>
          <w:color w:val="000000" w:themeColor="text1"/>
          <w:sz w:val="16"/>
          <w:szCs w:val="16"/>
        </w:rPr>
        <w:softHyphen/>
        <w:t>молета «Харрикейн» НО ограничивалась 375 миль/ч (600 км/ч).</w:t>
      </w:r>
    </w:p>
    <w:p w14:paraId="6339B677"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17 мая 1944 г. заместитель начальни</w:t>
      </w:r>
      <w:r w:rsidRPr="00271E51">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271E51">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271E51">
        <w:rPr>
          <w:rFonts w:ascii="Times New Roman" w:hAnsi="Times New Roman" w:cs="Times New Roman"/>
          <w:color w:val="000000" w:themeColor="text1"/>
          <w:sz w:val="16"/>
          <w:szCs w:val="16"/>
        </w:rPr>
        <w:softHyphen/>
        <w:t>можностях самолета «Харрикейн» !Ю.</w:t>
      </w:r>
    </w:p>
    <w:p w14:paraId="3819E9B1"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оружия, отсут</w:t>
      </w:r>
      <w:r w:rsidRPr="00271E51">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271E51">
        <w:rPr>
          <w:rFonts w:ascii="Times New Roman" w:hAnsi="Times New Roman" w:cs="Times New Roman"/>
          <w:color w:val="000000" w:themeColor="text1"/>
          <w:sz w:val="16"/>
          <w:szCs w:val="16"/>
        </w:rPr>
        <w:softHyphen/>
        <w:t>тивно использован, как истребитель тан</w:t>
      </w:r>
      <w:r w:rsidRPr="00271E51">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271E51">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55270BCF"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271E51">
        <w:rPr>
          <w:rStyle w:val="aff6"/>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271E51">
        <w:rPr>
          <w:rStyle w:val="aff6"/>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271E51">
        <w:rPr>
          <w:rStyle w:val="aff6"/>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271E51">
        <w:rPr>
          <w:rStyle w:val="aff6"/>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271E51">
        <w:rPr>
          <w:rStyle w:val="aff6"/>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271E51">
        <w:rPr>
          <w:rStyle w:val="aff6"/>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271E51">
        <w:rPr>
          <w:rStyle w:val="aff6"/>
          <w:rFonts w:ascii="Times New Roman" w:hAnsi="Times New Roman" w:cs="Times New Roman"/>
          <w:i w:val="0"/>
          <w:color w:val="000000" w:themeColor="text1"/>
        </w:rPr>
        <w:softHyphen/>
        <w:t>духе нужны снаряды осколочно-фугасного действия».</w:t>
      </w:r>
    </w:p>
    <w:p w14:paraId="55FCDC3D"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271E51">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271E51">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271E51">
        <w:rPr>
          <w:rFonts w:ascii="Times New Roman" w:hAnsi="Times New Roman" w:cs="Times New Roman"/>
          <w:color w:val="000000" w:themeColor="text1"/>
          <w:sz w:val="16"/>
          <w:szCs w:val="16"/>
        </w:rPr>
        <w:softHyphen/>
        <w:t>ного управления значительно выше, чем «Харрикейна»1Ю.</w:t>
      </w:r>
    </w:p>
    <w:p w14:paraId="6099FA68"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вооружения, от</w:t>
      </w:r>
      <w:r w:rsidRPr="00271E51">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271E51">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0E28575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Известна резолюция генерала Худяко</w:t>
      </w:r>
      <w:r w:rsidRPr="00271E51">
        <w:rPr>
          <w:rStyle w:val="2fa"/>
          <w:rFonts w:ascii="Times New Roman" w:hAnsi="Times New Roman" w:cs="Times New Roman"/>
          <w:i w:val="0"/>
          <w:color w:val="000000" w:themeColor="text1"/>
          <w:sz w:val="16"/>
          <w:szCs w:val="16"/>
        </w:rPr>
        <w:t>ва, которую тот наложил на документ:</w:t>
      </w:r>
      <w:r w:rsidRPr="00271E51">
        <w:rPr>
          <w:rFonts w:ascii="Times New Roman" w:hAnsi="Times New Roman"/>
          <w:color w:val="000000" w:themeColor="text1"/>
          <w:sz w:val="16"/>
          <w:szCs w:val="16"/>
        </w:rPr>
        <w:t xml:space="preserve"> «ОУ. Подготовить справку такого же содержа</w:t>
      </w:r>
      <w:r w:rsidRPr="00271E51">
        <w:rPr>
          <w:rFonts w:ascii="Times New Roman" w:hAnsi="Times New Roman"/>
          <w:color w:val="000000" w:themeColor="text1"/>
          <w:sz w:val="16"/>
          <w:szCs w:val="16"/>
        </w:rPr>
        <w:softHyphen/>
        <w:t>ния главному инженеру ВВС за моей под</w:t>
      </w:r>
      <w:r w:rsidRPr="00271E51">
        <w:rPr>
          <w:rFonts w:ascii="Times New Roman" w:hAnsi="Times New Roman"/>
          <w:color w:val="000000" w:themeColor="text1"/>
          <w:sz w:val="16"/>
          <w:szCs w:val="16"/>
        </w:rPr>
        <w:softHyphen/>
        <w:t>писью».</w:t>
      </w:r>
      <w:r w:rsidRPr="00271E51">
        <w:rPr>
          <w:rStyle w:val="2fa"/>
          <w:rFonts w:ascii="Times New Roman" w:hAnsi="Times New Roman" w:cs="Times New Roman"/>
          <w:i w:val="0"/>
          <w:color w:val="000000" w:themeColor="text1"/>
          <w:sz w:val="16"/>
          <w:szCs w:val="16"/>
        </w:rPr>
        <w:t xml:space="preserve"> Уже 23 мая справка ушла в аппарат генерала Репина.</w:t>
      </w:r>
    </w:p>
    <w:p w14:paraId="3CABDCEE"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Пока «Харрикейны» 1Ю зав. №№ КХ-171 и КХ-305 испытывались и принималось ре</w:t>
      </w:r>
      <w:r w:rsidRPr="00271E51">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271E51">
        <w:rPr>
          <w:rFonts w:ascii="Times New Roman" w:hAnsi="Times New Roman" w:cs="Times New Roman"/>
          <w:color w:val="000000" w:themeColor="text1"/>
          <w:sz w:val="16"/>
          <w:szCs w:val="16"/>
        </w:rPr>
        <w:softHyphen/>
        <w:t>ку ВВС Закавказского военного округа (г. Аджи-Кабул) (12735).</w:t>
      </w:r>
    </w:p>
    <w:p w14:paraId="28476A02" w14:textId="77777777" w:rsidR="00473181" w:rsidRPr="00271E51" w:rsidRDefault="00473181"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6BA9682"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13 ноября 1943 были начаты и закончены 23 декабря все</w:t>
      </w:r>
      <w:r w:rsidRPr="00271E51">
        <w:rPr>
          <w:color w:val="000000" w:themeColor="text1"/>
          <w:sz w:val="16"/>
          <w:szCs w:val="16"/>
        </w:rPr>
        <w:softHyphen/>
        <w:t>сторонние исследования летно-боевых качеств и вооружения 2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 xml:space="preserve"> зав. № КХ-171 и № КХ-305 поступили в НИИ ВВС 26 августа 1943 г. и затем в НИИ АВ ВВС.</w:t>
      </w:r>
    </w:p>
    <w:p w14:paraId="4F2CD384"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Испытания были на</w:t>
      </w:r>
      <w:r w:rsidRPr="00271E51">
        <w:rPr>
          <w:color w:val="000000" w:themeColor="text1"/>
          <w:sz w:val="16"/>
          <w:szCs w:val="16"/>
        </w:rPr>
        <w:softHyphen/>
        <w:t>чаты с опозданием из-за задерж</w:t>
      </w:r>
      <w:r w:rsidRPr="00271E51">
        <w:rPr>
          <w:color w:val="000000" w:themeColor="text1"/>
          <w:sz w:val="16"/>
          <w:szCs w:val="16"/>
        </w:rPr>
        <w:softHyphen/>
        <w:t>ки правых пушек и боезапаса.</w:t>
      </w:r>
    </w:p>
    <w:p w14:paraId="05BB441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Акт по испытаниям утвержден главным инженером ВВС КА генерал-полковником А. К. Репиным 11 января 1944 г.</w:t>
      </w:r>
    </w:p>
    <w:p w14:paraId="7C2F4D90"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271E51">
        <w:rPr>
          <w:color w:val="000000" w:themeColor="text1"/>
          <w:sz w:val="16"/>
          <w:szCs w:val="16"/>
        </w:rPr>
        <w:softHyphen/>
        <w:t>чальником НИИ АВ генерал-майором М. В. Гуреви- чем 17 марта.</w:t>
      </w:r>
    </w:p>
    <w:p w14:paraId="3DBF8426" w14:textId="77777777" w:rsidR="007C74DE" w:rsidRPr="00271E51" w:rsidRDefault="007C74D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в НИИ ВВС проводились объединен</w:t>
      </w:r>
      <w:r w:rsidRPr="00271E51">
        <w:rPr>
          <w:rFonts w:ascii="Times New Roman" w:hAnsi="Times New Roman"/>
          <w:color w:val="000000" w:themeColor="text1"/>
          <w:sz w:val="16"/>
          <w:szCs w:val="16"/>
        </w:rPr>
        <w:softHyphen/>
        <w:t>ной бригадой специалистов 3-го и 4-го отделов ин</w:t>
      </w:r>
      <w:r w:rsidRPr="00271E51">
        <w:rPr>
          <w:rFonts w:ascii="Times New Roman" w:hAnsi="Times New Roman"/>
          <w:color w:val="000000" w:themeColor="text1"/>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271E51">
        <w:rPr>
          <w:rFonts w:ascii="Times New Roman" w:hAnsi="Times New Roman"/>
          <w:color w:val="000000" w:themeColor="text1"/>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773D82F0"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В НИИ АВ к испытаниям при</w:t>
      </w:r>
      <w:r w:rsidRPr="00271E51">
        <w:rPr>
          <w:color w:val="000000" w:themeColor="text1"/>
          <w:sz w:val="16"/>
          <w:szCs w:val="16"/>
        </w:rPr>
        <w:softHyphen/>
        <w:t>влекались специалисты 7-го отдела института: майор В. С. Полубичен- ко — ответственный по испыта</w:t>
      </w:r>
      <w:r w:rsidRPr="00271E51">
        <w:rPr>
          <w:color w:val="000000" w:themeColor="text1"/>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0DD528ED"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Всего в НИИ ВВС было выпол</w:t>
      </w:r>
      <w:r w:rsidRPr="00271E51">
        <w:rPr>
          <w:color w:val="000000" w:themeColor="text1"/>
          <w:sz w:val="16"/>
          <w:szCs w:val="16"/>
        </w:rPr>
        <w:softHyphen/>
        <w:t>нено 27 полетов с суммарным на</w:t>
      </w:r>
      <w:r w:rsidRPr="00271E51">
        <w:rPr>
          <w:color w:val="000000" w:themeColor="text1"/>
          <w:sz w:val="16"/>
          <w:szCs w:val="16"/>
        </w:rPr>
        <w:softHyphen/>
        <w:t>летом 18 ч 40 мин, в том числе на самолете зав. № КХ-305 — 16 по</w:t>
      </w:r>
      <w:r w:rsidRPr="00271E51">
        <w:rPr>
          <w:color w:val="000000" w:themeColor="text1"/>
          <w:sz w:val="16"/>
          <w:szCs w:val="16"/>
        </w:rPr>
        <w:softHyphen/>
        <w:t>летов (12 ч 10 мин), на самолете зав. № КХ-171 — 11 полетов (6 ч 30 мин).</w:t>
      </w:r>
    </w:p>
    <w:p w14:paraId="458FC9C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НИИ АВ ВВС на самолете зав. № КХ-305 выполнили еще 9 кон</w:t>
      </w:r>
      <w:r w:rsidRPr="00271E51">
        <w:rPr>
          <w:color w:val="000000" w:themeColor="text1"/>
          <w:sz w:val="16"/>
          <w:szCs w:val="16"/>
        </w:rPr>
        <w:softHyphen/>
        <w:t>трольных полетов на отстрел во</w:t>
      </w:r>
      <w:r w:rsidRPr="00271E51">
        <w:rPr>
          <w:color w:val="000000" w:themeColor="text1"/>
          <w:sz w:val="16"/>
          <w:szCs w:val="16"/>
        </w:rPr>
        <w:softHyphen/>
        <w:t>оружения в воздухе по воздушным и наземным целям.</w:t>
      </w:r>
    </w:p>
    <w:p w14:paraId="383C2A7D"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Штурмовой вариант самолета «Харрикейн» </w:t>
      </w:r>
      <w:r w:rsidRPr="00271E51">
        <w:rPr>
          <w:color w:val="000000" w:themeColor="text1"/>
          <w:sz w:val="16"/>
          <w:szCs w:val="16"/>
          <w:lang w:val="en-US"/>
        </w:rPr>
        <w:t>IID</w:t>
      </w:r>
      <w:r w:rsidRPr="00271E51">
        <w:rPr>
          <w:color w:val="000000" w:themeColor="text1"/>
          <w:sz w:val="16"/>
          <w:szCs w:val="16"/>
        </w:rPr>
        <w:t xml:space="preserve"> представлял собой серийный самолет «Харрикейн» </w:t>
      </w:r>
      <w:r w:rsidRPr="00271E51">
        <w:rPr>
          <w:color w:val="000000" w:themeColor="text1"/>
          <w:sz w:val="16"/>
          <w:szCs w:val="16"/>
          <w:lang w:val="en-US"/>
        </w:rPr>
        <w:t>IIC</w:t>
      </w:r>
      <w:r w:rsidRPr="00271E51">
        <w:rPr>
          <w:color w:val="000000" w:themeColor="text1"/>
          <w:sz w:val="16"/>
          <w:szCs w:val="16"/>
        </w:rPr>
        <w:t xml:space="preserve"> с усиленным бронированием и до</w:t>
      </w:r>
      <w:r w:rsidRPr="00271E51">
        <w:rPr>
          <w:color w:val="000000" w:themeColor="text1"/>
          <w:sz w:val="16"/>
          <w:szCs w:val="16"/>
        </w:rPr>
        <w:softHyphen/>
        <w:t>работанный под установку крупно</w:t>
      </w:r>
      <w:r w:rsidRPr="00271E51">
        <w:rPr>
          <w:color w:val="000000" w:themeColor="text1"/>
          <w:sz w:val="16"/>
          <w:szCs w:val="16"/>
        </w:rPr>
        <w:softHyphen/>
        <w:t>калиберных пушек.</w:t>
      </w:r>
    </w:p>
    <w:p w14:paraId="7736BF6B"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Броней на самолете защища</w:t>
      </w:r>
      <w:r w:rsidRPr="00271E51">
        <w:rPr>
          <w:color w:val="000000" w:themeColor="text1"/>
          <w:sz w:val="16"/>
          <w:szCs w:val="16"/>
        </w:rPr>
        <w:softHyphen/>
        <w:t>лись: летчик, мотор, водо- и масло- радиаторы. Общий вес брони достигал 185 кг.</w:t>
      </w:r>
    </w:p>
    <w:p w14:paraId="0A5A6D0D"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Под крылом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размещались 2 пушки Вик- керс </w:t>
      </w:r>
      <w:r w:rsidRPr="00271E51">
        <w:rPr>
          <w:color w:val="000000" w:themeColor="text1"/>
          <w:sz w:val="16"/>
          <w:szCs w:val="16"/>
          <w:lang w:val="en-US"/>
        </w:rPr>
        <w:t>S</w:t>
      </w:r>
      <w:r w:rsidRPr="00271E51">
        <w:rPr>
          <w:color w:val="000000" w:themeColor="text1"/>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271E51">
        <w:rPr>
          <w:color w:val="000000" w:themeColor="text1"/>
          <w:sz w:val="16"/>
          <w:szCs w:val="16"/>
        </w:rPr>
        <w:softHyphen/>
        <w:t>ных бензобаков.</w:t>
      </w:r>
    </w:p>
    <w:p w14:paraId="4A1644E5"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помещались в специальном обтекателе и крепились на 2 узлах, из которых передний яв</w:t>
      </w:r>
      <w:r w:rsidRPr="00271E51">
        <w:rPr>
          <w:color w:val="000000" w:themeColor="text1"/>
          <w:sz w:val="16"/>
          <w:szCs w:val="16"/>
        </w:rPr>
        <w:softHyphen/>
        <w:t>лялся силовым, а задний — регулировочным. При этом стволы пушек на 1080 мм выступали за перед</w:t>
      </w:r>
      <w:r w:rsidRPr="00271E51">
        <w:rPr>
          <w:color w:val="000000" w:themeColor="text1"/>
          <w:sz w:val="16"/>
          <w:szCs w:val="16"/>
        </w:rPr>
        <w:softHyphen/>
        <w:t>нюю кромку крыла.</w:t>
      </w:r>
    </w:p>
    <w:p w14:paraId="535DCF5F"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Автоматика пушек Виккерс </w:t>
      </w:r>
      <w:r w:rsidRPr="00271E51">
        <w:rPr>
          <w:color w:val="000000" w:themeColor="text1"/>
          <w:sz w:val="16"/>
          <w:szCs w:val="16"/>
          <w:lang w:val="en-US"/>
        </w:rPr>
        <w:t>S</w:t>
      </w:r>
      <w:r w:rsidRPr="00271E51">
        <w:rPr>
          <w:color w:val="000000" w:themeColor="text1"/>
          <w:sz w:val="16"/>
          <w:szCs w:val="16"/>
        </w:rPr>
        <w:t xml:space="preserve"> работала на прин</w:t>
      </w:r>
      <w:r w:rsidRPr="00271E51">
        <w:rPr>
          <w:color w:val="000000" w:themeColor="text1"/>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271E51">
        <w:rPr>
          <w:color w:val="000000" w:themeColor="text1"/>
          <w:sz w:val="16"/>
          <w:szCs w:val="16"/>
        </w:rPr>
        <w:softHyphen/>
        <w:t>жинами и гидравлическим тормозом. В гидротор</w:t>
      </w:r>
      <w:r w:rsidRPr="00271E51">
        <w:rPr>
          <w:color w:val="000000" w:themeColor="text1"/>
          <w:sz w:val="16"/>
          <w:szCs w:val="16"/>
        </w:rPr>
        <w:softHyphen/>
        <w:t>моз заливалось веретенное масло или смесь вере</w:t>
      </w:r>
      <w:r w:rsidRPr="00271E51">
        <w:rPr>
          <w:color w:val="000000" w:themeColor="text1"/>
          <w:sz w:val="16"/>
          <w:szCs w:val="16"/>
        </w:rPr>
        <w:softHyphen/>
        <w:t>тенного масла с техническим керосином (в соотно</w:t>
      </w:r>
      <w:r w:rsidRPr="00271E51">
        <w:rPr>
          <w:color w:val="000000" w:themeColor="text1"/>
          <w:sz w:val="16"/>
          <w:szCs w:val="16"/>
        </w:rPr>
        <w:softHyphen/>
        <w:t>шении 60/40).</w:t>
      </w:r>
    </w:p>
    <w:p w14:paraId="50E9429B"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Питание пушек — магазинное. Магазин на 15 снарядов жестко крепился к пушке болтами. За</w:t>
      </w:r>
      <w:r w:rsidRPr="00271E51">
        <w:rPr>
          <w:color w:val="000000" w:themeColor="text1"/>
          <w:sz w:val="16"/>
          <w:szCs w:val="16"/>
        </w:rPr>
        <w:softHyphen/>
        <w:t>рядка магазина производилась непосредственно на самолете.</w:t>
      </w:r>
    </w:p>
    <w:p w14:paraId="1FAD1F02"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Перезарядка пушек осуществлялась вручную с помощью специальной рукоятки с цепной пере</w:t>
      </w:r>
      <w:r w:rsidRPr="00271E51">
        <w:rPr>
          <w:color w:val="000000" w:themeColor="text1"/>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271E51">
        <w:rPr>
          <w:color w:val="000000" w:themeColor="text1"/>
          <w:sz w:val="16"/>
          <w:szCs w:val="16"/>
        </w:rPr>
        <w:softHyphen/>
        <w:t>ников пушек. С ее помощью летчик в полете мог повторно взвести ударники пушек и продолжить стрельбу.</w:t>
      </w:r>
    </w:p>
    <w:p w14:paraId="4F8B5C61"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Длина пушки достигала 2970 мм, при высоте с магазином 533 мм (без магазина 278 мм) и ши</w:t>
      </w:r>
      <w:r w:rsidRPr="00271E51">
        <w:rPr>
          <w:color w:val="000000" w:themeColor="text1"/>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271E51">
        <w:rPr>
          <w:color w:val="000000" w:themeColor="text1"/>
          <w:sz w:val="16"/>
          <w:szCs w:val="16"/>
        </w:rPr>
        <w:softHyphen/>
        <w:t>нов — 16,0 кг, боекомплект — 22,5 кг.</w:t>
      </w:r>
    </w:p>
    <w:p w14:paraId="3063C81C"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общему мнению летчиков, увеличение по</w:t>
      </w:r>
      <w:r w:rsidRPr="00271E51">
        <w:rPr>
          <w:color w:val="000000" w:themeColor="text1"/>
          <w:sz w:val="16"/>
          <w:szCs w:val="16"/>
        </w:rPr>
        <w:softHyphen/>
        <w:t xml:space="preserve">летного веса и ухудшение аэродинамики самолета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по сравнению с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IIC</w:t>
      </w:r>
      <w:r w:rsidRPr="00271E51">
        <w:rPr>
          <w:color w:val="000000" w:themeColor="text1"/>
          <w:sz w:val="16"/>
          <w:szCs w:val="16"/>
        </w:rPr>
        <w:t xml:space="preserve"> привело к заметному понижению летных данных и маневренности само</w:t>
      </w:r>
      <w:r w:rsidRPr="00271E51">
        <w:rPr>
          <w:color w:val="000000" w:themeColor="text1"/>
          <w:sz w:val="16"/>
          <w:szCs w:val="16"/>
        </w:rPr>
        <w:softHyphen/>
        <w:t>лета как в вертикальной, так и в горизонтальной плоскости. Для выполнения фигур «скорости при</w:t>
      </w:r>
      <w:r w:rsidRPr="00271E51">
        <w:rPr>
          <w:color w:val="000000" w:themeColor="text1"/>
          <w:sz w:val="16"/>
          <w:szCs w:val="16"/>
        </w:rPr>
        <w:softHyphen/>
        <w:t>ходится держать больше на 5—7 миль/ч, так как самолет тяжелее и инертнее». Продольная и по</w:t>
      </w:r>
      <w:r w:rsidRPr="00271E51">
        <w:rPr>
          <w:color w:val="000000" w:themeColor="text1"/>
          <w:sz w:val="16"/>
          <w:szCs w:val="16"/>
        </w:rPr>
        <w:softHyphen/>
        <w:t>перечная устойчивость самолета оставляла желать лучшего. Сбалансированность самолета в горизон</w:t>
      </w:r>
      <w:r w:rsidRPr="00271E51">
        <w:rPr>
          <w:color w:val="000000" w:themeColor="text1"/>
          <w:sz w:val="16"/>
          <w:szCs w:val="16"/>
        </w:rPr>
        <w:softHyphen/>
        <w:t>тальном полете была затруднена и требовала по</w:t>
      </w:r>
      <w:r w:rsidRPr="00271E51">
        <w:rPr>
          <w:color w:val="000000" w:themeColor="text1"/>
          <w:sz w:val="16"/>
          <w:szCs w:val="16"/>
        </w:rPr>
        <w:softHyphen/>
        <w:t>стоянной регулировки положения триммера при изменении скорости полета. На вертикальных фи</w:t>
      </w:r>
      <w:r w:rsidRPr="00271E51">
        <w:rPr>
          <w:color w:val="000000" w:themeColor="text1"/>
          <w:sz w:val="16"/>
          <w:szCs w:val="16"/>
        </w:rPr>
        <w:softHyphen/>
        <w:t>гурах самолет быстро терял скорость, набор высо</w:t>
      </w:r>
      <w:r w:rsidRPr="00271E51">
        <w:rPr>
          <w:color w:val="000000" w:themeColor="text1"/>
          <w:sz w:val="16"/>
          <w:szCs w:val="16"/>
        </w:rPr>
        <w:softHyphen/>
        <w:t xml:space="preserve">ты на иммельмане и боевом развороте сократился. В то же время техника пилотирования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прак</w:t>
      </w:r>
      <w:r w:rsidRPr="00271E51">
        <w:rPr>
          <w:color w:val="000000" w:themeColor="text1"/>
          <w:sz w:val="16"/>
          <w:szCs w:val="16"/>
        </w:rPr>
        <w:softHyphen/>
        <w:t xml:space="preserve">тически ничем не отличалась от самолетов «Харри- кейн» </w:t>
      </w:r>
      <w:r w:rsidRPr="00271E51">
        <w:rPr>
          <w:color w:val="000000" w:themeColor="text1"/>
          <w:sz w:val="16"/>
          <w:szCs w:val="16"/>
          <w:lang w:val="en-US"/>
        </w:rPr>
        <w:t>IIC</w:t>
      </w:r>
      <w:r w:rsidRPr="00271E51">
        <w:rPr>
          <w:color w:val="000000" w:themeColor="text1"/>
          <w:sz w:val="16"/>
          <w:szCs w:val="16"/>
        </w:rPr>
        <w:t xml:space="preserve"> или </w:t>
      </w:r>
      <w:r w:rsidRPr="00271E51">
        <w:rPr>
          <w:color w:val="000000" w:themeColor="text1"/>
          <w:sz w:val="16"/>
          <w:szCs w:val="16"/>
          <w:lang w:val="en-US"/>
        </w:rPr>
        <w:t>IIB</w:t>
      </w:r>
      <w:r w:rsidRPr="00271E51">
        <w:rPr>
          <w:color w:val="000000" w:themeColor="text1"/>
          <w:sz w:val="16"/>
          <w:szCs w:val="16"/>
        </w:rPr>
        <w:t>.</w:t>
      </w:r>
    </w:p>
    <w:p w14:paraId="7F00AFF6"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Вооружение самолета отстреливалось как на земле, так и в воздухе. Стрельба велась снарядами, «снаряженными стальными корпусами бронебой</w:t>
      </w:r>
      <w:r w:rsidRPr="00271E51">
        <w:rPr>
          <w:color w:val="000000" w:themeColor="text1"/>
          <w:sz w:val="16"/>
          <w:szCs w:val="16"/>
        </w:rPr>
        <w:softHyphen/>
        <w:t xml:space="preserve">ных снарядов, так как других боекомплектов для пушек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w:t>
      </w:r>
      <w:r w:rsidRPr="00271E51">
        <w:rPr>
          <w:color w:val="000000" w:themeColor="text1"/>
          <w:sz w:val="16"/>
          <w:szCs w:val="16"/>
        </w:rPr>
        <w:t xml:space="preserve"> — 40 мм в снабжающих организациях ВВС не имелось». При этом в снарядах отсутство</w:t>
      </w:r>
      <w:r w:rsidRPr="00271E51">
        <w:rPr>
          <w:color w:val="000000" w:themeColor="text1"/>
          <w:sz w:val="16"/>
          <w:szCs w:val="16"/>
        </w:rPr>
        <w:softHyphen/>
        <w:t>вали «разрывной заряд ВВ и донный взрыватель, заглушка вместо него не поставлена», так что вну</w:t>
      </w:r>
      <w:r w:rsidRPr="00271E51">
        <w:rPr>
          <w:color w:val="000000" w:themeColor="text1"/>
          <w:sz w:val="16"/>
          <w:szCs w:val="16"/>
        </w:rPr>
        <w:softHyphen/>
        <w:t>тренняя полость снаряда сообщалась с зарядной каморой патрона. То есть снаряды «не имели ни фугасного, ни зажигательного действия, а внутрен</w:t>
      </w:r>
      <w:r w:rsidRPr="00271E51">
        <w:rPr>
          <w:color w:val="000000" w:themeColor="text1"/>
          <w:sz w:val="16"/>
          <w:szCs w:val="16"/>
        </w:rPr>
        <w:softHyphen/>
        <w:t>няя и внешняя баллистика его отличается от балли</w:t>
      </w:r>
      <w:r w:rsidRPr="00271E51">
        <w:rPr>
          <w:color w:val="000000" w:themeColor="text1"/>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271E51">
        <w:rPr>
          <w:color w:val="000000" w:themeColor="text1"/>
          <w:sz w:val="16"/>
          <w:szCs w:val="16"/>
        </w:rPr>
        <w:softHyphen/>
        <w:t>гих снарядов союзники не поставили.</w:t>
      </w:r>
    </w:p>
    <w:p w14:paraId="586B6FBE"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из пушек было выполнено 620 выстрелов, в том числе 212 выстрелов на земле и 408 в воздухе.</w:t>
      </w:r>
    </w:p>
    <w:p w14:paraId="2CAAC42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271E51">
        <w:rPr>
          <w:color w:val="000000" w:themeColor="text1"/>
          <w:sz w:val="16"/>
          <w:szCs w:val="16"/>
        </w:rPr>
        <w:softHyphen/>
        <w:t>зонтальном полете, на виражах, на наборе высо</w:t>
      </w:r>
      <w:r w:rsidRPr="00271E51">
        <w:rPr>
          <w:color w:val="000000" w:themeColor="text1"/>
          <w:sz w:val="16"/>
          <w:szCs w:val="16"/>
        </w:rPr>
        <w:softHyphen/>
        <w:t>ты, а после выполнения пилотажа и по наземной цели — с пикирования (по щитам и контуру само</w:t>
      </w:r>
      <w:r w:rsidRPr="00271E51">
        <w:rPr>
          <w:color w:val="000000" w:themeColor="text1"/>
          <w:sz w:val="16"/>
          <w:szCs w:val="16"/>
        </w:rPr>
        <w:softHyphen/>
        <w:t>лета). Кроме того, один полет был выполнен для стрельбы на большой высоте.</w:t>
      </w:r>
    </w:p>
    <w:p w14:paraId="2E332CB6"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271E51">
        <w:rPr>
          <w:color w:val="000000" w:themeColor="text1"/>
          <w:sz w:val="16"/>
          <w:szCs w:val="16"/>
        </w:rPr>
        <w:softHyphen/>
        <w:t>бе из 37-мм пушек 11П на самолетах Як-9т и ЛаГГ-3. Синхронность стрельбы оценивалась как отличная.</w:t>
      </w:r>
    </w:p>
    <w:p w14:paraId="7C470C38"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271E51">
        <w:rPr>
          <w:color w:val="000000" w:themeColor="text1"/>
          <w:sz w:val="16"/>
          <w:szCs w:val="16"/>
        </w:rPr>
        <w:softHyphen/>
        <w:t>мился увеличить угол пикирования и «его необхо</w:t>
      </w:r>
      <w:r w:rsidRPr="00271E51">
        <w:rPr>
          <w:color w:val="000000" w:themeColor="text1"/>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271E51">
        <w:rPr>
          <w:color w:val="000000" w:themeColor="text1"/>
          <w:sz w:val="16"/>
          <w:szCs w:val="16"/>
        </w:rPr>
        <w:softHyphen/>
        <w:t>которое уменьшение угла.</w:t>
      </w:r>
    </w:p>
    <w:p w14:paraId="4CACB2D5"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Чем длиннее очередь из пушек, «тем опуска</w:t>
      </w:r>
      <w:r w:rsidRPr="00271E51">
        <w:rPr>
          <w:color w:val="000000" w:themeColor="text1"/>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271E51">
        <w:rPr>
          <w:color w:val="000000" w:themeColor="text1"/>
          <w:sz w:val="16"/>
          <w:szCs w:val="16"/>
        </w:rPr>
        <w:softHyphen/>
        <w:t>цельная стрельба становится невозможной».</w:t>
      </w:r>
    </w:p>
    <w:p w14:paraId="1855843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обеспечения более точного поражения це</w:t>
      </w:r>
      <w:r w:rsidRPr="00271E51">
        <w:rPr>
          <w:color w:val="000000" w:themeColor="text1"/>
          <w:sz w:val="16"/>
          <w:szCs w:val="16"/>
        </w:rPr>
        <w:softHyphen/>
        <w:t>ли рекомендовалось производить стрельбу очере</w:t>
      </w:r>
      <w:r w:rsidRPr="00271E51">
        <w:rPr>
          <w:color w:val="000000" w:themeColor="text1"/>
          <w:sz w:val="16"/>
          <w:szCs w:val="16"/>
        </w:rPr>
        <w:softHyphen/>
        <w:t>дями по 2—3, максимум 4 снаряда из каждой пуш</w:t>
      </w:r>
      <w:r w:rsidRPr="00271E51">
        <w:rPr>
          <w:color w:val="000000" w:themeColor="text1"/>
          <w:sz w:val="16"/>
          <w:szCs w:val="16"/>
        </w:rPr>
        <w:softHyphen/>
        <w:t>ки. При этом короткая очередь была рациональна и с точки зрения тактического применения самоле</w:t>
      </w:r>
      <w:r w:rsidRPr="00271E51">
        <w:rPr>
          <w:color w:val="000000" w:themeColor="text1"/>
          <w:sz w:val="16"/>
          <w:szCs w:val="16"/>
        </w:rPr>
        <w:softHyphen/>
        <w:t>та (более экономного расхода небольшого боеком</w:t>
      </w:r>
      <w:r w:rsidRPr="00271E51">
        <w:rPr>
          <w:color w:val="000000" w:themeColor="text1"/>
          <w:sz w:val="16"/>
          <w:szCs w:val="16"/>
        </w:rPr>
        <w:softHyphen/>
        <w:t>плекта к пушкам).</w:t>
      </w:r>
    </w:p>
    <w:p w14:paraId="23BD64CE"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одной пушки (правой или ле</w:t>
      </w:r>
      <w:r w:rsidRPr="00271E51">
        <w:rPr>
          <w:color w:val="000000" w:themeColor="text1"/>
          <w:sz w:val="16"/>
          <w:szCs w:val="16"/>
        </w:rPr>
        <w:softHyphen/>
        <w:t>вой) самолет разворачивался в сторону стреляю</w:t>
      </w:r>
      <w:r w:rsidRPr="00271E51">
        <w:rPr>
          <w:color w:val="000000" w:themeColor="text1"/>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color w:val="000000" w:themeColor="text1"/>
          <w:sz w:val="16"/>
          <w:szCs w:val="16"/>
        </w:rPr>
        <w:softHyphen/>
        <w:t>ков, «получается разбалтывание самолета относи</w:t>
      </w:r>
      <w:r w:rsidRPr="00271E51">
        <w:rPr>
          <w:color w:val="000000" w:themeColor="text1"/>
          <w:sz w:val="16"/>
          <w:szCs w:val="16"/>
        </w:rPr>
        <w:softHyphen/>
        <w:t>тельно вертикальной оси на линии прицеливания, что ухудшает качество стрельбы». То есть прицель</w:t>
      </w:r>
      <w:r w:rsidRPr="00271E51">
        <w:rPr>
          <w:color w:val="000000" w:themeColor="text1"/>
          <w:sz w:val="16"/>
          <w:szCs w:val="16"/>
        </w:rPr>
        <w:softHyphen/>
        <w:t>ным был только первый снаряд в очереди.</w:t>
      </w:r>
    </w:p>
    <w:p w14:paraId="33D1093B" w14:textId="77777777" w:rsidR="007C74DE" w:rsidRPr="00271E51" w:rsidRDefault="007C74D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271E51">
        <w:rPr>
          <w:rFonts w:ascii="Times New Roman" w:hAnsi="Times New Roman"/>
          <w:color w:val="000000" w:themeColor="text1"/>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755BE077"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Важно отметить, при стрельбе в воздухе по на</w:t>
      </w:r>
      <w:r w:rsidRPr="00271E51">
        <w:rPr>
          <w:color w:val="000000" w:themeColor="text1"/>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60BF32BC"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Летчикам понравилось удобное расположение электрокнопки управления огнем из пушек на сек</w:t>
      </w:r>
      <w:r w:rsidRPr="00271E51">
        <w:rPr>
          <w:color w:val="000000" w:themeColor="text1"/>
          <w:sz w:val="16"/>
          <w:szCs w:val="16"/>
        </w:rPr>
        <w:softHyphen/>
        <w:t>торе газа под левую руку. Поскольку пулеметы при</w:t>
      </w:r>
      <w:r w:rsidRPr="00271E51">
        <w:rPr>
          <w:color w:val="000000" w:themeColor="text1"/>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220A39BB"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прицеливания при стрельбе использовал</w:t>
      </w:r>
      <w:r w:rsidRPr="00271E51">
        <w:rPr>
          <w:color w:val="000000" w:themeColor="text1"/>
          <w:sz w:val="16"/>
          <w:szCs w:val="16"/>
        </w:rPr>
        <w:softHyphen/>
        <w:t xml:space="preserve">ся коллиматорный прицел Рефлектор Сайт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IIS</w:t>
      </w:r>
      <w:r w:rsidRPr="00271E51">
        <w:rPr>
          <w:color w:val="000000" w:themeColor="text1"/>
          <w:sz w:val="16"/>
          <w:szCs w:val="16"/>
        </w:rPr>
        <w:t xml:space="preserve"> с электрической подсветкой. Пользоваться им в воздухе было удобно.</w:t>
      </w:r>
    </w:p>
    <w:p w14:paraId="7D556FD4"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Отмечалась простая эксплуатация пушек: «пуш</w:t>
      </w:r>
      <w:r w:rsidRPr="00271E51">
        <w:rPr>
          <w:color w:val="000000" w:themeColor="text1"/>
          <w:sz w:val="16"/>
          <w:szCs w:val="16"/>
        </w:rPr>
        <w:softHyphen/>
        <w:t>ки осваиваются техническим составом легко и бы</w:t>
      </w:r>
      <w:r w:rsidRPr="00271E51">
        <w:rPr>
          <w:color w:val="000000" w:themeColor="text1"/>
          <w:sz w:val="16"/>
          <w:szCs w:val="16"/>
        </w:rPr>
        <w:softHyphen/>
        <w:t>стро». Подходы к пушкам удобные. Зарядка мага</w:t>
      </w:r>
      <w:r w:rsidRPr="00271E51">
        <w:rPr>
          <w:color w:val="000000" w:themeColor="text1"/>
          <w:sz w:val="16"/>
          <w:szCs w:val="16"/>
        </w:rPr>
        <w:softHyphen/>
        <w:t>зина производилась непосредственно на самолете.</w:t>
      </w:r>
    </w:p>
    <w:p w14:paraId="51B0215C"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Имелись и недостатки. Пушки было трудно сна</w:t>
      </w:r>
      <w:r w:rsidRPr="00271E51">
        <w:rPr>
          <w:color w:val="000000" w:themeColor="text1"/>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271E51">
        <w:rPr>
          <w:color w:val="000000" w:themeColor="text1"/>
          <w:sz w:val="16"/>
          <w:szCs w:val="16"/>
        </w:rPr>
        <w:softHyphen/>
        <w:t>полнено неудачно — «при снятии пушки с самолета нарушается пристрелка». Легкосъемные замки кры</w:t>
      </w:r>
      <w:r w:rsidRPr="00271E51">
        <w:rPr>
          <w:color w:val="000000" w:themeColor="text1"/>
          <w:sz w:val="16"/>
          <w:szCs w:val="16"/>
        </w:rPr>
        <w:softHyphen/>
        <w:t>шек лючков пулеметов в ходе эксплуатации быстро деформировались. Как следствие, открывание и за</w:t>
      </w:r>
      <w:r w:rsidRPr="00271E51">
        <w:rPr>
          <w:color w:val="000000" w:themeColor="text1"/>
          <w:sz w:val="16"/>
          <w:szCs w:val="16"/>
        </w:rPr>
        <w:softHyphen/>
        <w:t>крывание лючков становилось затруднительным.</w:t>
      </w:r>
    </w:p>
    <w:p w14:paraId="6CFC9E4F"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Отсутствовали приспособления перезарядки пушек в воздухе. По этой причине устранить воз</w:t>
      </w:r>
      <w:r w:rsidRPr="00271E51">
        <w:rPr>
          <w:color w:val="000000" w:themeColor="text1"/>
          <w:sz w:val="16"/>
          <w:szCs w:val="16"/>
        </w:rPr>
        <w:softHyphen/>
        <w:t>можные задержки в стрельбе летчик не мог. В по</w:t>
      </w:r>
      <w:r w:rsidRPr="00271E51">
        <w:rPr>
          <w:color w:val="000000" w:themeColor="text1"/>
          <w:sz w:val="16"/>
          <w:szCs w:val="16"/>
        </w:rPr>
        <w:softHyphen/>
        <w:t>лете в случае осечки летчик мог только повторно взвести ударный механизм, «что отсутствие систе</w:t>
      </w:r>
      <w:r w:rsidRPr="00271E51">
        <w:rPr>
          <w:color w:val="000000" w:themeColor="text1"/>
          <w:sz w:val="16"/>
          <w:szCs w:val="16"/>
        </w:rPr>
        <w:softHyphen/>
        <w:t>мы перезарядки не компенсирует».</w:t>
      </w:r>
    </w:p>
    <w:p w14:paraId="32523F60"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271E51">
        <w:rPr>
          <w:color w:val="000000" w:themeColor="text1"/>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271E51">
        <w:rPr>
          <w:color w:val="000000" w:themeColor="text1"/>
          <w:sz w:val="16"/>
          <w:szCs w:val="16"/>
        </w:rPr>
        <w:softHyphen/>
        <w:t>мировались.</w:t>
      </w:r>
    </w:p>
    <w:p w14:paraId="1856175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«боекомплект 15 нарядов на пуш</w:t>
      </w:r>
      <w:r w:rsidRPr="00271E51">
        <w:rPr>
          <w:color w:val="000000" w:themeColor="text1"/>
          <w:sz w:val="16"/>
          <w:szCs w:val="16"/>
        </w:rPr>
        <w:softHyphen/>
        <w:t>ку и темп стрельбы 100—110 выстр./мин не могут удовлетворить ТТТ, предъявляемым ВВС к самоле</w:t>
      </w:r>
      <w:r w:rsidRPr="00271E51">
        <w:rPr>
          <w:color w:val="000000" w:themeColor="text1"/>
          <w:sz w:val="16"/>
          <w:szCs w:val="16"/>
        </w:rPr>
        <w:softHyphen/>
        <w:t>ту-истребителю».</w:t>
      </w:r>
    </w:p>
    <w:p w14:paraId="39C98FA3"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всему комплексу летно-боевых качеств «ан</w:t>
      </w:r>
      <w:r w:rsidRPr="00271E51">
        <w:rPr>
          <w:color w:val="000000" w:themeColor="text1"/>
          <w:sz w:val="16"/>
          <w:szCs w:val="16"/>
        </w:rPr>
        <w:softHyphen/>
        <w:t>гличанин» оценивался ниже не только противотан</w:t>
      </w:r>
      <w:r w:rsidRPr="00271E51">
        <w:rPr>
          <w:color w:val="000000" w:themeColor="text1"/>
          <w:sz w:val="16"/>
          <w:szCs w:val="16"/>
        </w:rPr>
        <w:softHyphen/>
        <w:t>ковых истребителей ЛаГГ-3 и Як-9т, но и штурмови</w:t>
      </w:r>
      <w:r w:rsidRPr="00271E51">
        <w:rPr>
          <w:color w:val="000000" w:themeColor="text1"/>
          <w:sz w:val="16"/>
          <w:szCs w:val="16"/>
        </w:rPr>
        <w:softHyphen/>
        <w:t>ка Ил-2 с НС-37.</w:t>
      </w:r>
    </w:p>
    <w:p w14:paraId="04983ACF"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Отмечалось, что «пушка Виккерс </w:t>
      </w:r>
      <w:r w:rsidRPr="00271E51">
        <w:rPr>
          <w:color w:val="000000" w:themeColor="text1"/>
          <w:sz w:val="16"/>
          <w:szCs w:val="16"/>
          <w:lang w:val="en-US"/>
        </w:rPr>
        <w:t>S</w:t>
      </w:r>
      <w:r w:rsidRPr="00271E51">
        <w:rPr>
          <w:color w:val="000000" w:themeColor="text1"/>
          <w:sz w:val="16"/>
          <w:szCs w:val="16"/>
        </w:rPr>
        <w:t xml:space="preserve"> калибра 40 мм по темпу стрельбы и начальной скорости снаряда стоит ниже современных систем авиаци</w:t>
      </w:r>
      <w:r w:rsidRPr="00271E51">
        <w:rPr>
          <w:color w:val="000000" w:themeColor="text1"/>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271E51">
        <w:rPr>
          <w:color w:val="000000" w:themeColor="text1"/>
          <w:sz w:val="16"/>
          <w:szCs w:val="16"/>
          <w:lang w:val="en-US"/>
        </w:rPr>
        <w:t>S</w:t>
      </w:r>
      <w:r w:rsidRPr="00271E51">
        <w:rPr>
          <w:color w:val="000000" w:themeColor="text1"/>
          <w:sz w:val="16"/>
          <w:szCs w:val="16"/>
        </w:rPr>
        <w:t xml:space="preserve"> в 1,35 раза меньше, чем у американской 37-мм пушки М-4, в 3,5 раза меньше, чем у НС-37, и в 4 раза меньше, чем у НС-45.</w:t>
      </w:r>
    </w:p>
    <w:p w14:paraId="5F14BB77"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Несмотря на больший калибр, бронепроби- ваемость английской пушки оказалась хуже оте</w:t>
      </w:r>
      <w:r w:rsidRPr="00271E51">
        <w:rPr>
          <w:color w:val="000000" w:themeColor="text1"/>
          <w:sz w:val="16"/>
          <w:szCs w:val="16"/>
        </w:rPr>
        <w:softHyphen/>
        <w:t>чественной пушки калибра 37 мм НС-37. С дис</w:t>
      </w:r>
      <w:r w:rsidRPr="00271E51">
        <w:rPr>
          <w:color w:val="000000" w:themeColor="text1"/>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271E51">
        <w:rPr>
          <w:color w:val="000000" w:themeColor="text1"/>
          <w:sz w:val="16"/>
          <w:szCs w:val="16"/>
        </w:rPr>
        <w:softHyphen/>
        <w:t xml:space="preserve">бойный снаряд к пушке Виккерс </w:t>
      </w:r>
      <w:r w:rsidRPr="00271E51">
        <w:rPr>
          <w:color w:val="000000" w:themeColor="text1"/>
          <w:sz w:val="16"/>
          <w:szCs w:val="16"/>
          <w:lang w:val="en-US"/>
        </w:rPr>
        <w:t>S</w:t>
      </w:r>
      <w:r w:rsidRPr="00271E51">
        <w:rPr>
          <w:color w:val="000000" w:themeColor="text1"/>
          <w:sz w:val="16"/>
          <w:szCs w:val="16"/>
        </w:rPr>
        <w:t xml:space="preserve"> — только 38—41 мм, а к американской 37-мм пушке М-4 — 40—43 мм.</w:t>
      </w:r>
    </w:p>
    <w:p w14:paraId="39689AC6"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7D066FE6" w14:textId="77777777" w:rsidR="007C74DE" w:rsidRPr="00271E51" w:rsidRDefault="007C74D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Наступательное стрелково-пушечное вооруже</w:t>
      </w:r>
      <w:r w:rsidRPr="00271E51">
        <w:rPr>
          <w:rFonts w:ascii="Times New Roman" w:hAnsi="Times New Roman"/>
          <w:color w:val="000000" w:themeColor="text1"/>
          <w:sz w:val="16"/>
          <w:szCs w:val="16"/>
        </w:rPr>
        <w:softHyphen/>
        <w:t xml:space="preserve">ние Ил-2 по сравнению с оружием «Харрикейн» </w:t>
      </w:r>
      <w:r w:rsidRPr="00271E51">
        <w:rPr>
          <w:rFonts w:ascii="Times New Roman" w:hAnsi="Times New Roman"/>
          <w:color w:val="000000" w:themeColor="text1"/>
          <w:sz w:val="16"/>
          <w:szCs w:val="16"/>
          <w:lang w:val="en-US"/>
        </w:rPr>
        <w:t>IID</w:t>
      </w:r>
      <w:r w:rsidRPr="00271E51">
        <w:rPr>
          <w:rFonts w:ascii="Times New Roman" w:hAnsi="Times New Roman"/>
          <w:color w:val="000000" w:themeColor="text1"/>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271E51">
        <w:rPr>
          <w:rFonts w:ascii="Times New Roman" w:hAnsi="Times New Roman"/>
          <w:color w:val="000000" w:themeColor="text1"/>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7AFFBFD0"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Рассеивание нескольких очередей при стрельбе в воздухе из пушек по полотнищам, расположен</w:t>
      </w:r>
      <w:r w:rsidRPr="00271E51">
        <w:rPr>
          <w:color w:val="000000" w:themeColor="text1"/>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271E51">
        <w:rPr>
          <w:color w:val="000000" w:themeColor="text1"/>
          <w:sz w:val="16"/>
          <w:szCs w:val="16"/>
        </w:rPr>
        <w:softHyphen/>
        <w:t>водки прицела у самолета «Харрикейн» меньше, чем у Ил-2 с НС-37, примерно в 4—11 раз.</w:t>
      </w:r>
    </w:p>
    <w:p w14:paraId="406E991B"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Рассеивание при стрельбе в воздухе из пушек у самолета «Харрикейн» </w:t>
      </w:r>
      <w:r w:rsidRPr="00271E51">
        <w:rPr>
          <w:color w:val="000000" w:themeColor="text1"/>
          <w:sz w:val="16"/>
          <w:szCs w:val="16"/>
          <w:lang w:val="en-US"/>
        </w:rPr>
        <w:t>IID</w:t>
      </w:r>
      <w:r w:rsidRPr="00271E51">
        <w:rPr>
          <w:color w:val="000000" w:themeColor="text1"/>
          <w:sz w:val="16"/>
          <w:szCs w:val="16"/>
        </w:rPr>
        <w:t>, по сравнению с рассе</w:t>
      </w:r>
      <w:r w:rsidRPr="00271E51">
        <w:rPr>
          <w:color w:val="000000" w:themeColor="text1"/>
          <w:sz w:val="16"/>
          <w:szCs w:val="16"/>
        </w:rPr>
        <w:softHyphen/>
        <w:t>иванием при стрельбе на земле, возрастало в 10— 18 раз, а у самолета Ил-2 — в 30—100 раз. Сле</w:t>
      </w:r>
      <w:r w:rsidRPr="00271E51">
        <w:rPr>
          <w:color w:val="000000" w:themeColor="text1"/>
          <w:sz w:val="16"/>
          <w:szCs w:val="16"/>
        </w:rPr>
        <w:softHyphen/>
        <w:t xml:space="preserve">довательно, ведение прицельного огня в воздухе с самолета «Харрикейн» </w:t>
      </w:r>
      <w:r w:rsidRPr="00271E51">
        <w:rPr>
          <w:color w:val="000000" w:themeColor="text1"/>
          <w:sz w:val="16"/>
          <w:szCs w:val="16"/>
          <w:lang w:val="en-US"/>
        </w:rPr>
        <w:t>IID</w:t>
      </w:r>
      <w:r w:rsidRPr="00271E51">
        <w:rPr>
          <w:color w:val="000000" w:themeColor="text1"/>
          <w:sz w:val="16"/>
          <w:szCs w:val="16"/>
        </w:rPr>
        <w:t xml:space="preserve"> «значительно удобнее и точнее, чем со сравниваемыми отечественными самолетами».</w:t>
      </w:r>
    </w:p>
    <w:p w14:paraId="6DF4751A"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Считалось, что такой результат англичанам уда</w:t>
      </w:r>
      <w:r w:rsidRPr="00271E51">
        <w:rPr>
          <w:color w:val="000000" w:themeColor="text1"/>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271E51">
        <w:rPr>
          <w:color w:val="000000" w:themeColor="text1"/>
          <w:sz w:val="16"/>
          <w:szCs w:val="16"/>
        </w:rPr>
        <w:softHyphen/>
        <w:t>ции прицела, обеспечивающего точность при при</w:t>
      </w:r>
      <w:r w:rsidRPr="00271E51">
        <w:rPr>
          <w:color w:val="000000" w:themeColor="text1"/>
          <w:sz w:val="16"/>
          <w:szCs w:val="16"/>
        </w:rPr>
        <w:softHyphen/>
        <w:t xml:space="preserve">целивании, и удобного расположения механизмов управления огнем оружия. То есть «Харрикейн» </w:t>
      </w:r>
      <w:r w:rsidRPr="00271E51">
        <w:rPr>
          <w:color w:val="000000" w:themeColor="text1"/>
          <w:sz w:val="16"/>
          <w:szCs w:val="16"/>
          <w:lang w:val="en-US"/>
        </w:rPr>
        <w:t>IID</w:t>
      </w:r>
      <w:r w:rsidRPr="00271E51">
        <w:rPr>
          <w:color w:val="000000" w:themeColor="text1"/>
          <w:sz w:val="16"/>
          <w:szCs w:val="16"/>
        </w:rPr>
        <w:t xml:space="preserve"> наглядно продемонстрировал возможность уста</w:t>
      </w:r>
      <w:r w:rsidRPr="00271E51">
        <w:rPr>
          <w:color w:val="000000" w:themeColor="text1"/>
          <w:sz w:val="16"/>
          <w:szCs w:val="16"/>
        </w:rPr>
        <w:softHyphen/>
        <w:t>новки крупнокалиберных авиапушек на одномо</w:t>
      </w:r>
      <w:r w:rsidRPr="00271E51">
        <w:rPr>
          <w:color w:val="000000" w:themeColor="text1"/>
          <w:sz w:val="16"/>
          <w:szCs w:val="16"/>
        </w:rPr>
        <w:softHyphen/>
        <w:t>торный самолет без снижения его летных качеств и «с достаточной точностью ведения прицельного огня».</w:t>
      </w:r>
    </w:p>
    <w:p w14:paraId="563D4D8C"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 результатам испытаний был сделан вывод, что «по объему и качеству бронирования «Харри- кейн» </w:t>
      </w:r>
      <w:r w:rsidRPr="00271E51">
        <w:rPr>
          <w:color w:val="000000" w:themeColor="text1"/>
          <w:sz w:val="16"/>
          <w:szCs w:val="16"/>
          <w:lang w:val="en-US"/>
        </w:rPr>
        <w:t>IID</w:t>
      </w:r>
      <w:r w:rsidRPr="00271E51">
        <w:rPr>
          <w:color w:val="000000" w:themeColor="text1"/>
          <w:sz w:val="16"/>
          <w:szCs w:val="16"/>
        </w:rPr>
        <w:t xml:space="preserve"> значительно уступает Ил-2», вследствие чего «будет нести значительные потери при штур</w:t>
      </w:r>
      <w:r w:rsidRPr="00271E51">
        <w:rPr>
          <w:color w:val="000000" w:themeColor="text1"/>
          <w:sz w:val="16"/>
          <w:szCs w:val="16"/>
        </w:rPr>
        <w:softHyphen/>
        <w:t>мовых атаках». Целесообразность боевого приме</w:t>
      </w:r>
      <w:r w:rsidRPr="00271E51">
        <w:rPr>
          <w:color w:val="000000" w:themeColor="text1"/>
          <w:sz w:val="16"/>
          <w:szCs w:val="16"/>
        </w:rPr>
        <w:softHyphen/>
        <w:t>нения противотанкового «Харрикейна» была по</w:t>
      </w:r>
      <w:r w:rsidRPr="00271E51">
        <w:rPr>
          <w:color w:val="000000" w:themeColor="text1"/>
          <w:sz w:val="16"/>
          <w:szCs w:val="16"/>
        </w:rPr>
        <w:softHyphen/>
        <w:t>ставлена под сомнение.</w:t>
      </w:r>
    </w:p>
    <w:p w14:paraId="08D4CB4E"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истребитель использовать его было нель</w:t>
      </w:r>
      <w:r w:rsidRPr="00271E51">
        <w:rPr>
          <w:color w:val="000000" w:themeColor="text1"/>
          <w:sz w:val="16"/>
          <w:szCs w:val="16"/>
        </w:rPr>
        <w:softHyphen/>
        <w:t xml:space="preserve">зя — он не мог догнать даже </w:t>
      </w:r>
      <w:r w:rsidRPr="00271E51">
        <w:rPr>
          <w:color w:val="000000" w:themeColor="text1"/>
          <w:sz w:val="16"/>
          <w:szCs w:val="16"/>
          <w:lang w:val="en-US"/>
        </w:rPr>
        <w:t>Ju</w:t>
      </w:r>
      <w:r w:rsidRPr="00271E51">
        <w:rPr>
          <w:color w:val="000000" w:themeColor="text1"/>
          <w:sz w:val="16"/>
          <w:szCs w:val="16"/>
        </w:rPr>
        <w:t>88, а для штурмо</w:t>
      </w:r>
      <w:r w:rsidRPr="00271E51">
        <w:rPr>
          <w:color w:val="000000" w:themeColor="text1"/>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271E51">
        <w:rPr>
          <w:color w:val="000000" w:themeColor="text1"/>
          <w:sz w:val="16"/>
          <w:szCs w:val="16"/>
          <w:lang w:val="en-US"/>
        </w:rPr>
        <w:t>IID</w:t>
      </w:r>
      <w:r w:rsidRPr="00271E51">
        <w:rPr>
          <w:color w:val="000000" w:themeColor="text1"/>
          <w:sz w:val="16"/>
          <w:szCs w:val="16"/>
        </w:rPr>
        <w:t xml:space="preserve"> не только с груп</w:t>
      </w:r>
      <w:r w:rsidRPr="00271E51">
        <w:rPr>
          <w:color w:val="000000" w:themeColor="text1"/>
          <w:sz w:val="16"/>
          <w:szCs w:val="16"/>
        </w:rPr>
        <w:softHyphen/>
        <w:t>пой, но даже и с одиночным истребителем против</w:t>
      </w:r>
      <w:r w:rsidRPr="00271E51">
        <w:rPr>
          <w:color w:val="000000" w:themeColor="text1"/>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668821D6"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результатам испытаний самолета «Харри</w:t>
      </w:r>
      <w:r w:rsidRPr="00271E51">
        <w:rPr>
          <w:color w:val="000000" w:themeColor="text1"/>
          <w:sz w:val="16"/>
          <w:szCs w:val="16"/>
        </w:rPr>
        <w:softHyphen/>
        <w:t xml:space="preserve">кейн» </w:t>
      </w:r>
      <w:r w:rsidRPr="00271E51">
        <w:rPr>
          <w:color w:val="000000" w:themeColor="text1"/>
          <w:sz w:val="16"/>
          <w:szCs w:val="16"/>
          <w:lang w:val="en-US"/>
        </w:rPr>
        <w:t>IID</w:t>
      </w:r>
      <w:r w:rsidRPr="00271E51">
        <w:rPr>
          <w:color w:val="000000" w:themeColor="text1"/>
          <w:sz w:val="16"/>
          <w:szCs w:val="16"/>
        </w:rPr>
        <w:t xml:space="preserve"> и его вооружения заместитель начальни</w:t>
      </w:r>
      <w:r w:rsidRPr="00271E51">
        <w:rPr>
          <w:color w:val="000000" w:themeColor="text1"/>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271E51">
        <w:rPr>
          <w:color w:val="000000" w:themeColor="text1"/>
          <w:sz w:val="16"/>
          <w:szCs w:val="16"/>
        </w:rPr>
        <w:softHyphen/>
        <w:t>ключение о боевых возможностях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w:t>
      </w:r>
    </w:p>
    <w:p w14:paraId="0F86F8EB"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271E51">
        <w:rPr>
          <w:color w:val="000000" w:themeColor="text1"/>
          <w:sz w:val="16"/>
          <w:szCs w:val="16"/>
        </w:rPr>
        <w:softHyphen/>
        <w:t xml:space="preserve">жения и недостаточного бронирования, самолет «Харрикейн» </w:t>
      </w:r>
      <w:r w:rsidRPr="00271E51">
        <w:rPr>
          <w:color w:val="000000" w:themeColor="text1"/>
          <w:sz w:val="16"/>
          <w:szCs w:val="16"/>
          <w:lang w:val="en-US"/>
        </w:rPr>
        <w:t>IID</w:t>
      </w:r>
      <w:r w:rsidRPr="00271E51">
        <w:rPr>
          <w:color w:val="000000" w:themeColor="text1"/>
          <w:sz w:val="16"/>
          <w:szCs w:val="16"/>
        </w:rPr>
        <w:t xml:space="preserve"> не может быть эффективно исполь</w:t>
      </w:r>
      <w:r w:rsidRPr="00271E51">
        <w:rPr>
          <w:color w:val="000000" w:themeColor="text1"/>
          <w:sz w:val="16"/>
          <w:szCs w:val="16"/>
        </w:rPr>
        <w:softHyphen/>
        <w:t>зован как истребитель танков или штурмовик». Бо</w:t>
      </w:r>
      <w:r w:rsidRPr="00271E51">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271E51">
        <w:rPr>
          <w:color w:val="000000" w:themeColor="text1"/>
          <w:sz w:val="16"/>
          <w:szCs w:val="16"/>
        </w:rPr>
        <w:softHyphen/>
        <w:t xml:space="preserve">ший разрушающий эффект у цели по сравнению с боеприпасами к пушке Виккерс </w:t>
      </w:r>
      <w:r w:rsidRPr="00271E51">
        <w:rPr>
          <w:color w:val="000000" w:themeColor="text1"/>
          <w:sz w:val="16"/>
          <w:szCs w:val="16"/>
          <w:lang w:val="en-US"/>
        </w:rPr>
        <w:t>S</w:t>
      </w:r>
      <w:r w:rsidRPr="00271E51">
        <w:rPr>
          <w:color w:val="000000" w:themeColor="text1"/>
          <w:sz w:val="16"/>
          <w:szCs w:val="16"/>
        </w:rPr>
        <w:t>, а бронебой</w:t>
      </w:r>
      <w:r w:rsidRPr="00271E51">
        <w:rPr>
          <w:color w:val="000000" w:themeColor="text1"/>
          <w:sz w:val="16"/>
          <w:szCs w:val="16"/>
        </w:rPr>
        <w:softHyphen/>
        <w:t>ный снаряд пушки НС-37 обладает к тому же еще и большей бронепробиваемостью.</w:t>
      </w:r>
    </w:p>
    <w:p w14:paraId="4808119C"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Внимание руководства обращалось на ненор</w:t>
      </w:r>
      <w:r w:rsidRPr="00271E51">
        <w:rPr>
          <w:color w:val="000000" w:themeColor="text1"/>
          <w:sz w:val="16"/>
          <w:szCs w:val="16"/>
        </w:rPr>
        <w:softHyphen/>
        <w:t>мальную ситуацию со снабжением ВВС КА снаряда</w:t>
      </w:r>
      <w:r w:rsidRPr="00271E51">
        <w:rPr>
          <w:color w:val="000000" w:themeColor="text1"/>
          <w:sz w:val="16"/>
          <w:szCs w:val="16"/>
        </w:rPr>
        <w:softHyphen/>
        <w:t xml:space="preserve">ми к пушкам Виккерс </w:t>
      </w:r>
      <w:r w:rsidRPr="00271E51">
        <w:rPr>
          <w:color w:val="000000" w:themeColor="text1"/>
          <w:sz w:val="16"/>
          <w:szCs w:val="16"/>
          <w:lang w:val="en-US"/>
        </w:rPr>
        <w:t>S</w:t>
      </w:r>
      <w:r w:rsidRPr="00271E51">
        <w:rPr>
          <w:color w:val="000000" w:themeColor="text1"/>
          <w:sz w:val="16"/>
          <w:szCs w:val="16"/>
        </w:rPr>
        <w:t>. По этому поводу в докла</w:t>
      </w:r>
      <w:r w:rsidRPr="00271E51">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271E51">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271E51">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271E51">
        <w:rPr>
          <w:color w:val="000000" w:themeColor="text1"/>
          <w:sz w:val="16"/>
          <w:szCs w:val="16"/>
        </w:rPr>
        <w:softHyphen/>
        <w:t>ния. Поэтому такие снаряды могут быть использо</w:t>
      </w:r>
      <w:r w:rsidRPr="00271E51">
        <w:rPr>
          <w:color w:val="000000" w:themeColor="text1"/>
          <w:sz w:val="16"/>
          <w:szCs w:val="16"/>
        </w:rPr>
        <w:softHyphen/>
        <w:t>ваны для учебных целей или как лафетопробные. Для поражения самолетов в воздухе нужны снаря</w:t>
      </w:r>
      <w:r w:rsidRPr="00271E51">
        <w:rPr>
          <w:color w:val="000000" w:themeColor="text1"/>
          <w:sz w:val="16"/>
          <w:szCs w:val="16"/>
        </w:rPr>
        <w:softHyphen/>
        <w:t>ды осколочно-фугасного действия».</w:t>
      </w:r>
    </w:p>
    <w:p w14:paraId="78985706"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сопоставимых летных данных у земли ос</w:t>
      </w:r>
      <w:r w:rsidRPr="00271E51">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271E51">
        <w:rPr>
          <w:color w:val="000000" w:themeColor="text1"/>
          <w:sz w:val="16"/>
          <w:szCs w:val="16"/>
        </w:rPr>
        <w:softHyphen/>
        <w:t>ника со стороны задней полусферы. По этим при</w:t>
      </w:r>
      <w:r w:rsidRPr="00271E51">
        <w:rPr>
          <w:color w:val="000000" w:themeColor="text1"/>
          <w:sz w:val="16"/>
          <w:szCs w:val="16"/>
        </w:rPr>
        <w:softHyphen/>
        <w:t>чинам боевые качества Ил-2 оценивались специ</w:t>
      </w:r>
      <w:r w:rsidRPr="00271E51">
        <w:rPr>
          <w:color w:val="000000" w:themeColor="text1"/>
          <w:sz w:val="16"/>
          <w:szCs w:val="16"/>
        </w:rPr>
        <w:softHyphen/>
        <w:t xml:space="preserve">алистами оперативного управления значительно выше, чем «Харрикейна» </w:t>
      </w:r>
      <w:r w:rsidRPr="00271E51">
        <w:rPr>
          <w:color w:val="000000" w:themeColor="text1"/>
          <w:sz w:val="16"/>
          <w:szCs w:val="16"/>
          <w:lang w:val="en-US"/>
        </w:rPr>
        <w:t>IID</w:t>
      </w:r>
      <w:r w:rsidRPr="00271E51">
        <w:rPr>
          <w:color w:val="000000" w:themeColor="text1"/>
          <w:sz w:val="16"/>
          <w:szCs w:val="16"/>
        </w:rPr>
        <w:t>.</w:t>
      </w:r>
    </w:p>
    <w:p w14:paraId="074F7AB8"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271E51">
        <w:rPr>
          <w:color w:val="000000" w:themeColor="text1"/>
          <w:sz w:val="16"/>
          <w:szCs w:val="16"/>
        </w:rPr>
        <w:softHyphen/>
        <w:t>ствия бомбардировочного вооружения и слабого бронирования». Истребитель предлагалось исполь</w:t>
      </w:r>
      <w:r w:rsidRPr="00271E51">
        <w:rPr>
          <w:color w:val="000000" w:themeColor="text1"/>
          <w:sz w:val="16"/>
          <w:szCs w:val="16"/>
        </w:rPr>
        <w:softHyphen/>
        <w:t>зовать в системе ПВО страны в качестве истреби</w:t>
      </w:r>
      <w:r w:rsidRPr="00271E51">
        <w:rPr>
          <w:color w:val="000000" w:themeColor="text1"/>
          <w:sz w:val="16"/>
          <w:szCs w:val="16"/>
        </w:rPr>
        <w:softHyphen/>
        <w:t>теля-перехватчика, но при условии использования боеприпасов «осколочно-трассиру- ющего или осколочно-зажигатель- ного снаряжения».</w:t>
      </w:r>
    </w:p>
    <w:p w14:paraId="0F2389F0" w14:textId="77777777" w:rsidR="007C74DE" w:rsidRPr="00271E51" w:rsidRDefault="007C74DE"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Известна резолюция генерала Худякова, которую тот наложил на документ: «ОУ. Подготовить справ</w:t>
      </w:r>
      <w:r w:rsidRPr="00271E51">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616F6C4A" w14:textId="77777777" w:rsidR="007C74DE" w:rsidRPr="00271E51" w:rsidRDefault="007C74DE" w:rsidP="00271E51">
      <w:pPr>
        <w:spacing w:after="0" w:line="240" w:lineRule="auto"/>
        <w:jc w:val="both"/>
        <w:rPr>
          <w:rFonts w:ascii="Times New Roman" w:hAnsi="Times New Roman"/>
          <w:color w:val="000000" w:themeColor="text1"/>
          <w:sz w:val="16"/>
          <w:szCs w:val="16"/>
        </w:rPr>
      </w:pPr>
    </w:p>
    <w:p w14:paraId="0A9A44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года начальник ЛИИ А.В. Чесалов писал письмо N 695с Шахурину.</w:t>
      </w:r>
    </w:p>
    <w:p w14:paraId="5B391E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Вашим приказом за N 523сс от 31 августа 1943 г. заводом N 22 был передан ЛИИ для проведения летных испытаний самолет Пе-2 с 2 моторами М-105 ПД, в варианте одноместного высотного истребителя, оборудованного герметической кабиной.</w:t>
      </w:r>
    </w:p>
    <w:p w14:paraId="394B20C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проведения предварительных полетов по доводке винто-моторной группы и высотного оборудования самолета были проведены высотные полеты до 10500 м. Обработка результатов этих полетов показывает, что практический потолок самолета не превышает 11000 м.</w:t>
      </w:r>
    </w:p>
    <w:p w14:paraId="123602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доводочных полетов было установлено:</w:t>
      </w:r>
    </w:p>
    <w:p w14:paraId="3D196A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Производство нормальной трехточечной посадки и пользование на планировании посадочными щитками исключено из-за недостаточного запаса отклонения руля высоты, вследствие значительного смещения вперед центровки самолета (на 5-6%) по сравнению с серийным самолетом Пе-2. для обеспечения нормальной посадки при испытаниях в хвост самолета был заложен груз весом 150 кг.</w:t>
      </w:r>
    </w:p>
    <w:p w14:paraId="131B48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Общая компоновка герметической кабины и размещение оборудования и приборов в ней выполнены неудовлетворительно:</w:t>
      </w:r>
    </w:p>
    <w:p w14:paraId="18C866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Плохой обзор из кабины в стороны, вниз и назад затрудняет нормальное пилотирование самолета. Визуальная ориентировка возможна только при хорошей видимости.</w:t>
      </w:r>
    </w:p>
    <w:p w14:paraId="5B1D09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Сильно затруднено открывание фонаря кабины из-за больших усилий (даже на земле).</w:t>
      </w:r>
    </w:p>
    <w:p w14:paraId="03FFD9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Краны аварийного выпуска шасси расположены так, что пользоваться ими в полете весьма тяжело. В двух случаях, когда пришлось прибегать к аварийному выпуску шасси, на выпуск шасси затрачивалось до 45 минут времени.</w:t>
      </w:r>
    </w:p>
    <w:p w14:paraId="093FD0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В настоящем виде система обдува стекол фонаря, поступающим в кабину воздухом не обеспечивает нормальных условий работы летчику, вследствие сильного запотевания стекол на высоте более 8000 м.</w:t>
      </w:r>
    </w:p>
    <w:p w14:paraId="702669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Кислородный прибор размещен так, что его индикаторы не видны летчику.</w:t>
      </w:r>
    </w:p>
    <w:p w14:paraId="0CAFB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Приборы контроля винто-моторной группы плохо видны летчику.</w:t>
      </w:r>
    </w:p>
    <w:p w14:paraId="4B67CC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Нормальная эксплуатация стрелкового вооружения самолета ВИ (1 пулемет Березина и 1 пушка ШВАК) на больших высотах не обеспечена - клапаны электропневматической перезарядки оружия (ПС-1) работают нормально лишь при температуре наружного воздуха не ниже -45 градусов Ц. Кроме того, в случае заедания этих клапанов, включенных в общую бортовую воздушную сеть, возможно стравливание воздуха из сети. В этом случае при посадке самолета пользование тормозами будет невозможно.</w:t>
      </w:r>
    </w:p>
    <w:p w14:paraId="682E88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Полученные результаты позволяют сделать вывод о нецелесообразности производства дальнейших испытаний самолета Пе-2-ВИ в ЛИИ.</w:t>
      </w:r>
    </w:p>
    <w:p w14:paraId="5C378A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виду этого, прошу Вашего распоряжения о прекращении дальнейших испытаний самолета Пе-2-ВИ впредь до устранения заводом указанных выше дефектов (1783).</w:t>
      </w:r>
    </w:p>
    <w:p w14:paraId="59D71D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3697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вышло Постановление ГКО № 4555 Об организации производства моторов М-62ИР на заводе № 36 НКАП в г. Рыбинске.РГАНИР, Фонд ГКО, д. 174, лл. 47-49, 50-66 (11012).</w:t>
      </w:r>
    </w:p>
    <w:p w14:paraId="2E424D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3D75A" w14:textId="77777777" w:rsidR="003C4F73" w:rsidRPr="00271E51" w:rsidRDefault="003C4F73"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13 ноября 1943 вышло Постановление ГКО № 4555 Об организации производства моторов М-62ИР на заводе № 36 НКАП в г. Рыбинске</w:t>
      </w:r>
    </w:p>
    <w:p w14:paraId="02B95E6F"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1C68676C" w14:textId="77777777" w:rsidR="003C4F73" w:rsidRPr="00271E51" w:rsidRDefault="003C4F73" w:rsidP="00271E51">
      <w:pPr>
        <w:tabs>
          <w:tab w:val="left" w:pos="955"/>
        </w:tabs>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1. Обязать Наркомавиапром - т.Шахурина и дирек</w:t>
      </w:r>
      <w:r w:rsidRPr="00271E51">
        <w:rPr>
          <w:rFonts w:ascii="Times New Roman" w:eastAsia="Batang" w:hAnsi="Times New Roman"/>
          <w:color w:val="000000" w:themeColor="text1"/>
          <w:sz w:val="16"/>
          <w:szCs w:val="16"/>
        </w:rPr>
        <w:softHyphen/>
        <w:t>тора завода №</w:t>
      </w:r>
      <w:r w:rsidRPr="00271E51">
        <w:rPr>
          <w:rFonts w:ascii="Times New Roman" w:eastAsia="Batang" w:hAnsi="Times New Roman"/>
          <w:i/>
          <w:iCs/>
          <w:color w:val="000000" w:themeColor="text1"/>
          <w:sz w:val="16"/>
          <w:szCs w:val="16"/>
        </w:rPr>
        <w:t xml:space="preserve"> 26</w:t>
      </w:r>
      <w:r w:rsidRPr="00271E51">
        <w:rPr>
          <w:rFonts w:ascii="Times New Roman" w:eastAsia="Batang" w:hAnsi="Times New Roman"/>
          <w:color w:val="000000" w:themeColor="text1"/>
          <w:sz w:val="16"/>
          <w:szCs w:val="16"/>
        </w:rPr>
        <w:t xml:space="preserve"> - т.Сова организовать производство моторов М-62ИР для самолетов Ли-2 на заводе № 33 в г.Рыбинске, с постепенным переводом производства этих моторов с завода 19 на завод № 36.</w:t>
      </w:r>
    </w:p>
    <w:p w14:paraId="6C545C52" w14:textId="77777777" w:rsidR="003C4F73" w:rsidRPr="00271E51" w:rsidRDefault="003C4F73"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Batang" w:hAnsi="Times New Roman"/>
          <w:color w:val="000000" w:themeColor="text1"/>
          <w:sz w:val="16"/>
          <w:szCs w:val="16"/>
        </w:rPr>
        <w:t>С мая 1944 года полностью освободить завод № 19 от производства моторов М-62ИР.</w:t>
      </w:r>
    </w:p>
    <w:p w14:paraId="7B66AE92" w14:textId="77777777" w:rsidR="003C4F73" w:rsidRPr="00271E51" w:rsidRDefault="003C4F73" w:rsidP="00271E51">
      <w:pPr>
        <w:tabs>
          <w:tab w:val="left" w:pos="955"/>
        </w:tabs>
        <w:spacing w:after="0" w:line="240" w:lineRule="auto"/>
        <w:jc w:val="both"/>
        <w:rPr>
          <w:rFonts w:ascii="Times New Roman" w:eastAsia="Batang" w:hAnsi="Times New Roman"/>
          <w:color w:val="000000" w:themeColor="text1"/>
          <w:sz w:val="16"/>
          <w:szCs w:val="16"/>
        </w:rPr>
      </w:pPr>
      <w:r w:rsidRPr="00271E51">
        <w:rPr>
          <w:rFonts w:ascii="Times New Roman" w:eastAsia="Batang" w:hAnsi="Times New Roman"/>
          <w:color w:val="000000" w:themeColor="text1"/>
          <w:sz w:val="16"/>
          <w:szCs w:val="16"/>
        </w:rPr>
        <w:t>2. Установить заводу № 36 следующую программу вы</w:t>
      </w:r>
      <w:r w:rsidRPr="00271E51">
        <w:rPr>
          <w:rFonts w:ascii="Times New Roman" w:eastAsia="Batang" w:hAnsi="Times New Roman"/>
          <w:color w:val="000000" w:themeColor="text1"/>
          <w:sz w:val="16"/>
          <w:szCs w:val="16"/>
        </w:rPr>
        <w:softHyphen/>
        <w:t>пуска моторов М-62ИР в 1944 году:</w:t>
      </w:r>
    </w:p>
    <w:p w14:paraId="2D440FC0" w14:textId="77777777" w:rsidR="003C4F73" w:rsidRPr="00271E51" w:rsidRDefault="003C4F73" w:rsidP="00271E51">
      <w:pPr>
        <w:tabs>
          <w:tab w:val="left" w:pos="1344"/>
          <w:tab w:val="left" w:pos="354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оборке и испытанию моторов М-о2ИР из дета</w:t>
      </w:r>
      <w:r w:rsidRPr="00271E51">
        <w:rPr>
          <w:rFonts w:ascii="Times New Roman" w:hAnsi="Times New Roman"/>
          <w:color w:val="000000" w:themeColor="text1"/>
          <w:sz w:val="16"/>
          <w:szCs w:val="16"/>
        </w:rPr>
        <w:softHyphen/>
        <w:t>ли производства завода 19: в январе - 25 шт., в феврале - 75 шт., в марте 100 шт. и с апреля 1944 года полностью</w:t>
      </w:r>
      <w:r w:rsidRPr="00271E51">
        <w:rPr>
          <w:rStyle w:val="7pt"/>
          <w:rFonts w:ascii="Times New Roman" w:hAnsi="Times New Roman" w:cs="Times New Roman"/>
          <w:color w:val="000000" w:themeColor="text1"/>
          <w:sz w:val="16"/>
          <w:szCs w:val="16"/>
        </w:rPr>
        <w:t xml:space="preserve"> обеспечить сборку</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vertAlign w:val="subscript"/>
        </w:rPr>
        <w:t>и</w:t>
      </w:r>
      <w:r w:rsidRPr="00271E51">
        <w:rPr>
          <w:rFonts w:ascii="Times New Roman" w:hAnsi="Times New Roman"/>
          <w:color w:val="000000" w:themeColor="text1"/>
          <w:sz w:val="16"/>
          <w:szCs w:val="16"/>
        </w:rPr>
        <w:t xml:space="preserve"> испытание этих мо</w:t>
      </w:r>
      <w:r w:rsidRPr="00271E51">
        <w:rPr>
          <w:rFonts w:ascii="Times New Roman" w:hAnsi="Times New Roman"/>
          <w:color w:val="000000" w:themeColor="text1"/>
          <w:sz w:val="16"/>
          <w:szCs w:val="16"/>
        </w:rPr>
        <w:softHyphen/>
        <w:t>торов по утвержденной программе, освободив завод 19 от сборки и испытания моторов М-62ИР;</w:t>
      </w:r>
    </w:p>
    <w:p w14:paraId="271D0434" w14:textId="77777777" w:rsidR="003C4F73" w:rsidRPr="00271E51" w:rsidRDefault="003C4F73" w:rsidP="00271E51">
      <w:pPr>
        <w:tabs>
          <w:tab w:val="left" w:pos="1344"/>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выпуску моторов М-62ИР из деталей собствен</w:t>
      </w:r>
      <w:r w:rsidRPr="00271E51">
        <w:rPr>
          <w:rFonts w:ascii="Times New Roman" w:hAnsi="Times New Roman"/>
          <w:color w:val="000000" w:themeColor="text1"/>
          <w:sz w:val="16"/>
          <w:szCs w:val="16"/>
        </w:rPr>
        <w:softHyphen/>
        <w:t xml:space="preserve">ного производства: в марте - 10 шт., в апреле - 45 </w:t>
      </w:r>
      <w:r w:rsidRPr="00271E51">
        <w:rPr>
          <w:rStyle w:val="1pt"/>
          <w:rFonts w:ascii="Times New Roman" w:hAnsi="Times New Roman" w:cs="Times New Roman"/>
          <w:color w:val="000000" w:themeColor="text1"/>
          <w:spacing w:val="0"/>
          <w:sz w:val="16"/>
          <w:szCs w:val="16"/>
        </w:rPr>
        <w:t xml:space="preserve">шт., </w:t>
      </w:r>
      <w:r w:rsidRPr="00271E51">
        <w:rPr>
          <w:rFonts w:ascii="Times New Roman" w:hAnsi="Times New Roman"/>
          <w:color w:val="000000" w:themeColor="text1"/>
          <w:sz w:val="16"/>
          <w:szCs w:val="16"/>
        </w:rPr>
        <w:t>в мае -.80 шт. с выходом к 25 мая 1944 года на выпуск 5 моторов в сутки.</w:t>
      </w:r>
    </w:p>
    <w:p w14:paraId="1F37155C"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Возложить на директора завода № 36 т.Сова особую ответственность за сохранение качества моторов М-62ИР при переводе их производства с завода № 19 на завод № 36.</w:t>
      </w:r>
    </w:p>
    <w:p w14:paraId="1F3B356D" w14:textId="77777777" w:rsidR="003C4F73" w:rsidRPr="00271E51" w:rsidRDefault="003C4F73" w:rsidP="00271E51">
      <w:pPr>
        <w:tabs>
          <w:tab w:val="left" w:pos="74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директора завода № 19 - т.Солдатова:</w:t>
      </w:r>
    </w:p>
    <w:p w14:paraId="3D7D699E" w14:textId="77777777" w:rsidR="003C4F73" w:rsidRPr="00271E51" w:rsidRDefault="003C4F73" w:rsidP="00271E51">
      <w:pPr>
        <w:tabs>
          <w:tab w:val="left" w:pos="771"/>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передать заводу № 36 техническую документацию по мотору М-62ИР, действующую оснастку: приспособления, штам</w:t>
      </w:r>
      <w:r w:rsidRPr="00271E51">
        <w:rPr>
          <w:rFonts w:ascii="Times New Roman" w:hAnsi="Times New Roman"/>
          <w:color w:val="000000" w:themeColor="text1"/>
          <w:sz w:val="16"/>
          <w:szCs w:val="16"/>
        </w:rPr>
        <w:softHyphen/>
        <w:t>пы, мерительный и режущий инструмент, а также специальное оборудование, занятое исключительно производством и испы</w:t>
      </w:r>
      <w:r w:rsidRPr="00271E51">
        <w:rPr>
          <w:rFonts w:ascii="Times New Roman" w:hAnsi="Times New Roman"/>
          <w:color w:val="000000" w:themeColor="text1"/>
          <w:sz w:val="16"/>
          <w:szCs w:val="16"/>
        </w:rPr>
        <w:softHyphen/>
        <w:t>танием моторов М-62ИР, по спецификациям и в сроки, ут</w:t>
      </w:r>
      <w:r w:rsidRPr="00271E51">
        <w:rPr>
          <w:rFonts w:ascii="Times New Roman" w:hAnsi="Times New Roman"/>
          <w:color w:val="000000" w:themeColor="text1"/>
          <w:sz w:val="16"/>
          <w:szCs w:val="16"/>
        </w:rPr>
        <w:softHyphen/>
        <w:t>вержденные Наркомавиапромом;</w:t>
      </w:r>
    </w:p>
    <w:p w14:paraId="0F49B622" w14:textId="77777777" w:rsidR="003C4F73" w:rsidRPr="00271E51" w:rsidRDefault="003C4F73" w:rsidP="00271E51">
      <w:pPr>
        <w:tabs>
          <w:tab w:val="left" w:pos="771"/>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 направить на завод № 36 сроком на 3 месяца 40 ква</w:t>
      </w:r>
      <w:r w:rsidRPr="00271E51">
        <w:rPr>
          <w:rFonts w:ascii="Times New Roman" w:hAnsi="Times New Roman"/>
          <w:color w:val="000000" w:themeColor="text1"/>
          <w:sz w:val="16"/>
          <w:szCs w:val="16"/>
        </w:rPr>
        <w:softHyphen/>
        <w:t>лифицированных рабочих, мастеров и инженерно- технических работников для инструктажа и помощи в организации произ</w:t>
      </w:r>
      <w:r w:rsidRPr="00271E51">
        <w:rPr>
          <w:rFonts w:ascii="Times New Roman" w:hAnsi="Times New Roman"/>
          <w:color w:val="000000" w:themeColor="text1"/>
          <w:sz w:val="16"/>
          <w:szCs w:val="16"/>
        </w:rPr>
        <w:softHyphen/>
        <w:t>водства мотора М-62ИР.</w:t>
      </w:r>
    </w:p>
    <w:p w14:paraId="19DCE0C3" w14:textId="77777777" w:rsidR="003C4F73" w:rsidRPr="00271E51" w:rsidRDefault="003C4F73" w:rsidP="00271E51">
      <w:pPr>
        <w:tabs>
          <w:tab w:val="left" w:pos="771"/>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Установите, что директор завода № 19 - т.Солдатов несет личную ответственность перед ГОКО за организацию всемерной помощи заводу № 36 в освоении производства мо</w:t>
      </w:r>
      <w:r w:rsidRPr="00271E51">
        <w:rPr>
          <w:rFonts w:ascii="Times New Roman" w:hAnsi="Times New Roman"/>
          <w:color w:val="000000" w:themeColor="text1"/>
          <w:sz w:val="16"/>
          <w:szCs w:val="16"/>
        </w:rPr>
        <w:softHyphen/>
        <w:t>торов М-62ИР, а также за сохранение качества этих мото</w:t>
      </w:r>
      <w:r w:rsidRPr="00271E51">
        <w:rPr>
          <w:rFonts w:ascii="Times New Roman" w:hAnsi="Times New Roman"/>
          <w:color w:val="000000" w:themeColor="text1"/>
          <w:sz w:val="16"/>
          <w:szCs w:val="16"/>
        </w:rPr>
        <w:softHyphen/>
        <w:t>ров при переводе их производства с завода № 19 на завод № 36.</w:t>
      </w:r>
    </w:p>
    <w:p w14:paraId="49A76B56" w14:textId="77777777" w:rsidR="003C4F73" w:rsidRPr="00271E51" w:rsidRDefault="003C4F73" w:rsidP="00271E51">
      <w:pPr>
        <w:tabs>
          <w:tab w:val="left" w:pos="7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Наркомавиапром - т.Шахурина выделить за</w:t>
      </w:r>
      <w:r w:rsidRPr="00271E51">
        <w:rPr>
          <w:rFonts w:ascii="Times New Roman" w:hAnsi="Times New Roman"/>
          <w:color w:val="000000" w:themeColor="text1"/>
          <w:sz w:val="16"/>
          <w:szCs w:val="16"/>
        </w:rPr>
        <w:softHyphen/>
        <w:t>воду № 36 с других предприятий НКАП лабораторное оборудо</w:t>
      </w:r>
      <w:r w:rsidRPr="00271E51">
        <w:rPr>
          <w:rFonts w:ascii="Times New Roman" w:hAnsi="Times New Roman"/>
          <w:color w:val="000000" w:themeColor="text1"/>
          <w:sz w:val="16"/>
          <w:szCs w:val="16"/>
        </w:rPr>
        <w:softHyphen/>
        <w:t>вание , приборы и 900 металлорежущих станков, необходимых для производства моторов М-62ИР, в том числе с завода № 26 - 700 станков и с завода № 24 - 200 станков.</w:t>
      </w:r>
    </w:p>
    <w:p w14:paraId="36CD9B8F"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директора завода № 26 - т.Баландина и директора завода № 24 г т.Козлова под их личную ответственность не позднее 15 декабря1943 года закончить отгрузку заводу № 36 станков в исправном и рабочем состоянии (с электро</w:t>
      </w:r>
      <w:r w:rsidRPr="00271E51">
        <w:rPr>
          <w:rFonts w:ascii="Times New Roman" w:hAnsi="Times New Roman"/>
          <w:color w:val="000000" w:themeColor="text1"/>
          <w:sz w:val="16"/>
          <w:szCs w:val="16"/>
        </w:rPr>
        <w:softHyphen/>
        <w:t>моторами и пусковой аппаратурой)» лабораторного оборудо</w:t>
      </w:r>
      <w:r w:rsidRPr="00271E51">
        <w:rPr>
          <w:rFonts w:ascii="Times New Roman" w:hAnsi="Times New Roman"/>
          <w:color w:val="000000" w:themeColor="text1"/>
          <w:sz w:val="16"/>
          <w:szCs w:val="16"/>
        </w:rPr>
        <w:softHyphen/>
        <w:t>вания и приборов по спецификациям, утвержденным Наркомавиа</w:t>
      </w:r>
      <w:bookmarkStart w:id="31" w:name="bookmark0"/>
      <w:r w:rsidRPr="00271E51">
        <w:rPr>
          <w:rFonts w:ascii="Times New Roman" w:hAnsi="Times New Roman"/>
          <w:color w:val="000000" w:themeColor="text1"/>
          <w:sz w:val="16"/>
          <w:szCs w:val="16"/>
        </w:rPr>
        <w:t>промом.</w:t>
      </w:r>
      <w:bookmarkEnd w:id="31"/>
    </w:p>
    <w:p w14:paraId="08D58436" w14:textId="77777777" w:rsidR="003C4F73" w:rsidRPr="00271E51" w:rsidRDefault="003C4F73" w:rsidP="00271E51">
      <w:pPr>
        <w:tabs>
          <w:tab w:val="left" w:pos="771"/>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Наркомвнешторг - т.Микояна в целях укомп</w:t>
      </w:r>
      <w:r w:rsidRPr="00271E51">
        <w:rPr>
          <w:rFonts w:ascii="Times New Roman" w:hAnsi="Times New Roman"/>
          <w:color w:val="000000" w:themeColor="text1"/>
          <w:sz w:val="16"/>
          <w:szCs w:val="16"/>
        </w:rPr>
        <w:softHyphen/>
        <w:t>лектования производства авиамоторов М-62ИР на заводе № 36 недостающим оборудованием принять все меры к поставке в первом и втором квартале 1944 года заводу № З6 НКАП .за счет импортных поступлений и дополнительной закупки:</w:t>
      </w:r>
    </w:p>
    <w:p w14:paraId="023DB522"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металлорежущих станков - 100 штук, кузнечно-прессового оборудования - 15 единиц, печного и литейного оборудо</w:t>
      </w:r>
      <w:r w:rsidRPr="00271E51">
        <w:rPr>
          <w:rFonts w:ascii="Times New Roman" w:hAnsi="Times New Roman"/>
          <w:color w:val="000000" w:themeColor="text1"/>
          <w:sz w:val="16"/>
          <w:szCs w:val="16"/>
        </w:rPr>
        <w:softHyphen/>
        <w:t>вания - 20 единиц и компрессорного оборудования - 4 еди</w:t>
      </w:r>
      <w:r w:rsidRPr="00271E51">
        <w:rPr>
          <w:rFonts w:ascii="Times New Roman" w:hAnsi="Times New Roman"/>
          <w:color w:val="000000" w:themeColor="text1"/>
          <w:sz w:val="16"/>
          <w:szCs w:val="16"/>
        </w:rPr>
        <w:softHyphen/>
        <w:t>ницы, а такие абразивы, режущий и мерительный инструмент на сумму. 1.5 млн. рублей, по спецификации Наркомавкапрока.</w:t>
      </w:r>
    </w:p>
    <w:p w14:paraId="145A7E98" w14:textId="77777777" w:rsidR="003C4F73" w:rsidRPr="00271E51" w:rsidRDefault="003C4F73" w:rsidP="00271E51">
      <w:pPr>
        <w:tabs>
          <w:tab w:val="left" w:pos="80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Наркомсредмаш - т.Акопова и директора московского автозавода - т.Лихачева поставить заводу № 36 НКАП до 15 декабря с.г., в счет поставок НКО, 15 грузовых автомашин и запасных частей к ним на сумму 100 тыс.рублей.</w:t>
      </w:r>
    </w:p>
    <w:p w14:paraId="6EB74B42" w14:textId="77777777" w:rsidR="003C4F73" w:rsidRPr="00271E51" w:rsidRDefault="003C4F73" w:rsidP="00271E51">
      <w:pPr>
        <w:tabs>
          <w:tab w:val="left" w:pos="799"/>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Ярославский обком ВКП(б) (т.Ларионова) ока</w:t>
      </w:r>
      <w:r w:rsidRPr="00271E51">
        <w:rPr>
          <w:rFonts w:ascii="Times New Roman" w:hAnsi="Times New Roman"/>
          <w:color w:val="000000" w:themeColor="text1"/>
          <w:sz w:val="16"/>
          <w:szCs w:val="16"/>
        </w:rPr>
        <w:softHyphen/>
        <w:t>зывать заводу № 36 всемерную помощь в деле его восстанов</w:t>
      </w:r>
      <w:r w:rsidRPr="00271E51">
        <w:rPr>
          <w:rFonts w:ascii="Times New Roman" w:hAnsi="Times New Roman"/>
          <w:color w:val="000000" w:themeColor="text1"/>
          <w:sz w:val="16"/>
          <w:szCs w:val="16"/>
        </w:rPr>
        <w:softHyphen/>
        <w:t>ления и освоения производства моторов М-62ИР.</w:t>
      </w:r>
    </w:p>
    <w:p w14:paraId="08CF231C" w14:textId="77777777" w:rsidR="003C4F73" w:rsidRPr="00271E51" w:rsidRDefault="003C4F73" w:rsidP="00271E51">
      <w:pPr>
        <w:tabs>
          <w:tab w:val="left" w:pos="79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Утвердить мероприятия:</w:t>
      </w:r>
    </w:p>
    <w:p w14:paraId="0D828DAA"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обеспечению восстановления завода № 36 Нарком- авиапрома (приложение № 1);</w:t>
      </w:r>
    </w:p>
    <w:p w14:paraId="648177D7"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обеспечению опытных работ на заводе № 36 Наркомавиапрома по мотору М-250 (приложение № 2);</w:t>
      </w:r>
    </w:p>
    <w:p w14:paraId="55DF5F13"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обеспечению рабочей силой завода № 36 Наркомавиапрома (приложение № 3).</w:t>
      </w:r>
    </w:p>
    <w:p w14:paraId="754F5249" w14:textId="77777777" w:rsidR="003C4F73" w:rsidRPr="00271E51" w:rsidRDefault="003C4F7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Обязать Наркомфин СССР - т.Зверева выделить Наркомавиапрому из резервного фонда Совнаркома</w:t>
      </w:r>
      <w:r w:rsidRPr="00271E51">
        <w:rPr>
          <w:rStyle w:val="0pt3"/>
          <w:rFonts w:ascii="Times New Roman" w:hAnsi="Times New Roman" w:cs="Times New Roman"/>
          <w:color w:val="000000" w:themeColor="text1"/>
          <w:sz w:val="16"/>
          <w:szCs w:val="16"/>
        </w:rPr>
        <w:t xml:space="preserve"> СССР</w:t>
      </w:r>
      <w:r w:rsidRPr="00271E51">
        <w:rPr>
          <w:rFonts w:ascii="Times New Roman" w:hAnsi="Times New Roman"/>
          <w:color w:val="000000" w:themeColor="text1"/>
          <w:sz w:val="16"/>
          <w:szCs w:val="16"/>
        </w:rPr>
        <w:t xml:space="preserve"> 10 млн. рублей на восстановление завода № 36 НКАП и постановку производ</w:t>
      </w:r>
      <w:r w:rsidRPr="00271E51">
        <w:rPr>
          <w:rFonts w:ascii="Times New Roman" w:hAnsi="Times New Roman"/>
          <w:color w:val="000000" w:themeColor="text1"/>
          <w:sz w:val="16"/>
          <w:szCs w:val="16"/>
        </w:rPr>
        <w:softHyphen/>
        <w:t>ства моторов М-62ИР на этом заводе и 1,5 млн.рублей на премирование рабочих ИТР и служащих, отличившихся на ра</w:t>
      </w:r>
      <w:r w:rsidRPr="00271E51">
        <w:rPr>
          <w:rFonts w:ascii="Times New Roman" w:hAnsi="Times New Roman"/>
          <w:color w:val="000000" w:themeColor="text1"/>
          <w:sz w:val="16"/>
          <w:szCs w:val="16"/>
        </w:rPr>
        <w:softHyphen/>
        <w:t>боте по восстановлению завода и организации производства моторов М-62ИР (19434).</w:t>
      </w:r>
    </w:p>
    <w:p w14:paraId="7F14BA6B" w14:textId="77777777" w:rsidR="00742358" w:rsidRPr="00271E51" w:rsidRDefault="0074235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09D7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EE5F5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0872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г. приказом НКБ № 1051сс в соответствии с пост. ГКО № 4523 от 7.11.1943 г. завод № 271 6ГУ (Завод № 271 НКБ, НКСП /г. Серпухов Московской обл./) вероятно созданный на базе реэвакуированной части завода № 252 в 10-дневный срок передан со всем оборудованием (кроме специального) и кадрами в ведение НКСП. Программа завода № 271 по производству запалов УЗРГ вместе с квалифицированными специалистами передана на переданный на время войны этим же приказом в ведение 6ГУ НКБ Московский инструментально-протезный завод им Семашко.</w:t>
      </w:r>
    </w:p>
    <w:p w14:paraId="1A108B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(11.1943 г.)- Лебедев (11982).</w:t>
      </w:r>
    </w:p>
    <w:p w14:paraId="07BECA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38D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13-17 ноября 1943 г. Отдел главного конст</w:t>
      </w:r>
      <w:r w:rsidRPr="00271E51">
        <w:rPr>
          <w:rFonts w:ascii="Times New Roman" w:hAnsi="Times New Roman"/>
          <w:color w:val="000000" w:themeColor="text1"/>
          <w:sz w:val="16"/>
          <w:szCs w:val="16"/>
        </w:rPr>
        <w:softHyphen/>
        <w:t>руктора НКТП совместно с ВАММ им. Сталина и НАТИ под общим руководством зам. начальника ГБТУ И. Лебеде</w:t>
      </w:r>
      <w:r w:rsidRPr="00271E51">
        <w:rPr>
          <w:rFonts w:ascii="Times New Roman" w:hAnsi="Times New Roman"/>
          <w:color w:val="000000" w:themeColor="text1"/>
          <w:sz w:val="16"/>
          <w:szCs w:val="16"/>
        </w:rPr>
        <w:softHyphen/>
        <w:t>ва, изучая итоги Курской битвы и операции по освобожде</w:t>
      </w:r>
      <w:r w:rsidRPr="00271E51">
        <w:rPr>
          <w:rFonts w:ascii="Times New Roman" w:hAnsi="Times New Roman"/>
          <w:color w:val="000000" w:themeColor="text1"/>
          <w:sz w:val="16"/>
          <w:szCs w:val="16"/>
        </w:rPr>
        <w:softHyphen/>
        <w:t>нию Левобережной Украины, провели разработку развер</w:t>
      </w:r>
      <w:r w:rsidRPr="00271E51">
        <w:rPr>
          <w:rFonts w:ascii="Times New Roman" w:hAnsi="Times New Roman"/>
          <w:color w:val="000000" w:themeColor="text1"/>
          <w:sz w:val="16"/>
          <w:szCs w:val="16"/>
        </w:rPr>
        <w:softHyphen/>
        <w:t>нутых тактико-технических требований (ТТТ) и черновое эскизное проектирование «танкосамохода прорыва боль</w:t>
      </w:r>
      <w:r w:rsidRPr="00271E51">
        <w:rPr>
          <w:rFonts w:ascii="Times New Roman" w:hAnsi="Times New Roman"/>
          <w:color w:val="000000" w:themeColor="text1"/>
          <w:sz w:val="16"/>
          <w:szCs w:val="16"/>
        </w:rPr>
        <w:softHyphen/>
        <w:t>шой мощности», которые в начале декабря 1943 г. попали на стол И. Зальцмана (ЧКЗ), Ж. Котина (Опытный завод № 100) и Л. Горлицкого (УЗТМ). При этом челябинцы дол</w:t>
      </w:r>
      <w:r w:rsidRPr="00271E51">
        <w:rPr>
          <w:rFonts w:ascii="Times New Roman" w:hAnsi="Times New Roman"/>
          <w:color w:val="000000" w:themeColor="text1"/>
          <w:sz w:val="16"/>
          <w:szCs w:val="16"/>
        </w:rPr>
        <w:softHyphen/>
        <w:t>жны были в короткий срок изготовить новый танк проры</w:t>
      </w:r>
      <w:r w:rsidRPr="00271E51">
        <w:rPr>
          <w:rFonts w:ascii="Times New Roman" w:hAnsi="Times New Roman"/>
          <w:color w:val="000000" w:themeColor="text1"/>
          <w:sz w:val="16"/>
          <w:szCs w:val="16"/>
        </w:rPr>
        <w:softHyphen/>
        <w:t>ва, а уралмашевцы — создать на его базе новую САУ с мощ</w:t>
      </w:r>
      <w:r w:rsidRPr="00271E51">
        <w:rPr>
          <w:rFonts w:ascii="Times New Roman" w:hAnsi="Times New Roman"/>
          <w:color w:val="000000" w:themeColor="text1"/>
          <w:sz w:val="16"/>
          <w:szCs w:val="16"/>
        </w:rPr>
        <w:softHyphen/>
        <w:t>ным вооружением.</w:t>
      </w:r>
    </w:p>
    <w:p w14:paraId="2F454E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Компоновка танка и САУ предлагалась с задним распо</w:t>
      </w:r>
      <w:r w:rsidRPr="00271E51">
        <w:rPr>
          <w:rFonts w:ascii="Times New Roman" w:hAnsi="Times New Roman"/>
          <w:color w:val="000000" w:themeColor="text1"/>
          <w:sz w:val="16"/>
          <w:szCs w:val="16"/>
        </w:rPr>
        <w:softHyphen/>
        <w:t>ложением боевого отделения. В документе так и указано «ло типу штурмового орудия Фердинанда».</w:t>
      </w:r>
    </w:p>
    <w:p w14:paraId="10EE70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Прибывшие на Урал ТТХ танкосамохода прорыва были оформлены в виде черновой записки и развернутой таб</w:t>
      </w:r>
      <w:r w:rsidRPr="00271E51">
        <w:rPr>
          <w:rFonts w:ascii="Times New Roman" w:hAnsi="Times New Roman"/>
          <w:color w:val="000000" w:themeColor="text1"/>
          <w:sz w:val="16"/>
          <w:szCs w:val="16"/>
        </w:rPr>
        <w:softHyphen/>
        <w:t>лицы тактико-технических требований следующего вида:</w:t>
      </w:r>
    </w:p>
    <w:p w14:paraId="266C91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ТАКТИКО-ТЕХНИЧЕСКИЕ ХАРАКТЕРИСТИКИ ТАНКОСАМОХОДА ПРОРЫВА БОЛЬШОЙ МОЩНОСТИ обр. 1943 г.</w:t>
      </w:r>
    </w:p>
    <w:tbl>
      <w:tblPr>
        <w:tblW w:w="0" w:type="auto"/>
        <w:tblInd w:w="40" w:type="dxa"/>
        <w:tblLayout w:type="fixed"/>
        <w:tblCellMar>
          <w:left w:w="40" w:type="dxa"/>
          <w:right w:w="40" w:type="dxa"/>
        </w:tblCellMar>
        <w:tblLook w:val="0000" w:firstRow="0" w:lastRow="0" w:firstColumn="0" w:lastColumn="0" w:noHBand="0" w:noVBand="0"/>
      </w:tblPr>
      <w:tblGrid>
        <w:gridCol w:w="1277"/>
        <w:gridCol w:w="1469"/>
        <w:gridCol w:w="1315"/>
        <w:gridCol w:w="1334"/>
      </w:tblGrid>
      <w:tr w:rsidR="00A907A5" w:rsidRPr="00271E51" w14:paraId="16F4E101" w14:textId="77777777" w:rsidTr="00ED5B0A">
        <w:trPr>
          <w:trHeight w:val="240"/>
        </w:trPr>
        <w:tc>
          <w:tcPr>
            <w:tcW w:w="1277" w:type="dxa"/>
            <w:tcBorders>
              <w:top w:val="single" w:sz="12" w:space="0" w:color="auto"/>
              <w:left w:val="single" w:sz="12" w:space="0" w:color="auto"/>
              <w:bottom w:val="single" w:sz="6" w:space="0" w:color="auto"/>
              <w:right w:val="single" w:sz="6" w:space="0" w:color="auto"/>
            </w:tcBorders>
          </w:tcPr>
          <w:p w14:paraId="2E0B0C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469" w:type="dxa"/>
            <w:tcBorders>
              <w:top w:val="single" w:sz="12" w:space="0" w:color="auto"/>
              <w:left w:val="single" w:sz="6" w:space="0" w:color="auto"/>
              <w:bottom w:val="single" w:sz="6" w:space="0" w:color="auto"/>
              <w:right w:val="single" w:sz="6" w:space="0" w:color="auto"/>
            </w:tcBorders>
          </w:tcPr>
          <w:p w14:paraId="78F99B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«ФЕРДИНАНД»</w:t>
            </w:r>
          </w:p>
        </w:tc>
        <w:tc>
          <w:tcPr>
            <w:tcW w:w="1315" w:type="dxa"/>
            <w:tcBorders>
              <w:top w:val="single" w:sz="12" w:space="0" w:color="auto"/>
              <w:left w:val="single" w:sz="6" w:space="0" w:color="auto"/>
              <w:bottom w:val="single" w:sz="6" w:space="0" w:color="auto"/>
              <w:right w:val="single" w:sz="6" w:space="0" w:color="auto"/>
            </w:tcBorders>
          </w:tcPr>
          <w:p w14:paraId="1ACDA6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ПРОРЫВА</w:t>
            </w:r>
          </w:p>
        </w:tc>
        <w:tc>
          <w:tcPr>
            <w:tcW w:w="1334" w:type="dxa"/>
            <w:tcBorders>
              <w:top w:val="single" w:sz="12" w:space="0" w:color="auto"/>
              <w:left w:val="single" w:sz="6" w:space="0" w:color="auto"/>
              <w:bottom w:val="single" w:sz="6" w:space="0" w:color="auto"/>
              <w:right w:val="single" w:sz="12" w:space="0" w:color="auto"/>
            </w:tcBorders>
          </w:tcPr>
          <w:p w14:paraId="5E6D02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САУ ПРОРЫВА</w:t>
            </w:r>
          </w:p>
        </w:tc>
      </w:tr>
      <w:tr w:rsidR="00A907A5" w:rsidRPr="00271E51" w14:paraId="1093BC65" w14:textId="77777777" w:rsidTr="00ED5B0A">
        <w:trPr>
          <w:trHeight w:val="230"/>
        </w:trPr>
        <w:tc>
          <w:tcPr>
            <w:tcW w:w="1277" w:type="dxa"/>
            <w:tcBorders>
              <w:top w:val="single" w:sz="6" w:space="0" w:color="auto"/>
              <w:left w:val="single" w:sz="12" w:space="0" w:color="auto"/>
              <w:bottom w:val="single" w:sz="6" w:space="0" w:color="auto"/>
              <w:right w:val="single" w:sz="6" w:space="0" w:color="auto"/>
            </w:tcBorders>
          </w:tcPr>
          <w:p w14:paraId="4B6897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вес</w:t>
            </w:r>
          </w:p>
        </w:tc>
        <w:tc>
          <w:tcPr>
            <w:tcW w:w="1469" w:type="dxa"/>
            <w:tcBorders>
              <w:top w:val="single" w:sz="6" w:space="0" w:color="auto"/>
              <w:left w:val="single" w:sz="6" w:space="0" w:color="auto"/>
              <w:bottom w:val="single" w:sz="6" w:space="0" w:color="auto"/>
              <w:right w:val="single" w:sz="6" w:space="0" w:color="auto"/>
            </w:tcBorders>
          </w:tcPr>
          <w:p w14:paraId="0697C5F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48 200 кг</w:t>
            </w:r>
          </w:p>
        </w:tc>
        <w:tc>
          <w:tcPr>
            <w:tcW w:w="1315" w:type="dxa"/>
            <w:tcBorders>
              <w:top w:val="single" w:sz="6" w:space="0" w:color="auto"/>
              <w:left w:val="single" w:sz="6" w:space="0" w:color="auto"/>
              <w:bottom w:val="single" w:sz="6" w:space="0" w:color="auto"/>
              <w:right w:val="single" w:sz="6" w:space="0" w:color="auto"/>
            </w:tcBorders>
          </w:tcPr>
          <w:p w14:paraId="0792812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55000кг</w:t>
            </w:r>
          </w:p>
        </w:tc>
        <w:tc>
          <w:tcPr>
            <w:tcW w:w="1334" w:type="dxa"/>
            <w:tcBorders>
              <w:top w:val="single" w:sz="6" w:space="0" w:color="auto"/>
              <w:left w:val="single" w:sz="6" w:space="0" w:color="auto"/>
              <w:bottom w:val="single" w:sz="6" w:space="0" w:color="auto"/>
              <w:right w:val="single" w:sz="12" w:space="0" w:color="auto"/>
            </w:tcBorders>
          </w:tcPr>
          <w:p w14:paraId="1A7188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50 000 кг</w:t>
            </w:r>
          </w:p>
        </w:tc>
      </w:tr>
      <w:tr w:rsidR="00A907A5" w:rsidRPr="00271E51" w14:paraId="0B47920F" w14:textId="77777777" w:rsidTr="00ED5B0A">
        <w:trPr>
          <w:trHeight w:val="259"/>
        </w:trPr>
        <w:tc>
          <w:tcPr>
            <w:tcW w:w="1277" w:type="dxa"/>
            <w:tcBorders>
              <w:top w:val="single" w:sz="6" w:space="0" w:color="auto"/>
              <w:left w:val="single" w:sz="12" w:space="0" w:color="auto"/>
              <w:bottom w:val="single" w:sz="6" w:space="0" w:color="auto"/>
              <w:right w:val="single" w:sz="6" w:space="0" w:color="auto"/>
            </w:tcBorders>
          </w:tcPr>
          <w:p w14:paraId="0EAF26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1469" w:type="dxa"/>
            <w:tcBorders>
              <w:top w:val="single" w:sz="6" w:space="0" w:color="auto"/>
              <w:left w:val="single" w:sz="6" w:space="0" w:color="auto"/>
              <w:bottom w:val="single" w:sz="6" w:space="0" w:color="auto"/>
              <w:right w:val="single" w:sz="6" w:space="0" w:color="auto"/>
            </w:tcBorders>
          </w:tcPr>
          <w:p w14:paraId="706DF5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чел</w:t>
            </w:r>
          </w:p>
        </w:tc>
        <w:tc>
          <w:tcPr>
            <w:tcW w:w="1315" w:type="dxa"/>
            <w:tcBorders>
              <w:top w:val="single" w:sz="6" w:space="0" w:color="auto"/>
              <w:left w:val="single" w:sz="6" w:space="0" w:color="auto"/>
              <w:bottom w:val="single" w:sz="6" w:space="0" w:color="auto"/>
              <w:right w:val="single" w:sz="6" w:space="0" w:color="auto"/>
            </w:tcBorders>
          </w:tcPr>
          <w:p w14:paraId="456C5A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чел</w:t>
            </w:r>
          </w:p>
        </w:tc>
        <w:tc>
          <w:tcPr>
            <w:tcW w:w="1334" w:type="dxa"/>
            <w:tcBorders>
              <w:top w:val="single" w:sz="6" w:space="0" w:color="auto"/>
              <w:left w:val="single" w:sz="6" w:space="0" w:color="auto"/>
              <w:bottom w:val="single" w:sz="6" w:space="0" w:color="auto"/>
              <w:right w:val="single" w:sz="12" w:space="0" w:color="auto"/>
            </w:tcBorders>
          </w:tcPr>
          <w:p w14:paraId="68EA9A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чел</w:t>
            </w:r>
          </w:p>
        </w:tc>
      </w:tr>
      <w:tr w:rsidR="00A907A5" w:rsidRPr="00271E51" w14:paraId="028DC4FD"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53BAEFE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корп., мм</w:t>
            </w:r>
          </w:p>
        </w:tc>
        <w:tc>
          <w:tcPr>
            <w:tcW w:w="1469" w:type="dxa"/>
            <w:tcBorders>
              <w:top w:val="single" w:sz="6" w:space="0" w:color="auto"/>
              <w:left w:val="single" w:sz="6" w:space="0" w:color="auto"/>
              <w:bottom w:val="single" w:sz="6" w:space="0" w:color="auto"/>
              <w:right w:val="single" w:sz="6" w:space="0" w:color="auto"/>
            </w:tcBorders>
          </w:tcPr>
          <w:p w14:paraId="4591B84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200-80-80</w:t>
            </w:r>
          </w:p>
        </w:tc>
        <w:tc>
          <w:tcPr>
            <w:tcW w:w="1315" w:type="dxa"/>
            <w:tcBorders>
              <w:top w:val="single" w:sz="6" w:space="0" w:color="auto"/>
              <w:left w:val="single" w:sz="6" w:space="0" w:color="auto"/>
              <w:bottom w:val="single" w:sz="6" w:space="0" w:color="auto"/>
              <w:right w:val="single" w:sz="6" w:space="0" w:color="auto"/>
            </w:tcBorders>
          </w:tcPr>
          <w:p w14:paraId="025722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200- 140- 120</w:t>
            </w:r>
          </w:p>
        </w:tc>
        <w:tc>
          <w:tcPr>
            <w:tcW w:w="1334" w:type="dxa"/>
            <w:tcBorders>
              <w:top w:val="single" w:sz="6" w:space="0" w:color="auto"/>
              <w:left w:val="single" w:sz="6" w:space="0" w:color="auto"/>
              <w:bottom w:val="single" w:sz="6" w:space="0" w:color="auto"/>
              <w:right w:val="single" w:sz="12" w:space="0" w:color="auto"/>
            </w:tcBorders>
          </w:tcPr>
          <w:p w14:paraId="63E5D0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200- 120- 100</w:t>
            </w:r>
          </w:p>
        </w:tc>
      </w:tr>
      <w:tr w:rsidR="00A907A5" w:rsidRPr="00271E51" w14:paraId="3D75D465"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13CAC5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башни, мм</w:t>
            </w:r>
          </w:p>
        </w:tc>
        <w:tc>
          <w:tcPr>
            <w:tcW w:w="1469" w:type="dxa"/>
            <w:tcBorders>
              <w:top w:val="single" w:sz="6" w:space="0" w:color="auto"/>
              <w:left w:val="single" w:sz="6" w:space="0" w:color="auto"/>
              <w:bottom w:val="single" w:sz="6" w:space="0" w:color="auto"/>
              <w:right w:val="single" w:sz="6" w:space="0" w:color="auto"/>
            </w:tcBorders>
          </w:tcPr>
          <w:p w14:paraId="650F28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200-80-80</w:t>
            </w:r>
          </w:p>
        </w:tc>
        <w:tc>
          <w:tcPr>
            <w:tcW w:w="1315" w:type="dxa"/>
            <w:tcBorders>
              <w:top w:val="single" w:sz="6" w:space="0" w:color="auto"/>
              <w:left w:val="single" w:sz="6" w:space="0" w:color="auto"/>
              <w:bottom w:val="single" w:sz="6" w:space="0" w:color="auto"/>
              <w:right w:val="single" w:sz="6" w:space="0" w:color="auto"/>
            </w:tcBorders>
          </w:tcPr>
          <w:p w14:paraId="119D9AA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200- 160- 120</w:t>
            </w:r>
          </w:p>
        </w:tc>
        <w:tc>
          <w:tcPr>
            <w:tcW w:w="1334" w:type="dxa"/>
            <w:tcBorders>
              <w:top w:val="single" w:sz="6" w:space="0" w:color="auto"/>
              <w:left w:val="single" w:sz="6" w:space="0" w:color="auto"/>
              <w:bottom w:val="single" w:sz="6" w:space="0" w:color="auto"/>
              <w:right w:val="single" w:sz="12" w:space="0" w:color="auto"/>
            </w:tcBorders>
          </w:tcPr>
          <w:p w14:paraId="664343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200- 120- 100</w:t>
            </w:r>
          </w:p>
        </w:tc>
      </w:tr>
      <w:tr w:rsidR="00A907A5" w:rsidRPr="00271E51" w14:paraId="02D61F40"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6C61EA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1469" w:type="dxa"/>
            <w:tcBorders>
              <w:top w:val="single" w:sz="6" w:space="0" w:color="auto"/>
              <w:left w:val="single" w:sz="6" w:space="0" w:color="auto"/>
              <w:bottom w:val="single" w:sz="6" w:space="0" w:color="auto"/>
              <w:right w:val="single" w:sz="6" w:space="0" w:color="auto"/>
            </w:tcBorders>
          </w:tcPr>
          <w:p w14:paraId="036E19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88-мм пушка об. 43</w:t>
            </w:r>
          </w:p>
        </w:tc>
        <w:tc>
          <w:tcPr>
            <w:tcW w:w="1315" w:type="dxa"/>
            <w:tcBorders>
              <w:top w:val="single" w:sz="6" w:space="0" w:color="auto"/>
              <w:left w:val="single" w:sz="6" w:space="0" w:color="auto"/>
              <w:bottom w:val="single" w:sz="6" w:space="0" w:color="auto"/>
              <w:right w:val="single" w:sz="6" w:space="0" w:color="auto"/>
            </w:tcBorders>
          </w:tcPr>
          <w:p w14:paraId="31C5C3C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122-мм корп</w:t>
            </w:r>
          </w:p>
        </w:tc>
        <w:tc>
          <w:tcPr>
            <w:tcW w:w="1334" w:type="dxa"/>
            <w:tcBorders>
              <w:top w:val="single" w:sz="6" w:space="0" w:color="auto"/>
              <w:left w:val="single" w:sz="6" w:space="0" w:color="auto"/>
              <w:bottom w:val="single" w:sz="6" w:space="0" w:color="auto"/>
              <w:right w:val="single" w:sz="12" w:space="0" w:color="auto"/>
            </w:tcBorders>
          </w:tcPr>
          <w:p w14:paraId="0AF562A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МЛ-20*</w:t>
            </w:r>
          </w:p>
        </w:tc>
      </w:tr>
      <w:tr w:rsidR="00A907A5" w:rsidRPr="00271E51" w14:paraId="0E257FC0" w14:textId="77777777" w:rsidTr="00ED5B0A">
        <w:trPr>
          <w:trHeight w:val="221"/>
        </w:trPr>
        <w:tc>
          <w:tcPr>
            <w:tcW w:w="1277" w:type="dxa"/>
            <w:tcBorders>
              <w:top w:val="single" w:sz="6" w:space="0" w:color="auto"/>
              <w:left w:val="single" w:sz="12" w:space="0" w:color="auto"/>
              <w:bottom w:val="single" w:sz="6" w:space="0" w:color="auto"/>
              <w:right w:val="single" w:sz="6" w:space="0" w:color="auto"/>
            </w:tcBorders>
          </w:tcPr>
          <w:p w14:paraId="6B797C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EA6E81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423B0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12" w:space="0" w:color="auto"/>
            </w:tcBorders>
          </w:tcPr>
          <w:p w14:paraId="782A69B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или 122-мм БМ</w:t>
            </w:r>
          </w:p>
        </w:tc>
      </w:tr>
      <w:tr w:rsidR="00A907A5" w:rsidRPr="00271E51" w14:paraId="5034AD70" w14:textId="77777777" w:rsidTr="00ED5B0A">
        <w:trPr>
          <w:trHeight w:val="259"/>
        </w:trPr>
        <w:tc>
          <w:tcPr>
            <w:tcW w:w="1277" w:type="dxa"/>
            <w:tcBorders>
              <w:top w:val="single" w:sz="6" w:space="0" w:color="auto"/>
              <w:left w:val="single" w:sz="12" w:space="0" w:color="auto"/>
              <w:bottom w:val="single" w:sz="6" w:space="0" w:color="auto"/>
              <w:right w:val="single" w:sz="6" w:space="0" w:color="auto"/>
            </w:tcBorders>
          </w:tcPr>
          <w:p w14:paraId="4FA291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Пулеметов</w:t>
            </w:r>
          </w:p>
        </w:tc>
        <w:tc>
          <w:tcPr>
            <w:tcW w:w="1469" w:type="dxa"/>
            <w:tcBorders>
              <w:top w:val="single" w:sz="6" w:space="0" w:color="auto"/>
              <w:left w:val="single" w:sz="6" w:space="0" w:color="auto"/>
              <w:bottom w:val="single" w:sz="6" w:space="0" w:color="auto"/>
              <w:right w:val="single" w:sz="6" w:space="0" w:color="auto"/>
            </w:tcBorders>
          </w:tcPr>
          <w:p w14:paraId="2AA6C1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запасной</w:t>
            </w:r>
          </w:p>
        </w:tc>
        <w:tc>
          <w:tcPr>
            <w:tcW w:w="1315" w:type="dxa"/>
            <w:tcBorders>
              <w:top w:val="single" w:sz="6" w:space="0" w:color="auto"/>
              <w:left w:val="single" w:sz="6" w:space="0" w:color="auto"/>
              <w:bottom w:val="single" w:sz="6" w:space="0" w:color="auto"/>
              <w:right w:val="single" w:sz="6" w:space="0" w:color="auto"/>
            </w:tcBorders>
          </w:tcPr>
          <w:p w14:paraId="5A68D0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ЗДТ и 1ДШК</w:t>
            </w:r>
          </w:p>
        </w:tc>
        <w:tc>
          <w:tcPr>
            <w:tcW w:w="1334" w:type="dxa"/>
            <w:tcBorders>
              <w:top w:val="single" w:sz="6" w:space="0" w:color="auto"/>
              <w:left w:val="single" w:sz="6" w:space="0" w:color="auto"/>
              <w:bottom w:val="single" w:sz="6" w:space="0" w:color="auto"/>
              <w:right w:val="single" w:sz="12" w:space="0" w:color="auto"/>
            </w:tcBorders>
          </w:tcPr>
          <w:p w14:paraId="02173A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1ДТИ 1ДШК</w:t>
            </w:r>
          </w:p>
        </w:tc>
      </w:tr>
      <w:tr w:rsidR="00A907A5" w:rsidRPr="00271E51" w14:paraId="22B704E3" w14:textId="77777777" w:rsidTr="00ED5B0A">
        <w:trPr>
          <w:trHeight w:val="230"/>
        </w:trPr>
        <w:tc>
          <w:tcPr>
            <w:tcW w:w="1277" w:type="dxa"/>
            <w:tcBorders>
              <w:top w:val="single" w:sz="6" w:space="0" w:color="auto"/>
              <w:left w:val="single" w:sz="12" w:space="0" w:color="auto"/>
              <w:bottom w:val="single" w:sz="6" w:space="0" w:color="auto"/>
              <w:right w:val="single" w:sz="6" w:space="0" w:color="auto"/>
            </w:tcBorders>
          </w:tcPr>
          <w:p w14:paraId="0FEE80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w:t>
            </w:r>
          </w:p>
        </w:tc>
        <w:tc>
          <w:tcPr>
            <w:tcW w:w="1469" w:type="dxa"/>
            <w:tcBorders>
              <w:top w:val="single" w:sz="6" w:space="0" w:color="auto"/>
              <w:left w:val="single" w:sz="6" w:space="0" w:color="auto"/>
              <w:bottom w:val="single" w:sz="6" w:space="0" w:color="auto"/>
              <w:right w:val="single" w:sz="6" w:space="0" w:color="auto"/>
            </w:tcBorders>
          </w:tcPr>
          <w:p w14:paraId="4BC66A0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1315" w:type="dxa"/>
            <w:tcBorders>
              <w:top w:val="single" w:sz="6" w:space="0" w:color="auto"/>
              <w:left w:val="single" w:sz="6" w:space="0" w:color="auto"/>
              <w:bottom w:val="single" w:sz="6" w:space="0" w:color="auto"/>
              <w:right w:val="single" w:sz="6" w:space="0" w:color="auto"/>
            </w:tcBorders>
          </w:tcPr>
          <w:p w14:paraId="15DF63D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20-30</w:t>
            </w:r>
          </w:p>
        </w:tc>
        <w:tc>
          <w:tcPr>
            <w:tcW w:w="1334" w:type="dxa"/>
            <w:tcBorders>
              <w:top w:val="single" w:sz="6" w:space="0" w:color="auto"/>
              <w:left w:val="single" w:sz="6" w:space="0" w:color="auto"/>
              <w:bottom w:val="single" w:sz="6" w:space="0" w:color="auto"/>
              <w:right w:val="single" w:sz="12" w:space="0" w:color="auto"/>
            </w:tcBorders>
          </w:tcPr>
          <w:p w14:paraId="360617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36-40</w:t>
            </w:r>
          </w:p>
        </w:tc>
      </w:tr>
      <w:tr w:rsidR="00A907A5" w:rsidRPr="00271E51" w14:paraId="2BE3E562" w14:textId="77777777" w:rsidTr="00ED5B0A">
        <w:trPr>
          <w:trHeight w:val="250"/>
        </w:trPr>
        <w:tc>
          <w:tcPr>
            <w:tcW w:w="1277" w:type="dxa"/>
            <w:tcBorders>
              <w:top w:val="single" w:sz="6" w:space="0" w:color="auto"/>
              <w:left w:val="single" w:sz="12" w:space="0" w:color="auto"/>
              <w:bottom w:val="single" w:sz="6" w:space="0" w:color="auto"/>
              <w:right w:val="single" w:sz="6" w:space="0" w:color="auto"/>
            </w:tcBorders>
          </w:tcPr>
          <w:p w14:paraId="62433D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c>
        <w:tc>
          <w:tcPr>
            <w:tcW w:w="1469" w:type="dxa"/>
            <w:tcBorders>
              <w:top w:val="single" w:sz="6" w:space="0" w:color="auto"/>
              <w:left w:val="single" w:sz="6" w:space="0" w:color="auto"/>
              <w:bottom w:val="single" w:sz="6" w:space="0" w:color="auto"/>
              <w:right w:val="single" w:sz="6" w:space="0" w:color="auto"/>
            </w:tcBorders>
          </w:tcPr>
          <w:p w14:paraId="48AE4F0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бензиновых</w:t>
            </w:r>
          </w:p>
        </w:tc>
        <w:tc>
          <w:tcPr>
            <w:tcW w:w="1315" w:type="dxa"/>
            <w:tcBorders>
              <w:top w:val="single" w:sz="6" w:space="0" w:color="auto"/>
              <w:left w:val="single" w:sz="6" w:space="0" w:color="auto"/>
              <w:bottom w:val="single" w:sz="6" w:space="0" w:color="auto"/>
              <w:right w:val="single" w:sz="6" w:space="0" w:color="auto"/>
            </w:tcBorders>
          </w:tcPr>
          <w:p w14:paraId="621BA9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дизель М40</w:t>
            </w:r>
          </w:p>
        </w:tc>
        <w:tc>
          <w:tcPr>
            <w:tcW w:w="1334" w:type="dxa"/>
            <w:tcBorders>
              <w:top w:val="single" w:sz="6" w:space="0" w:color="auto"/>
              <w:left w:val="single" w:sz="6" w:space="0" w:color="auto"/>
              <w:bottom w:val="single" w:sz="6" w:space="0" w:color="auto"/>
              <w:right w:val="single" w:sz="12" w:space="0" w:color="auto"/>
            </w:tcBorders>
          </w:tcPr>
          <w:p w14:paraId="5A4BE0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дизель М40</w:t>
            </w:r>
          </w:p>
        </w:tc>
      </w:tr>
      <w:tr w:rsidR="00A907A5" w:rsidRPr="00271E51" w14:paraId="4E085FED"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60E39B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л.с.</w:t>
            </w:r>
          </w:p>
        </w:tc>
        <w:tc>
          <w:tcPr>
            <w:tcW w:w="1469" w:type="dxa"/>
            <w:tcBorders>
              <w:top w:val="single" w:sz="6" w:space="0" w:color="auto"/>
              <w:left w:val="single" w:sz="6" w:space="0" w:color="auto"/>
              <w:bottom w:val="single" w:sz="6" w:space="0" w:color="auto"/>
              <w:right w:val="single" w:sz="6" w:space="0" w:color="auto"/>
            </w:tcBorders>
          </w:tcPr>
          <w:p w14:paraId="16D408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2x300</w:t>
            </w:r>
          </w:p>
        </w:tc>
        <w:tc>
          <w:tcPr>
            <w:tcW w:w="1315" w:type="dxa"/>
            <w:tcBorders>
              <w:top w:val="single" w:sz="6" w:space="0" w:color="auto"/>
              <w:left w:val="single" w:sz="6" w:space="0" w:color="auto"/>
              <w:bottom w:val="single" w:sz="6" w:space="0" w:color="auto"/>
              <w:right w:val="single" w:sz="6" w:space="0" w:color="auto"/>
            </w:tcBorders>
          </w:tcPr>
          <w:p w14:paraId="5F43F1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800- 1000</w:t>
            </w:r>
          </w:p>
        </w:tc>
        <w:tc>
          <w:tcPr>
            <w:tcW w:w="1334" w:type="dxa"/>
            <w:tcBorders>
              <w:top w:val="single" w:sz="6" w:space="0" w:color="auto"/>
              <w:left w:val="single" w:sz="6" w:space="0" w:color="auto"/>
              <w:bottom w:val="single" w:sz="6" w:space="0" w:color="auto"/>
              <w:right w:val="single" w:sz="12" w:space="0" w:color="auto"/>
            </w:tcBorders>
          </w:tcPr>
          <w:p w14:paraId="4C9A144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800- 1000</w:t>
            </w:r>
          </w:p>
        </w:tc>
      </w:tr>
      <w:tr w:rsidR="00A907A5" w:rsidRPr="00271E51" w14:paraId="7EE161FB"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3254DE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Трансмиссия</w:t>
            </w:r>
          </w:p>
        </w:tc>
        <w:tc>
          <w:tcPr>
            <w:tcW w:w="1469" w:type="dxa"/>
            <w:tcBorders>
              <w:top w:val="single" w:sz="6" w:space="0" w:color="auto"/>
              <w:left w:val="single" w:sz="6" w:space="0" w:color="auto"/>
              <w:bottom w:val="single" w:sz="6" w:space="0" w:color="auto"/>
              <w:right w:val="single" w:sz="6" w:space="0" w:color="auto"/>
            </w:tcBorders>
          </w:tcPr>
          <w:p w14:paraId="7CDBCDA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c>
          <w:tcPr>
            <w:tcW w:w="1315" w:type="dxa"/>
            <w:tcBorders>
              <w:top w:val="single" w:sz="6" w:space="0" w:color="auto"/>
              <w:left w:val="single" w:sz="6" w:space="0" w:color="auto"/>
              <w:bottom w:val="single" w:sz="6" w:space="0" w:color="auto"/>
              <w:right w:val="single" w:sz="6" w:space="0" w:color="auto"/>
            </w:tcBorders>
          </w:tcPr>
          <w:p w14:paraId="176D0B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c>
          <w:tcPr>
            <w:tcW w:w="1334" w:type="dxa"/>
            <w:tcBorders>
              <w:top w:val="single" w:sz="6" w:space="0" w:color="auto"/>
              <w:left w:val="single" w:sz="6" w:space="0" w:color="auto"/>
              <w:bottom w:val="single" w:sz="6" w:space="0" w:color="auto"/>
              <w:right w:val="single" w:sz="12" w:space="0" w:color="auto"/>
            </w:tcBorders>
          </w:tcPr>
          <w:p w14:paraId="4D5988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r>
      <w:tr w:rsidR="00A907A5" w:rsidRPr="00271E51" w14:paraId="5F7FEEBB" w14:textId="77777777" w:rsidTr="00ED5B0A">
        <w:trPr>
          <w:trHeight w:val="250"/>
        </w:trPr>
        <w:tc>
          <w:tcPr>
            <w:tcW w:w="1277" w:type="dxa"/>
            <w:tcBorders>
              <w:top w:val="single" w:sz="6" w:space="0" w:color="auto"/>
              <w:left w:val="single" w:sz="12" w:space="0" w:color="auto"/>
              <w:bottom w:val="single" w:sz="6" w:space="0" w:color="auto"/>
              <w:right w:val="single" w:sz="6" w:space="0" w:color="auto"/>
            </w:tcBorders>
          </w:tcPr>
          <w:p w14:paraId="2778C7A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Подвеска</w:t>
            </w:r>
          </w:p>
        </w:tc>
        <w:tc>
          <w:tcPr>
            <w:tcW w:w="1469" w:type="dxa"/>
            <w:tcBorders>
              <w:top w:val="single" w:sz="6" w:space="0" w:color="auto"/>
              <w:left w:val="single" w:sz="6" w:space="0" w:color="auto"/>
              <w:bottom w:val="single" w:sz="6" w:space="0" w:color="auto"/>
              <w:right w:val="single" w:sz="6" w:space="0" w:color="auto"/>
            </w:tcBorders>
          </w:tcPr>
          <w:p w14:paraId="5F903A0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Торсионы прод.</w:t>
            </w:r>
          </w:p>
        </w:tc>
        <w:tc>
          <w:tcPr>
            <w:tcW w:w="2649" w:type="dxa"/>
            <w:gridSpan w:val="2"/>
            <w:tcBorders>
              <w:top w:val="single" w:sz="6" w:space="0" w:color="auto"/>
              <w:left w:val="single" w:sz="6" w:space="0" w:color="auto"/>
              <w:bottom w:val="single" w:sz="6" w:space="0" w:color="auto"/>
              <w:right w:val="single" w:sz="12" w:space="0" w:color="auto"/>
            </w:tcBorders>
          </w:tcPr>
          <w:p w14:paraId="3B0F92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Торсионы поперечные как танк ИС</w:t>
            </w:r>
          </w:p>
        </w:tc>
      </w:tr>
      <w:tr w:rsidR="00A907A5" w:rsidRPr="00271E51" w14:paraId="1C8485E8"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49F66C7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Опорные катки</w:t>
            </w:r>
          </w:p>
        </w:tc>
        <w:tc>
          <w:tcPr>
            <w:tcW w:w="1469" w:type="dxa"/>
            <w:tcBorders>
              <w:top w:val="single" w:sz="6" w:space="0" w:color="auto"/>
              <w:left w:val="single" w:sz="6" w:space="0" w:color="auto"/>
              <w:bottom w:val="single" w:sz="6" w:space="0" w:color="auto"/>
              <w:right w:val="single" w:sz="6" w:space="0" w:color="auto"/>
            </w:tcBorders>
          </w:tcPr>
          <w:p w14:paraId="0DAC57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 диам. 800 мм</w:t>
            </w:r>
          </w:p>
        </w:tc>
        <w:tc>
          <w:tcPr>
            <w:tcW w:w="2649" w:type="dxa"/>
            <w:gridSpan w:val="2"/>
            <w:tcBorders>
              <w:top w:val="single" w:sz="6" w:space="0" w:color="auto"/>
              <w:left w:val="single" w:sz="6" w:space="0" w:color="auto"/>
              <w:bottom w:val="single" w:sz="6" w:space="0" w:color="auto"/>
              <w:right w:val="single" w:sz="12" w:space="0" w:color="auto"/>
            </w:tcBorders>
          </w:tcPr>
          <w:p w14:paraId="27A268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 диам. 760- 800 или 14 шт. тип ИС</w:t>
            </w:r>
          </w:p>
        </w:tc>
      </w:tr>
      <w:tr w:rsidR="00A907A5" w:rsidRPr="00271E51" w14:paraId="6C1FCE30"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2311E8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Гусеничная цепь</w:t>
            </w:r>
          </w:p>
        </w:tc>
        <w:tc>
          <w:tcPr>
            <w:tcW w:w="1469" w:type="dxa"/>
            <w:tcBorders>
              <w:top w:val="single" w:sz="6" w:space="0" w:color="auto"/>
              <w:left w:val="single" w:sz="6" w:space="0" w:color="auto"/>
              <w:bottom w:val="single" w:sz="6" w:space="0" w:color="auto"/>
              <w:right w:val="single" w:sz="6" w:space="0" w:color="auto"/>
            </w:tcBorders>
          </w:tcPr>
          <w:p w14:paraId="0103F5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660мм</w:t>
            </w:r>
          </w:p>
        </w:tc>
        <w:tc>
          <w:tcPr>
            <w:tcW w:w="1315" w:type="dxa"/>
            <w:tcBorders>
              <w:top w:val="single" w:sz="6" w:space="0" w:color="auto"/>
              <w:left w:val="single" w:sz="6" w:space="0" w:color="auto"/>
              <w:bottom w:val="single" w:sz="6" w:space="0" w:color="auto"/>
              <w:right w:val="single" w:sz="6" w:space="0" w:color="auto"/>
            </w:tcBorders>
          </w:tcPr>
          <w:p w14:paraId="0FFFB7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720мм</w:t>
            </w:r>
          </w:p>
        </w:tc>
        <w:tc>
          <w:tcPr>
            <w:tcW w:w="1334" w:type="dxa"/>
            <w:tcBorders>
              <w:top w:val="single" w:sz="6" w:space="0" w:color="auto"/>
              <w:left w:val="single" w:sz="6" w:space="0" w:color="auto"/>
              <w:bottom w:val="single" w:sz="6" w:space="0" w:color="auto"/>
              <w:right w:val="single" w:sz="12" w:space="0" w:color="auto"/>
            </w:tcBorders>
          </w:tcPr>
          <w:p w14:paraId="602AFC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720мм</w:t>
            </w:r>
          </w:p>
        </w:tc>
      </w:tr>
      <w:tr w:rsidR="00A907A5" w:rsidRPr="00271E51" w14:paraId="5797000C"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1B3606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Клиренс</w:t>
            </w:r>
          </w:p>
        </w:tc>
        <w:tc>
          <w:tcPr>
            <w:tcW w:w="1469" w:type="dxa"/>
            <w:tcBorders>
              <w:top w:val="single" w:sz="6" w:space="0" w:color="auto"/>
              <w:left w:val="single" w:sz="6" w:space="0" w:color="auto"/>
              <w:bottom w:val="single" w:sz="6" w:space="0" w:color="auto"/>
              <w:right w:val="single" w:sz="6" w:space="0" w:color="auto"/>
            </w:tcBorders>
          </w:tcPr>
          <w:p w14:paraId="02A4D23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8206C4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500мм</w:t>
            </w:r>
          </w:p>
        </w:tc>
        <w:tc>
          <w:tcPr>
            <w:tcW w:w="1334" w:type="dxa"/>
            <w:tcBorders>
              <w:top w:val="single" w:sz="6" w:space="0" w:color="auto"/>
              <w:left w:val="single" w:sz="6" w:space="0" w:color="auto"/>
              <w:bottom w:val="single" w:sz="6" w:space="0" w:color="auto"/>
              <w:right w:val="single" w:sz="12" w:space="0" w:color="auto"/>
            </w:tcBorders>
          </w:tcPr>
          <w:p w14:paraId="5EE6CE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500мм</w:t>
            </w:r>
          </w:p>
        </w:tc>
      </w:tr>
      <w:tr w:rsidR="00A907A5" w:rsidRPr="00271E51" w14:paraId="0C4D97DA"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56E9A8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Ведущее колесо</w:t>
            </w:r>
          </w:p>
        </w:tc>
        <w:tc>
          <w:tcPr>
            <w:tcW w:w="1469" w:type="dxa"/>
            <w:tcBorders>
              <w:top w:val="single" w:sz="6" w:space="0" w:color="auto"/>
              <w:left w:val="single" w:sz="6" w:space="0" w:color="auto"/>
              <w:bottom w:val="single" w:sz="6" w:space="0" w:color="auto"/>
              <w:right w:val="single" w:sz="6" w:space="0" w:color="auto"/>
            </w:tcBorders>
          </w:tcPr>
          <w:p w14:paraId="5CF2E0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315" w:type="dxa"/>
            <w:tcBorders>
              <w:top w:val="single" w:sz="6" w:space="0" w:color="auto"/>
              <w:left w:val="single" w:sz="6" w:space="0" w:color="auto"/>
              <w:bottom w:val="single" w:sz="6" w:space="0" w:color="auto"/>
              <w:right w:val="single" w:sz="6" w:space="0" w:color="auto"/>
            </w:tcBorders>
          </w:tcPr>
          <w:p w14:paraId="6C8F84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334" w:type="dxa"/>
            <w:tcBorders>
              <w:top w:val="single" w:sz="6" w:space="0" w:color="auto"/>
              <w:left w:val="single" w:sz="6" w:space="0" w:color="auto"/>
              <w:bottom w:val="single" w:sz="6" w:space="0" w:color="auto"/>
              <w:right w:val="single" w:sz="12" w:space="0" w:color="auto"/>
            </w:tcBorders>
          </w:tcPr>
          <w:p w14:paraId="58DC08E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r>
      <w:tr w:rsidR="00A907A5" w:rsidRPr="00271E51" w14:paraId="1E57C94D"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17C740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w:t>
            </w:r>
          </w:p>
        </w:tc>
        <w:tc>
          <w:tcPr>
            <w:tcW w:w="1469" w:type="dxa"/>
            <w:tcBorders>
              <w:top w:val="single" w:sz="6" w:space="0" w:color="auto"/>
              <w:left w:val="single" w:sz="6" w:space="0" w:color="auto"/>
              <w:bottom w:val="single" w:sz="6" w:space="0" w:color="auto"/>
              <w:right w:val="single" w:sz="6" w:space="0" w:color="auto"/>
            </w:tcBorders>
          </w:tcPr>
          <w:p w14:paraId="51F661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c>
          <w:tcPr>
            <w:tcW w:w="1315" w:type="dxa"/>
            <w:tcBorders>
              <w:top w:val="single" w:sz="6" w:space="0" w:color="auto"/>
              <w:left w:val="single" w:sz="6" w:space="0" w:color="auto"/>
              <w:bottom w:val="single" w:sz="6" w:space="0" w:color="auto"/>
              <w:right w:val="single" w:sz="6" w:space="0" w:color="auto"/>
            </w:tcBorders>
          </w:tcPr>
          <w:p w14:paraId="7416CD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c>
          <w:tcPr>
            <w:tcW w:w="1334" w:type="dxa"/>
            <w:tcBorders>
              <w:top w:val="single" w:sz="6" w:space="0" w:color="auto"/>
              <w:left w:val="single" w:sz="6" w:space="0" w:color="auto"/>
              <w:bottom w:val="single" w:sz="6" w:space="0" w:color="auto"/>
              <w:right w:val="single" w:sz="12" w:space="0" w:color="auto"/>
            </w:tcBorders>
          </w:tcPr>
          <w:p w14:paraId="29D2FD9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r>
      <w:tr w:rsidR="00A907A5" w:rsidRPr="00271E51" w14:paraId="14205DEE"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28D245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Боевое отделение</w:t>
            </w:r>
          </w:p>
        </w:tc>
        <w:tc>
          <w:tcPr>
            <w:tcW w:w="1469" w:type="dxa"/>
            <w:tcBorders>
              <w:top w:val="single" w:sz="6" w:space="0" w:color="auto"/>
              <w:left w:val="single" w:sz="6" w:space="0" w:color="auto"/>
              <w:bottom w:val="single" w:sz="6" w:space="0" w:color="auto"/>
              <w:right w:val="single" w:sz="6" w:space="0" w:color="auto"/>
            </w:tcBorders>
          </w:tcPr>
          <w:p w14:paraId="25D321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315" w:type="dxa"/>
            <w:tcBorders>
              <w:top w:val="single" w:sz="6" w:space="0" w:color="auto"/>
              <w:left w:val="single" w:sz="6" w:space="0" w:color="auto"/>
              <w:bottom w:val="single" w:sz="6" w:space="0" w:color="auto"/>
              <w:right w:val="single" w:sz="6" w:space="0" w:color="auto"/>
            </w:tcBorders>
          </w:tcPr>
          <w:p w14:paraId="2FB4110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334" w:type="dxa"/>
            <w:tcBorders>
              <w:top w:val="single" w:sz="6" w:space="0" w:color="auto"/>
              <w:left w:val="single" w:sz="6" w:space="0" w:color="auto"/>
              <w:bottom w:val="single" w:sz="6" w:space="0" w:color="auto"/>
              <w:right w:val="single" w:sz="12" w:space="0" w:color="auto"/>
            </w:tcBorders>
          </w:tcPr>
          <w:p w14:paraId="29FE19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r>
      <w:tr w:rsidR="00A907A5" w:rsidRPr="00271E51" w14:paraId="55C8992C" w14:textId="77777777" w:rsidTr="00ED5B0A">
        <w:trPr>
          <w:trHeight w:val="240"/>
        </w:trPr>
        <w:tc>
          <w:tcPr>
            <w:tcW w:w="1277" w:type="dxa"/>
            <w:tcBorders>
              <w:top w:val="single" w:sz="6" w:space="0" w:color="auto"/>
              <w:left w:val="single" w:sz="12" w:space="0" w:color="auto"/>
              <w:bottom w:val="single" w:sz="6" w:space="0" w:color="auto"/>
              <w:right w:val="single" w:sz="6" w:space="0" w:color="auto"/>
            </w:tcBorders>
          </w:tcPr>
          <w:p w14:paraId="38C036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w:t>
            </w:r>
          </w:p>
        </w:tc>
        <w:tc>
          <w:tcPr>
            <w:tcW w:w="1469" w:type="dxa"/>
            <w:tcBorders>
              <w:top w:val="single" w:sz="6" w:space="0" w:color="auto"/>
              <w:left w:val="single" w:sz="6" w:space="0" w:color="auto"/>
              <w:bottom w:val="single" w:sz="6" w:space="0" w:color="auto"/>
              <w:right w:val="single" w:sz="6" w:space="0" w:color="auto"/>
            </w:tcBorders>
          </w:tcPr>
          <w:p w14:paraId="40E73C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км/ч</w:t>
            </w:r>
          </w:p>
        </w:tc>
        <w:tc>
          <w:tcPr>
            <w:tcW w:w="1315" w:type="dxa"/>
            <w:tcBorders>
              <w:top w:val="single" w:sz="6" w:space="0" w:color="auto"/>
              <w:left w:val="single" w:sz="6" w:space="0" w:color="auto"/>
              <w:bottom w:val="single" w:sz="6" w:space="0" w:color="auto"/>
              <w:right w:val="single" w:sz="6" w:space="0" w:color="auto"/>
            </w:tcBorders>
          </w:tcPr>
          <w:p w14:paraId="0211DD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30- 35 км/ч</w:t>
            </w:r>
          </w:p>
        </w:tc>
        <w:tc>
          <w:tcPr>
            <w:tcW w:w="1334" w:type="dxa"/>
            <w:tcBorders>
              <w:top w:val="single" w:sz="6" w:space="0" w:color="auto"/>
              <w:left w:val="single" w:sz="6" w:space="0" w:color="auto"/>
              <w:bottom w:val="single" w:sz="6" w:space="0" w:color="auto"/>
              <w:right w:val="single" w:sz="12" w:space="0" w:color="auto"/>
            </w:tcBorders>
          </w:tcPr>
          <w:p w14:paraId="0260C7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30- 35 км/ч</w:t>
            </w:r>
          </w:p>
        </w:tc>
      </w:tr>
      <w:tr w:rsidR="00A907A5" w:rsidRPr="00271E51" w14:paraId="0A1D49FC" w14:textId="77777777" w:rsidTr="00ED5B0A">
        <w:trPr>
          <w:trHeight w:val="230"/>
        </w:trPr>
        <w:tc>
          <w:tcPr>
            <w:tcW w:w="1277" w:type="dxa"/>
            <w:tcBorders>
              <w:top w:val="single" w:sz="6" w:space="0" w:color="auto"/>
              <w:left w:val="single" w:sz="12" w:space="0" w:color="auto"/>
              <w:bottom w:val="single" w:sz="12" w:space="0" w:color="auto"/>
              <w:right w:val="single" w:sz="6" w:space="0" w:color="auto"/>
            </w:tcBorders>
          </w:tcPr>
          <w:p w14:paraId="0BA9234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хода макс.</w:t>
            </w:r>
          </w:p>
        </w:tc>
        <w:tc>
          <w:tcPr>
            <w:tcW w:w="1469" w:type="dxa"/>
            <w:tcBorders>
              <w:top w:val="single" w:sz="6" w:space="0" w:color="auto"/>
              <w:left w:val="single" w:sz="6" w:space="0" w:color="auto"/>
              <w:bottom w:val="single" w:sz="12" w:space="0" w:color="auto"/>
              <w:right w:val="single" w:sz="6" w:space="0" w:color="auto"/>
            </w:tcBorders>
          </w:tcPr>
          <w:p w14:paraId="72BBBF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100км</w:t>
            </w:r>
          </w:p>
        </w:tc>
        <w:tc>
          <w:tcPr>
            <w:tcW w:w="2649" w:type="dxa"/>
            <w:gridSpan w:val="2"/>
            <w:tcBorders>
              <w:top w:val="single" w:sz="6" w:space="0" w:color="auto"/>
              <w:left w:val="single" w:sz="6" w:space="0" w:color="auto"/>
              <w:bottom w:val="single" w:sz="12" w:space="0" w:color="auto"/>
              <w:right w:val="single" w:sz="6" w:space="0" w:color="auto"/>
            </w:tcBorders>
          </w:tcPr>
          <w:p w14:paraId="27A1ED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10 часов»</w:t>
            </w:r>
          </w:p>
        </w:tc>
      </w:tr>
    </w:tbl>
    <w:p w14:paraId="20ABF9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ТТТ проектировщики получили также пояс</w:t>
      </w:r>
      <w:r w:rsidRPr="00271E51">
        <w:rPr>
          <w:rFonts w:ascii="Times New Roman" w:hAnsi="Times New Roman"/>
          <w:color w:val="000000" w:themeColor="text1"/>
          <w:sz w:val="16"/>
          <w:szCs w:val="16"/>
        </w:rPr>
        <w:softHyphen/>
        <w:t>нительную записку о 128 листах и эскизные изображения двух вариантов внешнего вида танка и трех вариантов САУ (впрочем, возможно, этих вариантов было больше).</w:t>
      </w:r>
    </w:p>
    <w:p w14:paraId="009168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совместного распоряжения ГБТУ и НКТП указанный «танкосамоход» должен был быть вариантом глубокой модернизации танка ИС и его проектирование и изготовление должно бьшо состояться до 1 мая 1944 г. Наи</w:t>
      </w:r>
      <w:r w:rsidRPr="00271E51">
        <w:rPr>
          <w:rFonts w:ascii="Times New Roman" w:hAnsi="Times New Roman"/>
          <w:color w:val="000000" w:themeColor="text1"/>
          <w:sz w:val="16"/>
          <w:szCs w:val="16"/>
        </w:rPr>
        <w:softHyphen/>
        <w:t xml:space="preserve">более интересным и проработанным был эскизный проект тяжелого танка, выполненный Н. Шашмуриным на заводе № 100. Он иногда именуется танком ИС-М. Автор не готов </w:t>
      </w:r>
      <w:r w:rsidRPr="00271E51">
        <w:rPr>
          <w:rFonts w:ascii="Times New Roman" w:hAnsi="Times New Roman"/>
          <w:b/>
          <w:bCs/>
          <w:color w:val="000000" w:themeColor="text1"/>
          <w:sz w:val="16"/>
          <w:szCs w:val="16"/>
        </w:rPr>
        <w:t xml:space="preserve">ни </w:t>
      </w:r>
      <w:r w:rsidRPr="00271E51">
        <w:rPr>
          <w:rFonts w:ascii="Times New Roman" w:hAnsi="Times New Roman"/>
          <w:color w:val="000000" w:themeColor="text1"/>
          <w:sz w:val="16"/>
          <w:szCs w:val="16"/>
        </w:rPr>
        <w:t>подтвердить, ни опровергнуть данного утверждения. Проект интересен необычной компоновкой. На храня</w:t>
      </w:r>
      <w:r w:rsidRPr="00271E51">
        <w:rPr>
          <w:rFonts w:ascii="Times New Roman" w:hAnsi="Times New Roman"/>
          <w:color w:val="000000" w:themeColor="text1"/>
          <w:sz w:val="16"/>
          <w:szCs w:val="16"/>
        </w:rPr>
        <w:softHyphen/>
        <w:t>щемся у М. Коломийца стекле - фотокопии проекта про</w:t>
      </w:r>
      <w:r w:rsidRPr="00271E51">
        <w:rPr>
          <w:rFonts w:ascii="Times New Roman" w:hAnsi="Times New Roman"/>
          <w:color w:val="000000" w:themeColor="text1"/>
          <w:sz w:val="16"/>
          <w:szCs w:val="16"/>
        </w:rPr>
        <w:softHyphen/>
        <w:t>слеживается машина, в целом отвечающая требованиям де</w:t>
      </w:r>
      <w:r w:rsidRPr="00271E51">
        <w:rPr>
          <w:rFonts w:ascii="Times New Roman" w:hAnsi="Times New Roman"/>
          <w:color w:val="000000" w:themeColor="text1"/>
          <w:sz w:val="16"/>
          <w:szCs w:val="16"/>
        </w:rPr>
        <w:softHyphen/>
        <w:t>кабря 1943 г. Здесь видны три боевые машины (два танка и одна САУ) с «задним» расположением боевого отделения как раз «по типу штурмового орудия Фердинанда». Между собой танки отличаются ходовой частью с катками боль</w:t>
      </w:r>
      <w:r w:rsidRPr="00271E51">
        <w:rPr>
          <w:rFonts w:ascii="Times New Roman" w:hAnsi="Times New Roman"/>
          <w:color w:val="000000" w:themeColor="text1"/>
          <w:sz w:val="16"/>
          <w:szCs w:val="16"/>
        </w:rPr>
        <w:softHyphen/>
        <w:t>шого и среднего диаметра, с ведущими катками заднего расположения. Из описания ясно, что вооружение указан</w:t>
      </w:r>
      <w:r w:rsidRPr="00271E51">
        <w:rPr>
          <w:rFonts w:ascii="Times New Roman" w:hAnsi="Times New Roman"/>
          <w:color w:val="000000" w:themeColor="text1"/>
          <w:sz w:val="16"/>
          <w:szCs w:val="16"/>
        </w:rPr>
        <w:softHyphen/>
        <w:t>ного танка должно бьшо состоять из 122-мм длинностволь</w:t>
      </w:r>
      <w:r w:rsidRPr="00271E51">
        <w:rPr>
          <w:rFonts w:ascii="Times New Roman" w:hAnsi="Times New Roman"/>
          <w:color w:val="000000" w:themeColor="text1"/>
          <w:sz w:val="16"/>
          <w:szCs w:val="16"/>
        </w:rPr>
        <w:softHyphen/>
        <w:t xml:space="preserve">ной пушки (нач. скорость бронебойного снаряда 950— 1000 м/с), 50-мм казнозарядного миномета и спаренного </w:t>
      </w:r>
      <w:r w:rsidRPr="00271E51">
        <w:rPr>
          <w:rFonts w:ascii="Times New Roman" w:hAnsi="Times New Roman"/>
          <w:color w:val="000000" w:themeColor="text1"/>
          <w:sz w:val="16"/>
          <w:szCs w:val="16"/>
        </w:rPr>
        <w:lastRenderedPageBreak/>
        <w:t>с пушкой пулемета в башне из брони высокой твердости с погоном 2000 мм.</w:t>
      </w:r>
    </w:p>
    <w:p w14:paraId="655435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Предусматривалась установка дизель мотора мощностью 850 л.с. с электромеханической или ме</w:t>
      </w:r>
      <w:r w:rsidRPr="00271E51">
        <w:rPr>
          <w:rFonts w:ascii="Times New Roman" w:hAnsi="Times New Roman"/>
          <w:color w:val="000000" w:themeColor="text1"/>
          <w:sz w:val="16"/>
          <w:szCs w:val="16"/>
        </w:rPr>
        <w:softHyphen/>
        <w:t>ханической КПП, что должно было обеспечить танку дви</w:t>
      </w:r>
      <w:r w:rsidRPr="00271E51">
        <w:rPr>
          <w:rFonts w:ascii="Times New Roman" w:hAnsi="Times New Roman"/>
          <w:color w:val="000000" w:themeColor="text1"/>
          <w:sz w:val="16"/>
          <w:szCs w:val="16"/>
        </w:rPr>
        <w:softHyphen/>
        <w:t>жение со скоростью до 30-35 км/ч. Защищенность у этого танка ожидалась весьма высокой, но дальнейшего развития проект не получил, а летом 1944 г. на заводе № 100 началась разработка танка ИС-6 («Объект 252») (11135).</w:t>
      </w:r>
    </w:p>
    <w:p w14:paraId="6A8981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27C1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13—17 ноября 1943 г. появилось распо</w:t>
      </w:r>
      <w:r w:rsidRPr="00271E51">
        <w:rPr>
          <w:rFonts w:ascii="Times New Roman" w:hAnsi="Times New Roman"/>
          <w:color w:val="000000" w:themeColor="text1"/>
          <w:sz w:val="16"/>
          <w:szCs w:val="16"/>
        </w:rPr>
        <w:softHyphen/>
        <w:t>ряжение о начале проектирования «танкосамохода проры</w:t>
      </w:r>
      <w:r w:rsidRPr="00271E51">
        <w:rPr>
          <w:rFonts w:ascii="Times New Roman" w:hAnsi="Times New Roman"/>
          <w:color w:val="000000" w:themeColor="text1"/>
          <w:sz w:val="16"/>
          <w:szCs w:val="16"/>
        </w:rPr>
        <w:softHyphen/>
        <w:t>ва большой мощности» с задним расположением боевого отделения.</w:t>
      </w:r>
    </w:p>
    <w:p w14:paraId="6845DAD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замыслу предполагалось разработать танк и САУ с задним расположением боевого отделения по следу</w:t>
      </w:r>
      <w:r w:rsidRPr="00271E51">
        <w:rPr>
          <w:rFonts w:ascii="Times New Roman" w:hAnsi="Times New Roman"/>
          <w:color w:val="000000" w:themeColor="text1"/>
          <w:sz w:val="16"/>
          <w:szCs w:val="16"/>
        </w:rPr>
        <w:softHyphen/>
        <w:t>ющим основным ТТТ:</w:t>
      </w:r>
    </w:p>
    <w:p w14:paraId="5AEA09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ТАКТИКО-ТЕХНИЧЕСКИЕ ХАРАКТЕРИСТИКИ ТАНКОСАМОХОДА ПРОРЫ</w:t>
      </w:r>
      <w:r w:rsidRPr="00271E51">
        <w:rPr>
          <w:rFonts w:ascii="Times New Roman" w:hAnsi="Times New Roman"/>
          <w:color w:val="000000" w:themeColor="text1"/>
          <w:sz w:val="16"/>
          <w:szCs w:val="16"/>
        </w:rPr>
        <w:softHyphen/>
        <w:t>ВА БОЛЬШОЙ МОЩНОСТИ обр.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559"/>
        <w:gridCol w:w="1559"/>
      </w:tblGrid>
      <w:tr w:rsidR="00A907A5" w:rsidRPr="00271E51" w14:paraId="4044EFFC" w14:textId="77777777" w:rsidTr="00ED5B0A">
        <w:tc>
          <w:tcPr>
            <w:tcW w:w="1951" w:type="dxa"/>
            <w:tcBorders>
              <w:top w:val="single" w:sz="12" w:space="0" w:color="auto"/>
            </w:tcBorders>
          </w:tcPr>
          <w:p w14:paraId="5F68587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Характеристика</w:t>
            </w:r>
          </w:p>
        </w:tc>
        <w:tc>
          <w:tcPr>
            <w:tcW w:w="1418" w:type="dxa"/>
            <w:tcBorders>
              <w:top w:val="single" w:sz="12" w:space="0" w:color="auto"/>
            </w:tcBorders>
          </w:tcPr>
          <w:p w14:paraId="41166C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«ФЕРДИНАНД»</w:t>
            </w:r>
          </w:p>
        </w:tc>
        <w:tc>
          <w:tcPr>
            <w:tcW w:w="1559" w:type="dxa"/>
            <w:tcBorders>
              <w:top w:val="single" w:sz="12" w:space="0" w:color="auto"/>
            </w:tcBorders>
          </w:tcPr>
          <w:p w14:paraId="144694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ПРОРЫВА</w:t>
            </w:r>
          </w:p>
        </w:tc>
        <w:tc>
          <w:tcPr>
            <w:tcW w:w="1559" w:type="dxa"/>
            <w:tcBorders>
              <w:top w:val="single" w:sz="12" w:space="0" w:color="auto"/>
            </w:tcBorders>
          </w:tcPr>
          <w:p w14:paraId="72BFB9B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САУ ПРОРЫВА</w:t>
            </w:r>
          </w:p>
        </w:tc>
      </w:tr>
      <w:tr w:rsidR="00A907A5" w:rsidRPr="00271E51" w14:paraId="21034540" w14:textId="77777777" w:rsidTr="00ED5B0A">
        <w:tc>
          <w:tcPr>
            <w:tcW w:w="1951" w:type="dxa"/>
          </w:tcPr>
          <w:p w14:paraId="2FB761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вес</w:t>
            </w:r>
          </w:p>
        </w:tc>
        <w:tc>
          <w:tcPr>
            <w:tcW w:w="1418" w:type="dxa"/>
          </w:tcPr>
          <w:p w14:paraId="2914F20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68200кг</w:t>
            </w:r>
          </w:p>
        </w:tc>
        <w:tc>
          <w:tcPr>
            <w:tcW w:w="1559" w:type="dxa"/>
          </w:tcPr>
          <w:p w14:paraId="23957F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55000кг</w:t>
            </w:r>
          </w:p>
        </w:tc>
        <w:tc>
          <w:tcPr>
            <w:tcW w:w="1559" w:type="dxa"/>
          </w:tcPr>
          <w:p w14:paraId="3958DC2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50 000 кг</w:t>
            </w:r>
          </w:p>
        </w:tc>
      </w:tr>
      <w:tr w:rsidR="00A907A5" w:rsidRPr="00271E51" w14:paraId="7BC50C07" w14:textId="77777777" w:rsidTr="00ED5B0A">
        <w:tc>
          <w:tcPr>
            <w:tcW w:w="1951" w:type="dxa"/>
          </w:tcPr>
          <w:p w14:paraId="158463B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1418" w:type="dxa"/>
          </w:tcPr>
          <w:p w14:paraId="12F352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чел</w:t>
            </w:r>
          </w:p>
        </w:tc>
        <w:tc>
          <w:tcPr>
            <w:tcW w:w="1559" w:type="dxa"/>
          </w:tcPr>
          <w:p w14:paraId="1BAD263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чел</w:t>
            </w:r>
          </w:p>
        </w:tc>
        <w:tc>
          <w:tcPr>
            <w:tcW w:w="1559" w:type="dxa"/>
          </w:tcPr>
          <w:p w14:paraId="5C9FDBE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чел</w:t>
            </w:r>
          </w:p>
        </w:tc>
      </w:tr>
      <w:tr w:rsidR="00A907A5" w:rsidRPr="00271E51" w14:paraId="6CDE55A4" w14:textId="77777777" w:rsidTr="00ED5B0A">
        <w:tc>
          <w:tcPr>
            <w:tcW w:w="1951" w:type="dxa"/>
          </w:tcPr>
          <w:p w14:paraId="516B6F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корп., мм</w:t>
            </w:r>
          </w:p>
        </w:tc>
        <w:tc>
          <w:tcPr>
            <w:tcW w:w="1418" w:type="dxa"/>
          </w:tcPr>
          <w:p w14:paraId="21956E0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200-80-80</w:t>
            </w:r>
          </w:p>
        </w:tc>
        <w:tc>
          <w:tcPr>
            <w:tcW w:w="1559" w:type="dxa"/>
          </w:tcPr>
          <w:p w14:paraId="7CAA404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200-140-120</w:t>
            </w:r>
          </w:p>
        </w:tc>
        <w:tc>
          <w:tcPr>
            <w:tcW w:w="1559" w:type="dxa"/>
          </w:tcPr>
          <w:p w14:paraId="2A71DAA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200-120-100</w:t>
            </w:r>
          </w:p>
        </w:tc>
      </w:tr>
      <w:tr w:rsidR="00A907A5" w:rsidRPr="00271E51" w14:paraId="3F695BEF" w14:textId="77777777" w:rsidTr="00ED5B0A">
        <w:tc>
          <w:tcPr>
            <w:tcW w:w="1951" w:type="dxa"/>
          </w:tcPr>
          <w:p w14:paraId="2888630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башни, мм</w:t>
            </w:r>
          </w:p>
        </w:tc>
        <w:tc>
          <w:tcPr>
            <w:tcW w:w="1418" w:type="dxa"/>
          </w:tcPr>
          <w:p w14:paraId="134BAD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200-80-80</w:t>
            </w:r>
          </w:p>
        </w:tc>
        <w:tc>
          <w:tcPr>
            <w:tcW w:w="1559" w:type="dxa"/>
          </w:tcPr>
          <w:p w14:paraId="593D9D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200-160-120</w:t>
            </w:r>
          </w:p>
        </w:tc>
        <w:tc>
          <w:tcPr>
            <w:tcW w:w="1559" w:type="dxa"/>
          </w:tcPr>
          <w:p w14:paraId="2BD257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200-120-100</w:t>
            </w:r>
          </w:p>
        </w:tc>
      </w:tr>
      <w:tr w:rsidR="00A907A5" w:rsidRPr="00271E51" w14:paraId="1EEB9942" w14:textId="77777777" w:rsidTr="00ED5B0A">
        <w:tc>
          <w:tcPr>
            <w:tcW w:w="1951" w:type="dxa"/>
          </w:tcPr>
          <w:p w14:paraId="47F8B0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c>
          <w:tcPr>
            <w:tcW w:w="1418" w:type="dxa"/>
          </w:tcPr>
          <w:p w14:paraId="2A8790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88-мм п. об. 43</w:t>
            </w:r>
          </w:p>
        </w:tc>
        <w:tc>
          <w:tcPr>
            <w:tcW w:w="1559" w:type="dxa"/>
          </w:tcPr>
          <w:p w14:paraId="2DD1E35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122-мм обр. 31</w:t>
            </w:r>
          </w:p>
        </w:tc>
        <w:tc>
          <w:tcPr>
            <w:tcW w:w="1559" w:type="dxa"/>
          </w:tcPr>
          <w:p w14:paraId="680B91F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152-мм МЛ-20 или 122-мм БМ</w:t>
            </w:r>
          </w:p>
        </w:tc>
      </w:tr>
      <w:tr w:rsidR="00A907A5" w:rsidRPr="00271E51" w14:paraId="26B5AFD5" w14:textId="77777777" w:rsidTr="00ED5B0A">
        <w:tc>
          <w:tcPr>
            <w:tcW w:w="1951" w:type="dxa"/>
          </w:tcPr>
          <w:p w14:paraId="4F633B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Пулеметов</w:t>
            </w:r>
          </w:p>
        </w:tc>
        <w:tc>
          <w:tcPr>
            <w:tcW w:w="1418" w:type="dxa"/>
          </w:tcPr>
          <w:p w14:paraId="2CE936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запасной</w:t>
            </w:r>
          </w:p>
        </w:tc>
        <w:tc>
          <w:tcPr>
            <w:tcW w:w="1559" w:type="dxa"/>
          </w:tcPr>
          <w:p w14:paraId="09CC68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ЗДТи1ДШК</w:t>
            </w:r>
          </w:p>
        </w:tc>
        <w:tc>
          <w:tcPr>
            <w:tcW w:w="1559" w:type="dxa"/>
          </w:tcPr>
          <w:p w14:paraId="01C6123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1ДТи1ДШК</w:t>
            </w:r>
          </w:p>
        </w:tc>
      </w:tr>
      <w:tr w:rsidR="00A907A5" w:rsidRPr="00271E51" w14:paraId="3C4C0A2C" w14:textId="77777777" w:rsidTr="00ED5B0A">
        <w:tc>
          <w:tcPr>
            <w:tcW w:w="1951" w:type="dxa"/>
          </w:tcPr>
          <w:p w14:paraId="23274E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w:t>
            </w:r>
          </w:p>
        </w:tc>
        <w:tc>
          <w:tcPr>
            <w:tcW w:w="1418" w:type="dxa"/>
          </w:tcPr>
          <w:p w14:paraId="3606155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1559" w:type="dxa"/>
          </w:tcPr>
          <w:p w14:paraId="226C82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20-30</w:t>
            </w:r>
          </w:p>
        </w:tc>
        <w:tc>
          <w:tcPr>
            <w:tcW w:w="1559" w:type="dxa"/>
          </w:tcPr>
          <w:p w14:paraId="37E737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36-40</w:t>
            </w:r>
          </w:p>
        </w:tc>
      </w:tr>
      <w:tr w:rsidR="00A907A5" w:rsidRPr="00271E51" w14:paraId="3256980D" w14:textId="77777777" w:rsidTr="00ED5B0A">
        <w:tc>
          <w:tcPr>
            <w:tcW w:w="1951" w:type="dxa"/>
          </w:tcPr>
          <w:p w14:paraId="4C2F18E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c>
        <w:tc>
          <w:tcPr>
            <w:tcW w:w="1418" w:type="dxa"/>
          </w:tcPr>
          <w:p w14:paraId="45DBCE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бензиновых</w:t>
            </w:r>
          </w:p>
        </w:tc>
        <w:tc>
          <w:tcPr>
            <w:tcW w:w="1559" w:type="dxa"/>
          </w:tcPr>
          <w:p w14:paraId="1C8F051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дизель М40</w:t>
            </w:r>
          </w:p>
        </w:tc>
        <w:tc>
          <w:tcPr>
            <w:tcW w:w="1559" w:type="dxa"/>
          </w:tcPr>
          <w:p w14:paraId="35C3C4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дизель М40</w:t>
            </w:r>
          </w:p>
        </w:tc>
      </w:tr>
      <w:tr w:rsidR="00A907A5" w:rsidRPr="00271E51" w14:paraId="0E939B09" w14:textId="77777777" w:rsidTr="00ED5B0A">
        <w:tc>
          <w:tcPr>
            <w:tcW w:w="1951" w:type="dxa"/>
          </w:tcPr>
          <w:p w14:paraId="3F1408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л.с.</w:t>
            </w:r>
          </w:p>
        </w:tc>
        <w:tc>
          <w:tcPr>
            <w:tcW w:w="1418" w:type="dxa"/>
          </w:tcPr>
          <w:p w14:paraId="7EA972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2x300</w:t>
            </w:r>
          </w:p>
        </w:tc>
        <w:tc>
          <w:tcPr>
            <w:tcW w:w="1559" w:type="dxa"/>
          </w:tcPr>
          <w:p w14:paraId="4594D9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800-1000</w:t>
            </w:r>
          </w:p>
        </w:tc>
        <w:tc>
          <w:tcPr>
            <w:tcW w:w="1559" w:type="dxa"/>
          </w:tcPr>
          <w:p w14:paraId="7A684E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800-1000</w:t>
            </w:r>
          </w:p>
        </w:tc>
      </w:tr>
      <w:tr w:rsidR="00A907A5" w:rsidRPr="00271E51" w14:paraId="5CB3DDC6" w14:textId="77777777" w:rsidTr="00ED5B0A">
        <w:tc>
          <w:tcPr>
            <w:tcW w:w="1951" w:type="dxa"/>
          </w:tcPr>
          <w:p w14:paraId="4FAF59F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Трансмиссия</w:t>
            </w:r>
          </w:p>
        </w:tc>
        <w:tc>
          <w:tcPr>
            <w:tcW w:w="1418" w:type="dxa"/>
          </w:tcPr>
          <w:p w14:paraId="151A83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c>
          <w:tcPr>
            <w:tcW w:w="1559" w:type="dxa"/>
          </w:tcPr>
          <w:p w14:paraId="3526AB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c>
          <w:tcPr>
            <w:tcW w:w="1559" w:type="dxa"/>
          </w:tcPr>
          <w:p w14:paraId="278CB97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Электрическая</w:t>
            </w:r>
          </w:p>
        </w:tc>
      </w:tr>
      <w:tr w:rsidR="00A907A5" w:rsidRPr="00271E51" w14:paraId="0E57C76C" w14:textId="77777777" w:rsidTr="00ED5B0A">
        <w:tc>
          <w:tcPr>
            <w:tcW w:w="1951" w:type="dxa"/>
          </w:tcPr>
          <w:p w14:paraId="7B4FE31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Подвеска</w:t>
            </w:r>
          </w:p>
        </w:tc>
        <w:tc>
          <w:tcPr>
            <w:tcW w:w="1418" w:type="dxa"/>
          </w:tcPr>
          <w:p w14:paraId="42C72A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Торсионы прод.</w:t>
            </w:r>
          </w:p>
        </w:tc>
        <w:tc>
          <w:tcPr>
            <w:tcW w:w="1559" w:type="dxa"/>
          </w:tcPr>
          <w:p w14:paraId="6DAA6E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Тоосионы поперечные как танк ИС</w:t>
            </w:r>
          </w:p>
        </w:tc>
        <w:tc>
          <w:tcPr>
            <w:tcW w:w="1559" w:type="dxa"/>
          </w:tcPr>
          <w:p w14:paraId="3E70F4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Тоосионы поперечные как танк ИС</w:t>
            </w:r>
          </w:p>
        </w:tc>
      </w:tr>
      <w:tr w:rsidR="00A907A5" w:rsidRPr="00271E51" w14:paraId="5ACF64A0" w14:textId="77777777" w:rsidTr="00ED5B0A">
        <w:tc>
          <w:tcPr>
            <w:tcW w:w="1951" w:type="dxa"/>
          </w:tcPr>
          <w:p w14:paraId="588A31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Опорные катки</w:t>
            </w:r>
          </w:p>
        </w:tc>
        <w:tc>
          <w:tcPr>
            <w:tcW w:w="1418" w:type="dxa"/>
          </w:tcPr>
          <w:p w14:paraId="488F8A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штдм. 800 мм</w:t>
            </w:r>
          </w:p>
        </w:tc>
        <w:tc>
          <w:tcPr>
            <w:tcW w:w="1559" w:type="dxa"/>
          </w:tcPr>
          <w:p w14:paraId="45C93F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штдм. 760-800 или 14 шт.тип ИС</w:t>
            </w:r>
          </w:p>
        </w:tc>
        <w:tc>
          <w:tcPr>
            <w:tcW w:w="1559" w:type="dxa"/>
          </w:tcPr>
          <w:p w14:paraId="549B09A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штдм. 760-800 или 14 шт.тип ИС</w:t>
            </w:r>
          </w:p>
        </w:tc>
      </w:tr>
      <w:tr w:rsidR="00A907A5" w:rsidRPr="00271E51" w14:paraId="4F6A20C2" w14:textId="77777777" w:rsidTr="00ED5B0A">
        <w:tc>
          <w:tcPr>
            <w:tcW w:w="1951" w:type="dxa"/>
          </w:tcPr>
          <w:p w14:paraId="615437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Гусеничная цепь</w:t>
            </w:r>
          </w:p>
        </w:tc>
        <w:tc>
          <w:tcPr>
            <w:tcW w:w="1418" w:type="dxa"/>
          </w:tcPr>
          <w:p w14:paraId="76D2A6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660мм</w:t>
            </w:r>
          </w:p>
        </w:tc>
        <w:tc>
          <w:tcPr>
            <w:tcW w:w="1559" w:type="dxa"/>
          </w:tcPr>
          <w:p w14:paraId="0A41D6B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720мм</w:t>
            </w:r>
          </w:p>
        </w:tc>
        <w:tc>
          <w:tcPr>
            <w:tcW w:w="1559" w:type="dxa"/>
          </w:tcPr>
          <w:p w14:paraId="1AD7447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720мм</w:t>
            </w:r>
          </w:p>
        </w:tc>
      </w:tr>
      <w:tr w:rsidR="00A907A5" w:rsidRPr="00271E51" w14:paraId="22519879" w14:textId="77777777" w:rsidTr="00ED5B0A">
        <w:tc>
          <w:tcPr>
            <w:tcW w:w="1951" w:type="dxa"/>
          </w:tcPr>
          <w:p w14:paraId="35778D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Клиренс</w:t>
            </w:r>
          </w:p>
        </w:tc>
        <w:tc>
          <w:tcPr>
            <w:tcW w:w="1418" w:type="dxa"/>
          </w:tcPr>
          <w:p w14:paraId="46828E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9ABF7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500мм</w:t>
            </w:r>
          </w:p>
        </w:tc>
        <w:tc>
          <w:tcPr>
            <w:tcW w:w="1559" w:type="dxa"/>
          </w:tcPr>
          <w:p w14:paraId="7542E4D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500мм</w:t>
            </w:r>
          </w:p>
        </w:tc>
      </w:tr>
      <w:tr w:rsidR="00A907A5" w:rsidRPr="00271E51" w14:paraId="1E1E284E" w14:textId="77777777" w:rsidTr="00ED5B0A">
        <w:tc>
          <w:tcPr>
            <w:tcW w:w="1951" w:type="dxa"/>
          </w:tcPr>
          <w:p w14:paraId="2F530C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Ведущее колесо</w:t>
            </w:r>
          </w:p>
        </w:tc>
        <w:tc>
          <w:tcPr>
            <w:tcW w:w="1418" w:type="dxa"/>
          </w:tcPr>
          <w:p w14:paraId="200EEEC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559" w:type="dxa"/>
          </w:tcPr>
          <w:p w14:paraId="77EC41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559" w:type="dxa"/>
          </w:tcPr>
          <w:p w14:paraId="3D9BD3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r>
      <w:tr w:rsidR="00A907A5" w:rsidRPr="00271E51" w14:paraId="12722309" w14:textId="77777777" w:rsidTr="00ED5B0A">
        <w:tc>
          <w:tcPr>
            <w:tcW w:w="1951" w:type="dxa"/>
          </w:tcPr>
          <w:p w14:paraId="05FCFFD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МТО</w:t>
            </w:r>
          </w:p>
        </w:tc>
        <w:tc>
          <w:tcPr>
            <w:tcW w:w="1418" w:type="dxa"/>
          </w:tcPr>
          <w:p w14:paraId="55EED9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c>
          <w:tcPr>
            <w:tcW w:w="1559" w:type="dxa"/>
          </w:tcPr>
          <w:p w14:paraId="4722B3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c>
          <w:tcPr>
            <w:tcW w:w="1559" w:type="dxa"/>
          </w:tcPr>
          <w:p w14:paraId="195FFC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Посередине</w:t>
            </w:r>
          </w:p>
        </w:tc>
      </w:tr>
      <w:tr w:rsidR="00A907A5" w:rsidRPr="00271E51" w14:paraId="7ACF3C2B" w14:textId="77777777" w:rsidTr="00ED5B0A">
        <w:tc>
          <w:tcPr>
            <w:tcW w:w="1951" w:type="dxa"/>
          </w:tcPr>
          <w:p w14:paraId="3FB6CC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Боевое отделение </w:t>
            </w:r>
          </w:p>
        </w:tc>
        <w:tc>
          <w:tcPr>
            <w:tcW w:w="1418" w:type="dxa"/>
          </w:tcPr>
          <w:p w14:paraId="62D378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559" w:type="dxa"/>
          </w:tcPr>
          <w:p w14:paraId="65CE0FE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c>
          <w:tcPr>
            <w:tcW w:w="1559" w:type="dxa"/>
          </w:tcPr>
          <w:p w14:paraId="2D463E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Сзади</w:t>
            </w:r>
          </w:p>
        </w:tc>
      </w:tr>
      <w:tr w:rsidR="00A907A5" w:rsidRPr="00271E51" w14:paraId="03A0FAEE" w14:textId="77777777" w:rsidTr="00ED5B0A">
        <w:tc>
          <w:tcPr>
            <w:tcW w:w="1951" w:type="dxa"/>
          </w:tcPr>
          <w:p w14:paraId="7B4447C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Скорость макс. </w:t>
            </w:r>
          </w:p>
        </w:tc>
        <w:tc>
          <w:tcPr>
            <w:tcW w:w="1418" w:type="dxa"/>
          </w:tcPr>
          <w:p w14:paraId="0582E8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км/ч</w:t>
            </w:r>
          </w:p>
        </w:tc>
        <w:tc>
          <w:tcPr>
            <w:tcW w:w="1559" w:type="dxa"/>
          </w:tcPr>
          <w:p w14:paraId="0A0FE21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30-35 км/ч</w:t>
            </w:r>
          </w:p>
        </w:tc>
        <w:tc>
          <w:tcPr>
            <w:tcW w:w="1559" w:type="dxa"/>
          </w:tcPr>
          <w:p w14:paraId="1E60D3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30-35 км/ч</w:t>
            </w:r>
          </w:p>
        </w:tc>
      </w:tr>
      <w:tr w:rsidR="00A907A5" w:rsidRPr="00271E51" w14:paraId="50B7B4DB" w14:textId="77777777" w:rsidTr="00ED5B0A">
        <w:tc>
          <w:tcPr>
            <w:tcW w:w="1951" w:type="dxa"/>
            <w:tcBorders>
              <w:bottom w:val="single" w:sz="12" w:space="0" w:color="auto"/>
            </w:tcBorders>
          </w:tcPr>
          <w:p w14:paraId="51C7381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Запас хода макс. </w:t>
            </w:r>
          </w:p>
        </w:tc>
        <w:tc>
          <w:tcPr>
            <w:tcW w:w="1418" w:type="dxa"/>
            <w:tcBorders>
              <w:bottom w:val="single" w:sz="12" w:space="0" w:color="auto"/>
            </w:tcBorders>
          </w:tcPr>
          <w:p w14:paraId="62C02DC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км</w:t>
            </w:r>
          </w:p>
        </w:tc>
        <w:tc>
          <w:tcPr>
            <w:tcW w:w="1559" w:type="dxa"/>
            <w:tcBorders>
              <w:bottom w:val="single" w:sz="12" w:space="0" w:color="auto"/>
            </w:tcBorders>
          </w:tcPr>
          <w:p w14:paraId="01A876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10 часов</w:t>
            </w:r>
          </w:p>
        </w:tc>
        <w:tc>
          <w:tcPr>
            <w:tcW w:w="1559" w:type="dxa"/>
            <w:tcBorders>
              <w:bottom w:val="single" w:sz="12" w:space="0" w:color="auto"/>
            </w:tcBorders>
          </w:tcPr>
          <w:p w14:paraId="36D2D1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10 часов</w:t>
            </w:r>
          </w:p>
        </w:tc>
      </w:tr>
    </w:tbl>
    <w:p w14:paraId="32A21E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Предполагалось, что указанный «танкосамоход» станет вариантом глубокой модернизации танка ИС, которая бу</w:t>
      </w:r>
      <w:r w:rsidRPr="00271E51">
        <w:rPr>
          <w:rFonts w:ascii="Times New Roman" w:hAnsi="Times New Roman"/>
          <w:color w:val="000000" w:themeColor="text1"/>
          <w:sz w:val="16"/>
          <w:szCs w:val="16"/>
        </w:rPr>
        <w:softHyphen/>
        <w:t>дет завершена к маю 1944 г., причем танк должен был раз</w:t>
      </w:r>
      <w:r w:rsidRPr="00271E51">
        <w:rPr>
          <w:rFonts w:ascii="Times New Roman" w:hAnsi="Times New Roman"/>
          <w:color w:val="000000" w:themeColor="text1"/>
          <w:sz w:val="16"/>
          <w:szCs w:val="16"/>
        </w:rPr>
        <w:softHyphen/>
        <w:t>рабатываться силами КБ завода № 100 под общим руковод</w:t>
      </w:r>
      <w:r w:rsidRPr="00271E51">
        <w:rPr>
          <w:rFonts w:ascii="Times New Roman" w:hAnsi="Times New Roman"/>
          <w:color w:val="000000" w:themeColor="text1"/>
          <w:sz w:val="16"/>
          <w:szCs w:val="16"/>
        </w:rPr>
        <w:softHyphen/>
        <w:t>ством Ж.Я. Котина, а САУ - КБ УЗТМ под руководством Л.И. Горлицкого, но на базе, предложенной челябинцами, которые в срок не позднее 1 марта 1944 г. должны были пе</w:t>
      </w:r>
      <w:r w:rsidRPr="00271E51">
        <w:rPr>
          <w:rFonts w:ascii="Times New Roman" w:hAnsi="Times New Roman"/>
          <w:color w:val="000000" w:themeColor="text1"/>
          <w:sz w:val="16"/>
          <w:szCs w:val="16"/>
        </w:rPr>
        <w:softHyphen/>
        <w:t>редать в Свердловск чертежи танкосамохода, тогда как КБ завода № 172 и ЦАКБ должны были передать сюда же чер</w:t>
      </w:r>
      <w:r w:rsidRPr="00271E51">
        <w:rPr>
          <w:rFonts w:ascii="Times New Roman" w:hAnsi="Times New Roman"/>
          <w:color w:val="000000" w:themeColor="text1"/>
          <w:sz w:val="16"/>
          <w:szCs w:val="16"/>
        </w:rPr>
        <w:softHyphen/>
        <w:t>тежи и развернутые ТТХ на 122-мм, 130-мм и 152-мм пуш</w:t>
      </w:r>
      <w:r w:rsidRPr="00271E51">
        <w:rPr>
          <w:rFonts w:ascii="Times New Roman" w:hAnsi="Times New Roman"/>
          <w:color w:val="000000" w:themeColor="text1"/>
          <w:sz w:val="16"/>
          <w:szCs w:val="16"/>
        </w:rPr>
        <w:softHyphen/>
        <w:t>ки большой мощности. Но практически никто в указанный срок не отчитался в полной мере о проделанной работе.</w:t>
      </w:r>
    </w:p>
    <w:p w14:paraId="107753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100, занятый работами по совершенствованию конструкции ИС-2 и проектированием ИС-6, никак не мог уложиться в отведенные сроки. Имели большие проблемы и разработчики артиллерийских орудий. Лишь в апреле 1944 г. ОКБ завода № 172 передало в Челябинск 152-мм пушку большой мощности, получившую индекс БЛ-8 (до апреля 1944 г. имела индекс ОБМ-43), которая должна бы</w:t>
      </w:r>
      <w:r w:rsidRPr="00271E51">
        <w:rPr>
          <w:rFonts w:ascii="Times New Roman" w:hAnsi="Times New Roman"/>
          <w:color w:val="000000" w:themeColor="text1"/>
          <w:sz w:val="16"/>
          <w:szCs w:val="16"/>
        </w:rPr>
        <w:softHyphen/>
        <w:t>ла пробить шкуру «мамонта» на расстоянии 500—1000 м.</w:t>
      </w:r>
    </w:p>
    <w:p w14:paraId="4CD415F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своей конструкции 152-мм пушка БЛ-8 была разви</w:t>
      </w:r>
      <w:r w:rsidRPr="00271E51">
        <w:rPr>
          <w:rFonts w:ascii="Times New Roman" w:hAnsi="Times New Roman"/>
          <w:color w:val="000000" w:themeColor="text1"/>
          <w:sz w:val="16"/>
          <w:szCs w:val="16"/>
        </w:rPr>
        <w:softHyphen/>
        <w:t>тием дальнобойной буксируемой пушки БЛ-7 (имевшей баллистику 152-мм орудия Бр-2). Она имела поршневой за</w:t>
      </w:r>
      <w:r w:rsidRPr="00271E51">
        <w:rPr>
          <w:rFonts w:ascii="Times New Roman" w:hAnsi="Times New Roman"/>
          <w:color w:val="000000" w:themeColor="text1"/>
          <w:sz w:val="16"/>
          <w:szCs w:val="16"/>
        </w:rPr>
        <w:softHyphen/>
        <w:t>твор, механизированный спуск и механизм принудитель</w:t>
      </w:r>
      <w:r w:rsidRPr="00271E51">
        <w:rPr>
          <w:rFonts w:ascii="Times New Roman" w:hAnsi="Times New Roman"/>
          <w:color w:val="000000" w:themeColor="text1"/>
          <w:sz w:val="16"/>
          <w:szCs w:val="16"/>
        </w:rPr>
        <w:softHyphen/>
        <w:t>ной продувки канала ствола.</w:t>
      </w:r>
    </w:p>
    <w:p w14:paraId="7F5C315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проверки функционирования БЛ-8 она была смон</w:t>
      </w:r>
      <w:r w:rsidRPr="00271E51">
        <w:rPr>
          <w:rFonts w:ascii="Times New Roman" w:hAnsi="Times New Roman"/>
          <w:color w:val="000000" w:themeColor="text1"/>
          <w:sz w:val="16"/>
          <w:szCs w:val="16"/>
        </w:rPr>
        <w:softHyphen/>
        <w:t>тирована в боевом отделении ИСУ-152 и в таком виде, по</w:t>
      </w:r>
      <w:r w:rsidRPr="00271E51">
        <w:rPr>
          <w:rFonts w:ascii="Times New Roman" w:hAnsi="Times New Roman"/>
          <w:color w:val="000000" w:themeColor="text1"/>
          <w:sz w:val="16"/>
          <w:szCs w:val="16"/>
        </w:rPr>
        <w:softHyphen/>
        <w:t>лучив условный индекс И СУ-152-1 (заводской индекс «Объект 246»), в апреле поступила на испытания на Гороховецкий полигон.</w:t>
      </w:r>
    </w:p>
    <w:p w14:paraId="0EDE04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 ходе проведенных испытаний пушка БЛ-8 по</w:t>
      </w:r>
      <w:r w:rsidRPr="00271E51">
        <w:rPr>
          <w:rFonts w:ascii="Times New Roman" w:hAnsi="Times New Roman"/>
          <w:color w:val="000000" w:themeColor="text1"/>
          <w:sz w:val="16"/>
          <w:szCs w:val="16"/>
        </w:rPr>
        <w:softHyphen/>
        <w:t>казала неудовлетворительные результаты, во-первых, из-за поведения снаряда в воздухе (неустойчивый полет по при</w:t>
      </w:r>
      <w:r w:rsidRPr="00271E51">
        <w:rPr>
          <w:rFonts w:ascii="Times New Roman" w:hAnsi="Times New Roman"/>
          <w:color w:val="000000" w:themeColor="text1"/>
          <w:sz w:val="16"/>
          <w:szCs w:val="16"/>
        </w:rPr>
        <w:softHyphen/>
        <w:t>чине неправильной крутизны нарезки ствола), ненадежной работы дульного тормоза, отказов системы продувки кана</w:t>
      </w:r>
      <w:r w:rsidRPr="00271E51">
        <w:rPr>
          <w:rFonts w:ascii="Times New Roman" w:hAnsi="Times New Roman"/>
          <w:color w:val="000000" w:themeColor="text1"/>
          <w:sz w:val="16"/>
          <w:szCs w:val="16"/>
        </w:rPr>
        <w:softHyphen/>
        <w:t>ла ствола, отказов поршневого затвора и крайнего неудоб</w:t>
      </w:r>
      <w:r w:rsidRPr="00271E51">
        <w:rPr>
          <w:rFonts w:ascii="Times New Roman" w:hAnsi="Times New Roman"/>
          <w:color w:val="000000" w:themeColor="text1"/>
          <w:sz w:val="16"/>
          <w:szCs w:val="16"/>
        </w:rPr>
        <w:softHyphen/>
        <w:t>ства и большой утомляемости работы расчета.</w:t>
      </w:r>
    </w:p>
    <w:p w14:paraId="7651A6A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Нетрудно догадаться, что большой вылет ствола огра</w:t>
      </w:r>
      <w:r w:rsidRPr="00271E51">
        <w:rPr>
          <w:rFonts w:ascii="Times New Roman" w:hAnsi="Times New Roman"/>
          <w:color w:val="000000" w:themeColor="text1"/>
          <w:sz w:val="16"/>
          <w:szCs w:val="16"/>
        </w:rPr>
        <w:softHyphen/>
        <w:t>ничивал, кроме того, проходимость и маневренность ма</w:t>
      </w:r>
      <w:r w:rsidRPr="00271E51">
        <w:rPr>
          <w:rFonts w:ascii="Times New Roman" w:hAnsi="Times New Roman"/>
          <w:color w:val="000000" w:themeColor="text1"/>
          <w:sz w:val="16"/>
          <w:szCs w:val="16"/>
        </w:rPr>
        <w:softHyphen/>
        <w:t>шины на местности. При преодолении препятствий случа</w:t>
      </w:r>
      <w:r w:rsidRPr="00271E51">
        <w:rPr>
          <w:rFonts w:ascii="Times New Roman" w:hAnsi="Times New Roman"/>
          <w:color w:val="000000" w:themeColor="text1"/>
          <w:sz w:val="16"/>
          <w:szCs w:val="16"/>
        </w:rPr>
        <w:softHyphen/>
        <w:t>лись утыкания ствола орудия в землю. ИСУ-152-1 была возвращена на завод для устранения отмеченных недостат</w:t>
      </w:r>
      <w:r w:rsidRPr="00271E51">
        <w:rPr>
          <w:rFonts w:ascii="Times New Roman" w:hAnsi="Times New Roman"/>
          <w:color w:val="000000" w:themeColor="text1"/>
          <w:sz w:val="16"/>
          <w:szCs w:val="16"/>
        </w:rPr>
        <w:softHyphen/>
        <w:t>ков и введения изменений в конструкцию, которые были сравнимы с созданием новой машины. Век ИСУ-152-1, равно как и БЛ-8, окончился (11417).</w:t>
      </w:r>
    </w:p>
    <w:p w14:paraId="357248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4AB0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г. филиал завода «Коммунист» (Завод № 45 НКТП, НКРП, Завод «Шефер и К</w:t>
      </w:r>
      <w:r w:rsidRPr="00271E51">
        <w:rPr>
          <w:rFonts w:ascii="Times New Roman" w:hAnsi="Times New Roman"/>
          <w:color w:val="000000" w:themeColor="text1"/>
          <w:sz w:val="16"/>
          <w:szCs w:val="16"/>
          <w:vertAlign w:val="superscript"/>
        </w:rPr>
        <w:t>0</w:t>
      </w:r>
      <w:r w:rsidRPr="00271E51">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  г. Марксштадт/ /413090  г. Маркс Саратовской обл. 4-я линия, 2/) в  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5860B0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1066C8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5238B0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63C6DA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5EB4BE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завод преобразован в ОАО «Волгодизельаппарат».</w:t>
      </w:r>
    </w:p>
    <w:p w14:paraId="56FD8A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57B41B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(1895 г.)- 99 чел., (1896 г.)- 125 чел., (1898 г.)- 156 чел.</w:t>
      </w:r>
    </w:p>
    <w:p w14:paraId="338105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(-2003-05 г.-)- В.В. Покровский.</w:t>
      </w:r>
    </w:p>
    <w:p w14:paraId="77AE4B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74832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CEC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г. филиал завода № 45 в г. Энгельсе (4 сентября 1920 г. года в Покровске была основана ремонтно-механическая мастерская по ремонту сельхозинвентаря, в 1931 г. мастерская реорганизована в Чугуно-литейный завод, а с 15.08.1933 г. - в Ремонтно-механический завод (Завод № 138 НКТП, Энгельсовский машиностроительный завод, Энгельсовский завод топливных фильтров, ЗАО «Завод топливных фильтров» /г. Покровск,  г. Энгельс Саратовской обл./ /413100  г. Энгельс Саратовской обл. ул. Демократическая, 1/). Заводу были переданы мастерские авторечтранспорта по ул. Демократической, 1. В 02.1942 г. завод был присоединен на правах филиала к заводу «Коммунист» НКТМ ( г. Маркс). В 05.1943 г. завод «Коммунист» с филиалом был передан в ведение НКТП и получил литерный № 45.) выделен в самостоятельный завод № 138. 14.01.1943  г. горисполком для расширения завода выделил земельный участок по ул. Республики.</w:t>
      </w:r>
    </w:p>
    <w:p w14:paraId="3BA0FE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годы войны работа на заводе шла круглосуточно, без выходных. Был освоен выпуск стволов и казенников для минометов П-125, в 1943  г. освоено производство 76-ми снарядов. В этом же году ему переданы помещения реэвакуированного ремонтно-тракторного завода № 83 и оборудование снарядного производства завода № </w:t>
      </w:r>
      <w:r w:rsidRPr="00271E51">
        <w:rPr>
          <w:rFonts w:ascii="Times New Roman" w:hAnsi="Times New Roman"/>
          <w:color w:val="000000" w:themeColor="text1"/>
          <w:sz w:val="16"/>
          <w:szCs w:val="16"/>
        </w:rPr>
        <w:lastRenderedPageBreak/>
        <w:t>45. За 1944 г. Было выпущено 144850 снарядов.</w:t>
      </w:r>
    </w:p>
    <w:p w14:paraId="2A4F15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прикачу НКТМ от 13.02.1945  г. завод № 138 переименован в Эгельсовский машиностроительный завод. В 03.1970  г. переименован в Энгельсовский завод топливных фильтров, далее- ЗАО «Завод топливных фильтров».</w:t>
      </w:r>
    </w:p>
    <w:p w14:paraId="370A6C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(2007 г.)- В. Н. Солдаткин (11982).</w:t>
      </w:r>
    </w:p>
    <w:p w14:paraId="25EED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19D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вышло Постановление ГКО № 4556 О плане лесозаготовок в осенне-зимний сезон 1943/44 гг.РГАНИР, Фонд ГКО, д. 174, лл. 67-83, 84-233 (11012).</w:t>
      </w:r>
    </w:p>
    <w:p w14:paraId="2875F3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6CA9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вышло Постановление ГКО № 4557 О приведении в проезжее состояние Клухорского перевала автомобильной дороги Сухуми-Теберда. (7156, 234-237).</w:t>
      </w:r>
    </w:p>
    <w:p w14:paraId="2F971AD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EC5F2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вышло Постановление ГКО № 4558 О предоставлении отсрочек от призыва по мобилизации ИТР и рабочим завода № 28 Главкислорода. (7156, 238).</w:t>
      </w:r>
    </w:p>
    <w:p w14:paraId="510A25F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053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Флоту переданы две бензоналивные баржи, построенные в корпусах МТ-1 на Балтийском заводе (10671).</w:t>
      </w:r>
    </w:p>
    <w:p w14:paraId="43638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BA73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8B75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E2F43"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13 ноября </w:t>
      </w:r>
      <w:r w:rsidRPr="00271E51">
        <w:rPr>
          <w:rFonts w:ascii="Times New Roman" w:hAnsi="Times New Roman"/>
          <w:color w:val="000000" w:themeColor="text1"/>
          <w:sz w:val="16"/>
          <w:szCs w:val="16"/>
        </w:rPr>
        <w:t>в 1943 году оперативная сводка Совинформбюро:</w:t>
      </w:r>
    </w:p>
    <w:p w14:paraId="52D7E6D8"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в результате стремительного наступления, в ночь на 13 ноября овладели областным центром Украины — городом и крупным железнодорожным узлом Житомир. В течение 13 ноября войска фронта овладели районными центрами Житомирской области городом и железнодорожной станцией Малин, городом Черняхов, Потиевка и районным центром Киевской области Розважев, а также заняли более 100 других населённых пунктов, среди которых крупные населённые пункты Фёдоровка, Раденка, Королевка, Волчков, Залишаны, Сидоровичи, Олизаровка, Боровск, Рутвенка, Новые Воробьи, Селище, Яновка, Будиловка, Жадьки, Горбулев, Выдыбор, Стырты, Девочки, Высоко-Украинское, Троковичи, Вересы. В районе Фастова войска фронта продолжали отбивать контратаки пехоты и танков противника.</w:t>
      </w:r>
    </w:p>
    <w:p w14:paraId="3FBFCD93"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преодолевая сопротивление и контратаки противника, продолжали вести бои по расширению плацдармов в прежних районах.</w:t>
      </w:r>
    </w:p>
    <w:p w14:paraId="3C3E69D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Речица наши войска вели бои по расширению плацдарма на правом берегуДнепра и овладели сильно укреплёнными опорными пунктами противника Холмечь,Дворец, Краснополье, Артуки, Вознесенск, Казановка, Грушовка, Иванкова, Грохово, Старая и Новая Ольшёвка, Домамерки.</w:t>
      </w:r>
    </w:p>
    <w:p w14:paraId="416EB34C"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EE136D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ноября наши войска на всех фронтах подбили и уничтожили 111 немецких танков. В воздушных боях и огнём зенитной артиллерии сбито 33 самолёта противника.</w:t>
      </w:r>
    </w:p>
    <w:p w14:paraId="310098FD"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стремительным ударом овладели городом Житомир.Части Н-ского кавалерийского соединения, быстро продвигаясь вперёд, вышли на подступы к Житомиру. Не давая врагу опомниться, советские бойцы обошли город с запада, востока и юга. Действия конницы были поддержаны пехотными, танковыми и артиллерийскими частями Красной Армии. Завязались ожесточённые уличные бои, длившиеся до позднего вечера. В ночь на 13 ноября советские войска разгромили противника и полностью овладели областным центром Украины и крупным железнодорожным узлом — городом Житомир. В Житомире захвачены крупные склады с боеприпасами, продовольствием и военным имуществом, много артиллерии, автомашини другие трофеи.</w:t>
      </w:r>
    </w:p>
    <w:p w14:paraId="7EF9EA1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продолжая наступление, овладели городами Малин и Черняхов, районным центром Потиевка, районным центром Розважев, а также заняли более 100 других населённых пунктов. Противник понёс огромные потери в живой силе итехнике. Только в одном населённом пункте наши бойцы захватили 30 орудий иминомётов, 106 пулемётов, свыше 1.000 винтовок и автоматов, 128 автомашин и 3 склада с военными материалами. Взяты пленные. В районе Фастова наши войска отбивали контратаки танков и пехоты противника. Бойцы Н-ской части, отбросив наступавших немцев, сожгли и подбили 17 танков и истребили до 800 гитлеровцев. На другом участке артиллеристы и бронебойщики уничтожили 26 немецких танков, 80 автомашин с горючим, рассеяли и частью истребили до полка пехоты противника.</w:t>
      </w:r>
    </w:p>
    <w:p w14:paraId="549564F1"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уничтожили большое число танков и автомашин с пехотой и грузами противника.</w:t>
      </w:r>
    </w:p>
    <w:p w14:paraId="024E589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плацдармов.Северо-восточнее города Керчь советские части отбили несколько контратак противника. На поле боя осталось свыше 600 вражеских трупов. На других участках противник подтянул значительное количество пехоты и оказывал упорное сопротивление. Южнее города Керчь происходили действия разведчиков и артиллерийская перестрелка.</w:t>
      </w:r>
    </w:p>
    <w:p w14:paraId="12A8F63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воздушных боях в течение дня сбили 18 немецких самолётов.</w:t>
      </w:r>
    </w:p>
    <w:p w14:paraId="76FB5F2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 правом берегу Днепра, наши части, преодолевая сопротивление противника, продвинулись вперёд и заняли несколько сильно укреплённых опорных пунктов. Немцы много раз пытались восстановить прежнее положение, но были отброшены с большими для них потерями.</w:t>
      </w:r>
    </w:p>
    <w:p w14:paraId="247E0F3F"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истребили до 2.000 солдат и офицеров противника, подбили и сожгли 27 танков, 6 бронемашин и несколько самоходных орудий. Захвачено у немцев 7 танков, 20 полевых и 3 зенитных орудия, 80 пулемётов, 2 склада с боеприпасамии 2 склада с продовольствием. Взято значительное количество пленных.</w:t>
      </w:r>
    </w:p>
    <w:p w14:paraId="131BA0A8"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партизан, действующая в одном из районов Житомирской области, пустила под откос два немецких воинских эшелона, следовавших к линии фронта, и три восстановительных поезда. В результате крушений разбиты 5 паровозов и 52 вагона. Партизанская разведка установила, что из-под обломков вагонов немцами было извлечено до 400 убитых и раненых солдат и офицеров.</w:t>
      </w:r>
    </w:p>
    <w:p w14:paraId="25EF0C6C"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города Дорогобуж, Смоленской области, составили акт о зверствах немецко-фашистских захватчиков. В акте говорится: «Гитлеровские бандиты полностью разрушили старинный русский город Дорогобуж и опустошили его.Несколько тысяч человек немецкие палачи убили, большое количество жителей погибло от голода и эпидемий. Часть населения немцы угнали на каторгу в Германию.</w:t>
      </w:r>
    </w:p>
    <w:p w14:paraId="5EBC5856"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Дорогобуже орудовал специальный отряд немецких карателей под названием«Яг-команда». Только в сентябре и октябре прошлого года гитлеровские палачи замучили в концентрационном лагере свыше 700 мирных жителей. Чудовищную расправу учинили немецкие злодеи над инвалидами, проживавшими в Дорогобужском доме инвалидов. Гитлеровцы объявили инвалидам, что перевозят их в Смоленск, погрузили 70 человек в машину, повезли к противотанковому рву и там их расстреляли.</w:t>
      </w:r>
    </w:p>
    <w:p w14:paraId="7A95B18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освобождения Дорогобужа от немецких захватчиков были произведены раскопки противотанкового рва, что за Днепром, в двух километрах севернее города. Только в одном рву обнаружено 3 тысячи трупов мужчин, женщин и детей. Массовые могилы жертв фашистского террора обнаружены также возле городского кладбища, у больницы и во дворах многих домов.</w:t>
      </w:r>
    </w:p>
    <w:p w14:paraId="5BC99E61"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варвары полностью уничтожили город. Из двух тысяч домов уцелело только 64 жилых дома. Гитлеровцы разрушили и сожгли учительский институт, 18 школ со всем оборудованием и учебными кабинетами, больничный городок, все детские учреждения, библиотеку, кинотеатр, музей и все исторические памятники. Разграблены ценнейшие экспонаты местного музея: картины великих русских художников, старинная церковная утварь, в том числе икона в позолоченной раме с жемчужинами, редчайшая библиотека и другие памятники старины.</w:t>
      </w:r>
    </w:p>
    <w:p w14:paraId="60CDCA93"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Немцы полностью разрушили электростанцию, маслозавод, льнозавод, мясокомбинат, лесозавод, мельницы и другие предприятия. Гитлеровцы сожгли Никольско-кладбищенскую и другие церкви, разрушили Петропавловскую церковь и взорвали Дорогобужский собор.</w:t>
      </w:r>
    </w:p>
    <w:p w14:paraId="51E1535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Виновниками всех этих преступлений, совершённых немцами в городе Дорогобуже и Дорогобужском районе, мы считаем командира 337 немецкой пехотной дивизии генерал-лейтенанта Шонемана, командира 688 немецкого пехотного полка полковника Ульриха, по приказаниям которых производились кровавые расправы над мирным населением, начальника немецкой шайки карателей «Яг-команды» капитана Бишлера, офицера Циммермана, обер-лейтенанта Оскара Ислера, офицера Губерта, лейтенанта Гендендорфа, унтер-офицера Авера и немца Виппера. Все поименованные фашистские изверги должны понести тягчайшее наказание за свои злодеяния».</w:t>
      </w:r>
    </w:p>
    <w:p w14:paraId="4C47776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305 жителей города Дорогобуж.» (14829).</w:t>
      </w:r>
    </w:p>
    <w:p w14:paraId="6CBC0D0B"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054D576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1943 советские войска освободили от фашистов Житомир (4962).</w:t>
      </w:r>
    </w:p>
    <w:p w14:paraId="031F06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51CE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13 ноября по 22 декабря 1943 была Киевская оборонительная операция СА с целью отражения наступления 15 дивизий и 4 ТА (2438,313). 1УФ (Н.Ф.Ватутин) в районе Коростеня, Житомира, Фастово (3398,395).</w:t>
      </w:r>
    </w:p>
    <w:p w14:paraId="555EC4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175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13 ноября 1943 во время боев за Киев немецкий гауптштурмфюрер СС танкист Виттман на Тигре один за один день уничтожил 20 Т-34 (2118).</w:t>
      </w:r>
    </w:p>
    <w:p w14:paraId="6018AC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2F381" w14:textId="77777777" w:rsidR="008668D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F6467FD" w14:textId="77777777" w:rsidR="008668D9" w:rsidRPr="00271E51" w:rsidRDefault="008668D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F643BB" w14:textId="77777777" w:rsidR="008668D9" w:rsidRPr="00271E51" w:rsidRDefault="008668D9" w:rsidP="00271E51">
      <w:pPr>
        <w:spacing w:after="0" w:line="240" w:lineRule="auto"/>
        <w:jc w:val="both"/>
        <w:rPr>
          <w:rFonts w:ascii="Times New Roman" w:hAnsi="Times New Roman"/>
          <w:color w:val="000000" w:themeColor="text1"/>
          <w:sz w:val="16"/>
          <w:szCs w:val="16"/>
          <w:lang w:eastAsia="ru-RU"/>
        </w:rPr>
      </w:pPr>
      <w:r w:rsidRPr="00271E51">
        <w:rPr>
          <w:rFonts w:ascii="Times New Roman" w:hAnsi="Times New Roman"/>
          <w:color w:val="000000" w:themeColor="text1"/>
          <w:sz w:val="16"/>
          <w:szCs w:val="16"/>
        </w:rPr>
        <w:t>15 ноября 1943 г. Указом Президиума Верховного Совета СССР “Об ответственности за разглашение государственной тайны и за утрату документов, содержащих государственную тайну” устранил пробел Особенной части Уголовного кодекса, заключавшийся в том, что в нем не была предусмотрена ответственность за так называемый “неосторожный шпионаж”, то есть за неосторожное разглашение государственной тайны гражданскими лицами. Указ предусмотрел два состава преступления: 1) разглашение должностными лицами сведений, составляющих государственную тайну, а равно утрату документов, содержащих такие сведения (лишение свободы на срок от пяти до десяти лет), и 2) разглашение частными лицами сведений, заведомо являющихся государственной тайной (лишение свободы на срок до трех лет). Указ не характеризовал субъективную сторону преступления, вина могла быть как умышленной, так и неосторожной (17460).</w:t>
      </w:r>
    </w:p>
    <w:p w14:paraId="67912935" w14:textId="77777777" w:rsidR="008668D9" w:rsidRPr="00271E51" w:rsidRDefault="008668D9" w:rsidP="00271E51">
      <w:pPr>
        <w:spacing w:after="0" w:line="240" w:lineRule="auto"/>
        <w:jc w:val="both"/>
        <w:rPr>
          <w:rFonts w:ascii="Times New Roman" w:hAnsi="Times New Roman"/>
          <w:color w:val="000000" w:themeColor="text1"/>
          <w:sz w:val="16"/>
          <w:szCs w:val="16"/>
        </w:rPr>
      </w:pPr>
    </w:p>
    <w:p w14:paraId="46E6D30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2039DE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F94812E" w14:textId="77777777" w:rsidR="00B23CFC" w:rsidRPr="00271E51" w:rsidRDefault="00B23CF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13 ноября </w:t>
      </w:r>
      <w:r w:rsidRPr="00271E51">
        <w:rPr>
          <w:rFonts w:ascii="Times New Roman" w:hAnsi="Times New Roman"/>
          <w:color w:val="000000" w:themeColor="text1"/>
          <w:sz w:val="16"/>
          <w:szCs w:val="16"/>
        </w:rPr>
        <w:t>в 1943 году первый полет самолета «Глостер» «F.9/40» с двумя двигателями «F.2» с тягой 820 кг (14829).</w:t>
      </w:r>
    </w:p>
    <w:p w14:paraId="3F2C921C" w14:textId="77777777" w:rsidR="00B23CFC" w:rsidRPr="00271E51" w:rsidRDefault="00B23CFC" w:rsidP="00271E51">
      <w:pPr>
        <w:spacing w:after="0" w:line="240" w:lineRule="auto"/>
        <w:jc w:val="both"/>
        <w:rPr>
          <w:rFonts w:ascii="Times New Roman" w:hAnsi="Times New Roman"/>
          <w:color w:val="000000" w:themeColor="text1"/>
          <w:sz w:val="16"/>
          <w:szCs w:val="16"/>
        </w:rPr>
      </w:pPr>
    </w:p>
    <w:p w14:paraId="670B48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13, 1943: German forces occupy several islands along the east coast of the Adriatic (3819).</w:t>
      </w:r>
    </w:p>
    <w:p w14:paraId="36F36A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34BC4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ноября 1843 германские войска оккупировали несколько островов на восточном побереж</w:t>
      </w:r>
      <w:r w:rsidR="004F5E15" w:rsidRPr="00271E51">
        <w:rPr>
          <w:rFonts w:ascii="Times New Roman" w:hAnsi="Times New Roman"/>
          <w:color w:val="000000" w:themeColor="text1"/>
          <w:sz w:val="16"/>
          <w:szCs w:val="16"/>
        </w:rPr>
        <w:t>ье А</w:t>
      </w:r>
      <w:r w:rsidRPr="00271E51">
        <w:rPr>
          <w:rFonts w:ascii="Times New Roman" w:hAnsi="Times New Roman"/>
          <w:color w:val="000000" w:themeColor="text1"/>
          <w:sz w:val="16"/>
          <w:szCs w:val="16"/>
        </w:rPr>
        <w:t>дриатики (3819).</w:t>
      </w:r>
    </w:p>
    <w:p w14:paraId="7CB465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BC539"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 ноября 1943 с удара 17 B-24 Liberators по японским войскам на острове Бетио на атолле Тарава начались подготовительные бомбардировки для высадки морских десантов на островах Гилберта начинаются. В течение следующей недели B-24 ежедневно совершали налеты на Бетио, Бутаритари или оба, Мили по четыре раза, а на Джалуит и Малоэлап по два раза каждый, уничтожая несколько японских самолетов. Японские самолеты наносят удары по Нанумеа и Фунафути по одному разу, уничтожив один B-24 и повредив два (20376).</w:t>
      </w:r>
    </w:p>
    <w:p w14:paraId="54C9DDDE" w14:textId="77777777" w:rsidR="00B23CFC" w:rsidRPr="00271E51" w:rsidRDefault="00B23CFC" w:rsidP="00271E51">
      <w:pPr>
        <w:spacing w:after="0" w:line="240" w:lineRule="auto"/>
        <w:jc w:val="both"/>
        <w:rPr>
          <w:rFonts w:ascii="Times New Roman" w:hAnsi="Times New Roman"/>
          <w:color w:val="0070C0"/>
          <w:sz w:val="16"/>
          <w:szCs w:val="16"/>
        </w:rPr>
      </w:pPr>
    </w:p>
    <w:p w14:paraId="2328F12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13 ноября </w:t>
      </w:r>
      <w:r w:rsidRPr="00271E51">
        <w:rPr>
          <w:rFonts w:ascii="Times New Roman" w:hAnsi="Times New Roman"/>
          <w:color w:val="000000" w:themeColor="text1"/>
          <w:sz w:val="16"/>
          <w:szCs w:val="16"/>
        </w:rPr>
        <w:t>в 1943 году английские войска эвакуировались с Самоса (14829).</w:t>
      </w:r>
    </w:p>
    <w:p w14:paraId="74B92FD3"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7F6CA1BE"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585EC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0A43CB"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с 14 по 19 ноября 1943 г. испытания опытного образца пушки С-54, установленной в танке Т-34, были проведены на Гороховецком артиллерийском научно-испытательном опытном полигоне (ГАНИОП) ГАУ КА В заключительной части протокола, составленного по итогам испытаний 24 ноября 1943 г., было записано:</w:t>
      </w:r>
    </w:p>
    <w:p w14:paraId="2DD78AE7"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«Учитывая требования Армии в необходимости срочного перевооружения танков "Т-34" более мощной пушкой, комиссия считает необходимым рекомендовать пушку "С-54" для вооружения танков "Т-34", с перевооружением, в кратчайший срок, всего парка танков "Т-34" Красной Армии».</w:t>
      </w:r>
    </w:p>
    <w:p w14:paraId="40F896AF" w14:textId="77777777" w:rsidR="00B23CFC" w:rsidRPr="00271E51" w:rsidRDefault="00B23CFC"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1427. Л. 1] (21209).</w:t>
      </w:r>
    </w:p>
    <w:p w14:paraId="1BB99E74" w14:textId="77777777" w:rsidR="00B23CFC" w:rsidRPr="00271E51" w:rsidRDefault="00B23CFC" w:rsidP="00271E51">
      <w:pPr>
        <w:spacing w:after="0" w:line="240" w:lineRule="auto"/>
        <w:jc w:val="both"/>
        <w:rPr>
          <w:rFonts w:ascii="Times New Roman" w:hAnsi="Times New Roman"/>
          <w:color w:val="0070C0"/>
          <w:sz w:val="16"/>
          <w:szCs w:val="16"/>
        </w:rPr>
      </w:pPr>
    </w:p>
    <w:p w14:paraId="3B008AAD" w14:textId="77777777" w:rsidR="00B23CFC" w:rsidRPr="00271E51" w:rsidRDefault="00B23CFC"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14 ноября 1943 года и закончились 19 числа того же месяца испытания на Гороховецком АНИОП С-54. Поскольку боеприпасы 3-К отличались от Ф-34, боеукладки пришлось переделать. Боекомплект снизился до 68 патронов, из них 7 разместили в кормовой нише башни, еще 9 в боковых гнездах, а оставшиеся патроны уложили в ящики на полу боевого отделения.</w:t>
      </w:r>
    </w:p>
    <w:p w14:paraId="1ED4F414" w14:textId="77777777" w:rsidR="00B23CFC" w:rsidRPr="00271E51" w:rsidRDefault="00B23CFC"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Всего за время испытаний было произведено 610 выстрелов, из них 324 на усиленном заряде. Помимо бронебойных и осколочно-фугасных снарядов, С-54 получила и подкалиберные снаряды. И вот тут результаты стрельбы отличались от обстрела "Тигра". При стрельбе бронебойным снарядом удалось поразить плиту толщиной 75 мм, установленную под углом 30 градусов от вертикали и находившуюся на дистанции 800 метров. Броня гомогенная, высокой твердости. В упор удалось пробить ту же плиту, но уже толщиной 90 мм. Более впечатляющими оказались результаты стрельбы подкалиберным снарядом. На дистанции 300 метров удалось пробить составную плиту (100 мм цементированную + 40 мм гомогенную), установленную под углом 0 градусов от вертикали. С 80 метров подкалиберный снаряд пробил плиту 100+60 мм, также цементированная броня + гомогенная. При установке плиты под углом 30 градусов с дистанции 800 метров удалось пробить составную броню общей толщиной 110 мм.</w:t>
      </w:r>
    </w:p>
    <w:p w14:paraId="6AA465F3" w14:textId="77777777" w:rsidR="00B23CFC" w:rsidRPr="00271E51" w:rsidRDefault="00B23CFC"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Естественно, из одних достоинств С-54 не состояла. В виду того, что унитары 3-К были длиннее, удобство заряжания снизилось. Имелись претензии к механизмам наводки как орудия, так и башни. Также возникли претензии к гильзоулавливателю, загазованность боевого отделения при стрельбе выросла. Имелись претензии и по уравновешиванию системы. Вместе с тем, комиссия рекомендовала принять С-54 на вооружение. Аргументы были очевидными: орудие могло использоваться в штатной башне Т-34, при этом на С-54 имелась возможность перевооружать и ранее выпущенные танки. Именно это, во время ремонта, и предлагала делать комиссия. Также комиссия предлагала дополнительно проработать вопрос создания аналогичного орудия для замены систем ЗИС-5 в КВ-1 и КВ-1с (22229).</w:t>
      </w:r>
    </w:p>
    <w:p w14:paraId="3FE80E71" w14:textId="77777777" w:rsidR="00B23CFC" w:rsidRPr="00271E51" w:rsidRDefault="00B23CFC" w:rsidP="00271E51">
      <w:pPr>
        <w:spacing w:after="0" w:line="240" w:lineRule="auto"/>
        <w:jc w:val="both"/>
        <w:rPr>
          <w:rFonts w:ascii="Times New Roman" w:hAnsi="Times New Roman"/>
          <w:color w:val="0070C0"/>
          <w:sz w:val="16"/>
          <w:szCs w:val="16"/>
        </w:rPr>
      </w:pPr>
    </w:p>
    <w:p w14:paraId="7DBCF26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4559 [О мобилизации 2 тыс. военнообязанных, не годных к службе в КА, в Воронежской обл. на восстановление местных промышленных предприятий.] (7157, 1).</w:t>
      </w:r>
    </w:p>
    <w:p w14:paraId="54AC512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2293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4560 [Об освобождении от призыва в КА ИТР и рабочих 1926 года рождения НИИ № 3 при СНК СССР.] (7157, 2).</w:t>
      </w:r>
    </w:p>
    <w:p w14:paraId="5AE34F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79A0B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4561 [О поставках электромоторов Главному управлению гидролизной промышленности.] (7157, 3,4-5).</w:t>
      </w:r>
    </w:p>
    <w:p w14:paraId="1E17C1F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8AB4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4563 [О ликвидации опытно-конструкторского бюро по аэросанному производству при HКРФ и передаче проектирования и производства саней в HКлес.] (7157, 8).</w:t>
      </w:r>
    </w:p>
    <w:p w14:paraId="00504D8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B733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4564 [О мерах по обеспечению производства никеля и силумина для нужд авиационной и танковой промышленности.] Д.175, 9-10).</w:t>
      </w:r>
    </w:p>
    <w:p w14:paraId="693EB9E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6F97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4562 Об уменьшении потребления натурального каучука в производстве резиновых изделий в IV кв. 1943 г.РГАНИР, Фонд ГКО, д. 175, лл. 6-7 (11012).</w:t>
      </w:r>
    </w:p>
    <w:p w14:paraId="22228A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168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4565. О поставках 50 автомобильных моторов НКВМФ для десантных средств.РГАНИР, Фонд ГКО, д. 175, лл. 11 (11012).</w:t>
      </w:r>
    </w:p>
    <w:p w14:paraId="76A347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15A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4566. Об обеспечении металлической стружкой Кузнецкого металлургического комбината в ноябре и декабре 1943 года.РГАНИР, Фонд ГКО, д. 175, лл. 12-13 (11012).</w:t>
      </w:r>
    </w:p>
    <w:p w14:paraId="5C0C7D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7CB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4567. О восстановлении производства фитингов из ковкого чугуна с I кв. 1944 г. на Семеновском чугунолитейном заводе Наркомхоза РСФСР, освободив его от производства ручных гранат Ф-1.РГАНИР, Фонд ГКО, д. 175, лл. 14, 15 (11012).</w:t>
      </w:r>
    </w:p>
    <w:p w14:paraId="1FC329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6A61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4568 Об обеспечении Наркомвоенморфлота средствами корабельной радиосвязи. (7157, 16-19).</w:t>
      </w:r>
    </w:p>
    <w:p w14:paraId="6EBF72C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A46BF4"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г. вышло постановление ГКО СССР № 4568сс «Об обеспечении Наркомвоенморфлота средствами корабельной радиосвязи». Документ определил целому ряду предприятий НКЭП задачу на разработку конкретных образцов корабельных радиостанций.</w:t>
      </w:r>
    </w:p>
    <w:p w14:paraId="5BCE5A1D"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заводу № 616 предстояло разработать на базе освоенной станции А-7 УКВ рацию «Рейд-И» и в первом полугодии 1944 г. обеспечить выпуск 110 единиц этой новой продукции. Однако, ввиду опоздания с освоением производства А-7, решение и этой задачи также было перенесено на 1-й квартал 1944 г. (18297).</w:t>
      </w:r>
    </w:p>
    <w:p w14:paraId="1663E8A6"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11E0E1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4569 О строительстве гидроэлектростанций в Киргизской ССР.РГАНИР, Фонд ГКО, д. 175, лл. 20-22 (11012).</w:t>
      </w:r>
    </w:p>
    <w:p w14:paraId="7B2B50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98D0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4570 Об организации разрядных баз в Наркомате боеприпасов. (7157, 23-27).</w:t>
      </w:r>
    </w:p>
    <w:p w14:paraId="4E94552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4A76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4571 [Об освобождении НКПС от поставки НКПСМ 100 бандажей для узкоколейных паровозов и сплава 15 тыс. куб. м пиловочника.] (7157, 28).</w:t>
      </w:r>
    </w:p>
    <w:p w14:paraId="00E7885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655A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4572. О распространении окладов руководящих работников и ИТР ГЭУ Наркомхоза РСФСР на работников ГЭУ Наркомхоза Азербайджанской ССР и треста "Азкоммунэнерго".РГАНИР, Фонд ГКО, д. 175, лл. 29 (11012).</w:t>
      </w:r>
    </w:p>
    <w:p w14:paraId="443E66A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4AD0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4573 [О расселении в Коломенском р-не 4 тыс. рабочих завода им. Куйбышева НКТМ и возвращении на этот завод из КА 28 квалифицированных рабочих.] (7157, 30,31-32).</w:t>
      </w:r>
    </w:p>
    <w:p w14:paraId="4D9E73E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246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4574. О мерах выполнения в IV кв. 1943 г. работ по строительству завода № 402 НКСП.РГАНИР, Фонд ГКО, д. 175, лл. 33-35 (11012).</w:t>
      </w:r>
    </w:p>
    <w:p w14:paraId="67E7A2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20C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4575 О подготовке рабочих кадров для предприятий и строек нефтяной промышленности.РГАНИР, Фонд ГКО, д. 175, лл. 36-39, 40-42 (11012).</w:t>
      </w:r>
    </w:p>
    <w:p w14:paraId="187FCF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9EBF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4576 О строительстве, восстановлении и ремонте автомобильных дорог ГУшосдором НКВД СССР в 1944 г. (7157, 43-46,47-50).</w:t>
      </w:r>
    </w:p>
    <w:p w14:paraId="1B1D7D4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5BE9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4576 О строительстве, восстановлении и ремонте автомобильных дорог ГУшосдором НКВД СССР в 1944 г.РГАНИР, Фонд ГКО, д. 175, лл. 43-46, 47-50 (11012).</w:t>
      </w:r>
    </w:p>
    <w:p w14:paraId="4207A2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D78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Распоряжение ГКО № 4577. О мерах по обеспечению предприятий НКЧМ и строительно-монтажных организаций НКстроя в Донбассе квалифицированными рабочими.РГАНИР, Фонд ГКО, д. 175, лл. 51-53 (11012).</w:t>
      </w:r>
    </w:p>
    <w:p w14:paraId="663753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1B2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4578 О восстановлении и развитии производства арматуры для обеспечения неотложных нужд химической промышленности.РГАНИР, Фонд ГКО, д. 175, лл. 54-62, 63-66 (11012).</w:t>
      </w:r>
    </w:p>
    <w:p w14:paraId="51B3CD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233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вышло Постановление ГКО № 4579 Об обеспечении эбонитовыми баками и моноблоками танковой, авиационной, угольной и судостроительной промышленности и Военно-Морского Флота.РГАНИР, Фонд ГКО, д. 175, лл. 67-70, 71-75 (11012).</w:t>
      </w:r>
    </w:p>
    <w:p w14:paraId="5BA173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B0DC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37C11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AA4C0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14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05325F2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ноября войска 1-го Украинского фронта продолжали наступление и овладели районным центром Житомирской области Чеповичи, а также заняли более 50 других населённых пунктов, среди которых крупные населенные пункты Бобёр,Шкнева, Голубневичи, Межелиска, Марьятин, Дуброва, Барановка, Гута Луганивская,Дерманка, Вихля, Бражинка, Воров, Мокренщина, Клетище, Верболозы, Вышполь,Каменка, Янушевичи, Барашевка, Альбиновка, Слобода Селец, Пряжев, Пески. В районе Фастова войска фронта успешно отбивали контратаки пехоты и танков противника.</w:t>
      </w:r>
    </w:p>
    <w:p w14:paraId="787891F6"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преодолевая сопротивление и контратаки противника, овладели сильно укреплёнными опорными пунктами немцев Аджим-Ушкай и Колонка.</w:t>
      </w:r>
    </w:p>
    <w:p w14:paraId="448478D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Речица наши войска продолжали вести бои по расширению плацдармов на правом берегу Днепра и овладели сильно укреплёнными опорными пунктами противника Колочин, Велин, Леваши, Иванище, Ветхин, Орёл, Яновна, Гастивель, Пасека, Берёзовка 1-я и 2-я, Смогорино, Зарезова, Буда Петрицкая.</w:t>
      </w:r>
    </w:p>
    <w:p w14:paraId="291B9383"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артиллерийско-миномётнаяперестрелка.</w:t>
      </w:r>
    </w:p>
    <w:p w14:paraId="21F6DB2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ноября наши войска на всех фронтах подбили и уничтожили 71 немецкий танк. В воздушных боях и огнём зенитной артиллерии сбито 8 самолётов противника.</w:t>
      </w:r>
    </w:p>
    <w:p w14:paraId="1642942E"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Части Н-ского соединения, продвигаясь вперёд, заняли ряд населённых пунктов, в том числе районный центр Житомирской области Чеповичи. Уничтожено до 800 немецких солдат иофицеров. Захвачены трофеи. Советские бойцы, преследуя противника, освободили 4.000 мирных граждан, которых немцы угоняли на каторгу в Германию. Наши кавалеристы в ожесточённом бою с противником истребили свыше батальона гитлеровцев, захватили 30 танков и взяли в плен значительное количество немецких солдат и офицеров. В районе Фастова советские войска успешно отбивали контратаки противника. На одном участке наши танкисты и пехотинцы, сломив сопротивление противника, заняли населённый пункт. Немцы предприняли одну за другой четыре ожесточённых контратаки, но были отброшены. В этом бою истреблено 500 гитлеровцев, сожжено и подбито 48 немецких танков, 7 самоходных орудий и уничтожено 60 автомашин.</w:t>
      </w:r>
    </w:p>
    <w:p w14:paraId="133B6BD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вели бои за расширение плацдармов в прежних районах. Северо-восточнее города Керчь бойцы Н-ского соединения отбили одиннадцать контратак пехоты, танков и самоходных орудий противника. После упорных боёв наши войска овладели сильно укреплёнными опорными пунктами немцев Аджим-Ушкай и Колонка. В боях за эти пункты уничтожено более 900 солдат иофицеров и несколько танков противника. Южнее города Керчь активно действовали наши разведывательные отряды.</w:t>
      </w:r>
    </w:p>
    <w:p w14:paraId="69A53414"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Речицы, на правом берегу реки Днепр, бойцы Н-ской части обошли опорный пункт немцев и атаковали его с юга и запада. Противник поспешно отступил, оставив на поле боя 320 трупов своих солдат и офицеров. Захвачены у немцев 5 самоходных и 8 полевых орудий, 40 пулемётов и другие трофеи. Взяты пленные.Части Н-ского соединения, преодолевая сопротивление немцев, продвигались вперёди заняли ряд сильно укреплённых населённых пунктов. В боях за эти пункты уничтожено до 1.500 вражеских солдат и офицеров, 15 танков, 3 самоходных орудияи несколько артиллерийских батарей. Захвачены трофеи, в числе которых 2 танка, 4 бронемашины, 16 орудий, склад боеприпасов и 30 автомашин.</w:t>
      </w:r>
    </w:p>
    <w:p w14:paraId="01CBD1B7"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Корабли Черноморского флота потопили транспорт противника водоизмещением в 5.000 тонн. Лётчики Черноморского флота потопили транспорт водоизмещением в 1.500 тонн, тральщик и сторожевой катер противника.</w:t>
      </w:r>
    </w:p>
    <w:p w14:paraId="033902EB"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Крыму, в начале ноября взорвал на минах немецкий железнодорожный эшелон с горючим. В результате крушения и возникшего пожара уничтожено несколько сот тонн бензина. Движение поездов на этом участке железной дороги было прервано на 20 часов. На другом участке группа партизан пустила под откос два немецких воинских эшелона. Немцы выслали против партизан карательную экспедицию. Советские патриоты заманили гитлеровцев в горы и уничтожили 60 немецко-фашистских оккупантов.</w:t>
      </w:r>
    </w:p>
    <w:p w14:paraId="3D31B602"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городе Керчь взят в плен солдат 11 роты 920 немецкого гренадерского полка Томаш. Пленный рассказал: «Наш полк нёс охрану побережья в районе города Нант (Франция). В конце сентября 11 и 12 роты полка были спешно пополнены солдатами из других рот, имеющими боевой опыт. Затем офицеры объявили, что нас отправляют на Восточный фронт. Это извещение ошеломляюще подействовало на солдат. Каждому из нас как будто приставили нож к горлу. Всем было ясно: раз командование снимает солдат с побережья, то это значит, что в России наши дела весьма скверны. 11 рота на Атлантическом побережье занимала оборону на участке в 7 километров. Жили мы легко и беззаботно. Здесь же, в Крыму, мы оказались в мышеловке, из которой, видимо, никто не выберется».</w:t>
      </w:r>
    </w:p>
    <w:p w14:paraId="372043E3" w14:textId="77777777" w:rsidR="004F5E15" w:rsidRPr="00271E51" w:rsidRDefault="004F5E15"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Жители посёлка Игнатовка, Могилёвской области, рассказали о зверствах немецко-фашистских мерзавцев: «Ворвавшись в посёлок, немцы ограбили население до нитки. За всё время оккупации мы влачили жалкое существование и подвергались диким издевательствам. Однако расправа, учинённая гитлеровцами 2 и 3 февраля 1943 г., превосходит все ужасы, которые нам до этого пришлось пережить. Фашистские палачи согнали всё население в три хаты и всю ночь мучили и истязали людей. На другой день немцы подожгли посёлок. Огнём уничтожены 38 жилых домов с хозяйственными постройками и школа. Живьём сгорели Прасковья Минкина, Акулина </w:t>
      </w:r>
      <w:r w:rsidRPr="00271E51">
        <w:rPr>
          <w:rFonts w:ascii="Times New Roman" w:hAnsi="Times New Roman"/>
          <w:color w:val="000000" w:themeColor="text1"/>
          <w:sz w:val="16"/>
          <w:szCs w:val="16"/>
        </w:rPr>
        <w:lastRenderedPageBreak/>
        <w:t>Бобкова, Андрей Минкин, Павел Федоренко, Марк Кожевников, Яким Лавриненко, Александра Воронцова и другие жителя. Спаслисьтолькоте</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комуудалосьбежатьвлес</w:t>
      </w:r>
      <w:r w:rsidRPr="00271E51">
        <w:rPr>
          <w:rFonts w:ascii="Times New Roman" w:hAnsi="Times New Roman"/>
          <w:color w:val="000000" w:themeColor="text1"/>
          <w:sz w:val="16"/>
          <w:szCs w:val="16"/>
          <w:lang w:val="en-US"/>
        </w:rPr>
        <w:t>» (14830).</w:t>
      </w:r>
    </w:p>
    <w:p w14:paraId="6BD93381" w14:textId="77777777" w:rsidR="004F5E15" w:rsidRPr="00271E51" w:rsidRDefault="004F5E15" w:rsidP="00271E51">
      <w:pPr>
        <w:spacing w:after="0" w:line="240" w:lineRule="auto"/>
        <w:jc w:val="both"/>
        <w:rPr>
          <w:rFonts w:ascii="Times New Roman" w:hAnsi="Times New Roman"/>
          <w:color w:val="000000" w:themeColor="text1"/>
          <w:sz w:val="16"/>
          <w:szCs w:val="16"/>
          <w:lang w:val="en-US"/>
        </w:rPr>
      </w:pPr>
    </w:p>
    <w:p w14:paraId="0699C61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14 1943 Germans launch counterattack in Zhitomir area (recapture city November 19) (1037).</w:t>
      </w:r>
    </w:p>
    <w:p w14:paraId="54520F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B3870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немцы предприняли в районе Житомира попытку контрнаступления и отбили город 19 ноября 1943 (1037).</w:t>
      </w:r>
    </w:p>
    <w:p w14:paraId="6F53D8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DF0F0"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C3127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B9153" w14:textId="77777777" w:rsidR="004421E8" w:rsidRPr="00271E51" w:rsidRDefault="004421E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ноября 1943 «Лулу» - Lulu Belle -  разобрали и перевезли на авиабазу Мюрок, где планировалось начать летные испытания. Неисправности в силовой установке не позволили совершить первый полет ранее января 1944. Наконец, проблемы с двигателем кое-как уладили, и 8 января 1944 года, в 9 часов утра, машина поднялась в воздух. Следующий полет XР-80 совершил через час. Началась напряженная программа испытаний (22848).</w:t>
      </w:r>
    </w:p>
    <w:p w14:paraId="22B312FB" w14:textId="77777777" w:rsidR="004421E8" w:rsidRPr="00271E51" w:rsidRDefault="004421E8" w:rsidP="00271E51">
      <w:pPr>
        <w:spacing w:after="0" w:line="240" w:lineRule="auto"/>
        <w:jc w:val="both"/>
        <w:rPr>
          <w:rFonts w:ascii="Times New Roman" w:hAnsi="Times New Roman"/>
          <w:color w:val="0070C0"/>
          <w:sz w:val="16"/>
          <w:szCs w:val="16"/>
        </w:rPr>
      </w:pPr>
    </w:p>
    <w:p w14:paraId="54D2384C" w14:textId="77777777" w:rsidR="00A17B42" w:rsidRPr="00271E51" w:rsidRDefault="00A17B42"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14 ноября 1943 самолеты 12-й воздушной армии США в составе 91 бомбардировщика В-25 под прикрытием 40 дальних истребителей Р-38 совершили первый массированный налет на Софию. Воздуш</w:t>
      </w:r>
      <w:r w:rsidRPr="00271E51">
        <w:rPr>
          <w:rFonts w:ascii="Times New Roman" w:hAnsi="Times New Roman" w:cs="Times New Roman"/>
          <w:color w:val="000000" w:themeColor="text1"/>
          <w:sz w:val="16"/>
          <w:szCs w:val="16"/>
        </w:rPr>
        <w:softHyphen/>
        <w:t>ная тревога была объявлена с опозданием, и истребители 2-й и 3-й авиагрупп смогли атаковать американцев только уже на отходе. Болгарские летчики повредили два В-25, но при этом потеряли один свой истребитель. В результате налета в Софии были разру</w:t>
      </w:r>
      <w:r w:rsidRPr="00271E51">
        <w:rPr>
          <w:rFonts w:ascii="Times New Roman" w:hAnsi="Times New Roman" w:cs="Times New Roman"/>
          <w:color w:val="000000" w:themeColor="text1"/>
          <w:sz w:val="16"/>
          <w:szCs w:val="16"/>
        </w:rPr>
        <w:softHyphen/>
        <w:t>шены 47 зданий, убито 59 человек и ранено 128.</w:t>
      </w:r>
    </w:p>
    <w:p w14:paraId="1FC6A99B" w14:textId="77777777" w:rsidR="00A17B42" w:rsidRPr="00271E51" w:rsidRDefault="00A17B42"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p>
    <w:p w14:paraId="23656BA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ноября 1943 у Бермудских островов во время учений американского флота торпеда, по ошибке выпущенная эсминцем, едва не попала в линкор “Айова”, на котором в этот момент находился президент США Ф. Рузвельт (4962).</w:t>
      </w:r>
    </w:p>
    <w:p w14:paraId="04E00FC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C9456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E77E4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931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вышел приказ НКАП N 684сс в исполнение постановления ГКО N 4427сс от 26 октября 1943:</w:t>
      </w:r>
    </w:p>
    <w:p w14:paraId="3D31FA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ГК С.В.И. провести заводские испытания бронированного штурмовика Ил с АМ-42 и предъявить его на гос. испытания в НИИ ВВС со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285457F" w14:textId="77777777" w:rsidTr="00ED5B0A">
        <w:tc>
          <w:tcPr>
            <w:tcW w:w="5636" w:type="dxa"/>
          </w:tcPr>
          <w:p w14:paraId="4151A1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73A601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 км/час</w:t>
            </w:r>
          </w:p>
        </w:tc>
      </w:tr>
      <w:tr w:rsidR="00A907A5" w:rsidRPr="00271E51" w14:paraId="61458A70" w14:textId="77777777" w:rsidTr="00ED5B0A">
        <w:tc>
          <w:tcPr>
            <w:tcW w:w="5636" w:type="dxa"/>
          </w:tcPr>
          <w:p w14:paraId="0DC7E7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2500 м</w:t>
            </w:r>
          </w:p>
        </w:tc>
        <w:tc>
          <w:tcPr>
            <w:tcW w:w="5636" w:type="dxa"/>
          </w:tcPr>
          <w:p w14:paraId="48FB06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 км/час</w:t>
            </w:r>
          </w:p>
        </w:tc>
      </w:tr>
      <w:tr w:rsidR="00A907A5" w:rsidRPr="00271E51" w14:paraId="66B6333B" w14:textId="77777777" w:rsidTr="00ED5B0A">
        <w:tc>
          <w:tcPr>
            <w:tcW w:w="5636" w:type="dxa"/>
          </w:tcPr>
          <w:p w14:paraId="43DCCA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 дальность при норм. весе</w:t>
            </w:r>
          </w:p>
        </w:tc>
        <w:tc>
          <w:tcPr>
            <w:tcW w:w="5636" w:type="dxa"/>
          </w:tcPr>
          <w:p w14:paraId="084F5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 км</w:t>
            </w:r>
          </w:p>
        </w:tc>
      </w:tr>
      <w:tr w:rsidR="00A907A5" w:rsidRPr="00271E51" w14:paraId="0361AFBF" w14:textId="77777777" w:rsidTr="00ED5B0A">
        <w:tc>
          <w:tcPr>
            <w:tcW w:w="5636" w:type="dxa"/>
          </w:tcPr>
          <w:p w14:paraId="76D84A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 дальность при перегрузке</w:t>
            </w:r>
          </w:p>
        </w:tc>
        <w:tc>
          <w:tcPr>
            <w:tcW w:w="5636" w:type="dxa"/>
          </w:tcPr>
          <w:p w14:paraId="62A588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км</w:t>
            </w:r>
          </w:p>
        </w:tc>
      </w:tr>
      <w:tr w:rsidR="00A907A5" w:rsidRPr="00271E51" w14:paraId="18E6CFC3" w14:textId="77777777" w:rsidTr="00ED5B0A">
        <w:tc>
          <w:tcPr>
            <w:tcW w:w="5636" w:type="dxa"/>
          </w:tcPr>
          <w:p w14:paraId="559FF5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 бомб. Нагрузка</w:t>
            </w:r>
          </w:p>
        </w:tc>
        <w:tc>
          <w:tcPr>
            <w:tcW w:w="5636" w:type="dxa"/>
          </w:tcPr>
          <w:p w14:paraId="749526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кг</w:t>
            </w:r>
          </w:p>
        </w:tc>
      </w:tr>
    </w:tbl>
    <w:p w14:paraId="69BD3A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1B8908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 2хВЯ с 300 и 2хШКАС с 1000</w:t>
      </w:r>
    </w:p>
    <w:p w14:paraId="731828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назад 1хБ12.7 мм с 150</w:t>
      </w:r>
    </w:p>
    <w:p w14:paraId="00CC6A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Зам. наркома Кузнецову и Завитаеву по окончании гос. испытаний представить предложения о запуске в серийное производства бронированного штурмовика Ил с АМ-42 для представления в ГКО (1751,87).</w:t>
      </w:r>
    </w:p>
    <w:p w14:paraId="3D2A0E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C3758"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ноября 1943 в день планируемой передачи самолета в НИИ ВВС вышел приказ НКАП № 684сс «во исполнение постановления ГКО № 4427сс от 26 октября 1943 г.» (21005).</w:t>
      </w:r>
    </w:p>
    <w:p w14:paraId="7E64392E" w14:textId="77777777" w:rsidR="006E245A" w:rsidRPr="00271E51" w:rsidRDefault="006E245A" w:rsidP="00271E51">
      <w:pPr>
        <w:spacing w:after="0" w:line="240" w:lineRule="auto"/>
        <w:jc w:val="both"/>
        <w:rPr>
          <w:rFonts w:ascii="Times New Roman" w:hAnsi="Times New Roman"/>
          <w:color w:val="0070C0"/>
          <w:sz w:val="16"/>
          <w:szCs w:val="16"/>
        </w:rPr>
      </w:pPr>
    </w:p>
    <w:p w14:paraId="117F9C91" w14:textId="77777777" w:rsidR="004F5E15"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15-му ноября 1943 был построен макет самолета Бе-4, который 29 ноября 1943 года утвержден государственной комиссией ВВС ВМФ СССР. С декабря месяца 1943 года завод приступает к изготовлению летнего экземпляра указанного самолета. 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w:t>
      </w:r>
    </w:p>
    <w:p w14:paraId="67A62B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color w:val="000000" w:themeColor="text1"/>
          <w:sz w:val="16"/>
          <w:szCs w:val="16"/>
        </w:rPr>
        <w:t xml:space="preserve">Секретарь крайкома ВКП (б) подпись И. Голубев </w:t>
      </w:r>
      <w:r w:rsidRPr="00271E51">
        <w:rPr>
          <w:rFonts w:ascii="Times New Roman" w:hAnsi="Times New Roman"/>
          <w:iCs/>
          <w:color w:val="000000" w:themeColor="text1"/>
          <w:sz w:val="16"/>
          <w:szCs w:val="16"/>
        </w:rPr>
        <w:t>ГАКК. Ф.П-26. Оп.4. Д.2. Л.137-138. Подлинник. Машинопись (11806).</w:t>
      </w:r>
    </w:p>
    <w:p w14:paraId="6CDE1D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06D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приказом начальника ВВС ВМФ № 136 взлетные лыжи приняли на вооружение а ВВС ВМФ, а 10 ноября 1943: ГВФ - приказом начальника ГУ ГВФ № 171.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7CDB95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7AF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года приказом НКАП № 679с на базе площадей бывш. завода № 462 НКАП были организованы ремонтные мастерские, а приказом по 4 гл. управлению НКАП от 3 декабря 1943 года за № 33с созданным мастерским была утверждена номенклатура изделия для ремонта и выпуска, а именно магнето, авиасвечи и т.д.</w:t>
      </w:r>
    </w:p>
    <w:p w14:paraId="4F1F2E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7A4D69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438A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вышел приказ № 579с:</w:t>
      </w:r>
    </w:p>
    <w:p w14:paraId="168D1ABC" w14:textId="77777777" w:rsidR="00473181" w:rsidRPr="00271E51" w:rsidRDefault="00473181"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 4 ГУ Самойлову приступить к восстановлению и организовать на про-х площадях эвакуированных з-в № 296 в Харькове и № 456 в Полтаве и № 462 в Днепропетровске – мастерские по ремонту моторных и самолетных агрегатов и приборов зажигания.</w:t>
      </w:r>
    </w:p>
    <w:p w14:paraId="3E475226"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(1751, 39).</w:t>
      </w:r>
    </w:p>
    <w:p w14:paraId="512749F4"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B4D0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на старом месте завода (ГС Завод № 462 НКАП, Завод физприборов № 14 им. В.П. Затонского /Украина  г. Днепропетровск/) были организованы Ремонтно-механические мастерские НКАП. В 02.1944 г. мастерские преобразованы в завод № 489 4ГУ НКАП (11982).</w:t>
      </w:r>
    </w:p>
    <w:p w14:paraId="042415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58F0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679с на площадке эвакуированного завода в Полтаве созданы мастерские по ремонту моторных агрегатов. Затем на базе мастерских образован завод № 488 4ГУ НКАП.</w:t>
      </w:r>
    </w:p>
    <w:p w14:paraId="2A063F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(10.1940-08.1941 г.-)- Д.К. Мусиенко.</w:t>
      </w:r>
    </w:p>
    <w:p w14:paraId="4CC70F3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КО (10.1940 г.-)- А.Н. Мельников (11982).</w:t>
      </w:r>
    </w:p>
    <w:p w14:paraId="0BA0AD78" w14:textId="77777777" w:rsidR="004F5E15" w:rsidRPr="00271E51" w:rsidRDefault="004F5E1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B96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697с  на площадке эвакуированного завода № 456 НКАП созданы мастерские по ремонту моторных агрегатов. Затем на базе мастерских образован завод № 488 4ГУ НКАП (Завод № 488 НКАП, НКЭС, ОАО «Полтавский турбомеханический завод» /Украина 36029  г. Полтава ул. Зеньковская, 6/).</w:t>
      </w:r>
    </w:p>
    <w:p w14:paraId="593213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426с/83сс от 5.11.1945 г. завод № 488 передан из 4ГУ НКАП в систему НКЭС.</w:t>
      </w:r>
    </w:p>
    <w:p w14:paraId="71284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в 1998 г. (11982).</w:t>
      </w:r>
    </w:p>
    <w:p w14:paraId="30CE7A7B" w14:textId="77777777" w:rsidR="004F5E15" w:rsidRPr="00271E51" w:rsidRDefault="004F5E1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D7B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697с на месте эвакуированного завода № 462 НКАП возникли Ремонтно- механические мастерские НКАП. В 02.1944 г. мастерские преобразованы в завод № 489 4ГУ НКАП (Завод № 489 НКАП, Днепропетровский агрегатный завод им. 50-летия СССР МАП, ПО «Днепропетровский агрегатный завод» (ДАЗ) МАП, ГП «Авиаагрегат», ОАО «ДАЗ» («Днепрагрегат») /Украина 49052  г. Днепропетровск ул. Щепкина, 53 тел. 370-28-05/ /Московское представительство: 109202  г. Москва ул. 1-я Фрезерная, 2/1 стр. 10 тел. 317-93-54/ /Санкт-Петербургское: 194021  г. Санкт-Петербург ул. Политехническая, 22 тел. 556-65-10/). Начато восстановление корпусов. Ремонт автомашин ГАЗ-АА. В середине 1944 г. задано освоение выпуска автоматов переключения скоростей нагнетателя Э-67 и агрегатов управления винтом и газом к АМ-38Ф.»</w:t>
      </w:r>
    </w:p>
    <w:p w14:paraId="5DBD8D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заводу выделено 342 трофейных станка.</w:t>
      </w:r>
    </w:p>
    <w:p w14:paraId="4BEF63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 концу 1948 г. введены в эксплуатацию корпус № 2, электроподстанция, котельная. К 1950 г. восстановлен корпус № 16 (цех № 22). К 1980-м  г. создан информационно-вычислительный центр.</w:t>
      </w:r>
    </w:p>
    <w:p w14:paraId="39C09C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СНХ УССР.</w:t>
      </w:r>
    </w:p>
    <w:p w14:paraId="2D3D97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Головное предприятие МАП по гидравлической и топливной аппаратуре. Включает три основных производства: агрегатов высокого давления и гидроаппаратуры (литейный, химико-термической обработки, сборочный цеха); центробежных насосов; электродвигателей и ТНП.</w:t>
      </w:r>
    </w:p>
    <w:p w14:paraId="2EF75E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терморегуляторы, центробежные насосы, предохранительные клапаны, агрегаты систем охлаждения коробок передач, электродвигатели.</w:t>
      </w:r>
      <w:r w:rsidRPr="00271E51">
        <w:rPr>
          <w:rFonts w:ascii="Times New Roman" w:hAnsi="Times New Roman"/>
          <w:color w:val="000000" w:themeColor="text1"/>
          <w:sz w:val="16"/>
          <w:szCs w:val="16"/>
          <w:vertAlign w:val="superscript"/>
        </w:rPr>
        <w:t>69</w:t>
      </w:r>
    </w:p>
    <w:p w14:paraId="62DE6E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2002 г. начался выпуск мотороллеров и мотоциклов по лицензии «Хонды». Для их производства создано сборочное и испытательное подразделения.</w:t>
      </w:r>
    </w:p>
    <w:p w14:paraId="0A3F6D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30.04.1966 г. завод № 489 переименован в Днепропетровский агрегатный завод. Приказом МАП № 395 от 4.09.1990 г. Днепропетровский агрегатный завод им. 50-летия СССР преобразован в ПО «Днепропетровский агрегатный завод». В состав ПО вошел также Марганцевский завод электробытовой техники (бывший Марганцевский гидролизно-дрожжевой завод, переданный из Агропрома). Распоряжением горисполкома № 517 от 16.06.1992 г. ПО преобразовано в ГП «Авиаагрегат». 29.07.1996 г. ГП «Авиаагрегат» акционировано и преобразовано в ОАО «Днепропетровский агрегатный завод».</w:t>
      </w:r>
    </w:p>
    <w:p w14:paraId="3E67AE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 ОАО входят дочерние предприятия (2004 г.): «Авиаагрегат», «Ракета», СП «Ракета-</w:t>
      </w:r>
      <w:r w:rsidRPr="00271E51">
        <w:rPr>
          <w:rFonts w:ascii="Times New Roman" w:hAnsi="Times New Roman"/>
          <w:color w:val="000000" w:themeColor="text1"/>
          <w:sz w:val="16"/>
          <w:szCs w:val="16"/>
          <w:lang w:val="en-US"/>
        </w:rPr>
        <w:t>FUTONG</w:t>
      </w:r>
      <w:r w:rsidRPr="00271E51">
        <w:rPr>
          <w:rFonts w:ascii="Times New Roman" w:hAnsi="Times New Roman"/>
          <w:color w:val="000000" w:themeColor="text1"/>
          <w:sz w:val="16"/>
          <w:szCs w:val="16"/>
        </w:rPr>
        <w:t>». Имеет представительства: Московское- ЗАО- «ТЦ «Авиаагрегат», директор (2004 г.)- А.К. Белявский; Санкт- Петербургское- ЗАО «ТЦ «Северный», директор (2004 г.)- А.А. Кондратьев.</w:t>
      </w:r>
    </w:p>
    <w:p w14:paraId="2A969E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(2004 г.)- Е.В. Морозенко.</w:t>
      </w:r>
    </w:p>
    <w:p w14:paraId="6F3B6A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Коммерческий директор (2004 г.)- В.Н. Фандеев. Директор по ВЭД (2004 г.)- В.А. Захарченко.</w:t>
      </w:r>
    </w:p>
    <w:p w14:paraId="557F74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ВЭД (2004 г.)- С.Н. Пьяных.</w:t>
      </w:r>
    </w:p>
    <w:p w14:paraId="15B698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насосы: РНА-1А, РНМ, АРГ (1945-48), МШ-ЗА (1949-), центробежные ПНВ-2, ПН-45, ЭЦН-Т, ВН, ЭЦВМ, ПЦР, 495-2 (1951-), плунжерные НП-34 (1960-е), НП96М, НП-103, НП-85, 6Ц, НП-108 (1970-е); карбюраторы К-14 (1949-); агрегат топливного питания АТП-8 (1960-е); электродвигатели постоянного тока: МП- 100Б, МГП-180, МБП-3, Д-100, Д-20 (1949-), МБ-280, МГП-700, МВ-ЮООА (1951-); терморегулятор 1074 с реостатом РБП-45 (1956-); узлы для АИ-8 (1950-е); электропривод БО, клапан избыточного давления КИД, система охлаждения ЖЯ (1960-е); пылесосы: ПС-1 (1952-), «Днепр-2», «Днепр-3» (1954-), «Ракета» (1960-е), «Ракета-9, -12» (1980-е)- 810 тыс., «Ракета-30, -35, -40, -45» (1990-е); бытовой вентилятор ВЭ-1; оборудование для химчистки Т-1А, запчасти для автомобилей и сельхозтехники, насосы молочные (ЖЛ2-5, ПУП-25, К-5-ОНВ) и глубинные (ЭЦВ-6-17-75), электродвигатели ДПГ-1,5, электропила ИЭ-5113 (1990-е), гидроаппаратура для шахт ЭРА-32,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ГВТП, КГУ (1995 ); мотороллеры, мотоциклы (2002-) (11982).</w:t>
      </w:r>
    </w:p>
    <w:p w14:paraId="190045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ED4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679с на площадке эвакуированного завода № 296 (ГС Завод № 296 им. Дзержинского НКАП, Бердский радиозавод</w:t>
      </w:r>
      <w:r w:rsidRPr="00271E51">
        <w:rPr>
          <w:rFonts w:ascii="Times New Roman" w:hAnsi="Times New Roman"/>
          <w:smallCaps/>
          <w:color w:val="000000" w:themeColor="text1"/>
          <w:sz w:val="16"/>
          <w:szCs w:val="16"/>
        </w:rPr>
        <w:t xml:space="preserve"> (брз) мрп, </w:t>
      </w:r>
      <w:r w:rsidRPr="00271E51">
        <w:rPr>
          <w:rFonts w:ascii="Times New Roman" w:hAnsi="Times New Roman"/>
          <w:color w:val="000000" w:themeColor="text1"/>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в Харькове организованы мастерские по ремонту моторных агрегатов.</w:t>
      </w:r>
    </w:p>
    <w:p w14:paraId="48C876C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612с от 9.09.1946 г. завод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271E51">
        <w:rPr>
          <w:rFonts w:ascii="Times New Roman" w:hAnsi="Times New Roman"/>
          <w:color w:val="000000" w:themeColor="text1"/>
          <w:sz w:val="16"/>
          <w:szCs w:val="16"/>
          <w:vertAlign w:val="superscript"/>
        </w:rPr>
        <w:t>108</w:t>
      </w:r>
    </w:p>
    <w:p w14:paraId="4D812A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smallCaps/>
          <w:color w:val="000000" w:themeColor="text1"/>
          <w:sz w:val="16"/>
          <w:szCs w:val="16"/>
        </w:rPr>
        <w:t>в</w:t>
      </w:r>
      <w:r w:rsidRPr="00271E51">
        <w:rPr>
          <w:rFonts w:ascii="Times New Roman" w:hAnsi="Times New Roman"/>
          <w:color w:val="000000" w:themeColor="text1"/>
          <w:sz w:val="16"/>
          <w:szCs w:val="16"/>
        </w:rPr>
        <w:t xml:space="preserve"> 1960-е  г. - в ведении Управления радиотехнической и электронной промышленности Западно-Сибирского совнархоза.</w:t>
      </w:r>
      <w:r w:rsidRPr="00271E51">
        <w:rPr>
          <w:rFonts w:ascii="Times New Roman" w:hAnsi="Times New Roman"/>
          <w:color w:val="000000" w:themeColor="text1"/>
          <w:sz w:val="16"/>
          <w:szCs w:val="16"/>
          <w:vertAlign w:val="superscript"/>
        </w:rPr>
        <w:t>80</w:t>
      </w:r>
      <w:r w:rsidRPr="00271E51">
        <w:rPr>
          <w:rFonts w:ascii="Times New Roman" w:hAnsi="Times New Roman"/>
          <w:color w:val="000000" w:themeColor="text1"/>
          <w:sz w:val="16"/>
          <w:szCs w:val="16"/>
        </w:rPr>
        <w:t xml:space="preserve"> В 1973 г. - в ведении 5ГУ МРП. Далее - ПО «Вега».</w:t>
      </w:r>
    </w:p>
    <w:p w14:paraId="6F54B0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1F04F6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(1973 г.)- 1935 ед. (в т.ч. металлорежущего- 622 ед.).</w:t>
      </w:r>
    </w:p>
    <w:p w14:paraId="1C76FC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BBE84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(1972 г.)- 7806 чел., (1973 г.)- 8208 чел.</w:t>
      </w:r>
    </w:p>
    <w:p w14:paraId="76FFC7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(-01.1941-50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Берман, (1973 г.)- А. Сарычев.</w:t>
      </w:r>
    </w:p>
    <w:p w14:paraId="4D90B1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экономист (1973 г.)- Высоцкий.</w:t>
      </w:r>
    </w:p>
    <w:p w14:paraId="42EEA1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ОКС (1973 г.)- А. Валяев.</w:t>
      </w:r>
    </w:p>
    <w:p w14:paraId="57B787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(ВОВ) агрегаты НВ: НБ-ЗУ для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 xml:space="preserve">-5, </w:t>
      </w:r>
      <w:r w:rsidRPr="00271E51">
        <w:rPr>
          <w:rFonts w:ascii="Times New Roman" w:hAnsi="Times New Roman"/>
          <w:color w:val="000000" w:themeColor="text1"/>
          <w:sz w:val="16"/>
          <w:szCs w:val="16"/>
          <w:lang w:val="en-US"/>
        </w:rPr>
        <w:t>Jla</w:t>
      </w:r>
      <w:r w:rsidRPr="00271E51">
        <w:rPr>
          <w:rFonts w:ascii="Times New Roman" w:hAnsi="Times New Roman"/>
          <w:color w:val="000000" w:themeColor="text1"/>
          <w:sz w:val="16"/>
          <w:szCs w:val="16"/>
        </w:rPr>
        <w:t>-7; артпанорамы «ПГ», перископ «ТР», винтовочные оптические прицелы «ПУ» (1941-42)- 22.786;</w:t>
      </w:r>
      <w:r w:rsidRPr="00271E51">
        <w:rPr>
          <w:rFonts w:ascii="Times New Roman" w:hAnsi="Times New Roman"/>
          <w:color w:val="000000" w:themeColor="text1"/>
          <w:sz w:val="16"/>
          <w:szCs w:val="16"/>
          <w:vertAlign w:val="superscript"/>
        </w:rPr>
        <w:t>4</w:t>
      </w:r>
      <w:r w:rsidRPr="00271E51">
        <w:rPr>
          <w:rFonts w:ascii="Times New Roman" w:hAnsi="Times New Roman"/>
          <w:color w:val="000000" w:themeColor="text1"/>
          <w:sz w:val="16"/>
          <w:szCs w:val="16"/>
        </w:rPr>
        <w:t xml:space="preserve"> селектор гармоник возбудителя «Бот»;</w:t>
      </w:r>
      <w:r w:rsidRPr="00271E51">
        <w:rPr>
          <w:rFonts w:ascii="Times New Roman" w:hAnsi="Times New Roman"/>
          <w:iCs/>
          <w:color w:val="000000" w:themeColor="text1"/>
          <w:sz w:val="16"/>
          <w:szCs w:val="16"/>
        </w:rPr>
        <w:t xml:space="preserve"> радиоприемники:</w:t>
      </w:r>
      <w:r w:rsidRPr="00271E51">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271E51">
        <w:rPr>
          <w:rFonts w:ascii="Times New Roman" w:hAnsi="Times New Roman"/>
          <w:iCs/>
          <w:color w:val="000000" w:themeColor="text1"/>
          <w:sz w:val="16"/>
          <w:szCs w:val="16"/>
        </w:rPr>
        <w:t xml:space="preserve"> радиолы:</w:t>
      </w:r>
      <w:r w:rsidRPr="00271E51">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271E51">
        <w:rPr>
          <w:rFonts w:ascii="Times New Roman" w:hAnsi="Times New Roman"/>
          <w:iCs/>
          <w:color w:val="000000" w:themeColor="text1"/>
          <w:sz w:val="16"/>
          <w:szCs w:val="16"/>
        </w:rPr>
        <w:t xml:space="preserve"> магнитолы:</w:t>
      </w:r>
      <w:r w:rsidRPr="00271E51">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271E51">
        <w:rPr>
          <w:rFonts w:ascii="Times New Roman" w:hAnsi="Times New Roman"/>
          <w:iCs/>
          <w:color w:val="000000" w:themeColor="text1"/>
          <w:sz w:val="16"/>
          <w:szCs w:val="16"/>
        </w:rPr>
        <w:t xml:space="preserve"> электрофоны:</w:t>
      </w:r>
      <w:r w:rsidRPr="00271E51">
        <w:rPr>
          <w:rFonts w:ascii="Times New Roman" w:hAnsi="Times New Roman"/>
          <w:color w:val="000000" w:themeColor="text1"/>
          <w:sz w:val="16"/>
          <w:szCs w:val="16"/>
        </w:rPr>
        <w:t xml:space="preserve"> «Арктур-ООЗС, -004С», «Вега-101С (1972-73-), -103С, -104С, -109С»; </w:t>
      </w:r>
      <w:r w:rsidRPr="00271E51">
        <w:rPr>
          <w:rFonts w:ascii="Times New Roman" w:hAnsi="Times New Roman"/>
          <w:iCs/>
          <w:color w:val="000000" w:themeColor="text1"/>
          <w:sz w:val="16"/>
          <w:szCs w:val="16"/>
        </w:rPr>
        <w:t>проигрыватели:</w:t>
      </w:r>
      <w:r w:rsidRPr="00271E51">
        <w:rPr>
          <w:rFonts w:ascii="Times New Roman" w:hAnsi="Times New Roman"/>
          <w:color w:val="000000" w:themeColor="text1"/>
          <w:sz w:val="16"/>
          <w:szCs w:val="16"/>
        </w:rPr>
        <w:t xml:space="preserve"> «Вега-106С (1976-), -108С, -110С, ЭП-110С, ЭП-120С, ЭП-122С, -206С», «Арктур-ООбС (1983-)»; </w:t>
      </w:r>
      <w:r w:rsidRPr="00271E51">
        <w:rPr>
          <w:rFonts w:ascii="Times New Roman" w:hAnsi="Times New Roman"/>
          <w:iCs/>
          <w:color w:val="000000" w:themeColor="text1"/>
          <w:sz w:val="16"/>
          <w:szCs w:val="16"/>
        </w:rPr>
        <w:t>тюнеры:</w:t>
      </w:r>
      <w:r w:rsidRPr="00271E51">
        <w:rPr>
          <w:rFonts w:ascii="Times New Roman" w:hAnsi="Times New Roman"/>
          <w:color w:val="000000" w:themeColor="text1"/>
          <w:sz w:val="16"/>
          <w:szCs w:val="16"/>
        </w:rPr>
        <w:t xml:space="preserve"> «Вега Т-124С, -004С»;</w:t>
      </w:r>
      <w:r w:rsidRPr="00271E51">
        <w:rPr>
          <w:rFonts w:ascii="Times New Roman" w:hAnsi="Times New Roman"/>
          <w:iCs/>
          <w:color w:val="000000" w:themeColor="text1"/>
          <w:sz w:val="16"/>
          <w:szCs w:val="16"/>
        </w:rPr>
        <w:t xml:space="preserve"> усилители:</w:t>
      </w:r>
      <w:r w:rsidRPr="00271E51">
        <w:rPr>
          <w:rFonts w:ascii="Times New Roman" w:hAnsi="Times New Roman"/>
          <w:color w:val="000000" w:themeColor="text1"/>
          <w:sz w:val="16"/>
          <w:szCs w:val="16"/>
        </w:rPr>
        <w:t xml:space="preserve"> «Вега» 10У-120С, 25УС-122, 50У-122С, 50У-124С, «Арктур-</w:t>
      </w:r>
      <w:r w:rsidRPr="00271E51">
        <w:rPr>
          <w:rFonts w:ascii="Times New Roman" w:hAnsi="Times New Roman"/>
          <w:color w:val="000000" w:themeColor="text1"/>
          <w:sz w:val="16"/>
          <w:szCs w:val="16"/>
          <w:lang w:val="en-US"/>
        </w:rPr>
        <w:t>OOlC</w:t>
      </w:r>
      <w:r w:rsidRPr="00271E51">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271E51">
        <w:rPr>
          <w:rFonts w:ascii="Times New Roman" w:hAnsi="Times New Roman"/>
          <w:color w:val="000000" w:themeColor="text1"/>
          <w:sz w:val="16"/>
          <w:szCs w:val="16"/>
          <w:vertAlign w:val="superscript"/>
        </w:rPr>
        <w:t>108</w:t>
      </w:r>
      <w:r w:rsidRPr="00271E51">
        <w:rPr>
          <w:rFonts w:ascii="Times New Roman" w:hAnsi="Times New Roman"/>
          <w:color w:val="000000" w:themeColor="text1"/>
          <w:sz w:val="16"/>
          <w:szCs w:val="16"/>
        </w:rPr>
        <w:t xml:space="preserve"> возбудитель БОТ (1973).</w:t>
      </w:r>
      <w:r w:rsidRPr="00271E51">
        <w:rPr>
          <w:rFonts w:ascii="Times New Roman" w:hAnsi="Times New Roman"/>
          <w:color w:val="000000" w:themeColor="text1"/>
          <w:sz w:val="16"/>
          <w:szCs w:val="16"/>
          <w:vertAlign w:val="superscript"/>
        </w:rPr>
        <w:t>135</w:t>
      </w:r>
    </w:p>
    <w:p w14:paraId="36DA8E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 ОКБ завода № 296 НКАП, ОКБ-296 НКАП /г. Харьков;  г. Бердск Новосибирской обл./</w:t>
      </w:r>
    </w:p>
    <w:p w14:paraId="799946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насосов «НВ» для авиамоторов.</w:t>
      </w:r>
    </w:p>
    <w:p w14:paraId="082AB9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6A1114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2C550C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1946 г. ОКБ-296 ( г. Бердск) объединено с заводом</w:t>
      </w:r>
      <w:r w:rsidRPr="00271E51">
        <w:rPr>
          <w:rFonts w:ascii="Times New Roman" w:hAnsi="Times New Roman"/>
          <w:iCs/>
          <w:color w:val="000000" w:themeColor="text1"/>
          <w:sz w:val="16"/>
          <w:szCs w:val="16"/>
        </w:rPr>
        <w:t xml:space="preserve"> № 296.</w:t>
      </w:r>
      <w:r w:rsidRPr="00271E51">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55DD7C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(10.1941 -04.1946 г.)- С.А. Косбер г.</w:t>
      </w:r>
    </w:p>
    <w:p w14:paraId="2CECA8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(1941 г.-)- Д.Н. Рудин.</w:t>
      </w:r>
    </w:p>
    <w:p w14:paraId="0E1010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СКБ Бердского радиозавода, В-2197 / г. Бердск-2 Новосибирской обл./</w:t>
      </w:r>
    </w:p>
    <w:p w14:paraId="195A95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СКБ - в ведении 5ГУ МРП, имело наименование «п/я В-2197» (1973 г.).</w:t>
      </w:r>
    </w:p>
    <w:p w14:paraId="4331C4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(1973 г.)- 264 чел.</w:t>
      </w:r>
    </w:p>
    <w:p w14:paraId="675977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(1973 г.)- В. Цариков.</w:t>
      </w:r>
    </w:p>
    <w:p w14:paraId="6E4931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экспериментального цеха (1973 г.)- А.А. Друйкин.</w:t>
      </w:r>
    </w:p>
    <w:p w14:paraId="08ED8B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бюро МТС (1973 г.)- В.В. Торопчин (11982).</w:t>
      </w:r>
    </w:p>
    <w:p w14:paraId="1C11BF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C9D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697с в Харькове на площадке эвакуированного завода № 29 (или № 296) был вновь образован завод № 480 в системе 4ГУ НКАП. На 1944 г. задавалось производство электродрелей.</w:t>
      </w:r>
    </w:p>
    <w:p w14:paraId="637302F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СНК № 398с от 17.02.1946 г. завод передан в НКСиДМ.</w:t>
      </w:r>
    </w:p>
    <w:p w14:paraId="4E4643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(04.1944 г.)- Осиновский (11982).</w:t>
      </w:r>
    </w:p>
    <w:p w14:paraId="7896A5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639B0"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F1FF2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AD93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по приказу № 679с на площадке эвакуированного завода № 296 в Харькове организованы мастерские по ремонту моторных агрегатов. По приказу № 612с от 9.09.1946 г. завод реэвакуирован на старую площадку в Харьков. С 1953 г. передан из 4ГУ во 2ГУ, с 1957 г.- в ведении Харьковского СНХ.</w:t>
      </w:r>
    </w:p>
    <w:p w14:paraId="38F674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(Есть упоминания, что завод № 296 был в Смоленске).</w:t>
      </w:r>
    </w:p>
    <w:p w14:paraId="61DDA8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23.11.1970 г. создан филиал- ВАЗ, который в 1992 г. выделился в самостоятельный завод.</w:t>
      </w:r>
    </w:p>
    <w:p w14:paraId="0F840F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584DBE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398D11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г.)- 3100 чел.</w:t>
      </w:r>
    </w:p>
    <w:p w14:paraId="73ED4C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(-01.1941-08.1943 г.-)- В.С. Берман, (-1995-2002 г.-)- А.А. Жданов.</w:t>
      </w:r>
    </w:p>
    <w:p w14:paraId="71A585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75EE9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(2002 г.)- В.А. Фадеев.</w:t>
      </w:r>
    </w:p>
    <w:p w14:paraId="5DFC13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маркетинга (2005 г.)- Е.И. Водотыка. Начальник бюро анализа рынка (2005 г.)- В.А. Ярмольчук.</w:t>
      </w:r>
    </w:p>
    <w:p w14:paraId="2A8D79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(ВОВ) агрегаты НВ: НБ-3У для Ла-5, Ла-7; артпанорамы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1078F1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0AC4ED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Харьков; г. Бердск Новосибирской обл.; г. Харьков</w:t>
      </w:r>
    </w:p>
    <w:p w14:paraId="3FCB7C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61023 г. Харьков, ул. Сумская, 132 тел. 40-22-05 www.fed.kharkov.ua, www.fed.kharkov.com</w:t>
      </w:r>
    </w:p>
    <w:p w14:paraId="7C690B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 ОКБ завода № 296 НКАП, ОКБ-296 НКАП</w:t>
      </w:r>
    </w:p>
    <w:p w14:paraId="64ECAA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Харьков; г. Бердск Новосибирской обл.</w:t>
      </w:r>
    </w:p>
    <w:p w14:paraId="6663B2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насосов ("НВ") для авиамоторов.</w:t>
      </w:r>
    </w:p>
    <w:p w14:paraId="19BD3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0BD04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(НБ-3У для АШ-82ФН).</w:t>
      </w:r>
    </w:p>
    <w:p w14:paraId="50E849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7A4AA4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(10.1941-04.1946 г.)- С.А. Косберг (до этого- на заводе № 33).</w:t>
      </w:r>
    </w:p>
    <w:p w14:paraId="1C9396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(1941 г.-)- Д.Н. Рудин.</w:t>
      </w:r>
    </w:p>
    <w:p w14:paraId="64FC25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Харьковское агрегатное КБ (ХАКБ), ГП «ХАКБ»</w:t>
      </w:r>
    </w:p>
    <w:p w14:paraId="3835D1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61023 г. Харьков, ул. Сумская, 132 тел. 43-22-75</w:t>
      </w:r>
    </w:p>
    <w:p w14:paraId="03BD4B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Основано в 1967 г. для разработки гидроагрегатов ЛА. В 1993 г. вошло в «Корпорацию «ФЭД» в качестве филиала.</w:t>
      </w:r>
    </w:p>
    <w:p w14:paraId="1000C5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089C88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г.)- 330 чел.</w:t>
      </w:r>
    </w:p>
    <w:p w14:paraId="781C96C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(2002 г.)- В.К. Мокроуз.</w:t>
      </w:r>
    </w:p>
    <w:p w14:paraId="7BD1C0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 конструктор (2002 г.)- В.К. Мокроуз.</w:t>
      </w:r>
    </w:p>
    <w:p w14:paraId="38D068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(2002 г.)- А.В. Ботыгин.</w:t>
      </w:r>
    </w:p>
    <w:p w14:paraId="2E4C5C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руководителя (2002 г.)- В.А. Матусевич; по экономике и финансам (2002 г.)- Е.В. Пастухова.</w:t>
      </w:r>
    </w:p>
    <w:p w14:paraId="42795E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ВЭС и маркетинга (-2002-05 г.-)- В.А. Беляева.</w:t>
      </w:r>
    </w:p>
    <w:p w14:paraId="4535BA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ЗАО «Корпорация «ФЭД»</w:t>
      </w:r>
    </w:p>
    <w:p w14:paraId="394A5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61023 г. Харьков ул. Сумская, 132 тел. 43-21-51 www.fed.kharkov.ua</w:t>
      </w:r>
    </w:p>
    <w:p w14:paraId="74C69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016927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Президент (2002 г.)- А.А. Жданов.</w:t>
      </w:r>
    </w:p>
    <w:p w14:paraId="3A0A0F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правления (2002 г.)- В.В. Попов.</w:t>
      </w:r>
    </w:p>
    <w:p w14:paraId="2EFAEB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ГП «Первомайский Машиностроительный Завод»</w:t>
      </w:r>
    </w:p>
    <w:p w14:paraId="6B3008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349970 г. Первомайск Луганской обл. ул. Правика, 1 тел. 64-558</w:t>
      </w:r>
    </w:p>
    <w:p w14:paraId="2CCFF4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основан в 09.1969 г. как филиал ХМЗ.</w:t>
      </w:r>
    </w:p>
    <w:p w14:paraId="40DFD4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65DDB9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(-1979 г.)- А.Ю. Братков. </w:t>
      </w:r>
    </w:p>
    <w:p w14:paraId="062F683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(1969 г.-)- А.Ю. Братков. </w:t>
      </w:r>
    </w:p>
    <w:p w14:paraId="63BDCA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Председатель правления (2002 г.)- Л.А.Усов. ВП- 4/02 </w:t>
      </w:r>
    </w:p>
    <w:p w14:paraId="030192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топливные агрегаты двигателей ТВ2-117, Д1А, Д2Б. НП52М, АУР86, ТДК, МН4В, ТА-12, ГА-168; рулевые механизмы автомобилей, блк управления маслостанцией ГСТ-90 для комбайнов.69 </w:t>
      </w:r>
    </w:p>
    <w:p w14:paraId="6E57C8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ОАО «Волчанский агрегатный завод» (ВАЗ)</w:t>
      </w:r>
    </w:p>
    <w:p w14:paraId="38AE20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Украина 312510 г. Волчанск Харьковской обл. ул. Пушкина, 2 тел. 22-703</w:t>
      </w:r>
    </w:p>
    <w:p w14:paraId="0B127C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5F3F52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1B56938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г.)- 1600 чел.</w:t>
      </w:r>
    </w:p>
    <w:p w14:paraId="63674F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правления (2002 г.)- А.А. Антоненко.</w:t>
      </w:r>
    </w:p>
    <w:p w14:paraId="0D5292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(2002 г.)- Д.В. Резников.</w:t>
      </w:r>
    </w:p>
    <w:p w14:paraId="33BFB5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техническому развитию (2002 г.)- Н.С. Жердев; по маркетингу, финансам и сбыту (2002 г.)- С.В. Слюсаренко (10776).</w:t>
      </w:r>
    </w:p>
    <w:p w14:paraId="5C9362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AF5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вышло Постановление ГКО № 4580 О восстановлении предприятий Наркомлегпрома СССР в г. Таганроге.РГАНИР, Фонд ГКО, д. 175, лл. 76-78, 79-80 (11012).</w:t>
      </w:r>
    </w:p>
    <w:p w14:paraId="79E55E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6B4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вышло Постановление ГКО № 4582 О мерах по обеспечению вывозки хлеба из глубинных пунктов. (7157, 82-84,85-92).</w:t>
      </w:r>
    </w:p>
    <w:p w14:paraId="5230432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8DD5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года была подготовлена справка:</w:t>
      </w:r>
    </w:p>
    <w:p w14:paraId="7C4C82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постановлению СНК от 16 октября 1943 года за № 1126 завод № 536 НКВ приступил к изготовлению охотничьих ружей (9273).</w:t>
      </w:r>
    </w:p>
    <w:p w14:paraId="1E2726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5E2A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FD5BB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7F322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15 ноября </w:t>
      </w:r>
      <w:r w:rsidRPr="00271E51">
        <w:rPr>
          <w:rFonts w:ascii="Times New Roman" w:hAnsi="Times New Roman"/>
          <w:color w:val="000000" w:themeColor="text1"/>
          <w:sz w:val="16"/>
          <w:szCs w:val="16"/>
        </w:rPr>
        <w:t>в 1943 году оперативная сводка Совинформбюро:</w:t>
      </w:r>
    </w:p>
    <w:p w14:paraId="3BB37FB2"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ноября на Коростенском направлении наши войска овладели районным центром Киевской области Каганович (Хабное), районным центром Житомирской области Базар, а также заняли более 40 других населённых пунктов, среди которых крупные населённые пункты Марьяновка, Яблонька, Раговка, Рудня Осушня, Большиеминки, Недашки, Савлуки, Ксаверов, Скураты, Владовка, Юзефовка.</w:t>
      </w:r>
    </w:p>
    <w:p w14:paraId="7036A9BA"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западнее Фастова и юго-восточнее Житомира наши войска отбивали контратаки крупных сил пехоты и танков противника.</w:t>
      </w:r>
    </w:p>
    <w:p w14:paraId="7C1A2B2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Южнее и юго-западнее Речица наши войска, сломив сопротивление противника, овладели сильно укреплёнными опорными пунктами его обороны Красноселье, Храбрый, Ровное, Коростань, Подмостье, Демехи, Молчаны, Капоровка, Будка, Андреевка, Романовка, Осиповка, Удалевка, Тихановка, и железнодорожной станцией </w:t>
      </w:r>
      <w:r w:rsidRPr="00271E51">
        <w:rPr>
          <w:rFonts w:ascii="Times New Roman" w:hAnsi="Times New Roman"/>
          <w:color w:val="000000" w:themeColor="text1"/>
          <w:sz w:val="16"/>
          <w:szCs w:val="16"/>
        </w:rPr>
        <w:lastRenderedPageBreak/>
        <w:t>Демехи, прервав таким образом сообщение по железной и шоссейной дорогам Гомель—Калинковичи. В боях противник понёс огромные потери в живой силе и технике.</w:t>
      </w:r>
    </w:p>
    <w:p w14:paraId="12F61DE9"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по расширению плацдармов в прежних районах.</w:t>
      </w:r>
    </w:p>
    <w:p w14:paraId="06E623AD"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5F367E2"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ноября наши войска на всех фронтах подбили и уничтожили 114 немецких танков. В воздушных боях и огнём зенитной артиллерии сбито 19 самолётов противника.</w:t>
      </w:r>
    </w:p>
    <w:p w14:paraId="25E5203F"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Коростенском направлении наши войска, преодолевая сопротивление противника, овладели районным центром Житомирской области Базар. Занят также районный центр Киевской области Каганович (Хабное). На одном участке немцы, стремясь задержать продвижение советских войск, предприняли контратаку. В результате боя наши части нанесли противнику тяжёлый урон и вынудили его отступить. Преследуя отступавших гитлеровцев, советские бойцы заняли ряд населённых пунктов и захватили 12 орудий, 22 миномёта, 80 пулемётов, 2 склада с боеприпасами, склады с зерном и сапёрным имуществом. Противник оставил на полебоя свыше 800 трупов своих солдат и офицеров.</w:t>
      </w:r>
    </w:p>
    <w:p w14:paraId="6212CDE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Фастова и юго-восточнее Житомира наши войска отбивали контратаки крупных сил пехоты и танков противника. На одном участке советские артиллеристы подбили и сожгли 30 немецких танков. На другом участке советские танкисты отбросили перешедшего в контратаку противника. Гитлеровцы оставили на поле боя 6 подбитых танков и свыше 500 трупов своих солдат и офицеров.</w:t>
      </w:r>
    </w:p>
    <w:p w14:paraId="06710509"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танков и мотопехоты противника. В результате боевых действий авиации уничтожено и повреждено 19 немецких танков, разбито 80 автомашин и железнодорожный эшелон противника.</w:t>
      </w:r>
    </w:p>
    <w:p w14:paraId="38DAEB02"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Керченском полуострове наши войска продолжали вести бои за расширение плацдармов. Северо-восточнее города Керчь бойцы Н-ской части атаковали противника и в результате ожесточённой схватки выбили его из траншей. На поле боя осталось до 300 трупов немецких солдат и офицеров. Захвачены трофеи и пленные. Немцы предприняли несколько контратак с целью вернуть потерянные ими позиции в районе опорного пункта Колонка. Все контратаки противника отбиты с большими для негопотерями.</w:t>
      </w:r>
    </w:p>
    <w:p w14:paraId="4176832B"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сбили 12 немецких самолётов.</w:t>
      </w:r>
    </w:p>
    <w:p w14:paraId="7A92E17C"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Речицы, на правом берегу Днепра, наши войска овладели рядом сильно укреплённых пунктов обороны противника. Немцы подтянули на этот участок резервы, но все их попытки остановить наступление наших частей успеха не имели. Продвигаясь вперёд, наши войска овладели железнодорожной станцией Демехи(западнее Речицы) и прервали сообщение как по железной дороге, так и по шоссе Гомель — Калинковичи. За истекший день убито до 3.000 немецких солдат и офицерови уничтожено 40 танков противника. Захвачены у немцев 27 исправных танков, 32 полевых и 7 самоходных орудий, 477 грузовых и 8 легковых машин, склад с бензином, 9 складов боеприпасов, 12 радиостанций и другое военное имущество. Взято в плен значительное число немецких солдат и офицеров.</w:t>
      </w:r>
    </w:p>
    <w:p w14:paraId="6FE13C38"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 транспорт противника водоизмещением в 1.500 тонн.</w:t>
      </w:r>
    </w:p>
    <w:p w14:paraId="2ED01905"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объединённых партизанских отрядов, действующих в Витебской области, за последнее время разгромили немецкие гарнизоны в 14 населённых пунктах. Советские патриоты взорвали и сожгли 5 танков, 34 автомашины и 11 складов с боеприпасами, продовольствием и горючим. В боях с противником партизаны уничтожили до 400 гитлеровцев. Захвачено у немцев 28 пулемётов, 12 миномётов и более 300 винтовок.</w:t>
      </w:r>
    </w:p>
    <w:p w14:paraId="005CA538"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лейтенант 23 немецкой танковой дивизии Вильгельм Н. рассказал: «В последних боях 23 дивизия понесла чрезвычайно тяжёлые потери. Вновь сформированный 128 моторизованный полк сейчас насчитывает всего лишь 200 человек. В 128 артиллерийском полку солдат осталось ещё меньше. Наодной станции русские захватили танки и орудия, только что привезённые из Германии для восполнения наших потерь. Многие солдаты и офицеры раньше верили в успех тотальной мобилизации. Теперь же каждый здравомыслящий человек понимает,что тотальная мобилизация ничего не дала. Тотальная мобилизация была объявлена зимой. С тех пор военное положение Германии не только не улучшилось, а, напротив, резко ухудшилось. Русские выбили нас из Орла, Брянска, Донбасса и уже вернули большую часть Украины. Немецкая армия катится по наклонной плоскости. Крах ещё можно отсрочить, но предотвратить его уже нельзя».</w:t>
      </w:r>
    </w:p>
    <w:p w14:paraId="7D3B04FF"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деревни Луганск, Запорожской области, составили акт о зверствах немецко-фашистских мерзавцев. В акте говорится: «За время своего хозяйничания немецкие захватчики разграбили всё имущество колхоза. На каждом шагу оккупанты притесняли и издевались над мирными жителями. За невыход или опоздание на работу немцы избивали колхозников и сажали в погреб. Перед отступлением фашистские изверги ходили из дома в дом, забирали одежду, обувь, ценные вещи, били посуду и ломали мебель. После этого грабежа немцы подожгли деревню. Огнём уничтожено 46 жилых домов со всеми хозяйственными постройками, школа, дом правления колхоза и другие здания. Гитлеровцы под угрозой расстрела приказали всему населению эвакуироваться в немецкий тыл. Жители, узнав о приближении Красной Армии, попрятались в балках и рвах и таким образом избежали фашистской неволи». Актподписали: зоотехник Н.Анисимова, колхозники А.Швыдкий, Т.Тарасенко, А.Супрун и другие.» (14831).</w:t>
      </w:r>
    </w:p>
    <w:p w14:paraId="5C3B988E"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755879CB"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15 ноября </w:t>
      </w:r>
      <w:r w:rsidRPr="00271E51">
        <w:rPr>
          <w:rFonts w:ascii="Times New Roman" w:hAnsi="Times New Roman"/>
          <w:color w:val="000000" w:themeColor="text1"/>
          <w:sz w:val="16"/>
          <w:szCs w:val="16"/>
        </w:rPr>
        <w:t>в 1943 году директива Ставки ВГК об упразднении Северо-Западного фронта (14831).</w:t>
      </w:r>
    </w:p>
    <w:p w14:paraId="5E454466"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225DED60" w14:textId="77777777" w:rsidR="004F5E15" w:rsidRPr="00271E51" w:rsidRDefault="004F5E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15 ноября </w:t>
      </w:r>
      <w:r w:rsidRPr="00271E51">
        <w:rPr>
          <w:rFonts w:ascii="Times New Roman" w:hAnsi="Times New Roman"/>
          <w:color w:val="000000" w:themeColor="text1"/>
          <w:sz w:val="16"/>
          <w:szCs w:val="16"/>
        </w:rPr>
        <w:t>в 1943 году немецкие войска перешли в контрнаступление под Житомиром (14831).</w:t>
      </w:r>
    </w:p>
    <w:p w14:paraId="08683A12" w14:textId="77777777" w:rsidR="004F5E15" w:rsidRPr="00271E51" w:rsidRDefault="004F5E15" w:rsidP="00271E51">
      <w:pPr>
        <w:spacing w:after="0" w:line="240" w:lineRule="auto"/>
        <w:jc w:val="both"/>
        <w:rPr>
          <w:rFonts w:ascii="Times New Roman" w:hAnsi="Times New Roman"/>
          <w:color w:val="000000" w:themeColor="text1"/>
          <w:sz w:val="16"/>
          <w:szCs w:val="16"/>
        </w:rPr>
      </w:pPr>
    </w:p>
    <w:p w14:paraId="21886E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вышла ДИРЕКТИВА КОМАНДУЮЩЕГО БТ и МВ КА КОМАНДУЮЩИМ БТ и МВ ФРОНТОВ ПО ПРЕОДОЛЕНИЮ ВОДНЫХ ПРЕГРАД ТАНКАМИ Т-34 № 1162381</w:t>
      </w:r>
    </w:p>
    <w:p w14:paraId="0A1252E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имеющегося в бронетанковых и механизированных войсках Красной Армии опыта и в результате проведенных испытаний танков Т-34 на преодоление водных преград установ</w:t>
      </w:r>
      <w:r w:rsidRPr="00271E51">
        <w:rPr>
          <w:rFonts w:ascii="Times New Roman" w:hAnsi="Times New Roman"/>
          <w:color w:val="000000" w:themeColor="text1"/>
          <w:sz w:val="16"/>
          <w:szCs w:val="16"/>
        </w:rPr>
        <w:softHyphen/>
        <w:t>лено, что танк Т-34, оборудованный простейшими приспособлениями, преодолевает брод глубиною до 2,3 метра, при ширине наиболее глубокой части до 40 метров.</w:t>
      </w:r>
    </w:p>
    <w:p w14:paraId="7C03455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предварительной подготовки и оборудования обычный танк Т-34 может преодолеть брод глубиною до 1,9 метра при ширине наиболее глубокой части до 20 метров.</w:t>
      </w:r>
    </w:p>
    <w:p w14:paraId="24887A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применения в танковых и механизированных войсках накопленного опыта Вам направ</w:t>
      </w:r>
      <w:r w:rsidRPr="00271E51">
        <w:rPr>
          <w:rFonts w:ascii="Times New Roman" w:hAnsi="Times New Roman"/>
          <w:color w:val="000000" w:themeColor="text1"/>
          <w:sz w:val="16"/>
          <w:szCs w:val="16"/>
        </w:rPr>
        <w:softHyphen/>
        <w:t>ляется для использования материал по преодолению водных преград танками Т-34.</w:t>
      </w:r>
    </w:p>
    <w:p w14:paraId="22E143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Вышеуказанным способом преодолевать водные преграды танками Т-34 можно лишь в исключительных случаях, когда нет никаких переправочных средств или наведенных переправ, так как вода, попадая в агрегаты и механизмы танка, портит смазку, а также наносит вред при</w:t>
      </w:r>
      <w:r w:rsidRPr="00271E51">
        <w:rPr>
          <w:rFonts w:ascii="Times New Roman" w:hAnsi="Times New Roman"/>
          <w:color w:val="000000" w:themeColor="text1"/>
          <w:sz w:val="16"/>
          <w:szCs w:val="16"/>
        </w:rPr>
        <w:softHyphen/>
        <w:t>борам радио- и электрооборудования.</w:t>
      </w:r>
    </w:p>
    <w:p w14:paraId="36D7DD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Инструкция по преодолению водных преград танками Т-34 (не оборудованными и оборудованными простейшими приспособлениями)</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267419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БТ и МВ Красной Армии генерал-полковник танковых войск Федоренко</w:t>
      </w:r>
    </w:p>
    <w:p w14:paraId="1E4B79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 военного совета генерал-лейтенант танковых войск Бирюков</w:t>
      </w:r>
    </w:p>
    <w:p w14:paraId="5081CA5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11351. Д. 216. Л. 71-73. Подлинник (11403).</w:t>
      </w:r>
    </w:p>
    <w:p w14:paraId="1E3C62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9660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 ходе контратаки немецкие войска отбили Житомир (4962).</w:t>
      </w:r>
    </w:p>
    <w:p w14:paraId="50EC511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EE5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15, 1943: In a counterattack, German forces recapture Shitomir and Korosten in the Ukraine (3819).</w:t>
      </w:r>
    </w:p>
    <w:p w14:paraId="2BDF72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3B1C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немецкие войска контратаковали и захватили Житомир и Коростень (3819).</w:t>
      </w:r>
    </w:p>
    <w:p w14:paraId="14BAEC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276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вышло Постановление ГКО № 4581 Об утверждении месячной нормы потребности пополнения фронтам и образования резерва пополнения. (7157, 81-81об.).</w:t>
      </w:r>
    </w:p>
    <w:p w14:paraId="139C04E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4095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59689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37E0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года Совет Народных Комиссаров СССР издал постановление № 1263-379с «Об экономии в расходовании хлеба». Этим постановлением разрешалось при изготовлении муки для хлебопечения использовать до 25-30 % ячменя, овса и проса. Были сокращены нормы отпуска хлеба. Так, в сельской местности рабочие стали получать 500 грамм хлеба в день, служащие - 300, иждивенцы и дети - 200. При этом райисполкомы могли устанавливать уменьшенную норму для рабочих и служащих и снимать со снабжения членов их семей в зависимости от обеспеченности их ресурсами от собственных хозяйств (Там же, ф. Р-405, оп. 6, д. 8, л. 322-324.).</w:t>
      </w:r>
    </w:p>
    <w:p w14:paraId="19B0A1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Мурманской области для рабочих и ИТР угольной, горнорудной и соляной промышленности была сохранена дневная норма 800 грамм хлеба, рабочие и инженерно-технические работники остальных отраслей промышленности стали получать по 700 грамм; служащие в зависимости от отрасли - по 500-600 грамм, иждивенцы - по </w:t>
      </w:r>
      <w:r w:rsidRPr="00271E51">
        <w:rPr>
          <w:rFonts w:ascii="Times New Roman" w:hAnsi="Times New Roman"/>
          <w:color w:val="000000" w:themeColor="text1"/>
          <w:sz w:val="16"/>
          <w:szCs w:val="16"/>
        </w:rPr>
        <w:lastRenderedPageBreak/>
        <w:t>300, а дети, в том числе школьники, - по 400 грамм хлеба в день. Плавсостав Главсевморпути во время рейсов получал ежедневно 1000 грамм хлеба. В рыбной и лесной промышленности была установлена градация: невыполняющие норму выработки получали 600 грамм, выполняющие - 700, перевыполняющие - 800 грамм хлеба в день (Там же, ф. Р-808, оп. 1, д. 96, л. 603, 603 об.). Старые нормы, действовавшие до ноября 1943 года, начали восстанавливаться лишь с 1945 года.</w:t>
      </w:r>
    </w:p>
    <w:p w14:paraId="283858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году по данным отчета областного бюро продовольственных и промтоварных карточек на карточном снабжении в Мурманской области находились около 120 тысяч человек. Двенадцатью карточными бюро области обслуживались 1193 предприятия, учреждения, домоуправления. Вместе с ростом населения усложнялась сама система карточек. Если к концу 1943 года было 19 разновидностей карточек, то в начале 1944 года - уже 53, а к концу 1944 года - 88 разновидностей карточек и талонов (Там же, ф. Р-808, оп. 1, д. 24, л. 26, 28 об.). Кстати, с мая 1943 года карточки для Мурманской области печатались уже в Москве (Там же, ф. Р-808, оп. 1, д. 24, л. 28 об.; д. 96, л. 479.).</w:t>
      </w:r>
    </w:p>
    <w:p w14:paraId="14B54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Великой Отечественной войны использование карточной системы было оправданным. В условиях крайней нужды буквально во всем нормированное снабжение населения, пусть в ограниченном количестве и очень скудном ассортименте, выполнило свою главную задачу - позволило людям выжить. Но после окончания войны недостатки карточного распределения стали проявляться все явственнее. Политическое руководство страны это прекрасно понимало (11911).</w:t>
      </w:r>
    </w:p>
    <w:p w14:paraId="09EDAB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DEC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 вышелУКАЗ ПРЕЗИДИУМА ВЕРХОВНОГО СОВЕТА СССР ОБ ОТВЕТСТВЕННОСТИ ЗА РАЗГЛАШЕНИЕ ГОСУДАРСТВЕННОЙ ТАЙНЫ И ЗА УТРАТУ ДОКУМЕНТОВ, СОДЕРЖАЩИХ ГОСУДАРСТВЕННУЮ ТАЙНУ</w:t>
      </w:r>
    </w:p>
    <w:p w14:paraId="45B64B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Установить, что разглашение должностными лицами сведений, составляющих государственную тайну, а равно утрата документов, содержащих такие сведения, карается лишением свободы на срок до 5 лет, если эти действия по своему характеру не влекут за собой по закону более тяжкого наказания.</w:t>
      </w:r>
    </w:p>
    <w:p w14:paraId="7D739E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 же действия, если они повлекли или могли повлечь за собой тяжелые последствия, караются лишением свободы на срок до 10 лет.</w:t>
      </w:r>
    </w:p>
    <w:p w14:paraId="5781DF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Разглашение частными лицами сведений, заведомо являющихся государственной тайной, карается лишением свободы на срок до 3 лет, если это действие по своему характеру не влечет за собой по закону более тяжкого наказания.</w:t>
      </w:r>
    </w:p>
    <w:p w14:paraId="2C6879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Дела о преступлениях, предусмотренных настоящим Указом, подсудны военным трибуналам.</w:t>
      </w:r>
    </w:p>
    <w:p w14:paraId="3F039C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Председатель Президиума Верховного Совета СССР М. КАЛИНИН</w:t>
      </w:r>
    </w:p>
    <w:p w14:paraId="0894E6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Секретарь Президиума Верховного Совета СССР А. ГОРКИН</w:t>
      </w:r>
    </w:p>
    <w:p w14:paraId="536255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Москва, Кремль (9844).</w:t>
      </w:r>
    </w:p>
    <w:p w14:paraId="7E8893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C033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E63B6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624F6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Гиммлер приказал отправить в концлагеря всех цыган Германии (4962).</w:t>
      </w:r>
    </w:p>
    <w:p w14:paraId="308CE12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A5B077" w14:textId="77777777" w:rsidR="00E66D13" w:rsidRPr="00271E51" w:rsidRDefault="00E66D1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15 ноября </w:t>
      </w:r>
      <w:r w:rsidRPr="00271E51">
        <w:rPr>
          <w:rFonts w:ascii="Times New Roman" w:hAnsi="Times New Roman"/>
          <w:color w:val="000000" w:themeColor="text1"/>
          <w:sz w:val="16"/>
          <w:szCs w:val="16"/>
        </w:rPr>
        <w:t>в 1943 году германское руководство приняло решение о поголовном уничтожении цыган. По разным оценкам в 1943-1945 погибло 750 тысяч цыган (14831).</w:t>
      </w:r>
    </w:p>
    <w:p w14:paraId="1A6F9A47" w14:textId="77777777" w:rsidR="00E66D13" w:rsidRPr="00271E51" w:rsidRDefault="00E66D13" w:rsidP="00271E51">
      <w:pPr>
        <w:spacing w:after="0" w:line="240" w:lineRule="auto"/>
        <w:jc w:val="both"/>
        <w:rPr>
          <w:rFonts w:ascii="Times New Roman" w:hAnsi="Times New Roman"/>
          <w:color w:val="000000" w:themeColor="text1"/>
          <w:sz w:val="16"/>
          <w:szCs w:val="16"/>
        </w:rPr>
      </w:pPr>
    </w:p>
    <w:p w14:paraId="467E4F7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ноября 1943 фашисты взяли в заложники 2 тысячи итальянских рабочих в Милане, угрожая их расстрелом в случае саботажа на миланских заводах (4962).</w:t>
      </w:r>
    </w:p>
    <w:p w14:paraId="76BC430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359FA" w14:textId="77777777" w:rsidR="00E66D13" w:rsidRPr="00271E51" w:rsidRDefault="00E66D1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15 ноября </w:t>
      </w:r>
      <w:r w:rsidRPr="00271E51">
        <w:rPr>
          <w:rFonts w:ascii="Times New Roman" w:hAnsi="Times New Roman"/>
          <w:color w:val="000000" w:themeColor="text1"/>
          <w:sz w:val="16"/>
          <w:szCs w:val="16"/>
        </w:rPr>
        <w:t>в 1943 году в Токио подписано японо-германское соглашение о координации стратегических планов (14831).</w:t>
      </w:r>
    </w:p>
    <w:p w14:paraId="117F92C8" w14:textId="77777777" w:rsidR="00E66D13" w:rsidRPr="00271E51" w:rsidRDefault="00E66D13" w:rsidP="00271E51">
      <w:pPr>
        <w:spacing w:after="0" w:line="240" w:lineRule="auto"/>
        <w:jc w:val="both"/>
        <w:rPr>
          <w:rFonts w:ascii="Times New Roman" w:hAnsi="Times New Roman"/>
          <w:color w:val="000000" w:themeColor="text1"/>
          <w:sz w:val="16"/>
          <w:szCs w:val="16"/>
        </w:rPr>
      </w:pPr>
    </w:p>
    <w:p w14:paraId="662EB6A8" w14:textId="77777777" w:rsidR="003602B0" w:rsidRPr="00271E51" w:rsidRDefault="003602B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922271F" w14:textId="77777777" w:rsidR="003602B0" w:rsidRPr="00271E51" w:rsidRDefault="003602B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438CCE" w14:textId="77777777" w:rsidR="003602B0" w:rsidRPr="00271E51" w:rsidRDefault="003602B0"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В середине ноября 1943 начальник 1-го отдела ГУ ИАС ВВС генерал -майор Гребенев, обеспокоенный ситуацией по опытным работам в ОКБ-240 и на заводах № 1 и № 18 - не выполнены постановления ГКО № 2347сс и № 4427сс, строятся самолеты Ил-1, которые ВВС не заказывали, - распорядился оценить фактическое состояние дел на месте. В Куйбышев срочно выехал помощник начальника 1 -го отдела ГУ ИАС инженер-капитан Бобровский. По возвращении из командировки Бобровский 3 декабря доложил, что «Приказом НКАП № 594сс от 11.10.43 г. заводу № 18 было задано: а) 1-й экземпляр самолета Ил с АМ-42 в одноместном варианте, изготовляемого согласно приказу НКАП № 414сс от 12.7.43 г., выпустить в полет 15.11.43 г.; б) построить 2-й экземпляр самолета Ил с АМ-42 в двухместном варианте и предъявить его на заводские испытания 10.12.43 г. Здесь имеется какая-то неувязка, так как приказом НКАП № 414сс от 12.7.43 г. заводу № 18 не задавалась постройка одноместного самолета Ил. В действительности же завод еще до приказа НКАП № 594сс от 11.10.43 г. начал постройку одноместного истребителя Ил-1 АМ-42, аналогично изготовляемому на заводе № 1. В конце октября с/г по указанию Гл. конструктора работы по Ил-1 с АМ-42 завод № 18 прекратил./.. ./Таким образом, на заводе № 18 в настоящее время ведутся работы по постройке 2-местного самолета Ил с АМ-42, предусмотренного приказом НКАП № 594сс, и по установке на модернизированный штурмовик Ил с АМ-42 мотора АМ-38./. ../Самолет (двухместный Ил-1. -</w:t>
      </w:r>
      <w:r w:rsidRPr="00271E51">
        <w:rPr>
          <w:rStyle w:val="BodytextItalic"/>
          <w:rFonts w:eastAsiaTheme="minorHAnsi"/>
          <w:i w:val="0"/>
          <w:color w:val="000000" w:themeColor="text1"/>
          <w:sz w:val="16"/>
          <w:szCs w:val="16"/>
        </w:rPr>
        <w:t xml:space="preserve"> Прим. авт.)</w:t>
      </w:r>
      <w:r w:rsidRPr="00271E51">
        <w:rPr>
          <w:rStyle w:val="5f"/>
          <w:rFonts w:eastAsiaTheme="minorHAnsi"/>
          <w:color w:val="000000" w:themeColor="text1"/>
          <w:sz w:val="16"/>
          <w:szCs w:val="16"/>
        </w:rPr>
        <w:t xml:space="preserve"> цельнометаллической конструкции, с существенно отличной по сравнению с серийным самолетом компоновкой ВМГ, убирающимися одностоечным шасси и хвостовым колесом. По этому самолету, так же как и по самолету Ил-1 с АМ-42, эскизный проект в ВВС не представлялся./.. ./Для самолета предусмотрено два варианта пулеметно -пушечного вооружения: 1 -й вариант - 2 пушки калибра 37 мм, 2 пушки калибра 20 мм, 1 пулемет калибра 12,7 мм; 2-й вариант - 2 пушки калибра 23 мм, 2 пулемета калибра 7,62 мм, 1 пулемет калибра 12,7 мм. Бомбовая нагрузка до 300 кг внутрь фюзеляжа./. ../Изготавливаемые в настоящее время на заводе № 1 новый одноместный истребитель Ил-1 с АМ-42 и на заводе № 18 двухместный самолет Ил под мотор АМ-42 не достаточно ясны по своим летно -тактическим данным и даже назначению».</w:t>
      </w:r>
    </w:p>
    <w:p w14:paraId="207D8BB0" w14:textId="77777777" w:rsidR="003602B0" w:rsidRPr="00271E51" w:rsidRDefault="003602B0"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Старший военпред ГУ ИАС ВВС на заводе № 240 инженер-майор Григорьев получил указание от генерала Гребенева: «Разъяснить у т. Ильюшина, что это за самолеты Ил-1 и Ил 2-местный с АМ-42». Из доклада Григорьева следует, что 10 декабря он запросил у «Гл. конструктора т. Ильюшина» эскизный проект, который тот «обещал выслать в ближайшее время». Но, как показали дальнейшие события, не выслал.</w:t>
      </w:r>
    </w:p>
    <w:p w14:paraId="0B64920B" w14:textId="77777777" w:rsidR="003602B0" w:rsidRPr="00271E51" w:rsidRDefault="003602B0"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К 20 ноября 1943 по оценке старшего военпреда на заводе инженер -майора С. С. Фатеева, «при таком темпе изготовление Ил-1 может быть закончено только в январе - феврале 1944 г.». Из-за неготовности стапелей и некомплектности сдаваемых деталей заготовительными цехами задерживались по сборке: крыло, рули поворота и высоты. Лонжероны крыла еще не собраны. Из готовых агрегатов имелся только фюзеляж. Заканчивалось изготовление шасси, дорабатывался бронекорпус (17490).</w:t>
      </w:r>
    </w:p>
    <w:p w14:paraId="2C435ED4" w14:textId="77777777" w:rsidR="003602B0" w:rsidRPr="00271E51" w:rsidRDefault="003602B0" w:rsidP="00271E51">
      <w:pPr>
        <w:spacing w:after="0" w:line="240" w:lineRule="auto"/>
        <w:jc w:val="both"/>
        <w:rPr>
          <w:rFonts w:ascii="Times New Roman" w:hAnsi="Times New Roman"/>
          <w:color w:val="000000" w:themeColor="text1"/>
          <w:sz w:val="16"/>
          <w:szCs w:val="16"/>
        </w:rPr>
      </w:pPr>
    </w:p>
    <w:p w14:paraId="2F99B2A6"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66756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7448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ноября 1943 г. на заводе № 100 на опытном танке ИС № 1 ("Объект 237") ходовым испытаниям были подвергнуты опытная гусеница с новыми литыми (из стали Л ВТ, 92Л, 92, 114) и штампован</w:t>
      </w:r>
      <w:r w:rsidRPr="00271E51">
        <w:rPr>
          <w:rFonts w:ascii="Times New Roman" w:hAnsi="Times New Roman"/>
          <w:color w:val="000000" w:themeColor="text1"/>
          <w:sz w:val="16"/>
          <w:szCs w:val="16"/>
        </w:rPr>
        <w:softHyphen/>
        <w:t>ными (из стали 35ХГ2) траками, литые зубчатые венцы ведущих колес повышенной твердости, керогазы для нагрева воды системы охлажде</w:t>
      </w:r>
      <w:r w:rsidRPr="00271E51">
        <w:rPr>
          <w:rFonts w:ascii="Times New Roman" w:hAnsi="Times New Roman"/>
          <w:color w:val="000000" w:themeColor="text1"/>
          <w:sz w:val="16"/>
          <w:szCs w:val="16"/>
        </w:rPr>
        <w:softHyphen/>
        <w:t>ния, дополнительный масляный бачок для разжижения масла. В башню этого танка был установлен опытный телескопический шарнирный прицел с четырехкратным увеличением ПТ-8 конструкции завода № 69 НКВ (10703).</w:t>
      </w:r>
    </w:p>
    <w:p w14:paraId="490A0A9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5B3D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A1085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DCC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вышел приказ НКАП N 687сс: "Об установке на самолетах Ил-2, выпускаемых заводом 30 пушек ВЯ 23 мм вместо пушек ОКБ-16 37 мм"</w:t>
      </w:r>
    </w:p>
    <w:p w14:paraId="75EBC4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N 4554сс от 12 ноября 1943:</w:t>
      </w:r>
    </w:p>
    <w:p w14:paraId="70CD39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10 ГУ зам. наркома Кузнецову, директору завода 30 Смирнову:</w:t>
      </w:r>
    </w:p>
    <w:p w14:paraId="0C1B64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начать с 1 декабря 1943 выпуск на заводе 30 самолетов Ил-2 с пушками ВЯ 23 мм с тем, чтобы к 15 января 1944 осуществить полный переход завода на выпуск самолетов Ил-2 с пушками ВЯ 23 мм вместо пушек ОКБ-16 37 мм</w:t>
      </w:r>
    </w:p>
    <w:p w14:paraId="11DB6D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перевод завода 30 на выпуск самолетов Ил-2 с пушками ВЯ 23 мм осуществить не снижая достигнутого заводом уровня выпуска самолетов (1751,119).</w:t>
      </w:r>
    </w:p>
    <w:p w14:paraId="29FAC7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EF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г. вышел приказ НКАП, в соответствии с которым моторный завод № 45 должен был спроектировать и изготовить аппаратуру впрыска воды в мотор АМ-38Ф. Конструктор С.В. Ильюшин и завод № 18 получили задание оборудовать пять самолетов Ил-2 моторами с системами впрыска воды. Но при решении этой задачи ни моторный, ни самолетный завод, да и сам Ильюшин особого энтузиазма не проявили. Впрыск воды так и не был отработан, хотя ОКБ Микулина вело в этом направлении экспериментальные работы применительно к АМ-39 и АМ-42 (9030).</w:t>
      </w:r>
    </w:p>
    <w:p w14:paraId="631F6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A22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г. в соответствии с приказом по НКАП № 681 моторный завод № 45 должен был спроектировать и изготовить аппаратуру впрыска воды в мотор АМ-38Ф и провести 100-часовые стендовые испытания модифицированного двигателя. Конструктор С.В. Ильюшин и завод № 18 получили задание обору</w:t>
      </w:r>
      <w:r w:rsidRPr="00271E51">
        <w:rPr>
          <w:rFonts w:ascii="Times New Roman" w:hAnsi="Times New Roman"/>
          <w:color w:val="000000" w:themeColor="text1"/>
          <w:sz w:val="16"/>
          <w:szCs w:val="16"/>
        </w:rPr>
        <w:softHyphen/>
        <w:t xml:space="preserve">довать пять </w:t>
      </w:r>
      <w:r w:rsidRPr="00271E51">
        <w:rPr>
          <w:rFonts w:ascii="Times New Roman" w:hAnsi="Times New Roman"/>
          <w:color w:val="000000" w:themeColor="text1"/>
          <w:sz w:val="16"/>
          <w:szCs w:val="16"/>
        </w:rPr>
        <w:lastRenderedPageBreak/>
        <w:t>самолетов Ил-2 моторами с системами впрыска воды и предъявить их в НИИ ВВС на войсковые испытания до 15 февраля 1944 г. Но при решении этой задачи ни моторный, ни самолетный за</w:t>
      </w:r>
      <w:r w:rsidRPr="00271E51">
        <w:rPr>
          <w:rFonts w:ascii="Times New Roman" w:hAnsi="Times New Roman"/>
          <w:color w:val="000000" w:themeColor="text1"/>
          <w:sz w:val="16"/>
          <w:szCs w:val="16"/>
        </w:rPr>
        <w:softHyphen/>
        <w:t>вод, да и сам конструктор самолета Ильюшин особого энтузиазма не проявили. Впрыск воды в мотор АМ-38Ф так и не был отработан и доведен для применения даже на малой серии, хотя ОКБ Микулина вело интенсивные экспериментальные работы по изучению впрыска воды применительно к двигателям АМ-39 и АМ-42 (10781).</w:t>
      </w:r>
    </w:p>
    <w:p w14:paraId="73AE42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9E4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вышел приказ НКАП N 685сс в исполнение постановления ГКО N 4552 от 12 ноября 1943:</w:t>
      </w:r>
    </w:p>
    <w:p w14:paraId="50C06B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10 ГУ, зам. наркома Кузнецову, директору завода 22 Окулову и ГК В.М.М. наряду с выпуском бомбардировщиков Пе-2, организовать на заводе 22 серийное производство 2-х моторных истребителей Пе-3, ранее выпускаемых на заводе 39.</w:t>
      </w:r>
    </w:p>
    <w:p w14:paraId="00F72D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Пе-3 с 2хМ105ПФ выпускать со след.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340C3E8" w14:textId="77777777" w:rsidTr="00ED5B0A">
        <w:tc>
          <w:tcPr>
            <w:tcW w:w="5636" w:type="dxa"/>
          </w:tcPr>
          <w:p w14:paraId="259163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w:t>
            </w:r>
          </w:p>
        </w:tc>
        <w:tc>
          <w:tcPr>
            <w:tcW w:w="5636" w:type="dxa"/>
          </w:tcPr>
          <w:p w14:paraId="55A5C3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460 км/час</w:t>
            </w:r>
          </w:p>
        </w:tc>
      </w:tr>
      <w:tr w:rsidR="00A907A5" w:rsidRPr="00271E51" w14:paraId="00AE1E41" w14:textId="77777777" w:rsidTr="00ED5B0A">
        <w:tc>
          <w:tcPr>
            <w:tcW w:w="5636" w:type="dxa"/>
          </w:tcPr>
          <w:p w14:paraId="76A886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3800 м</w:t>
            </w:r>
          </w:p>
        </w:tc>
        <w:tc>
          <w:tcPr>
            <w:tcW w:w="5636" w:type="dxa"/>
          </w:tcPr>
          <w:p w14:paraId="3A343A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 км/час</w:t>
            </w:r>
          </w:p>
        </w:tc>
      </w:tr>
      <w:tr w:rsidR="00A907A5" w:rsidRPr="00271E51" w14:paraId="2E2B5BFC" w14:textId="77777777" w:rsidTr="00ED5B0A">
        <w:tc>
          <w:tcPr>
            <w:tcW w:w="5636" w:type="dxa"/>
          </w:tcPr>
          <w:p w14:paraId="32CB5B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 подъема на 5000 м</w:t>
            </w:r>
          </w:p>
        </w:tc>
        <w:tc>
          <w:tcPr>
            <w:tcW w:w="5636" w:type="dxa"/>
          </w:tcPr>
          <w:p w14:paraId="3E8277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tc>
      </w:tr>
      <w:tr w:rsidR="00A907A5" w:rsidRPr="00271E51" w14:paraId="72E2C6F4" w14:textId="77777777" w:rsidTr="00ED5B0A">
        <w:tc>
          <w:tcPr>
            <w:tcW w:w="5636" w:type="dxa"/>
          </w:tcPr>
          <w:p w14:paraId="50749F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 дальность при норм. весе</w:t>
            </w:r>
          </w:p>
        </w:tc>
        <w:tc>
          <w:tcPr>
            <w:tcW w:w="5636" w:type="dxa"/>
          </w:tcPr>
          <w:p w14:paraId="25095A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1800 км</w:t>
            </w:r>
          </w:p>
        </w:tc>
      </w:tr>
      <w:tr w:rsidR="00A907A5" w:rsidRPr="00271E51" w14:paraId="4790DE17" w14:textId="77777777" w:rsidTr="00ED5B0A">
        <w:tc>
          <w:tcPr>
            <w:tcW w:w="5636" w:type="dxa"/>
          </w:tcPr>
          <w:p w14:paraId="00F77D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наивыг. дальность при перегрузке</w:t>
            </w:r>
          </w:p>
        </w:tc>
        <w:tc>
          <w:tcPr>
            <w:tcW w:w="5636" w:type="dxa"/>
          </w:tcPr>
          <w:p w14:paraId="319BF8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2100 км</w:t>
            </w:r>
          </w:p>
        </w:tc>
      </w:tr>
      <w:tr w:rsidR="00A907A5" w:rsidRPr="00271E51" w14:paraId="31E999FE" w14:textId="77777777" w:rsidTr="00ED5B0A">
        <w:tc>
          <w:tcPr>
            <w:tcW w:w="5636" w:type="dxa"/>
          </w:tcPr>
          <w:p w14:paraId="1BA4E7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w:t>
            </w:r>
          </w:p>
        </w:tc>
        <w:tc>
          <w:tcPr>
            <w:tcW w:w="5636" w:type="dxa"/>
          </w:tcPr>
          <w:p w14:paraId="2063DB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r>
      <w:tr w:rsidR="00A907A5" w:rsidRPr="00271E51" w14:paraId="4FB2A440" w14:textId="77777777" w:rsidTr="00ED5B0A">
        <w:tc>
          <w:tcPr>
            <w:tcW w:w="5636" w:type="dxa"/>
          </w:tcPr>
          <w:p w14:paraId="69C577D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 бомб. Нагрузка</w:t>
            </w:r>
          </w:p>
        </w:tc>
        <w:tc>
          <w:tcPr>
            <w:tcW w:w="5636" w:type="dxa"/>
          </w:tcPr>
          <w:p w14:paraId="579379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 кг</w:t>
            </w:r>
          </w:p>
        </w:tc>
      </w:tr>
    </w:tbl>
    <w:p w14:paraId="1353FB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17E4259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вперед 1х20 с 250 и 1хБС с 250, потом 2х20</w:t>
      </w:r>
    </w:p>
    <w:p w14:paraId="268294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назад 1хБ12.7 мм с 200</w:t>
      </w:r>
    </w:p>
    <w:p w14:paraId="7A9833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две ДАГ-10 с 20 ДАГ</w:t>
      </w:r>
    </w:p>
    <w:p w14:paraId="3BED08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замка для наружной подвески</w:t>
      </w:r>
    </w:p>
    <w:p w14:paraId="0F621B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Установить заводу 22 программу выпуска на январь 1944 - 20, с февраля - 2 в день и с марта - 3</w:t>
      </w:r>
    </w:p>
    <w:p w14:paraId="41C003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Производство Пе-2 с М-82 на заводе 22 прекратить (1751,95).</w:t>
      </w:r>
    </w:p>
    <w:p w14:paraId="7E56A5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5C9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на завод № 124 пришло другое письмо из НКАП с приказом об организации на 22-м заводе производства Пе-3 с января 1944 г. (в феврале - 2 и в марте - 3 машины в сутки), ранее выпускавшихся на 39-м заводе, и прекращении производства Пе-2 с М-82 (12049).</w:t>
      </w:r>
    </w:p>
    <w:p w14:paraId="422213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FF86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и 14 ию</w:t>
      </w:r>
      <w:r w:rsidRPr="00271E51">
        <w:rPr>
          <w:rFonts w:ascii="Times New Roman" w:hAnsi="Times New Roman"/>
          <w:color w:val="000000" w:themeColor="text1"/>
          <w:sz w:val="16"/>
          <w:szCs w:val="16"/>
        </w:rPr>
        <w:softHyphen/>
        <w:t>ня 1943 года вышли приказы НКАП, в соответствии с которыми на самолете № 14/226 с августа проводились испытания моторов ВК-105ПФ со впрыском воды в цилиндры. Испытания завершились в ноябре с отри</w:t>
      </w:r>
      <w:r w:rsidRPr="00271E51">
        <w:rPr>
          <w:rFonts w:ascii="Times New Roman" w:hAnsi="Times New Roman"/>
          <w:color w:val="000000" w:themeColor="text1"/>
          <w:sz w:val="16"/>
          <w:szCs w:val="16"/>
        </w:rPr>
        <w:softHyphen/>
        <w:t>цательным результатом, и работы в этом направлении приостановили (11446).</w:t>
      </w:r>
    </w:p>
    <w:p w14:paraId="06F8EC3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8AFC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вышел приказ НКАП N 686 "Об организации производства самолета Як-3 на заводе 31" в исполнение постановления ГКО N 4553 от 12 ноября 1943. На время перехода до 1 марта 1944 производство ЛаГГ-3 (947,106) "не допуская при этом ущерба для организации производства истребителей Як-3" (1751,106) приказываю:</w:t>
      </w:r>
    </w:p>
    <w:p w14:paraId="6D0B8A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Воронину и Саладзе организовать на заводе № 31 производство истребителя Як-3 с началом серийного выпуска не позднее 1 марта 1944. Сохранить на заводе № 31 на время перевода его на производство самолетов Як-3 выпуск истребителей ЛаГГ-3.</w:t>
      </w:r>
    </w:p>
    <w:p w14:paraId="6ECC55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Получили 3 млн. руб. На подготовку производства (1751,106).</w:t>
      </w:r>
    </w:p>
    <w:p w14:paraId="2FEC2D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EBD07"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 ноября 1943 вышел приказ НКАП № 686сс «Об организации производства самолета Як-3 на заводе 31» во исполнение постановления ГКО № 4553сс от 12 ноября 1943. П.А. Воронину и В.Е. Саладзе было поручено наладить на заводе № 31 производство истребителя Як-3 с началом серийного выпуска не позднее 1 марта 1944 года, при этом сохранить на заводе № 31 на время перевода его на производство самолетов Як-3 выпуск истребителей ЛаГГ-3 (23197).</w:t>
      </w:r>
    </w:p>
    <w:p w14:paraId="05569DEC" w14:textId="77777777" w:rsidR="006E245A" w:rsidRPr="00271E51" w:rsidRDefault="006E245A" w:rsidP="00271E51">
      <w:pPr>
        <w:spacing w:after="0" w:line="240" w:lineRule="auto"/>
        <w:jc w:val="both"/>
        <w:rPr>
          <w:rFonts w:ascii="Times New Roman" w:hAnsi="Times New Roman"/>
          <w:color w:val="0070C0"/>
          <w:sz w:val="16"/>
          <w:szCs w:val="16"/>
        </w:rPr>
      </w:pPr>
    </w:p>
    <w:p w14:paraId="1294FB1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8706A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A276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4583 О т.т. Багнюке А.С. и Аношине И.С.РГАНИР, Фонд ГКО, д. 175, лл. 93 (11012).</w:t>
      </w:r>
    </w:p>
    <w:p w14:paraId="729E7D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AA0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4584 О т.т. Иванове П.Ф., Ткаченко Ф.Г., Пономареве И.М., Деньгине С.А., Кожевникове С.К., Гузий В.Г., Туманян Г.Л., Коновалове П.Г., Уранове В.И., Печерица П.Л., Доронине Я.А., Мочалове В.А., Санакоеве Г.Г., Савкине В.Г., Халезове А.Е. иРГАНИР, Фонд ГКО, д. 175, лл. (11012).</w:t>
      </w:r>
    </w:p>
    <w:p w14:paraId="5AF6EE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568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4585 О т.т. Олейнике Ф.И., Олейнике З.Ф.РГАНИР, Фонд ГКО, д. 175, лл. 96 (11012).</w:t>
      </w:r>
    </w:p>
    <w:p w14:paraId="0C2794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8D8B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Распоряжение ГКО № 4586 [О выделении в Распоряжение ГКО Советского транспортного управления в Иране 10 трофейных паровозов.] (7157, 97,98-99).</w:t>
      </w:r>
    </w:p>
    <w:p w14:paraId="681E41F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478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Распоряжение ГКО № 4587. Об ускорении организации производства синтетического ацетона и бутанола из нефтяных газов.РГАНИР, Фонд ГКО, д. 175, лл. 100 (11012).</w:t>
      </w:r>
    </w:p>
    <w:p w14:paraId="5111E2C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4F2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Распоряжение ГКО № 4588. О мерах по производству ацетона и бутанола на заводах НКПП.РГАНИР, Фонд ГКО, д. 175, лл. 101 (11012).</w:t>
      </w:r>
    </w:p>
    <w:p w14:paraId="284F04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EF0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4589 О неотложных мероприятиях по восстановлению системы водоснабжения Донбассводтреста и предприятий Наркомчермета в Донбассе.РГАНИР, Фонд ГКО, д. 175, лл. 102-111, 112-191 (11012).</w:t>
      </w:r>
    </w:p>
    <w:p w14:paraId="72CE8E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CA3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4590 Об увеличении производства 120 мм мин в декабре 1943 года и январе-феврале 1944 г.РГАНИР, Фонд ГКО, д. 176, лл. 1-5, 6-101 (11012).</w:t>
      </w:r>
    </w:p>
    <w:p w14:paraId="408190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A81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4591 О материально-техническом обеспечении строек и заводов Наркомхимпрома в IV кв. 1943 г.РГАНИР, Фонд ГКО, д. 176, лл. 102-109, 110-148 (11012).</w:t>
      </w:r>
    </w:p>
    <w:p w14:paraId="6D93A1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24F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4592 О восстановлении химических предприятий Донбасса.РГАНИР, Фонд ГКО, д. 176, лл. 149-157, 158-199 (11012).</w:t>
      </w:r>
    </w:p>
    <w:p w14:paraId="14C3EB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027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вышло Постановление ГКО № 4593 О восстановлении Мариупольского металлургического завода им. Ильича Наркомтанкопрома.РГАНИР, Фонд ГКО, д. 176, лл. 200-210, 211-220 (11012).</w:t>
      </w:r>
    </w:p>
    <w:p w14:paraId="5BA7BD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68F97" w14:textId="77777777" w:rsidR="00473181" w:rsidRPr="00271E51" w:rsidRDefault="00473181" w:rsidP="00271E51">
      <w:pPr>
        <w:pStyle w:val="a3"/>
        <w:rPr>
          <w:color w:val="000000" w:themeColor="text1"/>
          <w:lang w:val="ru-RU"/>
        </w:rPr>
      </w:pPr>
      <w:r w:rsidRPr="00271E51">
        <w:rPr>
          <w:color w:val="000000" w:themeColor="text1"/>
          <w:lang w:val="ru-RU"/>
        </w:rPr>
        <w:t>16 ноября 1943 года было принято постановление ГКО №4593сс о восстановлении Мариупольского завода (РГАСПИ. Ф. 644. Оп. 1. Д. 176. Л. 200-210). Предполагалось наладить на заводе производство литых башен нового танка ИС. В тот момент башни ИСа были одним из «узких мест» танкостроения. Их нехватка сдерживала производство этой нужной войскам машины. До эвакуации завод располагал развитым металлургическим производством, занимался прокатом бронелиста и изготовлением бронекорпусов. Часть оборудования, в том числе несколько прокатных станов, так и осталась на заводе не эвакуированной. Попытки немцев наладить их использование окончились неудачно. Ввод в строй этих прокатных станов стал одной из первоочередных задач.</w:t>
      </w:r>
    </w:p>
    <w:p w14:paraId="5B5F79D5" w14:textId="77777777" w:rsidR="00473181" w:rsidRPr="00271E51" w:rsidRDefault="00473181" w:rsidP="00271E51">
      <w:pPr>
        <w:pStyle w:val="a3"/>
        <w:rPr>
          <w:color w:val="000000" w:themeColor="text1"/>
          <w:lang w:val="ru-RU"/>
        </w:rPr>
      </w:pPr>
      <w:r w:rsidRPr="00271E51">
        <w:rPr>
          <w:color w:val="000000" w:themeColor="text1"/>
          <w:lang w:val="ru-RU"/>
        </w:rPr>
        <w:t xml:space="preserve">Восстановление завода имени Ильича шло быстрыми темпами. Уже в ноябре 1943 года началась подготовка к производству башен, а первые пять штук были изготовлены 22 февраля 1944 года (РГАЭ. Ф. 8798. Оп. 4. Д. 26. Л. 175). Всего в 1944 году завод произвёл 1107 башен танка ИС. Половина советских танков ИС производства 1944 года несло башни этого завода. Помимо башен танка ИС завод производил также башни для танка Т-44. Успешно продвигалось и восстановление </w:t>
      </w:r>
      <w:r w:rsidRPr="00271E51">
        <w:rPr>
          <w:color w:val="000000" w:themeColor="text1"/>
          <w:lang w:val="ru-RU"/>
        </w:rPr>
        <w:lastRenderedPageBreak/>
        <w:t>прокатных станов. Первый прокатный стан на заводе был пущен всего через два месяца после начала восстановительных работ. К первому января 1945 года на заводе действовало уже 5 прокатных станов. В 1944 году на этих станах было произведено 139 тысяч тонн проката, в том числе, 48 тысяч тонн бронелиста. Завод имел к 1 января 1945 года 9 мартеновских печей общим тоннажем 537 тонн (12290).</w:t>
      </w:r>
    </w:p>
    <w:p w14:paraId="78D1C262" w14:textId="77777777" w:rsidR="00473181" w:rsidRPr="00271E51" w:rsidRDefault="00473181" w:rsidP="00271E51">
      <w:pPr>
        <w:pStyle w:val="a3"/>
        <w:rPr>
          <w:color w:val="000000" w:themeColor="text1"/>
          <w:lang w:val="ru-RU"/>
        </w:rPr>
      </w:pPr>
    </w:p>
    <w:p w14:paraId="221B19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 Ленинграде спущен на воду дизельный ТЩ по пр. 53-У (10671).</w:t>
      </w:r>
    </w:p>
    <w:p w14:paraId="04BE31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AA4A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93BFB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D47D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16 ноября </w:t>
      </w:r>
      <w:r w:rsidRPr="00271E51">
        <w:rPr>
          <w:rFonts w:ascii="Times New Roman" w:hAnsi="Times New Roman"/>
          <w:color w:val="000000" w:themeColor="text1"/>
          <w:sz w:val="16"/>
          <w:szCs w:val="16"/>
        </w:rPr>
        <w:t>в 1943 году оперативная сводка Совинформбюро:</w:t>
      </w:r>
    </w:p>
    <w:p w14:paraId="2D2A5FE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ноября на Коростенском направлении наши войска заняли более 60 населённых пунктов, среди которых крупные населённые пункты Тарасы, Звиздаль, Буда Клещёвская, Лозница, Любарка, Калиновка, Обыходы, Медыновая Слобода, Липляны, Мелени, Злобичи, Шершни, Ковали, Турчинка и железнодорожные станции Чеповичи, Турчинка.</w:t>
      </w:r>
    </w:p>
    <w:p w14:paraId="4DAE9F8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Фастова и юго-восточнее Житомира наши войска отбивали контратаки крупных сил пехоты и танков противника.</w:t>
      </w:r>
    </w:p>
    <w:p w14:paraId="3F2AB9C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овладели сильно укреплёнными опорными пунктамипротивника Безуев, Гариводы, Салтаново, Крынки, Лизки, Бабичи, Короватичи, Переволока, Вишемир, Петрицк и железнодорожной станцией Бабичи. Как и в предыдущих боях, противник понёс огромные потери в живой силе и технике.</w:t>
      </w:r>
    </w:p>
    <w:p w14:paraId="65253EC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севернее Гомеля наши войска вели бои по расширению плацдарма на правом берегу реки Сож и овладели рядом сильно укреплённых пунктов противника, значительно улучшив свои позиции.</w:t>
      </w:r>
    </w:p>
    <w:p w14:paraId="60E59F4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41C118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ноября наши войска на всех фронтах подбили и уничтожили 81 немецкий танк. В воздушных боях и огнём зенитной артиллерии сбито 8 самолётов противника.</w:t>
      </w:r>
    </w:p>
    <w:p w14:paraId="23D849D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Коростенском направлении наши войска освободили от немецких захватчиков более 60 населённых пунктов, а также овладели станцией Чеповичи на железной дороге Малин — Коростень и станцией Турчинка на железной дороге Житомир —Коростень. За день боёв уничтожено свыше 1.000 немецких солдат и офицеров. Захвачены 19 орудий, 2 склада боеприпасов, вещевой склад и много других трофеев. На одном участке немецкие танки атаковали подразделение, где командиром т. Валяев. Наши бойцы гранатами вывели из строя 6 вражеских танков. Немецкие танкисты пытались спастись бегством, но были уничтожены огнём из автоматов. На другом участке группа сапёр во главе с капитаном Григорьевым напала на немецкий обоз. Советские бойцы уничтожили свыше 50 гитлеровцев. Захвачено 2 орудия и 45 повозок с военным имуществом.</w:t>
      </w:r>
    </w:p>
    <w:p w14:paraId="3B96B8D8"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Фастова и юго-восточнее Житомира наши войска, отбивая контратаки противника, сожгли и подбили 35 немецких танков и 7 самоходных орудий. Большой урон нанесён и мотопехоте противника. Только на одном участке немцы оставили на поле боя свыше 600 трупов своих солдат и офицеров и 40 разбитых автомашин.</w:t>
      </w:r>
    </w:p>
    <w:p w14:paraId="203DFF3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продолжала наносить удары по скоплениям немецких войск. Наши штурмовики и бомбардировщики повредили и уничтожили до 20 танков, 90 автомашин, рассеяли и частью уничтожили до батальона гитлеровцев.</w:t>
      </w:r>
    </w:p>
    <w:p w14:paraId="057515D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противник, подтянув резервы, безуспешно пытался остановить наступление наших войск. Сломив сопротивление противника, бойцы Н-ского соединения овладели несколькими сильно укреплёнными опорными пунктами и железнодорожной станцией Бабичи. В течение дня уничтожено до полка немецкой пехоты. Нашими частями захвачено много орудий, автомашин, несколько крупных складов и другие трофеи.</w:t>
      </w:r>
    </w:p>
    <w:p w14:paraId="77D45ED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вели бои за расширение плацдарма на правом берегу реки Сож. Части Н-ского соединения атаковали противника и заняли несколько его опорных пунктов. Немцы неоднократно пытались вернуть потерянные позиции, но были отброшены. В бою за эти опорные пункты наши бойцы истребили до 1.500 гитлеровцев. Захвачено у немцев 8 самоходных и 24 полевых орудия, 11 миномётов,170 станковых и ручных пулемётов, склад боеприпасов, продовольственный и вещевой склады.</w:t>
      </w:r>
    </w:p>
    <w:p w14:paraId="2946D6E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пленные.</w:t>
      </w:r>
    </w:p>
    <w:p w14:paraId="1DAF981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4 быстроходных десантных баржи и сторожевой катер противника.</w:t>
      </w:r>
    </w:p>
    <w:p w14:paraId="74697B78"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Ровенской области, в течение октября пустили под откос 13 воинских эшелонов и 2 восстановительных поезда противника. Группы автоматчиков партизанских отрядов имени Молотова, имени Боженко и «За победу» обстреляли и забросали гранатами немецкую автоколонну. Уничтожено 24 грузовых автомашины и убито несколько десятков немецко-фашистских оккупантов.</w:t>
      </w:r>
    </w:p>
    <w:p w14:paraId="0DB2ACB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штабс-фельдфебель штабной роты 146 мотополка 25 немецкой танковой дивизии Францишек Железник рассказал: «25 танковая дивизия находилась с начала 1943 года в Норвегии, в районе Осло. В состав дивизии входят: 9 танковый полк,146 и 147 мотополки, 91 артполк, разведотряд, сапёрный и зенитный батальоны,батальон связи и другие подразделения. В сентябре дивизию перебросили из Норвегии во Францию, а потом спешно отправили на советско-германский фронт. Предполагалось, что дивизия будет действовать в районе Кривого Рога, но, пока мы были в пути, на Киевском участке фронта создалось очень тяжёлое положение. 6 ноября нас с ходу бросили в бой в районе Фастова. За несколько дней боёв мы понесли большие потери. Положение особенно усложнилось после того, как русскиет анкисты прорвались в наш тыл и разгромили штаб дивизии».</w:t>
      </w:r>
    </w:p>
    <w:p w14:paraId="1A99E27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Савеевского сельсовета, Смоленской области, составили акт о зверствах немецко-фашистских захватчиков. В акте говорится: «С первых же дней оккупации гитлеровцы начали творить дикий произвол над советскими гражданами. Фашистские мерзавцы врывались в дома, грабили и убивали мирных жителей. По нашим сёлам как бы прошел чёрный мор. В мае прошлого года немцы сожгли 15 селений Савеевского сельсовета. Огнём уничтожены сотни жилых домов и колхозных построек. В селении Ново-Никольское гитлеровские палачи расстреляли 11 женщин и детей. В деревне Серебрянка фашистские изверги загнали в один дом 18 жителей и заживо сожгли их.</w:t>
      </w:r>
    </w:p>
    <w:p w14:paraId="1C92E41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немцы угоняли население. Спасаясь отгитлеровцев, многие жители с риском для жизни убегали в пути. Однако сотни советских людей были пойманы и насильно угнаны на каторжные работы в Германию. Подгоняемые немецкими солдатами, наши односельчане, полураздетые и голодные, со слезами покидали родную землю. Трудно передать словами те жуткие картины, свидетелями которых мы были».</w:t>
      </w:r>
    </w:p>
    <w:p w14:paraId="4A4480B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деревни Ново-Никольское: Владимир Лавеченков, Надежда Лавеченкова, Матрёна Муравьёва, Анастасия Лавеченкова и другие.» (14832).</w:t>
      </w:r>
    </w:p>
    <w:p w14:paraId="410C030B"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04DD86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утром на поиск противника вылетели три Ил-4 и два А-20 1-го ГМТАП. Командованию был известен неблагоприятный прогноз погоды, но, очевидно, Борзов посчитал, что опытные летчики сумеют пробиться в Балтику. Первым в 05:25 вылетел торпедоносец Разгонина, вслед за ним остальные. Вскоре, не долетев даже до середины Финского залива, самолеты один за другим стали ложиться на обратный курс. На базу не вернулся только лидер. Впоследствии выяснилось, что при возвращении из безуспешного поиска самолет обледенел, и моторы изрядно послужившего «Ила» отказали. Опытный летчик сумел аварийно посадить самолет на вражеской территории, но не смог избежать плена. Бежать из него удалось лишь в марте 45-го. Попав к своим, Александр узнал, что ещё в январе 1944 г. ему было посмертно присвоено звание Героя Советского Союза. С честью выдержав все проверки, он сумел добиться возвращения в свою часть, правда, произошло это уже после окончания войны, в сентябре 1945 г. Другой болезненной потерей для 1-го ГМТАП в этом месяце стала гибель экипажа Петра Летуновского, не вернувшегося из полета 27-го. По немецким данным, его «Бостон» был сбит почти у самой Риги при попытке выйти в атаку на вражеский конвой (9965).</w:t>
      </w:r>
    </w:p>
    <w:p w14:paraId="41893D1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974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ноября 1943 все Р-47 "Тандерболт" поднялись с аэродрома Лэдд-филд н взяли курс на Ном. Перелет задерживали сильные морозы. Из-за них "Тандерболтам" пришлось отклониться от основной трассы, шедшей через "полюс холода” - Оймякон, и пойти запасным маршрутом через Магадан, Николаевск-на-Амуре и Читу. Не обошлось без приключений. 15 февраля 1944 года самолеты прибыли в бухту Аян, в 800 км к югу от Магадана. Ночью началась подвижка льда, который ветер уносил в открытое море вместе с самолетами. Пилоты заняли места в кабинах и срочно взлетели. Успел подняться и самолет-лидер - С-47 Мазурука. Лишь 20 марта три Р-47 приземлились па Центральном аэродроме в Москве (3457,84).</w:t>
      </w:r>
    </w:p>
    <w:p w14:paraId="24EF52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8847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16 ноября </w:t>
      </w:r>
      <w:r w:rsidRPr="00271E51">
        <w:rPr>
          <w:rFonts w:ascii="Times New Roman" w:hAnsi="Times New Roman"/>
          <w:color w:val="000000" w:themeColor="text1"/>
          <w:sz w:val="16"/>
          <w:szCs w:val="16"/>
        </w:rPr>
        <w:t>в 1943 году войска Белорусского фронта освободили Чернобыль (14832).</w:t>
      </w:r>
    </w:p>
    <w:p w14:paraId="6F3DD324"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31DA0217" w14:textId="77777777" w:rsidR="00750D9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38F097F" w14:textId="77777777" w:rsidR="00750D9D" w:rsidRPr="00271E51" w:rsidRDefault="00750D9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6BF82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16 ноября </w:t>
      </w:r>
      <w:r w:rsidRPr="00271E51">
        <w:rPr>
          <w:rFonts w:ascii="Times New Roman" w:hAnsi="Times New Roman"/>
          <w:color w:val="000000" w:themeColor="text1"/>
          <w:sz w:val="16"/>
          <w:szCs w:val="16"/>
        </w:rPr>
        <w:t>в 1943 году 160 американских бомбардировщиков , взлетевших с аэродромов в Британии нанесли бомбовый удар по заводу по производству тяжёлой воды и по гидроэлектростанции в Верморке (Норвегия). В результате налёта завод получил лишь незначительные повреждения , но гидроэлектростанция была полностью разрушена, а без нее функционирование завода стало невозможным (14832).</w:t>
      </w:r>
    </w:p>
    <w:p w14:paraId="561B8752"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7923339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lastRenderedPageBreak/>
        <w:t xml:space="preserve">16 ноября </w:t>
      </w:r>
      <w:r w:rsidRPr="00271E51">
        <w:rPr>
          <w:rFonts w:ascii="Times New Roman" w:hAnsi="Times New Roman"/>
          <w:color w:val="000000" w:themeColor="text1"/>
          <w:sz w:val="16"/>
          <w:szCs w:val="16"/>
        </w:rPr>
        <w:t>в 1943 году британская авиация окончательно уничтожила завод тяжелой воды в Норвегии (14832).</w:t>
      </w:r>
    </w:p>
    <w:p w14:paraId="567E5FA0"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927531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16 ноября </w:t>
      </w:r>
      <w:r w:rsidRPr="00271E51">
        <w:rPr>
          <w:rFonts w:ascii="Times New Roman" w:hAnsi="Times New Roman"/>
          <w:color w:val="000000" w:themeColor="text1"/>
          <w:sz w:val="16"/>
          <w:szCs w:val="16"/>
        </w:rPr>
        <w:t>в 1943 году единственный случай поражения американской ПЛ от японской ПЛ. I-176 выпустив три торпеды отправила на дно лодку "Корвина" (14832).</w:t>
      </w:r>
    </w:p>
    <w:p w14:paraId="04AA9A22"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1FE7AD7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16 ноября </w:t>
      </w:r>
      <w:r w:rsidRPr="00271E51">
        <w:rPr>
          <w:rFonts w:ascii="Times New Roman" w:hAnsi="Times New Roman"/>
          <w:color w:val="000000" w:themeColor="text1"/>
          <w:sz w:val="16"/>
          <w:szCs w:val="16"/>
        </w:rPr>
        <w:t>в 1943 году немецкие десантники полностью заняли Лерос (14832).</w:t>
      </w:r>
    </w:p>
    <w:p w14:paraId="15F79BE2"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5723F02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8C14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F2E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17 ноября 1943 по 20 января 1944 проходили заводские испытания Як-9 и летал П.Я.Федрови (65,113).</w:t>
      </w:r>
    </w:p>
    <w:p w14:paraId="495168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930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постановления ГКО N 4594 от 17 ноября 1943 "Об увеличении выпуска Ту-2 на заводе 23" (948,14).</w:t>
      </w:r>
    </w:p>
    <w:p w14:paraId="6E2DEA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C56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Постановление ГКО № 4594 Об увеличении выпуска самолетов Ту-2 на заводе № 23 НКАП.РГАНИР, Фонд ГКО, д. 177, лл. 1-3, 4 (11012).</w:t>
      </w:r>
    </w:p>
    <w:p w14:paraId="0CEBC5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089B0" w14:textId="77777777" w:rsidR="006E245A" w:rsidRPr="00271E51" w:rsidRDefault="006E245A"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17 ноября 1943 г. вышло поста</w:t>
      </w:r>
      <w:r w:rsidRPr="00271E51">
        <w:rPr>
          <w:rFonts w:ascii="Times New Roman" w:hAnsi="Times New Roman"/>
          <w:color w:val="0070C0"/>
          <w:sz w:val="16"/>
          <w:szCs w:val="16"/>
          <w:lang w:eastAsia="ru-RU" w:bidi="ru-RU"/>
        </w:rPr>
        <w:softHyphen/>
        <w:t>новление ГКО «Об увеличении выпуска Ту-2 на заводе №23». Оно обязывало це</w:t>
      </w:r>
      <w:r w:rsidRPr="00271E51">
        <w:rPr>
          <w:rFonts w:ascii="Times New Roman" w:hAnsi="Times New Roman"/>
          <w:color w:val="0070C0"/>
          <w:sz w:val="16"/>
          <w:szCs w:val="16"/>
          <w:lang w:eastAsia="ru-RU" w:bidi="ru-RU"/>
        </w:rPr>
        <w:softHyphen/>
        <w:t>лый ряд предприятий оказать помощь из</w:t>
      </w:r>
      <w:r w:rsidRPr="00271E51">
        <w:rPr>
          <w:rFonts w:ascii="Times New Roman" w:hAnsi="Times New Roman"/>
          <w:color w:val="0070C0"/>
          <w:sz w:val="16"/>
          <w:szCs w:val="16"/>
          <w:lang w:eastAsia="ru-RU" w:bidi="ru-RU"/>
        </w:rPr>
        <w:softHyphen/>
        <w:t>готовлением специального инструмента и приспособлений, передачей оборудова</w:t>
      </w:r>
      <w:r w:rsidRPr="00271E51">
        <w:rPr>
          <w:rFonts w:ascii="Times New Roman" w:hAnsi="Times New Roman"/>
          <w:color w:val="0070C0"/>
          <w:sz w:val="16"/>
          <w:szCs w:val="16"/>
          <w:lang w:eastAsia="ru-RU" w:bidi="ru-RU"/>
        </w:rPr>
        <w:softHyphen/>
        <w:t>ния, переводом рабочих и инженеров. На</w:t>
      </w:r>
      <w:r w:rsidRPr="00271E51">
        <w:rPr>
          <w:rFonts w:ascii="Times New Roman" w:hAnsi="Times New Roman"/>
          <w:color w:val="0070C0"/>
          <w:sz w:val="16"/>
          <w:szCs w:val="16"/>
          <w:lang w:eastAsia="ru-RU" w:bidi="ru-RU"/>
        </w:rPr>
        <w:softHyphen/>
        <w:t>пример, 1000 рабочих и 50 инженеров собирались привезти из далекой Читы! Сверх ранее запланированных квот за</w:t>
      </w:r>
      <w:r w:rsidRPr="00271E51">
        <w:rPr>
          <w:rFonts w:ascii="Times New Roman" w:hAnsi="Times New Roman"/>
          <w:color w:val="0070C0"/>
          <w:sz w:val="16"/>
          <w:szCs w:val="16"/>
          <w:lang w:eastAsia="ru-RU" w:bidi="ru-RU"/>
        </w:rPr>
        <w:softHyphen/>
        <w:t>воду выделили 150 импортных станков. Для стимулирования предусмотрели ас</w:t>
      </w:r>
      <w:r w:rsidRPr="00271E51">
        <w:rPr>
          <w:rFonts w:ascii="Times New Roman" w:hAnsi="Times New Roman"/>
          <w:color w:val="0070C0"/>
          <w:sz w:val="16"/>
          <w:szCs w:val="16"/>
          <w:lang w:eastAsia="ru-RU" w:bidi="ru-RU"/>
        </w:rPr>
        <w:softHyphen/>
        <w:t>сигновать на премии 300 000 рублей кон</w:t>
      </w:r>
      <w:r w:rsidRPr="00271E51">
        <w:rPr>
          <w:rFonts w:ascii="Times New Roman" w:hAnsi="Times New Roman"/>
          <w:color w:val="0070C0"/>
          <w:sz w:val="16"/>
          <w:szCs w:val="16"/>
          <w:lang w:eastAsia="ru-RU" w:bidi="ru-RU"/>
        </w:rPr>
        <w:softHyphen/>
        <w:t>структорскому бюро и 700 000 - работ</w:t>
      </w:r>
      <w:r w:rsidRPr="00271E51">
        <w:rPr>
          <w:rFonts w:ascii="Times New Roman" w:hAnsi="Times New Roman"/>
          <w:color w:val="0070C0"/>
          <w:sz w:val="16"/>
          <w:szCs w:val="16"/>
          <w:lang w:eastAsia="ru-RU" w:bidi="ru-RU"/>
        </w:rPr>
        <w:softHyphen/>
        <w:t>никам завода (21060).</w:t>
      </w:r>
    </w:p>
    <w:p w14:paraId="403EF9AF" w14:textId="77777777" w:rsidR="006E245A" w:rsidRPr="00271E51" w:rsidRDefault="006E245A" w:rsidP="00271E51">
      <w:pPr>
        <w:spacing w:after="0" w:line="240" w:lineRule="auto"/>
        <w:jc w:val="both"/>
        <w:rPr>
          <w:rFonts w:ascii="Times New Roman" w:hAnsi="Times New Roman"/>
          <w:color w:val="0070C0"/>
          <w:sz w:val="16"/>
          <w:szCs w:val="16"/>
        </w:rPr>
      </w:pPr>
    </w:p>
    <w:p w14:paraId="4C097765" w14:textId="77777777" w:rsidR="00E15D3B" w:rsidRPr="00271E51" w:rsidRDefault="00E15D3B"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17 ноября 1943 вышло Постановление ГКО № 4594 Об увеличении выпуска самолетов Ту-2 на заводе № 23 НКАП</w:t>
      </w:r>
    </w:p>
    <w:p w14:paraId="22364997"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постановляет:</w:t>
      </w:r>
    </w:p>
    <w:p w14:paraId="17B1EEEA"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Обяэать Наркомавиапром (т.Шахурана) и директора завода т.Иоиловича обеспечить выпуск самолетов Ту-2 на заводе №3 23 </w:t>
      </w:r>
      <w:r w:rsidRPr="00271E51">
        <w:rPr>
          <w:rFonts w:ascii="Times New Roman" w:hAnsi="Times New Roman"/>
          <w:color w:val="000000" w:themeColor="text1"/>
          <w:sz w:val="16"/>
          <w:szCs w:val="16"/>
          <w:lang w:val="en-US"/>
        </w:rPr>
        <w:t>HK</w:t>
      </w:r>
      <w:r w:rsidRPr="00271E51">
        <w:rPr>
          <w:rFonts w:ascii="Times New Roman" w:hAnsi="Times New Roman"/>
          <w:color w:val="000000" w:themeColor="text1"/>
          <w:sz w:val="16"/>
          <w:szCs w:val="16"/>
        </w:rPr>
        <w:t>АП к концу января 1944 года по одному само</w:t>
      </w:r>
      <w:r w:rsidRPr="00271E51">
        <w:rPr>
          <w:rFonts w:ascii="Times New Roman" w:hAnsi="Times New Roman"/>
          <w:color w:val="000000" w:themeColor="text1"/>
          <w:sz w:val="16"/>
          <w:szCs w:val="16"/>
        </w:rPr>
        <w:softHyphen/>
        <w:t>лету в день, в марте 1944 года по два самолета в день и в июне 1944 года перейти на выпуск четырех самолетов в день.</w:t>
      </w:r>
    </w:p>
    <w:p w14:paraId="20273E4F"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Обязать директора завода № 30 НКАП т.Смирнова пе</w:t>
      </w:r>
      <w:r w:rsidRPr="00271E51">
        <w:rPr>
          <w:rFonts w:ascii="Times New Roman" w:hAnsi="Times New Roman"/>
          <w:color w:val="000000" w:themeColor="text1"/>
          <w:sz w:val="16"/>
          <w:szCs w:val="16"/>
        </w:rPr>
        <w:softHyphen/>
        <w:t>ревести в декабре с.г. на завод № 23 НКАП 150 человек квалифицированных рабочих, проживающих в поселке Фили.</w:t>
      </w:r>
    </w:p>
    <w:p w14:paraId="1C8E1220"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 Обязать директоров заводов: 22 т.Окулова, № 30 - т.Смирнова и № 165 т.Мизюрова изготовить на своих заво</w:t>
      </w:r>
      <w:r w:rsidRPr="00271E51">
        <w:rPr>
          <w:rFonts w:ascii="Times New Roman" w:hAnsi="Times New Roman"/>
          <w:color w:val="000000" w:themeColor="text1"/>
          <w:sz w:val="16"/>
          <w:szCs w:val="16"/>
        </w:rPr>
        <w:softHyphen/>
        <w:t xml:space="preserve">дах в ноябре-декабре </w:t>
      </w:r>
      <w:r w:rsidRPr="00271E51">
        <w:rPr>
          <w:rStyle w:val="1pt"/>
          <w:rFonts w:ascii="Times New Roman" w:hAnsi="Times New Roman" w:cs="Times New Roman"/>
          <w:color w:val="000000" w:themeColor="text1"/>
          <w:spacing w:val="0"/>
          <w:sz w:val="16"/>
          <w:szCs w:val="16"/>
        </w:rPr>
        <w:t>с.</w:t>
      </w:r>
      <w:r w:rsidRPr="00271E51">
        <w:rPr>
          <w:rStyle w:val="1pt"/>
          <w:rFonts w:ascii="Times New Roman" w:eastAsia="SimHei" w:hAnsi="Times New Roman" w:cs="Times New Roman"/>
          <w:color w:val="000000" w:themeColor="text1"/>
          <w:spacing w:val="0"/>
          <w:sz w:val="16"/>
          <w:szCs w:val="16"/>
        </w:rPr>
        <w:t>г.</w:t>
      </w:r>
      <w:r w:rsidRPr="00271E51">
        <w:rPr>
          <w:rFonts w:ascii="Times New Roman" w:hAnsi="Times New Roman"/>
          <w:color w:val="000000" w:themeColor="text1"/>
          <w:sz w:val="16"/>
          <w:szCs w:val="16"/>
        </w:rPr>
        <w:t xml:space="preserve"> для завода № 23 НКАП станочные приспособления, кондуктора, ковочные штампы, пневмомолотки и пневмопресса в количествах, согласно приложению.</w:t>
      </w:r>
    </w:p>
    <w:p w14:paraId="115A1CA9"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Разрешить Наркомавиапрому в месячный срок пере</w:t>
      </w:r>
      <w:r w:rsidRPr="00271E51">
        <w:rPr>
          <w:rFonts w:ascii="Times New Roman" w:hAnsi="Times New Roman"/>
          <w:color w:val="000000" w:themeColor="text1"/>
          <w:sz w:val="16"/>
          <w:szCs w:val="16"/>
        </w:rPr>
        <w:softHyphen/>
        <w:t>вести в Москву на гавод № 23 с Читинского завода № 117 НКАП тысячу человек рабочих и 50 человек ИТР, а также все транспортные средства и оборудование этого завода.</w:t>
      </w:r>
    </w:p>
    <w:p w14:paraId="490A3A5D"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Обязать НКПС (т.Кагановича) обеспечить в ноябре- декабре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перевозку из г.Читы</w:t>
      </w:r>
      <w:r w:rsidRPr="00271E51">
        <w:rPr>
          <w:rStyle w:val="TimesNewRoman"/>
          <w:rFonts w:eastAsia="Calibri"/>
          <w:color w:val="000000" w:themeColor="text1"/>
          <w:sz w:val="16"/>
          <w:szCs w:val="16"/>
        </w:rPr>
        <w:t xml:space="preserve"> б</w:t>
      </w:r>
      <w:r w:rsidRPr="00271E51">
        <w:rPr>
          <w:rFonts w:ascii="Times New Roman" w:hAnsi="Times New Roman"/>
          <w:color w:val="000000" w:themeColor="text1"/>
          <w:sz w:val="16"/>
          <w:szCs w:val="16"/>
        </w:rPr>
        <w:t xml:space="preserve"> г. Москву рабочих, ИТР, служащих завода № 117 НКАП, членов их семей, а также иму</w:t>
      </w:r>
      <w:r w:rsidRPr="00271E51">
        <w:rPr>
          <w:rFonts w:ascii="Times New Roman" w:hAnsi="Times New Roman"/>
          <w:color w:val="000000" w:themeColor="text1"/>
          <w:sz w:val="16"/>
          <w:szCs w:val="16"/>
        </w:rPr>
        <w:softHyphen/>
        <w:t>щества этого завода.</w:t>
      </w:r>
    </w:p>
    <w:p w14:paraId="286DD9C1"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Мосгорисполком (т.Пронина) обеспечить вы</w:t>
      </w:r>
      <w:r w:rsidRPr="00271E51">
        <w:rPr>
          <w:rFonts w:ascii="Times New Roman" w:hAnsi="Times New Roman"/>
          <w:color w:val="000000" w:themeColor="text1"/>
          <w:sz w:val="16"/>
          <w:szCs w:val="16"/>
        </w:rPr>
        <w:softHyphen/>
        <w:t>дачу пропусков на в"езд в г.Москву и прописку рабочих, ИГР, служащих и членов их семей, переводимых на завод № 23 НКАП с других заводов.</w:t>
      </w:r>
    </w:p>
    <w:p w14:paraId="19477E08"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Наркомвнешторг (т.Микояна) поставить за</w:t>
      </w:r>
      <w:r w:rsidRPr="00271E51">
        <w:rPr>
          <w:rFonts w:ascii="Times New Roman" w:hAnsi="Times New Roman"/>
          <w:color w:val="000000" w:themeColor="text1"/>
          <w:sz w:val="16"/>
          <w:szCs w:val="16"/>
        </w:rPr>
        <w:softHyphen/>
        <w:t>воду № 23 НКАП в 1-м полугодии 1944 года из импортных поступлений сверх количеств, выделенных ранее Наркомавиапрому,150 единиц металлорежущих станков, в том чис</w:t>
      </w:r>
      <w:r w:rsidRPr="00271E51">
        <w:rPr>
          <w:rFonts w:ascii="Times New Roman" w:hAnsi="Times New Roman"/>
          <w:color w:val="000000" w:themeColor="text1"/>
          <w:sz w:val="16"/>
          <w:szCs w:val="16"/>
        </w:rPr>
        <w:softHyphen/>
        <w:t>ле: токарно-винторезных - 20, револьверных - 35, авто</w:t>
      </w:r>
      <w:r w:rsidRPr="00271E51">
        <w:rPr>
          <w:rFonts w:ascii="Times New Roman" w:hAnsi="Times New Roman"/>
          <w:color w:val="000000" w:themeColor="text1"/>
          <w:sz w:val="16"/>
          <w:szCs w:val="16"/>
        </w:rPr>
        <w:softHyphen/>
        <w:t>матов - 24, горизонтально-фрезерных - 40, вертикально- фреэерных - 25, круглошлифовальных - 3 и ревьбошлифоваль- ных - 3.</w:t>
      </w:r>
    </w:p>
    <w:p w14:paraId="66BAC63B"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Главснабуголь при СНК ССОР (т.Курмашева) обеспечить первоочередную поставку специальными маршру</w:t>
      </w:r>
      <w:r w:rsidRPr="00271E51">
        <w:rPr>
          <w:rFonts w:ascii="Times New Roman" w:hAnsi="Times New Roman"/>
          <w:color w:val="000000" w:themeColor="text1"/>
          <w:sz w:val="16"/>
          <w:szCs w:val="16"/>
        </w:rPr>
        <w:softHyphen/>
        <w:t>тами эаводу № 23 НКАП донецкого</w:t>
      </w:r>
      <w:r w:rsidRPr="00271E51">
        <w:rPr>
          <w:rFonts w:ascii="Times New Roman" w:hAnsi="Times New Roman"/>
          <w:color w:val="000000" w:themeColor="text1"/>
          <w:sz w:val="16"/>
          <w:szCs w:val="16"/>
          <w:vertAlign w:val="subscript"/>
        </w:rPr>
        <w:t>ч</w:t>
      </w:r>
      <w:r w:rsidRPr="00271E51">
        <w:rPr>
          <w:rFonts w:ascii="Times New Roman" w:hAnsi="Times New Roman"/>
          <w:color w:val="000000" w:themeColor="text1"/>
          <w:sz w:val="16"/>
          <w:szCs w:val="16"/>
        </w:rPr>
        <w:t>угля: в ноябре-декабре с.г. по 2.500 тонн и в 1-м квартале 1944 года по 8.500 тонн ежемесячно.</w:t>
      </w:r>
    </w:p>
    <w:p w14:paraId="2653B0A8"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Обязать Главснаблес при СНК СССР (т.Лопухова):</w:t>
      </w:r>
    </w:p>
    <w:p w14:paraId="73ACF418" w14:textId="77777777" w:rsidR="00E15D3B" w:rsidRPr="00271E51" w:rsidRDefault="00E15D3B" w:rsidP="00271E51">
      <w:pPr>
        <w:tabs>
          <w:tab w:val="left" w:pos="159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поставить заводу № 23 НКАП в 4 квартале с.г. 5 тысяч кубометров дров из централизованных заготовок сверх фондов Наркомавиапрома;</w:t>
      </w:r>
    </w:p>
    <w:p w14:paraId="4D1D3F78" w14:textId="77777777" w:rsidR="00E15D3B" w:rsidRPr="00271E51" w:rsidRDefault="00E15D3B" w:rsidP="00271E51">
      <w:pPr>
        <w:tabs>
          <w:tab w:val="left" w:pos="159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поставить заводу № 23 НКАП в ноябре-декабре с.г. одну тысячу кбм пиломатериалов первых сортов для изго</w:t>
      </w:r>
      <w:r w:rsidRPr="00271E51">
        <w:rPr>
          <w:rFonts w:ascii="Times New Roman" w:hAnsi="Times New Roman"/>
          <w:color w:val="000000" w:themeColor="text1"/>
          <w:sz w:val="16"/>
          <w:szCs w:val="16"/>
        </w:rPr>
        <w:softHyphen/>
        <w:t>товления деревянной оснастки и три тысячи кбм деловой древесины для строительных работ, в том числе две тысячи кбм Стройтресту № 9 НКАП.</w:t>
      </w:r>
    </w:p>
    <w:p w14:paraId="7618B715"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Обязать Наркомстанкостроения (т.Ефремова) пос</w:t>
      </w:r>
      <w:r w:rsidRPr="00271E51">
        <w:rPr>
          <w:rFonts w:ascii="Times New Roman" w:hAnsi="Times New Roman"/>
          <w:color w:val="000000" w:themeColor="text1"/>
          <w:sz w:val="16"/>
          <w:szCs w:val="16"/>
        </w:rPr>
        <w:softHyphen/>
        <w:t>тавить в ноябре с.г. заводу № 23 НКАП за счет фондов Наркомавиапрома: сверл на 15 тыс.рублей, фрез на 5 тыс. рублей, слесарно-монтажного инструмента на 3 тыс.рубл., абразивов на 10 тыс.рублей, нормального и мерительного инструмента на 15 тыс. рублей, специальных калибров по чертежам завода № 23 на 20 тыс. рублей, в том числе: резьбовых на 12 тыс.рублей и гладких на 8 тыс.рублей.</w:t>
      </w:r>
    </w:p>
    <w:p w14:paraId="2D348E53"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Обязать Наркомчермет (т.Тевосяна) поставить за воду № 23 НКАП до мая 1944 года для изготовления блоч</w:t>
      </w:r>
      <w:r w:rsidRPr="00271E51">
        <w:rPr>
          <w:rFonts w:ascii="Times New Roman" w:hAnsi="Times New Roman"/>
          <w:color w:val="000000" w:themeColor="text1"/>
          <w:sz w:val="16"/>
          <w:szCs w:val="16"/>
        </w:rPr>
        <w:softHyphen/>
        <w:t>ных стапелей - 100 тонн труб диаметром 219 и 159 мм, в том числе 20 т в 1У кв. и кроме того в норябре с.г.  50 тонн инотрументальной стали по специфика</w:t>
      </w:r>
      <w:r w:rsidRPr="00271E51">
        <w:rPr>
          <w:rFonts w:ascii="Times New Roman" w:hAnsi="Times New Roman"/>
          <w:color w:val="000000" w:themeColor="text1"/>
          <w:sz w:val="16"/>
          <w:szCs w:val="16"/>
        </w:rPr>
        <w:softHyphen/>
        <w:t>ции завода, за счет фондов НКАП.</w:t>
      </w:r>
    </w:p>
    <w:p w14:paraId="5444DCFE"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Обязать Наркомзлектропром (т.Кабанова) поста</w:t>
      </w:r>
      <w:r w:rsidRPr="00271E51">
        <w:rPr>
          <w:rFonts w:ascii="Times New Roman" w:hAnsi="Times New Roman"/>
          <w:color w:val="000000" w:themeColor="text1"/>
          <w:sz w:val="16"/>
          <w:szCs w:val="16"/>
        </w:rPr>
        <w:softHyphen/>
        <w:t>вить заводу № 23 НКАП в 1У кв. с.г. к в 1 кв. 1944 г. 75 штук моторов от 0,8 до 3 квт., напряжением 380 и 220 вольт и 15 тыс. метров разных проводов, в том числе провода ПР до 10 квадратов - 10 тыс.метров и провода ПРД- 5 тыс. метров за счет фондов НКАП.</w:t>
      </w:r>
    </w:p>
    <w:p w14:paraId="70DEEA1E"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Обяэать Наркомсредмаш (т.Акопова) поставить в 4 квартале с.г. заводу № 23 НКАП 15 грузовых автомашин, заводу № 165 НКАП - 5 грувовых автомашин и Стройтреоту № 9 НКАП б грузовых автомашин за счет поставок НКО и, кроме того, заводу № 23 - 2 трактора, 10 автомоторов и на 30 тыс.рублей автомобильных запчастей.</w:t>
      </w:r>
    </w:p>
    <w:p w14:paraId="32C865AE"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Разрешить Наркомавиапрому передать здания заво</w:t>
      </w:r>
      <w:r w:rsidRPr="00271E51">
        <w:rPr>
          <w:rFonts w:ascii="Times New Roman" w:hAnsi="Times New Roman"/>
          <w:color w:val="000000" w:themeColor="text1"/>
          <w:sz w:val="16"/>
          <w:szCs w:val="16"/>
        </w:rPr>
        <w:softHyphen/>
        <w:t>да № 117 НКАП в г.Чите и здания завода № 261 НКАП в г. Березовске Свердловской облаоти в ведение Наркомата электростанций.</w:t>
      </w:r>
    </w:p>
    <w:p w14:paraId="4CF18386" w14:textId="77777777" w:rsidR="00E15D3B" w:rsidRPr="00271E51" w:rsidRDefault="00E15D3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Обязать Наркомтекстиль СССР (т.Акимова) и Наркомлегпром СССР (т.Лукина) поставить заводу № 23 НКАП в ноябре </w:t>
      </w:r>
      <w:r w:rsidRPr="00271E51">
        <w:rPr>
          <w:rStyle w:val="1pt"/>
          <w:rFonts w:ascii="Times New Roman" w:hAnsi="Times New Roman" w:cs="Times New Roman"/>
          <w:color w:val="000000" w:themeColor="text1"/>
          <w:spacing w:val="0"/>
          <w:sz w:val="16"/>
          <w:szCs w:val="16"/>
        </w:rPr>
        <w:t>с.г,</w:t>
      </w:r>
      <w:r w:rsidRPr="00271E51">
        <w:rPr>
          <w:rFonts w:ascii="Times New Roman" w:hAnsi="Times New Roman"/>
          <w:color w:val="000000" w:themeColor="text1"/>
          <w:sz w:val="16"/>
          <w:szCs w:val="16"/>
        </w:rPr>
        <w:t xml:space="preserve"> на 80 тыс. рублей мануфактуры и 4 тыс. пар ра</w:t>
      </w:r>
      <w:r w:rsidRPr="00271E51">
        <w:rPr>
          <w:rFonts w:ascii="Times New Roman" w:hAnsi="Times New Roman"/>
          <w:color w:val="000000" w:themeColor="text1"/>
          <w:sz w:val="16"/>
          <w:szCs w:val="16"/>
        </w:rPr>
        <w:softHyphen/>
        <w:t>бочей обуви, за счет фондов НКАП.</w:t>
      </w:r>
    </w:p>
    <w:p w14:paraId="684F982C" w14:textId="77777777" w:rsidR="00E15D3B" w:rsidRPr="00271E51" w:rsidRDefault="00E15D3B" w:rsidP="00271E51">
      <w:pPr>
        <w:tabs>
          <w:tab w:val="left" w:pos="161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Обя8ать Наркомфин СССР (т.Зверева) выделить в распоряжение Наркомавиапрома премиальный фонд в сумме одного млн.рублей, в том числе 700 тыс.рублей для преми</w:t>
      </w:r>
      <w:r w:rsidRPr="00271E51">
        <w:rPr>
          <w:rFonts w:ascii="Times New Roman" w:hAnsi="Times New Roman"/>
          <w:color w:val="000000" w:themeColor="text1"/>
          <w:sz w:val="16"/>
          <w:szCs w:val="16"/>
        </w:rPr>
        <w:softHyphen/>
        <w:t>рования работников завода № 23 НКАП за выполнение зада</w:t>
      </w:r>
      <w:r w:rsidRPr="00271E51">
        <w:rPr>
          <w:rFonts w:ascii="Times New Roman" w:hAnsi="Times New Roman"/>
          <w:color w:val="000000" w:themeColor="text1"/>
          <w:sz w:val="16"/>
          <w:szCs w:val="16"/>
        </w:rPr>
        <w:softHyphen/>
        <w:t>ния по доведению выпуска самолетов до 4-х штук в день и 300 тыв. рублей для премирования работников ОКБ т.Тупо</w:t>
      </w:r>
      <w:r w:rsidRPr="00271E51">
        <w:rPr>
          <w:rFonts w:ascii="Times New Roman" w:hAnsi="Times New Roman"/>
          <w:color w:val="000000" w:themeColor="text1"/>
          <w:sz w:val="16"/>
          <w:szCs w:val="16"/>
        </w:rPr>
        <w:softHyphen/>
        <w:t>лева (19435).</w:t>
      </w:r>
    </w:p>
    <w:p w14:paraId="508DD0C9" w14:textId="77777777" w:rsidR="003C4F73" w:rsidRPr="00271E51" w:rsidRDefault="003C4F7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F92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7DE3C1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258A4E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45E830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77A452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 завода:</w:t>
      </w:r>
    </w:p>
    <w:p w14:paraId="75FC18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Сова С.М. – с 1942 года по 1944 год</w:t>
      </w:r>
    </w:p>
    <w:p w14:paraId="633BA0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Григорьев Г.М. – с 1944 года по 1947 год</w:t>
      </w:r>
    </w:p>
    <w:p w14:paraId="01845B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Петров А.П. – с 1947 года по 1949 год</w:t>
      </w:r>
    </w:p>
    <w:p w14:paraId="4DAC2C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Субботин М.И. – с 1949 года по 1956 год</w:t>
      </w:r>
    </w:p>
    <w:p w14:paraId="613D2D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Смирнов А.Д. – с 1956 года</w:t>
      </w:r>
    </w:p>
    <w:p w14:paraId="0310CA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Должность гл. конструктора с 1943 года занимает Добрынин В.А.</w:t>
      </w:r>
    </w:p>
    <w:p w14:paraId="363899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Смирнов</w:t>
      </w:r>
    </w:p>
    <w:p w14:paraId="34763D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Рыбинск, п/я 20</w:t>
      </w:r>
    </w:p>
    <w:p w14:paraId="3724C9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авиационный моторостроительный завод (9825).</w:t>
      </w:r>
    </w:p>
    <w:p w14:paraId="1941EE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0319A" w14:textId="77777777" w:rsidR="006E245A" w:rsidRPr="00271E51" w:rsidRDefault="006E245A" w:rsidP="00271E51">
      <w:pPr>
        <w:pStyle w:val="ae"/>
        <w:spacing w:before="0" w:after="0"/>
        <w:jc w:val="both"/>
        <w:textAlignment w:val="baseline"/>
        <w:rPr>
          <w:color w:val="0070C0"/>
          <w:sz w:val="16"/>
          <w:szCs w:val="16"/>
          <w:bdr w:val="none" w:sz="0" w:space="0" w:color="auto" w:frame="1"/>
        </w:rPr>
      </w:pPr>
      <w:r w:rsidRPr="00271E51">
        <w:rPr>
          <w:color w:val="0070C0"/>
          <w:sz w:val="16"/>
          <w:szCs w:val="16"/>
          <w:bdr w:val="none" w:sz="0" w:space="0" w:color="auto" w:frame="1"/>
        </w:rPr>
        <w:t>17 ноября 1943 г. в Москву пришло письмо коммерческого директора «Бристоль» Бартлетта с согласием продать образцы, а в январе 1944 г. фирма предложила лицензию на «Сентаурус». При обсуждении этого предложения в феврале, Шахурин опять предложил сначала приобрести пять-десять моторов разных типов (включая «Сентаурус») и испытать их в СССР (20442).</w:t>
      </w:r>
    </w:p>
    <w:p w14:paraId="60DB8F2D" w14:textId="77777777" w:rsidR="006E245A" w:rsidRPr="00271E51" w:rsidRDefault="006E245A" w:rsidP="00271E51">
      <w:pPr>
        <w:pStyle w:val="ae"/>
        <w:spacing w:before="0" w:after="0"/>
        <w:jc w:val="both"/>
        <w:textAlignment w:val="baseline"/>
        <w:rPr>
          <w:color w:val="0070C0"/>
          <w:sz w:val="16"/>
          <w:szCs w:val="16"/>
        </w:rPr>
      </w:pPr>
    </w:p>
    <w:p w14:paraId="116F80AE" w14:textId="77777777" w:rsidR="003602B0" w:rsidRPr="00271E51" w:rsidRDefault="003602B0"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17 ноября 1943 после проверки результатов стрельб на заво</w:t>
      </w:r>
      <w:r w:rsidRPr="00271E51">
        <w:rPr>
          <w:color w:val="000000" w:themeColor="text1"/>
          <w:sz w:val="16"/>
          <w:szCs w:val="16"/>
        </w:rPr>
        <w:softHyphen/>
        <w:t>де № 74 протоколом совещания при главном ин</w:t>
      </w:r>
      <w:r w:rsidRPr="00271E51">
        <w:rPr>
          <w:color w:val="000000" w:themeColor="text1"/>
          <w:sz w:val="16"/>
          <w:szCs w:val="16"/>
        </w:rPr>
        <w:softHyphen/>
        <w:t>женере завода С. С. Гиндинсоне было принято решение «о переходе на заливку гидро</w:t>
      </w:r>
      <w:r w:rsidRPr="00271E51">
        <w:rPr>
          <w:color w:val="000000" w:themeColor="text1"/>
          <w:sz w:val="16"/>
          <w:szCs w:val="16"/>
        </w:rPr>
        <w:softHyphen/>
        <w:t>тормозов орудия 11П керосином по ОСТ 6460». Одновременно устанавливались новые правила перезарядки пушки в войсках и заменялись профи</w:t>
      </w:r>
      <w:r w:rsidRPr="00271E51">
        <w:rPr>
          <w:color w:val="000000" w:themeColor="text1"/>
          <w:sz w:val="16"/>
          <w:szCs w:val="16"/>
        </w:rPr>
        <w:softHyphen/>
        <w:t>лирующие шпонки, рекомендованные НИИ АВ ВВС. Протокол подписали: главный конструктор завода Лавренов, главный технолог завода А. Я. Фишер, представитель ОКБ-16 А. С. Суранов, военпред за</w:t>
      </w:r>
      <w:r w:rsidRPr="00271E51">
        <w:rPr>
          <w:color w:val="000000" w:themeColor="text1"/>
          <w:sz w:val="16"/>
          <w:szCs w:val="16"/>
        </w:rPr>
        <w:softHyphen/>
        <w:t>вода инженер-капитан Новоселов. Утвердил прото</w:t>
      </w:r>
      <w:r w:rsidRPr="00271E51">
        <w:rPr>
          <w:color w:val="000000" w:themeColor="text1"/>
          <w:sz w:val="16"/>
          <w:szCs w:val="16"/>
        </w:rPr>
        <w:softHyphen/>
        <w:t>кол старший военпред завода № 74 инженер-май</w:t>
      </w:r>
      <w:r w:rsidRPr="00271E51">
        <w:rPr>
          <w:color w:val="000000" w:themeColor="text1"/>
          <w:sz w:val="16"/>
          <w:szCs w:val="16"/>
        </w:rPr>
        <w:softHyphen/>
        <w:t>ор Конопкин.</w:t>
      </w:r>
    </w:p>
    <w:p w14:paraId="7DA84E67" w14:textId="77777777" w:rsidR="003602B0" w:rsidRPr="00271E51" w:rsidRDefault="003602B0"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 день до этого совещания за подписью заме</w:t>
      </w:r>
      <w:r w:rsidRPr="00271E51">
        <w:rPr>
          <w:color w:val="000000" w:themeColor="text1"/>
          <w:sz w:val="16"/>
          <w:szCs w:val="16"/>
        </w:rPr>
        <w:softHyphen/>
        <w:t>стителя начальника Управления технической экс</w:t>
      </w:r>
      <w:r w:rsidRPr="00271E51">
        <w:rPr>
          <w:color w:val="000000" w:themeColor="text1"/>
          <w:sz w:val="16"/>
          <w:szCs w:val="16"/>
        </w:rPr>
        <w:softHyphen/>
        <w:t>плуатации ВВС генерал-майора Волкова в строевые части ушло указание № 121 УТЭ ВВС «О переходе на керосин в гидротормозах пушек калибра 37 мм ОКБ-16».</w:t>
      </w:r>
    </w:p>
    <w:p w14:paraId="3CD4B24A" w14:textId="77777777" w:rsidR="003602B0" w:rsidRPr="00271E51" w:rsidRDefault="003602B0"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соответствии с этим указанием в войсках должны были «штатную (водоглицериновую) смесь заменить «противооткатной» жидкостью (керосин сорт «А»), обеспечивавшую надежную работу пу</w:t>
      </w:r>
      <w:r w:rsidRPr="00271E51">
        <w:rPr>
          <w:color w:val="000000" w:themeColor="text1"/>
          <w:sz w:val="16"/>
          <w:szCs w:val="16"/>
        </w:rPr>
        <w:softHyphen/>
        <w:t>шек при температурах воздуха от плюс 55°</w:t>
      </w:r>
      <w:r w:rsidRPr="00271E51">
        <w:rPr>
          <w:color w:val="000000" w:themeColor="text1"/>
          <w:sz w:val="16"/>
          <w:szCs w:val="16"/>
          <w:lang w:val="en-US"/>
        </w:rPr>
        <w:t>C</w:t>
      </w:r>
      <w:r w:rsidRPr="00271E51">
        <w:rPr>
          <w:color w:val="000000" w:themeColor="text1"/>
          <w:sz w:val="16"/>
          <w:szCs w:val="16"/>
        </w:rPr>
        <w:t xml:space="preserve"> до ми</w:t>
      </w:r>
      <w:r w:rsidRPr="00271E51">
        <w:rPr>
          <w:color w:val="000000" w:themeColor="text1"/>
          <w:sz w:val="16"/>
          <w:szCs w:val="16"/>
        </w:rPr>
        <w:softHyphen/>
        <w:t>нус 55°</w:t>
      </w:r>
      <w:r w:rsidRPr="00271E51">
        <w:rPr>
          <w:color w:val="000000" w:themeColor="text1"/>
          <w:sz w:val="16"/>
          <w:szCs w:val="16"/>
          <w:lang w:val="en-US"/>
        </w:rPr>
        <w:t>C</w:t>
      </w:r>
      <w:r w:rsidRPr="00271E51">
        <w:rPr>
          <w:color w:val="000000" w:themeColor="text1"/>
          <w:sz w:val="16"/>
          <w:szCs w:val="16"/>
        </w:rPr>
        <w:t>, или, в крайнем случае, тракторным керо</w:t>
      </w:r>
      <w:r w:rsidRPr="00271E51">
        <w:rPr>
          <w:color w:val="000000" w:themeColor="text1"/>
          <w:sz w:val="16"/>
          <w:szCs w:val="16"/>
        </w:rPr>
        <w:softHyphen/>
        <w:t>сином».</w:t>
      </w:r>
    </w:p>
    <w:p w14:paraId="46C897E0" w14:textId="77777777" w:rsidR="003602B0" w:rsidRPr="00271E51" w:rsidRDefault="003602B0"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оказания помощи строевым частям в этом вопросе от ОКБ-16 и завода № 74 в действующую армию срочно выехали небольшие бригады специ</w:t>
      </w:r>
      <w:r w:rsidRPr="00271E51">
        <w:rPr>
          <w:color w:val="000000" w:themeColor="text1"/>
          <w:sz w:val="16"/>
          <w:szCs w:val="16"/>
        </w:rPr>
        <w:softHyphen/>
        <w:t>алистов (17500).</w:t>
      </w:r>
    </w:p>
    <w:p w14:paraId="187741CC" w14:textId="77777777" w:rsidR="003602B0" w:rsidRPr="00271E51" w:rsidRDefault="003602B0" w:rsidP="00271E51">
      <w:pPr>
        <w:spacing w:after="0" w:line="240" w:lineRule="auto"/>
        <w:jc w:val="both"/>
        <w:rPr>
          <w:rFonts w:ascii="Times New Roman" w:hAnsi="Times New Roman"/>
          <w:color w:val="000000" w:themeColor="text1"/>
          <w:sz w:val="16"/>
          <w:szCs w:val="16"/>
        </w:rPr>
      </w:pPr>
    </w:p>
    <w:p w14:paraId="3223E5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Постановление ГКО № 4595 О восстановлении и достройке взлетно-посадочных полос на аэродромах, освобожденных от противника.РГАНИР, Фонд ГКО, д. 177, лл. 5-9, 10-14 (11012).</w:t>
      </w:r>
    </w:p>
    <w:p w14:paraId="261FE1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B16B6" w14:textId="77777777" w:rsidR="00750D9D" w:rsidRPr="00271E51" w:rsidRDefault="00750D9D" w:rsidP="00271E51">
      <w:pPr>
        <w:pStyle w:val="a3"/>
        <w:rPr>
          <w:color w:val="000000" w:themeColor="text1"/>
          <w:lang w:val="ru-RU"/>
        </w:rPr>
      </w:pPr>
      <w:r w:rsidRPr="00271E51">
        <w:rPr>
          <w:color w:val="000000" w:themeColor="text1"/>
          <w:lang w:val="ru-RU"/>
        </w:rPr>
        <w:t>17 ноября 1943 г., впервые столкнувшись с практикой работы институтов Академии наук, через 1,5 месяца после избрания Микулин, выступая на го</w:t>
      </w:r>
      <w:r w:rsidRPr="00271E51">
        <w:rPr>
          <w:color w:val="000000" w:themeColor="text1"/>
          <w:lang w:val="ru-RU"/>
        </w:rPr>
        <w:softHyphen/>
        <w:t>дичном совещании Отделения технических наук Академии, попытался сформулировать и довести до коллег свое мнение о роли Академии наук и совершенст</w:t>
      </w:r>
      <w:r w:rsidRPr="00271E51">
        <w:rPr>
          <w:color w:val="000000" w:themeColor="text1"/>
          <w:lang w:val="ru-RU"/>
        </w:rPr>
        <w:softHyphen/>
        <w:t>вовании научной работы в стране, и говорил:</w:t>
      </w:r>
    </w:p>
    <w:p w14:paraId="1A431FD5" w14:textId="77777777" w:rsidR="00750D9D" w:rsidRPr="00271E51" w:rsidRDefault="00750D9D" w:rsidP="00271E51">
      <w:pPr>
        <w:pStyle w:val="a3"/>
        <w:rPr>
          <w:color w:val="000000" w:themeColor="text1"/>
          <w:lang w:val="ru-RU"/>
        </w:rPr>
      </w:pPr>
      <w:r w:rsidRPr="00271E51">
        <w:rPr>
          <w:color w:val="000000" w:themeColor="text1"/>
          <w:lang w:val="ru-RU"/>
        </w:rPr>
        <w:t>«Я выступаю с этой трибуны впервые и поэтому заранее прошу простить мне неко</w:t>
      </w:r>
      <w:r w:rsidRPr="00271E51">
        <w:rPr>
          <w:color w:val="000000" w:themeColor="text1"/>
          <w:lang w:val="ru-RU"/>
        </w:rPr>
        <w:softHyphen/>
        <w:t>торые взгляды, которые быть может не совсем сходятся с предыдущими мнениями. Я задаю себе вопрос: чем должна быть Академия Наук СССР?</w:t>
      </w:r>
    </w:p>
    <w:p w14:paraId="1C28EE72" w14:textId="77777777" w:rsidR="00750D9D" w:rsidRPr="00271E51" w:rsidRDefault="00750D9D" w:rsidP="00271E51">
      <w:pPr>
        <w:pStyle w:val="a3"/>
        <w:rPr>
          <w:color w:val="000000" w:themeColor="text1"/>
          <w:lang w:val="ru-RU"/>
        </w:rPr>
      </w:pPr>
      <w:r w:rsidRPr="00271E51">
        <w:rPr>
          <w:color w:val="000000" w:themeColor="text1"/>
          <w:lang w:val="ru-RU"/>
        </w:rPr>
        <w:t>АН СССР должна быть основным государственным органом, своевременно ставящим основные научные проблемы развития народного хозяйства и способствующего разре</w:t>
      </w:r>
      <w:r w:rsidRPr="00271E51">
        <w:rPr>
          <w:color w:val="000000" w:themeColor="text1"/>
          <w:lang w:val="ru-RU"/>
        </w:rPr>
        <w:softHyphen/>
        <w:t>шению этих проблем в недрах АН и в других научно-исследовательских учреждениях страны. Поэтому и правительство должно рассматривать АН как свой научный центр, способный возглавить все научные течения в стране и обеспечить СССР ведущую роль в мировом развитии культуры, науки и прогресса.&lt;...&gt;</w:t>
      </w:r>
    </w:p>
    <w:p w14:paraId="69504A80" w14:textId="77777777" w:rsidR="00750D9D" w:rsidRPr="00271E51" w:rsidRDefault="00750D9D" w:rsidP="00271E51">
      <w:pPr>
        <w:pStyle w:val="a3"/>
        <w:rPr>
          <w:color w:val="000000" w:themeColor="text1"/>
          <w:lang w:val="ru-RU"/>
        </w:rPr>
      </w:pPr>
      <w:r w:rsidRPr="00271E51">
        <w:rPr>
          <w:color w:val="000000" w:themeColor="text1"/>
          <w:lang w:val="ru-RU"/>
        </w:rPr>
        <w:t>Я впервые участвовал на совещании Института Машиноведения АН по этому вопросу и, по правде сказать, когда я ушёл оттуда с заседания и поразмыслил дома о методике работы, то пришёл к такому странному заключению, что проблем-то по классу машино</w:t>
      </w:r>
      <w:r w:rsidRPr="00271E51">
        <w:rPr>
          <w:color w:val="000000" w:themeColor="text1"/>
          <w:lang w:val="ru-RU"/>
        </w:rPr>
        <w:softHyphen/>
        <w:t>ведения в СССР мы там не ставили, не рассматривали, не формулировали и сделанно</w:t>
      </w:r>
      <w:r w:rsidRPr="00271E51">
        <w:rPr>
          <w:color w:val="000000" w:themeColor="text1"/>
          <w:lang w:val="ru-RU"/>
        </w:rPr>
        <w:softHyphen/>
        <w:t>го в СССР за прошлый год не подытоживали.&lt;...&gt;</w:t>
      </w:r>
    </w:p>
    <w:p w14:paraId="48470E74" w14:textId="77777777" w:rsidR="00750D9D" w:rsidRPr="00271E51" w:rsidRDefault="00750D9D" w:rsidP="00271E51">
      <w:pPr>
        <w:pStyle w:val="a3"/>
        <w:rPr>
          <w:color w:val="000000" w:themeColor="text1"/>
          <w:lang w:val="ru-RU"/>
        </w:rPr>
      </w:pPr>
      <w:r w:rsidRPr="00271E51">
        <w:rPr>
          <w:color w:val="000000" w:themeColor="text1"/>
          <w:lang w:val="ru-RU"/>
        </w:rPr>
        <w:t>Так, например, когда вы сегодня слушали программу Института Машиноведения, раз</w:t>
      </w:r>
      <w:r w:rsidRPr="00271E51">
        <w:rPr>
          <w:color w:val="000000" w:themeColor="text1"/>
          <w:lang w:val="ru-RU"/>
        </w:rPr>
        <w:softHyphen/>
        <w:t>ве вы слышали что-нибудь о вопросах развития сельскохозяйственных машин — этих центральных машин, от которых будет зависеть все дальнейшее процветание нашего отечественного сельского хозяйства. Неужели же в 1945-1950 гг. мы будем обрабаты</w:t>
      </w:r>
      <w:r w:rsidRPr="00271E51">
        <w:rPr>
          <w:color w:val="000000" w:themeColor="text1"/>
          <w:lang w:val="ru-RU"/>
        </w:rPr>
        <w:softHyphen/>
        <w:t>вать хлеб старыми комбайнами, которые представляют из себя отсталое от заграницы абсолютное убожество конструкторской мысли. Взяли случайно, собрали вместе: — вре</w:t>
      </w:r>
      <w:r w:rsidRPr="00271E51">
        <w:rPr>
          <w:color w:val="000000" w:themeColor="text1"/>
          <w:lang w:val="ru-RU"/>
        </w:rPr>
        <w:softHyphen/>
        <w:t>мён Екатерины молотилку, пристроили при ней ящик-веялку, пристроили косилку, и всё это вместе выехало в виде мастодонта какого-то на поле и едет со скоростью 5 км в час, ломаясь по всем швам на каждом повороте. Неужели же мы — люди, владеющие пере</w:t>
      </w:r>
      <w:r w:rsidRPr="00271E51">
        <w:rPr>
          <w:color w:val="000000" w:themeColor="text1"/>
          <w:lang w:val="ru-RU"/>
        </w:rPr>
        <w:softHyphen/>
        <w:t>довой авиационной техникой, потому что тов. Сталин лично ставил все более и более трудные проблемы и помогал их разрешать сверхзвуковой скоростью, неужели мы — лю</w:t>
      </w:r>
      <w:r w:rsidRPr="00271E51">
        <w:rPr>
          <w:color w:val="000000" w:themeColor="text1"/>
          <w:lang w:val="ru-RU"/>
        </w:rPr>
        <w:softHyphen/>
        <w:t>ди, летающие быстрее и выше всех, неужели же мы не сумеем создать действительно культурные выносливые машины, которые будут пахать, жать и сеять со скоростью 30 км в час, будут компактны</w:t>
      </w:r>
      <w:r w:rsidRPr="00271E51">
        <w:rPr>
          <w:color w:val="000000" w:themeColor="text1"/>
          <w:lang w:val="ru-RU"/>
        </w:rPr>
        <w:softHyphen/>
        <w:t>ми и обрабатывать зем</w:t>
      </w:r>
      <w:r w:rsidRPr="00271E51">
        <w:rPr>
          <w:color w:val="000000" w:themeColor="text1"/>
          <w:lang w:val="ru-RU"/>
        </w:rPr>
        <w:softHyphen/>
        <w:t>лю современными, осво</w:t>
      </w:r>
      <w:r w:rsidRPr="00271E51">
        <w:rPr>
          <w:color w:val="000000" w:themeColor="text1"/>
          <w:lang w:val="ru-RU"/>
        </w:rPr>
        <w:softHyphen/>
        <w:t>енными в других отрас</w:t>
      </w:r>
      <w:r w:rsidRPr="00271E51">
        <w:rPr>
          <w:color w:val="000000" w:themeColor="text1"/>
          <w:lang w:val="ru-RU"/>
        </w:rPr>
        <w:softHyphen/>
        <w:t>лях техники скоростны</w:t>
      </w:r>
      <w:r w:rsidRPr="00271E51">
        <w:rPr>
          <w:color w:val="000000" w:themeColor="text1"/>
          <w:lang w:val="ru-RU"/>
        </w:rPr>
        <w:softHyphen/>
        <w:t>ми методами?</w:t>
      </w:r>
    </w:p>
    <w:p w14:paraId="69025EF1" w14:textId="77777777" w:rsidR="00750D9D" w:rsidRPr="00271E51" w:rsidRDefault="00750D9D" w:rsidP="00271E51">
      <w:pPr>
        <w:pStyle w:val="a3"/>
        <w:rPr>
          <w:color w:val="000000" w:themeColor="text1"/>
          <w:lang w:val="ru-RU"/>
        </w:rPr>
      </w:pPr>
      <w:r w:rsidRPr="00271E51">
        <w:rPr>
          <w:color w:val="000000" w:themeColor="text1"/>
          <w:lang w:val="ru-RU"/>
        </w:rPr>
        <w:t>Я считаю, что такая проблема должна быть поставлена и решена».</w:t>
      </w:r>
    </w:p>
    <w:p w14:paraId="1B01257C" w14:textId="77777777" w:rsidR="00750D9D" w:rsidRPr="00271E51" w:rsidRDefault="00750D9D" w:rsidP="00271E51">
      <w:pPr>
        <w:pStyle w:val="a3"/>
        <w:rPr>
          <w:color w:val="000000" w:themeColor="text1"/>
          <w:lang w:val="ru-RU"/>
        </w:rPr>
      </w:pPr>
      <w:r w:rsidRPr="00271E51">
        <w:rPr>
          <w:color w:val="000000" w:themeColor="text1"/>
          <w:lang w:val="ru-RU"/>
        </w:rPr>
        <w:t>Перейдя непосредст</w:t>
      </w:r>
      <w:r w:rsidRPr="00271E51">
        <w:rPr>
          <w:color w:val="000000" w:themeColor="text1"/>
          <w:lang w:val="ru-RU"/>
        </w:rPr>
        <w:softHyphen/>
        <w:t>венно к своим проблемам, связанным с авиацией, Микулин высказал довольно резкую критику в адрес руково</w:t>
      </w:r>
      <w:r w:rsidRPr="00271E51">
        <w:rPr>
          <w:color w:val="000000" w:themeColor="text1"/>
          <w:lang w:val="ru-RU"/>
        </w:rPr>
        <w:softHyphen/>
        <w:t>дства авиационной отраслью:</w:t>
      </w:r>
    </w:p>
    <w:p w14:paraId="1607C909" w14:textId="77777777" w:rsidR="00750D9D" w:rsidRPr="00271E51" w:rsidRDefault="00750D9D" w:rsidP="00271E51">
      <w:pPr>
        <w:pStyle w:val="a3"/>
        <w:rPr>
          <w:color w:val="000000" w:themeColor="text1"/>
          <w:lang w:val="ru-RU"/>
        </w:rPr>
      </w:pPr>
      <w:r w:rsidRPr="00271E51">
        <w:rPr>
          <w:color w:val="000000" w:themeColor="text1"/>
          <w:lang w:val="ru-RU"/>
        </w:rPr>
        <w:t>«Здесь, к сожалению, я должен сказать не</w:t>
      </w:r>
      <w:r w:rsidRPr="00271E51">
        <w:rPr>
          <w:color w:val="000000" w:themeColor="text1"/>
          <w:lang w:val="ru-RU"/>
        </w:rPr>
        <w:softHyphen/>
        <w:t>сколько очень горьких слов. Я сам работаю, как будто, в ведущей отрасли машинострое</w:t>
      </w:r>
      <w:r w:rsidRPr="00271E51">
        <w:rPr>
          <w:color w:val="000000" w:themeColor="text1"/>
          <w:lang w:val="ru-RU"/>
        </w:rPr>
        <w:softHyphen/>
        <w:t>ния. в области авиационного машиностроения. Как будто здесь масштабы опытных работ дол</w:t>
      </w:r>
      <w:r w:rsidRPr="00271E51">
        <w:rPr>
          <w:color w:val="000000" w:themeColor="text1"/>
          <w:lang w:val="ru-RU"/>
        </w:rPr>
        <w:softHyphen/>
        <w:t>жны были бы быть наибольшими, однако могу сказать, что это не так. По-прежнему в нарко</w:t>
      </w:r>
      <w:r w:rsidRPr="00271E51">
        <w:rPr>
          <w:color w:val="000000" w:themeColor="text1"/>
          <w:lang w:val="ru-RU"/>
        </w:rPr>
        <w:softHyphen/>
        <w:t>матах продолжается непонимание того мас</w:t>
      </w:r>
      <w:r w:rsidRPr="00271E51">
        <w:rPr>
          <w:color w:val="000000" w:themeColor="text1"/>
          <w:lang w:val="ru-RU"/>
        </w:rPr>
        <w:softHyphen/>
        <w:t>штаба возможностей, которые должны были бы быть в руках конструктора для решения всех проблем. Могу привести любопытные цифры с этой трибуны: Фирма «Райт Циклон», по официальным сведениям, имеет в опытной станции 11 опытных стендов, где можно испы</w:t>
      </w:r>
      <w:r w:rsidRPr="00271E51">
        <w:rPr>
          <w:color w:val="000000" w:themeColor="text1"/>
          <w:lang w:val="ru-RU"/>
        </w:rPr>
        <w:softHyphen/>
        <w:t>тывать одновременно 11 моторов и кроме то</w:t>
      </w:r>
      <w:r w:rsidRPr="00271E51">
        <w:rPr>
          <w:color w:val="000000" w:themeColor="text1"/>
          <w:lang w:val="ru-RU"/>
        </w:rPr>
        <w:softHyphen/>
        <w:t>го. до 10 одноцилиндровых опытных установок. Моё конструкторское бюро, которое дол</w:t>
      </w:r>
      <w:r w:rsidRPr="00271E51">
        <w:rPr>
          <w:color w:val="000000" w:themeColor="text1"/>
          <w:lang w:val="ru-RU"/>
        </w:rPr>
        <w:softHyphen/>
        <w:t>жно обгонять Германию и другие страны, име</w:t>
      </w:r>
      <w:r w:rsidRPr="00271E51">
        <w:rPr>
          <w:color w:val="000000" w:themeColor="text1"/>
          <w:lang w:val="ru-RU"/>
        </w:rPr>
        <w:softHyphen/>
        <w:t>ет на сегодня 3 бокса и ни одной одноцилиндровой опытной установки. И мы тем не менее обгоняем. За счет чего? За счёт того, что мы работаем в три смены на станках, за счёт того, что люди переутомляются, работая иногда круглосуточно в чрезвычайно тяжё</w:t>
      </w:r>
      <w:r w:rsidRPr="00271E51">
        <w:rPr>
          <w:color w:val="000000" w:themeColor="text1"/>
          <w:lang w:val="ru-RU"/>
        </w:rPr>
        <w:softHyphen/>
        <w:t>лых условиях. А если бы я имел больше стендов и людей, то мое конструкторское бюро смогло бы сделать вдвое, втрое больше за то же время. Но этого не понимают».</w:t>
      </w:r>
    </w:p>
    <w:p w14:paraId="43B82095" w14:textId="77777777" w:rsidR="00750D9D" w:rsidRPr="00271E51" w:rsidRDefault="00750D9D" w:rsidP="00271E51">
      <w:pPr>
        <w:pStyle w:val="a3"/>
        <w:rPr>
          <w:color w:val="000000" w:themeColor="text1"/>
          <w:lang w:val="ru-RU"/>
        </w:rPr>
      </w:pPr>
      <w:r w:rsidRPr="00271E51">
        <w:rPr>
          <w:color w:val="000000" w:themeColor="text1"/>
          <w:lang w:val="ru-RU"/>
        </w:rPr>
        <w:t>Это высказывание вызвало отрицательную реакцию в Управлении агитации и пропаган</w:t>
      </w:r>
      <w:r w:rsidRPr="00271E51">
        <w:rPr>
          <w:color w:val="000000" w:themeColor="text1"/>
          <w:lang w:val="ru-RU"/>
        </w:rPr>
        <w:softHyphen/>
        <w:t>ды ЦК ВКП(б), отдел науки которого отвечал за работу Академии. Но это было позднее.</w:t>
      </w:r>
    </w:p>
    <w:p w14:paraId="09C6C475" w14:textId="77777777" w:rsidR="00750D9D" w:rsidRPr="00271E51" w:rsidRDefault="00750D9D" w:rsidP="00271E51">
      <w:pPr>
        <w:pStyle w:val="a3"/>
        <w:rPr>
          <w:color w:val="000000" w:themeColor="text1"/>
          <w:lang w:val="ru-RU"/>
        </w:rPr>
      </w:pPr>
      <w:r w:rsidRPr="00271E51">
        <w:rPr>
          <w:color w:val="000000" w:themeColor="text1"/>
          <w:lang w:val="ru-RU"/>
        </w:rPr>
        <w:t>В своем выступлении Микулин, развивая тему важности координации работ инсти</w:t>
      </w:r>
      <w:r w:rsidRPr="00271E51">
        <w:rPr>
          <w:color w:val="000000" w:themeColor="text1"/>
          <w:lang w:val="ru-RU"/>
        </w:rPr>
        <w:softHyphen/>
        <w:t>тутов, поднимал и вопрос секретности, необходимости учета отрицательного опыта при проведении исследований. Он говорил:</w:t>
      </w:r>
    </w:p>
    <w:p w14:paraId="296B6531" w14:textId="77777777" w:rsidR="00750D9D" w:rsidRPr="00271E51" w:rsidRDefault="00750D9D" w:rsidP="00271E51">
      <w:pPr>
        <w:pStyle w:val="a3"/>
        <w:rPr>
          <w:color w:val="000000" w:themeColor="text1"/>
          <w:lang w:val="ru-RU"/>
        </w:rPr>
      </w:pPr>
      <w:r w:rsidRPr="00271E51">
        <w:rPr>
          <w:color w:val="000000" w:themeColor="text1"/>
          <w:lang w:val="ru-RU"/>
        </w:rPr>
        <w:t>«Я могу с уверенностью заявить, что наряду с крупнейшими достижениями, во-первых, во многих институтах ведутся параллельные работы, и тематика их не координи</w:t>
      </w:r>
      <w:r w:rsidRPr="00271E51">
        <w:rPr>
          <w:color w:val="000000" w:themeColor="text1"/>
          <w:lang w:val="ru-RU"/>
        </w:rPr>
        <w:softHyphen/>
        <w:t>рована. во-вторых, зачастую тратятся деньги на проблемы, которые давно разрешены, но засекречены в другом институте и. в-третьих, что между институтами существует антагонизм и секретность, которые безусловно вредны в СССР. Кроме того, можно утверждать, что существуют такие проблемы, которые не включены в план ни по од</w:t>
      </w:r>
      <w:r w:rsidRPr="00271E51">
        <w:rPr>
          <w:color w:val="000000" w:themeColor="text1"/>
          <w:lang w:val="ru-RU"/>
        </w:rPr>
        <w:softHyphen/>
        <w:t>ному из институтов.&lt;...&gt;</w:t>
      </w:r>
    </w:p>
    <w:p w14:paraId="1815D47B" w14:textId="77777777" w:rsidR="00750D9D" w:rsidRPr="00271E51" w:rsidRDefault="00750D9D" w:rsidP="00271E51">
      <w:pPr>
        <w:pStyle w:val="a3"/>
        <w:rPr>
          <w:color w:val="000000" w:themeColor="text1"/>
          <w:lang w:val="ru-RU"/>
        </w:rPr>
      </w:pPr>
      <w:r w:rsidRPr="00271E51">
        <w:rPr>
          <w:color w:val="000000" w:themeColor="text1"/>
          <w:lang w:val="ru-RU"/>
        </w:rPr>
        <w:t>Конструктор и научный работник может расти не только на базе положительного, но главным образом на примере отрицательного опыта.</w:t>
      </w:r>
    </w:p>
    <w:p w14:paraId="188537B2" w14:textId="77777777" w:rsidR="00750D9D" w:rsidRPr="00271E51" w:rsidRDefault="00750D9D" w:rsidP="00271E51">
      <w:pPr>
        <w:pStyle w:val="a3"/>
        <w:rPr>
          <w:color w:val="000000" w:themeColor="text1"/>
          <w:lang w:val="ru-RU"/>
        </w:rPr>
      </w:pPr>
      <w:r w:rsidRPr="00271E51">
        <w:rPr>
          <w:color w:val="000000" w:themeColor="text1"/>
          <w:lang w:val="ru-RU"/>
        </w:rPr>
        <w:t>Однако мы находимся в исключительно тяжелых условиях роста и обмена опытом. У нас всё засекречено! Каждый конструктор около себя ставит забор, как бы другой не узнал, что у него поломалось. Каждый научный работник спешит порвать отчёт о не</w:t>
      </w:r>
      <w:r w:rsidRPr="00271E51">
        <w:rPr>
          <w:color w:val="000000" w:themeColor="text1"/>
          <w:lang w:val="ru-RU"/>
        </w:rPr>
        <w:softHyphen/>
        <w:t>удачном опыте. За кровную обиду принимаются расспросы о неудачном опыте. Не</w:t>
      </w:r>
      <w:r w:rsidRPr="00271E51">
        <w:rPr>
          <w:color w:val="000000" w:themeColor="text1"/>
          <w:lang w:val="ru-RU"/>
        </w:rPr>
        <w:softHyphen/>
        <w:t>редки случаи травли работников за неудачные результаты в разрешении тех или иных проблем. Эти грубейшие ошибки надо изжить. Нужно организовать такой обмен науч</w:t>
      </w:r>
      <w:r w:rsidRPr="00271E51">
        <w:rPr>
          <w:color w:val="000000" w:themeColor="text1"/>
          <w:lang w:val="ru-RU"/>
        </w:rPr>
        <w:softHyphen/>
        <w:t>но-исследовательским опытом и опытом конструкторского дела, чтобы работа шла значительно дружнее и быстрее, чем сейчас. Это дело Академии наук» (15789).</w:t>
      </w:r>
    </w:p>
    <w:p w14:paraId="49B6664E" w14:textId="77777777" w:rsidR="00750D9D" w:rsidRPr="00271E51" w:rsidRDefault="00750D9D" w:rsidP="00271E51">
      <w:pPr>
        <w:pStyle w:val="a3"/>
        <w:rPr>
          <w:color w:val="000000" w:themeColor="text1"/>
          <w:lang w:val="ru-RU"/>
        </w:rPr>
      </w:pPr>
    </w:p>
    <w:p w14:paraId="757F927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A2351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07D1A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ноября 1943 г. Вышел </w:t>
      </w:r>
      <w:r w:rsidRPr="00271E51">
        <w:rPr>
          <w:rFonts w:ascii="Times New Roman" w:hAnsi="Times New Roman"/>
          <w:bCs/>
          <w:color w:val="000000" w:themeColor="text1"/>
          <w:sz w:val="16"/>
          <w:szCs w:val="16"/>
        </w:rPr>
        <w:t>ПРИКАЗ НАРОДНОГО КОМИССАРА МИНОМЕТНОГО ВООРУЖЕНИЯ СОЮЗА ССР № 404</w:t>
      </w:r>
    </w:p>
    <w:p w14:paraId="5F034CC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Москва</w:t>
      </w:r>
    </w:p>
    <w:p w14:paraId="1CA68A5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 ноября 1943 г. </w:t>
      </w:r>
    </w:p>
    <w:p w14:paraId="3C1565E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 исполнение постановления СНК СССР № 941 от 1-го сентября 1943 года, — ПРИКАЗЫВАЮ: </w:t>
      </w:r>
    </w:p>
    <w:p w14:paraId="1BF3EB6C"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1. Организовать в городе Сердобске (Пензенская область) завод по производству будильников и настенных часов, присвоить ему звание «Государственного Сердобского завода № 5». </w:t>
      </w:r>
    </w:p>
    <w:p w14:paraId="779B5C2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2. Установить мощность выпуска Сердобского завода: </w:t>
      </w:r>
    </w:p>
    <w:p w14:paraId="1E2B672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а) миниатюрных будильников – 400 тысяч штук в год </w:t>
      </w:r>
    </w:p>
    <w:p w14:paraId="02208641"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б) настенных часов на механизме миниатюрного будильника – 100 тысяч штук в год </w:t>
      </w:r>
    </w:p>
    <w:p w14:paraId="34CB2B9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началом выпуска этих часов со II квартала 1945 года. </w:t>
      </w:r>
    </w:p>
    <w:p w14:paraId="7154916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 Начальнику 5-го Главного Управления тов. Петухову: </w:t>
      </w:r>
    </w:p>
    <w:p w14:paraId="545C1BAD"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поручить НИИ-5 в месячный срок разработать конструктивные чертежи миниатрюрного будильника, составить маршрутную техническую данные для проектирования часового завода. </w:t>
      </w:r>
    </w:p>
    <w:p w14:paraId="6C9E994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оформить въезд в Москву направляемых на учебу из Сердобска 50 человек рабочих и 10 инженеров.   4. Начальникам отделов НКМВ, начальнику 5-го Главного Управления тов. Петухову и директору Сердобского часового завода тов. Солдаткину реализовать следующие обязательства, возложенные постановлением СНК СССР: </w:t>
      </w:r>
    </w:p>
    <w:p w14:paraId="1B6B4C6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А.   На Пензенский Облисполком: </w:t>
      </w:r>
    </w:p>
    <w:p w14:paraId="7E5EDEF6"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передать Наркомминвооружению помещение со всеми надворными постройками, занимаемое райвоенкоматом и НКВД в городе Сердобске, для организации часового завода; </w:t>
      </w:r>
    </w:p>
    <w:p w14:paraId="189C718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обеспечить строительство и переоборудование Сердобского часового завода Наркомминвооружения кирпичем и местными стройматериалами в объеме полной его потребности; </w:t>
      </w:r>
    </w:p>
    <w:p w14:paraId="44BB8907"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в) закончить монтаж второго дизеля Сердобской электростанции и обеспечить подачу электроэнергии в первую очередь Сердобскому часовому заводу Наркомминвооружения в объеме полном его потребности. </w:t>
      </w:r>
    </w:p>
    <w:p w14:paraId="6984B49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Б.   На комитет по учету и распределению рабочей силы при Совнаркоме СССР: </w:t>
      </w:r>
    </w:p>
    <w:p w14:paraId="2311305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мобилизовать для работы на Сердобском часовом заводе Наркомминвооружения из числа неработающего населения города Сердобска 400 человек к 1 октября 1943 года. </w:t>
      </w:r>
    </w:p>
    <w:p w14:paraId="6579575E"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В.   На Госплан Союза СССР: предусматривать в планах, начиная с IV квартала выделение Наркомминвооружения по его заявкам основных и вспомогательных материалов и оборудования для производства и строительства Сердобского Часового завода. </w:t>
      </w:r>
    </w:p>
    <w:p w14:paraId="7B19AD74"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Начальнику ОКСа Наркомминвооружения тов. Зайцеву: </w:t>
      </w:r>
    </w:p>
    <w:p w14:paraId="2320221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определить полный объем капитальных работ по организации и строительству Сердобского часового завода и обеспечить производство строительных работ по Сердобскому часовому заводу, начиная с IV квартала 1943 года; </w:t>
      </w:r>
    </w:p>
    <w:p w14:paraId="22C8BC60"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начальнику финансового отдела тов. Солдатову обеспечить финансирование завода как по строительству, так и по подготовке производства и кадров. </w:t>
      </w:r>
    </w:p>
    <w:p w14:paraId="09EF778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Начальнику отдела кадров Кириллову: </w:t>
      </w:r>
    </w:p>
    <w:p w14:paraId="42CA63C5"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немедленно приступить к укомплектованию штатов Сердобского часового завода, обеспечить его в первую очередь руководящими, инженерно-техническими работниками и квалифицированными рабочими. </w:t>
      </w:r>
    </w:p>
    <w:p w14:paraId="69624698"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 за выполнением настоящего приказа возложить на моего заместителя тов. Козлова А. И. (12226).</w:t>
      </w:r>
    </w:p>
    <w:p w14:paraId="7A3B20BD"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4963E5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года была подготовлена справка:</w:t>
      </w:r>
    </w:p>
    <w:p w14:paraId="186C11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 связи с 25-летием Государственного оптического института (9273).</w:t>
      </w:r>
    </w:p>
    <w:p w14:paraId="04D4EE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E01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Распоряжение ГКО № 4596. Об отзыве из КА и направлении на заводы синтетического каучука 7 специалистов.РГАНИР, Фонд ГКО, д. 177, лл. 15, 16 (11012).</w:t>
      </w:r>
    </w:p>
    <w:p w14:paraId="352838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183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Распоряжение ГКО № 4597. Об отмене постановления ГКО № 1485 от 24 марта 1942 г. в части премирования рабочих промыслов и нефтеперерабатывающих заводов за выполнение плана по выработке авиабензинов и маселРГАНИР, Фонд ГКО, д. 177, лл. 17 (11012).</w:t>
      </w:r>
    </w:p>
    <w:p w14:paraId="4C2DFA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83D7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Закончена достройкой и передана флоту крейсерская ПЛ К-51 (10671).</w:t>
      </w:r>
    </w:p>
    <w:p w14:paraId="5A8A710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F8E0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198BD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4BD2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17 ноября </w:t>
      </w:r>
      <w:r w:rsidRPr="00271E51">
        <w:rPr>
          <w:rFonts w:ascii="Times New Roman" w:hAnsi="Times New Roman"/>
          <w:color w:val="000000" w:themeColor="text1"/>
          <w:sz w:val="16"/>
          <w:szCs w:val="16"/>
        </w:rPr>
        <w:t>в 1943 году оперативная сводка Совинформбюро:</w:t>
      </w:r>
    </w:p>
    <w:p w14:paraId="09F92F0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ноября в излучине Днепра, юго-западнее Днепропетровска, наши войска вели бои с противником, в ходе которых овладели сильно укреплёнными опорными пунктами его обороны Весёлая Долина, Крутой, Най-Вег, Гуляй Поле, Неудачная, Томаковка, Боголюбовка.</w:t>
      </w:r>
    </w:p>
    <w:p w14:paraId="378DD95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Житомира и Коростышева наши войска вели упорные бои с крупными силами пехоты и танков противника и под его давлением оставили несколько населённых пунктов.</w:t>
      </w:r>
    </w:p>
    <w:p w14:paraId="57D6ADA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Коростенском направлении наши войска овладели районным центром Житомирской области Народичи, а также заняли более 30 других населённых пунктов, среди которых крупные населённые пункты Сарновичи, Татарновичи, Ходаки, Межиричка,Немировка, Сынгай, Зубовщина, Новаки, К03иновка.</w:t>
      </w:r>
    </w:p>
    <w:p w14:paraId="61CFAB9D"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овладели районным центромКиевской области Чернобыль, а также заняли населённые пункты Чемерисы, Асаревичи, Колыбань, Посудово, Кривая Гора, Залесье, Заполье, Новосёлки.</w:t>
      </w:r>
    </w:p>
    <w:p w14:paraId="76F793B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Речица наши войска овладели сильно укреплёнными опорными пунктами противника Пересвятое, Ребуса, Деражня. Речицкая Рудня, Озёрщина и вели бои назападных окраинах города Речица.</w:t>
      </w:r>
    </w:p>
    <w:p w14:paraId="12EB43C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по расширению плацдарма на правом берегу реки Сож и улучшили свои позиции.</w:t>
      </w:r>
    </w:p>
    <w:p w14:paraId="6693F0D9"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548BA09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ноября наши войска на всех фронтах подбили и уничтожили 146 немецких танков. В воздушных боях и огнём зенитной артиллерии сбито 14 самолётов противника.</w:t>
      </w:r>
    </w:p>
    <w:p w14:paraId="0B9C2F4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части Н-ского соединения вели бои с противником и, сломив его сопротивление, овладели несколькими сильно укреплёнными опорными пунктами. Немцы, пытаясь вернуть потерянные позиции, предприняли четыре контратаки, но успеха не добились. В этих боях советские части истребили до 2.000 вражеских солдат и офицеров, уничтожили19 танков, 12 орудий, до 150 пулемётов и 48 автомашин. На другом участке наши бойцы выбили противника из сильно укреплённых пунктов Томаковка и Боголюбовка, уничтожив при этом до батальона гитлеровцев. Захвачены трофеи и пленные.</w:t>
      </w:r>
    </w:p>
    <w:p w14:paraId="01CD69C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Житомира и Коростышева противник на узком участке фронта сосредоточил крупные силы танков и пехоты и, не считаясь с потерями, бросал их в бой. В одном районе части Н-ского соединения вели упорные бои с противником и в течение дня уничтожили более 50 немецких танков, 30 бронетранспортёров и до 1.500 гитлеровцев. К исходу дня под давлением численно превосходящих силпротивника наши части оставили несколько населённых пунктов и закрепились на новых позициях. На другом участке огнём артиллеристов и бронебойщиков отбито семь ожесточённых контратак противника. В ходе боя сожжено и подбито 23 вражеских танка и 6 самоходных орудий.</w:t>
      </w:r>
    </w:p>
    <w:p w14:paraId="4060456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Коростенском направлении наши войска переправились через реку Уж и, преодолевая сопротивление противника, заняли несколько населённых пунктов. Развивая успех, советские бойцы овладели районным центром Житомирской области Народичи. В бою за Народичи уничтожено 600 немецких солдат и офицеров. Захвачены у немцев 9 орудий, 40 пулемётов, 6 миномётов, склад боеприпасов, склады с зерном и инженерным имуществом. Взяты пленные.</w:t>
      </w:r>
    </w:p>
    <w:p w14:paraId="48540E5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нижнем течении реки Припять наши войска в результате обходного движения заняли районный центр Киевской области Чернобыль. Захвачены трофеи и пленные.</w:t>
      </w:r>
    </w:p>
    <w:p w14:paraId="5BB5E7E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продолжали продвигаться вперёд и заняли ряд сильно укреплённых опорных пунктов противника. Овладев селом Озерщина, советские бойцы вышли к Днепру севернее города Речица. Таким образом, пути отхода немцев из района Речицы на запад отрезаны нашими войсками. Противник предпринял несколько контратак, но был отброшен с большими для него потерями. Советские танкисты и автоматчики ворвались на западные окраины города Речица и ведут уличные бои. По неполным данным, уничтожено 1.200 немецких солдат и офицеров. Захвачено у противника несколько артиллерийских батарей, 60 пулемётов, 10 миномётов, склад боеприпасов и другие трофеи.</w:t>
      </w:r>
    </w:p>
    <w:p w14:paraId="6C8D944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за расширение плацдарма на правом берегу реки Сож. Бойцы Н-ской части заняли два сильно укреплённых опорных пункта противника. На другом участке наши войска продвинулись вперёд и захватилиу немцев 7 орудий, 9 миномётов и два продовольственных склада.</w:t>
      </w:r>
    </w:p>
    <w:p w14:paraId="0E7D629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Кораблями Черноморского флота потоплены три быстроходных десантных баржи противника.</w:t>
      </w:r>
    </w:p>
    <w:p w14:paraId="7B3B56A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Лётчиками Черноморского флота потоплены сторожевой катер и транспорт противника водоизмещением в 3.000 тонн.</w:t>
      </w:r>
    </w:p>
    <w:p w14:paraId="2E790A4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Чкалова, действующий в Барановичской области, за первую неделю ноября пустил под откос 22 немецких железнодорожных эшелона. Партизанский отряд имени Александра Невского подорвал воинский поезд с автомашинами и зенитными орудиями. Эшелон загорелся. Немецкая охрана поезда пыталась потушить пожар, но была истреблена партизанами. Уничтожено 10 автомашин, 14 зенитных орудий и 8 вагонов с различными грузами.</w:t>
      </w:r>
    </w:p>
    <w:p w14:paraId="748D3C0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Сребнянского района, Черниговской области, рассказали о кровавых зверствах немецко-фашистских мерзавцев над советскими людьми: «В феврале 1943 года в наш район прибыл из города Прилуки немецкий карательный отряд. Гитлеровцы произвели многочисленные аресты в сёлах Сребное, Грицивка, Олексенцы, Савинцы, Лебединцы, Карпиловка, Харитоновка, Дегтяры и других. Всех арестованных, в том числе женщин, подростков и детей, немцы загнали в здание школы села Сребное. До 200 арестованных мирных жителей гитлеровцы расстреляли в парке. Школу фашистские палачи облили керосином и подожгли. Заключённые советские граждане бросились кокнам и дверям. Немецкие изверги открыли по ним стрельбу. Из всех, кто находился в школе, удалось спастись только трактористу Сергею Иваненко из села Савинцы и тяжело раненному колхознику Хуторенко из села Грицивка» (14833).</w:t>
      </w:r>
    </w:p>
    <w:p w14:paraId="6945F09A"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3B2C262D"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17 ноября </w:t>
      </w:r>
      <w:r w:rsidRPr="00271E51">
        <w:rPr>
          <w:rFonts w:ascii="Times New Roman" w:hAnsi="Times New Roman"/>
          <w:color w:val="000000" w:themeColor="text1"/>
          <w:sz w:val="16"/>
          <w:szCs w:val="16"/>
        </w:rPr>
        <w:t xml:space="preserve">в 1943 году Войска Белорусского фронта освободили Коростень. Войска Украинского фронта освободили город Речица. Партизанское соединение под командованием А.Н.Сабурова освободило город Овруг Житомирской области и удерживало его до подхода (18 ноября) войск 1-го Украинского фронта </w:t>
      </w:r>
    </w:p>
    <w:p w14:paraId="27C16B35"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23AA87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 районе Коломны, согласно постановлению ГКО, началось формирование отдельного югославского стрелкового батальона (1200 чел.), развернутого в мае 1944 в 1ЮПБ (3398,403).</w:t>
      </w:r>
    </w:p>
    <w:p w14:paraId="5F5CEF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2B8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ноября 1943 вышло Постановление ГКО № 4598 О сформировании отдельной югославской воинской части.РГАНИР, Фонд ГКО, д. 177, лл. 18-19 (11012).</w:t>
      </w:r>
    </w:p>
    <w:p w14:paraId="7F6E69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6522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E1B4D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C5E541"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ноября 1943 первый полет Р-75 Орел (20376).</w:t>
      </w:r>
    </w:p>
    <w:p w14:paraId="23F8DB69" w14:textId="77777777" w:rsidR="006E245A" w:rsidRPr="00271E51" w:rsidRDefault="006E245A" w:rsidP="00271E51">
      <w:pPr>
        <w:spacing w:after="0" w:line="240" w:lineRule="auto"/>
        <w:jc w:val="both"/>
        <w:rPr>
          <w:rFonts w:ascii="Times New Roman" w:hAnsi="Times New Roman"/>
          <w:color w:val="0070C0"/>
          <w:sz w:val="16"/>
          <w:szCs w:val="16"/>
        </w:rPr>
      </w:pPr>
    </w:p>
    <w:p w14:paraId="2FAA102B"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17–18 ноября 1943 83 британских бомбардировщика совершают слепой налет на Людвигсхафен. Германия, управляемые только радаром H2S . Британские радиопередачи успешно направляют большинство немецких ночных истребителей на посадку слишком рано, чтобы их перехватить, и только один Ланкастер потерян (20376).</w:t>
      </w:r>
    </w:p>
    <w:p w14:paraId="2A3B1B63" w14:textId="77777777" w:rsidR="006E245A" w:rsidRPr="00271E51" w:rsidRDefault="006E245A" w:rsidP="00271E51">
      <w:pPr>
        <w:spacing w:after="0" w:line="240" w:lineRule="auto"/>
        <w:jc w:val="both"/>
        <w:rPr>
          <w:rFonts w:ascii="Times New Roman" w:hAnsi="Times New Roman"/>
          <w:color w:val="0070C0"/>
          <w:sz w:val="16"/>
          <w:szCs w:val="16"/>
        </w:rPr>
      </w:pPr>
    </w:p>
    <w:p w14:paraId="387381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17 ноября 1943 года, после десятого налета на Берлин, столица как центральный организационный пункт Германии перестала существовать. 3 января сего года было прямое попадание в здание имперской канцелярии. Через два дня из убежища, находящегося на глубине 20 метров, был извлечен персонал канцелярии, ввиду прочности убежища оставшийся невредимым. Работающему и связанному с противовоздушной обороной населению выезд из Берлина запрещен. С 17 ноября господствует усталое и летаргическое настроение. В ноябре попаданием многих фугасных бомб разрушена станция метро "Виттенбергплац". Дома вблизи (например, мининдела) сгорели. Главный почтамт на Дессауэрштрассе сгорел. Почти все телефоны не работают. Прием телеграмм ограничен. Материалы министерств своевременно укрыты. Книги и дела больших банков почти полностью уничтожены бомбежками. С конца ноября нормальная работа банков невозможна. Погибла большая часть материалов муниципальных органов и учетные материалы военнообязанных. </w:t>
      </w:r>
    </w:p>
    <w:p w14:paraId="422B16F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десятого налета число оставшихся без крова исчисляется в два миллиона человек, причем они спасли только то, что имели при себе. Несмотря на драконовские меры и казни, угрожающие плакаты на разных языках, происходят грабежи и кражи, в которых участвуют иностранные рабочие. Отпускников специальными плакатами призывают владеть своими нервами и поспешить в свои части, где их ждут товарищи, иначе они будут подвергнуты строгому наказанию. Улицы Берлина кишат военными патрулями и полицейскими отрядами. Учащаются случаи невозвращения отпускников на фронт. </w:t>
      </w:r>
    </w:p>
    <w:p w14:paraId="0A1C8E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ответ на обращение Геббельса слышны открытые насмешки или ругательства. Прессе дано указание критиковать второстепенные власти. За критику Гитлера люди исчезают. </w:t>
      </w:r>
    </w:p>
    <w:p w14:paraId="0486E7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Сотни тысяч иностранных рабочих висят дамокловым мечом над Берлином. Они все расхищают. По ночам на затемненных улицах открывают канализационные люки, чтобы проваливались люди. Приводят в негодность телефонные автоматы. Перед ними не меньший страх, чем перед гестапо... </w:t>
      </w:r>
    </w:p>
    <w:p w14:paraId="466473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Все ждут и надеются на уничтожение промышленных районов Берлина и удивляются, что бомбы вместо этого попадают туда, где это вообще на военную машину влияния не оказывает. Вероятно, вследствие ошибочных наблюдений или неправильного представления больше всего пострадала та часть города, существование которой на ход войны едва ли оказывает существенное влияние. Промышленные сооружения востока, севера, Эркнер, Шпандау, Сименсштадт до сих пор почти не пострадали. Фюрстенвальд, самый большой центр военной промышленности берлинского района, вряд ли видел хотя бы один английский самолет... Налеты большей частью производились на юго-западную часть Берлина. Хотя они и причинили очень тяжелый ущерб, но для ведения войны они почти не имели значения. Юго-западные кварталы уничтожены, как и район Гедехтновкирхе, но шестиэтажное бетонное сооружение в непосредственной близости от зоологического сада, откуда управляется вся противовоздушная оборона Берлина, осталось невредимым... Тем, что бомбардировке подвергаются западные кварталы Берлина Грюнвальд, южное и западное предместья, положение правителей Берлина только облегчается, так как для гражданского населения меньше требуется электричества, воды, угля, продуктов. </w:t>
      </w:r>
    </w:p>
    <w:p w14:paraId="16ADF3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сообщения британского разведчика в Берлине, переданного советской агентурой в Москву, 1944 г. (11652).</w:t>
      </w:r>
    </w:p>
    <w:p w14:paraId="2A7642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B092A"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ноября 1943 истребители Air Solomons (AirSols) перехватывают 35 японских самолетов, направляющихся для нанесения удара по американским самолетам, приземляющимся на Бугенвиле, сбив 16 и потеряв два Vought F4U Corsair. Японский бомбардировщик-торпедоносец топит американский эсминец у Бугенвиля с тяжелыми человеческими жертвами (20376).</w:t>
      </w:r>
    </w:p>
    <w:p w14:paraId="4C8B79C2" w14:textId="77777777" w:rsidR="006E245A" w:rsidRPr="00271E51" w:rsidRDefault="006E245A" w:rsidP="00271E51">
      <w:pPr>
        <w:spacing w:after="0" w:line="240" w:lineRule="auto"/>
        <w:jc w:val="both"/>
        <w:rPr>
          <w:rFonts w:ascii="Times New Roman" w:hAnsi="Times New Roman"/>
          <w:color w:val="0070C0"/>
          <w:sz w:val="16"/>
          <w:szCs w:val="16"/>
        </w:rPr>
      </w:pPr>
    </w:p>
    <w:p w14:paraId="15EA78D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F29B9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CF78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вышел акт НИИ ВВС N 0265 по гос. испытаниям эталонного Ил-2 N 7964 завода 1. НИИ ВВС не утвердил эту машину в качестве эталона, т.к. из-за плохого производственного выполнения она не добирала скорости по сравнению с машиной N 2804 завода 30 (2479,2).</w:t>
      </w:r>
    </w:p>
    <w:p w14:paraId="585AC61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E23D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18 ноября 1943 г. (с 12 сентября) в ЦАГИ по за</w:t>
      </w:r>
      <w:r w:rsidRPr="00271E51">
        <w:rPr>
          <w:rFonts w:ascii="Times New Roman" w:hAnsi="Times New Roman"/>
          <w:color w:val="000000" w:themeColor="text1"/>
          <w:sz w:val="16"/>
          <w:szCs w:val="16"/>
        </w:rPr>
        <w:softHyphen/>
        <w:t>данию наркомавиапрома проводились специальные летные испытания самолета Ил-2 АМ-38ф на вибрацию. Инициато</w:t>
      </w:r>
      <w:r w:rsidRPr="00271E51">
        <w:rPr>
          <w:rFonts w:ascii="Times New Roman" w:hAnsi="Times New Roman"/>
          <w:color w:val="000000" w:themeColor="text1"/>
          <w:sz w:val="16"/>
          <w:szCs w:val="16"/>
        </w:rPr>
        <w:softHyphen/>
        <w:t>ром этих исследований был винтовой завод № 35.</w:t>
      </w:r>
    </w:p>
    <w:p w14:paraId="7562C85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сказать, что военпреды на заводе № 30 в ию</w:t>
      </w:r>
      <w:r w:rsidRPr="00271E51">
        <w:rPr>
          <w:rFonts w:ascii="Times New Roman" w:hAnsi="Times New Roman"/>
          <w:color w:val="000000" w:themeColor="text1"/>
          <w:sz w:val="16"/>
          <w:szCs w:val="16"/>
        </w:rPr>
        <w:softHyphen/>
        <w:t>ле — августе отбраковали по этой причине довольно много са</w:t>
      </w:r>
      <w:r w:rsidRPr="00271E51">
        <w:rPr>
          <w:rFonts w:ascii="Times New Roman" w:hAnsi="Times New Roman"/>
          <w:color w:val="000000" w:themeColor="text1"/>
          <w:sz w:val="16"/>
          <w:szCs w:val="16"/>
        </w:rPr>
        <w:softHyphen/>
        <w:t>молетов. Ни самолетостроители, ни моторный завод, ни вин</w:t>
      </w:r>
      <w:r w:rsidRPr="00271E51">
        <w:rPr>
          <w:rFonts w:ascii="Times New Roman" w:hAnsi="Times New Roman"/>
          <w:color w:val="000000" w:themeColor="text1"/>
          <w:sz w:val="16"/>
          <w:szCs w:val="16"/>
        </w:rPr>
        <w:softHyphen/>
        <w:t>товой своей вины не признавали. Это и послужило поводом для проведения детальных исследований причин возникнове</w:t>
      </w:r>
      <w:r w:rsidRPr="00271E51">
        <w:rPr>
          <w:rFonts w:ascii="Times New Roman" w:hAnsi="Times New Roman"/>
          <w:color w:val="000000" w:themeColor="text1"/>
          <w:sz w:val="16"/>
          <w:szCs w:val="16"/>
        </w:rPr>
        <w:softHyphen/>
        <w:t>ния сильных вибраций на самолетах Ил-2 и разработки меро</w:t>
      </w:r>
      <w:r w:rsidRPr="00271E51">
        <w:rPr>
          <w:rFonts w:ascii="Times New Roman" w:hAnsi="Times New Roman"/>
          <w:color w:val="000000" w:themeColor="text1"/>
          <w:sz w:val="16"/>
          <w:szCs w:val="16"/>
        </w:rPr>
        <w:softHyphen/>
        <w:t>приятий для их устранения.</w:t>
      </w:r>
    </w:p>
    <w:p w14:paraId="69ADE4B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Руководил работами начальник 2-го отдела лаборатории № 3 института профессор М.В. Келдыш. В состав группы вхо</w:t>
      </w:r>
      <w:r w:rsidRPr="00271E51">
        <w:rPr>
          <w:rFonts w:ascii="Times New Roman" w:hAnsi="Times New Roman"/>
          <w:color w:val="000000" w:themeColor="text1"/>
          <w:sz w:val="16"/>
          <w:szCs w:val="16"/>
        </w:rPr>
        <w:softHyphen/>
        <w:t>дили: начальник группы вибраций С.П. Стрелков, Н.Н. Чер</w:t>
      </w:r>
      <w:r w:rsidRPr="00271E51">
        <w:rPr>
          <w:rFonts w:ascii="Times New Roman" w:hAnsi="Times New Roman"/>
          <w:color w:val="000000" w:themeColor="text1"/>
          <w:sz w:val="16"/>
          <w:szCs w:val="16"/>
        </w:rPr>
        <w:softHyphen/>
        <w:t>нышев и А.И. Панкратов.</w:t>
      </w:r>
    </w:p>
    <w:p w14:paraId="4F2C123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проводились на самолете Ил-2 зав. № 302786 с мотором АМ-38ф зав. № 4591698 и винтом АВ-5л-158 зав. № 063675. Этот самолет вследствие интенсивных вибраций от винтомоторной группы военной приемкой завода № 30 был признан не подлежащим сдаче по бою, естественно, и оплате.</w:t>
      </w:r>
    </w:p>
    <w:p w14:paraId="68C41B6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имевшие место на всех режимах полета са</w:t>
      </w:r>
      <w:r w:rsidRPr="00271E51">
        <w:rPr>
          <w:rFonts w:ascii="Times New Roman" w:hAnsi="Times New Roman"/>
          <w:color w:val="000000" w:themeColor="text1"/>
          <w:sz w:val="16"/>
          <w:szCs w:val="16"/>
        </w:rPr>
        <w:softHyphen/>
        <w:t>молета сильные вибрации имеют частоту, совпадающую с час</w:t>
      </w:r>
      <w:r w:rsidRPr="00271E51">
        <w:rPr>
          <w:rFonts w:ascii="Times New Roman" w:hAnsi="Times New Roman"/>
          <w:color w:val="000000" w:themeColor="text1"/>
          <w:sz w:val="16"/>
          <w:szCs w:val="16"/>
        </w:rPr>
        <w:softHyphen/>
        <w:t>тотой оборотов винта. При этом периодические вибрации с частотой оборотов винта, вызываемые винтомоторной груп</w:t>
      </w:r>
      <w:r w:rsidRPr="00271E51">
        <w:rPr>
          <w:rFonts w:ascii="Times New Roman" w:hAnsi="Times New Roman"/>
          <w:color w:val="000000" w:themeColor="text1"/>
          <w:sz w:val="16"/>
          <w:szCs w:val="16"/>
        </w:rPr>
        <w:softHyphen/>
        <w:t>пой, усиливались в интервале 1850—1950 об/мин коленчатого _вала мотора. Эти вибрации носили резонансный характер, наиболее резко выраженный в диапазоне частот, в котором ле</w:t>
      </w:r>
      <w:r w:rsidRPr="00271E51">
        <w:rPr>
          <w:rFonts w:ascii="Times New Roman" w:hAnsi="Times New Roman"/>
          <w:color w:val="000000" w:themeColor="text1"/>
          <w:sz w:val="16"/>
          <w:szCs w:val="16"/>
        </w:rPr>
        <w:softHyphen/>
        <w:t>жат три собственные частоты моторной установки.</w:t>
      </w:r>
    </w:p>
    <w:p w14:paraId="465D15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Рабочая группа ЛИИ сделала вывод, что одним из основных источников возникновения вибрации винтомоторной группы, передающейся затем на весь самолет, является винт. Однако даже «если статическая балансировка винта будет выдержана, то все-таки могут появиться резонансные вибрации (значительно меньших амплитуд), возбуждаемые винтом на режимах работы |мотора порядка 1800—2000 об/мин».</w:t>
      </w:r>
    </w:p>
    <w:p w14:paraId="7BFDF94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Проверка статической балансировки винта зав. № 063675 Доказала, что он имеет статическую разбалансировку, почти в 6 раз превышающую норму. После балансировки винта интенсивность вибрации значительно уменьшилась, но полностью не исчезла. Дополнительные полеты этого самолета с другим том зав. № 0237443, имеющим нормальную балансировку, эдтвердили полученные результаты.</w:t>
      </w:r>
    </w:p>
    <w:p w14:paraId="5951ED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Выборочная проверка балансировки еще двух винтов АВ-5л-158 зав. № 083648 и № 083682, взятых наугад из сбороч</w:t>
      </w:r>
      <w:r w:rsidRPr="00271E51">
        <w:rPr>
          <w:rFonts w:ascii="Times New Roman" w:hAnsi="Times New Roman"/>
          <w:color w:val="000000" w:themeColor="text1"/>
          <w:sz w:val="16"/>
          <w:szCs w:val="16"/>
        </w:rPr>
        <w:softHyphen/>
        <w:t>ного цеха завода № 30, показала, что эти винты имеют разба-лансировку в 4—5 раз выше нормы. То есть наличие значи</w:t>
      </w:r>
      <w:r w:rsidRPr="00271E51">
        <w:rPr>
          <w:rFonts w:ascii="Times New Roman" w:hAnsi="Times New Roman"/>
          <w:color w:val="000000" w:themeColor="text1"/>
          <w:sz w:val="16"/>
          <w:szCs w:val="16"/>
        </w:rPr>
        <w:softHyphen/>
        <w:t>тельного количества случаев вибраций на серийных самолетах завода № 30 вызвано недостаточным входным контролем ба</w:t>
      </w:r>
      <w:r w:rsidRPr="00271E51">
        <w:rPr>
          <w:rFonts w:ascii="Times New Roman" w:hAnsi="Times New Roman"/>
          <w:color w:val="000000" w:themeColor="text1"/>
          <w:sz w:val="16"/>
          <w:szCs w:val="16"/>
        </w:rPr>
        <w:softHyphen/>
        <w:t>лансировки винтов.</w:t>
      </w:r>
    </w:p>
    <w:p w14:paraId="371C511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для устранения резонансных колебаний при сбалансированном винте и уменьшения вибраций всего само</w:t>
      </w:r>
      <w:r w:rsidRPr="00271E51">
        <w:rPr>
          <w:rFonts w:ascii="Times New Roman" w:hAnsi="Times New Roman"/>
          <w:color w:val="000000" w:themeColor="text1"/>
          <w:sz w:val="16"/>
          <w:szCs w:val="16"/>
        </w:rPr>
        <w:softHyphen/>
        <w:t>лета группа ЛИИ НКАП разработала простейшую схему амор</w:t>
      </w:r>
      <w:r w:rsidRPr="00271E51">
        <w:rPr>
          <w:rFonts w:ascii="Times New Roman" w:hAnsi="Times New Roman"/>
          <w:color w:val="000000" w:themeColor="text1"/>
          <w:sz w:val="16"/>
          <w:szCs w:val="16"/>
        </w:rPr>
        <w:softHyphen/>
        <w:t>тизации самолета, обеспечивавшую «ослабление передачи пе</w:t>
      </w:r>
      <w:r w:rsidRPr="00271E51">
        <w:rPr>
          <w:rFonts w:ascii="Times New Roman" w:hAnsi="Times New Roman"/>
          <w:color w:val="000000" w:themeColor="text1"/>
          <w:sz w:val="16"/>
          <w:szCs w:val="16"/>
        </w:rPr>
        <w:softHyphen/>
        <w:t>риодических сил винта и мотора на планер самолета и пони</w:t>
      </w:r>
      <w:r w:rsidRPr="00271E51">
        <w:rPr>
          <w:rFonts w:ascii="Times New Roman" w:hAnsi="Times New Roman"/>
          <w:color w:val="000000" w:themeColor="text1"/>
          <w:sz w:val="16"/>
          <w:szCs w:val="16"/>
        </w:rPr>
        <w:softHyphen/>
        <w:t>жение собственных частот моторной установки».</w:t>
      </w:r>
    </w:p>
    <w:p w14:paraId="546009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Предложенная схема амортизации состояла из резиновых прокладок, установленных между лапой мотора и моторной ра</w:t>
      </w:r>
      <w:r w:rsidRPr="00271E51">
        <w:rPr>
          <w:rFonts w:ascii="Times New Roman" w:hAnsi="Times New Roman"/>
          <w:color w:val="000000" w:themeColor="text1"/>
          <w:sz w:val="16"/>
          <w:szCs w:val="16"/>
        </w:rPr>
        <w:softHyphen/>
        <w:t>мой, резиновых шайб, которые кладутся под затяжную гайку болта крепления мотора и резиновых втулок, надеваемых на бол</w:t>
      </w:r>
      <w:r w:rsidRPr="00271E51">
        <w:rPr>
          <w:rFonts w:ascii="Times New Roman" w:hAnsi="Times New Roman"/>
          <w:color w:val="000000" w:themeColor="text1"/>
          <w:sz w:val="16"/>
          <w:szCs w:val="16"/>
        </w:rPr>
        <w:softHyphen/>
        <w:t>ты крепления мотора. Резиновые прокладки являлись основны</w:t>
      </w:r>
      <w:r w:rsidRPr="00271E51">
        <w:rPr>
          <w:rFonts w:ascii="Times New Roman" w:hAnsi="Times New Roman"/>
          <w:color w:val="000000" w:themeColor="text1"/>
          <w:sz w:val="16"/>
          <w:szCs w:val="16"/>
        </w:rPr>
        <w:softHyphen/>
        <w:t>ми упругими элементами амортизации. Резина работала на сжа</w:t>
      </w:r>
      <w:r w:rsidRPr="00271E51">
        <w:rPr>
          <w:rFonts w:ascii="Times New Roman" w:hAnsi="Times New Roman"/>
          <w:color w:val="000000" w:themeColor="text1"/>
          <w:sz w:val="16"/>
          <w:szCs w:val="16"/>
        </w:rPr>
        <w:softHyphen/>
        <w:t>тие при вертикальных и на сдвиг при поперечных перемещениях мотора. При этом диаметр отверстий под болты крепления мото</w:t>
      </w:r>
      <w:r w:rsidRPr="00271E51">
        <w:rPr>
          <w:rFonts w:ascii="Times New Roman" w:hAnsi="Times New Roman"/>
          <w:color w:val="000000" w:themeColor="text1"/>
          <w:sz w:val="16"/>
          <w:szCs w:val="16"/>
        </w:rPr>
        <w:softHyphen/>
        <w:t>ра увеличивался на 2 мм, вследствие чего они получили возмож</w:t>
      </w:r>
      <w:r w:rsidRPr="00271E51">
        <w:rPr>
          <w:rFonts w:ascii="Times New Roman" w:hAnsi="Times New Roman"/>
          <w:color w:val="000000" w:themeColor="text1"/>
          <w:sz w:val="16"/>
          <w:szCs w:val="16"/>
        </w:rPr>
        <w:softHyphen/>
        <w:t>ность перемещаться в поперечном направлении.</w:t>
      </w:r>
    </w:p>
    <w:p w14:paraId="03571A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Амплитуда колебаний мотора значительно уменьшилась, а верхняя граница зоны резонансных колебаний мотора понизи</w:t>
      </w:r>
      <w:r w:rsidRPr="00271E51">
        <w:rPr>
          <w:rFonts w:ascii="Times New Roman" w:hAnsi="Times New Roman"/>
          <w:color w:val="000000" w:themeColor="text1"/>
          <w:sz w:val="16"/>
          <w:szCs w:val="16"/>
        </w:rPr>
        <w:softHyphen/>
        <w:t>лась до 1700 об/мин. Особенно сильное влияние мотора оказа</w:t>
      </w:r>
      <w:r w:rsidRPr="00271E51">
        <w:rPr>
          <w:rFonts w:ascii="Times New Roman" w:hAnsi="Times New Roman"/>
          <w:color w:val="000000" w:themeColor="text1"/>
          <w:sz w:val="16"/>
          <w:szCs w:val="16"/>
        </w:rPr>
        <w:softHyphen/>
        <w:t>лось на вибрации капота мотора, на котором совершенно ис</w:t>
      </w:r>
      <w:r w:rsidRPr="00271E51">
        <w:rPr>
          <w:rFonts w:ascii="Times New Roman" w:hAnsi="Times New Roman"/>
          <w:color w:val="000000" w:themeColor="text1"/>
          <w:sz w:val="16"/>
          <w:szCs w:val="16"/>
        </w:rPr>
        <w:softHyphen/>
        <w:t>чезли вибрации, возбуждаемые винтом, несмотря на то, что они имели место на моторе.</w:t>
      </w:r>
    </w:p>
    <w:p w14:paraId="3F99E00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заводам рекомендовалось усилить кон</w:t>
      </w:r>
      <w:r w:rsidRPr="00271E51">
        <w:rPr>
          <w:rFonts w:ascii="Times New Roman" w:hAnsi="Times New Roman"/>
          <w:color w:val="000000" w:themeColor="text1"/>
          <w:sz w:val="16"/>
          <w:szCs w:val="16"/>
        </w:rPr>
        <w:softHyphen/>
        <w:t>троль статической балансировки винтов и установить мотор на резиновые амортизаторы (11474,373).</w:t>
      </w:r>
    </w:p>
    <w:p w14:paraId="0D3472B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22A2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октября 1943 г. вышел приказ НКАП о проектировании модернизированного Пе-8. Параллельно проектировались новые тяжёлые бомбардировщики "64" у А.Н. Туполева, "202" и "302" у В.М. Мясищева. В этом ряду предложение Незваля по модернизации Пе-8 не было чем-то революционным, однако позволяло в короткие </w:t>
      </w:r>
      <w:r w:rsidRPr="00271E51">
        <w:rPr>
          <w:rFonts w:ascii="Times New Roman" w:hAnsi="Times New Roman"/>
          <w:color w:val="000000" w:themeColor="text1"/>
          <w:sz w:val="16"/>
          <w:szCs w:val="16"/>
        </w:rPr>
        <w:lastRenderedPageBreak/>
        <w:t>сроки с минимальным риском создать неплохой самолёт Он, конечно, уступал бы американскому В-29, но давал возможность обеспечить нашу дальнюю авиацию четырёхмоторными бомбардировщиками до поступления более современных машин. 14 января 1944 г. Незваль направил в наркомат докладную записку, в которой изложил свои взгляды на модернизацию бомбардировщика. Он утверждал, что совершенствование аэродинамики увеличит максимальную скорость на 35 - 40 км/ч, а турбонаддув даст еще 40 - 45 км/ч. В результате скорость самолёта может быть доведена до 500 км/ч на высоте 9000 м, а практический потолок увеличен до 11 000 м.</w:t>
      </w:r>
    </w:p>
    <w:p w14:paraId="3BC909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Изучалась возможность уменьшения площади крыла до 160 м2. Это обещало прирост скорости еще на 15 км/ч, но увеличивало длину разбега с 730 до 800 м и вдобавок требовало полного пересмотра конструкции крыла.</w:t>
      </w:r>
    </w:p>
    <w:p w14:paraId="2A6EA3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прочности лонжеронов центроплана, консолей, фюзеляжа и шасси под полётный вес 37 500 кг позволяло перевозить вдвое большее количество бомб, по сравнению с серийным Пе-8 (4000 кг на 5000 км). Предусматривались увеличение размеров бомбоотсека и доведение максимальной бомбовой нагрузки до 8000 кг, из них 6000 кг - внутри. При этом бомба ФАБ-5000 полностью умещалась внутри фюзеляжа. Поскольку отсек удлинялся вперёд и назад, место радиста перенесли, разместив его за командиром, рядом с бортмехаником.По расчётам, при небольшом увеличении полётного веса дальность с 6000 кг бомб получалась равной 4200 км. При уменьшении бомбовой нагрузки до 2000 кг и установке в бомбоотсеке дополнительных бензобаков дальность могла быть доведена до 6000 км.</w:t>
      </w:r>
    </w:p>
    <w:p w14:paraId="71853D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улучшения аэродинамики Незваль хотел "обжать" фюзеляж и мотогондолы, опустить вниз верхнюю турель. Клёпка обшивки должна была стать потайной по всем поверхностям. Предусматривалась полная уборка колёс. Кабина пилотов сдвигалась для улучшения обзора вперёд и перекомпоновывалась, оба лётчика размещались бок о бок.</w:t>
      </w:r>
    </w:p>
    <w:p w14:paraId="1F87CE5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Обороноспособность усиливалась увеличением углов обстрела носовой установки, заменой пушки ШВАК в башне ТАТ на ВЯ-23 и введением бортовых огневых точек с пулемётами УБТ.</w:t>
      </w:r>
    </w:p>
    <w:p w14:paraId="3803E3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выполнялись расчёты для модификации Пе-8 с дизелями М-31. С ними скорость и потолок получались немного хуже, но дальность доходила до 7500 км (11996).</w:t>
      </w:r>
    </w:p>
    <w:p w14:paraId="0837D3A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FF42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В.Г.Ермолаев утвердил фонарь Ер-2 с пилотами, сидящими рядом. Дали индекс Ер-2, а вариант с пилотами, сидящими тандемом, называли Ер-1. Называли Ермошками (1724,56). По индексации Главцентрчертежа эту модификацию называли Ер-2, в отличие от старой версии - ЕР-1 (3888,36).</w:t>
      </w:r>
    </w:p>
    <w:p w14:paraId="3F065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2B1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на Як-1 с М-107А была достигнута скорость 716 км/ч, но для боевой серии мотор был недоведен, а когда довели - уже не понадобился (198,56).</w:t>
      </w:r>
    </w:p>
    <w:p w14:paraId="522CB7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B1B0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1942 г. на высоте 6250 м истребитель Як-1М М-107А развил скорость 716 км/ч, что явилось подтверждением расчетов ЦАГИ. Но для серийного производства, для использования в бою мотор М-107А был еше недостаточно доведен. А когда его довели, Як-1 уже снимали с производства (12048).</w:t>
      </w:r>
    </w:p>
    <w:p w14:paraId="45C896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017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был утвержден Отчет о доп. испытаниях Як-3 (Як-1М Дублер) М-105ПФ с ВИШ-105СВ, которые проходили с 15 октября по 5 ноября 1943 (813,4).</w:t>
      </w:r>
    </w:p>
    <w:p w14:paraId="24D97BF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5F2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г. был установлен рекорд скорости на самолете Як-3 с двигателем ВК-107А - установил П.Я.Федрови - 717 км/час (6395).</w:t>
      </w:r>
    </w:p>
    <w:p w14:paraId="35EF5E5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1E85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рекорд скорости на самолете «Як-3» с двигателем ВК-107А установил П.Я.Федрови - 717 км/час. Проектирование нового «Як-3» было ориентировано в первую очередь на резкое повышение летных данных, чтобы обеспечить ему решающее превосходство в воздушных боях с истребителями противника. На самолете установили новый мотор «М-105ПФ-2» (с 1944 г. ВК-105ПФ-2). С 1944 г. «Як-3» начали выпускать серийно. Воздушные бои показали полное превосходство «Як-3» над истребителями противника. На «Як-3» сражались французские летчики полка "Нормандия-Неман". За 1944-1945 гг. было построено 4560 истребителей «Як-3» (14834).</w:t>
      </w:r>
    </w:p>
    <w:p w14:paraId="533C5F06"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E1653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начались с рулежки заводские испытания МиГ высотного с АМ-39, но сложился костыль и разрушились пневматики (991,9).</w:t>
      </w:r>
    </w:p>
    <w:p w14:paraId="4982CC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E35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согласно журнала наблюдения за проектированием, постройкой и испытаниями высотного истребителя МиГ-1 за 29 ноября 1943 высотный самолет А.И.М. выполнял рулежки без подлетов, в ходе которой сложился костыль. Л Журавлев (991,10).</w:t>
      </w:r>
    </w:p>
    <w:p w14:paraId="027B1E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DC0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Нач. НИИ ВВС Лосюков направил А.И.Ш. НКАП письмо N 1/0218:</w:t>
      </w:r>
    </w:p>
    <w:p w14:paraId="69DE20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Альбом материалов авиаброни и схем бронирования самолетов и Альбом бензобаков и систем нейтральных газов самолетов ВВС КА.</w:t>
      </w:r>
    </w:p>
    <w:p w14:paraId="098EDC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Альбом составлен по материалам испытаний НИИ ВВС КА." (1782).</w:t>
      </w:r>
    </w:p>
    <w:p w14:paraId="489E97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703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НИИ ВВС с письмом N 1/0216 направил НКАП А.И.Ш. карточки ЛТД самолетов, прошедших испытания в НИИ ВВС КА, для включения в альбом Самолетов ВВС КА 1943":</w:t>
      </w:r>
    </w:p>
    <w:p w14:paraId="7EB7BB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Ла-5 М-82Ф N 39210109 - улучшенный</w:t>
      </w:r>
    </w:p>
    <w:p w14:paraId="698FE6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Ла-5 М-82ФН N 39210495 - серийный</w:t>
      </w:r>
    </w:p>
    <w:p w14:paraId="508A6A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ЛаГГ-3 с М-105ПФ "105" - модернизированный</w:t>
      </w:r>
    </w:p>
    <w:p w14:paraId="693324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Аэрокобра N 42-20561</w:t>
      </w:r>
    </w:p>
    <w:p w14:paraId="6A03E9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Ил-2 АМ-38Ф N 7964 - эталон завода 1</w:t>
      </w:r>
    </w:p>
    <w:p w14:paraId="33256D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Ил-2 АМ-38Ф N 302804 - эталон завода 30</w:t>
      </w:r>
    </w:p>
    <w:p w14:paraId="3DEE1A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Ту-2 2М-82ФН N 100716 - модифицированный</w:t>
      </w:r>
    </w:p>
    <w:p w14:paraId="728371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УТ-2 М-11Д N 4016116 - серийный</w:t>
      </w:r>
    </w:p>
    <w:p w14:paraId="37B20D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УТ-2М М-11Д N 1680317 (1782).</w:t>
      </w:r>
    </w:p>
    <w:p w14:paraId="44AF94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5F64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1943г закончились первые официальные летные испытания ЖРД РД-1 на самолете Пе-2Р (проведено 40 полетов с включением ЖРД), которые шли с 22 августа (11330).</w:t>
      </w:r>
    </w:p>
    <w:p w14:paraId="11558B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E322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6672E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73C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по 25 ноября 1943 г. на Гороховецком полигоне танк Д-5 в Т-34 с башней Т-43 испытывался стрельбой в присутствии комиссии под председательством полковника Г. Кульчицкого (11135).</w:t>
      </w:r>
    </w:p>
    <w:p w14:paraId="0684F06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итогам отстрела в отзыве нач. техуправления НКВ от</w:t>
      </w:r>
      <w:r w:rsidRPr="00271E51">
        <w:rPr>
          <w:rFonts w:ascii="Times New Roman" w:hAnsi="Times New Roman"/>
          <w:color w:val="000000" w:themeColor="text1"/>
          <w:sz w:val="16"/>
          <w:szCs w:val="16"/>
        </w:rPr>
        <w:softHyphen/>
        <w:t>мечались следующие особенности поведения орудия Д-5Т:</w:t>
      </w:r>
    </w:p>
    <w:p w14:paraId="350716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«Входе проведения испытаний выполнено 298выстрелов, из них 50 — практическим снарядом, 141 — боевым снарядом с норм, зарядом и 107 — боевым бронеб. снарядом с усиленным за</w:t>
      </w:r>
      <w:r w:rsidRPr="00271E51">
        <w:rPr>
          <w:rFonts w:ascii="Times New Roman" w:hAnsi="Times New Roman"/>
          <w:color w:val="000000" w:themeColor="text1"/>
          <w:sz w:val="16"/>
          <w:szCs w:val="16"/>
        </w:rPr>
        <w:softHyphen/>
        <w:t>рядом пороха...</w:t>
      </w:r>
    </w:p>
    <w:p w14:paraId="6BEE75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 оценка точности и кучности стрельбы прямой наводкой, определение дальности прямого выстрела норм, и усиленным зарядом, проверка работоспособности уз</w:t>
      </w:r>
      <w:r w:rsidRPr="00271E51">
        <w:rPr>
          <w:rFonts w:ascii="Times New Roman" w:hAnsi="Times New Roman"/>
          <w:color w:val="000000" w:themeColor="text1"/>
          <w:sz w:val="16"/>
          <w:szCs w:val="16"/>
        </w:rPr>
        <w:softHyphen/>
        <w:t>лов и механизмов пушки, измерение параметров отката, сня</w:t>
      </w:r>
      <w:r w:rsidRPr="00271E51">
        <w:rPr>
          <w:rFonts w:ascii="Times New Roman" w:hAnsi="Times New Roman"/>
          <w:color w:val="000000" w:themeColor="text1"/>
          <w:sz w:val="16"/>
          <w:szCs w:val="16"/>
        </w:rPr>
        <w:softHyphen/>
        <w:t>тие велосиметрич. кривых проведения процесса выстрела...</w:t>
      </w:r>
    </w:p>
    <w:p w14:paraId="361E122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стрельб отмечены: недокаты, плохая экстракция стреляной гильзы... Требуется доработка конструкции ору</w:t>
      </w:r>
      <w:r w:rsidRPr="00271E51">
        <w:rPr>
          <w:rFonts w:ascii="Times New Roman" w:hAnsi="Times New Roman"/>
          <w:color w:val="000000" w:themeColor="text1"/>
          <w:sz w:val="16"/>
          <w:szCs w:val="16"/>
        </w:rPr>
        <w:softHyphen/>
        <w:t>дия Д-5Т в плане проведения след, работ: регулировка накат</w:t>
      </w:r>
      <w:r w:rsidRPr="00271E51">
        <w:rPr>
          <w:rFonts w:ascii="Times New Roman" w:hAnsi="Times New Roman"/>
          <w:color w:val="000000" w:themeColor="text1"/>
          <w:sz w:val="16"/>
          <w:szCs w:val="16"/>
        </w:rPr>
        <w:softHyphen/>
        <w:t>ника, доработка мех-ма экстракции гшьзы, перенесение ука</w:t>
      </w:r>
      <w:r w:rsidRPr="00271E51">
        <w:rPr>
          <w:rFonts w:ascii="Times New Roman" w:hAnsi="Times New Roman"/>
          <w:color w:val="000000" w:themeColor="text1"/>
          <w:sz w:val="16"/>
          <w:szCs w:val="16"/>
        </w:rPr>
        <w:softHyphen/>
        <w:t>зателя отката с правой стороны ствола орудия на левую, улучшение конструкции привода к прицелу, переработка спуск, мех-ма орудия...» (11135).</w:t>
      </w:r>
    </w:p>
    <w:p w14:paraId="3AAA4E0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085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г. была подготовлена ДОКЛАДНАЯ ЗАПИСКА ЗАМЕСТИТЕЛЯ КОМАНДУЮЩЕГО БТ и МВ КА ЗАМЕСТИТЕЛЮ ПРЕДСЕДАТЕЛЯ СНК СССР ВОЗНЕСЕНСКОМУ О ВОССТАНОВЛЕНИИ И СТРОИТЕЛЬСТВЕ НОВЫХ ОБЪЕКТОВ НАУЧНО-ИСПЫТАТЕЛЬНОГО ПОЛИГОНА ГБТУ КА №1142059</w:t>
      </w:r>
    </w:p>
    <w:p w14:paraId="07806F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Постановлению ГОКО за №4208с от 28 сентября 1943 г. «О восстановлении и строи</w:t>
      </w:r>
      <w:r w:rsidRPr="00271E51">
        <w:rPr>
          <w:rFonts w:ascii="Times New Roman" w:hAnsi="Times New Roman"/>
          <w:color w:val="000000" w:themeColor="text1"/>
          <w:sz w:val="16"/>
          <w:szCs w:val="16"/>
        </w:rPr>
        <w:softHyphen/>
        <w:t>тельстве новых объектов Научно-испытательного полигона ГБТУ КА» Главвоенпромстрой при СНК СССР обязал восстановить имеющиеся и построить новые объекты научно-испытательному поли</w:t>
      </w:r>
      <w:r w:rsidRPr="00271E51">
        <w:rPr>
          <w:rFonts w:ascii="Times New Roman" w:hAnsi="Times New Roman"/>
          <w:color w:val="000000" w:themeColor="text1"/>
          <w:sz w:val="16"/>
          <w:szCs w:val="16"/>
        </w:rPr>
        <w:softHyphen/>
        <w:t>гону ГБТУ КА в пос. Кубинка.</w:t>
      </w:r>
    </w:p>
    <w:p w14:paraId="6549F3A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Основная цель восстановления полигона заключается в том, чтобы в зимних условиях обеспе</w:t>
      </w:r>
      <w:r w:rsidRPr="00271E51">
        <w:rPr>
          <w:rFonts w:ascii="Times New Roman" w:hAnsi="Times New Roman"/>
          <w:color w:val="000000" w:themeColor="text1"/>
          <w:sz w:val="16"/>
          <w:szCs w:val="16"/>
        </w:rPr>
        <w:softHyphen/>
        <w:t>чить приемку импортных танков, приводить их в порядок и отправлять на фронт.</w:t>
      </w:r>
    </w:p>
    <w:p w14:paraId="61152E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месяце с.г. должны быть закончены корпуса № 30, 28 и 21. В ноябре месяце — корпус № 7.</w:t>
      </w:r>
    </w:p>
    <w:p w14:paraId="04A1EC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 момента Постановления ГОКО прошло около 2 месяцев, но до сего времени по существу ничего не сделано, строительные работы не развернуты и тем самым решение Правительства не выполняется.</w:t>
      </w:r>
    </w:p>
    <w:p w14:paraId="52E799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Строительная площадка материалами, инструментами, оборудованием и основной квалифици</w:t>
      </w:r>
      <w:r w:rsidRPr="00271E51">
        <w:rPr>
          <w:rFonts w:ascii="Times New Roman" w:hAnsi="Times New Roman"/>
          <w:color w:val="000000" w:themeColor="text1"/>
          <w:sz w:val="16"/>
          <w:szCs w:val="16"/>
        </w:rPr>
        <w:softHyphen/>
        <w:t>рованной рабочей силой не обеспечена.</w:t>
      </w:r>
    </w:p>
    <w:p w14:paraId="1A0763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Указанное положение грозит срывом строительства и невыполнением Постановления ГОКО, что лишает ГБТУ КА возможности своевременно принимать в зимних условиях импортные танки, посту</w:t>
      </w:r>
      <w:r w:rsidRPr="00271E51">
        <w:rPr>
          <w:rFonts w:ascii="Times New Roman" w:hAnsi="Times New Roman"/>
          <w:color w:val="000000" w:themeColor="text1"/>
          <w:sz w:val="16"/>
          <w:szCs w:val="16"/>
        </w:rPr>
        <w:softHyphen/>
        <w:t>пающие с дальневосточных и северных портов, приводить их в порядок и отправлять на фронт.</w:t>
      </w:r>
    </w:p>
    <w:p w14:paraId="288C43C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Ваших указаний начальнику Главвоенпромстроя о принятии необходимых мер к раз</w:t>
      </w:r>
      <w:r w:rsidRPr="00271E51">
        <w:rPr>
          <w:rFonts w:ascii="Times New Roman" w:hAnsi="Times New Roman"/>
          <w:color w:val="000000" w:themeColor="text1"/>
          <w:sz w:val="16"/>
          <w:szCs w:val="16"/>
        </w:rPr>
        <w:softHyphen/>
        <w:t>вертыванию строительных работ в соответствии с Постановлением ГОКО.</w:t>
      </w:r>
    </w:p>
    <w:p w14:paraId="28110B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30FC922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Член военного совета генерал-лейтенант танковых войск Бирюков</w:t>
      </w:r>
    </w:p>
    <w:p w14:paraId="647FADF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1661. Л. 29. Копия (11403).</w:t>
      </w:r>
    </w:p>
    <w:p w14:paraId="1142E2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B4AE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вышло Распоряжение ГКО № 4599 Об утверждении уполномоченных ГОКО по лесозаготовкам. (7158, 20-21).</w:t>
      </w:r>
    </w:p>
    <w:p w14:paraId="3C74E1B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4485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вышло Распоряжение ГКО № 4600 [О передаче НКЭС, НКтекстилю и НКлесу бездействующего подвижного состава и оборудования узкоколейного железнодорожного транспорта от УВС НКО, НКНП, НКЭП, НКЦМ и НКВД.] (7158, 22,23).</w:t>
      </w:r>
    </w:p>
    <w:p w14:paraId="1E579B5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FA7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Решение ВС КБФ о непосредственном участии флота в постройке 32 стотонников и направлении 650 краснофлотцев в помощь судостроителям на ленинградские заводы (10671).</w:t>
      </w:r>
    </w:p>
    <w:p w14:paraId="01FEC6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E3F6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17244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C37E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00889AA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продолжая развивать наступление, в двухдневных упорных боях сломили сопротивление противника и к исходу 17 ноября овладели городом и железнодорожным узлом Коростень.</w:t>
      </w:r>
    </w:p>
    <w:p w14:paraId="13A2432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Житомира и Коростышева наши войска отбивали атаки крупных сил пехотыи танков противника. В ходе боёв противник понёс огромные потери в живой силе и технике.</w:t>
      </w:r>
    </w:p>
    <w:p w14:paraId="52F5F48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Белорусского фронта, в результате стремительного наступления подвижных соединений и пехоты, в ночь на 18 ноября после трёхдневных ожесточённых боёв овладели городом Речица. Продолжая наступление, войска фронта заняли более 30 населённых пунктов, среди которых районный центр Полесской области Василевичи и крупные населённые пункты Балашевка, Гавеновичи, Будка Шибенка, Старое Красное, Новое Красное, Васильково, Головки. Под ударами наших войск противник понёс огромные потери в живой силе и технике.</w:t>
      </w:r>
    </w:p>
    <w:p w14:paraId="40B28C1D"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ноября в районе нижнего течения реки Припять наши войска вели бои с противником, в ходе которых заняли несколько населённых пунктов; среди них Старые и Новые Храковичи, Лелев, Большой и Малый Корогод, Жолнировка, Ильинцы, Рудня Ильинская.</w:t>
      </w:r>
    </w:p>
    <w:p w14:paraId="1CB6050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продолжали вести бои с противником, в ходе которых улучшили свои позиции.</w:t>
      </w:r>
    </w:p>
    <w:p w14:paraId="0DEAFAB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AA101E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ноября наши войска на всех фронтах подбили и уничтожили 75 немецких танков. В воздушных боях и огнём зенитной артиллерии сбито 13 самолётов противника.</w:t>
      </w:r>
    </w:p>
    <w:p w14:paraId="5DD35A2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форсировали реку Уж и в результате двухдневных боёв овладели городом и железнодорожным узлом Коростень. Противник на подступахк городу оказывал упорное сопротивление, но был отброшен с большими для него потерями. Войсками генерал-лейтенанта Черняховского, занявшими город Коростень, захвачены большие трофеи: много вооружения, склады и эшелоны с различным военным имуществом. На другом участке наши части, развивая наступление, заняли ряд населённых пунктов. В боях за эти пункты уничтожено до полка немецкой пехоты. Захвачено несколько артиллерийских батарей, склад боеприпасов и два склада с зерном.</w:t>
      </w:r>
    </w:p>
    <w:p w14:paraId="103581F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Житомира и Коростышева наши войска продолжали вести бои с крупными силами противника. На одном участке немецкая пехота и танки атаковали позиции Н-ской части. Советские бойцы пропустили танки противника через свои боевые порядки, а следовавшую за ними немецкую пехоту встретили сосредоточенным миномётным и пулемётным огнём. Потеряв убитыми 800 солдат и офицеров, гитлеровцыв беспорядке отступили. Огнём нашей артиллерии и бронебойщиков подбито и сожжено 17 немецких танков. На другом участке немцы предприняли двенадцать танковых атак. Противник бросал одну группу танков за другой, пытаясь любой ценой прорвать нашу оборону. В результате ожесточённого боя, длившегося весь день, все атаки гитлеровцев отбиты. В этом бою наши войска подбили и уничтожили свыше 40 немецких танков, 9 самоходных орудий и 11 бронетранспортёров.</w:t>
      </w:r>
    </w:p>
    <w:p w14:paraId="6FC7189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Белорусского фронта после трёхдневных ожесточённых боёв овладели городом Речица. Вчера гвардейцы-танкисты с северо-запада атаковали немцев, оборонявшихся в Речице. В это же время наши пехотные части ворвались в город с юго-запада. В результате уличных боёв противник был разгромлен. Отдельные группы немцев в панике пытались на плотах и лодках переправиться на левый берег Днепра, но были полностью уничтожены. На улицах Речицы противник оставил десятки артиллерийских орудий, много пехотного оружия и автомашин. Захвачены крупные склады с военным имуществом. Западнее Речицы наши подвижные части, стремительно продвигаясь вперёд, овладели районным центром Полесской области Василевичами и рядом других населённых пунктов.</w:t>
      </w:r>
    </w:p>
    <w:p w14:paraId="44069C5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бойцы освободили 13 тысяч мирных советских граждан, которых немцы угоняли на каторгу в Германию.</w:t>
      </w:r>
    </w:p>
    <w:p w14:paraId="4CA78BE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наши войска продолжали вести бои с противником и улучшили свои позиции. Стремясь остановить продвижение советских частей, немцы несколько раз переходили в контратаки. Части Н-ского соединения отбили все контратаки противника и истребили до 1.200 немецких солдат и офицеров.</w:t>
      </w:r>
    </w:p>
    <w:p w14:paraId="52AE9A1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Балтийском море потоплен немецкий транспорт водоизмещением в 4 тысячи тонн.</w:t>
      </w:r>
    </w:p>
    <w:p w14:paraId="0F59822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самоходная десантная баржа и сторожевой катер противника.</w:t>
      </w:r>
    </w:p>
    <w:p w14:paraId="77E1DA7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области,совершил нападение на железнодорожную станцию. Партизаны истребили 40 немецкихсолдат, охранявших воинский эшелон, стоявший на станции, уничтожили паровоз, 24 платформы с автомашинами и 2 вагона с запасными частями. Кроме того, советские патриоты взорвали свыше километра рельсов и разрушили телефонно-телеграфную линию связи.</w:t>
      </w:r>
    </w:p>
    <w:p w14:paraId="2E86129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3 роты 53 полка 14 немецкой моторизованной дивизии Антон Шенк рассказал: «Весной во Франции сформировалась новая 371 пехотная дивизия (старая дивизия под этим же номером, входившая в состав 6-й армии, была уничтожена под Сталинградом). Я находился в 671 полку. Осенью из состава дивизии начали выделять значительные группы солдат в маршевые батальоны для отправки на Восточный фронт. В 9 роте 671 полка дважды брали людей для посылки в Россию.После этого в роте осталось всего лишь 20 человек. Никому не хотелось ехать в Россию, ибо все понимали, что там нас ждёт гибель. Некоторые солдаты всеми способами старались остаться во Франции, симулировали болезни, наносили себе увечье. 10 октября, накануне нашего отъезда, в 671 полку был расстрелян перед строем солдат, дезертировавший из своего подразделения, как только он узнал, что его направляют на Восток».</w:t>
      </w:r>
    </w:p>
    <w:p w14:paraId="688325B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Терюха, Гомельской области, составили акт о зверствах немецко-фашистских мерзавцев. В акте говорится: «Отступая из села Терюха, немцы совершили чудовищное злодеяние над мирным населением. Собрав 38 жителей, среди которых были старики, старухи и дети, гитлеровцы загнали их в дом и подвергли зверским пыткам. При осмотре трупов установлено следующее: у семилетней девочки Нины Кротовой выколоты глаза, у Евдокии Кротовой, 65 лет, вырезаны груди, аплечи и живот исколоты штыками, у двухлетней Тани Селивановой выколоты глаза и разбита голова. Немецкие изверги убили Афанасия Лупиненко, Селиванову Любу и её восьмилетнюю дочь и других, ни в чем не повинных взрослых и детей».</w:t>
      </w:r>
    </w:p>
    <w:p w14:paraId="0A4A733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села Терюха: И.Ермаков, Ф.Кротов, Н.Медведев, П.Сычёв, М.Кротов, К.Ермаков, Н.Аднаучка и другие.» (14834).</w:t>
      </w:r>
    </w:p>
    <w:p w14:paraId="6532AC04"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63FE07A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в районе Коломны началось формирование первого отдельного югославского стрелкового батальона (1200 человек, подполковник М. И. Месич), развернутого в мае 1944 г. в 1-ю югославскую пехотную бригаду (14834).</w:t>
      </w:r>
    </w:p>
    <w:p w14:paraId="237817E4"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51393C3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войска 2-го Украинского фронта освободили Гайсин (14834).</w:t>
      </w:r>
    </w:p>
    <w:p w14:paraId="1BC851F7"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6EFD42D9"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войска Белорусского фронта освободили Овруч (14834).</w:t>
      </w:r>
    </w:p>
    <w:p w14:paraId="04FA8209"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195B48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в морском бою погиб командир 9-го дивизиона ка</w:t>
      </w:r>
      <w:r w:rsidRPr="00271E51">
        <w:rPr>
          <w:rFonts w:ascii="Times New Roman" w:hAnsi="Times New Roman"/>
          <w:color w:val="000000" w:themeColor="text1"/>
          <w:sz w:val="16"/>
          <w:szCs w:val="16"/>
        </w:rPr>
        <w:softHyphen/>
        <w:t>теров-тральщиков капитан-лейтенант М.Г.Бондаренко (6467).</w:t>
      </w:r>
    </w:p>
    <w:p w14:paraId="5E065B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EB0C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4009B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777F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генерал Коллер, начальник штаба оперативного руководства люфтваффе, сообщает точку зрения Гитлера: реактивные бомбардировщики для ведения войны важнее реактивных истребителей (14834).</w:t>
      </w:r>
    </w:p>
    <w:p w14:paraId="5ED20935"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E77CA30"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18-19 ноября (ночь) 1943 Bomber Command начинает „Битву Берлина“ с налета 444 бомбардировщиков на Берлин, из которых девять (2 процента) теряются; Немногие немецкие ночные истребители перехватывают их, но Берлин накрывают облаками, и они бомбят вслепую с неизвестным результатом (20376).</w:t>
      </w:r>
    </w:p>
    <w:p w14:paraId="64947E22" w14:textId="77777777" w:rsidR="006E245A" w:rsidRPr="00271E51" w:rsidRDefault="006E245A" w:rsidP="00271E51">
      <w:pPr>
        <w:spacing w:after="0" w:line="240" w:lineRule="auto"/>
        <w:jc w:val="both"/>
        <w:rPr>
          <w:rFonts w:ascii="Times New Roman" w:hAnsi="Times New Roman"/>
          <w:color w:val="0070C0"/>
          <w:sz w:val="16"/>
          <w:szCs w:val="16"/>
        </w:rPr>
      </w:pPr>
    </w:p>
    <w:p w14:paraId="2FB7DCD5" w14:textId="77777777" w:rsidR="006E245A" w:rsidRPr="00271E51" w:rsidRDefault="006E245A" w:rsidP="00271E51">
      <w:pPr>
        <w:spacing w:after="0" w:line="240" w:lineRule="auto"/>
        <w:jc w:val="both"/>
        <w:rPr>
          <w:rFonts w:ascii="Times New Roman" w:hAnsi="Times New Roman"/>
          <w:color w:val="0070C0"/>
          <w:sz w:val="16"/>
          <w:szCs w:val="16"/>
          <w:lang w:val="en-US"/>
        </w:rPr>
      </w:pPr>
      <w:r w:rsidRPr="00271E51">
        <w:rPr>
          <w:rFonts w:ascii="Times New Roman" w:hAnsi="Times New Roman"/>
          <w:color w:val="0070C0"/>
          <w:sz w:val="16"/>
          <w:szCs w:val="16"/>
        </w:rPr>
        <w:t>18-19 ноября (ночь) 1943 немецкие ночные истребители успешно перехватили крупный диверсионный налет 395 британских бомбардировщиков на Мангейм и сбили 23 бомбардировщика (5,9 процента сил). Мангейм также покрыт облаками, и в ходе рейда бомбы были разбросаны в основном за пределами города, но тем не менее 21 человек погиб, 154 получили ранения и 7 500 остались без крова. Это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последний</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рейд</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на</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Мангейм</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за</w:t>
      </w:r>
      <w:r w:rsidRPr="00271E51">
        <w:rPr>
          <w:rFonts w:ascii="Times New Roman" w:hAnsi="Times New Roman"/>
          <w:color w:val="0070C0"/>
          <w:sz w:val="16"/>
          <w:szCs w:val="16"/>
          <w:lang w:val="en-US"/>
        </w:rPr>
        <w:t xml:space="preserve"> 15 </w:t>
      </w:r>
      <w:r w:rsidRPr="00271E51">
        <w:rPr>
          <w:rFonts w:ascii="Times New Roman" w:hAnsi="Times New Roman"/>
          <w:color w:val="0070C0"/>
          <w:sz w:val="16"/>
          <w:szCs w:val="16"/>
        </w:rPr>
        <w:t>месяцев</w:t>
      </w:r>
      <w:r w:rsidRPr="00271E51">
        <w:rPr>
          <w:rFonts w:ascii="Times New Roman" w:hAnsi="Times New Roman"/>
          <w:color w:val="0070C0"/>
          <w:sz w:val="16"/>
          <w:szCs w:val="16"/>
          <w:lang w:val="en-US"/>
        </w:rPr>
        <w:t xml:space="preserve"> (20376).</w:t>
      </w:r>
    </w:p>
    <w:p w14:paraId="3B9FA23C" w14:textId="77777777" w:rsidR="006E245A" w:rsidRPr="00271E51" w:rsidRDefault="006E245A" w:rsidP="00271E51">
      <w:pPr>
        <w:spacing w:after="0" w:line="240" w:lineRule="auto"/>
        <w:jc w:val="both"/>
        <w:rPr>
          <w:rFonts w:ascii="Times New Roman" w:hAnsi="Times New Roman"/>
          <w:color w:val="0070C0"/>
          <w:sz w:val="16"/>
          <w:szCs w:val="16"/>
          <w:lang w:val="en-US"/>
        </w:rPr>
      </w:pPr>
    </w:p>
    <w:p w14:paraId="3AB825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18 November 1943 Heaviest RAF raid of the war so far opens the Battle of Berlin (270).</w:t>
      </w:r>
    </w:p>
    <w:p w14:paraId="4578D5E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B38C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ноября 1943 был один из самых больших британских налетов на Берлин (1797) - 500 юомбардировщиков. Потом было 35 налетиов. 16 на город и 19 на пункты обороны ЗА. 1047 английских бомбардировщиков было сбито (2605).</w:t>
      </w:r>
    </w:p>
    <w:p w14:paraId="4E30A5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05859" w14:textId="77777777" w:rsidR="00E01C82" w:rsidRPr="00271E51" w:rsidRDefault="00E01C82"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18-27</w:t>
      </w:r>
      <w:r w:rsidRPr="00271E51">
        <w:rPr>
          <w:rFonts w:ascii="Times New Roman" w:hAnsi="Times New Roman"/>
          <w:color w:val="000000" w:themeColor="text1"/>
          <w:sz w:val="16"/>
          <w:szCs w:val="16"/>
        </w:rPr>
        <w:t xml:space="preserve"> (с перерывами) </w:t>
      </w:r>
      <w:r w:rsidRPr="00271E51">
        <w:rPr>
          <w:rFonts w:ascii="Times New Roman" w:hAnsi="Times New Roman"/>
          <w:bCs/>
          <w:color w:val="000000" w:themeColor="text1"/>
          <w:sz w:val="16"/>
          <w:szCs w:val="16"/>
        </w:rPr>
        <w:t>ноября 1943года</w:t>
      </w:r>
      <w:r w:rsidRPr="00271E51">
        <w:rPr>
          <w:rFonts w:ascii="Times New Roman" w:hAnsi="Times New Roman"/>
          <w:color w:val="000000" w:themeColor="text1"/>
          <w:sz w:val="16"/>
          <w:szCs w:val="16"/>
        </w:rPr>
        <w:t xml:space="preserve"> в английских налетах участвовало 2044 самолета из которых сбиты были всего 83 машины. Потери мирного населения составили 4330 человек.</w:t>
      </w:r>
    </w:p>
    <w:p w14:paraId="2E8A2ED7"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 xml:space="preserve">Следующая серия налетов была </w:t>
      </w:r>
      <w:r w:rsidRPr="00271E51">
        <w:rPr>
          <w:rStyle w:val="a7"/>
          <w:b w:val="0"/>
          <w:color w:val="000000" w:themeColor="text1"/>
          <w:sz w:val="16"/>
          <w:szCs w:val="16"/>
        </w:rPr>
        <w:t>2-3, 16-17, 23-24, 29-30 декабря 1943 года</w:t>
      </w:r>
      <w:r w:rsidRPr="00271E51">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0633C626"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0B4563B1" w14:textId="77777777" w:rsidR="00E01C82" w:rsidRPr="00271E51" w:rsidRDefault="00E01C82" w:rsidP="00271E51">
      <w:pPr>
        <w:pStyle w:val="ae"/>
        <w:spacing w:before="0" w:after="0"/>
        <w:jc w:val="both"/>
        <w:rPr>
          <w:color w:val="000000" w:themeColor="text1"/>
          <w:sz w:val="16"/>
          <w:szCs w:val="16"/>
        </w:rPr>
      </w:pPr>
      <w:r w:rsidRPr="00271E51">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000E4683" w14:textId="77777777" w:rsidR="00E01C82" w:rsidRPr="00271E51" w:rsidRDefault="00E01C82" w:rsidP="00271E51">
      <w:pPr>
        <w:spacing w:after="0" w:line="240" w:lineRule="auto"/>
        <w:jc w:val="both"/>
        <w:rPr>
          <w:rFonts w:ascii="Times New Roman" w:hAnsi="Times New Roman"/>
          <w:color w:val="000000" w:themeColor="text1"/>
          <w:sz w:val="16"/>
          <w:szCs w:val="16"/>
        </w:rPr>
      </w:pPr>
    </w:p>
    <w:p w14:paraId="3EB3AE7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18 ноября</w:t>
      </w:r>
      <w:r w:rsidRPr="00271E51">
        <w:rPr>
          <w:rFonts w:ascii="Times New Roman" w:hAnsi="Times New Roman"/>
          <w:color w:val="000000" w:themeColor="text1"/>
          <w:sz w:val="16"/>
          <w:szCs w:val="16"/>
        </w:rPr>
        <w:t xml:space="preserve"> в 1943 году Маршал А.Харрис начал операцию "Берлин", целью которой было, по его выражению: "испепелить этот кошмарный город из конца в конец". Эта операция продолжалась вплоть до конца марта 1944 года. За это время в 33 налетах совершено 10 000 вылетов. Десятки тысяч берлинцев погибли, сотни тысяч были искалечены. Больше половины города превратились в руины. Среди уцелевших ходил анекдот: кого можно считать трусом? Ответ: жителя Берлина, который добровольно ушел на фронт (14834).</w:t>
      </w:r>
    </w:p>
    <w:p w14:paraId="0E38B86B"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31078FE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18-26 1943 Occupation of the Gilbert Islands 1943 Six heavy and five light carriers of Task Force 50 (Rear Admiral C. A. Pownall) opened the campaign to capture the Gilberts with a 2-day air attack on airfields and defensive installations in the islands (18-19 Nov), covered the landings of Marines and Army troops on Tarawa and Makin Atolls (20 Nov) and on Abemama (21 Nov), and supported their operations ashore (21-24 Nov). Eight escort carriers, operating with the Attack Forces, covered the approach of assault shipping (10-18 Nov), flew antisubmarine and combat air patrols in the area, and close support missions on call (19-24 Nov). After the islands were secure (24 Nov), one carrier group remained in the area for another week as a protective measure. The first unit of the garrison air force, VF-1, took off from the escort carriers Barnes and Nassau (25 Nov) and landed on Tarawa airstrip. One escort carrier, Liscome Bay was lost (24 Nov) to submarine attack, and the light carrier Independence was damaged (20 Nov) by air attack. The first attempts at night interception from carriers were made during the campaign by a team of two Hellcats and one radar equipped Avenger operating from Enterprise and led by the Air Group Commander, Lieutenant Commander E. H. (Butch) O'Hare. In operation the fighters flew wing on the Avenger and after being vectored to the vicinity of the enemy aircraft by the ship's fighter director relied on the Avenger's radar to get within visual range. On the first occasion (24 Nov) no intercepts were made but on the second (26 Nov) the enemy was engaged in the first aerial battle of its type which so disrupted the attack that the flight was credited with saving the task group from damage (1090).</w:t>
      </w:r>
    </w:p>
    <w:p w14:paraId="0A2953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CA4A73" w14:textId="77777777" w:rsidR="006E245A" w:rsidRPr="00271E51" w:rsidRDefault="006E245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18–19 ноября 1943 самолеты авианосцев USS Essex, USS Intrepid и USS Cabot наносят удар по острову Бетио на атолле Тарава, принося значительный ущерб находящимся там японским войскам (20376).</w:t>
      </w:r>
    </w:p>
    <w:p w14:paraId="4B970806" w14:textId="77777777" w:rsidR="006E245A" w:rsidRPr="00271E51" w:rsidRDefault="006E245A" w:rsidP="00271E51">
      <w:pPr>
        <w:spacing w:after="0" w:line="240" w:lineRule="auto"/>
        <w:jc w:val="both"/>
        <w:rPr>
          <w:rFonts w:ascii="Times New Roman" w:hAnsi="Times New Roman"/>
          <w:color w:val="0070C0"/>
          <w:sz w:val="16"/>
          <w:szCs w:val="16"/>
        </w:rPr>
      </w:pPr>
    </w:p>
    <w:p w14:paraId="6E7A54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18-26 ноября 1943 американцы оккупировали Гильбертовы острова (1090).</w:t>
      </w:r>
    </w:p>
    <w:p w14:paraId="65FD2D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297A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0411BC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D3F5B7"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 ноября 1943 было письмо начальника НИИ АВ генерал-майора М.В.Гуревича на имя С.В.Ильюшина, согласно которому, по данным НИИ АВ ВВС КА, максимальная сила отдачи, действовавшая в течение около 0,03 сек, на наземном станке (существующая в то время аппаратура не позволяла произвести измерение "фактической силы отдачи" на самолетах и тем более при стрельбе в воздухе) составляла весьма значительную величину - порядка 5500 кг, а среднее значение силы отдачи примерно равнялось 2500 кг. Все это приводило к большому рассеиванию снарядов при стрельбе в воздухе. </w:t>
      </w:r>
    </w:p>
    <w:p w14:paraId="5A86457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Полигонные испытания, проведенные в НИИ АВ ВВС КА, показали, что стрельбу с самолета Ил-2 из пушек НС-37 необходимо вести только короткими очередями длиной не более 2-3-х выстрелов, так как при стрельбе одновременно из двух пушек вследствие несинхронности их работы самолет испытывал значительные толчки, клевки и сбивался с линии прицеливания. Поправка в прицеливание в этом случае в принципе была возможна. </w:t>
      </w:r>
    </w:p>
    <w:p w14:paraId="6C2309B1"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стрельбе из одной пушки попадание в цель было возможно только первым выстрелом, так как штурмовик разворачивался в сторону стреляющей пушки и поправка в прицеливание становилась практически невозможной. Поражение же точечных целей - танков, бронемашин, автомобилей и т.д. при нормальной работе пушек было возможным. </w:t>
      </w:r>
    </w:p>
    <w:p w14:paraId="1737BEF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этом попадания в танки были получены лишь в 43% вылетов, а число попаданий к израсходованному боекомплекту составило 2,98%. </w:t>
      </w:r>
    </w:p>
    <w:p w14:paraId="50A6DB22"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Анализ результатов полигонных испытаний показывает, что поражение 37-мм снарядом БЗТ-37 из авиапушки НС-37 с самолета Ил-2 легких немецких танков, бронемашин и бронетранспортеров всех типов, а также САУ типа "Wespe" и противотанковых СУ типа "Marder-II" и "Marder-III" обеспечивалось с дистанции до 500 м с любого направления. Средние немецкие танки типа StuG 40 (штурмовое орудие), Pz. III Ausf L/M и Pz. IV Ausf G/H, а также появившиеся позже StuG IV и истребитель танков Jgd Pz IV/70 с толщиной брони на бортах до 30 мм могли поражаться БЗТ-37 с дистанции до 500 м с планирования под углами 5-10¦ с высот 100 м. В этом случае атаку необходимо было производить сбоку или сзади, ведя стрельбу по борту или по задней части корпуса и башни танков. </w:t>
      </w:r>
    </w:p>
    <w:p w14:paraId="2C317E6B"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Попадания снарядов этой пушки в ролики и другие детали ходовой части танков всех типов производили существенные разрушения, выводящие последние из строя. </w:t>
      </w:r>
    </w:p>
    <w:p w14:paraId="01CBAB4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выводах отчета по Государственным испытаниям особо обращалось внимание на то, что летный состав, летающий на самолетах Ил-2, вооруженных пушками НС-37, должен пройти специальную подготовку в ведении прицельной стрельбы короткими очередями по малоразмерным целям (отдельные танки, автомашины, и т.д.). Тридцатому авиазаводу НКАП и ОКБ-16 НКВ рекомендовалось срочно установить на пушку дульный тормоз. </w:t>
      </w:r>
    </w:p>
    <w:p w14:paraId="7D75DB63"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Кроме того, указывалось, что Ил-2 с НС-37 необходимо было испытывать с боекомплектом к пушкам по 50 снарядов и нормальной бомбовой нагрузкой в 100 кг, как было записано в Постановлении ГКО. </w:t>
      </w:r>
    </w:p>
    <w:p w14:paraId="2D6E720F"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все серийные Ил-2 с НС-37 выпускались именно в таком варианте вооружения. Летно-технические данные самолета несколько улучшились. При полетном весе 6160 кг максимальная скорость на высоте 1320 м составила 405 км/ч, у земли - 391 км/ч. Время подъема на высоту 1000 м - 2,2 мин. (11470).</w:t>
      </w:r>
    </w:p>
    <w:p w14:paraId="011A750E" w14:textId="77777777" w:rsidR="00473181" w:rsidRPr="00271E51" w:rsidRDefault="00473181" w:rsidP="00271E51">
      <w:pPr>
        <w:autoSpaceDE w:val="0"/>
        <w:autoSpaceDN w:val="0"/>
        <w:adjustRightInd w:val="0"/>
        <w:spacing w:after="0" w:line="240" w:lineRule="auto"/>
        <w:jc w:val="both"/>
        <w:rPr>
          <w:rFonts w:ascii="Times New Roman" w:hAnsi="Times New Roman"/>
          <w:color w:val="000000" w:themeColor="text1"/>
          <w:sz w:val="16"/>
          <w:szCs w:val="16"/>
        </w:rPr>
      </w:pPr>
    </w:p>
    <w:p w14:paraId="6F09582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С.В. Ильюшин направил А.И. Шахурину письмо, в котором снимал с себя всякую ответственность за возможные последствия, которые могут возникнуть в ходе эксплуатации Ил-2 с пушками НС-37, сделав основной упор на большую отдачу пушек: «...В данный момент по имеющимся у меня сведениям ОКБ-16 и НИП АВ КА производят на самолетах в частях КА замену жидкости в амортизаторах пушек 11-П. Какими соображениями вызвана эта замена, я, как Главный конструктор самолета, в извест</w:t>
      </w:r>
      <w:r w:rsidRPr="00271E51">
        <w:rPr>
          <w:rFonts w:ascii="Times New Roman" w:hAnsi="Times New Roman"/>
          <w:color w:val="000000" w:themeColor="text1"/>
          <w:sz w:val="16"/>
          <w:szCs w:val="16"/>
        </w:rPr>
        <w:softHyphen/>
        <w:t>ность не поставлен. При таких условиях, когда такой серьез</w:t>
      </w:r>
      <w:r w:rsidRPr="00271E51">
        <w:rPr>
          <w:rFonts w:ascii="Times New Roman" w:hAnsi="Times New Roman"/>
          <w:color w:val="000000" w:themeColor="text1"/>
          <w:sz w:val="16"/>
          <w:szCs w:val="16"/>
        </w:rPr>
        <w:softHyphen/>
        <w:t>ный факт, как замена жидкости в гидроамортизаторе пушки, определяющий величину силы отдачи, сделан без ведома Глав</w:t>
      </w:r>
      <w:r w:rsidRPr="00271E51">
        <w:rPr>
          <w:rFonts w:ascii="Times New Roman" w:hAnsi="Times New Roman"/>
          <w:color w:val="000000" w:themeColor="text1"/>
          <w:sz w:val="16"/>
          <w:szCs w:val="16"/>
        </w:rPr>
        <w:softHyphen/>
        <w:t>ного конструктора самолета, нельзя дать никакой гарантии за безопасную работу самолета с 11-П калибра 37 мм».</w:t>
      </w:r>
    </w:p>
    <w:p w14:paraId="5486AC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С.В. Ильюшин напоминал наркому, что все расчеты пу</w:t>
      </w:r>
      <w:r w:rsidRPr="00271E51">
        <w:rPr>
          <w:rFonts w:ascii="Times New Roman" w:hAnsi="Times New Roman"/>
          <w:color w:val="000000" w:themeColor="text1"/>
          <w:sz w:val="16"/>
          <w:szCs w:val="16"/>
        </w:rPr>
        <w:softHyphen/>
        <w:t>шечной установки были выполнены, исходя из усилия отдачи 2280 кг, «как это указано в прилагаемом при сем письме на</w:t>
      </w:r>
      <w:r w:rsidRPr="00271E51">
        <w:rPr>
          <w:rFonts w:ascii="Times New Roman" w:hAnsi="Times New Roman"/>
          <w:color w:val="000000" w:themeColor="text1"/>
          <w:sz w:val="16"/>
          <w:szCs w:val="16"/>
        </w:rPr>
        <w:softHyphen/>
        <w:t>чальника ОКБ-16 НКВ от 2.10.42 г. № 726», тогда как фактиче</w:t>
      </w:r>
      <w:r w:rsidRPr="00271E51">
        <w:rPr>
          <w:rFonts w:ascii="Times New Roman" w:hAnsi="Times New Roman"/>
          <w:color w:val="000000" w:themeColor="text1"/>
          <w:sz w:val="16"/>
          <w:szCs w:val="16"/>
        </w:rPr>
        <w:softHyphen/>
        <w:t>ская сила отдачи 11-П на самолете Ил-2 составляет 5500 кг.</w:t>
      </w:r>
    </w:p>
    <w:p w14:paraId="4D9E212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считаю необходимым сообщить Вам, что ука</w:t>
      </w:r>
      <w:r w:rsidRPr="00271E51">
        <w:rPr>
          <w:rFonts w:ascii="Times New Roman" w:hAnsi="Times New Roman"/>
          <w:color w:val="000000" w:themeColor="text1"/>
          <w:sz w:val="16"/>
          <w:szCs w:val="16"/>
        </w:rPr>
        <w:softHyphen/>
        <w:t>занные в письме генерал-майора Гуревича усилия отдачи пуш</w:t>
      </w:r>
      <w:r w:rsidRPr="00271E51">
        <w:rPr>
          <w:rFonts w:ascii="Times New Roman" w:hAnsi="Times New Roman"/>
          <w:color w:val="000000" w:themeColor="text1"/>
          <w:sz w:val="16"/>
          <w:szCs w:val="16"/>
        </w:rPr>
        <w:softHyphen/>
        <w:t>ки 11-П калибра 37 мм в действительности значительно боль</w:t>
      </w:r>
      <w:r w:rsidRPr="00271E51">
        <w:rPr>
          <w:rFonts w:ascii="Times New Roman" w:hAnsi="Times New Roman"/>
          <w:color w:val="000000" w:themeColor="text1"/>
          <w:sz w:val="16"/>
          <w:szCs w:val="16"/>
        </w:rPr>
        <w:softHyphen/>
        <w:t>ше. Поэтому прошу вас об указании произвести замер силы отдачи пушки 11-П в ЦАГИ, причем жидкость в гидротормозе пушки должна быть такого же состава, который находится на пушках в действующих частях КА», — писал далее Ильюшин.</w:t>
      </w:r>
    </w:p>
    <w:p w14:paraId="4669F7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Известна резолюция А.И. Шахурина на этом письме сво</w:t>
      </w:r>
      <w:r w:rsidRPr="00271E51">
        <w:rPr>
          <w:rFonts w:ascii="Times New Roman" w:hAnsi="Times New Roman"/>
          <w:color w:val="000000" w:themeColor="text1"/>
          <w:sz w:val="16"/>
          <w:szCs w:val="16"/>
        </w:rPr>
        <w:softHyphen/>
        <w:t>ему заместителю П.В. Дементьеву: «т. Ильюшин говорит о том, что он не гарантирует безопасную работу, т.е. снимает с себя ответственность и все. Больше ничего не предлагает. Ничего не говорит о ВЯ. Отдача по сообщению НИИ АВ также боль</w:t>
      </w:r>
      <w:r w:rsidRPr="00271E51">
        <w:rPr>
          <w:rFonts w:ascii="Times New Roman" w:hAnsi="Times New Roman"/>
          <w:color w:val="000000" w:themeColor="text1"/>
          <w:sz w:val="16"/>
          <w:szCs w:val="16"/>
        </w:rPr>
        <w:softHyphen/>
        <w:t>шая...»</w:t>
      </w:r>
    </w:p>
    <w:p w14:paraId="6A5A4D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Остается неясным, определялась ли сила отдачи пушки 11-П в ЦАГИ, но в НИИ АВ дополнительные испытания проводи</w:t>
      </w:r>
      <w:r w:rsidRPr="00271E51">
        <w:rPr>
          <w:rFonts w:ascii="Times New Roman" w:hAnsi="Times New Roman"/>
          <w:color w:val="000000" w:themeColor="text1"/>
          <w:sz w:val="16"/>
          <w:szCs w:val="16"/>
        </w:rPr>
        <w:softHyphen/>
        <w:t>лись. Весной 1944 г. исследовалось влияние «стрельбы из 37 мм пушки ОКБ-16 на матчасть серийного самолета завода № 30». Для этой работы был задействован Ил-2 зав. № 303189, на кото</w:t>
      </w:r>
      <w:r w:rsidRPr="00271E51">
        <w:rPr>
          <w:rFonts w:ascii="Times New Roman" w:hAnsi="Times New Roman"/>
          <w:color w:val="000000" w:themeColor="text1"/>
          <w:sz w:val="16"/>
          <w:szCs w:val="16"/>
        </w:rPr>
        <w:softHyphen/>
        <w:t>ром литые хомуты переднего и заднего крепления пушки были заменены коваными как более прочными. Были сделаны и дру</w:t>
      </w:r>
      <w:r w:rsidRPr="00271E51">
        <w:rPr>
          <w:rFonts w:ascii="Times New Roman" w:hAnsi="Times New Roman"/>
          <w:color w:val="000000" w:themeColor="text1"/>
          <w:sz w:val="16"/>
          <w:szCs w:val="16"/>
        </w:rPr>
        <w:softHyphen/>
        <w:t>гие доработки.</w:t>
      </w:r>
    </w:p>
    <w:p w14:paraId="2555EC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материалов отчета, сила отдачи «на специаль</w:t>
      </w:r>
      <w:r w:rsidRPr="00271E51">
        <w:rPr>
          <w:rFonts w:ascii="Times New Roman" w:hAnsi="Times New Roman"/>
          <w:color w:val="000000" w:themeColor="text1"/>
          <w:sz w:val="16"/>
          <w:szCs w:val="16"/>
        </w:rPr>
        <w:softHyphen/>
        <w:t>ном станке с жестким креплением пушек» при заливке гидро</w:t>
      </w:r>
      <w:r w:rsidRPr="00271E51">
        <w:rPr>
          <w:rFonts w:ascii="Times New Roman" w:hAnsi="Times New Roman"/>
          <w:color w:val="000000" w:themeColor="text1"/>
          <w:sz w:val="16"/>
          <w:szCs w:val="16"/>
        </w:rPr>
        <w:softHyphen/>
        <w:t>тормоза тяжелым керосином колебалась в пределах 4200—4400 кг, а при заливке водоглицериновой смесью — 4050—4750 кг. То есть отдача оказалась даже меньше, чем намерили в 1943 г. Од</w:t>
      </w:r>
      <w:r w:rsidRPr="00271E51">
        <w:rPr>
          <w:rFonts w:ascii="Times New Roman" w:hAnsi="Times New Roman"/>
          <w:color w:val="000000" w:themeColor="text1"/>
          <w:sz w:val="16"/>
          <w:szCs w:val="16"/>
        </w:rPr>
        <w:softHyphen/>
        <w:t>нако настрел без нарушения прочности крыла ограничивался все теми же 3000 выстрелами из каждой пушки. «При данной жесткости установок не может быть обеспечена надежная рабо</w:t>
      </w:r>
      <w:r w:rsidRPr="00271E51">
        <w:rPr>
          <w:rFonts w:ascii="Times New Roman" w:hAnsi="Times New Roman"/>
          <w:color w:val="000000" w:themeColor="text1"/>
          <w:sz w:val="16"/>
          <w:szCs w:val="16"/>
        </w:rPr>
        <w:softHyphen/>
        <w:t>та пушек из-за большого смещения их во время стрельбы отно</w:t>
      </w:r>
      <w:r w:rsidRPr="00271E51">
        <w:rPr>
          <w:rFonts w:ascii="Times New Roman" w:hAnsi="Times New Roman"/>
          <w:color w:val="000000" w:themeColor="text1"/>
          <w:sz w:val="16"/>
          <w:szCs w:val="16"/>
        </w:rPr>
        <w:softHyphen/>
        <w:t>сительно крыла, что также лимитирует живучесть установ</w:t>
      </w:r>
      <w:r w:rsidRPr="00271E51">
        <w:rPr>
          <w:rFonts w:ascii="Times New Roman" w:hAnsi="Times New Roman"/>
          <w:color w:val="000000" w:themeColor="text1"/>
          <w:sz w:val="16"/>
          <w:szCs w:val="16"/>
        </w:rPr>
        <w:softHyphen/>
        <w:t>ки», — констатировали в отчете военные испытатели.</w:t>
      </w:r>
    </w:p>
    <w:p w14:paraId="6C60D7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обмена мнениями по результатам войсковых испытаний самолета Ил-2 с пушками НС-37 на боевое применение было ре</w:t>
      </w:r>
      <w:r w:rsidRPr="00271E51">
        <w:rPr>
          <w:rFonts w:ascii="Times New Roman" w:hAnsi="Times New Roman"/>
          <w:color w:val="000000" w:themeColor="text1"/>
          <w:sz w:val="16"/>
          <w:szCs w:val="16"/>
        </w:rPr>
        <w:softHyphen/>
        <w:t>шено считать их неудовлетворительными. В этой связи Государст</w:t>
      </w:r>
      <w:r w:rsidRPr="00271E51">
        <w:rPr>
          <w:rFonts w:ascii="Times New Roman" w:hAnsi="Times New Roman"/>
          <w:color w:val="000000" w:themeColor="text1"/>
          <w:sz w:val="16"/>
          <w:szCs w:val="16"/>
        </w:rPr>
        <w:softHyphen/>
        <w:t>венный комитет обороны своим Постановлением от 12 ноября прекратил серийный выпуск Ил-2 с НС-37, сделав окончательный выбор в пользу установки на самолете пушек ВЯ-23.</w:t>
      </w:r>
    </w:p>
    <w:p w14:paraId="5A2FBAD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донесения из действующей армии по резуль</w:t>
      </w:r>
      <w:r w:rsidRPr="00271E51">
        <w:rPr>
          <w:rFonts w:ascii="Times New Roman" w:hAnsi="Times New Roman"/>
          <w:color w:val="000000" w:themeColor="text1"/>
          <w:sz w:val="16"/>
          <w:szCs w:val="16"/>
        </w:rPr>
        <w:softHyphen/>
        <w:t>татам опыта боевого применения Ил-2 с пушками НС-37 на фоне впечатляющих успехов ПТАБ выглядели не самым луч</w:t>
      </w:r>
      <w:r w:rsidRPr="00271E51">
        <w:rPr>
          <w:rFonts w:ascii="Times New Roman" w:hAnsi="Times New Roman"/>
          <w:color w:val="000000" w:themeColor="text1"/>
          <w:sz w:val="16"/>
          <w:szCs w:val="16"/>
        </w:rPr>
        <w:softHyphen/>
        <w:t>шим образом. Из документов следовало, что подавляющая мас</w:t>
      </w:r>
      <w:r w:rsidRPr="00271E51">
        <w:rPr>
          <w:rFonts w:ascii="Times New Roman" w:hAnsi="Times New Roman"/>
          <w:color w:val="000000" w:themeColor="text1"/>
          <w:sz w:val="16"/>
          <w:szCs w:val="16"/>
        </w:rPr>
        <w:softHyphen/>
        <w:t>са летчиков будет просто не в состоянии поражать в боевых ус</w:t>
      </w:r>
      <w:r w:rsidRPr="00271E51">
        <w:rPr>
          <w:rFonts w:ascii="Times New Roman" w:hAnsi="Times New Roman"/>
          <w:color w:val="000000" w:themeColor="text1"/>
          <w:sz w:val="16"/>
          <w:szCs w:val="16"/>
        </w:rPr>
        <w:softHyphen/>
        <w:t>ловиях танки из НС-37 с самолета Ил-2. В то же время обучение специально отобранных летчиков для действий по бронетехни-ке займет много времени, а применение ПТАБ особой подго</w:t>
      </w:r>
      <w:r w:rsidRPr="00271E51">
        <w:rPr>
          <w:rFonts w:ascii="Times New Roman" w:hAnsi="Times New Roman"/>
          <w:color w:val="000000" w:themeColor="text1"/>
          <w:sz w:val="16"/>
          <w:szCs w:val="16"/>
        </w:rPr>
        <w:softHyphen/>
        <w:t>товки не требует. Свою роль, очевидно, сыграла и дискуссия по поводу излишне большой силы отдачи пушек НС-37.</w:t>
      </w:r>
    </w:p>
    <w:p w14:paraId="7420F56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отметить, что выводы о целесообразности бое</w:t>
      </w:r>
      <w:r w:rsidRPr="00271E51">
        <w:rPr>
          <w:rFonts w:ascii="Times New Roman" w:hAnsi="Times New Roman"/>
          <w:color w:val="000000" w:themeColor="text1"/>
          <w:sz w:val="16"/>
          <w:szCs w:val="16"/>
        </w:rPr>
        <w:softHyphen/>
        <w:t>вого применения Ил-2 с «большой» пушкой были сделаны на основе весьма ограниченного боевого опыта.</w:t>
      </w:r>
    </w:p>
    <w:p w14:paraId="2F7406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упоминавшийся выше «Доклад...» 4-го отдела НИИ ВВС основывался на анализе всего 12 групповых выле</w:t>
      </w:r>
      <w:r w:rsidRPr="00271E51">
        <w:rPr>
          <w:rFonts w:ascii="Times New Roman" w:hAnsi="Times New Roman"/>
          <w:color w:val="000000" w:themeColor="text1"/>
          <w:sz w:val="16"/>
          <w:szCs w:val="16"/>
        </w:rPr>
        <w:softHyphen/>
        <w:t>тов (50 самолето-вылетов) 10 самолетов Ил-2 с НС-37, выпол</w:t>
      </w:r>
      <w:r w:rsidRPr="00271E51">
        <w:rPr>
          <w:rFonts w:ascii="Times New Roman" w:hAnsi="Times New Roman"/>
          <w:color w:val="000000" w:themeColor="text1"/>
          <w:sz w:val="16"/>
          <w:szCs w:val="16"/>
        </w:rPr>
        <w:softHyphen/>
        <w:t>ненных летчиками 568-го шап.</w:t>
      </w:r>
    </w:p>
    <w:p w14:paraId="111AF3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материалов «Доклада...», огонь из пушек НС-37 велся с больших дистанций: начало стрельбы — 1300—800м и окончание — 500—400 м. В этих условиях летчики за один заход делали 2—3 очереди по 4—6 выстрелов с уточнением прицелива</w:t>
      </w:r>
      <w:r w:rsidRPr="00271E51">
        <w:rPr>
          <w:rFonts w:ascii="Times New Roman" w:hAnsi="Times New Roman"/>
          <w:color w:val="000000" w:themeColor="text1"/>
          <w:sz w:val="16"/>
          <w:szCs w:val="16"/>
        </w:rPr>
        <w:softHyphen/>
        <w:t>ния после каждой очереди. При этом учет результативности бое</w:t>
      </w:r>
      <w:r w:rsidRPr="00271E51">
        <w:rPr>
          <w:rFonts w:ascii="Times New Roman" w:hAnsi="Times New Roman"/>
          <w:color w:val="000000" w:themeColor="text1"/>
          <w:sz w:val="16"/>
          <w:szCs w:val="16"/>
        </w:rPr>
        <w:softHyphen/>
        <w:t>вых вылетов (количество уничтоженной и поврежденной боевой техники противника) «отдельно ...по самолетам с 37-мм пушками не проводился».</w:t>
      </w:r>
    </w:p>
    <w:p w14:paraId="51FF50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документов 2-го шак следует, что никакими другими данными, кроме наблюдений экипажей, ни штабы полков, ни штаб корпуса не располагали, поэтому установить, какая из пу</w:t>
      </w:r>
      <w:r w:rsidRPr="00271E51">
        <w:rPr>
          <w:rFonts w:ascii="Times New Roman" w:hAnsi="Times New Roman"/>
          <w:color w:val="000000" w:themeColor="text1"/>
          <w:sz w:val="16"/>
          <w:szCs w:val="16"/>
        </w:rPr>
        <w:softHyphen/>
        <w:t>шек является эффективнее, возможности не представлялось. Исчерпывающие данные об эффективности самолетов Ил-2 с НС-37 нельзя было дать еще и потому, что при действии по це</w:t>
      </w:r>
      <w:r w:rsidRPr="00271E51">
        <w:rPr>
          <w:rFonts w:ascii="Times New Roman" w:hAnsi="Times New Roman"/>
          <w:color w:val="000000" w:themeColor="text1"/>
          <w:sz w:val="16"/>
          <w:szCs w:val="16"/>
        </w:rPr>
        <w:softHyphen/>
        <w:t>лям на поле боя летчики одновременно осуществляли пуск РС и сбрасывали бомбы. Тем не менее в материалах «Доклада...» де</w:t>
      </w:r>
      <w:r w:rsidRPr="00271E51">
        <w:rPr>
          <w:rFonts w:ascii="Times New Roman" w:hAnsi="Times New Roman"/>
          <w:color w:val="000000" w:themeColor="text1"/>
          <w:sz w:val="16"/>
          <w:szCs w:val="16"/>
        </w:rPr>
        <w:softHyphen/>
        <w:t>лается вывод: «...для действий по танковым и мотомеханизиро</w:t>
      </w:r>
      <w:r w:rsidRPr="00271E51">
        <w:rPr>
          <w:rFonts w:ascii="Times New Roman" w:hAnsi="Times New Roman"/>
          <w:color w:val="000000" w:themeColor="text1"/>
          <w:sz w:val="16"/>
          <w:szCs w:val="16"/>
        </w:rPr>
        <w:softHyphen/>
        <w:t>ванным колоннам, бронепоездам и ж.д. эшелонам более целе</w:t>
      </w:r>
      <w:r w:rsidRPr="00271E51">
        <w:rPr>
          <w:rFonts w:ascii="Times New Roman" w:hAnsi="Times New Roman"/>
          <w:color w:val="000000" w:themeColor="text1"/>
          <w:sz w:val="16"/>
          <w:szCs w:val="16"/>
        </w:rPr>
        <w:softHyphen/>
        <w:t>сообразно применение Ил-2 с ВЯ и ШВАХ и бомбами ПТАБ. Ил-2 с 37-мм пушками целесообразно в этом случае применять в смешанных группах для действий по огневым позициям ЗА с дальних дистанций» (11474,351).</w:t>
      </w:r>
    </w:p>
    <w:p w14:paraId="4AB97F0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A3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не найдя поддержки у военных, Ильюшин направил Шахурину письмо, в котором снимал с себя всякую ответственность за возможные последствия, которые могут возникнуть в ходе эксплуатации Ил-2 ударами штурмовиков с пушками НС-37, сделав основной упор на большую отдачу пушек.</w:t>
      </w:r>
    </w:p>
    <w:p w14:paraId="3F2F114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Ильюшин напоминал наркому, что все расчеты пушечной установки были выполнены исходя из усилия отдачи 2280 кг, "как это указано в прилагаемом при сем письме начальника ОКБ-16 НКВ от 2.10.42 г. № 726", тогда как фактическая сила отдачи НС-37 на самолете Ил-2 составляет 5500 кг.</w:t>
      </w:r>
    </w:p>
    <w:p w14:paraId="0BB731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Известна резолюция Шахурина на этом письме своему заместителю П. В. Дементьеву: "т. Ильюшин говорит о том, что он не гарантирует безопасную работу, т.е. снимает с себя ответственность и все. Больше ничего не предлагает. Ничего не говорит о ВЯ. Отдача по сообщению НИИ АВ также большая..." (12020).</w:t>
      </w:r>
    </w:p>
    <w:p w14:paraId="0DFB91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3E8F0" w14:textId="77777777" w:rsidR="008F512D" w:rsidRPr="00271E51" w:rsidRDefault="008F5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19 ноября 1943, не найдя поддержки у военных, С. В. Илью</w:t>
      </w:r>
      <w:r w:rsidRPr="00271E51">
        <w:rPr>
          <w:color w:val="000000" w:themeColor="text1"/>
          <w:sz w:val="16"/>
          <w:szCs w:val="16"/>
        </w:rPr>
        <w:softHyphen/>
        <w:t>шин направил А. И. Шахурину письмо, в котором снимал с себя всякую ответственность за возможные последствия, которые могут воз</w:t>
      </w:r>
      <w:r w:rsidRPr="00271E51">
        <w:rPr>
          <w:color w:val="000000" w:themeColor="text1"/>
          <w:sz w:val="16"/>
          <w:szCs w:val="16"/>
        </w:rPr>
        <w:softHyphen/>
        <w:t>никнуть в ходе эксплуатации Ил-2 с пушками 11П, сделав основной упор на большую отдачу пушек: «. В данный момент по имеющимся у меня све</w:t>
      </w:r>
      <w:r w:rsidRPr="00271E51">
        <w:rPr>
          <w:color w:val="000000" w:themeColor="text1"/>
          <w:sz w:val="16"/>
          <w:szCs w:val="16"/>
        </w:rPr>
        <w:softHyphen/>
        <w:t>дениям ОКБ-16 и НИП АВ КА производят на само</w:t>
      </w:r>
      <w:r w:rsidRPr="00271E51">
        <w:rPr>
          <w:color w:val="000000" w:themeColor="text1"/>
          <w:sz w:val="16"/>
          <w:szCs w:val="16"/>
        </w:rPr>
        <w:softHyphen/>
        <w:t>летах в частях КА замену жидкости в амортизато</w:t>
      </w:r>
      <w:r w:rsidRPr="00271E51">
        <w:rPr>
          <w:color w:val="000000" w:themeColor="text1"/>
          <w:sz w:val="16"/>
          <w:szCs w:val="16"/>
        </w:rPr>
        <w:softHyphen/>
        <w:t>рах пушек 11 П. Какими соображениями вызвана эта замена, я, как главный конструктор самолета, в известность не поставлен. При таких условиях, когда такой серьезный факт, как замена жидкости в гидроамортизаторе пушки, определяющий ве</w:t>
      </w:r>
      <w:r w:rsidRPr="00271E51">
        <w:rPr>
          <w:color w:val="000000" w:themeColor="text1"/>
          <w:sz w:val="16"/>
          <w:szCs w:val="16"/>
        </w:rPr>
        <w:softHyphen/>
        <w:t>личину силы отдачи, сделан без ведома Главного конструктора самолета, нельзя дать никакой гаран</w:t>
      </w:r>
      <w:r w:rsidRPr="00271E51">
        <w:rPr>
          <w:color w:val="000000" w:themeColor="text1"/>
          <w:sz w:val="16"/>
          <w:szCs w:val="16"/>
        </w:rPr>
        <w:softHyphen/>
        <w:t>тии за безопасную работу самолета с 11П калибра 37 мм».</w:t>
      </w:r>
    </w:p>
    <w:p w14:paraId="3C0BFE5A" w14:textId="77777777" w:rsidR="008F512D" w:rsidRPr="00271E51" w:rsidRDefault="008F5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Ильюшин напоминал наркому, что все расчеты пушечной установки были выполнены исходя из усилия отдачи 2280 кг, «как это указано в прилага</w:t>
      </w:r>
      <w:r w:rsidRPr="00271E51">
        <w:rPr>
          <w:color w:val="000000" w:themeColor="text1"/>
          <w:sz w:val="16"/>
          <w:szCs w:val="16"/>
        </w:rPr>
        <w:softHyphen/>
        <w:t>емом при сем письме начальника ОКБ-16 НКВ от 2.10.42 г. № 726», тогда как фактическая сила отдачи 11П на самолете Ил-2 составляет 5500 кг.</w:t>
      </w:r>
    </w:p>
    <w:p w14:paraId="3329A142" w14:textId="77777777" w:rsidR="008F512D" w:rsidRPr="00271E51" w:rsidRDefault="008F5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«Кроме того, считаю необходимым сообщить Вам, что указанные в письме генерал-майора Гу- ревича усилия отдачи пушки 11П калибра 37 мм в действительности значительно больше. Поэтому прошу вас об указании произвести замер силы от</w:t>
      </w:r>
      <w:r w:rsidRPr="00271E51">
        <w:rPr>
          <w:color w:val="000000" w:themeColor="text1"/>
          <w:sz w:val="16"/>
          <w:szCs w:val="16"/>
        </w:rPr>
        <w:softHyphen/>
        <w:t>дачи пушки 11П в ЦАГИ, причем жидкость в гидро</w:t>
      </w:r>
      <w:r w:rsidRPr="00271E51">
        <w:rPr>
          <w:color w:val="000000" w:themeColor="text1"/>
          <w:sz w:val="16"/>
          <w:szCs w:val="16"/>
        </w:rPr>
        <w:softHyphen/>
        <w:t>тормозе пушки должна быть такого же состава, ко</w:t>
      </w:r>
      <w:r w:rsidRPr="00271E51">
        <w:rPr>
          <w:color w:val="000000" w:themeColor="text1"/>
          <w:sz w:val="16"/>
          <w:szCs w:val="16"/>
        </w:rPr>
        <w:softHyphen/>
        <w:t>торый находится на пушках в действующих частях КА», — писал далее Ильюшин.</w:t>
      </w:r>
    </w:p>
    <w:p w14:paraId="5F1C1D4B" w14:textId="77777777" w:rsidR="008F512D" w:rsidRPr="00271E51" w:rsidRDefault="008F5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Известна резолюция А. И. Шахурина на этом письме своему заместителю П. В. Дементьеву: «т. Ильюшин говорит о том, что он не гарантирует безопасную работу, т.е. снимает с себя ответствен</w:t>
      </w:r>
      <w:r w:rsidRPr="00271E51">
        <w:rPr>
          <w:color w:val="000000" w:themeColor="text1"/>
          <w:sz w:val="16"/>
          <w:szCs w:val="16"/>
        </w:rPr>
        <w:softHyphen/>
        <w:t>ность и все. Больше ничего не предлагает. Ничего не говорит о ВЯ. Отдача по сообщению НИИ АВ так</w:t>
      </w:r>
      <w:r w:rsidRPr="00271E51">
        <w:rPr>
          <w:color w:val="000000" w:themeColor="text1"/>
          <w:sz w:val="16"/>
          <w:szCs w:val="16"/>
        </w:rPr>
        <w:softHyphen/>
        <w:t>же большая...» (17500).</w:t>
      </w:r>
    </w:p>
    <w:p w14:paraId="549CA88D" w14:textId="77777777" w:rsidR="008F512D" w:rsidRPr="00271E51" w:rsidRDefault="008F512D" w:rsidP="00271E51">
      <w:pPr>
        <w:pStyle w:val="12a"/>
        <w:shd w:val="clear" w:color="auto" w:fill="auto"/>
        <w:spacing w:after="0" w:line="240" w:lineRule="auto"/>
        <w:jc w:val="both"/>
        <w:rPr>
          <w:color w:val="000000" w:themeColor="text1"/>
          <w:sz w:val="16"/>
          <w:szCs w:val="16"/>
        </w:rPr>
      </w:pPr>
    </w:p>
    <w:p w14:paraId="18FB0F0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г. в ЦАГИ образован реактивный отдел (6395).</w:t>
      </w:r>
    </w:p>
    <w:p w14:paraId="727D39C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1EF2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в ЦАГИ образован реактивный отдел (274).</w:t>
      </w:r>
    </w:p>
    <w:p w14:paraId="435AE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6B9A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19 ноября </w:t>
      </w:r>
      <w:r w:rsidRPr="00271E51">
        <w:rPr>
          <w:rFonts w:ascii="Times New Roman" w:hAnsi="Times New Roman"/>
          <w:color w:val="000000" w:themeColor="text1"/>
          <w:sz w:val="16"/>
          <w:szCs w:val="16"/>
        </w:rPr>
        <w:t>в 1943 году в Центральном АэроГидродинамическом институте (ЦАГИ) образован реактивный отдел (14835).</w:t>
      </w:r>
    </w:p>
    <w:p w14:paraId="270DC5BD"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5667BDB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19 ноября 1943 г. началь</w:t>
      </w:r>
      <w:r w:rsidRPr="00271E51">
        <w:rPr>
          <w:rFonts w:ascii="Times New Roman" w:cs="Times New Roman"/>
          <w:color w:val="000000" w:themeColor="text1"/>
          <w:spacing w:val="0"/>
        </w:rPr>
        <w:softHyphen/>
        <w:t>ник НИИ АВ генерал-майор М.В. Гуревич утвердил Отчет по испытаниям ПТАБ-10-2,5.</w:t>
      </w:r>
    </w:p>
    <w:p w14:paraId="64E648C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Испытания проводились специалиста</w:t>
      </w:r>
      <w:r w:rsidRPr="00271E51">
        <w:rPr>
          <w:rFonts w:ascii="Times New Roman" w:cs="Times New Roman"/>
          <w:color w:val="000000" w:themeColor="text1"/>
          <w:spacing w:val="0"/>
        </w:rPr>
        <w:softHyphen/>
        <w:t>ми 3-го отдела НИИ АВ ВВС. Ответственным по испытаниям был назначен инженер-ка- питан В.П. Федоров, ведущим летчиком- испытателем - капитан А.В. Кусакин. От промышленности в испытаниях участвовал конструктор бомбы И.А. Ларионов и пред</w:t>
      </w:r>
      <w:r w:rsidRPr="00271E51">
        <w:rPr>
          <w:rFonts w:ascii="Times New Roman" w:cs="Times New Roman"/>
          <w:color w:val="000000" w:themeColor="text1"/>
          <w:spacing w:val="0"/>
        </w:rPr>
        <w:softHyphen/>
        <w:t xml:space="preserve">ставитель завода №240 инженер Коклин. </w:t>
      </w:r>
    </w:p>
    <w:p w14:paraId="7183140B"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Эффективность новой бомбы опреде</w:t>
      </w:r>
      <w:r w:rsidRPr="00271E51">
        <w:rPr>
          <w:rFonts w:ascii="Times New Roman" w:cs="Times New Roman"/>
          <w:color w:val="000000" w:themeColor="text1"/>
          <w:spacing w:val="0"/>
        </w:rPr>
        <w:softHyphen/>
        <w:t>лялась путем подрыва непосредственно на броне немецких танков и в воздухе при бомбометании с самолета Ил-2 по колонне трофейной бронетехники.</w:t>
      </w:r>
    </w:p>
    <w:p w14:paraId="4CA4DFB5"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Результаты подрывов ПТАБ-10-2,5 в основном сводились к следующему: при действии по основной броне (без экрана) бомбы при нормальном положении обеспе</w:t>
      </w:r>
      <w:r w:rsidRPr="00271E51">
        <w:rPr>
          <w:rFonts w:ascii="Times New Roman" w:cs="Times New Roman"/>
          <w:color w:val="000000" w:themeColor="text1"/>
          <w:spacing w:val="0"/>
        </w:rPr>
        <w:softHyphen/>
        <w:t>чивали сквозное пробитие брони толщиной 90-100 мм, но не пробивали 50-мм броню, находящуюся на удалении 300-500 мм от броневого экрана толщиной 10-15 мм.</w:t>
      </w:r>
    </w:p>
    <w:p w14:paraId="6C270A61"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ходе испытаний обнаружился стран</w:t>
      </w:r>
      <w:r w:rsidRPr="00271E51">
        <w:rPr>
          <w:rFonts w:ascii="Times New Roman" w:cs="Times New Roman"/>
          <w:color w:val="000000" w:themeColor="text1"/>
          <w:spacing w:val="0"/>
        </w:rPr>
        <w:softHyphen/>
        <w:t>ный эффект «непостоянства фугасного дей</w:t>
      </w:r>
      <w:r w:rsidRPr="00271E51">
        <w:rPr>
          <w:rFonts w:ascii="Times New Roman" w:cs="Times New Roman"/>
          <w:color w:val="000000" w:themeColor="text1"/>
          <w:spacing w:val="0"/>
        </w:rPr>
        <w:softHyphen/>
        <w:t>ствия авиабомб». При детальном осмотре бомб обнаружили сквозные раковины во взрывчатом веществе. Кроме того, вместо тетриловых детонаторных шашек во всех бомбах были установлены шашки из пикри- ловой кислоты. Налицо был брак и наруше</w:t>
      </w:r>
      <w:r w:rsidRPr="00271E51">
        <w:rPr>
          <w:rFonts w:ascii="Times New Roman" w:cs="Times New Roman"/>
          <w:color w:val="000000" w:themeColor="text1"/>
          <w:spacing w:val="0"/>
        </w:rPr>
        <w:softHyphen/>
        <w:t>ние технологии при изготовлении бомб на снаряжательном заводе.</w:t>
      </w:r>
    </w:p>
    <w:p w14:paraId="30C60D1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Загрузка ПТАБ-10-2,5 в штатные кассе</w:t>
      </w:r>
      <w:r w:rsidRPr="00271E51">
        <w:rPr>
          <w:rFonts w:ascii="Times New Roman" w:cs="Times New Roman"/>
          <w:color w:val="000000" w:themeColor="text1"/>
          <w:spacing w:val="0"/>
        </w:rPr>
        <w:softHyphen/>
        <w:t>ты мелких бомб самолета Пе-2 (КМБ-Пе-2) показала, что в них можно было уложить го</w:t>
      </w:r>
      <w:r w:rsidRPr="00271E51">
        <w:rPr>
          <w:rFonts w:ascii="Times New Roman" w:cs="Times New Roman"/>
          <w:color w:val="000000" w:themeColor="text1"/>
          <w:spacing w:val="0"/>
        </w:rPr>
        <w:softHyphen/>
        <w:t>ризонтально головной частью назад только 20 бомб (или 40 бомб на самолет, всего 108 кг), что было совсем мало.</w:t>
      </w:r>
    </w:p>
    <w:p w14:paraId="38F13440"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При укладке бомб вертикально вниз стабилизатором в штатные ампульно-бом- бовые кассеты типа АБК-1 самолета СБ умещалось 15 бомб в кассету - в три ряда по пять бомб в каждом (всего 90 шт., вес 213 кг). Но верхний ряд бомб выходил за пределы края кассеты на 75 мм.</w:t>
      </w:r>
    </w:p>
    <w:p w14:paraId="186E4F9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То же самое наблюдалось и на бом</w:t>
      </w:r>
      <w:r w:rsidRPr="00271E51">
        <w:rPr>
          <w:rFonts w:ascii="Times New Roman" w:cs="Times New Roman"/>
          <w:color w:val="000000" w:themeColor="text1"/>
          <w:spacing w:val="0"/>
        </w:rPr>
        <w:softHyphen/>
        <w:t>бардировщике Ил-4 при загрузке кассеты АБК-3 (120 бомб, 324 кг). В каждую кассету входило 60 бомб при их укладке в 3 ряда по 5 бомб в каждом вертикально стабилизато</w:t>
      </w:r>
      <w:r w:rsidRPr="00271E51">
        <w:rPr>
          <w:rFonts w:ascii="Times New Roman" w:cs="Times New Roman"/>
          <w:color w:val="000000" w:themeColor="text1"/>
          <w:spacing w:val="0"/>
        </w:rPr>
        <w:softHyphen/>
        <w:t>ром вниз. Верхний ряд бомб также «выгля</w:t>
      </w:r>
      <w:r w:rsidRPr="00271E51">
        <w:rPr>
          <w:rFonts w:ascii="Times New Roman" w:cs="Times New Roman"/>
          <w:color w:val="000000" w:themeColor="text1"/>
          <w:spacing w:val="0"/>
        </w:rPr>
        <w:softHyphen/>
        <w:t>дывал» на 75 мм из кассеты.</w:t>
      </w:r>
    </w:p>
    <w:p w14:paraId="5AF14E77"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штатные кассеты мелких бомб само</w:t>
      </w:r>
      <w:r w:rsidRPr="00271E51">
        <w:rPr>
          <w:rFonts w:ascii="Times New Roman" w:cs="Times New Roman"/>
          <w:color w:val="000000" w:themeColor="text1"/>
          <w:spacing w:val="0"/>
        </w:rPr>
        <w:softHyphen/>
        <w:t>лета Ил-2 (КМБ-2) можно было уложить 26 ПТАБ-10-2,5 вертикально стабилиза</w:t>
      </w:r>
      <w:r w:rsidRPr="00271E51">
        <w:rPr>
          <w:rFonts w:ascii="Times New Roman" w:cs="Times New Roman"/>
          <w:color w:val="000000" w:themeColor="text1"/>
          <w:spacing w:val="0"/>
        </w:rPr>
        <w:softHyphen/>
        <w:t>тором вниз. То есть полная загрузка Ил-2 бомбами этого типа составляла 104 штуки (290 кг).</w:t>
      </w:r>
    </w:p>
    <w:p w14:paraId="765C24E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Универсальные бомбоотсеки Ил-2 вме</w:t>
      </w:r>
      <w:r w:rsidRPr="00271E51">
        <w:rPr>
          <w:rFonts w:ascii="Times New Roman" w:cs="Times New Roman"/>
          <w:color w:val="000000" w:themeColor="text1"/>
          <w:spacing w:val="0"/>
        </w:rPr>
        <w:softHyphen/>
        <w:t>щали 142 «десятки» (по 36 в средние отсеки и по 35 в крайние отсеки), уложенных гори</w:t>
      </w:r>
      <w:r w:rsidRPr="00271E51">
        <w:rPr>
          <w:rFonts w:ascii="Times New Roman" w:cs="Times New Roman"/>
          <w:color w:val="000000" w:themeColor="text1"/>
          <w:spacing w:val="0"/>
        </w:rPr>
        <w:softHyphen/>
        <w:t>зонтально вперед стабилизатором (по по</w:t>
      </w:r>
      <w:r w:rsidRPr="00271E51">
        <w:rPr>
          <w:rFonts w:ascii="Times New Roman" w:cs="Times New Roman"/>
          <w:color w:val="000000" w:themeColor="text1"/>
          <w:spacing w:val="0"/>
        </w:rPr>
        <w:softHyphen/>
        <w:t>лету) по 3 штуки по ширине и в 3 ряда по длине отсека. При этом по согласованию с представителем завода №240 инженером Коклиным в каждом бомбоотсеке устанав</w:t>
      </w:r>
      <w:r w:rsidRPr="00271E51">
        <w:rPr>
          <w:rFonts w:ascii="Times New Roman" w:cs="Times New Roman"/>
          <w:color w:val="000000" w:themeColor="text1"/>
          <w:spacing w:val="0"/>
        </w:rPr>
        <w:softHyphen/>
        <w:t>ливались 6 боковых деревянных реек, а также «впереди штанги бомбоотсека» спе</w:t>
      </w:r>
      <w:r w:rsidRPr="00271E51">
        <w:rPr>
          <w:rFonts w:ascii="Times New Roman" w:cs="Times New Roman"/>
          <w:color w:val="000000" w:themeColor="text1"/>
          <w:spacing w:val="0"/>
        </w:rPr>
        <w:softHyphen/>
        <w:t>циальные щитки. Боковые рейки были вве</w:t>
      </w:r>
      <w:r w:rsidRPr="00271E51">
        <w:rPr>
          <w:rFonts w:ascii="Times New Roman" w:cs="Times New Roman"/>
          <w:color w:val="000000" w:themeColor="text1"/>
          <w:spacing w:val="0"/>
        </w:rPr>
        <w:softHyphen/>
        <w:t>дены «с целью предохранения от зажима бомб между собой в бомбоотсеке». Кроме того, было ослаблено напряжение пружины створок бомбоотсеков таким образом, что</w:t>
      </w:r>
      <w:r w:rsidRPr="00271E51">
        <w:rPr>
          <w:rFonts w:ascii="Times New Roman" w:cs="Times New Roman"/>
          <w:color w:val="000000" w:themeColor="text1"/>
          <w:spacing w:val="0"/>
        </w:rPr>
        <w:softHyphen/>
        <w:t>бы открытие створок отсека происходило от веса двух бомб.</w:t>
      </w:r>
    </w:p>
    <w:p w14:paraId="4800FE3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дооборудования бомбоотсеков самолета Ил-2 было произведено на зем</w:t>
      </w:r>
      <w:r w:rsidRPr="00271E51">
        <w:rPr>
          <w:rFonts w:ascii="Times New Roman" w:cs="Times New Roman"/>
          <w:color w:val="000000" w:themeColor="text1"/>
          <w:spacing w:val="0"/>
        </w:rPr>
        <w:softHyphen/>
        <w:t>ле 10 сбрасываний из бомбоотсеков кор</w:t>
      </w:r>
      <w:r w:rsidRPr="00271E51">
        <w:rPr>
          <w:rFonts w:ascii="Times New Roman" w:cs="Times New Roman"/>
          <w:color w:val="000000" w:themeColor="text1"/>
          <w:spacing w:val="0"/>
        </w:rPr>
        <w:softHyphen/>
        <w:t>пусов бомб,заполненных до полного веса песком. Ни одного случая зависания бомб не отмечено.</w:t>
      </w:r>
    </w:p>
    <w:p w14:paraId="69269D9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Для проверки надежности контровки ветрянок взрывателей бомб было выпол</w:t>
      </w:r>
      <w:r w:rsidRPr="00271E51">
        <w:rPr>
          <w:rFonts w:ascii="Times New Roman" w:cs="Times New Roman"/>
          <w:color w:val="000000" w:themeColor="text1"/>
          <w:spacing w:val="0"/>
        </w:rPr>
        <w:softHyphen/>
        <w:t>нено три взлета и три посадки с полностью загруженными бомбоотсеками корпусами бомб (с песком) снаряженными взрывате</w:t>
      </w:r>
      <w:r w:rsidRPr="00271E51">
        <w:rPr>
          <w:rFonts w:ascii="Times New Roman" w:cs="Times New Roman"/>
          <w:color w:val="000000" w:themeColor="text1"/>
          <w:spacing w:val="0"/>
        </w:rPr>
        <w:softHyphen/>
        <w:t>лями АД-А, а также три полета на растряску укладки бомб. Случаев нарушения центров</w:t>
      </w:r>
      <w:r w:rsidRPr="00271E51">
        <w:rPr>
          <w:rFonts w:ascii="Times New Roman" w:cs="Times New Roman"/>
          <w:color w:val="000000" w:themeColor="text1"/>
          <w:spacing w:val="0"/>
        </w:rPr>
        <w:softHyphen/>
        <w:t>ки не было.</w:t>
      </w:r>
    </w:p>
    <w:p w14:paraId="09796B00"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Поскольку при полной загрузке бомб в средние отсеки край створки бомбоотсе</w:t>
      </w:r>
      <w:r w:rsidRPr="00271E51">
        <w:rPr>
          <w:rFonts w:ascii="Times New Roman" w:cs="Times New Roman"/>
          <w:color w:val="000000" w:themeColor="text1"/>
          <w:spacing w:val="0"/>
        </w:rPr>
        <w:softHyphen/>
        <w:t>ка слегка отгибался, то решили загружать в отсек на одну бомбу меньше - 35 штук. В этом случае общий вес бомбовой нагруз</w:t>
      </w:r>
      <w:r w:rsidRPr="00271E51">
        <w:rPr>
          <w:rFonts w:ascii="Times New Roman" w:cs="Times New Roman"/>
          <w:color w:val="000000" w:themeColor="text1"/>
          <w:spacing w:val="0"/>
        </w:rPr>
        <w:softHyphen/>
        <w:t>ки составлял 378 кг (140 бомб).</w:t>
      </w:r>
    </w:p>
    <w:p w14:paraId="120AA61C" w14:textId="77777777" w:rsidR="00473181" w:rsidRPr="00271E51" w:rsidRDefault="00473181" w:rsidP="00271E51">
      <w:pPr>
        <w:pStyle w:val="72"/>
        <w:shd w:val="clear" w:color="auto" w:fill="auto"/>
        <w:spacing w:line="240" w:lineRule="auto"/>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ямт</w:t>
      </w:r>
    </w:p>
    <w:p w14:paraId="3D93421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Специалисты полигона отметили, что предъявленная на государственные испы</w:t>
      </w:r>
      <w:r w:rsidRPr="00271E51">
        <w:rPr>
          <w:rFonts w:ascii="Times New Roman" w:cs="Times New Roman"/>
          <w:color w:val="000000" w:themeColor="text1"/>
          <w:spacing w:val="0"/>
        </w:rPr>
        <w:softHyphen/>
        <w:t>тания бомба ПТАБ-10,2,5 по габаритным размерам не полностью соответствует ТУ-5-40 (диаметр 85 мм, длина 356-360 мм) и неудобна для загрузки в существующие кассеты и бомбоотсеки. Несоответствие габаритов требовало дооборудования отсеков.</w:t>
      </w:r>
    </w:p>
    <w:p w14:paraId="555C0004"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Воздушные испытания проходили в те</w:t>
      </w:r>
      <w:r w:rsidRPr="00271E51">
        <w:rPr>
          <w:rFonts w:ascii="Times New Roman" w:cs="Times New Roman"/>
          <w:color w:val="000000" w:themeColor="text1"/>
          <w:spacing w:val="0"/>
        </w:rPr>
        <w:softHyphen/>
        <w:t>чение двух дней - 24 и 28 октября. Сначала выполнили пять полетов на сброс корпу</w:t>
      </w:r>
      <w:r w:rsidRPr="00271E51">
        <w:rPr>
          <w:rFonts w:ascii="Times New Roman" w:cs="Times New Roman"/>
          <w:color w:val="000000" w:themeColor="text1"/>
          <w:spacing w:val="0"/>
        </w:rPr>
        <w:softHyphen/>
        <w:t>сов бомб снаряженных взрывателями. По</w:t>
      </w:r>
      <w:r w:rsidRPr="00271E51">
        <w:rPr>
          <w:rFonts w:ascii="Times New Roman" w:cs="Times New Roman"/>
          <w:color w:val="000000" w:themeColor="text1"/>
          <w:spacing w:val="0"/>
        </w:rPr>
        <w:softHyphen/>
        <w:t>сле чего выполнили два полета на боевое бомбометание с самолета Ил-2. Бомбили колонну трофейных танков. Высота сброса - 100 м, скорость самолета - 300 км/ч.</w:t>
      </w:r>
    </w:p>
    <w:p w14:paraId="45797D1C"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первом вылете использовали две кас</w:t>
      </w:r>
      <w:r w:rsidRPr="00271E51">
        <w:rPr>
          <w:rFonts w:ascii="Times New Roman" w:cs="Times New Roman"/>
          <w:color w:val="000000" w:themeColor="text1"/>
          <w:spacing w:val="0"/>
        </w:rPr>
        <w:softHyphen/>
        <w:t>сеты одиночно, во втором - также две кас</w:t>
      </w:r>
      <w:r w:rsidRPr="00271E51">
        <w:rPr>
          <w:rFonts w:ascii="Times New Roman" w:cs="Times New Roman"/>
          <w:color w:val="000000" w:themeColor="text1"/>
          <w:spacing w:val="0"/>
        </w:rPr>
        <w:softHyphen/>
        <w:t>сеты, но серией с интервалом 0,5 с.</w:t>
      </w:r>
    </w:p>
    <w:p w14:paraId="60C164F9"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 втором полете при посадке самолета из среднего отсека правой плоскости выпа</w:t>
      </w:r>
      <w:r w:rsidRPr="00271E51">
        <w:rPr>
          <w:rFonts w:ascii="Times New Roman" w:cs="Times New Roman"/>
          <w:color w:val="000000" w:themeColor="text1"/>
          <w:spacing w:val="0"/>
        </w:rPr>
        <w:softHyphen/>
        <w:t>ли три бомбы, из которых две взорвались. От взрыва самолет загорелся. Потушить машину не удалось.</w:t>
      </w:r>
    </w:p>
    <w:p w14:paraId="764BA16F"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После осмотра места взрыва было установлено, что взрыв второй бомбы был инициирован подрывом первой бомбы (най</w:t>
      </w:r>
      <w:r w:rsidRPr="00271E51">
        <w:rPr>
          <w:rFonts w:ascii="Times New Roman" w:cs="Times New Roman"/>
          <w:color w:val="000000" w:themeColor="text1"/>
          <w:spacing w:val="0"/>
        </w:rPr>
        <w:softHyphen/>
        <w:t>ден взрыватель с несвернутой ветрянкой). У третьей выпавшей бомбы произошел от</w:t>
      </w:r>
      <w:r w:rsidRPr="00271E51">
        <w:rPr>
          <w:rFonts w:ascii="Times New Roman" w:cs="Times New Roman"/>
          <w:color w:val="000000" w:themeColor="text1"/>
          <w:spacing w:val="0"/>
        </w:rPr>
        <w:softHyphen/>
        <w:t>каз в действии взрывателя.</w:t>
      </w:r>
    </w:p>
    <w:p w14:paraId="4E7D1EA0"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мнению специалистов института, вероятной причиной зависания бомб в бомбоотсеке Ил-2 являлось «запаздыва</w:t>
      </w:r>
      <w:r w:rsidRPr="00271E51">
        <w:rPr>
          <w:rFonts w:ascii="Times New Roman" w:cs="Times New Roman"/>
          <w:color w:val="000000" w:themeColor="text1"/>
          <w:spacing w:val="0"/>
        </w:rPr>
        <w:softHyphen/>
        <w:t>ние выпадения некоторых бомб, из которых одна была зажата створками бомболюка». Вес оставшихся трех бомб оказался не в состоянии преодолеть сопротивление пру</w:t>
      </w:r>
      <w:r w:rsidRPr="00271E51">
        <w:rPr>
          <w:rFonts w:ascii="Times New Roman" w:cs="Times New Roman"/>
          <w:color w:val="000000" w:themeColor="text1"/>
          <w:spacing w:val="0"/>
        </w:rPr>
        <w:softHyphen/>
        <w:t>жины створки бомбоотсека. От тряски и набегающего воздушного потока в полете произошло свертывание ветрянки зажатой бомбы, взрыватель пришел в боевое поло</w:t>
      </w:r>
      <w:r w:rsidRPr="00271E51">
        <w:rPr>
          <w:rFonts w:ascii="Times New Roman" w:cs="Times New Roman"/>
          <w:color w:val="000000" w:themeColor="text1"/>
          <w:spacing w:val="0"/>
        </w:rPr>
        <w:softHyphen/>
        <w:t>жение и на посадке, когда бомба выпала из отсека, «при ударе бомбы о преграду произошел взрыв, вследствие чего само</w:t>
      </w:r>
      <w:r w:rsidRPr="00271E51">
        <w:rPr>
          <w:rFonts w:ascii="Times New Roman" w:cs="Times New Roman"/>
          <w:color w:val="000000" w:themeColor="text1"/>
          <w:spacing w:val="0"/>
        </w:rPr>
        <w:softHyphen/>
        <w:t>лет сгорел».</w:t>
      </w:r>
    </w:p>
    <w:p w14:paraId="310CD158"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выводах отчета по результатам ис</w:t>
      </w:r>
      <w:r w:rsidRPr="00271E51">
        <w:rPr>
          <w:rFonts w:ascii="Times New Roman" w:cs="Times New Roman"/>
          <w:color w:val="000000" w:themeColor="text1"/>
          <w:spacing w:val="0"/>
        </w:rPr>
        <w:softHyphen/>
        <w:t>пытаний отмечалось: «Существующие бомбоотсеки для мелких бомб на Ил-2 не обеспечивают 100% выпадения бомб в момент открывания створок, что приводит к зависанию части бомб в отсеке. При по</w:t>
      </w:r>
      <w:r w:rsidRPr="00271E51">
        <w:rPr>
          <w:rFonts w:ascii="Times New Roman" w:cs="Times New Roman"/>
          <w:color w:val="000000" w:themeColor="text1"/>
          <w:spacing w:val="0"/>
        </w:rPr>
        <w:softHyphen/>
        <w:t>садке зависшие бомбы падают - при этом не исключены случаи их взрыва с последу</w:t>
      </w:r>
      <w:r w:rsidRPr="00271E51">
        <w:rPr>
          <w:rFonts w:ascii="Times New Roman" w:cs="Times New Roman"/>
          <w:color w:val="000000" w:themeColor="text1"/>
          <w:spacing w:val="0"/>
        </w:rPr>
        <w:softHyphen/>
        <w:t>ющим разрушением самолета».</w:t>
      </w:r>
    </w:p>
    <w:p w14:paraId="53C7E20D"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Вместе с тем по надежности действия бомбы показали вполне удовлетворитель</w:t>
      </w:r>
      <w:r w:rsidRPr="00271E51">
        <w:rPr>
          <w:rFonts w:ascii="Times New Roman" w:cs="Times New Roman"/>
          <w:color w:val="000000" w:themeColor="text1"/>
          <w:spacing w:val="0"/>
        </w:rPr>
        <w:softHyphen/>
        <w:t>ные результаты - «отказов в действии бомб при срабатывании взрывателей не было». Отказы самих взрывателей АД-А произ</w:t>
      </w:r>
      <w:r w:rsidRPr="00271E51">
        <w:rPr>
          <w:rFonts w:ascii="Times New Roman" w:cs="Times New Roman"/>
          <w:color w:val="000000" w:themeColor="text1"/>
          <w:spacing w:val="0"/>
        </w:rPr>
        <w:softHyphen/>
        <w:t>водства завода №398 - всего около 5,5%, происходили главным образом «по при</w:t>
      </w:r>
      <w:r w:rsidRPr="00271E51">
        <w:rPr>
          <w:rFonts w:ascii="Times New Roman" w:cs="Times New Roman"/>
          <w:color w:val="000000" w:themeColor="text1"/>
          <w:spacing w:val="0"/>
        </w:rPr>
        <w:softHyphen/>
        <w:t>чине несвертывания ветрянок». В полете на траектории падения бомбы вели себя устойчиво.</w:t>
      </w:r>
    </w:p>
    <w:p w14:paraId="3637F8B2"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Как следствие, бомбу военные забрако</w:t>
      </w:r>
      <w:r w:rsidRPr="00271E51">
        <w:rPr>
          <w:rFonts w:ascii="Times New Roman" w:cs="Times New Roman"/>
          <w:color w:val="000000" w:themeColor="text1"/>
          <w:spacing w:val="0"/>
        </w:rPr>
        <w:softHyphen/>
        <w:t>вали. «ПТАБ-10-2,5 государственных испы</w:t>
      </w:r>
      <w:r w:rsidRPr="00271E51">
        <w:rPr>
          <w:rFonts w:ascii="Times New Roman" w:cs="Times New Roman"/>
          <w:color w:val="000000" w:themeColor="text1"/>
          <w:spacing w:val="0"/>
        </w:rPr>
        <w:softHyphen/>
        <w:t>таний не выдержала», - констатировалось в заключении отчета по результатам испы</w:t>
      </w:r>
      <w:r w:rsidRPr="00271E51">
        <w:rPr>
          <w:rFonts w:ascii="Times New Roman" w:cs="Times New Roman"/>
          <w:color w:val="000000" w:themeColor="text1"/>
          <w:spacing w:val="0"/>
        </w:rPr>
        <w:softHyphen/>
        <w:t>таний. Требовалось устранить выявленные недостатки бомбы, изготовить 1200 штук таких бомб (400 - боевых, 600 - «нейтраль</w:t>
      </w:r>
      <w:r w:rsidRPr="00271E51">
        <w:rPr>
          <w:rFonts w:ascii="Times New Roman" w:cs="Times New Roman"/>
          <w:color w:val="000000" w:themeColor="text1"/>
          <w:spacing w:val="0"/>
        </w:rPr>
        <w:softHyphen/>
        <w:t>ных») и предъявить их для испытания в НИИ АВ, а также переделать систему закры</w:t>
      </w:r>
      <w:r w:rsidRPr="00271E51">
        <w:rPr>
          <w:rFonts w:ascii="Times New Roman" w:cs="Times New Roman"/>
          <w:color w:val="000000" w:themeColor="text1"/>
          <w:spacing w:val="0"/>
        </w:rPr>
        <w:softHyphen/>
        <w:t>вания бомбоотсеков самолета Ил-2.</w:t>
      </w:r>
    </w:p>
    <w:p w14:paraId="1C4C94B1" w14:textId="77777777" w:rsidR="00473181" w:rsidRPr="00271E51" w:rsidRDefault="00473181"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Бомбу срочно доработали. На госу</w:t>
      </w:r>
      <w:r w:rsidRPr="00271E51">
        <w:rPr>
          <w:rFonts w:ascii="Times New Roman" w:cs="Times New Roman"/>
          <w:color w:val="000000" w:themeColor="text1"/>
          <w:spacing w:val="0"/>
        </w:rPr>
        <w:softHyphen/>
        <w:t>дарственных испытаниях в ГК НИИ ВВС, проходивших с 5 июня по 18 июля 1944 г., ПТАБ-10-2,5 уверенно пробивала танковую броню толщиной до 160 мм при углах встречи до 30° и обеспечивала пробитие 40-мм брони, расположен</w:t>
      </w:r>
      <w:r w:rsidRPr="00271E51">
        <w:rPr>
          <w:rFonts w:ascii="Times New Roman" w:cs="Times New Roman"/>
          <w:color w:val="000000" w:themeColor="text1"/>
          <w:spacing w:val="0"/>
        </w:rPr>
        <w:softHyphen/>
        <w:t>ной на расстоянии 500 мм от броневого экрана тол</w:t>
      </w:r>
      <w:r w:rsidRPr="00271E51">
        <w:rPr>
          <w:rFonts w:ascii="Times New Roman" w:cs="Times New Roman"/>
          <w:color w:val="000000" w:themeColor="text1"/>
          <w:spacing w:val="0"/>
        </w:rPr>
        <w:softHyphen/>
        <w:t>щиной до 20 мм. Кроме того, был сделан вывод, что ПТАБ-10-2,5 способны с большой эффективностью поражать материальную часть артиллерии всех ка</w:t>
      </w:r>
      <w:r w:rsidRPr="00271E51">
        <w:rPr>
          <w:rFonts w:ascii="Times New Roman" w:cs="Times New Roman"/>
          <w:color w:val="000000" w:themeColor="text1"/>
          <w:spacing w:val="0"/>
        </w:rPr>
        <w:softHyphen/>
        <w:t>либров и самолеты на аэро</w:t>
      </w:r>
      <w:r w:rsidRPr="00271E51">
        <w:rPr>
          <w:rFonts w:ascii="Times New Roman" w:cs="Times New Roman"/>
          <w:color w:val="000000" w:themeColor="text1"/>
          <w:spacing w:val="0"/>
        </w:rPr>
        <w:softHyphen/>
        <w:t>дромах, железнодорожные объекты (ж.д. узлы, эшело</w:t>
      </w:r>
      <w:r w:rsidRPr="00271E51">
        <w:rPr>
          <w:rFonts w:ascii="Times New Roman" w:cs="Times New Roman"/>
          <w:color w:val="000000" w:themeColor="text1"/>
          <w:spacing w:val="0"/>
        </w:rPr>
        <w:softHyphen/>
        <w:t>ны, паровозы, цистерны), мотомехчасти и автотран</w:t>
      </w:r>
      <w:r w:rsidRPr="00271E51">
        <w:rPr>
          <w:rFonts w:ascii="Times New Roman" w:cs="Times New Roman"/>
          <w:color w:val="000000" w:themeColor="text1"/>
          <w:spacing w:val="0"/>
        </w:rPr>
        <w:softHyphen/>
        <w:t>спорт, а также надводные переправы, наземные ре</w:t>
      </w:r>
      <w:r w:rsidRPr="00271E51">
        <w:rPr>
          <w:rFonts w:ascii="Times New Roman" w:cs="Times New Roman"/>
          <w:color w:val="000000" w:themeColor="text1"/>
          <w:spacing w:val="0"/>
        </w:rPr>
        <w:softHyphen/>
        <w:t>зервуары с нефтепродукта</w:t>
      </w:r>
      <w:r w:rsidRPr="00271E51">
        <w:rPr>
          <w:rFonts w:ascii="Times New Roman" w:cs="Times New Roman"/>
          <w:color w:val="000000" w:themeColor="text1"/>
          <w:spacing w:val="0"/>
        </w:rPr>
        <w:softHyphen/>
        <w:t>ми и склады боеприпасов. Бомбу рекомендовали при</w:t>
      </w:r>
      <w:r w:rsidRPr="00271E51">
        <w:rPr>
          <w:rFonts w:ascii="Times New Roman" w:cs="Times New Roman"/>
          <w:color w:val="000000" w:themeColor="text1"/>
          <w:spacing w:val="0"/>
        </w:rPr>
        <w:softHyphen/>
        <w:t>нять на вооружение ВВС КА после устранения всех вы</w:t>
      </w:r>
      <w:r w:rsidRPr="00271E51">
        <w:rPr>
          <w:rFonts w:ascii="Times New Roman" w:cs="Times New Roman"/>
          <w:color w:val="000000" w:themeColor="text1"/>
          <w:spacing w:val="0"/>
        </w:rPr>
        <w:softHyphen/>
        <w:t>явленных в ходе испытаний недостатков и проведения войсковых испытаний (12739).</w:t>
      </w:r>
    </w:p>
    <w:p w14:paraId="40F0FD7A"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78390D7B"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FC711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2CCFE7"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 ноября 1943 в тот же день, когда завершились испытания танка Т-34 с пушкой С-54, начались испытания еще одной «тридцатьчетверки», изготовленной на заводе № 183. В соответствии с совместным приказом НКТП, НКВ, ГБТУ КА и ГАУ КА № 676с/591с/060/0250 от 12 ноября 1943 г. в период с 19 по 23 ноября 1943 г. испытаниям был подвергнут опытный образец танка Т-34 с 85-мм пушкой Д-5, установленной в башне с увеличенным до 1600 мм диаметром шариковой опоры. 25 ноября 1943 г. председатель комиссии гвардии полковник Е.А. Кульчицкий и члены комиссии составили и подписали протокол по итогам этих испытаний, в заключении которого было отмечено:</w:t>
      </w:r>
    </w:p>
    <w:p w14:paraId="66309D91"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Комиссия согласна с отчетом Гороховецкого АНИОПа по испытаниям 85 мм пушки "Д-5" в танке "Т-34" с расширенным погоном башни.</w:t>
      </w:r>
    </w:p>
    <w:p w14:paraId="7219BCE8"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Комиссия отмечает, что 85 мм пушка "Д-5" своим баллистическим качествам, в значительной степени, соответствует требованиям, предъявляемым к вооружению современных средних танков.</w:t>
      </w:r>
    </w:p>
    <w:p w14:paraId="60710C70"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Комиссия считает, что расширение погона башни танка "Т-34" до 1600 мм позволило разместить в башне 85 мм пушку "Д-5", обеспечив её удовлетворительную скорострельность и, таким образом, значительно повысить огневую мощь танка "Т-34".</w:t>
      </w:r>
    </w:p>
    <w:p w14:paraId="6BF6FDC6"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Комиссия отмечает, что расширение погона башни танка "Т-34" до 1600 мм, позволило, помимо замены пушки Ф-34 пушкой "Д-5" также разместить в боевом отделении 3-го человека – командира танка, обеспеченного средствами кругового наблюдения, что значительно улучшает наблюдение за полем боя и управление огнем из танка.</w:t>
      </w:r>
    </w:p>
    <w:p w14:paraId="7D729401"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Комиссия отмечает, что установка 85 мм пушки "Д-5" в танке "Т-34", значительно повышает его огневую мощь, но ввиду недостаточного бронирования танка не решает полностью вопроса повышения боевых качеств танка "Т-34", в соответствии с требованиями, предъявляемыми к современному среднему танку. Поэтому комиссия считает необходимым создание новых средних танков с мощным вооружением и усиленной броневой защитой, обеспечивающей их неуязвимость на дистанциях действительного огня их пушек.</w:t>
      </w:r>
    </w:p>
    <w:p w14:paraId="2FA4ECF7"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На период проектирования и освоения таких танков Комиссия считает целесообразным одновременно с принятием на серийное производство 76 мм пушки "С-54" на танках "Т-34" со штатным погоном, перейти на серийное производство танков «Т-34» с расширенным погоном башни и 85 мм пушкой "Д-5"».</w:t>
      </w:r>
    </w:p>
    <w:p w14:paraId="65238A48"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1396. Л. 151 с об.] (21209).</w:t>
      </w:r>
    </w:p>
    <w:p w14:paraId="1F7CE218" w14:textId="77777777" w:rsidR="00725DEA" w:rsidRPr="00271E51" w:rsidRDefault="00725DEA" w:rsidP="00271E51">
      <w:pPr>
        <w:spacing w:after="0" w:line="240" w:lineRule="auto"/>
        <w:jc w:val="both"/>
        <w:rPr>
          <w:rFonts w:ascii="Times New Roman" w:hAnsi="Times New Roman"/>
          <w:color w:val="0070C0"/>
          <w:sz w:val="16"/>
          <w:szCs w:val="16"/>
        </w:rPr>
      </w:pPr>
    </w:p>
    <w:p w14:paraId="14FA88D0"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с 19 по 23 ноября 1943 г. на ГАНИОПе под руководством Е.А. Кульчицкого испытаниям был подвергнут опытный образец танка Т-34 с 85-мм пушкой Д-5, установленной в башне с увеличенным до 1600 мм диаметром шариковой опоры. 25 ноября 1943 г. председатель комиссии гвардии полковник Е.А. Кульчицкий и члены комиссии составили и подписали протокол по итогам этих испытаний, в заключении которого было отмечено:</w:t>
      </w:r>
    </w:p>
    <w:p w14:paraId="6A5F6216"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Комиссия согласна с отчетом Гороховецкого АНИОПа по испытаниям 85 мм пушки "Д-5" в танке "Т-34" с расширенным погоном башни.</w:t>
      </w:r>
    </w:p>
    <w:p w14:paraId="6842CD9E"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Комиссия отмечает, что 85 мм пушка "Д-5" своим баллистическим качествам, в значительной степени, соответствует требованиям, предъявляемым к вооружению современных средних танков.</w:t>
      </w:r>
    </w:p>
    <w:p w14:paraId="65D70841"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Комиссия считает, что расширение погона башни танка "Т-34" до 1600 мм позволило разместить в башне 85 мм пушку "Д-5", обеспечив её удовлетворительную скорострельность и, таким образом, значительно повысить огневую мощь танка "Т-34".</w:t>
      </w:r>
    </w:p>
    <w:p w14:paraId="056487FF"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Комиссия отмечает, что расширение погона башни танка "Т-34" до 1600 мм, позволило, помимо замены пушки Ф-34 пушкой "Д-5" также разместить в боевом отделении 3-го человека – командира танка, обеспеченного средствами кругового наблюдения, что значительно улучшает наблюдение за полем боя и управление огнем из танка.</w:t>
      </w:r>
    </w:p>
    <w:p w14:paraId="7CC20811"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Комиссия отмечает, что установка 85 мм пушки "Д-5" в танке "Т-34", значительно повышает его огневую мощь, но ввиду недостаточного бронирования танка не решает полностью вопроса повышения боевых качеств танка "Т-34", в соответствии с требованиями, предъявляемыми к современному среднему танку. Поэтому комиссия считает необходимым создание новых средних танков с мощным вооружением и усиленной броневой защитой, обеспечивающей их неуязвимость на дистанциях действительного огня их пушек.</w:t>
      </w:r>
    </w:p>
    <w:p w14:paraId="3ABC6A7D"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На период проектирования и освоения таких танков Комиссия считает целесообразным одновременно с принятием на серийное производство 76 мм пушки "С-54" на танках "Т-34" со штатным погоном, перейти на серийное производство танков «Т-34» с расширенным погоном башни и 85 мм пушкой "Д-5"».</w:t>
      </w:r>
    </w:p>
    <w:p w14:paraId="694E100E"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[ЦАМО. Ф. 38. Оп. 11355. Д. 1396. Л. 151 с об.] (21209).</w:t>
      </w:r>
    </w:p>
    <w:p w14:paraId="72CAD056" w14:textId="77777777" w:rsidR="00725DEA" w:rsidRPr="00271E51" w:rsidRDefault="00725DEA" w:rsidP="00271E51">
      <w:pPr>
        <w:spacing w:after="0" w:line="240" w:lineRule="auto"/>
        <w:jc w:val="both"/>
        <w:rPr>
          <w:rFonts w:ascii="Times New Roman" w:hAnsi="Times New Roman"/>
          <w:color w:val="0070C0"/>
          <w:sz w:val="16"/>
          <w:szCs w:val="16"/>
        </w:rPr>
      </w:pPr>
    </w:p>
    <w:p w14:paraId="52F967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1943г. была подготовлена ДОКЛАДНАЯ ЗАПИСКА ИНЖЕНЕРОВ-КОНСТРУКТОРОВ ЗАВОДА №40 НКСМ Р.А. АНШЕЛЕВИЧА И С.А. РЕДИНА НАЧАЛЬНИКУ УПРАВЛЕНИЯ САМОХОДНОЙ АРТИЛЛЕРИИ ГБТУ КА О ПРИМЕНЕНИИ УШИРИТЕЛЕЙ ГУСЕНИЦЫ НА ТАНКАХ</w:t>
      </w:r>
    </w:p>
    <w:p w14:paraId="450E118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1941 г. на заводе №37 мы начали работать над повышением проходимости танка Т-60.</w:t>
      </w:r>
    </w:p>
    <w:p w14:paraId="47C468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Разработанная и испытанная нами на Урале зимой 1941/1942 гг. конструкция уширителя гусени</w:t>
      </w:r>
      <w:r w:rsidRPr="00271E51">
        <w:rPr>
          <w:rFonts w:ascii="Times New Roman" w:hAnsi="Times New Roman"/>
          <w:color w:val="000000" w:themeColor="text1"/>
          <w:sz w:val="16"/>
          <w:szCs w:val="16"/>
        </w:rPr>
        <w:softHyphen/>
        <w:t>цы, значительно повысила проходимость танка Т-60.</w:t>
      </w:r>
    </w:p>
    <w:p w14:paraId="54E9D04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маневренностью танка Т-60 на гусеницах с уширителями в зимних условиях ознакомились во время его испытаний бывший старший военпред ГБТУ КА на заводе №37 инженер-майор Косцов и его заместитель инженер-майор Симонян, давшие маневренности танка высокую оценку.</w:t>
      </w:r>
    </w:p>
    <w:p w14:paraId="28E78B6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об этих испытаниях был переслан заводам №37 в мае 1942 г. в ГБТУ КА.</w:t>
      </w:r>
    </w:p>
    <w:p w14:paraId="55DBF2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Испытаниями было установлено следующее соотношение проходимости машин по преодолева</w:t>
      </w:r>
      <w:r w:rsidRPr="00271E51">
        <w:rPr>
          <w:rFonts w:ascii="Times New Roman" w:hAnsi="Times New Roman"/>
          <w:color w:val="000000" w:themeColor="text1"/>
          <w:sz w:val="16"/>
          <w:szCs w:val="16"/>
        </w:rPr>
        <w:softHyphen/>
        <w:t>емой глубине снежного покрова:</w:t>
      </w:r>
    </w:p>
    <w:p w14:paraId="71EAF5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Т-60 серийный — до 600 мм,</w:t>
      </w:r>
    </w:p>
    <w:p w14:paraId="5DC98F5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Т-60 с уширителями — до 900 мм.</w:t>
      </w:r>
    </w:p>
    <w:p w14:paraId="188D76C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Работая в настоящее время на заводе №40 НКСМ, мы, используя опыт, полученный на Т-60, соз</w:t>
      </w:r>
      <w:r w:rsidRPr="00271E51">
        <w:rPr>
          <w:rFonts w:ascii="Times New Roman" w:hAnsi="Times New Roman"/>
          <w:color w:val="000000" w:themeColor="text1"/>
          <w:sz w:val="16"/>
          <w:szCs w:val="16"/>
        </w:rPr>
        <w:softHyphen/>
        <w:t>дали уширители гусениц для повышения проходимости машины СУ-15.</w:t>
      </w:r>
    </w:p>
    <w:p w14:paraId="0613105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нашем заводе собраны для машины СУ-15 опытные гусеницы с уширителями, но испытание их задерживается из-за недостатка машин и горючего.</w:t>
      </w:r>
    </w:p>
    <w:p w14:paraId="2466446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совершенно уверены в значительном повышении проходимости машины СУ-15 при приме</w:t>
      </w:r>
      <w:r w:rsidRPr="00271E51">
        <w:rPr>
          <w:rFonts w:ascii="Times New Roman" w:hAnsi="Times New Roman"/>
          <w:color w:val="000000" w:themeColor="text1"/>
          <w:sz w:val="16"/>
          <w:szCs w:val="16"/>
        </w:rPr>
        <w:softHyphen/>
        <w:t>нении уширителей и испытанию опытного образца их придаем значение главным образом с точки зрения проверки прочности конструкции.</w:t>
      </w:r>
    </w:p>
    <w:p w14:paraId="025AEDC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мы считаем необходимым и возможным дать действующей армии машины СУ-15 повы</w:t>
      </w:r>
      <w:r w:rsidRPr="00271E51">
        <w:rPr>
          <w:rFonts w:ascii="Times New Roman" w:hAnsi="Times New Roman"/>
          <w:color w:val="000000" w:themeColor="text1"/>
          <w:sz w:val="16"/>
          <w:szCs w:val="16"/>
        </w:rPr>
        <w:softHyphen/>
        <w:t>шенной проходимости в зимнюю компанию 1943-1944 гг.</w:t>
      </w:r>
    </w:p>
    <w:p w14:paraId="755F99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все наши усилия в этом направлении как по линии завода №40, так и по линии НКСМ не ускорили тех недопустимо медленных темпов, которыми двигается это дело.</w:t>
      </w:r>
    </w:p>
    <w:p w14:paraId="6F8D805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знаем, что вопрос о повышении проходимости боевых машин неоднократно ставился ГАБТУ КА перед промышленностью.</w:t>
      </w:r>
    </w:p>
    <w:p w14:paraId="2280FAF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Чтобы помочь сдвинуть этот вопрос с мертвой точки, мы просим Вас дать заказ нашему заводу оборудовать 10 машин СУ-15 декабрьской программы гусеницами с уширителями со сдачей их до 15 декабря.</w:t>
      </w:r>
    </w:p>
    <w:p w14:paraId="4929D27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Эта задача при наличии помощи со стороны НКСМ заводом может быть выполнена, если ей будет придано серьезное значение.</w:t>
      </w:r>
    </w:p>
    <w:p w14:paraId="647B0FA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января 1944 г. Вы сможете получить результат испытания этих 10 машин и на основании его принять решение о дальнейшем применении на машинах гусениц с уширителями.</w:t>
      </w:r>
    </w:p>
    <w:p w14:paraId="6014EC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Промышленность имеет все возможности так подготовить производство уширителей, чтобы обеспечить ими в случае надобности все выпускаемые машины СУ-15, начиная с января 1944 г.</w:t>
      </w:r>
    </w:p>
    <w:p w14:paraId="1DB0EC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Обращаем Ваше внимание на то обстоятельство, что установка уширителей совершенно не затрагивает конструкции машины. Благодаря этому применение уширителей может получить боль</w:t>
      </w:r>
      <w:r w:rsidRPr="00271E51">
        <w:rPr>
          <w:rFonts w:ascii="Times New Roman" w:hAnsi="Times New Roman"/>
          <w:color w:val="000000" w:themeColor="text1"/>
          <w:sz w:val="16"/>
          <w:szCs w:val="16"/>
        </w:rPr>
        <w:softHyphen/>
        <w:t>шее или меньшее распространение в зависимости от признания, которое они получат в действую</w:t>
      </w:r>
      <w:r w:rsidRPr="00271E51">
        <w:rPr>
          <w:rFonts w:ascii="Times New Roman" w:hAnsi="Times New Roman"/>
          <w:color w:val="000000" w:themeColor="text1"/>
          <w:sz w:val="16"/>
          <w:szCs w:val="16"/>
        </w:rPr>
        <w:softHyphen/>
        <w:t>щей армии.</w:t>
      </w:r>
    </w:p>
    <w:p w14:paraId="2771415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необходимости получения от нас более полной информации просим нас вызвать.</w:t>
      </w:r>
    </w:p>
    <w:p w14:paraId="3EE449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чертеж гусеницы с уширителем в сборе № ЭК-175</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w:t>
      </w:r>
    </w:p>
    <w:p w14:paraId="56F6A51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 Аншелевич С.А. Редин</w:t>
      </w:r>
    </w:p>
    <w:p w14:paraId="4F28D9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15. Л. 4 с об. Подлинник (11403).</w:t>
      </w:r>
    </w:p>
    <w:p w14:paraId="6D3B0A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B6C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вышло Распоряжение ГКО № 4601. О мерах по удовлетворению потребности в электроэнергии по Москве в ноябре и декабре 1943 г.РГАНИР, Фонд ГКО, д. 177, лл. 24-25 (11012).</w:t>
      </w:r>
    </w:p>
    <w:p w14:paraId="0A4E959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C83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вышло Распоряжение ГКО № 4602. О материальном обеспечении производства капсюльных втулок КВ-4.РГАНИР, Фонд ГКО, д. 177, лл. 26-28, 29-33 (11012).</w:t>
      </w:r>
    </w:p>
    <w:p w14:paraId="57CDD1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1251A"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290E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66C2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19 ноября </w:t>
      </w:r>
      <w:r w:rsidRPr="00271E51">
        <w:rPr>
          <w:rFonts w:ascii="Times New Roman" w:hAnsi="Times New Roman"/>
          <w:color w:val="000000" w:themeColor="text1"/>
          <w:sz w:val="16"/>
          <w:szCs w:val="16"/>
        </w:rPr>
        <w:t>в 1943 году оперативная сводка Совинформбюро:</w:t>
      </w:r>
    </w:p>
    <w:p w14:paraId="460F0C5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в результате стремительного наступления в ночь на 19 ноября овладели городом и железнодорожным узлом Овруч. Продолжая наступление, войска фронта заняли более 30 других населённых пунктов, среди которых Карпиловка, Стычанка, Лубянка, Дуброва, Мартыновичи, Воровичи, Ковшило, Новая Дорогинь, Старая Дорогинь, Кацовщина, Ласки, Раковщина.</w:t>
      </w:r>
    </w:p>
    <w:p w14:paraId="4A589A01"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Черкасском направлении наши войска, успешно форсировав Днепр, овладели на правом берегу реки сильно укреплёнными опорными пунктами противника Елизаветовка, Будище, Свидовок, Дахновка, Василица, Сосновка, Геронимовка и, продолжая теснить его части, вели бои на подступах к городу Черкассы.</w:t>
      </w:r>
    </w:p>
    <w:p w14:paraId="4418E7A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Верховного Главнокомандования наши войска, ввиду невыгодности занимаемых позиций, оставили город Житомир и заняли более выгодные для обороны рубежи.</w:t>
      </w:r>
    </w:p>
    <w:p w14:paraId="0A7B38CD"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продолжая наступление, улучшили свои позиции.</w:t>
      </w:r>
    </w:p>
    <w:p w14:paraId="343EC91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7B66A0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ноября наши войска на всех фронтах подбили и уничтожили 145 немецких танков. В воздушных боях и огнём зенитной артиллерии сбито 10 самолетов противника.</w:t>
      </w:r>
    </w:p>
    <w:p w14:paraId="5C0E581F"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стремительно продвигаясь вперёд, овладели городом и железнодорожным узлом Овруч. В боях за город Овруч особенно успешно действовали части 4 Гвардейской воздушно-десантной дивизии. Захвачены большие трофеи: железнодорожные эшелоны, много артиллерии, cклады с боеприпасами и разными военными материалами. Наши подвижные части продолжали преследовать противника и заняли более 30 других населённых пунктов. В боях за эти пункты уничтожено до двух батальонов гитлеровцев.</w:t>
      </w:r>
    </w:p>
    <w:p w14:paraId="2D57855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Черкасском направлении наши войска успешно форсировали Днепр. Преодолению водной преграды способствовали советские подразделения, сброшенные с самолётов на правом берегу Днепра. Эти подразделения вместе с партизанами нанесли немцам внезапный удар. Воспользовавшись растерянностью противника, наши части быстро переправились через реку и овладели рядом сильно укреплённых опорных пунктов. Противник, пытаясь восстановить положение, стянул к месту прорыва все расположенные поблизости резервы, но в результате ожесточённых боёв был отброшен. Наши войска, продолжая теснить немцев, вели бои на подступах к городуЧеркассы. Противник несёт большие потери. По неполным данным, истреблено до 2.000 немецких солдат и офицеров. Захвачено 5 полностью исправных танков, 2 бронетранспортёра, 18 орудий, 80 пулемётов, до 100 автомашин, 3 склада боеприпасов, склады с вооружением, продовольствием и другие трофеи. Взятыпленные. На одном участке сдалась в плен в полном составе рота немецкой пехоты.</w:t>
      </w:r>
    </w:p>
    <w:p w14:paraId="11A3198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продолжали наступление и улучшили свои позиции. Противник спешно подтянул крупные силы и неоднократно переходил в контратаки. Советские артиллеристы, пехотинцы и танкисты отбили все контратаки немцев и нанесли им тяжёлые потери. Только на одном участке истреблено свыше 800 гитлеровцев, сожжено и подбито 19 немецких танков, уничтожен бронепаровоз и несколько артиллерийских батарей. Бойцы Н-ской части освободили большую группу советских граждан, которых немцы угоняли на каторжные работы в Германию. Захвачен обоз с военным имуществом противника.</w:t>
      </w:r>
    </w:p>
    <w:p w14:paraId="3917D984"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месяце несколько партизанских отрядов, действующих в Тарнопольской области, пустили под откос 33 воинских эшелона противника, 2 бронепоезда и взорвали железнодорожный мост. В результате крушений убито и ранено много гитлеровцев. Ружейно-пулемётным огнём партизаны сбили 2 немецких самолёта.</w:t>
      </w:r>
    </w:p>
    <w:p w14:paraId="630065A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ноября немцы направили крупную карательную экспедицию против одного из партизанских отрядов. В двухдневном бою советские патриоты истребили более 100 вражеских солдат и офицеров и вынудили противника отступить. Партизаны захватили миномёт, 18 пулемётов, 60 винтовок и много патронов.</w:t>
      </w:r>
    </w:p>
    <w:p w14:paraId="2147D909"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Днепропетровска, в населённых пунктах Най-Вег и Веселая Долина, захвачена в плен группа солдат немецкой танковой дивизии СС «Великая Германия». Пленные унтер-офицеры 2 гренадерского полка Вернер Хенер, Генрих Кюпен и солдатГельмут Линдеман рассказали: «Немецкое командование возлагало большие надежды на нашу дивизию. В начале ноября все полки получили пополнение. Перед дивизией была поставлена задача — вместе с другими танковыми и пехотными соединениями отбросить русских на левый берег Днепра. Бои носили крайне ожесточённый характер. Мы понесли очень тяжёлые потери. К 15 ноября в ротах нашего полка осталось по 10 — 15 человек. Ввиду огромных потерь 2 и 3 батальоны были сведены в один. Несмотря на все усилия, дивизия не только не отбросила русских, но сама была вынуждена отступить. Солдаты говорят: «Ещё один — два таких боя, и дивизия« Великая Германия» будет совершенно обескровлена».</w:t>
      </w:r>
    </w:p>
    <w:p w14:paraId="5C5DF84C"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Ниже публикуется акт о зверствах немецко-фашистских мерзавцев в селе Ново-Васильевка, Запорожской области: «Перед отступлением немцы под угрозой расстрела приказали всем жителям села эвакуироваться в тыл. Советские граждане всячески противились угону в немецкое рабство. Население покинуло свои дома и убежало в степь, попряталось в садах и балках. Гитлеровцы рыскали повсюду и убивали на месте всех, кого им удавалось обнаружить. Расстреляно много мирных жителей. Фашистские разбойники сожгли 700 жилых домов и разграбили всё ценное имущество. Сотни семей остались без крова. Всё, что нельзя было увезти с собой, немцы уничтожали. Они сожгли 5 мельниц, 2 маслозавода, электростанцию, МТС, районную больницу, амбулаторию, пять школ и другие здания. Мы клянёмся, что будем беспощадно мстить проклятым немцам. Просим бойцов Красной Армии отомстить фашистским бандитам за все совершённые ими злодеяния».</w:t>
      </w:r>
    </w:p>
    <w:p w14:paraId="1C0B672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учительницы Мария Юрченко и Екатерина Потяко, колхозники Василий Андреев, Феодосия Попова, Илларион Наумов, Иван Степанов, Василий Попов, священник Троицкой церкви Пётр Чирва и другие жители села (14835).</w:t>
      </w:r>
    </w:p>
    <w:p w14:paraId="7C804FED"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6187295D" w14:textId="77777777" w:rsidR="00A17B42" w:rsidRPr="00271E51" w:rsidRDefault="00A17B42" w:rsidP="00271E51">
      <w:pPr>
        <w:pStyle w:val="ae"/>
        <w:spacing w:before="0" w:after="0"/>
        <w:jc w:val="both"/>
        <w:textAlignment w:val="baseline"/>
        <w:rPr>
          <w:color w:val="000000" w:themeColor="text1"/>
          <w:sz w:val="16"/>
          <w:szCs w:val="16"/>
        </w:rPr>
      </w:pPr>
      <w:r w:rsidRPr="00271E51">
        <w:rPr>
          <w:color w:val="000000" w:themeColor="text1"/>
          <w:sz w:val="16"/>
          <w:szCs w:val="16"/>
        </w:rPr>
        <w:t>19 ноября 1943 г. 20 Ил-2 из 7-го гв. шап и 35-го шап вылетели к острову Гогланд, где атаковали вражеские дозорные корабли. После этого вылета летчикам-штурмовикам засчитали потопление двух сторожевиков и одного тральщика. При этом вернувшиеся экипажи доложили, что один из кораблей затонул после того, как его протаранил подбитый зенитками Ил младшего лейтенанта Вячеслава Кротевича.</w:t>
      </w:r>
    </w:p>
    <w:p w14:paraId="194AAEC7" w14:textId="77777777" w:rsidR="00A17B42" w:rsidRPr="00271E51" w:rsidRDefault="00A17B42" w:rsidP="00271E51">
      <w:pPr>
        <w:pStyle w:val="ae"/>
        <w:spacing w:before="0" w:after="0"/>
        <w:jc w:val="both"/>
        <w:textAlignment w:val="baseline"/>
        <w:rPr>
          <w:color w:val="000000" w:themeColor="text1"/>
          <w:sz w:val="16"/>
          <w:szCs w:val="16"/>
        </w:rPr>
      </w:pPr>
      <w:r w:rsidRPr="00271E51">
        <w:rPr>
          <w:color w:val="000000" w:themeColor="text1"/>
          <w:sz w:val="16"/>
          <w:szCs w:val="16"/>
        </w:rPr>
        <w:t>Однако в действительности легкие повреждения получил лишь один финский тральщик «Пуккио». В его дымовую трубу угодила одна мелкая авиабомба — АО-10 или АО-25, при взрыве которой два моряка получили тяжелые ранения (19522).</w:t>
      </w:r>
    </w:p>
    <w:p w14:paraId="611FC189" w14:textId="77777777" w:rsidR="00A17B42" w:rsidRPr="00271E51" w:rsidRDefault="00A17B42" w:rsidP="00271E51">
      <w:pPr>
        <w:pStyle w:val="ae"/>
        <w:spacing w:before="0" w:after="0"/>
        <w:jc w:val="both"/>
        <w:textAlignment w:val="baseline"/>
        <w:rPr>
          <w:color w:val="000000" w:themeColor="text1"/>
          <w:sz w:val="16"/>
          <w:szCs w:val="16"/>
        </w:rPr>
      </w:pPr>
    </w:p>
    <w:p w14:paraId="1A509C4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 ноября 1943 г. по 8 февраля 1944 г. в частях 1-й гвардейской штурмовой авиадивизии в период ликвидации Никопольского плацдарма показатель живучести Ил-2 оказался равным 146 самолето-вылетам на одну безвозвратную потерю самолета и 48 боевым самолето-вылетам с учетом убыли самолетов, получивших повреждения и вынужденно севших на своей территории. При этом каждый 11-й боевой вылет сопровождался повреждением Ил-2 от зенитного огня.</w:t>
      </w:r>
    </w:p>
    <w:p w14:paraId="2188452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Естественно, в периоды некоторых операций потери штурмовиков и экипажей, отнесенные к налету, могли превышать указанные выше цифры.</w:t>
      </w:r>
    </w:p>
    <w:p w14:paraId="03D0EE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Важно учитывать, что в ВВС КА в оперативных сводках, донесениях и отчетах обычно указывались как возвратные, так и безвозвратные потери, отнесенные к выбранному периоду. Тогда как часть самолетов, севших на вынужденные посадки, через какое-то время восстанавливалась и возвращалась в строй (11921).</w:t>
      </w:r>
    </w:p>
    <w:p w14:paraId="0149A4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4996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г. по советским источникам, отмечен первый морской таран на Балтике, когда 20 Ил-2 из состава 7-го ШАП 35-го ШАП ВВС КБФ наносили удар по вражескому корабельному дозору у острова Гогланд. После этой атаки балтийским летчикам засчитали потопление двух сторожевиков и одного тральщика, причем один из кораблей был потоплен тараном младшего лейтенанта В.Кротевича, чей штурмовик (очевидно, одноместный Ил-2) был сбит над целью. Согласно документам противника, целью атаки были финские дозорные корабли. Но повреждения получил только один тральщик “Пуккио”, которому небольшая авиабомба (АО-10 или АО-25) попала в дымовую трубу, а два члена экипажа были при этом тяжело ранены (8942).</w:t>
      </w:r>
    </w:p>
    <w:p w14:paraId="7F133A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36E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л ВВС БФ ст.л. В.Кротович во время штурмовки кораблей был подбит и врезался с бомбами в корабль, потопив его, погибнув вместе со ш И.Быковым (438,889).</w:t>
      </w:r>
    </w:p>
    <w:p w14:paraId="419556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4F25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началась партизанская операция Концерт (3481).</w:t>
      </w:r>
    </w:p>
    <w:p w14:paraId="1F4162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6183F"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F8D01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6F2E17"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19 ноября </w:t>
      </w:r>
      <w:r w:rsidRPr="00271E51">
        <w:rPr>
          <w:rFonts w:ascii="Times New Roman" w:hAnsi="Times New Roman"/>
          <w:color w:val="000000" w:themeColor="text1"/>
          <w:sz w:val="16"/>
          <w:szCs w:val="16"/>
        </w:rPr>
        <w:t>в 1943 году массированный налет англо-американской авиации на Берлин (14835).</w:t>
      </w:r>
    </w:p>
    <w:p w14:paraId="5747E951"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571B8EDF" w14:textId="77777777" w:rsidR="00725DEA" w:rsidRPr="00271E51" w:rsidRDefault="00725DEA"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19–20 ноября (ночь) 1943 266 британских бомбардировщиков атакуют Леверкузен, Германия, в плохую погоду, что не позволяет большинству немецких ночных истребителей перехватить их, но также заставляет их разбрасывать свои бомбы настолько широко, что в Леверкузене падает только одна бомба, а другие бомбы попадают по крайней мере в 27 других городов далеко к северу. Пять бомбардировщиков (1,9% сил) потеряны (20376).</w:t>
      </w:r>
    </w:p>
    <w:p w14:paraId="5744D468" w14:textId="77777777" w:rsidR="00725DEA" w:rsidRPr="00271E51" w:rsidRDefault="00725DEA" w:rsidP="00271E51">
      <w:pPr>
        <w:spacing w:after="0" w:line="240" w:lineRule="auto"/>
        <w:jc w:val="both"/>
        <w:rPr>
          <w:rFonts w:ascii="Times New Roman" w:hAnsi="Times New Roman"/>
          <w:color w:val="0070C0"/>
          <w:sz w:val="16"/>
          <w:szCs w:val="16"/>
        </w:rPr>
      </w:pPr>
    </w:p>
    <w:p w14:paraId="7CCEB4C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английской авиацией при бомбежке Германии впервые задействована секретная система “Фидо”, расчищающая от тумана путь самолета</w:t>
      </w:r>
    </w:p>
    <w:p w14:paraId="20F9DC6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A535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19 ноября </w:t>
      </w:r>
      <w:r w:rsidRPr="00271E51">
        <w:rPr>
          <w:rFonts w:ascii="Times New Roman" w:hAnsi="Times New Roman"/>
          <w:color w:val="000000" w:themeColor="text1"/>
          <w:sz w:val="16"/>
          <w:szCs w:val="16"/>
        </w:rPr>
        <w:t>в 1943 году английской авиацией при бомбежке Германии впервые задействуется секретная система "Фидо", расчищающая от тумана путь самолета (14835).</w:t>
      </w:r>
    </w:p>
    <w:p w14:paraId="51ABC8E2"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6465A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ноября 1943 О.Мосли был освобожден по состоянию здоровья (3907,243).</w:t>
      </w:r>
    </w:p>
    <w:p w14:paraId="1400FC0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25E6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57C93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42A9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С.В.И. писал А.И.Ш. письмо N 1/1223с:</w:t>
      </w:r>
    </w:p>
    <w:p w14:paraId="0369E6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НИИ ВВС г-м Гуревич письмом от 12 октября N 011990 сообщил:</w:t>
      </w:r>
    </w:p>
    <w:p w14:paraId="10B22B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фактическая сила отдачи пушки 11-П 37 мм установленной на самолете Ил-2 равна 5500 кг.</w:t>
      </w:r>
    </w:p>
    <w:p w14:paraId="1E2A15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что при этой силе отдачи гарантировать безопасную работу самолета Ил-2 при стрельбе в воздухе невозможно, т.к. все расчеты прочности велись исходя из силы отдачи 2280 кг, как это указано в прилагаемом при сем письме Нач. ОКБ-18 Наркомата вооружения от 2 октября 1942 за N 726с</w:t>
      </w:r>
    </w:p>
    <w:p w14:paraId="4F753A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фактическая сила отдачи пушки 111-П 45 мм, установленная на Ил-2 равна 7000 кг.</w:t>
      </w:r>
    </w:p>
    <w:p w14:paraId="5F4C91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Гарантировать безопасную работу самолета Ил-2 при стрельбе из этих пушек тем более невозможно, т.к. все расчеты на прочность велись для усиления отдачи 2000 кг как это указано в постановлении ГКО N 3949 от 18 августа 1943.</w:t>
      </w:r>
    </w:p>
    <w:p w14:paraId="176BFB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считаю необходимым сообщить Вам, что указанное в письме Гуревича усилие отдачи пушки 11-П 37 мм в действительности значительно больше. Поэтому прошу Вас об указании произвести замер силы отдачи пушки 11-П 37 мм в ЦАГИ, причем жидкость в гидроамортизаторе должна быть такого состава, который находится на пушках в действующих частях. Замер фактического усилия необходимо определить при низких температурах до 40 гр.</w:t>
      </w:r>
    </w:p>
    <w:p w14:paraId="249160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данный момент по имеющимся у меня сведениям ОКБ-16 и НИИ АВ производят на самолетах в частях КА замену жидкости в амортизаторах пушки 11-П, причем зачем и какими соображениями вызвана эта замена, я, как ГК самолета, об этом в известность не поставлен. При таких условиях, когда такой серьезный фактор, как замена жидкости в гидроамортизаторе пушки, определяющей величину силы отдачи, делается без ведома ГК самолета, нельзя дать никакой гарантии за надежную работу самолета с пушками 11-П 37 мм.</w:t>
      </w:r>
    </w:p>
    <w:p w14:paraId="781F6C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вышеизложенном мною сообщено также ГИ ВВС Репину.</w:t>
      </w:r>
    </w:p>
    <w:p w14:paraId="688D96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Приложения: 1. Письмо наркому вооружения</w:t>
      </w:r>
    </w:p>
    <w:p w14:paraId="1AE342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Письмо ОКБ-16 НКВ</w:t>
      </w:r>
    </w:p>
    <w:p w14:paraId="1B6EE1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письмо г-м Гуревича</w:t>
      </w:r>
    </w:p>
    <w:p w14:paraId="07C3A4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письмо г-м полковнику Репину (1775,210).</w:t>
      </w:r>
    </w:p>
    <w:p w14:paraId="779127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A1C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С.В.И. писал Наркому вооружения Устинову, зам ГИ ВВС Лапину, нач. ОКБ-16 Глухареву письмо N 1/1223с:</w:t>
      </w:r>
    </w:p>
    <w:p w14:paraId="314286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модифицируемый самолет Ил-2 мною предполагается установить пушки ОКБ-16 11-П</w:t>
      </w:r>
    </w:p>
    <w:p w14:paraId="602525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того, чтобы технически правильно рассчитать крепление пушки, мне необходимо иметь действительное усилие отдачи этой пушки.</w:t>
      </w:r>
    </w:p>
    <w:p w14:paraId="0C209B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распоряжения о замере фактического усилия отдачи пушки 11-П (1775,212).</w:t>
      </w:r>
    </w:p>
    <w:p w14:paraId="5A04ED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510B2" w14:textId="77777777" w:rsidR="008F512D" w:rsidRPr="00271E51" w:rsidRDefault="008F512D"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20 ноября 1943 письмо точно такого же содержания, как и письмо Шахурину от 19 ноября, Ильюшин направил главному инженеру ВВС КА генерал-полковнику А. К. Репину (17500).</w:t>
      </w:r>
    </w:p>
    <w:p w14:paraId="652E2293" w14:textId="77777777" w:rsidR="008F512D" w:rsidRPr="00271E51" w:rsidRDefault="008F512D" w:rsidP="00271E51">
      <w:pPr>
        <w:pStyle w:val="12a"/>
        <w:shd w:val="clear" w:color="auto" w:fill="auto"/>
        <w:spacing w:after="0" w:line="240" w:lineRule="auto"/>
        <w:jc w:val="both"/>
        <w:rPr>
          <w:color w:val="000000" w:themeColor="text1"/>
          <w:sz w:val="16"/>
          <w:szCs w:val="16"/>
        </w:rPr>
      </w:pPr>
    </w:p>
    <w:p w14:paraId="35F15E29" w14:textId="77777777" w:rsidR="008F512D" w:rsidRPr="00271E51" w:rsidRDefault="008F512D"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К 20 ноября 1943 по оценке старшего военпреда на заводе инженер -майора С. С. Фатеева, «при таком темпе изготовление Ил-1 может быть закончено только в январе - феврале 1944 г.». Из-за неготовности стапелей и некомплектности сдаваемых деталей заготовительными цехами задерживались по сборке: крыло, рули поворота и высоты. Лонжероны крыла еще не собраны. Из готовых агрегатов имелся только фюзеляж. Заканчивалось изготовление шасси, дорабатывался бронекорпус (17490).</w:t>
      </w:r>
    </w:p>
    <w:p w14:paraId="07B60EEF" w14:textId="77777777" w:rsidR="008F512D" w:rsidRPr="00271E51" w:rsidRDefault="008F512D" w:rsidP="00271E51">
      <w:pPr>
        <w:spacing w:after="0" w:line="240" w:lineRule="auto"/>
        <w:jc w:val="both"/>
        <w:rPr>
          <w:rFonts w:ascii="Times New Roman" w:hAnsi="Times New Roman"/>
          <w:color w:val="000000" w:themeColor="text1"/>
          <w:sz w:val="16"/>
          <w:szCs w:val="16"/>
        </w:rPr>
      </w:pPr>
    </w:p>
    <w:p w14:paraId="6E67979A"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72FD2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3A86B"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20 по 30 ноября 1943 происходили испытания Объекта 237 №1, оснащённого траками из стали ЛВТ. Показали они себя не с лучшей стороны: через 965 километров пробега было сломано 18 гребней. В декабре испытания траков продолжились, причём испытывались траки как из стали ЛВТ, так и из стали 27 СГТ. Также на Объекте 237 №1 испытывались различные агрегаты, вводившиеся в серию.</w:t>
      </w:r>
    </w:p>
    <w:p w14:paraId="4180DF8C"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Подготовка к серийному производству ИС-85 шла примерно в том же режиме, что и в случае с КВ-85. Значительная часть чертёжной документации требовала доработки, поэтому сборка отдельных узлов продолжала выполняться по месту. Имела место большая проблема с подготовкой кадров. Вместе с тем Челябинский Кировский завод (ЧКЗ) весьма ответственно подошёл к вопросу организации серийного производства нового танка. Сборочные цеха МХ-2 и МХ-3 оказались полностью переоборудованы. Отрабатывался метод линейно-поточного производства. И это при том, что завод был сильно загружен по линии производства Т-34. Именно эти танки оставались основной продукцией ЧКЗ. С октября 1943 года завод ежемесячно сдавал по 360 – 370 Т-34, а всего за 1943 год в Челябинске построили 3593 таких машины. Это значительно превышало количество всех выпущенных за 1943 год тяжёлых танков и САУ, вместе взятых.</w:t>
      </w:r>
    </w:p>
    <w:p w14:paraId="080CCD10"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Улучшилась ситуация только весной 1944 года, когда производство Т-34 в Челябинске было прекращено (17715).</w:t>
      </w:r>
    </w:p>
    <w:p w14:paraId="6E239210" w14:textId="77777777" w:rsidR="00E4342B" w:rsidRPr="00271E51" w:rsidRDefault="00E4342B" w:rsidP="00271E51">
      <w:pPr>
        <w:spacing w:after="0" w:line="240" w:lineRule="auto"/>
        <w:jc w:val="both"/>
        <w:rPr>
          <w:rFonts w:ascii="Times New Roman" w:eastAsia="Times New Roman" w:hAnsi="Times New Roman"/>
          <w:color w:val="000000" w:themeColor="text1"/>
          <w:sz w:val="16"/>
          <w:szCs w:val="16"/>
          <w:lang w:eastAsia="ru-RU"/>
        </w:rPr>
      </w:pPr>
    </w:p>
    <w:p w14:paraId="3E0CCE65" w14:textId="77777777" w:rsidR="00960495" w:rsidRPr="00271E51" w:rsidRDefault="00960495" w:rsidP="00271E51">
      <w:pPr>
        <w:shd w:val="clear" w:color="auto" w:fill="FFFFFF"/>
        <w:spacing w:after="0" w:line="240" w:lineRule="auto"/>
        <w:jc w:val="both"/>
        <w:rPr>
          <w:rStyle w:val="680"/>
          <w:rFonts w:ascii="Times New Roman" w:hAnsi="Times New Roman" w:cs="Times New Roman"/>
          <w:color w:val="0070C0"/>
          <w:sz w:val="16"/>
          <w:szCs w:val="16"/>
        </w:rPr>
      </w:pPr>
      <w:r w:rsidRPr="00271E51">
        <w:rPr>
          <w:rStyle w:val="670"/>
          <w:rFonts w:ascii="Times New Roman" w:hAnsi="Times New Roman" w:cs="Times New Roman"/>
          <w:color w:val="0070C0"/>
          <w:sz w:val="16"/>
          <w:szCs w:val="16"/>
        </w:rPr>
        <w:t>К 20-м числам ноября 1943 года ОКБ завода № 100 подготовило документацию по башне ИС-2. Внешне колпак (деталь 240-57-Сб112) был похож на ИС-85 (деталь 237-57-Сб109), но был и ряд отличий, которые внесли в связи с результатами испытаний «Объекта 240». Первым крупным отличием стала командир</w:t>
      </w:r>
      <w:r w:rsidRPr="00271E51">
        <w:rPr>
          <w:rStyle w:val="670"/>
          <w:rFonts w:ascii="Times New Roman" w:hAnsi="Times New Roman" w:cs="Times New Roman"/>
          <w:color w:val="0070C0"/>
          <w:sz w:val="16"/>
          <w:szCs w:val="16"/>
        </w:rPr>
        <w:softHyphen/>
        <w:t>ская башенка, которую сдвинули влево, по</w:t>
      </w:r>
      <w:r w:rsidRPr="00271E51">
        <w:rPr>
          <w:rStyle w:val="670"/>
          <w:rFonts w:ascii="Times New Roman" w:hAnsi="Times New Roman" w:cs="Times New Roman"/>
          <w:color w:val="0070C0"/>
          <w:sz w:val="16"/>
          <w:szCs w:val="16"/>
        </w:rPr>
        <w:softHyphen/>
        <w:t>скольку командир оказался слишком близко к орудию. В связи с этим, на правом борту башни появился выступ, увеличился «кар</w:t>
      </w:r>
      <w:r w:rsidRPr="00271E51">
        <w:rPr>
          <w:rStyle w:val="670"/>
          <w:rFonts w:ascii="Times New Roman" w:hAnsi="Times New Roman" w:cs="Times New Roman"/>
          <w:color w:val="0070C0"/>
          <w:sz w:val="16"/>
          <w:szCs w:val="16"/>
        </w:rPr>
        <w:softHyphen/>
        <w:t>ман», также изменился верхний левый поручень. Угол наклона переднего листа крыши башни уменьшили с 5 до 3 градусов, одновре</w:t>
      </w:r>
      <w:r w:rsidRPr="00271E51">
        <w:rPr>
          <w:rStyle w:val="670"/>
          <w:rFonts w:ascii="Times New Roman" w:hAnsi="Times New Roman" w:cs="Times New Roman"/>
          <w:color w:val="0070C0"/>
          <w:sz w:val="16"/>
          <w:szCs w:val="16"/>
        </w:rPr>
        <w:softHyphen/>
        <w:t xml:space="preserve">менно немного назад сместилась установка вентилятора. Перископический прибор </w:t>
      </w:r>
      <w:r w:rsidRPr="00271E51">
        <w:rPr>
          <w:rStyle w:val="680"/>
          <w:rFonts w:ascii="Times New Roman" w:hAnsi="Times New Roman" w:cs="Times New Roman"/>
          <w:color w:val="0070C0"/>
          <w:sz w:val="16"/>
          <w:szCs w:val="16"/>
          <w:lang w:val="en-US"/>
        </w:rPr>
        <w:t>MK</w:t>
      </w:r>
      <w:r w:rsidRPr="00271E51">
        <w:rPr>
          <w:rStyle w:val="680"/>
          <w:rFonts w:ascii="Times New Roman" w:hAnsi="Times New Roman" w:cs="Times New Roman"/>
          <w:color w:val="0070C0"/>
          <w:sz w:val="16"/>
          <w:szCs w:val="16"/>
        </w:rPr>
        <w:t xml:space="preserve"> IV, которым пользовался заряжающий, сме</w:t>
      </w:r>
      <w:r w:rsidRPr="00271E51">
        <w:rPr>
          <w:rStyle w:val="680"/>
          <w:rFonts w:ascii="Times New Roman" w:hAnsi="Times New Roman" w:cs="Times New Roman"/>
          <w:color w:val="0070C0"/>
          <w:sz w:val="16"/>
          <w:szCs w:val="16"/>
        </w:rPr>
        <w:softHyphen/>
        <w:t>стили чуть назад, а перископический прицел ПТ-4-17 сместили чуть влево и вперед. Также сместили люк заряжающего, при этом торсион уравновешивающего механизма укоро</w:t>
      </w:r>
      <w:r w:rsidRPr="00271E51">
        <w:rPr>
          <w:rStyle w:val="680"/>
          <w:rFonts w:ascii="Times New Roman" w:hAnsi="Times New Roman" w:cs="Times New Roman"/>
          <w:color w:val="0070C0"/>
          <w:sz w:val="16"/>
          <w:szCs w:val="16"/>
        </w:rPr>
        <w:softHyphen/>
        <w:t>тили и усилили. В связи с установкой иной орудийной системы изменилась амбразура башни, а также неподвижная бронировка орудия (кожух - номер узла 240-57-Сб113). Немного была изменена и подвижная брони</w:t>
      </w:r>
      <w:r w:rsidRPr="00271E51">
        <w:rPr>
          <w:rStyle w:val="680"/>
          <w:rFonts w:ascii="Times New Roman" w:hAnsi="Times New Roman" w:cs="Times New Roman"/>
          <w:color w:val="0070C0"/>
          <w:sz w:val="16"/>
          <w:szCs w:val="16"/>
        </w:rPr>
        <w:softHyphen/>
        <w:t>ровка орудия. Стоит также отметить, что был еще один, более ранний вариант башни (240- 57-Сб4) - он датирован 13 ноября. В отличие от серийной башни (сборочный чертеж 240- 57-Сб6), исходный вариант имел меньший на</w:t>
      </w:r>
      <w:r w:rsidRPr="00271E51">
        <w:rPr>
          <w:rStyle w:val="680"/>
          <w:rFonts w:ascii="Times New Roman" w:hAnsi="Times New Roman" w:cs="Times New Roman"/>
          <w:color w:val="0070C0"/>
          <w:sz w:val="16"/>
          <w:szCs w:val="16"/>
        </w:rPr>
        <w:softHyphen/>
        <w:t>клон кормовой стенки, что увеличивало объем боевого отделения. По неизвестной причине такой вариант не утвердили.</w:t>
      </w:r>
    </w:p>
    <w:p w14:paraId="0C56CF3D" w14:textId="77777777" w:rsidR="00960495" w:rsidRPr="00271E51" w:rsidRDefault="00960495" w:rsidP="00271E51">
      <w:pPr>
        <w:shd w:val="clear" w:color="auto" w:fill="FFFFFF"/>
        <w:spacing w:after="0" w:line="240" w:lineRule="auto"/>
        <w:jc w:val="both"/>
        <w:rPr>
          <w:rStyle w:val="680"/>
          <w:rFonts w:ascii="Times New Roman" w:hAnsi="Times New Roman" w:cs="Times New Roman"/>
          <w:color w:val="0070C0"/>
          <w:sz w:val="16"/>
          <w:szCs w:val="16"/>
        </w:rPr>
      </w:pPr>
      <w:r w:rsidRPr="00271E51">
        <w:rPr>
          <w:rStyle w:val="680"/>
          <w:rFonts w:ascii="Times New Roman" w:hAnsi="Times New Roman" w:cs="Times New Roman"/>
          <w:color w:val="0070C0"/>
          <w:sz w:val="16"/>
          <w:szCs w:val="16"/>
        </w:rPr>
        <w:t>Все танки выпуска декабря 1943 - января 1944 года получили башни завода № 200, из</w:t>
      </w:r>
      <w:r w:rsidRPr="00271E51">
        <w:rPr>
          <w:rStyle w:val="680"/>
          <w:rFonts w:ascii="Times New Roman" w:hAnsi="Times New Roman" w:cs="Times New Roman"/>
          <w:color w:val="0070C0"/>
          <w:sz w:val="16"/>
          <w:szCs w:val="16"/>
        </w:rPr>
        <w:softHyphen/>
        <w:t>готовленные по чертежам, утвержденным в ноябре 1943 года. Ситуация начала меняться в феврале 1944 года (19874).</w:t>
      </w:r>
    </w:p>
    <w:p w14:paraId="795902C4" w14:textId="77777777" w:rsidR="00960495" w:rsidRPr="00271E51" w:rsidRDefault="00960495" w:rsidP="00271E51">
      <w:pPr>
        <w:shd w:val="clear" w:color="auto" w:fill="FFFFFF"/>
        <w:spacing w:after="0" w:line="240" w:lineRule="auto"/>
        <w:jc w:val="both"/>
        <w:rPr>
          <w:rFonts w:ascii="Times New Roman" w:hAnsi="Times New Roman"/>
          <w:color w:val="0070C0"/>
          <w:sz w:val="16"/>
          <w:szCs w:val="16"/>
        </w:rPr>
      </w:pPr>
    </w:p>
    <w:p w14:paraId="65A752F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20 по 23 ноября 1943 г. этот танк Т-34-85 с пушкой Д-5Т-85 прошел испытания на Гороховецком АНИОПе. В ходе проведения испытаний был выявлен ряд недостатков в оборудо</w:t>
      </w:r>
      <w:r w:rsidRPr="00271E51">
        <w:rPr>
          <w:rFonts w:ascii="Times New Roman" w:hAnsi="Times New Roman"/>
          <w:color w:val="000000" w:themeColor="text1"/>
          <w:sz w:val="16"/>
          <w:szCs w:val="16"/>
        </w:rPr>
        <w:softHyphen/>
        <w:t>вании боевого отделения машины, плохая экстракция стреляных гильз, а также необходимость переноса указателя отката пушки с правой сто</w:t>
      </w:r>
      <w:r w:rsidRPr="00271E51">
        <w:rPr>
          <w:rFonts w:ascii="Times New Roman" w:hAnsi="Times New Roman"/>
          <w:color w:val="000000" w:themeColor="text1"/>
          <w:sz w:val="16"/>
          <w:szCs w:val="16"/>
        </w:rPr>
        <w:softHyphen/>
        <w:t>роны люльки на левую. Во время испытаний было произведено 246 вы</w:t>
      </w:r>
      <w:r w:rsidRPr="00271E51">
        <w:rPr>
          <w:rFonts w:ascii="Times New Roman" w:hAnsi="Times New Roman"/>
          <w:color w:val="000000" w:themeColor="text1"/>
          <w:sz w:val="16"/>
          <w:szCs w:val="16"/>
        </w:rPr>
        <w:softHyphen/>
        <w:t>стрелов, из них 105 усиленным зарядом. Машина стала прототипом тан</w:t>
      </w:r>
      <w:r w:rsidRPr="00271E51">
        <w:rPr>
          <w:rFonts w:ascii="Times New Roman" w:hAnsi="Times New Roman"/>
          <w:color w:val="000000" w:themeColor="text1"/>
          <w:sz w:val="16"/>
          <w:szCs w:val="16"/>
        </w:rPr>
        <w:softHyphen/>
        <w:t>ка, который после устранения всех, отмеченных комиссией по испыта ниям, недостатков в декабре того же года был принят на вооружение РККА под маркой Т-34-85 обр. 1943 г. (10703).</w:t>
      </w:r>
    </w:p>
    <w:p w14:paraId="5F25CD6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4D64F"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23 ноября 1943 года на Гороховецком АНИОП проходили испытания Т-34 с башней Т-43 и орудием Д5-Т-85. Испытания прошли успешно, что стало отмашкой для создания Т-34-85. Правда, вместо башни Т-43 серийные Т-34-85 получили башни новой конструкции, причём первоначально </w:t>
      </w:r>
      <w:hyperlink r:id="rId121" w:history="1">
        <w:r w:rsidRPr="00271E51">
          <w:rPr>
            <w:rStyle w:val="a5"/>
            <w:rFonts w:ascii="Times New Roman" w:hAnsi="Times New Roman"/>
            <w:color w:val="000000" w:themeColor="text1"/>
            <w:sz w:val="16"/>
            <w:szCs w:val="16"/>
          </w:rPr>
          <w:t>Т-34-85</w:t>
        </w:r>
      </w:hyperlink>
      <w:r w:rsidRPr="00271E51">
        <w:rPr>
          <w:rFonts w:ascii="Times New Roman" w:hAnsi="Times New Roman"/>
          <w:color w:val="000000" w:themeColor="text1"/>
          <w:sz w:val="16"/>
          <w:szCs w:val="16"/>
        </w:rPr>
        <w:t> завода №112, где первыми освоили выпуск данных машин, имели двухместные башни. Трёхместные башни появились на Т-34-85 с марта 1944 года, причём вместо Д-5Т на них ставилось другое орудие — С-53, разработанное в ЦАКБ (18587).</w:t>
      </w:r>
    </w:p>
    <w:p w14:paraId="13DE66E6"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561E42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Постановление ГКО № 4603 О развитии производства вольфрамовых и молибденовых концентратов. (7158, 34-42,43-74).</w:t>
      </w:r>
    </w:p>
    <w:p w14:paraId="61FD086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373F9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Распоряжение ГКО № 4604 [О поставке автомобильных шин заводам НКСМ.] (7158, 75-76).</w:t>
      </w:r>
    </w:p>
    <w:p w14:paraId="399043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82FA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Постановление ГКО № 4605 О неотложных мерах по отгрузке металла автомобильным заводам Наркомсредмаша.РГАНИР, Фонд ГКО, д. 177, лл. 77-78, 79-81 (11012).</w:t>
      </w:r>
    </w:p>
    <w:p w14:paraId="31C963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CEE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Распоряжение ГКО № 4606. О мобилизации 950 человек из неработающего городского и сельского трудоспособного населения Новосибирской обл. на заводы № 677 и 564 НКБ.РГАНИР, Фонд ГКО, д. 177, лл. 82 (11012).</w:t>
      </w:r>
    </w:p>
    <w:p w14:paraId="092C09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D2F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Распоряжение ГКО № 4607. Об изменении плана НКБ по производству и сдаче полутомпаковых трубок заводам НКАП в IV кв. 1943 г.РГАНИР, Фонд ГКО, д. 177, лл. 83 (11012).</w:t>
      </w:r>
    </w:p>
    <w:p w14:paraId="529279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395C4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вышло Постановление ГКО № 4608 [О назначении уполномоченных ГКО по погрузке угля.] (7158, 84-85).</w:t>
      </w:r>
    </w:p>
    <w:p w14:paraId="2B96EB9D"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9A04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по 23 ноября 1943 на Гороховецком полигоне прошли испытания Т-34 с пушкой Д-5Т-85 (10703).</w:t>
      </w:r>
    </w:p>
    <w:p w14:paraId="52E5BC9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8205E3"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128C5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2A0ED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оперативная сводка Совинформбюро:</w:t>
      </w:r>
    </w:p>
    <w:p w14:paraId="0C88CCDD"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ноября в излучине Днепра, юго-западнее Днепропетровска, наши войска вели наступательные бои местного значения, в ходе которых значительно улучшили свои позиции.</w:t>
      </w:r>
    </w:p>
    <w:p w14:paraId="772803F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Черкасском направлении наши войска продолжали вести бои по расширению плацдарма на правом берегу Днепра и улучшили свои позиции.</w:t>
      </w:r>
    </w:p>
    <w:p w14:paraId="552BFD3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Коростышева наши войска отбивали атаки пехоты и танков противника инанесли ему значительные потери в живой силе и технике.</w:t>
      </w:r>
    </w:p>
    <w:p w14:paraId="139EA1C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овладели районным центром Киевской области Ново-Шепеличи, а также заняли населённые пункты Чистогаловка, Бураковка, Старая Красница, Толстый Лес и железнодорожные станции Янов, Бураковка.</w:t>
      </w:r>
    </w:p>
    <w:p w14:paraId="47B0B42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продолжали наступление и заняли несколько населённых пунктов.</w:t>
      </w:r>
    </w:p>
    <w:p w14:paraId="60FCB8E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5A4E433E"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ноября наши войска на всех фронтах подбили и уничтожили 78 немецких танков. В воздушных боях и огнём зенитной артиллерии сбито 16 самолётов противника.</w:t>
      </w:r>
    </w:p>
    <w:p w14:paraId="07768CC0"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города Днепропетровск бойцы Н-ской гвардейской части ночью штурмом овладели господствующей над местностью высотой и значительно улучшили свои позиции. Немцы трижды пытались вновь занять высоту, но не добились успеха. В боях за эту высоту уничтожено до 700 немецких солдат и офицеров. Захвачены трофеи и пленные.</w:t>
      </w:r>
    </w:p>
    <w:p w14:paraId="6A02527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Черкасском направлении наши войска вели бои за расширение плацдарма на правом берегу Днепра. Решительной атакой подразделения Н-ской части выбили противника из сильно укреплённого опорного пункта, уничтожив при этом до 300 немецких солдат. Захвачены артиллерийская батарея и склад боеприпасов. На другом участке наши разведчики проникли через боевые порядки противника и взорвали несколько дзотов и блиндажей вместе с находившимися в них гитлеровцами. Разведчики, выполнив боевое задание, благополучно вернулись в свою часть.</w:t>
      </w:r>
    </w:p>
    <w:p w14:paraId="7622088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Коростышева наши войска отбивали атаки противника. На одном участке два полка немецкой пехоты и 60 танков атаковали позиции Н-ской части. В ожесточённом бою советские бойцы сожгли 32 вражеских танка и вынудили гитлеровцев отступить. На поле боя осталось до 800 вражеских трупов. На другом участке немецкая пехота накапливалась в балке на подступах к одному населённому пункту. Наши артиллеристы и гвардейцы-миномётчики своевременно открыли огонь и рассеяли гитлеровцев. Противник отошёл, оставив в балке более 200 трупов и 2 подбитых самоходных орудия.</w:t>
      </w:r>
    </w:p>
    <w:p w14:paraId="12ADFB76"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нижнего течения реки Припять наши войска, продвигаясь вперёд, заняли ряд населённых пунктов, в том числе районный центр Киевской области Ново-Шепеличи. В бою за село Ново-Шепеличи советские бойцы истребили батальон вражеской пехоты и захватили большой обоз с различными военными материалами, две артиллерийские батареи и другие трофеи.</w:t>
      </w:r>
    </w:p>
    <w:p w14:paraId="37949E3B"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продолжали наступление. На одном участке немцы, подтянув свежие силы, предприняли одну за другой девять контратак. Советские войска отбили все контратаки противника, а затем контрударом заняли два населённых пункта. За день истреблено 1.200 гитлеровцев, подбито и сожжено 24 немецких танка и 2 бронемашины. В другом районе наши подвижные части продвинулись вперёд и овладели рядом населённых пунктов. Захвачено у немцев 6 орудий, 80 автомашин, 100 повозок с грузами, 3 склада боеприпасов, 2 продовольственных склада и склад с горючим.</w:t>
      </w:r>
    </w:p>
    <w:p w14:paraId="5B87186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два транспорта противника общим водоизмещением в 4.500 тонн, два сторожевых катера и быстроходная десантная баржа. Кроме того, сильно повреждены 5 быстроходных десантных барж и транспорт противника.</w:t>
      </w:r>
    </w:p>
    <w:p w14:paraId="68BFC829"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молдавских партизанских отрядов, действующих на железнодорожных коммуникациях противника, в октябре взорвали 9 железнодорожных мостов. За это же время партизаны пустили под откос десятки вражеских эшелонов с войсками, боеприпасами и снаряжением. В результате крушений разбито до 400 вагонов и платформ.</w:t>
      </w:r>
    </w:p>
    <w:p w14:paraId="206EB53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750 отдельного немецкого сапёрного батальона капитан Курт Майер рассказал: «В приказах немецкого командования неоднократно говорилось, что мы будем зимовать на западном берегу Днепра. Линия обороны непрерывно совершенствовалась. Мы строили новые и утепляли старые блиндажи. Форсирование Днепра советскими войсками на нашем участке было для многих полной неожиданностью. Не верилось, что русские сумеют преодолеть такой широкий водный рубеж. Мой батальон понёс исключительно тяжёлые потери. Ещё недавно в нём насчитывалось 400 с лишним солдат, а сейчас едва ли наберётся тридцать человек. Теперь нам приходится пожинать плоды авантюристической политики германского правительства. Немецкая армия потеряла неисчислимое количество людей и вынуждена отступать всё дальше и дальше. Мы ведём бои, но уже без всякой надежды на победу. Сознавая бесполезность дальнейшего сопротивления, я сдался в плен».</w:t>
      </w:r>
    </w:p>
    <w:p w14:paraId="522A130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Золотоношском районе, Полтавской области: «Два года немецко-фашистские захватчики зверствовали в нашем районе, издевались над населением, грабили и убивали мирных жителей. 22 ноября 1941 года гитлеровцы устроили в городе Золотоноша кровавую резню. Фашистские бандиты вывели за город свыше трёх тысяч жителей и расстреляли их у глубокого оврага. В конце июля прошлого года гитлеровские изверги расстрелялиещё много мирных советских граждан — жителей сёл и деревень Золотоношского, Ирклеевского, Чернобаевского и Гельмязовского районов. Казни происходили на южной окраине города Золотоноша, в военном городке. В числе расстрелянных —колхозницы Екатерина Горбенко, Анна Ткаченко, Анна Петренко, депутат ВерховногоСовета УССР Александра Слива, колхозники Николай Адаменко, Иван Яценко, Кузьма Дороченко, директор средней школы города Золотоноша Мария Литвиненко, агроном Иван Присяжный, инженер завода имени Лепсе — Иван Голубь и многие другие. После освобождения от немецких бандитов города Золотоноша обнаружено 30 ям, в которых, по предварительным данным, закопано более 12 тысяч советских граждан, убитых гитлеровцами.</w:t>
      </w:r>
    </w:p>
    <w:p w14:paraId="3328176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Непосредственными виновниками этих неслыханных злодеяний мы считаем немецкого гебитскомиссара подполковника Отто Гейдемана, начальника гестапо майора Кляуса, его помощника Каубиша, начальника полевой жандармерии лейтенанта Шольца».</w:t>
      </w:r>
    </w:p>
    <w:p w14:paraId="2415D468"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города Золотоноша: И.Авраменко, А.Качамлицкий, А.Суворов, Д.Семенченко, А.Подмогильный, А.Олексенко, А.Кутовая и другие.» (14836).</w:t>
      </w:r>
    </w:p>
    <w:p w14:paraId="74827065"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B1ED1FF" w14:textId="77777777" w:rsidR="00E4342B" w:rsidRPr="00271E51" w:rsidRDefault="00E4342B"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20 ноября 1943 года в состав 28-й армии 4-го Украинского фронта поступили 34-й гв. ттп (на КВ-85) и 40-й тяжёлый самоходно-артиллерийский полк (на СУ-152). К 8 утра полки были в боевой готовности. В 9:40 оба полка получили приказ: взаимодействуя с пехотой 9-го стрелкового корпуса, прорвать оборону противника и, овладев Малой Лепетихой, захватить переправу через Днепр. В атаке участвовали 20 КВ-85 и 9 СУ-152. СУ-152 пошли в атаку и, оторвавшись от пехоты, оказались на прицеле немецких самоходных установок </w:t>
      </w:r>
      <w:hyperlink r:id="rId122" w:history="1">
        <w:r w:rsidRPr="00271E51">
          <w:rPr>
            <w:rStyle w:val="a5"/>
            <w:bCs/>
            <w:iCs/>
            <w:color w:val="000000" w:themeColor="text1"/>
            <w:sz w:val="16"/>
            <w:szCs w:val="16"/>
            <w:bdr w:val="none" w:sz="0" w:space="0" w:color="auto" w:frame="1"/>
          </w:rPr>
          <w:t>Ferdinand</w:t>
        </w:r>
      </w:hyperlink>
      <w:r w:rsidRPr="00271E51">
        <w:rPr>
          <w:color w:val="000000" w:themeColor="text1"/>
          <w:sz w:val="16"/>
          <w:szCs w:val="16"/>
        </w:rPr>
        <w:t xml:space="preserve"> из 653-го дивизиона истребителей танков. Одновременно атаковали и КВ-85, но без поддержки пехоты их атака также оказалась малоэффективной. 40-й тсап потерял 6 СУ-152 подбитыми и 1 сгоревшим, 34-й гв. ттп потерял 9 КВ-85, оставшихся на контролировавшейся противником территории.</w:t>
      </w:r>
    </w:p>
    <w:p w14:paraId="786AEE7D" w14:textId="77777777" w:rsidR="00E4342B" w:rsidRPr="00271E51" w:rsidRDefault="00E4342B" w:rsidP="00271E51">
      <w:pPr>
        <w:pStyle w:val="ae"/>
        <w:spacing w:before="0" w:after="0"/>
        <w:jc w:val="both"/>
        <w:textAlignment w:val="baseline"/>
        <w:rPr>
          <w:color w:val="000000" w:themeColor="text1"/>
          <w:sz w:val="16"/>
          <w:szCs w:val="16"/>
        </w:rPr>
      </w:pPr>
      <w:r w:rsidRPr="00271E51">
        <w:rPr>
          <w:color w:val="000000" w:themeColor="text1"/>
          <w:sz w:val="16"/>
          <w:szCs w:val="16"/>
        </w:rPr>
        <w:t>На следующий день бои продолжились, причём в 13:20 немецкие танки при поддержке Ferdinand пошли в контратаку. Здесь отличились СУ-152 40-го тсап, которые ответным огнём уничтожили 2 САУ Ferdinand и 3 танка. На утро 22 ноября 1943 года в составе 34-го гв. ттп числилось 9 боеспособных КВ-85, а в 40-м тсап — 5 СУ-152 (к 25 числу количество последних выросло до 7). К исходу 29 ноября в 34-м гв. ттп оставалось 8 боеспособных КВ-85. За время боёв полк уничтожил до 300 солдат и офицеров, 2 противотанковых орудия, 3 танка и 2 самоходные установки. Безвозвратные потери полка включали 12 КВ-85, ещё 8 танков оказалось подбито и эвакуировано. 16 танкистов погибло, 32 пропало без вести, было ранено 16.</w:t>
      </w:r>
    </w:p>
    <w:p w14:paraId="394C1CDC" w14:textId="77777777" w:rsidR="00E4342B" w:rsidRPr="00271E51" w:rsidRDefault="00E4342B" w:rsidP="00271E51">
      <w:pPr>
        <w:pStyle w:val="ae"/>
        <w:spacing w:before="0" w:after="0"/>
        <w:jc w:val="both"/>
        <w:textAlignment w:val="baseline"/>
        <w:rPr>
          <w:color w:val="000000" w:themeColor="text1"/>
          <w:sz w:val="16"/>
          <w:szCs w:val="16"/>
        </w:rPr>
      </w:pPr>
      <w:r w:rsidRPr="00271E51">
        <w:rPr>
          <w:color w:val="000000" w:themeColor="text1"/>
          <w:sz w:val="16"/>
          <w:szCs w:val="16"/>
        </w:rPr>
        <w:t>СУ-152 оказались более эффективными: вооружённая ими часть уничтожила до 250 пехотинцев, 2 танка, 9 САУ, 18 противотанковых орудий, 8 полевых орудий, 10 миномётов противника. Собственные безвозвратные потери составили 4 СУ-152, ещё 6 раз СУ-152 подбивали, но их удалось эвакуировать и ввести в строй. 8 самоходчиков было убито, 16 ранено.</w:t>
      </w:r>
    </w:p>
    <w:p w14:paraId="37FBE9AE" w14:textId="77777777" w:rsidR="00E4342B" w:rsidRPr="00271E51" w:rsidRDefault="00E4342B" w:rsidP="00271E51">
      <w:pPr>
        <w:pStyle w:val="ae"/>
        <w:spacing w:before="0" w:after="0"/>
        <w:jc w:val="both"/>
        <w:textAlignment w:val="baseline"/>
        <w:rPr>
          <w:color w:val="000000" w:themeColor="text1"/>
          <w:sz w:val="16"/>
          <w:szCs w:val="16"/>
        </w:rPr>
      </w:pPr>
      <w:r w:rsidRPr="00271E51">
        <w:rPr>
          <w:color w:val="000000" w:themeColor="text1"/>
          <w:sz w:val="16"/>
          <w:szCs w:val="16"/>
        </w:rPr>
        <w:t>С учётом того, против кого пришлось воевать советской бронетехнике, потери выглядят не столь и ужасно. Стоит подчеркнуть, что у обеих сторон данные по победам завышены. Помимо прочего, это связано ещё и с тем, что уничтожить и подбить — это две большие разницы. Это отчётливо видно по количеству КВ-85 и СУ-152, возвращённых в строй. Немцы вспоминают только тяжёлые бои 26-27 ноября, причём в них якобы было уничтожено 54 советских танка. Из них 21 якобы уничтожил экипаж Франца Кречмера. И здесь обладателю Железного креста явно следовало бы урезать своего осетра. За 26 ноября бронетанковые части 28-й армии потеряли 8 танков, из них безвозвратно — 5, а за 27 число — 25 подбитыми и сожжёнными. При всём желании получить 54 из 33 никак не получается (17710).</w:t>
      </w:r>
    </w:p>
    <w:p w14:paraId="5640962C" w14:textId="77777777" w:rsidR="00E4342B" w:rsidRPr="00271E51" w:rsidRDefault="00E4342B" w:rsidP="00271E51">
      <w:pPr>
        <w:spacing w:after="0" w:line="240" w:lineRule="auto"/>
        <w:jc w:val="both"/>
        <w:rPr>
          <w:rFonts w:ascii="Times New Roman" w:hAnsi="Times New Roman"/>
          <w:color w:val="000000" w:themeColor="text1"/>
          <w:sz w:val="16"/>
          <w:szCs w:val="16"/>
        </w:rPr>
      </w:pPr>
    </w:p>
    <w:p w14:paraId="06CDE749"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Ставка ВГК на базе Северо-Кавказского фронта создала Отдельную Приморскую армию. Командующий — генерал армии И.Е.Петров (ноябрь 1943 — февраль 1944), генерал армии А.И.Еременко (февраль—апрель 1944), генерал-лейтенант К.С.Мельник (апрель 1944 — май 1945) (14836).</w:t>
      </w:r>
    </w:p>
    <w:p w14:paraId="242E9212"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29A67902"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расформирован Северо-Западный фронт (14836).</w:t>
      </w:r>
    </w:p>
    <w:p w14:paraId="727D0B9A"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423316E5"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немецкие войска заняли Житомир (14836).</w:t>
      </w:r>
    </w:p>
    <w:p w14:paraId="3D022416"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162F321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советские войска форсировали Днепр возле Черкасс (4962).</w:t>
      </w:r>
    </w:p>
    <w:p w14:paraId="2BA25F5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19B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20, 1943: The Red Army achieves a breakthrough near Kremenchug in the Ukraine, and advances toward Kirovograd (3819).</w:t>
      </w:r>
    </w:p>
    <w:p w14:paraId="7D227FD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9091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КА начала прорыв на Кременчуг и продвинулась к Кировограду (3819).</w:t>
      </w:r>
    </w:p>
    <w:p w14:paraId="582DFF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C6E2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2DA13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666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были открыты станции Новокузнецкая и Павелецкая. 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68FEA49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CCC76"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Открыты для пассажиров промежуточные станции Замоскворецкой линии метро; "Новокузнецкая" и "Павелецкая" (18693).</w:t>
      </w:r>
    </w:p>
    <w:p w14:paraId="7C3C86A8"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3906D94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6CAA1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B219B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ноября 1943 после трех лет содержания в тюрьме без всяких обвинений английскими властями освобожден лидер британских фашистов Освальд Мосли (4962).</w:t>
      </w:r>
    </w:p>
    <w:p w14:paraId="6990A86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8DF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November 20, 1943 D-Day 8:30am. Following naval and air bombardment, Marines from the 2nd Marine Division land on Betio. The assault takes place on Red Beaches 1,2 and 3 located on the lagoon side of the island. </w:t>
      </w:r>
      <w:r w:rsidRPr="00271E51">
        <w:rPr>
          <w:rFonts w:ascii="Times New Roman" w:hAnsi="Times New Roman"/>
          <w:color w:val="000000" w:themeColor="text1"/>
          <w:sz w:val="16"/>
          <w:szCs w:val="16"/>
        </w:rPr>
        <w:t>(1052).</w:t>
      </w:r>
    </w:p>
    <w:p w14:paraId="1CBB07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5F0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 ноября по 23 декабря 1943 морские пехотинцы США высадились на о Тарава и Макин Гильбертовых островов (1052;2246,6).</w:t>
      </w:r>
    </w:p>
    <w:p w14:paraId="3AA7BD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8053A"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части 2-й дивизии морской пехоты США высадились на атолле Тарава (острова Гильберта) в Тихом океане. В результате кровопролитных двухдневных боёв морские пехотинцы сумели овладеть атоллом. Практически весь 4.5-тысячный японский гарнизон погиб, потери американцев составили около 1500 человек (14836).</w:t>
      </w:r>
    </w:p>
    <w:p w14:paraId="448D729D"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54EF943F" w14:textId="77777777" w:rsidR="00960495" w:rsidRPr="00271E51" w:rsidRDefault="009604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ноября 1943 Операция «Гальваник» - американское вторжение на острова Гилберта - начинается с высадки десанта на острове Бетио, атолле Тарава и на Бутаритари. Вторжение поддерживается 11 быстроходных и легкие авианосцев, восемь эскортных авианосцев и самолетами наземного базирования ВМС США и седьмой армия ВВС США. Чтобы противостоять им, у японцев всего 46 самолетов на Гилберте и Маршалловых островах вместе взятых. В течение вечера, японские торпедоносцы нанесли удар по авианосцу USS Independence торпедой, заставляя его уйти для ремонта , но потеряли восемь из машин; это единственный урон, нанесенный японскими самолетами американскому кораблю во время кампании на островах Гилберта (20376).</w:t>
      </w:r>
    </w:p>
    <w:p w14:paraId="0617085C" w14:textId="77777777" w:rsidR="00960495" w:rsidRPr="00271E51" w:rsidRDefault="00960495" w:rsidP="00271E51">
      <w:pPr>
        <w:spacing w:after="0" w:line="240" w:lineRule="auto"/>
        <w:jc w:val="both"/>
        <w:rPr>
          <w:rFonts w:ascii="Times New Roman" w:hAnsi="Times New Roman"/>
          <w:color w:val="0070C0"/>
          <w:sz w:val="16"/>
          <w:szCs w:val="16"/>
        </w:rPr>
      </w:pPr>
    </w:p>
    <w:p w14:paraId="0172C423" w14:textId="77777777" w:rsidR="00750D9D" w:rsidRPr="00271E51" w:rsidRDefault="00750D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ноября</w:t>
      </w:r>
      <w:r w:rsidRPr="00271E51">
        <w:rPr>
          <w:rFonts w:ascii="Times New Roman" w:hAnsi="Times New Roman"/>
          <w:color w:val="000000" w:themeColor="text1"/>
          <w:sz w:val="16"/>
          <w:szCs w:val="16"/>
        </w:rPr>
        <w:t xml:space="preserve"> в 1943 году получил попадание тоpпедой «Индепенденс» (14836).</w:t>
      </w:r>
    </w:p>
    <w:p w14:paraId="2ADB10B0" w14:textId="77777777" w:rsidR="00750D9D" w:rsidRPr="00271E51" w:rsidRDefault="00750D9D" w:rsidP="00271E51">
      <w:pPr>
        <w:spacing w:after="0" w:line="240" w:lineRule="auto"/>
        <w:jc w:val="both"/>
        <w:rPr>
          <w:rFonts w:ascii="Times New Roman" w:hAnsi="Times New Roman"/>
          <w:color w:val="000000" w:themeColor="text1"/>
          <w:sz w:val="16"/>
          <w:szCs w:val="16"/>
        </w:rPr>
      </w:pPr>
    </w:p>
    <w:p w14:paraId="311BFC9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9B60B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5D151D"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ноября 1943 года на полигоне 233-й ШАД было проведено первое испытание установки для штурмовика Ил-2 для подвески на нём 40 шт. РС-82, сконструированная и привезённая из НИИ ВВС. Эта установка получила обозначение «РС-82-40» (по количеству используемых реактивных снарядов). Результат испытаний был положительный: из всех выпущенных снарядов одним Ил-2 площадь сплошного поражения при выпуске серийно по 10 РС залпом составила 3000 кв. м. Испытание установки РС-82-40 в боевых условиях показало, что она наиболее эффективна для подавления полевой и зенитной артиллерии вне укрытий, уничтожения живой силы противника, а так же автоколонн и ж/д эшелонов. По мнению лётчиков, хорошая поражаемость цели достигается ведением прицельного огня с самолёта Ил-2 с высоты 1100-1200 м. и не ниже 700 м. Угол при атаке цели должен составлять 15-20 градусов.</w:t>
      </w:r>
    </w:p>
    <w:p w14:paraId="75FF9DDF"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Считается, что «Идея об установке для подвески большого количества РС”ов на самолёте Ил-2 возникла у лётно-технического состава дивизии в период действия по аэродромам противника в 1942 г. Действуя по уничтожению самолётов противника на его аэродромах, лётный состав прицельно расстреливал самолёты из РС”ов. Но последних оказалось мало (8 штук) на Ил-2 для поражения обнаруженных объектов.»</w:t>
      </w:r>
    </w:p>
    <w:p w14:paraId="6A5877E2"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 атаке цели 2 Ил-2 с установками РС-82-40 мл. лейтенант Коваленко и лейтенант Мочалов атаковали зенитные батареи, которые противодействовали штурмовикам, ведя заградительный огонь при подходе последних к цели. Экипажи по вспышкам засекли расположение зенитных батарей; ведущий группы по радио приказал: «На опушке леса у реки огонь ЗА— подавить!». 2 экипажа с установками РС-82-40 на самолётах залпами по 10-20 штук атаковали зенитные средства, которые сразу же прекратили огонь.» Самолёт Ил-2 с установкой РС-82-40 по сравнению с самолётом без установок имеет свои особенности в пилотировании. «На разбеге менее устойчив в смысле выдерживания направления. Набор высоты и прирост скорости производит медленнее. Скорость самолёта Ил-2 с установкой, менее на 30-40 км обыкновенной скорости Ил-2. При выходе из атаки после сбрасывания РС”ов на увеличенной скорости заметно тянет на нос, что парируется выбором триммера «на себя». Со всей нагрузкой на скорости 260-280 км/ч держится в строю общей группы нормально. В разворот входит и выходит очень вяло. Маневр во всех случаях затруднён, но при выходе из атаки удержаться можно при условии, если последний будет выходить на меньшей скорости. При планировании на посадку машина имеет тенденцию увеличения угла планирования. Посадка ничем не отличается от самолётов Ил-2 без установок.» В ходе испытаний, а так же по результатам боевых действий лётчиками 233 ШАД был составлен отчёт, где особое внимание уделялось «…при выпуске самолётов Ил-2 с установками РС-82-40 необходимо уменьшить сопротивление установок за счёт улучшения обтекаемости балок или полной уборки их в крыло. Необходимо выработать специальное прицельное приспособление для высот 1200-1000 и 800 м. линия прицеливания которого должна проходить параллельно продольной оси самолёта «стрельба через нос самолёта». Всю установку приблизить к центру тяжести самолёта.» Несмотря на все «за» и «против» вывод, сделанный лётчиками 233 ШАД, звучит довольно однозначно: «Применение самолётов Ил-2 с установками РС-82-40 по переднему краю и в глубине целесообразно и необходимо. Желательно в полках иметь по одной эскадрильи Ил-2 с установками РС-82-40.»</w:t>
      </w:r>
    </w:p>
    <w:p w14:paraId="5EFC0D50"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Фонд 20216, Опись 1, Дело 57, Документ 139. 2. ЦАМО, Фонд 20216, Опись 1, Дело 57, Документ 242 (19904).</w:t>
      </w:r>
    </w:p>
    <w:p w14:paraId="0697ABB4"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p>
    <w:p w14:paraId="77D994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г. Инспектор по технике пилотирования 1-й гшад майор Еськов в своем рапорте отмечал: «Ил-2 с 37-мм пушками ОКБ-16 особенностей в технике пилотирования по сравнению с Ил-2 с ВЯ не имеет. Аэродинамические качества самолета не ухудшились, а сохранились полностью присущие самолету Ил-2, за исключением замедленного выхода из пики</w:t>
      </w:r>
      <w:r w:rsidRPr="00271E51">
        <w:rPr>
          <w:rFonts w:ascii="Times New Roman" w:hAnsi="Times New Roman"/>
          <w:color w:val="000000" w:themeColor="text1"/>
          <w:sz w:val="16"/>
          <w:szCs w:val="16"/>
        </w:rPr>
        <w:softHyphen/>
        <w:t>рования. При переучивании летного состава с обычных самоле</w:t>
      </w:r>
      <w:r w:rsidRPr="00271E51">
        <w:rPr>
          <w:rFonts w:ascii="Times New Roman" w:hAnsi="Times New Roman"/>
          <w:color w:val="000000" w:themeColor="text1"/>
          <w:sz w:val="16"/>
          <w:szCs w:val="16"/>
        </w:rPr>
        <w:softHyphen/>
        <w:t>тов... никакой сложности не представляет. &lt;...&gt; Увеличение ка</w:t>
      </w:r>
      <w:r w:rsidRPr="00271E51">
        <w:rPr>
          <w:rFonts w:ascii="Times New Roman" w:hAnsi="Times New Roman"/>
          <w:color w:val="000000" w:themeColor="text1"/>
          <w:sz w:val="16"/>
          <w:szCs w:val="16"/>
        </w:rPr>
        <w:softHyphen/>
        <w:t>либра и уменьшение боекомплекта пушек требует от летного состава: высокого искусства в умении прицеливаться по точеч</w:t>
      </w:r>
      <w:r w:rsidRPr="00271E51">
        <w:rPr>
          <w:rFonts w:ascii="Times New Roman" w:hAnsi="Times New Roman"/>
          <w:color w:val="000000" w:themeColor="text1"/>
          <w:sz w:val="16"/>
          <w:szCs w:val="16"/>
        </w:rPr>
        <w:softHyphen/>
        <w:t>ным целям и повседневной тренировки в прицеливании; веде</w:t>
      </w:r>
      <w:r w:rsidRPr="00271E51">
        <w:rPr>
          <w:rFonts w:ascii="Times New Roman" w:hAnsi="Times New Roman"/>
          <w:color w:val="000000" w:themeColor="text1"/>
          <w:sz w:val="16"/>
          <w:szCs w:val="16"/>
        </w:rPr>
        <w:softHyphen/>
        <w:t>ния огня короткими очередями не более двух выстрелов в каж</w:t>
      </w:r>
      <w:r w:rsidRPr="00271E51">
        <w:rPr>
          <w:rFonts w:ascii="Times New Roman" w:hAnsi="Times New Roman"/>
          <w:color w:val="000000" w:themeColor="text1"/>
          <w:sz w:val="16"/>
          <w:szCs w:val="16"/>
        </w:rPr>
        <w:softHyphen/>
        <w:t>дой; повышения общей стрелковой культуры» (11474,353).</w:t>
      </w:r>
    </w:p>
    <w:p w14:paraId="71233F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56161"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21 ноября 1943 г. инспектор по технике пилотирования 1-й гшад майор Еськов в своем рапорте от отмечал: «Ил-2 с 37-мм пушками ОКБ-16 особенно</w:t>
      </w:r>
      <w:r w:rsidRPr="00271E51">
        <w:rPr>
          <w:color w:val="000000" w:themeColor="text1"/>
          <w:sz w:val="16"/>
          <w:szCs w:val="16"/>
        </w:rPr>
        <w:softHyphen/>
        <w:t>стей в технике пилотирования по сравнению с Ил-2 с ВЯ не имеет. Аэродинамические качества самоле</w:t>
      </w:r>
      <w:r w:rsidRPr="00271E51">
        <w:rPr>
          <w:color w:val="000000" w:themeColor="text1"/>
          <w:sz w:val="16"/>
          <w:szCs w:val="16"/>
        </w:rPr>
        <w:softHyphen/>
        <w:t>та не ухудшились, а сохранились полностью прису</w:t>
      </w:r>
      <w:r w:rsidRPr="00271E51">
        <w:rPr>
          <w:color w:val="000000" w:themeColor="text1"/>
          <w:sz w:val="16"/>
          <w:szCs w:val="16"/>
        </w:rPr>
        <w:softHyphen/>
        <w:t>щие самолету Ил-2, за исключением замедленного выхода из пикирования. При переучивании летного состава с обычных самолетов /.../ никакой слож</w:t>
      </w:r>
      <w:r w:rsidRPr="00271E51">
        <w:rPr>
          <w:color w:val="000000" w:themeColor="text1"/>
          <w:sz w:val="16"/>
          <w:szCs w:val="16"/>
        </w:rPr>
        <w:softHyphen/>
        <w:t>ности не представляет. /.../ Увеличение калибра и уменьшение боекомплекта пушек требует от лет</w:t>
      </w:r>
      <w:r w:rsidRPr="00271E51">
        <w:rPr>
          <w:color w:val="000000" w:themeColor="text1"/>
          <w:sz w:val="16"/>
          <w:szCs w:val="16"/>
        </w:rPr>
        <w:softHyphen/>
        <w:t>ного состава: высокого искусства в умении прице</w:t>
      </w:r>
      <w:r w:rsidRPr="00271E51">
        <w:rPr>
          <w:color w:val="000000" w:themeColor="text1"/>
          <w:sz w:val="16"/>
          <w:szCs w:val="16"/>
        </w:rPr>
        <w:softHyphen/>
        <w:t>ливаться по точечным целям и повседневной тре</w:t>
      </w:r>
      <w:r w:rsidRPr="00271E51">
        <w:rPr>
          <w:color w:val="000000" w:themeColor="text1"/>
          <w:sz w:val="16"/>
          <w:szCs w:val="16"/>
        </w:rPr>
        <w:softHyphen/>
        <w:t>нировки в прицеливании; ведения огня короткими очередями не более 2 выстрелов в каждой; повы</w:t>
      </w:r>
      <w:r w:rsidRPr="00271E51">
        <w:rPr>
          <w:color w:val="000000" w:themeColor="text1"/>
          <w:sz w:val="16"/>
          <w:szCs w:val="16"/>
        </w:rPr>
        <w:softHyphen/>
        <w:t>шения общей стрелковой культуры».</w:t>
      </w:r>
    </w:p>
    <w:p w14:paraId="4AE5B9DA"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 пара штурмовиков-«охотников» от 75-го гшап в составе хорошо подготовленных летчи</w:t>
      </w:r>
      <w:r w:rsidRPr="00271E51">
        <w:rPr>
          <w:color w:val="000000" w:themeColor="text1"/>
          <w:sz w:val="16"/>
          <w:szCs w:val="16"/>
        </w:rPr>
        <w:softHyphen/>
        <w:t>ков — командира эскадрильи капитана Д. И. Жа- бинского и младшего лейтенанта А. К. Недбайло в одном боевом вылете вывела из строя 3 немец</w:t>
      </w:r>
      <w:r w:rsidRPr="00271E51">
        <w:rPr>
          <w:color w:val="000000" w:themeColor="text1"/>
          <w:sz w:val="16"/>
          <w:szCs w:val="16"/>
        </w:rPr>
        <w:softHyphen/>
        <w:t xml:space="preserve">ких средних танка типа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IV</w:t>
      </w:r>
      <w:r w:rsidRPr="00271E51">
        <w:rPr>
          <w:color w:val="000000" w:themeColor="text1"/>
          <w:sz w:val="16"/>
          <w:szCs w:val="16"/>
        </w:rPr>
        <w:t>, что было подтверж</w:t>
      </w:r>
      <w:r w:rsidRPr="00271E51">
        <w:rPr>
          <w:color w:val="000000" w:themeColor="text1"/>
          <w:sz w:val="16"/>
          <w:szCs w:val="16"/>
        </w:rPr>
        <w:softHyphen/>
        <w:t>дено наземными войсками. Два из них были по</w:t>
      </w:r>
      <w:r w:rsidRPr="00271E51">
        <w:rPr>
          <w:color w:val="000000" w:themeColor="text1"/>
          <w:sz w:val="16"/>
          <w:szCs w:val="16"/>
        </w:rPr>
        <w:softHyphen/>
        <w:t>дожжены атакой сбоку с высоты 200—300 м при планировании под углом 10—15°. Огонь из пушек 11П велся с дистанции 200—300 м по бортам тан</w:t>
      </w:r>
      <w:r w:rsidRPr="00271E51">
        <w:rPr>
          <w:color w:val="000000" w:themeColor="text1"/>
          <w:sz w:val="16"/>
          <w:szCs w:val="16"/>
        </w:rPr>
        <w:softHyphen/>
        <w:t>ков. 3-й танк был подбит с пикирования под углом 40—45° с дальности 300—400 м. Бронебойный сна</w:t>
      </w:r>
      <w:r w:rsidRPr="00271E51">
        <w:rPr>
          <w:color w:val="000000" w:themeColor="text1"/>
          <w:sz w:val="16"/>
          <w:szCs w:val="16"/>
        </w:rPr>
        <w:softHyphen/>
        <w:t>ряд пробил верхнюю броню танка.</w:t>
      </w:r>
    </w:p>
    <w:p w14:paraId="6A17C486"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29 ноября 1943 г. в ходе воздушного боя 6 Ил-2 от 75-го гшап (ведущий майор Суклышкин) с 20 не</w:t>
      </w:r>
      <w:r w:rsidRPr="00271E51">
        <w:rPr>
          <w:color w:val="000000" w:themeColor="text1"/>
          <w:sz w:val="16"/>
          <w:szCs w:val="16"/>
        </w:rPr>
        <w:softHyphen/>
        <w:t xml:space="preserve">мецкими бомбардировщиками </w:t>
      </w:r>
      <w:r w:rsidRPr="00271E51">
        <w:rPr>
          <w:color w:val="000000" w:themeColor="text1"/>
          <w:sz w:val="16"/>
          <w:szCs w:val="16"/>
          <w:lang w:val="en-US"/>
        </w:rPr>
        <w:t>Ju</w:t>
      </w:r>
      <w:r w:rsidRPr="00271E51">
        <w:rPr>
          <w:color w:val="000000" w:themeColor="text1"/>
          <w:sz w:val="16"/>
          <w:szCs w:val="16"/>
        </w:rPr>
        <w:t>87 майор Еськов сбил один из них огнем из пушек 11П. От попадания одного снаряда «Юнкерс» развалился в воздухе.</w:t>
      </w:r>
    </w:p>
    <w:p w14:paraId="2CDB2AD6"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Основные выводы летчиков 1-й гшад своди</w:t>
      </w:r>
      <w:r w:rsidRPr="00271E51">
        <w:rPr>
          <w:color w:val="000000" w:themeColor="text1"/>
          <w:sz w:val="16"/>
          <w:szCs w:val="16"/>
        </w:rPr>
        <w:softHyphen/>
        <w:t>лись к следующему: «1. Самолеты Ил-2 с пушками 11П можно хорошо применять как по танкам, так и по другим целям. 2. Вооружать части полностью самолетами, вооруженными пушками ОКБ-16, не</w:t>
      </w:r>
      <w:r w:rsidRPr="00271E51">
        <w:rPr>
          <w:color w:val="000000" w:themeColor="text1"/>
          <w:sz w:val="16"/>
          <w:szCs w:val="16"/>
        </w:rPr>
        <w:softHyphen/>
        <w:t>целесообразно, хорошо иметь в полку часть таких самолетов. 3. Самолеты с пушками ОКБ-16 больше применять при сопровождении своих танков, при атаках отступающих колонн автомашин, ж.-д. эше</w:t>
      </w:r>
      <w:r w:rsidRPr="00271E51">
        <w:rPr>
          <w:color w:val="000000" w:themeColor="text1"/>
          <w:sz w:val="16"/>
          <w:szCs w:val="16"/>
        </w:rPr>
        <w:softHyphen/>
        <w:t>лонов в пути следования, катеров и барж на море и реках, при ведении разведки переднего края противника и при охоте» (17500).</w:t>
      </w:r>
    </w:p>
    <w:p w14:paraId="6F072BA1" w14:textId="77777777" w:rsidR="00E4342B" w:rsidRPr="00271E51" w:rsidRDefault="00E4342B" w:rsidP="00271E51">
      <w:pPr>
        <w:pStyle w:val="12a"/>
        <w:shd w:val="clear" w:color="auto" w:fill="auto"/>
        <w:spacing w:after="0" w:line="240" w:lineRule="auto"/>
        <w:jc w:val="both"/>
        <w:rPr>
          <w:color w:val="000000" w:themeColor="text1"/>
          <w:sz w:val="16"/>
          <w:szCs w:val="16"/>
        </w:rPr>
      </w:pPr>
    </w:p>
    <w:p w14:paraId="0121C2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согласно журнала наблюдения за проектированием, постройкой и испытаниями МиГ-3 от 29 ноября 1943 МиГ-3 2Д, на котором установили новый мотор АМ-39 № 016, передали на ЛЭС завода (992,11).</w:t>
      </w:r>
    </w:p>
    <w:p w14:paraId="072296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C623D"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151A4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1704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после полигонных испытаний танка "Объект 240", которые проходили на НИБТ полигоне ГБТУ в Кубинке вместе с опыт</w:t>
      </w:r>
      <w:r w:rsidRPr="00271E51">
        <w:rPr>
          <w:rFonts w:ascii="Times New Roman" w:hAnsi="Times New Roman"/>
          <w:color w:val="000000" w:themeColor="text1"/>
          <w:sz w:val="16"/>
          <w:szCs w:val="16"/>
        </w:rPr>
        <w:softHyphen/>
        <w:t>ной тяжелой самоходной установкой ИСУ-152 ("Объект 241"), танк был отправлен на Кировский завод для обслуживания и устранения выяв</w:t>
      </w:r>
      <w:r w:rsidRPr="00271E51">
        <w:rPr>
          <w:rFonts w:ascii="Times New Roman" w:hAnsi="Times New Roman"/>
          <w:color w:val="000000" w:themeColor="text1"/>
          <w:sz w:val="16"/>
          <w:szCs w:val="16"/>
        </w:rPr>
        <w:softHyphen/>
        <w:t>ленных недостатков. Низкую скорострельность 122-мм пушки Д-25 пытались устранить двумя путями. Прежде всего, срочным порядком в КБ под руководст</w:t>
      </w:r>
      <w:r w:rsidRPr="00271E51">
        <w:rPr>
          <w:rFonts w:ascii="Times New Roman" w:hAnsi="Times New Roman"/>
          <w:color w:val="000000" w:themeColor="text1"/>
          <w:sz w:val="16"/>
          <w:szCs w:val="16"/>
        </w:rPr>
        <w:softHyphen/>
        <w:t>вом Ф.Ф. Петрова занялись заменой поршневого затвора клиновым. Одновременно с этим повысить скорострельность пытались и за счет механизации процесса заряжания танковой пушки. К этой работе было привлечено ЦКБ-19 наркомата судостроения, представитель которого по просьбе Управления самоходной артиллерии (УСА) 1 октября 1943 г. был откомандирован в Челябинск на завод № 100. Но быстро ре</w:t>
      </w:r>
      <w:r w:rsidRPr="00271E51">
        <w:rPr>
          <w:rFonts w:ascii="Times New Roman" w:hAnsi="Times New Roman"/>
          <w:color w:val="000000" w:themeColor="text1"/>
          <w:sz w:val="16"/>
          <w:szCs w:val="16"/>
        </w:rPr>
        <w:softHyphen/>
        <w:t>шить столь сложную техническую проблему не смогли. Поэтому если замену поршневого затвора на клиновой все же осуществили в кратчай</w:t>
      </w:r>
      <w:r w:rsidRPr="00271E51">
        <w:rPr>
          <w:rFonts w:ascii="Times New Roman" w:hAnsi="Times New Roman"/>
          <w:color w:val="000000" w:themeColor="text1"/>
          <w:sz w:val="16"/>
          <w:szCs w:val="16"/>
        </w:rPr>
        <w:softHyphen/>
        <w:t>шие сроки, то механизм заряжания на серийных отечественных танках стал устанавливаться лишь с 1967 г., начиная с танка Т-64. (10703).</w:t>
      </w:r>
    </w:p>
    <w:p w14:paraId="6216F5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5A1B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4609. О выделении уполномоченным НКзага в освобожденных областях УССР и РСФСР 17 машин "Виллис".РГАНИР, Фонд ГКО, д. 177, лл. 86 (11012).</w:t>
      </w:r>
    </w:p>
    <w:p w14:paraId="75791B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5D3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4610. О мерах по скорейшему вводу в эксплуатацию Горловской ЦЭС Донбассэнерго.РГАНИР, Фонд ГКО, д. 177, лл. 87 (11012).</w:t>
      </w:r>
    </w:p>
    <w:p w14:paraId="403EBAF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6F6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4611. О восстановлении на Каменской бумажной фабрике 3-й бумажной машины.РГАНИР, Фонд ГКО, д. 177, лл. 88-89, 90 (11012).</w:t>
      </w:r>
    </w:p>
    <w:p w14:paraId="5777F6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517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4612. О выделении НКЧМ 4,5 тыс. трудпоселенцев, немцев, освобождаемых заключенных и бывших окруженцев.РГАНИР, Фонд ГКО, д. 177, лл. 91 (11012).</w:t>
      </w:r>
    </w:p>
    <w:p w14:paraId="659BE1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9C7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4613. Об увеличении НКЧМ плана на IV кв. 1943 г. по численности рабочих и фонду зарплаты с целью перевода рабочих в горячих цехах и на особо тяжелых работах на трехсменный график и 8 часовую смену.РГАНИР, Фонд ГКО, д. 177, лл. 92, 93 (11012).</w:t>
      </w:r>
    </w:p>
    <w:p w14:paraId="65CCDB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BD3B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4614 [О распространении порядка и норм снабжения, предусмотренных для студентов и работников учебных заведений НКЧМ, на студентов и работников учебных заведений НКВ.] (7158, 94).</w:t>
      </w:r>
    </w:p>
    <w:p w14:paraId="03C721B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65A0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4615. О мерах по улучшению снабжения эвакогоспиталей НКздрава СССР мягким инвентарем, перевязочными и другими материалами.РГАНИР, Фонд ГКО, д. 177, лл. 95 (11012).</w:t>
      </w:r>
    </w:p>
    <w:p w14:paraId="1AC0D2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8DAA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4616. О передаче производственного участка № 3 Вязниковского совхоза (Ивановская обл.) заводу № 24 Управления ремонта танков КА.РГАНИР, Фонд ГКО, д. 177, лл. 96 (11012).</w:t>
      </w:r>
    </w:p>
    <w:p w14:paraId="6FFA17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9743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4617 [О привлечении в порядке трудгужповинности 400 пеших рабочих и 400 возчиков с лошадьми для заготовки и вывозки балансов и дров для Строицко-Кондровской группы предприятий НКБП Смоленской обл.] (7158, 97).</w:t>
      </w:r>
    </w:p>
    <w:p w14:paraId="309B93F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88DA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4618. О выделении 100 военнообязанных не годных к строевой службе, заводу "Севкабель" НКЭП.РГАНИР, Фонд ГКО, д. 177, лл. 98 (11012).</w:t>
      </w:r>
    </w:p>
    <w:p w14:paraId="2C3903A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EB0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4619. О поставках для московского водопровода коагулянта и жидкого хлора и мобилизации в Москве 50 человек для работы на заводе № 751 НКХП.РГАНИР, Фонд ГКО, д. 177, лл. 99 (11012).</w:t>
      </w:r>
    </w:p>
    <w:p w14:paraId="3FD6289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01FF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Распоряжение ГКО № 4620 [Об изменении сроков поставки и монтажа электролизеров ФК-12 во изменение постановления ГКО № 4183 от 23 сентября 1943 г.] (7158, 100,101-102).</w:t>
      </w:r>
    </w:p>
    <w:p w14:paraId="523825C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0DCFE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4621 Об обеспечении действующей Красной Армии телеграфной проволокой. (7158, 103-104).</w:t>
      </w:r>
    </w:p>
    <w:p w14:paraId="5FECD85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3511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4622 О производстве синтетической камфары на Нейво-Рудянском заводе Наркомлеса СССР.РГАНИР, Фонд ГКО, д. 177, лл. 105-107, 108-109 (11012).</w:t>
      </w:r>
    </w:p>
    <w:p w14:paraId="3AE55C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F680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4623 О загрузке Уралмашзавода Наркомтанкопрома индивидуальными заказами по изготовлению металлургического оборудования для тяжелого машиностроения.РГАНИР, Фонд ГКО, д. 177, лл. 110-111 (11012).</w:t>
      </w:r>
    </w:p>
    <w:p w14:paraId="461670F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7A15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4624 О развитии лесозаготовок в Орловской области. (7158, 112-113,114).</w:t>
      </w:r>
    </w:p>
    <w:p w14:paraId="67F4A37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04D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4625 О прекращении поставки Красной Армии автомобилей по постановлениям ГОКО № 2739с, 2300сс и 1914сс.РГАНИР, Фонд ГКО, д. 177, лл. 115 (11012).</w:t>
      </w:r>
    </w:p>
    <w:p w14:paraId="6B10402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90E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4626 О ремонте аэросаней и о поставке запасных частей к ним в ноябре-декабре 1943 года.РГАНИР, Фонд ГКО, д. 177, лл. 116-117, 118-129 (11012).</w:t>
      </w:r>
    </w:p>
    <w:p w14:paraId="642C314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C94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4627 О мероприятиях по развитию и материально-техническому обеспечению правительственной ВЧ связи НКВРГАНИР, Фонд ГКО, д. РГАНИР, Фонд ГКО, д. 177, лл. 130-135, 136-145 (11012).</w:t>
      </w:r>
    </w:p>
    <w:p w14:paraId="767FE1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FF55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4628 О мероприятиях по заводу № 640 Наркомсудпрома.РГАНИР, Фонд ГКО, д. 177, лл. 146-149, 150-154 (11012).</w:t>
      </w:r>
    </w:p>
    <w:p w14:paraId="38706C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83B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4630 О повышении заработной платы рабочим, инженерно-техническим и хозяйственным работникам предприятий Наркомата черной металлургии.РГАНИР, Фонд ГКО, д. 177, лл. 163-164, 165-191 (11012).</w:t>
      </w:r>
    </w:p>
    <w:p w14:paraId="72D2B6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ACD986" w14:textId="77777777" w:rsidR="00C7311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A21BB6D" w14:textId="77777777" w:rsidR="00C73116" w:rsidRPr="00271E51" w:rsidRDefault="00C7311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024F5"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21 ноября </w:t>
      </w:r>
      <w:r w:rsidRPr="00271E51">
        <w:rPr>
          <w:rFonts w:ascii="Times New Roman" w:hAnsi="Times New Roman"/>
          <w:color w:val="000000" w:themeColor="text1"/>
          <w:sz w:val="16"/>
          <w:szCs w:val="16"/>
        </w:rPr>
        <w:t>в 1943 году оперативная сводка Совинформбюро:</w:t>
      </w:r>
    </w:p>
    <w:p w14:paraId="5B36951B"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ноября в излучине Днепра, юго-западнее Днепропетровска, наши войска, продолжая вести бои местного значения, овладели сильно укреплёнными опорными пунктами противника Братский, Любимовка, Александро-Белово, Владимировка, Черниговка, Авдотьевка, Марьевка и железнодорожной станцией Незабудино.</w:t>
      </w:r>
    </w:p>
    <w:p w14:paraId="58031F4C"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 наши войска в результате упорных боёв сломили сопротивление противника и овладели сильно укрепленными опорными пунктами его обороны Успенское, Морозовка, Зыбкое, Ивановка, Камбурлеевка, «Мельник, Байдакова, Золотарёвка.</w:t>
      </w:r>
    </w:p>
    <w:p w14:paraId="0AD4956F"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Коростышева наши войска продолжали отбивать атаки крупных сил пехоты и танков противника и нанесли ему большие потери в живой силе и технике.</w:t>
      </w:r>
    </w:p>
    <w:p w14:paraId="1875693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Речица наши войска, продолжая развивать наступление, овладели сильноукреплёнными опорными пунктами противника Береговая Слобода, Горваль, Дюрдево, Святое, Дуброва, Елизаровичи, Бушевка, Кобылёво, Лесное, Духановка, Рудня-Бурицкая, Волчья Гора, Ямполь, Адамовка. Степановка, Заспа, Городок,Горошково, Бронное, Жмуровка, Казазаевка.</w:t>
      </w:r>
    </w:p>
    <w:p w14:paraId="6B531F8D"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EEE4E9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ноября наши войска на всех фронтах подбили и уничтожили 174 немецких танка. В воздушных боях и огнём зенитной артиллерии сбито 13 самолётов противника.</w:t>
      </w:r>
    </w:p>
    <w:p w14:paraId="474B00E7"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вели бои местного значения, в результате которых заняли несколько, сильно укреплённых опорных пунктов противника и железнодорожную станцию Незабудино. В боях за эту станцию советские подразделения истребили 900 немецких солдат и офицеров. Взято много трофеев. Только в населённом пункте Марьевка захвачено 15 орудий, склады с боеприпасами и военным имуществом. На другом участке части Н-ского соединения, отражая ожесточённые контратаки противника, истребили до батальона гитлеровцев и уничтожили 9 немецких танков и 2 самоходных орудия.</w:t>
      </w:r>
    </w:p>
    <w:p w14:paraId="236E815A"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Кременчуга наши войска сломили сопротивление противника и, продвигаясь вперёд, заняли ряд населённых пунктов. Стремясь остановить наступление советских частей, немцы бросили в контратаки крупные силы танков и мотопехоты. В ожесточённых боях наши войска нанесли противнику большие потери ивынудили его отступить. Истреблено до 3 тысяч немецких солдат и офицеров. Уничтожено более 60 танков, 10 самоходных орудий, 50 полевых орудий, много бронетранспортёров и автомашин противника. Захвачены у немцев 57 орудий, свыше 100 пулемётов, 98 автомашин, 3 склада с военным имуществом и другие трофеи.</w:t>
      </w:r>
    </w:p>
    <w:p w14:paraId="61650E98"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районе Коростышева наши войска продолжали вести бои с крупными силами танков и пехоты противника. На одном участке немцы предприняли одну за другой три ожесточённые танковые атаки. Встреченные огнём нашей артиллерии, немцы отступили, оставив на поле боя 38 подбитых и сожжённых танков. Нанесены </w:t>
      </w:r>
      <w:r w:rsidRPr="00271E51">
        <w:rPr>
          <w:rFonts w:ascii="Times New Roman" w:hAnsi="Times New Roman"/>
          <w:color w:val="000000" w:themeColor="text1"/>
          <w:sz w:val="16"/>
          <w:szCs w:val="16"/>
        </w:rPr>
        <w:lastRenderedPageBreak/>
        <w:t>тяжёлые потери пехоте противника, пытавшейся также атаковать наши позиции. На другом участке части Н-ского соединения, отбивая атаки гитлеровцев, уничтожили 14 танков и свыше 1.000 немецких солдат и офицеров.</w:t>
      </w:r>
    </w:p>
    <w:p w14:paraId="7CEDC032"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Речицы наши войска, продолжая наступление, заняли более 20 населённых пунктов. В одном районе серьёзную помощь нашим бойцам оказали партизаны. Ударами с тыла советские патриоты дезорганизовали оборону немцев. Наши подразделения быстро использовали замешательство врага и выбили немцев из нескольких сильно укреплённых населённых пунктов. На другом участке бойцы Н-ского соединения за день боёв уничтожили до 600 гитлеровцев. Захвачены трофеии пленные.</w:t>
      </w:r>
    </w:p>
    <w:p w14:paraId="47F33C58"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Полесской области, за три дня c 8 по 11 ноября взорвали 7 немецких воинских эшелонов. В результате крушений уничтожено 5 паровозов и свыше 40 вагонов с военной техникой и материалами.Убито и ранено до 150 гитлеровцев, охранявших эти эшелоны.</w:t>
      </w:r>
    </w:p>
    <w:p w14:paraId="595ED150"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полесских партизан, действующий на одном участке шоссейной магистрали, подорвал на минах 3 танка и 25 немецких автомашин. Совершая непрерывные нападения на немцев из засад, советские патриоты нанесли противнику большие потери в живой силе.</w:t>
      </w:r>
    </w:p>
    <w:p w14:paraId="2590BFA2"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4 роты 478 полка 258 немецкой пехотной дивизии Альфред Малицкий рассказал: «За время войны против России наша дивизия понесла огромные потери. Путь дивизии усеян трупами. На дивизионном кладбище в Наро-Фоминске похоронено свыше 500 солдат и офицеров, на кладбище у Тросны — 400 человек. Целый наш полк был уничтожен в районе Ржева. Сотни солдат погибли во время крушений поездов. В начале июля 1943 года 258 дивизия участвовала в наступлении немецких войск на Курск и была совершенно обескровлена. В августе нас пополнили и перебросили в район Сталино. Из Сталино мы всё время отступаем и целиком потеряли материальную часть. Последние поражения немецкой армии подорвали доверие немецких солдат к военному руководству. Теперь нам приходится расплачиваться своей головой за ошибки Гитлера».</w:t>
      </w:r>
    </w:p>
    <w:p w14:paraId="3D146DF6"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захватчиков в Приазовском районе, Запорожской области: «Отступая под ударами Красной Армии, фашистские захватчики произвели в наших сёлах огромные опустошения. Только в девяти колхозах района немцы разрушили и сожгли 656 жилых домов с надворными постройками. В селе Приазовское гитлеровцы уничтожили электростанцию, МТС, девять школ, больницу, почту и другие общественные здания. За время оккупации немцы насильно угнали на каторгу в Германию более 150 советских граждан. Особенно свирепствовали в нашем селе немецкий комендант района Пфаф, его помощники Райтер, Фолькмер и Фотонгауэр. Они грабили население, убивали ни в чём не повинных мирных жителей и поджигали жилые дома.</w:t>
      </w:r>
    </w:p>
    <w:p w14:paraId="53CB547A"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Незадолго до отступления гитлеровцы арестовали многих жителей села и бросили их в тюрьму. Арестованным грозил расстрел. Бойцы Красной Армии, ворвавшись всело, освободили заключённых советских граждан и спасли им жизнь».</w:t>
      </w:r>
    </w:p>
    <w:p w14:paraId="3A74AB8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сельсовета Гук, врач Подольный, учительница Сикорева, Астахова, Гридасов, Косенко и другие жители села.» (14836).</w:t>
      </w:r>
    </w:p>
    <w:p w14:paraId="28E63B42"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237C103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698610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707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21 ноября 1943 г. были снижены нормы снабжения хлебом: рабочие стали получать по карточкам 500-700 г хлеба (вместо 600 - 800), служащие – 400-450 г (вместо 500), иждивенцы и дети – 300 г (вместо 400). Нормы были восстановлены лишь в 1945 г. [Малафеев А.Н.История ценообразования СССР. 1917 – 1963. - М., 1964. - C.29]. По 1 кг хлеба в день получали рабочие и ИТР, занятые на подземных работах, в горячих и вредных цехах [Российский центр хранения и изучения документов новейшей истории. Ф. 7971. Оп.1 Д. 892. Л. 102]. Карточная система дала возможность большой части гражданского населения удовлетворить минимальные потребности в еде и товарах повседневного спроса. Но одновременно карточная система ослабляла значение денежной зарплаты как фактора повышения материальной заинтересованности рабочих в результатах своего труда. Она порождала в известной степени уравнительный подход к специфическим вкусам населения, практику механического распределения товаров. Увеличились расходы на создание и содержание специального аппарата по выдаче карточек (карточных бюро) и контролю за прикреплением населения на государственное снабжение, правильной выдачей карточек и расходованием товаров (контрольно-учетные бюро). Аппарат карточных и контрольно-учетных бюро насчитывал 26 тыс. чел. Карточная система централизованного снабжения нередко “недодавала” 70—80 процентов от положенного по норме. В сложном положении оказывались многие категории населения. Например, до февраля 1942 г. питание беженцев, находившихся на эвакопунктах, проводилось бесплатно, а сколько-нибудь серьезных централизованных поставок, предназначавшихся для снабжения эвакуированных, не поступало. Это заставляло местные власти до минимума ограничивать круг лиц этой категории, получавших государственную помощь продуктами и промтоварами сверх карточных норм. В особенно трудном положении оказывались эвакуированные в сельскую местность, не имевшие подсобного хозяйства и к тому же не снабжавшиеся по карточкам. Оказание финансовой помощи переселенцам носило ограниченный характер. Максимальный размер денежной помощи не превышал 300 рублей и равнялся, например, в Сибири в 1942 г. рыночной стоимости двух ведер картофеля (11121).</w:t>
      </w:r>
    </w:p>
    <w:p w14:paraId="5B00B63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B9D5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вышло Постановление ГКО № 4629 О строительстве IV очереди Московского метрополитена. (7158, 155-162).</w:t>
      </w:r>
    </w:p>
    <w:p w14:paraId="66B1183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FB7DA7"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Постановление ГКО "О строительстве IV очереди Московского метрополитена" (18693).</w:t>
      </w:r>
    </w:p>
    <w:p w14:paraId="751050EC"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0DFD651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D1C31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981F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21, 1943: Field Marshal Kesselring is appointed commander-in-chief of all German forces in Italy (3819).</w:t>
      </w:r>
    </w:p>
    <w:p w14:paraId="5FED53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E9FAA4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фельдмаршал Киссельринг стал ГК немецкими войсками в Италии (3819).</w:t>
      </w:r>
    </w:p>
    <w:p w14:paraId="3E54FC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6B75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ноября 1943 первый морской боевой вылет совершила II/KG40, когда 25 машин, каждая из которых несла по две УАБ Hs293, вылетели на поиск английского конвоя SL 139/MKS 230, идущего из Англии в порты Северной Африки и Сьера-Леоне. Два самолета из-за неполадок преждевременно вернулись на аэродром, три были сбиты, а оставшиеся 20 сбросили на противника 40 планирующих бомб. Результат атаки был довольно скромным: потоплен транспорт “Марса” и поврежден прямым бомбовым попаданием пароход “Делиус” (9524).</w:t>
      </w:r>
    </w:p>
    <w:p w14:paraId="7E824D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2924"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A8028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A6B7C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года начальник НИИ ВВС Лосюков и начальник штаба НИИ ВВС Иващенко писали письмо N 01142 Репину А.К., Шахурину, управление кадров ЦК ВКП(б) Шиманову Н.С.</w:t>
      </w:r>
    </w:p>
    <w:p w14:paraId="43E4B86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 ГОКО N 4427сс от 26.10.43 г. о предъявлении на гос. испытания в НИИ ВВС к 15 ноября 1943 г. самолета "Ил" с мотором АМ-42 не выполнено. Самолет на испытания еще не предъявлен и проходит заводские испытания и доводки. Устраняются причины, вызывающие высокие температуры масла (1783,300).</w:t>
      </w:r>
    </w:p>
    <w:p w14:paraId="388294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B06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начались летные испытания МиГ-221 (И-221).</w:t>
      </w:r>
    </w:p>
    <w:p w14:paraId="7EA883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C841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намеченный на первый вылет И—221 (шифр «2А») не состо</w:t>
      </w:r>
      <w:r w:rsidRPr="00271E51">
        <w:rPr>
          <w:rFonts w:ascii="Times New Roman" w:hAnsi="Times New Roman"/>
          <w:color w:val="000000" w:themeColor="text1"/>
          <w:sz w:val="16"/>
          <w:szCs w:val="16"/>
        </w:rPr>
        <w:softHyphen/>
        <w:t>ялся, так как мотор работал с перебоями. К тому же на рулежке самопроизвольно сложился костыль, а при торможении разрушились пневматики колес. После ремонта, 2 декабря 1943 г., самолет выполнил первый полет. Заводские испытания в основном бы</w:t>
      </w:r>
      <w:r w:rsidRPr="00271E51">
        <w:rPr>
          <w:rFonts w:ascii="Times New Roman" w:hAnsi="Times New Roman"/>
          <w:color w:val="000000" w:themeColor="text1"/>
          <w:sz w:val="16"/>
          <w:szCs w:val="16"/>
        </w:rPr>
        <w:softHyphen/>
        <w:t>ли нацелены на доводку силовой установки. 7 февра</w:t>
      </w:r>
      <w:r w:rsidRPr="00271E51">
        <w:rPr>
          <w:rFonts w:ascii="Times New Roman" w:hAnsi="Times New Roman"/>
          <w:color w:val="000000" w:themeColor="text1"/>
          <w:sz w:val="16"/>
          <w:szCs w:val="16"/>
        </w:rPr>
        <w:softHyphen/>
        <w:t>ля 1944 г. самолет под управлением П.А.Журавлева поднялся в воздух в десятый раз. Летчик доложил, что высоте 9000 м машина загорелась и он был вы</w:t>
      </w:r>
      <w:r w:rsidRPr="00271E51">
        <w:rPr>
          <w:rFonts w:ascii="Times New Roman" w:hAnsi="Times New Roman"/>
          <w:color w:val="000000" w:themeColor="text1"/>
          <w:sz w:val="16"/>
          <w:szCs w:val="16"/>
        </w:rPr>
        <w:softHyphen/>
        <w:t>нужден прыгнуть с парашютом. Впоследствии ко</w:t>
      </w:r>
      <w:r w:rsidRPr="00271E51">
        <w:rPr>
          <w:rFonts w:ascii="Times New Roman" w:hAnsi="Times New Roman"/>
          <w:color w:val="000000" w:themeColor="text1"/>
          <w:sz w:val="16"/>
          <w:szCs w:val="16"/>
        </w:rPr>
        <w:softHyphen/>
        <w:t>миссия, созданная для расследования аварии, уста</w:t>
      </w:r>
      <w:r w:rsidRPr="00271E51">
        <w:rPr>
          <w:rFonts w:ascii="Times New Roman" w:hAnsi="Times New Roman"/>
          <w:color w:val="000000" w:themeColor="text1"/>
          <w:sz w:val="16"/>
          <w:szCs w:val="16"/>
        </w:rPr>
        <w:softHyphen/>
        <w:t>новила, что ее причиной явилась неправильная оценка обстановки летчиком, который принял появ</w:t>
      </w:r>
      <w:r w:rsidRPr="00271E51">
        <w:rPr>
          <w:rFonts w:ascii="Times New Roman" w:hAnsi="Times New Roman"/>
          <w:color w:val="000000" w:themeColor="text1"/>
          <w:sz w:val="16"/>
          <w:szCs w:val="16"/>
        </w:rPr>
        <w:softHyphen/>
        <w:t>ление длинных факелов пламени, истекавших из выхлопных патрубков ТК, и дыма в кабине за начав</w:t>
      </w:r>
      <w:r w:rsidRPr="00271E51">
        <w:rPr>
          <w:rFonts w:ascii="Times New Roman" w:hAnsi="Times New Roman"/>
          <w:color w:val="000000" w:themeColor="text1"/>
          <w:sz w:val="16"/>
          <w:szCs w:val="16"/>
        </w:rPr>
        <w:softHyphen/>
        <w:t>шийся пожар. Увы, опытный самолет был безвоз</w:t>
      </w:r>
      <w:r w:rsidRPr="00271E51">
        <w:rPr>
          <w:rFonts w:ascii="Times New Roman" w:hAnsi="Times New Roman"/>
          <w:color w:val="000000" w:themeColor="text1"/>
          <w:sz w:val="16"/>
          <w:szCs w:val="16"/>
        </w:rPr>
        <w:softHyphen/>
        <w:t>вратно потерян. Пришлось быстро строить новый. Этот вариант высотного истребителя отличался от предшествен</w:t>
      </w:r>
      <w:r w:rsidRPr="00271E51">
        <w:rPr>
          <w:rFonts w:ascii="Times New Roman" w:hAnsi="Times New Roman"/>
          <w:color w:val="000000" w:themeColor="text1"/>
          <w:sz w:val="16"/>
          <w:szCs w:val="16"/>
        </w:rPr>
        <w:softHyphen/>
        <w:t xml:space="preserve">ника, в основном, наличием герметической кабины. Машину, получившую обозначение </w:t>
      </w:r>
      <w:r w:rsidRPr="00271E51">
        <w:rPr>
          <w:rFonts w:ascii="Times New Roman" w:hAnsi="Times New Roman"/>
          <w:iCs/>
          <w:color w:val="000000" w:themeColor="text1"/>
          <w:sz w:val="16"/>
          <w:szCs w:val="16"/>
        </w:rPr>
        <w:t xml:space="preserve">И—222 </w:t>
      </w:r>
      <w:r w:rsidRPr="00271E51">
        <w:rPr>
          <w:rFonts w:ascii="Times New Roman" w:hAnsi="Times New Roman"/>
          <w:color w:val="000000" w:themeColor="text1"/>
          <w:sz w:val="16"/>
          <w:szCs w:val="16"/>
        </w:rPr>
        <w:t>и шифр «ЗА», закончили в производстве 23 апреля 1944 г. По конструкции самолет в целом повторял И—221. Его оснастили опытным мотором АМ—39Б, отличав</w:t>
      </w:r>
      <w:r w:rsidRPr="00271E51">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271E51">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271E51">
        <w:rPr>
          <w:rFonts w:ascii="Times New Roman" w:hAnsi="Times New Roman"/>
          <w:color w:val="000000" w:themeColor="text1"/>
          <w:sz w:val="16"/>
          <w:szCs w:val="16"/>
        </w:rPr>
        <w:softHyphen/>
        <w:t>ниевого сплава АМЦ. Максимальная расчетная ско</w:t>
      </w:r>
      <w:r w:rsidRPr="00271E51">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3DF3DF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DEF6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ноября 1943 согласно журнала наблюдения за проектированием, постройкой и испытаниями высотного истребителя МиГ-1 за 29 ноября 1943 на высотном самолете </w:t>
      </w:r>
      <w:r w:rsidRPr="00271E51">
        <w:rPr>
          <w:rFonts w:ascii="Times New Roman" w:hAnsi="Times New Roman"/>
          <w:color w:val="000000" w:themeColor="text1"/>
          <w:sz w:val="16"/>
          <w:szCs w:val="16"/>
        </w:rPr>
        <w:lastRenderedPageBreak/>
        <w:t>А.И.М. 1-й вылет не состоялся:</w:t>
      </w:r>
    </w:p>
    <w:p w14:paraId="3795EE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мотор на номинале работал с перебоями,</w:t>
      </w:r>
    </w:p>
    <w:p w14:paraId="0DF4A7D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при торможении разрушились пневматики колес</w:t>
      </w:r>
    </w:p>
    <w:p w14:paraId="7DD6F0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самопроизвольно сложился костыль. Л Журавлев</w:t>
      </w:r>
    </w:p>
    <w:p w14:paraId="39E801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Начались летные испытания И-221 (991,10).</w:t>
      </w:r>
    </w:p>
    <w:p w14:paraId="1492A6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A34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22 ноября 1943-го по 6 января 1944 года, когда машину выкатили на аэродром, дорабатывали Як-3 с мотором ВК-107А на опытном заводе №115. Доработки в основном были связаны с заменой вооружения на два синхронных орудия Б-20С.Чтобы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летчиком-испытателем генерал-майором инженерно-авиационной службы П.Я. Федрови (ведущий инженер - A.M. Дружинин).</w:t>
      </w:r>
    </w:p>
    <w:p w14:paraId="7788F3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5C0031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0E7FF77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5E44B2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0C8362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277720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11D61"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740D6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A51C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1943г. вышло РАСПОРЯЖЕНИЕ НАЧАЛЬНИКА ГБТУ КА НАЧАЛЬНИКУ НИБТ ПОЛИГОНА О ПРОВЕДЕНИИ ИСПЫТАНИЯ ОПЫТНОГО ОБРАЗЦА ТАНКА Т-34 № 36-300</w:t>
      </w:r>
    </w:p>
    <w:p w14:paraId="48A0C9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Совместным приказом НКТП, НКВ, начальника ГБТУ КА и начальника ГАУ КА за №676/591/ 060/0250 от 12 ноября 1943 г. для проведения испытания опытного образца танка Т-34 назначена комиссия в составе:</w:t>
      </w:r>
    </w:p>
    <w:p w14:paraId="5B682E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комиссии - гвардии полковник т. Кульчицкий; члены - от ГБТУ КА - инженер-капитан Конев,</w:t>
      </w:r>
    </w:p>
    <w:p w14:paraId="46C152D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 - капитан Розенгарт;</w:t>
      </w:r>
    </w:p>
    <w:p w14:paraId="0194B73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ГАУ КА - инженер-полковник Цанчев</w:t>
      </w:r>
    </w:p>
    <w:p w14:paraId="41446A2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НКТП - ст. инженер ОТК - Юрасов, инженер завода 183 Хлопенко;</w:t>
      </w:r>
    </w:p>
    <w:p w14:paraId="78AA33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НКВ - Волосатов; Плыплин.</w:t>
      </w:r>
    </w:p>
    <w:p w14:paraId="3498541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Ходовые испытания будут проводиться на НИБТ полигоне по прилагаемой программе. Машина будет доставлена на НИ полигон после испытания ее на Гороховецком АНИОПе.</w:t>
      </w:r>
    </w:p>
    <w:p w14:paraId="52DEA33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6 отдела ТУ ГБТУ КА инженер-подполковник Солонин</w:t>
      </w:r>
    </w:p>
    <w:p w14:paraId="42292D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3606. Л. 119. Копия (11403).</w:t>
      </w:r>
    </w:p>
    <w:p w14:paraId="40C0BF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862EB" w14:textId="77777777" w:rsidR="00A17B42" w:rsidRPr="00271E51" w:rsidRDefault="00A17B42" w:rsidP="00271E51">
      <w:pPr>
        <w:pStyle w:val="ae"/>
        <w:spacing w:before="0" w:after="0"/>
        <w:jc w:val="both"/>
        <w:textAlignment w:val="baseline"/>
        <w:rPr>
          <w:color w:val="000000" w:themeColor="text1"/>
          <w:sz w:val="16"/>
          <w:szCs w:val="16"/>
        </w:rPr>
      </w:pPr>
      <w:r w:rsidRPr="00271E51">
        <w:rPr>
          <w:color w:val="000000" w:themeColor="text1"/>
          <w:sz w:val="16"/>
          <w:szCs w:val="16"/>
        </w:rPr>
        <w:t>22 ноября 1943 года Малышев подписал приказ по НКТП №705сс «О постройке опытного образца танка Т-44 конструкции завода №183». Данный приказ стал результатом осмотра эскизного проекта машины и утверждения его Малышевым. Помимо эскизного проекта, завод №183 представил макет машины. Согласно приказу, заводу №183 разрешалось изготовить два образца машины, сроком изготовления указывалось 1 февраля 1944 года.</w:t>
      </w:r>
    </w:p>
    <w:p w14:paraId="3447A01F" w14:textId="77777777" w:rsidR="00A17B42" w:rsidRPr="00271E51" w:rsidRDefault="00A17B42" w:rsidP="00271E51">
      <w:pPr>
        <w:pStyle w:val="ae"/>
        <w:spacing w:before="0" w:after="0"/>
        <w:jc w:val="both"/>
        <w:textAlignment w:val="baseline"/>
        <w:rPr>
          <w:color w:val="000000" w:themeColor="text1"/>
          <w:sz w:val="16"/>
          <w:szCs w:val="16"/>
        </w:rPr>
      </w:pPr>
      <w:r w:rsidRPr="00271E51">
        <w:rPr>
          <w:color w:val="000000" w:themeColor="text1"/>
          <w:sz w:val="16"/>
          <w:szCs w:val="16"/>
        </w:rPr>
        <w:t>Одновременно в приказе указывалась необходимость доработки машины перед её изготовлением. По проекту башня у Т-44 предполагалась катаной, что вызывало немало вопросов с точки зрения её изготовления. Также предлагалось изменить кормовую часть корпуса. Нарекания вызывала «выпучина» в днище корпуса, вызванная тем, что полностью обычный В-2 по высоте не помещался. Специально для Т-44 предлагалось подготовить изменённый вариант двигателя, у которого водяная и масляная помпы переносились с нижней части днища картера на его боковые части. Согласно приказу, КБ завода №183 также требовалось прорабатывать массу вопросов относительно перспективных разработок. В их числе была установка зенитного пулемёта на командирской башенке, танкового огнемёта и стабилизатора вертикальной наводки. Требовалось также убрать топливный бак из носовой части корпуса.</w:t>
      </w:r>
    </w:p>
    <w:p w14:paraId="3AD69B6E" w14:textId="77777777" w:rsidR="00A17B42" w:rsidRPr="00271E51" w:rsidRDefault="00A17B42" w:rsidP="00271E51">
      <w:pPr>
        <w:spacing w:after="0" w:line="240" w:lineRule="auto"/>
        <w:jc w:val="both"/>
        <w:textAlignment w:val="baseline"/>
        <w:rPr>
          <w:rFonts w:ascii="Times New Roman" w:hAnsi="Times New Roman"/>
          <w:color w:val="000000" w:themeColor="text1"/>
          <w:sz w:val="16"/>
          <w:szCs w:val="16"/>
        </w:rPr>
      </w:pPr>
      <w:r w:rsidRPr="00271E51">
        <w:rPr>
          <w:rFonts w:ascii="Times New Roman" w:hAnsi="Times New Roman"/>
          <w:color w:val="000000" w:themeColor="text1"/>
          <w:sz w:val="16"/>
          <w:szCs w:val="16"/>
        </w:rPr>
        <w:t>Далеко не всё из того, что указывалось в приказе НКТП №705сс и ТТТ ГБТУ КА, стали реализовывать даже на уровне эскизной проработки. Например, в приказе указывалось, что в танк необходимо поставить планетарную трансмиссию, то же самое хотели и в ГБТУ КА. На практике же Морозов смог отстоять 5-скоростную механическую коробку передач. Конечно, её требовалось переделывать ввиду изменения компоновки, но это была меньшая проблема, чем планетарная КПП, которую доводили уже не первый год. Проигнорировали на заводе №183 и ряд других пунктов требований ГБТУ КА. Касалось это и усиления броневой защиты, и зенитного пулемёта. Не встретила понимания и идея установки пулемёта ГВГ. Безусловно, пулемёт с ленточным питанием выглядел более перспективным, но для начала неплохо было принять его на вооружение. Именно поэтому на Т-44 решили ставить серийные пулемёты ДТ (18799).</w:t>
      </w:r>
    </w:p>
    <w:p w14:paraId="5615A074" w14:textId="77777777" w:rsidR="00A17B42" w:rsidRPr="00271E51" w:rsidRDefault="00A17B42" w:rsidP="00271E51">
      <w:pPr>
        <w:pStyle w:val="ae"/>
        <w:spacing w:before="0" w:after="0"/>
        <w:jc w:val="both"/>
        <w:textAlignment w:val="baseline"/>
        <w:rPr>
          <w:color w:val="000000" w:themeColor="text1"/>
          <w:sz w:val="16"/>
          <w:szCs w:val="16"/>
        </w:rPr>
      </w:pPr>
    </w:p>
    <w:p w14:paraId="51A51374" w14:textId="77777777" w:rsidR="008C6E30" w:rsidRPr="00271E51" w:rsidRDefault="008C6E30"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ноября 1943 года в соот</w:t>
      </w:r>
      <w:r w:rsidRPr="00271E51">
        <w:rPr>
          <w:rFonts w:ascii="Times New Roman" w:hAnsi="Times New Roman"/>
          <w:color w:val="0070C0"/>
          <w:sz w:val="16"/>
          <w:szCs w:val="16"/>
        </w:rPr>
        <w:softHyphen/>
        <w:t>ветствии с приказом №705сс по наркомату танковой промыш</w:t>
      </w:r>
      <w:r w:rsidRPr="00271E51">
        <w:rPr>
          <w:rFonts w:ascii="Times New Roman" w:hAnsi="Times New Roman"/>
          <w:color w:val="0070C0"/>
          <w:sz w:val="16"/>
          <w:szCs w:val="16"/>
        </w:rPr>
        <w:softHyphen/>
        <w:t>ленности заводу №183 предписывалось к 1 февраля 1944 года изготовить две опытные машины Т-44. Существенную роль в дальнейшей судьбе Т-44, вероятно, сыграл интерес, про</w:t>
      </w:r>
      <w:r w:rsidRPr="00271E51">
        <w:rPr>
          <w:rFonts w:ascii="Times New Roman" w:hAnsi="Times New Roman"/>
          <w:color w:val="0070C0"/>
          <w:sz w:val="16"/>
          <w:szCs w:val="16"/>
        </w:rPr>
        <w:softHyphen/>
        <w:t>явленный к танку И.В. Сталиным. Из записей В.А. Малышева следует, что зимой 1943-44 годов в ходе его контактов со Сталиным вопрос о работах над Т-44 поднимался с завидной регулярностью: сначала 27 декаб</w:t>
      </w:r>
      <w:r w:rsidRPr="00271E51">
        <w:rPr>
          <w:rFonts w:ascii="Times New Roman" w:hAnsi="Times New Roman"/>
          <w:color w:val="0070C0"/>
          <w:sz w:val="16"/>
          <w:szCs w:val="16"/>
        </w:rPr>
        <w:softHyphen/>
        <w:t>ря 1943 года, затем 15 января, 3 февраля и 13 февраля 1944 года. В последнем упомянутом разговоре, И.В. Сталин довольно жестко попенял В.А. Малышеву за «затягивание дела с этим танком» и предложил ускорить испы</w:t>
      </w:r>
      <w:r w:rsidRPr="00271E51">
        <w:rPr>
          <w:rFonts w:ascii="Times New Roman" w:hAnsi="Times New Roman"/>
          <w:color w:val="0070C0"/>
          <w:sz w:val="16"/>
          <w:szCs w:val="16"/>
        </w:rPr>
        <w:softHyphen/>
        <w:t>тания и начать его производство.</w:t>
      </w:r>
    </w:p>
    <w:p w14:paraId="44E82A06" w14:textId="77777777" w:rsidR="008C6E30" w:rsidRPr="00271E51" w:rsidRDefault="008C6E3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Надо сказать, что работы над Т-44 на заво</w:t>
      </w:r>
      <w:r w:rsidRPr="00271E51">
        <w:rPr>
          <w:rFonts w:ascii="Times New Roman" w:hAnsi="Times New Roman"/>
          <w:color w:val="0070C0"/>
          <w:sz w:val="16"/>
          <w:szCs w:val="16"/>
        </w:rPr>
        <w:softHyphen/>
        <w:t>де №183 шли довольно активно, и по инициа</w:t>
      </w:r>
      <w:r w:rsidRPr="00271E51">
        <w:rPr>
          <w:rFonts w:ascii="Times New Roman" w:hAnsi="Times New Roman"/>
          <w:color w:val="0070C0"/>
          <w:sz w:val="16"/>
          <w:szCs w:val="16"/>
        </w:rPr>
        <w:softHyphen/>
        <w:t>тиве его руководства даже было получено разрешение на закладку дополнительного третьего прототипа. Это должен был быть вариант с усиленным вооружением, на кото</w:t>
      </w:r>
      <w:r w:rsidRPr="00271E51">
        <w:rPr>
          <w:rFonts w:ascii="Times New Roman" w:hAnsi="Times New Roman"/>
          <w:color w:val="0070C0"/>
          <w:sz w:val="16"/>
          <w:szCs w:val="16"/>
        </w:rPr>
        <w:softHyphen/>
        <w:t>ром вместо 85-мм орудия планировалось смонтировать 122-мм пушку, таким образом получив средний танк с мощным бронирова</w:t>
      </w:r>
      <w:r w:rsidRPr="00271E51">
        <w:rPr>
          <w:rFonts w:ascii="Times New Roman" w:hAnsi="Times New Roman"/>
          <w:color w:val="0070C0"/>
          <w:sz w:val="16"/>
          <w:szCs w:val="16"/>
        </w:rPr>
        <w:softHyphen/>
        <w:t>нием и вооружением, как у тяжелого (19935).</w:t>
      </w:r>
    </w:p>
    <w:p w14:paraId="19A0FCB4" w14:textId="77777777" w:rsidR="008C6E30" w:rsidRPr="00271E51" w:rsidRDefault="008C6E30" w:rsidP="00271E51">
      <w:pPr>
        <w:spacing w:after="0" w:line="240" w:lineRule="auto"/>
        <w:jc w:val="both"/>
        <w:rPr>
          <w:rFonts w:ascii="Times New Roman" w:hAnsi="Times New Roman"/>
          <w:color w:val="0070C0"/>
          <w:sz w:val="16"/>
          <w:szCs w:val="16"/>
        </w:rPr>
      </w:pPr>
    </w:p>
    <w:p w14:paraId="500B34AB" w14:textId="77777777" w:rsidR="008C6E30" w:rsidRPr="00271E51" w:rsidRDefault="008C6E30" w:rsidP="00271E51">
      <w:pPr>
        <w:pStyle w:val="7f"/>
        <w:shd w:val="clear" w:color="auto" w:fill="auto"/>
        <w:spacing w:line="240" w:lineRule="auto"/>
        <w:ind w:firstLine="0"/>
        <w:jc w:val="both"/>
        <w:rPr>
          <w:rFonts w:ascii="Times New Roman" w:hAnsi="Times New Roman" w:cs="Times New Roman"/>
          <w:color w:val="0070C0"/>
          <w:sz w:val="16"/>
          <w:szCs w:val="16"/>
          <w:shd w:val="clear" w:color="auto" w:fill="FFFFFF"/>
        </w:rPr>
      </w:pPr>
      <w:r w:rsidRPr="00271E51">
        <w:rPr>
          <w:rFonts w:ascii="Times New Roman" w:hAnsi="Times New Roman" w:cs="Times New Roman"/>
          <w:color w:val="0070C0"/>
          <w:sz w:val="16"/>
          <w:szCs w:val="16"/>
          <w:shd w:val="clear" w:color="auto" w:fill="FFFFFF"/>
        </w:rPr>
        <w:t>22 ноября 1943 года началась новая страница в истории отечественного танкостроения. В этот день нарком танковой промышленности В.А. Малышев подписал приказ по НКТП №705сс «О постройке опытного образца танка Т-44 конструкции завода №183». Тем самым была санкционирована разработка принципиально нового среднего танка, который, год спустя (23 ноября 1944 года) был принят на вооружение Красной Армии. За время разработки Т-44 прошел минимум три ступени эволюции, причем серийная машина, скорее, была четвертой, поскольку на заводе №75 (г. Харьков), где организовали выпуск, были вынуждены существенной переделывать документацию и сам танк. В основном переделки были связаны с шасси Т-44, но ряд изменений, порой существенных, претерпела и башня. Кроме того, прорабатывалось и альтернативное вооружение (20277).</w:t>
      </w:r>
    </w:p>
    <w:p w14:paraId="58F07590" w14:textId="77777777" w:rsidR="008C6E30" w:rsidRPr="00271E51" w:rsidRDefault="008C6E30" w:rsidP="00271E51">
      <w:pPr>
        <w:pStyle w:val="7f"/>
        <w:shd w:val="clear" w:color="auto" w:fill="auto"/>
        <w:spacing w:line="240" w:lineRule="auto"/>
        <w:ind w:firstLine="0"/>
        <w:jc w:val="both"/>
        <w:rPr>
          <w:rFonts w:ascii="Times New Roman" w:hAnsi="Times New Roman" w:cs="Times New Roman"/>
          <w:color w:val="0070C0"/>
          <w:sz w:val="16"/>
          <w:szCs w:val="16"/>
          <w:shd w:val="clear" w:color="auto" w:fill="FFFFFF"/>
        </w:rPr>
      </w:pPr>
    </w:p>
    <w:p w14:paraId="16B965A6"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 ноября 1943 года Т-34 прибыл в Школу танковых технологий в Военном научном колледже в Чертси. Руководство по эксплуатации для танка прибыло несколько раньше, и у англичан был время его перевести. Британские танкисты изучили танк, насколько это можно было сделать без разборки крупных агрегатов (за исключением двигателя), и к февралю 1944 года подготовили довольно внушительный предварительный доклад о танке. Тем временем ошибочная информация о </w:t>
      </w:r>
      <w:r w:rsidRPr="00271E51">
        <w:rPr>
          <w:rFonts w:ascii="Times New Roman" w:hAnsi="Times New Roman"/>
          <w:color w:val="000000" w:themeColor="text1"/>
          <w:sz w:val="16"/>
          <w:szCs w:val="16"/>
        </w:rPr>
        <w:lastRenderedPageBreak/>
        <w:t>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617D4D2C"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 «простота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 (18249).</w:t>
      </w:r>
    </w:p>
    <w:p w14:paraId="1F066FD9"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54FD89A9"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22 ноября 1943 года на заводе №9 состоялось совещание с участием руководства предприятия, коллектива местного конструкторского бюро (КБ) и начальника отдела опытных конструкций Народного комиссариата вооружения (НКВ) генерал-майора А.А. Толочкова. Обсуждалась разработка новой версии Д-25 с клиновым затвором. КБ завода №9 разработало два варианта затвора: с горизонтальным и вертикальным расположением затвора. Наиболее удачным вариантом был признан горизонтальный клиновый затвор, открывающийся влево: с ним заряжать танковую версию орудия оказалось удобнее. Именно этот вариант и был утверждён для изготовления в металле.</w:t>
      </w:r>
    </w:p>
    <w:p w14:paraId="1D96EA38"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Примерно в это же время в КБ завода №9 началась разработка нового дульного тормоза. В общей сложности это был уже седьмой вариант дульного тормоза для пушки ИС-2. Предыдущий вариант №5 установили на 12 пушках, а вариант №6 ставился на основной серии Д-25 с поршневым затвором. Седьмой вариант обозначался как «особо упрочнённый». Совсем новым этот дульный тормоз назвать сложно: очень похожий двухкамерный дульный тормоз предлагалось использовать при проектировании 122-мм пушки на лафете М-30 осенью 1942 года. С 3 по 16 января 1944 года новый тормоз испытали на заводском полигоне. Всего было произведено 300 выстрелов, замечаний к дульному тормозу не имелось.</w:t>
      </w:r>
    </w:p>
    <w:p w14:paraId="41A4274F" w14:textId="77777777" w:rsidR="00E4342B" w:rsidRPr="00271E51" w:rsidRDefault="00E4342B" w:rsidP="00271E51">
      <w:pPr>
        <w:pStyle w:val="ae"/>
        <w:shd w:val="clear" w:color="auto" w:fill="FFFFFF"/>
        <w:spacing w:before="0" w:after="0"/>
        <w:jc w:val="both"/>
        <w:rPr>
          <w:color w:val="000000" w:themeColor="text1"/>
          <w:sz w:val="16"/>
          <w:szCs w:val="16"/>
        </w:rPr>
      </w:pPr>
      <w:r w:rsidRPr="00271E51">
        <w:rPr>
          <w:color w:val="000000" w:themeColor="text1"/>
          <w:sz w:val="16"/>
          <w:szCs w:val="16"/>
        </w:rPr>
        <w:t>Был разработан и восьмой тип дульного тормоза, кованой конструкции. Но делать его завод отказался (17721).</w:t>
      </w:r>
    </w:p>
    <w:p w14:paraId="5184C7AE" w14:textId="77777777" w:rsidR="00E4342B" w:rsidRPr="00271E51" w:rsidRDefault="00E4342B" w:rsidP="00271E51">
      <w:pPr>
        <w:pStyle w:val="12a"/>
        <w:shd w:val="clear" w:color="auto" w:fill="auto"/>
        <w:spacing w:after="0" w:line="240" w:lineRule="auto"/>
        <w:jc w:val="both"/>
        <w:rPr>
          <w:color w:val="000000" w:themeColor="text1"/>
          <w:sz w:val="16"/>
          <w:szCs w:val="16"/>
        </w:rPr>
      </w:pPr>
    </w:p>
    <w:p w14:paraId="6DED51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г. ГАУ РККА по согласованию с ГБТУ РККА выдало заказ заводу № 38 по разработке зенитной са</w:t>
      </w:r>
      <w:r w:rsidRPr="00271E51">
        <w:rPr>
          <w:rFonts w:ascii="Times New Roman" w:hAnsi="Times New Roman"/>
          <w:color w:val="000000" w:themeColor="text1"/>
          <w:sz w:val="16"/>
          <w:szCs w:val="16"/>
        </w:rPr>
        <w:softHyphen/>
        <w:t>моходной установки, вооруженной 37-мм зенитным автома</w:t>
      </w:r>
      <w:r w:rsidRPr="00271E51">
        <w:rPr>
          <w:rFonts w:ascii="Times New Roman" w:hAnsi="Times New Roman"/>
          <w:color w:val="000000" w:themeColor="text1"/>
          <w:sz w:val="16"/>
          <w:szCs w:val="16"/>
        </w:rPr>
        <w:softHyphen/>
        <w:t>том на шасси, однотипном с шасси СУ-76. Необходимо при</w:t>
      </w:r>
      <w:r w:rsidRPr="00271E51">
        <w:rPr>
          <w:rFonts w:ascii="Times New Roman" w:hAnsi="Times New Roman"/>
          <w:color w:val="000000" w:themeColor="text1"/>
          <w:sz w:val="16"/>
          <w:szCs w:val="16"/>
        </w:rPr>
        <w:softHyphen/>
        <w:t>знать, что эскизный проект, а также необходимые расчеты, выполненные под руководством М.Н. Щукина, к этому вре</w:t>
      </w:r>
      <w:r w:rsidRPr="00271E51">
        <w:rPr>
          <w:rFonts w:ascii="Times New Roman" w:hAnsi="Times New Roman"/>
          <w:color w:val="000000" w:themeColor="text1"/>
          <w:sz w:val="16"/>
          <w:szCs w:val="16"/>
        </w:rPr>
        <w:softHyphen/>
        <w:t>мени были уже завершены и в них требовалось лишь внести некоторые доработки, которые начались в декабре 1943 г. (11417).</w:t>
      </w:r>
    </w:p>
    <w:p w14:paraId="444C313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84F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4631. О бесперебойной поставке мазута на Саратовский крекингзавод с 1 декабря 1943 г. по 1 мая 1944 г. железнодорожным транспортом.РГАНИР, Фонд ГКО, д. 178, лл. 1 (11012).</w:t>
      </w:r>
    </w:p>
    <w:p w14:paraId="6BE11F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5498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4632 Об обеспечении железных дорог углем и дровами для бесперебойной работы в зиму 1943-44 гг. (7159, 2-3,4).</w:t>
      </w:r>
    </w:p>
    <w:p w14:paraId="3263AFD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EA4F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4633 О неотложных мерах по укреплению хозяйства железных дорог, освобожденных от немецкой оккупации. (7159, 5-18,19-22).</w:t>
      </w:r>
    </w:p>
    <w:p w14:paraId="0AEBCFA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8B1D4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4634 О переоборудовании паровозов серии ФД. (7159, 23-26,27-33).</w:t>
      </w:r>
    </w:p>
    <w:p w14:paraId="5AEF092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40022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4635 [О мерах по оказанию срочной помощи шахтам Донбасса для увеличения добычи и отгрузки угля.] (7159, 34-35).</w:t>
      </w:r>
    </w:p>
    <w:p w14:paraId="759E6C5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F93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4636 Об изменении плана производства на IV квартал 1943 года по Наркомсредмашу.РГАНИР, Фонд ГКО, д. 178, лл. 36 (11012).</w:t>
      </w:r>
    </w:p>
    <w:p w14:paraId="3FC081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AB3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4637. Об отмене п.2 постановления ГКО № 4496 от 3 ноября 1943 г. "О производстве аккумуляторного шпона".РГАНИР, Фонд ГКО, д. 178, лл. 37 (11012).</w:t>
      </w:r>
    </w:p>
    <w:p w14:paraId="0206A7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54E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4638. О передаче 300 освобождаемых из заключения мужчин на Соликамский магниевый завод НКЦМ и освобождении их от мобилизации в КА.РГАНИР, Фонд ГКО, д. 178, лл. 38 (11012).</w:t>
      </w:r>
    </w:p>
    <w:p w14:paraId="01E0D42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886C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4639 [О сокращении плана капиталовложений на 1943 г. по строительству железнодорожной линии Комсомольск - Советская Гавань.] (7159, 39).</w:t>
      </w:r>
    </w:p>
    <w:p w14:paraId="7896941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BC68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4640. Об отгрузке 3 тыс. т цемента для НКЭС.РГАНИР, Фонд ГКО, д. 178, лл. 40 (11012).</w:t>
      </w:r>
    </w:p>
    <w:p w14:paraId="2E0EA6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9428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Распоряжение ГКО № 4641 [О мерах по переоборудованию топок 10 котлов ТЭС при лесозаводе им. Куйбышева в Сталинграде на использование донецкого угля.] (7159, 41,42-43).</w:t>
      </w:r>
    </w:p>
    <w:p w14:paraId="60EA103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7D837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4642 Об изготовлении для радиолокационной и радиопромышленности конденсаторов из металлизированной бумаги и тонких слоев металлов и диэлектриков. (7159, 44-46).</w:t>
      </w:r>
    </w:p>
    <w:p w14:paraId="00289F5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631F6"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 4642 «Об изготовлении для радиолокационной и радиопромышленности конденсаторов из металлизированной бумаги и тонких слоев металлов и диэлектриков» (15736).</w:t>
      </w:r>
    </w:p>
    <w:p w14:paraId="1E678449"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044AA5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4643 Об изготовлении электростилочных машин для торфопредприятий Урала.РГАНИР, Фонд ГКО, д. 178, лл. 47, 48-52 (11012).</w:t>
      </w:r>
    </w:p>
    <w:p w14:paraId="3EAFCC8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6F3D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4644 О неотложных мерах помощи по вводу в действие новых мощностей на Кемеровской ГРЭС Наркомэлектростанций и на ТЭЦ комбината № 392 Наркомбоеприпасов. (7159, 53-61,62-66).</w:t>
      </w:r>
    </w:p>
    <w:p w14:paraId="32058F4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60F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4645 О мероприятиях по обеспечению строительства и ввода в действие объектов черной металлургии в IV квартале 1943 г. и I квартале 1944 г. (без Донбасса).РГАНИР, Фонд ГКО, д. 178, лл. 67-75, 76-168 (11012).</w:t>
      </w:r>
    </w:p>
    <w:p w14:paraId="72A9EF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A2B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4646 О создании запасов угля на Казанских электростанциях.РГАНИР, Фонд ГКО, д. 178, лл. 169 (11012).</w:t>
      </w:r>
    </w:p>
    <w:p w14:paraId="2A3D38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B60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вышло Постановление ГКО № 4647 О срочной поставке угля для куйбышевских электростанций.РГАНИР, Фонд ГКО, д. 178, лл. 170 (11012).</w:t>
      </w:r>
    </w:p>
    <w:p w14:paraId="7464D1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A9A99"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999D7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481A9"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22 ноября </w:t>
      </w:r>
      <w:r w:rsidRPr="00271E51">
        <w:rPr>
          <w:rFonts w:ascii="Times New Roman" w:hAnsi="Times New Roman"/>
          <w:color w:val="000000" w:themeColor="text1"/>
          <w:sz w:val="16"/>
          <w:szCs w:val="16"/>
        </w:rPr>
        <w:t>в 1943 году оперативная сводка Совинформбюро:</w:t>
      </w:r>
    </w:p>
    <w:p w14:paraId="781EFA7F"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ноября в излучине Днепра, юго-западнее Днепропетровска, наши войска продолжали вести бои местного значения, в ходе которых улучшили свои позиции.</w:t>
      </w:r>
    </w:p>
    <w:p w14:paraId="577CCCA0"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 наши войска овладели сильно укреплёнными опорными пунктами противника Чикаловка, Константиновка, Абрамовка, Недогорки, Михайловка, Марьевка, Вольный Посад, Ворошиловка, Куколовка.</w:t>
      </w:r>
    </w:p>
    <w:p w14:paraId="69C304F1"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 и Коростышев наши войска продолжали отбивать атаки крупных сил пехоты и танков противника и нанесли ему большие потери в живой силе и технике.</w:t>
      </w:r>
    </w:p>
    <w:p w14:paraId="79A18430"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нижнего течения реки Припять наши войска продвинулись вперёд и с боями заняли населённые пункты Ленинск, Сувиды, Перки, Вельямов, Красно,Зимовище, Бенивка, Старые Шепеличи, Курени, Денисовичи, Углы и железнодорожную станцию Припять.</w:t>
      </w:r>
    </w:p>
    <w:p w14:paraId="44592231"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Речицы наши войска, преодолевая сопротивление противника, овладели населёнными пунктами Шупейки, Хутор, Кокуевичи, Золотуха, Новинки, Малодуш, Старый Барсук, Новый Барсук, Гребенево, Избынь, Дубровица, Омельковщина, Лубеники, Котловица, Заречье, Новая Алексеевка.</w:t>
      </w:r>
    </w:p>
    <w:p w14:paraId="2A819C47"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по расширению плацдарма на правом берегу реки Сож и, сломив сопротивление противника, овладели сильноукрепленными опорными пунктами его обороны Шерстин, Новосёлки, Радуги, Новыймир, Новая Жизнь, Старое Село, Калиновка, Коничев. На других участках фронта —разведка и артиллерийско-миномётная перестрелка.</w:t>
      </w:r>
    </w:p>
    <w:p w14:paraId="4955078A"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ноября наши войска на всех фронтах подбили и уничтожили 190 немецких танков. В воздушных боях и огнём зенитной артиллерии сбито 18 самолётов противника.</w:t>
      </w:r>
    </w:p>
    <w:p w14:paraId="5E0F185D"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части Н-ского соединения в результате ночного боя овладели сильно укреплённым узлом вражеской обороны. Утром немцы подтянули резервы и предприняли несколько контратак. Советские бойцыуспешно отбили все контратаки противника и истребили до батальона гитлеровцев. Подбито и сожжено 10 вражеских танков и 3 самоходных орудия.</w:t>
      </w:r>
    </w:p>
    <w:p w14:paraId="0426A2D2"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Кременчуга наши войска продолжали наступление и заняли несколько опорных пунктов. Неоднократные контратаки немцев успеха не имели. За день боёв уничтожено более 1.000 немецких солдат и офицеров. Подбито и уничтожено 66 танков и самоходных орудий противника. Нашими частями захвачено 4 немецких танка, 36 орудий, 80 пулемётов и свыше 100 автомашин с различными грузами. Взято значительное число пленных.</w:t>
      </w:r>
    </w:p>
    <w:p w14:paraId="59410F81"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Коростышева противник, сосредоточив на узком участке фронта крупные силы пехоты и танков, пытался прорвать нашу оборону. Завязалось ожесточённое сражение. Советские бойцы отразили все атаки немцев и удержали свои позиции. В танковых боях и огнём артиллеристов и бронебойщиков подбито и сожжено до 80 немецких танков. Подступы к нашим позициям усеяны трупами убитых солдат и офицеров противника. В районе Черняхова наши части отразили две вражеские атакии уничтожили до 600 гитлеровцев.</w:t>
      </w:r>
    </w:p>
    <w:p w14:paraId="2FFCB110"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Восемь лётчиков-штурмовиков под командой гвардии капитана Кузина во время налёта на железнодорожную станцию сожгли два и повредили пять воинских эшелонов противника.</w:t>
      </w:r>
    </w:p>
    <w:p w14:paraId="0C218D8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Речицы наши войска продолжали наступление и овладели рядом населённых пунктов. Отбрасывая врага на запад, части Н-ского соединения истребили свыше 800 немецких солдат и офицеров. Захвачено несколько артиллерийских батарей, склад снарядов, мин и другие трофеи. В одном районе наши кавалеристы окружили и уничтожили роту гитлеровцев.</w:t>
      </w:r>
    </w:p>
    <w:p w14:paraId="7E4032C9"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Взяты пленные.</w:t>
      </w:r>
    </w:p>
    <w:p w14:paraId="7FE93DA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наши лётчики потопили нефтеналивную баржу противника водоизмещением в 1.000 тонн.</w:t>
      </w:r>
    </w:p>
    <w:p w14:paraId="31F0355F"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литовского отряда «За Родину» обстреляли бронебойно-зажигательными пулями немецкий эшелон с боеприпасами. Эшелон загорелся и начались сильные взрывы. Все вагоны этого эшелона уничтожены. Другой литовский партизанский отряд за последние дни пустил под откос 4 вражеских поезда. В результате крушений разбиты 3 паровоза и несколько десятков вагонов. Прервано движение поездов противника на важном участке железной дороги.</w:t>
      </w:r>
    </w:p>
    <w:p w14:paraId="673C4C69"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лейтенант 2 батареи 80 артполка 8 немецкой танковой дивизии Карл Гайнц рассказал: «Многодневные тяжёлые бои подорвали боевой дух немецких солдат. Они ещё выполняют приказания офицеров, но делают это без малейшего желания потому, что боятся наказания. Будучи на наблюдательном пункте, я видел, что солдаты часто уклоняются от штыковых схваток. Мощное «ура» русских обычно всегда наводит ужас. Офицеры с тревогой отмечают непрерывное ухудшений военного положения. До недавнего времени у многих ещё теплилась надежда, что русских удастся остановить у Днепра. Теперь эта надежда рухнула. По мнению многих немецких офицеров, падение Киева и потеря значительной части Украины является тягчайшим ударом для Германии. От этого удара немецкая армия уже никогда не оправится».</w:t>
      </w:r>
    </w:p>
    <w:p w14:paraId="0F4C3C41"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городеМелитополе: «Два года немецко-фашистские захватчики свирепствовали в нашем городе, грабили, мучили и убивали мирных жителей. В октябре 1941 года фашистские изверги согнали к мельнице около Бердянского моста более 3 тысяч жителей и расстреляли их у противотанкового рва. Но это было только начало. С тех пор почти ежедневно к противотанковому рву подъезжала специальная крытая автомашина. Гестаповцы выталкивали из неё арестованных советских граждан и расстреливали их. Массовые убийства мирных жителей происходили также на окраинах города, около сёл Данило-Ивановка и Круча. По далеко не полным данным, гитлеровцы за времяо ккупации истребили более 14 тысяч мирных жителей города. При отступлении немецкие бандиты взрывали и поджигали жилые дома вместе с жителями. 13 октября1943 года немецкие палачи загнали в тюрьму более 250 женщин и детей и ночью подожгли тюрьму.</w:t>
      </w:r>
    </w:p>
    <w:p w14:paraId="7AB0307F"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Гитлеровцы разрушили Мелитополь. Они взорвали насосо-компрессорный завод, завод имени Микояна, завод имени Воровского, консервный завод и другие предприятия, а также сотни жилых домов. Главными виновниками этих чудовищных злодеяний являются так называемый генеральный немецкий комиссар Крыма, палач Георг Гейниш, его заместитель Кунценгаузер, начальник гестапо Кула и бургомистр города Классен».</w:t>
      </w:r>
    </w:p>
    <w:p w14:paraId="544182C1"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Городского исполкома Филипповский, жители города Мелитополь — Миньков, Трофимова, Кошкарёв и другие.» (14837).</w:t>
      </w:r>
    </w:p>
    <w:p w14:paraId="70420173"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2F3E82BA" w14:textId="77777777" w:rsidR="00E4342B" w:rsidRPr="00271E51" w:rsidRDefault="00E4342B" w:rsidP="00271E51">
      <w:pPr>
        <w:pStyle w:val="ae"/>
        <w:spacing w:before="0" w:after="0"/>
        <w:jc w:val="both"/>
        <w:textAlignment w:val="baseline"/>
        <w:rPr>
          <w:color w:val="000000" w:themeColor="text1"/>
          <w:sz w:val="16"/>
          <w:szCs w:val="16"/>
        </w:rPr>
      </w:pPr>
      <w:r w:rsidRPr="00271E51">
        <w:rPr>
          <w:color w:val="000000" w:themeColor="text1"/>
          <w:sz w:val="16"/>
          <w:szCs w:val="16"/>
        </w:rPr>
        <w:t>22 ноября 1943 года, находясь в засаде южнее Ястребня, СУ-85 лейтенанта В.С. Крысова и младшего лейтенанта Макарова из 1454-го сап во взаимодействии с артиллерией умудрились отбить атаку примерно 60 немецких танков, в том числе 11 «Тигров». Экипаж Крысова подбил 3 танка, ещё один был уничтожен совместно с самоходчиками Макарова. Через месяц, 29 декабря 1943 года, произошёл бой за Антополь-Боярку, в котором отличился лейтенант В.А. Курочкин. Сражаясь с оппонентами Крысова из дивизии СС «Лейбштандарт Адольф Гитлер», экипаж Курочкина умудрился переиграть двух «Тигров» и уничтожить один из них. Позже этот эпизод Курочкин опишет в повести «На войне как на войне». Ставший знаменитым по одноимённому фильму Малешкин — это и есть тот самый Курочкин (17719).</w:t>
      </w:r>
    </w:p>
    <w:p w14:paraId="0C29ED6B" w14:textId="77777777" w:rsidR="00E4342B" w:rsidRPr="00271E51" w:rsidRDefault="00E4342B" w:rsidP="00271E51">
      <w:pPr>
        <w:pStyle w:val="12a"/>
        <w:shd w:val="clear" w:color="auto" w:fill="auto"/>
        <w:spacing w:after="0" w:line="240" w:lineRule="auto"/>
        <w:jc w:val="both"/>
        <w:rPr>
          <w:color w:val="000000" w:themeColor="text1"/>
          <w:sz w:val="16"/>
          <w:szCs w:val="16"/>
        </w:rPr>
      </w:pPr>
    </w:p>
    <w:p w14:paraId="3F85DF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попытка прорыва бло</w:t>
      </w:r>
      <w:r w:rsidRPr="00271E51">
        <w:rPr>
          <w:rFonts w:ascii="Times New Roman" w:hAnsi="Times New Roman"/>
          <w:color w:val="000000" w:themeColor="text1"/>
          <w:sz w:val="16"/>
          <w:szCs w:val="16"/>
        </w:rPr>
        <w:softHyphen/>
        <w:t>кады Эльтигена четырьмя катерами закончилась тем, что прорвался только один катер, остальные три катера были потоплены. По данным штаба высадки безвозврат</w:t>
      </w:r>
      <w:r w:rsidRPr="00271E51">
        <w:rPr>
          <w:rFonts w:ascii="Times New Roman" w:hAnsi="Times New Roman"/>
          <w:color w:val="000000" w:themeColor="text1"/>
          <w:sz w:val="16"/>
          <w:szCs w:val="16"/>
        </w:rPr>
        <w:softHyphen/>
        <w:t>ные потери Чф с 01.11 по 06.12.43 г. составили 93 плавединицы: 5 - в боях с БДБ противника, 41 - от артогня, 24 -во время шторма, 13 - подорвались на минах, 7 - потоплены авиацией и 3 - по неизвестным причинам (6467).</w:t>
      </w:r>
    </w:p>
    <w:p w14:paraId="0DCF18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AF46E"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56DFF8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3F7E4B7" w14:textId="77777777" w:rsidR="008C6E30" w:rsidRPr="00271E51" w:rsidRDefault="008C6E3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22–23 ноября 1943 бомбардировочное командование совершает самый крупный на тот день налет на Берлин, отправив 746 бомбардировщиков. Несмотря на то, что бомбардировщикам приходилось бомбить при достаточно плохой погоде, чтобы сбить с с толку большинство немецких ночных истребителей, бомбардировщики проводят один из самых успешных налетов войны, создав несколько огненных штормов с дымом, достигающим высоты 19 000 футов (5 800 м), в результате чего 175 000 человек остались без крова и нанести ущерб многим достопримечательностям в центре Берлина, а также нескольким фабрикам и правительственным зданиям. Двадцать шесть британских бомбардировщиков (3,4 процента сил) потеряны. Это последний раз, когда Шорт Стирлинги участвуют в налете на цель в Германии (20376).</w:t>
      </w:r>
    </w:p>
    <w:p w14:paraId="180E160D" w14:textId="77777777" w:rsidR="008C6E30" w:rsidRPr="00271E51" w:rsidRDefault="008C6E30" w:rsidP="00271E51">
      <w:pPr>
        <w:spacing w:after="0" w:line="240" w:lineRule="auto"/>
        <w:jc w:val="both"/>
        <w:rPr>
          <w:rFonts w:ascii="Times New Roman" w:hAnsi="Times New Roman"/>
          <w:color w:val="0070C0"/>
          <w:sz w:val="16"/>
          <w:szCs w:val="16"/>
        </w:rPr>
      </w:pPr>
    </w:p>
    <w:p w14:paraId="695C80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22, 1943: German troops complete the occupation of the islands of the Dodekanes in the eastern Mediterranean (3819).</w:t>
      </w:r>
    </w:p>
    <w:p w14:paraId="1CC211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1882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немецкие войска завершили оккупацию Додеканских островов в восточном Средиземноморье (3819).</w:t>
      </w:r>
    </w:p>
    <w:p w14:paraId="3346A1A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3A0E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Бразилия объявила об отправке своих солдат в Европу для участия в борьбе с фашизмом (4962).</w:t>
      </w:r>
    </w:p>
    <w:p w14:paraId="0130FB6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9D325"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началась Каирская конференция Рузвельта, Черчилля и Чан Кайши (4962).</w:t>
      </w:r>
    </w:p>
    <w:p w14:paraId="129610C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E7B8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началась Первая Каирская конференция (2262).</w:t>
      </w:r>
    </w:p>
    <w:p w14:paraId="20A5F7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3CE72"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22 ноября </w:t>
      </w:r>
      <w:r w:rsidRPr="00271E51">
        <w:rPr>
          <w:rFonts w:ascii="Times New Roman" w:hAnsi="Times New Roman"/>
          <w:color w:val="000000" w:themeColor="text1"/>
          <w:sz w:val="16"/>
          <w:szCs w:val="16"/>
        </w:rPr>
        <w:t xml:space="preserve">в 1943 году (22–26 ноября) Конференция глав правительств США, Англии и Китая Рузвельта, Черчилля, Чан-Кайши в Каире. Обсуждались перспективы изгнания Японии из всех оккупированных ею территорий и восстановление независимости Кореи. 27 ноября Рузвельт и Черчилль вылетели в Тегеран, где 28 ноября открылась их конференция со Сталиным. Союзники сообщили Сталину о скором открытии второго фронта в Европе, а он предъявил ряд требований: оставить Советскому Союзу все территории, которые он оккупировал по пакту 1939 года с Гитлером; дополнительно отдать Советскому Союзу Восточную Пруссию </w:t>
      </w:r>
      <w:r w:rsidRPr="00271E51">
        <w:rPr>
          <w:rFonts w:ascii="Times New Roman" w:hAnsi="Times New Roman"/>
          <w:color w:val="000000" w:themeColor="text1"/>
          <w:sz w:val="16"/>
          <w:szCs w:val="16"/>
        </w:rPr>
        <w:lastRenderedPageBreak/>
        <w:t>(нынешнюю Калининградскую область); распустить польское правительство в изгнании, находившееся в Лондоне. Рузвельт и Черчилль не обещали удовлетворить территориальные притязания Сталина, но уже на ялтинской конференции 1945 года согласились выполнить его требования. По поводу Польши они ответили резким отказом. Как известно, Сталин еще до ялтинской встречи создал марионеточное польское правительство и после войны прибрал к рукам и Польшу (14837).</w:t>
      </w:r>
    </w:p>
    <w:p w14:paraId="1F13B6A5"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525299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ноября 1943 провозглашена независимость Ливана (3960, 455).</w:t>
      </w:r>
    </w:p>
    <w:p w14:paraId="45D7C13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CC656"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22 ноября </w:t>
      </w:r>
      <w:r w:rsidRPr="00271E51">
        <w:rPr>
          <w:rFonts w:ascii="Times New Roman" w:hAnsi="Times New Roman"/>
          <w:color w:val="000000" w:themeColor="text1"/>
          <w:sz w:val="16"/>
          <w:szCs w:val="16"/>
        </w:rPr>
        <w:t>в 1943 году в результате массовой кампании протеста в Ливане и других арабских странах правительство «Свободной Франции» признало независимость Ливанской Республики. Президент Б.аль-Хурри вышел на свободу и вновь сформировал правтельство из членов Конституционного Блока. Провозглашение независимости Ливана. Национальный праздник Ливанской Республики — День Независимости (14837).</w:t>
      </w:r>
    </w:p>
    <w:p w14:paraId="47F172CF"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14CE576E" w14:textId="77777777" w:rsidR="00C73116" w:rsidRPr="00271E51" w:rsidRDefault="00C7311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22 ноября </w:t>
      </w:r>
      <w:r w:rsidRPr="00271E51">
        <w:rPr>
          <w:rFonts w:ascii="Times New Roman" w:hAnsi="Times New Roman"/>
          <w:color w:val="000000" w:themeColor="text1"/>
          <w:sz w:val="16"/>
          <w:szCs w:val="16"/>
        </w:rPr>
        <w:t>в 1943 году правительство Бразилии заявило об отправке на европейский театр военных действий 60-тысячного контингента военнослужащих (14837).</w:t>
      </w:r>
    </w:p>
    <w:p w14:paraId="4AFCC8F0" w14:textId="77777777" w:rsidR="00C73116" w:rsidRPr="00271E51" w:rsidRDefault="00C73116" w:rsidP="00271E51">
      <w:pPr>
        <w:spacing w:after="0" w:line="240" w:lineRule="auto"/>
        <w:jc w:val="both"/>
        <w:rPr>
          <w:rFonts w:ascii="Times New Roman" w:hAnsi="Times New Roman"/>
          <w:color w:val="000000" w:themeColor="text1"/>
          <w:sz w:val="16"/>
          <w:szCs w:val="16"/>
        </w:rPr>
      </w:pPr>
    </w:p>
    <w:p w14:paraId="5EB57EF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3D3E8F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E6B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23 ноября 1943 продолжились прерванные 6 ноября 1943 из-за аварийной посадки в Ногинске из-за разрушения нагнетателя заводские испытания И-231 (МиГ-3У АМ-39А с удлиненными консолями). В.Н.Савкин сел с выпущенными шасси и спас машину, получив ОКЗвезды. Скорость достигала 701 км/час на 7100. 26 февраля 1944 машину направили на гос. испытания (5046,34).</w:t>
      </w:r>
    </w:p>
    <w:p w14:paraId="0F97D0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064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выполнили контрольный облет 2Д МиГ после аварии (992,11).</w:t>
      </w:r>
    </w:p>
    <w:p w14:paraId="318ECA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BD6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23 ноября 1943 по июнь 1944 испытывали второй ИТП с М-107А (М-2) (148,29).</w:t>
      </w:r>
    </w:p>
    <w:p w14:paraId="6B82A0E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был готов в ноябре 1942</w:t>
      </w:r>
    </w:p>
    <w:p w14:paraId="0D63B3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третьим данным 23 ноября 1943 был первый полет ИТП (М-2) с АМ-39 (1263,51).</w:t>
      </w:r>
    </w:p>
    <w:p w14:paraId="44F7AE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9CA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г. первый полет совершил тяжелый пушечный истребитель ИТП М-2 конструкции Н.Н. Поликарпова. Из-за недоведенности мотора летные данные самолета были определены только на первой скорости нагнетателя: удалось достичь максимальной скорости на форсаже 650 км/ч в полете на высоте всего 570 м. После доводки мотора ожидалось получение на второй расчетной высоте максимальной скорости более 700 км/ч. (9032).</w:t>
      </w:r>
    </w:p>
    <w:p w14:paraId="45EB12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65DE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г. ИТП (М-2) выполнил свой первый полет. В ходе испытаний на номинальном режиме была получена максимальная скорость полета у земли - 540 км/ч и на первой расчетной высоте 2500 м - 570 км/ч. На форсажном режиме, соответственно 600 и 650 км/ч.</w:t>
      </w:r>
    </w:p>
    <w:p w14:paraId="68EE7C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как мотор АМ-39 не был доведен, скорость на второй расчетной высоте не определялась. Испытания ИТП были прекращены летом 1944 г. после смерти Поликарпова (9649).</w:t>
      </w:r>
    </w:p>
    <w:p w14:paraId="201CE3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9D0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г. ИТП (М-2) с АМ-39 совершил первый вылет, а второй, после устранения выявленных замечаний, - 2 де</w:t>
      </w:r>
      <w:r w:rsidRPr="00271E51">
        <w:rPr>
          <w:rFonts w:ascii="Times New Roman" w:hAnsi="Times New Roman"/>
          <w:color w:val="000000" w:themeColor="text1"/>
          <w:sz w:val="16"/>
          <w:szCs w:val="16"/>
        </w:rPr>
        <w:softHyphen/>
        <w:t>кабря. К середине июня 1944 г. были достигнуты следу</w:t>
      </w:r>
      <w:r w:rsidRPr="00271E51">
        <w:rPr>
          <w:rFonts w:ascii="Times New Roman" w:hAnsi="Times New Roman"/>
          <w:color w:val="000000" w:themeColor="text1"/>
          <w:sz w:val="16"/>
          <w:szCs w:val="16"/>
        </w:rPr>
        <w:softHyphen/>
        <w:t>ющие летные характеристики: максимальная скорость у земли 540 км/ч и 600 км/ч на форсаже, на высоте 2500 м - 570 км/ч (650 км/ч на форсаже), на 5000 м - 560 км/ч, время набора высоты 6000 м составляло 6 мин, потолок -11500 м. В целом это был хороший и мощно вооруженный истребитель. Но к этому времени уже летали, хотя и с более слабым вооружением, модификации «Яков» и ИТП не стали запускать в производство (10667).</w:t>
      </w:r>
    </w:p>
    <w:p w14:paraId="6EFFB4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C933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г. ИТП (М-2) совершил первый полет,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5BBD69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907A5" w:rsidRPr="00271E51" w14:paraId="650D0067" w14:textId="77777777" w:rsidTr="00ED5B0A">
        <w:tc>
          <w:tcPr>
            <w:tcW w:w="3736" w:type="dxa"/>
            <w:tcBorders>
              <w:top w:val="single" w:sz="12" w:space="0" w:color="auto"/>
            </w:tcBorders>
          </w:tcPr>
          <w:p w14:paraId="0C9145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3C1C74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w:t>
            </w:r>
          </w:p>
        </w:tc>
        <w:tc>
          <w:tcPr>
            <w:tcW w:w="3736" w:type="dxa"/>
            <w:tcBorders>
              <w:top w:val="single" w:sz="12" w:space="0" w:color="auto"/>
            </w:tcBorders>
          </w:tcPr>
          <w:p w14:paraId="2AB4617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М-2</w:t>
            </w:r>
          </w:p>
        </w:tc>
      </w:tr>
      <w:tr w:rsidR="00A907A5" w:rsidRPr="00271E51" w14:paraId="2369F040" w14:textId="77777777" w:rsidTr="00ED5B0A">
        <w:tc>
          <w:tcPr>
            <w:tcW w:w="3736" w:type="dxa"/>
          </w:tcPr>
          <w:p w14:paraId="3ED563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3736" w:type="dxa"/>
          </w:tcPr>
          <w:p w14:paraId="1B4DAD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3736" w:type="dxa"/>
          </w:tcPr>
          <w:p w14:paraId="0E1053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4449F223" w14:textId="77777777" w:rsidTr="00ED5B0A">
        <w:tc>
          <w:tcPr>
            <w:tcW w:w="3736" w:type="dxa"/>
          </w:tcPr>
          <w:p w14:paraId="323298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в линии полета (м)</w:t>
            </w:r>
          </w:p>
        </w:tc>
        <w:tc>
          <w:tcPr>
            <w:tcW w:w="3736" w:type="dxa"/>
          </w:tcPr>
          <w:p w14:paraId="5A15EF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8,95</w:t>
            </w:r>
          </w:p>
        </w:tc>
        <w:tc>
          <w:tcPr>
            <w:tcW w:w="3736" w:type="dxa"/>
          </w:tcPr>
          <w:p w14:paraId="1697454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r>
      <w:tr w:rsidR="00A907A5" w:rsidRPr="00271E51" w14:paraId="306228FC" w14:textId="77777777" w:rsidTr="00ED5B0A">
        <w:tc>
          <w:tcPr>
            <w:tcW w:w="3736" w:type="dxa"/>
          </w:tcPr>
          <w:p w14:paraId="63DB02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3736" w:type="dxa"/>
          </w:tcPr>
          <w:p w14:paraId="640672D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c>
          <w:tcPr>
            <w:tcW w:w="3736" w:type="dxa"/>
          </w:tcPr>
          <w:p w14:paraId="6671A20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r>
      <w:tr w:rsidR="00A907A5" w:rsidRPr="00271E51" w14:paraId="06E03BD4" w14:textId="77777777" w:rsidTr="00ED5B0A">
        <w:tc>
          <w:tcPr>
            <w:tcW w:w="3736" w:type="dxa"/>
          </w:tcPr>
          <w:p w14:paraId="40CB0C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3736" w:type="dxa"/>
          </w:tcPr>
          <w:p w14:paraId="48B463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2598</w:t>
            </w:r>
          </w:p>
        </w:tc>
        <w:tc>
          <w:tcPr>
            <w:tcW w:w="3736" w:type="dxa"/>
          </w:tcPr>
          <w:p w14:paraId="4B4DE8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3095</w:t>
            </w:r>
          </w:p>
        </w:tc>
      </w:tr>
      <w:tr w:rsidR="00A907A5" w:rsidRPr="00271E51" w14:paraId="707E8FD3" w14:textId="77777777" w:rsidTr="00ED5B0A">
        <w:tc>
          <w:tcPr>
            <w:tcW w:w="3736" w:type="dxa"/>
          </w:tcPr>
          <w:p w14:paraId="6363E1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(кг)</w:t>
            </w:r>
          </w:p>
        </w:tc>
        <w:tc>
          <w:tcPr>
            <w:tcW w:w="3736" w:type="dxa"/>
          </w:tcPr>
          <w:p w14:paraId="09C049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(3366)</w:t>
            </w:r>
          </w:p>
        </w:tc>
        <w:tc>
          <w:tcPr>
            <w:tcW w:w="3736" w:type="dxa"/>
          </w:tcPr>
          <w:p w14:paraId="30CE2C1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3820</w:t>
            </w:r>
          </w:p>
        </w:tc>
      </w:tr>
      <w:tr w:rsidR="00A907A5" w:rsidRPr="00271E51" w14:paraId="32EA760F" w14:textId="77777777" w:rsidTr="00ED5B0A">
        <w:tc>
          <w:tcPr>
            <w:tcW w:w="3736" w:type="dxa"/>
          </w:tcPr>
          <w:p w14:paraId="42607C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крыло (кг/м2)</w:t>
            </w:r>
          </w:p>
        </w:tc>
        <w:tc>
          <w:tcPr>
            <w:tcW w:w="3736" w:type="dxa"/>
          </w:tcPr>
          <w:p w14:paraId="0A8995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227</w:t>
            </w:r>
          </w:p>
        </w:tc>
        <w:tc>
          <w:tcPr>
            <w:tcW w:w="3736" w:type="dxa"/>
          </w:tcPr>
          <w:p w14:paraId="5B42F6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w:t>
            </w:r>
          </w:p>
        </w:tc>
      </w:tr>
      <w:tr w:rsidR="00A907A5" w:rsidRPr="00271E51" w14:paraId="52D602E7" w14:textId="77777777" w:rsidTr="00ED5B0A">
        <w:tc>
          <w:tcPr>
            <w:tcW w:w="3736" w:type="dxa"/>
          </w:tcPr>
          <w:p w14:paraId="67BFFE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(км/ч)</w:t>
            </w:r>
          </w:p>
        </w:tc>
        <w:tc>
          <w:tcPr>
            <w:tcW w:w="3736" w:type="dxa"/>
          </w:tcPr>
          <w:p w14:paraId="4B89F7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541</w:t>
            </w:r>
          </w:p>
        </w:tc>
        <w:tc>
          <w:tcPr>
            <w:tcW w:w="3736" w:type="dxa"/>
          </w:tcPr>
          <w:p w14:paraId="06E9CF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r>
      <w:tr w:rsidR="00A907A5" w:rsidRPr="00271E51" w14:paraId="5DB3FE32" w14:textId="77777777" w:rsidTr="00ED5B0A">
        <w:tc>
          <w:tcPr>
            <w:tcW w:w="3736" w:type="dxa"/>
          </w:tcPr>
          <w:p w14:paraId="773A356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 скорость у земли на форсаже (км/ч)</w:t>
            </w:r>
          </w:p>
        </w:tc>
        <w:tc>
          <w:tcPr>
            <w:tcW w:w="3736" w:type="dxa"/>
          </w:tcPr>
          <w:p w14:paraId="0F208A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549</w:t>
            </w:r>
          </w:p>
        </w:tc>
        <w:tc>
          <w:tcPr>
            <w:tcW w:w="3736" w:type="dxa"/>
          </w:tcPr>
          <w:p w14:paraId="6E7A1C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r>
      <w:tr w:rsidR="00A907A5" w:rsidRPr="00271E51" w14:paraId="37101CF1" w14:textId="77777777" w:rsidTr="00ED5B0A">
        <w:tc>
          <w:tcPr>
            <w:tcW w:w="3736" w:type="dxa"/>
          </w:tcPr>
          <w:p w14:paraId="5D2B9F3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высоте 5000 м (км/ч)</w:t>
            </w:r>
          </w:p>
        </w:tc>
        <w:tc>
          <w:tcPr>
            <w:tcW w:w="3736" w:type="dxa"/>
          </w:tcPr>
          <w:p w14:paraId="6D875B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645*</w:t>
            </w:r>
          </w:p>
        </w:tc>
        <w:tc>
          <w:tcPr>
            <w:tcW w:w="3736" w:type="dxa"/>
          </w:tcPr>
          <w:p w14:paraId="7CDFF6E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58AE7737" w14:textId="77777777" w:rsidTr="00ED5B0A">
        <w:tc>
          <w:tcPr>
            <w:tcW w:w="3736" w:type="dxa"/>
          </w:tcPr>
          <w:p w14:paraId="00330A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3736" w:type="dxa"/>
          </w:tcPr>
          <w:p w14:paraId="412170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3736" w:type="dxa"/>
          </w:tcPr>
          <w:p w14:paraId="3ADA02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r w:rsidR="00A907A5" w:rsidRPr="00271E51" w14:paraId="663BDB23" w14:textId="77777777" w:rsidTr="00ED5B0A">
        <w:tc>
          <w:tcPr>
            <w:tcW w:w="3736" w:type="dxa"/>
            <w:tcBorders>
              <w:bottom w:val="single" w:sz="12" w:space="0" w:color="auto"/>
            </w:tcBorders>
          </w:tcPr>
          <w:p w14:paraId="382059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(м)</w:t>
            </w:r>
          </w:p>
        </w:tc>
        <w:tc>
          <w:tcPr>
            <w:tcW w:w="3736" w:type="dxa"/>
            <w:tcBorders>
              <w:bottom w:val="single" w:sz="12" w:space="0" w:color="auto"/>
            </w:tcBorders>
          </w:tcPr>
          <w:p w14:paraId="4C0D48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736" w:type="dxa"/>
            <w:tcBorders>
              <w:bottom w:val="single" w:sz="12" w:space="0" w:color="auto"/>
            </w:tcBorders>
          </w:tcPr>
          <w:p w14:paraId="34B030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r>
    </w:tbl>
    <w:p w14:paraId="2152C3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Скорость на высоте 6200 м</w:t>
      </w:r>
    </w:p>
    <w:p w14:paraId="7F3153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Максимальная скорость на 2500 м. на форсаже 650 км/ч</w:t>
      </w:r>
    </w:p>
    <w:p w14:paraId="22584C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Время набора высоты (12016).</w:t>
      </w:r>
    </w:p>
    <w:p w14:paraId="3069DE1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A1CFA"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23 ноября 1943 г. ИТП (М-2) с АМ-39 выполнил первый полет. Темпе</w:t>
      </w:r>
      <w:r w:rsidRPr="00271E51">
        <w:rPr>
          <w:color w:val="000000" w:themeColor="text1"/>
          <w:sz w:val="16"/>
          <w:szCs w:val="16"/>
        </w:rPr>
        <w:softHyphen/>
        <w:t>ратура воды и масла была высокой. После дора</w:t>
      </w:r>
      <w:r w:rsidRPr="00271E51">
        <w:rPr>
          <w:color w:val="000000" w:themeColor="text1"/>
          <w:sz w:val="16"/>
          <w:szCs w:val="16"/>
        </w:rPr>
        <w:softHyphen/>
        <w:t>боток 17 декабря был выполнен второй полет — контрольный на проверку винтомоторной группы. Масло в полете продолжало греться. Все сводилось к тому, что мотор требует длительной доводки.</w:t>
      </w:r>
    </w:p>
    <w:p w14:paraId="2FB68FFE"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середине июня 1944 г. была получена мак</w:t>
      </w:r>
      <w:r w:rsidRPr="00271E51">
        <w:rPr>
          <w:color w:val="000000" w:themeColor="text1"/>
          <w:sz w:val="16"/>
          <w:szCs w:val="16"/>
        </w:rPr>
        <w:softHyphen/>
        <w:t>симальная скорость полета у земли — 540 км/ч (600 км/ч на форсаже), на высо</w:t>
      </w:r>
      <w:r w:rsidRPr="00271E51">
        <w:rPr>
          <w:color w:val="000000" w:themeColor="text1"/>
          <w:sz w:val="16"/>
          <w:szCs w:val="16"/>
        </w:rPr>
        <w:softHyphen/>
        <w:t>те 2500 м — 570 км/ч (650 км/ч на форсаже) и на высоте 5000 м — 560 км/ч. Практический потолок — 11 500 м. Время подъема на высоту 5000 м — 6 мин.</w:t>
      </w:r>
    </w:p>
    <w:p w14:paraId="09BECFB4"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Необходимо отметить, что из-за недоведенности мотора летные данные самолета определялись только на первой скорости нагне</w:t>
      </w:r>
      <w:r w:rsidRPr="00271E51">
        <w:rPr>
          <w:color w:val="000000" w:themeColor="text1"/>
          <w:sz w:val="16"/>
          <w:szCs w:val="16"/>
        </w:rPr>
        <w:softHyphen/>
        <w:t>тателя. При этом фактически полу</w:t>
      </w:r>
      <w:r w:rsidRPr="00271E51">
        <w:rPr>
          <w:color w:val="000000" w:themeColor="text1"/>
          <w:sz w:val="16"/>
          <w:szCs w:val="16"/>
        </w:rPr>
        <w:softHyphen/>
        <w:t>ченные летные данные ИТП (М-2) хотя и были ниже на номинальном режиме работы мотора, но хорошо совпадали с расчетными значени</w:t>
      </w:r>
      <w:r w:rsidRPr="00271E51">
        <w:rPr>
          <w:color w:val="000000" w:themeColor="text1"/>
          <w:sz w:val="16"/>
          <w:szCs w:val="16"/>
        </w:rPr>
        <w:softHyphen/>
        <w:t>ями до 1-й расчетной высоты при форсажном режиме работы мотора.</w:t>
      </w:r>
    </w:p>
    <w:p w14:paraId="7832EA5A" w14:textId="77777777" w:rsidR="00E4342B" w:rsidRPr="00271E51" w:rsidRDefault="00E4342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Это обстоятельство вселяло уверенность в получе</w:t>
      </w:r>
      <w:r w:rsidRPr="00271E51">
        <w:rPr>
          <w:color w:val="000000" w:themeColor="text1"/>
          <w:sz w:val="16"/>
          <w:szCs w:val="16"/>
        </w:rPr>
        <w:softHyphen/>
        <w:t>нии на 2-й расчетной высоте максимальной скоро</w:t>
      </w:r>
      <w:r w:rsidRPr="00271E51">
        <w:rPr>
          <w:color w:val="000000" w:themeColor="text1"/>
          <w:sz w:val="16"/>
          <w:szCs w:val="16"/>
        </w:rPr>
        <w:softHyphen/>
        <w:t>сти около 690—700 км/ч.</w:t>
      </w:r>
    </w:p>
    <w:p w14:paraId="54558737" w14:textId="77777777" w:rsidR="00E4342B" w:rsidRPr="00271E51" w:rsidRDefault="00E4342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нагнетатель доработали. Появилась воз</w:t>
      </w:r>
      <w:r w:rsidRPr="00271E51">
        <w:rPr>
          <w:rFonts w:ascii="Times New Roman" w:hAnsi="Times New Roman"/>
          <w:color w:val="000000" w:themeColor="text1"/>
          <w:sz w:val="16"/>
          <w:szCs w:val="16"/>
        </w:rPr>
        <w:softHyphen/>
        <w:t>можность определить максимальную скорость са</w:t>
      </w:r>
      <w:r w:rsidRPr="00271E51">
        <w:rPr>
          <w:rFonts w:ascii="Times New Roman" w:hAnsi="Times New Roman"/>
          <w:color w:val="000000" w:themeColor="text1"/>
          <w:sz w:val="16"/>
          <w:szCs w:val="16"/>
        </w:rPr>
        <w:softHyphen/>
        <w:t>молета на высоте при включении второй скорости нагнетателя. Но не случилось. В очередном полете на высоту 6 июля с включением второй скорости нагнетателя раздуло бензобак. Как выяснилось, не сработал клапан системы заполнения бензоба</w:t>
      </w:r>
      <w:r w:rsidRPr="00271E51">
        <w:rPr>
          <w:rFonts w:ascii="Times New Roman" w:hAnsi="Times New Roman"/>
          <w:color w:val="000000" w:themeColor="text1"/>
          <w:sz w:val="16"/>
          <w:szCs w:val="16"/>
        </w:rPr>
        <w:softHyphen/>
        <w:t>ков инертным газом, в результате чего в одном из консольных бензобаков давление газов превысило допустимое значение и его раздуло. Самолет встал в ремонт. Работы по замене бензобака, устранению повреждений крыла и доводке самолета и его си</w:t>
      </w:r>
      <w:r w:rsidRPr="00271E51">
        <w:rPr>
          <w:rFonts w:ascii="Times New Roman" w:hAnsi="Times New Roman"/>
          <w:color w:val="000000" w:themeColor="text1"/>
          <w:sz w:val="16"/>
          <w:szCs w:val="16"/>
        </w:rPr>
        <w:softHyphen/>
        <w:t>стем велись вплоть до августа (17500).</w:t>
      </w:r>
    </w:p>
    <w:p w14:paraId="70312105" w14:textId="77777777" w:rsidR="00E4342B" w:rsidRPr="00271E51" w:rsidRDefault="00E4342B" w:rsidP="00271E51">
      <w:pPr>
        <w:spacing w:after="0" w:line="240" w:lineRule="auto"/>
        <w:jc w:val="both"/>
        <w:rPr>
          <w:rFonts w:ascii="Times New Roman" w:hAnsi="Times New Roman"/>
          <w:color w:val="000000" w:themeColor="text1"/>
          <w:sz w:val="16"/>
          <w:szCs w:val="16"/>
        </w:rPr>
      </w:pPr>
    </w:p>
    <w:p w14:paraId="27CCA71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Дир. и ГК НИИ-3 СНК А.Костиков писал письмо А.И.Ш. НКАП с просьбой распоряжения директору завода 464 закончить сборку агрегатов объекта 302П на 3-й летный экз., после чего произвести сдачу стапелей и оснастки согласно приказа N 666с от 3 ноября 1943..." (1782).</w:t>
      </w:r>
    </w:p>
    <w:p w14:paraId="713200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B34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23 ноября 1943 появился приказ №00296, подводивший итоги испытаний 25 сентября - 25 октября Бостона с РЛС, утверждавший реальные ТТХ станции: дальность обнаружения корабля водоизмещением более 1000 т при высоте полета 100-200 м - 7-9 км, ширина просматриваемой полосы - 8-10 км. Очевидно, результаты испытаний не вполне удовлетворили флотское руководство, поскольку в период с 16.12.1943 по 7.1.1944 их провели повторно. Станция испытыеалась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w:t>
      </w:r>
      <w:r w:rsidRPr="00271E51">
        <w:rPr>
          <w:rFonts w:ascii="Times New Roman" w:hAnsi="Times New Roman"/>
          <w:color w:val="000000" w:themeColor="text1"/>
          <w:sz w:val="16"/>
          <w:szCs w:val="16"/>
        </w:rPr>
        <w:lastRenderedPageBreak/>
        <w:t>просматриваемой полосы - в 20 км.</w:t>
      </w:r>
    </w:p>
    <w:p w14:paraId="2E2CDD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0A2F83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08D90"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0A3C6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0A7E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вышло Постановление ГКО № 4648 О восстановлении ордена Ленина металлургического завода "Красный Октябрь" Наркомчермета в г. Сталинграде.РГАНИР, Фонд ГКО, д. 179, лл. 1-2, 3-17 (11012).</w:t>
      </w:r>
    </w:p>
    <w:p w14:paraId="4B9FB97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ADC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вышло Распоряжение ГКО № 4649. Об увеличении плана поставки углей НКЧМ в декабре 1943 г.РГАНИР, Фонд ГКО, д. 179, лл. 18-19 (11012).</w:t>
      </w:r>
    </w:p>
    <w:p w14:paraId="5512A4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C5FB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вышло Постановление ГКО № 4650 Об обеспечении рабочими и транспортными средствами плана дровозаготовок для г. Москвы на осенне-зимний сезон 1943/44 гг. (7160, 20-25,26-34).</w:t>
      </w:r>
    </w:p>
    <w:p w14:paraId="58010C1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94D3B"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054B4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AA5EDD"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оперативная сводка Совинформбюро:</w:t>
      </w:r>
    </w:p>
    <w:p w14:paraId="5F063E6B"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ноября в излучине Днепра, юго-западнее Днепропетровска, наши войска, продолжая вести бои местного значения, овладели сильно укреплёнными опорными пунктами противника Ставраки, Кринички, Еленовка, Кодак, Марье-Дмитровка, Ковалёво, Красный Яр, Красное Поле, Александровка, Незабудина.</w:t>
      </w:r>
    </w:p>
    <w:p w14:paraId="0D956BB6"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 наши войска в результате упорных боёв овладели сильно укреплёнными опорными пунктами противника Каменно-Потоцкое, Туркестановка, Мавродеевка, Поповка, Васильевка, Парны, Шевченковский, Березовка и железнодорожной станцией Лекаревка.</w:t>
      </w:r>
    </w:p>
    <w:p w14:paraId="3851DA9E"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 и Брусилов наши войска отбивали атаки крупных сил пехоты и танков противника и нанесли ему большие потери в живой силе и технике. Под давлением противника наши войска оставили несколько населённых пунктов.</w:t>
      </w:r>
    </w:p>
    <w:p w14:paraId="373CAD66"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овладели районным центром Полесской области Брагин, а также заняли более 40 других населённых пунктов; среди них крупные населённые пункты Великий Бор, Михновка, Новый Путь, Шкураты,Дублин, Петьковщина, Жердное, Пересятинец, Кулажин, Крюки, Машево, Моссаны, Довляды, Прохожа.</w:t>
      </w:r>
    </w:p>
    <w:p w14:paraId="2DD4FF44"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Речицы наши войска заняли несколько населённых пунктов.</w:t>
      </w:r>
    </w:p>
    <w:p w14:paraId="5F51AC0B"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по расширению плацдарма на правом берегу реки Сож и улучшили свои позиции.</w:t>
      </w:r>
    </w:p>
    <w:p w14:paraId="5B4201C1"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E4A2833"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ноября наши войска на всех фронтах подбили и уничтожили 182 немецких танка. В воздушных боях и огнём зенитной артиллерии сбито 67 самолётов противника.</w:t>
      </w:r>
    </w:p>
    <w:p w14:paraId="4DF4F342"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вели бои местного значения. Бойцы Н-ской части, продвигаясь вперёд, преодолели широкое минное поле противника. Приблизившись к опорному пункту немцев, советские бойцы перешли в атаку и в результате упорного боя овладели им. На другом участке наши войска отбросили противника и заняли несколько населённых пунктов. В этих боях уничтожено до 800 гитлеровцев и 15 немецких танков.</w:t>
      </w:r>
    </w:p>
    <w:p w14:paraId="492516CC"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совершили несколько налётов на расположение немецких войск и уничтожили несколько танков, до 200 автомашин, а также железнодорожный эшелон противника. В воздушных боях за день сбито 16 немецких самолётов.</w:t>
      </w:r>
    </w:p>
    <w:p w14:paraId="2EE87890"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Кременчуга части Н-ского соединения, продолжая наступление, заняли несколько сильно укреплённых опорных пунктов противника. За день боёв уничтожено до полка немецкой пехоты, 35 танков и бронемашин и несколько самоходных орудий. Захвачено у немцев 7 исправных танков, самоходное орудие «Фердинанд» и до 100 автомашин. Взято значительное число пленных. На другом участке танки и мотопехота противника перешли в контратаку. Наши бойцы отбросили немцев и уничтожили 21 танк и 7 бронетранспортёров. Захвачено 4 бронетранспортёра и другие трофеи.</w:t>
      </w:r>
    </w:p>
    <w:p w14:paraId="2765E7BC"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Черняхова и Брусилова наши войска отбивали атаки противника. Не считаясь с огромными потерями, немцы бросали в атаки крупные силы танков ипехоты. Бои нередко переходили в рукопашные схватки. Советские пехотинцы, танкисты и артиллеристы, отражая атаки противника, подбили и уничтожили более 100 вражеских танков и истребили до 2.000 немецких солдат и офицеров. В одном районе наши войска после упорных боёв, в ходе которых противник понёс тяжёлые потери, оставили несколько населённых пунктов.</w:t>
      </w:r>
    </w:p>
    <w:p w14:paraId="0B77CC5A"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массированные удары по боевым порядкам и подходящим резервам противника. В воздушных боях сбито 19 немецких самолётов.</w:t>
      </w:r>
    </w:p>
    <w:p w14:paraId="0DE73CE4"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продолжали наступление и заняли свыше 40 населённых пунктов. Части Н-ского соединения овладели районным центром Полесской области Брагином. На одном участке наши бойцы окружили и уничтожили две роты гитлеровцев. Захвачены трофеи и пленные.</w:t>
      </w:r>
    </w:p>
    <w:p w14:paraId="7B17A009"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Речицы наши войска заняли несколько населённых пунктов. Противник оказывает упорное сопротивление, но под ударами советских частей теряет одну позицию за другой. Бойцы Н-ского соединения уничтожили 300 немецких солдат и офицеров, 3 танка, 10 орудий и 60 автомашин с грузами. Захвачено 30 автомашин, 8 орудий и другие трофеи. Взяты пленные.</w:t>
      </w:r>
    </w:p>
    <w:p w14:paraId="546375B9"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за расширение плацдарма назападном берегу реки Сож. Отразив ожесточённые контратаки противника, части Н-ского соединения продвинулись вперёд и овладели выгодными позициями. Уничтожено до 1.500 немецких солдат и офицеров, 10 артиллерийских и миномётных батарей. Захвачено 7 шестиствольных миномётов, 10 полевых и самоходных орудий, 5 противотанковых орудий и 2 склада с военным имуществом.</w:t>
      </w:r>
    </w:p>
    <w:p w14:paraId="06A82F2D"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активно поддерживая действия наших наземных войск, сбили ввоздушных боях 29 самолётов противника.</w:t>
      </w:r>
    </w:p>
    <w:p w14:paraId="7D267336"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тральщик, быстроходная десантная баржа и транспорт противника водоизмещением в 3 тысячи тонн.</w:t>
      </w:r>
    </w:p>
    <w:p w14:paraId="471EE2B7"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латвийских партизанских отрядов за месяц пустили под откос 18 немецких воинских эшелонов. В результате крушений разбито 14 паровозов и более 80 вагонов. В ряде мест партизаны разрушили железнодорожное полотно и прорвали движение поездов на несколько соток. Группа латвийских партизан из засады на шоссейной дороге уничтожила 6 немецких автомашин и 30 вражеских солдат. Советские патриоты убили начальника Лудзенского уезда Ружка, начальника сельскохозяйственного управления барона Штамберга, начальника немецкой полиции Паса и сопровождавшую их охрану.</w:t>
      </w:r>
    </w:p>
    <w:p w14:paraId="06EC6951"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Государственный заповедник СССР Аскания Нова пользовался мировой известностью. В этом прекрасном научном учреждении были собраны экземпляры редких видов животных разных стран света, а также редкие экземпляры различных видов растений. За годы советской власти в Аскании Нова был создан крупнейший научно-исследовательский институт акклиматизации и гибридизации животных. Многочисленный коллектив учёных, научных сотрудников института и Академии наук занимался здесь плодотворной научно-исследовательской деятельностью. Ежегодно в Аскания Нова стекались десятки тысяч экскурсантов со всех концов СоветскогоСоюза, а также из-за границы. Фашистские мерзавцы разорили государственный заповедник Аскания Нова. На новом преступлении немецко-фашистских варваров: </w:t>
      </w:r>
    </w:p>
    <w:p w14:paraId="3690EBF1"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«Немецкие оккупационные власти планомерно уничтожали заповедник инаучно-исследовательский институт. Гитлеровские мерзавцы часто устраивали в зоопарке заповедника охоту. Наиболее ценные экземпляры животных немцы увезли в Германию, а большую часть остальных истребили. Немцы уничтожили зубробизонов, антилоп редких видов, оленей, ланей, представителей пернатого мира — фазанов, лебедей, австралийских фламинго и других. Перед отступлением немецкие солдаты и офицеры обходили вольеры и загоны и расстреливали из автоматов птиц и животных. Не имея возможности, ввиду спешности отступления, истребить всех животных, фашистские вандалы прорвали танками сетки большого загона и выпустили оставшихся животных в степь. Две лошади Пржевальского (из трёх имевшихся в заповеднике) были увезены в Германию, а третья — убита. Гитлеровцы разграбили богатейший музей, увезли в Германию коллекции чучел животных и птиц. Всё, </w:t>
      </w:r>
      <w:r w:rsidRPr="00271E51">
        <w:rPr>
          <w:rFonts w:ascii="Times New Roman" w:hAnsi="Times New Roman"/>
          <w:color w:val="000000" w:themeColor="text1"/>
          <w:sz w:val="16"/>
          <w:szCs w:val="16"/>
        </w:rPr>
        <w:lastRenderedPageBreak/>
        <w:t>что громилы не сумели увезти с собой, они изрезали штыками и ножами. Фашистские варвары разгромили научную библиотеку, насчитывавшую свыше 25 тысяч томов книг на русском и иностранных языках, сожгли и уничтожили редчайший гербарий, насчитывавший до 1.000 видов растений, и богатейшую коллекцию насекомых. Бандиты вытоптали ботанический сад и вырубили редкие экземпляры деревьев. В результате хозяйничания немцев заповедник Аскания Нова разгромлен.</w:t>
      </w:r>
    </w:p>
    <w:p w14:paraId="70B85A22"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зоопарке немецко-фашистские палачи неоднократно устраивали казни советских граждан. Здесь убийцы расстреляли свыше 200 мирных жителей. Более 300 мужчин и женщин из посёлка Аскания Нова немецкие работорговцы угнали на каторгу в Германию.</w:t>
      </w:r>
    </w:p>
    <w:p w14:paraId="6B66C588"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вандалы задались целью разграбить культурные богатства и ценности, созданные советским народом, уничтожить плоды трудов советских учёных, направленные на благо нашей Родины. Фашистские варвары и громилы должны понести суровую и заслуженную кару.</w:t>
      </w:r>
    </w:p>
    <w:p w14:paraId="60B4E3EC"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Непосредственными виновниками разгрома и разграбления научно -исследовательских учреждений в Аскания Нова мы считаем: немецких начальников Мелитопольского управления имениями Шенкеля и Майнике, оберляйтора Лаккеб и его заместителя Шмидта, немецкого «директора» заповедника Аскания Нова — Фридриха Баумгартнера, его заместителя Вильгельма Кельнера, директора Берлинского зоологического сада «профессора» Гека, приехавшего из Берлина для участия в грабежах, и подвизавшуюся при дирекции немку Алису Бергер».</w:t>
      </w:r>
    </w:p>
    <w:p w14:paraId="1698B5C5"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представители научно-исследовательского института Аскания Нова: С.Русалов, В.Хребтов, И.Данильченко и Е.Чемоданова.» (14838).</w:t>
      </w:r>
    </w:p>
    <w:p w14:paraId="7B8202A8"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45ACDACC"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войска 1-го Украинского фронта оставили город Брусилов и ряд других населённых пунктов (14838).</w:t>
      </w:r>
    </w:p>
    <w:p w14:paraId="13529004"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616B9D01"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87308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9FE64"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23–24 ноября (ночь) 1943 383 британских бомбардировщика атакуют Берлин, потеряв 20 машин (5,2% сил). Хотя облачный покров мешает перемещению к цели, экипажи бомбардировщиков могут бомбить, используя 11 крупных пожаров, все еще горящих с предыдущей ночи, в качестве точек прицеливания и нанести дальнейший серьезный урон городу (20376).</w:t>
      </w:r>
    </w:p>
    <w:p w14:paraId="4920FB59" w14:textId="77777777" w:rsidR="00E03D58" w:rsidRPr="00271E51" w:rsidRDefault="00E03D58" w:rsidP="00271E51">
      <w:pPr>
        <w:spacing w:after="0" w:line="240" w:lineRule="auto"/>
        <w:jc w:val="both"/>
        <w:rPr>
          <w:rFonts w:ascii="Times New Roman" w:hAnsi="Times New Roman"/>
          <w:color w:val="0070C0"/>
          <w:sz w:val="16"/>
          <w:szCs w:val="16"/>
        </w:rPr>
      </w:pPr>
    </w:p>
    <w:p w14:paraId="7006E3A1" w14:textId="77777777" w:rsidR="00545A94" w:rsidRPr="00271E51" w:rsidRDefault="00545A9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союзники сбросили 2300 т бомб на Берлин (2100).</w:t>
      </w:r>
    </w:p>
    <w:p w14:paraId="53578C9A" w14:textId="77777777" w:rsidR="00545A94" w:rsidRPr="00271E51" w:rsidRDefault="00545A9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9C630" w14:textId="77777777" w:rsidR="00545A94" w:rsidRPr="00271E51" w:rsidRDefault="00545A9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прекратилось организованное сопротивление на Тараве (2262).</w:t>
      </w:r>
    </w:p>
    <w:p w14:paraId="51F4FBE6" w14:textId="77777777" w:rsidR="00545A94" w:rsidRPr="00271E51" w:rsidRDefault="00545A94"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085F0"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в Германии прервано телевизионное вещание из Берлина, однако вещание из Парижского телецентра продолжалось до начала 1944 года (14838).</w:t>
      </w:r>
    </w:p>
    <w:p w14:paraId="7DCF2ACA"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0FA98916"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на Тихом океане части американской армии оккупируют остров Мейкин, входящий в состав островов Гилберта (14838).</w:t>
      </w:r>
    </w:p>
    <w:p w14:paraId="75FCD4A6"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7F76E554"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американский десант овладел аттолом Тарава. При этом американский флот потерял авианосец (14838).</w:t>
      </w:r>
    </w:p>
    <w:p w14:paraId="0F48BFA1"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74EC3D8E" w14:textId="77777777" w:rsidR="00545A94" w:rsidRPr="00271E51" w:rsidRDefault="00545A9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23 ноября </w:t>
      </w:r>
      <w:r w:rsidRPr="00271E51">
        <w:rPr>
          <w:rFonts w:ascii="Times New Roman" w:hAnsi="Times New Roman"/>
          <w:color w:val="000000" w:themeColor="text1"/>
          <w:sz w:val="16"/>
          <w:szCs w:val="16"/>
        </w:rPr>
        <w:t>в 1943 году во время Каирской конференции состоялась секретная беседа американского президента Франклина Рузвельта с главой гоминьдановского правительства Китая Чан Кайши. (На тройственной встрече с участием также британского премьера Черчилля обсуждались вопросы, связанные с военными операциями против Японии.) Тогда Рузвельт предложил китайскому лидеру заключить после войны американо-китайский военный союз, предусматривавший размещение в Китае, в том числе у советских границ, военных баз США. Чан Кайши с энтузиазмом приветствовал это предложение. При этом Порт-Артур (ныне Люйшунь) и ряд других стратегически важных районов отдавались под прямое американское управление. Корейский полуостров предусматривалось оккупировать и удерживать совместно американскими и китайскими войсками. Оба лидера договаривались и о том, что Франция лишится своих колоний в Юго-Восточной Азии. Рузвельт обещал сотрудничать с правительством Чан Кайши и в устранении английского влияния в Китае (Гонконг, Шанхай, Кантон). Зонами преобладающего влияния США также должны были стать Малайя, Бирма, Индия. Со своей стороны, Чан Кайши ставил вопрос о помощи США по включению Монгольской Народной Республики в состав Китая. Рузвельт соглашался вести переговоры по этому поводу с СССР (14838).</w:t>
      </w:r>
    </w:p>
    <w:p w14:paraId="26026806" w14:textId="77777777" w:rsidR="00545A94" w:rsidRPr="00271E51" w:rsidRDefault="00545A94" w:rsidP="00271E51">
      <w:pPr>
        <w:spacing w:after="0" w:line="240" w:lineRule="auto"/>
        <w:jc w:val="both"/>
        <w:rPr>
          <w:rFonts w:ascii="Times New Roman" w:hAnsi="Times New Roman"/>
          <w:color w:val="000000" w:themeColor="text1"/>
          <w:sz w:val="16"/>
          <w:szCs w:val="16"/>
        </w:rPr>
      </w:pPr>
    </w:p>
    <w:p w14:paraId="455D76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ноября 1943 г. по дороге в Тегеран Рузвельт и Черчилль встретились в Каире. Поскольку конференция обсуждала главным образом дальневосточный вопрос, на нее был приглашен и Чан Кайши. К 1943 г. США играли роль главного союзника Гоминьдана, поэтому в Каире Рузвельт постарался ввести обсуждение дальневосточных проблем в желаемое ему русло. Само приглашение Чан Кайши в Каир энтузиазма у Черчилля не вызывало. Уже просматривалась послевоенная комбинация, замышленная американским президентом: клуб великих держав, из которого исключалась Франция и где США поддерживали "особые" отношения с СССР и Китаем; Великобритания же оказывалась в положении региональной, а не глобальной державы.</w:t>
      </w:r>
    </w:p>
    <w:p w14:paraId="2D9198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Китайский генералиссимус был посвящен в военные планы союзников на Дальнем Востоке. Рузвельт вел также сепаратные переговоры с Чан Кайши. Несмотря на оппозицию Черчилля, Рузвельту удалось протолкнуть американский план освобождения Бирмы и открытия пути коммуникаций с Китаем через бирманскую железную дорогу.</w:t>
      </w:r>
    </w:p>
    <w:p w14:paraId="45816B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конференции Рузвельт добился принятия декларации по Дальнему Востоку. В ней заявлялось о намерении союзников полностью ликвидировать Японскую империю. Китай должен был восстановить контроль над огромными территориями, отвоеванными у него Японией. Но что было особенно важно, Китай включался в число "четырех полицейских" в рамках будущей международной организации. Сталин согласился с Каирской декларацией. Однако при этом он умело подвел союзников к тому, чтобы предоставить СССР сферу влияния на Дальнем Востоке. Главным образом, в партнерстве с Рузвельтом, Сталин сделал заявку на китайский порт Дален, эксплуатацию железных дорог в Манчжурии и передачу Южного Сахалина и Курил СССР (3871).</w:t>
      </w:r>
    </w:p>
    <w:p w14:paraId="1109DB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3D2B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Cairo (Sextant), November 23-26, 1943. Conferees: Churchill, Roosevelt, Chiang Kai-shek: Main results: Agreement on military operations in China against Japanese; promise of postwar return of Manchuria to China and of freedom for Korea (1052).</w:t>
      </w:r>
    </w:p>
    <w:p w14:paraId="3EF6DF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13C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23-26 ноября 1943 состоялась первая (всего шестая) конференция в Каире. Присутствовали Ф.Д.Р., У.Черчиль и Чан Кай Ши. Приняли решение об операциях в Китае, Манчжурии и Корее (1052).</w:t>
      </w:r>
    </w:p>
    <w:p w14:paraId="04A276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AAF47"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FE336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BEC6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Зам. НКАП П.Дементьев писал письмо N Н-30/4696 Нач. ВИАМ А.Т.Туманову (копии Нач. НИИ ВВС П.А.Лосюкову и Дир. завода 207 Засульскому):</w:t>
      </w:r>
    </w:p>
    <w:p w14:paraId="13CF94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отчетом НИИ ВВС по испытаниям образцов экранированной брони предлагаю довести до сведения конструкторов самолетов характеристики этой брони и результаты испытаний, а также отработать экранированную систему для защиты от немецких снарядов калибра 20 мм и экранированную систему с гомогенным экраном." (1783,300).</w:t>
      </w:r>
    </w:p>
    <w:p w14:paraId="1D7816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FA60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ГИ ВВС Репин писал письмо N 615732 НКАП А.И.Ш.:</w:t>
      </w:r>
    </w:p>
    <w:p w14:paraId="7A51305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войны показал, что Ил-2 с крыльями, имеющими фанерную обшивку, несут большие потери в сравнении с самолетами, имеющими металлические крылья.</w:t>
      </w:r>
    </w:p>
    <w:p w14:paraId="17B9AE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Снаряд, даже малого калибра, пробивая крыло смешанной конструкции разрушает на выходе обшивку площадью до 2 км. м, производя вспучивание и отклейку обшивки на соседних участках, что способствует срыву всей обшивки потоком воздуха.</w:t>
      </w:r>
    </w:p>
    <w:p w14:paraId="4962F7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Попадание снарядов в крыла самолетов смешанной конструкции часто вызывает загорание самолетов в воздухе.</w:t>
      </w:r>
    </w:p>
    <w:p w14:paraId="74B93D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боевой эксплуатации самолета смешанной конструкции, под воздействием атмосферных условий происходит растрескивание, отклеивание и коробление фанерной обшивки, что снижает аэродинамические качества и прочность самолетов.</w:t>
      </w:r>
    </w:p>
    <w:p w14:paraId="0166E18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Восстановление поврежденных самолетов требует специальных условий для склейки в полевых условиях, что осенью и зимой затруднено.</w:t>
      </w:r>
    </w:p>
    <w:p w14:paraId="62E6C3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вышеизложенного я поддерживаю предложение ГК С.В.И. и прошу Вашего распоряжения производить Ил-2 только с металлическими крыльями." (1780).</w:t>
      </w:r>
    </w:p>
    <w:p w14:paraId="49E6B5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1D1C7"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24 ноября 1943 ГИ ВВС Репин писал письмо N 615732 НКАП А.И.Шахурину:</w:t>
      </w:r>
    </w:p>
    <w:p w14:paraId="36698A4C"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Опыт войны показал, что Ил-2 с крыльями, имеющими фанерную обшивку, несут большие потери в сравнении с самолетами, имеющими металлические крылья.</w:t>
      </w:r>
    </w:p>
    <w:p w14:paraId="09EB58A2"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lastRenderedPageBreak/>
        <w:t>Снаряд, даже малого калибра, пробивая крыло смешанной конструкции разрушает на выходе обшивку площадью до 2 км. м, производя вспучивание и отклейку обшивки на соседних участках, что способствует срыву всей обшивки потоком воздуха.</w:t>
      </w:r>
    </w:p>
    <w:p w14:paraId="24B3FC38"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Попадание снарядов в крыла самолетов смешанной конструкции часто вызывает загорание самолетов в воздухе.</w:t>
      </w:r>
    </w:p>
    <w:p w14:paraId="27DFC11E"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При боевой эксплуатации самолета смешанной конструкции, под воздействием атмосферных условий происходит растрескивание, отклеивание и коробление фанерной обшивки, что снижает аэродинамические качества и прочность самолетов.</w:t>
      </w:r>
    </w:p>
    <w:p w14:paraId="4E006E65"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Восстановление поврежденных самолетов требует специальных условий для склейки в полевых условиях, что осенью и зимой затруднено.</w:t>
      </w:r>
    </w:p>
    <w:p w14:paraId="0197F203"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На основании вышеизложенного я поддерживаю предложение ГК С.В.И. и прошу Вашего распоряжения производить Ил-2 только с металлическими крыльями.</w:t>
      </w:r>
    </w:p>
    <w:p w14:paraId="3D2BFDFC" w14:textId="77777777" w:rsidR="00A17B42" w:rsidRPr="00271E51" w:rsidRDefault="00A17B4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Но все это косвенные доказательства, т.к. ни в одном из документов нет указания, когда были выпущены Заводом №18 Ил-2 с металлическим крылом, в 1942 или 1943г. (19206)/</w:t>
      </w:r>
    </w:p>
    <w:p w14:paraId="5BBB7C6C" w14:textId="77777777" w:rsidR="00A17B42" w:rsidRPr="00271E51" w:rsidRDefault="00A17B42" w:rsidP="00271E51">
      <w:pPr>
        <w:spacing w:after="0" w:line="240" w:lineRule="auto"/>
        <w:jc w:val="both"/>
        <w:rPr>
          <w:rFonts w:ascii="Times New Roman" w:hAnsi="Times New Roman"/>
          <w:color w:val="000000" w:themeColor="text1"/>
          <w:sz w:val="16"/>
          <w:szCs w:val="16"/>
        </w:rPr>
      </w:pPr>
    </w:p>
    <w:p w14:paraId="42A112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вышел приказ НКАП N 706аc "Об увеличении выпуска Ту-2 на заводе 23" в исполнение постановления ГКО N 4594 от 17 ноября 1943. По 1 в день в январе, в марте - по 2, с июня 1944 - 4 (948,14).</w:t>
      </w:r>
    </w:p>
    <w:p w14:paraId="3847F0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от 17 ноября 1943 г. Приказываю:</w:t>
      </w:r>
    </w:p>
    <w:p w14:paraId="3ADCD1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наркома т. А.И.Кузнецову и директору завода 23 т. Иосиловичу обеспечить выпуск самолетов Ту-2 на заводе 23 к концу января 1944 по одному в день, в марте - по 2, в июле - по четыре.</w:t>
      </w:r>
    </w:p>
    <w:p w14:paraId="446AE57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Давалось задание многим заводам по обеспечению завода № 23 помощью (1835,28).</w:t>
      </w:r>
    </w:p>
    <w:p w14:paraId="53F207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8C0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г. приказом НКАП № 706с в состав завода № 23 с 1.11.1943 г. влит опытный завод № 117 НКАП (из Читы) и образован объединенный завод № 23 НКАП (11982).</w:t>
      </w:r>
    </w:p>
    <w:p w14:paraId="5B8CC1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3C6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г. по приказу № 706с опытный завод № 117 6ГУ НКАП был переведён из Читы в Москву и с 1.11.1943 г. влит в состав завода № 23 НКАП.</w:t>
      </w:r>
    </w:p>
    <w:p w14:paraId="5A4ED6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июня 1938 г. вышло пост. Правительства № 116с, в соответствии с которым началось строительство завода № 117 в Киеве для ремонта авиаприборов (Завод № 117 НКАП /г. Киев;  г. Чита/). В 1941 г. после начала войны эвакуирован в Читу на площадку завода авиационных нормалей.</w:t>
      </w:r>
    </w:p>
    <w:p w14:paraId="1D9559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(1941-1943 г.): шасси самолетов СБ и Ил-2, фильтры, крепежные детали, втулки бомбовзрывателей, масляные воздухосистемы, мелкие детали высокой прочности.</w:t>
      </w:r>
    </w:p>
    <w:p w14:paraId="05921B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оставшихся мощностях в Чите создан Читинский машиностроительный завод.</w:t>
      </w:r>
    </w:p>
    <w:p w14:paraId="5132175B" w14:textId="77777777" w:rsidR="00750B15"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(08.1940 г.-)- Н.И. Жуковский, (1942 г.)- Горьковский (11982).</w:t>
      </w:r>
    </w:p>
    <w:p w14:paraId="09B6EF3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Читинский электромеханический завод, Читинский машиностроительный завод, ОАО «Машзавод» /672012  г. Чита ул. Новобульварная, 55/</w:t>
      </w:r>
    </w:p>
    <w:p w14:paraId="4A035C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1938 г. в Чите была создана парашютная фабрика. В 1940 г. она перепрофилирована на производство авиационных нормалей.</w:t>
      </w:r>
    </w:p>
    <w:p w14:paraId="7DED827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после начала войны на площадку завода эвакуирован завод № 117 НКАП из Киева и продолжил действовать под своим номером. По приказу № 706с от 24.11.1943 г. опытный завод № 117 переведён в Москву и с 1.11.1943 г. влит в состав завода № 23 НКАП.</w:t>
      </w:r>
    </w:p>
    <w:p w14:paraId="1BB2922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01.1944 г. на оставшихся мощностях в Чите создан ремонтно-механический завод, в 03.1944 г. он преобразован в Читинский электромеханический завод по выпуску запчастей и специнструмента для заводов и электростанций. Профиль завода долго не определялся, номенклатура продукции часто менялась. В 1945 г. освоен выпуск блок-замков, патронов трехкулачковых, цепей Галя, втулок и гильз, метчиков и др. Освоен выпуск настольных токарных станков, запасных частей к тракторам ДТ-54 и СТЗ-З-НАТИ, режущего инструмента. С 07.1949 г. завод перепрофилирован на производство компрессоров. Затем освоен выпуск холодильных машин.</w:t>
      </w:r>
    </w:p>
    <w:p w14:paraId="2C9DBF4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1957 г. завод переименован в Читинский машиностроительный.</w:t>
      </w:r>
    </w:p>
    <w:p w14:paraId="3AC0E4B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1963 г. введен в строй сборочный цех № 4. В 1964 г.- второй механосборочный цех № 1, расширен кузнечно- прессовый цех № 6. В 1968 г. создана первая в стране компрессорная станция ПВ-10 нового типа - на базе винтового компрессора.</w:t>
      </w:r>
    </w:p>
    <w:p w14:paraId="1512D7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1991 г. завод преобразован в арендное предприятие «Читинский машиностроительный завод», в конце 1992 г.- в ОАО «Машзавод».</w:t>
      </w:r>
    </w:p>
    <w:p w14:paraId="0EE740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Директор-А. Шапневский, (04.1987-90-е)-  Г.И. Карбушев.</w:t>
      </w:r>
    </w:p>
    <w:p w14:paraId="58A49E91" w14:textId="77777777" w:rsidR="00750B15"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(-1987 г.)-  Г.И. Карбушев.</w:t>
      </w:r>
    </w:p>
    <w:p w14:paraId="3E63FAB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компрессоры: ВКС-1, ВКС-1Д (1949-), ВР-7/60%2,2М2 (1980-е), МАК-ЗОРЭ, -40РЭ, -60РЭ, - 80РЭ (1980-е); компрессорные станции: передвижные ВКС-5, ВКС-6 (1949-), ДК-9; ПВ-10 (1970-), НВ-10/8М2 (1980-е); холодильные машины: для мавзолея В.И. Ленина (1963), опытная ХМФУ-40 (1978), комплексно- автоматизированная 1ХМ-ФУУ-801 (1980-е); опытный ротационный вакуум-компрессор (1979) (11982).</w:t>
      </w:r>
    </w:p>
    <w:p w14:paraId="1C970B3D" w14:textId="77777777" w:rsidR="00750B15" w:rsidRPr="00271E51" w:rsidRDefault="00750B1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96F02F"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E8930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21769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г. вышла ПРОГРАММА ХОДОВЫХ ИСПЫТАНИЙ ТАНКА Т-34 С УВЕЛИЧЕННЫМ ДИАМЕТРОМ ПОГОНА БАШНИ № 36-302</w:t>
      </w:r>
    </w:p>
    <w:p w14:paraId="2ECE99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«Утверждаю» Начальник ГБТУ КА генерал-лейтенант танковых войск</w:t>
      </w:r>
    </w:p>
    <w:p w14:paraId="46F3FF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Вершинин</w:t>
      </w:r>
    </w:p>
    <w:p w14:paraId="19A17D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Цель испытаний</w:t>
      </w:r>
    </w:p>
    <w:p w14:paraId="634562D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проводятся с целью выявления надежности работы ходовой части и трансмиссии танка в связи с увеличением веса танка.</w:t>
      </w:r>
    </w:p>
    <w:p w14:paraId="77ED6C8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Порядок испытаний</w:t>
      </w:r>
    </w:p>
    <w:p w14:paraId="6A6A61F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начала испытаний танк взвешивается и доводится до нормального боевого веса. 1. Общий километраж пробега устанавливается 1000 км, из них: - 200 км — пробег по шоссе;</w:t>
      </w:r>
    </w:p>
    <w:p w14:paraId="0E3E486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км — пробег по проселку;</w:t>
      </w:r>
    </w:p>
    <w:p w14:paraId="066B9BC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- 300 км — пробег по целине.</w:t>
      </w:r>
    </w:p>
    <w:p w14:paraId="6944531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производятся на максимально возможных для данных дорожных условий скоро</w:t>
      </w:r>
      <w:r w:rsidRPr="00271E51">
        <w:rPr>
          <w:rFonts w:ascii="Times New Roman" w:hAnsi="Times New Roman"/>
          <w:color w:val="000000" w:themeColor="text1"/>
          <w:sz w:val="16"/>
          <w:szCs w:val="16"/>
        </w:rPr>
        <w:softHyphen/>
        <w:t>стях движения.</w:t>
      </w:r>
    </w:p>
    <w:p w14:paraId="7D34C13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 каждый пробег определяется:</w:t>
      </w:r>
    </w:p>
    <w:p w14:paraId="6BE470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средняя скорость чистого движения;</w:t>
      </w:r>
    </w:p>
    <w:p w14:paraId="35B1816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техническая скорость движения;</w:t>
      </w:r>
    </w:p>
    <w:p w14:paraId="75BD8E9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расходы ГСМ (часовые и на 1 км).</w:t>
      </w:r>
    </w:p>
    <w:p w14:paraId="0414896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Каждый пробег оформляется отдельным протоколом, которые прикладываются к отчету по испытаниям.</w:t>
      </w:r>
    </w:p>
    <w:p w14:paraId="22E81E2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После каждых 2 часов движения танка производится остановка для осмотра технического состояния танка.</w:t>
      </w:r>
    </w:p>
    <w:p w14:paraId="3DD9303B"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замеченные неисправности заносятся в журнал испытаний и исправляются на месте. В случае, если на месте исправлений произвести нельзя, танк отводится на базу буксиром или своим ходом в зависимости от характера поломки или неисправности.</w:t>
      </w:r>
    </w:p>
    <w:p w14:paraId="501C298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3-дневный срок по окончании испытаний составляется отчет и представляется в ГБТУ КА.</w:t>
      </w:r>
    </w:p>
    <w:p w14:paraId="63717D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Место испытаний — НИБТ полигона ГБТУ КА.</w:t>
      </w:r>
    </w:p>
    <w:p w14:paraId="13F6DAD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0035084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6 отдела ТУ ГБТУ КА инженер подполковник Солонин</w:t>
      </w:r>
    </w:p>
    <w:p w14:paraId="0D8B2D7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3606. Л. 118-119. Копия (11403).</w:t>
      </w:r>
    </w:p>
    <w:p w14:paraId="2F5AEA8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3C7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4651. О мерах по достройке и сдаче ВМФ двух подводных лодок типа С.РГАНИР, Фонд ГКО, д. 179, лл. 35-36, 37-40 (11012).</w:t>
      </w:r>
    </w:p>
    <w:p w14:paraId="3666FE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E07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4652. Об изменении плана НКМП РСФСР по производству в IV кв. 1943 г. автоприцепов и поставки их НКЭС и НКстрою.РГАНИР, Фонд ГКО, д. 179, лл. 41 (11012).</w:t>
      </w:r>
    </w:p>
    <w:p w14:paraId="548AAD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F064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4653 [О мерах по сохранению паровозных котлов в исправном состоянии.] (7160, 42-43).</w:t>
      </w:r>
    </w:p>
    <w:p w14:paraId="1210B88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3A14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Постановление ГКО № 4654 Об отечественном производстве резьбошлифовальных станков. (7160, 44-46,47-51).</w:t>
      </w:r>
    </w:p>
    <w:p w14:paraId="22CF0E4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6308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Постановление ГКО№ 4655 О восстановлении энергетического хозяйства Брянской энергосистемы.РГАНИР, Фонд ГКО, д. 179, лл. 52-59, 60-73 (11012).</w:t>
      </w:r>
    </w:p>
    <w:p w14:paraId="7E4F4F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6C5F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4656 [О создании мехлесопунктов НКЧМ в УССР и лесозаготовительного треста "Южлесчермет" на хозрасчете.] (7160, 74).</w:t>
      </w:r>
    </w:p>
    <w:p w14:paraId="7005659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16B83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Постановление ГКО № 4657 О срочных мерах по усилению погрузки угля для обеспечения бесперебойной работы железнодорожного транспорта и промышленности в зимних условиях. (7160, 75-78).</w:t>
      </w:r>
    </w:p>
    <w:p w14:paraId="74A684C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09B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4658. О мерах по обеспечению производства авиационных лаков на Ашинском лесохимическом комбинате НКлеса СССР.РГАНИР, Фонд ГКО, д. 179, лл. 79 (11012).</w:t>
      </w:r>
    </w:p>
    <w:p w14:paraId="50A831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18D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4659. О мерах по ремонту монитора "Киров" на заводе № 368 НКСП.РГАНИР, Фонд ГКО, д. 179, лл. 80 (11012).</w:t>
      </w:r>
    </w:p>
    <w:p w14:paraId="081FE47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D64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4660. Об отмене решения ГКО о передаче НКХП для НКАП кислородной разделительной установки.РГАНИР, Фонд ГКО, д. 179, лл. 81 (11012).</w:t>
      </w:r>
    </w:p>
    <w:p w14:paraId="2D61F5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60894"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4661 [О продлении до 1 декабря 1943 г. установленных на октябрь лимитов мощности и отпуска электроэнергии потребителям по Уральской энергосистеме.] (7160, 82).</w:t>
      </w:r>
    </w:p>
    <w:p w14:paraId="4253CDE3"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E59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4662. Об обеспечении пороховых заводов целлюлозой.РГАНИР, Фонд ГКО, д. 179, лл. 83-84 (11012).</w:t>
      </w:r>
    </w:p>
    <w:p w14:paraId="557FF9C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E06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4663. О выделении НКО 30 грузовых машин для НКБП в декабре 1943 г.РГАНИР, Фонд ГКО, д. 179, лл. 85 (11012).</w:t>
      </w:r>
    </w:p>
    <w:p w14:paraId="2E67B53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EFF9A"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ноября 1943 вышло Распоряжение ГКО № 4664 [О создании в Центральном управлении движения HКПС группы по контролю за погрузкой и продвижением грузов сельскому хозяйству.] (7160, 86).</w:t>
      </w:r>
    </w:p>
    <w:p w14:paraId="7DC098E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B5B2B9" w14:textId="77777777" w:rsidR="00750B1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5964C08" w14:textId="77777777" w:rsidR="00750B15" w:rsidRPr="00271E51" w:rsidRDefault="00750B1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EFAD2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24 ноября </w:t>
      </w:r>
      <w:r w:rsidRPr="00271E51">
        <w:rPr>
          <w:rFonts w:ascii="Times New Roman" w:hAnsi="Times New Roman"/>
          <w:color w:val="000000" w:themeColor="text1"/>
          <w:sz w:val="16"/>
          <w:szCs w:val="16"/>
        </w:rPr>
        <w:t>в 1943 году оперативная сводка Совинформбюро:</w:t>
      </w:r>
    </w:p>
    <w:p w14:paraId="42D3116E"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ноября в районе южнее Кременчуга наши войска овладели районным центром Кировоградской области Онуфриевка, а также заняли населённые пункты Ново-Катериновка, Доброполь, Константиновка.</w:t>
      </w:r>
    </w:p>
    <w:p w14:paraId="36507564"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 и Брусилов наши войска успешно отбивали атаки противника и улучшили свои позиции.</w:t>
      </w:r>
    </w:p>
    <w:p w14:paraId="47B43B4B"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продолжая наступление, овладели районным центром Полесской области городом Хойники, а также заняли более 60 других населённых пунктов и среди них крупные населённые пункты Мутижар, Руденка, Небытов, Клёвы, Поселичи, Борисовщина, Храпков, Дворище, Рудное, Губаревичи, Рудаков, Бабчин, Острогляды, Воротец, Хатуча, Новый Радин, Старый Радин, Борщёвка, Красноселье, Дёрновичи.</w:t>
      </w:r>
    </w:p>
    <w:p w14:paraId="68538E66"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Речицы наши войска продвинулись вперёд и заняли несколько населённых пунктов.</w:t>
      </w:r>
    </w:p>
    <w:p w14:paraId="688ADD4F"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продолжали вести бои по расширению плацдарма на правом берегу реки Сож и улучшили свои позиции.</w:t>
      </w:r>
    </w:p>
    <w:p w14:paraId="3258FC03"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1AC8D08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ноября наши войска на всех фронтах подбили и уничтожили 62 немецких танка. В воздушных боях и огнём зенитной артиллерии сбито 5 самолётов противника.</w:t>
      </w:r>
    </w:p>
    <w:p w14:paraId="24F5029F"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Кременчуга части Н-ского соединения продвинулись вперёд и смелой атакой овладели крупным узлом сопротивления противника — районным центром Кировоградской области Онуфриевка. В боях за Онуфриевку и другие населённые пункты наши части истребили свыше 1.000 немецких солдат и офицеров, сожгли и подбили 30 вражеских танков. Захвачены трофеи, в числе которых 28 орудий иминомётов, 60 пулемётов и 3 склада с военными материалами. Взяты пленные.</w:t>
      </w:r>
    </w:p>
    <w:p w14:paraId="667241FC"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Черняхова и Брусилова наши войска успешно отбивали атаки крупных сил пехоты и танков противника. Все попытки немцев вклиниться в нашу оборону закончились неудачей. Наши артиллеристы, пехотинцы и танкисты, отбивая вражеские атаки, нанесли противнику большой урон и улучшили свои позиции. В течение дня уничтожено 32 танка и до полка немецкой пехоты.</w:t>
      </w:r>
    </w:p>
    <w:p w14:paraId="485A518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продолжали наступление и заняли более 60 населённых пунктов. Части Н-ского соединения сломили сопротивление противника, пытавшегося задержаться на промежуточном рубеже, и овладели районным центром Полесской области городом Хойники. Уничтожено более 800 гитлеровцев. Захвачены несколько артиллерийских батарей и 3 шестиствольных миномёта.</w:t>
      </w:r>
    </w:p>
    <w:p w14:paraId="4BF6F1AD"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Речицы наши подвижные части форсировали водный рубеж и стремительным ударом заняли несколько населённых пунктов. На другом участке части Н-ского соединения уничтожили батальон гитлеровцев. Захвачены бронетранспортёр, 25 автомашин и много повозок с грузами.</w:t>
      </w:r>
    </w:p>
    <w:p w14:paraId="5BA24BD1"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Гомеля наши войска в результате ожесточённого боя выбили немцев из сильно укреплённых позиций. Противник несколько раз переходил в контратаки, но успеха не добился. В этих боях уничтожено до 1.500 немецких солдат и офицеров. Захвачены трофеи и пленные.</w:t>
      </w:r>
    </w:p>
    <w:p w14:paraId="7C43862F"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транспорт водоизмещением в 2.500 тонн, быстроходная десантная баржа и два самоходных понтона с танками и пехотой противника.</w:t>
      </w:r>
    </w:p>
    <w:p w14:paraId="457FC38B"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Пинской области, запоследние дни пустил под откос два немецких воинских эшелона, следовавших к линии фронта. В результате крушений разбиты 2 паровоза, 5 платформ с автомашинами, 12 цистерн с бензином и 16 классных вагонов. Кроме того, партизаны разрушили 110 метров железнодорожного пути и взорвали мост. Движение поездов на этом участке железной дороги прервано на длительный срок.</w:t>
      </w:r>
    </w:p>
    <w:p w14:paraId="517D78BF"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1 роты 53 полка 14 немецкой моторизованной дивизии Алоиз Потокор рассказал: «В армию меня призвали по тотальной мобилизации в июне 1943 года. После семинедельного военного обучения я был направлен во Францию и зачислен в велосипедный эскадрон 352 разведывательного дивизиона. Дивизион нёс охрану Средиземноморского побережья. Мы патрулировали в районах Марселя, Тулона,Авиньона, Жемено. В районе нашей последней стоянки — в Жемено — находились итальянские части. В сентябре наш эскадрон и другие немецкие подразделения оцепили лагерь итальянцев, обыскали всех итальянских солдат и офицеров, отобралиу них оружие и объявили военнопленными. Итальянцев потом погрузили в вагоны и отправили на север. В конце сентября командование выделило большую группу солдат, в том числе и меня, в маршевый батальон. Вскоре батальон был отправленна Восточный фронт. На протяжении всего пути навстречу нам очень часто попадались эшелоны с ранеными немецкими солдатами. Многие из них проклинали всё на свете и советовали нам сдаваться в плен русским».</w:t>
      </w:r>
    </w:p>
    <w:p w14:paraId="558E1BA4"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мерзавцы произвели большие опустошения в деревнях Стодолищенского района, Смоленской области. В деревне Сторино гитлеровцы сожгли дотла 48 хозяйств. Немецкие грабители уничтожили сельскохозяй ственный инвентарь, забрали у крестьян ценные вещи, одежду и предметы хозяйственного обихода. Гитлеровцы угоняли с собой всё население в тыл. Только подоспевшие части Красной Армии освободили советских граждан от немецкого рабства. В деревне Семиново гитлеровцы сожгли 25 домов и 17 колхозных построек. В деревне Васьково фашистские изверги уничтожили 108 жилых домов и хозяйственных построек. Немцы забрали у жителей всю одежду и обувь. Всё, что нельзя было увезти с собой, гитлеровцы сожгли.» (14839).</w:t>
      </w:r>
    </w:p>
    <w:p w14:paraId="47C73DC4" w14:textId="77777777" w:rsidR="00750B15" w:rsidRPr="00271E51" w:rsidRDefault="00750B15" w:rsidP="00271E51">
      <w:pPr>
        <w:spacing w:after="0" w:line="240" w:lineRule="auto"/>
        <w:jc w:val="both"/>
        <w:rPr>
          <w:rFonts w:ascii="Times New Roman" w:hAnsi="Times New Roman"/>
          <w:color w:val="000000" w:themeColor="text1"/>
          <w:sz w:val="16"/>
          <w:szCs w:val="16"/>
        </w:rPr>
      </w:pPr>
    </w:p>
    <w:p w14:paraId="41996437" w14:textId="77777777" w:rsidR="008D676F" w:rsidRPr="00271E51" w:rsidRDefault="008D676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4A66DEB" w14:textId="77777777" w:rsidR="008D676F" w:rsidRPr="00271E51" w:rsidRDefault="008D676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3A556" w14:textId="77777777" w:rsidR="008D676F" w:rsidRPr="00271E51" w:rsidRDefault="008D676F"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24 ноября 1943 состоялся новый налет американцев на Софию. Из 60 уже тяжелых четырехмоторных бомбарди</w:t>
      </w:r>
      <w:r w:rsidRPr="00271E51">
        <w:rPr>
          <w:rFonts w:ascii="Times New Roman" w:hAnsi="Times New Roman" w:cs="Times New Roman"/>
          <w:color w:val="000000" w:themeColor="text1"/>
          <w:sz w:val="16"/>
          <w:szCs w:val="16"/>
        </w:rPr>
        <w:softHyphen/>
        <w:t xml:space="preserve">ровщиков </w:t>
      </w:r>
      <w:r w:rsidRPr="00271E51">
        <w:rPr>
          <w:rFonts w:ascii="Times New Roman" w:hAnsi="Times New Roman" w:cs="Times New Roman"/>
          <w:color w:val="000000" w:themeColor="text1"/>
          <w:sz w:val="16"/>
          <w:szCs w:val="16"/>
          <w:lang w:val="en-US"/>
        </w:rPr>
        <w:t>B</w:t>
      </w:r>
      <w:r w:rsidRPr="00271E51">
        <w:rPr>
          <w:rFonts w:ascii="Times New Roman" w:hAnsi="Times New Roman" w:cs="Times New Roman"/>
          <w:color w:val="000000" w:themeColor="text1"/>
          <w:sz w:val="16"/>
          <w:szCs w:val="16"/>
        </w:rPr>
        <w:t>-24</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 xml:space="preserve"> из 15-й воздушной армии США, стартовавших с ливийских аэродромов, болгарской столицы достигли только 17. На этот раз болгарские истребители были готовы к налету. С аэ</w:t>
      </w:r>
      <w:r w:rsidRPr="00271E51">
        <w:rPr>
          <w:rFonts w:ascii="Times New Roman" w:hAnsi="Times New Roman" w:cs="Times New Roman"/>
          <w:color w:val="000000" w:themeColor="text1"/>
          <w:sz w:val="16"/>
          <w:szCs w:val="16"/>
        </w:rPr>
        <w:softHyphen/>
        <w:t xml:space="preserve">родрома Враждебна стартовали 24 Девуатина </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-520 (французские истребители, переданные немцами) из 2-й авиагруппы, а с аэро</w:t>
      </w:r>
      <w:r w:rsidRPr="00271E51">
        <w:rPr>
          <w:rFonts w:ascii="Times New Roman" w:hAnsi="Times New Roman" w:cs="Times New Roman"/>
          <w:color w:val="000000" w:themeColor="text1"/>
          <w:sz w:val="16"/>
          <w:szCs w:val="16"/>
        </w:rPr>
        <w:softHyphen/>
        <w:t xml:space="preserve">дрома Божуристе поднялись 16 </w:t>
      </w:r>
      <w:r w:rsidRPr="00271E51">
        <w:rPr>
          <w:rFonts w:ascii="Times New Roman" w:hAnsi="Times New Roman" w:cs="Times New Roman"/>
          <w:color w:val="000000" w:themeColor="text1"/>
          <w:sz w:val="16"/>
          <w:szCs w:val="16"/>
          <w:lang w:val="en-US"/>
        </w:rPr>
        <w:t>BM</w:t>
      </w:r>
      <w:r w:rsidRPr="00271E51">
        <w:rPr>
          <w:rFonts w:ascii="Times New Roman" w:hAnsi="Times New Roman" w:cs="Times New Roman"/>
          <w:color w:val="000000" w:themeColor="text1"/>
          <w:sz w:val="16"/>
          <w:szCs w:val="16"/>
        </w:rPr>
        <w:t>09</w:t>
      </w:r>
      <w:r w:rsidRPr="00271E51">
        <w:rPr>
          <w:rFonts w:ascii="Times New Roman" w:hAnsi="Times New Roman" w:cs="Times New Roman"/>
          <w:color w:val="000000" w:themeColor="text1"/>
          <w:sz w:val="16"/>
          <w:szCs w:val="16"/>
          <w:lang w:val="en-US"/>
        </w:rPr>
        <w:t>G</w:t>
      </w:r>
      <w:r w:rsidRPr="00271E51">
        <w:rPr>
          <w:rFonts w:ascii="Times New Roman" w:hAnsi="Times New Roman" w:cs="Times New Roman"/>
          <w:color w:val="000000" w:themeColor="text1"/>
          <w:sz w:val="16"/>
          <w:szCs w:val="16"/>
        </w:rPr>
        <w:t>-2 из 3-й авиагруппы.</w:t>
      </w:r>
    </w:p>
    <w:p w14:paraId="257AD3B2" w14:textId="77777777" w:rsidR="008D676F" w:rsidRPr="00271E51" w:rsidRDefault="008D676F"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Болгары сбили два В-24 и сами потеряли один истребитель. На сей раз в Софии было уничтожено 87 зданий, но воздушную тре</w:t>
      </w:r>
      <w:r w:rsidRPr="00271E51">
        <w:rPr>
          <w:rFonts w:ascii="Times New Roman" w:hAnsi="Times New Roman" w:cs="Times New Roman"/>
          <w:color w:val="000000" w:themeColor="text1"/>
          <w:sz w:val="16"/>
          <w:szCs w:val="16"/>
        </w:rPr>
        <w:softHyphen/>
        <w:t>вогу объявили своевременно, поэтому погибло всего 5 человек и 29 получили ранения (19104).</w:t>
      </w:r>
    </w:p>
    <w:p w14:paraId="74182C74" w14:textId="77777777" w:rsidR="008D676F" w:rsidRPr="00271E51" w:rsidRDefault="008D676F"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p>
    <w:p w14:paraId="1D06E59E"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24 ноября 1943 японская подводная лодка I-175 торпедирует и топит эскортный авианосец ВМС США USS Liscome Bay в 20 морских милях (37 км) к юго-западу от Бутаритари, в результате чего погибло 644 человека, в том числе контр-адмирал Генри М. Маллинникс; 272 человека выжили (20376).</w:t>
      </w:r>
    </w:p>
    <w:p w14:paraId="2CA39805" w14:textId="77777777" w:rsidR="00E03D58" w:rsidRPr="00271E51" w:rsidRDefault="00E03D58" w:rsidP="00271E51">
      <w:pPr>
        <w:spacing w:after="0" w:line="240" w:lineRule="auto"/>
        <w:jc w:val="both"/>
        <w:rPr>
          <w:rFonts w:ascii="Times New Roman" w:hAnsi="Times New Roman"/>
          <w:color w:val="0070C0"/>
          <w:sz w:val="16"/>
          <w:szCs w:val="16"/>
        </w:rPr>
      </w:pPr>
    </w:p>
    <w:p w14:paraId="1B0BC572"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24 ноября 1943 первый самолет союзников - подбитый пикирующий бомбардировщик SBD Dauntless корпуса морской пехоты США - приземляется на Бугенвиле (20376).</w:t>
      </w:r>
    </w:p>
    <w:p w14:paraId="2DA260C9" w14:textId="77777777" w:rsidR="00E03D58" w:rsidRPr="00271E51" w:rsidRDefault="00E03D58" w:rsidP="00271E51">
      <w:pPr>
        <w:spacing w:after="0" w:line="240" w:lineRule="auto"/>
        <w:jc w:val="both"/>
        <w:rPr>
          <w:rFonts w:ascii="Times New Roman" w:hAnsi="Times New Roman"/>
          <w:color w:val="0070C0"/>
          <w:sz w:val="16"/>
          <w:szCs w:val="16"/>
        </w:rPr>
      </w:pPr>
    </w:p>
    <w:p w14:paraId="5E6E4158"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6CDB9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5984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 на Гороховецком полигоне закончились испытания танка Д-5 в Т-34 с башней Т-43 стрельбой в присутствии комиссии под председательством полковника Г. Кульчицкого, которые проходили с 18 ноября (11135).</w:t>
      </w:r>
    </w:p>
    <w:p w14:paraId="4E3494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итогам отстрела в отзыве нач. техуправления НКВ от</w:t>
      </w:r>
      <w:r w:rsidRPr="00271E51">
        <w:rPr>
          <w:rFonts w:ascii="Times New Roman" w:hAnsi="Times New Roman"/>
          <w:color w:val="000000" w:themeColor="text1"/>
          <w:sz w:val="16"/>
          <w:szCs w:val="16"/>
        </w:rPr>
        <w:softHyphen/>
        <w:t>мечались следующие особенности поведения орудия Д-5Т:</w:t>
      </w:r>
    </w:p>
    <w:p w14:paraId="523F28B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«Входе проведения испытаний выполнено 298выстрелов, из них 50 — практическим снарядом, 141 — боевым снарядом с норм, зарядом и 107 — боевым бронеб. снарядом с усиленным за</w:t>
      </w:r>
      <w:r w:rsidRPr="00271E51">
        <w:rPr>
          <w:rFonts w:ascii="Times New Roman" w:hAnsi="Times New Roman"/>
          <w:color w:val="000000" w:themeColor="text1"/>
          <w:sz w:val="16"/>
          <w:szCs w:val="16"/>
        </w:rPr>
        <w:softHyphen/>
        <w:t>рядом пороха...</w:t>
      </w:r>
    </w:p>
    <w:p w14:paraId="5C0AC7A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 испытаний: оценка точности и кучности стрельбы прямой наводкой, определение дальности прямого выстрела норм, и усиленным зарядом, проверка работоспособности уз</w:t>
      </w:r>
      <w:r w:rsidRPr="00271E51">
        <w:rPr>
          <w:rFonts w:ascii="Times New Roman" w:hAnsi="Times New Roman"/>
          <w:color w:val="000000" w:themeColor="text1"/>
          <w:sz w:val="16"/>
          <w:szCs w:val="16"/>
        </w:rPr>
        <w:softHyphen/>
        <w:t>лов и механизмов пушки, измерение параметров отката, сня</w:t>
      </w:r>
      <w:r w:rsidRPr="00271E51">
        <w:rPr>
          <w:rFonts w:ascii="Times New Roman" w:hAnsi="Times New Roman"/>
          <w:color w:val="000000" w:themeColor="text1"/>
          <w:sz w:val="16"/>
          <w:szCs w:val="16"/>
        </w:rPr>
        <w:softHyphen/>
        <w:t>тие велосиметрич. кривых проведения процесса выстрела...</w:t>
      </w:r>
    </w:p>
    <w:p w14:paraId="249B43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стрельб отмечены: недокаты, плохая экстракция стреляной гильзы... Требуется доработка конструкции ору</w:t>
      </w:r>
      <w:r w:rsidRPr="00271E51">
        <w:rPr>
          <w:rFonts w:ascii="Times New Roman" w:hAnsi="Times New Roman"/>
          <w:color w:val="000000" w:themeColor="text1"/>
          <w:sz w:val="16"/>
          <w:szCs w:val="16"/>
        </w:rPr>
        <w:softHyphen/>
        <w:t>дия Д-5Т в плане проведения след, работ: регулировка накат</w:t>
      </w:r>
      <w:r w:rsidRPr="00271E51">
        <w:rPr>
          <w:rFonts w:ascii="Times New Roman" w:hAnsi="Times New Roman"/>
          <w:color w:val="000000" w:themeColor="text1"/>
          <w:sz w:val="16"/>
          <w:szCs w:val="16"/>
        </w:rPr>
        <w:softHyphen/>
        <w:t>ника, доработка мех-ма экстракции гшьзы, перенесение ука</w:t>
      </w:r>
      <w:r w:rsidRPr="00271E51">
        <w:rPr>
          <w:rFonts w:ascii="Times New Roman" w:hAnsi="Times New Roman"/>
          <w:color w:val="000000" w:themeColor="text1"/>
          <w:sz w:val="16"/>
          <w:szCs w:val="16"/>
        </w:rPr>
        <w:softHyphen/>
        <w:t>зателя отката с правой стороны ствола орудия на левую, улучшение конструкции привода к прицелу, переработка спуск, мех-ма орудия...» (11135).</w:t>
      </w:r>
    </w:p>
    <w:p w14:paraId="7368A96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6F603"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25 ноября по 3 декабря 1943 года проходили испытания всех трех артсистем для Т-34, причем все пушки их не выдержали (12217).</w:t>
      </w:r>
    </w:p>
    <w:p w14:paraId="048889AA"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0515F78F"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года Малышеву докладывали следующее:</w:t>
      </w:r>
    </w:p>
    <w:p w14:paraId="36C6D04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состоянии работ на заводе 183 по выпуску чертежей башни Т-34 с погоном диаметром 1600 мм для команды в 2 человека.</w:t>
      </w:r>
    </w:p>
    <w:p w14:paraId="04316839"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чертежи башни выпущены в белках. Производство и изготовление калек и отправка чертежей заводу 112 намечена на 28 ноября.</w:t>
      </w:r>
    </w:p>
    <w:p w14:paraId="7678152A" w14:textId="77777777" w:rsidR="00473181" w:rsidRPr="00271E51" w:rsidRDefault="0047318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Чертежи боеукладки будут готовы 30 ноября» (12217).</w:t>
      </w:r>
    </w:p>
    <w:p w14:paraId="77D0F0E1" w14:textId="77777777" w:rsidR="00473181" w:rsidRPr="00271E51" w:rsidRDefault="00473181" w:rsidP="00271E51">
      <w:pPr>
        <w:spacing w:after="0" w:line="240" w:lineRule="auto"/>
        <w:jc w:val="both"/>
        <w:rPr>
          <w:rFonts w:ascii="Times New Roman" w:hAnsi="Times New Roman"/>
          <w:color w:val="000000" w:themeColor="text1"/>
          <w:sz w:val="16"/>
          <w:szCs w:val="16"/>
        </w:rPr>
      </w:pPr>
    </w:p>
    <w:p w14:paraId="25B5D51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 ночью на ст. Великие Луки без освещения была произведена разгрузка эшелонов артполка корпусной артиллерии, в который для проведения фронтовых испытаний поступили тягачи Я-12 (машины №№ 0007-0033 и № 0064) (5743, 14). Во время разгрузки и следования к месту сосредоточения имели место следующие аварии:</w:t>
      </w:r>
    </w:p>
    <w:p w14:paraId="4BBB7A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тягач № 0019 по небрежности водителя прошел 4 км без воды в системе охлаждения, в результате чего произошел сильный перегрев блока и головки цилиндров;</w:t>
      </w:r>
    </w:p>
    <w:p w14:paraId="726639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тягач № 0010 при наезде на машину ЗИС-5 разбил радиатор;</w:t>
      </w:r>
    </w:p>
    <w:p w14:paraId="56B982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тягаче № 0009 засорился топливопровод, в связи с чем мотор тягача долгое время не заводился (5744, 30).</w:t>
      </w:r>
    </w:p>
    <w:p w14:paraId="25C0F0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Тягачами Я-12 были совершены три марша (5744, 30).</w:t>
      </w:r>
    </w:p>
    <w:p w14:paraId="75E085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марш - г. Великие Луки - предместье г. Невель с занятием огневых позиций в 2-3 км от дёр. Колки. Марш совершался в период распутицы по разбитому шоссе с участками грунтовых дорог общей протяженностью около 30 км. Торфянистого и глинистого грунта. На дороге встречались глубокие воронки, сломанные мосты. Выход к огневым позициям шел по бездорожью, непроходимому для машин типа ЗИС-5 и “Студебеккер”, через сильно заболоченные участки и подъемами с разрушенным торфянистым грунтом. На ряде участков применялась двойная тяга. В целом марш к пункту сосредоточения и занятия огневых позиций в условиях осенней распутицы прошел удовлетворительно (5744, 30).</w:t>
      </w:r>
    </w:p>
    <w:p w14:paraId="417F04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марш - дёр. Колки - дёр. Лепешиха общей протяженностью около 60 км. Марш проходил по проселочным и лесным разбитым дорогам по сильнопересеченной местности с крутыми спусками и подъемами с поперечными склонами - раскатами по замерзшему грунту в период гололедицы. В связи с отсутствием шпор на гусеницах тягачей, марш для артполка оказался исключительно 'грудным. На обледенелых подъемах и боковых раскатах арттягачи часто буксовали, скользили и оказались неспособными буксировать не только тяжелые артсистомы, но даже простой прицеп массой доЗ т. На подъемах артсистема тянула тягач назад юзом, на уклонах тягачи подворачивало и заносило к сторону, на раскатах сносило совершенно с обле-денс^лой части дороги. Местами двойной, а иногда и тройной тягой артсистемы были доставлены на огневые позиции. Весь маршрут был преодолен за двое суток и сопровождался большим количеством аварий, как то:</w:t>
      </w:r>
    </w:p>
    <w:p w14:paraId="40E26A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поломка буксирных приборов - 4 шт, неоднократные обрывы гусеничных цепей, поломки картеров</w:t>
      </w:r>
    </w:p>
    <w:p w14:paraId="492F2A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бортовой передачи, поломка карданного вала, тор-сионов и т.д. (5744, 30).</w:t>
      </w:r>
    </w:p>
    <w:p w14:paraId="316EF8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Третий марш совершался на маршруте дёр. Лепешиха - дёр. Липовка, общей протяженностью около 30 км, проходил в порядке смены огневых позиций по разбитым проселочным дорогам с ухабами, поперечными раскатами, по незамерзшим заболоченным участкам. В связи с совершенно неудовлетворительным сцеплением гусениц арттягачей на обледенелом грунте, на всех машинах, буксировавших артсистемы, по опыту фронтовой эксплуатации танков Т-70, было перевернуто по три трака (приблизительно через 28 траков) вниз направляющими перьями на каждой гусеничной цепи. Скорость движения арттягачей на скользкой дороге в связи с этим была уменьшена до б км/ч, однако сцепление траков с грунтом при этом резко улучшилось и буксировка артсистем велась удовлетворительно. Характерно то, что два тягача в колонне, шедшие без перевернутых траков, на косогоре занесло и перевернуло на бок. На этом же косогоре занесло и перевернуло трактор “Сталинец - 65 ЧТЗ” вместе с артсистемой, принадлежавший соседней артбригаде. Сильная пробуксовка наблюдалась в этот период также у тракторов всех других типов: СТЗ-5, СТЗ-3, не имевших шпор противоскольжения (5744, 20).</w:t>
      </w:r>
    </w:p>
    <w:p w14:paraId="09326EF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буксировки артсистем в связи с исключительно тяжелыми дорожными условиями на этом участке фронта и плохим состоянием автопарка в полку (из 40 машин ЗИС-5 на ходу оказалось не более 25) арттягачи широко использовались благодаря своей проходимости и подвижности для перевозки боеприпасов и продовольствия как с прицепами, так и без них. Так как ходовая часть танков Т-70М изначально расчитывалась на более легкие условия эксплуатации, ее элементы при нагруженной работе довольно быстро выходили из строя, да и качество материалов, из которых изготавливались некоторые детали (особенно траки и торсионы), не всегда было высоким. Но вышедшую из строя деталь можно было легко заменить подходящей от танка Т-70 или самоходной установки СУ-76, что не раз проделывалось во фронтовых условиях силами самих водителей (5744, 30).</w:t>
      </w:r>
    </w:p>
    <w:p w14:paraId="6ED7FD8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61149"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года вышел приказ № 715 НКТП</w:t>
      </w:r>
    </w:p>
    <w:p w14:paraId="2272176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Сформировать ремонтную базу по ремонту танков и дизелей в Киеве на базе завода № 300 (6141, 43).</w:t>
      </w:r>
    </w:p>
    <w:p w14:paraId="0DF99ED2"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4E992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 было подготовлено письмо № НВ-20/5656С:</w:t>
      </w:r>
    </w:p>
    <w:p w14:paraId="2E5771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 экз. № 1</w:t>
      </w:r>
    </w:p>
    <w:p w14:paraId="6B99A6F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НАРОДНОМУ КОМИССАРУ ТАНКОВОЙ ПРОМЫШЛЕННОСТИ СОЮЗА ССР тов. МАЛЫШЕВУ</w:t>
      </w:r>
    </w:p>
    <w:p w14:paraId="00A638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ваше письмо № 5-4868с от 12.Х1-43 г. сообщаю, что 76 мм танковая пушка повышенной мощнсоти С-54, изготовленная и смонтированная в серийном танке Т-34 Центральным Артилле</w:t>
      </w:r>
      <w:r w:rsidRPr="00271E51">
        <w:rPr>
          <w:rFonts w:ascii="Times New Roman" w:hAnsi="Times New Roman"/>
          <w:color w:val="000000" w:themeColor="text1"/>
          <w:sz w:val="16"/>
          <w:szCs w:val="16"/>
        </w:rPr>
        <w:softHyphen/>
        <w:t>рийским Конструкторским Бюро НКВ, в настоящее время прохо</w:t>
      </w:r>
      <w:r w:rsidRPr="00271E51">
        <w:rPr>
          <w:rFonts w:ascii="Times New Roman" w:hAnsi="Times New Roman"/>
          <w:color w:val="000000" w:themeColor="text1"/>
          <w:sz w:val="16"/>
          <w:szCs w:val="16"/>
        </w:rPr>
        <w:softHyphen/>
        <w:t>дит полигонные испытания.</w:t>
      </w:r>
    </w:p>
    <w:p w14:paraId="03D2755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того, что система С-54 новая и установка ее в башне потребует ряд работ по месту, а также в целях лучшей компанов</w:t>
      </w:r>
      <w:r w:rsidRPr="00271E51">
        <w:rPr>
          <w:rFonts w:ascii="Times New Roman" w:hAnsi="Times New Roman"/>
          <w:color w:val="000000" w:themeColor="text1"/>
          <w:sz w:val="16"/>
          <w:szCs w:val="16"/>
        </w:rPr>
        <w:softHyphen/>
        <w:t>ки всей башни, прошу дать указание заводу № 183 о сдочной дос</w:t>
      </w:r>
      <w:r w:rsidRPr="00271E51">
        <w:rPr>
          <w:rFonts w:ascii="Times New Roman" w:hAnsi="Times New Roman"/>
          <w:color w:val="000000" w:themeColor="text1"/>
          <w:sz w:val="16"/>
          <w:szCs w:val="16"/>
        </w:rPr>
        <w:softHyphen/>
        <w:t>тавке танка Т-34 с расширенным погоном в адрес ЦАКБ, ст. Под</w:t>
      </w:r>
      <w:r w:rsidRPr="00271E51">
        <w:rPr>
          <w:rFonts w:ascii="Times New Roman" w:hAnsi="Times New Roman"/>
          <w:color w:val="000000" w:themeColor="text1"/>
          <w:sz w:val="16"/>
          <w:szCs w:val="16"/>
        </w:rPr>
        <w:softHyphen/>
        <w:t>липки Сев.ж.дороги.</w:t>
      </w:r>
    </w:p>
    <w:p w14:paraId="3BEB971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УСТИНОВ (11153)</w:t>
      </w:r>
    </w:p>
    <w:p w14:paraId="580F491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2DC41" w14:textId="77777777" w:rsidR="00B95E55" w:rsidRPr="00271E51" w:rsidRDefault="00B95E55" w:rsidP="00271E51">
      <w:pPr>
        <w:pStyle w:val="a3"/>
        <w:rPr>
          <w:color w:val="000000" w:themeColor="text1"/>
          <w:lang w:val="ru-RU"/>
        </w:rPr>
      </w:pPr>
      <w:r w:rsidRPr="00271E51">
        <w:rPr>
          <w:color w:val="000000" w:themeColor="text1"/>
          <w:lang w:val="ru-RU"/>
        </w:rPr>
        <w:t>25 ноября 1943 начальником Артиллерийского комитета ГАУ КА было принято решение о том, что две М-4 остаются на Гороховецком поли</w:t>
      </w:r>
      <w:r w:rsidRPr="00271E51">
        <w:rPr>
          <w:color w:val="000000" w:themeColor="text1"/>
          <w:lang w:val="ru-RU"/>
        </w:rPr>
        <w:softHyphen/>
        <w:t>гоне, а оставшиеся две системы передаются в Гороховецкий учебный артиллерийский лагерь. Несмотря на это, в начале 1944 года работы по мортире окончательно застопорились. М-4 ждала незавидная судьба образца, не пошедшего в крупную серию (17484).</w:t>
      </w:r>
    </w:p>
    <w:p w14:paraId="1A78839B"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1C5D8A8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 была подготовлена СПРАВКА УС ГАВТУ КА О ПОСТАВКАХ ИМПОРТНЫХ АВТОМАШИН В ПОРТЫ СССР № 05879</w:t>
      </w:r>
    </w:p>
    <w:tbl>
      <w:tblPr>
        <w:tblW w:w="0" w:type="auto"/>
        <w:tblInd w:w="40" w:type="dxa"/>
        <w:tblLayout w:type="fixed"/>
        <w:tblCellMar>
          <w:left w:w="40" w:type="dxa"/>
          <w:right w:w="40" w:type="dxa"/>
        </w:tblCellMar>
        <w:tblLook w:val="0000" w:firstRow="0" w:lastRow="0" w:firstColumn="0" w:lastColumn="0" w:noHBand="0" w:noVBand="0"/>
      </w:tblPr>
      <w:tblGrid>
        <w:gridCol w:w="3773"/>
        <w:gridCol w:w="1699"/>
        <w:gridCol w:w="1699"/>
        <w:gridCol w:w="1680"/>
      </w:tblGrid>
      <w:tr w:rsidR="00A907A5" w:rsidRPr="00271E51" w14:paraId="641F036D" w14:textId="77777777" w:rsidTr="00ED5B0A">
        <w:trPr>
          <w:trHeight w:val="451"/>
        </w:trPr>
        <w:tc>
          <w:tcPr>
            <w:tcW w:w="3773" w:type="dxa"/>
            <w:tcBorders>
              <w:top w:val="single" w:sz="6" w:space="0" w:color="auto"/>
              <w:left w:val="single" w:sz="6" w:space="0" w:color="auto"/>
              <w:bottom w:val="single" w:sz="6" w:space="0" w:color="auto"/>
              <w:right w:val="single" w:sz="6" w:space="0" w:color="auto"/>
            </w:tcBorders>
          </w:tcPr>
          <w:p w14:paraId="4B993AB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F0D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5CFB2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году</w:t>
            </w:r>
          </w:p>
          <w:p w14:paraId="3D1B5D3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DD39E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 году</w:t>
            </w:r>
          </w:p>
          <w:p w14:paraId="1A831BC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2CD1BF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(за девять месяцев)</w:t>
            </w:r>
          </w:p>
          <w:p w14:paraId="01B6FD4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222A77" w14:textId="77777777" w:rsidTr="00ED5B0A">
        <w:trPr>
          <w:trHeight w:val="269"/>
        </w:trPr>
        <w:tc>
          <w:tcPr>
            <w:tcW w:w="3773" w:type="dxa"/>
            <w:tcBorders>
              <w:top w:val="single" w:sz="6" w:space="0" w:color="auto"/>
              <w:left w:val="single" w:sz="6" w:space="0" w:color="auto"/>
              <w:bottom w:val="single" w:sz="6" w:space="0" w:color="auto"/>
              <w:right w:val="single" w:sz="6" w:space="0" w:color="auto"/>
            </w:tcBorders>
          </w:tcPr>
          <w:p w14:paraId="14D351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Иран</w:t>
            </w:r>
          </w:p>
          <w:p w14:paraId="09F42BD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742789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было</w:t>
            </w:r>
          </w:p>
          <w:p w14:paraId="4C1966D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58B174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7909</w:t>
            </w:r>
          </w:p>
          <w:p w14:paraId="4407E79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E4C50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40618</w:t>
            </w:r>
          </w:p>
          <w:p w14:paraId="50BB93C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E9633C2" w14:textId="77777777" w:rsidTr="00ED5B0A">
        <w:trPr>
          <w:trHeight w:val="278"/>
        </w:trPr>
        <w:tc>
          <w:tcPr>
            <w:tcW w:w="3773" w:type="dxa"/>
            <w:tcBorders>
              <w:top w:val="single" w:sz="6" w:space="0" w:color="auto"/>
              <w:left w:val="single" w:sz="6" w:space="0" w:color="auto"/>
              <w:bottom w:val="single" w:sz="6" w:space="0" w:color="auto"/>
              <w:right w:val="single" w:sz="6" w:space="0" w:color="auto"/>
            </w:tcBorders>
          </w:tcPr>
          <w:p w14:paraId="04C3EEE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Северные порты (Мурманск, Архангельск)</w:t>
            </w:r>
          </w:p>
          <w:p w14:paraId="6BB0B4F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51B1F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w:t>
            </w:r>
          </w:p>
          <w:p w14:paraId="2C87EB1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7551F6C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13813</w:t>
            </w:r>
          </w:p>
          <w:p w14:paraId="6474A64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A1AD89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36507</w:t>
            </w:r>
          </w:p>
          <w:p w14:paraId="22F2FB0F"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D8B68D" w14:textId="77777777" w:rsidTr="00ED5B0A">
        <w:trPr>
          <w:trHeight w:val="278"/>
        </w:trPr>
        <w:tc>
          <w:tcPr>
            <w:tcW w:w="3773" w:type="dxa"/>
            <w:tcBorders>
              <w:top w:val="single" w:sz="6" w:space="0" w:color="auto"/>
              <w:left w:val="single" w:sz="6" w:space="0" w:color="auto"/>
              <w:bottom w:val="single" w:sz="6" w:space="0" w:color="auto"/>
              <w:right w:val="single" w:sz="6" w:space="0" w:color="auto"/>
            </w:tcBorders>
          </w:tcPr>
          <w:p w14:paraId="434C73F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Владивосток</w:t>
            </w:r>
          </w:p>
          <w:p w14:paraId="670A9AE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CE69D7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было</w:t>
            </w:r>
          </w:p>
          <w:p w14:paraId="5634960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A6B9D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9671</w:t>
            </w:r>
          </w:p>
          <w:p w14:paraId="4D788D2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4CBDC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30208</w:t>
            </w:r>
          </w:p>
          <w:p w14:paraId="3BD8B65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0E4268" w14:textId="77777777" w:rsidTr="00ED5B0A">
        <w:trPr>
          <w:trHeight w:val="298"/>
        </w:trPr>
        <w:tc>
          <w:tcPr>
            <w:tcW w:w="3773" w:type="dxa"/>
            <w:tcBorders>
              <w:top w:val="single" w:sz="6" w:space="0" w:color="auto"/>
              <w:left w:val="single" w:sz="6" w:space="0" w:color="auto"/>
              <w:bottom w:val="single" w:sz="6" w:space="0" w:color="auto"/>
              <w:right w:val="single" w:sz="6" w:space="0" w:color="auto"/>
            </w:tcBorders>
          </w:tcPr>
          <w:p w14:paraId="2BDFEB8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p w14:paraId="485A9B1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6FD8CE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w:t>
            </w:r>
          </w:p>
          <w:p w14:paraId="5813BD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85EB46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33335</w:t>
            </w:r>
          </w:p>
          <w:p w14:paraId="343C01B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D1A1C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109276</w:t>
            </w:r>
          </w:p>
          <w:p w14:paraId="6DD37A7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16708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УС ГАВТУ КА инженер-подполковник Куроптев</w:t>
      </w:r>
    </w:p>
    <w:p w14:paraId="4AE73E8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3 отдела УС ГАВТУ КА инженер-подполковник Лебедев</w:t>
      </w:r>
    </w:p>
    <w:p w14:paraId="2456EB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11593. Д. 34 Л. 56. Подлинник (11403).</w:t>
      </w:r>
    </w:p>
    <w:p w14:paraId="35A116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9BC3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 было организовано КБ транспортно-химического машиностроения (6395).</w:t>
      </w:r>
    </w:p>
    <w:p w14:paraId="5F172D00"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2645B9"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25 ноября </w:t>
      </w:r>
      <w:r w:rsidRPr="00271E51">
        <w:rPr>
          <w:rFonts w:ascii="Times New Roman" w:hAnsi="Times New Roman"/>
          <w:color w:val="000000" w:themeColor="text1"/>
          <w:sz w:val="16"/>
          <w:szCs w:val="16"/>
        </w:rPr>
        <w:t>в 1943 году в Москве на базе завода «Спринклер» организовано Конструкторское бюро транспортно-химического машиностроения (ФГУП КБ ТХМ). Начиная с 1954 г. предприятие разрабатывает системы и агрегаты наземного оборудования ракетных комплексов, в том числе системы и средства пожаротушения ракет и сооружений стартовых позиций. С 1958 г. по 1962 г. произошло расширение тематики конструкторских работ по созданию систем и агрегатов для наземных стартов и шахтных стартовых позиций типа «Десна», «Двина», «Чусовая» и «Шексна». В этот период у КБ ТХМ появилось новое направление деятельности – разработка стационарных систем газоснабжения ракетных комплексов, систем заправки ракет компонентами топлива и агрегатов нейтрализации. В 1965 г. КБ передается в ведение Министерства общего машиностроения и становится головным по заправочному и нейтрализационному оборудованию. С 1973 г. предприятие развертывает работы по созданию систем температурно-влажностного режима и водоснабжения командных пунктов различного уровня, создает оборудование для обеспечения температурно-влажностного режима и систем подачи теплоносителя, обеспечивающих режимы дежурства и автономии ракетных комплексов. Период 1983-1993 гг. можно выделить работами по проекту «Энергия-Буран», завершением проектирования многоцелевой заправочно-нейтрализационной станции. В КБ ТХМ создано свыше 450 систем и агрегатов наземного оборудования ракетных комплексов, в том числе систем и средств пожаротушения ракет и сооружений стартовых позиций. 82-мм автоматический миномет 2Б9 «Василек» не имеет аналогов в мире. Специалисты КБ разработали уникальные стационарные системы газоснабжения ракетных комплексов, системы заправки ракет компонентами топлива и агрегатов нейтрализации, а также системы температурно-влажностного режима и водоснабжения командных пунктов различного уровня. Предприятие награждено орденами Трудового Красного Знамени, Октябрьской Революции (14840).</w:t>
      </w:r>
    </w:p>
    <w:p w14:paraId="324D9330" w14:textId="77777777" w:rsidR="00750B15" w:rsidRPr="00271E51" w:rsidRDefault="00750B15" w:rsidP="00271E51">
      <w:pPr>
        <w:spacing w:after="0" w:line="240" w:lineRule="auto"/>
        <w:jc w:val="both"/>
        <w:rPr>
          <w:rFonts w:ascii="Times New Roman" w:hAnsi="Times New Roman"/>
          <w:color w:val="000000" w:themeColor="text1"/>
          <w:sz w:val="16"/>
          <w:szCs w:val="16"/>
        </w:rPr>
      </w:pPr>
    </w:p>
    <w:p w14:paraId="65146F2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года в НИИ-108 была переведена лаборатория ЛФТИ Юрия Кобзарева. Совет по радиолокации и головной институт – НИИ-108 Наркомата обороны – разместились в Москве, в комплексе зданий у Красных ворот на Новой Басманной улице, который ранее занимала Промышленная академия (до 1917 года в зданиях размещался Институт благородных девиц). Директором НИИ-108 назначен профессор Аксель Берг, главным инженером – профессор Александр Кугушев. Решением Совнаркома СССР. Здесь же разместилось Центральное проектно-конструкторское бюро, которому поручена разработка общих систем применения радиолокационной техники. Позже здесь также разместилось Бюро новой техники 5-го Главного управления Министерства обороны СССР.</w:t>
      </w:r>
    </w:p>
    <w:p w14:paraId="5BF824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Вспоминает бывший директор НИИ-108 Юрий МАЖОРОВ. Недооценка роли радиолокации в стране привела к тому, что не было организовано серийное производство систем радиолокации, не было организации, решающей основные проблемы радиолокации. После образования НИИ-108 основными его задачами стали:</w:t>
      </w:r>
    </w:p>
    <w:p w14:paraId="59AC52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Разработка образцов новых РЛС.</w:t>
      </w:r>
    </w:p>
    <w:p w14:paraId="42DAC6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Освоение техники сантиметровых волн и разработка аппаратуры работающей на этих волнах.</w:t>
      </w:r>
    </w:p>
    <w:p w14:paraId="5DFCD6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Проведение научно-теоретических и экспериментальных работ по изучению распространения, отражения и рассеивания ультракоротких и сантиметровых волн.</w:t>
      </w:r>
    </w:p>
    <w:p w14:paraId="47B0EAA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Изучение всех процессов, происходящих в радиолокационных устройствах, и разработка теоретических основ и методов расчетов. Освоение дециметровой и сантиметровой вакуумной техники.</w:t>
      </w:r>
    </w:p>
    <w:p w14:paraId="69275AB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Исполнение обязанностей начальника НИИ-108 приказом наркома Кабанова от 31 августа 1943 года было возложено на заместителя председателя Совета, заместителя наркома электропромышленности Берга. Нагрузка Берга в этих трех организациях была слишком велика, и он добился того, что исполняющим обязанности директора института стал Петр Зиновьевич Стась, затем – Сергей Михайлович Владимирский. Через несколько лет Берг вновь возглавил институт и оставался в должности до ухода на пенсию (10109).</w:t>
      </w:r>
    </w:p>
    <w:p w14:paraId="25CF177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3D792"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831BD6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3AF4B3"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25 ноября </w:t>
      </w:r>
      <w:r w:rsidRPr="00271E51">
        <w:rPr>
          <w:rFonts w:ascii="Times New Roman" w:hAnsi="Times New Roman"/>
          <w:color w:val="000000" w:themeColor="text1"/>
          <w:sz w:val="16"/>
          <w:szCs w:val="16"/>
        </w:rPr>
        <w:t>в 1943 году оперативная сводка Совинформбюро:</w:t>
      </w:r>
    </w:p>
    <w:p w14:paraId="5BCA5549"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наши войска, расположенные в районе Пропойск, перешли в наступление против немецко-фашистских войск. Успешно форсировав реки Сож и Проня, наши войска за три дня упорных боёв прорвали сильно укреплённую оборонительную полосу противника протяжением по фронту 60 километров и, продвинувшись вперёд от 18 до 45 километров, овладели районным центром Могилёвской области городом Пропойск,районными центрами Гомельской области городом Корма, Журавичи, а также заняли более 180 других населённых пунктов; среди них крупные населённые пункты Узгорск, Улуки, Рабовичи, Железинка, Шеломы, Васьковичи, Ржавка, Гайшин, Безуевичи, Тереховка, Черняковка, Славня, Хлебно, Золотомино, Косель, Салабута, Рудня, Литвиновичи, Зятковичи, Роги, Перегон, Ректа, Старый Быч, Новый Быч, Старая Алешня, Новая Алешня, Добрый Дуб, Большая Зимница, Драгунск, Хатовня, Поляниновичи, Искань, Селец-Холопеев, Обидовичи, Веть.</w:t>
      </w:r>
    </w:p>
    <w:p w14:paraId="7C36BEB0"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ноября севернее и юго-западнее Гомеля наши войска вели бои с противником, в ходе которых улучшили свои позиции.</w:t>
      </w:r>
    </w:p>
    <w:p w14:paraId="5B3E58B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Речицы наши войска с боями продвигались вперёд и овладели опорными пунктами противника Боровики, Росова, Страковичи, Узнаж, Славань, Осташковичи, Карповичи, Корени, Коситов, Хомичи, а также заняли железнодорожные станции Жердь, Останковичи, перерезав таким образом железную дорогу Жлобин—Калинковичи.</w:t>
      </w:r>
    </w:p>
    <w:p w14:paraId="01DEBBE7"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продолжая наступление,заняли несколько населённых пунктов и среди них Деревище, Моклище, Хвойное,Гноево, Тульговичи, Тешков, Лиховня, Данилеевка.</w:t>
      </w:r>
    </w:p>
    <w:p w14:paraId="58DB48B6"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Коростень наши войска отбивали атаки пехоты противника.</w:t>
      </w:r>
    </w:p>
    <w:p w14:paraId="6F814602"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 и Брусилов наши войска отбивали, атаки танков и пехоты противника.</w:t>
      </w:r>
    </w:p>
    <w:p w14:paraId="4D67AE0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Кременчуга наши войска, продолжая наступление, овладели районным центром Крюков, а также заняли населённые пункты Демуровка, Раковка, Садки, Павлыш, Сметановка и железнодорожные станции Бурты, Павлыш.</w:t>
      </w:r>
    </w:p>
    <w:p w14:paraId="1D8CA474"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артиллерийско-минометная перестрелка.</w:t>
      </w:r>
    </w:p>
    <w:p w14:paraId="378DC26B"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ноября наши войска на всех фронтах подбили и уничтожили 49 немецких танков.</w:t>
      </w:r>
    </w:p>
    <w:p w14:paraId="54685943"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войска, расположенные в районе Пропойск, переправились через реки Сож и Проня и после ожесточённых боёв прорвали оборону противника. Немцы располагали на этом участке очень выгодными позициями. Они построили укрепления, которые прикрывались широкими водными преградами. Советские части, действуя в трудныхусловиях лесисто-болотистой местности, сломили сопротивление противника и овладели районным центром Могилёвской области городом Пропойск, районными центрами Гомельской области Корма и Журавичи и заняли более 180 других населённых пунктов. Противник понёс огромные потери. Только в боях за Пропойск уничтожено до 2.000 гитлеровцев и захвачены большие трофеи. На другом участке части Н-ского соединения разгромили два полка немецкой пехоты. Взяты трофеи, в числе которых 7 танков, 25 полевых и 7 самоходных орудий, 8 складов с военным имуществом. Взято большое число пленных.</w:t>
      </w:r>
    </w:p>
    <w:p w14:paraId="423549BD"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Речицы части Н-ского соединения, успешно продвигаясь вперёд, заняли ряд населённых пунктов. Советские бойцы, овладев железнодорожными станциями Жердь и Останковичи, перерезали железную дорогу Жлобин — Калинковичи. В этих боях уничтожено до 800 немецких солдат и офицеров. Захвачены у противника 3 артиллерийских батареи, 5 тяжёлых миномётов, склад боеприпасов, склад с продовольствием и фуражом.</w:t>
      </w:r>
    </w:p>
    <w:p w14:paraId="115AAECE"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Кременчуга наши войска овладели районным центром Крюков. Противник, стремясь, во что бы то ни стало удержать этот важный опорный пункт, создал вокруг него три оборонительных линии. Прорвав оборону немцев, советские части после ожесточённых боёв заняли Крюков, а также несколько других населённых пунктов. Продолжая наступление, бойцы Н-ского соединения овладели железнодорожными станциями Бурты и Павлыш. Противник понёс большие потери в живой силе. Подбито и сожжено свыше 20 немецких танков и 6 бронетранспортёров. Нашими частями захвачены 2 бронемашины, самоходное орудие, 14 полевых орудий и 30 автомашин. Взяты пленные.</w:t>
      </w:r>
    </w:p>
    <w:p w14:paraId="5EF0D1D3"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потоплены танкер и транспорт противника общим водоизмещением в 12.000 тонн.</w:t>
      </w:r>
    </w:p>
    <w:p w14:paraId="57AE864F"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Несколько партизанских отрядов, действующих в Ленинградской области, в ноябре пустили под откос 18 немецких воинских эшелонов, 2 бронепоезда и ремонтно-восстановительный поезд. Разбито 26 платформ с орудиями и автомашинами, 9 платформ с бронетранспортёрами и тягачами и свыше ста вагонов с различными грузами. В результате крушений уничтожено большое число гитлеровцев.</w:t>
      </w:r>
    </w:p>
    <w:p w14:paraId="5D636BCD"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6 роты 536 полка 384 немецкой пехотной дивизии Франц Дитц рассказал: «До самого последнего времени 536 полк находился во Франции, в Сент-Омере. В конце октября дивизия в полном составе была отправлена на Восточный фронт. Следовали мы по маршруту: Париж, Вормс, Франкфурт, Лейпциг, Дрезден, Краков, Львов. В Виннице мы остановились. Дальше нельзя было ехать: все пути были забиты железнодорожными составами. Нас выгрузили и частью пешком, частью на грузовиках перебросили на Криворожский участок фронта. В первый жедень пребывания на передовых позициях наши подразделения попали под сильный миномётный обстрел русских и понесли тяжёлые потери. Ещё будучи во Франции, я понял, что наше положение безнадежное. Я вместе с двумя самыми близкими товарищами при первом удобном случае сдался в плен».</w:t>
      </w:r>
    </w:p>
    <w:p w14:paraId="4A2B6EEA" w14:textId="77777777" w:rsidR="00750B15" w:rsidRPr="00271E51" w:rsidRDefault="00750B1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Комаровского сельсовета Киевской области Максим Наркевич, директор школы Николай Варич, учительница Харитина Зубер, колхозник М.Коваль и другие рассказали о зверствах немецко-фашистских мерзавцев в селе Комаровка: «За время оккупации гитлеровские палачи замучили и расстреляли в нашем селе многих жителей. Жестоким пыткам и диким издевательствам подвергли немцы колхозника Романа Некоза. Перед казнью фашистские изверги заставили его вырыть себе могилу. Немцы арестовали Якова Романенко, Макара Барановского, Григория Дунайного, Сергея Кузькового, Кузьму Синещок и многих других жителей. Арестованных продержали долгое время в застенке гестапо, зверски пытали их, а затем увезли неизвестно куда. Перед отступлением немцы разграбили село, уничтожили и сожгли много колхозного добра и имущества колхозников» (14840).</w:t>
      </w:r>
    </w:p>
    <w:p w14:paraId="7F4ADFDF" w14:textId="77777777" w:rsidR="00750B15" w:rsidRPr="00271E51" w:rsidRDefault="00750B15" w:rsidP="00271E51">
      <w:pPr>
        <w:spacing w:after="0" w:line="240" w:lineRule="auto"/>
        <w:jc w:val="both"/>
        <w:rPr>
          <w:rFonts w:ascii="Times New Roman" w:hAnsi="Times New Roman"/>
          <w:color w:val="000000" w:themeColor="text1"/>
          <w:sz w:val="16"/>
          <w:szCs w:val="16"/>
        </w:rPr>
      </w:pPr>
    </w:p>
    <w:p w14:paraId="767B58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года 1902-ой Кременчугский самоходно-артиллерийский полк на СУ-76И, потерявший все свои машины, убыл на переформирование отечественной матчастью.</w:t>
      </w:r>
    </w:p>
    <w:p w14:paraId="74F2EB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1902-го, самоходными установками СУ-76И оснащались 1901 и 1903-ий полки, которые также использовались в августе - сентябре при проведении Белгородско-Харьковской операции (9695).</w:t>
      </w:r>
    </w:p>
    <w:p w14:paraId="264AF5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B88E6"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3AFAE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57ABC6"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25–26 ноября (ночь) 1943 262 британских бомбардировщика совершили налет на Франкфурт-на-Майне, Германия, потеряв 12 самолетов (4,6 процента своих сил) (20376).</w:t>
      </w:r>
    </w:p>
    <w:p w14:paraId="7A65C9A1" w14:textId="77777777" w:rsidR="00E03D58" w:rsidRPr="00271E51" w:rsidRDefault="00E03D58" w:rsidP="00271E51">
      <w:pPr>
        <w:spacing w:after="0" w:line="240" w:lineRule="auto"/>
        <w:jc w:val="both"/>
        <w:rPr>
          <w:rFonts w:ascii="Times New Roman" w:hAnsi="Times New Roman"/>
          <w:color w:val="0070C0"/>
          <w:sz w:val="16"/>
          <w:szCs w:val="16"/>
        </w:rPr>
      </w:pPr>
    </w:p>
    <w:p w14:paraId="65B61C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ноября 1943 японский гидросамолет, запущенный с п/л И-19 с расстояния 150 км произвел разведку Пирл-Харбора, но возвратившись обнаружил, что п/л потоплена двумя эсминцами (3961, 110).</w:t>
      </w:r>
    </w:p>
    <w:p w14:paraId="167F38B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10E09"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25–26 ноября (ночь) 1943 японские самолеты атакуют американские корабли к востоку от островов Гилберта, но без попаданий (20376).</w:t>
      </w:r>
    </w:p>
    <w:p w14:paraId="3AA44237" w14:textId="77777777" w:rsidR="00E03D58" w:rsidRPr="00271E51" w:rsidRDefault="00E03D58" w:rsidP="00271E51">
      <w:pPr>
        <w:spacing w:after="0" w:line="240" w:lineRule="auto"/>
        <w:jc w:val="both"/>
        <w:rPr>
          <w:rFonts w:ascii="Times New Roman" w:hAnsi="Times New Roman"/>
          <w:color w:val="0070C0"/>
          <w:sz w:val="16"/>
          <w:szCs w:val="16"/>
        </w:rPr>
      </w:pPr>
    </w:p>
    <w:p w14:paraId="29AE73F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4A344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854C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появилась запись, что в октябре 1943 в НИИ ВВС КА был предъявлен на прохождение гос. испытаний самолет Ил-2 АМ-38Ф (N 6767 завода 18 с винтом АВ-5А-158В) с увеличенной на 6 гр. стреловидностью крыла.</w:t>
      </w:r>
    </w:p>
    <w:p w14:paraId="62D9DBC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5AD18E4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Самолет Ил-2 с увеличенной стреловидностью крыла и с улучшенной аэродинамикой.</w:t>
      </w:r>
    </w:p>
    <w:p w14:paraId="344D09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Увеличение стреловидности крыла в плане на 6 гр. улучшили продольную устойчивость и управляемость самолета.</w:t>
      </w:r>
    </w:p>
    <w:p w14:paraId="0A7137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Мероприятия, проведенные Гл. конструктором самолета по улучшению продольной устойчивости хотя и улучшили продольную устойчивость и управляемость, но являются недостаточными. Целесообразно для получения положительных запасов продольной устойчивости сдвинуть центровку на 2-3% САХ (462,42-44).</w:t>
      </w:r>
    </w:p>
    <w:p w14:paraId="345FB4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6170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появилась запись о том, что "В сентябре 1943 в НИИ ВВС были проведены гос. испытания самолета Ил-2И АМ-38Ф (N 7581 завода 1) Испытаниями было выявлено, что:</w:t>
      </w:r>
    </w:p>
    <w:p w14:paraId="56FEC5A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летные данные Ил-2И в сравнении с двухместным самолетом улучшены незначительно. Максимальная скорость у земли увеличилась на 14_км/час и на границе высотности - на 15 км/час, а практический потолок увеличился с 5300 до 6500 м.</w:t>
      </w:r>
    </w:p>
    <w:p w14:paraId="06F09A0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самолет Ил-2И может быть использован для борьбы с некоторыми типами самолетов, как например, He 111, FW 200, Ju 87 и Ju 52 на высотах до 4000_м.</w:t>
      </w:r>
    </w:p>
    <w:p w14:paraId="57514DD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Снятие пулеметов ШКАСС и УБТ, РО, бомб...резко снизили качество самолета как бомбардировщика-штурмовика.</w:t>
      </w:r>
    </w:p>
    <w:p w14:paraId="6524086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Считать, что дальнейшая постройка Ил-2И в варианте истребителя и установка мотора АМ-42 (в соответствии с Постановлением ГКО N 3380 от 17 мая 1943 г.) на истребительный вариант Ил-2 нецелесообразна (462,42).</w:t>
      </w:r>
    </w:p>
    <w:p w14:paraId="3262FBF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9BE9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закончились заводские испытания опытного штурмовика Ил-8 АМ-42 (№ 1), которые шли с 10 мая 1943 г. под управлением летчика-испытателя В. К.Коккинаки.</w:t>
      </w:r>
    </w:p>
    <w:p w14:paraId="65C1DB6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Собственно говоря, испытывался и доводился не столько самолет, сколько его еще далеко несовершенная винтомоторная группа.24-му заводу, несмотря на проводимую обширную доводочную работу, долго не удавалось добиться надежной работы мотора.</w:t>
      </w:r>
    </w:p>
    <w:p w14:paraId="590C01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заводских испытаний Ил-8-го на машине пришлось заменить пять (!) моторов АМ-42, прежде чем удалось обеспечить их устойчивую работу в полете. В этой связи испытания нового штурмовика затянулись (9649).</w:t>
      </w:r>
    </w:p>
    <w:p w14:paraId="3CAAEC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534A1"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26 ноября 1943 Ил-2 АМ-42 (РК) был полностью подготовлен к поле</w:t>
      </w:r>
      <w:r w:rsidRPr="00271E51">
        <w:rPr>
          <w:rFonts w:ascii="Times New Roman" w:hAnsi="Times New Roman"/>
          <w:color w:val="000000" w:themeColor="text1"/>
          <w:sz w:val="16"/>
          <w:szCs w:val="16"/>
        </w:rPr>
        <w:softHyphen/>
        <w:t>там по программе заводских испы</w:t>
      </w:r>
      <w:r w:rsidRPr="00271E51">
        <w:rPr>
          <w:rFonts w:ascii="Times New Roman" w:hAnsi="Times New Roman"/>
          <w:color w:val="000000" w:themeColor="text1"/>
          <w:sz w:val="16"/>
          <w:szCs w:val="16"/>
        </w:rPr>
        <w:softHyphen/>
        <w:t>таний. Ожидали только летной пого</w:t>
      </w:r>
      <w:r w:rsidRPr="00271E51">
        <w:rPr>
          <w:rFonts w:ascii="Times New Roman" w:hAnsi="Times New Roman"/>
          <w:color w:val="000000" w:themeColor="text1"/>
          <w:sz w:val="16"/>
          <w:szCs w:val="16"/>
        </w:rPr>
        <w:softHyphen/>
        <w:t>ды. При этом планировали не позже 15 декабря передать самолет в НИИ ВВС для производства государствен</w:t>
      </w:r>
      <w:r w:rsidRPr="00271E51">
        <w:rPr>
          <w:rFonts w:ascii="Times New Roman" w:hAnsi="Times New Roman"/>
          <w:color w:val="000000" w:themeColor="text1"/>
          <w:sz w:val="16"/>
          <w:szCs w:val="16"/>
        </w:rPr>
        <w:softHyphen/>
        <w:t>ных испытаний. Однако после поле</w:t>
      </w:r>
      <w:r w:rsidRPr="00271E51">
        <w:rPr>
          <w:rFonts w:ascii="Times New Roman" w:hAnsi="Times New Roman"/>
          <w:color w:val="000000" w:themeColor="text1"/>
          <w:sz w:val="16"/>
          <w:szCs w:val="16"/>
        </w:rPr>
        <w:softHyphen/>
        <w:t>та 7 декабря "обнаружилась течь воды в картер". Мотор срочно сня</w:t>
      </w:r>
      <w:r w:rsidRPr="00271E51">
        <w:rPr>
          <w:rFonts w:ascii="Times New Roman" w:hAnsi="Times New Roman"/>
          <w:color w:val="000000" w:themeColor="text1"/>
          <w:sz w:val="16"/>
          <w:szCs w:val="16"/>
        </w:rPr>
        <w:softHyphen/>
        <w:t>ли и 8 декабря отправили на опыт</w:t>
      </w:r>
      <w:r w:rsidRPr="00271E51">
        <w:rPr>
          <w:rFonts w:ascii="Times New Roman" w:hAnsi="Times New Roman"/>
          <w:color w:val="000000" w:themeColor="text1"/>
          <w:sz w:val="16"/>
          <w:szCs w:val="16"/>
        </w:rPr>
        <w:softHyphen/>
        <w:t>ный моторный завод № 300 для ана</w:t>
      </w:r>
      <w:r w:rsidRPr="00271E51">
        <w:rPr>
          <w:rFonts w:ascii="Times New Roman" w:hAnsi="Times New Roman"/>
          <w:color w:val="000000" w:themeColor="text1"/>
          <w:sz w:val="16"/>
          <w:szCs w:val="16"/>
        </w:rPr>
        <w:softHyphen/>
        <w:t>лиза причин обнаруженного дефек</w:t>
      </w:r>
      <w:r w:rsidRPr="00271E51">
        <w:rPr>
          <w:rFonts w:ascii="Times New Roman" w:hAnsi="Times New Roman"/>
          <w:color w:val="000000" w:themeColor="text1"/>
          <w:sz w:val="16"/>
          <w:szCs w:val="16"/>
        </w:rPr>
        <w:softHyphen/>
        <w:t>та. Через день из Куйбышева с за</w:t>
      </w:r>
      <w:r w:rsidRPr="00271E51">
        <w:rPr>
          <w:rFonts w:ascii="Times New Roman" w:hAnsi="Times New Roman"/>
          <w:color w:val="000000" w:themeColor="text1"/>
          <w:sz w:val="16"/>
          <w:szCs w:val="16"/>
        </w:rPr>
        <w:softHyphen/>
        <w:t>вода № 24 самолетом был достав</w:t>
      </w:r>
      <w:r w:rsidRPr="00271E51">
        <w:rPr>
          <w:rFonts w:ascii="Times New Roman" w:hAnsi="Times New Roman"/>
          <w:color w:val="000000" w:themeColor="text1"/>
          <w:sz w:val="16"/>
          <w:szCs w:val="16"/>
        </w:rPr>
        <w:softHyphen/>
        <w:t>лен новый АМ-42. После установки мотора на "следопыт" при пробных гонках на земле и в полете 13 де</w:t>
      </w:r>
      <w:r w:rsidRPr="00271E51">
        <w:rPr>
          <w:rFonts w:ascii="Times New Roman" w:hAnsi="Times New Roman"/>
          <w:color w:val="000000" w:themeColor="text1"/>
          <w:sz w:val="16"/>
          <w:szCs w:val="16"/>
        </w:rPr>
        <w:softHyphen/>
        <w:t>кабря вновь выявились ненормально</w:t>
      </w:r>
      <w:r w:rsidRPr="00271E51">
        <w:rPr>
          <w:rFonts w:ascii="Times New Roman" w:hAnsi="Times New Roman"/>
          <w:color w:val="000000" w:themeColor="text1"/>
          <w:sz w:val="16"/>
          <w:szCs w:val="16"/>
        </w:rPr>
        <w:softHyphen/>
        <w:t>сти в его работе. Четвертый по сче</w:t>
      </w:r>
      <w:r w:rsidRPr="00271E51">
        <w:rPr>
          <w:rFonts w:ascii="Times New Roman" w:hAnsi="Times New Roman"/>
          <w:color w:val="000000" w:themeColor="text1"/>
          <w:sz w:val="16"/>
          <w:szCs w:val="16"/>
        </w:rPr>
        <w:softHyphen/>
        <w:t>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w:t>
      </w:r>
      <w:r w:rsidRPr="00271E51">
        <w:rPr>
          <w:rFonts w:ascii="Times New Roman" w:hAnsi="Times New Roman"/>
          <w:color w:val="000000" w:themeColor="text1"/>
          <w:sz w:val="16"/>
          <w:szCs w:val="16"/>
        </w:rPr>
        <w:softHyphen/>
        <w:t>тов вновь изменили регулировку кар</w:t>
      </w:r>
      <w:r w:rsidRPr="00271E51">
        <w:rPr>
          <w:rFonts w:ascii="Times New Roman" w:hAnsi="Times New Roman"/>
          <w:color w:val="000000" w:themeColor="text1"/>
          <w:sz w:val="16"/>
          <w:szCs w:val="16"/>
        </w:rPr>
        <w:softHyphen/>
        <w:t>бюраторов и поменяли водо- и мас-лорадиаторы. Но эти доработки по</w:t>
      </w:r>
      <w:r w:rsidRPr="00271E51">
        <w:rPr>
          <w:rFonts w:ascii="Times New Roman" w:hAnsi="Times New Roman"/>
          <w:color w:val="000000" w:themeColor="text1"/>
          <w:sz w:val="16"/>
          <w:szCs w:val="16"/>
        </w:rPr>
        <w:softHyphen/>
        <w:t>могли мало. Опытный самолет вновь встал на прикол.</w:t>
      </w:r>
    </w:p>
    <w:p w14:paraId="0830C9E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"следопыт" не летал в ожи</w:t>
      </w:r>
      <w:r w:rsidRPr="00271E51">
        <w:rPr>
          <w:rFonts w:ascii="Times New Roman" w:hAnsi="Times New Roman"/>
          <w:color w:val="000000" w:themeColor="text1"/>
          <w:sz w:val="16"/>
          <w:szCs w:val="16"/>
        </w:rPr>
        <w:softHyphen/>
        <w:t>дании поставки кондиционного мо</w:t>
      </w:r>
      <w:r w:rsidRPr="00271E51">
        <w:rPr>
          <w:rFonts w:ascii="Times New Roman" w:hAnsi="Times New Roman"/>
          <w:color w:val="000000" w:themeColor="text1"/>
          <w:sz w:val="16"/>
          <w:szCs w:val="16"/>
        </w:rPr>
        <w:softHyphen/>
        <w:t>тора, на нем полным ходом шли ра</w:t>
      </w:r>
      <w:r w:rsidRPr="00271E51">
        <w:rPr>
          <w:rFonts w:ascii="Times New Roman" w:hAnsi="Times New Roman"/>
          <w:color w:val="000000" w:themeColor="text1"/>
          <w:sz w:val="16"/>
          <w:szCs w:val="16"/>
        </w:rPr>
        <w:softHyphen/>
        <w:t>боты по улучшению его "штурмовых" качеств.</w:t>
      </w:r>
    </w:p>
    <w:p w14:paraId="52BD517E"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установлены два наружных держателя МДЗ-40, обеспечивавших подвеску бомб калибра от 50 до 500 кг, и система управления ими. Че</w:t>
      </w:r>
      <w:r w:rsidRPr="00271E51">
        <w:rPr>
          <w:rFonts w:ascii="Times New Roman" w:hAnsi="Times New Roman"/>
          <w:color w:val="000000" w:themeColor="text1"/>
          <w:sz w:val="16"/>
          <w:szCs w:val="16"/>
        </w:rPr>
        <w:softHyphen/>
        <w:t>тыре бомбоотсека в центроплане крыла дорабатывались таким обра</w:t>
      </w:r>
      <w:r w:rsidRPr="00271E51">
        <w:rPr>
          <w:rFonts w:ascii="Times New Roman" w:hAnsi="Times New Roman"/>
          <w:color w:val="000000" w:themeColor="text1"/>
          <w:sz w:val="16"/>
          <w:szCs w:val="16"/>
        </w:rPr>
        <w:softHyphen/>
        <w:t>зом, чтобы было возможным разме</w:t>
      </w:r>
      <w:r w:rsidRPr="00271E51">
        <w:rPr>
          <w:rFonts w:ascii="Times New Roman" w:hAnsi="Times New Roman"/>
          <w:color w:val="000000" w:themeColor="text1"/>
          <w:sz w:val="16"/>
          <w:szCs w:val="16"/>
        </w:rPr>
        <w:softHyphen/>
        <w:t>стить в них до 600 кг осколочных авиабомб калибра от 1 до 25 кг. При этом авиабомбы укладывались в эти отсеки на створки бомболюков как в бункера. После сбрасывания бомб створки люков закрывались с помо</w:t>
      </w:r>
      <w:r w:rsidRPr="00271E51">
        <w:rPr>
          <w:rFonts w:ascii="Times New Roman" w:hAnsi="Times New Roman"/>
          <w:color w:val="000000" w:themeColor="text1"/>
          <w:sz w:val="16"/>
          <w:szCs w:val="16"/>
        </w:rPr>
        <w:softHyphen/>
        <w:t>щью пружин. Бомбы калибра 50 и 100 кг подвешивались внутри бом-боотсеков на замки Дер-21.</w:t>
      </w:r>
    </w:p>
    <w:p w14:paraId="43EC34A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кабине штурмана-стрелка ус</w:t>
      </w:r>
      <w:r w:rsidRPr="00271E51">
        <w:rPr>
          <w:rFonts w:ascii="Times New Roman" w:hAnsi="Times New Roman"/>
          <w:color w:val="000000" w:themeColor="text1"/>
          <w:sz w:val="16"/>
          <w:szCs w:val="16"/>
        </w:rPr>
        <w:softHyphen/>
        <w:t>танавливался прицел для бомбоме</w:t>
      </w:r>
      <w:r w:rsidRPr="00271E51">
        <w:rPr>
          <w:rFonts w:ascii="Times New Roman" w:hAnsi="Times New Roman"/>
          <w:color w:val="000000" w:themeColor="text1"/>
          <w:sz w:val="16"/>
          <w:szCs w:val="16"/>
        </w:rPr>
        <w:softHyphen/>
        <w:t>тания с горизонтального полета ОПБ-1р. Здесь же монтировалась и новая оборонительная установка ВУ-8 с пулеметом УБК (3 магазина по 50 патронов каждый). ВУ-8 обес</w:t>
      </w:r>
      <w:r w:rsidRPr="00271E51">
        <w:rPr>
          <w:rFonts w:ascii="Times New Roman" w:hAnsi="Times New Roman"/>
          <w:color w:val="000000" w:themeColor="text1"/>
          <w:sz w:val="16"/>
          <w:szCs w:val="16"/>
        </w:rPr>
        <w:softHyphen/>
        <w:t>печивала увеличенные углы обстре</w:t>
      </w:r>
      <w:r w:rsidRPr="00271E51">
        <w:rPr>
          <w:rFonts w:ascii="Times New Roman" w:hAnsi="Times New Roman"/>
          <w:color w:val="000000" w:themeColor="text1"/>
          <w:sz w:val="16"/>
          <w:szCs w:val="16"/>
        </w:rPr>
        <w:softHyphen/>
        <w:t>ла: вверх - 48°, вниз с бортов - 13°, вправо — 60°, влево — 50°. Ракетное вооружение, как и прежде, устанав</w:t>
      </w:r>
      <w:r w:rsidRPr="00271E51">
        <w:rPr>
          <w:rFonts w:ascii="Times New Roman" w:hAnsi="Times New Roman"/>
          <w:color w:val="000000" w:themeColor="text1"/>
          <w:sz w:val="16"/>
          <w:szCs w:val="16"/>
        </w:rPr>
        <w:softHyphen/>
        <w:t>ливать не предполагалось.</w:t>
      </w:r>
    </w:p>
    <w:p w14:paraId="57ADABE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фиксирования результатов стрельбы в левом обтекателе шасси монтировался фотокинопулемет ПАУ-22, синхронно связанный с ра</w:t>
      </w:r>
      <w:r w:rsidRPr="00271E51">
        <w:rPr>
          <w:rFonts w:ascii="Times New Roman" w:hAnsi="Times New Roman"/>
          <w:color w:val="000000" w:themeColor="text1"/>
          <w:sz w:val="16"/>
          <w:szCs w:val="16"/>
        </w:rPr>
        <w:softHyphen/>
        <w:t>ботой стрелково-пушечного воору</w:t>
      </w:r>
      <w:r w:rsidRPr="00271E51">
        <w:rPr>
          <w:rFonts w:ascii="Times New Roman" w:hAnsi="Times New Roman"/>
          <w:color w:val="000000" w:themeColor="text1"/>
          <w:sz w:val="16"/>
          <w:szCs w:val="16"/>
        </w:rPr>
        <w:softHyphen/>
        <w:t>жения. В правом обтекателе шасси располагался киноаппарат КС-5, предназначенный для съемки резуль</w:t>
      </w:r>
      <w:r w:rsidRPr="00271E51">
        <w:rPr>
          <w:rFonts w:ascii="Times New Roman" w:hAnsi="Times New Roman"/>
          <w:color w:val="000000" w:themeColor="text1"/>
          <w:sz w:val="16"/>
          <w:szCs w:val="16"/>
        </w:rPr>
        <w:softHyphen/>
        <w:t>татов штурмового налета и развед</w:t>
      </w:r>
      <w:r w:rsidRPr="00271E51">
        <w:rPr>
          <w:rFonts w:ascii="Times New Roman" w:hAnsi="Times New Roman"/>
          <w:color w:val="000000" w:themeColor="text1"/>
          <w:sz w:val="16"/>
          <w:szCs w:val="16"/>
        </w:rPr>
        <w:softHyphen/>
        <w:t>ки с малых высот.</w:t>
      </w:r>
    </w:p>
    <w:p w14:paraId="3CA7F18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Аэрофотосъемка обеспечивалась двумя плановыми фотоаппаратами: АФА-Зс, установленным в хвостовой части фюзеляжа с дистанционным уп</w:t>
      </w:r>
      <w:r w:rsidRPr="00271E51">
        <w:rPr>
          <w:rFonts w:ascii="Times New Roman" w:hAnsi="Times New Roman"/>
          <w:color w:val="000000" w:themeColor="text1"/>
          <w:sz w:val="16"/>
          <w:szCs w:val="16"/>
        </w:rPr>
        <w:softHyphen/>
        <w:t>равлением из кабины штурмана-стрелка, и АЩАФА-2, расположен</w:t>
      </w:r>
      <w:r w:rsidRPr="00271E51">
        <w:rPr>
          <w:rFonts w:ascii="Times New Roman" w:hAnsi="Times New Roman"/>
          <w:color w:val="000000" w:themeColor="text1"/>
          <w:sz w:val="16"/>
          <w:szCs w:val="16"/>
        </w:rPr>
        <w:softHyphen/>
        <w:t>ным в кабине штурмана-стрелка, ко</w:t>
      </w:r>
      <w:r w:rsidRPr="00271E51">
        <w:rPr>
          <w:rFonts w:ascii="Times New Roman" w:hAnsi="Times New Roman"/>
          <w:color w:val="000000" w:themeColor="text1"/>
          <w:sz w:val="16"/>
          <w:szCs w:val="16"/>
        </w:rPr>
        <w:softHyphen/>
        <w:t>торый предназначался для непрерыв</w:t>
      </w:r>
      <w:r w:rsidRPr="00271E51">
        <w:rPr>
          <w:rFonts w:ascii="Times New Roman" w:hAnsi="Times New Roman"/>
          <w:color w:val="000000" w:themeColor="text1"/>
          <w:sz w:val="16"/>
          <w:szCs w:val="16"/>
        </w:rPr>
        <w:softHyphen/>
        <w:t>ной плановой фотосъемки в плохих метеоусловиях, в сумерки и с малых высот.</w:t>
      </w:r>
    </w:p>
    <w:p w14:paraId="11EA1F5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бронирования Ил-2 АМ-42 (РК) была следующей. Мотор с агрегатами, водяной и масляный ра</w:t>
      </w:r>
      <w:r w:rsidRPr="00271E51">
        <w:rPr>
          <w:rFonts w:ascii="Times New Roman" w:hAnsi="Times New Roman"/>
          <w:color w:val="000000" w:themeColor="text1"/>
          <w:sz w:val="16"/>
          <w:szCs w:val="16"/>
        </w:rPr>
        <w:softHyphen/>
        <w:t>диаторы прикрывались броней тол</w:t>
      </w:r>
      <w:r w:rsidRPr="00271E51">
        <w:rPr>
          <w:rFonts w:ascii="Times New Roman" w:hAnsi="Times New Roman"/>
          <w:color w:val="000000" w:themeColor="text1"/>
          <w:sz w:val="16"/>
          <w:szCs w:val="16"/>
        </w:rPr>
        <w:softHyphen/>
        <w:t>щиной 4 мм. Снизу бронекапот имел 5-мм броню. Для защиты агрегатов винта спереди устанавливался 6-мм бронещиток. Кабина пилота имела броню толщиной 4, 5, 6 и 7 мм. Со стороны задней полусферы летчик защищался бронеплитой толщиной 12 мм, а спереди - 62-мм прозрач</w:t>
      </w:r>
      <w:r w:rsidRPr="00271E51">
        <w:rPr>
          <w:rFonts w:ascii="Times New Roman" w:hAnsi="Times New Roman"/>
          <w:color w:val="000000" w:themeColor="text1"/>
          <w:sz w:val="16"/>
          <w:szCs w:val="16"/>
        </w:rPr>
        <w:softHyphen/>
        <w:t>ным бронестеклом. Сверху и сбоку на фонаре кабины пилота устанав</w:t>
      </w:r>
      <w:r w:rsidRPr="00271E51">
        <w:rPr>
          <w:rFonts w:ascii="Times New Roman" w:hAnsi="Times New Roman"/>
          <w:color w:val="000000" w:themeColor="text1"/>
          <w:sz w:val="16"/>
          <w:szCs w:val="16"/>
        </w:rPr>
        <w:softHyphen/>
        <w:t>ливались бронелисты толщиной 6 мм.</w:t>
      </w:r>
    </w:p>
    <w:p w14:paraId="5DC0144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Штурман-стрелок с боков защищал</w:t>
      </w:r>
      <w:r w:rsidRPr="00271E51">
        <w:rPr>
          <w:rFonts w:ascii="Times New Roman" w:hAnsi="Times New Roman"/>
          <w:color w:val="000000" w:themeColor="text1"/>
          <w:sz w:val="16"/>
          <w:szCs w:val="16"/>
        </w:rPr>
        <w:softHyphen/>
        <w:t>ся бронелистами толщиной 5 и 6 мм, снизу - 6 мм, а со стороны задней полусферы - 12-мм бронеплитой. Общий вес металлической брони со</w:t>
      </w:r>
      <w:r w:rsidRPr="00271E51">
        <w:rPr>
          <w:rFonts w:ascii="Times New Roman" w:hAnsi="Times New Roman"/>
          <w:color w:val="000000" w:themeColor="text1"/>
          <w:sz w:val="16"/>
          <w:szCs w:val="16"/>
        </w:rPr>
        <w:softHyphen/>
        <w:t>ставил 1180 кг, в том числе 70 кг узлы крепления.</w:t>
      </w:r>
    </w:p>
    <w:p w14:paraId="2CD6EE4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Смонтированную на самолете си</w:t>
      </w:r>
      <w:r w:rsidRPr="00271E51">
        <w:rPr>
          <w:rFonts w:ascii="Times New Roman" w:hAnsi="Times New Roman"/>
          <w:color w:val="000000" w:themeColor="text1"/>
          <w:sz w:val="16"/>
          <w:szCs w:val="16"/>
        </w:rPr>
        <w:softHyphen/>
        <w:t>стему заполнения бензобаков нейт</w:t>
      </w:r>
      <w:r w:rsidRPr="00271E51">
        <w:rPr>
          <w:rFonts w:ascii="Times New Roman" w:hAnsi="Times New Roman"/>
          <w:color w:val="000000" w:themeColor="text1"/>
          <w:sz w:val="16"/>
          <w:szCs w:val="16"/>
        </w:rPr>
        <w:softHyphen/>
        <w:t>ральным газом довести "до ума" не успевали, поэтому ее заблокирова</w:t>
      </w:r>
      <w:r w:rsidRPr="00271E51">
        <w:rPr>
          <w:rFonts w:ascii="Times New Roman" w:hAnsi="Times New Roman"/>
          <w:color w:val="000000" w:themeColor="text1"/>
          <w:sz w:val="16"/>
          <w:szCs w:val="16"/>
        </w:rPr>
        <w:softHyphen/>
        <w:t>ли (11427).</w:t>
      </w:r>
    </w:p>
    <w:p w14:paraId="4C80687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33B5E7"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26 ноября 1943 Ил-2 АМ-42 (РК) был полностью подготовлен к полетам по программе заводских испытаний. Ожидали только летной погоды. При этом планировали не позже 15 декабря передать самолет в НИИ ВВС для производства государственных испытаний. Однако после полета 7 декабря «обнаружилась течь воды в картер». Мотор сразу же сняли и 8 декабря отправили на опытный моторный завод № 300 для анализа причин обнаруженного дефекта. Через день из Куйбышева с завода № 24 самолетом был доставлен новый АМ-42. После установки этого мотора на «следопыт» при пробных гонках на земле и в полете 13 декабря вновь выявились ненормальности в его работе. Четвертый по счету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дефектов вновь изменили регулировку карбюраторов и поменяли водо- и маслорадиаторы. Но эти доработки помогли мало. Опытный самолет вновь встал на доработку.</w:t>
      </w:r>
    </w:p>
    <w:p w14:paraId="5BD64C9D"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«следопыт» не летал в ожидании поставки кондиционного мотора, на нем полным ходом шли работы по улучшению его «штурмовых» качеств.</w:t>
      </w:r>
    </w:p>
    <w:p w14:paraId="4745F9E0"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установлены два наружных держателя МДЗ-40, обеспечивавших подвеску бомб калибра от 50 до 500 кг, и смонтирована система управления ими. Четыре бомбоотсека в центроплане крыла переделывались таким образом, чтобы было возможным разместить в них до 600 кг осколочных бомб калибра от 1 до 25 кг. При этом бомбы укладывались в эти отсеки на створки бомболюков, как в бункера. После сбрасывания бомб створки люков закрывались с помощью пружин. Бомбы калибра 50 и 100 кг подвешивались внутри бомбоотсеков на замки Дер-21.</w:t>
      </w:r>
    </w:p>
    <w:p w14:paraId="628FF438"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кабине штурмана-стрелка устанавливался прицел для бомбометания с горизонтального полета ОПБ-1р. Здесь же монтировалась и новая подвижная оборонительная установка ВУ-8 с пулеметом УБК (3 магазина по 50 патронов каждый). ВУ-8 обеспечивала увеличенные углы обстрела: вверх – 48°, вниз с бортов – 13°, вправо – 60°, влево – 50°. Ракетное вооружение, как и прежде, устанавливать не предполагалось.</w:t>
      </w:r>
    </w:p>
    <w:p w14:paraId="4798ED1F"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контроля результатов стрельбы в левом обтекателе шасси монтировался фотокинопулемет ПАУ-22, синхронно связанный с работой стрелково-пушечного вооружения. В правом обтекателе шасси располагался киноаппарат КС-5, предназначенный для съемки результатов штурмового удара и разведки с малых высот.</w:t>
      </w:r>
    </w:p>
    <w:p w14:paraId="50CDA3DD"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Аэрофотосъемка обеспечивалась двумя плановыми фотоаппаратами: АФА-3 с, установленного в хвостовой части фюзеляжа с дистанционным управлением из кабины штурмана-стрелка, и АЩАФА-2, расположенного в кабине штурмана-стрелка, который предназначался для непрерывной плановой фотосъемки в плохих метеоусловиях, в сумерки и с малых высот.</w:t>
      </w:r>
    </w:p>
    <w:p w14:paraId="7C143ACF"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бронирования Ил-2 АМ-42 (РК) была следующей. Мотор с агрегатами, водяной и масляный радиаторы прикрывались броней толщиной 4 мм. Снизу бронекапот имел 5-мм броню. Для защиты агрегатов винта спереди устанавливался 6-мм бронещиток. Кабина пилота имела броню толщиной 4, 5, 6 и 7 мм. Со стороны задней полусферы летчик защищался бронеплитой толщиной 12 мм, а спереди – 62-мм прозрачным бронестеклом. Сверху и сбоку на фонаре кабины пилота устанавливались бронелисты толщиной 6 мм. Штурман-стрелок с боков защищался бронелистами толщиной 5 и 6 мм, снизу – 6 мм, а со стороны задней полусферы – 12-мм бронеплитой. Общий вес металлической брони составил 1180 кг, в том числе 70 кг узлы крепления.</w:t>
      </w:r>
    </w:p>
    <w:p w14:paraId="2F211C20"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элеронами, рулем высоты, направления и триммерами на участках, не защищенных броней, в крыле и хвостовой части фюзеляжа дублировалось второй тросовой проводкой.</w:t>
      </w:r>
    </w:p>
    <w:p w14:paraId="2440B418" w14:textId="77777777" w:rsidR="00D81BEA" w:rsidRPr="00271E51" w:rsidRDefault="00D81BE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Смонтированную на самолете систему заполнения бензобаков нейтральными газами от выхлопа мотора довести «до ума» не успевали, поэтому ее заблокировали (на период испытаний) (17490).</w:t>
      </w:r>
    </w:p>
    <w:p w14:paraId="6149C699" w14:textId="77777777" w:rsidR="00D81BEA" w:rsidRPr="00271E51" w:rsidRDefault="00D81BEA" w:rsidP="00271E51">
      <w:pPr>
        <w:spacing w:after="0" w:line="240" w:lineRule="auto"/>
        <w:jc w:val="both"/>
        <w:rPr>
          <w:rFonts w:ascii="Times New Roman" w:hAnsi="Times New Roman"/>
          <w:color w:val="000000" w:themeColor="text1"/>
          <w:sz w:val="16"/>
          <w:szCs w:val="16"/>
        </w:rPr>
      </w:pPr>
    </w:p>
    <w:p w14:paraId="6654B92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закончились высотные полеты на Ла-5, которые шли с 9 июля 1943. Выполнили 33 полета, из которых 18 на высоту свыше 9000 м, установив боевую высоту 12500 м (1824,19).</w:t>
      </w:r>
    </w:p>
    <w:p w14:paraId="5B507B7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C6934"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07CD0D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4F0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4665 Об утверждении Условий Всесоюзного социалистического соревнования геологических управлений, экспедиций и партий Комитета по делам геологии при Совнаркоме СССР.РГАНИР, Фонд ГКО, д. 179, лл. 87, 88-89 (11012).</w:t>
      </w:r>
    </w:p>
    <w:p w14:paraId="2E644B5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A078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4666 Об учреждении дополнительных переходящих Красных знамен для предприятий Наркомнефти.РГАНИР, Фонд ГКО, д. 179, лл. 90 (11012).</w:t>
      </w:r>
    </w:p>
    <w:p w14:paraId="0DEF296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4DF3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4667. О переводе из Кемерово в Макеевку ОСМУ-2 ОСМЧ № 101 для работы на восстановлении Макеевских металлургического и коксохимического заводов.РГАНИР, Фонд ГКО, д. 179, лл. 91 (11012).</w:t>
      </w:r>
    </w:p>
    <w:p w14:paraId="5AC4FA2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E9A7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4668. О распространении на работников ЦЭС Улан-Удэнского паровозовагоноремонтного завода HКПС условий оплаты труда и системы премирования, установленных для работников электростанций II категории HКЭС, а на работников ТЭЦ Курган Южно-Уральской ж.РГАНИР, Фонд ГКО, д. условий оплаты труда, установленных постановлением ГКО № 2422. РГАНИР, Фонд ГКО, д. 179, лл. 92-93 (11012).</w:t>
      </w:r>
    </w:p>
    <w:p w14:paraId="1837B1D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DBE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4669. Об учреждении дополнительных премий для промышленных предприятий г. Москвы и области, участвующих в соцсоревновании по экономии электроэнергии и улучшении коэффициента мощности.РГАНИР, Фонд ГКО, д. 179, лл. 94 (11012).</w:t>
      </w:r>
    </w:p>
    <w:p w14:paraId="436491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0198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4670. О поставках оборудования, материалов и горючего конторе особых работ № 30 треста № 15 НКсвязи.РГАНИР, Фонд ГКО, д. 179, лл. 95, 96-97 (11012).</w:t>
      </w:r>
    </w:p>
    <w:p w14:paraId="5E7FD3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5CA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4671. О возвращении в Москву из Свердловска Главного Управления рудной промышленности HКЧМ, возобновлении деятельности треста "Уралруда". РГАНИР, Фонд ГКО, д. 179, лл. 98 (11012).</w:t>
      </w:r>
    </w:p>
    <w:p w14:paraId="6CC2B5D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622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4672. О мерах по обеспечению рабочей силой восстанавливаемых предприятий НКЧМ в Днепропетровской и Запорожской обл.РГАНИР, Фонд ГКО, д. 179, лл. 99 (11012).</w:t>
      </w:r>
    </w:p>
    <w:p w14:paraId="402310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730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4673 Об обеспечении древесиной Ново-Лялинского целлюлозно-бумажного комбината Наркомбумпрома.РГАНИР, Фонд ГКО, д. 179, лл. 100-101 (11012).</w:t>
      </w:r>
    </w:p>
    <w:p w14:paraId="0C46B6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4231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4674. О поставках сырья и материалов для строительства Кокандского суперфосфатного завода.РГАНИР, Фонд ГКО, д. 179, лл. 102-105 (11012).</w:t>
      </w:r>
    </w:p>
    <w:p w14:paraId="58540ED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A18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4675 О материально-техническом обеспечении производства автомобилей, запчастей к ним и автоприцепов в IV квартале 1943 г.РГАНИР, Фонд ГКО, д. 179, лл. 106-114, 115-128 (11012).</w:t>
      </w:r>
    </w:p>
    <w:p w14:paraId="03297A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06F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4676 О материально-техническом обеспечении производства электрооборудования, приборов и других комплектующих изделий на заводах Главсмежпрома Hаркомсредмаша в IV квартале 1943 года.РГАНИР, Фонд ГКО, д. 179, лл. 129-133, 134-148 (11012).</w:t>
      </w:r>
    </w:p>
    <w:p w14:paraId="4DE01A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8471B"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4677 О мерах неотложной помощи московскому ордена Ленина заводу "Серп и молот" Наркомчермета. (7160, 149-152,153-156).</w:t>
      </w:r>
    </w:p>
    <w:p w14:paraId="207C9826"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E5AC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Постановление ГКО № 4678 О мерах неотложной помощи строительству Актюбинского ферросплавного комбината.РГАНИР, Фонд ГКО, д. 179, лл. 157-164, 165-178 (11012).</w:t>
      </w:r>
    </w:p>
    <w:p w14:paraId="140E8AF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5EC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4679. О временной передаче Главторгу НКЭС 4 снегоочистителей узкой колеи с баз НКО.РГАНИР, Фонд ГКО, д. 179, лл. 179 (11012).</w:t>
      </w:r>
    </w:p>
    <w:p w14:paraId="518036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9F0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вышло Распоряжение ГКО № 4680. О мерах по обеспечению дровами кировских электростанций.РГАНИР, Фонд ГКО, д. 179, лл. 180 (11012).</w:t>
      </w:r>
    </w:p>
    <w:p w14:paraId="7E43B5F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8032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68E650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5D624"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26 ноября </w:t>
      </w:r>
      <w:r w:rsidRPr="00271E51">
        <w:rPr>
          <w:rFonts w:ascii="Times New Roman" w:hAnsi="Times New Roman"/>
          <w:color w:val="000000" w:themeColor="text1"/>
          <w:sz w:val="16"/>
          <w:szCs w:val="16"/>
        </w:rPr>
        <w:t>в 1943 году оперативная сводка Совинформбюро:</w:t>
      </w:r>
    </w:p>
    <w:p w14:paraId="73B509C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Белорусского фронта в результате успешного наступления и смелого обходного манёвра сегодня, 26 ноября, овладели крупным областным центром Белорусской ССР — городом и железнодорожным узлом Гомель.</w:t>
      </w:r>
    </w:p>
    <w:p w14:paraId="0345FECE"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ноября западнее Пропойска наши войска, продолжая наступление, заняли более 30 населённых пунктов; среди них крупные населённые пункты Машевская Слобода, Хотище, Кульшичи, Заполянье, Хачинки, Куликовка, Бахань,Тушевка, Остров, Сапожки.</w:t>
      </w:r>
    </w:p>
    <w:p w14:paraId="2F4CC5B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реками Сож и Днепр, в районе Гомеля, наши войска с боями занли населённые пункты Присно, Лопатино, Костюковка, Ерёмино, Давыдовка, Бабовичи, Сосновка, Боровая, Александровна, Копань.</w:t>
      </w:r>
    </w:p>
    <w:p w14:paraId="2F4A66D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Березина наши войска с боями заняли населённые пункты Нижняя Олба, Городок, Калиновка, Толстыки, Отрубы, Мойча, Великий Бор, Мармовичи, Давыдовка, Просвет, Людвиновка и железнодорожную станцию Шацилки.</w:t>
      </w:r>
    </w:p>
    <w:p w14:paraId="5456F5CE"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Речица наши войска вели наступление и заняли населённые пункты Старый и Новый Нахов, Глинная Слобода, Ужинец, Алексичи, Богуславица, Глинище.</w:t>
      </w:r>
    </w:p>
    <w:p w14:paraId="2720BB2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Коростень, Черняхов и Брусилов наши войска отбивали атаки пехоты и танков противника.</w:t>
      </w:r>
    </w:p>
    <w:p w14:paraId="2DB970EF"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овладели опорными пунктами противника Курчановка, Чечелёво, Белецковка, Свинарка, Браиловка, Талова Балка, Воробьёвка.</w:t>
      </w:r>
    </w:p>
    <w:p w14:paraId="3E2E5485"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126D480A"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ноября наши войска на всех фронтах подбили и уничтожили 75 немецких танков. В воздушных боях и огнём зенитной артиллерии сбит 21 самолёт противника.</w:t>
      </w:r>
    </w:p>
    <w:p w14:paraId="0571535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Белорусского фронта овладели областным и крупным промышленным центром Белоруссии городом Гомель. Немцы превратили Гомель в мощный пункт своей обороны на Полесском направлении. На подступах к городу противник построил укрепления, сосредоточил большое количество артиллерии и оказывал сильное сопротивление. Наши войска стремительными ударами дезорганизовали вражескую оборону и, совершив смелый обходный манёвр, сегодня овладели городом Гомель. В боях за Гомель разгромлены крупные силы противника. Захвачены большие трофеи — много орудий, миномётов, метательных аппаратов, крупные склады с боеприпасами и военными материалами.</w:t>
      </w:r>
    </w:p>
    <w:p w14:paraId="6796204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Пропойска наши войска продолжала наступление. Противник контратаками пытался задержать продвижение советских частей. На одном участке немцы предприняли до двадцати контратак. Отдельные опорные пункты неоднократно переходили из рук в руки. К исходу дня части Н-ского соединения сломили сопротивление противника и заняли более 30 населённых пунктов. Немецкие войска несут огромные потери. Только в одном районе в последние дни уничтожено до 4 тысяч немецких солдат и офицеров, 9 танков, 48 полевых и 12 самоходных орудий. Нашими войсками захвачено у противника 8 танков, 46 орудий, 58 миномётов, 40 метательных аппаратов, 140 пулемётов, 40 радиостанций, много снарядов, патронов и другие трофеи. Взято большое число пленных.</w:t>
      </w:r>
    </w:p>
    <w:p w14:paraId="0561BD3C"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Березина наши войска, с боями продвигаясь вперёд, овладели рядом населённых пунктов и станцией Шацилки на железной дороге Мозырь — Жлобин. Бойцы Н-ской части разгромили немецкий гарнизон, оборонявший эту станцию, и уничтожили до 400 гитлеровцев. Захвачено две артиллерийских батареи, 6 миномётов и склад с боеприпасами. Взяты пленные.</w:t>
      </w:r>
    </w:p>
    <w:p w14:paraId="11A54E1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Речицы наши войска вели наступление и заняли несколько населённых пунктов. Части Н-ского соединения, действуя в лесисто-болотистой местности, продвинулись вперёд и выбили немцев из сильно укреплённого опорного пункта. В бою за этот пункт уничтожено до батальона гитлеровцев. Захвачены 4 орудия, 46 пулемётов, 300 винтовок и автоматов, а также 180 подвод с различными военными грузами.</w:t>
      </w:r>
    </w:p>
    <w:p w14:paraId="0DB0762F"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Черняхова и Брусилова наши войска продолжали отбивать атаки противника. Артиллеристы Н-ского соединения в течение дня подбили и сожгли 18 немецких танков. На другом участке бойцы Н-ской части, отражая атаку противника, уничтожили 11 танков, 4 самоходных орудия, 13 бронемашин и 11 автомашин с автоматчиками. Уничтожено свыше 1.000 немецких солдат и офицеров.</w:t>
      </w:r>
    </w:p>
    <w:p w14:paraId="45B2AFA8"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части Н-ского соединения, преодолевая сопротивление противника, продвинулись вперёд и заняли несколько населённых пунктов. На одном участке гитлеровцы оказывали особенно упорное сопротивление. В результате ожесточённого боя наши части вынудили немцев к отступлению и, преследуя, нанесли им большой урон. На поле боя осталось свыше 800 вражеских трупов, 17 подбитых немецких танков и 4 самоходных орудия.</w:t>
      </w:r>
    </w:p>
    <w:p w14:paraId="73099DEA"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Баренцовом море потоплен немецкий транспорт водоизмещением в 6.000 тонн.</w:t>
      </w:r>
    </w:p>
    <w:p w14:paraId="52FC0AB3"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Крыму, напал на немецкую автоколонну. В ожесточённом бою партизаны истребили 40 гитлеровцев и уничтожили 5 автомашин с грузами. Другой отряд крымских партизан взорвал передвижной хлебозавод и 6 грузовых автомашин противника.</w:t>
      </w:r>
    </w:p>
    <w:p w14:paraId="2A33561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последние дни захвачено в плен значительное количество немецких солдат, входивших в состав так называемых «боевых групп» и наспех сколоченных сводных рот. На одном участке взяты в плен 9 солдат оружейного склада при 1 немецкой танковой армии. Все они были признаны негодными к строевой службе и работали на 670 оружейном складе. Пленные сообщили, что вместе с оружейниками были также брошены в бой солдаты 55 строительного батальона, 36 запасного батальона и 219 железнодорожного строительного батальона.</w:t>
      </w:r>
    </w:p>
    <w:p w14:paraId="0E795FE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сапожник ветеринарной роты 306 немецкой пехотной дивизии Иозеф Кастнер заявил: «Недавно мне приказали немедленно прекратить работу и отправиться на передовую. Вместе со мною были направлены в окопы солдаты из роты пекарей, из мясозаготовительного взвода и других хозяйственных подразделений. Нас придали дивизии СС «Великая Германия». Пленный обер-ефрейтор 157 роты снабжения 57 немецкой пехотной дивизии Франц Ян рассказал: «57 пехотная дивизия понесла настолько большие потери, что уже не может действовать самостоятельно. В ней осталось около тысячи человек, которые теперь подчинены 10 мотодивизии. Недавно меня и других солдат из роты снабжения перевели в сводную роту. В этом подразделении собраны солдаты из роты снабжения, санитарного взвода, обоза и взвода связистов. Солдаты называют такие сводные роты командами смертников. Впервом же бою наша рота потеряла половину своего состава. В другом бою при появлении русских мы сдались в плен» (14841).</w:t>
      </w:r>
    </w:p>
    <w:p w14:paraId="616114AE"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646349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г. была подготовлена ДОКЛАДНАЯ ЗАПИСКА НАЧАЛЬНИКА 2-го ОТДЕЛА НАЧАЛЬНИКУ УПРАВЛЕНИЯ БРОНЕПОЕЗДОВ И БРОНЕМАШИН ГБТУ КА О РЕЗЕРВНЫХ ДИВИЗИОНАХ БРОНЕПОЕЗДОВ</w:t>
      </w:r>
    </w:p>
    <w:p w14:paraId="5003C75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что в резервных дивизионах бронепоездов, дислоцирующихся на Московском ж.д. узле, бронепаровозы и черные паровозы находятся в горячем состоянии, Для того чтобы держать бронепаровозы и черные паровозы в горячем состоянии, требуется расход топлива (дров) на каждый бронепаровоз около 8 м</w:t>
      </w:r>
      <w:r w:rsidRPr="00271E51">
        <w:rPr>
          <w:rFonts w:ascii="Times New Roman" w:hAnsi="Times New Roman"/>
          <w:color w:val="000000" w:themeColor="text1"/>
          <w:sz w:val="16"/>
          <w:szCs w:val="16"/>
          <w:vertAlign w:val="superscript"/>
        </w:rPr>
        <w:t>3</w:t>
      </w:r>
      <w:r w:rsidRPr="00271E51">
        <w:rPr>
          <w:rFonts w:ascii="Times New Roman" w:hAnsi="Times New Roman"/>
          <w:color w:val="000000" w:themeColor="text1"/>
          <w:sz w:val="16"/>
          <w:szCs w:val="16"/>
        </w:rPr>
        <w:t xml:space="preserve"> сутки.</w:t>
      </w:r>
    </w:p>
    <w:p w14:paraId="3C04178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стоимость одного м</w:t>
      </w:r>
      <w:r w:rsidRPr="00271E51">
        <w:rPr>
          <w:rFonts w:ascii="Times New Roman" w:hAnsi="Times New Roman"/>
          <w:color w:val="000000" w:themeColor="text1"/>
          <w:sz w:val="16"/>
          <w:szCs w:val="16"/>
          <w:vertAlign w:val="superscript"/>
        </w:rPr>
        <w:t>3</w:t>
      </w:r>
      <w:r w:rsidRPr="00271E51">
        <w:rPr>
          <w:rFonts w:ascii="Times New Roman" w:hAnsi="Times New Roman"/>
          <w:color w:val="000000" w:themeColor="text1"/>
          <w:sz w:val="16"/>
          <w:szCs w:val="16"/>
        </w:rPr>
        <w:t xml:space="preserve"> дров = 30 рублей.</w:t>
      </w:r>
    </w:p>
    <w:p w14:paraId="04082AC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экономики топлива считаю целесообразным в некоторых резервных дивизионах броне</w:t>
      </w:r>
      <w:r w:rsidRPr="00271E51">
        <w:rPr>
          <w:rFonts w:ascii="Times New Roman" w:hAnsi="Times New Roman"/>
          <w:color w:val="000000" w:themeColor="text1"/>
          <w:sz w:val="16"/>
          <w:szCs w:val="16"/>
        </w:rPr>
        <w:softHyphen/>
        <w:t>поездов бронепаровозы промыть, законсервировать и держать в холодном состоянии.</w:t>
      </w:r>
    </w:p>
    <w:p w14:paraId="485D003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обслуживания дивизионов оставить только черные паровозы в горячем состоянии.</w:t>
      </w:r>
    </w:p>
    <w:p w14:paraId="32DEDAA2"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холодном резерве 2 бронепаровозов экономия топлива (дров) на каждый дивизион будет: 2х 8 х 30 = 480 м</w:t>
      </w:r>
      <w:r w:rsidRPr="00271E51">
        <w:rPr>
          <w:rFonts w:ascii="Times New Roman" w:hAnsi="Times New Roman"/>
          <w:color w:val="000000" w:themeColor="text1"/>
          <w:sz w:val="16"/>
          <w:szCs w:val="16"/>
          <w:vertAlign w:val="superscript"/>
        </w:rPr>
        <w:t>3</w:t>
      </w:r>
      <w:r w:rsidRPr="00271E51">
        <w:rPr>
          <w:rFonts w:ascii="Times New Roman" w:hAnsi="Times New Roman"/>
          <w:color w:val="000000" w:themeColor="text1"/>
          <w:sz w:val="16"/>
          <w:szCs w:val="16"/>
        </w:rPr>
        <w:t xml:space="preserve"> дров в месяц, что составит в денежном выражении 480 х 30 = 14400 руб. в месяц.</w:t>
      </w:r>
    </w:p>
    <w:p w14:paraId="2A7654B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холодном резерве бронепаровозов отпадает надобность в ежемесячной промывке их. Стоимость промывочного ремонта одного бронепаровоза составляет 4100 руб. в месяц.</w:t>
      </w:r>
    </w:p>
    <w:p w14:paraId="189CBE7C"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полная экономия при холодном резерве 2 бронепаровозов дивизиона на каждый дивизи</w:t>
      </w:r>
      <w:r w:rsidRPr="00271E51">
        <w:rPr>
          <w:rFonts w:ascii="Times New Roman" w:hAnsi="Times New Roman"/>
          <w:color w:val="000000" w:themeColor="text1"/>
          <w:sz w:val="16"/>
          <w:szCs w:val="16"/>
        </w:rPr>
        <w:softHyphen/>
        <w:t>он в месяц составит: 14400 + 4100 = 22600 руб. в месяц.</w:t>
      </w:r>
    </w:p>
    <w:p w14:paraId="504451E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приведения бронепаровозов в боевую готовность в зимних условиях потребуется 8-10 суток.</w:t>
      </w:r>
    </w:p>
    <w:p w14:paraId="68069688"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срочной отправки дивизионов на фронт из общего числа резервных дивизи</w:t>
      </w:r>
      <w:r w:rsidRPr="00271E51">
        <w:rPr>
          <w:rFonts w:ascii="Times New Roman" w:hAnsi="Times New Roman"/>
          <w:color w:val="000000" w:themeColor="text1"/>
          <w:sz w:val="16"/>
          <w:szCs w:val="16"/>
        </w:rPr>
        <w:softHyphen/>
        <w:t>онов бронепаровозы одного или двух дивизионов оставить в горячем состоянии, бронепаровозы остальных дивизионов бронепоездов прошу Вашего разрешения законсервировать.</w:t>
      </w:r>
    </w:p>
    <w:p w14:paraId="5FC9BF2A"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2 отдела управления бронепоездов и бронемашин ГБТУ КА</w:t>
      </w:r>
    </w:p>
    <w:p w14:paraId="59B78D5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инженер-майор Пилюгин</w:t>
      </w:r>
    </w:p>
    <w:p w14:paraId="71B62FB3"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11358. Д. 97. Л. 29. Подлинник (11403).</w:t>
      </w:r>
    </w:p>
    <w:p w14:paraId="7550D1D9"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8F5A5C"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26 ноября 1943 советские войска освободили Гомель (4962).</w:t>
      </w:r>
    </w:p>
    <w:p w14:paraId="6E8A3DE1"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4E5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26 1943 Germans evacuate Gomel (1037).</w:t>
      </w:r>
    </w:p>
    <w:p w14:paraId="478FE7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BA3E6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26 </w:t>
      </w:r>
      <w:r w:rsidRPr="00271E51">
        <w:rPr>
          <w:rFonts w:ascii="Times New Roman" w:hAnsi="Times New Roman"/>
          <w:color w:val="000000" w:themeColor="text1"/>
          <w:sz w:val="16"/>
          <w:szCs w:val="16"/>
        </w:rPr>
        <w:t>ноября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былосвобожденГомель</w:t>
      </w:r>
      <w:r w:rsidRPr="00271E51">
        <w:rPr>
          <w:rFonts w:ascii="Times New Roman" w:hAnsi="Times New Roman"/>
          <w:color w:val="000000" w:themeColor="text1"/>
          <w:sz w:val="16"/>
          <w:szCs w:val="16"/>
          <w:lang w:val="en-US"/>
        </w:rPr>
        <w:t xml:space="preserve"> (1103,129;1037).</w:t>
      </w:r>
    </w:p>
    <w:p w14:paraId="61F8380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8B2DB5"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8652A3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10898"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авиация союзников разрушила крупнейший немецкий завод по производству танков в Берлине (4962).</w:t>
      </w:r>
    </w:p>
    <w:p w14:paraId="3483AB27"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49BB6E"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26 ноября </w:t>
      </w:r>
      <w:r w:rsidRPr="00271E51">
        <w:rPr>
          <w:rFonts w:ascii="Times New Roman" w:hAnsi="Times New Roman"/>
          <w:color w:val="000000" w:themeColor="text1"/>
          <w:sz w:val="16"/>
          <w:szCs w:val="16"/>
        </w:rPr>
        <w:t>в 1943 году авиация союзников разрушила крупнейший немецкий завод по производству танков в Берлине. В этот день, через четыре дня после уничтожения здания министерства военной промышленности, во время массированного налета на Берлин возник страшный пожар на важнейшем танковом заводе фирмы «Аллкетт». Гитлер узнал о пожаре и, не потребовав никаких объяснений, приказал бросить на тушение танкового завода все пожарные команды из окрестностей Берлина. В то раннее утро все улицы вокруг завода были забиты бездействующими пожарными машинами, а в других частях города полыхал огонь (14841).</w:t>
      </w:r>
    </w:p>
    <w:p w14:paraId="39A830A5"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045F00F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26 ноября </w:t>
      </w:r>
      <w:r w:rsidRPr="00271E51">
        <w:rPr>
          <w:rFonts w:ascii="Times New Roman" w:hAnsi="Times New Roman"/>
          <w:color w:val="000000" w:themeColor="text1"/>
          <w:sz w:val="16"/>
          <w:szCs w:val="16"/>
        </w:rPr>
        <w:t>в 1943 году в Восточной Пруссии Адольф Гитлер осмотрел новый реактивный истребитель «Мессершмидт-262» и велел переделать его в бомбардировщик. Адольф Гитлер потерял всякий интерес к стратегии коврового бомбометания и решил во что бы то ни стало отомстить Англии. После уничтожения дальнебомбардировочного авиационного корпуса Майстера у Германии оставалось достаточно бомбардировщиков для поражения отдельных целей, однако Гитлер все еще тешился надеждой нанести несколько массированных налетов на Лондон и заставить британцев прекратить бомбардировки Германии. Именно по этой причине в 1943 году он настаивал на разработке и производстве новых тяжелых бомбардировщиков. Его никак не удавалось убедить в том, что такие бомбардировщики с гораздо большим эффектом можно использовать на востоке, хотя иногда, даже летом 1944 года, он вроде бы соглашался доводами специалистов (14841).</w:t>
      </w:r>
    </w:p>
    <w:p w14:paraId="4BB3A63E"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45FD750F"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в Восточной Пруссии Гитлер осмотрел новый реактивный истребитель “Мессершмидт-262” и велел переделать его в бомбардировщик (4962).</w:t>
      </w:r>
    </w:p>
    <w:p w14:paraId="2780A6CE" w14:textId="77777777" w:rsidR="00473181" w:rsidRPr="00271E51" w:rsidRDefault="00473181"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06DB68"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ноября 1943 по заказу рейхсмаршала Германа Геринга, Люфтваффе демонстрирует самые современных самолеты Германии и воздушного оружия в Инстербурге, Восточной Пруссии, для Адольфа Гитлера. Во время своего 90-минутного визита Гитлеру вновь демонстрируют истребитель Dornier Do 335 Zerstörer, шестимоторный бомбардировщик /транспортный/ морской патрульный самолет Junkers Ju 390, пилотируемая летающая бомба Fi 103R Reichenberg, ракета Henschel Hs 293 - форсированная противокорабельная ракета, противокорабельный гравитационный PGM Fritz X, Junkers Ju 88, оснащенный специальным оборудованием для постановки дымовых завес, панорамными радиолокаторами и приемной установкой Korfu для отслеживания вражеских бомбардировщиков, и он не вообще видит Messerschmitt Me 163 ракетный истребитель вообще. Он останавливается у бомбардировщика / транспортного / морского патрульного самолета Junkers Ju 290 и приказывает предоставить один из них в качестве его личного самолета. Гитлер проявляет большой интерес к реактивному бомбардировщику Arado Ar 234, заказывая построить 200 самолетов к концу 1944 года, и больше всего взволнован реактивным истребителем Messerschmitt Me 262, два из которых совершают демонстрационные полеты. Узнав от Вилли Мессершмитта, что он может быть адаптирован для перевозки одной или двух 250-килограммовых (551 фунт) бомб, Гитлер приказывает производить Me 262 как бомбардировщик, а не истребитель, что откладывает его поступление на вооружение (20376).</w:t>
      </w:r>
    </w:p>
    <w:p w14:paraId="671BC9F2" w14:textId="77777777" w:rsidR="00E03D58" w:rsidRPr="00271E51" w:rsidRDefault="00E03D58" w:rsidP="00271E51">
      <w:pPr>
        <w:spacing w:after="0" w:line="240" w:lineRule="auto"/>
        <w:jc w:val="both"/>
        <w:rPr>
          <w:rFonts w:ascii="Times New Roman" w:hAnsi="Times New Roman"/>
          <w:color w:val="0070C0"/>
          <w:sz w:val="16"/>
          <w:szCs w:val="16"/>
        </w:rPr>
      </w:pPr>
    </w:p>
    <w:p w14:paraId="301F265A"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ноября 1943 Планирующие бомбы Henschel Hs 293 запущены с Heinkel He 177 по британскому транспорту для перевозки войск HMT Rohna в Средиземном море с потерей 1138 жизней. Среди погибших 1015 американских военнослужащих, а 35 выживших американцев позже умирают от ран; это самая большая потеря людей, понесенных вооруженными силами США в результате единственного инцидента на море (20376).</w:t>
      </w:r>
    </w:p>
    <w:p w14:paraId="360F1194" w14:textId="77777777" w:rsidR="00E03D58" w:rsidRPr="00271E51" w:rsidRDefault="00E03D58" w:rsidP="00271E51">
      <w:pPr>
        <w:spacing w:after="0" w:line="240" w:lineRule="auto"/>
        <w:jc w:val="both"/>
        <w:rPr>
          <w:rFonts w:ascii="Times New Roman" w:hAnsi="Times New Roman"/>
          <w:color w:val="0070C0"/>
          <w:sz w:val="16"/>
          <w:szCs w:val="16"/>
        </w:rPr>
      </w:pPr>
    </w:p>
    <w:p w14:paraId="7B222E28"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ноября 1943 г. во время демонстрации Me 262 Гитлеру тот потребовал не только обеспечить подвеску бомб, но и превратить его в скоростной бомбардировщик. 2 марта 1944 г. RLM распорядилось начать серийное производство 60 бомбардировщиков Ме 262А-2а. Министр вооружений Шпеер присвоил программе наивысший приоритет, однако самолет все еще был далек от поставок в войска (22776).</w:t>
      </w:r>
    </w:p>
    <w:p w14:paraId="6951BB1A" w14:textId="77777777" w:rsidR="00E03D58" w:rsidRPr="00271E51" w:rsidRDefault="00E03D58" w:rsidP="00271E51">
      <w:pPr>
        <w:spacing w:after="0" w:line="240" w:lineRule="auto"/>
        <w:jc w:val="both"/>
        <w:rPr>
          <w:rFonts w:ascii="Times New Roman" w:hAnsi="Times New Roman"/>
          <w:color w:val="0070C0"/>
          <w:sz w:val="16"/>
          <w:szCs w:val="16"/>
        </w:rPr>
      </w:pPr>
    </w:p>
    <w:p w14:paraId="7F83B6F9"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ноября 1943 года задание на ХВ-42 изменили: теперь «Дуглас» проектировал средний бомбардировщик большой дальности. Артбатарею в носовой части заменили кабиной штурмана-бомбардира (для стрельбы вперед оставили два пулемета), а бомбоотсек увеличили в 1,5 раза. Но формально вопрос о целевом назначении проекта МХ-392 решен так и не был, и в контракте оставили формулировку «экспериментальный самолет» (22954).</w:t>
      </w:r>
    </w:p>
    <w:p w14:paraId="7B0F6930" w14:textId="77777777" w:rsidR="00E03D58" w:rsidRPr="00271E51" w:rsidRDefault="00E03D58" w:rsidP="00271E51">
      <w:pPr>
        <w:spacing w:after="0" w:line="240" w:lineRule="auto"/>
        <w:jc w:val="both"/>
        <w:rPr>
          <w:rFonts w:ascii="Times New Roman" w:hAnsi="Times New Roman"/>
          <w:color w:val="0070C0"/>
          <w:sz w:val="16"/>
          <w:szCs w:val="16"/>
        </w:rPr>
      </w:pPr>
    </w:p>
    <w:p w14:paraId="590641C0"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26–27 ноября (ночь) 1943 Бомбардировочное командование направляет 450 бомбардировщиков для атаки на Берлин; они разбрасывают бомбы, но наносят ущерб центру города и его окраинам. Немецкие ночные истребители перехватывают их, и 28 «Ланкастеров» (6,2 процента сил) потеряны, а еще 14 терпят крушение, достигнув Англии (20376).</w:t>
      </w:r>
    </w:p>
    <w:p w14:paraId="60154607" w14:textId="77777777" w:rsidR="00E03D58" w:rsidRPr="00271E51" w:rsidRDefault="00E03D58" w:rsidP="00271E51">
      <w:pPr>
        <w:spacing w:after="0" w:line="240" w:lineRule="auto"/>
        <w:jc w:val="both"/>
        <w:rPr>
          <w:rFonts w:ascii="Times New Roman" w:hAnsi="Times New Roman"/>
          <w:color w:val="0070C0"/>
          <w:sz w:val="16"/>
          <w:szCs w:val="16"/>
        </w:rPr>
      </w:pPr>
    </w:p>
    <w:p w14:paraId="2B2C6E3C"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26–27 ноября (ночь) 1943 диверсионный налет на Штутгарт 173 бомбардировщиков – не успешен - бомбы сьрошены неприцельно и потеряно шесть бомбардировщиков (3,4 процента своих сил) (20376).</w:t>
      </w:r>
    </w:p>
    <w:p w14:paraId="628DB8A7" w14:textId="77777777" w:rsidR="00E03D58" w:rsidRPr="00271E51" w:rsidRDefault="00E03D58" w:rsidP="00271E51">
      <w:pPr>
        <w:spacing w:after="0" w:line="240" w:lineRule="auto"/>
        <w:jc w:val="both"/>
        <w:rPr>
          <w:rFonts w:ascii="Times New Roman" w:hAnsi="Times New Roman"/>
          <w:color w:val="0070C0"/>
          <w:sz w:val="16"/>
          <w:szCs w:val="16"/>
        </w:rPr>
      </w:pPr>
    </w:p>
    <w:p w14:paraId="0D8BE4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ноября 1943 14 машин группы II/KG40, возглавляемых майором Монсом, стартовали для атаки английского каравана в районе Бужи. За потопление войскового транспорта “Рона” немцы заплатили четырьмя бомбардировщиками, в т.ч. командирским, сбитыми в стычке с истребителями союзников. Ещё три самолета потерпели аварию при посадке. В дальнейшем II/KG40 (в ее составе осталось только семь боеспособных машин) перешла исключительно к ночным вылетам, которые, однако, не были отмечены какими-либо успехами. Еще хуже обстояло дело с использованием УАБ в III/KG40, которой командовал майор Роберт Ковалевски, летавшей на четырехмоторных бомбардировщиках FW200C “Кондор”. Эта часть также входила в состав авиакомандования “Атлантика”. Планирующими бомбами Hs293 оснащались “Кондоры” модификации С-6 и более поздней С-8. Всего произведено 33 машины обеих модификаций. Однако дальше испытательных и учебных полетов fleno фактически не пошло. Причиной, по всей видимости, стали недостаточные к тому времени лётные характеристики этой машины. Единственная известная нам попытка боевого применения FW200 в качестве ракетоносца была предпринята 28 декабря 1943 г. и сорвалась из-за того, что английская патрульная летающая лодка “Сандерленд" перехватила четырёхмоторный бомбардировщик с двумя подвешенными Hs293 прежде, чем тот вышел в район цели (9524).</w:t>
      </w:r>
    </w:p>
    <w:p w14:paraId="4ADB66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DE44FF" w14:textId="77777777" w:rsidR="00E03D58" w:rsidRPr="00271E51" w:rsidRDefault="00E03D5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26–27 ноября (ночь) 1943 японские самолеты наносят удары по американским кораблям у островов Гилберта, но без единого попадания. Они сталкиваются с первым в истории авианосным ночным боевым воздушным патрулем, состоящим из бомбардировщика-торпедоносца TBF Avenger и двух истребителей F6F Hellcat. Avenger сбивает один японский самолет, но лейтенант Эдвард Х. «Butch» О'Хара, второй ас ВМС США в истории и первой второй мировых войн, был сбит и погиб на Hellcat; на момент гибели у него было семь побед.</w:t>
      </w:r>
    </w:p>
    <w:p w14:paraId="2109B21F" w14:textId="77777777" w:rsidR="00E03D58" w:rsidRPr="00271E51" w:rsidRDefault="00E03D58" w:rsidP="00271E51">
      <w:pPr>
        <w:spacing w:after="0" w:line="240" w:lineRule="auto"/>
        <w:jc w:val="both"/>
        <w:rPr>
          <w:rFonts w:ascii="Times New Roman" w:hAnsi="Times New Roman"/>
          <w:color w:val="0070C0"/>
          <w:sz w:val="16"/>
          <w:szCs w:val="16"/>
        </w:rPr>
      </w:pPr>
    </w:p>
    <w:p w14:paraId="5E0060E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F9289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F9E73" w14:textId="77777777" w:rsidR="00EA1391" w:rsidRPr="00271E51" w:rsidRDefault="00EA139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27 ноября 1943 Сухой совместно с Сине</w:t>
      </w:r>
      <w:r w:rsidRPr="00271E51">
        <w:rPr>
          <w:rFonts w:ascii="Times New Roman" w:hAnsi="Times New Roman" w:cs="Times New Roman"/>
          <w:color w:val="0070C0"/>
          <w:sz w:val="16"/>
          <w:szCs w:val="16"/>
        </w:rPr>
        <w:softHyphen/>
        <w:t>льниковым согласовали и составили «пе</w:t>
      </w:r>
      <w:r w:rsidRPr="00271E51">
        <w:rPr>
          <w:rFonts w:ascii="Times New Roman" w:hAnsi="Times New Roman" w:cs="Times New Roman"/>
          <w:color w:val="0070C0"/>
          <w:sz w:val="16"/>
          <w:szCs w:val="16"/>
        </w:rPr>
        <w:softHyphen/>
        <w:t>речень изменений и переделок, отмечен</w:t>
      </w:r>
      <w:r w:rsidRPr="00271E51">
        <w:rPr>
          <w:rFonts w:ascii="Times New Roman" w:hAnsi="Times New Roman" w:cs="Times New Roman"/>
          <w:color w:val="0070C0"/>
          <w:sz w:val="16"/>
          <w:szCs w:val="16"/>
        </w:rPr>
        <w:softHyphen/>
        <w:t>ных в акте по государственным испыта</w:t>
      </w:r>
      <w:r w:rsidRPr="00271E51">
        <w:rPr>
          <w:rFonts w:ascii="Times New Roman" w:hAnsi="Times New Roman" w:cs="Times New Roman"/>
          <w:color w:val="0070C0"/>
          <w:sz w:val="16"/>
          <w:szCs w:val="16"/>
        </w:rPr>
        <w:softHyphen/>
        <w:t>ниям Су-6 М-71ф, которые будут внесены до предъявления Су-6 АМ-42 на государ</w:t>
      </w:r>
      <w:r w:rsidRPr="00271E51">
        <w:rPr>
          <w:rFonts w:ascii="Times New Roman" w:hAnsi="Times New Roman" w:cs="Times New Roman"/>
          <w:color w:val="0070C0"/>
          <w:sz w:val="16"/>
          <w:szCs w:val="16"/>
        </w:rPr>
        <w:softHyphen/>
        <w:t>ственные испытания (перекомпоновка ка</w:t>
      </w:r>
      <w:r w:rsidRPr="00271E51">
        <w:rPr>
          <w:rFonts w:ascii="Times New Roman" w:hAnsi="Times New Roman" w:cs="Times New Roman"/>
          <w:color w:val="0070C0"/>
          <w:sz w:val="16"/>
          <w:szCs w:val="16"/>
        </w:rPr>
        <w:softHyphen/>
        <w:t>бины, переделка гидросистемы, костыль</w:t>
      </w:r>
      <w:r w:rsidRPr="00271E51">
        <w:rPr>
          <w:rFonts w:ascii="Times New Roman" w:hAnsi="Times New Roman" w:cs="Times New Roman"/>
          <w:color w:val="0070C0"/>
          <w:sz w:val="16"/>
          <w:szCs w:val="16"/>
        </w:rPr>
        <w:softHyphen/>
        <w:t>ной установки и т.д.)».</w:t>
      </w:r>
    </w:p>
    <w:p w14:paraId="74CE72FF" w14:textId="77777777" w:rsidR="00EA1391" w:rsidRPr="00271E51" w:rsidRDefault="00EA139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Между тем, по мере развития работ по Су-6 с АМ-42 становилось ясно, что «про</w:t>
      </w:r>
      <w:r w:rsidRPr="00271E51">
        <w:rPr>
          <w:rFonts w:ascii="Times New Roman" w:hAnsi="Times New Roman" w:cs="Times New Roman"/>
          <w:color w:val="0070C0"/>
          <w:sz w:val="16"/>
          <w:szCs w:val="16"/>
        </w:rPr>
        <w:softHyphen/>
        <w:t>стая» переделка опытного самолета Су-6 под установку мотора АМ-42 не даст нуж</w:t>
      </w:r>
      <w:r w:rsidRPr="00271E51">
        <w:rPr>
          <w:rFonts w:ascii="Times New Roman" w:hAnsi="Times New Roman" w:cs="Times New Roman"/>
          <w:color w:val="0070C0"/>
          <w:sz w:val="16"/>
          <w:szCs w:val="16"/>
        </w:rPr>
        <w:softHyphen/>
        <w:t>ных результатов. Для получения лучших летных данных и пилотажных качеств не</w:t>
      </w:r>
      <w:r w:rsidRPr="00271E51">
        <w:rPr>
          <w:rFonts w:ascii="Times New Roman" w:hAnsi="Times New Roman" w:cs="Times New Roman"/>
          <w:color w:val="0070C0"/>
          <w:sz w:val="16"/>
          <w:szCs w:val="16"/>
        </w:rPr>
        <w:softHyphen/>
        <w:t>обходимо кардинально «затачивать» ма</w:t>
      </w:r>
      <w:r w:rsidRPr="00271E51">
        <w:rPr>
          <w:rFonts w:ascii="Times New Roman" w:hAnsi="Times New Roman" w:cs="Times New Roman"/>
          <w:color w:val="0070C0"/>
          <w:sz w:val="16"/>
          <w:szCs w:val="16"/>
        </w:rPr>
        <w:softHyphen/>
        <w:t>шину под мотор жидкостного охлаждения. То есть, строить новый самолет.</w:t>
      </w:r>
    </w:p>
    <w:p w14:paraId="2F1E9CF2" w14:textId="77777777" w:rsidR="00EA1391" w:rsidRPr="00271E51" w:rsidRDefault="00EA139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Учитывая это обстоятельство, а также складывающуюся обстановку с мото</w:t>
      </w:r>
      <w:r w:rsidRPr="00271E51">
        <w:rPr>
          <w:rFonts w:ascii="Times New Roman" w:hAnsi="Times New Roman" w:cs="Times New Roman"/>
          <w:color w:val="0070C0"/>
          <w:sz w:val="16"/>
          <w:szCs w:val="16"/>
        </w:rPr>
        <w:softHyphen/>
        <w:t>ром АМ-42 и водяным радиатором, на</w:t>
      </w:r>
      <w:r w:rsidRPr="00271E51">
        <w:rPr>
          <w:rFonts w:ascii="Times New Roman" w:hAnsi="Times New Roman" w:cs="Times New Roman"/>
          <w:color w:val="0070C0"/>
          <w:sz w:val="16"/>
          <w:szCs w:val="16"/>
        </w:rPr>
        <w:softHyphen/>
        <w:t>рком Шахурин 2 декабря издал приказ №717с, согласно которому Сухой обязы</w:t>
      </w:r>
      <w:r w:rsidRPr="00271E51">
        <w:rPr>
          <w:rFonts w:ascii="Times New Roman" w:hAnsi="Times New Roman" w:cs="Times New Roman"/>
          <w:color w:val="0070C0"/>
          <w:sz w:val="16"/>
          <w:szCs w:val="16"/>
        </w:rPr>
        <w:softHyphen/>
        <w:t>вался не позже 20 декабря предъявить на летные испытания опытный Су-6 АМ-42, а к 15 июня - второй опытный экземпляр Су-6 АМ-42. Моторный и радиаторный за</w:t>
      </w:r>
      <w:r w:rsidRPr="00271E51">
        <w:rPr>
          <w:rFonts w:ascii="Times New Roman" w:hAnsi="Times New Roman" w:cs="Times New Roman"/>
          <w:color w:val="0070C0"/>
          <w:sz w:val="16"/>
          <w:szCs w:val="16"/>
        </w:rPr>
        <w:softHyphen/>
        <w:t>воды должны были до 5 декабря поста</w:t>
      </w:r>
      <w:r w:rsidRPr="00271E51">
        <w:rPr>
          <w:rFonts w:ascii="Times New Roman" w:hAnsi="Times New Roman" w:cs="Times New Roman"/>
          <w:color w:val="0070C0"/>
          <w:sz w:val="16"/>
          <w:szCs w:val="16"/>
        </w:rPr>
        <w:softHyphen/>
        <w:t>вить заводу №289 летный мотор АМ-42 и водо-воздушный радиатор (19853).</w:t>
      </w:r>
    </w:p>
    <w:p w14:paraId="4477B094" w14:textId="77777777" w:rsidR="00EA1391" w:rsidRPr="00271E51" w:rsidRDefault="00EA1391" w:rsidP="00271E51">
      <w:pPr>
        <w:pStyle w:val="7f"/>
        <w:shd w:val="clear" w:color="auto" w:fill="auto"/>
        <w:spacing w:line="240" w:lineRule="auto"/>
        <w:ind w:firstLine="0"/>
        <w:jc w:val="both"/>
        <w:rPr>
          <w:rFonts w:ascii="Times New Roman" w:hAnsi="Times New Roman" w:cs="Times New Roman"/>
          <w:color w:val="0070C0"/>
          <w:sz w:val="16"/>
          <w:szCs w:val="16"/>
        </w:rPr>
      </w:pPr>
    </w:p>
    <w:p w14:paraId="43BAC8E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Нач. штаба АДД г-л а Шевелев писал письмо N 704383 НКАП А.И.Ш. о том, что по приказу НКО N 00132 от 13 октября 1943 в АДД сформированы 3 полка ночных охотников-блокировщиков из 60 импортных А-20-Ж. Просил провести работы по переоборудованию на 89 заводе и упоминал, что по приказу 550с от 15 сентября 1943 завод 89 такие работы делал." (1780,16).</w:t>
      </w:r>
    </w:p>
    <w:p w14:paraId="6FB9934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379A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года начальник Гл. управления ГВФ маршал авиации Астахов представил Наркому авиапрома план опытного строительства транспортных самолетов для обновления самолетного парка транспортной авиации в военное время и для ее послевоенного развития (8664,54-55).</w:t>
      </w:r>
    </w:p>
    <w:p w14:paraId="466E254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8DE1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года был подготовлен</w:t>
      </w:r>
    </w:p>
    <w:p w14:paraId="258C4B1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 опытного строительства транспортных самолетов на 1944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08"/>
        <w:gridCol w:w="868"/>
        <w:gridCol w:w="851"/>
        <w:gridCol w:w="850"/>
        <w:gridCol w:w="851"/>
        <w:gridCol w:w="850"/>
        <w:gridCol w:w="851"/>
        <w:gridCol w:w="850"/>
        <w:gridCol w:w="851"/>
        <w:gridCol w:w="850"/>
        <w:gridCol w:w="1418"/>
      </w:tblGrid>
      <w:tr w:rsidR="00A907A5" w:rsidRPr="00271E51" w14:paraId="4CE7A2C3" w14:textId="77777777" w:rsidTr="00ED5B0A">
        <w:tc>
          <w:tcPr>
            <w:tcW w:w="1508" w:type="dxa"/>
          </w:tcPr>
          <w:p w14:paraId="122A1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Название и назначение самолета</w:t>
            </w:r>
          </w:p>
        </w:tc>
        <w:tc>
          <w:tcPr>
            <w:tcW w:w="868" w:type="dxa"/>
          </w:tcPr>
          <w:p w14:paraId="743D37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 и мощность</w:t>
            </w:r>
          </w:p>
        </w:tc>
        <w:tc>
          <w:tcPr>
            <w:tcW w:w="851" w:type="dxa"/>
          </w:tcPr>
          <w:p w14:paraId="6B98626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Коммерч. груз (кг)</w:t>
            </w:r>
          </w:p>
        </w:tc>
        <w:tc>
          <w:tcPr>
            <w:tcW w:w="850" w:type="dxa"/>
          </w:tcPr>
          <w:p w14:paraId="500416C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Пассажиры и экипаж (чел.)</w:t>
            </w:r>
          </w:p>
        </w:tc>
        <w:tc>
          <w:tcPr>
            <w:tcW w:w="851" w:type="dxa"/>
          </w:tcPr>
          <w:p w14:paraId="47EBD3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нормальная</w:t>
            </w:r>
          </w:p>
        </w:tc>
        <w:tc>
          <w:tcPr>
            <w:tcW w:w="850" w:type="dxa"/>
          </w:tcPr>
          <w:p w14:paraId="3D272A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max</w:t>
            </w:r>
          </w:p>
        </w:tc>
        <w:tc>
          <w:tcPr>
            <w:tcW w:w="851" w:type="dxa"/>
          </w:tcPr>
          <w:p w14:paraId="229031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max</w:t>
            </w:r>
          </w:p>
        </w:tc>
        <w:tc>
          <w:tcPr>
            <w:tcW w:w="850" w:type="dxa"/>
          </w:tcPr>
          <w:p w14:paraId="10BF83A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посадочная</w:t>
            </w:r>
          </w:p>
        </w:tc>
        <w:tc>
          <w:tcPr>
            <w:tcW w:w="851" w:type="dxa"/>
          </w:tcPr>
          <w:p w14:paraId="1E2A78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практич.</w:t>
            </w:r>
          </w:p>
        </w:tc>
        <w:tc>
          <w:tcPr>
            <w:tcW w:w="850" w:type="dxa"/>
          </w:tcPr>
          <w:p w14:paraId="5E4E86D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w:t>
            </w:r>
          </w:p>
        </w:tc>
        <w:tc>
          <w:tcPr>
            <w:tcW w:w="1418" w:type="dxa"/>
          </w:tcPr>
          <w:p w14:paraId="0598AB1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tc>
      </w:tr>
      <w:tr w:rsidR="00A907A5" w:rsidRPr="00271E51" w14:paraId="5773487B" w14:textId="77777777" w:rsidTr="00ED5B0A">
        <w:tc>
          <w:tcPr>
            <w:tcW w:w="1508" w:type="dxa"/>
          </w:tcPr>
          <w:p w14:paraId="6D5BE8C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 моторный транспортный самолет для международных сообщений и для внутренних магистралей большой протяженности</w:t>
            </w:r>
          </w:p>
        </w:tc>
        <w:tc>
          <w:tcPr>
            <w:tcW w:w="868" w:type="dxa"/>
          </w:tcPr>
          <w:p w14:paraId="79FE279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Дизель</w:t>
            </w:r>
          </w:p>
          <w:p w14:paraId="264255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 4х1300</w:t>
            </w:r>
          </w:p>
        </w:tc>
        <w:tc>
          <w:tcPr>
            <w:tcW w:w="851" w:type="dxa"/>
          </w:tcPr>
          <w:p w14:paraId="59D040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850" w:type="dxa"/>
          </w:tcPr>
          <w:p w14:paraId="253E7F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50+7</w:t>
            </w:r>
          </w:p>
        </w:tc>
        <w:tc>
          <w:tcPr>
            <w:tcW w:w="851" w:type="dxa"/>
          </w:tcPr>
          <w:p w14:paraId="69A34D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850" w:type="dxa"/>
          </w:tcPr>
          <w:p w14:paraId="38D77C2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51" w:type="dxa"/>
          </w:tcPr>
          <w:p w14:paraId="3DC286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50" w:type="dxa"/>
          </w:tcPr>
          <w:p w14:paraId="6ABC839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851" w:type="dxa"/>
          </w:tcPr>
          <w:p w14:paraId="5D10C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850" w:type="dxa"/>
          </w:tcPr>
          <w:p w14:paraId="67ABEC6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1418" w:type="dxa"/>
          </w:tcPr>
          <w:p w14:paraId="49990CC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стрелковая установка для обороны верхней полусферы.</w:t>
            </w:r>
          </w:p>
          <w:p w14:paraId="0F8AF9B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Бортовые установки типа “Блистер”.</w:t>
            </w:r>
          </w:p>
          <w:p w14:paraId="619AC4C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Нижняя люковая установка.</w:t>
            </w:r>
          </w:p>
          <w:p w14:paraId="097B3A2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легко монтируется и устанавливается только при выполнении боевых операций.</w:t>
            </w:r>
          </w:p>
        </w:tc>
      </w:tr>
      <w:tr w:rsidR="00A907A5" w:rsidRPr="00271E51" w14:paraId="321A9C22" w14:textId="77777777" w:rsidTr="00ED5B0A">
        <w:tc>
          <w:tcPr>
            <w:tcW w:w="1508" w:type="dxa"/>
          </w:tcPr>
          <w:p w14:paraId="7CB06DB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4-х моторный транспортный гидросамолет-лодка для перевозки пассажиров и грузов на международных и внутренних морских линиях</w:t>
            </w:r>
          </w:p>
        </w:tc>
        <w:tc>
          <w:tcPr>
            <w:tcW w:w="868" w:type="dxa"/>
          </w:tcPr>
          <w:p w14:paraId="176F3B2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Дизель</w:t>
            </w:r>
          </w:p>
          <w:p w14:paraId="213C86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М-30 4х1300</w:t>
            </w:r>
          </w:p>
        </w:tc>
        <w:tc>
          <w:tcPr>
            <w:tcW w:w="851" w:type="dxa"/>
          </w:tcPr>
          <w:p w14:paraId="29F5669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850" w:type="dxa"/>
          </w:tcPr>
          <w:p w14:paraId="466D5F5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60+8</w:t>
            </w:r>
          </w:p>
        </w:tc>
        <w:tc>
          <w:tcPr>
            <w:tcW w:w="851" w:type="dxa"/>
          </w:tcPr>
          <w:p w14:paraId="6CEF2DB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50" w:type="dxa"/>
          </w:tcPr>
          <w:p w14:paraId="2EB9F6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6500</w:t>
            </w:r>
          </w:p>
        </w:tc>
        <w:tc>
          <w:tcPr>
            <w:tcW w:w="851" w:type="dxa"/>
          </w:tcPr>
          <w:p w14:paraId="2F45073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850" w:type="dxa"/>
          </w:tcPr>
          <w:p w14:paraId="0633023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851" w:type="dxa"/>
          </w:tcPr>
          <w:p w14:paraId="6DE85F5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850" w:type="dxa"/>
          </w:tcPr>
          <w:p w14:paraId="069DFC9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418" w:type="dxa"/>
          </w:tcPr>
          <w:p w14:paraId="75EF4B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стрелковая установка для обороны верхней полусферы.</w:t>
            </w:r>
          </w:p>
          <w:p w14:paraId="78426E9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Бортовые установки типа “Блистер”.</w:t>
            </w:r>
          </w:p>
          <w:p w14:paraId="279A71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Нижняя люковая установка.</w:t>
            </w:r>
          </w:p>
          <w:p w14:paraId="6AF773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легко монтируется и устанавливается только при выполнении боевых операций.</w:t>
            </w:r>
          </w:p>
        </w:tc>
      </w:tr>
      <w:tr w:rsidR="00A907A5" w:rsidRPr="00271E51" w14:paraId="7AB899E4" w14:textId="77777777" w:rsidTr="00ED5B0A">
        <w:tc>
          <w:tcPr>
            <w:tcW w:w="1508" w:type="dxa"/>
          </w:tcPr>
          <w:p w14:paraId="41E49F6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 моторный транспортный самолет для перевозки пассажиров и грузов на всех линиях, для военно-транспортных и хозяйственных перевозок – основной массовый тип</w:t>
            </w:r>
          </w:p>
        </w:tc>
        <w:tc>
          <w:tcPr>
            <w:tcW w:w="868" w:type="dxa"/>
          </w:tcPr>
          <w:p w14:paraId="7AC38D6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 2х1700</w:t>
            </w:r>
          </w:p>
        </w:tc>
        <w:tc>
          <w:tcPr>
            <w:tcW w:w="851" w:type="dxa"/>
          </w:tcPr>
          <w:p w14:paraId="3B148C9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50" w:type="dxa"/>
          </w:tcPr>
          <w:p w14:paraId="1E629D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w:t>
            </w:r>
          </w:p>
        </w:tc>
        <w:tc>
          <w:tcPr>
            <w:tcW w:w="851" w:type="dxa"/>
          </w:tcPr>
          <w:p w14:paraId="484F817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c>
          <w:tcPr>
            <w:tcW w:w="850" w:type="dxa"/>
          </w:tcPr>
          <w:p w14:paraId="2D26FC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3500</w:t>
            </w:r>
          </w:p>
        </w:tc>
        <w:tc>
          <w:tcPr>
            <w:tcW w:w="851" w:type="dxa"/>
          </w:tcPr>
          <w:p w14:paraId="4BBB9DB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475</w:t>
            </w:r>
          </w:p>
        </w:tc>
        <w:tc>
          <w:tcPr>
            <w:tcW w:w="850" w:type="dxa"/>
          </w:tcPr>
          <w:p w14:paraId="779DEC9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851" w:type="dxa"/>
          </w:tcPr>
          <w:p w14:paraId="008938E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6000</w:t>
            </w:r>
          </w:p>
        </w:tc>
        <w:tc>
          <w:tcPr>
            <w:tcW w:w="850" w:type="dxa"/>
          </w:tcPr>
          <w:p w14:paraId="2B5932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1418" w:type="dxa"/>
          </w:tcPr>
          <w:p w14:paraId="17EDEC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стрелковая установка.</w:t>
            </w:r>
          </w:p>
          <w:p w14:paraId="1DA849D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Бортовые установки типа “Блистер”.</w:t>
            </w:r>
          </w:p>
          <w:p w14:paraId="5C2461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легко монтируется и устанавливается только при выполнении боевых операций.</w:t>
            </w:r>
          </w:p>
        </w:tc>
      </w:tr>
      <w:tr w:rsidR="00A907A5" w:rsidRPr="00271E51" w14:paraId="4B42CAC3" w14:textId="77777777" w:rsidTr="00ED5B0A">
        <w:tc>
          <w:tcPr>
            <w:tcW w:w="1508" w:type="dxa"/>
          </w:tcPr>
          <w:p w14:paraId="16F4CB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2-х моторный самолет местных сообщений для перевозки пассажиров и почты на местных линиях, на подъездных линиях к воздушным магистралям, для санитарных перевозок, для тренировки в качестве переходного к двухмоторным </w:t>
            </w:r>
            <w:r w:rsidRPr="00271E51">
              <w:rPr>
                <w:rFonts w:ascii="Times New Roman" w:hAnsi="Times New Roman"/>
                <w:color w:val="000000" w:themeColor="text1"/>
                <w:sz w:val="16"/>
                <w:szCs w:val="16"/>
              </w:rPr>
              <w:lastRenderedPageBreak/>
              <w:t>самолетам.</w:t>
            </w:r>
          </w:p>
        </w:tc>
        <w:tc>
          <w:tcPr>
            <w:tcW w:w="868" w:type="dxa"/>
          </w:tcPr>
          <w:p w14:paraId="483550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2х250-300</w:t>
            </w:r>
          </w:p>
        </w:tc>
        <w:tc>
          <w:tcPr>
            <w:tcW w:w="851" w:type="dxa"/>
          </w:tcPr>
          <w:p w14:paraId="406517F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50" w:type="dxa"/>
          </w:tcPr>
          <w:p w14:paraId="01549EF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851" w:type="dxa"/>
          </w:tcPr>
          <w:p w14:paraId="266353D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c>
          <w:tcPr>
            <w:tcW w:w="850" w:type="dxa"/>
          </w:tcPr>
          <w:p w14:paraId="4B93CDA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51" w:type="dxa"/>
          </w:tcPr>
          <w:p w14:paraId="0045324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850" w:type="dxa"/>
          </w:tcPr>
          <w:p w14:paraId="79A6D58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851" w:type="dxa"/>
          </w:tcPr>
          <w:p w14:paraId="105BD4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0" w:type="dxa"/>
          </w:tcPr>
          <w:p w14:paraId="2DEA628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200-250</w:t>
            </w:r>
          </w:p>
        </w:tc>
        <w:tc>
          <w:tcPr>
            <w:tcW w:w="1418" w:type="dxa"/>
          </w:tcPr>
          <w:p w14:paraId="13D1E51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выдвижная стрелковая установка.</w:t>
            </w:r>
          </w:p>
          <w:p w14:paraId="764EE20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Устанавливается при использовании самолета как военно-транспортного.</w:t>
            </w:r>
          </w:p>
        </w:tc>
      </w:tr>
      <w:tr w:rsidR="00A907A5" w:rsidRPr="00271E51" w14:paraId="07B74761" w14:textId="77777777" w:rsidTr="00ED5B0A">
        <w:tc>
          <w:tcPr>
            <w:tcW w:w="1508" w:type="dxa"/>
          </w:tcPr>
          <w:p w14:paraId="5C6983F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 моторный самолет для с/х работ для борьбы с вредителями с/х культур, для аэросева и подкормки растений, для борьбы с лесными пожарами.</w:t>
            </w:r>
          </w:p>
        </w:tc>
        <w:tc>
          <w:tcPr>
            <w:tcW w:w="868" w:type="dxa"/>
          </w:tcPr>
          <w:p w14:paraId="56F86E8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2х250-300</w:t>
            </w:r>
          </w:p>
        </w:tc>
        <w:tc>
          <w:tcPr>
            <w:tcW w:w="851" w:type="dxa"/>
          </w:tcPr>
          <w:p w14:paraId="13B4013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850" w:type="dxa"/>
          </w:tcPr>
          <w:p w14:paraId="7B9E5C5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w:t>
            </w:r>
          </w:p>
        </w:tc>
        <w:tc>
          <w:tcPr>
            <w:tcW w:w="851" w:type="dxa"/>
          </w:tcPr>
          <w:p w14:paraId="054A320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850" w:type="dxa"/>
          </w:tcPr>
          <w:p w14:paraId="0A6E131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tc>
        <w:tc>
          <w:tcPr>
            <w:tcW w:w="851" w:type="dxa"/>
          </w:tcPr>
          <w:p w14:paraId="3BDECC9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200-250</w:t>
            </w:r>
          </w:p>
        </w:tc>
        <w:tc>
          <w:tcPr>
            <w:tcW w:w="850" w:type="dxa"/>
          </w:tcPr>
          <w:p w14:paraId="6D5CA7E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851" w:type="dxa"/>
          </w:tcPr>
          <w:p w14:paraId="16A164D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0" w:type="dxa"/>
          </w:tcPr>
          <w:p w14:paraId="48A565F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418" w:type="dxa"/>
          </w:tcPr>
          <w:p w14:paraId="0C46805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Химическое вооружение для использования при химической защите и химическом нападении. Стрелково-выдвижная верхняя стрелковая установка.</w:t>
            </w:r>
          </w:p>
        </w:tc>
      </w:tr>
      <w:tr w:rsidR="00A907A5" w:rsidRPr="00271E51" w14:paraId="3AFDF69C" w14:textId="77777777" w:rsidTr="00ED5B0A">
        <w:tc>
          <w:tcPr>
            <w:tcW w:w="1508" w:type="dxa"/>
          </w:tcPr>
          <w:p w14:paraId="1D3A14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Одномоторный многоцелевой самолет для местной связи, санитарных перевозок, с/х и других видов работ специального применения, для тренировки</w:t>
            </w:r>
          </w:p>
        </w:tc>
        <w:tc>
          <w:tcPr>
            <w:tcW w:w="868" w:type="dxa"/>
          </w:tcPr>
          <w:p w14:paraId="583812C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1х250-300</w:t>
            </w:r>
          </w:p>
        </w:tc>
        <w:tc>
          <w:tcPr>
            <w:tcW w:w="851" w:type="dxa"/>
          </w:tcPr>
          <w:p w14:paraId="7A3545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850" w:type="dxa"/>
          </w:tcPr>
          <w:p w14:paraId="68BD8D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tc>
        <w:tc>
          <w:tcPr>
            <w:tcW w:w="851" w:type="dxa"/>
          </w:tcPr>
          <w:p w14:paraId="4AE0C7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850" w:type="dxa"/>
          </w:tcPr>
          <w:p w14:paraId="2C3F941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tc>
        <w:tc>
          <w:tcPr>
            <w:tcW w:w="851" w:type="dxa"/>
          </w:tcPr>
          <w:p w14:paraId="1E21BDB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0" w:type="dxa"/>
          </w:tcPr>
          <w:p w14:paraId="0F78745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851" w:type="dxa"/>
          </w:tcPr>
          <w:p w14:paraId="1B1328E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c>
          <w:tcPr>
            <w:tcW w:w="850" w:type="dxa"/>
          </w:tcPr>
          <w:p w14:paraId="4915322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1418" w:type="dxa"/>
          </w:tcPr>
          <w:p w14:paraId="4D33101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4B2BD11" w14:textId="77777777" w:rsidTr="00ED5B0A">
        <w:tc>
          <w:tcPr>
            <w:tcW w:w="1508" w:type="dxa"/>
          </w:tcPr>
          <w:p w14:paraId="3BEAA2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Высокогорный транспортный самолет для перевозки пассажиров и грузов и для выполнения специальных работ в высокогорных районах – перевалы, высотные аэродромы</w:t>
            </w:r>
          </w:p>
        </w:tc>
        <w:tc>
          <w:tcPr>
            <w:tcW w:w="868" w:type="dxa"/>
          </w:tcPr>
          <w:p w14:paraId="3376596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 1х1200</w:t>
            </w:r>
          </w:p>
        </w:tc>
        <w:tc>
          <w:tcPr>
            <w:tcW w:w="851" w:type="dxa"/>
          </w:tcPr>
          <w:p w14:paraId="5E5117A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50" w:type="dxa"/>
          </w:tcPr>
          <w:p w14:paraId="6804CA2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851" w:type="dxa"/>
          </w:tcPr>
          <w:p w14:paraId="1ACB9F9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tc>
        <w:tc>
          <w:tcPr>
            <w:tcW w:w="850" w:type="dxa"/>
          </w:tcPr>
          <w:p w14:paraId="10B56B6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51" w:type="dxa"/>
          </w:tcPr>
          <w:p w14:paraId="1AE4F25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850" w:type="dxa"/>
          </w:tcPr>
          <w:p w14:paraId="5C32548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851" w:type="dxa"/>
          </w:tcPr>
          <w:p w14:paraId="11E216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c>
          <w:tcPr>
            <w:tcW w:w="850" w:type="dxa"/>
          </w:tcPr>
          <w:p w14:paraId="2995CE4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200-250 на Н=3000</w:t>
            </w:r>
          </w:p>
        </w:tc>
        <w:tc>
          <w:tcPr>
            <w:tcW w:w="1418" w:type="dxa"/>
          </w:tcPr>
          <w:p w14:paraId="73162C6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выдвижная стрелковая установка. Устанавливается при использовании самолета как военно-транспортного.</w:t>
            </w:r>
          </w:p>
        </w:tc>
      </w:tr>
      <w:tr w:rsidR="00A907A5" w:rsidRPr="00271E51" w14:paraId="1E0A2901" w14:textId="77777777" w:rsidTr="00ED5B0A">
        <w:tc>
          <w:tcPr>
            <w:tcW w:w="1508" w:type="dxa"/>
          </w:tcPr>
          <w:p w14:paraId="480C180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Транспортная амфибия для перевозки пассажиров в озерных районах, для разведки льдов, рыбы, в качестве корабельного самолета</w:t>
            </w:r>
          </w:p>
        </w:tc>
        <w:tc>
          <w:tcPr>
            <w:tcW w:w="868" w:type="dxa"/>
          </w:tcPr>
          <w:p w14:paraId="1301CE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2х250-300</w:t>
            </w:r>
          </w:p>
        </w:tc>
        <w:tc>
          <w:tcPr>
            <w:tcW w:w="851" w:type="dxa"/>
          </w:tcPr>
          <w:p w14:paraId="475FEDE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850" w:type="dxa"/>
          </w:tcPr>
          <w:p w14:paraId="46363F0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851" w:type="dxa"/>
          </w:tcPr>
          <w:p w14:paraId="2A1C213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50" w:type="dxa"/>
          </w:tcPr>
          <w:p w14:paraId="143428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851" w:type="dxa"/>
          </w:tcPr>
          <w:p w14:paraId="3001D22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850" w:type="dxa"/>
          </w:tcPr>
          <w:p w14:paraId="50E8B3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851" w:type="dxa"/>
          </w:tcPr>
          <w:p w14:paraId="0A3B4DA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0" w:type="dxa"/>
          </w:tcPr>
          <w:p w14:paraId="201FE2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 на земле</w:t>
            </w:r>
          </w:p>
        </w:tc>
        <w:tc>
          <w:tcPr>
            <w:tcW w:w="1418" w:type="dxa"/>
          </w:tcPr>
          <w:p w14:paraId="0247F8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Верхняя выдвижная стрелковая установка. Устанавливается при использовании самолета как военно-транспортного.</w:t>
            </w:r>
          </w:p>
        </w:tc>
      </w:tr>
      <w:tr w:rsidR="00A907A5" w:rsidRPr="00271E51" w14:paraId="70F8AF27" w14:textId="77777777" w:rsidTr="00ED5B0A">
        <w:tc>
          <w:tcPr>
            <w:tcW w:w="1508" w:type="dxa"/>
          </w:tcPr>
          <w:p w14:paraId="06D3C8B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Транспортный геликоптер для борьбы с вредителями садов и с/х культур в предгорьях и лесных районах (при неосвоенности геликоптера возможен автожир)</w:t>
            </w:r>
          </w:p>
        </w:tc>
        <w:tc>
          <w:tcPr>
            <w:tcW w:w="868" w:type="dxa"/>
          </w:tcPr>
          <w:p w14:paraId="05C895B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51" w:type="dxa"/>
          </w:tcPr>
          <w:p w14:paraId="7B24308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850" w:type="dxa"/>
          </w:tcPr>
          <w:p w14:paraId="366745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CED84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50" w:type="dxa"/>
          </w:tcPr>
          <w:p w14:paraId="444B2BD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DE15C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0-200</w:t>
            </w:r>
          </w:p>
        </w:tc>
        <w:tc>
          <w:tcPr>
            <w:tcW w:w="850" w:type="dxa"/>
          </w:tcPr>
          <w:p w14:paraId="6CF7178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4DE5B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3000</w:t>
            </w:r>
          </w:p>
        </w:tc>
        <w:tc>
          <w:tcPr>
            <w:tcW w:w="850" w:type="dxa"/>
          </w:tcPr>
          <w:p w14:paraId="6D72715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1418" w:type="dxa"/>
          </w:tcPr>
          <w:p w14:paraId="5A7260C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D1F917" w14:textId="77777777" w:rsidTr="00ED5B0A">
        <w:tc>
          <w:tcPr>
            <w:tcW w:w="1508" w:type="dxa"/>
          </w:tcPr>
          <w:p w14:paraId="0F644FB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Учебный самолет для первоначального обучения, применительно к современной материальной части (моноплан, расположение инструктора и ученика рядом, оборудование для слепого полета)</w:t>
            </w:r>
          </w:p>
        </w:tc>
        <w:tc>
          <w:tcPr>
            <w:tcW w:w="868" w:type="dxa"/>
          </w:tcPr>
          <w:p w14:paraId="16533D0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М-11</w:t>
            </w:r>
          </w:p>
          <w:p w14:paraId="125A1B8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 л.с.</w:t>
            </w:r>
          </w:p>
        </w:tc>
        <w:tc>
          <w:tcPr>
            <w:tcW w:w="851" w:type="dxa"/>
          </w:tcPr>
          <w:p w14:paraId="25DFC56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50" w:type="dxa"/>
          </w:tcPr>
          <w:p w14:paraId="14A5618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851" w:type="dxa"/>
          </w:tcPr>
          <w:p w14:paraId="279A5E38"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c>
          <w:tcPr>
            <w:tcW w:w="850" w:type="dxa"/>
          </w:tcPr>
          <w:p w14:paraId="681D415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51" w:type="dxa"/>
          </w:tcPr>
          <w:p w14:paraId="45608C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850" w:type="dxa"/>
          </w:tcPr>
          <w:p w14:paraId="2409919F"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851" w:type="dxa"/>
          </w:tcPr>
          <w:p w14:paraId="1E243A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4000</w:t>
            </w:r>
          </w:p>
        </w:tc>
        <w:tc>
          <w:tcPr>
            <w:tcW w:w="850" w:type="dxa"/>
          </w:tcPr>
          <w:p w14:paraId="6EDACF7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418" w:type="dxa"/>
          </w:tcPr>
          <w:p w14:paraId="5B56B10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328099" w14:textId="77777777" w:rsidTr="00ED5B0A">
        <w:tc>
          <w:tcPr>
            <w:tcW w:w="1508" w:type="dxa"/>
          </w:tcPr>
          <w:p w14:paraId="3D4DACE4"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Транспортный планер для грузовых и десантных перевозок. В качестве буксировщика используются </w:t>
            </w:r>
            <w:r w:rsidRPr="00271E51">
              <w:rPr>
                <w:rFonts w:ascii="Times New Roman" w:hAnsi="Times New Roman"/>
                <w:color w:val="000000" w:themeColor="text1"/>
                <w:sz w:val="16"/>
                <w:szCs w:val="16"/>
              </w:rPr>
              <w:lastRenderedPageBreak/>
              <w:t>самолеты ИЛ-4. Планер должен предусматривать возможность переоборудования его в мотопланер.</w:t>
            </w:r>
          </w:p>
        </w:tc>
        <w:tc>
          <w:tcPr>
            <w:tcW w:w="868" w:type="dxa"/>
          </w:tcPr>
          <w:p w14:paraId="67EE6FE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-/2М-11</w:t>
            </w:r>
          </w:p>
        </w:tc>
        <w:tc>
          <w:tcPr>
            <w:tcW w:w="851" w:type="dxa"/>
          </w:tcPr>
          <w:p w14:paraId="41470EC3"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2500/1500</w:t>
            </w:r>
          </w:p>
        </w:tc>
        <w:tc>
          <w:tcPr>
            <w:tcW w:w="850" w:type="dxa"/>
          </w:tcPr>
          <w:p w14:paraId="5E0E2AA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851" w:type="dxa"/>
          </w:tcPr>
          <w:p w14:paraId="6086298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850" w:type="dxa"/>
          </w:tcPr>
          <w:p w14:paraId="15F3B4A7"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51" w:type="dxa"/>
          </w:tcPr>
          <w:p w14:paraId="41661C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240/160</w:t>
            </w:r>
          </w:p>
        </w:tc>
        <w:tc>
          <w:tcPr>
            <w:tcW w:w="850" w:type="dxa"/>
          </w:tcPr>
          <w:p w14:paraId="0557665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75/75</w:t>
            </w:r>
          </w:p>
        </w:tc>
        <w:tc>
          <w:tcPr>
            <w:tcW w:w="851" w:type="dxa"/>
          </w:tcPr>
          <w:p w14:paraId="04FE31A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5000/1500</w:t>
            </w:r>
          </w:p>
        </w:tc>
        <w:tc>
          <w:tcPr>
            <w:tcW w:w="850" w:type="dxa"/>
          </w:tcPr>
          <w:p w14:paraId="26C3E541"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600/500</w:t>
            </w:r>
          </w:p>
        </w:tc>
        <w:tc>
          <w:tcPr>
            <w:tcW w:w="1418" w:type="dxa"/>
          </w:tcPr>
          <w:p w14:paraId="443EC5A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Примечание: верхняя строка относится к аэропоезду и к планеру, нижняя строка относится к мотопланеру (разбег на </w:t>
            </w:r>
            <w:r w:rsidRPr="00271E51">
              <w:rPr>
                <w:rFonts w:ascii="Times New Roman" w:hAnsi="Times New Roman"/>
                <w:color w:val="000000" w:themeColor="text1"/>
                <w:sz w:val="16"/>
                <w:szCs w:val="16"/>
              </w:rPr>
              <w:lastRenderedPageBreak/>
              <w:t>буксире).</w:t>
            </w:r>
          </w:p>
        </w:tc>
      </w:tr>
    </w:tbl>
    <w:p w14:paraId="277C4600"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(8664, 57-59)</w:t>
      </w:r>
    </w:p>
    <w:p w14:paraId="65962E5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D80BF" w14:textId="77777777" w:rsidR="00473181"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2C10CDB"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1715DC"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27 ноября 1943 года на адрес Артиллерийского комитета ГАУ КА КБ завода №172 были направлены материалы по проекту 203-мм гаубицы М24, которую разрабатывал конструктор А.Я. Дроздов. Она представляла собой наложение ствола с баллистикой 203-мм гаубицы Б-4 на лафет 152-мм пушки-гаубицы МЛ-20. Также КБ предлагало в опытном порядке рассмотреть вопрос установки на тот же лафет ствола с баллистикой 280-мм мортиры БР-5 (система носила индекс М25). В конце пояснительной записки нашлось место и для самоходной версии этого дуплекса:</w:t>
      </w:r>
    </w:p>
    <w:p w14:paraId="47AE6CC4"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«Кроме того, вращающиеся части, как самой системы М24, так и указанных выше возможных вариантов наложения ствола по тем же причинам являются весьма выгодными для установки самохода.</w:t>
      </w:r>
    </w:p>
    <w:p w14:paraId="098F7EDD"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В качестве иллюстрации к сказанному, к высылаемым материалам прилагается эскизный чертёж общего вида самоходной установки вращающейся части системы М24 на шасси танков КВ-1с или КВ-14».</w:t>
      </w:r>
    </w:p>
    <w:p w14:paraId="610287B9"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Вариант М22 с орудием М24 получил заводской индекс М26, а версия с установкой системы М25 — М27. В качестве базы планировалось использовать базу танка КВ-1с или </w:t>
      </w:r>
      <w:hyperlink r:id="rId123" w:history="1">
        <w:r w:rsidRPr="00271E51">
          <w:rPr>
            <w:rStyle w:val="a5"/>
            <w:color w:val="000000" w:themeColor="text1"/>
            <w:sz w:val="16"/>
            <w:szCs w:val="16"/>
          </w:rPr>
          <w:t>ИС</w:t>
        </w:r>
      </w:hyperlink>
      <w:r w:rsidRPr="00271E51">
        <w:rPr>
          <w:color w:val="000000" w:themeColor="text1"/>
          <w:sz w:val="16"/>
          <w:szCs w:val="16"/>
        </w:rPr>
        <w:t>. Впрочем, эскиз М26 отличался от установки М22 только новой орудийной системой и уменьшенным орудийным щитом. Кроме того, проект предусматривал возможность наложения стола 152-мм пушки БР-2 на тот же лафет. Речь идёт о 152-мм пушке М23, которую разрабатывали в то же время.</w:t>
      </w:r>
    </w:p>
    <w:p w14:paraId="391DC130"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15 декабря Артиллерийский комитет ГАУ КА рассмотрел проект гаубицы М24. Было решено построить её в металле, отказавшись от версии со стволом от 280-мм мортиры БР-5. М26 и М27 при этом даже не упоминались. Самоходная гаубица от КБ завода №172 умерла окончательно (18075).</w:t>
      </w:r>
    </w:p>
    <w:p w14:paraId="45892761" w14:textId="77777777" w:rsidR="003E27A2" w:rsidRPr="00271E51" w:rsidRDefault="003E27A2" w:rsidP="00271E51">
      <w:pPr>
        <w:pStyle w:val="ae"/>
        <w:shd w:val="clear" w:color="auto" w:fill="FFFFFF"/>
        <w:spacing w:before="0" w:after="0"/>
        <w:jc w:val="both"/>
        <w:rPr>
          <w:color w:val="000000" w:themeColor="text1"/>
          <w:sz w:val="16"/>
          <w:szCs w:val="16"/>
        </w:rPr>
      </w:pPr>
    </w:p>
    <w:p w14:paraId="39B87F04"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27 ноября 1943 года на адрес Артиллерийского комитета ГАУ КА КБ завода №172 были направлены материалы по проекту 203-мм гаубицы М24, которую разрабатывал конструктор А.Я. Дроздов. Она представляла собой наложение ствола с баллистикой 203-мм гаубицы Б-4 на лафет 152-мм пушки-гаубицы МЛ-20. Также КБ предлагало в опытном порядке рассмотреть вопрос установки на тот же лафет ствола с баллистикой 280-мм мортиры БР-5 (система носила индекс М25). В конце пояснительной записки нашлось место и для самоходной версии этого дуплекса:</w:t>
      </w:r>
    </w:p>
    <w:p w14:paraId="75EDA0EE"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«Кроме того, вращающиеся части, как самой системы М24, так и указанных выше возможных вариантов наложения ствола по тем же причинам являются весьма выгодными для установки самохода.</w:t>
      </w:r>
    </w:p>
    <w:p w14:paraId="3843BA8E"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iCs/>
          <w:color w:val="000000" w:themeColor="text1"/>
          <w:sz w:val="16"/>
          <w:szCs w:val="16"/>
        </w:rPr>
        <w:t>В качестве иллюстрации к сказанному, к высылаемым материалам прилагается эскизный чертёж общего вида самоходной установки вращающейся части системы М24 на шасси танков КВ-1с или КВ-14».</w:t>
      </w:r>
    </w:p>
    <w:p w14:paraId="1958A93D"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Вариант М22 с орудием М24 получил заводской индекс М26, а версия с установкой системы М25 — М27. В качестве базы планировалось использовать базу танка КВ-1с или </w:t>
      </w:r>
      <w:hyperlink r:id="rId124" w:history="1">
        <w:r w:rsidRPr="00271E51">
          <w:rPr>
            <w:rStyle w:val="a5"/>
            <w:color w:val="000000" w:themeColor="text1"/>
            <w:sz w:val="16"/>
            <w:szCs w:val="16"/>
          </w:rPr>
          <w:t>ИС</w:t>
        </w:r>
      </w:hyperlink>
      <w:r w:rsidRPr="00271E51">
        <w:rPr>
          <w:color w:val="000000" w:themeColor="text1"/>
          <w:sz w:val="16"/>
          <w:szCs w:val="16"/>
        </w:rPr>
        <w:t>. Впрочем, эскиз М26 отличался от установки М22 только новой орудийной системой и уменьшенным орудийным щитом. Кроме того, проект предусматривал возможность наложения стола 152-мм пушки БР-2 на тот же лафет. Речь идёт о 152-мм пушке М23, которую разрабатывали в то же время.</w:t>
      </w:r>
    </w:p>
    <w:p w14:paraId="79613FDB" w14:textId="77777777" w:rsidR="003E27A2" w:rsidRPr="00271E51" w:rsidRDefault="003E27A2" w:rsidP="00271E51">
      <w:pPr>
        <w:pStyle w:val="ae"/>
        <w:shd w:val="clear" w:color="auto" w:fill="FFFFFF"/>
        <w:spacing w:before="0" w:after="0"/>
        <w:jc w:val="both"/>
        <w:rPr>
          <w:color w:val="000000" w:themeColor="text1"/>
          <w:sz w:val="16"/>
          <w:szCs w:val="16"/>
        </w:rPr>
      </w:pPr>
      <w:r w:rsidRPr="00271E51">
        <w:rPr>
          <w:color w:val="000000" w:themeColor="text1"/>
          <w:sz w:val="16"/>
          <w:szCs w:val="16"/>
        </w:rPr>
        <w:t>15 декабря Артиллерийский комитет ГАУ КА рассмотрел проект гаубицы М24. Было решено построить её в металле, отказавшись от версии со стволом от 280-мм мортиры БР-5. М26 и М27 при этом даже не упоминались. Самоходная гаубица от КБ завода №172 умерла окончательно (18075).</w:t>
      </w:r>
    </w:p>
    <w:p w14:paraId="22DBA554" w14:textId="77777777" w:rsidR="003E27A2" w:rsidRPr="00271E51" w:rsidRDefault="003E27A2" w:rsidP="00271E51">
      <w:pPr>
        <w:pStyle w:val="ae"/>
        <w:shd w:val="clear" w:color="auto" w:fill="FFFFFF"/>
        <w:spacing w:before="0" w:after="0"/>
        <w:jc w:val="both"/>
        <w:rPr>
          <w:color w:val="000000" w:themeColor="text1"/>
          <w:sz w:val="16"/>
          <w:szCs w:val="16"/>
        </w:rPr>
      </w:pPr>
    </w:p>
    <w:p w14:paraId="5F62493A" w14:textId="77777777" w:rsidR="008D676F" w:rsidRPr="00271E51" w:rsidRDefault="008D676F" w:rsidP="00271E51">
      <w:pPr>
        <w:pStyle w:val="ae"/>
        <w:spacing w:before="0" w:after="0"/>
        <w:jc w:val="both"/>
        <w:textAlignment w:val="baseline"/>
        <w:rPr>
          <w:color w:val="000000" w:themeColor="text1"/>
          <w:sz w:val="16"/>
          <w:szCs w:val="16"/>
        </w:rPr>
      </w:pPr>
      <w:r w:rsidRPr="00271E51">
        <w:rPr>
          <w:color w:val="000000" w:themeColor="text1"/>
          <w:sz w:val="16"/>
          <w:szCs w:val="16"/>
        </w:rPr>
        <w:t>27 ноября 1943 года, ГБТУ КА подготовило тактико-технические требования на «средний танк». Тип танка не указывался, но из ТТТ было хорошо видно, что они во многом повторяют Т-44. Вместе с тем у ГБТУ КА было своё видение нового танка. Согласно требованиям, толщина лобовой детали корпуса достигала 90 мм, а башни — 110 мм. Вместо ДТ планировалось ставить пулемет ГВГ (СГ-43), также планировали ставить зенитный пулемет ДШК. В качестве силовой установки фигурировал 520-сильный мотор В-2-ИС, в паре с ним работала 5-6-скоростная планетарная КПП с двухступенчатым планетарным механизмом поворота. Вместо гребневого зацепления планировалось использовать ведущие колеса с цевочным зацеплением (18799).</w:t>
      </w:r>
    </w:p>
    <w:p w14:paraId="58A01B5F" w14:textId="77777777" w:rsidR="008D676F" w:rsidRPr="00271E51" w:rsidRDefault="008D676F" w:rsidP="00271E51">
      <w:pPr>
        <w:pStyle w:val="ae"/>
        <w:spacing w:before="0" w:after="0"/>
        <w:jc w:val="both"/>
        <w:textAlignment w:val="baseline"/>
        <w:rPr>
          <w:color w:val="000000" w:themeColor="text1"/>
          <w:sz w:val="16"/>
          <w:szCs w:val="16"/>
        </w:rPr>
      </w:pPr>
    </w:p>
    <w:p w14:paraId="1146FB88" w14:textId="77777777" w:rsidR="008D676F" w:rsidRPr="00271E51" w:rsidRDefault="008D676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года были составлены тактико-технические требования на новый средний танк. При тех же требованиях к вооружению и защите, что и к улучшенному Т-43, его боевая масса оценивалась в 30 т. Так начинались работы по Т-44 — принципиально иной машине, которую с Т-43 роднила только башня, да и то на начальном периоде разработки (18587).</w:t>
      </w:r>
    </w:p>
    <w:p w14:paraId="6B2C5916" w14:textId="77777777" w:rsidR="008D676F" w:rsidRPr="00271E51" w:rsidRDefault="008D676F" w:rsidP="00271E51">
      <w:pPr>
        <w:spacing w:after="0" w:line="240" w:lineRule="auto"/>
        <w:jc w:val="both"/>
        <w:rPr>
          <w:rFonts w:ascii="Times New Roman" w:hAnsi="Times New Roman"/>
          <w:color w:val="000000" w:themeColor="text1"/>
          <w:sz w:val="16"/>
          <w:szCs w:val="16"/>
        </w:rPr>
      </w:pPr>
    </w:p>
    <w:p w14:paraId="1F62822D"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г. была подготовлена ДОКЛАДНАЯ ЗАПИСКА НАЧАЛЬНИКА ТЫЛА КА ЗАМЕСТИТЕЛЮ НАЧАЛЬНИКА ГШ КА ОБ ОРГАНИЗАЦИИ НАУЧНО-ИСПЫТАТЕЛЬНОГО АВТОМОБИЛЬНОГО ИНСТИТУТА</w:t>
      </w:r>
    </w:p>
    <w:p w14:paraId="2128C274"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наличии в Красной Армии огромного количества автомашин и их разномарочности и при возросшей в ходе Отечественной войны роли автомобильных войск из-за отсутствия научно-испы</w:t>
      </w:r>
      <w:r w:rsidRPr="00271E51">
        <w:rPr>
          <w:rFonts w:ascii="Times New Roman" w:hAnsi="Times New Roman"/>
          <w:color w:val="000000" w:themeColor="text1"/>
          <w:sz w:val="16"/>
          <w:szCs w:val="16"/>
        </w:rPr>
        <w:softHyphen/>
        <w:t>тательного института в ГАВТУ КА затрудняется и задерживается работа по составлению для войск наставлений и инструкций по эксплуатации и ремонту автомашин, разработке технических норма</w:t>
      </w:r>
      <w:r w:rsidRPr="00271E51">
        <w:rPr>
          <w:rFonts w:ascii="Times New Roman" w:hAnsi="Times New Roman"/>
          <w:color w:val="000000" w:themeColor="text1"/>
          <w:sz w:val="16"/>
          <w:szCs w:val="16"/>
        </w:rPr>
        <w:softHyphen/>
        <w:t>тивов, выбор типажа армейского автомобиля для разных родов войск, улучшения экономичности и проходимости автомобилей, унификации агрегатов и деталей, освоение трофейных и импортных автомашин, испытание представляемых промышленностью образцов и т.д.</w:t>
      </w:r>
    </w:p>
    <w:p w14:paraId="33B8A84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рода войск Красной Армии, за исключением автомобильных войск, имеют научно-испыта</w:t>
      </w:r>
      <w:r w:rsidRPr="00271E51">
        <w:rPr>
          <w:rFonts w:ascii="Times New Roman" w:hAnsi="Times New Roman"/>
          <w:color w:val="000000" w:themeColor="text1"/>
          <w:sz w:val="16"/>
          <w:szCs w:val="16"/>
        </w:rPr>
        <w:softHyphen/>
        <w:t>тельные институты или полигоны.</w:t>
      </w:r>
    </w:p>
    <w:p w14:paraId="4E1C278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разрешить ГАВТУ КА организовать научно-испытательный автомобильный институт Красной Армии по прилагаемому штату.</w:t>
      </w:r>
    </w:p>
    <w:p w14:paraId="29250BF5"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штат научно-испытательного автомобильного института Красной Армии на __листах</w:t>
      </w:r>
    </w:p>
    <w:p w14:paraId="0D488C66"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тыла Красной Армии генерал армии Хрулев</w:t>
      </w:r>
    </w:p>
    <w:p w14:paraId="333EE917"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11579. Д. 2 Л. 43. Подлинник.</w:t>
      </w:r>
    </w:p>
    <w:p w14:paraId="0F80EE80" w14:textId="77777777" w:rsidR="00473181" w:rsidRPr="00271E51" w:rsidRDefault="00473181"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A617D"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вышло Распоряжение ГКО № 4681. О поставке НКСМ НКстрою 75 моторов ЗИС-5 для передвижных электростанций.РГАНИР, Фонд ГКО, д. 179, лл. 181 (11012).</w:t>
      </w:r>
    </w:p>
    <w:p w14:paraId="208AF312"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BBA48"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A460D3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768FA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27 ноября </w:t>
      </w:r>
      <w:r w:rsidRPr="00271E51">
        <w:rPr>
          <w:rFonts w:ascii="Times New Roman" w:hAnsi="Times New Roman"/>
          <w:color w:val="000000" w:themeColor="text1"/>
          <w:sz w:val="16"/>
          <w:szCs w:val="16"/>
        </w:rPr>
        <w:t>в 1943 году оперативная сводка Совинформбюро:</w:t>
      </w:r>
    </w:p>
    <w:p w14:paraId="4B72309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ноября в районе западнее Пропойск наши войска, преодолеваясопротивление и контратаки противника, продолжали вести наступательные бои, входе которых заняли несколько населённых пунктов.</w:t>
      </w:r>
    </w:p>
    <w:p w14:paraId="76BE1346"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реками Сож и Днепр, в районе северо-западнее Гомеля, наши войска продолжали успешное наступление и овладели районными центрами Гомельской области городом Чечерск, Уваровичи, а также заняли более 80 других населённых пунктов, среди которых крупные населённые пункты Аннополье, Малыничи, Сойки, Науховичи, Шепотовичи, Дудичи, Липа, Михалёвка, Пытьковка, Дуравичи, Лапичи, Особин, Блюдница, Руденец, Роги, Азделин, Ивановка, Телеши, Галеевка, Задоровка и железнодорожные станции Костюковка, Уза, Прибор, Якимовка.</w:t>
      </w:r>
    </w:p>
    <w:p w14:paraId="74F65425"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Березина наши войска с боями заняли населённые пункты Сокол Виноградов, Закрев, Якимовская Слобода, Чирковичи, Здудичи, Судовица, Прудок, Мольча, Кобыльщина.</w:t>
      </w:r>
    </w:p>
    <w:p w14:paraId="2907090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овладели районным центром Полесской области городом Ельск, а также заняли населённые пункты Огородники, Карповичи, Дворище, Рудня Белобережская, Белый Берег.</w:t>
      </w:r>
    </w:p>
    <w:p w14:paraId="0DF30A1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Коростень, Черняхов и Брусилов наши войска отбивали атаки пехоты и танков противника.</w:t>
      </w:r>
    </w:p>
    <w:p w14:paraId="3FD61FE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овладели несколькими сильно укреплёнными опорными пунктами противника.</w:t>
      </w:r>
    </w:p>
    <w:p w14:paraId="149349DF"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185BF2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26 ноября наши войска на всех фронтах подбили и уничтожили 99 немецких танков. В воздушных боях и огнём зенитной артиллерии сбито 14 самолётов противника.</w:t>
      </w:r>
    </w:p>
    <w:p w14:paraId="3302745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западнее города Пропойск противник, подтянув резервы, оказывал упорное сопротивление нашим наступающим войскам. Советские части отбили все контратаки немцев и, продвинувшись вперёд, заняли несколько населённых пунктов. В боях за день уничтожено до 800 немецких солдат и офицеров. Нашими бойцами захвачено 2 артиллерийских батареи, 20 миномётных аппаратов, 100 тысяч винтовочных патронов и 2 склада с военным имуществом. Взяты пленные.</w:t>
      </w:r>
    </w:p>
    <w:p w14:paraId="0036D4C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продолжали успешное наступление и, преследуя разгромленные части противника, значительно продвинулись вперёд.</w:t>
      </w:r>
    </w:p>
    <w:p w14:paraId="528C8FB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дня освобождены от немецких захватчиков районные центры Гомельской области Чечерск и Уваровичи, а также занято более 80 других населённых пунктов и железнодорожные станции Костюковка, Уза, Прибор, Якимовка. Поспешно отступая под ударами наших войск, противник бросает тяжёлое вооружение, оставляет склады с военным имуществом и боеприпасами. Только в районе Уваровичи бойцами Н-скойчасти захвачено 19 орудий, 86 пулемётов, 3 склада с боеприпасами, вещевой и два продовольственных склада. На другом участке наши подразделения отбили у немцев много автомашин и повозок с военными грузами.</w:t>
      </w:r>
    </w:p>
    <w:p w14:paraId="7572EBCC"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овладели городом Ельск и заняли несколько других населённых пунктов. В боях за город Ельск уничтожено до батальона немецкой пехоты. Захвачены пленные и много вооружения. На другом участке советские бойцы выбили немцев из одного укреплённого пункта и уничтожили более 200 гитлеровцев.</w:t>
      </w:r>
    </w:p>
    <w:p w14:paraId="54CCEAC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Черняхова и Брусилова наши войска отбивали атаки пехоты и танков противника. На этот участок немцы подтянули не менее восьми танковых дивизий, втом числе танковую дивизию СС «Адольф Гитлер» и 16 танковую дивизию, недавно переброшенные на советско-германский фронт из Италии, 1 танковую дивизию, прибывшую из Греции, и 25 танковую дивизию, переброшенную из Норвегии. Сегодня немцы безуспешно продолжали атаковать наши позиции и вновь понесли большие потери. Бойцы Н-ского соединения подбили и сожгли 31 немецкий танк, 3 бронемашины и 7 самоходных орудий. В этом бою особенно успешно действовали бронебойщики подразделения, где командиром тов. Тимонин, уничтожившие 13 танковпротивника. В течение дня убито свыше 1.000 немецких солдат и офицеров.</w:t>
      </w:r>
    </w:p>
    <w:p w14:paraId="545846FC"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города Кременчуг части Н-ского соединения овладели рядом населённых пунктов. Наши артиллеристы и бронебойщики сожгли и подбили 22 немецких танка. Захвачены трофеи, в числе которых 2 исправных танка, 45 орудий, 40 миномётов, 52 пулемёта, 95 загонов с грузами, 7 цистерн с бензином, 2паровоза, 7 складов с боеприпасами, вооружением и военным имуществом. Взято значительное количество пленных.</w:t>
      </w:r>
    </w:p>
    <w:p w14:paraId="59A81833"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 транспорт противника водоизмещением в 6.000тонн.</w:t>
      </w:r>
    </w:p>
    <w:p w14:paraId="20B53086"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Гомельской области, минировали пути отхода отступающих немецких войск и устроили завалы на шоссе. На одном участке советские патриоты организовали заслон и в течение трёх суток вели бой с немецкой автоколонной и нанесли ей большие потери. Лишь небольшой части немецких автомашин удалось прорваться сквозь заслон и минированные участки. В результатеэтой операции советские патриоты сожгли свыше 50 немецких автомашин и истребили до 400 вражеских солдат и офицеров. Захвачено 18 исправных автомашин, тягач и много вооружения.</w:t>
      </w:r>
    </w:p>
    <w:p w14:paraId="62134FE8"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12 роты 1 полка дивизии СС «Адольф Гитлер» Бернгард Эльферман рассказал: «Я служил в 32 авиационном запасном полку во Франции. В начале 1943года меня с группой солдат направили в Берлин и зачислили в эсэсовскую дивизию «Адольф Гитлер». В конце июля дивизию спешно отправили в Италию. Наш карательный поход против итальянских войск и гражданского населения начался в Милане. Солдаты дивизии бесчинствовали, грабили и расстреливали любого подозрительного, по их мнению, человека, который встречался на нашем пути. Ценные вещи и одежду убитых мы забирали себе. Я сам снял часы с руки одного расстрелянного итальянца. Мы, эсэсовцы, могли делать и делали всё, что хотели. За это начальство нас не наказывало. В конце октября дивизию спешно направили в Россию. На фронт мы прибыли 8 ноября и немедленно были брошены в бой. За несколько дней непрерывных тяжёлых боёв дивизия понесла очень большие потери. Некоторые роты потеряли больше половины своего личного состава».</w:t>
      </w:r>
    </w:p>
    <w:p w14:paraId="19ED5F36"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Колхозники Е.Дьяченко, М.Ромян и Г.Деркач рассказали о зверствах немецко-фашистских мерзавцев в деревне Ромяны, Полтавской области: «Отступая под ударами Красной Армии, гитлеровские людоеды сожгли 59 жилых домов, разграбили и уничтожили всё имущество колхозников. Немцы собрали всех жителей деревни и под конвоем погнали их в западном направлении. В двух километрах от совхоза имени Шевченко в балке Бурносивской гитлеровцы выстроили колхозников и открыли по ним огонь из автоматов. Зверски убиты бригадир колхоза Антон Ромян и его сыновья, Алексей Бурдос, Роман Данько, Андрей Рокотянский и другие жители деревни. Оставшихся в живых выручили из немецкого плена бойцы Красной Армии» (14842).</w:t>
      </w:r>
    </w:p>
    <w:p w14:paraId="426A4B9F"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02E3E4AA"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27 ноября </w:t>
      </w:r>
      <w:r w:rsidRPr="00271E51">
        <w:rPr>
          <w:rFonts w:ascii="Times New Roman" w:hAnsi="Times New Roman"/>
          <w:color w:val="000000" w:themeColor="text1"/>
          <w:sz w:val="16"/>
          <w:szCs w:val="16"/>
        </w:rPr>
        <w:t>в 1943 году войска 1-го Украинского фронта во взаимодействии с партизанским соединением под командованием А.Н.Сабурова освободили город Ельск, ряд узлов и станций на железной дороге Овруч — Мозырь (14842).</w:t>
      </w:r>
    </w:p>
    <w:p w14:paraId="7BC7EF53"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40352B6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27 ноября </w:t>
      </w:r>
      <w:r w:rsidRPr="00271E51">
        <w:rPr>
          <w:rFonts w:ascii="Times New Roman" w:hAnsi="Times New Roman"/>
          <w:color w:val="000000" w:themeColor="text1"/>
          <w:sz w:val="16"/>
          <w:szCs w:val="16"/>
        </w:rPr>
        <w:t>в 1943 году немецко-фашистские оккупанты заживо сожгли всех жителей (230 человек) деревни Красуха Порховского района Псковской области и уничтожили все жилые и сельскохозяйственные постройки (14842).</w:t>
      </w:r>
    </w:p>
    <w:p w14:paraId="52CE0C1E"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45B3B99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при выполнении вооруженной разведки экипаж ст. лейтенанта П.А. Плотникова из 81-го бап (впоследствии дважды Героя Советского Союза), выйдя к станции Смела, обнаружил скопление эшелонов, после чего выполнил три захода с высоты 800 м, при которых бомбил и штурмовал цель. Внизу начались пожары и взрывы, однако штурман лейтенант В.А. Третьяков не смог сфотографировать результаты удара: примерно за полчаса до этого он случайно включил фотоаппарат и израсходовал всю пленку. В итоге командир дивизии не засчитал экипажу боевой вылет (12042).</w:t>
      </w:r>
    </w:p>
    <w:p w14:paraId="1AE45FE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0E12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была уничтожена деревня Красуха (2990).</w:t>
      </w:r>
    </w:p>
    <w:p w14:paraId="420AC879"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996FC" w14:textId="77777777" w:rsidR="00473181"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14E210E6"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FAF08BE"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27. 1943: In southern Italy, the British 8th Army begins an offensive across the Sangro river (3819).</w:t>
      </w:r>
    </w:p>
    <w:p w14:paraId="38EF3BEA"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DA4025"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ноября 1943 в южной Италии началось наступление британской 8А (3819).</w:t>
      </w:r>
    </w:p>
    <w:p w14:paraId="6BDBB7DC" w14:textId="77777777" w:rsidR="00473181" w:rsidRPr="00271E51" w:rsidRDefault="0047318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96CC1"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B3E0F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3280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4682 Об общем плане перевозок народнохозяйственных и воинских грузов по железнодорожному и водному транспорту на декабрь 1943 года. (7160, 182).</w:t>
      </w:r>
    </w:p>
    <w:p w14:paraId="6383ADC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AE49D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4683 О плане перевозок народнохозяйственных грузов по железнодорожному и водному транспорту на декабрь 1943 года. (7161, 1-3,4-162).</w:t>
      </w:r>
    </w:p>
    <w:p w14:paraId="3254815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1FF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4684. О поставке НКБП 100 т бумаги НКУП для патронирования взрывчатых веществ.РГАНИР, Фонд ГКО, д. 181, лл. 1 (11012).</w:t>
      </w:r>
    </w:p>
    <w:p w14:paraId="54D29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638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4685. О поставке НКУП для Донбасса телеграфной проволоки.РГАНИР, Фонд ГКО, д. 181, лл. 2 (11012).</w:t>
      </w:r>
    </w:p>
    <w:p w14:paraId="5CD852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C58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4686. О поставках НКУП оконного стекла.РГАНИР, Фонд ГКО, д. 181, лл. 3 (11012).</w:t>
      </w:r>
    </w:p>
    <w:p w14:paraId="2D3399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9FC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4687. О поставках НКУП спецодежды для рабочих.РГАНИР, Фонд ГКО, д. 181, лл. 4 (11012).</w:t>
      </w:r>
    </w:p>
    <w:p w14:paraId="5B9EBC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0BB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4688. О поставках НКУП тканей для пошива спецодежды и постельных принадлежностей для рабочих.РГАНИР, Фонд ГКО, д. 181, лл. 5 (11012).</w:t>
      </w:r>
    </w:p>
    <w:p w14:paraId="43F3C2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EA74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4689 О продлении срока освобождения от мобилизации в ряды РККА работников, занятых на подготовительных, сплавных и выгрузочных работах, зимней сплотке и изготовлении газогенераторных установок. (7162, 6).</w:t>
      </w:r>
    </w:p>
    <w:p w14:paraId="0AE4344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52CA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28 ноября 1943 вышло Постановление ГКО № 4690 О мерах по увеличению отгрузки угля железным дорогам, черной металлургии, электростанциям и оборонной промышленности в зиму 1943-1944 гг. и обеспечению шахт Донбасса электроэнергией. (7162, 7-14,15-24).</w:t>
      </w:r>
    </w:p>
    <w:p w14:paraId="147DEAD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7FA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4691 О срочных мерах по ликвидации напряженного положения с обеспечением крепежным лесом шахт Наркомугля.РГАНИР, Фонд ГКО, д. 181, лл. 25-30, 31-36 (11012).</w:t>
      </w:r>
    </w:p>
    <w:p w14:paraId="70336F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190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4692 О мерах помощи строительству Казахского металлургического завода.РГАНИР, Фонд ГКО, д. 181, лл. 37-42, 43-47 (11012).</w:t>
      </w:r>
    </w:p>
    <w:p w14:paraId="6E3E1E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D42B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4693 О мероприятиях по подготовке к переводу больших охотников за подводными лодками из Каспийского моря в состав Черноморского флота. (7162, 47-48).</w:t>
      </w:r>
    </w:p>
    <w:p w14:paraId="5D947CE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8AC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4694 О мерах по улучшению снабжения топливом Березниковской ТЭЦ и бесперебойного обеспечения энергией смежных заводов НКХП.РГАНИР, Фонд ГКО, д. 181, лл. 49 (11012).</w:t>
      </w:r>
    </w:p>
    <w:p w14:paraId="2A57D4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7C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4695 Об электроснабжении промышленности г. Астрахани.РГАНИР, Фонд ГКО, д. 181, лл. 50-51, 52-53 (11012).</w:t>
      </w:r>
    </w:p>
    <w:p w14:paraId="70BCBD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71C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4696 О строительстве гидроэлектростанций в Туркменской ССР.РГАНИР, Фонд ГКО, д. 181, лл. 54-55 (11012).</w:t>
      </w:r>
    </w:p>
    <w:p w14:paraId="72DD5D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BDA6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4697 [О частичном распространении постановления ГКО № 4549 от 12 ноября 1943 г. Об улучшении работы предприятий текстильной промышленности на прядильные и сетевязальные заводы НКрыбпрома.] (7162, 56).</w:t>
      </w:r>
    </w:p>
    <w:p w14:paraId="2BD72B3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0B4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4698 О тов. Карамышеве А.И.РГАНИР, Фонд ГКО, д. 181, лл. 57 (11012).</w:t>
      </w:r>
    </w:p>
    <w:p w14:paraId="484C44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ED0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Постановление ГКО № 4699 О т.т. Новикове С.М. и Емельянове В.Н.РГАНИР, Фонд ГКО, д. 181, лл. 58 (11012).</w:t>
      </w:r>
    </w:p>
    <w:p w14:paraId="3A80B3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09B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вышло Распоряжение ГКО № 4700. О мобилизации в Архангельской обл. 100 чел. на строительство 2-й очереди Центрального Архангельского аэродрома.РГАНИР, Фонд ГКО, д. 181, лл. 59 (11012).</w:t>
      </w:r>
    </w:p>
    <w:p w14:paraId="3ED36C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886C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 ноября 1943 г. </w:t>
      </w:r>
    </w:p>
    <w:p w14:paraId="0C57A8E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Справка И.В. Курчатова </w:t>
      </w:r>
    </w:p>
    <w:p w14:paraId="19F6B41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состоянии работ по проблеме на 27 ноября с.г.», </w:t>
      </w:r>
    </w:p>
    <w:p w14:paraId="286826A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представленная М.Г. Первухину </w:t>
      </w:r>
    </w:p>
    <w:p w14:paraId="3E9FD35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Сов. секретно </w:t>
      </w:r>
    </w:p>
    <w:p w14:paraId="147CC34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Центрифуга1</w:t>
      </w:r>
    </w:p>
    <w:p w14:paraId="115C0D2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 середины сентября начались испытания. Они производились со смесью «воздух – водород». Окончательных результатов группа т. Кикоина еще не получила. Эффект разделения был обнаружен, но побочные причины (по-видимому, вибрация дисков) еще не дали возможности получить теоретически ожидаемые коэффициенты. Мы рассчитываем в декабре закончить опыты с этой смесью. </w:t>
      </w:r>
    </w:p>
    <w:p w14:paraId="137157E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январе можно было бы приступить к разделению изотопов урана, но работа, вероятно, задержится, в связи с отсутствием нужных количеств шестифтористого урана. </w:t>
      </w:r>
    </w:p>
    <w:p w14:paraId="7E45FE5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Шестифтористый уран </w:t>
      </w:r>
    </w:p>
    <w:p w14:paraId="5E3C915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получения этого соединения нужен металлический уран. В Гиредмете разработан сейчас метод получения металлического урана, который пригоден для фторирования. До настоящего времени получено около 300 граммов урана и сейчас принимаются меры к накоплению необходимого количества (несколько килограммов) этого вещества. </w:t>
      </w:r>
    </w:p>
    <w:p w14:paraId="549FFF1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Впервые в СССР получен в НИИ-42 шестифтористый уран (около 40 граммов) путем фторирования металлического урана. Слабое поступление металла лимитирует работу НИИ-42. </w:t>
      </w:r>
    </w:p>
    <w:p w14:paraId="1909B1F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Свойства полученного шестифтористого урана и его действие на разные материалы еще не изучались. По моему мнению, эту работу следует проводить в НИИ-42, и я прошу Вас дать институту указания срочно провести эти исследования2. </w:t>
      </w:r>
    </w:p>
    <w:p w14:paraId="23FDAC7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Бомба из урана-235 </w:t>
      </w:r>
    </w:p>
    <w:p w14:paraId="55CF547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Радиевом институте (т. Петржак) была измерена вероятность деления урана-235 быстрыми нейтронами и показано, что она имеет высокие значения. Собственных данных по этому вопросу в СССР не было. Результаты работы показывают, что, в случае осуществления бомбы из урана-235, ее вес может быть сделан малым (несколько килограммов). </w:t>
      </w:r>
    </w:p>
    <w:p w14:paraId="0DE801E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Котел из металлического урана </w:t>
      </w:r>
    </w:p>
    <w:p w14:paraId="189E600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Лаборатории3 (т. Б. Курчатов, Константинова) была определена вероятность потери быстрых нейтронов в результате поглощения ураном-238. Вероятность оказалась малой, так что трудности осуществления котла из металлического урана в этой части отпадают. </w:t>
      </w:r>
    </w:p>
    <w:p w14:paraId="0ED797B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Уран-графитовый котел </w:t>
      </w:r>
    </w:p>
    <w:p w14:paraId="7FE4C5E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Лаборатории № 2 (Курчатов И., Прокофьев) было показано, что типовые графитированные электроды наших заводов (МЭЗ, ЧЭЗ и Кудиновский завод) не пригодны для использования в котле из-за большого содержания в них вредных примесей (бор, железо, ванадий). </w:t>
      </w:r>
    </w:p>
    <w:p w14:paraId="068A5C5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МЭЗе сейчас изготовляются по нашему заказу электроды из графита с улучшенными свойствами. Первая партия образцов поступит в наше распоряжение в середине декабря с.г. </w:t>
      </w:r>
    </w:p>
    <w:p w14:paraId="0505021F" w14:textId="77777777" w:rsidR="005B44EF"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Были испытаны также американские электроды из ачесоновского графита. Наиболее чистые электроды, содержащие (по золе) около 0,05 % примесей, пригодны для осуществления котла. Наши электроды имеют зольность 1-2% </w:t>
      </w:r>
    </w:p>
    <w:p w14:paraId="2C2F1F8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Получение тяжелой воды </w:t>
      </w:r>
    </w:p>
    <w:p w14:paraId="26DA383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Лаборатории № 2 (т. Корнфельд, т. Сердюк) разработан проект опытной установки для получения 30 граммов в сутки 50% тяжелой воды методом ректификационных колонн на сырье Московского электролизного завода. </w:t>
      </w:r>
    </w:p>
    <w:p w14:paraId="1CAB879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Проект передан на реализацию в Наркомхим в октябре 1943г. Работа по изготовлению колонн проходит пока вяло4. </w:t>
      </w:r>
    </w:p>
    <w:p w14:paraId="7B7CD3F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Модель диффузионной машины </w:t>
      </w:r>
    </w:p>
    <w:p w14:paraId="7EDC821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Проект модели группой ЦАГИ не выполнен в срок (15/XI), предусмотренный Постановлением ГОКО, и, по-видимому, будет закончен лишь в апреле 1944 г. Это объясняется, с одной стороны, задержкой в выдаче технического задания Лабораторией № 2, которая была связана с необходимостью изучения новых материалов, а с другой, – недостаточным вниманием Наркомата авиационной промышленности к этой работе. </w:t>
      </w:r>
    </w:p>
    <w:p w14:paraId="6C77CB2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Независимо от ЦАГИ, лаборатория в Свердловске (т. Кикоин) выполняет упрощенную модель диффузионной машины. В данный момент ведутся проектные работы и ведется изготовление отдельных узлов. </w:t>
      </w:r>
    </w:p>
    <w:p w14:paraId="4AB886E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Циклотрон </w:t>
      </w:r>
    </w:p>
    <w:p w14:paraId="241D3F7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срок готов не будет, так как Новокраматорский завод задержал изготовление электромагнита на 3 месяца. Остальные работы по строительству этого сооружения развиваются нормально, хотя монтаж отдельных узлов (выпрямитель, коротковолновый генератор) задерживается из-за того, что не закончено строительство корпуса в Серебряном бору. </w:t>
      </w:r>
    </w:p>
    <w:p w14:paraId="11196EE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Курчатов </w:t>
      </w:r>
    </w:p>
    <w:p w14:paraId="17BFB11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28.11.43 г. </w:t>
      </w:r>
    </w:p>
    <w:p w14:paraId="2FF982C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Экз[емпляр] единств[енный] АП РФ. Ф.93, д.3(43), л.178–180об. Автограф. </w:t>
      </w:r>
    </w:p>
    <w:p w14:paraId="121B6B8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1 </w:t>
      </w:r>
      <w:r w:rsidRPr="00271E51">
        <w:rPr>
          <w:rFonts w:ascii="Times New Roman" w:hAnsi="Times New Roman"/>
          <w:color w:val="000000" w:themeColor="text1"/>
          <w:sz w:val="16"/>
          <w:szCs w:val="16"/>
        </w:rPr>
        <w:t xml:space="preserve">Здесь и далее выделено автором. Далее нумерация разделов у автора отсутствует. </w:t>
      </w:r>
    </w:p>
    <w:p w14:paraId="40F811D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 xml:space="preserve">На полях напротив этого абзаца помета М.Г. Первухина: Согласен. </w:t>
      </w:r>
    </w:p>
    <w:p w14:paraId="07D09CF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3 </w:t>
      </w:r>
      <w:r w:rsidRPr="00271E51">
        <w:rPr>
          <w:rFonts w:ascii="Times New Roman" w:hAnsi="Times New Roman"/>
          <w:color w:val="000000" w:themeColor="text1"/>
          <w:sz w:val="16"/>
          <w:szCs w:val="16"/>
        </w:rPr>
        <w:t xml:space="preserve">Имеется в виду Лаборатория № 2. </w:t>
      </w:r>
    </w:p>
    <w:p w14:paraId="6921F33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lastRenderedPageBreak/>
        <w:t xml:space="preserve">4 </w:t>
      </w:r>
      <w:r w:rsidRPr="00271E51">
        <w:rPr>
          <w:rFonts w:ascii="Times New Roman" w:hAnsi="Times New Roman"/>
          <w:color w:val="000000" w:themeColor="text1"/>
          <w:sz w:val="16"/>
          <w:szCs w:val="16"/>
        </w:rPr>
        <w:t>На полях напротив этого абзаца помета М.Г. Первухина: Кому поручено? (11323).</w:t>
      </w:r>
    </w:p>
    <w:p w14:paraId="567B5B4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55692FF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 ноября 1943 г. </w:t>
      </w:r>
    </w:p>
    <w:p w14:paraId="3F61348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Справка секретариата СНК СССР </w:t>
      </w:r>
    </w:p>
    <w:p w14:paraId="0F27E75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 состоянии работ по проблеме урана1 </w:t>
      </w:r>
    </w:p>
    <w:p w14:paraId="08E1FFF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начале августа 1943 г. т. Курчатов представил т. Молотову В.М. отчет о работе Лаборатории № 2. В этом отчете было изложено состояние разработки проблемы урана и намечены перспективы ее дальнейшего развития. О работе Лаборатории № 2 за последние 3–4 месяца (август–ноябрь) т. Курчатов И.В. сообщил следующее. </w:t>
      </w:r>
    </w:p>
    <w:p w14:paraId="6124A18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Получение металлического и шестифтористого урана2</w:t>
      </w:r>
    </w:p>
    <w:p w14:paraId="5554D3B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Свердловская группа Лаборатории №2, которой руководит проф[ессор] Кикоин, установила центрифугу и произвела ее опробование на опыте разделения водорода и воздуха. Опыты с водородом и воздухом были начаты в сентябре. Окончательный результат от проведения опытов еще не получен. В настоящее время устраняются обнаруженные при первом опробовании центрифуги недостатки. Окончание опытов по разделению водорода и воздуха намечается закончить в декабре 1943 г. </w:t>
      </w:r>
    </w:p>
    <w:p w14:paraId="324AE50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разделению изотопов урана методом центрифугирования можно было бы приступить уже в январе 1944 г., но пока еще не получено необходимое количество и не исследовано нужное для этого химическое соединение – шестифтористый уран. Шестифтористый уран получается из металлического урана. Однако ни то, ни другое вещество у нас не изготовлялось, способ их получения не был известен. </w:t>
      </w:r>
    </w:p>
    <w:p w14:paraId="7E4022D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Сначала Лаборатория № 2 возложила задачу получения металлического и шестифтористого урана на Радиевый институт (академик Хлопин). Радиевый институт предполагал получить эти вещества еще в июле–августе 1943 г., но до сих пор не решил этой задачи. В связи с этим разрешение задачи получения металлического урана было возложено на Государственный институт редких металлов Наркомцветмета (Гиредмет), а получение шестифтористого урана – на Научно-исследовательский институт-42 Наркомхимпрома (НИИ-42). </w:t>
      </w:r>
    </w:p>
    <w:p w14:paraId="7D84826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Институт редких металлов в настоящее время уже получил около 300 граммов металлического урана и передал их Лаборатории № 2. Как оказалось, полученный металлический уран пригоден для получения шестифтористого урана и по своему качеству не хуже металлического урана, продававшегося до войны немецкой фирмой «Кальбаум». </w:t>
      </w:r>
    </w:p>
    <w:p w14:paraId="5F8B27D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Лаборатория № 2 передала металлический уран Научно-исследовательскому институту-42, которому уже удалось получить первые порции шестифтористого урана. Таким образом, впервые в СССР получено несколько граммов (около 40) шестифтористого урана. Однако для того чтобы профессор] Кикоин мог произвести первый опыт с ураном на центрифуге, необходима порция шестифтористого урана не менее 1 килограмма. </w:t>
      </w:r>
    </w:p>
    <w:p w14:paraId="78846A7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II. Вероятность действия быстрых нейтронов на уран-235 </w:t>
      </w:r>
    </w:p>
    <w:p w14:paraId="0AF692F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Установлено, что вероятность действия быстрых нейтронов на уран-235 высока, что соответствует сведениям, изложенным в спецматериалах (английских, американских). Собственных измерений вероятности действия быстрых нейтронов на уран-235 ранее у нас в СССР не было, а данные спецматериалов вызывали в этой части некоторое сомнение. В настоящее время в результате полученных т. Петржаком (Радиевый институт) данных выяснено, что в случае осуществления бомбы из урана-235 ее вес может быть и небольшим. </w:t>
      </w:r>
    </w:p>
    <w:p w14:paraId="30708E8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III. К вопросу осуществления котла из металлического урана </w:t>
      </w:r>
    </w:p>
    <w:p w14:paraId="6919B75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 последнее время на основе опыта т. Курчатова Б.В. (брат руководителя Лаборатории) выяснено, что потеря нейтронов в результате их столкновения с ураном-238 не играет существенной роли для осуществления котла из металлического урана. Ранее этот вопрос в СССР также не изучался. Никаких данных в спецматериалах по этому вопросу не было пока обнаружено. </w:t>
      </w:r>
    </w:p>
    <w:p w14:paraId="1A9BC26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IV. К вопросу осуществления уран-графитового котла </w:t>
      </w:r>
    </w:p>
    <w:p w14:paraId="647DA09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Опытами, произведенными Лабораторией №2 (т. Курчатов И.В.), выяснено, что типовая продукция наших графитовых заводов непригодна для осуществления уран-графитового котла, так как графит, выдаваемый этими заводами, содержит значительное количество примесей. Так, например, зольность наших графитированных электродов достигает 1-2%. Между тем опыты, проведенные Лабораторией № 2 с двумя сортами американского ачесоновского графита, показали, что зольность этих сортов графита равна в одном случае – 0,5, в другом – 0,05%. </w:t>
      </w:r>
    </w:p>
    <w:p w14:paraId="4285A88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Необходимо решить сложнейшую задачу – получить на наших заводах предельно чистый графит, нужный для уран-графитового котла. К этой задаче и приступил Наркомцветмет (по просьбе Лаборатории № 2) на Московском электродном заводе. Первая опытная партия чистого графита намечена к выпуску в декабре 1943 г. </w:t>
      </w:r>
    </w:p>
    <w:p w14:paraId="1C9F125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V. К вопросу получения тяжелой воды </w:t>
      </w:r>
    </w:p>
    <w:p w14:paraId="1D8E8E0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Получение тяжелой воды необходимо для осуществления котла, могущего действовать на смеси «уран – тяжелая вода». Лабораторией № 2 составлен проект опытной установки для получения на базе Московского электролизного завода 30 граммов в сутки тяжелой воды. Проект установки передан в октябре Наркомхимпрому для изготовления. Установку, состоящую из четырех ректификационных колонн, намечено смонтировать в новом здании Лаборатории № 2 в Серебряном бору, а выпарное устройство – на Московском электролизном заводе. </w:t>
      </w:r>
    </w:p>
    <w:p w14:paraId="00EAC1B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VI. Изготовление циклотрона </w:t>
      </w:r>
    </w:p>
    <w:p w14:paraId="49172F6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Пока изготовляются отдельные звенья циклотрона. Заканчивается изготовление разгонной камеры. Проведен ряд других подготовительных работ к монтажу циклотрона. Срок изготовления циклотрона давно уже истек. В настоящее время Новокраматорский завод задерживает изготовление основных частей электромагнита, обещая выполнить заказ к 10.ХII.43 г. </w:t>
      </w:r>
    </w:p>
    <w:p w14:paraId="1983322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VII. О диффузионной установке </w:t>
      </w:r>
    </w:p>
    <w:p w14:paraId="5928DBE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Распоряжением ГОКО от 16.VIII.43 г. Наркомавиапрому поручено организовать при лаборатории № 4 ЦАГИ группу специалистов для составления проекта диффузионной установки по разделению изотопов урана. Эта группа должна работать под руководством академика Христиановича. К 15.ХI.43 г. эта группа обязана была составить рабочий проект диффузионной 20-ступенчатой машины. Технические условия производства диффузионной установки должна была дать Лаборатория № 2, что она сделала с опозданием, и Наркомавиапром еще не взялся по настоящему за это дело. </w:t>
      </w:r>
    </w:p>
    <w:p w14:paraId="0F8870C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Наркомвооружения – т. Устинов по Распоряжению ГОКО должен был откомандировать в распоряжение лаборатории № 4 ЦАГИ 10 квалифицированных рабочих, ранее работавших в ЦАГИ, однако, до сих пор рабочие не откомандированы. </w:t>
      </w:r>
    </w:p>
    <w:p w14:paraId="005A551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Этим же распоряжением тт. Первухин и Кафтанов обязывались представить к 1.ХII.43 г. на утверждение ГОКО предложения об изготовлении диффузионной машины. Но в связи с тем, что изготовление проекта установки лабораторией № 4 ЦАГИ задерживается, решение вопроса о строительстве машины отодвигается. </w:t>
      </w:r>
    </w:p>
    <w:p w14:paraId="247DFC1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Лаборатории № 2 необходимо оказать помощь в следующем: </w:t>
      </w:r>
    </w:p>
    <w:p w14:paraId="103CB77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обязать Наркомтяжмаш (т. Казакова) ускорить обработку основных частей электромагнита и закончить ее не позднее 10.ХII.43 г. Секретариат т. Молотова связался по этому вопросу с т. Казаковым, и т. Казаков обещал ускорить это дело; </w:t>
      </w:r>
    </w:p>
    <w:p w14:paraId="0456AEB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 обязать Военпромстрой (т. Прокофьева) ускорить окончание строительства здания Лаборатории № 2 в Серебряном бору. Секретариат связался по этому вопросу с т.Прокофьевым, и т. Прокофьев обещал закончить3 доделочные работы к 5.ХII.43 г.; </w:t>
      </w:r>
    </w:p>
    <w:p w14:paraId="0C7A5B1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обязать Наркомвооружения (т. Устинова) выполнить Распоряжение ГОКО от 16.VIII.43 г. об откомандировании в распоряжение лаборатории № 4 ЦАГИ 10 рабочих, ранее работавших в ЦАГИ; </w:t>
      </w:r>
    </w:p>
    <w:p w14:paraId="4D0506FA"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 обязать т. Пронина предоставить Лаборатории № 2 10 комнат. (Письмо т. Курчатова о жилплощади с резолюцией т. Молотова: «Т. Пронину. Надо помочь Лаборатории № 2 обязательно» было направлено в Моссовет в августе.) Моссовет, мотивируя отсутствием жилплощади и тем, что в свое время Лаборатории были предоставлены 2 квартиры и 5 комнат, дополнительно пока не предоставляет жилплощадь. </w:t>
      </w:r>
    </w:p>
    <w:p w14:paraId="54E9703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 Смирнов </w:t>
      </w:r>
    </w:p>
    <w:p w14:paraId="1A82240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28.ХI.43 г. </w:t>
      </w:r>
    </w:p>
    <w:p w14:paraId="0DACEFA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[Помета:] Справка является дополнением к записке т. Курчатова от 30 июля 1943 г. </w:t>
      </w:r>
    </w:p>
    <w:p w14:paraId="3E7345C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АП РФ. Ф.56, д.941, л.47-50. Подлинник. </w:t>
      </w:r>
    </w:p>
    <w:p w14:paraId="6748577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1 </w:t>
      </w:r>
      <w:r w:rsidRPr="00271E51">
        <w:rPr>
          <w:rFonts w:ascii="Times New Roman" w:hAnsi="Times New Roman"/>
          <w:color w:val="000000" w:themeColor="text1"/>
          <w:sz w:val="16"/>
          <w:szCs w:val="16"/>
        </w:rPr>
        <w:t xml:space="preserve">Собственный заголовок документа: «Об уране (справка является дополнением к записке т. Курчатова от 30 июля 1943 г.)». </w:t>
      </w:r>
    </w:p>
    <w:p w14:paraId="5D4FE28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2 </w:t>
      </w:r>
      <w:r w:rsidRPr="00271E51">
        <w:rPr>
          <w:rFonts w:ascii="Times New Roman" w:hAnsi="Times New Roman"/>
          <w:color w:val="000000" w:themeColor="text1"/>
          <w:sz w:val="16"/>
          <w:szCs w:val="16"/>
        </w:rPr>
        <w:t xml:space="preserve">Здесь и далее выделено автором. </w:t>
      </w:r>
    </w:p>
    <w:p w14:paraId="5CB1D8F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 xml:space="preserve">3 </w:t>
      </w:r>
      <w:r w:rsidRPr="00271E51">
        <w:rPr>
          <w:rFonts w:ascii="Times New Roman" w:hAnsi="Times New Roman"/>
          <w:color w:val="000000" w:themeColor="text1"/>
          <w:sz w:val="16"/>
          <w:szCs w:val="16"/>
        </w:rPr>
        <w:t>Далее так в документе (11323).</w:t>
      </w:r>
    </w:p>
    <w:p w14:paraId="2DDC5A1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7979C5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Сдан флоту 18-й БМО (10671).</w:t>
      </w:r>
    </w:p>
    <w:p w14:paraId="4FA35D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48F0B" w14:textId="77777777" w:rsidR="005B44E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6306E6A" w14:textId="77777777" w:rsidR="005B44EF" w:rsidRPr="00271E51" w:rsidRDefault="005B44E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08B50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28 ноября </w:t>
      </w:r>
      <w:r w:rsidRPr="00271E51">
        <w:rPr>
          <w:rFonts w:ascii="Times New Roman" w:hAnsi="Times New Roman"/>
          <w:color w:val="000000" w:themeColor="text1"/>
          <w:sz w:val="16"/>
          <w:szCs w:val="16"/>
        </w:rPr>
        <w:t>в 1943 году оперативная сводка Совинформбюро:</w:t>
      </w:r>
    </w:p>
    <w:p w14:paraId="48164D5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28 ноября между реками Сож и Днепр, северо-западнее Гомеля, наши войска, продолжая развивать успешное наступление, овладели районным центром Гомельской области городом Буда Кошелёвская, а также заняли более 150 других населённых пунктов; среди них крупные населённые пункты Жабин, Скартынь, Яцковщина, Глыбочица, Мотневичи, Ровковичи, Заболотье, Коромка, Липиничи, Шарыбовка, Кошелёв, Потаповка, Морозовичи, Житанеж, Недойка, Старая Буда,Чеботовичи, Ховхла, Чёрное и железнодорожные станции Буда Кошелёвская, Шарыбовка.</w:t>
      </w:r>
    </w:p>
    <w:p w14:paraId="1AA22DF8"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Березина наши войска с боями заняли 24 населённых пункта; среди них Жирховка, Ново-Марковичи, Зломное, Шацилки, Липники, Гомза, Чернин, Гороховищи, Пружинище, Вьюнище.</w:t>
      </w:r>
    </w:p>
    <w:p w14:paraId="5ACA466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с боями продвигались вперёд и заняли населённые пункты Черновщина, Слободка, Новый и Старый Ломыш, Гридни, Вербовичи, Рудня Смолеговская.</w:t>
      </w:r>
    </w:p>
    <w:p w14:paraId="1CFAD56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районах Коростень, Черняхов и Брусилов наши войска отбивали атаки пехоты и танков противника.</w:t>
      </w:r>
    </w:p>
    <w:p w14:paraId="5DDA766F"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Кременчуга наши войска, преодолевая сопротивление и контратаки противника, овладели несколькими сильно укреплёнными опорными пунктами.</w:t>
      </w:r>
    </w:p>
    <w:p w14:paraId="20FE773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сломив сопротивление противника, овладели сильно укреплёнными опорными пунктами его обороны Васильевка, Менжинка, Екатериновка, Первомайский, Растанье, Иверское, Николай-Моисеевка, Кошкаровка, Александровка, Петриковка, Пропашное, Вороновка, Павловка, Новопокровское, Судановка.</w:t>
      </w:r>
    </w:p>
    <w:p w14:paraId="5D311CC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028D76E"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ноября наши войска на всех фронтах подбили и уничтожили 74 немецких танка. В воздушных боях и огнём зенитной артиллерии сбито 22 самолёта противника.</w:t>
      </w:r>
    </w:p>
    <w:p w14:paraId="79DD5D17"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продолжали успешное наступление и заняли свыше 150 населённых пунктов. Противник под ударами советских войск отступает, взрывая мосты и минируя дороги. Части Н-ского соединения, преследуя немцев, овладели районным центром Гомельской области городом Буда Кошелёвская. Части другого нашего соединения окружили гарнизоны двух опорных пунктов противника и в ожесточённом бою уничтожили большую часть гитлеровцев. Убито свыше 700 солдат и офицеров противника. Значительное количество немецких солдат взято в плен. Наши бойцы захватили в этих пунктах 16 орудий, 12 миномётов, 70 пулемётов и два склада с боеприпасами.</w:t>
      </w:r>
    </w:p>
    <w:p w14:paraId="3C493C28"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Березина части Н-ского соединения, преодолевая сопротивление противника, продолжали наступление и заняли 24 населённых пункта. В боях за эти пункты уничтожено более 400 немецких солдат и офицеров. Захвачено у противника 4 шестиствольных миномёта, 36 автомашин с различными грузами и 2 радиостанции.</w:t>
      </w:r>
    </w:p>
    <w:p w14:paraId="6095ADA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действуя в условиях бездорожья и лесисто-болотистой местности, с боями заняли несколько населённых пунктов. Немцы несколько раз безуспешно пытались перейти в контратаки. Наши бойцы отбили контратаки противника и истребили до двух рот немецкой пехоты. Захвачены трофеи и пленные.</w:t>
      </w:r>
    </w:p>
    <w:p w14:paraId="69341225"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Брусилова два полка пехоты и 50 танков противника в течение дня восемь раз атаковали наши позиции. Советские пехотинцы пропустили немецкие танкии сосредоточенным огнём прижали гитлеровцев к земле. Все попытки немецкой пехоты подняться в атаку закончились неудачей. Оставив на поле боя свыше 800 трупов своих солдат и офицеров, противник отошёл на исходные позиции. Прорвавшиеся немецкие танки были обстреляны нашими артиллеристами и миномётчиками. Сожжено и подбито 28 танков, 4 самоходных орудия и 4 бронетранспортёра противника. Остальные немецкие танки быстро вышли из боя.</w:t>
      </w:r>
    </w:p>
    <w:p w14:paraId="0DA908E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части Н-ского соединения, продвигаясь вперёд, заняли несколько опорных пунктов противника. За день боёв уничтожено до батальона гитлеровцев. Огнём нашей артиллерии подбито 15 немецких танков. Захвачено унемцев 7 орудий, 2 бронетранспортёра, 10 миномётов, склад боеприпасов и склад с инженерным имуществом.</w:t>
      </w:r>
    </w:p>
    <w:p w14:paraId="28C7829A"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части Н-ского гвардейского соединения, взаимодействуя с танкистами, после артиллерийской подготовки атаковали противника. Сломив сопротивление немцев и продвигаясь вперёд, наши бойцы заняли ряд населённых пунктов. Противник понёс большие потери. Только на одном участке уничтожено до 1.000 вражеских солдат и офицеров. Наши лётчики наносили удары по войскам противника и уничтожили до 20 немецких танков, 70 автомашин, взорвали склад с горючим и два склада с боеприпасами. Сильной бомбардировке были подвергнуты воинские эшелоны противника, находившиеся на железнодорожном узле Апостолово. В воздушных боях за день сбито 17 немецких самолётов.</w:t>
      </w:r>
    </w:p>
    <w:p w14:paraId="08EA0B04"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транспорт водоизмещением в одну тысячу тонн, сторожевой корабль, два сторожевых катера, две быстроходных десантных баржи и сухогрузная баржа противника.</w:t>
      </w:r>
    </w:p>
    <w:p w14:paraId="15B54D5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Могилёвской области, разгромил немецкий гарнизон в крупном населённом пункте. Истреблено 70 гитлеровцев. Другой отряд могилёвских партизан из засады напал на автоколонну противника и уничтожил 6 грузовых автомашин вместе с находившимися в них 22 гитлеровцами.</w:t>
      </w:r>
    </w:p>
    <w:p w14:paraId="676558AC"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Невеля добровольно сдался в плен первый взвод 3 роты 189 полка 81 немецкой пехотной дивизии. Пленный командир взвода, фельдфебель Рихард Пешель рассказал: «Нашему батальону было приказано прочесать лес между двумя озёрами и занять выгодную высоту. Выполняя этот приказ, мы встретили ожесточённое сопротивление русских. В бесплодных атаках батальон понёс очень тяжёлые потери. Мой взвод выдвинулся к озеру и потерял связь с соседними подразделениями. Вскоре русские зашли во фланг, и над нами нависла угроза окружения. Посоветовавшись с товарищами, я собрал солдат, объяснил им создавшееся положение и заявил: «Кто хочет сдаться в плен, пусть останется здесь, кто против плена, может идти, куда ему угодно». Солдаты совещались довольно долго. Ушли обратно только четверо изв сего состава взвода. Остальные 32 солдата сложили оружие и сдались в плен. Успешное наступление русских убедило меня и моих товарищей в том, что немецкая армия долго не выдержит. В таких условиях бесполезно продолжать войну, и я счёл своим долгом сохранить свою жизнь и жизнь доверенных мне солдат» (14843).</w:t>
      </w:r>
    </w:p>
    <w:p w14:paraId="3607BCAA"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61DD9B19" w14:textId="77777777" w:rsidR="005B44EF"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D940A04" w14:textId="77777777" w:rsidR="005B44EF" w:rsidRPr="00271E51" w:rsidRDefault="005B44E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50FF91" w14:textId="77777777" w:rsidR="007A3863" w:rsidRPr="00271E51" w:rsidRDefault="007A386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СНК СССР принял постановление "О порядке открытия церквей" (18693).</w:t>
      </w:r>
    </w:p>
    <w:p w14:paraId="5569156C" w14:textId="77777777" w:rsidR="007A3863" w:rsidRPr="00271E51" w:rsidRDefault="007A3863" w:rsidP="00271E51">
      <w:pPr>
        <w:spacing w:after="0" w:line="240" w:lineRule="auto"/>
        <w:jc w:val="both"/>
        <w:rPr>
          <w:rFonts w:ascii="Times New Roman" w:hAnsi="Times New Roman"/>
          <w:color w:val="000000" w:themeColor="text1"/>
          <w:sz w:val="16"/>
          <w:szCs w:val="16"/>
        </w:rPr>
      </w:pPr>
    </w:p>
    <w:p w14:paraId="3B67AF79"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28 ноября 1943 года</w:t>
      </w:r>
      <w:r w:rsidRPr="00271E51">
        <w:rPr>
          <w:rStyle w:val="ucoz-forum-post"/>
          <w:rFonts w:ascii="Times New Roman" w:hAnsi="Times New Roman"/>
          <w:color w:val="000000" w:themeColor="text1"/>
          <w:sz w:val="16"/>
          <w:szCs w:val="16"/>
        </w:rPr>
        <w:t xml:space="preserve"> Распоряжение Государственного Комитета Обороны № 4700 «О мобилизации в Архангельской обл. 100 чел. на строительство 2-й очереди Центрального Архангельского аэродрома».</w:t>
      </w:r>
    </w:p>
    <w:p w14:paraId="13C37A45"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Программа лендлиза предусматривала, как один из путей поставки, доставку авиатехники кораблями через порт Архангельск, и дальнейший перелет самолетов «своим ходом» Но в Архангельске, даже по прошествии первого военного года, у советских ВВС было все два полевых аэродрома. При этом они не отвечали необходимым для союзников требованиям. Аэродромы располагались на островах (Кегостров и остров Бревенник) малыми по размерам. С 1931 по 1963 г. на Кегострове находился основной аэропорт Архангельска. Прилегающая же к городу тайга, была заболочена практически почти полностью, и главное - не подлежала дренажированию, столь необходимому для строительства бетонированной полосы.</w:t>
      </w:r>
    </w:p>
    <w:p w14:paraId="4D365D37"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Поэтому и было принято решение строить для перегоняемых самолетов деревянную взлетно-посадочную полосу: четыреста метров в длину, шестьдесят – в ширину.</w:t>
      </w:r>
    </w:p>
    <w:p w14:paraId="39A2F101"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Для будущего аэродрома подобрали большое открытое пространство среди таежного леса недалеко от нынешнего поселка Катунино. Почва здесь была малозаболоченной и позволяла построить надежный деревянный настил. В короткое время к строящемуся аэродрому подвели электролинию, железнодорожную ветку, установили четыре пилорамы. Все сооружения для сборки самолетов, деревянную взлетную полосу и железнодорожную ветку строили заключенные из соседнего лагеря НКВД.</w:t>
      </w:r>
    </w:p>
    <w:p w14:paraId="3B048E07"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Аэродром появился очень быстро. Вскоре по железнодорожной ветке из Архангельска начали прибывать первые самолеты из порта Архангельск. Техническую команду, которая собирала самолеты составляли англичане, а также три американских летчика: капитаны Луис и Элисон, и старший лейтенант Замке, которые испытывали собранные самолеты.</w:t>
      </w:r>
    </w:p>
    <w:p w14:paraId="38C97424"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К сентябрю 1942 года с нового архангельского аэродрома, через промежуточный вологодский, в действующую армию было отправлено почти сотня самолета: «Киттихаук», «Кертис Р-40», «Тамагаук» и «Харрикейн».</w:t>
      </w:r>
    </w:p>
    <w:p w14:paraId="23795B80"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Для развития аэродрома и была проведена вышеупомянутая «мобилизация» (14843).</w:t>
      </w:r>
    </w:p>
    <w:p w14:paraId="01B80FDA" w14:textId="77777777" w:rsidR="005B44EF" w:rsidRPr="00271E51" w:rsidRDefault="005B44EF" w:rsidP="00271E51">
      <w:pPr>
        <w:spacing w:after="0" w:line="240" w:lineRule="auto"/>
        <w:jc w:val="both"/>
        <w:rPr>
          <w:rStyle w:val="ucoz-forum-post"/>
          <w:rFonts w:ascii="Times New Roman" w:hAnsi="Times New Roman"/>
          <w:color w:val="000000" w:themeColor="text1"/>
          <w:sz w:val="16"/>
          <w:szCs w:val="16"/>
        </w:rPr>
      </w:pPr>
    </w:p>
    <w:p w14:paraId="0D44C33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2201BE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E76B0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началась Тегеранская конференция глав СССР, США и Англии (4962).</w:t>
      </w:r>
    </w:p>
    <w:p w14:paraId="4401592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5DD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lastRenderedPageBreak/>
        <w:t>28 November 1943 (28 November-1 December) Teheran conference with Churchill, Roosevelt and Stalin (270).</w:t>
      </w:r>
    </w:p>
    <w:p w14:paraId="7BC0D1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394E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Main result: Plans for two-front war against Germany, for later Russian participation in war against Japan, and for postwar cooperation (1052).</w:t>
      </w:r>
    </w:p>
    <w:p w14:paraId="4487E4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50E6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28 ноября по 1 декабря 1943 состоялась Тегеранская конференция трех держав (270). Обсудили планы послевоенного устройства Германии, а также участие СССР в войне против Японии (1052).</w:t>
      </w:r>
    </w:p>
    <w:p w14:paraId="369D37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63F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- 1 декабря 1943 г. в Тегеране в первый раз в полном составе собралась Большая Тройка. На конференции четко обозначилось стремление Рузвельта и Сталина договориться. Черчилль держался стратегии англо-американского блока. Раздраженный Рузвельт предложил ему даже, чтобы советский представитель присутствовал на всех англо-американских встречах перед общей беседой. Идея глобального регулирования международных отношений равно импонировала Рузвельту и Сталину. Черчилль в этом отношении был консервативен, не особенно верил в послевоенное сотрудничество с СССР, сомневался в эффективности новой международной организации и видел за этой идеей план оттеснить Великобританию на политическую периферию.</w:t>
      </w:r>
    </w:p>
    <w:p w14:paraId="15A0E4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 и Рузвельт нашли взаимопонимание относительно высадки в Европе. Они считали Северную Францию единственно пригодным местом для открытия второго фронта. Черчилль в качестве альтернативы предлагал Балканы (надеясь предотвратить разрастание советской сферы влияния). Сталин заподозрил, что Черчилль в очередной раз бойкотирует второй фронт, встретился с ним наедине и только после этого несколько успокоился. Было договорено, что второй фронт будет открыт в Северной Франции в мае 1944 г.</w:t>
      </w:r>
    </w:p>
    <w:p w14:paraId="585F92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Тройка согласилась попробовать заставить Турцию вступить в войну на стороне союзников. На конференции обсуждался и вопрос о будущем Германии. Рузвельт и Сталин высказались в пользу раздробления Германии на мелкие государства, с тем чтобы исключить возрождение германского экспансионизма. Рузвельт предложил расчленить Германию на пять частей, причем передать Киль, Гамбург, Рур и Саар под контроль Объединенных Наций. Черчилль согласился с тем, что Пруссия как очаг милитаризма должна быть отделена. Сталин сделал особый упор на том, что объединение Германии должно быть предотвращено любой ценой. Никакого окончательного решения принято, однако, не было.</w:t>
      </w:r>
    </w:p>
    <w:p w14:paraId="6592A2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Самым болезненным вопросом был вопрос о Польше. Сталин к этому времени порвал отношения с польским правительством в изгнании. Москва требовала изменений в польском кабинете. Катынский вопрос рассматривался Кремлем как польский шантаж с целью заставить Москву пойти на территориальные уступки. В Лондоне стало складываться мнение, что надо уступать Москве и проводить советско-польскую границу по линии Керзона.</w:t>
      </w:r>
    </w:p>
    <w:p w14:paraId="456FC2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Тегеране Сталин предложил передвинуть польскую границу на Запад, к Одеру, за счет Германии. Советско-польская граница должна была проходить по линии, установленной в сентябре 1939 г. Понимая, что могущественный союзник будет стоять в этом вопросе насмерть, даже Черчилль согласился, заметив, что земли, получаемые Польшей, гораздо лучше земель, которые она отдает. Сталин также заявил, что СССР рассчитывает получить Кенигсберг и передвинуть границу с Финляндией дальше от Ленинграда.</w:t>
      </w:r>
    </w:p>
    <w:p w14:paraId="6B8706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конференции четко обозначилось согласие западных союзников пойти навстречу Сталину в территориальном вопросе. Здесь же была сделана заявка на то, что послевоенный мир будет управляться четырьмя державами, действующими под эгидой международной организации. Для СССР это был колоссальный прорыв, США также впервые после неудачной попытки президента Вильсона брали на себя глобальные функции, Великобритания, роль которой относительно уменьшалась, должна была довольствоваться уже тем, что она не выпала из Большой Тройки.</w:t>
      </w:r>
    </w:p>
    <w:p w14:paraId="35FEB8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 пообещал вступить в войну против Японии после поражения Германии. В ноябре 1943 г. для союзников это было чрезвычайно важно (3871).</w:t>
      </w:r>
    </w:p>
    <w:p w14:paraId="07EB44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EB86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28 ноября </w:t>
      </w:r>
      <w:r w:rsidRPr="00271E51">
        <w:rPr>
          <w:rFonts w:ascii="Times New Roman" w:hAnsi="Times New Roman"/>
          <w:color w:val="000000" w:themeColor="text1"/>
          <w:sz w:val="16"/>
          <w:szCs w:val="16"/>
        </w:rPr>
        <w:t>в 1943 году в Тегеране открылась Конференция глав правительств трёх союзных во 2-й мировой войне держав - СССР, США и Великобритании: председателя СНК СССР И.В.Сталина, президента США Ф.Д.Рузвельта и премьер-министра Великобритании У.Черчилля при участии дипломатических советников и представителей военных штабов. Продолжалась конференция до 1 декабря 1943 г. Основными на конференции были военные вопросы, в особенности вопрос о втором фронте в Европе, который, вопреки обязательствам США и Великобритании, не был открыт ими ни в 1942, ни в 1943. В новой обстановке, сложившейся в результате выдающихся побед Красной Армии, англо-американские союзники стали опасаться, что Советские Вооружённые Силы освободят Западную Европу без участия вооружённых сил США и Великобритании. Однако в ходе переговоров обнаружилось различие точек зрения глав правительств США и Великобритании о месте, масштабах и времени вторжения союзников в Европу. Рузвельт заявил, что он считает необходимым выполнить решения Конференции глав правительств США и Великобритании в Квебеке (Канада, август 1943) о вторжении в Европу через Ла-Манш около 1 мая 1944 (план "Оверлорд"). Черчилль пытался подменить открытие второго фронта во Франции развитием операций в Италии и на Балканах, чтобы таким путём обеспечить оккупацию Центральной и Юго-Восточной Европы англо-американскими войсками, а вопрос о сроках начала операций через Ла-Манш передать на рассмотрение "военных специалистов". Советская делегация отмечала, что наиболее эффективным было бы нанесение удара по врагу в Северной или в Северо-западной Франции с одновременной высадкой десанта на юге Франции. В результате дискуссии 30 ноября 1943 от имени делегаций США и Великобритании на Тегеранской конференции было заявлено, что операция "Оверлорд" намечается на май 1944 и будет проведена при поддержке десанта в Южной Франции. Сталин в свою очередь заявил, что советские войска предпримут наступление примерно в это же время с целью предотвратить переброску германских сил с Восточного на Западный фронт. Участники конференции пришли к соглашению о необходимости принять меры для вовлечения Турции в войну на стороне антигитлеровской коалиции и об оказании помощи югославским партизанам. Советская делегация, идя навстречу пожеланиям союзных правительств Великобритании и США, а также учитывая неоднократные нарушения Японией советско-японского договора 1941 о нейтралитете и оказывавшуюся ею помощь гитлеровской Германии, заявила, что СССР вступит в войну против Японии, когда германская армия будет окончательно разгромлена. На Тегеранской конференции обсуждались вопросы послевоенного устройства мира и безопасности народов. Советская делегация подчеркнула необходимость осуществления эффективных мер против возрождения германского милитаризма и реваншизма. Делегации США и Великобритании выдвигали различные планы послевоенного устройства Германии: план создания 5 германских государств и установления контроля Объединённых Наций над Руром, Сааром и др. районами Германии (Рузвельт); план создания "Дунайской федерации" с включением в неё всех южных провинций Германии и при дунайских стран Европы (Черчилль). Эти планы не получили поддержки со стороны советской делегации. По предложению Сталина вопрос был передан на изучение в Европейскую консультативную комиссию. На конференции было в принципе согласовано решение о передаче Кенигсберга (ныне Калининград) Советскому Союзу. Главы трёх правительств рассмотрели вопрос о Польше. Была достигнута в предварительном порядке договорённость о том, что её послевоенные границы должны пройти по "Керзона линии" на востоке и по р. Одер на западе. Рузвельт и Черчилль выразили надежду, что правительство СССР восстановит отношения с польским эмигрантским правительством в Лондоне, которое западные державы рассчитывали водворить в Польше с целью сохранения там буржуазного строя. Советское правительство не пошло на это и заявило, что оно отделяет Польшу от эмигрантского правительства в Лондоне. В принятой 1 декабря 1943 участниками Тегеранской конференции "Декларации трех держав" говорилось о полном согласии трёх держав "... относительно масштаба и сроков операций, которые будут предприняты с востока, запада и юга" ("Внешняя политика Советского Союза в период Отечественной войны", т. 1, 1944, с. 369). Выражалась уверенность в том, что их согласие обеспечит прочный мир между народами. Руководители трёх держав обменялись на Тегеранской конференции мнениями о создании международной организации безопасности после войны. Они приняли также "Декларацию об Иране", в которой подтвердили желание сохранить независимость, суверенитет и территориальную неприкосновенность этой раны. Тегеранская конференция способствовала укреплению антигитлеровской коалиции и подтвердила возможность сотрудничества государств с различным общественным строем в решении международных проблем (14843).</w:t>
      </w:r>
    </w:p>
    <w:p w14:paraId="34E587E9"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649BC1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ноября 1943 Каирская декларация еще до ее публикации была доставлена в Тегеран, где с ней ознакомился И.В.Сталин. Советская сторона не высказала никаких принципиальных замечаний по тексту декларации. Более того, в Тегеране СССР дал свое принципиальное согласие вступить в войну против Японии по завершении разгрома Германии (3871).</w:t>
      </w:r>
    </w:p>
    <w:p w14:paraId="465A11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DA7AF" w14:textId="77777777" w:rsidR="007A3863" w:rsidRPr="00271E51" w:rsidRDefault="007A386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1C6931A" w14:textId="77777777" w:rsidR="007A3863" w:rsidRPr="00271E51" w:rsidRDefault="007A386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644EE" w14:textId="77777777" w:rsidR="007A3863" w:rsidRPr="00271E51" w:rsidRDefault="007A386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28 ноября 1943 года английский самолет-разведчик сфотографировал Пенемюнде, а фотограф с острыми глазами, лётный офицер Бабингтон Смит, обнаружил прототип летающей бомбы на пусковой рампе в Пенемюнде. Британская разведка начала понимать чем занимаются немцы и определила, что немцы смогут начать запуск этого нового оружия против Англии буквально в считанные недели</w:t>
      </w:r>
      <w:r w:rsidRPr="00271E51">
        <w:rPr>
          <w:rFonts w:ascii="Times New Roman" w:hAnsi="Times New Roman"/>
          <w:color w:val="000000" w:themeColor="text1"/>
          <w:sz w:val="16"/>
          <w:szCs w:val="16"/>
        </w:rPr>
        <w:t xml:space="preserve"> (19631)</w:t>
      </w:r>
      <w:r w:rsidRPr="00271E51">
        <w:rPr>
          <w:rFonts w:ascii="Times New Roman" w:hAnsi="Times New Roman"/>
          <w:color w:val="000000" w:themeColor="text1"/>
          <w:sz w:val="16"/>
          <w:szCs w:val="16"/>
          <w:shd w:val="clear" w:color="auto" w:fill="FFFFFF"/>
        </w:rPr>
        <w:t>.</w:t>
      </w:r>
    </w:p>
    <w:p w14:paraId="0D8F3B4D" w14:textId="77777777" w:rsidR="007A3863" w:rsidRPr="00271E51" w:rsidRDefault="007A3863" w:rsidP="00271E51">
      <w:pPr>
        <w:spacing w:after="0" w:line="240" w:lineRule="auto"/>
        <w:jc w:val="both"/>
        <w:rPr>
          <w:rFonts w:ascii="Times New Roman" w:hAnsi="Times New Roman"/>
          <w:color w:val="000000" w:themeColor="text1"/>
          <w:sz w:val="16"/>
          <w:szCs w:val="16"/>
        </w:rPr>
      </w:pPr>
    </w:p>
    <w:p w14:paraId="04A1CA65" w14:textId="77777777" w:rsidR="00EA1391" w:rsidRPr="00271E51" w:rsidRDefault="00EA139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28 ноября 1943 японское сопротивление на атолле Тарава прекращается. Американские авианосцы покидают район островов Гилберта до конца месяца (20376).</w:t>
      </w:r>
    </w:p>
    <w:p w14:paraId="4DDE49F9" w14:textId="77777777" w:rsidR="00EA1391" w:rsidRPr="00271E51" w:rsidRDefault="00EA1391" w:rsidP="00271E51">
      <w:pPr>
        <w:spacing w:after="0" w:line="240" w:lineRule="auto"/>
        <w:jc w:val="both"/>
        <w:rPr>
          <w:rFonts w:ascii="Times New Roman" w:hAnsi="Times New Roman"/>
          <w:color w:val="0070C0"/>
          <w:sz w:val="16"/>
          <w:szCs w:val="16"/>
        </w:rPr>
      </w:pPr>
    </w:p>
    <w:p w14:paraId="4AE2AE7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54C25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905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был утвержден отчет по результатам совместных испытаний самолета N 100716 Ту-2-2АШ82ФРН (300,12).</w:t>
      </w:r>
    </w:p>
    <w:p w14:paraId="4329E7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C14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Зам.Нач. 7 ГУ НКАП Алексеев писал письмо № 76/2905 ГК и Ответственному руководителю заводом № 156 Туполеву А.Н.:</w:t>
      </w:r>
    </w:p>
    <w:p w14:paraId="33CD1D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4 квартал по заводу № 156 утвержден следующий тематический план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3420"/>
        <w:gridCol w:w="540"/>
        <w:gridCol w:w="1309"/>
        <w:gridCol w:w="1309"/>
        <w:gridCol w:w="1309"/>
      </w:tblGrid>
      <w:tr w:rsidR="00A907A5" w:rsidRPr="00271E51" w14:paraId="5743E2EC" w14:textId="77777777" w:rsidTr="00ED5B0A">
        <w:tc>
          <w:tcPr>
            <w:tcW w:w="378" w:type="dxa"/>
            <w:tcBorders>
              <w:top w:val="single" w:sz="12" w:space="0" w:color="auto"/>
            </w:tcBorders>
          </w:tcPr>
          <w:p w14:paraId="5F0293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п/п</w:t>
            </w:r>
          </w:p>
        </w:tc>
        <w:tc>
          <w:tcPr>
            <w:tcW w:w="3420" w:type="dxa"/>
            <w:tcBorders>
              <w:top w:val="single" w:sz="12" w:space="0" w:color="auto"/>
            </w:tcBorders>
          </w:tcPr>
          <w:p w14:paraId="00E70C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работ</w:t>
            </w:r>
          </w:p>
        </w:tc>
        <w:tc>
          <w:tcPr>
            <w:tcW w:w="540" w:type="dxa"/>
            <w:tcBorders>
              <w:top w:val="single" w:sz="12" w:space="0" w:color="auto"/>
            </w:tcBorders>
          </w:tcPr>
          <w:p w14:paraId="3AE17D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 экз.</w:t>
            </w:r>
          </w:p>
        </w:tc>
        <w:tc>
          <w:tcPr>
            <w:tcW w:w="1309" w:type="dxa"/>
            <w:tcBorders>
              <w:top w:val="single" w:sz="12" w:space="0" w:color="auto"/>
            </w:tcBorders>
          </w:tcPr>
          <w:p w14:paraId="779061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сдачи на гос. испытания</w:t>
            </w:r>
          </w:p>
        </w:tc>
        <w:tc>
          <w:tcPr>
            <w:tcW w:w="1309" w:type="dxa"/>
            <w:tcBorders>
              <w:top w:val="single" w:sz="12" w:space="0" w:color="auto"/>
            </w:tcBorders>
          </w:tcPr>
          <w:p w14:paraId="78FF9D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Техническая готовность на конец кв.</w:t>
            </w:r>
          </w:p>
        </w:tc>
        <w:tc>
          <w:tcPr>
            <w:tcW w:w="1309" w:type="dxa"/>
            <w:tcBorders>
              <w:top w:val="single" w:sz="12" w:space="0" w:color="auto"/>
            </w:tcBorders>
          </w:tcPr>
          <w:p w14:paraId="014F38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 (тыс.руб.)</w:t>
            </w:r>
          </w:p>
        </w:tc>
      </w:tr>
      <w:tr w:rsidR="00A907A5" w:rsidRPr="00271E51" w14:paraId="4EC6771F" w14:textId="77777777" w:rsidTr="00ED5B0A">
        <w:tc>
          <w:tcPr>
            <w:tcW w:w="378" w:type="dxa"/>
          </w:tcPr>
          <w:p w14:paraId="626563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3420" w:type="dxa"/>
          </w:tcPr>
          <w:p w14:paraId="66AC12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с ТК-3</w:t>
            </w:r>
          </w:p>
        </w:tc>
        <w:tc>
          <w:tcPr>
            <w:tcW w:w="540" w:type="dxa"/>
          </w:tcPr>
          <w:p w14:paraId="72499C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0CF875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01.10.43</w:t>
            </w:r>
          </w:p>
        </w:tc>
        <w:tc>
          <w:tcPr>
            <w:tcW w:w="1309" w:type="dxa"/>
          </w:tcPr>
          <w:p w14:paraId="32C4BB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проект.</w:t>
            </w:r>
          </w:p>
          <w:p w14:paraId="4065E1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постр.</w:t>
            </w:r>
          </w:p>
        </w:tc>
        <w:tc>
          <w:tcPr>
            <w:tcW w:w="1309" w:type="dxa"/>
          </w:tcPr>
          <w:p w14:paraId="1F9225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44AD7D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tc>
      </w:tr>
      <w:tr w:rsidR="00A907A5" w:rsidRPr="00271E51" w14:paraId="0352920C" w14:textId="77777777" w:rsidTr="00ED5B0A">
        <w:tc>
          <w:tcPr>
            <w:tcW w:w="378" w:type="dxa"/>
          </w:tcPr>
          <w:p w14:paraId="2ED4CC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3420" w:type="dxa"/>
          </w:tcPr>
          <w:p w14:paraId="34C5C8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в максимально упрощенном виде с отработкой новой установки 20 мм пушки взамен БП (Приказ № 430сс - 1943)</w:t>
            </w:r>
          </w:p>
        </w:tc>
        <w:tc>
          <w:tcPr>
            <w:tcW w:w="540" w:type="dxa"/>
          </w:tcPr>
          <w:p w14:paraId="22AFAF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48F9D1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01.09.43</w:t>
            </w:r>
          </w:p>
        </w:tc>
        <w:tc>
          <w:tcPr>
            <w:tcW w:w="1309" w:type="dxa"/>
          </w:tcPr>
          <w:p w14:paraId="32D3DD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проект.</w:t>
            </w:r>
          </w:p>
          <w:p w14:paraId="04E6F0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постр.</w:t>
            </w:r>
          </w:p>
          <w:p w14:paraId="2AA8BB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испыт.</w:t>
            </w:r>
          </w:p>
        </w:tc>
        <w:tc>
          <w:tcPr>
            <w:tcW w:w="1309" w:type="dxa"/>
          </w:tcPr>
          <w:p w14:paraId="263003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1AF90E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p w14:paraId="5F9C1E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r>
      <w:tr w:rsidR="00A907A5" w:rsidRPr="00271E51" w14:paraId="29D228F8" w14:textId="77777777" w:rsidTr="00ED5B0A">
        <w:tc>
          <w:tcPr>
            <w:tcW w:w="378" w:type="dxa"/>
          </w:tcPr>
          <w:p w14:paraId="11B981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3420" w:type="dxa"/>
          </w:tcPr>
          <w:p w14:paraId="14B33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2М82НВ в варианте дальнего разведчика и бомбардировщика.</w:t>
            </w:r>
          </w:p>
        </w:tc>
        <w:tc>
          <w:tcPr>
            <w:tcW w:w="540" w:type="dxa"/>
          </w:tcPr>
          <w:p w14:paraId="3A3A2E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309" w:type="dxa"/>
          </w:tcPr>
          <w:p w14:paraId="651EBF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01.12.43 1-й</w:t>
            </w:r>
          </w:p>
          <w:p w14:paraId="679910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762DAC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проект.</w:t>
            </w:r>
          </w:p>
          <w:p w14:paraId="513E93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постр.</w:t>
            </w:r>
          </w:p>
          <w:p w14:paraId="68B6CE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испыт.</w:t>
            </w:r>
          </w:p>
        </w:tc>
        <w:tc>
          <w:tcPr>
            <w:tcW w:w="1309" w:type="dxa"/>
          </w:tcPr>
          <w:p w14:paraId="481E81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p w14:paraId="5551CE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2300</w:t>
            </w:r>
          </w:p>
          <w:p w14:paraId="3E60FC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r>
      <w:tr w:rsidR="00A907A5" w:rsidRPr="00271E51" w14:paraId="65C5A223" w14:textId="77777777" w:rsidTr="00ED5B0A">
        <w:tc>
          <w:tcPr>
            <w:tcW w:w="378" w:type="dxa"/>
          </w:tcPr>
          <w:p w14:paraId="7E7A74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3420" w:type="dxa"/>
          </w:tcPr>
          <w:p w14:paraId="3ADEE9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2М-43 с первоначальной установкой М-39</w:t>
            </w:r>
          </w:p>
        </w:tc>
        <w:tc>
          <w:tcPr>
            <w:tcW w:w="540" w:type="dxa"/>
          </w:tcPr>
          <w:p w14:paraId="14AF0E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1AC7C0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01.11.43</w:t>
            </w:r>
          </w:p>
        </w:tc>
        <w:tc>
          <w:tcPr>
            <w:tcW w:w="1309" w:type="dxa"/>
          </w:tcPr>
          <w:p w14:paraId="7C302A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 проект.</w:t>
            </w:r>
          </w:p>
          <w:p w14:paraId="5EE293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постр.</w:t>
            </w:r>
          </w:p>
        </w:tc>
        <w:tc>
          <w:tcPr>
            <w:tcW w:w="1309" w:type="dxa"/>
          </w:tcPr>
          <w:p w14:paraId="353CCA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782CB2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0128D280" w14:textId="77777777" w:rsidTr="00ED5B0A">
        <w:tc>
          <w:tcPr>
            <w:tcW w:w="378" w:type="dxa"/>
          </w:tcPr>
          <w:p w14:paraId="69EA0E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3420" w:type="dxa"/>
          </w:tcPr>
          <w:p w14:paraId="534992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Ту-2 с 2М82ФНВ (Приказ № 133с и № 430сс - 1943)</w:t>
            </w:r>
          </w:p>
        </w:tc>
        <w:tc>
          <w:tcPr>
            <w:tcW w:w="540" w:type="dxa"/>
          </w:tcPr>
          <w:p w14:paraId="48812F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1EF655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25.12.43</w:t>
            </w:r>
          </w:p>
        </w:tc>
        <w:tc>
          <w:tcPr>
            <w:tcW w:w="1309" w:type="dxa"/>
          </w:tcPr>
          <w:p w14:paraId="6B2878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0A9495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2CD41BC9" w14:textId="77777777" w:rsidTr="00ED5B0A">
        <w:tc>
          <w:tcPr>
            <w:tcW w:w="378" w:type="dxa"/>
          </w:tcPr>
          <w:p w14:paraId="162039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3420" w:type="dxa"/>
          </w:tcPr>
          <w:p w14:paraId="6D5D6F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103-В с 2М82ФНВ (испытание винтов - Приказ № 133с и № 574с - 1943)</w:t>
            </w:r>
          </w:p>
        </w:tc>
        <w:tc>
          <w:tcPr>
            <w:tcW w:w="540" w:type="dxa"/>
          </w:tcPr>
          <w:p w14:paraId="34840B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48AF39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01.11.43</w:t>
            </w:r>
          </w:p>
        </w:tc>
        <w:tc>
          <w:tcPr>
            <w:tcW w:w="1309" w:type="dxa"/>
          </w:tcPr>
          <w:p w14:paraId="05410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309" w:type="dxa"/>
          </w:tcPr>
          <w:p w14:paraId="2B746F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r>
      <w:tr w:rsidR="00A907A5" w:rsidRPr="00271E51" w14:paraId="16E12FB1" w14:textId="77777777" w:rsidTr="00ED5B0A">
        <w:tc>
          <w:tcPr>
            <w:tcW w:w="378" w:type="dxa"/>
          </w:tcPr>
          <w:p w14:paraId="603AC9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3420" w:type="dxa"/>
          </w:tcPr>
          <w:p w14:paraId="4A4B92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 4-х моторный дальний бомбардировщик с герметической кабиной и пушечной защитой (разработка проекта и постройка макетов и кабин)</w:t>
            </w:r>
          </w:p>
        </w:tc>
        <w:tc>
          <w:tcPr>
            <w:tcW w:w="540" w:type="dxa"/>
          </w:tcPr>
          <w:p w14:paraId="502D2A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309" w:type="dxa"/>
          </w:tcPr>
          <w:p w14:paraId="6FC146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15.09.43</w:t>
            </w:r>
          </w:p>
        </w:tc>
        <w:tc>
          <w:tcPr>
            <w:tcW w:w="1309" w:type="dxa"/>
          </w:tcPr>
          <w:p w14:paraId="64CBD0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7A11C5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tc>
      </w:tr>
      <w:tr w:rsidR="00A907A5" w:rsidRPr="00271E51" w14:paraId="77F74544" w14:textId="77777777" w:rsidTr="00ED5B0A">
        <w:tc>
          <w:tcPr>
            <w:tcW w:w="378" w:type="dxa"/>
          </w:tcPr>
          <w:p w14:paraId="57EF62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3420" w:type="dxa"/>
          </w:tcPr>
          <w:p w14:paraId="15B419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Опытные работы КБ Шатерникова</w:t>
            </w:r>
          </w:p>
        </w:tc>
        <w:tc>
          <w:tcPr>
            <w:tcW w:w="540" w:type="dxa"/>
          </w:tcPr>
          <w:p w14:paraId="394A2F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E16EF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00EF13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EC789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73704A40" w14:textId="77777777" w:rsidTr="00ED5B0A">
        <w:tc>
          <w:tcPr>
            <w:tcW w:w="378" w:type="dxa"/>
          </w:tcPr>
          <w:p w14:paraId="642949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Pr>
          <w:p w14:paraId="1EF1A6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по госбюджету:</w:t>
            </w:r>
          </w:p>
        </w:tc>
        <w:tc>
          <w:tcPr>
            <w:tcW w:w="540" w:type="dxa"/>
          </w:tcPr>
          <w:p w14:paraId="377DD0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70C683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0AA7E6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663752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5500</w:t>
            </w:r>
          </w:p>
        </w:tc>
      </w:tr>
      <w:tr w:rsidR="00A907A5" w:rsidRPr="00271E51" w14:paraId="154EA827" w14:textId="77777777" w:rsidTr="00ED5B0A">
        <w:tc>
          <w:tcPr>
            <w:tcW w:w="378" w:type="dxa"/>
          </w:tcPr>
          <w:p w14:paraId="35DD79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3420" w:type="dxa"/>
          </w:tcPr>
          <w:p w14:paraId="0C9A68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Изгтовление серийных чертежей на самолет Ту-2 для завода п/я 222</w:t>
            </w:r>
          </w:p>
        </w:tc>
        <w:tc>
          <w:tcPr>
            <w:tcW w:w="540" w:type="dxa"/>
          </w:tcPr>
          <w:p w14:paraId="1A98E8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770F85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9937E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1A74FE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w:t>
            </w:r>
          </w:p>
        </w:tc>
      </w:tr>
      <w:tr w:rsidR="00A907A5" w:rsidRPr="00271E51" w14:paraId="03AEFEBB" w14:textId="77777777" w:rsidTr="00ED5B0A">
        <w:tc>
          <w:tcPr>
            <w:tcW w:w="378" w:type="dxa"/>
          </w:tcPr>
          <w:p w14:paraId="059591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3420" w:type="dxa"/>
          </w:tcPr>
          <w:p w14:paraId="55F7B6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Переоборудование и ремонт самолетов Ту-2 для войсковых частей</w:t>
            </w:r>
          </w:p>
        </w:tc>
        <w:tc>
          <w:tcPr>
            <w:tcW w:w="540" w:type="dxa"/>
          </w:tcPr>
          <w:p w14:paraId="1B20E1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577F9F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561FFE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46CF9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r>
      <w:tr w:rsidR="00A907A5" w:rsidRPr="00271E51" w14:paraId="5F0B43AD" w14:textId="77777777" w:rsidTr="00ED5B0A">
        <w:tc>
          <w:tcPr>
            <w:tcW w:w="378" w:type="dxa"/>
          </w:tcPr>
          <w:p w14:paraId="6B6EF1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3420" w:type="dxa"/>
          </w:tcPr>
          <w:p w14:paraId="1A29E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Прочие работы по заказам со стороны</w:t>
            </w:r>
          </w:p>
        </w:tc>
        <w:tc>
          <w:tcPr>
            <w:tcW w:w="540" w:type="dxa"/>
          </w:tcPr>
          <w:p w14:paraId="54E66E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718EA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01DD7B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Pr>
          <w:p w14:paraId="28DA70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w:t>
            </w:r>
          </w:p>
        </w:tc>
      </w:tr>
      <w:tr w:rsidR="00A907A5" w:rsidRPr="00271E51" w14:paraId="76F72390" w14:textId="77777777" w:rsidTr="00ED5B0A">
        <w:tc>
          <w:tcPr>
            <w:tcW w:w="378" w:type="dxa"/>
            <w:tcBorders>
              <w:bottom w:val="single" w:sz="12" w:space="0" w:color="auto"/>
            </w:tcBorders>
          </w:tcPr>
          <w:p w14:paraId="4E3037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2ACC8E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540" w:type="dxa"/>
            <w:tcBorders>
              <w:bottom w:val="single" w:sz="12" w:space="0" w:color="auto"/>
            </w:tcBorders>
          </w:tcPr>
          <w:p w14:paraId="047516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1AEB15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47AFC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3CBE98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8000</w:t>
            </w:r>
          </w:p>
        </w:tc>
      </w:tr>
    </w:tbl>
    <w:p w14:paraId="021C4A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(10742,6).</w:t>
      </w:r>
    </w:p>
    <w:p w14:paraId="125EBA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2817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Нач. ЦАГИ Шишкин писал Зам. НКАП П.А.Воронину письмо N 1113с о причинах снижения скорости на серийных Ла-5ФН производства завода 21 на примере исследования Ла-5ФН N 39210781. Предложили мероприятия - 16 переделок (1782,79).</w:t>
      </w:r>
    </w:p>
    <w:p w14:paraId="380D39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5EB39"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12DDF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294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На Адмиралтейском заводе заложен на стапеле 12-й МБК (10671).</w:t>
      </w:r>
    </w:p>
    <w:p w14:paraId="348CFF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21B6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D5212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4B73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29 ноября </w:t>
      </w:r>
      <w:r w:rsidRPr="00271E51">
        <w:rPr>
          <w:rFonts w:ascii="Times New Roman" w:hAnsi="Times New Roman"/>
          <w:color w:val="000000" w:themeColor="text1"/>
          <w:sz w:val="16"/>
          <w:szCs w:val="16"/>
        </w:rPr>
        <w:t>в 1943 году оперативная сводка Совинформбюро:</w:t>
      </w:r>
    </w:p>
    <w:p w14:paraId="1A15B6CA"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ноября между реками Сож и Днепр, северо-западнее Гомеля, нашивойска, преодолевая сопротивление противника, с боями заняли более 40 населённых пунктов; среди них крупные населённые пункты Чамышель, Норковщина, Дубовица, Ветвица, Причалесня, Дербичи, Гавли, Наспа, Ясная Поляна, Еленец, Кленовица, Смычок.</w:t>
      </w:r>
    </w:p>
    <w:p w14:paraId="4E1215E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реками Днепр и Березина, южнее Жлобина, наши войска с боями продвигались вперёд и заняли населённые пункты Шихово, Стрешин, Липы, Марс,Первомайский, Косаковка, Ляды, Забродье.</w:t>
      </w:r>
    </w:p>
    <w:p w14:paraId="26DE6947"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преодолевая сопротивление противника, овладели несколькими сильно укреплёнными опорными пунктами его обороны.</w:t>
      </w:r>
    </w:p>
    <w:p w14:paraId="3D798B08"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Коростень, Черняхов и Брусилов наши войска отбивали атаки пехоты и танков противника.</w:t>
      </w:r>
    </w:p>
    <w:p w14:paraId="7AD77B4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продолжая вести бои по расширению плацдарма на правом берегу Днепра, овладели сильноукреплёнными опорными пунктами противника Русская Поляна, Дубиевка, Броды, Кирилловка, Терновка.</w:t>
      </w:r>
    </w:p>
    <w:p w14:paraId="37A08C83"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преодолевая сопротивление и контратаки противника, продолжали вести наступательные бои и овладели несколькими укреплёнными опорными пунктами.</w:t>
      </w:r>
    </w:p>
    <w:p w14:paraId="253B490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в результате упорных боёв овладели сильно укреплёнными опорными пунктами противника Михайловка, Бутовичева, Водяный, Красный Яр, Григорьевка, Ликнеп, Тракторный, Николай-Поле, Hoво-Вознесенский, Петрополь, Многотрудный, Ново-Августиновка, Ново-Александровка.</w:t>
      </w:r>
    </w:p>
    <w:p w14:paraId="6E6E0176"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D3AFD3D"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ноября наши войска на всех фронтах подбили и уничтожили 104 немецких танка. В воздушных боях и огнём зенитной артиллерии сбито 47 самолётов противника.</w:t>
      </w:r>
    </w:p>
    <w:p w14:paraId="2B11B9E5"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преодолевая сопротивление противника, продвинулись вперёд и заняли более 40 населённых пунктов. Немцы, опираясь на заранее укреплённые пункты, пытаются задержать наступление советских войск. Бойцы Н-ского соединения сегодня окружили и уничтожили гарнизоны нескольких опорных пунктов противника. Истреблено свыше 800 вражеских солдат и офицеров. Захвачено несколько артиллерийских и миномётных батарей, большое число автоматов, винтовок и два склада боеприпасов. Взяты пленные. В одном населённом пункте сдалась в плен рота гитлеровцев во главе с командиром роты.</w:t>
      </w:r>
    </w:p>
    <w:p w14:paraId="62154A86"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заняли несколько опорных пунктов противника. Части Н-ского соединения уничтожили до батальона гитлеровцев, 4 артиллерийских батареи и бронемашину противника. Захвачено свыше 100 подвод с хлебом, награбленным немцами у местных жителей, 200 лошадей, многострелкового оружия и боеприпасов.</w:t>
      </w:r>
    </w:p>
    <w:p w14:paraId="65D8E9B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Черняхова и Брусилова противник продолжал атаки силами мотопехоты и танков. Наши войска, отбивая атаки гитлеровцев, нанесли им большие потери. Сожжено и подбито 26 немецких танков, 9 самоходных орудий и 2 бронетранспортёра. На поле боя осталось до 900 вражеских трупов.</w:t>
      </w:r>
    </w:p>
    <w:p w14:paraId="4D8A2489"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наносили удары по боевым порядкам противника и уничтожили до 30 немецких танков, 200 автомашин и 10 бронетранспортёров.</w:t>
      </w:r>
    </w:p>
    <w:p w14:paraId="47A87190"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 правом берегу Днепра, наши войска выбили немцев из сильно укреплённых опорных пунктов Русская Поляна и Дубиевка. Развивая успех, наши бойцы заняли также населённые пункты Броды, Кирилловку и Терновку. В бояхза эти пункты уничтожено до 1.500 гитлеровцев, сожжено 17 немецких танков, 3 бронемашины и 3 самоходных орудия. Захвачена у противника батарея 150 мм гаубици много других орудий.</w:t>
      </w:r>
    </w:p>
    <w:p w14:paraId="24197A54"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Юго-западнее Кременчуга части Н-ского соединения в результате умелого манёвра захватили сильно укреплённый опорный пункт противника. В бою за этот пункт уничтожено до 300 немецких солдат и офицеров. Немцы контратакой пытались восстановить положение, но были отброшены и вновь понесли значительные потери.</w:t>
      </w:r>
    </w:p>
    <w:p w14:paraId="0076BA44"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в результате ожесточённых боёв овладели рядом населённых пунктов. В упорных боях уничтожено 11 немецких танков, 20 орудий, 19 миномётов, до 40 автомашин и 2 автоцистерны. Противник понёс большие потери в живой силе.</w:t>
      </w:r>
    </w:p>
    <w:p w14:paraId="65D47CB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бомбила скопления немецких войск и воинские эшелоны противника на железнодорожном узле Апостолово. В результате бомбардировки возникло много пожаров, сопровождавшихся сильными взрывами. В воздушных боях за день наши лётчики сбили 34 немецких самолёта.</w:t>
      </w:r>
    </w:p>
    <w:p w14:paraId="23C0A92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 немецкий транспорт водоизмещением в 10 тысяч тонн. Кроме того, потоплены минный заградитель водоизмещением в 3 тысячи тонн, тральщик водоизмещением в 800 тонн и сторожевой катер противника.</w:t>
      </w:r>
    </w:p>
    <w:p w14:paraId="312554F2"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Минской области, 5 ноября разгромил немецкую карательную экспедицию. Партизаны истребили более 100 и взялив плен 20 вражеских солдат и офицеров. 18 ноября противник снова пытался окружить партизан. Советские патриоты подпустили немцев на близкое расстояние, а потом открыли ружейно-пулемётный огонь. Уничтожено несколько десятков гитлеровцев. Захвачено у немцев 6 пулемётов и 10 повозок с патронами.</w:t>
      </w:r>
    </w:p>
    <w:p w14:paraId="0038885B"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советских городов и сёл, оккупированных немецкими захватчиками, поступают сведения о том, что в связи с продвижением Красной Армии на запад немецкие власти пытаются замести следы кровавых преступлений, совершённых ими на советской земле. Так, например, в районе Себежа немцы заставили местных жителей выкопать трупы расстрелянных мирных граждан.</w:t>
      </w:r>
    </w:p>
    <w:p w14:paraId="13D3C6A1" w14:textId="77777777" w:rsidR="005B44EF" w:rsidRPr="00271E51" w:rsidRDefault="005B44E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того, как трупы были вырыты и сожжены, немцы расстреляли всех советскихл юдей, которые принимали участие в разрытии могил. Получено также сообщение о том, что в окрестностях Бобруйска немцы откапывают массовые могилы советских граждан, замученных и расстрелянных фашистскими извергами за время оккупации. Специальные команды вскрывают ямы и рвы, вытаскивают трупы, обливают бензином, азатем сжигают их. Гитлеровские людоеды, видимо, надеются таким путём уничтожить все улики, свидетельствующие об их чудовищных преступлениях. Однако советскому народу хорошо известно всё, что натворили немецко-фашистские мерзавцы и в Бобруйске, и в Себеже, и в других временно оккупированных ими советских районах. Гитлеровцам не удастся уйти от ответственности за все их преступления.» (14844).</w:t>
      </w:r>
    </w:p>
    <w:p w14:paraId="3E77D17A" w14:textId="77777777" w:rsidR="005B44EF" w:rsidRPr="00271E51" w:rsidRDefault="005B44EF" w:rsidP="00271E51">
      <w:pPr>
        <w:spacing w:after="0" w:line="240" w:lineRule="auto"/>
        <w:jc w:val="both"/>
        <w:rPr>
          <w:rFonts w:ascii="Times New Roman" w:hAnsi="Times New Roman"/>
          <w:color w:val="000000" w:themeColor="text1"/>
          <w:sz w:val="16"/>
          <w:szCs w:val="16"/>
        </w:rPr>
      </w:pPr>
    </w:p>
    <w:p w14:paraId="15AC06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вышла директива Командующего ВВС "При условии, когда ВА располагает достаточным количеством истребителей, необходимо задачу завоевания господства в воздухе и прикрытие методом сопровождения ш и б резко разграничить между частями и соединениями истребительной авиации." (518,87).</w:t>
      </w:r>
    </w:p>
    <w:p w14:paraId="036F01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55FE6"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18CDD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0A69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года</w:t>
      </w:r>
    </w:p>
    <w:p w14:paraId="6E78DC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РУЗВЕЛЬТ И. В. СТАЛИНУ *</w:t>
      </w:r>
    </w:p>
    <w:p w14:paraId="2DAFAC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ПРЕДЛОЖЕНИЯМ, ПРЕДСТАВЛЕННЫМ ДЕЛЕГАЦИЕЙ СОЕДИНЕННЫХ ШТАТОВ НА МОСКОВСКОЙ КОНФЕРЕНЦИИ</w:t>
      </w:r>
    </w:p>
    <w:p w14:paraId="477D2B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недавней Московской конференции делегация Соединенных Штатов предложила, чтобы были предоставлены воздушные базы в СССР, на которых самолеты Соединенных Штатов могли бы заправляться горючим, а также производить срочный ремонт и пополнять боеприпасы в связи со сквозной бомбардировкой с баз Соединенного Королевства. Было также предложено, чтобы более эффективно производился взаимный обмен информацией о погоде и чтобы между нашими обеими странами были улучшены средства связи и воздушное сообщение.</w:t>
      </w:r>
    </w:p>
    <w:p w14:paraId="27ED01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Насколько мне известно, СССР согласился в принципе с этими предложениями, и соответствующие советские власти получат указание встретиться с моей военной миссией для рассмотрения конкретных мероприятий, которые будут необходимы для осуществления этих предложений.</w:t>
      </w:r>
    </w:p>
    <w:p w14:paraId="4A6B34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надеюсь, что будет возможным быстро выработать эти мероприятия (7430).</w:t>
      </w:r>
    </w:p>
    <w:p w14:paraId="0DBA6B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83A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года</w:t>
      </w:r>
    </w:p>
    <w:p w14:paraId="27D202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РУЗВЕЛЬТ И. В. СТАЛИНУ*</w:t>
      </w:r>
    </w:p>
    <w:p w14:paraId="3EAF2B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ПРЕДВАРИТЕЛЬНОЕ ПЛАНИРОВАНИЕ ВОЕННО-МОРСКИХ ОПЕРАЦИЙ В СЕВЕРО-ЗАПАДНОЙ ЧАСТИ ТИХОГО ОКЕАНА</w:t>
      </w:r>
    </w:p>
    <w:p w14:paraId="612E2E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желал бы в настоящее время договориться с Вами об обмене информацией, а также о таком предварительном планировании, которое может быть подходящим при существующих условиях для возможных операций против Японии, когда Германия будет выведена из войны. Чем больше мы сможем предварительно спланировать, без того чтобы подвергнуть чрезмерному риску существующую обстановку, тем скорее война в целом может быть доведена до окончания.</w:t>
      </w:r>
    </w:p>
    <w:p w14:paraId="43AE74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частности, я имею в виду следующие пункты:</w:t>
      </w:r>
    </w:p>
    <w:p w14:paraId="16C596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a) мы были бы рады получить военно-разведывательные данные относительно Японии;</w:t>
      </w:r>
    </w:p>
    <w:p w14:paraId="3526D0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 принимая во внимание тот факт, что порты, где базируются Ваши дальневосточные соединения подводных лодок и эсминцев, могут подвергнуться серьезной угрозе наземного и воздушного нападения, не считаете ли Вы желательным, чтобы Соединенные Штаты достаточным образом расширили базовые устройства, чтобы ими могли пользоваться эти вооруженные силы на базах Соединенных Штатов?</w:t>
      </w:r>
    </w:p>
    <w:p w14:paraId="2D0BEB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 какую прямую или косвенную помощь смогли бы Вы оказать, если бы Соединенные Штаты начали наступление на северную группу Курильских островов?</w:t>
      </w:r>
    </w:p>
    <w:p w14:paraId="3D498E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 можете ли Вы сообщить, могут ли наши вооруженные силы пользоваться портами, и если да, то какими, а также могли ли бы Вы сообщить сведения об этих портах в отношении их использования военно-морскими силами, так же как и грузопропускную способность портов?</w:t>
      </w:r>
    </w:p>
    <w:p w14:paraId="49E473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 вопросы могут быть обсуждены, если Вы сочтете подходящим, с нашей Военной Миссией в Москве, подобно тому как это предложено в отношении планов, касающихся воздушных операций (7430).</w:t>
      </w:r>
    </w:p>
    <w:p w14:paraId="5C22FA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5F3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года</w:t>
      </w:r>
    </w:p>
    <w:p w14:paraId="2A91A0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РУЗВЕЛЬТ И. В. СТАЛИНУ*</w:t>
      </w:r>
    </w:p>
    <w:p w14:paraId="2FBF27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ПРЕДВАРИТЕЛЬНОЕ ПЛАНИРОВАНИЕ ВОЕННО-ВОЗДУШНЫХ ОПЕРАЦИЙ В СЕВЕРО-ЗАПАДНОЙ ЧАСТИ ТИХОГО ОКЕАНА</w:t>
      </w:r>
    </w:p>
    <w:p w14:paraId="53585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считаем, что в целях сокращения сроков войны бомбардировка Японии с баз Вашего Приморского края немедленно после начала военных действий между СССР и Японией будет иметь весьма большое значение, поскольку это предоставит нам возможность разрушить японские военные и промышленные центры.</w:t>
      </w:r>
    </w:p>
    <w:p w14:paraId="7E8F97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это приемлемо, примете ли Вы меры к тому, чтобы моя Военная Миссия в Москве получила необходимую информацию, касающуюся аэродромов, жилищ, снабжения, средств связи и метеорологических условий в Приморском крае, а также о маршрутах туда с Аляски. Нашей целью является базирование максимального количества сил бомбардировочной авиации, от 100 до 1000 четырехмоторных бомбардировщиков с их обслуживающим и оперативным персоналом, в этом районе; количество будет зависеть от имеющихся возможностей.</w:t>
      </w:r>
    </w:p>
    <w:p w14:paraId="65C704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Крайне важно, чтобы планирование с этой целью было бы начато немедленно. Я понимаю, что ознакомление наших людей с условиями на месте должно быть ограничено в настоящий момент весьма небольшим количеством лиц и проведено с наибольшей секретностью. Мы, конечно, пойдем на все условия, которые Вы можете поставить в этом отношении.</w:t>
      </w:r>
    </w:p>
    <w:p w14:paraId="1F0A4D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случае если будет достигнуто соглашение по вышеизложенным мероприятиям, я уверен, что наступление срока использования наших бомбардировщиков против Японии будет существенно ускорено (7430).</w:t>
      </w:r>
    </w:p>
    <w:p w14:paraId="69505C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4D301"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29 ноября </w:t>
      </w:r>
      <w:r w:rsidRPr="00271E51">
        <w:rPr>
          <w:rFonts w:ascii="Times New Roman" w:hAnsi="Times New Roman"/>
          <w:color w:val="000000" w:themeColor="text1"/>
          <w:sz w:val="16"/>
          <w:szCs w:val="16"/>
        </w:rPr>
        <w:t>в 1943 году на Тегеранской конференции премьер-министр Великобритании У.Черчилль торжественно вручил И.В.Сталину почетный меч — дар короля Георга VI гражданам Сталинграда (ныне хранится в Волгоградском государственном музее-панораме "Сталинградская битва") (14844).</w:t>
      </w:r>
    </w:p>
    <w:p w14:paraId="131F9F7D" w14:textId="77777777" w:rsidR="00AE0812" w:rsidRPr="00271E51" w:rsidRDefault="00AE0812" w:rsidP="00271E51">
      <w:pPr>
        <w:spacing w:after="0" w:line="240" w:lineRule="auto"/>
        <w:jc w:val="both"/>
        <w:rPr>
          <w:rFonts w:ascii="Times New Roman" w:hAnsi="Times New Roman"/>
          <w:color w:val="000000" w:themeColor="text1"/>
          <w:sz w:val="16"/>
          <w:szCs w:val="16"/>
        </w:rPr>
      </w:pPr>
    </w:p>
    <w:p w14:paraId="3F3634E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D979D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93DA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ноября 1943 началась модификация В-29 под атомные бомбы Толстяк и Малыш (1052).</w:t>
      </w:r>
    </w:p>
    <w:p w14:paraId="2F3B15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704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November 29 1943 first B-29 is modified (1052).</w:t>
      </w:r>
    </w:p>
    <w:p w14:paraId="0A6F4C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D35D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 * to carry 2' x 17' Thin Man uranium gun bomb. In December Emilio Segre reduces gun bomb to 2' x 6' and it is now called Little Boy (1052).</w:t>
      </w:r>
    </w:p>
    <w:p w14:paraId="49BA56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A694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 xml:space="preserve"> * and the 5' x 9' Fat Man plutonium implosion bomb (1052).</w:t>
      </w:r>
    </w:p>
    <w:p w14:paraId="6D8C6B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06223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95A66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2B63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судя по фото в бригаде 7 Фомина в ОКБ П.О.С. была подготовлена схема Су-6 двухместного с М-42</w:t>
      </w:r>
    </w:p>
    <w:p w14:paraId="37999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4927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81310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779B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1943г. было подготовлено СООБЩЕНИЕ НАЧАЛЬНИКА УСА ГБТУ КА НАЧАЛЬНИКУ ГЛАВНОГО УПРАВЛЕНИЯ ФОРМИРОВАНИЯ И БОЕВОЙ ПОДГОТОВКИ БТ и МВ КА О ПОСТАВКАХ ИНОСТРАННЫХ САМОХОДНЫХ АРТИЛЛЕРИЙСКИХ УСТАНОВОК № 149339</w:t>
      </w:r>
    </w:p>
    <w:p w14:paraId="2D9C1F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 декабря 1943 г. для укомплектования частей самоходной артиллерии Красной Армии начнут поступать иностранные самоходные артиллерийские установки:</w:t>
      </w:r>
    </w:p>
    <w:p w14:paraId="597441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Противотанковые 57-мм пушки на шасси броневездехода М-2 — 500 шт.</w:t>
      </w:r>
    </w:p>
    <w:p w14:paraId="5C031D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37-мм пушки на шасси броневездехода М-2 — 500 шт.</w:t>
      </w:r>
    </w:p>
    <w:p w14:paraId="7E9482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Счетверенные зенитные пулеметные установки на шасси броневездехода М-2 — 1000 шт.</w:t>
      </w:r>
    </w:p>
    <w:p w14:paraId="226AE0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Танк истребитель с 3" пушкой М-10 — 50 шт.</w:t>
      </w:r>
    </w:p>
    <w:p w14:paraId="7923C8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СУ Т-70 с 3" пушкой (опытный) — 5 шт.</w:t>
      </w:r>
    </w:p>
    <w:p w14:paraId="6CD61A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Ориентировочно 5 декабря 1943 г. в учебный центр самоходной артиллерии ожидается посту</w:t>
      </w:r>
      <w:r w:rsidRPr="00271E51">
        <w:rPr>
          <w:rFonts w:ascii="Times New Roman" w:hAnsi="Times New Roman"/>
          <w:color w:val="000000" w:themeColor="text1"/>
          <w:sz w:val="16"/>
          <w:szCs w:val="16"/>
        </w:rPr>
        <w:softHyphen/>
        <w:t>пление 57-мм противотанковых пушек на шасси броневездехода М-2 в количестве 84 шт.</w:t>
      </w:r>
    </w:p>
    <w:p w14:paraId="6CCAD8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дать распоряжение учебному арт. центру Красной Армии организовать и произвести прием поступающих иностранных самоходных артустановок, а также о подготовке для них экипажей.</w:t>
      </w:r>
    </w:p>
    <w:p w14:paraId="3CE975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УСА ГБТУ Красной Армии генерал-майор инженерно-танковой службы Алымов</w:t>
      </w:r>
    </w:p>
    <w:p w14:paraId="634B65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76а. Л. 3. Копия (11403).</w:t>
      </w:r>
    </w:p>
    <w:p w14:paraId="5E8051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31CA6"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1941 было доложено об окончании сборки планетарной транс</w:t>
      </w:r>
      <w:r w:rsidRPr="00271E51">
        <w:rPr>
          <w:rFonts w:ascii="Times New Roman" w:hAnsi="Times New Roman"/>
          <w:color w:val="000000" w:themeColor="text1"/>
          <w:sz w:val="16"/>
          <w:szCs w:val="16"/>
        </w:rPr>
        <w:softHyphen/>
        <w:t>миссии... конструкции ОКБ завода №100. Разработка ее затянулась, а весной 1944 года трансмиссию установили на первый образец тяжело</w:t>
      </w:r>
      <w:r w:rsidRPr="00271E51">
        <w:rPr>
          <w:rFonts w:ascii="Times New Roman" w:hAnsi="Times New Roman"/>
          <w:color w:val="000000" w:themeColor="text1"/>
          <w:sz w:val="16"/>
          <w:szCs w:val="16"/>
        </w:rPr>
        <w:softHyphen/>
        <w:t>го танка Объект 701. Противостояние не закончилось: на втором образ</w:t>
      </w:r>
      <w:r w:rsidRPr="00271E51">
        <w:rPr>
          <w:rFonts w:ascii="Times New Roman" w:hAnsi="Times New Roman"/>
          <w:color w:val="000000" w:themeColor="text1"/>
          <w:sz w:val="16"/>
          <w:szCs w:val="16"/>
        </w:rPr>
        <w:softHyphen/>
        <w:t>це нового танка стояла трансмиссия разработки группы Зайчика.</w:t>
      </w:r>
    </w:p>
    <w:p w14:paraId="6CFF17AB"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переписке, второй этап испытаний планетарной трансмис</w:t>
      </w:r>
      <w:r w:rsidRPr="00271E51">
        <w:rPr>
          <w:rFonts w:ascii="Times New Roman" w:hAnsi="Times New Roman"/>
          <w:color w:val="000000" w:themeColor="text1"/>
          <w:sz w:val="16"/>
          <w:szCs w:val="16"/>
        </w:rPr>
        <w:softHyphen/>
        <w:t>сии все же состоялся. КВ-7 прошел еще 1089 километров, после чего трансмиссию с него демонтировали. Это стало для машины концом ее карьеры. Согласно решению руководства завода №100, в конце дека</w:t>
      </w:r>
      <w:r w:rsidRPr="00271E51">
        <w:rPr>
          <w:rFonts w:ascii="Times New Roman" w:hAnsi="Times New Roman"/>
          <w:color w:val="000000" w:themeColor="text1"/>
          <w:sz w:val="16"/>
          <w:szCs w:val="16"/>
        </w:rPr>
        <w:softHyphen/>
        <w:t xml:space="preserve">бря 1943 года КВ-7, КВ-9 и </w:t>
      </w:r>
      <w:r w:rsidRPr="00271E51">
        <w:rPr>
          <w:rFonts w:ascii="Times New Roman" w:hAnsi="Times New Roman"/>
          <w:color w:val="000000" w:themeColor="text1"/>
          <w:sz w:val="16"/>
          <w:szCs w:val="16"/>
          <w:lang w:val="en-US"/>
        </w:rPr>
        <w:t>KB</w:t>
      </w:r>
      <w:r w:rsidRPr="00271E51">
        <w:rPr>
          <w:rFonts w:ascii="Times New Roman" w:hAnsi="Times New Roman"/>
          <w:color w:val="000000" w:themeColor="text1"/>
          <w:sz w:val="16"/>
          <w:szCs w:val="16"/>
        </w:rPr>
        <w:t>-12 были разукомплектованы и отправ</w:t>
      </w:r>
      <w:r w:rsidRPr="00271E51">
        <w:rPr>
          <w:rFonts w:ascii="Times New Roman" w:hAnsi="Times New Roman"/>
          <w:color w:val="000000" w:themeColor="text1"/>
          <w:sz w:val="16"/>
          <w:szCs w:val="16"/>
        </w:rPr>
        <w:softHyphen/>
        <w:t>лены в металлолом (17484).</w:t>
      </w:r>
    </w:p>
    <w:p w14:paraId="113BF5A2"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444AFAB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Постановление ГКО № 4701 О мерах по обеспечению древесиной Сегежского целлюлозно-бумажного комбината Наркомбумпрома и лесопильных заводов Карело-Финской ССР. (7162, 60-64,65).</w:t>
      </w:r>
    </w:p>
    <w:p w14:paraId="0B81983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B996B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Постановление ГКО № 4702 О мерах неотложной помощи в обеспечении строительства заводов Наркомэлектропрома санитарно-техническими материалами и оборудованием. (7162, 66-67,68-72).</w:t>
      </w:r>
    </w:p>
    <w:p w14:paraId="3BD7429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238F5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Постановление ГКО № 4703 О производстве непроволочных сопротивлений и постоянных конденсаторов для радиолокационной и радиоприборной промышленности. (7162, 73-75,76-81).</w:t>
      </w:r>
    </w:p>
    <w:p w14:paraId="0B3E3A8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57D2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г. было принято решение ГКО о создании первого специализированного завода по производству конденсаторов и резисторов (Завод № 175, п/я 5, Павлово-Посадский конденсаторный завод, В-8037, Завод «Экситон», ФГУП, ОАО «Завод «Экситон» /г. Павловский Посад а/я 10/ /142500  г. Павловский Посад Московской обл. ул. Интернациональная, 34А тел. 24-002/). Производство резисторов и конденсаторов (бумажных, слюдяных, пленочных, стеклоэмалевых, стеклокерамических).</w:t>
      </w:r>
    </w:p>
    <w:p w14:paraId="5D284F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при заводе создано ОКБ. Имелся филиал в  г. Глазуновка.</w:t>
      </w:r>
    </w:p>
    <w:p w14:paraId="6E8E85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1950-е  г. проведен большой комплекс работ по механизации и автоматизации производства. С 1960 г. завод перепрофилируется на выпуск микромодулей этажерочной конструкции, начато освоение полупроводниковой технологии, выпуск микросхем. С 1974 г. освоен выпуск технологического, измерительного и испытательного оборудования. В 1990-е  г. создан первый отечественный радиотаксофон 201</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1-</w:t>
      </w:r>
      <w:r w:rsidRPr="00271E51">
        <w:rPr>
          <w:rFonts w:ascii="Times New Roman" w:hAnsi="Times New Roman"/>
          <w:color w:val="000000" w:themeColor="text1"/>
          <w:sz w:val="16"/>
          <w:szCs w:val="16"/>
          <w:lang w:val="en-US"/>
        </w:rPr>
        <w:t>RD</w:t>
      </w:r>
      <w:r w:rsidRPr="00271E51">
        <w:rPr>
          <w:rFonts w:ascii="Times New Roman" w:hAnsi="Times New Roman"/>
          <w:color w:val="000000" w:themeColor="text1"/>
          <w:sz w:val="16"/>
          <w:szCs w:val="16"/>
        </w:rPr>
        <w:t>.</w:t>
      </w:r>
    </w:p>
    <w:p w14:paraId="6CB288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(2005 г.): ИС (гибридные, толстопленочные, тонкопленочные) и микросборки; специальное измерительное оборудование.</w:t>
      </w:r>
    </w:p>
    <w:p w14:paraId="183A54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(11.1952-03.1960 г.)- Б.С. Куржелевский, (07.1962-11.1968 г.)- А.В. Гробов, (11.1968-12.1981 г.)- В.И. Еремеевский, (12.1981-05.1987 г.)-  Г.П. Морозов, (05.1987-06.1999 г.)- М.П. Ковалев.</w:t>
      </w:r>
    </w:p>
    <w:p w14:paraId="10C457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(1.01.2003 г.-)- В.А. Сидоров.</w:t>
      </w:r>
    </w:p>
    <w:p w14:paraId="5767F9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(1950-е)-  Г.Т. Баюшева, (1960-е)- М.И. Кочадыков, (1970-е)- М.И. Сорокин, Р.А. Роздова, (1980- е)- И.М. Скоморохов, (1990-е)-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Степанов, (02.2001 г.-)- В.А. Сидоров.</w:t>
      </w:r>
    </w:p>
    <w:p w14:paraId="4AD8DB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А.Н. Ровнин.</w:t>
      </w:r>
    </w:p>
    <w:p w14:paraId="7C5B8F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микромодуль СИПЭ-В7 (1960-е); микросхемы серии 120, 132, 134, 142,217,218,228, 235, 286; телефонный аппарат «Электроника-Элетап-Микро» (1970-е), кнопочный номеронабиратель «Электроника НК- 02» (1970-е); компьютер «Электроника БК-0010» (1984-), «Электроника БК-0011»; «Электроника МС5311»; комплексы учебные ВТ «Электроника МС-0201, МС-0202, МС-0501, МС-0511»; класс учебной ВТ КУВТ-86, комплексный класс технических средств ККТС-2, компьютерно-игровой комплекс КИК (1980-е); радиотаксофон 201</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1-</w:t>
      </w:r>
      <w:r w:rsidRPr="00271E51">
        <w:rPr>
          <w:rFonts w:ascii="Times New Roman" w:hAnsi="Times New Roman"/>
          <w:color w:val="000000" w:themeColor="text1"/>
          <w:sz w:val="16"/>
          <w:szCs w:val="16"/>
          <w:lang w:val="en-US"/>
        </w:rPr>
        <w:t>RD</w:t>
      </w:r>
      <w:r w:rsidRPr="00271E51">
        <w:rPr>
          <w:rFonts w:ascii="Times New Roman" w:hAnsi="Times New Roman"/>
          <w:color w:val="000000" w:themeColor="text1"/>
          <w:sz w:val="16"/>
          <w:szCs w:val="16"/>
        </w:rPr>
        <w:t xml:space="preserve"> (1990-е); часы электронные «Электроника 2-11, 2-14»; усилитель «Вимия»; телефонные карты ТК-3, ТК-4 (1990-е).</w:t>
      </w:r>
      <w:r w:rsidRPr="00271E51">
        <w:rPr>
          <w:rFonts w:ascii="Times New Roman" w:hAnsi="Times New Roman"/>
          <w:color w:val="000000" w:themeColor="text1"/>
          <w:sz w:val="16"/>
          <w:szCs w:val="16"/>
          <w:vertAlign w:val="superscript"/>
        </w:rPr>
        <w:t>101</w:t>
      </w:r>
    </w:p>
    <w:p w14:paraId="5FAE4C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«Экситон», Г-4085</w:t>
      </w:r>
    </w:p>
    <w:p w14:paraId="3CCCA5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в 1947 г. Входило в НПК «Научный центр». Имело наименование «п/я Г-4085».</w:t>
      </w:r>
    </w:p>
    <w:p w14:paraId="1204A1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Специализировалось на разработке цифровых интегральных схем для телевидения и телефонии.</w:t>
      </w:r>
    </w:p>
    <w:p w14:paraId="56AFA4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П.В. Вдовиченко.</w:t>
      </w:r>
    </w:p>
    <w:p w14:paraId="2B3E58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(2005 г.)- Н.И. Курицын (микросхема 1526), (2005 г.)- Ю.Д. Бедов (микросхема 564В), (2005 г.)- М.В. Гусак (ГИС, микросборки).</w:t>
      </w:r>
      <w:r w:rsidRPr="00271E51">
        <w:rPr>
          <w:rFonts w:ascii="Times New Roman" w:hAnsi="Times New Roman"/>
          <w:color w:val="000000" w:themeColor="text1"/>
          <w:sz w:val="16"/>
          <w:szCs w:val="16"/>
          <w:vertAlign w:val="superscript"/>
        </w:rPr>
        <w:t>101</w:t>
      </w:r>
    </w:p>
    <w:p w14:paraId="11C82B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Павлово-Посадского конденсаторного завода, М-5486 /г. Глазуновка Орловской обл./</w:t>
      </w:r>
    </w:p>
    <w:p w14:paraId="47463A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наименование «п/я М-5486» (11982).</w:t>
      </w:r>
    </w:p>
    <w:p w14:paraId="6C32F2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9088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Постановление ГКО № 4704 О тов. Хмельнове К.И.РГАНИР, Фонд ГКО, д. 181, лл. 82 (11012).</w:t>
      </w:r>
    </w:p>
    <w:p w14:paraId="38C52E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A6B2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Распоряжение ГКО № 4705. О поставках НКВМФ запасных частей к двигателям.РГАНИР, Фонд ГКО, д. 181, лл. 83 (11012).</w:t>
      </w:r>
    </w:p>
    <w:p w14:paraId="391A1E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5A5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Распоряжение ГКО № 4706. О мерах по восстановлению завода № 264 НКТП (Сталинград).РГАНИР, Фонд ГКО, д. 181, лл. 84 (11012).</w:t>
      </w:r>
    </w:p>
    <w:p w14:paraId="059BCC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1223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Распоряжение ГКО № 4707 [О закреплении ( с исключением из списков войсковых частей) за наркоматами и ведомствами 31,2 тыс. военнослужащих, направленных для работы на предприятия и строительства.] (7162, 85,86-87).</w:t>
      </w:r>
    </w:p>
    <w:p w14:paraId="71BA50A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B3F0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Распоряжение ГКО № 4708. Об обеспечении производства необходимого количества и качества смотровых призм для танков.РГАНИР, Фонд ГКО, д. 181, лл. 88 (11012).</w:t>
      </w:r>
    </w:p>
    <w:p w14:paraId="7914B7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C79AC0"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30 ноября 1943 г. вышло Постановление № 4703 «О производстве непроволочных сопротивлений и постоянных конденсаторов для радиолокационной и радиоприборной промышленности». По этому постановлению на картонажной фабрике в Павловском Посаде появился первый в стране завод по производству </w:t>
      </w:r>
      <w:r w:rsidRPr="00271E51">
        <w:rPr>
          <w:rFonts w:ascii="Times New Roman" w:hAnsi="Times New Roman"/>
          <w:color w:val="000000" w:themeColor="text1"/>
          <w:sz w:val="16"/>
          <w:szCs w:val="16"/>
        </w:rPr>
        <w:lastRenderedPageBreak/>
        <w:t xml:space="preserve">радиодеталей. А.И. Шокин вспоминал, что у этого подхода были противники: </w:t>
      </w:r>
      <w:r w:rsidRPr="00271E51">
        <w:rPr>
          <w:rFonts w:ascii="Times New Roman" w:hAnsi="Times New Roman"/>
          <w:iCs/>
          <w:color w:val="000000" w:themeColor="text1"/>
          <w:sz w:val="16"/>
          <w:szCs w:val="16"/>
        </w:rPr>
        <w:t>«Н.Л. Попов и Е.Е. Глезерман объявили производство радиодеталей</w:t>
      </w:r>
      <w:r w:rsidRPr="00271E51">
        <w:rPr>
          <w:rFonts w:ascii="Times New Roman" w:hAnsi="Times New Roman"/>
          <w:color w:val="000000" w:themeColor="text1"/>
          <w:sz w:val="16"/>
          <w:szCs w:val="16"/>
        </w:rPr>
        <w:t xml:space="preserve">  [специализированными заводами] </w:t>
      </w:r>
      <w:r w:rsidRPr="00271E51">
        <w:rPr>
          <w:rFonts w:ascii="Times New Roman" w:hAnsi="Times New Roman"/>
          <w:iCs/>
          <w:color w:val="000000" w:themeColor="text1"/>
          <w:sz w:val="16"/>
          <w:szCs w:val="16"/>
        </w:rPr>
        <w:t>ересью»</w:t>
      </w:r>
      <w:r w:rsidRPr="00271E51">
        <w:rPr>
          <w:rFonts w:ascii="Times New Roman" w:hAnsi="Times New Roman"/>
          <w:color w:val="000000" w:themeColor="text1"/>
          <w:sz w:val="16"/>
          <w:szCs w:val="16"/>
        </w:rPr>
        <w:t> [183]. Но все же завод (впоследствии «Экситон») был создан (15736).</w:t>
      </w:r>
    </w:p>
    <w:p w14:paraId="468872B8" w14:textId="77777777" w:rsidR="00AE0812" w:rsidRPr="00271E51" w:rsidRDefault="00AE0812" w:rsidP="00271E51">
      <w:pPr>
        <w:spacing w:after="0" w:line="240" w:lineRule="auto"/>
        <w:jc w:val="both"/>
        <w:rPr>
          <w:rFonts w:ascii="Times New Roman" w:hAnsi="Times New Roman"/>
          <w:color w:val="000000" w:themeColor="text1"/>
          <w:sz w:val="16"/>
          <w:szCs w:val="16"/>
        </w:rPr>
      </w:pPr>
    </w:p>
    <w:p w14:paraId="7BA5D4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вышло Постановление ГКО № 4709 О создании комиссии по разработке мер коренного улучшения работы протезной промышленности и протезирования инвалидов войны.РГАНИР, Фонд ГКО, д. 181, лл. 89-90 (11012).</w:t>
      </w:r>
    </w:p>
    <w:p w14:paraId="23E1EC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9F8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ноября 1943 Балтийцы заложили на стапеле 4 стотонника. Сданы флоту досрочно 19-й и 20-й БМО (10671).</w:t>
      </w:r>
    </w:p>
    <w:p w14:paraId="23EF2F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A5E3D" w14:textId="77777777" w:rsidR="00AE0812"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ACE008E" w14:textId="77777777" w:rsidR="00AE0812" w:rsidRPr="00271E51" w:rsidRDefault="00AE081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F842D7"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30 ноября </w:t>
      </w:r>
      <w:r w:rsidRPr="00271E51">
        <w:rPr>
          <w:rFonts w:ascii="Times New Roman" w:hAnsi="Times New Roman"/>
          <w:color w:val="000000" w:themeColor="text1"/>
          <w:sz w:val="16"/>
          <w:szCs w:val="16"/>
        </w:rPr>
        <w:t>в 1943 году оперативная сводка Совинформбюро:</w:t>
      </w:r>
    </w:p>
    <w:p w14:paraId="7E292AA9"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ноября между реками Сож и Днепр, северо-западнее Гомеля, наши войска, преодолевая сопротивление и контратаки противника, заняли несколько населённых пунктов; среди них Реут, Дорки, Розов, Почки, Михалевка, Талы.</w:t>
      </w:r>
    </w:p>
    <w:p w14:paraId="0C569FA4"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реками Днепр и Березина, южнее Жлобина, наши войска с боями заняли несколько населённых пунктов.</w:t>
      </w:r>
    </w:p>
    <w:p w14:paraId="72370EFF"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с боями продвигались вперёди заняли населённые пункты Замостье, Лозки, Крышичи, Юревичи, Гряда, Гута, Заракитное, Кнуровка.</w:t>
      </w:r>
    </w:p>
    <w:p w14:paraId="45474439"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Верховного Главнокомандования наши войска оставили город Коростень и заняли более выгодные для обороны рубежи.</w:t>
      </w:r>
    </w:p>
    <w:p w14:paraId="5A1114A6"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вели бои по расширению плацдарма на правом берегу Днепра и улучшили свои позиции.</w:t>
      </w:r>
    </w:p>
    <w:p w14:paraId="5C520B41"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в результате упорных боёв овладели сильноукреплёнными опорными пунктами противника Табурище, Захарьевка, Разорополь, Янов, Большая Макариха.</w:t>
      </w:r>
    </w:p>
    <w:p w14:paraId="5286AC7B"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отбивая контратаки противника, улучшили свои позиции.</w:t>
      </w:r>
    </w:p>
    <w:p w14:paraId="1393CBCB"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7FDEDCF"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ноября наши войска на всех фронтах подбили и уничтожили 99 немецких танков. В воздушных боях и огнём зенитной артиллерии сбит 61 самолёт противника.</w:t>
      </w:r>
    </w:p>
    <w:p w14:paraId="5398E77A"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заняли несколько населённых пунктов. В одном районе противник, опираясь на заранее подготовленный промежуточный рубеж, сильным огнём и контратаками стремился не допустить продвижения наших войск. В течение дня немцы предприняли на этом участке до пятнадцати контратак. Измотав гитлеровцев, части Н-ского соединения сломили их сопротивление и вновь продвинулись вперёд. В боях уничтожено до 1.500 немецких солдат и офицеров. В одном населённом пункте наши бойцы захватили крупные склады с обмундированием иинженерным имуществом, 3 самоходных орудия, две миномётные батареи, 42 пулемётаи другие трофеи.</w:t>
      </w:r>
    </w:p>
    <w:p w14:paraId="2BF525E3"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реками Днепр и Березина, южнее Жлобина, наши войска, взламывая оборону противника, продвинулись вперёд и заняли несколько населённых пунктов. В боях за эти пункты уничтожено более батальона гитлеровцев, подбито 8 немецких танков, несколько самоходных и полевых орудий. Взято значительное число пленных.</w:t>
      </w:r>
    </w:p>
    <w:p w14:paraId="76BB44E3"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продолжали вести бои по расширению плацдарма на правом берегу Днепра. Бойцы Н-ской части в результате ожесточённой схватки выбили немцев из сильно укреплённых позиций, уничтожив при этом 300 гитлеровцев. Противник, поспешно отступая, оставил 7 противотанковых орудий, 11 врытых в землю танков и много боеприпасов. На другом участке советские бойцы отбили неоднократные контратаки немцев, пытавшихся вернуть утраченный ими выгодный рубеж. Огнём наших пулемётчиков и снайперов противнику нанесены большие потери.</w:t>
      </w:r>
    </w:p>
    <w:p w14:paraId="094EA6FD"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части Н-ского соединения, преодолевая упорное сопротивление противника, овладели несколькими населёнными пунктами. В боях за эти пункты уничтожено 600 вражеских солдат и офицеров и 32 немецких танка. На другом участке наши танкисты ворвались в населённый пункт и разгромили большую группу пехоты и колонну автомашин противника. Захвачены трофеи и пленные.</w:t>
      </w:r>
    </w:p>
    <w:p w14:paraId="2968E864"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воздушных боях за день сбили 22 немецких самолёта.</w:t>
      </w:r>
    </w:p>
    <w:p w14:paraId="38A80BCF"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части Н-ского соединения отражали контратаки противника. К исходу дня наши бойцы стремительным ударомь отбросили немцев и улучшили свои позиции. Противник потерял убитыми и ранеными до 800 солдат и офицеров. Подбито 17 немецких танков и 4 бронемашины.</w:t>
      </w:r>
    </w:p>
    <w:p w14:paraId="21D9E8FB"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продолжали наносить удары по войскам противника и уничтожили до 20 немецких танков, более 150 автомашин, 2 штабных автобуса и взорвали 2 склада с горючим.</w:t>
      </w:r>
    </w:p>
    <w:p w14:paraId="3FCBA46C"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в ночь на 30 ноября бомбардировала скопления немецких воинских эшелонов на железнодорожных узлах Знаменка и Апостолово. В результате бомбардировки разбито большое число вагонов. Возникли пожары, сопровождавшиеся сильными взрывами.</w:t>
      </w:r>
    </w:p>
    <w:p w14:paraId="026FA8C4"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наши лётчики сбили 26 самолётов противника.</w:t>
      </w:r>
    </w:p>
    <w:p w14:paraId="10AA1F67"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Калининской области, пустил под откос немецкий воинский эшелон, следовавший к линии фронта. В результате крушения разбиты паровоз, 6 платформ с автомашинами, 3 классныхвагона с немецкими солдатами и 6 вагонов с военными грузами. Другой отряд калининских партизан подорвал на минах 4 немецких автомашины с боеприпасами. Группа партизан в течение двух недель из засад уничтожила более 100 гитлеровцев.</w:t>
      </w:r>
    </w:p>
    <w:p w14:paraId="69836EBC"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4 роты 478 полка 258 немецкой пехотной дивизии БрудоМиколайчак рассказал: «Свыше двух лет я прослужил в 710 пехотной дивизии, которая стояла в Северной Норвегии, в районе городе Вадсё. В начале сентября меня направили в маршевый батальон «Лапланд», командиром которого был назначен майор Гофмейстер. Восьмого сентября мы на автомашинах выехали в Рованиеми (Финляндия), а оттуда по железной дороге в город Турку. Здесь нас погрузили на корабль «Найденфельде» и морем отправили в Данциг. Из Данцига мы поездом были доставленыв в Никополь. Через несколько дней батальон распределили по разным частям и послали на передовую. Рота, в которую я попал, в первом же бою была разгромлена русскими. Командир роты обер-лейтенант Флерен убежал, а я с группой солдат сдался в плен».</w:t>
      </w:r>
    </w:p>
    <w:p w14:paraId="723C1B9A"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Кровавое злодеяние совершили немецко-фашистские мерзавцы над советскими детьми в станице Гостогаевской, Краснодарского края. Незадолго перед отступлением немецкий комендант станицы Гофман, его помощник обер-фельдфебельФитлер, унтер-офицеры Штурм, Лаубе, Шульц и полицейский Багмет с группой солдат врывались в дома и силой забирали детей в возрасте до 13 лет. К утру 20 сентября фашистские изверги собрали в комендатуру 40 детей. У комендатуры происходили душераздирающие сцены. Дети плакали, кричали. Матери рвали на себе волосы. Слёзы детей не смягчили фашистских палачей. Полицейский Багмет увёз детей в станицу Старотитаровскую и сдал их начальнику немецкого военного госпиталя.</w:t>
      </w:r>
    </w:p>
    <w:p w14:paraId="06FBE613"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партизаны поймали и передали в руки советских властей полицейского Багмета. Этот бандит на следствии показал: «20 сентября я привез детей в станицу Старотитаровскую. Начальник немецкого военного госпиталя приказал ввести ребят в специальную комнату. Там из них выкачали кровь. Когда детей вынесли из комнаты,они были мертвенно бледны и не шевелились. Вскоре их трупы были вывезены за околицу станицы».</w:t>
      </w:r>
    </w:p>
    <w:p w14:paraId="08B61596"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Кровь невинных детей зовёт к беспощадной мести. Фашистские изверги своей головой должны ответить за это чудовищное злодеяние.» (14845).</w:t>
      </w:r>
    </w:p>
    <w:p w14:paraId="4C66D530" w14:textId="77777777" w:rsidR="00AE0812" w:rsidRPr="00271E51" w:rsidRDefault="00AE0812" w:rsidP="00271E51">
      <w:pPr>
        <w:spacing w:after="0" w:line="240" w:lineRule="auto"/>
        <w:jc w:val="both"/>
        <w:rPr>
          <w:rFonts w:ascii="Times New Roman" w:hAnsi="Times New Roman"/>
          <w:color w:val="000000" w:themeColor="text1"/>
          <w:sz w:val="16"/>
          <w:szCs w:val="16"/>
        </w:rPr>
      </w:pPr>
    </w:p>
    <w:p w14:paraId="200D6709"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30 ноября </w:t>
      </w:r>
      <w:r w:rsidRPr="00271E51">
        <w:rPr>
          <w:rFonts w:ascii="Times New Roman" w:hAnsi="Times New Roman"/>
          <w:color w:val="000000" w:themeColor="text1"/>
          <w:sz w:val="16"/>
          <w:szCs w:val="16"/>
        </w:rPr>
        <w:t>в 1943 году завершилась Гомельско-Речицкая операция: войска Белорусского фронта прорвали оборону немцев и продвинулись при поддержке партизан на 130 км, создали угрозу южному флангу группы армий «Центр». Войска 1-го Украинского фронта стабилизировали фронт на рубеже восточнее Черняхова, Радомышль, Ставище, Юровка. Войска 3-го Украинского фронта силами 6-й армии захватили плацдарм на правом берегу Днепра южнее Запорожья (14845).</w:t>
      </w:r>
    </w:p>
    <w:p w14:paraId="3D367A85" w14:textId="77777777" w:rsidR="00AE0812" w:rsidRPr="00271E51" w:rsidRDefault="00AE0812" w:rsidP="00271E51">
      <w:pPr>
        <w:spacing w:after="0" w:line="240" w:lineRule="auto"/>
        <w:jc w:val="both"/>
        <w:rPr>
          <w:rFonts w:ascii="Times New Roman" w:hAnsi="Times New Roman"/>
          <w:color w:val="000000" w:themeColor="text1"/>
          <w:sz w:val="16"/>
          <w:szCs w:val="16"/>
        </w:rPr>
      </w:pPr>
    </w:p>
    <w:p w14:paraId="6E070745" w14:textId="77777777" w:rsidR="00AE0812"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EAEE2CC" w14:textId="77777777" w:rsidR="00AE0812" w:rsidRPr="00271E51" w:rsidRDefault="00AE0812"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3F61FC" w14:textId="77777777" w:rsidR="00AE0812" w:rsidRPr="00271E51" w:rsidRDefault="00AE0812"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30 ноября </w:t>
      </w:r>
      <w:r w:rsidRPr="00271E51">
        <w:rPr>
          <w:rFonts w:ascii="Times New Roman" w:hAnsi="Times New Roman"/>
          <w:color w:val="000000" w:themeColor="text1"/>
          <w:sz w:val="16"/>
          <w:szCs w:val="16"/>
        </w:rPr>
        <w:t>в 1943 году на конференции в Тегеране Сталин, Черчилль и Рузвельт договорились о проведении операции «Overlord» и о вступлении СССР в войну против Японии после победы над Германией (14845).</w:t>
      </w:r>
    </w:p>
    <w:p w14:paraId="389ECB07" w14:textId="77777777" w:rsidR="00AE0812" w:rsidRPr="00271E51" w:rsidRDefault="00AE0812" w:rsidP="00271E51">
      <w:pPr>
        <w:spacing w:after="0" w:line="240" w:lineRule="auto"/>
        <w:jc w:val="both"/>
        <w:rPr>
          <w:rFonts w:ascii="Times New Roman" w:hAnsi="Times New Roman"/>
          <w:color w:val="000000" w:themeColor="text1"/>
          <w:sz w:val="16"/>
          <w:szCs w:val="16"/>
        </w:rPr>
      </w:pPr>
    </w:p>
    <w:p w14:paraId="03CC59D9" w14:textId="562BE521" w:rsidR="00D46564" w:rsidRPr="00271E51" w:rsidRDefault="00D46564"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723BF303" w14:textId="77777777" w:rsidR="00D46564" w:rsidRPr="00271E51" w:rsidRDefault="00D46564"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5B14292" w14:textId="77777777" w:rsidR="00DA1B4D" w:rsidRPr="00271E51" w:rsidRDefault="00DA1B4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30 ноября 1944 года Bell получила контракт на строительство двух экспериментальных самолетов с обозначением XS-1 (Experimental Supersonic-l) — один для NACA, другой для ВВС. Проект самолета MCD-250 фирмы McDonnell был отвергнут. В декабре свой заказ получила фирма Douglas, она назвала свой самолет Douglas Model </w:t>
      </w:r>
      <w:r w:rsidRPr="00271E51">
        <w:rPr>
          <w:rFonts w:ascii="Times New Roman" w:hAnsi="Times New Roman"/>
          <w:color w:val="0070C0"/>
          <w:sz w:val="16"/>
          <w:szCs w:val="16"/>
        </w:rPr>
        <w:lastRenderedPageBreak/>
        <w:t>558 HighSpeed Test Airplane, или просто D-588. Работу над проектом возглавил легендарный Эдвард Хайнеман (Edvard Heinemann), автор знаменитых машин А26, А-20 и A-1 Skyraider, превративший имя Douglas в мировой брэнд.</w:t>
      </w:r>
    </w:p>
    <w:p w14:paraId="5C53D7DE" w14:textId="77777777" w:rsidR="00DA1B4D" w:rsidRPr="00271E51" w:rsidRDefault="00DA1B4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фирме Bell работу над экспериментальным самолетом возглавил Роберт Стенли (Robert Stanley), известный пилот ХР-59, специалист в области аэродинамики, выпускник Калифорнийского технологического института. Несмотря на большую техническую новизну проекта, работа шла достаточно быстро.</w:t>
      </w:r>
    </w:p>
    <w:p w14:paraId="178D5105" w14:textId="77777777" w:rsidR="00DA1B4D" w:rsidRPr="00271E51" w:rsidRDefault="00DA1B4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Основной проблемой был выбор профиля крыла и хвостового горизонтального оперения. По рекомендациям Джона Стека на крыле и стабилизаторе использовали профили разной относительной толщины, причем стабилизатор был тоньше крыла (крыло 10%, стабилизатор 8%). Это было сделано для того, чтобы поверхности достигали критического числа М в разное время, и самолет не терял управляемости. Что же касается формы крыла в плане, то разработчики не решились поставить на XS-1 неисследованное стреловидное крыло и воспользовались консервативным прямым.</w:t>
      </w:r>
    </w:p>
    <w:p w14:paraId="2369D97A" w14:textId="77777777" w:rsidR="00DA1B4D" w:rsidRPr="00271E51" w:rsidRDefault="00DA1B4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Для повышения эффективности стабилизатора, по настоянию Стека, фирма Bell дала возможность летчику изменять угол его установки в полете. На малых скоростях пилот управлял самолетом при помощи обычных рулей высоты, а на больших — мог поворачивать стабилизатор целиком.</w:t>
      </w:r>
    </w:p>
    <w:p w14:paraId="2EC8DAB0" w14:textId="77777777" w:rsidR="00DA1B4D" w:rsidRPr="00271E51" w:rsidRDefault="00DA1B4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Форма фюзеляжа самолета повторяла форму пули, которая, как известно, способна к устойчивому полету на сверхзвуковой скорости (22921).</w:t>
      </w:r>
    </w:p>
    <w:p w14:paraId="6A7A62B5" w14:textId="77777777" w:rsidR="00DA1B4D" w:rsidRPr="00271E51" w:rsidRDefault="00DA1B4D" w:rsidP="00271E51">
      <w:pPr>
        <w:spacing w:after="0" w:line="240" w:lineRule="auto"/>
        <w:jc w:val="both"/>
        <w:rPr>
          <w:rFonts w:ascii="Times New Roman" w:hAnsi="Times New Roman"/>
          <w:color w:val="0070C0"/>
          <w:sz w:val="16"/>
          <w:szCs w:val="16"/>
        </w:rPr>
      </w:pPr>
    </w:p>
    <w:p w14:paraId="3EDF9426" w14:textId="519F95A0"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24350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619D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работы по самолету, получившему в ОКБ обозначение Су-7 № 82Г, были завершены. Заводские летные испытания разбили на два этапа: на пер</w:t>
      </w:r>
      <w:r w:rsidRPr="00271E51">
        <w:rPr>
          <w:rFonts w:ascii="Times New Roman" w:hAnsi="Times New Roman"/>
          <w:color w:val="000000" w:themeColor="text1"/>
          <w:sz w:val="16"/>
          <w:szCs w:val="16"/>
        </w:rPr>
        <w:softHyphen/>
        <w:t>вом планировалась отработка винтомо</w:t>
      </w:r>
      <w:r w:rsidRPr="00271E51">
        <w:rPr>
          <w:rFonts w:ascii="Times New Roman" w:hAnsi="Times New Roman"/>
          <w:color w:val="000000" w:themeColor="text1"/>
          <w:sz w:val="16"/>
          <w:szCs w:val="16"/>
        </w:rPr>
        <w:softHyphen/>
        <w:t>торной группы и турбокомпрессоров, а на втором - реактивного ускорителя РД-1 (10719).</w:t>
      </w:r>
    </w:p>
    <w:p w14:paraId="3AF5F7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3342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на завод № 124 из НИИ ВВС в Кольцово пришли результаты испытаний двух серийных Пе-2 № 7/127 и № 5/129, которые показали скорость 492-497 км/ч на высоте 4700-5000 метров. Качество исполнения улучшилось по сравнению с маем-июнем, но было хуже, чем в 1941 г. Неровная поверхность обшивки, зазоры и так далее. Снижение скорости на 33 км/ч происходит за счет худшей отделки (14-15 км/ч), установки Торопова (11-12 км/ч), бокового пулемета и наружной подвески (6-7 км/ч) (12049).</w:t>
      </w:r>
    </w:p>
    <w:p w14:paraId="0E97EC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F2B4A"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года заводским приказом № 234 в технологическом отделе №12 завода № 39 было создано бюро по разработке поточных методов производства в составе инженеров-технологов М.В. Смирнова, А.Н. Солдаткина, С.Д. Кашина, Ш.П. Альтшулера, Н.А. Резвого. На это бюро, вошедшее в непосредственное подчинение главному технологу Т.А. Яковлеву, возлагаются вопросы организации и внедрения поточных линий на заводе. Начальники цехов обязывались представлять перечень агрегатов, узлов, деталей, изготовление которых возможно с применением поточных линий, технологические планировки участков и экономические расчеты. В бюро с участием цеховых технологов анализировалась номенклатура наиболее трудоемких деталей, разрабатывалась необходимая техническая документация. Средства механизации и специальная оснастка для поточных линий изготавливалась в первую очередь. В течение 1944 года в заготовительных, механических и агрегатных цехах для производства Ер-2 было внедрено 18 поточных линий (Отчет о работе завода № 39 за 1944 год. Центральный архив ИАЗ, дело № 73, ч. 2, лист 4-14.). С применением поточных линий изготавливались трудоемкие стыковые уши крыла, центроплана и мотогондолы, кронштейны к моторам, цилиндры шасси, амортизаторы, штоки и вилки шасси. В агрегатном цехе № 42 была внедрена поточная линия конвейерного типа сборки центроплана с производительностью два центроплана в сутки. В цехе предварительной сборки внедрена стендово-конвейерная линия, на 18-ти стендах которой при двухсменной работе производили сборку 2-х машин. Организация указанных поточных линий потребовала изготовления 172-х единиц специальной оснастки, более 100 единиц специального инструмента и перестановки 155-ти единиц оборудования. 12 поточных линий механизированы и оснащены транспортными средствами. Действующие поточные линии позволили:</w:t>
      </w:r>
    </w:p>
    <w:p w14:paraId="793CA021"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сократить трудоемкость деталей, изготавливаемых поточным методом на 624 часа (34,3%);</w:t>
      </w:r>
    </w:p>
    <w:p w14:paraId="25D801B5"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сократить средний цикл изготовления на 43,5 часа (89,5%);</w:t>
      </w:r>
    </w:p>
    <w:p w14:paraId="6AC64FFF"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сократить путь прохождения деталей на 4009 метра (66,2%);</w:t>
      </w:r>
    </w:p>
    <w:p w14:paraId="54F7E245"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уменьшить количество производственных рабочих на 105 человек (30,5%).</w:t>
      </w:r>
    </w:p>
    <w:p w14:paraId="44B05BFD"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Удельный вес трудоемкости работ выполняемых поточным методом составил 5% от общего объема работ единицы изделия.</w:t>
      </w:r>
    </w:p>
    <w:p w14:paraId="3CC5DA78"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Запущенный в серийное производство Ер-2 был гораздо сложнее Ил-4 и отличался значительным объемом ответственных и трудоемких сварочных операций. Для изготовления силовых сварных ферм из стальных хроман-силиевых труб был создан слесарно-сварочный цех, в который перевели квалифицированных сварщиков. Этому цеху предстояло выполнение огромного объема высокопрочной сварки, какого завод никогда не делал. Общая длина сварочных швов увеличилась в сотни раз. По видам сварка разделялась на кислородно-ацетиленовую КАС – 53,4 %, дуговую электросварку ДЭС – 24,2 %, атомно-водородродную -14.3%, точечную ТЭС – 8,1 % (220). Освоение сварочных процессов проводилось под руководством главного инженера завода К.А. Петрова. Его помощниками были главный металлург Д.А. Одесский, главный технолог Т.А. Яковлев, ведущий технолог Н.А. Резвый, инженерно-технические работники сварочного цеха. Технологические подразделения стали повсеместно применять в агрегатных цехах панельную сборку. Было спроектировано и изготовлено более 50-ти сборочных приспособлений, которые позволили сократить циклы сборки агрегатов (15223).</w:t>
      </w:r>
    </w:p>
    <w:p w14:paraId="0D5AF41B"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p>
    <w:p w14:paraId="755360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ноября 1943 г. по докладам военных представителей, взаимозаменяемыми в целом элементами конструкции на самолете были только крыло, киль, стабилизатор, бензо- и маслобаки. При стыковке крыла с фюзеляжем требовалась лишь небольшая подгонка переднего стыковочного узла с моторамой. При навеске руля высоты требовались дополнительные столярные, клеевые и малярные работы для уменьшения зазоров и обеспечения плавности обводов. Аналогичные работы выполнялись и при навеске элеронов, которые предварительно, для уменьшения работ по подгонке, подбирались по месту из нескольких. Невзаимозаменяемым было шасси. Допускаемые производством отклонения от сборочных чертежей при изготовлении амортизационных стоек (стойки могли быть разной длины и с неодинаковым углом выноса) приходилось исправлять при сборке, меняя место крепления ломающегося подкоса, его замка и замка стойки. Щитки шасси подгонялись так, чтобы обеспечить плавность обводов крыла. Ось трубы крепления хвостовой опоры шасси часто получалась неперпендикулярной продольной оси самолета, вследствие чего вилка хвостовой опоры шасси при уборке задевала за левый или правый нижний лонжерон фермы фюзеляжа. Для устранения этого лонжероны просто подгибали в месте соприкосновения. Закрылки были взаимозаменяемы только в сборе с петлями подвески. Простая деревянная конструкция Як-1 позволяла использовать эти металлические детали, изготовленные с отклонениями от чертежей, с индивидуальной подгонкой (т.е. под нестандартные металлические детали подгонялись деревянные части конструкции самолета), не снижая летных характеристик. Но в частях любая поломка, требовавшая замены таких деталей, приводила или к ослаблению конструкции за счет новых отверстий, которые высверливались при подгонке запасных частей по месту, или к ухудшению аэродинамических форм самолета и уменьшению максимальной скорости. Эта проблема была решена (12048).</w:t>
      </w:r>
    </w:p>
    <w:p w14:paraId="1AA49E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74488"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6ECDB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056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года был изготовлен опытный образец 122-мм танковой пушки Д-25Т (3861).</w:t>
      </w:r>
    </w:p>
    <w:p w14:paraId="38CE9A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79BB8"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года КБ завода №172 попыталось второй раз продавить тему тяжелого самоходного лафета. 27-го числа в адрес Ар</w:t>
      </w:r>
      <w:r w:rsidRPr="00271E51">
        <w:rPr>
          <w:rFonts w:ascii="Times New Roman" w:hAnsi="Times New Roman"/>
          <w:color w:val="000000" w:themeColor="text1"/>
          <w:sz w:val="16"/>
          <w:szCs w:val="16"/>
        </w:rPr>
        <w:softHyphen/>
        <w:t>тиллерийского комитета ГАУ КА были направлены материалы по про</w:t>
      </w:r>
      <w:r w:rsidRPr="00271E51">
        <w:rPr>
          <w:rFonts w:ascii="Times New Roman" w:hAnsi="Times New Roman"/>
          <w:color w:val="000000" w:themeColor="text1"/>
          <w:sz w:val="16"/>
          <w:szCs w:val="16"/>
        </w:rPr>
        <w:softHyphen/>
        <w:t>екту 203-мм гаубицы М24, вел которую конструктор А.Я. Дроздов. Представляла она собой наложение ствола с баллистикой 203-мм гау</w:t>
      </w:r>
      <w:r w:rsidRPr="00271E51">
        <w:rPr>
          <w:rFonts w:ascii="Times New Roman" w:hAnsi="Times New Roman"/>
          <w:color w:val="000000" w:themeColor="text1"/>
          <w:sz w:val="16"/>
          <w:szCs w:val="16"/>
        </w:rPr>
        <w:softHyphen/>
        <w:t xml:space="preserve">бицы Б-4 на лафет 152-мм пушки-гаубицы </w:t>
      </w:r>
      <w:r w:rsidRPr="00271E51">
        <w:rPr>
          <w:rFonts w:ascii="Times New Roman" w:hAnsi="Times New Roman"/>
          <w:color w:val="000000" w:themeColor="text1"/>
          <w:sz w:val="16"/>
          <w:szCs w:val="16"/>
          <w:lang w:val="en-US"/>
        </w:rPr>
        <w:t>MJ</w:t>
      </w:r>
      <w:r w:rsidRPr="00271E51">
        <w:rPr>
          <w:rFonts w:ascii="Times New Roman" w:hAnsi="Times New Roman"/>
          <w:color w:val="000000" w:themeColor="text1"/>
          <w:sz w:val="16"/>
          <w:szCs w:val="16"/>
        </w:rPr>
        <w:t>1-20. Также, в опытном порядке, предлагалось рассмотреть вопрос установки на тот же лафет ствола с баллистикой 280-мм мортиры БР-5 (система носила индекс М25). В конце пояснительной записки нашлось место и для самоход</w:t>
      </w:r>
      <w:r w:rsidRPr="00271E51">
        <w:rPr>
          <w:rFonts w:ascii="Times New Roman" w:hAnsi="Times New Roman"/>
          <w:color w:val="000000" w:themeColor="text1"/>
          <w:sz w:val="16"/>
          <w:szCs w:val="16"/>
        </w:rPr>
        <w:softHyphen/>
        <w:t>ной версии данного дуплекса:</w:t>
      </w:r>
    </w:p>
    <w:p w14:paraId="63EDC44C"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«Кроме того, вращающиеся части как самой системы М24, так и ука</w:t>
      </w:r>
      <w:r w:rsidRPr="00271E51">
        <w:rPr>
          <w:i w:val="0"/>
          <w:color w:val="000000" w:themeColor="text1"/>
          <w:sz w:val="16"/>
          <w:szCs w:val="16"/>
        </w:rPr>
        <w:softHyphen/>
        <w:t>занных выше возможных вариантов наложения ствола по тем же причи</w:t>
      </w:r>
      <w:r w:rsidRPr="00271E51">
        <w:rPr>
          <w:i w:val="0"/>
          <w:color w:val="000000" w:themeColor="text1"/>
          <w:sz w:val="16"/>
          <w:szCs w:val="16"/>
        </w:rPr>
        <w:softHyphen/>
        <w:t>нам являются весьма выгодными для установки самохода.</w:t>
      </w:r>
    </w:p>
    <w:p w14:paraId="33908B60" w14:textId="77777777" w:rsidR="00B95E55" w:rsidRPr="00271E51" w:rsidRDefault="00B95E55" w:rsidP="00271E51">
      <w:pPr>
        <w:pStyle w:val="Bodytext141"/>
        <w:shd w:val="clear" w:color="auto" w:fill="auto"/>
        <w:spacing w:line="240" w:lineRule="auto"/>
        <w:ind w:firstLine="0"/>
        <w:jc w:val="both"/>
        <w:rPr>
          <w:i w:val="0"/>
          <w:color w:val="000000" w:themeColor="text1"/>
          <w:sz w:val="16"/>
          <w:szCs w:val="16"/>
        </w:rPr>
      </w:pPr>
      <w:r w:rsidRPr="00271E51">
        <w:rPr>
          <w:i w:val="0"/>
          <w:color w:val="000000" w:themeColor="text1"/>
          <w:sz w:val="16"/>
          <w:szCs w:val="16"/>
        </w:rPr>
        <w:t>В качестве иллюстрации к сказанному к высылаемым материалам прилагается эскизный чертеж общего вида самоходной установки враща</w:t>
      </w:r>
      <w:r w:rsidRPr="00271E51">
        <w:rPr>
          <w:i w:val="0"/>
          <w:color w:val="000000" w:themeColor="text1"/>
          <w:sz w:val="16"/>
          <w:szCs w:val="16"/>
        </w:rPr>
        <w:softHyphen/>
        <w:t xml:space="preserve">ющейся части системы М24 на шасси танков </w:t>
      </w:r>
      <w:r w:rsidRPr="00271E51">
        <w:rPr>
          <w:i w:val="0"/>
          <w:color w:val="000000" w:themeColor="text1"/>
          <w:sz w:val="16"/>
          <w:szCs w:val="16"/>
          <w:lang w:val="en-US"/>
        </w:rPr>
        <w:t>KB</w:t>
      </w:r>
      <w:r w:rsidRPr="00271E51">
        <w:rPr>
          <w:i w:val="0"/>
          <w:color w:val="000000" w:themeColor="text1"/>
          <w:sz w:val="16"/>
          <w:szCs w:val="16"/>
        </w:rPr>
        <w:t xml:space="preserve">-1С или </w:t>
      </w:r>
      <w:r w:rsidRPr="00271E51">
        <w:rPr>
          <w:i w:val="0"/>
          <w:color w:val="000000" w:themeColor="text1"/>
          <w:sz w:val="16"/>
          <w:szCs w:val="16"/>
          <w:lang w:val="en-US"/>
        </w:rPr>
        <w:t>KB</w:t>
      </w:r>
      <w:r w:rsidRPr="00271E51">
        <w:rPr>
          <w:i w:val="0"/>
          <w:color w:val="000000" w:themeColor="text1"/>
          <w:sz w:val="16"/>
          <w:szCs w:val="16"/>
        </w:rPr>
        <w:t>-14»'.</w:t>
      </w:r>
    </w:p>
    <w:p w14:paraId="4B3FADB4" w14:textId="77777777" w:rsidR="00B95E55" w:rsidRPr="00271E51" w:rsidRDefault="00B95E55" w:rsidP="00271E51">
      <w:pPr>
        <w:pStyle w:val="a3"/>
        <w:rPr>
          <w:color w:val="000000" w:themeColor="text1"/>
          <w:lang w:val="ru-RU"/>
        </w:rPr>
      </w:pPr>
      <w:r w:rsidRPr="00271E51">
        <w:rPr>
          <w:color w:val="000000" w:themeColor="text1"/>
          <w:lang w:val="ru-RU"/>
        </w:rPr>
        <w:t>Вариант М22 с орудием М24 получил заводской индекс М26, а вер</w:t>
      </w:r>
      <w:r w:rsidRPr="00271E51">
        <w:rPr>
          <w:color w:val="000000" w:themeColor="text1"/>
          <w:lang w:val="ru-RU"/>
        </w:rPr>
        <w:softHyphen/>
        <w:t>сия с установкой системы М25 — М27. Согласно аннотации, в качестве базы планировалось использовать базу танка КВ-1С или ИС, впрочем, эскиз М26 отличался от установки М22 только новой орудийной си</w:t>
      </w:r>
      <w:r w:rsidRPr="00271E51">
        <w:rPr>
          <w:color w:val="000000" w:themeColor="text1"/>
          <w:lang w:val="ru-RU"/>
        </w:rPr>
        <w:softHyphen/>
        <w:t>стемой и отсутствием щита. Кроме того, проект предусматривал и на</w:t>
      </w:r>
      <w:r w:rsidRPr="00271E51">
        <w:rPr>
          <w:color w:val="000000" w:themeColor="text1"/>
          <w:lang w:val="ru-RU"/>
        </w:rPr>
        <w:softHyphen/>
        <w:t>ложение ствола 152-мм пушки БР-2 на тот же лафет. В данном случае речь идет о 152-мм пушке М23, которую разрабатывали в то же время (17484).</w:t>
      </w:r>
    </w:p>
    <w:p w14:paraId="64F7A556"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0B8EB102" w14:textId="77777777" w:rsidR="007E566F" w:rsidRPr="00271E51" w:rsidRDefault="007E566F"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В конце ноября 1943 года Главное бронетанковое управление Красной армии (ГБТУ КА) утвердило тактико-технические требования (ТТТ) на новый тяжёлый танк. Его боевая масса составляла 55 тонн, экипаж включал те же 5 человек, толщина лба корпуса составляла 200 мм, а башни — 160 мм. Вооружать этот танк планировалось 122-мм пушкой либо 152-мм пушкой-гаубицей МЛ-20. Приводить в движение этого монстра должен был двигатель мощностью 800–1000 лошадиных сил. Трансмиссия должна была располагаться впереди, предполагалось использовать планетарную коробку передач. Рассматривался вопрос оснащения этой машины электрической трансмиссией. Работа над этими проектами дальше эскизной проработки не продвинулась (17756).</w:t>
      </w:r>
    </w:p>
    <w:p w14:paraId="7C294841" w14:textId="77777777" w:rsidR="007E566F" w:rsidRPr="00271E51" w:rsidRDefault="007E566F" w:rsidP="00271E51">
      <w:pPr>
        <w:pStyle w:val="ae"/>
        <w:spacing w:before="0" w:after="0"/>
        <w:jc w:val="both"/>
        <w:textAlignment w:val="baseline"/>
        <w:rPr>
          <w:color w:val="000000" w:themeColor="text1"/>
          <w:sz w:val="16"/>
          <w:szCs w:val="16"/>
        </w:rPr>
      </w:pPr>
    </w:p>
    <w:p w14:paraId="56C5DE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года последние СУ-76И покинули цеха завода № 37. К этому времени недостатки отечественных СУ-76 были устранены, и они в необходимом количестве отгружались на фронт двумя предприятиями НКТП (завод № 38 в Кирове и ГАЗ в Горьком). Советские самоходки были более дешёвыми и лёгкими по сравнению с СУ-76И, а кроме того, не было проблем с их снабжением запчастями. Всего за время серийного производства СУ-76И на заводе № 37 было выпущено 201 САУ (в том числе 20 "командирских") (9596).</w:t>
      </w:r>
    </w:p>
    <w:p w14:paraId="7FE641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BB03C" w14:textId="77777777" w:rsidR="00110BE5" w:rsidRPr="00271E51" w:rsidRDefault="00110BE5" w:rsidP="00271E51">
      <w:pPr>
        <w:pStyle w:val="book"/>
        <w:ind w:firstLine="0"/>
        <w:jc w:val="both"/>
        <w:rPr>
          <w:color w:val="000000" w:themeColor="text1"/>
          <w:sz w:val="16"/>
          <w:szCs w:val="16"/>
        </w:rPr>
      </w:pPr>
      <w:r w:rsidRPr="00271E51">
        <w:rPr>
          <w:color w:val="000000" w:themeColor="text1"/>
          <w:sz w:val="16"/>
          <w:szCs w:val="16"/>
        </w:rPr>
        <w:t>В конце ноября 1943 г. были выпущены последние СУ-76И. К этому времени недостатки отечественных СУ-76 уже устранили, и они в необходимом количестве отгружались на фронт заводом № 38 в Кирове и Горьковским автозаводом. Всего за время серийного производства СУ-76И на заводе № 37 была выпущена 201 самоходка, из которых 20 командирских (15225).</w:t>
      </w:r>
    </w:p>
    <w:p w14:paraId="0724BBF3" w14:textId="77777777" w:rsidR="00110BE5" w:rsidRPr="00271E51" w:rsidRDefault="00110BE5" w:rsidP="00271E51">
      <w:pPr>
        <w:pStyle w:val="book"/>
        <w:ind w:firstLine="0"/>
        <w:jc w:val="both"/>
        <w:rPr>
          <w:color w:val="000000" w:themeColor="text1"/>
          <w:sz w:val="16"/>
          <w:szCs w:val="16"/>
        </w:rPr>
      </w:pPr>
    </w:p>
    <w:p w14:paraId="274B1E1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г. были выпущены последние СУ-76И. К этому времени недостатки отечественных СУ-76 уже устранили, и они в необходимом количестве отгружались на фронт заводом № 38 в Кирове и Горьковским автозаводом. Всего за время серийного производства СУ-76И на заводе № 37 была выпущена 201 самоходка, из которых 20 командирских. Боевое крещение подразделения, оснащенные СУ-76И, получили на Курской дуге. К началу июля 1943 г. в распоряжении 13-й армии Центрального фронта имелось 16 СУ-76 на трофейном шасси, причем в ходе оборонительных боев было потеряно восемь таких машин (три сгорели). Воронежский фронт также имел некоторое количество СУ-76И, но в отчете фронта на начало боев дано лишь суммарное количество всех САУ с 76-мм пушкой (33 штуки). В ходе наступления на Орел Центральный фронт был усилен двумя самоходно-артиллерийскими полками, один из которых также имел машины на трофейном шасси (16 СУ-76И и один танк Pz. KpfwIII). 2 августа 1943 г. в 5-ю гвардейскую армию прибыл 1902-й самоходио-артиллерийский полк в составе пятнадцати СУ-76И. До 14 августа полк в бой не вводился, а занимался ремонтом САУ и ждал пополнения автотранспортом (первоначально количество автомобилей в полку составляло 10 % от штатной численности). В это же время на укомплектование полка поступило пять СУ-122. С 14 по 31 августа полк участвовал в пяти боях (в среднем на 2—3 боя больше, чем любой другой полк армии). За этот период самоходчики уничтожили 2 танка, 9 орудий, 12 пулеметов и до 250 вражеских солдат и офицеров. Согласно докладу командира полка от 1 сентября, «все машины, участвовавшие в ггоедыдущих боях, имеют повреждения. Отдельные машины восстанавливались по нескольку раз, вся матчасть СУ-76 (на базе Pz. ГП) изношена и находится в плохом состоянии. Полк был постоянно недоукомплектован, подготовка личного состава — удовлетворительная». В сентябре 1943 г. полк участвовал в 14 боях, в которые одновременно вводилось от двух до семи машин СУ-76И. Своим огнем самоходки оказывали существенную помощь пехоте при отражении атак противника (12687).</w:t>
      </w:r>
    </w:p>
    <w:p w14:paraId="07CD1BEA"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62B49A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ноября 1943 г. американские М4А2 уже имели значительно более высокое качество броневой защиты, которая уже не уступала по ка</w:t>
      </w:r>
      <w:r w:rsidRPr="00271E51">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458AA2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271E51">
        <w:rPr>
          <w:rFonts w:ascii="Times New Roman" w:hAnsi="Times New Roman"/>
          <w:color w:val="000000" w:themeColor="text1"/>
          <w:sz w:val="16"/>
          <w:szCs w:val="16"/>
        </w:rPr>
        <w:softHyphen/>
        <w:t>пусов (например, 3 гвардейский Сталинградский механи</w:t>
      </w:r>
      <w:r w:rsidRPr="00271E51">
        <w:rPr>
          <w:rFonts w:ascii="Times New Roman" w:hAnsi="Times New Roman"/>
          <w:color w:val="000000" w:themeColor="text1"/>
          <w:sz w:val="16"/>
          <w:szCs w:val="16"/>
        </w:rPr>
        <w:softHyphen/>
        <w:t>зированный корпус, действовавший в составе 3-го Бело</w:t>
      </w:r>
      <w:r w:rsidRPr="00271E51">
        <w:rPr>
          <w:rFonts w:ascii="Times New Roman" w:hAnsi="Times New Roman"/>
          <w:color w:val="000000" w:themeColor="text1"/>
          <w:sz w:val="16"/>
          <w:szCs w:val="16"/>
        </w:rPr>
        <w:softHyphen/>
        <w:t>русского фронта, на 22 июня 1944 г. имел 196 танков, из ко</w:t>
      </w:r>
      <w:r w:rsidRPr="00271E51">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271E51">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271E51">
        <w:rPr>
          <w:rFonts w:ascii="Times New Roman" w:hAnsi="Times New Roman"/>
          <w:color w:val="000000" w:themeColor="text1"/>
          <w:sz w:val="16"/>
          <w:szCs w:val="16"/>
        </w:rPr>
        <w:softHyphen/>
        <w:t>вый корпус (1-й Прибалтийский фронт) также был осна</w:t>
      </w:r>
      <w:r w:rsidRPr="00271E51">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727DB5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A8DF1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8827A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AFB1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ноября 1943 Сталин выбрал для полета в Тегеран "Дуглас" полковника Грачева (из полка особого назначения ВВС), хотя специально для этой миссии в Ташкенте по особому заказу изготовили пять ПС-84. На С-47 летал отряд особого назначения ГВФ, совершавший важные рейсы внутри страны и за рубеж (3457,137).</w:t>
      </w:r>
    </w:p>
    <w:p w14:paraId="2F3366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2F8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ноября 1943 авиагруппа была полностью укомплектована и после двухмесячного восстановления сил вызволенных из лагерей узников сочли готовыми к службе Третьему Рейху. В Морицфельде под Инстербургом из них сформировали “Авиагруппу Хольтерса”, имевшую несколько подразделений по специальностям и располагавшую трофейными советскими самолетами. Технический состав, механики и шоферы учились вместе с немцами в Технической школе Люфтваффе на аэродроме Берлин-Темпелхоф. Отобранные для переподготовки на немецкие самолеты летчики проходили обучение на базе Хильдешайм под Ганновером.</w:t>
      </w:r>
    </w:p>
    <w:p w14:paraId="2714E0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Немалый упор в работе с русскими авиаторами делался не только на профессиональную подготовку, но и на знакомство вчерашних пленных с Германией, а также прельщение их европейскими ценностями и образом жизни. А последние были более чем сносными: как вспоминал один из офицеров, "размещали по четыре человека в комнате. Для каждого была отдельная кровать с постельным бельем и одеялом, выдавались два комплекта нового обмундирования и паек по нормам Люфтваффе. Все добровольцы получали денежное содержание по 16 немецких марок в месяц."</w:t>
      </w:r>
    </w:p>
    <w:p w14:paraId="670051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Недавние лагерные "доходяги”, хотя и жили в казармах, пользовались достаточной свободой, для них устраивали вечеринки с немецкими летчиками, -пивные встречи" и знакомства с бюргерами. Выгодно отличалась и постановка летного дела: если летом 1942 г. в ВВС РККА приходили истребители с налетом 15-20 часов, нередко не имевшие ни единой воздушной стрельбы, то немецкие инструкторы считали необходимым для выпускника 450 часов налета, а кроме того по сложившейся системе, еще 200 часов набирались в эскадре на фронте до перехода к боевой работе. Встречи имели успех: один из летчиков, капитан Артельцев, обращаясь к немецким летчикам - товарищам по оружию", писал в газете “Доброволец":</w:t>
      </w:r>
    </w:p>
    <w:p w14:paraId="12412E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 встретили нас как братья.</w:t>
      </w:r>
    </w:p>
    <w:p w14:paraId="699DCA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 сумели сердца нам согреть.</w:t>
      </w:r>
    </w:p>
    <w:p w14:paraId="656BD3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сегодня единою ратью</w:t>
      </w:r>
    </w:p>
    <w:p w14:paraId="74AA14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Нам навстоечу рассвету лететь.</w:t>
      </w:r>
    </w:p>
    <w:p w14:paraId="3BEBE8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Пусть Родина наша под гнетом.</w:t>
      </w:r>
    </w:p>
    <w:p w14:paraId="645426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тучас солнца не скрыть -</w:t>
      </w:r>
    </w:p>
    <w:p w14:paraId="0B565B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вместе ведем самолеты.</w:t>
      </w:r>
    </w:p>
    <w:p w14:paraId="0B11D2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Чтоб смерть и террор победить” (4538).</w:t>
      </w:r>
    </w:p>
    <w:p w14:paraId="45CC95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5FCD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3414F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9945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в инициативном порядке в ОКБ П.О.С. завершилось предварительное эскизное проектиро</w:t>
      </w:r>
      <w:r w:rsidRPr="00271E51">
        <w:rPr>
          <w:rFonts w:ascii="Times New Roman" w:hAnsi="Times New Roman"/>
          <w:color w:val="000000" w:themeColor="text1"/>
          <w:sz w:val="16"/>
          <w:szCs w:val="16"/>
        </w:rPr>
        <w:softHyphen/>
        <w:t>вание варианта самолета Су-6 с М-82 ФНВ 2 ТК-3 и РД Глушко. Проект отпра</w:t>
      </w:r>
      <w:r w:rsidRPr="00271E51">
        <w:rPr>
          <w:rFonts w:ascii="Times New Roman" w:hAnsi="Times New Roman"/>
          <w:color w:val="000000" w:themeColor="text1"/>
          <w:sz w:val="16"/>
          <w:szCs w:val="16"/>
        </w:rPr>
        <w:softHyphen/>
        <w:t>вили в НКАП СССР для ознакомления, где, по всей видимости, работа была одобрена (10668).</w:t>
      </w:r>
    </w:p>
    <w:p w14:paraId="7214FA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CFD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завершилось предва</w:t>
      </w:r>
      <w:r w:rsidRPr="00271E51">
        <w:rPr>
          <w:rFonts w:ascii="Times New Roman" w:hAnsi="Times New Roman"/>
          <w:color w:val="000000" w:themeColor="text1"/>
          <w:sz w:val="16"/>
          <w:szCs w:val="16"/>
        </w:rPr>
        <w:softHyphen/>
        <w:t>рительное эскизное проектирование мо</w:t>
      </w:r>
      <w:r w:rsidRPr="00271E51">
        <w:rPr>
          <w:rFonts w:ascii="Times New Roman" w:hAnsi="Times New Roman"/>
          <w:color w:val="000000" w:themeColor="text1"/>
          <w:sz w:val="16"/>
          <w:szCs w:val="16"/>
        </w:rPr>
        <w:softHyphen/>
        <w:t>дификации варианта самолета Су-6 с комбинированной силовой установкой, включавшей в себя основной поршневой двигатель М-82ФНВ 2ТК-3 с воздушным винтом и дополнительный ускоритель -жидкостный реактивный двигатель В.П. Глушко. Проект был одобрен НКАП и послужил основой для второго задания. Согласно утвержденным тактико-техническим тре</w:t>
      </w:r>
      <w:r w:rsidRPr="00271E51">
        <w:rPr>
          <w:rFonts w:ascii="Times New Roman" w:hAnsi="Times New Roman"/>
          <w:color w:val="000000" w:themeColor="text1"/>
          <w:sz w:val="16"/>
          <w:szCs w:val="16"/>
        </w:rPr>
        <w:softHyphen/>
        <w:t>бованиям (ТТТ), будущая машина пред</w:t>
      </w:r>
      <w:r w:rsidRPr="00271E51">
        <w:rPr>
          <w:rFonts w:ascii="Times New Roman" w:hAnsi="Times New Roman"/>
          <w:color w:val="000000" w:themeColor="text1"/>
          <w:sz w:val="16"/>
          <w:szCs w:val="16"/>
        </w:rPr>
        <w:softHyphen/>
        <w:t>назначалась для перехвата и уничтоже</w:t>
      </w:r>
      <w:r w:rsidRPr="00271E51">
        <w:rPr>
          <w:rFonts w:ascii="Times New Roman" w:hAnsi="Times New Roman"/>
          <w:color w:val="000000" w:themeColor="text1"/>
          <w:sz w:val="16"/>
          <w:szCs w:val="16"/>
        </w:rPr>
        <w:softHyphen/>
        <w:t>ния самолетов противника и ведения ак</w:t>
      </w:r>
      <w:r w:rsidRPr="00271E51">
        <w:rPr>
          <w:rFonts w:ascii="Times New Roman" w:hAnsi="Times New Roman"/>
          <w:color w:val="000000" w:themeColor="text1"/>
          <w:sz w:val="16"/>
          <w:szCs w:val="16"/>
        </w:rPr>
        <w:softHyphen/>
        <w:t>тивного воздушного боя - главным образом, на больших высотах во фронто</w:t>
      </w:r>
      <w:r w:rsidRPr="00271E51">
        <w:rPr>
          <w:rFonts w:ascii="Times New Roman" w:hAnsi="Times New Roman"/>
          <w:color w:val="000000" w:themeColor="text1"/>
          <w:sz w:val="16"/>
          <w:szCs w:val="16"/>
        </w:rPr>
        <w:softHyphen/>
        <w:t>вой зоне и в системе ПВО. Практически, эскизное и рабочее про</w:t>
      </w:r>
      <w:r w:rsidRPr="00271E51">
        <w:rPr>
          <w:rFonts w:ascii="Times New Roman" w:hAnsi="Times New Roman"/>
          <w:color w:val="000000" w:themeColor="text1"/>
          <w:sz w:val="16"/>
          <w:szCs w:val="16"/>
        </w:rPr>
        <w:softHyphen/>
        <w:t>ектирование, а также производственные работы проводились одновременно. За</w:t>
      </w:r>
      <w:r w:rsidRPr="00271E51">
        <w:rPr>
          <w:rFonts w:ascii="Times New Roman" w:hAnsi="Times New Roman"/>
          <w:color w:val="000000" w:themeColor="text1"/>
          <w:sz w:val="16"/>
          <w:szCs w:val="16"/>
        </w:rPr>
        <w:softHyphen/>
        <w:t>дача облегчалась тем, что за основу но</w:t>
      </w:r>
      <w:r w:rsidRPr="00271E51">
        <w:rPr>
          <w:rFonts w:ascii="Times New Roman" w:hAnsi="Times New Roman"/>
          <w:color w:val="000000" w:themeColor="text1"/>
          <w:sz w:val="16"/>
          <w:szCs w:val="16"/>
        </w:rPr>
        <w:softHyphen/>
        <w:t>вого самолета приняли один из двух эк</w:t>
      </w:r>
      <w:r w:rsidRPr="00271E51">
        <w:rPr>
          <w:rFonts w:ascii="Times New Roman" w:hAnsi="Times New Roman"/>
          <w:color w:val="000000" w:themeColor="text1"/>
          <w:sz w:val="16"/>
          <w:szCs w:val="16"/>
        </w:rPr>
        <w:softHyphen/>
        <w:t>земпляров построенного и испытанного одноместного штурмовика Су-6 с двига</w:t>
      </w:r>
      <w:r w:rsidRPr="00271E51">
        <w:rPr>
          <w:rFonts w:ascii="Times New Roman" w:hAnsi="Times New Roman"/>
          <w:color w:val="000000" w:themeColor="text1"/>
          <w:sz w:val="16"/>
          <w:szCs w:val="16"/>
        </w:rPr>
        <w:softHyphen/>
        <w:t>телем М-71. В связи с этим отпала необходимость в изготовлении макета и постройки экзем</w:t>
      </w:r>
      <w:r w:rsidRPr="00271E51">
        <w:rPr>
          <w:rFonts w:ascii="Times New Roman" w:hAnsi="Times New Roman"/>
          <w:color w:val="000000" w:themeColor="text1"/>
          <w:sz w:val="16"/>
          <w:szCs w:val="16"/>
        </w:rPr>
        <w:softHyphen/>
        <w:t>пляра для статических испытаний (10719).</w:t>
      </w:r>
    </w:p>
    <w:p w14:paraId="38237A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28A8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 ОКБ П.О.С. был создан Су-6 (С2А) с АМ-42 (1454,63).</w:t>
      </w:r>
    </w:p>
    <w:p w14:paraId="66DC1D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F3FD2" w14:textId="77777777" w:rsidR="00E87E3A" w:rsidRPr="00271E51" w:rsidRDefault="00E87E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lastRenderedPageBreak/>
        <w:t>В ноябре 1943 г. в КБ П.О.Сухого в инициативном порядке был завершен пред варительный эскизный проект варианта самолета Су-6 с М-82 ФНВ 2 ТК-3 и РД Глушко. Не было подробной информацц о РД-1 поэтому вопрос размещения этого ЖРД на само лете практически не был решен. Однако проект был отправлен в НКАП, где работа была одобрена. О чем свидетельствует док ладная записка заместителя начальника 4 спецотдела НКВД под полковника госбезопасности В.А.Бекетова, направленная 16 фев раля 1944 г. начальнику 2 отдела Главного управления истре бятельно-авиационной службы ВВС генерал-майору Левину. Где сообщалось: «Согласно Вашему запросу направляю предвари тельные материалы по установке РД-1 на самолетах Пе-2, Пe-З и Пе-2 в высотном варианте с М-82-ТК-3.</w:t>
      </w:r>
    </w:p>
    <w:p w14:paraId="52201642" w14:textId="77777777" w:rsidR="00E87E3A" w:rsidRPr="00271E51" w:rsidRDefault="00E87E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Одновременно сообщаю, что конструктор самолета т. Сухой ведет работы по установке РД-1 на свой самолет в высот ном варианте...» (19586).</w:t>
      </w:r>
    </w:p>
    <w:p w14:paraId="3402B9F2" w14:textId="77777777" w:rsidR="00E87E3A" w:rsidRPr="00271E51" w:rsidRDefault="00E87E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7A435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возможно под дав</w:t>
      </w:r>
      <w:r w:rsidRPr="00271E51">
        <w:rPr>
          <w:rFonts w:ascii="Times New Roman" w:hAnsi="Times New Roman"/>
          <w:color w:val="000000" w:themeColor="text1"/>
          <w:sz w:val="16"/>
          <w:szCs w:val="16"/>
        </w:rPr>
        <w:softHyphen/>
        <w:t>лением военных, НКАП выступил с предложением переделать Су-6 под АМ-42. Применение последне</w:t>
      </w:r>
      <w:r w:rsidRPr="00271E51">
        <w:rPr>
          <w:rFonts w:ascii="Times New Roman" w:hAnsi="Times New Roman"/>
          <w:color w:val="000000" w:themeColor="text1"/>
          <w:sz w:val="16"/>
          <w:szCs w:val="16"/>
        </w:rPr>
        <w:softHyphen/>
        <w:t>го, имевшего больший вес и меньшую живучесть в бою (что неизбежно влекло за собой установку дополнительной бро</w:t>
      </w:r>
      <w:r w:rsidRPr="00271E51">
        <w:rPr>
          <w:rFonts w:ascii="Times New Roman" w:hAnsi="Times New Roman"/>
          <w:color w:val="000000" w:themeColor="text1"/>
          <w:sz w:val="16"/>
          <w:szCs w:val="16"/>
        </w:rPr>
        <w:softHyphen/>
        <w:t>ни), не могло не ухудшить летно-боевые качества штурмовика в рамках ранее принятых аэродинамических и компоно</w:t>
      </w:r>
      <w:r w:rsidRPr="00271E51">
        <w:rPr>
          <w:rFonts w:ascii="Times New Roman" w:hAnsi="Times New Roman"/>
          <w:color w:val="000000" w:themeColor="text1"/>
          <w:sz w:val="16"/>
          <w:szCs w:val="16"/>
        </w:rPr>
        <w:softHyphen/>
        <w:t>вочных решений. Сухой первоначально возражал, но переделка была возможна, и в случае успеха появлялся шанс запу</w:t>
      </w:r>
      <w:r w:rsidRPr="00271E51">
        <w:rPr>
          <w:rFonts w:ascii="Times New Roman" w:hAnsi="Times New Roman"/>
          <w:color w:val="000000" w:themeColor="text1"/>
          <w:sz w:val="16"/>
          <w:szCs w:val="16"/>
        </w:rPr>
        <w:softHyphen/>
        <w:t>стить самолет в массовое производство (10680).</w:t>
      </w:r>
    </w:p>
    <w:p w14:paraId="21B1F9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559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w:t>
      </w:r>
      <w:r w:rsidRPr="00271E51">
        <w:rPr>
          <w:rFonts w:ascii="Times New Roman" w:hAnsi="Times New Roman"/>
          <w:color w:val="000000" w:themeColor="text1"/>
          <w:sz w:val="16"/>
          <w:szCs w:val="16"/>
        </w:rPr>
        <w:softHyphen/>
        <w:t>ре 1943 г. в ОКБ П.О. Сухого завершили предварительную проработку проекта трехместного кор</w:t>
      </w:r>
      <w:r w:rsidRPr="00271E51">
        <w:rPr>
          <w:rFonts w:ascii="Times New Roman" w:hAnsi="Times New Roman"/>
          <w:color w:val="000000" w:themeColor="text1"/>
          <w:sz w:val="16"/>
          <w:szCs w:val="16"/>
        </w:rPr>
        <w:softHyphen/>
        <w:t>ректировщика с двумя двигателями воздушного охлаждения М-62, со следующими основными характеристиками:</w:t>
      </w:r>
    </w:p>
    <w:p w14:paraId="050BB3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самолёта, мм — 11250</w:t>
      </w:r>
    </w:p>
    <w:p w14:paraId="2CE2C8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 17760</w:t>
      </w:r>
    </w:p>
    <w:p w14:paraId="133F6BC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 45,0</w:t>
      </w:r>
    </w:p>
    <w:p w14:paraId="031731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Полётная масса, кг — 5700</w:t>
      </w:r>
    </w:p>
    <w:p w14:paraId="2BD1C9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полёта, км/ч:</w:t>
      </w:r>
    </w:p>
    <w:p w14:paraId="2A3C29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 (на номинальном режиме) — 380</w:t>
      </w:r>
    </w:p>
    <w:p w14:paraId="611E1C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Н=2000 м — 415</w:t>
      </w:r>
    </w:p>
    <w:p w14:paraId="5B34B2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подъёма на Н=2000 м, мин — 3,0</w:t>
      </w:r>
    </w:p>
    <w:p w14:paraId="0FC0EC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 —8000</w:t>
      </w:r>
    </w:p>
    <w:p w14:paraId="7732C3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дальность полёта, км  — 925</w:t>
      </w:r>
    </w:p>
    <w:p w14:paraId="718AEC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79A9F8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вперёд - пулемёт 12,7 мм</w:t>
      </w:r>
    </w:p>
    <w:p w14:paraId="08A8F3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турельная установка - пулемёт 12,7 мм</w:t>
      </w:r>
    </w:p>
    <w:p w14:paraId="548124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люковая установка - пулемёт 12,7 мм</w:t>
      </w:r>
    </w:p>
    <w:p w14:paraId="7967AF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Суммарный боекомплект - 750 патронов (11696).</w:t>
      </w:r>
    </w:p>
    <w:p w14:paraId="19C488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A28B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Су-8 был перевезен на Тушинский аэродром для подго</w:t>
      </w:r>
      <w:r w:rsidRPr="00271E51">
        <w:rPr>
          <w:rFonts w:ascii="Times New Roman" w:hAnsi="Times New Roman"/>
          <w:color w:val="000000" w:themeColor="text1"/>
          <w:sz w:val="16"/>
          <w:szCs w:val="16"/>
        </w:rPr>
        <w:softHyphen/>
        <w:t>товки к летным испытаниям (веду</w:t>
      </w:r>
      <w:r w:rsidRPr="00271E51">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271E51">
        <w:rPr>
          <w:rFonts w:ascii="Times New Roman" w:hAnsi="Times New Roman"/>
          <w:color w:val="000000" w:themeColor="text1"/>
          <w:sz w:val="16"/>
          <w:szCs w:val="16"/>
        </w:rPr>
        <w:softHyphen/>
        <w:t>работке самолета Су-6 под двига</w:t>
      </w:r>
      <w:r w:rsidRPr="00271E51">
        <w:rPr>
          <w:rFonts w:ascii="Times New Roman" w:hAnsi="Times New Roman"/>
          <w:color w:val="000000" w:themeColor="text1"/>
          <w:sz w:val="16"/>
          <w:szCs w:val="16"/>
        </w:rPr>
        <w:softHyphen/>
        <w:t>тель АМ-42. Под эти же двигатели, но уже в инициативном порядке до</w:t>
      </w:r>
      <w:r w:rsidRPr="00271E51">
        <w:rPr>
          <w:rFonts w:ascii="Times New Roman" w:hAnsi="Times New Roman"/>
          <w:color w:val="000000" w:themeColor="text1"/>
          <w:sz w:val="16"/>
          <w:szCs w:val="16"/>
        </w:rPr>
        <w:softHyphen/>
        <w:t>работали и проект самолета Су-8, однако проект ДДБШ 2АМ-42 остал</w:t>
      </w:r>
      <w:r w:rsidRPr="00271E51">
        <w:rPr>
          <w:rFonts w:ascii="Times New Roman" w:hAnsi="Times New Roman"/>
          <w:color w:val="000000" w:themeColor="text1"/>
          <w:sz w:val="16"/>
          <w:szCs w:val="16"/>
        </w:rPr>
        <w:softHyphen/>
        <w:t>ся нереализованным (11853).</w:t>
      </w:r>
    </w:p>
    <w:p w14:paraId="2DD6E7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72D1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проходил испытания Ла-5 с М-82 "82-ВГ" N 2124 и продолжил испытания, начатые в августе (744,2).</w:t>
      </w:r>
    </w:p>
    <w:p w14:paraId="57EA64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712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пре</w:t>
      </w:r>
      <w:r w:rsidRPr="00271E51">
        <w:rPr>
          <w:rFonts w:ascii="Times New Roman" w:hAnsi="Times New Roman"/>
          <w:color w:val="000000" w:themeColor="text1"/>
          <w:sz w:val="16"/>
          <w:szCs w:val="16"/>
        </w:rPr>
        <w:softHyphen/>
        <w:t>дохранительные отверстии ресивера, который служил для охлаж</w:t>
      </w:r>
      <w:r w:rsidRPr="00271E51">
        <w:rPr>
          <w:rFonts w:ascii="Times New Roman" w:hAnsi="Times New Roman"/>
          <w:color w:val="000000" w:themeColor="text1"/>
          <w:sz w:val="16"/>
          <w:szCs w:val="16"/>
        </w:rPr>
        <w:softHyphen/>
        <w:t>дения выхлопных газов и отделения конденсата отвер</w:t>
      </w:r>
      <w:r w:rsidRPr="00271E51">
        <w:rPr>
          <w:rFonts w:ascii="Times New Roman" w:hAnsi="Times New Roman"/>
          <w:color w:val="000000" w:themeColor="text1"/>
          <w:sz w:val="16"/>
          <w:szCs w:val="16"/>
        </w:rPr>
        <w:softHyphen/>
        <w:t>стия заварили на всех сданных Ла-5 и живучесть истребителей повысилась (11123).</w:t>
      </w:r>
    </w:p>
    <w:p w14:paraId="33EC7E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93E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харьковский авиазавод приступил к сборке Як-7 и Як-9 из агрегатов, изготовленных в Новосибирске и Омске (10674).</w:t>
      </w:r>
    </w:p>
    <w:p w14:paraId="4D70F3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FA9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 ОКБ А.С.Я. был построен Як-9У с Вя-23 вместо Н-37 (65,146).</w:t>
      </w:r>
    </w:p>
    <w:p w14:paraId="1C7EA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C31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на опытном заводе № 115 построили Як-9У, и в следующем месяце он прошел заводские испытания.</w:t>
      </w:r>
    </w:p>
    <w:p w14:paraId="2B939A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ОКБ-153 предложило разработать унифицированный вариант истребителя Як-9. До настоящего времени в печати, включая книгу А.Т. Степанца "Истребители ЯК периода Великой Отечественной войны" самолет преподносился как "улучшенный", однако документ, найденный в архиве ОКБ имени А.С. Яковлева под названием "Характеристика унифицированного самолета Як-9", датированный августом 1943 года, все расставил по своим местам.</w:t>
      </w:r>
    </w:p>
    <w:p w14:paraId="58A4AF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Предполагалось, что новая машина, в основу которой были положен фюзеляж и крыло Як-9Т, позволит, в зависимости от задачи, стоявшей перед военными, устанавливать стрел ково-пушечное вооружение в шести вариантах. При этом сохранялись шасси, оперение, силовая установка, пневмо-, бензо- и маслосистемы, электро- и радиооборудование, и прочее.</w:t>
      </w:r>
    </w:p>
    <w:p w14:paraId="40DBCC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предшественника, из-за необходимости установить маслорадиатор ОП-555, доработали центроплан крыла, сделав его по типу Як-3 с двигателем М-105ПФ. Тогда же сняли грузы весовой компенсации элеронов (7 кг), щели между элеронами и крылом закрыли полотняными перегородками и изменили нижнюю панель фюзеляжа между вторым и четвертым шпангоутом из- за установки нового водяного радиатора ОП-554, вала ручного управления самолетом и сидения пилота.</w:t>
      </w:r>
    </w:p>
    <w:p w14:paraId="4B48E6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заменили козырек фонаря кабилы летчика новым - с плоскими боковыми и передним стеклами. Поскольку лобовое стекло в перспективе должно было быть бронированным, на его место временно поставили макет прозрачной брони.</w:t>
      </w:r>
    </w:p>
    <w:p w14:paraId="46BE2B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Полотняную обшивку хвостовой части фюзеляжа заменили фанерной и улучшили герметизацию фюзеляжа, отполировав передние кромки крыла, хвостового оперения и носовую часть капота. Вместо двух воздушных баллонов объемом по семь литров, предназначавшихся для запуска двигателя, поставили один восьмилитровый.</w:t>
      </w:r>
    </w:p>
    <w:p w14:paraId="088D8B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машины включало 23-миллиметровую пушку ВЯ (МП-23) с боезапасом 60 патронов и пару синхронных пулеметов УБС (по 170 патронов на ствол). При этом предусмотрели замену МП-23 на МП-20 и МП-37, причем в последнем вари- Як-9М анте снимался один из пулеметов.</w:t>
      </w:r>
    </w:p>
    <w:p w14:paraId="394058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747DEC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1DEE2E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D8302" w14:textId="77777777" w:rsidR="000734CF" w:rsidRPr="00271E51" w:rsidRDefault="000734C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заводе № 115 постро</w:t>
      </w:r>
      <w:r w:rsidRPr="00271E51">
        <w:rPr>
          <w:rFonts w:ascii="Times New Roman" w:hAnsi="Times New Roman"/>
          <w:color w:val="000000" w:themeColor="text1"/>
          <w:sz w:val="16"/>
          <w:szCs w:val="16"/>
        </w:rPr>
        <w:softHyphen/>
        <w:t>или унифицированный истребитель Як-9У, в основу которого положили Як-9Т. Ожида</w:t>
      </w:r>
      <w:r w:rsidRPr="00271E51">
        <w:rPr>
          <w:rFonts w:ascii="Times New Roman" w:hAnsi="Times New Roman"/>
          <w:color w:val="000000" w:themeColor="text1"/>
          <w:sz w:val="16"/>
          <w:szCs w:val="16"/>
        </w:rPr>
        <w:softHyphen/>
        <w:t>лось, что на нём можно будет в зависимости от выполняемой задачи устанавливать один из шести вариантов вооружения. Шасси, оперение, силовая установка, пневмо-, бен- зо- и маслосистемы, электро- и радиообо</w:t>
      </w:r>
      <w:r w:rsidRPr="00271E51">
        <w:rPr>
          <w:rFonts w:ascii="Times New Roman" w:hAnsi="Times New Roman"/>
          <w:color w:val="000000" w:themeColor="text1"/>
          <w:sz w:val="16"/>
          <w:szCs w:val="16"/>
        </w:rPr>
        <w:softHyphen/>
        <w:t>рудование сохранили от Як-9Т.</w:t>
      </w:r>
    </w:p>
    <w:p w14:paraId="4B17DA1D"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Из-за введения более производительного маслорадиатора ОП-555 доработали цен</w:t>
      </w:r>
      <w:r w:rsidRPr="00271E51">
        <w:rPr>
          <w:rFonts w:ascii="Times New Roman" w:cs="Times New Roman"/>
          <w:color w:val="000000" w:themeColor="text1"/>
          <w:spacing w:val="0"/>
        </w:rPr>
        <w:softHyphen/>
        <w:t>троплан, выполнив его по образцу Як-3 с двигателем М-105ПФ. Сняли грузы весо</w:t>
      </w:r>
      <w:r w:rsidRPr="00271E51">
        <w:rPr>
          <w:rFonts w:ascii="Times New Roman" w:cs="Times New Roman"/>
          <w:color w:val="000000" w:themeColor="text1"/>
          <w:spacing w:val="0"/>
        </w:rPr>
        <w:softHyphen/>
        <w:t>вой компенсации элеронов, щели между элеронами и крылом закрыли полотняными перегородками и изменили нижнюю панель фюзеляжа из-за установки водяного ради</w:t>
      </w:r>
      <w:r w:rsidRPr="00271E51">
        <w:rPr>
          <w:rFonts w:ascii="Times New Roman" w:cs="Times New Roman"/>
          <w:color w:val="000000" w:themeColor="text1"/>
          <w:spacing w:val="0"/>
        </w:rPr>
        <w:softHyphen/>
        <w:t>атора ОП-554, вала ручного управления самолётом и нового сиденья пилота.</w:t>
      </w:r>
    </w:p>
    <w:p w14:paraId="6D176412"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Одновременно заменили козырёк фона</w:t>
      </w:r>
      <w:r w:rsidRPr="00271E51">
        <w:rPr>
          <w:rFonts w:ascii="Times New Roman" w:cs="Times New Roman"/>
          <w:color w:val="000000" w:themeColor="text1"/>
          <w:spacing w:val="0"/>
        </w:rPr>
        <w:softHyphen/>
        <w:t>ря кабины новым, с плоскими боковыми и передним стёклами. В перспективе наме</w:t>
      </w:r>
      <w:r w:rsidRPr="00271E51">
        <w:rPr>
          <w:rFonts w:ascii="Times New Roman" w:cs="Times New Roman"/>
          <w:color w:val="000000" w:themeColor="text1"/>
          <w:spacing w:val="0"/>
        </w:rPr>
        <w:softHyphen/>
        <w:t>ревались ввести переднее бронестекло, но из-за его отсутствия временно поставили макет прозрачной брони.</w:t>
      </w:r>
    </w:p>
    <w:p w14:paraId="35670911"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Полотняную обшивку хвостовой части за</w:t>
      </w:r>
      <w:r w:rsidRPr="00271E51">
        <w:rPr>
          <w:rFonts w:ascii="Times New Roman" w:cs="Times New Roman"/>
          <w:color w:val="000000" w:themeColor="text1"/>
          <w:spacing w:val="0"/>
        </w:rPr>
        <w:softHyphen/>
        <w:t>менили фанерной и улучшили герметизацию фюзеляжа, отполировали передние кромки крыла, хвостового оперения и носовую часть капота. Вместо двух воздушных баллонов по 7 л, предназначавшихся для запуска двига</w:t>
      </w:r>
      <w:r w:rsidRPr="00271E51">
        <w:rPr>
          <w:rFonts w:ascii="Times New Roman" w:cs="Times New Roman"/>
          <w:color w:val="000000" w:themeColor="text1"/>
          <w:spacing w:val="0"/>
        </w:rPr>
        <w:softHyphen/>
        <w:t>теля, поставили один ёмкостью 8 л.</w:t>
      </w:r>
    </w:p>
    <w:p w14:paraId="4CD394D6"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Вооружение включало 23-мм пушку ВЯ (МП-23) с боезапасом 60 патронов и пару пулемётов УБС (по 170 патронов на ствол). Предусмотрели замену МП-23 на МП-20 или МП-37; в последнем случае один из пулемётов снимался.</w:t>
      </w:r>
    </w:p>
    <w:p w14:paraId="6C01B067"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В декабре Як-9У прошёл заводские испыта</w:t>
      </w:r>
      <w:r w:rsidRPr="00271E51">
        <w:rPr>
          <w:rFonts w:ascii="Times New Roman" w:cs="Times New Roman"/>
          <w:color w:val="000000" w:themeColor="text1"/>
          <w:spacing w:val="0"/>
        </w:rPr>
        <w:softHyphen/>
        <w:t>ния, а 2 января 1944 г. экземпляр с мотором М-105ПФ и винтом ВИШ-105-СВ-01, ставший эталоном, поступил в НИИ ВВС. Ведущими на этапе госиспытаний были инженер М.А. Про</w:t>
      </w:r>
      <w:r w:rsidRPr="00271E51">
        <w:rPr>
          <w:rFonts w:ascii="Times New Roman" w:cs="Times New Roman"/>
          <w:color w:val="000000" w:themeColor="text1"/>
          <w:spacing w:val="0"/>
        </w:rPr>
        <w:softHyphen/>
        <w:t>нин и лётчик В.И. Хомяков. Полёты из-за до</w:t>
      </w:r>
      <w:r w:rsidRPr="00271E51">
        <w:rPr>
          <w:rFonts w:ascii="Times New Roman" w:cs="Times New Roman"/>
          <w:color w:val="000000" w:themeColor="text1"/>
          <w:spacing w:val="0"/>
        </w:rPr>
        <w:softHyphen/>
        <w:t>водки вооружения начались лишь 17 мая и затянулись почти на два месяца.</w:t>
      </w:r>
    </w:p>
    <w:p w14:paraId="17D95762"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По мнению испытателей, Як-9У по техни</w:t>
      </w:r>
      <w:r w:rsidRPr="00271E51">
        <w:rPr>
          <w:rFonts w:ascii="Times New Roman" w:cs="Times New Roman"/>
          <w:color w:val="000000" w:themeColor="text1"/>
          <w:spacing w:val="0"/>
        </w:rPr>
        <w:softHyphen/>
        <w:t>ке пилотирования ничем не отличался от серийного Як-9, а по лётным данным пре</w:t>
      </w:r>
      <w:r w:rsidRPr="00271E51">
        <w:rPr>
          <w:rFonts w:ascii="Times New Roman" w:cs="Times New Roman"/>
          <w:color w:val="000000" w:themeColor="text1"/>
          <w:spacing w:val="0"/>
        </w:rPr>
        <w:softHyphen/>
        <w:t>восходил его. В то же время, даже улучшен</w:t>
      </w:r>
      <w:r w:rsidRPr="00271E51">
        <w:rPr>
          <w:rFonts w:ascii="Times New Roman" w:cs="Times New Roman"/>
          <w:color w:val="000000" w:themeColor="text1"/>
          <w:spacing w:val="0"/>
        </w:rPr>
        <w:softHyphen/>
        <w:t>ная по сравнению с серийным истребите</w:t>
      </w:r>
      <w:r w:rsidRPr="00271E51">
        <w:rPr>
          <w:rFonts w:ascii="Times New Roman" w:cs="Times New Roman"/>
          <w:color w:val="000000" w:themeColor="text1"/>
          <w:spacing w:val="0"/>
        </w:rPr>
        <w:softHyphen/>
        <w:t>лем бронезащита всё же не удовлетворяла требованиям. Дальность, полученная при полёте на наивыгоднейшем режиме, не превышала 850 км и не соответствовала октябрьскому 1943 г. постановлению ГКО (требовавшему 1400 км для всех серийных вариантов Як-9). В серию эту машину за</w:t>
      </w:r>
      <w:r w:rsidRPr="00271E51">
        <w:rPr>
          <w:rFonts w:ascii="Times New Roman" w:cs="Times New Roman"/>
          <w:color w:val="000000" w:themeColor="text1"/>
          <w:spacing w:val="0"/>
        </w:rPr>
        <w:softHyphen/>
        <w:t>пускать не стали (19103).</w:t>
      </w:r>
    </w:p>
    <w:p w14:paraId="07F9F6BD" w14:textId="77777777" w:rsidR="000734CF" w:rsidRPr="00271E51" w:rsidRDefault="000734CF" w:rsidP="00271E51">
      <w:pPr>
        <w:pStyle w:val="27"/>
        <w:shd w:val="clear" w:color="auto" w:fill="auto"/>
        <w:spacing w:after="0" w:line="240" w:lineRule="auto"/>
        <w:ind w:firstLine="0"/>
        <w:rPr>
          <w:rFonts w:ascii="Times New Roman" w:cs="Times New Roman"/>
          <w:color w:val="000000" w:themeColor="text1"/>
          <w:spacing w:val="0"/>
        </w:rPr>
      </w:pPr>
    </w:p>
    <w:p w14:paraId="1B7B63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закончились испытания Як-3 с М-107А, которые шли с апреля 1943. Самолет был без вооружения (1728,35).</w:t>
      </w:r>
    </w:p>
    <w:p w14:paraId="67A945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D41E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 НИИ ВВС были проведены контрольные испытания серийных самолетов в соответствии с приказом N 915с: Як-7Б N 52 производства завода 153 выпуска октября 1943, Як-9Д N 0818 производства завода 153 выпуска ноября 1943 и Самолета Як-1 N 17162 производства завода 292 выпуска ноября 1943. Як-1 не выдержал испытаний, но на втором экз. N 20162 также обнаружена течь воды в картер (1782,60).</w:t>
      </w:r>
    </w:p>
    <w:p w14:paraId="5B9456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540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А.С.Я. утвердил отчет о заводских летных испытаниях И-220 с АМ-39 и АВ-5-Л126 и АМ-38Ф, которые проходили с 26 октября 1942 по 2 октября 1943 проходили (799,5).</w:t>
      </w:r>
    </w:p>
    <w:p w14:paraId="641F89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Отв. исполнители ви А.Г.Брунов</w:t>
      </w:r>
    </w:p>
    <w:p w14:paraId="28D9FE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 л Хорьков</w:t>
      </w:r>
    </w:p>
    <w:p w14:paraId="4E0876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И-220 с АМ-39 и АВ-5-Л126 диаметром 3,2</w:t>
      </w:r>
    </w:p>
    <w:p w14:paraId="35C2FD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3647 и с АМ-38Ф 3572</w:t>
      </w:r>
    </w:p>
    <w:p w14:paraId="14916A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20,38 м2, длина 9,5, размах 11, высота на стоянке 3,160, колеса 650х200, нагрузка на крыло 180</w:t>
      </w:r>
    </w:p>
    <w:p w14:paraId="29AD27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АМ-39</w:t>
      </w:r>
    </w:p>
    <w:p w14:paraId="72C3BC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571, на 1 гр. 2700 - 614, на 2 гр. 7800 - 697</w:t>
      </w:r>
    </w:p>
    <w:p w14:paraId="5A1760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АМ-38Ф3</w:t>
      </w:r>
    </w:p>
    <w:p w14:paraId="4DCC61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576, на 1 гр. 2650 - 624 (799,5).</w:t>
      </w:r>
    </w:p>
    <w:p w14:paraId="34BEE3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70F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Ла-5 внедрили индивидуальный дренаж каждого ба</w:t>
      </w:r>
      <w:r w:rsidRPr="00271E51">
        <w:rPr>
          <w:rFonts w:ascii="Times New Roman" w:hAnsi="Times New Roman"/>
          <w:color w:val="000000" w:themeColor="text1"/>
          <w:sz w:val="16"/>
          <w:szCs w:val="16"/>
        </w:rPr>
        <w:softHyphen/>
        <w:t xml:space="preserve">ка. На Ла-5 нередко двигатель «обрезал» после выработки более чем 3/4 заправки, а иногда при остатке </w:t>
      </w:r>
      <w:r w:rsidRPr="00271E51">
        <w:rPr>
          <w:rFonts w:ascii="Times New Roman" w:hAnsi="Times New Roman"/>
          <w:iCs/>
          <w:color w:val="000000" w:themeColor="text1"/>
          <w:sz w:val="16"/>
          <w:szCs w:val="16"/>
        </w:rPr>
        <w:t xml:space="preserve">в </w:t>
      </w:r>
      <w:r w:rsidRPr="00271E51">
        <w:rPr>
          <w:rFonts w:ascii="Times New Roman" w:hAnsi="Times New Roman"/>
          <w:color w:val="000000" w:themeColor="text1"/>
          <w:sz w:val="16"/>
          <w:szCs w:val="16"/>
        </w:rPr>
        <w:t>100 л и даже более. Де</w:t>
      </w:r>
      <w:r w:rsidRPr="00271E51">
        <w:rPr>
          <w:rFonts w:ascii="Times New Roman" w:hAnsi="Times New Roman"/>
          <w:color w:val="000000" w:themeColor="text1"/>
          <w:sz w:val="16"/>
          <w:szCs w:val="16"/>
        </w:rPr>
        <w:softHyphen/>
        <w:t>фект оказался в дренажной системе, которая не обеспечивала равенство давлений в крыльевых и в центральном баках. В строевых частях с этим боролись, просверливая дополнительные отверстия в дренажных трубках, которые связывали баки. В серии их просто перестали ставить (11123).</w:t>
      </w:r>
    </w:p>
    <w:p w14:paraId="4D628E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0E79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завод 13 направил в Фили на завод 23 10 М-82 с необходимой редукцией для Ту-2. К этому времени на заводе было только 12 двигателей, установленных на ту-2С омского завода. Потом их переделали в учебные, в т.ч. в спарки (4407,4).</w:t>
      </w:r>
    </w:p>
    <w:p w14:paraId="1B6310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347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23 завод выпустил только первый Ту-2 М-82ФН вместо 10 по постановлению ГКО и за четвертый квартал сдал 12 вместо 30 (1835,28).</w:t>
      </w:r>
    </w:p>
    <w:p w14:paraId="5B8096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78D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войсковые испытания Ту-2 в качестве разведчика завершились.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75AE29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1AF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 НИИ ВВС продолжились испытания Пе-2, оборудованного верхней установкой ФЗ с УБТ и увеличенным фонарем кабины пилота, доработанного по результатам испытаний в НИИ АВЮ Машины была N 3/198 с доработанной кабиной и этот вариант рекомендовали в серию, но так и не был внедрен из-за проволочек по вине НКАП (1841,28).</w:t>
      </w:r>
    </w:p>
    <w:p w14:paraId="4B4549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F53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опытный цех завода 22 в Казани приступил к изготовлению узлов и агрегатов советского Москито - Пе-2И В.М.М., работающего в ОКО-22. Постановление ГОКО вышло только 12 января 1944 (2471,34).</w:t>
      </w:r>
    </w:p>
    <w:p w14:paraId="18DF0B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0B6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был предъявлен макет новой версии Пе-3 (4476).</w:t>
      </w:r>
    </w:p>
    <w:p w14:paraId="5F1CA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C17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начались заводские летные испытания самолета Пе-2 с новыми моторами М-1. Двигатель, созданный на заводе № 16, представлял собой непосредственное развитие М-105 с сохранением его внешних форм и основных размеров (диаметр цилиндров был незначительно увеличен). По расчетам, М-1 должен был обеспечивать максимальную мощность 1500 л.с. у земли и 1300 л.с. на второй границе высотности 5000 м (напомним, что М-105ПФ у земли имел мощность 1210 л.с., а на второй границе высотности 2700 м - всего 1180 л.с.). Для установки новых многообещающих моторов завод выделил серийный Пе-2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301126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серийной машиной на 2,6 мин. Испытания закончились в феврале 1944 (4476).</w:t>
      </w:r>
    </w:p>
    <w:p w14:paraId="1D062F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14A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начались заводские летные испытания самолета Пе-2 с двигателями М-1. Этот мотор, созданный на заводе № 16, представлял собой на мотогондоле самолета непосредственное развитие М-105 с сохранением его внешних форм и основных размеров (диаметр цилиндров был все же незначительно увеличен). По расчетам, M-l должен был обеспечивать максимальную мощность 1500 л.с. у земли и 1300 л.с. на второй границе высотности 5000 м.</w:t>
      </w:r>
    </w:p>
    <w:p w14:paraId="5C620A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установки новых многообещающих моторов завод выделил серийный Пе-2 зав. № 12/224. После выполненных переделок мотогондолы "пешки" заметно изменились внешне. Так,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слева от мотора. Появились также специальные кожухи для продува пространства внутри развала моторов, где монтировались свечи, генератор ГС-1000 и другие агрегаты.</w:t>
      </w:r>
    </w:p>
    <w:p w14:paraId="3846D6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 заводской летчик Кондырев. Самолет с более мощными двигателями показал очень неплохие летные данные: максимальную скорость 475 км/ч у земли и 562 км/ч на высоте 6000 м при нормальной полетной массе 8300 кг. Время подъема на высоту 5000 м сократилось по сравнению с серийным на 2,6 мин. В акте по испытаниям, которые закончились в феврале 1944 г., отмечалось, что полученные данные могут быть улучшены. Для этого на самолете следовало реализовать комплекс мер по совершенствованию аэродинамики, предложенный ЦАГИ и осуществленный на Пе-2Б. Однако наркомат авиапромышленности уже связал свои перспективные планы с моторами M-I07A, а запускать в производство сразу два новых двигателя жидкостного охлаждения было неразумно, поэтому у Пе-2 с М-1 шансов на серию не осталось.</w:t>
      </w:r>
    </w:p>
    <w:p w14:paraId="10A220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Зато предпринимались попытки кратковременно повысить мощность обычных серийных моторов М-105ПФ за счет впрыска воды во всасывающие патрубки нагнетателей. Для проведения опытов был выделен Пе-2 зав. № 14/226. Результаты оказались неважными, поэтому самолет весной 1944 г. снова переоборудовали, но уже с другой целью. Сущность модификации заключалась в следующем:</w:t>
      </w:r>
    </w:p>
    <w:p w14:paraId="36D299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носок консольной части крыла до 25% хорды заменялся профилем NACA 230;</w:t>
      </w:r>
    </w:p>
    <w:p w14:paraId="48528D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переделывались законцовки консолей, в связи с чем размах крыла возрастал на 0,92 м, а площадь на 0,848 м!;</w:t>
      </w:r>
    </w:p>
    <w:p w14:paraId="21F841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изменялся передний лонжерон, средние части нервюр и входная часть тоннелей водорадиаторов.</w:t>
      </w:r>
    </w:p>
    <w:p w14:paraId="4BFF02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законченных в мае 1944 г., установили, что модифицированное крыло заметно улучшало летно-техниче- ские свойства "пешки", особенно на малых скоростях. Упростилось поведение самолета при посадке, он перестал валиться на крыло, уверенно летал на одном моторе. Новый профиль консолей плюс усовершенствованная технология отделки крыла в совокупности "добавили" машине 100 км дальности, способствовали увеличению потолка на 500 м и уменьшению длины разбега на 40 м.</w:t>
      </w:r>
    </w:p>
    <w:p w14:paraId="111C02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К сожалению, и это техническое решение несмотря на положительную оценку НИИ ВВС, осталось не внедренным в серию. Причина все та же нежелание руководства наркомата авиапромышленности принимать назревшие, но "слишком радикальные" решения. Нарком А.И. Шахурин не отважился санкционировать переход на новое крыло, что неизбежно привело бы к замене части технологического оборудования и временному снижению темпов выпуска "пешек"...</w:t>
      </w:r>
    </w:p>
    <w:p w14:paraId="7A8EB0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Заметим, что нарком имел объективные причины опасаться за снабжение авиации КА фронтовыми бомбардировщиками. Летом 1943 г. правительство США в одностороннем порядке пересмотрело заказ фирме "Дуглас", поставлявшей для американских, английских и советских ВВС бомбардировщик-штурмовик А-20 (у нас его многочисленные варианты называли "Бостон", хотя сами американцы предпочитали другое наименование - "Хэвок"). Заокеанские предприятия перешли на выпуск преимущественно модификации A-20G, не соответствовавшей запросам ВВС КА в связи с отсутствием штурмана в составе экипажа. Накануне нового, 1944 г. в НКАП и ГКО оживленно обсуждалась возможность и целесообразность отказа от поставок "Бостонов" (12042).</w:t>
      </w:r>
    </w:p>
    <w:p w14:paraId="4F1ED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CE5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повторные испытания была направлена машина Пе-2 № 3/198 с новым фонарем кабины летчика и установкой “ФЗ”. На этот раз нововведения получили безоговорочную поддержку военных и были рекомендованы в серию. И вот тут началась одна из самых неприглядных страниц в истории “пешки”. Все, казалось бы, понимали, что внедрение “ФЗ” обеспечит радикальное повышение обороноспособности самолета, улучшит условия работы пилота и штурмана, повысит безопасность экипажа. Но дело не двигалось. Наркомат авиапромышленности не давал разрешения на внедрение установки (опасаясь срыва плановых заданий), заводские специалисты не решались повторить опыт с несанкционированным внедрением “ФТ”, а руководство ВВС как-то очень скромно настаивало на своем. В результате Пе-2 с установкой “ФЗ” так никогда и не стал серийным (4476).</w:t>
      </w:r>
    </w:p>
    <w:p w14:paraId="22CF4F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555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по поводу октябрьского Акта, директор завода № 22 Окулов написал «Объяснительную»:</w:t>
      </w:r>
    </w:p>
    <w:p w14:paraId="472943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октябре Пе-2 с М-82 стали сдаваться.(...) Излишки моторов появились в связи с принятием и снятием вариантов «Разведчик» и Пе-3.(...) Большая часть импортного дюраля приходит в поврежденной таре, уже в коррозионном состоянии. Из 410 тонн дюраля уже зачищено 310. (...) Перерасход спирта - 1000 литров, за июнь-август: отдел технического снабжения - 600 литров, лаборатория - 335 литров и управление делами - 50 литров» (12049).</w:t>
      </w:r>
    </w:p>
    <w:p w14:paraId="150708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302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повторные испытания направили машину Пе-3 (завод</w:t>
      </w:r>
      <w:r w:rsidRPr="00271E51">
        <w:rPr>
          <w:rFonts w:ascii="Times New Roman" w:hAnsi="Times New Roman"/>
          <w:color w:val="000000" w:themeColor="text1"/>
          <w:sz w:val="16"/>
          <w:szCs w:val="16"/>
        </w:rPr>
        <w:softHyphen/>
        <w:t>ской №3/198) с доработанным фо</w:t>
      </w:r>
      <w:r w:rsidRPr="00271E51">
        <w:rPr>
          <w:rFonts w:ascii="Times New Roman" w:hAnsi="Times New Roman"/>
          <w:color w:val="000000" w:themeColor="text1"/>
          <w:sz w:val="16"/>
          <w:szCs w:val="16"/>
        </w:rPr>
        <w:softHyphen/>
        <w:t>нарём кабины лётчика и установкой ФЗ. На этот раз нововведения полу</w:t>
      </w:r>
      <w:r w:rsidRPr="00271E51">
        <w:rPr>
          <w:rFonts w:ascii="Times New Roman" w:hAnsi="Times New Roman"/>
          <w:color w:val="000000" w:themeColor="text1"/>
          <w:sz w:val="16"/>
          <w:szCs w:val="16"/>
        </w:rPr>
        <w:softHyphen/>
        <w:t>чили безоговорочную поддержку во</w:t>
      </w:r>
      <w:r w:rsidRPr="00271E51">
        <w:rPr>
          <w:rFonts w:ascii="Times New Roman" w:hAnsi="Times New Roman"/>
          <w:color w:val="000000" w:themeColor="text1"/>
          <w:sz w:val="16"/>
          <w:szCs w:val="16"/>
        </w:rPr>
        <w:softHyphen/>
        <w:t>енных и были рекомендованы в се</w:t>
      </w:r>
      <w:r w:rsidRPr="00271E51">
        <w:rPr>
          <w:rFonts w:ascii="Times New Roman" w:hAnsi="Times New Roman"/>
          <w:color w:val="000000" w:themeColor="text1"/>
          <w:sz w:val="16"/>
          <w:szCs w:val="16"/>
        </w:rPr>
        <w:softHyphen/>
        <w:t>рию. Самолёт Пе-2Б, считавшийся эталоном на 1944 г., также оснащали новым фонарём с ФЗ. И вот тут началась одна из самых непригляд</w:t>
      </w:r>
      <w:r w:rsidRPr="00271E51">
        <w:rPr>
          <w:rFonts w:ascii="Times New Roman" w:hAnsi="Times New Roman"/>
          <w:color w:val="000000" w:themeColor="text1"/>
          <w:sz w:val="16"/>
          <w:szCs w:val="16"/>
        </w:rPr>
        <w:softHyphen/>
        <w:t>ных страниц в истории «пешки».</w:t>
      </w:r>
    </w:p>
    <w:p w14:paraId="24EE2A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казалось, понимали, что ФЗ радикально повысит обороноспособ</w:t>
      </w:r>
      <w:r w:rsidRPr="00271E51">
        <w:rPr>
          <w:rFonts w:ascii="Times New Roman" w:hAnsi="Times New Roman"/>
          <w:color w:val="000000" w:themeColor="text1"/>
          <w:sz w:val="16"/>
          <w:szCs w:val="16"/>
        </w:rPr>
        <w:softHyphen/>
        <w:t>ность самолёта, улучшит условия работы пилота и штурмана, безопас</w:t>
      </w:r>
      <w:r w:rsidRPr="00271E51">
        <w:rPr>
          <w:rFonts w:ascii="Times New Roman" w:hAnsi="Times New Roman"/>
          <w:color w:val="000000" w:themeColor="text1"/>
          <w:sz w:val="16"/>
          <w:szCs w:val="16"/>
        </w:rPr>
        <w:softHyphen/>
        <w:t>ность экипажа. Но дело не двигалось. Наркомат авиапромышленности не разрешал внедрять установку (опа</w:t>
      </w:r>
      <w:r w:rsidRPr="00271E51">
        <w:rPr>
          <w:rFonts w:ascii="Times New Roman" w:hAnsi="Times New Roman"/>
          <w:color w:val="000000" w:themeColor="text1"/>
          <w:sz w:val="16"/>
          <w:szCs w:val="16"/>
        </w:rPr>
        <w:softHyphen/>
        <w:t>саясь срыва плановых заданий), за</w:t>
      </w:r>
      <w:r w:rsidRPr="00271E51">
        <w:rPr>
          <w:rFonts w:ascii="Times New Roman" w:hAnsi="Times New Roman"/>
          <w:color w:val="000000" w:themeColor="text1"/>
          <w:sz w:val="16"/>
          <w:szCs w:val="16"/>
        </w:rPr>
        <w:softHyphen/>
        <w:t>водские специалисты не решались повторить опыт с несанкционирован</w:t>
      </w:r>
      <w:r w:rsidRPr="00271E51">
        <w:rPr>
          <w:rFonts w:ascii="Times New Roman" w:hAnsi="Times New Roman"/>
          <w:color w:val="000000" w:themeColor="text1"/>
          <w:sz w:val="16"/>
          <w:szCs w:val="16"/>
        </w:rPr>
        <w:softHyphen/>
        <w:t>ным внедрением ФТ (тогда директор завода В.Окулов и главный конструк</w:t>
      </w:r>
      <w:r w:rsidRPr="00271E51">
        <w:rPr>
          <w:rFonts w:ascii="Times New Roman" w:hAnsi="Times New Roman"/>
          <w:color w:val="000000" w:themeColor="text1"/>
          <w:sz w:val="16"/>
          <w:szCs w:val="16"/>
        </w:rPr>
        <w:softHyphen/>
        <w:t>тор А.Изаксон едва не поплатились за самовольство), а руководство ВВС КА как-то «очень скромно» настаи</w:t>
      </w:r>
      <w:r w:rsidRPr="00271E51">
        <w:rPr>
          <w:rFonts w:ascii="Times New Roman" w:hAnsi="Times New Roman"/>
          <w:color w:val="000000" w:themeColor="text1"/>
          <w:sz w:val="16"/>
          <w:szCs w:val="16"/>
        </w:rPr>
        <w:softHyphen/>
        <w:t>вало на своём (вероятно, оно тоже опасалось даже временного сниже</w:t>
      </w:r>
      <w:r w:rsidRPr="00271E51">
        <w:rPr>
          <w:rFonts w:ascii="Times New Roman" w:hAnsi="Times New Roman"/>
          <w:color w:val="000000" w:themeColor="text1"/>
          <w:sz w:val="16"/>
          <w:szCs w:val="16"/>
        </w:rPr>
        <w:softHyphen/>
        <w:t>ния выпуска массового фронтового бомбардировщика). «Пешка» в кото</w:t>
      </w:r>
      <w:r w:rsidRPr="00271E51">
        <w:rPr>
          <w:rFonts w:ascii="Times New Roman" w:hAnsi="Times New Roman"/>
          <w:color w:val="000000" w:themeColor="text1"/>
          <w:sz w:val="16"/>
          <w:szCs w:val="16"/>
        </w:rPr>
        <w:softHyphen/>
        <w:t>рый раз оказалась в порочном кру</w:t>
      </w:r>
      <w:r w:rsidRPr="00271E51">
        <w:rPr>
          <w:rFonts w:ascii="Times New Roman" w:hAnsi="Times New Roman"/>
          <w:color w:val="000000" w:themeColor="text1"/>
          <w:sz w:val="16"/>
          <w:szCs w:val="16"/>
        </w:rPr>
        <w:softHyphen/>
        <w:t>гу: «хронический аврал» промышлен</w:t>
      </w:r>
      <w:r w:rsidRPr="00271E51">
        <w:rPr>
          <w:rFonts w:ascii="Times New Roman" w:hAnsi="Times New Roman"/>
          <w:color w:val="000000" w:themeColor="text1"/>
          <w:sz w:val="16"/>
          <w:szCs w:val="16"/>
        </w:rPr>
        <w:softHyphen/>
        <w:t>ности требовал «гнать план», воспол</w:t>
      </w:r>
      <w:r w:rsidRPr="00271E51">
        <w:rPr>
          <w:rFonts w:ascii="Times New Roman" w:hAnsi="Times New Roman"/>
          <w:color w:val="000000" w:themeColor="text1"/>
          <w:sz w:val="16"/>
          <w:szCs w:val="16"/>
        </w:rPr>
        <w:softHyphen/>
        <w:t>няя потери, а уменьшить их, каче</w:t>
      </w:r>
      <w:r w:rsidRPr="00271E51">
        <w:rPr>
          <w:rFonts w:ascii="Times New Roman" w:hAnsi="Times New Roman"/>
          <w:color w:val="000000" w:themeColor="text1"/>
          <w:sz w:val="16"/>
          <w:szCs w:val="16"/>
        </w:rPr>
        <w:softHyphen/>
        <w:t>ственно улучшив конструкцию, не давал неумолимый темп выпуска. В результате Пе-2 с установкой ФЗ так и не стал серийным, а десятки (если не сотни) экипажей поплатились за это своими жизнями.</w:t>
      </w:r>
    </w:p>
    <w:p w14:paraId="5FD55F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Кстати, усиление вооружения и возросшая масса Пе-2 не лучшим образом отозвались на ЛТХ: борто</w:t>
      </w:r>
      <w:r w:rsidRPr="00271E51">
        <w:rPr>
          <w:rFonts w:ascii="Times New Roman" w:hAnsi="Times New Roman"/>
          <w:color w:val="000000" w:themeColor="text1"/>
          <w:sz w:val="16"/>
          <w:szCs w:val="16"/>
        </w:rPr>
        <w:softHyphen/>
        <w:t>вой пулемёт и громоздкий экран ту</w:t>
      </w:r>
      <w:r w:rsidRPr="00271E51">
        <w:rPr>
          <w:rFonts w:ascii="Times New Roman" w:hAnsi="Times New Roman"/>
          <w:color w:val="000000" w:themeColor="text1"/>
          <w:sz w:val="16"/>
          <w:szCs w:val="16"/>
        </w:rPr>
        <w:softHyphen/>
        <w:t>рели ВУБ-1 отнимали 12-14 км/ч, ещё 16-20 км/ч «съедали» плохая отдел</w:t>
      </w:r>
      <w:r w:rsidRPr="00271E51">
        <w:rPr>
          <w:rFonts w:ascii="Times New Roman" w:hAnsi="Times New Roman"/>
          <w:color w:val="000000" w:themeColor="text1"/>
          <w:sz w:val="16"/>
          <w:szCs w:val="16"/>
        </w:rPr>
        <w:softHyphen/>
        <w:t>ка и низкое качество сборки, из-за чего самолёты выпуска второй по</w:t>
      </w:r>
      <w:r w:rsidRPr="00271E51">
        <w:rPr>
          <w:rFonts w:ascii="Times New Roman" w:hAnsi="Times New Roman"/>
          <w:color w:val="000000" w:themeColor="text1"/>
          <w:sz w:val="16"/>
          <w:szCs w:val="16"/>
        </w:rPr>
        <w:softHyphen/>
        <w:t>ловины 1942 г. в максимальной ско</w:t>
      </w:r>
      <w:r w:rsidRPr="00271E51">
        <w:rPr>
          <w:rFonts w:ascii="Times New Roman" w:hAnsi="Times New Roman"/>
          <w:color w:val="000000" w:themeColor="text1"/>
          <w:sz w:val="16"/>
          <w:szCs w:val="16"/>
        </w:rPr>
        <w:softHyphen/>
        <w:t>рости более чем на 40 км/ч уступа</w:t>
      </w:r>
      <w:r w:rsidRPr="00271E51">
        <w:rPr>
          <w:rFonts w:ascii="Times New Roman" w:hAnsi="Times New Roman"/>
          <w:color w:val="000000" w:themeColor="text1"/>
          <w:sz w:val="16"/>
          <w:szCs w:val="16"/>
        </w:rPr>
        <w:softHyphen/>
        <w:t>ли машинам августа 1941 г. Пред</w:t>
      </w:r>
      <w:r w:rsidRPr="00271E51">
        <w:rPr>
          <w:rFonts w:ascii="Times New Roman" w:hAnsi="Times New Roman"/>
          <w:color w:val="000000" w:themeColor="text1"/>
          <w:sz w:val="16"/>
          <w:szCs w:val="16"/>
        </w:rPr>
        <w:softHyphen/>
        <w:t>принятое с 205-й серии улучшение аэродинамики (ещё раньше, со 179-й серии, убрали в крыло замки и упо</w:t>
      </w:r>
      <w:r w:rsidRPr="00271E51">
        <w:rPr>
          <w:rFonts w:ascii="Times New Roman" w:hAnsi="Times New Roman"/>
          <w:color w:val="000000" w:themeColor="text1"/>
          <w:sz w:val="16"/>
          <w:szCs w:val="16"/>
        </w:rPr>
        <w:softHyphen/>
        <w:t>ры крыльевых бомбодержателей) позволили подтянуть скорость лишь до 520 км/ч. Но «пешка» уже не могла тягаться с немецкими истре</w:t>
      </w:r>
      <w:r w:rsidRPr="00271E51">
        <w:rPr>
          <w:rFonts w:ascii="Times New Roman" w:hAnsi="Times New Roman"/>
          <w:color w:val="000000" w:themeColor="text1"/>
          <w:sz w:val="16"/>
          <w:szCs w:val="16"/>
        </w:rPr>
        <w:softHyphen/>
        <w:t>бителями, ЛТХ и вооружение кото</w:t>
      </w:r>
      <w:r w:rsidRPr="00271E51">
        <w:rPr>
          <w:rFonts w:ascii="Times New Roman" w:hAnsi="Times New Roman"/>
          <w:color w:val="000000" w:themeColor="text1"/>
          <w:sz w:val="16"/>
          <w:szCs w:val="16"/>
        </w:rPr>
        <w:softHyphen/>
        <w:t>рых заметно улучшились. ФВ190А-4 и Ме109С-6 легко настигали Пе-2, даже имеющего преимущество в вы</w:t>
      </w:r>
      <w:r w:rsidRPr="00271E51">
        <w:rPr>
          <w:rFonts w:ascii="Times New Roman" w:hAnsi="Times New Roman"/>
          <w:color w:val="000000" w:themeColor="text1"/>
          <w:sz w:val="16"/>
          <w:szCs w:val="16"/>
        </w:rPr>
        <w:softHyphen/>
        <w:t>соте.</w:t>
      </w:r>
    </w:p>
    <w:p w14:paraId="17BCEF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Впрочем, при хорошей слётанно</w:t>
      </w:r>
      <w:r w:rsidRPr="00271E51">
        <w:rPr>
          <w:rFonts w:ascii="Times New Roman" w:hAnsi="Times New Roman"/>
          <w:color w:val="000000" w:themeColor="text1"/>
          <w:sz w:val="16"/>
          <w:szCs w:val="16"/>
        </w:rPr>
        <w:softHyphen/>
        <w:t>сти экипажам «пешек» не раз удава</w:t>
      </w:r>
      <w:r w:rsidRPr="00271E51">
        <w:rPr>
          <w:rFonts w:ascii="Times New Roman" w:hAnsi="Times New Roman"/>
          <w:color w:val="000000" w:themeColor="text1"/>
          <w:sz w:val="16"/>
          <w:szCs w:val="16"/>
        </w:rPr>
        <w:softHyphen/>
        <w:t>лось отбиться от истребителей. В сентябре 1942 г. одиночный развед</w:t>
      </w:r>
      <w:r w:rsidRPr="00271E51">
        <w:rPr>
          <w:rFonts w:ascii="Times New Roman" w:hAnsi="Times New Roman"/>
          <w:color w:val="000000" w:themeColor="text1"/>
          <w:sz w:val="16"/>
          <w:szCs w:val="16"/>
        </w:rPr>
        <w:softHyphen/>
        <w:t>чик Пе-2 Л.Боброва перехватила пара Ме-109 в районе Сталинграда над аэродромом Тузов. Обнаружив, что пулемёт штурмана отказал, нем</w:t>
      </w:r>
      <w:r w:rsidRPr="00271E51">
        <w:rPr>
          <w:rFonts w:ascii="Times New Roman" w:hAnsi="Times New Roman"/>
          <w:color w:val="000000" w:themeColor="text1"/>
          <w:sz w:val="16"/>
          <w:szCs w:val="16"/>
        </w:rPr>
        <w:softHyphen/>
        <w:t>цы пристроились сбоку, жестами ука</w:t>
      </w:r>
      <w:r w:rsidRPr="00271E51">
        <w:rPr>
          <w:rFonts w:ascii="Times New Roman" w:hAnsi="Times New Roman"/>
          <w:color w:val="000000" w:themeColor="text1"/>
          <w:sz w:val="16"/>
          <w:szCs w:val="16"/>
        </w:rPr>
        <w:softHyphen/>
        <w:t>зывая на безысходность положения советского самолёта. В ответ коман</w:t>
      </w:r>
      <w:r w:rsidRPr="00271E51">
        <w:rPr>
          <w:rFonts w:ascii="Times New Roman" w:hAnsi="Times New Roman"/>
          <w:color w:val="000000" w:themeColor="text1"/>
          <w:sz w:val="16"/>
          <w:szCs w:val="16"/>
        </w:rPr>
        <w:softHyphen/>
        <w:t>дир бросил машину в сторону, под</w:t>
      </w:r>
      <w:r w:rsidRPr="00271E51">
        <w:rPr>
          <w:rFonts w:ascii="Times New Roman" w:hAnsi="Times New Roman"/>
          <w:color w:val="000000" w:themeColor="text1"/>
          <w:sz w:val="16"/>
          <w:szCs w:val="16"/>
        </w:rPr>
        <w:softHyphen/>
        <w:t>ставив брюхо ведущего «мессерш-митта» под очередь заранее изготовившегося стрелка, и тот расстрелял немца в упор. Ведомый, шокирован</w:t>
      </w:r>
      <w:r w:rsidRPr="00271E51">
        <w:rPr>
          <w:rFonts w:ascii="Times New Roman" w:hAnsi="Times New Roman"/>
          <w:color w:val="000000" w:themeColor="text1"/>
          <w:sz w:val="16"/>
          <w:szCs w:val="16"/>
        </w:rPr>
        <w:softHyphen/>
        <w:t>ный результатом, вышел из боя (11432).</w:t>
      </w:r>
    </w:p>
    <w:p w14:paraId="462B28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826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макетная комиссия НИИ ВВС рассмотрела новый вариант Пе-3 (235,6) и машина имела установку штурмана ФЗ, которую потом НКАП в серию не пустил (2475,19).</w:t>
      </w:r>
    </w:p>
    <w:p w14:paraId="6506B5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71D80"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ноябре 1943 года работы по Гу-ВРД закрыли. (по материалам - </w:t>
      </w:r>
      <w:hyperlink r:id="rId125" w:tgtFrame="_blank" w:history="1">
        <w:r w:rsidRPr="00271E51">
          <w:rPr>
            <w:rFonts w:ascii="Times New Roman" w:hAnsi="Times New Roman"/>
            <w:color w:val="000000" w:themeColor="text1"/>
            <w:sz w:val="16"/>
            <w:szCs w:val="16"/>
          </w:rPr>
          <w:t>http://www.aviarmor.net/aww2/projects/ussr/gudkov_gu_vrd.htm</w:t>
        </w:r>
      </w:hyperlink>
      <w:r w:rsidRPr="00271E51">
        <w:rPr>
          <w:rFonts w:ascii="Times New Roman" w:hAnsi="Times New Roman"/>
          <w:color w:val="000000" w:themeColor="text1"/>
          <w:sz w:val="16"/>
          <w:szCs w:val="16"/>
        </w:rPr>
        <w:t>) (15571).</w:t>
      </w:r>
    </w:p>
    <w:p w14:paraId="07E38F78"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 ?</w:t>
      </w:r>
    </w:p>
    <w:p w14:paraId="4003AB83"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 ?</w:t>
      </w:r>
    </w:p>
    <w:p w14:paraId="67D78DEA"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 11 м.кв.</w:t>
      </w:r>
    </w:p>
    <w:p w14:paraId="536C353B"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- 2250 кг</w:t>
      </w:r>
    </w:p>
    <w:p w14:paraId="7942EF7F"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 870 км\ч на уровне земли</w:t>
      </w:r>
    </w:p>
    <w:p w14:paraId="17EADDE4"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 700 км</w:t>
      </w:r>
    </w:p>
    <w:p w14:paraId="284F25F5"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Продолжительность полёта - 1 час</w:t>
      </w:r>
    </w:p>
    <w:p w14:paraId="7F6FEF55"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 ?</w:t>
      </w:r>
    </w:p>
    <w:p w14:paraId="043D8D17"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 один воздушно-реактивный РД-1 тягой 1500</w:t>
      </w:r>
    </w:p>
    <w:p w14:paraId="485A4C8C"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 1 человек</w:t>
      </w:r>
    </w:p>
    <w:p w14:paraId="4B37829B"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одна 20-мм пушка ШВАК с запасом 200 снарядов и один 12,7-мм пулемет БС с запасом 200 патронов (15571).</w:t>
      </w:r>
    </w:p>
    <w:p w14:paraId="2B9A55CB" w14:textId="77777777" w:rsidR="00110BE5" w:rsidRPr="00271E51" w:rsidRDefault="00110BE5" w:rsidP="00271E51">
      <w:pPr>
        <w:spacing w:after="0" w:line="240" w:lineRule="auto"/>
        <w:jc w:val="both"/>
        <w:rPr>
          <w:rFonts w:ascii="Times New Roman" w:hAnsi="Times New Roman"/>
          <w:color w:val="000000" w:themeColor="text1"/>
          <w:sz w:val="16"/>
          <w:szCs w:val="16"/>
        </w:rPr>
      </w:pPr>
    </w:p>
    <w:p w14:paraId="5ADA0C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филиал ОКБ-22 перевели на завод № 89, расположенный на Центральном аэродроме и, после слияния с заводом № 482, он получил обозначение ОКБ-482 (ныне на этой территории находится ОКБ имени С.В.Ильюшина), 482-й завод частично реконструировали и приспособили для решения новых задач: создания высотных самолетов и оборудования для них. Реорганизация ОКБ-482 почти на три месяца приостановила все работы по ДВБ-102 (3337).</w:t>
      </w:r>
    </w:p>
    <w:p w14:paraId="7A1627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867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филиал ОКБ-22 перевели на завод № 89, располагавшийся на Центральном аэро</w:t>
      </w:r>
      <w:r w:rsidRPr="00271E51">
        <w:rPr>
          <w:rFonts w:ascii="Times New Roman" w:hAnsi="Times New Roman"/>
          <w:color w:val="000000" w:themeColor="text1"/>
          <w:sz w:val="16"/>
          <w:szCs w:val="16"/>
        </w:rPr>
        <w:softHyphen/>
        <w:t>дроме, и после слияния с заводом № 482 новая орга</w:t>
      </w:r>
      <w:r w:rsidRPr="00271E51">
        <w:rPr>
          <w:rFonts w:ascii="Times New Roman" w:hAnsi="Times New Roman"/>
          <w:color w:val="000000" w:themeColor="text1"/>
          <w:sz w:val="16"/>
          <w:szCs w:val="16"/>
        </w:rPr>
        <w:softHyphen/>
        <w:t>низация получила обозначение ОКБ-482. Ныне на этой территории находится Авиационный комплекс имени С.В. Ильюшина. Завод № 482 частично реконструиро</w:t>
      </w:r>
      <w:r w:rsidRPr="00271E51">
        <w:rPr>
          <w:rFonts w:ascii="Times New Roman" w:hAnsi="Times New Roman"/>
          <w:color w:val="000000" w:themeColor="text1"/>
          <w:sz w:val="16"/>
          <w:szCs w:val="16"/>
        </w:rPr>
        <w:softHyphen/>
        <w:t>вали и приспособили для решения новых задач — соз</w:t>
      </w:r>
      <w:r w:rsidRPr="00271E51">
        <w:rPr>
          <w:rFonts w:ascii="Times New Roman" w:hAnsi="Times New Roman"/>
          <w:color w:val="000000" w:themeColor="text1"/>
          <w:sz w:val="16"/>
          <w:szCs w:val="16"/>
        </w:rPr>
        <w:softHyphen/>
        <w:t>дание высотных самолетов и оборудования для них. Реорганизация ОКБ-482 почти на три месяца приоста</w:t>
      </w:r>
      <w:r w:rsidRPr="00271E51">
        <w:rPr>
          <w:rFonts w:ascii="Times New Roman" w:hAnsi="Times New Roman"/>
          <w:color w:val="000000" w:themeColor="text1"/>
          <w:sz w:val="16"/>
          <w:szCs w:val="16"/>
        </w:rPr>
        <w:softHyphen/>
        <w:t>новила все работы по ДВБ-102 (11446).</w:t>
      </w:r>
    </w:p>
    <w:p w14:paraId="5A9535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329E62"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color w:val="000000" w:themeColor="text1"/>
          <w:sz w:val="16"/>
          <w:szCs w:val="16"/>
        </w:rPr>
        <w:t>В</w:t>
      </w:r>
      <w:r w:rsidRPr="00271E51">
        <w:rPr>
          <w:rFonts w:ascii="Times New Roman" w:hAnsi="Times New Roman"/>
          <w:noProof/>
          <w:color w:val="000000" w:themeColor="text1"/>
          <w:sz w:val="16"/>
          <w:szCs w:val="16"/>
        </w:rPr>
        <w:t xml:space="preserve"> ноябре 1943 г. две части коллектива объе</w:t>
      </w:r>
      <w:r w:rsidRPr="00271E51">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271E51">
        <w:rPr>
          <w:rFonts w:ascii="Times New Roman" w:hAnsi="Times New Roman"/>
          <w:noProof/>
          <w:color w:val="000000" w:themeColor="text1"/>
          <w:sz w:val="16"/>
          <w:szCs w:val="16"/>
        </w:rPr>
        <w:softHyphen/>
        <w:t>ния высотных машин.</w:t>
      </w:r>
    </w:p>
    <w:p w14:paraId="15F2ED7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A907A5" w:rsidRPr="00271E51" w14:paraId="2C85D10D" w14:textId="77777777" w:rsidTr="00ED5B0A">
        <w:trPr>
          <w:trHeight w:val="197"/>
        </w:trPr>
        <w:tc>
          <w:tcPr>
            <w:tcW w:w="2558" w:type="dxa"/>
            <w:tcBorders>
              <w:top w:val="single" w:sz="12" w:space="0" w:color="auto"/>
            </w:tcBorders>
            <w:shd w:val="clear" w:color="auto" w:fill="FFFFFF"/>
          </w:tcPr>
          <w:p w14:paraId="238DD7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13813871"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5F5F0B89"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5C4A615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ДВБ-102</w:t>
            </w:r>
          </w:p>
        </w:tc>
      </w:tr>
      <w:tr w:rsidR="00A907A5" w:rsidRPr="00271E51" w14:paraId="6D70B906" w14:textId="77777777" w:rsidTr="00ED5B0A">
        <w:trPr>
          <w:trHeight w:val="173"/>
        </w:trPr>
        <w:tc>
          <w:tcPr>
            <w:tcW w:w="2558" w:type="dxa"/>
            <w:shd w:val="clear" w:color="auto" w:fill="FFFFFF"/>
          </w:tcPr>
          <w:p w14:paraId="24B1B6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0AA20AD"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1940 г.</w:t>
            </w:r>
          </w:p>
        </w:tc>
        <w:tc>
          <w:tcPr>
            <w:tcW w:w="1910" w:type="dxa"/>
            <w:shd w:val="clear" w:color="auto" w:fill="FFFFFF"/>
          </w:tcPr>
          <w:p w14:paraId="29B45BC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2хМ-120ТК</w:t>
            </w:r>
          </w:p>
        </w:tc>
        <w:tc>
          <w:tcPr>
            <w:tcW w:w="1027" w:type="dxa"/>
            <w:shd w:val="clear" w:color="auto" w:fill="FFFFFF"/>
          </w:tcPr>
          <w:p w14:paraId="0730927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2хМ-71 ТК-3</w:t>
            </w:r>
          </w:p>
        </w:tc>
      </w:tr>
      <w:tr w:rsidR="00A907A5" w:rsidRPr="00271E51" w14:paraId="3114EB7A" w14:textId="77777777" w:rsidTr="00ED5B0A">
        <w:trPr>
          <w:trHeight w:val="178"/>
        </w:trPr>
        <w:tc>
          <w:tcPr>
            <w:tcW w:w="2558" w:type="dxa"/>
            <w:shd w:val="clear" w:color="auto" w:fill="FFFFFF"/>
          </w:tcPr>
          <w:p w14:paraId="1876FF7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Размах крыла (м)</w:t>
            </w:r>
          </w:p>
        </w:tc>
        <w:tc>
          <w:tcPr>
            <w:tcW w:w="950" w:type="dxa"/>
            <w:shd w:val="clear" w:color="auto" w:fill="FFFFFF"/>
          </w:tcPr>
          <w:p w14:paraId="283220A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25,16</w:t>
            </w:r>
          </w:p>
        </w:tc>
        <w:tc>
          <w:tcPr>
            <w:tcW w:w="1910" w:type="dxa"/>
            <w:shd w:val="clear" w:color="auto" w:fill="FFFFFF"/>
          </w:tcPr>
          <w:p w14:paraId="261BDD58"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25,168</w:t>
            </w:r>
          </w:p>
        </w:tc>
        <w:tc>
          <w:tcPr>
            <w:tcW w:w="1027" w:type="dxa"/>
            <w:shd w:val="clear" w:color="auto" w:fill="FFFFFF"/>
          </w:tcPr>
          <w:p w14:paraId="16074CA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25,22</w:t>
            </w:r>
          </w:p>
        </w:tc>
      </w:tr>
      <w:tr w:rsidR="00A907A5" w:rsidRPr="00271E51" w14:paraId="52B7C1CB" w14:textId="77777777" w:rsidTr="00ED5B0A">
        <w:trPr>
          <w:trHeight w:val="163"/>
        </w:trPr>
        <w:tc>
          <w:tcPr>
            <w:tcW w:w="2558" w:type="dxa"/>
            <w:shd w:val="clear" w:color="auto" w:fill="FFFFFF"/>
          </w:tcPr>
          <w:p w14:paraId="0A9A795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Длина (м)</w:t>
            </w:r>
          </w:p>
        </w:tc>
        <w:tc>
          <w:tcPr>
            <w:tcW w:w="950" w:type="dxa"/>
            <w:shd w:val="clear" w:color="auto" w:fill="FFFFFF"/>
          </w:tcPr>
          <w:p w14:paraId="632EE104"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18,90</w:t>
            </w:r>
          </w:p>
        </w:tc>
        <w:tc>
          <w:tcPr>
            <w:tcW w:w="1910" w:type="dxa"/>
            <w:shd w:val="clear" w:color="auto" w:fill="FFFFFF"/>
          </w:tcPr>
          <w:p w14:paraId="187B367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18,90</w:t>
            </w:r>
          </w:p>
        </w:tc>
        <w:tc>
          <w:tcPr>
            <w:tcW w:w="1027" w:type="dxa"/>
            <w:shd w:val="clear" w:color="auto" w:fill="FFFFFF"/>
          </w:tcPr>
          <w:p w14:paraId="49E4345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20,30</w:t>
            </w:r>
          </w:p>
        </w:tc>
      </w:tr>
      <w:tr w:rsidR="00A907A5" w:rsidRPr="00271E51" w14:paraId="01BE1626" w14:textId="77777777" w:rsidTr="00ED5B0A">
        <w:trPr>
          <w:trHeight w:val="178"/>
        </w:trPr>
        <w:tc>
          <w:tcPr>
            <w:tcW w:w="2558" w:type="dxa"/>
            <w:shd w:val="clear" w:color="auto" w:fill="FFFFFF"/>
          </w:tcPr>
          <w:p w14:paraId="6E9275B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Площадь крыла (м</w:t>
            </w:r>
            <w:r w:rsidRPr="00271E51">
              <w:rPr>
                <w:rFonts w:ascii="Times New Roman" w:hAnsi="Times New Roman"/>
                <w:noProof/>
                <w:color w:val="000000" w:themeColor="text1"/>
                <w:sz w:val="16"/>
                <w:szCs w:val="16"/>
                <w:vertAlign w:val="superscript"/>
                <w:lang w:val="en-US"/>
              </w:rPr>
              <w:t>г</w:t>
            </w:r>
            <w:r w:rsidRPr="00271E51">
              <w:rPr>
                <w:rFonts w:ascii="Times New Roman" w:hAnsi="Times New Roman"/>
                <w:noProof/>
                <w:color w:val="000000" w:themeColor="text1"/>
                <w:sz w:val="16"/>
                <w:szCs w:val="16"/>
                <w:lang w:val="en-US"/>
              </w:rPr>
              <w:t>)</w:t>
            </w:r>
          </w:p>
        </w:tc>
        <w:tc>
          <w:tcPr>
            <w:tcW w:w="950" w:type="dxa"/>
            <w:shd w:val="clear" w:color="auto" w:fill="FFFFFF"/>
          </w:tcPr>
          <w:p w14:paraId="03B9E531"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78,0</w:t>
            </w:r>
          </w:p>
        </w:tc>
        <w:tc>
          <w:tcPr>
            <w:tcW w:w="1910" w:type="dxa"/>
            <w:shd w:val="clear" w:color="auto" w:fill="FFFFFF"/>
          </w:tcPr>
          <w:p w14:paraId="0D9A2CD8"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78,34</w:t>
            </w:r>
          </w:p>
        </w:tc>
        <w:tc>
          <w:tcPr>
            <w:tcW w:w="1027" w:type="dxa"/>
            <w:shd w:val="clear" w:color="auto" w:fill="FFFFFF"/>
          </w:tcPr>
          <w:p w14:paraId="6EB71C1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78,8</w:t>
            </w:r>
          </w:p>
        </w:tc>
      </w:tr>
      <w:tr w:rsidR="00A907A5" w:rsidRPr="00271E51" w14:paraId="5F6C1FC3" w14:textId="77777777" w:rsidTr="00ED5B0A">
        <w:trPr>
          <w:trHeight w:val="173"/>
        </w:trPr>
        <w:tc>
          <w:tcPr>
            <w:tcW w:w="2558" w:type="dxa"/>
            <w:shd w:val="clear" w:color="auto" w:fill="FFFFFF"/>
          </w:tcPr>
          <w:p w14:paraId="7464574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Вес пустого (кг)</w:t>
            </w:r>
          </w:p>
        </w:tc>
        <w:tc>
          <w:tcPr>
            <w:tcW w:w="950" w:type="dxa"/>
            <w:shd w:val="clear" w:color="auto" w:fill="FFFFFF"/>
          </w:tcPr>
          <w:p w14:paraId="4875A786"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10392</w:t>
            </w:r>
          </w:p>
        </w:tc>
        <w:tc>
          <w:tcPr>
            <w:tcW w:w="1910" w:type="dxa"/>
            <w:shd w:val="clear" w:color="auto" w:fill="FFFFFF"/>
          </w:tcPr>
          <w:p w14:paraId="64A890F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11873</w:t>
            </w:r>
          </w:p>
        </w:tc>
        <w:tc>
          <w:tcPr>
            <w:tcW w:w="1027" w:type="dxa"/>
            <w:shd w:val="clear" w:color="auto" w:fill="FFFFFF"/>
          </w:tcPr>
          <w:p w14:paraId="31CEA3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A9CF15" w14:textId="77777777" w:rsidTr="00ED5B0A">
        <w:trPr>
          <w:trHeight w:val="158"/>
        </w:trPr>
        <w:tc>
          <w:tcPr>
            <w:tcW w:w="2558" w:type="dxa"/>
            <w:shd w:val="clear" w:color="auto" w:fill="FFFFFF"/>
          </w:tcPr>
          <w:p w14:paraId="520B6C1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Взлетный вес (кг)</w:t>
            </w:r>
          </w:p>
        </w:tc>
        <w:tc>
          <w:tcPr>
            <w:tcW w:w="950" w:type="dxa"/>
            <w:shd w:val="clear" w:color="auto" w:fill="FFFFFF"/>
          </w:tcPr>
          <w:p w14:paraId="1B3E3F38"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14705</w:t>
            </w:r>
          </w:p>
        </w:tc>
        <w:tc>
          <w:tcPr>
            <w:tcW w:w="1910" w:type="dxa"/>
            <w:shd w:val="clear" w:color="auto" w:fill="FFFFFF"/>
          </w:tcPr>
          <w:p w14:paraId="3E0BF5CD"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15183</w:t>
            </w:r>
          </w:p>
        </w:tc>
        <w:tc>
          <w:tcPr>
            <w:tcW w:w="1027" w:type="dxa"/>
            <w:shd w:val="clear" w:color="auto" w:fill="FFFFFF"/>
          </w:tcPr>
          <w:p w14:paraId="6BE184A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15500</w:t>
            </w:r>
          </w:p>
        </w:tc>
      </w:tr>
      <w:tr w:rsidR="00A907A5" w:rsidRPr="00271E51" w14:paraId="1679FB86" w14:textId="77777777" w:rsidTr="00ED5B0A">
        <w:trPr>
          <w:trHeight w:val="168"/>
        </w:trPr>
        <w:tc>
          <w:tcPr>
            <w:tcW w:w="2558" w:type="dxa"/>
            <w:shd w:val="clear" w:color="auto" w:fill="FFFFFF"/>
          </w:tcPr>
          <w:p w14:paraId="1E7A344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5133F429"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15245</w:t>
            </w:r>
          </w:p>
        </w:tc>
        <w:tc>
          <w:tcPr>
            <w:tcW w:w="1910" w:type="dxa"/>
            <w:shd w:val="clear" w:color="auto" w:fill="FFFFFF"/>
          </w:tcPr>
          <w:p w14:paraId="512AB278"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18500</w:t>
            </w:r>
          </w:p>
        </w:tc>
        <w:tc>
          <w:tcPr>
            <w:tcW w:w="1027" w:type="dxa"/>
            <w:shd w:val="clear" w:color="auto" w:fill="FFFFFF"/>
          </w:tcPr>
          <w:p w14:paraId="6E0D7CC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17800</w:t>
            </w:r>
          </w:p>
        </w:tc>
      </w:tr>
      <w:tr w:rsidR="00A907A5" w:rsidRPr="00271E51" w14:paraId="3E243C0D" w14:textId="77777777" w:rsidTr="00ED5B0A">
        <w:trPr>
          <w:trHeight w:val="178"/>
        </w:trPr>
        <w:tc>
          <w:tcPr>
            <w:tcW w:w="2558" w:type="dxa"/>
            <w:shd w:val="clear" w:color="auto" w:fill="FFFFFF"/>
          </w:tcPr>
          <w:p w14:paraId="60B313ED"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Нагрузка на крыло (кг/м</w:t>
            </w:r>
            <w:r w:rsidRPr="00271E51">
              <w:rPr>
                <w:rFonts w:ascii="Times New Roman" w:hAnsi="Times New Roman"/>
                <w:noProof/>
                <w:color w:val="000000" w:themeColor="text1"/>
                <w:sz w:val="16"/>
                <w:szCs w:val="16"/>
                <w:vertAlign w:val="superscript"/>
              </w:rPr>
              <w:t>г</w:t>
            </w:r>
            <w:r w:rsidRPr="00271E51">
              <w:rPr>
                <w:rFonts w:ascii="Times New Roman" w:hAnsi="Times New Roman"/>
                <w:noProof/>
                <w:color w:val="000000" w:themeColor="text1"/>
                <w:sz w:val="16"/>
                <w:szCs w:val="16"/>
              </w:rPr>
              <w:t>)</w:t>
            </w:r>
          </w:p>
        </w:tc>
        <w:tc>
          <w:tcPr>
            <w:tcW w:w="950" w:type="dxa"/>
            <w:shd w:val="clear" w:color="auto" w:fill="FFFFFF"/>
          </w:tcPr>
          <w:p w14:paraId="5110598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188,5 *</w:t>
            </w:r>
          </w:p>
        </w:tc>
        <w:tc>
          <w:tcPr>
            <w:tcW w:w="1910" w:type="dxa"/>
            <w:shd w:val="clear" w:color="auto" w:fill="FFFFFF"/>
          </w:tcPr>
          <w:p w14:paraId="7B47F94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193,8</w:t>
            </w:r>
          </w:p>
        </w:tc>
        <w:tc>
          <w:tcPr>
            <w:tcW w:w="1027" w:type="dxa"/>
            <w:shd w:val="clear" w:color="auto" w:fill="FFFFFF"/>
          </w:tcPr>
          <w:p w14:paraId="13339D3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225,8</w:t>
            </w:r>
          </w:p>
        </w:tc>
      </w:tr>
      <w:tr w:rsidR="00A907A5" w:rsidRPr="00271E51" w14:paraId="56AB79C3" w14:textId="77777777" w:rsidTr="00ED5B0A">
        <w:trPr>
          <w:trHeight w:val="173"/>
        </w:trPr>
        <w:tc>
          <w:tcPr>
            <w:tcW w:w="2558" w:type="dxa"/>
            <w:shd w:val="clear" w:color="auto" w:fill="FFFFFF"/>
          </w:tcPr>
          <w:p w14:paraId="0F20811D"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rPr>
            </w:pPr>
            <w:r w:rsidRPr="00271E51">
              <w:rPr>
                <w:rFonts w:ascii="Times New Roman" w:hAnsi="Times New Roman"/>
                <w:noProof/>
                <w:color w:val="000000" w:themeColor="text1"/>
                <w:sz w:val="16"/>
                <w:szCs w:val="16"/>
              </w:rPr>
              <w:t>Скорость макс. Н=0 (км/ч)</w:t>
            </w:r>
          </w:p>
        </w:tc>
        <w:tc>
          <w:tcPr>
            <w:tcW w:w="950" w:type="dxa"/>
            <w:shd w:val="clear" w:color="auto" w:fill="FFFFFF"/>
          </w:tcPr>
          <w:p w14:paraId="6D05E676"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486</w:t>
            </w:r>
          </w:p>
        </w:tc>
        <w:tc>
          <w:tcPr>
            <w:tcW w:w="1910" w:type="dxa"/>
            <w:shd w:val="clear" w:color="auto" w:fill="FFFFFF"/>
          </w:tcPr>
          <w:p w14:paraId="16672E29"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456</w:t>
            </w:r>
          </w:p>
        </w:tc>
        <w:tc>
          <w:tcPr>
            <w:tcW w:w="1027" w:type="dxa"/>
            <w:shd w:val="clear" w:color="auto" w:fill="FFFFFF"/>
          </w:tcPr>
          <w:p w14:paraId="0F62A6F3"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440</w:t>
            </w:r>
          </w:p>
        </w:tc>
      </w:tr>
      <w:tr w:rsidR="00A907A5" w:rsidRPr="00271E51" w14:paraId="1E115230" w14:textId="77777777" w:rsidTr="00ED5B0A">
        <w:trPr>
          <w:trHeight w:val="173"/>
        </w:trPr>
        <w:tc>
          <w:tcPr>
            <w:tcW w:w="2558" w:type="dxa"/>
            <w:shd w:val="clear" w:color="auto" w:fill="FFFFFF"/>
          </w:tcPr>
          <w:p w14:paraId="0B6B249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Скорость макс, (км/ч)</w:t>
            </w:r>
          </w:p>
        </w:tc>
        <w:tc>
          <w:tcPr>
            <w:tcW w:w="950" w:type="dxa"/>
            <w:shd w:val="clear" w:color="auto" w:fill="FFFFFF"/>
          </w:tcPr>
          <w:p w14:paraId="2867FDF7"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620</w:t>
            </w:r>
          </w:p>
        </w:tc>
        <w:tc>
          <w:tcPr>
            <w:tcW w:w="1910" w:type="dxa"/>
            <w:shd w:val="clear" w:color="auto" w:fill="FFFFFF"/>
          </w:tcPr>
          <w:p w14:paraId="3886B44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545</w:t>
            </w:r>
          </w:p>
        </w:tc>
        <w:tc>
          <w:tcPr>
            <w:tcW w:w="1027" w:type="dxa"/>
            <w:shd w:val="clear" w:color="auto" w:fill="FFFFFF"/>
          </w:tcPr>
          <w:p w14:paraId="22BF404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570</w:t>
            </w:r>
          </w:p>
        </w:tc>
      </w:tr>
      <w:tr w:rsidR="00A907A5" w:rsidRPr="00271E51" w14:paraId="345A73E3" w14:textId="77777777" w:rsidTr="00ED5B0A">
        <w:trPr>
          <w:trHeight w:val="158"/>
        </w:trPr>
        <w:tc>
          <w:tcPr>
            <w:tcW w:w="2558" w:type="dxa"/>
            <w:shd w:val="clear" w:color="auto" w:fill="FFFFFF"/>
          </w:tcPr>
          <w:p w14:paraId="198ABAF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На высоте (м)</w:t>
            </w:r>
          </w:p>
        </w:tc>
        <w:tc>
          <w:tcPr>
            <w:tcW w:w="950" w:type="dxa"/>
            <w:shd w:val="clear" w:color="auto" w:fill="FFFFFF"/>
          </w:tcPr>
          <w:p w14:paraId="7A33E3D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10000</w:t>
            </w:r>
          </w:p>
        </w:tc>
        <w:tc>
          <w:tcPr>
            <w:tcW w:w="1910" w:type="dxa"/>
            <w:shd w:val="clear" w:color="auto" w:fill="FFFFFF"/>
          </w:tcPr>
          <w:p w14:paraId="33B93D00"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6000</w:t>
            </w:r>
          </w:p>
        </w:tc>
        <w:tc>
          <w:tcPr>
            <w:tcW w:w="1027" w:type="dxa"/>
            <w:shd w:val="clear" w:color="auto" w:fill="FFFFFF"/>
          </w:tcPr>
          <w:p w14:paraId="6465E6F7"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8500</w:t>
            </w:r>
          </w:p>
        </w:tc>
      </w:tr>
      <w:tr w:rsidR="00A907A5" w:rsidRPr="00271E51" w14:paraId="4FA3C5EF" w14:textId="77777777" w:rsidTr="00ED5B0A">
        <w:trPr>
          <w:trHeight w:val="178"/>
        </w:trPr>
        <w:tc>
          <w:tcPr>
            <w:tcW w:w="2558" w:type="dxa"/>
            <w:shd w:val="clear" w:color="auto" w:fill="FFFFFF"/>
          </w:tcPr>
          <w:p w14:paraId="0D1CA35C"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lastRenderedPageBreak/>
              <w:t>Посадочная скорость (км/ч)</w:t>
            </w:r>
          </w:p>
        </w:tc>
        <w:tc>
          <w:tcPr>
            <w:tcW w:w="950" w:type="dxa"/>
            <w:shd w:val="clear" w:color="auto" w:fill="FFFFFF"/>
          </w:tcPr>
          <w:p w14:paraId="1EB3B65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115</w:t>
            </w:r>
          </w:p>
        </w:tc>
        <w:tc>
          <w:tcPr>
            <w:tcW w:w="1910" w:type="dxa"/>
            <w:shd w:val="clear" w:color="auto" w:fill="FFFFFF"/>
          </w:tcPr>
          <w:p w14:paraId="6F682BF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w:t>
            </w:r>
          </w:p>
        </w:tc>
        <w:tc>
          <w:tcPr>
            <w:tcW w:w="1027" w:type="dxa"/>
            <w:shd w:val="clear" w:color="auto" w:fill="FFFFFF"/>
          </w:tcPr>
          <w:p w14:paraId="0A6B40D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130</w:t>
            </w:r>
          </w:p>
        </w:tc>
      </w:tr>
      <w:tr w:rsidR="00A907A5" w:rsidRPr="00271E51" w14:paraId="76951D36" w14:textId="77777777" w:rsidTr="00ED5B0A">
        <w:trPr>
          <w:trHeight w:val="163"/>
        </w:trPr>
        <w:tc>
          <w:tcPr>
            <w:tcW w:w="2558" w:type="dxa"/>
            <w:shd w:val="clear" w:color="auto" w:fill="FFFFFF"/>
          </w:tcPr>
          <w:p w14:paraId="58ED3A63"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1FE5DCA1"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13,8 **</w:t>
            </w:r>
          </w:p>
        </w:tc>
        <w:tc>
          <w:tcPr>
            <w:tcW w:w="1910" w:type="dxa"/>
            <w:shd w:val="clear" w:color="auto" w:fill="FFFFFF"/>
          </w:tcPr>
          <w:p w14:paraId="504DDF3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13,5</w:t>
            </w:r>
          </w:p>
        </w:tc>
        <w:tc>
          <w:tcPr>
            <w:tcW w:w="1027" w:type="dxa"/>
            <w:shd w:val="clear" w:color="auto" w:fill="FFFFFF"/>
          </w:tcPr>
          <w:p w14:paraId="5678E279"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13,5</w:t>
            </w:r>
          </w:p>
        </w:tc>
      </w:tr>
      <w:tr w:rsidR="00A907A5" w:rsidRPr="00271E51" w14:paraId="40E322E1" w14:textId="77777777" w:rsidTr="00ED5B0A">
        <w:trPr>
          <w:trHeight w:val="168"/>
        </w:trPr>
        <w:tc>
          <w:tcPr>
            <w:tcW w:w="2558" w:type="dxa"/>
            <w:shd w:val="clear" w:color="auto" w:fill="FFFFFF"/>
          </w:tcPr>
          <w:p w14:paraId="518E97FA"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666939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6DC7EC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29C9E1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3873E5" w14:textId="77777777" w:rsidTr="00ED5B0A">
        <w:trPr>
          <w:trHeight w:val="178"/>
        </w:trPr>
        <w:tc>
          <w:tcPr>
            <w:tcW w:w="2558" w:type="dxa"/>
            <w:shd w:val="clear" w:color="auto" w:fill="FFFFFF"/>
          </w:tcPr>
          <w:p w14:paraId="64BDEFB2"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нагрузкой 1000 кг(км)</w:t>
            </w:r>
          </w:p>
        </w:tc>
        <w:tc>
          <w:tcPr>
            <w:tcW w:w="950" w:type="dxa"/>
            <w:shd w:val="clear" w:color="auto" w:fill="FFFFFF"/>
          </w:tcPr>
          <w:p w14:paraId="65A17753"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3850</w:t>
            </w:r>
          </w:p>
        </w:tc>
        <w:tc>
          <w:tcPr>
            <w:tcW w:w="1910" w:type="dxa"/>
            <w:shd w:val="clear" w:color="auto" w:fill="FFFFFF"/>
          </w:tcPr>
          <w:p w14:paraId="7E6B880F"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3440</w:t>
            </w:r>
          </w:p>
        </w:tc>
        <w:tc>
          <w:tcPr>
            <w:tcW w:w="1027" w:type="dxa"/>
            <w:shd w:val="clear" w:color="auto" w:fill="FFFFFF"/>
          </w:tcPr>
          <w:p w14:paraId="7E4FB0A4"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3470</w:t>
            </w:r>
          </w:p>
        </w:tc>
      </w:tr>
      <w:tr w:rsidR="00A907A5" w:rsidRPr="00271E51" w14:paraId="6856445D" w14:textId="77777777" w:rsidTr="00ED5B0A">
        <w:trPr>
          <w:trHeight w:val="178"/>
        </w:trPr>
        <w:tc>
          <w:tcPr>
            <w:tcW w:w="2558" w:type="dxa"/>
            <w:tcBorders>
              <w:bottom w:val="single" w:sz="12" w:space="0" w:color="auto"/>
            </w:tcBorders>
            <w:shd w:val="clear" w:color="auto" w:fill="FFFFFF"/>
          </w:tcPr>
          <w:p w14:paraId="5AC2FCD2"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0569DBF6"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9280D69"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209752F5"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271E51">
              <w:rPr>
                <w:rFonts w:ascii="Times New Roman" w:hAnsi="Times New Roman"/>
                <w:noProof/>
                <w:color w:val="000000" w:themeColor="text1"/>
                <w:sz w:val="16"/>
                <w:szCs w:val="16"/>
                <w:lang w:val="en-US"/>
              </w:rPr>
              <w:t>10750***</w:t>
            </w:r>
          </w:p>
        </w:tc>
      </w:tr>
    </w:tbl>
    <w:p w14:paraId="508988F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w:t>
      </w:r>
      <w:r w:rsidRPr="00271E51">
        <w:rPr>
          <w:rFonts w:ascii="Times New Roman" w:hAnsi="Times New Roman"/>
          <w:noProof/>
          <w:color w:val="000000" w:themeColor="text1"/>
          <w:sz w:val="16"/>
          <w:szCs w:val="16"/>
          <w:lang w:val="en-US"/>
        </w:rPr>
        <w:t>с нормальным взлетным весом</w:t>
      </w:r>
    </w:p>
    <w:p w14:paraId="4757414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r w:rsidRPr="00271E51">
        <w:rPr>
          <w:rFonts w:ascii="Times New Roman" w:hAnsi="Times New Roman"/>
          <w:noProof/>
          <w:color w:val="000000" w:themeColor="text1"/>
          <w:sz w:val="16"/>
          <w:szCs w:val="16"/>
          <w:lang w:val="en-US"/>
        </w:rPr>
        <w:t>расчетное значение для высоты 5000 м</w:t>
      </w:r>
    </w:p>
    <w:p w14:paraId="796FC4F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r w:rsidRPr="00271E51">
        <w:rPr>
          <w:rFonts w:ascii="Times New Roman" w:hAnsi="Times New Roman"/>
          <w:noProof/>
          <w:color w:val="000000" w:themeColor="text1"/>
          <w:sz w:val="16"/>
          <w:szCs w:val="16"/>
          <w:lang w:val="en-US"/>
        </w:rPr>
        <w:t>достигнупотолок</w:t>
      </w:r>
      <w:r w:rsidRPr="00271E51">
        <w:rPr>
          <w:rFonts w:ascii="Times New Roman" w:hAnsi="Times New Roman"/>
          <w:color w:val="000000" w:themeColor="text1"/>
          <w:sz w:val="16"/>
          <w:szCs w:val="16"/>
        </w:rPr>
        <w:t xml:space="preserve"> (11941).</w:t>
      </w:r>
    </w:p>
    <w:p w14:paraId="4FE4FE5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1EFE47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начались работы над двадцатидевятиместным Ил-12 с 4хМ-88В (3846,19).</w:t>
      </w:r>
    </w:p>
    <w:p w14:paraId="1BFB18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60E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ОКБ В.М.М. принимало участие в доводке и испытаниях герметических кабин А.Я.Щербакова на Як-7Б и Ла-5 (4,195).</w:t>
      </w:r>
    </w:p>
    <w:p w14:paraId="1C872B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E28E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вышел приказ начальника ВВС Военно-морского флота СССР Жаворонкова, где говорилось, что в воинских частях, где лыжное шасси не применяется, а взлёт на колёсах из-за неподготовленного лыжного поля невозможен, разрешается для взлёта применять взлётные лыжи (12706).</w:t>
      </w:r>
    </w:p>
    <w:p w14:paraId="50C38A7E"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78A4F18A" w14:textId="77777777" w:rsidR="00E87E3A" w:rsidRPr="00271E51" w:rsidRDefault="00E87E3A" w:rsidP="00271E51">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271E51">
        <w:rPr>
          <w:rFonts w:ascii="Times New Roman" w:eastAsia="TimesNewRomanPSMT" w:hAnsi="Times New Roman"/>
          <w:color w:val="000000" w:themeColor="text1"/>
          <w:sz w:val="16"/>
          <w:szCs w:val="16"/>
        </w:rPr>
        <w:t>В ноябре 1943 года заводом № 477 был сдан в эксплуатацию первый самолет Бе-4 (КОР-2). Всего за 1943-1945 гг. было выпущено 38 самолетов: 20 – в 1944 году и 18 – в 1945 году.</w:t>
      </w:r>
    </w:p>
    <w:p w14:paraId="6AD33F4E" w14:textId="77777777" w:rsidR="00E87E3A" w:rsidRPr="00271E51" w:rsidRDefault="00E87E3A" w:rsidP="00271E51">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271E51">
        <w:rPr>
          <w:rFonts w:ascii="Times New Roman" w:eastAsia="TimesNewRomanPSMT" w:hAnsi="Times New Roman"/>
          <w:color w:val="000000" w:themeColor="text1"/>
          <w:sz w:val="16"/>
          <w:szCs w:val="16"/>
        </w:rPr>
        <w:t>Во время войны 12 машин поступили на Черноморский флот, 12 – на Балтику, 4 – на Тихоокеанский флот. Остальные самолеты попали в строевые части морской авиации уже после окончания боевых действий.</w:t>
      </w:r>
    </w:p>
    <w:p w14:paraId="45307D0F" w14:textId="77777777" w:rsidR="00E87E3A" w:rsidRPr="00271E51" w:rsidRDefault="00E87E3A" w:rsidP="00271E51">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271E51">
        <w:rPr>
          <w:rFonts w:ascii="Times New Roman" w:eastAsia="TimesNewRomanPSMT" w:hAnsi="Times New Roman"/>
          <w:color w:val="000000" w:themeColor="text1"/>
          <w:sz w:val="16"/>
          <w:szCs w:val="16"/>
        </w:rPr>
        <w:t xml:space="preserve"> (19799).</w:t>
      </w:r>
    </w:p>
    <w:p w14:paraId="703A8DAD" w14:textId="77777777" w:rsidR="00E87E3A" w:rsidRPr="00271E51" w:rsidRDefault="00E87E3A" w:rsidP="00271E51">
      <w:pPr>
        <w:autoSpaceDE w:val="0"/>
        <w:autoSpaceDN w:val="0"/>
        <w:adjustRightInd w:val="0"/>
        <w:spacing w:after="0" w:line="240" w:lineRule="auto"/>
        <w:jc w:val="both"/>
        <w:rPr>
          <w:rFonts w:ascii="Times New Roman" w:eastAsia="TimesNewRomanPSMT" w:hAnsi="Times New Roman"/>
          <w:color w:val="000000" w:themeColor="text1"/>
          <w:sz w:val="16"/>
          <w:szCs w:val="16"/>
        </w:rPr>
      </w:pPr>
    </w:p>
    <w:p w14:paraId="115A0E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 ОКБ П.О.С. был разработан проект и с дизель-мотором и двумя ВРД с компрессором, раскручивающимся выхлопными газами дизеля (3808,81).</w:t>
      </w:r>
    </w:p>
    <w:p w14:paraId="46FA5A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EF5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был утвержден отчет по совместным 100 часовым испытаниям мотора АШ-83 (735,13).</w:t>
      </w:r>
    </w:p>
    <w:p w14:paraId="74D126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14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прошли совместные с НИИ ВВС испытания мотопланера на базе БДП Н.Н.П. с 2М-11. Ви был М.О.Фасолькин.</w:t>
      </w:r>
    </w:p>
    <w:p w14:paraId="756BA7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Нюхтиков: "Летать на мотопланере легче, чем буксироваться за самолетом. Особенно труден расчет отцепки и посадки планера." (2863,131).</w:t>
      </w:r>
    </w:p>
    <w:p w14:paraId="3E0CE5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Стефановский: "Постройки десантных планеров нецелесообразны. Их надо прекратить. После высадки десанта планер уничтожается, а мотопланер возвращается. Мотопланер прост и доступен л ниже средней квалификации. Летные данные лучше Ще-2." (2863,131).</w:t>
      </w:r>
    </w:p>
    <w:p w14:paraId="0FD116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 НИИ ВВС Аброщенко и Авдеев:</w:t>
      </w:r>
    </w:p>
    <w:p w14:paraId="636064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"Должна быть большая вместимость кабины. Взлет надо производить с самолетом-буксировщиком. При малом километровом расходе топлива забуксированный выше своего потолка планер увеличит свою дальность за счет моторного планирования. В мотопланере заинтересованы и ВВС и ГВФ." (2863,131).</w:t>
      </w:r>
    </w:p>
    <w:p w14:paraId="040271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6CC907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"Кабина мотопланера тесна, исключает большинство вариантов перевозок, как то: перевозку расчета противотанкового орудия, расчета зенитного пулемета и т.п. Постройка мотопланера нецелесообразна". (2863,131).</w:t>
      </w:r>
    </w:p>
    <w:p w14:paraId="773673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AD7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1942 года два опытных мотора М-1 установили на бомбардировщик Пе-2. Первый его полет с двигателями М-1 состоялся 16 декабря 1943 г. Летные испытания М-1 велись до февраля 1944 г. Разработка проекта двигателя М-116П осуществлялась в конструктор</w:t>
      </w:r>
      <w:r w:rsidRPr="00271E51">
        <w:rPr>
          <w:rFonts w:ascii="Times New Roman" w:hAnsi="Times New Roman"/>
          <w:color w:val="000000" w:themeColor="text1"/>
          <w:sz w:val="16"/>
          <w:szCs w:val="16"/>
        </w:rPr>
        <w:softHyphen/>
        <w:t>ском бюро завода № 16 в Казани с 1942 г. Он представлял собой мо</w:t>
      </w:r>
      <w:r w:rsidRPr="00271E51">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271E51">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271E51">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5DF129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07C411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12-цилиндровый, У-образный рядный, четырехтактный, жидкостно</w:t>
      </w:r>
      <w:r w:rsidRPr="00271E51">
        <w:rPr>
          <w:rFonts w:ascii="Times New Roman" w:hAnsi="Times New Roman"/>
          <w:color w:val="000000" w:themeColor="text1"/>
          <w:sz w:val="16"/>
          <w:szCs w:val="16"/>
        </w:rPr>
        <w:softHyphen/>
        <w:t>го охлаждения, редукторный, с одноступенчатым двухскоростным ПЦН;</w:t>
      </w:r>
    </w:p>
    <w:p w14:paraId="07CE60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150/170 мм;</w:t>
      </w:r>
    </w:p>
    <w:p w14:paraId="135E02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объем 36,0 л;</w:t>
      </w:r>
    </w:p>
    <w:p w14:paraId="18A394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степень сжатия 6,6;</w:t>
      </w:r>
    </w:p>
    <w:p w14:paraId="56752D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1300/1500 л.с.:</w:t>
      </w:r>
    </w:p>
    <w:p w14:paraId="6861ED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660 кг.</w:t>
      </w:r>
    </w:p>
    <w:p w14:paraId="0FD353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 устанавливался на переделанном серийном самолете Пе-2. Его пред</w:t>
      </w:r>
      <w:r w:rsidRPr="00271E51">
        <w:rPr>
          <w:rFonts w:ascii="Times New Roman" w:hAnsi="Times New Roman"/>
          <w:color w:val="000000" w:themeColor="text1"/>
          <w:sz w:val="16"/>
          <w:szCs w:val="16"/>
        </w:rPr>
        <w:softHyphen/>
        <w:t>полагали также установить на одном из истребителей А.С. Яковлева (11852).</w:t>
      </w:r>
    </w:p>
    <w:p w14:paraId="392E6C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46E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начались летные испытания самолета Пе-2 с новыми моторами М-1. Двигатель, созданный на заводе № 16, представлял собой развитие М-105 с сохранением его внешних форм и основных размеров (диаметр цилиндров был все же незначительно увеличен). По расчетам М-1 должен был обеспечивать максимальную мощность 1500 л.с. у земли и 1300 л.с. на второй границе высотности 5000 метров. Мотор М-105ПФ у земли имел мощность 1210 л.с., а на второй границе высотности 2700 м – всего 1180 л.с. Для установки новых многообещающих двигателей завод № 22 выделил серийный Пе-2 № 12/224. После выполненных переделок изменился внешний вид мотогондол. Выхлопные патрубки переместились с боковых поверхностей капота на верхнюю, вместо двух симметрично расположенных всасывающих патрубков нагнетателя смонтировали один увеличенный – слева от мотора. Появились также специальные кожухи для продува пространства внутри развала цилиндров, где монтировались свечи, генератор и другие агрегаты.</w:t>
      </w:r>
    </w:p>
    <w:p w14:paraId="70331E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самолета с новыми двигателями проводил заводской летчик Кондырев П.Н. Самолет показал отличные летные данные: максимальная скорость у земли – 475 км/час и на высоте 6000 м – 562 км/час. Время подъема на высоту 5000 метров сократилось по сравнению с серийными самолетами на 2,6 мин., максимальная скорость на высоте 1700 метров увеличилась на 55 км/час и на высоте 6000 метров – на 80 км/час. В испытательном акте отмечалось, что эти данные могут быть еще более улучшены. В апреле 1944 г. два мотора М-1 были направлены на завод № 22, а один мотор – на завод № 115 для установки на истребителе Як-3. Однако НКАП уже связал свои перспективные планы с мотором ВК-107А. Запускать в производство сразу два новых двигателя жидкостного охлаждения было неразумно, поэтому у М-1 шансов на серию не осталось (12049).</w:t>
      </w:r>
    </w:p>
    <w:p w14:paraId="742A79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AB9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завод № 1 треста № 41 НКАП был переименован в завод № 11. В мае 1944 года директором завода № 11 назначен Толмазов Н.Н.</w:t>
      </w:r>
    </w:p>
    <w:p w14:paraId="10F8E4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Жуковский Московской области</w:t>
      </w:r>
    </w:p>
    <w:p w14:paraId="376551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 В декабре 1944 года директором завода назначен Нестеров В.А. (9729).</w:t>
      </w:r>
    </w:p>
    <w:p w14:paraId="44E969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E6C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площадке бывшего завода № 43 началось формирование нового завода № 473 (образован по приказу № 6с от 4.01.1944 г.).</w:t>
      </w:r>
    </w:p>
    <w:p w14:paraId="77E5F7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(11.1940 г.)-105 металлорежущих станков.</w:t>
      </w:r>
    </w:p>
    <w:p w14:paraId="4C461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(-06.1937-07.1940 г.)- В.В. Смирнов, (07-10.1940 г.-)- В.М. Пенек.</w:t>
      </w:r>
    </w:p>
    <w:p w14:paraId="387B5F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  Г.П. Царев.</w:t>
      </w:r>
    </w:p>
    <w:p w14:paraId="70040D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(08.1937 г.)- М. Г. Жужунава.</w:t>
      </w:r>
    </w:p>
    <w:p w14:paraId="667769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(1937-40 г.)- М. Г. Жужунава.</w:t>
      </w:r>
    </w:p>
    <w:p w14:paraId="0E09B4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(03.1923-25 г.)- К.А. Калинин, (-04.1937-1940 г.-)- В.К. Таиров.</w:t>
      </w:r>
    </w:p>
    <w:p w14:paraId="255A35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10B5BD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540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ноябре 1943  г. на площадке эвакуированного завода № 43 был образован завод, который в соответствии с пост. ГКО № 4879сс от 3.01.1944 г. и приказом № 6с от </w:t>
      </w:r>
      <w:r w:rsidRPr="00271E51">
        <w:rPr>
          <w:rFonts w:ascii="Times New Roman" w:hAnsi="Times New Roman"/>
          <w:color w:val="000000" w:themeColor="text1"/>
          <w:sz w:val="16"/>
          <w:szCs w:val="16"/>
        </w:rPr>
        <w:lastRenderedPageBreak/>
        <w:t>4.01.1944 г. стал Авиаремонтным завод № 473 НКАП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  г. Киев, пр. Победы, 100/1 тел. 441-51-64, 454-52-01/) в системе 6ГУ НКАП для ремонта самолетов Ил-2, Як-1, Як-7. Формировался из местных кадров и оборудования заводов № 292, № 39, № 153, № 22, № 1.</w:t>
      </w:r>
    </w:p>
    <w:p w14:paraId="26D9F8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1.03.1946 г. завод №473 передан из 6ГУ в ИГУ, с 1.03.1951 г. передан из 11ГУ в 1ГУ.</w:t>
      </w:r>
    </w:p>
    <w:p w14:paraId="132CBB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3611E0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66CE5C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15AFF6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w:t>
      </w:r>
      <w:r w:rsidRPr="00271E51">
        <w:rPr>
          <w:rFonts w:ascii="Times New Roman" w:hAnsi="Times New Roman"/>
          <w:color w:val="000000" w:themeColor="text1"/>
          <w:sz w:val="16"/>
          <w:szCs w:val="16"/>
          <w:lang w:val="en-US"/>
        </w:rPr>
        <w:t>SP</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ANA</w:t>
      </w:r>
      <w:r w:rsidRPr="00271E51">
        <w:rPr>
          <w:rFonts w:ascii="Times New Roman" w:hAnsi="Times New Roman"/>
          <w:color w:val="000000" w:themeColor="text1"/>
          <w:sz w:val="16"/>
          <w:szCs w:val="16"/>
        </w:rPr>
        <w:t>.</w:t>
      </w:r>
    </w:p>
    <w:p w14:paraId="1A807D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4E48BF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Киевского СНХ УССР.</w:t>
      </w:r>
    </w:p>
    <w:p w14:paraId="57F3AC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756-323 от 19.08.1961 г. начата организация производства Ан-24.</w:t>
      </w:r>
    </w:p>
    <w:p w14:paraId="3A1CB4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1974 г.- Киевский авиационный завод, с 1974 г.- КиАПО.</w:t>
      </w:r>
    </w:p>
    <w:p w14:paraId="7A3E14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Подготовка к производству Ан-26 началась в 1968 г. По приказу МАП № 301 в 1970 г. развернуто полномасштабное производство Ан-26.</w:t>
      </w:r>
    </w:p>
    <w:p w14:paraId="3A92A4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26C5AA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081A20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6D671F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Подготовлено производство для выпуска самолетов Ту-334 (затем документация передана в РСК «МиГ») и Ан-70.</w:t>
      </w:r>
    </w:p>
    <w:p w14:paraId="2836CC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2005 г. в производстве находилось 14 планеров Ан-32. В 2006 г. велась постройка первых пяти серийных Ан- 7</w:t>
      </w:r>
      <w:r w:rsidRPr="00271E51">
        <w:rPr>
          <w:rFonts w:ascii="Times New Roman" w:hAnsi="Times New Roman"/>
          <w:color w:val="000000" w:themeColor="text1"/>
          <w:sz w:val="16"/>
          <w:szCs w:val="16"/>
          <w:lang w:val="en-US"/>
        </w:rPr>
        <w:t>Q</w:t>
      </w:r>
      <w:r w:rsidRPr="00271E51">
        <w:rPr>
          <w:rFonts w:ascii="Times New Roman" w:hAnsi="Times New Roman"/>
          <w:color w:val="000000" w:themeColor="text1"/>
          <w:sz w:val="16"/>
          <w:szCs w:val="16"/>
        </w:rPr>
        <w:t xml:space="preserve"> ю.04.06 </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 xml:space="preserve"> 2007 г. подписан контракт на выпуск 15 Ан-148 для Казахстана.</w:t>
      </w:r>
    </w:p>
    <w:p w14:paraId="5954C0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2356FB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5AEE96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(2002 г.)- Б.Н. Сорока, (2002 г.)- Н.В. Жданов, (2002 г.)- О.Р. Басенко.</w:t>
      </w:r>
    </w:p>
    <w:p w14:paraId="0E1B61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(1949 г.)- Я.К. Руденко, (1975 г.)- В. Г. Олешко.</w:t>
      </w:r>
    </w:p>
    <w:p w14:paraId="4B7E2C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(1949 г.)- А. Г. Ивченко.</w:t>
      </w:r>
    </w:p>
    <w:p w14:paraId="42723C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(2002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Подольский.</w:t>
      </w:r>
    </w:p>
    <w:p w14:paraId="3389C4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СКБ (1949 г.)- А.Н. Попов.</w:t>
      </w:r>
    </w:p>
    <w:p w14:paraId="4744C6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департамента маркетинга и продаж (2005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Кузенков.</w:t>
      </w:r>
    </w:p>
    <w:p w14:paraId="348E98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Летчики-испытатели: (1970-е)- Б.З. Попков, (1970-е)- С.И. Савченков.</w:t>
      </w:r>
    </w:p>
    <w:p w14:paraId="5D6FF8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(1980-е)- В.В. Литвинов.</w:t>
      </w:r>
    </w:p>
    <w:p w14:paraId="2B8AA8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самолеты:</w:t>
      </w:r>
      <w:r w:rsidRPr="00271E51">
        <w:rPr>
          <w:rFonts w:ascii="Times New Roman" w:hAnsi="Times New Roman"/>
          <w:color w:val="000000" w:themeColor="text1"/>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01641C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(2004): троллейбус К-12 «Киевский», барокамеры, стиральная машина «Лебедь».</w:t>
      </w:r>
    </w:p>
    <w:p w14:paraId="7892F3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Заводские номера: Ан-24 № 57302003:</w:t>
      </w:r>
      <w:r w:rsidRPr="00271E51">
        <w:rPr>
          <w:rFonts w:ascii="Times New Roman" w:hAnsi="Times New Roman"/>
          <w:color w:val="000000" w:themeColor="text1"/>
          <w:sz w:val="16"/>
          <w:szCs w:val="16"/>
        </w:rPr>
        <w:t xml:space="preserve"> 5- год выпуска, 73- шифр завода, 020- серия, 03- № самолета в серии. </w:t>
      </w:r>
      <w:r w:rsidRPr="00271E51">
        <w:rPr>
          <w:rFonts w:ascii="Times New Roman" w:hAnsi="Times New Roman"/>
          <w:iCs/>
          <w:color w:val="000000" w:themeColor="text1"/>
          <w:sz w:val="16"/>
          <w:szCs w:val="16"/>
        </w:rPr>
        <w:t>Ан-2 № 11047303:</w:t>
      </w:r>
      <w:r w:rsidRPr="00271E51">
        <w:rPr>
          <w:rFonts w:ascii="Times New Roman" w:hAnsi="Times New Roman"/>
          <w:color w:val="000000" w:themeColor="text1"/>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271E51">
        <w:rPr>
          <w:rFonts w:ascii="Times New Roman" w:hAnsi="Times New Roman"/>
          <w:iCs/>
          <w:color w:val="000000" w:themeColor="text1"/>
          <w:sz w:val="16"/>
          <w:szCs w:val="16"/>
        </w:rPr>
        <w:t xml:space="preserve"> Ан-2 (экспортный) № 12801:</w:t>
      </w:r>
      <w:r w:rsidRPr="00271E51">
        <w:rPr>
          <w:rFonts w:ascii="Times New Roman" w:hAnsi="Times New Roman"/>
          <w:color w:val="000000" w:themeColor="text1"/>
          <w:sz w:val="16"/>
          <w:szCs w:val="16"/>
        </w:rPr>
        <w:t xml:space="preserve"> 1- просто цифра, 28- серия, 01- № самолета в серии.</w:t>
      </w:r>
    </w:p>
    <w:p w14:paraId="38967A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ГС ОКБ-473 МАП, ГС Опытный завод № 473 МАП, Киевский механический завод (КМЗ), КМЗ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xml:space="preserve">. Антонова, Киевский АНТК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xml:space="preserve">. Антонова, ГП «АНТК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Антонова», ННПО «Антонов» /Украина, 252062; 03062  г. Киев, ул. Туполева, 1 тел. 442-73-04,449-99-96/ /Московское представительство: 101000 ул. Мясницкая, 7 к. 3 тел. 928-00-97/</w:t>
      </w:r>
    </w:p>
    <w:p w14:paraId="7FDFFB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19.05.1952 г. вышел приказ МАП № 563 о создании на заводе № 473 филиала ОКБ-153 во главе с Е.К. Сенчуком. Затем по приказу МАП № 1369 от 2.12.1952 г. ОКБ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xml:space="preserve">.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xml:space="preserve">. Антонова, с 3.03.1991 г.- АНТК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Антонова.</w:t>
      </w:r>
    </w:p>
    <w:p w14:paraId="4ECF8B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из состава ОКБ выделено самостоятельное КБ контрольных приборов (далее - НПО «Электронприбор»).</w:t>
      </w:r>
    </w:p>
    <w:p w14:paraId="0B2401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7F5A7A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1952 г. велись работы по повышению потолка Ли-2.</w:t>
      </w:r>
    </w:p>
    <w:p w14:paraId="4D2787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00790F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271E51">
        <w:rPr>
          <w:rFonts w:ascii="Times New Roman" w:hAnsi="Times New Roman"/>
          <w:color w:val="000000" w:themeColor="text1"/>
          <w:sz w:val="16"/>
          <w:szCs w:val="16"/>
          <w:vertAlign w:val="superscript"/>
        </w:rPr>
        <w:t>85</w:t>
      </w:r>
      <w:r w:rsidRPr="00271E51">
        <w:rPr>
          <w:rFonts w:ascii="Times New Roman" w:hAnsi="Times New Roman"/>
          <w:color w:val="000000" w:themeColor="text1"/>
          <w:sz w:val="16"/>
          <w:szCs w:val="16"/>
        </w:rPr>
        <w:t xml:space="preserve"> Один из цехов завода № 473 в 1954 г. был передан в ОКБ в качестве опытного производства.</w:t>
      </w:r>
    </w:p>
    <w:p w14:paraId="3F62F8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52DEE8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1956 г. численность работников ОКБ составляла 1500 чел., в т.ч. 250 конструкторов. Создана бригада пассажирского оборудования.</w:t>
      </w:r>
    </w:p>
    <w:p w14:paraId="4C8B08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 время выпуска Ан-12 (1957-62 г.) на заводе № 39 организовано представительство ОКБ-473, которое возглавляли А.И. Швирин,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Леонтьев, В.З. Брагилевский,  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0CCCAD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232EBF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537B37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39051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1959 г. началось строительство Летно-испытательной и доводочной базы ОКБ в Гостомеле.</w:t>
      </w:r>
    </w:p>
    <w:p w14:paraId="139C1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66E20C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08F698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95-29 от 23.01.1964 г. начата разработка Ан-2М.</w:t>
      </w:r>
    </w:p>
    <w:p w14:paraId="774C52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от 6.07.1964 г. начата разработка Ан-24ФК (Ан-30).</w:t>
      </w:r>
    </w:p>
    <w:p w14:paraId="4609E6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04E6BA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229757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23131D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2F5D55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1983 г., после принятия решения о выпуске Ан-124 на УАПК, на заводе организовано представительство ОКБ (руководитель- В.И. Новиков).</w:t>
      </w:r>
    </w:p>
    <w:p w14:paraId="2AA843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142571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  г. на базе Ан-2 построен опытный Ан-3 с ТВ Д. С 1993 г. начата подготовка к его серийному выпуску на заводе «Полет».</w:t>
      </w:r>
    </w:p>
    <w:p w14:paraId="7B814E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9.01.1984 г. вышло Постановление СМ СССР о создании самолета ДРЛО Ан-71.</w:t>
      </w:r>
    </w:p>
    <w:p w14:paraId="2AC01E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20.05.1987 г. вышло Постановление СМ СССР № 587-132 о создании Ан-225.</w:t>
      </w:r>
    </w:p>
    <w:p w14:paraId="276F03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принимало участие в программе создания ОК «Буран».</w:t>
      </w:r>
    </w:p>
    <w:p w14:paraId="68E60F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1990-х  г. создана бригада по продлению ресурса Ан-12.</w:t>
      </w:r>
    </w:p>
    <w:p w14:paraId="5CDD5A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(1990-е  г.): по проектам пассажирских Ан-218, Ан-180, Ан-140; (2002 г.): по транспортному Ан-70, модернизация Ан-124-100, Ан-38, доработки Ан-3, модификация Ан-74.</w:t>
      </w:r>
    </w:p>
    <w:p w14:paraId="32DFA0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всего было разработано более 100 типов и модификаций самолетов, построено более 22.000 самолетов марки «Ан».</w:t>
      </w:r>
    </w:p>
    <w:p w14:paraId="482CD4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7AD956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7EDE25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опытном заводе изготовлялись мотогондолы, элементы интерьера самолета Ан-140 для «Авиакора» (2004 г.).</w:t>
      </w:r>
    </w:p>
    <w:p w14:paraId="2B5EE6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72B5E4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(1953 г.)~ 100 чел., (1956 г.)~ 1500 чел., (2002 г.) ~ 7300 чел.</w:t>
      </w:r>
      <w:r w:rsidRPr="00271E51">
        <w:rPr>
          <w:rFonts w:ascii="Times New Roman" w:hAnsi="Times New Roman"/>
          <w:color w:val="000000" w:themeColor="text1"/>
          <w:sz w:val="16"/>
          <w:szCs w:val="16"/>
          <w:vertAlign w:val="superscript"/>
        </w:rPr>
        <w:t>69</w:t>
      </w:r>
    </w:p>
    <w:p w14:paraId="46FF61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(1952-67 г.)-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xml:space="preserve">. Антонов. Ген. Конструктор (1967-84 г.)-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 {7.02.1906-4.04.1984}, (1984-31.05.2005 г.)- П.В. Балабуев (уволен из-за несогласия с политикой правительства) {23.05.1931-17.05.2007}; и.о. (25.05.2005-20.01.2006 г.)- Д.С. Кива; (20.01.2006 г.-)- Д.С. Кива.</w:t>
      </w:r>
    </w:p>
    <w:p w14:paraId="4E56B1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1-й зам. Ген. конструктора (-1973-79 г.-)- П.В. Балабуев, (-2000-05 г.-)- Д.С. Кива. Зам. гл., ген. конструктора (1956 г.)- Н.С. Трунченков, (1956 г.)- В.Н. Гельприн; по системам (-1957-1970-е  г.)- Н.П. Смирнов; по летным испытаниям (1955 г.)- А.Я. Белолипецкий, (1964 г.)- А.Н. Грацианский; (1970-е  г.)- В.Ф. Ерошин, В.Н. Шаталов, (- 1976-84 г.-)- Л.Д. Голобородько, (-1956-66 г.-)- А.Я. Белолипецкий, В.П. Теплов,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6ED46F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66D04C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(1979-87 г.)- Д.С. Кива (Ан-2, Ан-3, Ан-14, Ан-28).</w:t>
      </w:r>
    </w:p>
    <w:p w14:paraId="600E01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1462E9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Руководители представительств на заводах: № 64- Н.П. Соболь, Леонтьев,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Кондратьев, В.П. Теплов, Я.Д. Голобородько.</w:t>
      </w:r>
    </w:p>
    <w:p w14:paraId="319DAD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xml:space="preserve">. Загуменный (Ан-32), (1976 г.)-A.Г.Буланенко (Ан-32), М.Н. Березюк (испытания Ан-71); (-1983-88 г.-)- М. Г. Харченко (Ан-124, Ан-225), (1983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Михайлов (Ан-124), (-6.07.1994 г.)- А.В. Ларионов (погиб в катастрофе Ан-32П), (2006 г.)- Н.И. Онопченко (Ан-148).</w:t>
      </w:r>
    </w:p>
    <w:p w14:paraId="091049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  Г.И. Лысенко, (1993 г.)- А.В. Слободянюк, (1974 г.)- Б. Степанов, (1993 г.)- В.И. Терский, (1976 г.)- В.А. Ткаченко, (1985 г.)- А.В. Ткаченко, (1959 г.)- Федоров, (1962 г.)- </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 Цыганков.</w:t>
      </w:r>
    </w:p>
    <w:p w14:paraId="50D660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Штурманы-испытатели: (1959 г.)- Васильев, (1959 г.)- Житник, (1959 г.)- Зацепа.</w:t>
      </w:r>
    </w:p>
    <w:p w14:paraId="4B30E4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 самолеты:</w:t>
      </w:r>
      <w:r w:rsidRPr="00271E51">
        <w:rPr>
          <w:rFonts w:ascii="Times New Roman" w:hAnsi="Times New Roman"/>
          <w:color w:val="000000" w:themeColor="text1"/>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2DCBA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  г. Киев ул. Ванды Василевской, 27/29 тел. 236-90-22/</w:t>
      </w:r>
    </w:p>
    <w:p w14:paraId="78CBCC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3D6237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1968 г. организована летно-испытательная станция на аэродроме ОКБ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Антонова.</w:t>
      </w:r>
    </w:p>
    <w:p w14:paraId="7C0171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НПО преобразовано в НТК «Электронпрнбор». В 1999 г. акционировано и преобразовано в ОАО.</w:t>
      </w:r>
    </w:p>
    <w:p w14:paraId="5E72EB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  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79B390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78AD29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(1962 г.-)- И.А. Ястребов. Гендиректор (-1988 г.)- И.А. Ястребов, (2002 г.)- Е. Г. Исак.</w:t>
      </w:r>
    </w:p>
    <w:p w14:paraId="262AED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науке (2002 г.)- Л.Д. Яцко; по производству (2002 г.)- В.В. Иванов.</w:t>
      </w:r>
    </w:p>
    <w:p w14:paraId="57EC03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(1962-88 г.)- И.А. Ястребов, (2002 г.)- В.Г1. Дробинов.</w:t>
      </w:r>
    </w:p>
    <w:p w14:paraId="1456B0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Л.Н. Бахов, В. Г. Братко, В.А. Смилянец.</w:t>
      </w:r>
    </w:p>
    <w:p w14:paraId="5CB6AF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КБ- В.З. Кедров, (1980-е)- Е. Г. Исак.</w:t>
      </w:r>
    </w:p>
    <w:p w14:paraId="676746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бригад: конструкторской- А.Н. Абрамов.</w:t>
      </w:r>
    </w:p>
    <w:p w14:paraId="0010BA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1CBCF5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271E51">
        <w:rPr>
          <w:rFonts w:ascii="Times New Roman" w:hAnsi="Times New Roman"/>
          <w:color w:val="000000" w:themeColor="text1"/>
          <w:sz w:val="16"/>
          <w:szCs w:val="16"/>
          <w:vertAlign w:val="superscript"/>
        </w:rPr>
        <w:t>142</w:t>
      </w:r>
    </w:p>
    <w:p w14:paraId="18281A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271E51">
        <w:rPr>
          <w:rFonts w:ascii="Times New Roman" w:hAnsi="Times New Roman"/>
          <w:color w:val="000000" w:themeColor="text1"/>
          <w:sz w:val="16"/>
          <w:szCs w:val="16"/>
          <w:vertAlign w:val="superscript"/>
        </w:rPr>
        <w:t>69</w:t>
      </w:r>
    </w:p>
    <w:p w14:paraId="559EAE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ГП «Авиация общего назначения» (АОН) ОКБ» /Украина 08130 с. Петропавловская Борщаговка Киевской обл., ул. Академика Антонова, 10 тел. 443-34-37/</w:t>
      </w:r>
    </w:p>
    <w:p w14:paraId="438F9C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Образовано на базе отделения Сверхлегкой авиации АНТК им. Антонова.</w:t>
      </w:r>
    </w:p>
    <w:p w14:paraId="776641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(2002 г.)- А.Н. Дашивец.</w:t>
      </w:r>
    </w:p>
    <w:p w14:paraId="28FB54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(2002 г.)- А.Е. Закревский.</w:t>
      </w:r>
    </w:p>
    <w:p w14:paraId="4CF4B9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(2002 г.)- В.В. Сухов.</w:t>
      </w:r>
    </w:p>
    <w:p w14:paraId="637E05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мотодельтаплан Т-22М, сверхлегкий вертолет ВТ-28, многоцелевые самолеты Т-12, Т-16.</w:t>
      </w:r>
      <w:r w:rsidRPr="00271E51">
        <w:rPr>
          <w:rFonts w:ascii="Times New Roman" w:hAnsi="Times New Roman"/>
          <w:color w:val="000000" w:themeColor="text1"/>
          <w:sz w:val="16"/>
          <w:szCs w:val="16"/>
          <w:vertAlign w:val="superscript"/>
        </w:rPr>
        <w:t>69</w:t>
      </w:r>
    </w:p>
    <w:p w14:paraId="74A4CA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Государственная самолетостроительная корпорация (ГСК) «Национальное научно- производственное .объединение (ННПО) «Антонов»</w:t>
      </w:r>
    </w:p>
    <w:p w14:paraId="7106C3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Создана в 06.2005 г. В нее вошли завод «Авиант», АНТК им. </w:t>
      </w: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w:t>
      </w:r>
      <w:r w:rsidRPr="00271E51">
        <w:rPr>
          <w:rFonts w:ascii="Times New Roman" w:hAnsi="Times New Roman"/>
          <w:color w:val="000000" w:themeColor="text1"/>
          <w:sz w:val="16"/>
          <w:szCs w:val="16"/>
        </w:rPr>
        <w:t>.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2B7933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(11.2005-06 г.-)- А. Мялица. Президент (2010 г.)- Д. Кива.</w:t>
      </w:r>
    </w:p>
    <w:p w14:paraId="63C87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авиастроительный концерн «Авиация Украины»</w:t>
      </w:r>
    </w:p>
    <w:p w14:paraId="1C7295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72DEFC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/председатель правления (02.2007 г.-)- О.С. Шевченко (11982).</w:t>
      </w:r>
    </w:p>
    <w:p w14:paraId="6F7D945A" w14:textId="77777777" w:rsidR="00110BE5" w:rsidRPr="00271E51" w:rsidRDefault="00110BE5"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13582"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Нудельман А.Э. был назначен Начальником и Главным конструктором ОКБ-16. Он руководил предприятием более 43 лет (15979).</w:t>
      </w:r>
    </w:p>
    <w:p w14:paraId="0C5E9CF6" w14:textId="77777777" w:rsidR="00110BE5" w:rsidRPr="00271E51" w:rsidRDefault="00110BE5" w:rsidP="00271E51">
      <w:pPr>
        <w:shd w:val="clear" w:color="auto" w:fill="FFFFFF"/>
        <w:spacing w:after="0" w:line="240" w:lineRule="auto"/>
        <w:jc w:val="both"/>
        <w:rPr>
          <w:rFonts w:ascii="Times New Roman" w:hAnsi="Times New Roman"/>
          <w:color w:val="000000" w:themeColor="text1"/>
          <w:sz w:val="16"/>
          <w:szCs w:val="16"/>
        </w:rPr>
      </w:pPr>
    </w:p>
    <w:p w14:paraId="24B84F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на гос. испытания подали ФАБ-250сч с цельнолитыми корпусами из сталистого чугуна. Оказались хуже, чем ФАБ-250М, но приняли. Потом в начале 1944 состоялись контрольные испытания, показавшие лучшие результаты (7453, 319).</w:t>
      </w:r>
    </w:p>
    <w:p w14:paraId="4DDFFB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44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ФАБ-250сч, поданные на госиспытания, снарядили тротилом. Однако результаты бомбометания бомбардировщиков Ил-4 с высоты 2000 м при скорости 300 км/ч показали, что фугасное действие ФАБ-250сч снизилось по сравнению с ФАБ-250М. Причина - уменьшение коэффициента наполнения из-за более толстого корпуса боеприпаса. Объемы же выброшенного грунта, приходящегося на 1 кг ВВ, оказались практически одинаковыми - 0,39 м^кг для ФАБ-250сч и 0,41 м^кг для ФАБ-250М. Кроме того, было отмечено, что воронки имеют неправильную форму и в 50% случаев бомбы взрываются с полукамуфлетом , что также говорит о недостаточном количестве ВВ в тяжелом корпусе боеприпасов.</w:t>
      </w:r>
    </w:p>
    <w:p w14:paraId="0C5B0F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Безотказность действия ФАБ-250сч определяли бомбометанием с высот 2000-3000 м. При этом авиабомбы оснащали только донными взрывателями. Из сброшенных 15 боеприпасов два отказали в действии - один потому, что взрыватель не взвелся из-за “несворачивания” крыльчатки, причину второго случая установить не удалось. Все авиабомбы были устойчивы на траектории. И хотя новые боеприпасы по большому счету можно оценить на уровне “так себе”, с учетом тяжелой экономической обстановки представители УВВС признали их выдержавшими полигонные испытания. Постановлением Научно-технического журнала.№ 0120 от 1943 г. ФАБ-250сч приняли на вооружение с присвоением номера чертежа 3-01301 и индекса 7-Ф-334 (7453).</w:t>
      </w:r>
    </w:p>
    <w:p w14:paraId="1C6F6A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78E1D"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когда прошли все сроки по постановлению ГКО, в ГИРТ была направлена комиссия во главе с зам. наркома А.С.Яковлевым. В комиссию входили академик  С.А.Христианович,  нач. летно-технического института НКАП А.В.Чесалов, т.е. те лица, которые одобряли ЭП Костикова с ПВРД. В комиссию входил от командования гвардейских минометных частей Л.М.Гайдуков. В материалах комиссии про состояние с отработкой ПВРД не говорилось. Основными пунктами обвинения были: «Невыполнение Костиковым особо важного задания и обман в характеристиках самолета «302П» в отличии от  указанных в проекте». Еще во время работы комиссии Костиков 07.12.43. направил письмо секретарю ЦК ВКП(б) Маленкову. В нем Костиков не только пытался объяснить неудачи своей работы по созданию самолета «302», но и изложил масштабные предложения по организации работ в реактивной авиации. Это письмо есть в деле Костикова после ареста. Вот его основные положения. «Необходимо широкое развитие работ по трем направлениям: 1. Над самолетами с ВРД и приводом от газовых турбин. 2. Над самолетами-перехватчиками с реактивными двигателями жидкого топлива. 3.Над самолетами с ВРД, с приводом от авиадвигателей. Газовые турбины, осевые нагнетатели, ЖРД, насосы высокой производительности и больших давлений представляют конструктивную и производственную новизну. Эти вопросы требуют участия многих специальностей, участия многих заводов, привлечению к работе НИИ и лабораторий промышленности и Академии наук СССР. Такая задача выходит за пределы одной организации и даже возможно одного наркомата. Поэтому для быстрого решения этой важной задачи необходимо создать Комитет реактивной авиации во главе с членом ГКО. Наличие комитета позволит координировать все вопросы, связанные с реактивной авиацией, и эффективно использовать возможности всей промышленности, НИИ с их лабораториями и опытными производствами, обеспечив делу реактивной авиации должный размах и развитие» (19590).</w:t>
      </w:r>
    </w:p>
    <w:p w14:paraId="4923E0BA"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00711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была разработана установка М-8-48 на модифицированном шасси грузового автомобиля ЗИС-6. Все основные узлы конструкции были унифицированы с узлами серийных установок: пакет направляющих от установки М-8-48, а поворотная рама, подъемный и поворотный механизмы наведения и распределительная коробка с соответствующими узлами установки М-8-36 (11772).</w:t>
      </w:r>
    </w:p>
    <w:p w14:paraId="0CE02E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CF761" w14:textId="77777777" w:rsidR="00110BE5" w:rsidRPr="00271E51" w:rsidRDefault="00110BE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ноябре 1943 г. командиру 1-го дивизиона капитану Л. Е. Гнаткову было приказано сформировать отдельную гвардейскую горно-вьючную батарею для выполнения специального задания. Эту батарею (командир – старший лейтенант П. П. Авдюков) самолетами перебросили в Крым, в Зуйские леса для совместных действий с партизанами. Батарея принимала активное участие в боевых действиях в горном Крыму в ноябре – декабре 1943 г. и в январе 1944-го, получив высокую оценку со </w:t>
      </w:r>
      <w:r w:rsidRPr="00271E51">
        <w:rPr>
          <w:rFonts w:ascii="Times New Roman" w:hAnsi="Times New Roman"/>
          <w:color w:val="000000" w:themeColor="text1"/>
          <w:sz w:val="16"/>
          <w:szCs w:val="16"/>
        </w:rPr>
        <w:lastRenderedPageBreak/>
        <w:t>стороны партизанского командования. По некоторым данным, эта батарея полностью погибла в Крыму на высоте Колан-Баир. После Северного Кавказа 2-й и 3-й дивизионы были переброшены в Крым, где приняли активное участие в освобождении полуострова. Здесь за образцовое выполнение заданий командования оба дивизиона были награждены орденом Александра Невского (15796).</w:t>
      </w:r>
    </w:p>
    <w:p w14:paraId="625AFB7F" w14:textId="77777777" w:rsidR="00110BE5" w:rsidRPr="00271E51" w:rsidRDefault="00110BE5" w:rsidP="00271E51">
      <w:pPr>
        <w:spacing w:after="0" w:line="240" w:lineRule="auto"/>
        <w:jc w:val="both"/>
        <w:rPr>
          <w:rFonts w:ascii="Times New Roman" w:hAnsi="Times New Roman"/>
          <w:color w:val="000000" w:themeColor="text1"/>
          <w:sz w:val="16"/>
          <w:szCs w:val="16"/>
        </w:rPr>
      </w:pPr>
    </w:p>
    <w:p w14:paraId="656F60B6" w14:textId="77777777" w:rsidR="00DA1B4D" w:rsidRPr="00271E51" w:rsidRDefault="00DA1B4D"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В ноябре 1943 г. НКАП выражал недовольство тем, что руководство ВВС систе</w:t>
      </w:r>
      <w:r w:rsidRPr="00271E51">
        <w:rPr>
          <w:rFonts w:ascii="Times New Roman" w:hAnsi="Times New Roman"/>
          <w:color w:val="0070C0"/>
          <w:sz w:val="16"/>
          <w:szCs w:val="16"/>
          <w:lang w:eastAsia="ru-RU" w:bidi="ru-RU"/>
        </w:rPr>
        <w:softHyphen/>
        <w:t>матически уклонялось от согласования отпускных цен и явочным порядком рас</w:t>
      </w:r>
      <w:r w:rsidRPr="00271E51">
        <w:rPr>
          <w:rFonts w:ascii="Times New Roman" w:hAnsi="Times New Roman"/>
          <w:color w:val="0070C0"/>
          <w:sz w:val="16"/>
          <w:szCs w:val="16"/>
          <w:lang w:eastAsia="ru-RU" w:bidi="ru-RU"/>
        </w:rPr>
        <w:softHyphen/>
        <w:t>считывалось с авиапредприятиями по заниженным отпускным ценам прошлого периода, чем ставило заводы в весьма затруднительное финансовое положение (РГАЭ, ф. 8044, оп. 1, д. 2907, л. 2) (22646).</w:t>
      </w:r>
    </w:p>
    <w:p w14:paraId="7CDE00C7" w14:textId="77777777" w:rsidR="00DA1B4D" w:rsidRPr="00271E51" w:rsidRDefault="00DA1B4D" w:rsidP="00271E51">
      <w:pPr>
        <w:spacing w:after="0" w:line="240" w:lineRule="auto"/>
        <w:jc w:val="both"/>
        <w:rPr>
          <w:rFonts w:ascii="Times New Roman" w:hAnsi="Times New Roman"/>
          <w:i/>
          <w:iCs/>
          <w:color w:val="0070C0"/>
          <w:sz w:val="16"/>
          <w:szCs w:val="16"/>
          <w:lang w:eastAsia="ru-RU" w:bidi="ru-RU"/>
        </w:rPr>
      </w:pPr>
    </w:p>
    <w:p w14:paraId="576F229F"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D900A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F4C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завод № 20 НКБ (Завод № 20 НКБ, НКХП /Украина  г. Рубежное Ворошиловградской обл./) действовал в Рубежном, в 08.1943-09.1944 г. - в ведении 1ГУ. 6.11.1943 г. вышло постановление ГКО № 4505 о мобилизации на завод 500 рабочих. Вероятно, в 1943 г. завод был передан в ведение НКХП. 27.01.1944 г. вышло распоряжение ГКО № 5060 об оставлении завода № 20 в системе НКБ. 14.06.1944 г. вышло постановление ГКО № 6045 о мероприятиях по восстановлению производства тротила на заводе. Позднее на старом месте образован Рубежанский казенный химический завод «Заря».</w:t>
      </w:r>
    </w:p>
    <w:p w14:paraId="0680DD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(09.1941 г.)- 1021 чел., (11.1943 г.)- 650 чел. (11982).</w:t>
      </w:r>
    </w:p>
    <w:p w14:paraId="18B208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AFC5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 1943 г. из СПРАВКИ «ОЦЕНКА РАБОТЫ ПРОМЫШЛЕННОСТИ БОЕПРИПАСОВ НОВОСИБИРСКОЙ ОБЛАСТИ», ПОДПИСАННОЙ ЗАМЕСТИТЕЛЕМ ЗАВЕДУЮЩЕГО ОТДЕЛОМ ПРОМЫШЛЕННОСТИ БОЕПРИПАСОВ ОБКОМА ВКП(б) С.А. ПАНОВЫМ</w:t>
      </w:r>
    </w:p>
    <w:p w14:paraId="37AF8A4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Промышленность боеприпасов, созданная в основном уже в военное время, за годы войны добилась серьезных успехов и превратилась в одну их крупнейших ведущих отраслей промышленности области. Выпуск товарной продукции по сравнению со вторым полугодием 1941 года вырос в 6,6 раза, производительность труда рабочих увеличилась на 83 %, освоено и выпускается в массовых количествах свыше 40 номенклатур боевых изделий. Успехи промышленности боеприпасов области высоко оценены Партией и Правительством. Крупнейшее предприятие промышленности боеприпасов области - комбинат № 179 - награждено высшей наградой Советского Союза - орденом Ленина, орденами и медалями награждены 238 передовых работников промышленности боеприпасов области. Однако промышленность боеприпасов области работает все еще совершенно неудовлетворительно. До сих пор остаются неиспользованными до 30 % производственных мощностей, свыше 7 % рабочих не выполняют норм выработки, больше половины заводов области систематически не выполняют заданий Государственного Комитета Обороны. Особенно плохо работают и на протяжении всей войны позорно проваливают план такие заводы области, как №№ 65, 677, 564 и 556.</w:t>
      </w:r>
    </w:p>
    <w:p w14:paraId="64584BC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677. Директор - т. БРУК, парторг ЦК ВКП(б) -т. ВОРОНЕЦКИЙ.</w:t>
      </w:r>
    </w:p>
    <w:p w14:paraId="2A6057B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ОБЩАЯ ХАРАКТЕРИСТИКА ПОЛОЖЕНИЯ НА КОМБИНАТЕ № 179</w:t>
      </w:r>
    </w:p>
    <w:p w14:paraId="4D116DA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войны комбинат X» 179 представлял стройку. В первый месяц войны было выпущено всего лишь 65 тысяч 76 мм снарядов. Общий объем выпущенной продукции в июне 1941 года составил 2 млн. рублей. За годы войны на комбинате освоено производство 122 мм и 152 мм осколочно-фугасных снарядов, 120 мм мин из сталистого чугуна, железобетонных авиабомб РАБ 100, стальных авиабомб из брака снарядов ФАБ-50 и АО-25. Объем выпускаемой продукции увеличился в 25 раз и составляет более 50 млн. рублей в месяц. Комбинат имеет вполне достаточную производственно-техническую базу и необходимое количество инженерно-технических кадров, способных решать любую производственно-техническую задачу. Основными трудностями в работе являются: систематические перебои в снабжении металлом и спецтарой; недостаточное количество закрепившихся рабочих кадров, текучесть новых рабочих и слабая их подготовка. На комбинате ежегодно обновляется рабочий состав до 70 процентов. Пополнение идет исключительно за счет мобилизации из сельского хозяйства молодежи, которая не обеспечивается нормальными бытовыми условиями. Плохие бытовые условия порождают огромную текучесть. За 11 месяцев 1943 года дезертировало с комбината 4 456 человек, или 31,8 процента всех производственных рабочих. Плохая организация работы железнодорожного транспорта. Из месяца в месяц на комбинате простаивают сотни железнодорожных вагонов. Комбинат выплачивает сотни тысяч рублей штрафов. Завод с ноября месяца 1943 года полностью перешел только на производство орудийных гильз; бывшее в его составе снаряжение авиавыстрела выделено в самостоятельный завод № 136. С декабря 1943 года завод приступил к изготовлению стальных 76 мм гильз взамен латунных. За время войны завод хорошо механизировал внутризаводской транспорт, значительно изменил технологию производства латунных гильз, создал вновь литье и прокат латуни. Производство стальных гильз — дело почти новое, технология производства их несовершенная, и сейчас у завода возникает ряд трудностей. Технология производства железных гильз по трудоемкости больше чем в пять раз превышает технологию латунных. Для выполнения установленного заводу плана необходимо ввести дополнительно 1 000 человек рабочих. Из-за систематического отсутствия кожаных манжет на заводе имеют место большие простои гидропрессового оборудования. Использованные в этой части всякого рода заменители кожи положительных результатов не дали. Завод эвакуирован в конце 1941 года из города Таганрога, разместился на площадях комбината № 179 и в апреле 1942 года закончил восстановление. За время войны завод три раза полностью переоснащал производство в связи с изменением номенклатуры изделий, в связи с чем систематически не выполнял установленных ему планов. За последнее время завод значительно улучшил свою работу, до сих пор переживает трудности и план не выполняет. На заводе имеет место резкая диспропорция между кузнечно-прессовым и металлорежущим оборудованием. Заводу недостает кузнечного и прессового оборудования, из-за чего систематически простаивают основные цеха. Завод испытывает систематический недостаток в рабочей силе. На декабрь заводу недостает против плана 1500 человек рабочих. Завод по основной номенклатуре — капсюлям-воспламенителям — систематически не выполняет программу и, имея большие резервы мощностей, медленно наращивает выпуск. Цех вырубки колпачков не укомплектован оборудованием в соответствии с мощностью снаряжательных цехов. Инструментальный цех не обеспечивает завод необходимым инструментом. Рабочей силой завод обеспечен только на 49 %, почему испытывает большие затруднения при выполнении производственных заданий. В течение 1944 года завод должен увеличить общие мощности по плану на 253 %, а по капсюлям-воспламенителям — на 415 %. За это время промышленный) персонал завода должен быть увеличен против наличия на 1 633 человека. Значительные трудности в деле реализации плана наращивания мощностей состоят в комплектовании рабочей силы. Поступление на завод рабочей силы по линии мобилизации сельского населения и из других источников неудовлетворительное. На заводе острый недостаток инженерно-технических руководящих работников в количестве 30-35 человек, пиротехников, трудовиков, инструментальщиков, энергетиков. Завод имеет все необходимое для успешного выполнения и перевыполнения задания ГКО, а также значительные неиспользованные мощности, особенно по снаряжению боеприпасов 122 и 152 мм калибра и средств химического вооружения. Кроме того, не законченный строительством комплекс по снаряжению 122 и 152 мм снарядов может увеличить мощности завода еще в два раза. Однако развитие путевого, складского хозяйства и межцехового транспорта не соответствует этим мощностям и препятствуют их развитию. Завод не окончен строительством, вследствие чего находится в опасном состоянии по возможности возникновения пожара и взрыва, так как взрывоопасные здания не обвалованы, базисные склады не закончены, пожарных дорог нет, пожарное водоснабжение не устроено. Кроме того, на заводе недостаточное и неудовлетворительное котельное хозяйство. На заводе не проводилось и не проводится культурно-бытовое строительство, вследствие чего коллектив завода не имеет самых необходимых бытовых и культурных учреждений, как прачечная, клуб и так далее. Завод перегружен готовыми к отгрузке на фронт боеприпасами. В настоящее время на самой территории завода сложено в снегу и канавах до 1 000 вагонов готовых снарядов и мин. Томская железная дорога обеспечивает завод вагонами в соответствии с его потребностью, но погрузбюро на заводе укомплектовано на 57 процентов и поэтому завод не справляется с отгрузкой и выгрузкой — вагоны простаивают. Поступающее от облвоенкомата на завод пополнение из числа негодных для службы в РККА фронтовиков не дает физически способных к тяжелому труду рабочих, которые необходимы для погрузбюро завода. Из 100 человек, прибывших до 10 декабря, направлено на работу грузчиками только 22 человека. Перегруженность завода готовой продукцией создает опасность для завода и тормозит работу производственных цехов.</w:t>
      </w:r>
    </w:p>
    <w:p w14:paraId="30A7A02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зав. отделом промышленности боеприпасов С. Панов</w:t>
      </w:r>
    </w:p>
    <w:p w14:paraId="29B7591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79E0F92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 1943 г.] СТРОИТЕЛЬСТВО, РАЗВИТИЕ И ДЕЯТЕЛЬНОСТЬ ЗАВОДА № 635 НКБ СССР</w:t>
      </w:r>
    </w:p>
    <w:p w14:paraId="46C24EE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строительства завода основные источники были представлены в следующем виде:</w:t>
      </w:r>
    </w:p>
    <w:p w14:paraId="275A3E7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Энергохозяйство.</w:t>
      </w:r>
    </w:p>
    <w:p w14:paraId="4C1A9AA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Временная полевая дизельная электростанция мощностью 45 кВт.</w:t>
      </w:r>
    </w:p>
    <w:p w14:paraId="33AB6FC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Водоснабжение.</w:t>
      </w:r>
    </w:p>
    <w:p w14:paraId="52EB015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 артезанских скважины с общим дебетом воды до 21 куб. м/час, насосная станция, запасные резервуары для воды на 500 куб. м и 3,72 км водопроводных трасс.</w:t>
      </w:r>
    </w:p>
    <w:p w14:paraId="1C9FA30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Транспортное хозяйство:</w:t>
      </w:r>
    </w:p>
    <w:p w14:paraId="333EFCE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железнодорожные пути нормальной колеи от площадки завода до ближайшего разъезда 8 км и на территории промплощадки 6,65 км.</w:t>
      </w:r>
    </w:p>
    <w:p w14:paraId="1278A87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шоссейная дорога на площадке протяжением 350 пог./м" и профилированная грунтовая дорога в город Новосибирск, совершенно непроезжая в осенний, зимний и весенний периоды.</w:t>
      </w:r>
    </w:p>
    <w:p w14:paraId="39E4D8A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Объекты жилищно-бытового обслуживания:</w:t>
      </w:r>
    </w:p>
    <w:p w14:paraId="1B58EB5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 бараки рубленые - 9 штук кирпичных двухэтажных домов, не законченных строительством;</w:t>
      </w:r>
    </w:p>
    <w:p w14:paraId="3D4A47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баня пропускной способностью 40 человек в час;</w:t>
      </w:r>
    </w:p>
    <w:p w14:paraId="65A2BEA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одноэтажные здания санчасти и штаба артскладов;</w:t>
      </w:r>
    </w:p>
    <w:p w14:paraId="2F78939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двухэтажные здания казармы охраны складов.</w:t>
      </w:r>
    </w:p>
    <w:p w14:paraId="3FC1CA1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Разворот строительства с первых же дней был направлен на обеспечение строительной организации жильем, временными сооружениями, а также на создание собственной энергетической базы завода. Выполнение всех работ по наращиванию мощностей бывший нарком боеприпасов возложил на комбинат № 179, обладавший достаточными средствами, материально-техническими возможностями. Комбинат № 179 передал строительство завода на договорных началах строительной организации УВС-3 Сибирского окружного военно-строительного управления. К производству работ подрядчик приступил с 20 октября 1941 года при отсутствии в необходимом количестве строительных материалов, инструментов, при полном отсутствии механизации трудоемких процессов строительства и без проведения необходимой подготовки к производству работ в зимних условиях. Первые производственные здания были подготовлены под монтаж подрядчиком в конце ноября месяца 1941 года с последующим нарастанием темпов строительства к концу 1941 года. Второй и третий кварталы 1942 года были наиболее производительными как по объему капвложений, так и по вводу производственных мощностей в эксплуатацию. Капиталовложения 1943 года характеризуются максимальным вложением средств на подтягивание узких мест и ликвидацию диспропорции между ростом производственных мощностей и общезаводским хозяйством. В условиях исключительного напряжения осуществляется монтаж цехов. При полном отсутствии технической базы и материальных ресурсов ОКС завода приступил в конце ноября месяца 1941 года к монтажу первых зданий, подготовленных под монтаж. Учитывая исключительно сжатые сроки пуска цехов 1-йочереди, потребность в рабсиле определялась до 150 человек рабочих. Укомплектовав монтажную группу в количестве 20—25 человек из числа прибывших с эвакуированным заводом № 55 слесарей, ОКС с первых же дней добился максимального разворота работ. В сорокаградусные морозы при отсутствии теплой спецодежды небольшая группа монтажников, находясь непрерывно по нескольку суток в неотапливаемых холодных зданиях, вела работы, борясь за досрочное выполнение плана ввода в эксплуатацию. В результате до предела напряженной работы коллектив монтажников, приступив к монтажу в конце ноября месяца, обеспечил к 18 декабря 1941 года пуск первой очереди завода в составе четырех производственных корпусов, ремонтно-механического цеха и других объектов подсобного назначения. С пуском первой очереди часть слесарей-монтажников была передана для обслуживания цехов, и к началу 1942 года количество квалифицированной рабочей силы составляло 17 человек. Тем не менее монтаж оборудования велся неослабевающими темпами. Монтаж усложнялся еще тем, что прибывшее оборудование в количестве 150 вагонов было разгружено в разных местах площадки комбината № 179. Отгрузка его на новую площадку продолжалась в течение всего IV квартала 1941 года и частично в I квартале 1942 года. В результате многократных перебросок на территории комбината и перевозки на новую площадку оборудование поступало в монтаж в раскомплектованном виде и с механическими повреждениями, что вызвало необходимость повальной ревизии и ремонта его. В результате форсирования строительства производственных объектов рост их мощностей резко обогнал рост жилых площадей и бытовых учреждений, создав напряженное положение в бытовом обслуживании прибывающей в больших количествах рабочей силы для укомплектования цехов. Данное положение было исправлено только в III квартале 1942 года. В результате освоения капвложений за двухлетний период строительства, с 1 октября 1941 года по 1 октября 1943 года, завод полностью обеспечил наращивание производственных мощностей на текущую программу выпуска боеприпасов. Итоги строительства завода характерны следующими основными показателями:</w:t>
      </w:r>
    </w:p>
    <w:p w14:paraId="08719DF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основному производству.</w:t>
      </w:r>
    </w:p>
    <w:p w14:paraId="09C67BA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Введено в эксплуатацию 24 34 7 кв. м производственных площадей и 20 362 кв. м вспомогательных и складских помещений.</w:t>
      </w:r>
    </w:p>
    <w:p w14:paraId="1E837F5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энергохозяйству:</w:t>
      </w:r>
    </w:p>
    <w:p w14:paraId="35B981E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Полностью разрешена проблема энергоснабжения завода за счет ввода в эксплуатацию линии высоковольтного напряжения и трансформаторной подстанции 35 кВ.</w:t>
      </w:r>
    </w:p>
    <w:p w14:paraId="28BA3FF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пароснабжению:</w:t>
      </w:r>
    </w:p>
    <w:p w14:paraId="0C34723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период строительства завода введено в эксплуатацию четыре котельных с общим съемом пара 22,5 тонны/час.</w:t>
      </w:r>
    </w:p>
    <w:p w14:paraId="530DB9F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транспортному хозяйству:</w:t>
      </w:r>
    </w:p>
    <w:p w14:paraId="50A4DFD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Развитие подземных путей нормальной и узкой железнодорожной колеи шло в полном соответствии с ростом основного производства.</w:t>
      </w:r>
    </w:p>
    <w:p w14:paraId="602D5A5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развитию автодорог обеспечено мощение основных магистралей, связывающих промплощадку с административным и жилым поселком завода.</w:t>
      </w:r>
    </w:p>
    <w:p w14:paraId="46F047E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жилищно-бытовому строительству:</w:t>
      </w:r>
    </w:p>
    <w:p w14:paraId="0B04140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Введено в эксплуатацию:</w:t>
      </w:r>
    </w:p>
    <w:p w14:paraId="368154F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жилых площадей 14 268 кв. м;</w:t>
      </w:r>
    </w:p>
    <w:p w14:paraId="1AA479D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школа-десятилетка на 400 учащихся;</w:t>
      </w:r>
    </w:p>
    <w:p w14:paraId="32E21FB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детсад на 20 детей;</w:t>
      </w:r>
    </w:p>
    <w:p w14:paraId="27E792B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хлебозавод мощностью 15 тонн хлеба в сутки;</w:t>
      </w:r>
    </w:p>
    <w:p w14:paraId="79F3304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сеть общественного питания на обеды;</w:t>
      </w:r>
    </w:p>
    <w:p w14:paraId="01909C9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осуществлен монтаж радиотрансляционной установки и сетей на 600 точек.</w:t>
      </w:r>
    </w:p>
    <w:p w14:paraId="23D423B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П-11796. Оп. 1. Д. 48 Л. 19-22. Подлинник (12194).</w:t>
      </w:r>
    </w:p>
    <w:p w14:paraId="1C6A518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5C5D8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ГКО принял решение о начале производства противотанковой пушки БС-3 100 мм на заводе Большевик, вернувшемся в Ленинград (355,13).</w:t>
      </w:r>
    </w:p>
    <w:p w14:paraId="020FC1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05B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были проведены испытания 76,2-мм пушку С-54 с длиной ствола 55 калибров и баллистикой зенитной пушки обр. 1931/38 гг.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271E51">
        <w:rPr>
          <w:rFonts w:ascii="Times New Roman" w:hAnsi="Times New Roman"/>
          <w:color w:val="000000" w:themeColor="text1"/>
          <w:sz w:val="16"/>
          <w:szCs w:val="16"/>
        </w:rPr>
        <w:softHyphen/>
        <w:t>мость в доработке 76,2-мм пушки С-54 отпала. В 1943 - 1944 гг. ОКБ за</w:t>
      </w:r>
      <w:r w:rsidRPr="00271E51">
        <w:rPr>
          <w:rFonts w:ascii="Times New Roman" w:hAnsi="Times New Roman"/>
          <w:color w:val="000000" w:themeColor="text1"/>
          <w:sz w:val="16"/>
          <w:szCs w:val="16"/>
        </w:rPr>
        <w:softHyphen/>
        <w:t>вода "Большевик" были разработаны две 76,2-мм танковые пушки боль</w:t>
      </w:r>
      <w:r w:rsidRPr="00271E51">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271E51">
        <w:rPr>
          <w:rFonts w:ascii="Times New Roman" w:hAnsi="Times New Roman"/>
          <w:color w:val="000000" w:themeColor="text1"/>
          <w:sz w:val="16"/>
          <w:szCs w:val="16"/>
        </w:rPr>
        <w:softHyphen/>
        <w:t>должались. В ноябре 1943 г. завод № 92 изготовил два опытных образ</w:t>
      </w:r>
      <w:r w:rsidRPr="00271E51">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271E51">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271E51">
        <w:rPr>
          <w:rFonts w:ascii="Times New Roman" w:hAnsi="Times New Roman"/>
          <w:color w:val="000000" w:themeColor="text1"/>
          <w:sz w:val="16"/>
          <w:szCs w:val="16"/>
        </w:rPr>
        <w:softHyphen/>
        <w:t>изводстве на заводе № 92 пушки С-53, наиболее полно отвечавшей тре</w:t>
      </w:r>
      <w:r w:rsidRPr="00271E51">
        <w:rPr>
          <w:rFonts w:ascii="Times New Roman" w:hAnsi="Times New Roman"/>
          <w:color w:val="000000" w:themeColor="text1"/>
          <w:sz w:val="16"/>
          <w:szCs w:val="16"/>
        </w:rPr>
        <w:softHyphen/>
        <w:t>бованиям по размещению в танке Т-34.1 января 1944 г. пушка С-53 бы</w:t>
      </w:r>
      <w:r w:rsidRPr="00271E51">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3E70B2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56E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w:t>
      </w:r>
      <w:r w:rsidRPr="00271E51">
        <w:rPr>
          <w:rFonts w:ascii="Times New Roman" w:hAnsi="Times New Roman"/>
          <w:color w:val="000000" w:themeColor="text1"/>
          <w:sz w:val="16"/>
          <w:szCs w:val="16"/>
        </w:rPr>
        <w:softHyphen/>
        <w:t>ябре 1943 пленум техуправления НКВ рассматривал ору</w:t>
      </w:r>
      <w:r w:rsidRPr="00271E51">
        <w:rPr>
          <w:rFonts w:ascii="Times New Roman" w:hAnsi="Times New Roman"/>
          <w:color w:val="000000" w:themeColor="text1"/>
          <w:sz w:val="16"/>
          <w:szCs w:val="16"/>
        </w:rPr>
        <w:softHyphen/>
        <w:t>дия С-50 и ЛБ-1.</w:t>
      </w:r>
    </w:p>
    <w:p w14:paraId="0DF2B1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обсуждения отмечалось:</w:t>
      </w:r>
    </w:p>
    <w:p w14:paraId="328D2A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С-50, кал. 85-мм, проект ЦАКБ гр. тов. Меща</w:t>
      </w:r>
      <w:r w:rsidRPr="00271E51">
        <w:rPr>
          <w:rFonts w:ascii="Times New Roman" w:hAnsi="Times New Roman"/>
          <w:color w:val="000000" w:themeColor="text1"/>
          <w:sz w:val="16"/>
          <w:szCs w:val="16"/>
        </w:rPr>
        <w:softHyphen/>
        <w:t>нинова имеет увеличенную баллистику, достигнутую удлине</w:t>
      </w:r>
      <w:r w:rsidRPr="00271E51">
        <w:rPr>
          <w:rFonts w:ascii="Times New Roman" w:hAnsi="Times New Roman"/>
          <w:color w:val="000000" w:themeColor="text1"/>
          <w:sz w:val="16"/>
          <w:szCs w:val="16"/>
        </w:rPr>
        <w:softHyphen/>
        <w:t>нием ствола на 650мм и введением усиленного заряда из труб</w:t>
      </w:r>
      <w:r w:rsidRPr="00271E51">
        <w:rPr>
          <w:rFonts w:ascii="Times New Roman" w:hAnsi="Times New Roman"/>
          <w:color w:val="000000" w:themeColor="text1"/>
          <w:sz w:val="16"/>
          <w:szCs w:val="16"/>
        </w:rPr>
        <w:softHyphen/>
        <w:t>чатого дигликолевого пороха... Отличается от аналогов ком</w:t>
      </w:r>
      <w:r w:rsidRPr="00271E51">
        <w:rPr>
          <w:rFonts w:ascii="Times New Roman" w:hAnsi="Times New Roman"/>
          <w:color w:val="000000" w:themeColor="text1"/>
          <w:sz w:val="16"/>
          <w:szCs w:val="16"/>
        </w:rPr>
        <w:softHyphen/>
        <w:t>пактными размерами казенной части, достигнутыми за счет увеличения давления жидкости в тормозе отката и примене</w:t>
      </w:r>
      <w:r w:rsidRPr="00271E51">
        <w:rPr>
          <w:rFonts w:ascii="Times New Roman" w:hAnsi="Times New Roman"/>
          <w:color w:val="000000" w:themeColor="text1"/>
          <w:sz w:val="16"/>
          <w:szCs w:val="16"/>
        </w:rPr>
        <w:softHyphen/>
        <w:t>ния дульного тормоза реактивного типа...</w:t>
      </w:r>
    </w:p>
    <w:p w14:paraId="6CB433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85-мм орудие ЛБ-1 (прежний индекс ЗИС-8), проект КБ завода № 92, рук. тов. Савин, отличается от аналогов наличием гориз. клинового затвора и укороченным тормозом от</w:t>
      </w:r>
      <w:r w:rsidRPr="00271E51">
        <w:rPr>
          <w:rFonts w:ascii="Times New Roman" w:hAnsi="Times New Roman"/>
          <w:color w:val="000000" w:themeColor="text1"/>
          <w:sz w:val="16"/>
          <w:szCs w:val="16"/>
        </w:rPr>
        <w:softHyphen/>
        <w:t>ката, располож. под стволом...</w:t>
      </w:r>
    </w:p>
    <w:p w14:paraId="5817E7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числу недостатков указанных орудий следует отнести наличие в их конструкции дульного тормоза, демаскирующего танк и не позволяющего вести огонь из танк, пушки с десантом на броне и сопровождать пехоту в ее боевых рядах... Недостат</w:t>
      </w:r>
      <w:r w:rsidRPr="00271E51">
        <w:rPr>
          <w:rFonts w:ascii="Times New Roman" w:hAnsi="Times New Roman"/>
          <w:color w:val="000000" w:themeColor="text1"/>
          <w:sz w:val="16"/>
          <w:szCs w:val="16"/>
        </w:rPr>
        <w:softHyphen/>
        <w:t>ком орудия ЛБ-1, кроме того, является малое значение заднего отрезка, что приведет к невозможности произведения быстро</w:t>
      </w:r>
      <w:r w:rsidRPr="00271E51">
        <w:rPr>
          <w:rFonts w:ascii="Times New Roman" w:hAnsi="Times New Roman"/>
          <w:color w:val="000000" w:themeColor="text1"/>
          <w:sz w:val="16"/>
          <w:szCs w:val="16"/>
        </w:rPr>
        <w:softHyphen/>
        <w:t>го проведения заряжения танк, пушки в движении...»</w:t>
      </w:r>
    </w:p>
    <w:p w14:paraId="28234D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не менее к испытаниям были допущены оба орудия. И уже «под занавес» пленума Ленинградский филиал ЦАКБ, под руководством И. Иванова, представил свой вариант 85-мм «фузеи» для среднего танка, имеющей индекс С-53. Са</w:t>
      </w:r>
      <w:r w:rsidRPr="00271E51">
        <w:rPr>
          <w:rFonts w:ascii="Times New Roman" w:hAnsi="Times New Roman"/>
          <w:color w:val="000000" w:themeColor="text1"/>
          <w:sz w:val="16"/>
          <w:szCs w:val="16"/>
        </w:rPr>
        <w:softHyphen/>
        <w:t>мое удивительное в данном орудии было то, что ленинград</w:t>
      </w:r>
      <w:r w:rsidRPr="00271E51">
        <w:rPr>
          <w:rFonts w:ascii="Times New Roman" w:hAnsi="Times New Roman"/>
          <w:color w:val="000000" w:themeColor="text1"/>
          <w:sz w:val="16"/>
          <w:szCs w:val="16"/>
        </w:rPr>
        <w:softHyphen/>
        <w:t>ские конструкторы Г. Сергеев и Г. Шабиров, укорачивая пушку, обошлись без купирования тормоза отката. Благода</w:t>
      </w:r>
      <w:r w:rsidRPr="00271E51">
        <w:rPr>
          <w:rFonts w:ascii="Times New Roman" w:hAnsi="Times New Roman"/>
          <w:color w:val="000000" w:themeColor="text1"/>
          <w:sz w:val="16"/>
          <w:szCs w:val="16"/>
        </w:rPr>
        <w:softHyphen/>
        <w:t>ря оригинальной компоновке орудия в целом, им удалось не увеличивать нагрузку относительно Д-5Т и, значит, также обойтись без дульного тормоза. Тормоз отката и гидравли</w:t>
      </w:r>
      <w:r w:rsidRPr="00271E51">
        <w:rPr>
          <w:rFonts w:ascii="Times New Roman" w:hAnsi="Times New Roman"/>
          <w:color w:val="000000" w:themeColor="text1"/>
          <w:sz w:val="16"/>
          <w:szCs w:val="16"/>
        </w:rPr>
        <w:softHyphen/>
        <w:t>ческий накатник С-53 располагались не просто под стволом, но даже под затвором орудия, что позволило таким образом выдвинуть ствол орудия вперед почти на 200 мм относитель</w:t>
      </w:r>
      <w:r w:rsidRPr="00271E51">
        <w:rPr>
          <w:rFonts w:ascii="Times New Roman" w:hAnsi="Times New Roman"/>
          <w:color w:val="000000" w:themeColor="text1"/>
          <w:sz w:val="16"/>
          <w:szCs w:val="16"/>
        </w:rPr>
        <w:softHyphen/>
        <w:t>но Д-5Т и при этом не сооружать броневую «бульбу» для за</w:t>
      </w:r>
      <w:r w:rsidRPr="00271E51">
        <w:rPr>
          <w:rFonts w:ascii="Times New Roman" w:hAnsi="Times New Roman"/>
          <w:color w:val="000000" w:themeColor="text1"/>
          <w:sz w:val="16"/>
          <w:szCs w:val="16"/>
        </w:rPr>
        <w:softHyphen/>
        <w:t>щиты противооткатных механизмов, как у Ф-34 — С-31. Орудие также получило «высокое благословение» к изготов</w:t>
      </w:r>
      <w:r w:rsidRPr="00271E51">
        <w:rPr>
          <w:rFonts w:ascii="Times New Roman" w:hAnsi="Times New Roman"/>
          <w:color w:val="000000" w:themeColor="text1"/>
          <w:sz w:val="16"/>
          <w:szCs w:val="16"/>
        </w:rPr>
        <w:softHyphen/>
        <w:t>лению для проведения сравнительных испытаний-Тем временем испытания Д-5 в Т-34 с башней Т-43 продолжались. С 18 по 25 ноября 1943 г. на Гороховецком полигоне танк с указанным вооружением испытывался стрельбой в присутствии комиссии под председательством полковника Г. Кульчицкого (11135).</w:t>
      </w:r>
    </w:p>
    <w:p w14:paraId="6D5784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478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ноябре 1943 г. завод № 92 изготовил два опытных образ</w:t>
      </w:r>
      <w:r w:rsidRPr="00271E51">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271E51">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271E51">
        <w:rPr>
          <w:rFonts w:ascii="Times New Roman" w:hAnsi="Times New Roman"/>
          <w:color w:val="000000" w:themeColor="text1"/>
          <w:sz w:val="16"/>
          <w:szCs w:val="16"/>
        </w:rPr>
        <w:softHyphen/>
        <w:t>изводстве на заводе № 92 пушки С-53, наиболее полно отвечавшей тре</w:t>
      </w:r>
      <w:r w:rsidRPr="00271E51">
        <w:rPr>
          <w:rFonts w:ascii="Times New Roman" w:hAnsi="Times New Roman"/>
          <w:color w:val="000000" w:themeColor="text1"/>
          <w:sz w:val="16"/>
          <w:szCs w:val="16"/>
        </w:rPr>
        <w:softHyphen/>
        <w:t>бованиям по размещению в танке Т-34.1 января 1944 г. пушка С-53 бы</w:t>
      </w:r>
      <w:r w:rsidRPr="00271E51">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620AD7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6BD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 кафедре электрооборудования Военной академии бронетанковых и механизированных войск был разработан и изготовлен первый советский стабилизатор 76,2-мм танковой пушки в вертикальной плоскости. Коллектив кафедры бронеавтомобилей ус</w:t>
      </w:r>
      <w:r w:rsidRPr="00271E51">
        <w:rPr>
          <w:rFonts w:ascii="Times New Roman" w:hAnsi="Times New Roman"/>
          <w:color w:val="000000" w:themeColor="text1"/>
          <w:sz w:val="16"/>
          <w:szCs w:val="16"/>
        </w:rPr>
        <w:softHyphen/>
        <w:t>пешно работал над проблемой повышения проходимости боевых колес</w:t>
      </w:r>
      <w:r w:rsidRPr="00271E51">
        <w:rPr>
          <w:rFonts w:ascii="Times New Roman" w:hAnsi="Times New Roman"/>
          <w:color w:val="000000" w:themeColor="text1"/>
          <w:sz w:val="16"/>
          <w:szCs w:val="16"/>
        </w:rPr>
        <w:softHyphen/>
        <w:t>ных машин (10703).</w:t>
      </w:r>
    </w:p>
    <w:p w14:paraId="18D08F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22A2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была выполнена установка пушки ЛБ-1 в танк Т-34-85 в КБ завода № 92. Опытный образец танка был изготовлен в декабре 1943 г. и в период с 25 по 31 декабря то</w:t>
      </w:r>
      <w:r w:rsidRPr="00271E51">
        <w:rPr>
          <w:rFonts w:ascii="Times New Roman" w:hAnsi="Times New Roman"/>
          <w:color w:val="000000" w:themeColor="text1"/>
          <w:sz w:val="16"/>
          <w:szCs w:val="16"/>
        </w:rPr>
        <w:softHyphen/>
        <w:t>го же года проходил испытания на ГАНИОПе. Пушка испытания не вы</w:t>
      </w:r>
      <w:r w:rsidRPr="00271E51">
        <w:rPr>
          <w:rFonts w:ascii="Times New Roman" w:hAnsi="Times New Roman"/>
          <w:color w:val="000000" w:themeColor="text1"/>
          <w:sz w:val="16"/>
          <w:szCs w:val="16"/>
        </w:rPr>
        <w:softHyphen/>
        <w:t>держала по причине неудовлетворительной работы затвора. На воору</w:t>
      </w:r>
      <w:r w:rsidRPr="00271E51">
        <w:rPr>
          <w:rFonts w:ascii="Times New Roman" w:hAnsi="Times New Roman"/>
          <w:color w:val="000000" w:themeColor="text1"/>
          <w:sz w:val="16"/>
          <w:szCs w:val="16"/>
        </w:rPr>
        <w:softHyphen/>
        <w:t>жение танк с 85-мм пушкой ЛБ-1 не принимался и в серийном произ</w:t>
      </w:r>
      <w:r w:rsidRPr="00271E51">
        <w:rPr>
          <w:rFonts w:ascii="Times New Roman" w:hAnsi="Times New Roman"/>
          <w:color w:val="000000" w:themeColor="text1"/>
          <w:sz w:val="16"/>
          <w:szCs w:val="16"/>
        </w:rPr>
        <w:softHyphen/>
        <w:t>водстве не состоял (10703).</w:t>
      </w:r>
    </w:p>
    <w:p w14:paraId="0FBFE2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CAF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был разработан танк Т-34-85 с пушкой С-50. Опыт</w:t>
      </w:r>
      <w:r w:rsidRPr="00271E51">
        <w:rPr>
          <w:rFonts w:ascii="Times New Roman" w:hAnsi="Times New Roman"/>
          <w:color w:val="000000" w:themeColor="text1"/>
          <w:sz w:val="16"/>
          <w:szCs w:val="16"/>
        </w:rPr>
        <w:softHyphen/>
        <w:t>ный образец был изготовлен в декабре 1943 г. и в период с 25 по 3 1 де</w:t>
      </w:r>
      <w:r w:rsidRPr="00271E51">
        <w:rPr>
          <w:rFonts w:ascii="Times New Roman" w:hAnsi="Times New Roman"/>
          <w:color w:val="000000" w:themeColor="text1"/>
          <w:sz w:val="16"/>
          <w:szCs w:val="16"/>
        </w:rPr>
        <w:softHyphen/>
        <w:t>кабря 1943 г. прошел испытания на ГАНИОПе. Пушка испытания не выдержала по причине отрыва штоков противооткатных устройств. На вооружение танк не принимался и в серийном производстве не состоял. 85-мм танковая пушка конструкции и изготовления ЦАКБ НКВ (А. Боглевский, В. Мещанинов, В. Тюрин) была установлена в башню с диаметром опоры 1570 мм танка Т-34-85 обр. 1943 г. Для крепления пушки в передней части башни были вварены две щеки. На правой ще</w:t>
      </w:r>
      <w:r w:rsidRPr="00271E51">
        <w:rPr>
          <w:rFonts w:ascii="Times New Roman" w:hAnsi="Times New Roman"/>
          <w:color w:val="000000" w:themeColor="text1"/>
          <w:sz w:val="16"/>
          <w:szCs w:val="16"/>
        </w:rPr>
        <w:softHyphen/>
        <w:t>ке был закреплен стопор крепления пушки по-походному и подъемный механизм. С, целью улучшения работы заряжающего, его рабочее место разместили слева от пушки, а места командира танка и наводчика -справа. Кормовая пиша башни была увеличена на 130 - 150 мм (10703).</w:t>
      </w:r>
    </w:p>
    <w:p w14:paraId="31B483A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2C6A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завод № 92 изготовил два опытных образ</w:t>
      </w:r>
      <w:r w:rsidRPr="00271E51">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271E51">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271E51">
        <w:rPr>
          <w:rFonts w:ascii="Times New Roman" w:hAnsi="Times New Roman"/>
          <w:color w:val="000000" w:themeColor="text1"/>
          <w:sz w:val="16"/>
          <w:szCs w:val="16"/>
        </w:rPr>
        <w:softHyphen/>
        <w:t>изводстве на заводе № 92 пушки С-53, наиболее полно отвечавшей тре</w:t>
      </w:r>
      <w:r w:rsidRPr="00271E51">
        <w:rPr>
          <w:rFonts w:ascii="Times New Roman" w:hAnsi="Times New Roman"/>
          <w:color w:val="000000" w:themeColor="text1"/>
          <w:sz w:val="16"/>
          <w:szCs w:val="16"/>
        </w:rPr>
        <w:softHyphen/>
        <w:t>бованиям по размещению в танке Т-34.1 января 1944 г. пушка С-53 бы</w:t>
      </w:r>
      <w:r w:rsidRPr="00271E51">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440444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BA9B3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СГ-34 Сормовского завода испытывался на Волге, удачно форсировав ее пять раз. На шестой попытке произошло ЧП - под водой у машины заглох двигатель, и экипажу пришлось покидать танк. При этом погиб член комиссии по испытаниям инженер-майор Осипов. Дальнейшие работы по СГ-34 не производились. В 1944 году на заводе № 112 оборудовали для форсирования водных преград по дну танк Т-34-85 с 85-мм пушкой ЗИС-С-53. Машина имела индекс ПТХ-34-85 (12217)</w:t>
      </w:r>
    </w:p>
    <w:p w14:paraId="7BE1A2FC"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A369044"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Вплоть до ноября 1943 года на заводе №183 шли опытные работы по теме Т-43. Вместе с тем, к концу 1943 года было очевидно, что в серию машина не пойдёт. Главной причиной, почему эта машина не пошла в серию, следует считать потерю самого дорогого и невосполнимого ресурса — времени. Осенью-зимой 1942 года у завода №183 были шансы довести танк до того состояния, когда Т-43 приняли бы на вооружение Красной армии. Машину погубили различные проволочки, а также нежелание Морозова следовать требованиям ГБТУ КА, особенно в части расширения башенного погона. Уже весной 1943 года шансы Т-43 стать серийной машиной сильно снизились, а после Курской дуги —практически улетучились. Рост требований по защите и вооружению привёл к тому, что боевая масса неуклонно росла, а вместе с ней снижалась надёжность. Понимали это и в ГБТУ КА. 27 ноября 1943 года были составлены тактико-технические требования на новый средний танк. При тех же требованиях к вооружению и защите, что и к улучшенному Т-43, его боевая масса оценивалась в 30 т. Так начинались работы по Т-44 — принципиально иной машине, которую с Т-43 роднила только башня, да и то на начальном периоде разработки (18587).</w:t>
      </w:r>
    </w:p>
    <w:p w14:paraId="3A4937C7"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25ED94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директор завода Ю.Е. Максарев и главный конструктор завода А.А. Морозов доложили наркому танковой промышленности В.А. Малышеву ориентировочные тактике-техни</w:t>
      </w:r>
      <w:r w:rsidRPr="00271E51">
        <w:rPr>
          <w:rFonts w:ascii="Times New Roman" w:hAnsi="Times New Roman"/>
          <w:color w:val="000000" w:themeColor="text1"/>
          <w:sz w:val="16"/>
          <w:szCs w:val="16"/>
        </w:rPr>
        <w:softHyphen/>
        <w:t>ческие характеристики (ТТХ) и предъявили на рассмотрение макет танка Т-44, получив</w:t>
      </w:r>
      <w:r w:rsidRPr="00271E51">
        <w:rPr>
          <w:rFonts w:ascii="Times New Roman" w:hAnsi="Times New Roman"/>
          <w:color w:val="000000" w:themeColor="text1"/>
          <w:sz w:val="16"/>
          <w:szCs w:val="16"/>
        </w:rPr>
        <w:softHyphen/>
        <w:t>шего заводское обозначение «Объект 136».</w:t>
      </w:r>
    </w:p>
    <w:p w14:paraId="265A55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среднего танка Т-44 представ</w:t>
      </w:r>
      <w:r w:rsidRPr="00271E51">
        <w:rPr>
          <w:rFonts w:ascii="Times New Roman" w:hAnsi="Times New Roman"/>
          <w:color w:val="000000" w:themeColor="text1"/>
          <w:sz w:val="16"/>
          <w:szCs w:val="16"/>
        </w:rPr>
        <w:softHyphen/>
        <w:t>лял собой машину, созданную с учетом воз</w:t>
      </w:r>
      <w:r w:rsidRPr="00271E51">
        <w:rPr>
          <w:rFonts w:ascii="Times New Roman" w:hAnsi="Times New Roman"/>
          <w:color w:val="000000" w:themeColor="text1"/>
          <w:sz w:val="16"/>
          <w:szCs w:val="16"/>
        </w:rPr>
        <w:softHyphen/>
        <w:t>можности ее дальнейшего совершенство</w:t>
      </w:r>
      <w:r w:rsidRPr="00271E51">
        <w:rPr>
          <w:rFonts w:ascii="Times New Roman" w:hAnsi="Times New Roman"/>
          <w:color w:val="000000" w:themeColor="text1"/>
          <w:sz w:val="16"/>
          <w:szCs w:val="16"/>
        </w:rPr>
        <w:softHyphen/>
        <w:t>вания. В техническом проекте в интересах получения большего объема боевого отде</w:t>
      </w:r>
      <w:r w:rsidRPr="00271E51">
        <w:rPr>
          <w:rFonts w:ascii="Times New Roman" w:hAnsi="Times New Roman"/>
          <w:color w:val="000000" w:themeColor="text1"/>
          <w:sz w:val="16"/>
          <w:szCs w:val="16"/>
        </w:rPr>
        <w:softHyphen/>
        <w:t>ления и установки башни с диаметром опоры до 1800 мм компоновка моторно-транс-миссионного отделения (МТО) отличалась от компоновки всех предыдущих типов тан</w:t>
      </w:r>
      <w:r w:rsidRPr="00271E51">
        <w:rPr>
          <w:rFonts w:ascii="Times New Roman" w:hAnsi="Times New Roman"/>
          <w:color w:val="000000" w:themeColor="text1"/>
          <w:sz w:val="16"/>
          <w:szCs w:val="16"/>
        </w:rPr>
        <w:softHyphen/>
        <w:t>ков, ранее разработанных заводом. Для максимального сокращения размера зани</w:t>
      </w:r>
      <w:r w:rsidRPr="00271E51">
        <w:rPr>
          <w:rFonts w:ascii="Times New Roman" w:hAnsi="Times New Roman"/>
          <w:color w:val="000000" w:themeColor="text1"/>
          <w:sz w:val="16"/>
          <w:szCs w:val="16"/>
        </w:rPr>
        <w:softHyphen/>
        <w:t>маемого МТО по длине машины двигатель установили поперек корпуса. С целью луч</w:t>
      </w:r>
      <w:r w:rsidRPr="00271E51">
        <w:rPr>
          <w:rFonts w:ascii="Times New Roman" w:hAnsi="Times New Roman"/>
          <w:color w:val="000000" w:themeColor="text1"/>
          <w:sz w:val="16"/>
          <w:szCs w:val="16"/>
        </w:rPr>
        <w:softHyphen/>
        <w:t>шего использования внутренних объемов и получения танка с минимальной боевой массой по-новому расположили водяной и масляный радиаторы, вентилятор системы охлаждения и топливные баки. Применили торсионную подвеску.</w:t>
      </w:r>
    </w:p>
    <w:p w14:paraId="72983A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принятия на вооружение танка Т-44 завод №183 последовательно изготовил три модификации опытных образцов этой боевой машины. В январе-феврале 1944г. были вы</w:t>
      </w:r>
      <w:r w:rsidRPr="00271E51">
        <w:rPr>
          <w:rFonts w:ascii="Times New Roman" w:hAnsi="Times New Roman"/>
          <w:color w:val="000000" w:themeColor="text1"/>
          <w:sz w:val="16"/>
          <w:szCs w:val="16"/>
        </w:rPr>
        <w:softHyphen/>
        <w:t>пущены три танка первой модификации. Пер</w:t>
      </w:r>
      <w:r w:rsidRPr="00271E51">
        <w:rPr>
          <w:rFonts w:ascii="Times New Roman" w:hAnsi="Times New Roman"/>
          <w:color w:val="000000" w:themeColor="text1"/>
          <w:sz w:val="16"/>
          <w:szCs w:val="16"/>
        </w:rPr>
        <w:softHyphen/>
        <w:t>вые два имели массу 30,4 т и были вооруже</w:t>
      </w:r>
      <w:r w:rsidRPr="00271E51">
        <w:rPr>
          <w:rFonts w:ascii="Times New Roman" w:hAnsi="Times New Roman"/>
          <w:color w:val="000000" w:themeColor="text1"/>
          <w:sz w:val="16"/>
          <w:szCs w:val="16"/>
        </w:rPr>
        <w:softHyphen/>
        <w:t>ны 85-мм пушкой Д-5Т-85 и двумя 7,62-мм пулеметами ДТ. Броневая защита верхнего лобового листа корпуса достигала 75 мм, вер</w:t>
      </w:r>
      <w:r w:rsidRPr="00271E51">
        <w:rPr>
          <w:rFonts w:ascii="Times New Roman" w:hAnsi="Times New Roman"/>
          <w:color w:val="000000" w:themeColor="text1"/>
          <w:sz w:val="16"/>
          <w:szCs w:val="16"/>
        </w:rPr>
        <w:softHyphen/>
        <w:t>хний бортовой лист, расположенный верти</w:t>
      </w:r>
      <w:r w:rsidRPr="00271E51">
        <w:rPr>
          <w:rFonts w:ascii="Times New Roman" w:hAnsi="Times New Roman"/>
          <w:color w:val="000000" w:themeColor="text1"/>
          <w:sz w:val="16"/>
          <w:szCs w:val="16"/>
        </w:rPr>
        <w:softHyphen/>
        <w:t>кально, имел толщину 45 мм и дополнительно был защищен накладным броневым листом толщиной 30 мм. Толщина лобовой брони баш</w:t>
      </w:r>
      <w:r w:rsidRPr="00271E51">
        <w:rPr>
          <w:rFonts w:ascii="Times New Roman" w:hAnsi="Times New Roman"/>
          <w:color w:val="000000" w:themeColor="text1"/>
          <w:sz w:val="16"/>
          <w:szCs w:val="16"/>
        </w:rPr>
        <w:softHyphen/>
        <w:t>ни составляла 90 мм. На танке установили ди</w:t>
      </w:r>
      <w:r w:rsidRPr="00271E51">
        <w:rPr>
          <w:rFonts w:ascii="Times New Roman" w:hAnsi="Times New Roman"/>
          <w:color w:val="000000" w:themeColor="text1"/>
          <w:sz w:val="16"/>
          <w:szCs w:val="16"/>
        </w:rPr>
        <w:softHyphen/>
        <w:t>зель В-2ИС мощностью 500 л.с. (367,6 кВт) (11468).</w:t>
      </w:r>
    </w:p>
    <w:p w14:paraId="54FECB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9FC5BF" w14:textId="77777777" w:rsidR="009F142F" w:rsidRPr="00271E51" w:rsidRDefault="009F142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ноябре 1943 года наркому танковой промышленности В.А. Малышеву был представлен проект нового танка Т-44. В пояснительной записке к проекту главный конструктор завода №183 А.А. Морозов под</w:t>
      </w:r>
      <w:r w:rsidRPr="00271E51">
        <w:rPr>
          <w:rFonts w:ascii="Times New Roman" w:hAnsi="Times New Roman"/>
          <w:color w:val="0070C0"/>
          <w:sz w:val="16"/>
          <w:szCs w:val="16"/>
        </w:rPr>
        <w:softHyphen/>
        <w:t>черкивал, что Т-44 - это танк абсолютно нового типа, так как оставаясь по массе сред</w:t>
      </w:r>
      <w:r w:rsidRPr="00271E51">
        <w:rPr>
          <w:rFonts w:ascii="Times New Roman" w:hAnsi="Times New Roman"/>
          <w:color w:val="0070C0"/>
          <w:sz w:val="16"/>
          <w:szCs w:val="16"/>
        </w:rPr>
        <w:softHyphen/>
        <w:t>ним, он по вооружению и бронированию соответствует тяжелым танкам того времени. Возможно, это можно считать первой заявкой А. Морозова на создание основного танка, которым много позже стал Т-64.</w:t>
      </w:r>
    </w:p>
    <w:p w14:paraId="2872080E" w14:textId="77777777" w:rsidR="009F142F" w:rsidRPr="00271E51" w:rsidRDefault="009F142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Компоновка с поперечным расположени</w:t>
      </w:r>
      <w:r w:rsidRPr="00271E51">
        <w:rPr>
          <w:rFonts w:ascii="Times New Roman" w:hAnsi="Times New Roman"/>
          <w:color w:val="0070C0"/>
          <w:sz w:val="16"/>
          <w:szCs w:val="16"/>
        </w:rPr>
        <w:softHyphen/>
        <w:t>ем двигателя позволила при сохранении длины машины в пределах габаритов суще</w:t>
      </w:r>
      <w:r w:rsidRPr="00271E51">
        <w:rPr>
          <w:rFonts w:ascii="Times New Roman" w:hAnsi="Times New Roman"/>
          <w:color w:val="0070C0"/>
          <w:sz w:val="16"/>
          <w:szCs w:val="16"/>
        </w:rPr>
        <w:softHyphen/>
        <w:t>ствующих танков существенно увеличить объем боевого отделения, размеры которого обеспечивали возможность установки мощ</w:t>
      </w:r>
      <w:r w:rsidRPr="00271E51">
        <w:rPr>
          <w:rFonts w:ascii="Times New Roman" w:hAnsi="Times New Roman"/>
          <w:color w:val="0070C0"/>
          <w:sz w:val="16"/>
          <w:szCs w:val="16"/>
        </w:rPr>
        <w:softHyphen/>
        <w:t>ного артиллерийского вооружения с макси</w:t>
      </w:r>
      <w:r w:rsidRPr="00271E51">
        <w:rPr>
          <w:rFonts w:ascii="Times New Roman" w:hAnsi="Times New Roman"/>
          <w:color w:val="0070C0"/>
          <w:sz w:val="16"/>
          <w:szCs w:val="16"/>
        </w:rPr>
        <w:softHyphen/>
        <w:t>мальным удобством облуживания его экипа</w:t>
      </w:r>
      <w:r w:rsidRPr="00271E51">
        <w:rPr>
          <w:rFonts w:ascii="Times New Roman" w:hAnsi="Times New Roman"/>
          <w:color w:val="0070C0"/>
          <w:sz w:val="16"/>
          <w:szCs w:val="16"/>
        </w:rPr>
        <w:softHyphen/>
        <w:t>жем (диаметр погона башни был выбран рав</w:t>
      </w:r>
      <w:r w:rsidRPr="00271E51">
        <w:rPr>
          <w:rFonts w:ascii="Times New Roman" w:hAnsi="Times New Roman"/>
          <w:color w:val="0070C0"/>
          <w:sz w:val="16"/>
          <w:szCs w:val="16"/>
        </w:rPr>
        <w:softHyphen/>
        <w:t>ным 1800 мм). При этом конструкторы суще</w:t>
      </w:r>
      <w:r w:rsidRPr="00271E51">
        <w:rPr>
          <w:rFonts w:ascii="Times New Roman" w:hAnsi="Times New Roman"/>
          <w:color w:val="0070C0"/>
          <w:sz w:val="16"/>
          <w:szCs w:val="16"/>
        </w:rPr>
        <w:softHyphen/>
        <w:t>ственно уменьшили высоту корпуса. В результате, по сравнению с более высокими Т-34 и «Пантерой», «сорокчетверка» представляла собой значительно меньшую мишень, особенно в лобовой проекции, и имела минимальную высоту линии огня. Параллельно было обеспечено наиболее рациональное размещение механизмов, занимающих минимальный объем в корпусе (19935).</w:t>
      </w:r>
    </w:p>
    <w:p w14:paraId="39ABC87E" w14:textId="77777777" w:rsidR="009F142F" w:rsidRPr="00271E51" w:rsidRDefault="009F142F" w:rsidP="00271E51">
      <w:pPr>
        <w:spacing w:after="0" w:line="240" w:lineRule="auto"/>
        <w:jc w:val="both"/>
        <w:rPr>
          <w:rFonts w:ascii="Times New Roman" w:hAnsi="Times New Roman"/>
          <w:color w:val="0070C0"/>
          <w:sz w:val="16"/>
          <w:szCs w:val="16"/>
        </w:rPr>
      </w:pPr>
    </w:p>
    <w:p w14:paraId="4DE3972D"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В ноябре 1943 года на стол наркому танковой промышленности В.А. Малышеву лёг эскизный проект среднего танка Т-44. В пояснительной записке указывалось, что во главу угла при разработке Т-44 ставилось максимальное увеличение боевого отделения при сохранении боевой массы в пределах 30 т. Согласно проекту, за счёт поперечного расположения силовой установки, а также небольшого расширения корпуса удалось установить башню с диаметром погона 1800 мм. Также снижалась высота корпуса, а механик-водитель размещался в специальной рубке, при этом люк находился на крыше рубки. Благодаря наличию в створке люка механика-водителя перископического прибора наблюдения обзорность значительно улучшалась. Наконец, танк получался существенно ниже не только «Пантеры», но и Т-34.</w:t>
      </w:r>
    </w:p>
    <w:p w14:paraId="2F2B6806"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Совершенно иначе размещался боекомплект: вместо «чемоданов» на полу имелась большая удобная боеукладка в носовой части корпуса. При этом КБ-520 думало на перспективу: в пояснительной записке указывалось, что конструкция Т-44 разрабатывается с учётом дальнейшего повышения огневой мощи и броневой защиты. Самое же главное — танк выглядел куда более перспективным, чем Т-43 (18799).</w:t>
      </w:r>
    </w:p>
    <w:p w14:paraId="2F427D61" w14:textId="77777777" w:rsidR="00E87E3A" w:rsidRPr="00271E51" w:rsidRDefault="00E87E3A" w:rsidP="00271E51">
      <w:pPr>
        <w:pStyle w:val="ae"/>
        <w:spacing w:before="0" w:after="0"/>
        <w:jc w:val="both"/>
        <w:textAlignment w:val="baseline"/>
        <w:rPr>
          <w:color w:val="000000" w:themeColor="text1"/>
          <w:sz w:val="16"/>
          <w:szCs w:val="16"/>
        </w:rPr>
      </w:pPr>
    </w:p>
    <w:p w14:paraId="24D0CB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начались широкомасштабные восстановитель</w:t>
      </w:r>
      <w:r w:rsidRPr="00271E51">
        <w:rPr>
          <w:rFonts w:ascii="Times New Roman" w:hAnsi="Times New Roman"/>
          <w:color w:val="000000" w:themeColor="text1"/>
          <w:sz w:val="16"/>
          <w:szCs w:val="16"/>
        </w:rPr>
        <w:softHyphen/>
        <w:t>ные работы на освобожденном ХПЗ (получившем № 75). Этот предвоенный танковый гигант имел не такие большие разрушения, как СТЗ, и мог быть отремонтирован в сравни</w:t>
      </w:r>
      <w:r w:rsidRPr="00271E51">
        <w:rPr>
          <w:rFonts w:ascii="Times New Roman" w:hAnsi="Times New Roman"/>
          <w:color w:val="000000" w:themeColor="text1"/>
          <w:sz w:val="16"/>
          <w:szCs w:val="16"/>
        </w:rPr>
        <w:softHyphen/>
        <w:t>тельно короткий срок и, по мнению НКТП, мог начать свою работу уже летом 1944 г. Предполагалось «отдать» на этот воссоздаваемый завод новый танк Т-44, не боясь сниже</w:t>
      </w:r>
      <w:r w:rsidRPr="00271E51">
        <w:rPr>
          <w:rFonts w:ascii="Times New Roman" w:hAnsi="Times New Roman"/>
          <w:color w:val="000000" w:themeColor="text1"/>
          <w:sz w:val="16"/>
          <w:szCs w:val="16"/>
        </w:rPr>
        <w:softHyphen/>
        <w:t>ния объемов выпуска Т-34 на существующих мощностях. Кроме того, освоение Т-44 давало надежды на массовый вы</w:t>
      </w:r>
      <w:r w:rsidRPr="00271E51">
        <w:rPr>
          <w:rFonts w:ascii="Times New Roman" w:hAnsi="Times New Roman"/>
          <w:color w:val="000000" w:themeColor="text1"/>
          <w:sz w:val="16"/>
          <w:szCs w:val="16"/>
        </w:rPr>
        <w:softHyphen/>
        <w:t>пуск среднего танка, не уступающего по вооружению и бро</w:t>
      </w:r>
      <w:r w:rsidRPr="00271E51">
        <w:rPr>
          <w:rFonts w:ascii="Times New Roman" w:hAnsi="Times New Roman"/>
          <w:color w:val="000000" w:themeColor="text1"/>
          <w:sz w:val="16"/>
          <w:szCs w:val="16"/>
        </w:rPr>
        <w:softHyphen/>
        <w:t xml:space="preserve">нированию лучшим тяжелым танкам, к которым относились </w:t>
      </w:r>
      <w:r w:rsidRPr="00271E51">
        <w:rPr>
          <w:rFonts w:ascii="Times New Roman" w:hAnsi="Times New Roman"/>
          <w:color w:val="000000" w:themeColor="text1"/>
          <w:sz w:val="16"/>
          <w:szCs w:val="16"/>
        </w:rPr>
        <w:lastRenderedPageBreak/>
        <w:t>отечественные ИС и немецкие «Тигр» и «Пантера» (11135).</w:t>
      </w:r>
    </w:p>
    <w:p w14:paraId="79294D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84EE8"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С ноября 1943 года возобновились поставки M4A, причём бо́льшая часть пришла экзотическим маршрутом: 149 единиц M4A2 прибыли во Владивосток, при этом в Баку за ноябрь поступило лишь 32 танка. Ещё 45 машин данного типа пришло южным путём за декабрь. Точных данных по северным конвоям нет, но исходя из общих объёмов поставок за 1943 год (469 по данным ГБТУ КА), в ноябре-декабре 1943 года прибыло 78 танков. Следует отметить, что Владивосток недолго оставался перевалочной базой для зарубежных танков. Всего восточным путём на фронт попало 229 танков, из них 80 прибыло где-то во второй половине 1944 года (19038).</w:t>
      </w:r>
    </w:p>
    <w:p w14:paraId="4847E788" w14:textId="77777777" w:rsidR="00E87E3A" w:rsidRPr="00271E51" w:rsidRDefault="00E87E3A" w:rsidP="00271E51">
      <w:pPr>
        <w:pStyle w:val="ae"/>
        <w:spacing w:before="0" w:after="0"/>
        <w:jc w:val="both"/>
        <w:textAlignment w:val="baseline"/>
        <w:rPr>
          <w:color w:val="000000" w:themeColor="text1"/>
          <w:sz w:val="16"/>
          <w:szCs w:val="16"/>
        </w:rPr>
      </w:pPr>
    </w:p>
    <w:p w14:paraId="098A30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капитаном Р.А. Гризелем было подано предложение по оборудованию тяжелых танков КВ-1 для перевозки десанта. В этом предложении броневые щиты толщиной 8-10 мм устанавливались на шарнирах по периметру танка на уровне его надгусеничных полок и крыши башни. Щиты могли устанавливаться в трех положениях: бое</w:t>
      </w:r>
      <w:r w:rsidRPr="00271E51">
        <w:rPr>
          <w:rFonts w:ascii="Times New Roman" w:hAnsi="Times New Roman"/>
          <w:color w:val="000000" w:themeColor="text1"/>
          <w:sz w:val="16"/>
          <w:szCs w:val="16"/>
        </w:rPr>
        <w:softHyphen/>
        <w:t>вом, походном и в положении после высадки десанта. Для установки щитов в походное положение они поворачивались па шарнирах и укла</w:t>
      </w:r>
      <w:r w:rsidRPr="00271E51">
        <w:rPr>
          <w:rFonts w:ascii="Times New Roman" w:hAnsi="Times New Roman"/>
          <w:color w:val="000000" w:themeColor="text1"/>
          <w:sz w:val="16"/>
          <w:szCs w:val="16"/>
        </w:rPr>
        <w:softHyphen/>
        <w:t>дывались на танк горизонтально. Для спешивания десанта щиты отки</w:t>
      </w:r>
      <w:r w:rsidRPr="00271E51">
        <w:rPr>
          <w:rFonts w:ascii="Times New Roman" w:hAnsi="Times New Roman"/>
          <w:color w:val="000000" w:themeColor="text1"/>
          <w:sz w:val="16"/>
          <w:szCs w:val="16"/>
        </w:rPr>
        <w:softHyphen/>
        <w:t>дывались вниз, при этом они доходили до опорных катков и фиксирова</w:t>
      </w:r>
      <w:r w:rsidRPr="00271E51">
        <w:rPr>
          <w:rFonts w:ascii="Times New Roman" w:hAnsi="Times New Roman"/>
          <w:color w:val="000000" w:themeColor="text1"/>
          <w:sz w:val="16"/>
          <w:szCs w:val="16"/>
        </w:rPr>
        <w:softHyphen/>
        <w:t>лись имевшимися на них защелками, образуя тем самым своеобразный броневой экран. За счет конструкции шарниров щиты легко снимались с тапка. В щитах имелись специальные отверстия для стрельбы из авто</w:t>
      </w:r>
      <w:r w:rsidRPr="00271E51">
        <w:rPr>
          <w:rFonts w:ascii="Times New Roman" w:hAnsi="Times New Roman"/>
          <w:color w:val="000000" w:themeColor="text1"/>
          <w:sz w:val="16"/>
          <w:szCs w:val="16"/>
        </w:rPr>
        <w:softHyphen/>
        <w:t>матов. В боевом положении каждый щит крепился с помощью специ</w:t>
      </w:r>
      <w:r w:rsidRPr="00271E51">
        <w:rPr>
          <w:rFonts w:ascii="Times New Roman" w:hAnsi="Times New Roman"/>
          <w:color w:val="000000" w:themeColor="text1"/>
          <w:sz w:val="16"/>
          <w:szCs w:val="16"/>
        </w:rPr>
        <w:softHyphen/>
        <w:t>ального замка. Предложение было реализовано по месту службы автора в Ленинградской высшей офицерской бронетанковой школе, где был оборудован один танк. Предложение было отвергнуто ТУ ГБТУ по при</w:t>
      </w:r>
      <w:r w:rsidRPr="00271E51">
        <w:rPr>
          <w:rFonts w:ascii="Times New Roman" w:hAnsi="Times New Roman"/>
          <w:color w:val="000000" w:themeColor="text1"/>
          <w:sz w:val="16"/>
          <w:szCs w:val="16"/>
        </w:rPr>
        <w:softHyphen/>
        <w:t>чине увеличения массы танка па 1 т и ограничения кругового обстрела из основного оружия в боевых условиях (10703).</w:t>
      </w:r>
    </w:p>
    <w:p w14:paraId="15799E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59623" w14:textId="77777777" w:rsidR="00A76817" w:rsidRPr="00271E51" w:rsidRDefault="00A7681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ноябре 1943 Главное бронетанковое управление Красной Армии (ГБТУ КА) сформировало тактико-технические требования, которые определили боевую массу перспективного тяжелого танка в 55 тонн. Впрочем, советские танкостроители не пошли по пути банального увеличения толщины бронирования, как часто делали их зарубежные коллеги. Одновременно начались работы по определению наиболее рациональной формы для корпуса и башни, что позволило бы значительно повысить снарядостойскость при минимальном увеличении толщины брони.</w:t>
      </w:r>
    </w:p>
    <w:p w14:paraId="381DBF04" w14:textId="77777777" w:rsidR="00A76817" w:rsidRPr="00271E51" w:rsidRDefault="00A7681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Начало работ над перспективным тяжелым танком примерно совпало по времени с началом прямой конкуренции между конструкторским бюро СКБ-2 Кировского завода (ЧКЗ) под руководством Н.Л. Духова и коллективом опытного завода №100 под руководством Ж.Я. Котина. В чем-то это борьба напоминала то, что происходило в 1938–40 годах между Кировским заводом (г. Ленинград) и опытным заводом №185.</w:t>
      </w:r>
    </w:p>
    <w:p w14:paraId="6835D17F" w14:textId="77777777" w:rsidR="00A76817" w:rsidRPr="00271E51" w:rsidRDefault="00A76817" w:rsidP="00271E51">
      <w:pPr>
        <w:pStyle w:val="ae"/>
        <w:shd w:val="clear" w:color="auto" w:fill="FFFFFF"/>
        <w:spacing w:before="0" w:after="0"/>
        <w:jc w:val="both"/>
        <w:rPr>
          <w:color w:val="000000" w:themeColor="text1"/>
          <w:sz w:val="16"/>
          <w:szCs w:val="16"/>
        </w:rPr>
      </w:pPr>
      <w:r w:rsidRPr="00271E51">
        <w:rPr>
          <w:color w:val="000000" w:themeColor="text1"/>
          <w:sz w:val="16"/>
          <w:szCs w:val="16"/>
        </w:rPr>
        <w:t>Теперь жесткая конкуренция развернулась даже не в пределах одного города, а на территории одного предприятия. Выделенный в марте 1942 года из ЧКЗ завод №100 занимался опытными разработками и перенял от Кировского завода 200-е индексы для своих изделий (233, 237 и т.д). СКБ-2 ЧКЗ стало использовать 700-е индексы, например, первый танк, который стало разрабатывать это КБ, имел индекс 701 (Объект 701). Именно этот танк и должен был стать перспективной заменой ИС-2 (объекта 240) (17209).</w:t>
      </w:r>
    </w:p>
    <w:p w14:paraId="73B2D531" w14:textId="77777777" w:rsidR="00A76817" w:rsidRPr="00271E51" w:rsidRDefault="00A76817" w:rsidP="00271E51">
      <w:pPr>
        <w:pStyle w:val="ae"/>
        <w:shd w:val="clear" w:color="auto" w:fill="FFFFFF"/>
        <w:spacing w:before="0" w:after="0"/>
        <w:jc w:val="both"/>
        <w:rPr>
          <w:color w:val="000000" w:themeColor="text1"/>
          <w:sz w:val="16"/>
          <w:szCs w:val="16"/>
        </w:rPr>
      </w:pPr>
    </w:p>
    <w:p w14:paraId="273947F3" w14:textId="77777777" w:rsidR="009F142F" w:rsidRPr="00271E51" w:rsidRDefault="009F142F" w:rsidP="00271E51">
      <w:pPr>
        <w:spacing w:after="0" w:line="240" w:lineRule="auto"/>
        <w:jc w:val="both"/>
        <w:rPr>
          <w:rStyle w:val="700"/>
          <w:rFonts w:ascii="Times New Roman" w:eastAsiaTheme="minorHAnsi" w:hAnsi="Times New Roman" w:cs="Times New Roman"/>
          <w:color w:val="0070C0"/>
          <w:sz w:val="16"/>
          <w:szCs w:val="16"/>
        </w:rPr>
      </w:pPr>
      <w:r w:rsidRPr="00271E51">
        <w:rPr>
          <w:rStyle w:val="700"/>
          <w:rFonts w:ascii="Times New Roman" w:eastAsiaTheme="minorHAnsi" w:hAnsi="Times New Roman" w:cs="Times New Roman"/>
          <w:color w:val="0070C0"/>
          <w:sz w:val="16"/>
          <w:szCs w:val="16"/>
        </w:rPr>
        <w:t>В ноябре 1943 года завод № 9 изготовил дульный тормоз № 5 для Ис-2 из стали 30Х. Такие дуль</w:t>
      </w:r>
      <w:r w:rsidRPr="00271E51">
        <w:rPr>
          <w:rStyle w:val="700"/>
          <w:rFonts w:ascii="Times New Roman" w:eastAsiaTheme="minorHAnsi" w:hAnsi="Times New Roman" w:cs="Times New Roman"/>
          <w:color w:val="0070C0"/>
          <w:sz w:val="16"/>
          <w:szCs w:val="16"/>
        </w:rPr>
        <w:softHyphen/>
        <w:t>ные тормозы установили на 12 системах с се</w:t>
      </w:r>
      <w:r w:rsidRPr="00271E51">
        <w:rPr>
          <w:rStyle w:val="700"/>
          <w:rFonts w:ascii="Times New Roman" w:eastAsiaTheme="minorHAnsi" w:hAnsi="Times New Roman" w:cs="Times New Roman"/>
          <w:color w:val="0070C0"/>
          <w:sz w:val="16"/>
          <w:szCs w:val="16"/>
        </w:rPr>
        <w:softHyphen/>
        <w:t>рийными номерами 3001-3010, а также 3013 и 3015. Далее ставился дульный тормоз №6, также «типа Фердинанд». Он тоже отливался из стали 30Х, но был увеличен радиус камор, а также площадка литейной прибыли.</w:t>
      </w:r>
    </w:p>
    <w:p w14:paraId="5B89FB55" w14:textId="77777777" w:rsidR="009F142F" w:rsidRPr="00271E51" w:rsidRDefault="009F142F" w:rsidP="00271E51">
      <w:pPr>
        <w:spacing w:after="0" w:line="240" w:lineRule="auto"/>
        <w:jc w:val="both"/>
        <w:rPr>
          <w:rStyle w:val="700"/>
          <w:rFonts w:ascii="Times New Roman" w:eastAsiaTheme="minorHAnsi" w:hAnsi="Times New Roman" w:cs="Times New Roman"/>
          <w:color w:val="0070C0"/>
          <w:sz w:val="16"/>
          <w:szCs w:val="16"/>
        </w:rPr>
      </w:pPr>
      <w:r w:rsidRPr="00271E51">
        <w:rPr>
          <w:rStyle w:val="700"/>
          <w:rFonts w:ascii="Times New Roman" w:eastAsiaTheme="minorHAnsi" w:hAnsi="Times New Roman" w:cs="Times New Roman"/>
          <w:color w:val="0070C0"/>
          <w:sz w:val="16"/>
          <w:szCs w:val="16"/>
        </w:rPr>
        <w:t>С декаб</w:t>
      </w:r>
      <w:r w:rsidRPr="00271E51">
        <w:rPr>
          <w:rStyle w:val="700"/>
          <w:rFonts w:ascii="Times New Roman" w:eastAsiaTheme="minorHAnsi" w:hAnsi="Times New Roman" w:cs="Times New Roman"/>
          <w:color w:val="0070C0"/>
          <w:sz w:val="16"/>
          <w:szCs w:val="16"/>
        </w:rPr>
        <w:softHyphen/>
        <w:t>ря 1943 по первую половину января 1944 года данные дульные тормоза поставили на 33 орудия. Такой дульный тормоз стал основ</w:t>
      </w:r>
      <w:r w:rsidRPr="00271E51">
        <w:rPr>
          <w:rStyle w:val="700"/>
          <w:rFonts w:ascii="Times New Roman" w:eastAsiaTheme="minorHAnsi" w:hAnsi="Times New Roman" w:cs="Times New Roman"/>
          <w:color w:val="0070C0"/>
          <w:sz w:val="16"/>
          <w:szCs w:val="16"/>
        </w:rPr>
        <w:softHyphen/>
        <w:t>ным для Д-25Т с поршневым затвором. Между тем, параллельно шли работы по Д-25Т с кли</w:t>
      </w:r>
      <w:r w:rsidRPr="00271E51">
        <w:rPr>
          <w:rStyle w:val="700"/>
          <w:rFonts w:ascii="Times New Roman" w:eastAsiaTheme="minorHAnsi" w:hAnsi="Times New Roman" w:cs="Times New Roman"/>
          <w:color w:val="0070C0"/>
          <w:sz w:val="16"/>
          <w:szCs w:val="16"/>
        </w:rPr>
        <w:softHyphen/>
        <w:t>новым затвором. Помимо улучшения ситуа</w:t>
      </w:r>
      <w:r w:rsidRPr="00271E51">
        <w:rPr>
          <w:rStyle w:val="700"/>
          <w:rFonts w:ascii="Times New Roman" w:eastAsiaTheme="minorHAnsi" w:hAnsi="Times New Roman" w:cs="Times New Roman"/>
          <w:color w:val="0070C0"/>
          <w:sz w:val="16"/>
          <w:szCs w:val="16"/>
        </w:rPr>
        <w:softHyphen/>
        <w:t>ции со скорострельностью, эти работы имели и производственную подоплеку. Дело в том, что выпуск Д-25Т на заводе № 9 напрямую за</w:t>
      </w:r>
      <w:r w:rsidRPr="00271E51">
        <w:rPr>
          <w:rStyle w:val="700"/>
          <w:rFonts w:ascii="Times New Roman" w:eastAsiaTheme="minorHAnsi" w:hAnsi="Times New Roman" w:cs="Times New Roman"/>
          <w:color w:val="0070C0"/>
          <w:sz w:val="16"/>
          <w:szCs w:val="16"/>
        </w:rPr>
        <w:softHyphen/>
        <w:t>висел от завода № 172, который поставлял казенные части А-19 (19874).</w:t>
      </w:r>
    </w:p>
    <w:p w14:paraId="577BE5B6" w14:textId="77777777" w:rsidR="009F142F" w:rsidRPr="00271E51" w:rsidRDefault="009F142F" w:rsidP="00271E51">
      <w:pPr>
        <w:spacing w:after="0" w:line="240" w:lineRule="auto"/>
        <w:jc w:val="both"/>
        <w:rPr>
          <w:rStyle w:val="700"/>
          <w:rFonts w:ascii="Times New Roman" w:eastAsiaTheme="minorHAnsi" w:hAnsi="Times New Roman" w:cs="Times New Roman"/>
          <w:color w:val="0070C0"/>
          <w:sz w:val="16"/>
          <w:szCs w:val="16"/>
        </w:rPr>
      </w:pPr>
    </w:p>
    <w:p w14:paraId="47285E4B" w14:textId="77777777" w:rsidR="009F142F" w:rsidRPr="00271E51" w:rsidRDefault="009F142F" w:rsidP="00271E51">
      <w:pPr>
        <w:shd w:val="clear" w:color="auto" w:fill="FFFFFF"/>
        <w:spacing w:after="0" w:line="240" w:lineRule="auto"/>
        <w:jc w:val="both"/>
        <w:rPr>
          <w:rStyle w:val="712"/>
          <w:rFonts w:ascii="Times New Roman" w:hAnsi="Times New Roman" w:cs="Times New Roman"/>
          <w:color w:val="0070C0"/>
          <w:sz w:val="16"/>
          <w:szCs w:val="16"/>
        </w:rPr>
      </w:pPr>
      <w:r w:rsidRPr="00271E51">
        <w:rPr>
          <w:rStyle w:val="700"/>
          <w:rFonts w:ascii="Times New Roman" w:eastAsiaTheme="minorHAnsi" w:hAnsi="Times New Roman" w:cs="Times New Roman"/>
          <w:color w:val="0070C0"/>
          <w:sz w:val="16"/>
          <w:szCs w:val="16"/>
        </w:rPr>
        <w:t>С ноября 1943 года на заводе № 9 развернулись работы по Д-25Т с клиновым затвором. Проработали два варианта затвора - открывающийся вниз и открывающийся влево. Второй вариант оказался более удоб</w:t>
      </w:r>
      <w:r w:rsidRPr="00271E51">
        <w:rPr>
          <w:rStyle w:val="700"/>
          <w:rFonts w:ascii="Times New Roman" w:eastAsiaTheme="minorHAnsi" w:hAnsi="Times New Roman" w:cs="Times New Roman"/>
          <w:color w:val="0070C0"/>
          <w:sz w:val="16"/>
          <w:szCs w:val="16"/>
        </w:rPr>
        <w:softHyphen/>
        <w:t>ным для работы в танке, его и взяли в работу. Первые две системы изготовили к 1 января 1944 года, одновременно начались работы по подготовке выпуска данных орудий. Д-25Т с клиновым затвором получилось чуть длиннее - 5960 мм. Также изменился и дульный тор</w:t>
      </w:r>
      <w:r w:rsidRPr="00271E51">
        <w:rPr>
          <w:rStyle w:val="700"/>
          <w:rFonts w:ascii="Times New Roman" w:eastAsiaTheme="minorHAnsi" w:hAnsi="Times New Roman" w:cs="Times New Roman"/>
          <w:color w:val="0070C0"/>
          <w:sz w:val="16"/>
          <w:szCs w:val="16"/>
        </w:rPr>
        <w:softHyphen/>
        <w:t>моз. На заводе данная конструкция проходи</w:t>
      </w:r>
      <w:r w:rsidRPr="00271E51">
        <w:rPr>
          <w:rStyle w:val="700"/>
          <w:rFonts w:ascii="Times New Roman" w:eastAsiaTheme="minorHAnsi" w:hAnsi="Times New Roman" w:cs="Times New Roman"/>
          <w:color w:val="0070C0"/>
          <w:sz w:val="16"/>
          <w:szCs w:val="16"/>
        </w:rPr>
        <w:softHyphen/>
        <w:t>ла под обозначением «дульный тормоз вари</w:t>
      </w:r>
      <w:r w:rsidRPr="00271E51">
        <w:rPr>
          <w:rStyle w:val="700"/>
          <w:rFonts w:ascii="Times New Roman" w:eastAsiaTheme="minorHAnsi" w:hAnsi="Times New Roman" w:cs="Times New Roman"/>
          <w:color w:val="0070C0"/>
          <w:sz w:val="16"/>
          <w:szCs w:val="16"/>
        </w:rPr>
        <w:softHyphen/>
        <w:t>анта №7». Совершенно новой конструкцией он не был: очень похожий двухкамерный дульный тормоз предлагалось использовать при проектировании 122-мм пушки на лафете М-30 осенью 1942 года. Первый такой дуль</w:t>
      </w:r>
      <w:r w:rsidRPr="00271E51">
        <w:rPr>
          <w:rStyle w:val="700"/>
          <w:rFonts w:ascii="Times New Roman" w:eastAsiaTheme="minorHAnsi" w:hAnsi="Times New Roman" w:cs="Times New Roman"/>
          <w:color w:val="0070C0"/>
          <w:sz w:val="16"/>
          <w:szCs w:val="16"/>
        </w:rPr>
        <w:softHyphen/>
        <w:t xml:space="preserve">ный тормоз изготовили и испытали в декабре 1943 </w:t>
      </w:r>
      <w:r w:rsidRPr="00271E51">
        <w:rPr>
          <w:rStyle w:val="712"/>
          <w:rFonts w:ascii="Times New Roman" w:hAnsi="Times New Roman" w:cs="Times New Roman"/>
          <w:color w:val="0070C0"/>
          <w:sz w:val="16"/>
          <w:szCs w:val="16"/>
        </w:rPr>
        <w:t>года. Существовал и восьмой вариант дульного тормоза, он повторял конструкцию №7, но был кованым. Впрочем, от дульного тормоза №8 на заводе отказались, поэтому серийным стал вариант №7. Устанавливать Д- 25Т с клиновым затвором стали с февраля 1943 года. Что же касается орудий с поршне</w:t>
      </w:r>
      <w:r w:rsidRPr="00271E51">
        <w:rPr>
          <w:rStyle w:val="712"/>
          <w:rFonts w:ascii="Times New Roman" w:hAnsi="Times New Roman" w:cs="Times New Roman"/>
          <w:color w:val="0070C0"/>
          <w:sz w:val="16"/>
          <w:szCs w:val="16"/>
        </w:rPr>
        <w:softHyphen/>
        <w:t>вым затвором, то их поставили на 101 танк. Иногда можно видеть цифры 145-147, но это не так. На практике же за февраль 1944 года было построено всего 36 ИС-2, оснащенных Д-25Т с поршневым затвором. Следует отме</w:t>
      </w:r>
      <w:r w:rsidRPr="00271E51">
        <w:rPr>
          <w:rStyle w:val="712"/>
          <w:rFonts w:ascii="Times New Roman" w:hAnsi="Times New Roman" w:cs="Times New Roman"/>
          <w:color w:val="0070C0"/>
          <w:sz w:val="16"/>
          <w:szCs w:val="16"/>
        </w:rPr>
        <w:softHyphen/>
        <w:t>тить, что в дальнейшем танки, оснащенные Д- 25Т с поршневым затвором, по возможности перевооружались на орудия с клиновым за</w:t>
      </w:r>
      <w:r w:rsidRPr="00271E51">
        <w:rPr>
          <w:rStyle w:val="712"/>
          <w:rFonts w:ascii="Times New Roman" w:hAnsi="Times New Roman" w:cs="Times New Roman"/>
          <w:color w:val="0070C0"/>
          <w:sz w:val="16"/>
          <w:szCs w:val="16"/>
        </w:rPr>
        <w:softHyphen/>
        <w:t>твором. Например, таким образом был пере</w:t>
      </w:r>
      <w:r w:rsidRPr="00271E51">
        <w:rPr>
          <w:rStyle w:val="712"/>
          <w:rFonts w:ascii="Times New Roman" w:hAnsi="Times New Roman" w:cs="Times New Roman"/>
          <w:color w:val="0070C0"/>
          <w:sz w:val="16"/>
          <w:szCs w:val="16"/>
        </w:rPr>
        <w:softHyphen/>
        <w:t>делан ИС-2 выпуска декабря 1943 года (се</w:t>
      </w:r>
      <w:r w:rsidRPr="00271E51">
        <w:rPr>
          <w:rStyle w:val="712"/>
          <w:rFonts w:ascii="Times New Roman" w:hAnsi="Times New Roman" w:cs="Times New Roman"/>
          <w:color w:val="0070C0"/>
          <w:sz w:val="16"/>
          <w:szCs w:val="16"/>
        </w:rPr>
        <w:softHyphen/>
        <w:t>рийный номер ИС12231221), ранее воевав</w:t>
      </w:r>
      <w:r w:rsidRPr="00271E51">
        <w:rPr>
          <w:rStyle w:val="712"/>
          <w:rFonts w:ascii="Times New Roman" w:hAnsi="Times New Roman" w:cs="Times New Roman"/>
          <w:color w:val="0070C0"/>
          <w:sz w:val="16"/>
          <w:szCs w:val="16"/>
        </w:rPr>
        <w:softHyphen/>
        <w:t>ший в 29-м ГвТТП. Ныне танк находится в во</w:t>
      </w:r>
      <w:r w:rsidRPr="00271E51">
        <w:rPr>
          <w:rStyle w:val="712"/>
          <w:rFonts w:ascii="Times New Roman" w:hAnsi="Times New Roman" w:cs="Times New Roman"/>
          <w:color w:val="0070C0"/>
          <w:sz w:val="16"/>
          <w:szCs w:val="16"/>
        </w:rPr>
        <w:softHyphen/>
        <w:t>енно-техническом музее в Лешанах, Чехия. Переделка происходила еще во время войны силами ремонтных заводов и полевых ма</w:t>
      </w:r>
      <w:r w:rsidRPr="00271E51">
        <w:rPr>
          <w:rStyle w:val="712"/>
          <w:rFonts w:ascii="Times New Roman" w:hAnsi="Times New Roman" w:cs="Times New Roman"/>
          <w:color w:val="0070C0"/>
          <w:sz w:val="16"/>
          <w:szCs w:val="16"/>
        </w:rPr>
        <w:softHyphen/>
        <w:t>стерских (19874).</w:t>
      </w:r>
    </w:p>
    <w:p w14:paraId="72B641A7" w14:textId="77777777" w:rsidR="009F142F" w:rsidRPr="00271E51" w:rsidRDefault="009F142F" w:rsidP="00271E51">
      <w:pPr>
        <w:shd w:val="clear" w:color="auto" w:fill="FFFFFF"/>
        <w:spacing w:after="0" w:line="240" w:lineRule="auto"/>
        <w:jc w:val="both"/>
        <w:rPr>
          <w:rFonts w:ascii="Times New Roman" w:hAnsi="Times New Roman"/>
          <w:color w:val="0070C0"/>
          <w:sz w:val="16"/>
          <w:szCs w:val="16"/>
        </w:rPr>
      </w:pPr>
    </w:p>
    <w:p w14:paraId="2EA9B3C2" w14:textId="77777777" w:rsidR="00677C37" w:rsidRPr="00271E51" w:rsidRDefault="00677C37" w:rsidP="00271E51">
      <w:pPr>
        <w:pStyle w:val="ae"/>
        <w:spacing w:before="0" w:after="0"/>
        <w:jc w:val="both"/>
        <w:textAlignment w:val="baseline"/>
        <w:rPr>
          <w:color w:val="000000" w:themeColor="text1"/>
          <w:sz w:val="16"/>
          <w:szCs w:val="16"/>
        </w:rPr>
      </w:pPr>
      <w:r w:rsidRPr="00271E51">
        <w:rPr>
          <w:color w:val="000000" w:themeColor="text1"/>
          <w:sz w:val="16"/>
          <w:szCs w:val="16"/>
        </w:rPr>
        <w:t>В ноябре 1943 года после ресурсных испытаний испытания машина Объекта 239 участвовала в испытаниях, которые прямо отразились на её внешнем облике. Дело в том, что при испытании прицела ПТ8-15, принятого на вооружение как ТШ-15, машину обстреляли из 76-мм пушки ЗИС-5 как лафетопробными, так и бронебойными снарядами. Целью обстрела являлась проверка прочности устройства. Прицел от стрельбы с дистанции в 300 метров не пострадал, а вот танк получил ряд повреждений: попаданием выбило люк-пробку механика-водителя и повредило командирскую башенку. Впереди машину ждали и другие испытания (17710).</w:t>
      </w:r>
    </w:p>
    <w:p w14:paraId="3F61F62A" w14:textId="77777777" w:rsidR="00677C37" w:rsidRPr="00271E51" w:rsidRDefault="00677C37" w:rsidP="00271E51">
      <w:pPr>
        <w:spacing w:after="0" w:line="240" w:lineRule="auto"/>
        <w:jc w:val="both"/>
        <w:rPr>
          <w:rFonts w:ascii="Times New Roman" w:hAnsi="Times New Roman"/>
          <w:color w:val="000000" w:themeColor="text1"/>
          <w:sz w:val="16"/>
          <w:szCs w:val="16"/>
        </w:rPr>
      </w:pPr>
    </w:p>
    <w:p w14:paraId="2C2D772F" w14:textId="77777777" w:rsidR="00677C37" w:rsidRPr="00271E51" w:rsidRDefault="00677C37"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ноября 1943 года начался выпуск ИС-1, а в декабре ЧКЗ сдал первые ИС-2. Освоение производства новых машин по сложности оказалось сравнимо с освоением КВ-85. Таким образом, победила точка зрения Малышева и Котина, считавших, что именно ИС должен стать основным тяжёлым танком Красной армии (17722).</w:t>
      </w:r>
    </w:p>
    <w:p w14:paraId="67421C51" w14:textId="77777777" w:rsidR="00677C37" w:rsidRPr="00271E51" w:rsidRDefault="00677C37" w:rsidP="00271E51">
      <w:pPr>
        <w:spacing w:after="0" w:line="240" w:lineRule="auto"/>
        <w:jc w:val="both"/>
        <w:rPr>
          <w:rFonts w:ascii="Times New Roman" w:hAnsi="Times New Roman"/>
          <w:color w:val="000000" w:themeColor="text1"/>
          <w:sz w:val="16"/>
          <w:szCs w:val="16"/>
        </w:rPr>
      </w:pPr>
    </w:p>
    <w:p w14:paraId="6E452BE3" w14:textId="77777777" w:rsidR="00677C37" w:rsidRPr="00271E51" w:rsidRDefault="00677C3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ноябре 1943 Главное бронетанковое управление Красной армии (ГБТУ КА) сформировало тактико-технические требования, которые определили боевую массу перспективного тяжёлого танка в 55 тонн. Впрочем, советские танкостроители не пошли по пути банального увеличения толщины бронирования, как часто делали их зарубежные коллеги. Одновременно начались работы по определению наиболее рациональной формы для корпуса и башни, что позволило бы значительно повысить снарядостойскость при минимальном увеличении толщины брони.</w:t>
      </w:r>
    </w:p>
    <w:p w14:paraId="6EB182D9" w14:textId="77777777" w:rsidR="00677C37" w:rsidRPr="00271E51" w:rsidRDefault="00677C37"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Начало работ над перспективным тяжёлым танком примерно совпало по времени с началом прямой конкуренции между конструкторским бюро СКБ-2 Кировского завода (ЧКЗ) под руководством Н. Л. Духова и коллективом опытного завода №100 под руководством Ж. Я. Котина. В чём-то эта борьба напоминала то, что происходило в 1938–40 годах между Кировским заводом (г. Ленинград) и опытным заводом №185 (16735).</w:t>
      </w:r>
    </w:p>
    <w:p w14:paraId="2AF5A184" w14:textId="77777777" w:rsidR="00677C37" w:rsidRPr="00271E51" w:rsidRDefault="00677C37" w:rsidP="00271E51">
      <w:pPr>
        <w:pStyle w:val="12a"/>
        <w:shd w:val="clear" w:color="auto" w:fill="auto"/>
        <w:spacing w:after="0" w:line="240" w:lineRule="auto"/>
        <w:jc w:val="both"/>
        <w:rPr>
          <w:color w:val="000000" w:themeColor="text1"/>
          <w:sz w:val="16"/>
          <w:szCs w:val="16"/>
        </w:rPr>
      </w:pPr>
    </w:p>
    <w:p w14:paraId="2C4200F9" w14:textId="77777777" w:rsidR="00FC04C9" w:rsidRPr="00271E51" w:rsidRDefault="00FC04C9" w:rsidP="00271E51">
      <w:pPr>
        <w:pStyle w:val="a3"/>
        <w:rPr>
          <w:color w:val="000000" w:themeColor="text1"/>
          <w:lang w:val="ru-RU"/>
        </w:rPr>
      </w:pPr>
      <w:r w:rsidRPr="00271E51">
        <w:rPr>
          <w:color w:val="000000" w:themeColor="text1"/>
          <w:lang w:val="ru-RU"/>
        </w:rPr>
        <w:t>В ноябре 1943 г., после проведения цикла заводских и полигонных испытаний, ИСУ-152 («Объект 241») приняли на вооружение и к производству.</w:t>
      </w:r>
    </w:p>
    <w:p w14:paraId="7B2C16E3" w14:textId="77777777" w:rsidR="00FC04C9" w:rsidRPr="00271E51" w:rsidRDefault="00FC04C9" w:rsidP="00271E51">
      <w:pPr>
        <w:pStyle w:val="a3"/>
        <w:rPr>
          <w:color w:val="000000" w:themeColor="text1"/>
          <w:lang w:val="ru-RU"/>
        </w:rPr>
      </w:pPr>
      <w:r w:rsidRPr="00271E51">
        <w:rPr>
          <w:color w:val="000000" w:themeColor="text1"/>
          <w:lang w:val="ru-RU"/>
        </w:rPr>
        <w:t>Программа выпуска ИСУ-152 напрямую зависела от производственных возможностей артиллерийского завода, поставлявшего ору</w:t>
      </w:r>
      <w:r w:rsidRPr="00271E51">
        <w:rPr>
          <w:color w:val="000000" w:themeColor="text1"/>
          <w:lang w:val="ru-RU"/>
        </w:rPr>
        <w:softHyphen/>
        <w:t>дия МЛ-20С. Поскольку лафеты полевых ору</w:t>
      </w:r>
      <w:r w:rsidRPr="00271E51">
        <w:rPr>
          <w:color w:val="000000" w:themeColor="text1"/>
          <w:lang w:val="ru-RU"/>
        </w:rPr>
        <w:softHyphen/>
        <w:t>дий А-19 и МЛ-20 были во многом схожи, было решено использовать это обстоятельство для установки в САУ также пушки А-19. А она, в свою очередь, послужила основой танковой пушки Д-25. Таким образом, в зависимости от поставок пушек трех типов, стало возможным (после некоторой доработки базового шасси) выпускать тяжелые САУ следующих типов: ИСУ-122 («Объект 242») с пушкой А-19 обр. 1931/37 гг., ИСУ-122-2 (ИСУ-122С, «Объект 249») с пушкой Д-25С обр. 1944 г. и ИСУ-152 («Объект 241») с пушкой МЛ-20С обр. 1937/43 гг.</w:t>
      </w:r>
    </w:p>
    <w:p w14:paraId="6576F8C6" w14:textId="77777777" w:rsidR="00FC04C9" w:rsidRPr="00271E51" w:rsidRDefault="00FC04C9" w:rsidP="00271E51">
      <w:pPr>
        <w:pStyle w:val="a3"/>
        <w:rPr>
          <w:color w:val="000000" w:themeColor="text1"/>
          <w:lang w:val="ru-RU"/>
        </w:rPr>
      </w:pPr>
      <w:r w:rsidRPr="00271E51">
        <w:rPr>
          <w:color w:val="000000" w:themeColor="text1"/>
          <w:lang w:val="ru-RU"/>
        </w:rPr>
        <w:t>Дальность стрельбы прямой наводкой ИСУ-122 достигала 5000 м, а максимальная — 14300 м.</w:t>
      </w:r>
    </w:p>
    <w:p w14:paraId="2032BCF1" w14:textId="77777777" w:rsidR="00FC04C9" w:rsidRPr="00271E51" w:rsidRDefault="00FC04C9" w:rsidP="00271E51">
      <w:pPr>
        <w:pStyle w:val="a3"/>
        <w:rPr>
          <w:color w:val="000000" w:themeColor="text1"/>
          <w:lang w:val="ru-RU"/>
        </w:rPr>
      </w:pPr>
      <w:r w:rsidRPr="00271E51">
        <w:rPr>
          <w:color w:val="000000" w:themeColor="text1"/>
          <w:lang w:val="ru-RU"/>
        </w:rPr>
        <w:t>За создание семейства новых тяжелых артсамоходов Г.Н. Москвин был удостоен Ста</w:t>
      </w:r>
      <w:r w:rsidRPr="00271E51">
        <w:rPr>
          <w:color w:val="000000" w:themeColor="text1"/>
          <w:lang w:val="ru-RU"/>
        </w:rPr>
        <w:softHyphen/>
        <w:t xml:space="preserve">линской премии </w:t>
      </w:r>
      <w:r w:rsidRPr="00271E51">
        <w:rPr>
          <w:color w:val="000000" w:themeColor="text1"/>
        </w:rPr>
        <w:t>I</w:t>
      </w:r>
      <w:r w:rsidRPr="00271E51">
        <w:rPr>
          <w:color w:val="000000" w:themeColor="text1"/>
          <w:lang w:val="ru-RU"/>
        </w:rPr>
        <w:t xml:space="preserve"> степени.</w:t>
      </w:r>
    </w:p>
    <w:p w14:paraId="55872A70" w14:textId="77777777" w:rsidR="00FC04C9" w:rsidRPr="00271E51" w:rsidRDefault="00FC04C9" w:rsidP="00271E51">
      <w:pPr>
        <w:pStyle w:val="a3"/>
        <w:rPr>
          <w:color w:val="000000" w:themeColor="text1"/>
          <w:lang w:val="ru-RU"/>
        </w:rPr>
      </w:pPr>
      <w:r w:rsidRPr="00271E51">
        <w:rPr>
          <w:color w:val="000000" w:themeColor="text1"/>
          <w:lang w:val="ru-RU"/>
        </w:rPr>
        <w:t>Рост выпуска тяжелых танков накануне развертывания масштабных фронтовых насту</w:t>
      </w:r>
      <w:r w:rsidRPr="00271E51">
        <w:rPr>
          <w:color w:val="000000" w:themeColor="text1"/>
          <w:lang w:val="ru-RU"/>
        </w:rPr>
        <w:softHyphen/>
        <w:t>пательных операций Красной Армии сдержи</w:t>
      </w:r>
      <w:r w:rsidRPr="00271E51">
        <w:rPr>
          <w:color w:val="000000" w:themeColor="text1"/>
          <w:lang w:val="ru-RU"/>
        </w:rPr>
        <w:softHyphen/>
        <w:t>вался производством бронекорпусов нового типа. Технология меха</w:t>
      </w:r>
      <w:r w:rsidRPr="00271E51">
        <w:rPr>
          <w:color w:val="000000" w:themeColor="text1"/>
          <w:lang w:val="ru-RU"/>
        </w:rPr>
        <w:softHyphen/>
        <w:t>нической обработки основных литых деталей под сварку была намного сложнее обработки дета</w:t>
      </w:r>
      <w:r w:rsidRPr="00271E51">
        <w:rPr>
          <w:color w:val="000000" w:themeColor="text1"/>
          <w:lang w:val="ru-RU"/>
        </w:rPr>
        <w:softHyphen/>
        <w:t>лей из катаной брони. Узловая сборка отдель</w:t>
      </w:r>
      <w:r w:rsidRPr="00271E51">
        <w:rPr>
          <w:color w:val="000000" w:themeColor="text1"/>
          <w:lang w:val="ru-RU"/>
        </w:rPr>
        <w:softHyphen/>
        <w:t>ных деталей корпуса и их окончательная сборка (сварка) в бронекорпус осуществлялись настендесприменением автоматической сварки. Постепенно усилиями специалистов различных направлений (в первую очередь, Броневого ЦНИИ) удалось доработать технологический процесс и сделать приемлемой длительность производственного цикла сборки.</w:t>
      </w:r>
    </w:p>
    <w:p w14:paraId="3D73F011" w14:textId="77777777" w:rsidR="00FC04C9" w:rsidRPr="00271E51" w:rsidRDefault="00FC04C9" w:rsidP="00271E51">
      <w:pPr>
        <w:pStyle w:val="a3"/>
        <w:rPr>
          <w:color w:val="000000" w:themeColor="text1"/>
          <w:lang w:val="ru-RU"/>
        </w:rPr>
      </w:pPr>
      <w:r w:rsidRPr="00271E51">
        <w:rPr>
          <w:color w:val="000000" w:themeColor="text1"/>
          <w:lang w:val="ru-RU"/>
        </w:rPr>
        <w:t>Дальнейшее возрастание противоснарядой стойкости бронекорпуса тяжелого танка в значительной степени зависело от конфигу</w:t>
      </w:r>
      <w:r w:rsidRPr="00271E51">
        <w:rPr>
          <w:color w:val="000000" w:themeColor="text1"/>
          <w:lang w:val="ru-RU"/>
        </w:rPr>
        <w:softHyphen/>
        <w:t>рации его носовой части. Весьма желатель</w:t>
      </w:r>
      <w:r w:rsidRPr="00271E51">
        <w:rPr>
          <w:color w:val="000000" w:themeColor="text1"/>
          <w:lang w:val="ru-RU"/>
        </w:rPr>
        <w:softHyphen/>
        <w:t>ным виделся вариант спрямленного носа, где верхний броневой лист из катаной брони устанавливался под значительным углом к вертикали. А величина угла наклона лобового листа напрямую зависела от компоновочного решения машины в целом (12617).</w:t>
      </w:r>
    </w:p>
    <w:p w14:paraId="23CD8CCD" w14:textId="77777777" w:rsidR="00FC04C9" w:rsidRPr="00271E51" w:rsidRDefault="00FC04C9" w:rsidP="00271E51">
      <w:pPr>
        <w:pStyle w:val="a3"/>
        <w:rPr>
          <w:color w:val="000000" w:themeColor="text1"/>
          <w:lang w:val="ru-RU"/>
        </w:rPr>
      </w:pPr>
    </w:p>
    <w:p w14:paraId="1F9F59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ноябре 1943 по распоряжению наркома Д.Ф. Ус</w:t>
      </w:r>
      <w:r w:rsidRPr="00271E51">
        <w:rPr>
          <w:rFonts w:ascii="Times New Roman" w:hAnsi="Times New Roman"/>
          <w:color w:val="000000" w:themeColor="text1"/>
          <w:sz w:val="16"/>
          <w:szCs w:val="16"/>
        </w:rPr>
        <w:softHyphen/>
        <w:t>тинова техуправление НКВ объявило конкурс на создание САУ большой мощности по теме «Витязь».</w:t>
      </w:r>
    </w:p>
    <w:p w14:paraId="3F2769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конкурс выдвинули свои проекты завод № 100 НКТП, КБ Уралмашзавода, а также ЦАКБ. Известно, что де</w:t>
      </w:r>
      <w:r w:rsidRPr="00271E51">
        <w:rPr>
          <w:rFonts w:ascii="Times New Roman" w:hAnsi="Times New Roman"/>
          <w:color w:val="000000" w:themeColor="text1"/>
          <w:sz w:val="16"/>
          <w:szCs w:val="16"/>
        </w:rPr>
        <w:softHyphen/>
        <w:t>тище Ж.Я. Котина должно было представлять собой само</w:t>
      </w:r>
      <w:r w:rsidRPr="00271E51">
        <w:rPr>
          <w:rFonts w:ascii="Times New Roman" w:hAnsi="Times New Roman"/>
          <w:color w:val="000000" w:themeColor="text1"/>
          <w:sz w:val="16"/>
          <w:szCs w:val="16"/>
        </w:rPr>
        <w:softHyphen/>
        <w:t>ходный лафет, тянущий на прицепке ствол с небольшим за</w:t>
      </w:r>
      <w:r w:rsidRPr="00271E51">
        <w:rPr>
          <w:rFonts w:ascii="Times New Roman" w:hAnsi="Times New Roman"/>
          <w:color w:val="000000" w:themeColor="text1"/>
          <w:sz w:val="16"/>
          <w:szCs w:val="16"/>
        </w:rPr>
        <w:softHyphen/>
        <w:t>пасом снарядов. Вооружение орудия должно было осуществ</w:t>
      </w:r>
      <w:r w:rsidRPr="00271E51">
        <w:rPr>
          <w:rFonts w:ascii="Times New Roman" w:hAnsi="Times New Roman"/>
          <w:color w:val="000000" w:themeColor="text1"/>
          <w:sz w:val="16"/>
          <w:szCs w:val="16"/>
        </w:rPr>
        <w:softHyphen/>
        <w:t>ляться на позиции перед началом стрельбы. Времени на под</w:t>
      </w:r>
      <w:r w:rsidRPr="00271E51">
        <w:rPr>
          <w:rFonts w:ascii="Times New Roman" w:hAnsi="Times New Roman"/>
          <w:color w:val="000000" w:themeColor="text1"/>
          <w:sz w:val="16"/>
          <w:szCs w:val="16"/>
        </w:rPr>
        <w:softHyphen/>
        <w:t>готовку выстрела должно было уходить не свыше 20 минут.</w:t>
      </w:r>
    </w:p>
    <w:p w14:paraId="6605C0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УЗТМ предожило сразу два решения. Во-первых, усо</w:t>
      </w:r>
      <w:r w:rsidRPr="00271E51">
        <w:rPr>
          <w:rFonts w:ascii="Times New Roman" w:hAnsi="Times New Roman"/>
          <w:color w:val="000000" w:themeColor="text1"/>
          <w:sz w:val="16"/>
          <w:szCs w:val="16"/>
        </w:rPr>
        <w:softHyphen/>
        <w:t>вершенствованный проект самохода У-19 (203-мм гаубица Б-4 на шасси КВ-1, выполненный Н.В. Куриным и Г.Н. Рыби-ным), а также эскизный проект установки 203-мм гаубицы или 152-мм пушки на двух шасси СУ-122. Перед стрельбой указанные повозки должны были состыковаться, и готов</w:t>
      </w:r>
      <w:r w:rsidRPr="00271E51">
        <w:rPr>
          <w:rFonts w:ascii="Times New Roman" w:hAnsi="Times New Roman"/>
          <w:color w:val="000000" w:themeColor="text1"/>
          <w:sz w:val="16"/>
          <w:szCs w:val="16"/>
        </w:rPr>
        <w:softHyphen/>
        <w:t>ность к открытию огня составляла приблизительно 30—40 мин. Но еще до начала конкурса, 11 сентября 1943 г. заказ на проведение работ был выдан лишь ЦАКБ, которое в установ</w:t>
      </w:r>
      <w:r w:rsidRPr="00271E51">
        <w:rPr>
          <w:rFonts w:ascii="Times New Roman" w:hAnsi="Times New Roman"/>
          <w:color w:val="000000" w:themeColor="text1"/>
          <w:sz w:val="16"/>
          <w:szCs w:val="16"/>
        </w:rPr>
        <w:softHyphen/>
        <w:t>ленные сроки не представило ни эскизного проекта, ни рас</w:t>
      </w:r>
      <w:r w:rsidRPr="00271E51">
        <w:rPr>
          <w:rFonts w:ascii="Times New Roman" w:hAnsi="Times New Roman"/>
          <w:color w:val="000000" w:themeColor="text1"/>
          <w:sz w:val="16"/>
          <w:szCs w:val="16"/>
        </w:rPr>
        <w:softHyphen/>
        <w:t>четов. Конкурс был завершен, так и не начавшись.</w:t>
      </w:r>
    </w:p>
    <w:p w14:paraId="05BFE9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ЦАКБ В.Г. Грабин сам выдвинул себе раз</w:t>
      </w:r>
      <w:r w:rsidRPr="00271E51">
        <w:rPr>
          <w:rFonts w:ascii="Times New Roman" w:hAnsi="Times New Roman"/>
          <w:color w:val="000000" w:themeColor="text1"/>
          <w:sz w:val="16"/>
          <w:szCs w:val="16"/>
        </w:rPr>
        <w:softHyphen/>
        <w:t>вернутые ТТТ к САУ на основании общих требований ар-туправления. Работы над данной САУ велись в ЦАКБ под индексом С-51 и были выполнены довольно быстро. Но уже на этапе расчетов оказалось, что выбранное решение в виде одного шасси танка КВ-1 С (как и У-19) имеет не</w:t>
      </w:r>
      <w:r w:rsidRPr="00271E51">
        <w:rPr>
          <w:rFonts w:ascii="Times New Roman" w:hAnsi="Times New Roman"/>
          <w:color w:val="000000" w:themeColor="text1"/>
          <w:sz w:val="16"/>
          <w:szCs w:val="16"/>
        </w:rPr>
        <w:softHyphen/>
        <w:t>достаточную длину опорной поверхности. А только ради ограниченного выпуска САУ НКТП, не справлявшийся с объемом выпуска тяжелых танков, не мог осваивать в се</w:t>
      </w:r>
      <w:r w:rsidRPr="00271E51">
        <w:rPr>
          <w:rFonts w:ascii="Times New Roman" w:hAnsi="Times New Roman"/>
          <w:color w:val="000000" w:themeColor="text1"/>
          <w:sz w:val="16"/>
          <w:szCs w:val="16"/>
        </w:rPr>
        <w:softHyphen/>
        <w:t>рийном производстве специальное удлиненное шасси (с 7—8 парами опорных катков). Поэтому руководство ЦАКБ приняло решение продолжать работы по С-51 на шасси танка КВ-1 С с минимальными переделками (11417).</w:t>
      </w:r>
    </w:p>
    <w:p w14:paraId="2E70A1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59BA4"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началось серийное производство на заводе № 200 по программе ИС-152 началось, причём при запланированных 26 комплектах завод сдал 30, а в декабре — ещё 46 комплектов.</w:t>
      </w:r>
    </w:p>
    <w:p w14:paraId="5090A231"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графику </w:t>
      </w:r>
      <w:hyperlink r:id="rId126" w:history="1">
        <w:r w:rsidRPr="00271E51">
          <w:rPr>
            <w:rStyle w:val="a5"/>
            <w:rFonts w:ascii="Times New Roman" w:hAnsi="Times New Roman"/>
            <w:color w:val="000000" w:themeColor="text1"/>
            <w:sz w:val="16"/>
            <w:szCs w:val="16"/>
          </w:rPr>
          <w:t>Народного комиссариата танковой промышленности</w:t>
        </w:r>
      </w:hyperlink>
      <w:r w:rsidRPr="00271E51">
        <w:rPr>
          <w:rFonts w:ascii="Times New Roman" w:hAnsi="Times New Roman"/>
          <w:color w:val="000000" w:themeColor="text1"/>
          <w:sz w:val="16"/>
          <w:szCs w:val="16"/>
        </w:rPr>
        <w:t> (НКТП), первые ИС-152 Челябинский Кировский завод (ЧКЗ) должен был сдать 26 ноября 1943 года. Освоение производства новой машины шло параллельно со сдачей последних СУ-152. Сборка первых ИС-152 шла непросто: технологический процесс только налаживался. САУ собирали при участии работников конструкторского бюро и технологов. Привлечение сотрудников КБ было нужно и из-за того, что в линейных размерах многих чертежей имелись ошибки, изготовленные по ним детали не устанавливались в машины. Приходилось срочно вносить изменения в чертежи, всего подобных ошибок обнаружилось около 200 штук.</w:t>
      </w:r>
    </w:p>
    <w:p w14:paraId="57AB13CE"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Также имелись проблемы с уже собранными машинами. Отмечалась теснота в отделении управления, большие усилия на рычагах и педалях, были случаи разрушения сепараторов подшипников планетарного механизма поворота. Имелись и другие проблемы, требовавшие исправления.</w:t>
      </w:r>
    </w:p>
    <w:p w14:paraId="5923B627"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возвышения орудия вместо 20 градусов составлял 18, при развороте вбок на 7 градусов панорамный прицел упирался в кромку люка. Системы были не уравновешены, что приводило к серьёзному увеличению усилий на маховиках механизмов. Всё это привело к тому, что машины принимались с большим трудом. Тем не менее за ноябрь ЧКЗ сдал первые пять машин.</w:t>
      </w:r>
    </w:p>
    <w:p w14:paraId="4A0FDAB9"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ситуация чуть улучшилась. Из 30 сданных за последний месяц 1943 года машин 19 удалось сдать после первого контрольного пробега и 9 после второго. В этом же месяце завод отправил первые машины: 31 числа 15 ИС-152 ушло в артиллерийский центр, располагавшийся в Мытищах, ещё одна машина направилась на испытания в Кубинку.</w:t>
      </w:r>
    </w:p>
    <w:p w14:paraId="5D46BBE7"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Серийные машины мало чем отличались от опытного образца. Наиболее заметным отличием стало появление дополнительных топливных баков.</w:t>
      </w:r>
    </w:p>
    <w:p w14:paraId="7DA37ECE"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 стал переломным: закончился ералаш с одновременным выпуском 3–4 типов боевых машин. ИС-85 и ИС-2 отличались в основном башнями, так что эти машины с точки зрения производства корпусов можно считать однотипными (18171).</w:t>
      </w:r>
    </w:p>
    <w:p w14:paraId="0444A8A4"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59063C2C"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ноября 1943 года к работе по выпуску корпусов ИСУ-152 подключился УЗТМ. Поначалу там делали носовые части корпуса и бронировки системы, но уже с января 1944 года началась работа по переделке цехов под выпуск бронекорпусов ИС-152. Ведь на фоне увеличения производства корпусов для ИС-2 завод №200 в январе 1944 года сдал 70 комплектов корпусов и рубок для ИСУ-152, в феврале их было 56 штук, в марте 35 штук, а в апреле и вовсе ни одного. В конце концов УЗТМ, выпускавший корпуса ИСУ-152 с февраля 1944 года, стал их единственным производителем.</w:t>
      </w:r>
    </w:p>
    <w:p w14:paraId="5F3F3E59"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января по март 1944 года завод №178 выпускал подвижную часть бронировки системы. Завод №264 занимался изготовлением рубок.</w:t>
      </w:r>
    </w:p>
    <w:p w14:paraId="1847B86C"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сборке корпусов на одном заводе самоходная установка на базе ИС-2, в отличие от самого танка, разнообразием внешнего вида не отличалась. Корпуса выпуска УЗТМ отличались характерным следом от «литника» на лобовой детали корпуса, а также конструкцией поручней. Как и на башнях ИС-2, вместо длинных планок использовались отдельные поручни (по два с левой и с правой сторон рубки). С июня 1944 года крепления траков перенесли с нижней кормовой детали корпуса на лобовую деталь (18171).</w:t>
      </w:r>
    </w:p>
    <w:p w14:paraId="127AC3C8"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0AB57A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изготовление СУ-76(С-1) было останов</w:t>
      </w:r>
      <w:r w:rsidRPr="00271E51">
        <w:rPr>
          <w:rFonts w:ascii="Times New Roman" w:hAnsi="Times New Roman"/>
          <w:color w:val="000000" w:themeColor="text1"/>
          <w:sz w:val="16"/>
          <w:szCs w:val="16"/>
        </w:rPr>
        <w:softHyphen/>
        <w:t>лено даиду того, что план производства был выполнен, ис</w:t>
      </w:r>
      <w:r w:rsidRPr="00271E51">
        <w:rPr>
          <w:rFonts w:ascii="Times New Roman" w:hAnsi="Times New Roman"/>
          <w:color w:val="000000" w:themeColor="text1"/>
          <w:sz w:val="16"/>
          <w:szCs w:val="16"/>
        </w:rPr>
        <w:softHyphen/>
        <w:t xml:space="preserve">правные шасси Т </w:t>
      </w:r>
      <w:r w:rsidRPr="00271E51">
        <w:rPr>
          <w:rFonts w:ascii="Times New Roman" w:hAnsi="Times New Roman"/>
          <w:color w:val="000000" w:themeColor="text1"/>
          <w:sz w:val="16"/>
          <w:szCs w:val="16"/>
          <w:lang w:val="en-US"/>
        </w:rPr>
        <w:t>III</w:t>
      </w:r>
      <w:r w:rsidRPr="00271E51">
        <w:rPr>
          <w:rFonts w:ascii="Times New Roman" w:hAnsi="Times New Roman"/>
          <w:color w:val="000000" w:themeColor="text1"/>
          <w:sz w:val="16"/>
          <w:szCs w:val="16"/>
        </w:rPr>
        <w:t xml:space="preserve"> закончились, а также потому, что СУ-76 отечественного производства в необходимом количестве уже отгружались на фронт двумя предприятиями НКТП (за</w:t>
      </w:r>
      <w:r w:rsidRPr="00271E51">
        <w:rPr>
          <w:rFonts w:ascii="Times New Roman" w:hAnsi="Times New Roman"/>
          <w:color w:val="000000" w:themeColor="text1"/>
          <w:sz w:val="16"/>
          <w:szCs w:val="16"/>
        </w:rPr>
        <w:softHyphen/>
        <w:t>вод №38 в Кирове и ГАЗ в Горьком). Советские самоходки были более дешевыми и легкими по сравнению с СУ-76(С-1) и не создавали проблем с их обслуживанием. Всего за время серийного производства СУ С-1 на заводе 37 было выпущено 201 САУ (в том числе, вероятно, до 20 «командирских»). Боевое крещение подразделения СУ-76(С-1) получили на Курской дуге. Известно, что в распоряжении 13-й армии Центрального фронта имелось 16 СУ-76 на трофейном шас</w:t>
      </w:r>
      <w:r w:rsidRPr="00271E51">
        <w:rPr>
          <w:rFonts w:ascii="Times New Roman" w:hAnsi="Times New Roman"/>
          <w:color w:val="000000" w:themeColor="text1"/>
          <w:sz w:val="16"/>
          <w:szCs w:val="16"/>
        </w:rPr>
        <w:softHyphen/>
        <w:t>си, причем в ходе оборонительных боев было потеряно 8 та</w:t>
      </w:r>
      <w:r w:rsidRPr="00271E51">
        <w:rPr>
          <w:rFonts w:ascii="Times New Roman" w:hAnsi="Times New Roman"/>
          <w:color w:val="000000" w:themeColor="text1"/>
          <w:sz w:val="16"/>
          <w:szCs w:val="16"/>
        </w:rPr>
        <w:softHyphen/>
        <w:t>ких машин (3 сгорели). Воронежский фронт также имел не</w:t>
      </w:r>
      <w:r w:rsidRPr="00271E51">
        <w:rPr>
          <w:rFonts w:ascii="Times New Roman" w:hAnsi="Times New Roman"/>
          <w:color w:val="000000" w:themeColor="text1"/>
          <w:sz w:val="16"/>
          <w:szCs w:val="16"/>
        </w:rPr>
        <w:softHyphen/>
        <w:t>которое количество СУ-С-1, но в отчете фронта на начало бо</w:t>
      </w:r>
      <w:r w:rsidRPr="00271E51">
        <w:rPr>
          <w:rFonts w:ascii="Times New Roman" w:hAnsi="Times New Roman"/>
          <w:color w:val="000000" w:themeColor="text1"/>
          <w:sz w:val="16"/>
          <w:szCs w:val="16"/>
        </w:rPr>
        <w:softHyphen/>
        <w:t>ев дано лишь суммарное количество всех СУ-76.</w:t>
      </w:r>
    </w:p>
    <w:p w14:paraId="6F1B90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Известно также, что в ходе наступления на Орел Цент</w:t>
      </w:r>
      <w:r w:rsidRPr="00271E51">
        <w:rPr>
          <w:rFonts w:ascii="Times New Roman" w:hAnsi="Times New Roman"/>
          <w:color w:val="000000" w:themeColor="text1"/>
          <w:sz w:val="16"/>
          <w:szCs w:val="16"/>
        </w:rPr>
        <w:softHyphen/>
        <w:t xml:space="preserve">ральный фронт был усилен двумя самоходно-артиллерий-скими полками, один из которых также имел машины на трофейном шасси (16 САУ и один танк Т </w:t>
      </w:r>
      <w:r w:rsidRPr="00271E51">
        <w:rPr>
          <w:rFonts w:ascii="Times New Roman" w:hAnsi="Times New Roman"/>
          <w:color w:val="000000" w:themeColor="text1"/>
          <w:sz w:val="16"/>
          <w:szCs w:val="16"/>
          <w:lang w:val="en-US"/>
        </w:rPr>
        <w:t>III</w:t>
      </w:r>
      <w:r w:rsidRPr="00271E51">
        <w:rPr>
          <w:rFonts w:ascii="Times New Roman" w:hAnsi="Times New Roman"/>
          <w:color w:val="000000" w:themeColor="text1"/>
          <w:sz w:val="16"/>
          <w:szCs w:val="16"/>
        </w:rPr>
        <w:t>). В ходе освобождения левобережной Украины в армии имелось 6 самоходно-артиллерийских полков, в которых имелись СУ С-1, однако зимой 1944 г. большинство из них были пе</w:t>
      </w:r>
      <w:r w:rsidRPr="00271E51">
        <w:rPr>
          <w:rFonts w:ascii="Times New Roman" w:hAnsi="Times New Roman"/>
          <w:color w:val="000000" w:themeColor="text1"/>
          <w:sz w:val="16"/>
          <w:szCs w:val="16"/>
        </w:rPr>
        <w:softHyphen/>
        <w:t>ревооружены отечественной матчастью (11417).</w:t>
      </w:r>
    </w:p>
    <w:p w14:paraId="0F84F9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BC301" w14:textId="77777777" w:rsidR="00677C37" w:rsidRPr="00271E51" w:rsidRDefault="00677C3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декабрю 1943 года был разработан дополнительный кронштейн крепления орудия по-походному, который разместился в верхней части лобового листа. Это стало первым заметным изменением внешнего вида СУ-76М. Как показали проведённые испытания, для перевода орудия в боевое положение требовалось 23 секунды, а в походное — 40 секунд. Дополнительный кронштейн снимался и ставился быстрее, чем задний стопор. Кроме того, в декабре 1943 года для СУ-76М был изготовлен блок световых сигналов для быстрой подачи приказов механику-водителю. В серию он пошёл уже в 1944 году (17728).</w:t>
      </w:r>
    </w:p>
    <w:p w14:paraId="7024F70B" w14:textId="77777777" w:rsidR="00677C37" w:rsidRPr="00271E51" w:rsidRDefault="00677C37" w:rsidP="00271E51">
      <w:pPr>
        <w:pStyle w:val="12a"/>
        <w:shd w:val="clear" w:color="auto" w:fill="auto"/>
        <w:spacing w:after="0" w:line="240" w:lineRule="auto"/>
        <w:jc w:val="both"/>
        <w:rPr>
          <w:color w:val="000000" w:themeColor="text1"/>
          <w:sz w:val="16"/>
          <w:szCs w:val="16"/>
        </w:rPr>
      </w:pPr>
    </w:p>
    <w:p w14:paraId="552660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ноября 1943 успешно проходил испытания ГАЗ-63 4х4 (9624).</w:t>
      </w:r>
    </w:p>
    <w:p w14:paraId="3C54B4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615AA"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решением ГКО деятельность ТМЗ была прекращена. Оборудование и кадры были направлены на укомплектование Горьковского мотоциклетного завода. Существенная часть архивов поступила в областное архивное управление НКВД и позднее стала доступна исследователям в составе фондов Государтвенного архива Тюменской области. Мотоциклы ТИЗ разных лет выпуска сохранились в бывшем СССР у ряда коллекционеров. Скудость информации (сложно найти инструкции, технические описания и чертежную документацию) способствует тому, что далеко не все из них на ходу и в приемлемом состоянии. При сборке АМ-600 в Тюмени активно использовались комплектующие от М-72, наиболее заметными были седла и иногда даже коляски. Имея в виду освоение перспективного ТИЗ-50 и с учетом использования комплектующих от М-72, в ряде документов мотоцикл именовали АМ-650 (19776).</w:t>
      </w:r>
    </w:p>
    <w:p w14:paraId="50C9E1DD"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6BEAC3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создан ГС завод № 28 в ведении Главкислорода (ГС завод № 28 Главкислорода, Балашихинский машиностроительный завод (БМЗ) им. 40- летия Октября, Завод криогенного машиностроения, НПО «Криогенмаш» Минхиммаша, ОАО Криогенного машиностроения «Криогенмаш» /143907  г. Балашиха Московской обл. пр. Ленина, 67 тел. 505-93-33/). 18.01.1944 г. вышло распоряжение ГКО № 4973 о мерах по обеспечению окончания строительства завода.</w:t>
      </w:r>
    </w:p>
    <w:p w14:paraId="285E25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19.02.1944 г. вышло постановление ГКО № 5206 о мероприятиях по обеспечению монтажа и пуска турбокислотной установки системы академика Капицы производительностью 2000 л в час на объекте № 2 Глававтогена НКТМ в Балашихе. 28.02.1944 г. - распоряжение ГКО № 5263 о заказе на импорт компрессоров и турбокомпрессоров для кислородных установок системы академика Капицы.</w:t>
      </w:r>
    </w:p>
    <w:p w14:paraId="3ECB37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СНК от 05.1945 г., приказом СНК от 31.12.1945 г. и распоряжением СМ СССР № 5390-р от 24.04.1946 г. на базе завода создан ВНИИКИМАШ, в его состав вошло КБ Главкислорода. Вероятно, завод подвергся реконструкции. Вступил в строй в 1949 г. В 1964-71 г. назывался БМЗ им. 40-летия Октября.</w:t>
      </w:r>
    </w:p>
    <w:p w14:paraId="152F1C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1950 г.- изготовление воздухоразделительных установок получения кислорода, разработанных ВНИИКИМАШ. Серийное производство крупных кислородных установок для металлургических предприятий: для Магнитогорского, Нижнетагильского, Новолипецкого, Новокузнецкого меткомбинатов, Северстали, Криворожстали, «Испат-Кармет», «Норильского никеля», СУМЗ, Алмалыкского ГМК, Ефремовского ЗСК, Томскнефтехима. В 1981-86 г. построено несколько десятков имитаторов космоса и вакуумных камер, в т.ч. объемом 10 тыс. м</w:t>
      </w:r>
      <w:r w:rsidRPr="00271E51">
        <w:rPr>
          <w:rFonts w:ascii="Times New Roman" w:hAnsi="Times New Roman"/>
          <w:color w:val="000000" w:themeColor="text1"/>
          <w:sz w:val="16"/>
          <w:szCs w:val="16"/>
          <w:vertAlign w:val="superscript"/>
        </w:rPr>
        <w:t>3</w:t>
      </w:r>
      <w:r w:rsidRPr="00271E51">
        <w:rPr>
          <w:rFonts w:ascii="Times New Roman" w:hAnsi="Times New Roman"/>
          <w:color w:val="000000" w:themeColor="text1"/>
          <w:sz w:val="16"/>
          <w:szCs w:val="16"/>
        </w:rPr>
        <w:t>.</w:t>
      </w:r>
    </w:p>
    <w:p w14:paraId="4B5AD5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Разработка и производство (2002-07 г.): воздухоразделительные установки для получения высокочистых криопродуктов- кислорода, азота, аргона, водорода и редких </w:t>
      </w:r>
      <w:r w:rsidRPr="00271E51">
        <w:rPr>
          <w:rFonts w:ascii="Times New Roman" w:hAnsi="Times New Roman"/>
          <w:color w:val="000000" w:themeColor="text1"/>
          <w:sz w:val="16"/>
          <w:szCs w:val="16"/>
        </w:rPr>
        <w:lastRenderedPageBreak/>
        <w:t>газов; системы хранения, заправки и транспортирования криопродуктов; имитаторы космоса; криотермовакуумные установки и барокамеры; криогенные гелиевые системы, ожижители и рефрижераторы; системы термостатирования ракет; мембранные газоразделительные установки, установки короткоцикловой адсорбции; оборудование для сжижения природного газа.</w:t>
      </w:r>
    </w:p>
    <w:p w14:paraId="76CDE4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1972(4) г. завод преобразован в НПО «Криогенмаш», в состав которого вошел также ВНИИКриогенмаш. В 1990 г. НПО- в ведении Минхиммаша.</w:t>
      </w:r>
      <w:r w:rsidRPr="00271E51">
        <w:rPr>
          <w:rFonts w:ascii="Times New Roman" w:hAnsi="Times New Roman"/>
          <w:color w:val="000000" w:themeColor="text1"/>
          <w:sz w:val="16"/>
          <w:szCs w:val="16"/>
          <w:vertAlign w:val="superscript"/>
        </w:rPr>
        <w:t>77</w:t>
      </w:r>
      <w:r w:rsidRPr="00271E51">
        <w:rPr>
          <w:rFonts w:ascii="Times New Roman" w:hAnsi="Times New Roman"/>
          <w:color w:val="000000" w:themeColor="text1"/>
          <w:sz w:val="16"/>
          <w:szCs w:val="16"/>
        </w:rPr>
        <w:t xml:space="preserve"> В 1993 г. НПО преобразовано в ОАО. Было в 2003-04 г.</w:t>
      </w:r>
    </w:p>
    <w:p w14:paraId="53CE6D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 предприятия входят (2002 г.): машиностроительный завод, НИО и конструкторские отделы, дочернее предприятие ООО «Криогенмаш-БЗКМ», исследовательский испытательный комплекс. В 2004 г. создан инжиниринговый центр. В 2005 г. в состав ОАО «Криогенмаш» вошло ОАО «Гипрокислород», в 2006 г.- ЗАО «Киевский кислородный завод» и ОАО «Дальтехгаз».</w:t>
      </w:r>
    </w:p>
    <w:p w14:paraId="314D8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г.)- 3500 чел., (2007 г.)- более 2800 чел.</w:t>
      </w:r>
    </w:p>
    <w:p w14:paraId="06BA8C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В.П. Беляков. Гендиректор (-1980; 1988-2002 г.)- В.Е. Курташин(ов), (2002-03 г.-)- Ю.В. Горбатский, (-2006-07 г.-)- Д.В. Ермолов.</w:t>
      </w:r>
    </w:p>
    <w:p w14:paraId="3DAF03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гендиректора: (1963 г.-)- В.Е. Курташин(вв), (2002 г.)- Е.В. Сморженков, (2002 г.)- Б.А. Скородумов, (2005-07 г.-)- В.И. Данилович, (2007 г.)- Б.Н. Авсенин, (2007 г.)- И.М. Баженов, (2005-07 г.-)- В.В. Лнхман, (2007 г.)-  Г.А. Снежко, (2007 г.)- Л.В. Черноног; по производству и продажам технических и медицинских газов (2007 г.)- В.И. Михалкевич; по маркетингу и ВЭС (2002 г.)- Н. Г. Шеин; по экономическим вопросам (2002 г.)- Н.А. Хомутов; по логистике (2007 г.)- Ю.М. Петроченко.</w:t>
      </w:r>
    </w:p>
    <w:p w14:paraId="7E3445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производства (2002 г.)- Е.В. Сморженков, (2007 г.)- И.М. Баженов. Исполнительный директор по научной работе (2002 г.)- Б.А. Скородумов, (2005-07 г.-)- В.И. Данилович. Технический директор (2005-07 г.-)- В.В. Лихман. Директор по финансам и экономике (2006 г.)- Л.В. Черноно г. Директор по работе с клиентами (2007 г.)- Б.Н. Авсенин. Директор по персоналу (2007 г.)-  Г.А. Снежко.</w:t>
      </w:r>
    </w:p>
    <w:p w14:paraId="364D93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Производство: кислородные заправщики: 8Г15 для БР Р-1 (1952-), для Р-2, Р-5М (11982).</w:t>
      </w:r>
    </w:p>
    <w:p w14:paraId="590F4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3A5349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Завод № 698 НКЭП, Завод «Электросчетчик», ОАО «Мытищинский электротехнический завод» /141002  г. Мытищи Московской обл. ул. Колпакова, 2/ был  в ведении НКЭП.</w:t>
      </w:r>
    </w:p>
    <w:p w14:paraId="282F82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минные взрыватели, переговорные устройства для танкистов и летчиков, телефоны (11982).</w:t>
      </w:r>
    </w:p>
    <w:p w14:paraId="41B835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489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возросли темпы работ в соответствии с социалистическими обязательствами, принятыми судостроителями в честь XXVI годовщины Великого Октября. Балтийцы обрабатывали металл и изготавливали секции для постройки еще четырех стотонников. Производилась подготовка производства для постройки восьми БМО. Судостроители сдали ВМФ шесть и отремонтировали восемь боевых катеров. По МЗК адмиралтейцы и рабочие "Судомеха" изготовили более 100 тыс. пружин для автоматов, 29 насосов, выпустили 90 параванных и катерных тралов. Рабочие завода им. А. А. Кулакова изготовили 9753 автомата (10671).</w:t>
      </w:r>
    </w:p>
    <w:p w14:paraId="246C93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33BE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DFF46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5372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Динамика боеготовности 175-го гшап (15-я ВА) в ноябре 1943 г. (количество боеготовых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359"/>
        <w:gridCol w:w="1276"/>
        <w:gridCol w:w="1275"/>
        <w:gridCol w:w="993"/>
        <w:gridCol w:w="993"/>
        <w:gridCol w:w="993"/>
        <w:gridCol w:w="992"/>
      </w:tblGrid>
      <w:tr w:rsidR="00A907A5" w:rsidRPr="00271E51" w14:paraId="36EA8848" w14:textId="77777777" w:rsidTr="00ED5B0A">
        <w:tc>
          <w:tcPr>
            <w:tcW w:w="1868" w:type="dxa"/>
            <w:tcBorders>
              <w:top w:val="single" w:sz="12" w:space="0" w:color="auto"/>
            </w:tcBorders>
          </w:tcPr>
          <w:p w14:paraId="4D5075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день</w:t>
            </w:r>
          </w:p>
        </w:tc>
        <w:tc>
          <w:tcPr>
            <w:tcW w:w="1359" w:type="dxa"/>
            <w:tcBorders>
              <w:top w:val="single" w:sz="12" w:space="0" w:color="auto"/>
            </w:tcBorders>
          </w:tcPr>
          <w:p w14:paraId="22AD16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06.11.43</w:t>
            </w:r>
          </w:p>
        </w:tc>
        <w:tc>
          <w:tcPr>
            <w:tcW w:w="1276" w:type="dxa"/>
            <w:tcBorders>
              <w:top w:val="single" w:sz="12" w:space="0" w:color="auto"/>
            </w:tcBorders>
          </w:tcPr>
          <w:p w14:paraId="6548A2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11.11.43</w:t>
            </w:r>
          </w:p>
        </w:tc>
        <w:tc>
          <w:tcPr>
            <w:tcW w:w="1275" w:type="dxa"/>
            <w:tcBorders>
              <w:top w:val="single" w:sz="12" w:space="0" w:color="auto"/>
            </w:tcBorders>
          </w:tcPr>
          <w:p w14:paraId="2E97AD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12.11.43 </w:t>
            </w:r>
          </w:p>
        </w:tc>
        <w:tc>
          <w:tcPr>
            <w:tcW w:w="993" w:type="dxa"/>
            <w:tcBorders>
              <w:top w:val="single" w:sz="12" w:space="0" w:color="auto"/>
            </w:tcBorders>
          </w:tcPr>
          <w:p w14:paraId="0BF2C7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15.11.43</w:t>
            </w:r>
          </w:p>
        </w:tc>
        <w:tc>
          <w:tcPr>
            <w:tcW w:w="993" w:type="dxa"/>
            <w:tcBorders>
              <w:top w:val="single" w:sz="12" w:space="0" w:color="auto"/>
            </w:tcBorders>
          </w:tcPr>
          <w:p w14:paraId="7BD468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19.11.43</w:t>
            </w:r>
          </w:p>
        </w:tc>
        <w:tc>
          <w:tcPr>
            <w:tcW w:w="993" w:type="dxa"/>
            <w:tcBorders>
              <w:top w:val="single" w:sz="12" w:space="0" w:color="auto"/>
            </w:tcBorders>
          </w:tcPr>
          <w:p w14:paraId="1EC66C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22.11.43</w:t>
            </w:r>
          </w:p>
        </w:tc>
        <w:tc>
          <w:tcPr>
            <w:tcW w:w="992" w:type="dxa"/>
            <w:tcBorders>
              <w:top w:val="single" w:sz="12" w:space="0" w:color="auto"/>
            </w:tcBorders>
          </w:tcPr>
          <w:p w14:paraId="3D2B08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23.11.43</w:t>
            </w:r>
          </w:p>
        </w:tc>
      </w:tr>
      <w:tr w:rsidR="00A907A5" w:rsidRPr="00271E51" w14:paraId="7B6FB63D" w14:textId="77777777" w:rsidTr="00ED5B0A">
        <w:tc>
          <w:tcPr>
            <w:tcW w:w="1868" w:type="dxa"/>
          </w:tcPr>
          <w:p w14:paraId="5E7AF3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w:t>
            </w:r>
          </w:p>
        </w:tc>
        <w:tc>
          <w:tcPr>
            <w:tcW w:w="1359" w:type="dxa"/>
          </w:tcPr>
          <w:p w14:paraId="2DEA70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276" w:type="dxa"/>
          </w:tcPr>
          <w:p w14:paraId="15FC0A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275" w:type="dxa"/>
          </w:tcPr>
          <w:p w14:paraId="0123CE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993" w:type="dxa"/>
          </w:tcPr>
          <w:p w14:paraId="55ADCE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993" w:type="dxa"/>
          </w:tcPr>
          <w:p w14:paraId="07C72C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993" w:type="dxa"/>
          </w:tcPr>
          <w:p w14:paraId="7EF7BD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992" w:type="dxa"/>
          </w:tcPr>
          <w:p w14:paraId="013C25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6C24E26D" w14:textId="77777777" w:rsidTr="00ED5B0A">
        <w:tc>
          <w:tcPr>
            <w:tcW w:w="1868" w:type="dxa"/>
          </w:tcPr>
          <w:p w14:paraId="07AF36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Полдень</w:t>
            </w:r>
          </w:p>
        </w:tc>
        <w:tc>
          <w:tcPr>
            <w:tcW w:w="1359" w:type="dxa"/>
          </w:tcPr>
          <w:p w14:paraId="67B77C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276" w:type="dxa"/>
          </w:tcPr>
          <w:p w14:paraId="0529BD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1275" w:type="dxa"/>
          </w:tcPr>
          <w:p w14:paraId="2D4531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7 </w:t>
            </w:r>
          </w:p>
        </w:tc>
        <w:tc>
          <w:tcPr>
            <w:tcW w:w="993" w:type="dxa"/>
          </w:tcPr>
          <w:p w14:paraId="527A56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93" w:type="dxa"/>
          </w:tcPr>
          <w:p w14:paraId="3A6720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993" w:type="dxa"/>
          </w:tcPr>
          <w:p w14:paraId="215179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992" w:type="dxa"/>
          </w:tcPr>
          <w:p w14:paraId="4DAC75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4B6A6A58" w14:textId="77777777" w:rsidTr="00ED5B0A">
        <w:tc>
          <w:tcPr>
            <w:tcW w:w="1868" w:type="dxa"/>
            <w:tcBorders>
              <w:bottom w:val="single" w:sz="12" w:space="0" w:color="auto"/>
            </w:tcBorders>
          </w:tcPr>
          <w:p w14:paraId="5E0F66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Вечер</w:t>
            </w:r>
          </w:p>
        </w:tc>
        <w:tc>
          <w:tcPr>
            <w:tcW w:w="1359" w:type="dxa"/>
            <w:tcBorders>
              <w:bottom w:val="single" w:sz="12" w:space="0" w:color="auto"/>
            </w:tcBorders>
          </w:tcPr>
          <w:p w14:paraId="0FDC6D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276" w:type="dxa"/>
            <w:tcBorders>
              <w:bottom w:val="single" w:sz="12" w:space="0" w:color="auto"/>
            </w:tcBorders>
          </w:tcPr>
          <w:p w14:paraId="165843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275" w:type="dxa"/>
            <w:tcBorders>
              <w:bottom w:val="single" w:sz="12" w:space="0" w:color="auto"/>
            </w:tcBorders>
          </w:tcPr>
          <w:p w14:paraId="531923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993" w:type="dxa"/>
            <w:tcBorders>
              <w:bottom w:val="single" w:sz="12" w:space="0" w:color="auto"/>
            </w:tcBorders>
          </w:tcPr>
          <w:p w14:paraId="066E0E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993" w:type="dxa"/>
            <w:tcBorders>
              <w:bottom w:val="single" w:sz="12" w:space="0" w:color="auto"/>
            </w:tcBorders>
          </w:tcPr>
          <w:p w14:paraId="472F70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993" w:type="dxa"/>
            <w:tcBorders>
              <w:bottom w:val="single" w:sz="12" w:space="0" w:color="auto"/>
            </w:tcBorders>
          </w:tcPr>
          <w:p w14:paraId="0205B3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992" w:type="dxa"/>
            <w:tcBorders>
              <w:bottom w:val="single" w:sz="12" w:space="0" w:color="auto"/>
            </w:tcBorders>
          </w:tcPr>
          <w:p w14:paraId="2FB199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bl>
    <w:p w14:paraId="4C7E95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(12020).</w:t>
      </w:r>
    </w:p>
    <w:p w14:paraId="2F3EE4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15515"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С ноября 1943 г. несколько штурмовых авиаполков из 4-й воздушной армии генерал-полковника К. А. Вершинина поддерживали десант частей 18-й армии, высаженный на Керченском полуострове, в районе поселка Эльтыген, в 15 километрах южнее Керчи, и бои на захваченном плацдарме, продлившиеся затем до марта следующего года. Штурмовики, изо дня в день использовавшиеся для атак самых различных целей, а также для доставки и сброса сражавшимся на узкой прибрежной полосе контейнеров с продовольствием, боеприпасами и медикаментами, несли огромные потери.</w:t>
      </w:r>
    </w:p>
    <w:p w14:paraId="5189B934"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Главную опасность для «горбатых» в воздухе в тот момент представляли Bf-109G из II./JG52 и 15.(Kroat)/JG52, действовавшие с аэродрома Багерово, в 15 километрах западнее Керчи. Так, только в течение 1 ноября ими над крымским побережьем и Керченским проливом было сбиты семь Ил-2. При этом отличились хорватские летчики, на чьем счету было пять «цементбомберов». По две победы одержали командир эскадрильи обер-лейтенант Мато Дуковач и фельдфебель Эдуард Мартинко.</w:t>
      </w:r>
    </w:p>
    <w:p w14:paraId="2B92F109"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На следующий день жертвами «Мессершмиттов» и зенитной артиллерии стали еще пятнадцать «цементбомберов». На этот раз отличился обер-лейтенант Пауль Дитрих Дёне из 2-й эскадрильи JG52, сбивший в ходе двух вылетов четыре Ил-2 и один Як-1.</w:t>
      </w:r>
    </w:p>
    <w:p w14:paraId="3F35A463"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Несмотря на сложные метеоусловия и немецкие истребители, штурмовики 11-й шад затем с 6 ноября по 8 декабря выполнили 132 «транспортных» вылета к плацдарму в районе Эльтыгена. Они сбросили в общей сложности 43 486 кг грузов, в том числе 34 070 кг продуктов, 8956 кг боеприпасов и 460 кг медикаментов (19522).</w:t>
      </w:r>
    </w:p>
    <w:p w14:paraId="07F033B3" w14:textId="77777777" w:rsidR="00E87E3A" w:rsidRPr="00271E51" w:rsidRDefault="00E87E3A"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Тем временем в конце 1943 г. в 3-й эскадрилье 47-го шап создали особую группу из шести «спецштурмовиков» — так стали называть Ил-2 с двумя 37-мм пушками НС-37 — во главе с лейтенантом Юсупом Акаевым. Первой операцией с ее участием стали налеты </w:t>
      </w:r>
    </w:p>
    <w:p w14:paraId="24FC0351" w14:textId="77777777" w:rsidR="00E87E3A" w:rsidRPr="00271E51" w:rsidRDefault="00E87E3A" w:rsidP="00271E51">
      <w:pPr>
        <w:pStyle w:val="ae"/>
        <w:spacing w:before="0" w:after="0"/>
        <w:jc w:val="both"/>
        <w:textAlignment w:val="baseline"/>
        <w:rPr>
          <w:color w:val="000000" w:themeColor="text1"/>
          <w:sz w:val="16"/>
          <w:szCs w:val="16"/>
        </w:rPr>
      </w:pPr>
    </w:p>
    <w:p w14:paraId="7317F1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группа из трех летчиков 1-й перегоночной дивизии: старших лейтенантов Д.Чуланова, И.Бурмистрова и капитана А.Бачкова начала переучивание в Фэрбенксе. Совершив более 20 учебных полетов, летчики в достаточной мере освоили Р-47, чтобы отправиться в путь (3457,84).</w:t>
      </w:r>
    </w:p>
    <w:p w14:paraId="788A23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EAB9E" w14:textId="77777777" w:rsidR="00E87E3A" w:rsidRPr="00271E51" w:rsidRDefault="00E87E3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EBAB1C7" w14:textId="77777777" w:rsidR="00E87E3A" w:rsidRPr="00271E51" w:rsidRDefault="00E87E3A"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42EFEB"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и без того скудные нормы выдачи продуктов были негласно сокращены почти на треть. Вот почему в заявке к Третьему (Лондонскому) Протоколу пищевые поставки с июля 1943-го по июль 1944 г. потеснили металлы и даже отдельные виды вооружений. Предпочтение при этом было отдано продуктам, содержащим большое количество белков и жиров. По этим видам продукции американцы предложили даже более, чем запрашивали представители Наркомвнешторга. И делалось это отнюдь не от избытка. В СССР было направлено 25% всей производимой в США свинины. На американскую же армию оставалось лишь 14%. Кроме того, Советский Союз был единственной страной среди более сорока других, получавших помощь по ленд-лизу, куда США согласились ввезти животное масло, что привело к резкому удорожанию его на американском рынке. Это масло предназначалось для выздоравливающих в госпиталях русских солдат. В госпитали направлялись и фруктовые соки, консервированные, сухие и свежие фрукты, овощи, орехи и многие другие не обозначенные в заявке продукты. Высоковитаминизированные, они стали для многих солдат спасением от цинги - "бича" армии (19582).</w:t>
      </w:r>
    </w:p>
    <w:p w14:paraId="71FACEEE"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3DE1620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A7A20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3CA6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из Москвы в Нью-Йорк на имя многоопытного резидента В. Зарубина была направлена ориентировка, в которой сообщалось, что в США для работы по «Энормозу» выехал ряд ведущих ученых из Англии, в том числе К. Фукс, немецкий эмигрант, член Компартии Германии. Ранее он занимался исследованиями в области быстрых нейтронов в Бирмингемском университете и был завербован разведкой ГРУ. Дело в том, что вклад К. Фукса в реализацию проекта «Тьюб эллойз» был настолько велик, что научный руководитель американского проекта Оппенгеймер пригласил его, вместе с группой английских коллег в США. Вот так агент советской разведки попал в самое сердце проекта «Манхэттен» — в знаменитый атомный город Лос-Аламос (11765).</w:t>
      </w:r>
    </w:p>
    <w:p w14:paraId="53D83F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349F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109B4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D5DC88" w14:textId="77777777" w:rsidR="00DA1B4D" w:rsidRPr="00271E51" w:rsidRDefault="00DA1B4D" w:rsidP="00271E51">
      <w:pPr>
        <w:spacing w:after="0" w:line="240" w:lineRule="auto"/>
        <w:jc w:val="both"/>
        <w:rPr>
          <w:rFonts w:ascii="Times New Roman" w:hAnsi="Times New Roman"/>
          <w:color w:val="0070C0"/>
          <w:sz w:val="16"/>
          <w:szCs w:val="16"/>
          <w:lang w:val="en-US"/>
        </w:rPr>
      </w:pPr>
      <w:r w:rsidRPr="00271E51">
        <w:rPr>
          <w:rFonts w:ascii="Times New Roman" w:hAnsi="Times New Roman"/>
          <w:color w:val="0070C0"/>
          <w:sz w:val="16"/>
          <w:szCs w:val="16"/>
        </w:rPr>
        <w:t>Ноябрь</w:t>
      </w:r>
      <w:r w:rsidRPr="00271E51">
        <w:rPr>
          <w:rFonts w:ascii="Times New Roman" w:hAnsi="Times New Roman"/>
          <w:color w:val="0070C0"/>
          <w:sz w:val="16"/>
          <w:szCs w:val="16"/>
          <w:lang w:val="en-US"/>
        </w:rPr>
        <w:t xml:space="preserve"> 1943 </w:t>
      </w:r>
      <w:r w:rsidRPr="00271E51">
        <w:rPr>
          <w:rFonts w:ascii="Times New Roman" w:hAnsi="Times New Roman"/>
          <w:color w:val="0070C0"/>
          <w:sz w:val="16"/>
          <w:szCs w:val="16"/>
        </w:rPr>
        <w:t>первый</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полет</w:t>
      </w:r>
      <w:r w:rsidRPr="00271E51">
        <w:rPr>
          <w:rFonts w:ascii="Times New Roman" w:hAnsi="Times New Roman"/>
          <w:color w:val="0070C0"/>
          <w:sz w:val="16"/>
          <w:szCs w:val="16"/>
          <w:lang w:val="en-US"/>
        </w:rPr>
        <w:t xml:space="preserve"> Aichi M6A Seiran ("Mountain Haze") (20376).</w:t>
      </w:r>
    </w:p>
    <w:p w14:paraId="247A12DE" w14:textId="77777777" w:rsidR="00DA1B4D" w:rsidRPr="00271E51" w:rsidRDefault="00DA1B4D" w:rsidP="00271E51">
      <w:pPr>
        <w:spacing w:after="0" w:line="240" w:lineRule="auto"/>
        <w:jc w:val="both"/>
        <w:rPr>
          <w:rFonts w:ascii="Times New Roman" w:hAnsi="Times New Roman"/>
          <w:color w:val="0070C0"/>
          <w:sz w:val="16"/>
          <w:szCs w:val="16"/>
          <w:lang w:val="en-US"/>
        </w:rPr>
      </w:pPr>
    </w:p>
    <w:p w14:paraId="2C5A3F7D" w14:textId="77777777" w:rsidR="00E87E3A" w:rsidRPr="00271E51" w:rsidRDefault="00E87E3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года “Фау- 2” испробовали на польских селах, из которых для конспирации не высели</w:t>
      </w:r>
      <w:r w:rsidRPr="00271E51">
        <w:rPr>
          <w:rFonts w:ascii="Times New Roman" w:hAnsi="Times New Roman"/>
          <w:color w:val="000000" w:themeColor="text1"/>
          <w:sz w:val="16"/>
          <w:szCs w:val="16"/>
        </w:rPr>
        <w:softHyphen/>
        <w:t>ли жителей. После успешных испы</w:t>
      </w:r>
      <w:r w:rsidRPr="00271E51">
        <w:rPr>
          <w:rFonts w:ascii="Times New Roman" w:hAnsi="Times New Roman"/>
          <w:color w:val="000000" w:themeColor="text1"/>
          <w:sz w:val="16"/>
          <w:szCs w:val="16"/>
        </w:rPr>
        <w:softHyphen/>
        <w:t>таний непосредственный начальник фон Брауна Дорнбергер сказал: “Мы вторглись в космос нашей ракетой и впервые доказали, что ракетная тяга годится для космического путешес</w:t>
      </w:r>
      <w:r w:rsidRPr="00271E51">
        <w:rPr>
          <w:rFonts w:ascii="Times New Roman" w:hAnsi="Times New Roman"/>
          <w:color w:val="000000" w:themeColor="text1"/>
          <w:sz w:val="16"/>
          <w:szCs w:val="16"/>
        </w:rPr>
        <w:softHyphen/>
        <w:t>твия... но, пока продолжается война, нашей главной задачей может быть только быстрое совершенствование ракеты как оружия”. Кстати, тогда ра</w:t>
      </w:r>
      <w:r w:rsidRPr="00271E51">
        <w:rPr>
          <w:rFonts w:ascii="Times New Roman" w:hAnsi="Times New Roman"/>
          <w:color w:val="000000" w:themeColor="text1"/>
          <w:sz w:val="16"/>
          <w:szCs w:val="16"/>
        </w:rPr>
        <w:softHyphen/>
        <w:t>кеты не попали в цель, но немцы уте</w:t>
      </w:r>
      <w:r w:rsidRPr="00271E51">
        <w:rPr>
          <w:rFonts w:ascii="Times New Roman" w:hAnsi="Times New Roman"/>
          <w:color w:val="000000" w:themeColor="text1"/>
          <w:sz w:val="16"/>
          <w:szCs w:val="16"/>
        </w:rPr>
        <w:softHyphen/>
        <w:t>шали себя тем, что в такую большую цель, как Лондон, попасть легче (19630).</w:t>
      </w:r>
    </w:p>
    <w:p w14:paraId="1D426C1D" w14:textId="77777777" w:rsidR="00E87E3A" w:rsidRPr="00271E51" w:rsidRDefault="00E87E3A" w:rsidP="00271E51">
      <w:pPr>
        <w:spacing w:after="0" w:line="240" w:lineRule="auto"/>
        <w:jc w:val="both"/>
        <w:rPr>
          <w:rFonts w:ascii="Times New Roman" w:hAnsi="Times New Roman"/>
          <w:color w:val="000000" w:themeColor="text1"/>
          <w:sz w:val="16"/>
          <w:szCs w:val="16"/>
        </w:rPr>
      </w:pPr>
    </w:p>
    <w:p w14:paraId="183A55E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 с разрешения Гитлера на секретной конференции в Академии авиационных исследований было принято решение о наборе пилотов в «Отряд военных космонавтов». По некоторым данным, число курсантов достигало 500 человек, но после тщательного отбора сократилось до 100. Есть версия, что трое из них (в других изданиях – в каждой ракете находился один смертник) в процессе подготовки к удару по Нью-Йорку стали первыми немецкими космонавтами. Они совершили суборбитальный полет на «американской» ракете, но сами при этом погибли (11686).</w:t>
      </w:r>
    </w:p>
    <w:p w14:paraId="10FD34D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5CE0D4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Г.Арнольд, командующий USAAF отдал приказ о создании 20 бомбардировочного командования (ХХ ВС) для бомбежки Японии с использованием В-29 (1051,25).</w:t>
      </w:r>
    </w:p>
    <w:p w14:paraId="3831F1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DF1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Опубликование ЦК Польской рабочей партии программной декларации "За что мы боремся?" (7451).</w:t>
      </w:r>
    </w:p>
    <w:p w14:paraId="1F232D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C7ECC" w14:textId="77777777" w:rsidR="009F142F" w:rsidRPr="00271E51" w:rsidRDefault="009F142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течение ноября месяца 1943 авианосцы ВМС США совершили 2284 боевых вылета против островов Гилберт и Маршалловы острова, сбросив 917 тонн (917 000 кг) бомб. Сухопутные самолеты ВВС США B-24 и PB4Y-1 Liberators ВМС США совершили 259 самолето-пролетов против островов и сбросили 275 тонн (275 000 кг). В течение месяца американские авианосцы потеряли 47 самолетов в боях и 73 по другим причинам из 831, что составляет 14 процентов потерь (20376).</w:t>
      </w:r>
    </w:p>
    <w:p w14:paraId="7D293E15" w14:textId="77777777" w:rsidR="009F142F" w:rsidRPr="00271E51" w:rsidRDefault="009F142F" w:rsidP="00271E51">
      <w:pPr>
        <w:spacing w:after="0" w:line="240" w:lineRule="auto"/>
        <w:jc w:val="both"/>
        <w:rPr>
          <w:rFonts w:ascii="Times New Roman" w:hAnsi="Times New Roman"/>
          <w:color w:val="0070C0"/>
          <w:sz w:val="16"/>
          <w:szCs w:val="16"/>
        </w:rPr>
      </w:pPr>
    </w:p>
    <w:p w14:paraId="323FB400" w14:textId="77777777" w:rsidR="009F142F" w:rsidRPr="00271E51" w:rsidRDefault="009F142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течение ноября месяца 1943 Соединенные Штаты и Великобритания проводят совместные испытания на борту парохода « Дагестан» у Бриджпорта , штат Коннектикут, с целью определения ограничивающих условий для выполнения полетов вертолета с корабля, идущего в море (20376).</w:t>
      </w:r>
    </w:p>
    <w:p w14:paraId="50E92DF4" w14:textId="77777777" w:rsidR="009F142F" w:rsidRPr="00271E51" w:rsidRDefault="009F142F" w:rsidP="00271E51">
      <w:pPr>
        <w:spacing w:after="0" w:line="240" w:lineRule="auto"/>
        <w:jc w:val="both"/>
        <w:rPr>
          <w:rFonts w:ascii="Times New Roman" w:hAnsi="Times New Roman"/>
          <w:color w:val="0070C0"/>
          <w:sz w:val="16"/>
          <w:szCs w:val="16"/>
        </w:rPr>
      </w:pPr>
    </w:p>
    <w:p w14:paraId="23945D3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DC7D9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E810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ноябре-декаб</w:t>
      </w:r>
      <w:r w:rsidRPr="00271E51">
        <w:rPr>
          <w:rFonts w:ascii="Times New Roman" w:hAnsi="Times New Roman"/>
          <w:color w:val="000000" w:themeColor="text1"/>
          <w:sz w:val="16"/>
          <w:szCs w:val="16"/>
        </w:rPr>
        <w:softHyphen/>
        <w:t>ре 1943-го, когда температура наружно</w:t>
      </w:r>
      <w:r w:rsidRPr="00271E51">
        <w:rPr>
          <w:rFonts w:ascii="Times New Roman" w:hAnsi="Times New Roman"/>
          <w:color w:val="000000" w:themeColor="text1"/>
          <w:sz w:val="16"/>
          <w:szCs w:val="16"/>
        </w:rPr>
        <w:softHyphen/>
        <w:t>го воздуха упала ниже минус 10-15°С, в штурмовых авиаполках, эксплуатирующих Ил-2 с НС-37, столкнулись с массовы</w:t>
      </w:r>
      <w:r w:rsidRPr="00271E51">
        <w:rPr>
          <w:rFonts w:ascii="Times New Roman" w:hAnsi="Times New Roman"/>
          <w:color w:val="000000" w:themeColor="text1"/>
          <w:sz w:val="16"/>
          <w:szCs w:val="16"/>
        </w:rPr>
        <w:softHyphen/>
        <w:t>ми отказами этих пушек. При тщательном анализе оказалось, что гидротормоз пушки НС-37 снаряжал</w:t>
      </w:r>
      <w:r w:rsidRPr="00271E51">
        <w:rPr>
          <w:rFonts w:ascii="Times New Roman" w:hAnsi="Times New Roman"/>
          <w:color w:val="000000" w:themeColor="text1"/>
          <w:sz w:val="16"/>
          <w:szCs w:val="16"/>
        </w:rPr>
        <w:softHyphen/>
        <w:t>ся на авиазаводе водоглицериновой смесью, непригодной для работы при низкой температуре. Как всегда, поло</w:t>
      </w:r>
      <w:r w:rsidRPr="00271E51">
        <w:rPr>
          <w:rFonts w:ascii="Times New Roman" w:hAnsi="Times New Roman"/>
          <w:color w:val="000000" w:themeColor="text1"/>
          <w:sz w:val="16"/>
          <w:szCs w:val="16"/>
        </w:rPr>
        <w:softHyphen/>
        <w:t>жение спасла природная смекалка рус</w:t>
      </w:r>
      <w:r w:rsidRPr="00271E51">
        <w:rPr>
          <w:rFonts w:ascii="Times New Roman" w:hAnsi="Times New Roman"/>
          <w:color w:val="000000" w:themeColor="text1"/>
          <w:sz w:val="16"/>
          <w:szCs w:val="16"/>
        </w:rPr>
        <w:softHyphen/>
        <w:t>ского солдата. Используя опыт самолет</w:t>
      </w:r>
      <w:r w:rsidRPr="00271E51">
        <w:rPr>
          <w:rFonts w:ascii="Times New Roman" w:hAnsi="Times New Roman"/>
          <w:color w:val="000000" w:themeColor="text1"/>
          <w:sz w:val="16"/>
          <w:szCs w:val="16"/>
        </w:rPr>
        <w:softHyphen/>
        <w:t>чиков, которые применяли в гидротор</w:t>
      </w:r>
      <w:r w:rsidRPr="00271E51">
        <w:rPr>
          <w:rFonts w:ascii="Times New Roman" w:hAnsi="Times New Roman"/>
          <w:color w:val="000000" w:themeColor="text1"/>
          <w:sz w:val="16"/>
          <w:szCs w:val="16"/>
        </w:rPr>
        <w:softHyphen/>
        <w:t>мозе шасси спиртоглицериновую смесь, вооруженцы опытным путем определи</w:t>
      </w:r>
      <w:r w:rsidRPr="00271E51">
        <w:rPr>
          <w:rFonts w:ascii="Times New Roman" w:hAnsi="Times New Roman"/>
          <w:color w:val="000000" w:themeColor="text1"/>
          <w:sz w:val="16"/>
          <w:szCs w:val="16"/>
        </w:rPr>
        <w:softHyphen/>
        <w:t>ли необходимое процентное соотноше</w:t>
      </w:r>
      <w:r w:rsidRPr="00271E51">
        <w:rPr>
          <w:rFonts w:ascii="Times New Roman" w:hAnsi="Times New Roman"/>
          <w:color w:val="000000" w:themeColor="text1"/>
          <w:sz w:val="16"/>
          <w:szCs w:val="16"/>
        </w:rPr>
        <w:softHyphen/>
        <w:t>ние спирта и глицерина в аналогичной смеси для пушки. Работа автоматики пушки и величина отката проверялась путем отстрела на земле при различ</w:t>
      </w:r>
      <w:r w:rsidRPr="00271E51">
        <w:rPr>
          <w:rFonts w:ascii="Times New Roman" w:hAnsi="Times New Roman"/>
          <w:color w:val="000000" w:themeColor="text1"/>
          <w:sz w:val="16"/>
          <w:szCs w:val="16"/>
        </w:rPr>
        <w:softHyphen/>
        <w:t>ном соотношении спирта и глицерина. Оказалось, что пушка уложилась в тре</w:t>
      </w:r>
      <w:r w:rsidRPr="00271E51">
        <w:rPr>
          <w:rFonts w:ascii="Times New Roman" w:hAnsi="Times New Roman"/>
          <w:color w:val="000000" w:themeColor="text1"/>
          <w:sz w:val="16"/>
          <w:szCs w:val="16"/>
        </w:rPr>
        <w:softHyphen/>
        <w:t>буемые параметры и начала безотказ</w:t>
      </w:r>
      <w:r w:rsidRPr="00271E51">
        <w:rPr>
          <w:rFonts w:ascii="Times New Roman" w:hAnsi="Times New Roman"/>
          <w:color w:val="000000" w:themeColor="text1"/>
          <w:sz w:val="16"/>
          <w:szCs w:val="16"/>
        </w:rPr>
        <w:softHyphen/>
        <w:t>но работать при составе смеси 90% спирта и 10% глицерина. По сути, это практически чистый спирт. После заме</w:t>
      </w:r>
      <w:r w:rsidRPr="00271E51">
        <w:rPr>
          <w:rFonts w:ascii="Times New Roman" w:hAnsi="Times New Roman"/>
          <w:color w:val="000000" w:themeColor="text1"/>
          <w:sz w:val="16"/>
          <w:szCs w:val="16"/>
        </w:rPr>
        <w:softHyphen/>
        <w:t>ны в гидротормозах пушек заводской смеси на спиртоглицериновую, Ил-2 с НС-37 стали успешно вылетать на бое</w:t>
      </w:r>
      <w:r w:rsidRPr="00271E51">
        <w:rPr>
          <w:rFonts w:ascii="Times New Roman" w:hAnsi="Times New Roman"/>
          <w:color w:val="000000" w:themeColor="text1"/>
          <w:sz w:val="16"/>
          <w:szCs w:val="16"/>
        </w:rPr>
        <w:softHyphen/>
        <w:t>вые задания. Указания Главного инже</w:t>
      </w:r>
      <w:r w:rsidRPr="00271E51">
        <w:rPr>
          <w:rFonts w:ascii="Times New Roman" w:hAnsi="Times New Roman"/>
          <w:color w:val="000000" w:themeColor="text1"/>
          <w:sz w:val="16"/>
          <w:szCs w:val="16"/>
        </w:rPr>
        <w:softHyphen/>
        <w:t>нера ВВС КА генерала А.И.Репина о при</w:t>
      </w:r>
      <w:r w:rsidRPr="00271E51">
        <w:rPr>
          <w:rFonts w:ascii="Times New Roman" w:hAnsi="Times New Roman"/>
          <w:color w:val="000000" w:themeColor="text1"/>
          <w:sz w:val="16"/>
          <w:szCs w:val="16"/>
        </w:rPr>
        <w:softHyphen/>
        <w:t>менении в гидротормозах НС-37 керо</w:t>
      </w:r>
      <w:r w:rsidRPr="00271E51">
        <w:rPr>
          <w:rFonts w:ascii="Times New Roman" w:hAnsi="Times New Roman"/>
          <w:color w:val="000000" w:themeColor="text1"/>
          <w:sz w:val="16"/>
          <w:szCs w:val="16"/>
        </w:rPr>
        <w:softHyphen/>
        <w:t>сина было разослано в части значитель</w:t>
      </w:r>
      <w:r w:rsidRPr="00271E51">
        <w:rPr>
          <w:rFonts w:ascii="Times New Roman" w:hAnsi="Times New Roman"/>
          <w:color w:val="000000" w:themeColor="text1"/>
          <w:sz w:val="16"/>
          <w:szCs w:val="16"/>
        </w:rPr>
        <w:softHyphen/>
        <w:t>но позже - летом 1944 г.</w:t>
      </w:r>
    </w:p>
    <w:p w14:paraId="4FD95A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вынужденное использо</w:t>
      </w:r>
      <w:r w:rsidRPr="00271E51">
        <w:rPr>
          <w:rFonts w:ascii="Times New Roman" w:hAnsi="Times New Roman"/>
          <w:color w:val="000000" w:themeColor="text1"/>
          <w:sz w:val="16"/>
          <w:szCs w:val="16"/>
        </w:rPr>
        <w:softHyphen/>
        <w:t>вание спиртовой смеси в пушках НС-37 приводило и к известным заботам ком</w:t>
      </w:r>
      <w:r w:rsidRPr="00271E51">
        <w:rPr>
          <w:rFonts w:ascii="Times New Roman" w:hAnsi="Times New Roman"/>
          <w:color w:val="000000" w:themeColor="text1"/>
          <w:sz w:val="16"/>
          <w:szCs w:val="16"/>
        </w:rPr>
        <w:softHyphen/>
        <w:t>состава полков по обеспечению контро</w:t>
      </w:r>
      <w:r w:rsidRPr="00271E51">
        <w:rPr>
          <w:rFonts w:ascii="Times New Roman" w:hAnsi="Times New Roman"/>
          <w:color w:val="000000" w:themeColor="text1"/>
          <w:sz w:val="16"/>
          <w:szCs w:val="16"/>
        </w:rPr>
        <w:softHyphen/>
        <w:t>ля за применением смеси по назначе</w:t>
      </w:r>
      <w:r w:rsidRPr="00271E51">
        <w:rPr>
          <w:rFonts w:ascii="Times New Roman" w:hAnsi="Times New Roman"/>
          <w:color w:val="000000" w:themeColor="text1"/>
          <w:sz w:val="16"/>
          <w:szCs w:val="16"/>
        </w:rPr>
        <w:softHyphen/>
        <w:t>нию. Естественно, это не всегда удавалось...(6467).</w:t>
      </w:r>
    </w:p>
    <w:p w14:paraId="6069D6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DFDCF" w14:textId="77777777" w:rsidR="009F142F" w:rsidRPr="00271E51" w:rsidRDefault="009F142F"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 ноябре-декабре 1943, пытаясь выбраться из моторного «ту</w:t>
      </w:r>
      <w:r w:rsidRPr="00271E51">
        <w:rPr>
          <w:rFonts w:ascii="Times New Roman" w:hAnsi="Times New Roman" w:cs="Times New Roman"/>
          <w:color w:val="0070C0"/>
          <w:sz w:val="16"/>
          <w:szCs w:val="16"/>
        </w:rPr>
        <w:softHyphen/>
        <w:t>пика», Сухой проектирует на базе Су-6 М-71ф штурмовик Су-6 с серийным мо</w:t>
      </w:r>
      <w:r w:rsidRPr="00271E51">
        <w:rPr>
          <w:rFonts w:ascii="Times New Roman" w:hAnsi="Times New Roman" w:cs="Times New Roman"/>
          <w:color w:val="0070C0"/>
          <w:sz w:val="16"/>
          <w:szCs w:val="16"/>
        </w:rPr>
        <w:softHyphen/>
        <w:t>тором М-82фн. По расчетам получалось, что при использовании на двухмест</w:t>
      </w:r>
      <w:r w:rsidRPr="00271E51">
        <w:rPr>
          <w:rFonts w:ascii="Times New Roman" w:hAnsi="Times New Roman" w:cs="Times New Roman"/>
          <w:color w:val="0070C0"/>
          <w:sz w:val="16"/>
          <w:szCs w:val="16"/>
        </w:rPr>
        <w:softHyphen/>
        <w:t>ном штурмовике Су-6 вместо М-71ф мо</w:t>
      </w:r>
      <w:r w:rsidRPr="00271E51">
        <w:rPr>
          <w:rFonts w:ascii="Times New Roman" w:hAnsi="Times New Roman" w:cs="Times New Roman"/>
          <w:color w:val="0070C0"/>
          <w:sz w:val="16"/>
          <w:szCs w:val="16"/>
        </w:rPr>
        <w:softHyphen/>
        <w:t>тора М-82фн можно было получить мак</w:t>
      </w:r>
      <w:r w:rsidRPr="00271E51">
        <w:rPr>
          <w:rFonts w:ascii="Times New Roman" w:hAnsi="Times New Roman" w:cs="Times New Roman"/>
          <w:color w:val="0070C0"/>
          <w:sz w:val="16"/>
          <w:szCs w:val="16"/>
        </w:rPr>
        <w:softHyphen/>
        <w:t>симальную скорость полета у земли около 415 км/ч и 435 км/ч на форсаже. Хотя это и лучше, чем у Ил-2 АМ-38ф, но не на</w:t>
      </w:r>
      <w:r w:rsidRPr="00271E51">
        <w:rPr>
          <w:rFonts w:ascii="Times New Roman" w:hAnsi="Times New Roman" w:cs="Times New Roman"/>
          <w:color w:val="0070C0"/>
          <w:sz w:val="16"/>
          <w:szCs w:val="16"/>
        </w:rPr>
        <w:softHyphen/>
        <w:t>столько, чтобы кардинально изменить си</w:t>
      </w:r>
      <w:r w:rsidRPr="00271E51">
        <w:rPr>
          <w:rFonts w:ascii="Times New Roman" w:hAnsi="Times New Roman" w:cs="Times New Roman"/>
          <w:color w:val="0070C0"/>
          <w:sz w:val="16"/>
          <w:szCs w:val="16"/>
        </w:rPr>
        <w:softHyphen/>
        <w:t>туацию. В результате Су-6 с «восемьдесят вторым» мотором так и остался на бумаге (19853).</w:t>
      </w:r>
    </w:p>
    <w:p w14:paraId="57CEF1FF" w14:textId="77777777" w:rsidR="009F142F" w:rsidRPr="00271E51" w:rsidRDefault="009F142F" w:rsidP="00271E51">
      <w:pPr>
        <w:spacing w:after="0" w:line="240" w:lineRule="auto"/>
        <w:jc w:val="both"/>
        <w:rPr>
          <w:rFonts w:ascii="Times New Roman" w:hAnsi="Times New Roman"/>
          <w:color w:val="0070C0"/>
          <w:sz w:val="16"/>
          <w:szCs w:val="16"/>
        </w:rPr>
      </w:pPr>
    </w:p>
    <w:p w14:paraId="57598B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ноября-декабря 1943 года на самолете Су-8 проводилась отработка ВМГ, шасси, тормозов, закрылков и других систем. По ре</w:t>
      </w:r>
      <w:r w:rsidRPr="00271E51">
        <w:rPr>
          <w:rFonts w:ascii="Times New Roman" w:hAnsi="Times New Roman"/>
          <w:color w:val="000000" w:themeColor="text1"/>
          <w:sz w:val="16"/>
          <w:szCs w:val="16"/>
        </w:rPr>
        <w:softHyphen/>
        <w:t>зультатам статиспытаний подверг</w:t>
      </w:r>
      <w:r w:rsidRPr="00271E51">
        <w:rPr>
          <w:rFonts w:ascii="Times New Roman" w:hAnsi="Times New Roman"/>
          <w:color w:val="000000" w:themeColor="text1"/>
          <w:sz w:val="16"/>
          <w:szCs w:val="16"/>
        </w:rPr>
        <w:softHyphen/>
        <w:t>лась усилению хвостовая часть фюзеляжа (11853).</w:t>
      </w:r>
    </w:p>
    <w:p w14:paraId="214521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1BD86" w14:textId="77777777" w:rsidR="005E29C5"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D70C214" w14:textId="77777777" w:rsidR="005E29C5" w:rsidRPr="00271E51" w:rsidRDefault="005E29C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2519A" w14:textId="77777777" w:rsidR="005E29C5" w:rsidRPr="00271E51" w:rsidRDefault="005E29C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 феврале 1944 гг. состоялось несколько встреч советских нефтяников с американскими специали</w:t>
      </w:r>
      <w:r w:rsidRPr="00271E51">
        <w:rPr>
          <w:rFonts w:ascii="Times New Roman" w:hAnsi="Times New Roman"/>
          <w:color w:val="000000" w:themeColor="text1"/>
          <w:sz w:val="16"/>
          <w:szCs w:val="16"/>
        </w:rPr>
        <w:softHyphen/>
        <w:t>стами фирмы «Баджер», на них были заданы сотни вопросов об американ</w:t>
      </w:r>
      <w:r w:rsidRPr="00271E51">
        <w:rPr>
          <w:rFonts w:ascii="Times New Roman" w:hAnsi="Times New Roman"/>
          <w:color w:val="000000" w:themeColor="text1"/>
          <w:sz w:val="16"/>
          <w:szCs w:val="16"/>
        </w:rPr>
        <w:softHyphen/>
        <w:t>ском оборудовании для нефтеперера</w:t>
      </w:r>
      <w:r w:rsidRPr="00271E51">
        <w:rPr>
          <w:rFonts w:ascii="Times New Roman" w:hAnsi="Times New Roman"/>
          <w:color w:val="000000" w:themeColor="text1"/>
          <w:sz w:val="16"/>
          <w:szCs w:val="16"/>
        </w:rPr>
        <w:softHyphen/>
        <w:t>батывающих заводов, строительство которых должно было начаться в СССР. Почти на все вопросы были по</w:t>
      </w:r>
      <w:r w:rsidRPr="00271E51">
        <w:rPr>
          <w:rFonts w:ascii="Times New Roman" w:hAnsi="Times New Roman"/>
          <w:color w:val="000000" w:themeColor="text1"/>
          <w:sz w:val="16"/>
          <w:szCs w:val="16"/>
        </w:rPr>
        <w:softHyphen/>
        <w:t>лучены исчерпывающие ответы. В начале 1944 г. в Гурьеве постоянно работали четыре американских спе</w:t>
      </w:r>
      <w:r w:rsidRPr="00271E51">
        <w:rPr>
          <w:rFonts w:ascii="Times New Roman" w:hAnsi="Times New Roman"/>
          <w:color w:val="000000" w:themeColor="text1"/>
          <w:sz w:val="16"/>
          <w:szCs w:val="16"/>
        </w:rPr>
        <w:softHyphen/>
        <w:t>циалиста (Формель, Фуллер, Фостер и Кросби), в Куйбышеве — 7 человек, как отмечалось в отчете фирмы «Баджер», «это больше, чем требует</w:t>
      </w:r>
      <w:r w:rsidRPr="00271E51">
        <w:rPr>
          <w:rFonts w:ascii="Times New Roman" w:hAnsi="Times New Roman"/>
          <w:color w:val="000000" w:themeColor="text1"/>
          <w:sz w:val="16"/>
          <w:szCs w:val="16"/>
        </w:rPr>
        <w:softHyphen/>
        <w:t>ся». Советские специалисты направля</w:t>
      </w:r>
      <w:r w:rsidRPr="00271E51">
        <w:rPr>
          <w:rFonts w:ascii="Times New Roman" w:hAnsi="Times New Roman"/>
          <w:color w:val="000000" w:themeColor="text1"/>
          <w:sz w:val="16"/>
          <w:szCs w:val="16"/>
        </w:rPr>
        <w:softHyphen/>
        <w:t>лись в США. В феврале 1944 г. американский специалист Мак-Карди признавал: «За</w:t>
      </w:r>
      <w:r w:rsidRPr="00271E51">
        <w:rPr>
          <w:rFonts w:ascii="Times New Roman" w:hAnsi="Times New Roman"/>
          <w:color w:val="000000" w:themeColor="text1"/>
          <w:sz w:val="16"/>
          <w:szCs w:val="16"/>
        </w:rPr>
        <w:softHyphen/>
        <w:t>вод №1 (в Гурьеве), хотя стро</w:t>
      </w:r>
      <w:r w:rsidRPr="00271E51">
        <w:rPr>
          <w:rFonts w:ascii="Times New Roman" w:hAnsi="Times New Roman"/>
          <w:color w:val="000000" w:themeColor="text1"/>
          <w:sz w:val="16"/>
          <w:szCs w:val="16"/>
        </w:rPr>
        <w:softHyphen/>
        <w:t>ительные работы там только что нача</w:t>
      </w:r>
      <w:r w:rsidRPr="00271E51">
        <w:rPr>
          <w:rFonts w:ascii="Times New Roman" w:hAnsi="Times New Roman"/>
          <w:color w:val="000000" w:themeColor="text1"/>
          <w:sz w:val="16"/>
          <w:szCs w:val="16"/>
        </w:rPr>
        <w:softHyphen/>
        <w:t>лись, произвел очень хорошее впечатление. Планирование и проведе</w:t>
      </w:r>
      <w:r w:rsidRPr="00271E51">
        <w:rPr>
          <w:rFonts w:ascii="Times New Roman" w:hAnsi="Times New Roman"/>
          <w:color w:val="000000" w:themeColor="text1"/>
          <w:sz w:val="16"/>
          <w:szCs w:val="16"/>
        </w:rPr>
        <w:softHyphen/>
        <w:t>ние предварительных работ, таких как строительство дорог, ж.д. веток, рабо</w:t>
      </w:r>
      <w:r w:rsidRPr="00271E51">
        <w:rPr>
          <w:rFonts w:ascii="Times New Roman" w:hAnsi="Times New Roman"/>
          <w:color w:val="000000" w:themeColor="text1"/>
          <w:sz w:val="16"/>
          <w:szCs w:val="16"/>
        </w:rPr>
        <w:softHyphen/>
        <w:t>чих поселков и т.д., было очень хоро</w:t>
      </w:r>
      <w:r w:rsidRPr="00271E51">
        <w:rPr>
          <w:rFonts w:ascii="Times New Roman" w:hAnsi="Times New Roman"/>
          <w:color w:val="000000" w:themeColor="text1"/>
          <w:sz w:val="16"/>
          <w:szCs w:val="16"/>
        </w:rPr>
        <w:softHyphen/>
        <w:t>шо выполнено. Стоит специально отме</w:t>
      </w:r>
      <w:r w:rsidRPr="00271E51">
        <w:rPr>
          <w:rFonts w:ascii="Times New Roman" w:hAnsi="Times New Roman"/>
          <w:color w:val="000000" w:themeColor="text1"/>
          <w:sz w:val="16"/>
          <w:szCs w:val="16"/>
        </w:rPr>
        <w:softHyphen/>
        <w:t>тить прекрасное обращение с материалом и оборудованием... Мате</w:t>
      </w:r>
      <w:r w:rsidRPr="00271E51">
        <w:rPr>
          <w:rFonts w:ascii="Times New Roman" w:hAnsi="Times New Roman"/>
          <w:color w:val="000000" w:themeColor="text1"/>
          <w:sz w:val="16"/>
          <w:szCs w:val="16"/>
        </w:rPr>
        <w:softHyphen/>
        <w:t>риал и оборудование содержатся в прекрасном порядке и заботятся о нем больше, чем на какой-либо работе, ка</w:t>
      </w:r>
      <w:r w:rsidRPr="00271E51">
        <w:rPr>
          <w:rFonts w:ascii="Times New Roman" w:hAnsi="Times New Roman"/>
          <w:color w:val="000000" w:themeColor="text1"/>
          <w:sz w:val="16"/>
          <w:szCs w:val="16"/>
        </w:rPr>
        <w:softHyphen/>
        <w:t>кие мне приходилось до сих пор ви</w:t>
      </w:r>
      <w:r w:rsidRPr="00271E51">
        <w:rPr>
          <w:rFonts w:ascii="Times New Roman" w:hAnsi="Times New Roman"/>
          <w:color w:val="000000" w:themeColor="text1"/>
          <w:sz w:val="16"/>
          <w:szCs w:val="16"/>
        </w:rPr>
        <w:softHyphen/>
        <w:t>деть». В апреле — мае 1944 г. американ</w:t>
      </w:r>
      <w:r w:rsidRPr="00271E51">
        <w:rPr>
          <w:rFonts w:ascii="Times New Roman" w:hAnsi="Times New Roman"/>
          <w:color w:val="000000" w:themeColor="text1"/>
          <w:sz w:val="16"/>
          <w:szCs w:val="16"/>
        </w:rPr>
        <w:softHyphen/>
        <w:t>ские специалисты посетили Куйбышев, Орск и Гурьев, где в это время монти</w:t>
      </w:r>
      <w:r w:rsidRPr="00271E51">
        <w:rPr>
          <w:rFonts w:ascii="Times New Roman" w:hAnsi="Times New Roman"/>
          <w:color w:val="000000" w:themeColor="text1"/>
          <w:sz w:val="16"/>
          <w:szCs w:val="16"/>
        </w:rPr>
        <w:softHyphen/>
        <w:t>ровалось американское оборудование на строившихся НПЗ. Первое, что они были вынуждены признать, это неком</w:t>
      </w:r>
      <w:r w:rsidRPr="00271E51">
        <w:rPr>
          <w:rFonts w:ascii="Times New Roman" w:hAnsi="Times New Roman"/>
          <w:color w:val="000000" w:themeColor="text1"/>
          <w:sz w:val="16"/>
          <w:szCs w:val="16"/>
        </w:rPr>
        <w:softHyphen/>
        <w:t>плектность поставок оборудования, что замедляло темпы работ. Часть матери</w:t>
      </w:r>
      <w:r w:rsidRPr="00271E51">
        <w:rPr>
          <w:rFonts w:ascii="Times New Roman" w:hAnsi="Times New Roman"/>
          <w:color w:val="000000" w:themeColor="text1"/>
          <w:sz w:val="16"/>
          <w:szCs w:val="16"/>
        </w:rPr>
        <w:softHyphen/>
        <w:t>алов не была вовремя получена из США, некоторые другие — советской стороной ошибочно направлены не на те заводы, для которых они предна</w:t>
      </w:r>
      <w:r w:rsidRPr="00271E51">
        <w:rPr>
          <w:rFonts w:ascii="Times New Roman" w:hAnsi="Times New Roman"/>
          <w:color w:val="000000" w:themeColor="text1"/>
          <w:sz w:val="16"/>
          <w:szCs w:val="16"/>
        </w:rPr>
        <w:softHyphen/>
        <w:t>значались. 8 июля 1944 г. руководитель группы американских инженеров компании «Баджер» в СССР Р. Мак-Карди в сво</w:t>
      </w:r>
      <w:r w:rsidRPr="00271E51">
        <w:rPr>
          <w:rFonts w:ascii="Times New Roman" w:hAnsi="Times New Roman"/>
          <w:color w:val="000000" w:themeColor="text1"/>
          <w:sz w:val="16"/>
          <w:szCs w:val="16"/>
        </w:rPr>
        <w:softHyphen/>
        <w:t>ем отчете отмечал: «Как и прежде, ра</w:t>
      </w:r>
      <w:r w:rsidRPr="00271E51">
        <w:rPr>
          <w:rFonts w:ascii="Times New Roman" w:hAnsi="Times New Roman"/>
          <w:color w:val="000000" w:themeColor="text1"/>
          <w:sz w:val="16"/>
          <w:szCs w:val="16"/>
        </w:rPr>
        <w:softHyphen/>
        <w:t>бота на всех заводах, независимо от состояния готовности, тормозится от</w:t>
      </w:r>
      <w:r w:rsidRPr="00271E51">
        <w:rPr>
          <w:rFonts w:ascii="Times New Roman" w:hAnsi="Times New Roman"/>
          <w:color w:val="000000" w:themeColor="text1"/>
          <w:sz w:val="16"/>
          <w:szCs w:val="16"/>
        </w:rPr>
        <w:softHyphen/>
        <w:t>сутствием оборудования, не пришедше</w:t>
      </w:r>
      <w:r w:rsidRPr="00271E51">
        <w:rPr>
          <w:rFonts w:ascii="Times New Roman" w:hAnsi="Times New Roman"/>
          <w:color w:val="000000" w:themeColor="text1"/>
          <w:sz w:val="16"/>
          <w:szCs w:val="16"/>
        </w:rPr>
        <w:softHyphen/>
        <w:t>го прошлой зимой». Возникали различ</w:t>
      </w:r>
      <w:r w:rsidRPr="00271E51">
        <w:rPr>
          <w:rFonts w:ascii="Times New Roman" w:hAnsi="Times New Roman"/>
          <w:color w:val="000000" w:themeColor="text1"/>
          <w:sz w:val="16"/>
          <w:szCs w:val="16"/>
        </w:rPr>
        <w:softHyphen/>
        <w:t>ные накладки и недоразумения, что вполне естественно при таком объеме работ и атмосфере «гонки». В конце 1944 г. американская фирма «Буффало Газолин Мотор Ко» ошибоч</w:t>
      </w:r>
      <w:r w:rsidRPr="00271E51">
        <w:rPr>
          <w:rFonts w:ascii="Times New Roman" w:hAnsi="Times New Roman"/>
          <w:color w:val="000000" w:themeColor="text1"/>
          <w:sz w:val="16"/>
          <w:szCs w:val="16"/>
        </w:rPr>
        <w:softHyphen/>
        <w:t>но поставила трансформаторы к выпря</w:t>
      </w:r>
      <w:r w:rsidRPr="00271E51">
        <w:rPr>
          <w:rFonts w:ascii="Times New Roman" w:hAnsi="Times New Roman"/>
          <w:color w:val="000000" w:themeColor="text1"/>
          <w:sz w:val="16"/>
          <w:szCs w:val="16"/>
        </w:rPr>
        <w:softHyphen/>
        <w:t>мителям на водозаборные станции мощностью 250 ватт, вместо необходи</w:t>
      </w:r>
      <w:r w:rsidRPr="00271E51">
        <w:rPr>
          <w:rFonts w:ascii="Times New Roman" w:hAnsi="Times New Roman"/>
          <w:color w:val="000000" w:themeColor="text1"/>
          <w:sz w:val="16"/>
          <w:szCs w:val="16"/>
        </w:rPr>
        <w:softHyphen/>
        <w:t>мых в 500 ватт. В ответ на запрос со</w:t>
      </w:r>
      <w:r w:rsidRPr="00271E51">
        <w:rPr>
          <w:rFonts w:ascii="Times New Roman" w:hAnsi="Times New Roman"/>
          <w:color w:val="000000" w:themeColor="text1"/>
          <w:sz w:val="16"/>
          <w:szCs w:val="16"/>
        </w:rPr>
        <w:softHyphen/>
        <w:t>ветской стороны американская фирма посетовала, что именно такие транс</w:t>
      </w:r>
      <w:r w:rsidRPr="00271E51">
        <w:rPr>
          <w:rFonts w:ascii="Times New Roman" w:hAnsi="Times New Roman"/>
          <w:color w:val="000000" w:themeColor="text1"/>
          <w:sz w:val="16"/>
          <w:szCs w:val="16"/>
        </w:rPr>
        <w:softHyphen/>
        <w:t>форматоры были ошибочно пореко</w:t>
      </w:r>
      <w:r w:rsidRPr="00271E51">
        <w:rPr>
          <w:rFonts w:ascii="Times New Roman" w:hAnsi="Times New Roman"/>
          <w:color w:val="000000" w:themeColor="text1"/>
          <w:sz w:val="16"/>
          <w:szCs w:val="16"/>
        </w:rPr>
        <w:softHyphen/>
        <w:t>мендованы компанией «Дженерал Мо</w:t>
      </w:r>
      <w:r w:rsidRPr="00271E51">
        <w:rPr>
          <w:rFonts w:ascii="Times New Roman" w:hAnsi="Times New Roman"/>
          <w:color w:val="000000" w:themeColor="text1"/>
          <w:sz w:val="16"/>
          <w:szCs w:val="16"/>
        </w:rPr>
        <w:softHyphen/>
        <w:t>торс». 10 октября 1944 г. было принято со</w:t>
      </w:r>
      <w:r w:rsidRPr="00271E51">
        <w:rPr>
          <w:rFonts w:ascii="Times New Roman" w:hAnsi="Times New Roman"/>
          <w:color w:val="000000" w:themeColor="text1"/>
          <w:sz w:val="16"/>
          <w:szCs w:val="16"/>
        </w:rPr>
        <w:softHyphen/>
        <w:t>вершенно секретное постановление ГКО «О мерах по ускорению строитель</w:t>
      </w:r>
      <w:r w:rsidRPr="00271E51">
        <w:rPr>
          <w:rFonts w:ascii="Times New Roman" w:hAnsi="Times New Roman"/>
          <w:color w:val="000000" w:themeColor="text1"/>
          <w:sz w:val="16"/>
          <w:szCs w:val="16"/>
        </w:rPr>
        <w:softHyphen/>
        <w:t>ства нефтеперерабатывающих заводов №441 и 443». В связи с задержкой по</w:t>
      </w:r>
      <w:r w:rsidRPr="00271E51">
        <w:rPr>
          <w:rFonts w:ascii="Times New Roman" w:hAnsi="Times New Roman"/>
          <w:color w:val="000000" w:themeColor="text1"/>
          <w:sz w:val="16"/>
          <w:szCs w:val="16"/>
        </w:rPr>
        <w:softHyphen/>
        <w:t>ступлений импортного оборудования было решено перенести срок ввода в эксплуатацию заводов в Гурьеве и Куй</w:t>
      </w:r>
      <w:r w:rsidRPr="00271E51">
        <w:rPr>
          <w:rFonts w:ascii="Times New Roman" w:hAnsi="Times New Roman"/>
          <w:color w:val="000000" w:themeColor="text1"/>
          <w:sz w:val="16"/>
          <w:szCs w:val="16"/>
        </w:rPr>
        <w:softHyphen/>
        <w:t>бышеве на первый квартал 1945 г.Советским специалистам приходи</w:t>
      </w:r>
      <w:r w:rsidRPr="00271E51">
        <w:rPr>
          <w:rFonts w:ascii="Times New Roman" w:hAnsi="Times New Roman"/>
          <w:color w:val="000000" w:themeColor="text1"/>
          <w:sz w:val="16"/>
          <w:szCs w:val="16"/>
        </w:rPr>
        <w:softHyphen/>
        <w:t>лось выполнять работы, с которыми они раньше не сталкивались. В 1944 г. на строительстве завода № 441 (где монтаж велся силами НКВД) был впер</w:t>
      </w:r>
      <w:r w:rsidRPr="00271E51">
        <w:rPr>
          <w:rFonts w:ascii="Times New Roman" w:hAnsi="Times New Roman"/>
          <w:color w:val="000000" w:themeColor="text1"/>
          <w:sz w:val="16"/>
          <w:szCs w:val="16"/>
        </w:rPr>
        <w:softHyphen/>
        <w:t>вые осуществлен монтаж импортного оборудования  (сферического).  Вскоре наркомом отрасли было принято реше</w:t>
      </w:r>
      <w:r w:rsidRPr="00271E51">
        <w:rPr>
          <w:rFonts w:ascii="Times New Roman" w:hAnsi="Times New Roman"/>
          <w:color w:val="000000" w:themeColor="text1"/>
          <w:sz w:val="16"/>
          <w:szCs w:val="16"/>
        </w:rPr>
        <w:softHyphen/>
        <w:t>ние издать брошюру «Опыт монтажа сферических резервуаров», освещаю</w:t>
      </w:r>
      <w:r w:rsidRPr="00271E51">
        <w:rPr>
          <w:rFonts w:ascii="Times New Roman" w:hAnsi="Times New Roman"/>
          <w:color w:val="000000" w:themeColor="text1"/>
          <w:sz w:val="16"/>
          <w:szCs w:val="16"/>
        </w:rPr>
        <w:softHyphen/>
        <w:t>щую опыт монтажа импортных нефте</w:t>
      </w:r>
      <w:r w:rsidRPr="00271E51">
        <w:rPr>
          <w:rFonts w:ascii="Times New Roman" w:hAnsi="Times New Roman"/>
          <w:color w:val="000000" w:themeColor="text1"/>
          <w:sz w:val="16"/>
          <w:szCs w:val="16"/>
        </w:rPr>
        <w:softHyphen/>
        <w:t>перегонных заводов.По оценке американских экспертов, на 25 января 1945 г. строительные ра</w:t>
      </w:r>
      <w:r w:rsidRPr="00271E51">
        <w:rPr>
          <w:rFonts w:ascii="Times New Roman" w:hAnsi="Times New Roman"/>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271E51">
        <w:rPr>
          <w:rFonts w:ascii="Times New Roman" w:hAnsi="Times New Roman"/>
          <w:color w:val="000000" w:themeColor="text1"/>
          <w:sz w:val="16"/>
          <w:szCs w:val="16"/>
        </w:rPr>
        <w:softHyphen/>
        <w:t>товности заводов составлял: завод №1 69%, №2 - 16%, №3 - 72%, №4 41%.Поставки из США продолжались ле</w:t>
      </w:r>
      <w:r w:rsidRPr="00271E51">
        <w:rPr>
          <w:rFonts w:ascii="Times New Roman" w:hAnsi="Times New Roman"/>
          <w:color w:val="000000" w:themeColor="text1"/>
          <w:sz w:val="16"/>
          <w:szCs w:val="16"/>
        </w:rPr>
        <w:softHyphen/>
        <w:t>том 1945 г. 18 июня 1945 г. фирма «Ба-джер» сообщает зам. наркома нефтя</w:t>
      </w:r>
      <w:r w:rsidRPr="00271E51">
        <w:rPr>
          <w:rFonts w:ascii="Times New Roman" w:hAnsi="Times New Roman"/>
          <w:color w:val="000000" w:themeColor="text1"/>
          <w:sz w:val="16"/>
          <w:szCs w:val="16"/>
        </w:rPr>
        <w:softHyphen/>
        <w:t>ной промышленности Чекрыжеву, что воздушные фильтры для турбокомпрес</w:t>
      </w:r>
      <w:r w:rsidRPr="00271E51">
        <w:rPr>
          <w:rFonts w:ascii="Times New Roman" w:hAnsi="Times New Roman"/>
          <w:color w:val="000000" w:themeColor="text1"/>
          <w:sz w:val="16"/>
          <w:szCs w:val="16"/>
        </w:rPr>
        <w:softHyphen/>
        <w:t>соров «Гудри», а также масло для фильтров были отправлены двумя па</w:t>
      </w:r>
      <w:r w:rsidRPr="00271E51">
        <w:rPr>
          <w:rFonts w:ascii="Times New Roman" w:hAnsi="Times New Roman"/>
          <w:color w:val="000000" w:themeColor="text1"/>
          <w:sz w:val="16"/>
          <w:szCs w:val="16"/>
        </w:rPr>
        <w:softHyphen/>
        <w:t>роходами и «Отдел Снабжения Амери</w:t>
      </w:r>
      <w:r w:rsidRPr="00271E51">
        <w:rPr>
          <w:rFonts w:ascii="Times New Roman" w:hAnsi="Times New Roman"/>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271E51">
        <w:rPr>
          <w:rFonts w:ascii="Times New Roman" w:hAnsi="Times New Roman"/>
          <w:color w:val="000000" w:themeColor="text1"/>
          <w:sz w:val="16"/>
          <w:szCs w:val="16"/>
        </w:rPr>
        <w:softHyphen/>
        <w:t>тического крекинга «Гудри» был получен в Куйбышеве на заводе №443 8 сентября 1945 г. Позже было завер</w:t>
      </w:r>
      <w:r w:rsidRPr="00271E51">
        <w:rPr>
          <w:rFonts w:ascii="Times New Roman" w:hAnsi="Times New Roman"/>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271E51">
        <w:rPr>
          <w:rFonts w:ascii="Times New Roman" w:hAnsi="Times New Roman"/>
          <w:color w:val="000000" w:themeColor="text1"/>
          <w:sz w:val="16"/>
          <w:szCs w:val="16"/>
        </w:rPr>
        <w:softHyphen/>
        <w:t>ние, в том числе от фирм «Джонсон» и «Хенди».Отношения между СССР с США ста</w:t>
      </w:r>
      <w:r w:rsidRPr="00271E51">
        <w:rPr>
          <w:rFonts w:ascii="Times New Roman" w:hAnsi="Times New Roman"/>
          <w:color w:val="000000" w:themeColor="text1"/>
          <w:sz w:val="16"/>
          <w:szCs w:val="16"/>
        </w:rPr>
        <w:softHyphen/>
        <w:t>ли быстро ухудшаться, и это чувствова</w:t>
      </w:r>
      <w:r w:rsidRPr="00271E51">
        <w:rPr>
          <w:rFonts w:ascii="Times New Roman" w:hAnsi="Times New Roman"/>
          <w:color w:val="000000" w:themeColor="text1"/>
          <w:sz w:val="16"/>
          <w:szCs w:val="16"/>
        </w:rPr>
        <w:softHyphen/>
        <w:t>лось по переговорам о поставках обо</w:t>
      </w:r>
      <w:r w:rsidRPr="00271E51">
        <w:rPr>
          <w:rFonts w:ascii="Times New Roman" w:hAnsi="Times New Roman"/>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271E51">
        <w:rPr>
          <w:rFonts w:ascii="Times New Roman" w:hAnsi="Times New Roman"/>
          <w:color w:val="000000" w:themeColor="text1"/>
          <w:sz w:val="16"/>
          <w:szCs w:val="16"/>
        </w:rPr>
        <w:softHyphen/>
        <w:t>ме «Баджер» участвовать в строитель</w:t>
      </w:r>
      <w:r w:rsidRPr="00271E51">
        <w:rPr>
          <w:rFonts w:ascii="Times New Roman" w:hAnsi="Times New Roman"/>
          <w:color w:val="000000" w:themeColor="text1"/>
          <w:sz w:val="16"/>
          <w:szCs w:val="16"/>
        </w:rPr>
        <w:softHyphen/>
        <w:t>стве второй очереди заводов №3 и 4. Ответ американской стороны, сделан</w:t>
      </w:r>
      <w:r w:rsidRPr="00271E51">
        <w:rPr>
          <w:rFonts w:ascii="Times New Roman" w:hAnsi="Times New Roman"/>
          <w:color w:val="000000" w:themeColor="text1"/>
          <w:sz w:val="16"/>
          <w:szCs w:val="16"/>
        </w:rPr>
        <w:softHyphen/>
        <w:t>ный 29 октября 1945 г., носил неопре</w:t>
      </w:r>
      <w:r w:rsidRPr="00271E51">
        <w:rPr>
          <w:rFonts w:ascii="Times New Roman" w:hAnsi="Times New Roman"/>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271E51">
        <w:rPr>
          <w:rFonts w:ascii="Times New Roman" w:hAnsi="Times New Roman"/>
          <w:color w:val="000000" w:themeColor="text1"/>
          <w:sz w:val="16"/>
          <w:szCs w:val="16"/>
        </w:rPr>
        <w:softHyphen/>
        <w:t>кома нефтяной промышленности Н.М. Чекрыжева: «Недавно Вы запра</w:t>
      </w:r>
      <w:r w:rsidRPr="00271E51">
        <w:rPr>
          <w:rFonts w:ascii="Times New Roman" w:hAnsi="Times New Roman"/>
          <w:color w:val="000000" w:themeColor="text1"/>
          <w:sz w:val="16"/>
          <w:szCs w:val="16"/>
        </w:rPr>
        <w:softHyphen/>
        <w:t>шивали у меня сведения об отправке солевых трубок для завода №2. Сегод</w:t>
      </w:r>
      <w:r w:rsidRPr="00271E51">
        <w:rPr>
          <w:rFonts w:ascii="Times New Roman" w:hAnsi="Times New Roman"/>
          <w:color w:val="000000" w:themeColor="text1"/>
          <w:sz w:val="16"/>
          <w:szCs w:val="16"/>
        </w:rPr>
        <w:softHyphen/>
        <w:t>ня я получил сообщение, что эти труб</w:t>
      </w:r>
      <w:r w:rsidRPr="00271E51">
        <w:rPr>
          <w:rFonts w:ascii="Times New Roman" w:hAnsi="Times New Roman"/>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w:t>
      </w:r>
      <w:r w:rsidRPr="00271E51">
        <w:rPr>
          <w:rFonts w:ascii="Times New Roman" w:hAnsi="Times New Roman"/>
          <w:color w:val="000000" w:themeColor="text1"/>
          <w:sz w:val="16"/>
          <w:szCs w:val="16"/>
        </w:rPr>
        <w:softHyphen/>
        <w:t>лись. Но для поставок требовались санкции правительства США, а полу</w:t>
      </w:r>
      <w:r w:rsidRPr="00271E51">
        <w:rPr>
          <w:rFonts w:ascii="Times New Roman" w:hAnsi="Times New Roman"/>
          <w:color w:val="000000" w:themeColor="text1"/>
          <w:sz w:val="16"/>
          <w:szCs w:val="16"/>
        </w:rPr>
        <w:softHyphen/>
        <w:t>чить их становилось все труднее.В апреле 1947 г. в США выезжала Комиссия Миннефтепрома восточных районов СССР для ведения перегово</w:t>
      </w:r>
      <w:r w:rsidRPr="00271E51">
        <w:rPr>
          <w:rFonts w:ascii="Times New Roman" w:hAnsi="Times New Roman"/>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w:t>
      </w:r>
      <w:r w:rsidRPr="00271E51">
        <w:rPr>
          <w:rFonts w:ascii="Times New Roman" w:hAnsi="Times New Roman"/>
          <w:color w:val="000000" w:themeColor="text1"/>
          <w:sz w:val="16"/>
          <w:szCs w:val="16"/>
        </w:rPr>
        <w:softHyphen/>
        <w:t>ли для СССР большое значение; всеми другими нефтепродуктами (за исключе</w:t>
      </w:r>
      <w:r w:rsidRPr="00271E51">
        <w:rPr>
          <w:rFonts w:ascii="Times New Roman" w:hAnsi="Times New Roman"/>
          <w:color w:val="000000" w:themeColor="text1"/>
          <w:sz w:val="16"/>
          <w:szCs w:val="16"/>
        </w:rPr>
        <w:softHyphen/>
        <w:t>нием некоторых видов смазок) Совет</w:t>
      </w:r>
      <w:r w:rsidRPr="00271E51">
        <w:rPr>
          <w:rFonts w:ascii="Times New Roman" w:hAnsi="Times New Roman"/>
          <w:color w:val="000000" w:themeColor="text1"/>
          <w:sz w:val="16"/>
          <w:szCs w:val="16"/>
        </w:rPr>
        <w:softHyphen/>
        <w:t>ский Союз обеспечивал себя почти пол</w:t>
      </w:r>
      <w:r w:rsidRPr="00271E51">
        <w:rPr>
          <w:rFonts w:ascii="Times New Roman" w:hAnsi="Times New Roman"/>
          <w:color w:val="000000" w:themeColor="text1"/>
          <w:sz w:val="16"/>
          <w:szCs w:val="16"/>
        </w:rPr>
        <w:softHyphen/>
        <w:t>ностью. Советские заводы по производству аналогичного оборудова</w:t>
      </w:r>
      <w:r w:rsidRPr="00271E51">
        <w:rPr>
          <w:rFonts w:ascii="Times New Roman" w:hAnsi="Times New Roman"/>
          <w:color w:val="000000" w:themeColor="text1"/>
          <w:sz w:val="16"/>
          <w:szCs w:val="16"/>
        </w:rPr>
        <w:softHyphen/>
        <w:t>ния были в значительной мере пере</w:t>
      </w:r>
      <w:r w:rsidRPr="00271E51">
        <w:rPr>
          <w:rFonts w:ascii="Times New Roman" w:hAnsi="Times New Roman"/>
          <w:color w:val="000000" w:themeColor="text1"/>
          <w:sz w:val="16"/>
          <w:szCs w:val="16"/>
        </w:rPr>
        <w:softHyphen/>
        <w:t>ориентированы на выпуск оборонной продукции, поэтому американские по</w:t>
      </w:r>
      <w:r w:rsidRPr="00271E51">
        <w:rPr>
          <w:rFonts w:ascii="Times New Roman" w:hAnsi="Times New Roman"/>
          <w:color w:val="000000" w:themeColor="text1"/>
          <w:sz w:val="16"/>
          <w:szCs w:val="16"/>
        </w:rPr>
        <w:softHyphen/>
        <w:t>ставки были весьма полезны (15488).</w:t>
      </w:r>
    </w:p>
    <w:p w14:paraId="14918712" w14:textId="77777777" w:rsidR="005E29C5" w:rsidRPr="00271E51" w:rsidRDefault="005E29C5" w:rsidP="00271E51">
      <w:pPr>
        <w:spacing w:after="0" w:line="240" w:lineRule="auto"/>
        <w:jc w:val="both"/>
        <w:rPr>
          <w:rFonts w:ascii="Times New Roman" w:hAnsi="Times New Roman"/>
          <w:color w:val="000000" w:themeColor="text1"/>
          <w:sz w:val="16"/>
          <w:szCs w:val="16"/>
        </w:rPr>
      </w:pPr>
    </w:p>
    <w:p w14:paraId="2DF7766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За рубежом:</w:t>
      </w:r>
    </w:p>
    <w:p w14:paraId="09866E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6052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1943 – апреле 1944 г. немцами были проведены испытания боевых Мистелей,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50101F4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158CC18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53E956F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39BA5CC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3D85513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3E88D96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1944 г. группировка Мистелей насчитывала 60 единиц.</w:t>
      </w:r>
    </w:p>
    <w:p w14:paraId="230865D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143879E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55AA13C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78C55FE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46FC297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52D03F8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1A21205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03E17ED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7CCBFFE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39244BA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40773BA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39395F4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6908CAD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Германские ударные управляемые средства...</w:t>
      </w:r>
    </w:p>
    <w:p w14:paraId="115A356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4CBEA89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4955DD2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7E12F60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874DC2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762EC92A"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7BE839E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1702579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4FE8164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15AA648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4DF4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A6E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Поздней осенью 1943 ОКО-22 В.М.М. приступило к проектированию Пе-2И. Постановление ГОКО вышло только 12 января 1944 (2471,36).</w:t>
      </w:r>
    </w:p>
    <w:p w14:paraId="3C3832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CDE31" w14:textId="77777777" w:rsidR="009F142F" w:rsidRPr="00271E51" w:rsidRDefault="009F142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F94EB0B" w14:textId="77777777" w:rsidR="009F142F" w:rsidRPr="00271E51" w:rsidRDefault="009F142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A42A0F"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декабрю 1943 в ходе заводских летных испытаний опытных самоле</w:t>
      </w:r>
      <w:r w:rsidRPr="00271E51">
        <w:rPr>
          <w:rFonts w:ascii="Times New Roman" w:hAnsi="Times New Roman" w:cs="Times New Roman"/>
          <w:color w:val="0070C0"/>
          <w:sz w:val="16"/>
          <w:szCs w:val="16"/>
        </w:rPr>
        <w:softHyphen/>
        <w:t>тов Ил-2М и Ил-2 (РК) с АМ-42 были по</w:t>
      </w:r>
      <w:r w:rsidRPr="00271E51">
        <w:rPr>
          <w:rFonts w:ascii="Times New Roman" w:hAnsi="Times New Roman" w:cs="Times New Roman"/>
          <w:color w:val="0070C0"/>
          <w:sz w:val="16"/>
          <w:szCs w:val="16"/>
        </w:rPr>
        <w:softHyphen/>
        <w:t>лучены максимальные скорости в 455- 470 км/ч - на границе высотности 2500- 2830 м, и 436-440 км/ч - у земли.</w:t>
      </w:r>
    </w:p>
    <w:p w14:paraId="0FEE2F3C"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Результат в целом неплохой, лучше серийного Ил-2 АМ-38ф, но ниже зада</w:t>
      </w:r>
      <w:r w:rsidRPr="00271E51">
        <w:rPr>
          <w:rFonts w:ascii="Times New Roman" w:hAnsi="Times New Roman" w:cs="Times New Roman"/>
          <w:color w:val="0070C0"/>
          <w:sz w:val="16"/>
          <w:szCs w:val="16"/>
        </w:rPr>
        <w:softHyphen/>
        <w:t>ния. Хуже другое: ОКБ Микулина не уда</w:t>
      </w:r>
      <w:r w:rsidRPr="00271E51">
        <w:rPr>
          <w:rFonts w:ascii="Times New Roman" w:hAnsi="Times New Roman" w:cs="Times New Roman"/>
          <w:color w:val="0070C0"/>
          <w:sz w:val="16"/>
          <w:szCs w:val="16"/>
        </w:rPr>
        <w:softHyphen/>
        <w:t>валось добиться надежной работы мотора АМ-42: наблюдалась сильная тряска и дымление, мотор недодавал мощности, в масле стабильно появлялась стружка и т.д. По этой причине сроки сдачи на государ</w:t>
      </w:r>
      <w:r w:rsidRPr="00271E51">
        <w:rPr>
          <w:rFonts w:ascii="Times New Roman" w:hAnsi="Times New Roman" w:cs="Times New Roman"/>
          <w:color w:val="0070C0"/>
          <w:sz w:val="16"/>
          <w:szCs w:val="16"/>
        </w:rPr>
        <w:softHyphen/>
        <w:t>ственные испытания Ил-2М и Ил-2 (РК) с завидной регулярностью срывались и пе</w:t>
      </w:r>
      <w:r w:rsidRPr="00271E51">
        <w:rPr>
          <w:rFonts w:ascii="Times New Roman" w:hAnsi="Times New Roman" w:cs="Times New Roman"/>
          <w:color w:val="0070C0"/>
          <w:sz w:val="16"/>
          <w:szCs w:val="16"/>
        </w:rPr>
        <w:softHyphen/>
        <w:t>реносились. К осени над Ильюшиным на</w:t>
      </w:r>
      <w:r w:rsidRPr="00271E51">
        <w:rPr>
          <w:rFonts w:ascii="Times New Roman" w:hAnsi="Times New Roman" w:cs="Times New Roman"/>
          <w:color w:val="0070C0"/>
          <w:sz w:val="16"/>
          <w:szCs w:val="16"/>
        </w:rPr>
        <w:softHyphen/>
        <w:t>чали «сгущаться тучи».</w:t>
      </w:r>
    </w:p>
    <w:p w14:paraId="3F96C399"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Действительно, постановления ГКО №2347сс от 25 сентября 1942 г. - по Ил-2М АМ-42, и № 2841сс от 7 февраля 1943 г. - по Ил-2 АМ-42 (РК), не выпол</w:t>
      </w:r>
      <w:r w:rsidRPr="00271E51">
        <w:rPr>
          <w:rFonts w:ascii="Times New Roman" w:hAnsi="Times New Roman" w:cs="Times New Roman"/>
          <w:color w:val="0070C0"/>
          <w:sz w:val="16"/>
          <w:szCs w:val="16"/>
        </w:rPr>
        <w:softHyphen/>
        <w:t>нены, а постановление ГКО № 3386сс вы</w:t>
      </w:r>
      <w:r w:rsidRPr="00271E51">
        <w:rPr>
          <w:rFonts w:ascii="Times New Roman" w:hAnsi="Times New Roman" w:cs="Times New Roman"/>
          <w:color w:val="0070C0"/>
          <w:sz w:val="16"/>
          <w:szCs w:val="16"/>
        </w:rPr>
        <w:softHyphen/>
        <w:t>полнено лишь частично: на испытания подан истребитель бомбардировщиков Ил-2-И, а Ил-2-2И еще не построен.</w:t>
      </w:r>
    </w:p>
    <w:p w14:paraId="15DAA445" w14:textId="77777777" w:rsidR="009F142F" w:rsidRPr="00271E51" w:rsidRDefault="009F142F" w:rsidP="00271E51">
      <w:pPr>
        <w:spacing w:after="0" w:line="240" w:lineRule="auto"/>
        <w:jc w:val="both"/>
        <w:rPr>
          <w:rFonts w:ascii="Times New Roman" w:hAnsi="Times New Roman"/>
          <w:color w:val="0070C0"/>
          <w:sz w:val="16"/>
          <w:szCs w:val="16"/>
        </w:rPr>
      </w:pPr>
      <w:r w:rsidRPr="00271E51">
        <w:rPr>
          <w:rStyle w:val="145"/>
          <w:rFonts w:ascii="Times New Roman" w:hAnsi="Times New Roman" w:cs="Times New Roman"/>
          <w:i w:val="0"/>
          <w:iCs w:val="0"/>
          <w:strike w:val="0"/>
          <w:color w:val="0070C0"/>
          <w:sz w:val="16"/>
          <w:szCs w:val="16"/>
          <w:u w:val="none"/>
        </w:rPr>
        <w:t>Более того, результаты государствен</w:t>
      </w:r>
      <w:r w:rsidRPr="00271E51">
        <w:rPr>
          <w:rStyle w:val="145"/>
          <w:rFonts w:ascii="Times New Roman" w:hAnsi="Times New Roman" w:cs="Times New Roman"/>
          <w:i w:val="0"/>
          <w:iCs w:val="0"/>
          <w:strike w:val="0"/>
          <w:color w:val="0070C0"/>
          <w:sz w:val="16"/>
          <w:szCs w:val="16"/>
          <w:u w:val="none"/>
        </w:rPr>
        <w:softHyphen/>
        <w:t>ных испытаний серийного Ил-2-И зав. №7581 оказались совершенно неудовлет</w:t>
      </w:r>
      <w:r w:rsidRPr="00271E51">
        <w:rPr>
          <w:rStyle w:val="145"/>
          <w:rFonts w:ascii="Times New Roman" w:hAnsi="Times New Roman" w:cs="Times New Roman"/>
          <w:i w:val="0"/>
          <w:iCs w:val="0"/>
          <w:strike w:val="0"/>
          <w:color w:val="0070C0"/>
          <w:sz w:val="16"/>
          <w:szCs w:val="16"/>
          <w:u w:val="none"/>
        </w:rPr>
        <w:softHyphen/>
        <w:t>ворительными. В акте НИИ ВВС от 30 сен</w:t>
      </w:r>
      <w:r w:rsidRPr="00271E51">
        <w:rPr>
          <w:rStyle w:val="145"/>
          <w:rFonts w:ascii="Times New Roman" w:hAnsi="Times New Roman" w:cs="Times New Roman"/>
          <w:i w:val="0"/>
          <w:iCs w:val="0"/>
          <w:strike w:val="0"/>
          <w:color w:val="0070C0"/>
          <w:sz w:val="16"/>
          <w:szCs w:val="16"/>
          <w:u w:val="none"/>
        </w:rPr>
        <w:softHyphen/>
        <w:t>тября 1943 г. констатировалось:</w:t>
      </w:r>
      <w:r w:rsidRPr="00271E51">
        <w:rPr>
          <w:rFonts w:ascii="Times New Roman" w:hAnsi="Times New Roman"/>
          <w:color w:val="0070C0"/>
          <w:sz w:val="16"/>
          <w:szCs w:val="16"/>
        </w:rPr>
        <w:t xml:space="preserve"> «СЧИТАТЬ, что как дальнейшая постройка Ил-2И в варианте истребителя, так и установка мотора АМ-42 (Постановление ГКО № 3386сс от 17.5.43 г.) на истребительный вариант Ил-2 - НЕЦЕЛЕСООБРАЗНЫ</w:t>
      </w:r>
      <w:r w:rsidRPr="00271E51">
        <w:rPr>
          <w:rStyle w:val="145"/>
          <w:rFonts w:ascii="Times New Roman" w:hAnsi="Times New Roman" w:cs="Times New Roman"/>
          <w:color w:val="0070C0"/>
          <w:sz w:val="16"/>
          <w:szCs w:val="16"/>
          <w:u w:val="none"/>
        </w:rPr>
        <w:t xml:space="preserve"> (так в документе -</w:t>
      </w:r>
      <w:r w:rsidRPr="00271E51">
        <w:rPr>
          <w:rFonts w:ascii="Times New Roman" w:hAnsi="Times New Roman"/>
          <w:color w:val="0070C0"/>
          <w:sz w:val="16"/>
          <w:szCs w:val="16"/>
        </w:rPr>
        <w:t xml:space="preserve"> Прим. авт.)».</w:t>
      </w:r>
    </w:p>
    <w:p w14:paraId="7FDC9CD1"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Командование ВВС КА незамедли</w:t>
      </w:r>
      <w:r w:rsidRPr="00271E51">
        <w:rPr>
          <w:rFonts w:ascii="Times New Roman" w:hAnsi="Times New Roman" w:cs="Times New Roman"/>
          <w:color w:val="0070C0"/>
          <w:sz w:val="16"/>
          <w:szCs w:val="16"/>
        </w:rPr>
        <w:softHyphen/>
        <w:t>тельно обратилось в ГКО с предложением прекратить все работы и по истребителю Ил-2-2И с АМ-42.</w:t>
      </w:r>
    </w:p>
    <w:p w14:paraId="4D78EF24"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Между тем сроки постройки истреби</w:t>
      </w:r>
      <w:r w:rsidRPr="00271E51">
        <w:rPr>
          <w:rFonts w:ascii="Times New Roman" w:hAnsi="Times New Roman" w:cs="Times New Roman"/>
          <w:color w:val="0070C0"/>
          <w:sz w:val="16"/>
          <w:szCs w:val="16"/>
        </w:rPr>
        <w:softHyphen/>
        <w:t>теля Ил-1 АМ-42 с лучшими летными дан</w:t>
      </w:r>
      <w:r w:rsidRPr="00271E51">
        <w:rPr>
          <w:rFonts w:ascii="Times New Roman" w:hAnsi="Times New Roman" w:cs="Times New Roman"/>
          <w:color w:val="0070C0"/>
          <w:sz w:val="16"/>
          <w:szCs w:val="16"/>
        </w:rPr>
        <w:softHyphen/>
        <w:t>ными ОКБ-240 и заводом №1 в очеред</w:t>
      </w:r>
      <w:r w:rsidRPr="00271E51">
        <w:rPr>
          <w:rFonts w:ascii="Times New Roman" w:hAnsi="Times New Roman" w:cs="Times New Roman"/>
          <w:color w:val="0070C0"/>
          <w:sz w:val="16"/>
          <w:szCs w:val="16"/>
        </w:rPr>
        <w:softHyphen/>
        <w:t>ной раз были сорваны.</w:t>
      </w:r>
    </w:p>
    <w:p w14:paraId="337B239A"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Вместе с Ильюшиным в весьма слож</w:t>
      </w:r>
      <w:r w:rsidRPr="00271E51">
        <w:rPr>
          <w:rFonts w:ascii="Times New Roman" w:hAnsi="Times New Roman" w:cs="Times New Roman"/>
          <w:color w:val="0070C0"/>
          <w:sz w:val="16"/>
          <w:szCs w:val="16"/>
        </w:rPr>
        <w:softHyphen/>
        <w:t>ном положении оказался и нарком авиа- прома Шахурин. Приказом №364сс Ша- хурин изменил задание заводу №1,с его согласия на заводе №18 по инициа</w:t>
      </w:r>
      <w:r w:rsidRPr="00271E51">
        <w:rPr>
          <w:rFonts w:ascii="Times New Roman" w:hAnsi="Times New Roman" w:cs="Times New Roman"/>
          <w:color w:val="0070C0"/>
          <w:sz w:val="16"/>
          <w:szCs w:val="16"/>
        </w:rPr>
        <w:softHyphen/>
        <w:t>тиве Ильюшина уже с конца июля (!) ве</w:t>
      </w:r>
      <w:r w:rsidRPr="00271E51">
        <w:rPr>
          <w:rFonts w:ascii="Times New Roman" w:hAnsi="Times New Roman" w:cs="Times New Roman"/>
          <w:color w:val="0070C0"/>
          <w:sz w:val="16"/>
          <w:szCs w:val="16"/>
        </w:rPr>
        <w:softHyphen/>
        <w:t>лись работы по постройке бронирован</w:t>
      </w:r>
      <w:r w:rsidRPr="00271E51">
        <w:rPr>
          <w:rFonts w:ascii="Times New Roman" w:hAnsi="Times New Roman" w:cs="Times New Roman"/>
          <w:color w:val="0070C0"/>
          <w:sz w:val="16"/>
          <w:szCs w:val="16"/>
        </w:rPr>
        <w:softHyphen/>
        <w:t>ного истребителя Ил-1 АМ-42 - дублера самолету завода №1. Утвержденный ди</w:t>
      </w:r>
      <w:r w:rsidRPr="00271E51">
        <w:rPr>
          <w:rFonts w:ascii="Times New Roman" w:hAnsi="Times New Roman" w:cs="Times New Roman"/>
          <w:color w:val="0070C0"/>
          <w:sz w:val="16"/>
          <w:szCs w:val="16"/>
        </w:rPr>
        <w:softHyphen/>
        <w:t>ректором завода №18 Белянским гра</w:t>
      </w:r>
      <w:r w:rsidRPr="00271E51">
        <w:rPr>
          <w:rFonts w:ascii="Times New Roman" w:hAnsi="Times New Roman" w:cs="Times New Roman"/>
          <w:color w:val="0070C0"/>
          <w:sz w:val="16"/>
          <w:szCs w:val="16"/>
        </w:rPr>
        <w:softHyphen/>
        <w:t>фик производства предусматривал окон</w:t>
      </w:r>
      <w:r w:rsidRPr="00271E51">
        <w:rPr>
          <w:rFonts w:ascii="Times New Roman" w:hAnsi="Times New Roman" w:cs="Times New Roman"/>
          <w:color w:val="0070C0"/>
          <w:sz w:val="16"/>
          <w:szCs w:val="16"/>
        </w:rPr>
        <w:softHyphen/>
        <w:t>чательную сборку опытного Ил-1 АМ-42 не позже 10 октября. Однако до выкатки самолета из цеха окончательной сборки было еще очень далеко.</w:t>
      </w:r>
    </w:p>
    <w:p w14:paraId="16119786"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Важно, что тактико-технические тре</w:t>
      </w:r>
      <w:r w:rsidRPr="00271E51">
        <w:rPr>
          <w:rFonts w:ascii="Times New Roman" w:hAnsi="Times New Roman" w:cs="Times New Roman"/>
          <w:color w:val="0070C0"/>
          <w:sz w:val="16"/>
          <w:szCs w:val="16"/>
        </w:rPr>
        <w:softHyphen/>
        <w:t>бования к самолету Ил-1 АМ-42 специ</w:t>
      </w:r>
      <w:r w:rsidRPr="00271E51">
        <w:rPr>
          <w:rFonts w:ascii="Times New Roman" w:hAnsi="Times New Roman" w:cs="Times New Roman"/>
          <w:color w:val="0070C0"/>
          <w:sz w:val="16"/>
          <w:szCs w:val="16"/>
        </w:rPr>
        <w:softHyphen/>
        <w:t>алистами НИИ ВВС не разрабатывались, эскизный проект самолета и его макет главным конструктором Ильюшиным во</w:t>
      </w:r>
      <w:r w:rsidRPr="00271E51">
        <w:rPr>
          <w:rFonts w:ascii="Times New Roman" w:hAnsi="Times New Roman" w:cs="Times New Roman"/>
          <w:color w:val="0070C0"/>
          <w:sz w:val="16"/>
          <w:szCs w:val="16"/>
        </w:rPr>
        <w:softHyphen/>
        <w:t>енным не предъявлялись. Другими сло</w:t>
      </w:r>
      <w:r w:rsidRPr="00271E51">
        <w:rPr>
          <w:rFonts w:ascii="Times New Roman" w:hAnsi="Times New Roman" w:cs="Times New Roman"/>
          <w:color w:val="0070C0"/>
          <w:sz w:val="16"/>
          <w:szCs w:val="16"/>
        </w:rPr>
        <w:softHyphen/>
        <w:t>вами, на заводах №№1 и 18 строился но</w:t>
      </w:r>
      <w:r w:rsidRPr="00271E51">
        <w:rPr>
          <w:rFonts w:ascii="Times New Roman" w:hAnsi="Times New Roman" w:cs="Times New Roman"/>
          <w:color w:val="0070C0"/>
          <w:sz w:val="16"/>
          <w:szCs w:val="16"/>
        </w:rPr>
        <w:softHyphen/>
        <w:t>вый самолет, который, ни ВВС, ни Госу</w:t>
      </w:r>
      <w:r w:rsidRPr="00271E51">
        <w:rPr>
          <w:rFonts w:ascii="Times New Roman" w:hAnsi="Times New Roman" w:cs="Times New Roman"/>
          <w:color w:val="0070C0"/>
          <w:sz w:val="16"/>
          <w:szCs w:val="16"/>
        </w:rPr>
        <w:softHyphen/>
        <w:t>дарственный Комитет Обороны не за</w:t>
      </w:r>
      <w:r w:rsidRPr="00271E51">
        <w:rPr>
          <w:rFonts w:ascii="Times New Roman" w:hAnsi="Times New Roman" w:cs="Times New Roman"/>
          <w:color w:val="0070C0"/>
          <w:sz w:val="16"/>
          <w:szCs w:val="16"/>
        </w:rPr>
        <w:softHyphen/>
        <w:t>казывали. Как отмечалось в документах 1-го отдела ГУ ИАС ВВС,</w:t>
      </w:r>
      <w:r w:rsidRPr="00271E51">
        <w:rPr>
          <w:rStyle w:val="aff6"/>
          <w:rFonts w:ascii="Times New Roman" w:hAnsi="Times New Roman" w:cs="Times New Roman"/>
          <w:color w:val="0070C0"/>
        </w:rPr>
        <w:t xml:space="preserve"> «назначение са</w:t>
      </w:r>
      <w:r w:rsidRPr="00271E51">
        <w:rPr>
          <w:rStyle w:val="aff6"/>
          <w:rFonts w:ascii="Times New Roman" w:hAnsi="Times New Roman" w:cs="Times New Roman"/>
          <w:color w:val="0070C0"/>
        </w:rPr>
        <w:softHyphen/>
        <w:t>молета и летно-тактические данные не совсем ясны».</w:t>
      </w:r>
      <w:r w:rsidRPr="00271E51">
        <w:rPr>
          <w:rFonts w:ascii="Times New Roman" w:hAnsi="Times New Roman" w:cs="Times New Roman"/>
          <w:color w:val="0070C0"/>
          <w:sz w:val="16"/>
          <w:szCs w:val="16"/>
        </w:rPr>
        <w:t xml:space="preserve"> Назревал «большой» скан</w:t>
      </w:r>
      <w:r w:rsidRPr="00271E51">
        <w:rPr>
          <w:rFonts w:ascii="Times New Roman" w:hAnsi="Times New Roman" w:cs="Times New Roman"/>
          <w:color w:val="0070C0"/>
          <w:sz w:val="16"/>
          <w:szCs w:val="16"/>
        </w:rPr>
        <w:softHyphen/>
        <w:t>дал с возможными «большими» оргвы</w:t>
      </w:r>
      <w:r w:rsidRPr="00271E51">
        <w:rPr>
          <w:rFonts w:ascii="Times New Roman" w:hAnsi="Times New Roman" w:cs="Times New Roman"/>
          <w:color w:val="0070C0"/>
          <w:sz w:val="16"/>
          <w:szCs w:val="16"/>
        </w:rPr>
        <w:softHyphen/>
        <w:t>водами.</w:t>
      </w:r>
    </w:p>
    <w:p w14:paraId="3BEEBB95"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Очевидно, во всех этих «делах» не обошлось без заместителя Шахурина по опытному самолетостроению А.С. Яков</w:t>
      </w:r>
      <w:r w:rsidRPr="00271E51">
        <w:rPr>
          <w:rFonts w:ascii="Times New Roman" w:hAnsi="Times New Roman" w:cs="Times New Roman"/>
          <w:color w:val="0070C0"/>
          <w:sz w:val="16"/>
          <w:szCs w:val="16"/>
        </w:rPr>
        <w:softHyphen/>
        <w:t>лева, принимавшего «по долгу службы» самое деятельное участие в решении всех вопросов по опытным самолетам Ил-1 и Ил-2 с мотором АМ-42 (19846).</w:t>
      </w:r>
    </w:p>
    <w:p w14:paraId="509F1D0B" w14:textId="77777777" w:rsidR="009F142F" w:rsidRPr="00271E51" w:rsidRDefault="009F142F" w:rsidP="00271E51">
      <w:pPr>
        <w:pStyle w:val="234"/>
        <w:shd w:val="clear" w:color="auto" w:fill="auto"/>
        <w:spacing w:line="240" w:lineRule="auto"/>
        <w:jc w:val="both"/>
        <w:rPr>
          <w:rFonts w:ascii="Times New Roman" w:hAnsi="Times New Roman" w:cs="Times New Roman"/>
          <w:color w:val="0070C0"/>
          <w:sz w:val="16"/>
          <w:szCs w:val="16"/>
        </w:rPr>
      </w:pPr>
    </w:p>
    <w:p w14:paraId="3F09FEC1" w14:textId="77777777" w:rsidR="009F142F" w:rsidRPr="00271E51" w:rsidRDefault="009F142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D7F1265" w14:textId="77777777" w:rsidR="009F142F" w:rsidRPr="00271E51" w:rsidRDefault="009F142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5CABB1" w14:textId="3907E4B6" w:rsidR="009F142F" w:rsidRPr="00271E51" w:rsidRDefault="009F142F"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К зиме 1943 "юнкерсы" Ю-52 поставили на лыжи. Лыжи были разные: и от Ли-2 (их устанавливали на базе № 405), и от ТБ-1, и специальные. Последние разработали в НИИ ГВФ. Впервые их смонтировали на самолете Л-23 в октябре 1943 г.</w:t>
      </w:r>
    </w:p>
    <w:p w14:paraId="45339312" w14:textId="77777777" w:rsidR="009F142F" w:rsidRPr="00271E51" w:rsidRDefault="009F142F"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На 1943 г. ставилась задача получить 25 Ю-52. План перевыполнили: по документам ВВС гражданской авиации сдали 27 "юнкерсов". На 1 января в строю числились 29 Ю-52 (в том числе 21 исправный). Потеряли же всего один. 24 октября 1943 г. самолет с номером Л-37 упал и сгорел у станции Аша. Экипаж погиб (21550).</w:t>
      </w:r>
    </w:p>
    <w:p w14:paraId="669DF76C" w14:textId="77777777" w:rsidR="009F142F" w:rsidRPr="00271E51" w:rsidRDefault="009F142F" w:rsidP="00271E51">
      <w:pPr>
        <w:spacing w:after="0" w:line="240" w:lineRule="auto"/>
        <w:jc w:val="both"/>
        <w:rPr>
          <w:rFonts w:ascii="Times New Roman" w:hAnsi="Times New Roman"/>
          <w:color w:val="0070C0"/>
          <w:sz w:val="16"/>
          <w:szCs w:val="16"/>
        </w:rPr>
      </w:pPr>
    </w:p>
    <w:p w14:paraId="52F4A27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E08D7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3FBB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 соглас</w:t>
      </w:r>
      <w:r w:rsidRPr="00271E51">
        <w:rPr>
          <w:rFonts w:ascii="Times New Roman" w:hAnsi="Times New Roman"/>
          <w:color w:val="000000" w:themeColor="text1"/>
          <w:sz w:val="16"/>
          <w:szCs w:val="16"/>
        </w:rPr>
        <w:softHyphen/>
        <w:t>но журналу наблюдений за Ил-1 после</w:t>
      </w:r>
      <w:r w:rsidRPr="00271E51">
        <w:rPr>
          <w:rFonts w:ascii="Times New Roman" w:hAnsi="Times New Roman"/>
          <w:color w:val="000000" w:themeColor="text1"/>
          <w:sz w:val="16"/>
          <w:szCs w:val="16"/>
        </w:rPr>
        <w:softHyphen/>
        <w:t>дний уже числился бро</w:t>
      </w:r>
      <w:r w:rsidRPr="00271E51">
        <w:rPr>
          <w:rFonts w:ascii="Times New Roman" w:hAnsi="Times New Roman"/>
          <w:color w:val="000000" w:themeColor="text1"/>
          <w:sz w:val="16"/>
          <w:szCs w:val="16"/>
        </w:rPr>
        <w:softHyphen/>
        <w:t>нированным двухместным штурмовиком. Завод № 18 делал параллельно два та</w:t>
      </w:r>
      <w:r w:rsidRPr="00271E51">
        <w:rPr>
          <w:rFonts w:ascii="Times New Roman" w:hAnsi="Times New Roman"/>
          <w:color w:val="000000" w:themeColor="text1"/>
          <w:sz w:val="16"/>
          <w:szCs w:val="16"/>
        </w:rPr>
        <w:softHyphen/>
        <w:t>ких самолета. Завод № 1 продолжал строить одноместный истребительный вариант Ил-1. Первоначально вооружение двухмес</w:t>
      </w:r>
      <w:r w:rsidRPr="00271E51">
        <w:rPr>
          <w:rFonts w:ascii="Times New Roman" w:hAnsi="Times New Roman"/>
          <w:color w:val="000000" w:themeColor="text1"/>
          <w:sz w:val="16"/>
          <w:szCs w:val="16"/>
        </w:rPr>
        <w:softHyphen/>
        <w:t>тного бронированного штурмовика Ил-1 предполагалось чрезвычайно мощным: две пушки калибра 37 мм, пара 20-мм пушек (все в крыле), четыре ракетных орудия РО-82 и 400 кг бомб (в перегруз</w:t>
      </w:r>
      <w:r w:rsidRPr="00271E51">
        <w:rPr>
          <w:rFonts w:ascii="Times New Roman" w:hAnsi="Times New Roman"/>
          <w:color w:val="000000" w:themeColor="text1"/>
          <w:sz w:val="16"/>
          <w:szCs w:val="16"/>
        </w:rPr>
        <w:softHyphen/>
        <w:t>ку 600 кг), один оборонительный пуле</w:t>
      </w:r>
      <w:r w:rsidRPr="00271E51">
        <w:rPr>
          <w:rFonts w:ascii="Times New Roman" w:hAnsi="Times New Roman"/>
          <w:color w:val="000000" w:themeColor="text1"/>
          <w:sz w:val="16"/>
          <w:szCs w:val="16"/>
        </w:rPr>
        <w:softHyphen/>
        <w:t>мет УБТ. Однако, по-видимому с целью ускорения постройки самолета, состав его вооружения привели к варианту по типу Ил-2: две пушки ВЯ-23 (300 снаря</w:t>
      </w:r>
      <w:r w:rsidRPr="00271E51">
        <w:rPr>
          <w:rFonts w:ascii="Times New Roman" w:hAnsi="Times New Roman"/>
          <w:color w:val="000000" w:themeColor="text1"/>
          <w:sz w:val="16"/>
          <w:szCs w:val="16"/>
        </w:rPr>
        <w:softHyphen/>
        <w:t>дов), два пулемета ШКАС (1500 патро</w:t>
      </w:r>
      <w:r w:rsidRPr="00271E51">
        <w:rPr>
          <w:rFonts w:ascii="Times New Roman" w:hAnsi="Times New Roman"/>
          <w:color w:val="000000" w:themeColor="text1"/>
          <w:sz w:val="16"/>
          <w:szCs w:val="16"/>
        </w:rPr>
        <w:softHyphen/>
        <w:t>нов), один оборонительный УБТ (150 патронов), четыре РО-82 и 400 кг нор</w:t>
      </w:r>
      <w:r w:rsidRPr="00271E51">
        <w:rPr>
          <w:rFonts w:ascii="Times New Roman" w:hAnsi="Times New Roman"/>
          <w:color w:val="000000" w:themeColor="text1"/>
          <w:sz w:val="16"/>
          <w:szCs w:val="16"/>
        </w:rPr>
        <w:softHyphen/>
        <w:t>мальной бомбовой нагрузки. На самолете оборудовались только два бомбоотсека в центроплане и уста</w:t>
      </w:r>
      <w:r w:rsidRPr="00271E51">
        <w:rPr>
          <w:rFonts w:ascii="Times New Roman" w:hAnsi="Times New Roman"/>
          <w:color w:val="000000" w:themeColor="text1"/>
          <w:sz w:val="16"/>
          <w:szCs w:val="16"/>
        </w:rPr>
        <w:softHyphen/>
        <w:t>навливались два внешних держателя ДЗ-42. Во внутренние отсеки можно было загрузить 176 осколочных бомб типа АО-2,5сч, или 144 противотанковые бомбы ПТАБ-2,5-1,5, или 60 бомб ПТАБ-10-2,5, или 12 осколочных бомб типа АО-25сч. Кроме этого, внутри каждого бомбоотсе</w:t>
      </w:r>
      <w:r w:rsidRPr="00271E51">
        <w:rPr>
          <w:rFonts w:ascii="Times New Roman" w:hAnsi="Times New Roman"/>
          <w:color w:val="000000" w:themeColor="text1"/>
          <w:sz w:val="16"/>
          <w:szCs w:val="16"/>
        </w:rPr>
        <w:softHyphen/>
        <w:t>ка на держателях Дер-21 можно было подвесить по одной бомбе калибра от 50 до 250 кг —ФАБ-50, ФАБ-100цк, ФАБ-100м или ФАБ-250св. На внешних дер</w:t>
      </w:r>
      <w:r w:rsidRPr="00271E51">
        <w:rPr>
          <w:rFonts w:ascii="Times New Roman" w:hAnsi="Times New Roman"/>
          <w:color w:val="000000" w:themeColor="text1"/>
          <w:sz w:val="16"/>
          <w:szCs w:val="16"/>
        </w:rPr>
        <w:softHyphen/>
        <w:t>жателях подвешивались по поясной схе</w:t>
      </w:r>
      <w:r w:rsidRPr="00271E51">
        <w:rPr>
          <w:rFonts w:ascii="Times New Roman" w:hAnsi="Times New Roman"/>
          <w:color w:val="000000" w:themeColor="text1"/>
          <w:sz w:val="16"/>
          <w:szCs w:val="16"/>
        </w:rPr>
        <w:softHyphen/>
        <w:t>ме бомбы типов ФАБ-50, ФАБ-ЮОцк, ФАБ-100м, ФАБ-250св, ФАБ-250м43, ФАБ-250м44, ФАБ-250цк (10680).</w:t>
      </w:r>
    </w:p>
    <w:p w14:paraId="1C1125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A78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декабря 1943 С-42 так и не был собран -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w:t>
      </w:r>
      <w:r w:rsidRPr="00271E51">
        <w:rPr>
          <w:rFonts w:ascii="Times New Roman" w:hAnsi="Times New Roman"/>
          <w:color w:val="000000" w:themeColor="text1"/>
          <w:sz w:val="16"/>
          <w:szCs w:val="16"/>
        </w:rPr>
        <w:softHyphen/>
        <w:t>заводе ст. техника-лейтенанта В. Никулина, "общий объем работы" по С-42 для приведения его в летное состояние оставался всего на "2-3 дня, но завод совершенно не зани</w:t>
      </w:r>
      <w:r w:rsidRPr="00271E51">
        <w:rPr>
          <w:rFonts w:ascii="Times New Roman" w:hAnsi="Times New Roman"/>
          <w:color w:val="000000" w:themeColor="text1"/>
          <w:sz w:val="16"/>
          <w:szCs w:val="16"/>
        </w:rPr>
        <w:softHyphen/>
        <w:t>мается самолетом".</w:t>
      </w:r>
    </w:p>
    <w:p w14:paraId="6A799B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всему, 18-й авиазавод по согласованию с Ильюшиным был со</w:t>
      </w:r>
      <w:r w:rsidRPr="00271E51">
        <w:rPr>
          <w:rFonts w:ascii="Times New Roman" w:hAnsi="Times New Roman"/>
          <w:color w:val="000000" w:themeColor="text1"/>
          <w:sz w:val="16"/>
          <w:szCs w:val="16"/>
        </w:rPr>
        <w:softHyphen/>
        <w:t>риентирован в первую очередь на постройку самолета Ил-1 АМ-42, а работы по С-42, который в целом был "похож" на "следопыт" 240-го завода, велись по остаточному прин</w:t>
      </w:r>
      <w:r w:rsidRPr="00271E51">
        <w:rPr>
          <w:rFonts w:ascii="Times New Roman" w:hAnsi="Times New Roman"/>
          <w:color w:val="000000" w:themeColor="text1"/>
          <w:sz w:val="16"/>
          <w:szCs w:val="16"/>
        </w:rPr>
        <w:softHyphen/>
        <w:t>ципу. Тем более что договориться было нетрудно, так как начальником СКО был представитель ОКБ на за</w:t>
      </w:r>
      <w:r w:rsidRPr="00271E51">
        <w:rPr>
          <w:rFonts w:ascii="Times New Roman" w:hAnsi="Times New Roman"/>
          <w:color w:val="000000" w:themeColor="text1"/>
          <w:sz w:val="16"/>
          <w:szCs w:val="16"/>
        </w:rPr>
        <w:softHyphen/>
        <w:t>воде В. Н. Бугайский. Поэтому на С-42 выделялось ровно столько людей, сколько оставалось не задействован</w:t>
      </w:r>
      <w:r w:rsidRPr="00271E51">
        <w:rPr>
          <w:rFonts w:ascii="Times New Roman" w:hAnsi="Times New Roman"/>
          <w:color w:val="000000" w:themeColor="text1"/>
          <w:sz w:val="16"/>
          <w:szCs w:val="16"/>
        </w:rPr>
        <w:softHyphen/>
        <w:t>ными в работах по бронированно</w:t>
      </w:r>
      <w:r w:rsidRPr="00271E51">
        <w:rPr>
          <w:rFonts w:ascii="Times New Roman" w:hAnsi="Times New Roman"/>
          <w:color w:val="000000" w:themeColor="text1"/>
          <w:sz w:val="16"/>
          <w:szCs w:val="16"/>
        </w:rPr>
        <w:softHyphen/>
        <w:t>му истребителю и серийной продук</w:t>
      </w:r>
      <w:r w:rsidRPr="00271E51">
        <w:rPr>
          <w:rFonts w:ascii="Times New Roman" w:hAnsi="Times New Roman"/>
          <w:color w:val="000000" w:themeColor="text1"/>
          <w:sz w:val="16"/>
          <w:szCs w:val="16"/>
        </w:rPr>
        <w:softHyphen/>
        <w:t>ции завода. Очевидно, что свобод</w:t>
      </w:r>
      <w:r w:rsidRPr="00271E51">
        <w:rPr>
          <w:rFonts w:ascii="Times New Roman" w:hAnsi="Times New Roman"/>
          <w:color w:val="000000" w:themeColor="text1"/>
          <w:sz w:val="16"/>
          <w:szCs w:val="16"/>
        </w:rPr>
        <w:softHyphen/>
        <w:t>ных людей не было никогда.</w:t>
      </w:r>
    </w:p>
    <w:p w14:paraId="565DAA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основные усилия ОКБ Ильюшина сосредоточились на самолете Ил-2 АМ-42 в варианте разведчика и корректировщика ар</w:t>
      </w:r>
      <w:r w:rsidRPr="00271E51">
        <w:rPr>
          <w:rFonts w:ascii="Times New Roman" w:hAnsi="Times New Roman"/>
          <w:color w:val="000000" w:themeColor="text1"/>
          <w:sz w:val="16"/>
          <w:szCs w:val="16"/>
        </w:rPr>
        <w:softHyphen/>
        <w:t>тиллерийского огня.</w:t>
      </w:r>
    </w:p>
    <w:p w14:paraId="625F1C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такое "разделе</w:t>
      </w:r>
      <w:r w:rsidRPr="00271E51">
        <w:rPr>
          <w:rFonts w:ascii="Times New Roman" w:hAnsi="Times New Roman"/>
          <w:color w:val="000000" w:themeColor="text1"/>
          <w:sz w:val="16"/>
          <w:szCs w:val="16"/>
        </w:rPr>
        <w:softHyphen/>
        <w:t>ние труда" было связано с поступив</w:t>
      </w:r>
      <w:r w:rsidRPr="00271E51">
        <w:rPr>
          <w:rFonts w:ascii="Times New Roman" w:hAnsi="Times New Roman"/>
          <w:color w:val="000000" w:themeColor="text1"/>
          <w:sz w:val="16"/>
          <w:szCs w:val="16"/>
        </w:rPr>
        <w:softHyphen/>
        <w:t>шими в НКАП сведениями об успеш</w:t>
      </w:r>
      <w:r w:rsidRPr="00271E51">
        <w:rPr>
          <w:rFonts w:ascii="Times New Roman" w:hAnsi="Times New Roman"/>
          <w:color w:val="000000" w:themeColor="text1"/>
          <w:sz w:val="16"/>
          <w:szCs w:val="16"/>
        </w:rPr>
        <w:softHyphen/>
        <w:t>ном прохождении двухместным штур</w:t>
      </w:r>
      <w:r w:rsidRPr="00271E51">
        <w:rPr>
          <w:rFonts w:ascii="Times New Roman" w:hAnsi="Times New Roman"/>
          <w:color w:val="000000" w:themeColor="text1"/>
          <w:sz w:val="16"/>
          <w:szCs w:val="16"/>
        </w:rPr>
        <w:softHyphen/>
        <w:t>мовиком Су-6 М-71ф государствен</w:t>
      </w:r>
      <w:r w:rsidRPr="00271E51">
        <w:rPr>
          <w:rFonts w:ascii="Times New Roman" w:hAnsi="Times New Roman"/>
          <w:color w:val="000000" w:themeColor="text1"/>
          <w:sz w:val="16"/>
          <w:szCs w:val="16"/>
        </w:rPr>
        <w:softHyphen/>
        <w:t>ных летных испытаний. По определя</w:t>
      </w:r>
      <w:r w:rsidRPr="00271E51">
        <w:rPr>
          <w:rFonts w:ascii="Times New Roman" w:hAnsi="Times New Roman"/>
          <w:color w:val="000000" w:themeColor="text1"/>
          <w:sz w:val="16"/>
          <w:szCs w:val="16"/>
        </w:rPr>
        <w:softHyphen/>
        <w:t>ющим летно-боевым качествам (ско</w:t>
      </w:r>
      <w:r w:rsidRPr="00271E51">
        <w:rPr>
          <w:rFonts w:ascii="Times New Roman" w:hAnsi="Times New Roman"/>
          <w:color w:val="000000" w:themeColor="text1"/>
          <w:sz w:val="16"/>
          <w:szCs w:val="16"/>
        </w:rPr>
        <w:softHyphen/>
        <w:t>рость, маневренность, вооружение, боевая живучесть и т.д.) "сухой" зна</w:t>
      </w:r>
      <w:r w:rsidRPr="00271E51">
        <w:rPr>
          <w:rFonts w:ascii="Times New Roman" w:hAnsi="Times New Roman"/>
          <w:color w:val="000000" w:themeColor="text1"/>
          <w:sz w:val="16"/>
          <w:szCs w:val="16"/>
        </w:rPr>
        <w:softHyphen/>
        <w:t>чительно превзошел как серийный Ил-2, так и все его варианты с мото</w:t>
      </w:r>
      <w:r w:rsidRPr="00271E51">
        <w:rPr>
          <w:rFonts w:ascii="Times New Roman" w:hAnsi="Times New Roman"/>
          <w:color w:val="000000" w:themeColor="text1"/>
          <w:sz w:val="16"/>
          <w:szCs w:val="16"/>
        </w:rPr>
        <w:softHyphen/>
        <w:t>ром АМ-42. Это была реальная и се</w:t>
      </w:r>
      <w:r w:rsidRPr="00271E51">
        <w:rPr>
          <w:rFonts w:ascii="Times New Roman" w:hAnsi="Times New Roman"/>
          <w:color w:val="000000" w:themeColor="text1"/>
          <w:sz w:val="16"/>
          <w:szCs w:val="16"/>
        </w:rPr>
        <w:softHyphen/>
        <w:t>рьезная угроза монополии брониро</w:t>
      </w:r>
      <w:r w:rsidRPr="00271E51">
        <w:rPr>
          <w:rFonts w:ascii="Times New Roman" w:hAnsi="Times New Roman"/>
          <w:color w:val="000000" w:themeColor="text1"/>
          <w:sz w:val="16"/>
          <w:szCs w:val="16"/>
        </w:rPr>
        <w:softHyphen/>
        <w:t>ванных самолетов семейства "Ил" на авиазаводах и в войсках.</w:t>
      </w:r>
    </w:p>
    <w:p w14:paraId="75E616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никаких специаль</w:t>
      </w:r>
      <w:r w:rsidRPr="00271E51">
        <w:rPr>
          <w:rFonts w:ascii="Times New Roman" w:hAnsi="Times New Roman"/>
          <w:color w:val="000000" w:themeColor="text1"/>
          <w:sz w:val="16"/>
          <w:szCs w:val="16"/>
        </w:rPr>
        <w:softHyphen/>
        <w:t>ных обозначений для разведчика и корректировщика артогня Ил-2 АМ-42, равно как и для самолета Ил-2М, после его прибытия в Москву, в документах не употреблялось. В пе</w:t>
      </w:r>
      <w:r w:rsidRPr="00271E51">
        <w:rPr>
          <w:rFonts w:ascii="Times New Roman" w:hAnsi="Times New Roman"/>
          <w:color w:val="000000" w:themeColor="text1"/>
          <w:sz w:val="16"/>
          <w:szCs w:val="16"/>
        </w:rPr>
        <w:softHyphen/>
        <w:t>реписке использовалось только одно наименование Ил-2 АМ-42 с добав</w:t>
      </w:r>
      <w:r w:rsidRPr="00271E51">
        <w:rPr>
          <w:rFonts w:ascii="Times New Roman" w:hAnsi="Times New Roman"/>
          <w:color w:val="000000" w:themeColor="text1"/>
          <w:sz w:val="16"/>
          <w:szCs w:val="16"/>
        </w:rPr>
        <w:softHyphen/>
        <w:t>лением разведчик и корректировщик артиллерийского огня (для самолета завода № 240) или штурмовик-бом</w:t>
      </w:r>
      <w:r w:rsidRPr="00271E51">
        <w:rPr>
          <w:rFonts w:ascii="Times New Roman" w:hAnsi="Times New Roman"/>
          <w:color w:val="000000" w:themeColor="text1"/>
          <w:sz w:val="16"/>
          <w:szCs w:val="16"/>
        </w:rPr>
        <w:softHyphen/>
        <w:t>бардировщик (для самолета завода № 18). Иногда указывался номер завода изготовителя без упоминания тактического назначения самолета (11427).</w:t>
      </w:r>
    </w:p>
    <w:p w14:paraId="16EBBB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93F3D1"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1 декабря 1943 С-42 Не был собран и к этому дню на самолете проводились мелкие доработки маслосистемы, устанавливался верхний бензобак, шла отладка работы бронезаслонок. Как следует из доклада помощника военпреда на 18-м авиазаводе старшего техника-лейтенанта В. В. Никулина, «общий объем работы» по С-42 для приведения его в летное состояние оставался всего на «2–3 дня, но завод совершенно не занимается самолетом».</w:t>
      </w:r>
    </w:p>
    <w:p w14:paraId="02FD788A"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всему, 18-й авиазавод по согласованию с Ильюшиным был ориентирован в первую очередь на постройку самолета Ил-1 АМ-42, а работы по С-42 велись по остаточному принципу. Тем более что договориться было нетрудно, так как начальником заводского СКО был представитель ОКБ на заводе В. Н. Бугайский. Поэтому на С-42 выделялось ровно столько людей, сколько оставалось не задействованными в работах по бронированному истребителю и серийной продукции завода. Очевидно, что свободных людей не было никогда.</w:t>
      </w:r>
    </w:p>
    <w:p w14:paraId="5105F0EB"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то же время основные усилия ОКБ-240 сосредоточились на самолете Ил-2 АМ-42 в варианте разведчика и корректировщика артиллерийского огня, разработка которого была задана постановлением ГКО № 2841сс от 7 февраля 1943 г. </w:t>
      </w:r>
    </w:p>
    <w:p w14:paraId="6BF83658"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Надо полагать, такое «разделение труда» было связано с поступившими в НКАП сведениями об успешном прохождении двухместным штурмовиком Су-6 М-71ф государственных летных испытаний. По определяющим летно-боевым качествам (скорость, маневренность, вооружение, боевая живучесть и т. д.) «сухой» </w:t>
      </w:r>
      <w:r w:rsidRPr="00271E51">
        <w:rPr>
          <w:rFonts w:ascii="Times New Roman" w:hAnsi="Times New Roman"/>
          <w:color w:val="000000" w:themeColor="text1"/>
          <w:sz w:val="16"/>
          <w:szCs w:val="16"/>
        </w:rPr>
        <w:lastRenderedPageBreak/>
        <w:t>значительно превзошел (теперь уже официально) как серийный Ил-2, так и все его варианты с мотором АМ-42. Это была реальная и серьезная угроза монополии бронированных самолетов семейства «Ил» на авиазаводах и в войсках.</w:t>
      </w:r>
    </w:p>
    <w:p w14:paraId="2C49D00C"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никаких специальных обозначений для разведчика и корректировщика артиллерийского огня Ил-2 АМ-42, равно как и для самолета Ил-2М, после перелета его в Москву, в документах не употреблялось. В переписке использовалось только одно наименование Ил-2 АМ-42 с добавлением разведчик и корректировщик артиллерийского огня – РК (для самолета завода № 240) или штурмовик-бомбардировщик – ШБ (для самолета завода № 18). Иногда указывался номер завода-изготовителя без упоминания тактического назначения самолета.</w:t>
      </w:r>
    </w:p>
    <w:p w14:paraId="26BF1C6D" w14:textId="77777777" w:rsidR="00416C29" w:rsidRPr="00271E51" w:rsidRDefault="00416C2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документов, постройка Ил-2 АМ-42 в варианте разведчика-корректировщика осуществлялась опытным заводом № 240 в кооперации с серийным заводом № 30. Дело в том, что завод № 240 имел достаточно слабые производственные мощности и одновременно занимался еще и модификацией дальнего бомбардировщика Ил-4. Поэтому заводу № 30 было заказано изготовление центроплана, консолей крыла, деревянного фюзеляжа, шасси (все по два комплекта). Бронекорпус поставлялся подольским заводом № 125. Окончательная сборка выполнялась заводом № 240 (17490).</w:t>
      </w:r>
    </w:p>
    <w:p w14:paraId="0CB240B1" w14:textId="77777777" w:rsidR="00416C29" w:rsidRPr="00271E51" w:rsidRDefault="00416C29" w:rsidP="00271E51">
      <w:pPr>
        <w:spacing w:after="0" w:line="240" w:lineRule="auto"/>
        <w:jc w:val="both"/>
        <w:rPr>
          <w:rFonts w:ascii="Times New Roman" w:hAnsi="Times New Roman"/>
          <w:color w:val="000000" w:themeColor="text1"/>
          <w:sz w:val="16"/>
          <w:szCs w:val="16"/>
        </w:rPr>
      </w:pPr>
    </w:p>
    <w:p w14:paraId="2D6877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 декабря 1943 состояние опытного строительства на 21 заводе было следующим:</w:t>
      </w:r>
    </w:p>
    <w:p w14:paraId="1BBE5C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М-71 - производилось усиление консолей. Крылья с 381 завода для стат. испытаний не прибыли (738,9);</w:t>
      </w:r>
    </w:p>
    <w:p w14:paraId="70FCAC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М-71 дублер - к 15 декабря хотели закончить усиление крыла (738,9);</w:t>
      </w:r>
    </w:p>
    <w:p w14:paraId="286EAE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М-82ФНА - трехточечный - окончательно решили установить пушки УБ-20. Заканчивали разработку чертежей центроплана с более длинными стойками шасси и ГК установил срок окончания всех работ к 15 января 1944 (738,9);</w:t>
      </w:r>
    </w:p>
    <w:p w14:paraId="39258E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М-82ФН трехточечный - чертежи в основном закончены. Изготавливается кольцо “НАКА”, лафет под 3 пушки, болванка м/бака и всасывающих патрубков. Выхлопных патрубков будет 14</w:t>
      </w:r>
    </w:p>
    <w:p w14:paraId="70CEBE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"Е" с М-71 - новый вариант Ла-5 разрабатывался по заданию ГК. Моноплан со средним расположением крыла. Крыло однолонжеронное. Крепится к фюзеляже как на Ме-109. Лонжероны основной и дополнительный - металлические. Шасси припднятое у стыка фюзеляжа с крылом и убирается назад в фюзеляж. Бензобак 400 кг под сидением л. Фэзеляж из 2 частей - передней металлической трубчатой и задней - деревянной. Вооружение в разъеме крыла с фюзеляжем.</w:t>
      </w:r>
    </w:p>
    <w:p w14:paraId="4679EB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расчету макс. скорость 750 км/час.</w:t>
      </w:r>
    </w:p>
    <w:p w14:paraId="4E58F0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Доводка серийных с-тов:</w:t>
      </w:r>
    </w:p>
    <w:p w14:paraId="450FE3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Носки центроплана разрушились при 70% нагрузки. Разрабатываются чертежи на их усиление.</w:t>
      </w:r>
    </w:p>
    <w:p w14:paraId="0D8DEC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Фюзеляж выполняется из фанеры вместо шпона.</w:t>
      </w:r>
    </w:p>
    <w:p w14:paraId="18AE84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 с металлическим лонжероном выдержал 66%. Разрушились носки нервюр.</w:t>
      </w:r>
    </w:p>
    <w:p w14:paraId="7A28EB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Разработаны чертежи на снятие маятниково воздухоотдел. МБ-3У.</w:t>
      </w:r>
    </w:p>
    <w:p w14:paraId="0EEB47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Есть решение пиоверить работу мотора на 100 час.</w:t>
      </w:r>
    </w:p>
    <w:p w14:paraId="731F27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Заканчиваются к 5 декабря чертежи для серийного производства с-тов с металлическим лонжероном крыла.</w:t>
      </w:r>
    </w:p>
    <w:p w14:paraId="0D2D5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Производится заготовка нервюр под металлический лонжерон.</w:t>
      </w:r>
    </w:p>
    <w:p w14:paraId="1FBE6B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Делается комплект общей оснастки для выпуска 5 с-тов в день Срок готовности - 1 января 1944.</w:t>
      </w:r>
    </w:p>
    <w:p w14:paraId="6726E3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статиспытаниях моторама выдержала на случаи А + МУ разрушилась при 73% (моторама изготовлена по упрощенному методу) (738,10).</w:t>
      </w:r>
    </w:p>
    <w:p w14:paraId="59FB3B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0AA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Нач. 3 отделения 3 отд. НИИ ВВС А.Г.Кочетковым были подписаны выводы по эскизному проекты ТИС АМ-39 Н.Н.П. - одобрял (2349,26).</w:t>
      </w:r>
    </w:p>
    <w:p w14:paraId="7E4A78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7F3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 Начальником 2-го отделения 3 отдела НИИ ВВС КА инженер-подполковником А. Г. Кочетковым В были подписаны выводы по проекту ТИС 3АМ-39 Н.Н.П., в которых отмечалось, что:</w:t>
      </w:r>
    </w:p>
    <w:p w14:paraId="083BE7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получение заявленных летных данных реально;</w:t>
      </w:r>
    </w:p>
    <w:p w14:paraId="7D2ACA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вооружение удовлетворяет;</w:t>
      </w:r>
    </w:p>
    <w:p w14:paraId="6D9F7C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у ступая по летным данным современным истребителям противника, имея мощное вооружение и большую дальность самолет может обеспечить надежное прикрытие бомбардировщиков при сопровождении или может вести эффективную борьбу с бомбардировщиками противника...”</w:t>
      </w:r>
    </w:p>
    <w:p w14:paraId="1A84CC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подписанным 12 декабря 1943 г. Начальником НИИ ВВС Лосюковым и Начальником 3 отдела НИИ ВВС КА инженер-полковником Сафроновым отмечалось:</w:t>
      </w:r>
    </w:p>
    <w:p w14:paraId="739D6B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Является нужным для ВВС КА самолетом;</w:t>
      </w:r>
    </w:p>
    <w:p w14:paraId="7936BC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Просить Шахурина:</w:t>
      </w:r>
    </w:p>
    <w:p w14:paraId="43FACE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выделить 2 мотора АМ-39</w:t>
      </w:r>
    </w:p>
    <w:p w14:paraId="07C56F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довести до летного состояния и предъявить на госиспытания к 1 февраля 1944 г.”.</w:t>
      </w:r>
    </w:p>
    <w:p w14:paraId="3C4D3D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М. Стефановский написал: “С заключением согласен”.</w:t>
      </w:r>
    </w:p>
    <w:p w14:paraId="7A3419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Заключения на эскизный проект отмечалось, что самолет предназначен в качестве истребителя сопровождения бомбардировщиков, действующих в радиусе 1000 км.</w:t>
      </w:r>
    </w:p>
    <w:p w14:paraId="3BBC1A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самолет может быть использован в качестве ночного истребителя, а также (в перегрузочном варианте) в качестве ближнего пикирующего бомбардировщика.</w:t>
      </w:r>
    </w:p>
    <w:p w14:paraId="3A4EDE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самолета было необычайно мощным и состояло из:</w:t>
      </w:r>
    </w:p>
    <w:p w14:paraId="7EB22E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носовой пушечной батареи из двух пушек ШВАК с запасом 300 снарядов;</w:t>
      </w:r>
    </w:p>
    <w:p w14:paraId="14A8D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центропланной установки из двух пушек НС-45 калибра 45 мм с запасом</w:t>
      </w:r>
    </w:p>
    <w:p w14:paraId="2D3447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снарядов (НС-45 могли быть заменены на пушки калибра 37 мм);</w:t>
      </w:r>
    </w:p>
    <w:p w14:paraId="49A82A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верхней оборонительной установки ВУБ-3 под пулеметУБ с запасом 200 патронов;</w:t>
      </w:r>
    </w:p>
    <w:p w14:paraId="53784B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 нагрузки 1000 кг (2 по 500 кг) снаружи, предусматривались 2 балки внутри фюзеляжа под бомбы калибра 100 кг, но при условии снятия центропланных пушек.</w:t>
      </w:r>
    </w:p>
    <w:p w14:paraId="48F999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отметить, что в Заключении была сделана запись: “Данное вооружение обеспечивает эффективное поражение любых воздушных целей, а при наличии бронирования позволит использовать самолет по наземным целям: автоколоннам, железнодорожным эшелонам, артиллерийским батареям и бронированным целям, имеющим броню до 30 мм” (9649).</w:t>
      </w:r>
    </w:p>
    <w:p w14:paraId="2A8E50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3F2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вышел совместный приказ НКАП и Командующего ВВС N 714/0244 об образовании комиссии для проведения совместных 50 часовых испытаний мотора М-71Ф производства 19 завода (949,56) приказываю:</w:t>
      </w:r>
    </w:p>
    <w:p w14:paraId="026EFA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Для проведения совместных 5—ти часовых испытаний мотора М-71Ф производства завода № 19 с данными:</w:t>
      </w:r>
    </w:p>
    <w:p w14:paraId="768ECF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Мощность взлетная - 2250 лс </w:t>
      </w:r>
    </w:p>
    <w:p w14:paraId="5FC24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номинальная - 2100 лс на 1 гр. высотности</w:t>
      </w:r>
    </w:p>
    <w:p w14:paraId="3BE8EF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номинальная - 1850 лс 2 грю высотности на 400 м</w:t>
      </w:r>
    </w:p>
    <w:p w14:paraId="723D2C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назначить комиссию в составе:</w:t>
      </w:r>
    </w:p>
    <w:p w14:paraId="2FD997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ВВС Г.В.Сеничкин (председатель)</w:t>
      </w:r>
    </w:p>
    <w:p w14:paraId="4986E0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А.М.Сабуров - член</w:t>
      </w:r>
    </w:p>
    <w:p w14:paraId="566D7A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Промышленности - В.С.Нитченко - член</w:t>
      </w:r>
    </w:p>
    <w:p w14:paraId="40FC3A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Комиссии приступить к испытаниям мотора М-71Ф немедленно.</w:t>
      </w:r>
    </w:p>
    <w:p w14:paraId="275166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Отчет и заключение представить на подпись не позднее чем через 10 дней по окончанию испытаний (949,56).</w:t>
      </w:r>
    </w:p>
    <w:p w14:paraId="78C420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E98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закончила работу макетная комиссия по ЛЛ-143 - будущему Бе-6 (1641,10).</w:t>
      </w:r>
    </w:p>
    <w:p w14:paraId="719B7A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5A9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А.А.М. была подготовлена справка для НКАП А.И.Ш. N 19880с по вопросу обеспечения завода N 300 - по строительству, оборудованию и кадром. Справку, подготовленную НКАП, А.А.М. не подписал (2562,10).</w:t>
      </w:r>
    </w:p>
    <w:p w14:paraId="5E15FA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629FA"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Другие оборонные отрасли:</w:t>
      </w:r>
    </w:p>
    <w:p w14:paraId="2F2515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BBE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 был подготовлен ПЛАН РАБОТ 3-го ОТДЕЛ А УПРАВЛЕНИЯ САМОХОДНОЙ АРТИЛЛЕРИИ ГБТУ КА НА ДЕКАБРЬ 1943 г.</w:t>
      </w:r>
    </w:p>
    <w:p w14:paraId="23A758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«Утверждаю» Начальник УСА ГБТУ КА генерал-майор инженерно-танковой службы Алымов</w:t>
      </w:r>
    </w:p>
    <w:tbl>
      <w:tblPr>
        <w:tblW w:w="0" w:type="auto"/>
        <w:tblInd w:w="40" w:type="dxa"/>
        <w:tblLayout w:type="fixed"/>
        <w:tblCellMar>
          <w:left w:w="40" w:type="dxa"/>
          <w:right w:w="40" w:type="dxa"/>
        </w:tblCellMar>
        <w:tblLook w:val="0000" w:firstRow="0" w:lastRow="0" w:firstColumn="0" w:lastColumn="0" w:noHBand="0" w:noVBand="0"/>
      </w:tblPr>
      <w:tblGrid>
        <w:gridCol w:w="470"/>
        <w:gridCol w:w="29"/>
        <w:gridCol w:w="5568"/>
        <w:gridCol w:w="48"/>
        <w:gridCol w:w="1200"/>
        <w:gridCol w:w="38"/>
        <w:gridCol w:w="816"/>
        <w:gridCol w:w="38"/>
        <w:gridCol w:w="1402"/>
        <w:gridCol w:w="10"/>
      </w:tblGrid>
      <w:tr w:rsidR="00A907A5" w:rsidRPr="00271E51" w14:paraId="4F05BC06" w14:textId="77777777" w:rsidTr="00ED5B0A">
        <w:trPr>
          <w:trHeight w:val="547"/>
        </w:trPr>
        <w:tc>
          <w:tcPr>
            <w:tcW w:w="470" w:type="dxa"/>
            <w:tcBorders>
              <w:top w:val="single" w:sz="6" w:space="0" w:color="auto"/>
              <w:left w:val="single" w:sz="6" w:space="0" w:color="auto"/>
              <w:bottom w:val="single" w:sz="6" w:space="0" w:color="auto"/>
              <w:right w:val="single" w:sz="6" w:space="0" w:color="auto"/>
            </w:tcBorders>
          </w:tcPr>
          <w:p w14:paraId="660AA8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п/п</w:t>
            </w:r>
          </w:p>
          <w:p w14:paraId="41DFD5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431D93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работ</w:t>
            </w:r>
          </w:p>
          <w:p w14:paraId="60C292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23893F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Исполнитель</w:t>
            </w:r>
          </w:p>
          <w:p w14:paraId="63586D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526406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исполне</w:t>
            </w:r>
            <w:r w:rsidRPr="00271E51">
              <w:rPr>
                <w:rFonts w:ascii="Times New Roman" w:hAnsi="Times New Roman"/>
                <w:color w:val="000000" w:themeColor="text1"/>
                <w:sz w:val="16"/>
                <w:szCs w:val="16"/>
              </w:rPr>
              <w:softHyphen/>
              <w:t>ния</w:t>
            </w:r>
          </w:p>
          <w:p w14:paraId="62542C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523BC5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w:t>
            </w:r>
          </w:p>
          <w:p w14:paraId="5A10BB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EBC5D0" w14:textId="77777777" w:rsidTr="00ED5B0A">
        <w:trPr>
          <w:trHeight w:val="230"/>
        </w:trPr>
        <w:tc>
          <w:tcPr>
            <w:tcW w:w="470" w:type="dxa"/>
            <w:tcBorders>
              <w:top w:val="single" w:sz="6" w:space="0" w:color="auto"/>
              <w:left w:val="single" w:sz="6" w:space="0" w:color="auto"/>
              <w:bottom w:val="single" w:sz="6" w:space="0" w:color="auto"/>
              <w:right w:val="single" w:sz="6" w:space="0" w:color="auto"/>
            </w:tcBorders>
          </w:tcPr>
          <w:p w14:paraId="2A0B1E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07B02C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0CB254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Составление отчета о работе 3 отдела УСА за 1 943 г.</w:t>
            </w:r>
          </w:p>
          <w:p w14:paraId="3052A3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6D43FA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Афанасенков</w:t>
            </w:r>
          </w:p>
          <w:p w14:paraId="63DFE0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1EC62BE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10-20</w:t>
            </w:r>
          </w:p>
          <w:p w14:paraId="338E7A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7BF410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228F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6810EE" w14:textId="77777777" w:rsidTr="00ED5B0A">
        <w:trPr>
          <w:trHeight w:val="634"/>
        </w:trPr>
        <w:tc>
          <w:tcPr>
            <w:tcW w:w="470" w:type="dxa"/>
            <w:tcBorders>
              <w:top w:val="single" w:sz="6" w:space="0" w:color="auto"/>
              <w:left w:val="single" w:sz="6" w:space="0" w:color="auto"/>
              <w:bottom w:val="single" w:sz="6" w:space="0" w:color="auto"/>
              <w:right w:val="single" w:sz="6" w:space="0" w:color="auto"/>
            </w:tcBorders>
          </w:tcPr>
          <w:p w14:paraId="1D107F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1CEE87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05BFDE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 за доработкой самоходной установки ИС-152, утверждение ее чертежей и разработкой тяжелых самоходных установок (122-мм и 152-мм пушки на заводах № 100, 172 и ЦАКБ)</w:t>
            </w:r>
          </w:p>
          <w:p w14:paraId="2CC8D4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2F9E94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Афанасенков</w:t>
            </w:r>
          </w:p>
          <w:p w14:paraId="71BE14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241C78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p w14:paraId="734A93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0F0DE3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в г. Челябинск, завод № 100.</w:t>
            </w:r>
          </w:p>
          <w:p w14:paraId="22E41E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333CFB0" w14:textId="77777777" w:rsidTr="00ED5B0A">
        <w:trPr>
          <w:trHeight w:val="230"/>
        </w:trPr>
        <w:tc>
          <w:tcPr>
            <w:tcW w:w="470" w:type="dxa"/>
            <w:tcBorders>
              <w:top w:val="single" w:sz="6" w:space="0" w:color="auto"/>
              <w:left w:val="single" w:sz="6" w:space="0" w:color="auto"/>
              <w:bottom w:val="single" w:sz="6" w:space="0" w:color="auto"/>
              <w:right w:val="single" w:sz="6" w:space="0" w:color="auto"/>
            </w:tcBorders>
          </w:tcPr>
          <w:p w14:paraId="475E31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03B05A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1F9B24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Участие в испытаниях 85-мм танковой пушки конструкции завода № 92</w:t>
            </w:r>
          </w:p>
          <w:p w14:paraId="1DD08C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64A0CD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Конев</w:t>
            </w:r>
          </w:p>
          <w:p w14:paraId="07FAD9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3D690D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10-25</w:t>
            </w:r>
          </w:p>
          <w:p w14:paraId="02257B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7310A1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на АНИОП</w:t>
            </w:r>
          </w:p>
          <w:p w14:paraId="600E64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CBE714E" w14:textId="77777777" w:rsidTr="00ED5B0A">
        <w:trPr>
          <w:trHeight w:val="432"/>
        </w:trPr>
        <w:tc>
          <w:tcPr>
            <w:tcW w:w="470" w:type="dxa"/>
            <w:tcBorders>
              <w:top w:val="single" w:sz="6" w:space="0" w:color="auto"/>
              <w:left w:val="single" w:sz="6" w:space="0" w:color="auto"/>
              <w:bottom w:val="single" w:sz="6" w:space="0" w:color="auto"/>
              <w:right w:val="single" w:sz="6" w:space="0" w:color="auto"/>
            </w:tcBorders>
          </w:tcPr>
          <w:p w14:paraId="15B346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p w14:paraId="199E42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6762AE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Участие в отработке опытных образцов 85-мм, 122-мм пушек повы</w:t>
            </w:r>
            <w:r w:rsidRPr="00271E51">
              <w:rPr>
                <w:rFonts w:ascii="Times New Roman" w:hAnsi="Times New Roman"/>
                <w:color w:val="000000" w:themeColor="text1"/>
                <w:sz w:val="16"/>
                <w:szCs w:val="16"/>
              </w:rPr>
              <w:softHyphen/>
              <w:t>шенной мощности</w:t>
            </w:r>
          </w:p>
          <w:p w14:paraId="4FC21B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64A499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Конев</w:t>
            </w:r>
          </w:p>
          <w:p w14:paraId="19AFBA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058848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p w14:paraId="584FFD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0FB097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8D9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CCED1E" w14:textId="77777777" w:rsidTr="00ED5B0A">
        <w:trPr>
          <w:trHeight w:val="432"/>
        </w:trPr>
        <w:tc>
          <w:tcPr>
            <w:tcW w:w="470" w:type="dxa"/>
            <w:tcBorders>
              <w:top w:val="single" w:sz="6" w:space="0" w:color="auto"/>
              <w:left w:val="single" w:sz="6" w:space="0" w:color="auto"/>
              <w:bottom w:val="single" w:sz="6" w:space="0" w:color="auto"/>
              <w:right w:val="single" w:sz="6" w:space="0" w:color="auto"/>
            </w:tcBorders>
          </w:tcPr>
          <w:p w14:paraId="110DAD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p w14:paraId="54C044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6F19E7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опытного образца СУ-85 на базе танка Т-70 (конструкция ГАЗ)</w:t>
            </w:r>
          </w:p>
          <w:p w14:paraId="4FE013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6258DA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Рябцев, Орлов</w:t>
            </w:r>
          </w:p>
          <w:p w14:paraId="05C951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175A89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w:t>
            </w:r>
          </w:p>
          <w:p w14:paraId="075468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4C3383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на АНИОП</w:t>
            </w:r>
          </w:p>
          <w:p w14:paraId="6F574A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D283F2" w14:textId="77777777" w:rsidTr="00ED5B0A">
        <w:trPr>
          <w:trHeight w:val="240"/>
        </w:trPr>
        <w:tc>
          <w:tcPr>
            <w:tcW w:w="470" w:type="dxa"/>
            <w:tcBorders>
              <w:top w:val="single" w:sz="6" w:space="0" w:color="auto"/>
              <w:left w:val="single" w:sz="6" w:space="0" w:color="auto"/>
              <w:bottom w:val="single" w:sz="6" w:space="0" w:color="auto"/>
              <w:right w:val="single" w:sz="6" w:space="0" w:color="auto"/>
            </w:tcBorders>
          </w:tcPr>
          <w:p w14:paraId="0AB139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p w14:paraId="4C04D1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97" w:type="dxa"/>
            <w:gridSpan w:val="2"/>
            <w:tcBorders>
              <w:top w:val="single" w:sz="6" w:space="0" w:color="auto"/>
              <w:left w:val="single" w:sz="6" w:space="0" w:color="auto"/>
              <w:bottom w:val="single" w:sz="6" w:space="0" w:color="auto"/>
              <w:right w:val="single" w:sz="6" w:space="0" w:color="auto"/>
            </w:tcBorders>
          </w:tcPr>
          <w:p w14:paraId="6FF1E7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Участие в комиссии по испытанию СУ-76 БМ (конструкции НАТИ, ЦАКБ)</w:t>
            </w:r>
          </w:p>
          <w:p w14:paraId="2E5781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gridSpan w:val="2"/>
            <w:tcBorders>
              <w:top w:val="single" w:sz="6" w:space="0" w:color="auto"/>
              <w:left w:val="single" w:sz="6" w:space="0" w:color="auto"/>
              <w:bottom w:val="single" w:sz="6" w:space="0" w:color="auto"/>
              <w:right w:val="single" w:sz="6" w:space="0" w:color="auto"/>
            </w:tcBorders>
          </w:tcPr>
          <w:p w14:paraId="6E08B7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Рябцев, Орлов</w:t>
            </w:r>
          </w:p>
          <w:p w14:paraId="5F6331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7B61B7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10-25</w:t>
            </w:r>
          </w:p>
          <w:p w14:paraId="6ECF5F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gridSpan w:val="3"/>
            <w:tcBorders>
              <w:top w:val="single" w:sz="6" w:space="0" w:color="auto"/>
              <w:left w:val="single" w:sz="6" w:space="0" w:color="auto"/>
              <w:bottom w:val="single" w:sz="6" w:space="0" w:color="auto"/>
              <w:right w:val="single" w:sz="6" w:space="0" w:color="auto"/>
            </w:tcBorders>
          </w:tcPr>
          <w:p w14:paraId="249474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на АНИОП</w:t>
            </w:r>
          </w:p>
          <w:p w14:paraId="6E56DF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2F7C34" w14:textId="77777777" w:rsidTr="00ED5B0A">
        <w:trPr>
          <w:gridAfter w:val="1"/>
          <w:wAfter w:w="10" w:type="dxa"/>
          <w:trHeight w:val="432"/>
        </w:trPr>
        <w:tc>
          <w:tcPr>
            <w:tcW w:w="499" w:type="dxa"/>
            <w:gridSpan w:val="2"/>
            <w:tcBorders>
              <w:top w:val="single" w:sz="6" w:space="0" w:color="auto"/>
              <w:left w:val="single" w:sz="6" w:space="0" w:color="auto"/>
              <w:bottom w:val="single" w:sz="6" w:space="0" w:color="auto"/>
              <w:right w:val="single" w:sz="6" w:space="0" w:color="auto"/>
            </w:tcBorders>
          </w:tcPr>
          <w:p w14:paraId="481CA19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0D6F42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006611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 за установкой 37-мм зенитной пушки, образца 1939 г. на базе СУ-15М, на заводах №38, 4 и 40</w:t>
            </w:r>
          </w:p>
          <w:p w14:paraId="66B657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7C4628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Василевский</w:t>
            </w:r>
          </w:p>
          <w:p w14:paraId="2A982E0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2B2A3EE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p w14:paraId="0EBACE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F9778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DDC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9FD3D4" w14:textId="77777777" w:rsidTr="00ED5B0A">
        <w:trPr>
          <w:gridAfter w:val="1"/>
          <w:wAfter w:w="10" w:type="dxa"/>
          <w:trHeight w:val="634"/>
        </w:trPr>
        <w:tc>
          <w:tcPr>
            <w:tcW w:w="499" w:type="dxa"/>
            <w:gridSpan w:val="2"/>
            <w:tcBorders>
              <w:top w:val="single" w:sz="6" w:space="0" w:color="auto"/>
              <w:left w:val="single" w:sz="6" w:space="0" w:color="auto"/>
              <w:bottom w:val="single" w:sz="6" w:space="0" w:color="auto"/>
              <w:right w:val="single" w:sz="6" w:space="0" w:color="auto"/>
            </w:tcBorders>
          </w:tcPr>
          <w:p w14:paraId="58BC88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p w14:paraId="53CD2D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01463F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 за проектированием и изготовлением крупнокалиберных зенитных установок пулемета ДШК на танках и самоходах и установкой 7,62-мм пулемета Горюнова на танках</w:t>
            </w:r>
          </w:p>
          <w:p w14:paraId="7EFB8A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12F80F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Колосов</w:t>
            </w:r>
          </w:p>
          <w:p w14:paraId="516C98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4E32D3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p w14:paraId="0EEE59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8E0E7D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в г. Челябинск, завод № 100.</w:t>
            </w:r>
          </w:p>
          <w:p w14:paraId="172A4B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EFCE01" w14:textId="77777777" w:rsidTr="00ED5B0A">
        <w:trPr>
          <w:gridAfter w:val="1"/>
          <w:wAfter w:w="10" w:type="dxa"/>
          <w:trHeight w:val="432"/>
        </w:trPr>
        <w:tc>
          <w:tcPr>
            <w:tcW w:w="499" w:type="dxa"/>
            <w:gridSpan w:val="2"/>
            <w:tcBorders>
              <w:top w:val="single" w:sz="6" w:space="0" w:color="auto"/>
              <w:left w:val="single" w:sz="6" w:space="0" w:color="auto"/>
              <w:bottom w:val="single" w:sz="6" w:space="0" w:color="auto"/>
              <w:right w:val="single" w:sz="6" w:space="0" w:color="auto"/>
            </w:tcBorders>
          </w:tcPr>
          <w:p w14:paraId="2A8E53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p w14:paraId="31315C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4DAA04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 вопроса о перевооружении танков Т-70 спаренными пуле</w:t>
            </w:r>
            <w:r w:rsidRPr="00271E51">
              <w:rPr>
                <w:rFonts w:ascii="Times New Roman" w:hAnsi="Times New Roman"/>
                <w:color w:val="000000" w:themeColor="text1"/>
                <w:sz w:val="16"/>
                <w:szCs w:val="16"/>
              </w:rPr>
              <w:softHyphen/>
              <w:t>метами</w:t>
            </w:r>
          </w:p>
          <w:p w14:paraId="0E7AF6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1E52EE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Колосов</w:t>
            </w:r>
          </w:p>
          <w:p w14:paraId="6E8611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285467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p w14:paraId="490E21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E1A51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272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DBC6A4" w14:textId="77777777" w:rsidTr="00ED5B0A">
        <w:trPr>
          <w:gridAfter w:val="1"/>
          <w:wAfter w:w="10" w:type="dxa"/>
          <w:trHeight w:val="422"/>
        </w:trPr>
        <w:tc>
          <w:tcPr>
            <w:tcW w:w="499" w:type="dxa"/>
            <w:gridSpan w:val="2"/>
            <w:tcBorders>
              <w:top w:val="single" w:sz="6" w:space="0" w:color="auto"/>
              <w:left w:val="single" w:sz="6" w:space="0" w:color="auto"/>
              <w:bottom w:val="single" w:sz="6" w:space="0" w:color="auto"/>
              <w:right w:val="single" w:sz="6" w:space="0" w:color="auto"/>
            </w:tcBorders>
          </w:tcPr>
          <w:p w14:paraId="24BEE9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p w14:paraId="4B0C39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2F0503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и испытание стабилизатора 85-мм и 76-мм пушек в танках Т-34 и ИС</w:t>
            </w:r>
          </w:p>
          <w:p w14:paraId="6E6C3E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49A779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Маргупис, Уткин</w:t>
            </w:r>
          </w:p>
          <w:p w14:paraId="38F15B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1E473A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p w14:paraId="2DA521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31177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251D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C276C5" w14:textId="77777777" w:rsidTr="00ED5B0A">
        <w:trPr>
          <w:gridAfter w:val="1"/>
          <w:wAfter w:w="10" w:type="dxa"/>
          <w:trHeight w:val="432"/>
        </w:trPr>
        <w:tc>
          <w:tcPr>
            <w:tcW w:w="499" w:type="dxa"/>
            <w:gridSpan w:val="2"/>
            <w:tcBorders>
              <w:top w:val="single" w:sz="6" w:space="0" w:color="auto"/>
              <w:left w:val="single" w:sz="6" w:space="0" w:color="auto"/>
              <w:bottom w:val="single" w:sz="6" w:space="0" w:color="auto"/>
              <w:right w:val="single" w:sz="6" w:space="0" w:color="auto"/>
            </w:tcBorders>
          </w:tcPr>
          <w:p w14:paraId="0C6076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p w14:paraId="6BA4FB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334A47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Отработка ТТТ на прицел для ИС-122 и СУ-152 по типу бинокулярно</w:t>
            </w:r>
            <w:r w:rsidRPr="00271E51">
              <w:rPr>
                <w:rFonts w:ascii="Times New Roman" w:hAnsi="Times New Roman"/>
                <w:color w:val="000000" w:themeColor="text1"/>
                <w:sz w:val="16"/>
                <w:szCs w:val="16"/>
              </w:rPr>
              <w:softHyphen/>
              <w:t>го прицела «Пантера»</w:t>
            </w:r>
          </w:p>
          <w:p w14:paraId="43AA2F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72E07C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Маргулис, Уткин</w:t>
            </w:r>
          </w:p>
          <w:p w14:paraId="290F92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5584DF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p w14:paraId="659124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38FD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4A8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A6174D" w14:textId="77777777" w:rsidTr="00ED5B0A">
        <w:trPr>
          <w:gridAfter w:val="1"/>
          <w:wAfter w:w="10" w:type="dxa"/>
          <w:trHeight w:val="432"/>
        </w:trPr>
        <w:tc>
          <w:tcPr>
            <w:tcW w:w="499" w:type="dxa"/>
            <w:gridSpan w:val="2"/>
            <w:tcBorders>
              <w:top w:val="single" w:sz="6" w:space="0" w:color="auto"/>
              <w:left w:val="single" w:sz="6" w:space="0" w:color="auto"/>
              <w:bottom w:val="single" w:sz="6" w:space="0" w:color="auto"/>
              <w:right w:val="single" w:sz="6" w:space="0" w:color="auto"/>
            </w:tcBorders>
          </w:tcPr>
          <w:p w14:paraId="6A531E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p w14:paraId="11BEB1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5BB11F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 по отчетам испытаний ломающегося прицела, прицела ПЦТ-8 и прицела ПТ-9</w:t>
            </w:r>
          </w:p>
          <w:p w14:paraId="350298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3FA672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Маргулис, Уткин</w:t>
            </w:r>
          </w:p>
          <w:p w14:paraId="6F8503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5CDE91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p w14:paraId="617255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A39EC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90B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7190FB" w14:textId="77777777" w:rsidTr="00ED5B0A">
        <w:trPr>
          <w:gridAfter w:val="1"/>
          <w:wAfter w:w="10" w:type="dxa"/>
          <w:trHeight w:val="451"/>
        </w:trPr>
        <w:tc>
          <w:tcPr>
            <w:tcW w:w="499" w:type="dxa"/>
            <w:gridSpan w:val="2"/>
            <w:tcBorders>
              <w:top w:val="single" w:sz="6" w:space="0" w:color="auto"/>
              <w:left w:val="single" w:sz="6" w:space="0" w:color="auto"/>
              <w:bottom w:val="single" w:sz="6" w:space="0" w:color="auto"/>
              <w:right w:val="single" w:sz="6" w:space="0" w:color="auto"/>
            </w:tcBorders>
          </w:tcPr>
          <w:p w14:paraId="4ED8AC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694B83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16" w:type="dxa"/>
            <w:gridSpan w:val="2"/>
            <w:tcBorders>
              <w:top w:val="single" w:sz="6" w:space="0" w:color="auto"/>
              <w:left w:val="single" w:sz="6" w:space="0" w:color="auto"/>
              <w:bottom w:val="single" w:sz="6" w:space="0" w:color="auto"/>
              <w:right w:val="single" w:sz="6" w:space="0" w:color="auto"/>
            </w:tcBorders>
          </w:tcPr>
          <w:p w14:paraId="11081BA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Участие в конференции работников оптико-механической промыш</w:t>
            </w:r>
            <w:r w:rsidRPr="00271E51">
              <w:rPr>
                <w:rFonts w:ascii="Times New Roman" w:hAnsi="Times New Roman"/>
                <w:color w:val="000000" w:themeColor="text1"/>
                <w:sz w:val="16"/>
                <w:szCs w:val="16"/>
              </w:rPr>
              <w:softHyphen/>
              <w:t>ленности при Государственном оптическом институте</w:t>
            </w:r>
          </w:p>
          <w:p w14:paraId="7F18D2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gridSpan w:val="2"/>
            <w:tcBorders>
              <w:top w:val="single" w:sz="6" w:space="0" w:color="auto"/>
              <w:left w:val="single" w:sz="6" w:space="0" w:color="auto"/>
              <w:bottom w:val="single" w:sz="6" w:space="0" w:color="auto"/>
              <w:right w:val="single" w:sz="6" w:space="0" w:color="auto"/>
            </w:tcBorders>
          </w:tcPr>
          <w:p w14:paraId="765A9CE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Маргулис</w:t>
            </w:r>
          </w:p>
          <w:p w14:paraId="0D41C2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gridSpan w:val="2"/>
            <w:tcBorders>
              <w:top w:val="single" w:sz="6" w:space="0" w:color="auto"/>
              <w:left w:val="single" w:sz="6" w:space="0" w:color="auto"/>
              <w:bottom w:val="single" w:sz="6" w:space="0" w:color="auto"/>
              <w:right w:val="single" w:sz="6" w:space="0" w:color="auto"/>
            </w:tcBorders>
          </w:tcPr>
          <w:p w14:paraId="2EBE43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10-20</w:t>
            </w:r>
          </w:p>
          <w:p w14:paraId="543E58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6DB5F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Выезд в г. Йошкар-Ола</w:t>
            </w:r>
          </w:p>
          <w:p w14:paraId="58F9D5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6D39F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И.о. начальника 3 отдела УСА ГБТУ КА инженер-майор Афанасенков</w:t>
      </w:r>
    </w:p>
    <w:p w14:paraId="6FA1E6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15. Л. 25 с об. Подлинник (11403).</w:t>
      </w:r>
    </w:p>
    <w:p w14:paraId="311E15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E5443"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1 декабря 1943 на НИБТ Полигоне приступили к испытаниям обстрелом Фердинанда. За это время была расширена номенклатура вооружения, которым планировалось обстреливать трофей. Помимо отечественных, немецких артиллерийских систем и пушек союзников использовалась и противотанковая граната НИИ-6, позже принятая на вооружение как РПГ-6. Как показали испытания, кумулятивная граната уверенно пробила борт самоходной установки, после чего струя пробила щит из дюймовых досок, установленный внутри корпуса.</w:t>
      </w:r>
    </w:p>
    <w:p w14:paraId="743387DF"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Следующей в списке оказалась 45-мм пушка, установленная в танке Т-70. Её бронебойный снаряд не пробил немецкую машину на дистанции 100 метров, что оказалось вполне ожидаемо. Зато подкалиберный снаряд на той же дистанции справился и с бортом корпуса, и с бортом рубки. На дистанции 200 метров подкалиберным снарядом удалось пробить борт, рубка оказалась прочнее.</w:t>
      </w:r>
    </w:p>
    <w:p w14:paraId="77F067AD"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Пробить борт немецкой самоходной установки оказалось по силам и 57-мм танковой пушке, установленной в танке Churchill. С дистанции 500 метров броня толщиной 80 (85) мм пробивалась уверенно. Огонь вёлся из 43-калиберной версии орудия, Valentine XI/X и Churchill III/IV поставок 1943 года имели более длинноствольные орудия.</w:t>
      </w:r>
    </w:p>
    <w:p w14:paraId="5CC646D1"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Хуже дела обстояли с обстрелом немецкой самоходной установки из 75-мм пушки M3, установленной в американском среднем танке M4A2. Бронебойный снаряд M61 не смог пробить борт рубки даже с дистанции 100 метров. Правда, два попадания по сварному шву, соединяющему лобовой и левый бортовой лист рубки, привели к его растрескиванию. Впрочем, тот же снаряд пробивал борт корпуса «Фердинанда» уже на дистанции 500 метров. Ещё хуже вёл себя бронебойный снаряд советской 76-мм танковой пушки Ф-34, что, впрочем, не было новостью.</w:t>
      </w:r>
    </w:p>
    <w:p w14:paraId="3D979A37"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Не удивили и результаты стрельбы по борту немецкой самоходной установки из пушки Д-5С, установленной в </w:t>
      </w:r>
      <w:hyperlink r:id="rId127" w:history="1">
        <w:r w:rsidRPr="00271E51">
          <w:rPr>
            <w:rStyle w:val="a5"/>
            <w:color w:val="000000" w:themeColor="text1"/>
            <w:sz w:val="16"/>
            <w:szCs w:val="16"/>
          </w:rPr>
          <w:t>СУ-85</w:t>
        </w:r>
      </w:hyperlink>
      <w:r w:rsidRPr="00271E51">
        <w:rPr>
          <w:color w:val="000000" w:themeColor="text1"/>
          <w:sz w:val="16"/>
          <w:szCs w:val="16"/>
        </w:rPr>
        <w:t>. На дистанции в 900 метров ею были уверенно пробиты и борт корпуса, и борт рубки. При попадании снаряда с внутренней стороны листа происходил откол брони, осколки не оставляли расчёту боевого отделения шансов на выживание. Впрочем, к моменту появления на фронте СУ-85, а затем и других советских боевых машин, оснащенных 85-мм пушками, шансы встретиться с «Фердинандом» на поле боя заметно снизились.</w:t>
      </w:r>
    </w:p>
    <w:p w14:paraId="7C040518"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Все перечисленные выше системы не использовались для обстрела самоходной установки с лобовой части, что и понятно: броню в 200 мм с их помощью вряд ли бы удалось пробить. Первым орудием, которое использовали для стрельбы по лобовому листу корпуса, стала 122-мм пушка Д-25, установленная в опытном образце танка ИС-2. Первый снаряд, выпущенный с расстояния 1400 метров по лобовому листу корпуса, пробил экран и срикошетировал. Второй снаряд, выпущенный на той же дистанции в рубку, оставил вмятину глубиной 100 мм и размером 210×200 мм. Третий снаряд застрял в броне, но всё же частично вошел в неё. Пробитие не зачли, но на практике такое поражение вывело бы расчёт орудия из строя. На более коротких дистанциях стрельбу в этот раз не проводили, но, как показали дальнейшие события, попадания на дистанции 1200 метров и меньше заканчивались пробитием. Испытатели же предельной дистанцией для пробития посчитали дистанцию 1000 метров.</w:t>
      </w:r>
    </w:p>
    <w:p w14:paraId="4144771C"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Далее последовал обстрел из 75-мм пушки KwK 42 L/71, установленной на немецком танке Pz.Kpfw.Panther Ausf.D. На дистанции 100 метров лоб корпуса удалось пробить. А вот рубку с 200 метров пробить не удалось.</w:t>
      </w:r>
    </w:p>
    <w:p w14:paraId="7A9A3DB7"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Самым же страшным испытанием стал обстрел из 152-мм гаубицы-пушки МЛ-20, установленной в опытном образце ИСУ-152. Второе попадание в лобовую часть корпуса привело к тому, что и экран, и лист были сломаны пополам. Не в последнюю очередь такой результат был получен из-за незаваренной амбразуры курсового пулемёта, который вновь установили на Elefant.</w:t>
      </w:r>
    </w:p>
    <w:p w14:paraId="0A3E9FCD"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На этом испытания обстрелом было решено прекратить. МЛ-20 превратила «Фердинанд» в груду обломков. Предполагалось отправить расстрелянную машину на трофейную выставку в Москву, но позже решение изменили. Для демонстрации была взята другая машина, которую также обстреливали (вполне вероятно, это был </w:t>
      </w:r>
      <w:r w:rsidRPr="00271E51">
        <w:rPr>
          <w:color w:val="000000" w:themeColor="text1"/>
          <w:sz w:val="16"/>
          <w:szCs w:val="16"/>
        </w:rPr>
        <w:lastRenderedPageBreak/>
        <w:t>«Фердинанд», который обстреляли летом 1943 года). В паре к ней на выставку отправилась и целая самоходная установка. Машина с бортовым номером 501 осталась на НИБТ Полигоне (17707).</w:t>
      </w:r>
    </w:p>
    <w:p w14:paraId="1F853AF0" w14:textId="77777777" w:rsidR="00416C29" w:rsidRPr="00271E51" w:rsidRDefault="00416C29" w:rsidP="00271E51">
      <w:pPr>
        <w:spacing w:after="0" w:line="240" w:lineRule="auto"/>
        <w:jc w:val="both"/>
        <w:rPr>
          <w:rFonts w:ascii="Times New Roman" w:hAnsi="Times New Roman"/>
          <w:color w:val="000000" w:themeColor="text1"/>
          <w:sz w:val="16"/>
          <w:szCs w:val="16"/>
        </w:rPr>
      </w:pPr>
    </w:p>
    <w:p w14:paraId="5532DD42"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 1 по 14 декабря 1943 года на НИБТ Полигоне были обстреляны несколько танков. Первым делом «Пантеру» обстреляли из 45-мм танковой пушки, установленной в лёгком танке Т-70. По лобовой части корпуса из неё стрелять не стали. Результаты стрельбы по бортам оказались интересными: наклонный борт даже с дистанции 100 метров бронебойным снарядом пробить не удалось, а вот вертикальный борт в районе ходовой части был пробит с дистанции 500 метров. На «Пантерах» вертикальные борта должны были прикрываться 5-мм экранами, но на практике очень часто их не было. На дистанции 300 метров 45-мм пушкой удалось пробить корму, а на дистанции 400 метров — борт башни.</w:t>
      </w:r>
    </w:p>
    <w:p w14:paraId="1B5EFF2D"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Затем танк обстреляли подкалиберными снарядами. На дистанции 100 метров была пробита подвижная бронировка орудийной маски. Она была литой, что плохо отразилось на её стойкости.</w:t>
      </w:r>
    </w:p>
    <w:p w14:paraId="26701ECA"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Из 6-фунтового орудия, установленного в танке Churchill III, по лобовой части корпуса «Пантеры» тоже не стреляли. Борта корпуса и башни английской пушкой уверенно пробивались на дистанции 900–1100 метров. Из 75-мм танковой пушки M3, установленной в американском танке M4A2, борта «Пантеры» уверенно поражались на дистанции 700–900 метров. Советская 76-мм танковая пушка Ф-34 уверенно поражала борт немецкого танка с 1000 метров.</w:t>
      </w:r>
    </w:p>
    <w:p w14:paraId="365A0320"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Первой по лобовой части корпуса «Пантеры» довелось стрелять 85-мм системе Д-5, которой вооружались танки КВ-85 и </w:t>
      </w:r>
      <w:hyperlink r:id="rId128" w:history="1">
        <w:r w:rsidRPr="00271E51">
          <w:rPr>
            <w:rStyle w:val="a5"/>
            <w:color w:val="000000" w:themeColor="text1"/>
            <w:sz w:val="16"/>
            <w:szCs w:val="16"/>
          </w:rPr>
          <w:t>ИС-1</w:t>
        </w:r>
      </w:hyperlink>
      <w:r w:rsidRPr="00271E51">
        <w:rPr>
          <w:color w:val="000000" w:themeColor="text1"/>
          <w:sz w:val="16"/>
          <w:szCs w:val="16"/>
        </w:rPr>
        <w:t xml:space="preserve">, а также САУ </w:t>
      </w:r>
      <w:hyperlink r:id="rId129" w:history="1">
        <w:r w:rsidRPr="00271E51">
          <w:rPr>
            <w:rStyle w:val="a5"/>
            <w:color w:val="000000" w:themeColor="text1"/>
            <w:sz w:val="16"/>
            <w:szCs w:val="16"/>
          </w:rPr>
          <w:t>СУ-85</w:t>
        </w:r>
      </w:hyperlink>
      <w:r w:rsidRPr="00271E51">
        <w:rPr>
          <w:color w:val="000000" w:themeColor="text1"/>
          <w:sz w:val="16"/>
          <w:szCs w:val="16"/>
        </w:rPr>
        <w:t>. Результаты оказались крайне неприятными: выяснилось, что лоб корпуса не пробивается даже на дистанции 100 метров. При обстреле лобовой части корпуса наблюдались рикошеты, чему способствовали рациональные углы наклона листов. К пробитию привели лишь попадания в ослабленные предыдущими попаданиями места, а также в места сопряжения лобовых и бортовых листов. Вместе с тем при попаданиях 85-мм снарядов начинали разрушаться сварные швы. Стало ясно, что идея с поиском для замены Д-5 более мощным орудием была верной..</w:t>
      </w:r>
    </w:p>
    <w:p w14:paraId="3636B100"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«Сменщиком» Д-5Т являлась 122-мм танковая система Д-25Т, установленная в тяжёлом танке ИС-2. Первым же выстрелом с дистанции 1400 метров броня «Пантеры» оказалась пробитой. Кстати, с этим обстрелом связан миф о том, что 122-мм снаряд пробил лоб корпуса немецкого танка, после чего выломал кормовой лист. В реальности при стрельбе по борту башни танка с номером 535 снаряд пробил её левый борт и выломал правый, сорвав его с башни и отбросив на несколько метров назад.</w:t>
      </w:r>
    </w:p>
    <w:p w14:paraId="6B3126B0"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 этому же танку выстрелили и из 152-мм системы МЛ-20, установленной в САУ ИСУ-152. При попадании с дистанции 1200 метров снаряд срикошетировал от верхнего лобового листа корпуса, но танку уже было всё равно. В месте попадания образовался пролом размером 360×470 мм, то есть машина гарантированно выводилась из строя. По другому танку из МЛ-20 стреляли в борт башни. При попадании осколочно-фугасного снаряда в башне образовался пролом размером 350×370 мм, затем снаряд взорвался внутри и частично её разрушил.</w:t>
      </w:r>
    </w:p>
    <w:p w14:paraId="57A61809"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Результаты испытаний свидетельствуют, что уже в конце 1943 года у Красной армии имелись надёжные средства для борьбы с немецким зверем. Тем не менее советские военные сделали правильные выводы. 85-мм орудие, которым планировалось вооружить и Т-34, оказалось недостаточно мощным для борьбы с немецким танком. В лобовой проекции оно уверенно поражало «Пантеру» лишь в подвижную бронировку орудийной маски, да и то лишь на расстоянии до километра.</w:t>
      </w:r>
    </w:p>
    <w:p w14:paraId="19F4F2E7"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качестве альтернативы для Д-5 рассматривалось орудие калибром 100 мм с баллистикой морской пушки Б-34. Разрабатывалось два похожих орудия — С-34 (ЦАКБ) и Д-10 (КБ завода №9). В конкурентной борьбе победу одержала Д-10. Но на испытаниях выяснилось, что лоб «Пантеры» пробивается из этой пушки на дистанции 1200 метров, с 1500 метров пробить лобовую броню немецкого танка не получилось.</w:t>
      </w:r>
    </w:p>
    <w:p w14:paraId="65175564" w14:textId="77777777" w:rsidR="00416C29" w:rsidRPr="00271E51" w:rsidRDefault="00416C29" w:rsidP="00271E51">
      <w:pPr>
        <w:pStyle w:val="ae"/>
        <w:shd w:val="clear" w:color="auto" w:fill="FFFFFF"/>
        <w:spacing w:before="0" w:after="0"/>
        <w:jc w:val="both"/>
        <w:rPr>
          <w:color w:val="000000" w:themeColor="text1"/>
          <w:sz w:val="16"/>
          <w:szCs w:val="16"/>
        </w:rPr>
      </w:pPr>
      <w:r w:rsidRPr="00271E51">
        <w:rPr>
          <w:color w:val="000000" w:themeColor="text1"/>
          <w:sz w:val="16"/>
          <w:szCs w:val="16"/>
        </w:rPr>
        <w:t>122-мм пушка Д-25 здесь выгодно отличалась: остроголовый снаряд БР-471 уверенно поражал лоб немецкого танка на дистанции 1500–2000 метров (правда, на самых дальних дистанциях отмечались рикошеты). А летом 1944 года был испытан тупоголовый снаряд БР-471Б, у которого дальность пробития лба немецкого танка увеличилась до 2500 метров (17729).</w:t>
      </w:r>
    </w:p>
    <w:p w14:paraId="4B33D67D" w14:textId="77777777" w:rsidR="00416C29" w:rsidRPr="00271E51" w:rsidRDefault="00416C29" w:rsidP="00271E51">
      <w:pPr>
        <w:spacing w:after="0" w:line="240" w:lineRule="auto"/>
        <w:jc w:val="both"/>
        <w:rPr>
          <w:rFonts w:ascii="Times New Roman" w:hAnsi="Times New Roman"/>
          <w:color w:val="000000" w:themeColor="text1"/>
          <w:sz w:val="16"/>
          <w:szCs w:val="16"/>
        </w:rPr>
      </w:pPr>
    </w:p>
    <w:p w14:paraId="1EB8483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вышло Распоряжение ГКО № 4710 [Об изготовлении мостовых конструкций на Днепропетровском заводе им. Молотова НКстроя.] (7162, 91).</w:t>
      </w:r>
    </w:p>
    <w:p w14:paraId="1EB802E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555C3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 из КРАТКОГО ТЕХНИЧЕСКОГО ОТЧЕТА О ДЕЯТЕЛЬНОСТИ ЗАВОДА № 644 ЗА ПЕРИОД 1942-1943 гг.</w:t>
      </w:r>
    </w:p>
    <w:p w14:paraId="29BECE0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новых конструкций и модернизация существующих</w:t>
      </w:r>
    </w:p>
    <w:p w14:paraId="17F35AB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1940 году Государственный союзный прожекторный завод имел номенклатуру изделий общим количеством 31 единица (не учитывая предметов ширпотреба). После эвакуации завод был вынужден большую часть выпускаемых изделий конструктивно и технологически переработать и разработать ряд новых конструкций применительно к условиям военного времени. В первый период после эвакуации завод не был в состоянии изготавливать ни зенитные прожекторы типа 3-15-4, ни осадочные ПС-6, которые являлись основными типами изделий до эвакуации. Чтобы обеспечить первоочередную потребность в зенитных прожекторах, заводом в короткий срок была разработана конструкция зенитного прожектора открытого типа 0-15-8. Этот прожектор отличался простотой конструкции, относительно малой трудоемкостью и не требовал для применения дефицитных материалов. Все это позволило быстро освоить производство открытых прожекторов и в марте 1942 года приступить к серийному выпуску последних. Вслед за зенитным прожектором 0-15-8 была разработана конструкция и освоено производство посадочно-маячных станций типа ПМ-9, взамен ранее выпускавшейся станции ПС-6. Первая партия этих станций была выпущена в августе 1942 года. Обеспечив первоочередную потребность в прожекторном вооружении, завод приступил к разработке зенитного прожектора закрытого типа, и с апреля 1943 года было начато производство прожекторных станций типа 3-15-11. Вслед за этим был разработан и освоен ряд прожекторов и электрических станций. Наряду с производством основных видов продукции завод изготавливает некоторые детали боеприпасов, асинхронные электродвигатели малой мощности и детали сельскохозяйственных машин.</w:t>
      </w:r>
    </w:p>
    <w:p w14:paraId="6DEB9C0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Эстрин</w:t>
      </w:r>
    </w:p>
    <w:p w14:paraId="02CCD2C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инженер завода Попов</w:t>
      </w:r>
    </w:p>
    <w:p w14:paraId="06BF761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34. Д. 160. Л. 5-12. Подлинник. Подписи-автографы. Документ составлен в 3 экз. 1943 г (12194).</w:t>
      </w:r>
    </w:p>
    <w:p w14:paraId="7A22EB22"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8A37B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вышло Распоряжение ГКО № 4711. О переносе срока выполнения плана поставки лесоматериалов предприятиям Комитета по делам кинематографии при СНК СССР.РГАНИР, Фонд ГКО, д. 181, лл. 92 (11012).</w:t>
      </w:r>
    </w:p>
    <w:p w14:paraId="22D1D1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CB3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года:</w:t>
      </w:r>
    </w:p>
    <w:p w14:paraId="27963E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эвакуации завода № 145 в 1941 году производственные площади издания, находящиеся на территории этого завода, были переданы заводу № 221 (ныне завод внутришлифовальных станков НК станкостроения, входивший тогда в состав НК танковой промышленности).</w:t>
      </w:r>
    </w:p>
    <w:p w14:paraId="49FAE7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1941 года совместным приказом НКАП и НК танкопрома филиал завода № 145 НКАП, оставшийся в Москве был передан заводу № 221 НК танковой промышленности) (8933).</w:t>
      </w:r>
    </w:p>
    <w:p w14:paraId="397F66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5729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B5B11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B3CB7C"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декабря </w:t>
      </w:r>
      <w:r w:rsidRPr="00271E51">
        <w:rPr>
          <w:rFonts w:ascii="Times New Roman" w:hAnsi="Times New Roman"/>
          <w:color w:val="000000" w:themeColor="text1"/>
          <w:sz w:val="16"/>
          <w:szCs w:val="16"/>
        </w:rPr>
        <w:t>в 1943 году оперативная сводка Совинформбюро:</w:t>
      </w:r>
    </w:p>
    <w:p w14:paraId="4F92081F"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декабря между реками Сож и Днепр,северо-западнее Гомеля,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304E705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с боями продвигались вперёди заняли несколько населённых пунктов, в том числе районный центр Полесской области Наровля.</w:t>
      </w:r>
    </w:p>
    <w:p w14:paraId="4C37B23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отбивая контратаки пехоты и танков противника, продолжали вести бои по расширению плацдарма на правом берегу Днепра.</w:t>
      </w:r>
    </w:p>
    <w:p w14:paraId="0FBC92D8"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в результате упорных боёв овладели сильноукреплёнными опорными пунктами противника Великая Скелева, Малая Скелева,Мироновка, Красно-Уральск, Ново-Покровка, Юлка-Новка, Бандуровка.</w:t>
      </w:r>
    </w:p>
    <w:p w14:paraId="505A180C"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B596B50"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ноября наши войска на всех фронтах подбили и уничтожили 49 немецких танков. В воздушных боях и огнём зенитной артиллерии сбито 46 самолётов противника.</w:t>
      </w:r>
    </w:p>
    <w:p w14:paraId="2076A592"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преодолевая сопротивление противника напромежуточных рубежах, заняли несколько населённых пунктов. На одном участке немцы, опираясь на сильно укреплённый узел обороны, оказывали упорное сопротивление. Советские бойцы обошли противника, а затем одновременными ударамис фланга и тыла разгромили его. На поле боя осталось до 700 вражеских трупов. На другом участке части Н-ского соединения овладели тремя населёнными пунктами. Захвачено у немцев 18 орудий, 49 пулемётов, 7 миномётов, много снарядов, мин и винтовочных патронов.</w:t>
      </w:r>
    </w:p>
    <w:p w14:paraId="02BA8CC9"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нижнего течения реки Припять наши войска с боями продвигались вперёд. Части Н-ского соединения, в результате ожесточённых боёв за переправы, форсировали Припять и овладели районным центром Полесской области Наровля. Преследуя разбитые части противника, наши бойцы заняли ещё несколько населённых пунктов. Захвачены трофеи и значительное число пленных.</w:t>
      </w:r>
    </w:p>
    <w:p w14:paraId="49B7BE15"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 наши войска продолжали вести бои по расширению плацдарма на правом берегу Днепра. В течение дня немцы неоднократно бросали в контратаки крупные силы пехоты, усиленной танками. Наши бойцы отбили все контратаки гитлеровцев и уничтожили более 1.000 немецких солдат и офицеров. Огнём советской артиллерии подбито и сожжено 26 танков противника. На другом участке наши подразделения окружили и истребили две роты немецких солдат. Захвачены пленные.</w:t>
      </w:r>
    </w:p>
    <w:p w14:paraId="2903F4E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поддерживая действия наземных войск, в воздушных боях за день сбили 16 немецких самолётов.</w:t>
      </w:r>
    </w:p>
    <w:p w14:paraId="17D771D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сломили сопротивление немцев и заняли несколько сильно укреплённых населённых пунктов. На одном участке крупные силы пехоты и танков противника пытались вернуть потерянные накануне позиции. Завязался ожесточённый бой. Под ударами наших войск немцы откатывались назад, но, собрав силы, вновь переходили в контратаки. В течение дня советские бойцы отразили пятнадцать контратак и истребили свыше 800 немецких солдат и офицеров. Подбито и сожжено 16 танков, 2 бронемашины, 6 самоходных орудий, 2 бронетранспортёра и уничтожено несколько артиллерийских и миномётных батарей противника.</w:t>
      </w:r>
    </w:p>
    <w:p w14:paraId="3F377E8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продолжала наносить удары по скоплениям войск и техники противника. В результате бомбардировки уничтожено и повреждено несколько танков,более 100 немецких автомашин, взорвано 8 складов с боеприпасами и склад сгорючим.</w:t>
      </w:r>
    </w:p>
    <w:p w14:paraId="4EFED69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в ночь на 1 декабря бомбардировали немецкие воинские эшелоны на железнодорожном узле Апостолово. Прямыми попаданиями бомб взорвано два железнодорожных состава.</w:t>
      </w:r>
    </w:p>
    <w:p w14:paraId="217A4F5F"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воздушных боях сбито 14 самолётов противника.</w:t>
      </w:r>
    </w:p>
    <w:p w14:paraId="6C43A90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Ленинградской области, с 12 по18 ноября пустили под откос 15 ненецких воинских эшелонов. Разбито 9 паровозов идо 180 вагонов и платформ с войсками, артиллерией, боеприпасами и другимивоенными грузами. В результате крушений убито и ранено много гитлеровцев. За этоже время ленинградские партизаны взорвали 43 моста на железнодорожных ишоссейных дорогах и вырезали. 36 километров телеграфно-телефонной линиисвязи.</w:t>
      </w:r>
    </w:p>
    <w:p w14:paraId="7AB96B1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части нанесли тяжёлые потери 76 немецкой пехотной дивизии и захватили в плен много солдат этой дивизии. Пленный ефрейтор10 роты 203 полка Людвиг Габиншаден рассказал: «76 пехотная дивизия сформированаво Франции, в Сен-Назере. После свержения Муссолини нас перебросили в Италию, в город Генуя. Итальянцы относились к нам враждебно. Многие жители прямо говорили,что во всех несчастьях, постигших Италию, виноваты Муссолини и немцы. В конце октября дивизию срочно перебросили на Восточный фронт».</w:t>
      </w:r>
    </w:p>
    <w:p w14:paraId="364ECFBD"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вместе со своим взводом лейтенант Кард Н.сообщил: «Я приехал из Италии с последним эшелоном 76 пехотной дивизии. Восьмого ноября эшелон выгрузился на станции Знаменка. В первых же боях мы на себе испытали силу русской артиллерии, танков и пехоты. Артиллерийский огонь ошеломил солдат и дезорганизовал нашу оборону. Особенно большие потери понесли 178 и 230 полки. Штаб 178 полка был разгромлен. От 230 полка остались солдаты, спасшиеся бегством. Офицеры говорят, что при таких крупных потерях дивизия скоро окажется небоеспособной. Видя, как много немцев гибнет на Украине, я понял, что война проиграна. Оказалось, что солдаты моего взвода пришли к такому же выводу, и мы сдались в плен».</w:t>
      </w:r>
    </w:p>
    <w:p w14:paraId="088452E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захватчики насильно угоняют мирных советских жителей. В пути немецкие солдаты, конвоирующие советских граждан, забирают у них наиболее ценные вещи, продовольствие и обрекают их на голодную смерть. Более того, установлен ряд случаев, когда фашистские мерзавцы убивают детей, нетрудоспособных мужчин и женщин, угнанных из родных городов и деревень в немецкий тыл. В городе Борисове, Минской области,скопилось большое количество мирных жителей, угнанных, немцами из разных районов. В середине ноября немецкие власти начали сортировать эвакуированных. Трудоспособных мужчин и женщин гитлеровцы отправляют на каторгу в Германию. Всех нетрудоспособных, в том числе и детей, немецкие людоеды расстреливают. Только задва дня—15 и 16 ноября в городе Борисове немецко-фашистские изверги убили 840 советских граждан, в большинстве стариков, детей и больных.» (14847).</w:t>
      </w:r>
    </w:p>
    <w:p w14:paraId="576D98E6"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228F8A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года обернулся трагедией для 47-го ШАП. Восемь штурмовиков, возглавляемых командиром 3-й эскадрильи, майором Каверзиным, атаковали немецкие суда, плывшие в порт Камыш-Бурун. Майор допустил роковую ошибку, снизившись в районе порта на высоту 30-50 м. Порт был буквально нашпигован мелкокалиберной зенитной артиллерией, кроме того имелось две четырехорудийные батареи тяжелых зениток. Немцам даже не пришлось поднимать стволы своих зенитных пушек, чтобы сбить все восемь Ил-2. Причем один штурмовик угодил в столб воды, поднятый крупнокалиберным снарядом. Истребители сопровождения вернулись без потерь, в результате авторитет истребительной авиации на Черном море оказался подорванным. Командование устроило разбирательство, но пилоты сопровождения смогли доказать, что их вины в разыгравшейся трагедии не было (2691).</w:t>
      </w:r>
    </w:p>
    <w:p w14:paraId="77CA77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57035" w14:textId="77777777" w:rsidR="00347E12" w:rsidRPr="00271E51" w:rsidRDefault="00347E12" w:rsidP="00271E51">
      <w:pPr>
        <w:pStyle w:val="ae"/>
        <w:spacing w:before="0" w:after="0"/>
        <w:jc w:val="both"/>
        <w:textAlignment w:val="baseline"/>
        <w:rPr>
          <w:color w:val="000000" w:themeColor="text1"/>
          <w:sz w:val="16"/>
          <w:szCs w:val="16"/>
        </w:rPr>
      </w:pPr>
      <w:r w:rsidRPr="00271E51">
        <w:rPr>
          <w:color w:val="000000" w:themeColor="text1"/>
          <w:sz w:val="16"/>
          <w:szCs w:val="16"/>
        </w:rPr>
        <w:t>1 декабря 1943 г. стало черным днем для 47-го шап ВВС ЧФ. Восемь Ил-2 вылетели для атаки вражеских судов, замеченных в порту Камыш-Бурун. При этом ведущий — командир 3-й эскадрильи майор Каверзин — решил нанести удар с бреющего полета. На подходе к порту штурмовики снизились до 40 метров. Однако немецкие посты наблюдения своевременно засекли их приближение, и все имевшиеся зенитки открыли шквальный огонь по «цементбомберам».</w:t>
      </w:r>
    </w:p>
    <w:p w14:paraId="5BEE764C" w14:textId="77777777" w:rsidR="00347E12" w:rsidRPr="00271E51" w:rsidRDefault="00347E12" w:rsidP="00271E51">
      <w:pPr>
        <w:pStyle w:val="ae"/>
        <w:spacing w:before="0" w:after="0"/>
        <w:jc w:val="both"/>
        <w:textAlignment w:val="baseline"/>
        <w:rPr>
          <w:color w:val="000000" w:themeColor="text1"/>
          <w:sz w:val="16"/>
          <w:szCs w:val="16"/>
        </w:rPr>
      </w:pPr>
      <w:r w:rsidRPr="00271E51">
        <w:rPr>
          <w:color w:val="000000" w:themeColor="text1"/>
          <w:sz w:val="16"/>
          <w:szCs w:val="16"/>
        </w:rPr>
        <w:t>Пилоты истребителей сопровождения, находившиеся выше, отчетливо видели, как один за другим охваченные пламенем Илы падали в воду. А один штурмовик вообще врезался в столб воды, поднятый взрывом крупнокалиберного снаряда. Число летящих машин стремительно таяло, и вскоре последний штурмовик, так и не дойдя до цели, упал в море…(19522).</w:t>
      </w:r>
    </w:p>
    <w:p w14:paraId="663D21AA" w14:textId="77777777" w:rsidR="00347E12" w:rsidRPr="00271E51" w:rsidRDefault="00347E12" w:rsidP="00271E51">
      <w:pPr>
        <w:pStyle w:val="ae"/>
        <w:spacing w:before="0" w:after="0"/>
        <w:jc w:val="both"/>
        <w:textAlignment w:val="baseline"/>
        <w:rPr>
          <w:color w:val="000000" w:themeColor="text1"/>
          <w:sz w:val="16"/>
          <w:szCs w:val="16"/>
        </w:rPr>
      </w:pPr>
    </w:p>
    <w:p w14:paraId="524171B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была создана 1-я восточная русская эскадрилья из завербованных пленных советских л. На вооружении были трофейные У-2, Ar-66 и Go-145. В марте 1944 перебросилив Лиду и там приступила к боевой работе, совершив к июлю 500 боевых вылетов. Никто не перерелетел назад. Потом раформировали и экипажи разбросали по другим частям (8689,32).</w:t>
      </w:r>
    </w:p>
    <w:p w14:paraId="33B4561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79DAD"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448D0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6883B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в СССР открылись первые суворовские училища (4962).</w:t>
      </w:r>
    </w:p>
    <w:p w14:paraId="1C91734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00FB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начались занятия в первых Суворовских училищах (3481).</w:t>
      </w:r>
    </w:p>
    <w:p w14:paraId="27BB90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54F49" w14:textId="77777777" w:rsidR="008C176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3AF9185" w14:textId="77777777" w:rsidR="008C1766" w:rsidRPr="00271E51" w:rsidRDefault="008C176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6E414F"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декабря </w:t>
      </w:r>
      <w:r w:rsidRPr="00271E51">
        <w:rPr>
          <w:rFonts w:ascii="Times New Roman" w:hAnsi="Times New Roman"/>
          <w:color w:val="000000" w:themeColor="text1"/>
          <w:sz w:val="16"/>
          <w:szCs w:val="16"/>
        </w:rPr>
        <w:t>в 1943 году завершилась Тегеранская конференция руководителей СССР, США и Великобритании. Приняты декларации о совместных действиях в войне против Германии и о послевоенном сотрудничестве трёх держав, решение об открытии не позднее 1 мая 1944 г. второго фронта в Европе, о послевоенных границах Польши и др. Делегация СССР, идя навстречу пожеланиям союзников, обещала объявить войну Японии после разгрома германской армии (14847).</w:t>
      </w:r>
    </w:p>
    <w:p w14:paraId="7DCC2AB1"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1C8ED4F2"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декабря </w:t>
      </w:r>
      <w:r w:rsidRPr="00271E51">
        <w:rPr>
          <w:rFonts w:ascii="Times New Roman" w:hAnsi="Times New Roman"/>
          <w:color w:val="000000" w:themeColor="text1"/>
          <w:sz w:val="16"/>
          <w:szCs w:val="16"/>
        </w:rPr>
        <w:t>в 1943 году парафирование главами правительств СССР, США и Великобритании военных решений Тегеранской конференции (14847).</w:t>
      </w:r>
    </w:p>
    <w:p w14:paraId="2E8C04AF"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4C9C6CF7"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 декабря </w:t>
      </w:r>
      <w:r w:rsidRPr="00271E51">
        <w:rPr>
          <w:rFonts w:ascii="Times New Roman" w:hAnsi="Times New Roman"/>
          <w:color w:val="000000" w:themeColor="text1"/>
          <w:sz w:val="16"/>
          <w:szCs w:val="16"/>
        </w:rPr>
        <w:t>в 1943 году опубликование коммюнике первой Каирской конференции США, Великобритании и Китая о целях войны против Японии (14847).</w:t>
      </w:r>
    </w:p>
    <w:p w14:paraId="280D0CD5"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17B21DB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72A19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1188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декабря 1943 в США была принята программа создания самолета, способного преодолеть звуковой барьер (2990).</w:t>
      </w:r>
    </w:p>
    <w:p w14:paraId="5CC0E8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86C3C"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декабря 1043 Соединенные Штаты вновь открывают бывший японский аэродром на Бетио на атолле Тарава как Хокинс-Филд для использования истребителями. В середине декабря он начнет обслуживать и тяжелые бомбардировщики (20376).</w:t>
      </w:r>
    </w:p>
    <w:p w14:paraId="077CF392" w14:textId="77777777" w:rsidR="00FB0459" w:rsidRPr="00271E51" w:rsidRDefault="00FB0459" w:rsidP="00271E51">
      <w:pPr>
        <w:spacing w:after="0" w:line="240" w:lineRule="auto"/>
        <w:jc w:val="both"/>
        <w:rPr>
          <w:rFonts w:ascii="Times New Roman" w:hAnsi="Times New Roman"/>
          <w:color w:val="0070C0"/>
          <w:sz w:val="16"/>
          <w:szCs w:val="16"/>
        </w:rPr>
      </w:pPr>
    </w:p>
    <w:p w14:paraId="5F98DD3D"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1 декабря 1943 года американские дневные боевые воздушные патрули над островами Гилберта были настолько эффективны, что 34 из 35 японских рейдов, осуществленных для атаки на атолл Тарава и Бутаритари, были совершены ночью. Японцы также трижды совершали налет на Абемаму за этот период. Всего японские удары за два месяца уничтожили 33 американских самолета, повредили девять и потопили десантный корабль (20373).</w:t>
      </w:r>
    </w:p>
    <w:p w14:paraId="066C45A8" w14:textId="77777777" w:rsidR="00FB0459" w:rsidRPr="00271E51" w:rsidRDefault="00FB0459" w:rsidP="00271E51">
      <w:pPr>
        <w:spacing w:after="0" w:line="240" w:lineRule="auto"/>
        <w:jc w:val="both"/>
        <w:rPr>
          <w:rFonts w:ascii="Times New Roman" w:hAnsi="Times New Roman"/>
          <w:color w:val="0070C0"/>
          <w:sz w:val="16"/>
          <w:szCs w:val="16"/>
        </w:rPr>
      </w:pPr>
    </w:p>
    <w:p w14:paraId="6F976B1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EF38D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7E7F89" w14:textId="77777777" w:rsidR="004E750B" w:rsidRPr="00271E51" w:rsidRDefault="004E750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 декабря 1943 забарахлил мотор Ил-2 зав. № 303124 с 111П, находященося на госиспытаниях на ПИПАВ. Кроме того, при контрольном осмотре самолета обнаружилась поломка болта стыковочного узла правой плоскости крыла. По этой причине испы</w:t>
      </w:r>
      <w:r w:rsidRPr="00271E51">
        <w:rPr>
          <w:color w:val="000000" w:themeColor="text1"/>
          <w:sz w:val="16"/>
          <w:szCs w:val="16"/>
        </w:rPr>
        <w:softHyphen/>
        <w:t>тания были приостановлены. После ремонта до</w:t>
      </w:r>
      <w:r w:rsidRPr="00271E51">
        <w:rPr>
          <w:color w:val="000000" w:themeColor="text1"/>
          <w:sz w:val="16"/>
          <w:szCs w:val="16"/>
        </w:rPr>
        <w:softHyphen/>
        <w:t>полнительно отстреляли 574 снаряда — из правой пушки (№ МЛ-209) и 506 снарядов — из левой пушки (№ СТ-348). Затем обе консоли отсоединили от центроплана. По результатам осмотра «с при</w:t>
      </w:r>
      <w:r w:rsidRPr="00271E51">
        <w:rPr>
          <w:color w:val="000000" w:themeColor="text1"/>
          <w:sz w:val="16"/>
          <w:szCs w:val="16"/>
        </w:rPr>
        <w:softHyphen/>
        <w:t>страстием» стыковочных узлов был сделан вывод, что их прочность вполне «удовлетворительная без аэродинамической нагрузки». Общий настрел на каждую пушку составил свыше 2000 выстрелов.</w:t>
      </w:r>
    </w:p>
    <w:p w14:paraId="0FEF4F7D" w14:textId="77777777" w:rsidR="004E750B" w:rsidRPr="00271E51" w:rsidRDefault="004E750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Замер усилия отдачи пушки 111П при стрельбе показал, что «максимальное значение силы отда</w:t>
      </w:r>
      <w:r w:rsidRPr="00271E51">
        <w:rPr>
          <w:color w:val="000000" w:themeColor="text1"/>
          <w:sz w:val="16"/>
          <w:szCs w:val="16"/>
        </w:rPr>
        <w:softHyphen/>
        <w:t>чи равно 6750 кг при откате ствола 210 мм» (в ги</w:t>
      </w:r>
      <w:r w:rsidRPr="00271E51">
        <w:rPr>
          <w:color w:val="000000" w:themeColor="text1"/>
          <w:sz w:val="16"/>
          <w:szCs w:val="16"/>
        </w:rPr>
        <w:softHyphen/>
        <w:t>дротормоз пушки был залит керосин сорта «А»</w:t>
      </w:r>
      <w:r w:rsidRPr="00271E51">
        <w:rPr>
          <w:rStyle w:val="BodytextItalic"/>
          <w:i w:val="0"/>
          <w:color w:val="000000" w:themeColor="text1"/>
          <w:sz w:val="16"/>
          <w:szCs w:val="16"/>
        </w:rPr>
        <w:t>).</w:t>
      </w:r>
      <w:r w:rsidRPr="00271E51">
        <w:rPr>
          <w:color w:val="000000" w:themeColor="text1"/>
          <w:sz w:val="16"/>
          <w:szCs w:val="16"/>
        </w:rPr>
        <w:t xml:space="preserve"> В моторном варианте на самолете Як-9т отдача пушки МП-45 была определена на уровне 6975 кг (17500).</w:t>
      </w:r>
    </w:p>
    <w:p w14:paraId="6AC92209" w14:textId="77777777" w:rsidR="004E750B" w:rsidRPr="00271E51" w:rsidRDefault="004E750B" w:rsidP="00271E51">
      <w:pPr>
        <w:spacing w:after="0" w:line="240" w:lineRule="auto"/>
        <w:jc w:val="both"/>
        <w:rPr>
          <w:rFonts w:ascii="Times New Roman" w:hAnsi="Times New Roman"/>
          <w:color w:val="000000" w:themeColor="text1"/>
          <w:sz w:val="16"/>
          <w:szCs w:val="16"/>
        </w:rPr>
      </w:pPr>
    </w:p>
    <w:p w14:paraId="0C74F243"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декабря 1943 г.</w:t>
      </w:r>
    </w:p>
    <w:p w14:paraId="7D7EB12E"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отчета завода № 18 об итогах работы завода в ноябре 1943 года</w:t>
      </w:r>
    </w:p>
    <w:p w14:paraId="00601E70"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декабря 1943 г.</w:t>
      </w:r>
    </w:p>
    <w:p w14:paraId="027C5162"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Сов. секретно</w:t>
      </w:r>
    </w:p>
    <w:p w14:paraId="764AD3E6"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Социалистическое соревнование и стахановское движение</w:t>
      </w:r>
    </w:p>
    <w:p w14:paraId="2FB008B8"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Наименование показателей</w:t>
      </w:r>
      <w:r w:rsidRPr="00271E51">
        <w:rPr>
          <w:rFonts w:ascii="Times New Roman" w:hAnsi="Times New Roman"/>
          <w:color w:val="0070C0"/>
          <w:sz w:val="16"/>
          <w:szCs w:val="16"/>
        </w:rPr>
        <w:tab/>
        <w:t>Количество или %</w:t>
      </w:r>
    </w:p>
    <w:p w14:paraId="0F4B3D4F"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Охват соревнованием всех работающих в цехах</w:t>
      </w:r>
      <w:r w:rsidRPr="00271E51">
        <w:rPr>
          <w:rFonts w:ascii="Times New Roman" w:hAnsi="Times New Roman"/>
          <w:color w:val="0070C0"/>
          <w:sz w:val="16"/>
          <w:szCs w:val="16"/>
        </w:rPr>
        <w:tab/>
        <w:t>13818</w:t>
      </w:r>
    </w:p>
    <w:p w14:paraId="547BB798"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работающих</w:t>
      </w:r>
      <w:r w:rsidRPr="00271E51">
        <w:rPr>
          <w:rFonts w:ascii="Times New Roman" w:hAnsi="Times New Roman"/>
          <w:color w:val="0070C0"/>
          <w:sz w:val="16"/>
          <w:szCs w:val="16"/>
        </w:rPr>
        <w:tab/>
        <w:t>85,1</w:t>
      </w:r>
    </w:p>
    <w:p w14:paraId="293F2F64"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Охвачено стахановским движением</w:t>
      </w:r>
      <w:r w:rsidRPr="00271E51">
        <w:rPr>
          <w:rFonts w:ascii="Times New Roman" w:hAnsi="Times New Roman"/>
          <w:color w:val="0070C0"/>
          <w:sz w:val="16"/>
          <w:szCs w:val="16"/>
        </w:rPr>
        <w:tab/>
        <w:t>9001</w:t>
      </w:r>
    </w:p>
    <w:p w14:paraId="7809DBC0"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работающих</w:t>
      </w:r>
      <w:r w:rsidRPr="00271E51">
        <w:rPr>
          <w:rFonts w:ascii="Times New Roman" w:hAnsi="Times New Roman"/>
          <w:color w:val="0070C0"/>
          <w:sz w:val="16"/>
          <w:szCs w:val="16"/>
        </w:rPr>
        <w:tab/>
        <w:t>45,9</w:t>
      </w:r>
    </w:p>
    <w:p w14:paraId="2D405F72"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Число ударников</w:t>
      </w:r>
      <w:r w:rsidRPr="00271E51">
        <w:rPr>
          <w:rFonts w:ascii="Times New Roman" w:hAnsi="Times New Roman"/>
          <w:color w:val="0070C0"/>
          <w:sz w:val="16"/>
          <w:szCs w:val="16"/>
        </w:rPr>
        <w:tab/>
        <w:t>4734</w:t>
      </w:r>
    </w:p>
    <w:p w14:paraId="199A5449"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работающих</w:t>
      </w:r>
      <w:r w:rsidRPr="00271E51">
        <w:rPr>
          <w:rFonts w:ascii="Times New Roman" w:hAnsi="Times New Roman"/>
          <w:color w:val="0070C0"/>
          <w:sz w:val="16"/>
          <w:szCs w:val="16"/>
        </w:rPr>
        <w:tab/>
        <w:t>24,1</w:t>
      </w:r>
    </w:p>
    <w:p w14:paraId="50A02D04"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Число двухсотников</w:t>
      </w:r>
      <w:r w:rsidRPr="00271E51">
        <w:rPr>
          <w:rFonts w:ascii="Times New Roman" w:hAnsi="Times New Roman"/>
          <w:color w:val="0070C0"/>
          <w:sz w:val="16"/>
          <w:szCs w:val="16"/>
        </w:rPr>
        <w:tab/>
        <w:t>3171</w:t>
      </w:r>
    </w:p>
    <w:p w14:paraId="2BEBCAA5"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сдельщиков</w:t>
      </w:r>
      <w:r w:rsidRPr="00271E51">
        <w:rPr>
          <w:rFonts w:ascii="Times New Roman" w:hAnsi="Times New Roman"/>
          <w:color w:val="0070C0"/>
          <w:sz w:val="16"/>
          <w:szCs w:val="16"/>
        </w:rPr>
        <w:tab/>
        <w:t>32,1</w:t>
      </w:r>
    </w:p>
    <w:p w14:paraId="0FC9EDC4"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Число трех-, четырех- и пятисотников</w:t>
      </w:r>
      <w:r w:rsidRPr="00271E51">
        <w:rPr>
          <w:rFonts w:ascii="Times New Roman" w:hAnsi="Times New Roman"/>
          <w:color w:val="0070C0"/>
          <w:sz w:val="16"/>
          <w:szCs w:val="16"/>
        </w:rPr>
        <w:tab/>
        <w:t>848</w:t>
      </w:r>
    </w:p>
    <w:p w14:paraId="50B3392A"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сдельщиков</w:t>
      </w:r>
      <w:r w:rsidRPr="00271E51">
        <w:rPr>
          <w:rFonts w:ascii="Times New Roman" w:hAnsi="Times New Roman"/>
          <w:color w:val="0070C0"/>
          <w:sz w:val="16"/>
          <w:szCs w:val="16"/>
        </w:rPr>
        <w:tab/>
        <w:t>8,6</w:t>
      </w:r>
    </w:p>
    <w:p w14:paraId="06A4EC9C"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Количество фронтовых коллективов:</w:t>
      </w:r>
      <w:r w:rsidRPr="00271E51">
        <w:rPr>
          <w:rFonts w:ascii="Times New Roman" w:hAnsi="Times New Roman"/>
          <w:color w:val="0070C0"/>
          <w:sz w:val="16"/>
          <w:szCs w:val="16"/>
        </w:rPr>
        <w:tab/>
      </w:r>
    </w:p>
    <w:p w14:paraId="0015C2D1"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а) бригад</w:t>
      </w:r>
      <w:r w:rsidRPr="00271E51">
        <w:rPr>
          <w:rFonts w:ascii="Times New Roman" w:hAnsi="Times New Roman"/>
          <w:color w:val="0070C0"/>
          <w:sz w:val="16"/>
          <w:szCs w:val="16"/>
        </w:rPr>
        <w:tab/>
        <w:t>348</w:t>
      </w:r>
    </w:p>
    <w:p w14:paraId="5DDF6A7F"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б)групп</w:t>
      </w:r>
      <w:r w:rsidRPr="00271E51">
        <w:rPr>
          <w:rFonts w:ascii="Times New Roman" w:hAnsi="Times New Roman"/>
          <w:color w:val="0070C0"/>
          <w:sz w:val="16"/>
          <w:szCs w:val="16"/>
        </w:rPr>
        <w:tab/>
        <w:t>79</w:t>
      </w:r>
    </w:p>
    <w:p w14:paraId="5F05682C"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мастерских и участков</w:t>
      </w:r>
      <w:r w:rsidRPr="00271E51">
        <w:rPr>
          <w:rFonts w:ascii="Times New Roman" w:hAnsi="Times New Roman"/>
          <w:color w:val="0070C0"/>
          <w:sz w:val="16"/>
          <w:szCs w:val="16"/>
        </w:rPr>
        <w:tab/>
        <w:t>14</w:t>
      </w:r>
    </w:p>
    <w:p w14:paraId="6D7A45E2"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 смен</w:t>
      </w:r>
      <w:r w:rsidRPr="00271E51">
        <w:rPr>
          <w:rFonts w:ascii="Times New Roman" w:hAnsi="Times New Roman"/>
          <w:color w:val="0070C0"/>
          <w:sz w:val="16"/>
          <w:szCs w:val="16"/>
        </w:rPr>
        <w:tab/>
        <w:t>Z</w:t>
      </w:r>
    </w:p>
    <w:p w14:paraId="06D7F082"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Охвачено рабочих фронтовыми коллективами</w:t>
      </w:r>
      <w:r w:rsidRPr="00271E51">
        <w:rPr>
          <w:rFonts w:ascii="Times New Roman" w:hAnsi="Times New Roman"/>
          <w:color w:val="0070C0"/>
          <w:sz w:val="16"/>
          <w:szCs w:val="16"/>
        </w:rPr>
        <w:tab/>
        <w:t>4662</w:t>
      </w:r>
    </w:p>
    <w:p w14:paraId="25325304"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их к общему числу производственных рабочих</w:t>
      </w:r>
      <w:r w:rsidRPr="00271E51">
        <w:rPr>
          <w:rFonts w:ascii="Times New Roman" w:hAnsi="Times New Roman"/>
          <w:color w:val="0070C0"/>
          <w:sz w:val="16"/>
          <w:szCs w:val="16"/>
        </w:rPr>
        <w:tab/>
        <w:t>4U,j</w:t>
      </w:r>
    </w:p>
    <w:p w14:paraId="16A7853D"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Директор завода</w:t>
      </w:r>
      <w:r w:rsidRPr="00271E51">
        <w:rPr>
          <w:rFonts w:ascii="Times New Roman" w:hAnsi="Times New Roman"/>
          <w:color w:val="0070C0"/>
          <w:sz w:val="16"/>
          <w:szCs w:val="16"/>
        </w:rPr>
        <w:tab/>
        <w:t>Белянский</w:t>
      </w:r>
    </w:p>
    <w:p w14:paraId="33AF4542"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Начальник ПЭО</w:t>
      </w:r>
      <w:r w:rsidRPr="00271E51">
        <w:rPr>
          <w:rFonts w:ascii="Times New Roman" w:hAnsi="Times New Roman"/>
          <w:color w:val="0070C0"/>
          <w:sz w:val="16"/>
          <w:szCs w:val="16"/>
        </w:rPr>
        <w:tab/>
        <w:t>Юдин</w:t>
      </w:r>
    </w:p>
    <w:p w14:paraId="6600D57B"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ГАСО</w:t>
      </w:r>
      <w:r w:rsidRPr="00271E51">
        <w:rPr>
          <w:rFonts w:ascii="Times New Roman" w:hAnsi="Times New Roman"/>
          <w:color w:val="0070C0"/>
          <w:sz w:val="16"/>
          <w:szCs w:val="16"/>
          <w:lang w:val="en-US"/>
        </w:rPr>
        <w:t xml:space="preserve">. </w:t>
      </w:r>
      <w:r w:rsidRPr="00271E51">
        <w:rPr>
          <w:rFonts w:ascii="Times New Roman" w:hAnsi="Times New Roman"/>
          <w:color w:val="0070C0"/>
          <w:sz w:val="16"/>
          <w:szCs w:val="16"/>
        </w:rPr>
        <w:t>Ф</w:t>
      </w:r>
      <w:r w:rsidRPr="00271E51">
        <w:rPr>
          <w:rFonts w:ascii="Times New Roman" w:hAnsi="Times New Roman"/>
          <w:color w:val="0070C0"/>
          <w:sz w:val="16"/>
          <w:szCs w:val="16"/>
          <w:lang w:val="en-US"/>
        </w:rPr>
        <w:t xml:space="preserve">. P-3454. On. 1. </w:t>
      </w:r>
      <w:r w:rsidRPr="00271E51">
        <w:rPr>
          <w:rFonts w:ascii="Times New Roman" w:hAnsi="Times New Roman"/>
          <w:color w:val="0070C0"/>
          <w:sz w:val="16"/>
          <w:szCs w:val="16"/>
        </w:rPr>
        <w:t>Д</w:t>
      </w:r>
      <w:r w:rsidRPr="00271E51">
        <w:rPr>
          <w:rFonts w:ascii="Times New Roman" w:hAnsi="Times New Roman"/>
          <w:color w:val="0070C0"/>
          <w:sz w:val="16"/>
          <w:szCs w:val="16"/>
          <w:lang w:val="en-US"/>
        </w:rPr>
        <w:t xml:space="preserve">. 38. </w:t>
      </w:r>
      <w:r w:rsidRPr="00271E51">
        <w:rPr>
          <w:rFonts w:ascii="Times New Roman" w:hAnsi="Times New Roman"/>
          <w:color w:val="0070C0"/>
          <w:sz w:val="16"/>
          <w:szCs w:val="16"/>
        </w:rPr>
        <w:t>Л</w:t>
      </w:r>
      <w:r w:rsidRPr="00271E51">
        <w:rPr>
          <w:rFonts w:ascii="Times New Roman" w:hAnsi="Times New Roman"/>
          <w:color w:val="0070C0"/>
          <w:sz w:val="16"/>
          <w:szCs w:val="16"/>
          <w:lang w:val="en-US"/>
        </w:rPr>
        <w:t xml:space="preserve">. 4-5. </w:t>
      </w:r>
      <w:r w:rsidRPr="00271E51">
        <w:rPr>
          <w:rFonts w:ascii="Times New Roman" w:hAnsi="Times New Roman"/>
          <w:color w:val="0070C0"/>
          <w:sz w:val="16"/>
          <w:szCs w:val="16"/>
        </w:rPr>
        <w:t>Подлинник (20514).</w:t>
      </w:r>
    </w:p>
    <w:p w14:paraId="490ACE16" w14:textId="77777777" w:rsidR="00FB0459" w:rsidRPr="00271E51" w:rsidRDefault="00FB0459" w:rsidP="00271E51">
      <w:pPr>
        <w:spacing w:after="0" w:line="240" w:lineRule="auto"/>
        <w:jc w:val="both"/>
        <w:rPr>
          <w:rFonts w:ascii="Times New Roman" w:hAnsi="Times New Roman"/>
          <w:color w:val="0070C0"/>
          <w:sz w:val="16"/>
          <w:szCs w:val="16"/>
        </w:rPr>
      </w:pPr>
    </w:p>
    <w:p w14:paraId="412B9E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вышел приказ НКАП N 717с:</w:t>
      </w:r>
    </w:p>
    <w:p w14:paraId="4167CF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отработки самолета Су-6 в 2-х местном варианте под АМ-42:</w:t>
      </w:r>
    </w:p>
    <w:p w14:paraId="467FCB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и ГК завода 289 П.О.С.:</w:t>
      </w:r>
    </w:p>
    <w:p w14:paraId="2FB248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переоборудовать опытный одномоторный штурмовик Су-6 с М-71, прошедший гос. испытания с положительной оценкой, под АМ-42 со сроком выпуска самолета на летные испытания 20 декабря 1943.</w:t>
      </w:r>
    </w:p>
    <w:p w14:paraId="65A0D9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построить 2-й экз. самолета Су-6 в 2-х местном варианте с АМ-42 с учетом исправлений, выявленных на летных испытаниях первого экз. со сроком выпуска на летные испытания 15 апреля 1944 (1766,137).</w:t>
      </w:r>
    </w:p>
    <w:p w14:paraId="66B9D1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CD868" w14:textId="77777777" w:rsidR="00FB0459" w:rsidRPr="00271E51" w:rsidRDefault="00FB0459"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2 декабря 1943на</w:t>
      </w:r>
      <w:r w:rsidRPr="00271E51">
        <w:rPr>
          <w:rFonts w:ascii="Times New Roman" w:hAnsi="Times New Roman" w:cs="Times New Roman"/>
          <w:color w:val="0070C0"/>
          <w:sz w:val="16"/>
          <w:szCs w:val="16"/>
        </w:rPr>
        <w:softHyphen/>
        <w:t>рком Шахурин издал приказ №717с, согласно которому Сухой обязы</w:t>
      </w:r>
      <w:r w:rsidRPr="00271E51">
        <w:rPr>
          <w:rFonts w:ascii="Times New Roman" w:hAnsi="Times New Roman" w:cs="Times New Roman"/>
          <w:color w:val="0070C0"/>
          <w:sz w:val="16"/>
          <w:szCs w:val="16"/>
        </w:rPr>
        <w:softHyphen/>
        <w:t>вался не позже 20 декабря предъявить на летные испытания опытный Су-6 АМ-42, а к 15 июня - второй опытный экземпляр Су-6 АМ-42. Моторный и радиаторный за</w:t>
      </w:r>
      <w:r w:rsidRPr="00271E51">
        <w:rPr>
          <w:rFonts w:ascii="Times New Roman" w:hAnsi="Times New Roman" w:cs="Times New Roman"/>
          <w:color w:val="0070C0"/>
          <w:sz w:val="16"/>
          <w:szCs w:val="16"/>
        </w:rPr>
        <w:softHyphen/>
        <w:t>воды должны были до 5 декабря поста</w:t>
      </w:r>
      <w:r w:rsidRPr="00271E51">
        <w:rPr>
          <w:rFonts w:ascii="Times New Roman" w:hAnsi="Times New Roman" w:cs="Times New Roman"/>
          <w:color w:val="0070C0"/>
          <w:sz w:val="16"/>
          <w:szCs w:val="16"/>
        </w:rPr>
        <w:softHyphen/>
        <w:t>вить заводу №289 летный мотор АМ-42 и водо-воздушный радиатор (19853).</w:t>
      </w:r>
    </w:p>
    <w:p w14:paraId="71C6C1B4" w14:textId="77777777" w:rsidR="00FB0459" w:rsidRPr="00271E51" w:rsidRDefault="00FB0459" w:rsidP="00271E51">
      <w:pPr>
        <w:pStyle w:val="7f"/>
        <w:shd w:val="clear" w:color="auto" w:fill="auto"/>
        <w:spacing w:line="240" w:lineRule="auto"/>
        <w:ind w:firstLine="0"/>
        <w:jc w:val="both"/>
        <w:rPr>
          <w:rFonts w:ascii="Times New Roman" w:hAnsi="Times New Roman" w:cs="Times New Roman"/>
          <w:color w:val="0070C0"/>
          <w:sz w:val="16"/>
          <w:szCs w:val="16"/>
        </w:rPr>
      </w:pPr>
    </w:p>
    <w:p w14:paraId="01A8B5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П.О.С. завизировал проект приказа НКАП (вероятно так и не вышел - Жданов завизировал 27.12.43 и в марте 1944 - отправили в дело)</w:t>
      </w:r>
    </w:p>
    <w:p w14:paraId="4035F7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накопления опыта по эксплоатации реактивных двигателей - ПРИКАЗЫВАЮ:</w:t>
      </w:r>
    </w:p>
    <w:p w14:paraId="7166E1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Директору и главному конструктору завода № 289 тов. Сухому выпустить к 15 мая 1944 года одноместный экземпляр са-та Су-6 с реактивным двигателем ОКБ завода № 16, заменив мотор М-71 на М-33 с 2ТК-3.</w:t>
      </w:r>
    </w:p>
    <w:p w14:paraId="12F4F5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 19 тов. Солдатову подать заводу № 289 мотор М-83 к 15 марта 1944 года.</w:t>
      </w:r>
    </w:p>
    <w:p w14:paraId="5A7315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Директору завода № 300 тов. Тихомирнову изготовить два компрессора ТК-3 и подать их заводу № 289 к 1 апреля года.</w:t>
      </w:r>
    </w:p>
    <w:p w14:paraId="0C13D9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Директору завода № 35 тов.Марочкину и главному конструктору тов. Жданову изготовить к 15 апреля 1944 года для завода № 289 одан четнрёхлопастный винт АВ-9 диаметром 3,3 мт под мотор М-83.</w:t>
      </w:r>
    </w:p>
    <w:p w14:paraId="709777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Директору завода № 16 тов. Лукину и начальнику ОКБ завода № 16 тов. Бекетову изготовить для завода № 289 два комплекта (по 2 экземпляра) реактивных однокамерных двигателей конструкции ОКБ завода № 16 с помпой, приводом к мотору М-83 и агрегатами пуска в следующие сроки: 1-й комплект - к 15 марта 1944 г., 2-й комплект - к 15 апреля 1944 года.</w:t>
      </w:r>
    </w:p>
    <w:p w14:paraId="7DD5DD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Главному конструктору завода № 124 тов. Ворошину подать заводу № 289 два комплекта масляных радиаторов, обеспечиващих съем тепла с мотора М-83 с 2ТК-3 в следующие сроки: 1 комплект к 1 апреля 1944 года, 1 комплект к 15 мая 1944 года.</w:t>
      </w:r>
    </w:p>
    <w:p w14:paraId="10A0E6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Начальнику 7-го Главного Управления тов .Шишкину рассмотреть смету финансирования работ и утвердить её у Заместителя Наркома тов. Яковлева.</w:t>
      </w:r>
    </w:p>
    <w:p w14:paraId="07C50C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Перевести к 10 марта 1944 года на зазод № 289 работников.завода № 464 в количестве 40 человек, проживающих на жил. Площади завода № 289 в г.Тушино (1825,14).</w:t>
      </w:r>
    </w:p>
    <w:p w14:paraId="2D7B1D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20BD8F"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2 декабря 1943 г. возможно, под давлением военных НКАП своим приказом от потребо</w:t>
      </w:r>
      <w:r w:rsidRPr="00271E51">
        <w:rPr>
          <w:rFonts w:ascii="Times New Roman" w:cs="Times New Roman"/>
          <w:color w:val="000000" w:themeColor="text1"/>
          <w:spacing w:val="0"/>
        </w:rPr>
        <w:softHyphen/>
        <w:t>вал от П.О. Сухого разработать модификацию самолета Су-6 под мотор АМ-42, которую тре</w:t>
      </w:r>
      <w:r w:rsidRPr="00271E51">
        <w:rPr>
          <w:rFonts w:ascii="Times New Roman" w:cs="Times New Roman"/>
          <w:color w:val="000000" w:themeColor="text1"/>
          <w:spacing w:val="0"/>
        </w:rPr>
        <w:softHyphen/>
        <w:t>бовалось предъявить на летные испытания уже через 18 суток.</w:t>
      </w:r>
    </w:p>
    <w:p w14:paraId="6E1510EE"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39376F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года в связи с отсутствием серийно</w:t>
      </w:r>
      <w:r w:rsidRPr="00271E51">
        <w:rPr>
          <w:rFonts w:ascii="Times New Roman" w:hAnsi="Times New Roman"/>
          <w:color w:val="000000" w:themeColor="text1"/>
          <w:sz w:val="16"/>
          <w:szCs w:val="16"/>
        </w:rPr>
        <w:softHyphen/>
        <w:t>го производства мотора М-71Ф, приказом №717 НКАП обязал П.О.Сухого:</w:t>
      </w:r>
    </w:p>
    <w:p w14:paraId="1EC030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 переоборудовать опытный одномоторной штурмовик Су-6 с М-71, прошедший государственные испытания с положительной оцен</w:t>
      </w:r>
      <w:r w:rsidRPr="00271E51">
        <w:rPr>
          <w:rFonts w:ascii="Times New Roman" w:hAnsi="Times New Roman"/>
          <w:color w:val="000000" w:themeColor="text1"/>
          <w:sz w:val="16"/>
          <w:szCs w:val="16"/>
        </w:rPr>
        <w:softHyphen/>
        <w:t>кой, под мотор АМ-42 со сроком выпуска самолета на летные испы</w:t>
      </w:r>
      <w:r w:rsidRPr="00271E51">
        <w:rPr>
          <w:rFonts w:ascii="Times New Roman" w:hAnsi="Times New Roman"/>
          <w:color w:val="000000" w:themeColor="text1"/>
          <w:sz w:val="16"/>
          <w:szCs w:val="16"/>
        </w:rPr>
        <w:softHyphen/>
        <w:t>тания к 20 декабря 1943 года;</w:t>
      </w:r>
    </w:p>
    <w:p w14:paraId="4E1706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построить второй экземпляр самолета Су-6 в двухместном ва</w:t>
      </w:r>
      <w:r w:rsidRPr="00271E51">
        <w:rPr>
          <w:rFonts w:ascii="Times New Roman" w:hAnsi="Times New Roman"/>
          <w:color w:val="000000" w:themeColor="text1"/>
          <w:sz w:val="16"/>
          <w:szCs w:val="16"/>
        </w:rPr>
        <w:softHyphen/>
        <w:t>рианте с мотором АМ-42 с учетом исправлений, выявленных на летных испытаниях первого экземпляра со сроком выпуска на летные испыта</w:t>
      </w:r>
      <w:r w:rsidRPr="00271E51">
        <w:rPr>
          <w:rFonts w:ascii="Times New Roman" w:hAnsi="Times New Roman"/>
          <w:color w:val="000000" w:themeColor="text1"/>
          <w:sz w:val="16"/>
          <w:szCs w:val="16"/>
        </w:rPr>
        <w:softHyphen/>
        <w:t>ния к 15.У1 - 1944 г. ...» (11845).</w:t>
      </w:r>
    </w:p>
    <w:p w14:paraId="645D7C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9A713"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года приказом НКАП № 717с П. О. Сухой обязывался переоборудовать опытный Су-6 под мотор жидкостного охлаждения АМ-42 (1750/2000 л. с.) и к 20 декабря предъявить самолет на летные испытания. Одновременно следовало строить второй экземпляр Су-6 с АМ-42 со сроком выпуска на летные испытания к 15 июня 1944 года.</w:t>
      </w:r>
    </w:p>
    <w:p w14:paraId="48DB859A"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Стрелково-пушечное и ракетное вооружение оставалось прежним, но нормальная бомбовая нагрузка возрастала до 400 кг (в перегрузку 600 кг).</w:t>
      </w:r>
    </w:p>
    <w:p w14:paraId="28A14EF8"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При полетах по программе государственных испытаний был выявлен ряд серьезных конструктивных и производственных дефектов установленного на Су-6 экземпляра АМ-42 зав. № 4252 (дымление на всех режимах работы, тряска, повышенный в 4–5 раз расход масла, загорание смеси во всасывающих патрубках при запуске мотора на земле – 4 случая). Ни в одном из полетов мотор нормально не работал. По этой причине летные данные Су-6 АМ-42 в полном объеме снять не удалось.</w:t>
      </w:r>
    </w:p>
    <w:p w14:paraId="4F5F5AC2"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Су-6 АМ-42 при полетном весе 6200 кг у земли составила 492 км/ч, на высоте 1860 м – 521 км/ч. На высоту 1000 м самолет забирался за 2 мин.</w:t>
      </w:r>
    </w:p>
    <w:p w14:paraId="18299614"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крупнокалиберные пушки 11П заменили 23-мм пушками ВЯ (240 патронов). Вес нормальной бомбовой нагрузки увеличился до 600 кг (17490).</w:t>
      </w:r>
    </w:p>
    <w:p w14:paraId="0E6F2954" w14:textId="77777777" w:rsidR="004E750B" w:rsidRPr="00271E51" w:rsidRDefault="004E750B" w:rsidP="00271E51">
      <w:pPr>
        <w:spacing w:after="0" w:line="240" w:lineRule="auto"/>
        <w:jc w:val="both"/>
        <w:rPr>
          <w:rFonts w:ascii="Times New Roman" w:eastAsia="Times New Roman" w:hAnsi="Times New Roman"/>
          <w:color w:val="000000" w:themeColor="text1"/>
          <w:sz w:val="16"/>
          <w:szCs w:val="16"/>
          <w:lang w:eastAsia="ru-RU"/>
        </w:rPr>
      </w:pPr>
    </w:p>
    <w:p w14:paraId="5991277F"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года умудренный опытом подготовки сложных «политических» решений нарком А. И. Шахурин издал приказ № 717с, согласно которому П. О. Сухой обязывался переделать опытный Су-6 под мотор АМ-42 и к 20 декабря предъявить самолет на летные испытания. Одновременно требовалось построить второй экземпляр Су-6 с АМ-42 со сроком выпуска на летные испытания к 15 июня 1944 года.</w:t>
      </w:r>
    </w:p>
    <w:p w14:paraId="30A524E1" w14:textId="77777777" w:rsidR="004E750B" w:rsidRPr="00271E51" w:rsidRDefault="004E750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Этот шаг можно расценивать как страховку от возможных в будущем упреков в свой адрес и в адрес наркомата в бездействии и «зажиме» лучших образцов вооружения. С другой стороны, если у Сухого все получится, то будет из чего выбрать, можно договариваться с военными и вырабатывать компромиссное решение (1740).</w:t>
      </w:r>
    </w:p>
    <w:p w14:paraId="4A849B3D" w14:textId="77777777" w:rsidR="004E750B" w:rsidRPr="00271E51" w:rsidRDefault="004E750B" w:rsidP="00271E51">
      <w:pPr>
        <w:spacing w:after="0" w:line="240" w:lineRule="auto"/>
        <w:jc w:val="both"/>
        <w:rPr>
          <w:rFonts w:ascii="Times New Roman" w:eastAsia="Times New Roman" w:hAnsi="Times New Roman"/>
          <w:color w:val="000000" w:themeColor="text1"/>
          <w:sz w:val="16"/>
          <w:szCs w:val="16"/>
          <w:lang w:eastAsia="ru-RU"/>
        </w:rPr>
      </w:pPr>
    </w:p>
    <w:p w14:paraId="5C444248" w14:textId="77777777" w:rsidR="004E750B" w:rsidRPr="00271E51" w:rsidRDefault="004E750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 дека</w:t>
      </w:r>
      <w:r w:rsidRPr="00271E51">
        <w:rPr>
          <w:color w:val="000000" w:themeColor="text1"/>
          <w:sz w:val="16"/>
          <w:szCs w:val="16"/>
        </w:rPr>
        <w:softHyphen/>
        <w:t>бря 1943 г. возможно, под давлением военных наркомат авиапромышленности своим приказом потребовал от П. О. Сухого разработать модификацию самолета Су-6 под мотор АМ-42. Стрелково-пушечное и ракетное вооружение ново</w:t>
      </w:r>
      <w:r w:rsidRPr="00271E51">
        <w:rPr>
          <w:color w:val="000000" w:themeColor="text1"/>
          <w:sz w:val="16"/>
          <w:szCs w:val="16"/>
        </w:rPr>
        <w:softHyphen/>
        <w:t>го штурмовика оставалось прежним, но нормаль</w:t>
      </w:r>
      <w:r w:rsidRPr="00271E51">
        <w:rPr>
          <w:color w:val="000000" w:themeColor="text1"/>
          <w:sz w:val="16"/>
          <w:szCs w:val="16"/>
        </w:rPr>
        <w:softHyphen/>
        <w:t>ная бомбовая нагрузка увеличивалась до 400 кг. Срок предъявления опытного самолета Су-6 АМ-42 на летные испытания устанавливался весьма жест</w:t>
      </w:r>
      <w:r w:rsidRPr="00271E51">
        <w:rPr>
          <w:color w:val="000000" w:themeColor="text1"/>
          <w:sz w:val="16"/>
          <w:szCs w:val="16"/>
        </w:rPr>
        <w:softHyphen/>
        <w:t>кий — 20 декабря 1943 г.</w:t>
      </w:r>
    </w:p>
    <w:p w14:paraId="41AFBD2A" w14:textId="77777777" w:rsidR="004E750B" w:rsidRPr="00271E51" w:rsidRDefault="004E750B" w:rsidP="00271E51">
      <w:pPr>
        <w:spacing w:after="0" w:line="240" w:lineRule="auto"/>
        <w:jc w:val="both"/>
        <w:rPr>
          <w:rFonts w:ascii="Times New Roman" w:eastAsia="Times New Roman" w:hAnsi="Times New Roman"/>
          <w:color w:val="000000" w:themeColor="text1"/>
          <w:sz w:val="16"/>
          <w:szCs w:val="16"/>
          <w:lang w:eastAsia="ru-RU"/>
        </w:rPr>
      </w:pPr>
    </w:p>
    <w:p w14:paraId="0DF8DB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 декабря 1943 г. по 7 марта 1944 г. проходил летные заводские испытания 1-й экземпляр самолета МИГ с мотором АМ-39А с 2ТК-2Б без герметической кабины. На летные испытания этот самолет был выпущен с опозданием на 2 месяца из-за несвоевременной подачи мотора АМ-39 заводом N 300. За время летных испытаний, самолет произвел девять полетов, из них:</w:t>
      </w:r>
    </w:p>
    <w:p w14:paraId="1F09EF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полета без включения ТК на 1-й скорости нагнетателя на высотах до 5000 м,</w:t>
      </w:r>
    </w:p>
    <w:p w14:paraId="5B39DD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полета на 2-й скорости нагнетателя без включения ТК на высотах 800 и 3000 м,</w:t>
      </w:r>
    </w:p>
    <w:p w14:paraId="5603DE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полета с включением ТК на высотах 1000, 2000, 3000, 4000, 8000 и 9300 м.</w:t>
      </w:r>
    </w:p>
    <w:p w14:paraId="6D7737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испытаний имело место падение давления масла и колебания в давлении бензина. Эти дефекты были устранены и в последних полетах не наблюдались. При полете 7.02.1944 года с работающим ТК самолет разбился. Летчик выбросился на парашюте с высоты 900 м. Причиной аварии самолета явилась неправильная оценка обстановки летчиком Журавлевым, которым было принято за начавшийся пожар - появление дыма в кабине и длинных факелов пламени из выхлопных патрубков ТК (1825,208).</w:t>
      </w:r>
    </w:p>
    <w:p w14:paraId="118BE6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2D4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состоялся первый полет И-221 (2А) МиГ, но заводские испытания не были завершены из-за аварии (4,250) - разрушился шатун двигателя и л покинул самолет (1084,44).</w:t>
      </w:r>
    </w:p>
    <w:p w14:paraId="506B95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первых полетах летал П.А.Журавлев, а затем продолжил л ЛИИ А.П.Якимов (1085,43).</w:t>
      </w:r>
    </w:p>
    <w:p w14:paraId="4A5591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C9182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был выполнен первый полет опытного высотного истребителя-перехватчика И-221 (2А) ОКБ "МиГ" (6395).</w:t>
      </w:r>
    </w:p>
    <w:p w14:paraId="70B1A18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FC6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после ремонта и доработки самолет И-221 выполнил первый полет. В ходе испытаний в основном отрабатывали силовую установку. Однако истребитель И-221 успел выполнить только 8 полетов с налетом 3 ч. (5852,38).</w:t>
      </w:r>
    </w:p>
    <w:p w14:paraId="4BC527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588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после ремонта, самолет И—221 выполнил первый полет. Заводские испытания в основном бы</w:t>
      </w:r>
      <w:r w:rsidRPr="00271E51">
        <w:rPr>
          <w:rFonts w:ascii="Times New Roman" w:hAnsi="Times New Roman"/>
          <w:color w:val="000000" w:themeColor="text1"/>
          <w:sz w:val="16"/>
          <w:szCs w:val="16"/>
        </w:rPr>
        <w:softHyphen/>
        <w:t>ли нацелены на доводку силовой установки. 7 февра</w:t>
      </w:r>
      <w:r w:rsidRPr="00271E51">
        <w:rPr>
          <w:rFonts w:ascii="Times New Roman" w:hAnsi="Times New Roman"/>
          <w:color w:val="000000" w:themeColor="text1"/>
          <w:sz w:val="16"/>
          <w:szCs w:val="16"/>
        </w:rPr>
        <w:softHyphen/>
        <w:t>ля 1944 г. самолет под управлением П.А.Журавлева поднялся в воздух в десятый раз. Летчик доложил, что высоте 9000 м машина загорелась и он был вы</w:t>
      </w:r>
      <w:r w:rsidRPr="00271E51">
        <w:rPr>
          <w:rFonts w:ascii="Times New Roman" w:hAnsi="Times New Roman"/>
          <w:color w:val="000000" w:themeColor="text1"/>
          <w:sz w:val="16"/>
          <w:szCs w:val="16"/>
        </w:rPr>
        <w:softHyphen/>
        <w:t>нужден прыгнуть с парашютом. Впоследствии ко</w:t>
      </w:r>
      <w:r w:rsidRPr="00271E51">
        <w:rPr>
          <w:rFonts w:ascii="Times New Roman" w:hAnsi="Times New Roman"/>
          <w:color w:val="000000" w:themeColor="text1"/>
          <w:sz w:val="16"/>
          <w:szCs w:val="16"/>
        </w:rPr>
        <w:softHyphen/>
        <w:t>миссия, созданная для расследования аварии, уста</w:t>
      </w:r>
      <w:r w:rsidRPr="00271E51">
        <w:rPr>
          <w:rFonts w:ascii="Times New Roman" w:hAnsi="Times New Roman"/>
          <w:color w:val="000000" w:themeColor="text1"/>
          <w:sz w:val="16"/>
          <w:szCs w:val="16"/>
        </w:rPr>
        <w:softHyphen/>
        <w:t>новила, что ее причиной явилась неправильная оценка обстановки летчиком, который принял появ</w:t>
      </w:r>
      <w:r w:rsidRPr="00271E51">
        <w:rPr>
          <w:rFonts w:ascii="Times New Roman" w:hAnsi="Times New Roman"/>
          <w:color w:val="000000" w:themeColor="text1"/>
          <w:sz w:val="16"/>
          <w:szCs w:val="16"/>
        </w:rPr>
        <w:softHyphen/>
        <w:t>ление длинных факелов пламени, истекавших из выхлопных патрубков ТК, и дыма в кабине за начав</w:t>
      </w:r>
      <w:r w:rsidRPr="00271E51">
        <w:rPr>
          <w:rFonts w:ascii="Times New Roman" w:hAnsi="Times New Roman"/>
          <w:color w:val="000000" w:themeColor="text1"/>
          <w:sz w:val="16"/>
          <w:szCs w:val="16"/>
        </w:rPr>
        <w:softHyphen/>
        <w:t>шийся пожар. Увы, опытный самолет был безвоз</w:t>
      </w:r>
      <w:r w:rsidRPr="00271E51">
        <w:rPr>
          <w:rFonts w:ascii="Times New Roman" w:hAnsi="Times New Roman"/>
          <w:color w:val="000000" w:themeColor="text1"/>
          <w:sz w:val="16"/>
          <w:szCs w:val="16"/>
        </w:rPr>
        <w:softHyphen/>
        <w:t>вратно потерян. Пришлось быстро строить новый. Этот вариант высотного истребителя отличался от предшествен</w:t>
      </w:r>
      <w:r w:rsidRPr="00271E51">
        <w:rPr>
          <w:rFonts w:ascii="Times New Roman" w:hAnsi="Times New Roman"/>
          <w:color w:val="000000" w:themeColor="text1"/>
          <w:sz w:val="16"/>
          <w:szCs w:val="16"/>
        </w:rPr>
        <w:softHyphen/>
        <w:t xml:space="preserve">ника, в основном, наличием герметической кабины. Машину, получившую обозначение </w:t>
      </w:r>
      <w:r w:rsidRPr="00271E51">
        <w:rPr>
          <w:rFonts w:ascii="Times New Roman" w:hAnsi="Times New Roman"/>
          <w:iCs/>
          <w:color w:val="000000" w:themeColor="text1"/>
          <w:sz w:val="16"/>
          <w:szCs w:val="16"/>
        </w:rPr>
        <w:t xml:space="preserve">И—222 </w:t>
      </w:r>
      <w:r w:rsidRPr="00271E51">
        <w:rPr>
          <w:rFonts w:ascii="Times New Roman" w:hAnsi="Times New Roman"/>
          <w:color w:val="000000" w:themeColor="text1"/>
          <w:sz w:val="16"/>
          <w:szCs w:val="16"/>
        </w:rPr>
        <w:t>и шифр «ЗА», закончили в производстве 23 апреля 1944 г. По конструкции самолет в целом повторял И—221. Его оснастили опытным мотором АМ—39Б, отличав</w:t>
      </w:r>
      <w:r w:rsidRPr="00271E51">
        <w:rPr>
          <w:rFonts w:ascii="Times New Roman" w:hAnsi="Times New Roman"/>
          <w:color w:val="000000" w:themeColor="text1"/>
          <w:sz w:val="16"/>
          <w:szCs w:val="16"/>
        </w:rPr>
        <w:softHyphen/>
        <w:t>шимся от прототипа «перевернутым» нагнетателем, обеспечивавшим более удобное подключение турбо</w:t>
      </w:r>
      <w:r w:rsidRPr="00271E51">
        <w:rPr>
          <w:rFonts w:ascii="Times New Roman" w:hAnsi="Times New Roman"/>
          <w:color w:val="000000" w:themeColor="text1"/>
          <w:sz w:val="16"/>
          <w:szCs w:val="16"/>
        </w:rPr>
        <w:softHyphen/>
        <w:t>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взамен водо-воздуш-ного. Оболочку гермокабины изготовили из алюми</w:t>
      </w:r>
      <w:r w:rsidRPr="00271E51">
        <w:rPr>
          <w:rFonts w:ascii="Times New Roman" w:hAnsi="Times New Roman"/>
          <w:color w:val="000000" w:themeColor="text1"/>
          <w:sz w:val="16"/>
          <w:szCs w:val="16"/>
        </w:rPr>
        <w:softHyphen/>
        <w:t>ниевого сплава АМЦ. Максимальная расчетная ско</w:t>
      </w:r>
      <w:r w:rsidRPr="00271E51">
        <w:rPr>
          <w:rFonts w:ascii="Times New Roman" w:hAnsi="Times New Roman"/>
          <w:color w:val="000000" w:themeColor="text1"/>
          <w:sz w:val="16"/>
          <w:szCs w:val="16"/>
        </w:rPr>
        <w:softHyphen/>
        <w:t>рость должна была составить 689 км/ч на высоте 12500 м, а практический потолок — 13000—14000 м. Вооружение включало две синхронные 20-мм пушки СШ—20 с боезапасом по 100 патронов (9984).</w:t>
      </w:r>
    </w:p>
    <w:p w14:paraId="34ABB8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D645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опытный И-221 выполнил первый полет, а 7 февраля 1944 г. под управлением П.А. Журавлева он поднялся в воздух в десятый раз. Летчик доложил, что на высоте 9000 м машина загорелась, и он был вынужден покинуть ее с парашютом. Впоследствии комиссия, созданная для расследования аварии, установила, что причиной явилась неправильная оценка обстановки летчиком, который принял появление длинных факе- Двигатель АМ-39В лов пламени из выхлопных патрубков турбокомпрессоров и дыма в кабине за начавшийся пожар. Увы, опытный самолет был безвозвратно потерян.</w:t>
      </w:r>
    </w:p>
    <w:p w14:paraId="494204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Пришлось быстро построить новый. Этот вариант высотного истребителя отличался от предшественника наличием герметической кабины. Машину, получившую обозначение И-222 и шифр "ЗА", закончили в производстве 23 апреля 1944 г. Самолет оснастили опытным мотором АМ-39Б, отличавшимся от прототипа иным способом подключения турбокомпрессоров ТК-2Б, а также измененной маслосистемой. Кроме того, в системе охлаждения воздуха, подаваемого в карбюратор двигателя, применили воздухо-воздушный радиатор вместо водо- воздушного. Максимальная расчетная скорость должна была составить 689 км/ч на высоте 12 500 м, а практический потолок - 13 000-14 000 м. Вооружение включало две синхронные 20-мм пушки СШ-20 с боезапасом по 100 патронов (12045).</w:t>
      </w:r>
    </w:p>
    <w:p w14:paraId="04BA23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D8B0D" w14:textId="77777777" w:rsidR="008C1766" w:rsidRPr="00271E51" w:rsidRDefault="008C1766"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2 декабря 1943 года</w:t>
      </w:r>
      <w:r w:rsidRPr="00271E51">
        <w:rPr>
          <w:rStyle w:val="ucoz-forum-post"/>
          <w:rFonts w:ascii="Times New Roman" w:hAnsi="Times New Roman"/>
          <w:color w:val="000000" w:themeColor="text1"/>
          <w:sz w:val="16"/>
          <w:szCs w:val="16"/>
        </w:rPr>
        <w:t xml:space="preserve"> Первый полет опытного высотного истребителя И-221(2А) конструкции А.И.Микояна, пилот П.А.Журавлев.</w:t>
      </w:r>
    </w:p>
    <w:p w14:paraId="60CC6868" w14:textId="77777777" w:rsidR="008C1766" w:rsidRPr="00271E51" w:rsidRDefault="008C1766"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И-221 (2А) - высотный истребитель-перехватчик с двигателем АМ-39А и двумя турбокомпрессорами ТК-2Б разработки ЦИАМ. В связи с продолжавшимися полетами над Москвой немецких самолетов-разведчиков Государственный Комитет Обороны в Постановлении № 3561 от 12 июня 1943 г. отметил, что достигнутая на высотных истребителях Як-9 с моторами М-105ПД боевая высота 12000 м недостаточна для борьбы с высотными разведчиками противника и обязал НКАП провести работу по увеличению боевой высоты истребителей до 13000-14000 м. В исполнение этого Постановления, а также в соответствии с последовавшим 14 июня 1943 г. приказом НКАП №355 коллективу ОКБ-155 надлежало построить к 1 сентября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w:t>
      </w:r>
    </w:p>
    <w:p w14:paraId="1CCE5332" w14:textId="77777777" w:rsidR="008C1766" w:rsidRPr="00271E51" w:rsidRDefault="008C1766"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К середине осени 1943 г. истребитель И-221, оснащенный двигателем АМ-39А, был построен и передан на летные испытания. Первый полет состоялся 2 декабря 1943 г. Во время одного из испытательных полетов 7 февраля 1944 г. летчик-испытатель доложил, что на высоте 9000 м машина загорелась, после чего он был вынужден покинуть машину с парашютом. Впоследствии комиссия, созданная для расследования аварии, установила, что ее причиной явилась неправильная оценка обстановки летчиком, который принял появление длинных факелов пламени, истекавших из выхлопных патрубков турбокомпрессоров двигателя, и дыма в кабине за начавшийся пожар. Разбившаяся машина не подлежала восстановлению.</w:t>
      </w:r>
    </w:p>
    <w:p w14:paraId="325A70D8"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 xml:space="preserve">Характеристики МиГ/И-221: </w:t>
      </w:r>
    </w:p>
    <w:p w14:paraId="52A7D37A" w14:textId="77777777" w:rsidR="008C1766" w:rsidRPr="00271E51" w:rsidRDefault="008C1766" w:rsidP="00271E51">
      <w:pPr>
        <w:spacing w:after="0" w:line="240" w:lineRule="auto"/>
        <w:jc w:val="both"/>
        <w:rPr>
          <w:rStyle w:val="ucoz-forum-post"/>
          <w:rFonts w:ascii="Times New Roman" w:hAnsi="Times New Roman"/>
          <w:color w:val="000000" w:themeColor="text1"/>
          <w:sz w:val="16"/>
          <w:szCs w:val="16"/>
        </w:rPr>
      </w:pPr>
      <w:r w:rsidRPr="00271E51">
        <w:rPr>
          <w:rStyle w:val="ucoz-forum-post"/>
          <w:rFonts w:ascii="Times New Roman" w:hAnsi="Times New Roman"/>
          <w:color w:val="000000" w:themeColor="text1"/>
          <w:sz w:val="16"/>
          <w:szCs w:val="16"/>
        </w:rPr>
        <w:t>экипаж – 1 человек, силовая установка – 1 х АМ-39А мощностью 1550 л. е., размах крыла – 13,0 м и его площадь – 22,44 м2, длина – 9,55 м, высота – 3,7 м, вес пустого – 3296 кг, взлетный вес – 3800 кг, максимальная скорость – 690 км/ч, дальность – 1000 км, скороподъемность – 1087 м/мин, практический потолок – 11 000 м, вооружение – 2 пушки ШВАК калибра 20 мм (14848).</w:t>
      </w:r>
    </w:p>
    <w:p w14:paraId="0B68D454" w14:textId="77777777" w:rsidR="008C1766" w:rsidRPr="00271E51" w:rsidRDefault="008C1766" w:rsidP="00271E51">
      <w:pPr>
        <w:spacing w:after="0" w:line="240" w:lineRule="auto"/>
        <w:jc w:val="both"/>
        <w:rPr>
          <w:rStyle w:val="ucoz-forum-post"/>
          <w:rFonts w:ascii="Times New Roman" w:hAnsi="Times New Roman"/>
          <w:color w:val="000000" w:themeColor="text1"/>
          <w:sz w:val="16"/>
          <w:szCs w:val="16"/>
        </w:rPr>
      </w:pPr>
    </w:p>
    <w:p w14:paraId="4FA648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w:t>
      </w:r>
      <w:r w:rsidRPr="00271E51">
        <w:rPr>
          <w:rFonts w:ascii="Times New Roman" w:hAnsi="Times New Roman"/>
          <w:color w:val="000000" w:themeColor="text1"/>
          <w:sz w:val="16"/>
          <w:szCs w:val="16"/>
        </w:rPr>
        <w:softHyphen/>
        <w:t>кабря 1943. ИТП (М-2) с АМ-39 совершил первый вылет. К середине июня 1944 г. были достигнуты следу</w:t>
      </w:r>
      <w:r w:rsidRPr="00271E51">
        <w:rPr>
          <w:rFonts w:ascii="Times New Roman" w:hAnsi="Times New Roman"/>
          <w:color w:val="000000" w:themeColor="text1"/>
          <w:sz w:val="16"/>
          <w:szCs w:val="16"/>
        </w:rPr>
        <w:softHyphen/>
        <w:t xml:space="preserve">ющие летные характеристики: максимальная скорость </w:t>
      </w:r>
      <w:r w:rsidRPr="00271E51">
        <w:rPr>
          <w:rFonts w:ascii="Times New Roman" w:hAnsi="Times New Roman"/>
          <w:color w:val="000000" w:themeColor="text1"/>
          <w:sz w:val="16"/>
          <w:szCs w:val="16"/>
        </w:rPr>
        <w:lastRenderedPageBreak/>
        <w:t>у земли 540 км/ч и 600 км/ч на форсаже, на высоте 2500 м - 570 км/ч (650 км/ч на форсаже), на 5000 м - 560 км/ч, время набора высоты 6000 м составляло 6 мин, потолок -11500 м. В целом это был хороший и мощно вооруженный истребитель. Но к этому времени уже летали, хотя и с более слабым вооружением, модификации «Яков» и ИТП не стали запускать в производство (10667).</w:t>
      </w:r>
    </w:p>
    <w:p w14:paraId="393064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6DF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ИТП (М-2), впервые взлетивший 23 ноября 1943 г., совершил второй полет.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070D62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907A5" w:rsidRPr="00271E51" w14:paraId="18FE9F17" w14:textId="77777777" w:rsidTr="00ED5B0A">
        <w:tc>
          <w:tcPr>
            <w:tcW w:w="3736" w:type="dxa"/>
            <w:tcBorders>
              <w:top w:val="single" w:sz="12" w:space="0" w:color="auto"/>
            </w:tcBorders>
          </w:tcPr>
          <w:p w14:paraId="277B3D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3DE0D4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w:t>
            </w:r>
          </w:p>
        </w:tc>
        <w:tc>
          <w:tcPr>
            <w:tcW w:w="3736" w:type="dxa"/>
            <w:tcBorders>
              <w:top w:val="single" w:sz="12" w:space="0" w:color="auto"/>
            </w:tcBorders>
          </w:tcPr>
          <w:p w14:paraId="753BFA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М-2</w:t>
            </w:r>
          </w:p>
        </w:tc>
      </w:tr>
      <w:tr w:rsidR="00A907A5" w:rsidRPr="00271E51" w14:paraId="5248AEB1" w14:textId="77777777" w:rsidTr="00ED5B0A">
        <w:tc>
          <w:tcPr>
            <w:tcW w:w="3736" w:type="dxa"/>
          </w:tcPr>
          <w:p w14:paraId="7B29E8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3736" w:type="dxa"/>
          </w:tcPr>
          <w:p w14:paraId="11CA85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3736" w:type="dxa"/>
          </w:tcPr>
          <w:p w14:paraId="2172F5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r w:rsidR="00A907A5" w:rsidRPr="00271E51" w14:paraId="4F47D400" w14:textId="77777777" w:rsidTr="00ED5B0A">
        <w:tc>
          <w:tcPr>
            <w:tcW w:w="3736" w:type="dxa"/>
          </w:tcPr>
          <w:p w14:paraId="49628D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в линии полета (м)</w:t>
            </w:r>
          </w:p>
        </w:tc>
        <w:tc>
          <w:tcPr>
            <w:tcW w:w="3736" w:type="dxa"/>
          </w:tcPr>
          <w:p w14:paraId="64EA82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8,95</w:t>
            </w:r>
          </w:p>
        </w:tc>
        <w:tc>
          <w:tcPr>
            <w:tcW w:w="3736" w:type="dxa"/>
          </w:tcPr>
          <w:p w14:paraId="13AF83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r>
      <w:tr w:rsidR="00A907A5" w:rsidRPr="00271E51" w14:paraId="609F4CD1" w14:textId="77777777" w:rsidTr="00ED5B0A">
        <w:tc>
          <w:tcPr>
            <w:tcW w:w="3736" w:type="dxa"/>
          </w:tcPr>
          <w:p w14:paraId="119CD3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3736" w:type="dxa"/>
          </w:tcPr>
          <w:p w14:paraId="486AA4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c>
          <w:tcPr>
            <w:tcW w:w="3736" w:type="dxa"/>
          </w:tcPr>
          <w:p w14:paraId="3E3A60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16,45</w:t>
            </w:r>
          </w:p>
        </w:tc>
      </w:tr>
      <w:tr w:rsidR="00A907A5" w:rsidRPr="00271E51" w14:paraId="185081A8" w14:textId="77777777" w:rsidTr="00ED5B0A">
        <w:tc>
          <w:tcPr>
            <w:tcW w:w="3736" w:type="dxa"/>
          </w:tcPr>
          <w:p w14:paraId="5A52D3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3736" w:type="dxa"/>
          </w:tcPr>
          <w:p w14:paraId="368127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2598</w:t>
            </w:r>
          </w:p>
        </w:tc>
        <w:tc>
          <w:tcPr>
            <w:tcW w:w="3736" w:type="dxa"/>
          </w:tcPr>
          <w:p w14:paraId="13E6CC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3095</w:t>
            </w:r>
          </w:p>
        </w:tc>
      </w:tr>
      <w:tr w:rsidR="00A907A5" w:rsidRPr="00271E51" w14:paraId="3BCE12A4" w14:textId="77777777" w:rsidTr="00ED5B0A">
        <w:tc>
          <w:tcPr>
            <w:tcW w:w="3736" w:type="dxa"/>
          </w:tcPr>
          <w:p w14:paraId="638AD0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(кг)</w:t>
            </w:r>
          </w:p>
        </w:tc>
        <w:tc>
          <w:tcPr>
            <w:tcW w:w="3736" w:type="dxa"/>
          </w:tcPr>
          <w:p w14:paraId="5F6F15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3750 (3366)</w:t>
            </w:r>
          </w:p>
        </w:tc>
        <w:tc>
          <w:tcPr>
            <w:tcW w:w="3736" w:type="dxa"/>
          </w:tcPr>
          <w:p w14:paraId="438762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3820</w:t>
            </w:r>
          </w:p>
        </w:tc>
      </w:tr>
      <w:tr w:rsidR="00A907A5" w:rsidRPr="00271E51" w14:paraId="615A6989" w14:textId="77777777" w:rsidTr="00ED5B0A">
        <w:tc>
          <w:tcPr>
            <w:tcW w:w="3736" w:type="dxa"/>
          </w:tcPr>
          <w:p w14:paraId="6BAE03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Нагрузка на крыло (кг/м2)</w:t>
            </w:r>
          </w:p>
        </w:tc>
        <w:tc>
          <w:tcPr>
            <w:tcW w:w="3736" w:type="dxa"/>
          </w:tcPr>
          <w:p w14:paraId="0DCB40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227</w:t>
            </w:r>
          </w:p>
        </w:tc>
        <w:tc>
          <w:tcPr>
            <w:tcW w:w="3736" w:type="dxa"/>
          </w:tcPr>
          <w:p w14:paraId="4979D1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232</w:t>
            </w:r>
          </w:p>
        </w:tc>
      </w:tr>
      <w:tr w:rsidR="00A907A5" w:rsidRPr="00271E51" w14:paraId="36FAEBCD" w14:textId="77777777" w:rsidTr="00ED5B0A">
        <w:tc>
          <w:tcPr>
            <w:tcW w:w="3736" w:type="dxa"/>
          </w:tcPr>
          <w:p w14:paraId="648FA3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(км/ч)</w:t>
            </w:r>
          </w:p>
        </w:tc>
        <w:tc>
          <w:tcPr>
            <w:tcW w:w="3736" w:type="dxa"/>
          </w:tcPr>
          <w:p w14:paraId="758CED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541</w:t>
            </w:r>
          </w:p>
        </w:tc>
        <w:tc>
          <w:tcPr>
            <w:tcW w:w="3736" w:type="dxa"/>
          </w:tcPr>
          <w:p w14:paraId="3A8FBA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540</w:t>
            </w:r>
          </w:p>
        </w:tc>
      </w:tr>
      <w:tr w:rsidR="00A907A5" w:rsidRPr="00271E51" w14:paraId="0EC2A396" w14:textId="77777777" w:rsidTr="00ED5B0A">
        <w:tc>
          <w:tcPr>
            <w:tcW w:w="3736" w:type="dxa"/>
          </w:tcPr>
          <w:p w14:paraId="5334F1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 скорость у земли на форсаже (км/ч)</w:t>
            </w:r>
          </w:p>
        </w:tc>
        <w:tc>
          <w:tcPr>
            <w:tcW w:w="3736" w:type="dxa"/>
          </w:tcPr>
          <w:p w14:paraId="312E7A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549</w:t>
            </w:r>
          </w:p>
        </w:tc>
        <w:tc>
          <w:tcPr>
            <w:tcW w:w="3736" w:type="dxa"/>
          </w:tcPr>
          <w:p w14:paraId="5F2AF9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r>
      <w:tr w:rsidR="00A907A5" w:rsidRPr="00271E51" w14:paraId="092D636F" w14:textId="77777777" w:rsidTr="00ED5B0A">
        <w:tc>
          <w:tcPr>
            <w:tcW w:w="3736" w:type="dxa"/>
          </w:tcPr>
          <w:p w14:paraId="5C0A64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высоте 5000 м (км/ч)</w:t>
            </w:r>
          </w:p>
        </w:tc>
        <w:tc>
          <w:tcPr>
            <w:tcW w:w="3736" w:type="dxa"/>
          </w:tcPr>
          <w:p w14:paraId="15C1F0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645*</w:t>
            </w:r>
          </w:p>
        </w:tc>
        <w:tc>
          <w:tcPr>
            <w:tcW w:w="3736" w:type="dxa"/>
          </w:tcPr>
          <w:p w14:paraId="4C30DA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560**</w:t>
            </w:r>
          </w:p>
        </w:tc>
      </w:tr>
      <w:tr w:rsidR="00A907A5" w:rsidRPr="00271E51" w14:paraId="58A49D22" w14:textId="77777777" w:rsidTr="00ED5B0A">
        <w:tc>
          <w:tcPr>
            <w:tcW w:w="3736" w:type="dxa"/>
          </w:tcPr>
          <w:p w14:paraId="2D4C50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3736" w:type="dxa"/>
          </w:tcPr>
          <w:p w14:paraId="63B240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3736" w:type="dxa"/>
          </w:tcPr>
          <w:p w14:paraId="4850A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r>
      <w:tr w:rsidR="00A907A5" w:rsidRPr="00271E51" w14:paraId="20467C9C" w14:textId="77777777" w:rsidTr="00ED5B0A">
        <w:tc>
          <w:tcPr>
            <w:tcW w:w="3736" w:type="dxa"/>
            <w:tcBorders>
              <w:bottom w:val="single" w:sz="12" w:space="0" w:color="auto"/>
            </w:tcBorders>
          </w:tcPr>
          <w:p w14:paraId="3E2D07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(м)</w:t>
            </w:r>
          </w:p>
        </w:tc>
        <w:tc>
          <w:tcPr>
            <w:tcW w:w="3736" w:type="dxa"/>
            <w:tcBorders>
              <w:bottom w:val="single" w:sz="12" w:space="0" w:color="auto"/>
            </w:tcBorders>
          </w:tcPr>
          <w:p w14:paraId="6081E3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3736" w:type="dxa"/>
            <w:tcBorders>
              <w:bottom w:val="single" w:sz="12" w:space="0" w:color="auto"/>
            </w:tcBorders>
          </w:tcPr>
          <w:p w14:paraId="71FD5F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11500</w:t>
            </w:r>
          </w:p>
        </w:tc>
      </w:tr>
    </w:tbl>
    <w:p w14:paraId="4B2739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Скорость на высоте 6200 м</w:t>
      </w:r>
    </w:p>
    <w:p w14:paraId="3AE5F6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Максимальная скорость на 2500 м. на форсаже 650 км/ч</w:t>
      </w:r>
    </w:p>
    <w:p w14:paraId="234123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Время набора высоты (12016).</w:t>
      </w:r>
    </w:p>
    <w:p w14:paraId="14EC52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63E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НКАП П.Дементьев писал письмо N Н-34/4825 ГИ ВВС Репину - ответ на письмо N 615638с от 29 октября 1943 о снижении дальности Ла-5 М-82Ф - что вышел приказ N 602с от 12 октября 1943 по совершенствованию карбюратора (1780).</w:t>
      </w:r>
    </w:p>
    <w:p w14:paraId="756E87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441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п/п П.Дементьева было написано письмо N Н-34/4825 ГИ КА гп иас Репину в ответ на письмо от 29 октября 1943 N 615638с о снижении дальности Ла-5 М-82Ф. Сообщили, что по этому вопросу, связанному со стабильностью карбюратора АК-82БП, который произвольно изменял режим работы мотора вышел приказ НКАП N 602с от 12 октября, который был направлен в УВВС 12 октября 1943. Просил докладывать о замеченных случаях (1780).</w:t>
      </w:r>
    </w:p>
    <w:p w14:paraId="1D21E8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3B6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г. начальник ЛИИ А.В. Чесалов писал письмо N 730с Шахурину.</w:t>
      </w:r>
    </w:p>
    <w:p w14:paraId="2D12C4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Довожу для Вашего сведения результаты контрольных испытаний серийных самолетов, проведенных в ноябре 1943 г. в соответствии с приказом N 915с.</w:t>
      </w:r>
    </w:p>
    <w:p w14:paraId="440F76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Як-7Б N 52 производства завода N 153</w:t>
      </w:r>
    </w:p>
    <w:p w14:paraId="204B07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выпуска октября с.г.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34D347A9" w14:textId="77777777" w:rsidTr="00ED5B0A">
        <w:tc>
          <w:tcPr>
            <w:tcW w:w="5636" w:type="dxa"/>
          </w:tcPr>
          <w:p w14:paraId="7965E7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5572EB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 км/час</w:t>
            </w:r>
          </w:p>
        </w:tc>
      </w:tr>
      <w:tr w:rsidR="00A907A5" w:rsidRPr="00271E51" w14:paraId="1213D877" w14:textId="77777777" w:rsidTr="00ED5B0A">
        <w:tc>
          <w:tcPr>
            <w:tcW w:w="5636" w:type="dxa"/>
          </w:tcPr>
          <w:p w14:paraId="2870EB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0F0A1D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D83A95C" w14:textId="77777777" w:rsidTr="00ED5B0A">
        <w:tc>
          <w:tcPr>
            <w:tcW w:w="5636" w:type="dxa"/>
          </w:tcPr>
          <w:p w14:paraId="1E6402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(Н=4100 м)</w:t>
            </w:r>
          </w:p>
        </w:tc>
        <w:tc>
          <w:tcPr>
            <w:tcW w:w="5636" w:type="dxa"/>
          </w:tcPr>
          <w:p w14:paraId="7DC0EE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 км/час</w:t>
            </w:r>
          </w:p>
        </w:tc>
      </w:tr>
      <w:tr w:rsidR="00A907A5" w:rsidRPr="00271E51" w14:paraId="185B182A" w14:textId="77777777" w:rsidTr="00ED5B0A">
        <w:tc>
          <w:tcPr>
            <w:tcW w:w="5636" w:type="dxa"/>
          </w:tcPr>
          <w:p w14:paraId="6F052C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3478C6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 мин.</w:t>
            </w:r>
          </w:p>
        </w:tc>
      </w:tr>
    </w:tbl>
    <w:p w14:paraId="79BAC7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Як-7Б ноябрьского выпуска не закончено из-за отсутствия летной погоды.</w:t>
      </w:r>
    </w:p>
    <w:p w14:paraId="0D87DE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Як-9Д N 0818 производства завода N 153</w:t>
      </w:r>
    </w:p>
    <w:p w14:paraId="307DE3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выпуска ноября с.г.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425E4F34" w14:textId="77777777" w:rsidTr="00ED5B0A">
        <w:tc>
          <w:tcPr>
            <w:tcW w:w="5636" w:type="dxa"/>
          </w:tcPr>
          <w:p w14:paraId="689F0A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w:t>
            </w:r>
          </w:p>
        </w:tc>
        <w:tc>
          <w:tcPr>
            <w:tcW w:w="5636" w:type="dxa"/>
          </w:tcPr>
          <w:p w14:paraId="386CD6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3073 кг</w:t>
            </w:r>
          </w:p>
        </w:tc>
      </w:tr>
      <w:tr w:rsidR="00A907A5" w:rsidRPr="00271E51" w14:paraId="36BD0953" w14:textId="77777777" w:rsidTr="00ED5B0A">
        <w:tc>
          <w:tcPr>
            <w:tcW w:w="5636" w:type="dxa"/>
          </w:tcPr>
          <w:p w14:paraId="37115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2FD26D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537 км/час</w:t>
            </w:r>
          </w:p>
        </w:tc>
      </w:tr>
      <w:tr w:rsidR="00A907A5" w:rsidRPr="00271E51" w14:paraId="00EBF563" w14:textId="77777777" w:rsidTr="00ED5B0A">
        <w:tc>
          <w:tcPr>
            <w:tcW w:w="5636" w:type="dxa"/>
          </w:tcPr>
          <w:p w14:paraId="0D1B92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75CAD2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20C8044" w14:textId="77777777" w:rsidTr="00ED5B0A">
        <w:tc>
          <w:tcPr>
            <w:tcW w:w="5636" w:type="dxa"/>
          </w:tcPr>
          <w:p w14:paraId="77318F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(Н=3800 м)</w:t>
            </w:r>
          </w:p>
        </w:tc>
        <w:tc>
          <w:tcPr>
            <w:tcW w:w="5636" w:type="dxa"/>
          </w:tcPr>
          <w:p w14:paraId="4367D9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 км/час</w:t>
            </w:r>
          </w:p>
        </w:tc>
      </w:tr>
      <w:tr w:rsidR="00A907A5" w:rsidRPr="00271E51" w14:paraId="3A5D431D" w14:textId="77777777" w:rsidTr="00ED5B0A">
        <w:tc>
          <w:tcPr>
            <w:tcW w:w="5636" w:type="dxa"/>
          </w:tcPr>
          <w:p w14:paraId="34A172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30B211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мин.</w:t>
            </w:r>
          </w:p>
        </w:tc>
      </w:tr>
    </w:tbl>
    <w:p w14:paraId="26E46F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Як-1 N 17162 производства завода N 292</w:t>
      </w:r>
    </w:p>
    <w:p w14:paraId="249746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выпуска ноября с.г.</w:t>
      </w:r>
    </w:p>
    <w:p w14:paraId="5A6B94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мотор не держит заданных оборотов. Замена регулятора Р-7 и винта положительных результатов не дали.</w:t>
      </w:r>
    </w:p>
    <w:p w14:paraId="6C3ED4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отстранен от испытаний.</w:t>
      </w:r>
    </w:p>
    <w:p w14:paraId="416BD7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втором самолете Як-1 N 20162 в первом полете обнаружилась течь воды из рубашки блока в картер. Требуется смена мотора.</w:t>
      </w:r>
    </w:p>
    <w:p w14:paraId="614178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Окончание контрольных испытаний задержалось из-за вышеуказанных дефектов материальной части.</w:t>
      </w:r>
    </w:p>
    <w:p w14:paraId="27B13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самолетов на других заводах задержались из-за отсутствия летной погоды (1783,60).</w:t>
      </w:r>
    </w:p>
    <w:p w14:paraId="5580DB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519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года вышло решение наркома Авиапрома Шахурина, обязывающие директора и гл. конструктора завода N 23 - устранить указанные выше дефекты и предъявить НИИ ВВС к 1 января самолет Ту-2 с новым фонарем с улучшенным обзором для штурмана (заключение Акта по совместным испытаниям самолета Ту-2 N 716 в НИИ ВВС в 1943 г.) (1821).</w:t>
      </w:r>
    </w:p>
    <w:p w14:paraId="667187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F55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завод 240 узнал согласно письма гл. конструктора завода N 500 за N 1517с а также личного заявления зам. гл. конструктора завода N 500 Тулупова, что завод N 500 занимается только дизель-мотором М-31, данные которого отличны от мотора М-30В, выбранного С.В.И. для своего транспортного самолета (2562,31).</w:t>
      </w:r>
    </w:p>
    <w:p w14:paraId="606F78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5E66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вышло распоряжение ГКО № 4716 о восстановлении производства радиопеленгационной аппаратуры на бывшем радиозаводе № 193 НКЭП в Харькове.</w:t>
      </w:r>
    </w:p>
    <w:p w14:paraId="537F5D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1944 г. на месте эвакуированного завода № 193 был создан Завод № 158 (Завод № 158, п/я 165, Харьковский радиозавод «Протон», М-5377, ГП «Харьковский радиозавод «Протон» /Украина  г. Харьков пл. Восстания, 7/8/). Имел наименования «п/я 165» (1951- 66 г.), «п/я М-5377».</w:t>
      </w:r>
    </w:p>
    <w:p w14:paraId="58327C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радиостанции: Р-250, Р-251, Р-309, Р-399А, Р-672 «Туман»; радиопеленгаторы «Орел-1», Р-322Б «Рыбка-М», СРП-5; приемоиндикатор «Пеликан»; «Канал-Р», АС-1, КРАБ, КМПУ; магнитофоны: «Спутник», «Спутник-401, -402, -403, -404», «Протон-301С, -401, -402, М-411, М-412, М-413», «Протон-Алиса»; магнитолы: «Протон-ЗЮС, РМ-211С», «Крым»; радиоприемник «Протон-301».</w:t>
      </w:r>
    </w:p>
    <w:p w14:paraId="23D17B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ЦКБ «Протон», Г-4590 /Украина  г. Харьков/ Имело наименование «п/я Г-4590» (11982).</w:t>
      </w:r>
    </w:p>
    <w:p w14:paraId="3674D7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C13C1"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20EAD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167D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была подготовлена ДОКЛАДНАЯ ЗАПИСКА НКТП И КОМАНДУЮЩЕГО БТ и МВ КА ЧЛЕНУ ГКО Л.П. БЕРИИ ОБ ИЗГОТОВЛЕНИИ И ИСПЫТАНИИ ОПЫТНОГО ОБРАЗЦА ТАНКА Т-34 С 85-мм ПУШКОЙ</w:t>
      </w:r>
    </w:p>
    <w:p w14:paraId="01E9BA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Заводом №183 Наркомтанкопрома спроектирован и изготовлен опытный образец танка Т-34 с 85-мм пушкой конструкции завода №9 НКВ (марка танка Т-34-35).</w:t>
      </w:r>
    </w:p>
    <w:p w14:paraId="7E962C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прошел и выдержал полигонные, ходовые и артиллерийские испытания и может быть при</w:t>
      </w:r>
      <w:r w:rsidRPr="00271E51">
        <w:rPr>
          <w:rFonts w:ascii="Times New Roman" w:hAnsi="Times New Roman"/>
          <w:color w:val="000000" w:themeColor="text1"/>
          <w:sz w:val="16"/>
          <w:szCs w:val="16"/>
        </w:rPr>
        <w:softHyphen/>
        <w:t>нят на вооружение армии.</w:t>
      </w:r>
    </w:p>
    <w:p w14:paraId="624834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Для того чтобы установить на танк Т-34 пушку 85 мм, потребовалось изготовить новую башню с погоном в 1600 мм (против 1420 мм у нормального танка Т-34), а также новую боеукладку, крышу танка и передние подвески.</w:t>
      </w:r>
    </w:p>
    <w:p w14:paraId="070022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этим вес танка Т-34 с пушкой 85 мм увеличился на 1,3 тонны против нормального.</w:t>
      </w:r>
    </w:p>
    <w:p w14:paraId="2B3FC4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Удобство работы команды в танке Т-34-85 не хуже, чем в обычном танке Т-34.</w:t>
      </w:r>
    </w:p>
    <w:p w14:paraId="486A16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установке на танке Т-34 пушки 85 мм боевая мощь танка значительно увеличивается и такой танк нашей армии необходим.</w:t>
      </w:r>
    </w:p>
    <w:p w14:paraId="28EE99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представляемом проекте</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xml:space="preserve"> постановления ГОКО предусматривается организация с января месяца 1944 г. выпуска танков Т-34-85 (одновременно с выпуском танков Т-34) на заводе №112 Наркомтанкопрома с расчетом с апреля месяца прекратить выпуск танков Т-34 и выпускать только танки Т-34-85.</w:t>
      </w:r>
    </w:p>
    <w:p w14:paraId="648C2AE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Просим представить проект постановления ГОКО на утверждение товарища Сталина.</w:t>
      </w:r>
    </w:p>
    <w:p w14:paraId="705661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Малышев</w:t>
      </w:r>
    </w:p>
    <w:p w14:paraId="3CD892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Устинов</w:t>
      </w:r>
    </w:p>
    <w:p w14:paraId="5B6B4B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 Федоренко</w:t>
      </w:r>
    </w:p>
    <w:p w14:paraId="3E40AC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 Яковлев</w:t>
      </w:r>
    </w:p>
    <w:p w14:paraId="522230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p>
    <w:p w14:paraId="04A987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Тактико-техническая характеристика танка Т-34-85</w:t>
      </w:r>
    </w:p>
    <w:p w14:paraId="76BFAC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танка - 32,0-32,5 тонны</w:t>
      </w:r>
    </w:p>
    <w:p w14:paraId="325673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398E1C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85 мм - Д-5 -1 шт.</w:t>
      </w:r>
    </w:p>
    <w:p w14:paraId="1BF7BE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пулеметов ДТ -2 шт.</w:t>
      </w:r>
    </w:p>
    <w:p w14:paraId="0A5A0C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снарядов 85 мм - 55 шт.</w:t>
      </w:r>
    </w:p>
    <w:p w14:paraId="3BA6D8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патронов к пулеметам - 2745 шт.</w:t>
      </w:r>
    </w:p>
    <w:p w14:paraId="0ADD77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Гранат -20</w:t>
      </w:r>
    </w:p>
    <w:p w14:paraId="6D3213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возвышения пушки -23°</w:t>
      </w:r>
    </w:p>
    <w:p w14:paraId="3524DB0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снижения пушки -5°</w:t>
      </w:r>
    </w:p>
    <w:p w14:paraId="61F31D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горючего - 590 лит.</w:t>
      </w:r>
    </w:p>
    <w:p w14:paraId="46C7D9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- 40 км/ч</w:t>
      </w:r>
    </w:p>
    <w:p w14:paraId="7BF31C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Удельное давление на грунт - 0,87 кг/см</w:t>
      </w:r>
      <w:r w:rsidRPr="00271E51">
        <w:rPr>
          <w:rFonts w:ascii="Times New Roman" w:hAnsi="Times New Roman"/>
          <w:color w:val="000000" w:themeColor="text1"/>
          <w:sz w:val="16"/>
          <w:szCs w:val="16"/>
          <w:vertAlign w:val="superscript"/>
        </w:rPr>
        <w:t>2</w:t>
      </w:r>
    </w:p>
    <w:p w14:paraId="38A289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Удельная мощность - 15,4 л.с. на тонну</w:t>
      </w:r>
    </w:p>
    <w:p w14:paraId="4E7944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Предельный подъем -30°</w:t>
      </w:r>
    </w:p>
    <w:p w14:paraId="1D378F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Запас хода по проселку - 230 км</w:t>
      </w:r>
    </w:p>
    <w:p w14:paraId="7799B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данные тактико-технической характеристики те же, что и у танка Т-34. ЦАМО. Ф. 38. Оп. 11355. Д. 2224. Л. 6-11. Копия (11403).</w:t>
      </w:r>
    </w:p>
    <w:p w14:paraId="60165C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3B6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была подготовлена ДОКЛАДНАЯ ЗАПИСКА ЗАМЕСТИТЕЛЯ КОМАНДУЮЩЕГО БТ и МВ КА ЧЛЕНУ ГКО Л.П. БЕРИИ О ХОДЕ РАБОТ ПО ИЗГОТОВЛЕНИЮ ЭЛЕКТРОТРАНСМИССИИ ТАНКА №1142255</w:t>
      </w:r>
    </w:p>
    <w:p w14:paraId="24A6D7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что Постановление ГОКО №3774 от 20 июля 1943 г. Наркомэлектропромом не выполнено.</w:t>
      </w:r>
    </w:p>
    <w:p w14:paraId="2F972D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Этим Постановлением директор завода № 627 НКЭП т. Иосифьян обязывался к 1 октября с.г. закон</w:t>
      </w:r>
      <w:r w:rsidRPr="00271E51">
        <w:rPr>
          <w:rFonts w:ascii="Times New Roman" w:hAnsi="Times New Roman"/>
          <w:color w:val="000000" w:themeColor="text1"/>
          <w:sz w:val="16"/>
          <w:szCs w:val="16"/>
        </w:rPr>
        <w:softHyphen/>
        <w:t>чить изготовление, произвести монтаж и заводские испытания электротрансмиссии для танка КВ.</w:t>
      </w:r>
    </w:p>
    <w:p w14:paraId="55AC25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сентября с.г. т. Иосифьян донес, что при испытании электромоторов на одном из них разрушил</w:t>
      </w:r>
      <w:r w:rsidRPr="00271E51">
        <w:rPr>
          <w:rFonts w:ascii="Times New Roman" w:hAnsi="Times New Roman"/>
          <w:color w:val="000000" w:themeColor="text1"/>
          <w:sz w:val="16"/>
          <w:szCs w:val="16"/>
        </w:rPr>
        <w:softHyphen/>
        <w:t>ся коллектор, поэтому окончание изготовления электротрансмиссии будет задержано на 30-45 дней.</w:t>
      </w:r>
    </w:p>
    <w:p w14:paraId="481A50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10 по 15 ноября с.г. на заводе №627 проводились испытания генератора и проверка электромоторов электротрансмиссии.</w:t>
      </w:r>
    </w:p>
    <w:p w14:paraId="348607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испытании генератора обнаружено, что сериесная обмотка его была смонтирована непра</w:t>
      </w:r>
      <w:r w:rsidRPr="00271E51">
        <w:rPr>
          <w:rFonts w:ascii="Times New Roman" w:hAnsi="Times New Roman"/>
          <w:color w:val="000000" w:themeColor="text1"/>
          <w:sz w:val="16"/>
          <w:szCs w:val="16"/>
        </w:rPr>
        <w:softHyphen/>
        <w:t>вильно и установлено наличие замыкания в одной из секций якоря. Кроме этого, при проверке яко</w:t>
      </w:r>
      <w:r w:rsidRPr="00271E51">
        <w:rPr>
          <w:rFonts w:ascii="Times New Roman" w:hAnsi="Times New Roman"/>
          <w:color w:val="000000" w:themeColor="text1"/>
          <w:sz w:val="16"/>
          <w:szCs w:val="16"/>
        </w:rPr>
        <w:softHyphen/>
        <w:t>рей электромоторов обнаружены замыкания в нескольких коллекторных пластинах.</w:t>
      </w:r>
    </w:p>
    <w:p w14:paraId="14D259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Докладывая об изложенном, прошу дать указания Наркомэлектропрому о форсировании работ и об установлении окончательного срока изготовления и предъявления ГБТУ КА танка с электро-странсмиссией на испытания.</w:t>
      </w:r>
    </w:p>
    <w:p w14:paraId="64BCB5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367CD4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1660. Л. 93. Копия (11403).</w:t>
      </w:r>
    </w:p>
    <w:p w14:paraId="6DE5B1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170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была подготовлена ДОКЛАДНАЯ ЗАПИСКА НАЧАЛЬНИКА ТУ ГБТУ КА ЗАМЕСТИТЕЛЮ НАЧАЛЬНИКА ГБТУ КА О ГИБЕЛИ ПОМОЩНИКА НАЧАЛЬНИКА 6-го ОТДЕЛА ТУ ГБТУ КА ВО ВРЕМЯ ИСПЫТАНИЯ ТАНКА Т-34 № 4409</w:t>
      </w:r>
    </w:p>
    <w:p w14:paraId="40DEA8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Доношу, что 13 ноября 1943 года во время испытания опытного образца танка Т-34, изготовлен</w:t>
      </w:r>
      <w:r w:rsidRPr="00271E51">
        <w:rPr>
          <w:rFonts w:ascii="Times New Roman" w:hAnsi="Times New Roman"/>
          <w:color w:val="000000" w:themeColor="text1"/>
          <w:sz w:val="16"/>
          <w:szCs w:val="16"/>
        </w:rPr>
        <w:softHyphen/>
        <w:t>ного и оборудованного для подводного хождения заводом №112, погиб помощник начальника 6-го отдела ТУ ГБТУ КА инженер-майор Осипов А.И.</w:t>
      </w:r>
    </w:p>
    <w:p w14:paraId="38E786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испытании танка в нем находилось пять человек работников завода №112 и т. Осипов.</w:t>
      </w:r>
    </w:p>
    <w:p w14:paraId="251D75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дважды перешла Волгу по дну реки без остановок и на третий раз, примерно в 13-30 Горьковского времени, на глубине 4,5-5 метров заглох мотор и танк остановился.</w:t>
      </w:r>
    </w:p>
    <w:p w14:paraId="7638DC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боевом отделении появились углекислые газы от дизельмотора. Экипаж танка начал спасаться через аварийную трубу-лаз, специально установленную на крыше башни.</w:t>
      </w:r>
    </w:p>
    <w:p w14:paraId="7E729B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показаниям спасшихся, т. Осипов выходил последним из машины и, потеряв сознание, опу</w:t>
      </w:r>
      <w:r w:rsidRPr="00271E51">
        <w:rPr>
          <w:rFonts w:ascii="Times New Roman" w:hAnsi="Times New Roman"/>
          <w:color w:val="000000" w:themeColor="text1"/>
          <w:sz w:val="16"/>
          <w:szCs w:val="16"/>
        </w:rPr>
        <w:softHyphen/>
        <w:t>стился в танк. Сделанные попытки извлечь т. Осипова из танка не дали положительных результатов.</w:t>
      </w:r>
    </w:p>
    <w:p w14:paraId="0DC9AA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следующий день 14.11.1943 г. танк был извлечен из воды при помощи плавучего крана, а в 14-00 вынули тело Осипова из машины.</w:t>
      </w:r>
    </w:p>
    <w:p w14:paraId="0CAD84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Мною даны указания старшему военпреду на 112 заводе т. Дмитрусенко:</w:t>
      </w:r>
    </w:p>
    <w:p w14:paraId="77CF91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Труп т. Осипова доставить в морг для вскрытия и точного установления причины смерти.</w:t>
      </w:r>
    </w:p>
    <w:p w14:paraId="71079C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Через командира 3-й учебной танковой бригады организовать похороны 16.11.1943 г.</w:t>
      </w:r>
    </w:p>
    <w:p w14:paraId="4BFDA2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Вместе с заводом и органами НКВД произвести расследование, создав для этого комиссию. По донесению ст. военпреда т. Дмитрусенко, установлено врачом, что причиной смерти являет</w:t>
      </w:r>
      <w:r w:rsidRPr="00271E51">
        <w:rPr>
          <w:rFonts w:ascii="Times New Roman" w:hAnsi="Times New Roman"/>
          <w:color w:val="000000" w:themeColor="text1"/>
          <w:sz w:val="16"/>
          <w:szCs w:val="16"/>
        </w:rPr>
        <w:softHyphen/>
        <w:t>ся отравление организма газами. Тело т. Осипова похоронено 16 ноября 1943 года.</w:t>
      </w:r>
    </w:p>
    <w:p w14:paraId="5C6287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Материалы расследования причин гибели т. Осипова в ТУ ГБТУ КА из г. Горький еще не прибыли.</w:t>
      </w:r>
    </w:p>
    <w:p w14:paraId="4AEC47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танкового управления ГБТУ Красной Армии генерал-майор инженерно-танковой службы Афонин</w:t>
      </w:r>
    </w:p>
    <w:p w14:paraId="657511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1423. Л. 156. Копия (11403).</w:t>
      </w:r>
    </w:p>
    <w:p w14:paraId="572A53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D2F5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Постановление ГКО № 4712 О производстве оптических приборов инфракрасного видения и станций инфракрасного освещения.РГАНИР, Фонд ГКО, д. 181, лл. 93-94, 95-117 (11012).</w:t>
      </w:r>
    </w:p>
    <w:p w14:paraId="712A97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F41A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Распоряжение ГКО № 4713 [О выделении заводу им. Ильича в Мариуполе (НКТП) 200 импортных лошадей и 25 отремонтированных автомашин.] (7162, 118).</w:t>
      </w:r>
    </w:p>
    <w:p w14:paraId="0656B94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0F8E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Распоряжение ГКО № 4714. Об отмене решения о передаче НКЧМ 75 единиц станочного, кузнечно-прессового и литейного оборудования с предприятий Ленинградской обл.РГАНИР, Фонд ГКО, д. 181, лл. 119 (11012).</w:t>
      </w:r>
    </w:p>
    <w:p w14:paraId="17E226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340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Распоряжение ГКО № 4715. Об изготовлении газогенераторной установки типа "Пинч" для завода № 747 НКЭП.РГАНИР, Фонд ГКО, д. 181, лл. 120 (11012).</w:t>
      </w:r>
    </w:p>
    <w:p w14:paraId="640F6C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A2DB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Распоряжение ГКО № 4716 О восстановлении производства радиопеленгационной аппаратуры на бывшем радиозаводе № 193 Наркомэлектропрома в г. Харькове. (7162, 121-122).</w:t>
      </w:r>
    </w:p>
    <w:p w14:paraId="0777E53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09FB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вышло Постановление ГКО № 4717 [О мерах по обеспечению неотложных нужд освобожденных железных дорог в зимний период.] (7162, 123-129,130-131).</w:t>
      </w:r>
    </w:p>
    <w:p w14:paraId="361BB5D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1C3087" w14:textId="77777777" w:rsidR="008C176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47E9E0F" w14:textId="77777777" w:rsidR="008C1766" w:rsidRPr="00271E51" w:rsidRDefault="008C176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2785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404EB795"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декабря между реками Сож и Днепр, северо-западнее Гомеля, наши войска, продолжая наступление, заняли более 80 населённых пунктов; .среди них крупные населённые пункты Канава, Звонец, Старыйдовск, Клетище, Петравичи, Хизово, Берестовец, Меркуловичи, Головачи, Лj3jв, Неговка, Бронница, Забабье, Губичи, Дедов Курган, Несоев, Николаев.</w:t>
      </w:r>
    </w:p>
    <w:p w14:paraId="26E5A838"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наши войска с боями продвигались вперёд и заняли населённые пункты Нижний Млынон, Завойть, Смолегов, Буда, Будки,Головчицы, Грушевка, Антонов.</w:t>
      </w:r>
    </w:p>
    <w:p w14:paraId="5373450F"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отбивали контратаки пехоты и танков противникаи нанесли ему большие потери в живой силе и технике.</w:t>
      </w:r>
    </w:p>
    <w:p w14:paraId="082D2CB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преодолевая сопротивление и контратаки противника, овладели сильно укреплёнными опорными пунктами его обороны Скобиевка, Ревовка, Золатарёвка, Серебряная, Федорки, Дмитровка, Протопоповка.</w:t>
      </w:r>
    </w:p>
    <w:p w14:paraId="4818266B"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1869F7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 декабря наши войска на всех фронтах подбили и уничтожили 71 немецкий танк. В воздушных боях и огнём зенитной артиллерии сбито 23 самолёта противника.</w:t>
      </w:r>
    </w:p>
    <w:p w14:paraId="04A0E58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разгромили несколько узлов сопротивления противника и, продолжая наступление, заняли более 80 населённых пунктов. Уничтожено до 1.500 немецких солдат и офицеров, подбито и сожжено 26 танков и 2 бронемашины противника. Захвачены трофеи, в том числе 25 крупнокалиберных миномётов и большой склад боеприпасов. Взяты пленные. На другом участке советские артиллеристы произвели мощный огневой налёт на расположение противникаи нанесли немцам большой урон в живой силе и технике.</w:t>
      </w:r>
    </w:p>
    <w:p w14:paraId="2B9286EC"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нижнего течения реки Припять части Н-ского соединения, отражая контратаки противника, продвигались вперёд и заняли несколько населённых пунктов. Под ударами советских частей немцы вынуждены оставлять свои подготовленные к обороне позиции. Наши бойцы уничтожили до батальона гитлеровцев, подбили 5 танков и 3 бронемашины.</w:t>
      </w:r>
    </w:p>
    <w:p w14:paraId="2F4ED085"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 наши войска отбивали контратаки пехоты и танков противника. Немцы подтянули в этот район крупные силы и, не считаясь с большими потерями, бросали их в бой. Части Н-ского соединения, отражая вражеские контратаки, сожглии подбили 24 немецких танка. На поле боя осталось свыше 1.000 вражеских трупов. Огнём зенитной артиллерии сбито 8 немецких самолётов.</w:t>
      </w:r>
    </w:p>
    <w:p w14:paraId="7DA24E69"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части Н-ского соединения, сломив сопротивление противника, овладели рядом сильно укреплённых опорных пунктов. В районе населённого пункта Бандуровка советские бойцы захватили у немцев большие трофеи, в числе которых 27 танков и 25 бронетранспортёров. На другом участке нашими войсками уничтожена колонна автомашин с пехотой противника. Убито и ранено более 400 гитлеровцев. Взято значительное число пленных. Захвачены 7 орудий, 36 пулемётов, 11 противотанковых ружей, много винтовок, автоматов и различного военного имущества.</w:t>
      </w:r>
    </w:p>
    <w:p w14:paraId="56A71904"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потоплены транспорт противника водоизмещением в 2.000 тонн, буксир и три самоходные баржи, в том числе одна гружённая автомашинами, а другая танками. Кроме того, повреждены два транспорта и пять самоходных барж противника.</w:t>
      </w:r>
    </w:p>
    <w:p w14:paraId="6377867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Полесской области, течение двух дней пустил под откос 3 немецких воинских эшелона, следовавших к линии фронта. Уничтожено 2 паровоза, 7 классных вагонов, 5 вагонов с боеприпасами и несколько платформ с орудиями. Партизаны этого же отряда обстреляли из противотанковых ружей несколько поездов противника. Выведено из строя 6 паровозов, убито и ранено 128 гитлеровцев, сопровождавших эшелоны.</w:t>
      </w:r>
    </w:p>
    <w:p w14:paraId="7B6F7A05"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ожесточённых боях Красная Армия перемалывает живую силу и технику противника. Как сообщают пленные солдаты, некоторые немецкие дивизии, ввиду своей малочисленности, расформированы. Это подтверждается также захваченными документами. Например, в перехваченном приказе командира 262 немецкой пехотной дивизии говорится: «Много наших солдат пало, очень многие ранены, а некоторые попали в плен.</w:t>
      </w:r>
    </w:p>
    <w:p w14:paraId="7EA90162"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того, что общее положение в настоящее время не позволяет произвести укомплектование наших пехотных полков, командование приказало слить остатки частей 262 дивизии и включить их в 56 пехотную дивизию. Это является для всех нас тяжёлым ударом...»</w:t>
      </w:r>
    </w:p>
    <w:p w14:paraId="34A6F84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2 санитарной роты 293 немецкой пехотной дивизии рассказал: «Недавно нам объявили приказ о расформировании дивизии. Приказ гласил: «293 дивизия стала столь малочисленной, что вместо штаба ею вполне может управлять один человек. Оставшиеся подразделения объединяются в боевую группу под командованием майора Шульте. Боевая группа подчиняется командованию 866 полка 355 пехотной дивизии».</w:t>
      </w:r>
    </w:p>
    <w:p w14:paraId="048F700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унтер-офицер Генрих Б. сообщил, что 333 немецкая пехотная дивизия понесла огромные потери и её остатки переданы 294 немецкой пехотной дивизии.</w:t>
      </w:r>
    </w:p>
    <w:p w14:paraId="0DC93A73"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3 батареи 340 артиллерийского полка 340 немецкой пехотной дивизии Вальтер Маккерт рассказал: «Наш артиллерийский полк растерял всю материальную часть. 327 и 377 пехотные дивизии ввиду ужасных потерь теперь объединены в одну дивизию под командованием полковника Номм».</w:t>
      </w:r>
    </w:p>
    <w:p w14:paraId="7BD3FDF4"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Советское Информбюро сообщило, что в Себеже и Бобруйске немецкие военные власти, пытаясь замести следы своих преступлений, сжигают трупы расстрелянных ими советских граждан. Подобные сообщения поступают и из другихсоветских районов, временно оккупированных немцами. В Минске немецкие военные власти создали несколько специальных команд для уничтожения могил в окрестностях города. Команды вскрывают многочисленные ямы, в которых похоронены тысячи загубленных немцами советских граждан, извлекают трупы, обливают бензином и сжигают их. Советские граждане, которых немцы под угрозой оружия заставили производить раскопки могил, были убиты, а трупы их также сожжены. Тем же заняты немецкие военные власти и в городе Орше. Во второй половине ноября гитлеровцы здесь приступили к вскрытию могил, в которых похоронено много мирных советских граждан, павших от рук фашистских палачей. На автомашинах трупы были перевезенына оршанский льнокомбинат и брошены в топки.</w:t>
      </w:r>
    </w:p>
    <w:p w14:paraId="0EC271FB"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власти пытаются скрыть следы преступлений, совершённых ими на советской земле. Гитлеровцы боятся расплаты за свои чудовищные злодеяния. Но никакие ухищрения не спасут немецко-фашистских мерзавцев от сурового возмездия.» (14848).</w:t>
      </w:r>
    </w:p>
    <w:p w14:paraId="549B52DE"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65C700B0"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декабря</w:t>
      </w:r>
      <w:r w:rsidRPr="00271E51">
        <w:rPr>
          <w:rFonts w:ascii="Times New Roman" w:hAnsi="Times New Roman"/>
          <w:color w:val="000000" w:themeColor="text1"/>
          <w:sz w:val="16"/>
          <w:szCs w:val="16"/>
        </w:rPr>
        <w:t xml:space="preserve"> в 1943 году войска 2-го Украинского фронта освободили Новогеоргиевск (14848).</w:t>
      </w:r>
    </w:p>
    <w:p w14:paraId="1E724B50"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21BFFAB4" w14:textId="77777777" w:rsidR="008C176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D019F89" w14:textId="77777777" w:rsidR="008C1766" w:rsidRPr="00271E51" w:rsidRDefault="008C176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223F0"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декабря</w:t>
      </w:r>
      <w:r w:rsidRPr="00271E51">
        <w:rPr>
          <w:rFonts w:ascii="Times New Roman" w:hAnsi="Times New Roman"/>
          <w:color w:val="000000" w:themeColor="text1"/>
          <w:sz w:val="16"/>
          <w:szCs w:val="16"/>
        </w:rPr>
        <w:t xml:space="preserve"> в 1943 году cекретариат ЦК ВКП(б) принял постановление "О контроле над литературно-художественными журналами", где утверждалось, что "только в результате слабого контроля со стороны Управления пропаганды и агитации могли проникнуть в журналы такие политически вредные и антихудожественные произведения, как "Перед восходом солнца" Зощенко или стихи Сельвинского "Кого баюкала Россия" (14848).</w:t>
      </w:r>
    </w:p>
    <w:p w14:paraId="44396782"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6944BE5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D4700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FD5F88" w14:textId="77777777" w:rsidR="00FB0459" w:rsidRPr="00271E51" w:rsidRDefault="00FB0459" w:rsidP="00271E51">
      <w:pPr>
        <w:spacing w:after="0" w:line="240" w:lineRule="auto"/>
        <w:jc w:val="both"/>
        <w:rPr>
          <w:rFonts w:ascii="Times New Roman" w:hAnsi="Times New Roman"/>
          <w:color w:val="0070C0"/>
          <w:sz w:val="16"/>
          <w:szCs w:val="16"/>
          <w:lang w:val="ru"/>
        </w:rPr>
      </w:pPr>
      <w:r w:rsidRPr="00271E51">
        <w:rPr>
          <w:rFonts w:ascii="Times New Roman" w:hAnsi="Times New Roman"/>
          <w:color w:val="0070C0"/>
          <w:sz w:val="16"/>
          <w:szCs w:val="16"/>
          <w:lang w:val="ru"/>
        </w:rPr>
        <w:t xml:space="preserve">2 </w:t>
      </w:r>
      <w:r w:rsidRPr="00271E51">
        <w:rPr>
          <w:rFonts w:ascii="Times New Roman" w:hAnsi="Times New Roman"/>
          <w:color w:val="0070C0"/>
          <w:sz w:val="16"/>
          <w:szCs w:val="16"/>
        </w:rPr>
        <w:t>декабря</w:t>
      </w:r>
      <w:r w:rsidRPr="00271E51">
        <w:rPr>
          <w:rFonts w:ascii="Times New Roman" w:hAnsi="Times New Roman"/>
          <w:color w:val="0070C0"/>
          <w:sz w:val="16"/>
          <w:szCs w:val="16"/>
          <w:lang w:val="ru"/>
        </w:rPr>
        <w:t xml:space="preserve"> 1943 </w:t>
      </w:r>
      <w:r w:rsidRPr="00271E51">
        <w:rPr>
          <w:rFonts w:ascii="Times New Roman" w:hAnsi="Times New Roman"/>
          <w:color w:val="0070C0"/>
          <w:sz w:val="16"/>
          <w:szCs w:val="16"/>
        </w:rPr>
        <w:t>первый</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rPr>
        <w:t>полет</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lang w:val="en-US"/>
        </w:rPr>
        <w:t>Grumman</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lang w:val="en-US"/>
        </w:rPr>
        <w:t>XF</w:t>
      </w:r>
      <w:r w:rsidRPr="00271E51">
        <w:rPr>
          <w:rFonts w:ascii="Times New Roman" w:hAnsi="Times New Roman"/>
          <w:color w:val="0070C0"/>
          <w:sz w:val="16"/>
          <w:szCs w:val="16"/>
          <w:lang w:val="ru"/>
        </w:rPr>
        <w:t>7</w:t>
      </w:r>
      <w:r w:rsidRPr="00271E51">
        <w:rPr>
          <w:rFonts w:ascii="Times New Roman" w:hAnsi="Times New Roman"/>
          <w:color w:val="0070C0"/>
          <w:sz w:val="16"/>
          <w:szCs w:val="16"/>
          <w:lang w:val="en-US"/>
        </w:rPr>
        <w:t>F</w:t>
      </w:r>
      <w:r w:rsidRPr="00271E51">
        <w:rPr>
          <w:rFonts w:ascii="Times New Roman" w:hAnsi="Times New Roman"/>
          <w:color w:val="0070C0"/>
          <w:sz w:val="16"/>
          <w:szCs w:val="16"/>
          <w:lang w:val="ru"/>
        </w:rPr>
        <w:t xml:space="preserve">-1, </w:t>
      </w:r>
      <w:r w:rsidRPr="00271E51">
        <w:rPr>
          <w:rFonts w:ascii="Times New Roman" w:hAnsi="Times New Roman"/>
          <w:color w:val="0070C0"/>
          <w:sz w:val="16"/>
          <w:szCs w:val="16"/>
        </w:rPr>
        <w:t>прототип</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lang w:val="en-US"/>
        </w:rPr>
        <w:t>Grumman</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lang w:val="en-US"/>
        </w:rPr>
        <w:t>F</w:t>
      </w:r>
      <w:r w:rsidRPr="00271E51">
        <w:rPr>
          <w:rFonts w:ascii="Times New Roman" w:hAnsi="Times New Roman"/>
          <w:color w:val="0070C0"/>
          <w:sz w:val="16"/>
          <w:szCs w:val="16"/>
          <w:lang w:val="ru"/>
        </w:rPr>
        <w:t>7</w:t>
      </w:r>
      <w:r w:rsidRPr="00271E51">
        <w:rPr>
          <w:rFonts w:ascii="Times New Roman" w:hAnsi="Times New Roman"/>
          <w:color w:val="0070C0"/>
          <w:sz w:val="16"/>
          <w:szCs w:val="16"/>
          <w:lang w:val="en-US"/>
        </w:rPr>
        <w:t>F</w:t>
      </w:r>
      <w:r w:rsidRPr="00271E51">
        <w:rPr>
          <w:rFonts w:ascii="Times New Roman" w:hAnsi="Times New Roman"/>
          <w:color w:val="0070C0"/>
          <w:sz w:val="16"/>
          <w:szCs w:val="16"/>
          <w:lang w:val="ru"/>
        </w:rPr>
        <w:t xml:space="preserve"> </w:t>
      </w:r>
      <w:r w:rsidRPr="00271E51">
        <w:rPr>
          <w:rFonts w:ascii="Times New Roman" w:hAnsi="Times New Roman"/>
          <w:color w:val="0070C0"/>
          <w:sz w:val="16"/>
          <w:szCs w:val="16"/>
          <w:lang w:val="en-US"/>
        </w:rPr>
        <w:t>Tigercat</w:t>
      </w:r>
      <w:r w:rsidRPr="00271E51">
        <w:rPr>
          <w:rFonts w:ascii="Times New Roman" w:hAnsi="Times New Roman"/>
          <w:color w:val="0070C0"/>
          <w:sz w:val="16"/>
          <w:szCs w:val="16"/>
          <w:lang w:val="ru"/>
        </w:rPr>
        <w:t xml:space="preserve"> (20376).</w:t>
      </w:r>
    </w:p>
    <w:p w14:paraId="7A46A12B" w14:textId="77777777" w:rsidR="00FB0459" w:rsidRPr="00271E51" w:rsidRDefault="00FB0459" w:rsidP="00271E51">
      <w:pPr>
        <w:spacing w:after="0" w:line="240" w:lineRule="auto"/>
        <w:jc w:val="both"/>
        <w:rPr>
          <w:rFonts w:ascii="Times New Roman" w:hAnsi="Times New Roman"/>
          <w:color w:val="0070C0"/>
          <w:sz w:val="16"/>
          <w:szCs w:val="16"/>
          <w:lang w:val="ru"/>
        </w:rPr>
      </w:pPr>
    </w:p>
    <w:p w14:paraId="77F763BC" w14:textId="77777777" w:rsidR="00A76817" w:rsidRPr="00271E51" w:rsidRDefault="00A76817" w:rsidP="00271E51">
      <w:pPr>
        <w:pStyle w:val="ae"/>
        <w:spacing w:before="0" w:after="0"/>
        <w:jc w:val="both"/>
        <w:rPr>
          <w:color w:val="000000" w:themeColor="text1"/>
          <w:sz w:val="16"/>
          <w:szCs w:val="16"/>
        </w:rPr>
      </w:pPr>
      <w:r w:rsidRPr="00271E51">
        <w:rPr>
          <w:rStyle w:val="a7"/>
          <w:b w:val="0"/>
          <w:color w:val="000000" w:themeColor="text1"/>
          <w:sz w:val="16"/>
          <w:szCs w:val="16"/>
        </w:rPr>
        <w:t>2-3, 16-17, 23-24, 29-30 декабря 1943 года</w:t>
      </w:r>
      <w:r w:rsidRPr="00271E51">
        <w:rPr>
          <w:color w:val="000000" w:themeColor="text1"/>
          <w:sz w:val="16"/>
          <w:szCs w:val="16"/>
        </w:rPr>
        <w:t xml:space="preserve"> была следующая серия английских налетов на Берлин,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68BA0F44" w14:textId="77777777" w:rsidR="00A76817" w:rsidRPr="00271E51" w:rsidRDefault="00A76817" w:rsidP="00271E51">
      <w:pPr>
        <w:pStyle w:val="ae"/>
        <w:spacing w:before="0" w:after="0"/>
        <w:jc w:val="both"/>
        <w:rPr>
          <w:color w:val="000000" w:themeColor="text1"/>
          <w:sz w:val="16"/>
          <w:szCs w:val="16"/>
        </w:rPr>
      </w:pPr>
      <w:r w:rsidRPr="00271E51">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44E89A2A" w14:textId="77777777" w:rsidR="00A76817" w:rsidRPr="00271E51" w:rsidRDefault="00A76817" w:rsidP="00271E51">
      <w:pPr>
        <w:pStyle w:val="ae"/>
        <w:spacing w:before="0" w:after="0"/>
        <w:jc w:val="both"/>
        <w:rPr>
          <w:color w:val="000000" w:themeColor="text1"/>
          <w:sz w:val="16"/>
          <w:szCs w:val="16"/>
        </w:rPr>
      </w:pPr>
      <w:r w:rsidRPr="00271E51">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2A6F1DC4" w14:textId="77777777" w:rsidR="00A76817" w:rsidRPr="00271E51" w:rsidRDefault="00A76817" w:rsidP="00271E51">
      <w:pPr>
        <w:spacing w:after="0" w:line="240" w:lineRule="auto"/>
        <w:jc w:val="both"/>
        <w:rPr>
          <w:rFonts w:ascii="Times New Roman" w:hAnsi="Times New Roman"/>
          <w:color w:val="000000" w:themeColor="text1"/>
          <w:sz w:val="16"/>
          <w:szCs w:val="16"/>
        </w:rPr>
      </w:pPr>
    </w:p>
    <w:p w14:paraId="17B3CAB1"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декабря (ночь) 1943 458 британских бомбардировщиков атакуют Берлин, широко разбросав свои бомбы по южной части города и сельской местности из-за неблагоприятных ветров, но, тем не менее, нанесли некоторый ущерб фабрикам и разрушили 136 зданий. Немецкие ночные истребители перехватывают налет, и британцы теряют 40 бомбардировщиков (8,7 процента сил) (20376).</w:t>
      </w:r>
    </w:p>
    <w:p w14:paraId="6773B2C7" w14:textId="77777777" w:rsidR="00FB0459" w:rsidRPr="00271E51" w:rsidRDefault="00FB0459" w:rsidP="00271E51">
      <w:pPr>
        <w:spacing w:after="0" w:line="240" w:lineRule="auto"/>
        <w:jc w:val="both"/>
        <w:rPr>
          <w:rFonts w:ascii="Times New Roman" w:hAnsi="Times New Roman"/>
          <w:color w:val="0070C0"/>
          <w:sz w:val="16"/>
          <w:szCs w:val="16"/>
        </w:rPr>
      </w:pPr>
    </w:p>
    <w:p w14:paraId="49CABD1F"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lastRenderedPageBreak/>
        <w:t>December 2 1943 Luftwaffe makes effective raid on Bari, Italy (1037).</w:t>
      </w:r>
    </w:p>
    <w:p w14:paraId="01C63884"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72C2CC"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Люфтваффе выполнили эффективный налет на Бари в Италии (1037).</w:t>
      </w:r>
    </w:p>
    <w:p w14:paraId="49A7D158"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70784"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г. состоялась бомбардировка немецкой авиацией в порту Бари (Италия) английского транспортного судна "Джон Харви", груженого авиабомбами в снаряжении ипритом - стойким ОВ кожно-нарывного действия (всего 100 т). 83 человека погибли, 534 получили поражение (9067).</w:t>
      </w:r>
    </w:p>
    <w:p w14:paraId="7C883807" w14:textId="77777777" w:rsidR="00FB0459" w:rsidRPr="00271E51" w:rsidRDefault="00FB045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1144E"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декабря 1943 ночной налет 105 немецких бомбардировщиков Junkers Ju 88 удивил ярко освещенный итальянский порт Бари, в то время как он был переполнен примерно 30 кораблями союзников, и не встретил большого сопротивления. Пелена пламени горящего танкера распространяется над гаванью; 16 судов, перевозящих 38 000 тонн (38 000 000 кг) груза, уничтожены, восемь повреждены, а из груза одного пострадавшего судна выдилось некоторое количество иприта; убито по меньшей мере 125 американских военнослужащих; и порт не возвращается к полноценной работе в течение трех недель. Это самый разрушительный единичный воздушный налет на суда после нападения Японии на Перл-Харбор в декабре 1941 года (20376).</w:t>
      </w:r>
    </w:p>
    <w:p w14:paraId="6D54E759" w14:textId="77777777" w:rsidR="00FB0459" w:rsidRPr="00271E51" w:rsidRDefault="00FB0459" w:rsidP="00271E51">
      <w:pPr>
        <w:spacing w:after="0" w:line="240" w:lineRule="auto"/>
        <w:jc w:val="both"/>
        <w:rPr>
          <w:rFonts w:ascii="Times New Roman" w:hAnsi="Times New Roman"/>
          <w:color w:val="0070C0"/>
          <w:sz w:val="16"/>
          <w:szCs w:val="16"/>
        </w:rPr>
      </w:pPr>
    </w:p>
    <w:p w14:paraId="2E81D779" w14:textId="77777777" w:rsidR="00FB0459" w:rsidRPr="00271E51" w:rsidRDefault="00FB045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декабря 1943 - Налёт люфтваффе на порт итальянского города Бари, ставший одной из самых успешных операций немецких ВВС за всю Вторую мировую войну. 105 бомбардировщиков Ju 88A-4 потопили 28 итальянских, американских, британских, норвежских и польских грузовых судов. Ещё 12 кораблей получили повреждения. Потери немцев ограничились одним бомбардировщиком (22718).</w:t>
      </w:r>
    </w:p>
    <w:p w14:paraId="46340F14" w14:textId="77777777" w:rsidR="00FB0459" w:rsidRPr="00271E51" w:rsidRDefault="00FB0459" w:rsidP="00271E51">
      <w:pPr>
        <w:spacing w:after="0" w:line="240" w:lineRule="auto"/>
        <w:jc w:val="both"/>
        <w:rPr>
          <w:rFonts w:ascii="Times New Roman" w:hAnsi="Times New Roman"/>
          <w:color w:val="0070C0"/>
          <w:sz w:val="16"/>
          <w:szCs w:val="16"/>
        </w:rPr>
      </w:pPr>
    </w:p>
    <w:p w14:paraId="03D5C0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w:t>
      </w:r>
      <w:r w:rsidRPr="00271E51">
        <w:rPr>
          <w:rFonts w:ascii="Times New Roman" w:hAnsi="Times New Roman"/>
          <w:color w:val="000000" w:themeColor="text1"/>
          <w:sz w:val="16"/>
          <w:szCs w:val="16"/>
          <w:lang w:val="en-US"/>
        </w:rPr>
        <w:t>December</w:t>
      </w:r>
      <w:r w:rsidRPr="00271E51">
        <w:rPr>
          <w:rFonts w:ascii="Times New Roman" w:hAnsi="Times New Roman"/>
          <w:color w:val="000000" w:themeColor="text1"/>
          <w:sz w:val="16"/>
          <w:szCs w:val="16"/>
        </w:rPr>
        <w:t xml:space="preserve"> 1943 </w:t>
      </w:r>
      <w:r w:rsidRPr="00271E51">
        <w:rPr>
          <w:rFonts w:ascii="Times New Roman" w:hAnsi="Times New Roman"/>
          <w:color w:val="000000" w:themeColor="text1"/>
          <w:sz w:val="16"/>
          <w:szCs w:val="16"/>
          <w:lang w:val="en-US"/>
        </w:rPr>
        <w:t>Hitler</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calls</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up</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German</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Youth</w:t>
      </w:r>
      <w:r w:rsidRPr="00271E51">
        <w:rPr>
          <w:rFonts w:ascii="Times New Roman" w:hAnsi="Times New Roman"/>
          <w:color w:val="000000" w:themeColor="text1"/>
          <w:sz w:val="16"/>
          <w:szCs w:val="16"/>
        </w:rPr>
        <w:t xml:space="preserve"> (270).</w:t>
      </w:r>
    </w:p>
    <w:p w14:paraId="3A3CF4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719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А.Гитлер обратился с призывом к немецкой молодежи (270).</w:t>
      </w:r>
    </w:p>
    <w:p w14:paraId="0CDC18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5F5D2"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 декабря</w:t>
      </w:r>
      <w:r w:rsidRPr="00271E51">
        <w:rPr>
          <w:rFonts w:ascii="Times New Roman" w:hAnsi="Times New Roman"/>
          <w:color w:val="000000" w:themeColor="text1"/>
          <w:sz w:val="16"/>
          <w:szCs w:val="16"/>
        </w:rPr>
        <w:t xml:space="preserve"> в 1943 году распоряжение Гитлера о привлечении немецкой молодежи к выполнению военных задач (14848).</w:t>
      </w:r>
    </w:p>
    <w:p w14:paraId="49A4676F"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5F569C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2, 1943: German forces in Yugoslavia begin a major operation against Tito's partisan army (3819).</w:t>
      </w:r>
    </w:p>
    <w:p w14:paraId="18BCEB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9514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немцы начали наступление против югославских партизан (3819).</w:t>
      </w:r>
    </w:p>
    <w:p w14:paraId="4C3D5F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0040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декабря 1943 в США из Англии прибыли 15 ученых-атомщиков для участия в создании атомной бомбы (среди них был и советский разведчик) (4962).</w:t>
      </w:r>
    </w:p>
    <w:p w14:paraId="6F27051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FC067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D9026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1808C4" w14:textId="77777777" w:rsidR="004F0166" w:rsidRPr="00271E51" w:rsidRDefault="004F0166" w:rsidP="00271E51">
      <w:pPr>
        <w:spacing w:after="0" w:line="240" w:lineRule="auto"/>
        <w:jc w:val="both"/>
        <w:rPr>
          <w:rStyle w:val="5f"/>
          <w:rFonts w:eastAsiaTheme="minorHAnsi"/>
          <w:color w:val="000000" w:themeColor="text1"/>
          <w:sz w:val="16"/>
          <w:szCs w:val="16"/>
        </w:rPr>
      </w:pPr>
      <w:r w:rsidRPr="00271E51">
        <w:rPr>
          <w:rStyle w:val="5f"/>
          <w:rFonts w:eastAsiaTheme="minorHAnsi"/>
          <w:color w:val="000000" w:themeColor="text1"/>
          <w:sz w:val="16"/>
          <w:szCs w:val="16"/>
        </w:rPr>
        <w:t>3 декабря 1943 помощник начальника 1 -го отдела ГУ ИАС инженер-капитан Бобровский по возвращении из командировки доложил, что «Приказом НКАП № 594сс от 11.10.43 г. заводу № 18 было задано: а) 1-й экземпляр самолета Ил с АМ-42 в одноместном варианте, изготовляемого согласно приказу НКАП № 414сс от 12.7.43 г., выпустить в полет 15.11.43 г.; б) построить 2-й экземпляр самолета Ил с АМ-42 в двухместном варианте и предъявить его на заводские испытания 10.12.43 г. Здесь имеется какая-то неувязка, так как приказом НКАП № 414сс от 12.7.43 г. заводу № 18 не задавалась постройка одноместного самолета Ил. В действительности же завод еще до приказа НКАП № 594сс от 11.10.43 г. начал постройку одноместного истребителя Ил-1 АМ-42, аналогично изготовляемому на заводе № 1. В конце октября с/г по указанию Гл. конструктора работы по Ил-1 с АМ-42 завод № 18 прекратил./.. ./Таким образом, на заводе № 18 в настоящее время ведутся работы по постройке 2-местного самолета Ил с АМ-42, предусмотренного приказом НКАП № 594сс, и по установке на модернизированный штурмовик Ил с АМ-42 мотора АМ-38./. ../Самолет (двухместный Ил-1. -</w:t>
      </w:r>
      <w:r w:rsidRPr="00271E51">
        <w:rPr>
          <w:rStyle w:val="BodytextItalic"/>
          <w:rFonts w:eastAsiaTheme="minorHAnsi"/>
          <w:i w:val="0"/>
          <w:color w:val="000000" w:themeColor="text1"/>
          <w:sz w:val="16"/>
          <w:szCs w:val="16"/>
        </w:rPr>
        <w:t xml:space="preserve"> Прим. авт.)</w:t>
      </w:r>
      <w:r w:rsidRPr="00271E51">
        <w:rPr>
          <w:rStyle w:val="5f"/>
          <w:rFonts w:eastAsiaTheme="minorHAnsi"/>
          <w:color w:val="000000" w:themeColor="text1"/>
          <w:sz w:val="16"/>
          <w:szCs w:val="16"/>
        </w:rPr>
        <w:t xml:space="preserve"> цельнометаллической конструкции, с существенно отличной по сравнению с серийным самолетом компоновкой ВМГ, убирающимися одностоечным шасси и хвостовым колесом. По этому самолету, так же как и по самолету Ил-1 с АМ-42, эскизный проект в ВВС не представлялся./.. ./Для самолета предусмотрено два варианта пулеметно -пушечного вооружения: 1 -й вариант - 2 пушки калибра 37 мм, 2 пушки калибра 20 мм, 1 пулемет калибра 12,7 мм; 2-й вариант - 2 пушки калибра 23 мм, 2 пулемета калибра 7,62 мм, 1 пулемет калибра 12,7 мм. Бомбовая нагрузка до 300 кг внутрь фюзеляжа./. ../Изготавливаемые в настоящее время на заводе № 1 новый одноместный истребитель Ил-1 с АМ-42 и на заводе № 18 двухместный самолет Ил под мотор АМ-42 не достаточно ясны по своим летно -тактическим данным и даже назначению».</w:t>
      </w:r>
    </w:p>
    <w:p w14:paraId="6B1524C9" w14:textId="77777777" w:rsidR="004F0166" w:rsidRPr="00271E51" w:rsidRDefault="004F0166"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В середине ноября 1943 начальник 1-го отдела ГУ ИАС ВВС генерал -майор Гребенев, обеспокоенный ситуацией по опытным работам в ОКБ-240 и на заводах № 1 и № 18 - не выполнены постановления ГКО № 2347сс и № 4427сс, строятся самолеты Ил-1, которые ВВС не заказывали, - распорядился оценить фактическое состояние дел на месте. В Куйбышев срочно выехал Бобровский.</w:t>
      </w:r>
    </w:p>
    <w:p w14:paraId="25312E34" w14:textId="77777777" w:rsidR="004F0166" w:rsidRPr="00271E51" w:rsidRDefault="004F0166"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Старший военпред ГУ ИАС ВВС на заводе № 240 инженер-майор Григорьев получил указание от генерала Гребенева: «Разъяснить у т. Ильюшина, что это за самолеты Ил-1 и Ил 2-местный с АМ-42». Из доклада Григорьева следует, что 10 декабря он запросил у «Гл. конструктора т. Ильюшина» эскизный проект, который тот «обещал выслать в ближайшее время». Но, как показали дальнейшие события, не выслал.</w:t>
      </w:r>
    </w:p>
    <w:p w14:paraId="6AC64C0B" w14:textId="77777777" w:rsidR="004F0166" w:rsidRPr="00271E51" w:rsidRDefault="004F0166" w:rsidP="00271E51">
      <w:pPr>
        <w:spacing w:after="0" w:line="240" w:lineRule="auto"/>
        <w:jc w:val="both"/>
        <w:rPr>
          <w:rStyle w:val="5f"/>
          <w:rFonts w:eastAsiaTheme="minorHAnsi"/>
          <w:color w:val="000000" w:themeColor="text1"/>
          <w:sz w:val="16"/>
          <w:szCs w:val="16"/>
        </w:rPr>
      </w:pPr>
    </w:p>
    <w:p w14:paraId="546022F4" w14:textId="77777777" w:rsidR="004F0166" w:rsidRPr="00271E51" w:rsidRDefault="004F0166"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3 декабря 1943 Командующий ВВС МВО генерал-лейтенант Н. А. Сбытов в своем докладе члену Во</w:t>
      </w:r>
      <w:r w:rsidRPr="00271E51">
        <w:rPr>
          <w:color w:val="000000" w:themeColor="text1"/>
          <w:sz w:val="16"/>
          <w:szCs w:val="16"/>
        </w:rPr>
        <w:softHyphen/>
        <w:t>енного совета ВВС и заведующему авиационным отделом ЦК ВКП(б) генерал-лейтенанту Н. С. Шима- нову указывал, что «опыт боевой работы 227-й шад и общая оценка этого оружия позволяют сделать вывод, что такой штурмовик имеет большие пре</w:t>
      </w:r>
      <w:r w:rsidRPr="00271E51">
        <w:rPr>
          <w:color w:val="000000" w:themeColor="text1"/>
          <w:sz w:val="16"/>
          <w:szCs w:val="16"/>
        </w:rPr>
        <w:softHyphen/>
        <w:t>имущества в ведении сильного прицельного огня». При этом «для резкого улучшения качества само</w:t>
      </w:r>
      <w:r w:rsidRPr="00271E51">
        <w:rPr>
          <w:color w:val="000000" w:themeColor="text1"/>
          <w:sz w:val="16"/>
          <w:szCs w:val="16"/>
        </w:rPr>
        <w:softHyphen/>
        <w:t>лета и стрельбы» предлагалось «самолет с 37-мм пушками выпускать одноместным», «для улучшения качества самолета пушки убрать в крыло», «взяться за облагораживание самолета Ил-2 и в первую оче</w:t>
      </w:r>
      <w:r w:rsidRPr="00271E51">
        <w:rPr>
          <w:color w:val="000000" w:themeColor="text1"/>
          <w:sz w:val="16"/>
          <w:szCs w:val="16"/>
        </w:rPr>
        <w:softHyphen/>
        <w:t>редь вооруженного 37-мм пушками», «пушки поста</w:t>
      </w:r>
      <w:r w:rsidRPr="00271E51">
        <w:rPr>
          <w:color w:val="000000" w:themeColor="text1"/>
          <w:sz w:val="16"/>
          <w:szCs w:val="16"/>
        </w:rPr>
        <w:softHyphen/>
        <w:t>вить ближе к фюзеляжу», «решить окончательно во</w:t>
      </w:r>
      <w:r w:rsidRPr="00271E51">
        <w:rPr>
          <w:color w:val="000000" w:themeColor="text1"/>
          <w:sz w:val="16"/>
          <w:szCs w:val="16"/>
        </w:rPr>
        <w:softHyphen/>
        <w:t>прос с прицелом». Поскольку «в вопросах освоения самолета, особенно молодыми летчиками, самолет имеет ряд трудностей», то считалось необходимым «летную программу увеличить на 5—8 часов на каждого летчика» (17500).</w:t>
      </w:r>
    </w:p>
    <w:p w14:paraId="0729C648" w14:textId="77777777" w:rsidR="004F0166" w:rsidRPr="00271E51" w:rsidRDefault="004F0166" w:rsidP="00271E51">
      <w:pPr>
        <w:spacing w:after="0" w:line="240" w:lineRule="auto"/>
        <w:jc w:val="both"/>
        <w:rPr>
          <w:rFonts w:ascii="Times New Roman" w:eastAsia="Times New Roman" w:hAnsi="Times New Roman"/>
          <w:color w:val="000000" w:themeColor="text1"/>
          <w:sz w:val="16"/>
          <w:szCs w:val="16"/>
          <w:lang w:eastAsia="ru-RU"/>
        </w:rPr>
      </w:pPr>
    </w:p>
    <w:p w14:paraId="68A871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НКАП П.Дементьев писал письмо N Н-34/4843 ГИ ВВС А.К.Репину (копии Зам. уполномоченного ГОКО П.И.Кирпичникову и Нач. ГУЗ ВВС Н.П.Селезневу):</w:t>
      </w:r>
    </w:p>
    <w:p w14:paraId="210D8D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установки прицела ПБП-1б на самолеты истребители и штурмовики сообщаю:</w:t>
      </w:r>
    </w:p>
    <w:p w14:paraId="2006AE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Прицел ПБП-1б временно может быть установлен на Ла-5 для проведения широких войсковых испытаний.</w:t>
      </w:r>
    </w:p>
    <w:p w14:paraId="3B6F64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связи с возражением ГК А.С.Я. на самолетах истребителях Як прицел установлен быть не может, т.к. прицел ПБП-1б загораживает верхнюю часть приборной доски (габариты больше, чем у ПБП-1а).</w:t>
      </w:r>
    </w:p>
    <w:p w14:paraId="3B8174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серийных Ил-2 прицел ПБП-1б не может быть установлен, т.к. требуется предварительная отработка методики и способов бомбометания с данным прицелом в комплексе с прибором ВМШ-2, в соответствии с письмом ВВС КА N 556329 от 17 июля 1943." (1780).</w:t>
      </w:r>
    </w:p>
    <w:p w14:paraId="70642B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776A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 М-83 впервые предъявили на 50-часовое совместное ис</w:t>
      </w:r>
      <w:r w:rsidRPr="00271E51">
        <w:rPr>
          <w:rFonts w:ascii="Times New Roman" w:hAnsi="Times New Roman"/>
          <w:color w:val="000000" w:themeColor="text1"/>
          <w:sz w:val="16"/>
          <w:szCs w:val="16"/>
        </w:rPr>
        <w:softHyphen/>
        <w:t>пытание. Забегая вперед, отметим, что М-83 доводили потом в течение всего 1944 г. (слабым местом оказалась крыльчатка нагнетателя), и лишь к началу 1945 г. подготови</w:t>
      </w:r>
      <w:r w:rsidRPr="00271E51">
        <w:rPr>
          <w:rFonts w:ascii="Times New Roman" w:hAnsi="Times New Roman"/>
          <w:color w:val="000000" w:themeColor="text1"/>
          <w:sz w:val="16"/>
          <w:szCs w:val="16"/>
        </w:rPr>
        <w:softHyphen/>
        <w:t>ли к запуску в серию, которую, однако, так практически и не развернули (15829).</w:t>
      </w:r>
    </w:p>
    <w:p w14:paraId="298FA8EE"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075078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вышел приказ НКАП N 727 о внедрении поточных методов производства в АП (1674,91).</w:t>
      </w:r>
    </w:p>
    <w:p w14:paraId="351DFA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D49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была подготовлена докладная записка для НКАП А.И.Ш. по вопросу обеспечения завода N 300 - по строительству, оборудованию и кадром. А.А.М. эту справку не подписал и 1 декабря за N 19880с представил свою (2562,10).</w:t>
      </w:r>
    </w:p>
    <w:p w14:paraId="30A2DA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786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года приказом по 4 гл. управлению НКАП за № 33с мастерским, созданным на базе эвакуированного завода №462 в Днепропетровске, была утверждена номенклатура изделия для ремонта и выпуска, а именно магнето, авиасвечи и т.д.</w:t>
      </w:r>
    </w:p>
    <w:p w14:paraId="1FD816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w:t>
      </w:r>
      <w:r w:rsidRPr="00271E51">
        <w:rPr>
          <w:rFonts w:ascii="Times New Roman" w:hAnsi="Times New Roman"/>
          <w:color w:val="000000" w:themeColor="text1"/>
          <w:sz w:val="16"/>
          <w:szCs w:val="16"/>
        </w:rPr>
        <w:lastRenderedPageBreak/>
        <w:t>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3FE262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19E47"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C81EB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2602A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года закончились испытания всех трех артсистем для Т-34, которые шли с 25 ноября, причем все пушки их не выдержали (12217).</w:t>
      </w:r>
    </w:p>
    <w:p w14:paraId="00411E16"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5D2BDB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 ЧКЗ был выдан проект ТТТ на новый тяжелый танк. Проектом предусматривалось создание тяжелого танка массой 55 т и с экипажем из 5-ти человек. Корпус танка предполагалось изготовлять из гомогенной ; брони высокой твердости с толщиной броневых плит от 30 до 200 мм. Максимальная толщина лобовой брони литой башни достигала 160 мм. Вооружение танка должно было состоять из 122-мм пушки или 152,4-мм пушки-гаубицы и четырех пулеметов. Дизель мощностью 800 - 1000 л.с. (588 - 735 кВт) должен был обеспечить максимальную скорость движе</w:t>
      </w:r>
      <w:r w:rsidRPr="00271E51">
        <w:rPr>
          <w:rFonts w:ascii="Times New Roman" w:hAnsi="Times New Roman"/>
          <w:color w:val="000000" w:themeColor="text1"/>
          <w:sz w:val="16"/>
          <w:szCs w:val="16"/>
        </w:rPr>
        <w:softHyphen/>
        <w:t>ния танка 35 км/ч. Запаса возимого топлива должно было хватить на 10 часов движения танка. Баки должны были располагаться изолированно от двигателя в нижней части корпуса танка вне боевого отделения. Трансмиссия располагалась в передней части корпуса танка. В ее состав входи</w:t>
      </w:r>
      <w:r w:rsidRPr="00271E51">
        <w:rPr>
          <w:rFonts w:ascii="Times New Roman" w:hAnsi="Times New Roman"/>
          <w:color w:val="000000" w:themeColor="text1"/>
          <w:sz w:val="16"/>
          <w:szCs w:val="16"/>
        </w:rPr>
        <w:softHyphen/>
        <w:t>ли планетарная коробка передачи и двухступенчатый планетарный меха</w:t>
      </w:r>
      <w:r w:rsidRPr="00271E51">
        <w:rPr>
          <w:rFonts w:ascii="Times New Roman" w:hAnsi="Times New Roman"/>
          <w:color w:val="000000" w:themeColor="text1"/>
          <w:sz w:val="16"/>
          <w:szCs w:val="16"/>
        </w:rPr>
        <w:softHyphen/>
        <w:t>низм поворота. Ведущие колеса должны были располагаться спереди и иметь цевочное зацепление с гусеницами. В системе подрессоривания предусматривалось использование индивидуальной торсионной подвес</w:t>
      </w:r>
      <w:r w:rsidRPr="00271E51">
        <w:rPr>
          <w:rFonts w:ascii="Times New Roman" w:hAnsi="Times New Roman"/>
          <w:color w:val="000000" w:themeColor="text1"/>
          <w:sz w:val="16"/>
          <w:szCs w:val="16"/>
        </w:rPr>
        <w:softHyphen/>
        <w:t>ки и установка амортизаторов на передних и задних опорных катках. Рас</w:t>
      </w:r>
      <w:r w:rsidRPr="00271E51">
        <w:rPr>
          <w:rFonts w:ascii="Times New Roman" w:hAnsi="Times New Roman"/>
          <w:color w:val="000000" w:themeColor="text1"/>
          <w:sz w:val="16"/>
          <w:szCs w:val="16"/>
        </w:rPr>
        <w:softHyphen/>
        <w:t>положение экипажа в боевом отделении - наводчик справа от пушки, за ним командир, два заряжающих слева. Тактико-техническими требованиями также предусматривалась разработка проекта танка с электромеханической трансмиссией (10703).</w:t>
      </w:r>
    </w:p>
    <w:p w14:paraId="769C2E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202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 было подготовлено СООБЩЕНИЕ НАЧАЛЬНИКА УПРАВЛЕНИЯ РЕМОНТА ТАНКОВ ГБТУ КА НАЧАЛЬНИКУ РЕМЗАВОДА № 2 О ВОЗМОЖНОСТИ УСТАНОВКИ НА АНГЛИЙСКИЕ БРОНЕТРАНСПОРТЕРЫ ОТЕЧЕСТВЕННОГО ВООРУЖЕНИЯ №1159875</w:t>
      </w:r>
    </w:p>
    <w:p w14:paraId="0DE9F3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ГБТУ КА генерал-лейтенант инженерно-танковой службы т. Лебедев разрешил на английские бронетранспортеры устанавливать отечественное вооружение — пулеме</w:t>
      </w:r>
      <w:r w:rsidRPr="00271E51">
        <w:rPr>
          <w:rFonts w:ascii="Times New Roman" w:hAnsi="Times New Roman"/>
          <w:color w:val="000000" w:themeColor="text1"/>
          <w:sz w:val="16"/>
          <w:szCs w:val="16"/>
        </w:rPr>
        <w:softHyphen/>
        <w:t>ты ДТ и противотанковые ружья ПТР.</w:t>
      </w:r>
    </w:p>
    <w:p w14:paraId="6340D2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Крепление пулемета ДТ в боевом положении производить с помощью хомута, разработанного техническим отделом Вашего завода, ПТР по боевому не крепится. Крепление пулемета ДТ и ПТР по походному производить в соответствующих гнездах пулемета «Брен» и ружья «Бойс».</w:t>
      </w:r>
    </w:p>
    <w:p w14:paraId="48C7F5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ремонта танков ГБТУ КА генерал-майор инженерно-танковой службы Сосенков</w:t>
      </w:r>
    </w:p>
    <w:p w14:paraId="3A12A3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12 отдела управления ремонта танков ГБТУ КА</w:t>
      </w:r>
    </w:p>
    <w:p w14:paraId="782613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инженер-подполковник Кузнецов</w:t>
      </w:r>
    </w:p>
    <w:p w14:paraId="67BBA6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11357. Д. 75. Л. 33. Копия (11403).</w:t>
      </w:r>
    </w:p>
    <w:p w14:paraId="24F448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790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г. вышел ПРИКАЗ НАЧАЛЬНИКА ГБТУ КА О МЕРОПРИЯТИЯХ ПО УЛУЧШЕНИЮ РАБОТЫ ОТДЕЛА ИЗОБРЕТЕНИЙ №46</w:t>
      </w:r>
    </w:p>
    <w:p w14:paraId="4DB35A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упорядочения и улучшения работы 8-го отдела</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xml:space="preserve"> ТУ ГБТУ КА объявляю положение</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о порядке прохождения, оформления и реализации предложений, поступающих в 8-й отдел и управ</w:t>
      </w:r>
      <w:r w:rsidRPr="00271E51">
        <w:rPr>
          <w:rFonts w:ascii="Times New Roman" w:hAnsi="Times New Roman"/>
          <w:color w:val="000000" w:themeColor="text1"/>
          <w:sz w:val="16"/>
          <w:szCs w:val="16"/>
        </w:rPr>
        <w:softHyphen/>
        <w:t>ления ГБТУ Красной Армии.</w:t>
      </w:r>
    </w:p>
    <w:p w14:paraId="74B045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Начальникам управлений и начальникам отдела изобретений неуклонно выполнять данное положение.</w:t>
      </w:r>
    </w:p>
    <w:p w14:paraId="295D27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Начальнику отдела изобретений о каждом случае нарушения или невыполнения настоящего положения докладывать мне через начальника танкового управления ГБТУ Красной Армии.</w:t>
      </w:r>
    </w:p>
    <w:p w14:paraId="75B89A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ГБТУ Красной Армии генерал-лейтенант инженерно-танковой службы Лебедев</w:t>
      </w:r>
    </w:p>
    <w:p w14:paraId="461938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11377. Д. 2. Л. 84. Подлинник (11403).</w:t>
      </w:r>
    </w:p>
    <w:p w14:paraId="509272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9313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вышло Распоряжение ГКО № 4718 [Об освобождении от призыва в КА квалифицированных рабочих 3-го разряда и всех, окончивших РУ и школы ФЗО и работающих на предприятиях Главлесоспирта при СНК СССР.] (7162, 132,133).</w:t>
      </w:r>
    </w:p>
    <w:p w14:paraId="362130D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5B949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вышло Распоряжение ГКО № 4719 [О мерах по обеспечению производства танков в декабре 1943 г. аккумуляторами типа 6-СТЭ-128.] (7162, 134-136).</w:t>
      </w:r>
    </w:p>
    <w:p w14:paraId="7E60B26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83CA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2BD7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8FDE3"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декабря </w:t>
      </w:r>
      <w:r w:rsidRPr="00271E51">
        <w:rPr>
          <w:rFonts w:ascii="Times New Roman" w:hAnsi="Times New Roman"/>
          <w:color w:val="000000" w:themeColor="text1"/>
          <w:sz w:val="16"/>
          <w:szCs w:val="16"/>
        </w:rPr>
        <w:t>в 1943 году оперативная сводка Совинформбюро:</w:t>
      </w:r>
    </w:p>
    <w:p w14:paraId="3C00E1A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декабря северо-западнее Гомеля наши войска, продолжая наступление, с боями заняли более 100 населённых пунктов; среди них крупные населённые пункты Шапчицы, Довск, Свержень, Малашковичи, Довцы, Красница, Каменка Рысковская, Фундаменка, Надеждино, Химы, Столпня, Углы, Будалюшевская, Новая Слобода, Старая Рудня, Пиревичи, Круговец, Руденка, Скепня и железнодорожная станция Салтановка.</w:t>
      </w:r>
    </w:p>
    <w:p w14:paraId="08DE9F7D"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отбивали атаки пехоты и танков противника.</w:t>
      </w:r>
    </w:p>
    <w:p w14:paraId="5F9938A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в результате упорных боёв овладели районным центром Кировоградской области городом Ново-Георгиевск, а также заняли населённые пункты Старо-Липово, Ново-Липово, Клочково, Калаборок, Бабиновка, Черниковка, Никольск, Федорки, Ново-Пилиповка и узловую железнодорожную станцию Користовка.</w:t>
      </w:r>
    </w:p>
    <w:p w14:paraId="141E5780"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B0F8943"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 декабря наши войска на всех фронтах подбили и уничтожили 17 немецких танков. В воздушных боях и огнём зенитной артиллерии сбито 20 самолётов противника.</w:t>
      </w:r>
    </w:p>
    <w:p w14:paraId="4E11BF48"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продолжали наступление и с боями заняли более 100 населённых пунктов. Продвигаясь вперёд по железной дороге Гомель —Жлобин, наши бойцы овладели станцией Салтановка. Отступая под ударами советских войск, противник несёт большие потери. В одном районе немцы пытались закрепиться на заранее созданном ими оборонительном рубеже. Части Н-ского соединения успешным манёвром обошли противника. Под угрозой окружения гитлеровцы начали отходить, и в этот момент были атакованы нашими подразделениями. Уничтожено свыше 700 немецких солдат и офицеров и 8 танков противника. Захвачено 18 орудий и крупнокалиберных миномётов, 3 склада боеприпасов и другие трофеи.</w:t>
      </w:r>
    </w:p>
    <w:p w14:paraId="19E41562"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бойцы освободили 10 тысяч советских граждан, которых немцы угоняли на каторгу в Германию.</w:t>
      </w:r>
    </w:p>
    <w:p w14:paraId="5E151D7A"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немцы предпринимали атаки, стремясь вернуть позиции, потерянные ими в последних боях. На одном участке наши войска отбили семь контратак противника и уничтожили до батальона гитлеровцев. На другом участке неоднократные атаки немцев также не имели успеха. Огнём нашей артиллерии подбито и сожжено 7 немецких танков.</w:t>
      </w:r>
    </w:p>
    <w:p w14:paraId="6B18B918"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вышли на подступы к важному узлу обороны противника на правобережье Днепра — к городу Ново-Георгиевску. Немцы, опираясь на широко развитую сеть окопов и траншей, прикрытых минными полями и проволочными заграждениями, оказывали упорное сопротивление. В результате ожесточённых боёв наши войска сегодня овладели городом Ново-Георгиевск — районным центром Кировоградской области. На улицах города остались сотни вражеских трупов. Захвачено у немцев 12 танков, много орудий, пулемётов, 5 складов с продовольствием и другие трофеи. Взяты пленные. На другом участке советские пехотинцы и танкисты овладели несколькими населёнными пунктами и после упорного боя заняли узловую железнодорожную станцию Користовка. В боях за эту станцию противник понёс особенно большие потери.</w:t>
      </w:r>
    </w:p>
    <w:p w14:paraId="2E81BD83"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потоплены сторожевой корабль, две самоходных десантных баржи и две баржи с военными грузами противника.</w:t>
      </w:r>
    </w:p>
    <w:p w14:paraId="425024BB"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Белостокской области, подорвал немецкий воинский эшелон. Поезд полетел под откос. Партизаны пулемётным огнём истребили более 100 гитлеровцев. Другой отряд белостокских партизан взорвал рельсы на большом участке железной дороги. На узкоколейной дороге советские патриоты захватили и уничтожили железнодорожный состав с грузами. Немецкая охрана поезда взята в плен.</w:t>
      </w:r>
    </w:p>
    <w:p w14:paraId="179DE11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866 гренадерского полка 355 немецкой пехотной дивизии Гейнц Кальмус рассказал: «Маршевый батальон, в составе которого я прибыл в Россию, предназначался для пополнения 161 немецкой пехотной дивизии. Однако, на фронте царила неразбериха. Наш батальон, отступая вместе с другими частями, долго разыскивал свою дивизию. Пользуясь замешательством, многие солдаты разбрелись, кто куда. Из 900 человек осталось менее половины. В октябре стало известно, что161 пехотная дивизия разбита, а её штаб выехал во Францию. Остатки нашег обатальона были переданы в 866 гренадерский полк 355 пехотной дивизии.</w:t>
      </w:r>
    </w:p>
    <w:p w14:paraId="1ED204C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октября 355 дивизия четыре раза получала пополнения, всего около 3 тысяч человек. Однако маршевые батальоны, прибывавшие один за другим, не могли восполнить громадные потери. За два месяца пребывания на фронте от нашего батальона осталось всего только 40 человек».</w:t>
      </w:r>
    </w:p>
    <w:p w14:paraId="7A0F228E"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Немецко-фашистские оккупанты насильно угоняют мирное население временно оккупированных ими советских районов на каторгу в Германию. Гитлеровцы под угрозой расстрела заставляют взрослых, подростков и детей итти пешком и не даютим никакого продовольствия. В двадцатых числах ноября близ населённого пункта Тилжа, Латвийской ССР, проходила колонна советских граждан численностью в 1.500 человек. Многие из них выбились из сил и не могли продолжать путь. Немецкие конвоиры прикладами избивали женщин и детей и подгоняли их. Больных и обессилевших фашистские палачи расстреливали тут же у дороги. В районе Пскова, в Крестовских лагерях, скопилось несколько тысяч жителей из временно оккупированных районов Ленинградской области, угоняемых немцами в фашистскую неволю. Уже более месяца советские граждане, в том числе женщины и дети, живут под открытым небом. Ежедневно в лагерях от холода, голода и болезней умирают десятки людей.» (14849).</w:t>
      </w:r>
    </w:p>
    <w:p w14:paraId="31ADABFB"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6EAB82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КА наступала широким фронтом (2262).</w:t>
      </w:r>
    </w:p>
    <w:p w14:paraId="44BBD7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63A2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23224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B84B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December 3, 1943: The RAF launches a heavy raid against Leipzig (3819).</w:t>
      </w:r>
    </w:p>
    <w:p w14:paraId="5138A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2E9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Королевские ВВС выполнили массированный налет на Лейпциг (3819).</w:t>
      </w:r>
    </w:p>
    <w:p w14:paraId="35CE9B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677ED"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 декабря (ночь) 1943  527 британских бомбардировщиков совершают налет на Лейпциг, Германия, с американским тележурналистом Эдвардом Р. Мерроу в качестве наблюдателя в Ланкастере 619-й эскадрильи. Самая успешная атака на Лейпциг за всю войну, она наносит большой урон жилым и промышленным зданиям. Во время обратного полета в Англию бомбардировщики по ошибке пролетают над обороной Франкфурта-на-Майне , где многие из них сбиты. Двадцать четыре бомбардировщика не возвращаются, уровень потерь 4,6 процента (20376).</w:t>
      </w:r>
    </w:p>
    <w:p w14:paraId="5A43AB85" w14:textId="77777777" w:rsidR="002574C5" w:rsidRPr="00271E51" w:rsidRDefault="002574C5" w:rsidP="00271E51">
      <w:pPr>
        <w:spacing w:after="0" w:line="240" w:lineRule="auto"/>
        <w:jc w:val="both"/>
        <w:rPr>
          <w:rFonts w:ascii="Times New Roman" w:hAnsi="Times New Roman"/>
          <w:color w:val="0070C0"/>
          <w:sz w:val="16"/>
          <w:szCs w:val="16"/>
        </w:rPr>
      </w:pPr>
    </w:p>
    <w:p w14:paraId="523DCD9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английская авиация провела самый неудачный за всю войну налет на Берлин, потеряв 23- человек</w:t>
      </w:r>
      <w:r w:rsidR="008C1766"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rPr>
        <w:t xml:space="preserve"> (4962).</w:t>
      </w:r>
    </w:p>
    <w:p w14:paraId="2804FA1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FA1A57"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декабря </w:t>
      </w:r>
      <w:r w:rsidRPr="00271E51">
        <w:rPr>
          <w:rFonts w:ascii="Times New Roman" w:hAnsi="Times New Roman"/>
          <w:color w:val="000000" w:themeColor="text1"/>
          <w:sz w:val="16"/>
          <w:szCs w:val="16"/>
        </w:rPr>
        <w:t>в 1943 году английская авиация проводит самый неудачный за всю войну налет на Берлин, теряя 23 человек.</w:t>
      </w:r>
    </w:p>
    <w:p w14:paraId="52D1765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Би-би-си передает: </w:t>
      </w:r>
    </w:p>
    <w:p w14:paraId="48B5AF50"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со 2 на 3 декабря 1943 года Королевские ВВС провели свой пятый налет на Берлин. 401 бомбардировщик сбросил свои 1686 тонн бомб на столицу рейха. 40 самолетов были сбиты.</w:t>
      </w:r>
    </w:p>
    <w:p w14:paraId="7D136361"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пять запланированных и проведенных налетов на Берлин, в которых в общей сложности участвовало 2212 британских самолета, было сброшено 8656 тонн бомб. Среди гражданского населения было 2700 убитых, число оставшихся без крова оценивалось в четверть миллиона человек, почти 70 000 квартир превратились в руины. 123 английских бомбардировщика были сбиты.» (14849).</w:t>
      </w:r>
    </w:p>
    <w:p w14:paraId="6BD87FD7"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6BAD41D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декабря 1943 после нескольких дней штурма войска союзников захватили укрепления фашистов на горе Монте-Камино (Центральная Италия) (4962).</w:t>
      </w:r>
    </w:p>
    <w:p w14:paraId="70C3636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9CE06"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декабря </w:t>
      </w:r>
      <w:r w:rsidRPr="00271E51">
        <w:rPr>
          <w:rFonts w:ascii="Times New Roman" w:hAnsi="Times New Roman"/>
          <w:color w:val="000000" w:themeColor="text1"/>
          <w:sz w:val="16"/>
          <w:szCs w:val="16"/>
        </w:rPr>
        <w:t>в 1943 году после нескольких дней штурма войска союзников захватывают укрепления фашистов на горе Монте-Камино (Центральная Италия) (14849).</w:t>
      </w:r>
    </w:p>
    <w:p w14:paraId="62F18109"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596D5421"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3–4 декабря (ночь) 1943 японские самолеты, базирующиеся в Рабауле, атакуют американские корабли, приближающиеся к острову Бугенвиль (20376).</w:t>
      </w:r>
    </w:p>
    <w:p w14:paraId="524157EB" w14:textId="77777777" w:rsidR="002574C5" w:rsidRPr="00271E51" w:rsidRDefault="002574C5" w:rsidP="00271E51">
      <w:pPr>
        <w:spacing w:after="0" w:line="240" w:lineRule="auto"/>
        <w:jc w:val="both"/>
        <w:rPr>
          <w:rFonts w:ascii="Times New Roman" w:hAnsi="Times New Roman"/>
          <w:color w:val="0070C0"/>
          <w:sz w:val="16"/>
          <w:szCs w:val="16"/>
        </w:rPr>
      </w:pPr>
    </w:p>
    <w:p w14:paraId="65F033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2nd Cairo, December 4-6, 1943. Conferees: Churchill, Roosevelt, Ismet Inonu. </w:t>
      </w:r>
      <w:r w:rsidRPr="00271E51">
        <w:rPr>
          <w:rFonts w:ascii="Times New Roman" w:hAnsi="Times New Roman"/>
          <w:color w:val="000000" w:themeColor="text1"/>
          <w:sz w:val="16"/>
          <w:szCs w:val="16"/>
        </w:rPr>
        <w:t>Main results: Anakim postponed, Ike command (1052).</w:t>
      </w:r>
    </w:p>
    <w:p w14:paraId="4AFC36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058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 (4) по 7 (6) декабря 1943 состоялась еще одна, вторая Каирская конференция, в которой приняли участие Ф.Д.Р., У.Черчиль и Чан Кай Ши (2246,6).</w:t>
      </w:r>
    </w:p>
    <w:p w14:paraId="16203C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C55D4" w14:textId="77777777" w:rsidR="008C1766" w:rsidRPr="00271E51" w:rsidRDefault="008C1766"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3 декабря </w:t>
      </w:r>
      <w:r w:rsidRPr="00271E51">
        <w:rPr>
          <w:rFonts w:ascii="Times New Roman" w:hAnsi="Times New Roman"/>
          <w:color w:val="000000" w:themeColor="text1"/>
          <w:sz w:val="16"/>
          <w:szCs w:val="16"/>
        </w:rPr>
        <w:t>в 1943 году вторая Каирская конференция руководителей США и Великобритании. Присутствовавший на конференции президент Турции И.Иненю отклонил предложения о вступлении в войну. В частной беседе с Черчиллем Рузвельт высказал мнение, что Франции не удастся оправиться от нанесенных ударов и поэтому некоторые из ее колониальных владений не должны быть ей возвращены; например, необходимо, чтобы Дакар перешел под американский контроль (14849).</w:t>
      </w:r>
    </w:p>
    <w:p w14:paraId="6D35937C" w14:textId="77777777" w:rsidR="008C1766" w:rsidRPr="00271E51" w:rsidRDefault="008C1766" w:rsidP="00271E51">
      <w:pPr>
        <w:spacing w:after="0" w:line="240" w:lineRule="auto"/>
        <w:jc w:val="both"/>
        <w:rPr>
          <w:rFonts w:ascii="Times New Roman" w:hAnsi="Times New Roman"/>
          <w:color w:val="000000" w:themeColor="text1"/>
          <w:sz w:val="16"/>
          <w:szCs w:val="16"/>
        </w:rPr>
      </w:pPr>
    </w:p>
    <w:p w14:paraId="3B67E46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BB2DE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0031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Дементьев писал С.В.И письмо N Н-35/4854:</w:t>
      </w:r>
    </w:p>
    <w:p w14:paraId="7A81F2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"Предложение управления АДД на замену штатного приспособления для разгрузки бомб с кассет самолета Ил-4 на новое, по образцу, предложенному техсоставом одной из частей АДД, прошу рассмотреть и при положительной оценке подготовить изменения для серийного производства и для самолетов, находящихся в частях АДД.</w:t>
      </w:r>
    </w:p>
    <w:p w14:paraId="6637C7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Технические материалы по новой каретки для разгрузки бомб направит Вам инженерный отдел АДД (1775,200).</w:t>
      </w:r>
    </w:p>
    <w:p w14:paraId="04F937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3F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А.И.Ш. писал письмо N Н-30/4859 Дир. и ГК НИИ-3 при СНК А.Г.Костикову об окончании сборки агрегатов для объекта 302 (крыльев, центропланов, оперения) и о том, что завод 464 задание на сборку агрегатов выполнил. Работы по сборке 4 агрегата выполнены быть не могли, т.к. завод занят другими заданиями. оснастка по 302 направлена в НИИ-3 согласно приказа N 666с от 3 ноября 1943." (1782,34).</w:t>
      </w:r>
    </w:p>
    <w:p w14:paraId="4A7865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942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по поручению А.E.Репина м П.Т.Аброщенко утвердил Акт по результатам государственных испытаний опытного мотопланера "МП" с двумя моторами М-11Ф и винтами У-2. - М.: НИИ ВВС, 1943</w:t>
      </w:r>
    </w:p>
    <w:p w14:paraId="4F0115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П.Дементьев НКАП писал письмо N Н-34/4856 Зам. ком. АДД по тылу Любикову:</w:t>
      </w:r>
    </w:p>
    <w:p w14:paraId="779A43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 С.В.И. дано задание рассмотреть предложение АДД о новом приспособлении для разгрузки бомб с кассет самолета Ил-4 и при одобрении разработать рабочие чертежи.</w:t>
      </w:r>
    </w:p>
    <w:p w14:paraId="74195F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 о выполнении Вашего заказа на изготовление 100 шт образцов разгрузочной каретки м.б. решен после заключения ГК С.В.И." (1780).</w:t>
      </w:r>
    </w:p>
    <w:p w14:paraId="0C5F4C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5184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вышел приказ НКАП № 731с:</w:t>
      </w:r>
    </w:p>
    <w:p w14:paraId="4180DAE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работ по проектированию и постройке опытных тяжелых десантных планеров:</w:t>
      </w:r>
    </w:p>
    <w:p w14:paraId="075A5624"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11 ГУ Куликову организовать на з-де № 468 ОКБ по проектированию тяжелых планеров,</w:t>
      </w:r>
    </w:p>
    <w:p w14:paraId="2FA7597A"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Д-ру з-да № 468 Байдакову и ГК П.В.Цибину спроектировать и построить…</w:t>
      </w:r>
    </w:p>
    <w:p w14:paraId="4220723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Шахурин (1765, 68).</w:t>
      </w:r>
    </w:p>
    <w:p w14:paraId="71CA7A1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7FBB14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вышел приказ НКАП N 730с:</w:t>
      </w:r>
    </w:p>
    <w:p w14:paraId="4705E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 целях увеличения выпуска десантных планеров:</w:t>
      </w:r>
    </w:p>
    <w:p w14:paraId="48F26F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11 ГУ И.В.Куликову и директору завода 463 И.И.Девяткину организовать на заводе 463 производство десантных планеров конструкции В.К.Грибовского Г-11</w:t>
      </w:r>
    </w:p>
    <w:p w14:paraId="17B66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зап. частей к самолету У-2 прекратить.</w:t>
      </w:r>
    </w:p>
    <w:p w14:paraId="4C562B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Назначить ГК завода 463 В.К.Грибовского (1765).</w:t>
      </w:r>
    </w:p>
    <w:p w14:paraId="20C22D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528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вышел приказ НКАП N 731с:</w:t>
      </w:r>
    </w:p>
    <w:p w14:paraId="620C27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работ по проектированию и постройке опытных тяжелых десантных планеров:</w:t>
      </w:r>
    </w:p>
    <w:p w14:paraId="074F90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11 ГУ Куликову организовать на заводе 468 ОКБ по проектированию тяжелых десантных планеров.</w:t>
      </w:r>
    </w:p>
    <w:p w14:paraId="1260A3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Директору завода 468 Байдукову и ГК П.В.Цыбину спроектировать и построить тяжелый десантный планер общим полетным весом 4200 кг, грузоподъемностью </w:t>
      </w:r>
      <w:r w:rsidRPr="00271E51">
        <w:rPr>
          <w:rFonts w:ascii="Times New Roman" w:hAnsi="Times New Roman"/>
          <w:color w:val="000000" w:themeColor="text1"/>
          <w:sz w:val="16"/>
          <w:szCs w:val="16"/>
        </w:rPr>
        <w:lastRenderedPageBreak/>
        <w:t>2.5 т, скоростью буксировки 240 км/час и посадочной скоростью 80 км/час для буксировки за самолетом Ил-4 со сроком сдачи:</w:t>
      </w:r>
    </w:p>
    <w:p w14:paraId="205C47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1-го - 1 апреля 1944</w:t>
      </w:r>
    </w:p>
    <w:p w14:paraId="0F2808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2-го 1 мая 1944 (1765,68).</w:t>
      </w:r>
    </w:p>
    <w:p w14:paraId="0DCA96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D04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г. по приказу № 730с на заводе № 463 (Завод № 463 НКАП, МАП /г. Рязань/) организовано КБ по десантным планерам. В него переведен с завода № 471 и влит коллектив ОКБ В.К. Грибовского, который назначен гл. конструктором завода № 463.</w:t>
      </w:r>
    </w:p>
    <w:p w14:paraId="32DAAC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306с/ 203пс от 24.07.1945 г. заводу передан личный состав и оборудование ликвидированного завода № 471 НКАП. С 1943 г.- подготова производства планера Г-11 (Гр-29).</w:t>
      </w:r>
    </w:p>
    <w:p w14:paraId="0A2544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52CAEC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271E51">
        <w:rPr>
          <w:rFonts w:ascii="Times New Roman" w:hAnsi="Times New Roman"/>
          <w:color w:val="000000" w:themeColor="text1"/>
          <w:sz w:val="16"/>
          <w:szCs w:val="16"/>
          <w:lang w:val="en-US"/>
        </w:rPr>
        <w:t>AIL</w:t>
      </w:r>
    </w:p>
    <w:p w14:paraId="4DF08A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2005FB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20839F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7494BE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1950-х  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095B2D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09FF8E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2C0639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05CAF7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(12.1943 г.-)- В.К. Грибовский {7.09.1899-77}.</w:t>
      </w:r>
    </w:p>
    <w:p w14:paraId="56808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(-1965 г.)- В.Д. Мельничук.</w:t>
      </w:r>
    </w:p>
    <w:p w14:paraId="1C3E96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Н.И. Вахромов, В.Д. Мельничук.</w:t>
      </w:r>
    </w:p>
    <w:p w14:paraId="281B0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2EEFB1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ПО «Красное знамя» МРП, п/я 141, АООТ, ОАО «Завод «Красное знамя» /390043  г. Рязань пр. Шабулина, 2А тел. 93-85-17/</w:t>
      </w:r>
    </w:p>
    <w:p w14:paraId="3C7A5F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был в 1951 г. В конце 1950-х  г. освоен выпуск РЛ прицелов бомбометания для Ил-28.</w:t>
      </w:r>
    </w:p>
    <w:p w14:paraId="3DA551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0A2CC7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1960-е  г.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72E0BD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32E2B4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3E2B65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1E1F1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740A4E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4A7798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69275B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25E9CB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1529C0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Д.А. Белых.</w:t>
      </w:r>
    </w:p>
    <w:p w14:paraId="7DDA86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контролер- С.Я. Выренков.</w:t>
      </w:r>
    </w:p>
    <w:p w14:paraId="436137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отделений: спецтехники- А.Н. Большаков.</w:t>
      </w:r>
    </w:p>
    <w:p w14:paraId="039A75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579D66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С.Я. Выренков, Б.В. Сорокин, В.Ф. Шумилин.</w:t>
      </w:r>
    </w:p>
    <w:p w14:paraId="4C83CE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778484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отдела: Д.А. Белых.</w:t>
      </w:r>
    </w:p>
    <w:p w14:paraId="31E253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секторов: (2000-е)-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Колесников.</w:t>
      </w:r>
    </w:p>
    <w:p w14:paraId="52AD75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лабораторий: радиоизмерительной- И.А. Худыш.</w:t>
      </w:r>
    </w:p>
    <w:p w14:paraId="6386C7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бюро: КРТБ- А.Н. Большаков.</w:t>
      </w:r>
      <w:r w:rsidRPr="00271E51">
        <w:rPr>
          <w:rFonts w:ascii="Times New Roman" w:hAnsi="Times New Roman"/>
          <w:color w:val="000000" w:themeColor="text1"/>
          <w:sz w:val="16"/>
          <w:szCs w:val="16"/>
          <w:vertAlign w:val="superscript"/>
        </w:rPr>
        <w:t>130</w:t>
      </w:r>
    </w:p>
    <w:p w14:paraId="449BB3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телевизоры:</w:t>
      </w:r>
      <w:r w:rsidRPr="00271E51">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271E51">
        <w:rPr>
          <w:rFonts w:ascii="Times New Roman" w:hAnsi="Times New Roman"/>
          <w:color w:val="000000" w:themeColor="text1"/>
          <w:sz w:val="16"/>
          <w:szCs w:val="16"/>
          <w:lang w:val="en-US"/>
        </w:rPr>
        <w:t>cMB</w:t>
      </w:r>
      <w:r w:rsidRPr="00271E51">
        <w:rPr>
          <w:rFonts w:ascii="Times New Roman" w:hAnsi="Times New Roman"/>
          <w:color w:val="000000" w:themeColor="text1"/>
          <w:sz w:val="16"/>
          <w:szCs w:val="16"/>
        </w:rPr>
        <w:t>-3.</w:t>
      </w:r>
      <w:r w:rsidRPr="00271E51">
        <w:rPr>
          <w:rFonts w:ascii="Times New Roman" w:hAnsi="Times New Roman"/>
          <w:color w:val="000000" w:themeColor="text1"/>
          <w:sz w:val="16"/>
          <w:szCs w:val="16"/>
          <w:vertAlign w:val="superscript"/>
          <w:lang w:val="en-US"/>
        </w:rPr>
        <w:t>wwwkrasn</w:t>
      </w:r>
      <w:r w:rsidRPr="00271E51">
        <w:rPr>
          <w:rFonts w:ascii="Times New Roman" w:hAnsi="Times New Roman"/>
          <w:color w:val="000000" w:themeColor="text1"/>
          <w:sz w:val="16"/>
          <w:szCs w:val="16"/>
          <w:vertAlign w:val="superscript"/>
        </w:rPr>
        <w:t>0</w:t>
      </w:r>
      <w:r w:rsidRPr="00271E51">
        <w:rPr>
          <w:rFonts w:ascii="Times New Roman" w:hAnsi="Times New Roman"/>
          <w:color w:val="000000" w:themeColor="text1"/>
          <w:sz w:val="16"/>
          <w:szCs w:val="16"/>
          <w:vertAlign w:val="superscript"/>
          <w:lang w:val="en-US"/>
        </w:rPr>
        <w:t>yeznamyara</w:t>
      </w:r>
    </w:p>
    <w:p w14:paraId="24523C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Рязанское КБ (РКБ) «Глобус», ФГУП «РКБ «Глобус» /390013  г. Рязань ул. Высоковольтная, 6 тел. 75-32-08/</w:t>
      </w:r>
    </w:p>
    <w:p w14:paraId="01F542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38F3B1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77F917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A1347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40A04C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60A82D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(1989-2006 г.-)- Н.Н. Пономарев.</w:t>
      </w:r>
    </w:p>
    <w:p w14:paraId="2EE0BB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(2004 г.)- Н.Н. Пономарев.</w:t>
      </w:r>
    </w:p>
    <w:p w14:paraId="7E8118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конструкторов: (-1970 г.)- А.Н. Осокин.</w:t>
      </w:r>
    </w:p>
    <w:p w14:paraId="3982DF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271E51">
        <w:rPr>
          <w:rFonts w:ascii="Times New Roman" w:hAnsi="Times New Roman"/>
          <w:color w:val="000000" w:themeColor="text1"/>
          <w:sz w:val="16"/>
          <w:szCs w:val="16"/>
          <w:vertAlign w:val="superscript"/>
        </w:rPr>
        <w:t xml:space="preserve">101 </w:t>
      </w:r>
      <w:r w:rsidRPr="00271E51">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6CB831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/390000  г. Рязань ул. (Каляева) Семинарская, 32 тел. (0912) 77-23-27,21-61-47/</w:t>
      </w:r>
    </w:p>
    <w:p w14:paraId="714B88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79C8C8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1970-е  г. проведена реконструкция завода.</w:t>
      </w:r>
    </w:p>
    <w:p w14:paraId="26B125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1990-е  г. велась разработка перспективных РЛПК совместно с НИИП им. Тихомирова. Подготовлено производство ФАР для РЛПК легких истребителей «Оса».</w:t>
      </w:r>
    </w:p>
    <w:p w14:paraId="74E71F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61B3C2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 1997 г. освоен выпуск медицинской техники.</w:t>
      </w:r>
    </w:p>
    <w:p w14:paraId="4841BE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Имеет филиал (2002 г.)- Касимовский приборный завод.</w:t>
      </w:r>
    </w:p>
    <w:p w14:paraId="1D425E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161ED1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3755C9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71127C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6D35FE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по производству и сбыту (2002 г.)- А. Г. Копнов;</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4B7C6D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Управляющий по коммерции (2001 г.)- В.В. Поспелов.</w:t>
      </w:r>
    </w:p>
    <w:p w14:paraId="7F7A7F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технического директора по ИАСУ (2007 г.)- А. Бурмакин.</w:t>
      </w:r>
    </w:p>
    <w:p w14:paraId="1979A7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(1965-71 г.)- С.Я. Гутник, (1971-88 г.)- Н.И. Вахромов. (1988-94 г.)- Ю.И. Зеленюк.</w:t>
      </w:r>
    </w:p>
    <w:p w14:paraId="6B22FD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А.Н. Червяков.</w:t>
      </w:r>
    </w:p>
    <w:p w14:paraId="3869C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4DEB6B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контролера- С.Я. Гутник.</w:t>
      </w:r>
    </w:p>
    <w:p w14:paraId="5B99EE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3B6148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направления (2006 г.)- С. Стрепетов.</w:t>
      </w:r>
    </w:p>
    <w:p w14:paraId="1E254A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управлений: А.И. Мороз.</w:t>
      </w:r>
    </w:p>
    <w:p w14:paraId="17AAF1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140723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70D712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групп: Ю.И. Зеленюк.</w:t>
      </w:r>
      <w:r w:rsidRPr="00271E51">
        <w:rPr>
          <w:rFonts w:ascii="Times New Roman" w:hAnsi="Times New Roman"/>
          <w:color w:val="000000" w:themeColor="text1"/>
          <w:sz w:val="16"/>
          <w:szCs w:val="16"/>
          <w:vertAlign w:val="superscript"/>
        </w:rPr>
        <w:t>130</w:t>
      </w:r>
    </w:p>
    <w:p w14:paraId="05F7B9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РЛС:</w:t>
      </w:r>
      <w:r w:rsidRPr="00271E51">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271E51">
        <w:rPr>
          <w:rFonts w:ascii="Times New Roman" w:hAnsi="Times New Roman"/>
          <w:iCs/>
          <w:color w:val="000000" w:themeColor="text1"/>
          <w:sz w:val="16"/>
          <w:szCs w:val="16"/>
        </w:rPr>
        <w:t xml:space="preserve"> РЛПК:</w:t>
      </w:r>
      <w:r w:rsidRPr="00271E51">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271E51">
        <w:rPr>
          <w:rFonts w:ascii="Times New Roman" w:hAnsi="Times New Roman"/>
          <w:color w:val="000000" w:themeColor="text1"/>
          <w:sz w:val="16"/>
          <w:szCs w:val="16"/>
          <w:lang w:val="en-US"/>
        </w:rPr>
        <w:t>Bn</w:t>
      </w:r>
      <w:r w:rsidRPr="00271E51">
        <w:rPr>
          <w:rFonts w:ascii="Times New Roman" w:hAnsi="Times New Roman"/>
          <w:color w:val="000000" w:themeColor="text1"/>
          <w:sz w:val="16"/>
          <w:szCs w:val="16"/>
        </w:rPr>
        <w:t>-201».</w:t>
      </w:r>
      <w:r w:rsidRPr="00271E51">
        <w:rPr>
          <w:rFonts w:ascii="Times New Roman" w:hAnsi="Times New Roman"/>
          <w:color w:val="000000" w:themeColor="text1"/>
          <w:sz w:val="16"/>
          <w:szCs w:val="16"/>
          <w:vertAlign w:val="superscript"/>
          <w:lang w:val="en-US"/>
        </w:rPr>
        <w:t>wwgrpzru</w:t>
      </w:r>
      <w:r w:rsidRPr="00271E51">
        <w:rPr>
          <w:rFonts w:ascii="Times New Roman" w:hAnsi="Times New Roman"/>
          <w:color w:val="000000" w:themeColor="text1"/>
          <w:sz w:val="16"/>
          <w:szCs w:val="16"/>
        </w:rPr>
        <w:t>'</w:t>
      </w:r>
    </w:p>
    <w:p w14:paraId="0B953F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77A247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/391300 (391330)  г. Касимов Рязанской обл. ул. Индустриальная, 3/</w:t>
      </w:r>
    </w:p>
    <w:p w14:paraId="2799D9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54291F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магнитофоны: «Вымпел М-401, М-411С», «Юниор-М»; магнитола «Вымпел РМ-421» (11982).</w:t>
      </w:r>
    </w:p>
    <w:p w14:paraId="48B948F1" w14:textId="77777777" w:rsidR="00CD6140" w:rsidRPr="00271E51" w:rsidRDefault="00CD6140"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01A99"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4 декабря 1943 г.</w:t>
      </w:r>
    </w:p>
    <w:p w14:paraId="5B791947"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Докладная записка секретаря Красноярского крайкома ВКП (б)</w:t>
      </w:r>
    </w:p>
    <w:p w14:paraId="4FCB8D63"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И.Г. Голубева секретарю ЦК ВКП (б) Г.М. Маленкову</w:t>
      </w:r>
    </w:p>
    <w:p w14:paraId="4EFBEB93"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г. Красноярск 4 декабря 1943 г.</w:t>
      </w:r>
    </w:p>
    <w:p w14:paraId="318953B9"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с[овершенно] секретно</w:t>
      </w:r>
    </w:p>
    <w:p w14:paraId="7C5DBA91"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Красноярский завод № 477 Наркомата авиационной промышленности эвакуирован в г. Красноярск из Тульской области в октябре-месяце 1941 года.</w:t>
      </w:r>
    </w:p>
    <w:p w14:paraId="32CB4F21"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В течение 1942 года и первого полугодия 1943 года завод выпускал запчасти к самолету СБ.</w:t>
      </w:r>
    </w:p>
    <w:p w14:paraId="3CA7619B"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Приказом наркома авиационной промышленности тов. Шахурина от 3 мая 1943 г. завод переведен на строительство гидросамолета Бе-4 и опытного гидросамолета – морского дальнего разведчика – ЛЛ-143 конструкции инженера тов. Бериева Г.М.</w:t>
      </w:r>
    </w:p>
    <w:p w14:paraId="7C584F1F"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Самолеты Бе-4 успешно осваиваются на заводе серийным производством. В ноябре выпущен первый самолет, подготавливаются к сдаче второй и третий самолеты.За время налаживания нового производства заводом освоены процессы анодирования, атомно-водородная сварка, литье из алюминиевых сплавов и другие, новые для завода технологические процессы. Но нужно сказать, что освоение нового производства протекает в условиях резкого недостатка квалифицированных рабочих. Это особенно сказывается сейчас, когда завод должен перейти к регулярному выпуску большой серии самолетов.</w:t>
      </w:r>
    </w:p>
    <w:p w14:paraId="62E053F7"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Низкий уровень квалификации рабочих завода и невозможность поэтому быстрого обучения молодых кадров при недостатке рабочих, профессии которых требуют длительного обучения (токари, слесари, фрезеровщики и др.), ставит завод в весьма трудное положение с расширением серийного выпуска самолетов Бе-4.</w:t>
      </w:r>
    </w:p>
    <w:p w14:paraId="530226BC"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Еще больше трудностей предстоит в связи с большим объемом работы по строительству опытного самолета, которое должно перевести завод на совершенно новые масштабы производства. К строительству опытной машины завод приступил в сентябре 1943 года.</w:t>
      </w:r>
    </w:p>
    <w:p w14:paraId="1494EBBE"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К 15 ноября был построен макет самолета, который 29 ноября 1943 г. был утвержден государственной комиссией ВВС ВМФ СССР.</w:t>
      </w:r>
    </w:p>
    <w:p w14:paraId="30248BA6"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 декабря-месяца 1943 года завод приступает к изготовлению летного экземпляра указанного самолета.</w:t>
      </w:r>
    </w:p>
    <w:p w14:paraId="050E3EEB"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Короткие сроки выпуска, заданные заводу по опытной машине (1 июля 1944 г.), диктуют необходимость быстрого разворота опытого производства и пополнения завода квалифицированной рабочей силой.</w:t>
      </w:r>
    </w:p>
    <w:p w14:paraId="0E906829"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В настоящее время восстанавливается завод № 31 НКАП морского самолетостроения в г. Таганроге, имеющий значительное наличие не использованной по прямому назначению квалифицированной рабочей силы.</w:t>
      </w:r>
    </w:p>
    <w:p w14:paraId="54F89581"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Поскольку опытный гидросамолет ЛЛ-143 предполагается ВВС ВМФ к постановке на серийное производство на заводе № 31 НКАП, прошу Вашего содействия в откомандировании с данного завода сроком на шесть месяцев 250 квалифицированных рабочих, могущих обеспечить выпуск опытного гидросамолета ЛЛ-143 к установленному сроку и подготовить для завода № 31 необходимую оснастку.</w:t>
      </w:r>
    </w:p>
    <w:p w14:paraId="5F8C60EF"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Секретарь крайкома ВКП (б) подпись И. Голубев</w:t>
      </w:r>
    </w:p>
    <w:p w14:paraId="276FA052"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271E51">
        <w:rPr>
          <w:rFonts w:ascii="Times New Roman" w:eastAsia="TimesNewRomanPSMT" w:hAnsi="Times New Roman"/>
          <w:iCs/>
          <w:color w:val="000000" w:themeColor="text1"/>
          <w:sz w:val="16"/>
          <w:szCs w:val="16"/>
        </w:rPr>
        <w:t>КГКУ «ГАКК». Ф.П-26. Оп. 4. Д. 2. Л. 137, 138. Подлинник. Машинопись (19799).</w:t>
      </w:r>
    </w:p>
    <w:p w14:paraId="0066280F" w14:textId="77777777" w:rsidR="00347E12" w:rsidRPr="00271E51" w:rsidRDefault="00347E12" w:rsidP="00271E51">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6A1B7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П.Воронин писал письмо N Н-34/4846 Зам. ВДВ КА Спирину о том, что ВДВ КА использует два эллинга на 464 заводе (Долгопрудный) с дирижаблем ШР-В12 и другой - пармом ВА. Третий эллинг был недостроен. Эллинги передать отказался (1780).</w:t>
      </w:r>
    </w:p>
    <w:p w14:paraId="3AF44B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2198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0999B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F00A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г. была подготовлена ДОКЛАДНАЯ ЗАПИСКА ПОМОЩНИКА КОМАНДУЮЩЕГО БТ и МВ ДВ ФРОНТА НАЧАЛЬНИКУ ГБТУ КА О ПЕРЕВООРУЖЕНИИ ТАНКОВ Т-38 №02180</w:t>
      </w:r>
    </w:p>
    <w:p w14:paraId="46CF61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Ваш №1159447 от 16 ноября 1943 г. доношу, что работа по перевооружению танков Т-38 на пушки «Швак» освоена ремзаводом №105, который имеет для этого все необходимые приспособле</w:t>
      </w:r>
      <w:r w:rsidRPr="00271E51">
        <w:rPr>
          <w:rFonts w:ascii="Times New Roman" w:hAnsi="Times New Roman"/>
          <w:color w:val="000000" w:themeColor="text1"/>
          <w:sz w:val="16"/>
          <w:szCs w:val="16"/>
        </w:rPr>
        <w:softHyphen/>
        <w:t>ния и инструменты.</w:t>
      </w:r>
    </w:p>
    <w:p w14:paraId="1CD11B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вышеизложенного перевооружение танков Т-38 АБТ отдела ВМФ будут произво</w:t>
      </w:r>
      <w:r w:rsidRPr="00271E51">
        <w:rPr>
          <w:rFonts w:ascii="Times New Roman" w:hAnsi="Times New Roman"/>
          <w:color w:val="000000" w:themeColor="text1"/>
          <w:sz w:val="16"/>
          <w:szCs w:val="16"/>
        </w:rPr>
        <w:softHyphen/>
        <w:t>диться на ремзаводе №105.</w:t>
      </w:r>
    </w:p>
    <w:p w14:paraId="1D18D0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 командующего БТ и МВ ДВФ инженер-подполковник Шапкин</w:t>
      </w:r>
    </w:p>
    <w:p w14:paraId="5C12C1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Начальник отдела ремонта танков УК БТ и МВ ДВФ</w:t>
      </w:r>
    </w:p>
    <w:p w14:paraId="569248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инженер-майор Рябов</w:t>
      </w:r>
    </w:p>
    <w:p w14:paraId="44F776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11357. Д. 75. Л. 36. Подлинник (11403).</w:t>
      </w:r>
    </w:p>
    <w:p w14:paraId="6497C3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6BA98" w14:textId="77777777" w:rsidR="00B95E55" w:rsidRPr="00271E51" w:rsidRDefault="00B95E55" w:rsidP="00271E51">
      <w:pPr>
        <w:pStyle w:val="a3"/>
        <w:rPr>
          <w:color w:val="000000" w:themeColor="text1"/>
          <w:lang w:val="ru-RU"/>
        </w:rPr>
      </w:pPr>
      <w:r w:rsidRPr="00271E51">
        <w:rPr>
          <w:color w:val="000000" w:themeColor="text1"/>
          <w:lang w:val="ru-RU"/>
        </w:rPr>
        <w:t>4 де</w:t>
      </w:r>
      <w:r w:rsidRPr="00271E51">
        <w:rPr>
          <w:color w:val="000000" w:themeColor="text1"/>
          <w:lang w:val="ru-RU"/>
        </w:rPr>
        <w:softHyphen/>
        <w:t>кабря 1943 были рассмотрены рабочие чертежи переработанной системы, а уже 14-го числа ОКБ-172 представило проектную докумен</w:t>
      </w:r>
      <w:r w:rsidRPr="00271E51">
        <w:rPr>
          <w:color w:val="000000" w:themeColor="text1"/>
          <w:lang w:val="ru-RU"/>
        </w:rPr>
        <w:softHyphen/>
        <w:t>тацию на установку ОБМ-50 в ИСУ-152. Вместе с 122-мм пушкой большой мощности в проекте шла и установка в ИСУ-152 152-мм сис</w:t>
      </w:r>
      <w:r w:rsidRPr="00271E51">
        <w:rPr>
          <w:color w:val="000000" w:themeColor="text1"/>
          <w:lang w:val="ru-RU"/>
        </w:rPr>
        <w:softHyphen/>
        <w:t>темы ОБМ-43. Самоходная версия данного орудия получила индекс ОБМ-53 (17484).</w:t>
      </w:r>
    </w:p>
    <w:p w14:paraId="0D713276"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4AA999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вышло Постановление ГКО № 4720 О восстановлении завода им. Молотова Наркомсудпрома в г. Таганроге.РГАНИР, Фонд ГКО, д. 181, лл. 137-142, 143-145 (11012).</w:t>
      </w:r>
    </w:p>
    <w:p w14:paraId="676567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171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вышло Постановление ГКО № 4721 О мероприятиях по восстановлению Харьковского электромеханического завода им. Сталина (ХЭМЗ) Наркомэлектропрома.РГАНИР, Фонд ГКО, д. 181, лл. 146-153, 154-155 (11012).</w:t>
      </w:r>
    </w:p>
    <w:p w14:paraId="41A34B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726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вышло Распоряжение ГКО № 4722. О поставках подмосковного угля московским заводам НКРП.РГАНИР, Фонд ГКО, д. 181, лл. 156 (11012).</w:t>
      </w:r>
    </w:p>
    <w:p w14:paraId="178233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D97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вышло Постановление ГКО № 4723 О создании запасов угля на предприятиях НКЧМ.РГАНИР, Фонд ГКО, д. 181, лл. 157-159 (11012).</w:t>
      </w:r>
    </w:p>
    <w:p w14:paraId="33A05A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BC74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вышло Постановление ГКО № 4724 [О проведении в декабре четырех дней повышенной погрузки угля на железных дорогах и в угольных бассейнах.] (7162, 160-162).</w:t>
      </w:r>
    </w:p>
    <w:p w14:paraId="23D890D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840D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71D85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984FB4"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4 декабря </w:t>
      </w:r>
      <w:r w:rsidRPr="00271E51">
        <w:rPr>
          <w:rFonts w:ascii="Times New Roman" w:hAnsi="Times New Roman"/>
          <w:color w:val="000000" w:themeColor="text1"/>
          <w:sz w:val="16"/>
          <w:szCs w:val="16"/>
        </w:rPr>
        <w:t>в 1943 году оперативная сводка Совинформбюро:</w:t>
      </w:r>
    </w:p>
    <w:p w14:paraId="68368720"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декабря северо-западнее Пропойска наши войска вели бои с противником, в ходе которых заняли несколько населённых пунктов; среди них Шеперево, Высокое, Лапени, Петуховка, Кузьминичи, Старая Буда, Устье, Хоменки, Юшковичи, Усушек, Долгий Мох, Грязивец, Хотище.</w:t>
      </w:r>
    </w:p>
    <w:p w14:paraId="0EEAD58F"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с боями продвигались вперёд и заняли более 30 населённых пунктов, среди которых крупные населённые пункты Гадиловичи, Дубрава, Турск, Городец, Вишенки, Святое, Барановка, Глушица и железнодорожная станция Хальч.</w:t>
      </w:r>
    </w:p>
    <w:p w14:paraId="620F76E2"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продолжали отбивать атаки пехоты и танков противника.</w:t>
      </w:r>
    </w:p>
    <w:p w14:paraId="0650B531"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преодолевая сопротивление противника, овладели несколькими сильно укреплёнными опорными пунктами его обороны.</w:t>
      </w:r>
    </w:p>
    <w:p w14:paraId="6143BA4B"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E4EB080"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 декабря наши войска на всех фронтах подбили и уничтожили 29 немецких танков. В воздушных боях и огнём зенитной артиллерии сбито 12 самолётов противника.</w:t>
      </w:r>
    </w:p>
    <w:p w14:paraId="2BD615DD"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Пропойска наши войска, действуя в условиях лесисто-болотистой местности, выбили немцев из нескольких населённых пунктов. В одном районе части Н-ского соединения в бою за сильно укреплённую высоту разгромили батальон немецкой пехоты. Захвачены две артиллерийских батареи, 8 миномётов и другие трофеи. На другом участке советские бойцы, преследуя противника, уничтожили до 300 гитлеровцев и взяли пленных.</w:t>
      </w:r>
    </w:p>
    <w:p w14:paraId="4F118066"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преодолевая сопротивление противника, продолжали продвигаться вперёд и заняли более 30 населённых пунктов. Советские пехотинцы, при активной поддержке артиллеристов, овладели железнодорожной станцией Хальч. На подступах к станции немцы пытались остановить продвижение наших частей и предприняли несколько контратак. Отбив контратаки гитлеровцев, наши бойцы ворвались на станцию Хальч и после ожесточённого боя разгромили противника. Захвачены трофеи, в числе которых 8 орудий, 36 пулемётов и склад боеприпасов. На другом участке советские подразделения уничтожили подвижной немецкий отряд, захватили артиллерийскую батарею, 20 автомашин и другие трофеи.</w:t>
      </w:r>
    </w:p>
    <w:p w14:paraId="6D779CF9"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отбивали атаки танков и пехоты противника. Два полка немецкой пехоты и до 70 танков перешли в наступление на позиции, которые обороняли бойцы Н-ской части. Пять раз бросались гитлеровцы в атаку, но, встретив мощный артиллерийский и ружейно-пулемётный огонь, откатывались назад. На поле боя осталось до 1.000 вражеских трупов. Сожжено и подбито 24 немецких танка и 3 самоходных орудия. На другом участке наши артиллеристы совершили огневой налёт на скопление противника и уничтожили свыше 30 автомашин с пехотой и военными грузами.</w:t>
      </w:r>
    </w:p>
    <w:p w14:paraId="20CDE715"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части Н-ского соединения овладели несколькими сильно укреплёнными пунктами противника. Особенно упорные бои происходили за один населённый пункт. Немцы пытались во что бы то ни стало удержать выгодные позиции и неоднократно переходили в контратаки. Измотав противника, советские части к исходу дня решительным ударом овладели этим пунктом. Уничтожено свыше 600 вражеских солдат и офицеров. Захвачено 9 орудий, 42 пулемёта, 11 автомашин, склад боеприпасов и два склада с различным военным имуществом.</w:t>
      </w:r>
    </w:p>
    <w:p w14:paraId="1626D664"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Ленинградской области, 25 ноября внезапно напал на охрану железнодорожной станции. Партизаны перебили немецкую охрану, взорвали семафоры, входные и выходные стрелки, привели в негодность связь и железнодорожную сигнализацию. Подожжены военные склады противника.</w:t>
      </w:r>
    </w:p>
    <w:p w14:paraId="6AFB71EC"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9 роты 186 полка 73 немецкой пехотной дивизии обер-лейтенант Франц Вахтер рассказал: «Я участвовал в боях в Греции и Югославии и был награждён железными крестами 1 и 2 классов. Кресты свои я потерял вместе совсеми личными вещами во время бегства из-под Новороссийска, когда русские неожиданно для нас высадили там десант. Немецкие офицеры настроены теперь очень мрачно. Все понимают, что Германия находится в исключительно тяжёлом положении. Немецкая армия на Восточном фронте отступает. Промышленные центры и города Германии подвергаются бомбардировкам. Многие офицеры поэтому считают, что немецкой армии не выдержать третьей русской зимы».</w:t>
      </w:r>
    </w:p>
    <w:p w14:paraId="4B4E6265" w14:textId="77777777" w:rsidR="00CD6140" w:rsidRPr="00271E51" w:rsidRDefault="00CD61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 сообщение о чудовищных злодеяниях немецко-фашистских мерзавцев в городе Керчь. Недалеко от города гитлеровцы устроили женский концентрационный лагерь. В этом лагере томились тысячи женщин и девушек, пригнанных немцами с Кубани и из Крыма. Заключённые подвергались диким пыткам и унижениям. Немецкие тюремщики заставляли женщин выполнять самые тяжёлые работы. От голода, непосильного труда и побоев в лагере ежедневно умирало по нескольку человек.</w:t>
      </w:r>
    </w:p>
    <w:p w14:paraId="192199AE" w14:textId="77777777" w:rsidR="00CD6140" w:rsidRPr="00271E51" w:rsidRDefault="00CD6140" w:rsidP="00271E51">
      <w:pPr>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 xml:space="preserve">Когда гитлеровцы начали массовую отправку советских граждан на каторгу в Германию, многие жители города Керчи ушли в каменоломни. Немцы оцепили каменоломни колючей проволокой и вывесили объявление: «Кто будет замечен возле пещер — будет расстрелян на месте». Во многих местах около выходов из пещер немцы заложили мины. Перед отступлением из посёлка Аджим-Ушкай фашистские людоеды загнали в катакомбу 500 жителей и расстреляли их. Многочисленные злодеяния гитлеровских палачей в городе Керчь не поддаются учёту. В противотанковых рвах похоронены тысячи мирных граждан, загубленных фашистскими убийцами.» </w:t>
      </w:r>
      <w:r w:rsidRPr="00271E51">
        <w:rPr>
          <w:rFonts w:ascii="Times New Roman" w:hAnsi="Times New Roman"/>
          <w:color w:val="000000" w:themeColor="text1"/>
          <w:sz w:val="16"/>
          <w:szCs w:val="16"/>
          <w:lang w:val="en-US"/>
        </w:rPr>
        <w:t>(14850).</w:t>
      </w:r>
    </w:p>
    <w:p w14:paraId="39116BA6" w14:textId="77777777" w:rsidR="00CD6140" w:rsidRPr="00271E51" w:rsidRDefault="00CD6140" w:rsidP="00271E51">
      <w:pPr>
        <w:spacing w:after="0" w:line="240" w:lineRule="auto"/>
        <w:jc w:val="both"/>
        <w:rPr>
          <w:rFonts w:ascii="Times New Roman" w:hAnsi="Times New Roman"/>
          <w:color w:val="000000" w:themeColor="text1"/>
          <w:sz w:val="16"/>
          <w:szCs w:val="16"/>
          <w:lang w:val="en-US"/>
        </w:rPr>
      </w:pPr>
    </w:p>
    <w:p w14:paraId="6C5B85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4, 1943: Units of 11.Armee begin an offensive to eliminate the Soviet bridgehead at Kerch in the eastern Crimea (3819).</w:t>
      </w:r>
    </w:p>
    <w:p w14:paraId="0E0C94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B441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части 11А начали наступление для уничтожения советских плацдармов в Керчи (3819).</w:t>
      </w:r>
    </w:p>
    <w:p w14:paraId="053CE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595C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A507D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C25DE"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декабря 1943 авианосцы ВМС США наносит удар по атоллу Кваджалейн. USS Essex и USS Lexington концентрируются на Рой, где они сбивают 28 японских самолетов и уничтожают 19 самолетов на земле, топят большое грузовое судно и повреждают легкий крейсер Isuzu; USS Enterprise и USS Йорктаун наносят удар по Кваджалейн Island, где они уничтожить 18 гидропланов, топят три торговые суда, а также повреждают легкий крейсер Нагар. В общей сложности потеряно пять американских самолетов. Позже в тот же день двадцать девять самолетов Йорктауна совершили налет на Вотье. Японские самолеты атакуют отходящие авианосные силы днем и ночью, повредив Лексингтон торпедой в обмен на потерю 29 японских самолетов (20376).</w:t>
      </w:r>
    </w:p>
    <w:p w14:paraId="27259A94" w14:textId="77777777" w:rsidR="002574C5" w:rsidRPr="00271E51" w:rsidRDefault="002574C5" w:rsidP="00271E51">
      <w:pPr>
        <w:spacing w:after="0" w:line="240" w:lineRule="auto"/>
        <w:jc w:val="both"/>
        <w:rPr>
          <w:rFonts w:ascii="Times New Roman" w:hAnsi="Times New Roman"/>
          <w:color w:val="0070C0"/>
          <w:sz w:val="16"/>
          <w:szCs w:val="16"/>
        </w:rPr>
      </w:pPr>
    </w:p>
    <w:p w14:paraId="68A7ECF1"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декабря 1943 подводная лодка ВМС США USS Sailfish торпедирует и топит японский авианосец Chūy возле Хачидзёдзима, в результате чего погибло более 1243 человек, в том числе 20 американских военнопленных (20376).</w:t>
      </w:r>
    </w:p>
    <w:p w14:paraId="0D39B6D7" w14:textId="77777777" w:rsidR="002574C5" w:rsidRPr="00271E51" w:rsidRDefault="002574C5" w:rsidP="00271E51">
      <w:pPr>
        <w:spacing w:after="0" w:line="240" w:lineRule="auto"/>
        <w:jc w:val="both"/>
        <w:rPr>
          <w:rFonts w:ascii="Times New Roman" w:hAnsi="Times New Roman"/>
          <w:color w:val="0070C0"/>
          <w:sz w:val="16"/>
          <w:szCs w:val="16"/>
        </w:rPr>
      </w:pPr>
    </w:p>
    <w:p w14:paraId="6CF4923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делегаты югославских партизан создали Антифашистский комитет национального освобождения Югославии во главе с И. Тито (4962).</w:t>
      </w:r>
    </w:p>
    <w:p w14:paraId="7D99A6D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A33B5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декабря 1943 Боливия объявила войну Румынии и Венгрии (4962).</w:t>
      </w:r>
    </w:p>
    <w:p w14:paraId="33281DF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138B9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9DFE6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A99E5" w14:textId="77777777" w:rsidR="00EF645F" w:rsidRPr="00271E51" w:rsidRDefault="00EF645F" w:rsidP="00271E51">
      <w:pPr>
        <w:pStyle w:val="ae"/>
        <w:shd w:val="clear" w:color="auto" w:fill="FFFFFF"/>
        <w:spacing w:before="0" w:after="0"/>
        <w:jc w:val="both"/>
        <w:rPr>
          <w:color w:val="000000" w:themeColor="text1"/>
          <w:sz w:val="16"/>
          <w:szCs w:val="16"/>
        </w:rPr>
      </w:pPr>
      <w:r w:rsidRPr="00271E51">
        <w:rPr>
          <w:color w:val="000000" w:themeColor="text1"/>
          <w:sz w:val="16"/>
          <w:szCs w:val="16"/>
        </w:rPr>
        <w:t>5/7 декабря 1943 вышел приказ НКАП № 0252/734с касающийся конструктивных изменений Ил-2 (19706).</w:t>
      </w:r>
    </w:p>
    <w:p w14:paraId="34DE9579" w14:textId="77777777" w:rsidR="00EF645F" w:rsidRPr="00271E51" w:rsidRDefault="00EF645F" w:rsidP="00271E51">
      <w:pPr>
        <w:pStyle w:val="ae"/>
        <w:shd w:val="clear" w:color="auto" w:fill="FFFFFF"/>
        <w:spacing w:before="0" w:after="0"/>
        <w:jc w:val="both"/>
        <w:rPr>
          <w:color w:val="000000" w:themeColor="text1"/>
          <w:sz w:val="16"/>
          <w:szCs w:val="16"/>
        </w:rPr>
      </w:pPr>
    </w:p>
    <w:p w14:paraId="5A190E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5 декабря 1943 г. приказом № 665с в 6ГУ в соответствии с пост. ГКО № 4290с от 8.10.1943 г. в харькове создан завод № 135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как ремонтный завод по ремонту самолетов Як-1, Як-2, Як-3, Як-9,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E3C4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39D348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799473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4F2529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5FB7F1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2EB679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18.07.1958 г. вышло Постановление СМ СССР о серийном производстве Ту-124.</w:t>
      </w:r>
    </w:p>
    <w:p w14:paraId="295F40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4629CA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4C5BD9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7AAEC6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1DF30D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105F34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2F7F4F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217F4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19.06.1986 г. вступил в строй механический цех № 54.</w:t>
      </w:r>
    </w:p>
    <w:p w14:paraId="2C125B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573AEE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0AE1CD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271E51">
        <w:rPr>
          <w:rFonts w:ascii="Times New Roman" w:hAnsi="Times New Roman"/>
          <w:color w:val="000000" w:themeColor="text1"/>
          <w:sz w:val="16"/>
          <w:szCs w:val="16"/>
          <w:lang w:val="en-US"/>
        </w:rPr>
        <w:t>WEB</w:t>
      </w:r>
      <w:r w:rsidRPr="00271E51">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271E51">
        <w:rPr>
          <w:rFonts w:ascii="Times New Roman" w:hAnsi="Times New Roman"/>
          <w:color w:val="000000" w:themeColor="text1"/>
          <w:sz w:val="16"/>
          <w:szCs w:val="16"/>
          <w:lang w:val="en-US"/>
        </w:rPr>
        <w:t>PR</w:t>
      </w:r>
      <w:r w:rsidRPr="00271E51">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13A556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48FA64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(11.1940 г.)- 502 металлорежущих станков.</w:t>
      </w:r>
    </w:p>
    <w:p w14:paraId="48E55A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1CD93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Кладченко, (07.2002-07 г.)- П.О. Науменко; и.о. гендиректора (05.2007 г.-)- С. Задорожный.</w:t>
      </w:r>
    </w:p>
    <w:p w14:paraId="669310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2FCC1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Кладченко, (20.04-7.10.1996 г.)- В.П. Михнич, (10.1996-2003 г.-&gt; В.И. Заяц.</w:t>
      </w:r>
    </w:p>
    <w:p w14:paraId="2592FD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инженера по Ан-74- С.М. Федак.</w:t>
      </w:r>
    </w:p>
    <w:p w14:paraId="130A72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Гл. конструктор (12.12.1926-07.1934 г.)- К.А. Калинин, (12.1935-10.1938 г.-)- И. Г. Неман, (30.12.1938 г.-)- А.А. Дубровин, (09.1939-40 г.)- П.О. Сухой, (11(08). 1940-41 г.)- П.Д. Грушин, (2003 г.)- П.А. Клюев.</w:t>
      </w:r>
    </w:p>
    <w:p w14:paraId="12E0AB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(-12.1937 г.)- Арсон.</w:t>
      </w:r>
    </w:p>
    <w:p w14:paraId="501F59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Сивокозов.</w:t>
      </w:r>
    </w:p>
    <w:p w14:paraId="5DCB08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технолога- В.И. Заяц.</w:t>
      </w:r>
    </w:p>
    <w:p w14:paraId="511BE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коммерческого департамента (2007 г.)- С. Задорожный.</w:t>
      </w:r>
    </w:p>
    <w:p w14:paraId="36283C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московского представительства (2002 г.)- И.Н. Платоненко.</w:t>
      </w:r>
    </w:p>
    <w:p w14:paraId="40A677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4D3BE5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0DF328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снабжения (11.1930 г.-)- И.И. Чуркин.</w:t>
      </w:r>
    </w:p>
    <w:p w14:paraId="4460C2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Руководители бригад: по приспособлениям (-1938 г.)- Гринченко.</w:t>
      </w:r>
    </w:p>
    <w:p w14:paraId="4F0B76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271E51">
        <w:rPr>
          <w:rFonts w:ascii="Times New Roman" w:hAnsi="Times New Roman"/>
          <w:color w:val="000000" w:themeColor="text1"/>
          <w:sz w:val="16"/>
          <w:szCs w:val="16"/>
          <w:lang w:val="en-US"/>
        </w:rPr>
        <w:t>Z</w:t>
      </w:r>
      <w:r w:rsidRPr="00271E51">
        <w:rPr>
          <w:rFonts w:ascii="Times New Roman" w:hAnsi="Times New Roman"/>
          <w:color w:val="000000" w:themeColor="text1"/>
          <w:sz w:val="16"/>
          <w:szCs w:val="16"/>
        </w:rPr>
        <w:t xml:space="preserve"> (1934-35)- 50, ИП-1 (1936-38)- 200 (по [</w:t>
      </w:r>
      <w:r w:rsidRPr="00271E51">
        <w:rPr>
          <w:rFonts w:ascii="Times New Roman" w:hAnsi="Times New Roman"/>
          <w:color w:val="000000" w:themeColor="text1"/>
          <w:sz w:val="16"/>
          <w:szCs w:val="16"/>
          <w:lang w:val="en-US"/>
        </w:rPr>
        <w:t>www</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ksamc</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com</w:t>
      </w:r>
      <w:r w:rsidRPr="00271E51">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05C5DF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271E51">
        <w:rPr>
          <w:rFonts w:ascii="Times New Roman" w:hAnsi="Times New Roman"/>
          <w:color w:val="000000" w:themeColor="text1"/>
          <w:sz w:val="16"/>
          <w:szCs w:val="16"/>
          <w:vertAlign w:val="superscript"/>
          <w:lang w:val="en-US"/>
        </w:rPr>
        <w:t>wwwksamc</w:t>
      </w:r>
      <w:r w:rsidRPr="00271E51">
        <w:rPr>
          <w:rFonts w:ascii="Times New Roman" w:hAnsi="Times New Roman"/>
          <w:color w:val="000000" w:themeColor="text1"/>
          <w:sz w:val="16"/>
          <w:szCs w:val="16"/>
          <w:vertAlign w:val="superscript"/>
        </w:rPr>
        <w:t xml:space="preserve"> сот</w:t>
      </w:r>
    </w:p>
    <w:p w14:paraId="130B04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Заводские №: 13534 - И-</w:t>
      </w:r>
      <w:r w:rsidRPr="00271E51">
        <w:rPr>
          <w:rFonts w:ascii="Times New Roman" w:hAnsi="Times New Roman"/>
          <w:color w:val="000000" w:themeColor="text1"/>
          <w:sz w:val="16"/>
          <w:szCs w:val="16"/>
          <w:lang w:val="en-US"/>
        </w:rPr>
        <w:t>Z</w:t>
      </w:r>
      <w:r w:rsidRPr="00271E51">
        <w:rPr>
          <w:rFonts w:ascii="Times New Roman" w:hAnsi="Times New Roman"/>
          <w:color w:val="000000" w:themeColor="text1"/>
          <w:sz w:val="16"/>
          <w:szCs w:val="16"/>
        </w:rPr>
        <w:t xml:space="preserve"> (11982).</w:t>
      </w:r>
    </w:p>
    <w:p w14:paraId="28BF9D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2196A"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D95E9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1F2B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г. эскизный проект СУ-100, выполненный Г.Ф. Ксю-ниным, А.Г. Гайворонским, А.Д. Нехлюдовым, В.Л. Дихомандовым под руководством Л.И. Горлицкого, был передан в ОГК НКТП и копия - в Управление Самоходной Артил</w:t>
      </w:r>
      <w:r w:rsidRPr="00271E51">
        <w:rPr>
          <w:rFonts w:ascii="Times New Roman" w:hAnsi="Times New Roman"/>
          <w:color w:val="000000" w:themeColor="text1"/>
          <w:sz w:val="16"/>
          <w:szCs w:val="16"/>
        </w:rPr>
        <w:softHyphen/>
        <w:t>лерии Красной Армии. 27 декабря 1943 г. ГКО принял по</w:t>
      </w:r>
      <w:r w:rsidRPr="00271E51">
        <w:rPr>
          <w:rFonts w:ascii="Times New Roman" w:hAnsi="Times New Roman"/>
          <w:color w:val="000000" w:themeColor="text1"/>
          <w:sz w:val="16"/>
          <w:szCs w:val="16"/>
        </w:rPr>
        <w:softHyphen/>
        <w:t>становление № 4851сс о вооружении тяжелого танка ИС и средних артсамоходов 100-мм орудием. Во исполнение этого постановления НКТП приказом № 765 от 28/ХН—1943 г. предписывал Уралмашу:</w:t>
      </w:r>
    </w:p>
    <w:p w14:paraId="15E329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Спроектировать к 15/1 44 г. средний самоход на базе аг</w:t>
      </w:r>
      <w:r w:rsidRPr="00271E51">
        <w:rPr>
          <w:rFonts w:ascii="Times New Roman" w:hAnsi="Times New Roman"/>
          <w:color w:val="000000" w:themeColor="text1"/>
          <w:sz w:val="16"/>
          <w:szCs w:val="16"/>
        </w:rPr>
        <w:softHyphen/>
        <w:t>регатов танка Т-34 с вооружением 100-мм пушкой С-34 конструкции ЦАКБ;</w:t>
      </w:r>
    </w:p>
    <w:p w14:paraId="46CE7A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 25/1 44 г. получить с завода № 92 опытный образец 100-мм орудия С-34.</w:t>
      </w:r>
    </w:p>
    <w:p w14:paraId="7A4A8E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20/П 44 г. изготовить и провести заводские испытания самохода.</w:t>
      </w:r>
    </w:p>
    <w:p w14:paraId="19513C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 25/П 44 г. передать самоход для государственных испы</w:t>
      </w:r>
      <w:r w:rsidRPr="00271E51">
        <w:rPr>
          <w:rFonts w:ascii="Times New Roman" w:hAnsi="Times New Roman"/>
          <w:color w:val="000000" w:themeColor="text1"/>
          <w:sz w:val="16"/>
          <w:szCs w:val="16"/>
        </w:rPr>
        <w:softHyphen/>
        <w:t>таний».</w:t>
      </w:r>
    </w:p>
    <w:p w14:paraId="5C907B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получении чертежей 100-мм пушки С-34 было уста</w:t>
      </w:r>
      <w:r w:rsidRPr="00271E51">
        <w:rPr>
          <w:rFonts w:ascii="Times New Roman" w:hAnsi="Times New Roman"/>
          <w:color w:val="000000" w:themeColor="text1"/>
          <w:sz w:val="16"/>
          <w:szCs w:val="16"/>
        </w:rPr>
        <w:softHyphen/>
        <w:t>новлено, что пушка имеет значительно большую ширину, чем предусматривалось заданием. При наведении влево гильзоулавливатель орудия будет упираться во вторую пру</w:t>
      </w:r>
      <w:r w:rsidRPr="00271E51">
        <w:rPr>
          <w:rFonts w:ascii="Times New Roman" w:hAnsi="Times New Roman"/>
          <w:color w:val="000000" w:themeColor="text1"/>
          <w:sz w:val="16"/>
          <w:szCs w:val="16"/>
        </w:rPr>
        <w:softHyphen/>
        <w:t>жину подвески, а его маска не позволит разместить на лобо</w:t>
      </w:r>
      <w:r w:rsidRPr="00271E51">
        <w:rPr>
          <w:rFonts w:ascii="Times New Roman" w:hAnsi="Times New Roman"/>
          <w:color w:val="000000" w:themeColor="text1"/>
          <w:sz w:val="16"/>
          <w:szCs w:val="16"/>
        </w:rPr>
        <w:softHyphen/>
        <w:t>вом листе люк водителя. Для устранения всех отмеченных недостатков необходимо было значительно (до внешних об</w:t>
      </w:r>
      <w:r w:rsidRPr="00271E51">
        <w:rPr>
          <w:rFonts w:ascii="Times New Roman" w:hAnsi="Times New Roman"/>
          <w:color w:val="000000" w:themeColor="text1"/>
          <w:sz w:val="16"/>
          <w:szCs w:val="16"/>
        </w:rPr>
        <w:softHyphen/>
        <w:t>водов гусениц) расширить корпус САУ, вместо наклонных бортов разместить вертикальные (как у СУ-Д-25), поднять орудие на 80 мм выше, разработать новые сварочные стен</w:t>
      </w:r>
      <w:r w:rsidRPr="00271E51">
        <w:rPr>
          <w:rFonts w:ascii="Times New Roman" w:hAnsi="Times New Roman"/>
          <w:color w:val="000000" w:themeColor="text1"/>
          <w:sz w:val="16"/>
          <w:szCs w:val="16"/>
        </w:rPr>
        <w:softHyphen/>
        <w:t>ды, перейти в подвеске от свечных пружин на торсионы, сместить место механика-водителя влево. Кроме того, для пушки С-34, имевшей правое расположение наводчика, уралмашевцам нужно было перекомпоновывать все боевое отделение, с чем они тоже согласиться, понятно, не могли... Реализация всех необходимых доработок приводила к уве</w:t>
      </w:r>
      <w:r w:rsidRPr="00271E51">
        <w:rPr>
          <w:rFonts w:ascii="Times New Roman" w:hAnsi="Times New Roman"/>
          <w:color w:val="000000" w:themeColor="text1"/>
          <w:sz w:val="16"/>
          <w:szCs w:val="16"/>
        </w:rPr>
        <w:softHyphen/>
        <w:t>личению массы САУ на 3,5—3,8 тонны относительно СУ-85 и сдвигала срок готовности САУ, по крайней мере, на 3 ме</w:t>
      </w:r>
      <w:r w:rsidRPr="00271E51">
        <w:rPr>
          <w:rFonts w:ascii="Times New Roman" w:hAnsi="Times New Roman"/>
          <w:color w:val="000000" w:themeColor="text1"/>
          <w:sz w:val="16"/>
          <w:szCs w:val="16"/>
        </w:rPr>
        <w:softHyphen/>
        <w:t>сяца, с чем заказчик согласиться не мог. Находясь в жестком цейтноте, Л.И. Горлицкий связался с начальником КБ заво</w:t>
      </w:r>
      <w:r w:rsidRPr="00271E51">
        <w:rPr>
          <w:rFonts w:ascii="Times New Roman" w:hAnsi="Times New Roman"/>
          <w:color w:val="000000" w:themeColor="text1"/>
          <w:sz w:val="16"/>
          <w:szCs w:val="16"/>
        </w:rPr>
        <w:softHyphen/>
        <w:t>да № 9 Ф.Ф. Петровым и попросил его выполнить проект 100-мм пушки для вооружения СУ-85 не позднее февраля 1944 г., с чем последний согласился (11417).</w:t>
      </w:r>
    </w:p>
    <w:p w14:paraId="2DCD9E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3CF9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4725. О мерах по обеспечению топливом омских электростанций зимой 1943-44 гг.РГАНИР, Фонд ГКО, д. 181, лл. 163 (11012).</w:t>
      </w:r>
    </w:p>
    <w:p w14:paraId="722D64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E33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4726. О мобилизации в Узбекской ССР 2,5 тыс. военнообязанных корейцев и направлении их на строительство Узбекского металлургического комбината.РГАНИР, Фонд ГКО, д. 181, лл. 164 (11012).</w:t>
      </w:r>
    </w:p>
    <w:p w14:paraId="68B2A3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AFA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Постановление ГКО № 4727 О мерах по обеспечению нефтетопливом в зиму 1943-44 гг. транспорта, заводов НКЧМ, электростанций и оборонной промышленности.РГАНИР, Фонд ГКО, д. 181, лл. 165-168, 169-176 (11012).</w:t>
      </w:r>
    </w:p>
    <w:p w14:paraId="13E70A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2CFD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4728 [О разработке мероприятий по обеспечению заданий по поставке НКПС металла для восстановления железных дорог в освобожденных районах.] (7162, 177).</w:t>
      </w:r>
    </w:p>
    <w:p w14:paraId="183B6DC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EE3D0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4729 [О рассмотрении предложений наркома ВМФ Кузнецова Н.Г. об усилении и техническом оснащении аварийно-спасательной службы.] (7162, 178).</w:t>
      </w:r>
    </w:p>
    <w:p w14:paraId="60A762E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9DD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4730. О разработке мер по увеличению ресурсов и завозу в I кв. 1944 г. горючего и масел для весеннего сева.РГАНИР, Фонд ГКО, д. 181, лл. 179 (11012).</w:t>
      </w:r>
    </w:p>
    <w:p w14:paraId="1415CA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6E5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вышло Распоряжение ГКО № 4731. О скорейшей доставке из Саратова в Донбасс ОСМЧ-19 и обеспечении лесом работ по восстановлению там водоснабжения.РГАНИР, Фонд ГКО, д. 181, лл. 180 (11012).</w:t>
      </w:r>
    </w:p>
    <w:p w14:paraId="5AA8A8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C881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A0E45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83B97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286EBE9B"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декабря северо-западнее ПропойскА нашивойска, преодолевая сопротивление и контратаки противника, овладели сильноукреплёнными опорными пунктами его обороны Дворовый, Бовки, Дабужа.</w:t>
      </w:r>
    </w:p>
    <w:p w14:paraId="3B9318E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с упорными боями продвигались вперёд и заняли несколько населённых пунктов.</w:t>
      </w:r>
    </w:p>
    <w:p w14:paraId="152E17A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Черкассы наши войска отбивали атаки пехоты и танков противника.</w:t>
      </w:r>
    </w:p>
    <w:p w14:paraId="244F1A9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в результате упорных боёв овладели сильно укреплёнными опорными пунктами противника Ветровка, Иванковцы, Волощино-Орловка.</w:t>
      </w:r>
    </w:p>
    <w:p w14:paraId="09BB1AE6"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A03A47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дней тому назад противник высадил десант на Кинбургской косе и занял Форштадт и Покровские хутора. Решительной атакой наших войск десант противника к утру 5 декабря полностью был уничтожен. Захвачено в плен более 500 солдат и офицеров противника. Противник оставил на поле боя до 700 убитых солдати офицеров. Взяты трофеи.</w:t>
      </w:r>
    </w:p>
    <w:p w14:paraId="28C8A0C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4 декабря наши войска на всех фронтах подбили и уничтожили 28 немецких танков. В воздушных боях и огнём зенитной артиллерии сбито 34 самолёта противника.</w:t>
      </w:r>
    </w:p>
    <w:p w14:paraId="33CCB35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Северо-западнее Пропойска наши пехотные и артиллерийские части, преодолевая сопротивление противника, опирающегося на промежуточные оборонительные рубежи, продвигались вперёд и заняли несколько населённых пунктов. Немцы ввели в дело свежие резервы и неоднократно переходили в контратаки, но были отброшены с большими для них потерями. Советские бойцы уничтожили 500 вражеских солдат иофицеров, 2 артиллерийских батареи и 20 пулемётов. В одном населённом пункте наши подразделения захватили 8 орудий, 4 миномёта, 13 пулемётов, 100 винтовок,автоматов и 2 радиостанции. Взяты пленные.</w:t>
      </w:r>
    </w:p>
    <w:p w14:paraId="4F0890D4"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продолжали наступление и в результате ожесточённых боёв заняли несколько населённых пунктов. Противник оказывает сильное огневое сопротивление и часто переходит в контратаки. Подразделения Н-ской части в результате успешного манёвра уничтожили гарнизон сильноукреплённого опорного пункта немцев. На улицах пункта осталось 120 вражеских трупов. Захвачены 2 орудия, 17 пулемётов и склад боеприпасов. На другом участке наши бойцы проникли в тыл противника, перебили 70 немецких солдат и уничтожили 13 автомашин с военными грузами.</w:t>
      </w:r>
    </w:p>
    <w:p w14:paraId="16A903C3"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Черкасс наши войска продолжали отбивать атаки танков и пехоты противника. На одном участке немцы бросили в бой 50 танков и полк пехоты. Советские подразделения нанесли врагу решительный контрудар и отбросили его на исходные позиции. На поле боя осталось 400 убитых гитлеровцев. Наши артиллеристы, действовавшие в боевых порядках пехоты, сожгли 6 немецких танков, 2 самоходных орудия и уничтожили 25 пулемётов. На другом участке части Н-ского соединения отразили все попытки немцев захватить выгодные позиции. Противник в бесплодных атаках потерял убитыми до 500 своих солдат и офицеров. Сожжено и подбито 9 вражеских танков.</w:t>
      </w:r>
    </w:p>
    <w:p w14:paraId="6D02152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части Н-ского соединения в результате упорных боёв, переходивших в рукопашные схватки, заняли несколько сильно укреплённых опорных пунктов противника. Враг понёс большие потери. Только на одном участке уничтожено 800 гитлеровцев и 8 танков. Захвачено 3 танка, 2 самоходных орудия, 19 бронетранспортёров и автомашин, 3 склада с боеприпасами и военным имуществом. На другом участке наши части выбили немцев из нескольких населённых пунктов, уничтожив при этом 300 вражеских солдат и офицеров, 6 орудий и 24 пулемёта. Захвачены трофеи и пленные.</w:t>
      </w:r>
    </w:p>
    <w:p w14:paraId="03F22D5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Куйбышева, действующий в одном из районов Пинской области, 15 ноября напал на немцев, грабивших жителей деревни Пучины. Захватив фашистских разбойников врасплох, партизаны истребили 24 гитлеровца. Остальные спаслись бегством. В тот же день партизаны подорвали 535 метров железнодорожного полотна и пустили под откос воинский эшелон противника. На следующий день группа партизан организовала крушение ещё одного вражеского эшелона с боевой техникой. Разбиты паровоз и 13 платформ с автомашинами.</w:t>
      </w:r>
    </w:p>
    <w:p w14:paraId="7CC1667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лагере противника наблюдается упадок боевого духа. Это подтверждается не только показаниями военнопленных, но и трофейными документами, захваченными у врага. На днях наши части захватили приказ командующего 8 немецкой армией генерала Веллера, в котором говорится: «Всё более учащаются случаи, когда немецкие солдаты позволяют себе неосторожные высказывания. Примеры: Установлено,что, отступая из Полтавы, немецкие солдаты заявляли: «До Днепра мы ещё сумеем продержаться, но если нам придётся сдать позиции на Днепре, то мы сложим оружие, так как война будет проиграна». Один старший казначей в кругу своих товарищей выразил мнение, что немецкие офицеры и солдаты уже потеряли веру в победу...Лейтенант войск СС рассказывал одному молодому солдату, что немецкая пропаганда лжива. В начале войны она пробудила в немецком народе напрасные, обманчивые надежды на победу и обманула его. Один ефрейтор, прибывший с фронта, рассказывал, что немцы ничего не могут сделать против превосходящих сил русских, поэтому немецкие войска часто вынуждены обращаться в бегство... Необходимо,—грозит в своём приказе командующий 8 немецкой армией,— строжайшим образом предостеречь солдат от повторения подобных фактов... В дальнейшем будут применяться самые решительные меры».</w:t>
      </w:r>
    </w:p>
    <w:p w14:paraId="22842471"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селеАкимовка, Запорожской области: «Более двух лет хозяйничали немцы в нашем селе. За это время фашистские людоеды уничтожили 100 мирных жителей Акимовки. Гитлеровские палачи повесили Александра Макарова, расстреляли Николая Шелудько, Лиду Анохину, Надежду Шелудько, Прохора Торгашёва и многих других. Сотни колхозников и служащих были арестованы и подверглись зверским пыткам в застенках гестапо. Около 400 человек оккупанты угнали на каторгу в Германию. Немецкие военные власти выбросили из домов всех украинцев и русских, проживавших на Ворошиловской улице, поселили туда немецких колонистов и переименовали улицу в«Немецкую». Украинцам и русским было строго запрещено проходить по этой улице, которую советские люди назвали «улицей рабовладельцев». По приказу коменданта Бреннера колхозники обязаны были снабжать колонистов мукой, молоком, маслом и другими продуктами. В селе работала только одна школа для детей немцев.Украинские и русские школы были закрыты. За время оккупации и особенно при отступлении немецко-фашистские мерзавцы произвели огромные разрушения. Они взорвали и сожгли среднюю школу, много жилых домов колхозников и служащих, все постройки молочно-товарной, коневодческой, свиноводческой, овцеводческой и птицеводческой ферм, паровую мельницу и пасеку. Варвары вырубили прекрасный колхозный плодовый сад на площади в несколько десятков гектаров».</w:t>
      </w:r>
    </w:p>
    <w:p w14:paraId="4276D4CC"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председатель сельсовета А.Парий, жители села Акимовки — О.Ракицкий, Т.Решетов, М.Шелудько, Б.Макарова, Г.Никифоров и С.Савченко.» (14851).</w:t>
      </w:r>
    </w:p>
    <w:p w14:paraId="63CE7677"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02A3A3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декабря 1943 г. самолёт-разведчик Пе-Збис гвардии младшего лейтенанта Ни-колаенко из 98-го гвардейского авиаполка дальних разведчиков Главного Командова</w:t>
      </w:r>
      <w:r w:rsidRPr="00271E51">
        <w:rPr>
          <w:rFonts w:ascii="Times New Roman" w:hAnsi="Times New Roman"/>
          <w:color w:val="000000" w:themeColor="text1"/>
          <w:sz w:val="16"/>
          <w:szCs w:val="16"/>
        </w:rPr>
        <w:softHyphen/>
        <w:t>ния в районе Казатина атаковала пара ис</w:t>
      </w:r>
      <w:r w:rsidRPr="00271E51">
        <w:rPr>
          <w:rFonts w:ascii="Times New Roman" w:hAnsi="Times New Roman"/>
          <w:color w:val="000000" w:themeColor="text1"/>
          <w:sz w:val="16"/>
          <w:szCs w:val="16"/>
        </w:rPr>
        <w:softHyphen/>
        <w:t>требителей В{ 1096. По команде штурмана гвардии старший лейтенант Юрьев лётчик отвернул к ближайшему облаку и перевёл машину в набор высоты. «Мессершмитты» успели атаковать только раз, сверху попав под огонь пулемёта штурмана. Истребитель, проскочив под самолёт Николаенко, полу</w:t>
      </w:r>
      <w:r w:rsidRPr="00271E51">
        <w:rPr>
          <w:rFonts w:ascii="Times New Roman" w:hAnsi="Times New Roman"/>
          <w:color w:val="000000" w:themeColor="text1"/>
          <w:sz w:val="16"/>
          <w:szCs w:val="16"/>
        </w:rPr>
        <w:softHyphen/>
        <w:t>чил повреждение от разрыва АГ-2 и ушёл со снижением в сторону аэродрома Калиновка (11392).</w:t>
      </w:r>
    </w:p>
    <w:p w14:paraId="5ACBD6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E384FD"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2B71C1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D422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5 декабря</w:t>
      </w:r>
      <w:r w:rsidRPr="00271E51">
        <w:rPr>
          <w:rFonts w:ascii="Times New Roman" w:hAnsi="Times New Roman"/>
          <w:color w:val="000000" w:themeColor="text1"/>
          <w:sz w:val="16"/>
          <w:szCs w:val="16"/>
        </w:rPr>
        <w:t xml:space="preserve"> в 1943 году Адольф Гитлер приказывает вести первоочередное производство «Ме-262» для применения их в качестве дальних истребителей-бомбардировщиков Jabo-Rei (Jagdbomber mil vergroesserter Reichweite). 29 мая 1944 г. Геринг под страхом наказания запретит всякую дискуссию о предназначении «Ме-262», так как Гитлер приказал использовать их в качестве «блицбомбардировщиков». 30 августа 1944 г. - генерал Крайпе, тогдашний начальник генерального штаба люфтваффе, добивается, чтобы каждый 20-й «Ме-262» из текущей продукции направлялся на испытания с целью определить возможность его использования в качестве истребителя (14851).</w:t>
      </w:r>
    </w:p>
    <w:p w14:paraId="05AEB0DA"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19C34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5, 1943. P-51 pilots begin escorting U.S. bombers to European targets. Ninth Air Force begins Operation Crossbow raids, against German bases where secret weapons are being developed (1089).</w:t>
      </w:r>
    </w:p>
    <w:p w14:paraId="744392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68FF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5 декабря 1943 Р-51 начали эскортировать операции американских бомбардировщиков и 9ВА начала операции по немецким центрам по разработке секретного оружия (1089).</w:t>
      </w:r>
    </w:p>
    <w:p w14:paraId="5A308D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5C80A"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декабря 1943 происходит единственная крупная воздушная операция Японии с участием самолетов как Императорской армии Японии, так и Императорского флота Японии, когда армия соединение из 27 бомбардировщиков Mitsubishi Ki-21 (под названием «Салли») в сопровождении 101 Накадзима Ки-43. Истребители " Хаябуса" ("Сапсан"; союзное название "Оскар"), за которыми следовали девять бомбардировщиков Mitsubishi G4M 1 (союзное название "Бетти") в сопровождении 27 Mitsubishi A6M 3 Zero (союзное название "Хэмп" или "Зик 32"). Истребители бомбят Калькутту, Индия. Защищаясь истребители Spitfire Vc и Hurricane Mark IIC Королевских ВВС сбили один Ki-21 и повредили другой, в то время как японские самолеты сбили три Харикейна, убив двух пилотов Hurricane (20376).</w:t>
      </w:r>
    </w:p>
    <w:p w14:paraId="4A780E36" w14:textId="77777777" w:rsidR="002574C5" w:rsidRPr="00271E51" w:rsidRDefault="002574C5" w:rsidP="00271E51">
      <w:pPr>
        <w:spacing w:after="0" w:line="240" w:lineRule="auto"/>
        <w:jc w:val="both"/>
        <w:rPr>
          <w:rFonts w:ascii="Times New Roman" w:hAnsi="Times New Roman"/>
          <w:color w:val="0070C0"/>
          <w:sz w:val="16"/>
          <w:szCs w:val="16"/>
        </w:rPr>
      </w:pPr>
    </w:p>
    <w:p w14:paraId="13AF9C7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3126E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DB1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группа сотрудников-коммунистов ОКБ П.О.С. (Горбунов, Заславский и Мудрецов) писала письмо (вх. N 15339 от 7 декабря 1943) Пред. ГКО И.В.С. (копия ЦК ВКП(б) Г.М.М. и НКАП А.И.Ш.):</w:t>
      </w:r>
    </w:p>
    <w:p w14:paraId="44F8B7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"Коллектив работников завода 289 НКАП во главе с ГК П.О.С. по заданию Правительства спроектировал, построил и испытал Су-6 в двухместном варианте с М-71.</w:t>
      </w:r>
    </w:p>
    <w:p w14:paraId="149F28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гос. испытаниях Су-6 получил хорошую оценку и в заключении по отчету ВВС КА ставит вопрос о внедрении в серию.</w:t>
      </w:r>
    </w:p>
    <w:p w14:paraId="38D15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данные Су-6 и Ил-2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1972DBD" w14:textId="77777777" w:rsidTr="00ED5B0A">
        <w:tc>
          <w:tcPr>
            <w:tcW w:w="5636" w:type="dxa"/>
          </w:tcPr>
          <w:p w14:paraId="511FF6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23335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Больше, чем у Ил-2</w:t>
            </w:r>
          </w:p>
        </w:tc>
      </w:tr>
      <w:tr w:rsidR="00A907A5" w:rsidRPr="00271E51" w14:paraId="6AD9D2D4" w14:textId="77777777" w:rsidTr="00ED5B0A">
        <w:tc>
          <w:tcPr>
            <w:tcW w:w="5636" w:type="dxa"/>
          </w:tcPr>
          <w:p w14:paraId="6FC269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w:t>
            </w:r>
          </w:p>
        </w:tc>
        <w:tc>
          <w:tcPr>
            <w:tcW w:w="5636" w:type="dxa"/>
          </w:tcPr>
          <w:p w14:paraId="1060C1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w:t>
            </w:r>
          </w:p>
        </w:tc>
      </w:tr>
      <w:tr w:rsidR="00A907A5" w:rsidRPr="00271E51" w14:paraId="47B498DD" w14:textId="77777777" w:rsidTr="00ED5B0A">
        <w:tc>
          <w:tcPr>
            <w:tcW w:w="5636" w:type="dxa"/>
          </w:tcPr>
          <w:p w14:paraId="4179EC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 на 4000 м</w:t>
            </w:r>
          </w:p>
        </w:tc>
        <w:tc>
          <w:tcPr>
            <w:tcW w:w="5636" w:type="dxa"/>
          </w:tcPr>
          <w:p w14:paraId="7D6285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r>
      <w:tr w:rsidR="00A907A5" w:rsidRPr="00271E51" w14:paraId="750F1B65" w14:textId="77777777" w:rsidTr="00ED5B0A">
        <w:tc>
          <w:tcPr>
            <w:tcW w:w="5636" w:type="dxa"/>
          </w:tcPr>
          <w:p w14:paraId="76592C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Практ. потолок </w:t>
            </w:r>
          </w:p>
        </w:tc>
        <w:tc>
          <w:tcPr>
            <w:tcW w:w="5636" w:type="dxa"/>
          </w:tcPr>
          <w:p w14:paraId="560E13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2500</w:t>
            </w:r>
          </w:p>
        </w:tc>
      </w:tr>
      <w:tr w:rsidR="00A907A5" w:rsidRPr="00271E51" w14:paraId="3676D745" w14:textId="77777777" w:rsidTr="00ED5B0A">
        <w:tc>
          <w:tcPr>
            <w:tcW w:w="5636" w:type="dxa"/>
          </w:tcPr>
          <w:p w14:paraId="5F9AE2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w:t>
            </w:r>
          </w:p>
        </w:tc>
        <w:tc>
          <w:tcPr>
            <w:tcW w:w="5636" w:type="dxa"/>
          </w:tcPr>
          <w:p w14:paraId="53E5EB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353</w:t>
            </w:r>
          </w:p>
        </w:tc>
      </w:tr>
    </w:tbl>
    <w:p w14:paraId="082D36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самолета и заключение ВВС по самолету говорят за необходимость скорейшего внедрения Су-6 в серию с М-71. Вопрос о внедрении в серию не решается.</w:t>
      </w:r>
    </w:p>
    <w:p w14:paraId="498FB9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Сейчас предложено НКАП заменить М-71 на М-42</w:t>
      </w:r>
    </w:p>
    <w:p w14:paraId="29DD21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Су-6 с М-71 - это самолет сегодняшнего дня, а с Ам-42 - вчерашнего дня, т.е. пройденный этап, а это не логично и неправильно отказываться от лучшего и желать худшего.</w:t>
      </w:r>
    </w:p>
    <w:p w14:paraId="23535D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Убедительно просим Вас И.В., повлиять на ход решения о запуске в серию Су-6 с М-71.</w:t>
      </w:r>
    </w:p>
    <w:p w14:paraId="502903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 коллектив с усердием и добросовестностью выполнил решение Правительства - создал хороший самолет.</w:t>
      </w:r>
    </w:p>
    <w:p w14:paraId="507ADB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 Правительство о запуске в серию Су-6 с М-71 будет являться:</w:t>
      </w:r>
    </w:p>
    <w:p w14:paraId="144545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усиление мощи ВВС</w:t>
      </w:r>
    </w:p>
    <w:p w14:paraId="4090CF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дополнительным показателем наших неисчерпаемых возможностей и способностей</w:t>
      </w:r>
    </w:p>
    <w:p w14:paraId="0E7287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движением техники вперед - от вчерашнего самолета Ил-2 к сегодняшнему - Су-6</w:t>
      </w:r>
    </w:p>
    <w:p w14:paraId="5AB7B4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наивысшей наградой и радостью для нашего коллектива за вдохновенный труд по созданию Су-6." (1775,205).</w:t>
      </w:r>
    </w:p>
    <w:p w14:paraId="54A735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22B25" w14:textId="77777777" w:rsidR="00EF645F" w:rsidRPr="00271E51" w:rsidRDefault="00EF645F"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6 декабря 1943 г. (исх. 15339 от 07. 12. 43 г.) в письме трех наиболее активных участников создания самолета Су-6 (инженеры 289-го завода — Горбунов, Баславский, Мудрецов) на имя И. В. Сталина, Г. М. Маленкова и А. И. Шахурина совершенно справедливо отмечалось, что:</w:t>
      </w:r>
    </w:p>
    <w:p w14:paraId="272DF6F2" w14:textId="77777777" w:rsidR="00EF645F" w:rsidRPr="00271E51" w:rsidRDefault="00EF645F" w:rsidP="00271E51">
      <w:pPr>
        <w:pStyle w:val="ae"/>
        <w:shd w:val="clear" w:color="auto" w:fill="FFFFFF"/>
        <w:spacing w:before="0" w:after="0"/>
        <w:jc w:val="both"/>
        <w:textAlignment w:val="baseline"/>
        <w:rPr>
          <w:color w:val="000000" w:themeColor="text1"/>
          <w:sz w:val="16"/>
          <w:szCs w:val="16"/>
        </w:rPr>
      </w:pPr>
      <w:r w:rsidRPr="00271E51">
        <w:rPr>
          <w:rStyle w:val="af0"/>
          <w:i w:val="0"/>
          <w:color w:val="000000" w:themeColor="text1"/>
          <w:sz w:val="16"/>
          <w:szCs w:val="16"/>
          <w:bdr w:val="none" w:sz="0" w:space="0" w:color="auto" w:frame="1"/>
        </w:rPr>
        <w:t>«… Самолет «Су-6» с мотором М-71 — это самолет «сегодняшнего дня», а с мотором АМ-42 — это самолет «вчерашнего дня», т. е. уже пройденный этап, а это не логично, да и неправильно отказываться от лучшего и желать худшего…» (19188).</w:t>
      </w:r>
    </w:p>
    <w:p w14:paraId="296766DA" w14:textId="77777777" w:rsidR="00EF645F" w:rsidRPr="00271E51" w:rsidRDefault="00EF645F" w:rsidP="00271E51">
      <w:pPr>
        <w:pStyle w:val="ae"/>
        <w:shd w:val="clear" w:color="auto" w:fill="FFFFFF"/>
        <w:spacing w:before="0" w:after="0"/>
        <w:jc w:val="both"/>
        <w:textAlignment w:val="baseline"/>
        <w:rPr>
          <w:color w:val="000000" w:themeColor="text1"/>
          <w:sz w:val="16"/>
          <w:szCs w:val="16"/>
        </w:rPr>
      </w:pPr>
    </w:p>
    <w:p w14:paraId="7EE170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 письме трех наиболее активных участников создания самолета Су-б (инженеры 289-го завода - Горбунов, Баславский, Мудрецов) на имя И.В.Сталина, Г.М.Маленкова и А.И.Шахурина (исх. 15339 от 07. 12. 43 г.) совершенно справедливо отмечалось, что: “... Самолет “Су-6” с котором М-71 - это самолет “сегодняшнего дня”, а с котором АМ-42 - это самолет “вчерашнего дня”, т. е, уже пройденный этап, а это не логично, да и неправильно отказываться от лучшего и желать худшего...” (9649).</w:t>
      </w:r>
    </w:p>
    <w:p w14:paraId="29B3CC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просьбу заводчан к И. В. Стал и ну “... повлиять на ход решения о запуске в серию самолета Су-6 с мотором М-71”, к февралю 1944 г. штурмовик “вчерашнего дня” был построен и прошел сначала заводские испытания, а затем начал проходить государственные испытания (9649).</w:t>
      </w:r>
    </w:p>
    <w:p w14:paraId="71C90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F606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директор ГИРТ Костиков попытался взять инициативу в свои руки и направил Пред. СНК Г.М.М. докладную записку, в которой признал слишком малую дальность 302-й машины, но предлагал "воздушные авианосцы" с подвешенными ракетными перехватчиками (2168,5).</w:t>
      </w:r>
    </w:p>
    <w:p w14:paraId="44532B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0E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ГИ ВВС А.Репин писал письмо НКАП А.И.Ш.:</w:t>
      </w:r>
    </w:p>
    <w:p w14:paraId="13D6F0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целесообразным сделать попытку модернизации имеющегося образца самолета 103 2хАМ-37 под вариант двухмоторного истребителя-перехватчика, т.к. удача с этим даст нам в кратчайший срок прекрасный образец самолета этого типа, который будет иметь преимущества, как по скорости и скороподъемности, так и по простоте пилотирования, по сравнению с принятым сейчас в серийную постройку Пе-3.</w:t>
      </w:r>
    </w:p>
    <w:p w14:paraId="37CA25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имеющегося экз. 103 считаю возможным ограничится минимальными переделками, изложенными в прилагаемых техтребованиях.</w:t>
      </w:r>
    </w:p>
    <w:p w14:paraId="610AB052" w14:textId="77777777" w:rsidR="00D8571E"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согласия и соответствующего распоряжения ГК А.Н.Т." (1782,98).</w:t>
      </w:r>
    </w:p>
    <w:p w14:paraId="721B1EF1" w14:textId="77777777" w:rsidR="00D8571E" w:rsidRPr="00271E51" w:rsidRDefault="00D8571E"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EE5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г. Об освоении выпуска самолетов серии «БЕ-4» заводом №477</w:t>
      </w:r>
    </w:p>
    <w:p w14:paraId="403C48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докладной записки Красноярского крайкома ВКП (б) в ЦК ВКП (б)</w:t>
      </w:r>
    </w:p>
    <w:p w14:paraId="63C3943B" w14:textId="77777777" w:rsidR="00FC04C9" w:rsidRPr="00271E51" w:rsidRDefault="00FC04C9" w:rsidP="00271E51">
      <w:pPr>
        <w:tabs>
          <w:tab w:val="left" w:pos="708"/>
          <w:tab w:val="center" w:pos="5425"/>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г.Красноярск 6 декабря 1943 г.</w:t>
      </w:r>
    </w:p>
    <w:p w14:paraId="611A8E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секретно</w:t>
      </w:r>
    </w:p>
    <w:p w14:paraId="52E324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Исх.№743</w:t>
      </w:r>
    </w:p>
    <w:p w14:paraId="6EEDF1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ЦК ВКП (б) Товарищу Маленкову</w:t>
      </w:r>
    </w:p>
    <w:p w14:paraId="395CBA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Красноярский завод №477 Наркомата авиационной промышленности эвакуирован в г. Красноярск из Тульской области в октябре месяце 1941 г.</w:t>
      </w:r>
    </w:p>
    <w:p w14:paraId="357B40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1942 г[ода] и первого полугодия 1943 года завод выпускал запчасти к самолету «СБ»</w:t>
      </w:r>
    </w:p>
    <w:p w14:paraId="545ECB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Наркома авиационной промышленности тов. Шахурина от 3/V-1943 года завод переведен на строительство гидросамолета «БЕ-4» и опытного гидросамолета морского дальнего разведчика «ЛЛ-143» конструкции инженера тов. Бериева Г.М.</w:t>
      </w:r>
    </w:p>
    <w:p w14:paraId="539E90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«БЕ-4» успешно осваиваются на заводе серийным производством. В ноябре месяце выпущен первый самолет, подготавливаются к сдаче второй и третий самолеты.</w:t>
      </w:r>
    </w:p>
    <w:p w14:paraId="051E10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налаживания нового производства заводом освоены процессы анодирования, атомно-водородная сварка, литье из алюминиевых сплавов и другие новые для завода технологические процессы. Но нужно сказать, что освоение нового производства протекает в условиях резкого недостатка квалифицированных рабочих. Это особенно сказывается сейчас, когда завод должен перейти к регулярному выпуску большой серии самолетов.</w:t>
      </w:r>
    </w:p>
    <w:p w14:paraId="6D58C8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Низкий уровень квалификации рабочих завода и невозможность поэтому быстрого обучения молодых кадров при недостатке рабочих, профессии которых требуют длительного обучения (токаря, слесаря) ставит завод в весьма трудное положение с расширением серийного выпуска самолетов «БЕ-4»</w:t>
      </w:r>
    </w:p>
    <w:p w14:paraId="0218B9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больше трудностей предстоит в связи с большим объемом работы по строительству опытного самолета, которое должно перевести завод на совершенно новые масштабы производства. К строительству опытной машины завод приступил в сентябре месяце 1943 года. К 15-му ноября был построен макет самолета, который 29 ноября 1943 года утвержден государственной комиссией ВВС ВМФ СССР.</w:t>
      </w:r>
    </w:p>
    <w:p w14:paraId="09910C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месяца 1943 года завод приступает к изготовлению летнего экземпляра указанного самолета.</w:t>
      </w:r>
    </w:p>
    <w:p w14:paraId="1CA45816" w14:textId="77777777" w:rsidR="00D8571E"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w:t>
      </w:r>
    </w:p>
    <w:p w14:paraId="67D3FF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Секретарь крайкома ВКП (б) подпись И. Голубев </w:t>
      </w:r>
    </w:p>
    <w:p w14:paraId="4AEB7F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ГАКК. Ф.П-26. Оп.4. Д.2. Л.137-138. Подлинник. Машинопись (11806).</w:t>
      </w:r>
    </w:p>
    <w:p w14:paraId="477CC7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0848B4"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w:t>
      </w:r>
    </w:p>
    <w:p w14:paraId="6DD9D21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 освоении выпуска самолетов серии «БЕ-4» заводом №477</w:t>
      </w:r>
    </w:p>
    <w:p w14:paraId="585DBF1B"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докладной записки Красноярского крайкома ВКП (б) в ЦК ВКП (б)</w:t>
      </w:r>
    </w:p>
    <w:p w14:paraId="1F79474D" w14:textId="77777777" w:rsidR="00D8571E" w:rsidRPr="00271E51" w:rsidRDefault="00D8571E" w:rsidP="00271E51">
      <w:pPr>
        <w:pStyle w:val="22"/>
        <w:tabs>
          <w:tab w:val="left" w:pos="708"/>
        </w:tabs>
        <w:ind w:left="0" w:firstLine="0"/>
        <w:rPr>
          <w:color w:val="000000" w:themeColor="text1"/>
          <w:lang w:val="ru-RU"/>
        </w:rPr>
      </w:pPr>
      <w:r w:rsidRPr="00271E51">
        <w:rPr>
          <w:color w:val="000000" w:themeColor="text1"/>
          <w:lang w:val="ru-RU"/>
        </w:rPr>
        <w:t>г.Красноярск</w:t>
      </w:r>
    </w:p>
    <w:p w14:paraId="0AB11C4F" w14:textId="77777777" w:rsidR="00D8571E" w:rsidRPr="00271E51" w:rsidRDefault="00D8571E" w:rsidP="00271E51">
      <w:pPr>
        <w:pStyle w:val="22"/>
        <w:tabs>
          <w:tab w:val="left" w:pos="708"/>
        </w:tabs>
        <w:ind w:left="0" w:firstLine="0"/>
        <w:rPr>
          <w:color w:val="000000" w:themeColor="text1"/>
          <w:lang w:val="ru-RU"/>
        </w:rPr>
      </w:pPr>
      <w:r w:rsidRPr="00271E51">
        <w:rPr>
          <w:color w:val="000000" w:themeColor="text1"/>
          <w:lang w:val="ru-RU"/>
        </w:rPr>
        <w:t xml:space="preserve">6 декабря </w:t>
      </w:r>
      <w:smartTag w:uri="urn:schemas-microsoft-com:office:smarttags" w:element="metricconverter">
        <w:smartTagPr>
          <w:attr w:name="ProductID" w:val="1943 г"/>
        </w:smartTagPr>
        <w:r w:rsidRPr="00271E51">
          <w:rPr>
            <w:color w:val="000000" w:themeColor="text1"/>
            <w:lang w:val="ru-RU"/>
          </w:rPr>
          <w:t>1943 г</w:t>
        </w:r>
      </w:smartTag>
      <w:r w:rsidRPr="00271E51">
        <w:rPr>
          <w:color w:val="000000" w:themeColor="text1"/>
          <w:lang w:val="ru-RU"/>
        </w:rPr>
        <w:t>.</w:t>
      </w:r>
    </w:p>
    <w:p w14:paraId="4797B32D"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секретно</w:t>
      </w:r>
    </w:p>
    <w:p w14:paraId="21C1B33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Исх.№743</w:t>
      </w:r>
    </w:p>
    <w:p w14:paraId="1F04439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ЦК ВКП (б)</w:t>
      </w:r>
    </w:p>
    <w:p w14:paraId="01A16A5F"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Товарищу Маленкову</w:t>
      </w:r>
    </w:p>
    <w:p w14:paraId="287A7DA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Красноярский завод №477 Наркомата авиационной промышленности эвакуирован в г. Красноярск из Тульской области в октябре месяце </w:t>
      </w:r>
      <w:smartTag w:uri="urn:schemas-microsoft-com:office:smarttags" w:element="metricconverter">
        <w:smartTagPr>
          <w:attr w:name="ProductID" w:val="1941 г"/>
        </w:smartTagPr>
        <w:r w:rsidRPr="00271E51">
          <w:rPr>
            <w:rFonts w:ascii="Times New Roman" w:hAnsi="Times New Roman"/>
            <w:color w:val="000000" w:themeColor="text1"/>
            <w:sz w:val="16"/>
            <w:szCs w:val="16"/>
          </w:rPr>
          <w:t>1941 г</w:t>
        </w:r>
      </w:smartTag>
      <w:r w:rsidRPr="00271E51">
        <w:rPr>
          <w:rFonts w:ascii="Times New Roman" w:hAnsi="Times New Roman"/>
          <w:color w:val="000000" w:themeColor="text1"/>
          <w:sz w:val="16"/>
          <w:szCs w:val="16"/>
        </w:rPr>
        <w:t>.</w:t>
      </w:r>
    </w:p>
    <w:p w14:paraId="7E343468"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1942 г[ода] и первого полугодия 1943 года завод выпускал запчасти к самолету «СБ»</w:t>
      </w:r>
    </w:p>
    <w:p w14:paraId="33CB67F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Наркома авиационной промышленности тов. Шахурина от З/</w:t>
      </w:r>
      <w:r w:rsidRPr="00271E51">
        <w:rPr>
          <w:rFonts w:ascii="Times New Roman" w:hAnsi="Times New Roman"/>
          <w:color w:val="000000" w:themeColor="text1"/>
          <w:sz w:val="16"/>
          <w:szCs w:val="16"/>
          <w:lang w:val="en-US"/>
        </w:rPr>
        <w:t>V</w:t>
      </w:r>
      <w:r w:rsidRPr="00271E51">
        <w:rPr>
          <w:rFonts w:ascii="Times New Roman" w:hAnsi="Times New Roman"/>
          <w:color w:val="000000" w:themeColor="text1"/>
          <w:sz w:val="16"/>
          <w:szCs w:val="16"/>
        </w:rPr>
        <w:t>-1943 года завод переведен на строительство гидросамолета «БЕ-4» и опытного гидросамолета морского дальнего разведчика «ЛЛ-143» конструкции инженера тов. Бериева  Г.М.</w:t>
      </w:r>
    </w:p>
    <w:p w14:paraId="1D60397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«БЕ-4» успешно осваиваются на заводе серийным производством. В ноябре месяце выпущен первый самолет, подготавливаются к сдаче второй и третий самолеты.</w:t>
      </w:r>
    </w:p>
    <w:p w14:paraId="0F8834D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время налаживания нового производства заводом освоены процессы анодирования, атомно-водородная сварка, литье из алюминиевых сплавов и другие новые для завода технологические процессы. Но нужно сказать, что освоение нового производства протекает в условиях резкого недостатка квалифицированных рабочих. Это особенно сказывается сейчас, когда завод должен перейти к регулярному выпуску большой серии самолетов.</w:t>
      </w:r>
    </w:p>
    <w:p w14:paraId="775FC39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Низкий уровень квалификации рабочих завода и невозможность поэтому быстрого обучения молодых кадров при недостатке рабочих, профессии которых требуют длительного обучения (токаря, слесаря) ставит завод в весьма трудное положение с расширением серийного выпуска самолетов «БЕ-4»</w:t>
      </w:r>
    </w:p>
    <w:p w14:paraId="2FDF6D7F"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больше трудностей предстоит в связи с большим объемом работы по строительству опытного самолета, которое должно перевести завод на совершенно новые масштабы производства. К строительству опытной машины завод приступил в сентябре месяце 1943 года. К 15-му ноября был построен макет самолета, который 29 ноября 1943 года утвержден государственной комиссией ВВС ВМФ СССР.</w:t>
      </w:r>
    </w:p>
    <w:p w14:paraId="29785B8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 декабря месяца 1943 года завод приступает к изготовлению летнего экземпляра указанного самолета.</w:t>
      </w:r>
    </w:p>
    <w:p w14:paraId="095B50D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 </w:t>
      </w:r>
    </w:p>
    <w:p w14:paraId="0F37F316"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крайкома ВКП (б)                 подпись                            И. Голубев</w:t>
      </w:r>
    </w:p>
    <w:p w14:paraId="70755D52" w14:textId="77777777" w:rsidR="00D8571E" w:rsidRPr="00271E51" w:rsidRDefault="00D8571E" w:rsidP="00271E51">
      <w:pPr>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 xml:space="preserve">ГАКК. Ф.П-26. Оп.4. Д.2. Л.137-138. Подлинник. Машинопись (15991). </w:t>
      </w:r>
    </w:p>
    <w:p w14:paraId="6189F3D2"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045BA1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г. приказом НКАП № 733с оговаривалась передача завода № 600 (Завод № 600 НКАП, Объект «600» /г. Урумчи Западный Китай (провинция Синцзян)/) и всех работ в ведение завода № 84 НКАП ( г. Ташкент).</w:t>
      </w:r>
    </w:p>
    <w:p w14:paraId="4A5BC9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(1941- 11.1943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Еськов.</w:t>
      </w:r>
    </w:p>
    <w:p w14:paraId="3E5420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самолеты: И-16 (1940-41), УТ-2 (1941-43)- 89 (11982).</w:t>
      </w:r>
    </w:p>
    <w:p w14:paraId="3C6058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A3071"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E614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BDE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г. была подготовлена СПРАВКА 2-го ОТДЕЛА УСА ГБТУ КА ОБ ОРГАНИЗАЦИИ ПРИЕМА НОВЫХ САМОХОДНЫХ УСТАНОВОК Т-48</w:t>
      </w:r>
    </w:p>
    <w:p w14:paraId="564F47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сведениям 5-го отдела ТУ ГБТУ КА, в декабре 1943 г. в адрес Московского центра самоходной артиллерии (ст. Пушкино Ярославской ж.д.) будет отгружено 84 новых американских самоходных установок Т-48.</w:t>
      </w:r>
    </w:p>
    <w:p w14:paraId="3A6DEA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Подробной ведомости комплектации указанных установок вооружением и боекомплекта в Наркомвнешторге нет.</w:t>
      </w:r>
    </w:p>
    <w:p w14:paraId="25CDC2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срочной присылке подобной ведомости самолетом НКВТ запросил наших представителей в США.</w:t>
      </w:r>
    </w:p>
    <w:p w14:paraId="61B811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предварительным данным, имеющимся в НКВТ, СУ Т-48 вооружены 57-мм пушкой амери</w:t>
      </w:r>
      <w:r w:rsidRPr="00271E51">
        <w:rPr>
          <w:rFonts w:ascii="Times New Roman" w:hAnsi="Times New Roman"/>
          <w:color w:val="000000" w:themeColor="text1"/>
          <w:sz w:val="16"/>
          <w:szCs w:val="16"/>
        </w:rPr>
        <w:softHyphen/>
        <w:t>канского производства, боекомплект которой состоит из 99 выстрелов марки М70.</w:t>
      </w:r>
    </w:p>
    <w:p w14:paraId="6D7C08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Считаю необходимым:</w:t>
      </w:r>
    </w:p>
    <w:p w14:paraId="4A56F8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прибытии СУ Т-48 в центр самоходной артиллерии на месте установить комплектацию их вооружением и боекомплект.</w:t>
      </w:r>
    </w:p>
    <w:p w14:paraId="05962B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Произвести испытания СУ Т-48 на Гороховецком АНИОПе по типовой программе Арткома, обратив особое внимание на подбор заменителей американской жидкости противооткатных устройств пушки.</w:t>
      </w:r>
    </w:p>
    <w:p w14:paraId="6D0BBE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Перед отправкой на фронт организовать обязательную проверку каждой самоходной уста</w:t>
      </w:r>
      <w:r w:rsidRPr="00271E51">
        <w:rPr>
          <w:rFonts w:ascii="Times New Roman" w:hAnsi="Times New Roman"/>
          <w:color w:val="000000" w:themeColor="text1"/>
          <w:sz w:val="16"/>
          <w:szCs w:val="16"/>
        </w:rPr>
        <w:softHyphen/>
        <w:t>новки стрельбой, для чего предусмотреть дополнительный расход боеприпасов (по 5 выстрелов на каждую самоходную установку).</w:t>
      </w:r>
    </w:p>
    <w:p w14:paraId="768D66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Поручить НИ полигону написать памятку для экипажа по обращению с вооружением и бое</w:t>
      </w:r>
      <w:r w:rsidRPr="00271E51">
        <w:rPr>
          <w:rFonts w:ascii="Times New Roman" w:hAnsi="Times New Roman"/>
          <w:color w:val="000000" w:themeColor="text1"/>
          <w:sz w:val="16"/>
          <w:szCs w:val="16"/>
        </w:rPr>
        <w:softHyphen/>
        <w:t>припасами СУ Т-48.</w:t>
      </w:r>
    </w:p>
    <w:p w14:paraId="299696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Старший инженер 2 отдела УСА ГБТУ КА инженер-капитан Иванов</w:t>
      </w:r>
    </w:p>
    <w:p w14:paraId="110973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284. Л. 43. Подлинник (11403).</w:t>
      </w:r>
    </w:p>
    <w:p w14:paraId="3290CE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88DA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Постановление ГКО № 4732 О плане и сроках проведения осенне-зимнего ремонта тракторов, материально-техническом его обеспечении и мерах поощрения работников МТС и совхозов за своевременное выполнение плана ремонта. (7163, 1-11,22,12-21).</w:t>
      </w:r>
    </w:p>
    <w:p w14:paraId="1270679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3C1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Постановление ГКО № 4733 Об обеспечении тракторов МТС и совхозов подшипниками.РГАНИР, Фонд ГКО, д. 182, лл. 23-26, 30, 27-29 (11012).</w:t>
      </w:r>
    </w:p>
    <w:p w14:paraId="2B5EB4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217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Постановление ГКО № 4734 О производстве запасных частей для ремонта тракторов МТС и совхозов к полевым работам 1944 года.РГАНИР, Фонд ГКО, д. 182, лл. 31-36, 37-50 (11012).</w:t>
      </w:r>
    </w:p>
    <w:p w14:paraId="7BB11A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BECD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Распоряжение ГКО № 4735 [О мерах по форсированному изготовлению прямоточных котлов Рамзина.] (7163, 51-52).</w:t>
      </w:r>
    </w:p>
    <w:p w14:paraId="7FC9FCB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F03D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Распоряжение ГКО № 4736. Об изменении срока поставки НКАП ротаметров для заводов № 103 и 395 НКХП и освобождении НКАП от поставки манометров.РГАНИР, Фонд ГКО, д. 182, лл. 53 (11012).</w:t>
      </w:r>
    </w:p>
    <w:p w14:paraId="558305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28F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декабря 1943 вышло Распоряжение ГКО № 4737. О срочной поставке ТЭЦ завода № 26 НКАП угля и мазута.РГАНИР, Фонд ГКО, д. 182, лл. 54 (11012).</w:t>
      </w:r>
    </w:p>
    <w:p w14:paraId="11CBB0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7845D" w14:textId="77777777" w:rsidR="00D8571E"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2DDD06E" w14:textId="77777777" w:rsidR="00D8571E" w:rsidRPr="00271E51" w:rsidRDefault="00D8571E"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91F456"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6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4457620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декабря северо-западнее Гомеля наши войска продолжали вести наступательные бои, в ходе которых заняли несколько населённых пунктов.</w:t>
      </w:r>
    </w:p>
    <w:p w14:paraId="6759929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Черняхова наши войска отбивали атаки крупных сил танков и пехоты противника.</w:t>
      </w:r>
    </w:p>
    <w:p w14:paraId="725AA7F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Кременчуга наши войска, сломив сопротивление противника, овладели городом Александрия и сильно укреплёнными опорными пунктами его обороны Вербовка, Московское, Ефимовка, Заломы, Плоское, Гутницкая, Красноселье, Цибулево, Веселый Кут, Водяна, Константиновка, Ясиноватка, Морозовка, Звенигородка, Головковка, Олимпиадовка, Ново-Николаевка, Марьяновка, железнодорожными станциями Диковка, Алеевка, Морозовка, Байдаковка. В результате стремительного удара наши войска перерезали железную дорогу Смела-Знаменка.</w:t>
      </w:r>
    </w:p>
    <w:p w14:paraId="1AE99BA6"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F04F3B8"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5 декабря наши войска на всех фронтах подбили и уничтожили 33 немецких танка. В воздушных боях и огнём зенитной артиллерии сбито 25 самолётов противника.</w:t>
      </w:r>
    </w:p>
    <w:p w14:paraId="4C06871A"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Немецкие и финские варвары разрушают жилые кварталы и невоенные объекты Ленинграда.</w:t>
      </w:r>
    </w:p>
    <w:p w14:paraId="3179BF32"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Артиллерия немецко-финских захватчиков, расположенная под Ленинградом, вот уже в течение многих месяцев систематически обстреливает жилые кварталы Ленинграда. За последние две — три недели артиллерийский обстрел заметно усилился. Потерпев полный провал всех попыток захватить Ленинград, немецко-финские злодеи в бессильной злобе вымещают свои военные неудачи на мирных жителях. Известно, что в данное время в Ленинграде военных объектов нет, поэтому для всех очевидно, что систематические обстрелы города имеют одну цель, а именно: разрушение жилых зданий, уничтожение памятников культуры, истребление мирных жителей Ленинграда. При этом надо заметить, что главными вдохновителями варварского, ничем не объяснимого с точки зрения военной необходимости разрушения Ленинграда являются финские офицеры. Финское правительство думает, что если финские и немецкие войска разрушат Ленинград, то тем самым отпадёт для Советского Союза вопрос об обеспечении безопасности Ленинграда. Но немецкие и финские захватчики, безусловно, просчитаются и на этот раз. Советский народ иКрасная Армия располагают достаточными силами защитить Ленинград, гарантировать и на будущее безопасность Ленинграда, развеять в прах подлые козни немецких и финских захватчиков и заставить их нести полную ответственность за совершённые злодеяния.</w:t>
      </w:r>
    </w:p>
    <w:p w14:paraId="26A8B75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Северо-западнее Гомеля наши войска продолжали наступление. Части Н-ского соединения, отражая контратаки немцев, продвигались вперёд и заняли несколько опорных пунктов обороны противника. Особенно упорные бои происходили за один населённый пункт. Немцы сосредоточили на его подступах много артиллерии, пулемётов и оказывали яростное сопротивление. Советские части фланговыми ударами дезорганизовали оборону немцев и после рукопашной схватки овладели пунктом. На поле боя остались сотни вражеских трупов и много вооружения противника. Части другого соединения за день уничтожили свыше 400 вражеских солдат и офицеров.</w:t>
      </w:r>
    </w:p>
    <w:p w14:paraId="318E0D6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Черняхова крупные силы танков и пехоты противника атаковали наши позиции. Весь день продолжался ожесточённый бой. Части Н-ского соединения отразили все вражеские атаки и уничтожили 700 немецких солдат и офицеров.Сожжено и подбито 8 танков и 3 самоходных орудия противника. На другом участке наше подразделение в упорном пятичасовом бою уничтожило 4 танка, самоходное орудие «Фердинанд», 2 бронетранспортёра и истребило до 300 гитлеровцев.</w:t>
      </w:r>
    </w:p>
    <w:p w14:paraId="31A3D90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Юго-западнее Кременчуга части Н-ского соединения, после мощной артиллерийскойи авиационной подготовки, атаковали позиции противника. Наши бойцы прорвали мощные оборонительные линии немцев и, стремительно продвигаясь вперёд, перерезали железную дорогу Смела—Знаменка. Противник понёс большие потери. Только в бою за один пункт советские части уничтожили 900 гитлеровцев, 11 танков, 5 артиллерийских и 3 миномётных батареи противника. Захвачено 6 танков, 5 самоходных орудий, свыше 40 бронетранспортёров и автомашин, 6 складов с боеприпасами, вооружением и военным имуществом. На другом участке наши войска сломили сопротивление немцев и овладели районным центром Кировоградской области городом Александрия, являющимся важным опорным пунктом </w:t>
      </w:r>
      <w:r w:rsidRPr="00271E51">
        <w:rPr>
          <w:rFonts w:ascii="Times New Roman" w:hAnsi="Times New Roman"/>
          <w:color w:val="000000" w:themeColor="text1"/>
          <w:sz w:val="16"/>
          <w:szCs w:val="16"/>
        </w:rPr>
        <w:lastRenderedPageBreak/>
        <w:t>обороны противника. В боях за город Александрия враг понёс большой урон в людях и технике. Советские бойцы захватили много вооружения, боеприпасов и военных материалов. Взяты пленные.</w:t>
      </w:r>
    </w:p>
    <w:p w14:paraId="75C950A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катер и 3 самоходных баржи противника.</w:t>
      </w:r>
    </w:p>
    <w:p w14:paraId="4729286F"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Литовские партизаны отряда «За родину» подожгли вражеский эшелон с бензином, стоявший на одной железнодорожной станции. Возник пожар. Огнём уничтожено большинство станционных зданий и сооружений. Группа партизан другого литовского отряда за два дня пустила под откос 2 немецких воинских эшелона, следовавших к линии фронта. В результате крушений разбиты 2 паровоза и много вагонов с военными грузами.</w:t>
      </w:r>
    </w:p>
    <w:p w14:paraId="110102AB"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унтер-офицер 3 роты 37 гренадерского полка 6 немецкой пехотной дивизии Пауль Эрленкезер рассказал: «До недавнего времени я служил в 1 батальоне 362 гренадерского полка, расположенного в Норвегии близ города Тронхейма. В сентябре наш батальон в полном составе был отправлен на советско-германский фронт. Мы ехали по маршруту Осло — пролив Скагеррак — Штеттин — Торн — Варшава. На оккупированной советской территории партизаны несколько раз обстреливали наш эшелон и убили более 20 солдат. На фронте нас сразу же бросили в бой. После одной неудачной атаки в 3 роте осталось 16 солдат, фельдфебель и унтер-офицер. В последующих боях батальон понёс ещё более тяжёлые потери. В нём уцелело не более 30—40 солдат. Настроение у всех очень подавленное. Каждому стало ясно, что нас ждёт верная гибель. Некоторые солдаты открыто ругают и поносят Гитлера за то, что он гонит людей на убой, несмотря на отсутствие каких-либо шансов на победу Германии. На днях русские, после артиллерийской подготовки, перешли в атаку. Остановить их мы не могли. Многие побежали в тыл, а я с небольшой группой солдат остался на месте. Мы все подняли руки вверх и сдались в плен» (14852).</w:t>
      </w:r>
    </w:p>
    <w:p w14:paraId="6ED01383"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3F898E0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B1ADC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7A7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началу декабря 1943 г. ДДБШ 2М-71Ф (Су-8) совершил на аэродроме завода № 289 (Тушино) несколько рулежек и подлетов, в результате которых были выявлены конструктивные дефекты и недостатки.</w:t>
      </w:r>
    </w:p>
    <w:p w14:paraId="1F30D7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сразу же приступил к их устранению. Улучшались тормоза, усиливалась хвостовая часть фюзеляжа, доводилась винтомоторная группа.</w:t>
      </w:r>
    </w:p>
    <w:p w14:paraId="2FCDDD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самолета Су-8 2М-71Ф смешанная. Фюзеляж состоял из трех частей.</w:t>
      </w:r>
    </w:p>
    <w:p w14:paraId="07B8AF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Носовая часть, в которой размещался летчик выполнялась полностью из броневой стали переменной толщины от 4 до 15 мм.</w:t>
      </w:r>
    </w:p>
    <w:p w14:paraId="53368B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Средняя часть - дюралевая, а хвостовая часть - полумонокок с деревянным набором и фанерной обшивкой.</w:t>
      </w:r>
    </w:p>
    <w:p w14:paraId="6E9964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Крыло площадью 60 м2 состояло из центроплана с мотогондолами и двух отъемных консолей. Конструкция крыла однолонжеронное. Профиль крыла NACA-230 большой относительной толщины.</w:t>
      </w:r>
    </w:p>
    <w:p w14:paraId="0D9F6E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маневрирования на больших углах атаки имелись автоматические предкрылки, расположенные по носкам консолей крыла в зоне элеронов. Для крепления элеронов и щитков в крыле имелась задняя стенка, шарнирно крепящаяся к фюзеляжу. Щитки металлические.</w:t>
      </w:r>
    </w:p>
    <w:p w14:paraId="3854B9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Лонжерон и стенки консолей -металлические, нервюры и обшивка -деревянные. Оперение двухкилевое металлической конструкции, рули обтянуты полотном.</w:t>
      </w:r>
    </w:p>
    <w:p w14:paraId="256ADA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Шасси простой схемы, убирающееся по полету в мотогондолы. Колеса шасси 1200х450 мм. Хвостовое колесо шасси 600х250 мм убираемое. Система уборки и выуска шасси - гидравлическая. Управление рулями высоты дублированное и выполнено частично тягами, частично тросовое. Управление рулями направления - тросовое.</w:t>
      </w:r>
    </w:p>
    <w:p w14:paraId="0F3B25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Водо-маслорадиаторы расположены в крыле. Винты типа АВ-7-167А диаметром 3,8 м.</w:t>
      </w:r>
    </w:p>
    <w:p w14:paraId="6B22E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Система бронирования обеспечивала защиту от огня крупнокалиберных пулеметов: пилота, стрелка-радиста, моторов (не забронированы только цилиндры моторов), крылье-вых бензобаков, маслобаков,маслора-диаторов и цилиндров винтов. Спереди летчика защищали бронестекла толщиной 64 мм. Общий вес брони на самолете - 1680 кг (9649).</w:t>
      </w:r>
    </w:p>
    <w:p w14:paraId="344EAC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709AE" w14:textId="77777777" w:rsidR="005403DA" w:rsidRPr="00271E51" w:rsidRDefault="005403DA"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началу декабря 1943 Су-8 2М-71ф совершил не</w:t>
      </w:r>
      <w:r w:rsidRPr="00271E51">
        <w:rPr>
          <w:color w:val="000000" w:themeColor="text1"/>
          <w:sz w:val="16"/>
          <w:szCs w:val="16"/>
        </w:rPr>
        <w:softHyphen/>
        <w:t>сколько рулежек и подлетов, в ходе которых были выявлены конструктивные дефекты и недостатки. Завод сразу же приступил к их устранению (17500).</w:t>
      </w:r>
    </w:p>
    <w:p w14:paraId="5F7B4442" w14:textId="77777777" w:rsidR="005403DA" w:rsidRPr="00271E51" w:rsidRDefault="005403DA" w:rsidP="00271E51">
      <w:pPr>
        <w:spacing w:after="0" w:line="240" w:lineRule="auto"/>
        <w:jc w:val="both"/>
        <w:rPr>
          <w:rFonts w:ascii="Times New Roman" w:hAnsi="Times New Roman"/>
          <w:color w:val="000000" w:themeColor="text1"/>
          <w:sz w:val="16"/>
          <w:szCs w:val="16"/>
        </w:rPr>
      </w:pPr>
    </w:p>
    <w:p w14:paraId="16F66EF9"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70BF5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67F2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 года на имя заместителя председателя ГКО Л. Берии было направлено письмо за подписями Малышева, Федоренко, Устинова (нарком вооружения. - Прим. автора) и Яковлева (начальник ГАУ КА. - Прим. автора), в котором они выступали за принятие на вооружение танка Т-34 с 85-мм пушкой:</w:t>
      </w:r>
    </w:p>
    <w:p w14:paraId="6FD7D4F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«Заводом № 183 НКТП спроектирован и изготовлен опытный образец танка Т-34 с 85-мм пушкой конструкции завода № 9 НКВ (марка танка Т-34-85).</w:t>
      </w:r>
    </w:p>
    <w:p w14:paraId="4612597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 прошел и выдержал полигонные, ходовые и артиллерийские испытания и может быть принят на вооружение Армии.</w:t>
      </w:r>
    </w:p>
    <w:p w14:paraId="48FEA0D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того чтобы установить на танк Т-34 пушку 85 мм потребовалось изготовить новую башню с погоном диметром 1600 мм (против 1420 мм у нормального танка Т-34), а также новую боеукладку, крышу танка и передние подвески. В связи с этим вес танка Т-34 с пушкой 85 мм увеличился на 1,3 тн. против нормального. Удобство работы команды в Т-34-85 не хуже, чем в обычном Т-34.</w:t>
      </w:r>
    </w:p>
    <w:p w14:paraId="6B6E237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установке на Т-34 пушки 85 мм, боевая мощь танка значительно увеличивается и такой танк нашей Армии необходим.</w:t>
      </w:r>
    </w:p>
    <w:p w14:paraId="7B5261C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представленном проекте постановления ГОКО предусматривается организация с января 1944 г. выпуска танков Т-34-85 (одновременно с выпуском танка Т-34) на заводе №112 НКТП с расчетом с апреля месяца прекратить выпуск Т-34 и выпускать только Т-34-85.</w:t>
      </w:r>
    </w:p>
    <w:p w14:paraId="227D939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Просим представить проект постановления ГОКО на утверждение товарища Сталина».</w:t>
      </w:r>
    </w:p>
    <w:p w14:paraId="4692E2C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проекте постановления предполагалось «принять на вооружение Армии Т-34-85, конструкции завода № 183 НКТП с пушкой 85 мм конструкции завода № 9 НКВ. с ТТХ согласно приложению», и устанавливался их выпуск на заводе № 112 в следующих количествах: январь 1944 года - 25. февраль - 75. март - 150, и с апреля производить только Т-34-85 (12217).</w:t>
      </w:r>
    </w:p>
    <w:p w14:paraId="0C13334E"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57A3FB98" w14:textId="77777777" w:rsidR="0081263A" w:rsidRPr="00271E51" w:rsidRDefault="008126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начале декабря 1943 года проект Т-50 впервые серьезно переработали. За это время ЗИС-4 окончательно исчезла из числа перспективных пушек, да и с двигателями GMC образовалась серьезная проблема. Из-за бомбежек лицензионное производство так и не удалось организовать, а поставлявшихся по ленд-лизу моторов едва хватало для тягачей Я-12. К тому же масса танка выросла уже до 20 тонн, и спарки 110-сильных моторов явно не хватало для обеспечения приемлемых динамических характеристик.</w:t>
      </w:r>
    </w:p>
    <w:p w14:paraId="48F7E244" w14:textId="77777777" w:rsidR="0081263A" w:rsidRPr="00271E51" w:rsidRDefault="008126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Согласно новым требованиям, легкий танк должен был оснащаться неким двигателем мощностью в 300 лошадиных сил. Такой двигатель был, назывался он В-4. Другое дело, что последние безуспешные попытки освоить его производство имели место еще осенью 1941 года. Именно невозможность наладить производство на новом месте В-4 и острая необходимость в дефицитном В-2 как раз и стали причинами снятия Т-50 с производства. Где предполагалось производить В-4 в очередной раз, история умалчивает. Выпуск В-4 в конце концов все же освоили, долгое время он ставился на танки ПТ-76 и БТР-50 на его базе, но назывался этот мотор уже В-6, и произошло это уже после войны.</w:t>
      </w:r>
    </w:p>
    <w:p w14:paraId="68B021B1" w14:textId="77777777" w:rsidR="0081263A" w:rsidRPr="00271E51" w:rsidRDefault="008126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Увеличение массы перспективного танка и поиски новой силовой установки для него начались неспроста. Согласно новым требованиям, толщина лобового листа выросла до 75 мм, а башни до 60 мм. На всякий случай напоминаю, что речь идет о легком танке, а не о Т-43. В качестве вооружения предполагалось использовать 76-мм пушку С-53 с баллистикой зенитной пушки 3-К. Эта пушка во второй половине 1943 года всерьез рассматривалась как альтернатива Ф-34, ее испытывали в Т-34 и самоходной установке СУ-76БМ. В итоге С-54 проиграла куда более перспективной 85-мм пушке Д-5Т.</w:t>
      </w:r>
    </w:p>
    <w:p w14:paraId="48097F15" w14:textId="77777777" w:rsidR="0081263A" w:rsidRPr="00271E51" w:rsidRDefault="0081263A"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этот момент над перспективным танком начал работу коллектив КБ завода №174. Возглавил работы Г.В. Гудков, главный конструктор танка Т-50. Новым танком занимался и И.С. Бушнев, бывший главный конструктор завода №185, который тоже играл важную роль в создании Т-50. Между ГАБТУ КА и заводом началась активная переписка, связанная с проектированием. Согласно письму от 26 января 1944 года, выбор места размещения трансмиссии решили предоставить заводскому КБ (и ее тут же вернули в кормовую часть корпуса). Также уточнялось, что заданная в ТТТ толщина брони в 60 мм для башни относилась к сварной катаной конструкции. В случае применения литья толщина брони должна была возрасти до 75 мм. В очередной раз поменялись требования к силовой установке. Согласно тому же письму, СКБ-75 (г. Челябинск) начало работу над 8-цилиндровым V-образным двигателем В-20, который представлял собой укороченный В-2. После очередного уточнения требований в КБ завода №174 закипела работа (17639).</w:t>
      </w:r>
    </w:p>
    <w:p w14:paraId="2F5D252B" w14:textId="77777777" w:rsidR="0081263A" w:rsidRPr="00271E51" w:rsidRDefault="0081263A" w:rsidP="00271E51">
      <w:pPr>
        <w:spacing w:after="0" w:line="240" w:lineRule="auto"/>
        <w:jc w:val="both"/>
        <w:rPr>
          <w:rFonts w:ascii="Times New Roman" w:hAnsi="Times New Roman"/>
          <w:color w:val="000000" w:themeColor="text1"/>
          <w:sz w:val="16"/>
          <w:szCs w:val="16"/>
        </w:rPr>
      </w:pPr>
    </w:p>
    <w:p w14:paraId="2367A2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 года эскизный проект САУ с орудием с баллистикой 100-мм морской пушки Б-34 передали Наркомату танковой промышленности и Управлению самоходной артиллерии (3862).</w:t>
      </w:r>
    </w:p>
    <w:p w14:paraId="59D619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946DE2" w14:textId="77777777" w:rsidR="002574C5" w:rsidRPr="00271E51" w:rsidRDefault="002574C5"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 xml:space="preserve">В начале декабря 1943 года против С-54 выступил начальник ГАУ КА генерал-полковник Н.Д. Яковлев. Он считал С-54, в любом случае, промежуточным звеном. Выход на испытания 85-мм орудий не сильно мешало процессу начала серии С-54. Признавая более перспективными орудия калибра 85 мм, в ГАУ КА признавали </w:t>
      </w:r>
      <w:r w:rsidRPr="00271E51">
        <w:rPr>
          <w:rFonts w:ascii="Times New Roman" w:eastAsia="Times New Roman" w:hAnsi="Times New Roman"/>
          <w:color w:val="0070C0"/>
          <w:sz w:val="16"/>
          <w:szCs w:val="16"/>
          <w:lang w:eastAsia="ru-RU"/>
        </w:rPr>
        <w:lastRenderedPageBreak/>
        <w:t>простой факт - им необходима более крупная башня. В случае же с орудием С-54 появлялась возможность усилить вооружение уже имеющихся танков. Но... к началу декабря артиллеристы снова начали "капризничать". Причина, будете смеяться, всё та же - нежелание вводить в оборот боеприпасы 3-К (22229).</w:t>
      </w:r>
    </w:p>
    <w:p w14:paraId="0348482E" w14:textId="77777777" w:rsidR="002574C5" w:rsidRPr="00271E51" w:rsidRDefault="002574C5" w:rsidP="00271E51">
      <w:pPr>
        <w:spacing w:after="0" w:line="240" w:lineRule="auto"/>
        <w:jc w:val="both"/>
        <w:rPr>
          <w:rFonts w:ascii="Times New Roman" w:hAnsi="Times New Roman"/>
          <w:color w:val="0070C0"/>
          <w:sz w:val="16"/>
          <w:szCs w:val="16"/>
        </w:rPr>
      </w:pPr>
    </w:p>
    <w:p w14:paraId="058FEF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 г. против порта Камыш-Бурун применили радиоуправляемый катер. Первоначально применить катер ВУ против Камыш-Буру</w:t>
      </w:r>
      <w:r w:rsidRPr="00271E51">
        <w:rPr>
          <w:rFonts w:ascii="Times New Roman" w:hAnsi="Times New Roman"/>
          <w:color w:val="000000" w:themeColor="text1"/>
          <w:sz w:val="16"/>
          <w:szCs w:val="16"/>
        </w:rPr>
        <w:softHyphen/>
        <w:t>на предполагалось с 5 по 10 декабря 1943 г., но из-за плохой погоды это удалось сделать лишь 16 декабря (10675).</w:t>
      </w:r>
    </w:p>
    <w:p w14:paraId="7DDA03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666B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F2FEB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711A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 г. был сформирован первый тяжелый самоходно-артиллерийский полк ИСУ-152 и в ян</w:t>
      </w:r>
      <w:r w:rsidRPr="00271E51">
        <w:rPr>
          <w:rFonts w:ascii="Times New Roman" w:hAnsi="Times New Roman"/>
          <w:color w:val="000000" w:themeColor="text1"/>
          <w:sz w:val="16"/>
          <w:szCs w:val="16"/>
        </w:rPr>
        <w:softHyphen/>
        <w:t>варе 1944 г. принял участие в боях (11417).</w:t>
      </w:r>
    </w:p>
    <w:p w14:paraId="1A07D6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8CAD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 г. командование Черноморского флота в последний раз решило применить катера ВУ против порта Камыш-Бурун. Этот порт использовали в качестве промежуточной базы германские большие десантные баржи, которые контролировали район Керченского пролива. Первоначально применить катер ВУ против Камыш-Буруна предполагалось с 5 по 10 декабря 1943 г., но из-за плохой погоды это удалось сделать лишь 16 декабря. Утром два истребителя «Китихаук» из 30-го разведывательного авиаполка провели разведку в районе Керченского пролива и Камыш-Буруна. В 7 ч. 10 мин. они обнаружили там две БДБ у стенки и одну БДБ в судоремонтном заводе. В 10 часов гидросамолет управления МБР-2 под прикрытием восьми истребителей Як-9 вылетел в район атаки. В 10 ч. 30 мин. ВУ-41 в сопровождении торпедных катеров № 62 и № 81 вышли из Тамани. До 11 ч. 50 мин. их прикрывали пять Як-9 и восемь ЛаГГ-3. Еще пять Як-9 вылетели для наблюдения и аэрофотосъемки результатов удара. Кроме того, шесть штурмовиков Ил-2 под прикрытием восьми Як-9 в 10 ч. 55 мин. вылетели на Камыш-Бурун с задачей подавления вражеской артиллерии. В 11 ч. 04 мин. торпедный катер № 81 снял с катера ВУ-41 команду, а через 9 минут оператор с МБР-2 отдал на брандер приказ: «Боевой ход». В 11 ч. 28 мин. немцы открыли артиллерийский огонь по ВУ-41. Сразу же наши штурмовики начали атаку неприятельских батарей, и стрельба по катеру стала менее интенсивной, но был сбит один наш Ил-2. Вскоре оператор потерял управление ВУ-41, и тот по невыясненной причине взорвался в полутора милях к востоку от косы Камыш-Бурун. Больше попыток использования радиоуправляемых катеров у нас не делалось (15117).</w:t>
      </w:r>
    </w:p>
    <w:p w14:paraId="014B68E4"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450395D2" w14:textId="77777777" w:rsidR="00EF645F" w:rsidRPr="00271E51" w:rsidRDefault="00EF645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5976C76" w14:textId="77777777" w:rsidR="00EF645F" w:rsidRPr="00271E51" w:rsidRDefault="00EF645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FCF89" w14:textId="77777777" w:rsidR="002574C5" w:rsidRPr="00271E51" w:rsidRDefault="002574C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начале декабря месяца 1943 ВМС США прекращают испытания планеров-амфибий. В сентябре он официально прекратил программу создания планеров-амфибий (20376).</w:t>
      </w:r>
    </w:p>
    <w:p w14:paraId="0D4982DB" w14:textId="77777777" w:rsidR="002574C5" w:rsidRPr="00271E51" w:rsidRDefault="002574C5" w:rsidP="00271E51">
      <w:pPr>
        <w:spacing w:after="0" w:line="240" w:lineRule="auto"/>
        <w:jc w:val="both"/>
        <w:rPr>
          <w:rFonts w:ascii="Times New Roman" w:hAnsi="Times New Roman"/>
          <w:color w:val="0070C0"/>
          <w:sz w:val="16"/>
          <w:szCs w:val="16"/>
        </w:rPr>
      </w:pPr>
    </w:p>
    <w:p w14:paraId="0D28C1A3" w14:textId="77777777" w:rsidR="00EF645F" w:rsidRPr="00271E51" w:rsidRDefault="00EF645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декабря 1943-го был со</w:t>
      </w:r>
      <w:r w:rsidRPr="00271E51">
        <w:rPr>
          <w:rFonts w:ascii="Times New Roman" w:hAnsi="Times New Roman"/>
          <w:color w:val="000000" w:themeColor="text1"/>
          <w:sz w:val="16"/>
          <w:szCs w:val="16"/>
        </w:rPr>
        <w:softHyphen/>
        <w:t>здан 65-й армейский корпус спец- назначения ракет Фау-1 и Фау-2 под командованием генерал-лейтенанта артиллерии Э.Хейнемана. Формиро</w:t>
      </w:r>
      <w:r w:rsidRPr="00271E51">
        <w:rPr>
          <w:rFonts w:ascii="Times New Roman" w:hAnsi="Times New Roman"/>
          <w:color w:val="000000" w:themeColor="text1"/>
          <w:sz w:val="16"/>
          <w:szCs w:val="16"/>
        </w:rPr>
        <w:softHyphen/>
        <w:t>вание ракетных частей и строитель</w:t>
      </w:r>
      <w:r w:rsidRPr="00271E51">
        <w:rPr>
          <w:rFonts w:ascii="Times New Roman" w:hAnsi="Times New Roman"/>
          <w:color w:val="000000" w:themeColor="text1"/>
          <w:sz w:val="16"/>
          <w:szCs w:val="16"/>
        </w:rPr>
        <w:softHyphen/>
        <w:t>ство боевых позиций не компенси</w:t>
      </w:r>
      <w:r w:rsidRPr="00271E51">
        <w:rPr>
          <w:rFonts w:ascii="Times New Roman" w:hAnsi="Times New Roman"/>
          <w:color w:val="000000" w:themeColor="text1"/>
          <w:sz w:val="16"/>
          <w:szCs w:val="16"/>
        </w:rPr>
        <w:softHyphen/>
        <w:t>ровало отсутствия необходимого количества ракет для начала массиро</w:t>
      </w:r>
      <w:r w:rsidRPr="00271E51">
        <w:rPr>
          <w:rFonts w:ascii="Times New Roman" w:hAnsi="Times New Roman"/>
          <w:color w:val="000000" w:themeColor="text1"/>
          <w:sz w:val="16"/>
          <w:szCs w:val="16"/>
        </w:rPr>
        <w:softHyphen/>
        <w:t>ванных пусков. Среди руководителей вермахта весь проект А-4 со временем стал восприниматься как пустая тра</w:t>
      </w:r>
      <w:r w:rsidRPr="00271E51">
        <w:rPr>
          <w:rFonts w:ascii="Times New Roman" w:hAnsi="Times New Roman"/>
          <w:color w:val="000000" w:themeColor="text1"/>
          <w:sz w:val="16"/>
          <w:szCs w:val="16"/>
        </w:rPr>
        <w:softHyphen/>
        <w:t>та денег и квалифицированной рабо</w:t>
      </w:r>
      <w:r w:rsidRPr="00271E51">
        <w:rPr>
          <w:rFonts w:ascii="Times New Roman" w:hAnsi="Times New Roman"/>
          <w:color w:val="000000" w:themeColor="text1"/>
          <w:sz w:val="16"/>
          <w:szCs w:val="16"/>
        </w:rPr>
        <w:softHyphen/>
        <w:t>чей силы.   Запуск 900 ракет Фау-2 в месяц требовал 13000 т жидкого кислоро</w:t>
      </w:r>
      <w:r w:rsidRPr="00271E51">
        <w:rPr>
          <w:rFonts w:ascii="Times New Roman" w:hAnsi="Times New Roman"/>
          <w:color w:val="000000" w:themeColor="text1"/>
          <w:sz w:val="16"/>
          <w:szCs w:val="16"/>
        </w:rPr>
        <w:softHyphen/>
        <w:t>да, 4000 т этилового спирта, 2000 т метанола, 500 т перекиси водорода, 1500 т взрывчатки и большое количес</w:t>
      </w:r>
      <w:r w:rsidRPr="00271E51">
        <w:rPr>
          <w:rFonts w:ascii="Times New Roman" w:hAnsi="Times New Roman"/>
          <w:color w:val="000000" w:themeColor="text1"/>
          <w:sz w:val="16"/>
          <w:szCs w:val="16"/>
        </w:rPr>
        <w:softHyphen/>
        <w:t>тво других компонентов. Для серий</w:t>
      </w:r>
      <w:r w:rsidRPr="00271E51">
        <w:rPr>
          <w:rFonts w:ascii="Times New Roman" w:hAnsi="Times New Roman"/>
          <w:color w:val="000000" w:themeColor="text1"/>
          <w:sz w:val="16"/>
          <w:szCs w:val="16"/>
        </w:rPr>
        <w:softHyphen/>
        <w:t>ного выпуска ракет необходимо было экстренно построить новые заводы по производству различных матери</w:t>
      </w:r>
      <w:r w:rsidRPr="00271E51">
        <w:rPr>
          <w:rFonts w:ascii="Times New Roman" w:hAnsi="Times New Roman"/>
          <w:color w:val="000000" w:themeColor="text1"/>
          <w:sz w:val="16"/>
          <w:szCs w:val="16"/>
        </w:rPr>
        <w:softHyphen/>
        <w:t>алов, полуфабрикатов и заготовок. В денежном выражении при заплани</w:t>
      </w:r>
      <w:r w:rsidRPr="00271E51">
        <w:rPr>
          <w:rFonts w:ascii="Times New Roman" w:hAnsi="Times New Roman"/>
          <w:color w:val="000000" w:themeColor="text1"/>
          <w:sz w:val="16"/>
          <w:szCs w:val="16"/>
        </w:rPr>
        <w:softHyphen/>
        <w:t>рованном производстве 12000 ракет (30 штук в сутки) одна Фау-2 обош</w:t>
      </w:r>
      <w:r w:rsidRPr="00271E51">
        <w:rPr>
          <w:rFonts w:ascii="Times New Roman" w:hAnsi="Times New Roman"/>
          <w:color w:val="000000" w:themeColor="text1"/>
          <w:sz w:val="16"/>
          <w:szCs w:val="16"/>
        </w:rPr>
        <w:softHyphen/>
        <w:t>лась бы в 6 раз дешевле бомбардиров</w:t>
      </w:r>
      <w:r w:rsidRPr="00271E51">
        <w:rPr>
          <w:rFonts w:ascii="Times New Roman" w:hAnsi="Times New Roman"/>
          <w:color w:val="000000" w:themeColor="text1"/>
          <w:sz w:val="16"/>
          <w:szCs w:val="16"/>
        </w:rPr>
        <w:softHyphen/>
        <w:t>щика, которого в среднем хватало на 4-5 боевых вылетов (19630).</w:t>
      </w:r>
    </w:p>
    <w:p w14:paraId="6F994ABA" w14:textId="77777777" w:rsidR="00EF645F" w:rsidRPr="00271E51" w:rsidRDefault="00EF645F" w:rsidP="00271E51">
      <w:pPr>
        <w:spacing w:after="0" w:line="240" w:lineRule="auto"/>
        <w:jc w:val="both"/>
        <w:rPr>
          <w:rFonts w:ascii="Times New Roman" w:hAnsi="Times New Roman"/>
          <w:color w:val="000000" w:themeColor="text1"/>
          <w:sz w:val="16"/>
          <w:szCs w:val="16"/>
        </w:rPr>
      </w:pPr>
    </w:p>
    <w:p w14:paraId="66D4AA7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79CA2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1F3B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7 декабря 1942 на заводе № 30 было построено 947 штук Ил-2 с НС-37, и к 15 января планировали собрать еще 228 самолетов. После выхода постановления ГКО военные прекратили их приемку (11474,351).</w:t>
      </w:r>
    </w:p>
    <w:p w14:paraId="0C3445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78797"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7 декабря 1943 было построено 947 штук Ил-2 с 11П, и к 15 января планировали собрать еще 228 самолетов. Как следует из документа, «основная масса /.../ самолетов по настоящее время проста</w:t>
      </w:r>
      <w:r w:rsidRPr="00271E51">
        <w:rPr>
          <w:color w:val="000000" w:themeColor="text1"/>
          <w:sz w:val="16"/>
          <w:szCs w:val="16"/>
        </w:rPr>
        <w:softHyphen/>
        <w:t>ивает без всякого использования и надлежаще</w:t>
      </w:r>
      <w:r w:rsidRPr="00271E51">
        <w:rPr>
          <w:color w:val="000000" w:themeColor="text1"/>
          <w:sz w:val="16"/>
          <w:szCs w:val="16"/>
        </w:rPr>
        <w:softHyphen/>
        <w:t>го ухода, подвергаясь в своих деревянных частях загниванию». Поэтому, чтобы «самолеты /.../ не подвергались дальнейшему разрушению», предлагалось немедленно передать их в строевые авиа</w:t>
      </w:r>
      <w:r w:rsidRPr="00271E51">
        <w:rPr>
          <w:color w:val="000000" w:themeColor="text1"/>
          <w:sz w:val="16"/>
          <w:szCs w:val="16"/>
        </w:rPr>
        <w:softHyphen/>
        <w:t>части «без специального отбора летчиков для ука</w:t>
      </w:r>
      <w:r w:rsidRPr="00271E51">
        <w:rPr>
          <w:color w:val="000000" w:themeColor="text1"/>
          <w:sz w:val="16"/>
          <w:szCs w:val="16"/>
        </w:rPr>
        <w:softHyphen/>
        <w:t>занных самолетов, так как они не требуют летчиков высокой квалификации» (17500).</w:t>
      </w:r>
    </w:p>
    <w:p w14:paraId="54F97968" w14:textId="77777777" w:rsidR="00E40008" w:rsidRPr="00271E51" w:rsidRDefault="00E40008" w:rsidP="00271E51">
      <w:pPr>
        <w:spacing w:after="0" w:line="240" w:lineRule="auto"/>
        <w:jc w:val="both"/>
        <w:rPr>
          <w:rFonts w:ascii="Times New Roman" w:hAnsi="Times New Roman"/>
          <w:color w:val="000000" w:themeColor="text1"/>
          <w:sz w:val="16"/>
          <w:szCs w:val="16"/>
        </w:rPr>
      </w:pPr>
    </w:p>
    <w:p w14:paraId="01B3648D"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после полета Ил-2 АМ-42 (РК) «обнаружилась течь воды в картер». Мотор сразу же сняли и 8 декабря отправили на опытный моторный завод № 300 для анализа причин обнаруженного дефекта. Через день из Куйбышева с завода № 24 самолетом был доставлен новый АМ-42. После установки этого мотора на «следопыт» при пробных гонках на земле и в полете 13 декабря вновь выявились ненормальности в его работе. Четвертый по счету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дефектов вновь изменили регулировку карбюраторов и поменяли водо- и маслорадиаторы. Но эти доработки помогли мало. Опытный самолет вновь встал на доработку.</w:t>
      </w:r>
    </w:p>
    <w:p w14:paraId="5A251990"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«следопыт» не летал в ожидании поставки кондиционного мотора, на нем полным ходом шли работы по улучшению его «штурмовых» качеств.</w:t>
      </w:r>
    </w:p>
    <w:p w14:paraId="5C5286D3"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установлены два наружных держателя МДЗ-40, обеспечивавших подвеску бомб калибра от 50 до 500 кг, и смонтирована система управления ими. Четыре бомбоотсека в центроплане крыла переделывались таким образом, чтобы было возможным разместить в них до 600 кг осколочных бомб калибра от 1 до 25 кг. При этом бомбы укладывались в эти отсеки на створки бомболюков, как в бункера. После сбрасывания бомб створки люков закрывались с помощью пружин. Бомбы калибра 50 и 100 кг подвешивались внутри бомбоотсеков на замки Дер-21.</w:t>
      </w:r>
    </w:p>
    <w:p w14:paraId="650B3181"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кабине штурмана-стрелка устанавливался прицел для бомбометания с горизонтального полета ОПБ-1р. Здесь же монтировалась и новая подвижная оборонительная установка ВУ-8 с пулеметом УБК (3 магазина по 50 патронов каждый). ВУ-8 обеспечивала увеличенные углы обстрела: вверх – 48°, вниз с бортов – 13°, вправо – 60°, влево – 50°. Ракетное вооружение, как и прежде, устанавливать не предполагалось.</w:t>
      </w:r>
    </w:p>
    <w:p w14:paraId="79770E6E"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контроля результатов стрельбы в левом обтекателе шасси монтировался фотокинопулемет ПАУ-22, синхронно связанный с работой стрелково-пушечного вооружения. В правом обтекателе шасси располагался киноаппарат КС-5, предназначенный для съемки результатов штурмового удара и разведки с малых высот.</w:t>
      </w:r>
    </w:p>
    <w:p w14:paraId="677199BB"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Аэрофотосъемка обеспечивалась двумя плановыми фотоаппаратами: АФА-3 с, установленного в хвостовой части фюзеляжа с дистанционным управлением из кабины штурмана-стрелка, и АЩАФА-2, расположенного в кабине штурмана-стрелка, который предназначался для непрерывной плановой фотосъемки в плохих метеоусловиях, в сумерки и с малых высот.</w:t>
      </w:r>
    </w:p>
    <w:p w14:paraId="0C2379DF"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бронирования Ил-2 АМ-42 (РК) была следующей. Мотор с агрегатами, водяной и масляный радиаторы прикрывались броней толщиной 4 мм. Снизу бронекапот имел 5-мм броню. Для защиты агрегатов винта спереди устанавливался 6-мм бронещиток. Кабина пилота имела броню толщиной 4, 5, 6 и 7 мм. Со стороны задней полусферы летчик защищался бронеплитой толщиной 12 мм, а спереди – 62-мм прозрачным бронестеклом. Сверху и сбоку на фонаре кабины пилота устанавливались бронелисты толщиной 6 мм. Штурман-стрелок с боков защищался бронелистами толщиной 5 и 6 мм, снизу – 6 мм, а со стороны задней полусферы – 12-мм бронеплитой. Общий вес металлической брони составил 1180 кг, в том числе 70 кг узлы крепления.</w:t>
      </w:r>
    </w:p>
    <w:p w14:paraId="480718CF"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элеронами, рулем высоты, направления и триммерами на участках, не защищенных броней, в крыле и хвостовой части фюзеляжа дублировалось второй тросовой проводкой.</w:t>
      </w:r>
    </w:p>
    <w:p w14:paraId="534F8AE6" w14:textId="77777777" w:rsidR="00E40008" w:rsidRPr="00271E51" w:rsidRDefault="00E400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Смонтированную на самолете систему заполнения бензобаков нейтральными газами от выхлопа мотора довести «до ума» не успевали, поэтому ее заблокировали (на период испытаний) (17490).</w:t>
      </w:r>
    </w:p>
    <w:p w14:paraId="2D908142" w14:textId="77777777" w:rsidR="00E40008" w:rsidRPr="00271E51" w:rsidRDefault="00E40008" w:rsidP="00271E51">
      <w:pPr>
        <w:spacing w:after="0" w:line="240" w:lineRule="auto"/>
        <w:jc w:val="both"/>
        <w:rPr>
          <w:rFonts w:ascii="Times New Roman" w:hAnsi="Times New Roman"/>
          <w:color w:val="000000" w:themeColor="text1"/>
          <w:sz w:val="16"/>
          <w:szCs w:val="16"/>
        </w:rPr>
      </w:pPr>
    </w:p>
    <w:p w14:paraId="1BBB83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года инженер завода N 289 Горбунов писал письмо Сталину, Маленкову, Шахурину.</w:t>
      </w:r>
    </w:p>
    <w:p w14:paraId="03AE3D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Коллектив работников завода N 289 НКАП, во главе с гл. конструктором завода Сухим, по заданию Правительства, спроектировал, построил и испытал самолет Су-6 в двухместном варианте с мотором М-71.</w:t>
      </w:r>
    </w:p>
    <w:p w14:paraId="4E8B5A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государственных испытаниях самолет Су-6 получил хорошую оценку, а в заключении по отчету ВВС ставит вопрос о внедрении самолета в серию.</w:t>
      </w:r>
    </w:p>
    <w:p w14:paraId="530BCA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данные самолета Су-6 с Ил-2 следующие:</w:t>
      </w:r>
    </w:p>
    <w:p w14:paraId="06614F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у Су-6 больше на 107 км, чем у Ил-2</w:t>
      </w:r>
    </w:p>
    <w:p w14:paraId="5E2839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высоте 4000 м у Су-6 больше на 116 км, чем у Ил-2</w:t>
      </w:r>
    </w:p>
    <w:p w14:paraId="4839C6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у Су-6 больше на 2500 м, чем у Ил-2</w:t>
      </w:r>
    </w:p>
    <w:p w14:paraId="6B7F9F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Дальность полета у Су-6 больше на 358 км, чем у Ил-2</w:t>
      </w:r>
    </w:p>
    <w:p w14:paraId="1A1868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самолета и заключение ВВС по самолету говорят за необходимость скорейшего внедрения самолета Су-6 с мотором М-71 в серию. Но вопрос о внедрении самолета Су-6 в серию не решается.</w:t>
      </w:r>
    </w:p>
    <w:p w14:paraId="357ED0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Сейчас предложено НКАП"ом заменить на самолете Су-6 мотор М-71 на мотор АМ-42.</w:t>
      </w:r>
    </w:p>
    <w:p w14:paraId="5D1093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Су-6 с мотором М-71 - это самолет "сегодняшнего дня", а с мотором Ам-42 - это самолет "вчерашнего дня", т.е. уже пройденный этап, а это не логично, да и неправильно отказываться от лучшего и желать худшего.</w:t>
      </w:r>
    </w:p>
    <w:p w14:paraId="5FF7F5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Убедительно Вас просим, Иосиф Виссарионович, повлиять на ход решения о запуске в серию самолета Су-6 с мотором М-71.</w:t>
      </w:r>
    </w:p>
    <w:p w14:paraId="469086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 коллектив с усердием и добросовестностью выполнил решение Правительства - создал хороший самолет.</w:t>
      </w:r>
    </w:p>
    <w:p w14:paraId="318F9B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 Правительства о запуске в серию самолета Су-6 с мотором М-71 будет являться:</w:t>
      </w:r>
    </w:p>
    <w:p w14:paraId="6D4C2B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Усилением мощи ВВС</w:t>
      </w:r>
    </w:p>
    <w:p w14:paraId="1E241C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Дополнительным показателем наших неисчерпаемых возможностей и способностей.</w:t>
      </w:r>
    </w:p>
    <w:p w14:paraId="6A5BBF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Движением техники вперед - от "вчерашнего" самолета Ил-2 - к "сегодняшнему" самолету Су-6.</w:t>
      </w:r>
    </w:p>
    <w:p w14:paraId="5CC10C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Наивысшей наградой и радостью для нашего коллектива за вложенный труд по созданию самолета Су-6 (1775,205).</w:t>
      </w:r>
    </w:p>
    <w:p w14:paraId="74F9AE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34C75" w14:textId="77777777" w:rsidR="00B95E55" w:rsidRPr="00271E51" w:rsidRDefault="00B95E55"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7 декабря 1943 в связи с решением НКАП об установке на Су-6 мотора АМ-42 группа ведущих испол</w:t>
      </w:r>
      <w:r w:rsidRPr="00271E51">
        <w:rPr>
          <w:rFonts w:ascii="Times New Roman" w:cs="Times New Roman"/>
          <w:color w:val="000000" w:themeColor="text1"/>
          <w:sz w:val="16"/>
          <w:szCs w:val="16"/>
        </w:rPr>
        <w:softHyphen/>
        <w:t xml:space="preserve">нителей по самолету (инженеры завода №289 Горбунов, Баславский, Мудрецов) обратились с письмом на имя И.В. Сталина, </w:t>
      </w:r>
      <w:r w:rsidRPr="00271E51">
        <w:rPr>
          <w:rStyle w:val="4f0"/>
          <w:rFonts w:ascii="Times New Roman" w:hAnsi="Times New Roman" w:cs="Times New Roman"/>
          <w:i w:val="0"/>
          <w:color w:val="000000" w:themeColor="text1"/>
          <w:sz w:val="16"/>
          <w:szCs w:val="16"/>
        </w:rPr>
        <w:t>Г.М. Маленкова и А.И. Шахурина, в котором указывали:</w:t>
      </w:r>
      <w:r w:rsidRPr="00271E51">
        <w:rPr>
          <w:rFonts w:ascii="Times New Roman" w:cs="Times New Roman"/>
          <w:color w:val="000000" w:themeColor="text1"/>
          <w:sz w:val="16"/>
          <w:szCs w:val="16"/>
        </w:rPr>
        <w:t xml:space="preserve"> «Самолет «Су-6» с мотором М-71 - это самолет «сегодняшнего дня», а с мотором АМ-42 - это самолет «вчерашнего дня», т.е. уже пройденный этап, а это нелогично, да и неправильно отказываться от лучшего и же</w:t>
      </w:r>
      <w:r w:rsidRPr="00271E51">
        <w:rPr>
          <w:rFonts w:ascii="Times New Roman" w:cs="Times New Roman"/>
          <w:color w:val="000000" w:themeColor="text1"/>
          <w:sz w:val="16"/>
          <w:szCs w:val="16"/>
        </w:rPr>
        <w:softHyphen/>
        <w:t>лать худшего. Убедительно Вас просим, Ио</w:t>
      </w:r>
      <w:r w:rsidRPr="00271E51">
        <w:rPr>
          <w:rFonts w:ascii="Times New Roman" w:cs="Times New Roman"/>
          <w:color w:val="000000" w:themeColor="text1"/>
          <w:sz w:val="16"/>
          <w:szCs w:val="16"/>
        </w:rPr>
        <w:softHyphen/>
        <w:t>сиф Виссарионович, повлиять на ход решения о запуске в серию самолета «Су-6» с мотором М-71. Наш коллектив с усердием и добросо</w:t>
      </w:r>
      <w:r w:rsidRPr="00271E51">
        <w:rPr>
          <w:rFonts w:ascii="Times New Roman" w:cs="Times New Roman"/>
          <w:color w:val="000000" w:themeColor="text1"/>
          <w:sz w:val="16"/>
          <w:szCs w:val="16"/>
        </w:rPr>
        <w:softHyphen/>
        <w:t>вестностью выполнил решение Правительст</w:t>
      </w:r>
      <w:r w:rsidRPr="00271E51">
        <w:rPr>
          <w:rFonts w:ascii="Times New Roman" w:cs="Times New Roman"/>
          <w:color w:val="000000" w:themeColor="text1"/>
          <w:sz w:val="16"/>
          <w:szCs w:val="16"/>
        </w:rPr>
        <w:softHyphen/>
        <w:t>ва - создал хороший самолет. Решение Пра</w:t>
      </w:r>
      <w:r w:rsidRPr="00271E51">
        <w:rPr>
          <w:rFonts w:ascii="Times New Roman" w:cs="Times New Roman"/>
          <w:color w:val="000000" w:themeColor="text1"/>
          <w:sz w:val="16"/>
          <w:szCs w:val="16"/>
        </w:rPr>
        <w:softHyphen/>
        <w:t>вительства о запуске в серию самолета «Су-6» с мотором М-71 будет являться:</w:t>
      </w:r>
    </w:p>
    <w:p w14:paraId="5E88ECA9" w14:textId="77777777" w:rsidR="00B95E55" w:rsidRPr="00271E51" w:rsidRDefault="00B95E55" w:rsidP="00271E51">
      <w:pPr>
        <w:pStyle w:val="45"/>
        <w:shd w:val="clear" w:color="auto" w:fill="auto"/>
        <w:tabs>
          <w:tab w:val="left" w:pos="505"/>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1. Усилением мощи Военно-Воздушных Сил Красной Армии.</w:t>
      </w:r>
    </w:p>
    <w:p w14:paraId="45EBE629" w14:textId="77777777" w:rsidR="00B95E55" w:rsidRPr="00271E51" w:rsidRDefault="00B95E55" w:rsidP="00271E51">
      <w:pPr>
        <w:pStyle w:val="45"/>
        <w:shd w:val="clear" w:color="auto" w:fill="auto"/>
        <w:tabs>
          <w:tab w:val="left" w:pos="457"/>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 Дополнительным показателем наших не</w:t>
      </w:r>
      <w:r w:rsidRPr="00271E51">
        <w:rPr>
          <w:rFonts w:ascii="Times New Roman" w:cs="Times New Roman"/>
          <w:color w:val="000000" w:themeColor="text1"/>
          <w:sz w:val="16"/>
          <w:szCs w:val="16"/>
        </w:rPr>
        <w:softHyphen/>
        <w:t>исчерпаемых возможностей и способностей.</w:t>
      </w:r>
    </w:p>
    <w:p w14:paraId="05E999C6" w14:textId="77777777" w:rsidR="00B95E55" w:rsidRPr="00271E51" w:rsidRDefault="00B95E55" w:rsidP="00271E51">
      <w:pPr>
        <w:pStyle w:val="45"/>
        <w:shd w:val="clear" w:color="auto" w:fill="auto"/>
        <w:tabs>
          <w:tab w:val="left" w:pos="476"/>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 Движением техники вперед, - от «вче</w:t>
      </w:r>
      <w:r w:rsidRPr="00271E51">
        <w:rPr>
          <w:rFonts w:ascii="Times New Roman" w:cs="Times New Roman"/>
          <w:color w:val="000000" w:themeColor="text1"/>
          <w:sz w:val="16"/>
          <w:szCs w:val="16"/>
        </w:rPr>
        <w:softHyphen/>
        <w:t>рашнего» самолета «Ил-2» - к«сегодняшнему» самолету «Су-6».</w:t>
      </w:r>
    </w:p>
    <w:p w14:paraId="6DBD0377" w14:textId="77777777" w:rsidR="00B95E55" w:rsidRPr="00271E51" w:rsidRDefault="00B95E55" w:rsidP="00271E51">
      <w:pPr>
        <w:pStyle w:val="45"/>
        <w:shd w:val="clear" w:color="auto" w:fill="auto"/>
        <w:tabs>
          <w:tab w:val="left" w:pos="500"/>
        </w:tabs>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 Наивысшей наградой и радостью для нашего коллектива за вложенный труд по со</w:t>
      </w:r>
      <w:r w:rsidRPr="00271E51">
        <w:rPr>
          <w:rFonts w:ascii="Times New Roman" w:cs="Times New Roman"/>
          <w:color w:val="000000" w:themeColor="text1"/>
          <w:sz w:val="16"/>
          <w:szCs w:val="16"/>
        </w:rPr>
        <w:softHyphen/>
        <w:t>зданию самолета Су-6».</w:t>
      </w:r>
    </w:p>
    <w:p w14:paraId="073AD176"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Но никакой реакции высоких инстанций на это письмо не последовало.</w:t>
      </w:r>
    </w:p>
    <w:p w14:paraId="76825EA0"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Работы по переделке Су-6 под мотор АМ-42 шли полным ходом. Из-за более тяже</w:t>
      </w:r>
      <w:r w:rsidRPr="00271E51">
        <w:rPr>
          <w:rFonts w:ascii="Times New Roman" w:cs="Times New Roman"/>
          <w:color w:val="000000" w:themeColor="text1"/>
          <w:spacing w:val="0"/>
        </w:rPr>
        <w:softHyphen/>
        <w:t>лого мотора и увеличения в связи с этим веса самолета спроектировали и изготовили новое цельнометаллическое крыло большей площа</w:t>
      </w:r>
      <w:r w:rsidRPr="00271E51">
        <w:rPr>
          <w:rFonts w:ascii="Times New Roman" w:cs="Times New Roman"/>
          <w:color w:val="000000" w:themeColor="text1"/>
          <w:spacing w:val="0"/>
        </w:rPr>
        <w:softHyphen/>
        <w:t>ди без предкрылков. Изменили стабилиза</w:t>
      </w:r>
      <w:r w:rsidRPr="00271E51">
        <w:rPr>
          <w:rFonts w:ascii="Times New Roman" w:cs="Times New Roman"/>
          <w:color w:val="000000" w:themeColor="text1"/>
          <w:spacing w:val="0"/>
        </w:rPr>
        <w:softHyphen/>
        <w:t>тор. Увеличили компенсацию рулей высоты и элеронов.</w:t>
      </w:r>
    </w:p>
    <w:p w14:paraId="02751A43"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Замена силовой установки потребовала использовать бронекапот (толщина брони - 4 мм), защищавший мотор и водосистему. Бронировались маслопровод, маслорадиаторы и втулка винта. Общий вес брони на само</w:t>
      </w:r>
      <w:r w:rsidRPr="00271E51">
        <w:rPr>
          <w:rFonts w:ascii="Times New Roman" w:cs="Times New Roman"/>
          <w:color w:val="000000" w:themeColor="text1"/>
          <w:spacing w:val="0"/>
        </w:rPr>
        <w:softHyphen/>
        <w:t>лете вырос до 895 кг, при этом на бронекапот мотора приходилось 295 кг брони, на кабину летчика - 382 кг, на кабину воздушного стрел</w:t>
      </w:r>
      <w:r w:rsidRPr="00271E51">
        <w:rPr>
          <w:rFonts w:ascii="Times New Roman" w:cs="Times New Roman"/>
          <w:color w:val="000000" w:themeColor="text1"/>
          <w:spacing w:val="0"/>
        </w:rPr>
        <w:softHyphen/>
        <w:t>ка - 200 кг. Однако уровень защищенности са</w:t>
      </w:r>
      <w:r w:rsidRPr="00271E51">
        <w:rPr>
          <w:rFonts w:ascii="Times New Roman" w:cs="Times New Roman"/>
          <w:color w:val="000000" w:themeColor="text1"/>
          <w:spacing w:val="0"/>
        </w:rPr>
        <w:softHyphen/>
        <w:t>молета заметного прироста не получил. В то же время летчики НИИ ВВС в своих оценках «обновленного» Су-6 отмечали, что по срав</w:t>
      </w:r>
      <w:r w:rsidRPr="00271E51">
        <w:rPr>
          <w:rFonts w:ascii="Times New Roman" w:cs="Times New Roman"/>
          <w:color w:val="000000" w:themeColor="text1"/>
          <w:spacing w:val="0"/>
        </w:rPr>
        <w:softHyphen/>
        <w:t>нению с самолетом Ил-10 он имел худшую управляемость, оказался сложен в пилотиро</w:t>
      </w:r>
      <w:r w:rsidRPr="00271E51">
        <w:rPr>
          <w:rFonts w:ascii="Times New Roman" w:cs="Times New Roman"/>
          <w:color w:val="000000" w:themeColor="text1"/>
          <w:spacing w:val="0"/>
        </w:rPr>
        <w:softHyphen/>
        <w:t>вании (главным образом, на взлете и посадке) и обладал более низкими летными данными (17478).</w:t>
      </w:r>
    </w:p>
    <w:p w14:paraId="617D32D0"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1F3247F9" w14:textId="77777777" w:rsidR="00D63EBE" w:rsidRPr="00271E51" w:rsidRDefault="00D63EBE" w:rsidP="00271E51">
      <w:pPr>
        <w:pStyle w:val="121"/>
        <w:shd w:val="clear" w:color="auto" w:fill="auto"/>
        <w:spacing w:line="240" w:lineRule="auto"/>
        <w:jc w:val="both"/>
        <w:rPr>
          <w:rFonts w:ascii="Times New Roman" w:hAnsi="Times New Roman" w:cs="Times New Roman"/>
          <w:b w:val="0"/>
          <w:bCs w:val="0"/>
          <w:color w:val="0070C0"/>
          <w:sz w:val="16"/>
          <w:szCs w:val="16"/>
        </w:rPr>
      </w:pPr>
      <w:r w:rsidRPr="00271E51">
        <w:rPr>
          <w:rStyle w:val="128pt100"/>
          <w:rFonts w:ascii="Times New Roman" w:hAnsi="Times New Roman" w:cs="Times New Roman"/>
          <w:b w:val="0"/>
          <w:bCs w:val="0"/>
          <w:i w:val="0"/>
          <w:iCs w:val="0"/>
          <w:color w:val="0070C0"/>
        </w:rPr>
        <w:t>7 декабря 1943, понимая, что с мотором АМ-42 само</w:t>
      </w:r>
      <w:r w:rsidRPr="00271E51">
        <w:rPr>
          <w:rStyle w:val="128pt100"/>
          <w:rFonts w:ascii="Times New Roman" w:hAnsi="Times New Roman" w:cs="Times New Roman"/>
          <w:b w:val="0"/>
          <w:bCs w:val="0"/>
          <w:i w:val="0"/>
          <w:iCs w:val="0"/>
          <w:color w:val="0070C0"/>
        </w:rPr>
        <w:softHyphen/>
        <w:t xml:space="preserve">лет Су-6 «не получится», группа работников завода №289 как члены ВКП(б) (инженер Горбунов, инженер Баславский, инженер Мудрецов) направили письмо Сталину (копия Маленкову и Шахурину), в котором указывалось: </w:t>
      </w:r>
      <w:r w:rsidRPr="00271E51">
        <w:rPr>
          <w:rStyle w:val="128pt100"/>
          <w:rFonts w:ascii="Times New Roman" w:hAnsi="Times New Roman" w:cs="Times New Roman"/>
          <w:b w:val="0"/>
          <w:bCs w:val="0"/>
          <w:color w:val="0070C0"/>
        </w:rPr>
        <w:t>«</w:t>
      </w:r>
      <w:r w:rsidRPr="00271E51">
        <w:rPr>
          <w:rFonts w:ascii="Times New Roman" w:hAnsi="Times New Roman" w:cs="Times New Roman"/>
          <w:b w:val="0"/>
          <w:bCs w:val="0"/>
          <w:color w:val="0070C0"/>
          <w:sz w:val="16"/>
          <w:szCs w:val="16"/>
        </w:rPr>
        <w:t>Коллек</w:t>
      </w:r>
      <w:r w:rsidRPr="00271E51">
        <w:rPr>
          <w:rFonts w:ascii="Times New Roman" w:hAnsi="Times New Roman" w:cs="Times New Roman"/>
          <w:b w:val="0"/>
          <w:bCs w:val="0"/>
          <w:color w:val="0070C0"/>
          <w:sz w:val="16"/>
          <w:szCs w:val="16"/>
        </w:rPr>
        <w:softHyphen/>
        <w:t>тив работников завода №289 во главе с главным конструктором завода тов. Су</w:t>
      </w:r>
      <w:r w:rsidRPr="00271E51">
        <w:rPr>
          <w:rFonts w:ascii="Times New Roman" w:hAnsi="Times New Roman" w:cs="Times New Roman"/>
          <w:b w:val="0"/>
          <w:bCs w:val="0"/>
          <w:color w:val="0070C0"/>
          <w:sz w:val="16"/>
          <w:szCs w:val="16"/>
        </w:rPr>
        <w:softHyphen/>
        <w:t>хим по заданию Правительства спроек</w:t>
      </w:r>
      <w:r w:rsidRPr="00271E51">
        <w:rPr>
          <w:rFonts w:ascii="Times New Roman" w:hAnsi="Times New Roman" w:cs="Times New Roman"/>
          <w:b w:val="0"/>
          <w:bCs w:val="0"/>
          <w:color w:val="0070C0"/>
          <w:sz w:val="16"/>
          <w:szCs w:val="16"/>
        </w:rPr>
        <w:softHyphen/>
        <w:t>тировал, построил и испытал самолет Су-6 в двухместном варианте с мотором М-71. На государственных испытаниях са</w:t>
      </w:r>
      <w:r w:rsidRPr="00271E51">
        <w:rPr>
          <w:rFonts w:ascii="Times New Roman" w:hAnsi="Times New Roman" w:cs="Times New Roman"/>
          <w:b w:val="0"/>
          <w:bCs w:val="0"/>
          <w:color w:val="0070C0"/>
          <w:sz w:val="16"/>
          <w:szCs w:val="16"/>
        </w:rPr>
        <w:softHyphen/>
        <w:t>молет Су-6 получил хорошую оценку, а в заключении по отчету ВВС КА ставит во</w:t>
      </w:r>
      <w:r w:rsidRPr="00271E51">
        <w:rPr>
          <w:rFonts w:ascii="Times New Roman" w:hAnsi="Times New Roman" w:cs="Times New Roman"/>
          <w:b w:val="0"/>
          <w:bCs w:val="0"/>
          <w:color w:val="0070C0"/>
          <w:sz w:val="16"/>
          <w:szCs w:val="16"/>
        </w:rPr>
        <w:softHyphen/>
        <w:t>прос о внедрении самолета в серию./.../ Данные самолета и заключение ВВС КА по самолету говорят за необходимость ско</w:t>
      </w:r>
      <w:r w:rsidRPr="00271E51">
        <w:rPr>
          <w:rFonts w:ascii="Times New Roman" w:hAnsi="Times New Roman" w:cs="Times New Roman"/>
          <w:b w:val="0"/>
          <w:bCs w:val="0"/>
          <w:color w:val="0070C0"/>
          <w:sz w:val="16"/>
          <w:szCs w:val="16"/>
        </w:rPr>
        <w:softHyphen/>
        <w:t>рейшего внедрения самолета Су-6 с мото</w:t>
      </w:r>
      <w:r w:rsidRPr="00271E51">
        <w:rPr>
          <w:rFonts w:ascii="Times New Roman" w:hAnsi="Times New Roman" w:cs="Times New Roman"/>
          <w:b w:val="0"/>
          <w:bCs w:val="0"/>
          <w:color w:val="0070C0"/>
          <w:sz w:val="16"/>
          <w:szCs w:val="16"/>
        </w:rPr>
        <w:softHyphen/>
        <w:t>ром М-71 в серию. Но вопрос о внедрении самолета Су-6 в серию не решается. Сей</w:t>
      </w:r>
      <w:r w:rsidRPr="00271E51">
        <w:rPr>
          <w:rFonts w:ascii="Times New Roman" w:hAnsi="Times New Roman" w:cs="Times New Roman"/>
          <w:b w:val="0"/>
          <w:bCs w:val="0"/>
          <w:color w:val="0070C0"/>
          <w:sz w:val="16"/>
          <w:szCs w:val="16"/>
        </w:rPr>
        <w:softHyphen/>
        <w:t>час предложено НКАПом заменить на са</w:t>
      </w:r>
      <w:r w:rsidRPr="00271E51">
        <w:rPr>
          <w:rFonts w:ascii="Times New Roman" w:hAnsi="Times New Roman" w:cs="Times New Roman"/>
          <w:b w:val="0"/>
          <w:bCs w:val="0"/>
          <w:color w:val="0070C0"/>
          <w:sz w:val="16"/>
          <w:szCs w:val="16"/>
        </w:rPr>
        <w:softHyphen/>
        <w:t>молете Су-6 мотор М-71 на мотор АМ-42. Самолет Су-6 с мотором М-71 - это са</w:t>
      </w:r>
      <w:r w:rsidRPr="00271E51">
        <w:rPr>
          <w:rFonts w:ascii="Times New Roman" w:hAnsi="Times New Roman" w:cs="Times New Roman"/>
          <w:b w:val="0"/>
          <w:bCs w:val="0"/>
          <w:color w:val="0070C0"/>
          <w:sz w:val="16"/>
          <w:szCs w:val="16"/>
        </w:rPr>
        <w:softHyphen/>
        <w:t>молет «сегодняшнего» дня, а с мотором АМ-42 - это самолет «вчерашнего дня», т.е. уже пройденный этап, а это не ло</w:t>
      </w:r>
      <w:r w:rsidRPr="00271E51">
        <w:rPr>
          <w:rFonts w:ascii="Times New Roman" w:hAnsi="Times New Roman" w:cs="Times New Roman"/>
          <w:b w:val="0"/>
          <w:bCs w:val="0"/>
          <w:color w:val="0070C0"/>
          <w:sz w:val="16"/>
          <w:szCs w:val="16"/>
        </w:rPr>
        <w:softHyphen/>
        <w:t>гично, да и неправильно отказываться от лучшего и желать худшего. Убеди</w:t>
      </w:r>
      <w:r w:rsidRPr="00271E51">
        <w:rPr>
          <w:rFonts w:ascii="Times New Roman" w:hAnsi="Times New Roman" w:cs="Times New Roman"/>
          <w:b w:val="0"/>
          <w:bCs w:val="0"/>
          <w:color w:val="0070C0"/>
          <w:sz w:val="16"/>
          <w:szCs w:val="16"/>
        </w:rPr>
        <w:softHyphen/>
        <w:t>тельно просим, Иосиф Виссарионович, по</w:t>
      </w:r>
      <w:r w:rsidRPr="00271E51">
        <w:rPr>
          <w:rFonts w:ascii="Times New Roman" w:hAnsi="Times New Roman" w:cs="Times New Roman"/>
          <w:b w:val="0"/>
          <w:bCs w:val="0"/>
          <w:color w:val="0070C0"/>
          <w:sz w:val="16"/>
          <w:szCs w:val="16"/>
        </w:rPr>
        <w:softHyphen/>
        <w:t>влиять на ход решения о запуске в серию самолета Су-6 с мотором М-71. Наш кол</w:t>
      </w:r>
      <w:r w:rsidRPr="00271E51">
        <w:rPr>
          <w:rFonts w:ascii="Times New Roman" w:hAnsi="Times New Roman" w:cs="Times New Roman"/>
          <w:b w:val="0"/>
          <w:bCs w:val="0"/>
          <w:color w:val="0070C0"/>
          <w:sz w:val="16"/>
          <w:szCs w:val="16"/>
        </w:rPr>
        <w:softHyphen/>
        <w:t>лектив с усердием и добросовестностью выполнил решение Правительства - со</w:t>
      </w:r>
      <w:r w:rsidRPr="00271E51">
        <w:rPr>
          <w:rFonts w:ascii="Times New Roman" w:hAnsi="Times New Roman" w:cs="Times New Roman"/>
          <w:b w:val="0"/>
          <w:bCs w:val="0"/>
          <w:color w:val="0070C0"/>
          <w:sz w:val="16"/>
          <w:szCs w:val="16"/>
        </w:rPr>
        <w:softHyphen/>
        <w:t>здал хороший самолет. Решение Прави</w:t>
      </w:r>
      <w:r w:rsidRPr="00271E51">
        <w:rPr>
          <w:rFonts w:ascii="Times New Roman" w:hAnsi="Times New Roman" w:cs="Times New Roman"/>
          <w:b w:val="0"/>
          <w:bCs w:val="0"/>
          <w:color w:val="0070C0"/>
          <w:sz w:val="16"/>
          <w:szCs w:val="16"/>
        </w:rPr>
        <w:softHyphen/>
        <w:t>тельства о запуске в серию самолета Су-6 с мотором М-71 будет являться:</w:t>
      </w:r>
    </w:p>
    <w:p w14:paraId="66FFCDD8" w14:textId="77777777" w:rsidR="00D63EBE" w:rsidRPr="00271E51" w:rsidRDefault="00D63EBE" w:rsidP="00271E51">
      <w:pPr>
        <w:pStyle w:val="121"/>
        <w:shd w:val="clear" w:color="auto" w:fill="auto"/>
        <w:tabs>
          <w:tab w:val="left" w:pos="477"/>
        </w:tabs>
        <w:spacing w:line="240" w:lineRule="auto"/>
        <w:jc w:val="both"/>
        <w:rPr>
          <w:rFonts w:ascii="Times New Roman" w:hAnsi="Times New Roman" w:cs="Times New Roman"/>
          <w:b w:val="0"/>
          <w:bCs w:val="0"/>
          <w:color w:val="0070C0"/>
          <w:sz w:val="16"/>
          <w:szCs w:val="16"/>
        </w:rPr>
      </w:pPr>
      <w:r w:rsidRPr="00271E51">
        <w:rPr>
          <w:rFonts w:ascii="Times New Roman" w:hAnsi="Times New Roman" w:cs="Times New Roman"/>
          <w:b w:val="0"/>
          <w:bCs w:val="0"/>
          <w:color w:val="0070C0"/>
          <w:sz w:val="16"/>
          <w:szCs w:val="16"/>
        </w:rPr>
        <w:t>1. Усилением мощи Военно-Воздушных Сил Красной Армии.</w:t>
      </w:r>
    </w:p>
    <w:p w14:paraId="7E88CA5E" w14:textId="77777777" w:rsidR="00D63EBE" w:rsidRPr="00271E51" w:rsidRDefault="00D63EBE" w:rsidP="00271E51">
      <w:pPr>
        <w:pStyle w:val="121"/>
        <w:shd w:val="clear" w:color="auto" w:fill="auto"/>
        <w:tabs>
          <w:tab w:val="left" w:pos="458"/>
        </w:tabs>
        <w:spacing w:line="240" w:lineRule="auto"/>
        <w:jc w:val="both"/>
        <w:rPr>
          <w:rFonts w:ascii="Times New Roman" w:hAnsi="Times New Roman" w:cs="Times New Roman"/>
          <w:b w:val="0"/>
          <w:bCs w:val="0"/>
          <w:color w:val="0070C0"/>
          <w:sz w:val="16"/>
          <w:szCs w:val="16"/>
        </w:rPr>
      </w:pPr>
      <w:r w:rsidRPr="00271E51">
        <w:rPr>
          <w:rFonts w:ascii="Times New Roman" w:hAnsi="Times New Roman" w:cs="Times New Roman"/>
          <w:b w:val="0"/>
          <w:bCs w:val="0"/>
          <w:color w:val="0070C0"/>
          <w:sz w:val="16"/>
          <w:szCs w:val="16"/>
        </w:rPr>
        <w:t>2. Дополнительным показателем на</w:t>
      </w:r>
      <w:r w:rsidRPr="00271E51">
        <w:rPr>
          <w:rFonts w:ascii="Times New Roman" w:hAnsi="Times New Roman" w:cs="Times New Roman"/>
          <w:b w:val="0"/>
          <w:bCs w:val="0"/>
          <w:color w:val="0070C0"/>
          <w:sz w:val="16"/>
          <w:szCs w:val="16"/>
        </w:rPr>
        <w:softHyphen/>
        <w:t>ших неисчерпаемых возможностей и спо</w:t>
      </w:r>
      <w:r w:rsidRPr="00271E51">
        <w:rPr>
          <w:rFonts w:ascii="Times New Roman" w:hAnsi="Times New Roman" w:cs="Times New Roman"/>
          <w:b w:val="0"/>
          <w:bCs w:val="0"/>
          <w:color w:val="0070C0"/>
          <w:sz w:val="16"/>
          <w:szCs w:val="16"/>
        </w:rPr>
        <w:softHyphen/>
        <w:t>собностей.</w:t>
      </w:r>
    </w:p>
    <w:p w14:paraId="60C87A13" w14:textId="77777777" w:rsidR="00D63EBE" w:rsidRPr="00271E51" w:rsidRDefault="00D63EBE" w:rsidP="00271E51">
      <w:pPr>
        <w:pStyle w:val="121"/>
        <w:shd w:val="clear" w:color="auto" w:fill="auto"/>
        <w:tabs>
          <w:tab w:val="left" w:pos="447"/>
        </w:tabs>
        <w:spacing w:line="240" w:lineRule="auto"/>
        <w:jc w:val="both"/>
        <w:rPr>
          <w:rFonts w:ascii="Times New Roman" w:hAnsi="Times New Roman" w:cs="Times New Roman"/>
          <w:b w:val="0"/>
          <w:bCs w:val="0"/>
          <w:color w:val="0070C0"/>
          <w:sz w:val="16"/>
          <w:szCs w:val="16"/>
        </w:rPr>
      </w:pPr>
      <w:r w:rsidRPr="00271E51">
        <w:rPr>
          <w:rFonts w:ascii="Times New Roman" w:hAnsi="Times New Roman" w:cs="Times New Roman"/>
          <w:b w:val="0"/>
          <w:bCs w:val="0"/>
          <w:color w:val="0070C0"/>
          <w:sz w:val="16"/>
          <w:szCs w:val="16"/>
        </w:rPr>
        <w:t>3. Движением техники вперед, - от «вчерашнего» самолета Ил-2 - к «сегод</w:t>
      </w:r>
      <w:r w:rsidRPr="00271E51">
        <w:rPr>
          <w:rFonts w:ascii="Times New Roman" w:hAnsi="Times New Roman" w:cs="Times New Roman"/>
          <w:b w:val="0"/>
          <w:bCs w:val="0"/>
          <w:color w:val="0070C0"/>
          <w:sz w:val="16"/>
          <w:szCs w:val="16"/>
        </w:rPr>
        <w:softHyphen/>
        <w:t>няшнему» самолету Су-6.</w:t>
      </w:r>
    </w:p>
    <w:p w14:paraId="0600038C" w14:textId="77777777" w:rsidR="00D63EBE" w:rsidRPr="00271E51" w:rsidRDefault="00D63EBE" w:rsidP="00271E51">
      <w:pPr>
        <w:pStyle w:val="121"/>
        <w:shd w:val="clear" w:color="auto" w:fill="auto"/>
        <w:tabs>
          <w:tab w:val="left" w:pos="466"/>
        </w:tabs>
        <w:spacing w:line="240" w:lineRule="auto"/>
        <w:jc w:val="both"/>
        <w:rPr>
          <w:rFonts w:ascii="Times New Roman" w:hAnsi="Times New Roman" w:cs="Times New Roman"/>
          <w:b w:val="0"/>
          <w:bCs w:val="0"/>
          <w:color w:val="0070C0"/>
          <w:sz w:val="16"/>
          <w:szCs w:val="16"/>
        </w:rPr>
      </w:pPr>
      <w:r w:rsidRPr="00271E51">
        <w:rPr>
          <w:rFonts w:ascii="Times New Roman" w:hAnsi="Times New Roman" w:cs="Times New Roman"/>
          <w:b w:val="0"/>
          <w:bCs w:val="0"/>
          <w:color w:val="0070C0"/>
          <w:sz w:val="16"/>
          <w:szCs w:val="16"/>
        </w:rPr>
        <w:t>4. Наивысшей наградой и радостью для нашего коллектива за вложенный труд по созданию самолета Су-6».</w:t>
      </w:r>
    </w:p>
    <w:p w14:paraId="4994C0C4" w14:textId="77777777" w:rsidR="00D63EBE" w:rsidRPr="00271E51" w:rsidRDefault="00D63EBE"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Никакой реакции высоких инстанций на это письмо не последовало (19853).</w:t>
      </w:r>
    </w:p>
    <w:p w14:paraId="6AB3EDCD" w14:textId="77777777" w:rsidR="00D63EBE" w:rsidRPr="00271E51" w:rsidRDefault="00D63EBE" w:rsidP="00271E51">
      <w:pPr>
        <w:pStyle w:val="7f"/>
        <w:shd w:val="clear" w:color="auto" w:fill="auto"/>
        <w:spacing w:line="240" w:lineRule="auto"/>
        <w:ind w:firstLine="0"/>
        <w:jc w:val="both"/>
        <w:rPr>
          <w:rFonts w:ascii="Times New Roman" w:hAnsi="Times New Roman" w:cs="Times New Roman"/>
          <w:color w:val="0070C0"/>
          <w:sz w:val="16"/>
          <w:szCs w:val="16"/>
        </w:rPr>
      </w:pPr>
    </w:p>
    <w:p w14:paraId="1B13316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инженеры: С.Я. Горбунов, И.Е.Баславский и Н.Муд</w:t>
      </w:r>
      <w:r w:rsidRPr="00271E51">
        <w:rPr>
          <w:rFonts w:ascii="Times New Roman" w:hAnsi="Times New Roman"/>
          <w:color w:val="000000" w:themeColor="text1"/>
          <w:sz w:val="16"/>
          <w:szCs w:val="16"/>
        </w:rPr>
        <w:softHyphen/>
        <w:t>рецов направили Председателю ГКО И.В.Сталину письмо следующе</w:t>
      </w:r>
      <w:r w:rsidRPr="00271E51">
        <w:rPr>
          <w:rFonts w:ascii="Times New Roman" w:hAnsi="Times New Roman"/>
          <w:color w:val="000000" w:themeColor="text1"/>
          <w:sz w:val="16"/>
          <w:szCs w:val="16"/>
        </w:rPr>
        <w:softHyphen/>
        <w:t>го содержания: «Коллектив работ</w:t>
      </w:r>
      <w:r w:rsidRPr="00271E51">
        <w:rPr>
          <w:rFonts w:ascii="Times New Roman" w:hAnsi="Times New Roman"/>
          <w:color w:val="000000" w:themeColor="text1"/>
          <w:sz w:val="16"/>
          <w:szCs w:val="16"/>
        </w:rPr>
        <w:softHyphen/>
        <w:t>ников завода №289 НКАП, во гла</w:t>
      </w:r>
      <w:r w:rsidRPr="00271E51">
        <w:rPr>
          <w:rFonts w:ascii="Times New Roman" w:hAnsi="Times New Roman"/>
          <w:color w:val="000000" w:themeColor="text1"/>
          <w:sz w:val="16"/>
          <w:szCs w:val="16"/>
        </w:rPr>
        <w:softHyphen/>
        <w:t>ве с главным конструктором заво</w:t>
      </w:r>
      <w:r w:rsidRPr="00271E51">
        <w:rPr>
          <w:rFonts w:ascii="Times New Roman" w:hAnsi="Times New Roman"/>
          <w:color w:val="000000" w:themeColor="text1"/>
          <w:sz w:val="16"/>
          <w:szCs w:val="16"/>
        </w:rPr>
        <w:softHyphen/>
        <w:t>да тов. Сухим, по заданию Прави</w:t>
      </w:r>
      <w:r w:rsidRPr="00271E51">
        <w:rPr>
          <w:rFonts w:ascii="Times New Roman" w:hAnsi="Times New Roman"/>
          <w:color w:val="000000" w:themeColor="text1"/>
          <w:sz w:val="16"/>
          <w:szCs w:val="16"/>
        </w:rPr>
        <w:softHyphen/>
        <w:t>тельства, спроектировал, построил и испытал самолет Су-6 в двухмес</w:t>
      </w:r>
      <w:r w:rsidRPr="00271E51">
        <w:rPr>
          <w:rFonts w:ascii="Times New Roman" w:hAnsi="Times New Roman"/>
          <w:color w:val="000000" w:themeColor="text1"/>
          <w:sz w:val="16"/>
          <w:szCs w:val="16"/>
        </w:rPr>
        <w:softHyphen/>
        <w:t>тном варианте с мотором М-71.</w:t>
      </w:r>
    </w:p>
    <w:p w14:paraId="4A5C07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государственных испытаниях самолет Су-6 получил хорошую оценку, а в заключении по отчету ВВС КА ставит вопрос о внедре</w:t>
      </w:r>
      <w:r w:rsidRPr="00271E51">
        <w:rPr>
          <w:rFonts w:ascii="Times New Roman" w:hAnsi="Times New Roman"/>
          <w:color w:val="000000" w:themeColor="text1"/>
          <w:sz w:val="16"/>
          <w:szCs w:val="16"/>
        </w:rPr>
        <w:softHyphen/>
        <w:t>нии самолета в серию.</w:t>
      </w:r>
    </w:p>
    <w:p w14:paraId="479C73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данные самоле</w:t>
      </w:r>
      <w:r w:rsidRPr="00271E51">
        <w:rPr>
          <w:rFonts w:ascii="Times New Roman" w:hAnsi="Times New Roman"/>
          <w:color w:val="000000" w:themeColor="text1"/>
          <w:sz w:val="16"/>
          <w:szCs w:val="16"/>
        </w:rPr>
        <w:softHyphen/>
        <w:t>та Су-6 и Ил-2 следующие:</w:t>
      </w:r>
    </w:p>
    <w:p w14:paraId="57F812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у земли у Су-6 боль</w:t>
      </w:r>
      <w:r w:rsidRPr="00271E51">
        <w:rPr>
          <w:rFonts w:ascii="Times New Roman" w:hAnsi="Times New Roman"/>
          <w:color w:val="000000" w:themeColor="text1"/>
          <w:sz w:val="16"/>
          <w:szCs w:val="16"/>
        </w:rPr>
        <w:softHyphen/>
        <w:t>ше на 107 км/ч, чем у Ил-2</w:t>
      </w:r>
    </w:p>
    <w:p w14:paraId="62EB57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на высоте 4000 м больше на 146 км/ч, чем у Ил-2</w:t>
      </w:r>
    </w:p>
    <w:p w14:paraId="799BD0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больше на 2500 м, чем у Ил-2</w:t>
      </w:r>
    </w:p>
    <w:p w14:paraId="698BD9C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больше на 353 км, чем у Ил-2</w:t>
      </w:r>
    </w:p>
    <w:p w14:paraId="352D86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 самолета и заключение ВВС КА по самолету говорят за необходимость скорейшего внедре</w:t>
      </w:r>
      <w:r w:rsidRPr="00271E51">
        <w:rPr>
          <w:rFonts w:ascii="Times New Roman" w:hAnsi="Times New Roman"/>
          <w:color w:val="000000" w:themeColor="text1"/>
          <w:sz w:val="16"/>
          <w:szCs w:val="16"/>
        </w:rPr>
        <w:softHyphen/>
        <w:t>ния самолета Су-6 с мотором М-71 в серию. Но вопрос о внедрении самолета Су-6 в серию не решает</w:t>
      </w:r>
      <w:r w:rsidRPr="00271E51">
        <w:rPr>
          <w:rFonts w:ascii="Times New Roman" w:hAnsi="Times New Roman"/>
          <w:color w:val="000000" w:themeColor="text1"/>
          <w:sz w:val="16"/>
          <w:szCs w:val="16"/>
        </w:rPr>
        <w:softHyphen/>
        <w:t>ся.</w:t>
      </w:r>
    </w:p>
    <w:p w14:paraId="2E84F8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Сейчас предложено НКАПом заменить на самолете Су-6 мотор М-71 на мотор АМ-42.</w:t>
      </w:r>
    </w:p>
    <w:p w14:paraId="3E2B30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Су-6 с мотором М-71 - это самолет «сегодняшнего дня», а с мотором АМ-42 - это самолет «вчерашнего дня», т.е. уже пройден</w:t>
      </w:r>
      <w:r w:rsidRPr="00271E51">
        <w:rPr>
          <w:rFonts w:ascii="Times New Roman" w:hAnsi="Times New Roman"/>
          <w:color w:val="000000" w:themeColor="text1"/>
          <w:sz w:val="16"/>
          <w:szCs w:val="16"/>
        </w:rPr>
        <w:softHyphen/>
        <w:t>ный этап, а это не логично, да и не правильно отказываться от лучше</w:t>
      </w:r>
      <w:r w:rsidRPr="00271E51">
        <w:rPr>
          <w:rFonts w:ascii="Times New Roman" w:hAnsi="Times New Roman"/>
          <w:color w:val="000000" w:themeColor="text1"/>
          <w:sz w:val="16"/>
          <w:szCs w:val="16"/>
        </w:rPr>
        <w:softHyphen/>
        <w:t>го и желать худшего.</w:t>
      </w:r>
    </w:p>
    <w:p w14:paraId="19F56A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Убедительно Вое просим, Иосиф Виссарионович, повлиять на ход решения о запуске в серию само</w:t>
      </w:r>
      <w:r w:rsidRPr="00271E51">
        <w:rPr>
          <w:rFonts w:ascii="Times New Roman" w:hAnsi="Times New Roman"/>
          <w:color w:val="000000" w:themeColor="text1"/>
          <w:sz w:val="16"/>
          <w:szCs w:val="16"/>
        </w:rPr>
        <w:softHyphen/>
        <w:t>лета Су-6 с мотором М-71.</w:t>
      </w:r>
    </w:p>
    <w:p w14:paraId="76FFCA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 коллектив с усердием и добросовестностью выполнил ре</w:t>
      </w:r>
      <w:r w:rsidRPr="00271E51">
        <w:rPr>
          <w:rFonts w:ascii="Times New Roman" w:hAnsi="Times New Roman"/>
          <w:color w:val="000000" w:themeColor="text1"/>
          <w:sz w:val="16"/>
          <w:szCs w:val="16"/>
        </w:rPr>
        <w:softHyphen/>
        <w:t>шение Правительства - создал хо</w:t>
      </w:r>
      <w:r w:rsidRPr="00271E51">
        <w:rPr>
          <w:rFonts w:ascii="Times New Roman" w:hAnsi="Times New Roman"/>
          <w:color w:val="000000" w:themeColor="text1"/>
          <w:sz w:val="16"/>
          <w:szCs w:val="16"/>
        </w:rPr>
        <w:softHyphen/>
        <w:t>роший самолет.</w:t>
      </w:r>
    </w:p>
    <w:p w14:paraId="4DF776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Решение Правительства о запус</w:t>
      </w:r>
      <w:r w:rsidRPr="00271E51">
        <w:rPr>
          <w:rFonts w:ascii="Times New Roman" w:hAnsi="Times New Roman"/>
          <w:color w:val="000000" w:themeColor="text1"/>
          <w:sz w:val="16"/>
          <w:szCs w:val="16"/>
        </w:rPr>
        <w:softHyphen/>
        <w:t>ке в серию самолето Су-6 с мото</w:t>
      </w:r>
      <w:r w:rsidRPr="00271E51">
        <w:rPr>
          <w:rFonts w:ascii="Times New Roman" w:hAnsi="Times New Roman"/>
          <w:color w:val="000000" w:themeColor="text1"/>
          <w:sz w:val="16"/>
          <w:szCs w:val="16"/>
        </w:rPr>
        <w:softHyphen/>
        <w:t>ром М-71 будет являться:</w:t>
      </w:r>
    </w:p>
    <w:p w14:paraId="29923F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Усилением мощи Военно-Воз-душных Сил Красной Армии.</w:t>
      </w:r>
    </w:p>
    <w:p w14:paraId="6A9E80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Дополнительным показателем наших неисчерпаемых возможнос</w:t>
      </w:r>
      <w:r w:rsidRPr="00271E51">
        <w:rPr>
          <w:rFonts w:ascii="Times New Roman" w:hAnsi="Times New Roman"/>
          <w:color w:val="000000" w:themeColor="text1"/>
          <w:sz w:val="16"/>
          <w:szCs w:val="16"/>
        </w:rPr>
        <w:softHyphen/>
        <w:t>тей и способностей.</w:t>
      </w:r>
    </w:p>
    <w:p w14:paraId="5DB02B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Движением техники вперед -от «вчерашнего» самолета Ил-2 к «сегодняшнему» самолету Су-6.</w:t>
      </w:r>
    </w:p>
    <w:p w14:paraId="4A800B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Наивысшей наградой и радо</w:t>
      </w:r>
      <w:r w:rsidRPr="00271E51">
        <w:rPr>
          <w:rFonts w:ascii="Times New Roman" w:hAnsi="Times New Roman"/>
          <w:color w:val="000000" w:themeColor="text1"/>
          <w:sz w:val="16"/>
          <w:szCs w:val="16"/>
        </w:rPr>
        <w:softHyphen/>
        <w:t>стью для нашего коллектива за вложенный труд по созданию са</w:t>
      </w:r>
      <w:r w:rsidRPr="00271E51">
        <w:rPr>
          <w:rFonts w:ascii="Times New Roman" w:hAnsi="Times New Roman"/>
          <w:color w:val="000000" w:themeColor="text1"/>
          <w:sz w:val="16"/>
          <w:szCs w:val="16"/>
        </w:rPr>
        <w:softHyphen/>
        <w:t>молета Су-6».</w:t>
      </w:r>
    </w:p>
    <w:p w14:paraId="2D332D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Письма аналогичного содержа</w:t>
      </w:r>
      <w:r w:rsidRPr="00271E51">
        <w:rPr>
          <w:rFonts w:ascii="Times New Roman" w:hAnsi="Times New Roman"/>
          <w:color w:val="000000" w:themeColor="text1"/>
          <w:sz w:val="16"/>
          <w:szCs w:val="16"/>
        </w:rPr>
        <w:softHyphen/>
        <w:t>ния были направлены в ЦК ВКП(б) -Г.М.Маленкову и в НКАП - А.И.Ша-хурину. Ответа не последовало (11845).</w:t>
      </w:r>
    </w:p>
    <w:p w14:paraId="1F76EE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66C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в связи с решением об установ</w:t>
      </w:r>
      <w:r w:rsidRPr="00271E51">
        <w:rPr>
          <w:rFonts w:ascii="Times New Roman" w:hAnsi="Times New Roman"/>
          <w:color w:val="000000" w:themeColor="text1"/>
          <w:sz w:val="16"/>
          <w:szCs w:val="16"/>
        </w:rPr>
        <w:softHyphen/>
        <w:t>ке на Су-6 мотора АМ-42 группа ведущих исполнителей по самолету (инженеры завода № 289 Горбунов, Баславский, Мудрецов) обратились с письмом на имя И. В. Сталина, Г. М Маленкова и А. И. Шахурина, в котором указывали, что: "...Самолет "Су-6" с мотором М-71 -это самолет "сегодняшнего дня", а с мотором АМ-42 ~ это самолет "вче</w:t>
      </w:r>
      <w:r w:rsidRPr="00271E51">
        <w:rPr>
          <w:rFonts w:ascii="Times New Roman" w:hAnsi="Times New Roman"/>
          <w:color w:val="000000" w:themeColor="text1"/>
          <w:sz w:val="16"/>
          <w:szCs w:val="16"/>
        </w:rPr>
        <w:softHyphen/>
        <w:t>рашнего дня", т.е. уже пройденный этап, а это не логично, да и непра</w:t>
      </w:r>
      <w:r w:rsidRPr="00271E51">
        <w:rPr>
          <w:rFonts w:ascii="Times New Roman" w:hAnsi="Times New Roman"/>
          <w:color w:val="000000" w:themeColor="text1"/>
          <w:sz w:val="16"/>
          <w:szCs w:val="16"/>
        </w:rPr>
        <w:softHyphen/>
        <w:t>вильно отказываться от лучшего и желать худшего". Никакой реакции высоких инстанций на это письмо не последовало.</w:t>
      </w:r>
    </w:p>
    <w:p w14:paraId="616C56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 временем, определившись состратегией выживания и заручившись поддержкой наркомата, С. В. Илью</w:t>
      </w:r>
      <w:r w:rsidRPr="00271E51">
        <w:rPr>
          <w:rFonts w:ascii="Times New Roman" w:hAnsi="Times New Roman"/>
          <w:color w:val="000000" w:themeColor="text1"/>
          <w:sz w:val="16"/>
          <w:szCs w:val="16"/>
        </w:rPr>
        <w:softHyphen/>
        <w:t>шин с присущей ему энергией при</w:t>
      </w:r>
      <w:r w:rsidRPr="00271E51">
        <w:rPr>
          <w:rFonts w:ascii="Times New Roman" w:hAnsi="Times New Roman"/>
          <w:color w:val="000000" w:themeColor="text1"/>
          <w:sz w:val="16"/>
          <w:szCs w:val="16"/>
        </w:rPr>
        <w:softHyphen/>
        <w:t>ступил к реализации задуманного.</w:t>
      </w:r>
    </w:p>
    <w:p w14:paraId="14318A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куйбышевском авиазаводе № 18 форсировались работы по пост</w:t>
      </w:r>
      <w:r w:rsidRPr="00271E51">
        <w:rPr>
          <w:rFonts w:ascii="Times New Roman" w:hAnsi="Times New Roman"/>
          <w:color w:val="000000" w:themeColor="text1"/>
          <w:sz w:val="16"/>
          <w:szCs w:val="16"/>
        </w:rPr>
        <w:softHyphen/>
        <w:t>ройке двух экземпляров двухместно</w:t>
      </w:r>
      <w:r w:rsidRPr="00271E51">
        <w:rPr>
          <w:rFonts w:ascii="Times New Roman" w:hAnsi="Times New Roman"/>
          <w:color w:val="000000" w:themeColor="text1"/>
          <w:sz w:val="16"/>
          <w:szCs w:val="16"/>
        </w:rPr>
        <w:softHyphen/>
        <w:t>го Ил-1 и одного комплекта агрега</w:t>
      </w:r>
      <w:r w:rsidRPr="00271E51">
        <w:rPr>
          <w:rFonts w:ascii="Times New Roman" w:hAnsi="Times New Roman"/>
          <w:color w:val="000000" w:themeColor="text1"/>
          <w:sz w:val="16"/>
          <w:szCs w:val="16"/>
        </w:rPr>
        <w:softHyphen/>
        <w:t>тов для проведения статиспытаний. Вооружение самолета было ослаб</w:t>
      </w:r>
      <w:r w:rsidRPr="00271E51">
        <w:rPr>
          <w:rFonts w:ascii="Times New Roman" w:hAnsi="Times New Roman"/>
          <w:color w:val="000000" w:themeColor="text1"/>
          <w:sz w:val="16"/>
          <w:szCs w:val="16"/>
        </w:rPr>
        <w:softHyphen/>
        <w:t>лено. "Вместо ранее предполагав</w:t>
      </w:r>
      <w:r w:rsidRPr="00271E51">
        <w:rPr>
          <w:rFonts w:ascii="Times New Roman" w:hAnsi="Times New Roman"/>
          <w:color w:val="000000" w:themeColor="text1"/>
          <w:sz w:val="16"/>
          <w:szCs w:val="16"/>
        </w:rPr>
        <w:softHyphen/>
        <w:t>шихся двух пушек калибра 37 мм и двух пушек калибра 20 мм" на са</w:t>
      </w:r>
      <w:r w:rsidRPr="00271E51">
        <w:rPr>
          <w:rFonts w:ascii="Times New Roman" w:hAnsi="Times New Roman"/>
          <w:color w:val="000000" w:themeColor="text1"/>
          <w:sz w:val="16"/>
          <w:szCs w:val="16"/>
        </w:rPr>
        <w:softHyphen/>
        <w:t xml:space="preserve">молете было решено установить две пушки ВЯ-23 и два пулемета ШКАС, а "вместо четырех бомбоотсеков" — смонтировать два бомбоотсека в центропланной части крыла и два </w:t>
      </w:r>
      <w:r w:rsidRPr="00271E51">
        <w:rPr>
          <w:rFonts w:ascii="Times New Roman" w:hAnsi="Times New Roman"/>
          <w:color w:val="000000" w:themeColor="text1"/>
          <w:sz w:val="16"/>
          <w:szCs w:val="16"/>
        </w:rPr>
        <w:lastRenderedPageBreak/>
        <w:t>внешних бомбодержателя ДЗ-42. Ракетное вооружение включало че</w:t>
      </w:r>
      <w:r w:rsidRPr="00271E51">
        <w:rPr>
          <w:rFonts w:ascii="Times New Roman" w:hAnsi="Times New Roman"/>
          <w:color w:val="000000" w:themeColor="text1"/>
          <w:sz w:val="16"/>
          <w:szCs w:val="16"/>
        </w:rPr>
        <w:softHyphen/>
        <w:t>тыре РО-82. Одновременно с целью экономии времени с самолета С-42, на котором из-за отсутствия свобод</w:t>
      </w:r>
      <w:r w:rsidRPr="00271E51">
        <w:rPr>
          <w:rFonts w:ascii="Times New Roman" w:hAnsi="Times New Roman"/>
          <w:color w:val="000000" w:themeColor="text1"/>
          <w:sz w:val="16"/>
          <w:szCs w:val="16"/>
        </w:rPr>
        <w:softHyphen/>
        <w:t>ного мотора АМ-42 временно поста</w:t>
      </w:r>
      <w:r w:rsidRPr="00271E51">
        <w:rPr>
          <w:rFonts w:ascii="Times New Roman" w:hAnsi="Times New Roman"/>
          <w:color w:val="000000" w:themeColor="text1"/>
          <w:sz w:val="16"/>
          <w:szCs w:val="16"/>
        </w:rPr>
        <w:softHyphen/>
        <w:t>вили АМ-38ф, был снят "турельный колпак задней установки"'и установ</w:t>
      </w:r>
      <w:r w:rsidRPr="00271E51">
        <w:rPr>
          <w:rFonts w:ascii="Times New Roman" w:hAnsi="Times New Roman"/>
          <w:color w:val="000000" w:themeColor="text1"/>
          <w:sz w:val="16"/>
          <w:szCs w:val="16"/>
        </w:rPr>
        <w:softHyphen/>
        <w:t>лен на двухместный Ил-1. Взамен на С-42 предполагалось смонтировать серийный фонарь и затем передать самолет на завод № 240, "где на него поставят турельный колпак". Готовность по сборке Ил-1 по со</w:t>
      </w:r>
      <w:r w:rsidRPr="00271E51">
        <w:rPr>
          <w:rFonts w:ascii="Times New Roman" w:hAnsi="Times New Roman"/>
          <w:color w:val="000000" w:themeColor="text1"/>
          <w:sz w:val="16"/>
          <w:szCs w:val="16"/>
        </w:rPr>
        <w:softHyphen/>
        <w:t>стоянию на 25 декабря оценивалась как 80%. Завод № 1 продолжал строить одноместный истребительный вариант "единички". Здесь стоит отметить, что к этому времени специалисты НИИ ВВС еще не знали, "как будет предъявляться самолет Ил-1, как штурмовик или как истребитель". Более того, "эскизные проекты самолетов Ил-1 АМ-42 ни Главному инженеру ВВС, ни началь</w:t>
      </w:r>
      <w:r w:rsidRPr="00271E51">
        <w:rPr>
          <w:rFonts w:ascii="Times New Roman" w:hAnsi="Times New Roman"/>
          <w:color w:val="000000" w:themeColor="text1"/>
          <w:sz w:val="16"/>
          <w:szCs w:val="16"/>
        </w:rPr>
        <w:softHyphen/>
        <w:t>нику НИИ ВВС не представлялись". В конце декабря Ильюшин еще толь</w:t>
      </w:r>
      <w:r w:rsidRPr="00271E51">
        <w:rPr>
          <w:rFonts w:ascii="Times New Roman" w:hAnsi="Times New Roman"/>
          <w:color w:val="000000" w:themeColor="text1"/>
          <w:sz w:val="16"/>
          <w:szCs w:val="16"/>
        </w:rPr>
        <w:softHyphen/>
        <w:t>ко "обещал выслать в ближайшие дни эскизный проект". Как следует из до</w:t>
      </w:r>
      <w:r w:rsidRPr="00271E51">
        <w:rPr>
          <w:rFonts w:ascii="Times New Roman" w:hAnsi="Times New Roman"/>
          <w:color w:val="000000" w:themeColor="text1"/>
          <w:sz w:val="16"/>
          <w:szCs w:val="16"/>
        </w:rPr>
        <w:softHyphen/>
        <w:t>кументов, эскизный проект Ил-1 АМ-42 в двухместном варианте поступил в НИИ ВВС лишь 14 марта 1944 г., когда самолет уже был закончен по сборке и находился в Москве на авиазаводе № 240 с целью дальней</w:t>
      </w:r>
      <w:r w:rsidRPr="00271E51">
        <w:rPr>
          <w:rFonts w:ascii="Times New Roman" w:hAnsi="Times New Roman"/>
          <w:color w:val="000000" w:themeColor="text1"/>
          <w:sz w:val="16"/>
          <w:szCs w:val="16"/>
        </w:rPr>
        <w:softHyphen/>
        <w:t>шей доводки и проведения испыта</w:t>
      </w:r>
      <w:r w:rsidRPr="00271E51">
        <w:rPr>
          <w:rFonts w:ascii="Times New Roman" w:hAnsi="Times New Roman"/>
          <w:color w:val="000000" w:themeColor="text1"/>
          <w:sz w:val="16"/>
          <w:szCs w:val="16"/>
        </w:rPr>
        <w:softHyphen/>
        <w:t>ний. Очевидно, что в этих условиях внесение каких-либо серьезных из</w:t>
      </w:r>
      <w:r w:rsidRPr="00271E51">
        <w:rPr>
          <w:rFonts w:ascii="Times New Roman" w:hAnsi="Times New Roman"/>
          <w:color w:val="000000" w:themeColor="text1"/>
          <w:sz w:val="16"/>
          <w:szCs w:val="16"/>
        </w:rPr>
        <w:softHyphen/>
        <w:t>менений в конструкцию машины практически исключалось. То есть получается так, что штурмовой ва</w:t>
      </w:r>
      <w:r w:rsidRPr="00271E51">
        <w:rPr>
          <w:rFonts w:ascii="Times New Roman" w:hAnsi="Times New Roman"/>
          <w:color w:val="000000" w:themeColor="text1"/>
          <w:sz w:val="16"/>
          <w:szCs w:val="16"/>
        </w:rPr>
        <w:softHyphen/>
        <w:t>риант самолета Ил-1 строился без утвержденного ВВС эскизного про</w:t>
      </w:r>
      <w:r w:rsidRPr="00271E51">
        <w:rPr>
          <w:rFonts w:ascii="Times New Roman" w:hAnsi="Times New Roman"/>
          <w:color w:val="000000" w:themeColor="text1"/>
          <w:sz w:val="16"/>
          <w:szCs w:val="16"/>
        </w:rPr>
        <w:softHyphen/>
        <w:t>екта и макета.</w:t>
      </w:r>
    </w:p>
    <w:p w14:paraId="4B977D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С. В. Ильюшин, затягивая всеми возможными спосо</w:t>
      </w:r>
      <w:r w:rsidRPr="00271E51">
        <w:rPr>
          <w:rFonts w:ascii="Times New Roman" w:hAnsi="Times New Roman"/>
          <w:color w:val="000000" w:themeColor="text1"/>
          <w:sz w:val="16"/>
          <w:szCs w:val="16"/>
        </w:rPr>
        <w:softHyphen/>
        <w:t>бами передачу в НИИ ВВС матери</w:t>
      </w:r>
      <w:r w:rsidRPr="00271E51">
        <w:rPr>
          <w:rFonts w:ascii="Times New Roman" w:hAnsi="Times New Roman"/>
          <w:color w:val="000000" w:themeColor="text1"/>
          <w:sz w:val="16"/>
          <w:szCs w:val="16"/>
        </w:rPr>
        <w:softHyphen/>
        <w:t>алов по новому штурмовику, опасал</w:t>
      </w:r>
      <w:r w:rsidRPr="00271E51">
        <w:rPr>
          <w:rFonts w:ascii="Times New Roman" w:hAnsi="Times New Roman"/>
          <w:color w:val="000000" w:themeColor="text1"/>
          <w:sz w:val="16"/>
          <w:szCs w:val="16"/>
        </w:rPr>
        <w:softHyphen/>
        <w:t>ся, что рассмотрение военными эс</w:t>
      </w:r>
      <w:r w:rsidRPr="00271E51">
        <w:rPr>
          <w:rFonts w:ascii="Times New Roman" w:hAnsi="Times New Roman"/>
          <w:color w:val="000000" w:themeColor="text1"/>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271E51">
        <w:rPr>
          <w:rFonts w:ascii="Times New Roman" w:hAnsi="Times New Roman"/>
          <w:color w:val="000000" w:themeColor="text1"/>
          <w:sz w:val="16"/>
          <w:szCs w:val="16"/>
        </w:rPr>
        <w:softHyphen/>
        <w:t>циалисты ОКБ П. О. Сухого сумеют довести Су-6 АМ-42 до требуемого уровня надежности и надобность в Ил-1 отпадет.</w:t>
      </w:r>
    </w:p>
    <w:p w14:paraId="0DC094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проек</w:t>
      </w:r>
      <w:r w:rsidRPr="00271E51">
        <w:rPr>
          <w:rFonts w:ascii="Times New Roman" w:hAnsi="Times New Roman"/>
          <w:color w:val="000000" w:themeColor="text1"/>
          <w:sz w:val="16"/>
          <w:szCs w:val="16"/>
        </w:rPr>
        <w:softHyphen/>
        <w:t>том самолета Ил-1 специалисты НИИ ВВС остались недовольны. Началь</w:t>
      </w:r>
      <w:r w:rsidRPr="00271E51">
        <w:rPr>
          <w:rFonts w:ascii="Times New Roman" w:hAnsi="Times New Roman"/>
          <w:color w:val="000000" w:themeColor="text1"/>
          <w:sz w:val="16"/>
          <w:szCs w:val="16"/>
        </w:rPr>
        <w:softHyphen/>
        <w:t>ник 4-го отделения 3-го отдела ин</w:t>
      </w:r>
      <w:r w:rsidRPr="00271E51">
        <w:rPr>
          <w:rFonts w:ascii="Times New Roman" w:hAnsi="Times New Roman"/>
          <w:color w:val="000000" w:themeColor="text1"/>
          <w:sz w:val="16"/>
          <w:szCs w:val="16"/>
        </w:rPr>
        <w:softHyphen/>
        <w:t>ститута инженер-майор В. С. Холо</w:t>
      </w:r>
      <w:r w:rsidRPr="00271E51">
        <w:rPr>
          <w:rFonts w:ascii="Times New Roman" w:hAnsi="Times New Roman"/>
          <w:color w:val="000000" w:themeColor="text1"/>
          <w:sz w:val="16"/>
          <w:szCs w:val="16"/>
        </w:rPr>
        <w:softHyphen/>
        <w:t>пов и ведущий инженер 3-го отдела инженер-майор П. Т. Аброщенко писали, что в материалах ОКБ от</w:t>
      </w:r>
      <w:r w:rsidRPr="00271E51">
        <w:rPr>
          <w:rFonts w:ascii="Times New Roman" w:hAnsi="Times New Roman"/>
          <w:color w:val="000000" w:themeColor="text1"/>
          <w:sz w:val="16"/>
          <w:szCs w:val="16"/>
        </w:rPr>
        <w:softHyphen/>
        <w:t>сутствуют: тактическое назначение самолета, описание конструкции и расчет на прочность, состав специ</w:t>
      </w:r>
      <w:r w:rsidRPr="00271E51">
        <w:rPr>
          <w:rFonts w:ascii="Times New Roman" w:hAnsi="Times New Roman"/>
          <w:color w:val="000000" w:themeColor="text1"/>
          <w:sz w:val="16"/>
          <w:szCs w:val="16"/>
        </w:rPr>
        <w:softHyphen/>
        <w:t>ального оборудования и его компо</w:t>
      </w:r>
      <w:r w:rsidRPr="00271E51">
        <w:rPr>
          <w:rFonts w:ascii="Times New Roman" w:hAnsi="Times New Roman"/>
          <w:color w:val="000000" w:themeColor="text1"/>
          <w:sz w:val="16"/>
          <w:szCs w:val="16"/>
        </w:rPr>
        <w:softHyphen/>
        <w:t>новка на самолете, а также расчеты маневренности, устойчивости и по</w:t>
      </w:r>
      <w:r w:rsidRPr="00271E51">
        <w:rPr>
          <w:rFonts w:ascii="Times New Roman" w:hAnsi="Times New Roman"/>
          <w:color w:val="000000" w:themeColor="text1"/>
          <w:sz w:val="16"/>
          <w:szCs w:val="16"/>
        </w:rPr>
        <w:softHyphen/>
        <w:t>ляры крыла. Установка на самолете системы заполнения бензобаков ней</w:t>
      </w:r>
      <w:r w:rsidRPr="00271E51">
        <w:rPr>
          <w:rFonts w:ascii="Times New Roman" w:hAnsi="Times New Roman"/>
          <w:color w:val="000000" w:themeColor="text1"/>
          <w:sz w:val="16"/>
          <w:szCs w:val="16"/>
        </w:rPr>
        <w:softHyphen/>
        <w:t>тральным газом не предполагалась. Не было предусмотрено дублирова</w:t>
      </w:r>
      <w:r w:rsidRPr="00271E51">
        <w:rPr>
          <w:rFonts w:ascii="Times New Roman" w:hAnsi="Times New Roman"/>
          <w:color w:val="000000" w:themeColor="text1"/>
          <w:sz w:val="16"/>
          <w:szCs w:val="16"/>
        </w:rPr>
        <w:softHyphen/>
        <w:t>ние в канале управления рулем вы</w:t>
      </w:r>
      <w:r w:rsidRPr="00271E51">
        <w:rPr>
          <w:rFonts w:ascii="Times New Roman" w:hAnsi="Times New Roman"/>
          <w:color w:val="000000" w:themeColor="text1"/>
          <w:sz w:val="16"/>
          <w:szCs w:val="16"/>
        </w:rPr>
        <w:softHyphen/>
        <w:t>соты и направления. Воздушный стре</w:t>
      </w:r>
      <w:r w:rsidRPr="00271E51">
        <w:rPr>
          <w:rFonts w:ascii="Times New Roman" w:hAnsi="Times New Roman"/>
          <w:color w:val="000000" w:themeColor="text1"/>
          <w:sz w:val="16"/>
          <w:szCs w:val="16"/>
        </w:rPr>
        <w:softHyphen/>
        <w:t>лок по-прежнему оставался не за</w:t>
      </w:r>
      <w:r w:rsidRPr="00271E51">
        <w:rPr>
          <w:rFonts w:ascii="Times New Roman" w:hAnsi="Times New Roman"/>
          <w:color w:val="000000" w:themeColor="text1"/>
          <w:sz w:val="16"/>
          <w:szCs w:val="16"/>
        </w:rPr>
        <w:softHyphen/>
        <w:t>щищенным от огня сверху-сзади. Все эти недостатки в начале 1 944 г. уже считались недопустимыми для само</w:t>
      </w:r>
      <w:r w:rsidRPr="00271E51">
        <w:rPr>
          <w:rFonts w:ascii="Times New Roman" w:hAnsi="Times New Roman"/>
          <w:color w:val="000000" w:themeColor="text1"/>
          <w:sz w:val="16"/>
          <w:szCs w:val="16"/>
        </w:rPr>
        <w:softHyphen/>
        <w:t>лета поля боя.</w:t>
      </w:r>
    </w:p>
    <w:p w14:paraId="3015A8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впечатлили военных и боевые возможности самолета. Вооружение Ил-1 по проекту включало две пуш</w:t>
      </w:r>
      <w:r w:rsidRPr="00271E51">
        <w:rPr>
          <w:rFonts w:ascii="Times New Roman" w:hAnsi="Times New Roman"/>
          <w:color w:val="000000" w:themeColor="text1"/>
          <w:sz w:val="16"/>
          <w:szCs w:val="16"/>
        </w:rPr>
        <w:softHyphen/>
        <w:t>ки ВЯ-23 (300 снарядов), два пуле</w:t>
      </w:r>
      <w:r w:rsidRPr="00271E51">
        <w:rPr>
          <w:rFonts w:ascii="Times New Roman" w:hAnsi="Times New Roman"/>
          <w:color w:val="000000" w:themeColor="text1"/>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271E51">
        <w:rPr>
          <w:rFonts w:ascii="Times New Roman" w:hAnsi="Times New Roman"/>
          <w:color w:val="000000" w:themeColor="text1"/>
          <w:sz w:val="16"/>
          <w:szCs w:val="16"/>
        </w:rPr>
        <w:softHyphen/>
        <w:t>ное вооружение не предусматрива</w:t>
      </w:r>
      <w:r w:rsidRPr="00271E51">
        <w:rPr>
          <w:rFonts w:ascii="Times New Roman" w:hAnsi="Times New Roman"/>
          <w:color w:val="000000" w:themeColor="text1"/>
          <w:sz w:val="16"/>
          <w:szCs w:val="16"/>
        </w:rPr>
        <w:softHyphen/>
        <w:t>лось.</w:t>
      </w:r>
    </w:p>
    <w:p w14:paraId="49F545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заключения по эскиз</w:t>
      </w:r>
      <w:r w:rsidRPr="00271E51">
        <w:rPr>
          <w:rFonts w:ascii="Times New Roman" w:hAnsi="Times New Roman"/>
          <w:color w:val="000000" w:themeColor="text1"/>
          <w:sz w:val="16"/>
          <w:szCs w:val="16"/>
        </w:rPr>
        <w:softHyphen/>
        <w:t>ному проекту указывалось: "...Глав</w:t>
      </w:r>
      <w:r w:rsidRPr="00271E51">
        <w:rPr>
          <w:rFonts w:ascii="Times New Roman" w:hAnsi="Times New Roman"/>
          <w:color w:val="000000" w:themeColor="text1"/>
          <w:sz w:val="16"/>
          <w:szCs w:val="16"/>
        </w:rPr>
        <w:softHyphen/>
        <w:t>ный конструктор самолета предла</w:t>
      </w:r>
      <w:r w:rsidRPr="00271E51">
        <w:rPr>
          <w:rFonts w:ascii="Times New Roman" w:hAnsi="Times New Roman"/>
          <w:color w:val="000000" w:themeColor="text1"/>
          <w:sz w:val="16"/>
          <w:szCs w:val="16"/>
        </w:rPr>
        <w:softHyphen/>
        <w:t>гает бронированный штурмовик. Если это так, то в чем заключается смысл постройки этого самолета. При срав</w:t>
      </w:r>
      <w:r w:rsidRPr="00271E51">
        <w:rPr>
          <w:rFonts w:ascii="Times New Roman" w:hAnsi="Times New Roman"/>
          <w:color w:val="000000" w:themeColor="text1"/>
          <w:sz w:val="16"/>
          <w:szCs w:val="16"/>
        </w:rPr>
        <w:softHyphen/>
        <w:t>нении с Су-6 с АМ-42 напрашивает</w:t>
      </w:r>
      <w:r w:rsidRPr="00271E51">
        <w:rPr>
          <w:rFonts w:ascii="Times New Roman" w:hAnsi="Times New Roman"/>
          <w:color w:val="000000" w:themeColor="text1"/>
          <w:sz w:val="16"/>
          <w:szCs w:val="16"/>
        </w:rPr>
        <w:softHyphen/>
        <w:t>ся вывод не в пользу Ил-1 с АМ-42. ...По летным данным Ил-1 превосхо</w:t>
      </w:r>
      <w:r w:rsidRPr="00271E51">
        <w:rPr>
          <w:rFonts w:ascii="Times New Roman" w:hAnsi="Times New Roman"/>
          <w:color w:val="000000" w:themeColor="text1"/>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271E51">
        <w:rPr>
          <w:rFonts w:ascii="Times New Roman" w:hAnsi="Times New Roman"/>
          <w:color w:val="000000" w:themeColor="text1"/>
          <w:sz w:val="16"/>
          <w:szCs w:val="16"/>
        </w:rPr>
        <w:softHyphen/>
        <w:t>вой нагрузке. ...Бронирование Ил-1 требованиям ВВС не удовлетворяет. ...Конструкция Ил-1 по проекту ба</w:t>
      </w:r>
      <w:r w:rsidRPr="00271E51">
        <w:rPr>
          <w:rFonts w:ascii="Times New Roman" w:hAnsi="Times New Roman"/>
          <w:color w:val="000000" w:themeColor="text1"/>
          <w:sz w:val="16"/>
          <w:szCs w:val="16"/>
        </w:rPr>
        <w:softHyphen/>
        <w:t>зируется на технологии серийного Ил-2, однако для освоения самоле</w:t>
      </w:r>
      <w:r w:rsidRPr="00271E51">
        <w:rPr>
          <w:rFonts w:ascii="Times New Roman" w:hAnsi="Times New Roman"/>
          <w:color w:val="000000" w:themeColor="text1"/>
          <w:sz w:val="16"/>
          <w:szCs w:val="16"/>
        </w:rPr>
        <w:softHyphen/>
        <w:t>та потребуется коренная переделка всего производства".</w:t>
      </w:r>
    </w:p>
    <w:p w14:paraId="618A39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Требовалось внести серьезные из</w:t>
      </w:r>
      <w:r w:rsidRPr="00271E51">
        <w:rPr>
          <w:rFonts w:ascii="Times New Roman" w:hAnsi="Times New Roman"/>
          <w:color w:val="000000" w:themeColor="text1"/>
          <w:sz w:val="16"/>
          <w:szCs w:val="16"/>
        </w:rPr>
        <w:softHyphen/>
        <w:t>менения в конструкцию и вооруже</w:t>
      </w:r>
      <w:r w:rsidRPr="00271E51">
        <w:rPr>
          <w:rFonts w:ascii="Times New Roman" w:hAnsi="Times New Roman"/>
          <w:color w:val="000000" w:themeColor="text1"/>
          <w:sz w:val="16"/>
          <w:szCs w:val="16"/>
        </w:rPr>
        <w:softHyphen/>
        <w:t>ние предлагаемого штурмовика. Как показали дальнейшие события, кро</w:t>
      </w:r>
      <w:r w:rsidRPr="00271E51">
        <w:rPr>
          <w:rFonts w:ascii="Times New Roman" w:hAnsi="Times New Roman"/>
          <w:color w:val="000000" w:themeColor="text1"/>
          <w:sz w:val="16"/>
          <w:szCs w:val="16"/>
        </w:rPr>
        <w:softHyphen/>
        <w:t>ме установки пушки Ш-20 ОКБ-15 калибра 20 мм вместо УБТ, других доработок сделано не было (11427).</w:t>
      </w:r>
    </w:p>
    <w:p w14:paraId="0ED547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187D8"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7 декабря 1943 в связи с решением НКАП об установке на Су-6 мотора АМ-42 группа ведущих исполните</w:t>
      </w:r>
      <w:r w:rsidRPr="00271E51">
        <w:rPr>
          <w:color w:val="000000" w:themeColor="text1"/>
          <w:sz w:val="16"/>
          <w:szCs w:val="16"/>
        </w:rPr>
        <w:softHyphen/>
        <w:t>лей по самолету (инженеры завода № 289 Горбу</w:t>
      </w:r>
      <w:r w:rsidRPr="00271E51">
        <w:rPr>
          <w:color w:val="000000" w:themeColor="text1"/>
          <w:sz w:val="16"/>
          <w:szCs w:val="16"/>
        </w:rPr>
        <w:softHyphen/>
        <w:t>нов, Баславский, Мудрецов) обрати</w:t>
      </w:r>
      <w:r w:rsidRPr="00271E51">
        <w:rPr>
          <w:color w:val="000000" w:themeColor="text1"/>
          <w:sz w:val="16"/>
          <w:szCs w:val="16"/>
        </w:rPr>
        <w:softHyphen/>
        <w:t>лась с письмом на имя И. В. Сталина, Г. М. Мален</w:t>
      </w:r>
      <w:r w:rsidRPr="00271E51">
        <w:rPr>
          <w:color w:val="000000" w:themeColor="text1"/>
          <w:sz w:val="16"/>
          <w:szCs w:val="16"/>
        </w:rPr>
        <w:softHyphen/>
        <w:t>кова и А. И. Шахурина, в котором указывала, что «... самолет «Су-6» с мотором М-71 — это самолет «сегодняшнего дня», а с мотором АМ-42 — это са</w:t>
      </w:r>
      <w:r w:rsidRPr="00271E51">
        <w:rPr>
          <w:color w:val="000000" w:themeColor="text1"/>
          <w:sz w:val="16"/>
          <w:szCs w:val="16"/>
        </w:rPr>
        <w:softHyphen/>
        <w:t>молет «вчерашнего дня», т.е. уже пройденный этап, а это нелогично, да и неправильно отказывать</w:t>
      </w:r>
      <w:r w:rsidRPr="00271E51">
        <w:rPr>
          <w:color w:val="000000" w:themeColor="text1"/>
          <w:sz w:val="16"/>
          <w:szCs w:val="16"/>
        </w:rPr>
        <w:softHyphen/>
        <w:t>ся от лучшего и желать худшего. Убедительно Вас просим, Иосиф Виссарионович, повлиять на ход решения о запуске в серию самолета «Су-6» с мо</w:t>
      </w:r>
      <w:r w:rsidRPr="00271E51">
        <w:rPr>
          <w:color w:val="000000" w:themeColor="text1"/>
          <w:sz w:val="16"/>
          <w:szCs w:val="16"/>
        </w:rPr>
        <w:softHyphen/>
        <w:t>тором М-71. Наш коллектив с усердием и добросо</w:t>
      </w:r>
      <w:r w:rsidRPr="00271E51">
        <w:rPr>
          <w:color w:val="000000" w:themeColor="text1"/>
          <w:sz w:val="16"/>
          <w:szCs w:val="16"/>
        </w:rPr>
        <w:softHyphen/>
        <w:t>вестностью выполнил решение Правительства — создал хороший самолет. Решение Правительства о запуске в серию самолета «Су-6» с мотором М-71 будет являться: 1. Усилением мощи Военно-Воз</w:t>
      </w:r>
      <w:r w:rsidRPr="00271E51">
        <w:rPr>
          <w:color w:val="000000" w:themeColor="text1"/>
          <w:sz w:val="16"/>
          <w:szCs w:val="16"/>
        </w:rPr>
        <w:softHyphen/>
        <w:t>душных Сил Красной Армии. 2. Дополнительным показателем наших неисчерпаемых возможностей и способностей. 3. Движением техники вперед, — от «вчерашнего» самолета «Ил-2» — к «сегодняш</w:t>
      </w:r>
      <w:r w:rsidRPr="00271E51">
        <w:rPr>
          <w:color w:val="000000" w:themeColor="text1"/>
          <w:sz w:val="16"/>
          <w:szCs w:val="16"/>
        </w:rPr>
        <w:softHyphen/>
        <w:t>нему» самолету «Су-6». 4. Наивысшей наградой и радостью для нашего коллектива за вложенный труд по созданию самолета Су-6». Никакой реак</w:t>
      </w:r>
      <w:r w:rsidRPr="00271E51">
        <w:rPr>
          <w:color w:val="000000" w:themeColor="text1"/>
          <w:sz w:val="16"/>
          <w:szCs w:val="16"/>
        </w:rPr>
        <w:softHyphen/>
        <w:t>ции высоких инстанций на это письмо не последо</w:t>
      </w:r>
      <w:r w:rsidRPr="00271E51">
        <w:rPr>
          <w:color w:val="000000" w:themeColor="text1"/>
          <w:sz w:val="16"/>
          <w:szCs w:val="16"/>
        </w:rPr>
        <w:softHyphen/>
        <w:t>вало.</w:t>
      </w:r>
    </w:p>
    <w:p w14:paraId="66952FD3"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Пытаясь выбраться из мотор</w:t>
      </w:r>
      <w:r w:rsidRPr="00271E51">
        <w:rPr>
          <w:color w:val="000000" w:themeColor="text1"/>
          <w:sz w:val="16"/>
          <w:szCs w:val="16"/>
        </w:rPr>
        <w:softHyphen/>
        <w:t>ного «тупика», П.О. Сухой проек</w:t>
      </w:r>
      <w:r w:rsidRPr="00271E51">
        <w:rPr>
          <w:color w:val="000000" w:themeColor="text1"/>
          <w:sz w:val="16"/>
          <w:szCs w:val="16"/>
        </w:rPr>
        <w:softHyphen/>
        <w:t>тирует на базе Су-6 М-71ф штур</w:t>
      </w:r>
      <w:r w:rsidRPr="00271E51">
        <w:rPr>
          <w:color w:val="000000" w:themeColor="text1"/>
          <w:sz w:val="16"/>
          <w:szCs w:val="16"/>
        </w:rPr>
        <w:softHyphen/>
        <w:t>мовик Су-6 с серийным мотором М-82ФН.</w:t>
      </w:r>
    </w:p>
    <w:p w14:paraId="0458A100"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Ориентировочные расчеты по</w:t>
      </w:r>
      <w:r w:rsidRPr="00271E51">
        <w:rPr>
          <w:color w:val="000000" w:themeColor="text1"/>
          <w:sz w:val="16"/>
          <w:szCs w:val="16"/>
        </w:rPr>
        <w:softHyphen/>
        <w:t>казывают, что при использовании на двухместном штурмовике Су-6 вместо М-71ф мотора М-82ФН мож</w:t>
      </w:r>
      <w:r w:rsidRPr="00271E51">
        <w:rPr>
          <w:color w:val="000000" w:themeColor="text1"/>
          <w:sz w:val="16"/>
          <w:szCs w:val="16"/>
        </w:rPr>
        <w:softHyphen/>
        <w:t>но было бы получить максималь</w:t>
      </w:r>
      <w:r w:rsidRPr="00271E51">
        <w:rPr>
          <w:color w:val="000000" w:themeColor="text1"/>
          <w:sz w:val="16"/>
          <w:szCs w:val="16"/>
        </w:rPr>
        <w:softHyphen/>
        <w:t>ную скорость полета у земли около 415 км/ч и около 435 км/ч на фор</w:t>
      </w:r>
      <w:r w:rsidRPr="00271E51">
        <w:rPr>
          <w:color w:val="000000" w:themeColor="text1"/>
          <w:sz w:val="16"/>
          <w:szCs w:val="16"/>
        </w:rPr>
        <w:softHyphen/>
        <w:t>саже. Хотя это было и лучше, чем у Ил-2 АМ-38ф, но не настолько, чтобы кардинально изменить ситуа</w:t>
      </w:r>
      <w:r w:rsidRPr="00271E51">
        <w:rPr>
          <w:color w:val="000000" w:themeColor="text1"/>
          <w:sz w:val="16"/>
          <w:szCs w:val="16"/>
        </w:rPr>
        <w:softHyphen/>
        <w:t>цию. В результате Су-6 с «восемьде</w:t>
      </w:r>
      <w:r w:rsidRPr="00271E51">
        <w:rPr>
          <w:color w:val="000000" w:themeColor="text1"/>
          <w:sz w:val="16"/>
          <w:szCs w:val="16"/>
        </w:rPr>
        <w:softHyphen/>
        <w:t>сят вторым» мотором так и остался на бумаге.</w:t>
      </w:r>
    </w:p>
    <w:p w14:paraId="57252D54"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Тем временем полным ходом шли работы по переделке Су-6 под мотор АМ-42. Из-за более тяжелого мотора и увеличения в связи с этим веса самолета спроектировали и изготовили новое цельнометал</w:t>
      </w:r>
      <w:r w:rsidRPr="00271E51">
        <w:rPr>
          <w:color w:val="000000" w:themeColor="text1"/>
          <w:sz w:val="16"/>
          <w:szCs w:val="16"/>
        </w:rPr>
        <w:softHyphen/>
        <w:t>лическое крыло увеличенной до 28,6 м</w:t>
      </w:r>
      <w:r w:rsidRPr="00271E51">
        <w:rPr>
          <w:color w:val="000000" w:themeColor="text1"/>
          <w:sz w:val="16"/>
          <w:szCs w:val="16"/>
          <w:vertAlign w:val="superscript"/>
        </w:rPr>
        <w:t>2</w:t>
      </w:r>
      <w:r w:rsidRPr="00271E51">
        <w:rPr>
          <w:color w:val="000000" w:themeColor="text1"/>
          <w:sz w:val="16"/>
          <w:szCs w:val="16"/>
        </w:rPr>
        <w:t xml:space="preserve"> площадью без предкрылков.</w:t>
      </w:r>
    </w:p>
    <w:p w14:paraId="4848CF6C"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Изменили стабилизатор. Увеличили компенсацию рулей высоты и элеронов.</w:t>
      </w:r>
    </w:p>
    <w:p w14:paraId="2C4A4F42"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связи с заменой мотора воздушного охлажде</w:t>
      </w:r>
      <w:r w:rsidRPr="00271E51">
        <w:rPr>
          <w:color w:val="000000" w:themeColor="text1"/>
          <w:sz w:val="16"/>
          <w:szCs w:val="16"/>
        </w:rPr>
        <w:softHyphen/>
        <w:t>ния на мотор жидкостного охлаждения установили бронекапот (толщина брони везде 4 мм), защищав</w:t>
      </w:r>
      <w:r w:rsidRPr="00271E51">
        <w:rPr>
          <w:color w:val="000000" w:themeColor="text1"/>
          <w:sz w:val="16"/>
          <w:szCs w:val="16"/>
        </w:rPr>
        <w:softHyphen/>
        <w:t>ший мотор и водосистему. Бронировались масло</w:t>
      </w:r>
      <w:r w:rsidRPr="00271E51">
        <w:rPr>
          <w:color w:val="000000" w:themeColor="text1"/>
          <w:sz w:val="16"/>
          <w:szCs w:val="16"/>
        </w:rPr>
        <w:softHyphen/>
        <w:t>провод, маслорадиаторы и втулка винта. Общий вес брони на самолете вырос до 895 кг. При этом на бронекапот мотора приходилось 295 кг брони, на кабину летчика — 382 кг, на кабину воздушного стрелка — 200 кг.</w:t>
      </w:r>
    </w:p>
    <w:p w14:paraId="39CF5578"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Стрелково-пушечное и ракетное вооружение штурмовика осталось прежним: 2 пушки 11П с бое</w:t>
      </w:r>
      <w:r w:rsidRPr="00271E51">
        <w:rPr>
          <w:color w:val="000000" w:themeColor="text1"/>
          <w:sz w:val="16"/>
          <w:szCs w:val="16"/>
        </w:rPr>
        <w:softHyphen/>
        <w:t>комплектом 90 снарядов, 2 крыльевых пулеметов ШКАС (1400 патронов), 1 пулемет УБТ в блистере (196 патронов) и 6 ракетных орудий РО-82 (или РО-132). Нормальную бомбовую нагрузку увеличи</w:t>
      </w:r>
      <w:r w:rsidRPr="00271E51">
        <w:rPr>
          <w:color w:val="000000" w:themeColor="text1"/>
          <w:sz w:val="16"/>
          <w:szCs w:val="16"/>
        </w:rPr>
        <w:softHyphen/>
        <w:t>ли до 400 кг.</w:t>
      </w:r>
    </w:p>
    <w:p w14:paraId="620EA2CD" w14:textId="77777777" w:rsidR="00E40008" w:rsidRPr="00271E51" w:rsidRDefault="00E40008"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После всех доработок вес пустого самолета уве</w:t>
      </w:r>
      <w:r w:rsidRPr="00271E51">
        <w:rPr>
          <w:color w:val="000000" w:themeColor="text1"/>
          <w:sz w:val="16"/>
          <w:szCs w:val="16"/>
        </w:rPr>
        <w:softHyphen/>
        <w:t>личился до 4370 кг, а вес боевой нагрузки составил 1375 кг (17500).</w:t>
      </w:r>
    </w:p>
    <w:p w14:paraId="668873E1" w14:textId="77777777" w:rsidR="00E40008" w:rsidRPr="00271E51" w:rsidRDefault="00E40008" w:rsidP="00271E51">
      <w:pPr>
        <w:spacing w:after="0" w:line="240" w:lineRule="auto"/>
        <w:jc w:val="both"/>
        <w:rPr>
          <w:rFonts w:ascii="Times New Roman" w:hAnsi="Times New Roman"/>
          <w:color w:val="000000" w:themeColor="text1"/>
          <w:sz w:val="16"/>
          <w:szCs w:val="16"/>
        </w:rPr>
      </w:pPr>
    </w:p>
    <w:p w14:paraId="1BD25DAD" w14:textId="77777777" w:rsidR="00EF645F" w:rsidRPr="00271E51" w:rsidRDefault="00EF645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еще во время работы в ГИРТ комиссии Яковлева Костиков направил письмо секретарю ЦК ВКП(б) Маленкову. В нем Костиков не только пытался объяснить неудачи своей работы по созданию самолета «302», но и изложил масштабные предложения по организации работ в реактивной авиации. Это письмо есть в деле Костикова после ареста. Вот его основные положения. «Необходимо широкое развитие работ по трем направлениям: 1. Над самолетами с ВРД и приводом от газовых турбин. 2. Над самолетами-перехватчиками с реактивными двигателями жидкого топлива. 3.Над самолетами с ВРД, с приводом от авиадвигателей. Газовые турбины, осевые нагнетатели, ЖРД, насосы высокой производительности и больших давлений представляют конструктивную и производственную новизну. Эти вопросы требуют участия многих специальностей, участия многих заводов, привлечению к работе НИИ и лабораторий промышленности и Академии наук СССР. Такая задача выходит за пределы одной организации и даже возможно одного наркомата. Поэтому для быстрого решения этой важной задачи необходимо создать Комитет реактивной авиации во главе с членом ГКО. Наличие комитета позволит координировать все вопросы, связанные с реактивной авиацией, и эффективно использовать возможности всей промышленности, НИИ с их лабораториями и опытными производствами, обеспечив делу реактивной авиации должный размах и развитие» (19590).</w:t>
      </w:r>
    </w:p>
    <w:p w14:paraId="70606EA4" w14:textId="77777777" w:rsidR="00EF645F" w:rsidRPr="00271E51" w:rsidRDefault="00EF645F" w:rsidP="00271E51">
      <w:pPr>
        <w:spacing w:after="0" w:line="240" w:lineRule="auto"/>
        <w:jc w:val="both"/>
        <w:rPr>
          <w:rFonts w:ascii="Times New Roman" w:hAnsi="Times New Roman"/>
          <w:color w:val="000000" w:themeColor="text1"/>
          <w:sz w:val="16"/>
          <w:szCs w:val="16"/>
        </w:rPr>
      </w:pPr>
    </w:p>
    <w:p w14:paraId="3E817DA4"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8BDE4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EE40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было подготовлено письмо Исх. 4405с</w:t>
      </w:r>
    </w:p>
    <w:p w14:paraId="0A2CD5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Срочно Секретно</w:t>
      </w:r>
    </w:p>
    <w:p w14:paraId="750949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 112 - тов. РУБИНЧИКУ</w:t>
      </w:r>
    </w:p>
    <w:p w14:paraId="0054C3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сем для руководства препровождаю копию материалов по полигонным испытаниям опытного образца Т-34 с расширен</w:t>
      </w:r>
      <w:r w:rsidRPr="00271E51">
        <w:rPr>
          <w:rFonts w:ascii="Times New Roman" w:hAnsi="Times New Roman"/>
          <w:color w:val="000000" w:themeColor="text1"/>
          <w:sz w:val="16"/>
          <w:szCs w:val="16"/>
        </w:rPr>
        <w:softHyphen/>
        <w:t>ным погоном и пушкой Д-5.</w:t>
      </w:r>
    </w:p>
    <w:p w14:paraId="4EDF10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Замечания, относящиеся к командиру танка, во внимание принимайте, вследствие об"единения функции командира со стреляющим и принятием на производство башни на 2 человека.</w:t>
      </w:r>
    </w:p>
    <w:p w14:paraId="5E9095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упомянутое на 5 листах</w:t>
      </w:r>
    </w:p>
    <w:p w14:paraId="6BBF26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КБ НКТП (БЕР) (11153).</w:t>
      </w:r>
    </w:p>
    <w:p w14:paraId="1F31A6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D0F93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вышло Распоряжение ГКО № 4738 [О ремонте гидротурбины № 1 на Рыбинской ГЭС.] (7163, 55).</w:t>
      </w:r>
    </w:p>
    <w:p w14:paraId="41F6D28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793C8" w14:textId="77777777" w:rsidR="00D8571E" w:rsidRPr="00271E51" w:rsidRDefault="00DE5AB5"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8ED3A79" w14:textId="77777777" w:rsidR="00D8571E" w:rsidRPr="00271E51" w:rsidRDefault="00D8571E"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FE8ED20"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7 декабря </w:t>
      </w:r>
      <w:r w:rsidRPr="00271E51">
        <w:rPr>
          <w:rFonts w:ascii="Times New Roman" w:hAnsi="Times New Roman"/>
          <w:color w:val="000000" w:themeColor="text1"/>
          <w:sz w:val="16"/>
          <w:szCs w:val="16"/>
        </w:rPr>
        <w:t>в 1943 году оперативная сводка Совинформбюро:</w:t>
      </w:r>
    </w:p>
    <w:p w14:paraId="05DDD52C"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течение 7 декабря западнее и юго-западнее Кременчуга наши войска, преодолевая сопротивление и контратаки противника, овладели сильно укреплёнными опорными пунктами его обороны Клочково, Малая Андрусовка, Андрусовка, Ерёмовка, Васильевка, Григорьевка, Глинск, Арсеньева, Верщац, Шамовка, Васовка, Марто-Ивановка, Семёновка, Ивановка, Дубовый и железнодорожнойстанцией Пантаевка.</w:t>
      </w:r>
    </w:p>
    <w:p w14:paraId="2A47A5B8"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Черняхова наши войска продолжали вести ожесточённые бои с крупными силами пехоты и танков противника и под их давлением оставили несколько населённых пунктов.</w:t>
      </w:r>
    </w:p>
    <w:p w14:paraId="19AD482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7B6D95D"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6 декабря наши войска на всех фронтах подбили и уничтожили 128 немецких танков. В воздушных боях и огнём зенитной артиллерии сбито 29 самолётов противника.</w:t>
      </w:r>
    </w:p>
    <w:p w14:paraId="2CBD97A8"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преодолевая сопротивление противника, продвигались вперёд и заняли несколько сильно укреплённых опорных пунктов. Гвардейцы Н-ской части, овладев вчера населённым пунктом Головковка, уничтожили 600 немецких солдат и офицеров. Захвачено у противника 30 орудий, 13миномётов, 30 пулемётов, 5 тракторов и склад боеприпасов. На железнодорожной станции Пантаевка наши бойцы захватили два железнодорожных эшелона с продовольствием. Сегодня в одном районе противник крупными силами пытался контратаковать наши части. Артиллеристы и бронебойщики Н-ского соединения подбили и сожгли 34 немецких танка, 2 бронемашины и несколько самоходных орудий. За день боёв уничтожено свыше 1.000 гитлеровцев. Захвачены у немцев 2 исправных танка, 10 бронемашин, 28 орудий, железнодорожный эшелон с военным имуществом и другие трофеи. Взято значительное число пленных.</w:t>
      </w:r>
    </w:p>
    <w:p w14:paraId="006FDDD4"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Черняхова наши войска продолжали вести ожесточённые бои с противником. На одном участке крупные силы немецкой пехоты при поддержке танков атаковали наши позиции. Немцы непрерывно бросали в бой всё новые и новые пехотные и танковые части. К исходу дня на одном участке наши части под давлением противника оставили несколько населённых пунктов. Советские войска, отражая вражеские атаки, нанесли немцам большой урон в живой силе и технике. По неполным данным, уничтожено до 1.500 солдат и офицеров противника. В течение дня подбито и сожжено 53 немецких танка и 5 бронемашин. На другом участке бойцы Н-ской части, отбивая атаку гитлеровцев, уничтожили 9 немецких танков.</w:t>
      </w:r>
    </w:p>
    <w:p w14:paraId="5E9DC0AA"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несмотря на плохую погоду, наносили удары по немецким войскам и уничтожили несколько танков, до 40 автомашин, разбили железнодорожный эшелон и бронепоезд противника.</w:t>
      </w:r>
    </w:p>
    <w:p w14:paraId="64F531DE"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Нашей авиацией в воздушных боях, над Керченским полуостровом сбито 22 немецких самолёта.</w:t>
      </w:r>
    </w:p>
    <w:p w14:paraId="2D86FD79"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потоплены 3 самоходных баржи противника.</w:t>
      </w:r>
    </w:p>
    <w:p w14:paraId="2EB6CD0C"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Ленина, действующий в одном из районов Барановичской области, взорвал два немецких железнодорожных эшелона, следовавших к линии фронта. В результате крушений разбито до 20 танков и орудий. Движение поездов на этом участке было приостановлено на трое суток. Отряд партизан имениДзержинского пустил под откос несколько вражеских эшелонов. Разбито большое количество вагонов с немецкими войсками и военными грузами. Группа партизан проникла на железнодорожную станцию около города Барановичи и подожгла цистерны с бензином. Огнем уничтожено много цистерн и вагонов с военными грузами.</w:t>
      </w:r>
    </w:p>
    <w:p w14:paraId="35E500C7"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1 роты 25 мотополка 12 немецкой танковой дивизии Рудольф Чайн сообщил: «В октябре я в составе 361 запасного батальона выехал из года Вупперталя на фронт. Первые потери батальон понёс в пути, вдали от фронта. В районе Минска эшелон наскочил на мины. Более 50 солдат было убито и ранено.Железнодорожники рассказывали нам, что накануне на этом же перегоне взлетел навоздух поезд, в котором ехали на фронт 700 солдат. За месяц кровопролитных боёв русские сильно потрепали нашу дивизию. Подразделения мотопехотных полков крайне малочисленны. В некоторых ротах осталось по 15 человек. 25 мотополк фактически уже не существует. Остатки его подразделений слиты в одну роту».</w:t>
      </w:r>
    </w:p>
    <w:p w14:paraId="2D5BADB5"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города Васильков, Киевской области, врач Полонский, рабочий кожевенного завода Ковшеватский, домохозяйка Горбик и другие рассказали о зверствах немецко-фашистских мерзавцев: «За время оккупации города Васильков немцы замучили и расстреляли свыше 1.500 мирных жителей. Казни происходили на Покровском кладбище, на Ковалёвке и в урочище Круглик. Фашистские палачи загоняли население в ямы и расстреливали из автоматов. Немецкие и зверги учинили зверскую расправу над больными женщинами и мужчинами, находившимися в местной лечебнице. За один день они расстреляли более 200 больных. Из города Васильков и Васильковского района немецкие рабовладельцы угнали на каторгу в Германию много тысяч советских граждан. Гитлеровцы разгромили и разрушили культурные учреждения города: сожгли школу десятилетку, кинотеатр, рабочий клуб, уничтожили здание медицинской школы, рентгеновский кабинет, разобрали на дрова две школы, клуб пионеров и агрошколу. Немецкие захватчики разграбили районный педагогический кабинет, имущество фельдшерской школы и полностью уничтожили книги городской библиотеки» (14853).</w:t>
      </w:r>
    </w:p>
    <w:p w14:paraId="3123C34F"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44087D46" w14:textId="77777777" w:rsidR="00D8571E" w:rsidRPr="00271E51" w:rsidRDefault="00DE5AB5"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14BABC86" w14:textId="77777777" w:rsidR="00D8571E" w:rsidRPr="00271E51" w:rsidRDefault="00D8571E"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ADF2F34" w14:textId="77777777" w:rsidR="00D8571E" w:rsidRPr="00271E51" w:rsidRDefault="00D8571E"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7 декабря </w:t>
      </w:r>
      <w:r w:rsidRPr="00271E51">
        <w:rPr>
          <w:rFonts w:ascii="Times New Roman" w:hAnsi="Times New Roman"/>
          <w:color w:val="000000" w:themeColor="text1"/>
          <w:sz w:val="16"/>
          <w:szCs w:val="16"/>
        </w:rPr>
        <w:t>в 1943 году находясь в поездке в Швеции лидер Аграрного Союза Финляндии У.Кекконен призвал к заключению мира с СССР (14853).</w:t>
      </w:r>
    </w:p>
    <w:p w14:paraId="3F22C584" w14:textId="77777777" w:rsidR="00D8571E" w:rsidRPr="00271E51" w:rsidRDefault="00D8571E" w:rsidP="00271E51">
      <w:pPr>
        <w:spacing w:after="0" w:line="240" w:lineRule="auto"/>
        <w:jc w:val="both"/>
        <w:rPr>
          <w:rFonts w:ascii="Times New Roman" w:hAnsi="Times New Roman"/>
          <w:color w:val="000000" w:themeColor="text1"/>
          <w:sz w:val="16"/>
          <w:szCs w:val="16"/>
        </w:rPr>
      </w:pPr>
    </w:p>
    <w:p w14:paraId="34003ACF" w14:textId="77777777" w:rsidR="00FC04C9" w:rsidRPr="00271E51" w:rsidRDefault="00DE5AB5"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7DCF99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35F8F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г. вышел ПРИКАЗ НАЧАЛЬНИКА ГЕНШТАБА ГЕРМАНСКОЙ АРМИИ О ПОТЕРЯХ БРОНЕТЕХНИКИ №23</w:t>
      </w:r>
    </w:p>
    <w:p w14:paraId="441357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бронированных боевых машин в этом году достигли необычайно больших размеров.</w:t>
      </w:r>
    </w:p>
    <w:p w14:paraId="350777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Причем было много случаев, когда потери вызывались не обстановкой боя, а недостаточной решительностью и часто даже безразличием со стороны командиров и экипажей.</w:t>
      </w:r>
    </w:p>
    <w:p w14:paraId="7A9005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даже и нельзя было избежать потери боевой машины, то во многих случаях имелась воз</w:t>
      </w:r>
      <w:r w:rsidRPr="00271E51">
        <w:rPr>
          <w:rFonts w:ascii="Times New Roman" w:hAnsi="Times New Roman"/>
          <w:color w:val="000000" w:themeColor="text1"/>
          <w:sz w:val="16"/>
          <w:szCs w:val="16"/>
        </w:rPr>
        <w:softHyphen/>
        <w:t>можность снять с нее все ценное оборудование и вооружение и доставить обратно в часть.</w:t>
      </w:r>
    </w:p>
    <w:p w14:paraId="02403E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Также часто приводил к потерям боевых машин безответственный и неподготовленный ввод их в бой, а также то, что ставившиеся при этом задачи практически были невыполнимы и превышали все тактические и технические возможности машин.</w:t>
      </w:r>
    </w:p>
    <w:p w14:paraId="75AE43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Такое недопустимое ослабление нашей боевой мощи в материальном отношении не должно иметь места в будущем и все виновные в этом должны привлекаться к ответственности. Такие сте</w:t>
      </w:r>
      <w:r w:rsidRPr="00271E51">
        <w:rPr>
          <w:rFonts w:ascii="Times New Roman" w:hAnsi="Times New Roman"/>
          <w:color w:val="000000" w:themeColor="text1"/>
          <w:sz w:val="16"/>
          <w:szCs w:val="16"/>
        </w:rPr>
        <w:softHyphen/>
        <w:t>реотипные донесения, как «взорвался на территории противника», больше не представлять.</w:t>
      </w:r>
    </w:p>
    <w:p w14:paraId="396D0A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Немедленно вступают в силу следующие положения:</w:t>
      </w:r>
    </w:p>
    <w:p w14:paraId="273737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отношении каждой боевой машины (танк, штурмовое орудие броневик, самоходное ПТ орудие), попавшей в руки противника, необходимо составлять донесение по общепринятому образ</w:t>
      </w:r>
      <w:r w:rsidRPr="00271E51">
        <w:rPr>
          <w:rFonts w:ascii="Times New Roman" w:hAnsi="Times New Roman"/>
          <w:color w:val="000000" w:themeColor="text1"/>
          <w:sz w:val="16"/>
          <w:szCs w:val="16"/>
        </w:rPr>
        <w:softHyphen/>
        <w:t>цу, на основании которого командир дивизии, а в вышестоящих соединениях командующий делает окончательное заключение в отношении виновности. При установленной вине и во всех сомнитель</w:t>
      </w:r>
      <w:r w:rsidRPr="00271E51">
        <w:rPr>
          <w:rFonts w:ascii="Times New Roman" w:hAnsi="Times New Roman"/>
          <w:color w:val="000000" w:themeColor="text1"/>
          <w:sz w:val="16"/>
          <w:szCs w:val="16"/>
        </w:rPr>
        <w:softHyphen/>
        <w:t>ных случаях данное дело необходимо направить в вышестоящую инстанцию.</w:t>
      </w:r>
    </w:p>
    <w:p w14:paraId="0C625C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Копию с каждого донесения необходимо направлять главному инспектору танковых войск.</w:t>
      </w:r>
    </w:p>
    <w:p w14:paraId="3493AE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Все экипажи, которые в особо трудных условиях сумели сохранить свои машины, необходимо представлять к награде или вознаграждению в виде отпуска.</w:t>
      </w:r>
    </w:p>
    <w:p w14:paraId="20ABFC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поручению фюрера генерала от инфантерии Цейтцлер</w:t>
      </w:r>
    </w:p>
    <w:p w14:paraId="00FF61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Перевод с немецкого.</w:t>
      </w:r>
    </w:p>
    <w:p w14:paraId="6052E4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612. Л. 129-130. Копия (11403).</w:t>
      </w:r>
    </w:p>
    <w:p w14:paraId="670CDE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C1D56"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88E55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6AEB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С.В.И. писал А.И.Ш. письмо:</w:t>
      </w:r>
    </w:p>
    <w:p w14:paraId="2BCDCB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вопросу самолета Ил-2 с 2 пушками 37 мм докладываем:</w:t>
      </w:r>
    </w:p>
    <w:p w14:paraId="11174E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 завода 30 с начала производства по 7 декабря с.г. включительно выпущено 947 самолетов Ил-2 с 37 мм пушками, а всего до 15 января 1944 будет выпущено 1175 самолетов.</w:t>
      </w:r>
    </w:p>
    <w:p w14:paraId="4637CB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Исходя из того, что самолеты Ил-2 с 2 пушками 37 мм имеют спец. назначение по уничтожению танков и ж/д эшелонов, выпущенного количества этих самолетов достаточно при правильном организационном использовании их, а именно: включением в авиационные дивизии по одному третьему полку самолетов Ил-2 с 2-37 мм.</w:t>
      </w:r>
    </w:p>
    <w:p w14:paraId="65754F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Дальнейший выпуск самолетов Ил-2 с пушками 37 мм не желателен и потому, что фактическая отдача пушки 11-П оказалась 5500 кг, вместо заявленной ОКБ-16 НКВ 2280 кг, что потребует повышения прочности и соответствующих испытаний самолета, с большим настрелом пушек в воздухе.</w:t>
      </w:r>
    </w:p>
    <w:p w14:paraId="6073AC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безопасной работы выпущенных самолетов Ил-2 с 2 пушками 37 мм необходимо произвести повторный тщательный замер фактической силы отдачи с амортизационной смесью в пушках, применяемых в строевых частях при гемпературах +30 - -40 гр., после чего произвести проверку в воздухе 2-х самолетов с пушками 11-П на живучесть.</w:t>
      </w:r>
    </w:p>
    <w:p w14:paraId="50BA4A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3. Несмотря на то, что самолеты Ил-2 с 2х37 мм выпускаются с мая с.г., весь опыт боевого применения исчисляется одним днем в ноябре с.г. в одной дивизии.</w:t>
      </w:r>
    </w:p>
    <w:p w14:paraId="15D1E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Основная масса указанных самолетов по настоящее время простаивает без всякого использования и надлежащего ухода, подверглась в своих деревянных частях загниванию. При таком положении дать правильное заключение не представляется возможным.</w:t>
      </w:r>
    </w:p>
    <w:p w14:paraId="2FEEA1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того, чтобы самолеты, стоящие в настоящее время без действия, не подвергались дальнейшему разрушению, вносим предложение о немедленной передаче самолетов Ил-2 с 2 пушками 37 мм в действующие части, для использования их в организационном отношении, как это было нами указано в п. 1, без специального отбора летчиков для указанных самолетов, т.к. они не требуют летчиков высокой квалификации (1775,208).</w:t>
      </w:r>
    </w:p>
    <w:p w14:paraId="70C80B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6BED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8 декабря 1943 по поводу судьбы уже выпущенных "Илов" с 37-мм авиапушками ОКБ-16 С.Ильюшин, В.Коккинаки и А.Кузнецов в письме на имя наркома авиапромышленности А.Шахурина указывали, что </w:t>
      </w:r>
      <w:r w:rsidRPr="00271E51">
        <w:rPr>
          <w:rFonts w:ascii="Times New Roman" w:hAnsi="Times New Roman"/>
          <w:iCs/>
          <w:color w:val="000000" w:themeColor="text1"/>
          <w:sz w:val="16"/>
          <w:szCs w:val="16"/>
        </w:rPr>
        <w:t>"...Основ</w:t>
      </w:r>
      <w:r w:rsidRPr="00271E51">
        <w:rPr>
          <w:rFonts w:ascii="Times New Roman" w:hAnsi="Times New Roman"/>
          <w:iCs/>
          <w:color w:val="000000" w:themeColor="text1"/>
          <w:sz w:val="16"/>
          <w:szCs w:val="16"/>
        </w:rPr>
        <w:softHyphen/>
        <w:t>ная масса указанных самолетов по на</w:t>
      </w:r>
      <w:r w:rsidRPr="00271E51">
        <w:rPr>
          <w:rFonts w:ascii="Times New Roman" w:hAnsi="Times New Roman"/>
          <w:iCs/>
          <w:color w:val="000000" w:themeColor="text1"/>
          <w:sz w:val="16"/>
          <w:szCs w:val="16"/>
        </w:rPr>
        <w:softHyphen/>
        <w:t>стоящее время простаивает без всяко</w:t>
      </w:r>
      <w:r w:rsidRPr="00271E51">
        <w:rPr>
          <w:rFonts w:ascii="Times New Roman" w:hAnsi="Times New Roman"/>
          <w:iCs/>
          <w:color w:val="000000" w:themeColor="text1"/>
          <w:sz w:val="16"/>
          <w:szCs w:val="16"/>
        </w:rPr>
        <w:softHyphen/>
        <w:t>го использования и надлежащего ухода, подвергаясь в своих деревянных частях загниванию....Для того чтобы самоле</w:t>
      </w:r>
      <w:r w:rsidRPr="00271E51">
        <w:rPr>
          <w:rFonts w:ascii="Times New Roman" w:hAnsi="Times New Roman"/>
          <w:iCs/>
          <w:color w:val="000000" w:themeColor="text1"/>
          <w:sz w:val="16"/>
          <w:szCs w:val="16"/>
        </w:rPr>
        <w:softHyphen/>
        <w:t>ты, стоящие в настоящее время бездей</w:t>
      </w:r>
      <w:r w:rsidRPr="00271E51">
        <w:rPr>
          <w:rFonts w:ascii="Times New Roman" w:hAnsi="Times New Roman"/>
          <w:iCs/>
          <w:color w:val="000000" w:themeColor="text1"/>
          <w:sz w:val="16"/>
          <w:szCs w:val="16"/>
        </w:rPr>
        <w:softHyphen/>
        <w:t>ствия, не подвергались дальнейшему разрушению, вносим предложение о не</w:t>
      </w:r>
      <w:r w:rsidRPr="00271E51">
        <w:rPr>
          <w:rFonts w:ascii="Times New Roman" w:hAnsi="Times New Roman"/>
          <w:iCs/>
          <w:color w:val="000000" w:themeColor="text1"/>
          <w:sz w:val="16"/>
          <w:szCs w:val="16"/>
        </w:rPr>
        <w:softHyphen/>
        <w:t xml:space="preserve">медленной передаче самолетов Ил-2 с пушками 37 мм в действующие части... ", </w:t>
      </w:r>
      <w:r w:rsidRPr="00271E51">
        <w:rPr>
          <w:rFonts w:ascii="Times New Roman" w:hAnsi="Times New Roman"/>
          <w:color w:val="000000" w:themeColor="text1"/>
          <w:sz w:val="16"/>
          <w:szCs w:val="16"/>
        </w:rPr>
        <w:t xml:space="preserve">сформировав на их основе специальные противотанковые авиаполки, которые включить, </w:t>
      </w:r>
      <w:r w:rsidRPr="00271E51">
        <w:rPr>
          <w:rFonts w:ascii="Times New Roman" w:hAnsi="Times New Roman"/>
          <w:iCs/>
          <w:color w:val="000000" w:themeColor="text1"/>
          <w:sz w:val="16"/>
          <w:szCs w:val="16"/>
        </w:rPr>
        <w:t>"по одному третьему полку",</w:t>
      </w:r>
      <w:r w:rsidRPr="00271E51">
        <w:rPr>
          <w:rFonts w:ascii="Times New Roman" w:hAnsi="Times New Roman"/>
          <w:color w:val="000000" w:themeColor="text1"/>
          <w:sz w:val="16"/>
          <w:szCs w:val="16"/>
        </w:rPr>
        <w:t xml:space="preserve"> в состав штурмовых авиадивизий Красной Армии.</w:t>
      </w:r>
    </w:p>
    <w:p w14:paraId="587AA7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 на этот раз командование ВВС КА и руководство страны не посчи</w:t>
      </w:r>
      <w:r w:rsidRPr="00271E51">
        <w:rPr>
          <w:rFonts w:ascii="Times New Roman" w:hAnsi="Times New Roman"/>
          <w:color w:val="000000" w:themeColor="text1"/>
          <w:sz w:val="16"/>
          <w:szCs w:val="16"/>
        </w:rPr>
        <w:softHyphen/>
        <w:t>тало целесообразным усилить наступа</w:t>
      </w:r>
      <w:r w:rsidRPr="00271E51">
        <w:rPr>
          <w:rFonts w:ascii="Times New Roman" w:hAnsi="Times New Roman"/>
          <w:color w:val="000000" w:themeColor="text1"/>
          <w:sz w:val="16"/>
          <w:szCs w:val="16"/>
        </w:rPr>
        <w:softHyphen/>
        <w:t>тельные возможности и противотанко</w:t>
      </w:r>
      <w:r w:rsidRPr="00271E51">
        <w:rPr>
          <w:rFonts w:ascii="Times New Roman" w:hAnsi="Times New Roman"/>
          <w:color w:val="000000" w:themeColor="text1"/>
          <w:sz w:val="16"/>
          <w:szCs w:val="16"/>
        </w:rPr>
        <w:softHyphen/>
        <w:t>вую оборону частей Красной Армии, вве</w:t>
      </w:r>
      <w:r w:rsidRPr="00271E51">
        <w:rPr>
          <w:rFonts w:ascii="Times New Roman" w:hAnsi="Times New Roman"/>
          <w:color w:val="000000" w:themeColor="text1"/>
          <w:sz w:val="16"/>
          <w:szCs w:val="16"/>
        </w:rPr>
        <w:softHyphen/>
        <w:t>дя в бой специализированные штурмо</w:t>
      </w:r>
      <w:r w:rsidRPr="00271E51">
        <w:rPr>
          <w:rFonts w:ascii="Times New Roman" w:hAnsi="Times New Roman"/>
          <w:color w:val="000000" w:themeColor="text1"/>
          <w:sz w:val="16"/>
          <w:szCs w:val="16"/>
        </w:rPr>
        <w:softHyphen/>
        <w:t>вые авиаполки, основной целью которых являлась бы только борьба с бронетехникой вермахта.</w:t>
      </w:r>
    </w:p>
    <w:p w14:paraId="7469FA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ни прискорбно, но необходимо признать, что процесс внедрения новой пушки в строевых частях был серьезно осложнен допущенной ОКБ и НИИ ВВС КА непростительной в военное время ошибкой, граничащей с преступной ха</w:t>
      </w:r>
      <w:r w:rsidRPr="00271E51">
        <w:rPr>
          <w:rFonts w:ascii="Times New Roman" w:hAnsi="Times New Roman"/>
          <w:color w:val="000000" w:themeColor="text1"/>
          <w:sz w:val="16"/>
          <w:szCs w:val="16"/>
        </w:rPr>
        <w:softHyphen/>
        <w:t>латностью. На фронт было отправлено оружие, не приспособленное для рабо</w:t>
      </w:r>
      <w:r w:rsidRPr="00271E51">
        <w:rPr>
          <w:rFonts w:ascii="Times New Roman" w:hAnsi="Times New Roman"/>
          <w:color w:val="000000" w:themeColor="text1"/>
          <w:sz w:val="16"/>
          <w:szCs w:val="16"/>
        </w:rPr>
        <w:softHyphen/>
        <w:t>ты в зимних условиях (6467).</w:t>
      </w:r>
    </w:p>
    <w:p w14:paraId="20AB6C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BA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пытаясь спасти новый штурмовик Ил-2 с НС-37 и саму идею противотанкового самолета, Ильюшин, Коккинаки и Кузнецов в письме на имя наркома авиапромышленности Шахурина внесли предложение о немедленной передаче всех выпущенных Ил-2 с НС-37 в действующие части (а это примерно 1175 штук), сформировав на их основе специальные противотанковые авиаполки. которые включались {"по одному третьему полку") в состав штурмовых авиадивизий ВВС КА. Однако ничего из этого не ПОЛУЧИЛОСЬ...(8687).</w:t>
      </w:r>
    </w:p>
    <w:p w14:paraId="36806C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C4A49" w14:textId="77777777" w:rsidR="00987D57" w:rsidRPr="00271E51" w:rsidRDefault="00987D5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8 де</w:t>
      </w:r>
      <w:r w:rsidRPr="00271E51">
        <w:rPr>
          <w:color w:val="000000" w:themeColor="text1"/>
          <w:sz w:val="16"/>
          <w:szCs w:val="16"/>
        </w:rPr>
        <w:softHyphen/>
        <w:t>кабря 1943 г., учитывая складывавшуюся об</w:t>
      </w:r>
      <w:r w:rsidRPr="00271E51">
        <w:rPr>
          <w:color w:val="000000" w:themeColor="text1"/>
          <w:sz w:val="16"/>
          <w:szCs w:val="16"/>
        </w:rPr>
        <w:softHyphen/>
        <w:t>становку вокруг самолета Ил-2 с пушками 11П, С. В. Ильюшин делает оригинальный «ход конем». Совместно с А. Кузнецовым и В. К. Коккинаки он готовит докладную записку А. И. Шахурину направляет ее в аппарат наркома. В документе указывалось, что «1. /.../ Исходя из того, что самолеты Ил-2 с 2 пушками 37 мм имеют специальное назначение по уничтожению танков и железнодорожных эшелонов, выпущенного ко</w:t>
      </w:r>
      <w:r w:rsidRPr="00271E51">
        <w:rPr>
          <w:color w:val="000000" w:themeColor="text1"/>
          <w:sz w:val="16"/>
          <w:szCs w:val="16"/>
        </w:rPr>
        <w:softHyphen/>
        <w:t>личества этих самолетов достаточно при правиль</w:t>
      </w:r>
      <w:r w:rsidRPr="00271E51">
        <w:rPr>
          <w:color w:val="000000" w:themeColor="text1"/>
          <w:sz w:val="16"/>
          <w:szCs w:val="16"/>
        </w:rPr>
        <w:softHyphen/>
        <w:t>ном организационном использовании их, а имен</w:t>
      </w:r>
      <w:r w:rsidRPr="00271E51">
        <w:rPr>
          <w:color w:val="000000" w:themeColor="text1"/>
          <w:sz w:val="16"/>
          <w:szCs w:val="16"/>
        </w:rPr>
        <w:softHyphen/>
        <w:t>но: включением в авиационные дивизии по одному третьему полку самолетов Ил-2 с 2 пушками 37 мм. 2. Дальнейший выпуск самолетов Ил-2 с пушками 37 мм не желателен и потому, что фактическая сила отдачи пушки 11П оказалась 5500 кг, вместо заяв</w:t>
      </w:r>
      <w:r w:rsidRPr="00271E51">
        <w:rPr>
          <w:color w:val="000000" w:themeColor="text1"/>
          <w:sz w:val="16"/>
          <w:szCs w:val="16"/>
        </w:rPr>
        <w:softHyphen/>
        <w:t>ленной ОКБ-16 НКВ — 2280 кг, что потребует по</w:t>
      </w:r>
      <w:r w:rsidRPr="00271E51">
        <w:rPr>
          <w:color w:val="000000" w:themeColor="text1"/>
          <w:sz w:val="16"/>
          <w:szCs w:val="16"/>
        </w:rPr>
        <w:softHyphen/>
        <w:t>вышение прочности и соответствующих испытаний самолета, с большим настрелом пушек в воздухе». Предлагалось повторно определить фактическую силу отдачи пушек с амортизационной смесью, применяемой в войсках, «при температурах от +30°</w:t>
      </w:r>
      <w:r w:rsidRPr="00271E51">
        <w:rPr>
          <w:color w:val="000000" w:themeColor="text1"/>
          <w:sz w:val="16"/>
          <w:szCs w:val="16"/>
          <w:lang w:val="en-US"/>
        </w:rPr>
        <w:t>C</w:t>
      </w:r>
      <w:r w:rsidRPr="00271E51">
        <w:rPr>
          <w:color w:val="000000" w:themeColor="text1"/>
          <w:sz w:val="16"/>
          <w:szCs w:val="16"/>
        </w:rPr>
        <w:t xml:space="preserve"> до -40°</w:t>
      </w:r>
      <w:r w:rsidRPr="00271E51">
        <w:rPr>
          <w:color w:val="000000" w:themeColor="text1"/>
          <w:sz w:val="16"/>
          <w:szCs w:val="16"/>
          <w:lang w:val="en-US"/>
        </w:rPr>
        <w:t>C</w:t>
      </w:r>
      <w:r w:rsidRPr="00271E51">
        <w:rPr>
          <w:color w:val="000000" w:themeColor="text1"/>
          <w:sz w:val="16"/>
          <w:szCs w:val="16"/>
        </w:rPr>
        <w:t>, после чего произвести проверку в воздухе 2 самолетов с пушками 11П на живу</w:t>
      </w:r>
      <w:r w:rsidRPr="00271E51">
        <w:rPr>
          <w:color w:val="000000" w:themeColor="text1"/>
          <w:sz w:val="16"/>
          <w:szCs w:val="16"/>
        </w:rPr>
        <w:softHyphen/>
        <w:t>честь».</w:t>
      </w:r>
    </w:p>
    <w:p w14:paraId="0D7AD041" w14:textId="77777777" w:rsidR="00987D57" w:rsidRPr="00271E51" w:rsidRDefault="00987D57"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Судя по всему, после выхода постановления ГКО военные приостановили приемку выпущенных Ил-2 с 11П, а их к 7 декабря было построено 947 штук, и к 15 января планировали собрать еще 228 самолетов. Как следует из документа, «основная масса /.../ самолетов по настоящее время проста</w:t>
      </w:r>
      <w:r w:rsidRPr="00271E51">
        <w:rPr>
          <w:color w:val="000000" w:themeColor="text1"/>
          <w:sz w:val="16"/>
          <w:szCs w:val="16"/>
        </w:rPr>
        <w:softHyphen/>
        <w:t>ивает без всякого использования и надлежаще</w:t>
      </w:r>
      <w:r w:rsidRPr="00271E51">
        <w:rPr>
          <w:color w:val="000000" w:themeColor="text1"/>
          <w:sz w:val="16"/>
          <w:szCs w:val="16"/>
        </w:rPr>
        <w:softHyphen/>
        <w:t>го ухода, подвергаясь в своих деревянных частях загниванию». Поэтому, чтобы «самолеты /.../ не подвергались дальнейшему разрушению», предлагалось немедленно передать их в строевые авиа</w:t>
      </w:r>
      <w:r w:rsidRPr="00271E51">
        <w:rPr>
          <w:color w:val="000000" w:themeColor="text1"/>
          <w:sz w:val="16"/>
          <w:szCs w:val="16"/>
        </w:rPr>
        <w:softHyphen/>
        <w:t>части «без специального отбора летчиков для ука</w:t>
      </w:r>
      <w:r w:rsidRPr="00271E51">
        <w:rPr>
          <w:color w:val="000000" w:themeColor="text1"/>
          <w:sz w:val="16"/>
          <w:szCs w:val="16"/>
        </w:rPr>
        <w:softHyphen/>
        <w:t>занных самолетов, так как они не требуют летчиков высокой квалификации» (17500).</w:t>
      </w:r>
    </w:p>
    <w:p w14:paraId="3B93F94C" w14:textId="77777777" w:rsidR="00987D57" w:rsidRPr="00271E51" w:rsidRDefault="00987D57" w:rsidP="00271E51">
      <w:pPr>
        <w:spacing w:after="0" w:line="240" w:lineRule="auto"/>
        <w:jc w:val="both"/>
        <w:rPr>
          <w:rFonts w:ascii="Times New Roman" w:hAnsi="Times New Roman"/>
          <w:color w:val="000000" w:themeColor="text1"/>
          <w:sz w:val="16"/>
          <w:szCs w:val="16"/>
        </w:rPr>
      </w:pPr>
    </w:p>
    <w:p w14:paraId="36CFAE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С.В.И. писал А.И.Ш. письмо N 1/1289:</w:t>
      </w:r>
    </w:p>
    <w:p w14:paraId="58655E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декабря 1943 после полета на самолете Ил с АМ-42 появилась течь воды из рубашки блока.</w:t>
      </w:r>
    </w:p>
    <w:p w14:paraId="43DFA3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Представители ГК А.А.М. осмотрели мотор и приняли решение снять его с самолета и отправить на завод 300 для выяснения причины течи и приведения мотора в эксплуатационное состояние.</w:t>
      </w:r>
    </w:p>
    <w:p w14:paraId="75A1F5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испытание самолета прекращено. За время заводских испытаний мы были вынуждены снимать АМ-42 4 раза и каждый раз были вынуждены иметь простой, так как не могли получить от завода 24 ни одного запасного мотора. Если бы был запасной мотор, самолет мог бы выйти в воздух через сутки.</w:t>
      </w:r>
    </w:p>
    <w:p w14:paraId="6144AD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Вас дать указание директору завода 24 Жезлову, чтобы он немедленно направил 2 мотора АМ-42 с тем, чтобы в случае возможного выхода из строя мотора можно было бы немедленно заменить его запасным мотором (1775,201).</w:t>
      </w:r>
    </w:p>
    <w:p w14:paraId="22AEC3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1DD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мотор, снятый с Ил-2 АМ-42 (РК) отправили на опыт</w:t>
      </w:r>
      <w:r w:rsidRPr="00271E51">
        <w:rPr>
          <w:rFonts w:ascii="Times New Roman" w:hAnsi="Times New Roman"/>
          <w:color w:val="000000" w:themeColor="text1"/>
          <w:sz w:val="16"/>
          <w:szCs w:val="16"/>
        </w:rPr>
        <w:softHyphen/>
        <w:t>ный моторный завод № 300 для ана</w:t>
      </w:r>
      <w:r w:rsidRPr="00271E51">
        <w:rPr>
          <w:rFonts w:ascii="Times New Roman" w:hAnsi="Times New Roman"/>
          <w:color w:val="000000" w:themeColor="text1"/>
          <w:sz w:val="16"/>
          <w:szCs w:val="16"/>
        </w:rPr>
        <w:softHyphen/>
        <w:t>лиза причин обнаруженного дефек</w:t>
      </w:r>
      <w:r w:rsidRPr="00271E51">
        <w:rPr>
          <w:rFonts w:ascii="Times New Roman" w:hAnsi="Times New Roman"/>
          <w:color w:val="000000" w:themeColor="text1"/>
          <w:sz w:val="16"/>
          <w:szCs w:val="16"/>
        </w:rPr>
        <w:softHyphen/>
        <w:t>та. Через день из Куйбышева с за</w:t>
      </w:r>
      <w:r w:rsidRPr="00271E51">
        <w:rPr>
          <w:rFonts w:ascii="Times New Roman" w:hAnsi="Times New Roman"/>
          <w:color w:val="000000" w:themeColor="text1"/>
          <w:sz w:val="16"/>
          <w:szCs w:val="16"/>
        </w:rPr>
        <w:softHyphen/>
        <w:t>вода № 24 самолетом был достав</w:t>
      </w:r>
      <w:r w:rsidRPr="00271E51">
        <w:rPr>
          <w:rFonts w:ascii="Times New Roman" w:hAnsi="Times New Roman"/>
          <w:color w:val="000000" w:themeColor="text1"/>
          <w:sz w:val="16"/>
          <w:szCs w:val="16"/>
        </w:rPr>
        <w:softHyphen/>
        <w:t>лен новый АМ-42. После установки мотора на "следопыт" при пробных гонках на земле и в полете 13 де</w:t>
      </w:r>
      <w:r w:rsidRPr="00271E51">
        <w:rPr>
          <w:rFonts w:ascii="Times New Roman" w:hAnsi="Times New Roman"/>
          <w:color w:val="000000" w:themeColor="text1"/>
          <w:sz w:val="16"/>
          <w:szCs w:val="16"/>
        </w:rPr>
        <w:softHyphen/>
        <w:t>кабря вновь выявились ненормально</w:t>
      </w:r>
      <w:r w:rsidRPr="00271E51">
        <w:rPr>
          <w:rFonts w:ascii="Times New Roman" w:hAnsi="Times New Roman"/>
          <w:color w:val="000000" w:themeColor="text1"/>
          <w:sz w:val="16"/>
          <w:szCs w:val="16"/>
        </w:rPr>
        <w:softHyphen/>
        <w:t>сти в его работе. Четвертый по сче</w:t>
      </w:r>
      <w:r w:rsidRPr="00271E51">
        <w:rPr>
          <w:rFonts w:ascii="Times New Roman" w:hAnsi="Times New Roman"/>
          <w:color w:val="000000" w:themeColor="text1"/>
          <w:sz w:val="16"/>
          <w:szCs w:val="16"/>
        </w:rPr>
        <w:softHyphen/>
        <w:t>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w:t>
      </w:r>
      <w:r w:rsidRPr="00271E51">
        <w:rPr>
          <w:rFonts w:ascii="Times New Roman" w:hAnsi="Times New Roman"/>
          <w:color w:val="000000" w:themeColor="text1"/>
          <w:sz w:val="16"/>
          <w:szCs w:val="16"/>
        </w:rPr>
        <w:softHyphen/>
        <w:t>тов вновь изменили регулировку кар</w:t>
      </w:r>
      <w:r w:rsidRPr="00271E51">
        <w:rPr>
          <w:rFonts w:ascii="Times New Roman" w:hAnsi="Times New Roman"/>
          <w:color w:val="000000" w:themeColor="text1"/>
          <w:sz w:val="16"/>
          <w:szCs w:val="16"/>
        </w:rPr>
        <w:softHyphen/>
        <w:t>бюраторов и поменяли водо- и мас-лорадиаторы. Но эти доработки по</w:t>
      </w:r>
      <w:r w:rsidRPr="00271E51">
        <w:rPr>
          <w:rFonts w:ascii="Times New Roman" w:hAnsi="Times New Roman"/>
          <w:color w:val="000000" w:themeColor="text1"/>
          <w:sz w:val="16"/>
          <w:szCs w:val="16"/>
        </w:rPr>
        <w:softHyphen/>
        <w:t>могли мало. Опытный самолет вновь встал на прикол (11427).</w:t>
      </w:r>
    </w:p>
    <w:p w14:paraId="67D954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313DF"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АМ-42 с завода № 18 отправили на опытный моторный завод № 300 для анализа причин обнаруженного дефекта. Через день из Куйбышева с завода № 24 самолетом был доставлен новый АМ-42. После установки этого мотора на «следопыт» при пробных гонках на земле и в полете 13 декабря вновь выявились ненормальности в его работе. Четвертый по счету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дефектов вновь изменили регулировку карбюраторов и поменяли водо- и маслорадиаторы. Но эти доработки помогли мало. Опытный самолет вновь встал на доработку.</w:t>
      </w:r>
    </w:p>
    <w:p w14:paraId="006E1860"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«следопыт» не летал в ожидании поставки кондиционного мотора, на нем полным ходом шли работы по улучшению его «штурмовых» качеств.</w:t>
      </w:r>
    </w:p>
    <w:p w14:paraId="1AA9BD7F"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установлены два наружных держателя МДЗ-40, обеспечивавших подвеску бомб калибра от 50 до 500 кг, и смонтирована система управления ими. Четыре бомбоотсека в центроплане крыла переделывались таким образом, чтобы было возможным разместить в них до 600 кг осколочных бомб калибра от 1 до 25 кг. При этом бомбы укладывались в эти отсеки на створки бомболюков, как в бункера. После сбрасывания бомб створки люков закрывались с помощью пружин. Бомбы калибра 50 и 100 кг подвешивались внутри бомбоотсеков на замки Дер-21.</w:t>
      </w:r>
    </w:p>
    <w:p w14:paraId="7CD76177"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кабине штурмана-стрелка устанавливался прицел для бомбометания с горизонтального полета ОПБ-1р. Здесь же монтировалась и новая подвижная оборонительная установка ВУ-8 с пулеметом УБК (3 магазина по 50 патронов каждый). ВУ-8 обеспечивала увеличенные углы обстрела: вверх – 48°, вниз с бортов – 13°, вправо – 60°, влево – 50°. Ракетное вооружение, как и прежде, устанавливать не предполагалось.</w:t>
      </w:r>
    </w:p>
    <w:p w14:paraId="6DC2FDA3"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контроля результатов стрельбы в левом обтекателе шасси монтировался фотокинопулемет ПАУ-22, синхронно связанный с работой стрелково-пушечного вооружения. В правом обтекателе шасси располагался киноаппарат КС-5, предназначенный для съемки результатов штурмового удара и разведки с малых высот.</w:t>
      </w:r>
    </w:p>
    <w:p w14:paraId="6C8951EB"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Аэрофотосъемка обеспечивалась двумя плановыми фотоаппаратами: АФА-3 с, установленного в хвостовой части фюзеляжа с дистанционным управлением из кабины штурмана-стрелка, и АЩАФА-2, расположенного в кабине штурмана-стрелка, который предназначался для непрерывной плановой фотосъемки в плохих метеоусловиях, в сумерки и с малых высот.</w:t>
      </w:r>
    </w:p>
    <w:p w14:paraId="6B18A060"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бронирования Ил-2 АМ-42 (РК) была следующей. Мотор с агрегатами, водяной и масляный радиаторы прикрывались броней толщиной 4 мм. Снизу бронекапот имел 5-мм броню. Для защиты агрегатов винта спереди устанавливался 6-мм бронещиток. Кабина пилота имела броню толщиной 4, 5, 6 и 7 мм. Со стороны задней полусферы летчик защищался бронеплитой толщиной 12 мм, а спереди – 62-мм прозрачным бронестеклом. Сверху и сбоку на фонаре кабины пилота устанавливались бронелисты толщиной 6 мм. Штурман-стрелок с боков защищался бронелистами толщиной 5 и 6 мм, снизу – 6 мм, а со стороны задней полусферы – 12-мм бронеплитой. Общий вес металлической брони составил 1180 кг, в том числе 70 кг узлы крепления.</w:t>
      </w:r>
    </w:p>
    <w:p w14:paraId="2ACD7465"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элеронами, рулем высоты, направления и триммерами на участках, не защищенных броней, в крыле и хвостовой части фюзеляжа дублировалось второй тросовой проводкой.</w:t>
      </w:r>
    </w:p>
    <w:p w14:paraId="26F7015D" w14:textId="77777777" w:rsidR="00987D57" w:rsidRPr="00271E51" w:rsidRDefault="00987D5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Смонтированную на самолете систему заполнения бензобаков нейтральными газами от выхлопа мотора довести «до ума» не успевали, поэтому ее заблокировали (на период испытаний) (17490).</w:t>
      </w:r>
    </w:p>
    <w:p w14:paraId="6CFC08E0" w14:textId="77777777" w:rsidR="00987D57" w:rsidRPr="00271E51" w:rsidRDefault="00987D57" w:rsidP="00271E51">
      <w:pPr>
        <w:spacing w:after="0" w:line="240" w:lineRule="auto"/>
        <w:jc w:val="both"/>
        <w:rPr>
          <w:rFonts w:ascii="Times New Roman" w:hAnsi="Times New Roman"/>
          <w:color w:val="000000" w:themeColor="text1"/>
          <w:sz w:val="16"/>
          <w:szCs w:val="16"/>
        </w:rPr>
      </w:pPr>
    </w:p>
    <w:p w14:paraId="1BED6D24"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8 декабря 1943 г. с задержкой из-за загруженности опытного цеха завода № 21 работами над Ла-7, закончили и выпустили на аэродром  самолёт «А» (Ла-5 с М-82ФН и двумя ТК-3, увеличенной длиной и площадью крыла и увеличенной площадью опере</w:t>
      </w:r>
      <w:r w:rsidRPr="00271E51">
        <w:rPr>
          <w:rFonts w:ascii="Times New Roman" w:hAnsi="Times New Roman"/>
          <w:color w:val="000000" w:themeColor="text1"/>
          <w:sz w:val="16"/>
          <w:szCs w:val="16"/>
        </w:rPr>
        <w:softHyphen/>
        <w:t>ния, с запланированной боевой высотой 13500 м, также называемый как самолёт «А» или Ла-5А). В феврале при опробова</w:t>
      </w:r>
      <w:r w:rsidRPr="00271E51">
        <w:rPr>
          <w:rFonts w:ascii="Times New Roman" w:hAnsi="Times New Roman"/>
          <w:color w:val="000000" w:themeColor="text1"/>
          <w:sz w:val="16"/>
          <w:szCs w:val="16"/>
        </w:rPr>
        <w:softHyphen/>
        <w:t>нии мотора на земле в маслосистеме появилась стружка, и его пришлось заменить. Наконец, 17 марта начались лётные испытания, их проводил лётчик-испытатель Г.М. Шиянов. Провели семь полётов, снова отмечалась высокая температура головок ци</w:t>
      </w:r>
      <w:r w:rsidRPr="00271E51">
        <w:rPr>
          <w:rFonts w:ascii="Times New Roman" w:hAnsi="Times New Roman"/>
          <w:color w:val="000000" w:themeColor="text1"/>
          <w:sz w:val="16"/>
          <w:szCs w:val="16"/>
        </w:rPr>
        <w:softHyphen/>
        <w:t>линдров, на высотах более 2000 м доходившая до 240-260°С, а с высоты 5000 м на</w:t>
      </w:r>
      <w:r w:rsidRPr="00271E51">
        <w:rPr>
          <w:rFonts w:ascii="Times New Roman" w:hAnsi="Times New Roman"/>
          <w:color w:val="000000" w:themeColor="text1"/>
          <w:sz w:val="16"/>
          <w:szCs w:val="16"/>
        </w:rPr>
        <w:softHyphen/>
        <w:t>чинало падать давление бензина и возникало сильное дымление из турбокомпрессора, причём дым попадал в кабину пилота, и полёт приходилось прекращать. Также имели место дефекты в работе бензо- и маслопомп и системы зажигания (15830).</w:t>
      </w:r>
    </w:p>
    <w:p w14:paraId="7E80C9FA"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2DD17C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г. по приказу НКАП № 735с для усиления ОКБ завода № 219 сюда переведены специалисты с заводов № 84, № 286, № 120, № 34, № 145 и № 472. При заводе создан серийный КО и налажено опытное производство.</w:t>
      </w:r>
    </w:p>
    <w:p w14:paraId="5892A3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0C9FC5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6867A7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гл. конструктор (1942-46 г.)- П.В. Флеров.</w:t>
      </w:r>
    </w:p>
    <w:p w14:paraId="6BA1D0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(09.1943 г.-)- Н.И. Жохов (11982).</w:t>
      </w:r>
    </w:p>
    <w:p w14:paraId="39DA71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FC5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А.И.Ш. писал письмо Нач. Управления ремонта танков ГБТУ гм итс А.А.Сосенкову по вопросу о поставке приборов и задержку поставки ГБТУ КА аэротермометров и гибких валов заводом 213 в ноябре объяснял отсутствием на заводе материалов. Обещал поставить все в декабре (1780).</w:t>
      </w:r>
    </w:p>
    <w:p w14:paraId="0577C0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823E2"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4F590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D0B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г. был подготовлен проект постановления ГКО «О производстве танков Т-34-85 с 85-мм пушкой на заводе № 112 НКТП», в котором, в частности, говорилось: «При</w:t>
      </w:r>
      <w:r w:rsidRPr="00271E51">
        <w:rPr>
          <w:rFonts w:ascii="Times New Roman" w:hAnsi="Times New Roman"/>
          <w:color w:val="000000" w:themeColor="text1"/>
          <w:sz w:val="16"/>
          <w:szCs w:val="16"/>
        </w:rPr>
        <w:softHyphen/>
        <w:t>нять на вооружение Армии Т-34-85, конструкции завода № 183 НКТП с пушкой 85мм конструкции завода № 9 НКВ, с ТТХсогласно Приложению».</w:t>
      </w:r>
    </w:p>
    <w:p w14:paraId="58A5A6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Причем объемы выпуска предусматривались следующие: в январе 1944 г. - 25 шт., феврале - 75 шт., марте - 150 шт. Казалось бы, вопрос решен, чего же более, тем не менее 11 де</w:t>
      </w:r>
      <w:r w:rsidRPr="00271E51">
        <w:rPr>
          <w:rFonts w:ascii="Times New Roman" w:hAnsi="Times New Roman"/>
          <w:color w:val="000000" w:themeColor="text1"/>
          <w:sz w:val="16"/>
          <w:szCs w:val="16"/>
        </w:rPr>
        <w:softHyphen/>
        <w:t>кабря вышло распоряжение о проведении сравнительных ис</w:t>
      </w:r>
      <w:r w:rsidRPr="00271E51">
        <w:rPr>
          <w:rFonts w:ascii="Times New Roman" w:hAnsi="Times New Roman"/>
          <w:color w:val="000000" w:themeColor="text1"/>
          <w:sz w:val="16"/>
          <w:szCs w:val="16"/>
        </w:rPr>
        <w:softHyphen/>
        <w:t>пытаний указанной пушки с С-50, С-53 и ЛБ-1. Несмотря на пожелание установить все указанные орудия в штатной башне Т-34, выполнить его полностью не удалось. С-50 и ЛБ-1 были смонтированы в увеличенной башне на погоне 1600 мм и лишь С-53 по размерам казенника отвечала 111 и была вписана в штатную литую башню Т-34. Начатая переделка башни на погоне диаметром 1420 мм под установку ЛБ-1 бы</w:t>
      </w:r>
      <w:r w:rsidRPr="00271E51">
        <w:rPr>
          <w:rFonts w:ascii="Times New Roman" w:hAnsi="Times New Roman"/>
          <w:color w:val="000000" w:themeColor="text1"/>
          <w:sz w:val="16"/>
          <w:szCs w:val="16"/>
        </w:rPr>
        <w:softHyphen/>
        <w:t>ла прекращена распоряжением по НКТП (11135).</w:t>
      </w:r>
    </w:p>
    <w:p w14:paraId="65EF18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D37A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Постановление ГКО № 4739 О подготовке инженеров и техников для строительства. (7163, 56-62,63).</w:t>
      </w:r>
    </w:p>
    <w:p w14:paraId="649CF37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5B2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4740. О мерах для выполнения плана поставки НКМП РСФСР крепежного леса шахтам НКУП.РГАНИР, Фонд ГКО, д. 182, лл. 64-65 (11012).</w:t>
      </w:r>
    </w:p>
    <w:p w14:paraId="4B0E3C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556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4741. О выделении заводу № 23 НКАП 2 гусеничных тракторов и 10 автомоторов.РГАНИР, Фонд ГКО, д. 182, лл. 66 (11012).</w:t>
      </w:r>
    </w:p>
    <w:p w14:paraId="0B04E7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CB0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4742. О поставке НКЧМ 16 бесцентровошлифовальных станков для производства проволоки марки 50 ХФА.РГАНИР, Фонд ГКО, д. 182, лл. 67 (11012).</w:t>
      </w:r>
    </w:p>
    <w:p w14:paraId="714499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44B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4743. О передаче заказа НКНП от НКТП на изготовление 5 компрессоров для восстановления завода "Красный Октябрь".РГАНИР, Фонд ГКО, д. 182, лл. 68 (11012).</w:t>
      </w:r>
    </w:p>
    <w:p w14:paraId="589E03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7EB6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4744 [О выделении 5 тыс. м дров для нужд НКВД СССР.] (7163, 69).</w:t>
      </w:r>
    </w:p>
    <w:p w14:paraId="020DF1D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02588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4745 [О мерах по организации телефонной связи на восстанавливаемых предприятиях НКЧМ в Донбассе.] (7163, 70-71,72-73).</w:t>
      </w:r>
    </w:p>
    <w:p w14:paraId="310C2EE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14E3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вышло Распоряжение ГКО № 4746 [О мерах по обеспечению производства обуви для Красной Армии предприятиями НКЛП СССР.] (7163, 74-76,77).</w:t>
      </w:r>
    </w:p>
    <w:p w14:paraId="04D30B3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633340" w14:textId="77777777" w:rsidR="00221693"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BB1DD0B" w14:textId="77777777" w:rsidR="00221693" w:rsidRPr="00271E51" w:rsidRDefault="0022169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79AAB7"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8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7396FF66"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декабря западнее и юго-западнее Кременчуганаши войска, преодолевая сопротивление и контратаки противника, продолжали наступление и овладели районными центрами Кировоградской области Елизаветградка, Новая Прага, а также заняли населённые пункты Семигорье, Оново, Михайловка, Светлополье, Григорьевна и железнодорожную станцию Шаровка. Таким образом, железная дорога Знаменка — Николаев, Знаменка — Кривой Рог перерезана нашими войсками.</w:t>
      </w:r>
    </w:p>
    <w:p w14:paraId="02D0F2DB"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наши войска вели бои местного значения, в ходе которых овладели несколькими сильно укреплёнными опорными пунктами противника.</w:t>
      </w:r>
    </w:p>
    <w:p w14:paraId="25016658"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северо-восточнее Черняхова наши войска вели ожесточённые бои спротивником, в ходе которых нами оставлено несколько населённых пунктов.</w:t>
      </w:r>
    </w:p>
    <w:p w14:paraId="41C00CF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FBD7B9F"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7 декабря наши войска на всех фронтах подбили и уничтожили 96 немецких танков, из них 84 в районе северо-восточнее Черняхова. В воздушных бояхи огнём зенитной артиллерии сбито 19 самолётов противника.</w:t>
      </w:r>
    </w:p>
    <w:p w14:paraId="233C8F8E"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продолжали наступление. Стремясь задержать продвижение советских частей, противник бросал в контратаки крупные силы пехоты и танков. Наши войска успешно отбили контратаки гитлеровцеви решительным ударом овладели районным центром Кировоградской области — Новой Прагой. На подступах к этому крупному населённому пункту и на его улицах осталось свыше 800 вражеских трупов. Захвачены трофеи, в числе которых 5 самоходных орудий, склад боеприпасов, 2 склада с военным имуществом и склад спродовольствием. Развивая успех, советские войска овладели железнодорожной станцией Шаровка и тем самым перерезали железную дорогу от Знаменки на Николаев и Кривой Рог. Части другого нашего соединения выбили немцев из районного центраКировоградской области — Елизаветградки. На одном участке противник пытался нанести удар во фланг нашим наступающим войскам. Стремительными контрударами ссевера и юга наши части зажали немцев в клещи и вынудили их поспешно отступить.В этом бою уничтожено до батальона гитлеровцев, 12 немецких танков и 2 бронемашины.</w:t>
      </w:r>
    </w:p>
    <w:p w14:paraId="655BF9C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юго-западнее Днепропетровска, части Н-ского соединения овладели несколькими сильно укреплёнными опорными пунктами противника. Наши бойцы уничтожили свыше 600 немецких солдат и офицеров, 7 орудий, 5 миномётов и 20 пулемётов. Захвачены трофеи и пленные.</w:t>
      </w:r>
    </w:p>
    <w:p w14:paraId="1489195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прямыми попаданиями бомб взорвали воинский эшелон противника, два склада боеприпасов и уничтожили свыше 60 немецких автомашин с военными грузами.</w:t>
      </w:r>
    </w:p>
    <w:p w14:paraId="6A9CCE61"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Черняхова наши войска продолжали вести ожесточённые бои с противником. Части Н-ского соединения в течение дня отбивали следовавшие одна за другой атаки немцев. Противник ввёл в бой крупные силы пехоты и танков. Ценой тяжёлых потерь ему удалось потеснить наши подразделения и занять несколько населённых пунктов. В течение дня на этом участке уничтожено до 2.000 немецких солдат и офицеров, сожжено и подбито 66 танков и 4 бронемашины противника. На другом участке советские артиллеристы и бронебойщики уничтожили 18 немецких танков, 7 бронетранспортёров и много автомашин с пехотой противника.</w:t>
      </w:r>
    </w:p>
    <w:p w14:paraId="1CA6418C"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Немецкое командование направило специальные воинские части для ограбления и уничтожения сёл и деревень временно оккупированных ими районов Ленинградскойобласти. Эти команды фашистских головорезов врываются в деревни, отнимают у мирных жителей продовольствие, скот, имущество и ценные вещи. Ограбив население, немцы сжигают населённые пункты, а советских граждан угоняют на каторгу в Германию. Несколько ленинградских партизанских отрядов в </w:t>
      </w:r>
      <w:r w:rsidRPr="00271E51">
        <w:rPr>
          <w:rFonts w:ascii="Times New Roman" w:hAnsi="Times New Roman"/>
          <w:color w:val="000000" w:themeColor="text1"/>
          <w:sz w:val="16"/>
          <w:szCs w:val="16"/>
        </w:rPr>
        <w:lastRenderedPageBreak/>
        <w:t>последнее время вели упорные бои с немецкими командами грабителей и убийц. В ходе этих боёв, понеполным данным, партизаны уничтожили более 1.200 гитлеровцев. Советские патриоты освободили многих советских граждан, которых немцы угоняли в фашистскуюневолю.</w:t>
      </w:r>
    </w:p>
    <w:p w14:paraId="312D5753"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адъютант 2 батальона 168 полка 82 немецкой пехотной дивизии обер-лейтенант Карл Шварц рассказал: «К концу сентября наша дивизия состояла из168 и 158 полков, причём в одном полку было два батальона, в другом — один. Дивизии были приданы ещё две боевые группы, сформированные из остатков уничтоженных соединений. В ожесточённых боях у одного села 168 полк был разгромлен. Во втором батальоне осталось 150 солдат, а в первом батальоне всего лишь 8 человек. Несколько дней спустя полк получил пополнение, но солдаты оказались необученными. Дивизию признали небоеспособной и отвели в ближайший тыл. Но это продолжалось недолго. Неожиданно русские сделали стремительный бросок вперёд, и мы оказались под угрозой окружения. Связь между батальонами и штабом полка прервалась. Прямым попаданием снаряда была уничтожена штабная машина и тяжело ранен командир второго батальона. Солдаты побежали. К вечеру мне удалось собрать 25 человек — всё, что осталось от батальона. Отступая, по дорогея растерял ещё 18 солдат, и в это время нас настигли русские».</w:t>
      </w:r>
    </w:p>
    <w:p w14:paraId="337BDF3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новые сообщения о зверских расправах немецко-фашистских мерзавцев над мирными советскими гражданами. На станции Лесная, Барановичской области, скопилось много тысяч жителей, которых немцы при отступлении насильно угоняли из родных сёл и городов на каторгу в Германию. В конце ноября после беглого медицинского осмотра гитлеровцы отобрали свыше 900 нетрудоспособных и больных и расстреляли их.»</w:t>
      </w:r>
    </w:p>
    <w:p w14:paraId="322F5FE8"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5E7F04B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9E504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387BBF"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8 декабря 1943 самолеты авианосцев ВМС США USS Bunker Hill и USS Monterey наносят удар по Науру в сочетании с огнем с надводных кораблей; восемь или десять из 12 японских самолетов на острове уничтожены (20376).</w:t>
      </w:r>
    </w:p>
    <w:p w14:paraId="17F02B3A" w14:textId="77777777" w:rsidR="00022B98" w:rsidRPr="00271E51" w:rsidRDefault="00022B98" w:rsidP="00271E51">
      <w:pPr>
        <w:spacing w:after="0" w:line="240" w:lineRule="auto"/>
        <w:jc w:val="both"/>
        <w:rPr>
          <w:rFonts w:ascii="Times New Roman" w:hAnsi="Times New Roman"/>
          <w:color w:val="0070C0"/>
          <w:sz w:val="16"/>
          <w:szCs w:val="16"/>
        </w:rPr>
      </w:pPr>
    </w:p>
    <w:p w14:paraId="71FBAC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декабря 1943 авианосцы США потопили 2 крейсера и сбили 72 самолета на Маршалловых островах (2100).</w:t>
      </w:r>
    </w:p>
    <w:p w14:paraId="5F1B5C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2F93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81035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CF63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декабря 1943 ОКБ-240 получило пятый АМ-42 для установки на новый штурмовик, а 4 предыдущих к тому времени были сломаны (1784,22).</w:t>
      </w:r>
    </w:p>
    <w:p w14:paraId="3F2DC4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062E9"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A6F73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048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декабря 1943 вышло Постановление ГКО № 4747 О мерах по обеспечению завоза зерна, муки, крупы и бобовых в гор. Москву в декабре 1943 г.РГАНИР, Фонд ГКО, д. 182, лл. 78-80, 81-84 (11012).</w:t>
      </w:r>
    </w:p>
    <w:p w14:paraId="55D583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2FC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декабря 1943 вышло Постановление ГКО № 4748 О новом формировании и передислокации эвакогоспиталей.РГАНИР, Фонд ГКО, д. 182, лл. 85-86, 87-93 (11012).</w:t>
      </w:r>
    </w:p>
    <w:p w14:paraId="0850BC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0EE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декабря 1943 вышло Распоряжение ГКО № 4749. О привлечении в Орловской, Могилевской, Гомельской и Черниговской обл. до 8 тыс. чел. для очистки от снега и снегозащиты дорог БФ.РГАНИР, Фонд ГКО, д. 182, лл. 94 (11012).</w:t>
      </w:r>
    </w:p>
    <w:p w14:paraId="4DAAED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7000F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0E20D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3088D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9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3FFD726C"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декабря западнее и юго-западнее Кременчуга наши войска, преодолевая сопротивление и контратаки противника, продолжали наступление и овладели сильно укреплёнными населёнными пунктами Вороновка, Подорожное, Чаплище, Тарасовка, Колонтаев-Польский, Рацево, Колонтаев, Стецовка, Снежковка, Петрово, Мошорино, Зарудный Байрак, Митрофановка, Спасово ижелезнодорожной станцией Медерово.</w:t>
      </w:r>
    </w:p>
    <w:p w14:paraId="791B719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северо-восточнее Черняхова наши войска отбивали атаки крупных сил пехоты и танков противника.</w:t>
      </w:r>
    </w:p>
    <w:p w14:paraId="2CE0F42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D03A821"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8 декабря наши войска на всех фронтах подбили и уничтожили 78немецких танков, из них 75 в районе северо-восточнее ЧЕРНЯХОВА. В воздушных бояхи огнём зенитной артиллерии сбито 33 самолёта противника.</w:t>
      </w:r>
    </w:p>
    <w:p w14:paraId="2055CEA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и юго-западнее Кременчуга наши войска продолжали наступление. Противник оказывает сильное огневое сопротивление и переходит в контратаки. Советские войска в результате упорных боёв продвинулись вперёд и овладели рядом сильно укреплённых населённых пунктов. В бою за один пункт бойцы Н-ской части истребили до батальона гитлеровцев, уничтожили 5 самоходных орудий и свыше 30 автомашин. Захвачены у немцев 3 бронетранспортёра, 12 орудий, 37 пулемётов, 8 миномётов, артиллерийский склад и два вещевых склада. Взяты пленные. На другом участке наши части, продвигаясь вдоль железной дороги, заняли станцию Медерово. Противник в районе этой станции оказывал ожесточённое сопротивление, но был отброшен с большими для него потерями. Захвачено много стрелкового вооружения и боеприпасов, брошенных немцами при отступлении.</w:t>
      </w:r>
    </w:p>
    <w:p w14:paraId="16E5E69D"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Северо-восточнее Черняхова продолжались ожесточённые бои. Противник, несмотря на огромные потери, вводил в бой новые танковые и пехотные части. Отражая атаки крупных сил танков и пехоты противника, части Н-ского соединения сегодня уничтожили 46 немецких танков, 7 самоходных орудий и 11 бронетранспортёров. На другом участке наши войска сожгли и подбили 29 немецких танков и 20 автомашин. Противник понёс очень тяжёлые потери в живой силе.</w:t>
      </w:r>
    </w:p>
    <w:p w14:paraId="0CCCD7E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Авиацией Черноморского флота в результате налёта на порт противника потоплены две быстроходных десантных баржи и один сторожевой катер. В порту возникло несколько пожаров, и произошёл взрыв большой силы.</w:t>
      </w:r>
    </w:p>
    <w:p w14:paraId="298260C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Могилёвской области, вначале декабря взорвал 5 немецких воинских эшелонов, следовавших к линии фронта. В результате крушений уничтожено 4 паровоза, 33 вагона с войсками и несколько десятков платформ с танками и автомашинами. Отряд минских партизан в конце ноября в течение нескольких дней вёл бой с немецкой воинской частью. Советские патриоты уничтожили до двух рот гитлеровцев. Партизаны захватили орудие, 84 винтовки, 12 пулемётов, много боеприпасов и взяли пленных.</w:t>
      </w:r>
    </w:p>
    <w:p w14:paraId="09C67E5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2 роты 73 гренадерского полка 19 немецкой танковой дивизии Франц Павлик рассказал:</w:t>
      </w:r>
    </w:p>
    <w:p w14:paraId="1EE8B7B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сентября во Франции из солдат различных частей был сформирован особый батальон, который назвали по имени командира Вестенбергера. В батальоне было шесть рот. Вскоре мы выехали на Восточный фронт. В первых же боях наша рота потеряла 80 человек, а через две недели батальон «Вестенбергер» перестал существовать. Оставшиеся в живых солдаты были распределены среди подразделений 73 полка 19 танковой дивизии. Уезжая из Франции, мы знали, что нас ожидает в России, и понимали, что на фронте потеря неизбежны. Однако никто не предполагал, что батальон будет разгромлен в такой короткий срок. Я попал во вторую роту 73 полка. В течение нескольких дней в полку шли приготовления к атаке. В назначенный час началась артподготовка, но русские открыли такой ответный артиллерийский огонь, что никто из нас не посмел высунуть голову. Офицеры, угрожая нам пистолетами, гнали в атаку, но они не могли никого поднять. Когда русские ворвались в наши окопы, я вместе с другими солдатами сдался в плен».</w:t>
      </w:r>
    </w:p>
    <w:p w14:paraId="60DD2D4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зверски убивают нетрудоспособных и больных советских граждан, насильно угнанных немецкими войсками при отступлении. В посёлке Гурки, Витебской области, 25 ноября немцы отравили супом два эшелона, вкоторых было много больных советских граждан. В Минске только за два дня 18 и 19 ноября фашистские изверги отравили около 1.500 нетрудоспособных стариков, женщини детей. Трупы отравленных сожжены. Совершая всё новые и новые злодеяния, гитлеровские бандиты в то же время продолжают уничтожать следы кровавых преступлений, совершённых ими на советской земле. Недалеко от Минска, в деревне Тростенец, на территории бывшего военного городка Красное Урочище немцы вскрыли массовые могилы, в которых похоронены советские граждане, замученные и убитые фашистскими оккупантами. Вырытые из этих могил трупы были облиты бензином и сожжены.» (14855).</w:t>
      </w:r>
    </w:p>
    <w:p w14:paraId="201F5E1B"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4EB7C77A"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 декабря 1943</w:t>
      </w:r>
    </w:p>
    <w:p w14:paraId="7B6C849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ДИРЕКТИВА КОМАНДУЮЩЕГО ВВС КРАСНОЙ АРМИИ ОТ 9 ДЕКАБРЯ 1943 г.1 О МЕРОПРИЯТИХ ПО УСТРАНЕНИЮ НЕДОЧЕТОВ В ПРИМЕНЕНИИ ШТУРМОВОЙ АВИАЦИИ</w:t>
      </w:r>
    </w:p>
    <w:p w14:paraId="0D284717"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Секретно</w:t>
      </w:r>
    </w:p>
    <w:p w14:paraId="5D3BFEEB"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Командующим воздушными армиями.</w:t>
      </w:r>
    </w:p>
    <w:p w14:paraId="61AF54B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Командирам корпусов штурмовой авиации Резерва</w:t>
      </w:r>
    </w:p>
    <w:p w14:paraId="1E52A88F"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Ставки Верховного Главнокомандования.</w:t>
      </w:r>
    </w:p>
    <w:p w14:paraId="64193DE1"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Изучение боевой работы наших штурмовиков в условиях наступательных операций Красной Армии летом 1943 г. показывает, что штурмовики по сравнению с другими видами авиации несут наибольшие потери, причем главным образом от зенитного огня противника.</w:t>
      </w:r>
    </w:p>
    <w:p w14:paraId="3767C8F7"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Причинами больших потерь в большинстве случаев является не слабая выучка экипажей, подразделений и частей в целом, а прежде всего неправильное боевое применение подразделений и частей со стороны их командиров.</w:t>
      </w:r>
    </w:p>
    <w:p w14:paraId="2395789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Основной ошибкой в тактике применения штурмовиков является шаблон, при котором командиры не ищут новых тактических форм борьбы с противником, а действуют по раз установившейся форме, без собственной творческой инициативы и без использования боевого опыта и новых приемов действий других частей.</w:t>
      </w:r>
    </w:p>
    <w:p w14:paraId="3840BA16"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Кроме того, обеспечение штурмовых ударов предусматривается, главным образом, только от противодействия истребителей противника и совершенно недостаточно уделяется внимания подавлению зенитных средств противника в районе цели.</w:t>
      </w:r>
    </w:p>
    <w:p w14:paraId="262FA76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Так, почти на всех фронтах у штурмовой авиации выработалась своеобразная схема-шаблон, при которой независимо от воздушной и наземной обстановки, без учета характера цели, системы противовоздушной обороны противника, условий местности, погоды штурмовики, как правило, подходят к цели на высотах 1000—1500 м, после чего с планирования до высоты 400—600 м атакуют цели с левым разворотом и выходят из атак для следования на свой аэродром.</w:t>
      </w:r>
    </w:p>
    <w:p w14:paraId="0D36B460"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Противник в этих случаях, заранее зная условия действия наших штурмовиков, еще до их появления над полем боя изготавливает и пристреливает по высотам все средства противовоздушной обороны и, максимально используя местность (рельеф, кустарники, лес и т. д.), группирует средства противовоздушной обороны с учетом левого круга работы наших штурмовиков.</w:t>
      </w:r>
    </w:p>
    <w:p w14:paraId="06B28E10"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ПРИКАЗЫВАЮ:</w:t>
      </w:r>
    </w:p>
    <w:p w14:paraId="0B009E5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Командирам всех степеней прекратить шаблонное применение штурмовой авиации для действия на поле боя.</w:t>
      </w:r>
    </w:p>
    <w:p w14:paraId="31C7D8C9"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 Систематически изучать характер и формы противодействия противника с земли и с воздуха, противопоставляя ему свои новые и самые разнообразные способы действий.</w:t>
      </w:r>
    </w:p>
    <w:p w14:paraId="5AD454AF"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Во всех случаях применения штурмовиков предусматривать обеспечение их не только от истребительной авиации противника, но и от его зенитного огня.</w:t>
      </w:r>
    </w:p>
    <w:p w14:paraId="1EC1AA39"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4. Обучить подразделения и части штурмовой авиации действиям с разных высот, в том числе с предельно малых, используя для маскировки полета к цели и обратно рельеф местности, леса, кустарники, добиваясь внезапности появления над целью и точного ее поражения, используя бомбы с взрывателями замедленного действия.</w:t>
      </w:r>
    </w:p>
    <w:p w14:paraId="06AC0EB9"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 Совершенствовать приемы противозенитного маневра путем изучения системы противовоздушной обороны противника на своем участке фронта по данным непрерывной разведки на себя.</w:t>
      </w:r>
    </w:p>
    <w:p w14:paraId="11BD83A9"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 Обучить все экипажи, особенно командиров групп, грамотной ориентировке при полетах на 'предельно малых высотах. Во всех случаях в полете обязательно использовать средства радионавигации и службу земного обеспечения самолетовождения.</w:t>
      </w:r>
    </w:p>
    <w:p w14:paraId="2E70A391"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7. Начальнику Главного управления боевой подготовки фронтовой авиации руководствоваться данной директивой при обучении частей, контролировать и докладывать мне ежемесячно ход ее выполнения в Действующей армии.</w:t>
      </w:r>
    </w:p>
    <w:p w14:paraId="323FBBDB"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Командующий Военно-воздушными силами Красной Армии Маршал авиации НОВИКОВ</w:t>
      </w:r>
    </w:p>
    <w:p w14:paraId="521693A7"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Член Военного совета Военно-воздушных сил Красной Армии генерал-лейтенант авиации ШИМАИОВ</w:t>
      </w:r>
    </w:p>
    <w:p w14:paraId="472B585E"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Временно исполняющий должность начальника штаба Военно-воздушных сил Красной Армии генерал-лейтенант авиации КРОЛЕНКО</w:t>
      </w:r>
    </w:p>
    <w:p w14:paraId="64E9DACC"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9.12.43</w:t>
      </w:r>
      <w:r w:rsidRPr="00271E51">
        <w:rPr>
          <w:rFonts w:ascii="Times New Roman" w:hAnsi="Times New Roman"/>
          <w:color w:val="0070C0"/>
          <w:sz w:val="16"/>
          <w:szCs w:val="16"/>
        </w:rPr>
        <w:tab/>
        <w:t>г.</w:t>
      </w:r>
    </w:p>
    <w:p w14:paraId="7A7BBD57" w14:textId="77777777" w:rsidR="00022B98" w:rsidRPr="00271E51" w:rsidRDefault="00022B98"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Ф. 362, оп. 2027ЙСС, д. 1, лл. 490—491. Машинописная копия (21201).</w:t>
      </w:r>
    </w:p>
    <w:p w14:paraId="781BAEC2" w14:textId="77777777" w:rsidR="00022B98" w:rsidRPr="00271E51" w:rsidRDefault="00022B98" w:rsidP="00271E51">
      <w:pPr>
        <w:spacing w:after="0" w:line="240" w:lineRule="auto"/>
        <w:jc w:val="both"/>
        <w:rPr>
          <w:rFonts w:ascii="Times New Roman" w:hAnsi="Times New Roman"/>
          <w:color w:val="0070C0"/>
          <w:sz w:val="16"/>
          <w:szCs w:val="16"/>
        </w:rPr>
      </w:pPr>
    </w:p>
    <w:p w14:paraId="6E69EC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9 декабря 1943 стала совер</w:t>
      </w:r>
      <w:r w:rsidRPr="00271E51">
        <w:rPr>
          <w:rFonts w:ascii="Times New Roman" w:hAnsi="Times New Roman"/>
          <w:color w:val="000000" w:themeColor="text1"/>
          <w:sz w:val="16"/>
          <w:szCs w:val="16"/>
        </w:rPr>
        <w:softHyphen/>
        <w:t>шенно очевидной невозможность гаран</w:t>
      </w:r>
      <w:r w:rsidRPr="00271E51">
        <w:rPr>
          <w:rFonts w:ascii="Times New Roman" w:hAnsi="Times New Roman"/>
          <w:color w:val="000000" w:themeColor="text1"/>
          <w:sz w:val="16"/>
          <w:szCs w:val="16"/>
        </w:rPr>
        <w:softHyphen/>
        <w:t>тировать нормальную подачу десантни</w:t>
      </w:r>
      <w:r w:rsidRPr="00271E51">
        <w:rPr>
          <w:rFonts w:ascii="Times New Roman" w:hAnsi="Times New Roman"/>
          <w:color w:val="000000" w:themeColor="text1"/>
          <w:sz w:val="16"/>
          <w:szCs w:val="16"/>
        </w:rPr>
        <w:softHyphen/>
        <w:t>кам пополнения и снабжения, Военный Совет Отдельной Приморской армии принял решение о снятии группы пол</w:t>
      </w:r>
      <w:r w:rsidRPr="00271E51">
        <w:rPr>
          <w:rFonts w:ascii="Times New Roman" w:hAnsi="Times New Roman"/>
          <w:color w:val="000000" w:themeColor="text1"/>
          <w:sz w:val="16"/>
          <w:szCs w:val="16"/>
        </w:rPr>
        <w:softHyphen/>
        <w:t>ковника В.Ф.Гладкова с занимаемого плацдарма. В ночь на 10 декабря моря</w:t>
      </w:r>
      <w:r w:rsidRPr="00271E51">
        <w:rPr>
          <w:rFonts w:ascii="Times New Roman" w:hAnsi="Times New Roman"/>
          <w:color w:val="000000" w:themeColor="text1"/>
          <w:sz w:val="16"/>
          <w:szCs w:val="16"/>
        </w:rPr>
        <w:softHyphen/>
        <w:t>ки под интенсивным артиллерийским и минометным огнем противника сняли с берега 1080 десантников, потеряв при этом 8 судов. В следующую ночь уда</w:t>
      </w:r>
      <w:r w:rsidRPr="00271E51">
        <w:rPr>
          <w:rFonts w:ascii="Times New Roman" w:hAnsi="Times New Roman"/>
          <w:color w:val="000000" w:themeColor="text1"/>
          <w:sz w:val="16"/>
          <w:szCs w:val="16"/>
        </w:rPr>
        <w:softHyphen/>
        <w:t>лось принять только 360 десантников. Посадка на катера шла одновременно с боем с противником, многие добирались на суда вплавь на бревнах и других под</w:t>
      </w:r>
      <w:r w:rsidRPr="00271E51">
        <w:rPr>
          <w:rFonts w:ascii="Times New Roman" w:hAnsi="Times New Roman"/>
          <w:color w:val="000000" w:themeColor="text1"/>
          <w:sz w:val="16"/>
          <w:szCs w:val="16"/>
        </w:rPr>
        <w:softHyphen/>
        <w:t>ручных средствах...(6467).</w:t>
      </w:r>
    </w:p>
    <w:p w14:paraId="70AA8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26B7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710A2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2571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из Куйбышева с за</w:t>
      </w:r>
      <w:r w:rsidRPr="00271E51">
        <w:rPr>
          <w:rFonts w:ascii="Times New Roman" w:hAnsi="Times New Roman"/>
          <w:color w:val="000000" w:themeColor="text1"/>
          <w:sz w:val="16"/>
          <w:szCs w:val="16"/>
        </w:rPr>
        <w:softHyphen/>
        <w:t>вода № 24 самолетом на завод № 240 был достав</w:t>
      </w:r>
      <w:r w:rsidRPr="00271E51">
        <w:rPr>
          <w:rFonts w:ascii="Times New Roman" w:hAnsi="Times New Roman"/>
          <w:color w:val="000000" w:themeColor="text1"/>
          <w:sz w:val="16"/>
          <w:szCs w:val="16"/>
        </w:rPr>
        <w:softHyphen/>
        <w:t>лен новый АМ-42. После установки мотора на "следопыт" при пробных гонках на земле и в полете 13 де</w:t>
      </w:r>
      <w:r w:rsidRPr="00271E51">
        <w:rPr>
          <w:rFonts w:ascii="Times New Roman" w:hAnsi="Times New Roman"/>
          <w:color w:val="000000" w:themeColor="text1"/>
          <w:sz w:val="16"/>
          <w:szCs w:val="16"/>
        </w:rPr>
        <w:softHyphen/>
        <w:t>кабря вновь выявились ненормально</w:t>
      </w:r>
      <w:r w:rsidRPr="00271E51">
        <w:rPr>
          <w:rFonts w:ascii="Times New Roman" w:hAnsi="Times New Roman"/>
          <w:color w:val="000000" w:themeColor="text1"/>
          <w:sz w:val="16"/>
          <w:szCs w:val="16"/>
        </w:rPr>
        <w:softHyphen/>
        <w:t>сти в его работе. Четвертый по сче</w:t>
      </w:r>
      <w:r w:rsidRPr="00271E51">
        <w:rPr>
          <w:rFonts w:ascii="Times New Roman" w:hAnsi="Times New Roman"/>
          <w:color w:val="000000" w:themeColor="text1"/>
          <w:sz w:val="16"/>
          <w:szCs w:val="16"/>
        </w:rPr>
        <w:softHyphen/>
        <w:t>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w:t>
      </w:r>
      <w:r w:rsidRPr="00271E51">
        <w:rPr>
          <w:rFonts w:ascii="Times New Roman" w:hAnsi="Times New Roman"/>
          <w:color w:val="000000" w:themeColor="text1"/>
          <w:sz w:val="16"/>
          <w:szCs w:val="16"/>
        </w:rPr>
        <w:softHyphen/>
        <w:t>тов вновь изменили регулировку кар</w:t>
      </w:r>
      <w:r w:rsidRPr="00271E51">
        <w:rPr>
          <w:rFonts w:ascii="Times New Roman" w:hAnsi="Times New Roman"/>
          <w:color w:val="000000" w:themeColor="text1"/>
          <w:sz w:val="16"/>
          <w:szCs w:val="16"/>
        </w:rPr>
        <w:softHyphen/>
        <w:t>бюраторов и поменяли водо- и мас-лорадиаторы. Но эти доработки по</w:t>
      </w:r>
      <w:r w:rsidRPr="00271E51">
        <w:rPr>
          <w:rFonts w:ascii="Times New Roman" w:hAnsi="Times New Roman"/>
          <w:color w:val="000000" w:themeColor="text1"/>
          <w:sz w:val="16"/>
          <w:szCs w:val="16"/>
        </w:rPr>
        <w:softHyphen/>
        <w:t>могли мало. Опытный самолет вновь встал на прикол (11427).</w:t>
      </w:r>
    </w:p>
    <w:p w14:paraId="2B836F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6333C"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1F87D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E270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г. был утвержден эскизный проект нового танка Объект 701 (10703).</w:t>
      </w:r>
    </w:p>
    <w:p w14:paraId="2E0101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D08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w:t>
      </w:r>
      <w:r w:rsidRPr="00271E51">
        <w:rPr>
          <w:rFonts w:ascii="Times New Roman" w:hAnsi="Times New Roman"/>
          <w:color w:val="000000" w:themeColor="text1"/>
          <w:sz w:val="16"/>
          <w:szCs w:val="16"/>
        </w:rPr>
        <w:softHyphen/>
        <w:t>ря 1943 г. был утвержден эскизный проект машины под условным индексом «К» Челябинского Кировского за</w:t>
      </w:r>
      <w:r w:rsidRPr="00271E51">
        <w:rPr>
          <w:rFonts w:ascii="Times New Roman" w:hAnsi="Times New Roman"/>
          <w:color w:val="000000" w:themeColor="text1"/>
          <w:sz w:val="16"/>
          <w:szCs w:val="16"/>
        </w:rPr>
        <w:softHyphen/>
        <w:t>вода (ко</w:t>
      </w:r>
      <w:r w:rsidRPr="00271E51">
        <w:rPr>
          <w:rFonts w:ascii="Times New Roman" w:hAnsi="Times New Roman"/>
          <w:color w:val="000000" w:themeColor="text1"/>
          <w:sz w:val="16"/>
          <w:szCs w:val="16"/>
        </w:rPr>
        <w:softHyphen/>
        <w:t>торый по своим ТТХ должен был превзойти все известные отечественные и зарубежные машины и к разработке которого были привлечены преподаватели и студенты МВТУ им. Баумана, дипломники ВАММ), а весной 1944 г. комиссия ТУ ГБТУ пришла к за</w:t>
      </w:r>
      <w:r w:rsidRPr="00271E51">
        <w:rPr>
          <w:rFonts w:ascii="Times New Roman" w:hAnsi="Times New Roman"/>
          <w:color w:val="000000" w:themeColor="text1"/>
          <w:sz w:val="16"/>
          <w:szCs w:val="16"/>
        </w:rPr>
        <w:softHyphen/>
        <w:t>ключению, что «по своим основным боевым качествам, воору</w:t>
      </w:r>
      <w:r w:rsidRPr="00271E51">
        <w:rPr>
          <w:rFonts w:ascii="Times New Roman" w:hAnsi="Times New Roman"/>
          <w:color w:val="000000" w:themeColor="text1"/>
          <w:sz w:val="16"/>
          <w:szCs w:val="16"/>
        </w:rPr>
        <w:softHyphen/>
        <w:t>жению, бронированию, узлам и агрегатам силовой установки и трансмиссии, механизмам управления танком и огнем, танк конструкции Кировского завода, безусловно, заслуживает то</w:t>
      </w:r>
      <w:r w:rsidRPr="00271E51">
        <w:rPr>
          <w:rFonts w:ascii="Times New Roman" w:hAnsi="Times New Roman"/>
          <w:color w:val="000000" w:themeColor="text1"/>
          <w:sz w:val="16"/>
          <w:szCs w:val="16"/>
        </w:rPr>
        <w:softHyphen/>
        <w:t>го, чтобы в кратчайший срок дать разрешение Кировскому за</w:t>
      </w:r>
      <w:r w:rsidRPr="00271E51">
        <w:rPr>
          <w:rFonts w:ascii="Times New Roman" w:hAnsi="Times New Roman"/>
          <w:color w:val="000000" w:themeColor="text1"/>
          <w:sz w:val="16"/>
          <w:szCs w:val="16"/>
        </w:rPr>
        <w:softHyphen/>
        <w:t>воду на изготовление двух опытных образцов (11135).</w:t>
      </w:r>
    </w:p>
    <w:p w14:paraId="5E6F06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4397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года вышел приказ № 743 НКТП</w:t>
      </w:r>
    </w:p>
    <w:p w14:paraId="73FC778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исполнение распоряжения Совнаркома от 10 декабря 1943 года за № 23237-рс:</w:t>
      </w:r>
    </w:p>
    <w:p w14:paraId="3782107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частичное изменение моего приказа от 20 августа 1943 года за № 505-с Ижорский завод в Ленинграде, подчиненный непосредственно НКТП передать в ведение III Гл. управления (6142, 59).</w:t>
      </w:r>
    </w:p>
    <w:p w14:paraId="13BF904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E0F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4750. Об увеличении отпуска электроэнергии предприятиям НКЧМ и НКЦМ на Урале в декабре 1943 г.РГАНИР, Фонд ГКО, д. 182, лл. 95 (11012).</w:t>
      </w:r>
    </w:p>
    <w:p w14:paraId="317CB9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00A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4751 О закреплении на работе по строительству литейного цеха Павшинского завода Наркомата промышленности стройматериалов 250 человек красноармейцев, бывших в плену и вышедших из окружения.РГАНИР, Фонд ГКО, д. 182, лл. 96 (11012).</w:t>
      </w:r>
    </w:p>
    <w:p w14:paraId="65F59D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1B5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4752 О подготовке квалифицированных рабочих для завода № 500 Наркомавиапрома.РГАНИР, Фонд ГКО, д. 182, лл. 97-99, 100 (11012).</w:t>
      </w:r>
    </w:p>
    <w:p w14:paraId="2E8EC4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7F58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4753 [О мерах по обеспечению выполнения Уктусским кирпичным заводом "Новострой" плана поставок кирпича оборонным стройкам.] (7163, 101-102).</w:t>
      </w:r>
    </w:p>
    <w:p w14:paraId="6A62B1A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453DC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4754 О реконструкции Вышне-Волоцкой водной системы и гидротехническом строительстве на озере Велье. (7163, 103-105,106).</w:t>
      </w:r>
    </w:p>
    <w:p w14:paraId="6661239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009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4755. О мерах по обеспечению выполнения плана выработки литейных концентратов из барды сульфитно-спиртового производства на декабрь 1943 г.РГАНИР, Фонд ГКО, д. 182, лл. 107 (11012).</w:t>
      </w:r>
    </w:p>
    <w:p w14:paraId="11A176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B7E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4756. О повторных испытаниях бронелиста из стали КМ-1 (ФД 5732) на УЗТМ.РГАНИР, Фонд ГКО, д. 182, лл. 108 (11012).</w:t>
      </w:r>
    </w:p>
    <w:p w14:paraId="3D3D7C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3E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10 декабря 1943 вышло Распоряжение ГКО № 4757. О выделении дополнительно 10 тыс. т угля электростанциям Свердловэнерго для обеспечения подачи электроэнергии в г. Молотов.РГАНИР, Фонд ГКО, д. 182, лл. 109 (11012).</w:t>
      </w:r>
    </w:p>
    <w:p w14:paraId="14DE09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FE9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4758. Об отмене решения Мосгорисполкома о передаче завода "Металлоизделий" из НКМП РСФСР тресту производственных предприятий Мосжилуправления.РГАНИР, Фонд ГКО, д. 182, лл. 110 (11012).</w:t>
      </w:r>
    </w:p>
    <w:p w14:paraId="3A2FA8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6CB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4759. О мерах по ремонту двигателей боевых и вспомогательных катеров действующего ВМФ.РГАНИР, Фонд ГКО, д. 182, лл. 111, 112-115 (11012).</w:t>
      </w:r>
    </w:p>
    <w:p w14:paraId="09CFEA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46E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4760. О мерах по обеспечению сроков проектирования энергетических объектов в освобожденных районах.РГАНИР, Фонд ГКО, д. 182, лл. 116 (11012).</w:t>
      </w:r>
    </w:p>
    <w:p w14:paraId="0FEDD0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484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4761. О передаче 300 красноармейцев, вернувшихся из плена или окружения, а также рабочих из ПТК, отбывших срок заключения, на работу в доменном цехе Косогорского металлургического завода с освобождением их от призыва в КА.РГАНИР, Фонд ГКО, д. 182, лл. 17 (11012).</w:t>
      </w:r>
    </w:p>
    <w:p w14:paraId="782CF6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DB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Распоряжение ГКО № 4762. О поставках уксусной кислоты для производства растворителей для НКАП.РГАНИР, Фонд ГКО, д. 182, лл. 118 (11012).</w:t>
      </w:r>
    </w:p>
    <w:p w14:paraId="0D6096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F69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4763 О поставке НКО и НКВМФ боеприпасов в декабре 1943 года.РГАНИР, Фонд ГКО, д. 182, лл. 119-146, 147-179 (11012).</w:t>
      </w:r>
    </w:p>
    <w:p w14:paraId="2BED9A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FA9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4764 О плане производства и поставок НКО и НКВМФ артиллерийского, минометного и стрелкового вооружения и военных приборов на декабрь 1943 года.РГАНИР, Фонд ГКО, д. 182, лл. 180-200, 201-215 (11012).</w:t>
      </w:r>
    </w:p>
    <w:p w14:paraId="6C184B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3B7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4765 О плане производства и поставок патронов и звеньев Наркоматом вооружения в декабре 1943 года.РГАНИР, Фонд ГКО, д. 182, лл. 216-222, 223-231 (11012).</w:t>
      </w:r>
    </w:p>
    <w:p w14:paraId="2456B9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7C8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4766 О плане производства и поставок пулеметов-пистолетов Шпагина и ПП-43 в декабре 1943 г.РГАНИР, Фонд ГКО, д. 182, лл. 232-237, 238-247 (11012).</w:t>
      </w:r>
    </w:p>
    <w:p w14:paraId="475275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BEC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4767 О плане производства танков, самоходных установок, дизелей, запасных частей и ремонта танков, самоходных установок и дизелей на декабрь 1943 г.РГАНИР, Фонд ГКО, д. 182, лл. 248-261, 262 (11012).</w:t>
      </w:r>
    </w:p>
    <w:p w14:paraId="4A302C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F8E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4768 О плане добычи угля и сланца по Наркомуглю на декабрь 1943 года.РГАНИР, Фонд ГКО, д. 182, лл. 263-270, 271-272 (11012).</w:t>
      </w:r>
    </w:p>
    <w:p w14:paraId="16A369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FD0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вышло Постановление ГКО № 4769 О добыче нефти и выработке нефтепродуктов в декабре 1943 года.РГАНИР, Фонд ГКО, д. 182, лл. 273-279, 280-281 (11012).</w:t>
      </w:r>
    </w:p>
    <w:p w14:paraId="5D9DA3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EFB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г. Доклады и проекты мероприятий по вопросам работы предприятий, обеспечивающих Военно-Морской Флот техникой, представленные в ЦК ВКП(б) А.А.Жданову народным комиссаром Военно-Морского Флота Н.И.Кузнецовым. Д.15, л.1-56 (11775).</w:t>
      </w:r>
    </w:p>
    <w:p w14:paraId="052EAA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2B3B2" w14:textId="77777777" w:rsidR="00FC04C9" w:rsidRPr="00271E51" w:rsidRDefault="00DE5AB5"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BF494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0F0B383"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10 декабря </w:t>
      </w:r>
      <w:r w:rsidRPr="00271E51">
        <w:rPr>
          <w:rFonts w:ascii="Times New Roman" w:hAnsi="Times New Roman"/>
          <w:color w:val="000000" w:themeColor="text1"/>
          <w:sz w:val="16"/>
          <w:szCs w:val="16"/>
        </w:rPr>
        <w:t>в 1943 году оперативная сводка Совинформбюро:</w:t>
      </w:r>
    </w:p>
    <w:p w14:paraId="7D235BFD"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2-го Украинского фронта после трёхдневных упорных боёв 9 декабря овладели городом и железнодорожным узлом Знаменка.</w:t>
      </w:r>
    </w:p>
    <w:p w14:paraId="508CE9F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декабря на Кировоградском направлении наши войска с боями заняли населённые пункты Григорьевка, Плешково, Топило, Копани, Кучеровка, Хировка, Константиновка, Владимир, Вершина-Каменка, Петровский, Чечелевка и железнодорожные станции Хировка, Чабановка.</w:t>
      </w:r>
    </w:p>
    <w:p w14:paraId="48F8F968"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Малин наши войска успешно отбивали атаки крупных сил пехоты и танков противника и нанесли ему большие потери в живой силе и технике.</w:t>
      </w:r>
    </w:p>
    <w:p w14:paraId="1284DF9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E82E21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9 декабря наши войска на всех фронтах подбили и уничтожили 122 немецких танка, из них 92 в районе северо-восточнее Черняхова. В воздушных боях и огнём зенитной артиллерии сбито 14 самолётов противника.</w:t>
      </w:r>
    </w:p>
    <w:p w14:paraId="4E28BA0A"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2-го Украинского фронта в результате трёхдневных напряжённых боёв овладели городом и важнейшим железнодорожным узлом Знаменка. Сломив оборону немцев на дальних подступах к Знаменке, наши танкисты прорвались в тыл противника и перерезали коммуникации немцев. Одновременно советские войска нанесли противнику решительный удар с фронта. Немцы оказывали упорное сопротивление. На окраинах города и перекрёстках улиц они врыли в землю танки и, опираясь на заранее созданные укрепления, неоднократно переходили в контратаки. Подавляя огневое сопротивление и отбивая контратаки немцев, советские бойцы ворвались в город и отвоёвывали у врага улицу за улицей. Вчера вечером: наши войска полностью очистили железнодорожный узел и город Знаменка от немецко-фашистских захватчиков. В боях за Знаменку противник понёс тяжёлы епотери. По неполным данным, только за 9 декабря уничтожено до 1.500 гитлеровцеви 23 немецких танка. Захвачено много орудий, боеприпасов и различного военного имущества. Взято значительное число пленных.</w:t>
      </w:r>
    </w:p>
    <w:p w14:paraId="0B75ED2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продолжали наступление. Части Н-ского соединения нанесли противнику стремительный удар и выбили его из нескольких населённых пунктов. Развивая успех, наши бойцы овладели железнодорожной станцией Хировка, имеющей важное значение. Немцы, в беспорядке отступая от этой станции, оставили на огневых позициях 8 орудий и склад боеприпасов. Захвачено также несколько десятков автомашин с грузами. На другом участке наши части, с боями продвигаясь вперёд, разгромили батальон немецкой пехоты. Взяты пленные.</w:t>
      </w:r>
    </w:p>
    <w:p w14:paraId="46168FC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Малин наши войска успешно отбивали атаки противника. Позиции Н-ского соединения сегодня атаковали крупные силы пехоты и свыше 200 вражеских танков. Советские артиллеристы встретили противника сосредоточенным огнём и нанесли ему большой урон. Некоторой части немецких танков, однако, удалось прорваться через наши боевые порядки. Советские танкисты, находившиеся в засаде, уничтожили эту группу танков противника. В течение дня сожжено и подбито 65 немецких танков, 14 самоходных орудий и до 40 бронетранспортёров. Рассеяно и частью уничтожено до полка пехоты противника. На другом участке огнём противотанковой артиллерии и бронебойщиков подбито и уничтожено 27 немецких танков.</w:t>
      </w:r>
    </w:p>
    <w:p w14:paraId="6A96DD78"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Витебской области, пустилпод откос несколько немецких воинских эшелонов, следовавших к линии фронта. Во время крушений разбито до 90 вагонов и платформ. Кроме того, партизаны подорвали на шоссейной дороге 5 автомашин, взорвали мост и разрушили телефонно-телеграфную линию связи.</w:t>
      </w:r>
    </w:p>
    <w:p w14:paraId="38BB416D"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3 роты 261 полка 113 немецкой пехотной дивизии, поляк понациональности, Франц Каминский рассказал: «В армию меня призвали в конце прошлого года. Сначала я служил в 217 полку в городе Вильно, а потом был направленв запасный полк во Францию. В подразделениях этого полка было очень много поляков, например, 1 рота насчитывала 70 поляков и только 50 немцев. В августе командование полка выделило большую группу немцев для отправки в Россию. У всех поляков отобрали немецкое вооружение, а также снаряжение и передали немцам, уезжавшим на фронт. Нам выдали взамен польское и французское оружие и весьма потрёпанное снаряжение. В сентябре я был направлен в специальный маршевый батальон и попал на Восточный фронт в 113 пехотную дивизию. Эта дивизия ранее находилась во Франции и в июне этого года была переброшена в Россию. За несколько месяцев боёв дивизия понесла ужасные потери. На фронте я был две недели. За эти дни половина нашей роты выбыла из строя».</w:t>
      </w:r>
    </w:p>
    <w:p w14:paraId="02C9BD9B"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села Летки, Киевской области, составили акт о зверствах немецко-фашистских мерзавцев. В акте говорится: «Немецкие захватчики разорилинаше село и убили много мирных граждан.</w:t>
      </w:r>
    </w:p>
    <w:p w14:paraId="107B8FF8"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Гитлеровские палачи устроили в центре села виселицу и повесили ни в чём неповинных жителей А.Зуба, К.Ильиченко, Ф.Слипку и других. Отступая из села, немцы оставили специальную команду поджигателей. Эти фашистские мерзавцы сожгли до 900 жилых домов, новую школу и другие общественные здания». Акт подписали жители села Летки: Шевченко, Друзь, Нетреба и другие.» (14856).</w:t>
      </w:r>
    </w:p>
    <w:p w14:paraId="6F4EDA76"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3F1FC8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декабря 1943 г. вышло ПРИКАЗАНИЕ НАЧАЛЬНИКА ШТАБА БТ и МВ КА ПО ОРГАНИЗАЦИИ ВЗАИМОДЕЙСТВИЯ ТАНКОВЫХ СОЕДИНЕНИЙ С ДРУГИМИ РОДАМИ ВОЙСК №1106651</w:t>
      </w:r>
    </w:p>
    <w:p w14:paraId="41612B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сообщается материал по организации взаимодействия танковых соединений с другими родами войск по опыту наступательных боев танковых войск Белорусского фронта для использова</w:t>
      </w:r>
      <w:r w:rsidRPr="00271E51">
        <w:rPr>
          <w:rFonts w:ascii="Times New Roman" w:hAnsi="Times New Roman"/>
          <w:color w:val="000000" w:themeColor="text1"/>
          <w:sz w:val="16"/>
          <w:szCs w:val="16"/>
        </w:rPr>
        <w:softHyphen/>
        <w:t>ния в войсках.</w:t>
      </w:r>
    </w:p>
    <w:p w14:paraId="47CC95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Организация взаимодействия с авиацией</w:t>
      </w:r>
    </w:p>
    <w:p w14:paraId="0E90F8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Действие танкового корпуса поддерживала штурмовая авиация, имея своего офицера с радио</w:t>
      </w:r>
      <w:r w:rsidRPr="00271E51">
        <w:rPr>
          <w:rFonts w:ascii="Times New Roman" w:hAnsi="Times New Roman"/>
          <w:color w:val="000000" w:themeColor="text1"/>
          <w:sz w:val="16"/>
          <w:szCs w:val="16"/>
        </w:rPr>
        <w:softHyphen/>
        <w:t>станцией на НП — командира корпуса.</w:t>
      </w:r>
    </w:p>
    <w:p w14:paraId="6AA35A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ограниченного количества танков у противника и значительного насыщения его обороны артиллерией, особенно зенитной, которая вела борьбу также и с танками, штурмовикам ставилась основная задача — борьба с артиллерией противника.</w:t>
      </w:r>
    </w:p>
    <w:p w14:paraId="17CC2E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показал опыт, налет штурмовиков на ОП артиллерии, предшествуемый атаке танков, ввиду разрыва времени между первым и последней, должного эффекта не давал, так как при налете штур</w:t>
      </w:r>
      <w:r w:rsidRPr="00271E51">
        <w:rPr>
          <w:rFonts w:ascii="Times New Roman" w:hAnsi="Times New Roman"/>
          <w:color w:val="000000" w:themeColor="text1"/>
          <w:sz w:val="16"/>
          <w:szCs w:val="16"/>
        </w:rPr>
        <w:softHyphen/>
        <w:t>мовиков артиллерия противника прекращала ведение огня, а при появлении танков открывала и по ним интенсивный огонь.</w:t>
      </w:r>
    </w:p>
    <w:p w14:paraId="0F2233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Наилучший эффект давала следующая организация взаимодействия: появление штурмовиков и их налет на объекты атаки являлись сигналом начала танковой атаки. Штурмовики подавляли опорные пункты и ОП артиллерии даже в том случае, когда наши танки, ворвавшись в эти районы, вели бой против этих объектов. В этом случае летчики прекращали бомбежку и использовали только пулеметный огонь</w:t>
      </w:r>
    </w:p>
    <w:p w14:paraId="2E20BD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Пушечный огонь использовался в случаях полной уверенности, что свои танки поражены, не будут.</w:t>
      </w:r>
    </w:p>
    <w:p w14:paraId="39038B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Танки, используя ослабление противотанкового огня противника во время штурмовки нашей авиацией, энергично продвигались вперед, врывались в районы, обрабатываемые авиацией, и довер</w:t>
      </w:r>
      <w:r w:rsidRPr="00271E51">
        <w:rPr>
          <w:rFonts w:ascii="Times New Roman" w:hAnsi="Times New Roman"/>
          <w:color w:val="000000" w:themeColor="text1"/>
          <w:sz w:val="16"/>
          <w:szCs w:val="16"/>
        </w:rPr>
        <w:softHyphen/>
        <w:t>шали разгром неприятеля.</w:t>
      </w:r>
    </w:p>
    <w:p w14:paraId="580E6D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подходом нашей пехоты удар танков и штурмовой авиации переносился в глубину в той же последовательности.</w:t>
      </w:r>
    </w:p>
    <w:p w14:paraId="3C8325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Широкое применение нашло использование штурмовиков в свободном полете, т.е. «охотников» без предварительного указания цели.</w:t>
      </w:r>
    </w:p>
    <w:p w14:paraId="0E49DC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этом случае штурмовики группами в 3-4 машины летали в стороне от районов предполагаемых целей и вели тщательное наблюдение. Если во время атаки танков обнаруживались неподавленные цели танками и непосредственно с ними взаимодействующими штурмовиками, штурмовики-охот</w:t>
      </w:r>
      <w:r w:rsidRPr="00271E51">
        <w:rPr>
          <w:rFonts w:ascii="Times New Roman" w:hAnsi="Times New Roman"/>
          <w:color w:val="000000" w:themeColor="text1"/>
          <w:sz w:val="16"/>
          <w:szCs w:val="16"/>
        </w:rPr>
        <w:softHyphen/>
        <w:t>ники атаковали эти цели и достаточно эффективно их уничтожали.</w:t>
      </w:r>
    </w:p>
    <w:p w14:paraId="429E10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Действия ближнебомбардировочной авиации по боевым порядкам противника необходимо применять до начала атаки танков. С развитием боя в глубине, когда точное положение своих войск установить трудно, применение ближнебомбардировочной авиации необходимо ограничивать уда</w:t>
      </w:r>
      <w:r w:rsidRPr="00271E51">
        <w:rPr>
          <w:rFonts w:ascii="Times New Roman" w:hAnsi="Times New Roman"/>
          <w:color w:val="000000" w:themeColor="text1"/>
          <w:sz w:val="16"/>
          <w:szCs w:val="16"/>
        </w:rPr>
        <w:softHyphen/>
        <w:t>рами по подходящим резервам, штабам, тылам и ОП дивизионной артиллерии, т.е. не ближе 3-4 км впереди атакующих своих частей.</w:t>
      </w:r>
    </w:p>
    <w:p w14:paraId="44DC35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Вызов и перенацеливание авиации в полете осуществлялись с НП командира танкового корпуса через радиостанцию офицера связи авиационного штаба.</w:t>
      </w:r>
    </w:p>
    <w:p w14:paraId="4EFE10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постановке задач следует принимать во внимание элемент времени. Практика показала, что с момента вызова и до появления штурмовиков над целью проходит в среднем 20-30 мин и такое же примерно время последним необходимо на подавление цели.</w:t>
      </w:r>
    </w:p>
    <w:p w14:paraId="03BD69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Применение полотнищ, а также условных обозначений «Я свой танк» обеспечивают обозначе</w:t>
      </w:r>
      <w:r w:rsidRPr="00271E51">
        <w:rPr>
          <w:rFonts w:ascii="Times New Roman" w:hAnsi="Times New Roman"/>
          <w:color w:val="000000" w:themeColor="text1"/>
          <w:sz w:val="16"/>
          <w:szCs w:val="16"/>
        </w:rPr>
        <w:softHyphen/>
        <w:t>ние своих войск только при расположении на месте, в динамике боя эти способы не применимы.</w:t>
      </w:r>
    </w:p>
    <w:p w14:paraId="1478BD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Применяемых цветных ракет из-за вспышек выстрелов и разрывов, а также трассирующих пуль и снарядов летчики не видят.</w:t>
      </w:r>
    </w:p>
    <w:p w14:paraId="76FBCC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Наилучшим способом обозначения наземных войск являются ракеты цветного дыма и комбина</w:t>
      </w:r>
      <w:r w:rsidRPr="00271E51">
        <w:rPr>
          <w:rFonts w:ascii="Times New Roman" w:hAnsi="Times New Roman"/>
          <w:color w:val="000000" w:themeColor="text1"/>
          <w:sz w:val="16"/>
          <w:szCs w:val="16"/>
        </w:rPr>
        <w:softHyphen/>
        <w:t>ция последних с применением полотнищ.</w:t>
      </w:r>
    </w:p>
    <w:p w14:paraId="34D71DA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Организация взаимодействия с артиллерией</w:t>
      </w:r>
    </w:p>
    <w:p w14:paraId="3B9A1D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операции 65 А танковый корпус поддерживал артиллерийский корпус.</w:t>
      </w:r>
    </w:p>
    <w:p w14:paraId="22643B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Офицер артиллерийского корпуса с радиостанцией находился при штабе артиллерии танкового корпуса, последний также имел дублирующую радиостанцию.</w:t>
      </w:r>
    </w:p>
    <w:p w14:paraId="7A4C17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вызова огня в интересах бригад и по их заявкам от артдивизий были выделены офицеры в бригады первого эшелона танкового корпуса. Эти последние двигались в радийных танках вместе с командирами бригад за боевыми порядками танковых батальонов, наблюдали ход боя и осуществля</w:t>
      </w:r>
      <w:r w:rsidRPr="00271E51">
        <w:rPr>
          <w:rFonts w:ascii="Times New Roman" w:hAnsi="Times New Roman"/>
          <w:color w:val="000000" w:themeColor="text1"/>
          <w:sz w:val="16"/>
          <w:szCs w:val="16"/>
        </w:rPr>
        <w:softHyphen/>
        <w:t>ли непосредственно вызов артиллерийского огня.</w:t>
      </w:r>
    </w:p>
    <w:p w14:paraId="542FC1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огнем по заявкам танковых бригад осуществлялось через штаб поддерживающей артдивизий, а вызов огня в интересах всего танкового корпуса по наиболее важным объектам осу</w:t>
      </w:r>
      <w:r w:rsidRPr="00271E51">
        <w:rPr>
          <w:rFonts w:ascii="Times New Roman" w:hAnsi="Times New Roman"/>
          <w:color w:val="000000" w:themeColor="text1"/>
          <w:sz w:val="16"/>
          <w:szCs w:val="16"/>
        </w:rPr>
        <w:softHyphen/>
        <w:t>ществлялся из штаба артиллерии танкового корпуса через штаб арткорпуса.</w:t>
      </w:r>
    </w:p>
    <w:p w14:paraId="4729D5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организация связи позволяла гибко управлять артогнем поддерживающей артиллерии, быстро его переносить и сосредоточивать в нужных районах как артдивизий, так и всего арткорпуса.</w:t>
      </w:r>
    </w:p>
    <w:p w14:paraId="2AED59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ввода в бой танкового корпуса арткорпус участвовал в артнаступлении.</w:t>
      </w:r>
    </w:p>
    <w:p w14:paraId="6E9B68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вводом ТК в бой весь арткорпус переключался на обеспечение действий ТК и вел огонь по заранее подготовленным рубежам и районам.</w:t>
      </w:r>
    </w:p>
    <w:p w14:paraId="5B0A1A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отлично организованной, прямо и четко работающей связи и непрерывному управ</w:t>
      </w:r>
      <w:r w:rsidRPr="00271E51">
        <w:rPr>
          <w:rFonts w:ascii="Times New Roman" w:hAnsi="Times New Roman"/>
          <w:color w:val="000000" w:themeColor="text1"/>
          <w:sz w:val="16"/>
          <w:szCs w:val="16"/>
        </w:rPr>
        <w:softHyphen/>
        <w:t>лению огнем вся артиллерия могла обрушить свой огонь по целям и районам, оказывая решающее влияние на ход боя.</w:t>
      </w:r>
    </w:p>
    <w:p w14:paraId="2DA829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связь давала возможность быстро сосредоточить огонь по целям, ранее не предусмотрен</w:t>
      </w:r>
      <w:r w:rsidRPr="00271E51">
        <w:rPr>
          <w:rFonts w:ascii="Times New Roman" w:hAnsi="Times New Roman"/>
          <w:color w:val="000000" w:themeColor="text1"/>
          <w:sz w:val="16"/>
          <w:szCs w:val="16"/>
        </w:rPr>
        <w:softHyphen/>
        <w:t>ным таблицей огня и выявленным в процессе боя.</w:t>
      </w:r>
    </w:p>
    <w:p w14:paraId="275EFE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Практика показала, что ТК (МК) должен иметь прямую радиосвязь с артиллерией соседней армии. Ибо в случае вызова огня последней, особенно при действиях в глубине обороны противни</w:t>
      </w:r>
      <w:r w:rsidRPr="00271E51">
        <w:rPr>
          <w:rFonts w:ascii="Times New Roman" w:hAnsi="Times New Roman"/>
          <w:color w:val="000000" w:themeColor="text1"/>
          <w:sz w:val="16"/>
          <w:szCs w:val="16"/>
        </w:rPr>
        <w:softHyphen/>
        <w:t>ка, через шифросвязь отнимает весьма много времени.</w:t>
      </w:r>
    </w:p>
    <w:p w14:paraId="024865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БТМВ КА ПРИКАЗАЛ:</w:t>
      </w:r>
    </w:p>
    <w:p w14:paraId="2E79F2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организации боевых действий танковых войск использовать данный опыт при организа</w:t>
      </w:r>
      <w:r w:rsidRPr="00271E51">
        <w:rPr>
          <w:rFonts w:ascii="Times New Roman" w:hAnsi="Times New Roman"/>
          <w:color w:val="000000" w:themeColor="text1"/>
          <w:sz w:val="16"/>
          <w:szCs w:val="16"/>
        </w:rPr>
        <w:softHyphen/>
        <w:t>ции взаимодействия танковых войск с другими родами. Совершенствовать формы и методы взаимо</w:t>
      </w:r>
      <w:r w:rsidRPr="00271E51">
        <w:rPr>
          <w:rFonts w:ascii="Times New Roman" w:hAnsi="Times New Roman"/>
          <w:color w:val="000000" w:themeColor="text1"/>
          <w:sz w:val="16"/>
          <w:szCs w:val="16"/>
        </w:rPr>
        <w:softHyphen/>
        <w:t>действия, изыскивать наиболее совершенные в практичном отношении в соответствии со степенью подготовки войск, характером театра военных действий и дающие наибольший эффект в объедине</w:t>
      </w:r>
      <w:r w:rsidRPr="00271E51">
        <w:rPr>
          <w:rFonts w:ascii="Times New Roman" w:hAnsi="Times New Roman"/>
          <w:color w:val="000000" w:themeColor="text1"/>
          <w:sz w:val="16"/>
          <w:szCs w:val="16"/>
        </w:rPr>
        <w:softHyphen/>
        <w:t>нии усилий всех родов войск на поле боя.</w:t>
      </w:r>
    </w:p>
    <w:p w14:paraId="175C29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Накопленный опыт организации и осуществления взаимодействия танковых и механизирован</w:t>
      </w:r>
      <w:r w:rsidRPr="00271E51">
        <w:rPr>
          <w:rFonts w:ascii="Times New Roman" w:hAnsi="Times New Roman"/>
          <w:color w:val="000000" w:themeColor="text1"/>
          <w:sz w:val="16"/>
          <w:szCs w:val="16"/>
        </w:rPr>
        <w:softHyphen/>
        <w:t>ных войск, особенно с авиацией и артиллерией, изучать, обобщать и представлять в штаб БТМВ КА.</w:t>
      </w:r>
    </w:p>
    <w:p w14:paraId="45B6CF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11353. Д. 30. Л. 29-31. Подлинник.</w:t>
      </w:r>
    </w:p>
    <w:p w14:paraId="11398D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штаба БТ и МВ КА генерал-майор танковых войск М. Салминов (11403).</w:t>
      </w:r>
    </w:p>
    <w:p w14:paraId="67E65F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36181" w14:textId="77777777" w:rsidR="00EF645F" w:rsidRPr="00271E51" w:rsidRDefault="00EF645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2F039CE" w14:textId="77777777" w:rsidR="00EF645F" w:rsidRPr="00271E51" w:rsidRDefault="00EF645F"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E64032" w14:textId="77777777" w:rsidR="00EF645F" w:rsidRPr="00271E51" w:rsidRDefault="00EF645F"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10 декабря 1943 г. в третьем налете на Софию участвовали бомбардировщики В-24 и истребители Р-38, всего 120 машин. Им навстречу с аэродрома Карлово взлетели 16 истребителей </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 xml:space="preserve">-520 из 1-й авиагруппы, с аэродрома Враждебна - шесть </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 xml:space="preserve">-520 из 2-й авиагруппы, а с аэродрома Божуристе - 17 </w:t>
      </w:r>
      <w:r w:rsidRPr="00271E51">
        <w:rPr>
          <w:rFonts w:ascii="Times New Roman" w:hAnsi="Times New Roman" w:cs="Times New Roman"/>
          <w:color w:val="000000" w:themeColor="text1"/>
          <w:sz w:val="16"/>
          <w:szCs w:val="16"/>
          <w:lang w:val="en-US"/>
        </w:rPr>
        <w:t>Bf</w:t>
      </w:r>
      <w:r w:rsidRPr="00271E51">
        <w:rPr>
          <w:rFonts w:ascii="Times New Roman" w:hAnsi="Times New Roman" w:cs="Times New Roman"/>
          <w:color w:val="000000" w:themeColor="text1"/>
          <w:sz w:val="16"/>
          <w:szCs w:val="16"/>
        </w:rPr>
        <w:t>-109</w:t>
      </w:r>
      <w:r w:rsidRPr="00271E51">
        <w:rPr>
          <w:rFonts w:ascii="Times New Roman" w:hAnsi="Times New Roman" w:cs="Times New Roman"/>
          <w:color w:val="000000" w:themeColor="text1"/>
          <w:sz w:val="16"/>
          <w:szCs w:val="16"/>
          <w:lang w:val="en-US"/>
        </w:rPr>
        <w:t>G</w:t>
      </w:r>
      <w:r w:rsidRPr="00271E51">
        <w:rPr>
          <w:rFonts w:ascii="Times New Roman" w:hAnsi="Times New Roman" w:cs="Times New Roman"/>
          <w:color w:val="000000" w:themeColor="text1"/>
          <w:sz w:val="16"/>
          <w:szCs w:val="16"/>
        </w:rPr>
        <w:t>-2 из 3-й ави</w:t>
      </w:r>
      <w:r w:rsidRPr="00271E51">
        <w:rPr>
          <w:rFonts w:ascii="Times New Roman" w:hAnsi="Times New Roman" w:cs="Times New Roman"/>
          <w:color w:val="000000" w:themeColor="text1"/>
          <w:sz w:val="16"/>
          <w:szCs w:val="16"/>
        </w:rPr>
        <w:softHyphen/>
        <w:t xml:space="preserve">агруппы. По болгарской версии их летчики повредили три «Либе- рейтора» и четыре Р-38, а сами потеряли один истребитель </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-520. По американским же данным им удалось сбить И «Девуатинов», потеряв лишь один Р-38.</w:t>
      </w:r>
    </w:p>
    <w:p w14:paraId="30398606" w14:textId="77777777" w:rsidR="00EF645F" w:rsidRPr="00271E51" w:rsidRDefault="00EF645F"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Софию и ее пригороды упало до 270 авиабомб, погибло 11 мирных граждан (19104).</w:t>
      </w:r>
    </w:p>
    <w:p w14:paraId="29D74F13" w14:textId="77777777" w:rsidR="00EF645F" w:rsidRPr="00271E51" w:rsidRDefault="00EF645F" w:rsidP="00271E51">
      <w:pPr>
        <w:spacing w:after="0" w:line="240" w:lineRule="auto"/>
        <w:jc w:val="both"/>
        <w:rPr>
          <w:rFonts w:ascii="Times New Roman" w:hAnsi="Times New Roman"/>
          <w:color w:val="000000" w:themeColor="text1"/>
          <w:sz w:val="16"/>
          <w:szCs w:val="16"/>
        </w:rPr>
      </w:pPr>
    </w:p>
    <w:p w14:paraId="58BA5E97" w14:textId="77777777" w:rsidR="00C65CD4" w:rsidRPr="00271E51" w:rsidRDefault="00C65CD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10 декабря 1943 официальное открытие взлетно-посадочной полосы союзников на мысе Торокина на Бугенвиле (20376).</w:t>
      </w:r>
    </w:p>
    <w:p w14:paraId="00CBA4BF" w14:textId="77777777" w:rsidR="00C65CD4" w:rsidRPr="00271E51" w:rsidRDefault="00C65CD4" w:rsidP="00271E51">
      <w:pPr>
        <w:spacing w:after="0" w:line="240" w:lineRule="auto"/>
        <w:jc w:val="both"/>
        <w:rPr>
          <w:rFonts w:ascii="Times New Roman" w:hAnsi="Times New Roman"/>
          <w:color w:val="0070C0"/>
          <w:sz w:val="16"/>
          <w:szCs w:val="16"/>
        </w:rPr>
      </w:pPr>
    </w:p>
    <w:p w14:paraId="44015CE6"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355CA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57E5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вышел приказ НКАП N 742с:</w:t>
      </w:r>
    </w:p>
    <w:p w14:paraId="001DB0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обеспечения ремонта самолетов Ил-2, находящихся на эксплуатации ВВС ДВФ:</w:t>
      </w:r>
    </w:p>
    <w:p w14:paraId="0E048B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Ремонт 285 самолетов Ил-2, находящихся на эксплуатации ВВС ДВФ за исключением 200 самолетов, ремонтируемых силами ВВС ДВФ в частях возложить на заводы 83 и 116 в следующих количествах: 83 - 204, 116 - 81 самолет.</w:t>
      </w:r>
    </w:p>
    <w:p w14:paraId="5F5FD6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Директорам заводов 83 и 116 Муратову и Новикову считать работы по ремонту самолетов Ил-2 первоочередными (1765,29).</w:t>
      </w:r>
    </w:p>
    <w:p w14:paraId="7AC5D3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0A24A"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03EAD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8D1F9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11 декабря 1943 г. из СПРАВКИ ИНСТРУКТОРА ОТДЕЛА ПРОМЫШЛЕННОСТИ БОЕПРИПАСОВ П.Н. ГОРЛОВА О СОСТОЯНИИ ОБЩЕЖИТИЙ НА КОМБИНАТЕ № 179</w:t>
      </w:r>
    </w:p>
    <w:p w14:paraId="040127F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ночь с 9-го на 10-е декабря с.г. мною, совместно с зам. председателя З.К.С. комбината № 179 Котляровским, произведено обследование общежитий рабочих комбината № 179, расположенных в поселке им. Дюканова, домоуправления № 21 (зав. домоуправлением Шелепов). Общежития организованы на мансардных одноэтажных засыпных домах. Всего проверено в данном районе 10 общежитий. В общежитиях домов №№ 1, 2, 3, 27, 28, 34, 36 (во второй половине) проживают женщины в комнатах на площади 90—100 квадратных метров по 35—40 человек. Работницы спят на деревянных топчанах, а некоторые из них имеют железные кровати. Электропроводка во всех комнатах имеется, однако света явно недостаточно из-за отсутствия лампочек. На комнату в 100 квадратных метров одна лампочка мощностью в 25-50 ватт, причем горит красным светом. В большинстве общежитий нет умывальников, благодаря чему работницы ложатся спать грязными. Равномерная температура в общежитиях не поддерживается. &amp;го заставило жильцов использовать всю свободную постельную принадлежность (свободные одеяла, подушки и т.д.), независимо от того, кому последние принадлежат, а в тех случаях, когда постельные принадлежности (свободные) отсутствуют, используется верхняя рабочая (грязная) одежда. Места для стирки белья не отведено, поэтому стирка и сушка белья проводится там же, в общежитиях. Комнаты не утеплены, особенно в местах неиспользуемых дверей. В общежитиях часто появляются вши и другие вредные насекомые. Борьба с подобного рода явлением ведется недостаточно. Бани в данном районе нет. Работающие бани в других районах санобработкой не обеспечивают. Санврачи в общежитиях никогда не бывают. В общежитии дома № 1 находится больная работница цеха № 17 завода № 677 т. Шмакова А., с 20 ноября сего года без медицинской помощи и даже не имеет продуктовых карточек. Обслуживающий персонал домоуправления недостаточно заботится об удовлетворении нужд работниц. Так, например, в общежитии № 43 (зав. Любенко) работницы часто остаются без кипятка, несмотря на его изобилие в кубовой. В общежитии № 27 работница Ванишевич с 5 декабря 1942 года живет без постельных принадлежностей; работницы Блинникова, Сапогова, Любопытнова, Мазутная с октября месяца спят на одних матрацах. Белье в этом общежитии не менялось. Заведующая общежитием Басова самовольно оставила общежитие и с 5 декабря не является на работу. В общежитиях свободно чувствуют себя прогульщики. Хорошо выглядит женское общежитие в доме № 33. Полы чистые, постели чистые, содержатся в полном порядке, в комнатах светло. Работницы Синигаева, Васильева, Архипова, Монакова заявляют, что их отдых вполне обеспечиваемся. Недостает только культурного обслуживания. Следовало бы обновить радиорепродуктор и обеспечивать в большем размере газетами. В общежитии дома № 4 и 36 проживают рабочие-мужчины. Общежитие дома № 4 не штукатурено, грязное. Рабочие спят на постели в верхней одежде, раздетые рабочие укрываются своей грязной верхней одеждой. В помещении холодно. Топка не организована. Рабочие общежития № 36 говорят, что они все работают в первой смене. Время окончания работы на заводе совпадает с окончанием выдачи топлива в общежития, благодаря чему они не успевают для себя получить его из склада домоуправления; помещение отапливают тем топливом, которое принесут с завода. Имеются случаи воровства. Рабочие и работницы, которые во время посещения участков в беседе заявили, что они кушают один раз в сутки, во время обеденного перерыва на заводе. Других источников получения пищи после работы нет, так как столовые, обслуживающие их, в данный момент переключены для обслуживания пополнения. Система дополнительного питания на заводах до сих пор не организована.</w:t>
      </w:r>
    </w:p>
    <w:p w14:paraId="3B67E9B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Инструктор отдела промышленности боеприпасов Горлов</w:t>
      </w:r>
    </w:p>
    <w:p w14:paraId="1C7E761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506. Л. 24. Подлинник.</w:t>
      </w:r>
    </w:p>
    <w:p w14:paraId="3A850AF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(12194).</w:t>
      </w:r>
    </w:p>
    <w:p w14:paraId="1D01E7C4"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6D251B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г. вышло РАСПОРЯЖЕНИЕ НАЧАЛЬНИКА УСА ГБТУ КА СТАРШЕМУ ВОЕНПРЕДУ НА ЗАВОДЕ № 37 ОБ ОТПРАВКЕ ДЕСЯТИСКОРОСТНОЙ КПП ТАНКА Т-3 В г. ЧЕЛЯБИНСК КИРОВСКОМУ ЗАВОДУ № 36-328</w:t>
      </w:r>
    </w:p>
    <w:p w14:paraId="43A57A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танковой промышленности новейшими образцами коробок перемены пере</w:t>
      </w:r>
      <w:r w:rsidRPr="00271E51">
        <w:rPr>
          <w:rFonts w:ascii="Times New Roman" w:hAnsi="Times New Roman"/>
          <w:color w:val="000000" w:themeColor="text1"/>
          <w:sz w:val="16"/>
          <w:szCs w:val="16"/>
        </w:rPr>
        <w:softHyphen/>
        <w:t>дач необходимо одну десятискоростную КПП танка Т-3 со всеми приводами управления упаковать в ящик для отправки в г. Челябинск Кировскому заводу.</w:t>
      </w:r>
    </w:p>
    <w:p w14:paraId="3E470E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получения и отправки КПП к Вам прибудет представитель Кировского завода т. Бродский, которому и надлежит все выдать по доверенности Московской конторы Кировского завода.</w:t>
      </w:r>
    </w:p>
    <w:p w14:paraId="470CA1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УСА ГБТУ Красной Армии генерал-майор инженерно-танковой службы Алымов</w:t>
      </w:r>
    </w:p>
    <w:p w14:paraId="4A9030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ТУ ГБТУ Красной Армии инженер-подполковник Муравич</w:t>
      </w:r>
    </w:p>
    <w:p w14:paraId="18A5B4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11355а. Д. 360р. Л. 120. Копия (11403).</w:t>
      </w:r>
    </w:p>
    <w:p w14:paraId="281503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5CFC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г. из ДОКЛАДНОЙ ЗАПИСКИ ДИРЕКТОРА ЗАВОДА № 617 Н.А. ЖУКА СЕКРЕТАРЮ НОВОСИБИРСКОГО ОБКОМА ВКП(б) М.В. КУЛАГИНУ О ДЕЯТЕЛЬНОСТИ ЗАВОДА И ДОСРОЧНОМ ВЫДЕЛЕНИИ ДЛЯ СТРОИТЕЛЬСТВА РАБОЧИХ-ЗАКЛЮЧЕННЫХ И СТРОЙМАТЕРИАЛОВ</w:t>
      </w:r>
    </w:p>
    <w:p w14:paraId="306FD3F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Новосибирского обкома ВКП(б) т. М.В. Кулагину</w:t>
      </w:r>
    </w:p>
    <w:p w14:paraId="4D227A3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617 является основным заводом по выпуску радиоламп для нужд фронта. Завод является единственным в Советском Союзе, выпускающим такие изделия, как 100-киловаттные генераторные лампы для мощных радиостанций, рентгеновские трубки и т.п. В настоящее время завод не справляется с программой в заданной номенклатуре. Программа на 1944 год возрастает на 40%, и к выполнению ее завод не подготовлен. Основной причиной, тормозящей развитие завода, является недопустимо затянувшееся строительство важнейших цехов завода (стекольный цех, металлургический, технохимический) и основных его энергетических объектов (газоснабжение, водоснабжение). При общем объеме строительства в 36 млн. рублей на 1 декабря 1943 года выполнено всего 15 млн. рублей. Незаконченное строительство цехов и особенно энергетических объектов вызвало необходимость применения временных решений, не обеспечивающих нормальную работу завода и влекущих ежедневные срывы производства. Такое положение нетерпимо и требует немедленного и решительного изменения. Для выполнения программы 1944 года необходимо: закончить в I квартале 1944 года строительство первой очереди стекольного цеха (в объеме 5 печей) с газогенераторной станцией; проложить водопроводную магистраль диаметром 200 мм, длиной 5 км, с устройством водонасосной станции с реки Обь; построить во II квартале 1944 года газгольдер водяного газа емкостью 2 000 м . Для решения вышеперечисленных задач прошу Вас поставить перед правительством следующие вопросы: обязать НКВД СССР (тов. Чернышева) выделить для строительства завода дополнительно 500 человек рабочих-заключенных; обязать Госплан СССР (тов. Вознесенского) выделить целевым назначением основные фондируемые стройматериалы.</w:t>
      </w:r>
    </w:p>
    <w:p w14:paraId="3EB6D27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завода № 617 Жук</w:t>
      </w:r>
    </w:p>
    <w:p w14:paraId="06B4F43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490. Л. 279-280. Подлинник.</w:t>
      </w:r>
    </w:p>
    <w:p w14:paraId="6709219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Документ составлен 11 декабря в 2 экз., в обком поступил 13 декабря. В левом нижнем углу резолюция: «Сообщите директору завода № 617, предложения учтены и вошли в план общих мероприятий по электропромышленности, поставленных перед ЦК ВКП(б)». Подпись-росчерк. Дата: «13.12.1943 г.» (12194).</w:t>
      </w:r>
    </w:p>
    <w:p w14:paraId="645B831D"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5C1CBC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вышло Постановление ГКО № 4770 О металле для НКПС. (7165, 1).</w:t>
      </w:r>
    </w:p>
    <w:p w14:paraId="16B3356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4C5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вышел приказ НКО, потребовавший провести мероприятия по обобщению и изучению боевого опыта (556,150).</w:t>
      </w:r>
    </w:p>
    <w:p w14:paraId="5BF330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A41E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DAE3F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5B79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11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31EFEFE5"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декабря на Кировоградском направлении наши войска, преодолевая сопротивление противника, продолжали наступление и овладели районным центром Кировоградской области Новгородка, а также заняли населённые пункты Цветна, Сосновка, Омельгород, Ясиновый, Федварь, Спас-Мажаровка, Глубокаябалка, Ново-Михайловка, Сотнинский, Верблюжка и железнодорожную станцию Сахарная.</w:t>
      </w:r>
    </w:p>
    <w:p w14:paraId="5CD30333"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южнее и юго-западнее Малина наши войска вели успешные бои с пехотойи танками противника.</w:t>
      </w:r>
    </w:p>
    <w:p w14:paraId="262EA1A8"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5FC739C"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10 декабря наши войска на всех фронтах подбили и уничтожили 136 немецких танков, из них 103 в районе южнее Малина. В воздушных боях и огнём зенитной артиллерии сбито 14 самолётов противника.</w:t>
      </w:r>
    </w:p>
    <w:p w14:paraId="20EC0FC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продолжали наступление. Продвигаясь вперёд и не давая противнику закрепиться на промежуточных рубежах, бойцы Н-ского соединения вышли на подступы к районному центру Кировоградской области Новгородке. Пытаясь остановить наступающие советские части, немцы предприняли несколько ожесточённых контратак. Все контратаки гитлеровцев закончились неудачей. Наши войска нанесли противнику стремительные удары с флангов и к исходу дня выбили немцев из Новгородки. На улицах села подсчитано свыше 600 трупов гитлеровцев. Советские бойцы захватили трофеи, в числе которых 8 исправных орудий и много боеприпасов. На другом участке наши соединения, продвигаясь вперёд, овладели несколькими населёнными пунктами, в боях за которые уничтожено до батальона немецкой пехоты, 22 танка, 12 полевых орудий и несколько десятков автомашин противника.</w:t>
      </w:r>
    </w:p>
    <w:p w14:paraId="1B24F7B1"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Южнее и юго-западнее города Малин наши войска вели успешные бои с противником. Утром три пехотных полка и большая группа немецких танков атаковали позиции Н-ского соединения. Ценою огромных потерь немцам вначале удалось овладеть одной высотой. К исходу дня советские войска, действуя при поддержке танков и самоходных орудий, отбросили противника и полностью восстановили положение. На поле боя осталось до 1.500 вражеских трупов. Сожжено и подбито 43 немецких танка, 9 самоходных орудий, свыше 30 бронетранспортёров и автомашин. Захвачены пленные. На других участках наши артиллеристы, танкисты, пехотинцы и бронебойщики успешно отбили все атаки противника. Уничтожено не менее 60 вражеских танков и 40 автомашин с немецкими автоматчиками.</w:t>
      </w:r>
    </w:p>
    <w:p w14:paraId="743F0AF4"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Корабли и артиллерия береговой обороны Черноморского флота потопили три самоходных баржи противника.</w:t>
      </w:r>
    </w:p>
    <w:p w14:paraId="319421B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одном из районов Ленинградской области, с 24 ноября по 1 декабря пустили под откос 5 немецких воинских эшелонов. В результате крушений разбито до 100 вагонов и платформ. Под обломками вагонов погибло более 200 гитлеровцев. За это же время советские патриоты взорвали 2 железнодорожных и 9 шоссейных мостов, уничтожили 8 автомашин и вырезали 5 километров телеграфно-телефонной линии связи.</w:t>
      </w:r>
    </w:p>
    <w:p w14:paraId="1ADD17E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немецкий ефрейтор Карл Шмидт рассказал: «Я служил в 1 батальоне 739 полка 709 пехотной дивизии, расположенной во Франции. Части дивизии несли охрану в Сен Мало и других прибрежных населённых пунктах. 4 ноября 1943 года наш батальон в полном составе был отправлен на Восточный фронт. Накануне отъезда к нам обратился с речью командир дивизии. Он сказал: «Никогда ещё Германия не переживала такого кризиса, как сейчас. Наши первоначальные планы и расчёты не оправдались. Вопреки всем ожиданиям дела на Восточном фронте приняли очень неблагоприятный для Германии оборот. Русские оказались намного сильнее, чем мы предполагали». В заключение генерал с гневом обрушился против нытиков и паникёров. Выступление генерала произвело на солдат гнетущее впечатление. Из его слов мы поняли только одно: немецкая армия терпит в России поражения и стоит перед катастрофой. С первого дня пребывания на Восточном фронте нашему батальону не повезло. Русская артиллерия и миномёты нанесли нам страшные потери. После двухдневных боёв в первой роте осталось 20 человек, во второй — 12, а в третьей роте и того меньше».</w:t>
      </w:r>
    </w:p>
    <w:p w14:paraId="2EEAF74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Получено сообщение о кровавых зверствах немецко-фашистских мерзавцев в городе Псков и его окрестностях. Гитлеровцы согнали в деревню Медведево большую группу жителей, работавших на строительстве дорог и укреплений. Продержав их несколькодней без пищи и воды, фашистские палачи взорвали барак вместе с находившимися в нём советскими гражданами.» (14857).</w:t>
      </w:r>
    </w:p>
    <w:p w14:paraId="071C0F2C"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5A7EB1F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11 декабря</w:t>
      </w:r>
      <w:r w:rsidRPr="00271E51">
        <w:rPr>
          <w:rFonts w:ascii="Times New Roman" w:hAnsi="Times New Roman"/>
          <w:color w:val="000000" w:themeColor="text1"/>
          <w:sz w:val="16"/>
          <w:szCs w:val="16"/>
        </w:rPr>
        <w:t xml:space="preserve"> в 1943 году завершилась Керченско-Эльтигенская десантная операция войск Северо-Кавказского фронта (генерал-полковник И.Е.Петров), сил Черноморского флота (Л.А.Владимирский) и Азовской военной флотилии (началась 31 октября). В результате операции советские войска овладели важным оперативным плацдармом, сыгравшим в последующем большую роль в освобождении Крыма (14857).</w:t>
      </w:r>
    </w:p>
    <w:p w14:paraId="497D7C23"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6E1021C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декабря 1943 вышло Постановление ГКО № 4771 О расследовании обстоятельств гибели на Черном море боевых кораблей: лидера "Харьков" и эсминцев "Беспощадный" и "Способный". (7165, 2).</w:t>
      </w:r>
    </w:p>
    <w:p w14:paraId="7BECD20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2C87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8122A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0171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 Приказом по НКАП конструктору П.О.С. предписывалось разрабо</w:t>
      </w:r>
      <w:r w:rsidRPr="00271E51">
        <w:rPr>
          <w:rFonts w:ascii="Times New Roman" w:hAnsi="Times New Roman"/>
          <w:color w:val="000000" w:themeColor="text1"/>
          <w:sz w:val="16"/>
          <w:szCs w:val="16"/>
        </w:rPr>
        <w:softHyphen/>
        <w:t>тать модификацию Су-6 под мотор АМ-42. Стрелково-пушечное и ракетное воору</w:t>
      </w:r>
      <w:r w:rsidRPr="00271E51">
        <w:rPr>
          <w:rFonts w:ascii="Times New Roman" w:hAnsi="Times New Roman"/>
          <w:color w:val="000000" w:themeColor="text1"/>
          <w:sz w:val="16"/>
          <w:szCs w:val="16"/>
        </w:rPr>
        <w:softHyphen/>
        <w:t>жение нового варианта оставалось пре</w:t>
      </w:r>
      <w:r w:rsidRPr="00271E51">
        <w:rPr>
          <w:rFonts w:ascii="Times New Roman" w:hAnsi="Times New Roman"/>
          <w:color w:val="000000" w:themeColor="text1"/>
          <w:sz w:val="16"/>
          <w:szCs w:val="16"/>
        </w:rPr>
        <w:softHyphen/>
        <w:t>жним. Бомбовая нагрузка увеличивалась до 400 кг. Срок предъявления опытного образца на летные испытания устанав</w:t>
      </w:r>
      <w:r w:rsidRPr="00271E51">
        <w:rPr>
          <w:rFonts w:ascii="Times New Roman" w:hAnsi="Times New Roman"/>
          <w:color w:val="000000" w:themeColor="text1"/>
          <w:sz w:val="16"/>
          <w:szCs w:val="16"/>
        </w:rPr>
        <w:softHyphen/>
        <w:t>ливался весьма и весьма жесткий — 20 декабря 1943 г. После выхода приказа группа веду</w:t>
      </w:r>
      <w:r w:rsidRPr="00271E51">
        <w:rPr>
          <w:rFonts w:ascii="Times New Roman" w:hAnsi="Times New Roman"/>
          <w:color w:val="000000" w:themeColor="text1"/>
          <w:sz w:val="16"/>
          <w:szCs w:val="16"/>
        </w:rPr>
        <w:softHyphen/>
        <w:t>щих исполнителей по самолету Су-6 (ин</w:t>
      </w:r>
      <w:r w:rsidRPr="00271E51">
        <w:rPr>
          <w:rFonts w:ascii="Times New Roman" w:hAnsi="Times New Roman"/>
          <w:color w:val="000000" w:themeColor="text1"/>
          <w:sz w:val="16"/>
          <w:szCs w:val="16"/>
        </w:rPr>
        <w:softHyphen/>
        <w:t>женеры завода № 289 Горбунов, Баслав-ский и Мудрецов) обратились с письмом на имя И.В. Сталина, Г.М. Маленкова и А.И. Шахурина, в котором справедливо указывали: «...Самолет «Су-6» с мотором М-71 — это самолет «сегодняшнего дня», а с мотором АМ-42 — это самолет «вче</w:t>
      </w:r>
      <w:r w:rsidRPr="00271E51">
        <w:rPr>
          <w:rFonts w:ascii="Times New Roman" w:hAnsi="Times New Roman"/>
          <w:color w:val="000000" w:themeColor="text1"/>
          <w:sz w:val="16"/>
          <w:szCs w:val="16"/>
        </w:rPr>
        <w:softHyphen/>
        <w:t>рашнего дня», т.е. уже пройденный этап, а это не логично, да и неправильно от</w:t>
      </w:r>
      <w:r w:rsidRPr="00271E51">
        <w:rPr>
          <w:rFonts w:ascii="Times New Roman" w:hAnsi="Times New Roman"/>
          <w:color w:val="000000" w:themeColor="text1"/>
          <w:sz w:val="16"/>
          <w:szCs w:val="16"/>
        </w:rPr>
        <w:softHyphen/>
        <w:t>казываться от лучшего и желать худше</w:t>
      </w:r>
      <w:r w:rsidRPr="00271E51">
        <w:rPr>
          <w:rFonts w:ascii="Times New Roman" w:hAnsi="Times New Roman"/>
          <w:color w:val="000000" w:themeColor="text1"/>
          <w:sz w:val="16"/>
          <w:szCs w:val="16"/>
        </w:rPr>
        <w:softHyphen/>
        <w:t>го...» Несмотря на обращение в столь высокие инстанции, решения о запуске Су-6 с М-71Ф в серию не последовало (10680).</w:t>
      </w:r>
    </w:p>
    <w:p w14:paraId="7E7523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D5B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 возможно под давлением воен</w:t>
      </w:r>
      <w:r w:rsidRPr="00271E51">
        <w:rPr>
          <w:rFonts w:ascii="Times New Roman" w:hAnsi="Times New Roman"/>
          <w:color w:val="000000" w:themeColor="text1"/>
          <w:sz w:val="16"/>
          <w:szCs w:val="16"/>
        </w:rPr>
        <w:softHyphen/>
        <w:t>ных, Наркомат авиапромышленнос</w:t>
      </w:r>
      <w:r w:rsidRPr="00271E51">
        <w:rPr>
          <w:rFonts w:ascii="Times New Roman" w:hAnsi="Times New Roman"/>
          <w:color w:val="000000" w:themeColor="text1"/>
          <w:sz w:val="16"/>
          <w:szCs w:val="16"/>
        </w:rPr>
        <w:softHyphen/>
        <w:t>ти своим приказом от потребовал от П. О. Сухого разработать модификацию самоле</w:t>
      </w:r>
      <w:r w:rsidRPr="00271E51">
        <w:rPr>
          <w:rFonts w:ascii="Times New Roman" w:hAnsi="Times New Roman"/>
          <w:color w:val="000000" w:themeColor="text1"/>
          <w:sz w:val="16"/>
          <w:szCs w:val="16"/>
        </w:rPr>
        <w:softHyphen/>
        <w:t>та Су-6 под мотор АМ-42. Стрелко-во-пушечное и ракетное вооружение нового штурмовика оставалось пре</w:t>
      </w:r>
      <w:r w:rsidRPr="00271E51">
        <w:rPr>
          <w:rFonts w:ascii="Times New Roman" w:hAnsi="Times New Roman"/>
          <w:color w:val="000000" w:themeColor="text1"/>
          <w:sz w:val="16"/>
          <w:szCs w:val="16"/>
        </w:rPr>
        <w:softHyphen/>
        <w:t>жним, но нормальная бомбовая на</w:t>
      </w:r>
      <w:r w:rsidRPr="00271E51">
        <w:rPr>
          <w:rFonts w:ascii="Times New Roman" w:hAnsi="Times New Roman"/>
          <w:color w:val="000000" w:themeColor="text1"/>
          <w:sz w:val="16"/>
          <w:szCs w:val="16"/>
        </w:rPr>
        <w:softHyphen/>
        <w:t>грузка увеличивалась до 400 кг. Срок предъявления опытного самолета Су-6 АМ-42 на летные испытания ус</w:t>
      </w:r>
      <w:r w:rsidRPr="00271E51">
        <w:rPr>
          <w:rFonts w:ascii="Times New Roman" w:hAnsi="Times New Roman"/>
          <w:color w:val="000000" w:themeColor="text1"/>
          <w:sz w:val="16"/>
          <w:szCs w:val="16"/>
        </w:rPr>
        <w:softHyphen/>
        <w:t>танавливался весьма жесткий - 20 декабря 1943 г. (11427)</w:t>
      </w:r>
    </w:p>
    <w:p w14:paraId="574E1B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B1E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П.А.Журавлев выполнил первый полет на И-221 (2А) с АМ-39А и ТК-2В (661,472).</w:t>
      </w:r>
    </w:p>
    <w:p w14:paraId="103E11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4D2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Нач. НИИ ВВС Лосюковым и Нач. 3 отдела НИИ ВВС и-п Сафроновым было подписано заключение по эскизному проекту ТИС 2АМ-39 Н.Н.П.. Отметили:</w:t>
      </w:r>
    </w:p>
    <w:p w14:paraId="77BA76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Является нужным для ВВС КА</w:t>
      </w:r>
    </w:p>
    <w:p w14:paraId="475B1D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Просить А.И.Ш.</w:t>
      </w:r>
    </w:p>
    <w:p w14:paraId="0D7A65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выделить 2АМ-39</w:t>
      </w:r>
    </w:p>
    <w:p w14:paraId="2BA2C3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довести до летного состояния и предъявить на гос. испытания к 1 февраля 1944" (2349,27).</w:t>
      </w:r>
    </w:p>
    <w:p w14:paraId="1E2FF4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326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 Начальником НИИ ВВС Лосюковым и Начальником 3 отдела НИИ ВВС КА инженер-полковником Сафроновым было подписано Заключении по ТИС 2АМ-39, в котором отмечалось:</w:t>
      </w:r>
    </w:p>
    <w:p w14:paraId="2F7D80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Является нужным для ВВС КА самолетом;</w:t>
      </w:r>
    </w:p>
    <w:p w14:paraId="7CB38C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Просить Шахурина:</w:t>
      </w:r>
    </w:p>
    <w:p w14:paraId="0F1BC3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выделить 2 мотора АМ-39</w:t>
      </w:r>
    </w:p>
    <w:p w14:paraId="373302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довести до летного состояния и предъявить на госиспытания к 1 февраля 1944 г.”.</w:t>
      </w:r>
    </w:p>
    <w:p w14:paraId="3AF9E4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М. Стефановский написал: “С заключением согласен”.</w:t>
      </w:r>
    </w:p>
    <w:p w14:paraId="1FCF9E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Заключения на эскизный проект отмечалось, что самолет предназначен в качестве истребителя сопровождения бомбардировщиков, действующих в радиусе 1000 км.</w:t>
      </w:r>
    </w:p>
    <w:p w14:paraId="7AFF94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самолет может быть использован в качестве ночного истребителя, а также (в перегрузочном варианте) в качестве ближнего пикирующего бомбардировщика.</w:t>
      </w:r>
    </w:p>
    <w:p w14:paraId="39EBE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самолета было необычайно мощным и состояло из:</w:t>
      </w:r>
    </w:p>
    <w:p w14:paraId="2A6926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носовой пушечной батареи из двух пушек ШВАК с запасом 300 снарядов;</w:t>
      </w:r>
    </w:p>
    <w:p w14:paraId="1EEFDD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центропланной установки из двух пушек НС-45 калибра 45 мм с запасом</w:t>
      </w:r>
    </w:p>
    <w:p w14:paraId="730A82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снарядов (НС-45 могли быть заменены на пушки калибра 37 мм);</w:t>
      </w:r>
    </w:p>
    <w:p w14:paraId="753208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верхней оборонительной установки ВУБ-3 под пулеметУБ с запасом 200 патронов;</w:t>
      </w:r>
    </w:p>
    <w:p w14:paraId="1B8CD4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 нагрузки 1000 кг (2 по 500 кг) снаружи, предусматривались 2 балки внутри фюзеляжа под бомбы калибра 100 кг, но при условии снятия центропланных пушек.</w:t>
      </w:r>
    </w:p>
    <w:p w14:paraId="04D21C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отметить, что в Заключении была сделана запись: “Данное вооружение обеспечивает эффективное поражение любых воздушных целей, а при наличии бронирования позволит использовать самолет по наземным целям: автоколоннам, железнодорожным эшелонам, артиллерийским батареям и бронированным целям, имеющим броню до 30 мм” (9649).</w:t>
      </w:r>
    </w:p>
    <w:p w14:paraId="0BADC3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111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года гл. инженером ВВС был утвержден макет носовой части серийного самолета Ту-2 с новым фонарем и с улучшенным обзором для штурмана. Завод N 23 изготовил по чертежам гл. конструктора шаблоны для нового фонаря, но дальнейшие работы по фонарю были приостановлены указанием НКАП (1821).</w:t>
      </w:r>
    </w:p>
    <w:p w14:paraId="23A59F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0ACA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D4C36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A1A35"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12 декабря </w:t>
      </w:r>
      <w:r w:rsidRPr="00271E51">
        <w:rPr>
          <w:rFonts w:ascii="Times New Roman" w:hAnsi="Times New Roman"/>
          <w:color w:val="000000" w:themeColor="text1"/>
          <w:sz w:val="16"/>
          <w:szCs w:val="16"/>
        </w:rPr>
        <w:t>в 1943 году оперативная сводка Совинформбюро:</w:t>
      </w:r>
    </w:p>
    <w:p w14:paraId="1D2C463D"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декабря на Кировоградском направлении наши войска вели наступательные бои, в ходе которых овладели населёнными пунктами Зелёный Гай, Богдановка, Матрёновка, Донино-Каменка 1-я, Новая Андреевка, Ново-Николаевка, Мазурковка.</w:t>
      </w:r>
    </w:p>
    <w:p w14:paraId="468F43B0"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Западнее Кременчуга наши войска, сломив сопротивление противника, овладели районным центром Кировоградской области городом Чигирин, а также заняли населённые пункты Бужин, Тюньки, Галагановка, Чернеча, Херсонка.</w:t>
      </w:r>
    </w:p>
    <w:p w14:paraId="01249341"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Малина наши войска вели бои с пехотой и танками противника, в ходе которых выбили его из нескольких населённых пунктов.</w:t>
      </w:r>
    </w:p>
    <w:p w14:paraId="7331CFB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58F9CA83"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11 декабря наши войска на всех фронтах подбили и уничтожили 66 немецких танков. В воздушных боях и огнём зенитной артиллерии сбито 37 самолётов противника.</w:t>
      </w:r>
    </w:p>
    <w:p w14:paraId="01DAE9B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овладении городом и железнодорожным узлом Знаменка нашими войсками взяты следующие трофеи: танков и бронемашин — 94, орудий — 152, пулемётов — 373, миномётов — 120, бронетранспортёров — 52, автомашин — 684, повозок с военными грузами — 453, мотоциклов и велосипедов — 420, складов с боеприпасами, с горючими продовольствием — 22.</w:t>
      </w:r>
    </w:p>
    <w:p w14:paraId="4645016C"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продолжали наступление и заняли ряд населённых пунктов. В районе одного населённого пункта немцы сосредоточили крупные силы танков и пехоты и оказывали упорное сопротивление. Бойцы Н-ской стрелковой части нанесли противнику фланговый удар и вместе с танкистами ворвались на улицы этого населённого пункта. Не выдержав ударов советских войск, противник в беспорядке отступил, бросив много вооружения и боеприпасов. На другом участке части Н-ского соединения вели наступательные бои, в ходе которых уничтожено более 800 немецких солдат и офицеров, подбито и сожжено 25 танков, 2 самоходных орудия «Фердинанд» и 5 бронетранспортёров. Захвачены трофеи и пленные.</w:t>
      </w:r>
    </w:p>
    <w:p w14:paraId="6054744F"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части Н-ского соединения, с боями продвигаясь вперёд, вышли на южные и восточные окраины города Чигирин. В то же время наши подвижные отряды перерезали дороги, идущие к городу с юго-запада. Над противником нависла угроза окружения. Немцы предприняли несколько контратак, но все их попытки восстановить положение закончились неудачей. Советские части, отразив вражеские контратаки, ворвались в город Чигирин и уничтожили немецкий гарнизон. Противник понёс большие потери. Наши бойцы захватили много орудий и несколько складов сбоеприпасами и военным имуществом. Взяты пленные.</w:t>
      </w:r>
    </w:p>
    <w:p w14:paraId="22FEF70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юго-западнее города Малина наши войска вели бои с пехотой и танками противника. На одном участке немцы неоднократно пытались прорвать оборонительные линии советских частей, но были отброшены. На подступах к нашим позициям осталось свыше 600 вражеских трупов и 7 сгоревших немецких танков. На другом участке бойцы Н-ского соединения в результате ожесточённых боёв выбили гитлеровцев из нескольких населённых пунктов. В боях за эти пункты уничтожено до 1.000 немецких солдат и офицеров, 28 танков, 4 самоходных орудия и 40 автомашин противника.</w:t>
      </w:r>
    </w:p>
    <w:p w14:paraId="2A56C851"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2 быстроходных десантных баржи противника.</w:t>
      </w:r>
    </w:p>
    <w:p w14:paraId="5E4F94EE"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одном из районов Полесской области, 1 декабря напал на немецкую автоколонну, передвигавшуюся к линии фронта. Партизаны истребили 80 гитлеровцев и гранатами взорвали бронемашину, одну легковую и 12 грузовых автомашин противника. Другой отряд полесских партизан пустил под откос7 немецких воинских эшелонов. В результате крушений разбито несколько паровозов и 60 вагонов и платформ с военными грузами. За две недели советские патриоты из засад истребили до 200 немецких солдат и офицеров. 5 декабря группа партизан ружейно-пулемётным огнём сбила немецкий самолёт.</w:t>
      </w:r>
    </w:p>
    <w:p w14:paraId="2E114F92"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солдат 585 полка 320 немецкой пехотной дивизии Роберт Н. рассказал: «Наша дивизия прошла тяжёлый путь отступления от Северного Донца до Днепра. Весь этот длинный путь усеян трупами немецких солдат. Когда дивизия достигла Днепра, в ротах осталось по 5—10 человек. Уцелевшие после такого разгрома солдаты тешили себя надеждой, что им за Днепром дадут передышку. Тех, кто так думал, постигло горькое разочарование. Здесь, на правом берегу, началось самое худшее. Роты вновь были пополнены людьми и через несколько дней нас погнали в бой. Полк поддерживали танки 6 танковой дивизии, но закаких-нибудь десять минут русские подбили 7 танков, а остальные скрылись. Солдаты нашей роты побежали, преследуемые русскими по пятам. Бежали и соседние подразделения. Всё перемешалось. Наш полк, всего лишь недавно получивший пополнение, потерял 70 процентов личного состава. Я решил, что с меня хватит. Выбрав удобный момент, я перешёл к русским».</w:t>
      </w:r>
    </w:p>
    <w:p w14:paraId="6926571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чудовищных злодеяниях немецко-фашистских мерзавцев вселе Градижск, Полтавской области: «Немецкие захватчики в первые дни оккупации села Градижск расстреляли большую группу колхозников и советских служащих. Фашистские палачи убили заведующего районным земельным отделом Стрижака, учителей Тарана, Мошеля, директора МТС Харченко, депутата Верховного Совета УССР Антонину Галаган, лесника Самойленко, заведующего аптекой Медникова и других. С тех пор насилия, аресты и убийства не прекращались ни на один день. Особенно зверствовали гитлеровцы перед отступлением. Председателю колхоза имени Чапаева Григорию Погребняку немцы перед казнью вырезали пятиконечные звёзды на лбу и на животе. Отступая под ударами Красной Армии, немцы сожгли 1.900 жилых домов. Фашистские мерзавцы уничтожили школы, больницу, поликлинику, все общественные здания, электростанцию, маслозавод, а также все церкви. Специальные команды гитлеровцев расстреливали скот и бросали трупы животных в колодцы. Невозможно в одном акте описать все дикие злодеяния, которые совершили фашистские звери в нашем селе. Главными виновниками этих зверств мы считаем бывшего временного коменданта Шварца, коменданта Глимма, его помощника Рейхенбаха и других фашистских мерзавцев».</w:t>
      </w:r>
    </w:p>
    <w:p w14:paraId="7EE849B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хирург А.Спицин, заведующий больницей Н.Чернешенко, санитарный врач А.Борьдюх, протоиерей Е.Торский, жители села Градижск Н.Остроушко, А.Крупко, Н.Якуба, А.Гоярены, И.Пролода и другие.» (14858).</w:t>
      </w:r>
    </w:p>
    <w:p w14:paraId="306130C6"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1B98EB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 вышел ПРИКАЗ № 0447 ЗАМЕСТИТЕЛЯ НАРОДНОГО КОМИССАРА ОБОРОНЫ О СБОРЕ ДОКУМЕНТАЛЬНЫХ МАТЕРИАЛОВ, ОСТАВЛЕННЫХ ВРАГОМ, А ТАКЖЕ ДОКУМЕНТОВ ГОСУДАРСТВЕННЫХ АРХИВОВ И СОВЕТСКИХ УЧРЕЖДЕНИЙ</w:t>
      </w:r>
    </w:p>
    <w:p w14:paraId="548CAA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освобождении частями Красной Армии городов и других населенных пунктов военным командованием не всегда организуется немедленный сбор документальных материалов, оставленных врагом, а также документов государственных архивов и советских учреждений.</w:t>
      </w:r>
    </w:p>
    <w:p w14:paraId="3365E0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этого имеют место случаи, когда нужные документальные материалы, раскрывающие оперативно-тактические цели немецкого командования, их коварные замыслы и действия в отношении нашего мирного населения и пленных красноармейцев и офицеров, их преступные действия по разрушению городов — уничтожаются нашими же войсками.</w:t>
      </w:r>
    </w:p>
    <w:p w14:paraId="6667B4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Документы, относящиеся к работе органов “самоуправления”, созданных немецкими захватчиками в период временной оккупации советских районов, также не собираются и не используются. При этом особенно важными являются документы гестапо, военных комендатур, “СС”, полиции, жандармерии, отделов пропаганды, районных и сельских управ, редакций газет и других.</w:t>
      </w:r>
    </w:p>
    <w:p w14:paraId="33831E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документы имеют важное значение и являются серьезными источниками для изучения истории Великой Отечественной войны советского народа против немецко-фашистских захватчиков.</w:t>
      </w:r>
    </w:p>
    <w:p w14:paraId="483A17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имеют место факты, когда без выяснения характера документов отдельные военнослужащие уничтожают их, используя в качестве оберточной и курительной бумаги, топлива и т. п.</w:t>
      </w:r>
    </w:p>
    <w:p w14:paraId="779C83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Приказываю:</w:t>
      </w:r>
    </w:p>
    <w:p w14:paraId="4A60E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Категорически запретить всему личному составу войсковых частей и учреждений Красной Армии уничтожать какие бы то ни было документы, оставшиеся в городах и селах после освобождения их от немецких оккупантов.</w:t>
      </w:r>
    </w:p>
    <w:p w14:paraId="0304AD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Запретить войсковым частям Красной Армии занимать помещения государственных архивов НКВД.</w:t>
      </w:r>
    </w:p>
    <w:p w14:paraId="657BD4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Начальникам гарнизонов организовать немедленно по занятии войсками Красной Армии городов и населенных пунктов сбор всех документальных материалов, оставшихся после изгнания немецких захватчиков. Сбор документов возложить на военных комендантов городов и местные квартирно-экс-плуатационные части. Собранные документальные материалы немедленно брать под охрану и разбор их поручать опытным штабным работникам.</w:t>
      </w:r>
    </w:p>
    <w:p w14:paraId="5A80F0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Выявленные документы, представляющие оперативный интерес, немедленно передавать в вышестоящие войсковые штабы, документы, рисующие ход военных событий, но не имеющие практического значения в данный момент, пересылать в г. Бузулук, в военный объект полковника Кондашова. Все остальные документальные материалы (государственных архивов, советских учреждений, органов “самоуправления”, созданных немецкими захватчиками и т. п.) немедленно передавать в местные государственные архивы через органы НКВД.</w:t>
      </w:r>
    </w:p>
    <w:p w14:paraId="1F9A09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Настоящий приказ довести до всего офицерского состава Красной Армии.</w:t>
      </w:r>
    </w:p>
    <w:p w14:paraId="736956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Заместитель Народного комиссара обороны Маршал Советского Союза ВАСИЛЕВСКИЙ</w:t>
      </w:r>
      <w:r w:rsidRPr="00271E51">
        <w:rPr>
          <w:rFonts w:ascii="Times New Roman" w:hAnsi="Times New Roman"/>
          <w:color w:val="000000" w:themeColor="text1"/>
          <w:sz w:val="16"/>
          <w:szCs w:val="16"/>
        </w:rPr>
        <w:t xml:space="preserve"> (9844).</w:t>
      </w:r>
    </w:p>
    <w:p w14:paraId="2B2DD7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16CCD"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F77B5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6AF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w:t>
      </w:r>
    </w:p>
    <w:p w14:paraId="4FF557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СОВ.СЕКРЕТНО</w:t>
      </w:r>
    </w:p>
    <w:p w14:paraId="122850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НКВД по Ленинградской области и городу Ленинграду</w:t>
      </w:r>
    </w:p>
    <w:p w14:paraId="2FB2D4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Секретарю Ленинградского ГК ВКП (б), члену Военного Совета Ленфронта генерал-лейтенанту А.А.Кузнецову</w:t>
      </w:r>
    </w:p>
    <w:p w14:paraId="7A893E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СПЕЦСООБЩЕНИЕ*</w:t>
      </w:r>
    </w:p>
    <w:p w14:paraId="7E35BB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протяжении 1941-1943 гг. в городе Ленинграде распространялись антисоветские листовки и анонимные письма, автор которых был известен под кличкой «Бунтовщик».</w:t>
      </w:r>
    </w:p>
    <w:p w14:paraId="6E68E8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1941 г. на панели у Московского вокзала были обнаружены антисоветские листовки погромно-повстанческого содержания.</w:t>
      </w:r>
    </w:p>
    <w:p w14:paraId="49A33C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Листовки были написаны от руки под копировальную бумагу. Всего было собрано 70 листовок.</w:t>
      </w:r>
    </w:p>
    <w:p w14:paraId="165B16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Вторично такие же антисоветские листовки в количестве 80 экземпляров были обнаружены утром 9 января 1942 г. на перроне Московского вокзала.</w:t>
      </w:r>
    </w:p>
    <w:p w14:paraId="3F6812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Текст некоторых листовок приводим:</w:t>
      </w:r>
    </w:p>
    <w:p w14:paraId="16A65F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«Граждане! Долой власть, которая нас заставляет умирать с голода!»</w:t>
      </w:r>
    </w:p>
    <w:p w14:paraId="079747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«Граждане, громите склады и магазины, нас обворовывают подлецы, заставляя умирать с голода. Долой голод, мы еще живые люди, будьте решительны».</w:t>
      </w:r>
    </w:p>
    <w:p w14:paraId="51A3FA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«Граждане, идите в райкомы, требуйте хлеба. Долой вождей».</w:t>
      </w:r>
    </w:p>
    <w:p w14:paraId="1AC91D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«Граждане! За что нас обманывают и не дают пищи. Долой райкомы. Открыть фронты и всем уйти из города! »</w:t>
      </w:r>
    </w:p>
    <w:p w14:paraId="30825A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«Граждане! Войска уводят из города, а нас заставляют умирать с голода. Долой наших вождей!»</w:t>
      </w:r>
    </w:p>
    <w:p w14:paraId="13D385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обнаружения распространителя контрреволюционных листовок были проведены следующие мероприятия:</w:t>
      </w:r>
    </w:p>
    <w:p w14:paraId="34C0D5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территория Московского вокзала в утренние часы охватывалась наружным наблюдением с участием оперативных работников, был проинструктирован милицейский состав, усилены наружные посты и организовано патрулирование на вокзале и привокзальной территории;</w:t>
      </w:r>
    </w:p>
    <w:p w14:paraId="64CC5D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агентура транспортных органов была проинструктирована и направлена на активный розыск автора и распространителя контрреволюционных листовок;</w:t>
      </w:r>
    </w:p>
    <w:p w14:paraId="0F2CFA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оперативным составом было просмотрено с целью сличения почерка около 18000 личных дел рабочих и служащих Октябрьской ж.д. Однако эти мероприятия оказались безрезультатными.</w:t>
      </w:r>
    </w:p>
    <w:p w14:paraId="4B9E86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агентурно-розыскной работы выявилась необходимость обработать на почерк всех служащих завода «Картонтоль» и артели «Конная тяга» в количестве 227 чел., но это не дало положительных результатов.</w:t>
      </w:r>
    </w:p>
    <w:p w14:paraId="1BA847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сентября 1942 г. военной цензурой был задержан анонимный документ антисоветского содержания, следовавший в адрес товарища Жданова. Как оказалось, в результате сличения почерков это документ также был написан «Бунтовщиком».</w:t>
      </w:r>
    </w:p>
    <w:p w14:paraId="21BD0F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ноября 1942 г. в адрес товарища Жданова поступил новый провокационный документ, исполненный другим почерком, но вложенный в конверт типа «секретки», которыми пользовался «Бунтовщик».</w:t>
      </w:r>
    </w:p>
    <w:p w14:paraId="6D001E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Экспертиза химической лаборатории Управления установила соответствие бумаги, из которой были сделаны конверты типа секретки, используемые «Бунтовщиком», и этим неизвестным автором.</w:t>
      </w:r>
    </w:p>
    <w:p w14:paraId="38A439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установлено, что конверты типа «секретки» продавались только в Смоль-нинском и Володарском районах города. В связи с этим через военную цензуру была организована фильтрация гражданской почтовой корреспонденции, где фиксировались и устанавливались отправители корреспонденции, запечатанной в розовые конверты типа «секретки». Всего таким образом было проверено 1023 отправителя корреспонденции и их родственников.</w:t>
      </w:r>
    </w:p>
    <w:p w14:paraId="0F300E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января 1943 г. военной цензурой были задержаны 3 анонимных антисоветских документа, следовавших в адрес товарища Жданова, председателя Ленсовета тов. Попкова и зам. председателя Ленсовета тов. Андреенко.</w:t>
      </w:r>
    </w:p>
    <w:p w14:paraId="41B9DB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одном из документов «Бунтовщик» выразил недовольство в отношении привлечения к уголовной ответственности за нарушение трудовой дисциплины. В силу этих обстоятельств по нарсудам Смольнинского и Володарского районов были установлены лица, привлекавшиеся к уголовной ответственности за прогулы. Все они в количестве 753 человек, а также их родственники в количестве 2100 человек были подвергнуты проверке путем сличения почерка.</w:t>
      </w:r>
    </w:p>
    <w:p w14:paraId="121D7D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Вместе с этим в райсоветах депутатов трудящихся Смольнинского и Володарского районов было просмотрено более 13 тысяч заявлений граждан с целью обнаружения соответствующего почерка.</w:t>
      </w:r>
    </w:p>
    <w:p w14:paraId="10652B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отделениях милиции было произведено сличение почерков у 27860 граждан по документам, заполняемым при регистрации военных билетов.</w:t>
      </w:r>
    </w:p>
    <w:p w14:paraId="144406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была проведена поголовная проверка на почерк лиц средней технической квалификации по предприятиям Смольнинского и Володарского районов. Таких лиц было проверено 5732 человека.</w:t>
      </w:r>
    </w:p>
    <w:p w14:paraId="10C9A7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16 крупных предприятиях было изучено 64770 анкет и личных дел рабочих и служащих.</w:t>
      </w:r>
    </w:p>
    <w:p w14:paraId="232AF2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мероприятия результатов не дали.</w:t>
      </w:r>
    </w:p>
    <w:p w14:paraId="41996F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сентября 1943 г. «Бунтовщик» переслал в Смольный в адрес тт. Жданова и Попкова 3 документа антисоветского содержания. В одном из документов он обнаруживал себя рабочим горячего цеха завода и проявлял недовольство распределением дополнительных талонов на питание. Так как такие цеха имеются только на заводах Володарского района, то все мероприятия были сосредоточены в этом районе.</w:t>
      </w:r>
    </w:p>
    <w:p w14:paraId="365E3D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проверке личных дел рабочих горячих цехов завода «Большевик» привлек внимание и вызвал подозрение сталевар цеха № 42.</w:t>
      </w:r>
    </w:p>
    <w:p w14:paraId="585909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Лужков Сергей Васильевич, 1893 г.р., урож. гор. Опочка Калининской обл., из крестьян, русский, беспартийный, дважды судившийся за хищение огнестрельного оружия и мошенничество. Имеет родственников в Польше.</w:t>
      </w:r>
    </w:p>
    <w:p w14:paraId="6AD0E4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Графическая экспертиза показала полное соответствие почерка Лужкова с почерком «Бунтовщика», в связи с чем Лужков и был арестован.</w:t>
      </w:r>
    </w:p>
    <w:p w14:paraId="6AD91B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следствии Лужков полностью признал себя виновным в авторстве и распространении контрреволюционных листовок и писем и показал:</w:t>
      </w:r>
    </w:p>
    <w:p w14:paraId="260A2D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«...Являясь непримиримым врагом советской власти, я, Лужков, используя трудности, которые возникли в Ленинграде зимой 1941-42 года, пытался поднять антисоветские элементы на восстание против советской власти.</w:t>
      </w:r>
    </w:p>
    <w:p w14:paraId="6F8258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этой цели я писал контрреволюционные листовки погромно-повстанческого характера и разбрасывал их на улицах города Ленинграда.</w:t>
      </w:r>
    </w:p>
    <w:p w14:paraId="7697B3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 контрреволюционных листовках я призывал население города Ленинграда к организованному выступлению против советской власти, к разгромам государственных складов и магазинов; через эти листовки я пропагандировал изменнические настроения, призывал население Ленинграда открыть фронт и сдать немцам город.</w:t>
      </w:r>
    </w:p>
    <w:p w14:paraId="34C2D6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листовках я всячески превозносил немецко-фашистских захватчиков, утверждая при этом, что якобы не немцы повинны в несчастьи советских людей, а руководители советского государства, что немцы будто бы являются нашими освободителями, которые, как я писал, спасут нас от голода и лишений».</w:t>
      </w:r>
    </w:p>
    <w:p w14:paraId="31AF2C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Лужков показал, что для того, чтобы не быть замеченным и задержанным при распространении контрреволюционных листовок, он разбрасывал их исключительно в утренние часы, пользуясь темнотой в городе.</w:t>
      </w:r>
    </w:p>
    <w:p w14:paraId="2852EB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середины лета 1942 г. Лужков перешел к писанию и рассылке анонимных писем антисоветского содержания, направляя их в адрес руководителей Ленинградских партийных и советских органов.</w:t>
      </w:r>
    </w:p>
    <w:p w14:paraId="100F4C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анонимных письмах Лужков «...возводил гнусную клевету на руководителей советского государства, обзывал их оскорбительными словами, клеветал на условия жизни трудящихся Советского Союза, на колхозный строй, восхвалял немцев и жизнь населения на оккупированной ими территориях, высказывал угрозы по отношению к отдельным ответственным работникам Ленсовета» (из показаний Лужкова).</w:t>
      </w:r>
    </w:p>
    <w:p w14:paraId="35E846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 Лужков показывает:</w:t>
      </w:r>
    </w:p>
    <w:p w14:paraId="2AEA9A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 провокационной целью я подписывал отдельные анонимные письма и открытки именем всех рабочих Ленинграда. Для сокрытия следов преступления некоторые открытки я подписывал вымышленными фамилиями и указывал вымышленные адреса».</w:t>
      </w:r>
    </w:p>
    <w:p w14:paraId="054858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Лужков показал, что все контрреволюционные листовки и анонимные письма антисоветского содержания он писал и распространял лично сам, не посвящая и не привлекая никого к этому делу.</w:t>
      </w:r>
    </w:p>
    <w:p w14:paraId="438218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Следствие закончено. Дело направлено на рассмотрение Военного Трибунала.</w:t>
      </w:r>
    </w:p>
    <w:p w14:paraId="7102AE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НКВД ЛО</w:t>
      </w:r>
    </w:p>
    <w:p w14:paraId="0EE5FC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комиссар государственной безопасности 3 ранга</w:t>
      </w:r>
    </w:p>
    <w:p w14:paraId="281CE7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/КУБАТКИН/</w:t>
      </w:r>
    </w:p>
    <w:p w14:paraId="77EDC0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документе есть короткая записка Кузнецова секретарю РК ВКП(б) Егоренкову: «Как числился Лужков в цехе и что о нем было известно парторганизации. Прошу проверить и сообщить мне устно. 21.12.43».</w:t>
      </w:r>
    </w:p>
    <w:p w14:paraId="7707B2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Архив УФСБ ЛО. Ф.21/12.Оп.2. П.н.31.Д.5. Л.146-150 (11814).</w:t>
      </w:r>
    </w:p>
    <w:p w14:paraId="7D4C60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CCE6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2FF666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BAF82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глава чешского правительства в изгнании Э. Бенеш подписал в Москве договор о послевоенном сотрудничестве с СССР (4962).</w:t>
      </w:r>
    </w:p>
    <w:p w14:paraId="11CF03A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CAFC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12 December 1943 Czech/Soviet alliance signed in Moscow (270).</w:t>
      </w:r>
    </w:p>
    <w:p w14:paraId="7F56B8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EBA9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было подписано соглашение о союзнических отношениях между СССР и Чехословакией (270).</w:t>
      </w:r>
    </w:p>
    <w:p w14:paraId="37D4FB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44BC9" w14:textId="77777777" w:rsidR="00221693" w:rsidRPr="00271E51" w:rsidRDefault="002216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12 декабря </w:t>
      </w:r>
      <w:r w:rsidRPr="00271E51">
        <w:rPr>
          <w:rFonts w:ascii="Times New Roman" w:hAnsi="Times New Roman"/>
          <w:color w:val="000000" w:themeColor="text1"/>
          <w:sz w:val="16"/>
          <w:szCs w:val="16"/>
        </w:rPr>
        <w:t>в 1943 году подписание в Москве договора о дружбе, взаимной помощи и послевоенном сотрудничестве между СССР и Чехословацкой республикой, представленной эмигрантским правительством в Лондоне. Также состоялась встреча президента эмигрантского правительства Э.Бенеша с К.Готвальдом – лидером Коммунистической партии Чехии. Бенеш принял основные требования Готвальда о расширении участия коммунистов в послевоенном государственном устройстве. Также было принято решение о депортации немецкого населения из полслевоенной Чехословакии (14858).</w:t>
      </w:r>
    </w:p>
    <w:p w14:paraId="1FCC031D" w14:textId="77777777" w:rsidR="00221693" w:rsidRPr="00271E51" w:rsidRDefault="00221693" w:rsidP="00271E51">
      <w:pPr>
        <w:spacing w:after="0" w:line="240" w:lineRule="auto"/>
        <w:jc w:val="both"/>
        <w:rPr>
          <w:rFonts w:ascii="Times New Roman" w:hAnsi="Times New Roman"/>
          <w:color w:val="000000" w:themeColor="text1"/>
          <w:sz w:val="16"/>
          <w:szCs w:val="16"/>
        </w:rPr>
      </w:pPr>
    </w:p>
    <w:p w14:paraId="70A01FA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9EAAD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EE06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г. бомба BV.246 Hagelkorn (Хагелькорн – градина) Рихарда Фогта из фирмы «Блом и Фосс» пошла в серийное производство. Суть разработки заключалась в том, что BV.246 обладала гораздо большей дальностью самостоятельного полета и ее сброс можно было произвести, не входя в зону ПВО объекта поражения.</w:t>
      </w:r>
    </w:p>
    <w:p w14:paraId="2EF3F78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Фирма «Blohm und Voss» («Абтейлунг флюгцойгбау дер шифсверфт Блом унд Фосс»), где работал доктор Рихард Фогт, занималась созданием и другого управляемого авиационного оружия для эффективного поражения кораблей противника. Надо сказать, что доля фирмы в выпуске самолетов для люфтваффе была невелика (80% мощностей было передано на производство Fw200), но вклад этой фирмы в развитие немецкой авиационной технологии оказался значительным Фирма «Блом и Фосс» известна тем, что ее конструкторы под руководством Р. Фогта подготовили и реализовали ряд проектов, в том числе и в Японии, среди которых были весьма оригинальные конструкции. Например, на то время самый тяжелый самолет в мире (BV.238), уникальный боевой планер (BV.40), транспортный самолет с изменяемой геометрией крыла (BV), летающая лодка Фогта с уникальной компоновкой, двухмоторный морской разведчик-торпедоносец, оригинальный несимметричный ближний разведчик с обеспечением кругового обзора (ВV.141), причудливый истребитель – высотный перехватчик (ВV.155), обладавший чрезвычайно большим размахом крыла, асимметричный самолет BV.237 (BV.Р 179), который мог решать весьма широкий круг задач (истребитель, тяжелый истребитель, охотник, пикирующий бомбардировщик и разведчик) и т.п.</w:t>
      </w:r>
    </w:p>
    <w:p w14:paraId="606CF38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Торпеда-бомба BV 143 А1 могла сбрасываться с самолета-носителя и запускаться с наземной установки. Применялась для поражения наземных и морских целей. При полете к цели торпедабомба управлялась гироскопом.</w:t>
      </w:r>
    </w:p>
    <w:p w14:paraId="4EC66B7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Радиоуправляемая торпеда-бомба BV 143 А2 сбрасывалась с высоты 1500 м на расстоянии 6 км от объекта поражения. После этого при помощи ЖРД по пологой траектории достигала цели.</w:t>
      </w:r>
    </w:p>
    <w:p w14:paraId="2D147DC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«Вальтер 109-502» работал 40 секунд.</w:t>
      </w:r>
    </w:p>
    <w:p w14:paraId="062A302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проектирования самолетов, фирма «Абтейлунг флюгцойгбау дер шифсверфт Блом унд Фосс» выпустила ряд авиационных систем вооружения, включая планирующие бомбы BV.249 Хагелькорн (до 1100 штук), планирующие торпеды L10 Фридензенгель (до 450 штук). Другие образцы вооружения, вроде L11 Шнеевиттхен, не были закончены в связи с поражением Германии и роспуском конструкторского бюро Фогта.</w:t>
      </w:r>
    </w:p>
    <w:p w14:paraId="1B873C5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Управляемая бомба Хагелькорн имела фюзеляж сигарообразной формы и двухкилевое хвостовое оперение с рулями направления.</w:t>
      </w:r>
    </w:p>
    <w:p w14:paraId="2E22911A"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корпуса достигала 3,53 м, а диаметр – 0,54 м. В качестве носителя предполагался тяжелый истребитель-торпедоносец Fw190A5/U15. Впоследствии планировалось BV.246 оснащать новейшие истребители-бомбардировщики Fw190F8 и штурмовики Fw190G8, а также все имевшиеся типы торпедоносцев. Крылья были установлены в верхней части фюзеляжа, они были очень тонкими и имели большое удлинение, подобно крыльям планера.</w:t>
      </w:r>
    </w:p>
    <w:p w14:paraId="7F254E7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Планирующая бомба-торпеда подвешивалась к носителю посредством стандартного узла, а крыло соединялось с крылом самолета специальными штангами. Интересной особенностью конструкции было то, что крылья имели специальный силовой набор, способный пружинить, отбрасывая Хагелькорн от самолета-носителя при сбросе бомбы.</w:t>
      </w:r>
    </w:p>
    <w:p w14:paraId="553FF1A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Траектория планирования BV.246 была приблизительно 1:25, то есть если BV.246 была сброшена на высоте 7000 м, она могла пролететь до цели примерно 175 км. Планирующая бомба должна была наводиться по радио с самолета-носителя, но интерес к проекту несколько уменьшился в связи с тем, что союзники научились достаточно эффективно ставить помехи немецкой радиокомандной системе управления. Программа BV.246 Хагелькорн была свернута 26 февраля 1944 г.</w:t>
      </w:r>
    </w:p>
    <w:p w14:paraId="1126D6B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BV.204 был специально спроектирован как носитель планирующей бомбы BV.246. Бомба подвешивалась в пределах круга винта, но за счет идеи с упругими крыльями ее можно было бросать с пикирования, не опасаясь повредить лопасть – «отскок» выводил бомбу за пределы круга винта. Что же касается самолета – и тут Фогт остался верен себе. Самолет имеет асимметричную схему и два двигателя – радиальный воздушного охлаждения и реактивный.</w:t>
      </w:r>
    </w:p>
    <w:p w14:paraId="1A07B05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BV.246 был возобновлен в начале 1945 г. На отработанной базе планирующей бомбы установили пассивную УКВ систему наведения Radieschen («Редиска»), которая должна была наводить бомбу на излучение вражеских радаров. Новая BV.246 имела измененный нос с приемником системы Radieschen, которая управляла гироскопами рулей направления и высоты. Было изготовлено десять переделанных BV.246 Radieschen для испытаний на полигоне Унтерлесс. Так как оборудование было также экспериментальным и доводилось в процессе испытаний, восемь запусков были неудачными, но два закончились вполне успешно – бомбы приземлились в пределах двух метров от цели. Это вселило в германское командование определенные надежды, и было заказано и изготовлено более 1000 BV.246 нового образца, но они так и не были применены (11686).</w:t>
      </w:r>
    </w:p>
    <w:p w14:paraId="3404407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2228CBD3"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12 декабря </w:t>
      </w:r>
      <w:r w:rsidRPr="00271E51">
        <w:rPr>
          <w:rFonts w:ascii="Times New Roman" w:hAnsi="Times New Roman"/>
          <w:color w:val="000000" w:themeColor="text1"/>
          <w:sz w:val="16"/>
          <w:szCs w:val="16"/>
        </w:rPr>
        <w:t>1943. В серийное производство запущена планирующая бомба «BV.246» «Hagelkorn» (Градина). «BV 246» которая обладала большей дальностью самостоятельного полета и сброс бомбы можно было произвести за пределами радиуса поражения средств ПВО объекта. "Хагелькорн" имел фюзеляж чистой сигарообразной формы и сдвоенное вертикальное хвостовое оперение с рулями направления. Крылья были установлены в верхней части фюзеляжа, были очень тонкими и имели большое удлинение, подобно крыльям планера. Интересной особенностью конструкции было то, что крылья имели специальный силовой набор, способный пружинить, отбрасывая "Хагелькорн" от самолета-носителя при сбросе бомбы. Траектория планирования «BV.246» была приблизительно 1:25, то есть если «BV.246» была сброшена на высоте 7000 метров, она могла пролететь до цели примерно 175 километров. Планирующая бомба должна была наводиться по радио с самолета-носителя, но интерес RLM к проекту несколько уменьшился в связи с тем, что союзники научились достаточно эффективно ставить помехи немецкой радиокомандной системе управления. Программа «BV.246» "Хагелькорн" была свернута 26 февраля 1944. Проект «BV.246» был возобновлен в начале 1945 года. На отработанной базе планирующей бомбы установили пассивную УКВ систему наведения "Radieschen" (Редиска), которая должна была наводить бомбу на излучение вражеских радаров. Новая «BV.246» имела измененный нос с приемником системы "Radieschen", которая управляла гироскопами рулей направления и высоты. Было изготовлено десять переделанных «BV.246» "Radieschen" для испытаний на полигоне Унтерлесс. Так как оборудование было также эксперементальным и доводилось в процессе испытаний, восемь запусков были неудачными, но два закончились вполне успешно - бомбы приземлились в пределах двух метров от цели. Это вселило в командование RLM определенные надежды и было заказано и изготовлено более 1000 «BV.246» нового образца, но они так и не были применены (14858).</w:t>
      </w:r>
    </w:p>
    <w:p w14:paraId="12202DE7" w14:textId="77777777" w:rsidR="00CF13E4" w:rsidRPr="00271E51" w:rsidRDefault="00CF13E4" w:rsidP="00271E51">
      <w:pPr>
        <w:spacing w:after="0" w:line="240" w:lineRule="auto"/>
        <w:jc w:val="both"/>
        <w:rPr>
          <w:rFonts w:ascii="Times New Roman" w:hAnsi="Times New Roman"/>
          <w:color w:val="000000" w:themeColor="text1"/>
          <w:sz w:val="16"/>
          <w:szCs w:val="16"/>
        </w:rPr>
      </w:pPr>
    </w:p>
    <w:p w14:paraId="73AA7CF7" w14:textId="77777777" w:rsidR="00C65CD4" w:rsidRPr="00271E51" w:rsidRDefault="00C65CD4"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12 декабря 1943 г. проект BV 226 решили приспособить для поражения городов. Чтобы снизить стоимость, корпус и крыло планирующей бомбы BV 246 «Хагелькорн» отливались из бетона на стальном каркасе, в котором были сделаны отсеки для блоков управления. При сбросе с высоты 7000 м на скорости до 550 км/ч бомба разгонялась на снижении до 900 км/ч и, пройдя 210 км, пикировала на цель. Гладкие обводы и большое удлинение крыла обеспечили высокое аэродинамическое качество — до 25 единиц. Точность автопилота BV 246 оказалась очень низкой, тогда сделали модификацию «Радиэшен», которая наводилась на работающий радар. Было построено более 1000 снарядов BV 246, но их боевая карьера ограничилась войсковыми испытаниями в эскадре KG 101, а для обстрела английских городов был использовал самолет-снаряд Физелер Fi 103 (22906).</w:t>
      </w:r>
    </w:p>
    <w:p w14:paraId="6E890DE8" w14:textId="77777777" w:rsidR="00C65CD4" w:rsidRPr="00271E51" w:rsidRDefault="00C65CD4" w:rsidP="00271E51">
      <w:pPr>
        <w:spacing w:after="0" w:line="240" w:lineRule="auto"/>
        <w:jc w:val="both"/>
        <w:rPr>
          <w:rFonts w:ascii="Times New Roman" w:hAnsi="Times New Roman"/>
          <w:color w:val="0070C0"/>
          <w:sz w:val="16"/>
          <w:szCs w:val="16"/>
        </w:rPr>
      </w:pPr>
    </w:p>
    <w:p w14:paraId="778DBEF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декабря 1943 немецкий фельдмаршал Э. Роммель назначен командующим “Атлантического вала” - оборонной системы в Нормандии (4962).</w:t>
      </w:r>
    </w:p>
    <w:p w14:paraId="13E532C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DAA72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14C7F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B8D285"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при пробных гонках на земле и в полете на Ил-2 АМ-42 (РК) вновь выявились ненормальности в работе нового АМ-42. Четвертый по счету АМ-42 трясло на малых оборотах – 400–500 об/мин, а температура воды и масла была запредельной и не позволяла длительный полет и рулежку. Для устранения этих дефектов вновь изменили регулировку карбюраторов и поменяли водо- и маслорадиаторы. Но эти доработки помогли мало. Опытный самолет вновь встал на доработку.</w:t>
      </w:r>
    </w:p>
    <w:p w14:paraId="53710FFB"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«следопыт» не летал в ожидании поставки кондиционного мотора, на нем полным ходом шли работы по улучшению его «штурмовых» качеств.</w:t>
      </w:r>
    </w:p>
    <w:p w14:paraId="337EFDF4"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Были установлены два наружных держателя МДЗ-40, обеспечивавших подвеску бомб калибра от 50 до 500 кг, и смонтирована система управления ими. Четыре бомбоотсека в центроплане крыла переделывались таким образом, чтобы было возможным разместить в них до 600 кг осколочных бомб калибра от 1 до 25 кг. При этом бомбы укладывались в эти отсеки на створки бомболюков, как в бункера. После сбрасывания бомб створки люков закрывались с помощью пружин. Бомбы калибра 50 и 100 кг подвешивались внутри бомбоотсеков на замки Дер-21.</w:t>
      </w:r>
    </w:p>
    <w:p w14:paraId="29E15774"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кабине штурмана-стрелка устанавливался прицел для бомбометания с горизонтального полета ОПБ-1р. Здесь же монтировалась и новая подвижная оборонительная установка ВУ-8 с пулеметом УБК (3 магазина по 50 патронов каждый). ВУ-8 обеспечивала увеличенные углы обстрела: вверх – 48°, вниз с бортов – 13°, вправо – 60°, влево – 50°. Ракетное вооружение, как и прежде, устанавливать не предполагалось.</w:t>
      </w:r>
    </w:p>
    <w:p w14:paraId="44E4C080"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контроля результатов стрельбы в левом обтекателе шасси монтировался фотокинопулемет ПАУ-22, синхронно связанный с работой стрелково-пушечного вооружения. В правом обтекателе шасси располагался киноаппарат КС-5, предназначенный для съемки результатов штурмового удара и разведки с малых высот.</w:t>
      </w:r>
    </w:p>
    <w:p w14:paraId="16B9D3A8"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Аэрофотосъемка обеспечивалась двумя плановыми фотоаппаратами: АФА-3 с, установленного в хвостовой части фюзеляжа с дистанционным управлением из кабины штурмана-стрелка, и АЩАФА-2, расположенного в кабине штурмана-стрелка, который предназначался для непрерывной плановой фотосъемки в плохих метеоусловиях, в сумерки и с малых высот.</w:t>
      </w:r>
    </w:p>
    <w:p w14:paraId="71F98FBF"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бронирования Ил-2 АМ-42 (РК) была следующей. Мотор с агрегатами, водяной и масляный радиаторы прикрывались броней толщиной 4 мм. Снизу бронекапот имел 5-мм броню. Для защиты агрегатов винта спереди устанавливался 6-мм бронещиток. Кабина пилота имела броню толщиной 4, 5, 6 и 7 мм. Со стороны задней полусферы летчик защищался бронеплитой толщиной 12 мм, а спереди – 62-мм прозрачным бронестеклом. Сверху и сбоку на фонаре кабины пилота устанавливались бронелисты толщиной 6 мм. Штурман-стрелок с боков защищался бронелистами толщиной 5 и 6 мм, снизу – 6 мм, а со стороны задней полусферы – 12-мм бронеплитой. Общий вес металлической брони составил 1180 кг, в том числе 70 кг узлы крепления.</w:t>
      </w:r>
    </w:p>
    <w:p w14:paraId="0E0C89AD"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элеронами, рулем высоты, направления и триммерами на участках, не защищенных броней, в крыле и хвостовой части фюзеляжа дублировалось второй тросовой проводкой.</w:t>
      </w:r>
    </w:p>
    <w:p w14:paraId="120A6BEC" w14:textId="77777777" w:rsidR="00A53D35" w:rsidRPr="00271E51" w:rsidRDefault="00A53D3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Смонтированную на самолете систему заполнения бензобаков нейтральными газами от выхлопа мотора довести «до ума» не успевали, поэтому ее заблокировали (на период испытаний) (17490).</w:t>
      </w:r>
    </w:p>
    <w:p w14:paraId="34DAE772" w14:textId="77777777" w:rsidR="00A53D35" w:rsidRPr="00271E51" w:rsidRDefault="00A53D35" w:rsidP="00271E51">
      <w:pPr>
        <w:spacing w:after="0" w:line="240" w:lineRule="auto"/>
        <w:jc w:val="both"/>
        <w:rPr>
          <w:rFonts w:ascii="Times New Roman" w:hAnsi="Times New Roman"/>
          <w:color w:val="000000" w:themeColor="text1"/>
          <w:sz w:val="16"/>
          <w:szCs w:val="16"/>
        </w:rPr>
      </w:pPr>
    </w:p>
    <w:p w14:paraId="4CEDC8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в ГИ ВВС закончились испытания вооружения Як-7П с тремя ШВАК, которые начались 4 ноября 1943. Это была переделка серийной машины Як-7Б N 46-13 153 завода выпуска июня 1943. Машина была восстановлена после аварии в самолетной авиаремонтной мастерской 1 ВА, где на него вместо двух синхронных БС поставили 2 синхронных ШВАК. Потом машину одобрил А.С.Я. Летал В.А.Модестов, а ви были по самолету В.П.Белодеденко, а по вооружению - А.Г.Аронов. В облете участвовали В.И.Хомяков и Ю.А.Антипов. Было выполнено 13 полетов продолжительностью 4:15. В серию не пошел, хотя все было нормально. Хотели ставить и 2хБ-20С кроме мотор-пушки (65,108).</w:t>
      </w:r>
    </w:p>
    <w:p w14:paraId="592EA0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99DFF" w14:textId="77777777" w:rsidR="001E70D1" w:rsidRPr="00271E51" w:rsidRDefault="001E70D1" w:rsidP="00271E51">
      <w:pPr>
        <w:shd w:val="clear" w:color="auto" w:fill="FFFFFF"/>
        <w:spacing w:after="0" w:line="240" w:lineRule="auto"/>
        <w:jc w:val="both"/>
        <w:rPr>
          <w:rFonts w:ascii="Times New Roman" w:hAnsi="Times New Roman"/>
          <w:color w:val="0070C0"/>
          <w:sz w:val="16"/>
          <w:szCs w:val="16"/>
          <w:shd w:val="clear" w:color="auto" w:fill="FFFFFF"/>
        </w:rPr>
      </w:pPr>
      <w:bookmarkStart w:id="32" w:name="_Hlk59474223"/>
      <w:r w:rsidRPr="00271E51">
        <w:rPr>
          <w:rFonts w:ascii="Times New Roman" w:hAnsi="Times New Roman"/>
          <w:color w:val="0070C0"/>
          <w:sz w:val="16"/>
          <w:szCs w:val="16"/>
          <w:shd w:val="clear" w:color="auto" w:fill="FFFFFF"/>
        </w:rPr>
        <w:t>13 декабря 1943 года Курбала отправил в Главное Автобронетанковое Управление предложение, которое назвал "Аэромобиль". Как писал сам автор, аэромобиль являлся машиной, обладавшей свойствами автомобиля, аэросаней и автожира. На практике это означало, что Курбала предлагал автожир, который мог оснащаться либо колесным шасси, либо лыжами, с гусеничной тележкой на передней стойке.</w:t>
      </w:r>
    </w:p>
    <w:p w14:paraId="139F301B" w14:textId="77777777" w:rsidR="001E70D1" w:rsidRPr="00271E51" w:rsidRDefault="001E70D1"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shd w:val="clear" w:color="auto" w:fill="FFFFFF"/>
        </w:rPr>
        <w:t>Область применения аэромобиля виделась в разведке боем, уничтожении легких огневых точек противника, фланговых атаках пехоты, связи с разрозненными частями, а также перевозке десанта. Впрочем, для десанта машина была явно маловата. Как писал сам автор, в таком варианте перевозилось всего два десантника. Сам создатель машины именовал ее вездеходом, который способен передвигаться по любой поверхности. В случае необходимости переход из "наземной" конфигурации в автожир не должен был занимать много времени (8-10 минут). Еще одной особенностью аэромобиля, которая отличала его от похожих конструкций, был привод на переднюю стойку шасси. Тем самым одновременно машина двигалась и за счет толкающего винта, и за счет привода на переднюю стойку. Особенно это было актуально при езде по снегу. Одной из проблем аэросаней было то, что им нередко не хватало сцепления для езды по некоторым поверхностям, здесь же, в теории, такая проблема была решена. При использовании колесного шасси привод на переднюю стойку также сулил определенные плюсы (20335).</w:t>
      </w:r>
    </w:p>
    <w:bookmarkEnd w:id="32"/>
    <w:p w14:paraId="5D054802" w14:textId="77777777" w:rsidR="001E70D1" w:rsidRPr="00271E51" w:rsidRDefault="001E70D1" w:rsidP="00271E51">
      <w:pPr>
        <w:shd w:val="clear" w:color="auto" w:fill="FFFFFF"/>
        <w:spacing w:after="0" w:line="240" w:lineRule="auto"/>
        <w:jc w:val="both"/>
        <w:rPr>
          <w:rFonts w:ascii="Times New Roman" w:hAnsi="Times New Roman"/>
          <w:color w:val="0070C0"/>
          <w:sz w:val="16"/>
          <w:szCs w:val="16"/>
        </w:rPr>
      </w:pPr>
    </w:p>
    <w:p w14:paraId="6CBF74E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вышел приказ НКАП № 746с:</w:t>
      </w:r>
    </w:p>
    <w:p w14:paraId="07F5B69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постановления ГКО от 8 октября 1943 № 4290 в целях создания лучших производственных и бытовых условий работы з-да № 261:</w:t>
      </w:r>
    </w:p>
    <w:p w14:paraId="786B6B17"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З-д № 261 перевести из г. Березовска в г. Верх-Нейвинск на площадку з-да № 484,</w:t>
      </w:r>
    </w:p>
    <w:p w14:paraId="4BF84B30"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 объединенным з-м сохранить № 261, оставив его подчиненным 2 ГУ.</w:t>
      </w:r>
    </w:p>
    <w:p w14:paraId="0F6957C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Шахурин (1764, 85).</w:t>
      </w:r>
    </w:p>
    <w:p w14:paraId="5758C02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02D1BD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г. приказом НКАП № 746с в соответствии с пост. ГКО № 4290 от 8.10.1943 г. для улучшения производственно-бытовых условий работы завод № 261 (ГС Завод № 261 НКАП /г. Москва ул. Фабричная, 11 (р-н ст. Ростокино) (1939 г.)/ / г. Березовск;  г. Верхний Нейвинск Свердловской обл./) весной 1944 г.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43708B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4FA3F2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5F8AFE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Производственные площади (1945 г.)- 14.200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72618D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(-1940-02.1942 г.-)- А.И. Пастер (одновременно директор завода № 120), (12.1943 г.)- Явиц.</w:t>
      </w:r>
    </w:p>
    <w:p w14:paraId="2375C0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777325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FA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г. приказом № 746с в соответствии с пост. ГКО № 4290с от 8.10.1943 г. для улучшения производственно-бытовых условий работы на площадку завода № 484 весной 1944 г. был переведен из Березовска завод № 261 НКАП. Оба завода были объединены в ГС завод № 261 2ГУ НКАП. Завод № 484 выбыл из числа действующих.</w:t>
      </w:r>
    </w:p>
    <w:p w14:paraId="4C7F62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1940 г. был образован Завод алюминиевого литья при 6ГУ (Завод № 484 НКАП /г. Верх-Нейвинск Свердловской обл./), строительство начато в начале 1941 г. Заводу выделена территория площадью 389 га. По приказу № 240с от 18.03.1941 г. завод передан в 9ГУ НКАП.</w:t>
      </w:r>
    </w:p>
    <w:p w14:paraId="4DEE11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на площадку строящегося завода № 484 11ГУ НКАП эвакуирован литейный завод № 485 НКАП и влит в его состав.</w:t>
      </w:r>
    </w:p>
    <w:p w14:paraId="411237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Корпуса завода построены в 1943 г. Т.к. завод проектировался под немецкое оборудование (которое, естественно не поступило), он не был пущен (11982).</w:t>
      </w:r>
    </w:p>
    <w:p w14:paraId="72E476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E7321" w14:textId="77777777" w:rsidR="00FC04C9" w:rsidRPr="00271E51" w:rsidRDefault="00617503" w:rsidP="00271E51">
      <w:pPr>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6B3979F" w14:textId="77777777" w:rsidR="00FC04C9" w:rsidRPr="00271E51" w:rsidRDefault="00FC04C9" w:rsidP="00271E51">
      <w:pPr>
        <w:autoSpaceDE w:val="0"/>
        <w:autoSpaceDN w:val="0"/>
        <w:adjustRightInd w:val="0"/>
        <w:spacing w:after="0" w:line="240" w:lineRule="auto"/>
        <w:jc w:val="both"/>
        <w:rPr>
          <w:rFonts w:ascii="Times New Roman" w:hAnsi="Times New Roman"/>
          <w:iCs/>
          <w:color w:val="000000" w:themeColor="text1"/>
          <w:sz w:val="16"/>
          <w:szCs w:val="16"/>
        </w:rPr>
      </w:pPr>
    </w:p>
    <w:p w14:paraId="62CC98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г. было подготовлено СООБЩЕНИЕ ЦК ВКП(б) НАЧАЛЬНИКУ ГБТУ КА О СОГЛАСОВАНИИ ПЛАНА РАБОТ ПО СОЗДАНИЮ ПАРОСИЛОВОЙ УСТАНОВКИ ДЛЯ ТАНКА № 530-А</w:t>
      </w:r>
    </w:p>
    <w:p w14:paraId="5DFFD2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поручению товарища Маленкова Г.М. направляю на Ваше рассмотрение выписку из проекта постановления ГОКО «О плане развития прямоточного котлостроения на 1944-1946 гг.». Ваше заключение по проекту прошу сообщить в ЦК ВКП(б) 18 декабря с.г.</w:t>
      </w:r>
    </w:p>
    <w:p w14:paraId="3A3A86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 отделом управления кадров ЦК ВКП(б)</w:t>
      </w:r>
    </w:p>
    <w:p w14:paraId="724525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Павленко</w:t>
      </w:r>
    </w:p>
    <w:p w14:paraId="61AFED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ВЫПИСКА</w:t>
      </w:r>
    </w:p>
    <w:p w14:paraId="353E57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проекта постановления ГОКО «О плане развития прямоточного котлостроения на 1944-1946 гг.»</w:t>
      </w:r>
    </w:p>
    <w:p w14:paraId="33B265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Обязать НКО (т. Вершинина) и Наркомат танковой промышленности (т. Малышева) уско</w:t>
      </w:r>
      <w:r w:rsidRPr="00271E51">
        <w:rPr>
          <w:rFonts w:ascii="Times New Roman" w:hAnsi="Times New Roman"/>
          <w:color w:val="000000" w:themeColor="text1"/>
          <w:sz w:val="16"/>
          <w:szCs w:val="16"/>
        </w:rPr>
        <w:softHyphen/>
        <w:t>рить работу по созданию паросиловой установки для танка. Обеспечить выполнение проекта во II квартале 1944 г., а постройку и испытание опытного танка в IV квартале 1944 г.</w:t>
      </w:r>
    </w:p>
    <w:p w14:paraId="5DF3EF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1660. Л. 100-101. Подлинник (11403).</w:t>
      </w:r>
    </w:p>
    <w:p w14:paraId="72295E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9CBC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0AB75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0B76F"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13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684A05B2"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декабря на Кировоградском направлении наши войска вели наступательные бои, в ходе которых заняли несколько населённых пунктов.</w:t>
      </w:r>
    </w:p>
    <w:p w14:paraId="7AC97ED6"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наши войска, преодолевая сопротивление противника, овладели укрепленными пунктами его обороны Адамовка, Кожарки, Гущевка, Яничь, Вдовин Хутор.</w:t>
      </w:r>
    </w:p>
    <w:p w14:paraId="1F13DDA4"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Малина наши войска продолжали вести бои с пехотой и танками противника, в результате которых улучшили свои позиции.</w:t>
      </w:r>
    </w:p>
    <w:p w14:paraId="582AA6D5"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74F1371"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12 декабря наши войска на всех фронтах подбили и уничтожили 35 немецких танков. В воздушных боях и огнём зенитной артиллерии сбито 24 самолёта противника.</w:t>
      </w:r>
    </w:p>
    <w:p w14:paraId="2FA9BCA1"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продолжали наступление. Противник, стремясь задержать продвижение советских частей, предпринял несколько танковых контратак. Наши артиллеристы и бронебойщики, взаимодействуя с танкистами, подбили и сожгли 11 вражеских танков и вынудили немцев отступить. Части Н-ского гвардейского соединения, преодолевая сопротивление противника, продвинулись вперёд и заняли несколько населённых пунктов. В боях за эти пункты уничтожено 600 немецких солдат и офицеров, 12 орудий и 2 бронетранспортёра.</w:t>
      </w:r>
    </w:p>
    <w:p w14:paraId="1DB63998"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Лётчики-истребители гвардии лейтенант Боевский и гвардии лейтенант Кальсин, действуя над территорией, занятой противником, встретили немецкий самолёт«Фокке-Вульф-189». Гвардии лейтенант Боевский атаковал вражеский самолёт и сбил его. В ходе боя самолёт Боевского получил повреждение и загорелся. Лётчик был вынужден произвести посадку. Гвардии лейтенант Кальсин поспешил к нему на помощь. Он приземлился, помог Боевскому взорвать горевшую машину, посадил своего товарища в фюзеляж и поднялся в воздух. Вскоре лётчики благополучно приземлились на своём аэродроме.</w:t>
      </w:r>
    </w:p>
    <w:p w14:paraId="72CC2C2C"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части Н-ского соединения продвинулись вперёд и заняли несколько населённых пунктов. Особенно упорное сопротивление противник оказывал в районе населённого пункта Адамовка. Бойцы Н-ской части в результате ожесточённого боя вышибли немцев из этого укреплённого опорного пункта, уничтожив до 400 солдат и офицеров противника. На другом участке советские подразделения захватили 10 немецких орудий, склад боеприпасов и обоз с военным имуществом.</w:t>
      </w:r>
    </w:p>
    <w:p w14:paraId="1DC7776B"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Малин продолжались бои с танками и пехотой противника. На участке Н-ского соединения немцы предприняли одну за другой семь атак. Наши бойцы отбили все атаки, а затем нанесли немцам контрудар и улучшили свои позиции. Уничтожено до батальона гитлеровцев. Сожжено и подбито 6 вражеских танков, 2 самоходных орудия и свыше 40 автомашин. На другом участке группа немецких танков и автоматчиков прорвалась в расположение нашей части. Советские подразделения отрезали гитлеровцам пути отхода и в ожесточённом бою истребили их. На поле боя осталось более 300 вражеских трупов, 16 сгоревших и подбитых немецких танков и самоходных орудий.</w:t>
      </w:r>
    </w:p>
    <w:p w14:paraId="083CF8D9"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объединённых партизанских отрядов, действующих в Житомирскойобласти, внезапным налётом овладели двумя железнодорожными станциями. На одной станции партизаны уничтожили стоявшие на путях 4 немецких воинских эшелона с военными грузами, а на другой — взорвали всё путевое хозяйство. Кроме того, уничтожено 12 паровозов, до 300 вагонов и взорван большой склад авиабомб. Двенадцать дней советские патриоты удерживают в своих руках эти станции и ведут бои с немецко-фашистскими захватчиками. За это время партизаны убили и ранилиболее 400 гитлеровцев.</w:t>
      </w:r>
    </w:p>
    <w:p w14:paraId="2623606B"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Захваченные в плен немецкие солдаты сообщают о возросшей активности советских партизан, действующих в тылу врага. Перешедший на сторону Красной Армии ефрейтор 436 полка 132 немецкой пехотной дивизии Ганс Д. рассказал: «Все попытки немецких военных властей окружить и ликвидировать партизан потерпели неудачу. Недавно партизанский отряд разгромил 1 армейский штурмовой батальон 16 немецкой армии. На днях в городе Порхове было взорвано здание, в котором происходило совещание офицеров. Здание полностью уничтожено. Во время взрыва убито и ранено много немецких офицеров».</w:t>
      </w:r>
    </w:p>
    <w:p w14:paraId="3636BC91"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8 батареи артиллерийского полка 299 немецкой пехотной дивизии Руди Люкс сообщил: «Наш полк получил приказ переменить огневые позиции. На марше в лесу мы неожиданно подверглись нападению партизан. Они атаковали нас со всех сторон. Поднялась невообразимая паника. Командир батареи обер-лейтенант приказал взорвать материальную часть, но уже было поздно: солдаты бросили всё и разбежались. В наказание за потерю орудий командование направило нас в штрафной батальон».</w:t>
      </w:r>
    </w:p>
    <w:p w14:paraId="6CECDC64"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3 роты 480 немецкого батальона обеспечения Антон Кельнер рассказал: «Наш батальон охранял железную дорогу около Витебска. Все ночи напролёт мы находились на ногах. Посты непрерывно патрулировали от одной наблюдательной вышки до другой, но всё-таки партизаны делали своё дело. Не проходило ни одного дня, когда бы партизаны не взрывали рельс или не пускали под откос эшелонов. Вообще благополучно проехать поездом по оккупированной территории — это редкое счастье».</w:t>
      </w:r>
    </w:p>
    <w:p w14:paraId="55CFE0BD"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захватчиков в деревне Асаревичи, Полесской области: «За время оккупации немецкие захватчики расстреляли многих жителей нашей деревни. От рук фашистских палачей погибли Степанида Протас и две её дочери, Андрей Шевченко, Марфа Шевченко, Маланья Плущай, Татьяна Пацук, Иван Царанок, Мина Бельченко и другие жители. При отступлении немцы насильно увели с собой значительную часть населения. Только немногим жителям удалось скрыться в лесах и избежать фашистской каторги. Гитлеровские бандиты сожгли более 40 домов, школу, мельницу и колхозные постройки. Они разграбили колхозное добро и личное имущество крестьян».</w:t>
      </w:r>
    </w:p>
    <w:p w14:paraId="22ED889B"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села Асаревичи: И.Акуленко, И.Ефименко, К.Протас, В.Пацук и другие.» (14859).</w:t>
      </w:r>
    </w:p>
    <w:p w14:paraId="0D9E62E6" w14:textId="77777777" w:rsidR="00CF13E4" w:rsidRPr="00271E51" w:rsidRDefault="00CF13E4" w:rsidP="00271E51">
      <w:pPr>
        <w:spacing w:after="0" w:line="240" w:lineRule="auto"/>
        <w:jc w:val="both"/>
        <w:rPr>
          <w:rFonts w:ascii="Times New Roman" w:hAnsi="Times New Roman"/>
          <w:color w:val="000000" w:themeColor="text1"/>
          <w:sz w:val="16"/>
          <w:szCs w:val="16"/>
        </w:rPr>
      </w:pPr>
    </w:p>
    <w:p w14:paraId="1044DB10"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13 декабря</w:t>
      </w:r>
      <w:r w:rsidRPr="00271E51">
        <w:rPr>
          <w:rFonts w:ascii="Times New Roman" w:hAnsi="Times New Roman"/>
          <w:color w:val="000000" w:themeColor="text1"/>
          <w:sz w:val="16"/>
          <w:szCs w:val="16"/>
        </w:rPr>
        <w:t xml:space="preserve"> в 1943 году началось безуспешное наступление войск 1-го Прибалтийского фронта под Витебском (14859).</w:t>
      </w:r>
    </w:p>
    <w:p w14:paraId="3C94AF8F" w14:textId="77777777" w:rsidR="00CF13E4" w:rsidRPr="00271E51" w:rsidRDefault="00CF13E4" w:rsidP="00271E51">
      <w:pPr>
        <w:spacing w:after="0" w:line="240" w:lineRule="auto"/>
        <w:jc w:val="both"/>
        <w:rPr>
          <w:rFonts w:ascii="Times New Roman" w:hAnsi="Times New Roman"/>
          <w:color w:val="000000" w:themeColor="text1"/>
          <w:sz w:val="16"/>
          <w:szCs w:val="16"/>
        </w:rPr>
      </w:pPr>
    </w:p>
    <w:p w14:paraId="2F1FC403"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13 декабря</w:t>
      </w:r>
      <w:r w:rsidRPr="00271E51">
        <w:rPr>
          <w:rFonts w:ascii="Times New Roman" w:hAnsi="Times New Roman"/>
          <w:color w:val="000000" w:themeColor="text1"/>
          <w:sz w:val="16"/>
          <w:szCs w:val="16"/>
        </w:rPr>
        <w:t xml:space="preserve"> в 1943 году войска 2-го Украинского фронта освободили город Черкассы (14859).</w:t>
      </w:r>
    </w:p>
    <w:p w14:paraId="70AF705E" w14:textId="77777777" w:rsidR="00CF13E4" w:rsidRPr="00271E51" w:rsidRDefault="00CF13E4" w:rsidP="00271E51">
      <w:pPr>
        <w:spacing w:after="0" w:line="240" w:lineRule="auto"/>
        <w:jc w:val="both"/>
        <w:rPr>
          <w:rFonts w:ascii="Times New Roman" w:hAnsi="Times New Roman"/>
          <w:color w:val="000000" w:themeColor="text1"/>
          <w:sz w:val="16"/>
          <w:szCs w:val="16"/>
        </w:rPr>
      </w:pPr>
    </w:p>
    <w:p w14:paraId="1576B8B7" w14:textId="77777777" w:rsidR="00CF13E4" w:rsidRPr="00271E51" w:rsidRDefault="00CF13E4"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13 декабря</w:t>
      </w:r>
      <w:r w:rsidRPr="00271E51">
        <w:rPr>
          <w:rFonts w:ascii="Times New Roman" w:hAnsi="Times New Roman"/>
          <w:color w:val="000000" w:themeColor="text1"/>
          <w:sz w:val="16"/>
          <w:szCs w:val="16"/>
        </w:rPr>
        <w:t xml:space="preserve"> в 1943 году начало Городокской наступательной операции войск 1-го Прибалтийского фронта (генерал армии И. X. Баграмян). В ходе операции, завершившейся 31 декабря, было окружено и уничтожено 4 немецкие дивизии и взят Городок. Развивая наступление, 4-я ударная (генерал-лейтенант В. И. Швецов) и 11-я гвардейская (генерал-лейтенант К. Н. Галицкий) армии прорвали оборону противника и вышли к Витебску (14859).</w:t>
      </w:r>
    </w:p>
    <w:p w14:paraId="069913FC" w14:textId="77777777" w:rsidR="00CF13E4" w:rsidRPr="00271E51" w:rsidRDefault="00CF13E4" w:rsidP="00271E51">
      <w:pPr>
        <w:spacing w:after="0" w:line="240" w:lineRule="auto"/>
        <w:jc w:val="both"/>
        <w:rPr>
          <w:rFonts w:ascii="Times New Roman" w:hAnsi="Times New Roman"/>
          <w:color w:val="000000" w:themeColor="text1"/>
          <w:sz w:val="16"/>
          <w:szCs w:val="16"/>
        </w:rPr>
      </w:pPr>
    </w:p>
    <w:p w14:paraId="39A053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13, 1943: Heeresgruppe Mitte becomes engaged in a series of heavy defensive battles in the area of Witebsk (3819).</w:t>
      </w:r>
    </w:p>
    <w:p w14:paraId="56A8D0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4DA7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1944 Группа Центр начала серию оборонительных операций под Витебском (3819).</w:t>
      </w:r>
    </w:p>
    <w:p w14:paraId="2F14F4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D2D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13 до 31 декабря 1943 была Городокская операция правого крыла 1 Прибалтийского фронта (И.Х.Баграмян). Разбили 6 пехотных и 1 танковую дивизию (2438,189). 4УА (В.И.Швецов) и 11ГА (К.Н.Галицкий) прорвали оборону и вышли к Витебску (3398,437).</w:t>
      </w:r>
    </w:p>
    <w:p w14:paraId="78D408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7C0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ли ст.л. Г.А.Баевский и л П.Т.Кальсин во время свободной охоты сбили ФВ-190, но Баевский был подбит и сел. Кальсин посадил машину, подобрал раненого Баевского и в люке Ла-5 вывез. Баевский стал ГСС, а Кальвина через 3 дня сбили (3794).</w:t>
      </w:r>
    </w:p>
    <w:p w14:paraId="1C5A26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258ED"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2CA49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2EB6CE" w14:textId="77777777" w:rsidR="001E70D1" w:rsidRPr="00271E51" w:rsidRDefault="001E70D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13-14 декабря 1943 года состоялась конференция с участием представителей NACA, ВВС и ВМС по вопросу реализации программы МХ-524. На ней решили, что над созданием экспериментального аппарата будут работать две фирмы — Bell и McDonnell. Финансирование проекта возлагалось на ВВС. Но представители флота, которые всегда не доверяли «сухопутным» ВВС, обвиняя их в попытках отобрать у них палубную авиацию, в тайне опасались, что ВВС не поделится с ними результатами. Поэтому они решили создать собственный скоростной самолет. Моряки поручили это ответственное задание фирме Douglas.</w:t>
      </w:r>
    </w:p>
    <w:p w14:paraId="2D27D69A" w14:textId="77777777" w:rsidR="001E70D1" w:rsidRPr="00271E51" w:rsidRDefault="001E70D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Пытаясь извлечь максимальную пользу для науки, руководителю исследовательской программы скоростных полетов NACA Джону Стеку (John Stack) удалось «разрулить» этот конфликт в свою пользу. С его подачи ВВС решили устанавливать на свой самолет жидкостный ракетный двигатель (ЖРД), а ВМС — турбореактивный. Таким образом, будущие исследования охватывали оба перспективных направления развития боевой авиации. Причем, ожидаемые результаты не перекрывали друг друга, самолеты фирм Bell и McDonnell нацеливались на сверхзвук, а Douglas работала с неисследованной областью трансзвука (22821).</w:t>
      </w:r>
    </w:p>
    <w:p w14:paraId="6C609CA5"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p>
    <w:p w14:paraId="6569DF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впервые для сопровождения 651 бомбардировщиков при налете на базу подлодок в Киле был использован Р-51В Мустанг и на следующий день сбили первый немецкий истребитель (2274).</w:t>
      </w:r>
    </w:p>
    <w:p w14:paraId="29B84E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377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г Роммель был выбит из Эль Аламейна (1050).</w:t>
      </w:r>
    </w:p>
    <w:p w14:paraId="65E9DA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054FC" w14:textId="77777777" w:rsidR="001E70D1" w:rsidRPr="00271E51" w:rsidRDefault="001E70D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13 декабря с 14 ноября 1943 японцы потеряли 122 самолета, базирующихся на Маршалловых островах (20376).</w:t>
      </w:r>
    </w:p>
    <w:p w14:paraId="38590716" w14:textId="77777777" w:rsidR="001E70D1" w:rsidRPr="00271E51" w:rsidRDefault="001E70D1" w:rsidP="00271E51">
      <w:pPr>
        <w:spacing w:after="0" w:line="240" w:lineRule="auto"/>
        <w:jc w:val="both"/>
        <w:rPr>
          <w:rFonts w:ascii="Times New Roman" w:hAnsi="Times New Roman"/>
          <w:color w:val="0070C0"/>
          <w:sz w:val="16"/>
          <w:szCs w:val="16"/>
        </w:rPr>
      </w:pPr>
    </w:p>
    <w:p w14:paraId="5767990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C6592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7435D"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К 14 декабря 1943 на са</w:t>
      </w:r>
      <w:r w:rsidRPr="00271E51">
        <w:rPr>
          <w:rFonts w:ascii="Times New Roman" w:hAnsi="Times New Roman" w:cs="Times New Roman"/>
          <w:color w:val="0070C0"/>
          <w:sz w:val="16"/>
          <w:szCs w:val="16"/>
        </w:rPr>
        <w:softHyphen/>
        <w:t>молет Су-6 установили моторную раму, но</w:t>
      </w:r>
      <w:r w:rsidRPr="00271E51">
        <w:rPr>
          <w:rFonts w:ascii="Times New Roman" w:hAnsi="Times New Roman" w:cs="Times New Roman"/>
          <w:color w:val="0070C0"/>
          <w:sz w:val="16"/>
          <w:szCs w:val="16"/>
        </w:rPr>
        <w:softHyphen/>
        <w:t>вый бронекапот, прицел ПБП-16 (вме</w:t>
      </w:r>
      <w:r w:rsidRPr="00271E51">
        <w:rPr>
          <w:rFonts w:ascii="Times New Roman" w:hAnsi="Times New Roman" w:cs="Times New Roman"/>
          <w:color w:val="0070C0"/>
          <w:sz w:val="16"/>
          <w:szCs w:val="16"/>
        </w:rPr>
        <w:softHyphen/>
        <w:t>сто ВВ-1) «на ломающемся кронштейне» и стандартную ручку управления само</w:t>
      </w:r>
      <w:r w:rsidRPr="00271E51">
        <w:rPr>
          <w:rFonts w:ascii="Times New Roman" w:hAnsi="Times New Roman" w:cs="Times New Roman"/>
          <w:color w:val="0070C0"/>
          <w:sz w:val="16"/>
          <w:szCs w:val="16"/>
        </w:rPr>
        <w:softHyphen/>
        <w:t>летом истребительного типа. Перекомпо</w:t>
      </w:r>
      <w:r w:rsidRPr="00271E51">
        <w:rPr>
          <w:rFonts w:ascii="Times New Roman" w:hAnsi="Times New Roman" w:cs="Times New Roman"/>
          <w:color w:val="0070C0"/>
          <w:sz w:val="16"/>
          <w:szCs w:val="16"/>
        </w:rPr>
        <w:softHyphen/>
        <w:t>новали оборудование на приборной до</w:t>
      </w:r>
      <w:r w:rsidRPr="00271E51">
        <w:rPr>
          <w:rFonts w:ascii="Times New Roman" w:hAnsi="Times New Roman" w:cs="Times New Roman"/>
          <w:color w:val="0070C0"/>
          <w:sz w:val="16"/>
          <w:szCs w:val="16"/>
        </w:rPr>
        <w:softHyphen/>
        <w:t>ске и некоторые рычаги управления, из</w:t>
      </w:r>
      <w:r w:rsidRPr="00271E51">
        <w:rPr>
          <w:rFonts w:ascii="Times New Roman" w:hAnsi="Times New Roman" w:cs="Times New Roman"/>
          <w:color w:val="0070C0"/>
          <w:sz w:val="16"/>
          <w:szCs w:val="16"/>
        </w:rPr>
        <w:softHyphen/>
        <w:t>менили комплект приборов контроля работы винтомоторной группы. Централь</w:t>
      </w:r>
      <w:r w:rsidRPr="00271E51">
        <w:rPr>
          <w:rFonts w:ascii="Times New Roman" w:hAnsi="Times New Roman" w:cs="Times New Roman"/>
          <w:color w:val="0070C0"/>
          <w:sz w:val="16"/>
          <w:szCs w:val="16"/>
        </w:rPr>
        <w:softHyphen/>
        <w:t>ную часть приборной доски сделали от</w:t>
      </w:r>
      <w:r w:rsidRPr="00271E51">
        <w:rPr>
          <w:rFonts w:ascii="Times New Roman" w:hAnsi="Times New Roman" w:cs="Times New Roman"/>
          <w:color w:val="0070C0"/>
          <w:sz w:val="16"/>
          <w:szCs w:val="16"/>
        </w:rPr>
        <w:softHyphen/>
        <w:t>кидывающейся («с наклоном вперед на 8-10° для лучшего обзора шкал прибо</w:t>
      </w:r>
      <w:r w:rsidRPr="00271E51">
        <w:rPr>
          <w:rFonts w:ascii="Times New Roman" w:hAnsi="Times New Roman" w:cs="Times New Roman"/>
          <w:color w:val="0070C0"/>
          <w:sz w:val="16"/>
          <w:szCs w:val="16"/>
        </w:rPr>
        <w:softHyphen/>
        <w:t>ров»). Освещение приборов выполнили при помощи двух ламп УФО. Доработали систему управления бомболюками. Управ</w:t>
      </w:r>
      <w:r w:rsidRPr="00271E51">
        <w:rPr>
          <w:rFonts w:ascii="Times New Roman" w:hAnsi="Times New Roman" w:cs="Times New Roman"/>
          <w:color w:val="0070C0"/>
          <w:sz w:val="16"/>
          <w:szCs w:val="16"/>
        </w:rPr>
        <w:softHyphen/>
        <w:t>ление огнем пушек и пулеметов заме</w:t>
      </w:r>
      <w:r w:rsidRPr="00271E51">
        <w:rPr>
          <w:rFonts w:ascii="Times New Roman" w:hAnsi="Times New Roman" w:cs="Times New Roman"/>
          <w:color w:val="0070C0"/>
          <w:sz w:val="16"/>
          <w:szCs w:val="16"/>
        </w:rPr>
        <w:softHyphen/>
        <w:t>нили электропневматическим (от пневмоэлектроспусков ПЭС-1). Штангу для трубки Пито смонтировали в носке крыла. Тро</w:t>
      </w:r>
      <w:r w:rsidRPr="00271E51">
        <w:rPr>
          <w:rFonts w:ascii="Times New Roman" w:hAnsi="Times New Roman" w:cs="Times New Roman"/>
          <w:color w:val="0070C0"/>
          <w:sz w:val="16"/>
          <w:szCs w:val="16"/>
        </w:rPr>
        <w:softHyphen/>
        <w:t>совую проводку дистанционного управ</w:t>
      </w:r>
      <w:r w:rsidRPr="00271E51">
        <w:rPr>
          <w:rFonts w:ascii="Times New Roman" w:hAnsi="Times New Roman" w:cs="Times New Roman"/>
          <w:color w:val="0070C0"/>
          <w:sz w:val="16"/>
          <w:szCs w:val="16"/>
        </w:rPr>
        <w:softHyphen/>
        <w:t>ления приемником РСИ-4 заменили гиб</w:t>
      </w:r>
      <w:r w:rsidRPr="00271E51">
        <w:rPr>
          <w:rFonts w:ascii="Times New Roman" w:hAnsi="Times New Roman" w:cs="Times New Roman"/>
          <w:color w:val="0070C0"/>
          <w:sz w:val="16"/>
          <w:szCs w:val="16"/>
        </w:rPr>
        <w:softHyphen/>
        <w:t>ким валиком конструкции НИСО. Смон</w:t>
      </w:r>
      <w:r w:rsidRPr="00271E51">
        <w:rPr>
          <w:rFonts w:ascii="Times New Roman" w:hAnsi="Times New Roman" w:cs="Times New Roman"/>
          <w:color w:val="0070C0"/>
          <w:sz w:val="16"/>
          <w:szCs w:val="16"/>
        </w:rPr>
        <w:softHyphen/>
        <w:t>тировали систему водяного охлаждения мотора на 70 л. Поставили маслорадиаторы увеличенных размеров («11-дюймо</w:t>
      </w:r>
      <w:r w:rsidRPr="00271E51">
        <w:rPr>
          <w:rFonts w:ascii="Times New Roman" w:hAnsi="Times New Roman" w:cs="Times New Roman"/>
          <w:color w:val="0070C0"/>
          <w:sz w:val="16"/>
          <w:szCs w:val="16"/>
        </w:rPr>
        <w:softHyphen/>
        <w:t>вые вместо 9-дюймовых») с выводом тон</w:t>
      </w:r>
      <w:r w:rsidRPr="00271E51">
        <w:rPr>
          <w:rFonts w:ascii="Times New Roman" w:hAnsi="Times New Roman" w:cs="Times New Roman"/>
          <w:color w:val="0070C0"/>
          <w:sz w:val="16"/>
          <w:szCs w:val="16"/>
        </w:rPr>
        <w:softHyphen/>
        <w:t>нелей под плоскость крыла. Отсутство</w:t>
      </w:r>
      <w:r w:rsidRPr="00271E51">
        <w:rPr>
          <w:rFonts w:ascii="Times New Roman" w:hAnsi="Times New Roman" w:cs="Times New Roman"/>
          <w:color w:val="0070C0"/>
          <w:sz w:val="16"/>
          <w:szCs w:val="16"/>
        </w:rPr>
        <w:softHyphen/>
        <w:t>вали только мотор АМ-42 и водо-воздуш</w:t>
      </w:r>
      <w:r w:rsidRPr="00271E51">
        <w:rPr>
          <w:rFonts w:ascii="Times New Roman" w:hAnsi="Times New Roman" w:cs="Times New Roman"/>
          <w:color w:val="0070C0"/>
          <w:sz w:val="16"/>
          <w:szCs w:val="16"/>
        </w:rPr>
        <w:softHyphen/>
        <w:t>ный радиатор (19853).</w:t>
      </w:r>
    </w:p>
    <w:p w14:paraId="0CE01B02"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p>
    <w:p w14:paraId="1FB522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декабря 1943 по 10 февраля 1944 состоялись летные испытания Ла-5ФН N 39210206 модифицированного ЦАГИ. Вед. летчик Н.В.Адамович, вед. инж. В.Я.Молочаев (752,1).</w:t>
      </w:r>
    </w:p>
    <w:p w14:paraId="02E99C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Было выполнено 17 полетов с налетов 7:45.</w:t>
      </w:r>
    </w:p>
    <w:p w14:paraId="5726CE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Трижды заменяли свечи, дважды РС-2</w:t>
      </w:r>
    </w:p>
    <w:p w14:paraId="06CD9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с-те № 206 согласно приказы НКАП № 650 от 29 октября 1943 были произведены улучшания в целях увеличения максимальной скорости. Основные изменения:</w:t>
      </w:r>
    </w:p>
    <w:p w14:paraId="185637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всасывающий патрубок перенесен под капот мотора и улучшена его аэродинамика</w:t>
      </w:r>
    </w:p>
    <w:p w14:paraId="3E990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маслорадиатор перенесен под фюзеляж рядом с 5-м шпангоутом и улучшена форма рукава</w:t>
      </w:r>
    </w:p>
    <w:p w14:paraId="109CCE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изменено дефлектирование цилиндров мотра и форма внутреннего капота</w:t>
      </w:r>
    </w:p>
    <w:p w14:paraId="6AB63D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установлены индивидуальные выхлопные патрубки на все цилиндры</w:t>
      </w:r>
    </w:p>
    <w:p w14:paraId="6C6060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изменена компоновка створок шасси</w:t>
      </w:r>
    </w:p>
    <w:p w14:paraId="486AEA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произведено спрямление носка центроплана путем образования переднего зализа, улучшена отделка самолета</w:t>
      </w:r>
    </w:p>
    <w:p w14:paraId="48A891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увеличен и облагорожен задний зализ центроплана</w:t>
      </w:r>
    </w:p>
    <w:p w14:paraId="05D950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проведена тщательная герметизация с-та т мелкие работы по улучшению аэродинамики</w:t>
      </w:r>
    </w:p>
    <w:p w14:paraId="7CFE32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установлен винт ВИШ-105В-4 диаметром 3,1 м (лопасть ЦАГИ).</w:t>
      </w:r>
    </w:p>
    <w:p w14:paraId="3EE32F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получены следующие данные:</w:t>
      </w:r>
    </w:p>
    <w:p w14:paraId="2CB1E3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(Рк 1195 при 2500 об.) - 630 км/час</w:t>
      </w:r>
    </w:p>
    <w:p w14:paraId="3F706D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1000 м - 652 км/час</w:t>
      </w:r>
    </w:p>
    <w:p w14:paraId="571377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1900 (форсаж) - 672 км/час</w:t>
      </w:r>
    </w:p>
    <w:p w14:paraId="20E571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4000 (форсаж) - 641 км/час</w:t>
      </w:r>
    </w:p>
    <w:p w14:paraId="1D3EB9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5000 - 661 км/час</w:t>
      </w:r>
    </w:p>
    <w:p w14:paraId="0A7153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6150 (2 гр., Рк 1000, 2400 об.) - 684 км/час</w:t>
      </w:r>
    </w:p>
    <w:p w14:paraId="38A9EC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7000 - 676 км/час</w:t>
      </w:r>
    </w:p>
    <w:p w14:paraId="69D232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на 8000 - 662 км/час</w:t>
      </w:r>
    </w:p>
    <w:p w14:paraId="3FDF8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5000 м - 5,2 мин.</w:t>
      </w:r>
    </w:p>
    <w:p w14:paraId="7D99F8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 Скррость у земли 17 м/с</w:t>
      </w:r>
    </w:p>
    <w:p w14:paraId="16D701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- 3445 кг</w:t>
      </w:r>
    </w:p>
    <w:p w14:paraId="51683F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- 90</w:t>
      </w:r>
    </w:p>
    <w:p w14:paraId="2749F9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Горючее - 345</w:t>
      </w:r>
    </w:p>
    <w:p w14:paraId="5BECE6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Масло 50</w:t>
      </w:r>
    </w:p>
    <w:p w14:paraId="2A4218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- 2хСП-20 - 80</w:t>
      </w:r>
    </w:p>
    <w:p w14:paraId="44A92A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б/п - 180</w:t>
      </w:r>
    </w:p>
    <w:p w14:paraId="28CDE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броня - 45</w:t>
      </w:r>
    </w:p>
    <w:p w14:paraId="7E183C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п-к РСИ-4 - 13</w:t>
      </w:r>
    </w:p>
    <w:p w14:paraId="02E7A4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за счет произведенных ЦАГИ и заводом № 21 изменений с-та полетный вес увеличен на 125 кг (всасявающие патрубки, перенос малорадиатора, герметизация, спрямление цп, отделка поверхности, металлические жалюзи)</w:t>
      </w:r>
    </w:p>
    <w:p w14:paraId="0BA640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входе в маслогондолу между поваерхностью фюзеляжа и верхней кромкой входного отверсти туннеля м/р осуществлен специальный желоб для отвода затерможенного воздуха от входа в туннель.</w:t>
      </w:r>
    </w:p>
    <w:p w14:paraId="03FC57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Стенки входной части туннеля сделаны утолщенными, чтобы создать плавное обтекание и избежать срыва на входе. Улучшена герметизация выходной части туннеля.</w:t>
      </w:r>
    </w:p>
    <w:p w14:paraId="02B029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Патрубки расположены по шесть с каждой стороны под подвижными створками капота и по одному в неподвижных отсеках.</w:t>
      </w:r>
    </w:p>
    <w:p w14:paraId="3B238A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Установлены новые герметизированные дефлекторы с уменьшенными зазорами между дефлекторами и цилиндрами.</w:t>
      </w:r>
    </w:p>
    <w:p w14:paraId="5D8A0A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Профиль центроплана соответствует </w:t>
      </w:r>
      <w:r w:rsidRPr="00271E51">
        <w:rPr>
          <w:rFonts w:ascii="Times New Roman" w:hAnsi="Times New Roman"/>
          <w:color w:val="000000" w:themeColor="text1"/>
          <w:sz w:val="16"/>
          <w:szCs w:val="16"/>
          <w:lang w:val="en-US"/>
        </w:rPr>
        <w:t>NACA</w:t>
      </w:r>
      <w:r w:rsidRPr="00271E51">
        <w:rPr>
          <w:rFonts w:ascii="Times New Roman" w:hAnsi="Times New Roman"/>
          <w:color w:val="000000" w:themeColor="text1"/>
          <w:sz w:val="16"/>
          <w:szCs w:val="16"/>
        </w:rPr>
        <w:t>-230.</w:t>
      </w:r>
    </w:p>
    <w:p w14:paraId="13B5AE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герметизации ВМГ</w:t>
      </w:r>
    </w:p>
    <w:p w14:paraId="3BF34C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Герметизированы:</w:t>
      </w:r>
    </w:p>
    <w:p w14:paraId="7FC6A2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капот редуктора в месте расположения механизма жалюзи</w:t>
      </w:r>
    </w:p>
    <w:p w14:paraId="026319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внутренний капот мотора, дефлекторное кольцо мотора</w:t>
      </w:r>
    </w:p>
    <w:p w14:paraId="2ECBCC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моторный капот, вызлопные патрубки, створки капота</w:t>
      </w:r>
    </w:p>
    <w:p w14:paraId="5B73B2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заслонка маслорадиатора</w:t>
      </w:r>
    </w:p>
    <w:p w14:paraId="0089BD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отделке поверхности</w:t>
      </w:r>
    </w:p>
    <w:p w14:paraId="3F3D94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проведены работы по уменьшение волнистости поверхности крыла и устранение неровностей на кольце капота и фюзеляжа путем нанесения нитрошпаклевки. Шероховатость поверхности ждоведена до 6-8 микрон. С-т отполирован</w:t>
      </w:r>
    </w:p>
    <w:p w14:paraId="386EFF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з-м № 21 установлены щитки для полного закрытия куполов шасси. Поставлена у образная безмачтовая антенна. Улучшены обводы желобов пушки. Посталены обтиекатели на крепление трубки Пито к крылу. Уменьшены размеры обтекателей на различных выступающих деталях. Снят храповик с втулки вина., на кок поставлен плавный обтекатель. Газоотведные трубки обрезаны заподлицо с поверхностью.</w:t>
      </w:r>
    </w:p>
    <w:p w14:paraId="154419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Проведена тщательная герметизация противопожарной перегогодки, передней и задней перегородок кабины пилота, вооружения, капотов, масло и бензофильтров, тяг управления элеронами и щитками, стенок лонжеронов и разъемов крыла и по первой нервюре консоли крыла.</w:t>
      </w:r>
    </w:p>
    <w:p w14:paraId="709964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перечисленных были проведены и мелкие работы как по планеру, так и по ВМГ.</w:t>
      </w:r>
    </w:p>
    <w:p w14:paraId="47B34E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Температурный режим на макс. скорости при полностью открытых створках заслонки м/р были в пределах допустимого (245 гр при допускаемых 250), но тем. Входящего масла на том же режиме на 6000 м достигала 95 гр, что превышает на 120 предельно допустимую температуру.</w:t>
      </w:r>
    </w:p>
    <w:p w14:paraId="44CD4B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горизонтальном полете тем. Входящего и выходящего масла ниже допустимой.</w:t>
      </w:r>
    </w:p>
    <w:p w14:paraId="12E5E3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Проверка работы р/с с измененной антенной на производилась.</w:t>
      </w:r>
    </w:p>
    <w:p w14:paraId="185AD4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Заключение:</w:t>
      </w:r>
    </w:p>
    <w:p w14:paraId="6F9E09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Улучшения, осуществляющие рекомендации ЦАГИ, рекомендованы для внедрения в серийное производство при условии устранения обнаруженных в процессе испытания эксплуатационных дефектов, и улучшения системы охлаждения масла.</w:t>
      </w:r>
    </w:p>
    <w:p w14:paraId="1CE706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Считать необходимым при внедрении в серийное пр-во обеспечить снижение полетного веса с-та.</w:t>
      </w:r>
    </w:p>
    <w:p w14:paraId="65FE7F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Лаб. № 1 М.А.Тайц</w:t>
      </w:r>
    </w:p>
    <w:p w14:paraId="6F620B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 1-го отд. Лаб. № 1 Н.С.Строев (752,1).</w:t>
      </w:r>
    </w:p>
    <w:p w14:paraId="1F5D87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8780DE"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lastRenderedPageBreak/>
        <w:t>14 декабря 1943 г. Летчик Н. В. Адамович начал испытания Ла-5Ф № 39210206 Результаты были положительными, но самолет не предназначался для запуска в серию, а служил лишь для отработки отдельных элементов нового истребителя. Проект приказа по НКАП о постройке двух его опытных образцов был подготовлен еще 13 октября 1943 г.</w:t>
      </w:r>
    </w:p>
    <w:p w14:paraId="1867ADC7"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r w:rsidRPr="00271E51">
        <w:rPr>
          <w:rFonts w:ascii="Times New Roman" w:hAnsi="Times New Roman" w:cs="Times New Roman"/>
          <w:color w:val="0070C0"/>
          <w:sz w:val="16"/>
          <w:szCs w:val="16"/>
        </w:rPr>
        <w:t>Чертежи были выполнены в очень короткое время под руководством С. М. Алексеева, заместителя Главного конструктора ОКБ-21, а сам Лавочкин в то время занимался организацией филиала своего ОКБ на вернувшемся в Москву из эвакуации заводе № 381. В разработке нового истребителя Алексееву помогали ведущие сотрудники ЦАГИ во главе с начальником института Шишкиным. Особую роль в создании аэродинамического облика нового истребителя сыграли профессора С. Л. Зак и А. К. Мартынов. Мотор остался тот же, что и на серийных самолетах Ла-5ФН — двухрядный звездообразный 14-цилиндровый М-82ФН, форсированный и оснащенный агрегатом непосредственного впрыска топлива в цилиндры НБ-3У. На взлете он развивал 1 850 л. с., у земли на боевом режиме его мощность достигала 1 530 л. с., на I границе высотности 1 650 м — 1630, а на II границе высотности 4 650 м — 1 460 л. с. Применение воздушного винта ВИШ-105СВ4 с мах-устойчивыми профилями лопастей повысило тягу при той же мощности на валу и обеспечило прибавку скорости 11 км/ч. А новая схема подключения механизма управления шагом винта исключила опасность его «раскрутки» в пикировании. Переделка дефлекторов системы обдува цилиндров дала еще 10 км/ч. Новая пневматическая система запуска позволила убрать с кока винта портящий его обтекаемость храповик подсоединения к автоавиастартеру. Массивные выхлопные коллекторы Ла-5 были заменены индивидуальными патрубками, которые удалось компактно вывести под уменьшенные створки, через которые выходил охлаждающий мотор воздух. Они были удалены от центроплана, а выходные отверстия были уже, чем на Ла-5ФН. Новый фюзеляж больше не повторял у кабины «узкие» обводы прототипа Ла-5 самолета ЛаГГ-3, определявшиеся его рядным мотором М-105, и не имел уступа в зоне перехода к капоту. Все это не только дало дополнительное снижение сопротивления, но и оттянуло начало срыва потока над средней частью крыла до углов атаки 20 … 22°, существенно улучшив маневренность машины. В отличие от Ла-5Ф № 39210206, в новом проекте вход воздуха ПЦН переместили в центроплан, улучшив обтекание всей носовой части. Давление набегающего потока там было меньше, но снизились и потери за счет уменьшения длины труб до расположенного за мотором нагнетателя. А освободившееся место под капотом можно было использовать для установки третьей пушки. Первоначально ориентировались на серийные орудия СП-20 (ШВАК), но появилась новая пушка Б-20 системы Березина. При весе 25 кг она была почти вдвое легче ШВАКа, а ее снаряд имел на 50 м/с большую начальную скорость, что при таком же секундном залпе давало преимущество в дульной мощности почти на 15 %. Под нее проектировались новые электрические механизмы — спусковой и синхронизатор с меньшими потерями темпа стрельбы. Для радиостанции была сделана безмачтовая антенна, что улучшило обтекание хвостовой части. Крыло тоже изменилось. Обводы центроплана упростили, стенки лонжеронов его и консолей были уже не деревянными, а выполнялись из дюраля Д16Т, а полки — из менее дефицитной стали 30ХГСА. Их объем уменьшился, и это позволяло несколько увеличить баки. Под крылом остались два ухвата под ФАБ-100 или меньшие бомбы (22769).</w:t>
      </w:r>
    </w:p>
    <w:p w14:paraId="5C8258C6" w14:textId="77777777" w:rsidR="001E70D1" w:rsidRPr="00271E51" w:rsidRDefault="001E70D1" w:rsidP="00271E51">
      <w:pPr>
        <w:pStyle w:val="7f"/>
        <w:shd w:val="clear" w:color="auto" w:fill="auto"/>
        <w:spacing w:line="240" w:lineRule="auto"/>
        <w:ind w:firstLine="0"/>
        <w:jc w:val="both"/>
        <w:rPr>
          <w:rFonts w:ascii="Times New Roman" w:hAnsi="Times New Roman" w:cs="Times New Roman"/>
          <w:color w:val="0070C0"/>
          <w:sz w:val="16"/>
          <w:szCs w:val="16"/>
        </w:rPr>
      </w:pPr>
    </w:p>
    <w:p w14:paraId="6227F6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декабря 1942 был изготовлен самолет Як-1 № 08110. На следующий день самолет был облетан, принят военным представителем и выбран Ф.П. Головатым, который внес в оплату за истребитель 100 тысяч рублей в госбанк. Такой суммы денег в то время хватало для покупки пяти коров. С 18 декабря 1942 г. самолет числился за 31-м гиап. На своем самолете с 24 декабря этого года по 28 сентября 1943 г. Еремин выполнил 75 полетов. За этот период дважды в мае 1943 г. на подаренном истребителе слетал его заместитель майор С.Х. Куделя. Дальше на самолете практиковались молодые летчики полка (Иванов, Баровой, Кривошеев, Каптелов). Дело в том, что 1 сентября при очередном осмотре "Яка" обнаружилось коробление обшивки крыла и гаргрота фюзеляжа. После нескольких боевых вылетов Еремина инженерно- технический состав полка счел небезопасным для летчика вести на этой машине маневренные воздушные бои. Интенсивные тренировочные полеты молодого пополнения продолжались до конца ноября 1943 г., после чего из-за поломок выполнялись лишь единичные вылеты. 11 декабря I943 г. по окончании ремонта носка крыла, (поврежденного летчиком Каптеловым в полете 30 ноября) самолет в воздух поднял летчик Вирютин. А 17 декабря новая авария - у летчика Варсанахова на посадке убралась хвостовая опора. Получили повреждения руль поворота и нижняя хвостовая часть фюзеляжа. После ремонта систему уборки хвостовой опоры заглушили. "Як" совершил еше два полета. Во втором, 8 января 1944 г. летчик Смирнов произвел такую грубую посадку, что сложился "костыль" и появились трещины на левой стойке шасси и 11-й раме фермы фюзеляжа. Последний вылет, продолжительностью 25 минут, совершил 26 февраля 1944 г. летчик Базлов. Дальнейшие полеты прекратили в связи с необходимостью замены лакокрасочного покрытия и частичной замены фанерной обшивки. Так как самолет не был списан, регламентные работы на нем продолжались до 20 апреля 1944 г. (согласно последней записи в формуляре).</w:t>
      </w:r>
    </w:p>
    <w:p w14:paraId="3229CC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мая 1944 г. самолет передали 32-й раб для отправки в Саратов по просьбе руководителей Саратовской области. Там его установили в центре города на площади имени Кирова. При перевозке и сборке Як-1 потерял зализы крыла и некоторые другие детали. Поэтому при первой реставрации в 1944 г. он получил недостающие части от Як-3, так как выпуск Як-1 к этому времени уже был прекращен. Тогда же был заделан нижний фотолюк, изменено оборудование кабины. От реставрации к реставрации изменялась окраска машины и дарственная надпись (первый раз ее изменили в части в мае 1943 г., устранив орфографическую ошибку в написании фамилии дарителя). На капоте было изображено то 8 (число сбитых Ереминым самолетов лично), то 14 (обшее число сбитых на этом Як-1) звездочек. Таким образом, мало что осталось от первоначального варианта. Всего при ресурсе в 300 ч самолет налетал 102 ч 25 мин.</w:t>
      </w:r>
    </w:p>
    <w:p w14:paraId="0899DE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Почин Ф.П. Головатого тоже был подхвачен, и вскоре летчик А.Н. Катрич получил Як-1 от колхозника Саратовской области И.Д. Фролова. Приобрели свой самолет и колхозники Ершовского колхоза "Первомайский" М.А. Михаленко и Ф.А. Скудина, собравшие 170 тысяч рублей. Самолет Еремина стал крылатым агитатором на освобожденных территориях, где еще не знали о развернувшемся движении в помощь фронту. Там, где он побывал, начинался сбор средств на постройку военной техники. В боевой состав ВВС вошла эскадрилья "Освобожденный Донбасс" на Як-1 (третья эскадрилья 264-го иап). А колхозники села Шотово, где в октябре 1943 г. базировался 31-й гиап, подарили Як-1 командиру первой эскадрильи этого полка A.M. Решетову. Самолет с бортовым номером 16 на левом борту нес надпись: "Колхозники Шотовского сельсовета Ивановского района Запорожской области - Герою Советского Союза гвардии майору Решетову". При освобождении Польши летчик в одном из журналов увидел фотоснимок девочки трех-четырех лет и изобразил детское лицо на обшивке фюзеляжа. За войну прославленный летчик сбил лично 33 вражеские машины.</w:t>
      </w:r>
    </w:p>
    <w:p w14:paraId="120BB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Подарок от земляков, жителей г. Алма- Ата, получил в виде самолета Як-1 командир 152-го гиап С.Д. Луганский. После ожесточенных боев на Днепре полк вывели на переформирование, а его командир получил отпуск. На одной из встреч с земляками, по предложению профессора Штесса, был начат сбор средств на самолет. За' два дня собрали 180 тысяч рублей. Самолет на заводе выбирал сам летчик. Первый из предложенных Як-1 Луганскому не понравился, и он выбрал другой. За войну дважды Герой Советского Союза Луганский выполнил 390 боевых вылетов, сбил лично 37 и в группе сше 5 машин противника (12048).</w:t>
      </w:r>
    </w:p>
    <w:p w14:paraId="66D60C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30BE5" w14:textId="77777777" w:rsidR="00EF645F" w:rsidRPr="00271E51" w:rsidRDefault="00EF645F"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14 декабря 1943 г. по 10 февраля 1944 г. проходили летные испытания истребителя Ла-5ФН № 39210206 модифицированного ЦАГИ. Всасы ваю - щий патрубок перенесли под капот мотора и улучшили его аэродинамику, маслорадиатор перенесли под фюзеляж и улучшили форму канала, изменили форму внутреннего капота, установили индивидуальные выхлопные патрубки на все цилиндры, изменили компоновку створок шасси, спрямили носок центроплана, увеличили и «облагородили» задний зализ центроплана, провели тщательную герметизацию, улучшили отделку самолета и установили винт ВИШ-105В-4 (19727).</w:t>
      </w:r>
    </w:p>
    <w:p w14:paraId="3BDC1F3E" w14:textId="77777777" w:rsidR="00EF645F" w:rsidRPr="00271E51" w:rsidRDefault="00EF645F" w:rsidP="00271E51">
      <w:pPr>
        <w:spacing w:after="0" w:line="240" w:lineRule="auto"/>
        <w:jc w:val="both"/>
        <w:rPr>
          <w:rFonts w:ascii="Times New Roman" w:hAnsi="Times New Roman"/>
          <w:color w:val="000000" w:themeColor="text1"/>
          <w:sz w:val="16"/>
          <w:szCs w:val="16"/>
        </w:rPr>
      </w:pPr>
    </w:p>
    <w:p w14:paraId="06A75934" w14:textId="77777777" w:rsidR="00CF13E4" w:rsidRPr="00271E51" w:rsidRDefault="00CF13E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14 декабря 1943 начальник НИИ ВВС ге</w:t>
      </w:r>
      <w:r w:rsidRPr="00271E51">
        <w:rPr>
          <w:rFonts w:ascii="Times New Roman" w:cs="Times New Roman"/>
          <w:color w:val="000000" w:themeColor="text1"/>
          <w:spacing w:val="0"/>
        </w:rPr>
        <w:softHyphen/>
        <w:t>нерал П.А. Лосюков подписал заключе</w:t>
      </w:r>
      <w:r w:rsidRPr="00271E51">
        <w:rPr>
          <w:rFonts w:ascii="Times New Roman" w:cs="Times New Roman"/>
          <w:color w:val="000000" w:themeColor="text1"/>
          <w:spacing w:val="0"/>
        </w:rPr>
        <w:softHyphen/>
        <w:t>ние по эскизному проекту. В заключении указывалось, что ТИС 2АМ-39 «является нужным для ВВС КА самолетом». Счита</w:t>
      </w:r>
      <w:r w:rsidRPr="00271E51">
        <w:rPr>
          <w:rFonts w:ascii="Times New Roman" w:cs="Times New Roman"/>
          <w:color w:val="000000" w:themeColor="text1"/>
          <w:spacing w:val="0"/>
        </w:rPr>
        <w:softHyphen/>
        <w:t>лось необходимым довести самолет до летного состояния и предъявить на го</w:t>
      </w:r>
      <w:r w:rsidRPr="00271E51">
        <w:rPr>
          <w:rFonts w:ascii="Times New Roman" w:cs="Times New Roman"/>
          <w:color w:val="000000" w:themeColor="text1"/>
          <w:spacing w:val="0"/>
        </w:rPr>
        <w:softHyphen/>
        <w:t>сударственные испытания не позднее 1 февраля 1944 г., для чего просить нар</w:t>
      </w:r>
      <w:r w:rsidRPr="00271E51">
        <w:rPr>
          <w:rFonts w:ascii="Times New Roman" w:cs="Times New Roman"/>
          <w:color w:val="000000" w:themeColor="text1"/>
          <w:spacing w:val="0"/>
        </w:rPr>
        <w:softHyphen/>
        <w:t>кома авиационной промышленности А.И. Шахурина о срочном выделении двух кондиционных моторов АМ-39.</w:t>
      </w:r>
    </w:p>
    <w:p w14:paraId="5D15E4E6" w14:textId="77777777" w:rsidR="00CF13E4" w:rsidRPr="00271E51" w:rsidRDefault="00CF13E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К тому времени уже полным ходом шли работы по отладке мотора АМ-39 и винтомоторной группы на истребите</w:t>
      </w:r>
      <w:r w:rsidRPr="00271E51">
        <w:rPr>
          <w:rFonts w:ascii="Times New Roman" w:cs="Times New Roman"/>
          <w:color w:val="000000" w:themeColor="text1"/>
          <w:spacing w:val="0"/>
        </w:rPr>
        <w:softHyphen/>
        <w:t>ле ИТП (М-2). Первый полет с этим мо</w:t>
      </w:r>
      <w:r w:rsidRPr="00271E51">
        <w:rPr>
          <w:rFonts w:ascii="Times New Roman" w:cs="Times New Roman"/>
          <w:color w:val="000000" w:themeColor="text1"/>
          <w:spacing w:val="0"/>
        </w:rPr>
        <w:softHyphen/>
        <w:t>тором самолет выполнил 23 ноября 1943 г. Температура воды и масла была высокой. После доработок 17 декаб</w:t>
      </w:r>
      <w:r w:rsidRPr="00271E51">
        <w:rPr>
          <w:rFonts w:ascii="Times New Roman" w:cs="Times New Roman"/>
          <w:color w:val="000000" w:themeColor="text1"/>
          <w:spacing w:val="0"/>
        </w:rPr>
        <w:softHyphen/>
        <w:t>ря был выполнен второй полет - конт</w:t>
      </w:r>
      <w:r w:rsidRPr="00271E51">
        <w:rPr>
          <w:rFonts w:ascii="Times New Roman" w:cs="Times New Roman"/>
          <w:color w:val="000000" w:themeColor="text1"/>
          <w:spacing w:val="0"/>
        </w:rPr>
        <w:softHyphen/>
        <w:t>рольный на проверку работы мотора и системы охлаждения. Масло в полете продолжало греться. Мотор перебра</w:t>
      </w:r>
      <w:r w:rsidRPr="00271E51">
        <w:rPr>
          <w:rFonts w:ascii="Times New Roman" w:cs="Times New Roman"/>
          <w:color w:val="000000" w:themeColor="text1"/>
          <w:spacing w:val="0"/>
        </w:rPr>
        <w:softHyphen/>
        <w:t>ли, изменили регулировку. Доработали водо- и маслосистему. К 25 января 1944 г. было выполнено еще четыре полета на отработку силовой установки. Но все усилия оказались напрасными. Вода и масло грелись. Причем наблюдалась тенденция к росту температуры масла. Мотор работал неустойчиво, нещад</w:t>
      </w:r>
      <w:r w:rsidRPr="00271E51">
        <w:rPr>
          <w:rFonts w:ascii="Times New Roman" w:cs="Times New Roman"/>
          <w:color w:val="000000" w:themeColor="text1"/>
          <w:spacing w:val="0"/>
        </w:rPr>
        <w:softHyphen/>
        <w:t>но дымил, недодавал мощности. Стало ясно, что АМ-39 требует доводки в усло</w:t>
      </w:r>
      <w:r w:rsidRPr="00271E51">
        <w:rPr>
          <w:rFonts w:ascii="Times New Roman" w:cs="Times New Roman"/>
          <w:color w:val="000000" w:themeColor="text1"/>
          <w:spacing w:val="0"/>
        </w:rPr>
        <w:softHyphen/>
        <w:t>виях моторного заводаПо этим причинам еще в декабре 1943 г. с целью сокращения сроков по</w:t>
      </w:r>
      <w:r w:rsidRPr="00271E51">
        <w:rPr>
          <w:rFonts w:ascii="Times New Roman" w:cs="Times New Roman"/>
          <w:color w:val="000000" w:themeColor="text1"/>
          <w:spacing w:val="0"/>
        </w:rPr>
        <w:softHyphen/>
        <w:t>дачи ТИС на государственные испы</w:t>
      </w:r>
      <w:r w:rsidRPr="00271E51">
        <w:rPr>
          <w:rFonts w:ascii="Times New Roman" w:cs="Times New Roman"/>
          <w:color w:val="000000" w:themeColor="text1"/>
          <w:spacing w:val="0"/>
        </w:rPr>
        <w:softHyphen/>
        <w:t>тания было принято решение устано</w:t>
      </w:r>
      <w:r w:rsidRPr="00271E51">
        <w:rPr>
          <w:rFonts w:ascii="Times New Roman" w:cs="Times New Roman"/>
          <w:color w:val="000000" w:themeColor="text1"/>
          <w:spacing w:val="0"/>
        </w:rPr>
        <w:softHyphen/>
      </w:r>
      <w:r w:rsidRPr="00271E51">
        <w:rPr>
          <w:rStyle w:val="0pt1"/>
          <w:rFonts w:eastAsia="Arial Narrow"/>
          <w:b w:val="0"/>
          <w:color w:val="000000" w:themeColor="text1"/>
          <w:spacing w:val="0"/>
          <w:sz w:val="16"/>
          <w:szCs w:val="16"/>
        </w:rPr>
        <w:t>вить</w:t>
      </w:r>
      <w:r w:rsidRPr="00271E51">
        <w:rPr>
          <w:rFonts w:ascii="Times New Roman" w:cs="Times New Roman"/>
          <w:color w:val="000000" w:themeColor="text1"/>
          <w:spacing w:val="0"/>
        </w:rPr>
        <w:t xml:space="preserve"> на него серийные моторы АМ-38ф и провести с ними предварительные за</w:t>
      </w:r>
      <w:r w:rsidRPr="00271E51">
        <w:rPr>
          <w:rFonts w:ascii="Times New Roman" w:cs="Times New Roman"/>
          <w:color w:val="000000" w:themeColor="text1"/>
          <w:spacing w:val="0"/>
        </w:rPr>
        <w:softHyphen/>
        <w:t>водские летные испытания, а после по</w:t>
      </w:r>
      <w:r w:rsidRPr="00271E51">
        <w:rPr>
          <w:rFonts w:ascii="Times New Roman" w:cs="Times New Roman"/>
          <w:color w:val="000000" w:themeColor="text1"/>
          <w:spacing w:val="0"/>
        </w:rPr>
        <w:softHyphen/>
        <w:t>ступления кондиционных АМ-39 уточ</w:t>
      </w:r>
      <w:r w:rsidRPr="00271E51">
        <w:rPr>
          <w:rFonts w:ascii="Times New Roman" w:cs="Times New Roman"/>
          <w:color w:val="000000" w:themeColor="text1"/>
          <w:spacing w:val="0"/>
        </w:rPr>
        <w:softHyphen/>
      </w:r>
      <w:r w:rsidRPr="00271E51">
        <w:rPr>
          <w:rStyle w:val="0pt1"/>
          <w:rFonts w:eastAsia="Arial Narrow"/>
          <w:b w:val="0"/>
          <w:color w:val="000000" w:themeColor="text1"/>
          <w:spacing w:val="0"/>
          <w:sz w:val="16"/>
          <w:szCs w:val="16"/>
        </w:rPr>
        <w:t>нить</w:t>
      </w:r>
      <w:r w:rsidRPr="00271E51">
        <w:rPr>
          <w:rFonts w:ascii="Times New Roman" w:cs="Times New Roman"/>
          <w:color w:val="000000" w:themeColor="text1"/>
          <w:spacing w:val="0"/>
        </w:rPr>
        <w:t xml:space="preserve"> летные данные самолета уже с </w:t>
      </w:r>
      <w:r w:rsidRPr="00271E51">
        <w:rPr>
          <w:rStyle w:val="aff9"/>
          <w:rFonts w:ascii="Times New Roman" w:cs="Times New Roman"/>
          <w:b w:val="0"/>
          <w:color w:val="000000" w:themeColor="text1"/>
          <w:spacing w:val="0"/>
          <w:sz w:val="16"/>
          <w:szCs w:val="16"/>
        </w:rPr>
        <w:t>этими</w:t>
      </w:r>
      <w:r w:rsidRPr="00271E51">
        <w:rPr>
          <w:rFonts w:ascii="Times New Roman" w:cs="Times New Roman"/>
          <w:color w:val="000000" w:themeColor="text1"/>
          <w:spacing w:val="0"/>
        </w:rPr>
        <w:t xml:space="preserve"> моторами. Одновременно, по</w:t>
      </w:r>
      <w:r w:rsidRPr="00271E51">
        <w:rPr>
          <w:rFonts w:ascii="Times New Roman" w:cs="Times New Roman"/>
          <w:color w:val="000000" w:themeColor="text1"/>
          <w:spacing w:val="0"/>
        </w:rPr>
        <w:softHyphen/>
      </w:r>
      <w:r w:rsidRPr="00271E51">
        <w:rPr>
          <w:rStyle w:val="0pt1"/>
          <w:rFonts w:eastAsia="Arial Narrow"/>
          <w:b w:val="0"/>
          <w:color w:val="000000" w:themeColor="text1"/>
          <w:spacing w:val="0"/>
          <w:sz w:val="16"/>
          <w:szCs w:val="16"/>
        </w:rPr>
        <w:t>скольку</w:t>
      </w:r>
      <w:r w:rsidRPr="00271E51">
        <w:rPr>
          <w:rFonts w:ascii="Times New Roman" w:cs="Times New Roman"/>
          <w:color w:val="000000" w:themeColor="text1"/>
          <w:spacing w:val="0"/>
        </w:rPr>
        <w:t xml:space="preserve"> бронебойный снаряд БТ-45 к </w:t>
      </w:r>
      <w:r w:rsidRPr="00271E51">
        <w:rPr>
          <w:rStyle w:val="aff9"/>
          <w:rFonts w:ascii="Times New Roman" w:cs="Times New Roman"/>
          <w:b w:val="0"/>
          <w:color w:val="000000" w:themeColor="text1"/>
          <w:spacing w:val="0"/>
          <w:sz w:val="16"/>
          <w:szCs w:val="16"/>
        </w:rPr>
        <w:t>45-мм</w:t>
      </w:r>
      <w:r w:rsidRPr="00271E51">
        <w:rPr>
          <w:rFonts w:ascii="Times New Roman" w:cs="Times New Roman"/>
          <w:color w:val="000000" w:themeColor="text1"/>
          <w:spacing w:val="0"/>
        </w:rPr>
        <w:t xml:space="preserve"> авиационным пушкам не прошел государственные испытания, а доводка </w:t>
      </w:r>
      <w:r w:rsidRPr="00271E51">
        <w:rPr>
          <w:rStyle w:val="aff9"/>
          <w:rFonts w:ascii="Times New Roman" w:cs="Times New Roman"/>
          <w:b w:val="0"/>
          <w:color w:val="000000" w:themeColor="text1"/>
          <w:spacing w:val="0"/>
          <w:sz w:val="16"/>
          <w:szCs w:val="16"/>
        </w:rPr>
        <w:t>пушки</w:t>
      </w:r>
      <w:r w:rsidRPr="00271E51">
        <w:rPr>
          <w:rFonts w:ascii="Times New Roman" w:cs="Times New Roman"/>
          <w:color w:val="000000" w:themeColor="text1"/>
          <w:spacing w:val="0"/>
        </w:rPr>
        <w:t xml:space="preserve"> 111П затянулась (недостаточная надежность автоматики, большая отда</w:t>
      </w:r>
      <w:r w:rsidRPr="00271E51">
        <w:rPr>
          <w:rFonts w:ascii="Times New Roman" w:cs="Times New Roman"/>
          <w:color w:val="000000" w:themeColor="text1"/>
          <w:spacing w:val="0"/>
        </w:rPr>
        <w:softHyphen/>
      </w:r>
      <w:r w:rsidRPr="00271E51">
        <w:rPr>
          <w:rStyle w:val="0pt1"/>
          <w:rFonts w:eastAsia="Arial Narrow"/>
          <w:b w:val="0"/>
          <w:color w:val="000000" w:themeColor="text1"/>
          <w:spacing w:val="0"/>
          <w:sz w:val="16"/>
          <w:szCs w:val="16"/>
        </w:rPr>
        <w:t>ча</w:t>
      </w:r>
      <w:r w:rsidRPr="00271E51">
        <w:rPr>
          <w:rFonts w:ascii="Times New Roman" w:cs="Times New Roman"/>
          <w:color w:val="000000" w:themeColor="text1"/>
          <w:spacing w:val="0"/>
        </w:rPr>
        <w:t xml:space="preserve"> при стрельбе - около 7 т) с неясной перспективой по срокам принятия ее на вооружение, то решили вернуть на ТИС серийные пушки НС-37.</w:t>
      </w:r>
    </w:p>
    <w:p w14:paraId="2BFB308F" w14:textId="77777777" w:rsidR="00CF13E4" w:rsidRPr="00271E51" w:rsidRDefault="00CF13E4"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Работы по установке на ТИС (МА) моторов АМ-38ф и пушек НС-37 плани</w:t>
      </w:r>
      <w:r w:rsidRPr="00271E51">
        <w:rPr>
          <w:rFonts w:ascii="Times New Roman" w:cs="Times New Roman"/>
          <w:color w:val="000000" w:themeColor="text1"/>
          <w:spacing w:val="0"/>
        </w:rPr>
        <w:softHyphen/>
        <w:t xml:space="preserve">ровали завершить к 15 февраля 1944 г., </w:t>
      </w:r>
      <w:r w:rsidRPr="00271E51">
        <w:rPr>
          <w:rStyle w:val="aff9"/>
          <w:rFonts w:ascii="Times New Roman" w:cs="Times New Roman"/>
          <w:b w:val="0"/>
          <w:color w:val="000000" w:themeColor="text1"/>
          <w:spacing w:val="0"/>
          <w:sz w:val="16"/>
          <w:szCs w:val="16"/>
        </w:rPr>
        <w:t>но</w:t>
      </w:r>
      <w:r w:rsidRPr="00271E51">
        <w:rPr>
          <w:rFonts w:ascii="Times New Roman" w:cs="Times New Roman"/>
          <w:color w:val="000000" w:themeColor="text1"/>
          <w:spacing w:val="0"/>
        </w:rPr>
        <w:t xml:space="preserve"> как всегда в установленные сроки не уложились. Дело в том, что Поликарпов для улучшения летных данных самоле</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та</w:t>
      </w:r>
      <w:r w:rsidRPr="00271E51">
        <w:rPr>
          <w:rFonts w:ascii="Times New Roman" w:cs="Times New Roman"/>
          <w:color w:val="000000" w:themeColor="text1"/>
          <w:spacing w:val="0"/>
        </w:rPr>
        <w:t xml:space="preserve"> с моторами АМ-38ф предложил из</w:t>
      </w:r>
      <w:r w:rsidRPr="00271E51">
        <w:rPr>
          <w:rFonts w:ascii="Times New Roman" w:cs="Times New Roman"/>
          <w:color w:val="000000" w:themeColor="text1"/>
          <w:spacing w:val="0"/>
        </w:rPr>
        <w:softHyphen/>
        <w:t xml:space="preserve">менить у них степень редукции с 0,732 </w:t>
      </w:r>
      <w:r w:rsidRPr="00271E51">
        <w:rPr>
          <w:rStyle w:val="aff9"/>
          <w:rFonts w:ascii="Times New Roman" w:cs="Times New Roman"/>
          <w:b w:val="0"/>
          <w:color w:val="000000" w:themeColor="text1"/>
          <w:spacing w:val="0"/>
          <w:sz w:val="16"/>
          <w:szCs w:val="16"/>
        </w:rPr>
        <w:t>на</w:t>
      </w:r>
      <w:r w:rsidRPr="00271E51">
        <w:rPr>
          <w:rFonts w:ascii="Times New Roman" w:cs="Times New Roman"/>
          <w:color w:val="000000" w:themeColor="text1"/>
          <w:spacing w:val="0"/>
        </w:rPr>
        <w:t xml:space="preserve"> 0,590, а также установить на мото</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ры</w:t>
      </w:r>
      <w:r w:rsidRPr="00271E51">
        <w:rPr>
          <w:rFonts w:ascii="Times New Roman" w:cs="Times New Roman"/>
          <w:color w:val="000000" w:themeColor="text1"/>
          <w:spacing w:val="0"/>
        </w:rPr>
        <w:t xml:space="preserve"> дополнительное охлаждение возду</w:t>
      </w:r>
      <w:r w:rsidRPr="00271E51">
        <w:rPr>
          <w:rFonts w:ascii="Times New Roman" w:cs="Times New Roman"/>
          <w:color w:val="000000" w:themeColor="text1"/>
          <w:spacing w:val="0"/>
        </w:rPr>
        <w:softHyphen/>
      </w:r>
      <w:r w:rsidRPr="00271E51">
        <w:rPr>
          <w:rStyle w:val="aff9"/>
          <w:rFonts w:ascii="Times New Roman" w:cs="Times New Roman"/>
          <w:b w:val="0"/>
          <w:color w:val="000000" w:themeColor="text1"/>
          <w:spacing w:val="0"/>
          <w:sz w:val="16"/>
          <w:szCs w:val="16"/>
        </w:rPr>
        <w:t>ха</w:t>
      </w:r>
      <w:r w:rsidRPr="00271E51">
        <w:rPr>
          <w:rFonts w:ascii="Times New Roman" w:cs="Times New Roman"/>
          <w:color w:val="000000" w:themeColor="text1"/>
          <w:spacing w:val="0"/>
        </w:rPr>
        <w:t xml:space="preserve"> после нагнетателя. По договоренно</w:t>
      </w:r>
      <w:r w:rsidRPr="00271E51">
        <w:rPr>
          <w:rFonts w:ascii="Times New Roman" w:cs="Times New Roman"/>
          <w:color w:val="000000" w:themeColor="text1"/>
          <w:spacing w:val="0"/>
        </w:rPr>
        <w:softHyphen/>
        <w:t>сти с Микулиным работа по переделке двух серийных моторов уже велась на заводе №300. К концу декабря моторо</w:t>
      </w:r>
      <w:r w:rsidRPr="00271E51">
        <w:rPr>
          <w:rFonts w:ascii="Times New Roman" w:cs="Times New Roman"/>
          <w:color w:val="000000" w:themeColor="text1"/>
          <w:spacing w:val="0"/>
        </w:rPr>
        <w:softHyphen/>
        <w:t xml:space="preserve">строителям удалось доработать только один мотор и в январе - второй. Однако доводка моторов затянулась. К тому же </w:t>
      </w:r>
      <w:r w:rsidRPr="00271E51">
        <w:rPr>
          <w:rStyle w:val="aff9"/>
          <w:rFonts w:ascii="Times New Roman" w:cs="Times New Roman"/>
          <w:b w:val="0"/>
          <w:color w:val="000000" w:themeColor="text1"/>
          <w:spacing w:val="0"/>
          <w:sz w:val="16"/>
          <w:szCs w:val="16"/>
        </w:rPr>
        <w:t>на</w:t>
      </w:r>
      <w:r w:rsidRPr="00271E51">
        <w:rPr>
          <w:rFonts w:ascii="Times New Roman" w:cs="Times New Roman"/>
          <w:color w:val="000000" w:themeColor="text1"/>
          <w:spacing w:val="0"/>
        </w:rPr>
        <w:t xml:space="preserve"> заводе №51 «случился» очередной аврал по самолету НБ 2М-82А. Боль</w:t>
      </w:r>
      <w:r w:rsidRPr="00271E51">
        <w:rPr>
          <w:rFonts w:ascii="Times New Roman" w:cs="Times New Roman"/>
          <w:color w:val="000000" w:themeColor="text1"/>
          <w:spacing w:val="0"/>
        </w:rPr>
        <w:softHyphen/>
        <w:t>шая часть рабочих, из числа занятых на самолете ТИС, была переброшена на «ночной бомбовоз» (15758).</w:t>
      </w:r>
    </w:p>
    <w:p w14:paraId="5E82B218" w14:textId="77777777" w:rsidR="00CF13E4" w:rsidRPr="00271E51" w:rsidRDefault="00CF13E4" w:rsidP="00271E51">
      <w:pPr>
        <w:pStyle w:val="27"/>
        <w:shd w:val="clear" w:color="auto" w:fill="auto"/>
        <w:spacing w:after="0" w:line="240" w:lineRule="auto"/>
        <w:ind w:firstLine="0"/>
        <w:rPr>
          <w:rFonts w:ascii="Times New Roman" w:cs="Times New Roman"/>
          <w:color w:val="000000" w:themeColor="text1"/>
          <w:spacing w:val="0"/>
        </w:rPr>
      </w:pPr>
    </w:p>
    <w:p w14:paraId="56F71BE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60F58C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6D32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14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377EB092"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2-го Украинского фронта, продолжая развивать наступление, 14 декабря в результате напряжённых боёв овладели городом Черкассы, важным узлом обороны немцев на правом берегу Днепра.</w:t>
      </w:r>
    </w:p>
    <w:p w14:paraId="12489620"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наши войска продолжали наступление и овладели пунктами Шабельники, Боровица, Погорельцы, Мордва, Росошенцы.</w:t>
      </w:r>
    </w:p>
    <w:p w14:paraId="05B40F3D"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вели бои с противником, в ходе которых заняли несколько населённых пунктов.</w:t>
      </w:r>
    </w:p>
    <w:p w14:paraId="67B940D1"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Малина наши войска отбивали атаки пехоты и танков противника, в ходе которых нанесли ему большие потери в живой силе и технике. Южнее Малина наши войска оставили Радомышль.</w:t>
      </w:r>
    </w:p>
    <w:p w14:paraId="48F891D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2FF4E2E"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13 декабря наши войска на всех фронтах подбили и уничтожили 24 немецких танка. В воздушных боях и огнём зенитной артиллерии сбито 14 самолётов противника.</w:t>
      </w:r>
    </w:p>
    <w:p w14:paraId="1766FE39"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2-го Украинского фронта овладели городом Черкассы. Бои за Черкассы носили крайне ожесточённый характер. Немцы превратили все каменные дома города в укреплённые огневые точки. В подвалах и на чердаках засели вражеские снайперы. Противник непрерывно бросал в атаки танки с десантами автоматчиков. Борьба шла за каждый квартал, за каждую улицу. Стремясь любой ценой удержать Черкассы, противник непрерывно подбрасывал свежие резервы. Преодолевая упорное сопротивление немцев, наши войска вчера ночью начали решающий штурм города. Одновременно был предпринят обходный манёвр с юга, из района вокзала, и нанесён удар с островов на Днепре. Сегодня на рассвете наши бойцы полностью очистили город Черкассы от немецко-фашистских захватчиков. Противник понёс огромные потери. За последние дни в боях за город уничтожено до 6.000 немецких солдат и офицеров. Захвачены трофеи и значительное число пленных.</w:t>
      </w:r>
    </w:p>
    <w:p w14:paraId="65339D6F"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наши войска продолжали наступление и овладели рядом опорных пунктов обороны немцев. Подвижной отряд Н-ской части, преследуя отступающего противника, уничтожил свыше 300 немецких солдат и офицеров и 40 автомашин с грузами. Захвачено 6 орудий на механической тяге, 30 автомашин и склад боеприпасов. На другом участке наши бойцы, продвигаясь вперёд, истребили две роты гитлеровцев. Взяты пленные и трофеи.</w:t>
      </w:r>
    </w:p>
    <w:p w14:paraId="082B9C2C"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части Н-ского соединения выбили немцев из нескольких населённых пунктов. На поле боя осталось до 400 вражеских трупов. Подбито и сожжено 5 немецких танков, уничтожено 12 орудий и свыше 50 пулемётов. Захвачены у немцев три крупных склада с военным имуществом и боеприпасами.</w:t>
      </w:r>
    </w:p>
    <w:p w14:paraId="0C12E63B"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города Малина наши войска продолжали вести бои против крупных сил пехоты и танков противника. На одном участке немцы бросили в атаку четыре полка пехоты и до 150 танков. Ожесточённый бой длился несколько часов. Противник понёс большие потери. Только на подступах к позициям одной нашей части подсчитано 600 трупов гитлеровцев и 18 подбитых немецких танков и самоходных орудий.</w:t>
      </w:r>
    </w:p>
    <w:p w14:paraId="4C171949"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скоплениям войск и техники противника. В результате штурмовых и бомбардировочных действий уничтожено много танков и до 200 автомашин противника. В воздушных боях за день сбито 12 немецких самолётов.</w:t>
      </w:r>
    </w:p>
    <w:p w14:paraId="2D31D3AC"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Кирова, действующий в одном из районов Минскойобласти, за месяц уничтожил и повредил до 20 железнодорожных эшелонов противника. В результате крушений разбито много вагонов и платформ с войсками и военными грузами. Другой отряд минских партизан за последние дни пустил под откос 3 немецких поезда. Разбито 3 паровоза и 68 вагонов и платформ. На шоссейных и грунтовых дорогах советские патриоты взорвали немецкий танк, 14 автомашин и уничтожили 15 километров телефонно-телеграфной линии связи.</w:t>
      </w:r>
    </w:p>
    <w:p w14:paraId="6B92324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7 роты 73 мотополка 19 немецкой танковой дивизии Ганс Биненбезе рассказал: «Месяц назад я в составе запасного батальона попал на фронт и был зачислен в 7 роту 73 мотополка. С получением пополнения начались приготовления к атаке. Фельдфебель Борне устно передал нам приказ командования: «Сделать стремительный бросок, итти вперёд, невзирая ни на какие жертвы. Раненым помощь не оказывать. Кто остановится на поле боя возле раненого, тот будет строго наказан». В присутствии фельдфебеля мы не произнесли ни слова. Но как только он ушёл, солдаты вслух выражали своё возмущение. Они говорили: «Это зверский приказ: ранят тебя, и ты околеешь, как собака». Пока готовились к атаке, русские с большой точностью накрыли нас миномётным огнём. Буквально за несколько минут рота на исходном рубеже потеряла убитыми и ранеными 56 человек. Убит был и находившийся вблизи командир 2 батальона капитан Цеппельзак. Мы потеряли половину своего состава, и отошли обратно. На всех солдат, особенно из пополнения, это произвело страшное впечатление».</w:t>
      </w:r>
    </w:p>
    <w:p w14:paraId="629F512A"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Горищенского сельсовета, Полтавской области, рассказали о зверствах немецко-фашистских мерзавцев: «В прошлом году немцы арестовали в деревне Горишнии в соседних хуторах многих колхозников и угнали их в Кременчугскую тюрьму. Вскоре все арестованные были расстреляны. От рук фашистских убийц погибли Тимофей Безуглый, Фёдор Черва, Анна Карабаш, Нестер Бабич, Иван Зин-ченко, Григорий Киценко и другие колхозники. Большую группу молодёжи гитлеровцы угнали в немецкое рабство. При отступлении фашистские погромщики сожгли больницу, зернохранилище, кузницу, а также много хозяйственных построек и жилых домов. Они переломали и уничтожили инвентарь и сельскохозяйственные машины» (14860).</w:t>
      </w:r>
    </w:p>
    <w:p w14:paraId="14F998D8"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46694F1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декабря 1943 советскими войсками освобождены Черкассы (4962).</w:t>
      </w:r>
    </w:p>
    <w:p w14:paraId="510CF1A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9FD0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декабря 1943 согласно сообщению Совинформбюро в боях под Черкассами ст.л. Скляров за день сбил 6 (4хЮ-87 и 2-ФВ-190) (438,890).</w:t>
      </w:r>
    </w:p>
    <w:p w14:paraId="26085B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417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14 1943 Russians begin winter offensive (1037).</w:t>
      </w:r>
    </w:p>
    <w:p w14:paraId="17320A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5C815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декабря 1943 началось зимнее наступление КА (1037).</w:t>
      </w:r>
    </w:p>
    <w:p w14:paraId="17EAD8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33D31" w14:textId="77777777" w:rsidR="00CD2F38"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0AFF3F4B" w14:textId="77777777" w:rsidR="00CD2F38" w:rsidRPr="00271E51" w:rsidRDefault="00CD2F3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BE67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14 декабря</w:t>
      </w:r>
      <w:r w:rsidRPr="00271E51">
        <w:rPr>
          <w:rFonts w:ascii="Times New Roman" w:hAnsi="Times New Roman"/>
          <w:color w:val="000000" w:themeColor="text1"/>
          <w:sz w:val="16"/>
          <w:szCs w:val="16"/>
        </w:rPr>
        <w:t xml:space="preserve"> в 1943 году первый «B-25J» поднялся в воздух 14 декабря 1943 года с аэродрома Фейрфакс-Филд при заводе в Канзас-Сити. «B-25J» («NA-108») самая крупносерийная модификация «В-25», выпущенная в количестве 4390 штук (в том числе 72 незавершенные машины) (14860).</w:t>
      </w:r>
    </w:p>
    <w:p w14:paraId="1834D18D"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176E4DFE" w14:textId="77777777" w:rsidR="009C38ED" w:rsidRPr="00271E51" w:rsidRDefault="009C38E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14 декабря 1943 самолеты пятой армии военно-воздушных сил США атакуют японские силы в Араве, сбрасывая 433 тонны (393 метрических тонны) бомб (20376).</w:t>
      </w:r>
    </w:p>
    <w:p w14:paraId="7DB2D4A6" w14:textId="77777777" w:rsidR="009C38ED" w:rsidRPr="00271E51" w:rsidRDefault="009C38ED" w:rsidP="00271E51">
      <w:pPr>
        <w:spacing w:after="0" w:line="240" w:lineRule="auto"/>
        <w:jc w:val="both"/>
        <w:rPr>
          <w:rFonts w:ascii="Times New Roman" w:hAnsi="Times New Roman"/>
          <w:color w:val="0070C0"/>
          <w:sz w:val="16"/>
          <w:szCs w:val="16"/>
        </w:rPr>
      </w:pPr>
    </w:p>
    <w:p w14:paraId="3D57C6C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B7238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FDE9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А.И.Ш. писал Г.М.М. письмо N 6579:</w:t>
      </w:r>
    </w:p>
    <w:p w14:paraId="030629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самолетах Ил-2, оборудованных вторым местом для заднего стрелка, ЦТ передвинулся назад и составляет 31.5-32% в связи с этим устойчивость самолета ухудшилась.</w:t>
      </w:r>
    </w:p>
    <w:p w14:paraId="1E848B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Самолеты Ил-2 в 2-х местном варианте при стрельбе по земным целям на крутом планировании быстро набирают большую скорость и при выводе из пикирования, в связи с задней центровкой, получают большие перегрузки.</w:t>
      </w:r>
    </w:p>
    <w:p w14:paraId="5DF3EB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ГК С.В.И., в целях приведения устойчивости самолета в прежнее состояние, предложил концы крыльев самолета отнести назад, создал стрельчатую конструкцию крыльев, т.о. центр тяжести самолета передвинулся вперед и равен 28%. Такой самолет изготовлен, прошел в НИИ ВВС гос. испытания и получил хорошую оценку.</w:t>
      </w:r>
    </w:p>
    <w:p w14:paraId="7194D4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запуском в производство на заводах 18 и 30 самолетов Ил-2 со стрельчатыми крыльями, С.В.И. поставил вопрос о прекращении производства деревянных крыльев и о выпуске самолетов Ил-2 на 1 и 30 заводах с металлическими крыльями.</w:t>
      </w:r>
    </w:p>
    <w:p w14:paraId="75A68C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Необходимость такой замены С.В.И. мотивирует следующим соображениями:</w:t>
      </w:r>
    </w:p>
    <w:p w14:paraId="1169E7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условиях боевой работы деревянные крылья менее надежны, чем металлические. Очень часто с боевой операции самолеты с металлическими крыльями возвращаются с большим количеством прострелов, в т.ч. и от крупнокалиберных снарядов. Самолеты Ил-2 с деревянными крыльями с такими пробоинами не возвращаются, т.к. вся фанерная обшивка от ударной воздушной нагрузки, как правило, сдирается с крыла.</w:t>
      </w:r>
    </w:p>
    <w:p w14:paraId="26E66F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Самолеты с металлическими крыльями в боевых условиях при любой обстановке легко подвергаются ремонту и в наикратчайшие сроки вводятся вновь в боевую работу, а самолеты с деревянными крыльями в боевых условиях ремонтировать трудно, ввиду необходимости создания специальных условий для склейки и просушки древесины и т.б., что ремонт дерева в полевых условиях не дает необходимой надежной прочности.</w:t>
      </w:r>
    </w:p>
    <w:p w14:paraId="715F1D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переходе на производство самолетов Ил-2 с металлическими крыльями увеличение расхода дюраля выразится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2126"/>
        <w:gridCol w:w="2268"/>
        <w:gridCol w:w="3402"/>
      </w:tblGrid>
      <w:tr w:rsidR="00A907A5" w:rsidRPr="00271E51" w14:paraId="3EC012D7" w14:textId="77777777" w:rsidTr="00ED5B0A">
        <w:tc>
          <w:tcPr>
            <w:tcW w:w="2660" w:type="dxa"/>
          </w:tcPr>
          <w:p w14:paraId="690510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60E3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 на один самолет с</w:t>
            </w:r>
          </w:p>
        </w:tc>
        <w:tc>
          <w:tcPr>
            <w:tcW w:w="2268" w:type="dxa"/>
          </w:tcPr>
          <w:p w14:paraId="5A0D3D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Расход на один самолет с</w:t>
            </w:r>
          </w:p>
        </w:tc>
        <w:tc>
          <w:tcPr>
            <w:tcW w:w="3402" w:type="dxa"/>
          </w:tcPr>
          <w:p w14:paraId="48ECC7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веса</w:t>
            </w:r>
          </w:p>
        </w:tc>
      </w:tr>
      <w:tr w:rsidR="00A907A5" w:rsidRPr="00271E51" w14:paraId="3470F14D" w14:textId="77777777" w:rsidTr="00ED5B0A">
        <w:tc>
          <w:tcPr>
            <w:tcW w:w="2660" w:type="dxa"/>
          </w:tcPr>
          <w:p w14:paraId="699FA0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D23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деревянными крыльями</w:t>
            </w:r>
          </w:p>
        </w:tc>
        <w:tc>
          <w:tcPr>
            <w:tcW w:w="2268" w:type="dxa"/>
          </w:tcPr>
          <w:p w14:paraId="3B833B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металлическими крыльями</w:t>
            </w:r>
          </w:p>
        </w:tc>
        <w:tc>
          <w:tcPr>
            <w:tcW w:w="3402" w:type="dxa"/>
          </w:tcPr>
          <w:p w14:paraId="349432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металлическое крыло</w:t>
            </w:r>
          </w:p>
        </w:tc>
      </w:tr>
      <w:tr w:rsidR="00A907A5" w:rsidRPr="00271E51" w14:paraId="690B6497" w14:textId="77777777" w:rsidTr="00ED5B0A">
        <w:tc>
          <w:tcPr>
            <w:tcW w:w="2660" w:type="dxa"/>
          </w:tcPr>
          <w:p w14:paraId="6BE5F1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лист дюралевый</w:t>
            </w:r>
          </w:p>
        </w:tc>
        <w:tc>
          <w:tcPr>
            <w:tcW w:w="2126" w:type="dxa"/>
          </w:tcPr>
          <w:p w14:paraId="6F76AB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722</w:t>
            </w:r>
          </w:p>
        </w:tc>
        <w:tc>
          <w:tcPr>
            <w:tcW w:w="2268" w:type="dxa"/>
          </w:tcPr>
          <w:p w14:paraId="36A527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994</w:t>
            </w:r>
          </w:p>
        </w:tc>
        <w:tc>
          <w:tcPr>
            <w:tcW w:w="3402" w:type="dxa"/>
          </w:tcPr>
          <w:p w14:paraId="78D6F1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272</w:t>
            </w:r>
          </w:p>
        </w:tc>
      </w:tr>
      <w:tr w:rsidR="00A907A5" w:rsidRPr="00271E51" w14:paraId="52A09C76" w14:textId="77777777" w:rsidTr="00ED5B0A">
        <w:tc>
          <w:tcPr>
            <w:tcW w:w="2660" w:type="dxa"/>
          </w:tcPr>
          <w:p w14:paraId="751ED2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профили дюралевые</w:t>
            </w:r>
          </w:p>
        </w:tc>
        <w:tc>
          <w:tcPr>
            <w:tcW w:w="2126" w:type="dxa"/>
          </w:tcPr>
          <w:p w14:paraId="3A8D4D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w:t>
            </w:r>
          </w:p>
        </w:tc>
        <w:tc>
          <w:tcPr>
            <w:tcW w:w="2268" w:type="dxa"/>
          </w:tcPr>
          <w:p w14:paraId="59D36A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w:t>
            </w:r>
          </w:p>
        </w:tc>
        <w:tc>
          <w:tcPr>
            <w:tcW w:w="3402" w:type="dxa"/>
          </w:tcPr>
          <w:p w14:paraId="1EAFA0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r>
      <w:tr w:rsidR="00A907A5" w:rsidRPr="00271E51" w14:paraId="0E836FF4" w14:textId="77777777" w:rsidTr="00ED5B0A">
        <w:tc>
          <w:tcPr>
            <w:tcW w:w="2660" w:type="dxa"/>
          </w:tcPr>
          <w:p w14:paraId="769F4A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проволока дюралевая</w:t>
            </w:r>
          </w:p>
        </w:tc>
        <w:tc>
          <w:tcPr>
            <w:tcW w:w="2126" w:type="dxa"/>
          </w:tcPr>
          <w:p w14:paraId="580B8F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2268" w:type="dxa"/>
          </w:tcPr>
          <w:p w14:paraId="4E7A69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c>
          <w:tcPr>
            <w:tcW w:w="3402" w:type="dxa"/>
          </w:tcPr>
          <w:p w14:paraId="493197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r>
      <w:tr w:rsidR="00A907A5" w:rsidRPr="00271E51" w14:paraId="1EBD6F41" w14:textId="77777777" w:rsidTr="00ED5B0A">
        <w:tc>
          <w:tcPr>
            <w:tcW w:w="2660" w:type="dxa"/>
          </w:tcPr>
          <w:p w14:paraId="636A9B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прутки дюралевые</w:t>
            </w:r>
          </w:p>
        </w:tc>
        <w:tc>
          <w:tcPr>
            <w:tcW w:w="2126" w:type="dxa"/>
          </w:tcPr>
          <w:p w14:paraId="0BEF03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2268" w:type="dxa"/>
          </w:tcPr>
          <w:p w14:paraId="6B593C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3402" w:type="dxa"/>
          </w:tcPr>
          <w:p w14:paraId="596BFC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r>
      <w:tr w:rsidR="00A907A5" w:rsidRPr="00271E51" w14:paraId="68E31C21" w14:textId="77777777" w:rsidTr="00ED5B0A">
        <w:tc>
          <w:tcPr>
            <w:tcW w:w="2660" w:type="dxa"/>
          </w:tcPr>
          <w:p w14:paraId="6461C0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5255E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5980D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453A4E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370</w:t>
            </w:r>
          </w:p>
        </w:tc>
      </w:tr>
    </w:tbl>
    <w:p w14:paraId="6BBB19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тем, что увеличение расхода дюраля небольшое, а надежность увеличивается во много раз, считаем предложения С.В.И. правильными и своевременными - просим разрешить на заводах 1 и 30 перейти к производству металлических крыльев на всех Ил-2</w:t>
      </w:r>
    </w:p>
    <w:p w14:paraId="03D597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Переход на металлические крылья может быть осуществлен в течение 5 месяцев (1698,34).</w:t>
      </w:r>
    </w:p>
    <w:p w14:paraId="34179D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F10E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начальником института генерал-майором М.В. Гуревичем был утвержден Акт по испытаниям истребителя Як-9т М-105пф с пушкой Ш-45 (боеком</w:t>
      </w:r>
      <w:r w:rsidRPr="00271E51">
        <w:rPr>
          <w:rFonts w:ascii="Times New Roman" w:hAnsi="Times New Roman"/>
          <w:color w:val="000000" w:themeColor="text1"/>
          <w:sz w:val="16"/>
          <w:szCs w:val="16"/>
        </w:rPr>
        <w:softHyphen/>
        <w:t>плект 20 снарядов) в НИИ АВ. В акте указывалось, что пушка Ш-45 испытания не выдержала. Рекомендовалось дора</w:t>
      </w:r>
      <w:r w:rsidRPr="00271E51">
        <w:rPr>
          <w:rFonts w:ascii="Times New Roman" w:hAnsi="Times New Roman"/>
          <w:color w:val="000000" w:themeColor="text1"/>
          <w:sz w:val="16"/>
          <w:szCs w:val="16"/>
        </w:rPr>
        <w:softHyphen/>
        <w:t>ботанный образец пушки установить на самолет Ил-2 и на нем провести государственные испытания. Однако пушку довести до ума все же не удалось (11474,359).</w:t>
      </w:r>
    </w:p>
    <w:p w14:paraId="22B805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1D664"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15 декабря 1943 началь</w:t>
      </w:r>
      <w:r w:rsidRPr="00271E51">
        <w:rPr>
          <w:color w:val="000000" w:themeColor="text1"/>
          <w:sz w:val="16"/>
          <w:szCs w:val="16"/>
        </w:rPr>
        <w:softHyphen/>
        <w:t>ником института генерал-майором М. В. Гуревичем был утвержден Акт по результатам госиспытаний серий</w:t>
      </w:r>
      <w:r w:rsidRPr="00271E51">
        <w:rPr>
          <w:color w:val="000000" w:themeColor="text1"/>
          <w:sz w:val="16"/>
          <w:szCs w:val="16"/>
        </w:rPr>
        <w:softHyphen/>
        <w:t>ного самолет Як-9т зав. № 01-64 производства заво</w:t>
      </w:r>
      <w:r w:rsidRPr="00271E51">
        <w:rPr>
          <w:color w:val="000000" w:themeColor="text1"/>
          <w:sz w:val="16"/>
          <w:szCs w:val="16"/>
        </w:rPr>
        <w:softHyphen/>
        <w:t>да № 153, на который была установлени пушка Ш-45 в моторном варианте исполнения (МПШ-45).</w:t>
      </w:r>
    </w:p>
    <w:p w14:paraId="297A7081"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Ответственным исполнителем по испы таниям был старший техник-лейтенант Л. А. Гурьев. </w:t>
      </w:r>
    </w:p>
    <w:p w14:paraId="593AC4DA"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Боекомплект к пушке включал 20 снарядов. Для снижения веса ствол пушки был сделан более тон</w:t>
      </w:r>
      <w:r w:rsidRPr="00271E51">
        <w:rPr>
          <w:color w:val="000000" w:themeColor="text1"/>
          <w:sz w:val="16"/>
          <w:szCs w:val="16"/>
        </w:rPr>
        <w:softHyphen/>
        <w:t>ким, изъят дульный тормоз, на 11,8 кг уменьшен вес ствольной коробки. Радиальный зазор между стволом пушки и внутренней стенкой вала мотора составлял всего лишь 0,91 мм. Вес пушки с проти</w:t>
      </w:r>
      <w:r w:rsidRPr="00271E51">
        <w:rPr>
          <w:color w:val="000000" w:themeColor="text1"/>
          <w:sz w:val="16"/>
          <w:szCs w:val="16"/>
        </w:rPr>
        <w:softHyphen/>
        <w:t>вооткатным механизмом равнялся 190,5 кг, без не</w:t>
      </w:r>
      <w:r w:rsidRPr="00271E51">
        <w:rPr>
          <w:color w:val="000000" w:themeColor="text1"/>
          <w:sz w:val="16"/>
          <w:szCs w:val="16"/>
        </w:rPr>
        <w:softHyphen/>
        <w:t>го — 158,5 кг. Средний темп стрельбы составлял 227 выстр./мин.</w:t>
      </w:r>
    </w:p>
    <w:p w14:paraId="3E9EBDAE"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Акте указывалось, что пушка Ш-45 испытания не выдержала ввиду недостаточной надежности ав</w:t>
      </w:r>
      <w:r w:rsidRPr="00271E51">
        <w:rPr>
          <w:color w:val="000000" w:themeColor="text1"/>
          <w:sz w:val="16"/>
          <w:szCs w:val="16"/>
        </w:rPr>
        <w:softHyphen/>
        <w:t>томатики и низкой живучести деталей пушки, осо</w:t>
      </w:r>
      <w:r w:rsidRPr="00271E51">
        <w:rPr>
          <w:color w:val="000000" w:themeColor="text1"/>
          <w:sz w:val="16"/>
          <w:szCs w:val="16"/>
        </w:rPr>
        <w:softHyphen/>
        <w:t>бенно ее затвора. Рекомендовалось доработанный образец пушки установить на самолет Ил-2 и на нем провести государственные испытания.</w:t>
      </w:r>
    </w:p>
    <w:p w14:paraId="6ADF97EC"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Одновременно с пушкой Ш-45 на самолете Як-9т зав. № 01-64 проходили государственные испыта</w:t>
      </w:r>
      <w:r w:rsidRPr="00271E51">
        <w:rPr>
          <w:color w:val="000000" w:themeColor="text1"/>
          <w:sz w:val="16"/>
          <w:szCs w:val="16"/>
        </w:rPr>
        <w:softHyphen/>
        <w:t>ния и опытные снаряды БТ-45 и ОЗТ-45.</w:t>
      </w:r>
    </w:p>
    <w:p w14:paraId="1ED41F2A"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Оказалось, что разрушительное и зажигатель</w:t>
      </w:r>
      <w:r w:rsidRPr="00271E51">
        <w:rPr>
          <w:color w:val="000000" w:themeColor="text1"/>
          <w:sz w:val="16"/>
          <w:szCs w:val="16"/>
        </w:rPr>
        <w:softHyphen/>
        <w:t>ное действие 45-мм снаряда ОЗТ-45 в 1,5—2 раза выше по сравнению с эффектом, который давал снаряд калибра 37 мм этого типа. Стреляли по пло</w:t>
      </w:r>
      <w:r w:rsidRPr="00271E51">
        <w:rPr>
          <w:color w:val="000000" w:themeColor="text1"/>
          <w:sz w:val="16"/>
          <w:szCs w:val="16"/>
        </w:rPr>
        <w:softHyphen/>
        <w:t>скостям, бензобакам и моторам немецких самоле</w:t>
      </w:r>
      <w:r w:rsidRPr="00271E51">
        <w:rPr>
          <w:color w:val="000000" w:themeColor="text1"/>
          <w:sz w:val="16"/>
          <w:szCs w:val="16"/>
        </w:rPr>
        <w:softHyphen/>
        <w:t xml:space="preserve">тов </w:t>
      </w:r>
      <w:r w:rsidRPr="00271E51">
        <w:rPr>
          <w:color w:val="000000" w:themeColor="text1"/>
          <w:sz w:val="16"/>
          <w:szCs w:val="16"/>
          <w:lang w:val="en-US"/>
        </w:rPr>
        <w:t>Ju</w:t>
      </w:r>
      <w:r w:rsidRPr="00271E51">
        <w:rPr>
          <w:color w:val="000000" w:themeColor="text1"/>
          <w:sz w:val="16"/>
          <w:szCs w:val="16"/>
        </w:rPr>
        <w:t xml:space="preserve">87 и </w:t>
      </w:r>
      <w:r w:rsidRPr="00271E51">
        <w:rPr>
          <w:color w:val="000000" w:themeColor="text1"/>
          <w:sz w:val="16"/>
          <w:szCs w:val="16"/>
          <w:lang w:val="en-US"/>
        </w:rPr>
        <w:t>Bf</w:t>
      </w:r>
      <w:r w:rsidRPr="00271E51">
        <w:rPr>
          <w:color w:val="000000" w:themeColor="text1"/>
          <w:sz w:val="16"/>
          <w:szCs w:val="16"/>
        </w:rPr>
        <w:t>109. При попадании ОЗТ-45 в протек- тированные баки, наполовину заполненные бен</w:t>
      </w:r>
      <w:r w:rsidRPr="00271E51">
        <w:rPr>
          <w:color w:val="000000" w:themeColor="text1"/>
          <w:sz w:val="16"/>
          <w:szCs w:val="16"/>
        </w:rPr>
        <w:softHyphen/>
        <w:t>зином, они легко воспламенялись или взрывались. Попадание такого снаряда в мотор во всех случаях выводило его из строя без возможности восстанов</w:t>
      </w:r>
      <w:r w:rsidRPr="00271E51">
        <w:rPr>
          <w:color w:val="000000" w:themeColor="text1"/>
          <w:sz w:val="16"/>
          <w:szCs w:val="16"/>
        </w:rPr>
        <w:softHyphen/>
        <w:t>ления. Площадь разрушения при попадании в кры</w:t>
      </w:r>
      <w:r w:rsidRPr="00271E51">
        <w:rPr>
          <w:color w:val="000000" w:themeColor="text1"/>
          <w:sz w:val="16"/>
          <w:szCs w:val="16"/>
        </w:rPr>
        <w:softHyphen/>
        <w:t>ло самолета достигала 0,8—1,0 м</w:t>
      </w:r>
      <w:r w:rsidRPr="00271E51">
        <w:rPr>
          <w:color w:val="000000" w:themeColor="text1"/>
          <w:sz w:val="16"/>
          <w:szCs w:val="16"/>
          <w:vertAlign w:val="superscript"/>
        </w:rPr>
        <w:t>2</w:t>
      </w:r>
      <w:r w:rsidRPr="00271E51">
        <w:rPr>
          <w:color w:val="000000" w:themeColor="text1"/>
          <w:sz w:val="16"/>
          <w:szCs w:val="16"/>
        </w:rPr>
        <w:t>.</w:t>
      </w:r>
    </w:p>
    <w:p w14:paraId="4ABC4D6C"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то же время бронебойный снаряд БТ-45 с дис</w:t>
      </w:r>
      <w:r w:rsidRPr="00271E51">
        <w:rPr>
          <w:color w:val="000000" w:themeColor="text1"/>
          <w:sz w:val="16"/>
          <w:szCs w:val="16"/>
        </w:rPr>
        <w:softHyphen/>
        <w:t>танции 400 м не пробивал 30-мм немецкую танко</w:t>
      </w:r>
      <w:r w:rsidRPr="00271E51">
        <w:rPr>
          <w:color w:val="000000" w:themeColor="text1"/>
          <w:sz w:val="16"/>
          <w:szCs w:val="16"/>
        </w:rPr>
        <w:softHyphen/>
        <w:t>вую броню при угле встречи 30—40°, тогда 37-мм бронебойный снаряд к пушке Ш-37 в этих же усло</w:t>
      </w:r>
      <w:r w:rsidRPr="00271E51">
        <w:rPr>
          <w:color w:val="000000" w:themeColor="text1"/>
          <w:sz w:val="16"/>
          <w:szCs w:val="16"/>
        </w:rPr>
        <w:softHyphen/>
        <w:t>виях такую броню пробивал. Начальная скорость БТ-45 составляла 806—820 м/с, а БТ-37 — 880 м/с.</w:t>
      </w:r>
    </w:p>
    <w:p w14:paraId="34F306CB" w14:textId="77777777" w:rsidR="00FB28CB" w:rsidRPr="00271E51" w:rsidRDefault="00FB28CB"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На основании результатов стрельб был сделан вывод, что авиационный бронебойный снаряд БТ-45 калибра 45 мм государственные испытания не прошел, в то время как осколочно-зажигатель- но-трассирующий снаряд ОЗТ-45 их выдержал (17500).</w:t>
      </w:r>
    </w:p>
    <w:p w14:paraId="6A587C6D" w14:textId="77777777" w:rsidR="00FB28CB" w:rsidRPr="00271E51" w:rsidRDefault="00FB28CB" w:rsidP="00271E51">
      <w:pPr>
        <w:spacing w:after="0" w:line="240" w:lineRule="auto"/>
        <w:jc w:val="both"/>
        <w:rPr>
          <w:rFonts w:ascii="Times New Roman" w:hAnsi="Times New Roman"/>
          <w:color w:val="000000" w:themeColor="text1"/>
          <w:sz w:val="16"/>
          <w:szCs w:val="16"/>
        </w:rPr>
      </w:pPr>
    </w:p>
    <w:p w14:paraId="5FAA43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самолет У-2 завода № 464 производил полеты в районе завода – поставщика № 41, и разбрасывал листовки с обращением к коллективу завода о том, что они срывают работу завода № 464 по выпуску самолетов для фронта. Видимо, все другие способы воздействия на коллег были уже исчерпаны. 17 декабря 1943 г. директору завода № 464 т. Шелухину был объявлен строгий выговор с предупреждением за недисциплинированность и провокационную выходку (12049).</w:t>
      </w:r>
    </w:p>
    <w:p w14:paraId="21FBDA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344DA" w14:textId="77777777" w:rsidR="009C38ED" w:rsidRPr="00271E51" w:rsidRDefault="009C38ED" w:rsidP="00271E51">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15-го декабря 1943 года самолет У-2 завода № 464 производил полеты в районе завода поставщика № 41 и разбрасывал листовки с обращением к коллективу завода № 41 о том, что они срывают работу завода № 464 по выпуску самолетов для фронта и т.д.</w:t>
      </w:r>
    </w:p>
    <w:p w14:paraId="62E56085" w14:textId="77777777" w:rsidR="009C38ED" w:rsidRPr="00271E51" w:rsidRDefault="009C38ED" w:rsidP="00271E51">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Вылет самолетов, подготовка листовок и их разбрасывание над территорией завода № 41 производилось по прямому указанию директора завода № 464 тов. Шелухина (290188).</w:t>
      </w:r>
    </w:p>
    <w:p w14:paraId="14B4BBF1" w14:textId="77777777" w:rsidR="009C38ED" w:rsidRPr="00271E51" w:rsidRDefault="009C38ED"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5603A575"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4EF4B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37F5D5" w14:textId="77777777" w:rsidR="00F52BDF" w:rsidRPr="00271E51" w:rsidRDefault="00F52BDF" w:rsidP="00271E51">
      <w:pPr>
        <w:pStyle w:val="ae"/>
        <w:shd w:val="clear" w:color="auto" w:fill="FFFFFF"/>
        <w:spacing w:before="0" w:after="0"/>
        <w:jc w:val="both"/>
        <w:rPr>
          <w:color w:val="000000" w:themeColor="text1"/>
          <w:sz w:val="16"/>
          <w:szCs w:val="16"/>
        </w:rPr>
      </w:pPr>
      <w:r w:rsidRPr="00271E51">
        <w:rPr>
          <w:color w:val="000000" w:themeColor="text1"/>
          <w:sz w:val="16"/>
          <w:szCs w:val="16"/>
        </w:rPr>
        <w:t>15 декабря 1943 Артиллерийский комитет ГАУ КА рассмотрел проект гаубицы М24. Было решено построить её в металле, отказавшись от версии со стволом от 280-мм мортиры БР-5. М26 и М27 при этом даже не упоминались. Самоходная гаубица от КБ завода №172 умерла окончательно (18075).</w:t>
      </w:r>
    </w:p>
    <w:p w14:paraId="3CDEC41F" w14:textId="77777777" w:rsidR="00F52BDF" w:rsidRPr="00271E51" w:rsidRDefault="00F52BDF" w:rsidP="00271E51">
      <w:pPr>
        <w:pStyle w:val="ae"/>
        <w:shd w:val="clear" w:color="auto" w:fill="FFFFFF"/>
        <w:spacing w:before="0" w:after="0"/>
        <w:jc w:val="both"/>
        <w:rPr>
          <w:color w:val="000000" w:themeColor="text1"/>
          <w:sz w:val="16"/>
          <w:szCs w:val="16"/>
        </w:rPr>
      </w:pPr>
    </w:p>
    <w:p w14:paraId="4916A7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на вооружение приняли Т-34-85 с пушкой Д-5-Т (1031,32).</w:t>
      </w:r>
    </w:p>
    <w:p w14:paraId="0529F1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215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года несмотря на то, что к этому времени существовало только три прототипа танка без вооружения, было принято решение о налаживании серийного производства новой модели "тридцатьчетверки" - Т-34/85 (3862).</w:t>
      </w:r>
    </w:p>
    <w:p w14:paraId="5D5D1C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B457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года Т-34-85 был принят на вооружение. Первые образцы танка Т-34-85 начали сходить с конвейера Уральского танкового завода в марте 1944 года (9154).</w:t>
      </w:r>
    </w:p>
    <w:p w14:paraId="4374DF6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75AACE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постановлением ГКО под маркой Т-34-85 танк был привет на вооружение РККА и изготавливался серийно на заводе №112 "Красное Сормово" в Горьком с января апрель 1944 г. Всего было выпушено 255 танков данной модификации, причем 5 танков были командирскими (10703).</w:t>
      </w:r>
    </w:p>
    <w:p w14:paraId="34B38B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F400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на заседании ГКО было принято решение о производстве Т-34-85 с 85 мм пушкой на заводе № 112 НКТП (10703).</w:t>
      </w:r>
    </w:p>
    <w:p w14:paraId="39CEE3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FAA6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на заседании ГКО было принято постановление"О производстве танков Т-34-85 с 85-мм пушкой на заводе № 112 НКТП". Согласно постановлению ГКО завод № 112 был обязан организовать производство и обеспечить выпуск танков Т-34-85 в следующие сроки и количествах: в январе 1944 г. - 25 шт., феврале - 75 шт., марте - 150 шт. и с апреля 1944 г. перейти полностью на производство танков Т-34-85 вместо танков Т-34-76. Этим же постановлением заводу № 9 НКВ предписывалось в кратчайшие сроки доработать конструкцию 85-мм пушки. Изменения в конструкция 85-мм пушки Д-5Т-85 были ; вызваны тем, что изначально она проектировалась для установки в тя-• желый танк и поэтому не в полной мере отвечала'чаасоогабаритным тре-бованиям, предъявляемым к пуппсам, предназначавшимся для установ</w:t>
      </w:r>
      <w:r w:rsidRPr="00271E51">
        <w:rPr>
          <w:rFonts w:ascii="Times New Roman" w:hAnsi="Times New Roman"/>
          <w:color w:val="000000" w:themeColor="text1"/>
          <w:sz w:val="16"/>
          <w:szCs w:val="16"/>
        </w:rPr>
        <w:softHyphen/>
        <w:t>ки в средний танк (10703).</w:t>
      </w:r>
    </w:p>
    <w:p w14:paraId="3AD07A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2AE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пушка Д-5Т-85 была принята на вооружение танка Т-34-85 обр. 1943 г. (10703). 85-мм танковая пушка Д-5Т-85, разработанная под руководством Ф.Ф. Петрова, имела длину ствола 52 калибра и клиновой затвор с по</w:t>
      </w:r>
      <w:r w:rsidRPr="00271E51">
        <w:rPr>
          <w:rFonts w:ascii="Times New Roman" w:hAnsi="Times New Roman"/>
          <w:color w:val="000000" w:themeColor="text1"/>
          <w:sz w:val="16"/>
          <w:szCs w:val="16"/>
        </w:rPr>
        <w:softHyphen/>
        <w:t>луавтоматикой копирного типа, аналогичной конструкции, что и у 76,2-мм пушки Ф-34. Противооткатные устройства, состоявшие из цилинд</w:t>
      </w:r>
      <w:r w:rsidRPr="00271E51">
        <w:rPr>
          <w:rFonts w:ascii="Times New Roman" w:hAnsi="Times New Roman"/>
          <w:color w:val="000000" w:themeColor="text1"/>
          <w:sz w:val="16"/>
          <w:szCs w:val="16"/>
        </w:rPr>
        <w:softHyphen/>
        <w:t>ров гидравлического тормоза отката (веретенного типа) и гидропневма</w:t>
      </w:r>
      <w:r w:rsidRPr="00271E51">
        <w:rPr>
          <w:rFonts w:ascii="Times New Roman" w:hAnsi="Times New Roman"/>
          <w:color w:val="000000" w:themeColor="text1"/>
          <w:sz w:val="16"/>
          <w:szCs w:val="16"/>
        </w:rPr>
        <w:softHyphen/>
        <w:t>тического накатника, были расположены над стволом и обеспечивали нормальную длину отката 300 мм. В свободной трубе ствола, было сде</w:t>
      </w:r>
      <w:r w:rsidRPr="00271E51">
        <w:rPr>
          <w:rFonts w:ascii="Times New Roman" w:hAnsi="Times New Roman"/>
          <w:color w:val="000000" w:themeColor="text1"/>
          <w:sz w:val="16"/>
          <w:szCs w:val="16"/>
        </w:rPr>
        <w:softHyphen/>
        <w:t>лано 24 нареза. Люлька танковой пушки представляла собой фасонную отливку, несущую на себе подвижные и неподвижные части артилле</w:t>
      </w:r>
      <w:r w:rsidRPr="00271E51">
        <w:rPr>
          <w:rFonts w:ascii="Times New Roman" w:hAnsi="Times New Roman"/>
          <w:color w:val="000000" w:themeColor="text1"/>
          <w:sz w:val="16"/>
          <w:szCs w:val="16"/>
        </w:rPr>
        <w:softHyphen/>
        <w:t>рийской системы. Ствол пушки при откате и накате скользил в трубе люльки по четырем бронзовым вкладышам и продольной шпонке. Эле</w:t>
      </w:r>
      <w:r w:rsidRPr="00271E51">
        <w:rPr>
          <w:rFonts w:ascii="Times New Roman" w:hAnsi="Times New Roman"/>
          <w:color w:val="000000" w:themeColor="text1"/>
          <w:sz w:val="16"/>
          <w:szCs w:val="16"/>
        </w:rPr>
        <w:softHyphen/>
        <w:t>ктрический спусковой механизм был смонтирован на маховике подъем</w:t>
      </w:r>
      <w:r w:rsidRPr="00271E51">
        <w:rPr>
          <w:rFonts w:ascii="Times New Roman" w:hAnsi="Times New Roman"/>
          <w:color w:val="000000" w:themeColor="text1"/>
          <w:sz w:val="16"/>
          <w:szCs w:val="16"/>
        </w:rPr>
        <w:softHyphen/>
        <w:t>ного механизма пушки. По</w:t>
      </w:r>
      <w:r w:rsidRPr="00271E51">
        <w:rPr>
          <w:rFonts w:ascii="Times New Roman" w:hAnsi="Times New Roman"/>
          <w:color w:val="000000" w:themeColor="text1"/>
          <w:sz w:val="16"/>
          <w:szCs w:val="16"/>
        </w:rPr>
        <w:softHyphen/>
        <w:t>мимо электрического спуска в конструкции пушки был предусмотрен ручной спуск. Дульная энергия составляла 300 тс/м. Для стрельбы из 85-мм пушки Д-5Т-85 могли при</w:t>
      </w:r>
      <w:r w:rsidRPr="00271E51">
        <w:rPr>
          <w:rFonts w:ascii="Times New Roman" w:hAnsi="Times New Roman"/>
          <w:color w:val="000000" w:themeColor="text1"/>
          <w:sz w:val="16"/>
          <w:szCs w:val="16"/>
        </w:rPr>
        <w:softHyphen/>
        <w:t>меняться унитарные выстре</w:t>
      </w:r>
      <w:r w:rsidRPr="00271E51">
        <w:rPr>
          <w:rFonts w:ascii="Times New Roman" w:hAnsi="Times New Roman"/>
          <w:color w:val="000000" w:themeColor="text1"/>
          <w:sz w:val="16"/>
          <w:szCs w:val="16"/>
        </w:rPr>
        <w:softHyphen/>
        <w:t>лы зенитной пушки обр. 1939 г.: выстрел с дистанци</w:t>
      </w:r>
      <w:r w:rsidRPr="00271E51">
        <w:rPr>
          <w:rFonts w:ascii="Times New Roman" w:hAnsi="Times New Roman"/>
          <w:color w:val="000000" w:themeColor="text1"/>
          <w:sz w:val="16"/>
          <w:szCs w:val="16"/>
        </w:rPr>
        <w:softHyphen/>
        <w:t>онной гранатой 53-УО-356 и взрывателями Т-5 или ВМ-2 и КТМ-1; унитарный выст</w:t>
      </w:r>
      <w:r w:rsidRPr="00271E51">
        <w:rPr>
          <w:rFonts w:ascii="Times New Roman" w:hAnsi="Times New Roman"/>
          <w:color w:val="000000" w:themeColor="text1"/>
          <w:sz w:val="16"/>
          <w:szCs w:val="16"/>
        </w:rPr>
        <w:softHyphen/>
        <w:t>рел с бронебойно-трассиру-ющим снарядом 53-УБР-365 с донным взрывателем М2-5. Выстрел с бронебойно-трассирующим снарядом был короче выстрела с дистанционной гранатой на 60 мм. Высокая начальная скорость (792 м/с) позволяла бронебойному снаряду массой 9,2 кг пробивать на дис</w:t>
      </w:r>
      <w:r w:rsidRPr="00271E51">
        <w:rPr>
          <w:rFonts w:ascii="Times New Roman" w:hAnsi="Times New Roman"/>
          <w:color w:val="000000" w:themeColor="text1"/>
          <w:sz w:val="16"/>
          <w:szCs w:val="16"/>
        </w:rPr>
        <w:softHyphen/>
        <w:t>танции 1000 м 83-мм броневую плиту, расположенную под углом 30°от вертикали (10703).</w:t>
      </w:r>
    </w:p>
    <w:tbl>
      <w:tblPr>
        <w:tblW w:w="0" w:type="auto"/>
        <w:tblInd w:w="40" w:type="dxa"/>
        <w:tblLayout w:type="fixed"/>
        <w:tblCellMar>
          <w:left w:w="40" w:type="dxa"/>
          <w:right w:w="40" w:type="dxa"/>
        </w:tblCellMar>
        <w:tblLook w:val="0000" w:firstRow="0" w:lastRow="0" w:firstColumn="0" w:lastColumn="0" w:noHBand="0" w:noVBand="0"/>
      </w:tblPr>
      <w:tblGrid>
        <w:gridCol w:w="4358"/>
        <w:gridCol w:w="1622"/>
        <w:gridCol w:w="1450"/>
        <w:gridCol w:w="1661"/>
        <w:gridCol w:w="1661"/>
      </w:tblGrid>
      <w:tr w:rsidR="00A907A5" w:rsidRPr="00271E51" w14:paraId="6CCFCC26" w14:textId="77777777" w:rsidTr="00ED5B0A">
        <w:trPr>
          <w:trHeight w:val="403"/>
        </w:trPr>
        <w:tc>
          <w:tcPr>
            <w:tcW w:w="4358" w:type="dxa"/>
            <w:tcBorders>
              <w:top w:val="single" w:sz="6" w:space="0" w:color="auto"/>
              <w:left w:val="single" w:sz="6" w:space="0" w:color="auto"/>
              <w:bottom w:val="nil"/>
              <w:right w:val="single" w:sz="6" w:space="0" w:color="auto"/>
            </w:tcBorders>
          </w:tcPr>
          <w:p w14:paraId="60DE3A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пушки</w:t>
            </w:r>
          </w:p>
        </w:tc>
        <w:tc>
          <w:tcPr>
            <w:tcW w:w="1622" w:type="dxa"/>
            <w:tcBorders>
              <w:top w:val="single" w:sz="6" w:space="0" w:color="auto"/>
              <w:left w:val="single" w:sz="6" w:space="0" w:color="auto"/>
              <w:bottom w:val="nil"/>
              <w:right w:val="single" w:sz="6" w:space="0" w:color="auto"/>
            </w:tcBorders>
          </w:tcPr>
          <w:p w14:paraId="48696C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снаряда</w:t>
            </w:r>
          </w:p>
        </w:tc>
        <w:tc>
          <w:tcPr>
            <w:tcW w:w="4772" w:type="dxa"/>
            <w:gridSpan w:val="3"/>
            <w:tcBorders>
              <w:top w:val="single" w:sz="6" w:space="0" w:color="auto"/>
              <w:left w:val="single" w:sz="6" w:space="0" w:color="auto"/>
              <w:bottom w:val="single" w:sz="6" w:space="0" w:color="auto"/>
              <w:right w:val="single" w:sz="6" w:space="0" w:color="auto"/>
            </w:tcBorders>
          </w:tcPr>
          <w:p w14:paraId="0F73E9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Бронепробиваемость (мм) на дальностях</w:t>
            </w:r>
          </w:p>
        </w:tc>
      </w:tr>
      <w:tr w:rsidR="00A907A5" w:rsidRPr="00271E51" w14:paraId="741C55C2" w14:textId="77777777" w:rsidTr="00ED5B0A">
        <w:trPr>
          <w:trHeight w:val="192"/>
        </w:trPr>
        <w:tc>
          <w:tcPr>
            <w:tcW w:w="4358" w:type="dxa"/>
            <w:tcBorders>
              <w:top w:val="nil"/>
              <w:left w:val="single" w:sz="6" w:space="0" w:color="auto"/>
              <w:bottom w:val="single" w:sz="6" w:space="0" w:color="auto"/>
              <w:right w:val="single" w:sz="6" w:space="0" w:color="auto"/>
            </w:tcBorders>
          </w:tcPr>
          <w:p w14:paraId="7AD7B2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3FF383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C02A0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500м</w:t>
            </w:r>
          </w:p>
        </w:tc>
        <w:tc>
          <w:tcPr>
            <w:tcW w:w="1661" w:type="dxa"/>
            <w:tcBorders>
              <w:top w:val="single" w:sz="6" w:space="0" w:color="auto"/>
              <w:left w:val="single" w:sz="6" w:space="0" w:color="auto"/>
              <w:bottom w:val="single" w:sz="6" w:space="0" w:color="auto"/>
              <w:right w:val="single" w:sz="6" w:space="0" w:color="auto"/>
            </w:tcBorders>
          </w:tcPr>
          <w:p w14:paraId="0BC8F7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1000м</w:t>
            </w:r>
          </w:p>
        </w:tc>
        <w:tc>
          <w:tcPr>
            <w:tcW w:w="1661" w:type="dxa"/>
            <w:tcBorders>
              <w:top w:val="single" w:sz="6" w:space="0" w:color="auto"/>
              <w:left w:val="single" w:sz="6" w:space="0" w:color="auto"/>
              <w:bottom w:val="single" w:sz="6" w:space="0" w:color="auto"/>
              <w:right w:val="single" w:sz="6" w:space="0" w:color="auto"/>
            </w:tcBorders>
          </w:tcPr>
          <w:p w14:paraId="37DB53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2000м</w:t>
            </w:r>
          </w:p>
        </w:tc>
      </w:tr>
      <w:tr w:rsidR="00A907A5" w:rsidRPr="00271E51" w14:paraId="6734DF5D" w14:textId="77777777" w:rsidTr="00ED5B0A">
        <w:trPr>
          <w:trHeight w:val="202"/>
        </w:trPr>
        <w:tc>
          <w:tcPr>
            <w:tcW w:w="4358" w:type="dxa"/>
            <w:tcBorders>
              <w:top w:val="single" w:sz="6" w:space="0" w:color="auto"/>
              <w:left w:val="single" w:sz="6" w:space="0" w:color="auto"/>
              <w:bottom w:val="single" w:sz="6" w:space="0" w:color="auto"/>
              <w:right w:val="single" w:sz="6" w:space="0" w:color="auto"/>
            </w:tcBorders>
          </w:tcPr>
          <w:p w14:paraId="7E12F9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45-мм танковая пушка обр. 1942 г.</w:t>
            </w:r>
          </w:p>
        </w:tc>
        <w:tc>
          <w:tcPr>
            <w:tcW w:w="1622" w:type="dxa"/>
            <w:tcBorders>
              <w:top w:val="single" w:sz="6" w:space="0" w:color="auto"/>
              <w:left w:val="single" w:sz="6" w:space="0" w:color="auto"/>
              <w:bottom w:val="single" w:sz="6" w:space="0" w:color="auto"/>
              <w:right w:val="single" w:sz="6" w:space="0" w:color="auto"/>
            </w:tcBorders>
          </w:tcPr>
          <w:p w14:paraId="38FB61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БР-240СП</w:t>
            </w:r>
          </w:p>
        </w:tc>
        <w:tc>
          <w:tcPr>
            <w:tcW w:w="1450" w:type="dxa"/>
            <w:tcBorders>
              <w:top w:val="single" w:sz="6" w:space="0" w:color="auto"/>
              <w:left w:val="single" w:sz="6" w:space="0" w:color="auto"/>
              <w:bottom w:val="single" w:sz="6" w:space="0" w:color="auto"/>
              <w:right w:val="single" w:sz="6" w:space="0" w:color="auto"/>
            </w:tcBorders>
          </w:tcPr>
          <w:p w14:paraId="1EE679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38/31-</w:t>
            </w:r>
          </w:p>
        </w:tc>
        <w:tc>
          <w:tcPr>
            <w:tcW w:w="1661" w:type="dxa"/>
            <w:tcBorders>
              <w:top w:val="single" w:sz="6" w:space="0" w:color="auto"/>
              <w:left w:val="single" w:sz="6" w:space="0" w:color="auto"/>
              <w:bottom w:val="single" w:sz="6" w:space="0" w:color="auto"/>
              <w:right w:val="single" w:sz="6" w:space="0" w:color="auto"/>
            </w:tcBorders>
          </w:tcPr>
          <w:p w14:paraId="0ADFA7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35/28</w:t>
            </w:r>
          </w:p>
        </w:tc>
        <w:tc>
          <w:tcPr>
            <w:tcW w:w="1661" w:type="dxa"/>
            <w:tcBorders>
              <w:top w:val="single" w:sz="6" w:space="0" w:color="auto"/>
              <w:left w:val="single" w:sz="6" w:space="0" w:color="auto"/>
              <w:bottom w:val="single" w:sz="6" w:space="0" w:color="auto"/>
              <w:right w:val="single" w:sz="6" w:space="0" w:color="auto"/>
            </w:tcBorders>
          </w:tcPr>
          <w:p w14:paraId="412C9A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AA081BA" w14:textId="77777777" w:rsidTr="00ED5B0A">
        <w:trPr>
          <w:trHeight w:val="442"/>
        </w:trPr>
        <w:tc>
          <w:tcPr>
            <w:tcW w:w="4358" w:type="dxa"/>
            <w:tcBorders>
              <w:top w:val="single" w:sz="6" w:space="0" w:color="auto"/>
              <w:left w:val="single" w:sz="6" w:space="0" w:color="auto"/>
              <w:bottom w:val="single" w:sz="6" w:space="0" w:color="auto"/>
              <w:right w:val="single" w:sz="6" w:space="0" w:color="auto"/>
            </w:tcBorders>
          </w:tcPr>
          <w:p w14:paraId="7269DA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76,2-мм танковая пушка Ф-34 (ЗИС-5)</w:t>
            </w:r>
          </w:p>
        </w:tc>
        <w:tc>
          <w:tcPr>
            <w:tcW w:w="1622" w:type="dxa"/>
            <w:tcBorders>
              <w:top w:val="single" w:sz="6" w:space="0" w:color="auto"/>
              <w:left w:val="single" w:sz="6" w:space="0" w:color="auto"/>
              <w:bottom w:val="single" w:sz="6" w:space="0" w:color="auto"/>
              <w:right w:val="single" w:sz="6" w:space="0" w:color="auto"/>
            </w:tcBorders>
          </w:tcPr>
          <w:p w14:paraId="61F28F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БР-350А, БР-350Б БР-350СП</w:t>
            </w:r>
          </w:p>
        </w:tc>
        <w:tc>
          <w:tcPr>
            <w:tcW w:w="1450" w:type="dxa"/>
            <w:tcBorders>
              <w:top w:val="single" w:sz="6" w:space="0" w:color="auto"/>
              <w:left w:val="single" w:sz="6" w:space="0" w:color="auto"/>
              <w:bottom w:val="single" w:sz="6" w:space="0" w:color="auto"/>
              <w:right w:val="single" w:sz="6" w:space="0" w:color="auto"/>
            </w:tcBorders>
          </w:tcPr>
          <w:p w14:paraId="318146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69/59 92/75</w:t>
            </w:r>
          </w:p>
        </w:tc>
        <w:tc>
          <w:tcPr>
            <w:tcW w:w="1661" w:type="dxa"/>
            <w:tcBorders>
              <w:top w:val="single" w:sz="6" w:space="0" w:color="auto"/>
              <w:left w:val="single" w:sz="6" w:space="0" w:color="auto"/>
              <w:bottom w:val="single" w:sz="6" w:space="0" w:color="auto"/>
              <w:right w:val="single" w:sz="6" w:space="0" w:color="auto"/>
            </w:tcBorders>
          </w:tcPr>
          <w:p w14:paraId="476D80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61/49 60/49</w:t>
            </w:r>
          </w:p>
        </w:tc>
        <w:tc>
          <w:tcPr>
            <w:tcW w:w="1661" w:type="dxa"/>
            <w:tcBorders>
              <w:top w:val="single" w:sz="6" w:space="0" w:color="auto"/>
              <w:left w:val="single" w:sz="6" w:space="0" w:color="auto"/>
              <w:bottom w:val="single" w:sz="6" w:space="0" w:color="auto"/>
              <w:right w:val="single" w:sz="6" w:space="0" w:color="auto"/>
            </w:tcBorders>
          </w:tcPr>
          <w:p w14:paraId="4EE537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48/44</w:t>
            </w:r>
          </w:p>
        </w:tc>
      </w:tr>
      <w:tr w:rsidR="00A907A5" w:rsidRPr="00271E51" w14:paraId="4666DB7D" w14:textId="77777777" w:rsidTr="00ED5B0A">
        <w:trPr>
          <w:trHeight w:val="557"/>
        </w:trPr>
        <w:tc>
          <w:tcPr>
            <w:tcW w:w="4358" w:type="dxa"/>
            <w:tcBorders>
              <w:top w:val="single" w:sz="6" w:space="0" w:color="auto"/>
              <w:left w:val="single" w:sz="6" w:space="0" w:color="auto"/>
              <w:bottom w:val="single" w:sz="6" w:space="0" w:color="auto"/>
              <w:right w:val="single" w:sz="6" w:space="0" w:color="auto"/>
            </w:tcBorders>
          </w:tcPr>
          <w:p w14:paraId="0A9DA0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85-мм танковая пушка Д-5Т-85, ЗИС-С-53</w:t>
            </w:r>
          </w:p>
        </w:tc>
        <w:tc>
          <w:tcPr>
            <w:tcW w:w="1622" w:type="dxa"/>
            <w:tcBorders>
              <w:top w:val="single" w:sz="6" w:space="0" w:color="auto"/>
              <w:left w:val="single" w:sz="6" w:space="0" w:color="auto"/>
              <w:bottom w:val="single" w:sz="6" w:space="0" w:color="auto"/>
              <w:right w:val="single" w:sz="6" w:space="0" w:color="auto"/>
            </w:tcBorders>
          </w:tcPr>
          <w:p w14:paraId="5C26FA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БР-365К БР-365 БР-365П</w:t>
            </w:r>
          </w:p>
        </w:tc>
        <w:tc>
          <w:tcPr>
            <w:tcW w:w="1450" w:type="dxa"/>
            <w:tcBorders>
              <w:top w:val="single" w:sz="6" w:space="0" w:color="auto"/>
              <w:left w:val="single" w:sz="6" w:space="0" w:color="auto"/>
              <w:bottom w:val="single" w:sz="6" w:space="0" w:color="auto"/>
              <w:right w:val="single" w:sz="6" w:space="0" w:color="auto"/>
            </w:tcBorders>
          </w:tcPr>
          <w:p w14:paraId="5E5A6B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110/90 110/90 140/100</w:t>
            </w:r>
          </w:p>
        </w:tc>
        <w:tc>
          <w:tcPr>
            <w:tcW w:w="1661" w:type="dxa"/>
            <w:tcBorders>
              <w:top w:val="single" w:sz="6" w:space="0" w:color="auto"/>
              <w:left w:val="single" w:sz="6" w:space="0" w:color="auto"/>
              <w:bottom w:val="single" w:sz="6" w:space="0" w:color="auto"/>
              <w:right w:val="single" w:sz="6" w:space="0" w:color="auto"/>
            </w:tcBorders>
          </w:tcPr>
          <w:p w14:paraId="4DD8CF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90/75 100/80 110/80</w:t>
            </w:r>
          </w:p>
        </w:tc>
        <w:tc>
          <w:tcPr>
            <w:tcW w:w="1661" w:type="dxa"/>
            <w:tcBorders>
              <w:top w:val="single" w:sz="6" w:space="0" w:color="auto"/>
              <w:left w:val="single" w:sz="6" w:space="0" w:color="auto"/>
              <w:bottom w:val="single" w:sz="6" w:space="0" w:color="auto"/>
              <w:right w:val="single" w:sz="6" w:space="0" w:color="auto"/>
            </w:tcBorders>
          </w:tcPr>
          <w:p w14:paraId="1192C3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65/50 80/65</w:t>
            </w:r>
          </w:p>
        </w:tc>
      </w:tr>
      <w:tr w:rsidR="00A907A5" w:rsidRPr="00271E51" w14:paraId="21BBFEAD" w14:textId="77777777" w:rsidTr="00ED5B0A">
        <w:trPr>
          <w:trHeight w:val="413"/>
        </w:trPr>
        <w:tc>
          <w:tcPr>
            <w:tcW w:w="4358" w:type="dxa"/>
            <w:tcBorders>
              <w:top w:val="single" w:sz="6" w:space="0" w:color="auto"/>
              <w:left w:val="single" w:sz="6" w:space="0" w:color="auto"/>
              <w:bottom w:val="single" w:sz="6" w:space="0" w:color="auto"/>
              <w:right w:val="single" w:sz="6" w:space="0" w:color="auto"/>
            </w:tcBorders>
          </w:tcPr>
          <w:p w14:paraId="72FF1D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122-мм пушка Д-25Т обр. 1944г.</w:t>
            </w:r>
          </w:p>
        </w:tc>
        <w:tc>
          <w:tcPr>
            <w:tcW w:w="1622" w:type="dxa"/>
            <w:tcBorders>
              <w:top w:val="single" w:sz="6" w:space="0" w:color="auto"/>
              <w:left w:val="single" w:sz="6" w:space="0" w:color="auto"/>
              <w:bottom w:val="single" w:sz="6" w:space="0" w:color="auto"/>
              <w:right w:val="single" w:sz="6" w:space="0" w:color="auto"/>
            </w:tcBorders>
          </w:tcPr>
          <w:p w14:paraId="401BC8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БР-471Б БР-471</w:t>
            </w:r>
          </w:p>
        </w:tc>
        <w:tc>
          <w:tcPr>
            <w:tcW w:w="1450" w:type="dxa"/>
            <w:tcBorders>
              <w:top w:val="single" w:sz="6" w:space="0" w:color="auto"/>
              <w:left w:val="single" w:sz="6" w:space="0" w:color="auto"/>
              <w:bottom w:val="single" w:sz="6" w:space="0" w:color="auto"/>
              <w:right w:val="single" w:sz="6" w:space="0" w:color="auto"/>
            </w:tcBorders>
          </w:tcPr>
          <w:p w14:paraId="04EA08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150/122 143/117</w:t>
            </w:r>
          </w:p>
        </w:tc>
        <w:tc>
          <w:tcPr>
            <w:tcW w:w="1661" w:type="dxa"/>
            <w:tcBorders>
              <w:top w:val="single" w:sz="6" w:space="0" w:color="auto"/>
              <w:left w:val="single" w:sz="6" w:space="0" w:color="auto"/>
              <w:bottom w:val="single" w:sz="6" w:space="0" w:color="auto"/>
              <w:right w:val="single" w:sz="6" w:space="0" w:color="auto"/>
            </w:tcBorders>
          </w:tcPr>
          <w:p w14:paraId="2166BE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138/113 126/102</w:t>
            </w:r>
          </w:p>
        </w:tc>
        <w:tc>
          <w:tcPr>
            <w:tcW w:w="1661" w:type="dxa"/>
            <w:tcBorders>
              <w:top w:val="single" w:sz="6" w:space="0" w:color="auto"/>
              <w:left w:val="single" w:sz="6" w:space="0" w:color="auto"/>
              <w:bottom w:val="single" w:sz="6" w:space="0" w:color="auto"/>
              <w:right w:val="single" w:sz="6" w:space="0" w:color="auto"/>
            </w:tcBorders>
          </w:tcPr>
          <w:p w14:paraId="7DAAEF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118/96 97/79</w:t>
            </w:r>
          </w:p>
        </w:tc>
      </w:tr>
    </w:tbl>
    <w:p w14:paraId="442604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 в числителе указана толщина пробиваемой броневой плиты, расположенной вертикально, в знаменателе - под углом 30° от вертикали</w:t>
      </w:r>
    </w:p>
    <w:p w14:paraId="018B1B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 данные отсутствуют</w:t>
      </w:r>
    </w:p>
    <w:p w14:paraId="50ADC6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(10703).</w:t>
      </w:r>
    </w:p>
    <w:p w14:paraId="35B325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A4AA00" w14:textId="77777777" w:rsidR="00FC04C9" w:rsidRPr="00271E51" w:rsidRDefault="00FC04C9" w:rsidP="00271E51">
      <w:pPr>
        <w:pStyle w:val="a3"/>
        <w:rPr>
          <w:color w:val="000000" w:themeColor="text1"/>
          <w:lang w:val="ru-RU"/>
        </w:rPr>
      </w:pPr>
      <w:r w:rsidRPr="00271E51">
        <w:rPr>
          <w:color w:val="000000" w:themeColor="text1"/>
          <w:lang w:val="ru-RU"/>
        </w:rPr>
        <w:t>15 декабря 1943 года Постановление ГКО 4776сс предписывало начать с января следующего года производство Т-34 с пушкой Д-5Т Ф. Ф. Петрова на заводе № 112 (РГАСПИ. Ф. 644. Оп. 1. Д. 183. Л. 12-21). Но недостаточная технологичность Д-5 ограничивала объёмы его производства. Производство противотанковых самоходок поглощало большую часть этих пушек. Между тем, средний танк был самым массовым видом оружия, производимым танковой промышленностью, и поэтому все его элементы должны были быть максимально удобными для производства. Необходимость в тщательной обработке мелких деталей Д-5 была терпима, когда речь шла о производстве трёх-четырех тысяч штук в год, но не в том случае, когда масштабы доходят до пятнадцати тысяч. Поэтому вопрос о том, какую именно 85-мм пушку будут устанавливать в средний танк, оставался открытым.</w:t>
      </w:r>
    </w:p>
    <w:p w14:paraId="2C1A8643" w14:textId="77777777" w:rsidR="00FC04C9" w:rsidRPr="00271E51" w:rsidRDefault="00FC04C9" w:rsidP="00271E51">
      <w:pPr>
        <w:pStyle w:val="a3"/>
        <w:rPr>
          <w:color w:val="000000" w:themeColor="text1"/>
          <w:lang w:val="ru-RU"/>
        </w:rPr>
      </w:pPr>
      <w:r w:rsidRPr="00271E51">
        <w:rPr>
          <w:color w:val="000000" w:themeColor="text1"/>
          <w:lang w:val="ru-RU"/>
        </w:rPr>
        <w:t>В борьбу вступили руководимое В. Г. Грабиным ЦАКБ, подготовившее пушку С-50, КБ завода № 9 во главе с А. Савиным, предложившее свою пушку ЛБ-1, и ленинградский филиал ЦАКБ, в котором под руководством Т. И. Сергеева и Г. И. Шабарова была создана пушка С-53. Кроме того, как альтернативный вариант, рассматривалась возможность установки в танк разработанной Грабиным 76-мм пушки С-54 с увеличенной длиной ствола и мощностью заряда, но этот вариант отпал самым первым. Слишком высокой оказалась стоимость изготовления удлиненного до 60 калибров ствола, и слишком низким - рост бронепробиваемости.</w:t>
      </w:r>
    </w:p>
    <w:p w14:paraId="109D7E07" w14:textId="77777777" w:rsidR="00FC04C9" w:rsidRPr="00271E51" w:rsidRDefault="00FC04C9" w:rsidP="00271E51">
      <w:pPr>
        <w:pStyle w:val="a3"/>
        <w:rPr>
          <w:color w:val="000000" w:themeColor="text1"/>
          <w:lang w:val="ru-RU"/>
        </w:rPr>
      </w:pPr>
      <w:r w:rsidRPr="00271E51">
        <w:rPr>
          <w:color w:val="000000" w:themeColor="text1"/>
          <w:lang w:val="ru-RU"/>
        </w:rPr>
        <w:t>Среди оставшихся претендентов на испытаниях в декабре 1943 года победу одержала пушка С-53 конструкции ЦАКБ. Главным достоинством этой пушки была оригинальная компоновка орудия. Благодаря удачной конструкторской находке Сергееву и Шабарову удалось значительно уменьшить по сравнению с конкурирующими образцами пространство, занимаемое орудием в боевом отделении танка, не сокращая при этом тормозов отката. Поэтому С-53 была единственной из трёх представленных на испытания пушек, не имевшей дульного тормоза. 1 января танк с пушкой С-53 был принят на вооружение. Его производство должно было начаться с 1 марта. У С-53 испытания тоже выявили ряд недостатков, но их удалось устранить на её новой модификации. Новая пушка была в срочном порядке установлена в танк на заводе № 112, затем испытана с 30 января по 2 февраля 1944 года на Гороховецком артиллерийском полигоне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04F8832D" w14:textId="77777777" w:rsidR="00FC04C9" w:rsidRPr="00271E51" w:rsidRDefault="00FC04C9" w:rsidP="00271E51">
      <w:pPr>
        <w:pStyle w:val="a3"/>
        <w:rPr>
          <w:color w:val="000000" w:themeColor="text1"/>
          <w:lang w:val="ru-RU"/>
        </w:rPr>
      </w:pPr>
    </w:p>
    <w:p w14:paraId="4CCD046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года Постановлением ГКО № 4776 танк Т-34-85 был принят на вооружение. Но более массовой советской 85-мм танковой пушкой стал другая артсистема.</w:t>
      </w:r>
    </w:p>
    <w:p w14:paraId="702EBFF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в том. что параллельно с работами по Д5, КБ завода № 92 и ЦАКБ спроектировали и подали на испытания еще три образца танковых 85-мм пушек:</w:t>
      </w:r>
    </w:p>
    <w:p w14:paraId="4C86D9F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ЛБ-1 (ЛБ - Лаврентий Берия) завода № 92, установленную в башне танка Т-34 на погоне 1600 мм;</w:t>
      </w:r>
    </w:p>
    <w:p w14:paraId="6C65C3E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С-53 ЦАКБ НКВ, установленную в башне танка Т-34 с нормальным погоном 1420 мм;</w:t>
      </w:r>
    </w:p>
    <w:p w14:paraId="171984E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С-50 ЦАКБ НКВ, установленная в башне танка Т-34 с погоном 1600 мм.</w:t>
      </w:r>
    </w:p>
    <w:p w14:paraId="490D7CC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эти орудия по сравнению с Д5 имели меньший размер казенной части, а также были проще и технологичнее в изготовлении (12217).</w:t>
      </w:r>
    </w:p>
    <w:p w14:paraId="25796BE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E2CABC5" w14:textId="77777777" w:rsidR="00EF645F" w:rsidRPr="00271E51" w:rsidRDefault="00EF645F" w:rsidP="00271E51">
      <w:pPr>
        <w:pStyle w:val="ae"/>
        <w:spacing w:before="0" w:after="0"/>
        <w:jc w:val="both"/>
        <w:textAlignment w:val="baseline"/>
        <w:rPr>
          <w:color w:val="000000" w:themeColor="text1"/>
          <w:sz w:val="16"/>
          <w:szCs w:val="16"/>
        </w:rPr>
      </w:pPr>
      <w:r w:rsidRPr="00271E51">
        <w:rPr>
          <w:color w:val="000000" w:themeColor="text1"/>
          <w:sz w:val="16"/>
          <w:szCs w:val="16"/>
        </w:rPr>
        <w:t>15 декабря 1943 года Сталин подписал постановление ГКО №4776сс «О производстве танков Т-34-85 с 85-мм пушкой на заводе №112 Наркомата танковой промышленности». Данный танк стал промежуточным. Во-первых, машина оснащалась башней с расширенным до 1600 мм погоном и 85-мм орудием, но её расчёт составлял 2 человека. Во-вторых, Центральное Артиллерийское КБ смогло создать более удачное орудие, получившее индекс С-53 и принятое на вооружение Красной армии постановлением ГКО №4873сс от 1 января 1944 года. Первоначально планировалось ставить эти пушки в обычные башни Т-34, но позже планы поменялись. КБ-520 завода №183 разработало новую, трёхместную башню с диаметром погона 1600 мм (18998).</w:t>
      </w:r>
    </w:p>
    <w:p w14:paraId="52C68945" w14:textId="77777777" w:rsidR="00EF645F" w:rsidRPr="00271E51" w:rsidRDefault="00EF645F" w:rsidP="00271E51">
      <w:pPr>
        <w:pStyle w:val="ae"/>
        <w:spacing w:before="0" w:after="0"/>
        <w:jc w:val="both"/>
        <w:textAlignment w:val="baseline"/>
        <w:rPr>
          <w:color w:val="000000" w:themeColor="text1"/>
          <w:sz w:val="16"/>
          <w:szCs w:val="16"/>
        </w:rPr>
      </w:pPr>
    </w:p>
    <w:p w14:paraId="258CFAB4" w14:textId="77777777" w:rsidR="00B95E55" w:rsidRPr="00271E51" w:rsidRDefault="00B95E55" w:rsidP="00271E51">
      <w:pPr>
        <w:pStyle w:val="a3"/>
        <w:rPr>
          <w:color w:val="000000" w:themeColor="text1"/>
          <w:lang w:val="ru-RU"/>
        </w:rPr>
      </w:pPr>
      <w:r w:rsidRPr="00271E51">
        <w:rPr>
          <w:color w:val="000000" w:themeColor="text1"/>
          <w:lang w:val="ru-RU"/>
        </w:rPr>
        <w:t>15 декабря 1943 Артиллерийский комитет ГАУ КА рассмотрел проект гаубицы М24. Было решено принять проект к реализации в металле, одновременно отказавшись от версии со стволом от 280-мм мортиры БР-5. Что касается М26 и М27, то их даже не упомянули. Таким обра</w:t>
      </w:r>
      <w:r w:rsidRPr="00271E51">
        <w:rPr>
          <w:color w:val="000000" w:themeColor="text1"/>
          <w:lang w:val="ru-RU"/>
        </w:rPr>
        <w:softHyphen/>
        <w:t>зом, детище ЦАКБ окончательно осталось без конкурентов.</w:t>
      </w:r>
    </w:p>
    <w:p w14:paraId="2C7A8EAE"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 xml:space="preserve">Некоторая интрига была в истории с передачей ЦАКБ, по просьбе Грабина, ремонтных </w:t>
      </w:r>
      <w:r w:rsidRPr="00271E51">
        <w:rPr>
          <w:rFonts w:ascii="Times New Roman" w:cs="Times New Roman"/>
          <w:color w:val="000000" w:themeColor="text1"/>
          <w:spacing w:val="0"/>
          <w:lang w:val="en-US"/>
        </w:rPr>
        <w:t>KB</w:t>
      </w:r>
      <w:r w:rsidRPr="00271E51">
        <w:rPr>
          <w:rFonts w:ascii="Times New Roman" w:cs="Times New Roman"/>
          <w:color w:val="000000" w:themeColor="text1"/>
          <w:spacing w:val="0"/>
        </w:rPr>
        <w:t>-1С и СУ-152, предназначенных для установ</w:t>
      </w:r>
      <w:r w:rsidRPr="00271E51">
        <w:rPr>
          <w:rFonts w:ascii="Times New Roman" w:cs="Times New Roman"/>
          <w:color w:val="000000" w:themeColor="text1"/>
          <w:spacing w:val="0"/>
        </w:rPr>
        <w:softHyphen/>
        <w:t>ки на них новых систем (17484).</w:t>
      </w:r>
    </w:p>
    <w:p w14:paraId="74C06108" w14:textId="77777777" w:rsidR="00B95E55" w:rsidRPr="00271E51" w:rsidRDefault="00B95E55" w:rsidP="00271E51">
      <w:pPr>
        <w:pStyle w:val="27"/>
        <w:shd w:val="clear" w:color="auto" w:fill="auto"/>
        <w:spacing w:after="0" w:line="240" w:lineRule="auto"/>
        <w:ind w:firstLine="0"/>
        <w:rPr>
          <w:rFonts w:ascii="Times New Roman" w:cs="Times New Roman"/>
          <w:color w:val="000000" w:themeColor="text1"/>
          <w:spacing w:val="0"/>
        </w:rPr>
      </w:pPr>
    </w:p>
    <w:p w14:paraId="135756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вышел ПРИКАЗ НАЧАЛЬНИКА ГБТУ КА ОБ ИСПЫТАНИИ ОПЫТНЫХ ОБРАЗЦОВ МОТОЦИКЛОВ ПОВЫШЕННОЙ ПРОХОДИМОСТИ №060</w:t>
      </w:r>
    </w:p>
    <w:p w14:paraId="188F40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установления возможности использования в Красной Армии новых образцов мотоци</w:t>
      </w:r>
      <w:r w:rsidRPr="00271E51">
        <w:rPr>
          <w:rFonts w:ascii="Times New Roman" w:hAnsi="Times New Roman"/>
          <w:color w:val="000000" w:themeColor="text1"/>
          <w:sz w:val="16"/>
          <w:szCs w:val="16"/>
        </w:rPr>
        <w:softHyphen/>
        <w:t>клов повышенной проходимости, представленных Тюменским мотоциклетным заводом и Военной ордена Ленина академией БТ и МВ КА им. Сталина, ПРИКАЗЫВАЮ:</w:t>
      </w:r>
    </w:p>
    <w:p w14:paraId="4AB2B6C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период с 20 декабря по 10 января 1944 г. провести дорожные испытания опытных образцов мотоциклов (модель ТМЗ-53 и М-72) с приводом на колесо коляски (И-73).</w:t>
      </w:r>
    </w:p>
    <w:p w14:paraId="451B95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Для проведения испытания назначаю комиссию:</w:t>
      </w:r>
    </w:p>
    <w:p w14:paraId="4E4E2C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комиссии: от научно-исследовательского полигона ГБТУ КА - по назначению начальника полигона генерал-майора танковых войск т. Романова. Члены комиссии:</w:t>
      </w:r>
    </w:p>
    <w:p w14:paraId="280E9E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Помощник начальника 4-го отдела управления бронепоездов и бронемашин ГБТУ КА ст. тех</w:t>
      </w:r>
      <w:r w:rsidRPr="00271E51">
        <w:rPr>
          <w:rFonts w:ascii="Times New Roman" w:hAnsi="Times New Roman"/>
          <w:color w:val="000000" w:themeColor="text1"/>
          <w:sz w:val="16"/>
          <w:szCs w:val="16"/>
        </w:rPr>
        <w:softHyphen/>
        <w:t>ник лейтенант т. Силантьев.</w:t>
      </w:r>
    </w:p>
    <w:p w14:paraId="53DF45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От Главмотовелопрома НКСМ - главный конструктор т. Рогожин В.В.</w:t>
      </w:r>
    </w:p>
    <w:p w14:paraId="37759F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От Тюменского мотоциклетного завода - главный конструктор т. Коганов Я.С.</w:t>
      </w:r>
    </w:p>
    <w:p w14:paraId="36706A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От управления эксплуатации танков - капитан т. Смирнов.</w:t>
      </w:r>
    </w:p>
    <w:p w14:paraId="11A689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 Военной ордена Ленина академии БТ и МВ им. Сталина - по назначению начальника академии.</w:t>
      </w:r>
    </w:p>
    <w:p w14:paraId="3CF135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Испытания мотоциклов провести по прилагаемой программе</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утвержденной ГБТУ КА.</w:t>
      </w:r>
    </w:p>
    <w:p w14:paraId="0C9262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Материально-техническое обеспечение испытаний, размещение комиссии возлагаю на начальника НИП ГБТУ КА генерал-майора танковых войск т. Романова.</w:t>
      </w:r>
    </w:p>
    <w:p w14:paraId="66D22B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сравнительных испытаний опытных образцов мотоциклов с серийными управлению бро</w:t>
      </w:r>
      <w:r w:rsidRPr="00271E51">
        <w:rPr>
          <w:rFonts w:ascii="Times New Roman" w:hAnsi="Times New Roman"/>
          <w:color w:val="000000" w:themeColor="text1"/>
          <w:sz w:val="16"/>
          <w:szCs w:val="16"/>
        </w:rPr>
        <w:softHyphen/>
        <w:t>непоездов и бронемашин ГБТУ КА выделить в распоряжение комиссии один мотоцикл М-72 с коля</w:t>
      </w:r>
      <w:r w:rsidRPr="00271E51">
        <w:rPr>
          <w:rFonts w:ascii="Times New Roman" w:hAnsi="Times New Roman"/>
          <w:color w:val="000000" w:themeColor="text1"/>
          <w:sz w:val="16"/>
          <w:szCs w:val="16"/>
        </w:rPr>
        <w:softHyphen/>
        <w:t>ской, один мотоцикл «Харлей-Давидсон» с коляской М-72.</w:t>
      </w:r>
    </w:p>
    <w:p w14:paraId="27D977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Заключение по испытанию опытных образцов представить в ГБТУ КА 12 января 1944 года и полный отчет к 20 января.</w:t>
      </w:r>
    </w:p>
    <w:p w14:paraId="5CC94C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начальника Главного бронетанкового управления КА генерал-майор инженерно-танковой службы Павловский</w:t>
      </w:r>
    </w:p>
    <w:p w14:paraId="318C7C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11362. Д. 3. Л. 92. Копия (11403).</w:t>
      </w:r>
    </w:p>
    <w:p w14:paraId="75838D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DD8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был подготовлен ДОКЛАД О РАБОТЕ УПРАВЛЕНИЯ БРОНЕПОЕЗДОВ И БРОНЕМАШИН ГБТУ КА В 1943 г. И ПЛАНЕ НА 1944 г.</w:t>
      </w:r>
    </w:p>
    <w:p w14:paraId="3DFAEF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Раздел первый Работы, выполненные в 1943 году</w:t>
      </w:r>
    </w:p>
    <w:p w14:paraId="5ECA6D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Бронемашины</w:t>
      </w:r>
    </w:p>
    <w:p w14:paraId="16D7F9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Производство.</w:t>
      </w:r>
    </w:p>
    <w:p w14:paraId="767880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11 месяцев 1943 года получено от промышленности 1670 (76%) бронеавтомобилей и выдано в войска 1782 шт.</w:t>
      </w:r>
    </w:p>
    <w:p w14:paraId="07F869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Запасных частей к бронеавтомобилям получено от промышленности за 11 месяцев 1943 года на сумму 3219 тыс. руб. (84%).</w:t>
      </w:r>
    </w:p>
    <w:p w14:paraId="5FEAE7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Организовано снабжение запчастями бронеавтомобилей БА-64. 2.Опытные работы.</w:t>
      </w:r>
    </w:p>
    <w:p w14:paraId="51C435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Изготовлены опытные образцы модернизированных бронеавтомобилей БА-64 с расширенной колеей и внедрены в серийное производство.</w:t>
      </w:r>
    </w:p>
    <w:p w14:paraId="6F3E68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Изготовлены опытные образцы бронетранспортера на базе бронеавтомобиля БА-64Б и направлены в действующие части для войсковых испытаний.</w:t>
      </w:r>
    </w:p>
    <w:p w14:paraId="484DFE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Изготовлен опытный образец бронетранспортера Б-3 на базе ходовой части танка Т-70 и шасси автомобиля ЗИС-5. Бронетранспортер на заводских испытаниях показал положительные результаты.</w:t>
      </w:r>
    </w:p>
    <w:p w14:paraId="732F69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Изготовлен опытный образец бронеавтомобиля с установкой пулемета ДШК магазинного питания. Заводские испытания проведены.</w:t>
      </w:r>
    </w:p>
    <w:p w14:paraId="7D0026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Мотоциклы</w:t>
      </w:r>
    </w:p>
    <w:p w14:paraId="09D208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Производство.</w:t>
      </w:r>
    </w:p>
    <w:p w14:paraId="59A442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За 11 месяцев 1943 года получено от промышленности отечественных мотоциклов с коля</w:t>
      </w:r>
      <w:r w:rsidRPr="00271E51">
        <w:rPr>
          <w:rFonts w:ascii="Times New Roman" w:hAnsi="Times New Roman"/>
          <w:color w:val="000000" w:themeColor="text1"/>
          <w:sz w:val="16"/>
          <w:szCs w:val="16"/>
        </w:rPr>
        <w:softHyphen/>
        <w:t>ской - 3300 шт. (49%).</w:t>
      </w:r>
    </w:p>
    <w:p w14:paraId="0D95E8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Организована сборка и оборудование импортных мотоциклов с колясками отечественного производства. Оборудовано колясками 3060 импортных мотоциклов (69%). Собрано мотоциклов без коляски — 1900 шт.</w:t>
      </w:r>
    </w:p>
    <w:p w14:paraId="4B0855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Развернуто производство мотоциклетных колясок с 350 шт. в I квартале до 3500 шт. в III квартале.</w:t>
      </w:r>
    </w:p>
    <w:p w14:paraId="19C2F4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За 11 месяцев 1943 года получено импортных мотоциклов — 7159 шт.</w:t>
      </w:r>
    </w:p>
    <w:p w14:paraId="6739C0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Организованы комплексные мотозаводы по производству мотоциклов М-72 (освоено произ</w:t>
      </w:r>
      <w:r w:rsidRPr="00271E51">
        <w:rPr>
          <w:rFonts w:ascii="Times New Roman" w:hAnsi="Times New Roman"/>
          <w:color w:val="000000" w:themeColor="text1"/>
          <w:sz w:val="16"/>
          <w:szCs w:val="16"/>
        </w:rPr>
        <w:softHyphen/>
        <w:t>водство моторов и коробок перемены передач на Горьковском мотозаводе, освоено цветное литье мотозаводами, получено дополнительное оборудование и оснащение).</w:t>
      </w:r>
    </w:p>
    <w:p w14:paraId="2D8951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Выдано за 11 месяцев 1943 года на формирование и пополнение танковых, механизирован</w:t>
      </w:r>
      <w:r w:rsidRPr="00271E51">
        <w:rPr>
          <w:rFonts w:ascii="Times New Roman" w:hAnsi="Times New Roman"/>
          <w:color w:val="000000" w:themeColor="text1"/>
          <w:sz w:val="16"/>
          <w:szCs w:val="16"/>
        </w:rPr>
        <w:softHyphen/>
        <w:t>ных, мотоциклетных частей и частей связи мотоциклов с коляской — 5944 шт., мотоциклов без коля</w:t>
      </w:r>
      <w:r w:rsidRPr="00271E51">
        <w:rPr>
          <w:rFonts w:ascii="Times New Roman" w:hAnsi="Times New Roman"/>
          <w:color w:val="000000" w:themeColor="text1"/>
          <w:sz w:val="16"/>
          <w:szCs w:val="16"/>
        </w:rPr>
        <w:softHyphen/>
        <w:t>ски — 5248 шт., всего 11292 мотоцикла.</w:t>
      </w:r>
    </w:p>
    <w:p w14:paraId="080648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За 11 месяцев укомплектовано материальной частью 30 сформированных мотоциклетных батальонов и 7 мотоциклетных полков.</w:t>
      </w:r>
    </w:p>
    <w:p w14:paraId="7405DE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 Запасных частей к мотоциклам получено от промышленности за 11 месяцев 1943 года на сумму 2328 тыс. руб. (45%).</w:t>
      </w:r>
    </w:p>
    <w:p w14:paraId="202A4A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Опытные работы.</w:t>
      </w:r>
    </w:p>
    <w:p w14:paraId="11763A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Изготовлены 2 опытных образца мотоциклов с приводом на колесо коляски — ТМЗ-53. Подготовляются к испытаниям.</w:t>
      </w:r>
    </w:p>
    <w:p w14:paraId="7FA381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Подготавливается к испытаниям мотоцикл М-72 с приспособлением для привода на колесо коляски.</w:t>
      </w:r>
    </w:p>
    <w:p w14:paraId="3E98F2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Изготовлен мотовездеход на базе мотоцикла М-72. Производятся заводские испытания.</w:t>
      </w:r>
    </w:p>
    <w:p w14:paraId="0C9581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Изготовлены два опытных образца велосипедов.</w:t>
      </w:r>
    </w:p>
    <w:p w14:paraId="5E8923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Бронепоезда</w:t>
      </w:r>
    </w:p>
    <w:p w14:paraId="4E2CF0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Изготовление материальной части.</w:t>
      </w:r>
    </w:p>
    <w:p w14:paraId="2D1A60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Изготовлено новых бронепоездов — 18 шт. (сверх плана 1 бронепоезд находится в работе) (выполнение 100%).</w:t>
      </w:r>
    </w:p>
    <w:p w14:paraId="67F179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Оборудовано вагонов без бронепоездов — на 10 дивизионов бронепоездов (выполнение 100%).</w:t>
      </w:r>
    </w:p>
    <w:p w14:paraId="35C0D0C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Изготовлено бронеплощадок ПВО — 12 шт. (сверх плана). 2. Опытные работы.</w:t>
      </w:r>
    </w:p>
    <w:p w14:paraId="41169B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Рабочие чертежи и техническая документация на перевооружение бронепоездов со старых пушек на 76-мм танковые Ф-34 (2 типа бронепоезда).</w:t>
      </w:r>
    </w:p>
    <w:p w14:paraId="1B4A92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Рабочие чертежи зенитного бронепоезда с 85-мм зенитными пушками и прибором ПУАЗО.</w:t>
      </w:r>
    </w:p>
    <w:p w14:paraId="16D15A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Рабочие чертежи новой бронировки и оборудования бронепаровоза.</w:t>
      </w:r>
    </w:p>
    <w:p w14:paraId="789A39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Рабочие чертежи бронеавтомотриссы (с двигателем В-2), вооруженной 76-мм танковыми пушками.</w:t>
      </w:r>
    </w:p>
    <w:p w14:paraId="4F97D4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Эскизный проект бронеавтомотриссы (с двигателем В-2), вооруженной 85-мм зенитными пушками.</w:t>
      </w:r>
    </w:p>
    <w:p w14:paraId="0EB9FD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Изготовлены 3 опытные образца бронеавтомобилей БА-64 на железнодорожном ходу и про</w:t>
      </w:r>
      <w:r w:rsidRPr="00271E51">
        <w:rPr>
          <w:rFonts w:ascii="Times New Roman" w:hAnsi="Times New Roman"/>
          <w:color w:val="000000" w:themeColor="text1"/>
          <w:sz w:val="16"/>
          <w:szCs w:val="16"/>
        </w:rPr>
        <w:softHyphen/>
        <w:t>ведено их испытание.</w:t>
      </w:r>
    </w:p>
    <w:p w14:paraId="104F2B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Перевооружение, ремонт и эксплуатация.</w:t>
      </w:r>
    </w:p>
    <w:p w14:paraId="483C86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Произведено перевооружение 44 бронепоездов (замена старых образцов артсистем на пушки Ф-34) из числа 50 подлежащих перевооружению по плану (выполнение 88%).</w:t>
      </w:r>
    </w:p>
    <w:p w14:paraId="5503CD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Разрешен вопрос усиления ходовых частей бронеплощадок, имеющих перегрузку по осям. На 22 бронепоездах произведено усиление ходовых частей.</w:t>
      </w:r>
    </w:p>
    <w:p w14:paraId="0DF583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Потребность войсковых частей в ремонте бронепоездов удовлетворена полностью. Отремонтировано 62 бронепоезда, не считая текущих ремонтов, из них:</w:t>
      </w:r>
    </w:p>
    <w:p w14:paraId="1EC159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капитального ремонта — 6 бронепоездов;</w:t>
      </w:r>
    </w:p>
    <w:p w14:paraId="7A9270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среднего ремонта — 31 бронепоезд;</w:t>
      </w:r>
    </w:p>
    <w:p w14:paraId="5EFAFC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малого ремонта — 25 бронепоездов,</w:t>
      </w:r>
    </w:p>
    <w:p w14:paraId="5DBCCE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Составлено и разослано для бронепоездных частей:</w:t>
      </w:r>
    </w:p>
    <w:p w14:paraId="2F49A5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краткое руководство по ремонту и содержанию бронепаровоза и бронеплощадок;</w:t>
      </w:r>
    </w:p>
    <w:p w14:paraId="3770BC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Положение о ремонте бронепоездов. 4. Боевая подготовка бронепоездных частей.</w:t>
      </w:r>
    </w:p>
    <w:p w14:paraId="7AF9E8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Основное руководство боевой подготовкой в 1943 году осуществлялось над восстанавливаемы</w:t>
      </w:r>
      <w:r w:rsidRPr="00271E51">
        <w:rPr>
          <w:rFonts w:ascii="Times New Roman" w:hAnsi="Times New Roman"/>
          <w:color w:val="000000" w:themeColor="text1"/>
          <w:sz w:val="16"/>
          <w:szCs w:val="16"/>
        </w:rPr>
        <w:softHyphen/>
        <w:t>ми и прибывающими на перевооружение бронепоездными частями.</w:t>
      </w:r>
    </w:p>
    <w:p w14:paraId="60466D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Все восстановленные и прошедшие перевооружение бронепоездные части Московского железнодорожного узла и находящиеся в МВО и ПРИВО были охвачены систематическим контро</w:t>
      </w:r>
      <w:r w:rsidRPr="00271E51">
        <w:rPr>
          <w:rFonts w:ascii="Times New Roman" w:hAnsi="Times New Roman"/>
          <w:color w:val="000000" w:themeColor="text1"/>
          <w:sz w:val="16"/>
          <w:szCs w:val="16"/>
        </w:rPr>
        <w:softHyphen/>
        <w:t>лем и оказанием помощи в боевой подготовке и хозяйственной деятельности частей.</w:t>
      </w:r>
    </w:p>
    <w:p w14:paraId="08F583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истекший год проверено 12 дивизионов бронепоездов, из коих имеют оценку хорошо — 3 и удовлетворительно — 9. Отдельные дивизионы, показавшие неудовлетворительные результаты, подверглись поверке до 4 раз.</w:t>
      </w:r>
    </w:p>
    <w:p w14:paraId="4DC0FA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сколачивания подразделений и в целом дивизионов бронепоездов, проведены учебно-тактические выезды с боевыми артиллерийскими, пулеметными и зенитными стрельбами.</w:t>
      </w:r>
    </w:p>
    <w:p w14:paraId="7F5594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 целях повышения и усовершенствования знаний офицерского состава, а также внедрения опыта боевых действий бронепоездных частей в Отечественной войне, с офицерским составом, прибывшим на перевооружение и находящимся на восстановлении, проведены:</w:t>
      </w:r>
    </w:p>
    <w:p w14:paraId="11367F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трехдневные сборы командиров дивизионов бронепоездов и их заместителей;</w:t>
      </w:r>
    </w:p>
    <w:p w14:paraId="72BF8D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трехдневные сборы командиров взводов ПВО;</w:t>
      </w:r>
    </w:p>
    <w:p w14:paraId="399EE6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десятидневные сборы заместителей командиров дивизионов бронепоездов по политической части в соответствии с приказом НКО №144 от 29.03.1943 г.</w:t>
      </w:r>
    </w:p>
    <w:p w14:paraId="1FED57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Руководство бронепоездными частями, находящимися во фронтах, осуществлялось путем выездов представителей и комиссий в бронепоездные части. Проверены 1, 6, 21, 43, 49 и 60 ОДБП.</w:t>
      </w:r>
    </w:p>
    <w:p w14:paraId="6F37E3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Руководство боевой подготовкой учебного полка бронепоездов осуществлялось комиссиями и представителями от управления бронепоездов и бронемашин ГБТУ КА.</w:t>
      </w:r>
    </w:p>
    <w:p w14:paraId="4E2EBF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 порядке обобщения боевого опыта бронепоездных частей изданы: обзор боевых действий бронепоездов за 2-й год Отечественной войны и составлены 2 альбома с иллюстрированными фото</w:t>
      </w:r>
      <w:r w:rsidRPr="00271E51">
        <w:rPr>
          <w:rFonts w:ascii="Times New Roman" w:hAnsi="Times New Roman"/>
          <w:color w:val="000000" w:themeColor="text1"/>
          <w:sz w:val="16"/>
          <w:szCs w:val="16"/>
        </w:rPr>
        <w:softHyphen/>
        <w:t>снимками «Бронепоезда в боях за Советскую Родину».</w:t>
      </w:r>
    </w:p>
    <w:p w14:paraId="726BEC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Бронепоездные части, имея достаточный опыт в борьбе с немецкими захватчиками, в 1943 году проявили исключительное умение взаимодействовать с пехотными, танковыми и артиллерийскими частями. Особенно отличились бронепоезда при взятии городов Великие-Луки, Ржева, Ельни и др.</w:t>
      </w:r>
    </w:p>
    <w:p w14:paraId="3151DE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успешные действия два дивизиона бронепоездов (1 и 52) представлены командующими фронтов к присвоению звания гвардейских дивизионов.</w:t>
      </w:r>
    </w:p>
    <w:p w14:paraId="2CCD3E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При действии на Курско-Белгородском направлении 60-й отдельный дивизион бронепоездов в борьбе с танками и вражеской авиацией потерял материальную часть. Других потерь в 1943 году не было.</w:t>
      </w:r>
    </w:p>
    <w:p w14:paraId="58EC39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Формирование и комплектование бронепоездных частей.</w:t>
      </w:r>
    </w:p>
    <w:p w14:paraId="79609B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Формирование и восстановление бронепоездных частей производилось при 1-м учебном полку бронепоездов средствами управления бронепоездов и бронемашин ГБТУ КА.</w:t>
      </w:r>
    </w:p>
    <w:p w14:paraId="0A325A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1943 год сформировано и восстановлено:</w:t>
      </w:r>
    </w:p>
    <w:p w14:paraId="48BA20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по директиве №1124783 от 19.12.1943 года требовалось восстановить 6 отдельных дивизионов бронепоездов. Восстановлено — 6 ОДБП (выполнение 100%).</w:t>
      </w:r>
    </w:p>
    <w:p w14:paraId="27732D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приказа №00106 от 21.06.1943 года из числа 6 восстановленных ОДБП расформи</w:t>
      </w:r>
      <w:r w:rsidRPr="00271E51">
        <w:rPr>
          <w:rFonts w:ascii="Times New Roman" w:hAnsi="Times New Roman"/>
          <w:color w:val="000000" w:themeColor="text1"/>
          <w:sz w:val="16"/>
          <w:szCs w:val="16"/>
        </w:rPr>
        <w:softHyphen/>
        <w:t>рованы 4 отдельных дивизиона бронепоездов, что составляет 66%:</w:t>
      </w:r>
    </w:p>
    <w:p w14:paraId="08A699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 директиве №УФ 7/281 от 10.02.1943 года Ленинградским фронтом 14-й отдельный дивизи</w:t>
      </w:r>
      <w:r w:rsidRPr="00271E51">
        <w:rPr>
          <w:rFonts w:ascii="Times New Roman" w:hAnsi="Times New Roman"/>
          <w:color w:val="000000" w:themeColor="text1"/>
          <w:sz w:val="16"/>
          <w:szCs w:val="16"/>
        </w:rPr>
        <w:softHyphen/>
        <w:t>он бронепоездов и на Закавказском фронте два отдельных бронепоезда (15 и 20);</w:t>
      </w:r>
    </w:p>
    <w:p w14:paraId="7A66BC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выведенный распоряжением ГШК в резерв и восстановленный 60 ОДБП. 2) Направлено на укомплектование восстанавливаемых и фронтовых дивизионов бронепоездов согласно заявок командиров частей:</w:t>
      </w:r>
    </w:p>
    <w:p w14:paraId="526D11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офицерского состава — 172 человека (100%);</w:t>
      </w:r>
    </w:p>
    <w:p w14:paraId="3D3B87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сержантского состава — 757 человек (100%);</w:t>
      </w:r>
    </w:p>
    <w:p w14:paraId="2FD9D0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рядового состава — 490 человек (100%).</w:t>
      </w:r>
    </w:p>
    <w:p w14:paraId="521938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- 1419 человек (100%).</w:t>
      </w:r>
    </w:p>
    <w:p w14:paraId="2C918E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Комплектование бронепоездных частей офицерским составом производилось за счет офице</w:t>
      </w:r>
      <w:r w:rsidRPr="00271E51">
        <w:rPr>
          <w:rFonts w:ascii="Times New Roman" w:hAnsi="Times New Roman"/>
          <w:color w:val="000000" w:themeColor="text1"/>
          <w:sz w:val="16"/>
          <w:szCs w:val="16"/>
        </w:rPr>
        <w:softHyphen/>
        <w:t>ров, прошедших Долматовские бронепоездные КУКС, и за счет выдвижения офицерского состава имеющего достаточный боевой опыт в Отечественной войне.</w:t>
      </w:r>
    </w:p>
    <w:p w14:paraId="67029B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повышения боевой выучки и усовершенствования знаний офицерским составом дей</w:t>
      </w:r>
      <w:r w:rsidRPr="00271E51">
        <w:rPr>
          <w:rFonts w:ascii="Times New Roman" w:hAnsi="Times New Roman"/>
          <w:color w:val="000000" w:themeColor="text1"/>
          <w:sz w:val="16"/>
          <w:szCs w:val="16"/>
        </w:rPr>
        <w:softHyphen/>
        <w:t>ствующих бронепоездных частей управление бронепоездов через управление кадров БТ и МВ КА производится отзыв офицерского состава с фронтов для прохождения курсов переподготовки при Долматовских КУКС. За 1943 год переподготовлено офицерского состава — 174 человека.</w:t>
      </w:r>
    </w:p>
    <w:p w14:paraId="6A0AD7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 числа восстановленных бронепоездных частей в 1943 году отправлено во фронта 8 ОДБП. В настоящее время во фронтах и в резерве Ставки Верховного Главного Командования имеется: отдельных дивизионов бронепоездов — 59, отдельных бронепоездов — 9.</w:t>
      </w:r>
    </w:p>
    <w:p w14:paraId="3D0CFA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Аэросани</w:t>
      </w:r>
    </w:p>
    <w:p w14:paraId="35FD4D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Строительство аэросаней.</w:t>
      </w:r>
    </w:p>
    <w:p w14:paraId="5181E4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Изготовлено в январе-апреле аэросаней НКЛ-16 - 1942 г. (модернизированных) — 471 шт. (выполнение 100,5%).</w:t>
      </w:r>
    </w:p>
    <w:p w14:paraId="7F30C1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Произведены следующие опытные работы:</w:t>
      </w:r>
    </w:p>
    <w:p w14:paraId="0C700D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Изготовлена опытная партия прожекторных установок на аэросанях в количестве 20 штук и отправлена в части.</w:t>
      </w:r>
    </w:p>
    <w:p w14:paraId="41C0EB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Произведена экранировка радийных аэросаней. Комплекты экранировки и инструкции к ним отправлены в части.</w:t>
      </w:r>
    </w:p>
    <w:p w14:paraId="212462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Изготовлена опытная партия мотостартеров для запуска моторов аэросаней в количестве 7 штук. Рассылаются по фронтам.</w:t>
      </w:r>
    </w:p>
    <w:p w14:paraId="0BE8BE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Изготовлен опытный образец новых аэросаней повышенной проходимости НКЛ-36. Образец подготовлен для полигонных испытаний совместно со снегоходом фирмы «Бомбардир».</w:t>
      </w:r>
    </w:p>
    <w:p w14:paraId="7AD8E3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Проведены полигонные испытания трех образцов аэросаней с мотоциклетным мотором, мотосаней и аэросаней с мотором М-22. Результаты испытания отрицательные. 2. Ремонт аэросаней.</w:t>
      </w:r>
    </w:p>
    <w:p w14:paraId="6DA6A9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Скомплектованы 3 подвижные ремонтные аэросанные роты по восстановлению боевых и транспортных аэросаней. Одна рота в декабре выбыла на Карельский фронт. При двух ротах организованы мастерские стационарного типа.</w:t>
      </w:r>
    </w:p>
    <w:p w14:paraId="2DC532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Отремонтировано капитальным ремонтом: аэросаней — 275 (выполнение 100%); моторов М-11 — 926 (выполнение 116%).</w:t>
      </w:r>
    </w:p>
    <w:p w14:paraId="013D31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Отремонтировано в войсках:</w:t>
      </w:r>
    </w:p>
    <w:p w14:paraId="23AE9C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аэросаней — 856 (выполнение 107%);</w:t>
      </w:r>
    </w:p>
    <w:p w14:paraId="7CA8D5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моторов М-11 — 469 (выполнение 117%).</w:t>
      </w:r>
    </w:p>
    <w:p w14:paraId="7401BC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Разработаны технические условия на капитальный ремонт аэросаней в промышленности. 3. Эксплуатация аэросаней.</w:t>
      </w:r>
    </w:p>
    <w:p w14:paraId="01A1F2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Составлены нормы расхода эксплуатационных материалов для разных марок аэросаней.</w:t>
      </w:r>
    </w:p>
    <w:p w14:paraId="3CE0DD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Составлена и разослана частям инструкция по консервации и хранению аэросаней летом.</w:t>
      </w:r>
    </w:p>
    <w:p w14:paraId="199329C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Составлено и разослано частям руководство по эксплуатации мотора М-11.</w:t>
      </w:r>
    </w:p>
    <w:p w14:paraId="3DB5747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Составлен отчет по эксплуатации аэросаней на фронтах за зиму 1942/1943 г. 4. Применение аэросаней.</w:t>
      </w:r>
    </w:p>
    <w:p w14:paraId="754262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Зимой 1942/1943 года на фронтах участвовало 2224 аэросаней, из коих транспортных — 1490, боевых — 734.</w:t>
      </w:r>
    </w:p>
    <w:p w14:paraId="0EC333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 зимний период аэросани прошли с грузом 1 250 000 тонн-км, перевезено автоматчиков и десантников — 7250 человек, офицеров связи - 2600 человек, вывезено раненых — 2300 человек.</w:t>
      </w:r>
    </w:p>
    <w:p w14:paraId="71AC6F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боевых аэросанных батальонов —</w:t>
      </w:r>
    </w:p>
    <w:p w14:paraId="7F2F2E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транспортных аэросанных батальонов —</w:t>
      </w:r>
    </w:p>
    <w:p w14:paraId="50133B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отдельных транспортных рот —</w:t>
      </w:r>
    </w:p>
    <w:p w14:paraId="0CEBAA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отдельных транспортных взводов — всего: 14 единиц —</w:t>
      </w:r>
    </w:p>
    <w:p w14:paraId="47E5CE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 пробег аэросаней — 1500-2000 км. 5. Боевая подготовка аэросанных частей.</w:t>
      </w:r>
    </w:p>
    <w:p w14:paraId="563820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Подготовка кадров аэросанной специальности сержантского состава и офицеров производи</w:t>
      </w:r>
      <w:r w:rsidRPr="00271E51">
        <w:rPr>
          <w:rFonts w:ascii="Times New Roman" w:hAnsi="Times New Roman"/>
          <w:color w:val="000000" w:themeColor="text1"/>
          <w:sz w:val="16"/>
          <w:szCs w:val="16"/>
        </w:rPr>
        <w:softHyphen/>
        <w:t>лась аэросанными училищами на основе указаний и программ, разработанных управлением броне</w:t>
      </w:r>
      <w:r w:rsidRPr="00271E51">
        <w:rPr>
          <w:rFonts w:ascii="Times New Roman" w:hAnsi="Times New Roman"/>
          <w:color w:val="000000" w:themeColor="text1"/>
          <w:sz w:val="16"/>
          <w:szCs w:val="16"/>
        </w:rPr>
        <w:softHyphen/>
        <w:t>поездов и бронемашин ГБТУ КА.</w:t>
      </w:r>
    </w:p>
    <w:p w14:paraId="42557F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Сформированные аэросанные батальоны перед убытием на фронт проводили сколачивание по плану УБП и подвергались проверке боевой готовности офицерами управления.</w:t>
      </w:r>
    </w:p>
    <w:p w14:paraId="6506F8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 летний период АСБ, выведенные в резерв, производили боевую подготовку по программе разработанной управлением БП и БМ на летний период 1943 года.</w:t>
      </w:r>
    </w:p>
    <w:p w14:paraId="577745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целях обмена боевым опытом и использования его при подготовке кадров аэросанной спе</w:t>
      </w:r>
      <w:r w:rsidRPr="00271E51">
        <w:rPr>
          <w:rFonts w:ascii="Times New Roman" w:hAnsi="Times New Roman"/>
          <w:color w:val="000000" w:themeColor="text1"/>
          <w:sz w:val="16"/>
          <w:szCs w:val="16"/>
        </w:rPr>
        <w:softHyphen/>
        <w:t>циальности проведена конференция командиров ОАСБ и офицеров строевых подразделений.</w:t>
      </w:r>
    </w:p>
    <w:p w14:paraId="15BC94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 основе изучения и обобщения боевого опыта боевых действий АСБ за зимний период 1942-1943 гг. издан обзор, который выслан в Котласское училище для использования при подготовке кадров. 6. Формирование и комплектование аэросанных частей.</w:t>
      </w:r>
    </w:p>
    <w:p w14:paraId="7E9A99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Формирование аэросанных частей производилось по директивам генерал-полковника т. Щаденко №144ш, от 3.01.1943 года и М/1/200. Всего сформировано:</w:t>
      </w:r>
    </w:p>
    <w:p w14:paraId="0BF0F5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5; 3; 3; 100%. .</w:t>
      </w:r>
    </w:p>
    <w:p w14:paraId="3613AF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Формирование производилось при Котласском военном училище (АрхВО) и Соликамском военном училище (УралВО).</w:t>
      </w:r>
    </w:p>
    <w:p w14:paraId="2C3E4B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Укомплектование формируемых аэросанных частей производилось личным составом — за счет слушателей и курсантов Котласского и Соликамского военных училищ.</w:t>
      </w:r>
    </w:p>
    <w:p w14:paraId="6CDCC8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укомплектование сформированных частей обращено:</w:t>
      </w:r>
    </w:p>
    <w:p w14:paraId="6CF49D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офицерского состава — 242 человека (100%);</w:t>
      </w:r>
    </w:p>
    <w:p w14:paraId="7F39EA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сержантского состава — 593 человека (100%);</w:t>
      </w:r>
    </w:p>
    <w:p w14:paraId="6BDC23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рядового состава — 123 человека (100%);</w:t>
      </w:r>
    </w:p>
    <w:p w14:paraId="774594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- 958 человек (100%).</w:t>
      </w:r>
    </w:p>
    <w:p w14:paraId="4366A9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числа сформированных 14 единиц в соответствии с указанием Генштаба Красной Армии отправлено на фронт:</w:t>
      </w:r>
    </w:p>
    <w:p w14:paraId="547665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аэросанных батальонов — 4 (50%);</w:t>
      </w:r>
    </w:p>
    <w:p w14:paraId="5D12FE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аэросанных рот — 3 (100%);</w:t>
      </w:r>
    </w:p>
    <w:p w14:paraId="3CC6E2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аэросанных взводов — 3(100%);</w:t>
      </w:r>
    </w:p>
    <w:p w14:paraId="34E4BB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 10 единиц (71,4%).</w:t>
      </w:r>
    </w:p>
    <w:p w14:paraId="45FEDB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Четыре единицы оставлены в резерве.</w:t>
      </w:r>
    </w:p>
    <w:p w14:paraId="5D3924F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1943 году подготовлено аэросанных специалистов:</w:t>
      </w:r>
    </w:p>
    <w:p w14:paraId="744CA7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офицерского состава — 450 человек (100%);</w:t>
      </w:r>
    </w:p>
    <w:p w14:paraId="3BD3C4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сержантского состава — 1700 человек (100%);</w:t>
      </w:r>
    </w:p>
    <w:p w14:paraId="4636CC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рядового состава — 320 человек (100%);</w:t>
      </w:r>
    </w:p>
    <w:p w14:paraId="3F4B90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всего- 2470 человек (100%).</w:t>
      </w:r>
    </w:p>
    <w:p w14:paraId="5105F5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них:</w:t>
      </w:r>
    </w:p>
    <w:p w14:paraId="6C95F3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обращено на укомплектование формируемых аэросанных частей - 958 человек;</w:t>
      </w:r>
    </w:p>
    <w:p w14:paraId="4FA937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пополнение убыли в действующих АСБ - 200 человек;</w:t>
      </w:r>
    </w:p>
    <w:p w14:paraId="29C12B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 укомплектование Соликамского училища откомандировано по разным причинам - 252 человека;</w:t>
      </w:r>
    </w:p>
    <w:p w14:paraId="72A6A1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состоит в резерве - 1160 человек.</w:t>
      </w:r>
    </w:p>
    <w:p w14:paraId="7D7C80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приказу НКО №00166 от 21.06.1943 года в 1943 году расформировано 22 боевых и 3 транспортных аэросанных батальона, из них:</w:t>
      </w:r>
    </w:p>
    <w:p w14:paraId="2C4786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фронтах — 8,</w:t>
      </w:r>
    </w:p>
    <w:p w14:paraId="4F10D0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АрхВО (Котлас) - 14,</w:t>
      </w:r>
    </w:p>
    <w:p w14:paraId="532EB3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ОРВО (Борисоглебск) - 1,</w:t>
      </w:r>
    </w:p>
    <w:p w14:paraId="41B1F8C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УралВО (Соликамск) — 2.</w:t>
      </w:r>
    </w:p>
    <w:p w14:paraId="63A0EC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ремонта и обслуживания аэросаней и имущества, оставшегося после расформирования, созданы 25 внештатных резервных аэросанных рот, которые дислоцируются:</w:t>
      </w:r>
    </w:p>
    <w:p w14:paraId="2FA032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фронтах — 8 рот,</w:t>
      </w:r>
    </w:p>
    <w:p w14:paraId="2FAE9E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АрхВО (Котлас) — 14 рот,</w:t>
      </w:r>
    </w:p>
    <w:p w14:paraId="58F548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ОРВО (Борисоглебск) — 1 рота,</w:t>
      </w:r>
    </w:p>
    <w:p w14:paraId="54FABB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УралВО (Соликамск) — 1 рота.</w:t>
      </w:r>
    </w:p>
    <w:p w14:paraId="320596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В результате расформирования высвободилось 2665 человек, из них: убыло на укомплектование резервных аэросанных рот — 1134 человека, на доукомплектование остающихся батальонов — 300 человек, на доукомплектование учебных танковых полков — 372 человека, откомандировано в отделы кадров фронтов — 218 человек, на доукомплектование Котласского училища — 641 человек.</w:t>
      </w:r>
    </w:p>
    <w:p w14:paraId="1B7153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настоящее время находится во фронтах 26 ОАСБ и 8 резервных рот, в округах — 14 ОАСБ и 17 резервных рот.</w:t>
      </w:r>
    </w:p>
    <w:p w14:paraId="659166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Раздел второй Работы, планируемые к проведению в 1944 году</w:t>
      </w:r>
    </w:p>
    <w:p w14:paraId="161345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Бронеавтомобили</w:t>
      </w:r>
    </w:p>
    <w:p w14:paraId="7C5C55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Добиться получения от промышленности в месяц 300 бронеавтомобилей и на 550 тысяч рублей запчастей.</w:t>
      </w:r>
    </w:p>
    <w:p w14:paraId="7D49BC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Разработать и изготовить опытные образцы бронеавтомобилей с 45-мм пушкой и бронетран</w:t>
      </w:r>
      <w:r w:rsidRPr="00271E51">
        <w:rPr>
          <w:rFonts w:ascii="Times New Roman" w:hAnsi="Times New Roman"/>
          <w:color w:val="000000" w:themeColor="text1"/>
          <w:sz w:val="16"/>
          <w:szCs w:val="16"/>
        </w:rPr>
        <w:softHyphen/>
        <w:t>спортера с установкой пулемета ДШК на базе автомобиля ГАЗ-63 и при получении положительных результатов внедрить в серию.</w:t>
      </w:r>
    </w:p>
    <w:p w14:paraId="10C274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Изготовить опытные образцы бронеавтомобиля и бронетранспортера на базе импортного автомобиля Студебекер.</w:t>
      </w:r>
    </w:p>
    <w:p w14:paraId="0EFB8B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Доработать и ввести в серийное производство бронеавтомобиль БА-64Б с установкой пулеме</w:t>
      </w:r>
      <w:r w:rsidRPr="00271E51">
        <w:rPr>
          <w:rFonts w:ascii="Times New Roman" w:hAnsi="Times New Roman"/>
          <w:color w:val="000000" w:themeColor="text1"/>
          <w:sz w:val="16"/>
          <w:szCs w:val="16"/>
        </w:rPr>
        <w:softHyphen/>
        <w:t>та ДШК.</w:t>
      </w:r>
    </w:p>
    <w:p w14:paraId="632AEC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Изготовить опытную партию бронетранспортеров Б-3 в количестве 10 штук и провести вой</w:t>
      </w:r>
      <w:r w:rsidRPr="00271E51">
        <w:rPr>
          <w:rFonts w:ascii="Times New Roman" w:hAnsi="Times New Roman"/>
          <w:color w:val="000000" w:themeColor="text1"/>
          <w:sz w:val="16"/>
          <w:szCs w:val="16"/>
        </w:rPr>
        <w:softHyphen/>
        <w:t>сковые испытания.</w:t>
      </w:r>
    </w:p>
    <w:p w14:paraId="00C1C2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Мотоциклы</w:t>
      </w:r>
    </w:p>
    <w:p w14:paraId="24535E9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Добиться получения от промышленности в месяц 700 штук мотоциклов и на 530 тысяч рублей запчастей.</w:t>
      </w:r>
    </w:p>
    <w:p w14:paraId="2D5FCB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Доработать и ввести в серийное производство мотоцикл повышенной проходимости с при</w:t>
      </w:r>
      <w:r w:rsidRPr="00271E51">
        <w:rPr>
          <w:rFonts w:ascii="Times New Roman" w:hAnsi="Times New Roman"/>
          <w:color w:val="000000" w:themeColor="text1"/>
          <w:sz w:val="16"/>
          <w:szCs w:val="16"/>
        </w:rPr>
        <w:softHyphen/>
        <w:t>водом на колесо коляски.</w:t>
      </w:r>
    </w:p>
    <w:p w14:paraId="4F1299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Закончить до 1.07.1944 года внедрение модернизации в конструкцию мотоцикла М-72.</w:t>
      </w:r>
    </w:p>
    <w:p w14:paraId="179CFD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Пересмотреть укладку вооружения и боеприпасов в связи с постановкой на производство мотоцикла с приводом на колесо коляски.</w:t>
      </w:r>
    </w:p>
    <w:p w14:paraId="7CBEEC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Отработать перечень узлов и деталей мотоциклов по взаимозаменяемости.</w:t>
      </w:r>
    </w:p>
    <w:p w14:paraId="438A07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Проведение опытных работ по увеличению мощности мотоциклетных двигателей, проходи</w:t>
      </w:r>
      <w:r w:rsidRPr="00271E51">
        <w:rPr>
          <w:rFonts w:ascii="Times New Roman" w:hAnsi="Times New Roman"/>
          <w:color w:val="000000" w:themeColor="text1"/>
          <w:sz w:val="16"/>
          <w:szCs w:val="16"/>
        </w:rPr>
        <w:softHyphen/>
        <w:t>мости мотоциклов.</w:t>
      </w:r>
    </w:p>
    <w:p w14:paraId="215480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Добиться организации производства велосипедов. Готовится проект постановления производить в Харькове.</w:t>
      </w:r>
    </w:p>
    <w:p w14:paraId="41C0C8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w:t>
      </w:r>
    </w:p>
    <w:p w14:paraId="1BD745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Бронепоезда</w:t>
      </w:r>
    </w:p>
    <w:p w14:paraId="2CA4BC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Изготовление материальной части.</w:t>
      </w:r>
    </w:p>
    <w:p w14:paraId="46E7E4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Изготовить установочную партию зенитных бронепоездов (3 бронепоезда) и отработать чер</w:t>
      </w:r>
      <w:r w:rsidRPr="00271E51">
        <w:rPr>
          <w:rFonts w:ascii="Times New Roman" w:hAnsi="Times New Roman"/>
          <w:color w:val="000000" w:themeColor="text1"/>
          <w:sz w:val="16"/>
          <w:szCs w:val="16"/>
        </w:rPr>
        <w:softHyphen/>
        <w:t>тежи для серийного изготовления.</w:t>
      </w:r>
    </w:p>
    <w:p w14:paraId="494690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Изготовить серийную партию зенитных бронепоездов (20 бронепоездов).</w:t>
      </w:r>
    </w:p>
    <w:p w14:paraId="332AD2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Разработать рабочие чертежи на новый тип бронеплощадки с 37-мм зенитными пушками.</w:t>
      </w:r>
    </w:p>
    <w:p w14:paraId="0CD132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Разработать рабочие чертежи на перевооружение существующих бронепоездов на 85-мм зенитные пушки с прибором ПУАЗО.</w:t>
      </w:r>
    </w:p>
    <w:p w14:paraId="507805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Разработать рабочие чертежи бронеавтомотриссы с 85-мм зенитными пушками и изготовить опытный образец.</w:t>
      </w:r>
    </w:p>
    <w:p w14:paraId="2782DD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Разработать рабочие чертежи тяжелого бронепоезда со 152-мм пушками-гаубицами и изгото</w:t>
      </w:r>
      <w:r w:rsidRPr="00271E51">
        <w:rPr>
          <w:rFonts w:ascii="Times New Roman" w:hAnsi="Times New Roman"/>
          <w:color w:val="000000" w:themeColor="text1"/>
          <w:sz w:val="16"/>
          <w:szCs w:val="16"/>
        </w:rPr>
        <w:softHyphen/>
        <w:t>вить образец.</w:t>
      </w:r>
    </w:p>
    <w:p w14:paraId="62750C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Разработать перевод бронепоездов на Западно-Европейскую железнодорожную колею (1435 мм).</w:t>
      </w:r>
    </w:p>
    <w:p w14:paraId="3F7A6C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Ремонт и эксплуатация.</w:t>
      </w:r>
    </w:p>
    <w:p w14:paraId="5690D1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Произвести перевооружение 30 бронепоездов в 1944 году (на зенитные пушки).</w:t>
      </w:r>
    </w:p>
    <w:p w14:paraId="0CCE32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Отремонтировать в 1944 году 60 бронепоездов, из коих: капитального ремонта — 8 бронепоездов, среднего ремонта — 32 бронепоезда, малого ремонта — 20 бронепоездов.</w:t>
      </w:r>
    </w:p>
    <w:p w14:paraId="5D789C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Составить руководство по эксплуатации бронепоездов.</w:t>
      </w:r>
    </w:p>
    <w:p w14:paraId="770F67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Бронепоезда, находящиеся на боевых участках, усилить зенитными средствами (довести их до положенной нормы). 3. Боевая подготовка.</w:t>
      </w:r>
    </w:p>
    <w:p w14:paraId="24F0ED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Разработать программу по боевой подготовке дивизионов и отдельных бронепоездов, дей</w:t>
      </w:r>
      <w:r w:rsidRPr="00271E51">
        <w:rPr>
          <w:rFonts w:ascii="Times New Roman" w:hAnsi="Times New Roman"/>
          <w:color w:val="000000" w:themeColor="text1"/>
          <w:sz w:val="16"/>
          <w:szCs w:val="16"/>
        </w:rPr>
        <w:softHyphen/>
        <w:t>ствующих на фронте, для подготовки личного состава в период нахождения бронепоездных частей в резерве фронта.</w:t>
      </w:r>
    </w:p>
    <w:p w14:paraId="49CFA1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Обобщить опыт боевых действий бронепоездов за 3-й год Отечественной войны и составить обзор.</w:t>
      </w:r>
    </w:p>
    <w:p w14:paraId="3D63DD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Произвести инспектирование бронепоездных частей, действующих на фронте.</w:t>
      </w:r>
    </w:p>
    <w:p w14:paraId="3B2412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Переработать наставление по боевому применению бронепоездных частей с учетом опыта Отечественной войны.</w:t>
      </w:r>
    </w:p>
    <w:p w14:paraId="71E90C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Аэросани</w:t>
      </w:r>
    </w:p>
    <w:p w14:paraId="14843F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Строительство аэросаней.</w:t>
      </w:r>
    </w:p>
    <w:p w14:paraId="307D9F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Произвести испытание аэросаней НКЛ-38 и снегохода «Бомбардир», а также испытания аэро</w:t>
      </w:r>
      <w:r w:rsidRPr="00271E51">
        <w:rPr>
          <w:rFonts w:ascii="Times New Roman" w:hAnsi="Times New Roman"/>
          <w:color w:val="000000" w:themeColor="text1"/>
          <w:sz w:val="16"/>
          <w:szCs w:val="16"/>
        </w:rPr>
        <w:softHyphen/>
        <w:t>саней НКЛ-16 и НКЛ-26 на проходимость.</w:t>
      </w:r>
    </w:p>
    <w:p w14:paraId="5E5812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Изготовление серии аэросаней НКЛ-38 (за счет аэросаней НКЛ-16 и НКЛ-26, подлежащих списанию, используя моторы, приборы и другое оборудование).</w:t>
      </w:r>
    </w:p>
    <w:p w14:paraId="73C5A0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Изготовление отечественного образца снегохода по типу «Бомбардир». 2. Ремонт аэросаней.</w:t>
      </w:r>
    </w:p>
    <w:p w14:paraId="7FBC6D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Отремонтировать капитальным ремонтом: моторов М-11 — 1000, аэросаней — 600.</w:t>
      </w:r>
    </w:p>
    <w:p w14:paraId="7ABB34C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Отремонтировать в войсках: моторов М-11 - 1000, аэросаней — 1200.</w:t>
      </w:r>
    </w:p>
    <w:p w14:paraId="7AE5EE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Разработать наставление по войсковому ремонту аэросаней. 3. Эксплуатация аэросаней.</w:t>
      </w:r>
    </w:p>
    <w:p w14:paraId="6206DC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Составить табель расхода запасных частей и эксплуатации материалов на 100 часов работы мотора М-11.</w:t>
      </w:r>
    </w:p>
    <w:p w14:paraId="3C5381D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Составить отчет по эксплуатации аэросаней за зиму 1943/1944 годов.</w:t>
      </w:r>
    </w:p>
    <w:p w14:paraId="6AA81A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Составить квартальные и годовые заявки на запасные части и эксплуатационные материалы.</w:t>
      </w:r>
    </w:p>
    <w:p w14:paraId="4E1F99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Переработать инструкцию по хранению и консервации аэросаней и моторов летом.</w:t>
      </w:r>
    </w:p>
    <w:p w14:paraId="2D4EA6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Пересоставить нормы денежных отпусков на содержание и ремонт аэросаней. 4. Боевая подготовка.</w:t>
      </w:r>
    </w:p>
    <w:p w14:paraId="3D4AA8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Переработать наставление по боевому применению аэросанных частей с учетом опыта Отечественной войны.</w:t>
      </w:r>
    </w:p>
    <w:p w14:paraId="7436C1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основе изучения и обобщения боевого опыта АСБ составить обзор боевых действий за зимний период 1943-1944 годов.</w:t>
      </w:r>
    </w:p>
    <w:p w14:paraId="73A584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Разработать программу боевой подготовки для АСБ, действующих на фронте.</w:t>
      </w:r>
    </w:p>
    <w:p w14:paraId="2FE188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Раздел третий Особые предложения</w:t>
      </w:r>
    </w:p>
    <w:p w14:paraId="7A5165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Бронепоезда</w:t>
      </w:r>
    </w:p>
    <w:p w14:paraId="1FB912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Ввести в штат управления командующих БТ и МБ фронтов начальника отделения бронепоез</w:t>
      </w:r>
      <w:r w:rsidRPr="00271E51">
        <w:rPr>
          <w:rFonts w:ascii="Times New Roman" w:hAnsi="Times New Roman"/>
          <w:color w:val="000000" w:themeColor="text1"/>
          <w:sz w:val="16"/>
          <w:szCs w:val="16"/>
        </w:rPr>
        <w:softHyphen/>
        <w:t>дов, так как упразднение их в начале 1943 года отрицательно сказалось на руководстве бронепоезд-ными частями. Нарушилась тесная связь и руководство в использовании бронепоездными частями в боевых операциях.</w:t>
      </w:r>
    </w:p>
    <w:p w14:paraId="1A00CE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Опыт использования бронепоездных частей в Отечественной войне показывает, что бронепоез</w:t>
      </w:r>
      <w:r w:rsidRPr="00271E51">
        <w:rPr>
          <w:rFonts w:ascii="Times New Roman" w:hAnsi="Times New Roman"/>
          <w:color w:val="000000" w:themeColor="text1"/>
          <w:sz w:val="16"/>
          <w:szCs w:val="16"/>
        </w:rPr>
        <w:softHyphen/>
        <w:t>да в период наступательных операций Красной Армии вследствие разрушенности железнодорожных путей и сооружений отстают от передовых частей, что лишает возможности участия их в боях.</w:t>
      </w:r>
    </w:p>
    <w:p w14:paraId="2BEB93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перевооружить бронепоезда 85-мм зенитными пушками, что даст возможность успешного их применения по охране железнодорожных узлов и сооружений от налетов авиации противника. Одновременно эти системы вполне обеспечат борьбу с наземными пехотными и танко</w:t>
      </w:r>
      <w:r w:rsidRPr="00271E51">
        <w:rPr>
          <w:rFonts w:ascii="Times New Roman" w:hAnsi="Times New Roman"/>
          <w:color w:val="000000" w:themeColor="text1"/>
          <w:sz w:val="16"/>
          <w:szCs w:val="16"/>
        </w:rPr>
        <w:softHyphen/>
        <w:t>выми частями противника.</w:t>
      </w:r>
    </w:p>
    <w:p w14:paraId="077E6E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Дислокация 1-го учебного полка бронепоездов (ст. Рузаевка, МАССР) не обеспечивает в полной мере качественную подготовку личного состава бронепоездной специальности (отсутствие полигона, помещений и т.д.).</w:t>
      </w:r>
    </w:p>
    <w:p w14:paraId="1850BF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Необходимо 1-й учебный полк бронепоездов передислоцировать в прежний пункт дисло</w:t>
      </w:r>
      <w:r w:rsidRPr="00271E51">
        <w:rPr>
          <w:rFonts w:ascii="Times New Roman" w:hAnsi="Times New Roman"/>
          <w:color w:val="000000" w:themeColor="text1"/>
          <w:sz w:val="16"/>
          <w:szCs w:val="16"/>
        </w:rPr>
        <w:softHyphen/>
        <w:t>кации — ст. Брянск.</w:t>
      </w:r>
    </w:p>
    <w:p w14:paraId="6CC945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Специальный капитальный и средний ремонт, а также переоборудование бронепоездов скон</w:t>
      </w:r>
      <w:r w:rsidRPr="00271E51">
        <w:rPr>
          <w:rFonts w:ascii="Times New Roman" w:hAnsi="Times New Roman"/>
          <w:color w:val="000000" w:themeColor="text1"/>
          <w:sz w:val="16"/>
          <w:szCs w:val="16"/>
        </w:rPr>
        <w:softHyphen/>
        <w:t>центрировать на одном-двух предприятиях — ремзаводах НКО. Восстановить рембазу (бывший ремзавод №6) в г. Брянске.</w:t>
      </w:r>
    </w:p>
    <w:p w14:paraId="007DD6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Большая разбросанность ремонтных пунктов значительно удорожает производство ремонта и переоборудование бронепоездов, затрудняет обеспечение материалами, не обеспечивает специали</w:t>
      </w:r>
      <w:r w:rsidRPr="00271E51">
        <w:rPr>
          <w:rFonts w:ascii="Times New Roman" w:hAnsi="Times New Roman"/>
          <w:color w:val="000000" w:themeColor="text1"/>
          <w:sz w:val="16"/>
          <w:szCs w:val="16"/>
        </w:rPr>
        <w:softHyphen/>
        <w:t>зации рабочей силы, что приводит к нерентабельному расходу времени на освоение работ.</w:t>
      </w:r>
    </w:p>
    <w:p w14:paraId="76A00F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Аэросани</w:t>
      </w:r>
    </w:p>
    <w:p w14:paraId="758CA9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Опыт использования аэросанных батальонов за период с 1941 по 1943 год показал, что на фронтах, где зимний покров существует до 4 месяцев, применение аэросаней себя оправдывает, что подтверждается запросами командующих фронтов о выделении дополнительного количества аэро</w:t>
      </w:r>
      <w:r w:rsidRPr="00271E51">
        <w:rPr>
          <w:rFonts w:ascii="Times New Roman" w:hAnsi="Times New Roman"/>
          <w:color w:val="000000" w:themeColor="text1"/>
          <w:sz w:val="16"/>
          <w:szCs w:val="16"/>
        </w:rPr>
        <w:softHyphen/>
        <w:t>санных батальонов.</w:t>
      </w:r>
    </w:p>
    <w:p w14:paraId="304176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этого целесообразно имеющийся резерв личного состава и материальной части обратить на сформирование в январе 1944 года 10 аэросанных батальонов.</w:t>
      </w:r>
    </w:p>
    <w:p w14:paraId="5A720E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Ввиду того, что оставленные на лето 1943 года во фронтах аэросанные батальоны к зимнему сезону полностью подготовлены, целесообразно с целью избежать </w:t>
      </w:r>
      <w:r w:rsidRPr="00271E51">
        <w:rPr>
          <w:rFonts w:ascii="Times New Roman" w:hAnsi="Times New Roman"/>
          <w:color w:val="000000" w:themeColor="text1"/>
          <w:sz w:val="16"/>
          <w:szCs w:val="16"/>
        </w:rPr>
        <w:lastRenderedPageBreak/>
        <w:t>излишних перевозок в 1944 году аэросанные батальоны оставить во фронтах.</w:t>
      </w:r>
    </w:p>
    <w:p w14:paraId="6498C9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управления бронепоездов и бронемашин ГБТУ КА</w:t>
      </w:r>
    </w:p>
    <w:p w14:paraId="546F36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полковник Есин</w:t>
      </w:r>
    </w:p>
    <w:p w14:paraId="498EDB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11358. Д. 166. Л. 241-253. Подлинник (11403).</w:t>
      </w:r>
    </w:p>
    <w:p w14:paraId="089645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2DFD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4772 О строительстве высоководного автогужевого моста через р. Днепр в районе г. Киева. (7165, 3-4).</w:t>
      </w:r>
    </w:p>
    <w:p w14:paraId="0B80E74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35A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4773. О поставке оборудования для строительства ТЭЦ Сталинского алюминиевого завода НКЦМ.РГАНИР, Фонд ГКО, д. 183, лл. 5-7 (11012).</w:t>
      </w:r>
    </w:p>
    <w:p w14:paraId="039E5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5641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4774 [О поставках оборудования для восстановления Брянской ГРЭС.] (7165, 8,9-11).</w:t>
      </w:r>
    </w:p>
    <w:p w14:paraId="65BCA28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545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4775 О мерах по завозу в I квартале 1944 г. горючего и масел для весеннего сева.РГАНИР, Фонд ГКО, д. 183, лл. 12-21 (11012).</w:t>
      </w:r>
    </w:p>
    <w:p w14:paraId="1541D5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AC1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4776 О производстве танков Т-34-85 с 85 мм пушкой на заводе № 112 Наркомтанкопрома.РГАНИР, Фонд ГКО, д. 183, лл. 22-25, 26-28 (11012).</w:t>
      </w:r>
    </w:p>
    <w:p w14:paraId="2CB115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A0FB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Постановлением ГКО № 4776 пушка Д-5Т для Т-34-85 КБ завода № 9 (ОКБ-9 Свердловского СНХ на заводе «Уралмаш», КБ им. Ф.Ф. Петрова /г. Свердловск, Екатеринбург/) пнв. Решением НКВ КБ поручено создать на базе орудия А-19 танковую пушку и представить ее на испытания к 11.11.1943г., постановлением ГКО № 4479сс от 31.10.1943г. пушка Д-25 пнв.</w:t>
      </w:r>
    </w:p>
    <w:p w14:paraId="5AE608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2329-1105сс от 19.11.1954г. пушка СД-44 пнв. В соответствии с ПСМ № 15-8 от 5.01.1957г. пушка СД-57 пнв.</w:t>
      </w:r>
    </w:p>
    <w:p w14:paraId="45D1BF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1950-х г. разработан ракетный комплекс с БРТ «Онега» (испытана в 1959г.).</w:t>
      </w:r>
    </w:p>
    <w:p w14:paraId="1A9D84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489-198 от 12.05.1960 г. гаубица Д-30 пнв.</w:t>
      </w:r>
    </w:p>
    <w:p w14:paraId="27E053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28.10.1963г. вышло распоряжение правительства № 2233-рс о выпуске с 10.1963г. танков Т-62 с пушкой У-5ТС.</w:t>
      </w:r>
    </w:p>
    <w:p w14:paraId="63ED28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1964г. из ОКБ-9 в ОКБ-8 гл. конструктора </w:t>
      </w:r>
      <w:r w:rsidRPr="00271E51">
        <w:rPr>
          <w:rFonts w:ascii="Times New Roman" w:hAnsi="Times New Roman"/>
          <w:color w:val="000000" w:themeColor="text1"/>
          <w:sz w:val="16"/>
          <w:szCs w:val="16"/>
          <w:lang w:val="en-US"/>
        </w:rPr>
        <w:t>JIB</w:t>
      </w:r>
      <w:r w:rsidRPr="00271E51">
        <w:rPr>
          <w:rFonts w:ascii="Times New Roman" w:hAnsi="Times New Roman"/>
          <w:color w:val="000000" w:themeColor="text1"/>
          <w:sz w:val="16"/>
          <w:szCs w:val="16"/>
        </w:rPr>
        <w:t>. Люльева передана противолодочная тематика, опытное производство и большая группа специалистов.</w:t>
      </w:r>
    </w:p>
    <w:p w14:paraId="1C37C7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середины 1940-х и на 2005г.- единственный разработчик пушек для всех отечественных танков.</w:t>
      </w:r>
    </w:p>
    <w:p w14:paraId="22F28B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(1942-74г.)- Ф.Ф. Петров.</w:t>
      </w:r>
      <w:r w:rsidRPr="00271E51">
        <w:rPr>
          <w:rFonts w:ascii="Times New Roman" w:hAnsi="Times New Roman"/>
          <w:color w:val="000000" w:themeColor="text1"/>
          <w:sz w:val="16"/>
          <w:szCs w:val="16"/>
          <w:vertAlign w:val="superscript"/>
        </w:rPr>
        <w:t>58</w:t>
      </w:r>
    </w:p>
    <w:p w14:paraId="4DEB5F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пушки: танковые: штурмовая 122-мм У-11 (1941), штурмовая 122-мм Д-6 (1943), 122-мм Д-25 для ИС-122 (пнв 31.10.1943г.), 85-мм У-12 (проект, 1941), 85-мм Д-5С, Д-5Т (пнв 15.12.1943г.), Д-5Т-85БМ (1944), 100-мм Д-10Т для ИС (1944), Д-101Г, Д-10Т2С для Т-54 и Т-55; 76-мм Д-56Т и Д-56ТМ (1954) для ПТ-76; 115-мм У-5ТС «Молот» (2А20) для Т-62 (пнв 12.08.1961 г.); 125-мм 2А26, 2А46 для Т-64,1-12, Т-80; 125-мм 2А46М для Т-80У, Т-90; 85-мм Д-70 для СУ-85; 122-мм 2А31 для САУ 2С1 «Гвоздика», 152-мм 2АЗЗ для САУ 2СЗ «Акация»; пехотные: 85-мм дивизионная Д-44, 85-мм противотанковая Д-48; самодвижущиеся: 57-мм СД-57 (пнв 5.01.1957г.), 85-мм СД-44 (пнв 19.11.1954г.), СД-48, 125-мм 2А45М (1990-е); гаубицы: 122-мм Д-30 (2А18, пнв 12.05.1960 г.), Д-30А (2А18М);</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152-мм 2А61 (2000-е); гусеничное шасси для ЗРК С-300В (11982).</w:t>
      </w:r>
    </w:p>
    <w:p w14:paraId="59BB3A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105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4777 Об утверждении членами Комиссии по освобождению и отсрочкам от призыва по мобилизации т.т. Смородинова И.В. и Голикова Ф.И.РГАНИР, Фонд ГКО, д. 183, лл. 29 (11012).</w:t>
      </w:r>
    </w:p>
    <w:p w14:paraId="33BB5A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BC2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4778. Об отнесении за счет НКАП и НКСП расходов по обеспечению всеми видами довольствия генералов и офицеров, работающих в системе этих наркоматов.РГАНИР, Фонд ГКО, д. 183, лл. 30 (11012).</w:t>
      </w:r>
    </w:p>
    <w:p w14:paraId="4DBA5E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369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4779 О выделении военнослужащих, годных к нестроевой службе и физическому труду, для работы на комбинате № 179 Наркомбоеприпасов.РГАНИР, Фонд ГКО, д. 183, лл. 31 (11012).</w:t>
      </w:r>
    </w:p>
    <w:p w14:paraId="2693EE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EAA0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4780 О продлении срока освобождения от призыва и мобилизации в Красную Армию рабочих и инженерно-технических работников цементной промышленности Наркомстройматериалов СССР. (7165, 32).</w:t>
      </w:r>
    </w:p>
    <w:p w14:paraId="776EB81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8745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4781 [О выделении НКЧМ дополнительно 138 тыс. т донецких углей и 200 импортных автомобилей.] (7165, 33,34).</w:t>
      </w:r>
    </w:p>
    <w:p w14:paraId="0CB3F35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8C14D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4782 [О мерах по обеспечению производства транспортной ленты и прорезиненных приводных ремней для угольной и металлургической промышленности и сельского хозяйства на заводе № 734 НКРП.] (7165, 35).</w:t>
      </w:r>
    </w:p>
    <w:p w14:paraId="0F07948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DAE48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4783 [О сроках ремонта автомашин НКзага в РСФСР, Узбекской, Киргизской, Туркменской ССР.] (7165, 36).</w:t>
      </w:r>
    </w:p>
    <w:p w14:paraId="587DD9D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1A31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4784. О передаче НКХП 600 чел. из лагерей НКВД для закрепления их на Березниковских содовом заводе и калийном комбинате и предоставлении освобождаемым, имеющим 3-й разряд и выше, отсрочки от призыва в КА до 1 декабря 1944 г.РГАНИР, Фонд ГКО, д. 183, лл. 37 (11012).</w:t>
      </w:r>
    </w:p>
    <w:p w14:paraId="5AF41C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E5F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4785. О передаче Магнитогорскому металлургическому комбинату всего освобождаемого контингента Магнитогорской ИТК НКВД и освобождении его от призыва в КА.РГАНИР, Фонд ГКО, д. 183, лл. 38 (11012).</w:t>
      </w:r>
    </w:p>
    <w:p w14:paraId="10C944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3FE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4786. О передаче НКЛП СССР 2255 человек нестроевых военнообязанных 35-50 лет, 254 грузовиков и 10 тягачей ЗИС-42.РГАНИР, Фонд ГКО, д. 183, лл. 39 (11012).</w:t>
      </w:r>
    </w:p>
    <w:p w14:paraId="0F7587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340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4787. О поставках лесоматериалов на восстановление завода "Красный Октябрь" в Сталинграде.РГАНИР, Фонд ГКО, д. 183, лл. 40 (11012).</w:t>
      </w:r>
    </w:p>
    <w:p w14:paraId="055A7D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81AF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4788. О мерах по обеспечению производства 13 комплектов тралов "Оропеза" на заводе № 182 НКСП.РГАНИР, Фонд ГКО, д. 183, лл. 41 (11012).</w:t>
      </w:r>
    </w:p>
    <w:p w14:paraId="393573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5093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4789 [О направлении на лесозаготовки треста "Хабаровсклес" 2 тыс. военнослужащих, не годных к строевой службе, с исключением их из списков военных частей и снятием с довольствия.] (7165, 42).</w:t>
      </w:r>
    </w:p>
    <w:p w14:paraId="3A90792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856B2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Распоряжение ГКО № 4790 [Об изготовлении и поставке 56 стандартных 8-квартирных домов.] (7165, 43).</w:t>
      </w:r>
    </w:p>
    <w:p w14:paraId="406D36D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D0D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4791 Об аварийно-восстановительном ремонте Ашхабадской электростанции Наркомата коммунального хозяйства Туркменской ССР.РГАНИР, Фонд ГКО, д. 183, лл. 44, 45 (11012).</w:t>
      </w:r>
    </w:p>
    <w:p w14:paraId="135041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CF1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вышло Постановление ГКО № 4792 О неотложных мероприятиях по восстановлению Бежицкого завода "Красный Профинтерн" и Ворошиловградского завода имени Октябрьской революции Наркомтяжмаша.РГАНИР, Фонд ГКО, д. 183, лл. 46-56, 57-61 (11012).</w:t>
      </w:r>
    </w:p>
    <w:p w14:paraId="04F442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80B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15 декабря 1943 вышло Постановление ГКО № 4793 О плане и материально-техническом обеспечении производства орденов и медалей СССР в I квартале 1944 </w:t>
      </w:r>
      <w:r w:rsidRPr="00271E51">
        <w:rPr>
          <w:rFonts w:ascii="Times New Roman" w:hAnsi="Times New Roman"/>
          <w:color w:val="000000" w:themeColor="text1"/>
          <w:sz w:val="16"/>
          <w:szCs w:val="16"/>
        </w:rPr>
        <w:lastRenderedPageBreak/>
        <w:t>года.РГАНИР, Фонд ГКО, д. 183, лл. 62-66, 67-79 (11012).</w:t>
      </w:r>
    </w:p>
    <w:p w14:paraId="14A9E7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987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постановлением СНК № 1377 уполномоченные Госплана на местах были объединены с аппаратом ЦСУ для проверки выполнения планов (7543, 16).</w:t>
      </w:r>
    </w:p>
    <w:p w14:paraId="4F6C25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EEA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г. вышло Постановление СНК СССР № 1377, которым назначили уполномоченных ЦСУ на местах и их заместителей. Уполномоченные Госплана находились тогда в 25 территориальных центрах: Алма-Ате, Баку, Горьком, Ереване, Казани, Караганде, Кирове, Красноярске, Куйбышеве, Молотове, Новосибирске, Омске,.Пензе, Саратове, Свердловске, Тамбове, Ташкенте, Уфе, Хабаровске, Челябинске, Чкалове, Ярославле, Барнауле, Иванове, Фрунзе. К сентябрю 1947 г. в составе местных органов Госплана СССР и ЦСУ насчитывалось 30309 чел., в том числе: уполномоченных Госплана - 104, при каждом - 2 заместителя (один по статистическим вопросам); в аппарате уполномоченных работало 5822 чел., остальные - в республиканских и областных органах ЦСУ (2255 чел.) и в районных инспектурах ЦСУ (21831 чел.): городские, районные, участковые инспекторы и инструкторы по бюдже-там. Аппарат уполномоченных обычно старался не ограничиваться конкретными функциями, а оказывать помощь в налаживании дел, ликвидации недостатков. Наиболее важные результаты проверок докладывались Госплану, а на местах - руководству партийных и советских органов. Это ускоряло исправление ошибок и недочетов путем принятия необходимых решений партийным и советским руководством, директорами предприятий и начальниками учреждений. Каких-либо особых решений уполномоченные не принимали, но, сообщая местному руководству свои соображения, могли высказать, в случае необходимости, определенные рекомендации. Практиковалась и проверка исправления вскрьгплх недостатков (тем более, в случае принятия решения Госпланом или Совмином) (7543).</w:t>
      </w:r>
    </w:p>
    <w:p w14:paraId="3CE015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C01C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AFC41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5F082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15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1AC81E27"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декабря южнее и юго-восточнее Черкассы наши войска, продолжая успешное наступление, с боями овладели крупными населёнными пунктами Змогайловка, Красная Слобода, Лески, Талдыки, Худяки, Ломоватое, Сагуновка, Топиловка, Мудровка, Степанки, Большой Бузуков, Нечаевка, Думанцы, Худолеевка, Трушевцы, Субботов, Чемеревка и железнодорожной станцией Белозёрье.</w:t>
      </w:r>
    </w:p>
    <w:p w14:paraId="0A39862D"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преодолевая сопротивление и контратаки пехоты и танков противника, продолжали вести наступательные бои, в ходе которых улучшили свои позиции.</w:t>
      </w:r>
    </w:p>
    <w:p w14:paraId="5BDD352D"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Малина наши войска выбили противника из нескольких населённых пунктов.</w:t>
      </w:r>
    </w:p>
    <w:p w14:paraId="504DEE77"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58C23361"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14 декабря наши войска на всех фронтах подбили и уничтожили 108 немецких танков. В воздушных боях и огнём зенитной артиллерии сбито 50 самолётов противника.</w:t>
      </w:r>
    </w:p>
    <w:p w14:paraId="2D39FC8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города Черкассы наши войска, продолжая наступление, заняли несколько населённых пунктов и соединились с войсками, действующими западнее города Кременчуг. Таким образом, правый берег реки Днепр, от Кременчуга до Черкасс, полностью очищен от немецко-фашистских захватчиков. Отступающийпротивник понёс большие потери. Только в районе одного населённого пункта советские бойцы истребили более 600 гитлеровцев, захватили две артиллерийских батареи, 28 пулемётов и обоз с различным военным имуществом. Южнее Черкасс наши подвижные отряды по просёлочным дорогам вышли в тыл немцам, достигли железнодорожной станции Белозёрье и нанесли противнику стремительный удар. На станции Белозёрье захвачены крупные склады с продовольствием.</w:t>
      </w:r>
    </w:p>
    <w:p w14:paraId="2498F320"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в воздушных боях за день сбили 38 самолётов противника. Особенно отличился лётчик старший лейтенант Скляров, который в течение дня сбил 6немецких самолётов, из них 4 бомбардировщика «Юнкерс-87» и 2 истребителя «Фокке-Вульф-190».</w:t>
      </w:r>
    </w:p>
    <w:p w14:paraId="1AB3DBAF"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преодолевая сопротивление противника, продолжали наступление. Части Н-ского соединения в результате ожесточённых боёв уничтожили до батальона гитлеровцев и подбили 14 вражеских танков. Захвачены трофеи, в том числе тяжёлый немецкий танк и 8 орудий. В районе одной железнодорожной станции разбит немецкий бронепоезд. На другом участке немцы, сосредоточив крупные силы пехоты и танков, предприняли контратаку. Советские бойцы отбросили противника, уничтожив при этом до 800 немецких солдат и офицеров. В ходе боя подбито и сожжено 32 немецких танка.</w:t>
      </w:r>
    </w:p>
    <w:p w14:paraId="00FF7FE0"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Малина во второй половине дня противник после сильной артиллерийскойподготовки перешёл в наступление. Два полка пехоты и более 100 вражеских танковнесколько раз пытались прорвать линии нашей обороны, но каждый раз отбрасывалисьна исходные рубежи. Особенно ожесточённый бой произошёл на участке, которыйобороняла артиллерийская часть под командованием подполковника Квашника.Советские артиллеристы подпускали противника на близкое расстояние и огнём с открытых позиций расстреливали немецкие танки. В двухчасовом бою было уничтожено12 немецких танков типа «Тигр», 16 средних танков, 5 бронемашин и несколькодесятков автомашин с пехотой. Нанеся противнику большие потери, наши войска контрударом выбили немцев из нескольких населё нных пунктов.</w:t>
      </w:r>
    </w:p>
    <w:p w14:paraId="64D969CC"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Советские лётчики наносили удары по боевым порядкам противника и уничтожилиболее 20 немецких танков и самоходных орудий, 70 автомашин и 2 бензоцистерны с горючим.</w:t>
      </w:r>
    </w:p>
    <w:p w14:paraId="03BCA48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крымских партизан напала на транспорт противника, доставлявший боеприпасы к переднему краю обороны. Партизаны взорвали 4 автомашины со снарядами и уничтожили 20 немецких и румынских солдат. Другая группа крымских партизан произвела налёт на две вражеские заставы, охранявшие шоссе, и истребила 40 гитлеровцев.</w:t>
      </w:r>
    </w:p>
    <w:p w14:paraId="76FFD5A8"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Армий солдат 11 полка 14 немецкой моторизованной дивизии Рудольф П. рассказал: «Я служил в 670 пехотном полку 371 пехотной дивизии, находившейся во Франции, на побережье Ла-Манша. Осенью из различных подразделений полка был сформирован маршевый батальон. В этот батальон попал и я. Когда разнёсся слух, что нас собираются послать в Россию, солдаты впали в уныние. 150 человек заявили, что они больны и не могут ехать на Восток. Врач произвёл поверхностный осмотр и признал всех годными к строевой службе на фронте. Солдаты, ссылаясь на свои физические недостатки и болезни, потребовали направления их на медицинскую комиссию для повторного осмотра. Однако из этого ничего не вышло. Им объяснили, что для маршевого батальона отобраны наиболее здоровые солдаты. В пути на восток 6 поляков и 4 немца дезертировали из батальона. На фронте меня зачислили в 11 полк. За последнее время полк восемь раз получал пополнение, но ввиду больших потерь мы по-прежнему испытываем острый недостаток в людях».</w:t>
      </w:r>
    </w:p>
    <w:p w14:paraId="4FB48458"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одном из участков Волховского фронта наши подразделения захватили позиции противника. Бойцы части, где командиром майор Иванов, обнаружили землянку, вкоторой фашистские палачи пытали пленных красноармейцев. Поспешный отход помешал гитлеровцам скрыть следы своих кровавых преступлений. В землянке найден труп советского бойца, зверски замученного немецкими извергами. Он был привязан к столбу проволокой. Обследовав труп, комиссия установила следующее: кисти рук красноармейца перебиты острым оружием, ступня левой ноги отрублена, на всём теле имеются следы ножевых ран.» (14861).</w:t>
      </w:r>
    </w:p>
    <w:p w14:paraId="5B45F69D"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2612CC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приказом командующего ВВС главный штурман ВВС, штурманы ВА АК и Д были подчинены начальникам соответствующих штабов на правах их заместителей. Дело в том, что массированность применения авиации повысила роль штурманской и метеорологической служб. Шире стала применяться радионавигация и на штурмовиках и истребителях стали использовать РПК (341,218).</w:t>
      </w:r>
    </w:p>
    <w:p w14:paraId="3A33F1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3D52D" w14:textId="77777777" w:rsidR="00CD2F38"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AA60A45" w14:textId="77777777" w:rsidR="00CD2F38" w:rsidRPr="00271E51" w:rsidRDefault="00CD2F3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E4DAB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15 декабря</w:t>
      </w:r>
      <w:r w:rsidRPr="00271E51">
        <w:rPr>
          <w:rFonts w:ascii="Times New Roman" w:hAnsi="Times New Roman"/>
          <w:color w:val="000000" w:themeColor="text1"/>
          <w:sz w:val="16"/>
          <w:szCs w:val="16"/>
        </w:rPr>
        <w:t xml:space="preserve"> в 1943 году (15-18 декабря) в Харькове в здании филармонии состоялся первый судебный процесс над фашистскими военными преступниками. Военный трибунал 4-го Украинского фронта признал подсудимых виновными в массовом уничтожении мирного населения и приговорил их к смертной казни через повешение. Приговор был приведен в исполнение на городской площади. О процессе писали К.Симонов, И.Эренбург, А.Толстой, множество присутствовавших на нем иностранных журналистов. 4 августа 2000 года в память о процессе на здании филармонии открыта мемориальная доска (14861).</w:t>
      </w:r>
    </w:p>
    <w:p w14:paraId="1CA6D281"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46E671A9" w14:textId="77777777" w:rsidR="00EC6ED4" w:rsidRPr="00271E51" w:rsidRDefault="00EC6E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15 - 18 декабря 1943 г. в Харькове в здании Оперного театра прошел Первый открытый процесс над нацистами. Военный трибунал 4-го Украинского фронта.</w:t>
      </w:r>
    </w:p>
    <w:p w14:paraId="11A32F39" w14:textId="77777777" w:rsidR="00EC6ED4" w:rsidRPr="00271E51" w:rsidRDefault="00EC6ED4" w:rsidP="00271E51">
      <w:pPr>
        <w:spacing w:after="0" w:line="240" w:lineRule="auto"/>
        <w:jc w:val="both"/>
        <w:rPr>
          <w:rFonts w:ascii="Times New Roman" w:hAnsi="Times New Roman"/>
          <w:color w:val="000000" w:themeColor="text1"/>
          <w:sz w:val="16"/>
          <w:szCs w:val="16"/>
        </w:rPr>
      </w:pPr>
      <w:r w:rsidRPr="00271E51">
        <w:rPr>
          <w:rStyle w:val="a7"/>
          <w:rFonts w:ascii="Times New Roman" w:hAnsi="Times New Roman"/>
          <w:b w:val="0"/>
          <w:color w:val="000000" w:themeColor="text1"/>
          <w:sz w:val="16"/>
          <w:szCs w:val="16"/>
          <w:bdr w:val="none" w:sz="0" w:space="0" w:color="auto" w:frame="1"/>
          <w:shd w:val="clear" w:color="auto" w:fill="FBFCFC"/>
        </w:rPr>
        <w:t>Приговор. </w:t>
      </w:r>
    </w:p>
    <w:p w14:paraId="3C57547B" w14:textId="77777777" w:rsidR="00EC6ED4" w:rsidRPr="00271E51" w:rsidRDefault="00EC6E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Руководствуясь ст. 296 УПК УССР и Указом Президиума Верховного Совета Союза ССР от 19 апреля 1943 г. военный трибунал фронта приговорил четверых (в т.ч. троих немуев) к смертной казни через повешение.</w:t>
      </w:r>
    </w:p>
    <w:p w14:paraId="7D50C40D" w14:textId="77777777" w:rsidR="00EC6ED4" w:rsidRPr="00271E51" w:rsidRDefault="00EC6ED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bdr w:val="none" w:sz="0" w:space="0" w:color="auto" w:frame="1"/>
          <w:shd w:val="clear" w:color="auto" w:fill="FBFCFC"/>
        </w:rPr>
        <w:t>Приговор приведён в исполнение на Базарной площади г. Харьков 19.12.1943 г. (19838).</w:t>
      </w:r>
    </w:p>
    <w:p w14:paraId="1E7E30F8" w14:textId="77777777" w:rsidR="00EC6ED4" w:rsidRPr="00271E51" w:rsidRDefault="00EC6ED4" w:rsidP="00271E51">
      <w:pPr>
        <w:spacing w:after="0" w:line="240" w:lineRule="auto"/>
        <w:jc w:val="both"/>
        <w:rPr>
          <w:rFonts w:ascii="Times New Roman" w:hAnsi="Times New Roman"/>
          <w:color w:val="000000" w:themeColor="text1"/>
          <w:sz w:val="16"/>
          <w:szCs w:val="16"/>
        </w:rPr>
      </w:pPr>
    </w:p>
    <w:p w14:paraId="6A29528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E4F63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C8B4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СССР признал Национальный комитет освобождения Югославии во главе с И. Тито (4962).</w:t>
      </w:r>
    </w:p>
    <w:p w14:paraId="4E987CD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9E73F"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15 декабря</w:t>
      </w:r>
      <w:r w:rsidRPr="00271E51">
        <w:rPr>
          <w:rFonts w:ascii="Times New Roman" w:hAnsi="Times New Roman"/>
          <w:color w:val="000000" w:themeColor="text1"/>
          <w:sz w:val="16"/>
          <w:szCs w:val="16"/>
        </w:rPr>
        <w:t xml:space="preserve"> в 1943 году СССР признает Национальный комитет освобождения Югославии во главе с И.Тито (14861).</w:t>
      </w:r>
    </w:p>
    <w:p w14:paraId="70293CFE"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7915C5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15, 1943: The Soviet Union, the United States and Great Britain break off diplomatic relationd with the Yugoslav government-in-exile and recognize Tito's Communist Popular Liberation Committee as the government-to-be of the country (3819).</w:t>
      </w:r>
    </w:p>
    <w:p w14:paraId="534E2D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2FDB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декабря 1943 СССР разорвал отношения с югославским правительством в изгнании и заявил о признании Национального комитета освобождения И.Б.Тито (1348,246).</w:t>
      </w:r>
    </w:p>
    <w:p w14:paraId="3C11E6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55E5F" w14:textId="77777777" w:rsidR="00CD2F38"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9F21DB4" w14:textId="77777777" w:rsidR="00CD2F38" w:rsidRPr="00271E51" w:rsidRDefault="00CD2F3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A6F4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15 декабря</w:t>
      </w:r>
      <w:r w:rsidRPr="00271E51">
        <w:rPr>
          <w:rFonts w:ascii="Times New Roman" w:hAnsi="Times New Roman"/>
          <w:color w:val="000000" w:themeColor="text1"/>
          <w:sz w:val="16"/>
          <w:szCs w:val="16"/>
        </w:rPr>
        <w:t xml:space="preserve"> в 1943 году высадка американских войск на полуостров Араве (остров Новая Британия) (14861).</w:t>
      </w:r>
    </w:p>
    <w:p w14:paraId="763B3441"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3F074B19" w14:textId="77777777" w:rsidR="009C38ED" w:rsidRPr="00271E51" w:rsidRDefault="009C38ED"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15 декабря 1943 самолет пятой армии ВВС прикрывает высадку армии США в Араве. Удар по десантным силам 64 самолетов ВМФ Японии неудачен (20376).</w:t>
      </w:r>
    </w:p>
    <w:p w14:paraId="15D8D706" w14:textId="77777777" w:rsidR="009C38ED" w:rsidRPr="00271E51" w:rsidRDefault="009C38ED" w:rsidP="00271E51">
      <w:pPr>
        <w:spacing w:after="0" w:line="240" w:lineRule="auto"/>
        <w:jc w:val="both"/>
        <w:rPr>
          <w:rFonts w:ascii="Times New Roman" w:hAnsi="Times New Roman"/>
          <w:color w:val="0070C0"/>
          <w:sz w:val="16"/>
          <w:szCs w:val="16"/>
        </w:rPr>
      </w:pPr>
    </w:p>
    <w:p w14:paraId="5850966D"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6A7B4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BDE7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декабря 1943 на имя заместителя командующего ВВС КА генерал-полковника А.В. Никитина поступило «Пред</w:t>
      </w:r>
      <w:r w:rsidRPr="00271E51">
        <w:rPr>
          <w:rFonts w:ascii="Times New Roman" w:hAnsi="Times New Roman"/>
          <w:color w:val="000000" w:themeColor="text1"/>
          <w:sz w:val="16"/>
          <w:szCs w:val="16"/>
        </w:rPr>
        <w:softHyphen/>
        <w:t>варительное заключение по самолетам Ил-2 с 37-мм пушками», в котором командующий 8-й воздушной армией генерал-лейтенант Т.Т. Хрюкин докладывал, что выводы, сделанные на осно</w:t>
      </w:r>
      <w:r w:rsidRPr="00271E51">
        <w:rPr>
          <w:rFonts w:ascii="Times New Roman" w:hAnsi="Times New Roman"/>
          <w:color w:val="000000" w:themeColor="text1"/>
          <w:sz w:val="16"/>
          <w:szCs w:val="16"/>
        </w:rPr>
        <w:softHyphen/>
        <w:t>ве опыта в частях 1 шак, не соответствуют действительности, способны вызвать у летного состава недоверие и поэтому долж</w:t>
      </w:r>
      <w:r w:rsidRPr="00271E51">
        <w:rPr>
          <w:rFonts w:ascii="Times New Roman" w:hAnsi="Times New Roman"/>
          <w:color w:val="000000" w:themeColor="text1"/>
          <w:sz w:val="16"/>
          <w:szCs w:val="16"/>
        </w:rPr>
        <w:softHyphen/>
        <w:t>ны подлежать аннулированию. Выводы генерала Рязанова соз</w:t>
      </w:r>
      <w:r w:rsidRPr="00271E51">
        <w:rPr>
          <w:rFonts w:ascii="Times New Roman" w:hAnsi="Times New Roman"/>
          <w:color w:val="000000" w:themeColor="text1"/>
          <w:sz w:val="16"/>
          <w:szCs w:val="16"/>
        </w:rPr>
        <w:softHyphen/>
        <w:t>дали недоверие в частях 8 ВА к самолетам с пушкой 37 мм. На самом деле это не так».</w:t>
      </w:r>
    </w:p>
    <w:p w14:paraId="326577C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переучивании летчиков 75-го гшап 1-й гшад и 807-го шап 7-го шак на самолет Ил-2 с НС-37 было установлено, что переход на самолеты с пушками 37 мм никакой сложности не представляет. Считалось достаточным дать летчикам два полета в зону на отработку техники пилотирования (40 мин.), два Ц полета на полигон для стрельбы из пушек (30 мин.) и один по</w:t>
      </w:r>
      <w:r w:rsidRPr="00271E51">
        <w:rPr>
          <w:rFonts w:ascii="Times New Roman" w:hAnsi="Times New Roman"/>
          <w:color w:val="000000" w:themeColor="text1"/>
          <w:sz w:val="16"/>
          <w:szCs w:val="16"/>
        </w:rPr>
        <w:softHyphen/>
        <w:t>лет в составе шестерки на отработку противозенитного манев</w:t>
      </w:r>
      <w:r w:rsidRPr="00271E51">
        <w:rPr>
          <w:rFonts w:ascii="Times New Roman" w:hAnsi="Times New Roman"/>
          <w:color w:val="000000" w:themeColor="text1"/>
          <w:sz w:val="16"/>
          <w:szCs w:val="16"/>
        </w:rPr>
        <w:softHyphen/>
        <w:t>ра и действий с круга (30 мин.). Всего пять полетов с налетом 1 час 40 мин. при расходе 38 снарядов к пушке НС-37.</w:t>
      </w:r>
    </w:p>
    <w:p w14:paraId="79AFF1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Инспектор по технике пилотирования 1-й гшад майор Еськов в своем рапорте от 21 ноября 1943 г. отмечал: «Ил-2 с 37-мм пушками ОКБ-16 особенностей в технике пилотирования по сравнению с Ил-2 с ВЯ не имеет. Аэродинамические качества самолета не ухудшились, а сохранились полностью присущие самолету Ил-2, за исключением замедленного выхода из пики</w:t>
      </w:r>
      <w:r w:rsidRPr="00271E51">
        <w:rPr>
          <w:rFonts w:ascii="Times New Roman" w:hAnsi="Times New Roman"/>
          <w:color w:val="000000" w:themeColor="text1"/>
          <w:sz w:val="16"/>
          <w:szCs w:val="16"/>
        </w:rPr>
        <w:softHyphen/>
        <w:t>рования. При переучивании летного состава с обычных самоле</w:t>
      </w:r>
      <w:r w:rsidRPr="00271E51">
        <w:rPr>
          <w:rFonts w:ascii="Times New Roman" w:hAnsi="Times New Roman"/>
          <w:color w:val="000000" w:themeColor="text1"/>
          <w:sz w:val="16"/>
          <w:szCs w:val="16"/>
        </w:rPr>
        <w:softHyphen/>
        <w:t>тов... никакой сложности не представляет. &lt;...&gt; Увеличение ка</w:t>
      </w:r>
      <w:r w:rsidRPr="00271E51">
        <w:rPr>
          <w:rFonts w:ascii="Times New Roman" w:hAnsi="Times New Roman"/>
          <w:color w:val="000000" w:themeColor="text1"/>
          <w:sz w:val="16"/>
          <w:szCs w:val="16"/>
        </w:rPr>
        <w:softHyphen/>
        <w:t>либра и уменьшение боекомплекта пушек требует от летного состава: высокого искусства в умении прицеливаться по точеч</w:t>
      </w:r>
      <w:r w:rsidRPr="00271E51">
        <w:rPr>
          <w:rFonts w:ascii="Times New Roman" w:hAnsi="Times New Roman"/>
          <w:color w:val="000000" w:themeColor="text1"/>
          <w:sz w:val="16"/>
          <w:szCs w:val="16"/>
        </w:rPr>
        <w:softHyphen/>
        <w:t>ным целям и повседневной тренировки в прицеливании; веде</w:t>
      </w:r>
      <w:r w:rsidRPr="00271E51">
        <w:rPr>
          <w:rFonts w:ascii="Times New Roman" w:hAnsi="Times New Roman"/>
          <w:color w:val="000000" w:themeColor="text1"/>
          <w:sz w:val="16"/>
          <w:szCs w:val="16"/>
        </w:rPr>
        <w:softHyphen/>
        <w:t>ния огня короткими очередями не более двух выстрелов в каж</w:t>
      </w:r>
      <w:r w:rsidRPr="00271E51">
        <w:rPr>
          <w:rFonts w:ascii="Times New Roman" w:hAnsi="Times New Roman"/>
          <w:color w:val="000000" w:themeColor="text1"/>
          <w:sz w:val="16"/>
          <w:szCs w:val="16"/>
        </w:rPr>
        <w:softHyphen/>
        <w:t>дой; повышения общей стрелковой культуры».</w:t>
      </w:r>
    </w:p>
    <w:p w14:paraId="6DCE5D1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ГКО им занимался член Военного совета ВВС КА и од</w:t>
      </w:r>
      <w:r w:rsidRPr="00271E51">
        <w:rPr>
          <w:rFonts w:ascii="Times New Roman" w:hAnsi="Times New Roman"/>
          <w:color w:val="000000" w:themeColor="text1"/>
          <w:sz w:val="16"/>
          <w:szCs w:val="16"/>
        </w:rPr>
        <w:softHyphen/>
        <w:t>новременно заведующий авиационным отделом ЦК ВКП(б) генерал-лейтенант Н.С. Шиманов. Оперативному управлению штаба ВВС поручили подготовить развернутый анализ эффек</w:t>
      </w:r>
      <w:r w:rsidRPr="00271E51">
        <w:rPr>
          <w:rFonts w:ascii="Times New Roman" w:hAnsi="Times New Roman"/>
          <w:color w:val="000000" w:themeColor="text1"/>
          <w:sz w:val="16"/>
          <w:szCs w:val="16"/>
        </w:rPr>
        <w:softHyphen/>
        <w:t>тивности боевого применения самолетов, вооруженных 37-мм пушками.</w:t>
      </w:r>
    </w:p>
    <w:p w14:paraId="20D5D1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Основательно проработав этот вопрос, специалисты штаба ВВС пришли к выводу, что вместо Ил-2 с НС-37 на вооруже</w:t>
      </w:r>
      <w:r w:rsidRPr="00271E51">
        <w:rPr>
          <w:rFonts w:ascii="Times New Roman" w:hAnsi="Times New Roman"/>
          <w:color w:val="000000" w:themeColor="text1"/>
          <w:sz w:val="16"/>
          <w:szCs w:val="16"/>
        </w:rPr>
        <w:softHyphen/>
        <w:t>нии ВВС КА целесообразно иметь 30% тяжелых истребителей Як-9т с такой же пушкой, основной задачей которых являлась бы борьба с танками противника. Кроме этого, «яки» привле</w:t>
      </w:r>
      <w:r w:rsidRPr="00271E51">
        <w:rPr>
          <w:rFonts w:ascii="Times New Roman" w:hAnsi="Times New Roman"/>
          <w:color w:val="000000" w:themeColor="text1"/>
          <w:sz w:val="16"/>
          <w:szCs w:val="16"/>
        </w:rPr>
        <w:softHyphen/>
        <w:t>кались бы как «охотники» для уничтожения ж.д. эшелонов на перегонах и автомашин, а также самолетов на аэродромах. Массовое применение Як-9т непосредственно на поле боя не предусматривалось по причине низкой боевой живучести мо</w:t>
      </w:r>
      <w:r w:rsidRPr="00271E51">
        <w:rPr>
          <w:rFonts w:ascii="Times New Roman" w:hAnsi="Times New Roman"/>
          <w:color w:val="000000" w:themeColor="text1"/>
          <w:sz w:val="16"/>
          <w:szCs w:val="16"/>
        </w:rPr>
        <w:softHyphen/>
        <w:t>тора жидкостного охлаждения.</w:t>
      </w:r>
    </w:p>
    <w:p w14:paraId="45C5E6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обоснование этой позиции приводилась статистика по терь И-16 и И-153, применявшихся в качестве штурмовиков, из которой следовало, что истребители могут с успехом приме</w:t>
      </w:r>
      <w:r w:rsidRPr="00271E51">
        <w:rPr>
          <w:rFonts w:ascii="Times New Roman" w:hAnsi="Times New Roman"/>
          <w:color w:val="000000" w:themeColor="text1"/>
          <w:sz w:val="16"/>
          <w:szCs w:val="16"/>
        </w:rPr>
        <w:softHyphen/>
        <w:t>няться для штурмовых действий по наземным целям благодаря большой скорости и высокой маневренности. По подсчетам Оперативного управления штаба ВВС, их боевая живучесть была в 2—3 раза выше, чем штурмовиков Ил-2.</w:t>
      </w:r>
    </w:p>
    <w:p w14:paraId="542266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«способность истребителей пикировать почти отвесно позволяет использовать возможности НС-37 более полно для поражения танков». При этом, поскольку установка пушки НС-37 ухудшала летные данные Як-9т, то предлагалось применять этот истребитель только совместно с более манев</w:t>
      </w:r>
      <w:r w:rsidRPr="00271E51">
        <w:rPr>
          <w:rFonts w:ascii="Times New Roman" w:hAnsi="Times New Roman"/>
          <w:color w:val="000000" w:themeColor="text1"/>
          <w:sz w:val="16"/>
          <w:szCs w:val="16"/>
        </w:rPr>
        <w:softHyphen/>
        <w:t>ренными самолетами Як-9 и Л а-5, а в состав смешанной эс</w:t>
      </w:r>
      <w:r w:rsidRPr="00271E51">
        <w:rPr>
          <w:rFonts w:ascii="Times New Roman" w:hAnsi="Times New Roman"/>
          <w:color w:val="000000" w:themeColor="text1"/>
          <w:sz w:val="16"/>
          <w:szCs w:val="16"/>
        </w:rPr>
        <w:softHyphen/>
        <w:t>кадрильи вводить одно звено Як-9т.</w:t>
      </w:r>
    </w:p>
    <w:p w14:paraId="46BAA7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 же время «в силу своих низких летно-тактических дан</w:t>
      </w:r>
      <w:r w:rsidRPr="00271E51">
        <w:rPr>
          <w:rFonts w:ascii="Times New Roman" w:hAnsi="Times New Roman"/>
          <w:color w:val="000000" w:themeColor="text1"/>
          <w:sz w:val="16"/>
          <w:szCs w:val="16"/>
        </w:rPr>
        <w:softHyphen/>
        <w:t>ных (в частности малого угла пикирования) самолет Ил-2 не в состоянии использовать высокие боевые качества пушки ОКБ-16, а потому с точки зрения борьбы с немецкими тяже</w:t>
      </w:r>
      <w:r w:rsidRPr="00271E51">
        <w:rPr>
          <w:rFonts w:ascii="Times New Roman" w:hAnsi="Times New Roman"/>
          <w:color w:val="000000" w:themeColor="text1"/>
          <w:sz w:val="16"/>
          <w:szCs w:val="16"/>
        </w:rPr>
        <w:softHyphen/>
        <w:t>лыми танками уступает Ил-2 с ВЯ. Поражение из пушек ОКБ-16 средних и тяжелых танков «пантера» возможно лишь после многократных атак, то есть при действии по деморали</w:t>
      </w:r>
      <w:r w:rsidRPr="00271E51">
        <w:rPr>
          <w:rFonts w:ascii="Times New Roman" w:hAnsi="Times New Roman"/>
          <w:color w:val="000000" w:themeColor="text1"/>
          <w:sz w:val="16"/>
          <w:szCs w:val="16"/>
        </w:rPr>
        <w:softHyphen/>
        <w:t>зованному противнику, сопротивление которого подавлено».</w:t>
      </w:r>
    </w:p>
    <w:p w14:paraId="01B327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Действительно, учитывая, что около половины попавших в танк Р</w:t>
      </w:r>
      <w:r w:rsidRPr="00271E51">
        <w:rPr>
          <w:rFonts w:ascii="Times New Roman" w:hAnsi="Times New Roman"/>
          <w:color w:val="000000" w:themeColor="text1"/>
          <w:sz w:val="16"/>
          <w:szCs w:val="16"/>
          <w:lang w:val="en-US"/>
        </w:rPr>
        <w:t>z</w:t>
      </w:r>
      <w:r w:rsidRPr="00271E51">
        <w:rPr>
          <w:rFonts w:ascii="Times New Roman" w:hAnsi="Times New Roman"/>
          <w:color w:val="000000" w:themeColor="text1"/>
          <w:sz w:val="16"/>
          <w:szCs w:val="16"/>
        </w:rPr>
        <w:t>.У снарядов дают рикошет или непробитие (утлы встре</w:t>
      </w:r>
      <w:r w:rsidRPr="00271E51">
        <w:rPr>
          <w:rFonts w:ascii="Times New Roman" w:hAnsi="Times New Roman"/>
          <w:color w:val="000000" w:themeColor="text1"/>
          <w:sz w:val="16"/>
          <w:szCs w:val="16"/>
        </w:rPr>
        <w:softHyphen/>
        <w:t>чи с броней 25-30° и выше), а часть снарядов после пробития брони попадает в малоуязвимые места танка, то для выведения из строя одной «пантеры» требовалось не менее 3—4 попада</w:t>
      </w:r>
      <w:r w:rsidRPr="00271E51">
        <w:rPr>
          <w:rFonts w:ascii="Times New Roman" w:hAnsi="Times New Roman"/>
          <w:color w:val="000000" w:themeColor="text1"/>
          <w:sz w:val="16"/>
          <w:szCs w:val="16"/>
        </w:rPr>
        <w:softHyphen/>
        <w:t>ний. Следовательно, для поражения Рг.У необходимо было из</w:t>
      </w:r>
      <w:r w:rsidRPr="00271E51">
        <w:rPr>
          <w:rFonts w:ascii="Times New Roman" w:hAnsi="Times New Roman"/>
          <w:color w:val="000000" w:themeColor="text1"/>
          <w:sz w:val="16"/>
          <w:szCs w:val="16"/>
        </w:rPr>
        <w:softHyphen/>
        <w:t>расходовать около 100—125 снарядов, то есть выделить два са</w:t>
      </w:r>
      <w:r w:rsidRPr="00271E51">
        <w:rPr>
          <w:rFonts w:ascii="Times New Roman" w:hAnsi="Times New Roman"/>
          <w:color w:val="000000" w:themeColor="text1"/>
          <w:sz w:val="16"/>
          <w:szCs w:val="16"/>
        </w:rPr>
        <w:softHyphen/>
        <w:t>молета Ил-2 с НС-37, которые выполнят по 6—8 заходов каж</w:t>
      </w:r>
      <w:r w:rsidRPr="00271E51">
        <w:rPr>
          <w:rFonts w:ascii="Times New Roman" w:hAnsi="Times New Roman"/>
          <w:color w:val="000000" w:themeColor="text1"/>
          <w:sz w:val="16"/>
          <w:szCs w:val="16"/>
        </w:rPr>
        <w:softHyphen/>
        <w:t>дый. Принимая в расчет 100 кг противотанковых авиабомб ПТАБ-2,5-1,5, входящих в боевую зарядку Ил-2 с НС-37, по</w:t>
      </w:r>
      <w:r w:rsidRPr="00271E51">
        <w:rPr>
          <w:rFonts w:ascii="Times New Roman" w:hAnsi="Times New Roman"/>
          <w:color w:val="000000" w:themeColor="text1"/>
          <w:sz w:val="16"/>
          <w:szCs w:val="16"/>
        </w:rPr>
        <w:softHyphen/>
        <w:t>лучается, что один «Ил-2 с 37-мм пушками имеет возможность огнем пушек и ПТАБ в среднем поразить один танк».</w:t>
      </w:r>
    </w:p>
    <w:p w14:paraId="5105D4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«по данным полков и боевого опыта при атаке скопления танков процент попаданий в танк в 1,5 раза выше, чем при стрельбе по одиночному танку», то Ил-2 «с пушками ОКБ-16, используя огонь пушек и ПТАБы, может в среднем уничтожить 1,5—2 танка».</w:t>
      </w:r>
    </w:p>
    <w:p w14:paraId="67BA70C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для уничтожения ПТАБ одиночного танка лю</w:t>
      </w:r>
      <w:r w:rsidRPr="00271E51">
        <w:rPr>
          <w:rFonts w:ascii="Times New Roman" w:hAnsi="Times New Roman"/>
          <w:color w:val="000000" w:themeColor="text1"/>
          <w:sz w:val="16"/>
          <w:szCs w:val="16"/>
        </w:rPr>
        <w:softHyphen/>
        <w:t>бого типа требовалось в среднем два самолета Ил-2 с ВЯ-23, а «при действиях по плотному скоплению танков у мест заправ</w:t>
      </w:r>
      <w:r w:rsidRPr="00271E51">
        <w:rPr>
          <w:rFonts w:ascii="Times New Roman" w:hAnsi="Times New Roman"/>
          <w:color w:val="000000" w:themeColor="text1"/>
          <w:sz w:val="16"/>
          <w:szCs w:val="16"/>
        </w:rPr>
        <w:softHyphen/>
        <w:t>ки, в теснинах, у переправ, на погрузке и т.д. ...бомбовая за</w:t>
      </w:r>
      <w:r w:rsidRPr="00271E51">
        <w:rPr>
          <w:rFonts w:ascii="Times New Roman" w:hAnsi="Times New Roman"/>
          <w:color w:val="000000" w:themeColor="text1"/>
          <w:sz w:val="16"/>
          <w:szCs w:val="16"/>
        </w:rPr>
        <w:softHyphen/>
        <w:t>рядка одного самолета обеспечивает поражение ПТАБ 2—3 танков».</w:t>
      </w:r>
    </w:p>
    <w:p w14:paraId="7685D9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Ил-2 с пушками ВЯ-23 имели одно очень важное тактическое преимущество перед «илами» с 37-мм пушками — во всех случаях «ПТАБ сбрасываются с одного-двух заходов».</w:t>
      </w:r>
    </w:p>
    <w:p w14:paraId="07F55D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Важным обстоятельством в пользу ПТАБ являлось и то, что в производстве бомба была проста, и ее производство обходи</w:t>
      </w:r>
      <w:r w:rsidRPr="00271E51">
        <w:rPr>
          <w:rFonts w:ascii="Times New Roman" w:hAnsi="Times New Roman"/>
          <w:color w:val="000000" w:themeColor="text1"/>
          <w:sz w:val="16"/>
          <w:szCs w:val="16"/>
        </w:rPr>
        <w:softHyphen/>
        <w:t>лось очень дешево. Это позволяло выпускать их в большом ко</w:t>
      </w:r>
      <w:r w:rsidRPr="00271E51">
        <w:rPr>
          <w:rFonts w:ascii="Times New Roman" w:hAnsi="Times New Roman"/>
          <w:color w:val="000000" w:themeColor="text1"/>
          <w:sz w:val="16"/>
          <w:szCs w:val="16"/>
        </w:rPr>
        <w:softHyphen/>
        <w:t>личестве и массово применять на поле боя.</w:t>
      </w:r>
    </w:p>
    <w:p w14:paraId="6B1700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Доводы офицеров штаба ВВС сочли вполне убедительны</w:t>
      </w:r>
      <w:r w:rsidRPr="00271E51">
        <w:rPr>
          <w:rFonts w:ascii="Times New Roman" w:hAnsi="Times New Roman"/>
          <w:color w:val="000000" w:themeColor="text1"/>
          <w:sz w:val="16"/>
          <w:szCs w:val="16"/>
        </w:rPr>
        <w:softHyphen/>
        <w:t>ми. Вопрос о восстановлении производства Ил-2 с НС-37 с по</w:t>
      </w:r>
      <w:r w:rsidRPr="00271E51">
        <w:rPr>
          <w:rFonts w:ascii="Times New Roman" w:hAnsi="Times New Roman"/>
          <w:color w:val="000000" w:themeColor="text1"/>
          <w:sz w:val="16"/>
          <w:szCs w:val="16"/>
        </w:rPr>
        <w:softHyphen/>
        <w:t>вестки дня был снят.</w:t>
      </w:r>
    </w:p>
    <w:p w14:paraId="6C839B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отказались и от доводки опытных самолетов Ил-2 с 45-мм пушками Ш-45 (ОКБ-15) и НС-45 (ОКБ-16). С их помощью рассчитывали бороться с тяжелой немецкой бро-нетехникой (11474,353).</w:t>
      </w:r>
    </w:p>
    <w:p w14:paraId="0FEC16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486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середине декабря 1943 на имя заместителя командующего ВВС КА генерал-полковника Никитина поступило "Предварительное заключение по самолетам Ил-2 с 37-мм пушками", в котором командующий 8-й ВА генерал-лейтенант Хрюкин докладывал, что: "...Выводы, сделанные на основе опыта в частях 1 шак, не соответствуют действительности, способны вызвать у летного состава недоверие и поэтому должны подлежать аннулированию. Выводы генерала Рязанова создали недоверие в частях 8 ВА к самолетам с пушкой 37 мм. На самом деле это не так".</w:t>
      </w:r>
    </w:p>
    <w:p w14:paraId="4D2AF4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Вопрос о целесообразности серийного выпуска Ил-2 с НС-37 вновь встал на повестку дня. От ГКО им занимался генерал- лейтенант Шиманов. Оперативному управлению штаба ВВС поручили провести анализ эффективности боевого применения самолетов с 37-мм пушками.</w:t>
      </w:r>
    </w:p>
    <w:p w14:paraId="04059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Основательно проработав этот вопрос, специалисты штаба ВВС пришли к выводу, что вместо Ил-2 с НС-37 на вооружении ВВС КА целесообразно иметь 30% тяжелых истребителей Як-9т с такой же пушкой, основной задачей которых являлась бы борьба с танками противника. Кроме этого, "Яки" привлекались бы как "охотники" для уничтожения ж.д. эшелонов на перегонах и автомашин, а также самолетов на аэродромах. Массовое применение Як-9т непосредственно на поле боя не предусматривалось по причине низкой боевой живучести мотора жидкостного охлаждения.</w:t>
      </w:r>
    </w:p>
    <w:p w14:paraId="663AA8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расчетам получалось, что для выведения из строя одной "Пантеры" необходимо выделить два самолета Ил-2 с НС-37, которые выполнят по 6-8 заходов каждый. Между тем, для уничтожения ПТАБами одиночного танка любого типа также требовалось в среднем два самолета Ил-2 с ВЯ-23, но "при действиях по плотному скоплению танков у мест заправки, в теснинах, у переправ, на погрузке и т.д. ...бомбовая зарядка одного самолета обеспечивает поражение ПТАБами 2-3 танков". Кроме этого, Ил-2 с ВЯ-23 имели одно очень серьезное тактическое преимущество перед "Илами" с 37-мм пушками - во всех случаях "ПТАБы сбрасываются с одного-двух заходов".</w:t>
      </w:r>
    </w:p>
    <w:p w14:paraId="735BA6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Важным обстоятельством в пользу ПТАБ являлось и то, что в производстве бомба была проста, и ее производство обходилось очень дешево. Это позволяло изготовлять и применять их в большом количестве.</w:t>
      </w:r>
    </w:p>
    <w:p w14:paraId="1E104F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Доводы офицеров штаба ВВС сочли вполне убедительными. Вопрос о восстановлении производства Ил-2 с НС-37 с повестки дня был снят.</w:t>
      </w:r>
    </w:p>
    <w:p w14:paraId="72C5CB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отказались и от доводки опытных самолетов Ил-2 с 45-мм пушками LLI-45 (ОКБ-15) и НС-45 (ОКБ-16). Работы по созданию таких самолетов велись с июля месяца (12020).</w:t>
      </w:r>
    </w:p>
    <w:p w14:paraId="2913E8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095A5"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середине декабря 1943 на имя заместителя ко</w:t>
      </w:r>
      <w:r w:rsidRPr="00271E51">
        <w:rPr>
          <w:color w:val="000000" w:themeColor="text1"/>
          <w:sz w:val="16"/>
          <w:szCs w:val="16"/>
        </w:rPr>
        <w:softHyphen/>
        <w:t>мандующего ВВС КА генерал-полковника А. В. Ни</w:t>
      </w:r>
      <w:r w:rsidRPr="00271E51">
        <w:rPr>
          <w:color w:val="000000" w:themeColor="text1"/>
          <w:sz w:val="16"/>
          <w:szCs w:val="16"/>
        </w:rPr>
        <w:softHyphen/>
        <w:t>китина поступило «Предварительное заключение по самолетам Ил-2 с 37-мм пушками», в котором командующий 8-й воздушной армией генерал-лей</w:t>
      </w:r>
      <w:r w:rsidRPr="00271E51">
        <w:rPr>
          <w:color w:val="000000" w:themeColor="text1"/>
          <w:sz w:val="16"/>
          <w:szCs w:val="16"/>
        </w:rPr>
        <w:softHyphen/>
        <w:t>тенант Т. Т. Хрюкин докладывал, что «.выводы, сделанные на основе опыта в частях 1 шак, не со</w:t>
      </w:r>
      <w:r w:rsidRPr="00271E51">
        <w:rPr>
          <w:color w:val="000000" w:themeColor="text1"/>
          <w:sz w:val="16"/>
          <w:szCs w:val="16"/>
        </w:rPr>
        <w:softHyphen/>
        <w:t>ответствуют действительности, способны вызвать у летного состава недоверие и поэтому долж</w:t>
      </w:r>
      <w:r w:rsidRPr="00271E51">
        <w:rPr>
          <w:color w:val="000000" w:themeColor="text1"/>
          <w:sz w:val="16"/>
          <w:szCs w:val="16"/>
        </w:rPr>
        <w:softHyphen/>
        <w:t>ны подлежать аннулированию. Выводы генерала В. Г. Рязанова создали недоверие в частях 8 ВА к са</w:t>
      </w:r>
      <w:r w:rsidRPr="00271E51">
        <w:rPr>
          <w:color w:val="000000" w:themeColor="text1"/>
          <w:sz w:val="16"/>
          <w:szCs w:val="16"/>
        </w:rPr>
        <w:softHyphen/>
        <w:t>молетам с пушкой 37 мм. На самом деле это не так».</w:t>
      </w:r>
    </w:p>
    <w:p w14:paraId="0C09D261"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переучивании летчиков 75-го гшап 1-й гшад и 807-го шап 7-го шак на самолет Ил-2 с 11П было установлено, что переход на самолеты с пушками 37 мм никакой сложности не представляет. Счита</w:t>
      </w:r>
      <w:r w:rsidRPr="00271E51">
        <w:rPr>
          <w:color w:val="000000" w:themeColor="text1"/>
          <w:sz w:val="16"/>
          <w:szCs w:val="16"/>
        </w:rPr>
        <w:softHyphen/>
        <w:t>лось достаточным дать летчикам 2 полета в зону на отработку техники пилотирования (40 мин), 2 по</w:t>
      </w:r>
      <w:r w:rsidRPr="00271E51">
        <w:rPr>
          <w:color w:val="000000" w:themeColor="text1"/>
          <w:sz w:val="16"/>
          <w:szCs w:val="16"/>
        </w:rPr>
        <w:softHyphen/>
        <w:t>лета на полигон для стрельбы из пушек (30 мин) и 1 полет в составе шестерки на отработку противо</w:t>
      </w:r>
      <w:r w:rsidRPr="00271E51">
        <w:rPr>
          <w:color w:val="000000" w:themeColor="text1"/>
          <w:sz w:val="16"/>
          <w:szCs w:val="16"/>
        </w:rPr>
        <w:softHyphen/>
        <w:t>зенитного маневра и действий с круга (30 мин). Все</w:t>
      </w:r>
      <w:r w:rsidRPr="00271E51">
        <w:rPr>
          <w:color w:val="000000" w:themeColor="text1"/>
          <w:sz w:val="16"/>
          <w:szCs w:val="16"/>
        </w:rPr>
        <w:softHyphen/>
        <w:t>го 5 полетов с налетом 1 ч 40 мин при расходе 38 снарядов к пушке 11П.</w:t>
      </w:r>
    </w:p>
    <w:p w14:paraId="6FD89B64"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Инспектор по технике пилотирования 1-й гшад майор Еськов в своем рапорте от 21 ноября 1943 г. отмечал: «Ил-2 с 37-мм пушками ОКБ-16 особенно</w:t>
      </w:r>
      <w:r w:rsidRPr="00271E51">
        <w:rPr>
          <w:color w:val="000000" w:themeColor="text1"/>
          <w:sz w:val="16"/>
          <w:szCs w:val="16"/>
        </w:rPr>
        <w:softHyphen/>
        <w:t>стей в технике пилотирования по сравнению с Ил-2 с ВЯ не имеет. Аэродинамические качества самоле</w:t>
      </w:r>
      <w:r w:rsidRPr="00271E51">
        <w:rPr>
          <w:color w:val="000000" w:themeColor="text1"/>
          <w:sz w:val="16"/>
          <w:szCs w:val="16"/>
        </w:rPr>
        <w:softHyphen/>
        <w:t>та не ухудшились, а сохранились полностью прису</w:t>
      </w:r>
      <w:r w:rsidRPr="00271E51">
        <w:rPr>
          <w:color w:val="000000" w:themeColor="text1"/>
          <w:sz w:val="16"/>
          <w:szCs w:val="16"/>
        </w:rPr>
        <w:softHyphen/>
        <w:t>щие самолету Ил-2, за исключением замедленного выхода из пикирования. При переучивании летного состава с обычных самолетов /.../ никакой слож</w:t>
      </w:r>
      <w:r w:rsidRPr="00271E51">
        <w:rPr>
          <w:color w:val="000000" w:themeColor="text1"/>
          <w:sz w:val="16"/>
          <w:szCs w:val="16"/>
        </w:rPr>
        <w:softHyphen/>
        <w:t>ности не представляет. /.../ Увеличение калибра и уменьшение боекомплекта пушек требует от лет</w:t>
      </w:r>
      <w:r w:rsidRPr="00271E51">
        <w:rPr>
          <w:color w:val="000000" w:themeColor="text1"/>
          <w:sz w:val="16"/>
          <w:szCs w:val="16"/>
        </w:rPr>
        <w:softHyphen/>
        <w:t>ного состава: высокого искусства в умении прице</w:t>
      </w:r>
      <w:r w:rsidRPr="00271E51">
        <w:rPr>
          <w:color w:val="000000" w:themeColor="text1"/>
          <w:sz w:val="16"/>
          <w:szCs w:val="16"/>
        </w:rPr>
        <w:softHyphen/>
        <w:t>ливаться по точечным целям и повседневной тре</w:t>
      </w:r>
      <w:r w:rsidRPr="00271E51">
        <w:rPr>
          <w:color w:val="000000" w:themeColor="text1"/>
          <w:sz w:val="16"/>
          <w:szCs w:val="16"/>
        </w:rPr>
        <w:softHyphen/>
        <w:t>нировки в прицеливании; ведения огня короткими очередями не более 2 выстрелов в каждой; повы</w:t>
      </w:r>
      <w:r w:rsidRPr="00271E51">
        <w:rPr>
          <w:color w:val="000000" w:themeColor="text1"/>
          <w:sz w:val="16"/>
          <w:szCs w:val="16"/>
        </w:rPr>
        <w:softHyphen/>
        <w:t>шения общей стрелковой культуры».</w:t>
      </w:r>
    </w:p>
    <w:p w14:paraId="63CE4875"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Так, пара штурмовиков-«охотников» от 75-го гшап в составе хорошо подготовленных летчи</w:t>
      </w:r>
      <w:r w:rsidRPr="00271E51">
        <w:rPr>
          <w:color w:val="000000" w:themeColor="text1"/>
          <w:sz w:val="16"/>
          <w:szCs w:val="16"/>
        </w:rPr>
        <w:softHyphen/>
        <w:t>ков — командира эскадрильи капитана Д. И. Жа- бинского и младшего лейтенанта А. К. Недбайло в одном боевом вылете вывела из строя 3 немец</w:t>
      </w:r>
      <w:r w:rsidRPr="00271E51">
        <w:rPr>
          <w:color w:val="000000" w:themeColor="text1"/>
          <w:sz w:val="16"/>
          <w:szCs w:val="16"/>
        </w:rPr>
        <w:softHyphen/>
        <w:t xml:space="preserve">ких средних танка типа </w:t>
      </w:r>
      <w:r w:rsidRPr="00271E51">
        <w:rPr>
          <w:color w:val="000000" w:themeColor="text1"/>
          <w:sz w:val="16"/>
          <w:szCs w:val="16"/>
          <w:lang w:val="en-US"/>
        </w:rPr>
        <w:t>Pz</w:t>
      </w:r>
      <w:r w:rsidRPr="00271E51">
        <w:rPr>
          <w:color w:val="000000" w:themeColor="text1"/>
          <w:sz w:val="16"/>
          <w:szCs w:val="16"/>
        </w:rPr>
        <w:t>.</w:t>
      </w:r>
      <w:r w:rsidRPr="00271E51">
        <w:rPr>
          <w:color w:val="000000" w:themeColor="text1"/>
          <w:sz w:val="16"/>
          <w:szCs w:val="16"/>
          <w:lang w:val="en-US"/>
        </w:rPr>
        <w:t>IV</w:t>
      </w:r>
      <w:r w:rsidRPr="00271E51">
        <w:rPr>
          <w:color w:val="000000" w:themeColor="text1"/>
          <w:sz w:val="16"/>
          <w:szCs w:val="16"/>
        </w:rPr>
        <w:t>, что было подтверж</w:t>
      </w:r>
      <w:r w:rsidRPr="00271E51">
        <w:rPr>
          <w:color w:val="000000" w:themeColor="text1"/>
          <w:sz w:val="16"/>
          <w:szCs w:val="16"/>
        </w:rPr>
        <w:softHyphen/>
        <w:t>дено наземными войсками. Два из них были по</w:t>
      </w:r>
      <w:r w:rsidRPr="00271E51">
        <w:rPr>
          <w:color w:val="000000" w:themeColor="text1"/>
          <w:sz w:val="16"/>
          <w:szCs w:val="16"/>
        </w:rPr>
        <w:softHyphen/>
        <w:t>дожжены атакой сбоку с высоты 200—300 м при планировании под углом 10—15°. Огонь из пушек 11П велся с дистанции 200—300 м по бортам тан</w:t>
      </w:r>
      <w:r w:rsidRPr="00271E51">
        <w:rPr>
          <w:color w:val="000000" w:themeColor="text1"/>
          <w:sz w:val="16"/>
          <w:szCs w:val="16"/>
        </w:rPr>
        <w:softHyphen/>
        <w:t>ков. 3-й танк был подбит с пикирования под углом 40—45° с дальности 300—400 м. Бронебойный сна</w:t>
      </w:r>
      <w:r w:rsidRPr="00271E51">
        <w:rPr>
          <w:color w:val="000000" w:themeColor="text1"/>
          <w:sz w:val="16"/>
          <w:szCs w:val="16"/>
        </w:rPr>
        <w:softHyphen/>
        <w:t>ряд пробил верхнюю броню танка.</w:t>
      </w:r>
    </w:p>
    <w:p w14:paraId="7BBE9787"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29 ноября 1943 г. в ходе воздушного боя 6 Ил-2 от 75-го гшап (ведущий майор Суклышкин) с 20 не</w:t>
      </w:r>
      <w:r w:rsidRPr="00271E51">
        <w:rPr>
          <w:color w:val="000000" w:themeColor="text1"/>
          <w:sz w:val="16"/>
          <w:szCs w:val="16"/>
        </w:rPr>
        <w:softHyphen/>
        <w:t xml:space="preserve">мецкими бомбардировщиками </w:t>
      </w:r>
      <w:r w:rsidRPr="00271E51">
        <w:rPr>
          <w:color w:val="000000" w:themeColor="text1"/>
          <w:sz w:val="16"/>
          <w:szCs w:val="16"/>
          <w:lang w:val="en-US"/>
        </w:rPr>
        <w:t>Ju</w:t>
      </w:r>
      <w:r w:rsidRPr="00271E51">
        <w:rPr>
          <w:color w:val="000000" w:themeColor="text1"/>
          <w:sz w:val="16"/>
          <w:szCs w:val="16"/>
        </w:rPr>
        <w:t>87 майор Еськов сбил один из них огнем из пушек 11П. От попадания одного снаряда «Юнкерс» развалился в воздухе.</w:t>
      </w:r>
    </w:p>
    <w:p w14:paraId="59C80CE1"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Основные выводы летчиков 1-й гшад своди</w:t>
      </w:r>
      <w:r w:rsidRPr="00271E51">
        <w:rPr>
          <w:color w:val="000000" w:themeColor="text1"/>
          <w:sz w:val="16"/>
          <w:szCs w:val="16"/>
        </w:rPr>
        <w:softHyphen/>
        <w:t>лись к следующему: «1. Самолеты Ил-2 с пушками 11П можно хорошо применять как по танкам, так и по другим целям. 2. Вооружать части полностью самолетами, вооруженными пушками ОКБ-16, не</w:t>
      </w:r>
      <w:r w:rsidRPr="00271E51">
        <w:rPr>
          <w:color w:val="000000" w:themeColor="text1"/>
          <w:sz w:val="16"/>
          <w:szCs w:val="16"/>
        </w:rPr>
        <w:softHyphen/>
        <w:t>целесообразно, хорошо иметь в полку часть таких самолетов. 3. Самолеты с пушками ОКБ-16 больше применять при сопровождении своих танков, при атаках отступающих колонн автомашин, ж.-д. эше</w:t>
      </w:r>
      <w:r w:rsidRPr="00271E51">
        <w:rPr>
          <w:color w:val="000000" w:themeColor="text1"/>
          <w:sz w:val="16"/>
          <w:szCs w:val="16"/>
        </w:rPr>
        <w:softHyphen/>
        <w:t>лонов в пути следования, катеров и барж на море и реках, при ведении разведки переднего края противника и при охоте».</w:t>
      </w:r>
    </w:p>
    <w:p w14:paraId="6AA2F0DF" w14:textId="77777777" w:rsidR="00F52BDF" w:rsidRPr="00271E51" w:rsidRDefault="00F52BD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Командующий ВВС МВО генерал-лейтенант Н. А. Сбытов в своем докладе 3 декабря члену Во</w:t>
      </w:r>
      <w:r w:rsidRPr="00271E51">
        <w:rPr>
          <w:color w:val="000000" w:themeColor="text1"/>
          <w:sz w:val="16"/>
          <w:szCs w:val="16"/>
        </w:rPr>
        <w:softHyphen/>
        <w:t>енного совета ВВС и заведующему авиационным отделом ЦК ВКП(б) генерал-лейтенанту Н. С. Шима- нову указывал, что «опыт боевой работы 227-й шад и общая оценка этого оружия позволяют сделать вывод, что такой штурмовик имеет большие пре</w:t>
      </w:r>
      <w:r w:rsidRPr="00271E51">
        <w:rPr>
          <w:color w:val="000000" w:themeColor="text1"/>
          <w:sz w:val="16"/>
          <w:szCs w:val="16"/>
        </w:rPr>
        <w:softHyphen/>
        <w:t>имущества в ведении сильного прицельного огня». При этом «для резкого улучшения качества само</w:t>
      </w:r>
      <w:r w:rsidRPr="00271E51">
        <w:rPr>
          <w:color w:val="000000" w:themeColor="text1"/>
          <w:sz w:val="16"/>
          <w:szCs w:val="16"/>
        </w:rPr>
        <w:softHyphen/>
        <w:t>лета и стрельбы» предлагалось «самолет с 37-мм пушками выпускать одноместным», «для улучшения качества самолета пушки убрать в крыло», «взяться за облагораживание самолета Ил-2 и в первую оче</w:t>
      </w:r>
      <w:r w:rsidRPr="00271E51">
        <w:rPr>
          <w:color w:val="000000" w:themeColor="text1"/>
          <w:sz w:val="16"/>
          <w:szCs w:val="16"/>
        </w:rPr>
        <w:softHyphen/>
        <w:t>редь вооруженного 37-мм пушками», «пушки поста</w:t>
      </w:r>
      <w:r w:rsidRPr="00271E51">
        <w:rPr>
          <w:color w:val="000000" w:themeColor="text1"/>
          <w:sz w:val="16"/>
          <w:szCs w:val="16"/>
        </w:rPr>
        <w:softHyphen/>
        <w:t>вить ближе к фюзеляжу», «решить окончательно во</w:t>
      </w:r>
      <w:r w:rsidRPr="00271E51">
        <w:rPr>
          <w:color w:val="000000" w:themeColor="text1"/>
          <w:sz w:val="16"/>
          <w:szCs w:val="16"/>
        </w:rPr>
        <w:softHyphen/>
        <w:t>прос с прицелом». Поскольку «в вопросах освоения самолета, особенно молодыми летчиками, самолет имеет ряд трудностей», то считалось необходимым «летную программу увеличить на 5—8 часов на каждого летчика» (17500).</w:t>
      </w:r>
    </w:p>
    <w:p w14:paraId="07FF92C0" w14:textId="77777777" w:rsidR="00F52BDF" w:rsidRPr="00271E51" w:rsidRDefault="00F52BDF" w:rsidP="00271E51">
      <w:pPr>
        <w:pStyle w:val="12a"/>
        <w:shd w:val="clear" w:color="auto" w:fill="auto"/>
        <w:spacing w:after="0" w:line="240" w:lineRule="auto"/>
        <w:jc w:val="both"/>
        <w:rPr>
          <w:color w:val="000000" w:themeColor="text1"/>
          <w:sz w:val="16"/>
          <w:szCs w:val="16"/>
        </w:rPr>
      </w:pPr>
    </w:p>
    <w:p w14:paraId="2A95A60B" w14:textId="77777777" w:rsidR="00463BF9" w:rsidRPr="00271E51" w:rsidRDefault="00463BF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A0FC8F7" w14:textId="77777777" w:rsidR="00463BF9" w:rsidRPr="00271E51" w:rsidRDefault="00463BF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804F8" w14:textId="77777777" w:rsidR="00463BF9" w:rsidRPr="00271E51" w:rsidRDefault="00463BF9"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середине декабря 1943 года было принято решение, что будущее за 85-мм орудиями и Т-34 с увеличенной башней, а также погоном, расширенным до 1600 мм. В этих условиях у С-54 не было ни единого шанса на выживание. Увы, пушка появилась слишком поздно. Кроме того, есть большие сомнения насчет самой возможности перевооружения Т-34 на более мощные орудия. У нас промышленность таким заниматься очень не любила. История с ТНШ на Т-37А/Т-38 являлась скорее исключением из правил (22229).</w:t>
      </w:r>
    </w:p>
    <w:p w14:paraId="42137DED" w14:textId="77777777" w:rsidR="00463BF9" w:rsidRPr="00271E51" w:rsidRDefault="00463BF9" w:rsidP="00271E51">
      <w:pPr>
        <w:spacing w:after="0" w:line="240" w:lineRule="auto"/>
        <w:jc w:val="both"/>
        <w:rPr>
          <w:rFonts w:ascii="Times New Roman" w:hAnsi="Times New Roman"/>
          <w:color w:val="0070C0"/>
          <w:sz w:val="16"/>
          <w:szCs w:val="16"/>
        </w:rPr>
      </w:pPr>
    </w:p>
    <w:p w14:paraId="72AD8D4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71148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3D4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середине декабря 1943 был политически решен вопрос об аэродромах для рейсов американских челночных бомбардировщиков (1261,33).</w:t>
      </w:r>
    </w:p>
    <w:p w14:paraId="3CD616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5C56C" w14:textId="315EEC97" w:rsidR="00463BF9" w:rsidRPr="00271E51" w:rsidRDefault="00463BF9"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768AF7EB" w14:textId="77777777" w:rsidR="00463BF9" w:rsidRPr="00271E51" w:rsidRDefault="00463BF9"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1A73400" w14:textId="77777777" w:rsidR="00463BF9" w:rsidRPr="00271E51" w:rsidRDefault="00463B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середины декабря 1943, действуя с атолла Тарава, B-24 Liberators ВВС США сбросили 601 тонну (601 000 кг) бомб на Маршалловы острова (20376).</w:t>
      </w:r>
    </w:p>
    <w:p w14:paraId="2682A0FE" w14:textId="77777777" w:rsidR="00463BF9" w:rsidRPr="00271E51" w:rsidRDefault="00463BF9" w:rsidP="00271E51">
      <w:pPr>
        <w:spacing w:after="0" w:line="240" w:lineRule="auto"/>
        <w:jc w:val="both"/>
        <w:rPr>
          <w:rFonts w:ascii="Times New Roman" w:hAnsi="Times New Roman"/>
          <w:color w:val="0070C0"/>
          <w:sz w:val="16"/>
          <w:szCs w:val="16"/>
        </w:rPr>
      </w:pPr>
    </w:p>
    <w:p w14:paraId="7C39827E" w14:textId="64A3AF5A"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5500F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628D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закончились войсковые испы</w:t>
      </w:r>
      <w:r w:rsidRPr="00271E51">
        <w:rPr>
          <w:rFonts w:ascii="Times New Roman" w:hAnsi="Times New Roman"/>
          <w:color w:val="000000" w:themeColor="text1"/>
          <w:sz w:val="16"/>
          <w:szCs w:val="16"/>
        </w:rPr>
        <w:softHyphen/>
        <w:t>тания Ил-2 с двумя 37-мм авиапушка</w:t>
      </w:r>
      <w:r w:rsidRPr="00271E51">
        <w:rPr>
          <w:rFonts w:ascii="Times New Roman" w:hAnsi="Times New Roman"/>
          <w:color w:val="000000" w:themeColor="text1"/>
          <w:sz w:val="16"/>
          <w:szCs w:val="16"/>
        </w:rPr>
        <w:softHyphen/>
        <w:t>ми НС-37, которые начались 20 июля 1943 г. В общей сложности к войс</w:t>
      </w:r>
      <w:r w:rsidRPr="00271E51">
        <w:rPr>
          <w:rFonts w:ascii="Times New Roman" w:hAnsi="Times New Roman"/>
          <w:color w:val="000000" w:themeColor="text1"/>
          <w:sz w:val="16"/>
          <w:szCs w:val="16"/>
        </w:rPr>
        <w:softHyphen/>
        <w:t xml:space="preserve">ковым испытаниям привлекались 96 штурмовиков Ил-2 с НС-37 (24-й, 25-й и 26-й серий), которые в разное время поступили в части 2-го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1 -и ВА, 227-й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2-й ВА, 219-й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17-й ВА.</w:t>
      </w:r>
    </w:p>
    <w:p w14:paraId="7EDF5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Ведущим инженером войсковых ис</w:t>
      </w:r>
      <w:r w:rsidRPr="00271E51">
        <w:rPr>
          <w:rFonts w:ascii="Times New Roman" w:hAnsi="Times New Roman"/>
          <w:color w:val="000000" w:themeColor="text1"/>
          <w:sz w:val="16"/>
          <w:szCs w:val="16"/>
        </w:rPr>
        <w:softHyphen/>
        <w:t>пытаний от НИИ ВВС КА был назначен инженер-майор П.Т.Аброщенко.</w:t>
      </w:r>
    </w:p>
    <w:p w14:paraId="59AD84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Строевые летчики отмечали, что са</w:t>
      </w:r>
      <w:r w:rsidRPr="00271E51">
        <w:rPr>
          <w:rFonts w:ascii="Times New Roman" w:hAnsi="Times New Roman"/>
          <w:color w:val="000000" w:themeColor="text1"/>
          <w:sz w:val="16"/>
          <w:szCs w:val="16"/>
        </w:rPr>
        <w:softHyphen/>
        <w:t>молет Ил-2 АМ-38ф с двумя пушками НС-37, по сравнению с Ил-2, вооружен</w:t>
      </w:r>
      <w:r w:rsidRPr="00271E51">
        <w:rPr>
          <w:rFonts w:ascii="Times New Roman" w:hAnsi="Times New Roman"/>
          <w:color w:val="000000" w:themeColor="text1"/>
          <w:sz w:val="16"/>
          <w:szCs w:val="16"/>
        </w:rPr>
        <w:softHyphen/>
        <w:t>ным пушками ШВАК или ВЯ, обладает большей инертностью, ухудшенной ма</w:t>
      </w:r>
      <w:r w:rsidRPr="00271E51">
        <w:rPr>
          <w:rFonts w:ascii="Times New Roman" w:hAnsi="Times New Roman"/>
          <w:color w:val="000000" w:themeColor="text1"/>
          <w:sz w:val="16"/>
          <w:szCs w:val="16"/>
        </w:rPr>
        <w:softHyphen/>
        <w:t>невренностью и управляемостью, осо</w:t>
      </w:r>
      <w:r w:rsidRPr="00271E51">
        <w:rPr>
          <w:rFonts w:ascii="Times New Roman" w:hAnsi="Times New Roman"/>
          <w:color w:val="000000" w:themeColor="text1"/>
          <w:sz w:val="16"/>
          <w:szCs w:val="16"/>
        </w:rPr>
        <w:softHyphen/>
        <w:t>бенно на больших скоростях, заметно увеличился радиус виража, а на выводе из пикирования при скорости 340-360 км/ч наблюдалась чрезмерно большая нагрузка на рули. На планировании лет</w:t>
      </w:r>
      <w:r w:rsidRPr="00271E51">
        <w:rPr>
          <w:rFonts w:ascii="Times New Roman" w:hAnsi="Times New Roman"/>
          <w:color w:val="000000" w:themeColor="text1"/>
          <w:sz w:val="16"/>
          <w:szCs w:val="16"/>
        </w:rPr>
        <w:softHyphen/>
        <w:t>чикам приходилось держать большую скорость (200-210 км/ч при отклоненных щитках).</w:t>
      </w:r>
    </w:p>
    <w:p w14:paraId="70CCDF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Ухудшение летно-пилотажных качеств штурмовика существенно затруднило выполнение летчиками противозенитно</w:t>
      </w:r>
      <w:r w:rsidRPr="00271E51">
        <w:rPr>
          <w:rFonts w:ascii="Times New Roman" w:hAnsi="Times New Roman"/>
          <w:color w:val="000000" w:themeColor="text1"/>
          <w:sz w:val="16"/>
          <w:szCs w:val="16"/>
        </w:rPr>
        <w:softHyphen/>
        <w:t>го маневра, особенно в составе группы, усложнило условия прицеливания и уточнения наводки самолета на цель при стрельбе из пушек.</w:t>
      </w:r>
    </w:p>
    <w:p w14:paraId="7EB1A2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Возможности Ил-2 с НС-37 в воздуш</w:t>
      </w:r>
      <w:r w:rsidRPr="00271E51">
        <w:rPr>
          <w:rFonts w:ascii="Times New Roman" w:hAnsi="Times New Roman"/>
          <w:color w:val="000000" w:themeColor="text1"/>
          <w:sz w:val="16"/>
          <w:szCs w:val="16"/>
        </w:rPr>
        <w:softHyphen/>
        <w:t>ном бою с немецкими самолетами, по сравнению с обычными серийными "Илами", снизились. Строевые летчики указывали, что прикрывающая группа ис</w:t>
      </w:r>
      <w:r w:rsidRPr="00271E51">
        <w:rPr>
          <w:rFonts w:ascii="Times New Roman" w:hAnsi="Times New Roman"/>
          <w:color w:val="000000" w:themeColor="text1"/>
          <w:sz w:val="16"/>
          <w:szCs w:val="16"/>
        </w:rPr>
        <w:softHyphen/>
        <w:t>требителей должна быть увеличена в сравнении с общепринятыми нормами. Приемы же воздушного боя Ил-2 с НС-37 практически не отличались от приемов, применяемых Ил-2 с пушками ШВАК или ВЯ. Однако ввиду того, что при стрельбе из НС-37 на кабрировании резко падала скорость штурмовика, оборонительный "круг" получался более растянутым, что требовало от летчиков большей собранности и внимательности.</w:t>
      </w:r>
    </w:p>
    <w:p w14:paraId="7FACF3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Сами же пушки НС-37 зарекомендо</w:t>
      </w:r>
      <w:r w:rsidRPr="00271E51">
        <w:rPr>
          <w:rFonts w:ascii="Times New Roman" w:hAnsi="Times New Roman"/>
          <w:color w:val="000000" w:themeColor="text1"/>
          <w:sz w:val="16"/>
          <w:szCs w:val="16"/>
        </w:rPr>
        <w:softHyphen/>
        <w:t>вали себя как мощное и эффективное оружие.</w:t>
      </w:r>
    </w:p>
    <w:p w14:paraId="28F86D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Летчики 568-го </w:t>
      </w:r>
      <w:r w:rsidRPr="00271E51">
        <w:rPr>
          <w:rFonts w:ascii="Times New Roman" w:hAnsi="Times New Roman"/>
          <w:iCs/>
          <w:color w:val="000000" w:themeColor="text1"/>
          <w:sz w:val="16"/>
          <w:szCs w:val="16"/>
        </w:rPr>
        <w:t>шап</w:t>
      </w:r>
      <w:r w:rsidRPr="00271E51">
        <w:rPr>
          <w:rFonts w:ascii="Times New Roman" w:hAnsi="Times New Roman"/>
          <w:color w:val="000000" w:themeColor="text1"/>
          <w:sz w:val="16"/>
          <w:szCs w:val="16"/>
        </w:rPr>
        <w:t xml:space="preserve"> 2-го </w:t>
      </w:r>
      <w:r w:rsidRPr="00271E51">
        <w:rPr>
          <w:rFonts w:ascii="Times New Roman" w:hAnsi="Times New Roman"/>
          <w:iCs/>
          <w:color w:val="000000" w:themeColor="text1"/>
          <w:sz w:val="16"/>
          <w:szCs w:val="16"/>
        </w:rPr>
        <w:t>шак</w:t>
      </w:r>
      <w:r w:rsidRPr="00271E51">
        <w:rPr>
          <w:rFonts w:ascii="Times New Roman" w:hAnsi="Times New Roman"/>
          <w:color w:val="000000" w:themeColor="text1"/>
          <w:sz w:val="16"/>
          <w:szCs w:val="16"/>
        </w:rPr>
        <w:t xml:space="preserve"> 1 -и ВА, где проходили войсковые испытания Ил-2 с НС-37, с 15 по 26 сентября уничто</w:t>
      </w:r>
      <w:r w:rsidRPr="00271E51">
        <w:rPr>
          <w:rFonts w:ascii="Times New Roman" w:hAnsi="Times New Roman"/>
          <w:color w:val="000000" w:themeColor="text1"/>
          <w:sz w:val="16"/>
          <w:szCs w:val="16"/>
        </w:rPr>
        <w:softHyphen/>
        <w:t>жили 6 танков и САУ, 99 автомашин, 10 повозок и подавили огонь 6 батарей. Свои потери составили 3 самолета.</w:t>
      </w:r>
    </w:p>
    <w:p w14:paraId="5D8784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по войсковым испыта</w:t>
      </w:r>
      <w:r w:rsidRPr="00271E51">
        <w:rPr>
          <w:rFonts w:ascii="Times New Roman" w:hAnsi="Times New Roman"/>
          <w:color w:val="000000" w:themeColor="text1"/>
          <w:sz w:val="16"/>
          <w:szCs w:val="16"/>
        </w:rPr>
        <w:softHyphen/>
        <w:t>ниям Ил-2 с НС-37 в 17-й ВА отмеча</w:t>
      </w:r>
      <w:r w:rsidRPr="00271E51">
        <w:rPr>
          <w:rFonts w:ascii="Times New Roman" w:hAnsi="Times New Roman"/>
          <w:color w:val="000000" w:themeColor="text1"/>
          <w:sz w:val="16"/>
          <w:szCs w:val="16"/>
        </w:rPr>
        <w:softHyphen/>
        <w:t>лись случаи уничтожения танков Pz. V "Panther", а для поражения штурмового орудия StuG IV или истребителя танков Jgd Pz IV/70 было достаточно 3-х попа</w:t>
      </w:r>
      <w:r w:rsidRPr="00271E51">
        <w:rPr>
          <w:rFonts w:ascii="Times New Roman" w:hAnsi="Times New Roman"/>
          <w:color w:val="000000" w:themeColor="text1"/>
          <w:sz w:val="16"/>
          <w:szCs w:val="16"/>
        </w:rPr>
        <w:softHyphen/>
        <w:t>даний снарядов в моторную часть, где толщина брони была 17 и 20 мм соот</w:t>
      </w:r>
      <w:r w:rsidRPr="00271E51">
        <w:rPr>
          <w:rFonts w:ascii="Times New Roman" w:hAnsi="Times New Roman"/>
          <w:color w:val="000000" w:themeColor="text1"/>
          <w:sz w:val="16"/>
          <w:szCs w:val="16"/>
        </w:rPr>
        <w:softHyphen/>
        <w:t>ветственно, и т.д.</w:t>
      </w:r>
    </w:p>
    <w:p w14:paraId="32F465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Ил-2 с НС-37 при удачном стечении обстоятельств был способен успешно поражать как все средние немецкие танки этого периода, так и штурмовые орудия и истребители танков на их основе.</w:t>
      </w:r>
    </w:p>
    <w:p w14:paraId="64D818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большая сила отдачи при стрельбе из этих пушек создавала зна</w:t>
      </w:r>
      <w:r w:rsidRPr="00271E51">
        <w:rPr>
          <w:rFonts w:ascii="Times New Roman" w:hAnsi="Times New Roman"/>
          <w:color w:val="000000" w:themeColor="text1"/>
          <w:sz w:val="16"/>
          <w:szCs w:val="16"/>
        </w:rPr>
        <w:softHyphen/>
        <w:t>чительные трудности при ведении огня по точечным целям, каковыми являлись танки, САУ и т.д. как для летного соста</w:t>
      </w:r>
      <w:r w:rsidRPr="00271E51">
        <w:rPr>
          <w:rFonts w:ascii="Times New Roman" w:hAnsi="Times New Roman"/>
          <w:color w:val="000000" w:themeColor="text1"/>
          <w:sz w:val="16"/>
          <w:szCs w:val="16"/>
        </w:rPr>
        <w:softHyphen/>
        <w:t>ва, имеющего боевой опыт, так и для мо</w:t>
      </w:r>
      <w:r w:rsidRPr="00271E51">
        <w:rPr>
          <w:rFonts w:ascii="Times New Roman" w:hAnsi="Times New Roman"/>
          <w:color w:val="000000" w:themeColor="text1"/>
          <w:sz w:val="16"/>
          <w:szCs w:val="16"/>
        </w:rPr>
        <w:softHyphen/>
        <w:t>лодых летчиков, только что вставших в строй.</w:t>
      </w:r>
    </w:p>
    <w:p w14:paraId="51338F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Расчеты, основанные на результатах полигонных испытаний и анализе бое</w:t>
      </w:r>
      <w:r w:rsidRPr="00271E51">
        <w:rPr>
          <w:rFonts w:ascii="Times New Roman" w:hAnsi="Times New Roman"/>
          <w:color w:val="000000" w:themeColor="text1"/>
          <w:sz w:val="16"/>
          <w:szCs w:val="16"/>
        </w:rPr>
        <w:softHyphen/>
        <w:t>вого опыта, показывают, что хорошо под</w:t>
      </w:r>
      <w:r w:rsidRPr="00271E51">
        <w:rPr>
          <w:rFonts w:ascii="Times New Roman" w:hAnsi="Times New Roman"/>
          <w:color w:val="000000" w:themeColor="text1"/>
          <w:sz w:val="16"/>
          <w:szCs w:val="16"/>
        </w:rPr>
        <w:softHyphen/>
        <w:t>готовленный летчик-штурмовик в типо</w:t>
      </w:r>
      <w:r w:rsidRPr="00271E51">
        <w:rPr>
          <w:rFonts w:ascii="Times New Roman" w:hAnsi="Times New Roman"/>
          <w:color w:val="000000" w:themeColor="text1"/>
          <w:sz w:val="16"/>
          <w:szCs w:val="16"/>
        </w:rPr>
        <w:softHyphen/>
        <w:t>вых условиях атаки с планирования под углом 30° при стрельбе из пушек НС-37 с дистанции порядка 300-400 м мог обеспечить в одном заходе вероятность поражения среднего немецкого танка типа Pz. IV Ausf G не более 0,04-0,07, а бронетранспортера типа SdKfz 251 - не выше 0,08-0,17.</w:t>
      </w:r>
    </w:p>
    <w:p w14:paraId="421DA1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для уничтожения одной еди</w:t>
      </w:r>
      <w:r w:rsidRPr="00271E51">
        <w:rPr>
          <w:rFonts w:ascii="Times New Roman" w:hAnsi="Times New Roman"/>
          <w:color w:val="000000" w:themeColor="text1"/>
          <w:sz w:val="16"/>
          <w:szCs w:val="16"/>
        </w:rPr>
        <w:softHyphen/>
        <w:t>ницы бронетехники вермахта стрельбой из пушек НС-37 необходимо было вы</w:t>
      </w:r>
      <w:r w:rsidRPr="00271E51">
        <w:rPr>
          <w:rFonts w:ascii="Times New Roman" w:hAnsi="Times New Roman"/>
          <w:color w:val="000000" w:themeColor="text1"/>
          <w:sz w:val="16"/>
          <w:szCs w:val="16"/>
        </w:rPr>
        <w:softHyphen/>
        <w:t>делять как минимум полтора десятка бронированных "Илов" (6467).</w:t>
      </w:r>
    </w:p>
    <w:p w14:paraId="05CE1C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уменьшение нор</w:t>
      </w:r>
      <w:r w:rsidRPr="00271E51">
        <w:rPr>
          <w:rFonts w:ascii="Times New Roman" w:hAnsi="Times New Roman"/>
          <w:color w:val="000000" w:themeColor="text1"/>
          <w:sz w:val="16"/>
          <w:szCs w:val="16"/>
        </w:rPr>
        <w:softHyphen/>
        <w:t>мальной бомбовой нагрузки Ил-2 с НС-37 с 400 кг до 100 кг не компенсирова</w:t>
      </w:r>
      <w:r w:rsidRPr="00271E51">
        <w:rPr>
          <w:rFonts w:ascii="Times New Roman" w:hAnsi="Times New Roman"/>
          <w:color w:val="000000" w:themeColor="text1"/>
          <w:sz w:val="16"/>
          <w:szCs w:val="16"/>
        </w:rPr>
        <w:softHyphen/>
        <w:t>лось, при существующих условиях веде</w:t>
      </w:r>
      <w:r w:rsidRPr="00271E51">
        <w:rPr>
          <w:rFonts w:ascii="Times New Roman" w:hAnsi="Times New Roman"/>
          <w:color w:val="000000" w:themeColor="text1"/>
          <w:sz w:val="16"/>
          <w:szCs w:val="16"/>
        </w:rPr>
        <w:softHyphen/>
        <w:t>ния прицельной стрельбы в бою, увели</w:t>
      </w:r>
      <w:r w:rsidRPr="00271E51">
        <w:rPr>
          <w:rFonts w:ascii="Times New Roman" w:hAnsi="Times New Roman"/>
          <w:color w:val="000000" w:themeColor="text1"/>
          <w:sz w:val="16"/>
          <w:szCs w:val="16"/>
        </w:rPr>
        <w:softHyphen/>
        <w:t>чением мощности пушечного огня, осо</w:t>
      </w:r>
      <w:r w:rsidRPr="00271E51">
        <w:rPr>
          <w:rFonts w:ascii="Times New Roman" w:hAnsi="Times New Roman"/>
          <w:color w:val="000000" w:themeColor="text1"/>
          <w:sz w:val="16"/>
          <w:szCs w:val="16"/>
        </w:rPr>
        <w:softHyphen/>
        <w:t>бенно, в сравнении с эффектом, полу</w:t>
      </w:r>
      <w:r w:rsidRPr="00271E51">
        <w:rPr>
          <w:rFonts w:ascii="Times New Roman" w:hAnsi="Times New Roman"/>
          <w:color w:val="000000" w:themeColor="text1"/>
          <w:sz w:val="16"/>
          <w:szCs w:val="16"/>
        </w:rPr>
        <w:softHyphen/>
        <w:t xml:space="preserve">чаемым от применения противотанковых кумулятивных </w:t>
      </w:r>
      <w:r w:rsidRPr="00271E51">
        <w:rPr>
          <w:rFonts w:ascii="Times New Roman" w:hAnsi="Times New Roman"/>
          <w:color w:val="000000" w:themeColor="text1"/>
          <w:sz w:val="16"/>
          <w:szCs w:val="16"/>
        </w:rPr>
        <w:lastRenderedPageBreak/>
        <w:t>авиабомб ПТАБ-2,5-1,5.</w:t>
      </w:r>
    </w:p>
    <w:p w14:paraId="4F25E0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общему мнению летного состава, летавшего на Ил-2 с НС-37, штурмовик при атаках малоразмерных целей не имел преимуществ перед Ил-2 с пуш</w:t>
      </w:r>
      <w:r w:rsidRPr="00271E51">
        <w:rPr>
          <w:rFonts w:ascii="Times New Roman" w:hAnsi="Times New Roman"/>
          <w:color w:val="000000" w:themeColor="text1"/>
          <w:sz w:val="16"/>
          <w:szCs w:val="16"/>
        </w:rPr>
        <w:softHyphen/>
        <w:t>ками меньшего калибра (ШВАК или ВЯ) с нормальной бомбовой нагрузкой в 300-350 кг ПТАБ. В то же время, приме</w:t>
      </w:r>
      <w:r w:rsidRPr="00271E51">
        <w:rPr>
          <w:rFonts w:ascii="Times New Roman" w:hAnsi="Times New Roman"/>
          <w:color w:val="000000" w:themeColor="text1"/>
          <w:sz w:val="16"/>
          <w:szCs w:val="16"/>
        </w:rPr>
        <w:softHyphen/>
        <w:t>нение Ил-2 с НС-37 по большим пло</w:t>
      </w:r>
      <w:r w:rsidRPr="00271E51">
        <w:rPr>
          <w:rFonts w:ascii="Times New Roman" w:hAnsi="Times New Roman"/>
          <w:color w:val="000000" w:themeColor="text1"/>
          <w:sz w:val="16"/>
          <w:szCs w:val="16"/>
        </w:rPr>
        <w:softHyphen/>
        <w:t>щадным и объемным целям: складам бо</w:t>
      </w:r>
      <w:r w:rsidRPr="00271E51">
        <w:rPr>
          <w:rFonts w:ascii="Times New Roman" w:hAnsi="Times New Roman"/>
          <w:color w:val="000000" w:themeColor="text1"/>
          <w:sz w:val="16"/>
          <w:szCs w:val="16"/>
        </w:rPr>
        <w:softHyphen/>
        <w:t>еприпасов, скоплениям танков, артилле</w:t>
      </w:r>
      <w:r w:rsidRPr="00271E51">
        <w:rPr>
          <w:rFonts w:ascii="Times New Roman" w:hAnsi="Times New Roman"/>
          <w:color w:val="000000" w:themeColor="text1"/>
          <w:sz w:val="16"/>
          <w:szCs w:val="16"/>
        </w:rPr>
        <w:softHyphen/>
        <w:t>рийским и зенитным батареям, желез</w:t>
      </w:r>
      <w:r w:rsidRPr="00271E51">
        <w:rPr>
          <w:rFonts w:ascii="Times New Roman" w:hAnsi="Times New Roman"/>
          <w:color w:val="000000" w:themeColor="text1"/>
          <w:sz w:val="16"/>
          <w:szCs w:val="16"/>
        </w:rPr>
        <w:softHyphen/>
        <w:t>нодорожным эшелонам, малотоннажным судам и т.д., могло быть вполне успешным.</w:t>
      </w:r>
    </w:p>
    <w:p w14:paraId="7B1184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акта по войсковым ис</w:t>
      </w:r>
      <w:r w:rsidRPr="00271E51">
        <w:rPr>
          <w:rFonts w:ascii="Times New Roman" w:hAnsi="Times New Roman"/>
          <w:color w:val="000000" w:themeColor="text1"/>
          <w:sz w:val="16"/>
          <w:szCs w:val="16"/>
        </w:rPr>
        <w:softHyphen/>
        <w:t>пытаниям Ил-2 с АМ-38ф с пушками НС-37 указывалось, что новый штурмо</w:t>
      </w:r>
      <w:r w:rsidRPr="00271E51">
        <w:rPr>
          <w:rFonts w:ascii="Times New Roman" w:hAnsi="Times New Roman"/>
          <w:color w:val="000000" w:themeColor="text1"/>
          <w:sz w:val="16"/>
          <w:szCs w:val="16"/>
        </w:rPr>
        <w:softHyphen/>
        <w:t>вик по совокупности боевых качеств вой</w:t>
      </w:r>
      <w:r w:rsidRPr="00271E51">
        <w:rPr>
          <w:rFonts w:ascii="Times New Roman" w:hAnsi="Times New Roman"/>
          <w:color w:val="000000" w:themeColor="text1"/>
          <w:sz w:val="16"/>
          <w:szCs w:val="16"/>
        </w:rPr>
        <w:softHyphen/>
        <w:t>сковые испытания прошел неудовлетво</w:t>
      </w:r>
      <w:r w:rsidRPr="00271E51">
        <w:rPr>
          <w:rFonts w:ascii="Times New Roman" w:hAnsi="Times New Roman"/>
          <w:color w:val="000000" w:themeColor="text1"/>
          <w:sz w:val="16"/>
          <w:szCs w:val="16"/>
        </w:rPr>
        <w:softHyphen/>
        <w:t xml:space="preserve">рительно. В отчете рекомендовалось потребовать от С.В.Ильюшина, А.Э.Нудельмана и А.С.Суранова </w:t>
      </w:r>
      <w:r w:rsidRPr="00271E51">
        <w:rPr>
          <w:rFonts w:ascii="Times New Roman" w:hAnsi="Times New Roman"/>
          <w:iCs/>
          <w:color w:val="000000" w:themeColor="text1"/>
          <w:sz w:val="16"/>
          <w:szCs w:val="16"/>
        </w:rPr>
        <w:t>"установить на Ил-2 37-мм авиапушки, оснащенные дульным тормозом и в этом виде предъявить самолет на повторные вой</w:t>
      </w:r>
      <w:r w:rsidRPr="00271E51">
        <w:rPr>
          <w:rFonts w:ascii="Times New Roman" w:hAnsi="Times New Roman"/>
          <w:iCs/>
          <w:color w:val="000000" w:themeColor="text1"/>
          <w:sz w:val="16"/>
          <w:szCs w:val="16"/>
        </w:rPr>
        <w:softHyphen/>
        <w:t xml:space="preserve">сковые испытания" </w:t>
      </w:r>
      <w:r w:rsidRPr="00271E51">
        <w:rPr>
          <w:rFonts w:ascii="Times New Roman" w:hAnsi="Times New Roman"/>
          <w:color w:val="000000" w:themeColor="text1"/>
          <w:sz w:val="16"/>
          <w:szCs w:val="16"/>
        </w:rPr>
        <w:t>(6467).</w:t>
      </w:r>
    </w:p>
    <w:p w14:paraId="6A132A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проведения войсковых испытаний Ил-2 с НС-37 средний расход боекомплекта к пушкам в одном боевом вылете в рас</w:t>
      </w:r>
      <w:r w:rsidRPr="00271E51">
        <w:rPr>
          <w:rFonts w:ascii="Times New Roman" w:hAnsi="Times New Roman"/>
          <w:color w:val="000000" w:themeColor="text1"/>
          <w:sz w:val="16"/>
          <w:szCs w:val="16"/>
        </w:rPr>
        <w:softHyphen/>
        <w:t>чете на обе пушки составил 62 снаряда (60,6% от полного боекомплекта), что соответствовало средней продолжитель</w:t>
      </w:r>
      <w:r w:rsidRPr="00271E51">
        <w:rPr>
          <w:rFonts w:ascii="Times New Roman" w:hAnsi="Times New Roman"/>
          <w:color w:val="000000" w:themeColor="text1"/>
          <w:sz w:val="16"/>
          <w:szCs w:val="16"/>
        </w:rPr>
        <w:softHyphen/>
        <w:t>ности стрельбы около 6,6 сек (полное время непрерывной стрельбы пушек -11,9 сек). Разброс расхода снарядов составил от 7 до 73%. Средний расход боекомплекта к пулеметам ШКАС в од</w:t>
      </w:r>
      <w:r w:rsidRPr="00271E51">
        <w:rPr>
          <w:rFonts w:ascii="Times New Roman" w:hAnsi="Times New Roman"/>
          <w:color w:val="000000" w:themeColor="text1"/>
          <w:sz w:val="16"/>
          <w:szCs w:val="16"/>
        </w:rPr>
        <w:softHyphen/>
        <w:t>ном боевом вылете в этих же условиях составил всего 110 патронов на ствол, или 14,5% от полного боекомплекта, что соответствовало продолжительности стрельбы одного пулемета всего 3,65 сек (время непрерывной стрельбы до пол</w:t>
      </w:r>
      <w:r w:rsidRPr="00271E51">
        <w:rPr>
          <w:rFonts w:ascii="Times New Roman" w:hAnsi="Times New Roman"/>
          <w:color w:val="000000" w:themeColor="text1"/>
          <w:sz w:val="16"/>
          <w:szCs w:val="16"/>
        </w:rPr>
        <w:softHyphen/>
        <w:t>ного израсходования боекомплекта - 25 с).</w:t>
      </w:r>
    </w:p>
    <w:p w14:paraId="7C4A0B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за этот же период (по опы</w:t>
      </w:r>
      <w:r w:rsidRPr="00271E51">
        <w:rPr>
          <w:rFonts w:ascii="Times New Roman" w:hAnsi="Times New Roman"/>
          <w:color w:val="000000" w:themeColor="text1"/>
          <w:sz w:val="16"/>
          <w:szCs w:val="16"/>
        </w:rPr>
        <w:softHyphen/>
        <w:t>ту боевых действий 17-й и 8-й воздуш</w:t>
      </w:r>
      <w:r w:rsidRPr="00271E51">
        <w:rPr>
          <w:rFonts w:ascii="Times New Roman" w:hAnsi="Times New Roman"/>
          <w:color w:val="000000" w:themeColor="text1"/>
          <w:sz w:val="16"/>
          <w:szCs w:val="16"/>
        </w:rPr>
        <w:softHyphen/>
        <w:t>ных армий) средний расход боекомплек</w:t>
      </w:r>
      <w:r w:rsidRPr="00271E51">
        <w:rPr>
          <w:rFonts w:ascii="Times New Roman" w:hAnsi="Times New Roman"/>
          <w:color w:val="000000" w:themeColor="text1"/>
          <w:sz w:val="16"/>
          <w:szCs w:val="16"/>
        </w:rPr>
        <w:softHyphen/>
        <w:t>та к пушкам ШВАК и ВЯ в одном само</w:t>
      </w:r>
      <w:r w:rsidRPr="00271E51">
        <w:rPr>
          <w:rFonts w:ascii="Times New Roman" w:hAnsi="Times New Roman"/>
          <w:color w:val="000000" w:themeColor="text1"/>
          <w:sz w:val="16"/>
          <w:szCs w:val="16"/>
        </w:rPr>
        <w:softHyphen/>
        <w:t>лето-вылете штурмовиков Ил-2 соста</w:t>
      </w:r>
      <w:r w:rsidRPr="00271E51">
        <w:rPr>
          <w:rFonts w:ascii="Times New Roman" w:hAnsi="Times New Roman"/>
          <w:color w:val="000000" w:themeColor="text1"/>
          <w:sz w:val="16"/>
          <w:szCs w:val="16"/>
        </w:rPr>
        <w:softHyphen/>
        <w:t>вил 72 и 68 снарядов соответственно, или 35,7% и 45,5% от полного боеком</w:t>
      </w:r>
      <w:r w:rsidRPr="00271E51">
        <w:rPr>
          <w:rFonts w:ascii="Times New Roman" w:hAnsi="Times New Roman"/>
          <w:color w:val="000000" w:themeColor="text1"/>
          <w:sz w:val="16"/>
          <w:szCs w:val="16"/>
        </w:rPr>
        <w:softHyphen/>
        <w:t>плекта, что соответствует средней про</w:t>
      </w:r>
      <w:r w:rsidRPr="00271E51">
        <w:rPr>
          <w:rFonts w:ascii="Times New Roman" w:hAnsi="Times New Roman"/>
          <w:color w:val="000000" w:themeColor="text1"/>
          <w:sz w:val="16"/>
          <w:szCs w:val="16"/>
        </w:rPr>
        <w:softHyphen/>
        <w:t>должительности стрельбы для ШВАК -5,04 сек (время непрерывной стрельбы 15,4 сек) и для ВЯ - 6,83 сек (время непрерывной стрельбы 15 сек). Разброс расхода боекомплекта к этим пушкам составил от 18 до 83%.</w:t>
      </w:r>
    </w:p>
    <w:p w14:paraId="3FB1F8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1941 г. средний процент расхода боеприпасов к пушкам ШВАК и ВЯ в одном боевом вылете по опыту штур</w:t>
      </w:r>
      <w:r w:rsidRPr="00271E51">
        <w:rPr>
          <w:rFonts w:ascii="Times New Roman" w:hAnsi="Times New Roman"/>
          <w:color w:val="000000" w:themeColor="text1"/>
          <w:sz w:val="16"/>
          <w:szCs w:val="16"/>
        </w:rPr>
        <w:softHyphen/>
        <w:t>мовых авиаполков западного направле</w:t>
      </w:r>
      <w:r w:rsidRPr="00271E51">
        <w:rPr>
          <w:rFonts w:ascii="Times New Roman" w:hAnsi="Times New Roman"/>
          <w:color w:val="000000" w:themeColor="text1"/>
          <w:sz w:val="16"/>
          <w:szCs w:val="16"/>
        </w:rPr>
        <w:softHyphen/>
        <w:t>ния не превышал 45% боекомплекта, а к пулеметам ШКАС - не более 30%.</w:t>
      </w:r>
    </w:p>
    <w:p w14:paraId="2988DE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Малый процент использования пуле</w:t>
      </w:r>
      <w:r w:rsidRPr="00271E51">
        <w:rPr>
          <w:rFonts w:ascii="Times New Roman" w:hAnsi="Times New Roman"/>
          <w:color w:val="000000" w:themeColor="text1"/>
          <w:sz w:val="16"/>
          <w:szCs w:val="16"/>
        </w:rPr>
        <w:softHyphen/>
        <w:t>метов ШКАС и сравнительно высокий процент применения пушек указывает на то, что штурмовикам чаще всего прихо</w:t>
      </w:r>
      <w:r w:rsidRPr="00271E51">
        <w:rPr>
          <w:rFonts w:ascii="Times New Roman" w:hAnsi="Times New Roman"/>
          <w:color w:val="000000" w:themeColor="text1"/>
          <w:sz w:val="16"/>
          <w:szCs w:val="16"/>
        </w:rPr>
        <w:softHyphen/>
        <w:t>дилось действовать по целям, неуязви</w:t>
      </w:r>
      <w:r w:rsidRPr="00271E51">
        <w:rPr>
          <w:rFonts w:ascii="Times New Roman" w:hAnsi="Times New Roman"/>
          <w:color w:val="000000" w:themeColor="text1"/>
          <w:sz w:val="16"/>
          <w:szCs w:val="16"/>
        </w:rPr>
        <w:softHyphen/>
        <w:t>мым для пулеметного огня.</w:t>
      </w:r>
    </w:p>
    <w:p w14:paraId="02BE97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Расчеты, основанные на результатах полигонных испытаний и анализе бое</w:t>
      </w:r>
      <w:r w:rsidRPr="00271E51">
        <w:rPr>
          <w:rFonts w:ascii="Times New Roman" w:hAnsi="Times New Roman"/>
          <w:color w:val="000000" w:themeColor="text1"/>
          <w:sz w:val="16"/>
          <w:szCs w:val="16"/>
        </w:rPr>
        <w:softHyphen/>
        <w:t>вого опыта, показывают, что в условиях наиболее эффективной атаки наземной цели, то есть высота подхода к цели 500-700 м, угол планирования - 25-30°, даль</w:t>
      </w:r>
      <w:r w:rsidRPr="00271E51">
        <w:rPr>
          <w:rFonts w:ascii="Times New Roman" w:hAnsi="Times New Roman"/>
          <w:color w:val="000000" w:themeColor="text1"/>
          <w:sz w:val="16"/>
          <w:szCs w:val="16"/>
        </w:rPr>
        <w:softHyphen/>
        <w:t>ность открытия огня 300-500 м, боекомп</w:t>
      </w:r>
      <w:r w:rsidRPr="00271E51">
        <w:rPr>
          <w:rFonts w:ascii="Times New Roman" w:hAnsi="Times New Roman"/>
          <w:color w:val="000000" w:themeColor="text1"/>
          <w:sz w:val="16"/>
          <w:szCs w:val="16"/>
        </w:rPr>
        <w:softHyphen/>
        <w:t>лект к пушкам штурмовика Ил-2 при оптимальном его расходовании обеспе</w:t>
      </w:r>
      <w:r w:rsidRPr="00271E51">
        <w:rPr>
          <w:rFonts w:ascii="Times New Roman" w:hAnsi="Times New Roman"/>
          <w:color w:val="000000" w:themeColor="text1"/>
          <w:sz w:val="16"/>
          <w:szCs w:val="16"/>
        </w:rPr>
        <w:softHyphen/>
        <w:t>чивал производство (с учетом 15% ос</w:t>
      </w:r>
      <w:r w:rsidRPr="00271E51">
        <w:rPr>
          <w:rFonts w:ascii="Times New Roman" w:hAnsi="Times New Roman"/>
          <w:color w:val="000000" w:themeColor="text1"/>
          <w:sz w:val="16"/>
          <w:szCs w:val="16"/>
        </w:rPr>
        <w:softHyphen/>
        <w:t>татка боезапаса на обратный полет до своего аэродрома, как того требовали инструкции) 5-6 прицельных заходов, а боекомплект к пулеметам ШКАС - 6-9 заходов. Летчики же в этот период вой</w:t>
      </w:r>
      <w:r w:rsidRPr="00271E51">
        <w:rPr>
          <w:rFonts w:ascii="Times New Roman" w:hAnsi="Times New Roman"/>
          <w:color w:val="000000" w:themeColor="text1"/>
          <w:sz w:val="16"/>
          <w:szCs w:val="16"/>
        </w:rPr>
        <w:softHyphen/>
        <w:t>ны, как известно, в большинстве случаев производили в среднем 3 захода. На</w:t>
      </w:r>
      <w:r w:rsidRPr="00271E51">
        <w:rPr>
          <w:rFonts w:ascii="Times New Roman" w:hAnsi="Times New Roman"/>
          <w:color w:val="000000" w:themeColor="text1"/>
          <w:sz w:val="16"/>
          <w:szCs w:val="16"/>
        </w:rPr>
        <w:softHyphen/>
        <w:t xml:space="preserve">пример, в </w:t>
      </w:r>
      <w:r w:rsidRPr="00271E51">
        <w:rPr>
          <w:rFonts w:ascii="Times New Roman" w:hAnsi="Times New Roman"/>
          <w:iCs/>
          <w:color w:val="000000" w:themeColor="text1"/>
          <w:sz w:val="16"/>
          <w:szCs w:val="16"/>
        </w:rPr>
        <w:t>277-и шад</w:t>
      </w:r>
      <w:r w:rsidRPr="00271E51">
        <w:rPr>
          <w:rFonts w:ascii="Times New Roman" w:hAnsi="Times New Roman"/>
          <w:color w:val="000000" w:themeColor="text1"/>
          <w:sz w:val="16"/>
          <w:szCs w:val="16"/>
        </w:rPr>
        <w:t xml:space="preserve"> в январе 1943 г. в среднем делалось 2-3 захода на цель (разброс от 1 до 6 заходов), летчики 5-й ВА в марте 43-го выполняли 2-4 захода на цель, а летчики 8-й ВА в декабре этого же года производили от 1 до 4 заходов на цель.</w:t>
      </w:r>
    </w:p>
    <w:p w14:paraId="64C782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 есть размер боекомплекта и со</w:t>
      </w:r>
      <w:r w:rsidRPr="00271E51">
        <w:rPr>
          <w:rFonts w:ascii="Times New Roman" w:hAnsi="Times New Roman"/>
          <w:color w:val="000000" w:themeColor="text1"/>
          <w:sz w:val="16"/>
          <w:szCs w:val="16"/>
        </w:rPr>
        <w:softHyphen/>
        <w:t>став стрелково-пушечного вооружения Ил-2 не соответствовал условиям бое</w:t>
      </w:r>
      <w:r w:rsidRPr="00271E51">
        <w:rPr>
          <w:rFonts w:ascii="Times New Roman" w:hAnsi="Times New Roman"/>
          <w:color w:val="000000" w:themeColor="text1"/>
          <w:sz w:val="16"/>
          <w:szCs w:val="16"/>
        </w:rPr>
        <w:softHyphen/>
        <w:t>вого применения штурмовика на советско-германском фронте. Налицо явная ошибка заказывающих органов ВВС КА.</w:t>
      </w:r>
    </w:p>
    <w:p w14:paraId="54EB7F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Простейшие оценки показывают, что, не ухудшая летных свойств Ил-2, вполне можно было бы за счет снятия пулеме</w:t>
      </w:r>
      <w:r w:rsidRPr="00271E51">
        <w:rPr>
          <w:rFonts w:ascii="Times New Roman" w:hAnsi="Times New Roman"/>
          <w:color w:val="000000" w:themeColor="text1"/>
          <w:sz w:val="16"/>
          <w:szCs w:val="16"/>
        </w:rPr>
        <w:softHyphen/>
        <w:t>тов и уменьшения боекомплекта к пуш</w:t>
      </w:r>
      <w:r w:rsidRPr="00271E51">
        <w:rPr>
          <w:rFonts w:ascii="Times New Roman" w:hAnsi="Times New Roman"/>
          <w:color w:val="000000" w:themeColor="text1"/>
          <w:sz w:val="16"/>
          <w:szCs w:val="16"/>
        </w:rPr>
        <w:softHyphen/>
        <w:t>кам увеличить число пушечных стволов до четырех. Это позволило бы увели</w:t>
      </w:r>
      <w:r w:rsidRPr="00271E51">
        <w:rPr>
          <w:rFonts w:ascii="Times New Roman" w:hAnsi="Times New Roman"/>
          <w:color w:val="000000" w:themeColor="text1"/>
          <w:sz w:val="16"/>
          <w:szCs w:val="16"/>
        </w:rPr>
        <w:softHyphen/>
        <w:t>чить вес секундного залпа штурмовика и, как следствие, вероятность поражения наземной цели в одном заходе.</w:t>
      </w:r>
    </w:p>
    <w:p w14:paraId="6980C1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установка на Ил-2 двух пушек ШВАК и двух пушек ВЯ увеличивало вероятность поражения в одном заходе легкобронированных и неброни</w:t>
      </w:r>
      <w:r w:rsidRPr="00271E51">
        <w:rPr>
          <w:rFonts w:ascii="Times New Roman" w:hAnsi="Times New Roman"/>
          <w:color w:val="000000" w:themeColor="text1"/>
          <w:sz w:val="16"/>
          <w:szCs w:val="16"/>
        </w:rPr>
        <w:softHyphen/>
        <w:t>рованных наземных целей вермахта в среднем в 2,15 раза по сравнению с "Илом", вооруженным пушками ШВАК, в 1,4 раза по сравнению с Ил-2 с ВЯ и в 3,4 раза по сравнению с Ил-2 с НС-37. При этом вес всего пушечного воору</w:t>
      </w:r>
      <w:r w:rsidRPr="00271E51">
        <w:rPr>
          <w:rFonts w:ascii="Times New Roman" w:hAnsi="Times New Roman"/>
          <w:color w:val="000000" w:themeColor="text1"/>
          <w:sz w:val="16"/>
          <w:szCs w:val="16"/>
        </w:rPr>
        <w:softHyphen/>
        <w:t>жения на штурмовике (пушки, снаряды и пушечные установки на самолете) не превысил бы 380 кг (нормальный вес стрелково-пушечного вооружения Ил-2 с пушками ВЯ), а боекомплекта к пуш</w:t>
      </w:r>
      <w:r w:rsidRPr="00271E51">
        <w:rPr>
          <w:rFonts w:ascii="Times New Roman" w:hAnsi="Times New Roman"/>
          <w:color w:val="000000" w:themeColor="text1"/>
          <w:sz w:val="16"/>
          <w:szCs w:val="16"/>
        </w:rPr>
        <w:softHyphen/>
        <w:t>кам (328 снарядов к пушкам ШВАК и 96 снарядов к пушкам ВЯ) вполне хватило бы (с учетом 15% остатка на обратный путь) для выполнения 3-4 заходов на цель. В этом случае одиночный Ил-2, пилотируемый летчиком-штурмовиком, имеющим хорошую летную и стрелко</w:t>
      </w:r>
      <w:r w:rsidRPr="00271E51">
        <w:rPr>
          <w:rFonts w:ascii="Times New Roman" w:hAnsi="Times New Roman"/>
          <w:color w:val="000000" w:themeColor="text1"/>
          <w:sz w:val="16"/>
          <w:szCs w:val="16"/>
        </w:rPr>
        <w:softHyphen/>
        <w:t>вую подготовку, с планирования под уг</w:t>
      </w:r>
      <w:r w:rsidRPr="00271E51">
        <w:rPr>
          <w:rFonts w:ascii="Times New Roman" w:hAnsi="Times New Roman"/>
          <w:color w:val="000000" w:themeColor="text1"/>
          <w:sz w:val="16"/>
          <w:szCs w:val="16"/>
        </w:rPr>
        <w:softHyphen/>
        <w:t>лом 30° при дистанции открытия огня в каждом заходе около 300 м, гарантиро</w:t>
      </w:r>
      <w:r w:rsidRPr="00271E51">
        <w:rPr>
          <w:rFonts w:ascii="Times New Roman" w:hAnsi="Times New Roman"/>
          <w:color w:val="000000" w:themeColor="text1"/>
          <w:sz w:val="16"/>
          <w:szCs w:val="16"/>
        </w:rPr>
        <w:softHyphen/>
        <w:t>ванно поражал один немецкий бронет</w:t>
      </w:r>
      <w:r w:rsidRPr="00271E51">
        <w:rPr>
          <w:rFonts w:ascii="Times New Roman" w:hAnsi="Times New Roman"/>
          <w:color w:val="000000" w:themeColor="text1"/>
          <w:sz w:val="16"/>
          <w:szCs w:val="16"/>
        </w:rPr>
        <w:softHyphen/>
        <w:t>ранспортер SdKfz 251. Самолет типа Не111 Н на аэродроме и автобензоцис</w:t>
      </w:r>
      <w:r w:rsidRPr="00271E51">
        <w:rPr>
          <w:rFonts w:ascii="Times New Roman" w:hAnsi="Times New Roman"/>
          <w:color w:val="000000" w:themeColor="text1"/>
          <w:sz w:val="16"/>
          <w:szCs w:val="16"/>
        </w:rPr>
        <w:softHyphen/>
        <w:t>терна поражались одиночным Ил-2 с усиленным подобным образом составом вооружения уже в первом заходе, а па</w:t>
      </w:r>
      <w:r w:rsidRPr="00271E51">
        <w:rPr>
          <w:rFonts w:ascii="Times New Roman" w:hAnsi="Times New Roman"/>
          <w:color w:val="000000" w:themeColor="text1"/>
          <w:sz w:val="16"/>
          <w:szCs w:val="16"/>
        </w:rPr>
        <w:softHyphen/>
        <w:t>ровоз - с вероятностью 0,73. Вероят</w:t>
      </w:r>
      <w:r w:rsidRPr="00271E51">
        <w:rPr>
          <w:rFonts w:ascii="Times New Roman" w:hAnsi="Times New Roman"/>
          <w:color w:val="000000" w:themeColor="text1"/>
          <w:sz w:val="16"/>
          <w:szCs w:val="16"/>
        </w:rPr>
        <w:softHyphen/>
        <w:t>ность поражения легких танков панцер-ваффе оставалась практически на пре</w:t>
      </w:r>
      <w:r w:rsidRPr="00271E51">
        <w:rPr>
          <w:rFonts w:ascii="Times New Roman" w:hAnsi="Times New Roman"/>
          <w:color w:val="000000" w:themeColor="text1"/>
          <w:sz w:val="16"/>
          <w:szCs w:val="16"/>
        </w:rPr>
        <w:softHyphen/>
        <w:t>жнем уровне.</w:t>
      </w:r>
    </w:p>
    <w:p w14:paraId="0B952B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такие же результаты мож</w:t>
      </w:r>
      <w:r w:rsidRPr="00271E51">
        <w:rPr>
          <w:rFonts w:ascii="Times New Roman" w:hAnsi="Times New Roman"/>
          <w:color w:val="000000" w:themeColor="text1"/>
          <w:sz w:val="16"/>
          <w:szCs w:val="16"/>
        </w:rPr>
        <w:softHyphen/>
        <w:t>но было бы достичь при установке на Ил-2 четырех пушек ШВАК с боезапа</w:t>
      </w:r>
      <w:r w:rsidRPr="00271E51">
        <w:rPr>
          <w:rFonts w:ascii="Times New Roman" w:hAnsi="Times New Roman"/>
          <w:color w:val="000000" w:themeColor="text1"/>
          <w:sz w:val="16"/>
          <w:szCs w:val="16"/>
        </w:rPr>
        <w:softHyphen/>
        <w:t>сом по 218 снарядов на ствол. Возмож</w:t>
      </w:r>
      <w:r w:rsidRPr="00271E51">
        <w:rPr>
          <w:rFonts w:ascii="Times New Roman" w:hAnsi="Times New Roman"/>
          <w:color w:val="000000" w:themeColor="text1"/>
          <w:sz w:val="16"/>
          <w:szCs w:val="16"/>
        </w:rPr>
        <w:softHyphen/>
        <w:t>ное число заходов в этом случае увели</w:t>
      </w:r>
      <w:r w:rsidRPr="00271E51">
        <w:rPr>
          <w:rFonts w:ascii="Times New Roman" w:hAnsi="Times New Roman"/>
          <w:color w:val="000000" w:themeColor="text1"/>
          <w:sz w:val="16"/>
          <w:szCs w:val="16"/>
        </w:rPr>
        <w:softHyphen/>
        <w:t>чивалось до 6-7, однако, исключалось поражение легких танков вермахта.</w:t>
      </w:r>
    </w:p>
    <w:p w14:paraId="74B978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специалисты ВВС КА ни до войны, ни во время войны так и не удосужились должным образом провес</w:t>
      </w:r>
      <w:r w:rsidRPr="00271E51">
        <w:rPr>
          <w:rFonts w:ascii="Times New Roman" w:hAnsi="Times New Roman"/>
          <w:color w:val="000000" w:themeColor="text1"/>
          <w:sz w:val="16"/>
          <w:szCs w:val="16"/>
        </w:rPr>
        <w:softHyphen/>
        <w:t>ти анализ эффективности действия по типовым наземным целям различных составов стрелково-пушечного вооруже</w:t>
      </w:r>
      <w:r w:rsidRPr="00271E51">
        <w:rPr>
          <w:rFonts w:ascii="Times New Roman" w:hAnsi="Times New Roman"/>
          <w:color w:val="000000" w:themeColor="text1"/>
          <w:sz w:val="16"/>
          <w:szCs w:val="16"/>
        </w:rPr>
        <w:softHyphen/>
        <w:t>ния перспективного самолета-штурмо</w:t>
      </w:r>
      <w:r w:rsidRPr="00271E51">
        <w:rPr>
          <w:rFonts w:ascii="Times New Roman" w:hAnsi="Times New Roman"/>
          <w:color w:val="000000" w:themeColor="text1"/>
          <w:sz w:val="16"/>
          <w:szCs w:val="16"/>
        </w:rPr>
        <w:softHyphen/>
        <w:t>вика с целью определения оптималь</w:t>
      </w:r>
      <w:r w:rsidRPr="00271E51">
        <w:rPr>
          <w:rFonts w:ascii="Times New Roman" w:hAnsi="Times New Roman"/>
          <w:color w:val="000000" w:themeColor="text1"/>
          <w:sz w:val="16"/>
          <w:szCs w:val="16"/>
        </w:rPr>
        <w:softHyphen/>
        <w:t>ного состава вооружения, размера бое</w:t>
      </w:r>
      <w:r w:rsidRPr="00271E51">
        <w:rPr>
          <w:rFonts w:ascii="Times New Roman" w:hAnsi="Times New Roman"/>
          <w:color w:val="000000" w:themeColor="text1"/>
          <w:sz w:val="16"/>
          <w:szCs w:val="16"/>
        </w:rPr>
        <w:softHyphen/>
        <w:t>комплекта и размещения вооружения на штурмовике...(6467).</w:t>
      </w:r>
    </w:p>
    <w:p w14:paraId="0A5621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EFA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закончились широкие войсковые Ил-2 с НС-37 - на 1-м Украинском, начатые 20 июля 1943 (177,304).</w:t>
      </w:r>
    </w:p>
    <w:p w14:paraId="47BBDB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565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Нач. ЛИИ направил в НКАП А.И.Ш. с письмом N 758с Отчет об основных работах ЛИИ, проведенных за ноябрь 1943:</w:t>
      </w:r>
    </w:p>
    <w:p w14:paraId="71A8C8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ЯК-9.</w:t>
      </w:r>
    </w:p>
    <w:p w14:paraId="731FB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ЯК-9.</w:t>
      </w:r>
    </w:p>
    <w:p w14:paraId="226AFD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самолета ЯК-9Д N 0818 производства завода N 153 ноябрьского выпуска.</w:t>
      </w:r>
    </w:p>
    <w:p w14:paraId="7D86F3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39EE6D8" w14:textId="77777777" w:rsidTr="00ED5B0A">
        <w:tc>
          <w:tcPr>
            <w:tcW w:w="5636" w:type="dxa"/>
          </w:tcPr>
          <w:p w14:paraId="3D2786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3062A6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537 км/час</w:t>
            </w:r>
          </w:p>
        </w:tc>
      </w:tr>
      <w:tr w:rsidR="00A907A5" w:rsidRPr="00271E51" w14:paraId="3333AD71" w14:textId="77777777" w:rsidTr="00ED5B0A">
        <w:tc>
          <w:tcPr>
            <w:tcW w:w="5636" w:type="dxa"/>
          </w:tcPr>
          <w:p w14:paraId="120AD8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451E37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54CF80" w14:textId="77777777" w:rsidTr="00ED5B0A">
        <w:tc>
          <w:tcPr>
            <w:tcW w:w="5636" w:type="dxa"/>
          </w:tcPr>
          <w:p w14:paraId="6091A4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(Н=3800 м)</w:t>
            </w:r>
          </w:p>
        </w:tc>
        <w:tc>
          <w:tcPr>
            <w:tcW w:w="5636" w:type="dxa"/>
          </w:tcPr>
          <w:p w14:paraId="4E5595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 км/час</w:t>
            </w:r>
          </w:p>
        </w:tc>
      </w:tr>
      <w:tr w:rsidR="00A907A5" w:rsidRPr="00271E51" w14:paraId="686C5F2E" w14:textId="77777777" w:rsidTr="00ED5B0A">
        <w:tc>
          <w:tcPr>
            <w:tcW w:w="5636" w:type="dxa"/>
          </w:tcPr>
          <w:p w14:paraId="04A93B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6B564A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мин.</w:t>
            </w:r>
          </w:p>
        </w:tc>
      </w:tr>
    </w:tbl>
    <w:p w14:paraId="208C5C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ЯК-7.</w:t>
      </w:r>
    </w:p>
    <w:p w14:paraId="43C0A1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серийных самолетов ЯК-7.</w:t>
      </w:r>
    </w:p>
    <w:p w14:paraId="500432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летные испытания самолета ЯК-7Б N 52 производства завода N 153 выпуска октября.</w:t>
      </w:r>
    </w:p>
    <w:p w14:paraId="4C0FD3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80DB64F" w14:textId="77777777" w:rsidTr="00ED5B0A">
        <w:tc>
          <w:tcPr>
            <w:tcW w:w="5636" w:type="dxa"/>
          </w:tcPr>
          <w:p w14:paraId="1642BB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192FC1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522 км/час</w:t>
            </w:r>
          </w:p>
        </w:tc>
      </w:tr>
      <w:tr w:rsidR="00A907A5" w:rsidRPr="00271E51" w14:paraId="5EB500B8" w14:textId="77777777" w:rsidTr="00ED5B0A">
        <w:tc>
          <w:tcPr>
            <w:tcW w:w="5636" w:type="dxa"/>
          </w:tcPr>
          <w:p w14:paraId="2117E3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2-й</w:t>
            </w:r>
          </w:p>
        </w:tc>
        <w:tc>
          <w:tcPr>
            <w:tcW w:w="5636" w:type="dxa"/>
          </w:tcPr>
          <w:p w14:paraId="2C7D51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526DA9" w14:textId="77777777" w:rsidTr="00ED5B0A">
        <w:tc>
          <w:tcPr>
            <w:tcW w:w="5636" w:type="dxa"/>
          </w:tcPr>
          <w:p w14:paraId="60E97C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(Н=4100 м)</w:t>
            </w:r>
          </w:p>
        </w:tc>
        <w:tc>
          <w:tcPr>
            <w:tcW w:w="5636" w:type="dxa"/>
          </w:tcPr>
          <w:p w14:paraId="78682B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593 км/час</w:t>
            </w:r>
          </w:p>
        </w:tc>
      </w:tr>
      <w:tr w:rsidR="00A907A5" w:rsidRPr="00271E51" w14:paraId="53C6F4B3" w14:textId="77777777" w:rsidTr="00ED5B0A">
        <w:tc>
          <w:tcPr>
            <w:tcW w:w="5636" w:type="dxa"/>
          </w:tcPr>
          <w:p w14:paraId="2845BE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5636" w:type="dxa"/>
          </w:tcPr>
          <w:p w14:paraId="16B90A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 мин.</w:t>
            </w:r>
          </w:p>
        </w:tc>
      </w:tr>
    </w:tbl>
    <w:p w14:paraId="12A646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Пе-2.</w:t>
      </w:r>
    </w:p>
    <w:p w14:paraId="0FFAD7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Пе-2 N 19/205, модифицированного ЦАГИ.</w:t>
      </w:r>
    </w:p>
    <w:p w14:paraId="252AED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Закончен первый этап летных испытаний самолета Пе-2, модифицированного ЦАГИ. Самолет испытывался с серийными винтами ВИШ-61П, Д=3,0 м.</w:t>
      </w:r>
    </w:p>
    <w:p w14:paraId="7AEE94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изменения, внесенные ЦАГИ при модификации самолета:</w:t>
      </w:r>
    </w:p>
    <w:p w14:paraId="2DD5C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Изменена система охлаждения воды (увеличен на 36% фронт водяных радиаторов, изменены - форма входного сечения, профилировка туннеля и заслонка на выходе из туннеля).</w:t>
      </w:r>
    </w:p>
    <w:p w14:paraId="7C7B18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Изменена форма и месторасположения всасывающих патрубков (всасывающий патрубок расположен в общем туннеле с маслорадиатором).</w:t>
      </w:r>
    </w:p>
    <w:p w14:paraId="195939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связи с изменением месторасположения всасывающего патрубка изменена форма масляного радиатора.</w:t>
      </w:r>
    </w:p>
    <w:p w14:paraId="0EF14E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Изменена конструкция верхней, задней крышки капота мотора.</w:t>
      </w:r>
    </w:p>
    <w:p w14:paraId="5A67E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Изменена форма коков винтов.</w:t>
      </w:r>
    </w:p>
    <w:p w14:paraId="5FFEE8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Улучшены внешние формы установки Торопова и ее сопряжения с фюзеляжем.</w:t>
      </w:r>
    </w:p>
    <w:p w14:paraId="512518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Снята рамка РПК.</w:t>
      </w:r>
    </w:p>
    <w:p w14:paraId="1721CD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Проведен ряд мероприятий по дополнительной герметизации самолета.</w:t>
      </w:r>
    </w:p>
    <w:p w14:paraId="06CD53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Поверхность крыла выправлена нитрошпатлевкой. Передняя треть хорды крыла отполирована. Весь самолет заново окрашен.</w:t>
      </w:r>
    </w:p>
    <w:p w14:paraId="0E1375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результате летных испытаний получено:</w:t>
      </w:r>
    </w:p>
    <w:p w14:paraId="1B99F2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Максимальная горизонтальная скорость самолета на второй границе высотности Н=3650 м равна 543 км/час.</w:t>
      </w:r>
    </w:p>
    <w:p w14:paraId="7BEC08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сравнению с серийным самолетом N 19/205 максимальная скорость возросла на 22 км/час.</w:t>
      </w:r>
    </w:p>
    <w:p w14:paraId="291A8E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результате испытаний выявлена необходимость производственных доделок системы всасывания.</w:t>
      </w:r>
    </w:p>
    <w:p w14:paraId="7ADE1D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20/ХI по решению ЦАГИ испытания приостановлены. ЦАГИ вносит на самолет дополнительные изменения по системе всасывания и устанавливает новые винты диаметром Д=2,8 м.</w:t>
      </w:r>
    </w:p>
    <w:p w14:paraId="362B7D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самолета Пе-2 с различной степенью жесткости проводки управления рулем.</w:t>
      </w:r>
    </w:p>
    <w:p w14:paraId="3D85DA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заданию ЦАГИ проведены испытания самолета Пе-2 с целью оценки влияния жесткости проводки управления рулем на управляемость и маневренность.</w:t>
      </w:r>
    </w:p>
    <w:p w14:paraId="530AB7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Жесткость проводки изменилась при помощи установки в тягах управления пружин конструкции ЦАГИ с различными коэффициентами упругости.</w:t>
      </w:r>
    </w:p>
    <w:p w14:paraId="5D2147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установлено, что произведенные изменения степени жесткости проводки управления не улучшили эксплуатационных качеств самолета.</w:t>
      </w:r>
    </w:p>
    <w:p w14:paraId="60B68A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Материалы испытаний переданы ЦАГИ.</w:t>
      </w:r>
    </w:p>
    <w:p w14:paraId="55DE23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механизма винтов ВИШ-61П 10 серии на самолете Пе-2.</w:t>
      </w:r>
    </w:p>
    <w:p w14:paraId="45F853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проведенных испытаний получено, что:</w:t>
      </w:r>
    </w:p>
    <w:p w14:paraId="62AC4E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Механизм винтов ВИШ-61П 10 серии при дачах газа в горизонтальном полете и планирования на пикированиях с газом и без газа и на виражах работает нормально.</w:t>
      </w:r>
    </w:p>
    <w:p w14:paraId="074B91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После набора высоты на 8300 м, на которой температура воздуха была равна минус 42 градуса, механизм винтов вследствие замерзания масла отказал в работе.</w:t>
      </w:r>
    </w:p>
    <w:p w14:paraId="790AC3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При отказе одного из моторов, полет на одном моторе с убранными шасси возможен на следующих режимах: на второй скорости нагнетателя вблизи границы высотности на скорости 260-270 км/час по прибору, а вблизи первой границы высотности - на скорости 260-312 км/час при полетном весе 7700 кг, при оборотах работающего мотора равных 2600 об/мин.</w:t>
      </w:r>
    </w:p>
    <w:p w14:paraId="2CFAE7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ВИШ-61П 10 серии для эксплуатации в боевых частях ВВС, впредь до устранения замерзаемости механизма винтов при низких температурах, рекомендовать нельзя.</w:t>
      </w:r>
    </w:p>
    <w:p w14:paraId="3095F0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клапана Э-1 конструкции ЦИАМ на самолете Пе-2.</w:t>
      </w:r>
    </w:p>
    <w:p w14:paraId="0327CC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полете с отрицательными перегрузками происходит отлив масла от всасывающего штуцера масляного бака. При этом подача масла к масляной помпе прекращается и давление масла в моторе падает до нуля.</w:t>
      </w:r>
    </w:p>
    <w:p w14:paraId="28E82A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бесперебойной подачи масла к масляной помпе мотора, ЦИАМ предложил применить специальный клапан Э-1, который в зависимости от перегрузок должен соединять помпу с нижней или верхней полостями масляного бака. Испытания этого клапана на самолете Пе-2 дали неудовлетворительные результаты.</w:t>
      </w:r>
    </w:p>
    <w:p w14:paraId="6DB6A8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Предъявленный к испытанию клапан Э-1 не обеспечивает питания помпы мотора и не может быть рекомендован к применению.</w:t>
      </w:r>
    </w:p>
    <w:p w14:paraId="135B64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p w14:paraId="343AD7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эталонного модифицированного самолета Ил-2.</w:t>
      </w:r>
    </w:p>
    <w:p w14:paraId="505C8F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Произведено несколько полетов на самолете Ил-2, модернизированном 30 заводом.</w:t>
      </w:r>
    </w:p>
    <w:p w14:paraId="09F9A1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следующие данные:</w:t>
      </w:r>
    </w:p>
    <w:p w14:paraId="48B865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- 409 км/час</w:t>
      </w:r>
    </w:p>
    <w:p w14:paraId="650F96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Температура масла на выходе из</w:t>
      </w:r>
    </w:p>
    <w:p w14:paraId="2200C9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мотора в горизонтальном полете,</w:t>
      </w:r>
    </w:p>
    <w:p w14:paraId="133AA5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приведенная к расчетным</w:t>
      </w:r>
    </w:p>
    <w:p w14:paraId="4BF26E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атмосферным условиям выше</w:t>
      </w:r>
    </w:p>
    <w:p w14:paraId="2E8B0A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предельно-допустимой 115</w:t>
      </w:r>
    </w:p>
    <w:p w14:paraId="27266A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градусов Ц и равна - 121 градус Ц</w:t>
      </w:r>
    </w:p>
    <w:p w14:paraId="07D6DC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Температура воды</w:t>
      </w:r>
    </w:p>
    <w:p w14:paraId="58CFD4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находится в пределах</w:t>
      </w:r>
    </w:p>
    <w:p w14:paraId="381C71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допустимых норм.</w:t>
      </w:r>
    </w:p>
    <w:p w14:paraId="362E21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выяснения причин высокой температуры масла в первую очередь будут выполнены полеты с другим маслорадиатором.</w:t>
      </w:r>
    </w:p>
    <w:p w14:paraId="22D4F6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продолжается.</w:t>
      </w:r>
    </w:p>
    <w:p w14:paraId="5F0D95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Ту-2.</w:t>
      </w:r>
    </w:p>
    <w:p w14:paraId="2722C2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самолета Ту-2 с моторами М-82ФН различной редукции.</w:t>
      </w:r>
    </w:p>
    <w:p w14:paraId="7B7CB5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Ту-2 с винтами АВ-5-118А (диаметром 3,2 м) и мотором с редукцией 11:16. Испытания самолета проводились при нормальном весе 10500 кг.</w:t>
      </w:r>
    </w:p>
    <w:p w14:paraId="7A39FB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Получены следующие результаты:</w:t>
      </w:r>
    </w:p>
    <w:p w14:paraId="1D705B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винтами АВ-5-118А и редукцией 11:16 по сравнению с винтами АВ-5-167А и редукцией 9:16.</w:t>
      </w:r>
    </w:p>
    <w:p w14:paraId="7A694C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Максимальная скорость на второй границе высотности осталась неизменной.</w:t>
      </w:r>
    </w:p>
    <w:p w14:paraId="3498DD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Максимальная скорость у земли и на первой границе высотности при давлении наддува, равном 1180 мм рт. ст. и оборотах моторов 2500 об/мин. увеличилась на 5 км/час.</w:t>
      </w:r>
    </w:p>
    <w:p w14:paraId="678109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Время набора высоты 5000 м увеличилось на 0,6 минуты, т.е. на 7% (9 минут вместо 8,4 мин.).</w:t>
      </w:r>
    </w:p>
    <w:p w14:paraId="5C6247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Взлетные свойства значительно ухудшились: длина разбега увеличилась на 160 м, т.е. на 35% (600 метров вместо 440 м), а взлетная дистанция (расстояние от старта до препятствия высотой 25 м) увеличилась на 300 метров, т.е. 30% (1350 м вместо 1050 м).</w:t>
      </w:r>
    </w:p>
    <w:p w14:paraId="415748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полетном весе 11400 кг длина разбега получилась равной 740 м, а взлетная дистанция 1660 м.</w:t>
      </w:r>
    </w:p>
    <w:p w14:paraId="4C810D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Т.к. при предельно-полетном весе самолета, равном 13400 кг следует ожидать длину разбега не менее 1100 м, винты АВ-5-118А не могут быть рекомендованы.</w:t>
      </w:r>
    </w:p>
    <w:p w14:paraId="0DE54F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продолжается с 4-х лопастными винтами АВ-9-118А на моторах М-82ФН с редукцией 11:16.</w:t>
      </w:r>
    </w:p>
    <w:p w14:paraId="311FFF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Ли-2.</w:t>
      </w:r>
    </w:p>
    <w:p w14:paraId="339FC3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самолета Ли-2.</w:t>
      </w:r>
    </w:p>
    <w:p w14:paraId="131035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проведенных испытаний самолета Ли-2 завода N 84 выпуска августа 1943 года в транспортном варианте с весом 10500 кг получены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56C311A0" w14:textId="77777777" w:rsidTr="00ED5B0A">
        <w:tc>
          <w:tcPr>
            <w:tcW w:w="5636" w:type="dxa"/>
          </w:tcPr>
          <w:p w14:paraId="6FF35F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w:t>
            </w:r>
          </w:p>
        </w:tc>
        <w:tc>
          <w:tcPr>
            <w:tcW w:w="5636" w:type="dxa"/>
          </w:tcPr>
          <w:p w14:paraId="6690A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291 км/час</w:t>
            </w:r>
          </w:p>
        </w:tc>
      </w:tr>
      <w:tr w:rsidR="00A907A5" w:rsidRPr="00271E51" w14:paraId="233FDE1E" w14:textId="77777777" w:rsidTr="00ED5B0A">
        <w:tc>
          <w:tcPr>
            <w:tcW w:w="5636" w:type="dxa"/>
          </w:tcPr>
          <w:p w14:paraId="148812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w:t>
            </w:r>
          </w:p>
        </w:tc>
        <w:tc>
          <w:tcPr>
            <w:tcW w:w="5636" w:type="dxa"/>
          </w:tcPr>
          <w:p w14:paraId="433D57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BBA8B0" w14:textId="77777777" w:rsidTr="00ED5B0A">
        <w:tc>
          <w:tcPr>
            <w:tcW w:w="5636" w:type="dxa"/>
          </w:tcPr>
          <w:p w14:paraId="6438D8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границе высотности (Н=1880 м)</w:t>
            </w:r>
          </w:p>
        </w:tc>
        <w:tc>
          <w:tcPr>
            <w:tcW w:w="5636" w:type="dxa"/>
          </w:tcPr>
          <w:p w14:paraId="73C62D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311 км/час</w:t>
            </w:r>
          </w:p>
        </w:tc>
      </w:tr>
      <w:tr w:rsidR="00A907A5" w:rsidRPr="00271E51" w14:paraId="22D02426" w14:textId="77777777" w:rsidTr="00ED5B0A">
        <w:tc>
          <w:tcPr>
            <w:tcW w:w="5636" w:type="dxa"/>
          </w:tcPr>
          <w:p w14:paraId="7E4334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3000 м</w:t>
            </w:r>
          </w:p>
        </w:tc>
        <w:tc>
          <w:tcPr>
            <w:tcW w:w="5636" w:type="dxa"/>
          </w:tcPr>
          <w:p w14:paraId="734B1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 мин.</w:t>
            </w:r>
          </w:p>
        </w:tc>
      </w:tr>
      <w:tr w:rsidR="00A907A5" w:rsidRPr="00271E51" w14:paraId="1AF4EE68" w14:textId="77777777" w:rsidTr="00ED5B0A">
        <w:tc>
          <w:tcPr>
            <w:tcW w:w="5636" w:type="dxa"/>
          </w:tcPr>
          <w:p w14:paraId="260779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w:t>
            </w:r>
          </w:p>
        </w:tc>
        <w:tc>
          <w:tcPr>
            <w:tcW w:w="5636" w:type="dxa"/>
          </w:tcPr>
          <w:p w14:paraId="07C490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480 км</w:t>
            </w:r>
          </w:p>
        </w:tc>
      </w:tr>
    </w:tbl>
    <w:p w14:paraId="416ADA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трубки Пито НИСО-2 на самолете Ли-2.</w:t>
      </w:r>
    </w:p>
    <w:p w14:paraId="3B3A4A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Проведенными испытаниями трубки НИСО-2 на самолете Ли-2 установлено, что практически величина поправки указателя скорости самолета Ли-2 не изменилась.</w:t>
      </w:r>
    </w:p>
    <w:p w14:paraId="46481C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условиях эксплуатации серийная трубка Пито и трубка Пито НИСО-2 на самолете Ли-2 равноценны.</w:t>
      </w:r>
    </w:p>
    <w:p w14:paraId="578060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Ил-4.</w:t>
      </w:r>
    </w:p>
    <w:p w14:paraId="72FA58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трубки Пито конструкции НИСО на самолете Ил-4.</w:t>
      </w:r>
    </w:p>
    <w:p w14:paraId="091ACA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испытаний получено, что на самолете Ил-4 при установке трубки НИСО-2 аэродинамическая поправка к указателю скорости уменьшилась на 5 км/час при Vпр=200 км/час и на 8 км/час при Vпр=300 км/час по сравнению с серийной трубкой Пито.</w:t>
      </w:r>
    </w:p>
    <w:p w14:paraId="63DF4C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аэродинамическая поправка при трубке НИСО-2 при скорости по прибору 300 км/час равна 4 км/час вместо 12 км/час при серийной трубке.</w:t>
      </w:r>
    </w:p>
    <w:p w14:paraId="089641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Трубка НИСО-2 рекомендуется для установки на самолете Ил-4.</w:t>
      </w:r>
    </w:p>
    <w:p w14:paraId="07519C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Контрольные испытания систем НГ на серийных самолетах.</w:t>
      </w:r>
    </w:p>
    <w:p w14:paraId="60F35D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ноябре проведена предварительная проверка систем НГ самолетов ЯК-7 заводов N 82 и N 153, ЯК-9 заводов N 153 и 166 и Ла-5. По данным первых полетов количество отделяющегося у газов конденсата и температуры газа можно считать допустимыми для эксплуатации. Давление выхлопных газов в бензобаках на самолетах ЯК-7 завода N 82 и ЯК-9 завода N 153 нормальное, на самолете ЯК-7 завода N 153 меньше нормального и на самолете ЯК-9 завода N 166 отсутствует. Это происходит из-за различных выходных сечений выхлопных патрубков. Так у самолетов ЯК-7 завода N 82 и ЯК-9 завода N 153 сечение 15,5 см кв., на самолете ЯК-7 завода N 153 - 17,5 см кв. и на самолете ЯК-9 завода N 166 - 24 см кв.</w:t>
      </w:r>
    </w:p>
    <w:p w14:paraId="736359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Принято решение уменьшить сечение выходного патрубка с газозаборником на всех самолетах типа ЯК до 15,5 см кв.</w:t>
      </w:r>
    </w:p>
    <w:p w14:paraId="456C27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самолете Ла-5 давление газов недостаточно, температуры газа удовлетворительны. Конденсат отделяется. Принято решение заварить в газозаборнике отверстие 10 мм, выполняемое заводом для понижения давлений.</w:t>
      </w:r>
    </w:p>
    <w:p w14:paraId="61235B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продолжается.</w:t>
      </w:r>
    </w:p>
    <w:p w14:paraId="248BF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самолета ЯК-1 N 20135 с мотором М-105ПФ для определения расходов горючего на малых оборотах мотора.</w:t>
      </w:r>
    </w:p>
    <w:p w14:paraId="281082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Проведены испытания самолета ЯК-1 М-105ПФ с целью выявления целесообразности уменьшения оборотов мотора на режиме наивыгоднейшей дальности (на всех высотах полета) против оборотов 1700 об/мин., принятых в строевых частях ВВС.</w:t>
      </w:r>
    </w:p>
    <w:p w14:paraId="1C6861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Наивыгоднейшая дальность самолета ЯК-1 М-105ПФ (Vпр=280 км/час) при переходе с оборотов 1700 об/мин. (установленных в строевых частях ВВС по инструкции НИИ ВВС) на обороты 1300 об/мин. возрастает с 790 км/час до 935 км/час на высоте 500 м и с 780 км до 915 км на высоте 1000 м.</w:t>
      </w:r>
    </w:p>
    <w:p w14:paraId="6B62AD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Наивыгоднейшая дальность самолета ЯК-1 М-105ПФ (Vпр=280 км/час) на высоте 3000-5000 м получается максимальной на самом тяжелом шаге винта (при полностью открытых дросселях). Для возможности полета на этом режиме диапазон углов установки лопастей винтов ВИШ-105 СВ должен быть увеличен до 35 градусов.</w:t>
      </w:r>
    </w:p>
    <w:p w14:paraId="43AF1B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Для проверки возможности длительной эксплуатации мотора на указанном режиме необходимо провести стендовые испытания мотора М-105 ПФ на оборотах 1300 об/мин. и при давлении на всасывании 600 мм рт. ст. (1783,44).</w:t>
      </w:r>
    </w:p>
    <w:p w14:paraId="2FD004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6D0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16 декабря 1943 по 10 февраля 1944 г. летчик-испытатель Н.В.Адамович проводил испытания доработанного Ла-5 (заводской № 39210206), на коотором оценивалась эффективность мероприятий по аэродинамике, выданных работниками ЦАГИ. Доработанный Лавочкин показал скорость на 34 км/ч большую, чем серийная машина (684 км/ч на высоте 6150 м), причем мероприятия по улучшению аэродинамики были реализованы не в полном объеме. Модернизация самолета №39210206 проводилась на заводе № 21 под руководством С.М.Алексеева (4707).</w:t>
      </w:r>
    </w:p>
    <w:p w14:paraId="69C9A2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9A3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закончились объединенные испытания Ту-2С - 2АШ-82ФН, которые начались с 9 сентября 1943 (4,180).</w:t>
      </w:r>
    </w:p>
    <w:p w14:paraId="108017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испытания шли с 4 сентября 1943 и испытывалась машина N 716. Макс. скорость на 5400 - 547 км/час (1835,28).</w:t>
      </w:r>
    </w:p>
    <w:p w14:paraId="1D2076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НИИ ВВС отмечалось, что модифицированный самолет имеет лучшие данные как в сравнении с однотипным Пе-2, так и зарубежными (Бостон) (1835,28).</w:t>
      </w:r>
    </w:p>
    <w:p w14:paraId="016307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 одновременно в декабре 1943 в ЛИИ были закончены совместные испытания 103В с двигателями М-82ФН с различной степенью редукции, которые шли с октября 1943 и лучшие данные оказались при редукции 9:16 и трехлопастным винтом АВ5-167А диаметром 3.8 м. Новые винты дали + 10-11 км/час. Испытывали и редукцию 11:16 с винтом АВ-5-118А диаметром 372 м и с четырехлопастным винтом АВ-9-118Д диаметром 3.2 м (1835,28).</w:t>
      </w:r>
    </w:p>
    <w:p w14:paraId="4F2E05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27A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самолет Ту-2 № 100716 закончил совместные (заводские и государственные) испытания в НИИ ВВС, которые проходили со 2 сентября 1943. Летали попеременно два пилота - М.А. Нюхтиков и В.В. Лисицын. Бомбардировщик испытывался до 16 декабря, за это время совершили 89 полетов.</w:t>
      </w:r>
    </w:p>
    <w:p w14:paraId="7B33CF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Летные данные вполне удовлетворили испытателей, а самое главное - соответствовали требованиям постановления ГКО. Прирост скорости по сравнению с омскими Ту-2 на разных высотах составлял 33 - 44 км/ч. У серийного Пе-2 Ту-2С выигрывал 25 - 30 км/ч, у американского А-20В - 53 - 55 км/ч. Значительно улучшились взлетные характеристики. Разбег сократился на 35 м и оказался меньше, чем у Пе-2 с моторами М-105ПФ, на 122 м, по сравнению с А-20В - на 155 м. Существенно возросла скороподъемность.</w:t>
      </w:r>
    </w:p>
    <w:p w14:paraId="0DBE86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 и посадка оставались так же просты, как и ранее. Маневренность сочли удовлетворительной, хотя в отчете записали, что выполнение виража тяжелее, чем на Пе-2. Путевая устойчивость самолета немного улучшилась, но оставалась хуже, чем у А-20В или у Ер-2. Правда, у Пе-2 и Пе-3 устойчивость оценивалась еще ниже. Самолет неплохо летел на одном моторе, хотя усилие на ногу на педали было при этом больше, чем на Пе-2.</w:t>
      </w:r>
    </w:p>
    <w:p w14:paraId="6129B8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устойчиво пикировала, но при этом на испытаниях вновь выявился старый дефект - перераскрутка винтов. В одном случае это привело к вынужденной посадке - после выхода из пикирования давление масла упало и не восстановилось. Прочность хвостового колеса оказалась недостаточной - на испытаниях оно разрушалось четыре раза.</w:t>
      </w:r>
    </w:p>
    <w:p w14:paraId="1884CD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Летчики дружно ругали тесный фонарь с плохим обзором. Испытатель Стефановский, участвовавший в облете, написал в своем отзыве: "Фонарь кабины совершенно неудовлетворителен по конструкции и требует коренной переделки". Стрелкам-радистам не понравилось размещение радиостанции. Она стояла за спиной радиста, когда он работал с пулеметом. При повороте кресло цеплялось за провода.</w:t>
      </w:r>
    </w:p>
    <w:p w14:paraId="39DD46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испытаний проводились учебные бои с истребителями - советским Ла-5 и трофейным Фок- ке-Вульф FW 190. У земли разница в скоростях Ту-2С и "фокке-вульфа" была невелика, но с высотой возрастала. Ла-5" свободно атаковал бомбардировщик с разных ракурсов. Хотя огневая мощь Ту-2С была велика, реальная обороноспособность снижалась из-за недостаточной подвижности и малых углов обстрела стрелковых установок. Блистерная БУШ эффективно работала только между килями. У ВУБ-2 нельзя было высоко задрать ствол пулемета и простреливать верхнюю часть задней полусферы. ЛУ-УБТ имела малые углы обстрела вбок.</w:t>
      </w:r>
    </w:p>
    <w:p w14:paraId="78DE06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целом самолет № 100716 прошел государственные испытания удовлетворительно и был признан эталоном для серийного производства на 1943 г. Надо сказать, что обозначение Ту-2С использовалось только ОКБ, а все серийные машины по-прежнему именовались Ту-2, с уточнением завода- изготовителя и серии (11988).</w:t>
      </w:r>
    </w:p>
    <w:p w14:paraId="78B328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27B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состоялся первый полет Пе-2 с двигателями М-1. Летные испытания М-1 велись до февраля 1944 г. Разработка проекта двигателя М-116П осуществлялась в конструктор</w:t>
      </w:r>
      <w:r w:rsidRPr="00271E51">
        <w:rPr>
          <w:rFonts w:ascii="Times New Roman" w:hAnsi="Times New Roman"/>
          <w:color w:val="000000" w:themeColor="text1"/>
          <w:sz w:val="16"/>
          <w:szCs w:val="16"/>
        </w:rPr>
        <w:softHyphen/>
        <w:t>ском бюро завода № 16 в Казани с 1942 г. Он представлял собой мо</w:t>
      </w:r>
      <w:r w:rsidRPr="00271E51">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271E51">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271E51">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07BF5E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53A8D9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12-цилиндровый, У-образный рядный, четырехтактный, жидкостно</w:t>
      </w:r>
      <w:r w:rsidRPr="00271E51">
        <w:rPr>
          <w:rFonts w:ascii="Times New Roman" w:hAnsi="Times New Roman"/>
          <w:color w:val="000000" w:themeColor="text1"/>
          <w:sz w:val="16"/>
          <w:szCs w:val="16"/>
        </w:rPr>
        <w:softHyphen/>
        <w:t>го охлаждения, редукторный, с одноступенчатым двухскоростным ПЦН;</w:t>
      </w:r>
    </w:p>
    <w:p w14:paraId="0FBD25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150/170 мм;</w:t>
      </w:r>
    </w:p>
    <w:p w14:paraId="664CCA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объем 36,0 л;</w:t>
      </w:r>
    </w:p>
    <w:p w14:paraId="2AFD73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степень сжатия 6,6;</w:t>
      </w:r>
    </w:p>
    <w:p w14:paraId="5839B5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1300/1500 л.с.:</w:t>
      </w:r>
    </w:p>
    <w:p w14:paraId="38F0577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660 кг.</w:t>
      </w:r>
    </w:p>
    <w:p w14:paraId="7758CC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 устанавливался на переделанном серийном самолете Пе-2. Его пред</w:t>
      </w:r>
      <w:r w:rsidRPr="00271E51">
        <w:rPr>
          <w:rFonts w:ascii="Times New Roman" w:hAnsi="Times New Roman"/>
          <w:color w:val="000000" w:themeColor="text1"/>
          <w:sz w:val="16"/>
          <w:szCs w:val="16"/>
        </w:rPr>
        <w:softHyphen/>
        <w:t>полагали также установить на одном из истребителей А.С. Яковлева (11852).</w:t>
      </w:r>
    </w:p>
    <w:p w14:paraId="249F65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087B2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вышел приказ НКАП № 755с:</w:t>
      </w:r>
    </w:p>
    <w:p w14:paraId="6A69CE0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максимального удовлетворения потребностей самолетных з-в в деталях из пластмасс:</w:t>
      </w:r>
    </w:p>
    <w:p w14:paraId="7811BF3A"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Организованный на основании постановления Правительства от 11 декабря 1940 г и приказа НКАП № 772 от 25 декабря 1940, з-д 294, временно подчиненный как ф-л з-да № 22 (по приказу № 488с от 4 июля 1942), выделить из состава з-да 22, как самостоятельный з-д.</w:t>
      </w:r>
    </w:p>
    <w:p w14:paraId="5BE2085C"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Шахурин (1764, 91).</w:t>
      </w:r>
    </w:p>
    <w:p w14:paraId="096787A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63CC61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завод № 294, который 4 июля 1942 г. по приказу НКАП № 488с был влит в состав завода № 22 был вновь выделен из состава завода № 22 в самостоятельный с 1.01.1944 г. (11982).</w:t>
      </w:r>
    </w:p>
    <w:p w14:paraId="32BA80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942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16 декабря 1943 по 7 января 1944 провели повторные испытания Бостона с РЛС. Станция испытыеалась при работе на высотах от 50 до 3000 м. С увеличением высоты полета заметно понижалось влияние паразитных помех, возникавших за счет отражения от поверхности моря, что положительно сказалось на основных показателях. Теперь дальность обнаружения 1000-тонного корабля определили в 25 км, 60-тонного катера - в 8-10 км, а ширину просматриваемой полосы - в 20 км.</w:t>
      </w:r>
    </w:p>
    <w:p w14:paraId="0A9C93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Официального приказа о проведении войсковых испытаний обнаружить не удалось, но они. несомненно, проводились на базе 1-го гмтап ВВС КБФ. По отчету ВВС КБФ за войну, первый комплект "Гнейс-2" появился на флоте в январе 1944 г. Торпедоносец А-20, пилотируемый самим командиром полка И.И. Борзовым. в ночь на 7.4.1944 в крейсерском полете в Рижский залив сумел обнаружить и потопить (по донесению) вражеский танкер в 12 000 т. Конвой противника был обнаружен сначала при помощи РЛС, а затем визуально на лунной дорожке, что и позволило осуществить атаку. 15 октября того же года тот же экипаж, по-видимому, на том же самолете продемонстрировал возможность успешного применения станции днем в сложных метеоусловиях (облачность 10 баллов, высота нижней кромки - 50-100 м, видимость от 100 до 500 м). Тем не менее, широкого распространения эти станции не получили - видимо, сказывались трудности с промышленным освоением, а также надежды, </w:t>
      </w:r>
      <w:r w:rsidRPr="00271E51">
        <w:rPr>
          <w:rFonts w:ascii="Times New Roman" w:hAnsi="Times New Roman"/>
          <w:color w:val="000000" w:themeColor="text1"/>
          <w:sz w:val="16"/>
          <w:szCs w:val="16"/>
        </w:rPr>
        <w:lastRenderedPageBreak/>
        <w:t>связанные с разработкой новой, более совершенной станции "Гнейс-5". К этому надо добавить, что даже те станции, которые имелись, в частях практически не использовались. Так, ни одна другая, кроме двух вышеописанных атак Борзова в 1944 г., не проводилась с использованием РЛС. Летчик 5-го гмтап ВВС ЧФ лейтенант В.И. Минаков перед ночным вылетом на "охоту" 8.6.1944 на Ил-4 распорядился снять с самолета антенну станции, чтобы она не создавала лишних проблем. Все это говорит о том, что, помимо конструирования и производства нового оружия и технических средств, командование должно еще распорядиться и о переподготовке летного состава. Кстати, и самому командованию необходимо ознакомиться с новой аппаратурой, чтобы представлять ее боевые возможности и особенности применения. Ведь если оно не будет ставить задачи летчикам с упором на использование возможностей новой техники, те так и будут воевать по старинке (12002).</w:t>
      </w:r>
    </w:p>
    <w:p w14:paraId="33DA8A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10A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по приказу 755с завод № 294 7ГУ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вновь выделен из состава завода № 22 в самостоятельный с 1.01.1944 г. Введен в эксплуатацию с 1944 г. в ЮГУ. Тем же приказом при заводе образовано КБ по проектированию прессформ и деталей из пластмасс.</w:t>
      </w:r>
    </w:p>
    <w:p w14:paraId="5CF7DA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24с от 29.01.1946 г. завод с 1.01.1946 г. передан из ЮГУ в 17ГУ с целью организации производства высокочастотных пластмассовых изделий для радиопромышленности (прежде всего для Б-4).</w:t>
      </w:r>
    </w:p>
    <w:p w14:paraId="2B89CB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 г. назывался Завод Пластмасс, с 1949 г.- Приборный завод.</w:t>
      </w:r>
    </w:p>
    <w:p w14:paraId="6047C5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3C7352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2F1E7D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3FCD28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1967 г. образован филиал- Альметьевский завод «Радиоприбор».</w:t>
      </w:r>
    </w:p>
    <w:p w14:paraId="3C9A2F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дочерние предприятия (2002 г.)- КГП «Аэросервис», ГУЛ «Радиоприбор-СМ».</w:t>
      </w:r>
    </w:p>
    <w:p w14:paraId="0221C4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1983 г. освоено производство БЦВМ.</w:t>
      </w:r>
    </w:p>
    <w:p w14:paraId="6481DE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271E51">
        <w:rPr>
          <w:rFonts w:ascii="Times New Roman" w:hAnsi="Times New Roman"/>
          <w:color w:val="000000" w:themeColor="text1"/>
          <w:sz w:val="16"/>
          <w:szCs w:val="16"/>
          <w:lang w:val="en-US"/>
        </w:rPr>
        <w:t>JIA</w:t>
      </w:r>
      <w:r w:rsidRPr="00271E51">
        <w:rPr>
          <w:rFonts w:ascii="Times New Roman" w:hAnsi="Times New Roman"/>
          <w:color w:val="000000" w:themeColor="text1"/>
          <w:sz w:val="16"/>
          <w:szCs w:val="16"/>
        </w:rPr>
        <w:t>, бортовые ЦВМ; стендовое оборудование для регламетных работ.</w:t>
      </w:r>
    </w:p>
    <w:p w14:paraId="6546CD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г.)- 2000 чел.</w:t>
      </w:r>
    </w:p>
    <w:p w14:paraId="685550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2C0068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по материально-финансовым вопросам (-1953 г.)- К.А. Машевский.</w:t>
      </w:r>
    </w:p>
    <w:p w14:paraId="26BB74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производства по филиалам- В.А. Иванцов.</w:t>
      </w:r>
    </w:p>
    <w:p w14:paraId="0082A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СЛМП- В.А. Иванцов.</w:t>
      </w:r>
    </w:p>
    <w:p w14:paraId="305540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К.А. Машевский, (1950-е)- Н.С. Смоляр.</w:t>
      </w:r>
    </w:p>
    <w:p w14:paraId="518B8A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испытаний- В.А. Иванцов.</w:t>
      </w:r>
    </w:p>
    <w:p w14:paraId="71526C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271E51">
        <w:rPr>
          <w:rFonts w:ascii="Times New Roman" w:hAnsi="Times New Roman"/>
          <w:iCs/>
          <w:color w:val="000000" w:themeColor="text1"/>
          <w:sz w:val="16"/>
          <w:szCs w:val="16"/>
        </w:rPr>
        <w:t xml:space="preserve"> (2002);</w:t>
      </w:r>
      <w:r w:rsidRPr="00271E51">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электромеханизмы МЭО, МЭП (2002);</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телевизор «Звезда»; антенны: ПСКД-5-1 «Казань», АТНА-7.1 (11982).</w:t>
      </w:r>
    </w:p>
    <w:p w14:paraId="0217D9EA" w14:textId="77777777" w:rsidR="00CD2F38" w:rsidRPr="00271E51" w:rsidRDefault="00CD2F38"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FA0F9"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A9F6E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6A0F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было подготовлено СООБЩЕНИЕ ЗАМЕСТИТЕЛЯ НАРКОМА ВНЕШНЕЙ ТОРГОВЛИ СССР НАЧАЛЬНИКУ УПРАВЛЕНИЯ САМОХОДНОЙ АРТИЛЛЕРИИ ГБТУ КА ПО ВОПРОСУ ПОСТАВКИ САМОХОДНОЙ АРТИЛЛЕРИИ США в 1943 — 1944 гг. обязались поставить следующие типы самоходных 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490"/>
        <w:gridCol w:w="5098"/>
        <w:gridCol w:w="1066"/>
      </w:tblGrid>
      <w:tr w:rsidR="00A907A5" w:rsidRPr="00271E51" w14:paraId="17DA254F" w14:textId="77777777" w:rsidTr="00ED5B0A">
        <w:trPr>
          <w:trHeight w:val="278"/>
        </w:trPr>
        <w:tc>
          <w:tcPr>
            <w:tcW w:w="490" w:type="dxa"/>
            <w:tcBorders>
              <w:top w:val="single" w:sz="6" w:space="0" w:color="auto"/>
              <w:left w:val="single" w:sz="6" w:space="0" w:color="auto"/>
              <w:bottom w:val="single" w:sz="6" w:space="0" w:color="auto"/>
              <w:right w:val="single" w:sz="6" w:space="0" w:color="auto"/>
            </w:tcBorders>
          </w:tcPr>
          <w:p w14:paraId="2CD9E7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3E969E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8" w:type="dxa"/>
            <w:tcBorders>
              <w:top w:val="single" w:sz="6" w:space="0" w:color="auto"/>
              <w:left w:val="single" w:sz="6" w:space="0" w:color="auto"/>
              <w:bottom w:val="single" w:sz="6" w:space="0" w:color="auto"/>
              <w:right w:val="single" w:sz="6" w:space="0" w:color="auto"/>
            </w:tcBorders>
          </w:tcPr>
          <w:p w14:paraId="33426D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57-мм самоходных противотанковых пушек Т-48</w:t>
            </w:r>
          </w:p>
          <w:p w14:paraId="16771B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256D1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 шт.</w:t>
            </w:r>
          </w:p>
          <w:p w14:paraId="07A31E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8EEA20" w14:textId="77777777" w:rsidTr="00ED5B0A">
        <w:trPr>
          <w:trHeight w:val="278"/>
        </w:trPr>
        <w:tc>
          <w:tcPr>
            <w:tcW w:w="490" w:type="dxa"/>
            <w:tcBorders>
              <w:top w:val="single" w:sz="6" w:space="0" w:color="auto"/>
              <w:left w:val="single" w:sz="6" w:space="0" w:color="auto"/>
              <w:bottom w:val="single" w:sz="6" w:space="0" w:color="auto"/>
              <w:right w:val="single" w:sz="6" w:space="0" w:color="auto"/>
            </w:tcBorders>
          </w:tcPr>
          <w:p w14:paraId="26D60A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7C7043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8" w:type="dxa"/>
            <w:tcBorders>
              <w:top w:val="single" w:sz="6" w:space="0" w:color="auto"/>
              <w:left w:val="single" w:sz="6" w:space="0" w:color="auto"/>
              <w:bottom w:val="single" w:sz="6" w:space="0" w:color="auto"/>
              <w:right w:val="single" w:sz="6" w:space="0" w:color="auto"/>
            </w:tcBorders>
          </w:tcPr>
          <w:p w14:paraId="79E343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37-мм самоходных зенитных пушек М-15</w:t>
            </w:r>
          </w:p>
          <w:p w14:paraId="1E9366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C6FC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25шт.</w:t>
            </w:r>
          </w:p>
          <w:p w14:paraId="47CC8E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4C85CB" w14:textId="77777777" w:rsidTr="00ED5B0A">
        <w:trPr>
          <w:trHeight w:val="278"/>
        </w:trPr>
        <w:tc>
          <w:tcPr>
            <w:tcW w:w="490" w:type="dxa"/>
            <w:tcBorders>
              <w:top w:val="single" w:sz="6" w:space="0" w:color="auto"/>
              <w:left w:val="single" w:sz="6" w:space="0" w:color="auto"/>
              <w:bottom w:val="single" w:sz="6" w:space="0" w:color="auto"/>
              <w:right w:val="single" w:sz="6" w:space="0" w:color="auto"/>
            </w:tcBorders>
          </w:tcPr>
          <w:p w14:paraId="3EB882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p w14:paraId="4762F2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8" w:type="dxa"/>
            <w:tcBorders>
              <w:top w:val="single" w:sz="6" w:space="0" w:color="auto"/>
              <w:left w:val="single" w:sz="6" w:space="0" w:color="auto"/>
              <w:bottom w:val="single" w:sz="6" w:space="0" w:color="auto"/>
              <w:right w:val="single" w:sz="6" w:space="0" w:color="auto"/>
            </w:tcBorders>
          </w:tcPr>
          <w:p w14:paraId="39FB7C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Счетверенных зенитных пулеметов на броневездеходах</w:t>
            </w:r>
          </w:p>
          <w:p w14:paraId="7FF223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7521A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 шт.</w:t>
            </w:r>
          </w:p>
          <w:p w14:paraId="73D7F7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E4238D" w14:textId="77777777" w:rsidTr="00ED5B0A">
        <w:trPr>
          <w:trHeight w:val="278"/>
        </w:trPr>
        <w:tc>
          <w:tcPr>
            <w:tcW w:w="490" w:type="dxa"/>
            <w:tcBorders>
              <w:top w:val="single" w:sz="6" w:space="0" w:color="auto"/>
              <w:left w:val="single" w:sz="6" w:space="0" w:color="auto"/>
              <w:bottom w:val="single" w:sz="6" w:space="0" w:color="auto"/>
              <w:right w:val="single" w:sz="6" w:space="0" w:color="auto"/>
            </w:tcBorders>
          </w:tcPr>
          <w:p w14:paraId="75B592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p w14:paraId="51C950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8" w:type="dxa"/>
            <w:tcBorders>
              <w:top w:val="single" w:sz="6" w:space="0" w:color="auto"/>
              <w:left w:val="single" w:sz="6" w:space="0" w:color="auto"/>
              <w:bottom w:val="single" w:sz="6" w:space="0" w:color="auto"/>
              <w:right w:val="single" w:sz="6" w:space="0" w:color="auto"/>
            </w:tcBorders>
          </w:tcPr>
          <w:p w14:paraId="333104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самоходных пушек М10</w:t>
            </w:r>
          </w:p>
          <w:p w14:paraId="7A85D1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CBADC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 шт.</w:t>
            </w:r>
          </w:p>
          <w:p w14:paraId="72D58F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458768" w14:textId="77777777" w:rsidTr="00ED5B0A">
        <w:trPr>
          <w:trHeight w:val="298"/>
        </w:trPr>
        <w:tc>
          <w:tcPr>
            <w:tcW w:w="490" w:type="dxa"/>
            <w:tcBorders>
              <w:top w:val="single" w:sz="6" w:space="0" w:color="auto"/>
              <w:left w:val="single" w:sz="6" w:space="0" w:color="auto"/>
              <w:bottom w:val="single" w:sz="6" w:space="0" w:color="auto"/>
              <w:right w:val="single" w:sz="6" w:space="0" w:color="auto"/>
            </w:tcBorders>
          </w:tcPr>
          <w:p w14:paraId="1C3481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p w14:paraId="255375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8" w:type="dxa"/>
            <w:tcBorders>
              <w:top w:val="single" w:sz="6" w:space="0" w:color="auto"/>
              <w:left w:val="single" w:sz="6" w:space="0" w:color="auto"/>
              <w:bottom w:val="single" w:sz="6" w:space="0" w:color="auto"/>
              <w:right w:val="single" w:sz="6" w:space="0" w:color="auto"/>
            </w:tcBorders>
          </w:tcPr>
          <w:p w14:paraId="0DD14E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Самоходных 76-мм пушек Т-70</w:t>
            </w:r>
          </w:p>
          <w:p w14:paraId="31BD921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09B47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шт.</w:t>
            </w:r>
          </w:p>
          <w:p w14:paraId="7022AC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68A8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народного комиссара внешней торговли СССР генерал-майор инженерно-технической службы И. Семичастов</w:t>
      </w:r>
    </w:p>
    <w:p w14:paraId="1D1FA7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76а. Л. 9. Подлинник (11403).</w:t>
      </w:r>
    </w:p>
    <w:p w14:paraId="6276E3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B1F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вышло Постановление ГКО № 4794 Об обмене опытом между СССР и США по производству синтетических каучуков, синтетического этилового спирта и заменителей каучука гевеи.РГАНИР, Фонд ГКО, д. 183, лл. 80-81 (11012).</w:t>
      </w:r>
    </w:p>
    <w:p w14:paraId="0DEF58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264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вышло Распоряжение ГКО № 4795. О создании правительственной комиссии по расследованию причин срыва сроков строительства гидроэлектростанций на реках Урала.РГАНИР, Фонд ГКО, д. 183, лл. 82 (11012).</w:t>
      </w:r>
    </w:p>
    <w:p w14:paraId="5238AB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C69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вышло Распоряжение ГКО № 4796. О мерах по замене изношенного оборудования Березниковского азотного завода НКХП.РГАНИР, Фонд ГКО, д. 183, лл. 83-84 (11012).</w:t>
      </w:r>
    </w:p>
    <w:p w14:paraId="6E2A6A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633E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21161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C73A5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16 декабря </w:t>
      </w:r>
      <w:r w:rsidRPr="00271E51">
        <w:rPr>
          <w:rFonts w:ascii="Times New Roman" w:hAnsi="Times New Roman"/>
          <w:color w:val="000000" w:themeColor="text1"/>
          <w:sz w:val="16"/>
          <w:szCs w:val="16"/>
        </w:rPr>
        <w:t>в 1943 году оперативная сводка Совинформбюро:</w:t>
      </w:r>
    </w:p>
    <w:p w14:paraId="0915631D"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декабря в районе южнее и юго-восточнее Черкассы наши войска с боями заняли ряд населённых пунктов и среди них крупные населённые пункты Вергуны, Чернявка, Новосельцы, Рублёвка.</w:t>
      </w:r>
    </w:p>
    <w:p w14:paraId="148804AA"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отбили контратаки пехоты и танков противника и в ходе боёв овладели несколькими населёнными пунктами.</w:t>
      </w:r>
    </w:p>
    <w:p w14:paraId="412798EB"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Малина (северо-западнее Радомышля) наши войска вели бои по улучшению занимаемых позиций и выбили противника из нескольких населённых пунктов.</w:t>
      </w:r>
    </w:p>
    <w:p w14:paraId="27223AD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6737871E"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15 декабря наши войска на всех фронтах подбили и уничтожили 37 немецких танков. В воздушных боях и огнём зенитной артиллерии сбито 100 самолётов противника.</w:t>
      </w:r>
    </w:p>
    <w:p w14:paraId="58477B44"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и юго-восточнее Черкасс наши войска сломили сопротивление противника и заняли ряд населённых пунктов. В боях за эти пункты уничтожено более 400 немецких солдат и офицеров, подбито 4 танка, самоходное орудие и 9 полевых орудий. Захвачены трофеи, в том числе 45 пулемётов и 10 автомашин. На другом участке противник, стремясь вернуть занятый вчера нашими частями населённый пункт, предпринял контратаку. Встреченные сильным огнём, гитлеровцы вынуждены были отступить.</w:t>
      </w:r>
    </w:p>
    <w:p w14:paraId="4950B2B9"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лётчики при налёте на железнодорожную станцию Смела взорвали воинский эшелон противника.</w:t>
      </w:r>
    </w:p>
    <w:p w14:paraId="37E546F0"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Кировоградском направлении немцы, пытаясь остановить наступление советских войск, предприняли ряд ожесточённых контратак. Наши войска отбили контратаки танков и пехоты противника и с боями заняли несколько сильно укреплённых населённых пунктов. Части Н-ского гвардейского соединения истребили до 500 вражеских солдат и офицеров, уничтожили 7 немецких танков и 2 бронетранспортёра. На другом участке немцы бросили в контратаку 25 танков и батальон пехоты. Наши артиллеристы и танкисты, находившиеся в засаде, подпустили гитлеровцев на близкое расстояние, а затем открыли огонь. На поле боя осталось 9 сожженных и 6 подбитых немецких танков. Пехота противника попала под огонь наших стрелков и откатилась на исходный рубеж.</w:t>
      </w:r>
    </w:p>
    <w:p w14:paraId="71DF35F5"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города Малин (северо-западнее Радомышля) части Н-ского соединения выбили противника из нескольких населённых пунктов и улучшили свои позиции. Немцы неоднократно бросались в контратаки, но были отброшены. В этом бою уничтожено до 800 вражеских солдат и офицеров, 2 самоходных орудия, 7 бронетранспортёров и несколько шестиствольных миномётов. На другом участке гитлеровцы пытались переправиться через водный рубеж. Артиллерийским и миномётным огнём пехота противника была рассеяна и частью уничтожена.</w:t>
      </w:r>
    </w:p>
    <w:p w14:paraId="1B25F0DE"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Чёрном море потоплен танкер противника водоизмещением в 3 тысячи тонн.</w:t>
      </w:r>
    </w:p>
    <w:p w14:paraId="199627AD"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групп, действующих в одном из районов Ровенской области, взорвали три железнодорожных моста. Через неделю немцы восстановили один мост, но партизаны вновь взорвали его. В боях с противником советские патриоты уничтожили более 120 гитлеровцев. Отряд киевских партизан заминировал большой участок шоссейной дороги. На минах взорвалось 8 грузовых и одна легковаяавтомашины. Убито несколько десятков вражеских солдат и офицеров. Среди убитых обнаружен труп немецкого полковника. Всего за короткий срок на этой шоссейной дороге партизаны истребили до 200 немецких захватчиков.</w:t>
      </w:r>
    </w:p>
    <w:p w14:paraId="307CE61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Кременчуга в полном составе сдалась в плен 6 рота 849 полка 282 немецкой пехотной дивизии. Пленный лейтенант Гайль сообщил: «Мы занимали оборону, когда русские обошли с фланга и внезапно атаковали нас. Растерявшиеся солдаты вопросительно смотрели на меня, не зная, что делать. Трезво оценив обстановку, я понял, что сопротивление бесполезно, и сказал: «Сдавайтесь в плен!» В начале войны я ни при каких условиях не допустил бы даже и мысли о капитуляции. Но с тех пор произошли большие перемены. Первый сокрушительный удар русские нанесли немецкой армии зимой 1941—42 г.г. Мне тогда тоже досталось: я отморозил ноги. Потом разразилась сталинградская катастрофа. Нынешним летом и затем осенью мы терпели одно поражение за другим. Я понял, что немецкая армия проиграла не одну битву, мы проиграли восточный поход в целом. Катастрофа неизбежна, и никакие усилия уже не помогут изменить ход событий. Отдавая своим солдатам приказ сложить оружие, я хотел сохранить им жизнь, избежать лишних и ненужных жертв».</w:t>
      </w:r>
    </w:p>
    <w:p w14:paraId="429332A8"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Унтер-офицер Хаас той же роты, сдавшийся в плен на несколько часов раньше,чем вся рота, рассказал: «Я предложил своему отделению сдаться в плен. Никто не возражал. Все 9 человек сложили оружие: ручной пулемёт, 3 револьвера, 5 карабинов, 20 ручных гранат и 6 ящиков с патронами».</w:t>
      </w:r>
    </w:p>
    <w:p w14:paraId="240B2303"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том же участке сдалась в плен группа немецких солдат из 7 роты 849 полка. Обер-ефрейтор Цинглер заявил: «Седьмой роте не удалось удержать свои позиции, и она в беспорядке отошла. Группа солдат решила остаться в окопах. Когда подошли русские, мы подняли белый флаг и сдались в плен».</w:t>
      </w:r>
    </w:p>
    <w:p w14:paraId="5A4AE49C" w14:textId="77777777" w:rsidR="00CD2F38" w:rsidRPr="00271E51" w:rsidRDefault="00CD2F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Гитлеровские мерзавцы согнали на хутор Равностолье, Запорожской области, мирных жителей для того, чтобы насильно отправить их на каторжные работы в Германию. Заметив приближение разведчиков Красной Армии, немцы вывели советски хграждан на окраину хутора и расстреляли их из автоматов. От рук фашистских палачей погибли 54 человека. Родственники и знакомые опознали среди убитых Фёдора Мелащенко и Ивана Мищенко — жителей хутора Ново-Ивановка, Василия Броцких из села Бобрищево, Ивана Лютого из села Успеновка и других жителей. При отступлении из села Андреевка той же области немецко-фашистские изверги загналив сарай 13 советских граждан и живьём сожгли их. В огне погибли Мария Иваненко, Анна Куш, Мария Дузь, Прасковья Иващенко, Владимир Ярош и другие жители села.» (14862).</w:t>
      </w:r>
    </w:p>
    <w:p w14:paraId="06310932" w14:textId="77777777" w:rsidR="00CD2F38" w:rsidRPr="00271E51" w:rsidRDefault="00CD2F38" w:rsidP="00271E51">
      <w:pPr>
        <w:spacing w:after="0" w:line="240" w:lineRule="auto"/>
        <w:jc w:val="both"/>
        <w:rPr>
          <w:rFonts w:ascii="Times New Roman" w:hAnsi="Times New Roman"/>
          <w:color w:val="000000" w:themeColor="text1"/>
          <w:sz w:val="16"/>
          <w:szCs w:val="16"/>
        </w:rPr>
      </w:pPr>
    </w:p>
    <w:p w14:paraId="223A72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утром два “Киттихаука” 30-го разведывательного авиаполка провели разведку в районе Керченского пролива и Камыш-Буруна, где в 07:10 обнаружили две БДБ у стенки и одну - в судоремонтном заводе. В 10:00 МБР-2 с аппаратурой управления вылетел в район атаки, его сопровождали восемь истребителей Як-9. Спустя полчаса ТКА №41 и сопровождавшие его №62 и №81 (участник июльской атаки) вышли из Тамани. С 10:25 до 11:50 их прикрывали пять Як-9 и восемь ЛаГГ-3. Еще пять Як-9 были направлены для наблюдения и аэрофотосъемки результатов удара. Кроме того, шесть штурмовиков Ил-2, которых охраняли восемь Як-9, в 10:55 взяли курс на Камыш-Бурун. Их задачей было подавление неприятельской артиллерии. В 11:04 81-й снял с брандера экипаж и отошел от его борта, а спустя девять минут оператор отдал по радио приказ на 41-й: “Боевой ход”. В 11:28 по ТКА №41 открыли огонь немецкие орудия. Сразу же штурмовики начали атаку вражеских батарей, подавив две из них. Стрельба по катеру стала менее интенсивной, но неприятельские зенитчики сбили один из Илов. Что произошло дальше, с абсолютной точностью установить не удалось. По одним сведениям, катер-снаряд в 11:37 по невыясненной причине взорвался и затонул в 1,5 милях к востоку от косы Камыш-Бурун. По другим, причиной срыва атаки оказалась недостаточная натренированность и отсутствие должного взаимопонимания между летчиком самолета управления и оператором системы ВУ. Пилот не понял жеста капитан-лейтенанта Скорого и выполнил совсем не тот маневр, который требовался. Оператор на какое-то время потерял управление и 41-й взорвался, врезавшись в оконечность Камыш-Бурунской косы. Так закончилась история практического применения радиоуправляемых катеров в годы войны (6002).</w:t>
      </w:r>
    </w:p>
    <w:p w14:paraId="37454A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79DC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утром два ис</w:t>
      </w:r>
      <w:r w:rsidRPr="00271E51">
        <w:rPr>
          <w:rFonts w:ascii="Times New Roman" w:hAnsi="Times New Roman"/>
          <w:color w:val="000000" w:themeColor="text1"/>
          <w:sz w:val="16"/>
          <w:szCs w:val="16"/>
        </w:rPr>
        <w:softHyphen/>
        <w:t>требителя «Китихаук» из 30-го разведывательного авиапол</w:t>
      </w:r>
      <w:r w:rsidRPr="00271E51">
        <w:rPr>
          <w:rFonts w:ascii="Times New Roman" w:hAnsi="Times New Roman"/>
          <w:color w:val="000000" w:themeColor="text1"/>
          <w:sz w:val="16"/>
          <w:szCs w:val="16"/>
        </w:rPr>
        <w:softHyphen/>
        <w:t>ка провели разведку в районе Керченского пролива и Камыш-Буруна. В 7 час 10 мин они обнаружили там две БДБ у стен</w:t>
      </w:r>
      <w:r w:rsidRPr="00271E51">
        <w:rPr>
          <w:rFonts w:ascii="Times New Roman" w:hAnsi="Times New Roman"/>
          <w:color w:val="000000" w:themeColor="text1"/>
          <w:sz w:val="16"/>
          <w:szCs w:val="16"/>
        </w:rPr>
        <w:softHyphen/>
        <w:t>ки и одну БДБ в судоремонтном заводе</w:t>
      </w:r>
      <w:r w:rsidRPr="00271E51">
        <w:rPr>
          <w:rFonts w:ascii="Times New Roman" w:hAnsi="Times New Roman"/>
          <w:color w:val="000000" w:themeColor="text1"/>
          <w:sz w:val="16"/>
          <w:szCs w:val="16"/>
          <w:vertAlign w:val="subscript"/>
        </w:rPr>
        <w:t>;</w:t>
      </w:r>
      <w:r w:rsidRPr="00271E51">
        <w:rPr>
          <w:rFonts w:ascii="Times New Roman" w:hAnsi="Times New Roman"/>
          <w:color w:val="000000" w:themeColor="text1"/>
          <w:sz w:val="16"/>
          <w:szCs w:val="16"/>
        </w:rPr>
        <w:t xml:space="preserve"> В 10 часов гидросамо</w:t>
      </w:r>
      <w:r w:rsidRPr="00271E51">
        <w:rPr>
          <w:rFonts w:ascii="Times New Roman" w:hAnsi="Times New Roman"/>
          <w:color w:val="000000" w:themeColor="text1"/>
          <w:sz w:val="16"/>
          <w:szCs w:val="16"/>
        </w:rPr>
        <w:softHyphen/>
        <w:t>лет управления МБР-2 под прикрытием восьми истребителей Як-9 вылетел в район атаки. В 10 час 30 мин ВУ-41 в сопро</w:t>
      </w:r>
      <w:r w:rsidRPr="00271E51">
        <w:rPr>
          <w:rFonts w:ascii="Times New Roman" w:hAnsi="Times New Roman"/>
          <w:color w:val="000000" w:themeColor="text1"/>
          <w:sz w:val="16"/>
          <w:szCs w:val="16"/>
        </w:rPr>
        <w:softHyphen/>
        <w:t>вождении торпедных катеров № 62 и № 81 вышли из Тамани. До 11 час 50 мин их прикрывали пять Як-9 и восемь ЛаГГ-3. Еще пять Як-9 вылетели для наблюдения и аэрофотосъемки результатов удара. Кроме того, шесть штурмовиков Ил-2 под прикрытием восьми Як-9 в 10 час 55 мин вылетели на Камыш-Бурун с задачей подавления вражеской артиллерии. В 11 час 04 мин торпедный катер № 81 снял с катера ВУ-41 команду, а через 9 минут оператор с МБР-2 отдал на брандер приказ: «Боевой ход». В 11 час 28 мин. немцы открыли ар</w:t>
      </w:r>
      <w:r w:rsidRPr="00271E51">
        <w:rPr>
          <w:rFonts w:ascii="Times New Roman" w:hAnsi="Times New Roman"/>
          <w:color w:val="000000" w:themeColor="text1"/>
          <w:sz w:val="16"/>
          <w:szCs w:val="16"/>
        </w:rPr>
        <w:softHyphen/>
        <w:t>тиллерийский огонь по ВУ-41. Сразу же наши штурмовики начали атаку неприятельских батарей, и стрельба по катеру стала менее интенсивной, но был сбит один наш Ил-2. Вскоре оператор потерял управление ВУ-41, и тот по не</w:t>
      </w:r>
      <w:r w:rsidRPr="00271E51">
        <w:rPr>
          <w:rFonts w:ascii="Times New Roman" w:hAnsi="Times New Roman"/>
          <w:color w:val="000000" w:themeColor="text1"/>
          <w:sz w:val="16"/>
          <w:szCs w:val="16"/>
        </w:rPr>
        <w:softHyphen/>
        <w:t>выясненной причине взорвался в полутора милях к востоку (10675).</w:t>
      </w:r>
    </w:p>
    <w:p w14:paraId="6E7C21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C20A6" w14:textId="77777777" w:rsidR="00463BF9" w:rsidRPr="00271E51" w:rsidRDefault="00463BF9"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16 декабря 1943 года утром два истребителя «Китихаук» из 30-го разведывательного авиаполка провели разведку в районе Керченского пролива и Камыш-Буруна. В 7 час 10 мин они обнаружили там две БДБ у стенки и одну БДБ в судоремонтном заводе. В 10 часов гидросамолет управления МБР-2 под прикрытием восьми истребителей Як-9 вылетел в район атаки. В 10 час 30 мин ВУ-41 в сопровождении торпедных катеров № 62 и № 81 вышли из Тамани. До 11 час 50 мин их прикрывали пять Як-9 и восемь ЛаГГ-3. Еще пять Як-9 вылетели для наблюдения и аэрофотосъемки результатов удара. Кроме того, шесть штурмовиков Ил-2 под прикрытием восьми Як-9 в 10 час 55 мин вылетели на Камыш-Бурун с задачей подавления вражеской артиллерии.</w:t>
      </w:r>
    </w:p>
    <w:p w14:paraId="5EED70C6" w14:textId="77777777" w:rsidR="00463BF9" w:rsidRPr="00271E51" w:rsidRDefault="00463BF9" w:rsidP="00271E51">
      <w:pPr>
        <w:spacing w:after="0" w:line="240" w:lineRule="auto"/>
        <w:jc w:val="both"/>
        <w:rPr>
          <w:rFonts w:ascii="Times New Roman" w:hAnsi="Times New Roman"/>
          <w:color w:val="0070C0"/>
          <w:sz w:val="16"/>
          <w:szCs w:val="16"/>
          <w:shd w:val="clear" w:color="auto" w:fill="FFFFFF"/>
        </w:rPr>
      </w:pPr>
      <w:r w:rsidRPr="00271E51">
        <w:rPr>
          <w:rFonts w:ascii="Times New Roman" w:hAnsi="Times New Roman"/>
          <w:color w:val="0070C0"/>
          <w:sz w:val="16"/>
          <w:szCs w:val="16"/>
          <w:shd w:val="clear" w:color="auto" w:fill="FFFFFF"/>
        </w:rPr>
        <w:t>В 11 час 04 мин торпедный катер № 81 снял с катера ВУ-41 команду, а через 9 минут оператор с МБР-2 отдал на брандер приказ: «Боевой ход». В 11 час 28 мин немцы открыли артиллерийский огонь по ВУ-41. Сразу же наши штурмовики начали атаку неприятельских батарей, и стрельба по катеру стала менее интенсивной, но был сбит один наш Ил-2.</w:t>
      </w:r>
    </w:p>
    <w:p w14:paraId="560C3F0F" w14:textId="77777777" w:rsidR="00463BF9" w:rsidRPr="00271E51" w:rsidRDefault="00463B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shd w:val="clear" w:color="auto" w:fill="FFFFFF"/>
        </w:rPr>
        <w:t>Вскоре оператор потерял управление ВУ-41, и тот по невыясненной причине взорвался в полутора милях к востоку от косы Камыш-Бурун. Больше попыток использования радиоуправляемых катеров во время Великой Отечественной войны у нас не делалось (22290).</w:t>
      </w:r>
    </w:p>
    <w:p w14:paraId="2EDC0834" w14:textId="77777777" w:rsidR="00463BF9" w:rsidRPr="00271E51" w:rsidRDefault="00463BF9" w:rsidP="00271E51">
      <w:pPr>
        <w:spacing w:after="0" w:line="240" w:lineRule="auto"/>
        <w:jc w:val="both"/>
        <w:rPr>
          <w:rFonts w:ascii="Times New Roman" w:hAnsi="Times New Roman"/>
          <w:color w:val="0070C0"/>
          <w:sz w:val="16"/>
          <w:szCs w:val="16"/>
        </w:rPr>
      </w:pPr>
    </w:p>
    <w:p w14:paraId="2B1C09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в еще одном набеге на Камыш-Бурун использовали последний оставшийся в распоряжении флота радиоуправляемый торпедный катер ТКА-41. Но и на этот раз в полутора милях от косы Камыш- Бурун ТКА-41 взорвался и затонул (12003).</w:t>
      </w:r>
    </w:p>
    <w:p w14:paraId="6DB598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AB5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г. вышел ПРИКАЗ № 0451 ЗАМЕСТИТЕЛЯ НАРОДНОГО КОМИССАРА ОБОРОНЫ О ВВЕДЕНИИ В ДЕЙСТВИЕ “ПОЛОЖЕНИЯ О ВОЕННОЙ ЦЕНЗУРЕ В КРАСНОЙ АРМИИ (НА ВОЕННОЕ ВРЕМЯ)”</w:t>
      </w:r>
    </w:p>
    <w:p w14:paraId="4C311B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Ввести в действие объявляемое при сем “Положение о военной цензуре в Красной Армии (на военное время)”.</w:t>
      </w:r>
    </w:p>
    <w:p w14:paraId="12ED8C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Приказ НКО СССР № 0131 от 22 июля 1935 г. отменить.</w:t>
      </w:r>
    </w:p>
    <w:p w14:paraId="3E4093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 xml:space="preserve">Заместитель Народного комиссара обороны Маршал Советского Союза ВАСИЛЕВСКИЙ </w:t>
      </w:r>
      <w:r w:rsidRPr="00271E51">
        <w:rPr>
          <w:rFonts w:ascii="Times New Roman" w:hAnsi="Times New Roman"/>
          <w:color w:val="000000" w:themeColor="text1"/>
          <w:sz w:val="16"/>
          <w:szCs w:val="16"/>
        </w:rPr>
        <w:t>(9844).</w:t>
      </w:r>
    </w:p>
    <w:p w14:paraId="4E5F0B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декабря 1943 года Зам. начальника Генерального штаба Красной Армии</w:t>
      </w:r>
    </w:p>
    <w:p w14:paraId="2F388A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генерал-лейтенант </w:t>
      </w:r>
      <w:r w:rsidRPr="00271E51">
        <w:rPr>
          <w:rFonts w:ascii="Times New Roman" w:hAnsi="Times New Roman"/>
          <w:iCs/>
          <w:color w:val="000000" w:themeColor="text1"/>
          <w:sz w:val="16"/>
          <w:szCs w:val="16"/>
        </w:rPr>
        <w:t xml:space="preserve">КАРПОНОСОВ </w:t>
      </w:r>
      <w:r w:rsidRPr="00271E51">
        <w:rPr>
          <w:rFonts w:ascii="Times New Roman" w:hAnsi="Times New Roman"/>
          <w:color w:val="000000" w:themeColor="text1"/>
          <w:sz w:val="16"/>
          <w:szCs w:val="16"/>
        </w:rPr>
        <w:t>утвердил:</w:t>
      </w:r>
    </w:p>
    <w:p w14:paraId="2719DB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ПОЛОЖЕНИЕ О ВОЕННОЙ ЦЕНЗУРЕ В КРАСНОЙ АРМИИ (на военное время)</w:t>
      </w:r>
    </w:p>
    <w:p w14:paraId="2618FA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Органы военной цензуры Красной Армии осуществляют контроль за содержанием всех печатных изданий, радиопередач и фото-кинопродукции, следя за тем, чтобы эти органы пропаганды не являлись средством для разглашения военной тайны.</w:t>
      </w:r>
    </w:p>
    <w:p w14:paraId="2759B9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Военной цензуре подвергается: военная печать (кроме приказов и директив) , военная фото-кинопродукция, военное радиовещание и военные выставки.</w:t>
      </w:r>
    </w:p>
    <w:p w14:paraId="3824A9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Военная цензура имеет право:</w:t>
      </w:r>
    </w:p>
    <w:p w14:paraId="719A0B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 разрешать или запрещать полностью или частично печатные издания, фото-кинопродукцию, материалы радиопередач, материалы для выставок и другие печатные </w:t>
      </w:r>
      <w:r w:rsidRPr="00271E51">
        <w:rPr>
          <w:rFonts w:ascii="Times New Roman" w:hAnsi="Times New Roman"/>
          <w:color w:val="000000" w:themeColor="text1"/>
          <w:sz w:val="16"/>
          <w:szCs w:val="16"/>
        </w:rPr>
        <w:lastRenderedPageBreak/>
        <w:t>материалы, издаваемые издательствами Красной Армии, Обо-ронгизом и Бюро новой техники, если в них прямо или косвенно разглашается военная тайна;</w:t>
      </w:r>
    </w:p>
    <w:p w14:paraId="3DB072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санкционировать снятие и изменение грифов, определяющих степень секретности печатных материалов;</w:t>
      </w:r>
    </w:p>
    <w:p w14:paraId="351BBC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контролировать военные типографии, а также гражданские типографии, исполняющие военные заказы, по выполнению ими правил производства и выпуска в свет произведений печати.</w:t>
      </w:r>
    </w:p>
    <w:p w14:paraId="0421C7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своей работе по разрешению или запрещению помещения в печать органы военной цензуры руководствуются соответствующими перечнями сведений, составляющих военную и государственную тайны, и указаниями начальника Генерального штаба Красной Армии.</w:t>
      </w:r>
    </w:p>
    <w:p w14:paraId="1EF09D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Непосредственную работу по военной цензуре в Красной Армии осуществляют:</w:t>
      </w:r>
    </w:p>
    <w:p w14:paraId="0FD048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центре — отдел военной цензуры Генерального штаба Красной Армии, работающий в тесном контакте с уполномоченным СНК СССР по охране военных и государственных тайн в печати и с управлением агитации и пропаганды ГлавПУРККА;</w:t>
      </w:r>
    </w:p>
    <w:p w14:paraId="4482DD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во фронтах, округах и армиях — военные цензоры соответствующих штабов, подчиненные непосредственно начальникам этих штабов и работающих на правах начальника отдела штаба;</w:t>
      </w:r>
    </w:p>
    <w:p w14:paraId="6B7E91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 соединениях — военные цензоры штабов, назначаемые приказами командиров соединений из числа наиболее подготовленных офицеров штабов, по согласовании кандидатур с военным цензором армии (округа). Военные цензоры соединений подчиняются непосредственно начальникам штабов соединений и выполняют цензорские обязанности по совместительству с обязанностями по своей штатной должности;</w:t>
      </w:r>
    </w:p>
    <w:p w14:paraId="71985E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в военных академиях, ЦДКА и других военных учреждениях — военные цензоры, назначаемые начальниками этих учреждений из числа их офицеров, по согласовании с отделом военной цензуры Генерального штаба.</w:t>
      </w:r>
    </w:p>
    <w:p w14:paraId="7D7900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Военные цензоры этих учреждений подчиняются непосредственно заместителям начальников учреждений, ведающим издательством, и выполняют цензорские обязанности по совместительству с обязанностями по своей штатной должности, под руководством отдела военной цензуры Генерального штаба. Примечание. В военных учреждениях цензоры назначаются лишь в случаях, когда это будет признано необходимым отделом военной цензуры Генерального штаба Красной Армии.</w:t>
      </w:r>
    </w:p>
    <w:p w14:paraId="261863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Все цензоры по своей специальной работе выполняют указания вышестоящего органа военной цензуры.</w:t>
      </w:r>
    </w:p>
    <w:p w14:paraId="10BDF7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На отдел военной цензуры Генерального штаба Красной Армии возлагается:</w:t>
      </w:r>
    </w:p>
    <w:p w14:paraId="62D56D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руководство работой и инспектирование военных цензоров фронтов, округов, академий и других учреждений Красной Армии;</w:t>
      </w:r>
    </w:p>
    <w:p w14:paraId="30DFDD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подбор и подготовка военных цензоров фронтов и округов;</w:t>
      </w:r>
    </w:p>
    <w:p w14:paraId="173AA8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разработка руководящих документов по цензуре, согласование их и представление на утверждение начальнику Генерального штаба Красной Армии;</w:t>
      </w:r>
    </w:p>
    <w:p w14:paraId="404DA7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осуществление предварительной цензуры всех центральных военных изданий, газеты “Правда”, изданий Оборонгиза, Бюро новой техники, материалов Союзкинохроники, а также военных материалов центральных гражданских газет, журналов, ТАСС и материалов, выпускаемых для заграницы (ВОКС и др.);</w:t>
      </w:r>
    </w:p>
    <w:p w14:paraId="7E23B7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предварительная цензура изданий центральных управлений НКО и оборонных наркоматов;</w:t>
      </w:r>
    </w:p>
    <w:p w14:paraId="3B4693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последующий контроль фронтовой и армейской печати, а также печатной продукции центральных военных издательств;</w:t>
      </w:r>
    </w:p>
    <w:p w14:paraId="1D96E8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проверка центральных военных типографий и гражданских типографий г. Москвы, выполняющих военные заказы;</w:t>
      </w:r>
    </w:p>
    <w:p w14:paraId="416EE2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 осуществление связи с уполномоченным СНК СССР по охране военных и государственных тайн в печати.</w:t>
      </w:r>
    </w:p>
    <w:p w14:paraId="55FD18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Военный цензор фронта (округа):</w:t>
      </w:r>
    </w:p>
    <w:p w14:paraId="699BBD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осуществляет предварительную цензуру фронтовой (окружной) печати и материалов радиовещания;</w:t>
      </w:r>
    </w:p>
    <w:p w14:paraId="16CE9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осуществляет последующий контроль газет армий и соединений;</w:t>
      </w:r>
    </w:p>
    <w:p w14:paraId="0F129F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контролирует и инструктирует работающих на территории фронта (округа) кинооператоров и фотокорреспондентов по вопросам сохранения военной тайны;</w:t>
      </w:r>
    </w:p>
    <w:p w14:paraId="587221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подбирает военных цензоров армий и руководит их работой и специальной подготовкой;</w:t>
      </w:r>
    </w:p>
    <w:p w14:paraId="2D8B3B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подготовляет, исходя из конкретных условий деятельности фронта (округа) , проекты указаний командования по вопросам сохранения военной тайны в печати;</w:t>
      </w:r>
    </w:p>
    <w:p w14:paraId="51688B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поверяет военные типографии фронта и гражданские типографии, выполняющие заказы учреждений фронта;</w:t>
      </w:r>
    </w:p>
    <w:p w14:paraId="32C05D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поддерживает деловую связь с местными органами Главлита</w:t>
      </w:r>
      <w:r w:rsidRPr="00271E51">
        <w:rPr>
          <w:rFonts w:ascii="Times New Roman" w:hAnsi="Times New Roman"/>
          <w:color w:val="000000" w:themeColor="text1"/>
          <w:sz w:val="16"/>
          <w:szCs w:val="16"/>
          <w:vertAlign w:val="superscript"/>
        </w:rPr>
        <w:t>47</w:t>
      </w:r>
      <w:r w:rsidRPr="00271E51">
        <w:rPr>
          <w:rFonts w:ascii="Times New Roman" w:hAnsi="Times New Roman"/>
          <w:color w:val="000000" w:themeColor="text1"/>
          <w:sz w:val="16"/>
          <w:szCs w:val="16"/>
        </w:rPr>
        <w:t xml:space="preserve"> и осуществляет, лично или через нижестоящих цензоров, предварительную цензуру гражданской печати на освобождаемой от противника территории до организации там органов Главлита.</w:t>
      </w:r>
    </w:p>
    <w:p w14:paraId="18C72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Военный цензор армии:</w:t>
      </w:r>
    </w:p>
    <w:p w14:paraId="2B41BC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осуществляет цензуру армейской печати и радиопередач, а также последующий контроль газет соединений;</w:t>
      </w:r>
    </w:p>
    <w:p w14:paraId="13E289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подготовляет проекты указаний командования армии по сохранению военной тайны в печати соединений;</w:t>
      </w:r>
    </w:p>
    <w:p w14:paraId="74C3D8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руководит работой военных цензоров соединений;</w:t>
      </w:r>
    </w:p>
    <w:p w14:paraId="18522D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поверяет военные типографии.</w:t>
      </w:r>
    </w:p>
    <w:p w14:paraId="23A697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Военный цензор соединения (академии, учреждения НКО) осуществляет предварительную цензуру всей издаваемой соединением (академией, учреждением) печатной продукции.</w:t>
      </w:r>
    </w:p>
    <w:p w14:paraId="49212D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Военный цензор фронта (округа) назначается приказом Главного управления кадров НКО; военный цензор армии подбирается цензором фронта и назначается приказом военного совета фронта.</w:t>
      </w:r>
    </w:p>
    <w:p w14:paraId="18E260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Стенные газеты и боевые листки учреждений, частей и подразделений Красной Армии органами военной цензуры не проверяются, а разрешаются к выпуску соответствующими начальниками штабов, а где их не положено — заместителями командиров (начальников) по политчасти или командирами (начальниками).</w:t>
      </w:r>
    </w:p>
    <w:p w14:paraId="3F9FC4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Решения военных цензоров о снятии материала, а также о внесении поправок подлежат беспрекословному и немедленному исполнению.</w:t>
      </w:r>
    </w:p>
    <w:p w14:paraId="6F4693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Все спорные вопросы по цензуре решаются: в центре — начальником отдела военной цензуры Генерального штаба Красной Армии, во фронтах, округах, армиях и соединениях — начальниками соответствующих штабов, решения которых являются окончательными.</w:t>
      </w:r>
    </w:p>
    <w:p w14:paraId="0190A9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 Цензурная работа является секретной и все цензурные изменения, вычерки и изъятия могут быть известны, кроме цензора, только редактору, его заместителю и их прямым начальникам.</w:t>
      </w:r>
    </w:p>
    <w:p w14:paraId="25C88B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Начальник отдела военной цензуры Генерального штаба Красной Армии полковник БЕРЕЗИН</w:t>
      </w:r>
      <w:r w:rsidRPr="00271E51">
        <w:rPr>
          <w:rFonts w:ascii="Times New Roman" w:hAnsi="Times New Roman"/>
          <w:color w:val="000000" w:themeColor="text1"/>
          <w:sz w:val="16"/>
          <w:szCs w:val="16"/>
        </w:rPr>
        <w:t xml:space="preserve"> (9844).</w:t>
      </w:r>
    </w:p>
    <w:p w14:paraId="198C9F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6057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279CEA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8BBF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 декабря 1943 в Харькове начался второй за время войны суд над военными преступниками - перед судом предстали три гестаповца и русский полицай (4962).</w:t>
      </w:r>
    </w:p>
    <w:p w14:paraId="007F2E5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2B50E" w14:textId="359C7016" w:rsidR="00463BF9" w:rsidRPr="00271E51" w:rsidRDefault="00463BF9"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0B1B92B0" w14:textId="77777777" w:rsidR="00463BF9" w:rsidRPr="00271E51" w:rsidRDefault="00463BF9"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347950F" w14:textId="77777777" w:rsidR="00463BF9" w:rsidRPr="00271E51" w:rsidRDefault="00463B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16–17 декабря (ночь) 1943 493 британских бомбардировщика атакуют Берлин. Немецкие ночные истребители непрерывно перехватывают их от побережья Нидерландов до цели, и 25 «Ланкастеров» (5,2% сил) сбиты; в налете впервые используется система радиолокационного самонаведения на четыре британских ночных истребителях и и они повреждают один Messerschmitt Bf 110. Большинство бомб падает на город; отмечено повреждение поездов с оружием и людьми, а также ущерб зданиям, нанесенный этой атакой в сочетании с более ранними атаками таким образом, что одна четверть берлинских домов - разрушена. Еще 29 Lancasters терпят крушение по возвращении в Англию из-за низкой облачности на их базах (20376).</w:t>
      </w:r>
    </w:p>
    <w:p w14:paraId="5C2E417B" w14:textId="77777777" w:rsidR="00463BF9" w:rsidRPr="00271E51" w:rsidRDefault="00463BF9" w:rsidP="00271E51">
      <w:pPr>
        <w:spacing w:after="0" w:line="240" w:lineRule="auto"/>
        <w:jc w:val="both"/>
        <w:rPr>
          <w:rFonts w:ascii="Times New Roman" w:hAnsi="Times New Roman"/>
          <w:color w:val="0070C0"/>
          <w:sz w:val="16"/>
          <w:szCs w:val="16"/>
        </w:rPr>
      </w:pPr>
    </w:p>
    <w:p w14:paraId="7592EE23" w14:textId="77777777" w:rsidR="00463BF9" w:rsidRPr="00271E51" w:rsidRDefault="00463B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16–17 декабря (ночь) 1943 493 Бомбардировочное командование Королевских ВВС направляет 47 бомбардировщиков против двух площадок для запуска летающих бомб Фау-1 возле Абвиля , Франция. Один рейд терпит поражение, но другой, совершенный 617-й эскадрильей Lancasters, использующей 12 000-фунтовые (5 400 кг) бомбы Tallboy, наносит урон своей цели (20376).</w:t>
      </w:r>
    </w:p>
    <w:p w14:paraId="20C6A87B" w14:textId="77777777" w:rsidR="00463BF9" w:rsidRPr="00271E51" w:rsidRDefault="00463BF9" w:rsidP="00271E51">
      <w:pPr>
        <w:spacing w:after="0" w:line="240" w:lineRule="auto"/>
        <w:jc w:val="both"/>
        <w:rPr>
          <w:rFonts w:ascii="Times New Roman" w:hAnsi="Times New Roman"/>
          <w:color w:val="0070C0"/>
          <w:sz w:val="16"/>
          <w:szCs w:val="16"/>
        </w:rPr>
      </w:pPr>
    </w:p>
    <w:p w14:paraId="5B6162A2" w14:textId="77777777" w:rsidR="00463BF9" w:rsidRPr="00271E51" w:rsidRDefault="00463BF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16–17 декабря 1943 практически непрерывные безответные атаки японской авиации на десант в Араве повреждают и уничтожают различные десантные и малые корабли США (20376).</w:t>
      </w:r>
    </w:p>
    <w:p w14:paraId="4211B778" w14:textId="77777777" w:rsidR="00463BF9" w:rsidRPr="00271E51" w:rsidRDefault="00463BF9" w:rsidP="00271E51">
      <w:pPr>
        <w:spacing w:after="0" w:line="240" w:lineRule="auto"/>
        <w:jc w:val="both"/>
        <w:rPr>
          <w:rFonts w:ascii="Times New Roman" w:hAnsi="Times New Roman"/>
          <w:color w:val="0070C0"/>
          <w:sz w:val="16"/>
          <w:szCs w:val="16"/>
        </w:rPr>
      </w:pPr>
    </w:p>
    <w:p w14:paraId="2A20DFD9" w14:textId="7198B9C4"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A385C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3EA9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И.о. нач. инспекции при наркоме Мыздриков писал А.И.Ш. докладную записку N 6344:</w:t>
      </w:r>
    </w:p>
    <w:p w14:paraId="520180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"Докладная записка по вопросу постройки и летных испытаний самолетов Ил с АМ-42</w:t>
      </w:r>
    </w:p>
    <w:p w14:paraId="1EB2A4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Приказом N 594 от 11 октября с.г. и N 684 от 15 ноября 1943 в исполнение постановления ГКО N 4427 от 26 октября с.г. обязывались:</w:t>
      </w:r>
    </w:p>
    <w:p w14:paraId="4651FE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 ГК завода 240 С.В.И. закончить летные испытания бронированного штурмовика Ил с АМ-42 и предъявить его на гос. испытания в НИИ ВВС к 15 ноября с.г.</w:t>
      </w:r>
    </w:p>
    <w:p w14:paraId="529234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Директору завода 1 Третьякову построить истребитель с АМ-42 и предъявить его к 20 ноября с.г. заводу 240.</w:t>
      </w:r>
    </w:p>
    <w:p w14:paraId="4DF91A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Директору завода 18 Белянскому построить 2 экз. самолета Ил с АМ-42 к 10 декабря с.г.:</w:t>
      </w:r>
    </w:p>
    <w:p w14:paraId="686AC0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самолету Ил-2 с АМ-42, построенному на заводе 240</w:t>
      </w:r>
    </w:p>
    <w:p w14:paraId="6276D1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об окончании заводских летных испытаний самолета и передаче его на гос. испытания к 15 ноября с.г. не выполнен.</w:t>
      </w:r>
    </w:p>
    <w:p w14:paraId="0343B0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Заводские летные испытания до сих пор не закончены.</w:t>
      </w:r>
    </w:p>
    <w:p w14:paraId="56CB49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причинами, тормозящими окончание летных испытаний, являются:</w:t>
      </w:r>
    </w:p>
    <w:p w14:paraId="4FDDFC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неудовлетворительная работа мотора. За время летных испытаний сменено 4 мотора. В полете наблюдается значительная тряска мотора.</w:t>
      </w:r>
    </w:p>
    <w:p w14:paraId="123840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затянувшаяся отработка системы охлаждения воды и масла. Имеет место неудовлетворительный диапазон перепада температур входящего и выходящего масла, равный 18-23 гр.</w:t>
      </w:r>
    </w:p>
    <w:p w14:paraId="131FB8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 смененные на самолете и последний, установленный мотор на самолете, имеют прогрессирующее увеличение теплоотдачи в масло: на первом моторе теплоотдача была 1400 калорий в минуту, на последующих они увеличивались и на установленном 9 декабря 1943 моторе теплоотдача равна 1600 калорий в минуту. Увеличение теплоотдачи осложняет отработку системы охлаждения.</w:t>
      </w:r>
    </w:p>
    <w:p w14:paraId="430883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Наблюдаемая в полете тряска моторов АМ-42 исключает, даже при отработке системы охлаждения, передачу машины на гос. испытания.</w:t>
      </w:r>
    </w:p>
    <w:p w14:paraId="389D10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предложению инспекции зам. нач. 7 ГУ Алексеевым приняты меры помощи ОКБ-240 по доводке системы охлаждения самолета, на завод 240 послан инженер ЦАГИ.</w:t>
      </w:r>
    </w:p>
    <w:p w14:paraId="7C9BEA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По самолетам Ил с АМ-42, строящимся на заводах 1 и 18</w:t>
      </w:r>
    </w:p>
    <w:p w14:paraId="047F83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 обязанный построить самолет и передать его заводу 240 к 20 ноября - приказа не выполнил. Указанный самолет завода 1 стоит уже в течение 6 месяцев: 16 июня с.г. приказом N 364 завод был обязан построить этот самолет к 1 сентября с.г., чертежи ГК были переданы 1 июля с.г., но до сих пор самолет не построен. Директор завода Третьяков и 10 ГУ несмотря на предложения Инспекции, никаких мер к выполнению приказа не приняли.</w:t>
      </w:r>
    </w:p>
    <w:p w14:paraId="2AF1C5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18, обязанный построить самолет к 10 декабря с.г. приказа не выполнил.</w:t>
      </w:r>
    </w:p>
    <w:p w14:paraId="182F6C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1 и 18 АМ-42 обеспечены, завод 24 поставил моторы 12 ноября с.г.</w:t>
      </w:r>
    </w:p>
    <w:p w14:paraId="6E600B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Инспекция просит Ваших указаний.</w:t>
      </w:r>
    </w:p>
    <w:p w14:paraId="759FA5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8 ГУ Поликовскому об ускорении доводочных работ по АМ-42 на самолете завода 240.</w:t>
      </w:r>
    </w:p>
    <w:p w14:paraId="08984A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Зам. наркома и нач. 10 ГУ Кузнецову о принятии мер по обеспечению окончания постройки самолетов Ил с АМ-42 заводами 1 и 18 до 31 декабря с.г." (1784,22).</w:t>
      </w:r>
    </w:p>
    <w:p w14:paraId="556E65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88690" w14:textId="77777777" w:rsidR="00B17796" w:rsidRPr="00271E51" w:rsidRDefault="00B1779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декабря 1943 и.о. начальника инспекции при наркоме С. Мыздриков подал А.И. Шахурину докладную записку № 6344 по вопросу постройки и летных испытаний самолетов Ил с АМ-42: «…1. По самолету Ил-2 с АМ-42, построенному на заводе № 240. Приказ об окончании заводских летных испытаний самолета и передаче его на гос. испытания к 15 ноября с/г не выполнен. Заводские летные испытания до сих пор не закончены. Основными причинами, тормозящими окончание летных испытаний, являются: а) неудовлетворительная работа мотора. За время летных испытаний сменено 4 мотора. В полете наблюдается значительная тряска мотора. б) затянувшаяся отработка системы охлаждения воды и масла. Имеет место неудовлетворительный диапазон перепада температур входящего и выходящего масла… Наблюдаемая в полете тряска моторов АМ-42 исключает, даже при отработке системы охлаждения, передачу машины на гос. испытания. По предложению инспекции зам. начальника 7 ГУ Алексеевым приняты меры помощи ОКБ240 по доводке системы охлаждения самолета, на завод 240 послан инженер ЦАГИ. 2. По самолетам Ил с АМ-42, строящимся на заводах № 1 и № 18. Завод № 1, обязанный построить самолет и передать его заводу № 240 к 20 ноября – приказа не выполнил. Указанный самолет завода № 1 стоит уже в течение 6 месяцев: 16 июня с/г приказом № 364 завод был обязан построить этот самолет к 1 сентября с/г, чертежи ГК были переданы 1 июля с/г, но до сих пор самолет не построен. Директор завода Третьяков и 10 ГУ несмотря на предложения Инспекции, никаких мер к выполнению приказа не приняли. Завод № 18, обязанный построить самолет к 10 декабря с/г приказа не выполнил. Заводы №1 и № 18 АМ-42 обеспечены, завод 24 поставил моторы12 ноября с/г…» (21005).</w:t>
      </w:r>
    </w:p>
    <w:p w14:paraId="75EEF2B7" w14:textId="77777777" w:rsidR="00B17796" w:rsidRPr="00271E51" w:rsidRDefault="00B17796" w:rsidP="00271E51">
      <w:pPr>
        <w:spacing w:after="0" w:line="240" w:lineRule="auto"/>
        <w:jc w:val="both"/>
        <w:rPr>
          <w:rFonts w:ascii="Times New Roman" w:hAnsi="Times New Roman"/>
          <w:color w:val="0070C0"/>
          <w:sz w:val="16"/>
          <w:szCs w:val="16"/>
        </w:rPr>
      </w:pPr>
    </w:p>
    <w:p w14:paraId="073B42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года С. Шишкин писал письмо Шахурину.</w:t>
      </w:r>
    </w:p>
    <w:p w14:paraId="0770CF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Вашему указанию, докладываю по вопросу о модификации самолета Пе-8:</w:t>
      </w:r>
    </w:p>
    <w:p w14:paraId="0DE5A0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летно-тактических качеств самолета Пе-8, гл. конструктором Незваль разработаны мероприятия, предусматривающие введение ряда конструктивных улучшений самолета, уменьшающих его лобовое сопротивление, применение дизель-моторов М-31, усиление стрелкового вооружения, внутреннюю подвеску бомбы калибра 5000 кг и увеличение общей бомбовой нагрузки до 8000 кг.</w:t>
      </w:r>
    </w:p>
    <w:p w14:paraId="3D37DE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Представленный Незваль эскизный проект рассмотрела экспертная комиссия НКАП и сделала рекомендации по улучшению обстрела носовых стрелковых установок.</w:t>
      </w:r>
    </w:p>
    <w:p w14:paraId="236DAD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Вашим приказом за N 619с от 18 октября с.г. на заводе N 22 ведутся работы по постройке модифицированного самолета Пе-8 с моторами М-82ФН, на котором и осуществляются основные мероприятия по улучшению самолета.</w:t>
      </w:r>
    </w:p>
    <w:p w14:paraId="419F89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что применение дизель-моторов М-31 на самолете Пе-8 потребует, в дальнейшем, изменения только винтомоторных групп и что летную отработку этих моторов можно произвести в более короткий срок на двухмоторном самолете Ер-2, задание Незваль по установке дизель-моторов М-31 целесообразно выдать после выпуска модифицированного самолета Пе-8 с М-82ФН (1458,342).</w:t>
      </w:r>
    </w:p>
    <w:p w14:paraId="20594B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DEB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Зам. ГИ ВВС Лапин утвердил эскизный проект ТИС 2АМ-39 Н.Н.П. Ответственным исполнителем стал л-и-к Г.А.Седов (2349,26).</w:t>
      </w:r>
    </w:p>
    <w:p w14:paraId="3CFC0E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DE6A3" w14:textId="77777777" w:rsidR="00CD2F38" w:rsidRPr="00271E51" w:rsidRDefault="00CD2F38" w:rsidP="00271E51">
      <w:pPr>
        <w:pStyle w:val="27"/>
        <w:shd w:val="clear" w:color="auto" w:fill="auto"/>
        <w:tabs>
          <w:tab w:val="left" w:pos="2242"/>
        </w:tabs>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17 декабря 1943 г. эскизный проект ТИС 2АМ-39 был утвержден заместите</w:t>
      </w:r>
      <w:r w:rsidRPr="00271E51">
        <w:rPr>
          <w:rFonts w:ascii="Times New Roman" w:cs="Times New Roman"/>
          <w:color w:val="000000" w:themeColor="text1"/>
          <w:spacing w:val="0"/>
        </w:rPr>
        <w:softHyphen/>
        <w:t>лем Главного инженера ВВС генералом А.А. Лапиным. Ответственным исполни</w:t>
      </w:r>
      <w:r w:rsidRPr="00271E51">
        <w:rPr>
          <w:rFonts w:ascii="Times New Roman" w:cs="Times New Roman"/>
          <w:color w:val="000000" w:themeColor="text1"/>
          <w:spacing w:val="0"/>
        </w:rPr>
        <w:softHyphen/>
        <w:t>телем по испытаниям самолета от НИИ ВВС был назначен инженер-капитан Г.А. Седов.</w:t>
      </w:r>
    </w:p>
    <w:p w14:paraId="7215D8B9"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выводах по проекту начальник 2-го отделения 3-го отдела НИИ ВВС инженер-подполковник А.Г. Кочетков отмечал, что запроектированная мак</w:t>
      </w:r>
      <w:r w:rsidRPr="00271E51">
        <w:rPr>
          <w:rFonts w:ascii="Times New Roman" w:cs="Times New Roman"/>
          <w:color w:val="000000" w:themeColor="text1"/>
          <w:spacing w:val="0"/>
        </w:rPr>
        <w:softHyphen/>
        <w:t>симальная скорость и дальность поле</w:t>
      </w:r>
      <w:r w:rsidRPr="00271E51">
        <w:rPr>
          <w:rFonts w:ascii="Times New Roman" w:cs="Times New Roman"/>
          <w:color w:val="000000" w:themeColor="text1"/>
          <w:spacing w:val="0"/>
        </w:rPr>
        <w:softHyphen/>
        <w:t>та реальные, а разбег при взлете и вре</w:t>
      </w:r>
      <w:r w:rsidRPr="00271E51">
        <w:rPr>
          <w:rFonts w:ascii="Times New Roman" w:cs="Times New Roman"/>
          <w:color w:val="000000" w:themeColor="text1"/>
          <w:spacing w:val="0"/>
        </w:rPr>
        <w:softHyphen/>
        <w:t>мя подъема на высоту 5000 м, наоборот, будут больше, чем по проекту - 590 м и 7,5 мин, соответственно. Посадочная скорость оценивалась в 160 км/ч, про</w:t>
      </w:r>
      <w:r w:rsidRPr="00271E51">
        <w:rPr>
          <w:rFonts w:ascii="Times New Roman" w:cs="Times New Roman"/>
          <w:color w:val="000000" w:themeColor="text1"/>
          <w:spacing w:val="0"/>
        </w:rPr>
        <w:softHyphen/>
        <w:t>бег при посадке - 550-575 м.</w:t>
      </w:r>
    </w:p>
    <w:p w14:paraId="4B28256C"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Тем не менее, несмотря на некото</w:t>
      </w:r>
      <w:r w:rsidRPr="00271E51">
        <w:rPr>
          <w:rFonts w:ascii="Times New Roman" w:cs="Times New Roman"/>
          <w:color w:val="000000" w:themeColor="text1"/>
          <w:spacing w:val="0"/>
        </w:rPr>
        <w:softHyphen/>
        <w:t>рое расхождение в оценках, получение заявленных летных данных самолета считалось вполне реальным.</w:t>
      </w:r>
    </w:p>
    <w:p w14:paraId="5E306F95"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Не устроила военных система защи</w:t>
      </w:r>
      <w:r w:rsidRPr="00271E51">
        <w:rPr>
          <w:rFonts w:ascii="Times New Roman" w:cs="Times New Roman"/>
          <w:color w:val="000000" w:themeColor="text1"/>
          <w:spacing w:val="0"/>
        </w:rPr>
        <w:softHyphen/>
        <w:t>ты экипажа, которая включала только бронеспинку у летчика. Схему брониро</w:t>
      </w:r>
      <w:r w:rsidRPr="00271E51">
        <w:rPr>
          <w:rFonts w:ascii="Times New Roman" w:cs="Times New Roman"/>
          <w:color w:val="000000" w:themeColor="text1"/>
          <w:spacing w:val="0"/>
        </w:rPr>
        <w:softHyphen/>
        <w:t>вания требовалось доработать в сторо</w:t>
      </w:r>
      <w:r w:rsidRPr="00271E51">
        <w:rPr>
          <w:rFonts w:ascii="Times New Roman" w:cs="Times New Roman"/>
          <w:color w:val="000000" w:themeColor="text1"/>
          <w:spacing w:val="0"/>
        </w:rPr>
        <w:softHyphen/>
        <w:t>ну обеспечения угловой защиты летчика и стрелка-радиста от огня крупнокали</w:t>
      </w:r>
      <w:r w:rsidRPr="00271E51">
        <w:rPr>
          <w:rFonts w:ascii="Times New Roman" w:cs="Times New Roman"/>
          <w:color w:val="000000" w:themeColor="text1"/>
          <w:spacing w:val="0"/>
        </w:rPr>
        <w:softHyphen/>
        <w:t>берных пулеметов со стороны задней полусферы в диапазоне ±30° к оси само</w:t>
      </w:r>
      <w:r w:rsidRPr="00271E51">
        <w:rPr>
          <w:rFonts w:ascii="Times New Roman" w:cs="Times New Roman"/>
          <w:color w:val="000000" w:themeColor="text1"/>
          <w:spacing w:val="0"/>
        </w:rPr>
        <w:softHyphen/>
        <w:t>лета в горизонтальной и вертикальной плоскости.</w:t>
      </w:r>
    </w:p>
    <w:p w14:paraId="03358EAF"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Особое внимание обращалось на очень мощное вооружение самолета, которое обеспечивает эффективное по</w:t>
      </w:r>
      <w:r w:rsidRPr="00271E51">
        <w:rPr>
          <w:rFonts w:ascii="Times New Roman" w:cs="Times New Roman"/>
          <w:color w:val="000000" w:themeColor="text1"/>
          <w:spacing w:val="0"/>
        </w:rPr>
        <w:softHyphen/>
        <w:t>ражение любых воздушных целей, а при наличии бронирования позволит ис</w:t>
      </w:r>
      <w:r w:rsidRPr="00271E51">
        <w:rPr>
          <w:rFonts w:ascii="Times New Roman" w:cs="Times New Roman"/>
          <w:color w:val="000000" w:themeColor="text1"/>
          <w:spacing w:val="0"/>
        </w:rPr>
        <w:softHyphen/>
        <w:t>пользовать самолет по наземным це</w:t>
      </w:r>
      <w:r w:rsidRPr="00271E51">
        <w:rPr>
          <w:rFonts w:ascii="Times New Roman" w:cs="Times New Roman"/>
          <w:color w:val="000000" w:themeColor="text1"/>
          <w:spacing w:val="0"/>
        </w:rPr>
        <w:softHyphen/>
        <w:t>лям: автоколоннам, железнодорожным эшелонам, артиллерийским батареям и бронированным целям, имеющим бро</w:t>
      </w:r>
      <w:r w:rsidRPr="00271E51">
        <w:rPr>
          <w:rFonts w:ascii="Times New Roman" w:cs="Times New Roman"/>
          <w:color w:val="000000" w:themeColor="text1"/>
          <w:spacing w:val="0"/>
        </w:rPr>
        <w:softHyphen/>
        <w:t>ню до 30 мм.</w:t>
      </w:r>
    </w:p>
    <w:p w14:paraId="38AF841A"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Делался вывод, что ТИС 2АМ-39, не уступая по летным данным совре</w:t>
      </w:r>
      <w:r w:rsidRPr="00271E51">
        <w:rPr>
          <w:rFonts w:ascii="Times New Roman" w:cs="Times New Roman"/>
          <w:color w:val="000000" w:themeColor="text1"/>
          <w:spacing w:val="0"/>
        </w:rPr>
        <w:softHyphen/>
        <w:t>менным истребителям противника, имея мощное вооружение и большую дальность, может обеспечить надеж</w:t>
      </w:r>
      <w:r w:rsidRPr="00271E51">
        <w:rPr>
          <w:rFonts w:ascii="Times New Roman" w:cs="Times New Roman"/>
          <w:color w:val="000000" w:themeColor="text1"/>
          <w:spacing w:val="0"/>
        </w:rPr>
        <w:softHyphen/>
        <w:t>ное прикрытие бомбардировщиков при сопровождении или может вести эф</w:t>
      </w:r>
      <w:r w:rsidRPr="00271E51">
        <w:rPr>
          <w:rFonts w:ascii="Times New Roman" w:cs="Times New Roman"/>
          <w:color w:val="000000" w:themeColor="text1"/>
          <w:spacing w:val="0"/>
        </w:rPr>
        <w:softHyphen/>
        <w:t>фективную борьбу с бомбардировщика</w:t>
      </w:r>
      <w:r w:rsidRPr="00271E51">
        <w:rPr>
          <w:rFonts w:ascii="Times New Roman" w:cs="Times New Roman"/>
          <w:color w:val="000000" w:themeColor="text1"/>
          <w:spacing w:val="0"/>
        </w:rPr>
        <w:softHyphen/>
        <w:t>ми противника (15758).</w:t>
      </w:r>
    </w:p>
    <w:p w14:paraId="406B9996" w14:textId="77777777" w:rsidR="00CD2F38" w:rsidRPr="00271E51" w:rsidRDefault="00CD2F38" w:rsidP="00271E51">
      <w:pPr>
        <w:pStyle w:val="27"/>
        <w:shd w:val="clear" w:color="auto" w:fill="auto"/>
        <w:spacing w:after="0" w:line="240" w:lineRule="auto"/>
        <w:ind w:firstLine="0"/>
        <w:rPr>
          <w:rFonts w:ascii="Times New Roman" w:cs="Times New Roman"/>
          <w:color w:val="000000" w:themeColor="text1"/>
          <w:spacing w:val="0"/>
        </w:rPr>
      </w:pPr>
    </w:p>
    <w:p w14:paraId="7AEFEC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г. эскизный проект ТИС 2АМ-39 был утвержден Заместителем Главного инженера ВВС Лапиным (9649) Ответственным исполнителем по испытаниям был назначен помощник ведущего инженера, летчик инженер-капитан Г.А.Седов (позднее Герой Советского Союза, заслуженный летчик-испытатель. Заместитель Генерального конструктора в ОКБ им. А.И.Микояна).</w:t>
      </w:r>
    </w:p>
    <w:p w14:paraId="6152CD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по проекту, подписанных 1 декабря 1943 г. Начальником 2-го отделения 3 отдела НИИ ВВС КА инженер-подполковником А.Г.Кочетковым, отмечалось, что:</w:t>
      </w:r>
    </w:p>
    <w:p w14:paraId="40B54A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получение заявленных летных данных реально;</w:t>
      </w:r>
    </w:p>
    <w:p w14:paraId="060A8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вооружение удовлетворяет;</w:t>
      </w:r>
    </w:p>
    <w:p w14:paraId="5D7D96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не у ступая по летным данным современным истребителям противника, имея мощное вооружение и большую дальность самолет может обеспечить надежное прикрытие бомбардировщиков при сопровождении или может вести эффективную борьбу с бомбардировщиками противника...”</w:t>
      </w:r>
    </w:p>
    <w:p w14:paraId="3610F1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подписанным 12 декабря 1943 г. Начальником НИИ ВВС Лосюковым и Начальником 3 отдела НИИ ВВС КА инженер-полковником Сафроновым отмечалось:</w:t>
      </w:r>
    </w:p>
    <w:p w14:paraId="431BFF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Является нужным для ВВС КА самолетом;</w:t>
      </w:r>
    </w:p>
    <w:p w14:paraId="2427DA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Просить Шахурина:</w:t>
      </w:r>
    </w:p>
    <w:p w14:paraId="280894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 выделить 2 мотора АМ-39</w:t>
      </w:r>
    </w:p>
    <w:p w14:paraId="6C2FC0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довести до летного состояния и предъявить на госиспытания к 1 февраля 1944 г.”.</w:t>
      </w:r>
    </w:p>
    <w:p w14:paraId="7EFA86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М. Стефановский написал: “С заключением согласен”.</w:t>
      </w:r>
    </w:p>
    <w:p w14:paraId="6C10C0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материалах Заключения на эскизный проект отмечалось, что самолет предназначен в качестве истребителя сопровождения бомбардировщиков, действующих в радиусе 1000 км.</w:t>
      </w:r>
    </w:p>
    <w:p w14:paraId="59C264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самолет может быть использован в качестве ночного истребителя, а также (в перегрузочном варианте) в качестве ближнего пикирующего бомбардировщика.</w:t>
      </w:r>
    </w:p>
    <w:p w14:paraId="119DFF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самолета было необычайно мощным и состояло из:</w:t>
      </w:r>
    </w:p>
    <w:p w14:paraId="7554D9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носовой пушечной батареи из двух пушек ШВАК с запасом 300 снарядов;</w:t>
      </w:r>
    </w:p>
    <w:p w14:paraId="531C07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центропланной установки из двух пушек НС-45 калибра 45 мм с запасом</w:t>
      </w:r>
    </w:p>
    <w:p w14:paraId="755BCB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 снарядов (НС-45 могли быть заменены на пушки калибра 37 мм);</w:t>
      </w:r>
    </w:p>
    <w:p w14:paraId="5D9CB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верхней оборонительной установки ВУБ-3 под пулеметУБ с запасом 200 патронов;</w:t>
      </w:r>
    </w:p>
    <w:p w14:paraId="5FA674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бомбовой нагрузки 1000 кг (2 по 500 кг) снаружи, предусматривались 2 балки внутри фюзеляжа под бомбы калибра 100 кг, но при условии снятия центропланных пушек.</w:t>
      </w:r>
    </w:p>
    <w:p w14:paraId="0FD50A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отметить, что в Заключении была сделана запись: “Данное вооружение обеспечивает эффективное поражение любых воздушных целей, а при наличии бронирования позволит использовать самолет по наземным целям: автоколоннам, железнодорожным эшелонам, артиллерийским батареям и бронированным целям, имеющим броню до 30 мм” (9649).</w:t>
      </w:r>
    </w:p>
    <w:p w14:paraId="7AFF90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5C3CD"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17 декабря 1943 г. эскизный проект ТИС 2АМ-39 был утвержден заместителем главного инженера ВВС генералом А. А. Лапиным. Ответственным ис</w:t>
      </w:r>
      <w:r w:rsidRPr="00271E51">
        <w:rPr>
          <w:color w:val="000000" w:themeColor="text1"/>
          <w:sz w:val="16"/>
          <w:szCs w:val="16"/>
        </w:rPr>
        <w:softHyphen/>
        <w:t>полнителем по испытаниям самолета от НИИ ВВС был назначен инженер-капитан Г. А. Седов.</w:t>
      </w:r>
    </w:p>
    <w:p w14:paraId="2A456D82"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выводах по проекту начальник 2-го отделе</w:t>
      </w:r>
      <w:r w:rsidRPr="00271E51">
        <w:rPr>
          <w:color w:val="000000" w:themeColor="text1"/>
          <w:sz w:val="16"/>
          <w:szCs w:val="16"/>
        </w:rPr>
        <w:softHyphen/>
        <w:t>ния 3-го отдела НИИ ВВС инженер-подполковник А. Г. Кочетков отмечал, что «запроектированная максимальная скорость» и дальность полета реаль</w:t>
      </w:r>
      <w:r w:rsidRPr="00271E51">
        <w:rPr>
          <w:color w:val="000000" w:themeColor="text1"/>
          <w:sz w:val="16"/>
          <w:szCs w:val="16"/>
        </w:rPr>
        <w:softHyphen/>
        <w:t>ные, а разбег при взлете и время подъема на вы</w:t>
      </w:r>
      <w:r w:rsidRPr="00271E51">
        <w:rPr>
          <w:color w:val="000000" w:themeColor="text1"/>
          <w:sz w:val="16"/>
          <w:szCs w:val="16"/>
        </w:rPr>
        <w:softHyphen/>
        <w:t>соту 5000 м, наоборот, будут больше, чем по про</w:t>
      </w:r>
      <w:r w:rsidRPr="00271E51">
        <w:rPr>
          <w:color w:val="000000" w:themeColor="text1"/>
          <w:sz w:val="16"/>
          <w:szCs w:val="16"/>
        </w:rPr>
        <w:softHyphen/>
        <w:t>екту — 590 м и 7,5 мин соответственно. Посадоч</w:t>
      </w:r>
      <w:r w:rsidRPr="00271E51">
        <w:rPr>
          <w:color w:val="000000" w:themeColor="text1"/>
          <w:sz w:val="16"/>
          <w:szCs w:val="16"/>
        </w:rPr>
        <w:softHyphen/>
        <w:t>ная скорость оценивалась в 160 км/ч, пробег при посадке — 550—575 м.</w:t>
      </w:r>
    </w:p>
    <w:p w14:paraId="4486EC7E"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Тем не менее, несмотря на некоторое расхожде</w:t>
      </w:r>
      <w:r w:rsidRPr="00271E51">
        <w:rPr>
          <w:color w:val="000000" w:themeColor="text1"/>
          <w:sz w:val="16"/>
          <w:szCs w:val="16"/>
        </w:rPr>
        <w:softHyphen/>
        <w:t>ние в оценках, получение заявленных летных дан</w:t>
      </w:r>
      <w:r w:rsidRPr="00271E51">
        <w:rPr>
          <w:color w:val="000000" w:themeColor="text1"/>
          <w:sz w:val="16"/>
          <w:szCs w:val="16"/>
        </w:rPr>
        <w:softHyphen/>
        <w:t>ных самолета считалось вполне реальным.</w:t>
      </w:r>
    </w:p>
    <w:p w14:paraId="072B7691"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 устроила военных система защиты экипажа, которая включала только бронеспинку у летчи</w:t>
      </w:r>
      <w:r w:rsidRPr="00271E51">
        <w:rPr>
          <w:color w:val="000000" w:themeColor="text1"/>
          <w:sz w:val="16"/>
          <w:szCs w:val="16"/>
        </w:rPr>
        <w:softHyphen/>
        <w:t>ка. Схему бронирования требовалось доработать в сторону обеспечения угловой защиты летчика и стрелка-радиста от огня крупнокалиберных пуле</w:t>
      </w:r>
      <w:r w:rsidRPr="00271E51">
        <w:rPr>
          <w:color w:val="000000" w:themeColor="text1"/>
          <w:sz w:val="16"/>
          <w:szCs w:val="16"/>
        </w:rPr>
        <w:softHyphen/>
        <w:t>метов со стороны задней полусферы в диапазоне ±30° к оси самолета в горизонтальной и вертикаль</w:t>
      </w:r>
      <w:r w:rsidRPr="00271E51">
        <w:rPr>
          <w:color w:val="000000" w:themeColor="text1"/>
          <w:sz w:val="16"/>
          <w:szCs w:val="16"/>
        </w:rPr>
        <w:softHyphen/>
        <w:t>ной плоскости.</w:t>
      </w:r>
    </w:p>
    <w:p w14:paraId="29705585"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Особое внимание обращалось на очень мощ</w:t>
      </w:r>
      <w:r w:rsidRPr="00271E51">
        <w:rPr>
          <w:color w:val="000000" w:themeColor="text1"/>
          <w:sz w:val="16"/>
          <w:szCs w:val="16"/>
        </w:rPr>
        <w:softHyphen/>
        <w:t>ное вооружение самолета, которое «обеспечивает эффективное поражение любых воздушных целей, а при наличии бронирования позволит использо</w:t>
      </w:r>
      <w:r w:rsidRPr="00271E51">
        <w:rPr>
          <w:color w:val="000000" w:themeColor="text1"/>
          <w:sz w:val="16"/>
          <w:szCs w:val="16"/>
        </w:rPr>
        <w:softHyphen/>
        <w:t>вать самолет по наземным целям: автоколоннам, железнодорожным эшелонам, артиллерийским ба</w:t>
      </w:r>
      <w:r w:rsidRPr="00271E51">
        <w:rPr>
          <w:color w:val="000000" w:themeColor="text1"/>
          <w:sz w:val="16"/>
          <w:szCs w:val="16"/>
        </w:rPr>
        <w:softHyphen/>
        <w:t>тареям и бронированным целям, имеющим броню до 30 мм».</w:t>
      </w:r>
    </w:p>
    <w:p w14:paraId="558D95AC" w14:textId="77777777" w:rsidR="00671CE1" w:rsidRPr="00271E51" w:rsidRDefault="00671CE1"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этому времени уже полным ходом шли работы по отладке мотора АМ-39 и винтомоторной группы на истребителе ИТП (М-2). Температура воды и мас</w:t>
      </w:r>
      <w:r w:rsidRPr="00271E51">
        <w:rPr>
          <w:color w:val="000000" w:themeColor="text1"/>
          <w:sz w:val="16"/>
          <w:szCs w:val="16"/>
        </w:rPr>
        <w:softHyphen/>
        <w:t>ла была высокой. Переборка и регулировка мотора и доработка водо- и маслосистемы обнадеживаю</w:t>
      </w:r>
      <w:r w:rsidRPr="00271E51">
        <w:rPr>
          <w:color w:val="000000" w:themeColor="text1"/>
          <w:sz w:val="16"/>
          <w:szCs w:val="16"/>
        </w:rPr>
        <w:softHyphen/>
        <w:t>щих результатов не дали. Все усилия оказались на</w:t>
      </w:r>
      <w:r w:rsidRPr="00271E51">
        <w:rPr>
          <w:color w:val="000000" w:themeColor="text1"/>
          <w:sz w:val="16"/>
          <w:szCs w:val="16"/>
        </w:rPr>
        <w:softHyphen/>
        <w:t>прасными. Вода и масло грелись. Причем наблюда</w:t>
      </w:r>
      <w:r w:rsidRPr="00271E51">
        <w:rPr>
          <w:color w:val="000000" w:themeColor="text1"/>
          <w:sz w:val="16"/>
          <w:szCs w:val="16"/>
        </w:rPr>
        <w:softHyphen/>
        <w:t>лась тенденция к росту температуры масла. Мотор работал неустойчиво, нещадно дымил, недодавал мощности. Стало ясно, что АМ-39 требует доводки в условиях моторного завода (17500).</w:t>
      </w:r>
    </w:p>
    <w:p w14:paraId="33B3D6D4" w14:textId="77777777" w:rsidR="00671CE1" w:rsidRPr="00271E51" w:rsidRDefault="00671CE1" w:rsidP="00271E51">
      <w:pPr>
        <w:pStyle w:val="12a"/>
        <w:shd w:val="clear" w:color="auto" w:fill="auto"/>
        <w:spacing w:after="0" w:line="240" w:lineRule="auto"/>
        <w:jc w:val="both"/>
        <w:rPr>
          <w:color w:val="000000" w:themeColor="text1"/>
          <w:sz w:val="16"/>
          <w:szCs w:val="16"/>
        </w:rPr>
      </w:pPr>
    </w:p>
    <w:p w14:paraId="154559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г. г.Москва вышел Приказ № 757с Народного Комиссара Авиационной Промышленности СССР А.Шахурина</w:t>
      </w:r>
    </w:p>
    <w:p w14:paraId="208F54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w:t>
      </w:r>
    </w:p>
    <w:p w14:paraId="35AFC4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15-го декабря 1943 года самолет У-2 завода № 464 производил полеты в районе завода поставщика № 41 и разбрасывал листовки с обращением к коллективу завода № 41 о том, что они срывают работу завода № 4 64 по выпуску самолетов для фронта и т.д.</w:t>
      </w:r>
    </w:p>
    <w:p w14:paraId="330EFB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Вылет самолетов, подготовка листовок и их разбрасывание над территорией завода № 41 производилось по прямому указанию ди­ректора завода № 4 64 тов. Шелухина.</w:t>
      </w:r>
    </w:p>
    <w:p w14:paraId="60CDE4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Расценивая поведение директора завода № 4 64 тов. Шелухина как самую недисциплинированную провокационную выходку, - при­казываю :</w:t>
      </w:r>
    </w:p>
    <w:p w14:paraId="55D6C5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Директору завода № 4 64 тов. Шелухину М.И. объявить строгий выговор с предупреждением.</w:t>
      </w:r>
    </w:p>
    <w:p w14:paraId="2B6A8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РТ. Ф. Р.-2845. Оп.З. Д.184. Л.472.Копия (11314).</w:t>
      </w:r>
    </w:p>
    <w:p w14:paraId="66A0AD9D" w14:textId="77777777" w:rsidR="00463BF9" w:rsidRPr="00271E51" w:rsidRDefault="00463BF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7F2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г. директору завода № 464 т. Шелухину был объявлен строгий выговор с предупреждением за недисциплинированность и провокационную выходку. Дело в том, что по приказу директора, 15 декабря 1943 г. заводской самолет У-2 производил полеты в районе завода – поставщика № 41, и разбрасывал листовки с обращением к коллективу завода о том, что они срывают работу завода № 464 по выпуску самолетов для фронта. Видимо, все другие способы воздействия на коллег были уже исчерпаны (12049).</w:t>
      </w:r>
    </w:p>
    <w:p w14:paraId="523C76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3ECCC"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9F033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EAF546" w14:textId="77777777" w:rsidR="00B17796" w:rsidRPr="00271E51" w:rsidRDefault="00B1779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декабря 1943 г. совместным приказом НКТП, НКВ, ГБТУ КА и ГАУ КА № 692с/642с/0146/0282 Е.А. Кульчицкий  был назначен председателем комиссии по испытанию опытных образцов 85-мм танковых пушек ЛБ-1, С-50 и С-53. Испытания этих пушек были проведены на ГАНИОПе в период с 27 по 31 декабря 1943 г., причем пушки ЛБ-1 и С-50 были установлены в танках Т-34 с башнями с увеличенным до 1600 мм диаметром шариковой опоры, а пушка С-53 – в танке Т-34 с серийной башней. Оценку работе комиссии, возглавляемой Е.А. Кульчицким, дали командующий БТ и МВ КА генерал-полковник танковых войск Я.Н. Федоренко и член военного совета генерал-лейтенант танковых войск Н.И. Бирюков. В докладе председателю ГКО Маршалу Советского Союза И.В. Сталину по вопросу перевооружения танков Т-34 они, в частности, сообщили:</w:t>
      </w:r>
    </w:p>
    <w:p w14:paraId="6CD067B4" w14:textId="77777777" w:rsidR="00B17796" w:rsidRPr="00271E51" w:rsidRDefault="00B1779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своем заключении комиссия совершенно правильно отмечает, что установка 85 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1227461A" w14:textId="77777777" w:rsidR="00B17796" w:rsidRPr="00271E51" w:rsidRDefault="00B1779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2224. Л. 42] (21209).</w:t>
      </w:r>
    </w:p>
    <w:p w14:paraId="07B90188" w14:textId="77777777" w:rsidR="00B17796" w:rsidRPr="00271E51" w:rsidRDefault="00B17796" w:rsidP="00271E51">
      <w:pPr>
        <w:spacing w:after="0" w:line="240" w:lineRule="auto"/>
        <w:jc w:val="both"/>
        <w:rPr>
          <w:rFonts w:ascii="Times New Roman" w:hAnsi="Times New Roman"/>
          <w:color w:val="0070C0"/>
          <w:sz w:val="16"/>
          <w:szCs w:val="16"/>
        </w:rPr>
      </w:pPr>
    </w:p>
    <w:p w14:paraId="3EE5B3A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вышло Распоряжение ГКО № 4797 [О передаче НКЭС подвижной электростанции с Алтайского тракторного завода.] (7165, 85).</w:t>
      </w:r>
    </w:p>
    <w:p w14:paraId="0D2AF36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789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вышло Распоряжение ГКО № 4798. О передаче 150 грузовых автомашин ЗИС-5 Наркомстрою для работ по восстановлению водоснабжения Донбасса.РГАНИР, Фонд ГКО, д. 183, лл. 86 (11012).</w:t>
      </w:r>
    </w:p>
    <w:p w14:paraId="58F50B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65607" w14:textId="77777777" w:rsidR="00CE2FBC"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D0F35FE" w14:textId="77777777" w:rsidR="00CE2FBC" w:rsidRPr="00271E51" w:rsidRDefault="00CE2FB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9716E2"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17 декабря </w:t>
      </w:r>
      <w:r w:rsidRPr="00271E51">
        <w:rPr>
          <w:rFonts w:ascii="Times New Roman" w:hAnsi="Times New Roman"/>
          <w:color w:val="000000" w:themeColor="text1"/>
          <w:sz w:val="16"/>
          <w:szCs w:val="16"/>
        </w:rPr>
        <w:t>в 1943 году оперативная сводка Совинформбюро:</w:t>
      </w:r>
    </w:p>
    <w:p w14:paraId="2E55AC20"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декабря на Кировоградском направлении наши войска, отбивая контратаки пехоты и танков противника, продолжали вести наступательные бои, в ходе которых улучшили свои позиции.</w:t>
      </w:r>
    </w:p>
    <w:p w14:paraId="27B9212B"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43A246C"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16 декабря наши войска на всех фронтах подбили и уничтожили 42 немецких танка. В воздушных боях и огнём зенитной артиллерии сбито 17 самолётов противника.</w:t>
      </w:r>
    </w:p>
    <w:p w14:paraId="459406BF"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 одном участке два полка пехоты и 70 танков противника перешли в контратаку. Встреченные артиллерийским огнём, немцы, не доходя до наших позиций, потеряли 15 танков. В ходе боя группе тяжёлых немецких танков и самоходных орудий удалось прорваться через боевые порядки наших войск. В глубине обороны враг был атакован советскими танкистами, находившимися в засаде. Все прорвавшиеся 12 вражеских танков типа «Тигр» и 6 самоходных орудий «Фердинанд» были уничтожены. В результате этого боя противник потерял убитыми свыше 800 своих солдат и офицеров. На другом участке советские гвардейские части вели наступательные бои и, сломив сопротивление немцев, улучшили свои позиции. Захвачены трофеи и пленные.</w:t>
      </w:r>
    </w:p>
    <w:p w14:paraId="5AD39A1D"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Советские лётчики, несмотря на неблагоприятные условия погоды, продолжали наносить удары по войскам и коммуникациям противника. В результате боевых действий авиации уничтожено и повреждено 10 немецких танков, 150 автомашин с войсками и грузами, взорвано несколько воинских эшелонов и складов боеприпасов, рассеяно и частью уничтожено до батальона пехоты противника.</w:t>
      </w:r>
    </w:p>
    <w:p w14:paraId="02CC2461"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имени товарища Сталина, действующий в одном из районов Пинской области, потопил в реке Припять два немецких моторных катера. Группа партизан этого же отряда пустила под откос воинский эшелон противника. Уничтожены паровоз и 10 платформ. Во время крушения разбиты 6 автомашин, 4 танка, убито и ранено свыше 40 гитлеровцев.</w:t>
      </w:r>
    </w:p>
    <w:p w14:paraId="6C9C488B"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ожесточённых боях Красная Армия наносит противнику большие потери в живой силе и технике. За последние месяцы наши войска на различных участках фронта разгромили ряд немецких соединений. Пленный обер-ефрейтор противотанковой роты 447 полка 137 немецкой пехотной дивизии Вальтер Кренцель сообщил: «В октябре русские отбросили нашу дивизию за Днепр. В боях на правом берегу реки она потерпела ряд поражений. В конце ноября в дивизии осталось только 300 активных штыков. Из остатков подразделений 447 полка создана боевая группа общим числом в 35 человек».</w:t>
      </w:r>
    </w:p>
    <w:p w14:paraId="4297FC40"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2 роты 113 полка 39 немецкой пехотной дивизии ГенрихПромас заявил: «От нашей дивизии уцелела небольшая горстка людей, объединённых в сводный батальон. Командир дивизии генерал-лейтенант Левенек и командир 113 полка полковник Кнетш убиты».</w:t>
      </w:r>
    </w:p>
    <w:p w14:paraId="5BB5087A"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солдат 306 полка 211 немецкой пехотной дивизии Пауль Ц. рассказал: «Я прибыл на Восточный фронт из Франции в составе 588 полка 321 пехотной дивизии. Этому полку не повезло: русские разбили его. Я был ранен и попал в госпиталь. Через месяц я выписался из госпиталя и получил направление в свою часть. Потратив пятнадцать дней на бесплодные поиски, мне удалось установить, что 321 дивизия разгромлена, а оставшиеся от неё в живых солдаты направлены в 306 полк 211 пехотной дивизии».</w:t>
      </w:r>
    </w:p>
    <w:p w14:paraId="4B13195F"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деревне Кобылёво, Полесской области: «Немецкие захватчики превратили в груду развалин нашу деревню. В конце января 1943 года в Кобылёво прибыл немецкий карательный отряд. За несколько дней гитлеровцы разгромили деревню и расстреляли 42 жителей. Спасаясь от фашистских убийц, население ушло в леса. Несколько месяцев деревня пустовала, в ней не было ни души. В мае немецкие военные власти предложили всем советским гражданам вернуться в свои деревни. Фашисты издали приказ, в котором заверяли крестьян, что отныне их жизнь будет в безопасности. Многие жители вернулись к себе домой, не подозревая, что немецкие провокаторы заманили их в ловушку. И действительно, вскоре в деревню приехал отряд эсэсовцев и полицейских. Палачи отобрали всех мужчин и расстреляли их. Затем фашистские изверги приступили к уничтожению женщин, подростков и детей. Матери умоляли пощадить детей, но немецкие солдаты били их прикладами. Убежать удалось очень немногим. Женщин и детей немцы запирали в дома, поджигали их, а всех, ктопытался выскочить, расстреливали из автоматов. По словам спасшейся Натальи Халимоненко и подростка Николая Скакун, в этот день эсэсовцы расстреляли и сожгли в Кобылёво до 900 жителей, в большинстве женщин и детей. После освобождения деревни от немецко-фашистских захватчиков советские бойцы обнаружили на окраине много трупов советских граждан, расстрелянных гитлеровскими палачами. На месте, где стояли дома Ивана Сыча, Фёдора Белого, Онуфрия Луцко и других колхозников, в развалинах и пепле обнаружены обгоревшие человеческие кости.</w:t>
      </w:r>
    </w:p>
    <w:p w14:paraId="36C11E50"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Главными виновниками этих чудовищных злодеяний мы считаем начальника жандармерии Василевичского района обер-лейтенанта Клаяузе, немецкого коменданта Ионуса и других немецко-фашистских мерзавцев».</w:t>
      </w:r>
    </w:p>
    <w:p w14:paraId="29B4C3DF"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подполковник юстиции Васильев, майор Ребров, майор медицинской службы Мануйлов и председатель сельсовета Гайдаш.» (14863).</w:t>
      </w:r>
    </w:p>
    <w:p w14:paraId="16CB0F91" w14:textId="77777777" w:rsidR="00CE2FBC" w:rsidRPr="00271E51" w:rsidRDefault="00CE2FBC" w:rsidP="00271E51">
      <w:pPr>
        <w:spacing w:after="0" w:line="240" w:lineRule="auto"/>
        <w:jc w:val="both"/>
        <w:rPr>
          <w:rFonts w:ascii="Times New Roman" w:hAnsi="Times New Roman"/>
          <w:color w:val="000000" w:themeColor="text1"/>
          <w:sz w:val="16"/>
          <w:szCs w:val="16"/>
        </w:rPr>
      </w:pPr>
    </w:p>
    <w:p w14:paraId="0720E11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36786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B1B59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вышла [Телеграмма ГКО секретарям райкомов, горкомов, обкомов, крайкомов, ЦК компартий союзных республик, председателям райисполкомов, горсоветов, облисполкомов, крайисполкомов, совнаркомов, начальникам служб и дистанций ж.д., начальникам ж.д № 4799 о мерах по обеспечению очистки от снега железных дорог.] (7165, 87-88).</w:t>
      </w:r>
    </w:p>
    <w:p w14:paraId="0D90C92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81F92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340C7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6F4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 декабря 1943 силы США высадились в Новой Британии и Новой Гвинее (2100).</w:t>
      </w:r>
    </w:p>
    <w:p w14:paraId="1C8E01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1DC3A" w14:textId="77777777" w:rsidR="00B17796" w:rsidRPr="00271E51" w:rsidRDefault="00B1779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17 декабря 1943 взлетно-посадочная полоса мыса Торокина на Бугенвиле впервые используется для проведения первого налета на Рабаул с помощью Air Solomons (AirSols) (20376).</w:t>
      </w:r>
    </w:p>
    <w:p w14:paraId="4D4A6A52" w14:textId="77777777" w:rsidR="00B17796" w:rsidRPr="00271E51" w:rsidRDefault="00B17796" w:rsidP="00271E51">
      <w:pPr>
        <w:spacing w:after="0" w:line="240" w:lineRule="auto"/>
        <w:jc w:val="both"/>
        <w:rPr>
          <w:rFonts w:ascii="Times New Roman" w:hAnsi="Times New Roman"/>
          <w:color w:val="0070C0"/>
          <w:sz w:val="16"/>
          <w:szCs w:val="16"/>
        </w:rPr>
      </w:pPr>
    </w:p>
    <w:p w14:paraId="0EE3602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3ECA0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CC4F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судя по фото в бригаде 7 Фомина в ОКБ П.О.С. была подготовлена схема самолета Б-М42, а раньше была схема просто Б - это был Су-8.</w:t>
      </w:r>
    </w:p>
    <w:p w14:paraId="241F41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72C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года нач. произв. отдела 10 гл. управл. НКАП Беренсон писал письмо N 3087 зам. наркома Кузнецову А.И.</w:t>
      </w:r>
    </w:p>
    <w:p w14:paraId="1FD628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Сравнительная таблица</w:t>
      </w:r>
    </w:p>
    <w:p w14:paraId="75DA41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 Пе-2 с 2 М105ПФ с самолетом Пе-2 с 2М-1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044"/>
        <w:gridCol w:w="1044"/>
        <w:gridCol w:w="2448"/>
        <w:gridCol w:w="1275"/>
        <w:gridCol w:w="1984"/>
      </w:tblGrid>
      <w:tr w:rsidR="00A907A5" w:rsidRPr="00271E51" w14:paraId="4AE288A6" w14:textId="77777777" w:rsidTr="00ED5B0A">
        <w:tc>
          <w:tcPr>
            <w:tcW w:w="2802" w:type="dxa"/>
          </w:tcPr>
          <w:p w14:paraId="50FF87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w:t>
            </w:r>
          </w:p>
        </w:tc>
        <w:tc>
          <w:tcPr>
            <w:tcW w:w="1044" w:type="dxa"/>
          </w:tcPr>
          <w:p w14:paraId="76091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w:t>
            </w:r>
          </w:p>
        </w:tc>
        <w:tc>
          <w:tcPr>
            <w:tcW w:w="1044" w:type="dxa"/>
          </w:tcPr>
          <w:p w14:paraId="56ABB5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w:t>
            </w:r>
          </w:p>
        </w:tc>
        <w:tc>
          <w:tcPr>
            <w:tcW w:w="2448" w:type="dxa"/>
          </w:tcPr>
          <w:p w14:paraId="1450F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 таблица по моторам</w:t>
            </w:r>
          </w:p>
        </w:tc>
        <w:tc>
          <w:tcPr>
            <w:tcW w:w="1275" w:type="dxa"/>
          </w:tcPr>
          <w:p w14:paraId="01E132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76579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6585B1" w14:textId="77777777" w:rsidTr="00ED5B0A">
        <w:tc>
          <w:tcPr>
            <w:tcW w:w="2802" w:type="dxa"/>
          </w:tcPr>
          <w:p w14:paraId="6FA122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3B056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N 12/206</w:t>
            </w:r>
          </w:p>
        </w:tc>
        <w:tc>
          <w:tcPr>
            <w:tcW w:w="1044" w:type="dxa"/>
          </w:tcPr>
          <w:p w14:paraId="6EFBEA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с</w:t>
            </w:r>
          </w:p>
        </w:tc>
        <w:tc>
          <w:tcPr>
            <w:tcW w:w="2448" w:type="dxa"/>
          </w:tcPr>
          <w:p w14:paraId="51669E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Данные</w:t>
            </w:r>
          </w:p>
        </w:tc>
        <w:tc>
          <w:tcPr>
            <w:tcW w:w="1275" w:type="dxa"/>
          </w:tcPr>
          <w:p w14:paraId="68E701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984" w:type="dxa"/>
          </w:tcPr>
          <w:p w14:paraId="0140D6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w:t>
            </w:r>
          </w:p>
        </w:tc>
      </w:tr>
      <w:tr w:rsidR="00A907A5" w:rsidRPr="00271E51" w14:paraId="1C4CDA6B" w14:textId="77777777" w:rsidTr="00ED5B0A">
        <w:tc>
          <w:tcPr>
            <w:tcW w:w="2802" w:type="dxa"/>
          </w:tcPr>
          <w:p w14:paraId="64C6AF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3538F2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2М105ПФ</w:t>
            </w:r>
          </w:p>
        </w:tc>
        <w:tc>
          <w:tcPr>
            <w:tcW w:w="1044" w:type="dxa"/>
          </w:tcPr>
          <w:p w14:paraId="64C547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2М-1</w:t>
            </w:r>
          </w:p>
        </w:tc>
        <w:tc>
          <w:tcPr>
            <w:tcW w:w="2448" w:type="dxa"/>
          </w:tcPr>
          <w:p w14:paraId="7F4C49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2CBEFE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62AA0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AB1D65" w14:textId="77777777" w:rsidTr="00ED5B0A">
        <w:tc>
          <w:tcPr>
            <w:tcW w:w="2802" w:type="dxa"/>
          </w:tcPr>
          <w:p w14:paraId="4B63ED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 горизонт. скорость</w:t>
            </w:r>
          </w:p>
        </w:tc>
        <w:tc>
          <w:tcPr>
            <w:tcW w:w="1044" w:type="dxa"/>
          </w:tcPr>
          <w:p w14:paraId="539EDF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0E942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Расчетн.</w:t>
            </w:r>
          </w:p>
        </w:tc>
        <w:tc>
          <w:tcPr>
            <w:tcW w:w="2448" w:type="dxa"/>
          </w:tcPr>
          <w:p w14:paraId="5FB649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F274A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1685C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9AA71F" w14:textId="77777777" w:rsidTr="00ED5B0A">
        <w:tc>
          <w:tcPr>
            <w:tcW w:w="2802" w:type="dxa"/>
          </w:tcPr>
          <w:p w14:paraId="5E9370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 земли</w:t>
            </w:r>
          </w:p>
        </w:tc>
        <w:tc>
          <w:tcPr>
            <w:tcW w:w="1044" w:type="dxa"/>
          </w:tcPr>
          <w:p w14:paraId="594EC8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465</w:t>
            </w:r>
          </w:p>
        </w:tc>
        <w:tc>
          <w:tcPr>
            <w:tcW w:w="1044" w:type="dxa"/>
          </w:tcPr>
          <w:p w14:paraId="3E6B91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465</w:t>
            </w:r>
          </w:p>
        </w:tc>
        <w:tc>
          <w:tcPr>
            <w:tcW w:w="2448" w:type="dxa"/>
          </w:tcPr>
          <w:p w14:paraId="3FB50E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w:t>
            </w:r>
          </w:p>
        </w:tc>
        <w:tc>
          <w:tcPr>
            <w:tcW w:w="1275" w:type="dxa"/>
          </w:tcPr>
          <w:p w14:paraId="1FF1A4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1210</w:t>
            </w:r>
          </w:p>
        </w:tc>
        <w:tc>
          <w:tcPr>
            <w:tcW w:w="1984" w:type="dxa"/>
          </w:tcPr>
          <w:p w14:paraId="142F03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0739870C" w14:textId="77777777" w:rsidTr="00ED5B0A">
        <w:tc>
          <w:tcPr>
            <w:tcW w:w="2802" w:type="dxa"/>
          </w:tcPr>
          <w:p w14:paraId="4A0A4A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 1-й гран. высотн.</w:t>
            </w:r>
          </w:p>
        </w:tc>
        <w:tc>
          <w:tcPr>
            <w:tcW w:w="1044" w:type="dxa"/>
          </w:tcPr>
          <w:p w14:paraId="07CC41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w:t>
            </w:r>
          </w:p>
        </w:tc>
        <w:tc>
          <w:tcPr>
            <w:tcW w:w="1044" w:type="dxa"/>
          </w:tcPr>
          <w:p w14:paraId="4203D6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tc>
        <w:tc>
          <w:tcPr>
            <w:tcW w:w="2448" w:type="dxa"/>
          </w:tcPr>
          <w:p w14:paraId="284874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w:t>
            </w:r>
          </w:p>
        </w:tc>
        <w:tc>
          <w:tcPr>
            <w:tcW w:w="1275" w:type="dxa"/>
          </w:tcPr>
          <w:p w14:paraId="7EB935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253E3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81A5B2" w14:textId="77777777" w:rsidTr="00ED5B0A">
        <w:tc>
          <w:tcPr>
            <w:tcW w:w="2802" w:type="dxa"/>
          </w:tcPr>
          <w:p w14:paraId="44FE82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 2-й гран. высотн.</w:t>
            </w:r>
          </w:p>
        </w:tc>
        <w:tc>
          <w:tcPr>
            <w:tcW w:w="1044" w:type="dxa"/>
          </w:tcPr>
          <w:p w14:paraId="72DC34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1044" w:type="dxa"/>
          </w:tcPr>
          <w:p w14:paraId="04C4CF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2448" w:type="dxa"/>
          </w:tcPr>
          <w:p w14:paraId="0D4FBA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46C0B0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9481C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B11F23" w14:textId="77777777" w:rsidTr="00ED5B0A">
        <w:tc>
          <w:tcPr>
            <w:tcW w:w="2802" w:type="dxa"/>
          </w:tcPr>
          <w:p w14:paraId="1EBE46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Полетный вес кг</w:t>
            </w:r>
          </w:p>
        </w:tc>
        <w:tc>
          <w:tcPr>
            <w:tcW w:w="1044" w:type="dxa"/>
          </w:tcPr>
          <w:p w14:paraId="04A935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8362</w:t>
            </w:r>
          </w:p>
        </w:tc>
        <w:tc>
          <w:tcPr>
            <w:tcW w:w="1044" w:type="dxa"/>
          </w:tcPr>
          <w:p w14:paraId="6A83ED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8450</w:t>
            </w:r>
          </w:p>
        </w:tc>
        <w:tc>
          <w:tcPr>
            <w:tcW w:w="2448" w:type="dxa"/>
          </w:tcPr>
          <w:p w14:paraId="623914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w:t>
            </w:r>
          </w:p>
        </w:tc>
        <w:tc>
          <w:tcPr>
            <w:tcW w:w="1275" w:type="dxa"/>
          </w:tcPr>
          <w:p w14:paraId="42E441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9AEEC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A18C6C" w14:textId="77777777" w:rsidTr="00ED5B0A">
        <w:tc>
          <w:tcPr>
            <w:tcW w:w="2802" w:type="dxa"/>
          </w:tcPr>
          <w:p w14:paraId="640460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16E880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09180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Pr>
          <w:p w14:paraId="190311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 гр.</w:t>
            </w:r>
          </w:p>
        </w:tc>
        <w:tc>
          <w:tcPr>
            <w:tcW w:w="1275" w:type="dxa"/>
          </w:tcPr>
          <w:p w14:paraId="25CC81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185D0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E63E1F5" w14:textId="77777777" w:rsidTr="00ED5B0A">
        <w:tc>
          <w:tcPr>
            <w:tcW w:w="2802" w:type="dxa"/>
          </w:tcPr>
          <w:p w14:paraId="519506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D29C1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60114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Pr>
          <w:p w14:paraId="12826B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высотности</w:t>
            </w:r>
          </w:p>
        </w:tc>
        <w:tc>
          <w:tcPr>
            <w:tcW w:w="1275" w:type="dxa"/>
          </w:tcPr>
          <w:p w14:paraId="305EA6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1180</w:t>
            </w:r>
          </w:p>
        </w:tc>
        <w:tc>
          <w:tcPr>
            <w:tcW w:w="1984" w:type="dxa"/>
          </w:tcPr>
          <w:p w14:paraId="3A287D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1300</w:t>
            </w:r>
          </w:p>
        </w:tc>
      </w:tr>
      <w:tr w:rsidR="00A907A5" w:rsidRPr="00271E51" w14:paraId="76ECA1E8" w14:textId="77777777" w:rsidTr="00ED5B0A">
        <w:tc>
          <w:tcPr>
            <w:tcW w:w="2802" w:type="dxa"/>
          </w:tcPr>
          <w:p w14:paraId="18E045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w:t>
            </w:r>
          </w:p>
        </w:tc>
        <w:tc>
          <w:tcPr>
            <w:tcW w:w="1044" w:type="dxa"/>
          </w:tcPr>
          <w:p w14:paraId="6EE676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w:t>
            </w:r>
          </w:p>
        </w:tc>
        <w:tc>
          <w:tcPr>
            <w:tcW w:w="1044" w:type="dxa"/>
          </w:tcPr>
          <w:p w14:paraId="1A6A4B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tc>
        <w:tc>
          <w:tcPr>
            <w:tcW w:w="2448" w:type="dxa"/>
          </w:tcPr>
          <w:p w14:paraId="7ACE4B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Высотность</w:t>
            </w:r>
          </w:p>
        </w:tc>
        <w:tc>
          <w:tcPr>
            <w:tcW w:w="1275" w:type="dxa"/>
          </w:tcPr>
          <w:p w14:paraId="572F76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2700</w:t>
            </w:r>
          </w:p>
        </w:tc>
        <w:tc>
          <w:tcPr>
            <w:tcW w:w="1984" w:type="dxa"/>
          </w:tcPr>
          <w:p w14:paraId="52ED5B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5000</w:t>
            </w:r>
          </w:p>
        </w:tc>
      </w:tr>
      <w:tr w:rsidR="00A907A5" w:rsidRPr="00271E51" w14:paraId="1444D828" w14:textId="77777777" w:rsidTr="00ED5B0A">
        <w:tc>
          <w:tcPr>
            <w:tcW w:w="2802" w:type="dxa"/>
          </w:tcPr>
          <w:p w14:paraId="6F0C49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высотн. На практ.</w:t>
            </w:r>
          </w:p>
        </w:tc>
        <w:tc>
          <w:tcPr>
            <w:tcW w:w="1044" w:type="dxa"/>
          </w:tcPr>
          <w:p w14:paraId="4569B6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37B3B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Pr>
          <w:p w14:paraId="29A9E2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55A90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E5880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627320" w14:textId="77777777" w:rsidTr="00ED5B0A">
        <w:tc>
          <w:tcPr>
            <w:tcW w:w="2802" w:type="dxa"/>
          </w:tcPr>
          <w:p w14:paraId="30252D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потолок 7750 м</w:t>
            </w:r>
          </w:p>
        </w:tc>
        <w:tc>
          <w:tcPr>
            <w:tcW w:w="1044" w:type="dxa"/>
          </w:tcPr>
          <w:p w14:paraId="1D44FA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w:t>
            </w:r>
          </w:p>
        </w:tc>
        <w:tc>
          <w:tcPr>
            <w:tcW w:w="1044" w:type="dxa"/>
          </w:tcPr>
          <w:p w14:paraId="7A57CB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Н=9100 м</w:t>
            </w:r>
          </w:p>
        </w:tc>
        <w:tc>
          <w:tcPr>
            <w:tcW w:w="2448" w:type="dxa"/>
          </w:tcPr>
          <w:p w14:paraId="153016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70D695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3296D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A02854" w14:textId="77777777" w:rsidTr="00ED5B0A">
        <w:tc>
          <w:tcPr>
            <w:tcW w:w="2802" w:type="dxa"/>
          </w:tcPr>
          <w:p w14:paraId="36E759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645904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45FBAD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Pr>
          <w:p w14:paraId="63341E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РК</w:t>
            </w:r>
          </w:p>
        </w:tc>
        <w:tc>
          <w:tcPr>
            <w:tcW w:w="1275" w:type="dxa"/>
          </w:tcPr>
          <w:p w14:paraId="61705E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1050</w:t>
            </w:r>
          </w:p>
        </w:tc>
        <w:tc>
          <w:tcPr>
            <w:tcW w:w="1984" w:type="dxa"/>
          </w:tcPr>
          <w:p w14:paraId="2EE1DB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815ED8E" w14:textId="77777777" w:rsidTr="00ED5B0A">
        <w:tc>
          <w:tcPr>
            <w:tcW w:w="2802" w:type="dxa"/>
          </w:tcPr>
          <w:p w14:paraId="0037DF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w:t>
            </w:r>
          </w:p>
        </w:tc>
        <w:tc>
          <w:tcPr>
            <w:tcW w:w="1044" w:type="dxa"/>
          </w:tcPr>
          <w:p w14:paraId="7A9397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1044" w:type="dxa"/>
          </w:tcPr>
          <w:p w14:paraId="0B1579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2448" w:type="dxa"/>
          </w:tcPr>
          <w:p w14:paraId="51D2C9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w:t>
            </w:r>
          </w:p>
        </w:tc>
        <w:tc>
          <w:tcPr>
            <w:tcW w:w="1275" w:type="dxa"/>
          </w:tcPr>
          <w:p w14:paraId="1E877B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614+2%</w:t>
            </w:r>
          </w:p>
        </w:tc>
        <w:tc>
          <w:tcPr>
            <w:tcW w:w="1984" w:type="dxa"/>
          </w:tcPr>
          <w:p w14:paraId="4E99A9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 (1823,26)</w:t>
            </w:r>
          </w:p>
        </w:tc>
      </w:tr>
    </w:tbl>
    <w:p w14:paraId="7C4746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663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совершил первый вылет Пе-2 № 12/224 с опытными двигателями М-1, полученными 11 октября с 16-го завода. Всего произведено три полета (12049).</w:t>
      </w:r>
    </w:p>
    <w:p w14:paraId="39E26F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D2D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Нач. 1 Отдела НИИ ВВС Рудинцев с писбмом N 1/0240 направил в НКАП А.И.Ш. карточку ЛТД Ту-2 2М-82ФН, составленную по результатам совместных (гос. и заводских) испытаний, проведенных в НИИ ВВС, для включения в Альбом самолетов ВВС КА 1943" (1782).</w:t>
      </w:r>
    </w:p>
    <w:p w14:paraId="38FB3E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7A1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18 декабря 1943 по 20 марта 1944 проходили гос. испытания разведывательного оборудования самолета Ту-2Р на базе N 406. На самолете был дополнительный бензобак на 750 л и доработали топливную систему. Фотооборудование включало два качающихся АФА-3с/50 (1835,53).</w:t>
      </w:r>
    </w:p>
    <w:p w14:paraId="035D00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4E381" w14:textId="77777777" w:rsidR="009E244B" w:rsidRPr="00271E51" w:rsidRDefault="009E24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 18 декабря 1943 г. по 20 марта 1944 г. Ту-2р № 100406 с дополнительным бензобаком проходил испытания в НИИ специальных служб ВВС. Следующий разведчик Ту-2Р с дополнительными баками № 100304, доработанный на московском заводе № 23, отличался от предыдущего только типом фотоаппаратов – на нем стояли два более громоздких АФА-33/50. Его направили на войсковые испытания в 47-й гв. драп. Самолет их успешно выдержал, была дана рекомендация наладить серийное производство таких разведчиков (21059).</w:t>
      </w:r>
    </w:p>
    <w:p w14:paraId="5B48CCAA" w14:textId="77777777" w:rsidR="009E244B" w:rsidRPr="00271E51" w:rsidRDefault="009E244B" w:rsidP="00271E51">
      <w:pPr>
        <w:spacing w:after="0" w:line="240" w:lineRule="auto"/>
        <w:jc w:val="both"/>
        <w:rPr>
          <w:rFonts w:ascii="Times New Roman" w:hAnsi="Times New Roman"/>
          <w:color w:val="0070C0"/>
          <w:sz w:val="16"/>
          <w:szCs w:val="16"/>
        </w:rPr>
      </w:pPr>
    </w:p>
    <w:p w14:paraId="21F4BFA5"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Другие оборонные отрасли:</w:t>
      </w:r>
    </w:p>
    <w:p w14:paraId="4568EA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F8BD89"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18 по 20 декабря 1943 года согласно планам завода №100, предполагалось провести заводские испытания Объекта 242. На практике же 18 декабря самоходку срочно отправили на Гороховецкий АНИОП. По этой причине на заводе не успели отработать боеукладку, а усилия на маховиках поворотного механизма орудия составляли целых 10-12 кг. Столь поспешная отправка оказалась связана с тем, что сроки для начала испытания были прописаны в предписании Арткома ГАУ ещё 2 декабря (18335).</w:t>
      </w:r>
    </w:p>
    <w:p w14:paraId="358C21D6" w14:textId="77777777" w:rsidR="00424340" w:rsidRPr="00271E51" w:rsidRDefault="00424340" w:rsidP="00271E51">
      <w:pPr>
        <w:spacing w:after="0" w:line="240" w:lineRule="auto"/>
        <w:jc w:val="both"/>
        <w:rPr>
          <w:rFonts w:ascii="Times New Roman" w:hAnsi="Times New Roman"/>
          <w:color w:val="000000" w:themeColor="text1"/>
          <w:sz w:val="16"/>
          <w:szCs w:val="16"/>
        </w:rPr>
      </w:pPr>
    </w:p>
    <w:p w14:paraId="5BFAEC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Постановление ГКО № 4800 О возвращении т. Зотова В.П. на работу в Наркомпищепром СССР.РГАНИР, Фонд ГКО, д. 183, лл. 89 (11012).</w:t>
      </w:r>
    </w:p>
    <w:p w14:paraId="44464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06F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4801. О передаче Заволжскому торфопредприятию 5 элеваторных машин с локомобилями с предприятий Калининского торфотреста.РГАНИР, Фонд ГКО, д. 183, лл. 90 (11012).</w:t>
      </w:r>
    </w:p>
    <w:p w14:paraId="783288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95C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4802. О продлении срока аренды у НКлеса узкоколейного паровоза Чернораменским торфотранспортом Главторфа НКЭС до 1 июля 1944 г.РГАНИР, Фонд ГКО, д. 183, лл. 91 (11012).</w:t>
      </w:r>
    </w:p>
    <w:p w14:paraId="0D4B81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E96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4803. Об использовании 8 тыс. нестроевых, призванных в КА, для достройки законсервированных домов, переданных НКО Мосгорисполкомом.РГАНИР, Фонд ГКО, д. 183, лл. 92 (11012).</w:t>
      </w:r>
    </w:p>
    <w:p w14:paraId="58CB55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A9BE3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4804 [О мерах по обеспечению выпуска электрической мощности Зуевской ГРЭС Донбассэнерго в декабре 1943 г.] (7165, 93).</w:t>
      </w:r>
    </w:p>
    <w:p w14:paraId="09F380B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E28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4805. О сокращении объемов работ в 1943 г. на строительстве Ново-Тагильского и Челябинского металлургических заводов в связи с задержкой поставки оборудования.РГАНИР, Фонд ГКО, д. 183, лл. 94 (11012).</w:t>
      </w:r>
    </w:p>
    <w:p w14:paraId="177B00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C6C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4807. Об отпуске Карагандинской ГРЭС 5 тыс. т угля.РГАНИР, Фонд ГКО, д. 183, лл. 96 (11012).</w:t>
      </w:r>
    </w:p>
    <w:p w14:paraId="1165A4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9C4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Постановление ГКО № 4808 Об отводе лесосечного фонда на 1944 год и о плане лесозаготовок и лесовывозки на I квартал 1944 г. по Белорусской ССР.РГАНИР, Фонд ГКО, д. 183, лл. 97-99, 100-104 (11012).</w:t>
      </w:r>
    </w:p>
    <w:p w14:paraId="25E45D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910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Постановление ГКО № 4809 О неотложных мерах помощи строительству завода № 659 Наркомэлектропрома.РГАНИР, Фонд ГКО, д. 183, лл. 105 (11012).</w:t>
      </w:r>
    </w:p>
    <w:p w14:paraId="3C1C9A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64E7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Постановление ГКО № 4810 Об обеспечении в 1944 году деревообрабатывающих предприятий Наркомтекстиля СССР древесиной твердолиственных пород для изготовления челноков, погонялок, вальков, шпуль и катушек.РГАНИР, Фонд ГКО, д. 183, лл. 106-109, 110-112 (11012).</w:t>
      </w:r>
    </w:p>
    <w:p w14:paraId="2A1BCC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0E38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Постановление ГКО № 4811 О производстве твердых выпрямителей переменного тока, трансформаторов и электротехнических деталей для радиолокационной промышленности. (7165, 113-115,116-124).</w:t>
      </w:r>
    </w:p>
    <w:p w14:paraId="10D45CE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FBB9C5" w14:textId="77777777" w:rsidR="00CE2FBC"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D127D79" w14:textId="77777777" w:rsidR="00CE2FBC" w:rsidRPr="00271E51" w:rsidRDefault="00CE2FBC"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649307"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18 декабря </w:t>
      </w:r>
      <w:r w:rsidRPr="00271E51">
        <w:rPr>
          <w:rFonts w:ascii="Times New Roman" w:hAnsi="Times New Roman"/>
          <w:color w:val="000000" w:themeColor="text1"/>
          <w:sz w:val="16"/>
          <w:szCs w:val="16"/>
        </w:rPr>
        <w:t>в 1943 году оперативная сводка Совинформбюро:</w:t>
      </w:r>
    </w:p>
    <w:p w14:paraId="326947FD"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декабря на Кировоградском направлении наши войска продолжали вести наступательные бои, в ходе которых выбили противника из нескольких опорных пунктов его обороны. Противник неоднократно пытался контратаковать наши части, но был отброшен с большими для него потерями.</w:t>
      </w:r>
    </w:p>
    <w:p w14:paraId="0BFB8397"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AF3E0B1"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17 декабря наши войска на всех фронтах подбили и уничтожили 33 немецких танка. В воздушных боях и огнём зенитной артиллерии сбито 66 самолётов противника.</w:t>
      </w:r>
    </w:p>
    <w:p w14:paraId="08FFBFEB"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Кировоградском направлении наши войска вели наступательные бои и заняли несколько опорных пунктов противника. В одном из этих опорных пунктов части Н-ского соединения захватили две артиллерийских батареи, склад боеприпасов, много пулемётов и другие трофеи. Немцы, стремясь вернуть потерянные позиции, бросили в контратаку крупные силы пехоты и танков. Наши артиллеристы и миномётчики сосредоточенным огнём произвели в боевых порядках противника большие опустошения. Все дальнейшие контратаки гитлеровцев также не имели успеха. Противник был отброшен с большими для него потерями. В течение дня на этом участке уничтожено до 1.000 немецких солдат и офицеров, сожжено и подбито 17 вражеских танков, 6 самоходных орудий и 15 бронетранспортёров. На поле боя осталось много оружия, брошенного немцами при отступлении. В другом районе советские подвижные отряды нанесли противнику внезапный удар и истребили до двух рот гитлеровцев. Подбито и уничтожено 11 немецких танков, 2 автоцистерны с горючим и 20 автомашин. Взяты пленные и трофеи.</w:t>
      </w:r>
    </w:p>
    <w:p w14:paraId="56725723"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авиация наносила удары по войскам противника. В течение дня советскими лётчиками повреждено и уничтожено значительное число немецких танков, до 200 автомашин с войсками и грузами, взорван воинский эшелон и подавлен огонь 27 артиллерийских и миномётных батарей противника.</w:t>
      </w:r>
    </w:p>
    <w:p w14:paraId="7B85BF77"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действующие в Минской области, наносят удары по путям сообщения противника. Партизаны отряда «Знамя» подорвали на минах 15 немецких воинских эшелонов, следовавших к линии фронта. В результате крушений разбито 13 паровозов и свыше 70 вагонов и платформ с военными грузами. Движение поездов на одном участке железной дороги было прервано на 74 часа. Группа партизан этого же отряда уничтожила на шоссе 12 автомашин, истребив при этом более 40 гитлеровцев. Партизаны из отряда «Разгром» пустили под откос 13 немецких поездов. Убито иранено 112 гитлеровцев из охраны этих поездов.</w:t>
      </w:r>
    </w:p>
    <w:p w14:paraId="550F2BB2"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сторону Красной Армии перешёл командир сводной роты, сформированной из солдат тыловых подразделений 9 немецкой армии, обер-лейтенант Арнольд Н. Вместес ним сложили оружие и сдались в плен 20 немецких солдат. Арнольд Н. заявил: «Почти всё время войны я находился во Франции. В Россию я попал в конце сентября 1943 г. и был прикомандирован к одному из отделов штаба 9 армии. Я систематически слушал радиопередачи из Лондона и Москвы и, следовательно, мог объективно оценить создавшееся военное положение. Решения конференции руководителей России, Соединённых Штатов Америки и Англии, состоявшейся в Тегеране, произвели на меня ошеломляющее впечатление. Мне особенно запомнилосьто место в коммюнике, где говорится о предстоящих военных операциях против Германии с востока, запада и юга. До сих пор главные силы немецкой армии действуют на Восточном фронте. За последний год русские нанесли немецкой армии крупные поражения и вынудили её оставить обширные территории. За этот год мы понесли огромные жертвы. Русский поход ослабил Германию и до основания подорвал немецкую армию. Что же произойдёт тогда, когда в бой будут введены огромные и ещё нетронутые резервы Англии и Америки? Несомненно, что тогда немецкую армию ждёт гибель. Недавно меня назначили командиром сводной роты и послали на передовую. Моей роте было приказано защищать одну высоту. Русские наседали. Я мог отойти, но не хотел. Я понимал, что если сегодня мне удастся выйти из боя невредимым, то это ещё не значит, что и завтра мне посчастливится. Нет необходимости жертвовать собою и своими солдатами за проигранное и безнадёжное дело. Вот почему я перешёл на сторону русских и привёл с собой 20 моих солдат».</w:t>
      </w:r>
    </w:p>
    <w:p w14:paraId="420C220E"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мерзавцы разграбили и разрушили дотла местечко Горваль, Гомельской области. Немецкие солдаты ходили из дома в дом и забирали у жителей наиболее ценные вещи. Повальный грабёж сопровождался убийствами мирных граждан. Гитлеровцы загнали в один дом 65 стариков, женщин и детей, а в окна стали бросать гранаты и стрелять из автоматов. От рук немецких убийц погибли Никанор Бибик—70 лет, его жена Мария —68 лет, Демьян Шкурин — 78 лет, Василий Бобок, Анна Бобок и другие. Убив ни в чём не повинных мирных жителей, немцы со всех сторон подожгли местечко. Огнём уничтожено свыше 300 жилых домов.» (14864).</w:t>
      </w:r>
    </w:p>
    <w:p w14:paraId="66835D7B" w14:textId="77777777" w:rsidR="00CE2FBC" w:rsidRPr="00271E51" w:rsidRDefault="00CE2FBC" w:rsidP="00271E51">
      <w:pPr>
        <w:spacing w:after="0" w:line="240" w:lineRule="auto"/>
        <w:jc w:val="both"/>
        <w:rPr>
          <w:rFonts w:ascii="Times New Roman" w:hAnsi="Times New Roman"/>
          <w:color w:val="000000" w:themeColor="text1"/>
          <w:sz w:val="16"/>
          <w:szCs w:val="16"/>
        </w:rPr>
      </w:pPr>
    </w:p>
    <w:p w14:paraId="58A63530" w14:textId="77777777" w:rsidR="00CE2FBC" w:rsidRPr="00271E51" w:rsidRDefault="00CE2FBC" w:rsidP="00271E51">
      <w:pPr>
        <w:spacing w:after="0" w:line="240" w:lineRule="auto"/>
        <w:jc w:val="both"/>
        <w:rPr>
          <w:rFonts w:ascii="Times New Roman" w:hAnsi="Times New Roman"/>
          <w:color w:val="000000" w:themeColor="text1"/>
          <w:sz w:val="16"/>
          <w:szCs w:val="16"/>
        </w:rPr>
      </w:pPr>
      <w:r w:rsidRPr="00271E51">
        <w:rPr>
          <w:rStyle w:val="ucoz-forum-post"/>
          <w:rFonts w:ascii="Times New Roman" w:hAnsi="Times New Roman"/>
          <w:bCs/>
          <w:color w:val="000000" w:themeColor="text1"/>
          <w:sz w:val="16"/>
          <w:szCs w:val="16"/>
        </w:rPr>
        <w:t xml:space="preserve">18 декабря </w:t>
      </w:r>
      <w:r w:rsidRPr="00271E51">
        <w:rPr>
          <w:rFonts w:ascii="Times New Roman" w:hAnsi="Times New Roman"/>
          <w:color w:val="000000" w:themeColor="text1"/>
          <w:sz w:val="16"/>
          <w:szCs w:val="16"/>
        </w:rPr>
        <w:t>в 1943 году взятием села Петуховка началось освобождение Украины от фашистов (14864).</w:t>
      </w:r>
    </w:p>
    <w:p w14:paraId="7B5355CA" w14:textId="77777777" w:rsidR="00CE2FBC" w:rsidRPr="00271E51" w:rsidRDefault="00CE2FBC" w:rsidP="00271E51">
      <w:pPr>
        <w:spacing w:after="0" w:line="240" w:lineRule="auto"/>
        <w:jc w:val="both"/>
        <w:rPr>
          <w:rFonts w:ascii="Times New Roman" w:hAnsi="Times New Roman"/>
          <w:color w:val="000000" w:themeColor="text1"/>
          <w:sz w:val="16"/>
          <w:szCs w:val="16"/>
        </w:rPr>
      </w:pPr>
    </w:p>
    <w:p w14:paraId="470F210A" w14:textId="77777777" w:rsidR="007C7C9D" w:rsidRPr="00271E51" w:rsidRDefault="007C7C9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18 декабря 1943 г. на Ил-2 зав. № 1878682 прямым попаданием пробило отверстие в нижней передней броне диаметром 100 мм в результате были повреждены картер мотора и винт, но «благодаря затрате основной энергии снаряда на разрушение брони, мотор и винт получили сравнительно незначительные повреждения и самолет </w:t>
      </w:r>
      <w:r w:rsidRPr="00271E51">
        <w:rPr>
          <w:rFonts w:ascii="Times New Roman" w:hAnsi="Times New Roman"/>
          <w:color w:val="000000" w:themeColor="text1"/>
          <w:sz w:val="16"/>
          <w:szCs w:val="16"/>
        </w:rPr>
        <w:lastRenderedPageBreak/>
        <w:t>смог долететь до своего аэродрома» (11921).</w:t>
      </w:r>
    </w:p>
    <w:p w14:paraId="2A7363D0" w14:textId="77777777" w:rsidR="007C7C9D" w:rsidRPr="00271E51" w:rsidRDefault="007C7C9D"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8DA9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5F7767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C7380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декабря 1943 вышло Распоряжение ГКО № 4806 [О мерах по обеспечению устойчивой связи для партийных и советских организаций в освобождаемых районах прифронтовых областей.] (7165, 95).</w:t>
      </w:r>
    </w:p>
    <w:p w14:paraId="2FBE562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C6460" w14:textId="77777777" w:rsidR="007C7C9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4A37C8E" w14:textId="77777777" w:rsidR="007C7C9D" w:rsidRPr="00271E51" w:rsidRDefault="007C7C9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EE50F1" w14:textId="77777777" w:rsidR="007C7C9D" w:rsidRPr="00271E51" w:rsidRDefault="007C7C9D" w:rsidP="00271E51">
      <w:pPr>
        <w:pStyle w:val="3a"/>
        <w:shd w:val="clear" w:color="auto" w:fill="auto"/>
        <w:spacing w:before="0" w:after="0" w:line="240" w:lineRule="auto"/>
        <w:jc w:val="both"/>
        <w:rPr>
          <w:color w:val="000000" w:themeColor="text1"/>
          <w:spacing w:val="0"/>
          <w:sz w:val="16"/>
          <w:szCs w:val="16"/>
        </w:rPr>
      </w:pPr>
      <w:r w:rsidRPr="00271E51">
        <w:rPr>
          <w:color w:val="000000" w:themeColor="text1"/>
          <w:spacing w:val="0"/>
          <w:sz w:val="16"/>
          <w:szCs w:val="16"/>
        </w:rPr>
        <w:t>19 декабря 1943 г. Из тезисов доклада главного конструктора ОКБ 315-33 Ф.Л. Короткова о путях повышения экономичности отечественных авиационных двигателей</w:t>
      </w:r>
    </w:p>
    <w:p w14:paraId="57A4030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...Сравнительные испытания иностранных и отечественных самолетов и моторов, проводимые последнее время в МШ НКАП и НИИ ВВС КА, показывают, что показатели наших моторов по эконо</w:t>
      </w:r>
      <w:r w:rsidRPr="00271E51">
        <w:rPr>
          <w:rFonts w:ascii="Times New Roman" w:hAnsi="Times New Roman"/>
          <w:color w:val="000000" w:themeColor="text1"/>
          <w:sz w:val="16"/>
          <w:szCs w:val="16"/>
        </w:rPr>
        <w:softHyphen/>
        <w:t>мичности отстают от американских и немецких машин.</w:t>
      </w:r>
    </w:p>
    <w:p w14:paraId="4A15A080"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Приходится сожалеть, что таким важным делом мы занимаемся очень слабо или вовсе его забываем.</w:t>
      </w:r>
    </w:p>
    <w:p w14:paraId="3ABB30B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Наша задача — всемерно форсировать работы по повышению экономики наших двигателей, приказ Народного комиссара тов. Ша- хурина за № 602с со всей остротой подчеркивает важность этих работ.</w:t>
      </w:r>
    </w:p>
    <w:p w14:paraId="3A4954C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Причины нашего отставания по экономичности:</w:t>
      </w:r>
    </w:p>
    <w:p w14:paraId="2A46C7F0" w14:textId="77777777" w:rsidR="007C7C9D" w:rsidRPr="00271E51" w:rsidRDefault="007C7C9D" w:rsidP="00271E51">
      <w:pPr>
        <w:tabs>
          <w:tab w:val="left" w:pos="79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При отработке новых образцов моторов на стенде и самолете вопросы экономичных режимов отодвинуты на задний план, решающи</w:t>
      </w:r>
      <w:r w:rsidRPr="00271E51">
        <w:rPr>
          <w:rFonts w:ascii="Times New Roman" w:hAnsi="Times New Roman"/>
          <w:color w:val="000000" w:themeColor="text1"/>
          <w:sz w:val="16"/>
          <w:szCs w:val="16"/>
        </w:rPr>
        <w:softHyphen/>
        <w:t>ми факторами являются максимальные мощности и скорости, и, как следствие, этот вопрос возникает в лучшем случае при войсковых ис</w:t>
      </w:r>
      <w:r w:rsidRPr="00271E51">
        <w:rPr>
          <w:rFonts w:ascii="Times New Roman" w:hAnsi="Times New Roman"/>
          <w:color w:val="000000" w:themeColor="text1"/>
          <w:sz w:val="16"/>
          <w:szCs w:val="16"/>
        </w:rPr>
        <w:softHyphen/>
        <w:t>пытаниях, а то и в эксплуатации.</w:t>
      </w:r>
    </w:p>
    <w:p w14:paraId="7871140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очевидно, что после внедрения в серийное произ</w:t>
      </w:r>
      <w:r w:rsidRPr="00271E51">
        <w:rPr>
          <w:rFonts w:ascii="Times New Roman" w:hAnsi="Times New Roman"/>
          <w:color w:val="000000" w:themeColor="text1"/>
          <w:sz w:val="16"/>
          <w:szCs w:val="16"/>
        </w:rPr>
        <w:softHyphen/>
        <w:t>водство, внести какие-либо изменения, тем более, если они не носят аварийного характера, представляет большие трудности.</w:t>
      </w:r>
    </w:p>
    <w:p w14:paraId="2519780E" w14:textId="77777777" w:rsidR="007C7C9D" w:rsidRPr="00271E51" w:rsidRDefault="007C7C9D" w:rsidP="00271E51">
      <w:pPr>
        <w:tabs>
          <w:tab w:val="left" w:pos="82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Технические условия на сдачу моторов не предусматривают контроля расходов топлива на крейсерских режимах, в результате мо</w:t>
      </w:r>
      <w:r w:rsidRPr="00271E51">
        <w:rPr>
          <w:rFonts w:ascii="Times New Roman" w:hAnsi="Times New Roman"/>
          <w:color w:val="000000" w:themeColor="text1"/>
          <w:sz w:val="16"/>
          <w:szCs w:val="16"/>
        </w:rPr>
        <w:softHyphen/>
        <w:t>торы имеют большую асинхронность в расходах топлива на указанных режимах, доходящую до 30-40%.</w:t>
      </w:r>
    </w:p>
    <w:p w14:paraId="5D1F7724" w14:textId="77777777" w:rsidR="007C7C9D" w:rsidRPr="00271E51" w:rsidRDefault="007C7C9D" w:rsidP="00271E51">
      <w:pPr>
        <w:tabs>
          <w:tab w:val="left" w:pos="807"/>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До сего времени вопросами увязки работы мотора в услови</w:t>
      </w:r>
      <w:r w:rsidRPr="00271E51">
        <w:rPr>
          <w:rFonts w:ascii="Times New Roman" w:hAnsi="Times New Roman"/>
          <w:color w:val="000000" w:themeColor="text1"/>
          <w:sz w:val="16"/>
          <w:szCs w:val="16"/>
        </w:rPr>
        <w:softHyphen/>
        <w:t>ях стенда и самолета по серьезному никто не занимается, в результате моторы на самолете работают на иных расходах по сравнению со стен</w:t>
      </w:r>
      <w:r w:rsidRPr="00271E51">
        <w:rPr>
          <w:rFonts w:ascii="Times New Roman" w:hAnsi="Times New Roman"/>
          <w:color w:val="000000" w:themeColor="text1"/>
          <w:sz w:val="16"/>
          <w:szCs w:val="16"/>
        </w:rPr>
        <w:softHyphen/>
        <w:t>дом (все моторы).</w:t>
      </w:r>
    </w:p>
    <w:p w14:paraId="1B2A99EA" w14:textId="77777777" w:rsidR="007C7C9D" w:rsidRPr="00271E51" w:rsidRDefault="007C7C9D" w:rsidP="00271E51">
      <w:pPr>
        <w:tabs>
          <w:tab w:val="left" w:pos="80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Несовершенство воздухоподводов, всасывающих патрубков и выхлопных систем и неточностей регулировки агрегатов питания соз</w:t>
      </w:r>
      <w:r w:rsidRPr="00271E51">
        <w:rPr>
          <w:rFonts w:ascii="Times New Roman" w:hAnsi="Times New Roman"/>
          <w:color w:val="000000" w:themeColor="text1"/>
          <w:sz w:val="16"/>
          <w:szCs w:val="16"/>
        </w:rPr>
        <w:softHyphen/>
        <w:t>дает чрезмерно большую неравномерность распределения смеси по цилиндрам на всех наших моторах...</w:t>
      </w:r>
    </w:p>
    <w:p w14:paraId="4C5F66D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Для успешного решения вопросов экономичности необходимо:</w:t>
      </w:r>
    </w:p>
    <w:p w14:paraId="02F864B4" w14:textId="77777777" w:rsidR="007C7C9D" w:rsidRPr="00271E51" w:rsidRDefault="007C7C9D" w:rsidP="00271E51">
      <w:pPr>
        <w:numPr>
          <w:ilvl w:val="9"/>
          <w:numId w:val="12"/>
        </w:numPr>
        <w:tabs>
          <w:tab w:val="left" w:pos="7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Изменить технические условия на сдачу моторов, ввести обя</w:t>
      </w:r>
      <w:r w:rsidRPr="00271E51">
        <w:rPr>
          <w:rFonts w:ascii="Times New Roman" w:hAnsi="Times New Roman"/>
          <w:color w:val="000000" w:themeColor="text1"/>
          <w:sz w:val="16"/>
          <w:szCs w:val="16"/>
        </w:rPr>
        <w:softHyphen/>
        <w:t>зательные замеры расходов топлива на экономичных режимах.</w:t>
      </w:r>
    </w:p>
    <w:p w14:paraId="0E3BFBC6" w14:textId="77777777" w:rsidR="007C7C9D" w:rsidRPr="00271E51" w:rsidRDefault="007C7C9D" w:rsidP="00271E51">
      <w:pPr>
        <w:numPr>
          <w:ilvl w:val="9"/>
          <w:numId w:val="12"/>
        </w:numPr>
        <w:tabs>
          <w:tab w:val="left" w:pos="793"/>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отработке новых моторов производить отладку агрегатов питания по двум характеристикам:</w:t>
      </w:r>
    </w:p>
    <w:p w14:paraId="2E369F1E" w14:textId="77777777" w:rsidR="007C7C9D" w:rsidRPr="00271E51" w:rsidRDefault="007C7C9D" w:rsidP="00271E51">
      <w:pPr>
        <w:tabs>
          <w:tab w:val="left" w:pos="894"/>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основная характеристика, характеризуемая обеспечением бесперебойной работы мотора при резких изменениях режимов — условие приемистости.</w:t>
      </w:r>
    </w:p>
    <w:p w14:paraId="0083179F" w14:textId="77777777" w:rsidR="007C7C9D" w:rsidRPr="00271E51" w:rsidRDefault="007C7C9D" w:rsidP="00271E51">
      <w:pPr>
        <w:tabs>
          <w:tab w:val="left" w:pos="83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экономичная характеристика, получаемая путем ручной пе</w:t>
      </w:r>
      <w:r w:rsidRPr="00271E51">
        <w:rPr>
          <w:rFonts w:ascii="Times New Roman" w:hAnsi="Times New Roman"/>
          <w:color w:val="000000" w:themeColor="text1"/>
          <w:sz w:val="16"/>
          <w:szCs w:val="16"/>
        </w:rPr>
        <w:softHyphen/>
        <w:t>рестановки рычага агрегата питания в полете на положение «бедная смесь».</w:t>
      </w:r>
    </w:p>
    <w:p w14:paraId="402DDA72" w14:textId="77777777" w:rsidR="007C7C9D" w:rsidRPr="00271E51" w:rsidRDefault="007C7C9D" w:rsidP="00271E51">
      <w:pPr>
        <w:numPr>
          <w:ilvl w:val="9"/>
          <w:numId w:val="12"/>
        </w:numPr>
        <w:tabs>
          <w:tab w:val="left" w:pos="82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Включить в тематические планы работ всех моторных ОКБ работы по созданию лабораторий агрегатов питания.</w:t>
      </w:r>
    </w:p>
    <w:p w14:paraId="3A221D49" w14:textId="77777777" w:rsidR="007C7C9D" w:rsidRPr="00271E51" w:rsidRDefault="007C7C9D" w:rsidP="00271E51">
      <w:pPr>
        <w:numPr>
          <w:ilvl w:val="9"/>
          <w:numId w:val="12"/>
        </w:numPr>
        <w:tabs>
          <w:tab w:val="left" w:pos="817"/>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Усилить работы на моторных заводах в ОКБ по улучшению смеси и воздухопроводов.</w:t>
      </w:r>
    </w:p>
    <w:p w14:paraId="49CA3E9A" w14:textId="77777777" w:rsidR="007C7C9D" w:rsidRPr="00271E51" w:rsidRDefault="007C7C9D" w:rsidP="00271E51">
      <w:pPr>
        <w:numPr>
          <w:ilvl w:val="9"/>
          <w:numId w:val="12"/>
        </w:numPr>
        <w:tabs>
          <w:tab w:val="left" w:pos="83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Включить в тематический план одному из приборных ОКБ работы по разработке точных приборов для замеров расходов топлива, воздуха, пульсаций и состава смеси.</w:t>
      </w:r>
    </w:p>
    <w:p w14:paraId="6ED085EA" w14:textId="77777777" w:rsidR="007C7C9D" w:rsidRPr="00271E51" w:rsidRDefault="007C7C9D" w:rsidP="00271E51">
      <w:pPr>
        <w:numPr>
          <w:ilvl w:val="9"/>
          <w:numId w:val="12"/>
        </w:numPr>
        <w:tabs>
          <w:tab w:val="left" w:pos="80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Собрать в первой половине 1944 г. специальное совещание по вопросам экономичности авиационных двигателей.</w:t>
      </w:r>
    </w:p>
    <w:p w14:paraId="50AE5865"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w:t>
      </w:r>
    </w:p>
    <w:p w14:paraId="4B81F43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РГАНТД. Ф. Р-276. Оп. 1-6. Д. 4. Л. 17, 18, 20. Подлинник (15633).</w:t>
      </w:r>
    </w:p>
    <w:p w14:paraId="53835798" w14:textId="77777777" w:rsidR="007C7C9D" w:rsidRPr="00271E51" w:rsidRDefault="007C7C9D" w:rsidP="00271E51">
      <w:pPr>
        <w:spacing w:after="0" w:line="240" w:lineRule="auto"/>
        <w:jc w:val="both"/>
        <w:rPr>
          <w:rStyle w:val="1pt"/>
          <w:rFonts w:ascii="Times New Roman" w:hAnsi="Times New Roman" w:cs="Times New Roman"/>
          <w:color w:val="000000" w:themeColor="text1"/>
          <w:spacing w:val="0"/>
          <w:sz w:val="16"/>
          <w:szCs w:val="16"/>
        </w:rPr>
      </w:pPr>
    </w:p>
    <w:p w14:paraId="70C44C17"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5A801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C4C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декабря 1943 вышло Распоряжение ГКО № 4812. О расширении в Ленинграде производства газогенераторного оборудования для нужд ЛФ.РГАНИР, Фонд ГКО, д. 183, лл. 125-126 (11012).</w:t>
      </w:r>
    </w:p>
    <w:p w14:paraId="4F162B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8768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декабря 1943 8 с 586 женского иап во главе с комэск О.Н.Ямщиковой вылетела на перехват и сбила 17 б, направлявшихся бомбить переправу через Днепр (438,890).</w:t>
      </w:r>
    </w:p>
    <w:p w14:paraId="05D080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CB6C4" w14:textId="77777777" w:rsidR="007C7C9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62C492E" w14:textId="77777777" w:rsidR="007C7C9D" w:rsidRPr="00271E51" w:rsidRDefault="007C7C9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04A97"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19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323A7DBD"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1-го Прибалтийского фронта под командованием генерала армии Баграмяна перешли в наступление против немецко-фашистских войск, расположенных южнее Невеля, и прорвали сильноукреплённую оборонительную полосу противника протяжением по фронту около 80 километров и в глубину до 30 километров.</w:t>
      </w:r>
    </w:p>
    <w:p w14:paraId="08F6914F"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отличились войска генерал-лейтенанта Галицкого, генерал-лейтенанта Швецова, кавалеристы генерал-лейтенанта Осликовского, танкисты генерал-лейтенанта танковых войск Буткова, генерал-майора танковых войск Сахно и лётчики генерал-лейтенанта авиации Папивина.</w:t>
      </w:r>
    </w:p>
    <w:p w14:paraId="76312869"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пять дней напряжённых боёв нашими войсками освобождено более 500 населённых пунктов и среди них районный центр Витебской области Езерище, населённые пункты Селище, Выровля, Шакурово, Каревы, Оболь, Телешово, Осиповка, Халамерье, Лутня, Меховое, Зезюлино, Бесенята, Хвошно, Березно, Бунатино, Дуброва, Вышедки, Медведи, Махалово и железнодорожные станции Езерище, Грибачи, Бычиха.</w:t>
      </w:r>
    </w:p>
    <w:p w14:paraId="56E8447F"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разгромлены 87, 129 и 211 пехотные дивизии, 20 танковая дивизия и несколько охранных частей немцев. Уничтожено 69 танков, 164 орудия, 123 миномёта, 586 пулемётов, 760 автомашин и 16 складов. Противник оставил на поле боя убитыми до 20 тысяч солдат и офицеров.</w:t>
      </w:r>
    </w:p>
    <w:p w14:paraId="27989BD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захвачены следующие трофеи: 194 орудия, 75 миномётов, 735 пулемётов, более 5.000 винтовок и автоматов, 37 танков, 110 автомашин, 24 склада с боеприпасами, вооружением, снаряжением и продовольствием, 200 повозок с грузами и военным имуществом. Взято в плен более 2.000 немецких солдат и офицеров.</w:t>
      </w:r>
    </w:p>
    <w:p w14:paraId="249E9F68"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45623A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18 декабря наши войска на всех фронтах подбили и уничтожили 19 немецких танков. В воздушных боях и огнём зенитной артиллерии сбито 15 самолётов противника.</w:t>
      </w:r>
    </w:p>
    <w:p w14:paraId="27A1E94D"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потоплен транспорт противника водоизмещением в 7 тысяч тонн.</w:t>
      </w:r>
    </w:p>
    <w:p w14:paraId="097FF4BC"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Житомирской области, в течение одного дня подорвали 5 немецких воинских эшелонов, взорвали мост и разрушили 2 километра железнодорожного пути. В результате крушений убито свыше 400 немецких солдат и офицеров. Движение поездов на этом участке железной дороги было приостановлено на 60 часов. В боях с крупным карательным отрядом немцев партизаны истребили до 200 гитлеровцев и захватили 11 пулемётов, 120 автоматов и винтовок, много боеприпасов и обоз с военным имуществом.</w:t>
      </w:r>
    </w:p>
    <w:p w14:paraId="0CDC87E6"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города Черкассы захвачена в плен значительная группа солдат и офицеров 72 немецкой пехотной дивизии. Пленный врач санитарной роты Гейнц Рейман рассказал: «Я работал в полевом госпитале. Каждый день к нам непрерывным потоком прибывали раненые солдаты из подразделений дивизии, а также из эсэсовских частей. Наплыв раненых был настолько велик, что мы не в состоянии были обслужить всех».</w:t>
      </w:r>
    </w:p>
    <w:p w14:paraId="03562D7E"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Перешедший на сторону Красной Армии командир одного из батальонов 72 немецкойпехотной дивизии заявил: «В тот день, когда мой батальон был введён в дело, бои носили крайне ожесточённый характер. Наши потери были очень велики. К вечеру уменя осталось 50—60 солдат. Два дня спустя батальон получил пополнение в количестве 120 человек и занял новый рубеж обороны. Командир полка приказал мне во что бы то ни стало удержать этот рубеж и биться до последнего солдата. Русские подвергли нас невообразимому обстрелу из миномётов. Позиции мы не отстояли. С шестью оставшимися в живых солдатами я сдался в плен». Пленные унтер-офицеры сапёрного батальона Генриг Рауш, Август Кобуш и обер-ефрейтор Адам Бургер рассказали: «Сапёрные роты участвовали в боях как пехотные подразделения. Нас сильно потрепали. В первой роте осталось 8 человек, а в третьей роте — 20. Из солдат обоза и других нестроевых подразделений была сформирована сводная рота. Однако, как только показались русские танки, все солдаты бросились врассыпную. Командир батальона майор Штеффе сел на мотоцикл и уехал. Мы бежали по распаханному полю, а потом залегли и большой группой сдались в плен».</w:t>
      </w:r>
    </w:p>
    <w:p w14:paraId="1C1BF153"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Ниже публикуется акт о зверствах немецко-фашистских мерзавцев в селе Михайловка, Запорожской области: «За время оккупации гитлеровские выродки замучили насмерть и расстреляли свыше тысячи мирных жителей нашего села. Казни советских граждан происходили в лесу близ Михайловки. От рук гитлеровских палачей </w:t>
      </w:r>
      <w:r w:rsidRPr="00271E51">
        <w:rPr>
          <w:rFonts w:ascii="Times New Roman" w:hAnsi="Times New Roman"/>
          <w:color w:val="000000" w:themeColor="text1"/>
          <w:sz w:val="16"/>
          <w:szCs w:val="16"/>
        </w:rPr>
        <w:lastRenderedPageBreak/>
        <w:t>погибли колхозник Н.Бакута, советский служащий Николай Тараненко, учитель Иван Довженко, председатель колхоза В.Смола, колхозница Христина Киричкова и многие другие. В нашем селе немцы замучили попавшего к ним в плен раненого младшего лейтенанта Конева. Гестаповцы подвергли его зверским пыткам. Во время допроса Конева избивали, ставили на раскалённую сковороду, загоняли ему иголки под ногти. Советский офицер стойко перенёс все пытки и погиб смертьюгероя. Палачи так и не добились от него нужных им сведений. Около 4 тысячжителей села Михайловки и Михайловского района немцы угнали на каторгу в Германию.</w:t>
      </w:r>
    </w:p>
    <w:p w14:paraId="7705B99E"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немецкие бандиты сожгли 168 жилых домов колхозников, поликлинику, аптеку и пионерский клуб, взорвали мельницу, разрушили школы, магазины и все другие общественные здания».</w:t>
      </w:r>
    </w:p>
    <w:p w14:paraId="31AED2A4"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села Михайловка: С.Любомирский, Н.Попов, А.Семикин,И.Мирошник, И.Попова.» (14865).</w:t>
      </w:r>
    </w:p>
    <w:p w14:paraId="1AD3BB51"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47C5CED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0A9C11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4CB33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декабря 1943 на рыночной площади в Харькове повешены три гестаповца и русский полицай, виновные в казнях тысяч людей (4962).</w:t>
      </w:r>
    </w:p>
    <w:p w14:paraId="3984D93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EEE3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E54E9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975E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 декабря 1943 состояние опытного строительства на 21 заводе было следующим:</w:t>
      </w:r>
    </w:p>
    <w:p w14:paraId="1C0514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Ла-5 М-82ФН эталон 1944 - получены рекомендации ЦАГИ по установке маслорадиаторов с отсосом пограничного слоя в носке крыла. Прибыли пушки УБ-20 </w:t>
      </w:r>
    </w:p>
    <w:p w14:paraId="09E4F4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Доводка серийных с-тов:</w:t>
      </w:r>
    </w:p>
    <w:p w14:paraId="2F8D0A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11-й серии 51 машины Ла-5ФН и с 46-й серии Ла-5Ф начата установка холодного запуска мотора, разработанного ЛИИ НКАП (газовый запуск). Разрабатываются чертежи на новый м/бак и дренаж м/бака с целью устранения выбивания масла. Летные испытания на заводе № 19 нового дренажа м/системы прошли удовлетворительно.</w:t>
      </w:r>
    </w:p>
    <w:p w14:paraId="50E885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улучшения герметизации кабины л-ка ведутся работы по установке штуцерных разъемов всех трубопроводов на противопожарной перегородке.</w:t>
      </w:r>
    </w:p>
    <w:p w14:paraId="034AFF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Крылья с металлическими лонжеронами по чертежам завода № 381 по данным статиспытаний имеют недостаточную прочность. Прочность крепления обшивки крыла к каркасу крыла в междулонжеронной части обеспечена только на 80%, а прочность в носовой части - на 70% (738,11).</w:t>
      </w:r>
    </w:p>
    <w:p w14:paraId="6F4027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48F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г. После выхода приказа группа веду</w:t>
      </w:r>
      <w:r w:rsidRPr="00271E51">
        <w:rPr>
          <w:rFonts w:ascii="Times New Roman" w:hAnsi="Times New Roman"/>
          <w:color w:val="000000" w:themeColor="text1"/>
          <w:sz w:val="16"/>
          <w:szCs w:val="16"/>
        </w:rPr>
        <w:softHyphen/>
        <w:t>щих исполнителей по самолету Су-6 (ин</w:t>
      </w:r>
      <w:r w:rsidRPr="00271E51">
        <w:rPr>
          <w:rFonts w:ascii="Times New Roman" w:hAnsi="Times New Roman"/>
          <w:color w:val="000000" w:themeColor="text1"/>
          <w:sz w:val="16"/>
          <w:szCs w:val="16"/>
        </w:rPr>
        <w:softHyphen/>
        <w:t>женеры завода № 289 Горбунов, Баслав-ский и Мудрецов) обратились с письмом на имя И.В. Сталина, Г.М. Маленкова и А.И. Шахурина, в котором справедливо указывали: «...Самолет «Су-6» с мотором М-71 — это самолет «сегодняшнего дня», а с мотором АМ-42 — это самолет «вче</w:t>
      </w:r>
      <w:r w:rsidRPr="00271E51">
        <w:rPr>
          <w:rFonts w:ascii="Times New Roman" w:hAnsi="Times New Roman"/>
          <w:color w:val="000000" w:themeColor="text1"/>
          <w:sz w:val="16"/>
          <w:szCs w:val="16"/>
        </w:rPr>
        <w:softHyphen/>
        <w:t>рашнего дня», т.е. уже пройденный этап, а это не логично, да и неправильно от</w:t>
      </w:r>
      <w:r w:rsidRPr="00271E51">
        <w:rPr>
          <w:rFonts w:ascii="Times New Roman" w:hAnsi="Times New Roman"/>
          <w:color w:val="000000" w:themeColor="text1"/>
          <w:sz w:val="16"/>
          <w:szCs w:val="16"/>
        </w:rPr>
        <w:softHyphen/>
        <w:t>казываться от лучшего и желать худше</w:t>
      </w:r>
      <w:r w:rsidRPr="00271E51">
        <w:rPr>
          <w:rFonts w:ascii="Times New Roman" w:hAnsi="Times New Roman"/>
          <w:color w:val="000000" w:themeColor="text1"/>
          <w:sz w:val="16"/>
          <w:szCs w:val="16"/>
        </w:rPr>
        <w:softHyphen/>
        <w:t>го...» Несмотря на обращение в столь высокие инстанции, решения о запуске Су-6 с М-71Ф в серию не последовало (10680).</w:t>
      </w:r>
    </w:p>
    <w:p w14:paraId="7A64E2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A659D"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028F0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8C4A8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года наркому Малышеву докладывали о состоянии работ по этим артсистемам:</w:t>
      </w:r>
    </w:p>
    <w:p w14:paraId="0A12FF2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образца 85 мм пушек С-50 и С-53 установленные в Т-34 - первый в башне с расширенным погоном 1600 мм, второй в башне со штатным погоном к отправке на Гороховецкий полигон для испытаний подготовлен срок отправки 21.12.43г.</w:t>
      </w:r>
    </w:p>
    <w:p w14:paraId="15D3F96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Дополнительно сообщаю, что директор завода № 92 т. Елян в ночь с 16 на 17 декабря подал систему ЛБ-1 на завод № 112 для монтажа в Т-34. При ее монтаже в башню танка выявились неувязки в габаритных размерах. Систему ЛБ-1 вернули на завод № 92 для переделки. Таким образом нарушается срок испытаний, указанный в постановлении ГКО № 4776, по вине завода № 92» (12217).</w:t>
      </w:r>
    </w:p>
    <w:p w14:paraId="0013A3A9"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0C7A49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вышло Постановление ГКО № 4813 О мерах по обеспечению нормальной работы снаряжательных заводов.РГАНИР, Фонд ГКО, д. 183, лл. 127-130, 131 (11012).</w:t>
      </w:r>
    </w:p>
    <w:p w14:paraId="4A64D1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6589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вышло Постановление ГКО № 4814 О выправлении создавшегося положения с поставкой металлов и огнеупоров для производства танков, вооружения и боеприпасов. (7165, 132-135).</w:t>
      </w:r>
    </w:p>
    <w:p w14:paraId="0C40690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08F2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вышло Постановление ГКО № 4815 О ликвидации разрыва между производством боеприпасов и спецукупорки для них.РГАНИР, Фонд ГКО, д. 183, лл. 136-143 (11012).</w:t>
      </w:r>
    </w:p>
    <w:p w14:paraId="585C44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69A11"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вышло Распоряжение ГКО № 4816 [О продлении до 15 января 1944 г. срока работы 2200 возчиков с подводами на Белорусском фронте.] (7165, 144).</w:t>
      </w:r>
    </w:p>
    <w:p w14:paraId="06415D9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F19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вышло Распоряжение ГКО № 4817. Об увеличении производства ручных и с механическим приводом вентиляторов и расширении механических мастерских в Сызрани.РГАНИР, Фонд ГКО, д. 183, лл. 145, 146-147 (11012).</w:t>
      </w:r>
    </w:p>
    <w:p w14:paraId="1C7437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242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На Адмиралтейском заводе заложен 13-й МБК (10671).</w:t>
      </w:r>
    </w:p>
    <w:p w14:paraId="531507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4B7C8" w14:textId="77777777" w:rsidR="007C7C9D"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DCB6C11" w14:textId="77777777" w:rsidR="007C7C9D" w:rsidRPr="00271E51" w:rsidRDefault="007C7C9D"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FD9E0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1FA4EBF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декабря южнее Невеля наши войска, продолжая развивать наступление, заняли более 70 населённых пунктов и среди них Малашенки, Загоряны, Кожемяки, Полуяново, Кальцы, Грибули, Привальни, Веречье.</w:t>
      </w:r>
    </w:p>
    <w:p w14:paraId="14FDC9D0"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Коростеня наши войска отбили атаки пехоты и танков противника.</w:t>
      </w:r>
    </w:p>
    <w:p w14:paraId="6733EAEE"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наши войска отбивали контратаки крупных сил пехотыи танков противника и нанесли ему большие потери в живой силе и технике.</w:t>
      </w:r>
    </w:p>
    <w:p w14:paraId="4DC89968"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23B208A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 декабря наши войска на всех фронтах подбили и уничтожили 82 немецких танка. В воздушных боях и огнём зенитной артиллерии сбито 27 самолётов противника.</w:t>
      </w:r>
    </w:p>
    <w:p w14:paraId="00035274"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Невеля наши войска продолжали наступление. Под ударами советских войск противник отступает, бросая большое количество вооружения и боеприпасов. Сегодня наши войска заняли более 70 населённых пунктов. На одном участке немцы, собрав остатки своих разбитых частей, пытались удержать выгодный рубеж. Части Н-ского соединения в ожесточённом бою разгромили эту группу противника. На поле боя осталось до 1.500 убитых немецких солдат и офицеров. На другом участке наши войска вклинились в оборону противника и заняли несколько сильно укреплённых опорных пунктов. В бою только за один из этих пунктов истреблено 300 гитлеровцеви захвачено 12 орудий, 80 пулемётов и большой обоз с военным имуществом. Взято значительное число пленных.</w:t>
      </w:r>
    </w:p>
    <w:p w14:paraId="1A7EE6D0"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Коростеня противник силами пехоты и танков атаковал наши позиции. Ценою больших потерь немцам вначале удалось ворваться в один населённый пункт. Наши части перешли в контратаку и в результате ожесточённого боя отбросили противника. На поле боя осталось свыше 600 вражеских трупов и 15 сгоревших немецких танков. К исходу дня противник вновь возобновил атаки, но, потеряв ещё 12 танков, был вынужден отойти на исходные позиции.</w:t>
      </w:r>
    </w:p>
    <w:p w14:paraId="116975A9"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немцы, подтянув крупные силы пехоты и танков, неоднократно бросали их в контратаки. В одном районе противник ввёл в бой полк пехоты и свыше ста танков. Немецкие танки были встречены огнём нашей артиллериии подразделений бронебойщиков. Завязался ожесточённый бой, исход которого решили советские танкисты, нанёсшие врагу внезапный удар с фланга. Немцы понесли большие потери, и отошли на исходный рубеж. По неполным данным, наши части уничтожили 1.200 немецких солдат и офицеров, сожгли и подбили 39 танков и 9 самоходных орудий противника.</w:t>
      </w:r>
    </w:p>
    <w:p w14:paraId="15D3894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Советская авиация, несмотря на неблагоприятные условия погоды, наносила удары по скоплениям немецких войск. В течение дня наши лётчики уничтожили и повредили до 20 немецких танков и самоходных орудий, более 200 автомашин и повозок с военными грузами, взорвали 3 склада боеприпасов, 40 железнодорожных вагонов и подавили огонь до 30 артиллерийских и миномётных батарей противника.</w:t>
      </w:r>
    </w:p>
    <w:p w14:paraId="6F45754A"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Партизанский отряд, действующий в Крыму, 8 декабря внезапно напал на вражеский гарнизон, расположенный в районном центре. В результате стремительного удара партизаны выбили противника из населённого пункта, уничтожив в бою 180 немецких солдат и офицеров. Советские патриоты взорвали склад горючего и склад </w:t>
      </w:r>
      <w:r w:rsidRPr="00271E51">
        <w:rPr>
          <w:rFonts w:ascii="Times New Roman" w:hAnsi="Times New Roman"/>
          <w:color w:val="000000" w:themeColor="text1"/>
          <w:sz w:val="16"/>
          <w:szCs w:val="16"/>
        </w:rPr>
        <w:lastRenderedPageBreak/>
        <w:t>боеприпасов, захватили 8 пулемётов, несколько десятков винтовок и автоматов, много боеприпасов и продовольствия. Партизаны другого крымского отряда огнём из противотанковых ружей сбили немецкий пикирующий бомбардировщик. Самолёт и лётчики сгорели.</w:t>
      </w:r>
    </w:p>
    <w:p w14:paraId="56B184F1"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обер-ефрейтор 4 роты 10 немецкого егерского батальона Курт Эрдман рассказал: «Наш батальон насчитывал 1.100 человек. Это были отборные солдаты, специально подготовленные для зимних боёв. Однако командование было вынужденоввести нас в дело летом, чтобы заткнуть одну из многих дыр. За время летних боёвбатальон три раза получал пополнение, и тем не менее он в настоящее время имеет весьма жалкий вид. В батальоне осталось всего лишь 86 человек. Им командуетнеопытный лейтенант Блюм, которому в начале войны не доверили бы и взвода. Лучшие солдаты батальона похоронены близ станции Поныри, на берегах Десны, Днепра и Припяти. Оставшиеся в живых не хотят бессмысленно погибать. Мы убедились, что война проиграна, и не можем понять, почему от нас требуют новых жертв. При отступлении из района Тросна нам говорили, что на Десне русские будут остановлены. Отходя к Днепру, офицеры уверяли, что мы там будем зимовать под защитой исключительно мощного «Восточного вала». Однако на Днепре мы тоже не удержались и откатились к реке Припяти и далее. Наш батальон тает с каждым днём так же, как тает и вся немецкая армия на необъятных просторах России».</w:t>
      </w:r>
    </w:p>
    <w:p w14:paraId="7345E6BE"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Отступая под ударами Красной Армии, немецко-фашистские захватчики убили многих мирных жителей посёлка Брагин, Полесской области. Гитлеровские палачи расстреляли Александра Лесенко — отца четырёх бойцов Красной Армии и всю его семью: жену, трёх дочерей и внука. Чудовищные злодеяния совершили немцы и в сёлах Брагинского района. Они опустошили ряд деревень, а население угнали в фашистскую неволю или расстреляли. Из села Маложин гитлеровцы угнали на каторгу в Германию 192 человека. Фашистские изверги сожгли живьём колхозницу Ульяну Плющай, расстреляли Игнатия Черненко, Ивана Грищенко и других жителей села.Немцы сожгли в Маложине 156 жилых домов колхозников со всеми надворными постройками. Немецкие разбойники также сожгли колхозный клуб, здание неполной средней школы, две конюшни, скотный двор и весь сельскохозяйственный инвентарь:плуги, бороны, сеялки, веялки и молотилки.» (14866).</w:t>
      </w:r>
    </w:p>
    <w:p w14:paraId="5BB1F504"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55118D2B"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декабря</w:t>
      </w:r>
      <w:r w:rsidRPr="00271E51">
        <w:rPr>
          <w:rFonts w:ascii="Times New Roman" w:hAnsi="Times New Roman"/>
          <w:color w:val="000000" w:themeColor="text1"/>
          <w:sz w:val="16"/>
          <w:szCs w:val="16"/>
        </w:rPr>
        <w:t xml:space="preserve"> в 1943 году войска 2-го Украинского фронта завершили операцию по созданию стратегического плацдарма на правом берегу Днепра (14866).</w:t>
      </w:r>
    </w:p>
    <w:p w14:paraId="1D6187FC"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41AA8E76"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декабря</w:t>
      </w:r>
      <w:r w:rsidRPr="00271E51">
        <w:rPr>
          <w:rFonts w:ascii="Times New Roman" w:hAnsi="Times New Roman"/>
          <w:color w:val="000000" w:themeColor="text1"/>
          <w:sz w:val="16"/>
          <w:szCs w:val="16"/>
        </w:rPr>
        <w:t xml:space="preserve"> в 1943 году в Налибокской Пуще советскими партизанами были расстреляны 23 офицера Армии Крайовой, вступившие с ними в переговоры. Это привело к прекращению переговоров между польскими и советскими партизанами о совместной борьбе с немцами и к вытеснению поляками советских партизан из Западной Белоруссии (14866).</w:t>
      </w:r>
    </w:p>
    <w:p w14:paraId="47281C62"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68D5BB6F"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20-21 декабря 1943. Празднование дня рожления Сталина, на который среди прочил бы приглашен К. К. Рокоссовский, родивший ся в тот же день - 21 декабря. Генерал-лейтенант НА. Антипенко передает рассказ Рокоссовского об этой ночи: "Было далеко за полночь... Присутствовали некоторые члены Политбюро. Обстановка за столом была самая непринужденная. Взяв меня за руку Сталин отвел в сторону и тихо сказал мы вас крепко обидели, товарищ Рокоссовский. Бывает... Ну что, извините... Потом мы воз вратились к столу. Кто-то провозгласил тост за Сталина. Закусили. Встав из-за стола Верховный подошел ко мне с полным бокалом "Хванчкары" (его любимого вина), произнес тост в мою честь и стал чокаться со мной так, чтобы верхний край его бокала был бы не вровень с моим, а чуть пониже. Я знал этот грузинский обычай, выражающий особое уважение, и поспешил опустить свою рюмку ниже. Сталин повторил свой прием, опустив руку с бокалом еще ниже, то же сделал и я. В конце концов, наши бокалы оказались на полу. Это всех рассмешило" (18693).</w:t>
      </w:r>
    </w:p>
    <w:p w14:paraId="6A847760" w14:textId="77777777" w:rsidR="00424340" w:rsidRPr="00271E51" w:rsidRDefault="00424340" w:rsidP="00271E51">
      <w:pPr>
        <w:spacing w:after="0" w:line="240" w:lineRule="auto"/>
        <w:jc w:val="both"/>
        <w:rPr>
          <w:rFonts w:ascii="Times New Roman" w:hAnsi="Times New Roman"/>
          <w:color w:val="000000" w:themeColor="text1"/>
          <w:sz w:val="16"/>
          <w:szCs w:val="16"/>
        </w:rPr>
      </w:pPr>
    </w:p>
    <w:p w14:paraId="76E486D9"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38161F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B13479"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20 декабря</w:t>
      </w:r>
      <w:r w:rsidRPr="00271E51">
        <w:rPr>
          <w:rFonts w:ascii="Times New Roman" w:hAnsi="Times New Roman"/>
          <w:color w:val="000000" w:themeColor="text1"/>
          <w:sz w:val="16"/>
          <w:szCs w:val="16"/>
        </w:rPr>
        <w:t xml:space="preserve"> в 1943 году первый полёт пятого прототипа реактивного бомбардировщика «Arado» «Ar.234». Это был первый прототип с моторами Junkers 004В-0 (до этого устанавливали 004A с очень малым ресурсом) (14866).</w:t>
      </w:r>
    </w:p>
    <w:p w14:paraId="0036D323"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54067178" w14:textId="77777777" w:rsidR="009E244B" w:rsidRPr="00271E51" w:rsidRDefault="009E24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 декабря 1943 первый полет Heinkel He 177B , первый полет на прототипе He 177 V102 He 177 серии B с квартетом «индивидуальных» двигателей DB 603 (20376).</w:t>
      </w:r>
    </w:p>
    <w:p w14:paraId="163BE429" w14:textId="77777777" w:rsidR="009E244B" w:rsidRPr="00271E51" w:rsidRDefault="009E244B" w:rsidP="00271E51">
      <w:pPr>
        <w:spacing w:after="0" w:line="240" w:lineRule="auto"/>
        <w:jc w:val="both"/>
        <w:rPr>
          <w:rFonts w:ascii="Times New Roman" w:hAnsi="Times New Roman"/>
          <w:color w:val="0070C0"/>
          <w:sz w:val="16"/>
          <w:szCs w:val="16"/>
        </w:rPr>
      </w:pPr>
    </w:p>
    <w:p w14:paraId="4B8D3A73" w14:textId="77777777" w:rsidR="009E244B" w:rsidRPr="00271E51" w:rsidRDefault="009E24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20–21 декабря (ночь) 1943 650 британских бомбардировщиков совершают налет на Франкфурт-на-Майне, Германия. Немецкие ночные истребители успешно перехватывают их, и 41 британский самолет (6,3 процента) потерян. Несмотря на рассыпание бомб из-за облачности, что привело даже к ошибочному поражению города Майнц, рейд нанес значительный ущерб Франкфурту-на-Майне (20376).</w:t>
      </w:r>
    </w:p>
    <w:p w14:paraId="04081F3A" w14:textId="77777777" w:rsidR="009E244B" w:rsidRPr="00271E51" w:rsidRDefault="009E244B" w:rsidP="00271E51">
      <w:pPr>
        <w:spacing w:after="0" w:line="240" w:lineRule="auto"/>
        <w:jc w:val="both"/>
        <w:rPr>
          <w:rFonts w:ascii="Times New Roman" w:hAnsi="Times New Roman"/>
          <w:color w:val="0070C0"/>
          <w:sz w:val="16"/>
          <w:szCs w:val="16"/>
        </w:rPr>
      </w:pPr>
    </w:p>
    <w:p w14:paraId="46A2B88E" w14:textId="77777777" w:rsidR="009E244B" w:rsidRPr="00271E51" w:rsidRDefault="009E244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20–21 декабря (ночь) 1943 диверсионный рейд на Мангейм в основном проходит мимо города, но не несет потерь (20376).</w:t>
      </w:r>
    </w:p>
    <w:p w14:paraId="6B8EFA2C" w14:textId="77777777" w:rsidR="009E244B" w:rsidRPr="00271E51" w:rsidRDefault="009E244B" w:rsidP="00271E51">
      <w:pPr>
        <w:spacing w:after="0" w:line="240" w:lineRule="auto"/>
        <w:jc w:val="both"/>
        <w:rPr>
          <w:rFonts w:ascii="Times New Roman" w:hAnsi="Times New Roman"/>
          <w:color w:val="0070C0"/>
          <w:sz w:val="16"/>
          <w:szCs w:val="16"/>
        </w:rPr>
      </w:pPr>
    </w:p>
    <w:p w14:paraId="524E9C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когда 150 В-24 и 100 Лайтнингов направились бомбить Софию поручик Списаревский сбил один Либерейтор, а второй - таранил. Американцы долго боялись болгар (2885,47).</w:t>
      </w:r>
    </w:p>
    <w:p w14:paraId="2CDBF8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A16B5"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декабря 1943 г. в налете на Софию участвовали 50 В-24 из 15-й воздушной армии США, сопро</w:t>
      </w:r>
      <w:r w:rsidRPr="00271E51">
        <w:rPr>
          <w:rFonts w:ascii="Times New Roman" w:hAnsi="Times New Roman"/>
          <w:color w:val="000000" w:themeColor="text1"/>
          <w:sz w:val="16"/>
          <w:szCs w:val="16"/>
        </w:rPr>
        <w:softHyphen/>
        <w:t xml:space="preserve">вождаемые 60 «Лайтнингами». На перехват поднялись 36 </w:t>
      </w:r>
      <w:r w:rsidRPr="00271E51">
        <w:rPr>
          <w:rFonts w:ascii="Times New Roman" w:hAnsi="Times New Roman"/>
          <w:color w:val="000000" w:themeColor="text1"/>
          <w:sz w:val="16"/>
          <w:szCs w:val="16"/>
          <w:lang w:val="en-US"/>
        </w:rPr>
        <w:t>D</w:t>
      </w:r>
      <w:r w:rsidRPr="00271E51">
        <w:rPr>
          <w:rFonts w:ascii="Times New Roman" w:hAnsi="Times New Roman"/>
          <w:color w:val="000000" w:themeColor="text1"/>
          <w:sz w:val="16"/>
          <w:szCs w:val="16"/>
        </w:rPr>
        <w:t xml:space="preserve">-520 из 1-й и 2-й авиагрупп и 20 </w:t>
      </w:r>
      <w:r w:rsidRPr="00271E51">
        <w:rPr>
          <w:rFonts w:ascii="Times New Roman" w:hAnsi="Times New Roman"/>
          <w:color w:val="000000" w:themeColor="text1"/>
          <w:sz w:val="16"/>
          <w:szCs w:val="16"/>
          <w:lang w:val="en-US"/>
        </w:rPr>
        <w:t>BM</w:t>
      </w:r>
      <w:r w:rsidRPr="00271E51">
        <w:rPr>
          <w:rFonts w:ascii="Times New Roman" w:hAnsi="Times New Roman"/>
          <w:color w:val="000000" w:themeColor="text1"/>
          <w:sz w:val="16"/>
          <w:szCs w:val="16"/>
        </w:rPr>
        <w:t>09</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-2 из 3-й авиагруппы, которые встретили американцев в 65 км юго-западнее Софии</w:t>
      </w:r>
    </w:p>
    <w:p w14:paraId="02A5D20F"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тот день в боях над Македонией и Болгарией было сбито семь Р-38. Кроме того, янки потеряли четыре В-24, два из кото</w:t>
      </w:r>
      <w:r w:rsidRPr="00271E51">
        <w:rPr>
          <w:rFonts w:ascii="Times New Roman" w:hAnsi="Times New Roman" w:cs="Times New Roman"/>
          <w:color w:val="000000" w:themeColor="text1"/>
          <w:sz w:val="16"/>
          <w:szCs w:val="16"/>
        </w:rPr>
        <w:softHyphen/>
        <w:t xml:space="preserve">рых были на счету поручика Димитара Списаревского. Сначала огнем пушек он сбил один, а затем протаранил второй «Либе- рейтор». Оба самолета упали в районе села Панчерево. Списа- ревский погиб. В результате атаки подпоручика Стефана Ма- ринопольского взорвался в воздухе и упал западнее сербского города Босилеград, расположенного в нескольких километрах от болгарской границы, еще один самолет. Четвертый сбитый </w:t>
      </w:r>
      <w:r w:rsidRPr="00271E51">
        <w:rPr>
          <w:rFonts w:ascii="Times New Roman" w:hAnsi="Times New Roman" w:cs="Times New Roman"/>
          <w:color w:val="000000" w:themeColor="text1"/>
          <w:sz w:val="16"/>
          <w:szCs w:val="16"/>
          <w:lang w:val="en-US"/>
        </w:rPr>
        <w:t>B</w:t>
      </w:r>
      <w:r w:rsidRPr="00271E51">
        <w:rPr>
          <w:rFonts w:ascii="Times New Roman" w:hAnsi="Times New Roman" w:cs="Times New Roman"/>
          <w:color w:val="000000" w:themeColor="text1"/>
          <w:sz w:val="16"/>
          <w:szCs w:val="16"/>
        </w:rPr>
        <w:t>-24</w:t>
      </w:r>
      <w:r w:rsidRPr="00271E51">
        <w:rPr>
          <w:rFonts w:ascii="Times New Roman" w:hAnsi="Times New Roman" w:cs="Times New Roman"/>
          <w:color w:val="000000" w:themeColor="text1"/>
          <w:sz w:val="16"/>
          <w:szCs w:val="16"/>
          <w:lang w:val="en-US"/>
        </w:rPr>
        <w:t>D</w:t>
      </w:r>
      <w:r w:rsidRPr="00271E51">
        <w:rPr>
          <w:rFonts w:ascii="Times New Roman" w:hAnsi="Times New Roman" w:cs="Times New Roman"/>
          <w:color w:val="000000" w:themeColor="text1"/>
          <w:sz w:val="16"/>
          <w:szCs w:val="16"/>
        </w:rPr>
        <w:t xml:space="preserve"> был на счету подпоручика Генчо Димитрова. Кроме того, пять «Либерейторов» получили серьезные повреждения.</w:t>
      </w:r>
    </w:p>
    <w:p w14:paraId="2E7834AF"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Пленный американский летчик Джон Маклендон показал на допросе: «За несколько минут до того, как был сбит мой истреби</w:t>
      </w:r>
      <w:r w:rsidRPr="00271E51">
        <w:rPr>
          <w:rFonts w:ascii="Times New Roman" w:hAnsi="Times New Roman" w:cs="Times New Roman"/>
          <w:color w:val="000000" w:themeColor="text1"/>
          <w:sz w:val="16"/>
          <w:szCs w:val="16"/>
        </w:rPr>
        <w:softHyphen/>
        <w:t>тель, я стал очевидцем чего-то ужасающего. Не знаю, пережил ли кто из американских летчиков в Европе подобное. Этими глазами, которыми смотрю на вас, я видел мчащийся, как вихрь, болгар</w:t>
      </w:r>
      <w:r w:rsidRPr="00271E51">
        <w:rPr>
          <w:rFonts w:ascii="Times New Roman" w:hAnsi="Times New Roman" w:cs="Times New Roman"/>
          <w:color w:val="000000" w:themeColor="text1"/>
          <w:sz w:val="16"/>
          <w:szCs w:val="16"/>
        </w:rPr>
        <w:softHyphen/>
        <w:t>ский истребитель. Он заставил рухнуть на землю один наш бом</w:t>
      </w:r>
      <w:r w:rsidRPr="00271E51">
        <w:rPr>
          <w:rFonts w:ascii="Times New Roman" w:hAnsi="Times New Roman" w:cs="Times New Roman"/>
          <w:color w:val="000000" w:themeColor="text1"/>
          <w:sz w:val="16"/>
          <w:szCs w:val="16"/>
        </w:rPr>
        <w:softHyphen/>
        <w:t>бардировщик и набросился на другой... Истребитель ударил его в фюзеляж... как гром, который разламывает вековой дуб. А в этом самолете был один из лучших наших экипажей. Страшная смерть и для самого смелого летчика!».</w:t>
      </w:r>
    </w:p>
    <w:p w14:paraId="5489EFFF"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Американцы утверждали, что 20 декабря 1943 г. сбили 28 бол</w:t>
      </w:r>
      <w:r w:rsidRPr="00271E51">
        <w:rPr>
          <w:rFonts w:ascii="Times New Roman" w:hAnsi="Times New Roman" w:cs="Times New Roman"/>
          <w:color w:val="000000" w:themeColor="text1"/>
          <w:sz w:val="16"/>
          <w:szCs w:val="16"/>
        </w:rPr>
        <w:softHyphen/>
        <w:t>гарских истребителей. Однако в действительности болгары поте</w:t>
      </w:r>
      <w:r w:rsidRPr="00271E51">
        <w:rPr>
          <w:rFonts w:ascii="Times New Roman" w:hAnsi="Times New Roman" w:cs="Times New Roman"/>
          <w:color w:val="000000" w:themeColor="text1"/>
          <w:sz w:val="16"/>
          <w:szCs w:val="16"/>
        </w:rPr>
        <w:softHyphen/>
        <w:t>ряли только два самолета.</w:t>
      </w:r>
    </w:p>
    <w:p w14:paraId="4AC8F2FC"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Накануне Рождества немецкий посол в Софии Адольф Хейнц Бекерле докладывал в Берлин: «Министр иностранных дел Шиманов сегодня попросил меня прибыть к себе и изложил мне опасения болгарского правительства относительно дальнейших воздушных налетов противника.</w:t>
      </w:r>
    </w:p>
    <w:p w14:paraId="1A1E9639"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После последнего налета оно (правительство) очень сильно озабочено тем, что болгарские города, и в частности София, вследствие нехватки подвалов и других убежищ очень уязвимы от воздушных налетов, и что у болгарского населения нет такой стой</w:t>
      </w:r>
      <w:r w:rsidRPr="00271E51">
        <w:rPr>
          <w:rFonts w:ascii="Times New Roman" w:hAnsi="Times New Roman" w:cs="Times New Roman"/>
          <w:color w:val="000000" w:themeColor="text1"/>
          <w:sz w:val="16"/>
          <w:szCs w:val="16"/>
        </w:rPr>
        <w:softHyphen/>
        <w:t>кости, как у нас, немцев, и что новые налеты оказывают неприятное воздействие на моральное состояние болгарского общества.</w:t>
      </w:r>
    </w:p>
    <w:p w14:paraId="2275D908"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Поэтому болгарское правительство просит правительство Гер</w:t>
      </w:r>
      <w:r w:rsidRPr="00271E51">
        <w:rPr>
          <w:rFonts w:ascii="Times New Roman" w:hAnsi="Times New Roman" w:cs="Times New Roman"/>
          <w:color w:val="000000" w:themeColor="text1"/>
          <w:sz w:val="16"/>
          <w:szCs w:val="16"/>
        </w:rPr>
        <w:softHyphen/>
        <w:t>мании рассмотреть вопрос о возможности посылки в Софию ста немецких истребителей с соответствующим наземным персоналом. Кроме того, оно просит о немедленной поставке 50 истребителей «Мессершмитт». Единственная защита от вражеских налетов - это их истребители, которые действительно решительно атакуют про</w:t>
      </w:r>
      <w:r w:rsidRPr="00271E51">
        <w:rPr>
          <w:rFonts w:ascii="Times New Roman" w:hAnsi="Times New Roman" w:cs="Times New Roman"/>
          <w:color w:val="000000" w:themeColor="text1"/>
          <w:sz w:val="16"/>
          <w:szCs w:val="16"/>
        </w:rPr>
        <w:softHyphen/>
        <w:t>тивника, но которых после каждого вылета становится все меньше.</w:t>
      </w:r>
    </w:p>
    <w:p w14:paraId="1E13D6F5"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Он (Шиманов) также обратил мое внимание на то, как это важно психологически, если болгарский народ, благодаря помощи немецкой авиации, не будет чувствовать себя беззащитным перед вражескими воздушными налетами».</w:t>
      </w:r>
    </w:p>
    <w:p w14:paraId="7A2A40AE"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приказу Гитлера люфтваффе направили на защиту Софии одну истребительную группу. Немцы начали переподготовку 50 болгарских летчиков и предоставили болгарской авиации дополни</w:t>
      </w:r>
      <w:r w:rsidRPr="00271E51">
        <w:rPr>
          <w:rFonts w:ascii="Times New Roman" w:hAnsi="Times New Roman" w:cs="Times New Roman"/>
          <w:color w:val="000000" w:themeColor="text1"/>
          <w:sz w:val="16"/>
          <w:szCs w:val="16"/>
        </w:rPr>
        <w:softHyphen/>
        <w:t xml:space="preserve">тельную материальную помощь. В январе-феврале 1944 г. ей было передано 40 </w:t>
      </w:r>
      <w:r w:rsidRPr="00271E51">
        <w:rPr>
          <w:rFonts w:ascii="Times New Roman" w:hAnsi="Times New Roman" w:cs="Times New Roman"/>
          <w:color w:val="000000" w:themeColor="text1"/>
          <w:sz w:val="16"/>
          <w:szCs w:val="16"/>
          <w:lang w:val="en-US"/>
        </w:rPr>
        <w:t>Bf</w:t>
      </w:r>
      <w:r w:rsidRPr="00271E51">
        <w:rPr>
          <w:rFonts w:ascii="Times New Roman" w:hAnsi="Times New Roman" w:cs="Times New Roman"/>
          <w:color w:val="000000" w:themeColor="text1"/>
          <w:sz w:val="16"/>
          <w:szCs w:val="16"/>
        </w:rPr>
        <w:t xml:space="preserve"> 109</w:t>
      </w:r>
      <w:r w:rsidRPr="00271E51">
        <w:rPr>
          <w:rFonts w:ascii="Times New Roman" w:hAnsi="Times New Roman" w:cs="Times New Roman"/>
          <w:color w:val="000000" w:themeColor="text1"/>
          <w:sz w:val="16"/>
          <w:szCs w:val="16"/>
          <w:lang w:val="en-US"/>
        </w:rPr>
        <w:t>G</w:t>
      </w:r>
      <w:r w:rsidRPr="00271E51">
        <w:rPr>
          <w:rFonts w:ascii="Times New Roman" w:hAnsi="Times New Roman" w:cs="Times New Roman"/>
          <w:color w:val="000000" w:themeColor="text1"/>
          <w:sz w:val="16"/>
          <w:szCs w:val="16"/>
        </w:rPr>
        <w:t xml:space="preserve">-6 и 25 </w:t>
      </w:r>
      <w:r w:rsidRPr="00271E51">
        <w:rPr>
          <w:rFonts w:ascii="Times New Roman" w:hAnsi="Times New Roman" w:cs="Times New Roman"/>
          <w:color w:val="000000" w:themeColor="text1"/>
          <w:sz w:val="16"/>
          <w:szCs w:val="16"/>
          <w:lang w:val="en-US"/>
        </w:rPr>
        <w:t>BM</w:t>
      </w:r>
      <w:r w:rsidRPr="00271E51">
        <w:rPr>
          <w:rFonts w:ascii="Times New Roman" w:hAnsi="Times New Roman" w:cs="Times New Roman"/>
          <w:color w:val="000000" w:themeColor="text1"/>
          <w:sz w:val="16"/>
          <w:szCs w:val="16"/>
        </w:rPr>
        <w:t>09</w:t>
      </w:r>
      <w:r w:rsidRPr="00271E51">
        <w:rPr>
          <w:rFonts w:ascii="Times New Roman" w:hAnsi="Times New Roman" w:cs="Times New Roman"/>
          <w:color w:val="000000" w:themeColor="text1"/>
          <w:sz w:val="16"/>
          <w:szCs w:val="16"/>
          <w:lang w:val="en-US"/>
        </w:rPr>
        <w:t>G</w:t>
      </w:r>
      <w:r w:rsidRPr="00271E51">
        <w:rPr>
          <w:rFonts w:ascii="Times New Roman" w:hAnsi="Times New Roman" w:cs="Times New Roman"/>
          <w:color w:val="000000" w:themeColor="text1"/>
          <w:sz w:val="16"/>
          <w:szCs w:val="16"/>
        </w:rPr>
        <w:t>-2 ) (19104).</w:t>
      </w:r>
    </w:p>
    <w:p w14:paraId="42003E95" w14:textId="77777777" w:rsidR="00424340" w:rsidRPr="00271E51" w:rsidRDefault="00424340" w:rsidP="00271E51">
      <w:pPr>
        <w:pStyle w:val="174"/>
        <w:shd w:val="clear" w:color="auto" w:fill="auto"/>
        <w:spacing w:before="0" w:line="240" w:lineRule="auto"/>
        <w:ind w:firstLine="0"/>
        <w:jc w:val="both"/>
        <w:rPr>
          <w:rFonts w:ascii="Times New Roman" w:hAnsi="Times New Roman" w:cs="Times New Roman"/>
          <w:color w:val="000000" w:themeColor="text1"/>
          <w:sz w:val="16"/>
          <w:szCs w:val="16"/>
        </w:rPr>
      </w:pPr>
    </w:p>
    <w:p w14:paraId="1E6DBF36"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34D2F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1EFE30" w14:textId="77777777" w:rsidR="00FC04C9" w:rsidRPr="00271E51" w:rsidRDefault="00FC04C9" w:rsidP="00271E51">
      <w:pPr>
        <w:spacing w:after="0" w:line="240" w:lineRule="auto"/>
        <w:jc w:val="both"/>
        <w:rPr>
          <w:rFonts w:ascii="Times New Roman" w:hAnsi="Times New Roman"/>
          <w:color w:val="000000" w:themeColor="text1"/>
          <w:sz w:val="16"/>
          <w:szCs w:val="16"/>
        </w:rPr>
      </w:pPr>
      <w:bookmarkStart w:id="33" w:name="p5"/>
      <w:r w:rsidRPr="00271E51">
        <w:rPr>
          <w:rFonts w:ascii="Times New Roman" w:hAnsi="Times New Roman"/>
          <w:color w:val="000000" w:themeColor="text1"/>
          <w:sz w:val="16"/>
          <w:szCs w:val="16"/>
        </w:rPr>
        <w:t>21 декабря 1943 г. Акт по совместным испытаниям винтов В</w:t>
      </w:r>
      <w:bookmarkEnd w:id="33"/>
      <w:r w:rsidRPr="00271E51">
        <w:rPr>
          <w:rFonts w:ascii="Times New Roman" w:hAnsi="Times New Roman"/>
          <w:color w:val="000000" w:themeColor="text1"/>
          <w:sz w:val="16"/>
          <w:szCs w:val="16"/>
        </w:rPr>
        <w:t xml:space="preserve">инт Ф-61-В </w:t>
      </w:r>
    </w:p>
    <w:tbl>
      <w:tblPr>
        <w:tblW w:w="5000" w:type="pct"/>
        <w:jc w:val="center"/>
        <w:tblCellSpacing w:w="7" w:type="dxa"/>
        <w:tblCellMar>
          <w:top w:w="30" w:type="dxa"/>
          <w:left w:w="30" w:type="dxa"/>
          <w:bottom w:w="30" w:type="dxa"/>
          <w:right w:w="30" w:type="dxa"/>
        </w:tblCellMar>
        <w:tblLook w:val="04A0" w:firstRow="1" w:lastRow="0" w:firstColumn="1" w:lastColumn="0" w:noHBand="0" w:noVBand="1"/>
      </w:tblPr>
      <w:tblGrid>
        <w:gridCol w:w="2617"/>
        <w:gridCol w:w="1453"/>
        <w:gridCol w:w="1478"/>
        <w:gridCol w:w="5780"/>
      </w:tblGrid>
      <w:tr w:rsidR="00A907A5" w:rsidRPr="00271E51" w14:paraId="388E1576" w14:textId="77777777" w:rsidTr="00ED5B0A">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070A7DF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Винт Ф-61-В.    Производство завода № 28.    Конструктор Кузьмин.</w:t>
            </w:r>
          </w:p>
        </w:tc>
      </w:tr>
      <w:tr w:rsidR="00A907A5" w:rsidRPr="00271E51" w14:paraId="5AF3F76C"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DA2F5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6566CB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Ф-61-В</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C95F2C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Предназначен для</w:t>
            </w:r>
          </w:p>
          <w:p w14:paraId="4F8FF35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077473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Пе-8 с 4АМ-35А</w:t>
            </w:r>
          </w:p>
        </w:tc>
      </w:tr>
      <w:tr w:rsidR="00A907A5" w:rsidRPr="00271E51" w14:paraId="6E4D08D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C67E06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8186DB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34E17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BA549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351EE7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58F8F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C542C6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6438D50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3BC1492"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9366BE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7D55B0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F10D4A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0AF1A3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6DD4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D6E794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22E98F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726D1C5"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8D8BB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934EBB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E44240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A9C2CB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74A595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A534D1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8C0E19D"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980B5E9"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46C128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10F27F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D7D430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566617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CF942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Диапазон поворота лопастей (град.) раб/флюгерн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B741E7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00C0D9A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6B88A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6991A2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3B5B55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установочный угол</w:t>
            </w:r>
          </w:p>
          <w:p w14:paraId="3CFA57A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B028F9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4B0F5C"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5D30F74"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8D53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AC100C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484D8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4AFFCC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04C60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B2EFD0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4ADA56D"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41B667E"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80F7E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74B3D0D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1603D4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6626319"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A37D53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AFBE9A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3FDF31"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C5458B0"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80792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6B449B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D7D0A6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w:t>
            </w:r>
          </w:p>
          <w:p w14:paraId="41052DA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EB4E22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 прошел удовлетворительно войсковые испытания а с-те Пе-8 4АМ-35А и рекомендован в серийное производство.</w:t>
            </w:r>
          </w:p>
        </w:tc>
      </w:tr>
      <w:tr w:rsidR="00A907A5" w:rsidRPr="00271E51" w14:paraId="2D926220"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ADB616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D359EC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Р-7А или Р-7Б</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197F7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3B575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F5408EA"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3CB1DF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249A3B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1A572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8F664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078FCCA"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5E6BF4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флюгером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045624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Пневмо- гидравлическ.</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70D758D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Источник сведений: Акт по совместным испытаниям винтов от 21.12.43 г.</w:t>
            </w:r>
          </w:p>
        </w:tc>
      </w:tr>
    </w:tbl>
    <w:p w14:paraId="0C86977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(12227).</w:t>
      </w:r>
    </w:p>
    <w:p w14:paraId="226C9D86"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BE3DE7E"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FDB66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EBEDD2" w14:textId="77777777" w:rsidR="00B95E55" w:rsidRPr="00271E51" w:rsidRDefault="00B95E55" w:rsidP="00271E51">
      <w:pPr>
        <w:pStyle w:val="162"/>
        <w:shd w:val="clear" w:color="auto" w:fill="auto"/>
        <w:spacing w:line="240" w:lineRule="auto"/>
        <w:jc w:val="both"/>
        <w:rPr>
          <w:color w:val="000000" w:themeColor="text1"/>
          <w:sz w:val="16"/>
          <w:szCs w:val="16"/>
        </w:rPr>
      </w:pPr>
      <w:r w:rsidRPr="00271E51">
        <w:rPr>
          <w:rFonts w:eastAsia="Calibri"/>
          <w:color w:val="000000" w:themeColor="text1"/>
          <w:sz w:val="16"/>
          <w:szCs w:val="16"/>
        </w:rPr>
        <w:t>По состоянию на 21 декабря 1943 года на складах находилось 120 десантных саней БП-60,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271E51">
        <w:rPr>
          <w:rFonts w:eastAsia="Calibri"/>
          <w:color w:val="000000" w:themeColor="text1"/>
          <w:sz w:val="16"/>
          <w:szCs w:val="16"/>
        </w:rPr>
        <w:softHyphen/>
        <w:t>де № 180 оценивается в районе 300 штук (17485).</w:t>
      </w:r>
    </w:p>
    <w:p w14:paraId="0C0F557A" w14:textId="77777777" w:rsidR="00B95E55" w:rsidRPr="00271E51" w:rsidRDefault="00B95E55" w:rsidP="00271E51">
      <w:pPr>
        <w:pStyle w:val="a3"/>
        <w:rPr>
          <w:color w:val="000000" w:themeColor="text1"/>
          <w:lang w:val="ru-RU"/>
        </w:rPr>
      </w:pPr>
    </w:p>
    <w:p w14:paraId="434EE80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Постановление ГКО № 4818 Об утверждении акта Правительственной комиссии по приемке в промышленную эксплуатацию первой очереди трубопровода Махачкала - Астрахань - Урбах - Саратов. (7165, 148-150,151-156).</w:t>
      </w:r>
    </w:p>
    <w:p w14:paraId="45287C6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3890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Постановление ГКО № 4819 О восстановлении автогенных заводов Наркомтяжмаша в районах, освобожденных от немецкой оккупации.РГАНИР, Фонд ГКО, д. 183, лл. 157-161, 162-163 (11012).</w:t>
      </w:r>
    </w:p>
    <w:p w14:paraId="3E11EA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AD6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Постановление ГКО № 4820 О мероприятиях по обеспечению строительства боевых кораблей для Военно-Морского Флота на заводе № 199 Наркомсудпрома.РГАНИР, Фонд ГКО, д. 183, лл. 164-170, 171-175 (11012).</w:t>
      </w:r>
    </w:p>
    <w:p w14:paraId="621761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0EF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г. вышло постановление ГКО № 4820 о мероприятиях по обеспечению строительства боевых кораблей на заводе.</w:t>
      </w:r>
    </w:p>
    <w:p w14:paraId="42BA90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0A4A66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634713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38C7A5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5E2246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63F498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271E51">
        <w:rPr>
          <w:rFonts w:ascii="Times New Roman" w:hAnsi="Times New Roman"/>
          <w:color w:val="000000" w:themeColor="text1"/>
          <w:sz w:val="16"/>
          <w:szCs w:val="16"/>
          <w:vertAlign w:val="superscript"/>
        </w:rPr>
        <w:t>101</w:t>
      </w:r>
    </w:p>
    <w:p w14:paraId="39966B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филиал (2004-08 г.)- завод «Восток» ( г. Большой Камень).</w:t>
      </w:r>
    </w:p>
    <w:p w14:paraId="5AA234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(1937 г.)- 3664 чел., (1.01.1946 г.)- 7800 чел.</w:t>
      </w:r>
    </w:p>
    <w:p w14:paraId="1BC862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(1936-3.08.1937 г.)- И.М. Жданов (репрессирован), (3.08.1937-41 г.-)- А.Л. Токарев.</w:t>
      </w:r>
      <w:r w:rsidRPr="00271E51">
        <w:rPr>
          <w:rFonts w:ascii="Times New Roman" w:hAnsi="Times New Roman"/>
          <w:color w:val="000000" w:themeColor="text1"/>
          <w:sz w:val="16"/>
          <w:szCs w:val="16"/>
          <w:vertAlign w:val="superscript"/>
        </w:rPr>
        <w:t>61</w:t>
      </w:r>
      <w:r w:rsidRPr="00271E51">
        <w:rPr>
          <w:rFonts w:ascii="Times New Roman" w:hAnsi="Times New Roman"/>
          <w:color w:val="000000" w:themeColor="text1"/>
          <w:sz w:val="16"/>
          <w:szCs w:val="16"/>
        </w:rPr>
        <w:t xml:space="preserve"> Гендиректор (1990-е-06.2005; 12.02.2009 г.-)- Н. Повзык, (06.2005-12.02.2009 г.)- А.И. Адаменя.</w:t>
      </w:r>
    </w:p>
    <w:p w14:paraId="716CBE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  Г. Васильев; (-06.2005 г.)- А.И. Адаменя.</w:t>
      </w:r>
    </w:p>
    <w:p w14:paraId="73CBC1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6ACADE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 2 (13.12.1935 г.-)- К.Ф. Терлецкий.</w:t>
      </w:r>
    </w:p>
    <w:p w14:paraId="03CAC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 19 (2008 г.)- В. Стародубов.</w:t>
      </w:r>
    </w:p>
    <w:p w14:paraId="152B80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УКС (02.1937 г.)- Я.П. Варенцов.</w:t>
      </w:r>
    </w:p>
    <w:p w14:paraId="40E778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отделов: ППО (02.1938 г.)- З. Г. Сгибнев.</w:t>
      </w:r>
    </w:p>
    <w:p w14:paraId="0B0C59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73D1DA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Уполномоченный завода во Владивостоке (1.09.1938 г.-)- З. Г. Сгибнев.</w:t>
      </w:r>
    </w:p>
    <w:p w14:paraId="54B5E6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w:t>
      </w:r>
      <w:r w:rsidRPr="00271E51">
        <w:rPr>
          <w:rFonts w:ascii="Times New Roman" w:hAnsi="Times New Roman"/>
          <w:color w:val="000000" w:themeColor="text1"/>
          <w:sz w:val="16"/>
          <w:szCs w:val="16"/>
        </w:rPr>
        <w:lastRenderedPageBreak/>
        <w:t xml:space="preserve">769А (1958-64)- всего 4, пр. 1757, пр. 17571 (1970-е), док-эллинг пр. 1780 (1970-е); транспортно-буксирное судно </w:t>
      </w:r>
      <w:r w:rsidRPr="00271E51">
        <w:rPr>
          <w:rFonts w:ascii="Times New Roman" w:hAnsi="Times New Roman"/>
          <w:color w:val="000000" w:themeColor="text1"/>
          <w:sz w:val="16"/>
          <w:szCs w:val="16"/>
          <w:lang w:val="en-US"/>
        </w:rPr>
        <w:t>UT</w:t>
      </w:r>
      <w:r w:rsidRPr="00271E51">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614D72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капремонт: ПЛ: типа «Щ» (-1944)- 9, типа «М» (-1944)- 4</w:t>
      </w:r>
      <w:r w:rsidRPr="00271E51">
        <w:rPr>
          <w:rFonts w:ascii="Times New Roman" w:hAnsi="Times New Roman"/>
          <w:color w:val="000000" w:themeColor="text1"/>
          <w:sz w:val="16"/>
          <w:szCs w:val="16"/>
          <w:vertAlign w:val="superscript"/>
        </w:rPr>
        <w:t>90</w:t>
      </w:r>
      <w:r w:rsidRPr="00271E51">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732593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«Восток», ОАО «Завод судового оборудования «Восток»</w:t>
      </w:r>
    </w:p>
    <w:p w14:paraId="03A933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/692804  г. Большой Камень Приморского кр. ул. Колхозная, 1Б/</w:t>
      </w:r>
    </w:p>
    <w:p w14:paraId="0D3BFD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51703F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АСЗ, достроечная база (2004-08 г.).</w:t>
      </w:r>
    </w:p>
    <w:p w14:paraId="5A334A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Переоборудование АПЛ К-55, К-178 пр. 658 в пр. 658Т (торпедная) (1970-е).</w:t>
      </w:r>
    </w:p>
    <w:p w14:paraId="7CC4BF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(-2008-09 г.-)-  Г. Вагин.</w:t>
      </w:r>
    </w:p>
    <w:p w14:paraId="22FAB1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сдаточно-монтажного (1975 г.-)- Л. Г. Мещеряков (11982).</w:t>
      </w:r>
    </w:p>
    <w:p w14:paraId="0687EB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6515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Постановление ГКО № 4821 О восстановлении Харьковского турбогенераторного завода им. Кирова и Таганрогского завода "Красный котельщик" Наркомтяжмаша.РГАНИР, Фонд ГКО, д. 183, лл. 176-182, 183-234 (11012).</w:t>
      </w:r>
    </w:p>
    <w:p w14:paraId="6BE986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BEC6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Постановление ГКО № 4822 Об организации производства сплава № 2 для аккумуляторных баков на предприятиях Наркомстройматериалов СССР. (7165, 235-237,238).</w:t>
      </w:r>
    </w:p>
    <w:p w14:paraId="2809C85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8B5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Распоряжение ГКО № 4823. О мерах по обеспечению электровакуумной промышленности редкими металлами - танталом, цирконием и ниобием.РГАНИР, Фонд ГКО, д. 183, лл. 239-241, 242-244 (11012).</w:t>
      </w:r>
    </w:p>
    <w:p w14:paraId="584962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21F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Распоряжение ГКО № 4824. О мобилизации в Смоленской обл. на срок до 1 апреля 1944 г. 10 тыс. чел. для строительства оборонительного рубежа Велиж-Рудня.РГАНИР, Фонд ГКО, д. 183, лл. 245 (11012).</w:t>
      </w:r>
    </w:p>
    <w:p w14:paraId="596A2C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FB2D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вышло Распоряжение ГКО № 4825 [О передаче из КА 100 ветеринарных фельдшеров для работы на предприятиях НКлеса.] (7165, 246).</w:t>
      </w:r>
    </w:p>
    <w:p w14:paraId="7BBD00C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D4AD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года по решению ГОКО был восстановлен завод № 88 (9274)</w:t>
      </w:r>
    </w:p>
    <w:p w14:paraId="2619E9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1EC18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75F3AB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FE2B45"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21 декабря </w:t>
      </w:r>
      <w:r w:rsidRPr="00271E51">
        <w:rPr>
          <w:rFonts w:ascii="Times New Roman" w:hAnsi="Times New Roman"/>
          <w:color w:val="000000" w:themeColor="text1"/>
          <w:sz w:val="16"/>
          <w:szCs w:val="16"/>
        </w:rPr>
        <w:t>в 1943 году оперативная сводка Совинформбюро:</w:t>
      </w:r>
    </w:p>
    <w:p w14:paraId="74CEA857"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декабря южнее Невеля наши войска с боями продвигались вперёд и заняли более 100 населённых пунктов, в том числе населённые пункты Росляки, Вархи, Беснатово, Хоменки, Смоловка, Чистополье, Загузье, Козловичи, Шутница, Косолапы, Лужаны, Бухарева, Вокшево, Грибали и железнодорожную станцию Росляки.</w:t>
      </w:r>
    </w:p>
    <w:p w14:paraId="371D0D3D"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юго-западнее Жлобина наши войска успешно отбивали атаки пехоты и танков противника.</w:t>
      </w:r>
    </w:p>
    <w:p w14:paraId="7091ABE8"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Коростеня наши войска успешно отбили все атаки крупных сил пехоты и танков противника и нанесли ему большие потери в живой силе и технике.</w:t>
      </w:r>
    </w:p>
    <w:p w14:paraId="1F7CDFD0"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наши войска отбивали атаки танков и пехоты противника.</w:t>
      </w:r>
    </w:p>
    <w:p w14:paraId="14A30435"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Херсона наши войска полностью ликвидировали предмостное укрепление немцев на левом берегу Днепра. Противник понёс при этом большие потери в живой силе и технике.</w:t>
      </w:r>
    </w:p>
    <w:p w14:paraId="4CE53055"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F7C06DF"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20 декабря наши войска на всех фронтах подбили и уничтожили 112 немецких танков. В воздушных боях и огнём зенитной артиллерии сбито 19 самолётов противника.</w:t>
      </w:r>
    </w:p>
    <w:p w14:paraId="24205242"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Невеля наши войска продолжали наступление. Части Н-ского соединения, отбивая контратаки противника и преодолевая его инженерно-минные заграждения, с боями заняли 60 населённых пунктов. Захвачено много трофеев, в том числе 27орудий, 26 миномётов, 70 пулемётов и несколько складов с боеприпасами. На другом участке немцы оказывали сильное огневое сопротивление наступающим советским частям. Наши артиллеристы, действующие в боевых порядках пехоты, подавили огневые точки противника. Советские бойцы смелой атакой опрокинули немцев и, преследуя их, заняли более 40 населённых пунктов. Неоднократные контратаки гитлеровцев, действовавших при поддержке танков и самоходных орудий, успеха не имели. В боях за день советские части истребили свыше 1.600 немецких солдат и офицеров, подбили 14 танков и 10 самоходных орудий.</w:t>
      </w:r>
    </w:p>
    <w:p w14:paraId="07007F21"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противник атаковал наши позиции. Введя в бой на узком участке крупные силы пехоты и танков, немцы рассчитывали одним ударом протаранить советские оборонительные линии. Наши войска встретили гитлеровцев артиллерийским и миномётным огнём. В течение всего дня происходили упорные бои, в ходе которых противник понёс большие потери. Советские артиллеристы подбили и уничтожили 42 немецких танка. Немцы потеряли только убитыми до 1.000 своих солдат и офицеров. Потери ранеными в два-три раза превышают число убитых гитлеровцев.</w:t>
      </w:r>
    </w:p>
    <w:p w14:paraId="3919BD9A"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города Коростеня наши войска успешно отбили все атаки крупных сил пехоты и танков противника. Немцы бросили в бой части трёх танковых и трёхпехотных дивизий, но, встреченные сосредоточенным огнём из всей видов оружия, вынуждены были отойти. Вскоре противник повторил атаку, но и на этот раз не добился успеха. Во второй половине дня немцы, усилив свои наступающие части танками типа «Тигр», предприняли ещё одну попытку прорвать оборонительные линии советских войск. Завязался ожесточённый бой, в ходе которого отдельные населённые пункты по нескольку раз переходили из рук в руки. К исходу дня наши войска оттеснили врага и восстановили положение. Только на подступах к одному населённому пункту подсчитано свыше 600 трупов гитлеровцев. Огнём нашейартиллерии и бронебойщиков подбито и сожжено 24 танка, 8 самоходных орудий и свыше 50 автомашин противника.</w:t>
      </w:r>
    </w:p>
    <w:p w14:paraId="2B8B81A8"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немцы несколько раз пытались овладеть высотой, имеющей важное значение. Все атаки противника отбиты. На подступах к этой высоте уничтожено не менее батальона немецкой пехоты, подбито 7 танков, 3 бронемашины и 3 самоходных орудия. В другом районе бойцы Н-ской части решительной атакой овладели позициями противника. Захвачено 2 исправных немецких танка, артиллерийская батарея, 6 крупнокалиберных миномётов и склад боеприпасов. Взяты пленные.</w:t>
      </w:r>
    </w:p>
    <w:p w14:paraId="21F9D32A"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Херсона наши войска полностью ликвидировали плацдарм противника на левом берегу Днепра. Советские части стремительным ударом сломили сопротивление немцев и отбросили их в плавни за реку Конка. Не давая врагу опомниться, наши подразделения переправились через эту реку и прижали немцев к Днепру. В ожесточённых боях противник понёс большие потери. Только бойцами Н-ской гвардейской части за три дня боёв уничтожено до 2.000 немецких солдат и офицеров. Подбит 21 танк, 30 полевых и 2 самоходных орудия, захвачено 46 орудий разного калибра. На других участках противник понёс ещё более тяжёлые потери. Захвачены большие трофеи и много пленных.</w:t>
      </w:r>
    </w:p>
    <w:p w14:paraId="0826B087"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Белостокской области, за последнее время добились новых успехов в борьбе против немецко-фашистских захватчиков. Советские патриоты разрушили 13 километров железнодорожного полотна и пустили под откос 10 немецких воинских эшелонов. В результате крушений разбиты 9 паровозов, 108 вагонов и 15 платформ с военными грузами. Белостокские партизаны в боях с противником уничтожили свыше 400 гитлеровцев.</w:t>
      </w:r>
    </w:p>
    <w:p w14:paraId="4F4EDC58"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городе Каганович (Хабное), Киевской области: «Начиная с первых дней оккупации, немцы начади истреблять мирное население города и района. Фашистские изверги не щадили ни стариков, ни женщин, ни детей. Гитлеровцы истребляли поголовно целые семьи. На глазах Анны Афанасьевны Петренко немцы живьём закопали в землю её детей: Валерика — 4 лет и Володю — 6 лет. Колхозника Никитенко из села Млачевки гестаповцы забили насмерть резиновыми палками. Рабочий типографии М.Сокол скончался от пыток. Замученный гестаповцами доктор Сирош перед смертью крикнул палачам: «Наша родина отомстит вам, проклятым убийцам». Всего за время оккупации района немцы расстреляли свыше тысячи мирных жителей. По неполным данным, гитлеровцы угнали на каторгу в Германию более 3 тысяч жителей города Каганович и окрестных сёл. Главными виновниками этих чудовищных злодеяний мы считаем гаулейтера Фенецигера, его заместителя Шмидта, немецкого коменданта Якоба и заместителя начальника окружного хозяйства Дельпа».</w:t>
      </w:r>
    </w:p>
    <w:p w14:paraId="1F6809BE" w14:textId="77777777" w:rsidR="007C7C9D" w:rsidRPr="00271E51" w:rsidRDefault="007C7C9D"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Акт подписали: жители города Каганович А.Кралик, А.Петренко, Е.Позлоцан, Г.Ишук, Н.Белько, Т.Замула, С.Белько, Н.Недошковский, Г.Латченко и майор Е.Востоков.» (14867).</w:t>
      </w:r>
    </w:p>
    <w:p w14:paraId="754A7578" w14:textId="77777777" w:rsidR="007C7C9D" w:rsidRPr="00271E51" w:rsidRDefault="007C7C9D" w:rsidP="00271E51">
      <w:pPr>
        <w:spacing w:after="0" w:line="240" w:lineRule="auto"/>
        <w:jc w:val="both"/>
        <w:rPr>
          <w:rFonts w:ascii="Times New Roman" w:hAnsi="Times New Roman"/>
          <w:color w:val="000000" w:themeColor="text1"/>
          <w:sz w:val="16"/>
          <w:szCs w:val="16"/>
        </w:rPr>
      </w:pPr>
    </w:p>
    <w:p w14:paraId="448966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СССР уничтожили линию обороны по Днепру у Херсона (2262).</w:t>
      </w:r>
    </w:p>
    <w:p w14:paraId="662716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CEDB9" w14:textId="77777777" w:rsidR="00424340" w:rsidRPr="00271E51" w:rsidRDefault="0042434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35878A6" w14:textId="77777777" w:rsidR="00424340" w:rsidRPr="00271E51" w:rsidRDefault="00424340"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1932C0"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 декабря 1943. Газеты сообщили, что СНК СССР утвердил новый Государственный гимн СССР - "Союз нерушимый республик советских...", заменивший "Интернационал" (18693).</w:t>
      </w:r>
    </w:p>
    <w:p w14:paraId="15BCBD4E" w14:textId="77777777" w:rsidR="00424340" w:rsidRPr="00271E51" w:rsidRDefault="00424340" w:rsidP="00271E51">
      <w:pPr>
        <w:spacing w:after="0" w:line="240" w:lineRule="auto"/>
        <w:jc w:val="both"/>
        <w:rPr>
          <w:rFonts w:ascii="Times New Roman" w:hAnsi="Times New Roman"/>
          <w:color w:val="000000" w:themeColor="text1"/>
          <w:sz w:val="16"/>
          <w:szCs w:val="16"/>
        </w:rPr>
      </w:pPr>
    </w:p>
    <w:p w14:paraId="04B70CBE" w14:textId="77777777" w:rsidR="00E84C27"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D70795C" w14:textId="77777777" w:rsidR="00E84C27" w:rsidRPr="00271E51" w:rsidRDefault="00E84C27"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ECC24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 xml:space="preserve">21 декабря </w:t>
      </w:r>
      <w:r w:rsidRPr="00271E51">
        <w:rPr>
          <w:rFonts w:ascii="Times New Roman" w:hAnsi="Times New Roman"/>
          <w:color w:val="000000" w:themeColor="text1"/>
          <w:sz w:val="16"/>
          <w:szCs w:val="16"/>
        </w:rPr>
        <w:t>в 1943 году в газете «Красная звезда» опубликовано сообщение: в Великобритании собрано 142 тысячи фунтов стерлингов (вместо намеченных 75 тысяч фунтов стерлингов) на оборудование госпиталя в Сталинграде; по инициативе американского комитета по оказанию помощи СССР в войне за 10 месяцев 1943 г. в СССР из США отправлено продовольствия, одежды, медикаментов на 10 миллионов 250 тысяч долларов (14867).</w:t>
      </w:r>
    </w:p>
    <w:p w14:paraId="3BE6AB76"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67F409A7" w14:textId="65B0DA04" w:rsidR="00D04D05" w:rsidRPr="00271E51" w:rsidRDefault="00D04D05"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19EF408B" w14:textId="77777777" w:rsidR="00D04D05" w:rsidRPr="00271E51" w:rsidRDefault="00D04D05"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CA8B94C" w14:textId="77777777" w:rsidR="00D04D05" w:rsidRPr="00271E51" w:rsidRDefault="00D04D0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 декабря 1943 японские самолеты, базирующиеся в Рабауле, совершают три бомбардировки с пикирования по американским войскам, разгрузившимся в Араве (20376).</w:t>
      </w:r>
    </w:p>
    <w:p w14:paraId="7FD97D62" w14:textId="77777777" w:rsidR="00D04D05" w:rsidRPr="00271E51" w:rsidRDefault="00D04D05" w:rsidP="00271E51">
      <w:pPr>
        <w:spacing w:after="0" w:line="240" w:lineRule="auto"/>
        <w:jc w:val="both"/>
        <w:rPr>
          <w:rFonts w:ascii="Times New Roman" w:hAnsi="Times New Roman"/>
          <w:color w:val="0070C0"/>
          <w:sz w:val="16"/>
          <w:szCs w:val="16"/>
        </w:rPr>
      </w:pPr>
    </w:p>
    <w:p w14:paraId="55AC2491" w14:textId="77777777" w:rsidR="00D04D05" w:rsidRPr="00271E51" w:rsidRDefault="00D04D0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21–30 декабря 1943 пикирующие бомбардировщики Douglas A-24 Banshee, базирующиеся в Бутаритари, наносят девять ударов по Мили и один - по Джалуиту (20376).</w:t>
      </w:r>
    </w:p>
    <w:p w14:paraId="4803B434" w14:textId="77777777" w:rsidR="00D04D05" w:rsidRPr="00271E51" w:rsidRDefault="00D04D05" w:rsidP="00271E51">
      <w:pPr>
        <w:spacing w:after="0" w:line="240" w:lineRule="auto"/>
        <w:jc w:val="both"/>
        <w:rPr>
          <w:rFonts w:ascii="Times New Roman" w:hAnsi="Times New Roman"/>
          <w:color w:val="0070C0"/>
          <w:sz w:val="16"/>
          <w:szCs w:val="16"/>
        </w:rPr>
      </w:pPr>
    </w:p>
    <w:p w14:paraId="1B4C9D25" w14:textId="18233685"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5354E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1788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судя по фото в бригаде 7 ОКБ П.О.С. подготовили схему бронирования Су-6 в двухместном варианте, но под радиальный двигатель.</w:t>
      </w:r>
    </w:p>
    <w:p w14:paraId="26D8BD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C6D70"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02F49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2DA3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было подготовлено письмо Исх. 4637с</w:t>
      </w:r>
    </w:p>
    <w:p w14:paraId="3ED88C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 Тов. МАЛЫШЕВУ В.А.</w:t>
      </w:r>
    </w:p>
    <w:p w14:paraId="148372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Дополнительно сообщаю о состоянии работ по системам ЛБ-1, С-50 и С-53 г.</w:t>
      </w:r>
    </w:p>
    <w:p w14:paraId="11BEF8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системе ЛБ-1 по заявлению зам. тов. Грабина - тов. Левертовского система С-53 после отстрела на Софринском полигоне будет отправлена на испытания на Гороховецкий полигон.</w:t>
      </w:r>
    </w:p>
    <w:p w14:paraId="664448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системе С-50 во время заводского отстрела на Софринском полигоне выявлены дефекты по казеннику, устранение которых потребует 2-3 дня, следовательно система С-50 сможет быть от</w:t>
      </w:r>
      <w:r w:rsidRPr="00271E51">
        <w:rPr>
          <w:rFonts w:ascii="Times New Roman" w:hAnsi="Times New Roman"/>
          <w:color w:val="000000" w:themeColor="text1"/>
          <w:sz w:val="16"/>
          <w:szCs w:val="16"/>
        </w:rPr>
        <w:softHyphen/>
        <w:t>гружена на Испытание не ранее 23-24 декабря.</w:t>
      </w:r>
    </w:p>
    <w:p w14:paraId="64934C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Вышеизложенное нарушает установленные Вашим приказом от 17.ХП. с.г. № 692 в сроки подачи систем на испытания</w:t>
      </w:r>
    </w:p>
    <w:p w14:paraId="01F296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Прошу вашего вмешательства</w:t>
      </w:r>
    </w:p>
    <w:p w14:paraId="528CD7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Письмо на имя т. Берия Л. П. Прилагаю Фрезеров (11153).</w:t>
      </w:r>
    </w:p>
    <w:p w14:paraId="00456D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9B1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г. вышло РАСПОРЯЖЕНИЕ НАЧАЛЬНИКА УПРАВЛЕНИЯ РЕМОНТА ТАНКОВ ГБТУ КА НАЧАЛЬНИКУ РЕМЗАВОДА № 8 О ПЕРЕВООРУЖЕНИЯ ТРОФЕЙНЫХ ТАНКОВ №1160047</w:t>
      </w:r>
    </w:p>
    <w:p w14:paraId="776FAE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сих пор от вас не поступили чертежи на детали установок отечественного вооружения на трофейные танки, чем срываете возможность перевооружения трофейных танков непосредственно на танкоремонтных заводах.</w:t>
      </w:r>
    </w:p>
    <w:p w14:paraId="128B09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 проверьте готовность чертежей и сообщите о причине задержки высылки.</w:t>
      </w:r>
    </w:p>
    <w:p w14:paraId="7AEA08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сообщите о готовности вооружения танков, предназначенных к киносъемкам.</w:t>
      </w:r>
    </w:p>
    <w:p w14:paraId="7F63B4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Стрельбу из пушек трофейных танков во время киносъемок используйте для испытания работы пушек. В помощь будет выслан инженер-капитан Гаврилов.</w:t>
      </w:r>
    </w:p>
    <w:p w14:paraId="2F0C6E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начале киносъемок сообщить.</w:t>
      </w:r>
    </w:p>
    <w:p w14:paraId="0B07FA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управления ремонта танков ГБТУ КА генерал-майор инженерно-танковой службы Сосенков</w:t>
      </w:r>
    </w:p>
    <w:p w14:paraId="4C1B0A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11357. Д. 75. Л. 46. Копия (11403).</w:t>
      </w:r>
    </w:p>
    <w:p w14:paraId="446FEF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33AC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г. вышел ПРИКАЗ НАЧАЛЬНИКА ГБТУ КА, НКСМ СССР, НАРКОМА ВООРУЖЕНИЯ СССР И НАЧАЛЬНИКА ГАУ КА ОБ ИСПЫТАНИИ 76-мм САМОХОДНОЙ АРТУСТАНОВКИ СУ-76БМ</w:t>
      </w:r>
    </w:p>
    <w:p w14:paraId="7A7838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Государственным ордена трудового Красного Знамени Научно-исследовательским автотрактор</w:t>
      </w:r>
      <w:r w:rsidRPr="00271E51">
        <w:rPr>
          <w:rFonts w:ascii="Times New Roman" w:hAnsi="Times New Roman"/>
          <w:color w:val="000000" w:themeColor="text1"/>
          <w:sz w:val="16"/>
          <w:szCs w:val="16"/>
        </w:rPr>
        <w:softHyphen/>
        <w:t>ным институтом (НАТИ) НКСМ и Центральным артиллерийским конструкторским бюро НКВ изго</w:t>
      </w:r>
      <w:r w:rsidRPr="00271E51">
        <w:rPr>
          <w:rFonts w:ascii="Times New Roman" w:hAnsi="Times New Roman"/>
          <w:color w:val="000000" w:themeColor="text1"/>
          <w:sz w:val="16"/>
          <w:szCs w:val="16"/>
        </w:rPr>
        <w:softHyphen/>
        <w:t>товлен опытный образец 76-мм самоходной артиллерийской установки СУ-76БМ с установленной на ней 76-мм пушкой С-54.</w:t>
      </w:r>
    </w:p>
    <w:p w14:paraId="711556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проведения полигонных испытаний СУ-76БМ назначается комиссия:</w:t>
      </w:r>
    </w:p>
    <w:p w14:paraId="5A9482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инженер-подполковник т. Сыч;</w:t>
      </w:r>
    </w:p>
    <w:p w14:paraId="0E4FFF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гвардии инженер-капитан т. Рябцев;</w:t>
      </w:r>
    </w:p>
    <w:p w14:paraId="2E182B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инженер-майор т. Орлов;</w:t>
      </w:r>
    </w:p>
    <w:p w14:paraId="705592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инженер-капитан т. Радичук;</w:t>
      </w:r>
    </w:p>
    <w:p w14:paraId="1DE4B3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старший инженер техотдела НКСМ т. Литвинов;</w:t>
      </w:r>
    </w:p>
    <w:p w14:paraId="69D53A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старший инженер НАТИ НКСМ т. Сазонов;</w:t>
      </w:r>
    </w:p>
    <w:p w14:paraId="343C59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представитель ЦАКБ т. Большаков;</w:t>
      </w:r>
    </w:p>
    <w:p w14:paraId="0A3CBD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представитель ЦАКБ т. Ритенберг;</w:t>
      </w:r>
    </w:p>
    <w:p w14:paraId="575098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представитель АК ГАУ КА, инженер-полковник т. Панчев.</w:t>
      </w:r>
    </w:p>
    <w:p w14:paraId="49FC21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Полигонные испытания СУ-76БМ провести по программе Главного бронетанкового управле</w:t>
      </w:r>
      <w:r w:rsidRPr="00271E51">
        <w:rPr>
          <w:rFonts w:ascii="Times New Roman" w:hAnsi="Times New Roman"/>
          <w:color w:val="000000" w:themeColor="text1"/>
          <w:sz w:val="16"/>
          <w:szCs w:val="16"/>
        </w:rPr>
        <w:softHyphen/>
        <w:t>ния и Главного артиллерийского управления Красной Армии.</w:t>
      </w:r>
    </w:p>
    <w:p w14:paraId="689FAF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Испытания провести: ходовые — на Кубинском НИБТ полигоне ГБТУ КА, стрельбой — на Гороховецком АНИОГТе.</w:t>
      </w:r>
    </w:p>
    <w:p w14:paraId="510F6D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Испытания начать 2 января 1944 г. и закончить 15 января 1944 г.</w:t>
      </w:r>
    </w:p>
    <w:p w14:paraId="57E1A9D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Председателю комиссии ежедневно представлять начальнику управления самоходной артил</w:t>
      </w:r>
      <w:r w:rsidRPr="00271E51">
        <w:rPr>
          <w:rFonts w:ascii="Times New Roman" w:hAnsi="Times New Roman"/>
          <w:color w:val="000000" w:themeColor="text1"/>
          <w:sz w:val="16"/>
          <w:szCs w:val="16"/>
        </w:rPr>
        <w:softHyphen/>
        <w:t>лерии ГБТУ КА генерал-майору инженерно-танковой службы т. Алымову сводку о ходе испытаний.</w:t>
      </w:r>
    </w:p>
    <w:p w14:paraId="073CBE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По результатам испытаний председателю комиссии составить отчет в пятидневный срок по окончании испытаний и представить его:</w:t>
      </w:r>
    </w:p>
    <w:p w14:paraId="4069B1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начальнику ГБТУ КА;</w:t>
      </w:r>
    </w:p>
    <w:p w14:paraId="31D40F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народному комиссару среднего машиностроения СССР;</w:t>
      </w:r>
    </w:p>
    <w:p w14:paraId="2F70EB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начальнику ГАУ КА;</w:t>
      </w:r>
    </w:p>
    <w:p w14:paraId="1A0838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начальнику УСА ГБТУ КА;</w:t>
      </w:r>
    </w:p>
    <w:p w14:paraId="486DDD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 народному комиссару вооружения СССР;</w:t>
      </w:r>
    </w:p>
    <w:p w14:paraId="39CBC9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 начальнику ЦАКБ НКВ;</w:t>
      </w:r>
    </w:p>
    <w:p w14:paraId="5A0DEE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 директору НАТИ НКСМ.</w:t>
      </w:r>
    </w:p>
    <w:p w14:paraId="63808B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народного комиссара среднего машиностроения СССР Кучумов</w:t>
      </w:r>
    </w:p>
    <w:p w14:paraId="558637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Народный комиссар вооружения СССР Устинов</w:t>
      </w:r>
    </w:p>
    <w:p w14:paraId="19057E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ГБТУ КА генерал-лейтенант танковых войск Вершинин</w:t>
      </w:r>
    </w:p>
    <w:p w14:paraId="02E571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Начальник ГАУ КА генерал-полковник Яковлев</w:t>
      </w:r>
    </w:p>
    <w:p w14:paraId="374D65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11369. Д. 481. Л. 57-58. Подлинник (11403).</w:t>
      </w:r>
    </w:p>
    <w:p w14:paraId="2F4281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F12A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г. было подготовлено СООБЩЕНИЕ НАЧАЛЬНИКА ГАВТУ КА НАРКОМУ НЕФТЯНОЙ ПРОМЫШЛЕННОСТИ СССР СЕДИНУ О КАЧЕСТВЕ ВЫПУСКАЕМОГО АВТОБЕНЗИНА №1192293</w:t>
      </w:r>
    </w:p>
    <w:p w14:paraId="312C1E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Удельный вес импортных автомобилей, эксплуатирующихся в Красной Армии, составляет в настоящее время около 20% всего парка автомашин и имеет тенденцию к неуклонному росту.</w:t>
      </w:r>
    </w:p>
    <w:p w14:paraId="048919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Конструктивные особенности двигателей импортных автомобилей требуют применения для них легких и высокооктановых бензинов.</w:t>
      </w:r>
    </w:p>
    <w:p w14:paraId="1A9238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Отечественный автобензин, изготовленный по последнему ГОСТу В-2084-43, по своему фрак</w:t>
      </w:r>
      <w:r w:rsidRPr="00271E51">
        <w:rPr>
          <w:rFonts w:ascii="Times New Roman" w:hAnsi="Times New Roman"/>
          <w:color w:val="000000" w:themeColor="text1"/>
          <w:sz w:val="16"/>
          <w:szCs w:val="16"/>
        </w:rPr>
        <w:softHyphen/>
        <w:t>ционному составу, температуре конца кипения и октановому числу значительно уступает бензину, применяемому для этих автомобилей в США.</w:t>
      </w:r>
    </w:p>
    <w:p w14:paraId="76A085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эксплуатации импортных автомобилей в Красной Армии показал, что использование для них несоответствующего горючего вызывает детонационное горение и значительное разжижение моторного масла в картере конденсатом несгоревшего топлива.</w:t>
      </w:r>
    </w:p>
    <w:p w14:paraId="074048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этих явлений детали шатунно-кривошипного механизма двигателей получают уси</w:t>
      </w:r>
      <w:r w:rsidRPr="00271E51">
        <w:rPr>
          <w:rFonts w:ascii="Times New Roman" w:hAnsi="Times New Roman"/>
          <w:color w:val="000000" w:themeColor="text1"/>
          <w:sz w:val="16"/>
          <w:szCs w:val="16"/>
        </w:rPr>
        <w:softHyphen/>
        <w:t>ленные и преждевременные износы и определяют необходимость постановки двигателей в капи</w:t>
      </w:r>
      <w:r w:rsidRPr="00271E51">
        <w:rPr>
          <w:rFonts w:ascii="Times New Roman" w:hAnsi="Times New Roman"/>
          <w:color w:val="000000" w:themeColor="text1"/>
          <w:sz w:val="16"/>
          <w:szCs w:val="16"/>
        </w:rPr>
        <w:softHyphen/>
        <w:t>тальный ремонт после пробега примерно 10-15 тыс. км вместо положенных 60 тыс. км.</w:t>
      </w:r>
    </w:p>
    <w:p w14:paraId="483B3B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Отмеченные серьезные недостатки применяемого бензина, хотя и в меньшей степени, распро</w:t>
      </w:r>
      <w:r w:rsidRPr="00271E51">
        <w:rPr>
          <w:rFonts w:ascii="Times New Roman" w:hAnsi="Times New Roman"/>
          <w:color w:val="000000" w:themeColor="text1"/>
          <w:sz w:val="16"/>
          <w:szCs w:val="16"/>
        </w:rPr>
        <w:softHyphen/>
        <w:t>страняются также и на автомобили отечественного производства.</w:t>
      </w:r>
    </w:p>
    <w:p w14:paraId="235D60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необходимо учесть, что действительные экономические выгоды, получаемые в результате изменения технологии производства и увеличения выхода из нефти бензина с одновременным ухудше</w:t>
      </w:r>
      <w:r w:rsidRPr="00271E51">
        <w:rPr>
          <w:rFonts w:ascii="Times New Roman" w:hAnsi="Times New Roman"/>
          <w:color w:val="000000" w:themeColor="text1"/>
          <w:sz w:val="16"/>
          <w:szCs w:val="16"/>
        </w:rPr>
        <w:softHyphen/>
        <w:t>нием его качества, перекрываются недостатками, возникающими при эксплуатации автопарка.</w:t>
      </w:r>
    </w:p>
    <w:p w14:paraId="505AE5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Главнейшими из этих недостатков являются: перерасход автобензина до 10%, снижение меж</w:t>
      </w:r>
      <w:r w:rsidRPr="00271E51">
        <w:rPr>
          <w:rFonts w:ascii="Times New Roman" w:hAnsi="Times New Roman"/>
          <w:color w:val="000000" w:themeColor="text1"/>
          <w:sz w:val="16"/>
          <w:szCs w:val="16"/>
        </w:rPr>
        <w:softHyphen/>
        <w:t>ремонтных пробегов примерно в четыре раза и увеличение затрат на капитальные ремонты с рас</w:t>
      </w:r>
      <w:r w:rsidRPr="00271E51">
        <w:rPr>
          <w:rFonts w:ascii="Times New Roman" w:hAnsi="Times New Roman"/>
          <w:color w:val="000000" w:themeColor="text1"/>
          <w:sz w:val="16"/>
          <w:szCs w:val="16"/>
        </w:rPr>
        <w:softHyphen/>
        <w:t>ходованием остродефицитных деталей, импортируемых из-за границы.</w:t>
      </w:r>
    </w:p>
    <w:p w14:paraId="4A2B83F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условий работы парка импортных и отечественных автомобилей, эксплуа</w:t>
      </w:r>
      <w:r w:rsidRPr="00271E51">
        <w:rPr>
          <w:rFonts w:ascii="Times New Roman" w:hAnsi="Times New Roman"/>
          <w:color w:val="000000" w:themeColor="text1"/>
          <w:sz w:val="16"/>
          <w:szCs w:val="16"/>
        </w:rPr>
        <w:softHyphen/>
        <w:t>тирующихся в Красной Армии, Главное автомобильное управление Красной Армии неоднократно ставило перед правительством вопрос об улучшении качества автобензина.</w:t>
      </w:r>
    </w:p>
    <w:p w14:paraId="027320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необходимости срочного улучшения качества автобензина, выпускаемого в настоящее время нефтяной промышленностью, вошел с предложением также и академик т. Чудаков в своей доклад</w:t>
      </w:r>
      <w:r w:rsidRPr="00271E51">
        <w:rPr>
          <w:rFonts w:ascii="Times New Roman" w:hAnsi="Times New Roman"/>
          <w:color w:val="000000" w:themeColor="text1"/>
          <w:sz w:val="16"/>
          <w:szCs w:val="16"/>
        </w:rPr>
        <w:softHyphen/>
        <w:t>ной записке на имя т. Микояна А.П.</w:t>
      </w:r>
    </w:p>
    <w:p w14:paraId="15B6AD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в виду также, что часть поднятых вопросов, в частности распоряжение СНК СССР № 15205-рс от 10.08.1943 г., обязывающее Наркомнефть поставлять ежемесячно для импортных автомобилей 12 тыс. тонн улучшенного автобензина, до настоящего времени не нашли положи</w:t>
      </w:r>
      <w:r w:rsidRPr="00271E51">
        <w:rPr>
          <w:rFonts w:ascii="Times New Roman" w:hAnsi="Times New Roman"/>
          <w:color w:val="000000" w:themeColor="text1"/>
          <w:sz w:val="16"/>
          <w:szCs w:val="16"/>
        </w:rPr>
        <w:softHyphen/>
        <w:t>тельного разрешения, считал бы необходимым созвать специальное совещание с участием пред</w:t>
      </w:r>
      <w:r w:rsidRPr="00271E51">
        <w:rPr>
          <w:rFonts w:ascii="Times New Roman" w:hAnsi="Times New Roman"/>
          <w:color w:val="000000" w:themeColor="text1"/>
          <w:sz w:val="16"/>
          <w:szCs w:val="16"/>
        </w:rPr>
        <w:softHyphen/>
        <w:t>ставителей заинтересованных наркоматов и учреждений для выработки проекта постановления для представления в Правительство.</w:t>
      </w:r>
    </w:p>
    <w:p w14:paraId="1C3592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принятом Вами решении прошу поставить меня в известность.</w:t>
      </w:r>
    </w:p>
    <w:p w14:paraId="4E40FB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ГАВТУ КА генерал-майор технических войск Тягунов</w:t>
      </w:r>
    </w:p>
    <w:p w14:paraId="2DEA47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11593. Д. 108. Л. 168 с об. Копия (11403).</w:t>
      </w:r>
    </w:p>
    <w:p w14:paraId="0FC225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309B63"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г. было подготовлено СООБЩЕНИЕ НАЧАЛЬНИКА ГАВТУ КА НАРКОМУ НЕФТЯНОЙ ПРОМЫШЛЕННОСТИ СССР СЕДИНУ О КАЧЕСТВЕ ВЫПУСКАЕМОГО АВТОБЕНЗИНА №1192293</w:t>
      </w:r>
    </w:p>
    <w:p w14:paraId="31C5F91C"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Удельный вес импортных автомобилей, эксплуатирующихся в Красной Армии, составляет в настоящее время около 20% всего парка автомашин и имеет тенденцию к неуклонному росту.</w:t>
      </w:r>
    </w:p>
    <w:p w14:paraId="12F28057"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Конструктивные особенности двигателей импортных автомобилей требуют применения для них легких и высокооктановых бензинов.</w:t>
      </w:r>
    </w:p>
    <w:p w14:paraId="7C3242EC"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Отечественный автобензин, изготовленный по последнему ГОСТу В-2084-43, по своему фрак¬ционному составу, температуре конца кипения и октановому числу значительно уступает бензину, применяемому для этих автомобилей в США.</w:t>
      </w:r>
    </w:p>
    <w:p w14:paraId="2F3E5637"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эксплуатации импортных автомобилей в Красной Армии показал, что использование для них несоответствующего горючего вызывает детонационное горение и значительное разжижение моторного масла в картере конденсатом несгоревшего топлива.</w:t>
      </w:r>
    </w:p>
    <w:p w14:paraId="057E46D6"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этих явлений детали шатунно-кривошипного механизма двигателей получают уси¬ленные и преждевременные износы и определяют необходимость постановки двигателей в капи¬тальный ремонт после пробега примерно 10-15 тыс. км вместо положенных 60 тыс. км.</w:t>
      </w:r>
    </w:p>
    <w:p w14:paraId="587044D3"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Отмеченные серьезные недостатки применяемого бензина, хотя и в меньшей степени, распро¬страняются также и на автомобили отечественного производства.</w:t>
      </w:r>
    </w:p>
    <w:p w14:paraId="660D3E9F"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необходимо учесть, что действительные экономические выгоды, получаемые в результате изменения технологии производства и увеличения выхода из нефти бензина с одновременным ухудше¬нием его качества, перекрываются недостатками, возникающими при эксплуатации автопарка.</w:t>
      </w:r>
    </w:p>
    <w:p w14:paraId="25285026"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Главнейшими из этих недостатков являются: перерасход автобензина до 10%, снижение меж¬ремонтных пробегов примерно в четыре раза и увеличение затрат на капитальные ремонты с рас¬ходованием остродефицитных деталей, импортируемых из-за границы.</w:t>
      </w:r>
    </w:p>
    <w:p w14:paraId="16979B59"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улучшения условий работы парка импортных и отечественных автомобилей, эксплуа¬тирующихся в Красной Армии, Главное автомобильное управление Красной Армии неоднократно ставило перед правительством вопрос об улучшении качества автобензина.</w:t>
      </w:r>
    </w:p>
    <w:p w14:paraId="512F5B21"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необходимости срочного улучшения качества автобензина, выпускаемого в настоящее время нефтяной промышленностью, вошел с предложением также и академик т. Чудаков в своей доклад¬ной записке на имя т. Микояна А.П.</w:t>
      </w:r>
    </w:p>
    <w:p w14:paraId="20C7EADD"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Имея в виду также, что часть поднятых вопросов, в частности распоряжение СНК СССР № 15205-рс от 10.08.1943 г., обязывающее Наркомнефть поставлять ежемесячно для импортных автомобилей 12 тыс. тонн улучшенного автобензина, до настоящего времени не нашли положи¬тельного разрешения, считал бы необходимым созвать специальное совещание с участием пред¬ставителей заинтересованных наркоматов и учреждений для выработки проекта постановления для представления в Правительство.</w:t>
      </w:r>
    </w:p>
    <w:p w14:paraId="3089ED03"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принятом Вами решении прошу поставить меня в известность.</w:t>
      </w:r>
    </w:p>
    <w:p w14:paraId="365665EE"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ГАВТУ КА генерал-майор технических войск Тягунов</w:t>
      </w:r>
    </w:p>
    <w:p w14:paraId="2B912D22"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41. Оп. 11593. Д. 108. Л. 168 с об. Копия (18394).</w:t>
      </w:r>
    </w:p>
    <w:p w14:paraId="7B7D4ABD" w14:textId="77777777" w:rsidR="00424340" w:rsidRPr="00271E51" w:rsidRDefault="00424340" w:rsidP="00271E51">
      <w:pPr>
        <w:spacing w:after="0" w:line="240" w:lineRule="auto"/>
        <w:jc w:val="both"/>
        <w:rPr>
          <w:rFonts w:ascii="Times New Roman" w:hAnsi="Times New Roman"/>
          <w:color w:val="000000" w:themeColor="text1"/>
          <w:sz w:val="16"/>
          <w:szCs w:val="16"/>
        </w:rPr>
      </w:pPr>
    </w:p>
    <w:p w14:paraId="10A92940" w14:textId="77777777" w:rsidR="00424340" w:rsidRPr="00271E51" w:rsidRDefault="00424340"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вышло Распоряжение ГКО № 4826 [О мобилизации 400 военнообязанных, не годных к строевой службе, в школу водителей троллейбусов для Москвы.] (7166, 1).</w:t>
      </w:r>
    </w:p>
    <w:p w14:paraId="44A04801" w14:textId="77777777" w:rsidR="00424340" w:rsidRPr="00271E51" w:rsidRDefault="00424340"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71A5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9BA5C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AFBE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421FAF1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декабря южнее Невеля наши войска с боями продвигались вперёд и заняли более 20 населённых пунктов, в том числе населённые пункты Вертея, Бураково, Козырево, Сюборовка, Рудня.</w:t>
      </w:r>
    </w:p>
    <w:p w14:paraId="548D69E3"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наши войска успешно отбивали атаки пехоты и танков противника и нанесли ему большие потери, особенно в танках.</w:t>
      </w:r>
    </w:p>
    <w:p w14:paraId="50240374"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Коростеня наши войска успешно отбили все атаки крупных сил пехоты и танков противника и в ходе боёв улучшили свои позиции.</w:t>
      </w:r>
    </w:p>
    <w:p w14:paraId="10A558C1"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наши войска успешно отбили атаки пехоты и танков противника и нанесли ему большие потери в живой силе и технике.</w:t>
      </w:r>
    </w:p>
    <w:p w14:paraId="324A8EE6"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7158DC8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21 декабря наши войска на всех фронтах подбили и уничтожили 148 немецких танков, из них 45 юго-западнее Жлобина и 50 в районе Коростеня.</w:t>
      </w:r>
    </w:p>
    <w:p w14:paraId="7911121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Невеля наши войска продолжали наступление. Части Н-ского соединения в результате ожесточённого боя заняли ряд опорных пунктов немецкой обороны. В этом бою уничтожено до батальона гитлеровцев, 3 артиллерийских батареи, 11 миномётови 32 пулемёта противника. Захвачены трофеи и пленные. На другом участке немецкая пехота при поддержке танков и самоходных орудий предприняла одну за другой шестнадцать контратак. Все контратаки противника отбиты с большими для него потерями. Уничтожено до 900 немецких солдат и офицеров, подбито 3 танка и 6 самоходных орудий. На плечах отходящего противника наши войска заняли несколько населённых пунктов.</w:t>
      </w:r>
    </w:p>
    <w:p w14:paraId="1EF0D21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в течение всей ночи наши войска отбивали атаки отдельных групп танков и пехоты противника. Утром немцы на узком участке фронта ввели вбой две пехотные дивизии и более ста танков. Завязался напряжённый бой, в ходе которого наши пехотинцы, артиллеристы и бронебойщики отстояли свои позиции и нанесли врагу тяжёлые потери. В бесплодных атаках противник потерял только убитыми 1.800 своих солдат и офицеров. Сожжено и подбито 45 немецких танков и 8 бронетранспортёров.</w:t>
      </w:r>
    </w:p>
    <w:p w14:paraId="17B91B1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города Коростень немцы крупными силами танков и пехоты рано утром атаковали наши позиции. В результате трёхчасового боя противнику вначале удалось ворваться в один населённый пункт. Последовавшей затем контратакой наши войска отбросили немцев. Советские танки и самоходные орудия завершили разгром противника. На поле боя осталось 43 сгоревших немецких танка и сотни трупов гитлеровцев. На другом участке наши войска в результате успешного манёвра овладели очень важными позициями, уничтожив при этом 600 гитлеровцев, 7 танков и 3 самоходных орудия противника.</w:t>
      </w:r>
    </w:p>
    <w:p w14:paraId="3352286A"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Юго-восточнее Кировограда наши войска успешно отбивали атаки противника. В одном районе немцы неоднократно бросали в бой крупные силы танков. Артиллеристы Н-ского гвардейского соединения отбили танковые атаки противника. В течение дня они уничтожили 18 немецких танков, 7 самоходных орудий и 5 бронетранспортёров. На другом участке немцам вначале удалось вклиниться в расположение советских войск. Наши бойцы отрезали, а затем решительным ударом полностью ликвидировали прорвавшуюся группу противника. Уничтожено две роты немецких автоматчиков, 7 танков и 2 бронемашины.</w:t>
      </w:r>
    </w:p>
    <w:p w14:paraId="71E52E2A"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Каменец-Подольской области, 7 декабря пустил под откос поезд с войсками противника. Разбиты паровоз, 7 пассажирских и 4 товарных вагона. Из-под обломков вагонов гитлеровцы извлекли более 100 трупов своих солдат и офицеров. Разведчики украинского партизанского отряда имени Кармелюка установили, что к линии фронта следует немецкий эшелон с танками и моторами для самолётов. Партизаны бесшумно уничтожили вражескую путевую охрану и заминировали железнодорожное полотно. Немецкий поезд на полном ходу подорвался на минах и полетел под откос. Движение поездов на этом участке железной дороги было прервано на 50 часов.</w:t>
      </w:r>
    </w:p>
    <w:p w14:paraId="0029024A"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3 роты 12 полка 6 финской пехотной дивизии Ойва Илмари Тауриайнен рассказал: «В марте нынешнего года меня мобилизовали в армию. Военноеобучение я проходил на учебных пунктах в городах Рийхимяки и Оулу. В Оулу обучался батальон новобранцев. Лейтенант Хапуя провёл с нами два специальных занятия о военном положении. На первом занятии он начертил на карте линиюфронта, особо выделил захваченную советскую территорию и сказал: «Финская армия уже завоевала немало земли. Задача финнов — освободить всю Карелию и присоединить её к Финляндии. После войны финские солдаты получат в Карелии большие участки земли и леса». На втором занятии лейтенант заявил: «Мы ведём войну за уничтожение русского государства. Россия будет разделена между Германией и её союзниками. Карелия, Ленинград и некоторые другие территории достанутся Финляндии». В последних числах сентября батальон получил приказ отправиться на фронт. Командир нашего учебного центра и начальник гарнизона города Оулу подполковник Матти Ранинен произнёс напутственную речь. Он призвал нас отдать жизнь за создание «Великой Финляндии».</w:t>
      </w:r>
    </w:p>
    <w:p w14:paraId="40497C44"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этих показаниях финского солдата нет ничего нового. В нашей печати неоднократно приводились высказывания белофинских лакеев и наймитов Гитлера, возмечтавших о захвате советских земель и создании Великой Финляндии до Урала. Правда, в последнее время в связи с изменением военной обстановки и поражениями немецко-фашистских войск на советско-германском фронте правящая клика Финляндии начала на ходу перестраиваться. Белофинские заправилы, душой и телом продавшиеся Гитлеру, теперь кричат на всех перекрёстках, что Финляндия будто бы ведёт свою особую «оборонительную» войну и не преследует никаких захватнических целей. А тем временем финские офицеры рассказывают солдатам о подлинных планах финских правителей. Подражая во всём гитлеровцам, финские офицеры обещают солдатам в качестве военной добычи карельскую землю и карельские леса. Показания Ойва Илмари Тауриайнена интересны тем, что они ещё лишний раз изобличают во лжи белофинских лакеев Гитлера, разоблачают их нехитрую, но подлую двойную бухгалтерию.» (14868).</w:t>
      </w:r>
    </w:p>
    <w:p w14:paraId="5E311D10"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1D34C7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вышло Распоряжение ГКО № 4827. Справка о мандате комиссии, командируемой в ХВО для проверки положения дел в11-й запасной стрелковой бригаде.РГАНИР, Фонд ГКО, д. 184, лл. 2 (11012).</w:t>
      </w:r>
    </w:p>
    <w:p w14:paraId="0CCEC2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EF0F6"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вышло Постановление ГКО № 4828 О подготовке летно-технических кадров в 1944 году. (7166, 3-4).</w:t>
      </w:r>
    </w:p>
    <w:p w14:paraId="1F3EFB3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82B8C"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завершилась Киевская оборонительная операция: войска 1-го Украинского фронта стабилизировали фронт на рубеже восточнее Черняхова, Радомышль, Ставище, Юровка (14868).</w:t>
      </w:r>
    </w:p>
    <w:p w14:paraId="5BEB6709"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70DCA18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завершилась битва за Днепр: советские войска нанесли тяжёлое поражение основным силам группы армий «Юг» и части сил группы армий «Центр», освободили свыше 38 тысяч населенных пунктов, в том числе 160 городов (14868).</w:t>
      </w:r>
    </w:p>
    <w:p w14:paraId="5B2EA3E5"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275263D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1ECC9B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755A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И.В.С. утвердил текст гимна СССР (3481).</w:t>
      </w:r>
    </w:p>
    <w:p w14:paraId="731EEA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BC01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Совнарком СССР утверждает текст нового Государственного гимна СССР на музыку Александрова, который с 1 января следующего года придет на смену «Интернационалу». Первым официальным государственным гимном России была «Молитва русских» на слова А.В.Жуковского - «Боже, Царя храни!». 19 сентября 1816 года «Молитву» пели при праздновании годовщины Царскосельского лицея с двумя дополнительными куплетами, сочиненными А.С.Пушкиным. Тогда же Александр I издал указ исполнять «Молитву русских» полковым оркестром всегда при встречах императора. Датой рождения второго официального гимна России - «Боже, Царя храни» на мелодию А.Ф.Львова - стало 25 декабря 1833 года, день празднования годовщины изгнания французов из России. Этот гимн существовал до 2 марта 1917 года, дня отречения от престола императора Николая II. После февральской революции 1917 года непродолжительное время роль гимна выполняла «Русская Марсельеза». По предложению В.И.Ленина «в новых условиях» «непримиримой классовой борьбы» вместо «буржуазной «Марсельезы» стал использоваться «Интернационал». 10 января 1918 года на III съезде Советов он исполнялся уже как гимн победившей пролетарской революции. 22 декабря 1943 года Совнарком СССР утвердил текст нового Государственного гимна - «Союз нерушимый республик свободных» (музыка А.В.Александрова, текст С.В.Михалкова и Г.А.Эль-Регистана), который впервые прозвучал по радио 1 января 1944 года. Указом Президиума Верховного Совета СССР новый гимн утверждался с 15 марта 1944 года для повсеместного использования. Указом Президента Российской Федерации от 11 декабря 1993 года утверждено Положение о Государственном гимне России, на основании которого гимном России является мелодия, созданная на основе «Патриотической песни» М.И.Глинки в аранжировке А.Петрова. 27 декабря 2000 года федеральным конституционным законом «О Государственном гимне Российской Федерации» была утверждена музыка А.В.Александрова. 30 декабря 2000 года Указом Президента России о тексте государственного гимна был утвержден текст, написанный С.В.Михалковым, а 24 марта 2001 года новый текст российского гимна был утвержден федеральным конституционным законом.</w:t>
      </w:r>
    </w:p>
    <w:p w14:paraId="37A4DC3E"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Союз нерушимый республик свободных</w:t>
      </w:r>
    </w:p>
    <w:p w14:paraId="4AA1FE9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Сплотила навеки Великая Русь</w:t>
      </w:r>
    </w:p>
    <w:p w14:paraId="43B1501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 здравствует созданный волей народов</w:t>
      </w:r>
    </w:p>
    <w:p w14:paraId="045B06C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Единый, могучий Советский Союз! </w:t>
      </w:r>
    </w:p>
    <w:p w14:paraId="3320F55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Припев: </w:t>
      </w:r>
    </w:p>
    <w:p w14:paraId="1271B32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Славься, Отечество наше свободное,</w:t>
      </w:r>
    </w:p>
    <w:p w14:paraId="2EF3764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Дружбы народов надежный оплот!</w:t>
      </w:r>
    </w:p>
    <w:p w14:paraId="4D0D4CB9"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Знамя советское, знамя народное</w:t>
      </w:r>
    </w:p>
    <w:p w14:paraId="12452143"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Пусть от победы к победе ведет! </w:t>
      </w:r>
    </w:p>
    <w:p w14:paraId="0119C8D5"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Сквозь грозы сияло нам солнце свободы,</w:t>
      </w:r>
    </w:p>
    <w:p w14:paraId="553A3D6A"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Ленин великий нам путь озарил:</w:t>
      </w:r>
    </w:p>
    <w:p w14:paraId="3652E18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 вырастил Сталин - на верность народу,</w:t>
      </w:r>
    </w:p>
    <w:p w14:paraId="24A2CB11"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труд и на подвиги нас вдохновил! </w:t>
      </w:r>
    </w:p>
    <w:p w14:paraId="1455088C"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Припев </w:t>
      </w:r>
    </w:p>
    <w:p w14:paraId="1D358D45"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армию нашу растили в сраженьях.</w:t>
      </w:r>
    </w:p>
    <w:p w14:paraId="2A796290"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Захватчиков подлых с дороги сметем!</w:t>
      </w:r>
    </w:p>
    <w:p w14:paraId="0DC707A1"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в битвах решаем судьбу поколений,</w:t>
      </w:r>
    </w:p>
    <w:p w14:paraId="277C72B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Мы к славе Отчизну свою поведем! </w:t>
      </w:r>
    </w:p>
    <w:p w14:paraId="6C4AD942"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0E7DAAF2"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публичная казнь представителей немецких оккупационных властей, ранее взятых в плен советскими войсками и судимых, на центральной площади Харькова (14868).</w:t>
      </w:r>
    </w:p>
    <w:p w14:paraId="0613C409"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3F5430A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За рубежом:</w:t>
      </w:r>
    </w:p>
    <w:p w14:paraId="1BDAAC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16DAF" w14:textId="77777777" w:rsidR="000C6676" w:rsidRPr="00271E51" w:rsidRDefault="000C667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22 декабря 1943 первый полет Junkers Ju 388 (20376).</w:t>
      </w:r>
    </w:p>
    <w:p w14:paraId="7FD99196" w14:textId="77777777" w:rsidR="000C6676" w:rsidRPr="00271E51" w:rsidRDefault="000C6676" w:rsidP="00271E51">
      <w:pPr>
        <w:spacing w:after="0" w:line="240" w:lineRule="auto"/>
        <w:jc w:val="both"/>
        <w:rPr>
          <w:rFonts w:ascii="Times New Roman" w:hAnsi="Times New Roman"/>
          <w:color w:val="0070C0"/>
          <w:sz w:val="16"/>
          <w:szCs w:val="16"/>
        </w:rPr>
      </w:pPr>
    </w:p>
    <w:p w14:paraId="2F267759"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22 декабря</w:t>
      </w:r>
      <w:r w:rsidRPr="00271E51">
        <w:rPr>
          <w:rFonts w:ascii="Times New Roman" w:hAnsi="Times New Roman"/>
          <w:color w:val="000000" w:themeColor="text1"/>
          <w:sz w:val="16"/>
          <w:szCs w:val="16"/>
        </w:rPr>
        <w:t xml:space="preserve"> в 1943 году Адольф Гитлер приказывает ввести в вермахте должность офицера по национал-социалистскому воспитанию (14868).</w:t>
      </w:r>
    </w:p>
    <w:p w14:paraId="71BD5BBC"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0875234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декабря 1943 глава югославских партизан И. Тито объявил королю Югославии Петру, находившемуся в лондонском изгнании, что после войны страна не будет нуждаться в его услугах (4962).</w:t>
      </w:r>
    </w:p>
    <w:p w14:paraId="10D7F8F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629B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82A33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0AA6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23 декабря 1943 г. в ходе специальных внутризаводских испытаний опытный мотор АМ-42 все же сумел без замечаний отработать 100 часов на стенде. Стало возмож</w:t>
      </w:r>
      <w:r w:rsidRPr="00271E51">
        <w:rPr>
          <w:rFonts w:ascii="Times New Roman" w:hAnsi="Times New Roman"/>
          <w:color w:val="000000" w:themeColor="text1"/>
          <w:sz w:val="16"/>
          <w:szCs w:val="16"/>
        </w:rPr>
        <w:softHyphen/>
        <w:t>ным передать доработанный мотор в ОКБ Ильюшина (11427).</w:t>
      </w:r>
    </w:p>
    <w:p w14:paraId="618F9F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EF65DB" w14:textId="77777777" w:rsidR="007826CC" w:rsidRPr="00271E51" w:rsidRDefault="007826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23 декабря 1943 АМ-42 зав. № 4230 все же сумел отработать 100 часов на стенде. Стало возможным передать один из доработанных моторов в ОКБ-240. Одновременно для прохождения государственных испытаний, начало которых запланировали на 25 декабря, стали готовить другой экземпляр мотора АМ-42 зав. № 4236 (17490).</w:t>
      </w:r>
    </w:p>
    <w:p w14:paraId="442360BE" w14:textId="77777777" w:rsidR="007826CC" w:rsidRPr="00271E51" w:rsidRDefault="007826CC" w:rsidP="00271E51">
      <w:pPr>
        <w:spacing w:after="0" w:line="240" w:lineRule="auto"/>
        <w:jc w:val="both"/>
        <w:rPr>
          <w:rFonts w:ascii="Times New Roman" w:eastAsia="Times New Roman" w:hAnsi="Times New Roman"/>
          <w:color w:val="000000" w:themeColor="text1"/>
          <w:sz w:val="16"/>
          <w:szCs w:val="16"/>
          <w:lang w:eastAsia="ru-RU"/>
        </w:rPr>
      </w:pPr>
    </w:p>
    <w:p w14:paraId="1C433F3A"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23 декабря 1943 были закончены испытания двух противотанковых самолетов «Харрикейн» 1Ю зав. №№ КХ-171 и КХ-305, которые шли сначала в НИИ ВВС, а затем в НИИАВ с 13 ноября 1943. Машины прибыли на аэродром Чкаловское 26 августа 1943 г., но начало испытаний отложили из-за задержки правых пушек и боезапаса .</w:t>
      </w:r>
    </w:p>
    <w:p w14:paraId="5ADD649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Акт по испытаниям утвержден главным инжене</w:t>
      </w:r>
      <w:r w:rsidRPr="00271E51">
        <w:rPr>
          <w:rFonts w:ascii="Times New Roman" w:hAnsi="Times New Roman" w:cs="Times New Roman"/>
          <w:color w:val="000000" w:themeColor="text1"/>
          <w:sz w:val="16"/>
          <w:szCs w:val="16"/>
        </w:rPr>
        <w:softHyphen/>
        <w:t>ром ВВС КА генерал-полковником А.К. Ре</w:t>
      </w:r>
      <w:r w:rsidRPr="00271E51">
        <w:rPr>
          <w:rFonts w:ascii="Times New Roman" w:hAnsi="Times New Roman" w:cs="Times New Roman"/>
          <w:color w:val="000000" w:themeColor="text1"/>
          <w:sz w:val="16"/>
          <w:szCs w:val="16"/>
        </w:rPr>
        <w:softHyphen/>
        <w:t>пиным 11 января 1944 г.</w:t>
      </w:r>
    </w:p>
    <w:p w14:paraId="7A69E559"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завершению полетов в НИИ ВВС са</w:t>
      </w:r>
      <w:r w:rsidRPr="00271E51">
        <w:rPr>
          <w:rFonts w:ascii="Times New Roman" w:hAnsi="Times New Roman" w:cs="Times New Roman"/>
          <w:color w:val="000000" w:themeColor="text1"/>
          <w:sz w:val="16"/>
          <w:szCs w:val="16"/>
        </w:rPr>
        <w:softHyphen/>
        <w:t>молет зав. № КХ-305 в феврале 1944 г. по</w:t>
      </w:r>
      <w:r w:rsidRPr="00271E51">
        <w:rPr>
          <w:rFonts w:ascii="Times New Roman" w:hAnsi="Times New Roman" w:cs="Times New Roman"/>
          <w:color w:val="000000" w:themeColor="text1"/>
          <w:sz w:val="16"/>
          <w:szCs w:val="16"/>
        </w:rPr>
        <w:softHyphen/>
        <w:t>ступил в НИИ АВ ВВС для производства кон</w:t>
      </w:r>
      <w:r w:rsidRPr="00271E51">
        <w:rPr>
          <w:rFonts w:ascii="Times New Roman" w:hAnsi="Times New Roman" w:cs="Times New Roman"/>
          <w:color w:val="000000" w:themeColor="text1"/>
          <w:sz w:val="16"/>
          <w:szCs w:val="16"/>
        </w:rPr>
        <w:softHyphen/>
        <w:t>трольных испытаний вооружения. Отчет по испытаниям утвержден начальником НИИ АВ генерал-майором М.В. Гуревичем 17 марта.</w:t>
      </w:r>
    </w:p>
    <w:p w14:paraId="4B90935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Испытания в НИИ ВВС проводились объединенной бригадой специалистов 3-го и 4-го отделов института. Ведущим инженером по испытаниям был назначен инженер-капитан Рабкин (3-й отдел), его помощником - инженер-капитан Колосов (4-й отдел). На самолетах летали: летчик- испытатель 3-го отдела майор Голофастов и летчик-испытатель 4-го отдела старший лейтенант Поминальный.</w:t>
      </w:r>
    </w:p>
    <w:p w14:paraId="04729016"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к испытаниям привлекались специалисты 7-го отдела института: майор В.С. Полубиченко - ответственный по ис</w:t>
      </w:r>
      <w:r w:rsidRPr="00271E51">
        <w:rPr>
          <w:rFonts w:ascii="Times New Roman" w:hAnsi="Times New Roman" w:cs="Times New Roman"/>
          <w:color w:val="000000" w:themeColor="text1"/>
          <w:sz w:val="16"/>
          <w:szCs w:val="16"/>
        </w:rPr>
        <w:softHyphen/>
        <w:t>пытаниям, старший техник-лейтенант Ф.Ф. Сивцов, летчик-испытатель капитан А.В. Кусакин и механик по вооружению старший сержант Ф.Я. Анохин.</w:t>
      </w:r>
    </w:p>
    <w:p w14:paraId="3A0E5709"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Всего в НИИ ВВС было выполнено 27 полетов с суммарным налетом 18 ч 40 мин, втом числе: на самолете зав. N9 КХ-305 -16 полетов (12 ч 10 мин), на самолете зав. № КХ-171 - 11 полетов (6 ч 30 мин). С начала эксплуатации мотор «Мерлин» XX №87591 на самолете зав. № КХ-305 наработал 52 ч 14 мин, а мотор № 87437 на самолете зав. № КХ-171 -71 ч 11 мин.</w:t>
      </w:r>
    </w:p>
    <w:p w14:paraId="532DD33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НИИ АВ ВВС на самолете зав. № КХ- 305 выполнили еще 9 контрольных полетов на отстрел вооружения в воздухе по воз</w:t>
      </w:r>
      <w:r w:rsidRPr="00271E51">
        <w:rPr>
          <w:rFonts w:ascii="Times New Roman" w:hAnsi="Times New Roman" w:cs="Times New Roman"/>
          <w:color w:val="000000" w:themeColor="text1"/>
          <w:sz w:val="16"/>
          <w:szCs w:val="16"/>
        </w:rPr>
        <w:softHyphen/>
        <w:t>душным и наземным целям.</w:t>
      </w:r>
    </w:p>
    <w:p w14:paraId="200C510D"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Судя по песчаному камуфляжу, само</w:t>
      </w:r>
      <w:r w:rsidRPr="00271E51">
        <w:rPr>
          <w:rFonts w:ascii="Times New Roman" w:hAnsi="Times New Roman" w:cs="Times New Roman"/>
          <w:color w:val="000000" w:themeColor="text1"/>
          <w:sz w:val="16"/>
          <w:szCs w:val="16"/>
        </w:rPr>
        <w:softHyphen/>
        <w:t>леты применялись в Северной Африке.</w:t>
      </w:r>
    </w:p>
    <w:p w14:paraId="138E2D6D"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Истребители оснащались пылефильтром, установленным на всасывающем патрубке мотора.</w:t>
      </w:r>
    </w:p>
    <w:p w14:paraId="50716FE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Штурмовой вариант самолета «Харрикейн» 1Ю представлял собой серийный самолет «Харрикейн» НС с усиленным бро</w:t>
      </w:r>
      <w:r w:rsidRPr="00271E51">
        <w:rPr>
          <w:rFonts w:ascii="Times New Roman" w:hAnsi="Times New Roman" w:cs="Times New Roman"/>
          <w:color w:val="000000" w:themeColor="text1"/>
          <w:sz w:val="16"/>
          <w:szCs w:val="16"/>
        </w:rPr>
        <w:softHyphen/>
        <w:t>нированием, доработанный под установку крупнокалиберных пушек.</w:t>
      </w:r>
    </w:p>
    <w:p w14:paraId="2AE00CA7"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самолете устанавливался дере</w:t>
      </w:r>
      <w:r w:rsidRPr="00271E51">
        <w:rPr>
          <w:rFonts w:ascii="Times New Roman" w:hAnsi="Times New Roman" w:cs="Times New Roman"/>
          <w:color w:val="000000" w:themeColor="text1"/>
          <w:sz w:val="16"/>
          <w:szCs w:val="16"/>
        </w:rPr>
        <w:softHyphen/>
        <w:t>вянный трехлопастный воздушный винт изменяемого в полете шага фирмы Ротол Н5-5/3 диаметром 3,43 м. Система разжи</w:t>
      </w:r>
      <w:r w:rsidRPr="00271E51">
        <w:rPr>
          <w:rFonts w:ascii="Times New Roman" w:hAnsi="Times New Roman" w:cs="Times New Roman"/>
          <w:color w:val="000000" w:themeColor="text1"/>
          <w:sz w:val="16"/>
          <w:szCs w:val="16"/>
        </w:rPr>
        <w:softHyphen/>
        <w:t>жения масла бензином, невыключаемый воздушный фильтр и другие агрегаты си</w:t>
      </w:r>
      <w:r w:rsidRPr="00271E51">
        <w:rPr>
          <w:rFonts w:ascii="Times New Roman" w:hAnsi="Times New Roman" w:cs="Times New Roman"/>
          <w:color w:val="000000" w:themeColor="text1"/>
          <w:sz w:val="16"/>
          <w:szCs w:val="16"/>
        </w:rPr>
        <w:softHyphen/>
        <w:t>стемы винтомоторной группы такие же, как у Мк.ПС. Вместо двух кислородных балло</w:t>
      </w:r>
      <w:r w:rsidRPr="00271E51">
        <w:rPr>
          <w:rFonts w:ascii="Times New Roman" w:hAnsi="Times New Roman" w:cs="Times New Roman"/>
          <w:color w:val="000000" w:themeColor="text1"/>
          <w:sz w:val="16"/>
          <w:szCs w:val="16"/>
        </w:rPr>
        <w:softHyphen/>
        <w:t>нов оставлен один.</w:t>
      </w:r>
    </w:p>
    <w:p w14:paraId="70521A90"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Под крылом Мк.1Ю размещались две пушки Виккерс 5 калибра 40 мм с суммар</w:t>
      </w:r>
      <w:r w:rsidRPr="00271E51">
        <w:rPr>
          <w:rFonts w:ascii="Times New Roman" w:hAnsi="Times New Roman" w:cs="Times New Roman"/>
          <w:color w:val="000000" w:themeColor="text1"/>
          <w:sz w:val="16"/>
          <w:szCs w:val="16"/>
        </w:rPr>
        <w:softHyphen/>
        <w:t>ным боекомплектом 30 снарядов и в кры</w:t>
      </w:r>
      <w:r w:rsidRPr="00271E51">
        <w:rPr>
          <w:rFonts w:ascii="Times New Roman" w:hAnsi="Times New Roman" w:cs="Times New Roman"/>
          <w:color w:val="000000" w:themeColor="text1"/>
          <w:sz w:val="16"/>
          <w:szCs w:val="16"/>
        </w:rPr>
        <w:softHyphen/>
        <w:t>ле два пулемета Кольт-Браунинг калибра 7,69 мм с боекомплектом 1300 патронов. Вместо пушек допускалась подвеска до</w:t>
      </w:r>
      <w:r w:rsidRPr="00271E51">
        <w:rPr>
          <w:rFonts w:ascii="Times New Roman" w:hAnsi="Times New Roman" w:cs="Times New Roman"/>
          <w:color w:val="000000" w:themeColor="text1"/>
          <w:sz w:val="16"/>
          <w:szCs w:val="16"/>
        </w:rPr>
        <w:softHyphen/>
        <w:t>полнительных бензобаков.</w:t>
      </w:r>
    </w:p>
    <w:p w14:paraId="18D1F37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правом крыле предусматривалась установка фотокинопулемета для учебных целей и для контроля результатов стрельб, но на поступивших в НИИ ВВС самолетах фотокинопулеметы отсутствовали.</w:t>
      </w:r>
    </w:p>
    <w:p w14:paraId="4976A88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Управление огнем пушек и пулеме</w:t>
      </w:r>
      <w:r w:rsidRPr="00271E51">
        <w:rPr>
          <w:rFonts w:ascii="Times New Roman" w:hAnsi="Times New Roman" w:cs="Times New Roman"/>
          <w:color w:val="000000" w:themeColor="text1"/>
          <w:sz w:val="16"/>
          <w:szCs w:val="16"/>
        </w:rPr>
        <w:softHyphen/>
        <w:t>тов раздельное," электропневматическое. Стрельба из пулеметов велась с помощью электрокнопки, смонтированной на ручке управления, а из пушек, также электрокноп</w:t>
      </w:r>
      <w:r w:rsidRPr="00271E51">
        <w:rPr>
          <w:rFonts w:ascii="Times New Roman" w:hAnsi="Times New Roman" w:cs="Times New Roman"/>
          <w:color w:val="000000" w:themeColor="text1"/>
          <w:sz w:val="16"/>
          <w:szCs w:val="16"/>
        </w:rPr>
        <w:softHyphen/>
        <w:t>кой, но смонтированной на секторе газа.</w:t>
      </w:r>
    </w:p>
    <w:p w14:paraId="682CEE2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прицеливания при стрельбе ис</w:t>
      </w:r>
      <w:r w:rsidRPr="00271E51">
        <w:rPr>
          <w:rFonts w:ascii="Times New Roman" w:hAnsi="Times New Roman" w:cs="Times New Roman"/>
          <w:color w:val="000000" w:themeColor="text1"/>
          <w:sz w:val="16"/>
          <w:szCs w:val="16"/>
        </w:rPr>
        <w:softHyphen/>
        <w:t>пользовался коллиматорный прицел Реф</w:t>
      </w:r>
      <w:r w:rsidRPr="00271E51">
        <w:rPr>
          <w:rFonts w:ascii="Times New Roman" w:hAnsi="Times New Roman" w:cs="Times New Roman"/>
          <w:color w:val="000000" w:themeColor="text1"/>
          <w:sz w:val="16"/>
          <w:szCs w:val="16"/>
        </w:rPr>
        <w:softHyphen/>
        <w:t>лектор Сайт Мк.115 с электрической под</w:t>
      </w:r>
      <w:r w:rsidRPr="00271E51">
        <w:rPr>
          <w:rFonts w:ascii="Times New Roman" w:hAnsi="Times New Roman" w:cs="Times New Roman"/>
          <w:color w:val="000000" w:themeColor="text1"/>
          <w:sz w:val="16"/>
          <w:szCs w:val="16"/>
        </w:rPr>
        <w:softHyphen/>
        <w:t>светкой.</w:t>
      </w:r>
    </w:p>
    <w:p w14:paraId="1EB95292"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Установка пулеметов Кольт-Баунинг ничем не отличалась от установки на се</w:t>
      </w:r>
      <w:r w:rsidRPr="00271E51">
        <w:rPr>
          <w:rFonts w:ascii="Times New Roman" w:hAnsi="Times New Roman" w:cs="Times New Roman"/>
          <w:color w:val="000000" w:themeColor="text1"/>
          <w:sz w:val="16"/>
          <w:szCs w:val="16"/>
        </w:rPr>
        <w:softHyphen/>
        <w:t>рийном самолете типа Мк.ПС, за исклю</w:t>
      </w:r>
      <w:r w:rsidRPr="00271E51">
        <w:rPr>
          <w:rFonts w:ascii="Times New Roman" w:hAnsi="Times New Roman" w:cs="Times New Roman"/>
          <w:color w:val="000000" w:themeColor="text1"/>
          <w:sz w:val="16"/>
          <w:szCs w:val="16"/>
        </w:rPr>
        <w:softHyphen/>
        <w:t>чением увеличенного боезапаса (лента в патронном ящике).</w:t>
      </w:r>
    </w:p>
    <w:p w14:paraId="46A15CF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помещались в специальном об</w:t>
      </w:r>
      <w:r w:rsidRPr="00271E51">
        <w:rPr>
          <w:rFonts w:ascii="Times New Roman" w:hAnsi="Times New Roman" w:cs="Times New Roman"/>
          <w:color w:val="000000" w:themeColor="text1"/>
          <w:sz w:val="16"/>
          <w:szCs w:val="16"/>
        </w:rPr>
        <w:softHyphen/>
        <w:t>текателе под крылом и крепились на двух узлах, из которых передний являлся сило</w:t>
      </w:r>
      <w:r w:rsidRPr="00271E51">
        <w:rPr>
          <w:rFonts w:ascii="Times New Roman" w:hAnsi="Times New Roman" w:cs="Times New Roman"/>
          <w:color w:val="000000" w:themeColor="text1"/>
          <w:sz w:val="16"/>
          <w:szCs w:val="16"/>
        </w:rPr>
        <w:softHyphen/>
        <w:t>вым, а задний - регулировочным. При этом стволы пушек на 1080 мм выступали за переднюю кромку крыла.</w:t>
      </w:r>
    </w:p>
    <w:p w14:paraId="37776257"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Автоматика пушек Виккерс 8 работала на принципе отдачи с длинным ходом ство</w:t>
      </w:r>
      <w:r w:rsidRPr="00271E51">
        <w:rPr>
          <w:rFonts w:ascii="Times New Roman" w:hAnsi="Times New Roman" w:cs="Times New Roman"/>
          <w:color w:val="000000" w:themeColor="text1"/>
          <w:sz w:val="16"/>
          <w:szCs w:val="16"/>
        </w:rPr>
        <w:softHyphen/>
        <w:t>ла, запирание клиновое. Сила отдачи при стрельбе поглощалась работой автомати</w:t>
      </w:r>
      <w:r w:rsidRPr="00271E51">
        <w:rPr>
          <w:rFonts w:ascii="Times New Roman" w:hAnsi="Times New Roman" w:cs="Times New Roman"/>
          <w:color w:val="000000" w:themeColor="text1"/>
          <w:sz w:val="16"/>
          <w:szCs w:val="16"/>
        </w:rPr>
        <w:softHyphen/>
        <w:t>ки, возвратной и буферной пружинами и гидравлическим тормозом. В гидротормоз заливалось веретенное масло или смесь веретенного масла с техническим кероси</w:t>
      </w:r>
      <w:r w:rsidRPr="00271E51">
        <w:rPr>
          <w:rFonts w:ascii="Times New Roman" w:hAnsi="Times New Roman" w:cs="Times New Roman"/>
          <w:color w:val="000000" w:themeColor="text1"/>
          <w:sz w:val="16"/>
          <w:szCs w:val="16"/>
        </w:rPr>
        <w:softHyphen/>
        <w:t>ном (в соотношении 60/40).</w:t>
      </w:r>
    </w:p>
    <w:p w14:paraId="7A0486C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Питание пушек - магазинное. Магазин на 15 снарядов жестко крепился к пушке болтами. Зарядка магазина производи</w:t>
      </w:r>
      <w:r w:rsidRPr="00271E51">
        <w:rPr>
          <w:rFonts w:ascii="Times New Roman" w:hAnsi="Times New Roman" w:cs="Times New Roman"/>
          <w:color w:val="000000" w:themeColor="text1"/>
          <w:sz w:val="16"/>
          <w:szCs w:val="16"/>
        </w:rPr>
        <w:softHyphen/>
        <w:t>лась непосредственно на самолете.</w:t>
      </w:r>
    </w:p>
    <w:p w14:paraId="1AB49FE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Перезарядка пушек осуществлялась вручную с помощью специальной рукоятки с цепной передачей. Перезаряжать пушку можно было только на земле. В воздухе летчик имел возможность лишь повторно взвести ударник. Для этого на левом бор</w:t>
      </w:r>
      <w:r w:rsidRPr="00271E51">
        <w:rPr>
          <w:rFonts w:ascii="Times New Roman" w:hAnsi="Times New Roman" w:cs="Times New Roman"/>
          <w:color w:val="000000" w:themeColor="text1"/>
          <w:sz w:val="16"/>
          <w:szCs w:val="16"/>
        </w:rPr>
        <w:softHyphen/>
        <w:t>ту располагалась гашетка пневмовзвода ударников пушек. С ее помощью летчик в полете мог повторно взвести ударники пу</w:t>
      </w:r>
      <w:r w:rsidRPr="00271E51">
        <w:rPr>
          <w:rFonts w:ascii="Times New Roman" w:hAnsi="Times New Roman" w:cs="Times New Roman"/>
          <w:color w:val="000000" w:themeColor="text1"/>
          <w:sz w:val="16"/>
          <w:szCs w:val="16"/>
        </w:rPr>
        <w:softHyphen/>
        <w:t>шек и продолжить стрельбу.</w:t>
      </w:r>
    </w:p>
    <w:p w14:paraId="1E67E9CB"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Длина пушки достигала 2970 мм, при высоте с магазином 533 мм (без магазина 278 мм) и ширине 210 мм. Общий вес пуш</w:t>
      </w:r>
      <w:r w:rsidRPr="00271E51">
        <w:rPr>
          <w:rFonts w:ascii="Times New Roman" w:hAnsi="Times New Roman" w:cs="Times New Roman"/>
          <w:color w:val="000000" w:themeColor="text1"/>
          <w:sz w:val="16"/>
          <w:szCs w:val="16"/>
        </w:rPr>
        <w:softHyphen/>
        <w:t>ки с магазином и 15 бронебойными снаря</w:t>
      </w:r>
      <w:r w:rsidRPr="00271E51">
        <w:rPr>
          <w:rFonts w:ascii="Times New Roman" w:hAnsi="Times New Roman" w:cs="Times New Roman"/>
          <w:color w:val="000000" w:themeColor="text1"/>
          <w:sz w:val="16"/>
          <w:szCs w:val="16"/>
        </w:rPr>
        <w:softHyphen/>
        <w:t>дами составлял 180,2 кг, в том числе: сама пушка - 141,7 кг, магазин без патронов - 16,0 кг, боекомплект - 22,5 кг.</w:t>
      </w:r>
    </w:p>
    <w:p w14:paraId="1380C80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Броней на самолете защищались: летчик, мотор, водо- и маслорадиаторы. Общий вес брони достигал 185 кг.</w:t>
      </w:r>
    </w:p>
    <w:p w14:paraId="4E8729C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Бронекозырек кабины летчика состоял из трех плит пулестойкого стекла. Средняя плита имела толщину 35 мм, а боковые</w:t>
      </w:r>
    </w:p>
    <w:p w14:paraId="325ACB0D" w14:textId="77777777" w:rsidR="00FC04C9" w:rsidRPr="00271E51" w:rsidRDefault="00FC04C9" w:rsidP="00271E51">
      <w:pPr>
        <w:pStyle w:val="47"/>
        <w:numPr>
          <w:ilvl w:val="0"/>
          <w:numId w:val="10"/>
        </w:numPr>
        <w:shd w:val="clear" w:color="auto" w:fill="auto"/>
        <w:tabs>
          <w:tab w:val="left" w:pos="169"/>
        </w:tabs>
        <w:autoSpaceDE/>
        <w:autoSpaceDN/>
        <w:adjustRightInd/>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32 мм. Спереди сверху летчик защи</w:t>
      </w:r>
      <w:r w:rsidRPr="00271E51">
        <w:rPr>
          <w:rFonts w:ascii="Times New Roman" w:hAnsi="Times New Roman" w:cs="Times New Roman"/>
          <w:color w:val="000000" w:themeColor="text1"/>
          <w:sz w:val="16"/>
          <w:szCs w:val="16"/>
        </w:rPr>
        <w:softHyphen/>
        <w:t>щался двумя бронеплитами толщиной по 4,75 мм, одна из которых устанавливалась перед расширительным бачком, а вторая</w:t>
      </w:r>
    </w:p>
    <w:p w14:paraId="602C930E" w14:textId="77777777" w:rsidR="00FC04C9" w:rsidRPr="00271E51" w:rsidRDefault="00FC04C9" w:rsidP="00271E51">
      <w:pPr>
        <w:pStyle w:val="47"/>
        <w:numPr>
          <w:ilvl w:val="0"/>
          <w:numId w:val="10"/>
        </w:numPr>
        <w:shd w:val="clear" w:color="auto" w:fill="auto"/>
        <w:tabs>
          <w:tab w:val="left" w:pos="222"/>
        </w:tabs>
        <w:autoSpaceDE/>
        <w:autoSpaceDN/>
        <w:adjustRightInd/>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перед резервным бензобаком. Снизу спереди летчика прикрывали две бронеплиты по 4,75 мм под боковыми капотами мотора, по одной с каждой стороны. Под сиденьем располагалась бронеплита тол</w:t>
      </w:r>
      <w:r w:rsidRPr="00271E51">
        <w:rPr>
          <w:rFonts w:ascii="Times New Roman" w:hAnsi="Times New Roman" w:cs="Times New Roman"/>
          <w:color w:val="000000" w:themeColor="text1"/>
          <w:sz w:val="16"/>
          <w:szCs w:val="16"/>
        </w:rPr>
        <w:softHyphen/>
        <w:t>щиной 7,5 мм. Со стороны задней полу</w:t>
      </w:r>
      <w:r w:rsidRPr="00271E51">
        <w:rPr>
          <w:rFonts w:ascii="Times New Roman" w:hAnsi="Times New Roman" w:cs="Times New Roman"/>
          <w:color w:val="000000" w:themeColor="text1"/>
          <w:sz w:val="16"/>
          <w:szCs w:val="16"/>
        </w:rPr>
        <w:softHyphen/>
        <w:t>сферы летчик защищался бронеспинкой, состоящей из четырех 4,75-мм бронеплит и бронезаголовника толщиной 10,25 мм.</w:t>
      </w:r>
    </w:p>
    <w:p w14:paraId="2912580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Водо- и маслорадиаторы защища</w:t>
      </w:r>
      <w:r w:rsidRPr="00271E51">
        <w:rPr>
          <w:rFonts w:ascii="Times New Roman" w:hAnsi="Times New Roman" w:cs="Times New Roman"/>
          <w:color w:val="000000" w:themeColor="text1"/>
          <w:sz w:val="16"/>
          <w:szCs w:val="16"/>
        </w:rPr>
        <w:softHyphen/>
        <w:t>лись снизу пятью 4,5-мм бронеплитами. Бронирование мотора включало четыре бронеплиты с левой стороны толщиной 4,25 и 4,75 мм, три плиты с правой сто</w:t>
      </w:r>
      <w:r w:rsidRPr="00271E51">
        <w:rPr>
          <w:rFonts w:ascii="Times New Roman" w:hAnsi="Times New Roman" w:cs="Times New Roman"/>
          <w:color w:val="000000" w:themeColor="text1"/>
          <w:sz w:val="16"/>
          <w:szCs w:val="16"/>
        </w:rPr>
        <w:softHyphen/>
        <w:t>роны толщиной 4,75, 5,25 и 6,75 мм и три бронеплиты снизу толщиной 7,5 мм, 5,25 и 4,75 мм. Все плиты крепились к подкосам моторной рамы и закрывались капотами мотора.</w:t>
      </w:r>
    </w:p>
    <w:p w14:paraId="3FC8CE0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Масса пустого самолета составлял 2763 кг. Нормальный полетный вес - 3650 кг.</w:t>
      </w:r>
    </w:p>
    <w:p w14:paraId="1593C9B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номинальном режиме работы мо</w:t>
      </w:r>
      <w:r w:rsidRPr="00271E51">
        <w:rPr>
          <w:rFonts w:ascii="Times New Roman" w:hAnsi="Times New Roman" w:cs="Times New Roman"/>
          <w:color w:val="000000" w:themeColor="text1"/>
          <w:sz w:val="16"/>
          <w:szCs w:val="16"/>
        </w:rPr>
        <w:softHyphen/>
        <w:t>тора максимальная скорость самолета «Харрикейн» 1Ю зав. № КХ-305 достигала 398 км/ч - у земли, 460 км/ч - на 1-й гра</w:t>
      </w:r>
      <w:r w:rsidRPr="00271E51">
        <w:rPr>
          <w:rFonts w:ascii="Times New Roman" w:hAnsi="Times New Roman" w:cs="Times New Roman"/>
          <w:color w:val="000000" w:themeColor="text1"/>
          <w:sz w:val="16"/>
          <w:szCs w:val="16"/>
        </w:rPr>
        <w:softHyphen/>
        <w:t>нице высотности (3400 м), 478 км/ч - на 2-й границе высотности (5300 м). На бое</w:t>
      </w:r>
      <w:r w:rsidRPr="00271E51">
        <w:rPr>
          <w:rFonts w:ascii="Times New Roman" w:hAnsi="Times New Roman" w:cs="Times New Roman"/>
          <w:color w:val="000000" w:themeColor="text1"/>
          <w:sz w:val="16"/>
          <w:szCs w:val="16"/>
        </w:rPr>
        <w:softHyphen/>
        <w:t>вом режиме работы мотора, который мож</w:t>
      </w:r>
      <w:r w:rsidRPr="00271E51">
        <w:rPr>
          <w:rFonts w:ascii="Times New Roman" w:hAnsi="Times New Roman" w:cs="Times New Roman"/>
          <w:color w:val="000000" w:themeColor="text1"/>
          <w:sz w:val="16"/>
          <w:szCs w:val="16"/>
        </w:rPr>
        <w:softHyphen/>
        <w:t>но было использовать в течение не более 5 мин, скорость самолета на высоте воз</w:t>
      </w:r>
      <w:r w:rsidRPr="00271E51">
        <w:rPr>
          <w:rFonts w:ascii="Times New Roman" w:hAnsi="Times New Roman" w:cs="Times New Roman"/>
          <w:color w:val="000000" w:themeColor="text1"/>
          <w:sz w:val="16"/>
          <w:szCs w:val="16"/>
        </w:rPr>
        <w:softHyphen/>
        <w:t>растала на 6-8 км/ч. При этом границы вы</w:t>
      </w:r>
      <w:r w:rsidRPr="00271E51">
        <w:rPr>
          <w:rFonts w:ascii="Times New Roman" w:hAnsi="Times New Roman" w:cs="Times New Roman"/>
          <w:color w:val="000000" w:themeColor="text1"/>
          <w:sz w:val="16"/>
          <w:szCs w:val="16"/>
        </w:rPr>
        <w:softHyphen/>
        <w:t>сотности несколько смещались вверх на 300-350 м. Практический потолок - 9650 м.</w:t>
      </w:r>
    </w:p>
    <w:p w14:paraId="61AD502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Вертикальная скорость у земли состав</w:t>
      </w:r>
      <w:r w:rsidRPr="00271E51">
        <w:rPr>
          <w:rFonts w:ascii="Times New Roman" w:hAnsi="Times New Roman" w:cs="Times New Roman"/>
          <w:color w:val="000000" w:themeColor="text1"/>
          <w:sz w:val="16"/>
          <w:szCs w:val="16"/>
        </w:rPr>
        <w:softHyphen/>
        <w:t>ляла 9,7 м/с, на высоте 2000 м - 10,5 м/с, а на 3000 м -11,2 м/с. Соответственно, на вы</w:t>
      </w:r>
      <w:r w:rsidRPr="00271E51">
        <w:rPr>
          <w:rFonts w:ascii="Times New Roman" w:hAnsi="Times New Roman" w:cs="Times New Roman"/>
          <w:color w:val="000000" w:themeColor="text1"/>
          <w:sz w:val="16"/>
          <w:szCs w:val="16"/>
        </w:rPr>
        <w:softHyphen/>
        <w:t>соту 1000 м самолет забирался за 1,8 мин, на 3000 м - за 5,0 мин, а на 5000 м - за 8,5 мин.</w:t>
      </w:r>
    </w:p>
    <w:p w14:paraId="50E90BF6"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Самолет на высоте 1000 м разгонялся при даче полного газа от скорости 0,7 до 0,95 максимальной за 0,72 мин, а тормо</w:t>
      </w:r>
      <w:r w:rsidRPr="00271E51">
        <w:rPr>
          <w:rFonts w:ascii="Times New Roman" w:hAnsi="Times New Roman" w:cs="Times New Roman"/>
          <w:color w:val="000000" w:themeColor="text1"/>
          <w:sz w:val="16"/>
          <w:szCs w:val="16"/>
        </w:rPr>
        <w:softHyphen/>
        <w:t>зил при сбросе газа до скорости 0,7 макси</w:t>
      </w:r>
      <w:r w:rsidRPr="00271E51">
        <w:rPr>
          <w:rFonts w:ascii="Times New Roman" w:hAnsi="Times New Roman" w:cs="Times New Roman"/>
          <w:color w:val="000000" w:themeColor="text1"/>
          <w:sz w:val="16"/>
          <w:szCs w:val="16"/>
        </w:rPr>
        <w:softHyphen/>
        <w:t>мальной за 0,48 мин.</w:t>
      </w:r>
    </w:p>
    <w:p w14:paraId="177CB8C2"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Скорость, скороподъемность и раз</w:t>
      </w:r>
      <w:r w:rsidRPr="00271E51">
        <w:rPr>
          <w:rFonts w:ascii="Times New Roman" w:hAnsi="Times New Roman" w:cs="Times New Roman"/>
          <w:color w:val="000000" w:themeColor="text1"/>
          <w:sz w:val="16"/>
          <w:szCs w:val="16"/>
        </w:rPr>
        <w:softHyphen/>
        <w:t>гонные характеристики замерялись с пылефильтром, установленным на всасы</w:t>
      </w:r>
      <w:r w:rsidRPr="00271E51">
        <w:rPr>
          <w:rFonts w:ascii="Times New Roman" w:hAnsi="Times New Roman" w:cs="Times New Roman"/>
          <w:color w:val="000000" w:themeColor="text1"/>
          <w:sz w:val="16"/>
          <w:szCs w:val="16"/>
        </w:rPr>
        <w:softHyphen/>
        <w:t>вающем патрубке мотора, при закрытом фонаре и полностью открытой заслонке радиаторов.</w:t>
      </w:r>
    </w:p>
    <w:p w14:paraId="26C89C8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 один боевой разворот (левый и пра</w:t>
      </w:r>
      <w:r w:rsidRPr="00271E51">
        <w:rPr>
          <w:rFonts w:ascii="Times New Roman" w:hAnsi="Times New Roman" w:cs="Times New Roman"/>
          <w:color w:val="000000" w:themeColor="text1"/>
          <w:sz w:val="16"/>
          <w:szCs w:val="16"/>
        </w:rPr>
        <w:softHyphen/>
        <w:t>вый) с высоты 5000 м при скорости ввода 412 км/ч самолет набирал 460 м. Скорость выхода в горизонтальный полет - 267 км/ч. На выполнение маневра затрачивалось 28 сек.</w:t>
      </w:r>
    </w:p>
    <w:p w14:paraId="7929CDC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При выполнении правого переворота при скорости ввода 207-215 км/ч самолет терял до 700 м высоты, а при выполнении левого переворота - 830 м. Скорость на выходе из переворота - 309-329 км/ч.</w:t>
      </w:r>
    </w:p>
    <w:p w14:paraId="53C7D987"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Виражи самолет выполнял устойчиво и легко сохранял заданный крен. Время полного виража на высоте 1000 м состав</w:t>
      </w:r>
      <w:r w:rsidRPr="00271E51">
        <w:rPr>
          <w:rFonts w:ascii="Times New Roman" w:hAnsi="Times New Roman" w:cs="Times New Roman"/>
          <w:color w:val="000000" w:themeColor="text1"/>
          <w:sz w:val="16"/>
          <w:szCs w:val="16"/>
        </w:rPr>
        <w:softHyphen/>
        <w:t>ляло 22 с при выполнении левого виража и 29-30 с при выполнении правого вира</w:t>
      </w:r>
      <w:r w:rsidRPr="00271E51">
        <w:rPr>
          <w:rFonts w:ascii="Times New Roman" w:hAnsi="Times New Roman" w:cs="Times New Roman"/>
          <w:color w:val="000000" w:themeColor="text1"/>
          <w:sz w:val="16"/>
          <w:szCs w:val="16"/>
        </w:rPr>
        <w:softHyphen/>
        <w:t>жа. При этом радиус виража не превышал 315 и 470 м, соответственно.</w:t>
      </w:r>
    </w:p>
    <w:p w14:paraId="34F0FDAA"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Разбег самолета при взлете находил</w:t>
      </w:r>
      <w:r w:rsidRPr="00271E51">
        <w:rPr>
          <w:rFonts w:ascii="Times New Roman" w:hAnsi="Times New Roman" w:cs="Times New Roman"/>
          <w:color w:val="000000" w:themeColor="text1"/>
          <w:sz w:val="16"/>
          <w:szCs w:val="16"/>
        </w:rPr>
        <w:softHyphen/>
        <w:t>ся в пределах 420 м. Скорость отрыва - 152 км/ч. Посадочная скорость равнялась 123 км/ч. Пробег при посадке со щитками, отклоненными на 80', не превышал 440 м.</w:t>
      </w:r>
    </w:p>
    <w:p w14:paraId="1C4032A2"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Максимальная дальность полета на высоте 910-950 м при скорости полета 265 км/ч достигала 825 км (3 ч).</w:t>
      </w:r>
    </w:p>
    <w:p w14:paraId="65E33C7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испытаний было выполнено че</w:t>
      </w:r>
      <w:r w:rsidRPr="00271E51">
        <w:rPr>
          <w:rFonts w:ascii="Times New Roman" w:hAnsi="Times New Roman" w:cs="Times New Roman"/>
          <w:color w:val="000000" w:themeColor="text1"/>
          <w:sz w:val="16"/>
          <w:szCs w:val="16"/>
        </w:rPr>
        <w:softHyphen/>
        <w:t>тыре полета на пикирование под углами от 30' до 55°. Максимальная скорость на пики</w:t>
      </w:r>
      <w:r w:rsidRPr="00271E51">
        <w:rPr>
          <w:rFonts w:ascii="Times New Roman" w:hAnsi="Times New Roman" w:cs="Times New Roman"/>
          <w:color w:val="000000" w:themeColor="text1"/>
          <w:sz w:val="16"/>
          <w:szCs w:val="16"/>
        </w:rPr>
        <w:softHyphen/>
        <w:t>ровании доводилась до 630 км/ч (скорость ввода 380 км/ч), а перегрузка на выводе из пикирования до 3 единиц.</w:t>
      </w:r>
    </w:p>
    <w:p w14:paraId="5993128B"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Пикировал самолет устойчиво. Поведение самолета с триммерами руля поворота, установленными нейтрально, было нормальным, тенденции к затяги</w:t>
      </w:r>
      <w:r w:rsidRPr="00271E51">
        <w:rPr>
          <w:rFonts w:ascii="Times New Roman" w:hAnsi="Times New Roman" w:cs="Times New Roman"/>
          <w:color w:val="000000" w:themeColor="text1"/>
          <w:sz w:val="16"/>
          <w:szCs w:val="16"/>
        </w:rPr>
        <w:softHyphen/>
        <w:t>ванию в пикирование не наблюдалось. Усилия на рули нормальные. Однако при достижении скорости 610-620 км/ч из-за отсасывания и срыва воздушного потока с замков обтекателей подкрыльевых пушек появлялась заметная тряска плоскостей и вибрация педалей ножного управления.</w:t>
      </w:r>
    </w:p>
    <w:p w14:paraId="7A3B479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Летчики, облетавшие «Харрикейн» 1Ю, отмечали хороший обзор вперед, в сторону и вверх и неудовлетворительный - вперед- вниз и назад. Габариты кабины позволяли летчику наклоняться в стороны, что сочли недостатком самолета. Бронестекло ко</w:t>
      </w:r>
      <w:r w:rsidRPr="00271E51">
        <w:rPr>
          <w:rFonts w:ascii="Times New Roman" w:hAnsi="Times New Roman" w:cs="Times New Roman"/>
          <w:color w:val="000000" w:themeColor="text1"/>
          <w:sz w:val="16"/>
          <w:szCs w:val="16"/>
        </w:rPr>
        <w:softHyphen/>
        <w:t>зырька фонаря и целлулоид подвижной части имели удовлетворительную про</w:t>
      </w:r>
      <w:r w:rsidRPr="00271E51">
        <w:rPr>
          <w:rFonts w:ascii="Times New Roman" w:hAnsi="Times New Roman" w:cs="Times New Roman"/>
          <w:color w:val="000000" w:themeColor="text1"/>
          <w:sz w:val="16"/>
          <w:szCs w:val="16"/>
        </w:rPr>
        <w:softHyphen/>
        <w:t>зрачность и почти не давали искажений. Случаев отколов и обмерзания бронестек</w:t>
      </w:r>
      <w:r w:rsidRPr="00271E51">
        <w:rPr>
          <w:rFonts w:ascii="Times New Roman" w:hAnsi="Times New Roman" w:cs="Times New Roman"/>
          <w:color w:val="000000" w:themeColor="text1"/>
          <w:sz w:val="16"/>
          <w:szCs w:val="16"/>
        </w:rPr>
        <w:softHyphen/>
        <w:t>ла и целлулоида при полетах в условиях зимы не наблюдалось. Размещение не</w:t>
      </w:r>
      <w:r w:rsidRPr="00271E51">
        <w:rPr>
          <w:rFonts w:ascii="Times New Roman" w:hAnsi="Times New Roman" w:cs="Times New Roman"/>
          <w:color w:val="000000" w:themeColor="text1"/>
          <w:sz w:val="16"/>
          <w:szCs w:val="16"/>
        </w:rPr>
        <w:softHyphen/>
        <w:t>которых приборов на приборной доске и рычагов управления оказалось неудобным (например, рычаг управления уборкой и выпуском шасси).</w:t>
      </w:r>
    </w:p>
    <w:p w14:paraId="4F37728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Анализ схемы бронирования показал, что броня прикрывала летчика в горизон</w:t>
      </w:r>
      <w:r w:rsidRPr="00271E51">
        <w:rPr>
          <w:rFonts w:ascii="Times New Roman" w:hAnsi="Times New Roman" w:cs="Times New Roman"/>
          <w:color w:val="000000" w:themeColor="text1"/>
          <w:sz w:val="16"/>
          <w:szCs w:val="16"/>
        </w:rPr>
        <w:softHyphen/>
        <w:t>тальной плоскости в угловом конусе 30-40° и в вертикальной плоскости до 10-15" вверх и 15-20° вниз по отношению к продольной оси самолета. В этом диапазоне углов вполне обеспечивалась защита от пора</w:t>
      </w:r>
      <w:r w:rsidRPr="00271E51">
        <w:rPr>
          <w:rFonts w:ascii="Times New Roman" w:hAnsi="Times New Roman" w:cs="Times New Roman"/>
          <w:color w:val="000000" w:themeColor="text1"/>
          <w:sz w:val="16"/>
          <w:szCs w:val="16"/>
        </w:rPr>
        <w:softHyphen/>
        <w:t>жения бронебойными пулями нормально</w:t>
      </w:r>
      <w:r w:rsidRPr="00271E51">
        <w:rPr>
          <w:rFonts w:ascii="Times New Roman" w:hAnsi="Times New Roman" w:cs="Times New Roman"/>
          <w:color w:val="000000" w:themeColor="text1"/>
          <w:sz w:val="16"/>
          <w:szCs w:val="16"/>
        </w:rPr>
        <w:softHyphen/>
        <w:t>го калибра при стрельбе с дистанции не менее 100-150 м и бронебойными пулями крупного калибра с дистанции 400-500 м и более. Между тем летчик не имел броне</w:t>
      </w:r>
      <w:r w:rsidRPr="00271E51">
        <w:rPr>
          <w:rFonts w:ascii="Times New Roman" w:hAnsi="Times New Roman" w:cs="Times New Roman"/>
          <w:color w:val="000000" w:themeColor="text1"/>
          <w:sz w:val="16"/>
          <w:szCs w:val="16"/>
        </w:rPr>
        <w:softHyphen/>
        <w:t>вой защиты сбоку и сверху. Совершенно не были защищены бензо- и маслобаки. Защита мотора, водо- и маслорадиатора считалась недостаточной. Мотор не имел брони сверху, водо- и маслорадиаторы не защищались со стороны входа и выхода воздушного тоннеля.</w:t>
      </w:r>
    </w:p>
    <w:p w14:paraId="1D31A83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общему мнению летчиков увели</w:t>
      </w:r>
      <w:r w:rsidRPr="00271E51">
        <w:rPr>
          <w:rFonts w:ascii="Times New Roman" w:hAnsi="Times New Roman" w:cs="Times New Roman"/>
          <w:color w:val="000000" w:themeColor="text1"/>
          <w:sz w:val="16"/>
          <w:szCs w:val="16"/>
        </w:rPr>
        <w:softHyphen/>
        <w:t>чение полетного веса и ухудшение аэро</w:t>
      </w:r>
      <w:r w:rsidRPr="00271E51">
        <w:rPr>
          <w:rFonts w:ascii="Times New Roman" w:hAnsi="Times New Roman" w:cs="Times New Roman"/>
          <w:color w:val="000000" w:themeColor="text1"/>
          <w:sz w:val="16"/>
          <w:szCs w:val="16"/>
        </w:rPr>
        <w:softHyphen/>
        <w:t>динамики самолета Мк.1Ю по сравнению с Мк.НС привело к заметному понижению летных данных и маневренности самолета, как в вертикальной, так и в горизонталь</w:t>
      </w:r>
      <w:r w:rsidRPr="00271E51">
        <w:rPr>
          <w:rFonts w:ascii="Times New Roman" w:hAnsi="Times New Roman" w:cs="Times New Roman"/>
          <w:color w:val="000000" w:themeColor="text1"/>
          <w:sz w:val="16"/>
          <w:szCs w:val="16"/>
        </w:rPr>
        <w:softHyphen/>
        <w:t>ной плоскости. Для выполнения фигур, «скорости приходится держать больше на 5-7 миль/ч, так как самолет тяжелее и инер</w:t>
      </w:r>
      <w:r w:rsidRPr="00271E51">
        <w:rPr>
          <w:rFonts w:ascii="Times New Roman" w:hAnsi="Times New Roman" w:cs="Times New Roman"/>
          <w:color w:val="000000" w:themeColor="text1"/>
          <w:sz w:val="16"/>
          <w:szCs w:val="16"/>
        </w:rPr>
        <w:softHyphen/>
        <w:t>тнее». Продольная и поперечная устойчи</w:t>
      </w:r>
      <w:r w:rsidRPr="00271E51">
        <w:rPr>
          <w:rFonts w:ascii="Times New Roman" w:hAnsi="Times New Roman" w:cs="Times New Roman"/>
          <w:color w:val="000000" w:themeColor="text1"/>
          <w:sz w:val="16"/>
          <w:szCs w:val="16"/>
        </w:rPr>
        <w:softHyphen/>
        <w:t>вость самолета оставляла желать лучшего. Сбалансированность самолета в горизон</w:t>
      </w:r>
      <w:r w:rsidRPr="00271E51">
        <w:rPr>
          <w:rFonts w:ascii="Times New Roman" w:hAnsi="Times New Roman" w:cs="Times New Roman"/>
          <w:color w:val="000000" w:themeColor="text1"/>
          <w:sz w:val="16"/>
          <w:szCs w:val="16"/>
        </w:rPr>
        <w:softHyphen/>
        <w:t>тальном полете была затруднена и требо</w:t>
      </w:r>
      <w:r w:rsidRPr="00271E51">
        <w:rPr>
          <w:rFonts w:ascii="Times New Roman" w:hAnsi="Times New Roman" w:cs="Times New Roman"/>
          <w:color w:val="000000" w:themeColor="text1"/>
          <w:sz w:val="16"/>
          <w:szCs w:val="16"/>
        </w:rPr>
        <w:softHyphen/>
        <w:t>вала постоянной регулировки положения триммера при изменении скорости поле</w:t>
      </w:r>
      <w:r w:rsidRPr="00271E51">
        <w:rPr>
          <w:rFonts w:ascii="Times New Roman" w:hAnsi="Times New Roman" w:cs="Times New Roman"/>
          <w:color w:val="000000" w:themeColor="text1"/>
          <w:sz w:val="16"/>
          <w:szCs w:val="16"/>
        </w:rPr>
        <w:softHyphen/>
        <w:t>та. На вертикальных фигурах самолет бы</w:t>
      </w:r>
      <w:r w:rsidRPr="00271E51">
        <w:rPr>
          <w:rFonts w:ascii="Times New Roman" w:hAnsi="Times New Roman" w:cs="Times New Roman"/>
          <w:color w:val="000000" w:themeColor="text1"/>
          <w:sz w:val="16"/>
          <w:szCs w:val="16"/>
        </w:rPr>
        <w:softHyphen/>
        <w:t>стро терял скорость, набор высоты на им</w:t>
      </w:r>
      <w:r w:rsidRPr="00271E51">
        <w:rPr>
          <w:rFonts w:ascii="Times New Roman" w:hAnsi="Times New Roman" w:cs="Times New Roman"/>
          <w:color w:val="000000" w:themeColor="text1"/>
          <w:sz w:val="16"/>
          <w:szCs w:val="16"/>
        </w:rPr>
        <w:softHyphen/>
        <w:t>мельмане и боевом развороте сократился. В то же время техника пилотирования Мк.1Ю практически ничем не отличалась от самолетов «Харрикейн» НС или ИВ.</w:t>
      </w:r>
    </w:p>
    <w:p w14:paraId="15102E6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Проведенный 27 декабря 1943 г. учеб</w:t>
      </w:r>
      <w:r w:rsidRPr="00271E51">
        <w:rPr>
          <w:rFonts w:ascii="Times New Roman" w:hAnsi="Times New Roman" w:cs="Times New Roman"/>
          <w:color w:val="000000" w:themeColor="text1"/>
          <w:sz w:val="16"/>
          <w:szCs w:val="16"/>
        </w:rPr>
        <w:softHyphen/>
        <w:t>ный воздушный бой с трофейным истре</w:t>
      </w:r>
      <w:r w:rsidRPr="00271E51">
        <w:rPr>
          <w:rFonts w:ascii="Times New Roman" w:hAnsi="Times New Roman" w:cs="Times New Roman"/>
          <w:color w:val="000000" w:themeColor="text1"/>
          <w:sz w:val="16"/>
          <w:szCs w:val="16"/>
        </w:rPr>
        <w:softHyphen/>
        <w:t>бителем В1109С-4 показал, что самолет «Харрикейн» 1Ю воздушный бой с ним вести не может. Причем не только наступатель</w:t>
      </w:r>
      <w:r w:rsidRPr="00271E51">
        <w:rPr>
          <w:rFonts w:ascii="Times New Roman" w:hAnsi="Times New Roman" w:cs="Times New Roman"/>
          <w:color w:val="000000" w:themeColor="text1"/>
          <w:sz w:val="16"/>
          <w:szCs w:val="16"/>
        </w:rPr>
        <w:softHyphen/>
        <w:t>ный бой, но и оборонительный. Немецкий истребитель имел явное преимущество в горизонтальной и в вертикальной плоско</w:t>
      </w:r>
      <w:r w:rsidRPr="00271E51">
        <w:rPr>
          <w:rFonts w:ascii="Times New Roman" w:hAnsi="Times New Roman" w:cs="Times New Roman"/>
          <w:color w:val="000000" w:themeColor="text1"/>
          <w:sz w:val="16"/>
          <w:szCs w:val="16"/>
        </w:rPr>
        <w:softHyphen/>
        <w:t>сти. На виражах «мессер» заходил в хвост «Харрикейну» уже после первого виража на левом вираже и после двух виражей - на правом. При атаках ВШ9С-4 сверху-сза</w:t>
      </w:r>
      <w:r w:rsidRPr="00271E51">
        <w:rPr>
          <w:rFonts w:ascii="Times New Roman" w:hAnsi="Times New Roman" w:cs="Times New Roman"/>
          <w:color w:val="000000" w:themeColor="text1"/>
          <w:sz w:val="16"/>
          <w:szCs w:val="16"/>
        </w:rPr>
        <w:softHyphen/>
        <w:t>ди старшему лейтенанту Поминальному, пилотировавшему «Харрикейн», удавалось вывернуться только из-под первой атаки «мессершмитта», уйти от последующих атак не получалось. Подавляющее пре</w:t>
      </w:r>
      <w:r w:rsidRPr="00271E51">
        <w:rPr>
          <w:rFonts w:ascii="Times New Roman" w:hAnsi="Times New Roman" w:cs="Times New Roman"/>
          <w:color w:val="000000" w:themeColor="text1"/>
          <w:sz w:val="16"/>
          <w:szCs w:val="16"/>
        </w:rPr>
        <w:softHyphen/>
        <w:t>имущество в вертикальном маневре не</w:t>
      </w:r>
      <w:r w:rsidRPr="00271E51">
        <w:rPr>
          <w:rFonts w:ascii="Times New Roman" w:hAnsi="Times New Roman" w:cs="Times New Roman"/>
          <w:color w:val="000000" w:themeColor="text1"/>
          <w:sz w:val="16"/>
          <w:szCs w:val="16"/>
        </w:rPr>
        <w:softHyphen/>
        <w:t>мецкого истребителя позволяло капитану Кувшинову, который летал на ВГ109С-4, свободно занимать выгодную для ата</w:t>
      </w:r>
      <w:r w:rsidRPr="00271E51">
        <w:rPr>
          <w:rFonts w:ascii="Times New Roman" w:hAnsi="Times New Roman" w:cs="Times New Roman"/>
          <w:color w:val="000000" w:themeColor="text1"/>
          <w:sz w:val="16"/>
          <w:szCs w:val="16"/>
        </w:rPr>
        <w:softHyphen/>
        <w:t>ки позицию и атаковать «Харрикейн» Поминального из любого положения.</w:t>
      </w:r>
    </w:p>
    <w:p w14:paraId="28D059F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После обмена мнениями летчика</w:t>
      </w:r>
      <w:r w:rsidRPr="00271E51">
        <w:rPr>
          <w:rFonts w:ascii="Times New Roman" w:hAnsi="Times New Roman" w:cs="Times New Roman"/>
          <w:color w:val="000000" w:themeColor="text1"/>
          <w:sz w:val="16"/>
          <w:szCs w:val="16"/>
        </w:rPr>
        <w:softHyphen/>
        <w:t>ми был сделан вывод о недопустимости воздушного боя одиночного самолета «Харрикейн» 1Ю не только с группой но даже и с одиночным истребителем про</w:t>
      </w:r>
      <w:r w:rsidRPr="00271E51">
        <w:rPr>
          <w:rFonts w:ascii="Times New Roman" w:hAnsi="Times New Roman" w:cs="Times New Roman"/>
          <w:color w:val="000000" w:themeColor="text1"/>
          <w:sz w:val="16"/>
          <w:szCs w:val="16"/>
        </w:rPr>
        <w:softHyphen/>
        <w:t>тивника. Рекомендовалось боевые зада-.' выполнять только группой и воздушньГ- бой вести в боевом порядке круг или вы</w:t>
      </w:r>
      <w:r w:rsidRPr="00271E51">
        <w:rPr>
          <w:rFonts w:ascii="Times New Roman" w:hAnsi="Times New Roman" w:cs="Times New Roman"/>
          <w:color w:val="000000" w:themeColor="text1"/>
          <w:sz w:val="16"/>
          <w:szCs w:val="16"/>
        </w:rPr>
        <w:softHyphen/>
        <w:t>полняя ножницы с оттягиванием на свою территорию.</w:t>
      </w:r>
    </w:p>
    <w:p w14:paraId="5C1835F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Вооружение самолета отстрели</w:t>
      </w:r>
      <w:r w:rsidRPr="00271E51">
        <w:rPr>
          <w:rFonts w:ascii="Times New Roman" w:hAnsi="Times New Roman" w:cs="Times New Roman"/>
          <w:color w:val="000000" w:themeColor="text1"/>
          <w:sz w:val="16"/>
          <w:szCs w:val="16"/>
        </w:rPr>
        <w:softHyphen/>
        <w:t>валось как на земле, так и в воздухе. Стрельба велась снарядами, «снаряжен</w:t>
      </w:r>
      <w:r w:rsidRPr="00271E51">
        <w:rPr>
          <w:rFonts w:ascii="Times New Roman" w:hAnsi="Times New Roman" w:cs="Times New Roman"/>
          <w:color w:val="000000" w:themeColor="text1"/>
          <w:sz w:val="16"/>
          <w:szCs w:val="16"/>
        </w:rPr>
        <w:softHyphen/>
        <w:t>ными стальными корпусами бронебойных снарядов, так как других боекомплектов для пушек МК-Н - 40 мм, в снабжающих организациях ВВС не имелось». При этом в снарядах отсутствовали «разрывной заряд ВВ и донный взрыватель, заглуш</w:t>
      </w:r>
      <w:r w:rsidRPr="00271E51">
        <w:rPr>
          <w:rFonts w:ascii="Times New Roman" w:hAnsi="Times New Roman" w:cs="Times New Roman"/>
          <w:color w:val="000000" w:themeColor="text1"/>
          <w:sz w:val="16"/>
          <w:szCs w:val="16"/>
        </w:rPr>
        <w:softHyphen/>
        <w:t>ка вместо него не поставлена», так что внутренняя полость снаряда сообщалась с зарядной каморой патрона. То есть, снаряды «не имели ни фугасного, ни за</w:t>
      </w:r>
      <w:r w:rsidRPr="00271E51">
        <w:rPr>
          <w:rFonts w:ascii="Times New Roman" w:hAnsi="Times New Roman" w:cs="Times New Roman"/>
          <w:color w:val="000000" w:themeColor="text1"/>
          <w:sz w:val="16"/>
          <w:szCs w:val="16"/>
        </w:rPr>
        <w:softHyphen/>
        <w:t>жигательного действия, а внутренняя и внешняя баллистика его отличалась от баллистики боевого снаряда». Очевидно, такие снаряды боевого значения не име</w:t>
      </w:r>
      <w:r w:rsidRPr="00271E51">
        <w:rPr>
          <w:rFonts w:ascii="Times New Roman" w:hAnsi="Times New Roman" w:cs="Times New Roman"/>
          <w:color w:val="000000" w:themeColor="text1"/>
          <w:sz w:val="16"/>
          <w:szCs w:val="16"/>
        </w:rPr>
        <w:softHyphen/>
        <w:t>ли, их использование ограничивалось только учебными целями. Но других сна</w:t>
      </w:r>
      <w:r w:rsidRPr="00271E51">
        <w:rPr>
          <w:rFonts w:ascii="Times New Roman" w:hAnsi="Times New Roman" w:cs="Times New Roman"/>
          <w:color w:val="000000" w:themeColor="text1"/>
          <w:sz w:val="16"/>
          <w:szCs w:val="16"/>
        </w:rPr>
        <w:softHyphen/>
        <w:t>рядов союзники не поставили!</w:t>
      </w:r>
    </w:p>
    <w:p w14:paraId="27DA36E5"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общей сложности из пушек было вы</w:t>
      </w:r>
      <w:r w:rsidRPr="00271E51">
        <w:rPr>
          <w:rFonts w:ascii="Times New Roman" w:hAnsi="Times New Roman" w:cs="Times New Roman"/>
          <w:color w:val="000000" w:themeColor="text1"/>
          <w:sz w:val="16"/>
          <w:szCs w:val="16"/>
        </w:rPr>
        <w:softHyphen/>
        <w:t>полнено 620 выстрелов, в том числе 212 выстрелов на земле и 408 в воздухе.</w:t>
      </w:r>
    </w:p>
    <w:p w14:paraId="7978A895"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пристреливались сходящимся веером на стандартную для ВВС КА дистан</w:t>
      </w:r>
      <w:r w:rsidRPr="00271E51">
        <w:rPr>
          <w:rFonts w:ascii="Times New Roman" w:hAnsi="Times New Roman" w:cs="Times New Roman"/>
          <w:color w:val="000000" w:themeColor="text1"/>
          <w:sz w:val="16"/>
          <w:szCs w:val="16"/>
        </w:rPr>
        <w:softHyphen/>
        <w:t>цию - 400 м. Рассеивание определялось стрельбой на земле и в воздухе по щитам. Стрельба велась одиночно и очередями.</w:t>
      </w:r>
    </w:p>
    <w:p w14:paraId="24E8619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земле рассеивание определялось одиночной стрельбой на дальность 50 и 400 м по щиту 2x2 м, поставленному верти</w:t>
      </w:r>
      <w:r w:rsidRPr="00271E51">
        <w:rPr>
          <w:rFonts w:ascii="Times New Roman" w:hAnsi="Times New Roman" w:cs="Times New Roman"/>
          <w:color w:val="000000" w:themeColor="text1"/>
          <w:sz w:val="16"/>
          <w:szCs w:val="16"/>
        </w:rPr>
        <w:softHyphen/>
        <w:t>кально. При стрельбе овальных отверстий в щите обнаружено не было, что характе</w:t>
      </w:r>
      <w:r w:rsidRPr="00271E51">
        <w:rPr>
          <w:rFonts w:ascii="Times New Roman" w:hAnsi="Times New Roman" w:cs="Times New Roman"/>
          <w:color w:val="000000" w:themeColor="text1"/>
          <w:sz w:val="16"/>
          <w:szCs w:val="16"/>
        </w:rPr>
        <w:softHyphen/>
        <w:t>ризовало хорошую устойчивость снаряда в полете на данных дистанциях.</w:t>
      </w:r>
    </w:p>
    <w:p w14:paraId="01F4319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левой пушки боковое отклоне</w:t>
      </w:r>
      <w:r w:rsidRPr="00271E51">
        <w:rPr>
          <w:rFonts w:ascii="Times New Roman" w:hAnsi="Times New Roman" w:cs="Times New Roman"/>
          <w:color w:val="000000" w:themeColor="text1"/>
          <w:sz w:val="16"/>
          <w:szCs w:val="16"/>
        </w:rPr>
        <w:softHyphen/>
        <w:t>ние на дистанции 400 м составило всего 10,3 см, вертикальное - 17,0 см, а для пра</w:t>
      </w:r>
      <w:r w:rsidRPr="00271E51">
        <w:rPr>
          <w:rFonts w:ascii="Times New Roman" w:hAnsi="Times New Roman" w:cs="Times New Roman"/>
          <w:color w:val="000000" w:themeColor="text1"/>
          <w:sz w:val="16"/>
          <w:szCs w:val="16"/>
        </w:rPr>
        <w:softHyphen/>
        <w:t>вой пушки -13,0 и 16,2 см, соответственно. При стрельбе пулеметов Кольт-Браунинг отклонение оказалось даже выше, чем при стрельбе из пушек: боковое и вертикаль</w:t>
      </w:r>
      <w:r w:rsidRPr="00271E51">
        <w:rPr>
          <w:rFonts w:ascii="Times New Roman" w:hAnsi="Times New Roman" w:cs="Times New Roman"/>
          <w:color w:val="000000" w:themeColor="text1"/>
          <w:sz w:val="16"/>
          <w:szCs w:val="16"/>
        </w:rPr>
        <w:softHyphen/>
        <w:t>ное отклонения для левого пулемета рав</w:t>
      </w:r>
      <w:r w:rsidRPr="00271E51">
        <w:rPr>
          <w:rFonts w:ascii="Times New Roman" w:hAnsi="Times New Roman" w:cs="Times New Roman"/>
          <w:color w:val="000000" w:themeColor="text1"/>
          <w:sz w:val="16"/>
          <w:szCs w:val="16"/>
        </w:rPr>
        <w:softHyphen/>
        <w:t>нялись 23,6 и 26,7 см, для правого пулеме</w:t>
      </w:r>
      <w:r w:rsidRPr="00271E51">
        <w:rPr>
          <w:rFonts w:ascii="Times New Roman" w:hAnsi="Times New Roman" w:cs="Times New Roman"/>
          <w:color w:val="000000" w:themeColor="text1"/>
          <w:sz w:val="16"/>
          <w:szCs w:val="16"/>
        </w:rPr>
        <w:softHyphen/>
        <w:t>та-20,6 и 35,8 см.</w:t>
      </w:r>
    </w:p>
    <w:p w14:paraId="101EA0D5"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Коэффициент искажения рассеивания с увеличением дистанции стрельбы до</w:t>
      </w:r>
      <w:r w:rsidRPr="00271E51">
        <w:rPr>
          <w:rFonts w:ascii="Times New Roman" w:hAnsi="Times New Roman" w:cs="Times New Roman"/>
          <w:color w:val="000000" w:themeColor="text1"/>
          <w:sz w:val="16"/>
          <w:szCs w:val="16"/>
        </w:rPr>
        <w:softHyphen/>
        <w:t>стигал величин 0,63-1,32 - у пушек и 0,78- 1,77 - у пулеметов, что «указывает на невы</w:t>
      </w:r>
      <w:r w:rsidRPr="00271E51">
        <w:rPr>
          <w:rFonts w:ascii="Times New Roman" w:hAnsi="Times New Roman" w:cs="Times New Roman"/>
          <w:color w:val="000000" w:themeColor="text1"/>
          <w:sz w:val="16"/>
          <w:szCs w:val="16"/>
        </w:rPr>
        <w:softHyphen/>
        <w:t>сокие баллистические качества оружия на данной установке».</w:t>
      </w:r>
    </w:p>
    <w:p w14:paraId="020CC95A"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воздухе пушки отстреляли капитаны Голофастов, Кувшинов, Пикуленко, Кусакин и старший лейтенант Поминальный. Стрельба велась в горизонтальном полете, на виражах, на наборе высоты, а после вы</w:t>
      </w:r>
      <w:r w:rsidRPr="00271E51">
        <w:rPr>
          <w:rFonts w:ascii="Times New Roman" w:hAnsi="Times New Roman" w:cs="Times New Roman"/>
          <w:color w:val="000000" w:themeColor="text1"/>
          <w:sz w:val="16"/>
          <w:szCs w:val="16"/>
        </w:rPr>
        <w:softHyphen/>
        <w:t>полнения пилотажа и по наземной цели с пикирования (по щитам и контуру самоле</w:t>
      </w:r>
      <w:r w:rsidRPr="00271E51">
        <w:rPr>
          <w:rFonts w:ascii="Times New Roman" w:hAnsi="Times New Roman" w:cs="Times New Roman"/>
          <w:color w:val="000000" w:themeColor="text1"/>
          <w:sz w:val="16"/>
          <w:szCs w:val="16"/>
        </w:rPr>
        <w:softHyphen/>
        <w:t>та:. Кроме того, один полет был выполнен для стрельбы на большой высоте.</w:t>
      </w:r>
    </w:p>
    <w:p w14:paraId="3F952E2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Пушки при стрельбе в воздухе пока</w:t>
      </w:r>
      <w:r w:rsidRPr="00271E51">
        <w:rPr>
          <w:rFonts w:ascii="Times New Roman" w:hAnsi="Times New Roman" w:cs="Times New Roman"/>
          <w:color w:val="000000" w:themeColor="text1"/>
          <w:sz w:val="16"/>
          <w:szCs w:val="16"/>
        </w:rPr>
        <w:softHyphen/>
        <w:t>зан/ себя, как надежное и безотказное оружие. Отдача при стрельбе из пушек более мягкая, чем при стрельбе из 37-мм -ушек НС-37 на самолетах Як-9т и ЛаГГ-3. С/нхронность стрельбы оценивалась как отличная.</w:t>
      </w:r>
    </w:p>
    <w:p w14:paraId="591776D0"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в горизонтальном поле</w:t>
      </w:r>
      <w:r w:rsidRPr="00271E51">
        <w:rPr>
          <w:rFonts w:ascii="Times New Roman" w:hAnsi="Times New Roman" w:cs="Times New Roman"/>
          <w:color w:val="000000" w:themeColor="text1"/>
          <w:sz w:val="16"/>
          <w:szCs w:val="16"/>
        </w:rPr>
        <w:softHyphen/>
        <w:t>те самолет «ощущает толчки и зарывается носом вниз». Такие же толчки имели место и на всех других режимах. На пикировании самолет во время стрельбы стремился увеличить угол пикирования и «его необ</w:t>
      </w:r>
      <w:r w:rsidRPr="00271E51">
        <w:rPr>
          <w:rFonts w:ascii="Times New Roman" w:hAnsi="Times New Roman" w:cs="Times New Roman"/>
          <w:color w:val="000000" w:themeColor="text1"/>
          <w:sz w:val="16"/>
          <w:szCs w:val="16"/>
        </w:rPr>
        <w:softHyphen/>
        <w:t>ходимо удерживать ручкой управления». Сила отдачи при стрельбе «несколько при</w:t>
      </w:r>
      <w:r w:rsidRPr="00271E51">
        <w:rPr>
          <w:rFonts w:ascii="Times New Roman" w:hAnsi="Times New Roman" w:cs="Times New Roman"/>
          <w:color w:val="000000" w:themeColor="text1"/>
          <w:sz w:val="16"/>
          <w:szCs w:val="16"/>
        </w:rPr>
        <w:softHyphen/>
        <w:t>тормаживает самолет, снижая скорость самолета на пикировании». При стрельбе во время набора высоты наблюдалось не</w:t>
      </w:r>
      <w:r w:rsidRPr="00271E51">
        <w:rPr>
          <w:rFonts w:ascii="Times New Roman" w:hAnsi="Times New Roman" w:cs="Times New Roman"/>
          <w:color w:val="000000" w:themeColor="text1"/>
          <w:sz w:val="16"/>
          <w:szCs w:val="16"/>
        </w:rPr>
        <w:softHyphen/>
        <w:t>которое уменьшение угла.</w:t>
      </w:r>
    </w:p>
    <w:p w14:paraId="7435FDB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Чем длиннее очередь из пушек, «тем опускание носа самолета и толчки более за</w:t>
      </w:r>
      <w:r w:rsidRPr="00271E51">
        <w:rPr>
          <w:rFonts w:ascii="Times New Roman" w:hAnsi="Times New Roman" w:cs="Times New Roman"/>
          <w:color w:val="000000" w:themeColor="text1"/>
          <w:sz w:val="16"/>
          <w:szCs w:val="16"/>
        </w:rPr>
        <w:softHyphen/>
        <w:t>метны». При очередях свыше 5-6 снарядов «удержать самолет от зарывания носом ста</w:t>
      </w:r>
      <w:r w:rsidRPr="00271E51">
        <w:rPr>
          <w:rFonts w:ascii="Times New Roman" w:hAnsi="Times New Roman" w:cs="Times New Roman"/>
          <w:color w:val="000000" w:themeColor="text1"/>
          <w:sz w:val="16"/>
          <w:szCs w:val="16"/>
        </w:rPr>
        <w:softHyphen/>
        <w:t>новится затруднительно», «самолет начина</w:t>
      </w:r>
      <w:r w:rsidRPr="00271E51">
        <w:rPr>
          <w:rFonts w:ascii="Times New Roman" w:hAnsi="Times New Roman" w:cs="Times New Roman"/>
          <w:color w:val="000000" w:themeColor="text1"/>
          <w:sz w:val="16"/>
          <w:szCs w:val="16"/>
        </w:rPr>
        <w:softHyphen/>
        <w:t>ет раскачиваться в полете» и «прицельная стрельба становится"'невозможной».</w:t>
      </w:r>
    </w:p>
    <w:p w14:paraId="5652AAB2"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Для обеспечения более точного по</w:t>
      </w:r>
      <w:r w:rsidRPr="00271E51">
        <w:rPr>
          <w:rFonts w:ascii="Times New Roman" w:hAnsi="Times New Roman" w:cs="Times New Roman"/>
          <w:color w:val="000000" w:themeColor="text1"/>
          <w:sz w:val="16"/>
          <w:szCs w:val="16"/>
        </w:rPr>
        <w:softHyphen/>
        <w:t>ражения цели рекомендовалось произво</w:t>
      </w:r>
      <w:r w:rsidRPr="00271E51">
        <w:rPr>
          <w:rFonts w:ascii="Times New Roman" w:hAnsi="Times New Roman" w:cs="Times New Roman"/>
          <w:color w:val="000000" w:themeColor="text1"/>
          <w:sz w:val="16"/>
          <w:szCs w:val="16"/>
        </w:rPr>
        <w:softHyphen/>
        <w:t>дить стрельбу очередями по 2-3 максимум 4 снаряда из каждой пушки. При этом ко</w:t>
      </w:r>
      <w:r w:rsidRPr="00271E51">
        <w:rPr>
          <w:rFonts w:ascii="Times New Roman" w:hAnsi="Times New Roman" w:cs="Times New Roman"/>
          <w:color w:val="000000" w:themeColor="text1"/>
          <w:sz w:val="16"/>
          <w:szCs w:val="16"/>
        </w:rPr>
        <w:softHyphen/>
        <w:t>роткая очередь была рациональна и с точки зрения тактического применения самолета (более экономного расхода небольшого боекомплекта к пушкам).</w:t>
      </w:r>
    </w:p>
    <w:p w14:paraId="3C6B537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(правой или левой) самолет разворачивался в сто</w:t>
      </w:r>
      <w:r w:rsidRPr="00271E51">
        <w:rPr>
          <w:rFonts w:ascii="Times New Roman" w:hAnsi="Times New Roman" w:cs="Times New Roman"/>
          <w:color w:val="000000" w:themeColor="text1"/>
          <w:sz w:val="16"/>
          <w:szCs w:val="16"/>
        </w:rPr>
        <w:softHyphen/>
        <w:t>рону стреляющей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rFonts w:ascii="Times New Roman" w:hAnsi="Times New Roman" w:cs="Times New Roman"/>
          <w:color w:val="000000" w:themeColor="text1"/>
          <w:sz w:val="16"/>
          <w:szCs w:val="16"/>
        </w:rPr>
        <w:softHyphen/>
        <w:t>ков «получается разбалтывание самолета относительно вертикальной оси на ли</w:t>
      </w:r>
      <w:r w:rsidRPr="00271E51">
        <w:rPr>
          <w:rFonts w:ascii="Times New Roman" w:hAnsi="Times New Roman" w:cs="Times New Roman"/>
          <w:color w:val="000000" w:themeColor="text1"/>
          <w:sz w:val="16"/>
          <w:szCs w:val="16"/>
        </w:rPr>
        <w:softHyphen/>
        <w:t>нии прицеливания, что ухудшает качество стрельбы». То есть прицельным был только первый снаряд в очереди.</w:t>
      </w:r>
    </w:p>
    <w:p w14:paraId="7C6CFBA6"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Наиболее удобными углами пикирова</w:t>
      </w:r>
      <w:r w:rsidRPr="00271E51">
        <w:rPr>
          <w:rFonts w:ascii="Times New Roman" w:hAnsi="Times New Roman" w:cs="Times New Roman"/>
          <w:color w:val="000000" w:themeColor="text1"/>
          <w:sz w:val="16"/>
          <w:szCs w:val="16"/>
        </w:rPr>
        <w:softHyphen/>
        <w:t>ния при стрельбе по наземной цели с точки зрения потери высоты и увеличения скоро</w:t>
      </w:r>
      <w:r w:rsidRPr="00271E51">
        <w:rPr>
          <w:rFonts w:ascii="Times New Roman" w:hAnsi="Times New Roman" w:cs="Times New Roman"/>
          <w:color w:val="000000" w:themeColor="text1"/>
          <w:sz w:val="16"/>
          <w:szCs w:val="16"/>
        </w:rPr>
        <w:softHyphen/>
        <w:t>сти на пикировании, а также удобства при</w:t>
      </w:r>
      <w:r w:rsidRPr="00271E51">
        <w:rPr>
          <w:rFonts w:ascii="Times New Roman" w:hAnsi="Times New Roman" w:cs="Times New Roman"/>
          <w:color w:val="000000" w:themeColor="text1"/>
          <w:sz w:val="16"/>
          <w:szCs w:val="16"/>
        </w:rPr>
        <w:softHyphen/>
        <w:t>целивания считался диапазон 35-45°. При высоте ввода в пикирование 500-550 м дистанция огня составляла 500-700 м, что было более чем достаточно для прицели</w:t>
      </w:r>
      <w:r w:rsidRPr="00271E51">
        <w:rPr>
          <w:rFonts w:ascii="Times New Roman" w:hAnsi="Times New Roman" w:cs="Times New Roman"/>
          <w:color w:val="000000" w:themeColor="text1"/>
          <w:sz w:val="16"/>
          <w:szCs w:val="16"/>
        </w:rPr>
        <w:softHyphen/>
        <w:t>вания и производства 2-3 очередей.</w:t>
      </w:r>
    </w:p>
    <w:p w14:paraId="7BFF1B3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Важно отметить, что при стрельбе в воздухе по наземной цели «Харрикейн» допускал перенос огня от первоначальной точки наводки в боковом направлении и по дальности в пределах 10-15°, «что было за</w:t>
      </w:r>
      <w:r w:rsidRPr="00271E51">
        <w:rPr>
          <w:rFonts w:ascii="Times New Roman" w:hAnsi="Times New Roman" w:cs="Times New Roman"/>
          <w:color w:val="000000" w:themeColor="text1"/>
          <w:sz w:val="16"/>
          <w:szCs w:val="16"/>
        </w:rPr>
        <w:softHyphen/>
        <w:t>труднено, а порой неосуществимо, на са</w:t>
      </w:r>
      <w:r w:rsidRPr="00271E51">
        <w:rPr>
          <w:rFonts w:ascii="Times New Roman" w:hAnsi="Times New Roman" w:cs="Times New Roman"/>
          <w:color w:val="000000" w:themeColor="text1"/>
          <w:sz w:val="16"/>
          <w:szCs w:val="16"/>
        </w:rPr>
        <w:softHyphen/>
        <w:t>молете Ил-2 с 37-мм пушками».</w:t>
      </w:r>
    </w:p>
    <w:p w14:paraId="04C32BCD"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Летчикам понравилось удобное распо</w:t>
      </w:r>
      <w:r w:rsidRPr="00271E51">
        <w:rPr>
          <w:rFonts w:ascii="Times New Roman" w:hAnsi="Times New Roman" w:cs="Times New Roman"/>
          <w:color w:val="000000" w:themeColor="text1"/>
          <w:sz w:val="16"/>
          <w:szCs w:val="16"/>
        </w:rPr>
        <w:softHyphen/>
        <w:t>ложение электрокнопки управления огнем из пушек на секторе газа под левую руку. Поскольку пулеметы приводились в дей</w:t>
      </w:r>
      <w:r w:rsidRPr="00271E51">
        <w:rPr>
          <w:rFonts w:ascii="Times New Roman" w:hAnsi="Times New Roman" w:cs="Times New Roman"/>
          <w:color w:val="000000" w:themeColor="text1"/>
          <w:sz w:val="16"/>
          <w:szCs w:val="16"/>
        </w:rPr>
        <w:softHyphen/>
        <w:t>ствие кнопкой на ручке управления само</w:t>
      </w:r>
      <w:r w:rsidRPr="00271E51">
        <w:rPr>
          <w:rFonts w:ascii="Times New Roman" w:hAnsi="Times New Roman" w:cs="Times New Roman"/>
          <w:color w:val="000000" w:themeColor="text1"/>
          <w:sz w:val="16"/>
          <w:szCs w:val="16"/>
        </w:rPr>
        <w:softHyphen/>
        <w:t>летом, то такое расположение управления пушками позволяло вести одновременный огонь из пушек и пулеметов.</w:t>
      </w:r>
    </w:p>
    <w:p w14:paraId="4E741AD5"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Существенным недостатком системы управления вооружением посчитали от</w:t>
      </w:r>
      <w:r w:rsidRPr="00271E51">
        <w:rPr>
          <w:rFonts w:ascii="Times New Roman" w:hAnsi="Times New Roman" w:cs="Times New Roman"/>
          <w:color w:val="000000" w:themeColor="text1"/>
          <w:sz w:val="16"/>
          <w:szCs w:val="16"/>
        </w:rPr>
        <w:softHyphen/>
        <w:t>сутствие приспособления перезарядки пушек в воздухе. По этой причине устра</w:t>
      </w:r>
      <w:r w:rsidRPr="00271E51">
        <w:rPr>
          <w:rFonts w:ascii="Times New Roman" w:hAnsi="Times New Roman" w:cs="Times New Roman"/>
          <w:color w:val="000000" w:themeColor="text1"/>
          <w:sz w:val="16"/>
          <w:szCs w:val="16"/>
        </w:rPr>
        <w:softHyphen/>
        <w:t>нить возможные задержки в стрельбе лет</w:t>
      </w:r>
      <w:r w:rsidRPr="00271E51">
        <w:rPr>
          <w:rFonts w:ascii="Times New Roman" w:hAnsi="Times New Roman" w:cs="Times New Roman"/>
          <w:color w:val="000000" w:themeColor="text1"/>
          <w:sz w:val="16"/>
          <w:szCs w:val="16"/>
        </w:rPr>
        <w:softHyphen/>
        <w:t>чик не мог. В полете в случае осечки лет</w:t>
      </w:r>
      <w:r w:rsidRPr="00271E51">
        <w:rPr>
          <w:rFonts w:ascii="Times New Roman" w:hAnsi="Times New Roman" w:cs="Times New Roman"/>
          <w:color w:val="000000" w:themeColor="text1"/>
          <w:sz w:val="16"/>
          <w:szCs w:val="16"/>
        </w:rPr>
        <w:softHyphen/>
        <w:t>чик мог только повторно взвести ударный механизм, «что отсутствие системы пере</w:t>
      </w:r>
      <w:r w:rsidRPr="00271E51">
        <w:rPr>
          <w:rFonts w:ascii="Times New Roman" w:hAnsi="Times New Roman" w:cs="Times New Roman"/>
          <w:color w:val="000000" w:themeColor="text1"/>
          <w:sz w:val="16"/>
          <w:szCs w:val="16"/>
        </w:rPr>
        <w:softHyphen/>
        <w:t>зарядки не компенсирует». В то же время взведение ударника (с помощью гашетки на левом борту) и контроль давления в воздушной системе управления оружием (с помощью манометра) осуществлялось просто и удобно.</w:t>
      </w:r>
    </w:p>
    <w:p w14:paraId="5736428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Прицеливание при помощи прицела Рефлектор Сайт Мк.115 простое. Включать прицел и регулировать накал лампы под</w:t>
      </w:r>
      <w:r w:rsidRPr="00271E51">
        <w:rPr>
          <w:rFonts w:ascii="Times New Roman" w:hAnsi="Times New Roman" w:cs="Times New Roman"/>
          <w:color w:val="000000" w:themeColor="text1"/>
          <w:sz w:val="16"/>
          <w:szCs w:val="16"/>
        </w:rPr>
        <w:softHyphen/>
        <w:t>светки удобно.</w:t>
      </w:r>
    </w:p>
    <w:p w14:paraId="57A33D7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Попытка отстрелять все вооружение самолета на высоте 7500-8000 м оказа</w:t>
      </w:r>
      <w:r w:rsidRPr="00271E51">
        <w:rPr>
          <w:rFonts w:ascii="Times New Roman" w:hAnsi="Times New Roman" w:cs="Times New Roman"/>
          <w:color w:val="000000" w:themeColor="text1"/>
          <w:sz w:val="16"/>
          <w:szCs w:val="16"/>
        </w:rPr>
        <w:softHyphen/>
        <w:t>лась неудачной. Из-за низкой температу</w:t>
      </w:r>
      <w:r w:rsidRPr="00271E51">
        <w:rPr>
          <w:rFonts w:ascii="Times New Roman" w:hAnsi="Times New Roman" w:cs="Times New Roman"/>
          <w:color w:val="000000" w:themeColor="text1"/>
          <w:sz w:val="16"/>
          <w:szCs w:val="16"/>
        </w:rPr>
        <w:softHyphen/>
        <w:t>ры воздуха - около -54°С, оружие отказало в действии. На земле были определены не</w:t>
      </w:r>
      <w:r w:rsidRPr="00271E51">
        <w:rPr>
          <w:rFonts w:ascii="Times New Roman" w:hAnsi="Times New Roman" w:cs="Times New Roman"/>
          <w:color w:val="000000" w:themeColor="text1"/>
          <w:sz w:val="16"/>
          <w:szCs w:val="16"/>
        </w:rPr>
        <w:softHyphen/>
        <w:t>отдачи в пушках и пулеметах, хотя оружие было смазано незамерзающей смазкой.</w:t>
      </w:r>
    </w:p>
    <w:p w14:paraId="2C7AB556"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Летчики сочли, что «боекомплект 15 снарядов на пушку и темп стрельбы 100-110 выстрелов в минуту не могут удовлетворить ТТТ, предъявляемым ВВС к самолету-истребителю». Боекомплект к пулеметам был вполне достаточным.</w:t>
      </w:r>
    </w:p>
    <w:p w14:paraId="7A8B5E4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Основные результаты при стрельбе по щиту с пикирования под углом 45° с дистан</w:t>
      </w:r>
      <w:r w:rsidRPr="00271E51">
        <w:rPr>
          <w:rFonts w:ascii="Times New Roman" w:hAnsi="Times New Roman" w:cs="Times New Roman"/>
          <w:color w:val="000000" w:themeColor="text1"/>
          <w:sz w:val="16"/>
          <w:szCs w:val="16"/>
        </w:rPr>
        <w:softHyphen/>
        <w:t>ции 500-700 м сводились к следующему. Боковое отклонение и отклонение по даль</w:t>
      </w:r>
      <w:r w:rsidRPr="00271E51">
        <w:rPr>
          <w:rFonts w:ascii="Times New Roman" w:hAnsi="Times New Roman" w:cs="Times New Roman"/>
          <w:color w:val="000000" w:themeColor="text1"/>
          <w:sz w:val="16"/>
          <w:szCs w:val="16"/>
        </w:rPr>
        <w:softHyphen/>
        <w:t>ности достигали: короткая очередь (2-3 снаряда) -1,08 и 1,70 м, длинная очередь (6-7 снарядов) - 1,51 и 2,39 м, рассеива</w:t>
      </w:r>
      <w:r w:rsidRPr="00271E51">
        <w:rPr>
          <w:rFonts w:ascii="Times New Roman" w:hAnsi="Times New Roman" w:cs="Times New Roman"/>
          <w:color w:val="000000" w:themeColor="text1"/>
          <w:sz w:val="16"/>
          <w:szCs w:val="16"/>
        </w:rPr>
        <w:softHyphen/>
        <w:t>ние коротких очередей (5 очередей) - 1,55 и 3,11 м, рассеивание длинных очередей (2 очереди)-2,02 и 5,32 м.</w:t>
      </w:r>
    </w:p>
    <w:p w14:paraId="4FADF422"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Наблюдались значительные отклоне</w:t>
      </w:r>
      <w:r w:rsidRPr="00271E51">
        <w:rPr>
          <w:rFonts w:ascii="Times New Roman" w:hAnsi="Times New Roman" w:cs="Times New Roman"/>
          <w:color w:val="000000" w:themeColor="text1"/>
          <w:sz w:val="16"/>
          <w:szCs w:val="16"/>
        </w:rPr>
        <w:softHyphen/>
        <w:t>ния центра группирования в вертикальной плоскости (по дальности) с увеличением длины очереди. Если при стрельбе корот</w:t>
      </w:r>
      <w:r w:rsidRPr="00271E51">
        <w:rPr>
          <w:rFonts w:ascii="Times New Roman" w:hAnsi="Times New Roman" w:cs="Times New Roman"/>
          <w:color w:val="000000" w:themeColor="text1"/>
          <w:sz w:val="16"/>
          <w:szCs w:val="16"/>
        </w:rPr>
        <w:softHyphen/>
        <w:t>кими очередями рассеивание центра груп</w:t>
      </w:r>
      <w:r w:rsidRPr="00271E51">
        <w:rPr>
          <w:rFonts w:ascii="Times New Roman" w:hAnsi="Times New Roman" w:cs="Times New Roman"/>
          <w:color w:val="000000" w:themeColor="text1"/>
          <w:sz w:val="16"/>
          <w:szCs w:val="16"/>
        </w:rPr>
        <w:softHyphen/>
        <w:t>пирования очереди находилось в пределах от -1,1 до -2,4 м, то при переходе к стрель</w:t>
      </w:r>
      <w:r w:rsidRPr="00271E51">
        <w:rPr>
          <w:rFonts w:ascii="Times New Roman" w:hAnsi="Times New Roman" w:cs="Times New Roman"/>
          <w:color w:val="000000" w:themeColor="text1"/>
          <w:sz w:val="16"/>
          <w:szCs w:val="16"/>
        </w:rPr>
        <w:softHyphen/>
        <w:t>бе длинными очередями резко возраста</w:t>
      </w:r>
      <w:r w:rsidRPr="00271E51">
        <w:rPr>
          <w:rFonts w:ascii="Times New Roman" w:hAnsi="Times New Roman" w:cs="Times New Roman"/>
          <w:color w:val="000000" w:themeColor="text1"/>
          <w:sz w:val="16"/>
          <w:szCs w:val="16"/>
        </w:rPr>
        <w:softHyphen/>
        <w:t>ло - до -3,12-4,47 м. Это обстоятельство вполне соответствовало показаниям лет</w:t>
      </w:r>
      <w:r w:rsidRPr="00271E51">
        <w:rPr>
          <w:rFonts w:ascii="Times New Roman" w:hAnsi="Times New Roman" w:cs="Times New Roman"/>
          <w:color w:val="000000" w:themeColor="text1"/>
          <w:sz w:val="16"/>
          <w:szCs w:val="16"/>
        </w:rPr>
        <w:softHyphen/>
        <w:t>чиков о стремлении самолета «зарываться носом при стрельбе на пикировании».</w:t>
      </w:r>
    </w:p>
    <w:p w14:paraId="5F7BAAD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стрельбе из одной пушки с увели</w:t>
      </w:r>
      <w:r w:rsidRPr="00271E51">
        <w:rPr>
          <w:rFonts w:ascii="Times New Roman" w:hAnsi="Times New Roman" w:cs="Times New Roman"/>
          <w:color w:val="000000" w:themeColor="text1"/>
          <w:sz w:val="16"/>
          <w:szCs w:val="16"/>
        </w:rPr>
        <w:softHyphen/>
        <w:t>чением длины очереди центр группирова</w:t>
      </w:r>
      <w:r w:rsidRPr="00271E51">
        <w:rPr>
          <w:rFonts w:ascii="Times New Roman" w:hAnsi="Times New Roman" w:cs="Times New Roman"/>
          <w:color w:val="000000" w:themeColor="text1"/>
          <w:sz w:val="16"/>
          <w:szCs w:val="16"/>
        </w:rPr>
        <w:softHyphen/>
        <w:t>ния очереди «резко смещался в сторону стреляющей пушки под самолет», причем «тенденция эта одинаковая как для правой, так и для левой пушки».</w:t>
      </w:r>
    </w:p>
    <w:tbl>
      <w:tblPr>
        <w:tblW w:w="0" w:type="auto"/>
        <w:tblLayout w:type="fixed"/>
        <w:tblCellMar>
          <w:left w:w="10" w:type="dxa"/>
          <w:right w:w="10" w:type="dxa"/>
        </w:tblCellMar>
        <w:tblLook w:val="04A0" w:firstRow="1" w:lastRow="0" w:firstColumn="1" w:lastColumn="0" w:noHBand="0" w:noVBand="1"/>
      </w:tblPr>
      <w:tblGrid>
        <w:gridCol w:w="2050"/>
        <w:gridCol w:w="926"/>
        <w:gridCol w:w="922"/>
        <w:gridCol w:w="926"/>
        <w:gridCol w:w="922"/>
        <w:gridCol w:w="931"/>
      </w:tblGrid>
      <w:tr w:rsidR="00A907A5" w:rsidRPr="00271E51" w14:paraId="30D30D34"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65703C8"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Характеристика/тип пушки</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338D02B"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596EA85"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«Виккерс» 3</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69AFD58B"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М4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9A01E8C"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НС-37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EC0ADAA"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ВЯ</w:t>
            </w:r>
          </w:p>
        </w:tc>
      </w:tr>
      <w:tr w:rsidR="00A907A5" w:rsidRPr="00271E51" w14:paraId="78DE062C"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BAE517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Калибр, мм</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97735D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D585DA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20CC6F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F3B18D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935327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23</w:t>
            </w:r>
          </w:p>
        </w:tc>
      </w:tr>
      <w:tr w:rsidR="00A907A5" w:rsidRPr="00271E51" w14:paraId="2E9D1080" w14:textId="77777777" w:rsidTr="00ED5B0A">
        <w:trPr>
          <w:trHeight w:val="226"/>
        </w:trPr>
        <w:tc>
          <w:tcPr>
            <w:tcW w:w="2050" w:type="dxa"/>
            <w:tcBorders>
              <w:top w:val="single" w:sz="4" w:space="0" w:color="auto"/>
              <w:left w:val="single" w:sz="4" w:space="0" w:color="auto"/>
              <w:right w:val="single" w:sz="4" w:space="0" w:color="auto"/>
            </w:tcBorders>
            <w:shd w:val="clear" w:color="auto" w:fill="FFFFFF"/>
          </w:tcPr>
          <w:p w14:paraId="789FCB5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926" w:type="dxa"/>
            <w:tcBorders>
              <w:top w:val="single" w:sz="4" w:space="0" w:color="auto"/>
              <w:left w:val="single" w:sz="4" w:space="0" w:color="auto"/>
              <w:right w:val="single" w:sz="4" w:space="0" w:color="auto"/>
            </w:tcBorders>
            <w:shd w:val="clear" w:color="auto" w:fill="FFFFFF"/>
          </w:tcPr>
          <w:p w14:paraId="2549483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0763231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6" w:type="dxa"/>
            <w:tcBorders>
              <w:top w:val="single" w:sz="4" w:space="0" w:color="auto"/>
              <w:left w:val="single" w:sz="4" w:space="0" w:color="auto"/>
              <w:right w:val="single" w:sz="4" w:space="0" w:color="auto"/>
            </w:tcBorders>
            <w:shd w:val="clear" w:color="auto" w:fill="FFFFFF"/>
          </w:tcPr>
          <w:p w14:paraId="01461867"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22" w:type="dxa"/>
            <w:tcBorders>
              <w:top w:val="single" w:sz="4" w:space="0" w:color="auto"/>
              <w:left w:val="single" w:sz="4" w:space="0" w:color="auto"/>
              <w:right w:val="single" w:sz="4" w:space="0" w:color="auto"/>
            </w:tcBorders>
            <w:shd w:val="clear" w:color="auto" w:fill="FFFFFF"/>
          </w:tcPr>
          <w:p w14:paraId="7922E23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Отдача при</w:t>
            </w:r>
          </w:p>
        </w:tc>
        <w:tc>
          <w:tcPr>
            <w:tcW w:w="931" w:type="dxa"/>
            <w:tcBorders>
              <w:top w:val="single" w:sz="4" w:space="0" w:color="auto"/>
              <w:left w:val="single" w:sz="4" w:space="0" w:color="auto"/>
              <w:right w:val="single" w:sz="4" w:space="0" w:color="auto"/>
            </w:tcBorders>
            <w:shd w:val="clear" w:color="auto" w:fill="FFFFFF"/>
          </w:tcPr>
          <w:p w14:paraId="4A4E083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Отвод газов</w:t>
            </w:r>
          </w:p>
        </w:tc>
      </w:tr>
      <w:tr w:rsidR="00A907A5" w:rsidRPr="00271E51" w14:paraId="78447B50" w14:textId="77777777" w:rsidTr="00ED5B0A">
        <w:trPr>
          <w:trHeight w:val="197"/>
        </w:trPr>
        <w:tc>
          <w:tcPr>
            <w:tcW w:w="2050" w:type="dxa"/>
            <w:tcBorders>
              <w:left w:val="single" w:sz="4" w:space="0" w:color="auto"/>
              <w:right w:val="single" w:sz="4" w:space="0" w:color="auto"/>
            </w:tcBorders>
            <w:shd w:val="clear" w:color="auto" w:fill="FFFFFF"/>
          </w:tcPr>
          <w:p w14:paraId="5A8ECA07"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Принцип действия</w:t>
            </w:r>
          </w:p>
        </w:tc>
        <w:tc>
          <w:tcPr>
            <w:tcW w:w="926" w:type="dxa"/>
            <w:tcBorders>
              <w:left w:val="single" w:sz="4" w:space="0" w:color="auto"/>
              <w:right w:val="single" w:sz="4" w:space="0" w:color="auto"/>
            </w:tcBorders>
            <w:shd w:val="clear" w:color="auto" w:fill="FFFFFF"/>
          </w:tcPr>
          <w:p w14:paraId="32E94BF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3B14A31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длинном</w:t>
            </w:r>
          </w:p>
        </w:tc>
        <w:tc>
          <w:tcPr>
            <w:tcW w:w="926" w:type="dxa"/>
            <w:tcBorders>
              <w:left w:val="single" w:sz="4" w:space="0" w:color="auto"/>
              <w:right w:val="single" w:sz="4" w:space="0" w:color="auto"/>
            </w:tcBorders>
            <w:shd w:val="clear" w:color="auto" w:fill="FFFFFF"/>
          </w:tcPr>
          <w:p w14:paraId="21C0969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22" w:type="dxa"/>
            <w:tcBorders>
              <w:left w:val="single" w:sz="4" w:space="0" w:color="auto"/>
              <w:right w:val="single" w:sz="4" w:space="0" w:color="auto"/>
            </w:tcBorders>
            <w:shd w:val="clear" w:color="auto" w:fill="FFFFFF"/>
          </w:tcPr>
          <w:p w14:paraId="745D3F3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коротком</w:t>
            </w:r>
          </w:p>
        </w:tc>
        <w:tc>
          <w:tcPr>
            <w:tcW w:w="931" w:type="dxa"/>
            <w:tcBorders>
              <w:left w:val="single" w:sz="4" w:space="0" w:color="auto"/>
              <w:right w:val="single" w:sz="4" w:space="0" w:color="auto"/>
            </w:tcBorders>
            <w:shd w:val="clear" w:color="auto" w:fill="FFFFFF"/>
          </w:tcPr>
          <w:p w14:paraId="3850366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из канала</w:t>
            </w:r>
          </w:p>
        </w:tc>
      </w:tr>
      <w:tr w:rsidR="00A907A5" w:rsidRPr="00271E51" w14:paraId="574BA10E" w14:textId="77777777" w:rsidTr="00ED5B0A">
        <w:trPr>
          <w:trHeight w:val="163"/>
        </w:trPr>
        <w:tc>
          <w:tcPr>
            <w:tcW w:w="2050" w:type="dxa"/>
            <w:tcBorders>
              <w:left w:val="single" w:sz="4" w:space="0" w:color="auto"/>
              <w:bottom w:val="single" w:sz="4" w:space="0" w:color="auto"/>
              <w:right w:val="single" w:sz="4" w:space="0" w:color="auto"/>
            </w:tcBorders>
            <w:shd w:val="clear" w:color="auto" w:fill="FFFFFF"/>
          </w:tcPr>
          <w:p w14:paraId="763BA11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926" w:type="dxa"/>
            <w:tcBorders>
              <w:left w:val="single" w:sz="4" w:space="0" w:color="auto"/>
              <w:bottom w:val="single" w:sz="4" w:space="0" w:color="auto"/>
              <w:right w:val="single" w:sz="4" w:space="0" w:color="auto"/>
            </w:tcBorders>
            <w:shd w:val="clear" w:color="auto" w:fill="FFFFFF"/>
          </w:tcPr>
          <w:p w14:paraId="68A031C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64A3205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6" w:type="dxa"/>
            <w:tcBorders>
              <w:left w:val="single" w:sz="4" w:space="0" w:color="auto"/>
              <w:bottom w:val="single" w:sz="4" w:space="0" w:color="auto"/>
              <w:right w:val="single" w:sz="4" w:space="0" w:color="auto"/>
            </w:tcBorders>
            <w:shd w:val="clear" w:color="auto" w:fill="FFFFFF"/>
          </w:tcPr>
          <w:p w14:paraId="611DBE5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22" w:type="dxa"/>
            <w:tcBorders>
              <w:left w:val="single" w:sz="4" w:space="0" w:color="auto"/>
              <w:bottom w:val="single" w:sz="4" w:space="0" w:color="auto"/>
              <w:right w:val="single" w:sz="4" w:space="0" w:color="auto"/>
            </w:tcBorders>
            <w:shd w:val="clear" w:color="auto" w:fill="FFFFFF"/>
          </w:tcPr>
          <w:p w14:paraId="4D1CFE87"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ходе ствола</w:t>
            </w:r>
          </w:p>
        </w:tc>
        <w:tc>
          <w:tcPr>
            <w:tcW w:w="931" w:type="dxa"/>
            <w:tcBorders>
              <w:left w:val="single" w:sz="4" w:space="0" w:color="auto"/>
              <w:bottom w:val="single" w:sz="4" w:space="0" w:color="auto"/>
              <w:right w:val="single" w:sz="4" w:space="0" w:color="auto"/>
            </w:tcBorders>
            <w:shd w:val="clear" w:color="auto" w:fill="FFFFFF"/>
          </w:tcPr>
          <w:p w14:paraId="6C5D6DD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ствола</w:t>
            </w:r>
          </w:p>
        </w:tc>
      </w:tr>
      <w:tr w:rsidR="00A907A5" w:rsidRPr="00271E51" w14:paraId="5EE8576E"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B6E68B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Питание</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5B4B53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097B17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67F7FC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Магазин</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45546C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Звеньевое</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688887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Зеньевое</w:t>
            </w:r>
          </w:p>
        </w:tc>
      </w:tr>
      <w:tr w:rsidR="00A907A5" w:rsidRPr="00271E51" w14:paraId="673EB09B"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6F102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Темп стрельбы, выстр./мин</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CA441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FA2DD2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110</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60A0C5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A89097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250</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563C6D6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600</w:t>
            </w:r>
          </w:p>
        </w:tc>
      </w:tr>
      <w:tr w:rsidR="00A907A5" w:rsidRPr="00271E51" w14:paraId="57E8A36C"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6B0A2B7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Начальная скорость, м/с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033139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781</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2830562"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585</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7725AA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390D20B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878</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7AD217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915</w:t>
            </w:r>
          </w:p>
        </w:tc>
      </w:tr>
      <w:tr w:rsidR="00A907A5" w:rsidRPr="00271E51" w14:paraId="7AEF0C8E"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2D248F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пушки,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2846FB3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61F1BC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157,7</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2799C1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108</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7E66601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162,5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3882547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66</w:t>
            </w:r>
          </w:p>
        </w:tc>
      </w:tr>
      <w:tr w:rsidR="00A907A5" w:rsidRPr="00271E51" w14:paraId="6AB7C3B4"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3FC18DA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снаряда,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F65543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D5C42B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1,041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0778D2E2"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0,65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413EDE9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0,732</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3ED894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0,197</w:t>
            </w:r>
          </w:p>
        </w:tc>
      </w:tr>
      <w:tr w:rsidR="00A907A5" w:rsidRPr="00271E51" w14:paraId="08E35EF6" w14:textId="77777777" w:rsidTr="00ED5B0A">
        <w:trPr>
          <w:trHeight w:val="202"/>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26DBAD9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Вес секундного залпа,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49FC54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4,44</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1060614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C80BFE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1,63</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24DE17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3,05</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0CFA46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1,97</w:t>
            </w:r>
          </w:p>
        </w:tc>
      </w:tr>
      <w:tr w:rsidR="00A907A5" w:rsidRPr="00271E51" w14:paraId="58446C02"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15BEBEC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энергия, кг</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1AA006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33110</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1DF6CE2"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18158</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7360C34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12327</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231AA2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28761</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2659A61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w:t>
            </w:r>
          </w:p>
        </w:tc>
      </w:tr>
      <w:tr w:rsidR="00A907A5" w:rsidRPr="00271E51" w14:paraId="2B480AA2" w14:textId="77777777" w:rsidTr="00ED5B0A">
        <w:trPr>
          <w:trHeight w:val="206"/>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53F06B6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Дульная мощность, кг/с</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4955571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137956</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69FACCD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33289</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5590685C"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30819</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2000639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119837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49FA883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84064</w:t>
            </w:r>
          </w:p>
        </w:tc>
      </w:tr>
      <w:tr w:rsidR="00A907A5" w:rsidRPr="00271E51" w14:paraId="3D9003E6" w14:textId="77777777" w:rsidTr="00ED5B0A">
        <w:trPr>
          <w:trHeight w:val="211"/>
        </w:trPr>
        <w:tc>
          <w:tcPr>
            <w:tcW w:w="2050" w:type="dxa"/>
            <w:tcBorders>
              <w:top w:val="single" w:sz="4" w:space="0" w:color="auto"/>
              <w:left w:val="single" w:sz="4" w:space="0" w:color="auto"/>
              <w:bottom w:val="single" w:sz="4" w:space="0" w:color="auto"/>
              <w:right w:val="single" w:sz="4" w:space="0" w:color="auto"/>
            </w:tcBorders>
            <w:shd w:val="clear" w:color="auto" w:fill="FFFFFF"/>
          </w:tcPr>
          <w:p w14:paraId="05CCB73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Показатель качества оружия</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199E05C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842</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5E4FCD9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211</w:t>
            </w:r>
          </w:p>
        </w:tc>
        <w:tc>
          <w:tcPr>
            <w:tcW w:w="926" w:type="dxa"/>
            <w:tcBorders>
              <w:top w:val="single" w:sz="4" w:space="0" w:color="auto"/>
              <w:left w:val="single" w:sz="4" w:space="0" w:color="auto"/>
              <w:bottom w:val="single" w:sz="4" w:space="0" w:color="auto"/>
              <w:right w:val="single" w:sz="4" w:space="0" w:color="auto"/>
            </w:tcBorders>
            <w:shd w:val="clear" w:color="auto" w:fill="FFFFFF"/>
          </w:tcPr>
          <w:p w14:paraId="368E620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922" w:type="dxa"/>
            <w:tcBorders>
              <w:top w:val="single" w:sz="4" w:space="0" w:color="auto"/>
              <w:left w:val="single" w:sz="4" w:space="0" w:color="auto"/>
              <w:bottom w:val="single" w:sz="4" w:space="0" w:color="auto"/>
              <w:right w:val="single" w:sz="4" w:space="0" w:color="auto"/>
            </w:tcBorders>
            <w:shd w:val="clear" w:color="auto" w:fill="FFFFFF"/>
          </w:tcPr>
          <w:p w14:paraId="0F53C0C0"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737</w:t>
            </w:r>
          </w:p>
        </w:tc>
        <w:tc>
          <w:tcPr>
            <w:tcW w:w="931" w:type="dxa"/>
            <w:tcBorders>
              <w:top w:val="single" w:sz="4" w:space="0" w:color="auto"/>
              <w:left w:val="single" w:sz="4" w:space="0" w:color="auto"/>
              <w:bottom w:val="single" w:sz="4" w:space="0" w:color="auto"/>
              <w:right w:val="single" w:sz="4" w:space="0" w:color="auto"/>
            </w:tcBorders>
            <w:shd w:val="clear" w:color="auto" w:fill="FFFFFF"/>
          </w:tcPr>
          <w:p w14:paraId="1B16322F"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1274</w:t>
            </w:r>
          </w:p>
        </w:tc>
      </w:tr>
    </w:tbl>
    <w:p w14:paraId="58F26BB0"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Как положительный факт отмечалась простая эксплуатация пушек: «пушки ос</w:t>
      </w:r>
      <w:r w:rsidRPr="00271E51">
        <w:rPr>
          <w:rFonts w:ascii="Times New Roman" w:hAnsi="Times New Roman" w:cs="Times New Roman"/>
          <w:color w:val="000000" w:themeColor="text1"/>
          <w:sz w:val="16"/>
          <w:szCs w:val="16"/>
        </w:rPr>
        <w:softHyphen/>
        <w:t>ваиваются техническим составом легко и быстро». Подходы к пушкам удобные. Зарядка магазина производилась непо</w:t>
      </w:r>
      <w:r w:rsidRPr="00271E51">
        <w:rPr>
          <w:rFonts w:ascii="Times New Roman" w:hAnsi="Times New Roman" w:cs="Times New Roman"/>
          <w:color w:val="000000" w:themeColor="text1"/>
          <w:sz w:val="16"/>
          <w:szCs w:val="16"/>
        </w:rPr>
        <w:softHyphen/>
        <w:t>средственно на самолете. При двух рабо</w:t>
      </w:r>
      <w:r w:rsidRPr="00271E51">
        <w:rPr>
          <w:rFonts w:ascii="Times New Roman" w:hAnsi="Times New Roman" w:cs="Times New Roman"/>
          <w:color w:val="000000" w:themeColor="text1"/>
          <w:sz w:val="16"/>
          <w:szCs w:val="16"/>
        </w:rPr>
        <w:softHyphen/>
        <w:t>тающих техниках на приведение в боевую готовность одной пушки после стрельбы (снятие обтекателя пушки, частичная раз</w:t>
      </w:r>
      <w:r w:rsidRPr="00271E51">
        <w:rPr>
          <w:rFonts w:ascii="Times New Roman" w:hAnsi="Times New Roman" w:cs="Times New Roman"/>
          <w:color w:val="000000" w:themeColor="text1"/>
          <w:sz w:val="16"/>
          <w:szCs w:val="16"/>
        </w:rPr>
        <w:softHyphen/>
        <w:t>борка, чистка и смазка пушки, зарядка ма</w:t>
      </w:r>
      <w:r w:rsidRPr="00271E51">
        <w:rPr>
          <w:rFonts w:ascii="Times New Roman" w:hAnsi="Times New Roman" w:cs="Times New Roman"/>
          <w:color w:val="000000" w:themeColor="text1"/>
          <w:sz w:val="16"/>
          <w:szCs w:val="16"/>
        </w:rPr>
        <w:softHyphen/>
        <w:t>газина, постановка обтекателя) уходило не более 26 мин, в том числе всего 2 мин - на зарядку пушки.</w:t>
      </w:r>
    </w:p>
    <w:p w14:paraId="671A36A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тронного ящика, чистка, смазка, укладка ленты в ящик, зарядка пулемета и закрытие лючка) около 20 мин, подготовка оружия занимала не более полутора часов.</w:t>
      </w:r>
    </w:p>
    <w:p w14:paraId="73B0485C"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ходе стрельб пушки и пушечные установки показали высокую надежность. Если исключить из рассмотрения резуль</w:t>
      </w:r>
      <w:r w:rsidRPr="00271E51">
        <w:rPr>
          <w:rFonts w:ascii="Times New Roman" w:hAnsi="Times New Roman" w:cs="Times New Roman"/>
          <w:color w:val="000000" w:themeColor="text1"/>
          <w:sz w:val="16"/>
          <w:szCs w:val="16"/>
        </w:rPr>
        <w:softHyphen/>
        <w:t>таты стрельбы на большой высоте (7500- 8000 м), то процент задержек в стрельбе по вине пушек составил всего 0,16%, а пулеметов 0,13% от общего числа выстре</w:t>
      </w:r>
      <w:r w:rsidRPr="00271E51">
        <w:rPr>
          <w:rFonts w:ascii="Times New Roman" w:hAnsi="Times New Roman" w:cs="Times New Roman"/>
          <w:color w:val="000000" w:themeColor="text1"/>
          <w:sz w:val="16"/>
          <w:szCs w:val="16"/>
        </w:rPr>
        <w:softHyphen/>
        <w:t>лов. При этом после устранения дефекта, вызвавшего задержку в стрельбе пушки, отказы пушек больше не повторялись. По пулеметам все отказы относились только 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4CD4F67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21013065"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45AA466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305B50E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5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72DAA5BB"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A3BA14F"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CA8230D"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79556AE8"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CF34788"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C0C12FB"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76411A92"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3AA548C1"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71E4D560"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5846EE6B"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914D977"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FE77EAD"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EF38186"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4EBCC0E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A40515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507DCCD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0527A06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C4182E2"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1E905EEB" w14:textId="77777777" w:rsidTr="00ED5B0A">
        <w:trPr>
          <w:trHeight w:val="60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435624D"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F08FF3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73483C8"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4B0412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8C1846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3009B6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4956F5F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827EBD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23962AD9"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Несмотря на больший калибр, броне- пробиваемость английской пушки оказа</w:t>
      </w:r>
      <w:r w:rsidRPr="00271E51">
        <w:rPr>
          <w:rFonts w:ascii="Times New Roman" w:hAnsi="Times New Roman" w:cs="Times New Roman"/>
          <w:color w:val="000000" w:themeColor="text1"/>
          <w:sz w:val="16"/>
          <w:szCs w:val="16"/>
        </w:rPr>
        <w:softHyphen/>
        <w:t>лась хуже отечественной пушки калибра 37 мм НС-37. С дистанции 300 м броне</w:t>
      </w:r>
      <w:r w:rsidRPr="00271E51">
        <w:rPr>
          <w:rFonts w:ascii="Times New Roman" w:hAnsi="Times New Roman" w:cs="Times New Roman"/>
          <w:color w:val="000000" w:themeColor="text1"/>
          <w:sz w:val="16"/>
          <w:szCs w:val="16"/>
        </w:rPr>
        <w:softHyphen/>
        <w:t>бойный снаряд к пушке НС-37 пробивал при нормальном попадании до 48,3 мм гомогенной танковой брони, тогда как бронебойный снаряд к пушке Виккерс 5 - только 38-41 мм.</w:t>
      </w:r>
    </w:p>
    <w:p w14:paraId="52F699A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Советские истребители Як-9т и ЛаГГ- 3, хотя и имели несколько меньший вес се</w:t>
      </w:r>
      <w:r w:rsidRPr="00271E51">
        <w:rPr>
          <w:rFonts w:ascii="Times New Roman" w:hAnsi="Times New Roman" w:cs="Times New Roman"/>
          <w:color w:val="000000" w:themeColor="text1"/>
          <w:sz w:val="16"/>
          <w:szCs w:val="16"/>
        </w:rPr>
        <w:softHyphen/>
        <w:t>кундного залпа, но заметно превосходили английский истребитель танков по летным данным.</w:t>
      </w:r>
    </w:p>
    <w:p w14:paraId="59708450"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Наступательное стрелково-пушечное вооружение Ил-2 по сравнению с оружи</w:t>
      </w:r>
      <w:r w:rsidRPr="00271E51">
        <w:rPr>
          <w:rFonts w:ascii="Times New Roman" w:hAnsi="Times New Roman" w:cs="Times New Roman"/>
          <w:color w:val="000000" w:themeColor="text1"/>
          <w:sz w:val="16"/>
          <w:szCs w:val="16"/>
        </w:rPr>
        <w:softHyphen/>
        <w:t>ем «Харрикейн» 1Ю имело почти в 1,5 раза больший вес секундного залпа. При этом боекомплект к пушкам у Ил-2 по времени непрерывной стрельбы был также больше. Если принять во внимание значительно лучшее бронирование самолета Ил-2, на</w:t>
      </w:r>
      <w:r w:rsidRPr="00271E51">
        <w:rPr>
          <w:rFonts w:ascii="Times New Roman" w:hAnsi="Times New Roman" w:cs="Times New Roman"/>
          <w:color w:val="000000" w:themeColor="text1"/>
          <w:sz w:val="16"/>
          <w:szCs w:val="16"/>
        </w:rPr>
        <w:softHyphen/>
        <w:t>личие обороны задней полусферы и бом</w:t>
      </w:r>
      <w:r w:rsidRPr="00271E51">
        <w:rPr>
          <w:rFonts w:ascii="Times New Roman" w:hAnsi="Times New Roman" w:cs="Times New Roman"/>
          <w:color w:val="000000" w:themeColor="text1"/>
          <w:sz w:val="16"/>
          <w:szCs w:val="16"/>
        </w:rPr>
        <w:softHyphen/>
        <w:t>бового вооружения, то преимущество его системы вооружения считались несомнен</w:t>
      </w:r>
      <w:r w:rsidRPr="00271E51">
        <w:rPr>
          <w:rFonts w:ascii="Times New Roman" w:hAnsi="Times New Roman" w:cs="Times New Roman"/>
          <w:color w:val="000000" w:themeColor="text1"/>
          <w:sz w:val="16"/>
          <w:szCs w:val="16"/>
        </w:rPr>
        <w:softHyphen/>
        <w:t>ными.</w:t>
      </w:r>
    </w:p>
    <w:p w14:paraId="4C90CE3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Зато у «Харрикейна» было другое пре</w:t>
      </w:r>
      <w:r w:rsidRPr="00271E51">
        <w:rPr>
          <w:rFonts w:ascii="Times New Roman" w:hAnsi="Times New Roman" w:cs="Times New Roman"/>
          <w:color w:val="000000" w:themeColor="text1"/>
          <w:sz w:val="16"/>
          <w:szCs w:val="16"/>
        </w:rPr>
        <w:softHyphen/>
        <w:t>имущество. Рассеивание нескольких оче</w:t>
      </w:r>
      <w:r w:rsidRPr="00271E51">
        <w:rPr>
          <w:rFonts w:ascii="Times New Roman" w:hAnsi="Times New Roman" w:cs="Times New Roman"/>
          <w:color w:val="000000" w:themeColor="text1"/>
          <w:sz w:val="16"/>
          <w:szCs w:val="16"/>
        </w:rPr>
        <w:softHyphen/>
        <w:t>редей при стрельбе в воздухе из пушек по полотнищам, расположенным на земле, у самолета «Харрикейн» оказалось при</w:t>
      </w:r>
      <w:r w:rsidRPr="00271E51">
        <w:rPr>
          <w:rFonts w:ascii="Times New Roman" w:hAnsi="Times New Roman" w:cs="Times New Roman"/>
          <w:color w:val="000000" w:themeColor="text1"/>
          <w:sz w:val="16"/>
          <w:szCs w:val="16"/>
        </w:rPr>
        <w:softHyphen/>
        <w:t>мерно в 2-2,5 раза меньше, чем у само</w:t>
      </w:r>
      <w:r w:rsidRPr="00271E51">
        <w:rPr>
          <w:rFonts w:ascii="Times New Roman" w:hAnsi="Times New Roman" w:cs="Times New Roman"/>
          <w:color w:val="000000" w:themeColor="text1"/>
          <w:sz w:val="16"/>
          <w:szCs w:val="16"/>
        </w:rPr>
        <w:softHyphen/>
        <w:t>летов ЛаГГ-3 и Як-9т с пушкой НС-37, и в 6-6,5 раз меньше, чем у самолета Ил-2 с пушками НС-37. Смещение центров груп</w:t>
      </w:r>
      <w:r w:rsidRPr="00271E51">
        <w:rPr>
          <w:rFonts w:ascii="Times New Roman" w:hAnsi="Times New Roman" w:cs="Times New Roman"/>
          <w:color w:val="000000" w:themeColor="text1"/>
          <w:sz w:val="16"/>
          <w:szCs w:val="16"/>
        </w:rPr>
        <w:softHyphen/>
        <w:t>пирования попаданий по отношению точки наводки прицела у самолета «Харрикейн» меньше, чем у Ил-2 с НС-37 примерно в 4-11 раз меньше.</w:t>
      </w:r>
    </w:p>
    <w:p w14:paraId="6A434BE6"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Рассеивание при стрельбе в воздухе из пушек у самолета «Харрикейн» 1Ю, по сравнению с рассеиванием при стрельбе на земле, возрастало в 10-18 раз, а у само</w:t>
      </w:r>
      <w:r w:rsidRPr="00271E51">
        <w:rPr>
          <w:rFonts w:ascii="Times New Roman" w:hAnsi="Times New Roman" w:cs="Times New Roman"/>
          <w:color w:val="000000" w:themeColor="text1"/>
          <w:sz w:val="16"/>
          <w:szCs w:val="16"/>
        </w:rPr>
        <w:softHyphen/>
        <w:t>лета Ил-2 - в 30-100 раз. Следовательно, ведение прицельного огня в воздухе с самолета «Харрикейн» 1Ю «значительно удобнее и точнее, чем со сравниваемыми отечественными самолетами».к правому пулемету, который имел «не</w:t>
      </w:r>
      <w:r w:rsidRPr="00271E51">
        <w:rPr>
          <w:rFonts w:ascii="Times New Roman" w:hAnsi="Times New Roman" w:cs="Times New Roman"/>
          <w:color w:val="000000" w:themeColor="text1"/>
          <w:sz w:val="16"/>
          <w:szCs w:val="16"/>
        </w:rPr>
        <w:softHyphen/>
        <w:t>устранимый дефект - тугой ход подвиж</w:t>
      </w:r>
      <w:r w:rsidRPr="00271E51">
        <w:rPr>
          <w:rFonts w:ascii="Times New Roman" w:hAnsi="Times New Roman" w:cs="Times New Roman"/>
          <w:color w:val="000000" w:themeColor="text1"/>
          <w:sz w:val="16"/>
          <w:szCs w:val="16"/>
        </w:rPr>
        <w:softHyphen/>
        <w:t>ных частей, не зависящий от конструкции оружия».</w:t>
      </w:r>
    </w:p>
    <w:p w14:paraId="32C39A6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вине пушечной установки задержек не было вовсе. Пневмосистема и электроп</w:t>
      </w:r>
      <w:r w:rsidRPr="00271E51">
        <w:rPr>
          <w:rFonts w:ascii="Times New Roman" w:hAnsi="Times New Roman" w:cs="Times New Roman"/>
          <w:color w:val="000000" w:themeColor="text1"/>
          <w:sz w:val="16"/>
          <w:szCs w:val="16"/>
        </w:rPr>
        <w:softHyphen/>
        <w:t>невматическое управление вооружением работали надежно и безотказно.</w:t>
      </w:r>
    </w:p>
    <w:p w14:paraId="15087309"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Имелись и недостатки. Пушки было трудно снаряжать - «стеснен подход к ру</w:t>
      </w:r>
      <w:r w:rsidRPr="00271E51">
        <w:rPr>
          <w:rFonts w:ascii="Times New Roman" w:hAnsi="Times New Roman" w:cs="Times New Roman"/>
          <w:color w:val="000000" w:themeColor="text1"/>
          <w:sz w:val="16"/>
          <w:szCs w:val="16"/>
        </w:rPr>
        <w:softHyphen/>
        <w:t>коятке магазина при заряжании, особенно при зимней эксплуатации». Конструкция защелок, фиксирующих положение руко</w:t>
      </w:r>
      <w:r w:rsidRPr="00271E51">
        <w:rPr>
          <w:rFonts w:ascii="Times New Roman" w:hAnsi="Times New Roman" w:cs="Times New Roman"/>
          <w:color w:val="000000" w:themeColor="text1"/>
          <w:sz w:val="16"/>
          <w:szCs w:val="16"/>
        </w:rPr>
        <w:softHyphen/>
        <w:t>ятки магазина, оказалась неудачной и не</w:t>
      </w:r>
      <w:r w:rsidRPr="00271E51">
        <w:rPr>
          <w:rFonts w:ascii="Times New Roman" w:hAnsi="Times New Roman" w:cs="Times New Roman"/>
          <w:color w:val="000000" w:themeColor="text1"/>
          <w:sz w:val="16"/>
          <w:szCs w:val="16"/>
        </w:rPr>
        <w:softHyphen/>
        <w:t>прочной. Окно магазина пушки распола</w:t>
      </w:r>
      <w:r w:rsidRPr="00271E51">
        <w:rPr>
          <w:rFonts w:ascii="Times New Roman" w:hAnsi="Times New Roman" w:cs="Times New Roman"/>
          <w:color w:val="000000" w:themeColor="text1"/>
          <w:sz w:val="16"/>
          <w:szCs w:val="16"/>
        </w:rPr>
        <w:softHyphen/>
        <w:t>галось крайне неудобно, что затрудняло работу при снаряжении магазина патро</w:t>
      </w:r>
      <w:r w:rsidRPr="00271E51">
        <w:rPr>
          <w:rFonts w:ascii="Times New Roman" w:hAnsi="Times New Roman" w:cs="Times New Roman"/>
          <w:color w:val="000000" w:themeColor="text1"/>
          <w:sz w:val="16"/>
          <w:szCs w:val="16"/>
        </w:rPr>
        <w:softHyphen/>
        <w:t>нами. К тому же можно было повредить руки. Гильзоотводное окно имело разме</w:t>
      </w:r>
      <w:r w:rsidRPr="00271E51">
        <w:rPr>
          <w:rFonts w:ascii="Times New Roman" w:hAnsi="Times New Roman" w:cs="Times New Roman"/>
          <w:color w:val="000000" w:themeColor="text1"/>
          <w:sz w:val="16"/>
          <w:szCs w:val="16"/>
        </w:rPr>
        <w:softHyphen/>
        <w:t>ры ровно под размер гильзы, поэтому для извлечения гильзы или снаряда из патрон</w:t>
      </w:r>
      <w:r w:rsidRPr="00271E51">
        <w:rPr>
          <w:rFonts w:ascii="Times New Roman" w:hAnsi="Times New Roman" w:cs="Times New Roman"/>
          <w:color w:val="000000" w:themeColor="text1"/>
          <w:sz w:val="16"/>
          <w:szCs w:val="16"/>
        </w:rPr>
        <w:softHyphen/>
        <w:t>ника необходимо было производить не</w:t>
      </w:r>
      <w:r w:rsidRPr="00271E51">
        <w:rPr>
          <w:rFonts w:ascii="Times New Roman" w:hAnsi="Times New Roman" w:cs="Times New Roman"/>
          <w:color w:val="000000" w:themeColor="text1"/>
          <w:sz w:val="16"/>
          <w:szCs w:val="16"/>
        </w:rPr>
        <w:softHyphen/>
        <w:t>полную разборку пушки. Регулировочное приспособление пушек было выполнено неудачно - «при снятии пушки с самолета нарушается пристрелка». Легкосъемные замки крышек лючков пулеметов в ходе эксплуатации быстро деформировались. Как следствие, открывание и закрывание лючков становилось затруднительным. Обтекатели пушек оказались недостаточ</w:t>
      </w:r>
      <w:r w:rsidRPr="00271E51">
        <w:rPr>
          <w:rFonts w:ascii="Times New Roman" w:hAnsi="Times New Roman" w:cs="Times New Roman"/>
          <w:color w:val="000000" w:themeColor="text1"/>
          <w:sz w:val="16"/>
          <w:szCs w:val="16"/>
        </w:rPr>
        <w:softHyphen/>
        <w:t>но жесткими и при резком выводе из пики</w:t>
      </w:r>
      <w:r w:rsidRPr="00271E51">
        <w:rPr>
          <w:rFonts w:ascii="Times New Roman" w:hAnsi="Times New Roman" w:cs="Times New Roman"/>
          <w:color w:val="000000" w:themeColor="text1"/>
          <w:sz w:val="16"/>
          <w:szCs w:val="16"/>
        </w:rPr>
        <w:softHyphen/>
        <w:t>рования деформировались. Так, старший лейтенант Поминальный 12 декабря при пикировании под углом 55" на выходе из пикирования создал перегрузку близкой к 3 единицам и обтекатели пушек дефор</w:t>
      </w:r>
      <w:r w:rsidRPr="00271E51">
        <w:rPr>
          <w:rFonts w:ascii="Times New Roman" w:hAnsi="Times New Roman" w:cs="Times New Roman"/>
          <w:color w:val="000000" w:themeColor="text1"/>
          <w:sz w:val="16"/>
          <w:szCs w:val="16"/>
        </w:rPr>
        <w:softHyphen/>
        <w:t>мировались.</w:t>
      </w:r>
    </w:p>
    <w:p w14:paraId="0031EA87"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Сравнение летно-боевых качеств «Харрикейн» 1Ю с советскими истребите</w:t>
      </w:r>
      <w:r w:rsidRPr="00271E51">
        <w:rPr>
          <w:rFonts w:ascii="Times New Roman" w:hAnsi="Times New Roman" w:cs="Times New Roman"/>
          <w:color w:val="000000" w:themeColor="text1"/>
          <w:sz w:val="16"/>
          <w:szCs w:val="16"/>
        </w:rPr>
        <w:softHyphen/>
        <w:t>лями Як-9т, ЛаГГ-3 и штурмовиком Ил-2, вооруженных пушками калибра 37 мм НС- 37, оказалось не в пользу «англичанина».</w:t>
      </w:r>
    </w:p>
    <w:p w14:paraId="15FEF0B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Отмечалось, что «пушка Виккерс 3 калибра 40 мм по темпу стрельбы и на</w:t>
      </w:r>
      <w:r w:rsidRPr="00271E51">
        <w:rPr>
          <w:rFonts w:ascii="Times New Roman" w:hAnsi="Times New Roman" w:cs="Times New Roman"/>
          <w:color w:val="000000" w:themeColor="text1"/>
          <w:sz w:val="16"/>
          <w:szCs w:val="16"/>
        </w:rPr>
        <w:softHyphen/>
        <w:t>чальной скорости снаряда стоит ниже современных систем авиационных авто</w:t>
      </w:r>
      <w:r w:rsidRPr="00271E51">
        <w:rPr>
          <w:rFonts w:ascii="Times New Roman" w:hAnsi="Times New Roman" w:cs="Times New Roman"/>
          <w:color w:val="000000" w:themeColor="text1"/>
          <w:sz w:val="16"/>
          <w:szCs w:val="16"/>
        </w:rPr>
        <w:softHyphen/>
        <w:t>матических пушек и значительно ниже от</w:t>
      </w:r>
      <w:r w:rsidRPr="00271E51">
        <w:rPr>
          <w:rFonts w:ascii="Times New Roman" w:hAnsi="Times New Roman" w:cs="Times New Roman"/>
          <w:color w:val="000000" w:themeColor="text1"/>
          <w:sz w:val="16"/>
          <w:szCs w:val="16"/>
        </w:rPr>
        <w:softHyphen/>
        <w:t>ечественной 37-мм пушки НС-37 ОКБ-16». Пушка имеет большой относительный вес. Коэффициент использования металла по отношению к дульной мощности (показа</w:t>
      </w:r>
      <w:r w:rsidRPr="00271E51">
        <w:rPr>
          <w:rFonts w:ascii="Times New Roman" w:hAnsi="Times New Roman" w:cs="Times New Roman"/>
          <w:color w:val="000000" w:themeColor="text1"/>
          <w:sz w:val="16"/>
          <w:szCs w:val="16"/>
        </w:rPr>
        <w:softHyphen/>
        <w:t>тель качества оружия) у Виккерс 5 в 1,35 раза меньше, чем у американской 37-мм пушки М-4, в 3,5 раза меньше, чем у НС-37 и в 4 раза меньше, чем у НС-45.</w:t>
      </w:r>
    </w:p>
    <w:p w14:paraId="70668F99" w14:textId="77777777" w:rsidR="00FC04C9" w:rsidRPr="00271E51" w:rsidRDefault="00FC04C9" w:rsidP="00271E51">
      <w:pPr>
        <w:pStyle w:val="aff1"/>
        <w:shd w:val="clear" w:color="auto" w:fill="auto"/>
        <w:spacing w:line="240" w:lineRule="auto"/>
        <w:rPr>
          <w:rFonts w:ascii="Times New Roman" w:hAnsi="Times New Roman" w:cs="Times New Roman"/>
          <w:i w:val="0"/>
          <w:color w:val="000000" w:themeColor="text1"/>
          <w:sz w:val="16"/>
          <w:szCs w:val="16"/>
          <w:lang w:val="ru-RU"/>
        </w:rPr>
      </w:pPr>
      <w:r w:rsidRPr="00271E51">
        <w:rPr>
          <w:rFonts w:ascii="Times New Roman" w:hAnsi="Times New Roman" w:cs="Times New Roman"/>
          <w:i w:val="0"/>
          <w:color w:val="000000" w:themeColor="text1"/>
          <w:sz w:val="16"/>
          <w:szCs w:val="16"/>
          <w:lang w:val="ru-RU"/>
        </w:rPr>
        <w:t>Деформация обтекателей правой и левой пушек после пикирования и резкого вывода 19.12.43 (старший лейтенант Поминальный)</w:t>
      </w:r>
    </w:p>
    <w:tbl>
      <w:tblPr>
        <w:tblW w:w="0" w:type="auto"/>
        <w:tblLayout w:type="fixed"/>
        <w:tblCellMar>
          <w:left w:w="10" w:type="dxa"/>
          <w:right w:w="10" w:type="dxa"/>
        </w:tblCellMar>
        <w:tblLook w:val="04A0" w:firstRow="1" w:lastRow="0" w:firstColumn="1" w:lastColumn="0" w:noHBand="0" w:noVBand="1"/>
      </w:tblPr>
      <w:tblGrid>
        <w:gridCol w:w="1867"/>
        <w:gridCol w:w="686"/>
        <w:gridCol w:w="883"/>
        <w:gridCol w:w="610"/>
        <w:gridCol w:w="686"/>
        <w:gridCol w:w="547"/>
        <w:gridCol w:w="691"/>
        <w:gridCol w:w="706"/>
      </w:tblGrid>
      <w:tr w:rsidR="00A907A5" w:rsidRPr="00271E51" w14:paraId="7C1593B2"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99FE257"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Калибр, мм</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5BAF619"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0801CC3"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40</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6DDC2C18"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2948AF5"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07A3A4C3"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23</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2BF47275"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5BD7AD06" w14:textId="77777777" w:rsidR="00FC04C9" w:rsidRPr="00271E51" w:rsidRDefault="00FC04C9" w:rsidP="00271E51">
            <w:pPr>
              <w:pStyle w:val="45"/>
              <w:shd w:val="clear" w:color="auto" w:fill="auto"/>
              <w:spacing w:before="0" w:line="240" w:lineRule="auto"/>
              <w:jc w:val="both"/>
              <w:rPr>
                <w:rFonts w:ascii="Times New Roman" w:cs="Times New Roman"/>
                <w:color w:val="000000" w:themeColor="text1"/>
                <w:sz w:val="16"/>
                <w:szCs w:val="16"/>
              </w:rPr>
            </w:pPr>
            <w:r w:rsidRPr="00271E51">
              <w:rPr>
                <w:rFonts w:ascii="Times New Roman" w:cs="Times New Roman"/>
                <w:color w:val="000000" w:themeColor="text1"/>
                <w:sz w:val="16"/>
                <w:szCs w:val="16"/>
              </w:rPr>
              <w:t>20</w:t>
            </w:r>
          </w:p>
        </w:tc>
      </w:tr>
      <w:tr w:rsidR="00A907A5" w:rsidRPr="00271E51" w14:paraId="6495FB5C" w14:textId="77777777" w:rsidTr="00ED5B0A">
        <w:trPr>
          <w:trHeight w:val="206"/>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2D00FA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Характеристика/тип пушки</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2F604A3"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НС-45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131CC22D"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«Виккерс» 3</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5151ED7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М4</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F100C7A"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НС-37</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35BB962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вя</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787B932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«Испано»</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7CA3D14"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МП-20</w:t>
            </w:r>
          </w:p>
        </w:tc>
      </w:tr>
      <w:tr w:rsidR="00A907A5" w:rsidRPr="00271E51" w14:paraId="5E06EAF6" w14:textId="77777777" w:rsidTr="00ED5B0A">
        <w:trPr>
          <w:trHeight w:val="59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68D8E31E"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Бронепробиваемость, толщина/300 м/ 0 град (мм/м/град)</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38DE8E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43,3</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62D2BE1"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39,5</w:t>
            </w:r>
          </w:p>
        </w:tc>
        <w:tc>
          <w:tcPr>
            <w:tcW w:w="610" w:type="dxa"/>
            <w:tcBorders>
              <w:top w:val="single" w:sz="4" w:space="0" w:color="auto"/>
              <w:left w:val="single" w:sz="4" w:space="0" w:color="auto"/>
              <w:bottom w:val="single" w:sz="4" w:space="0" w:color="auto"/>
              <w:right w:val="single" w:sz="4" w:space="0" w:color="auto"/>
            </w:tcBorders>
            <w:shd w:val="clear" w:color="auto" w:fill="FFFFFF"/>
          </w:tcPr>
          <w:p w14:paraId="1DF92C8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7B2E366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48,3</w:t>
            </w:r>
          </w:p>
        </w:tc>
        <w:tc>
          <w:tcPr>
            <w:tcW w:w="547" w:type="dxa"/>
            <w:tcBorders>
              <w:top w:val="single" w:sz="4" w:space="0" w:color="auto"/>
              <w:left w:val="single" w:sz="4" w:space="0" w:color="auto"/>
              <w:bottom w:val="single" w:sz="4" w:space="0" w:color="auto"/>
              <w:right w:val="single" w:sz="4" w:space="0" w:color="auto"/>
            </w:tcBorders>
            <w:shd w:val="clear" w:color="auto" w:fill="FFFFFF"/>
          </w:tcPr>
          <w:p w14:paraId="36EA9EFB"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32,5</w:t>
            </w:r>
          </w:p>
        </w:tc>
        <w:tc>
          <w:tcPr>
            <w:tcW w:w="691" w:type="dxa"/>
            <w:tcBorders>
              <w:top w:val="single" w:sz="4" w:space="0" w:color="auto"/>
              <w:left w:val="single" w:sz="4" w:space="0" w:color="auto"/>
              <w:bottom w:val="single" w:sz="4" w:space="0" w:color="auto"/>
              <w:right w:val="single" w:sz="4" w:space="0" w:color="auto"/>
            </w:tcBorders>
            <w:shd w:val="clear" w:color="auto" w:fill="FFFFFF"/>
          </w:tcPr>
          <w:p w14:paraId="61E1E39D"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28,5</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1E5F579" w14:textId="77777777" w:rsidR="00FC04C9" w:rsidRPr="00271E51" w:rsidRDefault="00FC04C9" w:rsidP="00271E51">
            <w:pPr>
              <w:pStyle w:val="34"/>
              <w:shd w:val="clear" w:color="auto" w:fill="auto"/>
              <w:spacing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19</w:t>
            </w:r>
          </w:p>
        </w:tc>
      </w:tr>
    </w:tbl>
    <w:p w14:paraId="4A70CE8F"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 результатам испытаний самолета «Харрикейн» 1Ю и его вооружения управ</w:t>
      </w:r>
      <w:r w:rsidRPr="00271E51">
        <w:rPr>
          <w:rFonts w:ascii="Times New Roman" w:hAnsi="Times New Roman" w:cs="Times New Roman"/>
          <w:color w:val="000000" w:themeColor="text1"/>
          <w:sz w:val="16"/>
          <w:szCs w:val="16"/>
        </w:rPr>
        <w:softHyphen/>
        <w:t>ление технической эксплуатации ВВС КА в марте 1944 г. специальным информа</w:t>
      </w:r>
      <w:r w:rsidRPr="00271E51">
        <w:rPr>
          <w:rFonts w:ascii="Times New Roman" w:hAnsi="Times New Roman" w:cs="Times New Roman"/>
          <w:color w:val="000000" w:themeColor="text1"/>
          <w:sz w:val="16"/>
          <w:szCs w:val="16"/>
        </w:rPr>
        <w:softHyphen/>
        <w:t>ционным письмом довело до сведения летного и технического состава строевых полков ВВС КА особенности техники пи-</w:t>
      </w:r>
    </w:p>
    <w:p w14:paraId="64B13311"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лотирования самолета и его основные летные данные. Указывалось, что по тех</w:t>
      </w:r>
      <w:r w:rsidRPr="00271E51">
        <w:rPr>
          <w:rFonts w:ascii="Times New Roman" w:hAnsi="Times New Roman" w:cs="Times New Roman"/>
          <w:color w:val="000000" w:themeColor="text1"/>
          <w:sz w:val="16"/>
          <w:szCs w:val="16"/>
        </w:rPr>
        <w:softHyphen/>
        <w:t>нике пилотирования самолет «Харрикейн» 1Ю не отличается от «Харрикейна» ПС. Дальность и продолжительность полета «Харрикейна» 1Ю и Харрикейна» ПС прак</w:t>
      </w:r>
      <w:r w:rsidRPr="00271E51">
        <w:rPr>
          <w:rFonts w:ascii="Times New Roman" w:hAnsi="Times New Roman" w:cs="Times New Roman"/>
          <w:color w:val="000000" w:themeColor="text1"/>
          <w:sz w:val="16"/>
          <w:szCs w:val="16"/>
        </w:rPr>
        <w:softHyphen/>
        <w:t>тически равны. В связи с появлением тря</w:t>
      </w:r>
      <w:r w:rsidRPr="00271E51">
        <w:rPr>
          <w:rFonts w:ascii="Times New Roman" w:hAnsi="Times New Roman" w:cs="Times New Roman"/>
          <w:color w:val="000000" w:themeColor="text1"/>
          <w:sz w:val="16"/>
          <w:szCs w:val="16"/>
        </w:rPr>
        <w:softHyphen/>
        <w:t>ски при скорости порядка 380-385 миль/ч (610-620 км/ч) скорость пикирования са</w:t>
      </w:r>
      <w:r w:rsidRPr="00271E51">
        <w:rPr>
          <w:rFonts w:ascii="Times New Roman" w:hAnsi="Times New Roman" w:cs="Times New Roman"/>
          <w:color w:val="000000" w:themeColor="text1"/>
          <w:sz w:val="16"/>
          <w:szCs w:val="16"/>
        </w:rPr>
        <w:softHyphen/>
        <w:t>молета «Харрикейн» НО ограничивалась 375 миль/ч (600 км/ч).</w:t>
      </w:r>
    </w:p>
    <w:p w14:paraId="7D00FB53"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17 мая 1944 г. заместитель начальни</w:t>
      </w:r>
      <w:r w:rsidRPr="00271E51">
        <w:rPr>
          <w:rFonts w:ascii="Times New Roman" w:hAnsi="Times New Roman" w:cs="Times New Roman"/>
          <w:color w:val="000000" w:themeColor="text1"/>
          <w:sz w:val="16"/>
          <w:szCs w:val="16"/>
        </w:rPr>
        <w:softHyphen/>
        <w:t>ка оперативного управления ВВС КА ге- нерал-майор А.П. Некрасов направил на</w:t>
      </w:r>
      <w:r w:rsidRPr="00271E51">
        <w:rPr>
          <w:rFonts w:ascii="Times New Roman" w:hAnsi="Times New Roman" w:cs="Times New Roman"/>
          <w:color w:val="000000" w:themeColor="text1"/>
          <w:sz w:val="16"/>
          <w:szCs w:val="16"/>
        </w:rPr>
        <w:softHyphen/>
        <w:t>чальнику штаба ВВС генерал-полковнику С.А. Худякову заключение о боевых воз</w:t>
      </w:r>
      <w:r w:rsidRPr="00271E51">
        <w:rPr>
          <w:rFonts w:ascii="Times New Roman" w:hAnsi="Times New Roman" w:cs="Times New Roman"/>
          <w:color w:val="000000" w:themeColor="text1"/>
          <w:sz w:val="16"/>
          <w:szCs w:val="16"/>
        </w:rPr>
        <w:softHyphen/>
        <w:t>можностях самолета «Харрикейн» !Ю.</w:t>
      </w:r>
    </w:p>
    <w:p w14:paraId="29B68B6D"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В документе констатировалось, что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оружия, отсут</w:t>
      </w:r>
      <w:r w:rsidRPr="00271E51">
        <w:rPr>
          <w:rFonts w:ascii="Times New Roman" w:hAnsi="Times New Roman" w:cs="Times New Roman"/>
          <w:color w:val="000000" w:themeColor="text1"/>
          <w:sz w:val="16"/>
          <w:szCs w:val="16"/>
        </w:rPr>
        <w:softHyphen/>
        <w:t>ствия бомбардировочного вооружения и недостаточного бронирования, самолет «Харрикейн» 1Ю не может быть эффек</w:t>
      </w:r>
      <w:r w:rsidRPr="00271E51">
        <w:rPr>
          <w:rFonts w:ascii="Times New Roman" w:hAnsi="Times New Roman" w:cs="Times New Roman"/>
          <w:color w:val="000000" w:themeColor="text1"/>
          <w:sz w:val="16"/>
          <w:szCs w:val="16"/>
        </w:rPr>
        <w:softHyphen/>
        <w:t>тивно использован, как истребитель тан</w:t>
      </w:r>
      <w:r w:rsidRPr="00271E51">
        <w:rPr>
          <w:rFonts w:ascii="Times New Roman" w:hAnsi="Times New Roman" w:cs="Times New Roman"/>
          <w:color w:val="000000" w:themeColor="text1"/>
          <w:sz w:val="16"/>
          <w:szCs w:val="16"/>
        </w:rPr>
        <w:softHyphen/>
        <w:t>ков или штурмовик». Боеприпасы пушек НС-37 калибра 37 мм и ВЯ калибра 23 мм, состоящие из осколочно-зажигательных и бронебойно-зажигательных снарядов, имеют больший разрушающий эффект у цели по сравнению с боеприпасами к пуш</w:t>
      </w:r>
      <w:r w:rsidRPr="00271E51">
        <w:rPr>
          <w:rFonts w:ascii="Times New Roman" w:hAnsi="Times New Roman" w:cs="Times New Roman"/>
          <w:color w:val="000000" w:themeColor="text1"/>
          <w:sz w:val="16"/>
          <w:szCs w:val="16"/>
        </w:rPr>
        <w:softHyphen/>
        <w:t>ке Виккерс 5, а бронебойный снаряд пушки НС-37 обладает к тому же еще и большей бронепробиваемостью.</w:t>
      </w:r>
    </w:p>
    <w:p w14:paraId="5B0F9A3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Внимание руководства обращалось на ненормальную ситуацию со снабжением ВВС КА снарядами к пушкам Виккерс 5. По этому поводу в докладе указывалось: </w:t>
      </w:r>
      <w:r w:rsidRPr="00271E51">
        <w:rPr>
          <w:rStyle w:val="aff6"/>
          <w:rFonts w:ascii="Times New Roman" w:hAnsi="Times New Roman" w:cs="Times New Roman"/>
          <w:i w:val="0"/>
          <w:color w:val="000000" w:themeColor="text1"/>
        </w:rPr>
        <w:t>«Получаемые нами бронебойные снаряды от англичан, являются недозаряженны- ми (нет взрывчатого вещества и донного взрывателя), вследствие чего баллистиче</w:t>
      </w:r>
      <w:r w:rsidRPr="00271E51">
        <w:rPr>
          <w:rStyle w:val="aff6"/>
          <w:rFonts w:ascii="Times New Roman" w:hAnsi="Times New Roman" w:cs="Times New Roman"/>
          <w:i w:val="0"/>
          <w:color w:val="000000" w:themeColor="text1"/>
        </w:rPr>
        <w:softHyphen/>
        <w:t>ские характеристики снарядов плохие и не отвечают тактико-техническим требовани</w:t>
      </w:r>
      <w:r w:rsidRPr="00271E51">
        <w:rPr>
          <w:rStyle w:val="aff6"/>
          <w:rFonts w:ascii="Times New Roman" w:hAnsi="Times New Roman" w:cs="Times New Roman"/>
          <w:i w:val="0"/>
          <w:color w:val="000000" w:themeColor="text1"/>
        </w:rPr>
        <w:softHyphen/>
        <w:t>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толщиной меньше, чем 30 мм, или пла</w:t>
      </w:r>
      <w:r w:rsidRPr="00271E51">
        <w:rPr>
          <w:rStyle w:val="aff6"/>
          <w:rFonts w:ascii="Times New Roman" w:hAnsi="Times New Roman" w:cs="Times New Roman"/>
          <w:i w:val="0"/>
          <w:color w:val="000000" w:themeColor="text1"/>
        </w:rPr>
        <w:softHyphen/>
        <w:t>нер самолета, он способен пробить, но не разрушить, так как снаряд не имеет ни за</w:t>
      </w:r>
      <w:r w:rsidRPr="00271E51">
        <w:rPr>
          <w:rStyle w:val="aff6"/>
          <w:rFonts w:ascii="Times New Roman" w:hAnsi="Times New Roman" w:cs="Times New Roman"/>
          <w:i w:val="0"/>
          <w:color w:val="000000" w:themeColor="text1"/>
        </w:rPr>
        <w:softHyphen/>
        <w:t>жигательного, ни фугасного снаряжения. Поэтому такие снаряды могут быть исполь</w:t>
      </w:r>
      <w:r w:rsidRPr="00271E51">
        <w:rPr>
          <w:rStyle w:val="aff6"/>
          <w:rFonts w:ascii="Times New Roman" w:hAnsi="Times New Roman" w:cs="Times New Roman"/>
          <w:i w:val="0"/>
          <w:color w:val="000000" w:themeColor="text1"/>
        </w:rPr>
        <w:softHyphen/>
        <w:t>зованы для учебных целей или каклафето- пробные. Для поражения самолетов в воз</w:t>
      </w:r>
      <w:r w:rsidRPr="00271E51">
        <w:rPr>
          <w:rStyle w:val="aff6"/>
          <w:rFonts w:ascii="Times New Roman" w:hAnsi="Times New Roman" w:cs="Times New Roman"/>
          <w:i w:val="0"/>
          <w:color w:val="000000" w:themeColor="text1"/>
        </w:rPr>
        <w:softHyphen/>
        <w:t>духе нужны снаряды осколочно-фугасного действия».</w:t>
      </w:r>
    </w:p>
    <w:p w14:paraId="009BB348"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При сопоставимых летных данных у земли основной ударный самолет ВВС КА штурмовик Ил-2 имел значительно более сильное бронирование, бомбардировоч</w:t>
      </w:r>
      <w:r w:rsidRPr="00271E51">
        <w:rPr>
          <w:rFonts w:ascii="Times New Roman" w:hAnsi="Times New Roman" w:cs="Times New Roman"/>
          <w:color w:val="000000" w:themeColor="text1"/>
          <w:sz w:val="16"/>
          <w:szCs w:val="16"/>
        </w:rPr>
        <w:softHyphen/>
        <w:t>ное вооружение и воздушного стрелка для защиты от атак истребителей против</w:t>
      </w:r>
      <w:r w:rsidRPr="00271E51">
        <w:rPr>
          <w:rFonts w:ascii="Times New Roman" w:hAnsi="Times New Roman" w:cs="Times New Roman"/>
          <w:color w:val="000000" w:themeColor="text1"/>
          <w:sz w:val="16"/>
          <w:szCs w:val="16"/>
        </w:rPr>
        <w:softHyphen/>
        <w:t>ника со стороны задней полусферы. По этим причинам боевые качества Ил-2 оценивались специалистами оператив</w:t>
      </w:r>
      <w:r w:rsidRPr="00271E51">
        <w:rPr>
          <w:rFonts w:ascii="Times New Roman" w:hAnsi="Times New Roman" w:cs="Times New Roman"/>
          <w:color w:val="000000" w:themeColor="text1"/>
          <w:sz w:val="16"/>
          <w:szCs w:val="16"/>
        </w:rPr>
        <w:softHyphen/>
        <w:t>ного управления значительно выше, чем «Харрикейна»1Ю.</w:t>
      </w:r>
    </w:p>
    <w:p w14:paraId="70398454"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На основании этого делался вывод, что «самолет «Харрикейн» НО в качестве штурмовика применять нецелесообразно, вследствие слабого могущества выстре</w:t>
      </w:r>
      <w:r w:rsidRPr="00271E51">
        <w:rPr>
          <w:rFonts w:ascii="Times New Roman" w:hAnsi="Times New Roman" w:cs="Times New Roman"/>
          <w:color w:val="000000" w:themeColor="text1"/>
          <w:sz w:val="16"/>
          <w:szCs w:val="16"/>
        </w:rPr>
        <w:softHyphen/>
        <w:t>ла стрелково-пушечного вооружения, от</w:t>
      </w:r>
      <w:r w:rsidRPr="00271E51">
        <w:rPr>
          <w:rFonts w:ascii="Times New Roman" w:hAnsi="Times New Roman" w:cs="Times New Roman"/>
          <w:color w:val="000000" w:themeColor="text1"/>
          <w:sz w:val="16"/>
          <w:szCs w:val="16"/>
        </w:rPr>
        <w:softHyphen/>
        <w:t>сутствия бомбардировочного вооружения и слабого бронирования». Истребитель предлагалось использовать в системе ПВО страны в качестве истребителя-перехват- чика, но при условии использования бое</w:t>
      </w:r>
      <w:r w:rsidRPr="00271E51">
        <w:rPr>
          <w:rFonts w:ascii="Times New Roman" w:hAnsi="Times New Roman" w:cs="Times New Roman"/>
          <w:color w:val="000000" w:themeColor="text1"/>
          <w:sz w:val="16"/>
          <w:szCs w:val="16"/>
        </w:rPr>
        <w:softHyphen/>
        <w:t>припасов «осколочно-трассирующего или осколочно-зажигательного снаряжения».</w:t>
      </w:r>
    </w:p>
    <w:p w14:paraId="69968D0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Известна резолюция генерала Худяко</w:t>
      </w:r>
      <w:r w:rsidRPr="00271E51">
        <w:rPr>
          <w:rStyle w:val="2fa"/>
          <w:rFonts w:ascii="Times New Roman" w:hAnsi="Times New Roman" w:cs="Times New Roman"/>
          <w:i w:val="0"/>
          <w:color w:val="000000" w:themeColor="text1"/>
          <w:sz w:val="16"/>
          <w:szCs w:val="16"/>
        </w:rPr>
        <w:t>ва, которую тот наложил на документ:</w:t>
      </w:r>
      <w:r w:rsidRPr="00271E51">
        <w:rPr>
          <w:rFonts w:ascii="Times New Roman" w:hAnsi="Times New Roman"/>
          <w:color w:val="000000" w:themeColor="text1"/>
          <w:sz w:val="16"/>
          <w:szCs w:val="16"/>
        </w:rPr>
        <w:t xml:space="preserve"> «ОУ. Подготовить справку такого же содержа</w:t>
      </w:r>
      <w:r w:rsidRPr="00271E51">
        <w:rPr>
          <w:rFonts w:ascii="Times New Roman" w:hAnsi="Times New Roman"/>
          <w:color w:val="000000" w:themeColor="text1"/>
          <w:sz w:val="16"/>
          <w:szCs w:val="16"/>
        </w:rPr>
        <w:softHyphen/>
        <w:t>ния главному инженеру ВВС за моей под</w:t>
      </w:r>
      <w:r w:rsidRPr="00271E51">
        <w:rPr>
          <w:rFonts w:ascii="Times New Roman" w:hAnsi="Times New Roman"/>
          <w:color w:val="000000" w:themeColor="text1"/>
          <w:sz w:val="16"/>
          <w:szCs w:val="16"/>
        </w:rPr>
        <w:softHyphen/>
        <w:t>писью».</w:t>
      </w:r>
      <w:r w:rsidRPr="00271E51">
        <w:rPr>
          <w:rStyle w:val="2fa"/>
          <w:rFonts w:ascii="Times New Roman" w:hAnsi="Times New Roman" w:cs="Times New Roman"/>
          <w:i w:val="0"/>
          <w:color w:val="000000" w:themeColor="text1"/>
          <w:sz w:val="16"/>
          <w:szCs w:val="16"/>
        </w:rPr>
        <w:t xml:space="preserve"> Уже 23 мая справка ушла в аппарат генерала Репина.</w:t>
      </w:r>
    </w:p>
    <w:p w14:paraId="4FADAE0B"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Пока «Харрикейны» 1Ю зав. №№ КХ-171 и КХ-305 испытывались и принималось ре</w:t>
      </w:r>
      <w:r w:rsidRPr="00271E51">
        <w:rPr>
          <w:rFonts w:ascii="Times New Roman" w:hAnsi="Times New Roman" w:cs="Times New Roman"/>
          <w:color w:val="000000" w:themeColor="text1"/>
          <w:sz w:val="16"/>
          <w:szCs w:val="16"/>
        </w:rPr>
        <w:softHyphen/>
        <w:t>шение о целесообразности применения самолетов этого типа в ВВС КА, личный состав 246-го иап начиная с октября 1943 г. прошел полный курс переучивания на английский противотанковый истребитель в 25-м запасном истребительном авиапол</w:t>
      </w:r>
      <w:r w:rsidRPr="00271E51">
        <w:rPr>
          <w:rFonts w:ascii="Times New Roman" w:hAnsi="Times New Roman" w:cs="Times New Roman"/>
          <w:color w:val="000000" w:themeColor="text1"/>
          <w:sz w:val="16"/>
          <w:szCs w:val="16"/>
        </w:rPr>
        <w:softHyphen/>
        <w:t>ку ВВС Закавказского военного округа (г. Аджи-Кабул) (12735).</w:t>
      </w:r>
    </w:p>
    <w:p w14:paraId="54FACE09"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4BF1AA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23 декабря 1943 закончились все</w:t>
      </w:r>
      <w:r w:rsidRPr="00271E51">
        <w:rPr>
          <w:color w:val="000000" w:themeColor="text1"/>
          <w:sz w:val="16"/>
          <w:szCs w:val="16"/>
        </w:rPr>
        <w:softHyphen/>
        <w:t>сторонние исследования летно-боевых качеств и вооружения 2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 xml:space="preserve"> зав. № КХ-171 и № КХ-305, которые шли с 13 ноября 1943. Машины поступили в НИИ ВВС 26 августа 1943 г. и затем в НИИ АВ ВВС. Испытания были на</w:t>
      </w:r>
      <w:r w:rsidRPr="00271E51">
        <w:rPr>
          <w:color w:val="000000" w:themeColor="text1"/>
          <w:sz w:val="16"/>
          <w:szCs w:val="16"/>
        </w:rPr>
        <w:softHyphen/>
        <w:t>чаты с опозданием из-за задерж</w:t>
      </w:r>
      <w:r w:rsidRPr="00271E51">
        <w:rPr>
          <w:color w:val="000000" w:themeColor="text1"/>
          <w:sz w:val="16"/>
          <w:szCs w:val="16"/>
        </w:rPr>
        <w:softHyphen/>
        <w:t>ки правых пушек и боезапаса.</w:t>
      </w:r>
    </w:p>
    <w:p w14:paraId="226DEA9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Акт по испытаниям утвержден главным инженером ВВС КА генерал-полковником А. К. Репиным 11 января 1944 г.</w:t>
      </w:r>
    </w:p>
    <w:p w14:paraId="6DCD2A4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завершении полетов в НИИ ВВС самолет зав. № КХ-305 в феврале 1944 г. поступил в НИИ АВ ВВС для производства контрольных испытаний вооружения. Отчет по испытаниям утвержден на</w:t>
      </w:r>
      <w:r w:rsidRPr="00271E51">
        <w:rPr>
          <w:color w:val="000000" w:themeColor="text1"/>
          <w:sz w:val="16"/>
          <w:szCs w:val="16"/>
        </w:rPr>
        <w:softHyphen/>
        <w:t>чальником НИИ АВ генерал-майором М. В. Гуреви- чем 17 марта.</w:t>
      </w:r>
    </w:p>
    <w:p w14:paraId="72DB9897" w14:textId="77777777" w:rsidR="007826CC" w:rsidRPr="00271E51" w:rsidRDefault="007826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в НИИ ВВС проводились объединен</w:t>
      </w:r>
      <w:r w:rsidRPr="00271E51">
        <w:rPr>
          <w:rFonts w:ascii="Times New Roman" w:hAnsi="Times New Roman"/>
          <w:color w:val="000000" w:themeColor="text1"/>
          <w:sz w:val="16"/>
          <w:szCs w:val="16"/>
        </w:rPr>
        <w:softHyphen/>
        <w:t>ной бригадой специалистов 3-го и 4-го отделов ин</w:t>
      </w:r>
      <w:r w:rsidRPr="00271E51">
        <w:rPr>
          <w:rFonts w:ascii="Times New Roman" w:hAnsi="Times New Roman"/>
          <w:color w:val="000000" w:themeColor="text1"/>
          <w:sz w:val="16"/>
          <w:szCs w:val="16"/>
        </w:rPr>
        <w:softHyphen/>
        <w:t>ститута. Ведущим инженером по испытаниям был назначен инженер-капитан Рабкин (3-й отдел), его помощником — инженер-капитан Колосов (4-й от</w:t>
      </w:r>
      <w:r w:rsidRPr="00271E51">
        <w:rPr>
          <w:rFonts w:ascii="Times New Roman" w:hAnsi="Times New Roman"/>
          <w:color w:val="000000" w:themeColor="text1"/>
          <w:sz w:val="16"/>
          <w:szCs w:val="16"/>
        </w:rPr>
        <w:softHyphen/>
        <w:t>дел). На самолетах летали: летчик-испытатель 3-го отдела майор Голофастов и летчик-испытатель 4-го отдела старший лейтенант Поминальный.</w:t>
      </w:r>
    </w:p>
    <w:p w14:paraId="6D79DF0D"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НИИ АВ к испытаниям при</w:t>
      </w:r>
      <w:r w:rsidRPr="00271E51">
        <w:rPr>
          <w:color w:val="000000" w:themeColor="text1"/>
          <w:sz w:val="16"/>
          <w:szCs w:val="16"/>
        </w:rPr>
        <w:softHyphen/>
        <w:t>влекались специалисты 7-го отдела института: майор В. С. Полубичен- ко — ответственный по испыта</w:t>
      </w:r>
      <w:r w:rsidRPr="00271E51">
        <w:rPr>
          <w:color w:val="000000" w:themeColor="text1"/>
          <w:sz w:val="16"/>
          <w:szCs w:val="16"/>
        </w:rPr>
        <w:softHyphen/>
        <w:t>ниям, старший техник-лейтенант Ф. Ф. Сивцов, летчик-испытатель капитан А.В. Кусакин и механик по вооружению старший сержант Ф. Я. Анохин.</w:t>
      </w:r>
    </w:p>
    <w:p w14:paraId="776EDBD9"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Всего в НИИ ВВС было выпол</w:t>
      </w:r>
      <w:r w:rsidRPr="00271E51">
        <w:rPr>
          <w:color w:val="000000" w:themeColor="text1"/>
          <w:sz w:val="16"/>
          <w:szCs w:val="16"/>
        </w:rPr>
        <w:softHyphen/>
        <w:t>нено 27 полетов с суммарным на</w:t>
      </w:r>
      <w:r w:rsidRPr="00271E51">
        <w:rPr>
          <w:color w:val="000000" w:themeColor="text1"/>
          <w:sz w:val="16"/>
          <w:szCs w:val="16"/>
        </w:rPr>
        <w:softHyphen/>
        <w:t>летом 18 ч 40 мин, в том числе на самолете зав. № КХ-305 — 16 по</w:t>
      </w:r>
      <w:r w:rsidRPr="00271E51">
        <w:rPr>
          <w:color w:val="000000" w:themeColor="text1"/>
          <w:sz w:val="16"/>
          <w:szCs w:val="16"/>
        </w:rPr>
        <w:softHyphen/>
        <w:t>летов (12 ч 10 мин), на самолете зав. № КХ-171 — 11 полетов (6 ч 30 мин).</w:t>
      </w:r>
    </w:p>
    <w:p w14:paraId="72F503D9"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НИИ АВ ВВС на самолете зав. № КХ-305 выполнили еще 9 кон</w:t>
      </w:r>
      <w:r w:rsidRPr="00271E51">
        <w:rPr>
          <w:color w:val="000000" w:themeColor="text1"/>
          <w:sz w:val="16"/>
          <w:szCs w:val="16"/>
        </w:rPr>
        <w:softHyphen/>
        <w:t>трольных полетов на отстрел во</w:t>
      </w:r>
      <w:r w:rsidRPr="00271E51">
        <w:rPr>
          <w:color w:val="000000" w:themeColor="text1"/>
          <w:sz w:val="16"/>
          <w:szCs w:val="16"/>
        </w:rPr>
        <w:softHyphen/>
        <w:t>оружения в воздухе по воздушным и наземным целям.</w:t>
      </w:r>
    </w:p>
    <w:p w14:paraId="3CA18AF4"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Штурмовой вариант самолета «Харрикейн» </w:t>
      </w:r>
      <w:r w:rsidRPr="00271E51">
        <w:rPr>
          <w:color w:val="000000" w:themeColor="text1"/>
          <w:sz w:val="16"/>
          <w:szCs w:val="16"/>
          <w:lang w:val="en-US"/>
        </w:rPr>
        <w:t>IID</w:t>
      </w:r>
      <w:r w:rsidRPr="00271E51">
        <w:rPr>
          <w:color w:val="000000" w:themeColor="text1"/>
          <w:sz w:val="16"/>
          <w:szCs w:val="16"/>
        </w:rPr>
        <w:t xml:space="preserve"> представлял собой серийный самолет «Харрикейн» </w:t>
      </w:r>
      <w:r w:rsidRPr="00271E51">
        <w:rPr>
          <w:color w:val="000000" w:themeColor="text1"/>
          <w:sz w:val="16"/>
          <w:szCs w:val="16"/>
          <w:lang w:val="en-US"/>
        </w:rPr>
        <w:t>IIC</w:t>
      </w:r>
      <w:r w:rsidRPr="00271E51">
        <w:rPr>
          <w:color w:val="000000" w:themeColor="text1"/>
          <w:sz w:val="16"/>
          <w:szCs w:val="16"/>
        </w:rPr>
        <w:t xml:space="preserve"> с усиленным бронированием и до</w:t>
      </w:r>
      <w:r w:rsidRPr="00271E51">
        <w:rPr>
          <w:color w:val="000000" w:themeColor="text1"/>
          <w:sz w:val="16"/>
          <w:szCs w:val="16"/>
        </w:rPr>
        <w:softHyphen/>
        <w:t>работанный под установку крупно</w:t>
      </w:r>
      <w:r w:rsidRPr="00271E51">
        <w:rPr>
          <w:color w:val="000000" w:themeColor="text1"/>
          <w:sz w:val="16"/>
          <w:szCs w:val="16"/>
        </w:rPr>
        <w:softHyphen/>
        <w:t>калиберных пушек.</w:t>
      </w:r>
    </w:p>
    <w:p w14:paraId="1C5C7481"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Броней на самолете защища</w:t>
      </w:r>
      <w:r w:rsidRPr="00271E51">
        <w:rPr>
          <w:color w:val="000000" w:themeColor="text1"/>
          <w:sz w:val="16"/>
          <w:szCs w:val="16"/>
        </w:rPr>
        <w:softHyphen/>
        <w:t>лись: летчик, мотор, водо- и масло- радиаторы. Общий вес брони достигал 185 кг.</w:t>
      </w:r>
    </w:p>
    <w:p w14:paraId="21EE45BE"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Под крылом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размещались 2 пушки Вик- керс </w:t>
      </w:r>
      <w:r w:rsidRPr="00271E51">
        <w:rPr>
          <w:color w:val="000000" w:themeColor="text1"/>
          <w:sz w:val="16"/>
          <w:szCs w:val="16"/>
          <w:lang w:val="en-US"/>
        </w:rPr>
        <w:t>S</w:t>
      </w:r>
      <w:r w:rsidRPr="00271E51">
        <w:rPr>
          <w:color w:val="000000" w:themeColor="text1"/>
          <w:sz w:val="16"/>
          <w:szCs w:val="16"/>
        </w:rPr>
        <w:t xml:space="preserve"> калибра 40 мм с суммарным боекомплектом 30 снарядов и в крыле 2 пулемета Кольт-Браунинг калибра 7,69 мм с боекомплектом 1300 патронов. Вместо пушек допускалась подвеска дополнитель</w:t>
      </w:r>
      <w:r w:rsidRPr="00271E51">
        <w:rPr>
          <w:color w:val="000000" w:themeColor="text1"/>
          <w:sz w:val="16"/>
          <w:szCs w:val="16"/>
        </w:rPr>
        <w:softHyphen/>
        <w:t>ных бензобаков.</w:t>
      </w:r>
    </w:p>
    <w:p w14:paraId="4CF64B6F"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помещались в специальном обтекателе и крепились на 2 узлах, из которых передний яв</w:t>
      </w:r>
      <w:r w:rsidRPr="00271E51">
        <w:rPr>
          <w:color w:val="000000" w:themeColor="text1"/>
          <w:sz w:val="16"/>
          <w:szCs w:val="16"/>
        </w:rPr>
        <w:softHyphen/>
        <w:t>лялся силовым, а задний — регулировочным. При этом стволы пушек на 1080 мм выступали за перед</w:t>
      </w:r>
      <w:r w:rsidRPr="00271E51">
        <w:rPr>
          <w:color w:val="000000" w:themeColor="text1"/>
          <w:sz w:val="16"/>
          <w:szCs w:val="16"/>
        </w:rPr>
        <w:softHyphen/>
        <w:t>нюю кромку крыла.</w:t>
      </w:r>
    </w:p>
    <w:p w14:paraId="1FB8D11F"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Автоматика пушек Виккерс </w:t>
      </w:r>
      <w:r w:rsidRPr="00271E51">
        <w:rPr>
          <w:color w:val="000000" w:themeColor="text1"/>
          <w:sz w:val="16"/>
          <w:szCs w:val="16"/>
          <w:lang w:val="en-US"/>
        </w:rPr>
        <w:t>S</w:t>
      </w:r>
      <w:r w:rsidRPr="00271E51">
        <w:rPr>
          <w:color w:val="000000" w:themeColor="text1"/>
          <w:sz w:val="16"/>
          <w:szCs w:val="16"/>
        </w:rPr>
        <w:t xml:space="preserve"> работала на прин</w:t>
      </w:r>
      <w:r w:rsidRPr="00271E51">
        <w:rPr>
          <w:color w:val="000000" w:themeColor="text1"/>
          <w:sz w:val="16"/>
          <w:szCs w:val="16"/>
        </w:rPr>
        <w:softHyphen/>
        <w:t>ципе отдачи с длинным ходом ствола, запирание клиновое. Сила отдачи при стрельбе поглощалась работой автоматики, возвратной и буферной пру</w:t>
      </w:r>
      <w:r w:rsidRPr="00271E51">
        <w:rPr>
          <w:color w:val="000000" w:themeColor="text1"/>
          <w:sz w:val="16"/>
          <w:szCs w:val="16"/>
        </w:rPr>
        <w:softHyphen/>
        <w:t>жинами и гидравлическим тормозом. В гидротор</w:t>
      </w:r>
      <w:r w:rsidRPr="00271E51">
        <w:rPr>
          <w:color w:val="000000" w:themeColor="text1"/>
          <w:sz w:val="16"/>
          <w:szCs w:val="16"/>
        </w:rPr>
        <w:softHyphen/>
        <w:t>моз заливалось веретенное масло или смесь вере</w:t>
      </w:r>
      <w:r w:rsidRPr="00271E51">
        <w:rPr>
          <w:color w:val="000000" w:themeColor="text1"/>
          <w:sz w:val="16"/>
          <w:szCs w:val="16"/>
        </w:rPr>
        <w:softHyphen/>
        <w:t>тенного масла с техническим керосином (в соотно</w:t>
      </w:r>
      <w:r w:rsidRPr="00271E51">
        <w:rPr>
          <w:color w:val="000000" w:themeColor="text1"/>
          <w:sz w:val="16"/>
          <w:szCs w:val="16"/>
        </w:rPr>
        <w:softHyphen/>
        <w:t>шении 60/40).</w:t>
      </w:r>
    </w:p>
    <w:p w14:paraId="103B460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Питание пушек — магазинное. Магазин на 15 снарядов жестко крепился к пушке болтами. За</w:t>
      </w:r>
      <w:r w:rsidRPr="00271E51">
        <w:rPr>
          <w:color w:val="000000" w:themeColor="text1"/>
          <w:sz w:val="16"/>
          <w:szCs w:val="16"/>
        </w:rPr>
        <w:softHyphen/>
        <w:t>рядка магазина производилась непосредственно на самолете.</w:t>
      </w:r>
    </w:p>
    <w:p w14:paraId="4CFAB4D0"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Перезарядка пушек осуществлялась вручную с помощью специальной рукоятки с цепной пере</w:t>
      </w:r>
      <w:r w:rsidRPr="00271E51">
        <w:rPr>
          <w:color w:val="000000" w:themeColor="text1"/>
          <w:sz w:val="16"/>
          <w:szCs w:val="16"/>
        </w:rPr>
        <w:softHyphen/>
        <w:t>дачей. Перезаряжать пушку можно было только на земле. В воздухе летчик имел возможность лишь повторно взвести ударник. Для этого на левом борту располагалась гашетка пневмовзвода удар</w:t>
      </w:r>
      <w:r w:rsidRPr="00271E51">
        <w:rPr>
          <w:color w:val="000000" w:themeColor="text1"/>
          <w:sz w:val="16"/>
          <w:szCs w:val="16"/>
        </w:rPr>
        <w:softHyphen/>
        <w:t>ников пушек. С ее помощью летчик в полете мог повторно взвести ударники пушек и продолжить стрельбу.</w:t>
      </w:r>
    </w:p>
    <w:p w14:paraId="48F77ED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Длина пушки достигала 2970 мм, при высоте с магазином 533 мм (без магазина 278 мм) и ши</w:t>
      </w:r>
      <w:r w:rsidRPr="00271E51">
        <w:rPr>
          <w:color w:val="000000" w:themeColor="text1"/>
          <w:sz w:val="16"/>
          <w:szCs w:val="16"/>
        </w:rPr>
        <w:softHyphen/>
        <w:t>рине 210 мм. Общий вес пушки с магазином и 15 бронебойными снарядами составлял 180,2 кг, в том числе сама пушка — 141,7 кг, магазин без патро</w:t>
      </w:r>
      <w:r w:rsidRPr="00271E51">
        <w:rPr>
          <w:color w:val="000000" w:themeColor="text1"/>
          <w:sz w:val="16"/>
          <w:szCs w:val="16"/>
        </w:rPr>
        <w:softHyphen/>
        <w:t>нов — 16,0 кг, боекомплект — 22,5 кг.</w:t>
      </w:r>
    </w:p>
    <w:p w14:paraId="59C9811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общему мнению летчиков, увеличение по</w:t>
      </w:r>
      <w:r w:rsidRPr="00271E51">
        <w:rPr>
          <w:color w:val="000000" w:themeColor="text1"/>
          <w:sz w:val="16"/>
          <w:szCs w:val="16"/>
        </w:rPr>
        <w:softHyphen/>
        <w:t xml:space="preserve">летного веса и ухудшение аэродинамики самолета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по сравнению с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IIC</w:t>
      </w:r>
      <w:r w:rsidRPr="00271E51">
        <w:rPr>
          <w:color w:val="000000" w:themeColor="text1"/>
          <w:sz w:val="16"/>
          <w:szCs w:val="16"/>
        </w:rPr>
        <w:t xml:space="preserve"> привело к заметному понижению летных данных и маневренности само</w:t>
      </w:r>
      <w:r w:rsidRPr="00271E51">
        <w:rPr>
          <w:color w:val="000000" w:themeColor="text1"/>
          <w:sz w:val="16"/>
          <w:szCs w:val="16"/>
        </w:rPr>
        <w:softHyphen/>
        <w:t>лета как в вертикальной, так и в горизонтальной плоскости. Для выполнения фигур «скорости при</w:t>
      </w:r>
      <w:r w:rsidRPr="00271E51">
        <w:rPr>
          <w:color w:val="000000" w:themeColor="text1"/>
          <w:sz w:val="16"/>
          <w:szCs w:val="16"/>
        </w:rPr>
        <w:softHyphen/>
        <w:t>ходится держать больше на 5—7 миль/ч, так как самолет тяжелее и инертнее». Продольная и по</w:t>
      </w:r>
      <w:r w:rsidRPr="00271E51">
        <w:rPr>
          <w:color w:val="000000" w:themeColor="text1"/>
          <w:sz w:val="16"/>
          <w:szCs w:val="16"/>
        </w:rPr>
        <w:softHyphen/>
        <w:t>перечная устойчивость самолета оставляла желать лучшего. Сбалансированность самолета в горизон</w:t>
      </w:r>
      <w:r w:rsidRPr="00271E51">
        <w:rPr>
          <w:color w:val="000000" w:themeColor="text1"/>
          <w:sz w:val="16"/>
          <w:szCs w:val="16"/>
        </w:rPr>
        <w:softHyphen/>
        <w:t>тальном полете была затруднена и требовала по</w:t>
      </w:r>
      <w:r w:rsidRPr="00271E51">
        <w:rPr>
          <w:color w:val="000000" w:themeColor="text1"/>
          <w:sz w:val="16"/>
          <w:szCs w:val="16"/>
        </w:rPr>
        <w:softHyphen/>
        <w:t>стоянной регулировки положения триммера при изменении скорости полета. На вертикальных фи</w:t>
      </w:r>
      <w:r w:rsidRPr="00271E51">
        <w:rPr>
          <w:color w:val="000000" w:themeColor="text1"/>
          <w:sz w:val="16"/>
          <w:szCs w:val="16"/>
        </w:rPr>
        <w:softHyphen/>
        <w:t>гурах самолет быстро терял скорость, набор высо</w:t>
      </w:r>
      <w:r w:rsidRPr="00271E51">
        <w:rPr>
          <w:color w:val="000000" w:themeColor="text1"/>
          <w:sz w:val="16"/>
          <w:szCs w:val="16"/>
        </w:rPr>
        <w:softHyphen/>
        <w:t xml:space="preserve">ты на иммельмане и боевом развороте сократился. В то же время техника пилотирования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 xml:space="preserve"> прак</w:t>
      </w:r>
      <w:r w:rsidRPr="00271E51">
        <w:rPr>
          <w:color w:val="000000" w:themeColor="text1"/>
          <w:sz w:val="16"/>
          <w:szCs w:val="16"/>
        </w:rPr>
        <w:softHyphen/>
        <w:t xml:space="preserve">тически ничем не отличалась от самолетов «Харри- кейн» </w:t>
      </w:r>
      <w:r w:rsidRPr="00271E51">
        <w:rPr>
          <w:color w:val="000000" w:themeColor="text1"/>
          <w:sz w:val="16"/>
          <w:szCs w:val="16"/>
          <w:lang w:val="en-US"/>
        </w:rPr>
        <w:t>IIC</w:t>
      </w:r>
      <w:r w:rsidRPr="00271E51">
        <w:rPr>
          <w:color w:val="000000" w:themeColor="text1"/>
          <w:sz w:val="16"/>
          <w:szCs w:val="16"/>
        </w:rPr>
        <w:t xml:space="preserve"> или </w:t>
      </w:r>
      <w:r w:rsidRPr="00271E51">
        <w:rPr>
          <w:color w:val="000000" w:themeColor="text1"/>
          <w:sz w:val="16"/>
          <w:szCs w:val="16"/>
          <w:lang w:val="en-US"/>
        </w:rPr>
        <w:t>IIB</w:t>
      </w:r>
      <w:r w:rsidRPr="00271E51">
        <w:rPr>
          <w:color w:val="000000" w:themeColor="text1"/>
          <w:sz w:val="16"/>
          <w:szCs w:val="16"/>
        </w:rPr>
        <w:t>.</w:t>
      </w:r>
    </w:p>
    <w:p w14:paraId="226AA67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Вооружение самолета отстреливалось как на земле, так и в воздухе. Стрельба велась снарядами, «снаряженными стальными корпусами бронебой</w:t>
      </w:r>
      <w:r w:rsidRPr="00271E51">
        <w:rPr>
          <w:color w:val="000000" w:themeColor="text1"/>
          <w:sz w:val="16"/>
          <w:szCs w:val="16"/>
        </w:rPr>
        <w:softHyphen/>
        <w:t xml:space="preserve">ных снарядов, так как других боекомплектов для пушек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w:t>
      </w:r>
      <w:r w:rsidRPr="00271E51">
        <w:rPr>
          <w:color w:val="000000" w:themeColor="text1"/>
          <w:sz w:val="16"/>
          <w:szCs w:val="16"/>
        </w:rPr>
        <w:t xml:space="preserve"> — 40 мм в снабжающих организациях ВВС не имелось». При этом в снарядах отсутство</w:t>
      </w:r>
      <w:r w:rsidRPr="00271E51">
        <w:rPr>
          <w:color w:val="000000" w:themeColor="text1"/>
          <w:sz w:val="16"/>
          <w:szCs w:val="16"/>
        </w:rPr>
        <w:softHyphen/>
        <w:t>вали «разрывной заряд ВВ и донный взрыватель, заглушка вместо него не поставлена», так что вну</w:t>
      </w:r>
      <w:r w:rsidRPr="00271E51">
        <w:rPr>
          <w:color w:val="000000" w:themeColor="text1"/>
          <w:sz w:val="16"/>
          <w:szCs w:val="16"/>
        </w:rPr>
        <w:softHyphen/>
        <w:t xml:space="preserve">тренняя полость снаряда сообщалась с зарядной каморой патрона. То есть снаряды «не имели </w:t>
      </w:r>
      <w:r w:rsidRPr="00271E51">
        <w:rPr>
          <w:color w:val="000000" w:themeColor="text1"/>
          <w:sz w:val="16"/>
          <w:szCs w:val="16"/>
        </w:rPr>
        <w:lastRenderedPageBreak/>
        <w:t>ни фугасного, ни зажигательного действия, а внутрен</w:t>
      </w:r>
      <w:r w:rsidRPr="00271E51">
        <w:rPr>
          <w:color w:val="000000" w:themeColor="text1"/>
          <w:sz w:val="16"/>
          <w:szCs w:val="16"/>
        </w:rPr>
        <w:softHyphen/>
        <w:t>няя и внешняя баллистика его отличается от балли</w:t>
      </w:r>
      <w:r w:rsidRPr="00271E51">
        <w:rPr>
          <w:color w:val="000000" w:themeColor="text1"/>
          <w:sz w:val="16"/>
          <w:szCs w:val="16"/>
        </w:rPr>
        <w:softHyphen/>
        <w:t>стики боевого снаряда». Очевидно, такие снаряды боевого значения не имели — их использование ограничивалось только учебными целями. Но дру</w:t>
      </w:r>
      <w:r w:rsidRPr="00271E51">
        <w:rPr>
          <w:color w:val="000000" w:themeColor="text1"/>
          <w:sz w:val="16"/>
          <w:szCs w:val="16"/>
        </w:rPr>
        <w:softHyphen/>
        <w:t>гих снарядов союзники не поставили.</w:t>
      </w:r>
    </w:p>
    <w:p w14:paraId="70815C9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общей сложности из пушек было выполнено 620 выстрелов, в том числе 212 выстрелов на земле и 408 в воздухе.</w:t>
      </w:r>
    </w:p>
    <w:p w14:paraId="2DCA6852"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воздухе пушки отстреляли капитаны Голо- фастов, Кувшинов, Пикуленко, Кусакин и старший лейтенант Поминальный. Стрельба велась в гори</w:t>
      </w:r>
      <w:r w:rsidRPr="00271E51">
        <w:rPr>
          <w:color w:val="000000" w:themeColor="text1"/>
          <w:sz w:val="16"/>
          <w:szCs w:val="16"/>
        </w:rPr>
        <w:softHyphen/>
        <w:t>зонтальном полете, на виражах, на наборе высо</w:t>
      </w:r>
      <w:r w:rsidRPr="00271E51">
        <w:rPr>
          <w:color w:val="000000" w:themeColor="text1"/>
          <w:sz w:val="16"/>
          <w:szCs w:val="16"/>
        </w:rPr>
        <w:softHyphen/>
        <w:t>ты, а после выполнения пилотажа и по наземной цели — с пикирования (по щитам и контуру само</w:t>
      </w:r>
      <w:r w:rsidRPr="00271E51">
        <w:rPr>
          <w:color w:val="000000" w:themeColor="text1"/>
          <w:sz w:val="16"/>
          <w:szCs w:val="16"/>
        </w:rPr>
        <w:softHyphen/>
        <w:t>лета). Кроме того, один полет был выполнен для стрельбы на большой высоте.</w:t>
      </w:r>
    </w:p>
    <w:p w14:paraId="4910ECAD"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Пушки при стрельбе в воздухе показали себя как надежное и безотказное оружие. Отдача при стрельбе из пушек более мягкая, чем при стрель</w:t>
      </w:r>
      <w:r w:rsidRPr="00271E51">
        <w:rPr>
          <w:color w:val="000000" w:themeColor="text1"/>
          <w:sz w:val="16"/>
          <w:szCs w:val="16"/>
        </w:rPr>
        <w:softHyphen/>
        <w:t>бе из 37-мм пушек 11П на самолетах Як-9т и ЛаГГ-3. Синхронность стрельбы оценивалась как отличная.</w:t>
      </w:r>
    </w:p>
    <w:p w14:paraId="29548F5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в горизонтальном полете самолет «ощущает толчки и зарывается носом вниз». Такие же толчки имели место и на всех других режимах. На пикировании самолет во время стрельбы стре</w:t>
      </w:r>
      <w:r w:rsidRPr="00271E51">
        <w:rPr>
          <w:color w:val="000000" w:themeColor="text1"/>
          <w:sz w:val="16"/>
          <w:szCs w:val="16"/>
        </w:rPr>
        <w:softHyphen/>
        <w:t>мился увеличить угол пикирования и «его необхо</w:t>
      </w:r>
      <w:r w:rsidRPr="00271E51">
        <w:rPr>
          <w:color w:val="000000" w:themeColor="text1"/>
          <w:sz w:val="16"/>
          <w:szCs w:val="16"/>
        </w:rPr>
        <w:softHyphen/>
        <w:t>димо удерживать ручкой управления». Сила отдачи при стрельбе «несколько притормаживает самолет, снижая скорость самолета на пикировании». При стрельбе во время набора высоты наблюдалось не</w:t>
      </w:r>
      <w:r w:rsidRPr="00271E51">
        <w:rPr>
          <w:color w:val="000000" w:themeColor="text1"/>
          <w:sz w:val="16"/>
          <w:szCs w:val="16"/>
        </w:rPr>
        <w:softHyphen/>
        <w:t>которое уменьшение угла.</w:t>
      </w:r>
    </w:p>
    <w:p w14:paraId="2C0C35C1"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Чем длиннее очередь из пушек, «тем опуска</w:t>
      </w:r>
      <w:r w:rsidRPr="00271E51">
        <w:rPr>
          <w:color w:val="000000" w:themeColor="text1"/>
          <w:sz w:val="16"/>
          <w:szCs w:val="16"/>
        </w:rPr>
        <w:softHyphen/>
        <w:t>ние носа самолета и толчки более заметны». При очередях свыше 5—6 снарядов «удержать самолет от зарывания носом становится затруднительно», «самолет начинает раскачиваться в полете» и «при</w:t>
      </w:r>
      <w:r w:rsidRPr="00271E51">
        <w:rPr>
          <w:color w:val="000000" w:themeColor="text1"/>
          <w:sz w:val="16"/>
          <w:szCs w:val="16"/>
        </w:rPr>
        <w:softHyphen/>
        <w:t>цельная стрельба становится невозможной».</w:t>
      </w:r>
    </w:p>
    <w:p w14:paraId="6B77009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обеспечения более точного поражения це</w:t>
      </w:r>
      <w:r w:rsidRPr="00271E51">
        <w:rPr>
          <w:color w:val="000000" w:themeColor="text1"/>
          <w:sz w:val="16"/>
          <w:szCs w:val="16"/>
        </w:rPr>
        <w:softHyphen/>
        <w:t>ли рекомендовалось производить стрельбу очере</w:t>
      </w:r>
      <w:r w:rsidRPr="00271E51">
        <w:rPr>
          <w:color w:val="000000" w:themeColor="text1"/>
          <w:sz w:val="16"/>
          <w:szCs w:val="16"/>
        </w:rPr>
        <w:softHyphen/>
        <w:t>дями по 2—3, максимум 4 снаряда из каждой пуш</w:t>
      </w:r>
      <w:r w:rsidRPr="00271E51">
        <w:rPr>
          <w:color w:val="000000" w:themeColor="text1"/>
          <w:sz w:val="16"/>
          <w:szCs w:val="16"/>
        </w:rPr>
        <w:softHyphen/>
        <w:t>ки. При этом короткая очередь была рациональна и с точки зрения тактического применения самоле</w:t>
      </w:r>
      <w:r w:rsidRPr="00271E51">
        <w:rPr>
          <w:color w:val="000000" w:themeColor="text1"/>
          <w:sz w:val="16"/>
          <w:szCs w:val="16"/>
        </w:rPr>
        <w:softHyphen/>
        <w:t>та (более экономного расхода небольшого боеком</w:t>
      </w:r>
      <w:r w:rsidRPr="00271E51">
        <w:rPr>
          <w:color w:val="000000" w:themeColor="text1"/>
          <w:sz w:val="16"/>
          <w:szCs w:val="16"/>
        </w:rPr>
        <w:softHyphen/>
        <w:t>плекта к пушкам).</w:t>
      </w:r>
    </w:p>
    <w:p w14:paraId="4F5E3B4E"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стрельбе из одной пушки (правой или ле</w:t>
      </w:r>
      <w:r w:rsidRPr="00271E51">
        <w:rPr>
          <w:color w:val="000000" w:themeColor="text1"/>
          <w:sz w:val="16"/>
          <w:szCs w:val="16"/>
        </w:rPr>
        <w:softHyphen/>
        <w:t>вой) самолет разворачивался в сторону стреляю</w:t>
      </w:r>
      <w:r w:rsidRPr="00271E51">
        <w:rPr>
          <w:color w:val="000000" w:themeColor="text1"/>
          <w:sz w:val="16"/>
          <w:szCs w:val="16"/>
        </w:rPr>
        <w:softHyphen/>
        <w:t>щей пушки, а так как «темп стрельбы очень мал, то держать самолет ногой, парируя рулями его отход от цели, почти невозможно». По заявлениям летчи</w:t>
      </w:r>
      <w:r w:rsidRPr="00271E51">
        <w:rPr>
          <w:color w:val="000000" w:themeColor="text1"/>
          <w:sz w:val="16"/>
          <w:szCs w:val="16"/>
        </w:rPr>
        <w:softHyphen/>
        <w:t>ков, «получается разбалтывание самолета относи</w:t>
      </w:r>
      <w:r w:rsidRPr="00271E51">
        <w:rPr>
          <w:color w:val="000000" w:themeColor="text1"/>
          <w:sz w:val="16"/>
          <w:szCs w:val="16"/>
        </w:rPr>
        <w:softHyphen/>
        <w:t>тельно вертикальной оси на линии прицеливания, что ухудшает качество стрельбы». То есть прицель</w:t>
      </w:r>
      <w:r w:rsidRPr="00271E51">
        <w:rPr>
          <w:color w:val="000000" w:themeColor="text1"/>
          <w:sz w:val="16"/>
          <w:szCs w:val="16"/>
        </w:rPr>
        <w:softHyphen/>
        <w:t>ным был только первый снаряд в очереди.</w:t>
      </w:r>
    </w:p>
    <w:p w14:paraId="6D15FDD1" w14:textId="77777777" w:rsidR="007826CC" w:rsidRPr="00271E51" w:rsidRDefault="007826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удобными углами пикирования при стрельбе по наземной цели с точки зрения потери высоты и увеличения скорости на пикировании, а также удобства прицеливания считался диа</w:t>
      </w:r>
      <w:r w:rsidRPr="00271E51">
        <w:rPr>
          <w:rFonts w:ascii="Times New Roman" w:hAnsi="Times New Roman"/>
          <w:color w:val="000000" w:themeColor="text1"/>
          <w:sz w:val="16"/>
          <w:szCs w:val="16"/>
        </w:rPr>
        <w:softHyphen/>
        <w:t>пазон 35—45°. При высоте ввода в пикирование 500—550 м дистанция огня составляла 500—700 м, что было более чем достаточно для прицеливания и производства 2—3 очередей.</w:t>
      </w:r>
    </w:p>
    <w:p w14:paraId="7FB73CFF"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Важно отметить, при стрельбе в воздухе по на</w:t>
      </w:r>
      <w:r w:rsidRPr="00271E51">
        <w:rPr>
          <w:color w:val="000000" w:themeColor="text1"/>
          <w:sz w:val="16"/>
          <w:szCs w:val="16"/>
        </w:rPr>
        <w:softHyphen/>
        <w:t>земной цели «Харрикейн» допускал перенос огня от первоначальной точки наводки в боковом направлении и по дальности в пределах 10—15 , «что было затруднено, а порой неосуществимо на самолете Ил-2 с 37-мм пушками».</w:t>
      </w:r>
    </w:p>
    <w:p w14:paraId="33AC0F6E"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Летчикам понравилось удобное расположение электрокнопки управления огнем из пушек на сек</w:t>
      </w:r>
      <w:r w:rsidRPr="00271E51">
        <w:rPr>
          <w:color w:val="000000" w:themeColor="text1"/>
          <w:sz w:val="16"/>
          <w:szCs w:val="16"/>
        </w:rPr>
        <w:softHyphen/>
        <w:t>торе газа под левую руку. Поскольку пулеметы при</w:t>
      </w:r>
      <w:r w:rsidRPr="00271E51">
        <w:rPr>
          <w:color w:val="000000" w:themeColor="text1"/>
          <w:sz w:val="16"/>
          <w:szCs w:val="16"/>
        </w:rPr>
        <w:softHyphen/>
        <w:t>водились в действие кнопкой на ручке управления самолетом, то такое расположение управления пушками позволяло вести одновременный огонь из пушек и пулеметов.</w:t>
      </w:r>
    </w:p>
    <w:p w14:paraId="6AD8AE20"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Для прицеливания при стрельбе использовал</w:t>
      </w:r>
      <w:r w:rsidRPr="00271E51">
        <w:rPr>
          <w:color w:val="000000" w:themeColor="text1"/>
          <w:sz w:val="16"/>
          <w:szCs w:val="16"/>
        </w:rPr>
        <w:softHyphen/>
        <w:t xml:space="preserve">ся коллиматорный прицел Рефлектор Сайт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IIS</w:t>
      </w:r>
      <w:r w:rsidRPr="00271E51">
        <w:rPr>
          <w:color w:val="000000" w:themeColor="text1"/>
          <w:sz w:val="16"/>
          <w:szCs w:val="16"/>
        </w:rPr>
        <w:t xml:space="preserve"> с электрической подсветкой. Пользоваться им в воздухе было удобно.</w:t>
      </w:r>
    </w:p>
    <w:p w14:paraId="159CE030"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Отмечалась простая эксплуатация пушек: «пуш</w:t>
      </w:r>
      <w:r w:rsidRPr="00271E51">
        <w:rPr>
          <w:color w:val="000000" w:themeColor="text1"/>
          <w:sz w:val="16"/>
          <w:szCs w:val="16"/>
        </w:rPr>
        <w:softHyphen/>
        <w:t>ки осваиваются техническим составом легко и бы</w:t>
      </w:r>
      <w:r w:rsidRPr="00271E51">
        <w:rPr>
          <w:color w:val="000000" w:themeColor="text1"/>
          <w:sz w:val="16"/>
          <w:szCs w:val="16"/>
        </w:rPr>
        <w:softHyphen/>
        <w:t>стро». Подходы к пушкам удобные. Зарядка мага</w:t>
      </w:r>
      <w:r w:rsidRPr="00271E51">
        <w:rPr>
          <w:color w:val="000000" w:themeColor="text1"/>
          <w:sz w:val="16"/>
          <w:szCs w:val="16"/>
        </w:rPr>
        <w:softHyphen/>
        <w:t>зина производилась непосредственно на самолете.</w:t>
      </w:r>
    </w:p>
    <w:p w14:paraId="3E514DE8"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Имелись и недостатки. Пушки было трудно сна</w:t>
      </w:r>
      <w:r w:rsidRPr="00271E51">
        <w:rPr>
          <w:color w:val="000000" w:themeColor="text1"/>
          <w:sz w:val="16"/>
          <w:szCs w:val="16"/>
        </w:rPr>
        <w:softHyphen/>
        <w:t>ряжать — «стеснен подход к рукоятке магазина при заряжании, особенно при зимней эксплуатации». Регулировочное приспособление пушек было вы</w:t>
      </w:r>
      <w:r w:rsidRPr="00271E51">
        <w:rPr>
          <w:color w:val="000000" w:themeColor="text1"/>
          <w:sz w:val="16"/>
          <w:szCs w:val="16"/>
        </w:rPr>
        <w:softHyphen/>
        <w:t>полнено неудачно — «при снятии пушки с самолета нарушается пристрелка». Легкосъемные замки кры</w:t>
      </w:r>
      <w:r w:rsidRPr="00271E51">
        <w:rPr>
          <w:color w:val="000000" w:themeColor="text1"/>
          <w:sz w:val="16"/>
          <w:szCs w:val="16"/>
        </w:rPr>
        <w:softHyphen/>
        <w:t>шек лючков пулеметов в ходе эксплуатации быстро деформировались. Как следствие, открывание и за</w:t>
      </w:r>
      <w:r w:rsidRPr="00271E51">
        <w:rPr>
          <w:color w:val="000000" w:themeColor="text1"/>
          <w:sz w:val="16"/>
          <w:szCs w:val="16"/>
        </w:rPr>
        <w:softHyphen/>
        <w:t>крывание лючков становилось затруднительным.</w:t>
      </w:r>
    </w:p>
    <w:p w14:paraId="50268729"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Отсутствовали приспособления перезарядки пушек в воздухе. По этой причине устранить воз</w:t>
      </w:r>
      <w:r w:rsidRPr="00271E51">
        <w:rPr>
          <w:color w:val="000000" w:themeColor="text1"/>
          <w:sz w:val="16"/>
          <w:szCs w:val="16"/>
        </w:rPr>
        <w:softHyphen/>
        <w:t>можные задержки в стрельбе летчик не мог. В по</w:t>
      </w:r>
      <w:r w:rsidRPr="00271E51">
        <w:rPr>
          <w:color w:val="000000" w:themeColor="text1"/>
          <w:sz w:val="16"/>
          <w:szCs w:val="16"/>
        </w:rPr>
        <w:softHyphen/>
        <w:t>лете в случае осечки летчик мог только повторно взвести ударный механизм, «что отсутствие систе</w:t>
      </w:r>
      <w:r w:rsidRPr="00271E51">
        <w:rPr>
          <w:color w:val="000000" w:themeColor="text1"/>
          <w:sz w:val="16"/>
          <w:szCs w:val="16"/>
        </w:rPr>
        <w:softHyphen/>
        <w:t>мы перезарядки не компенсирует».</w:t>
      </w:r>
    </w:p>
    <w:p w14:paraId="711C0D7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Обтекатели пушек оказались недостаточно жесткими и при резком выводе из пикирования деформировались. Так, старший лейтенант Поми</w:t>
      </w:r>
      <w:r w:rsidRPr="00271E51">
        <w:rPr>
          <w:color w:val="000000" w:themeColor="text1"/>
          <w:sz w:val="16"/>
          <w:szCs w:val="16"/>
        </w:rPr>
        <w:softHyphen/>
        <w:t>нальный 12 декабря при пикировании под углом 55° на выходе из пикирования создал перегрузку близкой к 3 единицам и обтекатели пушек дефор</w:t>
      </w:r>
      <w:r w:rsidRPr="00271E51">
        <w:rPr>
          <w:color w:val="000000" w:themeColor="text1"/>
          <w:sz w:val="16"/>
          <w:szCs w:val="16"/>
        </w:rPr>
        <w:softHyphen/>
        <w:t>мировались.</w:t>
      </w:r>
    </w:p>
    <w:p w14:paraId="5C3DFC80"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тому же «боекомплект 15 нарядов на пуш</w:t>
      </w:r>
      <w:r w:rsidRPr="00271E51">
        <w:rPr>
          <w:color w:val="000000" w:themeColor="text1"/>
          <w:sz w:val="16"/>
          <w:szCs w:val="16"/>
        </w:rPr>
        <w:softHyphen/>
        <w:t>ку и темп стрельбы 100—110 выстр./мин не могут удовлетворить ТТТ, предъявляемым ВВС к самоле</w:t>
      </w:r>
      <w:r w:rsidRPr="00271E51">
        <w:rPr>
          <w:color w:val="000000" w:themeColor="text1"/>
          <w:sz w:val="16"/>
          <w:szCs w:val="16"/>
        </w:rPr>
        <w:softHyphen/>
        <w:t>ту-истребителю».</w:t>
      </w:r>
    </w:p>
    <w:p w14:paraId="510CAC04"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всему комплексу летно-боевых качеств «ан</w:t>
      </w:r>
      <w:r w:rsidRPr="00271E51">
        <w:rPr>
          <w:color w:val="000000" w:themeColor="text1"/>
          <w:sz w:val="16"/>
          <w:szCs w:val="16"/>
        </w:rPr>
        <w:softHyphen/>
        <w:t>гличанин» оценивался ниже не только противотан</w:t>
      </w:r>
      <w:r w:rsidRPr="00271E51">
        <w:rPr>
          <w:color w:val="000000" w:themeColor="text1"/>
          <w:sz w:val="16"/>
          <w:szCs w:val="16"/>
        </w:rPr>
        <w:softHyphen/>
        <w:t>ковых истребителей ЛаГГ-3 и Як-9т, но и штурмови</w:t>
      </w:r>
      <w:r w:rsidRPr="00271E51">
        <w:rPr>
          <w:color w:val="000000" w:themeColor="text1"/>
          <w:sz w:val="16"/>
          <w:szCs w:val="16"/>
        </w:rPr>
        <w:softHyphen/>
        <w:t>ка Ил-2 с НС-37.</w:t>
      </w:r>
    </w:p>
    <w:p w14:paraId="6E2FF668"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Отмечалось, что «пушка Виккерс </w:t>
      </w:r>
      <w:r w:rsidRPr="00271E51">
        <w:rPr>
          <w:color w:val="000000" w:themeColor="text1"/>
          <w:sz w:val="16"/>
          <w:szCs w:val="16"/>
          <w:lang w:val="en-US"/>
        </w:rPr>
        <w:t>S</w:t>
      </w:r>
      <w:r w:rsidRPr="00271E51">
        <w:rPr>
          <w:color w:val="000000" w:themeColor="text1"/>
          <w:sz w:val="16"/>
          <w:szCs w:val="16"/>
        </w:rPr>
        <w:t xml:space="preserve"> калибра 40 мм по темпу стрельбы и начальной скорости снаряда стоит ниже современных систем авиаци</w:t>
      </w:r>
      <w:r w:rsidRPr="00271E51">
        <w:rPr>
          <w:color w:val="000000" w:themeColor="text1"/>
          <w:sz w:val="16"/>
          <w:szCs w:val="16"/>
        </w:rPr>
        <w:softHyphen/>
        <w:t xml:space="preserve">онных автоматических пушек и значительно ниже отечественной 37-мм пушки НС-37 ОКБ-16». Пушка имеет большой относительный вес. Коэффициент использования металла по отношению к дульной мощности (показатель качества оружия) у Виккерс </w:t>
      </w:r>
      <w:r w:rsidRPr="00271E51">
        <w:rPr>
          <w:color w:val="000000" w:themeColor="text1"/>
          <w:sz w:val="16"/>
          <w:szCs w:val="16"/>
          <w:lang w:val="en-US"/>
        </w:rPr>
        <w:t>S</w:t>
      </w:r>
      <w:r w:rsidRPr="00271E51">
        <w:rPr>
          <w:color w:val="000000" w:themeColor="text1"/>
          <w:sz w:val="16"/>
          <w:szCs w:val="16"/>
        </w:rPr>
        <w:t xml:space="preserve"> в 1,35 раза меньше, чем у американской 37-мм пушки М-4, в 3,5 раза меньше, чем у НС-37, и в 4 раза меньше, чем у НС-45.</w:t>
      </w:r>
    </w:p>
    <w:p w14:paraId="410CF5A2"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Несмотря на больший калибр, бронепроби- ваемость английской пушки оказалась хуже оте</w:t>
      </w:r>
      <w:r w:rsidRPr="00271E51">
        <w:rPr>
          <w:color w:val="000000" w:themeColor="text1"/>
          <w:sz w:val="16"/>
          <w:szCs w:val="16"/>
        </w:rPr>
        <w:softHyphen/>
        <w:t>чественной пушки калибра 37 мм НС-37. С дис</w:t>
      </w:r>
      <w:r w:rsidRPr="00271E51">
        <w:rPr>
          <w:color w:val="000000" w:themeColor="text1"/>
          <w:sz w:val="16"/>
          <w:szCs w:val="16"/>
        </w:rPr>
        <w:softHyphen/>
        <w:t>танции 300 м бронебойный снаряд к пушке НС-37 пробивал при нормальном попадании до 48,3 мм гомогенной танковой брони, тогда как броне</w:t>
      </w:r>
      <w:r w:rsidRPr="00271E51">
        <w:rPr>
          <w:color w:val="000000" w:themeColor="text1"/>
          <w:sz w:val="16"/>
          <w:szCs w:val="16"/>
        </w:rPr>
        <w:softHyphen/>
        <w:t xml:space="preserve">бойный снаряд к пушке Виккерс </w:t>
      </w:r>
      <w:r w:rsidRPr="00271E51">
        <w:rPr>
          <w:color w:val="000000" w:themeColor="text1"/>
          <w:sz w:val="16"/>
          <w:szCs w:val="16"/>
          <w:lang w:val="en-US"/>
        </w:rPr>
        <w:t>S</w:t>
      </w:r>
      <w:r w:rsidRPr="00271E51">
        <w:rPr>
          <w:color w:val="000000" w:themeColor="text1"/>
          <w:sz w:val="16"/>
          <w:szCs w:val="16"/>
        </w:rPr>
        <w:t xml:space="preserve"> — только 38—41 мм, а к американской 37-мм пушке М-4 — 40—43 мм.</w:t>
      </w:r>
    </w:p>
    <w:p w14:paraId="29381973"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Советские истребители Як-9т и ЛаГГ-3 хотя и имели несколько меньший вес секундного залпа, но заметно превосходили английский истребитель танков по летным данным.</w:t>
      </w:r>
    </w:p>
    <w:p w14:paraId="68352332" w14:textId="77777777" w:rsidR="007826CC" w:rsidRPr="00271E51" w:rsidRDefault="007826C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Наступательное стрелково-пушечное вооруже</w:t>
      </w:r>
      <w:r w:rsidRPr="00271E51">
        <w:rPr>
          <w:rFonts w:ascii="Times New Roman" w:hAnsi="Times New Roman"/>
          <w:color w:val="000000" w:themeColor="text1"/>
          <w:sz w:val="16"/>
          <w:szCs w:val="16"/>
        </w:rPr>
        <w:softHyphen/>
        <w:t xml:space="preserve">ние Ил-2 по сравнению с оружием «Харрикейн» </w:t>
      </w:r>
      <w:r w:rsidRPr="00271E51">
        <w:rPr>
          <w:rFonts w:ascii="Times New Roman" w:hAnsi="Times New Roman"/>
          <w:color w:val="000000" w:themeColor="text1"/>
          <w:sz w:val="16"/>
          <w:szCs w:val="16"/>
          <w:lang w:val="en-US"/>
        </w:rPr>
        <w:t>IID</w:t>
      </w:r>
      <w:r w:rsidRPr="00271E51">
        <w:rPr>
          <w:rFonts w:ascii="Times New Roman" w:hAnsi="Times New Roman"/>
          <w:color w:val="000000" w:themeColor="text1"/>
          <w:sz w:val="16"/>
          <w:szCs w:val="16"/>
        </w:rPr>
        <w:t xml:space="preserve"> имело почти в 1,5 раза больший вес секундного залпа. При этом боекомплект к пушкам у Ил-2 по времени непрерывной стрельбы был также боль</w:t>
      </w:r>
      <w:r w:rsidRPr="00271E51">
        <w:rPr>
          <w:rFonts w:ascii="Times New Roman" w:hAnsi="Times New Roman"/>
          <w:color w:val="000000" w:themeColor="text1"/>
          <w:sz w:val="16"/>
          <w:szCs w:val="16"/>
        </w:rPr>
        <w:softHyphen/>
        <w:t>ше. Если принять во внимание значительно лучшее бронирование самолета Ил-2, наличие обороны задней полусферы и бомбового вооружения, то преимущество его системы вооружения считалось несомненным.</w:t>
      </w:r>
    </w:p>
    <w:p w14:paraId="59942DDF"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Рассеивание нескольких очередей при стрельбе в воздухе из пушек по полотнищам, расположен</w:t>
      </w:r>
      <w:r w:rsidRPr="00271E51">
        <w:rPr>
          <w:color w:val="000000" w:themeColor="text1"/>
          <w:sz w:val="16"/>
          <w:szCs w:val="16"/>
        </w:rPr>
        <w:softHyphen/>
        <w:t>ным на земле, у самолета «Харрикейн» примерно в 2—2,5 раза меньше, чем у самолетов ЛаГГ-3 и Як-9т с пушкой НС-37, и в 6—6,5 раза меньше, чем у самолета Ил-2 с пушками НС-37. Смещение центров группирования попаданий по отношению точки на</w:t>
      </w:r>
      <w:r w:rsidRPr="00271E51">
        <w:rPr>
          <w:color w:val="000000" w:themeColor="text1"/>
          <w:sz w:val="16"/>
          <w:szCs w:val="16"/>
        </w:rPr>
        <w:softHyphen/>
        <w:t>водки прицела у самолета «Харрикейн» меньше, чем у Ил-2 с НС-37, примерно в 4—11 раз.</w:t>
      </w:r>
    </w:p>
    <w:p w14:paraId="24B0B5C1"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Рассеивание при стрельбе в воздухе из пушек у самолета «Харрикейн» </w:t>
      </w:r>
      <w:r w:rsidRPr="00271E51">
        <w:rPr>
          <w:color w:val="000000" w:themeColor="text1"/>
          <w:sz w:val="16"/>
          <w:szCs w:val="16"/>
          <w:lang w:val="en-US"/>
        </w:rPr>
        <w:t>IID</w:t>
      </w:r>
      <w:r w:rsidRPr="00271E51">
        <w:rPr>
          <w:color w:val="000000" w:themeColor="text1"/>
          <w:sz w:val="16"/>
          <w:szCs w:val="16"/>
        </w:rPr>
        <w:t>, по сравнению с рассе</w:t>
      </w:r>
      <w:r w:rsidRPr="00271E51">
        <w:rPr>
          <w:color w:val="000000" w:themeColor="text1"/>
          <w:sz w:val="16"/>
          <w:szCs w:val="16"/>
        </w:rPr>
        <w:softHyphen/>
        <w:t>иванием при стрельбе на земле, возрастало в 10— 18 раз, а у самолета Ил-2 — в 30—100 раз. Сле</w:t>
      </w:r>
      <w:r w:rsidRPr="00271E51">
        <w:rPr>
          <w:color w:val="000000" w:themeColor="text1"/>
          <w:sz w:val="16"/>
          <w:szCs w:val="16"/>
        </w:rPr>
        <w:softHyphen/>
        <w:t xml:space="preserve">довательно, ведение прицельного огня в воздухе с самолета «Харрикейн» </w:t>
      </w:r>
      <w:r w:rsidRPr="00271E51">
        <w:rPr>
          <w:color w:val="000000" w:themeColor="text1"/>
          <w:sz w:val="16"/>
          <w:szCs w:val="16"/>
          <w:lang w:val="en-US"/>
        </w:rPr>
        <w:t>IID</w:t>
      </w:r>
      <w:r w:rsidRPr="00271E51">
        <w:rPr>
          <w:color w:val="000000" w:themeColor="text1"/>
          <w:sz w:val="16"/>
          <w:szCs w:val="16"/>
        </w:rPr>
        <w:t xml:space="preserve"> «значительно удобнее и точнее, чем со сравниваемыми отечественными самолетами».</w:t>
      </w:r>
    </w:p>
    <w:p w14:paraId="2A397C9D"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Считалось, что такой результат англичанам уда</w:t>
      </w:r>
      <w:r w:rsidRPr="00271E51">
        <w:rPr>
          <w:color w:val="000000" w:themeColor="text1"/>
          <w:sz w:val="16"/>
          <w:szCs w:val="16"/>
        </w:rPr>
        <w:softHyphen/>
        <w:t>лось получить за счет «удачного расположения центра тяжести самолета, что почти не снизило его летно-пилотажные качества», хорошей конструк</w:t>
      </w:r>
      <w:r w:rsidRPr="00271E51">
        <w:rPr>
          <w:color w:val="000000" w:themeColor="text1"/>
          <w:sz w:val="16"/>
          <w:szCs w:val="16"/>
        </w:rPr>
        <w:softHyphen/>
        <w:t>ции прицела, обеспечивающего точность при при</w:t>
      </w:r>
      <w:r w:rsidRPr="00271E51">
        <w:rPr>
          <w:color w:val="000000" w:themeColor="text1"/>
          <w:sz w:val="16"/>
          <w:szCs w:val="16"/>
        </w:rPr>
        <w:softHyphen/>
        <w:t xml:space="preserve">целивании, и удобного расположения механизмов управления огнем оружия. То есть «Харрикейн» </w:t>
      </w:r>
      <w:r w:rsidRPr="00271E51">
        <w:rPr>
          <w:color w:val="000000" w:themeColor="text1"/>
          <w:sz w:val="16"/>
          <w:szCs w:val="16"/>
          <w:lang w:val="en-US"/>
        </w:rPr>
        <w:t>IID</w:t>
      </w:r>
      <w:r w:rsidRPr="00271E51">
        <w:rPr>
          <w:color w:val="000000" w:themeColor="text1"/>
          <w:sz w:val="16"/>
          <w:szCs w:val="16"/>
        </w:rPr>
        <w:t xml:space="preserve"> наглядно продемонстрировал возможность уста</w:t>
      </w:r>
      <w:r w:rsidRPr="00271E51">
        <w:rPr>
          <w:color w:val="000000" w:themeColor="text1"/>
          <w:sz w:val="16"/>
          <w:szCs w:val="16"/>
        </w:rPr>
        <w:softHyphen/>
        <w:t>новки крупнокалиберных авиапушек на одномо</w:t>
      </w:r>
      <w:r w:rsidRPr="00271E51">
        <w:rPr>
          <w:color w:val="000000" w:themeColor="text1"/>
          <w:sz w:val="16"/>
          <w:szCs w:val="16"/>
        </w:rPr>
        <w:softHyphen/>
        <w:t>торный самолет без снижения его летных качеств и «с достаточной точностью ведения прицельного огня».</w:t>
      </w:r>
    </w:p>
    <w:p w14:paraId="7A6E6228"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По результатам испытаний был сделан вывод, что «по объему и качеству бронирования «Харри- кейн» </w:t>
      </w:r>
      <w:r w:rsidRPr="00271E51">
        <w:rPr>
          <w:color w:val="000000" w:themeColor="text1"/>
          <w:sz w:val="16"/>
          <w:szCs w:val="16"/>
          <w:lang w:val="en-US"/>
        </w:rPr>
        <w:t>IID</w:t>
      </w:r>
      <w:r w:rsidRPr="00271E51">
        <w:rPr>
          <w:color w:val="000000" w:themeColor="text1"/>
          <w:sz w:val="16"/>
          <w:szCs w:val="16"/>
        </w:rPr>
        <w:t xml:space="preserve"> значительно уступает Ил-2», вследствие чего «будет нести значительные потери при штур</w:t>
      </w:r>
      <w:r w:rsidRPr="00271E51">
        <w:rPr>
          <w:color w:val="000000" w:themeColor="text1"/>
          <w:sz w:val="16"/>
          <w:szCs w:val="16"/>
        </w:rPr>
        <w:softHyphen/>
        <w:t>мовых атаках». Целесообразность боевого приме</w:t>
      </w:r>
      <w:r w:rsidRPr="00271E51">
        <w:rPr>
          <w:color w:val="000000" w:themeColor="text1"/>
          <w:sz w:val="16"/>
          <w:szCs w:val="16"/>
        </w:rPr>
        <w:softHyphen/>
        <w:t>нения противотанкового «Харрикейна» была по</w:t>
      </w:r>
      <w:r w:rsidRPr="00271E51">
        <w:rPr>
          <w:color w:val="000000" w:themeColor="text1"/>
          <w:sz w:val="16"/>
          <w:szCs w:val="16"/>
        </w:rPr>
        <w:softHyphen/>
        <w:t>ставлена под сомнение.</w:t>
      </w:r>
    </w:p>
    <w:p w14:paraId="77B8918A"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Как истребитель использовать его было нель</w:t>
      </w:r>
      <w:r w:rsidRPr="00271E51">
        <w:rPr>
          <w:color w:val="000000" w:themeColor="text1"/>
          <w:sz w:val="16"/>
          <w:szCs w:val="16"/>
        </w:rPr>
        <w:softHyphen/>
        <w:t xml:space="preserve">зя — он не мог догнать даже </w:t>
      </w:r>
      <w:r w:rsidRPr="00271E51">
        <w:rPr>
          <w:color w:val="000000" w:themeColor="text1"/>
          <w:sz w:val="16"/>
          <w:szCs w:val="16"/>
          <w:lang w:val="en-US"/>
        </w:rPr>
        <w:t>Ju</w:t>
      </w:r>
      <w:r w:rsidRPr="00271E51">
        <w:rPr>
          <w:color w:val="000000" w:themeColor="text1"/>
          <w:sz w:val="16"/>
          <w:szCs w:val="16"/>
        </w:rPr>
        <w:t>88, а для штурмо</w:t>
      </w:r>
      <w:r w:rsidRPr="00271E51">
        <w:rPr>
          <w:color w:val="000000" w:themeColor="text1"/>
          <w:sz w:val="16"/>
          <w:szCs w:val="16"/>
        </w:rPr>
        <w:softHyphen/>
        <w:t xml:space="preserve">вых действий он был совершенно непригоден из-за слабого бронирования и вооружения. Воздушный бой одиночного «Харрикейн» </w:t>
      </w:r>
      <w:r w:rsidRPr="00271E51">
        <w:rPr>
          <w:color w:val="000000" w:themeColor="text1"/>
          <w:sz w:val="16"/>
          <w:szCs w:val="16"/>
          <w:lang w:val="en-US"/>
        </w:rPr>
        <w:t>IID</w:t>
      </w:r>
      <w:r w:rsidRPr="00271E51">
        <w:rPr>
          <w:color w:val="000000" w:themeColor="text1"/>
          <w:sz w:val="16"/>
          <w:szCs w:val="16"/>
        </w:rPr>
        <w:t xml:space="preserve"> не только с груп</w:t>
      </w:r>
      <w:r w:rsidRPr="00271E51">
        <w:rPr>
          <w:color w:val="000000" w:themeColor="text1"/>
          <w:sz w:val="16"/>
          <w:szCs w:val="16"/>
        </w:rPr>
        <w:softHyphen/>
        <w:t>пой, но даже и с одиночным истребителем против</w:t>
      </w:r>
      <w:r w:rsidRPr="00271E51">
        <w:rPr>
          <w:color w:val="000000" w:themeColor="text1"/>
          <w:sz w:val="16"/>
          <w:szCs w:val="16"/>
        </w:rPr>
        <w:softHyphen/>
        <w:t>ника был недопустим. Боевые задачи можно было выполнять только группой и воздушный бой вести в боевом порядке круг или выполняя ножницы с оттягиванием на свою территорию.</w:t>
      </w:r>
    </w:p>
    <w:p w14:paraId="7EB44275"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 результатам испытаний самолета «Харри</w:t>
      </w:r>
      <w:r w:rsidRPr="00271E51">
        <w:rPr>
          <w:color w:val="000000" w:themeColor="text1"/>
          <w:sz w:val="16"/>
          <w:szCs w:val="16"/>
        </w:rPr>
        <w:softHyphen/>
        <w:t xml:space="preserve">кейн» </w:t>
      </w:r>
      <w:r w:rsidRPr="00271E51">
        <w:rPr>
          <w:color w:val="000000" w:themeColor="text1"/>
          <w:sz w:val="16"/>
          <w:szCs w:val="16"/>
          <w:lang w:val="en-US"/>
        </w:rPr>
        <w:t>IID</w:t>
      </w:r>
      <w:r w:rsidRPr="00271E51">
        <w:rPr>
          <w:color w:val="000000" w:themeColor="text1"/>
          <w:sz w:val="16"/>
          <w:szCs w:val="16"/>
        </w:rPr>
        <w:t xml:space="preserve"> и его вооружения заместитель начальни</w:t>
      </w:r>
      <w:r w:rsidRPr="00271E51">
        <w:rPr>
          <w:color w:val="000000" w:themeColor="text1"/>
          <w:sz w:val="16"/>
          <w:szCs w:val="16"/>
        </w:rPr>
        <w:softHyphen/>
        <w:t>ка оперативного управления ВВС КА генерал-майор А. П. Некрасов 17 мая 1944 г. направил начальнику штаба ВВС генерал-полковнику С. А. Худякову за</w:t>
      </w:r>
      <w:r w:rsidRPr="00271E51">
        <w:rPr>
          <w:color w:val="000000" w:themeColor="text1"/>
          <w:sz w:val="16"/>
          <w:szCs w:val="16"/>
        </w:rPr>
        <w:softHyphen/>
        <w:t>ключение о боевых возможностях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w:t>
      </w:r>
    </w:p>
    <w:p w14:paraId="64666EEC"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документе констатировалось, что «вследствие слабого могущества выстрела стрелково-пушечно- го оружия, отсутствия бомбардировочного воору</w:t>
      </w:r>
      <w:r w:rsidRPr="00271E51">
        <w:rPr>
          <w:color w:val="000000" w:themeColor="text1"/>
          <w:sz w:val="16"/>
          <w:szCs w:val="16"/>
        </w:rPr>
        <w:softHyphen/>
        <w:t xml:space="preserve">жения и недостаточного бронирования, самолет «Харрикейн» </w:t>
      </w:r>
      <w:r w:rsidRPr="00271E51">
        <w:rPr>
          <w:color w:val="000000" w:themeColor="text1"/>
          <w:sz w:val="16"/>
          <w:szCs w:val="16"/>
          <w:lang w:val="en-US"/>
        </w:rPr>
        <w:t>IID</w:t>
      </w:r>
      <w:r w:rsidRPr="00271E51">
        <w:rPr>
          <w:color w:val="000000" w:themeColor="text1"/>
          <w:sz w:val="16"/>
          <w:szCs w:val="16"/>
        </w:rPr>
        <w:t xml:space="preserve"> не может быть эффективно исполь</w:t>
      </w:r>
      <w:r w:rsidRPr="00271E51">
        <w:rPr>
          <w:color w:val="000000" w:themeColor="text1"/>
          <w:sz w:val="16"/>
          <w:szCs w:val="16"/>
        </w:rPr>
        <w:softHyphen/>
        <w:t>зован как истребитель танков или штурмовик». Бо</w:t>
      </w:r>
      <w:r w:rsidRPr="00271E51">
        <w:rPr>
          <w:color w:val="000000" w:themeColor="text1"/>
          <w:sz w:val="16"/>
          <w:szCs w:val="16"/>
        </w:rPr>
        <w:softHyphen/>
        <w:t>еприпасы пушек НС-37 калибра 37 мм и ВЯ калибра 23 мм, состоящие из осколочно-зажигательных и бронебойно-зажигательных снарядов, имеют боль</w:t>
      </w:r>
      <w:r w:rsidRPr="00271E51">
        <w:rPr>
          <w:color w:val="000000" w:themeColor="text1"/>
          <w:sz w:val="16"/>
          <w:szCs w:val="16"/>
        </w:rPr>
        <w:softHyphen/>
        <w:t xml:space="preserve">ший разрушающий эффект у цели по сравнению с боеприпасами к пушке Виккерс </w:t>
      </w:r>
      <w:r w:rsidRPr="00271E51">
        <w:rPr>
          <w:color w:val="000000" w:themeColor="text1"/>
          <w:sz w:val="16"/>
          <w:szCs w:val="16"/>
          <w:lang w:val="en-US"/>
        </w:rPr>
        <w:t>S</w:t>
      </w:r>
      <w:r w:rsidRPr="00271E51">
        <w:rPr>
          <w:color w:val="000000" w:themeColor="text1"/>
          <w:sz w:val="16"/>
          <w:szCs w:val="16"/>
        </w:rPr>
        <w:t>, а бронебой</w:t>
      </w:r>
      <w:r w:rsidRPr="00271E51">
        <w:rPr>
          <w:color w:val="000000" w:themeColor="text1"/>
          <w:sz w:val="16"/>
          <w:szCs w:val="16"/>
        </w:rPr>
        <w:softHyphen/>
        <w:t>ный снаряд пушки НС-37 обладает к тому же еще и большей бронепробиваемостью.</w:t>
      </w:r>
    </w:p>
    <w:p w14:paraId="48BA4DA4"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Внимание руководства обращалось на ненор</w:t>
      </w:r>
      <w:r w:rsidRPr="00271E51">
        <w:rPr>
          <w:color w:val="000000" w:themeColor="text1"/>
          <w:sz w:val="16"/>
          <w:szCs w:val="16"/>
        </w:rPr>
        <w:softHyphen/>
        <w:t>мальную ситуацию со снабжением ВВС КА снаряда</w:t>
      </w:r>
      <w:r w:rsidRPr="00271E51">
        <w:rPr>
          <w:color w:val="000000" w:themeColor="text1"/>
          <w:sz w:val="16"/>
          <w:szCs w:val="16"/>
        </w:rPr>
        <w:softHyphen/>
        <w:t xml:space="preserve">ми к пушкам Виккерс </w:t>
      </w:r>
      <w:r w:rsidRPr="00271E51">
        <w:rPr>
          <w:color w:val="000000" w:themeColor="text1"/>
          <w:sz w:val="16"/>
          <w:szCs w:val="16"/>
          <w:lang w:val="en-US"/>
        </w:rPr>
        <w:t>S</w:t>
      </w:r>
      <w:r w:rsidRPr="00271E51">
        <w:rPr>
          <w:color w:val="000000" w:themeColor="text1"/>
          <w:sz w:val="16"/>
          <w:szCs w:val="16"/>
        </w:rPr>
        <w:t>. По этому поводу в докла</w:t>
      </w:r>
      <w:r w:rsidRPr="00271E51">
        <w:rPr>
          <w:color w:val="000000" w:themeColor="text1"/>
          <w:sz w:val="16"/>
          <w:szCs w:val="16"/>
        </w:rPr>
        <w:softHyphen/>
        <w:t>де указывалось: «Получаемые нами бронебойные снаряды от англичан являются недоснаряженными (нет взрывчатого вещества и донного взрывателя), вследствие чего баллистические характеристики снарядов — плохие и не отвечают тактико-техни</w:t>
      </w:r>
      <w:r w:rsidRPr="00271E51">
        <w:rPr>
          <w:color w:val="000000" w:themeColor="text1"/>
          <w:sz w:val="16"/>
          <w:szCs w:val="16"/>
        </w:rPr>
        <w:softHyphen/>
        <w:t>ческим требованиям к боеприпасам воздушного боя. Такой тип снаряда не в состоянии пробить броню среднего танка в 45 мм на дистанции 300 м под углом встречи к нормали 30°, а бронь толщи</w:t>
      </w:r>
      <w:r w:rsidRPr="00271E51">
        <w:rPr>
          <w:color w:val="000000" w:themeColor="text1"/>
          <w:sz w:val="16"/>
          <w:szCs w:val="16"/>
        </w:rPr>
        <w:softHyphen/>
        <w:t>ной меньше чем 30 мм или планер самолета, он способен пробить, но не разрушить, так как снаряд не имеет ни зажигательного, ни фугасного снаряже</w:t>
      </w:r>
      <w:r w:rsidRPr="00271E51">
        <w:rPr>
          <w:color w:val="000000" w:themeColor="text1"/>
          <w:sz w:val="16"/>
          <w:szCs w:val="16"/>
        </w:rPr>
        <w:softHyphen/>
        <w:t>ния. Поэтому такие снаряды могут быть использо</w:t>
      </w:r>
      <w:r w:rsidRPr="00271E51">
        <w:rPr>
          <w:color w:val="000000" w:themeColor="text1"/>
          <w:sz w:val="16"/>
          <w:szCs w:val="16"/>
        </w:rPr>
        <w:softHyphen/>
        <w:t>ваны для учебных целей или как лафетопробные. Для поражения самолетов в воздухе нужны снаря</w:t>
      </w:r>
      <w:r w:rsidRPr="00271E51">
        <w:rPr>
          <w:color w:val="000000" w:themeColor="text1"/>
          <w:sz w:val="16"/>
          <w:szCs w:val="16"/>
        </w:rPr>
        <w:softHyphen/>
        <w:t>ды осколочно-фугасного действия».</w:t>
      </w:r>
    </w:p>
    <w:p w14:paraId="2E417AB9"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При сопоставимых летных данных у земли ос</w:t>
      </w:r>
      <w:r w:rsidRPr="00271E51">
        <w:rPr>
          <w:color w:val="000000" w:themeColor="text1"/>
          <w:sz w:val="16"/>
          <w:szCs w:val="16"/>
        </w:rPr>
        <w:softHyphen/>
        <w:t>новной ударный самолет ВВС КА штурмовик Ил-2 имел значительно более сильное бронирование, бомбардировочное вооружение и воздушного стрелка для защиты от атак истребителей против</w:t>
      </w:r>
      <w:r w:rsidRPr="00271E51">
        <w:rPr>
          <w:color w:val="000000" w:themeColor="text1"/>
          <w:sz w:val="16"/>
          <w:szCs w:val="16"/>
        </w:rPr>
        <w:softHyphen/>
        <w:t>ника со стороны задней полусферы. По этим при</w:t>
      </w:r>
      <w:r w:rsidRPr="00271E51">
        <w:rPr>
          <w:color w:val="000000" w:themeColor="text1"/>
          <w:sz w:val="16"/>
          <w:szCs w:val="16"/>
        </w:rPr>
        <w:softHyphen/>
        <w:t>чинам боевые качества Ил-2 оценивались специ</w:t>
      </w:r>
      <w:r w:rsidRPr="00271E51">
        <w:rPr>
          <w:color w:val="000000" w:themeColor="text1"/>
          <w:sz w:val="16"/>
          <w:szCs w:val="16"/>
        </w:rPr>
        <w:softHyphen/>
        <w:t xml:space="preserve">алистами оперативного управления значительно выше, чем «Харрикейна» </w:t>
      </w:r>
      <w:r w:rsidRPr="00271E51">
        <w:rPr>
          <w:color w:val="000000" w:themeColor="text1"/>
          <w:sz w:val="16"/>
          <w:szCs w:val="16"/>
          <w:lang w:val="en-US"/>
        </w:rPr>
        <w:t>IID</w:t>
      </w:r>
      <w:r w:rsidRPr="00271E51">
        <w:rPr>
          <w:color w:val="000000" w:themeColor="text1"/>
          <w:sz w:val="16"/>
          <w:szCs w:val="16"/>
        </w:rPr>
        <w:t>.</w:t>
      </w:r>
    </w:p>
    <w:p w14:paraId="210DE57F"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lastRenderedPageBreak/>
        <w:t>На основании этого делался вывод, что «самолет «Харрикейн» 11Д в качестве штурмовика применять нецелесообразно, вследствие слабого могущества выстрела стрелково-пушечного вооружения, отсут</w:t>
      </w:r>
      <w:r w:rsidRPr="00271E51">
        <w:rPr>
          <w:color w:val="000000" w:themeColor="text1"/>
          <w:sz w:val="16"/>
          <w:szCs w:val="16"/>
        </w:rPr>
        <w:softHyphen/>
        <w:t>ствия бомбардировочного вооружения и слабого бронирования». Истребитель предлагалось исполь</w:t>
      </w:r>
      <w:r w:rsidRPr="00271E51">
        <w:rPr>
          <w:color w:val="000000" w:themeColor="text1"/>
          <w:sz w:val="16"/>
          <w:szCs w:val="16"/>
        </w:rPr>
        <w:softHyphen/>
        <w:t>зовать в системе ПВО страны в качестве истреби</w:t>
      </w:r>
      <w:r w:rsidRPr="00271E51">
        <w:rPr>
          <w:color w:val="000000" w:themeColor="text1"/>
          <w:sz w:val="16"/>
          <w:szCs w:val="16"/>
        </w:rPr>
        <w:softHyphen/>
        <w:t>теля-перехватчика, но при условии использования боеприпасов «осколочно-трассиру- ющего или осколочно-зажигатель- ного снаряжения».</w:t>
      </w:r>
    </w:p>
    <w:p w14:paraId="2D2A0E42" w14:textId="77777777" w:rsidR="007826CC" w:rsidRPr="00271E51" w:rsidRDefault="007826CC"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Известна резолюция генерала Худякова, которую тот наложил на документ: «ОУ. Подготовить справ</w:t>
      </w:r>
      <w:r w:rsidRPr="00271E51">
        <w:rPr>
          <w:color w:val="000000" w:themeColor="text1"/>
          <w:sz w:val="16"/>
          <w:szCs w:val="16"/>
        </w:rPr>
        <w:softHyphen/>
        <w:t>ку такого же содержания главному инженеру ВВС за моей подписью». Уже 23 мая справка ушла в аппарат генерала Репина (17500).</w:t>
      </w:r>
    </w:p>
    <w:p w14:paraId="4171BAA4" w14:textId="77777777" w:rsidR="007826CC" w:rsidRPr="00271E51" w:rsidRDefault="007826CC" w:rsidP="00271E51">
      <w:pPr>
        <w:spacing w:after="0" w:line="240" w:lineRule="auto"/>
        <w:jc w:val="both"/>
        <w:rPr>
          <w:rFonts w:ascii="Times New Roman" w:hAnsi="Times New Roman"/>
          <w:color w:val="000000" w:themeColor="text1"/>
          <w:sz w:val="16"/>
          <w:szCs w:val="16"/>
        </w:rPr>
      </w:pPr>
    </w:p>
    <w:p w14:paraId="4311F60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вышел приказ НКАП № 764с:</w:t>
      </w:r>
    </w:p>
    <w:p w14:paraId="23192DB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решением ГКО от 8/10 1943 № 4290с:</w:t>
      </w:r>
    </w:p>
    <w:p w14:paraId="17FB628E"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Ор-ть в Таганроге на базе б. З-да № 31 ремонтный з-д, возложив на него изготовление самолетных агрегатов и ремонт ст-в, как на заводе, так и в действующих частях ВВС,</w:t>
      </w:r>
    </w:p>
    <w:p w14:paraId="2200A759" w14:textId="77777777" w:rsidR="00FC04C9" w:rsidRPr="00271E51" w:rsidRDefault="00FC04C9" w:rsidP="00271E5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З-ду присвоить № 86 и подчинить его 10 ГУ.</w:t>
      </w:r>
    </w:p>
    <w:p w14:paraId="0E20B8EF"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Дементьев (1763, 64-65).</w:t>
      </w:r>
    </w:p>
    <w:p w14:paraId="186353C3"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35911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приказом НКАП № 764с во исполнение решения ГОКО № 4290с от 8 октября 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10ГУ из 6ГУ с 1.01.1944 г.</w:t>
      </w:r>
    </w:p>
    <w:p w14:paraId="1A14B6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1944 г. по 05.1945 г. на заводе из деталей завода № 39 собрано пять Ер-2.</w:t>
      </w:r>
    </w:p>
    <w:p w14:paraId="27B579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самолетостроения.38 С 1.10.46 г. получил статус опытного завода. С 1.07.1948 г. вновь преобразован в серийный (в 10ГУ). В 1959 г.- в ведении Ростовского СНХ.</w:t>
      </w:r>
    </w:p>
    <w:p w14:paraId="7815BC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4ED28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49490A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(1.07.2003 г.)- 4109 чел.</w:t>
      </w:r>
    </w:p>
    <w:p w14:paraId="121781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(05.1944-02.1946 г.)- П.М. Федоренко, (1954 г.)- М.А. Соболев 29, (1958- начало 1970-х г.)- С.М. Головин 35, (1983 г.)- Н.В. Ожерельев 44. Гендиректор (-2002 г.)- В.Н. Какуркин, (2002 г.-; 02.2005 г.)- Н.В. Савицких, (10.2004 г.)- И.С. Семченко.</w:t>
      </w:r>
    </w:p>
    <w:p w14:paraId="2AD253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ВЭС- В.Н. Какуркин.</w:t>
      </w:r>
    </w:p>
    <w:p w14:paraId="61E479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(1963-74 г.)- Р.Л. Бартини.</w:t>
      </w:r>
    </w:p>
    <w:p w14:paraId="1527EA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376C32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 г.)- В.Н. Малинин, (1954 г.)- С.М. Головин, (1958 г.)- А.Б. Катькалов, (нач. 1970-х г.)- Г. Будюк,35 (-; 2002-04 г.-)- В.Н. Какуркин.</w:t>
      </w:r>
    </w:p>
    <w:p w14:paraId="4CE119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(1944 г.)- Н.Д. Архипов. Начальник производства (1944 г.)- Духанин, (1950-е)- А.И. Шамров. Начальник СКО (1944 г.)- Н.П. Назаренко. Начальник ЛИС (1944 г.)- Н.И. Мамлеев.</w:t>
      </w:r>
    </w:p>
    <w:p w14:paraId="72AE3A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(1950-е)- А.Я. Егоров (нач. сборочного цеха).</w:t>
      </w:r>
    </w:p>
    <w:p w14:paraId="210160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Бе-6 (1952-57)- 129 (123), Бе-8, Ил-32, УЧШЛи-2 (1950-е), Бе-10 (1957-61)- 2629 (2837), Бе-12 (1963-73)- 139, Бе-30 (1970)- 5, ВВА-14 (1972-74)- 2, Ту-142 (1973-2004-), А-50 (2004); оперение для Ту-334 (2004); оборудование для десантирования грузов (2004);</w:t>
      </w:r>
    </w:p>
    <w:p w14:paraId="4CEC0E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УРВП: Х-20 (1960-61), Х-20М (1962-); мишени: ПМ-3Ж (1958-59), 77БМ-2М (1959), 77БМ-3М (1960-62);</w:t>
      </w:r>
    </w:p>
    <w:p w14:paraId="16FF2A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пр. 13987 «Боец», пр. 11130 «Орион» (2000-е).</w:t>
      </w:r>
    </w:p>
    <w:p w14:paraId="561609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Заводской номер. 3602704: 3- последняя цифра года выпуска; 6- последняя цифра номера завода; 27- номер серии; 04- номер самолета в серии.</w:t>
      </w:r>
    </w:p>
    <w:p w14:paraId="26731E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86 НКАП, МАП, Ростовского СНХ, ГС опытный завод морского самолетостроения, Таганрогский механический завод им. Г. Димитрова МАП, ТАПП (таганрогское авиационное производственное предприятие) им. Г. Димитрова, ОАО «Таганрогская авиация» («ТАВИА») </w:t>
      </w:r>
    </w:p>
    <w:p w14:paraId="29676C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347923 г. Таганрог Ростовской обл. пл. Авиаторов, 1 тел. 36-63-64</w:t>
      </w:r>
    </w:p>
    <w:p w14:paraId="7FB93D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ОКБ-86 4-го Спецотдела МВД при заводе № 86 МАП гл. конструктора Р.Л. Бартини</w:t>
      </w:r>
    </w:p>
    <w:p w14:paraId="008174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Таганрог</w:t>
      </w:r>
    </w:p>
    <w:p w14:paraId="0161A5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Особое КБ с опытной базой организовано в соответствии с постановлением № 1666-737сс от 29.07.1946 г. и приказами № 555сс от 17.08.1946 г. и № 608с/0283 от 5.09.1946 г. при заводе № 86.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1A1652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6566DB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360A87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(09.1946-48 г.; 1963-06.1968 г.)- Р.Л. Бартини.</w:t>
      </w:r>
    </w:p>
    <w:p w14:paraId="4D0964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(09.1946 г.-)- М.С. Ямалутдинов.</w:t>
      </w:r>
    </w:p>
    <w:p w14:paraId="7C68DF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5E56CF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436C79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C55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г. приказом № 764с в соответствии с решением ГКО № 4290с от 8.10.1943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10ГУ из 6ГУ с 1.01.1944 г. 4.05.1944 г. вышло постановление ГКО № 5800 о заводе.</w:t>
      </w:r>
    </w:p>
    <w:p w14:paraId="29BEA1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1944 г. по 05.1945 г. на заводе из деталей завода № 39 собрано пять Ер-2.</w:t>
      </w:r>
      <w:r w:rsidRPr="00271E51">
        <w:rPr>
          <w:rFonts w:ascii="Times New Roman" w:hAnsi="Times New Roman"/>
          <w:color w:val="000000" w:themeColor="text1"/>
          <w:sz w:val="16"/>
          <w:szCs w:val="16"/>
          <w:vertAlign w:val="superscript"/>
        </w:rPr>
        <w:t>34</w:t>
      </w:r>
    </w:p>
    <w:p w14:paraId="115560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w:t>
      </w:r>
      <w:r w:rsidRPr="00271E51">
        <w:rPr>
          <w:rFonts w:ascii="Times New Roman" w:hAnsi="Times New Roman"/>
          <w:color w:val="000000" w:themeColor="text1"/>
          <w:sz w:val="16"/>
          <w:szCs w:val="16"/>
          <w:vertAlign w:val="superscript"/>
        </w:rPr>
        <w:t>38</w:t>
      </w:r>
      <w:r w:rsidRPr="00271E51">
        <w:rPr>
          <w:rFonts w:ascii="Times New Roman" w:hAnsi="Times New Roman"/>
          <w:color w:val="000000" w:themeColor="text1"/>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1362E8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базе Ли-2Т разработан учебно-штурманский УЧШЛи-2 (А.П. Голубков).</w:t>
      </w:r>
    </w:p>
    <w:p w14:paraId="546E5D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290892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48DA47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1988 г. на базе завода создано ТАПП. По решению правительства № 22-р от 9.01.2004 г. вошло в перечень стратегических предприятий.</w:t>
      </w:r>
    </w:p>
    <w:p w14:paraId="7902CC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7B761D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(1.07.2003 г.)- 4109 чел.</w:t>
      </w:r>
    </w:p>
    <w:p w14:paraId="7D575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(-05.1944-48 Г.-)- П.М. Федоренко, (1953-58 г.-)- М.А. Соболев </w:t>
      </w:r>
      <w:r w:rsidRPr="00271E51">
        <w:rPr>
          <w:rFonts w:ascii="Times New Roman" w:hAnsi="Times New Roman"/>
          <w:color w:val="000000" w:themeColor="text1"/>
          <w:sz w:val="16"/>
          <w:szCs w:val="16"/>
          <w:vertAlign w:val="superscript"/>
        </w:rPr>
        <w:t>29</w:t>
      </w:r>
      <w:r w:rsidRPr="00271E51">
        <w:rPr>
          <w:rFonts w:ascii="Times New Roman" w:hAnsi="Times New Roman"/>
          <w:color w:val="000000" w:themeColor="text1"/>
          <w:sz w:val="16"/>
          <w:szCs w:val="16"/>
        </w:rPr>
        <w:t>, (1958-78 г.)- С.М. Головин</w:t>
      </w:r>
      <w:r w:rsidRPr="00271E51">
        <w:rPr>
          <w:rFonts w:ascii="Times New Roman" w:hAnsi="Times New Roman"/>
          <w:color w:val="000000" w:themeColor="text1"/>
          <w:sz w:val="16"/>
          <w:szCs w:val="16"/>
          <w:vertAlign w:val="superscript"/>
        </w:rPr>
        <w:t>35</w:t>
      </w:r>
      <w:r w:rsidRPr="00271E51">
        <w:rPr>
          <w:rFonts w:ascii="Times New Roman" w:hAnsi="Times New Roman"/>
          <w:color w:val="000000" w:themeColor="text1"/>
          <w:sz w:val="16"/>
          <w:szCs w:val="16"/>
        </w:rPr>
        <w:t>, (1978- 85 г.)- Н.В. Ожерельев, (1985-2001 г.)- И.С. Семченко. Гендиректор (-2002 г.)- В.Н. Какуркин, (2002 г.-; 02.2005- 06 г.)- Н.В. Савицких, (Ю.2004 г.)- И.С. Семченко, (11.2006 г.-)- В. Кобзев.</w:t>
      </w:r>
    </w:p>
    <w:p w14:paraId="1AF0B0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ВЭС- В.Н. Какуркин; по экономике и финансам (2006 г.)- А. Чуркин.</w:t>
      </w:r>
    </w:p>
    <w:p w14:paraId="1EAA0A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(1963-74 г.)- </w:t>
      </w:r>
      <w:r w:rsidRPr="00271E51">
        <w:rPr>
          <w:rFonts w:ascii="Times New Roman" w:hAnsi="Times New Roman"/>
          <w:color w:val="000000" w:themeColor="text1"/>
          <w:sz w:val="16"/>
          <w:szCs w:val="16"/>
          <w:lang w:val="en-US"/>
        </w:rPr>
        <w:t>P</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JI</w:t>
      </w:r>
      <w:r w:rsidRPr="00271E51">
        <w:rPr>
          <w:rFonts w:ascii="Times New Roman" w:hAnsi="Times New Roman"/>
          <w:color w:val="000000" w:themeColor="text1"/>
          <w:sz w:val="16"/>
          <w:szCs w:val="16"/>
        </w:rPr>
        <w:t>. Бартини.</w:t>
      </w:r>
    </w:p>
    <w:p w14:paraId="7C59A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Зам. гл. конструктора (-1970 г.)- В.И. Бирюлин, (1970-76 г.)- Н.А. Погорелов (зам. гл. конструктора ОКБ-49).</w:t>
      </w:r>
    </w:p>
    <w:p w14:paraId="17AB83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(1944 г.)- В.Н. Малинин, (1954 г.)- С.М. Головин, (1958 г.)- А.Б. Катькалов, (1960-е)- Н.В. Ожерельев, (начало 1970-х  г.)-  Г. Будюк,</w:t>
      </w:r>
      <w:r w:rsidRPr="00271E51">
        <w:rPr>
          <w:rFonts w:ascii="Times New Roman" w:hAnsi="Times New Roman"/>
          <w:color w:val="000000" w:themeColor="text1"/>
          <w:sz w:val="16"/>
          <w:szCs w:val="16"/>
          <w:vertAlign w:val="superscript"/>
        </w:rPr>
        <w:t>35</w:t>
      </w:r>
      <w:r w:rsidRPr="00271E51">
        <w:rPr>
          <w:rFonts w:ascii="Times New Roman" w:hAnsi="Times New Roman"/>
          <w:color w:val="000000" w:themeColor="text1"/>
          <w:sz w:val="16"/>
          <w:szCs w:val="16"/>
        </w:rPr>
        <w:t xml:space="preserve"> (-2002-04 г.-)- В.Н. Какуркин.</w:t>
      </w:r>
    </w:p>
    <w:p w14:paraId="29DAC1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48377E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сборочного (1950-е)- А</w:t>
      </w:r>
      <w:r w:rsidRPr="00271E51">
        <w:rPr>
          <w:rFonts w:ascii="Times New Roman" w:hAnsi="Times New Roman"/>
          <w:iCs/>
          <w:color w:val="000000" w:themeColor="text1"/>
          <w:sz w:val="16"/>
          <w:szCs w:val="16"/>
        </w:rPr>
        <w:t xml:space="preserve"> .Я.</w:t>
      </w:r>
      <w:r w:rsidRPr="00271E51">
        <w:rPr>
          <w:rFonts w:ascii="Times New Roman" w:hAnsi="Times New Roman"/>
          <w:color w:val="000000" w:themeColor="text1"/>
          <w:sz w:val="16"/>
          <w:szCs w:val="16"/>
        </w:rPr>
        <w:t xml:space="preserve"> Егоров.</w:t>
      </w:r>
    </w:p>
    <w:p w14:paraId="140626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самолеты:</w:t>
      </w:r>
      <w:r w:rsidRPr="00271E51">
        <w:rPr>
          <w:rFonts w:ascii="Times New Roman" w:hAnsi="Times New Roman"/>
          <w:color w:val="000000" w:themeColor="text1"/>
          <w:sz w:val="16"/>
          <w:szCs w:val="16"/>
        </w:rPr>
        <w:t xml:space="preserve"> Бе-6 (1952-57)- 129 (123), Бе-8, Ил-32, УЧШЛи-2 (1950-е), Бе-10 (1957-61)- 26</w:t>
      </w:r>
      <w:r w:rsidRPr="00271E51">
        <w:rPr>
          <w:rFonts w:ascii="Times New Roman" w:hAnsi="Times New Roman"/>
          <w:color w:val="000000" w:themeColor="text1"/>
          <w:sz w:val="16"/>
          <w:szCs w:val="16"/>
          <w:vertAlign w:val="superscript"/>
        </w:rPr>
        <w:t xml:space="preserve">29 </w:t>
      </w:r>
      <w:r w:rsidRPr="00271E51">
        <w:rPr>
          <w:rFonts w:ascii="Times New Roman" w:hAnsi="Times New Roman"/>
          <w:color w:val="000000" w:themeColor="text1"/>
          <w:sz w:val="16"/>
          <w:szCs w:val="16"/>
        </w:rPr>
        <w:t>(28</w:t>
      </w:r>
      <w:r w:rsidRPr="00271E51">
        <w:rPr>
          <w:rFonts w:ascii="Times New Roman" w:hAnsi="Times New Roman"/>
          <w:color w:val="000000" w:themeColor="text1"/>
          <w:sz w:val="16"/>
          <w:szCs w:val="16"/>
          <w:vertAlign w:val="superscript"/>
        </w:rPr>
        <w:t>37</w:t>
      </w:r>
      <w:r w:rsidRPr="00271E51">
        <w:rPr>
          <w:rFonts w:ascii="Times New Roman" w:hAnsi="Times New Roman"/>
          <w:color w:val="000000" w:themeColor="text1"/>
          <w:sz w:val="16"/>
          <w:szCs w:val="16"/>
        </w:rPr>
        <w:t>), Бе-12 (1963-73)- 139, Бе-30 (1970)- 5, ВВА-14 (1972-74)- 2, Ту-142 (1973-2004-), Ту-95МС (1981-83)- 88 (вместе с заводом № 18),</w:t>
      </w:r>
      <w:r w:rsidRPr="00271E51">
        <w:rPr>
          <w:rFonts w:ascii="Times New Roman" w:hAnsi="Times New Roman"/>
          <w:color w:val="000000" w:themeColor="text1"/>
          <w:sz w:val="16"/>
          <w:szCs w:val="16"/>
          <w:vertAlign w:val="superscript"/>
        </w:rPr>
        <w:t>30</w:t>
      </w:r>
      <w:r w:rsidRPr="00271E51">
        <w:rPr>
          <w:rFonts w:ascii="Times New Roman" w:hAnsi="Times New Roman"/>
          <w:color w:val="000000" w:themeColor="text1"/>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4B110F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катера: патрульный пр. 13987 «Боец» (1990-е), малый скоростной пр. 11130 «Орион» (2000-е);</w:t>
      </w:r>
      <w:r w:rsidRPr="00271E51">
        <w:rPr>
          <w:rFonts w:ascii="Times New Roman" w:hAnsi="Times New Roman"/>
          <w:color w:val="000000" w:themeColor="text1"/>
          <w:sz w:val="16"/>
          <w:szCs w:val="16"/>
          <w:vertAlign w:val="superscript"/>
        </w:rPr>
        <w:t>69</w:t>
      </w:r>
      <w:r w:rsidRPr="00271E51">
        <w:rPr>
          <w:rFonts w:ascii="Times New Roman" w:hAnsi="Times New Roman"/>
          <w:color w:val="000000" w:themeColor="text1"/>
          <w:sz w:val="16"/>
          <w:szCs w:val="16"/>
        </w:rPr>
        <w:t xml:space="preserve"> параппотно- бесплатформенные системы ПБС-915, ПБС-925 (2000-е);</w:t>
      </w:r>
      <w:r w:rsidRPr="00271E51">
        <w:rPr>
          <w:rFonts w:ascii="Times New Roman" w:hAnsi="Times New Roman"/>
          <w:color w:val="000000" w:themeColor="text1"/>
          <w:sz w:val="16"/>
          <w:szCs w:val="16"/>
          <w:vertAlign w:val="superscript"/>
        </w:rPr>
        <w:t>101</w:t>
      </w:r>
      <w:r w:rsidRPr="00271E51">
        <w:rPr>
          <w:rFonts w:ascii="Times New Roman" w:hAnsi="Times New Roman"/>
          <w:color w:val="000000" w:themeColor="text1"/>
          <w:sz w:val="16"/>
          <w:szCs w:val="16"/>
        </w:rPr>
        <w:t xml:space="preserve"> антенны РЛС дальнего обнаружения «Днестр-М» (1960-е);</w:t>
      </w:r>
    </w:p>
    <w:p w14:paraId="6891FE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Заводской номер. 3602704: 3-</w:t>
      </w:r>
      <w:r w:rsidRPr="00271E51">
        <w:rPr>
          <w:rFonts w:ascii="Times New Roman" w:hAnsi="Times New Roman"/>
          <w:color w:val="000000" w:themeColor="text1"/>
          <w:sz w:val="16"/>
          <w:szCs w:val="16"/>
        </w:rPr>
        <w:t xml:space="preserve"> последняя цифра года выпуска;</w:t>
      </w:r>
      <w:r w:rsidRPr="00271E51">
        <w:rPr>
          <w:rFonts w:ascii="Times New Roman" w:hAnsi="Times New Roman"/>
          <w:iCs/>
          <w:color w:val="000000" w:themeColor="text1"/>
          <w:sz w:val="16"/>
          <w:szCs w:val="16"/>
        </w:rPr>
        <w:t xml:space="preserve"> 6-</w:t>
      </w:r>
      <w:r w:rsidRPr="00271E51">
        <w:rPr>
          <w:rFonts w:ascii="Times New Roman" w:hAnsi="Times New Roman"/>
          <w:color w:val="000000" w:themeColor="text1"/>
          <w:sz w:val="16"/>
          <w:szCs w:val="16"/>
        </w:rPr>
        <w:t xml:space="preserve"> последняя цифра номера завода; 27- номер серии;</w:t>
      </w:r>
      <w:r w:rsidRPr="00271E51">
        <w:rPr>
          <w:rFonts w:ascii="Times New Roman" w:hAnsi="Times New Roman"/>
          <w:iCs/>
          <w:color w:val="000000" w:themeColor="text1"/>
          <w:sz w:val="16"/>
          <w:szCs w:val="16"/>
        </w:rPr>
        <w:t xml:space="preserve"> 04-</w:t>
      </w:r>
      <w:r w:rsidRPr="00271E51">
        <w:rPr>
          <w:rFonts w:ascii="Times New Roman" w:hAnsi="Times New Roman"/>
          <w:color w:val="000000" w:themeColor="text1"/>
          <w:sz w:val="16"/>
          <w:szCs w:val="16"/>
        </w:rPr>
        <w:t xml:space="preserve"> номер самолета в серии (11982).</w:t>
      </w:r>
    </w:p>
    <w:p w14:paraId="43EA46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DAF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г. успешно закончились сточасовые внутризаводские испытания АМ-42. В этой связи первый опытный штурмовик Ил-8 с мотором АМ-42 был передан на государственные испытания только в феврале 1944 г. (9649).</w:t>
      </w:r>
    </w:p>
    <w:p w14:paraId="0F9268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AD22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г. на заводских испытаниях АМ-42 показал ресурс уже в 100 ч (10680).</w:t>
      </w:r>
    </w:p>
    <w:p w14:paraId="531F68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8A1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вышел:</w:t>
      </w:r>
    </w:p>
    <w:p w14:paraId="5584D9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Секретно</w:t>
      </w:r>
    </w:p>
    <w:p w14:paraId="64AAA1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271E51">
        <w:rPr>
          <w:rFonts w:ascii="Times New Roman" w:hAnsi="Times New Roman"/>
          <w:color w:val="000000" w:themeColor="text1"/>
          <w:sz w:val="16"/>
          <w:szCs w:val="16"/>
        </w:rPr>
        <w:t>ПРИКАЗ № 22с</w:t>
      </w:r>
    </w:p>
    <w:p w14:paraId="010D79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271E51">
        <w:rPr>
          <w:rFonts w:ascii="Times New Roman" w:hAnsi="Times New Roman"/>
          <w:color w:val="000000" w:themeColor="text1"/>
          <w:sz w:val="16"/>
          <w:szCs w:val="16"/>
        </w:rPr>
        <w:t>по Особому Конструкторскому Бюро завода №16 от 23-го декабря 1943 г.</w:t>
      </w:r>
    </w:p>
    <w:p w14:paraId="7D01E3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271E51">
        <w:rPr>
          <w:rFonts w:ascii="Times New Roman" w:hAnsi="Times New Roman"/>
          <w:color w:val="000000" w:themeColor="text1"/>
          <w:sz w:val="16"/>
          <w:szCs w:val="16"/>
        </w:rPr>
        <w:t>На основании приказа № 3 Нач.8-го Гл.Управления НКАП от 16/Х1-43 г.,</w:t>
      </w:r>
    </w:p>
    <w:p w14:paraId="4C949B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271E51">
        <w:rPr>
          <w:rFonts w:ascii="Times New Roman" w:hAnsi="Times New Roman"/>
          <w:color w:val="000000" w:themeColor="text1"/>
          <w:sz w:val="16"/>
          <w:szCs w:val="16"/>
        </w:rPr>
        <w:t>ПРИКАЗЫВАЮ:</w:t>
      </w:r>
    </w:p>
    <w:p w14:paraId="7C0C6E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w:t>
      </w:r>
    </w:p>
    <w:p w14:paraId="04029F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успешное окончание стендовых заводских испытаний объекта 5050, премировать группу нижеследующих специалистов КБ-2: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7"/>
        <w:gridCol w:w="1740"/>
        <w:gridCol w:w="2455"/>
      </w:tblGrid>
      <w:tr w:rsidR="00A907A5" w:rsidRPr="00271E51" w14:paraId="787B4ACE" w14:textId="77777777" w:rsidTr="00ED5B0A">
        <w:tc>
          <w:tcPr>
            <w:tcW w:w="267" w:type="dxa"/>
            <w:tcBorders>
              <w:top w:val="single" w:sz="12" w:space="0" w:color="auto"/>
            </w:tcBorders>
            <w:shd w:val="clear" w:color="FFFFFF" w:fill="FFFFFF"/>
          </w:tcPr>
          <w:p w14:paraId="73A2A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740" w:type="dxa"/>
            <w:tcBorders>
              <w:top w:val="single" w:sz="12" w:space="0" w:color="auto"/>
            </w:tcBorders>
            <w:shd w:val="clear" w:color="FFFFFF" w:fill="FFFFFF"/>
          </w:tcPr>
          <w:p w14:paraId="423CD1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ГЛУШКО</w:t>
            </w:r>
          </w:p>
        </w:tc>
        <w:tc>
          <w:tcPr>
            <w:tcW w:w="2455" w:type="dxa"/>
            <w:tcBorders>
              <w:top w:val="single" w:sz="12" w:space="0" w:color="auto"/>
            </w:tcBorders>
            <w:shd w:val="clear" w:color="FFFFFF" w:fill="FFFFFF"/>
          </w:tcPr>
          <w:p w14:paraId="324ABE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- 1000 руб.</w:t>
            </w:r>
          </w:p>
        </w:tc>
      </w:tr>
      <w:tr w:rsidR="00A907A5" w:rsidRPr="00271E51" w14:paraId="713D5965" w14:textId="77777777" w:rsidTr="00ED5B0A">
        <w:tc>
          <w:tcPr>
            <w:tcW w:w="267" w:type="dxa"/>
            <w:shd w:val="clear" w:color="FFFFFF" w:fill="FFFFFF"/>
          </w:tcPr>
          <w:p w14:paraId="2CF1A8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740" w:type="dxa"/>
            <w:shd w:val="clear" w:color="FFFFFF" w:fill="FFFFFF"/>
          </w:tcPr>
          <w:p w14:paraId="4DE9D8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СЕРВУК</w:t>
            </w:r>
          </w:p>
        </w:tc>
        <w:tc>
          <w:tcPr>
            <w:tcW w:w="2455" w:type="dxa"/>
            <w:shd w:val="clear" w:color="FFFFFF" w:fill="FFFFFF"/>
          </w:tcPr>
          <w:p w14:paraId="1F112E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- 1000 ""</w:t>
            </w:r>
          </w:p>
        </w:tc>
      </w:tr>
      <w:tr w:rsidR="00A907A5" w:rsidRPr="00271E51" w14:paraId="31412BED" w14:textId="77777777" w:rsidTr="00ED5B0A">
        <w:tc>
          <w:tcPr>
            <w:tcW w:w="267" w:type="dxa"/>
            <w:shd w:val="clear" w:color="FFFFFF" w:fill="FFFFFF"/>
          </w:tcPr>
          <w:p w14:paraId="599B59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1740" w:type="dxa"/>
            <w:shd w:val="clear" w:color="FFFFFF" w:fill="FFFFFF"/>
          </w:tcPr>
          <w:p w14:paraId="37BBB2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ЖИРИЦКИЙ</w:t>
            </w:r>
          </w:p>
        </w:tc>
        <w:tc>
          <w:tcPr>
            <w:tcW w:w="2455" w:type="dxa"/>
            <w:shd w:val="clear" w:color="FFFFFF" w:fill="FFFFFF"/>
          </w:tcPr>
          <w:p w14:paraId="36CB53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- 1000 ""</w:t>
            </w:r>
          </w:p>
        </w:tc>
      </w:tr>
      <w:tr w:rsidR="00A907A5" w:rsidRPr="00271E51" w14:paraId="574EE8F4" w14:textId="77777777" w:rsidTr="00ED5B0A">
        <w:tc>
          <w:tcPr>
            <w:tcW w:w="267" w:type="dxa"/>
            <w:shd w:val="clear" w:color="FFFFFF" w:fill="FFFFFF"/>
          </w:tcPr>
          <w:p w14:paraId="2C3EDE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1740" w:type="dxa"/>
            <w:shd w:val="clear" w:color="FFFFFF" w:fill="FFFFFF"/>
          </w:tcPr>
          <w:p w14:paraId="02DCEA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Шнякин</w:t>
            </w:r>
          </w:p>
        </w:tc>
        <w:tc>
          <w:tcPr>
            <w:tcW w:w="2455" w:type="dxa"/>
            <w:shd w:val="clear" w:color="FFFFFF" w:fill="FFFFFF"/>
          </w:tcPr>
          <w:p w14:paraId="700A54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w:t>
            </w:r>
          </w:p>
        </w:tc>
      </w:tr>
      <w:tr w:rsidR="00A907A5" w:rsidRPr="00271E51" w14:paraId="45828BF2" w14:textId="77777777" w:rsidTr="00ED5B0A">
        <w:tc>
          <w:tcPr>
            <w:tcW w:w="267" w:type="dxa"/>
            <w:shd w:val="clear" w:color="FFFFFF" w:fill="FFFFFF"/>
          </w:tcPr>
          <w:p w14:paraId="094BB0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740" w:type="dxa"/>
            <w:shd w:val="clear" w:color="FFFFFF" w:fill="FFFFFF"/>
          </w:tcPr>
          <w:p w14:paraId="37D16C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ВИТКА</w:t>
            </w:r>
          </w:p>
        </w:tc>
        <w:tc>
          <w:tcPr>
            <w:tcW w:w="2455" w:type="dxa"/>
            <w:shd w:val="clear" w:color="FFFFFF" w:fill="FFFFFF"/>
          </w:tcPr>
          <w:p w14:paraId="784D38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w:t>
            </w:r>
          </w:p>
        </w:tc>
      </w:tr>
      <w:tr w:rsidR="00A907A5" w:rsidRPr="00271E51" w14:paraId="0C80441D" w14:textId="77777777" w:rsidTr="00ED5B0A">
        <w:tc>
          <w:tcPr>
            <w:tcW w:w="267" w:type="dxa"/>
            <w:shd w:val="clear" w:color="FFFFFF" w:fill="FFFFFF"/>
          </w:tcPr>
          <w:p w14:paraId="3C3FAE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1740" w:type="dxa"/>
            <w:shd w:val="clear" w:color="FFFFFF" w:fill="FFFFFF"/>
          </w:tcPr>
          <w:p w14:paraId="721F4A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УМАНСКИЙ</w:t>
            </w:r>
          </w:p>
        </w:tc>
        <w:tc>
          <w:tcPr>
            <w:tcW w:w="2455" w:type="dxa"/>
            <w:shd w:val="clear" w:color="FFFFFF" w:fill="FFFFFF"/>
          </w:tcPr>
          <w:p w14:paraId="358363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w:t>
            </w:r>
          </w:p>
        </w:tc>
      </w:tr>
      <w:tr w:rsidR="00A907A5" w:rsidRPr="00271E51" w14:paraId="1B5A8D27" w14:textId="77777777" w:rsidTr="00ED5B0A">
        <w:tc>
          <w:tcPr>
            <w:tcW w:w="267" w:type="dxa"/>
            <w:shd w:val="clear" w:color="FFFFFF" w:fill="FFFFFF"/>
          </w:tcPr>
          <w:p w14:paraId="2FC1B7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1740" w:type="dxa"/>
            <w:shd w:val="clear" w:color="FFFFFF" w:fill="FFFFFF"/>
          </w:tcPr>
          <w:p w14:paraId="35B0F3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НАЗАРОВ</w:t>
            </w:r>
          </w:p>
        </w:tc>
        <w:tc>
          <w:tcPr>
            <w:tcW w:w="2455" w:type="dxa"/>
            <w:shd w:val="clear" w:color="FFFFFF" w:fill="FFFFFF"/>
          </w:tcPr>
          <w:p w14:paraId="606B9C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w:t>
            </w:r>
          </w:p>
        </w:tc>
      </w:tr>
      <w:tr w:rsidR="00A907A5" w:rsidRPr="00271E51" w14:paraId="7FCCC00E" w14:textId="77777777" w:rsidTr="00ED5B0A">
        <w:tc>
          <w:tcPr>
            <w:tcW w:w="267" w:type="dxa"/>
            <w:shd w:val="clear" w:color="FFFFFF" w:fill="FFFFFF"/>
          </w:tcPr>
          <w:p w14:paraId="7BE5E4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1740" w:type="dxa"/>
            <w:shd w:val="clear" w:color="FFFFFF" w:fill="FFFFFF"/>
          </w:tcPr>
          <w:p w14:paraId="3D6FE9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РУДЗСКИЙ</w:t>
            </w:r>
          </w:p>
        </w:tc>
        <w:tc>
          <w:tcPr>
            <w:tcW w:w="2455" w:type="dxa"/>
            <w:shd w:val="clear" w:color="FFFFFF" w:fill="FFFFFF"/>
          </w:tcPr>
          <w:p w14:paraId="0950E7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руб.</w:t>
            </w:r>
          </w:p>
        </w:tc>
      </w:tr>
      <w:tr w:rsidR="00A907A5" w:rsidRPr="00271E51" w14:paraId="526F274F" w14:textId="77777777" w:rsidTr="00ED5B0A">
        <w:tc>
          <w:tcPr>
            <w:tcW w:w="267" w:type="dxa"/>
            <w:shd w:val="clear" w:color="FFFFFF" w:fill="FFFFFF"/>
          </w:tcPr>
          <w:p w14:paraId="6CF0D4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740" w:type="dxa"/>
            <w:shd w:val="clear" w:color="FFFFFF" w:fill="FFFFFF"/>
          </w:tcPr>
          <w:p w14:paraId="6E1A85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САПАРОВ</w:t>
            </w:r>
          </w:p>
        </w:tc>
        <w:tc>
          <w:tcPr>
            <w:tcW w:w="2455" w:type="dxa"/>
            <w:shd w:val="clear" w:color="FFFFFF" w:fill="FFFFFF"/>
          </w:tcPr>
          <w:p w14:paraId="0A8604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- 500 ""</w:t>
            </w:r>
          </w:p>
        </w:tc>
      </w:tr>
      <w:tr w:rsidR="00A907A5" w:rsidRPr="00271E51" w14:paraId="380FCFAD" w14:textId="77777777" w:rsidTr="00ED5B0A">
        <w:tc>
          <w:tcPr>
            <w:tcW w:w="267" w:type="dxa"/>
            <w:shd w:val="clear" w:color="FFFFFF" w:fill="FFFFFF"/>
          </w:tcPr>
          <w:p w14:paraId="0D43EB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740" w:type="dxa"/>
            <w:shd w:val="clear" w:color="FFFFFF" w:fill="FFFFFF"/>
          </w:tcPr>
          <w:p w14:paraId="01A2D3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ЛУЖИН</w:t>
            </w:r>
          </w:p>
        </w:tc>
        <w:tc>
          <w:tcPr>
            <w:tcW w:w="2455" w:type="dxa"/>
            <w:shd w:val="clear" w:color="FFFFFF" w:fill="FFFFFF"/>
          </w:tcPr>
          <w:p w14:paraId="5EA341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- 350 ""</w:t>
            </w:r>
          </w:p>
        </w:tc>
      </w:tr>
      <w:tr w:rsidR="00A907A5" w:rsidRPr="00271E51" w14:paraId="00A8E1AF" w14:textId="77777777" w:rsidTr="00ED5B0A">
        <w:tc>
          <w:tcPr>
            <w:tcW w:w="267" w:type="dxa"/>
            <w:shd w:val="clear" w:color="FFFFFF" w:fill="FFFFFF"/>
          </w:tcPr>
          <w:p w14:paraId="519EEF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740" w:type="dxa"/>
            <w:shd w:val="clear" w:color="FFFFFF" w:fill="FFFFFF"/>
          </w:tcPr>
          <w:p w14:paraId="5967F7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БЕЛЕНЬКИЙ</w:t>
            </w:r>
          </w:p>
        </w:tc>
        <w:tc>
          <w:tcPr>
            <w:tcW w:w="2455" w:type="dxa"/>
            <w:shd w:val="clear" w:color="FFFFFF" w:fill="FFFFFF"/>
          </w:tcPr>
          <w:p w14:paraId="048BC2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- 350 ""</w:t>
            </w:r>
          </w:p>
        </w:tc>
      </w:tr>
      <w:tr w:rsidR="00A907A5" w:rsidRPr="00271E51" w14:paraId="06C9F50F" w14:textId="77777777" w:rsidTr="00ED5B0A">
        <w:tc>
          <w:tcPr>
            <w:tcW w:w="267" w:type="dxa"/>
            <w:shd w:val="clear" w:color="FFFFFF" w:fill="FFFFFF"/>
          </w:tcPr>
          <w:p w14:paraId="69E699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c>
          <w:tcPr>
            <w:tcW w:w="1740" w:type="dxa"/>
            <w:shd w:val="clear" w:color="FFFFFF" w:fill="FFFFFF"/>
          </w:tcPr>
          <w:p w14:paraId="4E9863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ВОРОНЦОВ</w:t>
            </w:r>
          </w:p>
        </w:tc>
        <w:tc>
          <w:tcPr>
            <w:tcW w:w="2455" w:type="dxa"/>
            <w:shd w:val="clear" w:color="FFFFFF" w:fill="FFFFFF"/>
          </w:tcPr>
          <w:p w14:paraId="471EE1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 ""</w:t>
            </w:r>
          </w:p>
        </w:tc>
      </w:tr>
      <w:tr w:rsidR="00A907A5" w:rsidRPr="00271E51" w14:paraId="015C2B3C" w14:textId="77777777" w:rsidTr="00ED5B0A">
        <w:tc>
          <w:tcPr>
            <w:tcW w:w="267" w:type="dxa"/>
            <w:tcBorders>
              <w:bottom w:val="single" w:sz="12" w:space="0" w:color="auto"/>
            </w:tcBorders>
            <w:shd w:val="clear" w:color="FFFFFF" w:fill="FFFFFF"/>
          </w:tcPr>
          <w:p w14:paraId="0CCAE3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1740" w:type="dxa"/>
            <w:tcBorders>
              <w:bottom w:val="single" w:sz="12" w:space="0" w:color="auto"/>
            </w:tcBorders>
            <w:shd w:val="clear" w:color="FFFFFF" w:fill="FFFFFF"/>
          </w:tcPr>
          <w:p w14:paraId="5E8CD8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КОРОЛЕВ</w:t>
            </w:r>
          </w:p>
        </w:tc>
        <w:tc>
          <w:tcPr>
            <w:tcW w:w="2455" w:type="dxa"/>
            <w:tcBorders>
              <w:bottom w:val="single" w:sz="12" w:space="0" w:color="auto"/>
            </w:tcBorders>
            <w:shd w:val="clear" w:color="FFFFFF" w:fill="FFFFFF"/>
          </w:tcPr>
          <w:p w14:paraId="5C6748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- 1000 ""</w:t>
            </w:r>
          </w:p>
        </w:tc>
      </w:tr>
    </w:tbl>
    <w:p w14:paraId="47F33F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w:t>
      </w:r>
    </w:p>
    <w:p w14:paraId="59C91C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Бухгалтерии ОКБ выплатить сумму Спецтюрьме НКВД ТАССР для перечисления на личные счета премируемых специалистов.</w:t>
      </w:r>
    </w:p>
    <w:p w14:paraId="135F94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3</w:t>
      </w:r>
    </w:p>
    <w:p w14:paraId="54CA8A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успешным окончанием заводских испытаний объекта 5050, за проявленную инициативу по разработке технологии и приспособления для основных деталей камеры объекта 5050, а также за наладку их и изготовление первых деталей непосредственно на станках, - премировать тов.АРТАМОНОВА Н.Н. денежной премией в сумме 2000 рублей.</w:t>
      </w:r>
    </w:p>
    <w:p w14:paraId="7939A3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w:t>
      </w:r>
    </w:p>
    <w:p w14:paraId="3346C3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Гл.Бухгалтеру ОКБ отнести указанные выше премии за счет экономии фонда зарплаты в декабре 1943 года.</w:t>
      </w:r>
    </w:p>
    <w:p w14:paraId="3CBD93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ОСОБОГО КОНСТРУКТОРСКОГО БЮРО ЗАВОДА № 16</w:t>
      </w:r>
    </w:p>
    <w:p w14:paraId="4FC96A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/БЕКЕТОВ/ ЦГА РТ. Ф.Р-2845. Оп.З. Д.183. Л.80-81 (11313).</w:t>
      </w:r>
    </w:p>
    <w:p w14:paraId="7CFB6C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127A0"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40A10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38FC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23 по 25 декабря 1943 г. на заводе № 627 производились стендовые испытания элек</w:t>
      </w:r>
      <w:r w:rsidRPr="00271E51">
        <w:rPr>
          <w:rFonts w:ascii="Times New Roman" w:hAnsi="Times New Roman"/>
          <w:color w:val="000000" w:themeColor="text1"/>
          <w:sz w:val="16"/>
          <w:szCs w:val="16"/>
        </w:rPr>
        <w:softHyphen/>
        <w:t>тродвигателей и бортовых редукторов к ним. Во время испытаний, после 3,5 часов работы на стенде, в одном бортовом редукторе произошла поломка зубьев солнечной шестерни. Во втором редукторе, при вскрытии его, обнаружен большой износ зубьев солнечной шестерни.</w:t>
      </w:r>
    </w:p>
    <w:p w14:paraId="62365D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2722. Л. 9. Копия (11403).</w:t>
      </w:r>
    </w:p>
    <w:p w14:paraId="5AB05F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3CBFE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вышло Постановление ГКО № 4829 [О выделении рабочих со строительства 203 НКВД на разгрузку иностранных пароходов в Молотовске.] (7166, 5).</w:t>
      </w:r>
    </w:p>
    <w:p w14:paraId="249B1D3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BCC36F"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на Енакиевском металлургическом заводе первой в Донбассе отремонтирована доменная печь (4962).</w:t>
      </w:r>
    </w:p>
    <w:p w14:paraId="7DA26E3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AF53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14F2D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8FA47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23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32A63816"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декабря южнее Невеля наши войска продолжали вести наступательные бои, в ходе которых заняли несколько населённыхпунктов.</w:t>
      </w:r>
    </w:p>
    <w:p w14:paraId="2DC27451"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наши войска отбивали атаки крупных сил пехоты и танков противника и нанесли ему большие потери в живой силе и технике.</w:t>
      </w:r>
    </w:p>
    <w:p w14:paraId="17F5167A"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районе Коростеня наши войска успешно отбили все атаки пехоты и танков противника и в ходе боёв улучшили свои позиции.</w:t>
      </w:r>
    </w:p>
    <w:p w14:paraId="306C1200"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3CFB4F02"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22 декабря наши войска на всех фронтах подбили и уничтожили 128 немецких танков.</w:t>
      </w:r>
    </w:p>
    <w:p w14:paraId="1012E4BC"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Южнее Невеля наши войска продолжали вести наступательные бои. В одном районе бойцы Н-ской части переправились через водный рубеж и внезапным ударом овладели выгодными позициями. Немцы, застигнутые врасплох, поспешно отступили, бросив всё своё вооружение. Преследуя противника, наши подразделения истребили до двух рот гитлеровцев. На другом участке части Н-ского соединения с боями продвигались вперёд и заняли несколько населённых пунктов. В течение дня уничтожено свыше 400 немецких солдат и офицеров. Захвачены трофеи, в числе которых немецкий танк, самоходное орудие, две артиллерийских батареи и склад боеприпасов.</w:t>
      </w:r>
    </w:p>
    <w:p w14:paraId="3FDDAE14"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наши войска отбивали атаки противника. На одном участке немцы бросили в бой крупные силы пехоты и танков. Несмотря на большое численное превосходство, гитлеровцы не добились успеха. Отбрасывая наседающего противника, советские части нанесли ему тяжёлый урон. Артиллеристы и бронебойщики подбили и сожгли 47 немецких танков. Кроме того, 9 танков противника подорвались на минах, расставленных нашими сапёрами. Немцы потеряли только убитыми до 1.500 солдат и офицеров.</w:t>
      </w:r>
    </w:p>
    <w:p w14:paraId="366C0E6E"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районе города Коростень противник силами танков и пехоты атаковал позиции Н-ского соединения. Подпустив немцев на близкое расстояние, советские артиллеристы открыли мощный огонь. Гитлеровцы не могли прорвать нашу оборону и быстро отступили. Через несколько часов немцы перегруппировали силы и неоднократно атаковали наши позиции с другого направления. Однако и на этот раз все их атаки были успешно отбиты нашими войсками. Всего в течение дня на этом участке сожжено и подбито 27 немецких танков и уничтожено не менее батальона гитлеровцев.</w:t>
      </w:r>
    </w:p>
    <w:p w14:paraId="6A7271A4"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«Первомайский», действующий в Барановичской области, за последний месяц пустил под откос 19 вражеских железнодорожных эшелонов. В результате крушений разбито до 200 вагонов с войсками и военными грузами. Под обломками вагонов погибло много гитлеровцев. Кроме того, советские патриоты взорвали 8 немецких автомашин и разрушили 23 километра телеграфно-телефонной линии связи.</w:t>
      </w:r>
    </w:p>
    <w:p w14:paraId="437E9F0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южнее Невеля командир 5 батареи 187 артполка 87 немецкой пехотной дивизии капитан Эрих Виметаль рассказал: «Когда русские войска прорвали нашу оборону, я получил приказ об отходе на новый участок. Там я застал командира дивизиона капитана Роста. Он сказал, что мы окружены. Где штаб дивизии, никто не знал. Офицеры говорили, что командир дивизии бросил всех на произвол судьбы и исчез. Утром большая колонна, включая и обозы, сделала попытку выбраться из окружения по лесным дорогам. Однако в лесу мы встретили бегущих солдат разных полков. Они сообщили, что местность впереди уже занята русскими. Началась неописуемая паника. Солдаты группами и в одиночку бросились врассыпную. Каждый был предоставлен самому себе и думал только о своём спасении. Находившийся со мной лейтенант Дитрих сказал мне: «Я уже четыре года на войне, но такого беспорядка и такой растерянности ещё не видел». После бесплодных блужданий по лесу я вместе с лейтенантом сдался в плен».</w:t>
      </w:r>
    </w:p>
    <w:p w14:paraId="6BA8CD4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Разумовка, Запорожской области: «С первых же дней оккупации немецкие злодеи начади устанавливать в нашем селе проклятый «новый порядок». Гитлеровцы арестовали 200 мирных жителей, а затем их увезли. До сих пор о судьбе арестованных ничего не известно. Гитлеровские палачи повесили Кондрата Сову и его четырнадцатилетнего сына Карпа Коваль, расстреляли Федота Коваля, Тимофея Ульянченко и многих других наших односельчан. Немецкие разбойники дочиста ограбили население. Перед отступлением гитлеровцы разрушили больницу и сожгли много колхозных построек».</w:t>
      </w:r>
    </w:p>
    <w:p w14:paraId="45D8EE6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села Разумовка: Ефросинья Коваль, Николай Коваль, Мария Шевченко, Анна Костюченко.» (14869).</w:t>
      </w:r>
    </w:p>
    <w:p w14:paraId="2E3F6AFE"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51F870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 декабря 1943 г. на самолете Ил-2, пилотируемом летчиком 953-го шап 311-й шад старшим лейтенантом Сурковым, при выполнении боевого задания оказались перебиты на 75% тросы управления рулем высоты, двумя прямыми попаданиями зенитных снарядов разбит стабилизатор. В центроплане пробиты два отверстия диаметром до 40 см, каждое, перебиты основные стойки шасси. После выполнения задания самолет произвел посадку с убранными шасси в районе своего аэродрома.</w:t>
      </w:r>
    </w:p>
    <w:p w14:paraId="42F67F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этот же день на Ил-2 командира эскадрильи 952-го шап майора Крамница зенитным огнем были отбиты концы двух лопастей винта по 25 см, «пробита передняя броня мотора», перебиты тяга правого элерона, троса триммера флетнера, заклинены рули высоты. С имеющимися повреждениями самолет произвел вынужденную посадку на свой аэродром.</w:t>
      </w:r>
    </w:p>
    <w:p w14:paraId="057698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Подобных примеров удивительной живучести самолета Ил-2 можно приводить бесконечное множество.</w:t>
      </w:r>
    </w:p>
    <w:p w14:paraId="31CA3B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летчика лейтенанта Беляева (6-я ВА) при подходе к цели был обстрелян зенитной артиллерией. Прямым попаданием снаряда в стабилизатор была разбита большая часть его левой стороны, правая сторона изрешечена осколками, сделавшими пробоины размерами 5-10 см. Фюзеляж получил много осколочных и снарядных пробоин разной величины. В центроплане имелись пробоины размерами 5-10 см. Обшивка центроплана на площади свыше 20% оказалась сорвана. Пробиты тяги управления щитками. Имелись многочисленные осколочные пробоины на консолях плоскостей. В общей сложности самолет имел 350 больших и малых пробоин. Тем не менее «Ил-2 летел, посадка произведена на своем аэродроме». При посадке переломился фюзеляж. Экипаж не пострадал.</w:t>
      </w:r>
    </w:p>
    <w:p w14:paraId="365282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сильного зенитного огня над целью на Ил-2 старшего лейтенанта Крамарчука было «полностью разбито ребро обтекания правой стороны центроплана», в левой половине стабилизатора образовалась дыра площадью 1,5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Хвостовое оперение в полете сильно дрожало, что было заметно и с земли при проходе самолета на бреющем полете. Самолет был посажен на своем аэродроме.</w:t>
      </w:r>
    </w:p>
    <w:p w14:paraId="166BB7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нескольких прямых попаданий зенитных снарядов в Ил-2 майора Вийка был поврежден передний лонжерон левого крыла, во многих местах осколками пробита обшивка центроплана - размеры пробоин 15-20 см снизу и 60-70 см -сверху, взрывной волной сорвана обшивка центроплана и консоли на площади 3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«Взорван патронный ящик и поврежден пулемет». Кроме того, оказались пробитыми «боковая броня заднего бензобака и сам бензобак, а также броня правого маслобака и правый блок мотора до силовых шпилек». Стабилизатор с правой стороны имел пробоину размером 40 см и много мелких. Пробиты покрышки и камеры колес шасси и костыля. После благополучной посадки майора Вийка на свой аэродром в самолете насчитали 200 больших и малых пробоин.</w:t>
      </w:r>
    </w:p>
    <w:p w14:paraId="3D736F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1-м штурмовом авиакорпусе на одном Ил-2 зенитным огнем была «оторвана» левая половина руля высоты, левая половина стабилизатора и руль поворота, но самолет вернулся. Полет выполнялся на скорости 260-270 км/ч по прямой без эволюции. Снижение и подъем осуществлялось только газом в вертикальной плоскости.</w:t>
      </w:r>
    </w:p>
    <w:p w14:paraId="108C25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другом самолете Ил-2 от огня зенитной артиллерии оказался перебит лонжерон руля высоты, разрушено 30% нервюр, сорвано 50% обшивки стабилизатора, поврежден киль, разрушен руль поворота. Тем не менее самолет выполнил посадку на свой аэродром на колеса.</w:t>
      </w:r>
    </w:p>
    <w:p w14:paraId="6B8999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другом случае Ил-2 получил повреждения обеих половин руля высоты (на 45%) и стабилизатора (на 45%). Был полностью отбит руль поворота, перебиты троса триммера руля высоты. Самолет совершил нормальную посадку на свой аэродром.</w:t>
      </w:r>
    </w:p>
    <w:p w14:paraId="18D444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Штурмовик летчика Тараканова «пришел с поля боя на свой аэродром с отбитой левой половиной стабилизатора и руля глубины». На самолете были повреждены правая половина руля высоты и руль поворота. В фюзеляже имелась пробоина размерами 0,5 м. Перебито управление рулем поворота и простреляны пневматики обоих колес шасси. При посадке на свой аэродром, «вследствие повреждения пневматиков и отсутствия рулей глубины, самолет поставлен на нос».</w:t>
      </w:r>
    </w:p>
    <w:p w14:paraId="226749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пилотируемый младшим лейтенантом Макагоном, при выполнении боевого задания в результате сильного зенитного огня «получил повреждения плоскостей, отбит правый элерон, отбита левая сторона руля глубины, поврежден стабилизатор, сорвана обшивка и разбиты нервюры руля поворота, перебит левый трос руля поворота, большие пробоины деревянной части фюзеляжа». При посадке на шасси на свой аэродром самолет разрушился. Экипаж не пострадал.</w:t>
      </w:r>
    </w:p>
    <w:p w14:paraId="6F6DE2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Ил-2 младшего лейтенанта Макогона (1-й шак) после посадки на свой аэродром. В результате зенитного огня самолет «получил повреждения плоскостей, отбит правый элерон, отбита левая сторона руля высоты, поврежден стабилизатор, сорвана обшивка и разбиты нервюры руля поворота, перебит левый трос руля поворота, большие пробоины деревянной части фюзеляжа». При посадке на шасси на свой аэродром самолет разрушился. На снимке правая плоскость самолета.</w:t>
      </w:r>
    </w:p>
    <w:p w14:paraId="65A50A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менее уникальный случай произошел в 233-й шад. При выполнении боевого задания самолет лейтенанта Прядько был поврежден прямым попаданием зенитного снаряда в фюзеляж между 11-м и 12-м шпангоутами. При посадке фюзеляж переломился. Самолет закончил пробег уже без хвостовой части. Летчик и воздушный стрелок остались целыми.</w:t>
      </w:r>
    </w:p>
    <w:p w14:paraId="0795B4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старшего лейтенанта Киселева из этой же дивизии на подходе к цели прямым попаданием зенитного снаряда была отбита консольная часть стабилизатора, левый руль высоты, обтекатель фюзеляжа, и поврежден дутик. Выполнив боевое задание, летчик привел самолет на свой аэродром и совершил нормальную посадку.</w:t>
      </w:r>
    </w:p>
    <w:p w14:paraId="1532EA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летчика Криворучко был атакован истребителями люфтваффе. В результате неоднократных атак истребителей пушечным огнем были повреждены рули высоты, перебиты лонжероны правого крыла и органы приземления. При посадке «вследствие ослабления конструкции и несущей поверхности» самолет разрушился. Экипаж отделался ушибами.</w:t>
      </w:r>
    </w:p>
    <w:p w14:paraId="5D66AB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выполнении боевого задания младший лейтенант Арнаутов над целью попал под сильный зенитный огонь. В результате его Ил-2 получил множественные повреждения: перебита тяга управления правым элероном, снесена обшивка правой половины крыла от 6-й до 9-й нервюры и от заднего лонжерона до ребра обтекания крыла. Летчику удалось благополучно довести и посадить самолет на свой аэродром.</w:t>
      </w:r>
    </w:p>
    <w:p w14:paraId="46DB2A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Важно отметить, что, судя по документам, высокую живучесть Ил-2 в полной мере использовали главным образом только опытные летчики. Например, в отчетных материалах дивизий 1-го шак (1942-43гг.) по этому поводу указывается: «Все возвратившиеся летчики имеют опыт боевой работы, являются командирами эскадрилий, их заместителями и командирами звеньев. Примеров возвращения на разбитых самолетах молодых летчиков зарегистрировано очень мало» (11921).</w:t>
      </w:r>
    </w:p>
    <w:p w14:paraId="60EBF1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700D5" w14:textId="77777777" w:rsidR="00893923" w:rsidRPr="00271E51" w:rsidRDefault="00893923" w:rsidP="00271E51">
      <w:pPr>
        <w:pStyle w:val="ae"/>
        <w:shd w:val="clear" w:color="auto" w:fill="FFFFFF"/>
        <w:spacing w:before="0" w:after="0"/>
        <w:jc w:val="both"/>
        <w:rPr>
          <w:color w:val="000000" w:themeColor="text1"/>
          <w:sz w:val="16"/>
          <w:szCs w:val="16"/>
        </w:rPr>
      </w:pPr>
      <w:r w:rsidRPr="00271E51">
        <w:rPr>
          <w:color w:val="000000" w:themeColor="text1"/>
          <w:sz w:val="16"/>
          <w:szCs w:val="16"/>
        </w:rPr>
        <w:t>23 декабря 1943 года был отправлен первый большой эшелон с ИС-85, получателем оказался 58-й гвардейский танковый полк (гв. тп). Туда отправилась 21 машина. Столько же танков ушло в Тулу на комплектование 8-го гв. тп, ещё 17 машин отправилось в 13-й гв. тп, также проходивший переформирование в Туле. Всего же за декабрь в войска была отправлена 61 машина.</w:t>
      </w:r>
    </w:p>
    <w:p w14:paraId="7A07BDDF" w14:textId="77777777" w:rsidR="00893923" w:rsidRPr="00271E51" w:rsidRDefault="0089392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январе 1944 года 13-й гв. тп получил положенные по штату недостающие 4 танка, 21 машину получил 1-й гв. тп. Ещё 15 машин отправилось в Тулу 27 января 1944 года. Таким образом, полностью удалось укомплектовать ИС-85 4 полка, и ещё как минимум один — частично.</w:t>
      </w:r>
    </w:p>
    <w:p w14:paraId="160C13B1" w14:textId="77777777" w:rsidR="00893923" w:rsidRPr="00271E51" w:rsidRDefault="00893923"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Комплектация </w:t>
      </w:r>
      <w:hyperlink r:id="rId130" w:history="1">
        <w:r w:rsidRPr="00271E51">
          <w:rPr>
            <w:rStyle w:val="a5"/>
            <w:color w:val="000000" w:themeColor="text1"/>
            <w:sz w:val="16"/>
            <w:szCs w:val="16"/>
            <w:u w:val="none"/>
          </w:rPr>
          <w:t>гвардейских танковых полков</w:t>
        </w:r>
      </w:hyperlink>
      <w:r w:rsidRPr="00271E51">
        <w:rPr>
          <w:color w:val="000000" w:themeColor="text1"/>
          <w:sz w:val="16"/>
          <w:szCs w:val="16"/>
        </w:rPr>
        <w:t xml:space="preserve"> с ИС-85 ничем не отличалась от принятой до того структуры аналогичных соединений. В полк входили 4 роты по 5 танков и командирский танк. В феврале 1944 года, ещё до начала боевого применения ИС-85, был утверждён штат № 010/460, после чего гвардейские танковые полки на тяжёлых танках были переименованы в отдельные гвардейские тяжёлые танковые полки (гв. ттп). Помимо 21 тяжёлого танка, на вооружении полка состояли 3 британских </w:t>
      </w:r>
      <w:hyperlink r:id="rId131" w:history="1">
        <w:r w:rsidRPr="00271E51">
          <w:rPr>
            <w:rStyle w:val="a5"/>
            <w:color w:val="000000" w:themeColor="text1"/>
            <w:sz w:val="16"/>
            <w:szCs w:val="16"/>
            <w:u w:val="none"/>
          </w:rPr>
          <w:t>бронетранспортёра</w:t>
        </w:r>
      </w:hyperlink>
      <w:r w:rsidRPr="00271E51">
        <w:rPr>
          <w:color w:val="000000" w:themeColor="text1"/>
          <w:sz w:val="16"/>
          <w:szCs w:val="16"/>
        </w:rPr>
        <w:t xml:space="preserve"> Universal Carrier и 1 </w:t>
      </w:r>
      <w:hyperlink r:id="rId132" w:history="1">
        <w:r w:rsidRPr="00271E51">
          <w:rPr>
            <w:rStyle w:val="a5"/>
            <w:color w:val="000000" w:themeColor="text1"/>
            <w:sz w:val="16"/>
            <w:szCs w:val="16"/>
            <w:u w:val="none"/>
          </w:rPr>
          <w:t>бронеавтомобиль</w:t>
        </w:r>
      </w:hyperlink>
      <w:r w:rsidRPr="00271E51">
        <w:rPr>
          <w:color w:val="000000" w:themeColor="text1"/>
          <w:sz w:val="16"/>
          <w:szCs w:val="16"/>
        </w:rPr>
        <w:t xml:space="preserve"> БА-64Б, которые использовались разведкой. В это же время ИС-85 в переписке стал именоваться ИС-1. Правда, это приводило к путанице, поскольку часто также называли КВ-85. К слову, ещё сильнее в этом плане «повезло» ИС-2. Можно представить удивление </w:t>
      </w:r>
      <w:r w:rsidRPr="00271E51">
        <w:rPr>
          <w:color w:val="000000" w:themeColor="text1"/>
          <w:sz w:val="16"/>
          <w:szCs w:val="16"/>
        </w:rPr>
        <w:lastRenderedPageBreak/>
        <w:t>неподготовленного исследователя, когда он увидит в документах приказы о зачислении экипажей на танки КВ-2, датированные летом 1944 года. Ещё чаще попадается другое обозначение ИС-2 — КВ-122.</w:t>
      </w:r>
    </w:p>
    <w:p w14:paraId="685C348E" w14:textId="77777777" w:rsidR="00893923" w:rsidRPr="00271E51" w:rsidRDefault="0089392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Поскольку машина была новой, командованию требовались максимально достоверные данные как о боевом применении, так и эксплуатации ИС-85. Для этого в один из полков, оснащённых новыми танками, был отправлен инженер-майор А.И. Шамин, старший помощник начальника испытательного отдела НИБТ Полигона. Для него это была не первая такая командировка, да и опыта эксплуатации бронетанковой техники Алексею Ивановичу было не занимать. Именно он являлся автором руководства по войсковому ремонту КВ-1. 5 февраля 1944 года Шамин прибыл в 13-й гвардейский тяжёлый танковый полк, сформированный в Тульском танковом лагере.</w:t>
      </w:r>
    </w:p>
    <w:p w14:paraId="345921D3" w14:textId="77777777" w:rsidR="00893923" w:rsidRPr="00271E51" w:rsidRDefault="00893923"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5 февраля танки уже были укомплектованы экипажами. Быстро выявилась недостаточная подготовка личного состава. По инициативе Шамина были проведены занятия, посвящённые отличиям ИС-85 от КВ-1с, на которых раньше служила часть экипажей, а также особенностям эксплуатации новой машины. Также были проведены занятия с ремонтниками из состава полка. Дополнительно к полку прикомандировали мастера Москаленко с ЧКЗ. Его присутствие оказалось совсем не лишним, поскольку совершенно новая техника имела вполне ожидаемые «детские болезни». У двух танков пришлось менять коробки передач (17715).</w:t>
      </w:r>
    </w:p>
    <w:p w14:paraId="5A736741" w14:textId="77777777" w:rsidR="00893923" w:rsidRPr="00271E51" w:rsidRDefault="00893923" w:rsidP="00271E51">
      <w:pPr>
        <w:spacing w:after="0" w:line="240" w:lineRule="auto"/>
        <w:jc w:val="both"/>
        <w:rPr>
          <w:rFonts w:ascii="Times New Roman" w:hAnsi="Times New Roman"/>
          <w:color w:val="000000" w:themeColor="text1"/>
          <w:sz w:val="16"/>
          <w:szCs w:val="16"/>
        </w:rPr>
      </w:pPr>
    </w:p>
    <w:p w14:paraId="2CC2F1F0" w14:textId="6EADB455" w:rsidR="00D04D05" w:rsidRPr="00271E51" w:rsidRDefault="00D04D05"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177C0A5E" w14:textId="77777777" w:rsidR="00D04D05" w:rsidRPr="00271E51" w:rsidRDefault="00D04D05"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8EC0E5A" w14:textId="77777777" w:rsidR="00D04D05" w:rsidRPr="00271E51" w:rsidRDefault="00D04D0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 декабря 1943 американские самолеты, базирующиеся в Тараве, наносят удар по Науру (29376).</w:t>
      </w:r>
    </w:p>
    <w:p w14:paraId="32EF54B5" w14:textId="77777777" w:rsidR="00D04D05" w:rsidRPr="00271E51" w:rsidRDefault="00D04D05" w:rsidP="00271E51">
      <w:pPr>
        <w:spacing w:after="0" w:line="240" w:lineRule="auto"/>
        <w:jc w:val="both"/>
        <w:rPr>
          <w:rFonts w:ascii="Times New Roman" w:hAnsi="Times New Roman"/>
          <w:color w:val="0070C0"/>
          <w:sz w:val="16"/>
          <w:szCs w:val="16"/>
        </w:rPr>
      </w:pPr>
    </w:p>
    <w:p w14:paraId="22917E92" w14:textId="77777777" w:rsidR="00D04D05" w:rsidRPr="00271E51" w:rsidRDefault="00D04D0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23–24 декабря 1943 379 британских бомбардировщиков совершают налеты на Берлин, теряя 16 (4,2 процента) машин. Они разбрасывают свои бомбы широко из-за облачности (20376).</w:t>
      </w:r>
    </w:p>
    <w:p w14:paraId="42B16036" w14:textId="77777777" w:rsidR="00D04D05" w:rsidRPr="00271E51" w:rsidRDefault="00D04D05" w:rsidP="00271E51">
      <w:pPr>
        <w:spacing w:after="0" w:line="240" w:lineRule="auto"/>
        <w:jc w:val="both"/>
        <w:rPr>
          <w:rFonts w:ascii="Times New Roman" w:hAnsi="Times New Roman"/>
          <w:color w:val="0070C0"/>
          <w:sz w:val="16"/>
          <w:szCs w:val="16"/>
        </w:rPr>
      </w:pPr>
    </w:p>
    <w:p w14:paraId="29C4C1CC" w14:textId="77777777" w:rsidR="00D04D05" w:rsidRPr="00271E51" w:rsidRDefault="00D04D0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23–25 декабря 1945 самолеты Air Solomons (AirSols) ударили по Рабаулу, авианосцы ВМС США нанесли удар по Кавиенгу в Новой Ирландии, а самолеты пятой армии ВВС атаковали позиции Японии на мысе Глостер и мысе Хоскинс в Новой Британии (20376).</w:t>
      </w:r>
    </w:p>
    <w:p w14:paraId="7C4B8234" w14:textId="77777777" w:rsidR="00D04D05" w:rsidRPr="00271E51" w:rsidRDefault="00D04D05" w:rsidP="00271E51">
      <w:pPr>
        <w:spacing w:after="0" w:line="240" w:lineRule="auto"/>
        <w:jc w:val="both"/>
        <w:rPr>
          <w:rFonts w:ascii="Times New Roman" w:hAnsi="Times New Roman"/>
          <w:color w:val="0070C0"/>
          <w:sz w:val="16"/>
          <w:szCs w:val="16"/>
        </w:rPr>
      </w:pPr>
    </w:p>
    <w:p w14:paraId="184D0D05" w14:textId="4DC847EC"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EF93B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F70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вышло Постановление ГКО № 4831 О 45 мм моторной пушке ОКБ-16.РГАНИР, Фонд ГКО, д. 184, лл. 7 (11012).</w:t>
      </w:r>
    </w:p>
    <w:p w14:paraId="403D14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69A6F" w14:textId="77777777" w:rsidR="0085271C" w:rsidRPr="00271E51" w:rsidRDefault="0085271C"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24 декабря 1943 вышло Постановление ГКО № 4831 О 45 мм моторной пушке ОКБ-16</w:t>
      </w:r>
    </w:p>
    <w:p w14:paraId="699F4434" w14:textId="77777777" w:rsidR="0085271C" w:rsidRPr="00271E51" w:rsidRDefault="0085271C" w:rsidP="00271E51">
      <w:pPr>
        <w:pStyle w:val="47"/>
        <w:shd w:val="clear" w:color="auto" w:fill="auto"/>
        <w:tabs>
          <w:tab w:val="left" w:pos="139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1. Принять к сведению сообщение ВВС КА (т.Новикова) об удовлетворительных результатах государственных испытаний 45 мм пушки ОКБ-16 (Нудельмана-Суранова), установленной на самолете Як-9 с мотором </w:t>
      </w:r>
      <w:r w:rsidRPr="00271E51">
        <w:rPr>
          <w:rStyle w:val="0pt"/>
          <w:rFonts w:ascii="Times New Roman" w:hAnsi="Times New Roman" w:cs="Times New Roman"/>
          <w:color w:val="000000" w:themeColor="text1"/>
          <w:spacing w:val="0"/>
          <w:sz w:val="16"/>
          <w:szCs w:val="16"/>
        </w:rPr>
        <w:t>М-105</w:t>
      </w:r>
      <w:r w:rsidRPr="00271E51">
        <w:rPr>
          <w:rStyle w:val="0pt"/>
          <w:rFonts w:ascii="Times New Roman" w:eastAsia="Consolas" w:hAnsi="Times New Roman" w:cs="Times New Roman"/>
          <w:color w:val="000000" w:themeColor="text1"/>
          <w:spacing w:val="0"/>
          <w:sz w:val="16"/>
          <w:szCs w:val="16"/>
        </w:rPr>
        <w:t>ПФ</w:t>
      </w:r>
      <w:r w:rsidRPr="00271E51">
        <w:rPr>
          <w:rFonts w:ascii="Times New Roman" w:hAnsi="Times New Roman" w:cs="Times New Roman"/>
          <w:color w:val="000000" w:themeColor="text1"/>
          <w:sz w:val="16"/>
          <w:szCs w:val="16"/>
        </w:rPr>
        <w:t xml:space="preserve"> для стрельбы черев втулку винта.</w:t>
      </w:r>
    </w:p>
    <w:p w14:paraId="1E085B5B" w14:textId="77777777" w:rsidR="0085271C" w:rsidRPr="00271E51" w:rsidRDefault="0085271C" w:rsidP="00271E51">
      <w:pPr>
        <w:pStyle w:val="47"/>
        <w:shd w:val="clear" w:color="auto" w:fill="auto"/>
        <w:tabs>
          <w:tab w:val="left" w:pos="1396"/>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2. Обязать НКВ (т.Устинова) изготовить</w:t>
      </w:r>
      <w:r w:rsidRPr="00271E51">
        <w:rPr>
          <w:rStyle w:val="7pt0pt"/>
          <w:rFonts w:ascii="Times New Roman" w:hAnsi="Times New Roman" w:cs="Times New Roman"/>
          <w:color w:val="000000" w:themeColor="text1"/>
          <w:sz w:val="16"/>
          <w:szCs w:val="16"/>
        </w:rPr>
        <w:t xml:space="preserve"> и</w:t>
      </w:r>
      <w:r w:rsidRPr="00271E51">
        <w:rPr>
          <w:rFonts w:ascii="Times New Roman" w:hAnsi="Times New Roman" w:cs="Times New Roman"/>
          <w:color w:val="000000" w:themeColor="text1"/>
          <w:sz w:val="16"/>
          <w:szCs w:val="16"/>
        </w:rPr>
        <w:t xml:space="preserve"> подать НКАП до 15 февраля </w:t>
      </w:r>
      <w:r w:rsidRPr="00271E51">
        <w:rPr>
          <w:rStyle w:val="0pt"/>
          <w:rFonts w:ascii="Times New Roman" w:hAnsi="Times New Roman" w:cs="Times New Roman"/>
          <w:color w:val="000000" w:themeColor="text1"/>
          <w:spacing w:val="0"/>
          <w:sz w:val="16"/>
          <w:szCs w:val="16"/>
        </w:rPr>
        <w:t>1944</w:t>
      </w:r>
      <w:r w:rsidRPr="00271E51">
        <w:rPr>
          <w:rFonts w:ascii="Times New Roman" w:hAnsi="Times New Roman" w:cs="Times New Roman"/>
          <w:color w:val="000000" w:themeColor="text1"/>
          <w:sz w:val="16"/>
          <w:szCs w:val="16"/>
        </w:rPr>
        <w:t xml:space="preserve"> года 60 штук 45 мм мотор-пушек ОКБ-16 (Ну</w:t>
      </w:r>
      <w:r w:rsidRPr="00271E51">
        <w:rPr>
          <w:rFonts w:ascii="Times New Roman" w:hAnsi="Times New Roman" w:cs="Times New Roman"/>
          <w:color w:val="000000" w:themeColor="text1"/>
          <w:sz w:val="16"/>
          <w:szCs w:val="16"/>
        </w:rPr>
        <w:softHyphen/>
        <w:t>де льмаыа-Суранова) .</w:t>
      </w:r>
    </w:p>
    <w:p w14:paraId="41A58215" w14:textId="77777777" w:rsidR="0085271C" w:rsidRPr="00271E51" w:rsidRDefault="0085271C"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3. Обязать НКАП (т.Шахурина) до 25 марта </w:t>
      </w:r>
      <w:r w:rsidRPr="00271E51">
        <w:rPr>
          <w:rStyle w:val="0pt"/>
          <w:rFonts w:ascii="Times New Roman" w:hAnsi="Times New Roman" w:cs="Times New Roman"/>
          <w:color w:val="000000" w:themeColor="text1"/>
          <w:spacing w:val="0"/>
          <w:sz w:val="16"/>
          <w:szCs w:val="16"/>
        </w:rPr>
        <w:t>1944г.</w:t>
      </w:r>
      <w:r w:rsidRPr="00271E51">
        <w:rPr>
          <w:rFonts w:ascii="Times New Roman" w:hAnsi="Times New Roman" w:cs="Times New Roman"/>
          <w:color w:val="000000" w:themeColor="text1"/>
          <w:sz w:val="16"/>
          <w:szCs w:val="16"/>
        </w:rPr>
        <w:t xml:space="preserve"> воору</w:t>
      </w:r>
      <w:r w:rsidRPr="00271E51">
        <w:rPr>
          <w:rFonts w:ascii="Times New Roman" w:hAnsi="Times New Roman" w:cs="Times New Roman"/>
          <w:color w:val="000000" w:themeColor="text1"/>
          <w:sz w:val="16"/>
          <w:szCs w:val="16"/>
        </w:rPr>
        <w:softHyphen/>
        <w:t>жить 45 мм моторными пушками ОКБ-16 60 самолетов Як-9 и сдать их ВВС КА для проивводства войсковых испытаний.</w:t>
      </w:r>
    </w:p>
    <w:p w14:paraId="057C392C" w14:textId="77777777" w:rsidR="0085271C" w:rsidRPr="00271E51" w:rsidRDefault="0085271C" w:rsidP="00271E51">
      <w:pPr>
        <w:pStyle w:val="47"/>
        <w:shd w:val="clear" w:color="auto" w:fill="auto"/>
        <w:tabs>
          <w:tab w:val="left" w:pos="1384"/>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4. Обязать НКБ (т.Ванникова) изготовить </w:t>
      </w:r>
      <w:r w:rsidRPr="00271E51">
        <w:rPr>
          <w:rStyle w:val="0pt"/>
          <w:rFonts w:ascii="Times New Roman" w:hAnsi="Times New Roman" w:cs="Times New Roman"/>
          <w:color w:val="000000" w:themeColor="text1"/>
          <w:spacing w:val="0"/>
          <w:sz w:val="16"/>
          <w:szCs w:val="16"/>
        </w:rPr>
        <w:t>172.000</w:t>
      </w:r>
      <w:r w:rsidRPr="00271E51">
        <w:rPr>
          <w:rFonts w:ascii="Times New Roman" w:hAnsi="Times New Roman" w:cs="Times New Roman"/>
          <w:color w:val="000000" w:themeColor="text1"/>
          <w:sz w:val="16"/>
          <w:szCs w:val="16"/>
        </w:rPr>
        <w:t xml:space="preserve"> патронов к 45 мм пушке ОКБ-16 и подать их:</w:t>
      </w:r>
    </w:p>
    <w:p w14:paraId="09AA02C9" w14:textId="77777777" w:rsidR="0085271C" w:rsidRPr="00271E51" w:rsidRDefault="0085271C" w:rsidP="00271E51">
      <w:pPr>
        <w:pStyle w:val="47"/>
        <w:shd w:val="clear" w:color="auto" w:fill="auto"/>
        <w:tabs>
          <w:tab w:val="left" w:pos="2680"/>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НКВ - к 1 февраля </w:t>
      </w:r>
      <w:r w:rsidRPr="00271E51">
        <w:rPr>
          <w:rStyle w:val="0pt"/>
          <w:rFonts w:ascii="Times New Roman" w:hAnsi="Times New Roman" w:cs="Times New Roman"/>
          <w:color w:val="000000" w:themeColor="text1"/>
          <w:spacing w:val="0"/>
          <w:sz w:val="16"/>
          <w:szCs w:val="16"/>
        </w:rPr>
        <w:t>1944</w:t>
      </w:r>
      <w:r w:rsidRPr="00271E51">
        <w:rPr>
          <w:rFonts w:ascii="Times New Roman" w:hAnsi="Times New Roman" w:cs="Times New Roman"/>
          <w:color w:val="000000" w:themeColor="text1"/>
          <w:sz w:val="16"/>
          <w:szCs w:val="16"/>
        </w:rPr>
        <w:t xml:space="preserve"> года - </w:t>
      </w:r>
      <w:r w:rsidRPr="00271E51">
        <w:rPr>
          <w:rStyle w:val="0pt"/>
          <w:rFonts w:ascii="Times New Roman" w:hAnsi="Times New Roman" w:cs="Times New Roman"/>
          <w:color w:val="000000" w:themeColor="text1"/>
          <w:spacing w:val="0"/>
          <w:sz w:val="16"/>
          <w:szCs w:val="16"/>
        </w:rPr>
        <w:t>10.000</w:t>
      </w:r>
      <w:r w:rsidRPr="00271E51">
        <w:rPr>
          <w:rFonts w:ascii="Times New Roman" w:hAnsi="Times New Roman" w:cs="Times New Roman"/>
          <w:color w:val="000000" w:themeColor="text1"/>
          <w:sz w:val="16"/>
          <w:szCs w:val="16"/>
        </w:rPr>
        <w:t xml:space="preserve"> с лафетопробным снарядом;</w:t>
      </w:r>
    </w:p>
    <w:p w14:paraId="5A399C87" w14:textId="77777777" w:rsidR="0085271C" w:rsidRPr="00271E51" w:rsidRDefault="0085271C" w:rsidP="00271E51">
      <w:pPr>
        <w:pStyle w:val="47"/>
        <w:shd w:val="clear" w:color="auto" w:fill="auto"/>
        <w:tabs>
          <w:tab w:val="left" w:pos="2749"/>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НКАП - к 1 февраля </w:t>
      </w:r>
      <w:r w:rsidRPr="00271E51">
        <w:rPr>
          <w:rStyle w:val="0pt"/>
          <w:rFonts w:ascii="Times New Roman" w:hAnsi="Times New Roman" w:cs="Times New Roman"/>
          <w:color w:val="000000" w:themeColor="text1"/>
          <w:spacing w:val="0"/>
          <w:sz w:val="16"/>
          <w:szCs w:val="16"/>
        </w:rPr>
        <w:t>1944</w:t>
      </w:r>
      <w:r w:rsidRPr="00271E51">
        <w:rPr>
          <w:rFonts w:ascii="Times New Roman" w:hAnsi="Times New Roman" w:cs="Times New Roman"/>
          <w:color w:val="000000" w:themeColor="text1"/>
          <w:sz w:val="16"/>
          <w:szCs w:val="16"/>
        </w:rPr>
        <w:t xml:space="preserve"> года - </w:t>
      </w:r>
      <w:r w:rsidRPr="00271E51">
        <w:rPr>
          <w:rStyle w:val="0pt"/>
          <w:rFonts w:ascii="Times New Roman" w:hAnsi="Times New Roman" w:cs="Times New Roman"/>
          <w:color w:val="000000" w:themeColor="text1"/>
          <w:spacing w:val="0"/>
          <w:sz w:val="16"/>
          <w:szCs w:val="16"/>
        </w:rPr>
        <w:t>6.000</w:t>
      </w:r>
      <w:r w:rsidRPr="00271E51">
        <w:rPr>
          <w:rFonts w:ascii="Times New Roman" w:hAnsi="Times New Roman" w:cs="Times New Roman"/>
          <w:color w:val="000000" w:themeColor="text1"/>
          <w:sz w:val="16"/>
          <w:szCs w:val="16"/>
        </w:rPr>
        <w:t xml:space="preserve"> с лафетопробным снарядом;</w:t>
      </w:r>
    </w:p>
    <w:p w14:paraId="6F36DA21" w14:textId="77777777" w:rsidR="0085271C" w:rsidRPr="00271E51" w:rsidRDefault="0085271C"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ВВС КА - к 15 февраля </w:t>
      </w:r>
      <w:r w:rsidRPr="00271E51">
        <w:rPr>
          <w:rStyle w:val="0pt"/>
          <w:rFonts w:ascii="Times New Roman" w:hAnsi="Times New Roman" w:cs="Times New Roman"/>
          <w:color w:val="000000" w:themeColor="text1"/>
          <w:spacing w:val="0"/>
          <w:sz w:val="16"/>
          <w:szCs w:val="16"/>
        </w:rPr>
        <w:t>1944</w:t>
      </w:r>
      <w:r w:rsidRPr="00271E51">
        <w:rPr>
          <w:rFonts w:ascii="Times New Roman" w:hAnsi="Times New Roman" w:cs="Times New Roman"/>
          <w:color w:val="000000" w:themeColor="text1"/>
          <w:sz w:val="16"/>
          <w:szCs w:val="16"/>
        </w:rPr>
        <w:t xml:space="preserve"> года - </w:t>
      </w:r>
      <w:r w:rsidRPr="00271E51">
        <w:rPr>
          <w:rStyle w:val="0pt"/>
          <w:rFonts w:ascii="Times New Roman" w:hAnsi="Times New Roman" w:cs="Times New Roman"/>
          <w:color w:val="000000" w:themeColor="text1"/>
          <w:spacing w:val="0"/>
          <w:sz w:val="16"/>
          <w:szCs w:val="16"/>
        </w:rPr>
        <w:t>50.000</w:t>
      </w:r>
      <w:r w:rsidRPr="00271E51">
        <w:rPr>
          <w:rFonts w:ascii="Times New Roman" w:hAnsi="Times New Roman" w:cs="Times New Roman"/>
          <w:color w:val="000000" w:themeColor="text1"/>
          <w:sz w:val="16"/>
          <w:szCs w:val="16"/>
        </w:rPr>
        <w:t xml:space="preserve"> с осколочно- трассирующим снарядом и </w:t>
      </w:r>
      <w:r w:rsidRPr="00271E51">
        <w:rPr>
          <w:rStyle w:val="0pt"/>
          <w:rFonts w:ascii="Times New Roman" w:hAnsi="Times New Roman" w:cs="Times New Roman"/>
          <w:color w:val="000000" w:themeColor="text1"/>
          <w:spacing w:val="0"/>
          <w:sz w:val="16"/>
          <w:szCs w:val="16"/>
        </w:rPr>
        <w:t>6.000</w:t>
      </w:r>
      <w:r w:rsidRPr="00271E51">
        <w:rPr>
          <w:rFonts w:ascii="Times New Roman" w:hAnsi="Times New Roman" w:cs="Times New Roman"/>
          <w:color w:val="000000" w:themeColor="text1"/>
          <w:sz w:val="16"/>
          <w:szCs w:val="16"/>
        </w:rPr>
        <w:t xml:space="preserve"> с бронебойным снарядом;</w:t>
      </w:r>
    </w:p>
    <w:p w14:paraId="265B2431" w14:textId="77777777" w:rsidR="0085271C" w:rsidRPr="00271E51" w:rsidRDefault="0085271C"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 xml:space="preserve">к 10 марта </w:t>
      </w:r>
      <w:r w:rsidRPr="00271E51">
        <w:rPr>
          <w:rStyle w:val="0pt"/>
          <w:rFonts w:ascii="Times New Roman" w:hAnsi="Times New Roman" w:cs="Times New Roman"/>
          <w:color w:val="000000" w:themeColor="text1"/>
          <w:spacing w:val="0"/>
          <w:sz w:val="16"/>
          <w:szCs w:val="16"/>
        </w:rPr>
        <w:t>1944</w:t>
      </w:r>
      <w:r w:rsidRPr="00271E51">
        <w:rPr>
          <w:rFonts w:ascii="Times New Roman" w:hAnsi="Times New Roman" w:cs="Times New Roman"/>
          <w:color w:val="000000" w:themeColor="text1"/>
          <w:sz w:val="16"/>
          <w:szCs w:val="16"/>
        </w:rPr>
        <w:t xml:space="preserve"> года </w:t>
      </w:r>
      <w:r w:rsidRPr="00271E51">
        <w:rPr>
          <w:rStyle w:val="0pt"/>
          <w:rFonts w:ascii="Times New Roman" w:hAnsi="Times New Roman" w:cs="Times New Roman"/>
          <w:color w:val="000000" w:themeColor="text1"/>
          <w:spacing w:val="0"/>
          <w:sz w:val="16"/>
          <w:szCs w:val="16"/>
        </w:rPr>
        <w:t>100.000</w:t>
      </w:r>
      <w:r w:rsidRPr="00271E51">
        <w:rPr>
          <w:rFonts w:ascii="Times New Roman" w:hAnsi="Times New Roman" w:cs="Times New Roman"/>
          <w:color w:val="000000" w:themeColor="text1"/>
          <w:sz w:val="16"/>
          <w:szCs w:val="16"/>
        </w:rPr>
        <w:t xml:space="preserve"> с осколочно-трассирующим снарядом.</w:t>
      </w:r>
    </w:p>
    <w:p w14:paraId="11883D8D" w14:textId="77777777" w:rsidR="0085271C" w:rsidRPr="00271E51" w:rsidRDefault="0085271C" w:rsidP="00271E51">
      <w:pPr>
        <w:pStyle w:val="47"/>
        <w:shd w:val="clear" w:color="auto" w:fill="auto"/>
        <w:tabs>
          <w:tab w:val="left" w:pos="1384"/>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5. Обязать НКБ (т.Ванникова) в десятидневный срок пред</w:t>
      </w:r>
      <w:r w:rsidRPr="00271E51">
        <w:rPr>
          <w:rFonts w:ascii="Times New Roman" w:hAnsi="Times New Roman" w:cs="Times New Roman"/>
          <w:color w:val="000000" w:themeColor="text1"/>
          <w:sz w:val="16"/>
          <w:szCs w:val="16"/>
        </w:rPr>
        <w:softHyphen/>
        <w:t>ставить мероприятия по развитию проивводства 45 мм снарядов для авиационных пушек.</w:t>
      </w:r>
    </w:p>
    <w:p w14:paraId="32AE0438" w14:textId="77777777" w:rsidR="0085271C" w:rsidRPr="00271E51" w:rsidRDefault="0085271C" w:rsidP="00271E51">
      <w:pPr>
        <w:pStyle w:val="47"/>
        <w:shd w:val="clear" w:color="auto" w:fill="auto"/>
        <w:tabs>
          <w:tab w:val="left" w:pos="1396"/>
        </w:tabs>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6. Обязать ВВС Красной Армии (т.Репина) провести войско</w:t>
      </w:r>
      <w:r w:rsidRPr="00271E51">
        <w:rPr>
          <w:rFonts w:ascii="Times New Roman" w:hAnsi="Times New Roman" w:cs="Times New Roman"/>
          <w:color w:val="000000" w:themeColor="text1"/>
          <w:sz w:val="16"/>
          <w:szCs w:val="16"/>
        </w:rPr>
        <w:softHyphen/>
        <w:t>вые испытания 45 мм мотор-пушек, установленных на самолете Як-9</w:t>
      </w:r>
      <w:r w:rsidRPr="00271E51">
        <w:rPr>
          <w:rStyle w:val="0pt"/>
          <w:rFonts w:ascii="Times New Roman" w:hAnsi="Times New Roman" w:cs="Times New Roman"/>
          <w:color w:val="000000" w:themeColor="text1"/>
          <w:spacing w:val="0"/>
          <w:sz w:val="16"/>
          <w:szCs w:val="16"/>
        </w:rPr>
        <w:t xml:space="preserve"> </w:t>
      </w:r>
      <w:r w:rsidRPr="00271E51">
        <w:rPr>
          <w:rStyle w:val="0pt"/>
          <w:rFonts w:ascii="Times New Roman" w:eastAsia="Consolas" w:hAnsi="Times New Roman" w:cs="Times New Roman"/>
          <w:color w:val="000000" w:themeColor="text1"/>
          <w:spacing w:val="0"/>
          <w:sz w:val="16"/>
          <w:szCs w:val="16"/>
        </w:rPr>
        <w:t>М</w:t>
      </w:r>
      <w:r w:rsidRPr="00271E51">
        <w:rPr>
          <w:rStyle w:val="0pt"/>
          <w:rFonts w:ascii="Times New Roman" w:hAnsi="Times New Roman" w:cs="Times New Roman"/>
          <w:color w:val="000000" w:themeColor="text1"/>
          <w:spacing w:val="0"/>
          <w:sz w:val="16"/>
          <w:szCs w:val="16"/>
        </w:rPr>
        <w:t>-105ПФ,</w:t>
      </w:r>
      <w:r w:rsidRPr="00271E51">
        <w:rPr>
          <w:rFonts w:ascii="Times New Roman" w:hAnsi="Times New Roman" w:cs="Times New Roman"/>
          <w:color w:val="000000" w:themeColor="text1"/>
          <w:sz w:val="16"/>
          <w:szCs w:val="16"/>
        </w:rPr>
        <w:t xml:space="preserve"> и результаты испытания доложить ГОКО не позднее 1 мая 19</w:t>
      </w:r>
      <w:r w:rsidRPr="00271E51">
        <w:rPr>
          <w:rStyle w:val="0pt"/>
          <w:rFonts w:ascii="Times New Roman" w:hAnsi="Times New Roman" w:cs="Times New Roman"/>
          <w:color w:val="000000" w:themeColor="text1"/>
          <w:spacing w:val="0"/>
          <w:sz w:val="16"/>
          <w:szCs w:val="16"/>
        </w:rPr>
        <w:t>44</w:t>
      </w:r>
      <w:r w:rsidRPr="00271E51">
        <w:rPr>
          <w:rFonts w:ascii="Times New Roman" w:hAnsi="Times New Roman" w:cs="Times New Roman"/>
          <w:color w:val="000000" w:themeColor="text1"/>
          <w:sz w:val="16"/>
          <w:szCs w:val="16"/>
        </w:rPr>
        <w:t xml:space="preserve"> года (19436).</w:t>
      </w:r>
    </w:p>
    <w:p w14:paraId="58E4A272" w14:textId="77777777" w:rsidR="0085271C" w:rsidRPr="00271E51" w:rsidRDefault="0085271C"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8E1E7" w14:textId="77777777" w:rsidR="001636A9" w:rsidRPr="00271E51" w:rsidRDefault="001636A9"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24 дека</w:t>
      </w:r>
      <w:r w:rsidRPr="00271E51">
        <w:rPr>
          <w:color w:val="000000" w:themeColor="text1"/>
          <w:sz w:val="16"/>
          <w:szCs w:val="16"/>
        </w:rPr>
        <w:softHyphen/>
        <w:t>бря 1943 г. Постановлением ГКО № 4831с завод № 74 НКВ (г. Ижевск) обязывал</w:t>
      </w:r>
      <w:r w:rsidRPr="00271E51">
        <w:rPr>
          <w:color w:val="000000" w:themeColor="text1"/>
          <w:sz w:val="16"/>
          <w:szCs w:val="16"/>
        </w:rPr>
        <w:softHyphen/>
        <w:t>ся к 10 марта 1944 г. изготовить 60 пушек МП-45 для установки на самолете Як-9т, а завод № 184 НКБ (г. Зеленодольск) должен был подать ВВС КА 156000 авиационных патронов калибра 45 мм. Предполагалось провести широкие войсковые ис</w:t>
      </w:r>
      <w:r w:rsidRPr="00271E51">
        <w:rPr>
          <w:color w:val="000000" w:themeColor="text1"/>
          <w:sz w:val="16"/>
          <w:szCs w:val="16"/>
        </w:rPr>
        <w:softHyphen/>
        <w:t>пытания самолетов Як-9т с пушками МП-45 и пат</w:t>
      </w:r>
      <w:r w:rsidRPr="00271E51">
        <w:rPr>
          <w:color w:val="000000" w:themeColor="text1"/>
          <w:sz w:val="16"/>
          <w:szCs w:val="16"/>
        </w:rPr>
        <w:softHyphen/>
        <w:t>ронов к ним, после чего сделать вывод о целесоо</w:t>
      </w:r>
      <w:r w:rsidRPr="00271E51">
        <w:rPr>
          <w:color w:val="000000" w:themeColor="text1"/>
          <w:sz w:val="16"/>
          <w:szCs w:val="16"/>
        </w:rPr>
        <w:softHyphen/>
        <w:t>бразности постановки на снабжение ВВС КА такой системы вооружения (17500).</w:t>
      </w:r>
    </w:p>
    <w:p w14:paraId="5F3F49BC" w14:textId="77777777" w:rsidR="001636A9" w:rsidRPr="00271E51" w:rsidRDefault="001636A9" w:rsidP="00271E51">
      <w:pPr>
        <w:spacing w:after="0" w:line="240" w:lineRule="auto"/>
        <w:jc w:val="both"/>
        <w:rPr>
          <w:rFonts w:ascii="Times New Roman" w:eastAsia="Times New Roman" w:hAnsi="Times New Roman"/>
          <w:color w:val="000000" w:themeColor="text1"/>
          <w:sz w:val="16"/>
          <w:szCs w:val="16"/>
          <w:lang w:eastAsia="ru-RU"/>
        </w:rPr>
      </w:pPr>
    </w:p>
    <w:p w14:paraId="19FCA3F1"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C2A04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E8C2A"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24 по 30 декабря 1943 проходили испытания Объекта 242, в их ходе произвели 438 выстрелов. Во время стрельбы была достигнута прицельная скорострельность 2-3 выстрела в минуту, а слаженный экипаж теоретически мог достичь максимальной скорострельности 5-6 выстрелов в минуту. Несмотря на недоработанную укладку, испытатели признали удобство заряжания Объекта 242 более высоким, чем у ИСУ-152.</w:t>
      </w:r>
    </w:p>
    <w:p w14:paraId="3A53FE66"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Попытка сделать некий аналог Winterketten оказалась неудачной. Впрочем, и у немцев уширители работали не очень хорошо.</w:t>
      </w:r>
    </w:p>
    <w:p w14:paraId="43537269"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ходовых испытаний отмечалась поломка уширителей траков, спадание крышек в моторном отделении и другие мелкие неполадки. В случае с орудием наблюдалась поломка лотка для заряжания. Общая компоновка боевого отделения была признана удобной, но имелись претензии к работе заряжающего: по мнению испытателей, он оказался перегружен работой. Имелись недостатки и в работе замкового. Как и в случае с Объектом 240, испытатели высказали претензию к поршневому затвору: его требовалось заменить на клиновой затвор. Несмотря на все недостатки, Объект 242 признали более удачной машиной, чем ИСУ-152. Это было связано с бо́льшим боекомплектом (30 выстрелов), более высокой скорострельностью и бо́льшим удобством работы расчёта. Более эффективной оказалась и стрельба по движущимся целям.</w:t>
      </w:r>
    </w:p>
    <w:p w14:paraId="7358FA70" w14:textId="77777777" w:rsidR="00424340" w:rsidRPr="00271E51" w:rsidRDefault="00424340"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высоким признали и бронепробитие, причём цифры, предоставленные испытателями, выглядели курьёзно. По их мнению, снаряд МЛ-20с пробивал Pz.Kpfw.Tiger Ausf.E с дистанции 500 м, на практике же с такого расстояния немецкий танк не просто пробивался, а с него гарантированно сносило башню. Создаётся впечатление, что данных по обстрелу </w:t>
      </w:r>
      <w:hyperlink r:id="rId133" w:history="1">
        <w:r w:rsidRPr="00271E51">
          <w:rPr>
            <w:rStyle w:val="a5"/>
            <w:rFonts w:ascii="Times New Roman" w:hAnsi="Times New Roman"/>
            <w:color w:val="000000" w:themeColor="text1"/>
            <w:sz w:val="16"/>
            <w:szCs w:val="16"/>
          </w:rPr>
          <w:t>Pz.Kpfw.Panther</w:t>
        </w:r>
      </w:hyperlink>
      <w:r w:rsidRPr="00271E51">
        <w:rPr>
          <w:rFonts w:ascii="Times New Roman" w:hAnsi="Times New Roman"/>
          <w:color w:val="000000" w:themeColor="text1"/>
          <w:sz w:val="16"/>
          <w:szCs w:val="16"/>
        </w:rPr>
        <w:t> и </w:t>
      </w:r>
      <w:hyperlink r:id="rId134" w:history="1">
        <w:r w:rsidRPr="00271E51">
          <w:rPr>
            <w:rStyle w:val="a5"/>
            <w:rFonts w:ascii="Times New Roman" w:hAnsi="Times New Roman"/>
            <w:color w:val="000000" w:themeColor="text1"/>
            <w:sz w:val="16"/>
            <w:szCs w:val="16"/>
          </w:rPr>
          <w:t>Ferdinand</w:t>
        </w:r>
      </w:hyperlink>
      <w:r w:rsidRPr="00271E51">
        <w:rPr>
          <w:rFonts w:ascii="Times New Roman" w:hAnsi="Times New Roman"/>
          <w:color w:val="000000" w:themeColor="text1"/>
          <w:sz w:val="16"/>
          <w:szCs w:val="16"/>
        </w:rPr>
        <w:t> на АНИОП не видели. В случае же с А-19 дистанция пробития «Тигра» оценивалась в 2000 м. В любом случае, Объект 242 признали выдержавшим испытания и рекомендовали для серийного производства (18335).</w:t>
      </w:r>
    </w:p>
    <w:p w14:paraId="378C81CA" w14:textId="77777777" w:rsidR="00424340" w:rsidRPr="00271E51" w:rsidRDefault="00424340" w:rsidP="00271E51">
      <w:pPr>
        <w:spacing w:after="0" w:line="240" w:lineRule="auto"/>
        <w:jc w:val="both"/>
        <w:rPr>
          <w:rFonts w:ascii="Times New Roman" w:hAnsi="Times New Roman"/>
          <w:color w:val="000000" w:themeColor="text1"/>
          <w:sz w:val="16"/>
          <w:szCs w:val="16"/>
        </w:rPr>
      </w:pPr>
    </w:p>
    <w:p w14:paraId="245BF9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года вышел приказ НКМВ за № 476 о сдаче-приемке материальных ценностей законсервированных ленинградских предприятий:</w:t>
      </w:r>
    </w:p>
    <w:p w14:paraId="778BEC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управление № 6</w:t>
      </w:r>
    </w:p>
    <w:p w14:paraId="4DFD6E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823</w:t>
      </w:r>
    </w:p>
    <w:p w14:paraId="0E76AA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854 (Геологоразведка)</w:t>
      </w:r>
    </w:p>
    <w:p w14:paraId="79701C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844 (Металлометр)</w:t>
      </w:r>
    </w:p>
    <w:p w14:paraId="5CFA5E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управление № 3</w:t>
      </w:r>
    </w:p>
    <w:p w14:paraId="0C0E45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754 (Леншвеймаш)</w:t>
      </w:r>
    </w:p>
    <w:p w14:paraId="1A7F8E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752 (Лентрикмаш)</w:t>
      </w:r>
    </w:p>
    <w:p w14:paraId="2A956F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Главармалит</w:t>
      </w:r>
    </w:p>
    <w:p w14:paraId="41E4D5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824 (8660,72).</w:t>
      </w:r>
    </w:p>
    <w:p w14:paraId="02E53D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DF124"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7C8CC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499EC9"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24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6C5D7376"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Прибалтийского фронта, развивая стремительное наступление, 24 декабря штурмом овладели городом и крупной железнодорожной станцией Городов, а также заняли более 60 других населённых пунктов; среди них крупные населённые пункты Мишневичи, Бывалино, Берёзовки, Бубны, Странадки, Малое Кашо, Сыровня, Волково, Симанята.</w:t>
      </w:r>
    </w:p>
    <w:p w14:paraId="58236C0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декабря юго-западнее Жлобина наши войска успешно отбивали атаки крупных сил пехоты и танков противника.</w:t>
      </w:r>
    </w:p>
    <w:p w14:paraId="61F4339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других участках фронта — разведка и артиллерийско-миномётная перестрелка.</w:t>
      </w:r>
    </w:p>
    <w:p w14:paraId="706CFD87"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23 декабря наши войска на всех фронтах подбили и уничтожили 69 немецких танков. В воздушных боях и огнём зенитной артиллерии сбито 13 самолётов противника.</w:t>
      </w:r>
    </w:p>
    <w:p w14:paraId="204708AD"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Прибалтийского фронта, разгромив противника южнее Невеля и развивая стремительное наступление, вышли к линии обороны немцев на подступах к городу и крупной железнодорожной станции Городок. Этот рубеж проходил по озеру Коша, рекам Горожанка и Пальминка и представлял собою густую сеть укреплений полевого типа. Немцы соорудили сплошные траншеи полного профиля, многочисленные площадки для огневых средств, дзоты и блиндажи, прикрытые проволочными заграждениями и минными полями. В Городке и на подступах к нему противник сосредоточил свыше 40 артиллерийских и миномётных батарей, в том числе несколько батарей шестиствольных миномётов. Наши пехотинцы и артиллеристы под покровом ночной темноты форсировали озеро Коша и реку Горожанка. Внезапными ударами советские бойцы очистили от противника ряд выгодных позиций северо-западнееГородка и закрепились на них. Одновременно наши части переправились через реку Пальминка и атаковали противника с северо-востока. Пытаясь отразить эти фланговые удары, немцы ослабили внимание к участку севернее Городка, чем не замедлили воспользоваться наши войска. Стремительным броском советские бойцы ворвались в северную часть города, а танкисты — на железнодорожную станцию. Тесня немцев со всех сторон, сегодня наши войска штурмом овладели важным опорным пунктом обороны немцев на Витебском направлении — городом и железнодорожной станцией Городок. На железнодорожной станции и на улицах города подсчитано до 2.500 трупов немецких солдат и офицеров. Захвачены большие трофеи, среди которых 15 танков, 38 орудий, в том числе 5 самоходных, 100 автомашин, много боеприпасов и другого военного имущества.</w:t>
      </w:r>
    </w:p>
    <w:p w14:paraId="60248639"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Продолжая наступление, наши войска освободили от немецко-фашистских захватчиков более 60 других населённых пунктов.</w:t>
      </w:r>
    </w:p>
    <w:p w14:paraId="743E2D71"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наши войска продолжали успешно отбивать атаки крупных сил противника. На одном участке немцы бросили в бой три пехотных полка, 80 танков и 10 бронемашин. Советские пехотинцы и артиллеристы отразили следовавшие одну за другой десять вражеских атак и произвели в рядах противника опустошающие потери. На поле боя осталось 1.200 вражеских трупов. Сожжено и подбито 33 немецких танка и 4 бронемашины. На другом участке подразделения Н-ской части отбросили перешедшего в контратаку противника, уничтожив при этом до батальона гитлеровцев. Перед нашими позициями осталось 5 сожжённых танков и 3 самоходных орудия противника.</w:t>
      </w:r>
    </w:p>
    <w:p w14:paraId="1062481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Житомирской области, в результате ожесточённых боёв выбили немцев из ряда населённых пунктов. Советские патриоты истребили свыше роты гитлеровцев и захватили трофеи. Группа партизан на днях заминировала участок шоссейной дороги. На минах подорвались пять автомашин с немецкими солдатами.</w:t>
      </w:r>
    </w:p>
    <w:p w14:paraId="2574F79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бомбардировщика «Юнкерс-88» 6 отряда 2 группы 51 немецкой бомбардировочной эскадры фельдфебель Гуго Бартель рассказал: «Наша эскадра состоит из четырёх групп. В каждой группе по три отряда. На Восточном фронте эскадра понесла чрезвычайно тяжёлые потери. Несмотря на то, что мы уже много раз получали пополнение, сейчас в отрядах имеется всего лишь по 2—3 самолёта вместо 9. Особенно остро ощущается нехватка лётных кадров. Недостаток авиации вынуждает немецкое командование непрерывно перебрасывать лётчиков с одного участка фронтана другой. Так, например, вторая группа базировалась в Кировограде. Вдруг нас с лихорадочной поспешностью отправили на юг, а в начале декабря мы были переброшены на аэродром в село Калиновка. На днях мой самолёт был подбит, и я оказался в плену у русских».</w:t>
      </w:r>
    </w:p>
    <w:p w14:paraId="134C5100"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Немецко-фашистские мерзавцы замучили насмерть и расстреляли несколько тысяч мирных жителей Хойникского района, Полесской области. Только в посёлке Хойники гитлеровцы расстреляли свыше 500 советских граждан, главным образом стариков, женщин и детей. Немцы особенно охотились за представителями белорусской интеллигенции. От рук фашистских палачей погибло много учителей, работников культуры и советских служащих. Немцы зверски убили учительниц Любу Дороковскую и Марию Чекан, учителя Наляговича, инженера Кравченко, художника Ташкевича, служащих Соколову, Сокович, Кулаковскую, Подкопаева и других. Немцы подвергли диким и нечеловеческим пыткам многих ни в чём не повинных жителей.» (14870).</w:t>
      </w:r>
    </w:p>
    <w:p w14:paraId="71CC365A"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424E143B"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24 декабря</w:t>
      </w:r>
      <w:r w:rsidRPr="00271E51">
        <w:rPr>
          <w:rFonts w:ascii="Times New Roman" w:hAnsi="Times New Roman"/>
          <w:color w:val="000000" w:themeColor="text1"/>
          <w:sz w:val="16"/>
          <w:szCs w:val="16"/>
        </w:rPr>
        <w:t xml:space="preserve"> в 1943 году началась Житомирско-Бердичевская наступательная операция войск 1-го Украинского фронта (14870).</w:t>
      </w:r>
    </w:p>
    <w:p w14:paraId="486AE6E3"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482868EF"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24 декабря</w:t>
      </w:r>
      <w:r w:rsidRPr="00271E51">
        <w:rPr>
          <w:rFonts w:ascii="Times New Roman" w:hAnsi="Times New Roman"/>
          <w:color w:val="000000" w:themeColor="text1"/>
          <w:sz w:val="16"/>
          <w:szCs w:val="16"/>
        </w:rPr>
        <w:t xml:space="preserve"> в 1943 году началось наступление войск 1, 2, 3 и 4-го Украинских фронтов на Правобережной Украине (продолжалось до 17 апреля 1944 г.). Включало Житомирско-Бердичевскую, Кировоградскую, Корсунь-Шевченковскую, Ровно-Луцкую, Никопольско-Криворожскую, Проскуровско-Черновицкую, Уманско-Ботошанскую, Березнеговато-Снигиревскую, Одесскую и Полесскую операции. Вступила в строй крупнейшая в Европе домна № 6 Магнитогорского металлургического комбината (строительство велось с лета 1943 г.) (14870).</w:t>
      </w:r>
    </w:p>
    <w:p w14:paraId="514E63D4"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47588F09" w14:textId="77777777" w:rsidR="00E84C27" w:rsidRPr="00271E51" w:rsidRDefault="00E84C27"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24 декабря</w:t>
      </w:r>
      <w:r w:rsidRPr="00271E51">
        <w:rPr>
          <w:rFonts w:ascii="Times New Roman" w:hAnsi="Times New Roman"/>
          <w:color w:val="000000" w:themeColor="text1"/>
          <w:sz w:val="16"/>
          <w:szCs w:val="16"/>
        </w:rPr>
        <w:t xml:space="preserve"> в 1943 году войска 1-го Прибалтийского фронта освободили Городок (14870).</w:t>
      </w:r>
    </w:p>
    <w:p w14:paraId="2B743000" w14:textId="77777777" w:rsidR="00E84C27" w:rsidRPr="00271E51" w:rsidRDefault="00E84C27" w:rsidP="00271E51">
      <w:pPr>
        <w:spacing w:after="0" w:line="240" w:lineRule="auto"/>
        <w:jc w:val="both"/>
        <w:rPr>
          <w:rFonts w:ascii="Times New Roman" w:hAnsi="Times New Roman"/>
          <w:color w:val="000000" w:themeColor="text1"/>
          <w:sz w:val="16"/>
          <w:szCs w:val="16"/>
        </w:rPr>
      </w:pPr>
    </w:p>
    <w:p w14:paraId="236240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December</w:t>
      </w:r>
      <w:r w:rsidRPr="00271E51">
        <w:rPr>
          <w:rFonts w:ascii="Times New Roman" w:hAnsi="Times New Roman"/>
          <w:color w:val="000000" w:themeColor="text1"/>
          <w:sz w:val="16"/>
          <w:szCs w:val="16"/>
        </w:rPr>
        <w:t xml:space="preserve"> 24-26 1943 </w:t>
      </w:r>
      <w:r w:rsidRPr="00271E51">
        <w:rPr>
          <w:rFonts w:ascii="Times New Roman" w:hAnsi="Times New Roman"/>
          <w:color w:val="000000" w:themeColor="text1"/>
          <w:sz w:val="16"/>
          <w:szCs w:val="16"/>
          <w:lang w:val="en-US"/>
        </w:rPr>
        <w:t>SoviettroopslaunchoffensivesonUkrainianfront</w:t>
      </w:r>
      <w:r w:rsidRPr="00271E51">
        <w:rPr>
          <w:rFonts w:ascii="Times New Roman" w:hAnsi="Times New Roman"/>
          <w:color w:val="000000" w:themeColor="text1"/>
          <w:sz w:val="16"/>
          <w:szCs w:val="16"/>
        </w:rPr>
        <w:t xml:space="preserve"> (1050).</w:t>
      </w:r>
    </w:p>
    <w:p w14:paraId="0B5BBE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534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24, 1943: In the Ukraine, the Red Army launches an offensive in the Kiev-Shitomir area, capturing Berdichev. General Dwight D. Eisenhauer is appointed supreme commander of the Allied forces preparing for the invasion of Europe (3819).</w:t>
      </w:r>
    </w:p>
    <w:p w14:paraId="31EBBC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BA24C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24-26 декабря 1943 началось наступление Украинского фронта (1050).</w:t>
      </w:r>
    </w:p>
    <w:p w14:paraId="5C6095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F1B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24 декабря 1943 по 14 января 1944 1УФ (Н.В.Ватутин) начал Житомирско-Бердичевскую операцию. Разгромили 6Д из состава группы Юг (Э.Манштейн). Полностью освободили Киевскую и Житомирскую область и часть Винницкой области (3398,451).</w:t>
      </w:r>
    </w:p>
    <w:p w14:paraId="75E0D9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EFF1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4A8D73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57E7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Ф. Рузвельт объявил, что Д. Эйзенхауэр назначен командующим операцией по высадке союзников во Франции (4962).</w:t>
      </w:r>
    </w:p>
    <w:p w14:paraId="1520C00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43D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Д.Эйзенхауэр был назначен командующим экспедиционными силами союзников (2246,6).</w:t>
      </w:r>
    </w:p>
    <w:p w14:paraId="1A6E6A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BAB12"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24 декабря</w:t>
      </w:r>
      <w:r w:rsidRPr="00271E51">
        <w:rPr>
          <w:rFonts w:ascii="Times New Roman" w:hAnsi="Times New Roman"/>
          <w:color w:val="000000" w:themeColor="text1"/>
          <w:sz w:val="16"/>
          <w:szCs w:val="16"/>
        </w:rPr>
        <w:t xml:space="preserve"> в 1943 году генерал Д.Эйэенхауэр был назначен главнокомандующим союзными экспедиционными силами в Северо-Западной Европе, а британский генерал Г.Уилсон - главнокомандующим союзными силами на Средиземноморском театре военных действий (14870).</w:t>
      </w:r>
    </w:p>
    <w:p w14:paraId="240E94E7" w14:textId="77777777" w:rsidR="00CE5825" w:rsidRPr="00271E51" w:rsidRDefault="00CE5825" w:rsidP="00271E51">
      <w:pPr>
        <w:spacing w:after="0" w:line="240" w:lineRule="auto"/>
        <w:jc w:val="both"/>
        <w:rPr>
          <w:rFonts w:ascii="Times New Roman" w:hAnsi="Times New Roman"/>
          <w:color w:val="000000" w:themeColor="text1"/>
          <w:sz w:val="16"/>
          <w:szCs w:val="16"/>
        </w:rPr>
      </w:pPr>
    </w:p>
    <w:p w14:paraId="5E7320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24 1943 United States Eighth Air Force makes major effort against German secret weapon sites (1037).</w:t>
      </w:r>
    </w:p>
    <w:p w14:paraId="01BAA1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FDF5F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 декабря 1943 8ВА США нанесла удар по немецким центрам разработки секретного оружия (1037).</w:t>
      </w:r>
    </w:p>
    <w:p w14:paraId="6765DD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388E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906DE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9982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состо</w:t>
      </w:r>
      <w:r w:rsidRPr="00271E51">
        <w:rPr>
          <w:rFonts w:ascii="Times New Roman" w:hAnsi="Times New Roman"/>
          <w:color w:val="000000" w:themeColor="text1"/>
          <w:sz w:val="16"/>
          <w:szCs w:val="16"/>
        </w:rPr>
        <w:softHyphen/>
        <w:t>янию на 25 декабря 1943 г. готовность самолетов Ил-1 оценивалась старшим воен</w:t>
      </w:r>
      <w:r w:rsidRPr="00271E51">
        <w:rPr>
          <w:rFonts w:ascii="Times New Roman" w:hAnsi="Times New Roman"/>
          <w:color w:val="000000" w:themeColor="text1"/>
          <w:sz w:val="16"/>
          <w:szCs w:val="16"/>
        </w:rPr>
        <w:softHyphen/>
        <w:t>предом завода подполковником Кувеневым в 80%. Лишь в начале февраля 1944 г. ответственный представитель ильюшинского ОКБ на заводе № 18 В.Н. Бугайский смог доложить главному конст</w:t>
      </w:r>
      <w:r w:rsidRPr="00271E51">
        <w:rPr>
          <w:rFonts w:ascii="Times New Roman" w:hAnsi="Times New Roman"/>
          <w:color w:val="000000" w:themeColor="text1"/>
          <w:sz w:val="16"/>
          <w:szCs w:val="16"/>
        </w:rPr>
        <w:softHyphen/>
        <w:t>руктору: «Наконец, можно рапортовать, машину закончили. Отправку в Москву намечаем к 15 февраля... Мотор заме</w:t>
      </w:r>
      <w:r w:rsidRPr="00271E51">
        <w:rPr>
          <w:rFonts w:ascii="Times New Roman" w:hAnsi="Times New Roman"/>
          <w:color w:val="000000" w:themeColor="text1"/>
          <w:sz w:val="16"/>
          <w:szCs w:val="16"/>
        </w:rPr>
        <w:softHyphen/>
        <w:t>нить не сумели, так как его нам не дали до сих пор. Машина получилась хорошая во всех отношениях... исключительно перспективная и многообещающая, а главное, ясная во всех элементах. Хоро</w:t>
      </w:r>
      <w:r w:rsidRPr="00271E51">
        <w:rPr>
          <w:rFonts w:ascii="Times New Roman" w:hAnsi="Times New Roman"/>
          <w:color w:val="000000" w:themeColor="text1"/>
          <w:sz w:val="16"/>
          <w:szCs w:val="16"/>
        </w:rPr>
        <w:softHyphen/>
        <w:t>шо бы к лету запустить в серию... Про</w:t>
      </w:r>
      <w:r w:rsidRPr="00271E51">
        <w:rPr>
          <w:rFonts w:ascii="Times New Roman" w:hAnsi="Times New Roman"/>
          <w:color w:val="000000" w:themeColor="text1"/>
          <w:sz w:val="16"/>
          <w:szCs w:val="16"/>
        </w:rPr>
        <w:softHyphen/>
        <w:t>шу Вас дать указание, чтобы прибывшую в Москву машину Ил-1 наш народ про</w:t>
      </w:r>
      <w:r w:rsidRPr="00271E51">
        <w:rPr>
          <w:rFonts w:ascii="Times New Roman" w:hAnsi="Times New Roman"/>
          <w:color w:val="000000" w:themeColor="text1"/>
          <w:sz w:val="16"/>
          <w:szCs w:val="16"/>
        </w:rPr>
        <w:softHyphen/>
        <w:t>верил самым тщательным образом...» (10680).</w:t>
      </w:r>
    </w:p>
    <w:p w14:paraId="373E47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342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со</w:t>
      </w:r>
      <w:r w:rsidRPr="00271E51">
        <w:rPr>
          <w:rFonts w:ascii="Times New Roman" w:hAnsi="Times New Roman"/>
          <w:color w:val="000000" w:themeColor="text1"/>
          <w:sz w:val="16"/>
          <w:szCs w:val="16"/>
        </w:rPr>
        <w:softHyphen/>
        <w:t>стоянию на 25 декабря 1943 готовность по сборке Ил-1 оценивалась как 80%. Завод № 1 продолжал строить одноместный истребительный вариант "единички". Здесь стоит отметить, что к этому времени специалисты НИИ ВВС еще не знали, "как будет предъявляться самолет Ил-1, как штурмовик или как истребитель". Более того, "эскизные проекты самолетов Ил-1 АМ-42 ни Главному инженеру ВВС, ни началь</w:t>
      </w:r>
      <w:r w:rsidRPr="00271E51">
        <w:rPr>
          <w:rFonts w:ascii="Times New Roman" w:hAnsi="Times New Roman"/>
          <w:color w:val="000000" w:themeColor="text1"/>
          <w:sz w:val="16"/>
          <w:szCs w:val="16"/>
        </w:rPr>
        <w:softHyphen/>
        <w:t>нику НИИ ВВС не представлялись". В конце декабря Ильюшин еще толь</w:t>
      </w:r>
      <w:r w:rsidRPr="00271E51">
        <w:rPr>
          <w:rFonts w:ascii="Times New Roman" w:hAnsi="Times New Roman"/>
          <w:color w:val="000000" w:themeColor="text1"/>
          <w:sz w:val="16"/>
          <w:szCs w:val="16"/>
        </w:rPr>
        <w:softHyphen/>
        <w:t>ко "обещал выслать в ближайшие дни эскизный проект". Как следует из до</w:t>
      </w:r>
      <w:r w:rsidRPr="00271E51">
        <w:rPr>
          <w:rFonts w:ascii="Times New Roman" w:hAnsi="Times New Roman"/>
          <w:color w:val="000000" w:themeColor="text1"/>
          <w:sz w:val="16"/>
          <w:szCs w:val="16"/>
        </w:rPr>
        <w:softHyphen/>
        <w:t>кументов, эскизный проект Ил-1 АМ-42 в двухместном варианте поступил в НИИ ВВС лишь 14 марта 1944 г., когда самолет уже был закончен по сборке и находился в Москве на авиазаводе № 240 с целью дальней</w:t>
      </w:r>
      <w:r w:rsidRPr="00271E51">
        <w:rPr>
          <w:rFonts w:ascii="Times New Roman" w:hAnsi="Times New Roman"/>
          <w:color w:val="000000" w:themeColor="text1"/>
          <w:sz w:val="16"/>
          <w:szCs w:val="16"/>
        </w:rPr>
        <w:softHyphen/>
        <w:t>шей доводки и проведения испыта</w:t>
      </w:r>
      <w:r w:rsidRPr="00271E51">
        <w:rPr>
          <w:rFonts w:ascii="Times New Roman" w:hAnsi="Times New Roman"/>
          <w:color w:val="000000" w:themeColor="text1"/>
          <w:sz w:val="16"/>
          <w:szCs w:val="16"/>
        </w:rPr>
        <w:softHyphen/>
        <w:t xml:space="preserve">ний. </w:t>
      </w:r>
      <w:r w:rsidRPr="00271E51">
        <w:rPr>
          <w:rFonts w:ascii="Times New Roman" w:hAnsi="Times New Roman"/>
          <w:color w:val="000000" w:themeColor="text1"/>
          <w:sz w:val="16"/>
          <w:szCs w:val="16"/>
        </w:rPr>
        <w:lastRenderedPageBreak/>
        <w:t>Очевидно, что в этих условиях внесение каких-либо серьезных из</w:t>
      </w:r>
      <w:r w:rsidRPr="00271E51">
        <w:rPr>
          <w:rFonts w:ascii="Times New Roman" w:hAnsi="Times New Roman"/>
          <w:color w:val="000000" w:themeColor="text1"/>
          <w:sz w:val="16"/>
          <w:szCs w:val="16"/>
        </w:rPr>
        <w:softHyphen/>
        <w:t>менений в конструкцию машины практически исключалось. То есть получается так, что штурмовой ва</w:t>
      </w:r>
      <w:r w:rsidRPr="00271E51">
        <w:rPr>
          <w:rFonts w:ascii="Times New Roman" w:hAnsi="Times New Roman"/>
          <w:color w:val="000000" w:themeColor="text1"/>
          <w:sz w:val="16"/>
          <w:szCs w:val="16"/>
        </w:rPr>
        <w:softHyphen/>
        <w:t>риант самолета Ил-1 строился без утвержденного ВВС эскизного про</w:t>
      </w:r>
      <w:r w:rsidRPr="00271E51">
        <w:rPr>
          <w:rFonts w:ascii="Times New Roman" w:hAnsi="Times New Roman"/>
          <w:color w:val="000000" w:themeColor="text1"/>
          <w:sz w:val="16"/>
          <w:szCs w:val="16"/>
        </w:rPr>
        <w:softHyphen/>
        <w:t>екта и макета.</w:t>
      </w:r>
    </w:p>
    <w:p w14:paraId="0E6297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С. В. Ильюшин, затягивая всеми возможными спосо</w:t>
      </w:r>
      <w:r w:rsidRPr="00271E51">
        <w:rPr>
          <w:rFonts w:ascii="Times New Roman" w:hAnsi="Times New Roman"/>
          <w:color w:val="000000" w:themeColor="text1"/>
          <w:sz w:val="16"/>
          <w:szCs w:val="16"/>
        </w:rPr>
        <w:softHyphen/>
        <w:t>бами передачу в НИИ ВВС матери</w:t>
      </w:r>
      <w:r w:rsidRPr="00271E51">
        <w:rPr>
          <w:rFonts w:ascii="Times New Roman" w:hAnsi="Times New Roman"/>
          <w:color w:val="000000" w:themeColor="text1"/>
          <w:sz w:val="16"/>
          <w:szCs w:val="16"/>
        </w:rPr>
        <w:softHyphen/>
        <w:t>алов по новому штурмовику, опасал</w:t>
      </w:r>
      <w:r w:rsidRPr="00271E51">
        <w:rPr>
          <w:rFonts w:ascii="Times New Roman" w:hAnsi="Times New Roman"/>
          <w:color w:val="000000" w:themeColor="text1"/>
          <w:sz w:val="16"/>
          <w:szCs w:val="16"/>
        </w:rPr>
        <w:softHyphen/>
        <w:t>ся, что рассмотрение военными эс</w:t>
      </w:r>
      <w:r w:rsidRPr="00271E51">
        <w:rPr>
          <w:rFonts w:ascii="Times New Roman" w:hAnsi="Times New Roman"/>
          <w:color w:val="000000" w:themeColor="text1"/>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271E51">
        <w:rPr>
          <w:rFonts w:ascii="Times New Roman" w:hAnsi="Times New Roman"/>
          <w:color w:val="000000" w:themeColor="text1"/>
          <w:sz w:val="16"/>
          <w:szCs w:val="16"/>
        </w:rPr>
        <w:softHyphen/>
        <w:t>циалисты ОКБ П. О. Сухого сумеют довести Су-6 АМ-42 до требуемого уровня надежности и надобность в Ил-1 отпадет.</w:t>
      </w:r>
    </w:p>
    <w:p w14:paraId="7749DF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проек</w:t>
      </w:r>
      <w:r w:rsidRPr="00271E51">
        <w:rPr>
          <w:rFonts w:ascii="Times New Roman" w:hAnsi="Times New Roman"/>
          <w:color w:val="000000" w:themeColor="text1"/>
          <w:sz w:val="16"/>
          <w:szCs w:val="16"/>
        </w:rPr>
        <w:softHyphen/>
        <w:t>том самолета Ил-1 специалисты НИИ ВВС остались недовольны. Началь</w:t>
      </w:r>
      <w:r w:rsidRPr="00271E51">
        <w:rPr>
          <w:rFonts w:ascii="Times New Roman" w:hAnsi="Times New Roman"/>
          <w:color w:val="000000" w:themeColor="text1"/>
          <w:sz w:val="16"/>
          <w:szCs w:val="16"/>
        </w:rPr>
        <w:softHyphen/>
        <w:t>ник 4-го отделения 3-го отдела ин</w:t>
      </w:r>
      <w:r w:rsidRPr="00271E51">
        <w:rPr>
          <w:rFonts w:ascii="Times New Roman" w:hAnsi="Times New Roman"/>
          <w:color w:val="000000" w:themeColor="text1"/>
          <w:sz w:val="16"/>
          <w:szCs w:val="16"/>
        </w:rPr>
        <w:softHyphen/>
        <w:t>ститута инженер-майор В. С. Холо</w:t>
      </w:r>
      <w:r w:rsidRPr="00271E51">
        <w:rPr>
          <w:rFonts w:ascii="Times New Roman" w:hAnsi="Times New Roman"/>
          <w:color w:val="000000" w:themeColor="text1"/>
          <w:sz w:val="16"/>
          <w:szCs w:val="16"/>
        </w:rPr>
        <w:softHyphen/>
        <w:t>пов и ведущий инженер 3-го отдела инженер-майор П. Т. Аброщенко писали, что в материалах ОКБ от</w:t>
      </w:r>
      <w:r w:rsidRPr="00271E51">
        <w:rPr>
          <w:rFonts w:ascii="Times New Roman" w:hAnsi="Times New Roman"/>
          <w:color w:val="000000" w:themeColor="text1"/>
          <w:sz w:val="16"/>
          <w:szCs w:val="16"/>
        </w:rPr>
        <w:softHyphen/>
        <w:t>сутствуют: тактическое назначение самолета, описание конструкции и расчет на прочность, состав специ</w:t>
      </w:r>
      <w:r w:rsidRPr="00271E51">
        <w:rPr>
          <w:rFonts w:ascii="Times New Roman" w:hAnsi="Times New Roman"/>
          <w:color w:val="000000" w:themeColor="text1"/>
          <w:sz w:val="16"/>
          <w:szCs w:val="16"/>
        </w:rPr>
        <w:softHyphen/>
        <w:t>ального оборудования и его компо</w:t>
      </w:r>
      <w:r w:rsidRPr="00271E51">
        <w:rPr>
          <w:rFonts w:ascii="Times New Roman" w:hAnsi="Times New Roman"/>
          <w:color w:val="000000" w:themeColor="text1"/>
          <w:sz w:val="16"/>
          <w:szCs w:val="16"/>
        </w:rPr>
        <w:softHyphen/>
        <w:t>новка на самолете, а также расчеты маневренности, устойчивости и по</w:t>
      </w:r>
      <w:r w:rsidRPr="00271E51">
        <w:rPr>
          <w:rFonts w:ascii="Times New Roman" w:hAnsi="Times New Roman"/>
          <w:color w:val="000000" w:themeColor="text1"/>
          <w:sz w:val="16"/>
          <w:szCs w:val="16"/>
        </w:rPr>
        <w:softHyphen/>
        <w:t>ляры крыла. Установка на самолете системы заполнения бензобаков ней</w:t>
      </w:r>
      <w:r w:rsidRPr="00271E51">
        <w:rPr>
          <w:rFonts w:ascii="Times New Roman" w:hAnsi="Times New Roman"/>
          <w:color w:val="000000" w:themeColor="text1"/>
          <w:sz w:val="16"/>
          <w:szCs w:val="16"/>
        </w:rPr>
        <w:softHyphen/>
        <w:t>тральным газом не предполагалась. Не было предусмотрено дублирова</w:t>
      </w:r>
      <w:r w:rsidRPr="00271E51">
        <w:rPr>
          <w:rFonts w:ascii="Times New Roman" w:hAnsi="Times New Roman"/>
          <w:color w:val="000000" w:themeColor="text1"/>
          <w:sz w:val="16"/>
          <w:szCs w:val="16"/>
        </w:rPr>
        <w:softHyphen/>
        <w:t>ние в канале управления рулем вы</w:t>
      </w:r>
      <w:r w:rsidRPr="00271E51">
        <w:rPr>
          <w:rFonts w:ascii="Times New Roman" w:hAnsi="Times New Roman"/>
          <w:color w:val="000000" w:themeColor="text1"/>
          <w:sz w:val="16"/>
          <w:szCs w:val="16"/>
        </w:rPr>
        <w:softHyphen/>
        <w:t>соты и направления. Воздушный стре</w:t>
      </w:r>
      <w:r w:rsidRPr="00271E51">
        <w:rPr>
          <w:rFonts w:ascii="Times New Roman" w:hAnsi="Times New Roman"/>
          <w:color w:val="000000" w:themeColor="text1"/>
          <w:sz w:val="16"/>
          <w:szCs w:val="16"/>
        </w:rPr>
        <w:softHyphen/>
        <w:t>лок по-прежнему оставался не за</w:t>
      </w:r>
      <w:r w:rsidRPr="00271E51">
        <w:rPr>
          <w:rFonts w:ascii="Times New Roman" w:hAnsi="Times New Roman"/>
          <w:color w:val="000000" w:themeColor="text1"/>
          <w:sz w:val="16"/>
          <w:szCs w:val="16"/>
        </w:rPr>
        <w:softHyphen/>
        <w:t>щищенным от огня сверху-сзади. Все эти недостатки в начале 1 944 г. уже считались недопустимыми для само</w:t>
      </w:r>
      <w:r w:rsidRPr="00271E51">
        <w:rPr>
          <w:rFonts w:ascii="Times New Roman" w:hAnsi="Times New Roman"/>
          <w:color w:val="000000" w:themeColor="text1"/>
          <w:sz w:val="16"/>
          <w:szCs w:val="16"/>
        </w:rPr>
        <w:softHyphen/>
        <w:t>лета поля боя.</w:t>
      </w:r>
    </w:p>
    <w:p w14:paraId="681430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впечатлили военных и боевые возможности самолета. Вооружение Ил-1 по проекту включало две пуш</w:t>
      </w:r>
      <w:r w:rsidRPr="00271E51">
        <w:rPr>
          <w:rFonts w:ascii="Times New Roman" w:hAnsi="Times New Roman"/>
          <w:color w:val="000000" w:themeColor="text1"/>
          <w:sz w:val="16"/>
          <w:szCs w:val="16"/>
        </w:rPr>
        <w:softHyphen/>
        <w:t>ки ВЯ-23 (300 снарядов), два пуле</w:t>
      </w:r>
      <w:r w:rsidRPr="00271E51">
        <w:rPr>
          <w:rFonts w:ascii="Times New Roman" w:hAnsi="Times New Roman"/>
          <w:color w:val="000000" w:themeColor="text1"/>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271E51">
        <w:rPr>
          <w:rFonts w:ascii="Times New Roman" w:hAnsi="Times New Roman"/>
          <w:color w:val="000000" w:themeColor="text1"/>
          <w:sz w:val="16"/>
          <w:szCs w:val="16"/>
        </w:rPr>
        <w:softHyphen/>
        <w:t>ное вооружение не предусматрива</w:t>
      </w:r>
      <w:r w:rsidRPr="00271E51">
        <w:rPr>
          <w:rFonts w:ascii="Times New Roman" w:hAnsi="Times New Roman"/>
          <w:color w:val="000000" w:themeColor="text1"/>
          <w:sz w:val="16"/>
          <w:szCs w:val="16"/>
        </w:rPr>
        <w:softHyphen/>
        <w:t>лось.</w:t>
      </w:r>
    </w:p>
    <w:p w14:paraId="698BD3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заключения по эскиз</w:t>
      </w:r>
      <w:r w:rsidRPr="00271E51">
        <w:rPr>
          <w:rFonts w:ascii="Times New Roman" w:hAnsi="Times New Roman"/>
          <w:color w:val="000000" w:themeColor="text1"/>
          <w:sz w:val="16"/>
          <w:szCs w:val="16"/>
        </w:rPr>
        <w:softHyphen/>
        <w:t>ному проекту указывалось: "...Глав</w:t>
      </w:r>
      <w:r w:rsidRPr="00271E51">
        <w:rPr>
          <w:rFonts w:ascii="Times New Roman" w:hAnsi="Times New Roman"/>
          <w:color w:val="000000" w:themeColor="text1"/>
          <w:sz w:val="16"/>
          <w:szCs w:val="16"/>
        </w:rPr>
        <w:softHyphen/>
        <w:t>ный конструктор самолета предла</w:t>
      </w:r>
      <w:r w:rsidRPr="00271E51">
        <w:rPr>
          <w:rFonts w:ascii="Times New Roman" w:hAnsi="Times New Roman"/>
          <w:color w:val="000000" w:themeColor="text1"/>
          <w:sz w:val="16"/>
          <w:szCs w:val="16"/>
        </w:rPr>
        <w:softHyphen/>
        <w:t>гает бронированный штурмовик. Если это так, то в чем заключается смысл постройки этого самолета. При срав</w:t>
      </w:r>
      <w:r w:rsidRPr="00271E51">
        <w:rPr>
          <w:rFonts w:ascii="Times New Roman" w:hAnsi="Times New Roman"/>
          <w:color w:val="000000" w:themeColor="text1"/>
          <w:sz w:val="16"/>
          <w:szCs w:val="16"/>
        </w:rPr>
        <w:softHyphen/>
        <w:t>нении с Су-6 с АМ-42 напрашивает</w:t>
      </w:r>
      <w:r w:rsidRPr="00271E51">
        <w:rPr>
          <w:rFonts w:ascii="Times New Roman" w:hAnsi="Times New Roman"/>
          <w:color w:val="000000" w:themeColor="text1"/>
          <w:sz w:val="16"/>
          <w:szCs w:val="16"/>
        </w:rPr>
        <w:softHyphen/>
        <w:t>ся вывод не в пользу Ил-1 с АМ-42. ...По летным данным Ил-1 превосхо</w:t>
      </w:r>
      <w:r w:rsidRPr="00271E51">
        <w:rPr>
          <w:rFonts w:ascii="Times New Roman" w:hAnsi="Times New Roman"/>
          <w:color w:val="000000" w:themeColor="text1"/>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271E51">
        <w:rPr>
          <w:rFonts w:ascii="Times New Roman" w:hAnsi="Times New Roman"/>
          <w:color w:val="000000" w:themeColor="text1"/>
          <w:sz w:val="16"/>
          <w:szCs w:val="16"/>
        </w:rPr>
        <w:softHyphen/>
        <w:t>вой нагрузке. ...Бронирование Ил-1 требованиям ВВС не удовлетворяет. ...Конструкция Ил-1 по проекту ба</w:t>
      </w:r>
      <w:r w:rsidRPr="00271E51">
        <w:rPr>
          <w:rFonts w:ascii="Times New Roman" w:hAnsi="Times New Roman"/>
          <w:color w:val="000000" w:themeColor="text1"/>
          <w:sz w:val="16"/>
          <w:szCs w:val="16"/>
        </w:rPr>
        <w:softHyphen/>
        <w:t>зируется на технологии серийного Ил-2, однако для освоения самоле</w:t>
      </w:r>
      <w:r w:rsidRPr="00271E51">
        <w:rPr>
          <w:rFonts w:ascii="Times New Roman" w:hAnsi="Times New Roman"/>
          <w:color w:val="000000" w:themeColor="text1"/>
          <w:sz w:val="16"/>
          <w:szCs w:val="16"/>
        </w:rPr>
        <w:softHyphen/>
        <w:t>та потребуется коренная переделка всего производства".</w:t>
      </w:r>
    </w:p>
    <w:p w14:paraId="343618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Требовалось внести серьезные из</w:t>
      </w:r>
      <w:r w:rsidRPr="00271E51">
        <w:rPr>
          <w:rFonts w:ascii="Times New Roman" w:hAnsi="Times New Roman"/>
          <w:color w:val="000000" w:themeColor="text1"/>
          <w:sz w:val="16"/>
          <w:szCs w:val="16"/>
        </w:rPr>
        <w:softHyphen/>
        <w:t>менения в конструкцию и вооруже</w:t>
      </w:r>
      <w:r w:rsidRPr="00271E51">
        <w:rPr>
          <w:rFonts w:ascii="Times New Roman" w:hAnsi="Times New Roman"/>
          <w:color w:val="000000" w:themeColor="text1"/>
          <w:sz w:val="16"/>
          <w:szCs w:val="16"/>
        </w:rPr>
        <w:softHyphen/>
        <w:t>ние предлагаемого штурмовика. Как показали дальнейшие события, кро</w:t>
      </w:r>
      <w:r w:rsidRPr="00271E51">
        <w:rPr>
          <w:rFonts w:ascii="Times New Roman" w:hAnsi="Times New Roman"/>
          <w:color w:val="000000" w:themeColor="text1"/>
          <w:sz w:val="16"/>
          <w:szCs w:val="16"/>
        </w:rPr>
        <w:softHyphen/>
        <w:t>ме установки пушки Ш-20 ОКБ-15 калибра 20 мм вместо УБТ, других доработок сделано не было (11427).</w:t>
      </w:r>
    </w:p>
    <w:p w14:paraId="1A6327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DF3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25 декабря 1943 г. большая часть работ на самолете была завершена. Из-за увеличения веса самолета спроектировали и изгото</w:t>
      </w:r>
      <w:r w:rsidRPr="00271E51">
        <w:rPr>
          <w:rFonts w:ascii="Times New Roman" w:hAnsi="Times New Roman"/>
          <w:color w:val="000000" w:themeColor="text1"/>
          <w:sz w:val="16"/>
          <w:szCs w:val="16"/>
        </w:rPr>
        <w:softHyphen/>
        <w:t>вили новое цельнометаллическое крыло увеличенной до 28,6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площадью без предкрылков. Изменили стабилизатор. Увеличили компенсацию рулей высоты и элеронов.</w:t>
      </w:r>
    </w:p>
    <w:p w14:paraId="25DC87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увеличения противокапотажного угла основные колеса шасси вынесли вперед на 91 мм. Усилили амортстойку шасси и улучшили амортизацию. Установили основные колеса шасси большего размера — 800x260 вместо 750x250. Поставили хво</w:t>
      </w:r>
      <w:r w:rsidRPr="00271E51">
        <w:rPr>
          <w:rFonts w:ascii="Times New Roman" w:hAnsi="Times New Roman"/>
          <w:color w:val="000000" w:themeColor="text1"/>
          <w:sz w:val="16"/>
          <w:szCs w:val="16"/>
        </w:rPr>
        <w:softHyphen/>
        <w:t>стовое колесо 400x150 мм вместо 300x125 мм.</w:t>
      </w:r>
    </w:p>
    <w:p w14:paraId="184A24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заменой мотора воздушного охлаждения на мотор жидкостного охлаждения установили бронекапот (толщина брони везде 4 мм), защищавший мотор и водосистему. Брони</w:t>
      </w:r>
      <w:r w:rsidRPr="00271E51">
        <w:rPr>
          <w:rFonts w:ascii="Times New Roman" w:hAnsi="Times New Roman"/>
          <w:color w:val="000000" w:themeColor="text1"/>
          <w:sz w:val="16"/>
          <w:szCs w:val="16"/>
        </w:rPr>
        <w:softHyphen/>
        <w:t>ровались маслопровод, маслорадиаторы и втулка винта. Об</w:t>
      </w:r>
      <w:r w:rsidRPr="00271E51">
        <w:rPr>
          <w:rFonts w:ascii="Times New Roman" w:hAnsi="Times New Roman"/>
          <w:color w:val="000000" w:themeColor="text1"/>
          <w:sz w:val="16"/>
          <w:szCs w:val="16"/>
        </w:rPr>
        <w:softHyphen/>
        <w:t>щий вес брони на самолете возрос до 895 кг. При этом на бро</w:t>
      </w:r>
      <w:r w:rsidRPr="00271E51">
        <w:rPr>
          <w:rFonts w:ascii="Times New Roman" w:hAnsi="Times New Roman"/>
          <w:color w:val="000000" w:themeColor="text1"/>
          <w:sz w:val="16"/>
          <w:szCs w:val="16"/>
        </w:rPr>
        <w:softHyphen/>
        <w:t>некапот мотора приходилось 295 кг брони, на кабину летчи</w:t>
      </w:r>
      <w:r w:rsidRPr="00271E51">
        <w:rPr>
          <w:rFonts w:ascii="Times New Roman" w:hAnsi="Times New Roman"/>
          <w:color w:val="000000" w:themeColor="text1"/>
          <w:sz w:val="16"/>
          <w:szCs w:val="16"/>
        </w:rPr>
        <w:softHyphen/>
        <w:t>ка — 382 кг, на кабину воздушного стрелка — 200 кг.</w:t>
      </w:r>
    </w:p>
    <w:p w14:paraId="6F6797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Стрелково-пушечное и ракетное вооружение штурмовика осталось прежним: две пушки НС-37 с боекомплектом 90 сна</w:t>
      </w:r>
      <w:r w:rsidRPr="00271E51">
        <w:rPr>
          <w:rFonts w:ascii="Times New Roman" w:hAnsi="Times New Roman"/>
          <w:color w:val="000000" w:themeColor="text1"/>
          <w:sz w:val="16"/>
          <w:szCs w:val="16"/>
        </w:rPr>
        <w:softHyphen/>
        <w:t>рядов, два крыльевых пулемета ШКАС (1400 патронов), один пулемет УБТ в блистере (196 патронов) и шесть ракетных ору</w:t>
      </w:r>
      <w:r w:rsidRPr="00271E51">
        <w:rPr>
          <w:rFonts w:ascii="Times New Roman" w:hAnsi="Times New Roman"/>
          <w:color w:val="000000" w:themeColor="text1"/>
          <w:sz w:val="16"/>
          <w:szCs w:val="16"/>
        </w:rPr>
        <w:softHyphen/>
        <w:t>дий РО-82 (или РО-132). Нормальную бомбовую нагрузку уве</w:t>
      </w:r>
      <w:r w:rsidRPr="00271E51">
        <w:rPr>
          <w:rFonts w:ascii="Times New Roman" w:hAnsi="Times New Roman"/>
          <w:color w:val="000000" w:themeColor="text1"/>
          <w:sz w:val="16"/>
          <w:szCs w:val="16"/>
        </w:rPr>
        <w:softHyphen/>
        <w:t>личили до 400 кг.</w:t>
      </w:r>
    </w:p>
    <w:p w14:paraId="741B73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всех доработок вес пустого самолета увеличился до 4370 кг, а вес боевой нагрузки составил 1375 кг.</w:t>
      </w:r>
    </w:p>
    <w:p w14:paraId="5C2891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Отсутствовали только мотор АМ-42 и водорадиа-тор. Согласно приказу НКАП от 5 декабря «мотор и водора-диатор должны быть поданы на завод № 289 5.12.43». Сухой доложил руководству, что после получения мотора самолет бу</w:t>
      </w:r>
      <w:r w:rsidRPr="00271E51">
        <w:rPr>
          <w:rFonts w:ascii="Times New Roman" w:hAnsi="Times New Roman"/>
          <w:color w:val="000000" w:themeColor="text1"/>
          <w:sz w:val="16"/>
          <w:szCs w:val="16"/>
        </w:rPr>
        <w:softHyphen/>
        <w:t>дет готов для передачи на летно-испытательную станцию заво</w:t>
      </w:r>
      <w:r w:rsidRPr="00271E51">
        <w:rPr>
          <w:rFonts w:ascii="Times New Roman" w:hAnsi="Times New Roman"/>
          <w:color w:val="000000" w:themeColor="text1"/>
          <w:sz w:val="16"/>
          <w:szCs w:val="16"/>
        </w:rPr>
        <w:softHyphen/>
        <w:t>да № 289 через 10—15 дней. При этом сроки поставки мотора с завода № 24 ему неизвестны.</w:t>
      </w:r>
    </w:p>
    <w:p w14:paraId="1B52ED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ожидали мотор, решили устранить недостатки ком</w:t>
      </w:r>
      <w:r w:rsidRPr="00271E51">
        <w:rPr>
          <w:rFonts w:ascii="Times New Roman" w:hAnsi="Times New Roman"/>
          <w:color w:val="000000" w:themeColor="text1"/>
          <w:sz w:val="16"/>
          <w:szCs w:val="16"/>
        </w:rPr>
        <w:softHyphen/>
        <w:t>поновки кабины летчика, отмеченные на государственных испытаниях Су-6 М-71ф. В частности, перекомпоновали обо</w:t>
      </w:r>
      <w:r w:rsidRPr="00271E51">
        <w:rPr>
          <w:rFonts w:ascii="Times New Roman" w:hAnsi="Times New Roman"/>
          <w:color w:val="000000" w:themeColor="text1"/>
          <w:sz w:val="16"/>
          <w:szCs w:val="16"/>
        </w:rPr>
        <w:softHyphen/>
        <w:t>рудование на приборной доске и некоторые рычаги управле</w:t>
      </w:r>
      <w:r w:rsidRPr="00271E51">
        <w:rPr>
          <w:rFonts w:ascii="Times New Roman" w:hAnsi="Times New Roman"/>
          <w:color w:val="000000" w:themeColor="text1"/>
          <w:sz w:val="16"/>
          <w:szCs w:val="16"/>
        </w:rPr>
        <w:softHyphen/>
        <w:t>ния, установили откидывающийся прицел ПБП-16 (вместо ВВ-1) и стандартную ручку управления самолетом истреби</w:t>
      </w:r>
      <w:r w:rsidRPr="00271E51">
        <w:rPr>
          <w:rFonts w:ascii="Times New Roman" w:hAnsi="Times New Roman"/>
          <w:color w:val="000000" w:themeColor="text1"/>
          <w:sz w:val="16"/>
          <w:szCs w:val="16"/>
        </w:rPr>
        <w:softHyphen/>
        <w:t>тельного типа. Кроме этого, доработали систему управления</w:t>
      </w:r>
    </w:p>
    <w:p w14:paraId="576E59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бомболюками.</w:t>
      </w:r>
    </w:p>
    <w:p w14:paraId="3F5998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задержки поставки мотора привести самолет в летное состояние удалось лишь к середине февраля. Помимо мотора, на самолет установили четырехлопастный винт АВ-9Л-172 диаметром 3,4 м. Смонтировали водяную систему охлаждения мотора емкостью 70 л. Под мотором разместили водовоздушный подковообразный радиатор типа «606». Маслорадиаторы увеличенных размеров имели вывод тоннелей под плоскость (11474,432).</w:t>
      </w:r>
    </w:p>
    <w:p w14:paraId="6B3049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91A0F5" w14:textId="77777777" w:rsidR="00B243B4" w:rsidRPr="00271E51" w:rsidRDefault="00B243B4"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По состоянию на 25 декабря 1943 готовность по сборке штурмового Ил-1 на заводе № 18 оценивалась в 80 %. Завод № 1 продолжал строить одноместный истребительный вариант «единички».</w:t>
      </w:r>
    </w:p>
    <w:p w14:paraId="0BD89AF8" w14:textId="77777777" w:rsidR="00B243B4" w:rsidRPr="00271E51" w:rsidRDefault="00B243B4"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На заводе № 18 работы по постройке двух экземпляров двухместного Ил-1 и одного комплекта агрегатов для проведения статиспытаний шли полным ходом. С целью сокращения сроков отработки самолета внесли изменения в состав его вооружения. «Вместо ранее предполагавшихся двух пушек калибра 37 мм и двух пушек калибра 20 мм» на самолете было решено установить две пушки ВЯ и два пулемета ШКАС, «секвестировать» ракетные орудия, а «вместо четырех бомбоотсеков» - смонтировать два бомбоотсека в центропланной части крыла и два внешних бомбодержателя ДЗ-42. Одновременно с самолета С-42, на который из-за отсутствия свободного мотора АМ-42 временно поставили АМ-38 ф, сняли «турельный колпак задней установки» и установили на первый летный экземпляр Ил-1. Взамен на С-42 предполагалось смонтировать серийный фонарь от Ил-2 и затем передать самолет на завод № 240, «где на него поставят турельный колпак» (17490).</w:t>
      </w:r>
    </w:p>
    <w:p w14:paraId="0FBDC5E8" w14:textId="77777777" w:rsidR="00B243B4" w:rsidRPr="00271E51" w:rsidRDefault="00B243B4" w:rsidP="00271E51">
      <w:pPr>
        <w:spacing w:after="0" w:line="240" w:lineRule="auto"/>
        <w:jc w:val="both"/>
        <w:rPr>
          <w:rFonts w:ascii="Times New Roman" w:eastAsia="Times New Roman" w:hAnsi="Times New Roman"/>
          <w:color w:val="000000" w:themeColor="text1"/>
          <w:sz w:val="16"/>
          <w:szCs w:val="16"/>
          <w:lang w:eastAsia="ru-RU"/>
        </w:rPr>
      </w:pPr>
    </w:p>
    <w:p w14:paraId="7E5E1664" w14:textId="77777777" w:rsidR="00B243B4" w:rsidRPr="00271E51" w:rsidRDefault="00B243B4" w:rsidP="00271E51">
      <w:pPr>
        <w:spacing w:after="0" w:line="240" w:lineRule="auto"/>
        <w:jc w:val="both"/>
        <w:rPr>
          <w:rFonts w:ascii="Times New Roman" w:hAnsi="Times New Roman"/>
          <w:color w:val="000000" w:themeColor="text1"/>
          <w:sz w:val="16"/>
          <w:szCs w:val="16"/>
        </w:rPr>
      </w:pPr>
      <w:r w:rsidRPr="00271E51">
        <w:rPr>
          <w:rStyle w:val="5f"/>
          <w:rFonts w:eastAsiaTheme="minorHAnsi"/>
          <w:color w:val="000000" w:themeColor="text1"/>
          <w:sz w:val="16"/>
          <w:szCs w:val="16"/>
        </w:rPr>
        <w:t>На 25 декабря 1943 года в очередной сводке 1-го отдела ГУ ИАС по опытным работам в отношении Ил-1 АМ-42 отмечалось: «Проектные данные самолетов НИИ ВВС КА неизвестны, так как эскизные проекты самолетов Ил-1 с АМ-42 ни главному инженеру ВВС КА, ни начальнику НИИ ВВС КА не представлялись. Главный конструктор т. Ильюшин обещал выслать в ближайшие дни эскизный проект. Неясно, как будет представляться самолет Ил-1 - как штурмовик или как истребитель. Первоначально самолет Ил-1 в одноместном варианте проектировался и был начат постройкой как истребитель» (17490).</w:t>
      </w:r>
    </w:p>
    <w:p w14:paraId="7A8DF49C" w14:textId="77777777" w:rsidR="00B243B4" w:rsidRPr="00271E51" w:rsidRDefault="00B243B4" w:rsidP="00271E51">
      <w:pPr>
        <w:spacing w:after="0" w:line="240" w:lineRule="auto"/>
        <w:jc w:val="both"/>
        <w:rPr>
          <w:rFonts w:ascii="Times New Roman" w:hAnsi="Times New Roman"/>
          <w:color w:val="000000" w:themeColor="text1"/>
          <w:sz w:val="16"/>
          <w:szCs w:val="16"/>
        </w:rPr>
      </w:pPr>
    </w:p>
    <w:p w14:paraId="6AC14AF9" w14:textId="77777777" w:rsidR="00D04D05" w:rsidRPr="00271E51" w:rsidRDefault="00D04D05" w:rsidP="00271E51">
      <w:pPr>
        <w:pStyle w:val="121"/>
        <w:shd w:val="clear" w:color="auto" w:fill="auto"/>
        <w:spacing w:line="240" w:lineRule="auto"/>
        <w:jc w:val="both"/>
        <w:rPr>
          <w:rFonts w:ascii="Times New Roman" w:hAnsi="Times New Roman" w:cs="Times New Roman"/>
          <w:b w:val="0"/>
          <w:bCs w:val="0"/>
          <w:color w:val="0070C0"/>
          <w:sz w:val="16"/>
          <w:szCs w:val="16"/>
        </w:rPr>
      </w:pPr>
      <w:r w:rsidRPr="00271E51">
        <w:rPr>
          <w:rStyle w:val="128pt100"/>
          <w:rFonts w:ascii="Times New Roman" w:hAnsi="Times New Roman" w:cs="Times New Roman"/>
          <w:b w:val="0"/>
          <w:bCs w:val="0"/>
          <w:i w:val="0"/>
          <w:iCs w:val="0"/>
          <w:color w:val="0070C0"/>
        </w:rPr>
        <w:t>25 декабря 1943 помощник ведущего инже</w:t>
      </w:r>
      <w:r w:rsidRPr="00271E51">
        <w:rPr>
          <w:rStyle w:val="128pt100"/>
          <w:rFonts w:ascii="Times New Roman" w:hAnsi="Times New Roman" w:cs="Times New Roman"/>
          <w:b w:val="0"/>
          <w:bCs w:val="0"/>
          <w:i w:val="0"/>
          <w:iCs w:val="0"/>
          <w:color w:val="0070C0"/>
        </w:rPr>
        <w:softHyphen/>
        <w:t>нера НИИ ВВС по самолету Су-6 старший техник-лейтенант Л.Н. Марьин доложил руководству, что «</w:t>
      </w:r>
      <w:r w:rsidRPr="00271E51">
        <w:rPr>
          <w:rFonts w:ascii="Times New Roman" w:hAnsi="Times New Roman" w:cs="Times New Roman"/>
          <w:b w:val="0"/>
          <w:bCs w:val="0"/>
          <w:color w:val="0070C0"/>
          <w:sz w:val="16"/>
          <w:szCs w:val="16"/>
        </w:rPr>
        <w:t>после получения мотора самолет будет готов для передачи на летно-испытательную станцию завода №289 через 10-15 дней, сроки поставки мотора с завода №24/.../ неизвестны» (19853).</w:t>
      </w:r>
    </w:p>
    <w:p w14:paraId="14661A50" w14:textId="77777777" w:rsidR="00D04D05" w:rsidRPr="00271E51" w:rsidRDefault="00D04D05" w:rsidP="00271E51">
      <w:pPr>
        <w:pStyle w:val="121"/>
        <w:shd w:val="clear" w:color="auto" w:fill="auto"/>
        <w:spacing w:line="240" w:lineRule="auto"/>
        <w:jc w:val="both"/>
        <w:rPr>
          <w:rFonts w:ascii="Times New Roman" w:hAnsi="Times New Roman" w:cs="Times New Roman"/>
          <w:b w:val="0"/>
          <w:bCs w:val="0"/>
          <w:color w:val="0070C0"/>
          <w:sz w:val="16"/>
          <w:szCs w:val="16"/>
        </w:rPr>
      </w:pPr>
    </w:p>
    <w:p w14:paraId="32EDEF4C" w14:textId="77777777" w:rsidR="00EE36A4" w:rsidRPr="00271E51" w:rsidRDefault="00EE36A4"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К 25 декабря 1943 г., согласно сводке по состоянию опытного само</w:t>
      </w:r>
      <w:r w:rsidRPr="00271E51">
        <w:rPr>
          <w:color w:val="000000" w:themeColor="text1"/>
          <w:sz w:val="16"/>
          <w:szCs w:val="16"/>
        </w:rPr>
        <w:softHyphen/>
        <w:t>летостроения, подготовленной 1-м отделом НИИ ВВС, на Су-8 производились доводочные работы по гидросистеме шасси, за</w:t>
      </w:r>
      <w:r w:rsidRPr="00271E51">
        <w:rPr>
          <w:color w:val="000000" w:themeColor="text1"/>
          <w:sz w:val="16"/>
          <w:szCs w:val="16"/>
        </w:rPr>
        <w:softHyphen/>
        <w:t>крылков, жалюзи, улучшались тормоза, доводилась винтомоторная группа. Поскольку статиспытания в ЦАГИ показали недостаточную прочность хвосто</w:t>
      </w:r>
      <w:r w:rsidRPr="00271E51">
        <w:rPr>
          <w:color w:val="000000" w:themeColor="text1"/>
          <w:sz w:val="16"/>
          <w:szCs w:val="16"/>
        </w:rPr>
        <w:softHyphen/>
        <w:t>вой части фюзеляжа Су-8, она усиливалась путем установки так называемых косынок. По заявлению П. О. Сухого, очередное руление самолета ориенти</w:t>
      </w:r>
      <w:r w:rsidRPr="00271E51">
        <w:rPr>
          <w:color w:val="000000" w:themeColor="text1"/>
          <w:sz w:val="16"/>
          <w:szCs w:val="16"/>
        </w:rPr>
        <w:softHyphen/>
        <w:t>ровочно планировалось на 28—29 декабря (17500).</w:t>
      </w:r>
    </w:p>
    <w:p w14:paraId="6D01FC5D" w14:textId="77777777" w:rsidR="00EE36A4" w:rsidRPr="00271E51" w:rsidRDefault="00EE36A4" w:rsidP="00271E51">
      <w:pPr>
        <w:spacing w:after="0" w:line="240" w:lineRule="auto"/>
        <w:jc w:val="both"/>
        <w:rPr>
          <w:rFonts w:ascii="Times New Roman" w:hAnsi="Times New Roman"/>
          <w:color w:val="000000" w:themeColor="text1"/>
          <w:sz w:val="16"/>
          <w:szCs w:val="16"/>
        </w:rPr>
      </w:pPr>
    </w:p>
    <w:p w14:paraId="003B80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вышел приказ НКАП N 769с "О производстве на заводе 99 модифицированных самолетов Ла-5 с М-82ФН":</w:t>
      </w:r>
    </w:p>
    <w:p w14:paraId="05AE83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дальнейшего улучшения ЛТД самолета Ла-5, выпускаемого заводом 99:</w:t>
      </w:r>
    </w:p>
    <w:p w14:paraId="12FC2F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Зам. наркома и нач. ПГУ Воронину и директору завода 99 Прокопьеву:</w:t>
      </w:r>
    </w:p>
    <w:p w14:paraId="6FAD6C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выпустить в производство и выпускать с 1 апреля 1944 модифицированный самолет Ла-5 с улучшенным обзором назад (срезанный гаргрот), улучшенной герметизацией и мотором М-82ФН вместо М-82Ф в соответствии с чертежами завода 21.</w:t>
      </w:r>
    </w:p>
    <w:p w14:paraId="6B3596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 1 октября 1944 перейти на выпуск самолетов Ла-5ФН с металлическими лонжеронами и с увеличенной дальностью по образцу самолетов завода 21 (1763,108).</w:t>
      </w:r>
    </w:p>
    <w:p w14:paraId="01CDA2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043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вышел приказ НКАП N 777с:</w:t>
      </w:r>
    </w:p>
    <w:p w14:paraId="78B72B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обеспечения школ ВВС УТ самолетами типа Як-7 и освобождения завода 153 от производства УТ самолетов:</w:t>
      </w:r>
    </w:p>
    <w:p w14:paraId="2608DC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Нач. 6 ГУ Комарову и директору завода 87 Бугрову организовать на заводе 87 переоборудование самолетов типа Як-7 в УТ с последующим переходом на самостоятельный выпуск УТ самолетов (1762,9).</w:t>
      </w:r>
    </w:p>
    <w:p w14:paraId="3CFFB2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071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г. по приказу НКАП № 643с в состав ОКБ-122 (ОКБ-122 НКАП, МАП, ОКБ-7 завода № 122 МАП /г. Москва/) влито ОКБ-214 НКАП ( г. Свердловск)</w:t>
      </w:r>
    </w:p>
    <w:p w14:paraId="66F2F8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приказу НКАП № 641с от 5.11.44 г. в ОКБ-122 влито ОКБ-213 НКАП ( г. Энгельс).</w:t>
      </w:r>
    </w:p>
    <w:p w14:paraId="124106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соответствии с распоряжением СМ СССР № 4652 от 9.06.1955 г. образован филиал ОКБ-122 для разработки астронавигационных систем управления (см. завод № </w:t>
      </w:r>
      <w:r w:rsidRPr="00271E51">
        <w:rPr>
          <w:rFonts w:ascii="Times New Roman" w:hAnsi="Times New Roman"/>
          <w:color w:val="000000" w:themeColor="text1"/>
          <w:sz w:val="16"/>
          <w:szCs w:val="16"/>
        </w:rPr>
        <w:lastRenderedPageBreak/>
        <w:t>914).</w:t>
      </w:r>
    </w:p>
    <w:p w14:paraId="639218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(1940-е-55 г.-)- Е.Ф. Антипов.</w:t>
      </w:r>
    </w:p>
    <w:p w14:paraId="76C404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58E40C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4F198"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BA531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71A0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25 по 31 декабря 1943 г. на Гороховецком полигоне проходили испытания опытных машин Т-34-85. На испытания были представлены опытные образцы танков Т-34 со следующим вооружением: 85-мм танковой пушкой ЛБ-1 конструкции и производства завода № 92, установленной в башне с диаметром опоры 1600 мм; 85-мм танковой пушкой С-53 конструкции и производства ЦАКБ НКВ, установленной в башне с диаметром опоры 1420 мм и 85-мм танковой пушкой С-50 конструкции и производства ЦАКБ, установленной в башне с диаметром опоры 1600 мм. Все три пушки, установленные в танках Т-34, испытаний не выдержали (10703).</w:t>
      </w:r>
    </w:p>
    <w:p w14:paraId="41320E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B33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25 по 31 декабря 1943 г. прошли испытания Т-34-85 с 85-мм пушкой и хотя все орудия в полном объеме не выдержали программы, комиссия пришла к выводу о преимуществах орудия С-53 (сказались главным образом вес, габариты и сложность изготовления). И 1 января 1944 г. указанное орудие было принято на вооружение танка Т-34 как с нор</w:t>
      </w:r>
      <w:r w:rsidRPr="00271E51">
        <w:rPr>
          <w:rFonts w:ascii="Times New Roman" w:hAnsi="Times New Roman"/>
          <w:color w:val="000000" w:themeColor="text1"/>
          <w:sz w:val="16"/>
          <w:szCs w:val="16"/>
        </w:rPr>
        <w:softHyphen/>
        <w:t>мальным, так и расширенным погоном. Но серийное про</w:t>
      </w:r>
      <w:r w:rsidRPr="00271E51">
        <w:rPr>
          <w:rFonts w:ascii="Times New Roman" w:hAnsi="Times New Roman"/>
          <w:color w:val="000000" w:themeColor="text1"/>
          <w:sz w:val="16"/>
          <w:szCs w:val="16"/>
        </w:rPr>
        <w:softHyphen/>
        <w:t>изводство Т-34-85 должно было начаться только с 1 марта 1944 г., а до того времени выпуск танков указанного типа ограничивался производившимися на заводе № 112 ма</w:t>
      </w:r>
      <w:r w:rsidRPr="00271E51">
        <w:rPr>
          <w:rFonts w:ascii="Times New Roman" w:hAnsi="Times New Roman"/>
          <w:color w:val="000000" w:themeColor="text1"/>
          <w:sz w:val="16"/>
          <w:szCs w:val="16"/>
        </w:rPr>
        <w:softHyphen/>
        <w:t>шинами с 85-мм орудием Д-5Т.</w:t>
      </w:r>
    </w:p>
    <w:p w14:paraId="1DE02B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некоторые издания живописали, что пер</w:t>
      </w:r>
      <w:r w:rsidRPr="00271E51">
        <w:rPr>
          <w:rFonts w:ascii="Times New Roman" w:hAnsi="Times New Roman"/>
          <w:color w:val="000000" w:themeColor="text1"/>
          <w:sz w:val="16"/>
          <w:szCs w:val="16"/>
        </w:rPr>
        <w:softHyphen/>
        <w:t>вые Т-34-85 были изготовлены и поступили на фронт уже осенью 1943 г. Это неверно, так как в указанный срок в СССР для них не было ни башен, ни орудий (11135).</w:t>
      </w:r>
    </w:p>
    <w:p w14:paraId="3BDF6B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47F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по 31 де</w:t>
      </w:r>
      <w:r w:rsidRPr="00271E51">
        <w:rPr>
          <w:rFonts w:ascii="Times New Roman" w:hAnsi="Times New Roman"/>
          <w:color w:val="000000" w:themeColor="text1"/>
          <w:sz w:val="16"/>
          <w:szCs w:val="16"/>
        </w:rPr>
        <w:softHyphen/>
        <w:t>кабря 1943 г. образец танка Т-34-85 с пушкой С-50 прошел испытания на ГАНИОПе. Пушка испытания не выдержала по причине отрыва штоков противооткатных устройств. На вооружение танк не принимался и в серийном производстве не состоял. 85-мм танковая пушка конструкции и изготовления ЦАКБ НКВ (А. Боглевский, В. Мещанинов, В. Тюрин) была установлена в башню с диаметром опоры 1570 мм танка Т-34-85 обр. 1943 г. Для крепления пушки в передней части башни были вварены две щеки. На правой ще</w:t>
      </w:r>
      <w:r w:rsidRPr="00271E51">
        <w:rPr>
          <w:rFonts w:ascii="Times New Roman" w:hAnsi="Times New Roman"/>
          <w:color w:val="000000" w:themeColor="text1"/>
          <w:sz w:val="16"/>
          <w:szCs w:val="16"/>
        </w:rPr>
        <w:softHyphen/>
        <w:t>ке был закреплен стопор крепления пушки по-походному и подъемный механизм. С, целью улучшения работы заряжающего, его рабочее место разместили слева от пушки, а места командира танка и наводчика -справа. Кормовая пиша башни была увеличена на 130 - 150 мм (10703).</w:t>
      </w:r>
    </w:p>
    <w:p w14:paraId="6433AE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C85F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но 31 декабря 1943 года Танк Т-34-85 с пушкой С-53 проходил испытания на ГАНИОПе. Пушка испытания не выдержала из-за деформации кронштейна крепления штоков противооткатных ус</w:t>
      </w:r>
      <w:r w:rsidRPr="00271E51">
        <w:rPr>
          <w:rFonts w:ascii="Times New Roman" w:hAnsi="Times New Roman"/>
          <w:color w:val="000000" w:themeColor="text1"/>
          <w:sz w:val="16"/>
          <w:szCs w:val="16"/>
        </w:rPr>
        <w:softHyphen/>
        <w:t>тройств и изгиба последних. На вооружение танк не принимался (10703).</w:t>
      </w:r>
    </w:p>
    <w:p w14:paraId="7B15DD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D775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25 по 31 декабря 1943 Т-34 с 85 мм пушкой ЛБ проходил испытания на ГАНИОПе. Пушка испытания не вы</w:t>
      </w:r>
      <w:r w:rsidRPr="00271E51">
        <w:rPr>
          <w:rFonts w:ascii="Times New Roman" w:hAnsi="Times New Roman"/>
          <w:color w:val="000000" w:themeColor="text1"/>
          <w:sz w:val="16"/>
          <w:szCs w:val="16"/>
        </w:rPr>
        <w:softHyphen/>
        <w:t>держала по причине неудовлетворительной работы затвора. На воору</w:t>
      </w:r>
      <w:r w:rsidRPr="00271E51">
        <w:rPr>
          <w:rFonts w:ascii="Times New Roman" w:hAnsi="Times New Roman"/>
          <w:color w:val="000000" w:themeColor="text1"/>
          <w:sz w:val="16"/>
          <w:szCs w:val="16"/>
        </w:rPr>
        <w:softHyphen/>
        <w:t>жение танк с 85-мм пушкой ЛБ-1 не принимался и в серийном произ</w:t>
      </w:r>
      <w:r w:rsidRPr="00271E51">
        <w:rPr>
          <w:rFonts w:ascii="Times New Roman" w:hAnsi="Times New Roman"/>
          <w:color w:val="000000" w:themeColor="text1"/>
          <w:sz w:val="16"/>
          <w:szCs w:val="16"/>
        </w:rPr>
        <w:softHyphen/>
        <w:t>водстве не состоял (10703).</w:t>
      </w:r>
    </w:p>
    <w:p w14:paraId="34BB79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260A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вышло Распоряжение ГКО № 4832. О поручении НКГК проверить письмо Главнефтеснаба при СНК СССР о факторе разбазаривания нефтепродуктов на заводах и промыслах НКНП.РГАНИР, Фонд ГКО, д. 184, лл. 8, 9-13 (11012).</w:t>
      </w:r>
    </w:p>
    <w:p w14:paraId="297EC9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F950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вышло Распоряжение ГКО № 4834. О распространении действия постановления ГКО № 4814 от 20 декабря 1943 г. на подшипниковые заводы НКСМ.РГАНИР, Фонд ГКО, д. 184, лл. 15 (11012).</w:t>
      </w:r>
    </w:p>
    <w:p w14:paraId="1A91B6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83B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г. Л. М. Галлер утвердил ТТЗ на базовый тральщик для Балтийского, Белого и Азовского морей (3898).</w:t>
      </w:r>
    </w:p>
    <w:p w14:paraId="33C262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E8E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состоялась закладка 14-го МБК (10671).</w:t>
      </w:r>
    </w:p>
    <w:p w14:paraId="37C875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A6AEC" w14:textId="77777777" w:rsidR="00CE5825"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7C4923C" w14:textId="77777777" w:rsidR="00CE5825" w:rsidRPr="00271E51" w:rsidRDefault="00CE582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AF1F8"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25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19919FB2"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декабря на Витебском направлении наши войска продолжали успешно развивать наступление и с боями заняли более 200 населённых пунктов; в том числе крупные населённые пункты Гряда, Слободка, Филипенки, Стайки, Слобода, Стырики, Новка, Будислово, Изахово, Курино, Рыбаки, Пенкловичи, Мишутки, Жебентяи, Косово и железнодорожную станцию Залучье. Нашими войсками перерезана шоссейная дорога Витебск — Полоцк.</w:t>
      </w:r>
    </w:p>
    <w:p w14:paraId="02A83906"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наши войска отбили все атаки пехоты и танков противника и нанесли ему большие потери в живой силе и технике.</w:t>
      </w:r>
    </w:p>
    <w:p w14:paraId="0AA047FE"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1F68037"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24 декабря наши войска на всех фронтах подбили и уничтожили 58 немецких танков.</w:t>
      </w:r>
    </w:p>
    <w:p w14:paraId="28A19D82"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с боями продвигались вперёд и заняли более 200 населённых пунктов. Части Н-ского соединения перерезали шоссейную дорогу Витебск — Полоцк. Немцы ожесточёнными контратаками стремились не допустить выхода наших войск на это шоссе, имеющее для них очень важное значение. За день боёв в этом районе уничтожено свыше 2.000 немецких солдат иофицеров. Южнее Городка наши войска, успешно развивая наступление, выбили противника из целого ряда населённых пунктов. Немцы пытались контратаками задержать продвижение советских частей, но понесли большие потери и были вынуждены поспешно отступить. Преследуя гитлеровцев, наши войска овладели железнодорожной станцией Залучье. Подбито и уничтожено 17 немецких танков и 2 самоходных орудия. Захвачено у противника 59 орудий, 47 миномётов, 80 пулемётови другие трофеи. Взято в плен свыше 600 немецких солдат и офицеров.</w:t>
      </w:r>
    </w:p>
    <w:p w14:paraId="5B243F1E"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Юго-западнее Жлобина немцы, стремясь любой ценой добиться успеха, ввели в бой свежие резервы. Вражеские пехота и танки неоднократно и с различных направлений бросались в атаки, но всюду встречали решительный отпор. Части Н-ского соединения, отбивая атаки противника, уничтожили до 1.000 немецких солдат и офицеров. На другом участке две роты гитлеровцев попали под артиллерийский и миномётный огонь и были полностью уничтожены.</w:t>
      </w:r>
    </w:p>
    <w:p w14:paraId="18965943"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Баренцевом море пять наших катеров 22 декабря нанесли торпедный удар по каравану судов противника, состоявшему из трёх транспортов, миноносца, четырёх тральщиков, шести сторожевых кораблей и десяти сторожевых катеров. В результате удара потоплены немецкий миноносец, два сторожевых корабля и транспорт противника водоизмещением в 5 тысяч тонн. С боевого задания не вернулся один наш катер.</w:t>
      </w:r>
    </w:p>
    <w:p w14:paraId="5AEB2060"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партизанских отрядов, действующих в Ленинградской области, за две недели декабря пустили под откос 21 воинский эшелон противника. Разбито 14 паровозов и свыше 150 вагонов с войсками и военными грузами. В результате крушений убито и ранено большое число немецких солдат и офицеров. За это же время партизаны разрушили 196 километров телеграфно-телефонной линии связи противника.</w:t>
      </w:r>
    </w:p>
    <w:p w14:paraId="0945F631"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Захваченный в плен южнее Невеля врач 129 артполка 129 немецкой пехотной дивизии капитан Гергард Климм рассказал: «До самого последнего времени офицеры были уверены, что при любых обстоятельствах мы сумеем удержать занимаемые позиции. Более того, поговаривали, что немецкое командование намерено в ближайшие дни вновь занять Невель и для этой цели стянуло несколько дивизий с других участков фронта. Наступление русских опрокинуло все эти расчёты. Мы очутились перед лицом горькой действительности. Русские прорвали нашу оборону, и мы оказались в котле. Известие об окружении вызвала всеобщую панику. Солдаты разбежались, бросая оружие, снаряжение и военное имущество».</w:t>
      </w:r>
    </w:p>
    <w:p w14:paraId="5C027E2E"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командир взвода резервной роты, приданной штабу 129 немецкой пехотной дивизии, лейтенант Вильгельм Гольман сообщил: «Наше отступление носило характер беспорядочного бегства. Всё перемешалось. В лесу собрались солдаты и офицеры из разных частей. Мы сделали попытку прорваться на Городок, но шоссе уже было отрезано. Колонна распалась на мелкие группы. Мою группу, в которой было несколько офицеров, разведка русских взяла в плен около станции Бычиха. Мы шли в надежде соединиться со своими, а оказалось, что русские уже заняли эту станцию».</w:t>
      </w:r>
    </w:p>
    <w:p w14:paraId="66AF9661"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«Отступая под ударами наших войск, гитлеровцы насильно угнали с собой население сёл Эристовка, Зелёный Гай и Калиновка, Запорожской области. К приходу наших подразделений эти сёла были опустошены и разрушены немцами. Мы не застали в них ни одного человека. Все дома были разграблены и разгромлены. На безлюдных улицах и дорогах валялись остатки домашнего скарба. Вырвавшиеся из фашистского плена два местных жителя Василий Лялин и Михаил Середа сообщили: «За несколько дней до отступления немецкие военные власти приказали всем мужчинам от 14 до 50 лет явиться в комендатуру для направления в лагерь военнопленных. Остальным жителям было предложено собраться в селе Калиновке. За невыполнение этих приказов немцы угрожали расстрелом. Немецкие солдаты ходили из дома в дом и выгоняли людей, избивая их прикладами. По дороге нам удалось бежать и вернуться домой. Всех же остальных жителей вместе с маленькими детьми проклятые немцы угнали неизвестно куда».</w:t>
      </w:r>
    </w:p>
    <w:p w14:paraId="7929081D" w14:textId="77777777" w:rsidR="00CE5825" w:rsidRPr="00271E51" w:rsidRDefault="00CE582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Акт подписали: гвардии полковник Черенков, гвардии старшина Туртыкина, гвардии красноармейцы Бойков и Калугин.» (14871).</w:t>
      </w:r>
    </w:p>
    <w:p w14:paraId="36292A8F" w14:textId="77777777" w:rsidR="00CE5825" w:rsidRPr="00271E51" w:rsidRDefault="00CE5825" w:rsidP="00271E51">
      <w:pPr>
        <w:spacing w:after="0" w:line="240" w:lineRule="auto"/>
        <w:jc w:val="both"/>
        <w:rPr>
          <w:rFonts w:ascii="Times New Roman" w:hAnsi="Times New Roman"/>
          <w:color w:val="000000" w:themeColor="text1"/>
          <w:sz w:val="16"/>
          <w:szCs w:val="16"/>
        </w:rPr>
      </w:pPr>
    </w:p>
    <w:p w14:paraId="64528AA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4D9F5A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5FD52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вышло Распоряжение ГКО № 4833 [О разрешении движения грузового транспорта в Москве в ночное время по пропускам и об освещении Москвы с 5 часов утра.] (7166, 14).</w:t>
      </w:r>
    </w:p>
    <w:p w14:paraId="78817EF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12B0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310CFF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C47E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декабря 1943 в памятной записке В.М.М., переданной Гарриману, говорилось "...с советской стороны в принципе не имеется возражений к предоставлению на территории СССР для американских военных самолетов воздушных баз в целях сквозной бомбардировки Германии. Однако организация таких баз и использование для этой цели соответствующих аэродромов должно быть согласованы с планами командования ВВС СССР. С этой целью командованию будет поручено начать предварительные переговоры по указанному вопросу с соответствующими военными представителями США в Москве с последующим рассмотрением этого вопроса Верховным Советом" (1261,33).</w:t>
      </w:r>
    </w:p>
    <w:p w14:paraId="3F3D5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6F23E" w14:textId="77777777" w:rsidR="0099673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E57F963" w14:textId="77777777" w:rsidR="00996736" w:rsidRPr="00271E51" w:rsidRDefault="0099673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6FBAB"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25 декабря</w:t>
      </w:r>
      <w:r w:rsidRPr="00271E51">
        <w:rPr>
          <w:rFonts w:ascii="Times New Roman" w:hAnsi="Times New Roman"/>
          <w:color w:val="000000" w:themeColor="text1"/>
          <w:sz w:val="16"/>
          <w:szCs w:val="16"/>
        </w:rPr>
        <w:t xml:space="preserve"> в 1943 году (25–26 декабря) безуспешная попытка нападения немецкого линкора «Шарнхорст» вместе с 5 миноносцами на конвой JW-55 в Северном Ледовитом океане. В борьбе с английскими силами прикрытия «Шарнхорст» затонул (14871).</w:t>
      </w:r>
    </w:p>
    <w:p w14:paraId="16F1AB83"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504D72A4"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633E4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A5F4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вышло Распоряжение ГКО № 4835 [О срочном окончании строительства подсобных зданий и сооружений НИИЭГ КА.] (7166, 16,17-18).</w:t>
      </w:r>
    </w:p>
    <w:p w14:paraId="21B6D41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F2EB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ГАЗ получил новую телеграмму от главы НКВД Берии:  «Сорвано задание по производству деталей к снарядам М-13 и М-30. Ноябрьский план 40 тыс. – изготовлено 21,6 тыс. До 20декабря изготовлено 13,7тыс. при плане 45 тыс. В результате не выполнен план на заводах шлифовальных станков, № 26 НКАП, ЗИС, №172,№ 70НКБ и план сборки снарядов М-13, М-20 и М-30 на заводе № 586 НКБ». Впрочем, разрушенный бомбами автозавод им. Молотова был отнюдь не единственным, так сказать, «злостным непоставщиком». Нарушение системы поставок и кооперативных связей между предприятиями, хаос на железных дорогах привели к тому, что все планы и обязательства стали рушиться как карточный домик. Так, в III квартале челябинский завод № 701 совсем не отгрузил заводу авиавинтов № 467 в Павлове штамповок. Свердловский завод №95 неудовлетворительно поставлял тому же предприятию штамповку лопастей для винтов. При плане июля в 3500 штук были получены всего 504, а в августе отгрузки не было вовсе! Саратовский ГПЗ-3, также пострадавший от налетов немецкой авиации, с грехом пополам поставлял заводу № 467 только четверть необходимого количества подшипников. В результате всего этого предприятие оказалось у разбитого корыта и выпуск авиавинтов был почти полностью парализован. Свердловский металлургический завод полностью сорвал поставки калиброванного проката. В июле с него не поступило ни одного килограмма! Ковровский завод № 2 сорвал поставку пушек СШ-20 горьковскому авиазаводу № 21. В июле вместо 2300 пушек были поставлены лишь 700. Завод № 212 плохо обеспечивался сталью с разных заводов Кирова, Молотова (Перми) и Свердловска. Заводы №№ 808 и 765 (г. Рыбинск) не выполнили план поставки корпусов 120-мм мин химическому заводу № 80 в Дзержинске. Августовский план составлял 119 тыс. штук, фактически были получены 51 тыс. Выпуск продукции полностью сорвали и заводы № 187 и 176 в Туле. Свердловский завод № 76 вместо 30 тыс. корпусов мин поставил 2900. Завод № 326 (г. Киров) вместо 30 тыс. единиц продукции поставил только 3900. Заводы Наркомхимпрома в августе и сентябре неудовлетворительно выполняли планы поставки лакокрасочных изделий авиазаводам. В результате из-за нехватки шпатлевки, аэролака, эмали и растворителей там тормозилась сборка самолетов. Перебои возникли даже в пищевой промышленности. В частности, все горьковские мельзаводы из-за отсутствия сырья простаивали, полностью сорвав отгрузку для Западного фронта и Ленинграда. Решением Горьковского горкомитета обороны от 6 августа на мельницы должны были быть завезены 200 тыс. т зерна, в т.ч. 117 тыс. в сентябре. Фактически же к 16 сентября было доставлено всего 7% от этого количества. Неумолимую статистику можно продолжить. Минометный завод «Двигатель революции» уже с середины июня не справлялся с производственной программой. К 15 июня вместо 255 минометов был выпущен 91, план же по снарядам М-8 и М-31 был вообще сорван. С июля производство 120-мм минометов пришлось полностью прекратить, цеха делали только ходы к ним, но и в последнем не преуспели. План не был выполнен из-за неполучения обрезиненных колес ГАЗ-АА с Ярославского шинного завода № 736 и деталей ступичного устройства от автозавода. После полученных разрушений отливку картеров для коробки передач танка Т-34 пришлось передать соседнему станкозаводу. Не был выполнен даже сокращенный план производства реактивных снарядов для «Катюш». Вместо 121 тыс. штук удалось сдать фронту лишь 60,5 тыс., т.е. около 50%. Из-за налетов и восстановительных работ осталось невыполненным строительство термического отделения инструментального цеха и оборудования для него. Его пришлось перенести на 1944 г. Таким образом, в результате повторных бомбардировок (первый раз «Двигатель революции» пострадал еще в ноябре 1941 г.) один из лучших заводов Горького был фактически выведен из строя до конца войны, превратившись, по сути, в мелкое предприятие, не игравшее большой роли в обеспечении фронта военной техникой. Горьковский автозавод в конце года отчитался о «перевыполнении» плана! Впрочем, о подобных «достижениях» в пропагандистских целях заявили и руководители других предприятий, пострадавших от налетов. Причем зачастую получилось так, что если до бомбежек графики производства хронически не выполнялись, то после них дела резко шли в гору. Фактически же план ГАЗа на 1943 г. по основным видам продукции составлял: 50 тыс. автомобилей, 6200 танков Т-70, 4800 броневиков БА-64 и др. Однако в годовом отчете завода говорилось, что он выпустил 18,8 тыс. автомашин, 3346 Т-70 и 1100 БА-64, т.е. в 1,5 – 4 раза меныпе положенного. Причем и эти цифры подвергаются сомнению, т.к. руководство завода вынуждено было прибегать к припискам. Как же тогда удалось перевыполнить план? Просто после налетов его постоянно пересматривали и в конце концов подогнали под реальный выпуск. Все это вполне было в духе времени (11774).</w:t>
      </w:r>
    </w:p>
    <w:p w14:paraId="6B43ED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BEB0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674FC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FC56B8"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26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7B97A609"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днях войска 1-го Украинского фронта под командованием генерала армии Ватутина перешли в наступление против немецко-фашистских войск, расположенных южнее Радомышль, и прорвали фронт противника протяжением около 80 километров и в глубину до 40 километров.</w:t>
      </w:r>
    </w:p>
    <w:p w14:paraId="03C9954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отличились войска генерал-полковника Гречко, генерал-полковника Леселидзе, генерал-полковника Москаленко, генерал-лейтенанта Жмаченко и артиллеристы генерал-лейтенанта артиллерии Королькова.</w:t>
      </w:r>
    </w:p>
    <w:p w14:paraId="67701E0E"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три дня наступления нашими войсками освобождено более 150 населённых пунктов и среди них город Радомышль и три районных центра Житомирской области Брусилов, Корнин, Попельня, а также крупные населённые пункты Рудня, Гутазабелоцка, Раковичи, Ставище, Забелочье, Кочерово, Высокое, Местечко, Войташивка, Приворотье, Озеряны, Осовцы, Лазаревна, Юзефовка, Вильня, Карабачин,Дубровка, Ястребенька, Водотый, Морозовка, Хомутец, Вильшка, Здвижка, Болячев, Западня, Соловьёвка, Дивин, Гнилец, Лисовка, Турбовка, Озёра, Ходорков, Соболевка, Королёвка, Липки, Вербов, Котлярка, Койловка, Мохначка и железнодорожные станции Волица, Кривое, Скочище, Попельня.</w:t>
      </w:r>
    </w:p>
    <w:p w14:paraId="533DDC7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боях разгромлены четыре танковых дивизии немцев, в том числе танковая дивизия СС «Райх» и шесть пехотных дивизий.</w:t>
      </w:r>
    </w:p>
    <w:p w14:paraId="073EE7B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Уничтожено немецких танков — 159, орудий самоходных — 39, бронемашин — 52, орудий разного калибра — 109. Противник оставил на поле боя убитыми до 15.000 солдат и офицеров.</w:t>
      </w:r>
    </w:p>
    <w:p w14:paraId="134B48D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Нашими войсками, по предварительным данным, захвачены следующие трофеи: танков — 58, самоходных орудий — 21, бронемашин — 20, орудий разного калибра —56, миномётов — 167, пулемётов — 760, винтовок — более 3.000, складов сбоеприпасами, вооружением, снаряжением и продовольствием — 15.</w:t>
      </w:r>
    </w:p>
    <w:p w14:paraId="4A3559C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декабря наши войска на Витебском направлении продолжалинаступление и с боями заняли более 60 населённых пунктов, в том числе населённые пункты Кабак, Щуньки, Новая Игуменщина, Жеребичи, Заход, Белянки (25 километров северо-западнее Витебска), Кабище, Хомяково, Задубровка, Пелёнки, Белыновичи, Яськова, Стугрова (13 километров восточнее Витебска), Гайдуки, Васькова, Коопти, Сверчки, Мятли, Мисники и железнодорожную станцию Крынки.</w:t>
      </w:r>
    </w:p>
    <w:p w14:paraId="7BC14D8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41C81D0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25 декабря наши войска на всех фронтах подбили и уничтожили 38 немецких танков.</w:t>
      </w:r>
    </w:p>
    <w:p w14:paraId="350E0EB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Витебском направлении наши войска продолжали наступление и заняли более 60 населённых пунктов. Северо-западнее Витебска противник оказывал сильное огневое сопротивление и контратаками пытался задержать наши наступающие части. Бойцы Н-ского соединения сломили сопротивление врага и разгромили </w:t>
      </w:r>
      <w:r w:rsidRPr="00271E51">
        <w:rPr>
          <w:rFonts w:ascii="Times New Roman" w:hAnsi="Times New Roman"/>
          <w:color w:val="000000" w:themeColor="text1"/>
          <w:sz w:val="16"/>
          <w:szCs w:val="16"/>
        </w:rPr>
        <w:lastRenderedPageBreak/>
        <w:t>несколько крупных опорных пунктов обороны немцев. Севернее и восточнее Витебска наши войска с боями продвигались вперёд и уничтожили до двух батальонов пехоты противника. Захвачено у немцев 5 танков, 5 самоходных пушек, несколько артиллерийских батарей, склады с боеприпасами и другие трофеи. Юго-восточнее Витебска наши войска, в результате ожесточённых боёв, прорвали сильно укреплённую оборонительную полосу противника. Немцы пытались удержаться на промежуточном рубеже по западному берегу реки Лососина. Советские бойцы сломили сопротивление врага, форсировали реку и заняли ряд населённых пунктов на её западном берегу. Наши войска овладели также железнодорожной станцией Крынки. За три дня боёв в этом районе уничтожено свыше 2.000 гитлеровцев. Захвачены трофеи, в числе которых 58 орудий, 15 миномётов, 65 пулемётов, много винтовок и 3 склада с боеприпасами. Взяты пленные.</w:t>
      </w:r>
    </w:p>
    <w:p w14:paraId="7757BB1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белорусских партизанских отрядов в течение одного дня пустили под откос 7 немецких воинских эшелонов, следовавших к линии фронта. В результате крушений разбито 6 паровозов, 14 платформ с танками и орудиями, 7 цистерн сгорючим и 21 вагон с различными военными грузами. Партизаны отряда «Смерть фашизму» на шоссе подорвали на минах 35 немецких автомашин и истребили более 100 гитлеровцев.</w:t>
      </w:r>
    </w:p>
    <w:p w14:paraId="7BB1C3DC"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7 роты 110 мотополка 11 немецкой танковой дивизии Валентин Рогличек рассказал: «До октября 1943 года я находился во Франции. Неожиданно меня вместе со многими другими солдатами включили в маршевый батальон и спешно отправили в Россию. Седьмая рота 110 мотополка, в которую я попал, насчитывала 110 человек. В боях, продолжавшихся несколько дней подряд, рота потеряла убитыми и ранеными 'более 80 солдат. Такие же тяжёлые потери понесли и другие подразделения полка. Вскоре наступило некоторое затишье, но русские снайперы не давали нам житья. Только за два дня они убили 9 человек из нашей роты, в том числе её командира обер-лейтенанта Ливальда. После этого солдаты не только днём, но даже и ночью боялись выглянуть из окопа. Когда русские атаковали позиции, которые мы занимали, многие солдаты разбежались. Наше отделение, вместе с унтер-офицером Вилли Кретнером, осталось в окопах. Обдумав создавшееся положение, мы пришли к выводу, что только плен может нас избавить от неминуемой гибели. При приближении русских мы все пятеро вышли из окопа и подняли руки».</w:t>
      </w:r>
    </w:p>
    <w:p w14:paraId="6DB3D30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селе Храпкове, Полесской области: «Дикие издевательства и чудовищные зверства над советскими людьми творили немцы в нашем селе. Гитлеровцы насильно угнали на каторгу в Германию 130 человек молодёжи. Немцы расстреляли наших односельчан Антона Назаренко, Томаша Фискова и многих других. Перед отступлением фашистские изверги собрали всех жителей села на площадь и хотели нас расстрелять. В это время разведка Красной Армии обошла село, и гитлеровцы, спасая свою шкуру, убежали. Разведчики-красноармейцы спасли нас от неминуемой гибели. Спасибо бойцам Красной Армии, освободившим наше село от немецких захватчиков».</w:t>
      </w:r>
    </w:p>
    <w:p w14:paraId="26B349A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поручению общего собрания жителей села Храпкова акт подписали: П.Марковец, С.Гуща, С.Корженевская, Л.Побединская, А.Короткевич, М.Побединский.» (14872).</w:t>
      </w:r>
    </w:p>
    <w:p w14:paraId="471D2F42"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45AADB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КА начала новое наступление из Киева (2262).</w:t>
      </w:r>
    </w:p>
    <w:p w14:paraId="46B4C1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0F45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658A64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52E1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к северу от Норвегии английскими кораблями затоплен немецкий тяжелый крейсер “Шарнхорст” (4962).</w:t>
      </w:r>
    </w:p>
    <w:p w14:paraId="3E06221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792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англичане потопили немецкий линкор Шарнхост (2246,6) в Северном море (3481).</w:t>
      </w:r>
    </w:p>
    <w:p w14:paraId="16A565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5CC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26, 1943: Ordered to sail to the Barents Sea and destroy the Allied convoy JW-55B bound for the Soviet port of Murmansk, the German battle-cruiser Scharnhorst (Vizeadm. Bey) encounters a protective force of the British Home Fleet (Vice-Adm. Burnett) consisting of the cruisers HMS Belfast, Duke of York, Jamaica and Norfolk. After a fierce action, Scharnhorst is sunk, with only 36 of her crew of 1,839 surviving (3819).</w:t>
      </w:r>
    </w:p>
    <w:p w14:paraId="45049A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B00B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 декабря 1943 крейсер Шарнхост получил приказ выдвинуться в Баренцево море и уничтожить конвой JW-55В, направляющийся в Мурманск и эскортируемый Королевским ВМФ, состоящим из крейсеров Белфаст, Герцог Йоркский и Норфолк. Шарнхорст был потоплен и из команды в 1839 чел. спаслось только 36 (3819).</w:t>
      </w:r>
    </w:p>
    <w:p w14:paraId="68B3A0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18AC0"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26 декабря</w:t>
      </w:r>
      <w:r w:rsidRPr="00271E51">
        <w:rPr>
          <w:rFonts w:ascii="Times New Roman" w:hAnsi="Times New Roman"/>
          <w:color w:val="000000" w:themeColor="text1"/>
          <w:sz w:val="16"/>
          <w:szCs w:val="16"/>
        </w:rPr>
        <w:t xml:space="preserve"> в 1943 году у мыса Нордкап в Арктике операция Кригсмарине "Остфронт", имевшая целью уничтожение конвоя JW-55В, закончилась потоплением английской эскадрой под командованием адмирала Фрэйзера последнего германского действующего линкора "Шарнхорст" (14872).</w:t>
      </w:r>
    </w:p>
    <w:p w14:paraId="5DA4BBBE"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2CF7D902" w14:textId="77777777" w:rsidR="00EE10A0" w:rsidRPr="00271E51" w:rsidRDefault="00EE10A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 декабря 1943 от 70 до 80 японский самолетов штурмуют американские корабли, поддерживающие высадку на мысе Глостер, потоплен эсминец и повреждены два других. В следующие два дня последуют мелкие рейды (20376).</w:t>
      </w:r>
    </w:p>
    <w:p w14:paraId="3B4CE2C4" w14:textId="77777777" w:rsidR="00EE10A0" w:rsidRPr="00271E51" w:rsidRDefault="00EE10A0" w:rsidP="00271E51">
      <w:pPr>
        <w:spacing w:after="0" w:line="240" w:lineRule="auto"/>
        <w:jc w:val="both"/>
        <w:rPr>
          <w:rFonts w:ascii="Times New Roman" w:hAnsi="Times New Roman"/>
          <w:color w:val="0070C0"/>
          <w:sz w:val="16"/>
          <w:szCs w:val="16"/>
        </w:rPr>
      </w:pPr>
    </w:p>
    <w:p w14:paraId="0FA44628" w14:textId="77777777" w:rsidR="00EE10A0" w:rsidRPr="00271E51" w:rsidRDefault="00EE10A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26–27 декабря 1943 японская авиация, базирующаяся в Рабауле, совершает налет на американские войска у Араве (20376).</w:t>
      </w:r>
    </w:p>
    <w:p w14:paraId="2C2434EA" w14:textId="77777777" w:rsidR="00EE10A0" w:rsidRPr="00271E51" w:rsidRDefault="00EE10A0" w:rsidP="00271E51">
      <w:pPr>
        <w:spacing w:after="0" w:line="240" w:lineRule="auto"/>
        <w:jc w:val="both"/>
        <w:rPr>
          <w:rFonts w:ascii="Times New Roman" w:hAnsi="Times New Roman"/>
          <w:color w:val="0070C0"/>
          <w:sz w:val="16"/>
          <w:szCs w:val="16"/>
        </w:rPr>
      </w:pPr>
    </w:p>
    <w:p w14:paraId="13C3599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851C3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D78BB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27 дека</w:t>
      </w:r>
      <w:r w:rsidRPr="00271E51">
        <w:rPr>
          <w:rFonts w:ascii="Times New Roman" w:hAnsi="Times New Roman"/>
          <w:color w:val="000000" w:themeColor="text1"/>
          <w:sz w:val="16"/>
          <w:szCs w:val="16"/>
        </w:rPr>
        <w:softHyphen/>
        <w:t>бря 1942 г. по 6 января 1943 г. проходили испытания А-7Б.</w:t>
      </w:r>
    </w:p>
    <w:p w14:paraId="7F187D3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1942 г. в одном экземпляре изготовили «летающую цистерну» А-7Б — фактически буксируемый дополнительный топливный бак, который должен был тянуть за собой бомбардировщик Ил-4. Эту модификацию в основном проводил Моска</w:t>
      </w:r>
      <w:r w:rsidRPr="00271E51">
        <w:rPr>
          <w:rFonts w:ascii="Times New Roman" w:hAnsi="Times New Roman"/>
          <w:color w:val="000000" w:themeColor="text1"/>
          <w:sz w:val="16"/>
          <w:szCs w:val="16"/>
        </w:rPr>
        <w:softHyphen/>
        <w:t>лёв. Идея состояла в том, чтобы разместить на пла</w:t>
      </w:r>
      <w:r w:rsidRPr="00271E51">
        <w:rPr>
          <w:rFonts w:ascii="Times New Roman" w:hAnsi="Times New Roman"/>
          <w:color w:val="000000" w:themeColor="text1"/>
          <w:sz w:val="16"/>
          <w:szCs w:val="16"/>
        </w:rPr>
        <w:softHyphen/>
        <w:t>нере запас бензина, который в полете передавался на буксировщик. В перспективе предполагалось подцепить беспи</w:t>
      </w:r>
      <w:r w:rsidRPr="00271E51">
        <w:rPr>
          <w:rFonts w:ascii="Times New Roman" w:hAnsi="Times New Roman"/>
          <w:color w:val="000000" w:themeColor="text1"/>
          <w:sz w:val="16"/>
          <w:szCs w:val="16"/>
        </w:rPr>
        <w:softHyphen/>
        <w:t>лотный планер — бензовоз к бом</w:t>
      </w:r>
      <w:r w:rsidRPr="00271E51">
        <w:rPr>
          <w:rFonts w:ascii="Times New Roman" w:hAnsi="Times New Roman"/>
          <w:color w:val="000000" w:themeColor="text1"/>
          <w:sz w:val="16"/>
          <w:szCs w:val="16"/>
        </w:rPr>
        <w:softHyphen/>
        <w:t>бардировщику, а после выработки топлива — сбросить. Тем самым дальность полета бомбардировщи</w:t>
      </w:r>
      <w:r w:rsidRPr="00271E51">
        <w:rPr>
          <w:rFonts w:ascii="Times New Roman" w:hAnsi="Times New Roman"/>
          <w:color w:val="000000" w:themeColor="text1"/>
          <w:sz w:val="16"/>
          <w:szCs w:val="16"/>
        </w:rPr>
        <w:softHyphen/>
        <w:t>ка значительно возрастала. Ил-4 специально доработали. Он полу</w:t>
      </w:r>
      <w:r w:rsidRPr="00271E51">
        <w:rPr>
          <w:rFonts w:ascii="Times New Roman" w:hAnsi="Times New Roman"/>
          <w:color w:val="000000" w:themeColor="text1"/>
          <w:sz w:val="16"/>
          <w:szCs w:val="16"/>
        </w:rPr>
        <w:softHyphen/>
        <w:t>чил буксирный замок, тросовое ограждение хвостового оперения и приемное устройство для шланга перекачки топлива. В планер установили два бака общей емкостью 1000 л, перекачи</w:t>
      </w:r>
      <w:r w:rsidRPr="00271E51">
        <w:rPr>
          <w:rFonts w:ascii="Times New Roman" w:hAnsi="Times New Roman"/>
          <w:color w:val="000000" w:themeColor="text1"/>
          <w:sz w:val="16"/>
          <w:szCs w:val="16"/>
        </w:rPr>
        <w:softHyphen/>
        <w:t>вающий бензонасос с питанием от аккумулятора и дюритовый шланг, проложенный вдоль буксировоч</w:t>
      </w:r>
      <w:r w:rsidRPr="00271E51">
        <w:rPr>
          <w:rFonts w:ascii="Times New Roman" w:hAnsi="Times New Roman"/>
          <w:color w:val="000000" w:themeColor="text1"/>
          <w:sz w:val="16"/>
          <w:szCs w:val="16"/>
        </w:rPr>
        <w:softHyphen/>
        <w:t>ного троса.</w:t>
      </w:r>
    </w:p>
    <w:p w14:paraId="6987AF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Летал на «цистерне» С.Д. Спиваковский. Техника пилотирования планера существенно не изменилась, только на взлете надо было держаться повыше, чтобы шланг не терся о по</w:t>
      </w:r>
      <w:r w:rsidRPr="00271E51">
        <w:rPr>
          <w:rFonts w:ascii="Times New Roman" w:hAnsi="Times New Roman"/>
          <w:color w:val="000000" w:themeColor="text1"/>
          <w:sz w:val="16"/>
          <w:szCs w:val="16"/>
        </w:rPr>
        <w:softHyphen/>
        <w:t>лосу. Перекачка велась на скорости 220—230 км/ч. Отцепка планера и сброс шланга происходили вполне надежно. Тем не менее А-7Б использовать в операци</w:t>
      </w:r>
      <w:r w:rsidRPr="00271E51">
        <w:rPr>
          <w:rFonts w:ascii="Times New Roman" w:hAnsi="Times New Roman"/>
          <w:color w:val="000000" w:themeColor="text1"/>
          <w:sz w:val="16"/>
          <w:szCs w:val="16"/>
        </w:rPr>
        <w:softHyphen/>
        <w:t>ях авиации дальнего действия не стали.</w:t>
      </w:r>
    </w:p>
    <w:p w14:paraId="155513F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Вместе со стандартными А-7 выпускались учеб</w:t>
      </w:r>
      <w:r w:rsidRPr="00271E51">
        <w:rPr>
          <w:rFonts w:ascii="Times New Roman" w:hAnsi="Times New Roman"/>
          <w:color w:val="000000" w:themeColor="text1"/>
          <w:sz w:val="16"/>
          <w:szCs w:val="16"/>
        </w:rPr>
        <w:softHyphen/>
        <w:t>ные А-7У с двойным управлением и А-7Ш, на котором предусматривалось место для штурмана (12300).</w:t>
      </w:r>
    </w:p>
    <w:p w14:paraId="7BEAF7CA"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0030E8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Нач. УЗС и М ГУЗ Алексеев писал письмо N 558377 по вопросу изготовления взлетных лыж для ш (700 комплектов) и б (150 комплектов) о том, что завод 383 никак не приступает к изготовлению 700 комплектов для ш и 150 для б (1780,78).</w:t>
      </w:r>
    </w:p>
    <w:p w14:paraId="6F4736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EC8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ГКО поручил ОКБ А.С.Я. сделать опытный Як-9У с ВК-107А и с 28 декабря по 12 января 1944 проводились заводские испытания машины (65,148).</w:t>
      </w:r>
    </w:p>
    <w:p w14:paraId="5E51C4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41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года на основании постановления ГКО за № 4649 и 31 декабря 1943 года на основании приказа НКАП за № 784 завод №82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 (9460).</w:t>
      </w:r>
    </w:p>
    <w:p w14:paraId="0C52B6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9AE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ГОКО N 4849 о переделке Пе-2 под М-197 еще первое (1664,20).</w:t>
      </w:r>
    </w:p>
    <w:p w14:paraId="2BE3AC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807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ГКО утвердил заключения по результатам 100-часовых испытаний мотора М-107А и принял двигатель на вооружение ВВС Красной Армии. Климов получил звание генерал-майора ИТС, Кузнецов был награжден орденом Красной Звезды. Впрочем, проблемы М-107А (вскоре переименованного в ВК-107А) на этом не кончились. Мучительная доводка его продолжалась после окончания войны. Параллельно со "сто седьмым" с 1943 г. разрабатывались еще более мощные ВК-108 и ВК-109 (9025).</w:t>
      </w:r>
    </w:p>
    <w:p w14:paraId="2A0469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54C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N 4849, утвердившее заключение и выводы правительственной комиссии по результатам 100 часовых испытаний М-107А и о принятии его на вооружение ВВС КА (950,137).</w:t>
      </w:r>
    </w:p>
    <w:p w14:paraId="1167DD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8FFC9" w14:textId="77777777" w:rsidR="001B6A93" w:rsidRPr="00271E51" w:rsidRDefault="001B6A93" w:rsidP="00271E51">
      <w:pPr>
        <w:pStyle w:val="28"/>
        <w:shd w:val="clear" w:color="auto" w:fill="auto"/>
        <w:spacing w:before="0" w:line="240" w:lineRule="auto"/>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lastRenderedPageBreak/>
        <w:t xml:space="preserve">27 декабря 1943 вышло постановление ГКО N 4849 </w:t>
      </w:r>
      <w:bookmarkStart w:id="34" w:name="bookmark1"/>
      <w:r w:rsidRPr="00271E51">
        <w:rPr>
          <w:rFonts w:ascii="Times New Roman" w:hAnsi="Times New Roman" w:cs="Times New Roman"/>
          <w:color w:val="000000" w:themeColor="text1"/>
          <w:sz w:val="16"/>
          <w:szCs w:val="16"/>
        </w:rPr>
        <w:t xml:space="preserve">О производстве моторов </w:t>
      </w:r>
      <w:r w:rsidRPr="00271E51">
        <w:rPr>
          <w:rStyle w:val="2TimesNewRoman9pt"/>
          <w:rFonts w:eastAsia="Calibri"/>
          <w:color w:val="000000" w:themeColor="text1"/>
          <w:sz w:val="16"/>
          <w:szCs w:val="16"/>
        </w:rPr>
        <w:t>-М</w:t>
      </w:r>
      <w:r w:rsidRPr="00271E51">
        <w:rPr>
          <w:rStyle w:val="2TimesNewRoman9pt"/>
          <w:rFonts w:eastAsia="SimHei"/>
          <w:color w:val="000000" w:themeColor="text1"/>
          <w:sz w:val="16"/>
          <w:szCs w:val="16"/>
        </w:rPr>
        <w:t>-</w:t>
      </w:r>
      <w:r w:rsidRPr="00271E51">
        <w:rPr>
          <w:rStyle w:val="2TimesNewRoman9pt"/>
          <w:rFonts w:eastAsia="Calibri"/>
          <w:color w:val="000000" w:themeColor="text1"/>
          <w:sz w:val="16"/>
          <w:szCs w:val="16"/>
        </w:rPr>
        <w:t>107</w:t>
      </w:r>
      <w:r w:rsidRPr="00271E51">
        <w:rPr>
          <w:rStyle w:val="2TimesNewRoman9pt"/>
          <w:rFonts w:eastAsia="Trebuchet MS"/>
          <w:color w:val="000000" w:themeColor="text1"/>
          <w:sz w:val="16"/>
          <w:szCs w:val="16"/>
        </w:rPr>
        <w:t>А</w:t>
      </w:r>
      <w:r w:rsidRPr="00271E51">
        <w:rPr>
          <w:rStyle w:val="2TimesNewRoman9pt"/>
          <w:rFonts w:eastAsia="Calibri"/>
          <w:color w:val="000000" w:themeColor="text1"/>
          <w:sz w:val="16"/>
          <w:szCs w:val="16"/>
        </w:rPr>
        <w:t>_</w:t>
      </w:r>
      <w:r w:rsidRPr="00271E51">
        <w:rPr>
          <w:rFonts w:ascii="Times New Roman" w:hAnsi="Times New Roman" w:cs="Times New Roman"/>
          <w:color w:val="000000" w:themeColor="text1"/>
          <w:sz w:val="16"/>
          <w:szCs w:val="16"/>
        </w:rPr>
        <w:t>на заводе № 26</w:t>
      </w:r>
      <w:bookmarkEnd w:id="34"/>
      <w:r w:rsidRPr="00271E51">
        <w:rPr>
          <w:rFonts w:ascii="Times New Roman" w:hAnsi="Times New Roman" w:cs="Times New Roman"/>
          <w:color w:val="000000" w:themeColor="text1"/>
          <w:sz w:val="16"/>
          <w:szCs w:val="16"/>
        </w:rPr>
        <w:t xml:space="preserve"> Наркоиавиапрома</w:t>
      </w:r>
    </w:p>
    <w:p w14:paraId="0099B2B7" w14:textId="77777777" w:rsidR="001B6A93" w:rsidRPr="00271E51" w:rsidRDefault="001B6A93"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Государственный Комитет Обороны постановляет:</w:t>
      </w:r>
    </w:p>
    <w:p w14:paraId="2369D127" w14:textId="77777777" w:rsidR="001B6A93" w:rsidRPr="00271E51" w:rsidRDefault="001B6A93"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1. Принять к сведению сообщение Нвркомевиапрома - т.Шахуринв, ВВС КА - т.Новикова, директора завода № 26 - т.Баландина и главного конструктора т.Климова о том, что мотор М-107А удовлетворительно прошел 100-часовые государственные испытания со следующими основными данными:</w:t>
      </w:r>
    </w:p>
    <w:p w14:paraId="2D898143" w14:textId="77777777" w:rsidR="001B6A93" w:rsidRPr="00271E51" w:rsidRDefault="001B6A93" w:rsidP="00271E51">
      <w:pPr>
        <w:tabs>
          <w:tab w:val="left" w:pos="4937"/>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Взлетная мощность - 1650 л.с.</w:t>
      </w:r>
    </w:p>
    <w:p w14:paraId="0F30C03F" w14:textId="77777777" w:rsidR="001B6A93" w:rsidRPr="00271E51" w:rsidRDefault="001B6A93" w:rsidP="00271E51">
      <w:pPr>
        <w:tabs>
          <w:tab w:val="left" w:pos="4937"/>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Боевая высотная мощность на высо</w:t>
      </w:r>
      <w:r w:rsidRPr="00271E51">
        <w:rPr>
          <w:rFonts w:ascii="Times New Roman" w:eastAsia="Times New Roman" w:hAnsi="Times New Roman"/>
          <w:color w:val="000000" w:themeColor="text1"/>
          <w:sz w:val="16"/>
          <w:szCs w:val="16"/>
        </w:rPr>
        <w:softHyphen/>
        <w:t>те 1800 м., при 3200 оборотах в мин. (1 скорость нагнетателя) - 1650 л.с.</w:t>
      </w:r>
    </w:p>
    <w:p w14:paraId="5C4BE4FF" w14:textId="77777777" w:rsidR="001B6A93" w:rsidRPr="00271E51" w:rsidRDefault="001B6A93" w:rsidP="00271E51">
      <w:pPr>
        <w:tabs>
          <w:tab w:val="left" w:pos="4937"/>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Боевая высотная мощность на высо</w:t>
      </w:r>
      <w:r w:rsidRPr="00271E51">
        <w:rPr>
          <w:rFonts w:ascii="Times New Roman" w:eastAsia="Times New Roman" w:hAnsi="Times New Roman"/>
          <w:color w:val="000000" w:themeColor="text1"/>
          <w:sz w:val="16"/>
          <w:szCs w:val="16"/>
        </w:rPr>
        <w:softHyphen/>
        <w:t>те 4500 м., при 3200 оборотах в мин. СП скорость нагнетателя) - 1500 л.с.</w:t>
      </w:r>
    </w:p>
    <w:p w14:paraId="669D045B" w14:textId="77777777" w:rsidR="001B6A93" w:rsidRPr="00271E51" w:rsidRDefault="001B6A93" w:rsidP="00271E51">
      <w:pPr>
        <w:tabs>
          <w:tab w:val="left" w:pos="4937"/>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Номинальная мощность при 3000 обо</w:t>
      </w:r>
      <w:r w:rsidRPr="00271E51">
        <w:rPr>
          <w:rFonts w:ascii="Times New Roman" w:eastAsia="Times New Roman" w:hAnsi="Times New Roman"/>
          <w:color w:val="000000" w:themeColor="text1"/>
          <w:sz w:val="16"/>
          <w:szCs w:val="16"/>
        </w:rPr>
        <w:softHyphen/>
        <w:t>ротах в мин., на 1 скорости нагне</w:t>
      </w:r>
      <w:r w:rsidRPr="00271E51">
        <w:rPr>
          <w:rFonts w:ascii="Times New Roman" w:eastAsia="Times New Roman" w:hAnsi="Times New Roman"/>
          <w:color w:val="000000" w:themeColor="text1"/>
          <w:sz w:val="16"/>
          <w:szCs w:val="16"/>
        </w:rPr>
        <w:softHyphen/>
        <w:t>тателя - 1550 л.с.</w:t>
      </w:r>
    </w:p>
    <w:p w14:paraId="30BD0701" w14:textId="77777777" w:rsidR="001B6A93" w:rsidRPr="00271E51" w:rsidRDefault="001B6A93" w:rsidP="00271E51">
      <w:pPr>
        <w:tabs>
          <w:tab w:val="left" w:pos="4944"/>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Номинальная мощность при 3000 обо</w:t>
      </w:r>
      <w:r w:rsidRPr="00271E51">
        <w:rPr>
          <w:rFonts w:ascii="Times New Roman" w:eastAsia="Times New Roman" w:hAnsi="Times New Roman"/>
          <w:color w:val="000000" w:themeColor="text1"/>
          <w:sz w:val="16"/>
          <w:szCs w:val="16"/>
        </w:rPr>
        <w:softHyphen/>
        <w:t>ротах в мин. на П скорости нагне</w:t>
      </w:r>
      <w:r w:rsidRPr="00271E51">
        <w:rPr>
          <w:rFonts w:ascii="Times New Roman" w:eastAsia="Times New Roman" w:hAnsi="Times New Roman"/>
          <w:color w:val="000000" w:themeColor="text1"/>
          <w:sz w:val="16"/>
          <w:szCs w:val="16"/>
        </w:rPr>
        <w:softHyphen/>
        <w:t>тателя - 1450 л.с.</w:t>
      </w:r>
    </w:p>
    <w:p w14:paraId="5EC27313" w14:textId="77777777" w:rsidR="001B6A93" w:rsidRPr="00271E51" w:rsidRDefault="001B6A93" w:rsidP="00271E51">
      <w:pPr>
        <w:tabs>
          <w:tab w:val="left" w:pos="4944"/>
        </w:tabs>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Сухой вес мотора - 765 кг.-</w:t>
      </w:r>
    </w:p>
    <w:p w14:paraId="64C58534" w14:textId="77777777" w:rsidR="001B6A93" w:rsidRPr="00271E51" w:rsidRDefault="001B6A93" w:rsidP="00271E51">
      <w:pPr>
        <w:spacing w:after="0" w:line="240" w:lineRule="auto"/>
        <w:jc w:val="both"/>
        <w:rPr>
          <w:rFonts w:ascii="Times New Roman" w:eastAsia="Times New Roman" w:hAnsi="Times New Roman"/>
          <w:color w:val="000000" w:themeColor="text1"/>
          <w:sz w:val="16"/>
          <w:szCs w:val="16"/>
        </w:rPr>
      </w:pPr>
      <w:r w:rsidRPr="00271E51">
        <w:rPr>
          <w:rFonts w:ascii="Times New Roman" w:eastAsia="Times New Roman" w:hAnsi="Times New Roman"/>
          <w:color w:val="000000" w:themeColor="text1"/>
          <w:sz w:val="16"/>
          <w:szCs w:val="16"/>
        </w:rPr>
        <w:t>Заключение и выводы правительственной комиссии по результатам 100-часовых испытаний мотора м-107А утвер</w:t>
      </w:r>
      <w:r w:rsidRPr="00271E51">
        <w:rPr>
          <w:rFonts w:ascii="Times New Roman" w:eastAsia="Times New Roman" w:hAnsi="Times New Roman"/>
          <w:color w:val="000000" w:themeColor="text1"/>
          <w:sz w:val="16"/>
          <w:szCs w:val="16"/>
        </w:rPr>
        <w:softHyphen/>
        <w:t>дить.</w:t>
      </w:r>
    </w:p>
    <w:p w14:paraId="08940BEA" w14:textId="77777777" w:rsidR="001B6A93" w:rsidRPr="00271E51" w:rsidRDefault="001B6A93" w:rsidP="00271E51">
      <w:pPr>
        <w:tabs>
          <w:tab w:val="left" w:pos="82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Принять не вооружение ВВС Красной Армии мотор </w:t>
      </w:r>
      <w:r w:rsidRPr="00271E51">
        <w:rPr>
          <w:rFonts w:ascii="Times New Roman" w:hAnsi="Times New Roman"/>
          <w:color w:val="000000" w:themeColor="text1"/>
          <w:sz w:val="16"/>
          <w:szCs w:val="16"/>
          <w:lang w:val="en-US"/>
        </w:rPr>
        <w:t>M</w:t>
      </w:r>
      <w:r w:rsidRPr="00271E51">
        <w:rPr>
          <w:rFonts w:ascii="Times New Roman" w:hAnsi="Times New Roman"/>
          <w:color w:val="000000" w:themeColor="text1"/>
          <w:sz w:val="16"/>
          <w:szCs w:val="16"/>
        </w:rPr>
        <w:t>-107</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 xml:space="preserve"> с указанными в </w:t>
      </w:r>
      <w:r w:rsidRPr="00271E51">
        <w:rPr>
          <w:rStyle w:val="1pt"/>
          <w:rFonts w:ascii="Times New Roman" w:hAnsi="Times New Roman" w:cs="Times New Roman"/>
          <w:color w:val="000000" w:themeColor="text1"/>
          <w:spacing w:val="0"/>
          <w:sz w:val="16"/>
          <w:szCs w:val="16"/>
        </w:rPr>
        <w:t>п.1</w:t>
      </w:r>
      <w:r w:rsidRPr="00271E51">
        <w:rPr>
          <w:rFonts w:ascii="Times New Roman" w:hAnsi="Times New Roman"/>
          <w:color w:val="000000" w:themeColor="text1"/>
          <w:sz w:val="16"/>
          <w:szCs w:val="16"/>
        </w:rPr>
        <w:t xml:space="preserve"> настоящего решения денными, со сроком службы до первой переборки - 100 чесов.</w:t>
      </w:r>
    </w:p>
    <w:p w14:paraId="3299B253" w14:textId="77777777" w:rsidR="001B6A93" w:rsidRPr="00271E51" w:rsidRDefault="001B6A93" w:rsidP="00271E51">
      <w:pPr>
        <w:tabs>
          <w:tab w:val="left" w:pos="83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Обязать Наркомавиапром - т.Шахурина и директо</w:t>
      </w:r>
      <w:r w:rsidRPr="00271E51">
        <w:rPr>
          <w:rFonts w:ascii="Times New Roman" w:hAnsi="Times New Roman"/>
          <w:color w:val="000000" w:themeColor="text1"/>
          <w:sz w:val="16"/>
          <w:szCs w:val="16"/>
        </w:rPr>
        <w:softHyphen/>
        <w:t>ре завода № 26 т.Баландина:</w:t>
      </w:r>
    </w:p>
    <w:p w14:paraId="4D5AFB55" w14:textId="77777777" w:rsidR="001B6A93" w:rsidRPr="00271E51" w:rsidRDefault="001B6A93" w:rsidP="00271E51">
      <w:pPr>
        <w:tabs>
          <w:tab w:val="left" w:pos="8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но снижая общего количестве выпускаемых заво</w:t>
      </w:r>
      <w:r w:rsidRPr="00271E51">
        <w:rPr>
          <w:rFonts w:ascii="Times New Roman" w:hAnsi="Times New Roman"/>
          <w:color w:val="000000" w:themeColor="text1"/>
          <w:sz w:val="16"/>
          <w:szCs w:val="16"/>
        </w:rPr>
        <w:softHyphen/>
        <w:t>дом моторов обеспечить выпуск моторов М-107А со 100- часовым ресурсом в следующих количествех по месяцем:</w:t>
      </w:r>
    </w:p>
    <w:p w14:paraId="3668DC46"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январе 1944 г. - 100 шт. в феврале 1944г. - 120 шт.</w:t>
      </w:r>
    </w:p>
    <w:p w14:paraId="6FD72E96"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марте</w:t>
      </w:r>
      <w:r w:rsidRPr="00271E51">
        <w:rPr>
          <w:rStyle w:val="9pt"/>
          <w:rFonts w:ascii="Times New Roman" w:hAnsi="Times New Roman" w:cs="Times New Roman"/>
          <w:color w:val="000000" w:themeColor="text1"/>
          <w:sz w:val="16"/>
          <w:szCs w:val="16"/>
        </w:rPr>
        <w:t xml:space="preserve"> 1944</w:t>
      </w:r>
      <w:r w:rsidRPr="00271E51">
        <w:rPr>
          <w:rFonts w:ascii="Times New Roman" w:hAnsi="Times New Roman"/>
          <w:color w:val="000000" w:themeColor="text1"/>
          <w:sz w:val="16"/>
          <w:szCs w:val="16"/>
        </w:rPr>
        <w:t xml:space="preserve"> г. - 150 шт.</w:t>
      </w:r>
    </w:p>
    <w:p w14:paraId="2D23236F" w14:textId="77777777" w:rsidR="001B6A93" w:rsidRPr="00271E51" w:rsidRDefault="001B6A93" w:rsidP="00271E51">
      <w:pPr>
        <w:tabs>
          <w:tab w:val="left" w:pos="83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представить в ГОКО к 1 мертв 1944 г. предложе</w:t>
      </w:r>
      <w:r w:rsidRPr="00271E51">
        <w:rPr>
          <w:rFonts w:ascii="Times New Roman" w:hAnsi="Times New Roman"/>
          <w:color w:val="000000" w:themeColor="text1"/>
          <w:sz w:val="16"/>
          <w:szCs w:val="16"/>
        </w:rPr>
        <w:softHyphen/>
        <w:t>ния о полном переводе завода № 26 не выпуск мотора М-107А.</w:t>
      </w:r>
    </w:p>
    <w:p w14:paraId="38132561" w14:textId="77777777" w:rsidR="001B6A93" w:rsidRPr="00271E51" w:rsidRDefault="001B6A93" w:rsidP="00271E51">
      <w:pPr>
        <w:tabs>
          <w:tab w:val="left" w:pos="83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Неркомавиапром - т.Шахурина и главного конструктора т.Яковлева:</w:t>
      </w:r>
    </w:p>
    <w:p w14:paraId="518DBBBA" w14:textId="77777777" w:rsidR="001B6A93" w:rsidRPr="00271E51" w:rsidRDefault="001B6A93" w:rsidP="00271E51">
      <w:pPr>
        <w:tabs>
          <w:tab w:val="left" w:pos="83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провести доводочные работы и заводские испыта</w:t>
      </w:r>
      <w:r w:rsidRPr="00271E51">
        <w:rPr>
          <w:rFonts w:ascii="Times New Roman" w:hAnsi="Times New Roman"/>
          <w:color w:val="000000" w:themeColor="text1"/>
          <w:sz w:val="16"/>
          <w:szCs w:val="16"/>
        </w:rPr>
        <w:softHyphen/>
        <w:t>ния самолета Як-3 с мотором М-107А и пред"явить на го</w:t>
      </w:r>
      <w:r w:rsidRPr="00271E51">
        <w:rPr>
          <w:rFonts w:ascii="Times New Roman" w:hAnsi="Times New Roman"/>
          <w:color w:val="000000" w:themeColor="text1"/>
          <w:sz w:val="16"/>
          <w:szCs w:val="16"/>
        </w:rPr>
        <w:softHyphen/>
        <w:t>сударственные испытения эталонный самолет Як-3 с мото</w:t>
      </w:r>
      <w:r w:rsidRPr="00271E51">
        <w:rPr>
          <w:rFonts w:ascii="Times New Roman" w:hAnsi="Times New Roman"/>
          <w:color w:val="000000" w:themeColor="text1"/>
          <w:sz w:val="16"/>
          <w:szCs w:val="16"/>
        </w:rPr>
        <w:softHyphen/>
        <w:t>ром М-107А к 1 февраля 1944 г. со следующими данными:</w:t>
      </w:r>
    </w:p>
    <w:p w14:paraId="45679EF8"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максимальная на расчетной высоте - 705 км/час;</w:t>
      </w:r>
    </w:p>
    <w:p w14:paraId="334A661D"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максимельная у земли - 605 км/час;</w:t>
      </w:r>
    </w:p>
    <w:p w14:paraId="483C2E17"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- 1 пушке калибра 20-мм и</w:t>
      </w:r>
      <w:r w:rsidRPr="00271E51">
        <w:rPr>
          <w:rStyle w:val="Consolas95pt"/>
          <w:rFonts w:ascii="Times New Roman" w:hAnsi="Times New Roman" w:cs="Times New Roman"/>
          <w:color w:val="000000" w:themeColor="text1"/>
          <w:sz w:val="16"/>
          <w:szCs w:val="16"/>
        </w:rPr>
        <w:t xml:space="preserve"> 2</w:t>
      </w:r>
      <w:r w:rsidRPr="00271E51">
        <w:rPr>
          <w:rFonts w:ascii="Times New Roman" w:hAnsi="Times New Roman"/>
          <w:color w:val="000000" w:themeColor="text1"/>
          <w:sz w:val="16"/>
          <w:szCs w:val="16"/>
        </w:rPr>
        <w:t xml:space="preserve"> пулемете келибра</w:t>
      </w:r>
      <w:r w:rsidRPr="00271E51">
        <w:rPr>
          <w:rStyle w:val="9pt"/>
          <w:rFonts w:ascii="Times New Roman" w:hAnsi="Times New Roman" w:cs="Times New Roman"/>
          <w:color w:val="000000" w:themeColor="text1"/>
          <w:sz w:val="16"/>
          <w:szCs w:val="16"/>
        </w:rPr>
        <w:t xml:space="preserve"> 12,7</w:t>
      </w:r>
      <w:r w:rsidRPr="00271E51">
        <w:rPr>
          <w:rFonts w:ascii="Times New Roman" w:hAnsi="Times New Roman"/>
          <w:color w:val="000000" w:themeColor="text1"/>
          <w:sz w:val="16"/>
          <w:szCs w:val="16"/>
        </w:rPr>
        <w:t xml:space="preserve"> мм;</w:t>
      </w:r>
    </w:p>
    <w:p w14:paraId="47C1141A" w14:textId="77777777" w:rsidR="001B6A93" w:rsidRPr="00271E51" w:rsidRDefault="001B6A93" w:rsidP="00271E51">
      <w:pPr>
        <w:tabs>
          <w:tab w:val="left" w:pos="83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провести доводочные работы и заводские испы</w:t>
      </w:r>
      <w:r w:rsidRPr="00271E51">
        <w:rPr>
          <w:rFonts w:ascii="Times New Roman" w:hAnsi="Times New Roman"/>
          <w:color w:val="000000" w:themeColor="text1"/>
          <w:sz w:val="16"/>
          <w:szCs w:val="16"/>
        </w:rPr>
        <w:softHyphen/>
        <w:t>тания самолета Як-9 с мотором М-107А и пред"явить на государственные испытания эталонный самолет Як-9 с мо</w:t>
      </w:r>
      <w:r w:rsidRPr="00271E51">
        <w:rPr>
          <w:rFonts w:ascii="Times New Roman" w:hAnsi="Times New Roman"/>
          <w:color w:val="000000" w:themeColor="text1"/>
          <w:sz w:val="16"/>
          <w:szCs w:val="16"/>
        </w:rPr>
        <w:softHyphen/>
        <w:t>тором 107А к 15 января 1944 г. со следующими данными:</w:t>
      </w:r>
    </w:p>
    <w:p w14:paraId="552D0AED"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максимальная на расчетной высоте - 680 км/час;</w:t>
      </w:r>
    </w:p>
    <w:p w14:paraId="3C090C00"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максимальная у земли - 580 км/час;</w:t>
      </w:r>
    </w:p>
    <w:p w14:paraId="421E370A"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- 1 пушка калибра 20 мм и 2 пулемете калибра 12,7 мм</w:t>
      </w:r>
    </w:p>
    <w:p w14:paraId="1C3248B6"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Наркомавиапром - т.Шахурина и глав</w:t>
      </w:r>
      <w:r w:rsidRPr="00271E51">
        <w:rPr>
          <w:rFonts w:ascii="Times New Roman" w:hAnsi="Times New Roman"/>
          <w:color w:val="000000" w:themeColor="text1"/>
          <w:sz w:val="16"/>
          <w:szCs w:val="16"/>
        </w:rPr>
        <w:softHyphen/>
        <w:t>ного конструктора завода № 22 т.Мясищевв провести до</w:t>
      </w:r>
      <w:r w:rsidRPr="00271E51">
        <w:rPr>
          <w:rFonts w:ascii="Times New Roman" w:hAnsi="Times New Roman"/>
          <w:color w:val="000000" w:themeColor="text1"/>
          <w:sz w:val="16"/>
          <w:szCs w:val="16"/>
        </w:rPr>
        <w:softHyphen/>
        <w:t>водочные работы и заводские испытания самолета Пе-2 с мотором М-107А и предъявить на государственные испыта</w:t>
      </w:r>
      <w:r w:rsidRPr="00271E51">
        <w:rPr>
          <w:rFonts w:ascii="Times New Roman" w:hAnsi="Times New Roman"/>
          <w:color w:val="000000" w:themeColor="text1"/>
          <w:sz w:val="16"/>
          <w:szCs w:val="16"/>
        </w:rPr>
        <w:softHyphen/>
        <w:t>ния эталонный самолет Пе-2 с моторами М-107А к 15 фев</w:t>
      </w:r>
      <w:r w:rsidRPr="00271E51">
        <w:rPr>
          <w:rFonts w:ascii="Times New Roman" w:hAnsi="Times New Roman"/>
          <w:color w:val="000000" w:themeColor="text1"/>
          <w:sz w:val="16"/>
          <w:szCs w:val="16"/>
        </w:rPr>
        <w:softHyphen/>
        <w:t>раля 1944 г. со следующими данными:</w:t>
      </w:r>
    </w:p>
    <w:p w14:paraId="501C2BEF"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максимальная на расчетной высоте 5600 мт. - 575 км/час;</w:t>
      </w:r>
    </w:p>
    <w:p w14:paraId="63CE440B"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на расчетной высоте - 1600 км; бомбовая нагруэка внутри фюзеляжа - 500 кг.</w:t>
      </w:r>
    </w:p>
    <w:p w14:paraId="7B153A20" w14:textId="77777777" w:rsidR="001B6A93" w:rsidRPr="00271E51" w:rsidRDefault="001B6A93" w:rsidP="00271E51">
      <w:pPr>
        <w:tabs>
          <w:tab w:val="left" w:pos="82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Принять предложение Наркомавиапрома - т.Шахури- на о производстве на заводах №№ 166 и 82 самолетов Як-9 с мотором 107А, обязав:</w:t>
      </w:r>
    </w:p>
    <w:p w14:paraId="7863DF8C" w14:textId="77777777" w:rsidR="001B6A93" w:rsidRPr="00271E51" w:rsidRDefault="001B6A93" w:rsidP="00271E51">
      <w:pPr>
        <w:tabs>
          <w:tab w:val="left" w:pos="83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директора взвода № 166 - т.Соколова обеспечить полный переход на выпуск самолетов Як-9 с мотором 107А с 1 мая 1944 года, начав ежедневный выпуск по одному самолету с мотором 107А, не снижая достигнутого суточного выпуска самолетов;</w:t>
      </w:r>
    </w:p>
    <w:p w14:paraId="2A83FCDD" w14:textId="77777777" w:rsidR="001B6A93" w:rsidRPr="00271E51" w:rsidRDefault="001B6A93" w:rsidP="00271E51">
      <w:pPr>
        <w:tabs>
          <w:tab w:val="left" w:pos="82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директора завода № 82 - т.Климовицкого обеспе</w:t>
      </w:r>
      <w:r w:rsidRPr="00271E51">
        <w:rPr>
          <w:rFonts w:ascii="Times New Roman" w:hAnsi="Times New Roman"/>
          <w:color w:val="000000" w:themeColor="text1"/>
          <w:sz w:val="16"/>
          <w:szCs w:val="16"/>
        </w:rPr>
        <w:softHyphen/>
        <w:t>чить полный переход на выпуск самолетов Як-9 с мотором 107А с 1 июня 1944 года, не снижая достигнутого суточ</w:t>
      </w:r>
      <w:r w:rsidRPr="00271E51">
        <w:rPr>
          <w:rFonts w:ascii="Times New Roman" w:hAnsi="Times New Roman"/>
          <w:color w:val="000000" w:themeColor="text1"/>
          <w:sz w:val="16"/>
          <w:szCs w:val="16"/>
        </w:rPr>
        <w:softHyphen/>
        <w:t>ного выпуска самолетов;</w:t>
      </w:r>
    </w:p>
    <w:p w14:paraId="24887FA1" w14:textId="77777777" w:rsidR="001B6A93" w:rsidRPr="00271E51" w:rsidRDefault="001B6A93" w:rsidP="00271E51">
      <w:pPr>
        <w:tabs>
          <w:tab w:val="left" w:pos="8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главного конструктора - т.Яковлева не позднее 5 января 1944 года передать заводу № 166 уточненные чертежи самолета Як-9 с мотором 107А.</w:t>
      </w:r>
    </w:p>
    <w:p w14:paraId="2395190F" w14:textId="77777777" w:rsidR="001B6A93" w:rsidRPr="00271E51" w:rsidRDefault="001B6A93" w:rsidP="00271E51">
      <w:pPr>
        <w:tabs>
          <w:tab w:val="left" w:pos="84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Обязать Наркомвнешторг - т.Микояна в целях укомплектования производстве авиамоторов М-107А на заводе № 26 НКАП недостающим оборудованием, принять все меры к поставке в первом полугодии 1944 года заводу № 26 НКАП 88 счет импортных поступлений и дополнительной закупки 37 металлорежущих станков, согласно при</w:t>
      </w:r>
      <w:r w:rsidRPr="00271E51">
        <w:rPr>
          <w:rFonts w:ascii="Times New Roman" w:hAnsi="Times New Roman"/>
          <w:color w:val="000000" w:themeColor="text1"/>
          <w:sz w:val="16"/>
          <w:szCs w:val="16"/>
        </w:rPr>
        <w:softHyphen/>
        <w:t>ложению № 1.</w:t>
      </w:r>
    </w:p>
    <w:p w14:paraId="29EF1890"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Обязать Наркомстанкостроения - т.Ефремова из</w:t>
      </w:r>
      <w:r w:rsidRPr="00271E51">
        <w:rPr>
          <w:rFonts w:ascii="Times New Roman" w:hAnsi="Times New Roman"/>
          <w:color w:val="000000" w:themeColor="text1"/>
          <w:sz w:val="16"/>
          <w:szCs w:val="16"/>
        </w:rPr>
        <w:softHyphen/>
        <w:t>готовить и поставить заводу № 26 НКАП в 1-П кварталах 1944 года специальные ствнКИ; и станки оо специальными наладками для производства моторов М-107А; в количест</w:t>
      </w:r>
      <w:r w:rsidRPr="00271E51">
        <w:rPr>
          <w:rFonts w:ascii="Times New Roman" w:hAnsi="Times New Roman"/>
          <w:color w:val="000000" w:themeColor="text1"/>
          <w:sz w:val="16"/>
          <w:szCs w:val="16"/>
        </w:rPr>
        <w:softHyphen/>
        <w:t>ве 60 единиц, согласно Приложению № 2.</w:t>
      </w:r>
    </w:p>
    <w:p w14:paraId="548E040F"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Госплану СССР предусмотреть выделение целевых фондов на указанные станки.</w:t>
      </w:r>
    </w:p>
    <w:p w14:paraId="673E92AE" w14:textId="77777777" w:rsidR="001B6A93" w:rsidRPr="00271E51" w:rsidRDefault="001B6A93" w:rsidP="00271E51">
      <w:pPr>
        <w:tabs>
          <w:tab w:val="left" w:pos="96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Утвердить мероприятия:</w:t>
      </w:r>
    </w:p>
    <w:p w14:paraId="668E183E"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обеспечению серийного производстве моторов М-107А на заводе № 26 НКАП (приложение № 3);</w:t>
      </w:r>
    </w:p>
    <w:p w14:paraId="7444E61A"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обеспечению производства магнето и генераторов для моторов М-107А (приложение № 4).</w:t>
      </w:r>
    </w:p>
    <w:p w14:paraId="123C5CA6" w14:textId="77777777" w:rsidR="001B6A93" w:rsidRPr="00271E51" w:rsidRDefault="001B6A93" w:rsidP="00271E51">
      <w:pPr>
        <w:tabs>
          <w:tab w:val="left" w:pos="107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Обязэть Наркомфин СССР - т.Зверева выделить Наркомавиапрому иэ резервного фонда СНК СССР:</w:t>
      </w:r>
    </w:p>
    <w:p w14:paraId="30BB00AE" w14:textId="77777777" w:rsidR="001B6A93" w:rsidRPr="00271E51" w:rsidRDefault="001B6A93"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для завода № 26 - 3500 тыс.рублей, из них 2750 тыс.рублей на премирование рабочих, инженерно-техниче</w:t>
      </w:r>
      <w:r w:rsidRPr="00271E51">
        <w:rPr>
          <w:rFonts w:ascii="Times New Roman" w:hAnsi="Times New Roman"/>
          <w:color w:val="000000" w:themeColor="text1"/>
          <w:sz w:val="16"/>
          <w:szCs w:val="16"/>
        </w:rPr>
        <w:softHyphen/>
        <w:t>ских работников и служащих завода, отличившихся в ос</w:t>
      </w:r>
      <w:r w:rsidRPr="00271E51">
        <w:rPr>
          <w:rFonts w:ascii="Times New Roman" w:hAnsi="Times New Roman"/>
          <w:color w:val="000000" w:themeColor="text1"/>
          <w:sz w:val="16"/>
          <w:szCs w:val="16"/>
        </w:rPr>
        <w:softHyphen/>
        <w:t>воении серийного производства мотора М-107А и 750 тыс. рублей на премирование работников опытно-конструкторско</w:t>
      </w:r>
      <w:r w:rsidRPr="00271E51">
        <w:rPr>
          <w:rFonts w:ascii="Times New Roman" w:hAnsi="Times New Roman"/>
          <w:color w:val="000000" w:themeColor="text1"/>
          <w:sz w:val="16"/>
          <w:szCs w:val="16"/>
        </w:rPr>
        <w:softHyphen/>
        <w:t>го бюро завода № 26, отличившихся в конструировании и доводке мотора М-107А;</w:t>
      </w:r>
    </w:p>
    <w:p w14:paraId="1115EBC8" w14:textId="77777777" w:rsidR="001B6A93" w:rsidRPr="00271E51" w:rsidRDefault="001B6A93"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заводу № 115 - на постройку эталонных самоле</w:t>
      </w:r>
      <w:r w:rsidRPr="00271E51">
        <w:rPr>
          <w:rFonts w:ascii="Times New Roman" w:hAnsi="Times New Roman"/>
          <w:color w:val="000000" w:themeColor="text1"/>
          <w:sz w:val="16"/>
          <w:szCs w:val="16"/>
        </w:rPr>
        <w:softHyphen/>
        <w:t>тов Як-9 и Як-3 с моторами М-107А - 2500 тыс.рублей, в том числе 500 тыс.рублей на премирование отличившихся при этом рабочих и конструкторов завода № 115;</w:t>
      </w:r>
    </w:p>
    <w:p w14:paraId="1102FF99" w14:textId="77777777" w:rsidR="001B6A93" w:rsidRPr="00271E51" w:rsidRDefault="001B6A9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постройку 10 самолетов Як-9 и проведение не них доводочных работ - 6 млн.рублей;</w:t>
      </w:r>
    </w:p>
    <w:p w14:paraId="3B143CF1" w14:textId="77777777" w:rsidR="001B6A93" w:rsidRPr="00271E51" w:rsidRDefault="001B6A93" w:rsidP="00271E51">
      <w:pPr>
        <w:tabs>
          <w:tab w:val="left" w:pos="965"/>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заводу № 22 - на постройку двух эталонных са</w:t>
      </w:r>
      <w:r w:rsidRPr="00271E51">
        <w:rPr>
          <w:rFonts w:ascii="Times New Roman" w:hAnsi="Times New Roman"/>
          <w:color w:val="000000" w:themeColor="text1"/>
          <w:sz w:val="16"/>
          <w:szCs w:val="16"/>
        </w:rPr>
        <w:softHyphen/>
        <w:t xml:space="preserve">молетов Пе-2 с моторами М-107А - 2.500 тысяч рублей, в </w:t>
      </w:r>
      <w:r w:rsidRPr="00271E51">
        <w:rPr>
          <w:rFonts w:ascii="Times New Roman" w:eastAsia="Batang" w:hAnsi="Times New Roman"/>
          <w:color w:val="000000" w:themeColor="text1"/>
          <w:sz w:val="16"/>
          <w:szCs w:val="16"/>
        </w:rPr>
        <w:t>том числе 500 тыс.рублей на премирование отличивших</w:t>
      </w:r>
      <w:r w:rsidRPr="00271E51">
        <w:rPr>
          <w:rFonts w:ascii="Times New Roman" w:eastAsia="Batang" w:hAnsi="Times New Roman"/>
          <w:color w:val="000000" w:themeColor="text1"/>
          <w:sz w:val="16"/>
          <w:szCs w:val="16"/>
        </w:rPr>
        <w:softHyphen/>
        <w:t>ся при этом рабочих, конструкторов и ИТР заводе №</w:t>
      </w:r>
      <w:r w:rsidRPr="00271E51">
        <w:rPr>
          <w:rFonts w:ascii="Times New Roman" w:hAnsi="Times New Roman"/>
          <w:i/>
          <w:iCs/>
          <w:color w:val="000000" w:themeColor="text1"/>
          <w:sz w:val="16"/>
          <w:szCs w:val="16"/>
        </w:rPr>
        <w:t xml:space="preserve"> 22 </w:t>
      </w:r>
      <w:r w:rsidRPr="00271E51">
        <w:rPr>
          <w:rFonts w:ascii="Times New Roman" w:hAnsi="Times New Roman"/>
          <w:color w:val="000000" w:themeColor="text1"/>
          <w:sz w:val="16"/>
          <w:szCs w:val="16"/>
        </w:rPr>
        <w:t>(19437).</w:t>
      </w:r>
    </w:p>
    <w:p w14:paraId="1272B169" w14:textId="77777777" w:rsidR="001B6A93" w:rsidRPr="00271E51" w:rsidRDefault="001B6A9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CC4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года вышел приказ НКАП № 642, в соответствии с которым на площадях бывш. завода № 165 был организован завод по изготовлению нестандартного оборудования, который именовался “Завод № 12 треста № 41 НКАП” (8937).</w:t>
      </w:r>
    </w:p>
    <w:p w14:paraId="65C984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1FBE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245926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69B50D" w14:textId="77777777" w:rsidR="00EE10A0" w:rsidRPr="00271E51" w:rsidRDefault="00EE10A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период с 27 по 31 декабря 1943 г. на ГАНИОПе были проведены испытания опытных образцов 85-мм танковых пушек ЛБ-1, С-50 и С-53, причем пушки ЛБ-1 и С-50 были установлены в танках Т-34 с башнями с увеличенным до 1600 мм диаметром шариковой опоры, а пушка С-53 – в танке Т-34 с серийной башней. Оценку работе комиссии, возглавляемой Е.А. Кульчицким, дали командующий БТ и МВ КА генерал-полковник танковых войск Я.Н. Федоренко и член военного совета генерал-лейтенант танковых войск Н.И. Бирюков. В докладе председателю ГКО Маршалу Советского Союза И.В. Сталину по вопросу перевооружения танков Т-34 они, в частности, сообщили:</w:t>
      </w:r>
    </w:p>
    <w:p w14:paraId="1E53676D" w14:textId="77777777" w:rsidR="00EE10A0" w:rsidRPr="00271E51" w:rsidRDefault="00EE10A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своем заключении комиссия совершенно правильно отмечает, что установка 85 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00B380D1" w14:textId="77777777" w:rsidR="00EE10A0" w:rsidRPr="00271E51" w:rsidRDefault="00EE10A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[ЦАМО. Ф. 38. Оп. 11355. Д. 2224. Л. 42] (21209).</w:t>
      </w:r>
    </w:p>
    <w:p w14:paraId="01617898" w14:textId="77777777" w:rsidR="00EE10A0" w:rsidRPr="00271E51" w:rsidRDefault="00EE10A0" w:rsidP="00271E51">
      <w:pPr>
        <w:spacing w:after="0" w:line="240" w:lineRule="auto"/>
        <w:jc w:val="both"/>
        <w:rPr>
          <w:rFonts w:ascii="Times New Roman" w:hAnsi="Times New Roman"/>
          <w:color w:val="0070C0"/>
          <w:sz w:val="16"/>
          <w:szCs w:val="16"/>
        </w:rPr>
      </w:pPr>
    </w:p>
    <w:p w14:paraId="0B318F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ГКО своим постановлением N 4851 обязал ЦАКБ, взяв за основу 100-мм морскую зенитную пушку, разработать новую артсистему на базе Т-34-85. Но здесь КБ Ф.Ф.Петрова (завод №9), по своей инициативе включившись в разработку новой пушки для СУ-100, снова выиграло соревнование. Именно его пушка Д-10С была установлена на новой самоходке (3905). Уралмашзавод получил задание к 25 февраля 1944 предъявить на гос. испытание САУ с 100 мм С-34. Пушку Б-34 д.б. разрабатывать ЦАКБ (4406).</w:t>
      </w:r>
    </w:p>
    <w:p w14:paraId="074C17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A5CF5" w14:textId="77777777" w:rsidR="00FC04C9" w:rsidRPr="00271E51" w:rsidRDefault="00FC04C9" w:rsidP="00271E51">
      <w:pPr>
        <w:pStyle w:val="a3"/>
        <w:rPr>
          <w:color w:val="000000" w:themeColor="text1"/>
          <w:lang w:val="ru-RU"/>
        </w:rPr>
      </w:pPr>
      <w:r w:rsidRPr="00271E51">
        <w:rPr>
          <w:color w:val="000000" w:themeColor="text1"/>
          <w:lang w:val="ru-RU"/>
        </w:rPr>
        <w:t xml:space="preserve">27 декабря 1943 Малышев первый раз сообщает Сталину о новом танке Т-44. Сталин заинтересовался новым танком и просил ускорить его испытания и производство («Пройдёт десяток лет, и этих встреч не восстановишь уже в памяти» // Источник. №5. 1997. С. 124.). Далее он не упускал Т-44 из виду. Проследить за развитием событий можно по дневнику Малышева. 15 января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w:t>
      </w:r>
      <w:r w:rsidRPr="00271E51">
        <w:rPr>
          <w:color w:val="000000" w:themeColor="text1"/>
          <w:lang w:val="ru-RU"/>
        </w:rPr>
        <w:lastRenderedPageBreak/>
        <w:t>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 // Источник. №5. 1997. С. 125).</w:t>
      </w:r>
    </w:p>
    <w:p w14:paraId="130CE70B" w14:textId="77777777" w:rsidR="00FC04C9" w:rsidRPr="00271E51" w:rsidRDefault="00FC04C9" w:rsidP="00271E51">
      <w:pPr>
        <w:pStyle w:val="a3"/>
        <w:rPr>
          <w:color w:val="000000" w:themeColor="text1"/>
          <w:lang w:val="ru-RU"/>
        </w:rPr>
      </w:pPr>
      <w:r w:rsidRPr="00271E51">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710841C6" w14:textId="77777777" w:rsidR="00FC04C9" w:rsidRPr="00271E51" w:rsidRDefault="00FC04C9" w:rsidP="00271E51">
      <w:pPr>
        <w:pStyle w:val="a3"/>
        <w:rPr>
          <w:color w:val="000000" w:themeColor="text1"/>
          <w:lang w:val="ru-RU"/>
        </w:rPr>
      </w:pPr>
    </w:p>
    <w:p w14:paraId="64D02C48" w14:textId="77777777" w:rsidR="00424340" w:rsidRPr="00271E51" w:rsidRDefault="00424340" w:rsidP="00271E51">
      <w:pPr>
        <w:pStyle w:val="ae"/>
        <w:spacing w:before="0" w:after="0"/>
        <w:jc w:val="both"/>
        <w:textAlignment w:val="baseline"/>
        <w:rPr>
          <w:color w:val="000000" w:themeColor="text1"/>
          <w:sz w:val="16"/>
          <w:szCs w:val="16"/>
        </w:rPr>
      </w:pPr>
      <w:r w:rsidRPr="00271E51">
        <w:rPr>
          <w:color w:val="000000" w:themeColor="text1"/>
          <w:sz w:val="16"/>
          <w:szCs w:val="16"/>
        </w:rPr>
        <w:t>27 декабря 1943 года. В ходе совещания, на котором впервые встал вопрос о танке </w:t>
      </w:r>
      <w:hyperlink r:id="rId135" w:history="1">
        <w:r w:rsidRPr="00271E51">
          <w:rPr>
            <w:rStyle w:val="a5"/>
            <w:bCs/>
            <w:iCs/>
            <w:color w:val="000000" w:themeColor="text1"/>
            <w:sz w:val="16"/>
            <w:szCs w:val="16"/>
            <w:bdr w:val="none" w:sz="0" w:space="0" w:color="auto" w:frame="1"/>
          </w:rPr>
          <w:t>Т-44</w:t>
        </w:r>
      </w:hyperlink>
      <w:r w:rsidRPr="00271E51">
        <w:rPr>
          <w:color w:val="000000" w:themeColor="text1"/>
          <w:sz w:val="16"/>
          <w:szCs w:val="16"/>
        </w:rPr>
        <w:t>, Сталин предложил наркому танковой промышленности В.А. Малышеву усилить корпус танка до 60 мм. На это Малышев ответил, что по периметру броню усиливать нельзя, поскольку масса вырастет до недопустимых величин. Вместе с тем, предложение Сталина не осталось без внимания. В январе 1944 года были проведены расчёты усиления броневой защиты танка. При этом важным параметром являлось сохранение боевой массы в пределах обычного Т-34-85. Впрочем, речь шла совсем не о 60 мм, как в 1941 году. Как уже говорилось, за прошедшее время эффективность немецких танковых и противотанковых орудий существенно выросла, и 60 мм брони было уже недостаточно. Неудивительно, что при проработке вариантов усиления броневой защиты Т-34-85 советские инженеры ориентировались именно на возможности немецкого противотанкового орудия Pak 40 (18998).</w:t>
      </w:r>
    </w:p>
    <w:p w14:paraId="213FC0F7" w14:textId="77777777" w:rsidR="00424340" w:rsidRPr="00271E51" w:rsidRDefault="00424340" w:rsidP="00271E51">
      <w:pPr>
        <w:pStyle w:val="ae"/>
        <w:spacing w:before="0" w:after="0"/>
        <w:jc w:val="both"/>
        <w:textAlignment w:val="baseline"/>
        <w:rPr>
          <w:color w:val="000000" w:themeColor="text1"/>
          <w:sz w:val="16"/>
          <w:szCs w:val="16"/>
        </w:rPr>
      </w:pPr>
    </w:p>
    <w:p w14:paraId="25DA9268" w14:textId="77777777" w:rsidR="00424340" w:rsidRPr="00271E51" w:rsidRDefault="00424340" w:rsidP="00271E51">
      <w:pPr>
        <w:pStyle w:val="ae"/>
        <w:spacing w:before="0" w:after="0"/>
        <w:jc w:val="both"/>
        <w:textAlignment w:val="baseline"/>
        <w:rPr>
          <w:color w:val="000000" w:themeColor="text1"/>
          <w:sz w:val="16"/>
          <w:szCs w:val="16"/>
        </w:rPr>
      </w:pPr>
      <w:r w:rsidRPr="00271E51">
        <w:rPr>
          <w:color w:val="000000" w:themeColor="text1"/>
          <w:sz w:val="16"/>
          <w:szCs w:val="16"/>
        </w:rPr>
        <w:t>27 декабря 1943 года согласно дневнику Малышева, впервые Сталин узнал о существовании Т-44 в ходе доклада. К тому моменту на заводе №183 уже приступили к постройке опытных образцов. Сталин внимательно выслушал доклад и дал указание как можно быстрее закончить постройку и испытания Т-44. В дальнейшем Сталин неоднократно интересовался состоянием дел по новому танку. Столь высокий интерес легко объясним: несмотря на то что в январе 1944 года было принято решение о запуске в серию Т-34-85, этот танк выглядел скорее полумерой. Требовался новый средний танк, имеющий более высокую броневую защиту и бо́льшие перспективы для модернизации. Речь дошла до того, что на совещании 13 февраля Сталин предлагал ускорить испытания Т-44 и скорее начать его серийное производство (18799).</w:t>
      </w:r>
    </w:p>
    <w:p w14:paraId="4D2F6EFB" w14:textId="77777777" w:rsidR="00424340" w:rsidRPr="00271E51" w:rsidRDefault="00424340" w:rsidP="00271E51">
      <w:pPr>
        <w:pStyle w:val="ae"/>
        <w:spacing w:before="0" w:after="0"/>
        <w:jc w:val="both"/>
        <w:textAlignment w:val="baseline"/>
        <w:rPr>
          <w:color w:val="000000" w:themeColor="text1"/>
          <w:sz w:val="16"/>
          <w:szCs w:val="16"/>
        </w:rPr>
      </w:pPr>
    </w:p>
    <w:p w14:paraId="2FC16C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4850 Об увеличении производства тяжелых танков, артиллерийских самоходных установок типа ИС и об обеспечении их артиллерийским вооружением.РГАНИР, Фонд ГКО, д. 184, лл. 124-127 (11012).</w:t>
      </w:r>
    </w:p>
    <w:p w14:paraId="2A77B1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756EA" w14:textId="77777777" w:rsidR="00996736"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w:t>
      </w:r>
    </w:p>
    <w:p w14:paraId="7C2E1C1B" w14:textId="77777777" w:rsidR="00996736"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ПОСТАНОВЛЕНИЕГОСУДАРСТВЕННОГО КОМИТЕТА ОБОРОНЫ № 4850сс</w:t>
      </w:r>
    </w:p>
    <w:p w14:paraId="0FF934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 увеличении производства тяжелых танков, артиллерийских самоходных установок типа "ИС" и об обеспечении их артиллерийским вооружением. </w:t>
      </w:r>
    </w:p>
    <w:p w14:paraId="665F82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Комитет Обороны ПОСТАНАВЛИВАЕТ:</w:t>
      </w:r>
    </w:p>
    <w:p w14:paraId="792B4D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По производству танков и артиллерийских самоходных установок:</w:t>
      </w:r>
    </w:p>
    <w:p w14:paraId="0D43F2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Обязать Наркомтанкопром - тов. Малышева и директора Кировского завода тов. Зальцмана довести к апрелю 1944 года производство тяжелых танков и артиллерийских самоходных установок типа "ИС" на Кировском заводе до 300 штук в месяц.</w:t>
      </w:r>
    </w:p>
    <w:p w14:paraId="02ACB3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Утвердить следующий план производства тяжелых танков и артиллерийских самоходных установок на Кировском заводе на период январь-май 1944 г. в количествах и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65"/>
        <w:gridCol w:w="1020"/>
        <w:gridCol w:w="1185"/>
        <w:gridCol w:w="780"/>
        <w:gridCol w:w="1020"/>
        <w:gridCol w:w="720"/>
        <w:gridCol w:w="1575"/>
      </w:tblGrid>
      <w:tr w:rsidR="00A907A5" w:rsidRPr="00271E51" w14:paraId="1200A408" w14:textId="77777777" w:rsidTr="00ED5B0A">
        <w:trPr>
          <w:jc w:val="center"/>
        </w:trPr>
        <w:tc>
          <w:tcPr>
            <w:tcW w:w="3165" w:type="dxa"/>
            <w:tcBorders>
              <w:top w:val="single" w:sz="12" w:space="0" w:color="auto"/>
            </w:tcBorders>
          </w:tcPr>
          <w:p w14:paraId="367D9B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0" w:type="dxa"/>
            <w:tcBorders>
              <w:top w:val="single" w:sz="12" w:space="0" w:color="auto"/>
            </w:tcBorders>
          </w:tcPr>
          <w:p w14:paraId="0BB213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tc>
        <w:tc>
          <w:tcPr>
            <w:tcW w:w="1185" w:type="dxa"/>
            <w:tcBorders>
              <w:top w:val="single" w:sz="12" w:space="0" w:color="auto"/>
            </w:tcBorders>
          </w:tcPr>
          <w:p w14:paraId="49965A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tc>
        <w:tc>
          <w:tcPr>
            <w:tcW w:w="780" w:type="dxa"/>
            <w:tcBorders>
              <w:top w:val="single" w:sz="12" w:space="0" w:color="auto"/>
            </w:tcBorders>
          </w:tcPr>
          <w:p w14:paraId="2819A5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tc>
        <w:tc>
          <w:tcPr>
            <w:tcW w:w="1020" w:type="dxa"/>
            <w:tcBorders>
              <w:top w:val="single" w:sz="12" w:space="0" w:color="auto"/>
            </w:tcBorders>
          </w:tcPr>
          <w:p w14:paraId="7AEE2B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tc>
        <w:tc>
          <w:tcPr>
            <w:tcW w:w="720" w:type="dxa"/>
            <w:tcBorders>
              <w:top w:val="single" w:sz="12" w:space="0" w:color="auto"/>
            </w:tcBorders>
          </w:tcPr>
          <w:p w14:paraId="1DF9B4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май </w:t>
            </w:r>
          </w:p>
        </w:tc>
        <w:tc>
          <w:tcPr>
            <w:tcW w:w="1575" w:type="dxa"/>
            <w:tcBorders>
              <w:top w:val="single" w:sz="12" w:space="0" w:color="auto"/>
            </w:tcBorders>
          </w:tcPr>
          <w:p w14:paraId="0F823A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5 месяцев</w:t>
            </w:r>
          </w:p>
        </w:tc>
      </w:tr>
      <w:tr w:rsidR="00A907A5" w:rsidRPr="00271E51" w14:paraId="7679FCE7" w14:textId="77777777" w:rsidTr="00ED5B0A">
        <w:trPr>
          <w:jc w:val="center"/>
        </w:trPr>
        <w:tc>
          <w:tcPr>
            <w:tcW w:w="3165" w:type="dxa"/>
          </w:tcPr>
          <w:p w14:paraId="3DA17C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 "ИС-2" с пушкой 122 мм</w:t>
            </w:r>
          </w:p>
        </w:tc>
        <w:tc>
          <w:tcPr>
            <w:tcW w:w="1020" w:type="dxa"/>
          </w:tcPr>
          <w:p w14:paraId="772010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r w:rsidRPr="00271E51">
              <w:rPr>
                <w:rFonts w:ascii="Times New Roman" w:hAnsi="Times New Roman"/>
                <w:color w:val="000000" w:themeColor="text1"/>
                <w:sz w:val="16"/>
                <w:szCs w:val="16"/>
                <w:vertAlign w:val="superscript"/>
              </w:rPr>
              <w:t>х)</w:t>
            </w:r>
          </w:p>
        </w:tc>
        <w:tc>
          <w:tcPr>
            <w:tcW w:w="1185" w:type="dxa"/>
          </w:tcPr>
          <w:p w14:paraId="242317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780" w:type="dxa"/>
          </w:tcPr>
          <w:p w14:paraId="714614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020" w:type="dxa"/>
          </w:tcPr>
          <w:p w14:paraId="287C08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20" w:type="dxa"/>
          </w:tcPr>
          <w:p w14:paraId="396663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1575" w:type="dxa"/>
          </w:tcPr>
          <w:p w14:paraId="280C2F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r>
      <w:tr w:rsidR="00A907A5" w:rsidRPr="00271E51" w14:paraId="6940FFDC" w14:textId="77777777" w:rsidTr="00ED5B0A">
        <w:trPr>
          <w:jc w:val="center"/>
        </w:trPr>
        <w:tc>
          <w:tcPr>
            <w:tcW w:w="3165" w:type="dxa"/>
          </w:tcPr>
          <w:p w14:paraId="40E80E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Самоходных артустановок с 152 мм пушкой</w:t>
            </w:r>
          </w:p>
        </w:tc>
        <w:tc>
          <w:tcPr>
            <w:tcW w:w="1020" w:type="dxa"/>
          </w:tcPr>
          <w:p w14:paraId="219147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1185" w:type="dxa"/>
          </w:tcPr>
          <w:p w14:paraId="5D7F5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780" w:type="dxa"/>
          </w:tcPr>
          <w:p w14:paraId="79F58C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1020" w:type="dxa"/>
          </w:tcPr>
          <w:p w14:paraId="5C1FC8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20" w:type="dxa"/>
          </w:tcPr>
          <w:p w14:paraId="4A4AD8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1575" w:type="dxa"/>
          </w:tcPr>
          <w:p w14:paraId="3466DD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w:t>
            </w:r>
          </w:p>
        </w:tc>
      </w:tr>
      <w:tr w:rsidR="00A907A5" w:rsidRPr="00271E51" w14:paraId="0A4EED29" w14:textId="77777777" w:rsidTr="00ED5B0A">
        <w:trPr>
          <w:jc w:val="center"/>
        </w:trPr>
        <w:tc>
          <w:tcPr>
            <w:tcW w:w="3165" w:type="dxa"/>
            <w:tcBorders>
              <w:bottom w:val="single" w:sz="12" w:space="0" w:color="auto"/>
            </w:tcBorders>
          </w:tcPr>
          <w:p w14:paraId="7DA491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тяжелых танков и артсамоходов "ИС"</w:t>
            </w:r>
          </w:p>
        </w:tc>
        <w:tc>
          <w:tcPr>
            <w:tcW w:w="1020" w:type="dxa"/>
            <w:tcBorders>
              <w:bottom w:val="single" w:sz="12" w:space="0" w:color="auto"/>
            </w:tcBorders>
          </w:tcPr>
          <w:p w14:paraId="2D675D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185" w:type="dxa"/>
            <w:tcBorders>
              <w:bottom w:val="single" w:sz="12" w:space="0" w:color="auto"/>
            </w:tcBorders>
          </w:tcPr>
          <w:p w14:paraId="7170C9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80" w:type="dxa"/>
            <w:tcBorders>
              <w:bottom w:val="single" w:sz="12" w:space="0" w:color="auto"/>
            </w:tcBorders>
          </w:tcPr>
          <w:p w14:paraId="0EEB18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1020" w:type="dxa"/>
            <w:tcBorders>
              <w:bottom w:val="single" w:sz="12" w:space="0" w:color="auto"/>
            </w:tcBorders>
          </w:tcPr>
          <w:p w14:paraId="6C1908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720" w:type="dxa"/>
            <w:tcBorders>
              <w:bottom w:val="single" w:sz="12" w:space="0" w:color="auto"/>
            </w:tcBorders>
          </w:tcPr>
          <w:p w14:paraId="1768E4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1575" w:type="dxa"/>
            <w:tcBorders>
              <w:bottom w:val="single" w:sz="12" w:space="0" w:color="auto"/>
            </w:tcBorders>
          </w:tcPr>
          <w:p w14:paraId="2E1F85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1125</w:t>
            </w:r>
          </w:p>
        </w:tc>
      </w:tr>
    </w:tbl>
    <w:p w14:paraId="10ECFE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 Из них 40 штук с 85 мм. пушкой Д-5</w:t>
      </w:r>
    </w:p>
    <w:p w14:paraId="6EF444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связи, с увеличением производства тяжелых танков типа "ИС" уменьшить производство танков Т-34 на Кировском заводе до 150 штук в месяц, начиная с января 1944 года.</w:t>
      </w:r>
    </w:p>
    <w:p w14:paraId="2BE7D4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Обязать Наркомтанкопром - т. Малышева, в связи с уменьшением производства танков Т-34 на Кировском заводе, частично компенсировать это уменьшение увеличением выпуска танков Т-34 и самоходных артиллерийских установок СУ-85 на других заводах Наркомтанкопрома: в марте - 50 шт. в апреле - 75 шт. и в мае - 100 шт.</w:t>
      </w:r>
    </w:p>
    <w:p w14:paraId="77BCEE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Обязать Наркомтанкопром - т. Малышева и директора Уралмашзавода - т. Музрукова организовать производство бронекорпусов для танков и артиллерийских самоходных установок типа "ИС" в количествах, обеспечивающих выполнение плана по тяжелым танкам и самоходным установкам на Кировском заводе, за счет сокращения производства корпусов для танков Т-34 до 150 шт. в месяц.</w:t>
      </w:r>
    </w:p>
    <w:p w14:paraId="261B35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По производству вооружения:</w:t>
      </w:r>
    </w:p>
    <w:p w14:paraId="7CEC1D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Обязать Наркомат Вооружения - т. Устинова, ККО - (т.т.Яковлева и Федоренко) обеспечить выпуск и поставку НКТП мощных артиллерийских орудий калибра 122 - 152 мм для танков и артиллерийских самоходных установок в следующих количествах и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45"/>
        <w:gridCol w:w="1020"/>
        <w:gridCol w:w="1185"/>
        <w:gridCol w:w="855"/>
        <w:gridCol w:w="1020"/>
        <w:gridCol w:w="1140"/>
        <w:gridCol w:w="1560"/>
      </w:tblGrid>
      <w:tr w:rsidR="00A907A5" w:rsidRPr="00271E51" w14:paraId="1F99029A" w14:textId="77777777" w:rsidTr="00ED5B0A">
        <w:trPr>
          <w:jc w:val="center"/>
        </w:trPr>
        <w:tc>
          <w:tcPr>
            <w:tcW w:w="3045" w:type="dxa"/>
            <w:tcBorders>
              <w:top w:val="single" w:sz="12" w:space="0" w:color="auto"/>
            </w:tcBorders>
          </w:tcPr>
          <w:p w14:paraId="092E75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пушки</w:t>
            </w:r>
          </w:p>
        </w:tc>
        <w:tc>
          <w:tcPr>
            <w:tcW w:w="1020" w:type="dxa"/>
            <w:tcBorders>
              <w:top w:val="single" w:sz="12" w:space="0" w:color="auto"/>
            </w:tcBorders>
          </w:tcPr>
          <w:p w14:paraId="567032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tc>
        <w:tc>
          <w:tcPr>
            <w:tcW w:w="1185" w:type="dxa"/>
            <w:tcBorders>
              <w:top w:val="single" w:sz="12" w:space="0" w:color="auto"/>
            </w:tcBorders>
          </w:tcPr>
          <w:p w14:paraId="295A24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tc>
        <w:tc>
          <w:tcPr>
            <w:tcW w:w="855" w:type="dxa"/>
            <w:tcBorders>
              <w:top w:val="single" w:sz="12" w:space="0" w:color="auto"/>
            </w:tcBorders>
          </w:tcPr>
          <w:p w14:paraId="022D07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март </w:t>
            </w:r>
          </w:p>
        </w:tc>
        <w:tc>
          <w:tcPr>
            <w:tcW w:w="1020" w:type="dxa"/>
            <w:tcBorders>
              <w:top w:val="single" w:sz="12" w:space="0" w:color="auto"/>
            </w:tcBorders>
          </w:tcPr>
          <w:p w14:paraId="14802E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tc>
        <w:tc>
          <w:tcPr>
            <w:tcW w:w="1140" w:type="dxa"/>
            <w:tcBorders>
              <w:top w:val="single" w:sz="12" w:space="0" w:color="auto"/>
            </w:tcBorders>
          </w:tcPr>
          <w:p w14:paraId="1472F2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tc>
        <w:tc>
          <w:tcPr>
            <w:tcW w:w="1560" w:type="dxa"/>
            <w:tcBorders>
              <w:top w:val="single" w:sz="12" w:space="0" w:color="auto"/>
            </w:tcBorders>
          </w:tcPr>
          <w:p w14:paraId="18CA2F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5 месяцев</w:t>
            </w:r>
          </w:p>
        </w:tc>
      </w:tr>
      <w:tr w:rsidR="00A907A5" w:rsidRPr="00271E51" w14:paraId="3D258DDA" w14:textId="77777777" w:rsidTr="00ED5B0A">
        <w:trPr>
          <w:jc w:val="center"/>
        </w:trPr>
        <w:tc>
          <w:tcPr>
            <w:tcW w:w="3045" w:type="dxa"/>
          </w:tcPr>
          <w:p w14:paraId="4C057E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Танковая пушка калибра 122 мм (Д-25)</w:t>
            </w:r>
          </w:p>
        </w:tc>
        <w:tc>
          <w:tcPr>
            <w:tcW w:w="1020" w:type="dxa"/>
          </w:tcPr>
          <w:p w14:paraId="09DB62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1185" w:type="dxa"/>
          </w:tcPr>
          <w:p w14:paraId="406102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855" w:type="dxa"/>
          </w:tcPr>
          <w:p w14:paraId="64ADDB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020" w:type="dxa"/>
          </w:tcPr>
          <w:p w14:paraId="7CC722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tc>
        <w:tc>
          <w:tcPr>
            <w:tcW w:w="1140" w:type="dxa"/>
          </w:tcPr>
          <w:p w14:paraId="7E86AD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tc>
        <w:tc>
          <w:tcPr>
            <w:tcW w:w="1560" w:type="dxa"/>
          </w:tcPr>
          <w:p w14:paraId="0FB56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555</w:t>
            </w:r>
          </w:p>
        </w:tc>
      </w:tr>
      <w:tr w:rsidR="00A907A5" w:rsidRPr="00271E51" w14:paraId="414C7FD5" w14:textId="77777777" w:rsidTr="00ED5B0A">
        <w:trPr>
          <w:jc w:val="center"/>
        </w:trPr>
        <w:tc>
          <w:tcPr>
            <w:tcW w:w="3045" w:type="dxa"/>
          </w:tcPr>
          <w:p w14:paraId="64BFAC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Пушка – гаубица калибра 152 мм для артсамохода </w:t>
            </w:r>
          </w:p>
        </w:tc>
        <w:tc>
          <w:tcPr>
            <w:tcW w:w="1020" w:type="dxa"/>
          </w:tcPr>
          <w:p w14:paraId="2840EF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1185" w:type="dxa"/>
          </w:tcPr>
          <w:p w14:paraId="5E345E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855" w:type="dxa"/>
          </w:tcPr>
          <w:p w14:paraId="1A27B9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1020" w:type="dxa"/>
          </w:tcPr>
          <w:p w14:paraId="010CB0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1140" w:type="dxa"/>
          </w:tcPr>
          <w:p w14:paraId="5EDF8E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1560" w:type="dxa"/>
          </w:tcPr>
          <w:p w14:paraId="416B0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r>
      <w:tr w:rsidR="00A907A5" w:rsidRPr="00271E51" w14:paraId="31A28BD9" w14:textId="77777777" w:rsidTr="00ED5B0A">
        <w:trPr>
          <w:jc w:val="center"/>
        </w:trPr>
        <w:tc>
          <w:tcPr>
            <w:tcW w:w="3045" w:type="dxa"/>
            <w:tcBorders>
              <w:bottom w:val="single" w:sz="12" w:space="0" w:color="auto"/>
            </w:tcBorders>
          </w:tcPr>
          <w:p w14:paraId="2ED0EE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tc>
        <w:tc>
          <w:tcPr>
            <w:tcW w:w="1020" w:type="dxa"/>
            <w:tcBorders>
              <w:bottom w:val="single" w:sz="12" w:space="0" w:color="auto"/>
            </w:tcBorders>
          </w:tcPr>
          <w:p w14:paraId="204F73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w:t>
            </w:r>
          </w:p>
        </w:tc>
        <w:tc>
          <w:tcPr>
            <w:tcW w:w="1185" w:type="dxa"/>
            <w:tcBorders>
              <w:bottom w:val="single" w:sz="12" w:space="0" w:color="auto"/>
            </w:tcBorders>
          </w:tcPr>
          <w:p w14:paraId="231550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170</w:t>
            </w:r>
          </w:p>
        </w:tc>
        <w:tc>
          <w:tcPr>
            <w:tcW w:w="855" w:type="dxa"/>
            <w:tcBorders>
              <w:bottom w:val="single" w:sz="12" w:space="0" w:color="auto"/>
            </w:tcBorders>
          </w:tcPr>
          <w:p w14:paraId="03AE94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w:t>
            </w:r>
          </w:p>
        </w:tc>
        <w:tc>
          <w:tcPr>
            <w:tcW w:w="1020" w:type="dxa"/>
            <w:tcBorders>
              <w:bottom w:val="single" w:sz="12" w:space="0" w:color="auto"/>
            </w:tcBorders>
          </w:tcPr>
          <w:p w14:paraId="5B93B9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1140" w:type="dxa"/>
            <w:tcBorders>
              <w:bottom w:val="single" w:sz="12" w:space="0" w:color="auto"/>
            </w:tcBorders>
          </w:tcPr>
          <w:p w14:paraId="4D50F9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w:t>
            </w:r>
          </w:p>
        </w:tc>
        <w:tc>
          <w:tcPr>
            <w:tcW w:w="1560" w:type="dxa"/>
            <w:tcBorders>
              <w:bottom w:val="single" w:sz="12" w:space="0" w:color="auto"/>
            </w:tcBorders>
          </w:tcPr>
          <w:p w14:paraId="367B42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1145</w:t>
            </w:r>
          </w:p>
        </w:tc>
      </w:tr>
    </w:tbl>
    <w:p w14:paraId="43DBDF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 связи с увеличением выпуска 152 мм пушек для артиллерийских самоходных установок типа "ИС" разрешать Наркомвооружения (т.Устинову) уменьшить, начиная с января 1944 года, на заводе № 172 производство 152 мм пушек-гаубиц на 20 штук в месяц и 122 мм корпусных пушек - на 12 штук в месяц, против плана декабря 1943 г.</w:t>
      </w:r>
    </w:p>
    <w:p w14:paraId="6518DE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Но материально-техническому обеспечению,</w:t>
      </w:r>
    </w:p>
    <w:p w14:paraId="060B82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Считать необходимым принять прилагаемые к настоящему постановлению мероприятия (приложения № 1, 2, 3) производству тяжелых танков и артсамоходов и бронекорпусов к ним, а также мероприятия по обеспечению производства пушек для тяжелых танков и артсамоходов.</w:t>
      </w:r>
    </w:p>
    <w:p w14:paraId="029274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Поручить комиссии в составе т.т. Берия (созыв), Микояна, Вознесенского, Сабурова и Косыгина в трехдневный срок рассмотреть их с участием заинтересованных наркомов, определить сроки и ответственных лиц за их выполнение и внести на утверждение ГОКО.</w:t>
      </w:r>
    </w:p>
    <w:p w14:paraId="4798AC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Обязать секретарей обкомов ВКП(б) Челябинского - т. Патоличев; Свердловского - т.Андрианова, Молотовского - т. Гусарова, Удмуртского - т. Чеккнова, Новосибирского - т.Кулагина, Горьконекого -т.Родионова и Сталинградского - т.Чуянова оказать заводам, танковой промышленности, промышленности вооружения и боеприпасов помощь в выполнении настоящего постановления, имея в виду, что это является важнейшим заданием Государственного Комитета Оборони по - перевооружению бронетанковых сил Красной Армии более мощной артиллерией.</w:t>
      </w:r>
    </w:p>
    <w:p w14:paraId="4730C2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ПРЕДСЕДАТЕЛЬ ГОСУДАРСТВЕННОГО КОМИТЕТА ОБОРОНЫ - И.В. Сталин (11813).</w:t>
      </w:r>
    </w:p>
    <w:p w14:paraId="34B588C1" w14:textId="77777777" w:rsidR="00996736" w:rsidRPr="00271E51" w:rsidRDefault="00996736"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C1E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ГКО принял по</w:t>
      </w:r>
      <w:r w:rsidRPr="00271E51">
        <w:rPr>
          <w:rFonts w:ascii="Times New Roman" w:hAnsi="Times New Roman"/>
          <w:color w:val="000000" w:themeColor="text1"/>
          <w:sz w:val="16"/>
          <w:szCs w:val="16"/>
        </w:rPr>
        <w:softHyphen/>
        <w:t>становление № 4851сс о вооружении тяжелого танка ИС и средних артсамоходов 100-мм орудием. Во исполнение этого постановления НКТП приказом № 765 от 28/ХН—1943 г. предписывал Уралмашу:</w:t>
      </w:r>
    </w:p>
    <w:p w14:paraId="0A4CD5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Спроектировать к 15/1 44 г. средний самоход на базе аг</w:t>
      </w:r>
      <w:r w:rsidRPr="00271E51">
        <w:rPr>
          <w:rFonts w:ascii="Times New Roman" w:hAnsi="Times New Roman"/>
          <w:color w:val="000000" w:themeColor="text1"/>
          <w:sz w:val="16"/>
          <w:szCs w:val="16"/>
        </w:rPr>
        <w:softHyphen/>
        <w:t>регатов танка Т-34 с вооружением 100-мм пушкой С-34 конструкции ЦАКБ;</w:t>
      </w:r>
    </w:p>
    <w:p w14:paraId="409B0B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 25/1 44 г. получить с завода № 92 опытный образец 100-мм орудия С-34.</w:t>
      </w:r>
    </w:p>
    <w:p w14:paraId="170E18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20/П 44 г. изготовить и провести заводские испытания самохода.</w:t>
      </w:r>
    </w:p>
    <w:p w14:paraId="12DABD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 25/П 44 г. передать самоход для государственных испы</w:t>
      </w:r>
      <w:r w:rsidRPr="00271E51">
        <w:rPr>
          <w:rFonts w:ascii="Times New Roman" w:hAnsi="Times New Roman"/>
          <w:color w:val="000000" w:themeColor="text1"/>
          <w:sz w:val="16"/>
          <w:szCs w:val="16"/>
        </w:rPr>
        <w:softHyphen/>
        <w:t>таний».</w:t>
      </w:r>
    </w:p>
    <w:p w14:paraId="6C956A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получении чертежей 100-мм пушки С-34 было уста</w:t>
      </w:r>
      <w:r w:rsidRPr="00271E51">
        <w:rPr>
          <w:rFonts w:ascii="Times New Roman" w:hAnsi="Times New Roman"/>
          <w:color w:val="000000" w:themeColor="text1"/>
          <w:sz w:val="16"/>
          <w:szCs w:val="16"/>
        </w:rPr>
        <w:softHyphen/>
        <w:t>новлено, что пушка имеет значительно большую ширину, чем предусматривалось заданием. При наведении влево гильзоулавливатель орудия будет упираться во вторую пру</w:t>
      </w:r>
      <w:r w:rsidRPr="00271E51">
        <w:rPr>
          <w:rFonts w:ascii="Times New Roman" w:hAnsi="Times New Roman"/>
          <w:color w:val="000000" w:themeColor="text1"/>
          <w:sz w:val="16"/>
          <w:szCs w:val="16"/>
        </w:rPr>
        <w:softHyphen/>
        <w:t>жину подвески, а его маска не позволит разместить на лобо</w:t>
      </w:r>
      <w:r w:rsidRPr="00271E51">
        <w:rPr>
          <w:rFonts w:ascii="Times New Roman" w:hAnsi="Times New Roman"/>
          <w:color w:val="000000" w:themeColor="text1"/>
          <w:sz w:val="16"/>
          <w:szCs w:val="16"/>
        </w:rPr>
        <w:softHyphen/>
        <w:t>вом листе люк водителя. Для устранения всех отмеченных недостатков необходимо было значительно (до внешних об</w:t>
      </w:r>
      <w:r w:rsidRPr="00271E51">
        <w:rPr>
          <w:rFonts w:ascii="Times New Roman" w:hAnsi="Times New Roman"/>
          <w:color w:val="000000" w:themeColor="text1"/>
          <w:sz w:val="16"/>
          <w:szCs w:val="16"/>
        </w:rPr>
        <w:softHyphen/>
        <w:t>водов гусениц) расширить корпус САУ, вместо наклонных бортов разместить вертикальные (как у СУ-Д-25), поднять орудие на 80 мм выше, разработать новые сварочные стен</w:t>
      </w:r>
      <w:r w:rsidRPr="00271E51">
        <w:rPr>
          <w:rFonts w:ascii="Times New Roman" w:hAnsi="Times New Roman"/>
          <w:color w:val="000000" w:themeColor="text1"/>
          <w:sz w:val="16"/>
          <w:szCs w:val="16"/>
        </w:rPr>
        <w:softHyphen/>
        <w:t>ды, перейти в подвеске от свечных пружин на торсионы, сместить место механика-водителя влево. Кроме того, для пушки С-34, имевшей правое расположение наводчика, уралмашевцам нужно было перекомпоновывать все боевое отделение, с чем они тоже согласиться, понятно, не могли... Реализация всех необходимых доработок приводила к уве</w:t>
      </w:r>
      <w:r w:rsidRPr="00271E51">
        <w:rPr>
          <w:rFonts w:ascii="Times New Roman" w:hAnsi="Times New Roman"/>
          <w:color w:val="000000" w:themeColor="text1"/>
          <w:sz w:val="16"/>
          <w:szCs w:val="16"/>
        </w:rPr>
        <w:softHyphen/>
        <w:t>личению массы САУ на 3,5—3,8 тонны относительно СУ-85 и сдвигала срок готовности САУ, по крайней мере, на 3 ме</w:t>
      </w:r>
      <w:r w:rsidRPr="00271E51">
        <w:rPr>
          <w:rFonts w:ascii="Times New Roman" w:hAnsi="Times New Roman"/>
          <w:color w:val="000000" w:themeColor="text1"/>
          <w:sz w:val="16"/>
          <w:szCs w:val="16"/>
        </w:rPr>
        <w:softHyphen/>
        <w:t>сяца, с чем заказчик согласиться не мог. Находясь в жестком цейтноте, Л.И. Горлицкий связался с начальником КБ заво</w:t>
      </w:r>
      <w:r w:rsidRPr="00271E51">
        <w:rPr>
          <w:rFonts w:ascii="Times New Roman" w:hAnsi="Times New Roman"/>
          <w:color w:val="000000" w:themeColor="text1"/>
          <w:sz w:val="16"/>
          <w:szCs w:val="16"/>
        </w:rPr>
        <w:softHyphen/>
        <w:t>да № 9 Ф.Ф. Петровым и попросил его выполнить проект 100-мм пушки для вооружения СУ-85 не позднее февраля 1944 г., с чем последний согласился (11417).</w:t>
      </w:r>
    </w:p>
    <w:p w14:paraId="3B27A62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F25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27 декабря 1943 г. ГКО своим постановлением обязал ЦКАБ разработать проект 100-мм пушки для ее монтажа в само</w:t>
      </w:r>
      <w:r w:rsidRPr="00271E51">
        <w:rPr>
          <w:rFonts w:ascii="Times New Roman" w:hAnsi="Times New Roman"/>
          <w:color w:val="000000" w:themeColor="text1"/>
          <w:sz w:val="16"/>
          <w:szCs w:val="16"/>
        </w:rPr>
        <w:softHyphen/>
        <w:t>ходной установке СУ-85 (10703).</w:t>
      </w:r>
    </w:p>
    <w:p w14:paraId="74FCE3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44F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вышло поста</w:t>
      </w:r>
      <w:r w:rsidRPr="00271E51">
        <w:rPr>
          <w:rFonts w:ascii="Times New Roman" w:hAnsi="Times New Roman"/>
          <w:color w:val="000000" w:themeColor="text1"/>
          <w:sz w:val="16"/>
          <w:szCs w:val="16"/>
        </w:rPr>
        <w:softHyphen/>
        <w:t>новление ГКО № 4851сс о рассмотрении вооружения танка ИС новыми артсистемами. В числе них были 85-мм танковая пушка большой мощности Д-5Т-85БМ и 100-мм танковая лушка С-34. В феврале 1944 г. начались проектные работы по установке вышеназванных орудий в башне танка ИС-85 (11135).</w:t>
      </w:r>
    </w:p>
    <w:p w14:paraId="4E8F86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9836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года ГКО принял постановление № 4851 о вооружении среднего самохода 100-мм орудием. Во исполнение этого постановления НКТП приказом № 765 от 28 декабря 1943 года обязал "Уралмашзавод":</w:t>
      </w:r>
    </w:p>
    <w:p w14:paraId="0072DFD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к 15.01.44 г. спроектировать средний самоход на базе агрегатов танка Т-34 и вооружить его 100-мм пушкой С-34 конструкции ЦАКБ; </w:t>
      </w:r>
    </w:p>
    <w:p w14:paraId="5200D68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к 20.02.44 г. изготовить и провести заводские испытания самохода. Орудие должно быть подано с завода №92 к 25.01.44 г.; </w:t>
      </w:r>
    </w:p>
    <w:p w14:paraId="0531BF3A"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25.02.44 г. передать самоход на государственные испытания" (9637).</w:t>
      </w:r>
    </w:p>
    <w:p w14:paraId="6081C10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6CD702C8" w14:textId="77777777" w:rsidR="00FC04C9" w:rsidRPr="00271E51" w:rsidRDefault="00FC04C9" w:rsidP="00271E51">
      <w:pPr>
        <w:pStyle w:val="a3"/>
        <w:rPr>
          <w:color w:val="000000" w:themeColor="text1"/>
          <w:lang w:val="ru-RU"/>
        </w:rPr>
      </w:pPr>
      <w:r w:rsidRPr="00271E51">
        <w:rPr>
          <w:color w:val="000000" w:themeColor="text1"/>
          <w:lang w:val="ru-RU"/>
        </w:rPr>
        <w:t>27 декабря 1943 года, поскольку недостатки 122-мм пушки как танкового орудия были очевидны, в 1944 в соответствии с постановлением ГКО № 4851сс (РГАСПИ. Ф. 644. Оп. 1. Д. 184. Л. 128-132) была предпринята попытка улучшить вооружение ИСа за счёт установки новой пушки с аналогичными способностями пробивать броню, но меньшим калибром. Впрочем, возможно, решение об эксперименте с установкой новых пушек было принято раньше - во всяком случае в ноябрьский план опытных работ ГБТУ уже включены пункты о разработке и 85-мм пушки с повышенной начальной скоростью снаряда, и 100-мм пушки для танка ИС и самоходок (Главное автобронетанковое управление. Люди, события, факты в документах - 1943-1944 гг. С. 462). Если 85-мм пушка большой мощности оказалась не способна сравняться по бронепробиваемости со 122</w:t>
      </w:r>
      <w:r w:rsidRPr="00271E51">
        <w:rPr>
          <w:color w:val="000000" w:themeColor="text1"/>
          <w:lang w:val="ru-RU"/>
        </w:rPr>
        <w:softHyphen/>
        <w:t>мм орудием, то 100-мм пушки, разработанные В. Г. Грабиным и Ф. Ф. Петровым, оказались достаточно близки к предъявляемым требованиям.</w:t>
      </w:r>
    </w:p>
    <w:p w14:paraId="0F929950" w14:textId="77777777" w:rsidR="00FC04C9" w:rsidRPr="00271E51" w:rsidRDefault="00FC04C9" w:rsidP="00271E51">
      <w:pPr>
        <w:pStyle w:val="a3"/>
        <w:rPr>
          <w:color w:val="000000" w:themeColor="text1"/>
          <w:lang w:val="ru-RU"/>
        </w:rPr>
      </w:pPr>
      <w:r w:rsidRPr="00271E51">
        <w:rPr>
          <w:color w:val="000000" w:themeColor="text1"/>
          <w:lang w:val="ru-RU"/>
        </w:rPr>
        <w:t>Пушка Грабина С-34 вновь оказалась неудобна с точки зрения установки: требовалось полностью переделать башню, поменять местами заряжающего и наводчика и даже удлинить её. Первые испытания выявили ненадёжность обоих орудий. После их переделки и новых испытаний в начале июля 1944 года В. А. Малышев написал Л. П. Берии письмо, в котором предлагал перейти к производству ИС со 100-мм пушкой Д-10, так как новая модификация имеет скорострельность 8 выстрелов в минуту вместо 2-3 у ИС- 2 и боекомплект в 31 снаряд вместо 20, а из-за отсутствия поднимающего пыль после выстрела дульного тормоза у неё лучше условия для наводчика (РГАЭ. Ф. 8157. Оп. 1. Д. 2903. Л. 41) (12290).</w:t>
      </w:r>
    </w:p>
    <w:p w14:paraId="06103FD9"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86E1AA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постановлением ГКО было принято решение о разработке и изготовлении новых 122-мм пушек с начальной скоростью снаряда до 1100 м/с и 130-мм пушки с начальной скоростью снаряда 900 м/с (10703).</w:t>
      </w:r>
    </w:p>
    <w:p w14:paraId="730098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897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ГКО постановлением дал указание НКТП довести выпуск танков ИС-2 и САУ ИСУ-152 до 300 машин в месяц, начиная с апреля 1944 г. (10703). В НКТП оперативно отреагировали на необходимость повысить ка</w:t>
      </w:r>
      <w:r w:rsidRPr="00271E51">
        <w:rPr>
          <w:rFonts w:ascii="Times New Roman" w:hAnsi="Times New Roman"/>
          <w:color w:val="000000" w:themeColor="text1"/>
          <w:sz w:val="16"/>
          <w:szCs w:val="16"/>
        </w:rPr>
        <w:softHyphen/>
        <w:t>чество выпускавшихся танков. Нарком танковой промышленности при</w:t>
      </w:r>
      <w:r w:rsidRPr="00271E51">
        <w:rPr>
          <w:rFonts w:ascii="Times New Roman" w:hAnsi="Times New Roman"/>
          <w:color w:val="000000" w:themeColor="text1"/>
          <w:sz w:val="16"/>
          <w:szCs w:val="16"/>
        </w:rPr>
        <w:softHyphen/>
        <w:t>казал считать главной работой ОКБ ЧКЗ на период февраль — апрель -повышение качества танков ИС-2. На период доводки конструкции и отработки технологии серийного производства танков и САУ замести</w:t>
      </w:r>
      <w:r w:rsidRPr="00271E51">
        <w:rPr>
          <w:rFonts w:ascii="Times New Roman" w:hAnsi="Times New Roman"/>
          <w:color w:val="000000" w:themeColor="text1"/>
          <w:sz w:val="16"/>
          <w:szCs w:val="16"/>
        </w:rPr>
        <w:softHyphen/>
        <w:t>тель наркома и главный конструктор наркомата Ж.Я. Котин по совмес</w:t>
      </w:r>
      <w:r w:rsidRPr="00271E51">
        <w:rPr>
          <w:rFonts w:ascii="Times New Roman" w:hAnsi="Times New Roman"/>
          <w:color w:val="000000" w:themeColor="text1"/>
          <w:sz w:val="16"/>
          <w:szCs w:val="16"/>
        </w:rPr>
        <w:softHyphen/>
        <w:t>тительству был назначен главным конструктором ЧКЗ, а Н.Л. Духов -его заместителем. Нарком танковой промышленности В.А. Малышев запретил заниматься разработкой новых танков и САУ и дал указание испытывать 300-км сдаточным пробегом по одному танку и САУ из каждых 50 изготовленных, а также ежемесячно по одному танку и САУ испытывать на гарантийный пробег в 1000 км (10703).</w:t>
      </w:r>
    </w:p>
    <w:p w14:paraId="0E17AA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DD0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27 по 31 дека</w:t>
      </w:r>
      <w:r w:rsidRPr="00271E51">
        <w:rPr>
          <w:rFonts w:ascii="Times New Roman" w:hAnsi="Times New Roman"/>
          <w:color w:val="000000" w:themeColor="text1"/>
          <w:sz w:val="16"/>
          <w:szCs w:val="16"/>
        </w:rPr>
        <w:softHyphen/>
        <w:t>бря 1943 г. на Гороховецком АНИОПе, испытаниями опытных образцов 85-мм танковых пушек ЛБ-1, С-50 и С-53, определена возможность установки 85-мм пушки С-53 в серийном танке Т-34.</w:t>
      </w:r>
    </w:p>
    <w:p w14:paraId="0A75C6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своем заключении комиссия совершенно правильно отмечает, что установка 85-мм пушки в танке Т-34 со штатным погоном (диаметр погона 1420 мм) возможна лишь как временная мера, так как условия работы экипажа в танке с этой пушкой значительно затруднены.</w:t>
      </w:r>
    </w:p>
    <w:p w14:paraId="635A8B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при этой пушке в башне танка могут стесненно работать только два человека, следо</w:t>
      </w:r>
      <w:r w:rsidRPr="00271E51">
        <w:rPr>
          <w:rFonts w:ascii="Times New Roman" w:hAnsi="Times New Roman"/>
          <w:color w:val="000000" w:themeColor="text1"/>
          <w:sz w:val="16"/>
          <w:szCs w:val="16"/>
        </w:rPr>
        <w:softHyphen/>
        <w:t>вательно, разместить там третьего человека — командира танка невозможно.</w:t>
      </w:r>
    </w:p>
    <w:p w14:paraId="23A507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Отсутствие командира танка в башне, который обычно ведет наблюдение за полем боя и кор</w:t>
      </w:r>
      <w:r w:rsidRPr="00271E51">
        <w:rPr>
          <w:rFonts w:ascii="Times New Roman" w:hAnsi="Times New Roman"/>
          <w:color w:val="000000" w:themeColor="text1"/>
          <w:sz w:val="16"/>
          <w:szCs w:val="16"/>
        </w:rPr>
        <w:softHyphen/>
        <w:t>ректировку огня, неизбежно отразится на том, что мощное вооружение танка не будет полностью использовано.</w:t>
      </w:r>
    </w:p>
    <w:p w14:paraId="0D285C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Дальнейшие работы по повышению меткости стрельбы из танка Т-34 (установка стабилизаторов пушек и механизмов поворота башен, позволяющих получить плавную наводку), при штатном диа</w:t>
      </w:r>
      <w:r w:rsidRPr="00271E51">
        <w:rPr>
          <w:rFonts w:ascii="Times New Roman" w:hAnsi="Times New Roman"/>
          <w:color w:val="000000" w:themeColor="text1"/>
          <w:sz w:val="16"/>
          <w:szCs w:val="16"/>
        </w:rPr>
        <w:softHyphen/>
        <w:t>метре погона башни, проводить невозможно.</w:t>
      </w:r>
    </w:p>
    <w:p w14:paraId="6069A4E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2224. Л. 42. Копия (11403).</w:t>
      </w:r>
    </w:p>
    <w:p w14:paraId="4FE71A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A43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было подготовлено СООБЩЕНИЕ ЗАМЕСТИТЕЛЯ НАЧАЛЬНИКА ШТАБА ИНЖЕНЕРНЫХ ВОЙСК КА НАЧАЛЬНИКУ ШТАБА ГБТУ КА О НЕМЕЦКОЙ ТАНКЕТКЕ, УПРАВЛЯЕМОЙ ПО РАДИО №1318</w:t>
      </w:r>
    </w:p>
    <w:p w14:paraId="0939467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Направляю для ознакомления «Краткое описание немецкой танкетки, управляемой по радио». Приложение: описание на 5 листах, фотоснимков — 2.</w:t>
      </w:r>
    </w:p>
    <w:p w14:paraId="755199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штаба инженерных войск Красной Армии полковник Яковлев</w:t>
      </w:r>
    </w:p>
    <w:p w14:paraId="566D37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пом. начальника оперативного отдела подполковник Щукин</w:t>
      </w:r>
    </w:p>
    <w:p w14:paraId="36E5A5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p>
    <w:p w14:paraId="22FB6C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Краткое описание немецкой танкетки, управляемой по радио</w:t>
      </w:r>
      <w:r w:rsidRPr="00271E51">
        <w:rPr>
          <w:rFonts w:ascii="Times New Roman" w:hAnsi="Times New Roman"/>
          <w:color w:val="000000" w:themeColor="text1"/>
          <w:sz w:val="16"/>
          <w:szCs w:val="16"/>
          <w:vertAlign w:val="superscript"/>
        </w:rPr>
        <w:t>1</w:t>
      </w:r>
    </w:p>
    <w:p w14:paraId="227D47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Назначение и тактико-технические данные.</w:t>
      </w:r>
    </w:p>
    <w:p w14:paraId="3B2284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Танкетка предназначается для подрывания военных объектов посредством взрыва возимого ею заряда.</w:t>
      </w:r>
    </w:p>
    <w:p w14:paraId="36342D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Управление танкеткой производится по радио. Объект можно подрывать двумя способами:</w:t>
      </w:r>
    </w:p>
    <w:p w14:paraId="0AC33C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взрывом заряда без танкетки;</w:t>
      </w:r>
    </w:p>
    <w:p w14:paraId="7EEF3E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взрывом заряда вместе с танкеткой.</w:t>
      </w:r>
    </w:p>
    <w:p w14:paraId="3B3443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первом случае танкетка служит только для доставки заряда ВВ к объекту взрыва. Заряд у объ</w:t>
      </w:r>
      <w:r w:rsidRPr="00271E51">
        <w:rPr>
          <w:rFonts w:ascii="Times New Roman" w:hAnsi="Times New Roman"/>
          <w:color w:val="000000" w:themeColor="text1"/>
          <w:sz w:val="16"/>
          <w:szCs w:val="16"/>
        </w:rPr>
        <w:softHyphen/>
        <w:t>екта взрыва сбрасывается автоматически.</w:t>
      </w:r>
    </w:p>
    <w:p w14:paraId="5F11DA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случае отказа механизма сбрасывания заряда или в силу необходимости, диктуемой боевой обстановкой, танкетка подрывается вместе с зарядом.</w:t>
      </w:r>
    </w:p>
    <w:p w14:paraId="4B0ADB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Танкетка может быть использована для подрыва железнодорожных сооружений, так как допу</w:t>
      </w:r>
      <w:r w:rsidRPr="00271E51">
        <w:rPr>
          <w:rFonts w:ascii="Times New Roman" w:hAnsi="Times New Roman"/>
          <w:color w:val="000000" w:themeColor="text1"/>
          <w:sz w:val="16"/>
          <w:szCs w:val="16"/>
        </w:rPr>
        <w:softHyphen/>
        <w:t>скается замена гусениц специальными ж.д. колесными станками.</w:t>
      </w:r>
    </w:p>
    <w:p w14:paraId="7A8BE6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передвижении вне зоны боевого применения танкетка управляется водителем.</w:t>
      </w:r>
    </w:p>
    <w:p w14:paraId="64063D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Радиус действия танкетки при управлении с радиостанции определяется расстоянием, обеспе</w:t>
      </w:r>
      <w:r w:rsidRPr="00271E51">
        <w:rPr>
          <w:rFonts w:ascii="Times New Roman" w:hAnsi="Times New Roman"/>
          <w:color w:val="000000" w:themeColor="text1"/>
          <w:sz w:val="16"/>
          <w:szCs w:val="16"/>
        </w:rPr>
        <w:softHyphen/>
        <w:t>чивающим видимость танкетки и объекта взрыва с пункта управления.</w:t>
      </w:r>
    </w:p>
    <w:p w14:paraId="5E6770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Шасси и моторная часть.</w:t>
      </w:r>
    </w:p>
    <w:p w14:paraId="415E37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Габарит танкетки: длина 3,2 м, ширина 1,8 м, высота 1,2 м, толщина брони -10 мм.</w:t>
      </w:r>
    </w:p>
    <w:p w14:paraId="567835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Танкетка приводится в движение шестицилиндровым двигателем внутреннего сгорания. Мощность двигателя около 50-60 л.с.</w:t>
      </w:r>
    </w:p>
    <w:p w14:paraId="5CB411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 расположен в задней части танкетки. Муфта соединена гибким валом с коробкой ско</w:t>
      </w:r>
      <w:r w:rsidRPr="00271E51">
        <w:rPr>
          <w:rFonts w:ascii="Times New Roman" w:hAnsi="Times New Roman"/>
          <w:color w:val="000000" w:themeColor="text1"/>
          <w:sz w:val="16"/>
          <w:szCs w:val="16"/>
        </w:rPr>
        <w:softHyphen/>
        <w:t>ростей. Последняя имеет два рычага управления. Первый рычаг — рычаг скоростей, который может иметь три фиксированных положения:</w:t>
      </w:r>
    </w:p>
    <w:p w14:paraId="030F24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нижнее (малая скорость);</w:t>
      </w:r>
    </w:p>
    <w:p w14:paraId="76F073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среднее-нейтральное (холостой ход);</w:t>
      </w:r>
    </w:p>
    <w:p w14:paraId="018D5F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верхнее (большая скорость).</w:t>
      </w:r>
    </w:p>
    <w:p w14:paraId="2799B2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Второй рычаг — рычаг изменения направления движения с предыдущего на последующее обратное: переводом рычага из нижнего положения в крайнее верхнее и обратно в нижние положе</w:t>
      </w:r>
      <w:r w:rsidRPr="00271E51">
        <w:rPr>
          <w:rFonts w:ascii="Times New Roman" w:hAnsi="Times New Roman"/>
          <w:color w:val="000000" w:themeColor="text1"/>
          <w:sz w:val="16"/>
          <w:szCs w:val="16"/>
        </w:rPr>
        <w:softHyphen/>
        <w:t>ние осуществляется переключение хода с переднего на задний или с заднего на передний.</w:t>
      </w:r>
    </w:p>
    <w:p w14:paraId="4E5EAF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Коробка скоростей соединена с дифференциальным механизмом. От дифференциального механизма движение передается через промежуточные шестерни на ведущие колеса гусениц.</w:t>
      </w:r>
    </w:p>
    <w:p w14:paraId="217BE3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11355. Д. 2182. Л. 10-11. Подлинник (11403).</w:t>
      </w:r>
    </w:p>
    <w:p w14:paraId="28D025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352730"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Распоряжение ГКО № 4836 [Об освобождении Мурманского облисполкома от мобилизации 245 возчиков с лошадьми и о завозе в Мурманскую обл. 150 лошадей, поступающих по импорту.] (7166, 19).</w:t>
      </w:r>
    </w:p>
    <w:p w14:paraId="162D393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82E6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27 декабря 1943 вышло Распоряжение ГКО № 4837 [О передаче НКХП для Горловского азотного завода шахты № 74 треста "Орджоникидзеуголь".] (7166, 20).</w:t>
      </w:r>
    </w:p>
    <w:p w14:paraId="4F19B75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BFA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Распоряжение ГКО № 4838. О восстановлении прежнего порядка перевозки торфа для завода № 233 НКПСМ СССР, во избежание срыва производства танковых призм.РГАНИР, Фонд ГКО, д. 184, лл. 21 (11012).</w:t>
      </w:r>
    </w:p>
    <w:p w14:paraId="02F4FF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98A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Распоряжение ГКО № 4839. О направлении 250 физически здоровых военнообязанных на постоянную работу на картонную фабрику им. Калинина.РГАНИР, Фонд ГКО, д. 184, лл. 22 (11012).</w:t>
      </w:r>
    </w:p>
    <w:p w14:paraId="19634B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8F9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4840 О восстановлении завода карусельных станков им. Седина Наркомстанкостроения и организации производства металлорежущих станков на заводе им. Фрунзе Наркомстанкостроения.РГАНИР, Фонд ГКО, д. 184, лл. 23-29, 30-38 (11012).</w:t>
      </w:r>
    </w:p>
    <w:p w14:paraId="378DED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DAF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4841 О мероприятиях по увеличению производства танковых призм на заводах Наркомстройматериалов СССР.РГАНИР, Фонд ГКО, д. 184, лл. 39-42, 43-45 (11012).</w:t>
      </w:r>
    </w:p>
    <w:p w14:paraId="0591F3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3EC9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4842 Об организации производства 25 мм патронов на заводе № 248 (г. Подольск) Наркомата боеприпасов.РГАНИР, Фонд ГКО, д. 184, лл. 46-48, 49-53 (11012).</w:t>
      </w:r>
    </w:p>
    <w:p w14:paraId="42BDA6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3FA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 в соответствии с пост.ениями ГКО № 4842 и № 4885 от 5.01.1944 г. на вновь создаваемом заводе № 248 НКБ организовано производство зенитных 25-мм патронов (11982).</w:t>
      </w:r>
    </w:p>
    <w:p w14:paraId="13957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9DF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4843 О мероприятиях по обеспечению поставки авиафанерной березы, авиационной сосны и авиалесоматериалов.РГАНИР, Фонд ГКО, д. 184, лл. 54-64, 65-67 (11012).</w:t>
      </w:r>
    </w:p>
    <w:p w14:paraId="3DBA5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221D4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4844 О производстве парашютно-десантного имущества Наркомлегпромом СССР в I квартале 1944 года. (7166, 68-70,71-79).</w:t>
      </w:r>
    </w:p>
    <w:p w14:paraId="04CB1294"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478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4845 Об организации специализированных ремесленных училищ авиационной промышленности.РГАНИР, Фонд ГКО, д. 184, лл. 80-85, 86-93 (11012).</w:t>
      </w:r>
    </w:p>
    <w:p w14:paraId="43CE85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441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4846 О закреплении наличного металла, скрапа, огнеупоров, топлива, леса и других материальных ценностей на Ново- и Старо-Крамоторских заводах (Донбасс) за Наркомтяжмашем для восстановления заводов металлургического и котлотурбинного производства.РГАНИР, Фонд ГКО, д. 184, лл. 94 (11012).</w:t>
      </w:r>
    </w:p>
    <w:p w14:paraId="3DF236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C14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4847 О т.т. Грушевом К.С., Бочарове Л.П., Соломко П.М., Крайнове П.И., Слонь М.В. и Булдович Р.Е.РГАНИР, Фонд ГКО, д. 184, лл. 95 (11012).</w:t>
      </w:r>
    </w:p>
    <w:p w14:paraId="2043C6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713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4848 О т.т. Чернышеве Ф.Ф. и Доронине Я.А.РГАНИР, Фонд ГКО, д. 184, лл. 96 (11012).</w:t>
      </w:r>
    </w:p>
    <w:p w14:paraId="6D13E0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EC6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4849 О производстве моторов М-107 А на заводе № 26 Наркомавиапрома.РГАНИР, Фонд ГКО, д. 184, лл. 97-101, 102-123 (11012).</w:t>
      </w:r>
    </w:p>
    <w:p w14:paraId="364EC4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B5A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Постановление ГКО № 4851 О проектировании, изготовлении и испытаниях опытных образцов артиллерийских орудий для танков и артиллерийских самоходных установок.РГАНИР, Фонд ГКО, д. 184, лл. 128-132 (11012).</w:t>
      </w:r>
    </w:p>
    <w:p w14:paraId="426E54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D1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года ГКО принял постановление №4851 о вооружении средней САУ 100-мм орудием (3862).</w:t>
      </w:r>
    </w:p>
    <w:p w14:paraId="794494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24F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декабре 1943 года, учитывая, что в дальнейшем у противника могут появиться новые танки с более мощным бронированием, ГКО специальным постановлением предписал спроектировать и изготовить к апрелю 1944 года самоходно-артиллерийские установки с орудиями повышенной мощности: </w:t>
      </w:r>
    </w:p>
    <w:p w14:paraId="0EB234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со 122-мм пушкой, имеющей начальную скорость 1000 м/с при массе снаряда в 25 кг; </w:t>
      </w:r>
    </w:p>
    <w:p w14:paraId="65A73E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со 130-мм пушкой, имеющей начальную скорость 900 м/с при массе снаряда в 33,4 кг; </w:t>
      </w:r>
    </w:p>
    <w:p w14:paraId="5C1498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со 152-мм пушкой, имеющей начальную скорость 880 м/с при массе снаряда в 43,5 кг. </w:t>
      </w:r>
    </w:p>
    <w:p w14:paraId="1D1CDA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Все эти орудия пробивали броню толщиной 200 мм на дистанции 1500 — 2000 м. </w:t>
      </w:r>
    </w:p>
    <w:p w14:paraId="76ED55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ходе выполнения этого постановления были созданы и в 1944 — 1945 годах испытаны артсамоходы: </w:t>
      </w:r>
    </w:p>
    <w:p w14:paraId="09F481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ИСУ-122-1 (объект 243) со 122-мм пушкой БЛ-9, ИСУ-122-3 (объект 251) со 122-мм пушкой С-26-1, ИСУ-130 (объект 250) со 130-мм пушкой С-26; </w:t>
      </w:r>
    </w:p>
    <w:p w14:paraId="04060E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ИСУ-152-1 (объект 246) со 152-мм пушкой БЛ-8 и ИСУ-152-2 (объект 247) со 152-мм пушкой БЛ-10. </w:t>
      </w:r>
    </w:p>
    <w:p w14:paraId="776190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Пушки БЛ-8, БЛ-9 и БЛ-10 разработало ОКБ-172 (не путать с заводом № 172), все конструкторы которого являлись заключенными. Отсюда и расшифровка буквенной аббревиатуры в индексах установок: «БЛ» — Берия Лаврентий. </w:t>
      </w:r>
    </w:p>
    <w:p w14:paraId="74F9F6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БЛ-9 (ОБМ-50) была сконструирована под руководством И.И.Иванова. Она имела поршневой затвор и оснащалась системой продувки канала ствола сжатым воздухом. Углы вертикального наведения составляли от -2° до +18°30', по горизонтали — в секторе 9°30' (вправо — 7°, влево — 2°30'). При стрельбе использовались телескопический прицел СТ-18 и панорама Герца. Приводы наведения орудия — такие же, как у самоходной установки ИСУ-122. Уравновешивание качающейся части относительно оси цапф производилось с помощью грузов, прикрепленных к неподвижной части ограждения пушки. В боекомплект установки входил 21 выстрел раздельно-гильзового заряжания с бронебойными снарядами. Начальная скорость бронебойного снаряда при массе 11,9 кг составляла 1007 м/с и на 200 м/с превышала аналогичный показатель 122-мм пушки Д-25. Конструкция корпуса и броневой рубки, силовая установка, трансмиссия, ходовая часть и электрооборудование машины были заимствованы у самоходной установки ИСУ-122. Для внешней связи служила радиостанция 10-РК-26, для внутренней — танковое переговорное устройство ТПУ-4БИС-Ф (11638).</w:t>
      </w:r>
    </w:p>
    <w:p w14:paraId="3484B2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894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вышло Распоряжение ГКО № 4852. О мерах по обеспечению производства авиапоковок на заводах НКЧМ и НКСМ.РГАНИР, Фонд ГКО, д. 184, лл. 133 (11012).</w:t>
      </w:r>
    </w:p>
    <w:p w14:paraId="66E8AA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301BF" w14:textId="77777777" w:rsidR="0099673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DC6A3CC" w14:textId="77777777" w:rsidR="00996736" w:rsidRPr="00271E51" w:rsidRDefault="0099673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6B7C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27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434531F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декабря на Витебском направлении наши войска продолжали вести наступательные бои, в ходе которых заняли более 30 населённых пунктов и среди них населённые пункты Новосёлки, Дворище, Худени,Силки, Шухвосты, Тринивки, Лущиха, Тякова. Нашими войсками перерезана железная дорога Витебск—Полоцк.</w:t>
      </w:r>
    </w:p>
    <w:p w14:paraId="509BE24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 развивать наступление и овладели районными центрами Житомирской области Андрушевка, Вчерайше, а также заняли более 100 других населённых пунктов, среди которых крупные населённые пункты Борщёв, Верлоок, Кичкиры, Глиница, Юровка, Ивановка, Ленино, Минины,Городск, Радовка, Шахворо-Стивка, Ивница, Степок, Яроповичи, Волица, Зарубинцы, Забара, Миньковцы, Лебединцы, Бровки, Хорлеевка, Макаровка, Андрушки, Парипсы, Саверцы, Почуйки, Кожанка, Трилесы, Новоселица, Яхны и железнодорожные станции Яроповичи, Степок, Трилесы, Кожанка, Парипсы, Бровки, Андрушевка.</w:t>
      </w:r>
    </w:p>
    <w:p w14:paraId="07445AB8"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наши войска отбили атаки пехоты и танков противника.</w:t>
      </w:r>
    </w:p>
    <w:p w14:paraId="6458FCA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других участках фронта — разведка и артиллерийско-миномётная перестрелка.</w:t>
      </w:r>
    </w:p>
    <w:p w14:paraId="44E1EBF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26 декабря наши войска на всех фронтах подбили и уничтожили 95 немецких танков.</w:t>
      </w:r>
    </w:p>
    <w:p w14:paraId="2A260CEB"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с боями продвигались вперёд и заняли свыше 30 населённых пунктов. Северо-западнее Витебска немцы подтянули резервы и предприняли более двадцати контратак. В ходе ожесточённых боёв отдельные населённые пункты по нескольку раз переходили из рук в руки. Умелым манёвром советские части опрокинули противника и, быстро продвинувшись вперёд, перерезали железную дорогу Витебск — Полоцк. За день боёв на этом участке уничтожено до 2 тысяч немецких солдат и офицеров. Севернее, восточнее и юго-восточнее Витебска наши войска, преодолевая сопротивление противника, укрепившегося на промежуточных оборонительных рубежах, заняли ряд населённых пунктов. Подбито и сожжено 19 немецких танков. Захвачено у немцев 10 орудий, 14 миномётов, 40 пулемётов и несколько складов с боеприпасами.</w:t>
      </w:r>
    </w:p>
    <w:p w14:paraId="10CA50F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успешное наступление. Стремительно продвигаясь вперёд, советские бойцы овладели районными центрами Житомирской области Андрушевка, Вчерайше, а также заняли более 100 других населённых пунктов и несколько железнодорожных станций. Преследуя отступающего противника и ликвидируя очаги его сопротивления, наши войска захватили много вооружения, боеприпасов и военного имущества. Немцы несут огромные потери. Только в боях зарайонный центр и железнодорожную станцию Андрушевка наши пехотинцы и танкисты уничтожили до двух батальонов гитлеровцев, захватили 7 танков типа «Тигр», 6 самоходных и 20 полевых орудий, 90 пулемётов, два склада боеприпасов и крупный склад с обмундированием. Бойцы Н-ской части внезапным ударом разгромили штаб немецкого полка. Поспешно отступая, гитлеровцы оставили 8 исправных танков, 4 артиллерийских батареи и вещевой склад. На другом участке три полка мотопехоты и несколько десятков немецких танков оказывали упорное сопротивление вашим наступающим войскам. Советские части вышли на фланги вражеской группировки и стремительными ударами сломили сопротивление противника. В этом бою уничтожено свыше 40 танков, и до 2.000 немецких солдат и офицеров. Взято много пленных.</w:t>
      </w:r>
    </w:p>
    <w:p w14:paraId="3C90D30C"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танки и пехота противника атаковали наши позиции. В ожесточённом бою наши войска нанесли гитлеровцам тяжёлый урон и вынудили их отступить. На поле боя осталась до 600 трупов немецких солдат и офицеров.</w:t>
      </w:r>
    </w:p>
    <w:p w14:paraId="1AFD397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Наши артиллеристы и бронебойщики подбили 9 танков и 4 самоходных орудия противника. На другом участке артиллеристы и миномётчики Н-ской части произвели огневой налёт на скопление немецкой пехоты. Рассеяно и частью уничтожено до батальона гитлеровцев.</w:t>
      </w:r>
    </w:p>
    <w:p w14:paraId="7F93713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Партизаны литовского отряда «За свободу Родины» пустили под откос два немецких воинских эшелона, следовавших к линии фронта. В результате крушений разбиты паровоз и 10 вагонов с военными грузами. Другой отряд литовских партизан проник на железнодорожную станцию и поджёг немецкие склады с военным имуществом.10 декабря партизаны напали на немцев, грабивших население одной деревни. Советские патриоты истребили 34 гитлеровца. Награбленное немцами имущество возвращено населению.</w:t>
      </w:r>
    </w:p>
    <w:p w14:paraId="566B07AC"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солдат, шофёр штабной роты 172 полка 75 немецкой пехотной дивизии Вальтер Эссимюллер рассказал: «Русские нанесли нашей дивизии огромный урон. Мне приходилось перевозить сотни трупов солдат и офицеров, которые наскоро закапывались где и как попало. В 172 и 202 полках осталось по 300 солдат, а 222 полк был целиком уничтожен. В артполку сохранилась лишь одна батарея. В ноябре части дивизии вновь были пополнены. Все надеялись хотя бы на кратковременный отдых, но эти надежды не сбылись. Русские неожиданно и быстро нанесли нам новый удар. Началась форменная паника. Командир штабной роты обер-лейтенант Тюнец, размахивая пистолетом, вскочил на мою машину и приказал ехать как можно быстрее. По дороге бежали солдаты и офицеры. Они стреляли по шофёрам, которые не останавливали машин и не брали их с собою. Как ни погонял меня обер-лейтенант, нам всё же не удалось далеко уехать. Кругом были русские. Тюнец пытался бежать, и был убит. Я поднял руки и сдался в плен».</w:t>
      </w:r>
    </w:p>
    <w:p w14:paraId="6312306B"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в деревне Куксиха, Калининской области: «Отступая из нашей деревни, немецкие захватчики задались преступной целью уничтожить всех мирных жителей. Гитлеровцы на танках разъезжали по деревне и из пулемётов расстреливали население. В этот день от рук фашистских палачей погибли Анастасия Жгун и трое её малолетних детей, Пелагея Болышаченко, Фёдор Болышаченко, Федосья Захарченко и другие взрослые и дети. Остальных жителей деревни спасли бойцы Красной Армии, которые очень быстро прогнали фашистских разбойников».</w:t>
      </w:r>
    </w:p>
    <w:p w14:paraId="4BD85808"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деревни: М.Захарченко, Е.Анютина, Д.Захарченко, Л.Лещенко, Ф.Захарченко, Ф.Лещенко и другие.» (14873).</w:t>
      </w:r>
    </w:p>
    <w:p w14:paraId="45B5F89B"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710F3A0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03147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92CA8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27 декабря</w:t>
      </w:r>
      <w:r w:rsidRPr="00271E51">
        <w:rPr>
          <w:rFonts w:ascii="Times New Roman" w:hAnsi="Times New Roman"/>
          <w:color w:val="000000" w:themeColor="text1"/>
          <w:sz w:val="16"/>
          <w:szCs w:val="16"/>
        </w:rPr>
        <w:t xml:space="preserve"> в 1943 году во время преследования нарушителя блокады в Бискайском заливе произошел бой 11 германских крейсеров и торпедных катеров с 2 английскими крейсерами. Потоплены 3 немецких торпедных катера (14873).</w:t>
      </w:r>
    </w:p>
    <w:p w14:paraId="73719DCC"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68BF90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декабря 1943 армия взяла под контроль американские ж/д, чтобы предотвратить забастовку (2100).</w:t>
      </w:r>
    </w:p>
    <w:p w14:paraId="1820D0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CFBD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61B66B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14C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 машина Як-9 М-107А поступила на заводские испытания. Вел их Н.К.Скржинский, который замещал главного конструктора А.С.Яковлева на заводе №166. Всего восемь полетов понадобилось выполнить заводскому летчику-испытателю А.И.Кокину, чтобы подготовить благоприятное заключение по самолету. В отчете об испытаниях он писал: "...В начале разбега и в момент отрыва совершенно не чувствуется какой бы то ни было вялости в поведении самолета. С первого мгновения дачи полного газа самолет управляем и чувствуется, что он очень “плотно сидит” в воздухе... Набор высоты на скорости 290 км/ч по прибору происходит с большим углом подъема, что несколько неудобно, т. к. не чувствуется земли... Необходимо отметить хорошую приемистость мотора и самолета...”</w:t>
      </w:r>
    </w:p>
    <w:p w14:paraId="1A1C53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отчете по заводским испытаниям практически не отмечалось каких-либо недостатков истребителя. Мотор работал ровно, а температурный режим воды и масла находился в пределах нормы. По всему было видно, что А.И.Кокину самолет понравился (4842).</w:t>
      </w:r>
    </w:p>
    <w:p w14:paraId="4BA8E3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CDD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28 декабря 1943 закончились заводские испытания Як-9У с ВК-107А и ВИШ-107ЛО и 2хШВАК + 2хУБ (4237,34).</w:t>
      </w:r>
    </w:p>
    <w:p w14:paraId="535BBA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ED74E"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28 декабря</w:t>
      </w:r>
      <w:r w:rsidRPr="00271E51">
        <w:rPr>
          <w:rFonts w:ascii="Times New Roman" w:hAnsi="Times New Roman"/>
          <w:color w:val="000000" w:themeColor="text1"/>
          <w:sz w:val="16"/>
          <w:szCs w:val="16"/>
        </w:rPr>
        <w:t xml:space="preserve"> в 1943 году начались заводские испытания «Як-9У» (улучшенный) с новым более мощным (1500 л.с.), высотным двигателем «ВК-107А» и трехлопастным винтом «ВИШ-107ЛО» диаметром 3,1 м (14874).</w:t>
      </w:r>
    </w:p>
    <w:p w14:paraId="4B9681BC"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67FBDE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начались заводские испытания Як-9У, а в январе следующего года самолет с винтом обратной схемы АВ-ЮП-20, замененным впоследствии ВИШ-107Л5, поступил на государственные испытания в НИИ ВВС. Ведущими по машине были инженер А.Т. Степанец и летчик А.Г. Прошаков. Самолет облетали Ю.А. Антипов и А.Г. Кубышкин. С 18 января по 20 апреля военные летчики-испытатели 45 раз поднимались на нем в воздух, налетав 22 часа 5 минут.</w:t>
      </w:r>
    </w:p>
    <w:p w14:paraId="4487DB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2AF839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0FCD9F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5E603B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2CE868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6AEC19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7E8DDE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23B040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3B9784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3EBF39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490585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73DF73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5E5E63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660E49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4D1728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0C8A45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2F9515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6CD2CAFF" w14:textId="77777777" w:rsidTr="00ED5B0A">
        <w:tc>
          <w:tcPr>
            <w:tcW w:w="1868" w:type="dxa"/>
            <w:tcBorders>
              <w:top w:val="single" w:sz="12" w:space="0" w:color="auto"/>
            </w:tcBorders>
          </w:tcPr>
          <w:p w14:paraId="05573F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868" w:type="dxa"/>
            <w:tcBorders>
              <w:top w:val="single" w:sz="12" w:space="0" w:color="auto"/>
            </w:tcBorders>
          </w:tcPr>
          <w:p w14:paraId="7F195B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0ADC63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43EB0B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2B14A1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ЯК-9УТ</w:t>
            </w:r>
          </w:p>
        </w:tc>
        <w:tc>
          <w:tcPr>
            <w:tcW w:w="1868" w:type="dxa"/>
            <w:tcBorders>
              <w:top w:val="single" w:sz="12" w:space="0" w:color="auto"/>
            </w:tcBorders>
          </w:tcPr>
          <w:p w14:paraId="517E1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ЯК-9УВ</w:t>
            </w:r>
          </w:p>
        </w:tc>
      </w:tr>
      <w:tr w:rsidR="00A907A5" w:rsidRPr="00271E51" w14:paraId="626B1C9C" w14:textId="77777777" w:rsidTr="00ED5B0A">
        <w:tc>
          <w:tcPr>
            <w:tcW w:w="1868" w:type="dxa"/>
          </w:tcPr>
          <w:p w14:paraId="6DC287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E49F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FB7AD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tc>
        <w:tc>
          <w:tcPr>
            <w:tcW w:w="1868" w:type="dxa"/>
          </w:tcPr>
          <w:p w14:paraId="1481AB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A62F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40-022</w:t>
            </w:r>
          </w:p>
        </w:tc>
        <w:tc>
          <w:tcPr>
            <w:tcW w:w="1868" w:type="dxa"/>
          </w:tcPr>
          <w:p w14:paraId="7B896E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2C40362" w14:textId="77777777" w:rsidTr="00ED5B0A">
        <w:tc>
          <w:tcPr>
            <w:tcW w:w="1868" w:type="dxa"/>
          </w:tcPr>
          <w:p w14:paraId="42356A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c>
        <w:tc>
          <w:tcPr>
            <w:tcW w:w="1868" w:type="dxa"/>
          </w:tcPr>
          <w:p w14:paraId="1645BA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081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М-105ПФ21</w:t>
            </w:r>
          </w:p>
        </w:tc>
        <w:tc>
          <w:tcPr>
            <w:tcW w:w="1868" w:type="dxa"/>
          </w:tcPr>
          <w:p w14:paraId="2D607F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ВК-107А</w:t>
            </w:r>
          </w:p>
        </w:tc>
        <w:tc>
          <w:tcPr>
            <w:tcW w:w="1868" w:type="dxa"/>
          </w:tcPr>
          <w:p w14:paraId="69F922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ВК-107А</w:t>
            </w:r>
          </w:p>
        </w:tc>
        <w:tc>
          <w:tcPr>
            <w:tcW w:w="1868" w:type="dxa"/>
          </w:tcPr>
          <w:p w14:paraId="15B02D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9439F8" w14:textId="77777777" w:rsidTr="00ED5B0A">
        <w:tc>
          <w:tcPr>
            <w:tcW w:w="1868" w:type="dxa"/>
          </w:tcPr>
          <w:p w14:paraId="54C27D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44423D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4D4C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7C7575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38D4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3C39DB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r>
      <w:tr w:rsidR="00A907A5" w:rsidRPr="00271E51" w14:paraId="1314B4B4" w14:textId="77777777" w:rsidTr="00ED5B0A">
        <w:tc>
          <w:tcPr>
            <w:tcW w:w="1868" w:type="dxa"/>
          </w:tcPr>
          <w:p w14:paraId="5B8088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868" w:type="dxa"/>
          </w:tcPr>
          <w:p w14:paraId="6D0E0D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F29A5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1868" w:type="dxa"/>
          </w:tcPr>
          <w:p w14:paraId="0BC76E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DA37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5A9B4E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r>
      <w:tr w:rsidR="00A907A5" w:rsidRPr="00271E51" w14:paraId="2A069F4C" w14:textId="77777777" w:rsidTr="00ED5B0A">
        <w:tc>
          <w:tcPr>
            <w:tcW w:w="1868" w:type="dxa"/>
          </w:tcPr>
          <w:p w14:paraId="1C6528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мг</w:t>
            </w:r>
          </w:p>
        </w:tc>
        <w:tc>
          <w:tcPr>
            <w:tcW w:w="1868" w:type="dxa"/>
          </w:tcPr>
          <w:p w14:paraId="6FD41D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775D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3DCD50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890D5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376147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r>
      <w:tr w:rsidR="00A907A5" w:rsidRPr="00271E51" w14:paraId="236E429B" w14:textId="77777777" w:rsidTr="00ED5B0A">
        <w:tc>
          <w:tcPr>
            <w:tcW w:w="1868" w:type="dxa"/>
          </w:tcPr>
          <w:p w14:paraId="5B19E0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кг</w:t>
            </w:r>
          </w:p>
        </w:tc>
        <w:tc>
          <w:tcPr>
            <w:tcW w:w="1868" w:type="dxa"/>
          </w:tcPr>
          <w:p w14:paraId="0AD8C3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DB14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9E80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BB9A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270E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8B6ED12" w14:textId="77777777" w:rsidTr="00ED5B0A">
        <w:tc>
          <w:tcPr>
            <w:tcW w:w="1868" w:type="dxa"/>
          </w:tcPr>
          <w:p w14:paraId="57FE00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нормальный</w:t>
            </w:r>
          </w:p>
        </w:tc>
        <w:tc>
          <w:tcPr>
            <w:tcW w:w="1868" w:type="dxa"/>
          </w:tcPr>
          <w:p w14:paraId="465811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AA5D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w:t>
            </w:r>
          </w:p>
        </w:tc>
        <w:tc>
          <w:tcPr>
            <w:tcW w:w="1868" w:type="dxa"/>
          </w:tcPr>
          <w:p w14:paraId="11C49C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EB1D3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3260</w:t>
            </w:r>
          </w:p>
        </w:tc>
        <w:tc>
          <w:tcPr>
            <w:tcW w:w="1868" w:type="dxa"/>
          </w:tcPr>
          <w:p w14:paraId="471416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3128</w:t>
            </w:r>
          </w:p>
        </w:tc>
      </w:tr>
      <w:tr w:rsidR="00A907A5" w:rsidRPr="00271E51" w14:paraId="462E892D" w14:textId="77777777" w:rsidTr="00ED5B0A">
        <w:tc>
          <w:tcPr>
            <w:tcW w:w="1868" w:type="dxa"/>
          </w:tcPr>
          <w:p w14:paraId="4CB1BF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868" w:type="dxa"/>
          </w:tcPr>
          <w:p w14:paraId="5A1BDE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2570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2244</w:t>
            </w:r>
          </w:p>
        </w:tc>
        <w:tc>
          <w:tcPr>
            <w:tcW w:w="1868" w:type="dxa"/>
          </w:tcPr>
          <w:p w14:paraId="095326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5F02A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2467</w:t>
            </w:r>
          </w:p>
        </w:tc>
        <w:tc>
          <w:tcPr>
            <w:tcW w:w="1868" w:type="dxa"/>
          </w:tcPr>
          <w:p w14:paraId="79A190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2505</w:t>
            </w:r>
          </w:p>
        </w:tc>
      </w:tr>
      <w:tr w:rsidR="00A907A5" w:rsidRPr="00271E51" w14:paraId="1F256829" w14:textId="77777777" w:rsidTr="00ED5B0A">
        <w:tc>
          <w:tcPr>
            <w:tcW w:w="1868" w:type="dxa"/>
          </w:tcPr>
          <w:p w14:paraId="02516C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w:t>
            </w:r>
          </w:p>
        </w:tc>
        <w:tc>
          <w:tcPr>
            <w:tcW w:w="1868" w:type="dxa"/>
          </w:tcPr>
          <w:p w14:paraId="08C0F1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FC5D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318</w:t>
            </w:r>
          </w:p>
        </w:tc>
        <w:tc>
          <w:tcPr>
            <w:tcW w:w="1868" w:type="dxa"/>
          </w:tcPr>
          <w:p w14:paraId="288A2E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1F1D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1868" w:type="dxa"/>
          </w:tcPr>
          <w:p w14:paraId="3CB24C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w:t>
            </w:r>
          </w:p>
        </w:tc>
      </w:tr>
      <w:tr w:rsidR="00A907A5" w:rsidRPr="00271E51" w14:paraId="6CB10479" w14:textId="77777777" w:rsidTr="00ED5B0A">
        <w:tc>
          <w:tcPr>
            <w:tcW w:w="1868" w:type="dxa"/>
          </w:tcPr>
          <w:p w14:paraId="7919A5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w:t>
            </w:r>
          </w:p>
        </w:tc>
        <w:tc>
          <w:tcPr>
            <w:tcW w:w="1868" w:type="dxa"/>
          </w:tcPr>
          <w:p w14:paraId="6801C4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DBA0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A2F4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8BF7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AF1B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8ABA61" w14:textId="77777777" w:rsidTr="00ED5B0A">
        <w:tc>
          <w:tcPr>
            <w:tcW w:w="1868" w:type="dxa"/>
          </w:tcPr>
          <w:p w14:paraId="5E0592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16CBDB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A39F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w:t>
            </w:r>
          </w:p>
        </w:tc>
        <w:tc>
          <w:tcPr>
            <w:tcW w:w="1868" w:type="dxa"/>
          </w:tcPr>
          <w:p w14:paraId="113038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E37D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578</w:t>
            </w:r>
          </w:p>
        </w:tc>
        <w:tc>
          <w:tcPr>
            <w:tcW w:w="1868" w:type="dxa"/>
          </w:tcPr>
          <w:p w14:paraId="0F4CC0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r>
      <w:tr w:rsidR="00A907A5" w:rsidRPr="00271E51" w14:paraId="22DD7524" w14:textId="77777777" w:rsidTr="00ED5B0A">
        <w:tc>
          <w:tcPr>
            <w:tcW w:w="1868" w:type="dxa"/>
          </w:tcPr>
          <w:p w14:paraId="7B1CC9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1-й гр. высотности, м</w:t>
            </w:r>
          </w:p>
        </w:tc>
        <w:tc>
          <w:tcPr>
            <w:tcW w:w="1868" w:type="dxa"/>
          </w:tcPr>
          <w:p w14:paraId="1A727C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2B3E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600/1800</w:t>
            </w:r>
          </w:p>
        </w:tc>
        <w:tc>
          <w:tcPr>
            <w:tcW w:w="1868" w:type="dxa"/>
          </w:tcPr>
          <w:p w14:paraId="571B1F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625/2200</w:t>
            </w:r>
          </w:p>
        </w:tc>
        <w:tc>
          <w:tcPr>
            <w:tcW w:w="1868" w:type="dxa"/>
          </w:tcPr>
          <w:p w14:paraId="4692BF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6C085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061707" w14:textId="77777777" w:rsidTr="00ED5B0A">
        <w:tc>
          <w:tcPr>
            <w:tcW w:w="1868" w:type="dxa"/>
          </w:tcPr>
          <w:p w14:paraId="24E39C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 гр. высотности, м</w:t>
            </w:r>
          </w:p>
        </w:tc>
        <w:tc>
          <w:tcPr>
            <w:tcW w:w="1868" w:type="dxa"/>
          </w:tcPr>
          <w:p w14:paraId="4AF6C9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9215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620/3850</w:t>
            </w:r>
          </w:p>
        </w:tc>
        <w:tc>
          <w:tcPr>
            <w:tcW w:w="1868" w:type="dxa"/>
          </w:tcPr>
          <w:p w14:paraId="174063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671/4900</w:t>
            </w:r>
          </w:p>
        </w:tc>
        <w:tc>
          <w:tcPr>
            <w:tcW w:w="1868" w:type="dxa"/>
          </w:tcPr>
          <w:p w14:paraId="1C2D9D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623/4100</w:t>
            </w:r>
          </w:p>
        </w:tc>
        <w:tc>
          <w:tcPr>
            <w:tcW w:w="1868" w:type="dxa"/>
          </w:tcPr>
          <w:p w14:paraId="1CF076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88D2CC" w14:textId="77777777" w:rsidTr="00ED5B0A">
        <w:tc>
          <w:tcPr>
            <w:tcW w:w="1868" w:type="dxa"/>
          </w:tcPr>
          <w:p w14:paraId="14AE40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1868" w:type="dxa"/>
          </w:tcPr>
          <w:p w14:paraId="7BE400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E908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F65F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BF3E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E03C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ED6F16" w14:textId="77777777" w:rsidTr="00ED5B0A">
        <w:tc>
          <w:tcPr>
            <w:tcW w:w="1868" w:type="dxa"/>
          </w:tcPr>
          <w:p w14:paraId="600BA5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1868" w:type="dxa"/>
          </w:tcPr>
          <w:p w14:paraId="39DD59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B1A3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tc>
        <w:tc>
          <w:tcPr>
            <w:tcW w:w="1868" w:type="dxa"/>
          </w:tcPr>
          <w:p w14:paraId="68DA55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0138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1868" w:type="dxa"/>
          </w:tcPr>
          <w:p w14:paraId="18ECA1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r>
      <w:tr w:rsidR="00A907A5" w:rsidRPr="00271E51" w14:paraId="1A4B0A27" w14:textId="77777777" w:rsidTr="00ED5B0A">
        <w:tc>
          <w:tcPr>
            <w:tcW w:w="1868" w:type="dxa"/>
          </w:tcPr>
          <w:p w14:paraId="57CB76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338E3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2FDA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10400</w:t>
            </w:r>
          </w:p>
        </w:tc>
        <w:tc>
          <w:tcPr>
            <w:tcW w:w="1868" w:type="dxa"/>
          </w:tcPr>
          <w:p w14:paraId="30DE49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B593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10700</w:t>
            </w:r>
          </w:p>
        </w:tc>
        <w:tc>
          <w:tcPr>
            <w:tcW w:w="1868" w:type="dxa"/>
          </w:tcPr>
          <w:p w14:paraId="02DE03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11300</w:t>
            </w:r>
          </w:p>
        </w:tc>
      </w:tr>
      <w:tr w:rsidR="00A907A5" w:rsidRPr="00271E51" w14:paraId="12D6F176" w14:textId="77777777" w:rsidTr="00ED5B0A">
        <w:tc>
          <w:tcPr>
            <w:tcW w:w="1868" w:type="dxa"/>
          </w:tcPr>
          <w:p w14:paraId="4BD131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1868" w:type="dxa"/>
          </w:tcPr>
          <w:p w14:paraId="336395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58C5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8FFE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270B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EFFD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FA90EC" w14:textId="77777777" w:rsidTr="00ED5B0A">
        <w:tc>
          <w:tcPr>
            <w:tcW w:w="1868" w:type="dxa"/>
          </w:tcPr>
          <w:p w14:paraId="5AFA03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w:t>
            </w:r>
          </w:p>
        </w:tc>
        <w:tc>
          <w:tcPr>
            <w:tcW w:w="1868" w:type="dxa"/>
          </w:tcPr>
          <w:p w14:paraId="445C72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9777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w:t>
            </w:r>
          </w:p>
        </w:tc>
        <w:tc>
          <w:tcPr>
            <w:tcW w:w="1868" w:type="dxa"/>
          </w:tcPr>
          <w:p w14:paraId="32DEFE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CCE5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294AE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10DDB86D" w14:textId="77777777" w:rsidTr="00ED5B0A">
        <w:tc>
          <w:tcPr>
            <w:tcW w:w="1868" w:type="dxa"/>
          </w:tcPr>
          <w:p w14:paraId="3396A5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макс, км</w:t>
            </w:r>
          </w:p>
        </w:tc>
        <w:tc>
          <w:tcPr>
            <w:tcW w:w="1868" w:type="dxa"/>
          </w:tcPr>
          <w:p w14:paraId="354B51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74A8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1868" w:type="dxa"/>
          </w:tcPr>
          <w:p w14:paraId="077E4D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6A11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690</w:t>
            </w:r>
          </w:p>
        </w:tc>
        <w:tc>
          <w:tcPr>
            <w:tcW w:w="1868" w:type="dxa"/>
          </w:tcPr>
          <w:p w14:paraId="673C56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184943BA" w14:textId="77777777" w:rsidTr="00ED5B0A">
        <w:tc>
          <w:tcPr>
            <w:tcW w:w="1868" w:type="dxa"/>
            <w:tcBorders>
              <w:bottom w:val="single" w:sz="12" w:space="0" w:color="auto"/>
            </w:tcBorders>
          </w:tcPr>
          <w:p w14:paraId="24F8FA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Разбег/пробег, м</w:t>
            </w:r>
          </w:p>
        </w:tc>
        <w:tc>
          <w:tcPr>
            <w:tcW w:w="1868" w:type="dxa"/>
            <w:tcBorders>
              <w:bottom w:val="single" w:sz="12" w:space="0" w:color="auto"/>
            </w:tcBorders>
          </w:tcPr>
          <w:p w14:paraId="7EAAFB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08D1A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320/575</w:t>
            </w:r>
          </w:p>
        </w:tc>
        <w:tc>
          <w:tcPr>
            <w:tcW w:w="1868" w:type="dxa"/>
            <w:tcBorders>
              <w:bottom w:val="single" w:sz="12" w:space="0" w:color="auto"/>
            </w:tcBorders>
          </w:tcPr>
          <w:p w14:paraId="404B5D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651EE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304313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390/560</w:t>
            </w:r>
          </w:p>
        </w:tc>
      </w:tr>
    </w:tbl>
    <w:p w14:paraId="4DB7F1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Наддув двигателя 1100 мм рт. ст. (12046).</w:t>
      </w:r>
    </w:p>
    <w:p w14:paraId="24BCF2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71A296EB" w14:textId="77777777" w:rsidTr="00ED5B0A">
        <w:tc>
          <w:tcPr>
            <w:tcW w:w="1868" w:type="dxa"/>
            <w:tcBorders>
              <w:top w:val="single" w:sz="12" w:space="0" w:color="auto"/>
            </w:tcBorders>
          </w:tcPr>
          <w:p w14:paraId="7FC1F3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868" w:type="dxa"/>
            <w:tcBorders>
              <w:top w:val="single" w:sz="12" w:space="0" w:color="auto"/>
            </w:tcBorders>
          </w:tcPr>
          <w:p w14:paraId="4E9DD2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179A2E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1103B7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Як-9У2</w:t>
            </w:r>
          </w:p>
        </w:tc>
        <w:tc>
          <w:tcPr>
            <w:tcW w:w="1868" w:type="dxa"/>
            <w:tcBorders>
              <w:top w:val="single" w:sz="12" w:space="0" w:color="auto"/>
            </w:tcBorders>
          </w:tcPr>
          <w:p w14:paraId="56A4DC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0DBB9D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r>
      <w:tr w:rsidR="00A907A5" w:rsidRPr="00271E51" w14:paraId="1ABDDEC0" w14:textId="77777777" w:rsidTr="00ED5B0A">
        <w:tc>
          <w:tcPr>
            <w:tcW w:w="1868" w:type="dxa"/>
          </w:tcPr>
          <w:p w14:paraId="0584AB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w:t>
            </w:r>
          </w:p>
        </w:tc>
        <w:tc>
          <w:tcPr>
            <w:tcW w:w="1868" w:type="dxa"/>
          </w:tcPr>
          <w:p w14:paraId="4DB28B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1868" w:type="dxa"/>
          </w:tcPr>
          <w:p w14:paraId="559FCD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1868" w:type="dxa"/>
          </w:tcPr>
          <w:p w14:paraId="6E8A54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 и 115</w:t>
            </w:r>
          </w:p>
        </w:tc>
        <w:tc>
          <w:tcPr>
            <w:tcW w:w="1868" w:type="dxa"/>
          </w:tcPr>
          <w:p w14:paraId="4BC91D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1868" w:type="dxa"/>
          </w:tcPr>
          <w:p w14:paraId="7D8CB9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r>
      <w:tr w:rsidR="00A907A5" w:rsidRPr="00271E51" w14:paraId="5B2905D4" w14:textId="77777777" w:rsidTr="00ED5B0A">
        <w:tc>
          <w:tcPr>
            <w:tcW w:w="1868" w:type="dxa"/>
          </w:tcPr>
          <w:p w14:paraId="01173F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Серийный №</w:t>
            </w:r>
          </w:p>
        </w:tc>
        <w:tc>
          <w:tcPr>
            <w:tcW w:w="1868" w:type="dxa"/>
          </w:tcPr>
          <w:p w14:paraId="73D88E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w:t>
            </w:r>
          </w:p>
        </w:tc>
        <w:tc>
          <w:tcPr>
            <w:tcW w:w="1868" w:type="dxa"/>
          </w:tcPr>
          <w:p w14:paraId="55EF45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39-083</w:t>
            </w:r>
          </w:p>
        </w:tc>
        <w:tc>
          <w:tcPr>
            <w:tcW w:w="1868" w:type="dxa"/>
          </w:tcPr>
          <w:p w14:paraId="573909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41-038</w:t>
            </w:r>
          </w:p>
        </w:tc>
        <w:tc>
          <w:tcPr>
            <w:tcW w:w="1868" w:type="dxa"/>
          </w:tcPr>
          <w:p w14:paraId="422763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52-082</w:t>
            </w:r>
          </w:p>
        </w:tc>
        <w:tc>
          <w:tcPr>
            <w:tcW w:w="1868" w:type="dxa"/>
          </w:tcPr>
          <w:p w14:paraId="7C1F63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10-10</w:t>
            </w:r>
          </w:p>
        </w:tc>
      </w:tr>
      <w:tr w:rsidR="00A907A5" w:rsidRPr="00271E51" w14:paraId="07E8E67D" w14:textId="77777777" w:rsidTr="00ED5B0A">
        <w:tc>
          <w:tcPr>
            <w:tcW w:w="1868" w:type="dxa"/>
          </w:tcPr>
          <w:p w14:paraId="4FD170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л.с.</w:t>
            </w:r>
          </w:p>
        </w:tc>
        <w:tc>
          <w:tcPr>
            <w:tcW w:w="1868" w:type="dxa"/>
          </w:tcPr>
          <w:p w14:paraId="30DF74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8C05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BC45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BBD5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0A79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AD065E" w14:textId="77777777" w:rsidTr="00ED5B0A">
        <w:tc>
          <w:tcPr>
            <w:tcW w:w="1868" w:type="dxa"/>
          </w:tcPr>
          <w:p w14:paraId="0CDF0A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w:t>
            </w:r>
          </w:p>
        </w:tc>
        <w:tc>
          <w:tcPr>
            <w:tcW w:w="1868" w:type="dxa"/>
          </w:tcPr>
          <w:p w14:paraId="63A0A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5C290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1868" w:type="dxa"/>
          </w:tcPr>
          <w:p w14:paraId="342738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1650</w:t>
            </w:r>
          </w:p>
        </w:tc>
        <w:tc>
          <w:tcPr>
            <w:tcW w:w="1868" w:type="dxa"/>
          </w:tcPr>
          <w:p w14:paraId="5FB85E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1650</w:t>
            </w:r>
          </w:p>
        </w:tc>
        <w:tc>
          <w:tcPr>
            <w:tcW w:w="1868" w:type="dxa"/>
          </w:tcPr>
          <w:p w14:paraId="3F1A15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168723EB" w14:textId="77777777" w:rsidTr="00ED5B0A">
        <w:tc>
          <w:tcPr>
            <w:tcW w:w="1868" w:type="dxa"/>
          </w:tcPr>
          <w:p w14:paraId="16DA3C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w:t>
            </w:r>
          </w:p>
        </w:tc>
        <w:tc>
          <w:tcPr>
            <w:tcW w:w="1868" w:type="dxa"/>
          </w:tcPr>
          <w:p w14:paraId="4D40D0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4A8F29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1550/1200</w:t>
            </w:r>
          </w:p>
        </w:tc>
        <w:tc>
          <w:tcPr>
            <w:tcW w:w="1868" w:type="dxa"/>
          </w:tcPr>
          <w:p w14:paraId="713A6B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6929C7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02DA94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550/1200</w:t>
            </w:r>
          </w:p>
        </w:tc>
      </w:tr>
      <w:tr w:rsidR="00A907A5" w:rsidRPr="00271E51" w14:paraId="2EA075DE" w14:textId="77777777" w:rsidTr="00ED5B0A">
        <w:tc>
          <w:tcPr>
            <w:tcW w:w="1868" w:type="dxa"/>
          </w:tcPr>
          <w:p w14:paraId="5979AB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A75A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1500/4500</w:t>
            </w:r>
          </w:p>
        </w:tc>
        <w:tc>
          <w:tcPr>
            <w:tcW w:w="1868" w:type="dxa"/>
          </w:tcPr>
          <w:p w14:paraId="4E4697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1450/3800</w:t>
            </w:r>
          </w:p>
        </w:tc>
        <w:tc>
          <w:tcPr>
            <w:tcW w:w="1868" w:type="dxa"/>
          </w:tcPr>
          <w:p w14:paraId="0541C2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1500/4500</w:t>
            </w:r>
          </w:p>
        </w:tc>
        <w:tc>
          <w:tcPr>
            <w:tcW w:w="1868" w:type="dxa"/>
          </w:tcPr>
          <w:p w14:paraId="46CC3F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1500/3800'</w:t>
            </w:r>
          </w:p>
        </w:tc>
        <w:tc>
          <w:tcPr>
            <w:tcW w:w="1868" w:type="dxa"/>
          </w:tcPr>
          <w:p w14:paraId="24BAD5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450/3800</w:t>
            </w:r>
          </w:p>
        </w:tc>
      </w:tr>
      <w:tr w:rsidR="00A907A5" w:rsidRPr="00271E51" w14:paraId="33B72683" w14:textId="77777777" w:rsidTr="00ED5B0A">
        <w:tc>
          <w:tcPr>
            <w:tcW w:w="1868" w:type="dxa"/>
          </w:tcPr>
          <w:p w14:paraId="5CD69D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крыла,м</w:t>
            </w:r>
          </w:p>
        </w:tc>
        <w:tc>
          <w:tcPr>
            <w:tcW w:w="1868" w:type="dxa"/>
          </w:tcPr>
          <w:p w14:paraId="305554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548CD2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3974FA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57BCE2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045B0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r>
      <w:tr w:rsidR="00A907A5" w:rsidRPr="00271E51" w14:paraId="380DD0B7" w14:textId="77777777" w:rsidTr="00ED5B0A">
        <w:tc>
          <w:tcPr>
            <w:tcW w:w="1868" w:type="dxa"/>
          </w:tcPr>
          <w:p w14:paraId="144D38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868" w:type="dxa"/>
          </w:tcPr>
          <w:p w14:paraId="716ED0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4341DD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50DB3C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059BED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49E02C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r>
      <w:tr w:rsidR="00A907A5" w:rsidRPr="00271E51" w14:paraId="34815EA6" w14:textId="77777777" w:rsidTr="00ED5B0A">
        <w:tc>
          <w:tcPr>
            <w:tcW w:w="1868" w:type="dxa"/>
          </w:tcPr>
          <w:p w14:paraId="050CCA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мг</w:t>
            </w:r>
          </w:p>
        </w:tc>
        <w:tc>
          <w:tcPr>
            <w:tcW w:w="1868" w:type="dxa"/>
          </w:tcPr>
          <w:p w14:paraId="56D1ED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4E827D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7F23DC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1DCA65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78A6DD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r>
      <w:tr w:rsidR="00A907A5" w:rsidRPr="00271E51" w14:paraId="191D2674" w14:textId="77777777" w:rsidTr="00ED5B0A">
        <w:tc>
          <w:tcPr>
            <w:tcW w:w="1868" w:type="dxa"/>
          </w:tcPr>
          <w:p w14:paraId="6218CD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кг</w:t>
            </w:r>
          </w:p>
        </w:tc>
        <w:tc>
          <w:tcPr>
            <w:tcW w:w="1868" w:type="dxa"/>
          </w:tcPr>
          <w:p w14:paraId="6C9E5C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3204</w:t>
            </w:r>
          </w:p>
        </w:tc>
        <w:tc>
          <w:tcPr>
            <w:tcW w:w="1868" w:type="dxa"/>
          </w:tcPr>
          <w:p w14:paraId="1255ED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3204</w:t>
            </w:r>
          </w:p>
        </w:tc>
        <w:tc>
          <w:tcPr>
            <w:tcW w:w="1868" w:type="dxa"/>
          </w:tcPr>
          <w:p w14:paraId="058912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3145</w:t>
            </w:r>
          </w:p>
        </w:tc>
        <w:tc>
          <w:tcPr>
            <w:tcW w:w="1868" w:type="dxa"/>
          </w:tcPr>
          <w:p w14:paraId="76A7C9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3268</w:t>
            </w:r>
          </w:p>
        </w:tc>
        <w:tc>
          <w:tcPr>
            <w:tcW w:w="1868" w:type="dxa"/>
          </w:tcPr>
          <w:p w14:paraId="1DF347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3197</w:t>
            </w:r>
          </w:p>
        </w:tc>
      </w:tr>
      <w:tr w:rsidR="00A907A5" w:rsidRPr="00271E51" w14:paraId="419EDAA1" w14:textId="77777777" w:rsidTr="00ED5B0A">
        <w:tc>
          <w:tcPr>
            <w:tcW w:w="1868" w:type="dxa"/>
          </w:tcPr>
          <w:p w14:paraId="0E58E1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868" w:type="dxa"/>
          </w:tcPr>
          <w:p w14:paraId="02CD99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492EB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2512</w:t>
            </w:r>
          </w:p>
        </w:tc>
        <w:tc>
          <w:tcPr>
            <w:tcW w:w="1868" w:type="dxa"/>
          </w:tcPr>
          <w:p w14:paraId="335207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2498</w:t>
            </w:r>
          </w:p>
        </w:tc>
        <w:tc>
          <w:tcPr>
            <w:tcW w:w="1868" w:type="dxa"/>
          </w:tcPr>
          <w:p w14:paraId="6D0265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2596</w:t>
            </w:r>
          </w:p>
        </w:tc>
        <w:tc>
          <w:tcPr>
            <w:tcW w:w="1868" w:type="dxa"/>
          </w:tcPr>
          <w:p w14:paraId="100F9A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2529</w:t>
            </w:r>
          </w:p>
        </w:tc>
      </w:tr>
      <w:tr w:rsidR="00A907A5" w:rsidRPr="00271E51" w14:paraId="16D2E9E4" w14:textId="77777777" w:rsidTr="00ED5B0A">
        <w:tc>
          <w:tcPr>
            <w:tcW w:w="1868" w:type="dxa"/>
          </w:tcPr>
          <w:p w14:paraId="063632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w:t>
            </w:r>
          </w:p>
        </w:tc>
        <w:tc>
          <w:tcPr>
            <w:tcW w:w="1868" w:type="dxa"/>
          </w:tcPr>
          <w:p w14:paraId="684978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w:t>
            </w:r>
          </w:p>
        </w:tc>
        <w:tc>
          <w:tcPr>
            <w:tcW w:w="1868" w:type="dxa"/>
          </w:tcPr>
          <w:p w14:paraId="65B15B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1868" w:type="dxa"/>
          </w:tcPr>
          <w:p w14:paraId="6008FA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351</w:t>
            </w:r>
          </w:p>
        </w:tc>
        <w:tc>
          <w:tcPr>
            <w:tcW w:w="1868" w:type="dxa"/>
          </w:tcPr>
          <w:p w14:paraId="538D7C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75E96B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4D5354E" w14:textId="77777777" w:rsidTr="00ED5B0A">
        <w:tc>
          <w:tcPr>
            <w:tcW w:w="1868" w:type="dxa"/>
          </w:tcPr>
          <w:p w14:paraId="346380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w:t>
            </w:r>
          </w:p>
        </w:tc>
        <w:tc>
          <w:tcPr>
            <w:tcW w:w="1868" w:type="dxa"/>
          </w:tcPr>
          <w:p w14:paraId="68499D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B3257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4274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1889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8C63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3FD2DD" w14:textId="77777777" w:rsidTr="00ED5B0A">
        <w:tc>
          <w:tcPr>
            <w:tcW w:w="1868" w:type="dxa"/>
          </w:tcPr>
          <w:p w14:paraId="726AB3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0277D7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Pr>
          <w:p w14:paraId="4A9D00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w:t>
            </w:r>
          </w:p>
        </w:tc>
        <w:tc>
          <w:tcPr>
            <w:tcW w:w="1868" w:type="dxa"/>
          </w:tcPr>
          <w:p w14:paraId="04318B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c>
          <w:tcPr>
            <w:tcW w:w="1868" w:type="dxa"/>
          </w:tcPr>
          <w:p w14:paraId="7BC0C9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w:t>
            </w:r>
          </w:p>
        </w:tc>
        <w:tc>
          <w:tcPr>
            <w:tcW w:w="1868" w:type="dxa"/>
          </w:tcPr>
          <w:p w14:paraId="2DEF8E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r>
      <w:tr w:rsidR="00A907A5" w:rsidRPr="00271E51" w14:paraId="5B1683C1" w14:textId="77777777" w:rsidTr="00ED5B0A">
        <w:tc>
          <w:tcPr>
            <w:tcW w:w="1868" w:type="dxa"/>
          </w:tcPr>
          <w:p w14:paraId="5D8945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1-й гр. высотности, м</w:t>
            </w:r>
          </w:p>
        </w:tc>
        <w:tc>
          <w:tcPr>
            <w:tcW w:w="1868" w:type="dxa"/>
          </w:tcPr>
          <w:p w14:paraId="763631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676/3000</w:t>
            </w:r>
          </w:p>
        </w:tc>
        <w:tc>
          <w:tcPr>
            <w:tcW w:w="1868" w:type="dxa"/>
          </w:tcPr>
          <w:p w14:paraId="181EE1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636/2500</w:t>
            </w:r>
          </w:p>
        </w:tc>
        <w:tc>
          <w:tcPr>
            <w:tcW w:w="1868" w:type="dxa"/>
          </w:tcPr>
          <w:p w14:paraId="73B5FE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641/2950</w:t>
            </w:r>
          </w:p>
        </w:tc>
        <w:tc>
          <w:tcPr>
            <w:tcW w:w="1868" w:type="dxa"/>
          </w:tcPr>
          <w:p w14:paraId="280257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648/3300</w:t>
            </w:r>
          </w:p>
        </w:tc>
        <w:tc>
          <w:tcPr>
            <w:tcW w:w="1868" w:type="dxa"/>
          </w:tcPr>
          <w:p w14:paraId="7CEAE9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632/2700</w:t>
            </w:r>
          </w:p>
        </w:tc>
      </w:tr>
      <w:tr w:rsidR="00A907A5" w:rsidRPr="00271E51" w14:paraId="4F36556D" w14:textId="77777777" w:rsidTr="00ED5B0A">
        <w:tc>
          <w:tcPr>
            <w:tcW w:w="1868" w:type="dxa"/>
          </w:tcPr>
          <w:p w14:paraId="09C959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 гр. высотности, м</w:t>
            </w:r>
          </w:p>
        </w:tc>
        <w:tc>
          <w:tcPr>
            <w:tcW w:w="1868" w:type="dxa"/>
          </w:tcPr>
          <w:p w14:paraId="0C8154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700/5500</w:t>
            </w:r>
          </w:p>
        </w:tc>
        <w:tc>
          <w:tcPr>
            <w:tcW w:w="1868" w:type="dxa"/>
          </w:tcPr>
          <w:p w14:paraId="58807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672/5000</w:t>
            </w:r>
          </w:p>
        </w:tc>
        <w:tc>
          <w:tcPr>
            <w:tcW w:w="1868" w:type="dxa"/>
          </w:tcPr>
          <w:p w14:paraId="53B8E3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676/5900</w:t>
            </w:r>
          </w:p>
        </w:tc>
        <w:tc>
          <w:tcPr>
            <w:tcW w:w="1868" w:type="dxa"/>
          </w:tcPr>
          <w:p w14:paraId="76FA59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680/5850</w:t>
            </w:r>
          </w:p>
        </w:tc>
        <w:tc>
          <w:tcPr>
            <w:tcW w:w="1868" w:type="dxa"/>
          </w:tcPr>
          <w:p w14:paraId="7D4EB3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668/5300</w:t>
            </w:r>
          </w:p>
        </w:tc>
      </w:tr>
      <w:tr w:rsidR="00A907A5" w:rsidRPr="00271E51" w14:paraId="17DE5328" w14:textId="77777777" w:rsidTr="00ED5B0A">
        <w:tc>
          <w:tcPr>
            <w:tcW w:w="1868" w:type="dxa"/>
          </w:tcPr>
          <w:p w14:paraId="727820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1868" w:type="dxa"/>
          </w:tcPr>
          <w:p w14:paraId="05884E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9357D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1679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3955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9680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8B0412" w14:textId="77777777" w:rsidTr="00ED5B0A">
        <w:tc>
          <w:tcPr>
            <w:tcW w:w="1868" w:type="dxa"/>
          </w:tcPr>
          <w:p w14:paraId="4728ED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1868" w:type="dxa"/>
          </w:tcPr>
          <w:p w14:paraId="08334F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868" w:type="dxa"/>
          </w:tcPr>
          <w:p w14:paraId="338593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868" w:type="dxa"/>
          </w:tcPr>
          <w:p w14:paraId="266F80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1868" w:type="dxa"/>
          </w:tcPr>
          <w:p w14:paraId="1EA579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5,4/4,4</w:t>
            </w:r>
          </w:p>
        </w:tc>
        <w:tc>
          <w:tcPr>
            <w:tcW w:w="1868" w:type="dxa"/>
          </w:tcPr>
          <w:p w14:paraId="4D2676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r>
      <w:tr w:rsidR="00A907A5" w:rsidRPr="00271E51" w14:paraId="77F8B014" w14:textId="77777777" w:rsidTr="00ED5B0A">
        <w:tc>
          <w:tcPr>
            <w:tcW w:w="1868" w:type="dxa"/>
          </w:tcPr>
          <w:p w14:paraId="0B2807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19AEAE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5D77ED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10650</w:t>
            </w:r>
          </w:p>
        </w:tc>
        <w:tc>
          <w:tcPr>
            <w:tcW w:w="1868" w:type="dxa"/>
          </w:tcPr>
          <w:p w14:paraId="5CED28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10850</w:t>
            </w:r>
          </w:p>
        </w:tc>
        <w:tc>
          <w:tcPr>
            <w:tcW w:w="1868" w:type="dxa"/>
          </w:tcPr>
          <w:p w14:paraId="1131E2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41BFD9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CB4BBC5" w14:textId="77777777" w:rsidTr="00ED5B0A">
        <w:tc>
          <w:tcPr>
            <w:tcW w:w="1868" w:type="dxa"/>
          </w:tcPr>
          <w:p w14:paraId="1A87F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1868" w:type="dxa"/>
          </w:tcPr>
          <w:p w14:paraId="6CFD54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A744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4ED45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801F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3524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4EB02D" w14:textId="77777777" w:rsidTr="00ED5B0A">
        <w:tc>
          <w:tcPr>
            <w:tcW w:w="1868" w:type="dxa"/>
          </w:tcPr>
          <w:p w14:paraId="4C9465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w:t>
            </w:r>
          </w:p>
        </w:tc>
        <w:tc>
          <w:tcPr>
            <w:tcW w:w="1868" w:type="dxa"/>
          </w:tcPr>
          <w:p w14:paraId="740615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1868" w:type="dxa"/>
          </w:tcPr>
          <w:p w14:paraId="28784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9DC82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B7A27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683BD4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8CAF4C0" w14:textId="77777777" w:rsidTr="00ED5B0A">
        <w:tc>
          <w:tcPr>
            <w:tcW w:w="1868" w:type="dxa"/>
            <w:tcBorders>
              <w:bottom w:val="single" w:sz="12" w:space="0" w:color="auto"/>
            </w:tcBorders>
          </w:tcPr>
          <w:p w14:paraId="17C997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2BCA90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884</w:t>
            </w:r>
          </w:p>
        </w:tc>
        <w:tc>
          <w:tcPr>
            <w:tcW w:w="1868" w:type="dxa"/>
            <w:tcBorders>
              <w:bottom w:val="single" w:sz="12" w:space="0" w:color="auto"/>
            </w:tcBorders>
          </w:tcPr>
          <w:p w14:paraId="151520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675"</w:t>
            </w:r>
          </w:p>
        </w:tc>
        <w:tc>
          <w:tcPr>
            <w:tcW w:w="1868" w:type="dxa"/>
            <w:tcBorders>
              <w:bottom w:val="single" w:sz="12" w:space="0" w:color="auto"/>
            </w:tcBorders>
          </w:tcPr>
          <w:p w14:paraId="667AEE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10603)</w:t>
            </w:r>
          </w:p>
        </w:tc>
        <w:tc>
          <w:tcPr>
            <w:tcW w:w="1868" w:type="dxa"/>
            <w:tcBorders>
              <w:bottom w:val="single" w:sz="12" w:space="0" w:color="auto"/>
            </w:tcBorders>
          </w:tcPr>
          <w:p w14:paraId="15151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65DC20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7855</w:t>
            </w:r>
          </w:p>
        </w:tc>
      </w:tr>
    </w:tbl>
    <w:p w14:paraId="2D1C4F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результатам испытаний</w:t>
      </w:r>
      <w:r w:rsidRPr="00271E51">
        <w:rPr>
          <w:rFonts w:ascii="Times New Roman" w:hAnsi="Times New Roman"/>
          <w:color w:val="000000" w:themeColor="text1"/>
          <w:sz w:val="16"/>
          <w:szCs w:val="16"/>
        </w:rPr>
        <w:tab/>
        <w:t>в январе 1941 г.</w:t>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p>
    <w:p w14:paraId="3222D4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Эталон 1945 г.</w:t>
      </w:r>
    </w:p>
    <w:p w14:paraId="7D50DE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226355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скорости 508 км/ч и высоте 5070 м, продолжительность полета 1 час 21 минута.</w:t>
      </w:r>
    </w:p>
    <w:p w14:paraId="57DF01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2151D9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D14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письмом N 847с Н.Н.П. запросил в НИИ-3 3 пары двигателей с полным комплектом агрегатов (2928,79).</w:t>
      </w:r>
    </w:p>
    <w:p w14:paraId="62A608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B3F9E"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lastRenderedPageBreak/>
        <w:t>Другие оборонные отрасли:</w:t>
      </w:r>
    </w:p>
    <w:p w14:paraId="42B43F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460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года вышел приказ НКТП № 765 во исполнение постановление №4851 о вооружении средней САУ 100-мм орудием, который обязал "Уралмашзавод":</w:t>
      </w:r>
    </w:p>
    <w:p w14:paraId="7B064B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 15.01.44 спроектировать средний самоход на базе агрегатов танка Т-34 и вооружить его 100-мм пушкой С-34 конструкции ЦАКБ;</w:t>
      </w:r>
    </w:p>
    <w:p w14:paraId="3B8CF4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 20.02.44 изготовить и провести заводские испытания самохода. Орудие должно быть подано с завода № 92 к 25.01.44;</w:t>
      </w:r>
    </w:p>
    <w:p w14:paraId="298242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25.02.44 передать самоход на государственные испытания (3862).</w:t>
      </w:r>
    </w:p>
    <w:p w14:paraId="052E51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Сроки устанавливались очень жесткие. Получив чертежи орудия С-34 на "Уралмаше" убедились, что эта пушка для САУ не годится: она имела внушительные размеры, при наведении влево упиралась во вторую подвеску, не позволяла разместить люк водителя. Были необходимы большие изменения в корпусе САУ, в том числе и в ее геометрической схеме (3862).</w:t>
      </w:r>
    </w:p>
    <w:p w14:paraId="5CEE4A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Это влекло за собой изменение стендов для сварки и сборки. Требовалось перейти на торсионную подвеску, сместить рабочее место механика-водителя и все агрегаты управления машиной на 100 мм влево, расширить верхнюю часть корпуса до габаритов гусениц, что вызвало бы увеличение массы САУ на 3,5 т по сравнению с СУ-85. При этом ЦАКБ заняло непримиримую ведомственную позицию: давая свою танковую пушку С-34 для установки на САУ, оно требовало использовать ее без изменений и настаивало на приспособлении САУ к пушке (3862).</w:t>
      </w:r>
    </w:p>
    <w:p w14:paraId="3CB962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"Уралмаш" обратился к заводу №9 (3862).</w:t>
      </w:r>
    </w:p>
    <w:p w14:paraId="2EF3B8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566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 во исполнение этого постановления НКТП приказ № 765 предписывал Уралмашу:</w:t>
      </w:r>
    </w:p>
    <w:p w14:paraId="1F7414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Спроектировать к 15/1 44 г. средний самоход на базе аг</w:t>
      </w:r>
      <w:r w:rsidRPr="00271E51">
        <w:rPr>
          <w:rFonts w:ascii="Times New Roman" w:hAnsi="Times New Roman"/>
          <w:color w:val="000000" w:themeColor="text1"/>
          <w:sz w:val="16"/>
          <w:szCs w:val="16"/>
        </w:rPr>
        <w:softHyphen/>
        <w:t>регатов танка Т-34 с вооружением 100-мм пушкой С-34 конструкции ЦАКБ;</w:t>
      </w:r>
    </w:p>
    <w:p w14:paraId="4344D9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 25/1 44 г. получить с завода № 92 опытный образец 100-мм орудия С-34.</w:t>
      </w:r>
    </w:p>
    <w:p w14:paraId="4365A9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20/П 44 г. изготовить и провести заводские испытания самохода.</w:t>
      </w:r>
    </w:p>
    <w:p w14:paraId="2E190E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 25/П 44 г. передать самоход для государственных испы</w:t>
      </w:r>
      <w:r w:rsidRPr="00271E51">
        <w:rPr>
          <w:rFonts w:ascii="Times New Roman" w:hAnsi="Times New Roman"/>
          <w:color w:val="000000" w:themeColor="text1"/>
          <w:sz w:val="16"/>
          <w:szCs w:val="16"/>
        </w:rPr>
        <w:softHyphen/>
        <w:t>таний».</w:t>
      </w:r>
    </w:p>
    <w:p w14:paraId="1240B4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получении чертежей 100-мм пушки С-34 было уста</w:t>
      </w:r>
      <w:r w:rsidRPr="00271E51">
        <w:rPr>
          <w:rFonts w:ascii="Times New Roman" w:hAnsi="Times New Roman"/>
          <w:color w:val="000000" w:themeColor="text1"/>
          <w:sz w:val="16"/>
          <w:szCs w:val="16"/>
        </w:rPr>
        <w:softHyphen/>
        <w:t>новлено, что пушка имеет значительно большую ширину, чем предусматривалось заданием. При наведении влево гильзоулавливатель орудия будет упираться во вторую пру</w:t>
      </w:r>
      <w:r w:rsidRPr="00271E51">
        <w:rPr>
          <w:rFonts w:ascii="Times New Roman" w:hAnsi="Times New Roman"/>
          <w:color w:val="000000" w:themeColor="text1"/>
          <w:sz w:val="16"/>
          <w:szCs w:val="16"/>
        </w:rPr>
        <w:softHyphen/>
        <w:t>жину подвески, а его маска не позволит разместить на лобо</w:t>
      </w:r>
      <w:r w:rsidRPr="00271E51">
        <w:rPr>
          <w:rFonts w:ascii="Times New Roman" w:hAnsi="Times New Roman"/>
          <w:color w:val="000000" w:themeColor="text1"/>
          <w:sz w:val="16"/>
          <w:szCs w:val="16"/>
        </w:rPr>
        <w:softHyphen/>
        <w:t>вом листе люк водителя. Для устранения всех отмеченных недостатков необходимо было значительно (до внешних об</w:t>
      </w:r>
      <w:r w:rsidRPr="00271E51">
        <w:rPr>
          <w:rFonts w:ascii="Times New Roman" w:hAnsi="Times New Roman"/>
          <w:color w:val="000000" w:themeColor="text1"/>
          <w:sz w:val="16"/>
          <w:szCs w:val="16"/>
        </w:rPr>
        <w:softHyphen/>
        <w:t>водов гусениц) расширить корпус САУ, вместо наклонных бортов разместить вертикальные (как у СУ-Д-25), поднять орудие на 80 мм выше, разработать новые сварочные стен</w:t>
      </w:r>
      <w:r w:rsidRPr="00271E51">
        <w:rPr>
          <w:rFonts w:ascii="Times New Roman" w:hAnsi="Times New Roman"/>
          <w:color w:val="000000" w:themeColor="text1"/>
          <w:sz w:val="16"/>
          <w:szCs w:val="16"/>
        </w:rPr>
        <w:softHyphen/>
        <w:t>ды, перейти в подвеске от свечных пружин на торсионы, сместить место механика-водителя влево. Кроме того, для пушки С-34, имевшей правое расположение наводчика, уралмашевцам нужно было перекомпоновывать все боевое отделение, с чем они тоже согласиться, понятно, не могли... Реализация всех необходимых доработок приводила к уве</w:t>
      </w:r>
      <w:r w:rsidRPr="00271E51">
        <w:rPr>
          <w:rFonts w:ascii="Times New Roman" w:hAnsi="Times New Roman"/>
          <w:color w:val="000000" w:themeColor="text1"/>
          <w:sz w:val="16"/>
          <w:szCs w:val="16"/>
        </w:rPr>
        <w:softHyphen/>
        <w:t>личению массы САУ на 3,5—3,8 тонны относительно СУ-85 и сдвигала срок готовности САУ, по крайней мере, на 3 ме</w:t>
      </w:r>
      <w:r w:rsidRPr="00271E51">
        <w:rPr>
          <w:rFonts w:ascii="Times New Roman" w:hAnsi="Times New Roman"/>
          <w:color w:val="000000" w:themeColor="text1"/>
          <w:sz w:val="16"/>
          <w:szCs w:val="16"/>
        </w:rPr>
        <w:softHyphen/>
        <w:t>сяца, с чем заказчик согласиться не мог. Находясь в жестком цейтноте, Л.И. Горлицкий связался с начальником КБ заво</w:t>
      </w:r>
      <w:r w:rsidRPr="00271E51">
        <w:rPr>
          <w:rFonts w:ascii="Times New Roman" w:hAnsi="Times New Roman"/>
          <w:color w:val="000000" w:themeColor="text1"/>
          <w:sz w:val="16"/>
          <w:szCs w:val="16"/>
        </w:rPr>
        <w:softHyphen/>
        <w:t>да № 9 Ф.Ф. Петровым и попросил его выполнить проект 100-мм пушки для вооружения СУ-85 не позднее февраля 1944 г., с чем последний согласился (11417).</w:t>
      </w:r>
    </w:p>
    <w:p w14:paraId="576BA7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C003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года вышел приказ № 765 во исполнение постановление ГКО № 4851 от 27 декабря 1943 года о вооружении среднего самохода 100-мм орудием, который обязал "Уралмашзавод":</w:t>
      </w:r>
    </w:p>
    <w:p w14:paraId="79A1202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 к 15.01.44 г. спроектировать средний самоход на базе агрегатов танка Т-34 и вооружить его 100-мм пушкой С-34 конструкции ЦАКБ; </w:t>
      </w:r>
    </w:p>
    <w:p w14:paraId="355AB69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 к 20.02.44 г. изготовить и провести заводские испытания самохода. Орудие должно быть подано с завода №92 к 25.01.44 г.; </w:t>
      </w:r>
    </w:p>
    <w:p w14:paraId="741C34B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 25.02.44 г. передать самоход на государственные испытания" (9637).</w:t>
      </w:r>
    </w:p>
    <w:p w14:paraId="791E691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1EB20A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 на заводском полигоне в Красном в целях провер</w:t>
      </w:r>
      <w:r w:rsidRPr="00271E51">
        <w:rPr>
          <w:rFonts w:ascii="Times New Roman" w:hAnsi="Times New Roman"/>
          <w:color w:val="000000" w:themeColor="text1"/>
          <w:sz w:val="16"/>
          <w:szCs w:val="16"/>
        </w:rPr>
        <w:softHyphen/>
        <w:t>ки качества сборки установки СУ-122 были проведены испытания од</w:t>
      </w:r>
      <w:r w:rsidRPr="00271E51">
        <w:rPr>
          <w:rFonts w:ascii="Times New Roman" w:hAnsi="Times New Roman"/>
          <w:color w:val="000000" w:themeColor="text1"/>
          <w:sz w:val="16"/>
          <w:szCs w:val="16"/>
        </w:rPr>
        <w:softHyphen/>
        <w:t>ной из опытных машин установочной партии. Никаких поломок и недо</w:t>
      </w:r>
      <w:r w:rsidRPr="00271E51">
        <w:rPr>
          <w:rFonts w:ascii="Times New Roman" w:hAnsi="Times New Roman"/>
          <w:color w:val="000000" w:themeColor="text1"/>
          <w:sz w:val="16"/>
          <w:szCs w:val="16"/>
        </w:rPr>
        <w:softHyphen/>
        <w:t>статков во время испытаний обнаружено не было. По сравнению с пер</w:t>
      </w:r>
      <w:r w:rsidRPr="00271E51">
        <w:rPr>
          <w:rFonts w:ascii="Times New Roman" w:hAnsi="Times New Roman"/>
          <w:color w:val="000000" w:themeColor="text1"/>
          <w:sz w:val="16"/>
          <w:szCs w:val="16"/>
        </w:rPr>
        <w:softHyphen/>
        <w:t>вым опытным образцом условия работы экипажа в боевом отделении были значительно улучшены. В январе 1943 г. все 25 самоходных уста</w:t>
      </w:r>
      <w:r w:rsidRPr="00271E51">
        <w:rPr>
          <w:rFonts w:ascii="Times New Roman" w:hAnsi="Times New Roman"/>
          <w:color w:val="000000" w:themeColor="text1"/>
          <w:sz w:val="16"/>
          <w:szCs w:val="16"/>
        </w:rPr>
        <w:softHyphen/>
        <w:t>новок установочной партии декабрьской программы были отправлены в центр самоходной артиллерии и затем на фронт (10703).</w:t>
      </w:r>
    </w:p>
    <w:p w14:paraId="2F5C8D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A604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вышло Постановление ГКО № 4853 Об улучшении материально-бытовых условий личного состава воинских частей Красной Армии, дислоцированных в Иране.РГАНИР, Фонд ГКО, д. 184, лл. 134-136, 137-138 (11012).</w:t>
      </w:r>
    </w:p>
    <w:p w14:paraId="57F996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EA3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вышло Распоряжение ГКО № 4854. О передислокации тыловых батальонов разграждения из Кирова в Горький для использования на строительстве завода фрезерных станков НКСС.РГАНИР, Фонд ГКО, д. 184, лл. 139 (11012).</w:t>
      </w:r>
    </w:p>
    <w:p w14:paraId="3B6FD3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926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вышло Распоряжение ГКО № 4855. Об оставлении ОСМЧ-1 НКстроя в Туле на жилищном строительстве для шахт Подмосковного угольного бассейна.РГАНИР, Фонд ГКО, д. 184, лл. 140 (11012).</w:t>
      </w:r>
    </w:p>
    <w:p w14:paraId="161149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F6D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вышло Постановление ГКО № 4856 О производстве специальных кузовов для ПТАРЗов в I квартале 1944 года Белорусскому фронту.РГАНИР, Фонд ГКО, д. 184, лл. 141-142, 143 (11012).</w:t>
      </w:r>
    </w:p>
    <w:p w14:paraId="0C5AB7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BBE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вышло Постановление ГКО № 4857 О неотложных мерах помощи Наркомстрою по восстановлению системы водоснабжения Донбассводтреста и предприятий Наркомчермета на Юге.РГАНИР, Фонд ГКО, д. 184, лл. 144-146 (11012).</w:t>
      </w:r>
    </w:p>
    <w:p w14:paraId="0205D9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27F9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6A66B5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E3AA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28 декабря</w:t>
      </w:r>
      <w:r w:rsidRPr="00271E51">
        <w:rPr>
          <w:rFonts w:ascii="Times New Roman" w:hAnsi="Times New Roman"/>
          <w:color w:val="000000" w:themeColor="text1"/>
          <w:sz w:val="16"/>
          <w:szCs w:val="16"/>
        </w:rPr>
        <w:t xml:space="preserve"> в 1943 году начало операции «Улусы» НКВД ССР по выселению лиц калмыцкой национальности в восточные районы страны. В 46 железнодорожных эшелонах в Сибирь в 13-летнюю ссылку было отправлено 26.539 семей – всего 99.139 человек. В 1944-1945 было дополнительно депортировано еще 9 тысяч калмыков, находящихся в окрестных областях и демобилизованных из Советской Армии. 25 декабря 1993 г. Президент Российской Федерации Б.Н.Ельцин подписал указ «О мерах по реабилитации калмыцкого народа и государственной поддержке его возрождения и развития» (14874).</w:t>
      </w:r>
    </w:p>
    <w:p w14:paraId="16FD3F03"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0C6712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приказом № 0458 “Об организации внутренней надзирательской службы в ИТЛ и ИТК НКВД”, которая организовывалась за счет численности военизированной охраны и комендантского состава ИТЛ и ИТК с целью “усиления изоляции заключенных”, установления постоянного надзора за соблюдением правил режима и внутреннего распорядка, укрепления трудовой дисциплины и контроля за обеспечением бытовых условий. Утвержденное этим же приказом “Положение” о внутренней надзирательской службе определяло ее функции так:</w:t>
      </w:r>
    </w:p>
    <w:p w14:paraId="694B4C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“...Надзиратель безотлучно находится с заключенными как в бараке, так и на производстве (7560).</w:t>
      </w:r>
    </w:p>
    <w:p w14:paraId="08CEA3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Заступив на дежурство надзиратель обязан:</w:t>
      </w:r>
    </w:p>
    <w:p w14:paraId="7A5C0A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проверить наличие заключенных в прикрепленных к нему бараках;</w:t>
      </w:r>
    </w:p>
    <w:p w14:paraId="38184D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произвести обход бараков на предмет выявления подкопов;</w:t>
      </w:r>
    </w:p>
    <w:p w14:paraId="17710C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произвести осмотр бараков и изъять запрещенные предметы;</w:t>
      </w:r>
    </w:p>
    <w:p w14:paraId="670500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проверить чистоту и порядок в бараке, знание обязанностей дневальными и состояние кладовок для хранения личных вещей заключенных.</w:t>
      </w:r>
    </w:p>
    <w:p w14:paraId="45F785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Выявленные во время обхода недостатки надзиратель устраняет на месте и о приеме дежурства докладывает старшему дежурному надзирателю. После сигнала “подъем”, заправки заключенными коек и принятия ими туалета надзиратель выстраивает заключенных около барака и организованно ведет в столовую для принятия пищи.</w:t>
      </w:r>
    </w:p>
    <w:p w14:paraId="43B810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принятия пищи выстраивает заключенных на поверку, проверяет наличие освобожденных от работы, обеспеченность выходящих на работу вещдовольствием по сезону и приводит их побригадно к вахте для развода на работу. О невышедших на работу заключенных без уважительных причин докладывает старшему надзирателю и принимает меры по его указанию.</w:t>
      </w:r>
    </w:p>
    <w:p w14:paraId="076D24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окончании развода надзиратель производит повторный обход бараков и территории, принимая меры к обеспечению в бараках и на территории должного санитарного состояния, снабжению бараков кипяченой водой, топливом и своевременной доставки заключенным пищи на производство.</w:t>
      </w:r>
    </w:p>
    <w:p w14:paraId="012B2B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После развода заключенных на работы, повторного обхода бараков и территории надзиратель следует на производство, где своим неотлучным присутствием обеспечивает:</w:t>
      </w:r>
    </w:p>
    <w:p w14:paraId="702D5D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дисциплину и порядок среди работающих заключенных;</w:t>
      </w:r>
    </w:p>
    <w:p w14:paraId="175B33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выполнение заключенными производственных норм;</w:t>
      </w:r>
    </w:p>
    <w:p w14:paraId="20E2F3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выявление лодырей и отказчиков и принятие к ним соответствующих мер;</w:t>
      </w:r>
    </w:p>
    <w:p w14:paraId="3DAABD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соблюдение изоляции заключенных от посторонних лиц;</w:t>
      </w:r>
    </w:p>
    <w:p w14:paraId="5A2C95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особое наблюдение за заключенными, склонными к побегу;</w:t>
      </w:r>
    </w:p>
    <w:p w14:paraId="7B6B67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недопущение со стороны заключенных промота лагерного имущества;</w:t>
      </w:r>
    </w:p>
    <w:p w14:paraId="6269D6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наличие на производстве кипяченой воды;</w:t>
      </w:r>
    </w:p>
    <w:p w14:paraId="115598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своевременную и организованную выдачу заключенным пищи;</w:t>
      </w:r>
    </w:p>
    <w:p w14:paraId="1BC952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своевременное оказание заключенным медицинской помощи при травмах и внезапных заболеваниях;</w:t>
      </w:r>
    </w:p>
    <w:p w14:paraId="15636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точное соблюдение установленного времени перерывов для курения и обогрева;</w:t>
      </w:r>
    </w:p>
    <w:p w14:paraId="20CA22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окончание работы заключенных в установленное время.</w:t>
      </w:r>
    </w:p>
    <w:p w14:paraId="059C8A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час до окончания заключенными работы надзиратель возвращается с производства в лагерную зону и подготавливает условия к приему заключенных. По возвращении заключенных в зону лагподразделения-колонии надзиратель обеспечивает организованный прием заключенными пищи.</w:t>
      </w:r>
    </w:p>
    <w:p w14:paraId="6176BC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30 минут до отбоя ко сну производит вечернюю проверку и о результатах проверки докладывает старшему дежурному надзирателю.</w:t>
      </w:r>
    </w:p>
    <w:p w14:paraId="2326A8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сигнала отхода ко сну надзиратель следит, чтобы все заключенные, за исключением работающих в ночной смене, находились в своих бараках, ложились спать, прекратили шум, разговоры и всякое передвижение по лагподразделению-колонии.</w:t>
      </w:r>
    </w:p>
    <w:p w14:paraId="1D1E75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нахождения заключенных в бараках надзиратель следит за поведением заключенных, не допускает воровства, картежных и других азартных игр, хулиганства и прочих нарушений. При обнаружении нарушений установленного порядка немедленно принимает меры к их устранению и докладывает старшему надзирателю.</w:t>
      </w:r>
    </w:p>
    <w:p w14:paraId="34862F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Надзиратель принимает от заключенных как письменные, так и устные заявления и, если заключенному необходимо сделать срочное заявление начальнику лагподразделения-колонии, ставит об этом в известность старшего надзирателя, который докладывает начальнику лагподраздедения-колонии.</w:t>
      </w:r>
    </w:p>
    <w:p w14:paraId="1AD88A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Надзиратель обязан всеми мерами пресекать нелегальную переписку заключенных.</w:t>
      </w:r>
    </w:p>
    <w:p w14:paraId="003AC4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Надзиратель присутствует при свиданиях заключенных с родственниками и следит за тем, чтобы во время свидания заключенному не были переданы какие-либо запрещенные предметы или письма. В случае нарушения порядка свидания заключенными или посетителем, надзиратель немедленно прекращает свидание и о случившемся докладывает старшему надзирателю.</w:t>
      </w:r>
    </w:p>
    <w:p w14:paraId="699C08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приеме передачи надзиратель следит, чтобы в передаче заключенным не были переданы запрещенные предметы, записки и т. п. Все принятые в передаче предметы и продукты надзиратель обязан тщательно осмотреть.</w:t>
      </w:r>
    </w:p>
    <w:p w14:paraId="2210E3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Находясь на дежурстве, надзиратель обеспечивает вывод заключенных для прохождения санитарной обработки по утвержденному начальником лагподразделения-колонии графику.</w:t>
      </w:r>
    </w:p>
    <w:p w14:paraId="7CF61E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Надзиратель приводит в исполнение приказы и постановления руководства лагподразделения-колонии и водворяет заключенных в штрафизолятор или карцер” (7560).</w:t>
      </w:r>
    </w:p>
    <w:p w14:paraId="08F7D1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DE3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года Приказом НКВД СССР №0458 “Об организации внутренней надзирательской службы в ИТЛ и ИТК НКВД”, за счет численности военизированной охраны и комендантского состава ИТЛ и ИТК организована надзирательская служба с целью “усиления изоляции заключенных”, установления постоянного надзора за соблюдением правил режима и внутреннего распорядка, укрепления трудовой дисциплины и контроля за обеспечением бытовых условий и утверждено "Положение о внутренней надзирательской службе" (8983).</w:t>
      </w:r>
    </w:p>
    <w:p w14:paraId="2F52E3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6907C" w14:textId="77777777" w:rsidR="0099673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D41AF87" w14:textId="77777777" w:rsidR="00996736" w:rsidRPr="00271E51" w:rsidRDefault="0099673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F796A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28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045B388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декабря на Витебском направлении наши войска, преодолевая сопротивление и контратаки противника, продолжали вести наступательные бои, в ходе которых заняли несколько населённых пунктов.</w:t>
      </w:r>
    </w:p>
    <w:p w14:paraId="3A941478"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и овладели городом Коростышев, районным центром Житомирской области Потиевка, а также заняли более 60 других населённых пунктов, среди которых крупные населённые пункты Бехи, Козиновка, Злобичи, Старики, Добрынь, Будиловка, Вихля, Старая Буда, Облитки, Заньки, Ляховая, Чайковка, Филипповичи, Кайтановка, Берёзовка, Минейки,Тесновка, Смоловка, Нехво-Рощ, Моисеевна, Паволочь.</w:t>
      </w:r>
    </w:p>
    <w:p w14:paraId="5DE20460"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наши войска отбивали атаки крупных сил пехоты и танков противника и нанесли ему большие потери в живой силе и технике.</w:t>
      </w:r>
    </w:p>
    <w:p w14:paraId="42CECD5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12A83CC1"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27 декабря наши войска на всех фронтах подбили и уничтожили 105 немецких танков. В воздушных боях и огнём зенитной артиллерии сбито 15 самолётов противника.</w:t>
      </w:r>
    </w:p>
    <w:p w14:paraId="5B2F69C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продолжали вести наступательные бои, продвинулись вперёд и заняли несколько населённых пунктов. Северо-западнее Витебска части Н-ского соединения отбили следовавшие одну за другой восемнадцать контратак противника и уничтожили до 1.500 немецких солдат и офицеров. Выбив немцев из сильно укреплённых позиций, наши бойцы захватили две артиллерийских батареи и склад боеприпасов. Восточнее и юго-восточнее Витебска противник, опираясь на укреплённые пункты и господствующие над местностью высоты, оказывал упорное сопротивление. Особенно ожесточённые бои происходили в районе одного опорного пункта, который несколько раз переходил из рук в руки. Совершив успешный манёвр, советские бойцы нанесли немцам решающий удар и овладели опорным пунктом обороны немцев. В этом бою истреблено до батальона гитлеровцев, подбитои сожжено 11 танков и 3 самоходных орудия противника.</w:t>
      </w:r>
    </w:p>
    <w:p w14:paraId="44FA54A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наступление. Наши пехотинцы и танкисты, с боями продвигаясь вперёд, вышли на подступы к городу Коростышев. Немцы всеми мерами пытались удержать город в своих руках и оказывали упорное сопротивление. Наши части форсировали реку Тетерев и с севера и юга ворвались в Коростышев. В ожесточённых уличных боях войска противника, оборонявшие город, были уничтожены. Подбито и сожжено 35 танков и самоходных орудий и свыше 50 орудий разного калибра. Захвачено большое количество боеприпасов, продовольствияи различных военных материалов. Нашими войсками заняты районный центр Житомирской области Потиевка и более 60 других населённых пунктов. В одном районе части Н-ского соединения, стремительно продвигаясь вперёд, окружили и к исходу дня ликвидировали группу войск противника. Захвачены 6 исправных танков, 26 орудий, 10 тысяч мин, 30 тысяч снарядов, около миллиона патронов и 110 автомашин. Взято в плен значительное число немецких солдат и офицеров.</w:t>
      </w:r>
    </w:p>
    <w:p w14:paraId="528D940E"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противник сосредоточил на узком участке фронта крупные силы пехоты и танков и атаковал наши позиции. Завязались напряжённые бои. Вражеские танки не смогли прорваться сквозь огневую завесу советской артиллерии и миномётов, понесли большие потери и отошли на исходный рубеж. На поле боя осталось более 30 сгоревших и подбитых немецких танков и 6 самоходных орудий. Противник потерял только убитыми до 1.000 солдат и офицеров.</w:t>
      </w:r>
    </w:p>
    <w:p w14:paraId="1C75C8A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Партизанский отряд, действующий в Пинской области, за десять дней декабря пустил под откос два немецких воинских эшелона, следовавших к линии фронта. Врезультате крушений убито и ранено не менее 200 гитлеровцев. Кроме того, советские патриоты вырезали свыше 8 километров телеграфно-телефонной линии связи противника.</w:t>
      </w:r>
    </w:p>
    <w:p w14:paraId="6DA0B51E"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4 роты 169 полка 68 немецкой пехотной дивизии Карл Губерт рассказал: «В октябре я, в составе пополнения, попал в 169 полк. В это время 4,8 и 12 пулемётные роты, ввиду понесённых ими тяжёлых потерь, были сведены в одно подразделение. В ноябре, после прибытия нового пополнения, роты были восстановлены. Вскоре русские на нашем участке перешли в наступление. Артиллерийский и миномётный огонь причинил нам огромные потери. Солдаты, которые находятся на фронте с самого начала войны, утверждают, что такого огня они ещё никогда не видали. Русские танки прорвали нашу оборону, и зашли в тыл. 68 дивизия была фактически разгромлена. После трёхдневных боёв в 169 и 196 полках, вместе взятых, осталось всего-навсего около 200 человек. Раньше дивизия, потерявшая половину и даже меньше половины личного состава, заменялась другой и отводилась на пополнение в тыл. Теперь же соединение, лишившееся 70— 80 процентов солдат, не выводится из боя. Его заставляют сражаться до тех пор, пока не будет разбит последний взвод».</w:t>
      </w:r>
    </w:p>
    <w:p w14:paraId="49512E0B"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Ниже публикуется акт о зверствах немецко-фашистских мерзавцев: «Когда части Красной Армии заняли населённый пункт Новосёлки, Гомельской области, наши бойцы обнаружили в немецких траншеях 27 трупов советских бойцов, зверски замученных гитлеровцами. Установлено, что красноармейцы попали в плен, будучи ранеными. На их раны наложены повязки из советских перевязочных материалов. Захватив в плен раненых бойцов, немцы связали их колючей проволокой и зверски замучили. Красноармейца Садыка Садырбоева они жгли на костре. У большинства бойцов отрублены конечности тела и отрезаны уши».</w:t>
      </w:r>
    </w:p>
    <w:p w14:paraId="4A60366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подполковник П.Рябенко, капитан М.Грамм, капитан А.Стародубцев, капитан медицинской службы, Зенин, лейтенант Карцев, сержант С.Пичурин (14874).</w:t>
      </w:r>
    </w:p>
    <w:p w14:paraId="68152361"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0DFB1F0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75E1FA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0175C"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28 декабря</w:t>
      </w:r>
      <w:r w:rsidRPr="00271E51">
        <w:rPr>
          <w:rFonts w:ascii="Times New Roman" w:hAnsi="Times New Roman"/>
          <w:color w:val="000000" w:themeColor="text1"/>
          <w:sz w:val="16"/>
          <w:szCs w:val="16"/>
        </w:rPr>
        <w:t xml:space="preserve"> в 1943 году предпринята единственная известная попытка боевого применения четырехмоторных бомбардировщиках «FW200C» "Кондор" в качестве ракетоносца (14874).</w:t>
      </w:r>
    </w:p>
    <w:p w14:paraId="109D0B74"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78DF2786" w14:textId="77777777" w:rsidR="006F5020" w:rsidRPr="00271E51" w:rsidRDefault="006F502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28 декабря 1943 - Предпринята единственная известная попытка боевого применения четырехмоторных бомбардировщиках FW200C "Кондор" в качестве ракетоносца и сорвалась она из-за того, что английская патрульная летающая лодка "Сандерленд" перехватила четырёхмоторный бомбардировщик с двумя подвешенными Hs293 прежде, чем тот вышел в район цели (22689).</w:t>
      </w:r>
    </w:p>
    <w:p w14:paraId="23FC2D60" w14:textId="77777777" w:rsidR="006F5020" w:rsidRPr="00271E51" w:rsidRDefault="006F5020" w:rsidP="00271E51">
      <w:pPr>
        <w:spacing w:after="0" w:line="240" w:lineRule="auto"/>
        <w:jc w:val="both"/>
        <w:rPr>
          <w:rFonts w:ascii="Times New Roman" w:hAnsi="Times New Roman"/>
          <w:color w:val="0070C0"/>
          <w:sz w:val="16"/>
          <w:szCs w:val="16"/>
        </w:rPr>
      </w:pPr>
    </w:p>
    <w:p w14:paraId="73CD0B53"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28 декабря</w:t>
      </w:r>
      <w:r w:rsidRPr="00271E51">
        <w:rPr>
          <w:rFonts w:ascii="Times New Roman" w:hAnsi="Times New Roman"/>
          <w:color w:val="000000" w:themeColor="text1"/>
          <w:sz w:val="16"/>
          <w:szCs w:val="16"/>
        </w:rPr>
        <w:t xml:space="preserve"> в 1943 году Г.Гиммлер приказывает сократить количество казней в концлагерях для увеличения количества рабочих на заводах (14874).</w:t>
      </w:r>
    </w:p>
    <w:p w14:paraId="1C38531C"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37D918A3"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Гиммлер приказал сократить количество казней в концлагерях для увеличения количества рабочих на заводах (4962).</w:t>
      </w:r>
    </w:p>
    <w:p w14:paraId="1E92F94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237B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 декабря 1943 Гитлер приказал уничтожить свою ставку “Вервольф” под Винницей (4962).</w:t>
      </w:r>
    </w:p>
    <w:p w14:paraId="43D04B49"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C16336" w14:textId="77777777" w:rsidR="006F5020" w:rsidRPr="00271E51" w:rsidRDefault="006F502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28 декабря 1943 американский самолет, базирующийся в Тараве, наносит удар по Науру (20376).</w:t>
      </w:r>
    </w:p>
    <w:p w14:paraId="1907E90F" w14:textId="77777777" w:rsidR="006F5020" w:rsidRPr="00271E51" w:rsidRDefault="006F5020" w:rsidP="00271E51">
      <w:pPr>
        <w:spacing w:after="0" w:line="240" w:lineRule="auto"/>
        <w:jc w:val="both"/>
        <w:rPr>
          <w:rFonts w:ascii="Times New Roman" w:hAnsi="Times New Roman"/>
          <w:color w:val="0070C0"/>
          <w:sz w:val="16"/>
          <w:szCs w:val="16"/>
        </w:rPr>
      </w:pPr>
    </w:p>
    <w:p w14:paraId="28E50743"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55463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23D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Зам. НКАП А.Кузнецов писал ГК завода 156 А.Н.Т. и ГК завода 240 С.В.И. письмо N Н-35/2 по вопросу размещения РПКО-10:</w:t>
      </w:r>
    </w:p>
    <w:p w14:paraId="3C7184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связи с переходом в 1-м полугодии 1944 на установку РПК с отметчиком РПКО-10, взамен РПК-10, прошу обеспечить в январе месяце 1944 отработку размещения РПКО-10 на Ил-2 и Ту-2...(2562).</w:t>
      </w:r>
    </w:p>
    <w:p w14:paraId="6A0048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447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ГРУ писало письмо N 140532сс А.С.Я. о работах в области самолетостроения в Англии и США и в основном по вопросам использования американских ТК в английской АП, которая полностью прекратила их выпуск (1780,79).</w:t>
      </w:r>
    </w:p>
    <w:p w14:paraId="7B9EFE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7437A"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93467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83C9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в АН СССР создали Лабораторию по изучению атомного ядра, которую возглавил И.В.Курчатов (3481).</w:t>
      </w:r>
    </w:p>
    <w:p w14:paraId="4CCED0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692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На Балтийском заводе заложено четыре стотонника, на Адмиралтейском - 15-й МБК (10671).</w:t>
      </w:r>
    </w:p>
    <w:p w14:paraId="3E0939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81F7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1E0C89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0C687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в 1943 году оперативная сводка Совинформбюро:</w:t>
      </w:r>
    </w:p>
    <w:p w14:paraId="111030B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декабря на Витебском направлении нашивойска продолжали вести наступательные бои, в ходе которых заняли нескольконаселённых пунктов и среди них населённые пункты Козлы, Короли, Заборцы, Лосвида, Боровня, Угляны, Красный Двор.</w:t>
      </w:r>
    </w:p>
    <w:p w14:paraId="352998A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преодолевая сопротивление противника,продолжали успешно развивать наступление и овладели городом и железнодорожным узлом Коростень, городом и крупной железнодорожной станцией Черняхов, городом и железнодорожной станцией Сквира, а также заняли более 250 населённых пунктов, среди которых крупные населённые пункты Чигири, Купище, Белошицы, Ковали, Крапивня, Небиж, Салы, Селец, Жадьки, Бражника, Выдыбор, Горбулёв, Андреев,Бежев, Слипчицы, Торчин, Каменный Брод, Старосельцы, Гуменники, Студеница, Стрижёвка, Левков, Волосов, Старая и Новая Котельня, Красовка, Белополье, Радзивиловка, Вернигородок, Малая Чернявка, Малые Нижгурцы, Карабчеев, Верховня,Кривошеинцы, Крыловка, Селезёновка, Краснолесы, Виницкие Ставы и железнодорожные станции Клочки, Ушомир, Выгов, Турчинка, Фасово, Града, Корчма, Палениченцы.</w:t>
      </w:r>
    </w:p>
    <w:p w14:paraId="17D1ECAD"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наши войска успешно отбивали атаки крупных сил пехоты и танков противника и нанесли ему большие потери в живой силе и технике.</w:t>
      </w:r>
    </w:p>
    <w:p w14:paraId="6B71708D"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западнее города Запорожье, наши войска перешли внаступление и с боями заняли более 30 населённых пунктов и среди них пригород города Запорожье на правом берегу Днепра, а также крупные населённые пункты Зелёный Гай, Лукашёвка, Великий Луг, Хортица, Канцеровка, Бабурка, Нижняяхортица, Разумовка, Ново-Фёдоровка и очистили от противника остров Хортица.</w:t>
      </w:r>
    </w:p>
    <w:p w14:paraId="79F7CAE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322FFF86"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28 декабря наши войска на всех фронтах подбили и уничтожили 113 немецких танков. В воздушных боях и огнём зенитной артиллерии сбито 33 самолёта противника.</w:t>
      </w:r>
    </w:p>
    <w:p w14:paraId="766A780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преодолевая сопротивление противника, продолжали продвигаться вперёд и заняли несколько населённых пунктов. Северо-западнее Витебска бойцы Н-ского соединения очистили от немцев большой лес, уничтожив при этом до батальона гитлеровцев. Захвачены трофеи и пленные. Юго-восточнее Витебска противник подтянул резервы и усилил свои боевые порядки артиллерией и танками. Используя выгодные условия местности, немцы неоднократно переходили в контратаки. Наши войска в упорных боях отбросили противника и овладели выгодными позициями. В этих боях уничтожено более 1.000 немецких солдат и офицеров.</w:t>
      </w:r>
    </w:p>
    <w:p w14:paraId="6D8C18F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успешное наступление. Части Н-ского соединения после артиллерийской подготовки атаковали противника, оборонявшего подступы к городу Коростень. Сломив сопротивление немцев, советские бойцы быстро продвинулись вперёд, обтекая город с севера и юга. Решительными ударами с фронта и флангов противник был разгромлен, и наши войска вновь освободили город Коростень от немецко-фашистских оккупантов. Захвачено у немцев много тяжёлого и лёгкого оружия, склады с боеприпасами и военными материалами. На другом участке наши войска, стремительно продвигаясь вперёд, штурмом заняли город и железнодорожную станцию Черняхов. В боях на подступах к городу подбито 26 немецких танков. Уничтожено и захвачено большое количество автомашин и крупный обоз противника. Немцы бежали, бросив всю военную технику, артиллерию и боеприпасы. Развивая наступление, наши войска овладели городом Сквира и заняли более 250 населённых пунктов. На одной железнодорожной станции выгружался из вагонов только что прибывший полк пехоты противника. Наши танкисты и автоматчики так быстро ворвались на станцию, что гитлеровцы не успели даже построиться. Часть немецких солдат разбежалась, а остальные взяты в плен. В происходящих боях противник несёт исключительно большие потери в живой силе и технике.</w:t>
      </w:r>
    </w:p>
    <w:p w14:paraId="32A65CA0"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неблагоприятные условия погоды, советская авиация наносила удары по немецким войскам и уничтожила более 20 танков, 200 автомашин и несколько железнодорожных эшелонов противника.</w:t>
      </w:r>
    </w:p>
    <w:p w14:paraId="333C3613"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Севернее Кировограда наши войска отбивали атаки крупных сил пехоты и танков противника. Особенно ожесточённые бои развернулись в районе одного населённого пункта. Немецкая пехота, поддержанная танками и самоходными орудиями, много раз атаковала наши позиции. Вражеские атаки следовали одна за другой вплоть до вечера. Немцы понесли большие потери, но так и не добились успеха. Советские бойцы сожгли и подбили 45 танков, уничтожили 18 бронетранспортёров с пехотой и 28 самоходных орудий противника.</w:t>
      </w:r>
    </w:p>
    <w:p w14:paraId="27F3497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транспорт водоизмещением в 1.800 тонн и два тральщика противника.</w:t>
      </w:r>
    </w:p>
    <w:p w14:paraId="3B56873E"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Отряд крымских партизан в ночь на 20 декабря совершил налёт на одну железнодорожную станцию. Советские патриоты взорвали и разрушили железнодорожные пути, уничтожили связь и сожгли две цистерны с бензином и 11 вагонов с военными грузами противника.</w:t>
      </w:r>
    </w:p>
    <w:p w14:paraId="018F18AA"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старший врач 3 батальона 207 полка 97 немецкой горно-егерской дивизии Герман Шнейдер рассказал: «В последних боях в нашем полку выбыло из строя много офицеров. Когда был убит командир 11 роты лейтенант Лейхнер, меня временно назначили на его место. Через два дня русские прорвали оборону и окружили нас. Часть солдат разбежалась, а остальные вместе со мной сдались в плен. Немецкая армия понесла на Восточном фронте огромные потери в офицерском составе. Обер-лейтенант Нестлер, продолжительное время служивший в Берлине, заявил, что в настоящее время три четверти немецких офицеров — это резервисты, получившие военную подготовку на краткосрочных курсах. В офицерской среде господствуют мрачные настроения. Некоторые офицеры уже открыто говорят о том, что авантюризм Гитлера привел Германию к военному поражению».</w:t>
      </w:r>
    </w:p>
    <w:p w14:paraId="69B1DBA4"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Ниже публикуется акт о зверствах немецко-фашистских мерзавцев в селе Барышевке, Киевской области: «За время оккупации гитлеровские палачи замучили и расстреляли многих мирных жителей Барышевского района. После освобождения Барышевки от немецко-фашистских захватчиков мы вскрыли яму на окраине села и извлекли оттуда 95 трупов советских граждан, убитых немецкими извергами. В числе погибших опознаны: Григорий Ткаченко — председатель колхоза, Ефросинья Василяка— председатель сельского совета, Мария Касьяненко — колхозница, Андрей Сердюк —бригадир колхоза, Афанасий Василяка — механик МТС, Фёдор Головатый — медицинский фельдшер, Семен Яхно — заведующий колхозной фермой и другие. Трупы советских граждан, замученных и расстрелянных немецкими извергами, теперь похоронены в братской могиле на центральной площади села» (14875).</w:t>
      </w:r>
    </w:p>
    <w:p w14:paraId="67441106"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394DEE71" w14:textId="77777777" w:rsidR="00C41A6C" w:rsidRPr="00271E51" w:rsidRDefault="00C41A6C" w:rsidP="00271E51">
      <w:pPr>
        <w:pStyle w:val="ae"/>
        <w:spacing w:before="0" w:after="0"/>
        <w:jc w:val="both"/>
        <w:textAlignment w:val="baseline"/>
        <w:rPr>
          <w:color w:val="000000" w:themeColor="text1"/>
          <w:sz w:val="16"/>
          <w:szCs w:val="16"/>
        </w:rPr>
      </w:pPr>
      <w:r w:rsidRPr="00271E51">
        <w:rPr>
          <w:color w:val="000000" w:themeColor="text1"/>
          <w:sz w:val="16"/>
          <w:szCs w:val="16"/>
        </w:rPr>
        <w:t>29 декабря 1943 года произошёл бой за Антополь-Боярку, в котором отличился лейтенант В.А. Курочкин. Сражаясь с оппонентами Крысова из дивизии СС «Лейбштандарт Адольф Гитлер», экипаж Курочкина умудрился переиграть двух «Тигров» и уничтожить один из них. Позже этот эпизод Курочкин опишет в повести «На войне как на войне». Ставший знаменитым по одноимённому фильму Малешкин — это и есть тот самый Курочкин (17719).</w:t>
      </w:r>
    </w:p>
    <w:p w14:paraId="7DC14807" w14:textId="77777777" w:rsidR="00C41A6C" w:rsidRPr="00271E51" w:rsidRDefault="00C41A6C" w:rsidP="00271E51">
      <w:pPr>
        <w:pStyle w:val="12a"/>
        <w:shd w:val="clear" w:color="auto" w:fill="auto"/>
        <w:spacing w:after="0" w:line="240" w:lineRule="auto"/>
        <w:jc w:val="both"/>
        <w:rPr>
          <w:color w:val="000000" w:themeColor="text1"/>
          <w:sz w:val="16"/>
          <w:szCs w:val="16"/>
        </w:rPr>
      </w:pPr>
    </w:p>
    <w:p w14:paraId="7AF532B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советские войска освободили Коростень (4962).</w:t>
      </w:r>
    </w:p>
    <w:p w14:paraId="2BA7B88D"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FCE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 декабря 1943 года состоялся налет на конвой, формировавшийся в Одессе. В атаке участвовали 12 Р-39, 9 Пе-2 и 9 Ил-2, Советские самолеты потопили один транспорт и два баркаса (2691).</w:t>
      </w:r>
    </w:p>
    <w:p w14:paraId="628FE5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6CEA8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271E51">
        <w:rPr>
          <w:rFonts w:ascii="Times New Roman" w:hAnsi="Times New Roman"/>
          <w:i/>
          <w:iCs/>
          <w:color w:val="000000" w:themeColor="text1"/>
          <w:sz w:val="16"/>
          <w:szCs w:val="16"/>
        </w:rPr>
        <w:t>За</w:t>
      </w:r>
      <w:r w:rsidRPr="00271E51">
        <w:rPr>
          <w:rFonts w:ascii="Times New Roman" w:hAnsi="Times New Roman"/>
          <w:i/>
          <w:iCs/>
          <w:color w:val="000000" w:themeColor="text1"/>
          <w:sz w:val="16"/>
          <w:szCs w:val="16"/>
          <w:lang w:val="en-US"/>
        </w:rPr>
        <w:t xml:space="preserve"> </w:t>
      </w:r>
      <w:r w:rsidRPr="00271E51">
        <w:rPr>
          <w:rFonts w:ascii="Times New Roman" w:hAnsi="Times New Roman"/>
          <w:i/>
          <w:iCs/>
          <w:color w:val="000000" w:themeColor="text1"/>
          <w:sz w:val="16"/>
          <w:szCs w:val="16"/>
        </w:rPr>
        <w:t>рубежом</w:t>
      </w:r>
      <w:r w:rsidRPr="00271E51">
        <w:rPr>
          <w:rFonts w:ascii="Times New Roman" w:hAnsi="Times New Roman"/>
          <w:i/>
          <w:iCs/>
          <w:color w:val="000000" w:themeColor="text1"/>
          <w:sz w:val="16"/>
          <w:szCs w:val="16"/>
          <w:lang w:val="en-US"/>
        </w:rPr>
        <w:t>:</w:t>
      </w:r>
    </w:p>
    <w:p w14:paraId="7E6F4F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F4BF2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lang w:val="en-US"/>
        </w:rPr>
        <w:t>December 29, 1943: The British 8th Army (Montgomery) captures Ortona on the Adriatic coast of Italy. The RAF launches a heavy raid on Berlin (3819).</w:t>
      </w:r>
    </w:p>
    <w:p w14:paraId="6F9378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747C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29 </w:t>
      </w:r>
      <w:r w:rsidRPr="00271E51">
        <w:rPr>
          <w:rFonts w:ascii="Times New Roman" w:hAnsi="Times New Roman"/>
          <w:color w:val="000000" w:themeColor="text1"/>
          <w:sz w:val="16"/>
          <w:szCs w:val="16"/>
        </w:rPr>
        <w:t>декабря</w:t>
      </w:r>
      <w:r w:rsidRPr="00271E51">
        <w:rPr>
          <w:rFonts w:ascii="Times New Roman" w:hAnsi="Times New Roman"/>
          <w:color w:val="000000" w:themeColor="text1"/>
          <w:sz w:val="16"/>
          <w:szCs w:val="16"/>
          <w:lang w:val="en-US"/>
        </w:rPr>
        <w:t xml:space="preserve"> 1943 </w:t>
      </w:r>
      <w:r w:rsidRPr="00271E51">
        <w:rPr>
          <w:rFonts w:ascii="Times New Roman" w:hAnsi="Times New Roman"/>
          <w:color w:val="000000" w:themeColor="text1"/>
          <w:sz w:val="16"/>
          <w:szCs w:val="16"/>
        </w:rPr>
        <w:t>британская</w:t>
      </w:r>
      <w:r w:rsidRPr="00271E51">
        <w:rPr>
          <w:rFonts w:ascii="Times New Roman" w:hAnsi="Times New Roman"/>
          <w:color w:val="000000" w:themeColor="text1"/>
          <w:sz w:val="16"/>
          <w:szCs w:val="16"/>
          <w:lang w:val="en-US"/>
        </w:rPr>
        <w:t xml:space="preserve"> 8</w:t>
      </w:r>
      <w:r w:rsidRPr="00271E51">
        <w:rPr>
          <w:rFonts w:ascii="Times New Roman" w:hAnsi="Times New Roman"/>
          <w:color w:val="000000" w:themeColor="text1"/>
          <w:sz w:val="16"/>
          <w:szCs w:val="16"/>
        </w:rPr>
        <w:t>А</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Монтгомери</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захватилаОртонунаАдриатике</w:t>
      </w:r>
      <w:r w:rsidRPr="00271E51">
        <w:rPr>
          <w:rFonts w:ascii="Times New Roman" w:hAnsi="Times New Roman"/>
          <w:color w:val="000000" w:themeColor="text1"/>
          <w:sz w:val="16"/>
          <w:szCs w:val="16"/>
          <w:lang w:val="en-US"/>
        </w:rPr>
        <w:t xml:space="preserve">. </w:t>
      </w:r>
      <w:r w:rsidRPr="00271E51">
        <w:rPr>
          <w:rFonts w:ascii="Times New Roman" w:hAnsi="Times New Roman"/>
          <w:color w:val="000000" w:themeColor="text1"/>
          <w:sz w:val="16"/>
          <w:szCs w:val="16"/>
        </w:rPr>
        <w:t>Королевские ВВС выполнили массированный налет на Берлин (3819).</w:t>
      </w:r>
    </w:p>
    <w:p w14:paraId="1AC704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D76CF" w14:textId="77777777" w:rsidR="005A3E32" w:rsidRPr="00271E51" w:rsidRDefault="005A3E3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29–30 декабря (ночь) 1943 712 британских бомбардировщиков наносят удар по Берлину с потерей 20 самолетов (2,8% сил). Облачный покров заставляет их разбрасывать бомбы, и многие из них не попадают в город (20376).</w:t>
      </w:r>
    </w:p>
    <w:p w14:paraId="6EC3C07B" w14:textId="77777777" w:rsidR="005A3E32" w:rsidRPr="00271E51" w:rsidRDefault="005A3E32" w:rsidP="00271E51">
      <w:pPr>
        <w:spacing w:after="0" w:line="240" w:lineRule="auto"/>
        <w:jc w:val="both"/>
        <w:rPr>
          <w:rFonts w:ascii="Times New Roman" w:hAnsi="Times New Roman"/>
          <w:color w:val="0070C0"/>
          <w:sz w:val="16"/>
          <w:szCs w:val="16"/>
        </w:rPr>
      </w:pPr>
    </w:p>
    <w:p w14:paraId="0B290E83" w14:textId="77777777" w:rsidR="00787BC1" w:rsidRPr="00271E51" w:rsidRDefault="00787BC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411E5DF4" w14:textId="77777777" w:rsidR="00787BC1" w:rsidRPr="00271E51" w:rsidRDefault="00787BC1"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0A19F3" w14:textId="77777777" w:rsidR="00787BC1" w:rsidRPr="00271E51" w:rsidRDefault="00787BC1" w:rsidP="00271E51">
      <w:pPr>
        <w:shd w:val="clear" w:color="auto" w:fill="FFFFFF"/>
        <w:spacing w:after="0" w:line="240" w:lineRule="auto"/>
        <w:jc w:val="both"/>
        <w:rPr>
          <w:rFonts w:ascii="Times New Roman" w:hAnsi="Times New Roman"/>
          <w:color w:val="0070C0"/>
          <w:sz w:val="16"/>
          <w:szCs w:val="16"/>
        </w:rPr>
      </w:pPr>
      <w:r w:rsidRPr="00271E51">
        <w:rPr>
          <w:rStyle w:val="621"/>
          <w:rFonts w:ascii="Times New Roman" w:hAnsi="Times New Roman" w:cs="Times New Roman"/>
          <w:color w:val="0070C0"/>
          <w:sz w:val="16"/>
          <w:szCs w:val="16"/>
        </w:rPr>
        <w:t>В два</w:t>
      </w:r>
      <w:r w:rsidRPr="00271E51">
        <w:rPr>
          <w:rStyle w:val="621"/>
          <w:rFonts w:ascii="Times New Roman" w:hAnsi="Times New Roman" w:cs="Times New Roman"/>
          <w:color w:val="0070C0"/>
          <w:sz w:val="16"/>
          <w:szCs w:val="16"/>
        </w:rPr>
        <w:softHyphen/>
        <w:t>дцатых числах декабря 1943 года в связи с растущей нагрузкой на завод №9, связанной с выпус</w:t>
      </w:r>
      <w:r w:rsidRPr="00271E51">
        <w:rPr>
          <w:rStyle w:val="621"/>
          <w:rFonts w:ascii="Times New Roman" w:hAnsi="Times New Roman" w:cs="Times New Roman"/>
          <w:color w:val="0070C0"/>
          <w:sz w:val="16"/>
          <w:szCs w:val="16"/>
        </w:rPr>
        <w:softHyphen/>
        <w:t>ком танковых и самоходных орудий задание на выпуск Д-5С-85 получил завод №8. В резуль</w:t>
      </w:r>
      <w:r w:rsidRPr="00271E51">
        <w:rPr>
          <w:rStyle w:val="621"/>
          <w:rFonts w:ascii="Times New Roman" w:hAnsi="Times New Roman" w:cs="Times New Roman"/>
          <w:color w:val="0070C0"/>
          <w:sz w:val="16"/>
          <w:szCs w:val="16"/>
        </w:rPr>
        <w:softHyphen/>
        <w:t>тате, с января 1944 года пушки для СУ-85 делали уже два завода. К 1 февраля завод №8 собрал 36 орудий, из которых заказчик при</w:t>
      </w:r>
      <w:r w:rsidRPr="00271E51">
        <w:rPr>
          <w:rStyle w:val="621"/>
          <w:rFonts w:ascii="Times New Roman" w:hAnsi="Times New Roman" w:cs="Times New Roman"/>
          <w:color w:val="0070C0"/>
          <w:sz w:val="16"/>
          <w:szCs w:val="16"/>
        </w:rPr>
        <w:softHyphen/>
        <w:t>нял 12 штук. Посильную помощь в организа</w:t>
      </w:r>
      <w:r w:rsidRPr="00271E51">
        <w:rPr>
          <w:rStyle w:val="621"/>
          <w:rFonts w:ascii="Times New Roman" w:hAnsi="Times New Roman" w:cs="Times New Roman"/>
          <w:color w:val="0070C0"/>
          <w:sz w:val="16"/>
          <w:szCs w:val="16"/>
        </w:rPr>
        <w:softHyphen/>
        <w:t xml:space="preserve">ции производства новой для предприятия </w:t>
      </w:r>
      <w:r w:rsidRPr="00271E51">
        <w:rPr>
          <w:rStyle w:val="631"/>
          <w:rFonts w:ascii="Times New Roman" w:hAnsi="Times New Roman" w:cs="Times New Roman"/>
          <w:color w:val="0070C0"/>
          <w:sz w:val="16"/>
          <w:szCs w:val="16"/>
        </w:rPr>
        <w:t>буксируемыми орудийными системами - ока</w:t>
      </w:r>
      <w:r w:rsidRPr="00271E51">
        <w:rPr>
          <w:rStyle w:val="631"/>
          <w:rFonts w:ascii="Times New Roman" w:hAnsi="Times New Roman" w:cs="Times New Roman"/>
          <w:color w:val="0070C0"/>
          <w:sz w:val="16"/>
          <w:szCs w:val="16"/>
        </w:rPr>
        <w:softHyphen/>
        <w:t>зывал завод №9. Правда, при этом практиче</w:t>
      </w:r>
      <w:r w:rsidRPr="00271E51">
        <w:rPr>
          <w:rStyle w:val="631"/>
          <w:rFonts w:ascii="Times New Roman" w:hAnsi="Times New Roman" w:cs="Times New Roman"/>
          <w:color w:val="0070C0"/>
          <w:sz w:val="16"/>
          <w:szCs w:val="16"/>
        </w:rPr>
        <w:softHyphen/>
        <w:t>ски сразу специфика производства букси</w:t>
      </w:r>
      <w:r w:rsidRPr="00271E51">
        <w:rPr>
          <w:rStyle w:val="631"/>
          <w:rFonts w:ascii="Times New Roman" w:hAnsi="Times New Roman" w:cs="Times New Roman"/>
          <w:color w:val="0070C0"/>
          <w:sz w:val="16"/>
          <w:szCs w:val="16"/>
        </w:rPr>
        <w:softHyphen/>
        <w:t>руемых систем выплыла наружу. Дело в том, что завод №8 выпускал 85-мм зенитные пушки 52-К, и перестраивать производство под конструкцию орудия завода №9 там не горели особым желанием. В результате кон</w:t>
      </w:r>
      <w:r w:rsidRPr="00271E51">
        <w:rPr>
          <w:rStyle w:val="631"/>
          <w:rFonts w:ascii="Times New Roman" w:hAnsi="Times New Roman" w:cs="Times New Roman"/>
          <w:color w:val="0070C0"/>
          <w:sz w:val="16"/>
          <w:szCs w:val="16"/>
        </w:rPr>
        <w:softHyphen/>
        <w:t>структорское бюро завода №8 разработало собственную версию орудия для самоходной установки, получившую обозначение Д5-С- 85А. Первое такое орудие завод №8 построил в конце января 1944 г.</w:t>
      </w:r>
    </w:p>
    <w:p w14:paraId="1392857A" w14:textId="77777777" w:rsidR="00787BC1" w:rsidRPr="00271E51" w:rsidRDefault="00787BC1" w:rsidP="00271E51">
      <w:pPr>
        <w:spacing w:after="0" w:line="240" w:lineRule="auto"/>
        <w:jc w:val="both"/>
        <w:rPr>
          <w:rStyle w:val="631"/>
          <w:rFonts w:ascii="Times New Roman" w:hAnsi="Times New Roman" w:cs="Times New Roman"/>
          <w:color w:val="0070C0"/>
          <w:sz w:val="16"/>
          <w:szCs w:val="16"/>
        </w:rPr>
      </w:pPr>
      <w:r w:rsidRPr="00271E51">
        <w:rPr>
          <w:rStyle w:val="631"/>
          <w:rFonts w:ascii="Times New Roman" w:hAnsi="Times New Roman" w:cs="Times New Roman"/>
          <w:color w:val="0070C0"/>
          <w:sz w:val="16"/>
          <w:szCs w:val="16"/>
        </w:rPr>
        <w:t>Для Д5-С-85А от зенитного орудия 52-К были взяты затвор и ствол, что существенно</w:t>
      </w:r>
      <w:r w:rsidRPr="00271E51">
        <w:rPr>
          <w:rStyle w:val="641"/>
          <w:rFonts w:ascii="Times New Roman" w:hAnsi="Times New Roman" w:cs="Times New Roman"/>
          <w:color w:val="0070C0"/>
          <w:sz w:val="16"/>
          <w:szCs w:val="16"/>
        </w:rPr>
        <w:t xml:space="preserve"> упрощало выпуск самоходных артиллерий</w:t>
      </w:r>
      <w:r w:rsidRPr="00271E51">
        <w:rPr>
          <w:rStyle w:val="641"/>
          <w:rFonts w:ascii="Times New Roman" w:hAnsi="Times New Roman" w:cs="Times New Roman"/>
          <w:color w:val="0070C0"/>
          <w:sz w:val="16"/>
          <w:szCs w:val="16"/>
        </w:rPr>
        <w:softHyphen/>
      </w:r>
      <w:r w:rsidRPr="00271E51">
        <w:rPr>
          <w:rStyle w:val="631"/>
          <w:rFonts w:ascii="Times New Roman" w:hAnsi="Times New Roman" w:cs="Times New Roman"/>
          <w:color w:val="0070C0"/>
          <w:sz w:val="16"/>
          <w:szCs w:val="16"/>
        </w:rPr>
        <w:t>ских систем. В связи с использованием иного ствола и затвора, Д5-С-85А получила также и ограждение, отличное от конструкции Д5-С- 85. Внешне эти орудия на самоходках отли</w:t>
      </w:r>
      <w:r w:rsidRPr="00271E51">
        <w:rPr>
          <w:rStyle w:val="631"/>
          <w:rFonts w:ascii="Times New Roman" w:hAnsi="Times New Roman" w:cs="Times New Roman"/>
          <w:color w:val="0070C0"/>
          <w:sz w:val="16"/>
          <w:szCs w:val="16"/>
        </w:rPr>
        <w:softHyphen/>
        <w:t>чаются конусностью стволов. Старший воен</w:t>
      </w:r>
      <w:r w:rsidRPr="00271E51">
        <w:rPr>
          <w:rStyle w:val="631"/>
          <w:rFonts w:ascii="Times New Roman" w:hAnsi="Times New Roman" w:cs="Times New Roman"/>
          <w:color w:val="0070C0"/>
          <w:sz w:val="16"/>
          <w:szCs w:val="16"/>
        </w:rPr>
        <w:softHyphen/>
        <w:t>ный представитель на УЗТМ Г.З. Зухер был против такого решения, поскольку оно порождало проблемы с ЗИП и деталями. Тем не менее, 28 января Д5-С-85А прошла успеш</w:t>
      </w:r>
      <w:r w:rsidRPr="00271E51">
        <w:rPr>
          <w:rStyle w:val="631"/>
          <w:rFonts w:ascii="Times New Roman" w:hAnsi="Times New Roman" w:cs="Times New Roman"/>
          <w:color w:val="0070C0"/>
          <w:sz w:val="16"/>
          <w:szCs w:val="16"/>
        </w:rPr>
        <w:softHyphen/>
        <w:t>ные испытания в СУ-85, после чего приняли решение о запуске орудия в серийное про</w:t>
      </w:r>
      <w:r w:rsidRPr="00271E51">
        <w:rPr>
          <w:rStyle w:val="631"/>
          <w:rFonts w:ascii="Times New Roman" w:hAnsi="Times New Roman" w:cs="Times New Roman"/>
          <w:color w:val="0070C0"/>
          <w:sz w:val="16"/>
          <w:szCs w:val="16"/>
        </w:rPr>
        <w:softHyphen/>
        <w:t>изводство. Первые орудия данного типа завод №8 сдал в феврале 1944 года. За этот месяц завод №9 сдал 139 пушек Д5-С-85, а завод №8 - 42, часть из которых была Д5-С- 85А. Самоходные установки с системами Д5- С-85А получили название СУ-85А, что также отражалось на серийном номере машины. Если машина оснащалась Д5-С-85А, то в конце серийного номера выбивалась буква «А» (19889).</w:t>
      </w:r>
    </w:p>
    <w:p w14:paraId="77175915" w14:textId="77777777" w:rsidR="00787BC1" w:rsidRPr="00271E51" w:rsidRDefault="00787BC1" w:rsidP="00271E51">
      <w:pPr>
        <w:spacing w:after="0" w:line="240" w:lineRule="auto"/>
        <w:jc w:val="both"/>
        <w:rPr>
          <w:rFonts w:ascii="Times New Roman" w:hAnsi="Times New Roman"/>
          <w:color w:val="0070C0"/>
          <w:sz w:val="16"/>
          <w:szCs w:val="16"/>
        </w:rPr>
      </w:pPr>
    </w:p>
    <w:p w14:paraId="5FF3CCC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2702D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C77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судя по фото в бригаде 7 ОКБ П.О.С. подготовили схему бронирования Су-6 М-42 в двухместном варианте.</w:t>
      </w:r>
    </w:p>
    <w:p w14:paraId="51CC29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6BFFA7"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A3B78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1B7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г. на ГАНИОПе состоялось совещание, на котором нарком вооружения Д.Ф. Устинов, нарком танковой промышленности В.А. Малышев, командующий бронетанковыми и механизированными войсками Красной Армии генерал-полковник танковых войск Я.Н. Федоренко, генерал-полковник артиллерии В.И. Хохлов и генерал-лейтенант артиллерии В.Э. Таранович пришли к выводу, что наиболее приемлемой для установки в танк Т-34 являлась 85-мм танковая пушка С-53, созданная ведущими конструкторами ЦАКБ НКВ Т.И. Сергеевым и И. Шабаровым (10703).</w:t>
      </w:r>
    </w:p>
    <w:p w14:paraId="3961BC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835EB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на совещании в присутствии наркомов Малышева и Устинова, командующего бронетанковыми и механизированными войсками Красной Армии генерал-полковника Федоренко, генерал-полковника артиллерии Хохлова и генерал-лейтенанта артиллерии Тарановича, было принято решение о том, что наиболее удачной по конструкции и пригодной для вооружения Т-34 является пушка С-53(12217).</w:t>
      </w:r>
    </w:p>
    <w:p w14:paraId="4BD5C87B"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6378F877"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вышло Распоряжение ГКО № 4860 [О мобилизации в январе-феврале 1944 г. на освобожденной территории 20 тыс. военнообязанных, не годных к строевой службе, и направлении их на укомплектование военно-строительных организаций.] (7166, 164).</w:t>
      </w:r>
    </w:p>
    <w:p w14:paraId="32E0C8A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E2C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вышло Распоряжение ГКО № 4861. О выделении 800 военнообязанных, не годных к строевой службе, на лесозаводы и перевалочные базы НКлеса СССР.РГАНИР, Фонд ГКО, д. 184, лл. 165 (11012).</w:t>
      </w:r>
    </w:p>
    <w:p w14:paraId="277DD3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FC35D" w14:textId="77777777" w:rsidR="00996736" w:rsidRPr="00271E51" w:rsidRDefault="00996736" w:rsidP="00271E51">
      <w:pPr>
        <w:spacing w:after="0" w:line="240" w:lineRule="auto"/>
        <w:jc w:val="both"/>
        <w:rPr>
          <w:rFonts w:ascii="Times New Roman" w:hAnsi="Times New Roman"/>
          <w:bCs/>
          <w:color w:val="000000" w:themeColor="text1"/>
          <w:sz w:val="16"/>
          <w:szCs w:val="16"/>
        </w:rPr>
      </w:pPr>
      <w:r w:rsidRPr="00271E51">
        <w:rPr>
          <w:rFonts w:ascii="Times New Roman" w:hAnsi="Times New Roman"/>
          <w:bCs/>
          <w:color w:val="000000" w:themeColor="text1"/>
          <w:sz w:val="16"/>
          <w:szCs w:val="16"/>
        </w:rPr>
        <w:t>30 декабря</w:t>
      </w:r>
      <w:r w:rsidRPr="00271E51">
        <w:rPr>
          <w:rFonts w:ascii="Times New Roman" w:hAnsi="Times New Roman"/>
          <w:color w:val="000000" w:themeColor="text1"/>
          <w:sz w:val="16"/>
          <w:szCs w:val="16"/>
        </w:rPr>
        <w:t xml:space="preserve"> в 1943 году в Саранске был образован мотороремонтный завод, предназначенный для восстановления двигателей грузовых автомобилей, пострадавших на фронтах войны (в 1959 г. преобразован в экскаваторный завод). С 1990 г. ОАО "САРЭКС" — один из крупнейших в России производителей экскаваторов</w:t>
      </w:r>
    </w:p>
    <w:p w14:paraId="40667CE2"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36D1C97C"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92B7C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59EE0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30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090C8651"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декабря на Витебском направлении нашивойска, преодолевая сопротивление и контратаки противника, продолжали вестинаступательные бои, в ходе которых заняли несколько населённых пунктов.</w:t>
      </w:r>
    </w:p>
    <w:p w14:paraId="40897EC2"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продолжая развивать успешное наступление,овладели городом и важнейшим железнодорожным узлом Казатин, городом Володарск-Волынский, городом Червоноармейск, районными центрами Житомирской области Лугины, Ружин, а также заняли более 300 других населённых пунктов, среди которых крупные населённые пункты Болсуны, Давидки, Ушомир, Гута, Мошковка,Краевщина, Суховоля, Зубринка, Давидовка, Грушки, Новополь, Клитище, Иванков, Вильск, 3ороков, Высокоукраинское, Троковичи, Городище, Лещин, Большие Мошковцы, Червонное, Чехи, Сингаевка, Глуховцы, Пляхова, Белиловка, Баламутовка, Молчановка, Березянка, Самгородок, Руда, Дрозды, Сидоры, Устиновка.</w:t>
      </w:r>
    </w:p>
    <w:p w14:paraId="75D0AE31"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западнее Запорожье, наши войска с боями продвигались вперёд и заняли более 30 населённых пунктов, в том числе районный центр Днепропетровской области Томаковка, крупные населённые пункты Чумаки, Китайгородка, Преображенка, Широкое, Михайловка, Павловка, Марьевка, Беленькое и железнодорожные станции Канцеровка, Колхозная, 2-й Днепрострой.</w:t>
      </w:r>
    </w:p>
    <w:p w14:paraId="61B7863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58A49B8F"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29 декабря наши войска на всех фронтах подбили и уничтожили 128 немецких танков. В воздушных боях и огнём зенитной артиллерии сбито 10 самолётов противника.</w:t>
      </w:r>
    </w:p>
    <w:p w14:paraId="3DF0A3E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Витебском направлении наши войска продолжали наступление. Северо-западнее Витебска бойцы Н-ского соединения, отражая контратаки немецкой пехоты и танков, продвинулись вперёд и овладели выгодными позициями. Восточнее Витебска в результате ожесточённых боёв нашими войсками занято несколько населённых пунктов. В этих боях уничтожено до 1.000 немецких солдат и офицеров. Захвачены трофеи и пленные.</w:t>
      </w:r>
    </w:p>
    <w:p w14:paraId="53CC9E6C"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продолжали успешное наступление. Советские пехотинцы и танкисты, стремительно продвигаясь вперёд, овладели важнейшим железнодорожным узлом и городом Казатин. Наши войска разгромили немецкий гарнизон, а также части противника, спешно переброшенные на этот участок. Под ударами советских войск немцы в беспорядке отступили, бросив боевую технику и военные материалы. В боях за город. Казатин захвачено у противника 103 полевых и самоходных орудия, много миномётов и стрелкового оружия, бронепоезд, 7 паровозов, 2 железнодорожных эшелона, до 1.000 автомашин, 100 мотоциклов, 300 лошадей, склад горючего и крупные склады с продовольствием. Наши войска, с боями продвигаясь вперёд, заняли город Володарск-Волынский, город Червонно-армейск, районные центры Лугины и Ружин, а также более 300 других населённых пунктов. Противник понёс огромные потери в живой силе и технике. В течение дня подбито и уничтожено 70 немецких танков и самоходных орудий.</w:t>
      </w:r>
    </w:p>
    <w:p w14:paraId="6BE67657"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города Запорожье наши войска с боями овладели районным центром Днепропетровской области Томаковка, а также заняли более 30 других населённых пунктов. Советские части нанесли немцам удар с двух направлений и, преодолев минные поля, создали угрозу окружения войск противника. Немцы в беспорядке начали отступать. Преследуя гитлеровцев, бойцы Н-ской части истребили до 800 вражеских солдат и офицеров и захватили 24 орудия, 13 миномётов, 60 пулемётов и другие трофеи. Взята в плен значительная группа немецких солдат и офицеров.</w:t>
      </w:r>
    </w:p>
    <w:p w14:paraId="0356D109"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Белорусские партизаны и партизанки наносят удары по коммуникациям противника.Только за один день отряд имени Щорса пустил под откос 9 немецких воинских эшелонов, следовавших к линии фронта. Разбиты 8 паровозов, 40 вагонов с войскамии боевой техникой, 13 вагонов с боеприпасами и 3 платформы с орудиями. Партизанские отряды имени Чапаева и имени Ворошилова разгромили проходившую по шоссе немецкую автоколонну. Советские патриоты истребили 160 гитлеровцев, уничтожили 20 автомашин, 10 прицепов и бронемашину противника.</w:t>
      </w:r>
    </w:p>
    <w:p w14:paraId="349DE943"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Пленный ефрейтор сапёрного батальона 2 немецкой парашютно-десантной дивизии Гергарт Гедекке рассказал: «В состав нашей дивизии входят 5, 6 и 7 полки, сапёрный батальон, артиллерийский дивизион и противотанковый дивизион. Вторая и первая парашютно-десантные дивизии находились в Италии. Первая — участвовала в боях на острове Сицилия и была разгромлена. Вторая дивизия принимала участие в военных операциях в Италии, а затем была переброшена под Киев. Прибыв в район Радомышля, мы узнали, что есть приказ Геринга, в котором подчёркивалось, что десантные части должны сыграть большую роль в захвате Киева. Наступление на Киев, стоившее нам очень больших жертв, провалилось. Вскоре русские перешли в контрнаступление и за несколько дней свели на нет незначительные успехи немецких войск, купленные ценою огромных потерь».</w:t>
      </w:r>
    </w:p>
    <w:p w14:paraId="290A8283"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Жители местечка Народичи, Житомирской области, составили акт о зверствах немецко-фашистских мерзавцев и их венгерских пособников. В акте говорится: «Народичский район, Житомирской области, славился на всю страну высококачественными льнами. Немецкие оккупанты разорили сельское хозяйство района и опустошили много сёл и деревень. В Народичах фашистские изверги за один день расстреляли 250 детей и четырёх учительниц. Кровавые погромы учинили немцы в посёлках Коконине и Кособлые. Гитлеровцы врывались в дома, били стёкла, ломали мебель, грабили имущество, убивали стариков, женщин и детей. За три дня фашистские палачи и их венгерские прихвостни расстреляли 700 жителей этих посёлков. Немцы насильно угнали на каторгу в Германию до 2 тысяч жителей района. Принудительная отправка советских граждан в фашистское рабство сопровождалась массовыми арестами и расстрелами.</w:t>
      </w:r>
    </w:p>
    <w:p w14:paraId="133DA6E5"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Главными организаторами зверств в местечке Народичи и в Народичском районе мы считаем немецких комендантов Гальфаса, Шульца, Габеля, Морица, начальника жандармерии Квас и эсэсовца Резнер».</w:t>
      </w:r>
    </w:p>
    <w:p w14:paraId="3F3867B9"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Акт подписали жители местечка Народичи: Павел Горбачевский, Ольга Симоненко, Михаил Присяжнюк, Мария Мельник, Пётр Фардигола, Александр Башинский, Андрей Попович, Александр Осадчий.» (14876).</w:t>
      </w:r>
    </w:p>
    <w:p w14:paraId="71EFF773"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1DF4E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30 декабря 1943 общее количество наших трофейных танков у немцев сократилось наполовину. Главным образом это были те же "тридцатьчетверки"; из них 29 - в 100-й егерской дивизии на Восточном фронте.</w:t>
      </w:r>
    </w:p>
    <w:p w14:paraId="58917A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Были у немцев и САУ СУ-122 и СУ-85, обозначавшихся StuG SU122(r) и JgdPz SU85(r), соответственно (3905).</w:t>
      </w:r>
    </w:p>
    <w:p w14:paraId="6004BF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3C55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вышло Постановление ГКО № 4859 О дополнительном формировании на территории СССР чехословацких воинских частей.РГАНИР, Фонд ГКО, д. 184, лл. 160-163 (11012).</w:t>
      </w:r>
    </w:p>
    <w:p w14:paraId="72B496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8389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776ECD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BD0BF0" w14:textId="77777777" w:rsidR="00996736" w:rsidRPr="00271E51" w:rsidRDefault="00996736"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30 декабря</w:t>
      </w:r>
      <w:r w:rsidRPr="00271E51">
        <w:rPr>
          <w:rFonts w:ascii="Times New Roman" w:hAnsi="Times New Roman"/>
          <w:color w:val="000000" w:themeColor="text1"/>
          <w:sz w:val="16"/>
          <w:szCs w:val="16"/>
        </w:rPr>
        <w:t xml:space="preserve"> в 1943 году операторы ленинградской междугородной телефонной станции осуществили уникальную связь между осажденным фашистами городом и Владивостоком (14876).</w:t>
      </w:r>
    </w:p>
    <w:p w14:paraId="1F7FFA97" w14:textId="77777777" w:rsidR="00996736" w:rsidRPr="00271E51" w:rsidRDefault="00996736" w:rsidP="00271E51">
      <w:pPr>
        <w:spacing w:after="0" w:line="240" w:lineRule="auto"/>
        <w:jc w:val="both"/>
        <w:rPr>
          <w:rFonts w:ascii="Times New Roman" w:hAnsi="Times New Roman"/>
          <w:color w:val="000000" w:themeColor="text1"/>
          <w:sz w:val="16"/>
          <w:szCs w:val="16"/>
        </w:rPr>
      </w:pPr>
    </w:p>
    <w:p w14:paraId="0BBD24D6" w14:textId="77777777" w:rsidR="00996736"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723ADF22" w14:textId="77777777" w:rsidR="00996736" w:rsidRPr="00271E51" w:rsidRDefault="00996736"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8F20CC"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декабря 1943 вышло Постановление ГКО № 4858 О мероприятиях по организации помощи Иранскому правительству в подготовке кадров по авиации и танковым войскам Иранской армии. (7166, 147-148,149-159).</w:t>
      </w:r>
    </w:p>
    <w:p w14:paraId="28EA1F48"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ED99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CAE0D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723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вышел приказ НКАП N 784 "О производстве моторов М-107А на заводе 26" в исполнение постановления ГКО N 4849 от 27 декабря 1943, утвердившего заключение и выводы правительственной комиссии по результатам 100 часовых испытаний М-107А и о принятии его на вооружение ВВС КА (950,137) со следующими основными данными:</w:t>
      </w:r>
    </w:p>
    <w:p w14:paraId="202FE2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взлетная - 1650 лс</w:t>
      </w:r>
    </w:p>
    <w:p w14:paraId="6808E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боевая - 1650 лс на 1800 м при 3200 обор.</w:t>
      </w:r>
    </w:p>
    <w:p w14:paraId="388C4A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боевая - 1500 лс на 4500 м при 3200 обор.</w:t>
      </w:r>
    </w:p>
    <w:p w14:paraId="791F6B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номинальная - 1550 лс на 1 гр. высотности при 3000 обор.</w:t>
      </w:r>
    </w:p>
    <w:p w14:paraId="456BE8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номинальная - 1450 лс 2 гр. высотности при 3000 обор.</w:t>
      </w:r>
    </w:p>
    <w:p w14:paraId="57B385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Сухой вес 765 кг.</w:t>
      </w:r>
    </w:p>
    <w:p w14:paraId="1D046D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Срок службы до 1 переборки - 100 час.</w:t>
      </w:r>
    </w:p>
    <w:p w14:paraId="4DFB44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исполнение указанного постановления ГОКО о производстве моторов М-107А на заводе № 26 приказываю:</w:t>
      </w:r>
    </w:p>
    <w:p w14:paraId="3B74E7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не снижая общего количества выпускаемых с завода моторов обеспечить в 1 кв. 1944 выпуск М-107А со 100 час. Ресурсом в следующих количествах: в январе - 100, в феврале - 120, в марте - 150 (950,137).</w:t>
      </w:r>
    </w:p>
    <w:p w14:paraId="0EE678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Зам. НКАП и ГК А.С.Я.:</w:t>
      </w:r>
    </w:p>
    <w:p w14:paraId="3ABC14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произвести доводочные работы и заводские испытания Як-3 с М-107А и предъявить на госиспытания к 1 февраля 1944 со следующими данными:</w:t>
      </w:r>
    </w:p>
    <w:p w14:paraId="5C5F81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- 705 км/час.</w:t>
      </w:r>
    </w:p>
    <w:p w14:paraId="570851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- 650 км/час</w:t>
      </w:r>
    </w:p>
    <w:p w14:paraId="7519D4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1 пушка 20 мм, 2 пулемета 12,7 мм</w:t>
      </w:r>
    </w:p>
    <w:p w14:paraId="7B0209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произвести доводочные работы и заводские испытания Як-9 с М-107А и предъявить на госиспытания эталонный самолет Як-9 с М-107А к 15 января 1944 со следующими данными:</w:t>
      </w:r>
    </w:p>
    <w:p w14:paraId="18224E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- 680 км/час.</w:t>
      </w:r>
    </w:p>
    <w:p w14:paraId="771B2A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 скорость у земли - 580 км/час</w:t>
      </w:r>
    </w:p>
    <w:p w14:paraId="683CBE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1 пушка 20 мм, 2 пулемета 12,7 мм</w:t>
      </w:r>
    </w:p>
    <w:p w14:paraId="7D63A1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Дир. Завода № 22 Окулову и ГК тов. Мясищеву то дже для Пе-2 и предхъявить его на госиспытания к 15 февраля 1944 со следующими данными:</w:t>
      </w:r>
    </w:p>
    <w:p w14:paraId="722F67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Макс. скорость - 570 км/час на 5000 м... </w:t>
      </w:r>
    </w:p>
    <w:p w14:paraId="1F9CCF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Дир. Завода № 166 Соколову обеспечить полный переход на выпуск самолетов Як-9 с М-107А с 1 мая 1944</w:t>
      </w:r>
    </w:p>
    <w:p w14:paraId="5DBEDF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Дир. Завода № 82 Коимову - то же с 1 июня (950,137)</w:t>
      </w:r>
    </w:p>
    <w:p w14:paraId="7E86FA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9D9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года на основании приказа НКАП за № 784 выпущенного во исполнение постановления ГКО за № 4649 от 27 декабря 1943 года завод №82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 (9460).</w:t>
      </w:r>
    </w:p>
    <w:p w14:paraId="7B302D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47F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П.Ивенсон беседовал в Болшево в ЦКБ-29 с Р.Л.Б. Тот сказал, что С.М.Егера посадили потому, что А.Н.Т. был нужен помошник, а А.В.Надашкевича - так как конструктор пушек не мог ни сделать пушку против И.В.С. (1105,7).</w:t>
      </w:r>
    </w:p>
    <w:p w14:paraId="18D207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BFB29"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658F42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F693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г. Вячеславу Малышеву была отправлена срочная телеграмма, что готов Т-44 (11135).</w:t>
      </w:r>
    </w:p>
    <w:p w14:paraId="6577D5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читателя, только что прочитавшего описание собы</w:t>
      </w:r>
      <w:r w:rsidRPr="00271E51">
        <w:rPr>
          <w:rFonts w:ascii="Times New Roman" w:hAnsi="Times New Roman"/>
          <w:color w:val="000000" w:themeColor="text1"/>
          <w:sz w:val="16"/>
          <w:szCs w:val="16"/>
        </w:rPr>
        <w:softHyphen/>
        <w:t>тий 1943 г., может показаться непонятным, почему же ГКО, в лице председателя И. Сталина, отказавшись от серийного производства принятого на вооружение танка Т-43, вдруг разрешает проведение работ по принципиально новому Т-44. Для разъяснения этого следует вспомнить, что как раз в ноябре 1943 г. начались широкомасштабные восстановитель</w:t>
      </w:r>
      <w:r w:rsidRPr="00271E51">
        <w:rPr>
          <w:rFonts w:ascii="Times New Roman" w:hAnsi="Times New Roman"/>
          <w:color w:val="000000" w:themeColor="text1"/>
          <w:sz w:val="16"/>
          <w:szCs w:val="16"/>
        </w:rPr>
        <w:softHyphen/>
        <w:t>ные работы на освобожденном ХПЗ (получившем № 75). Этот предвоенный танковый гигант имел не такие большие разрушения, как СТЗ, и мог быть отремонтирован в сравни</w:t>
      </w:r>
      <w:r w:rsidRPr="00271E51">
        <w:rPr>
          <w:rFonts w:ascii="Times New Roman" w:hAnsi="Times New Roman"/>
          <w:color w:val="000000" w:themeColor="text1"/>
          <w:sz w:val="16"/>
          <w:szCs w:val="16"/>
        </w:rPr>
        <w:softHyphen/>
        <w:t>тельно короткий срок и, по мнению НКТП, мог начать свою работу уже летом 1944 г. Таким образом, новый танк можно было «отдать» на этот воссоздаваемый завод, не боясь сниже</w:t>
      </w:r>
      <w:r w:rsidRPr="00271E51">
        <w:rPr>
          <w:rFonts w:ascii="Times New Roman" w:hAnsi="Times New Roman"/>
          <w:color w:val="000000" w:themeColor="text1"/>
          <w:sz w:val="16"/>
          <w:szCs w:val="16"/>
        </w:rPr>
        <w:softHyphen/>
        <w:t>ния объемов выпуска Т-34 на существующих мощностях. Кроме того, освоение Т-44 давало надежды на массовый вы</w:t>
      </w:r>
      <w:r w:rsidRPr="00271E51">
        <w:rPr>
          <w:rFonts w:ascii="Times New Roman" w:hAnsi="Times New Roman"/>
          <w:color w:val="000000" w:themeColor="text1"/>
          <w:sz w:val="16"/>
          <w:szCs w:val="16"/>
        </w:rPr>
        <w:softHyphen/>
        <w:t>пуск среднего танка, не уступающего по вооружению и бро</w:t>
      </w:r>
      <w:r w:rsidRPr="00271E51">
        <w:rPr>
          <w:rFonts w:ascii="Times New Roman" w:hAnsi="Times New Roman"/>
          <w:color w:val="000000" w:themeColor="text1"/>
          <w:sz w:val="16"/>
          <w:szCs w:val="16"/>
        </w:rPr>
        <w:softHyphen/>
        <w:t>нированию лучшим тяжелым танкам, к которым относились отечественные ИС и немецкие «Тигр» и «Пантера» (11135).</w:t>
      </w:r>
    </w:p>
    <w:p w14:paraId="413AC8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285266" w14:textId="77777777" w:rsidR="00FC04C9" w:rsidRPr="00271E51" w:rsidRDefault="00FC04C9" w:rsidP="00271E51">
      <w:pPr>
        <w:pStyle w:val="a3"/>
        <w:rPr>
          <w:color w:val="000000" w:themeColor="text1"/>
          <w:lang w:val="ru-RU"/>
        </w:rPr>
      </w:pPr>
      <w:r w:rsidRPr="00271E51">
        <w:rPr>
          <w:color w:val="000000" w:themeColor="text1"/>
          <w:lang w:val="ru-RU"/>
        </w:rPr>
        <w:t>31 декабря 1943 года прототип танка Т-44 был готов. В январе-феврале 1944 прошли его испытания. Главным преимуществом нового танка перед Т-34 была более мощная бронезащита. Толщина лобового листа корпуса составляла 75 мм, а лоб башни достигал 90-мм толщины. На испытаниях эта броня оказалась достаточной для защиты от самого распространённого немецкого средства ПТО, 75-мм противотанковой пушки РаК- 40, на дистанции от 300 метров. Бронепробиваемость большинства немецких средних танков и САУ находилась на этом же уровне. Танк вооружался 85</w:t>
      </w:r>
      <w:r w:rsidRPr="00271E51">
        <w:rPr>
          <w:color w:val="000000" w:themeColor="text1"/>
          <w:lang w:val="ru-RU"/>
        </w:rPr>
        <w:softHyphen/>
        <w:t>мм, или 122-мм пушками. Затем появился вариант с более мощным 100-мм орудием. Вес танка возрос по сравнению с Т-34 незначительно, а высота уменьшилась на 30 сантиметров. Т-44 продемонстрировал высокую надёжность, пройдя на испытаниях свыше 1000 километров без серьёзных поломок (Свирин М. Стальной кулак Сталина. История советского танка 1943-1955. С. 179).</w:t>
      </w:r>
    </w:p>
    <w:p w14:paraId="30EDC123" w14:textId="77777777" w:rsidR="00FC04C9" w:rsidRPr="00271E51" w:rsidRDefault="00FC04C9" w:rsidP="00271E51">
      <w:pPr>
        <w:pStyle w:val="a3"/>
        <w:rPr>
          <w:color w:val="000000" w:themeColor="text1"/>
          <w:lang w:val="ru-RU"/>
        </w:rPr>
      </w:pPr>
      <w:r w:rsidRPr="00271E51">
        <w:rPr>
          <w:color w:val="000000" w:themeColor="text1"/>
          <w:lang w:val="ru-RU"/>
        </w:rPr>
        <w:t>Весной-летом 1944 года опытные образцы Т-44 активно испытывались на полигонах, но принимать танк на вооружение и начинать производство танка не спешили. Был создан новый, улучшенный вариант танка, с ещё более сильной бронёй. Толщину лобового листа корпуса довели до 90 мм, а лоб башни - до 110 мм. Теперь лобовая проекция танка стала полностью неуязвимой для самых распространённых немецких противотанковых и танковых пушек, хотя по- прежнему не могла защитить от тяжелых танков.</w:t>
      </w:r>
    </w:p>
    <w:p w14:paraId="2C172A64" w14:textId="77777777" w:rsidR="00FC04C9" w:rsidRPr="00271E51" w:rsidRDefault="00FC04C9" w:rsidP="00271E51">
      <w:pPr>
        <w:pStyle w:val="a3"/>
        <w:rPr>
          <w:color w:val="000000" w:themeColor="text1"/>
          <w:lang w:val="ru-RU"/>
        </w:rPr>
      </w:pPr>
      <w:r w:rsidRPr="00271E51">
        <w:rPr>
          <w:color w:val="000000" w:themeColor="text1"/>
          <w:lang w:val="ru-RU"/>
        </w:rPr>
        <w:t xml:space="preserve">Серийное производство танка началось только в </w:t>
      </w:r>
      <w:r w:rsidRPr="00271E51">
        <w:rPr>
          <w:color w:val="000000" w:themeColor="text1"/>
        </w:rPr>
        <w:t>IV</w:t>
      </w:r>
      <w:r w:rsidRPr="00271E51">
        <w:rPr>
          <w:color w:val="000000" w:themeColor="text1"/>
          <w:lang w:val="ru-RU"/>
        </w:rPr>
        <w:t xml:space="preserve"> квартале 1944 года. Изготавливать Т-44 поручили восстанавливаемому танковому заводу № 75 в Харькове, который не мог выпускать его в существенных количествах. По сути такое решение означало отказ от производства танка. Почему это произошло? Ведь И. В. Сталин неоднократно говорил с В. А. Малышевым о важности быстрейшей разработки Т-44. Об этом свидетельствует несколько записей в дневнике народного комиссара. Первый раз Малышев сообщает Сталину о новом танке 27 декабря. Сталин заинтересовался новым танком и просил ускорить его испытания и производство («Пройдёт десяток лет, и этих встреч не восстановишь уже в памяти»//Источник. №5. 1997. С. 124.). Далее он не упускал Т-44 из виду. Проследить за развитием событий можно по дневнику Малышева. 15 января Сталин вновь подробно расспросил Малышева о характеристиках Т-44 и сказал: «Так это будет очень хороший танк. Вы держите меня в курсе дела». 3 февраля Сталин просил Малышева ускорить испытания танка и подготовить предложения по его производству. 13 февраля Сталин от просьб перешёл к обвинениям: «тов. Сталин сказал, что мы затягиваем дело с этим танком, и предложил ускорить испытания и начать производство танков Т-44. Исключительно тяжелые задачи. Не знаю даже, как их можно выполнить. Сейчас буду советоваться с директорами заводов» («Пройдёт десяток лет, и этих встреч не восстановишь уже в памяти»//Источник. №5. 1997. С. 125).</w:t>
      </w:r>
    </w:p>
    <w:p w14:paraId="0FC20D88" w14:textId="77777777" w:rsidR="00FC04C9" w:rsidRPr="00271E51" w:rsidRDefault="00FC04C9" w:rsidP="00271E51">
      <w:pPr>
        <w:pStyle w:val="a3"/>
        <w:rPr>
          <w:color w:val="000000" w:themeColor="text1"/>
          <w:lang w:val="ru-RU"/>
        </w:rPr>
      </w:pPr>
      <w:r w:rsidRPr="00271E51">
        <w:rPr>
          <w:color w:val="000000" w:themeColor="text1"/>
          <w:lang w:val="ru-RU"/>
        </w:rPr>
        <w:t>Но, когда танк был готов, Сталин и Малышев, видимо, так и не решились перестраивать для его производства основные танкостроительные предприятия (12290).</w:t>
      </w:r>
    </w:p>
    <w:p w14:paraId="228DCDA9" w14:textId="77777777" w:rsidR="00FC04C9" w:rsidRPr="00271E51" w:rsidRDefault="00FC04C9" w:rsidP="00271E51">
      <w:pPr>
        <w:pStyle w:val="a3"/>
        <w:rPr>
          <w:color w:val="000000" w:themeColor="text1"/>
          <w:lang w:val="ru-RU"/>
        </w:rPr>
      </w:pPr>
    </w:p>
    <w:p w14:paraId="3517892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вышло Распоряжение ГКО № 4862 [Об освобождении ГУГМР от мобилизации для КА лошадей, занятых на складах, базах и стройучастках.] (7166, 166).</w:t>
      </w:r>
    </w:p>
    <w:p w14:paraId="62F5CFA5"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2BE0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вышло Распоряжение ГКО № 4863. О расследовании по фактам разбазаривания спирта на заводах НКБ.РГАНИР, Фонд ГКО, д. 184, лл. 167, 168-172 (11012).</w:t>
      </w:r>
    </w:p>
    <w:p w14:paraId="2D4CCC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EBE82"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вышло Распоряжение ГКО № 4864 [О мобилизации 2 тыс. чел. в Запорожской и Николаевской обл. УССР на строительство узкоколейной железной дороги Доренбург - Новоалександровка для 4 Украинского фронта.] (7166, 173).</w:t>
      </w:r>
    </w:p>
    <w:p w14:paraId="601F82D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BC8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На Петрозаводе заложен очередной ТЩ типа МТ-1 (10671).</w:t>
      </w:r>
    </w:p>
    <w:p w14:paraId="7770FD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97A62"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068D8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3315AC"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31 декабря</w:t>
      </w:r>
      <w:r w:rsidRPr="00271E51">
        <w:rPr>
          <w:rFonts w:ascii="Times New Roman" w:hAnsi="Times New Roman"/>
          <w:color w:val="000000" w:themeColor="text1"/>
          <w:sz w:val="16"/>
          <w:szCs w:val="16"/>
        </w:rPr>
        <w:t xml:space="preserve"> в 1943 году оперативная сводка Совинформбюро:</w:t>
      </w:r>
    </w:p>
    <w:p w14:paraId="2FD33EA1"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31 декабря западнее Невеля наши войска вели наступательные бои, в ходе которых заняли более 60 населённых пунктов и срединих Астрилово, Аляблево, Мишово, Балакирева, Мосеево, Великое Село, Погребище, Городище, Щербаки, Демешкино, Копачёво.</w:t>
      </w:r>
    </w:p>
    <w:p w14:paraId="561671DD"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наступательные бои, в результате которых выбили противника из нескольких сильно укреплённых опорных пунктов его обороны и перерезали шоссе Витебск—Орша.</w:t>
      </w:r>
    </w:p>
    <w:p w14:paraId="361B2126"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Войска 1-го Украинского фронта, в результате смелого манёвра и решительного штурма, овладели областным центром Украины городом и железнодорожным узлом Житомир, а также с боями заняли более 150 населённых пунктов, в том числерайонный центр Винницкой области город Погребище, крупные населённые пункты Лугинки, Красноставье, Колцкие, Остапы, Радгоща, Бондаревка, Ущица, Сушки, Старая Буда, Вацлавполь, Колодиевка, Вышполь, Вересы, Пески, Вертокиевка, Кодня, Скаковка, Большие Низгурцы, Журбинцы, Немиринцы, Старостинцы, Новофастов, Шалиевка, Шамраевка, Пологи, Тростянская Новоселица, Степановка и железнодорожные станции Лугины, Емельяновка, Пряжево, Кодня, Махаринцы, Растовица, Зарудинцы, Ржевусская.</w:t>
      </w:r>
    </w:p>
    <w:p w14:paraId="49D37DEE"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излучине Днепра, западнее Запорожье, наши войска продолжали вести наступательные бои, в ходе которых заняли несколько населённых пунктов; среди них Александровка, Красный, Катещино, Владимирский, Миролюбовка, Жмерино.</w:t>
      </w:r>
    </w:p>
    <w:p w14:paraId="5192E61B"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других участках фронта — разведка и артиллерийско-миномётная перестрелка.</w:t>
      </w:r>
    </w:p>
    <w:p w14:paraId="0B928110"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30 декабря наши войска на всех фронтах подбили и уничтожили 65 немецких танков. В воздушных боях и огнём зенитной артиллерии сбито 14 самолётов противника.</w:t>
      </w:r>
    </w:p>
    <w:p w14:paraId="0E6E01D5"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Витебском направлении наши войска вели наступательные бои. Северо-западнее Витебска части Н-ского соединения преодолели оборонительные сооружения противника и в результате ожесточённого боя овладели важным опорным пунктом обороны немцев. В бою за этот пункт уничтожено свыше 800 гитлеровцев. Юго-восточнее Витебска во второй половине дня наши войска, сломив сопротивление противника, заняла несколько населённых пунктов, и перерезали шоссейную дорогу Витебск—Орша. Немцы, пытаясь восстановить положение, предприняли пять ожесточённых контратак, но были отброшены с большими для них потерями. Подбито и уничтожено 22 немецких танка. Захвачено 10 самоходных и 20 полевых орудий, 44 миномёта, более 100 пулемётов, много винтовок и автоматов.</w:t>
      </w:r>
    </w:p>
    <w:p w14:paraId="2D48F2A4"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Войска 1-го Украинского фронта продолжали развивать успешное наступление. Наши танковые и моторизованные части наносят противнику стремительные удары, прорываются в его тылы, перехватывают важнейшие коммуникации и громят подходящие к линии фронта резервы немцев. Ожесточённые бои происходили сегодня на подступах к городу Житомир. Немцы много раз переходили в контратаки, стремясь любой, ценой удержать город в своих руках. Советские танкисты и пехотинцы при поддержке артиллерии смелым манёвром сломили оборону противника и решительным штурмом овладели областным центром Украины городом и железнодорожным узлом Житомир. На подступах к городу и на его улицах остались десятки разбитых немецких танков, самоходных и полевых орудий. Противник понёс в этих боях огромные потери в живой силе. Захвачено много трофеев и пленных. Наши войска, успешно продвигаясь вперёд, заняли районный центр Винницкой области Погребище и свыше 150 других населённых пунктов. В боях за Погребище части Н-ского соединения уничтожили до полка немецкой пехоты и захватили 42 </w:t>
      </w:r>
      <w:r w:rsidRPr="00271E51">
        <w:rPr>
          <w:rFonts w:ascii="Times New Roman" w:hAnsi="Times New Roman"/>
          <w:color w:val="000000" w:themeColor="text1"/>
          <w:sz w:val="16"/>
          <w:szCs w:val="16"/>
        </w:rPr>
        <w:lastRenderedPageBreak/>
        <w:t>орудия, из них 6 самоходных, 125 пулемётов, 46 миномётов, два склада боеприпасов, свыше 200 автомашин с грузами и крупныйобоз с боеприпасами. Взято много пленных.</w:t>
      </w:r>
    </w:p>
    <w:p w14:paraId="62914223"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Западнее города Запорожье наши войска продолжали наступление. Используя сильно пересечённую местность, немцы неоднократно переходили в контратаки. Наши бойцы контрударом отбросили противника и, с боями продвигаясь вперёд, очистили от немцев ряд населённых пунктов. На поле боя осталось более 600 вражеских трупов. На другом участке бойцы Н-ского соединения, преследуя гитлеровцев, захватили трофеи, в числе которых 4 танка, 17 орудий и два склада боеприпасов. Взяты пленные.</w:t>
      </w:r>
    </w:p>
    <w:p w14:paraId="79A31A45"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Чёрном море потоплены две быстроходных десантных баржи противника.</w:t>
      </w:r>
    </w:p>
    <w:p w14:paraId="0133B5F1"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Несколько ленинградских партизанских отрядов с 16 по 26 декабря разгромили три гарнизона противника. Уничтожено до батальона гитлеровцев. Захвачены трофеи и взяты в плен 33 немецких солдата. Советские патриоты пустили под откос 62 немецких воинских эшелона с вооружением, боеприпасами, войсками, горючим и продовольствием. В результате крушений разбито много паровозов и более 400 вагонов и платформ. За это же время партизаны взорвали 22 моста и вырезали 82 километра телеграфно-телефонной линии связи.</w:t>
      </w:r>
    </w:p>
    <w:p w14:paraId="37D78F2E"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1-м Украинском фронте захвачена в плен значительная группа солдат 25 немецкой танковой дивизии, недавно переброшенной на советско-германский фронт из Норвегии. Пленные солдаты 147 мотогренадерского полка Лео Виттек, Губерт Зиберихс и Вильгельм Марек рассказали: «Известие о том, что дивизию направляют на Восточный фронт, произвело удручающее впечатление. Солдаты между собою говорили, что Россия—это самое неподходящее место для немца. На фронте нам объявили приказ командования: ценою любых жертв овладеть Киевом. Офицеры уверяли нас, что в летних боях русские истощили себя и немецкая армия сумеет отброситьих за Днепр. «После занятия Киева, — заявляли офицеры, — мы получим прекрасные зимние квартиры и длительный отдых». Три раза дивизия переходила в наступление, но, несмотря на тяжёлые потери в людях и технике, не выполнила поставленной перед нею задачи. В первые же дни был разгромлен штаб дивизии. Дивизия сейчас не имеет материальной части и небоеспособна» (14877).</w:t>
      </w:r>
    </w:p>
    <w:p w14:paraId="639CAD21"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0CAAB2FE"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31 декабря</w:t>
      </w:r>
      <w:r w:rsidRPr="00271E51">
        <w:rPr>
          <w:rFonts w:ascii="Times New Roman" w:hAnsi="Times New Roman"/>
          <w:color w:val="000000" w:themeColor="text1"/>
          <w:sz w:val="16"/>
          <w:szCs w:val="16"/>
        </w:rPr>
        <w:t xml:space="preserve"> в 1943 году Войска 1-го Украинского фронта (генерал армии Н.Ф.Ватутин) в ходе Житомирско- Бердичевской наступательной операции освободили город Житомир (14877).</w:t>
      </w:r>
    </w:p>
    <w:p w14:paraId="0BA17240"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4BA8A8A9"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31 декабря</w:t>
      </w:r>
      <w:r w:rsidRPr="00271E51">
        <w:rPr>
          <w:rFonts w:ascii="Times New Roman" w:hAnsi="Times New Roman"/>
          <w:color w:val="000000" w:themeColor="text1"/>
          <w:sz w:val="16"/>
          <w:szCs w:val="16"/>
        </w:rPr>
        <w:t xml:space="preserve"> в 1943 году завершилась Городокская операция войск 1-го Прибалтийского фронта (отодвинули линию фронта на 60 км, ликвидировали так называемый Городский выступ) (14877).</w:t>
      </w:r>
    </w:p>
    <w:p w14:paraId="205B4A11"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69352C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П.Камазин с ведомым В.Ладыкиным рискнул атаковать двухмоторный транспортный самолет под охраной 6 Ме-109 и сбил его уничтожив 18 генералов (455,150).</w:t>
      </w:r>
    </w:p>
    <w:p w14:paraId="37F9A2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F3E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1УФ освободил Житомир (3398,461).</w:t>
      </w:r>
    </w:p>
    <w:p w14:paraId="555FC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8F59E"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декабря 1943 советские войска освободили Житомир и осадили Витебск (4962).</w:t>
      </w:r>
    </w:p>
    <w:p w14:paraId="10B385EB"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6EF1E1" w14:textId="1DBCD6C1" w:rsidR="00787BC1" w:rsidRPr="00271E51" w:rsidRDefault="00787BC1"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305CD3CB" w14:textId="77777777" w:rsidR="00787BC1" w:rsidRPr="00271E51" w:rsidRDefault="00787BC1"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AC8AD68" w14:textId="77777777" w:rsidR="00787BC1" w:rsidRPr="00271E51" w:rsidRDefault="00787BC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декабря 1943 первый полет Kawanishi N1K2-J Shiden Kai («Модифицированная фиолетовая молния»), союзное имя «Джордж» (20376).</w:t>
      </w:r>
    </w:p>
    <w:p w14:paraId="0FB13F42" w14:textId="77777777" w:rsidR="00787BC1" w:rsidRPr="00271E51" w:rsidRDefault="00787BC1" w:rsidP="00271E51">
      <w:pPr>
        <w:spacing w:after="0" w:line="240" w:lineRule="auto"/>
        <w:jc w:val="both"/>
        <w:rPr>
          <w:rFonts w:ascii="Times New Roman" w:hAnsi="Times New Roman"/>
          <w:color w:val="0070C0"/>
          <w:sz w:val="16"/>
          <w:szCs w:val="16"/>
        </w:rPr>
      </w:pPr>
    </w:p>
    <w:p w14:paraId="76F728C4" w14:textId="77777777" w:rsidR="00787BC1" w:rsidRPr="00271E51" w:rsidRDefault="00787BC1"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31 декабря 1943 японские самолеты, базирующиеся в Рабауле, совершили налет на американские силы у Араве, потеряв четыре самолета (20376).</w:t>
      </w:r>
    </w:p>
    <w:p w14:paraId="02E3E65C" w14:textId="77777777" w:rsidR="00787BC1" w:rsidRPr="00271E51" w:rsidRDefault="00787BC1" w:rsidP="00271E51">
      <w:pPr>
        <w:spacing w:after="0" w:line="240" w:lineRule="auto"/>
        <w:jc w:val="both"/>
        <w:rPr>
          <w:rFonts w:ascii="Times New Roman" w:hAnsi="Times New Roman"/>
          <w:color w:val="0070C0"/>
          <w:sz w:val="16"/>
          <w:szCs w:val="16"/>
        </w:rPr>
      </w:pPr>
    </w:p>
    <w:p w14:paraId="522541D7" w14:textId="06421644"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A5BBB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7D6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Ильюшин еще толь</w:t>
      </w:r>
      <w:r w:rsidRPr="00271E51">
        <w:rPr>
          <w:rFonts w:ascii="Times New Roman" w:hAnsi="Times New Roman"/>
          <w:color w:val="000000" w:themeColor="text1"/>
          <w:sz w:val="16"/>
          <w:szCs w:val="16"/>
        </w:rPr>
        <w:softHyphen/>
        <w:t>ко "обещал выслать в ближайшие дни эскизный проект". Как следует из до</w:t>
      </w:r>
      <w:r w:rsidRPr="00271E51">
        <w:rPr>
          <w:rFonts w:ascii="Times New Roman" w:hAnsi="Times New Roman"/>
          <w:color w:val="000000" w:themeColor="text1"/>
          <w:sz w:val="16"/>
          <w:szCs w:val="16"/>
        </w:rPr>
        <w:softHyphen/>
        <w:t>кументов, эскизный проект Ил-1 АМ-42 в двухместном варианте поступил в НИИ ВВС лишь 14 марта 1944 г., когда самолет уже был закончен по сборке и находился в Москве на авиазаводе № 240 с целью дальней</w:t>
      </w:r>
      <w:r w:rsidRPr="00271E51">
        <w:rPr>
          <w:rFonts w:ascii="Times New Roman" w:hAnsi="Times New Roman"/>
          <w:color w:val="000000" w:themeColor="text1"/>
          <w:sz w:val="16"/>
          <w:szCs w:val="16"/>
        </w:rPr>
        <w:softHyphen/>
        <w:t>шей доводки и проведения испыта</w:t>
      </w:r>
      <w:r w:rsidRPr="00271E51">
        <w:rPr>
          <w:rFonts w:ascii="Times New Roman" w:hAnsi="Times New Roman"/>
          <w:color w:val="000000" w:themeColor="text1"/>
          <w:sz w:val="16"/>
          <w:szCs w:val="16"/>
        </w:rPr>
        <w:softHyphen/>
        <w:t>ний. Очевидно, что в этих условиях внесение каких-либо серьезных из</w:t>
      </w:r>
      <w:r w:rsidRPr="00271E51">
        <w:rPr>
          <w:rFonts w:ascii="Times New Roman" w:hAnsi="Times New Roman"/>
          <w:color w:val="000000" w:themeColor="text1"/>
          <w:sz w:val="16"/>
          <w:szCs w:val="16"/>
        </w:rPr>
        <w:softHyphen/>
        <w:t>менений в конструкцию машины практически исключалось. То есть получается так, что штурмовой ва</w:t>
      </w:r>
      <w:r w:rsidRPr="00271E51">
        <w:rPr>
          <w:rFonts w:ascii="Times New Roman" w:hAnsi="Times New Roman"/>
          <w:color w:val="000000" w:themeColor="text1"/>
          <w:sz w:val="16"/>
          <w:szCs w:val="16"/>
        </w:rPr>
        <w:softHyphen/>
        <w:t>риант самолета Ил-1 строился без утвержденного ВВС эскизного про</w:t>
      </w:r>
      <w:r w:rsidRPr="00271E51">
        <w:rPr>
          <w:rFonts w:ascii="Times New Roman" w:hAnsi="Times New Roman"/>
          <w:color w:val="000000" w:themeColor="text1"/>
          <w:sz w:val="16"/>
          <w:szCs w:val="16"/>
        </w:rPr>
        <w:softHyphen/>
        <w:t>екта и макета.</w:t>
      </w:r>
    </w:p>
    <w:p w14:paraId="0F5CFF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Надо полагать, С. В. Ильюшин, затягивая всеми возможными спосо</w:t>
      </w:r>
      <w:r w:rsidRPr="00271E51">
        <w:rPr>
          <w:rFonts w:ascii="Times New Roman" w:hAnsi="Times New Roman"/>
          <w:color w:val="000000" w:themeColor="text1"/>
          <w:sz w:val="16"/>
          <w:szCs w:val="16"/>
        </w:rPr>
        <w:softHyphen/>
        <w:t>бами передачу в НИИ ВВС матери</w:t>
      </w:r>
      <w:r w:rsidRPr="00271E51">
        <w:rPr>
          <w:rFonts w:ascii="Times New Roman" w:hAnsi="Times New Roman"/>
          <w:color w:val="000000" w:themeColor="text1"/>
          <w:sz w:val="16"/>
          <w:szCs w:val="16"/>
        </w:rPr>
        <w:softHyphen/>
        <w:t>алов по новому штурмовику, опасал</w:t>
      </w:r>
      <w:r w:rsidRPr="00271E51">
        <w:rPr>
          <w:rFonts w:ascii="Times New Roman" w:hAnsi="Times New Roman"/>
          <w:color w:val="000000" w:themeColor="text1"/>
          <w:sz w:val="16"/>
          <w:szCs w:val="16"/>
        </w:rPr>
        <w:softHyphen/>
        <w:t>ся, что рассмотрение военными эс</w:t>
      </w:r>
      <w:r w:rsidRPr="00271E51">
        <w:rPr>
          <w:rFonts w:ascii="Times New Roman" w:hAnsi="Times New Roman"/>
          <w:color w:val="000000" w:themeColor="text1"/>
          <w:sz w:val="16"/>
          <w:szCs w:val="16"/>
        </w:rPr>
        <w:softHyphen/>
        <w:t>кизного проекта вполне вероятно закончится перечнем недостатков и требований, которые необходимо будет отрабатывать. Утверждение проекта затянется. В это время спе</w:t>
      </w:r>
      <w:r w:rsidRPr="00271E51">
        <w:rPr>
          <w:rFonts w:ascii="Times New Roman" w:hAnsi="Times New Roman"/>
          <w:color w:val="000000" w:themeColor="text1"/>
          <w:sz w:val="16"/>
          <w:szCs w:val="16"/>
        </w:rPr>
        <w:softHyphen/>
        <w:t>циалисты ОКБ П. О. Сухого сумеют довести Су-6 АМ-42 до требуемого уровня надежности и надобность в Ил-1 отпадет.</w:t>
      </w:r>
    </w:p>
    <w:p w14:paraId="7DB4A7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следовало ожидать, проек</w:t>
      </w:r>
      <w:r w:rsidRPr="00271E51">
        <w:rPr>
          <w:rFonts w:ascii="Times New Roman" w:hAnsi="Times New Roman"/>
          <w:color w:val="000000" w:themeColor="text1"/>
          <w:sz w:val="16"/>
          <w:szCs w:val="16"/>
        </w:rPr>
        <w:softHyphen/>
        <w:t>том самолета Ил-1 специалисты НИИ ВВС остались недовольны. Началь</w:t>
      </w:r>
      <w:r w:rsidRPr="00271E51">
        <w:rPr>
          <w:rFonts w:ascii="Times New Roman" w:hAnsi="Times New Roman"/>
          <w:color w:val="000000" w:themeColor="text1"/>
          <w:sz w:val="16"/>
          <w:szCs w:val="16"/>
        </w:rPr>
        <w:softHyphen/>
        <w:t>ник 4-го отделения 3-го отдела ин</w:t>
      </w:r>
      <w:r w:rsidRPr="00271E51">
        <w:rPr>
          <w:rFonts w:ascii="Times New Roman" w:hAnsi="Times New Roman"/>
          <w:color w:val="000000" w:themeColor="text1"/>
          <w:sz w:val="16"/>
          <w:szCs w:val="16"/>
        </w:rPr>
        <w:softHyphen/>
        <w:t>ститута инженер-майор В. С. Холо</w:t>
      </w:r>
      <w:r w:rsidRPr="00271E51">
        <w:rPr>
          <w:rFonts w:ascii="Times New Roman" w:hAnsi="Times New Roman"/>
          <w:color w:val="000000" w:themeColor="text1"/>
          <w:sz w:val="16"/>
          <w:szCs w:val="16"/>
        </w:rPr>
        <w:softHyphen/>
        <w:t>пов и ведущий инженер 3-го отдела инженер-майор П. Т. Аброщенко писали, что в материалах ОКБ от</w:t>
      </w:r>
      <w:r w:rsidRPr="00271E51">
        <w:rPr>
          <w:rFonts w:ascii="Times New Roman" w:hAnsi="Times New Roman"/>
          <w:color w:val="000000" w:themeColor="text1"/>
          <w:sz w:val="16"/>
          <w:szCs w:val="16"/>
        </w:rPr>
        <w:softHyphen/>
        <w:t>сутствуют: тактическое назначение самолета, описание конструкции и расчет на прочность, состав специ</w:t>
      </w:r>
      <w:r w:rsidRPr="00271E51">
        <w:rPr>
          <w:rFonts w:ascii="Times New Roman" w:hAnsi="Times New Roman"/>
          <w:color w:val="000000" w:themeColor="text1"/>
          <w:sz w:val="16"/>
          <w:szCs w:val="16"/>
        </w:rPr>
        <w:softHyphen/>
        <w:t>ального оборудования и его компо</w:t>
      </w:r>
      <w:r w:rsidRPr="00271E51">
        <w:rPr>
          <w:rFonts w:ascii="Times New Roman" w:hAnsi="Times New Roman"/>
          <w:color w:val="000000" w:themeColor="text1"/>
          <w:sz w:val="16"/>
          <w:szCs w:val="16"/>
        </w:rPr>
        <w:softHyphen/>
        <w:t>новка на самолете, а также расчеты маневренности, устойчивости и по</w:t>
      </w:r>
      <w:r w:rsidRPr="00271E51">
        <w:rPr>
          <w:rFonts w:ascii="Times New Roman" w:hAnsi="Times New Roman"/>
          <w:color w:val="000000" w:themeColor="text1"/>
          <w:sz w:val="16"/>
          <w:szCs w:val="16"/>
        </w:rPr>
        <w:softHyphen/>
        <w:t>ляры крыла. Установка на самолете системы заполнения бензобаков ней</w:t>
      </w:r>
      <w:r w:rsidRPr="00271E51">
        <w:rPr>
          <w:rFonts w:ascii="Times New Roman" w:hAnsi="Times New Roman"/>
          <w:color w:val="000000" w:themeColor="text1"/>
          <w:sz w:val="16"/>
          <w:szCs w:val="16"/>
        </w:rPr>
        <w:softHyphen/>
        <w:t>тральным газом не предполагалась. Не было предусмотрено дублирова</w:t>
      </w:r>
      <w:r w:rsidRPr="00271E51">
        <w:rPr>
          <w:rFonts w:ascii="Times New Roman" w:hAnsi="Times New Roman"/>
          <w:color w:val="000000" w:themeColor="text1"/>
          <w:sz w:val="16"/>
          <w:szCs w:val="16"/>
        </w:rPr>
        <w:softHyphen/>
        <w:t>ние в канале управления рулем вы</w:t>
      </w:r>
      <w:r w:rsidRPr="00271E51">
        <w:rPr>
          <w:rFonts w:ascii="Times New Roman" w:hAnsi="Times New Roman"/>
          <w:color w:val="000000" w:themeColor="text1"/>
          <w:sz w:val="16"/>
          <w:szCs w:val="16"/>
        </w:rPr>
        <w:softHyphen/>
        <w:t>соты и направления. Воздушный стре</w:t>
      </w:r>
      <w:r w:rsidRPr="00271E51">
        <w:rPr>
          <w:rFonts w:ascii="Times New Roman" w:hAnsi="Times New Roman"/>
          <w:color w:val="000000" w:themeColor="text1"/>
          <w:sz w:val="16"/>
          <w:szCs w:val="16"/>
        </w:rPr>
        <w:softHyphen/>
        <w:t>лок по-прежнему оставался не за</w:t>
      </w:r>
      <w:r w:rsidRPr="00271E51">
        <w:rPr>
          <w:rFonts w:ascii="Times New Roman" w:hAnsi="Times New Roman"/>
          <w:color w:val="000000" w:themeColor="text1"/>
          <w:sz w:val="16"/>
          <w:szCs w:val="16"/>
        </w:rPr>
        <w:softHyphen/>
        <w:t>щищенным от огня сверху-сзади. Все эти недостатки в начале 1 944 г. уже считались недопустимыми для само</w:t>
      </w:r>
      <w:r w:rsidRPr="00271E51">
        <w:rPr>
          <w:rFonts w:ascii="Times New Roman" w:hAnsi="Times New Roman"/>
          <w:color w:val="000000" w:themeColor="text1"/>
          <w:sz w:val="16"/>
          <w:szCs w:val="16"/>
        </w:rPr>
        <w:softHyphen/>
        <w:t>лета поля боя.</w:t>
      </w:r>
    </w:p>
    <w:p w14:paraId="16810B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 впечатлили военных и боевые возможности самолета. Вооружение Ил-1 по проекту включало две пуш</w:t>
      </w:r>
      <w:r w:rsidRPr="00271E51">
        <w:rPr>
          <w:rFonts w:ascii="Times New Roman" w:hAnsi="Times New Roman"/>
          <w:color w:val="000000" w:themeColor="text1"/>
          <w:sz w:val="16"/>
          <w:szCs w:val="16"/>
        </w:rPr>
        <w:softHyphen/>
        <w:t>ки ВЯ-23 (300 снарядов), два пуле</w:t>
      </w:r>
      <w:r w:rsidRPr="00271E51">
        <w:rPr>
          <w:rFonts w:ascii="Times New Roman" w:hAnsi="Times New Roman"/>
          <w:color w:val="000000" w:themeColor="text1"/>
          <w:sz w:val="16"/>
          <w:szCs w:val="16"/>
        </w:rPr>
        <w:softHyphen/>
        <w:t>мета ШКАС (1500 патронов), один оборонительный пулемет УБТ (150 патронов), 10 авиационных гранат АГ-2, 200 кг бомб (калибров от 1 до 100 кг) в двух бомбоотсеках и 200 кг (2 ФАБ-100) на внешней подвеске. В перегрузку допускалась подвеска снаружи двух бомб ФАБ-250. Ракет</w:t>
      </w:r>
      <w:r w:rsidRPr="00271E51">
        <w:rPr>
          <w:rFonts w:ascii="Times New Roman" w:hAnsi="Times New Roman"/>
          <w:color w:val="000000" w:themeColor="text1"/>
          <w:sz w:val="16"/>
          <w:szCs w:val="16"/>
        </w:rPr>
        <w:softHyphen/>
        <w:t>ное вооружение не предусматрива</w:t>
      </w:r>
      <w:r w:rsidRPr="00271E51">
        <w:rPr>
          <w:rFonts w:ascii="Times New Roman" w:hAnsi="Times New Roman"/>
          <w:color w:val="000000" w:themeColor="text1"/>
          <w:sz w:val="16"/>
          <w:szCs w:val="16"/>
        </w:rPr>
        <w:softHyphen/>
        <w:t>лось.</w:t>
      </w:r>
    </w:p>
    <w:p w14:paraId="6F9B8D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выводах заключения по эскиз</w:t>
      </w:r>
      <w:r w:rsidRPr="00271E51">
        <w:rPr>
          <w:rFonts w:ascii="Times New Roman" w:hAnsi="Times New Roman"/>
          <w:color w:val="000000" w:themeColor="text1"/>
          <w:sz w:val="16"/>
          <w:szCs w:val="16"/>
        </w:rPr>
        <w:softHyphen/>
        <w:t>ному проекту указывалось: "...Глав</w:t>
      </w:r>
      <w:r w:rsidRPr="00271E51">
        <w:rPr>
          <w:rFonts w:ascii="Times New Roman" w:hAnsi="Times New Roman"/>
          <w:color w:val="000000" w:themeColor="text1"/>
          <w:sz w:val="16"/>
          <w:szCs w:val="16"/>
        </w:rPr>
        <w:softHyphen/>
        <w:t>ный конструктор самолета предла</w:t>
      </w:r>
      <w:r w:rsidRPr="00271E51">
        <w:rPr>
          <w:rFonts w:ascii="Times New Roman" w:hAnsi="Times New Roman"/>
          <w:color w:val="000000" w:themeColor="text1"/>
          <w:sz w:val="16"/>
          <w:szCs w:val="16"/>
        </w:rPr>
        <w:softHyphen/>
        <w:t>гает бронированный штурмовик. Если это так, то в чем заключается смысл постройки этого самолета. При срав</w:t>
      </w:r>
      <w:r w:rsidRPr="00271E51">
        <w:rPr>
          <w:rFonts w:ascii="Times New Roman" w:hAnsi="Times New Roman"/>
          <w:color w:val="000000" w:themeColor="text1"/>
          <w:sz w:val="16"/>
          <w:szCs w:val="16"/>
        </w:rPr>
        <w:softHyphen/>
        <w:t>нении с Су-6 с АМ-42 напрашивает</w:t>
      </w:r>
      <w:r w:rsidRPr="00271E51">
        <w:rPr>
          <w:rFonts w:ascii="Times New Roman" w:hAnsi="Times New Roman"/>
          <w:color w:val="000000" w:themeColor="text1"/>
          <w:sz w:val="16"/>
          <w:szCs w:val="16"/>
        </w:rPr>
        <w:softHyphen/>
        <w:t>ся вывод не в пользу Ил-1 с АМ-42. ...По летным данным Ил-1 превосхо</w:t>
      </w:r>
      <w:r w:rsidRPr="00271E51">
        <w:rPr>
          <w:rFonts w:ascii="Times New Roman" w:hAnsi="Times New Roman"/>
          <w:color w:val="000000" w:themeColor="text1"/>
          <w:sz w:val="16"/>
          <w:szCs w:val="16"/>
        </w:rPr>
        <w:softHyphen/>
        <w:t>дит Су-6, но по бомбовой нагрузке и вооружению уступает. Серийный самолет Ил-2 превосходит по летным данным, но уступает ему по бомбо</w:t>
      </w:r>
      <w:r w:rsidRPr="00271E51">
        <w:rPr>
          <w:rFonts w:ascii="Times New Roman" w:hAnsi="Times New Roman"/>
          <w:color w:val="000000" w:themeColor="text1"/>
          <w:sz w:val="16"/>
          <w:szCs w:val="16"/>
        </w:rPr>
        <w:softHyphen/>
        <w:t>вой нагрузке. ...Бронирование Ил-1 требованиям ВВС не удовлетворяет. ...Конструкция Ил-1 по проекту ба</w:t>
      </w:r>
      <w:r w:rsidRPr="00271E51">
        <w:rPr>
          <w:rFonts w:ascii="Times New Roman" w:hAnsi="Times New Roman"/>
          <w:color w:val="000000" w:themeColor="text1"/>
          <w:sz w:val="16"/>
          <w:szCs w:val="16"/>
        </w:rPr>
        <w:softHyphen/>
        <w:t>зируется на технологии серийного Ил-2, однако для освоения самоле</w:t>
      </w:r>
      <w:r w:rsidRPr="00271E51">
        <w:rPr>
          <w:rFonts w:ascii="Times New Roman" w:hAnsi="Times New Roman"/>
          <w:color w:val="000000" w:themeColor="text1"/>
          <w:sz w:val="16"/>
          <w:szCs w:val="16"/>
        </w:rPr>
        <w:softHyphen/>
        <w:t>та потребуется коренная переделка всего производства".</w:t>
      </w:r>
    </w:p>
    <w:p w14:paraId="3D7FCE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Требовалось внести серьезные из</w:t>
      </w:r>
      <w:r w:rsidRPr="00271E51">
        <w:rPr>
          <w:rFonts w:ascii="Times New Roman" w:hAnsi="Times New Roman"/>
          <w:color w:val="000000" w:themeColor="text1"/>
          <w:sz w:val="16"/>
          <w:szCs w:val="16"/>
        </w:rPr>
        <w:softHyphen/>
        <w:t>менения в конструкцию и вооруже</w:t>
      </w:r>
      <w:r w:rsidRPr="00271E51">
        <w:rPr>
          <w:rFonts w:ascii="Times New Roman" w:hAnsi="Times New Roman"/>
          <w:color w:val="000000" w:themeColor="text1"/>
          <w:sz w:val="16"/>
          <w:szCs w:val="16"/>
        </w:rPr>
        <w:softHyphen/>
        <w:t>ние предлагаемого штурмовика. Как показали дальнейшие события, кро</w:t>
      </w:r>
      <w:r w:rsidRPr="00271E51">
        <w:rPr>
          <w:rFonts w:ascii="Times New Roman" w:hAnsi="Times New Roman"/>
          <w:color w:val="000000" w:themeColor="text1"/>
          <w:sz w:val="16"/>
          <w:szCs w:val="16"/>
        </w:rPr>
        <w:softHyphen/>
        <w:t>ме установки пушки Ш-20 ОКБ-15 калибра 20 мм вместо УБТ, других доработок сделано не было (11427).</w:t>
      </w:r>
    </w:p>
    <w:p w14:paraId="6B19FCA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FF1B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года по ука</w:t>
      </w:r>
      <w:r w:rsidRPr="00271E51">
        <w:rPr>
          <w:rFonts w:ascii="Times New Roman" w:hAnsi="Times New Roman"/>
          <w:color w:val="000000" w:themeColor="text1"/>
          <w:sz w:val="16"/>
          <w:szCs w:val="16"/>
        </w:rPr>
        <w:softHyphen/>
        <w:t>занию НКАП СССР ОКБ прекрати</w:t>
      </w:r>
      <w:r w:rsidRPr="00271E51">
        <w:rPr>
          <w:rFonts w:ascii="Times New Roman" w:hAnsi="Times New Roman"/>
          <w:color w:val="000000" w:themeColor="text1"/>
          <w:sz w:val="16"/>
          <w:szCs w:val="16"/>
        </w:rPr>
        <w:softHyphen/>
        <w:t>ло работы по БББ с 2М-71Ф, ввиду того, что «...по своим ЛТД он не пре</w:t>
      </w:r>
      <w:r w:rsidRPr="00271E51">
        <w:rPr>
          <w:rFonts w:ascii="Times New Roman" w:hAnsi="Times New Roman"/>
          <w:color w:val="000000" w:themeColor="text1"/>
          <w:sz w:val="16"/>
          <w:szCs w:val="16"/>
        </w:rPr>
        <w:softHyphen/>
        <w:t>восходит серийный Ту-2 с 2М-82ФН».</w:t>
      </w:r>
    </w:p>
    <w:p w14:paraId="7BD8FA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A907A5" w:rsidRPr="00271E51" w14:paraId="7CA9A35E" w14:textId="77777777" w:rsidTr="00ED5B0A">
        <w:trPr>
          <w:trHeight w:val="485"/>
        </w:trPr>
        <w:tc>
          <w:tcPr>
            <w:tcW w:w="3184" w:type="dxa"/>
            <w:tcBorders>
              <w:top w:val="single" w:sz="12" w:space="0" w:color="auto"/>
            </w:tcBorders>
          </w:tcPr>
          <w:p w14:paraId="4E10F6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7BDE88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top w:val="single" w:sz="12" w:space="0" w:color="auto"/>
            </w:tcBorders>
          </w:tcPr>
          <w:p w14:paraId="232157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ОНВ</w:t>
            </w:r>
          </w:p>
          <w:p w14:paraId="5115B2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top w:val="single" w:sz="12" w:space="0" w:color="auto"/>
            </w:tcBorders>
          </w:tcPr>
          <w:p w14:paraId="4861D0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 2АМ-42</w:t>
            </w:r>
          </w:p>
          <w:p w14:paraId="6B7C28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1518CB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 2М-71Ф 2ТК-3</w:t>
            </w:r>
          </w:p>
          <w:p w14:paraId="733EB6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47F6E4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2М-71Ф</w:t>
            </w:r>
          </w:p>
          <w:p w14:paraId="659ABF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D45D2E" w14:textId="77777777" w:rsidTr="00ED5B0A">
        <w:trPr>
          <w:trHeight w:val="206"/>
        </w:trPr>
        <w:tc>
          <w:tcPr>
            <w:tcW w:w="3184" w:type="dxa"/>
          </w:tcPr>
          <w:p w14:paraId="12ED48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мм</w:t>
            </w:r>
          </w:p>
          <w:p w14:paraId="33FF8FF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E434D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2705CA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44475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13580</w:t>
            </w:r>
          </w:p>
          <w:p w14:paraId="714D20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6EDD8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5D9CC7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2967F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14750 14750</w:t>
            </w:r>
          </w:p>
          <w:p w14:paraId="42A764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885ED4" w14:textId="77777777" w:rsidTr="00ED5B0A">
        <w:trPr>
          <w:trHeight w:val="214"/>
        </w:trPr>
        <w:tc>
          <w:tcPr>
            <w:tcW w:w="3184" w:type="dxa"/>
          </w:tcPr>
          <w:p w14:paraId="300775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w:t>
            </w:r>
          </w:p>
          <w:p w14:paraId="293BDC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88DA1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6C7D79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49B7A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w:t>
            </w:r>
          </w:p>
          <w:p w14:paraId="7BA98A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237E3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252F15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A6116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20500 20500</w:t>
            </w:r>
          </w:p>
          <w:p w14:paraId="19B854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23D558" w14:textId="77777777" w:rsidTr="00ED5B0A">
        <w:trPr>
          <w:trHeight w:val="214"/>
        </w:trPr>
        <w:tc>
          <w:tcPr>
            <w:tcW w:w="3184" w:type="dxa"/>
          </w:tcPr>
          <w:p w14:paraId="3DAAC0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p>
          <w:p w14:paraId="5AB95D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45649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4D4EE1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62763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101970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B0229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5D02C8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ECDACA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60 60</w:t>
            </w:r>
          </w:p>
          <w:p w14:paraId="4365F2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D475D5" w14:textId="77777777" w:rsidTr="00ED5B0A">
        <w:trPr>
          <w:trHeight w:val="206"/>
        </w:trPr>
        <w:tc>
          <w:tcPr>
            <w:tcW w:w="3184" w:type="dxa"/>
          </w:tcPr>
          <w:p w14:paraId="2EBC53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самолета, кг</w:t>
            </w:r>
          </w:p>
          <w:p w14:paraId="09DC61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68598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49A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31B26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192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E5736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CFBE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6C46D7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8FB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96EB61" w14:textId="77777777" w:rsidTr="00ED5B0A">
        <w:trPr>
          <w:trHeight w:val="214"/>
        </w:trPr>
        <w:tc>
          <w:tcPr>
            <w:tcW w:w="3184" w:type="dxa"/>
          </w:tcPr>
          <w:p w14:paraId="62B926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пустого</w:t>
            </w:r>
          </w:p>
          <w:p w14:paraId="740A9A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5D978F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9168</w:t>
            </w:r>
          </w:p>
          <w:p w14:paraId="130325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7AB704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9728</w:t>
            </w:r>
          </w:p>
          <w:p w14:paraId="5A3736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327F2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8407 8422</w:t>
            </w:r>
          </w:p>
          <w:p w14:paraId="7E9AE1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6D10BC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8297 8329</w:t>
            </w:r>
          </w:p>
          <w:p w14:paraId="6CBCDD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0A53FF" w14:textId="77777777" w:rsidTr="00ED5B0A">
        <w:trPr>
          <w:trHeight w:val="189"/>
        </w:trPr>
        <w:tc>
          <w:tcPr>
            <w:tcW w:w="3184" w:type="dxa"/>
          </w:tcPr>
          <w:p w14:paraId="4CD0A8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полетная</w:t>
            </w:r>
          </w:p>
          <w:p w14:paraId="7BD577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75368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12413</w:t>
            </w:r>
          </w:p>
          <w:p w14:paraId="65D0E0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93A45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12774</w:t>
            </w:r>
          </w:p>
          <w:p w14:paraId="6B9AD3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DB457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11250 11232</w:t>
            </w:r>
          </w:p>
          <w:p w14:paraId="7A84BF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1A0EB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11912 12034</w:t>
            </w:r>
          </w:p>
          <w:p w14:paraId="256BC8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8EF884F" w14:textId="77777777" w:rsidTr="00ED5B0A">
        <w:trPr>
          <w:trHeight w:val="230"/>
        </w:trPr>
        <w:tc>
          <w:tcPr>
            <w:tcW w:w="3184" w:type="dxa"/>
          </w:tcPr>
          <w:p w14:paraId="2E453F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с перегрузкой</w:t>
            </w:r>
          </w:p>
          <w:p w14:paraId="319EC7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335006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3381</w:t>
            </w:r>
          </w:p>
          <w:p w14:paraId="2005D6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B01DC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1719D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EA223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D39FA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442BEE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FA145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851CF7" w14:textId="77777777" w:rsidTr="00ED5B0A">
        <w:trPr>
          <w:trHeight w:val="214"/>
        </w:trPr>
        <w:tc>
          <w:tcPr>
            <w:tcW w:w="3184" w:type="dxa"/>
          </w:tcPr>
          <w:p w14:paraId="284D120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p w14:paraId="2FB923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C82B6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944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1BBAC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CF27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1388A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4BC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390B2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7DC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93412A" w14:textId="77777777" w:rsidTr="00ED5B0A">
        <w:trPr>
          <w:trHeight w:val="206"/>
        </w:trPr>
        <w:tc>
          <w:tcPr>
            <w:tcW w:w="3184" w:type="dxa"/>
          </w:tcPr>
          <w:p w14:paraId="7CB507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 земли</w:t>
            </w:r>
          </w:p>
          <w:p w14:paraId="47F7FA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F5DED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500</w:t>
            </w:r>
          </w:p>
          <w:p w14:paraId="2164B6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FB37FD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p w14:paraId="143B63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57142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483 483</w:t>
            </w:r>
          </w:p>
          <w:p w14:paraId="251254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B2EEE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490 490</w:t>
            </w:r>
          </w:p>
          <w:p w14:paraId="627CDF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4C8EBB" w14:textId="77777777" w:rsidTr="00ED5B0A">
        <w:trPr>
          <w:trHeight w:val="206"/>
        </w:trPr>
        <w:tc>
          <w:tcPr>
            <w:tcW w:w="3184" w:type="dxa"/>
          </w:tcPr>
          <w:p w14:paraId="0B37E4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 высоте, м</w:t>
            </w:r>
          </w:p>
          <w:p w14:paraId="7A50EF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DEEAA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550/4600</w:t>
            </w:r>
          </w:p>
          <w:p w14:paraId="18146F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315B8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525/2500</w:t>
            </w:r>
          </w:p>
          <w:p w14:paraId="534486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6E2FA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595/8000 595/8300</w:t>
            </w:r>
          </w:p>
          <w:p w14:paraId="4CADBE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0816A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566/4600 566/4600</w:t>
            </w:r>
          </w:p>
          <w:p w14:paraId="3FD40E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AF0E54" w14:textId="77777777" w:rsidTr="00ED5B0A">
        <w:trPr>
          <w:trHeight w:val="214"/>
        </w:trPr>
        <w:tc>
          <w:tcPr>
            <w:tcW w:w="3184" w:type="dxa"/>
          </w:tcPr>
          <w:p w14:paraId="250C7B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Н, мин/м</w:t>
            </w:r>
          </w:p>
          <w:p w14:paraId="6AE974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931A3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9/5000</w:t>
            </w:r>
          </w:p>
          <w:p w14:paraId="204807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665EF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8,5/4000</w:t>
            </w:r>
          </w:p>
          <w:p w14:paraId="0F98AC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F0EC4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10/8000 10,6/8300</w:t>
            </w:r>
          </w:p>
          <w:p w14:paraId="24961E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E1061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8,5/6000 8,25/4000</w:t>
            </w:r>
          </w:p>
          <w:p w14:paraId="457BBA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70528A" w14:textId="77777777" w:rsidTr="00ED5B0A">
        <w:trPr>
          <w:trHeight w:val="214"/>
        </w:trPr>
        <w:tc>
          <w:tcPr>
            <w:tcW w:w="3184" w:type="dxa"/>
          </w:tcPr>
          <w:p w14:paraId="74C585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p w14:paraId="588F44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0B5431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9000</w:t>
            </w:r>
          </w:p>
          <w:p w14:paraId="37F27F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D1DB8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7000</w:t>
            </w:r>
          </w:p>
          <w:p w14:paraId="28400A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BCE2C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12000 12000</w:t>
            </w:r>
          </w:p>
          <w:p w14:paraId="6F7BCE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BBA5D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10300 10300</w:t>
            </w:r>
          </w:p>
          <w:p w14:paraId="378FB0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66EAEB" w14:textId="77777777" w:rsidTr="00ED5B0A">
        <w:trPr>
          <w:trHeight w:val="197"/>
        </w:trPr>
        <w:tc>
          <w:tcPr>
            <w:tcW w:w="3184" w:type="dxa"/>
          </w:tcPr>
          <w:p w14:paraId="561B45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полета, км</w:t>
            </w:r>
          </w:p>
          <w:p w14:paraId="6F3905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98B03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01CA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0D34D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8B7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77809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F3A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A5447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5261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692B718" w14:textId="77777777" w:rsidTr="00ED5B0A">
        <w:trPr>
          <w:trHeight w:val="222"/>
        </w:trPr>
        <w:tc>
          <w:tcPr>
            <w:tcW w:w="3184" w:type="dxa"/>
          </w:tcPr>
          <w:p w14:paraId="6C4EFE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нормальная</w:t>
            </w:r>
          </w:p>
          <w:p w14:paraId="2D8A53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EBFC0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p w14:paraId="0D4583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3EDCC7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w:t>
            </w:r>
          </w:p>
          <w:p w14:paraId="36D2D6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18C35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2000 2000</w:t>
            </w:r>
          </w:p>
          <w:p w14:paraId="0AE9EBE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B0B4F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1500 1500</w:t>
            </w:r>
          </w:p>
          <w:p w14:paraId="0BE7CC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964A8E" w14:textId="77777777" w:rsidTr="00ED5B0A">
        <w:trPr>
          <w:trHeight w:val="206"/>
        </w:trPr>
        <w:tc>
          <w:tcPr>
            <w:tcW w:w="3184" w:type="dxa"/>
          </w:tcPr>
          <w:p w14:paraId="5586EE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 перегрузкой</w:t>
            </w:r>
          </w:p>
          <w:p w14:paraId="3473F7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FDF31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p w14:paraId="108C09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75A0A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451C6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033AC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97D39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40BB3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FE404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433B6A" w14:textId="77777777" w:rsidTr="00ED5B0A">
        <w:trPr>
          <w:trHeight w:val="214"/>
        </w:trPr>
        <w:tc>
          <w:tcPr>
            <w:tcW w:w="3184" w:type="dxa"/>
          </w:tcPr>
          <w:p w14:paraId="15B714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м</w:t>
            </w:r>
          </w:p>
          <w:p w14:paraId="2B9AA0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619E5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p w14:paraId="0A824C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3CB160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61189A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7FD54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264 265</w:t>
            </w:r>
          </w:p>
          <w:p w14:paraId="1C8CDA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2B93A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356 360</w:t>
            </w:r>
          </w:p>
          <w:p w14:paraId="7711BB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4652BA" w14:textId="77777777" w:rsidTr="00ED5B0A">
        <w:trPr>
          <w:trHeight w:val="255"/>
        </w:trPr>
        <w:tc>
          <w:tcPr>
            <w:tcW w:w="3184" w:type="dxa"/>
            <w:tcBorders>
              <w:bottom w:val="single" w:sz="12" w:space="0" w:color="auto"/>
            </w:tcBorders>
          </w:tcPr>
          <w:p w14:paraId="744B5E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w:t>
            </w:r>
          </w:p>
          <w:p w14:paraId="0A78EE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bottom w:val="single" w:sz="12" w:space="0" w:color="auto"/>
            </w:tcBorders>
          </w:tcPr>
          <w:p w14:paraId="5C6717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7A0D30C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6715AB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p w14:paraId="456E5E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361AF7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439EA7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387BDA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3 4</w:t>
            </w:r>
          </w:p>
          <w:p w14:paraId="027616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E04C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(11853).</w:t>
      </w:r>
    </w:p>
    <w:p w14:paraId="4AF199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C3B3C" w14:textId="77777777" w:rsidR="00E12673" w:rsidRPr="00271E51" w:rsidRDefault="00E12673"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последних числах декабря 1943 года был изготовлен первый опытный Як-9К и в период с 12 января по 8 апреля 1944 г. проходил государственные испытания (летчик В. Е. Голофастов, инженер М.А.Пронин). Поскольку пушка НС-45, крепившаяся в двигателе М-105ПФ в трех точках — двух передних и одной задней весила даже меньше, чем НС-37, летные характеристики Яка практически остались неизменными. Несколько портил аэродинамику мощный дульный тормоз, выступавший из кока винта на 370 мм, из-за чего машина стала чуть более инертной в маневре и динамике. Боезапас пушки составлял 29 выстрелов. Вооружение Як-9К дополнял синхронный пулемет УБС с боекомплектом 200 патронов. Гильзы и звенья пушки и пулемета собирались в специальные сборники. На приборной доске в кабине летчика был установлен счетчик снарядов пушки. Управление огнем — комбинированное пневмоэлектрическое. Стрельбу из пушки и пулемета можно было вести раздельно и одновременно от двух электрокнопок, расположенных на ручке управления самолетом. Имелся коллиматорный прицел ПБП-1а.</w:t>
      </w:r>
    </w:p>
    <w:p w14:paraId="37694C42" w14:textId="77777777" w:rsidR="00E12673" w:rsidRPr="00271E51" w:rsidRDefault="00E12673"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При стрельбе из пушки НС-45 отдача воздействовала на самолет значительно больше, чем при калибре 37 мм. Чем больше была скорость полета и угол пикирования, тем меньшее влияние на самолет оказывала отдача. При стрельбе на скорости меньше 350 км/ч самолет резко разворачивался, а летчик при этом на своем сидении совершал резкие движения вперед-назад. Прицельная стрельба была возможна и эффективна на скоростях, больших 350 км/ч, и при коротких очередях в 2-3 выстрела. Большая сила отдачи пушки НС-45 оказывала существенное влияние на конструкцию самолета, приводя к течи масла и воды через различные уплотнения и трещины в трубопроводах, радиаторах и т.д.</w:t>
      </w:r>
    </w:p>
    <w:p w14:paraId="5D9F4330" w14:textId="77777777" w:rsidR="00E12673" w:rsidRPr="00271E51" w:rsidRDefault="00E12673"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Тем не менее, испытания, в целом, были признаны удовлетворительными и в период апреля — июля 1944 года была построена войсковая серия из 53 Як-9К (19200).</w:t>
      </w:r>
    </w:p>
    <w:p w14:paraId="41E15FA7" w14:textId="77777777" w:rsidR="00E12673" w:rsidRPr="00271E51" w:rsidRDefault="00E12673" w:rsidP="00271E51">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7E1F73FD"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7B1A7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71A8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закончились заводские испытания танка ИС-2 (1068,30).</w:t>
      </w:r>
    </w:p>
    <w:p w14:paraId="44486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3C2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г., в соответствии с принятым решением по вооружению танка Т-34 85-мм танковой пушкой работы по доработке 76,2-мм пушки С-54 были прекращены (10703).</w:t>
      </w:r>
    </w:p>
    <w:p w14:paraId="1054AC2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5E30A9" w14:textId="77777777" w:rsidR="008B424D" w:rsidRPr="00271E51" w:rsidRDefault="008B424D" w:rsidP="00271E51">
      <w:pPr>
        <w:pStyle w:val="ae"/>
        <w:spacing w:before="0" w:after="0"/>
        <w:jc w:val="both"/>
        <w:textAlignment w:val="baseline"/>
        <w:rPr>
          <w:color w:val="000000" w:themeColor="text1"/>
          <w:sz w:val="16"/>
          <w:szCs w:val="16"/>
        </w:rPr>
      </w:pPr>
      <w:r w:rsidRPr="00271E51">
        <w:rPr>
          <w:color w:val="000000" w:themeColor="text1"/>
          <w:sz w:val="16"/>
          <w:szCs w:val="16"/>
        </w:rPr>
        <w:t>В конце декабря 1943 года о Т-44 знал Сталин, который с завидной периодичностью интересовался о состоянии дел по перспективному среднему танку. Более того, уже в начале февраля 1944 года Сталин поднял вопрос о перспективах серийного производства танка. К тому времени первые два опытных образца машины только проходили заводские испытания. В следующий раз Сталин поднял тему серийного производства Т-44 на совещании 13 февраля, предложив ускорить испытания (18950).</w:t>
      </w:r>
    </w:p>
    <w:p w14:paraId="077D95F8" w14:textId="77777777" w:rsidR="008B424D" w:rsidRPr="00271E51" w:rsidRDefault="008B424D" w:rsidP="00271E51">
      <w:pPr>
        <w:spacing w:after="0" w:line="240" w:lineRule="auto"/>
        <w:jc w:val="both"/>
        <w:textAlignment w:val="baseline"/>
        <w:rPr>
          <w:rFonts w:ascii="Times New Roman" w:hAnsi="Times New Roman"/>
          <w:color w:val="000000" w:themeColor="text1"/>
          <w:sz w:val="16"/>
          <w:szCs w:val="16"/>
        </w:rPr>
      </w:pPr>
    </w:p>
    <w:p w14:paraId="77EF05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г. неудачей закончилась попытка установить гидравлический механизм поворота башни, демонтированный с амери</w:t>
      </w:r>
      <w:r w:rsidRPr="00271E51">
        <w:rPr>
          <w:rFonts w:ascii="Times New Roman" w:hAnsi="Times New Roman"/>
          <w:color w:val="000000" w:themeColor="text1"/>
          <w:sz w:val="16"/>
          <w:szCs w:val="16"/>
        </w:rPr>
        <w:softHyphen/>
        <w:t>канского танка М4 ("Шерман"), в башню танка "Объект 239". Во время испытаний была достигнута максимальная скорость вращения башни -15 град/сек., но из-за того, что гидравлический механизм поворота в башне танка "Объект 239" работал на пределе, то при быстром реверсе он вышел из строя. Другим недостатком МПБ танка "Шерман" оказа</w:t>
      </w:r>
      <w:r w:rsidRPr="00271E51">
        <w:rPr>
          <w:rFonts w:ascii="Times New Roman" w:hAnsi="Times New Roman"/>
          <w:color w:val="000000" w:themeColor="text1"/>
          <w:sz w:val="16"/>
          <w:szCs w:val="16"/>
        </w:rPr>
        <w:softHyphen/>
        <w:t>лось значительное время, необходимое для прогрева гидросистемы, да</w:t>
      </w:r>
      <w:r w:rsidRPr="00271E51">
        <w:rPr>
          <w:rFonts w:ascii="Times New Roman" w:hAnsi="Times New Roman"/>
          <w:color w:val="000000" w:themeColor="text1"/>
          <w:sz w:val="16"/>
          <w:szCs w:val="16"/>
        </w:rPr>
        <w:softHyphen/>
        <w:t>же при температуре +15°С требовалось 25 мин. предварительного ее прогрева, что в боевой обстановке не всегда могло быть предоставлено (10703).</w:t>
      </w:r>
    </w:p>
    <w:p w14:paraId="27A02D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01CA1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2AB335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273B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г. АДД реорганизовали в 18-ю Воздушную Армию. В связи с этим в очередной раз изменилась нумерация войсковых частей, входивших в 4-й ГБАК: 4-я ГБАД стала 14-й ГБАД, 5-я ГБАД - 15-й; 13-й ГБАП ДД-229-м ГБАП; 15-й ГБАП ДД - 198-м ГБАП; 34-й ГБАП ДД - 250-м ГБАП; 14-й ГБАП - 201-м ГБАП, 22-й ГБАП ДД - 238-м ГБАП и 35-й ГБАП ДД-251-м ГБАП (3198).</w:t>
      </w:r>
    </w:p>
    <w:p w14:paraId="542754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311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декабря 1943 началось наступление 1УФ при поддержке 2ВА (г С.А.Красовский) и к 14 января 1944 освободил Киевскую и Житомирскую области и многие районы Винницкой и Ровенской областей (340,162).</w:t>
      </w:r>
    </w:p>
    <w:p w14:paraId="535E34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B40D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109402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E31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на 1-м Украинском фронте завершились широкие войсковые испытания Ил-2 с пушками НС-37, после чего он и был принят на вооружение (263,141).</w:t>
      </w:r>
    </w:p>
    <w:p w14:paraId="01F425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894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на Первом Украинском фронте закончились войсковые испытания самолета с НС-37, которые проходили с 20 июля 1943 г. По отзывам летчиков, техника пилотирования Ил-2 с крупнокалиберными пушками при нормальном полетном весе мало отличалась от техники пилотирования Ил-2 с ШВАК и ВЯ с нормальной бомбовой нагрузкой 400 кг. Однако наличие обтекателей и большой разнос масс (вес одной пушки с 50 снарядами - 237 кг) по размаху крыла делали самолет с 37-мм пушками более инертным при маневрировании по сравнению с обычными двухместными Ил-2. Пушка НС-37 зарекомендовала себя как надежное и мощное оружие при стрельбе по объемным целям и площадям. В то же время сильная отдача создавала определенные трудности при прицельной стрельбе по точечным целям, особенно при ведении огня из одной пушки.</w:t>
      </w:r>
    </w:p>
    <w:p w14:paraId="7734D9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7AF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учитывая постоянные жалобы главных инженеров воздуш</w:t>
      </w:r>
      <w:r w:rsidRPr="00271E51">
        <w:rPr>
          <w:rFonts w:ascii="Times New Roman" w:hAnsi="Times New Roman"/>
          <w:color w:val="000000" w:themeColor="text1"/>
          <w:sz w:val="16"/>
          <w:szCs w:val="16"/>
        </w:rPr>
        <w:softHyphen/>
        <w:t>ных армий по поводу предельных температурных режимов ра</w:t>
      </w:r>
      <w:r w:rsidRPr="00271E51">
        <w:rPr>
          <w:rFonts w:ascii="Times New Roman" w:hAnsi="Times New Roman"/>
          <w:color w:val="000000" w:themeColor="text1"/>
          <w:sz w:val="16"/>
          <w:szCs w:val="16"/>
        </w:rPr>
        <w:softHyphen/>
        <w:t>боты моторной группы на самолете Ил-2, НИИ ВВС совместно с ЦИАМ провели исследование «теплово</w:t>
      </w:r>
      <w:r w:rsidRPr="00271E51">
        <w:rPr>
          <w:rFonts w:ascii="Times New Roman" w:hAnsi="Times New Roman"/>
          <w:color w:val="000000" w:themeColor="text1"/>
          <w:sz w:val="16"/>
          <w:szCs w:val="16"/>
        </w:rPr>
        <w:softHyphen/>
        <w:t>го состояния системы зажигания мотора АМ-38ф на самолете Ил-2 в полете».</w:t>
      </w:r>
    </w:p>
    <w:p w14:paraId="0D574E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Оказалось, что после полета продолжительностью 1 ч 17 мин. — 1 ч 25 мин. при температуре окружающего воздуха от —4°С до +2°С тепловые условия работы </w:t>
      </w:r>
      <w:r w:rsidRPr="00271E51">
        <w:rPr>
          <w:rFonts w:ascii="Times New Roman" w:hAnsi="Times New Roman"/>
          <w:color w:val="000000" w:themeColor="text1"/>
          <w:sz w:val="16"/>
          <w:szCs w:val="16"/>
        </w:rPr>
        <w:lastRenderedPageBreak/>
        <w:t>магнето БСМ-12ш и авиационных свечей типа ВГ-27 с угольниками типа УЭ-04 не превышают предельно допустимых значений. Однако в лет</w:t>
      </w:r>
      <w:r w:rsidRPr="00271E51">
        <w:rPr>
          <w:rFonts w:ascii="Times New Roman" w:hAnsi="Times New Roman"/>
          <w:color w:val="000000" w:themeColor="text1"/>
          <w:sz w:val="16"/>
          <w:szCs w:val="16"/>
        </w:rPr>
        <w:softHyphen/>
        <w:t>них условиях, когда температура наружного воздуха составит +20—30°С, тепловой режим экрана свечи будет на пределе допустимых температур для проводов ПВЛ (120—125°С), а может быть, даже и превышать их.</w:t>
      </w:r>
    </w:p>
    <w:p w14:paraId="69581F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«Заключении» отчета по результатам испытаний рекомен</w:t>
      </w:r>
      <w:r w:rsidRPr="00271E51">
        <w:rPr>
          <w:rFonts w:ascii="Times New Roman" w:hAnsi="Times New Roman"/>
          <w:color w:val="000000" w:themeColor="text1"/>
          <w:sz w:val="16"/>
          <w:szCs w:val="16"/>
        </w:rPr>
        <w:softHyphen/>
        <w:t>довалось при предъявлении на государственные испытания мо</w:t>
      </w:r>
      <w:r w:rsidRPr="00271E51">
        <w:rPr>
          <w:rFonts w:ascii="Times New Roman" w:hAnsi="Times New Roman"/>
          <w:color w:val="000000" w:themeColor="text1"/>
          <w:sz w:val="16"/>
          <w:szCs w:val="16"/>
        </w:rPr>
        <w:softHyphen/>
        <w:t>торов и самолетов, «как вновь созданных, так и модернизирован</w:t>
      </w:r>
      <w:r w:rsidRPr="00271E51">
        <w:rPr>
          <w:rFonts w:ascii="Times New Roman" w:hAnsi="Times New Roman"/>
          <w:color w:val="000000" w:themeColor="text1"/>
          <w:sz w:val="16"/>
          <w:szCs w:val="16"/>
        </w:rPr>
        <w:softHyphen/>
        <w:t>ных, предусмотреть обязательную проверку теплового режима основных элементов системы зажигания с указанием их величи</w:t>
      </w:r>
      <w:r w:rsidRPr="00271E51">
        <w:rPr>
          <w:rFonts w:ascii="Times New Roman" w:hAnsi="Times New Roman"/>
          <w:color w:val="000000" w:themeColor="text1"/>
          <w:sz w:val="16"/>
          <w:szCs w:val="16"/>
        </w:rPr>
        <w:softHyphen/>
        <w:t>ны». Кроме этого, предлагалось летом провести дополнительные исследования температурных режимов работы мотора (11474,375).</w:t>
      </w:r>
    </w:p>
    <w:p w14:paraId="74CBD8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6BC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w:t>
      </w:r>
      <w:r w:rsidRPr="00271E51">
        <w:rPr>
          <w:rFonts w:ascii="Times New Roman" w:hAnsi="Times New Roman"/>
          <w:color w:val="000000" w:themeColor="text1"/>
          <w:sz w:val="16"/>
          <w:szCs w:val="16"/>
        </w:rPr>
        <w:softHyphen/>
        <w:t>кабре 1943 г. на испытаниях в НИИ спецслужб в кабине «Ила» намерили -17° (за бортом было -32°). Пилоту Пе-2 приходилось еще хуже, он мерз при — 28°. На «американце» же экипаж рабо</w:t>
      </w:r>
      <w:r w:rsidRPr="00271E51">
        <w:rPr>
          <w:rFonts w:ascii="Times New Roman" w:hAnsi="Times New Roman"/>
          <w:color w:val="000000" w:themeColor="text1"/>
          <w:sz w:val="16"/>
          <w:szCs w:val="16"/>
        </w:rPr>
        <w:softHyphen/>
        <w:t>тал практически при комнатной темпе</w:t>
      </w:r>
      <w:r w:rsidRPr="00271E51">
        <w:rPr>
          <w:rFonts w:ascii="Times New Roman" w:hAnsi="Times New Roman"/>
          <w:color w:val="000000" w:themeColor="text1"/>
          <w:sz w:val="16"/>
          <w:szCs w:val="16"/>
        </w:rPr>
        <w:softHyphen/>
        <w:t>ратуре. На В-25 имелась даже такая буржуазная роскошь, как унитаз: «в по</w:t>
      </w:r>
      <w:r w:rsidRPr="00271E51">
        <w:rPr>
          <w:rFonts w:ascii="Times New Roman" w:hAnsi="Times New Roman"/>
          <w:color w:val="000000" w:themeColor="text1"/>
          <w:sz w:val="16"/>
          <w:szCs w:val="16"/>
        </w:rPr>
        <w:softHyphen/>
        <w:t>ходном положении» на его крышке си</w:t>
      </w:r>
      <w:r w:rsidRPr="00271E51">
        <w:rPr>
          <w:rFonts w:ascii="Times New Roman" w:hAnsi="Times New Roman"/>
          <w:color w:val="000000" w:themeColor="text1"/>
          <w:sz w:val="16"/>
          <w:szCs w:val="16"/>
        </w:rPr>
        <w:softHyphen/>
        <w:t>дел стрело'к. Пилотов на американской машине было два, а кроме этого само</w:t>
      </w:r>
      <w:r w:rsidRPr="00271E51">
        <w:rPr>
          <w:rFonts w:ascii="Times New Roman" w:hAnsi="Times New Roman"/>
          <w:color w:val="000000" w:themeColor="text1"/>
          <w:sz w:val="16"/>
          <w:szCs w:val="16"/>
        </w:rPr>
        <w:softHyphen/>
        <w:t>лет комплектовался автопилотом. Бом</w:t>
      </w:r>
      <w:r w:rsidRPr="00271E51">
        <w:rPr>
          <w:rFonts w:ascii="Times New Roman" w:hAnsi="Times New Roman"/>
          <w:color w:val="000000" w:themeColor="text1"/>
          <w:sz w:val="16"/>
          <w:szCs w:val="16"/>
        </w:rPr>
        <w:softHyphen/>
        <w:t>бардировщик был куда устойчивее и проще в пилотировании. Знакомство с В-25 сразу вызвало вопрос — а почему хотя бы часть этого не внедрить на оте</w:t>
      </w:r>
      <w:r w:rsidRPr="00271E51">
        <w:rPr>
          <w:rFonts w:ascii="Times New Roman" w:hAnsi="Times New Roman"/>
          <w:color w:val="000000" w:themeColor="text1"/>
          <w:sz w:val="16"/>
          <w:szCs w:val="16"/>
        </w:rPr>
        <w:softHyphen/>
        <w:t>чественных дальних бомбардировщи</w:t>
      </w:r>
      <w:r w:rsidRPr="00271E51">
        <w:rPr>
          <w:rFonts w:ascii="Times New Roman" w:hAnsi="Times New Roman"/>
          <w:color w:val="000000" w:themeColor="text1"/>
          <w:sz w:val="16"/>
          <w:szCs w:val="16"/>
        </w:rPr>
        <w:softHyphen/>
        <w:t>ках. Разумеется, у американской маши</w:t>
      </w:r>
      <w:r w:rsidRPr="00271E51">
        <w:rPr>
          <w:rFonts w:ascii="Times New Roman" w:hAnsi="Times New Roman"/>
          <w:color w:val="000000" w:themeColor="text1"/>
          <w:sz w:val="16"/>
          <w:szCs w:val="16"/>
        </w:rPr>
        <w:softHyphen/>
        <w:t>ны имелись свои недостатки. В частнос</w:t>
      </w:r>
      <w:r w:rsidRPr="00271E51">
        <w:rPr>
          <w:rFonts w:ascii="Times New Roman" w:hAnsi="Times New Roman"/>
          <w:color w:val="000000" w:themeColor="text1"/>
          <w:sz w:val="16"/>
          <w:szCs w:val="16"/>
        </w:rPr>
        <w:softHyphen/>
        <w:t>ти, она уступала Ил-4 в максимальной скорости и практическом потолке. Ильюшинский самолет, являвшийся в то время единственным советским дальним бомбардировщиком, нельзябыло реконструировать кардинально — это нарушило бы ход серийного произ</w:t>
      </w:r>
      <w:r w:rsidRPr="00271E51">
        <w:rPr>
          <w:rFonts w:ascii="Times New Roman" w:hAnsi="Times New Roman"/>
          <w:color w:val="000000" w:themeColor="text1"/>
          <w:sz w:val="16"/>
          <w:szCs w:val="16"/>
        </w:rPr>
        <w:softHyphen/>
        <w:t>водства. Страна так нуждалась в само</w:t>
      </w:r>
      <w:r w:rsidRPr="00271E51">
        <w:rPr>
          <w:rFonts w:ascii="Times New Roman" w:hAnsi="Times New Roman"/>
          <w:color w:val="000000" w:themeColor="text1"/>
          <w:sz w:val="16"/>
          <w:szCs w:val="16"/>
        </w:rPr>
        <w:softHyphen/>
        <w:t>летах, что оставалось возможным толь</w:t>
      </w:r>
      <w:r w:rsidRPr="00271E51">
        <w:rPr>
          <w:rFonts w:ascii="Times New Roman" w:hAnsi="Times New Roman"/>
          <w:color w:val="000000" w:themeColor="text1"/>
          <w:sz w:val="16"/>
          <w:szCs w:val="16"/>
        </w:rPr>
        <w:softHyphen/>
        <w:t>ко внесение небольших паллиативных изменений, не влияющих на темпы вы</w:t>
      </w:r>
      <w:r w:rsidRPr="00271E51">
        <w:rPr>
          <w:rFonts w:ascii="Times New Roman" w:hAnsi="Times New Roman"/>
          <w:color w:val="000000" w:themeColor="text1"/>
          <w:sz w:val="16"/>
          <w:szCs w:val="16"/>
        </w:rPr>
        <w:softHyphen/>
        <w:t>пуска. Трудоемкость изготовления од</w:t>
      </w:r>
      <w:r w:rsidRPr="00271E51">
        <w:rPr>
          <w:rFonts w:ascii="Times New Roman" w:hAnsi="Times New Roman"/>
          <w:color w:val="000000" w:themeColor="text1"/>
          <w:sz w:val="16"/>
          <w:szCs w:val="16"/>
        </w:rPr>
        <w:softHyphen/>
        <w:t>ного Ил-4 в 1943 г. довели до 12,5 ты</w:t>
      </w:r>
      <w:r w:rsidRPr="00271E51">
        <w:rPr>
          <w:rFonts w:ascii="Times New Roman" w:hAnsi="Times New Roman"/>
          <w:color w:val="000000" w:themeColor="text1"/>
          <w:sz w:val="16"/>
          <w:szCs w:val="16"/>
        </w:rPr>
        <w:softHyphen/>
        <w:t>сяч человеко-часов — меньше, чем у фронтового Пе-2. Собирали до 40 ма</w:t>
      </w:r>
      <w:r w:rsidRPr="00271E51">
        <w:rPr>
          <w:rFonts w:ascii="Times New Roman" w:hAnsi="Times New Roman"/>
          <w:color w:val="000000" w:themeColor="text1"/>
          <w:sz w:val="16"/>
          <w:szCs w:val="16"/>
        </w:rPr>
        <w:softHyphen/>
        <w:t>шин в месяц. На заводе № 23 Ил-4 сня</w:t>
      </w:r>
      <w:r w:rsidRPr="00271E51">
        <w:rPr>
          <w:rFonts w:ascii="Times New Roman" w:hAnsi="Times New Roman"/>
          <w:color w:val="000000" w:themeColor="text1"/>
          <w:sz w:val="16"/>
          <w:szCs w:val="16"/>
        </w:rPr>
        <w:softHyphen/>
        <w:t>ли с производства в июле 43-го. Зато его сборку организовали на заводе № 456. Выпуск Ил-4 в 1943 г. значительно вырос по сравнению с 42-м. Изготови</w:t>
      </w:r>
      <w:r w:rsidRPr="00271E51">
        <w:rPr>
          <w:rFonts w:ascii="Times New Roman" w:hAnsi="Times New Roman"/>
          <w:color w:val="000000" w:themeColor="text1"/>
          <w:sz w:val="16"/>
          <w:szCs w:val="16"/>
        </w:rPr>
        <w:softHyphen/>
        <w:t>ли 1568 самолетов. Интересно, что ли</w:t>
      </w:r>
      <w:r w:rsidRPr="00271E51">
        <w:rPr>
          <w:rFonts w:ascii="Times New Roman" w:hAnsi="Times New Roman"/>
          <w:color w:val="000000" w:themeColor="text1"/>
          <w:sz w:val="16"/>
          <w:szCs w:val="16"/>
        </w:rPr>
        <w:softHyphen/>
        <w:t>дерство по количеству построенных бомбардировщиков перешло к заводу № 39 — 698 машин. 126-й собрал 613. АДД приняла примерно две трети сум</w:t>
      </w:r>
      <w:r w:rsidRPr="00271E51">
        <w:rPr>
          <w:rFonts w:ascii="Times New Roman" w:hAnsi="Times New Roman"/>
          <w:color w:val="000000" w:themeColor="text1"/>
          <w:sz w:val="16"/>
          <w:szCs w:val="16"/>
        </w:rPr>
        <w:softHyphen/>
        <w:t>марного выпуска — 1198 Ил-4. Это да</w:t>
      </w:r>
      <w:r w:rsidRPr="00271E51">
        <w:rPr>
          <w:rFonts w:ascii="Times New Roman" w:hAnsi="Times New Roman"/>
          <w:color w:val="000000" w:themeColor="text1"/>
          <w:sz w:val="16"/>
          <w:szCs w:val="16"/>
        </w:rPr>
        <w:softHyphen/>
        <w:t>ло возможность сформировать восемь новых полков. Почти все оставшиеся получила морская авиация. В течение года в конструкцию бом</w:t>
      </w:r>
      <w:r w:rsidRPr="00271E51">
        <w:rPr>
          <w:rFonts w:ascii="Times New Roman" w:hAnsi="Times New Roman"/>
          <w:color w:val="000000" w:themeColor="text1"/>
          <w:sz w:val="16"/>
          <w:szCs w:val="16"/>
        </w:rPr>
        <w:softHyphen/>
        <w:t>бардировщика внесли целый ряд важ</w:t>
      </w:r>
      <w:r w:rsidRPr="00271E51">
        <w:rPr>
          <w:rFonts w:ascii="Times New Roman" w:hAnsi="Times New Roman"/>
          <w:color w:val="000000" w:themeColor="text1"/>
          <w:sz w:val="16"/>
          <w:szCs w:val="16"/>
        </w:rPr>
        <w:softHyphen/>
        <w:t>ных изменений. Наиболее существен</w:t>
      </w:r>
      <w:r w:rsidRPr="00271E51">
        <w:rPr>
          <w:rFonts w:ascii="Times New Roman" w:hAnsi="Times New Roman"/>
          <w:color w:val="000000" w:themeColor="text1"/>
          <w:sz w:val="16"/>
          <w:szCs w:val="16"/>
        </w:rPr>
        <w:softHyphen/>
        <w:t>ным из них являлось так называемое «крыло со стрелкой», спроектирован</w:t>
      </w:r>
      <w:r w:rsidRPr="00271E51">
        <w:rPr>
          <w:rFonts w:ascii="Times New Roman" w:hAnsi="Times New Roman"/>
          <w:color w:val="000000" w:themeColor="text1"/>
          <w:sz w:val="16"/>
          <w:szCs w:val="16"/>
        </w:rPr>
        <w:softHyphen/>
        <w:t>ное в феврале 1943 г. Идея была той же, что и ранее — немного повернуть консоли назад. Но сделали это проще, чем в 1942 г. Рядом с обычной нервюрой, от которой начиналась консоль, подуглом 6° поставили новую, дополни</w:t>
      </w:r>
      <w:r w:rsidRPr="00271E51">
        <w:rPr>
          <w:rFonts w:ascii="Times New Roman" w:hAnsi="Times New Roman"/>
          <w:color w:val="000000" w:themeColor="text1"/>
          <w:sz w:val="16"/>
          <w:szCs w:val="16"/>
        </w:rPr>
        <w:softHyphen/>
        <w:t>тельную, которая и стала стыковой, не</w:t>
      </w:r>
      <w:r w:rsidRPr="00271E51">
        <w:rPr>
          <w:rFonts w:ascii="Times New Roman" w:hAnsi="Times New Roman"/>
          <w:color w:val="000000" w:themeColor="text1"/>
          <w:sz w:val="16"/>
          <w:szCs w:val="16"/>
        </w:rPr>
        <w:softHyphen/>
        <w:t>много удлинили лонжероны и накрыли все это обшивкой. Попутно изменили конструкцию стыковочных узлов. Это мероприятие повысило продольную ус</w:t>
      </w:r>
      <w:r w:rsidRPr="00271E51">
        <w:rPr>
          <w:rFonts w:ascii="Times New Roman" w:hAnsi="Times New Roman"/>
          <w:color w:val="000000" w:themeColor="text1"/>
          <w:sz w:val="16"/>
          <w:szCs w:val="16"/>
        </w:rPr>
        <w:softHyphen/>
        <w:t>тойчивость, несколько улучшив пило</w:t>
      </w:r>
      <w:r w:rsidRPr="00271E51">
        <w:rPr>
          <w:rFonts w:ascii="Times New Roman" w:hAnsi="Times New Roman"/>
          <w:color w:val="000000" w:themeColor="text1"/>
          <w:sz w:val="16"/>
          <w:szCs w:val="16"/>
        </w:rPr>
        <w:softHyphen/>
        <w:t>тажные качества Ил-4 (10734,77).</w:t>
      </w:r>
    </w:p>
    <w:p w14:paraId="0DFC67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FAC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испытаниях в НИИ спецслужб в кабине “Ила” намеряли -17°С (за бортом было -32°C). Справедливости ради отметим, что пилотам советских пикировщиков Пе-2 приходилось еще хуже, они мерзли при -28°С (7666).</w:t>
      </w:r>
    </w:p>
    <w:p w14:paraId="052E77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D8357" w14:textId="77777777" w:rsidR="00C41A6C" w:rsidRPr="00271E51" w:rsidRDefault="00C41A6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всего декабря 1943 на заводе № 24 в авральном режиме проводились доводочные и экспериментальные работы по устранению дефектов, выявленных при длительных заводских 100-часовых испытаниях трех моторов АМ-42 зав. № 4212, 4229 и 4231. Предъявленный доработанный мотор зав. № 4230 на государственные 100-часовые испытания после 10 часов режимной работы был снят по причине трещин усиленных всасывающих патрубков новой конструкции. После замены патрубков по решению комиссии мотор вновь допустили к испытаниям. Однако «на четвертом 10-часовом этапе мотор № 4230 окончательно с испытаний был снят из-за трещин гильз цилиндра». Дальнейшие испытания мотора продолжались уже как внутризаводские. К 23 декабря АМ-42 зав. № 4230 все же сумел отработать 100 часов на стенде. Стало возможным передать один из доработанных моторов в ОКБ-240. Одновременно для прохождения государственных испытаний, начало которых запланировали на 25 декабря, стали готовить другой экземпляр мотора АМ-42 зав. № 4236 (17490).</w:t>
      </w:r>
    </w:p>
    <w:p w14:paraId="1B64926D" w14:textId="77777777" w:rsidR="00C41A6C" w:rsidRPr="00271E51" w:rsidRDefault="00C41A6C" w:rsidP="00271E51">
      <w:pPr>
        <w:spacing w:after="0" w:line="240" w:lineRule="auto"/>
        <w:jc w:val="both"/>
        <w:rPr>
          <w:rFonts w:ascii="Times New Roman" w:eastAsia="Times New Roman" w:hAnsi="Times New Roman"/>
          <w:color w:val="000000" w:themeColor="text1"/>
          <w:sz w:val="16"/>
          <w:szCs w:val="16"/>
          <w:lang w:eastAsia="ru-RU"/>
        </w:rPr>
      </w:pPr>
    </w:p>
    <w:p w14:paraId="7C520F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был подготовлен отчет об основных работах ЛИИ за ноябрь:</w:t>
      </w:r>
    </w:p>
    <w:p w14:paraId="733137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1CE5F45E" w14:textId="77777777" w:rsidTr="00ED5B0A">
        <w:tc>
          <w:tcPr>
            <w:tcW w:w="5636" w:type="dxa"/>
          </w:tcPr>
          <w:p w14:paraId="4226F0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эталонного модифицированного</w:t>
            </w:r>
          </w:p>
        </w:tc>
        <w:tc>
          <w:tcPr>
            <w:tcW w:w="5636" w:type="dxa"/>
          </w:tcPr>
          <w:p w14:paraId="6AF039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Проведено несколько полетов на самолете Ил-2,</w:t>
            </w:r>
          </w:p>
        </w:tc>
      </w:tr>
      <w:tr w:rsidR="00A907A5" w:rsidRPr="00271E51" w14:paraId="12544FB4" w14:textId="77777777" w:rsidTr="00ED5B0A">
        <w:tc>
          <w:tcPr>
            <w:tcW w:w="5636" w:type="dxa"/>
          </w:tcPr>
          <w:p w14:paraId="3CDC88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самолета Ил-2</w:t>
            </w:r>
          </w:p>
        </w:tc>
        <w:tc>
          <w:tcPr>
            <w:tcW w:w="5636" w:type="dxa"/>
          </w:tcPr>
          <w:p w14:paraId="737CB5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модернизированным 30 заводом. Получены след. данные:</w:t>
            </w:r>
          </w:p>
        </w:tc>
      </w:tr>
      <w:tr w:rsidR="00A907A5" w:rsidRPr="00271E51" w14:paraId="185C7DF8" w14:textId="77777777" w:rsidTr="00ED5B0A">
        <w:tc>
          <w:tcPr>
            <w:tcW w:w="5636" w:type="dxa"/>
          </w:tcPr>
          <w:p w14:paraId="478269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11A48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Макс. скорость у земли - 409 км/час</w:t>
            </w:r>
          </w:p>
        </w:tc>
      </w:tr>
      <w:tr w:rsidR="00A907A5" w:rsidRPr="00271E51" w14:paraId="088E2142" w14:textId="77777777" w:rsidTr="00ED5B0A">
        <w:tc>
          <w:tcPr>
            <w:tcW w:w="5636" w:type="dxa"/>
          </w:tcPr>
          <w:p w14:paraId="2F5945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EC722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Т масла на выходе из мотора в гор. полете - 115 гр.</w:t>
            </w:r>
          </w:p>
        </w:tc>
      </w:tr>
      <w:tr w:rsidR="00A907A5" w:rsidRPr="00271E51" w14:paraId="45AD53AA" w14:textId="77777777" w:rsidTr="00ED5B0A">
        <w:tc>
          <w:tcPr>
            <w:tcW w:w="5636" w:type="dxa"/>
          </w:tcPr>
          <w:p w14:paraId="4F9EA9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4CE33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 воды в пределах допустимых норм</w:t>
            </w:r>
          </w:p>
        </w:tc>
      </w:tr>
    </w:tbl>
    <w:p w14:paraId="256F8A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самолету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907A5" w:rsidRPr="00271E51" w14:paraId="08A5B25D" w14:textId="77777777" w:rsidTr="00ED5B0A">
        <w:tc>
          <w:tcPr>
            <w:tcW w:w="5636" w:type="dxa"/>
          </w:tcPr>
          <w:p w14:paraId="430F36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испытание трубки Пито конструкции НИСО</w:t>
            </w:r>
          </w:p>
        </w:tc>
        <w:tc>
          <w:tcPr>
            <w:tcW w:w="5636" w:type="dxa"/>
          </w:tcPr>
          <w:p w14:paraId="39AEF9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Трубка НИСО рекомендуется для установки на самолете</w:t>
            </w:r>
          </w:p>
        </w:tc>
      </w:tr>
      <w:tr w:rsidR="00A907A5" w:rsidRPr="00271E51" w14:paraId="0F81F102" w14:textId="77777777" w:rsidTr="00ED5B0A">
        <w:tc>
          <w:tcPr>
            <w:tcW w:w="5636" w:type="dxa"/>
          </w:tcPr>
          <w:p w14:paraId="57B842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2E0A7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(1782,44)</w:t>
            </w:r>
          </w:p>
        </w:tc>
      </w:tr>
    </w:tbl>
    <w:p w14:paraId="070799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9E1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Начальник оперативного управления штаба ВВС КА на одном из со</w:t>
      </w:r>
      <w:r w:rsidRPr="00271E51">
        <w:rPr>
          <w:rFonts w:ascii="Times New Roman" w:hAnsi="Times New Roman"/>
          <w:color w:val="000000" w:themeColor="text1"/>
          <w:sz w:val="16"/>
          <w:szCs w:val="16"/>
        </w:rPr>
        <w:softHyphen/>
        <w:t>вещаний отметил, что «использование Су-2 и Ил-2 в качестве корректировщика вынуж</w:t>
      </w:r>
      <w:r w:rsidRPr="00271E51">
        <w:rPr>
          <w:rFonts w:ascii="Times New Roman" w:hAnsi="Times New Roman"/>
          <w:color w:val="000000" w:themeColor="text1"/>
          <w:sz w:val="16"/>
          <w:szCs w:val="16"/>
        </w:rPr>
        <w:softHyphen/>
        <w:t>денное мероприятие, обусловленное отсутствием специального самолета. Корректиров</w:t>
      </w:r>
      <w:r w:rsidRPr="00271E51">
        <w:rPr>
          <w:rFonts w:ascii="Times New Roman" w:hAnsi="Times New Roman"/>
          <w:color w:val="000000" w:themeColor="text1"/>
          <w:sz w:val="16"/>
          <w:szCs w:val="16"/>
        </w:rPr>
        <w:softHyphen/>
        <w:t>щик должен быть, по крайней мере, 3-х местным самолетом, маневренным, с хорошим обзором, сильным вооружением и большим диапазоном скоростей. Над созданием та</w:t>
      </w:r>
      <w:r w:rsidRPr="00271E51">
        <w:rPr>
          <w:rFonts w:ascii="Times New Roman" w:hAnsi="Times New Roman"/>
          <w:color w:val="000000" w:themeColor="text1"/>
          <w:sz w:val="16"/>
          <w:szCs w:val="16"/>
        </w:rPr>
        <w:softHyphen/>
        <w:t>кого самолета нужно работать, потребность в нем ощущается очень большая».</w:t>
      </w:r>
    </w:p>
    <w:p w14:paraId="498993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Ранее в план-заявку на строительство опыт</w:t>
      </w:r>
      <w:r w:rsidRPr="00271E51">
        <w:rPr>
          <w:rFonts w:ascii="Times New Roman" w:hAnsi="Times New Roman"/>
          <w:color w:val="000000" w:themeColor="text1"/>
          <w:sz w:val="16"/>
          <w:szCs w:val="16"/>
        </w:rPr>
        <w:softHyphen/>
        <w:t>ных и модификаций се</w:t>
      </w:r>
      <w:r w:rsidRPr="00271E51">
        <w:rPr>
          <w:rFonts w:ascii="Times New Roman" w:hAnsi="Times New Roman"/>
          <w:color w:val="000000" w:themeColor="text1"/>
          <w:sz w:val="16"/>
          <w:szCs w:val="16"/>
        </w:rPr>
        <w:softHyphen/>
        <w:t>рийных самолётов в 1943 г. включили «Вой</w:t>
      </w:r>
      <w:r w:rsidRPr="00271E51">
        <w:rPr>
          <w:rFonts w:ascii="Times New Roman" w:hAnsi="Times New Roman"/>
          <w:color w:val="000000" w:themeColor="text1"/>
          <w:sz w:val="16"/>
          <w:szCs w:val="16"/>
        </w:rPr>
        <w:softHyphen/>
        <w:t>сковой разведчик и ар</w:t>
      </w:r>
      <w:r w:rsidRPr="00271E51">
        <w:rPr>
          <w:rFonts w:ascii="Times New Roman" w:hAnsi="Times New Roman"/>
          <w:color w:val="000000" w:themeColor="text1"/>
          <w:sz w:val="16"/>
          <w:szCs w:val="16"/>
        </w:rPr>
        <w:softHyphen/>
        <w:t>тиллерийский корректи</w:t>
      </w:r>
      <w:r w:rsidRPr="00271E51">
        <w:rPr>
          <w:rFonts w:ascii="Times New Roman" w:hAnsi="Times New Roman"/>
          <w:color w:val="000000" w:themeColor="text1"/>
          <w:sz w:val="16"/>
          <w:szCs w:val="16"/>
        </w:rPr>
        <w:softHyphen/>
        <w:t>ровщик с мотором воз</w:t>
      </w:r>
      <w:r w:rsidRPr="00271E51">
        <w:rPr>
          <w:rFonts w:ascii="Times New Roman" w:hAnsi="Times New Roman"/>
          <w:color w:val="000000" w:themeColor="text1"/>
          <w:sz w:val="16"/>
          <w:szCs w:val="16"/>
        </w:rPr>
        <w:softHyphen/>
        <w:t>душного охлаждения» (11696).</w:t>
      </w:r>
    </w:p>
    <w:p w14:paraId="3DE56D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B445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при обсуждении результатов гос. испытаний Ер-2 2М-30Б и в декабре 1943 г., утверждая тактико-технические требования к серийному Ер-2, представители АДД предложили ввести в состав экипажа второго пилота, посадив его рядом с командиром. В этом пожелании чувствуется влияние опыта эксплуатации американского бомбардировщика В-25, также состоявшего на вооружении АДД. Кроме того, военные настояли на замене верхней пулеметной установки на пушечную и применении колес увеличенных размеров (на основных стойках - 1325х485 мм, а костыльного - 700х300 мм). Кое-какие изменения внес сам главный конструктор. Так, длина фюзеляжа самолета за счет удлинения бомбоотсека увеличилась на 102 мм, а размах крыла - на 290 мм. В интересах обеспечения центровки моторы пришлось вынести вперед на 145 мм, увеличилась площадь рулей высоты и вертикального оперения. Эти полезные, в общем, нововведения привели к росту массы пустого самолета на 330 кг. Второй пилот дал еще 90 кг. И все это в сочетании с моторами АЧ-ЗОБ (это наименование двигателю было присвоено в знак признания заслуг его главного конструктора А.Д.Чаромского) массового производства, надежность которых оставляла желать лучшего. Между тем, командование АДД требовало, чтобы летные данные машины в серии, по крайней мере, не ухудшились. Оно снова хотело от Ермолаева чуда и прежде всего - нормальных, по тогдашним представлениям, взлетных качеств. А ведь они и так были "на пределе" даже у более легкого опытного самолета (3322,41).</w:t>
      </w:r>
    </w:p>
    <w:p w14:paraId="0FE76C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16A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39 завод построил первые два серийные Ер-2 с двигателями М-ЗОБ, как это и предусматривалось правительственным заданием. Директор завода N 39 В.И.Абрамов слегка "пустил пыль в глаза" руководству, поскольку эти сданные "по бою" (то есть годные для боевых действий) самолеты на деле имели огромный перечень недоделок. Так, у головного серийного бомбардировщика военная приемка насчитала 157 дефектов (3322,41).</w:t>
      </w:r>
    </w:p>
    <w:p w14:paraId="4EDE35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B52B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состоялись гос. испытания Ер-2 с дизелями АЧ-30Б по 1250 л.с. и 1500 л.с. на взлете (4,279). Решили восстановить производство на 39 заводе Иркутске (1724,55).</w:t>
      </w:r>
    </w:p>
    <w:p w14:paraId="6A6526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8D9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были готовы первые две серийные машины Ер-2, изготовленные в соответствии с макетом, утвержденным АДД 3 сентября 1943. Двигатели вынесли на 145 мм вперед, расширили кабину и посадили л рядом, увеличили площадь крыла на 1.62 м, ВО на 1.38 м, ГО на 0.62 м. Размах центроплана вырос на 290 мм, а бомбоотсек был удлинен на 102 мм. Сначала ставили ВИШ-24, а затем АВ-5ЛВ-116. Носовую установку Торопова под 12.7 мм с 220 патронами заменили на НУ-134 шарового типа под 5 магазинов по 65 патронов. На фюзеляже сначала поставили ТКУМ-5, а потом ТУМ-5М с электроприводом по горизонту под ШВАК и боезапас 200 снарядов и ОПТ-3. В ЛУ вместо БТ с ручной перезарядкой поставили УБК с пневмоперезарядкой на 275 патронов. Вместо ПС-1 в качестве бомбардировочного прицела поставили ОПБ-1Р и ночной НКПБ-7. Баки довели до 6420 л керосина. Колеса поставили 1325х485 мм и 700х300 м (2865,10).</w:t>
      </w:r>
    </w:p>
    <w:p w14:paraId="2DFF19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7AE6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декабре 1943 г. две серийные, но еще "сырые" машины Ер-2 с М-30Б вышли из сборочного цеха завода № 39. Кроме новых двигателей, вынесенных вперед на 145 мм, в экипаж ввели второго пилота. Для этого расширили кабину летчиков, разместив их в ряд. Возросли площади крыла (на 1,62 м2), вертикального и горизонтального оперения (на 1,39 и 0,62 м2 соответственно). На 290 мм увеличили размах центроплана и на 102 мм удлинили грузовой отсек. На моторах первоначально стояли винты </w:t>
      </w:r>
      <w:r w:rsidRPr="00271E51">
        <w:rPr>
          <w:rFonts w:ascii="Times New Roman" w:hAnsi="Times New Roman"/>
          <w:color w:val="000000" w:themeColor="text1"/>
          <w:sz w:val="16"/>
          <w:szCs w:val="16"/>
        </w:rPr>
        <w:lastRenderedPageBreak/>
        <w:t>ВИШ-24, замененные впоследствии АВ-5ЛВ-116.</w:t>
      </w:r>
    </w:p>
    <w:p w14:paraId="3BF277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Существенно улучшилось оборонительное вооружение. Носовую стрелковую установку с 12,7-мм пулеметом с боезапасом 220 патронов и непрерывным питанием заменили НУ-134 шарового типа с пятью магазинами по 65 патронов в каждом. На фюзеляже смонтировали сначала серийную турель ТУМ-5, а затем - модифицированную ТУМ-5М с электроприводом по горизонту и пушкой ШВАК с боезапасом 200 патронов и более совершенным прицелом ОПТ-3. В люковой установке вместо пулемета БТ с ручной перезарядкой и 240 патронами появился УБК того же калибра, но с пневматической перезарядкой и боекомплектом 275 патронов. Усовершенствовали и бомбардировочное вооружение, в частности, вместо одного прицела ПС-1 поставили два: дневной ОПБ-1Р и ночной НКПБ-7.</w:t>
      </w:r>
    </w:p>
    <w:p w14:paraId="5FDFC5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Объем внутренних топливных баков, оснащенных системой заполнения нейтральным газом, возрос на 540 л, а подвесного бака (в бомбовом отсеке) - на 60 л. Теперь все баки стали вмещать до 6420 л керосина. Установка жидкостного антиобледенителя на винты и лобовые стекла пилотской кабины благоприятно сказалась на пилотировании машины в сложных метеоусловиях. В итоге доработок значительно увеличился взлетный вес машины, что потребовало установки новых колес: главных опор шасси - размером 1325x485 мм и хвостового - 700x300 мм.</w:t>
      </w:r>
    </w:p>
    <w:p w14:paraId="26B3B1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Государственные испытания доработанного и одновременно первого серийного самолета начались в феврале 1944 г. в Иркутске. Ведущими по машине были инженер Н.М. Кокорин, летчик В.В. Лисицын и штурман Литвинчук. Со 2 по 5 апреля экипаж Лисицына совершил перелет по маршруту Иркутск - Красноярск - Новосибирск - Омск - Свердловск - Москва (аэродром Чкаловская) с промежуточными посадками в указанных пунктах. Испытания проходили довольно тяжело из-за многочисленных дефектов и шесть раз прерывались для доводки как самой машины, так и двигателей, в том числе и для их замены. В конечном счете, после выполния 66 полетов, в октябре пришлось прекратить испытания до полной доводки самолета.</w:t>
      </w:r>
    </w:p>
    <w:p w14:paraId="569ECA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новой модификации Ер-2 так и не устранили его раскачку в горизонтальном полете с крыла на крыло. По-прежнему на скоростях, меньших 240 км/ч по прибору, самолет не мог сохранять горизонтальный полет с брошенным управлением и переходил в спираль с быстрым нарастанием скорости, хотя при максимальном полетном весе выполнял виражи с креном до 50°, демонстрируя устойчивость и легкость в управлении (11994).</w:t>
      </w:r>
    </w:p>
    <w:p w14:paraId="24D7F5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AF7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авиазаводе №39 в Иркутске, кроме 30 Ил-4, выпустили два первых Ер-2. К этому моменту бомбардировщики окрашивались уже в трехцветный камуфляж. Среди утвержденных схем окраски специального варианта для Ер-2 не было, однако это не помешало самолету получить новый трехцветный камуфляж из пятен светло-коричневой А-21м, зеленой А-24м и черной А-26м эмалей, последняя позднее могла заменяться темно-серой А-32м. В отличие от стандартных схем, где доля темно-серого была меньше, чем любого другого цвета, в камуфляже первых серийных "еров" завода №39 все три цвета были "равноправны".</w:t>
      </w:r>
    </w:p>
    <w:p w14:paraId="501834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Иркутский завод, как расположенный вдалеке от центра, не мог не испытывать дефицита в снабжении материалами. Относилось это в полной мере и к авиационным лакам и эмалям. В подобных случаях руководство предприятия и военная приемка могли допустить выпуск самолетов в камуфляже, в котором отсутствовал темно-серый или светло-коричневый цвет. Дело облегчалось и тем, что, как говорилось выше, для Ер-2 отсутствовала официальная схема камуфляжа.</w:t>
      </w:r>
    </w:p>
    <w:p w14:paraId="4BA918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нижние поверхности многих машин окрашивались в черный цвет. Как исключение, встречались машины, окрашенные в черный цвет целиком.</w:t>
      </w:r>
    </w:p>
    <w:p w14:paraId="31238F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камуфляжем изменились и опознавательные знаки - прежние оказались недостаточно заметными. Это делалось по приказу "об улучшении видимости опознавательных знаков на самолетах ВВС КА" от 3 сентября 1943 г. Теперь они получили две окантовки: белую шириной 5 см и красную - 1 см. Хотя и раньше вокруг звезд иногда наносили белый кант. Но для Ер-2 этого оказалось недостаточно. Его силуэт оставался малознакомым бойцам советской ПВО. Чтобы избежать обстрела своими же истребителями и зенитчиками, красные звезды на "ерах" рисовали максимально больших размеров. На вертикальном оперении они занимали всю площадь шайб (11994).</w:t>
      </w:r>
    </w:p>
    <w:p w14:paraId="3C4B54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875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октября по декабрь 1943 г. на заводе № 39 ежемесячно собирали по 30 машин Ил-4,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60FDCE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03DCD9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4A88C6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7C2FFA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B219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к полетам был готов Пе-2Б - вторая переделка Пе-2, запланированная В.М.М. На самолете реализовали почти все изменения, предложенные ЦАГИ и реализованные на машине N 19/205, но скорость была всего 524 км/час вместо желаемых 560 км/час. Все же передали на гос. испытания, но вернулся оттуда из-за трещин в моторамах и вновь попал на испытания только в июне 1944, когда уже был Пе-2И (2205,41).</w:t>
      </w:r>
    </w:p>
    <w:p w14:paraId="667B72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87BCC" w14:textId="77777777" w:rsidR="00073EF4" w:rsidRPr="00271E51" w:rsidRDefault="00073E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к полетам был готов самолет Пе-2Б, на котором реализовали почти все изменения, предложенные ЦАГИ, но максимальная скорость была всего 524 км/ч вместо желаемых 560 км/ч (19727).</w:t>
      </w:r>
    </w:p>
    <w:p w14:paraId="14120B37" w14:textId="77777777" w:rsidR="00073EF4" w:rsidRPr="00271E51" w:rsidRDefault="00073EF4" w:rsidP="00271E51">
      <w:pPr>
        <w:spacing w:after="0" w:line="240" w:lineRule="auto"/>
        <w:jc w:val="both"/>
        <w:rPr>
          <w:rFonts w:ascii="Times New Roman" w:hAnsi="Times New Roman"/>
          <w:color w:val="000000" w:themeColor="text1"/>
          <w:sz w:val="16"/>
          <w:szCs w:val="16"/>
        </w:rPr>
      </w:pPr>
    </w:p>
    <w:p w14:paraId="134509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самолет Пе-2Б был готов к полетам. От переноса маслорадиатора в крыло пришлось отказаться (в опытном цехе завода катастрофически не хватало рабочих, все силы были брошены на выпуск серийных “пешек”), остался неизменным и профиль крыла серийного Пе-2. Всасывающий патрубок нагнетателя смонтировали в одном тоннеле с маслорадиатором - в “бороде” под редуктором мотора. На этом самолете были реализованы почти все предложения ЦАГИ, опробованные при переделке серийной машины №19/205. В отличие от самолета, модифицированного институтом, Пе-2Б был лишен “излишеств” (например, быстро разрушающейся шпатлевки, нанесенной на тонкую металлическую обшивку), но зато оборудовался новой кабиной пилота-штурмана с увеличенным фонарем и стрелковой установкой “ФЗ” (4476).</w:t>
      </w:r>
    </w:p>
    <w:p w14:paraId="5A7B3F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4CF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1943-го в вари</w:t>
      </w:r>
      <w:r w:rsidRPr="00271E51">
        <w:rPr>
          <w:rFonts w:ascii="Times New Roman" w:hAnsi="Times New Roman"/>
          <w:color w:val="000000" w:themeColor="text1"/>
          <w:sz w:val="16"/>
          <w:szCs w:val="16"/>
        </w:rPr>
        <w:softHyphen/>
        <w:t>ант Пе-2Б переделали серий</w:t>
      </w:r>
      <w:r w:rsidRPr="00271E51">
        <w:rPr>
          <w:rFonts w:ascii="Times New Roman" w:hAnsi="Times New Roman"/>
          <w:color w:val="000000" w:themeColor="text1"/>
          <w:sz w:val="16"/>
          <w:szCs w:val="16"/>
        </w:rPr>
        <w:softHyphen/>
        <w:t>ный самолет Пе-2 № 19/223.</w:t>
      </w:r>
    </w:p>
    <w:p w14:paraId="7BE368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первом квартале следующего года самолет прошел заводские испытания. 6 апреля он был отправлен в НИИ ВВС (ведущий летчик В.И. Жданов), где прошел государственные испытания (акт от 17 июля 1944 г. № 0722) и был рекомендован для серийного произ</w:t>
      </w:r>
      <w:r w:rsidRPr="00271E51">
        <w:rPr>
          <w:rFonts w:ascii="Times New Roman" w:hAnsi="Times New Roman"/>
          <w:color w:val="000000" w:themeColor="text1"/>
          <w:sz w:val="16"/>
          <w:szCs w:val="16"/>
        </w:rPr>
        <w:softHyphen/>
        <w:t>водства (11446).</w:t>
      </w:r>
    </w:p>
    <w:p w14:paraId="5E3079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679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подготовили к полетам Пе-2Б. От переноса маслорадиатора в крыло пришлось отказаться (в опытном цехе завода катастрофически не хватало рабочих, все силы бросили на выпуск серийных "пешек"), остался неизменным и профиль крыла серийного Пе-2. Всасывающий патрубок нагнетателя смонтировали в одном тоннеле с масло- радиатором - в "бороде" под редуктором мотора. На этом самолете реализовали почти все предложения ЦАГИ, опробованные при переделке серийной машины зав. № 19/205. В отличие от самолета, модифицированного институтом, Пе-2Б не имел "излишеств" (например, быстро разрушающейся шпатлевки, нанесенной на тонкую металлическую обшивку), но зато оборудовался новой кабиной пилота-штурмана с увеличенным фонарем и стрелковой установкой "ФЗ".</w:t>
      </w:r>
    </w:p>
    <w:p w14:paraId="676186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Зима 1943-1944 гг. выдалась в Казани исключительно суровой, со снежными заносами, метелями и температурой воздуха до - 35°С. В этих условиях аэродром завода "захлебнулся" и не смог пропустить через себя массу серийных самолетов (в месяц завод № 22 выпускал 200-240 машин, т.е. 10-12 серий). На летном поле скопилось большое количество "нормальных" "пешек", испытания Пе-2Б также срывались. Во время небольшого перерыва в снегопадах удалось спешно подготовить аэродром к полетам, но тут... неожиданно наступила оттепель. В конце января аэродром раскис - летать снова оказалось нельзя. Так продолжалось до конца февраля.</w:t>
      </w:r>
    </w:p>
    <w:p w14:paraId="23713D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испытательные полеты Пе-2Б принесли разочарование - максимальная скорость составила всего 524 км/ч вместо запланированных 560 км/ч. Началось скрупулезное исследование влияния на скорость полета различных факторов, таких, как положение створок масло- и водорадиаторов, форма тоннелей радиаторов, а также всех выступающих деталей. Постепенное введение улучшений дало прибавку скорости 10 км/ч. Самолет стали готовить к передаче на госиспытания, но пик интереса к нему у Мясишева прошел. Главный конструктор сделал ставку на принципиально новую машину Пе-2И с моторами М-107А(в 1944 г. они стали называться ВК-107А).</w:t>
      </w:r>
    </w:p>
    <w:p w14:paraId="4A5909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после передачи Пе-2Б на государственные испытания выяснилось, что моторамы силовых установок имеют трещины. Самолет вернули на завод для усиления моторам. Снова в НИИ ВВС он попал только в мае-июне 1944 г., когда Пе-2И уже летал. И хотя НИИ ВВС но результатам госиспытаний рекомендовал передать Пе-2Б в серию, НКАП отклонил это предложение (12042).</w:t>
      </w:r>
    </w:p>
    <w:p w14:paraId="54CDFE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E5C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шли работы по оборудованию Пе-8 новыми гидравлическими подъемниками для подвески 5-тонных бомб «Ф5-Т»</w:t>
      </w:r>
    </w:p>
    <w:p w14:paraId="3F5CB4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к сдаче в 1943 г. было запланировано 32 Пе-8, но в докладе директора по окончательной сборке числилось 29 машин, по готовности к бою - 31 машина и отправлено в часть 30 машин. Отремонтировано 53 Пе-8, из них 6 ремонтов восстановительных и 8 аварийных. Коммерческая себестоимость Пе-8 составляла 1810 тыс. рублей.</w:t>
      </w:r>
    </w:p>
    <w:p w14:paraId="628AE0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стоил 280 тысяч рублей, то есть в семь раз дешевле Пе-8, и при плане в 2377 машин, завод отчитался по окончательной сборке за 2443 машины, из них 55 разведчиков, 107 учебных и 32 с моторами М-82Ф. Отправлено в часть 2453 машины, из них 64 разведчика, 103 учебных и 22 с М-82Ф. Отремонтировано заводом 674 Пе-2, из них после аварий 152 и 79 по восстановлению.</w:t>
      </w:r>
    </w:p>
    <w:p w14:paraId="04C9ED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же отремонтировано в частях и в тылу 1133 самолета силами 25 бригад из 242 рабочих и мастеров. Был освоен ремонт иностранных машин типа «Аэрокобра» и «Хемден», а «Бостоны» не только ремонтировались, но и переоборудовались в торпедоносцы для Северного флота.</w:t>
      </w:r>
    </w:p>
    <w:p w14:paraId="51B9DF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целях увеличения выпуска Пе-2 завод провел ряд мероприятий, таких как, например, организация поточных линий по сборке крыла, центроплана, стабилизатора и других агрегатов самолета.</w:t>
      </w:r>
    </w:p>
    <w:p w14:paraId="62B5F2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Опытные работы включали в себя:</w:t>
      </w:r>
    </w:p>
    <w:p w14:paraId="7931E7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М-105ПД без гермокабины,</w:t>
      </w:r>
    </w:p>
    <w:p w14:paraId="0A7C28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под ВР и ВБ,</w:t>
      </w:r>
    </w:p>
    <w:p w14:paraId="582C0A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М-105ПФ,</w:t>
      </w:r>
    </w:p>
    <w:p w14:paraId="2C931E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Пе-2Б с М-105ПФ,</w:t>
      </w:r>
    </w:p>
    <w:p w14:paraId="23177C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w:t>
      </w:r>
    </w:p>
    <w:p w14:paraId="571744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М-107,</w:t>
      </w:r>
    </w:p>
    <w:p w14:paraId="329A97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Пе-3 в двух вариантах,</w:t>
      </w:r>
    </w:p>
    <w:p w14:paraId="6FC3BD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фоторазведчик,</w:t>
      </w:r>
    </w:p>
    <w:p w14:paraId="434EDB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гермокабиной,</w:t>
      </w:r>
    </w:p>
    <w:p w14:paraId="4353FD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Пе-2 с «РУ».</w:t>
      </w:r>
    </w:p>
    <w:p w14:paraId="083A8F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последней работе есть сведения, что самолет № 15/185 был передан в ЛЭС в августе и после первого этапа испытаний отправлен в опытный цех для доработки. Для отработки отдельных вопросов по двигателю РД-1 был выделен еще один самолет № 11/189. На конец года он находился в ЛЭС с установленным двигателем в ожидании летной погоды.</w:t>
      </w:r>
    </w:p>
    <w:p w14:paraId="4996AF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приведенные данные взяты из заводских отчетов. К этому можно добавить, что к концу 1943 г. на 22-м заводе действовало 25 поточных (конвейерных) линий, на 30% сократился производственный цикл, в 1,5 раза повысилась производительность труда, на 5,5 км сократился путь деталей (12049).</w:t>
      </w:r>
    </w:p>
    <w:p w14:paraId="34C51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4C0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командование ВВС предложило НКАП создать на базе машины "103" с двигателями АМ-37 скоростной дневной бомбардировщик СДБ (АНТ-63), но с моторами АМ-39.</w:t>
      </w:r>
    </w:p>
    <w:p w14:paraId="395D72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был переделан из машины "103" в двухместный вариант СДБ на опытном заводе № 156 к лету 1944 г. При этом сохранилась компоновка предшественника. В угоду скорости его стрелковое вооружение ограничили лишь двумя неподвижными орудиями LUBAK в центроплане крыла с боезапасом по 150 патронов на ствол.</w:t>
      </w:r>
    </w:p>
    <w:p w14:paraId="510A8F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полет "СДБ" выполнил летчик- испытатель А.Д. Перелет 21 мая 1944 года и спустя десять дней машину передали в НИИ ВВС. Государственные испытания (ведущий летчик М.А. Нюхтиков), начавшиеся 5 июня, заняли месяц. Хотя самолет и продемонстрировал высокую скорость (633 км/ч) и хорошую маневренность, испытания он не выдержал. Главные дефекты машины были связаны с плохой работой моторов и недостаточным запасом путевой устойчивости. Военные пожелали ввести в экипаж воздушного стрелка.</w:t>
      </w:r>
    </w:p>
    <w:p w14:paraId="1D2EDC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Особенностями второго экземпляра машины "63" по сравнению с предшественником был не только экипаж, возросший до трех человек (дополнительно ввели стрелка в задней кабине), но и створки шасси закрывавшиеся как при убранном, так и выпущенном положении основных опор. Управление винтами было секторное, а моторы имели Скоростной дневной дополнительные контуры для охлаждения бомбардировщик ("СДБ") воздуха после нагнетателя перед поступле- на заводских испытаниях нием в двигатель.</w:t>
      </w:r>
    </w:p>
    <w:p w14:paraId="29D718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помимо двух неподвижных пушек ШВАК с общим боезапасом 300 патронов для стрельбы вперед включало и два пулемета Березина для защиты задней полусферы. Нормальная бомбовая нагрузка - 1000 кг (при полной заправке топливом исходя из прочности колес) в грузовом отсеке, максимально допустимая - 4000 кг.</w:t>
      </w:r>
    </w:p>
    <w:p w14:paraId="3BE4F7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Первый полет на трехместном "СДБ" также выполнил А.Д. Перелет, и в декабре 1944 года машину передали на государственные испытания. 30 декабря 1944 года А. Кузнецов (должность в документе не указана) докладывал наркому А.И. Шахурину:</w:t>
      </w:r>
    </w:p>
    <w:p w14:paraId="59F3C4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СДБ с моторами АМ-39 является модификацией самолета "103" с АМ-37, построенного в 1941 г. Самолет испытан в НИИ ВВС в июле 1944 г.</w:t>
      </w:r>
    </w:p>
    <w:p w14:paraId="77CE97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установлено:</w:t>
      </w:r>
    </w:p>
    <w:p w14:paraId="4B8FDB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Путевая устойчивость недостаточна.</w:t>
      </w:r>
    </w:p>
    <w:p w14:paraId="68E135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скорости менее 350 км/ч по прибору самолет неустойчив:</w:t>
      </w:r>
    </w:p>
    <w:p w14:paraId="22BBCD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продольная устойчивость недостаточная, во время выдерживания заданной скорости набора высоты имеют место переменные нагрузки на штурвале от руля высоты.</w:t>
      </w:r>
    </w:p>
    <w:p w14:paraId="19C927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изменение нагрузок на штурвале от руля высоты сопровождается значительным рысканием и появляются переменные нагрузки на педали.</w:t>
      </w:r>
    </w:p>
    <w:p w14:paraId="54F6DF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Поперечная устойчивость относительно путевой избыточна. Самолет имеет тенденцию к раскачиванию с крыла на крыло.</w:t>
      </w:r>
    </w:p>
    <w:p w14:paraId="1DF8ED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4. Управление рулем поворота слишком легкое, что может привести к передаче (большему отклонению педали - прим. авт.) ноги на виражах и разворотах. </w:t>
      </w:r>
    </w:p>
    <w:p w14:paraId="71B830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Автоматы управления заслонками во- дорадиаторов при работе создают значительный аэродинамический момент &lt;...&gt; и усложняют технику пилотирования.</w:t>
      </w:r>
    </w:p>
    <w:p w14:paraId="422105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Пневматические тормоза не эффективны.</w:t>
      </w:r>
    </w:p>
    <w:p w14:paraId="07EC87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Винто-моторная группа не доведенная и имеет те же дефекты, что и на самолете "ЮЗ" с АМ-37.</w:t>
      </w:r>
    </w:p>
    <w:p w14:paraId="181E9F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Длительная (1,5 часа) и неудобная заправка бензином.</w:t>
      </w:r>
    </w:p>
    <w:p w14:paraId="69DA5B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Попадание в кабину летчика горячего воздуха.</w:t>
      </w:r>
    </w:p>
    <w:p w14:paraId="78EF61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Габариты кабины по высоте малы...</w:t>
      </w:r>
    </w:p>
    <w:p w14:paraId="128471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Моторы АМ-39 на 2-й скорости нагнетателя работали неудовлетворительно...</w:t>
      </w:r>
    </w:p>
    <w:p w14:paraId="7DF152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Построен второй экземпляр СДБ, переданный в НИИ ВВС в октябре. Он имеет экипаж вместо двух - три человека. Новая носовая часть фюзеляжа с измененным обзором. Дополнительно установлены люковая и верхняя стрелковые установки. Объем бензина увеличен до 2400 л.</w:t>
      </w:r>
    </w:p>
    <w:p w14:paraId="2DE724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Изменена маслосхема, предусмотрено новое бронирование экипажа. Взлетный вес возрос на 650 кг.</w:t>
      </w:r>
    </w:p>
    <w:p w14:paraId="177BD4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самолете "63" на 27 декабря 1944 г. сделано два полета. Во втором полете на высоте 8000 м (15 декабря) вышел из строя мотор".</w:t>
      </w:r>
    </w:p>
    <w:p w14:paraId="049E4C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Государственные испытания второго экземпляра "СДБ" завершились утверждением 28 июня 1945 года акта по их результатам. </w:t>
      </w:r>
    </w:p>
    <w:p w14:paraId="47EBA5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364838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BBADE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не может быть рекомендован на вооружение Красной Армии в качестве бомбардировщика".</w:t>
      </w:r>
    </w:p>
    <w:p w14:paraId="1B01B7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BD8A5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315E4E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C66A1D" w14:textId="77777777" w:rsidR="003D527B" w:rsidRPr="00271E51" w:rsidRDefault="003D527B"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декабре 1943 года на заводе № 39 были готовы первые два самолета Ер-2 2М-30Б, но военприемка их отклонила, найдя в каждом более сотни дефектов. На серийных дизелях, получивших обозначение АЧ-30Б по инициалам своего создателя, выдвинутого на Сталинскую премию I степени, агрегаты подачи топлива и регулирования наддува, которые более-менее нормально работали на испытаниях, постоянно отказывали (22871).</w:t>
      </w:r>
    </w:p>
    <w:p w14:paraId="55E17EB9" w14:textId="77777777" w:rsidR="003D527B" w:rsidRPr="00271E51" w:rsidRDefault="003D527B" w:rsidP="00271E51">
      <w:pPr>
        <w:spacing w:after="0" w:line="240" w:lineRule="auto"/>
        <w:jc w:val="both"/>
        <w:rPr>
          <w:rFonts w:ascii="Times New Roman" w:hAnsi="Times New Roman"/>
          <w:color w:val="0070C0"/>
          <w:sz w:val="16"/>
          <w:szCs w:val="16"/>
        </w:rPr>
      </w:pPr>
    </w:p>
    <w:p w14:paraId="09EE6765" w14:textId="77777777" w:rsidR="00342EB3" w:rsidRPr="00271E51" w:rsidRDefault="00342EB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декабре 1943 г. с це</w:t>
      </w:r>
      <w:r w:rsidRPr="00271E51">
        <w:rPr>
          <w:color w:val="000000" w:themeColor="text1"/>
          <w:sz w:val="16"/>
          <w:szCs w:val="16"/>
        </w:rPr>
        <w:softHyphen/>
        <w:t>лью сокращения сроков подачи ТИС на государ</w:t>
      </w:r>
      <w:r w:rsidRPr="00271E51">
        <w:rPr>
          <w:color w:val="000000" w:themeColor="text1"/>
          <w:sz w:val="16"/>
          <w:szCs w:val="16"/>
        </w:rPr>
        <w:softHyphen/>
        <w:t>ственные испытания было принято решение уста</w:t>
      </w:r>
      <w:r w:rsidRPr="00271E51">
        <w:rPr>
          <w:color w:val="000000" w:themeColor="text1"/>
          <w:sz w:val="16"/>
          <w:szCs w:val="16"/>
        </w:rPr>
        <w:softHyphen/>
        <w:t>новить на него серийные моторы АМ-38ф и про</w:t>
      </w:r>
      <w:r w:rsidRPr="00271E51">
        <w:rPr>
          <w:color w:val="000000" w:themeColor="text1"/>
          <w:sz w:val="16"/>
          <w:szCs w:val="16"/>
        </w:rPr>
        <w:softHyphen/>
        <w:t>вести с ними предварительные заводские летные испытания, а после поступления кондиционных АМ-39 уточнить летные данные самолета уже с эти</w:t>
      </w:r>
      <w:r w:rsidRPr="00271E51">
        <w:rPr>
          <w:color w:val="000000" w:themeColor="text1"/>
          <w:sz w:val="16"/>
          <w:szCs w:val="16"/>
        </w:rPr>
        <w:softHyphen/>
        <w:t>ми моторами. Одновременно, поскольку бронебой</w:t>
      </w:r>
      <w:r w:rsidRPr="00271E51">
        <w:rPr>
          <w:color w:val="000000" w:themeColor="text1"/>
          <w:sz w:val="16"/>
          <w:szCs w:val="16"/>
        </w:rPr>
        <w:softHyphen/>
        <w:t>ный снаряд БТ-45 к 45-мм авиационным пушкам не прошел государственные испытания, а доводка пушки 111П затянулась (недостаточная надежность автоматики, большая отдача при стрельбе — около 7 тонн) с неясной перспективой по срокам приня</w:t>
      </w:r>
      <w:r w:rsidRPr="00271E51">
        <w:rPr>
          <w:color w:val="000000" w:themeColor="text1"/>
          <w:sz w:val="16"/>
          <w:szCs w:val="16"/>
        </w:rPr>
        <w:softHyphen/>
        <w:t>тия ее на вооружение, то решили вернуть на ТИС серийные пушки 11П.</w:t>
      </w:r>
    </w:p>
    <w:p w14:paraId="1A01407F" w14:textId="77777777" w:rsidR="00342EB3" w:rsidRPr="00271E51" w:rsidRDefault="00342EB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Работы по установке на ТИС (МА) моторов АМ-38ф и пушек 11П планировали завершить к 15 февраля 1944 г., но как всегда в установлен</w:t>
      </w:r>
      <w:r w:rsidRPr="00271E51">
        <w:rPr>
          <w:color w:val="000000" w:themeColor="text1"/>
          <w:sz w:val="16"/>
          <w:szCs w:val="16"/>
        </w:rPr>
        <w:softHyphen/>
        <w:t>ные сроки не уложились. Дело в том, что Поликар</w:t>
      </w:r>
      <w:r w:rsidRPr="00271E51">
        <w:rPr>
          <w:color w:val="000000" w:themeColor="text1"/>
          <w:sz w:val="16"/>
          <w:szCs w:val="16"/>
        </w:rPr>
        <w:softHyphen/>
        <w:t>пов для улучшения летных данных самолета с мо</w:t>
      </w:r>
      <w:r w:rsidRPr="00271E51">
        <w:rPr>
          <w:color w:val="000000" w:themeColor="text1"/>
          <w:sz w:val="16"/>
          <w:szCs w:val="16"/>
        </w:rPr>
        <w:softHyphen/>
        <w:t>торами АМ-38ф предложил изменить у них степень редукции с 0,732 на 0,590, а также установить на моторы дополнительное охлаждение воздуха по</w:t>
      </w:r>
      <w:r w:rsidRPr="00271E51">
        <w:rPr>
          <w:color w:val="000000" w:themeColor="text1"/>
          <w:sz w:val="16"/>
          <w:szCs w:val="16"/>
        </w:rPr>
        <w:softHyphen/>
        <w:t>сле нагнетателя. По договоренности с Микулиным работа по переделке двух серийных моторов уже велась на заводе № 300.</w:t>
      </w:r>
    </w:p>
    <w:p w14:paraId="3D140175" w14:textId="77777777" w:rsidR="00342EB3" w:rsidRPr="00271E51" w:rsidRDefault="00342EB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течение всего марта и апреля на самолете велись работы по подгонке капотов моторов, уста</w:t>
      </w:r>
      <w:r w:rsidRPr="00271E51">
        <w:rPr>
          <w:color w:val="000000" w:themeColor="text1"/>
          <w:sz w:val="16"/>
          <w:szCs w:val="16"/>
        </w:rPr>
        <w:softHyphen/>
        <w:t>новке и отладке водо- и маслосистем, патронных ящиков и рукавов питания, оборудования кабин, а также устранялись производственные дефек</w:t>
      </w:r>
      <w:r w:rsidRPr="00271E51">
        <w:rPr>
          <w:color w:val="000000" w:themeColor="text1"/>
          <w:sz w:val="16"/>
          <w:szCs w:val="16"/>
        </w:rPr>
        <w:softHyphen/>
        <w:t>ты и выполнялись отделочные работы (окраска и шпаклевка консолей, капотов и фюзеляжа). Са</w:t>
      </w:r>
      <w:r w:rsidRPr="00271E51">
        <w:rPr>
          <w:color w:val="000000" w:themeColor="text1"/>
          <w:sz w:val="16"/>
          <w:szCs w:val="16"/>
        </w:rPr>
        <w:softHyphen/>
        <w:t>молет дважды планировали передать на летно-ис- пытательную станцию завода, но всякий раз сроки переносили. Задержки объяснялись тем, что «под</w:t>
      </w:r>
      <w:r w:rsidRPr="00271E51">
        <w:rPr>
          <w:color w:val="000000" w:themeColor="text1"/>
          <w:sz w:val="16"/>
          <w:szCs w:val="16"/>
        </w:rPr>
        <w:softHyphen/>
        <w:t>гонка всех деталей и агрегатов производится по месту, так как рабочих чертежей для монтажа не имеется».</w:t>
      </w:r>
    </w:p>
    <w:p w14:paraId="4388BD9F" w14:textId="77777777" w:rsidR="00342EB3" w:rsidRPr="00271E51" w:rsidRDefault="00342EB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Летной готовности ТИС (МА) достиг к 1 июня 1944 г. К этому дню выполнили рулежки и подлеты. Поведение самолета было вполне нормальным. По</w:t>
      </w:r>
      <w:r w:rsidRPr="00271E51">
        <w:rPr>
          <w:color w:val="000000" w:themeColor="text1"/>
          <w:sz w:val="16"/>
          <w:szCs w:val="16"/>
        </w:rPr>
        <w:softHyphen/>
        <w:t>сле регулировки моторов и устранения некоторых мелких производственных дефектов ОКБ офици</w:t>
      </w:r>
      <w:r w:rsidRPr="00271E51">
        <w:rPr>
          <w:color w:val="000000" w:themeColor="text1"/>
          <w:sz w:val="16"/>
          <w:szCs w:val="16"/>
        </w:rPr>
        <w:softHyphen/>
        <w:t>ально доложило о готовности самолета ТИС (МА) совершить первый испытательный полет 8 июня. Необходимые документы, подтверждающие готов</w:t>
      </w:r>
      <w:r w:rsidRPr="00271E51">
        <w:rPr>
          <w:color w:val="000000" w:themeColor="text1"/>
          <w:sz w:val="16"/>
          <w:szCs w:val="16"/>
        </w:rPr>
        <w:softHyphen/>
        <w:t>ность машины, вместе с запросом на полет бы</w:t>
      </w:r>
      <w:r w:rsidRPr="00271E51">
        <w:rPr>
          <w:color w:val="000000" w:themeColor="text1"/>
          <w:sz w:val="16"/>
          <w:szCs w:val="16"/>
        </w:rPr>
        <w:softHyphen/>
        <w:t>ли направлены в НКАП. Разрешение заместителя наркома А. С. Яковлева на первый вылет было по</w:t>
      </w:r>
      <w:r w:rsidRPr="00271E51">
        <w:rPr>
          <w:color w:val="000000" w:themeColor="text1"/>
          <w:sz w:val="16"/>
          <w:szCs w:val="16"/>
        </w:rPr>
        <w:softHyphen/>
        <w:t>лучено только 13 июня. В этот же день летчик-ис</w:t>
      </w:r>
      <w:r w:rsidRPr="00271E51">
        <w:rPr>
          <w:color w:val="000000" w:themeColor="text1"/>
          <w:sz w:val="16"/>
          <w:szCs w:val="16"/>
        </w:rPr>
        <w:softHyphen/>
        <w:t>пытатель Н. В. Гаврилов поднял машину в воздух. Полет прошел без происшествий, строго по плану. Температуры воды и масла в полете были в преде</w:t>
      </w:r>
      <w:r w:rsidRPr="00271E51">
        <w:rPr>
          <w:color w:val="000000" w:themeColor="text1"/>
          <w:sz w:val="16"/>
          <w:szCs w:val="16"/>
        </w:rPr>
        <w:softHyphen/>
        <w:t>лах нормы. Посадка была выполнена на повышен</w:t>
      </w:r>
      <w:r w:rsidRPr="00271E51">
        <w:rPr>
          <w:color w:val="000000" w:themeColor="text1"/>
          <w:sz w:val="16"/>
          <w:szCs w:val="16"/>
        </w:rPr>
        <w:softHyphen/>
        <w:t>ной скорости примерно 250—270 км/ч. По заявле</w:t>
      </w:r>
      <w:r w:rsidRPr="00271E51">
        <w:rPr>
          <w:color w:val="000000" w:themeColor="text1"/>
          <w:sz w:val="16"/>
          <w:szCs w:val="16"/>
        </w:rPr>
        <w:softHyphen/>
        <w:t>нию летчика, «рулей высоты на посадку хватило, но без запаса. Остальные рули эффективны. По</w:t>
      </w:r>
      <w:r w:rsidRPr="00271E51">
        <w:rPr>
          <w:color w:val="000000" w:themeColor="text1"/>
          <w:sz w:val="16"/>
          <w:szCs w:val="16"/>
        </w:rPr>
        <w:softHyphen/>
        <w:t>перечная устойчивость самолета больше продоль</w:t>
      </w:r>
      <w:r w:rsidRPr="00271E51">
        <w:rPr>
          <w:color w:val="000000" w:themeColor="text1"/>
          <w:sz w:val="16"/>
          <w:szCs w:val="16"/>
        </w:rPr>
        <w:softHyphen/>
        <w:t>ной, что делает самолет неприятным в пилотиро</w:t>
      </w:r>
      <w:r w:rsidRPr="00271E51">
        <w:rPr>
          <w:color w:val="000000" w:themeColor="text1"/>
          <w:sz w:val="16"/>
          <w:szCs w:val="16"/>
        </w:rPr>
        <w:softHyphen/>
        <w:t>вании».</w:t>
      </w:r>
    </w:p>
    <w:p w14:paraId="6FDF479D" w14:textId="77777777" w:rsidR="00342EB3" w:rsidRPr="00271E51" w:rsidRDefault="00342EB3"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В ходе очередного испытательного полета 21 июня не убралась левая стойка шасси. Как выяс</w:t>
      </w:r>
      <w:r w:rsidRPr="00271E51">
        <w:rPr>
          <w:color w:val="000000" w:themeColor="text1"/>
          <w:sz w:val="16"/>
          <w:szCs w:val="16"/>
        </w:rPr>
        <w:softHyphen/>
        <w:t>нилось, сработалась собачка замка шасси. Самолет встал в ремонт. 29 июня при посадке без щитков (Н. В. Гаврилов забыл выпустить их) в конце пробе</w:t>
      </w:r>
      <w:r w:rsidRPr="00271E51">
        <w:rPr>
          <w:color w:val="000000" w:themeColor="text1"/>
          <w:sz w:val="16"/>
          <w:szCs w:val="16"/>
        </w:rPr>
        <w:softHyphen/>
        <w:t>га отказали тормоза, самолет выкатился за пределы аэродрома, попал в канаву и подломал левую стой</w:t>
      </w:r>
      <w:r w:rsidRPr="00271E51">
        <w:rPr>
          <w:color w:val="000000" w:themeColor="text1"/>
          <w:sz w:val="16"/>
          <w:szCs w:val="16"/>
        </w:rPr>
        <w:softHyphen/>
        <w:t>ку основного шасси. Очередной ремонт самолета продолжался до 30 июля. Пришлось ремонтиро</w:t>
      </w:r>
      <w:r w:rsidRPr="00271E51">
        <w:rPr>
          <w:color w:val="000000" w:themeColor="text1"/>
          <w:sz w:val="16"/>
          <w:szCs w:val="16"/>
        </w:rPr>
        <w:softHyphen/>
        <w:t>вать фюзеляж, крыло, шасси и оперение. Заменили левую мотораму, оба мотора и винты. Одновремен</w:t>
      </w:r>
      <w:r w:rsidRPr="00271E51">
        <w:rPr>
          <w:color w:val="000000" w:themeColor="text1"/>
          <w:sz w:val="16"/>
          <w:szCs w:val="16"/>
        </w:rPr>
        <w:softHyphen/>
        <w:t>но для увеличения запаса рулей высоты на посадке изменили угол установки стабилизатора на —2°30'. При первых же пробежках после ремонта 30 июля обнаружилось, что тормоза колес шасси работают все так же недостаточно эффективно и посадка на Центральном аэродроме возможна лишь в од</w:t>
      </w:r>
      <w:r w:rsidRPr="00271E51">
        <w:rPr>
          <w:color w:val="000000" w:themeColor="text1"/>
          <w:sz w:val="16"/>
          <w:szCs w:val="16"/>
        </w:rPr>
        <w:softHyphen/>
        <w:t>ном направлении. По этой причине было приня</w:t>
      </w:r>
      <w:r w:rsidRPr="00271E51">
        <w:rPr>
          <w:color w:val="000000" w:themeColor="text1"/>
          <w:sz w:val="16"/>
          <w:szCs w:val="16"/>
        </w:rPr>
        <w:softHyphen/>
        <w:t>то решение продолжить испытания на аэродроме ЛИИ НКАП в Раменском, куда самолет перелетел 14 августа. Моторы АМ-38ф работали нормально, что позволило к 16 сентября в целом завершить программу заводских летных испытаний. К сожа</w:t>
      </w:r>
      <w:r w:rsidRPr="00271E51">
        <w:rPr>
          <w:color w:val="000000" w:themeColor="text1"/>
          <w:sz w:val="16"/>
          <w:szCs w:val="16"/>
        </w:rPr>
        <w:softHyphen/>
        <w:t>лению, в этот день при взлете произошел обрыв ушка крепления цилиндра подъема шасси с обры</w:t>
      </w:r>
      <w:r w:rsidRPr="00271E51">
        <w:rPr>
          <w:color w:val="000000" w:themeColor="text1"/>
          <w:sz w:val="16"/>
          <w:szCs w:val="16"/>
        </w:rPr>
        <w:softHyphen/>
        <w:t>вом воздушной проводки, в результате чего шасси осталось в незафиксированном положении. При посадке на аэродром Раменское шасси сложилось. Помялись нижние капоты моторов и маслорадиато- ры. Погнулись оба винта. Но главное, деформиро</w:t>
      </w:r>
      <w:r w:rsidRPr="00271E51">
        <w:rPr>
          <w:color w:val="000000" w:themeColor="text1"/>
          <w:sz w:val="16"/>
          <w:szCs w:val="16"/>
        </w:rPr>
        <w:softHyphen/>
        <w:t>вался фюзеляж. Самолету требовался длительный ремонт (17500).</w:t>
      </w:r>
    </w:p>
    <w:p w14:paraId="63CB3D7B" w14:textId="77777777" w:rsidR="00342EB3" w:rsidRPr="00271E51" w:rsidRDefault="00342EB3" w:rsidP="00271E51">
      <w:pPr>
        <w:spacing w:after="0" w:line="240" w:lineRule="auto"/>
        <w:jc w:val="both"/>
        <w:rPr>
          <w:rFonts w:ascii="Times New Roman" w:eastAsia="Times New Roman" w:hAnsi="Times New Roman"/>
          <w:color w:val="000000" w:themeColor="text1"/>
          <w:sz w:val="16"/>
          <w:szCs w:val="16"/>
          <w:lang w:eastAsia="ru-RU"/>
        </w:rPr>
      </w:pPr>
    </w:p>
    <w:p w14:paraId="070283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на гос. испытания представлялся ночной бомбардировщик Ли-2ВП с размещением бомб внутри фюзеляжа и бомболюками N 1845408. Испытания машина не прошла из-за большого усилия на рукоятке бомбосбрасывателя (1168,20).</w:t>
      </w:r>
    </w:p>
    <w:p w14:paraId="068753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68A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 январе 1944 Емельянов испытывал Як-1 ПФ N 20135 (809,6).</w:t>
      </w:r>
    </w:p>
    <w:p w14:paraId="601894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D2D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закончился серийный выпуск Як-7Б М-105ПФ на 153 заводе (с 22 по 50 серию), который шел с августа 1942 (65,90).</w:t>
      </w:r>
    </w:p>
    <w:p w14:paraId="56893B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22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закончили серию Як-7В, начатую в мае 1942 и сделали 597 (в т.ч. 87 переделали из Як-7Б) (65,101).</w:t>
      </w:r>
    </w:p>
    <w:p w14:paraId="721CA8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E40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проводились заводские испытания Як-9У, сделанного в ноябре 1943 в ОКБ А.С.Я. в одном экземпляре с Вя-23 вместо Н-37 (65,146).</w:t>
      </w:r>
    </w:p>
    <w:p w14:paraId="167837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9C2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 ОКБ-115 закончили работу над опытным Як-9У и только в апреле 1944 начались государственные испытания (4842).</w:t>
      </w:r>
    </w:p>
    <w:p w14:paraId="4ECAB9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8E702"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декабре 1943 г. на заводе № 115 на базе Як-9Т построили ещё один опытный образец Як-9У с мотором М-107А и пушкой МП-20, заимствовавший ряд технических решений с истребителя Як-3. К тому време</w:t>
      </w:r>
      <w:r w:rsidRPr="00271E51">
        <w:rPr>
          <w:rFonts w:ascii="Times New Roman" w:cs="Times New Roman"/>
          <w:color w:val="000000" w:themeColor="text1"/>
          <w:spacing w:val="0"/>
        </w:rPr>
        <w:softHyphen/>
        <w:t>ни М-107А прошёл 100-часовые стендовые испытания и развивал мощность 1650 л.с. на высоте 1800 м. Новый двигатель потре</w:t>
      </w:r>
      <w:r w:rsidRPr="00271E51">
        <w:rPr>
          <w:rFonts w:ascii="Times New Roman" w:cs="Times New Roman"/>
          <w:color w:val="000000" w:themeColor="text1"/>
          <w:spacing w:val="0"/>
        </w:rPr>
        <w:softHyphen/>
        <w:t>бовал изменения конструкции моторамы, а ферму крепления оружия переделали в связи с установкой второго пулемёта УБС.</w:t>
      </w:r>
    </w:p>
    <w:p w14:paraId="06330AAD"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Як-9У смонтировали маслорадиатор с большей теплоотдачей и перенесли его в центроплан по типу Як-3, укоротили трубки водяного радиатора и улучшили внешние и внутренние обводы его тоннеля. Аналогично Як-9У выпуска 1942 г. доработали нижнюю панель фюзеляжа.</w:t>
      </w:r>
    </w:p>
    <w:p w14:paraId="6F2D453E"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На фонаре кабины появился механизм аварийного сброса сдвижной части, а с козырька сняли лобовое бронестекло, вы</w:t>
      </w:r>
      <w:r w:rsidRPr="00271E51">
        <w:rPr>
          <w:rFonts w:ascii="Times New Roman" w:cs="Times New Roman"/>
          <w:color w:val="000000" w:themeColor="text1"/>
          <w:spacing w:val="0"/>
        </w:rPr>
        <w:softHyphen/>
        <w:t>полнив его из гнутого плексигласа. Но, как выяснилось позже, это сильно искажало обзор.</w:t>
      </w:r>
    </w:p>
    <w:p w14:paraId="36C656C8"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Убрали подлокотники кресла, а от Як-3 позаимствовали бронеспинку, заголовник из прозрачной брони и надголовник, а так</w:t>
      </w:r>
      <w:r w:rsidRPr="00271E51">
        <w:rPr>
          <w:rFonts w:ascii="Times New Roman" w:cs="Times New Roman"/>
          <w:color w:val="000000" w:themeColor="text1"/>
          <w:spacing w:val="0"/>
        </w:rPr>
        <w:softHyphen/>
        <w:t>же полуавтоматический стопор хвостового колеса.</w:t>
      </w:r>
    </w:p>
    <w:p w14:paraId="71FC08DA"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Два воздушных баллона опять заменили одним объёмом 8 л. Сняли грузы весовой компенсации элеронов и на 200 мм увеличи</w:t>
      </w:r>
      <w:r w:rsidRPr="00271E51">
        <w:rPr>
          <w:rFonts w:ascii="Times New Roman" w:cs="Times New Roman"/>
          <w:color w:val="000000" w:themeColor="text1"/>
          <w:spacing w:val="0"/>
        </w:rPr>
        <w:softHyphen/>
        <w:t>ли размах аэродинамического компенсатора руля высоты. Заделали щели в противопо</w:t>
      </w:r>
      <w:r w:rsidRPr="00271E51">
        <w:rPr>
          <w:rFonts w:ascii="Times New Roman" w:cs="Times New Roman"/>
          <w:color w:val="000000" w:themeColor="text1"/>
          <w:spacing w:val="0"/>
        </w:rPr>
        <w:softHyphen/>
        <w:t>жарной перегородке, крыле, кабине, хвос</w:t>
      </w:r>
      <w:r w:rsidRPr="00271E51">
        <w:rPr>
          <w:rFonts w:ascii="Times New Roman" w:cs="Times New Roman"/>
          <w:color w:val="000000" w:themeColor="text1"/>
          <w:spacing w:val="0"/>
        </w:rPr>
        <w:softHyphen/>
        <w:t>товой части фюзеляжа, отсеках бензобаков и тоннеле маслорадиатора. Полотняными перегородками закрыли щели между кры</w:t>
      </w:r>
      <w:r w:rsidRPr="00271E51">
        <w:rPr>
          <w:rFonts w:ascii="Times New Roman" w:cs="Times New Roman"/>
          <w:color w:val="000000" w:themeColor="text1"/>
          <w:spacing w:val="0"/>
        </w:rPr>
        <w:softHyphen/>
        <w:t>лом и элеронами. Кроме этого, отполиро</w:t>
      </w:r>
      <w:r w:rsidRPr="00271E51">
        <w:rPr>
          <w:rFonts w:ascii="Times New Roman" w:cs="Times New Roman"/>
          <w:color w:val="000000" w:themeColor="text1"/>
          <w:spacing w:val="0"/>
        </w:rPr>
        <w:softHyphen/>
        <w:t>вали передние кромки крыла и оперения, носовую часть капота мотора.</w:t>
      </w:r>
    </w:p>
    <w:p w14:paraId="6CEC76FF"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Заводские испытания этого Як-9У нача</w:t>
      </w:r>
      <w:r w:rsidRPr="00271E51">
        <w:rPr>
          <w:rFonts w:ascii="Times New Roman" w:cs="Times New Roman"/>
          <w:color w:val="000000" w:themeColor="text1"/>
          <w:spacing w:val="0"/>
        </w:rPr>
        <w:softHyphen/>
        <w:t>лись 28 декабря, и в январе 1944 г. самолёт с винтом АВ-10П-20, заменённым впоследст</w:t>
      </w:r>
      <w:r w:rsidRPr="00271E51">
        <w:rPr>
          <w:rFonts w:ascii="Times New Roman" w:cs="Times New Roman"/>
          <w:color w:val="000000" w:themeColor="text1"/>
          <w:spacing w:val="0"/>
        </w:rPr>
        <w:softHyphen/>
        <w:t>вии на ВИШ-107Л5, поступил в НИИ ВВС. Там ведущими по машине являлись инже</w:t>
      </w:r>
      <w:r w:rsidRPr="00271E51">
        <w:rPr>
          <w:rFonts w:ascii="Times New Roman" w:cs="Times New Roman"/>
          <w:color w:val="000000" w:themeColor="text1"/>
          <w:spacing w:val="0"/>
        </w:rPr>
        <w:softHyphen/>
        <w:t>нер А.Т. Степанец и лётчик А.Г. Прошаков. В своих выводах специалисты института от</w:t>
      </w:r>
      <w:r w:rsidRPr="00271E51">
        <w:rPr>
          <w:rFonts w:ascii="Times New Roman" w:cs="Times New Roman"/>
          <w:color w:val="000000" w:themeColor="text1"/>
          <w:spacing w:val="0"/>
        </w:rPr>
        <w:softHyphen/>
        <w:t>мечали, в частности, что Як-9У с ВК-107 А по максимальной скорости, скороподъёмности и вертикальной манёвренности в диапа</w:t>
      </w:r>
      <w:r w:rsidRPr="00271E51">
        <w:rPr>
          <w:rFonts w:ascii="Times New Roman" w:cs="Times New Roman"/>
          <w:color w:val="000000" w:themeColor="text1"/>
          <w:spacing w:val="0"/>
        </w:rPr>
        <w:softHyphen/>
        <w:t>зоне высот до 6000 м являлся лучшим из известных отечественных и иностранных истребителей.</w:t>
      </w:r>
    </w:p>
    <w:p w14:paraId="469E12BE"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Максимальная скорость горизонтально</w:t>
      </w:r>
      <w:r w:rsidRPr="00271E51">
        <w:rPr>
          <w:rFonts w:ascii="Times New Roman" w:cs="Times New Roman"/>
          <w:color w:val="000000" w:themeColor="text1"/>
          <w:spacing w:val="0"/>
        </w:rPr>
        <w:softHyphen/>
        <w:t>го полёта на боевом режиме работы мо</w:t>
      </w:r>
      <w:r w:rsidRPr="00271E51">
        <w:rPr>
          <w:rFonts w:ascii="Times New Roman" w:cs="Times New Roman"/>
          <w:color w:val="000000" w:themeColor="text1"/>
          <w:spacing w:val="0"/>
        </w:rPr>
        <w:softHyphen/>
        <w:t xml:space="preserve">тора составляла у земли 600 км/ч, а на высоте 5000 м - 690 км/ч. Як-9У при этом превосходил «трёхточечный» </w:t>
      </w:r>
      <w:r w:rsidRPr="00271E51">
        <w:rPr>
          <w:rFonts w:ascii="Times New Roman" w:cs="Times New Roman"/>
          <w:color w:val="000000" w:themeColor="text1"/>
          <w:spacing w:val="0"/>
          <w:lang w:val="en-US"/>
        </w:rPr>
        <w:t>Bf</w:t>
      </w:r>
      <w:r w:rsidRPr="00271E51">
        <w:rPr>
          <w:rFonts w:ascii="Times New Roman" w:cs="Times New Roman"/>
          <w:color w:val="000000" w:themeColor="text1"/>
          <w:spacing w:val="0"/>
        </w:rPr>
        <w:t xml:space="preserve"> 109</w:t>
      </w:r>
      <w:r w:rsidRPr="00271E51">
        <w:rPr>
          <w:rFonts w:ascii="Times New Roman" w:cs="Times New Roman"/>
          <w:color w:val="000000" w:themeColor="text1"/>
          <w:spacing w:val="0"/>
          <w:lang w:val="en-US"/>
        </w:rPr>
        <w:t>G</w:t>
      </w:r>
      <w:r w:rsidRPr="00271E51">
        <w:rPr>
          <w:rFonts w:ascii="Times New Roman" w:cs="Times New Roman"/>
          <w:color w:val="000000" w:themeColor="text1"/>
          <w:spacing w:val="0"/>
        </w:rPr>
        <w:t xml:space="preserve">-2 на 76 - 80 км/ч, </w:t>
      </w:r>
      <w:r w:rsidRPr="00271E51">
        <w:rPr>
          <w:rFonts w:ascii="Times New Roman" w:cs="Times New Roman"/>
          <w:color w:val="000000" w:themeColor="text1"/>
          <w:spacing w:val="0"/>
          <w:lang w:val="en-US"/>
        </w:rPr>
        <w:t>FW</w:t>
      </w:r>
      <w:r w:rsidRPr="00271E51">
        <w:rPr>
          <w:rFonts w:ascii="Times New Roman" w:cs="Times New Roman"/>
          <w:color w:val="000000" w:themeColor="text1"/>
          <w:spacing w:val="0"/>
        </w:rPr>
        <w:t xml:space="preserve"> 190А-4 - на 90 - 102 км/ч, Як-9Т - на 67 - 105 км/ч, Як-9У с М-105ПФ - на 42 - 75 км/ч, Як-3 «Дублер» - на 30 - 42 км/ч и Ла-7 (эталон 1944 г.) - на 29 км/ч. Время набора высоты 5000 м на боевом режиме не превышало 4,1 мин - почти как у Як-3 «Дублёр» и на 0,3 мин меньше, чем у «трёхточечного» </w:t>
      </w:r>
      <w:r w:rsidRPr="00271E51">
        <w:rPr>
          <w:rFonts w:ascii="Times New Roman" w:cs="Times New Roman"/>
          <w:color w:val="000000" w:themeColor="text1"/>
          <w:spacing w:val="0"/>
          <w:lang w:val="en-US"/>
        </w:rPr>
        <w:t>Bf</w:t>
      </w:r>
      <w:r w:rsidRPr="00271E51">
        <w:rPr>
          <w:rFonts w:ascii="Times New Roman" w:cs="Times New Roman"/>
          <w:color w:val="000000" w:themeColor="text1"/>
          <w:spacing w:val="0"/>
        </w:rPr>
        <w:t xml:space="preserve"> 109</w:t>
      </w:r>
      <w:r w:rsidRPr="00271E51">
        <w:rPr>
          <w:rFonts w:ascii="Times New Roman" w:cs="Times New Roman"/>
          <w:color w:val="000000" w:themeColor="text1"/>
          <w:spacing w:val="0"/>
          <w:lang w:val="en-US"/>
        </w:rPr>
        <w:t>G</w:t>
      </w:r>
      <w:r w:rsidRPr="00271E51">
        <w:rPr>
          <w:rFonts w:ascii="Times New Roman" w:cs="Times New Roman"/>
          <w:color w:val="000000" w:themeColor="text1"/>
          <w:spacing w:val="0"/>
        </w:rPr>
        <w:t>-2. Другие истре</w:t>
      </w:r>
      <w:r w:rsidRPr="00271E51">
        <w:rPr>
          <w:rFonts w:ascii="Times New Roman" w:cs="Times New Roman"/>
          <w:color w:val="000000" w:themeColor="text1"/>
          <w:spacing w:val="0"/>
        </w:rPr>
        <w:softHyphen/>
        <w:t xml:space="preserve">бители поднимались на эту высоту дольше: </w:t>
      </w:r>
      <w:r w:rsidRPr="00271E51">
        <w:rPr>
          <w:rFonts w:ascii="Times New Roman" w:cs="Times New Roman"/>
          <w:color w:val="000000" w:themeColor="text1"/>
          <w:spacing w:val="0"/>
          <w:lang w:val="en-US"/>
        </w:rPr>
        <w:t>FW</w:t>
      </w:r>
      <w:r w:rsidRPr="00271E51">
        <w:rPr>
          <w:rFonts w:ascii="Times New Roman" w:cs="Times New Roman"/>
          <w:color w:val="000000" w:themeColor="text1"/>
          <w:spacing w:val="0"/>
        </w:rPr>
        <w:t xml:space="preserve"> 190А-4 - на 2,7 мин, Як-9Т-на 1,4 мин, Як-9У с мотором М-105ПФ - на 0,7 мин и Ла-7 - на 0,35 мин.</w:t>
      </w:r>
    </w:p>
    <w:p w14:paraId="3941D179"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Установка М-107А (ВК-107А) не усложни</w:t>
      </w:r>
      <w:r w:rsidRPr="00271E51">
        <w:rPr>
          <w:rFonts w:ascii="Times New Roman" w:cs="Times New Roman"/>
          <w:color w:val="000000" w:themeColor="text1"/>
          <w:spacing w:val="0"/>
        </w:rPr>
        <w:softHyphen/>
        <w:t>ла технику пилотирования. Самолёт оста</w:t>
      </w:r>
      <w:r w:rsidRPr="00271E51">
        <w:rPr>
          <w:rFonts w:ascii="Times New Roman" w:cs="Times New Roman"/>
          <w:color w:val="000000" w:themeColor="text1"/>
          <w:spacing w:val="0"/>
        </w:rPr>
        <w:softHyphen/>
        <w:t>вался простым в управлении и доступным для лётчиков средней квалификации.</w:t>
      </w:r>
    </w:p>
    <w:p w14:paraId="2D0DEF9E"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НИИ ВВС посчитали бронезащиту недо</w:t>
      </w:r>
      <w:r w:rsidRPr="00271E51">
        <w:rPr>
          <w:rFonts w:ascii="Times New Roman" w:cs="Times New Roman"/>
          <w:color w:val="000000" w:themeColor="text1"/>
          <w:spacing w:val="0"/>
        </w:rPr>
        <w:softHyphen/>
        <w:t>статочной, отметили и отсутствие зеркала, что затрудняло обзор задней полусферы.</w:t>
      </w:r>
    </w:p>
    <w:p w14:paraId="0AAE4004"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заключение акта по результатам госис</w:t>
      </w:r>
      <w:r w:rsidRPr="00271E51">
        <w:rPr>
          <w:rFonts w:ascii="Times New Roman" w:cs="Times New Roman"/>
          <w:color w:val="000000" w:themeColor="text1"/>
          <w:spacing w:val="0"/>
        </w:rPr>
        <w:softHyphen/>
        <w:t>пытаний отмечалось: «Для быстрейшей доводки и ввода в строй Як-9У необходимо срочно провести войсковые и эксплуатаци</w:t>
      </w:r>
      <w:r w:rsidRPr="00271E51">
        <w:rPr>
          <w:rFonts w:ascii="Times New Roman" w:cs="Times New Roman"/>
          <w:color w:val="000000" w:themeColor="text1"/>
          <w:spacing w:val="0"/>
        </w:rPr>
        <w:softHyphen/>
        <w:t>онные испытания...» (19103).</w:t>
      </w:r>
    </w:p>
    <w:p w14:paraId="59DA9518" w14:textId="77777777" w:rsidR="008B424D" w:rsidRPr="00271E51" w:rsidRDefault="008B424D" w:rsidP="00271E51">
      <w:pPr>
        <w:pStyle w:val="27"/>
        <w:shd w:val="clear" w:color="auto" w:fill="auto"/>
        <w:spacing w:after="0" w:line="240" w:lineRule="auto"/>
        <w:ind w:firstLine="0"/>
        <w:rPr>
          <w:rFonts w:ascii="Times New Roman" w:cs="Times New Roman"/>
          <w:color w:val="000000" w:themeColor="text1"/>
          <w:spacing w:val="0"/>
        </w:rPr>
      </w:pPr>
    </w:p>
    <w:p w14:paraId="3196AA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Як-9У, построенный на опытном заводе № 115 в ноябре, прошел заводские испытания.</w:t>
      </w:r>
    </w:p>
    <w:p w14:paraId="7C05FF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августе 1943 года ОКБ-153 предложило разработать унифицированный вариант истребителя Як-9. До настоящего времени в печати, включая книгу А.Т. Степанца "Истребители ЯК периода Великой Отечественной войны" самолет преподносился как "улучшенный", однако документ, найденный в архиве ОКБ имени А.С. Яковлева под названием "Характеристика унифицированного самолета Як-9", датированный августом 1943 года, все расставил по своим местам.</w:t>
      </w:r>
    </w:p>
    <w:p w14:paraId="0D3412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Предполагалось, что новая машина, в основу которой были положен фюзеляж и крыло Як-9Т, позволит, в зависимости от задачи, стоявшей перед военными, </w:t>
      </w:r>
      <w:r w:rsidRPr="00271E51">
        <w:rPr>
          <w:rFonts w:ascii="Times New Roman" w:hAnsi="Times New Roman"/>
          <w:color w:val="000000" w:themeColor="text1"/>
          <w:sz w:val="16"/>
          <w:szCs w:val="16"/>
        </w:rPr>
        <w:lastRenderedPageBreak/>
        <w:t>устанавливать стрелково-пушечное вооружение в шести вариантах. При этом сохранялись шасси, оперение, силовая установка, пневмо-, бензо- и маслосистемы, электро- и радиооборудование, и прочее.</w:t>
      </w:r>
    </w:p>
    <w:p w14:paraId="21B0D2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предшественника, из-за необходимости установить маслорадиатор ОП-555, доработали центроплан крыла, сделав его по типу Як-3 с двигателем М-105ПФ. Тогда же сняли грузы весовой компенсации элеронов (7 кг), щели между элеронами и крылом закрыли полотняными перегородками и изменили нижнюю панель фюзеляжа между вторым и четвертым шпангоутом из- за установки нового водяного радиатора ОП-554, вала ручного управления самолетом и сидения пилота.</w:t>
      </w:r>
    </w:p>
    <w:p w14:paraId="178092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заменили козырек фонаря кабилы летчика новым - с плоскими боковыми и передним стеклами. Поскольку лобовое стекло в перспективе должно было быть бронированным, на его место временно поставили макет прозрачной брони.</w:t>
      </w:r>
    </w:p>
    <w:p w14:paraId="3A6E6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Полотняную обшивку хвостовой части фюзеляжа заменили фанерной и улучшили герметизацию фюзеляжа, отполировав передние кромки крыла, хвостового оперения и носовую часть капота. Вместо двух воздушных баллонов объемом по семь литров, предназначавшихся для запуска двигателя, поставили один восьмилитровый.</w:t>
      </w:r>
    </w:p>
    <w:p w14:paraId="38541F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машины включало 23-миллиметровую пушку ВЯ (МП-23) с боезапасом 60 патронов и пару синхронных пулеметов УБС (по 170 патронов на ствол). При этом предусмотрели замену МП-23 на МП-20 и МП-37, причем в последнем вари- Як-9М анте снимался один из пулеметов.</w:t>
      </w:r>
    </w:p>
    <w:p w14:paraId="0E52E5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января 1944-го Як-9У с мотором М-105ПФ и винтом ВИШ-105-СВ-01, ставший эталоном, поступил в НИИ ВВС. Ведущими на этапе государственных испытаний были инженер М.А. Пронин и летчик В.И. Хомяков. Облетали Як-9У Ю.А. Анти- пов, А.Г. Прошаков, Г.И. Седов и Гриднев. Летные испытания из-за доводки вооружения начались лишь 17 мая и затянулись почти на два месяца.</w:t>
      </w:r>
    </w:p>
    <w:p w14:paraId="1D38C7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мнению летчиков-испытателей, Як-9У по технике пилотирования ничем не отличался от серийного Як-9 и по летным данным превосходил последний. В то же время, бронезашита нового истребителя по сравнению с серийным Як-9, хотя и была улучшена, но требованиям заказчика не удовлетворяла. Дальность, полученная при полете на наивыгоднейшем режиме, не превышала 850 км и не соответствовала октябрьскому 1943 года постановлению ГКО (1400 км для всех серийных вариантов Як-9) (12046).</w:t>
      </w:r>
    </w:p>
    <w:p w14:paraId="264EA8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9A88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декабрю 1943 г. закончилась работа над новым самолетом Як-9 с М-107А (4842).</w:t>
      </w:r>
    </w:p>
    <w:p w14:paraId="6D6A04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E8D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1943-го на заводе № 115 построили опытный Як-9У, его заводские испытания начались 28 декабря, а в январе следующего года самолет с винтом обратной схемы АВ-ЮП-20, замененным впоследствии ВИШ-107Л5, поступил на государственные испытания в НИИ ВВС. Ведущими по машине были инженер А.Т. Степанец и летчик А.Г. Прошаков. Самолет облетали Ю.А. Антипов и А.Г. Кубышкин. С 18 января по 20 апреля военные летчики-испытатели 45 раз поднимались на нем в воздух, налетав 22 часа 5 минут.</w:t>
      </w:r>
    </w:p>
    <w:p w14:paraId="3B8D5E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плане НКАП на 1943 год числился Як-9 с двигателем М-107А со следующими данными: максимальная скорость у земли - 580 км/ч, а на высоте 5900 м - 590 км/ч, при посадочной - 147 км/ч; время виража на высоте 1000 м - 18 секунд и практический потолок - 11 500 м. Его вооружение ограничивалось 20-миллиметровой пушкой с боезапасом 120 патронов и пулеметом калибром 12,7 мм с 200 патронами. На государственные испытания машину предписывалось передать к 15 июня 1943 г. Однако из-за трудностей с доводкой двигателя создание этого истребителя затянулось.</w:t>
      </w:r>
    </w:p>
    <w:p w14:paraId="397D07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 с мотором ВК-107А построили в соответствие декабрьским 1943 года постановлением ГКО на базе пушечного Як-9Т. При этом заимствовали ряд технических решений с истребителя Як-3 с двигателем ВК-105ПФ.</w:t>
      </w:r>
    </w:p>
    <w:p w14:paraId="0CA3C9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тому времени ВК-107А прошел 100-часовые стендовые испытания и развивал мощность 1650 л.с. на первой границе высотности (1800 м) и 1500 л.с. на 4500 м (вторая граница высотности). Новый двигатель потребовал изменения конструкции подмо- торной рамы и фермы крепления оружия из-за установки второго пулемета (на Як-9Т устанавливали 37-миллиметровую пушку и пулемет БС). Вооружение Як-9У с двигателем ВК-107А состояло из мотор-пушки МП-20 и двух синхронных пулеметов УБС.</w:t>
      </w:r>
    </w:p>
    <w:p w14:paraId="027DFA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предшественником, на новой машине установили маслорадиатор с большей теплоотдачей и перенесли его в центроплан крыла по типу Як-3. При этом укоротили трубки водорадиатора и улучшили внешние и внутренние обводы его тоннеля.</w:t>
      </w:r>
    </w:p>
    <w:p w14:paraId="35FEC6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Тогда же доработали нижнюю панель фюзеляжа между вторым и четвертым шпангоутами из-за размещения нового водорадиатора и вала ручного управления машиной, смонтированного на каркасе фюзеляжа.</w:t>
      </w:r>
    </w:p>
    <w:p w14:paraId="09FEEA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фонаре кабины пилота появился механизм аварийного сброса его сдвижной части, а с козырька сняли лобовое бронестекло, сделав его более обтекаемым из гнутого плексигласа. Но, как выяснилось позже, снижение аэродинамического сопротивления фонаря сильно исказило изображение передней полусферы.</w:t>
      </w:r>
    </w:p>
    <w:p w14:paraId="136CD0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Убрали подлокотники для летчика, оказавшиеся лишними в непродолжительном полете и утяжелявшие истребитель. От Як-3 так же заимствовали бронеспинку, заголовник из прозрачной брони, надголовник и полуавтоматический стопор костыльной опоры.</w:t>
      </w:r>
    </w:p>
    <w:p w14:paraId="508483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Два семилитровых воздушных баллона заменили одним - объемом восемь литров. Сняли грузы весовой компенсации элеронов и на 200 мм увеличили размах аэродинамического компенсатора руля высоты.</w:t>
      </w:r>
    </w:p>
    <w:p w14:paraId="06C0E4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известно различные щели в планере приводят не только к задуванию кабины, но и к увеличению аэродинамического сопротивления. В связи с этим, заделали щели (герметизировали) в противопожарной перегородке, крыле, кабине, хвостовой части фюзеляжа, отсеках бензобаков и в тоннеле маслорадиатора.</w:t>
      </w:r>
    </w:p>
    <w:p w14:paraId="31034A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Полотняными перегородками закрыли щели между крылом и элеронами, что исключило перетекание воздуха и, как следствие, улучшило аэродинамику машины. Также отполировали передние кромки крыла, оперения и носовой части капота мотора.</w:t>
      </w:r>
    </w:p>
    <w:p w14:paraId="665B17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своих выводах специалисты института отмечали, в частности, что опытный Як-9У с ВК-107А по максимальной скорости горизонтального полета, скороподъемности и вертикальной маневренности в диапазоне высот до 6000 м является лучшим из известных отечественных и иностранных истребителей.</w:t>
      </w:r>
    </w:p>
    <w:p w14:paraId="4F9CF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горизонтального полета на боевом режиме составляла: у земли (на высоте 5000 м) 600 км/ч (690 км/ч), что больше, чем у трехточечного Me-109G-2 на 76 км/ч (80 км/ч), у FW-190A-4 - на 90 км/ч (102 км/ч), Як-9Т - на 67 км/ч (105 км/ч), Як-9У эталона 1944 года - на 42 км/ч (75 км/ч), Як-3 "Дублера" - на 30 км/ч (42 км/ч) и Ла-7 эталона 1944 года - на 29 км/ч.</w:t>
      </w:r>
    </w:p>
    <w:p w14:paraId="54FF66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на боевом режиме не превышало 4,1 минуты, что было почти как у Як-3 "Дублер" и меньше на 0,3 минуты, по сравнению с трехточечным Ме- 109G-2. Дольше набирали эту высоту FW190A-4 - на 2,7 минуты, Як-9Т - на 1,4 минуты, Як-9У с мотором М-105ПФ - на 0,7 минуты и Ла-7 - на 0,35 минуты. Последние две машины стали эталонами 1944 г.</w:t>
      </w:r>
    </w:p>
    <w:p w14:paraId="64FF3F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Установка двигателя ВК-107А не усложнила технику пилотирования. Самолет оставался простым в управлении и доступным для летчиков средней квалификации.</w:t>
      </w:r>
    </w:p>
    <w:p w14:paraId="2F29C2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Заказчик посчитал бронезашиту летчика недостаточной и не отвечавшей, предъявлявшимся к ней требованиям. Военные испытатели отметили и отсутствие зеркала, что затрудняло обзор задней полусферы.</w:t>
      </w:r>
    </w:p>
    <w:p w14:paraId="702322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"Акта по результатам государственных испытаний..." отмечалось: "Для быстрейшей доводки и ввода в строй Як-9У необходимо срочно провести войсковые и эксплуатационные испытания самолета..." (12046).</w:t>
      </w:r>
    </w:p>
    <w:p w14:paraId="0EFA83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0152AE45" w14:textId="77777777" w:rsidTr="00ED5B0A">
        <w:tc>
          <w:tcPr>
            <w:tcW w:w="1868" w:type="dxa"/>
            <w:tcBorders>
              <w:top w:val="single" w:sz="12" w:space="0" w:color="auto"/>
            </w:tcBorders>
          </w:tcPr>
          <w:p w14:paraId="3BA45F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868" w:type="dxa"/>
            <w:tcBorders>
              <w:top w:val="single" w:sz="12" w:space="0" w:color="auto"/>
            </w:tcBorders>
          </w:tcPr>
          <w:p w14:paraId="2BDEB5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9EEC2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77A823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086319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ЯК-9УТ</w:t>
            </w:r>
          </w:p>
        </w:tc>
        <w:tc>
          <w:tcPr>
            <w:tcW w:w="1868" w:type="dxa"/>
            <w:tcBorders>
              <w:top w:val="single" w:sz="12" w:space="0" w:color="auto"/>
            </w:tcBorders>
          </w:tcPr>
          <w:p w14:paraId="5CC80A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ЯК-9УВ</w:t>
            </w:r>
          </w:p>
        </w:tc>
      </w:tr>
      <w:tr w:rsidR="00A907A5" w:rsidRPr="00271E51" w14:paraId="047D6FFF" w14:textId="77777777" w:rsidTr="00ED5B0A">
        <w:tc>
          <w:tcPr>
            <w:tcW w:w="1868" w:type="dxa"/>
          </w:tcPr>
          <w:p w14:paraId="5BF43A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65B1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4F51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tc>
        <w:tc>
          <w:tcPr>
            <w:tcW w:w="1868" w:type="dxa"/>
          </w:tcPr>
          <w:p w14:paraId="1104F1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A1DC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40-022</w:t>
            </w:r>
          </w:p>
        </w:tc>
        <w:tc>
          <w:tcPr>
            <w:tcW w:w="1868" w:type="dxa"/>
          </w:tcPr>
          <w:p w14:paraId="2D9D3E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67F823" w14:textId="77777777" w:rsidTr="00ED5B0A">
        <w:tc>
          <w:tcPr>
            <w:tcW w:w="1868" w:type="dxa"/>
          </w:tcPr>
          <w:p w14:paraId="5B3E43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c>
        <w:tc>
          <w:tcPr>
            <w:tcW w:w="1868" w:type="dxa"/>
          </w:tcPr>
          <w:p w14:paraId="7EA148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7508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М-105ПФ21</w:t>
            </w:r>
          </w:p>
        </w:tc>
        <w:tc>
          <w:tcPr>
            <w:tcW w:w="1868" w:type="dxa"/>
          </w:tcPr>
          <w:p w14:paraId="00E325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ВК-107А</w:t>
            </w:r>
          </w:p>
        </w:tc>
        <w:tc>
          <w:tcPr>
            <w:tcW w:w="1868" w:type="dxa"/>
          </w:tcPr>
          <w:p w14:paraId="25210B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ВК-107А</w:t>
            </w:r>
          </w:p>
        </w:tc>
        <w:tc>
          <w:tcPr>
            <w:tcW w:w="1868" w:type="dxa"/>
          </w:tcPr>
          <w:p w14:paraId="7FCD27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C50B4F" w14:textId="77777777" w:rsidTr="00ED5B0A">
        <w:tc>
          <w:tcPr>
            <w:tcW w:w="1868" w:type="dxa"/>
          </w:tcPr>
          <w:p w14:paraId="3BA741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868" w:type="dxa"/>
          </w:tcPr>
          <w:p w14:paraId="1A7CAC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F735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15DE15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E32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3C9F0D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r>
      <w:tr w:rsidR="00A907A5" w:rsidRPr="00271E51" w14:paraId="7F4606FD" w14:textId="77777777" w:rsidTr="00ED5B0A">
        <w:tc>
          <w:tcPr>
            <w:tcW w:w="1868" w:type="dxa"/>
          </w:tcPr>
          <w:p w14:paraId="6E4FB0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868" w:type="dxa"/>
          </w:tcPr>
          <w:p w14:paraId="022511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2791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1868" w:type="dxa"/>
          </w:tcPr>
          <w:p w14:paraId="0005BA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D6C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2913FF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r>
      <w:tr w:rsidR="00A907A5" w:rsidRPr="00271E51" w14:paraId="55B8A291" w14:textId="77777777" w:rsidTr="00ED5B0A">
        <w:tc>
          <w:tcPr>
            <w:tcW w:w="1868" w:type="dxa"/>
          </w:tcPr>
          <w:p w14:paraId="3C870D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мг</w:t>
            </w:r>
          </w:p>
        </w:tc>
        <w:tc>
          <w:tcPr>
            <w:tcW w:w="1868" w:type="dxa"/>
          </w:tcPr>
          <w:p w14:paraId="241415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7AAA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49E1C2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F14D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682E5D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r>
      <w:tr w:rsidR="00A907A5" w:rsidRPr="00271E51" w14:paraId="61A2F3DB" w14:textId="77777777" w:rsidTr="00ED5B0A">
        <w:tc>
          <w:tcPr>
            <w:tcW w:w="1868" w:type="dxa"/>
          </w:tcPr>
          <w:p w14:paraId="274189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кг</w:t>
            </w:r>
          </w:p>
        </w:tc>
        <w:tc>
          <w:tcPr>
            <w:tcW w:w="1868" w:type="dxa"/>
          </w:tcPr>
          <w:p w14:paraId="183601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EC9D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6ABC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C14C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A1DC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8E9DF5" w14:textId="77777777" w:rsidTr="00ED5B0A">
        <w:tc>
          <w:tcPr>
            <w:tcW w:w="1868" w:type="dxa"/>
          </w:tcPr>
          <w:p w14:paraId="437216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нормальный</w:t>
            </w:r>
          </w:p>
        </w:tc>
        <w:tc>
          <w:tcPr>
            <w:tcW w:w="1868" w:type="dxa"/>
          </w:tcPr>
          <w:p w14:paraId="0AC827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8E7A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w:t>
            </w:r>
          </w:p>
        </w:tc>
        <w:tc>
          <w:tcPr>
            <w:tcW w:w="1868" w:type="dxa"/>
          </w:tcPr>
          <w:p w14:paraId="640A18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538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3260</w:t>
            </w:r>
          </w:p>
        </w:tc>
        <w:tc>
          <w:tcPr>
            <w:tcW w:w="1868" w:type="dxa"/>
          </w:tcPr>
          <w:p w14:paraId="09BAEF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3128</w:t>
            </w:r>
          </w:p>
        </w:tc>
      </w:tr>
      <w:tr w:rsidR="00A907A5" w:rsidRPr="00271E51" w14:paraId="2219FE69" w14:textId="77777777" w:rsidTr="00ED5B0A">
        <w:tc>
          <w:tcPr>
            <w:tcW w:w="1868" w:type="dxa"/>
          </w:tcPr>
          <w:p w14:paraId="714E9D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868" w:type="dxa"/>
          </w:tcPr>
          <w:p w14:paraId="700EDE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5688F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2244</w:t>
            </w:r>
          </w:p>
        </w:tc>
        <w:tc>
          <w:tcPr>
            <w:tcW w:w="1868" w:type="dxa"/>
          </w:tcPr>
          <w:p w14:paraId="175717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3D5F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2467</w:t>
            </w:r>
          </w:p>
        </w:tc>
        <w:tc>
          <w:tcPr>
            <w:tcW w:w="1868" w:type="dxa"/>
          </w:tcPr>
          <w:p w14:paraId="64761B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2505</w:t>
            </w:r>
          </w:p>
        </w:tc>
      </w:tr>
      <w:tr w:rsidR="00A907A5" w:rsidRPr="00271E51" w14:paraId="15192D1B" w14:textId="77777777" w:rsidTr="00ED5B0A">
        <w:tc>
          <w:tcPr>
            <w:tcW w:w="1868" w:type="dxa"/>
          </w:tcPr>
          <w:p w14:paraId="5A41CC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w:t>
            </w:r>
          </w:p>
        </w:tc>
        <w:tc>
          <w:tcPr>
            <w:tcW w:w="1868" w:type="dxa"/>
          </w:tcPr>
          <w:p w14:paraId="29429F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EE0A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318</w:t>
            </w:r>
          </w:p>
        </w:tc>
        <w:tc>
          <w:tcPr>
            <w:tcW w:w="1868" w:type="dxa"/>
          </w:tcPr>
          <w:p w14:paraId="76214C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89C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1868" w:type="dxa"/>
          </w:tcPr>
          <w:p w14:paraId="1EE367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w:t>
            </w:r>
          </w:p>
        </w:tc>
      </w:tr>
      <w:tr w:rsidR="00A907A5" w:rsidRPr="00271E51" w14:paraId="7B999518" w14:textId="77777777" w:rsidTr="00ED5B0A">
        <w:tc>
          <w:tcPr>
            <w:tcW w:w="1868" w:type="dxa"/>
          </w:tcPr>
          <w:p w14:paraId="01E410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w:t>
            </w:r>
          </w:p>
        </w:tc>
        <w:tc>
          <w:tcPr>
            <w:tcW w:w="1868" w:type="dxa"/>
          </w:tcPr>
          <w:p w14:paraId="2550E8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E240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E04E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29F5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AD12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CE402B" w14:textId="77777777" w:rsidTr="00ED5B0A">
        <w:tc>
          <w:tcPr>
            <w:tcW w:w="1868" w:type="dxa"/>
          </w:tcPr>
          <w:p w14:paraId="4DF9B1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7F2AD2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8D080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w:t>
            </w:r>
          </w:p>
        </w:tc>
        <w:tc>
          <w:tcPr>
            <w:tcW w:w="1868" w:type="dxa"/>
          </w:tcPr>
          <w:p w14:paraId="61ECB7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4EC7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578</w:t>
            </w:r>
          </w:p>
        </w:tc>
        <w:tc>
          <w:tcPr>
            <w:tcW w:w="1868" w:type="dxa"/>
          </w:tcPr>
          <w:p w14:paraId="564D41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r>
      <w:tr w:rsidR="00A907A5" w:rsidRPr="00271E51" w14:paraId="406A71F8" w14:textId="77777777" w:rsidTr="00ED5B0A">
        <w:tc>
          <w:tcPr>
            <w:tcW w:w="1868" w:type="dxa"/>
          </w:tcPr>
          <w:p w14:paraId="3F80A9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1-й гр. высотности, м</w:t>
            </w:r>
          </w:p>
        </w:tc>
        <w:tc>
          <w:tcPr>
            <w:tcW w:w="1868" w:type="dxa"/>
          </w:tcPr>
          <w:p w14:paraId="45FC4B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AE426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600/1800</w:t>
            </w:r>
          </w:p>
        </w:tc>
        <w:tc>
          <w:tcPr>
            <w:tcW w:w="1868" w:type="dxa"/>
          </w:tcPr>
          <w:p w14:paraId="1D9B20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625/2200</w:t>
            </w:r>
          </w:p>
        </w:tc>
        <w:tc>
          <w:tcPr>
            <w:tcW w:w="1868" w:type="dxa"/>
          </w:tcPr>
          <w:p w14:paraId="6342D5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60106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84F746" w14:textId="77777777" w:rsidTr="00ED5B0A">
        <w:tc>
          <w:tcPr>
            <w:tcW w:w="1868" w:type="dxa"/>
          </w:tcPr>
          <w:p w14:paraId="4EA2FD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 гр. высотности, м</w:t>
            </w:r>
          </w:p>
        </w:tc>
        <w:tc>
          <w:tcPr>
            <w:tcW w:w="1868" w:type="dxa"/>
          </w:tcPr>
          <w:p w14:paraId="5DDF34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E456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620/3850</w:t>
            </w:r>
          </w:p>
        </w:tc>
        <w:tc>
          <w:tcPr>
            <w:tcW w:w="1868" w:type="dxa"/>
          </w:tcPr>
          <w:p w14:paraId="10C683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671/4900</w:t>
            </w:r>
          </w:p>
        </w:tc>
        <w:tc>
          <w:tcPr>
            <w:tcW w:w="1868" w:type="dxa"/>
          </w:tcPr>
          <w:p w14:paraId="2AA9B7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623/4100</w:t>
            </w:r>
          </w:p>
        </w:tc>
        <w:tc>
          <w:tcPr>
            <w:tcW w:w="1868" w:type="dxa"/>
          </w:tcPr>
          <w:p w14:paraId="4BF1EF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4B7FE5" w14:textId="77777777" w:rsidTr="00ED5B0A">
        <w:tc>
          <w:tcPr>
            <w:tcW w:w="1868" w:type="dxa"/>
          </w:tcPr>
          <w:p w14:paraId="570F05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1868" w:type="dxa"/>
          </w:tcPr>
          <w:p w14:paraId="7642C9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3909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265B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8ACB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9BD5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B2445A" w14:textId="77777777" w:rsidTr="00ED5B0A">
        <w:tc>
          <w:tcPr>
            <w:tcW w:w="1868" w:type="dxa"/>
          </w:tcPr>
          <w:p w14:paraId="43763D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1868" w:type="dxa"/>
          </w:tcPr>
          <w:p w14:paraId="2A1597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68A7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tc>
        <w:tc>
          <w:tcPr>
            <w:tcW w:w="1868" w:type="dxa"/>
          </w:tcPr>
          <w:p w14:paraId="5EF884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EF1F1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1868" w:type="dxa"/>
          </w:tcPr>
          <w:p w14:paraId="22BF44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r>
      <w:tr w:rsidR="00A907A5" w:rsidRPr="00271E51" w14:paraId="1F09E96A" w14:textId="77777777" w:rsidTr="00ED5B0A">
        <w:tc>
          <w:tcPr>
            <w:tcW w:w="1868" w:type="dxa"/>
          </w:tcPr>
          <w:p w14:paraId="37F4F0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Практический потолок, м</w:t>
            </w:r>
          </w:p>
        </w:tc>
        <w:tc>
          <w:tcPr>
            <w:tcW w:w="1868" w:type="dxa"/>
          </w:tcPr>
          <w:p w14:paraId="4AB108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ACC7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10400</w:t>
            </w:r>
          </w:p>
        </w:tc>
        <w:tc>
          <w:tcPr>
            <w:tcW w:w="1868" w:type="dxa"/>
          </w:tcPr>
          <w:p w14:paraId="737A81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B7BD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10700</w:t>
            </w:r>
          </w:p>
        </w:tc>
        <w:tc>
          <w:tcPr>
            <w:tcW w:w="1868" w:type="dxa"/>
          </w:tcPr>
          <w:p w14:paraId="4CDB95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11300</w:t>
            </w:r>
          </w:p>
        </w:tc>
      </w:tr>
      <w:tr w:rsidR="00A907A5" w:rsidRPr="00271E51" w14:paraId="3AA80813" w14:textId="77777777" w:rsidTr="00ED5B0A">
        <w:tc>
          <w:tcPr>
            <w:tcW w:w="1868" w:type="dxa"/>
          </w:tcPr>
          <w:p w14:paraId="5A4C39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1868" w:type="dxa"/>
          </w:tcPr>
          <w:p w14:paraId="394BE9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4B7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159E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7CB5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56EB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5BC8EAF" w14:textId="77777777" w:rsidTr="00ED5B0A">
        <w:tc>
          <w:tcPr>
            <w:tcW w:w="1868" w:type="dxa"/>
          </w:tcPr>
          <w:p w14:paraId="5B4A9F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w:t>
            </w:r>
          </w:p>
        </w:tc>
        <w:tc>
          <w:tcPr>
            <w:tcW w:w="1868" w:type="dxa"/>
          </w:tcPr>
          <w:p w14:paraId="58D734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02CB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w:t>
            </w:r>
          </w:p>
        </w:tc>
        <w:tc>
          <w:tcPr>
            <w:tcW w:w="1868" w:type="dxa"/>
          </w:tcPr>
          <w:p w14:paraId="2D34BE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74ED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FC578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r>
      <w:tr w:rsidR="00A907A5" w:rsidRPr="00271E51" w14:paraId="4695716E" w14:textId="77777777" w:rsidTr="00ED5B0A">
        <w:tc>
          <w:tcPr>
            <w:tcW w:w="1868" w:type="dxa"/>
          </w:tcPr>
          <w:p w14:paraId="6DBABC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макс, км</w:t>
            </w:r>
          </w:p>
        </w:tc>
        <w:tc>
          <w:tcPr>
            <w:tcW w:w="1868" w:type="dxa"/>
          </w:tcPr>
          <w:p w14:paraId="2FCDD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09D1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1868" w:type="dxa"/>
          </w:tcPr>
          <w:p w14:paraId="1EC83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2DA29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690</w:t>
            </w:r>
          </w:p>
        </w:tc>
        <w:tc>
          <w:tcPr>
            <w:tcW w:w="1868" w:type="dxa"/>
          </w:tcPr>
          <w:p w14:paraId="066408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r>
      <w:tr w:rsidR="00A907A5" w:rsidRPr="00271E51" w14:paraId="476CB06D" w14:textId="77777777" w:rsidTr="00ED5B0A">
        <w:tc>
          <w:tcPr>
            <w:tcW w:w="1868" w:type="dxa"/>
            <w:tcBorders>
              <w:bottom w:val="single" w:sz="12" w:space="0" w:color="auto"/>
            </w:tcBorders>
          </w:tcPr>
          <w:p w14:paraId="6E2D54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C1D20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468A7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320/575</w:t>
            </w:r>
          </w:p>
        </w:tc>
        <w:tc>
          <w:tcPr>
            <w:tcW w:w="1868" w:type="dxa"/>
            <w:tcBorders>
              <w:bottom w:val="single" w:sz="12" w:space="0" w:color="auto"/>
            </w:tcBorders>
          </w:tcPr>
          <w:p w14:paraId="1E011A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B553F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006F43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390/560</w:t>
            </w:r>
          </w:p>
        </w:tc>
      </w:tr>
    </w:tbl>
    <w:p w14:paraId="2FB929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Наддув двигателя 1100 мм рт. ст. (12046).</w:t>
      </w:r>
    </w:p>
    <w:p w14:paraId="6D8776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907A5" w:rsidRPr="00271E51" w14:paraId="79BF6676" w14:textId="77777777" w:rsidTr="00ED5B0A">
        <w:tc>
          <w:tcPr>
            <w:tcW w:w="1868" w:type="dxa"/>
            <w:tcBorders>
              <w:top w:val="single" w:sz="12" w:space="0" w:color="auto"/>
            </w:tcBorders>
          </w:tcPr>
          <w:p w14:paraId="00E736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868" w:type="dxa"/>
            <w:tcBorders>
              <w:top w:val="single" w:sz="12" w:space="0" w:color="auto"/>
            </w:tcBorders>
          </w:tcPr>
          <w:p w14:paraId="412F2E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4A10C8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00E1D0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Як-9У2</w:t>
            </w:r>
          </w:p>
        </w:tc>
        <w:tc>
          <w:tcPr>
            <w:tcW w:w="1868" w:type="dxa"/>
            <w:tcBorders>
              <w:top w:val="single" w:sz="12" w:space="0" w:color="auto"/>
            </w:tcBorders>
          </w:tcPr>
          <w:p w14:paraId="72088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c>
          <w:tcPr>
            <w:tcW w:w="1868" w:type="dxa"/>
            <w:tcBorders>
              <w:top w:val="single" w:sz="12" w:space="0" w:color="auto"/>
            </w:tcBorders>
          </w:tcPr>
          <w:p w14:paraId="4C732E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ЯК-9У</w:t>
            </w:r>
          </w:p>
        </w:tc>
      </w:tr>
      <w:tr w:rsidR="00A907A5" w:rsidRPr="00271E51" w14:paraId="579E4675" w14:textId="77777777" w:rsidTr="00ED5B0A">
        <w:tc>
          <w:tcPr>
            <w:tcW w:w="1868" w:type="dxa"/>
          </w:tcPr>
          <w:p w14:paraId="3ECAAF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w:t>
            </w:r>
          </w:p>
        </w:tc>
        <w:tc>
          <w:tcPr>
            <w:tcW w:w="1868" w:type="dxa"/>
          </w:tcPr>
          <w:p w14:paraId="00B065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1868" w:type="dxa"/>
          </w:tcPr>
          <w:p w14:paraId="0A2A83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1868" w:type="dxa"/>
          </w:tcPr>
          <w:p w14:paraId="1C15DB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 и 115</w:t>
            </w:r>
          </w:p>
        </w:tc>
        <w:tc>
          <w:tcPr>
            <w:tcW w:w="1868" w:type="dxa"/>
          </w:tcPr>
          <w:p w14:paraId="0D87F1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1868" w:type="dxa"/>
          </w:tcPr>
          <w:p w14:paraId="3336C7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r>
      <w:tr w:rsidR="00A907A5" w:rsidRPr="00271E51" w14:paraId="0E50EE4E" w14:textId="77777777" w:rsidTr="00ED5B0A">
        <w:tc>
          <w:tcPr>
            <w:tcW w:w="1868" w:type="dxa"/>
          </w:tcPr>
          <w:p w14:paraId="6E01DE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Серийный №</w:t>
            </w:r>
          </w:p>
        </w:tc>
        <w:tc>
          <w:tcPr>
            <w:tcW w:w="1868" w:type="dxa"/>
          </w:tcPr>
          <w:p w14:paraId="58C349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w:t>
            </w:r>
          </w:p>
        </w:tc>
        <w:tc>
          <w:tcPr>
            <w:tcW w:w="1868" w:type="dxa"/>
          </w:tcPr>
          <w:p w14:paraId="56DAEC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39-083</w:t>
            </w:r>
          </w:p>
        </w:tc>
        <w:tc>
          <w:tcPr>
            <w:tcW w:w="1868" w:type="dxa"/>
          </w:tcPr>
          <w:p w14:paraId="27A960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41-038</w:t>
            </w:r>
          </w:p>
        </w:tc>
        <w:tc>
          <w:tcPr>
            <w:tcW w:w="1868" w:type="dxa"/>
          </w:tcPr>
          <w:p w14:paraId="27E536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52-082</w:t>
            </w:r>
          </w:p>
        </w:tc>
        <w:tc>
          <w:tcPr>
            <w:tcW w:w="1868" w:type="dxa"/>
          </w:tcPr>
          <w:p w14:paraId="1F7609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10-10</w:t>
            </w:r>
          </w:p>
        </w:tc>
      </w:tr>
      <w:tr w:rsidR="00A907A5" w:rsidRPr="00271E51" w14:paraId="058F806F" w14:textId="77777777" w:rsidTr="00ED5B0A">
        <w:tc>
          <w:tcPr>
            <w:tcW w:w="1868" w:type="dxa"/>
          </w:tcPr>
          <w:p w14:paraId="51D2D3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Мощность, л.с.</w:t>
            </w:r>
          </w:p>
        </w:tc>
        <w:tc>
          <w:tcPr>
            <w:tcW w:w="1868" w:type="dxa"/>
          </w:tcPr>
          <w:p w14:paraId="20067D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FEF8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8F5B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B34F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F023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CBF1E5" w14:textId="77777777" w:rsidTr="00ED5B0A">
        <w:tc>
          <w:tcPr>
            <w:tcW w:w="1868" w:type="dxa"/>
          </w:tcPr>
          <w:p w14:paraId="6D3ED1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взлетная</w:t>
            </w:r>
          </w:p>
        </w:tc>
        <w:tc>
          <w:tcPr>
            <w:tcW w:w="1868" w:type="dxa"/>
          </w:tcPr>
          <w:p w14:paraId="1DE4F3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35B4A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c>
          <w:tcPr>
            <w:tcW w:w="1868" w:type="dxa"/>
          </w:tcPr>
          <w:p w14:paraId="105843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1650</w:t>
            </w:r>
          </w:p>
        </w:tc>
        <w:tc>
          <w:tcPr>
            <w:tcW w:w="1868" w:type="dxa"/>
          </w:tcPr>
          <w:p w14:paraId="251D52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1650</w:t>
            </w:r>
          </w:p>
        </w:tc>
        <w:tc>
          <w:tcPr>
            <w:tcW w:w="1868" w:type="dxa"/>
          </w:tcPr>
          <w:p w14:paraId="70EE15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w:t>
            </w:r>
          </w:p>
        </w:tc>
      </w:tr>
      <w:tr w:rsidR="00A907A5" w:rsidRPr="00271E51" w14:paraId="5D2BA188" w14:textId="77777777" w:rsidTr="00ED5B0A">
        <w:tc>
          <w:tcPr>
            <w:tcW w:w="1868" w:type="dxa"/>
          </w:tcPr>
          <w:p w14:paraId="430BE5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w:t>
            </w:r>
          </w:p>
        </w:tc>
        <w:tc>
          <w:tcPr>
            <w:tcW w:w="1868" w:type="dxa"/>
          </w:tcPr>
          <w:p w14:paraId="3A6DCE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218F7C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1550/1200</w:t>
            </w:r>
          </w:p>
        </w:tc>
        <w:tc>
          <w:tcPr>
            <w:tcW w:w="1868" w:type="dxa"/>
          </w:tcPr>
          <w:p w14:paraId="18B258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0CFAE7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1600/1800'</w:t>
            </w:r>
          </w:p>
        </w:tc>
        <w:tc>
          <w:tcPr>
            <w:tcW w:w="1868" w:type="dxa"/>
          </w:tcPr>
          <w:p w14:paraId="107E6D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550/1200</w:t>
            </w:r>
          </w:p>
        </w:tc>
      </w:tr>
      <w:tr w:rsidR="00A907A5" w:rsidRPr="00271E51" w14:paraId="6E3B21AE" w14:textId="77777777" w:rsidTr="00ED5B0A">
        <w:tc>
          <w:tcPr>
            <w:tcW w:w="1868" w:type="dxa"/>
          </w:tcPr>
          <w:p w14:paraId="6DE0D5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56FE7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1500/4500</w:t>
            </w:r>
          </w:p>
        </w:tc>
        <w:tc>
          <w:tcPr>
            <w:tcW w:w="1868" w:type="dxa"/>
          </w:tcPr>
          <w:p w14:paraId="111EDE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1450/3800</w:t>
            </w:r>
          </w:p>
        </w:tc>
        <w:tc>
          <w:tcPr>
            <w:tcW w:w="1868" w:type="dxa"/>
          </w:tcPr>
          <w:p w14:paraId="684F9C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1500/4500</w:t>
            </w:r>
          </w:p>
        </w:tc>
        <w:tc>
          <w:tcPr>
            <w:tcW w:w="1868" w:type="dxa"/>
          </w:tcPr>
          <w:p w14:paraId="5122AF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1500/3800'</w:t>
            </w:r>
          </w:p>
        </w:tc>
        <w:tc>
          <w:tcPr>
            <w:tcW w:w="1868" w:type="dxa"/>
          </w:tcPr>
          <w:p w14:paraId="3AB5DF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450/3800</w:t>
            </w:r>
          </w:p>
        </w:tc>
      </w:tr>
      <w:tr w:rsidR="00A907A5" w:rsidRPr="00271E51" w14:paraId="555A551F" w14:textId="77777777" w:rsidTr="00ED5B0A">
        <w:tc>
          <w:tcPr>
            <w:tcW w:w="1868" w:type="dxa"/>
          </w:tcPr>
          <w:p w14:paraId="6D880B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крыла,м</w:t>
            </w:r>
          </w:p>
        </w:tc>
        <w:tc>
          <w:tcPr>
            <w:tcW w:w="1868" w:type="dxa"/>
          </w:tcPr>
          <w:p w14:paraId="17242D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61E8E7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3F0473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28C959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868" w:type="dxa"/>
          </w:tcPr>
          <w:p w14:paraId="4F6AF5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r>
      <w:tr w:rsidR="00A907A5" w:rsidRPr="00271E51" w14:paraId="41C2D21F" w14:textId="77777777" w:rsidTr="00ED5B0A">
        <w:tc>
          <w:tcPr>
            <w:tcW w:w="1868" w:type="dxa"/>
          </w:tcPr>
          <w:p w14:paraId="058063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868" w:type="dxa"/>
          </w:tcPr>
          <w:p w14:paraId="297AB1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62E6A4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453425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7C94C4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c>
          <w:tcPr>
            <w:tcW w:w="1868" w:type="dxa"/>
          </w:tcPr>
          <w:p w14:paraId="723A4D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8,55</w:t>
            </w:r>
          </w:p>
        </w:tc>
      </w:tr>
      <w:tr w:rsidR="00A907A5" w:rsidRPr="00271E51" w14:paraId="7C362214" w14:textId="77777777" w:rsidTr="00ED5B0A">
        <w:tc>
          <w:tcPr>
            <w:tcW w:w="1868" w:type="dxa"/>
          </w:tcPr>
          <w:p w14:paraId="6A03B4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мг</w:t>
            </w:r>
          </w:p>
        </w:tc>
        <w:tc>
          <w:tcPr>
            <w:tcW w:w="1868" w:type="dxa"/>
          </w:tcPr>
          <w:p w14:paraId="2B3E9F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1C67F5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5B4DE2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55F1CD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868" w:type="dxa"/>
          </w:tcPr>
          <w:p w14:paraId="385DA9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r>
      <w:tr w:rsidR="00A907A5" w:rsidRPr="00271E51" w14:paraId="3731F9F1" w14:textId="77777777" w:rsidTr="00ED5B0A">
        <w:tc>
          <w:tcPr>
            <w:tcW w:w="1868" w:type="dxa"/>
          </w:tcPr>
          <w:p w14:paraId="43C651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кг</w:t>
            </w:r>
          </w:p>
        </w:tc>
        <w:tc>
          <w:tcPr>
            <w:tcW w:w="1868" w:type="dxa"/>
          </w:tcPr>
          <w:p w14:paraId="2A29D0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3204</w:t>
            </w:r>
          </w:p>
        </w:tc>
        <w:tc>
          <w:tcPr>
            <w:tcW w:w="1868" w:type="dxa"/>
          </w:tcPr>
          <w:p w14:paraId="21310D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3204</w:t>
            </w:r>
          </w:p>
        </w:tc>
        <w:tc>
          <w:tcPr>
            <w:tcW w:w="1868" w:type="dxa"/>
          </w:tcPr>
          <w:p w14:paraId="71E968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3145</w:t>
            </w:r>
          </w:p>
        </w:tc>
        <w:tc>
          <w:tcPr>
            <w:tcW w:w="1868" w:type="dxa"/>
          </w:tcPr>
          <w:p w14:paraId="225F8E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3268</w:t>
            </w:r>
          </w:p>
        </w:tc>
        <w:tc>
          <w:tcPr>
            <w:tcW w:w="1868" w:type="dxa"/>
          </w:tcPr>
          <w:p w14:paraId="46F81B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3197</w:t>
            </w:r>
          </w:p>
        </w:tc>
      </w:tr>
      <w:tr w:rsidR="00A907A5" w:rsidRPr="00271E51" w14:paraId="64073CF4" w14:textId="77777777" w:rsidTr="00ED5B0A">
        <w:tc>
          <w:tcPr>
            <w:tcW w:w="1868" w:type="dxa"/>
          </w:tcPr>
          <w:p w14:paraId="134E6B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868" w:type="dxa"/>
          </w:tcPr>
          <w:p w14:paraId="428FCA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216300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2512</w:t>
            </w:r>
          </w:p>
        </w:tc>
        <w:tc>
          <w:tcPr>
            <w:tcW w:w="1868" w:type="dxa"/>
          </w:tcPr>
          <w:p w14:paraId="6E0598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2498</w:t>
            </w:r>
          </w:p>
        </w:tc>
        <w:tc>
          <w:tcPr>
            <w:tcW w:w="1868" w:type="dxa"/>
          </w:tcPr>
          <w:p w14:paraId="67B1FC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2596</w:t>
            </w:r>
          </w:p>
        </w:tc>
        <w:tc>
          <w:tcPr>
            <w:tcW w:w="1868" w:type="dxa"/>
          </w:tcPr>
          <w:p w14:paraId="32222C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2529</w:t>
            </w:r>
          </w:p>
        </w:tc>
      </w:tr>
      <w:tr w:rsidR="00A907A5" w:rsidRPr="00271E51" w14:paraId="448CC29E" w14:textId="77777777" w:rsidTr="00ED5B0A">
        <w:tc>
          <w:tcPr>
            <w:tcW w:w="1868" w:type="dxa"/>
          </w:tcPr>
          <w:p w14:paraId="04BA49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w:t>
            </w:r>
          </w:p>
        </w:tc>
        <w:tc>
          <w:tcPr>
            <w:tcW w:w="1868" w:type="dxa"/>
          </w:tcPr>
          <w:p w14:paraId="79B43C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w:t>
            </w:r>
          </w:p>
        </w:tc>
        <w:tc>
          <w:tcPr>
            <w:tcW w:w="1868" w:type="dxa"/>
          </w:tcPr>
          <w:p w14:paraId="128AAE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1868" w:type="dxa"/>
          </w:tcPr>
          <w:p w14:paraId="6D42D8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351</w:t>
            </w:r>
          </w:p>
        </w:tc>
        <w:tc>
          <w:tcPr>
            <w:tcW w:w="1868" w:type="dxa"/>
          </w:tcPr>
          <w:p w14:paraId="3883E1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tc>
        <w:tc>
          <w:tcPr>
            <w:tcW w:w="1868" w:type="dxa"/>
          </w:tcPr>
          <w:p w14:paraId="367F1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A62395D" w14:textId="77777777" w:rsidTr="00ED5B0A">
        <w:tc>
          <w:tcPr>
            <w:tcW w:w="1868" w:type="dxa"/>
          </w:tcPr>
          <w:p w14:paraId="671311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w:t>
            </w:r>
          </w:p>
        </w:tc>
        <w:tc>
          <w:tcPr>
            <w:tcW w:w="1868" w:type="dxa"/>
          </w:tcPr>
          <w:p w14:paraId="61A176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3D62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F876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F2A0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00EB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325AC1" w14:textId="77777777" w:rsidTr="00ED5B0A">
        <w:tc>
          <w:tcPr>
            <w:tcW w:w="1868" w:type="dxa"/>
          </w:tcPr>
          <w:p w14:paraId="153F79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 земли</w:t>
            </w:r>
          </w:p>
        </w:tc>
        <w:tc>
          <w:tcPr>
            <w:tcW w:w="1868" w:type="dxa"/>
          </w:tcPr>
          <w:p w14:paraId="3F1A9B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1868" w:type="dxa"/>
          </w:tcPr>
          <w:p w14:paraId="7ABD50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575</w:t>
            </w:r>
          </w:p>
        </w:tc>
        <w:tc>
          <w:tcPr>
            <w:tcW w:w="1868" w:type="dxa"/>
          </w:tcPr>
          <w:p w14:paraId="4BC126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577</w:t>
            </w:r>
          </w:p>
        </w:tc>
        <w:tc>
          <w:tcPr>
            <w:tcW w:w="1868" w:type="dxa"/>
          </w:tcPr>
          <w:p w14:paraId="4BE07C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572</w:t>
            </w:r>
          </w:p>
        </w:tc>
        <w:tc>
          <w:tcPr>
            <w:tcW w:w="1868" w:type="dxa"/>
          </w:tcPr>
          <w:p w14:paraId="7E1EDD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w:t>
            </w:r>
          </w:p>
        </w:tc>
      </w:tr>
      <w:tr w:rsidR="00A907A5" w:rsidRPr="00271E51" w14:paraId="393D17A2" w14:textId="77777777" w:rsidTr="00ED5B0A">
        <w:tc>
          <w:tcPr>
            <w:tcW w:w="1868" w:type="dxa"/>
          </w:tcPr>
          <w:p w14:paraId="03D04E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1-й гр. высотности, м</w:t>
            </w:r>
          </w:p>
        </w:tc>
        <w:tc>
          <w:tcPr>
            <w:tcW w:w="1868" w:type="dxa"/>
          </w:tcPr>
          <w:p w14:paraId="6952A5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676/3000</w:t>
            </w:r>
          </w:p>
        </w:tc>
        <w:tc>
          <w:tcPr>
            <w:tcW w:w="1868" w:type="dxa"/>
          </w:tcPr>
          <w:p w14:paraId="22A31B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636/2500</w:t>
            </w:r>
          </w:p>
        </w:tc>
        <w:tc>
          <w:tcPr>
            <w:tcW w:w="1868" w:type="dxa"/>
          </w:tcPr>
          <w:p w14:paraId="667470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641/2950</w:t>
            </w:r>
          </w:p>
        </w:tc>
        <w:tc>
          <w:tcPr>
            <w:tcW w:w="1868" w:type="dxa"/>
          </w:tcPr>
          <w:p w14:paraId="1C08F6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648/3300</w:t>
            </w:r>
          </w:p>
        </w:tc>
        <w:tc>
          <w:tcPr>
            <w:tcW w:w="1868" w:type="dxa"/>
          </w:tcPr>
          <w:p w14:paraId="1EE7AF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632/2700</w:t>
            </w:r>
          </w:p>
        </w:tc>
      </w:tr>
      <w:tr w:rsidR="00A907A5" w:rsidRPr="00271E51" w14:paraId="0790301B" w14:textId="77777777" w:rsidTr="00ED5B0A">
        <w:tc>
          <w:tcPr>
            <w:tcW w:w="1868" w:type="dxa"/>
          </w:tcPr>
          <w:p w14:paraId="77C062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2-й гр. высотности, м</w:t>
            </w:r>
          </w:p>
        </w:tc>
        <w:tc>
          <w:tcPr>
            <w:tcW w:w="1868" w:type="dxa"/>
          </w:tcPr>
          <w:p w14:paraId="2A9312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700/5500</w:t>
            </w:r>
          </w:p>
        </w:tc>
        <w:tc>
          <w:tcPr>
            <w:tcW w:w="1868" w:type="dxa"/>
          </w:tcPr>
          <w:p w14:paraId="6731C6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672/5000</w:t>
            </w:r>
          </w:p>
        </w:tc>
        <w:tc>
          <w:tcPr>
            <w:tcW w:w="1868" w:type="dxa"/>
          </w:tcPr>
          <w:p w14:paraId="7B9AD9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676/5900</w:t>
            </w:r>
          </w:p>
        </w:tc>
        <w:tc>
          <w:tcPr>
            <w:tcW w:w="1868" w:type="dxa"/>
          </w:tcPr>
          <w:p w14:paraId="7EAA16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680/5850</w:t>
            </w:r>
          </w:p>
        </w:tc>
        <w:tc>
          <w:tcPr>
            <w:tcW w:w="1868" w:type="dxa"/>
          </w:tcPr>
          <w:p w14:paraId="5E2D36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668/5300</w:t>
            </w:r>
          </w:p>
        </w:tc>
      </w:tr>
      <w:tr w:rsidR="00A907A5" w:rsidRPr="00271E51" w14:paraId="0802C2F7" w14:textId="77777777" w:rsidTr="00ED5B0A">
        <w:tc>
          <w:tcPr>
            <w:tcW w:w="1868" w:type="dxa"/>
          </w:tcPr>
          <w:p w14:paraId="419235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w:t>
            </w:r>
          </w:p>
        </w:tc>
        <w:tc>
          <w:tcPr>
            <w:tcW w:w="1868" w:type="dxa"/>
          </w:tcPr>
          <w:p w14:paraId="2115AA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4313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34990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376D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6483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20CD28" w14:textId="77777777" w:rsidTr="00ED5B0A">
        <w:tc>
          <w:tcPr>
            <w:tcW w:w="1868" w:type="dxa"/>
          </w:tcPr>
          <w:p w14:paraId="6CFE2C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5000 м, мин</w:t>
            </w:r>
          </w:p>
        </w:tc>
        <w:tc>
          <w:tcPr>
            <w:tcW w:w="1868" w:type="dxa"/>
          </w:tcPr>
          <w:p w14:paraId="6DEC44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868" w:type="dxa"/>
          </w:tcPr>
          <w:p w14:paraId="1C0702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1868" w:type="dxa"/>
          </w:tcPr>
          <w:p w14:paraId="53EFC9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1868" w:type="dxa"/>
          </w:tcPr>
          <w:p w14:paraId="311B57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5,4/4,4</w:t>
            </w:r>
          </w:p>
        </w:tc>
        <w:tc>
          <w:tcPr>
            <w:tcW w:w="1868" w:type="dxa"/>
          </w:tcPr>
          <w:p w14:paraId="00F26B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r>
      <w:tr w:rsidR="00A907A5" w:rsidRPr="00271E51" w14:paraId="20CA5EC2" w14:textId="77777777" w:rsidTr="00ED5B0A">
        <w:tc>
          <w:tcPr>
            <w:tcW w:w="1868" w:type="dxa"/>
          </w:tcPr>
          <w:p w14:paraId="586B69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868" w:type="dxa"/>
          </w:tcPr>
          <w:p w14:paraId="2BBB1D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445A50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10650</w:t>
            </w:r>
          </w:p>
        </w:tc>
        <w:tc>
          <w:tcPr>
            <w:tcW w:w="1868" w:type="dxa"/>
          </w:tcPr>
          <w:p w14:paraId="57C408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10850</w:t>
            </w:r>
          </w:p>
        </w:tc>
        <w:tc>
          <w:tcPr>
            <w:tcW w:w="1868" w:type="dxa"/>
          </w:tcPr>
          <w:p w14:paraId="16926A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0A0C9C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ED655A1" w14:textId="77777777" w:rsidTr="00ED5B0A">
        <w:tc>
          <w:tcPr>
            <w:tcW w:w="1868" w:type="dxa"/>
          </w:tcPr>
          <w:p w14:paraId="0EA204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w:t>
            </w:r>
          </w:p>
        </w:tc>
        <w:tc>
          <w:tcPr>
            <w:tcW w:w="1868" w:type="dxa"/>
          </w:tcPr>
          <w:p w14:paraId="788ED7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AE0CB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F799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CA3F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E233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FCCB3CD" w14:textId="77777777" w:rsidTr="00ED5B0A">
        <w:tc>
          <w:tcPr>
            <w:tcW w:w="1868" w:type="dxa"/>
          </w:tcPr>
          <w:p w14:paraId="2F9FF7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высоте 1000 м,</w:t>
            </w:r>
          </w:p>
        </w:tc>
        <w:tc>
          <w:tcPr>
            <w:tcW w:w="1868" w:type="dxa"/>
          </w:tcPr>
          <w:p w14:paraId="26EF66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1868" w:type="dxa"/>
          </w:tcPr>
          <w:p w14:paraId="49354A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C69B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1E4CA3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Pr>
          <w:p w14:paraId="7D2A6E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0E001AC" w14:textId="77777777" w:rsidTr="00ED5B0A">
        <w:tc>
          <w:tcPr>
            <w:tcW w:w="1868" w:type="dxa"/>
            <w:tcBorders>
              <w:bottom w:val="single" w:sz="12" w:space="0" w:color="auto"/>
            </w:tcBorders>
          </w:tcPr>
          <w:p w14:paraId="4B1A99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5683E3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884</w:t>
            </w:r>
          </w:p>
        </w:tc>
        <w:tc>
          <w:tcPr>
            <w:tcW w:w="1868" w:type="dxa"/>
            <w:tcBorders>
              <w:bottom w:val="single" w:sz="12" w:space="0" w:color="auto"/>
            </w:tcBorders>
          </w:tcPr>
          <w:p w14:paraId="1CB0A4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675"</w:t>
            </w:r>
          </w:p>
        </w:tc>
        <w:tc>
          <w:tcPr>
            <w:tcW w:w="1868" w:type="dxa"/>
            <w:tcBorders>
              <w:bottom w:val="single" w:sz="12" w:space="0" w:color="auto"/>
            </w:tcBorders>
          </w:tcPr>
          <w:p w14:paraId="3F99FA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10603)</w:t>
            </w:r>
          </w:p>
        </w:tc>
        <w:tc>
          <w:tcPr>
            <w:tcW w:w="1868" w:type="dxa"/>
            <w:tcBorders>
              <w:bottom w:val="single" w:sz="12" w:space="0" w:color="auto"/>
            </w:tcBorders>
          </w:tcPr>
          <w:p w14:paraId="113E06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868" w:type="dxa"/>
            <w:tcBorders>
              <w:bottom w:val="single" w:sz="12" w:space="0" w:color="auto"/>
            </w:tcBorders>
          </w:tcPr>
          <w:p w14:paraId="138BAF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7855</w:t>
            </w:r>
          </w:p>
        </w:tc>
      </w:tr>
    </w:tbl>
    <w:p w14:paraId="5CAD24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По результатам испытаний</w:t>
      </w:r>
      <w:r w:rsidRPr="00271E51">
        <w:rPr>
          <w:rFonts w:ascii="Times New Roman" w:hAnsi="Times New Roman"/>
          <w:color w:val="000000" w:themeColor="text1"/>
          <w:sz w:val="16"/>
          <w:szCs w:val="16"/>
        </w:rPr>
        <w:tab/>
        <w:t>в январе 1941 г.</w:t>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r w:rsidRPr="00271E51">
        <w:rPr>
          <w:rFonts w:ascii="Times New Roman" w:hAnsi="Times New Roman"/>
          <w:color w:val="000000" w:themeColor="text1"/>
          <w:sz w:val="16"/>
          <w:szCs w:val="16"/>
        </w:rPr>
        <w:tab/>
      </w:r>
    </w:p>
    <w:p w14:paraId="796446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Эталон 1945 г.</w:t>
      </w:r>
    </w:p>
    <w:p w14:paraId="1701E2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3E6080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На скорости 508 км/ч и высоте 5070 м, продолжительность полета 1 час 21 минута.</w:t>
      </w:r>
    </w:p>
    <w:p w14:paraId="173AF0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4B3978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D0E6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заводом № 153 в Новосибирске выпустили Як-9Т № 09-89, который потом на опытном заводе № 115 в Москве модифицировали и в мае 1944 года на государственные испытания в НИИ ВВС передали опытный истребитель сопровождения Як-9ДД, созданный в соответствии с февральским 1944 года постановлением ГКО (12046).</w:t>
      </w:r>
    </w:p>
    <w:p w14:paraId="4734E1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A909F"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декабре 1943 г. Ла-5ФН «улучшенный», как называли машину, был построен опытным цехом завода № 21. Чтобы ускорить его сдачу, сроки остальных работ, кроме делавшейся с опережением машины № 39210206, цеха были «сдвинуты вправо», но успеть к заданной дате выкатки 15 декабря не удалось. А когда самолет был готов, надолго испортилась погода, и только 30 января 1944 г. Н. В. Адамович поднял его в первый полет. Летная жизнь этой машины вскоре оборвалась из-за отказа мотора, и Адамовичу пришлось прыгать с парашютом, авария из-за производственного брака задержала испытания, которые продолжили на второй машине — ее облетал Г. М. Шиянов 1 февраля. Испытания прошли в ударном темпе: летчики ЛИИ НКАП достигли скорости у земли 630 км/ч, а на высоте 6 000 м — 685 км/ч. Проводившие Государственные испытания самолета пилоты НИИ ВВС выполняли полеты на режимах, рекомендованных в строевой эксплуатации и учитывавших особенности боевого применения истребителей по опыту войны. Поэтому полученные ими данные были несколько ниже. У земли при ограниченном наддуве они намерили только 597 км/ч — это было лучше, чем у опытного Ла5ФН лишь на 4 км/ч. Но на I границе высотности 3 250 м прирост достиг 44 км/ч (получено 670 км/ч), на промежуточной высоте 5 000 м достигли скорости 661 и на II границе 6 000 м — 680 км/ч (прибавка 32 км/ч). С весом 3 250 кг на 5 000 м самолет выходил за 4,45 мин, обгоняя опытный Ла-5ФН на четверть минуты. Госиспытания завершились быстро, и 15 марта 1944 г. Постановлением Государственного комитета обороны № 5404 самолет был принят на вооружение. Хотя сам Лавочкин обозначил машину как «Ла-5 эталон 1944 г.», в серию она запускалась под новым обозначением Ла-7 (22669).</w:t>
      </w:r>
    </w:p>
    <w:p w14:paraId="013AFE6E" w14:textId="77777777" w:rsidR="00451C95" w:rsidRPr="00271E51" w:rsidRDefault="00451C95" w:rsidP="00271E51">
      <w:pPr>
        <w:spacing w:after="0" w:line="240" w:lineRule="auto"/>
        <w:jc w:val="both"/>
        <w:rPr>
          <w:rFonts w:ascii="Times New Roman" w:hAnsi="Times New Roman"/>
          <w:color w:val="0070C0"/>
          <w:sz w:val="16"/>
          <w:szCs w:val="16"/>
        </w:rPr>
      </w:pPr>
    </w:p>
    <w:p w14:paraId="52BEE7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был выпущен прототип Ла-7 (4,235).</w:t>
      </w:r>
    </w:p>
    <w:p w14:paraId="00BF03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846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серийный М-82ФН был предъяв</w:t>
      </w:r>
      <w:r w:rsidRPr="00271E51">
        <w:rPr>
          <w:rFonts w:ascii="Times New Roman" w:hAnsi="Times New Roman"/>
          <w:color w:val="000000" w:themeColor="text1"/>
          <w:sz w:val="16"/>
          <w:szCs w:val="16"/>
        </w:rPr>
        <w:softHyphen/>
        <w:t>лен заводом №19 на 150-часовые испытания:</w:t>
      </w:r>
    </w:p>
    <w:p w14:paraId="479288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проведения опытных работ по улучшению конструкции и увеличению механической прочнос</w:t>
      </w:r>
      <w:r w:rsidRPr="00271E51">
        <w:rPr>
          <w:rFonts w:ascii="Times New Roman" w:hAnsi="Times New Roman"/>
          <w:color w:val="000000" w:themeColor="text1"/>
          <w:sz w:val="16"/>
          <w:szCs w:val="16"/>
        </w:rPr>
        <w:softHyphen/>
        <w:t>ти отдельных узлов и деталей мотора М-82ФН, нами подготовлен и предъяв</w:t>
      </w:r>
      <w:r w:rsidRPr="00271E51">
        <w:rPr>
          <w:rFonts w:ascii="Times New Roman" w:hAnsi="Times New Roman"/>
          <w:color w:val="000000" w:themeColor="text1"/>
          <w:sz w:val="16"/>
          <w:szCs w:val="16"/>
        </w:rPr>
        <w:softHyphen/>
        <w:t>ляется на совместное испытание мо</w:t>
      </w:r>
      <w:r w:rsidRPr="00271E51">
        <w:rPr>
          <w:rFonts w:ascii="Times New Roman" w:hAnsi="Times New Roman"/>
          <w:color w:val="000000" w:themeColor="text1"/>
          <w:sz w:val="16"/>
          <w:szCs w:val="16"/>
        </w:rPr>
        <w:softHyphen/>
        <w:t>тор М-82ФН № 8211970 со 150 ча</w:t>
      </w:r>
      <w:r w:rsidRPr="00271E51">
        <w:rPr>
          <w:rFonts w:ascii="Times New Roman" w:hAnsi="Times New Roman"/>
          <w:color w:val="000000" w:themeColor="text1"/>
          <w:sz w:val="16"/>
          <w:szCs w:val="16"/>
        </w:rPr>
        <w:softHyphen/>
        <w:t>совым ресурсом.</w:t>
      </w:r>
    </w:p>
    <w:p w14:paraId="5B9394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Конструктивные отличия этого мо</w:t>
      </w:r>
      <w:r w:rsidRPr="00271E51">
        <w:rPr>
          <w:rFonts w:ascii="Times New Roman" w:hAnsi="Times New Roman"/>
          <w:color w:val="000000" w:themeColor="text1"/>
          <w:sz w:val="16"/>
          <w:szCs w:val="16"/>
        </w:rPr>
        <w:softHyphen/>
        <w:t>тора следующие:</w:t>
      </w:r>
    </w:p>
    <w:p w14:paraId="47C4DD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Усилены гильзы цилиндров.</w:t>
      </w:r>
    </w:p>
    <w:p w14:paraId="666ABC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улучшения в клапа</w:t>
      </w:r>
      <w:r w:rsidRPr="00271E51">
        <w:rPr>
          <w:rFonts w:ascii="Times New Roman" w:hAnsi="Times New Roman"/>
          <w:color w:val="000000" w:themeColor="text1"/>
          <w:sz w:val="16"/>
          <w:szCs w:val="16"/>
        </w:rPr>
        <w:softHyphen/>
        <w:t>на впуска и выпуска.</w:t>
      </w:r>
    </w:p>
    <w:p w14:paraId="27C77E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Изменена конструкция крепле</w:t>
      </w:r>
      <w:r w:rsidRPr="00271E51">
        <w:rPr>
          <w:rFonts w:ascii="Times New Roman" w:hAnsi="Times New Roman"/>
          <w:color w:val="000000" w:themeColor="text1"/>
          <w:sz w:val="16"/>
          <w:szCs w:val="16"/>
        </w:rPr>
        <w:softHyphen/>
        <w:t>ния кожухов тяг на жесткую для луч</w:t>
      </w:r>
      <w:r w:rsidRPr="00271E51">
        <w:rPr>
          <w:rFonts w:ascii="Times New Roman" w:hAnsi="Times New Roman"/>
          <w:color w:val="000000" w:themeColor="text1"/>
          <w:sz w:val="16"/>
          <w:szCs w:val="16"/>
        </w:rPr>
        <w:softHyphen/>
        <w:t>шего уплотнения.</w:t>
      </w:r>
    </w:p>
    <w:p w14:paraId="2B4B6B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Коленчатый вал имеет плаваю</w:t>
      </w:r>
      <w:r w:rsidRPr="00271E51">
        <w:rPr>
          <w:rFonts w:ascii="Times New Roman" w:hAnsi="Times New Roman"/>
          <w:color w:val="000000" w:themeColor="text1"/>
          <w:sz w:val="16"/>
          <w:szCs w:val="16"/>
        </w:rPr>
        <w:softHyphen/>
        <w:t>щие втулки заднего противовеса.</w:t>
      </w:r>
    </w:p>
    <w:p w14:paraId="0769F5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Изменена передача к регулято</w:t>
      </w:r>
      <w:r w:rsidRPr="00271E51">
        <w:rPr>
          <w:rFonts w:ascii="Times New Roman" w:hAnsi="Times New Roman"/>
          <w:color w:val="000000" w:themeColor="text1"/>
          <w:sz w:val="16"/>
          <w:szCs w:val="16"/>
        </w:rPr>
        <w:softHyphen/>
        <w:t>ру Р-7 (с 0,88 на 1,023).</w:t>
      </w:r>
    </w:p>
    <w:p w14:paraId="070139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Увеличены откачивающие кана</w:t>
      </w:r>
      <w:r w:rsidRPr="00271E51">
        <w:rPr>
          <w:rFonts w:ascii="Times New Roman" w:hAnsi="Times New Roman"/>
          <w:color w:val="000000" w:themeColor="text1"/>
          <w:sz w:val="16"/>
          <w:szCs w:val="16"/>
        </w:rPr>
        <w:softHyphen/>
        <w:t>лы в задней крышке и заднем корпу</w:t>
      </w:r>
      <w:r w:rsidRPr="00271E51">
        <w:rPr>
          <w:rFonts w:ascii="Times New Roman" w:hAnsi="Times New Roman"/>
          <w:color w:val="000000" w:themeColor="text1"/>
          <w:sz w:val="16"/>
          <w:szCs w:val="16"/>
        </w:rPr>
        <w:softHyphen/>
        <w:t>се нагнетателя» (10714).</w:t>
      </w:r>
    </w:p>
    <w:p w14:paraId="5516CB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E4887"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завод № 19 и предъявил АШ-82ФН на 150-часовые испытания: «В результате проведения опытных работ по улучше</w:t>
      </w:r>
      <w:r w:rsidRPr="00271E51">
        <w:rPr>
          <w:rFonts w:ascii="Times New Roman" w:hAnsi="Times New Roman"/>
          <w:color w:val="000000" w:themeColor="text1"/>
          <w:sz w:val="16"/>
          <w:szCs w:val="16"/>
        </w:rPr>
        <w:softHyphen/>
        <w:t>нию конструкции и увеличению механической прочности отдельных узлов и деталей мо</w:t>
      </w:r>
      <w:r w:rsidRPr="00271E51">
        <w:rPr>
          <w:rFonts w:ascii="Times New Roman" w:hAnsi="Times New Roman"/>
          <w:color w:val="000000" w:themeColor="text1"/>
          <w:sz w:val="16"/>
          <w:szCs w:val="16"/>
        </w:rPr>
        <w:softHyphen/>
        <w:t>тора М-82ФН, нами подготовлен и предъявляется на совместное испытание мотор М-82ФН № 8211970 со 150 часовым ресурсом.</w:t>
      </w:r>
    </w:p>
    <w:p w14:paraId="15B15D8E"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Конструктивные отличия этого мотора следующие:</w:t>
      </w:r>
    </w:p>
    <w:p w14:paraId="505EC363" w14:textId="77777777" w:rsidR="002F0BE8" w:rsidRPr="00271E51" w:rsidRDefault="002F0BE8" w:rsidP="00271E51">
      <w:pPr>
        <w:tabs>
          <w:tab w:val="left" w:pos="41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Усилены гильзы цилиндров.</w:t>
      </w:r>
    </w:p>
    <w:p w14:paraId="5E7A8CA6" w14:textId="77777777" w:rsidR="002F0BE8" w:rsidRPr="00271E51" w:rsidRDefault="002F0BE8" w:rsidP="00271E51">
      <w:pPr>
        <w:tabs>
          <w:tab w:val="left" w:pos="44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улучшения в клапана впуска и выпуска.</w:t>
      </w:r>
    </w:p>
    <w:p w14:paraId="1E72946C" w14:textId="77777777" w:rsidR="002F0BE8" w:rsidRPr="00271E51" w:rsidRDefault="002F0BE8" w:rsidP="00271E51">
      <w:pPr>
        <w:tabs>
          <w:tab w:val="left" w:pos="43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Изменена конструкция крепления кожухов тяг на жесткую для лучшего уплотнения.</w:t>
      </w:r>
    </w:p>
    <w:p w14:paraId="2CB4BE17" w14:textId="77777777" w:rsidR="002F0BE8" w:rsidRPr="00271E51" w:rsidRDefault="002F0BE8" w:rsidP="00271E51">
      <w:pPr>
        <w:tabs>
          <w:tab w:val="left" w:pos="45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Коленчатый вал имеет плавающие втулки заднего противовеса.</w:t>
      </w:r>
    </w:p>
    <w:p w14:paraId="2CED3D71" w14:textId="77777777" w:rsidR="002F0BE8" w:rsidRPr="00271E51" w:rsidRDefault="002F0BE8" w:rsidP="00271E51">
      <w:pPr>
        <w:tabs>
          <w:tab w:val="left" w:pos="44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Изменена передача к регулятору Р-7 (с 0,88 на 1,023).</w:t>
      </w:r>
    </w:p>
    <w:p w14:paraId="245ADDA9" w14:textId="77777777" w:rsidR="002F0BE8" w:rsidRPr="00271E51" w:rsidRDefault="002F0BE8" w:rsidP="00271E51">
      <w:pPr>
        <w:tabs>
          <w:tab w:val="left" w:pos="42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Увеличены откачивающие каналы в задней крышке и заднем корпусе нагнетателя».</w:t>
      </w:r>
    </w:p>
    <w:p w14:paraId="4CF66C6B"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увеличение ресурса М-82ФН отложили «в долгий ящик». Почему, станет яс</w:t>
      </w:r>
      <w:r w:rsidRPr="00271E51">
        <w:rPr>
          <w:rFonts w:ascii="Times New Roman" w:hAnsi="Times New Roman"/>
          <w:color w:val="000000" w:themeColor="text1"/>
          <w:sz w:val="16"/>
          <w:szCs w:val="16"/>
        </w:rPr>
        <w:softHyphen/>
        <w:t>но из дальнейшего повествования (15829).</w:t>
      </w:r>
    </w:p>
    <w:p w14:paraId="24AA1E6A"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2D5D7E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завершилась подготовка проекта плана строительства опытных и мо</w:t>
      </w:r>
      <w:r w:rsidRPr="00271E51">
        <w:rPr>
          <w:rFonts w:ascii="Times New Roman" w:hAnsi="Times New Roman"/>
          <w:color w:val="000000" w:themeColor="text1"/>
          <w:sz w:val="16"/>
          <w:szCs w:val="16"/>
        </w:rPr>
        <w:softHyphen/>
        <w:t>дифицированных самолётов в 1944 г., одним из пунктов которого значился артиллерий</w:t>
      </w:r>
      <w:r w:rsidRPr="00271E51">
        <w:rPr>
          <w:rFonts w:ascii="Times New Roman" w:hAnsi="Times New Roman"/>
          <w:color w:val="000000" w:themeColor="text1"/>
          <w:sz w:val="16"/>
          <w:szCs w:val="16"/>
        </w:rPr>
        <w:softHyphen/>
        <w:t>ский корректировщик. Но план не утверждался и работы по проектированию самолета разведчика-корректировщика не проводились.</w:t>
      </w:r>
    </w:p>
    <w:p w14:paraId="76C360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всей видимости, после окончания Великой Отечественной войны вопрос о созда</w:t>
      </w:r>
      <w:r w:rsidRPr="00271E51">
        <w:rPr>
          <w:rFonts w:ascii="Times New Roman" w:hAnsi="Times New Roman"/>
          <w:color w:val="000000" w:themeColor="text1"/>
          <w:sz w:val="16"/>
          <w:szCs w:val="16"/>
        </w:rPr>
        <w:softHyphen/>
        <w:t>нии специализированного разведчика-корректировщика с повестки дня временно сняли (11696).</w:t>
      </w:r>
    </w:p>
    <w:p w14:paraId="404EC4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F3D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судя по фото в ОКБ П.О.С. бригадой 7 был разработан проект 3-х местного разведчика-корректировщика с 2хМ-62 - своего рода прообраза Су-12.</w:t>
      </w:r>
    </w:p>
    <w:p w14:paraId="3182FF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EE7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 НИИ ВВС прошли контрольные гос. испытания У-2ВС с М-11Д з-да № 387 (№4504), эталона 1 полугодия 1944 и испытания не выдержал. Был доставлен на завод № 51 для доработки и поставили новую стрелковую установку под ДТ с расширенными углами обстрела, новый генератор, шумоплямягаситель ШПГ-2, новый прицел НКБП-8 и т.п. (4542, 15).</w:t>
      </w:r>
    </w:p>
    <w:p w14:paraId="30202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40D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в КБ Н. Н. Поликарпова на заводе № 51 разработали специальный 6-местный У-2ШС (штабной, санитарный), называемый также «штабной лимузин». Эскизный проект У-2ШС подготовили и представили для рассмотрения в январе 1944 г. Указывалось, что данный многоме</w:t>
      </w:r>
      <w:r w:rsidRPr="00271E51">
        <w:rPr>
          <w:rFonts w:ascii="Times New Roman" w:hAnsi="Times New Roman"/>
          <w:color w:val="000000" w:themeColor="text1"/>
          <w:sz w:val="16"/>
          <w:szCs w:val="16"/>
        </w:rPr>
        <w:softHyphen/>
        <w:t>стный штабной самолет имеет расширен</w:t>
      </w:r>
      <w:r w:rsidRPr="00271E51">
        <w:rPr>
          <w:rFonts w:ascii="Times New Roman" w:hAnsi="Times New Roman"/>
          <w:color w:val="000000" w:themeColor="text1"/>
          <w:sz w:val="16"/>
          <w:szCs w:val="16"/>
        </w:rPr>
        <w:softHyphen/>
        <w:t>ный на 400 мм фюзеляж с закрытой каби</w:t>
      </w:r>
      <w:r w:rsidRPr="00271E51">
        <w:rPr>
          <w:rFonts w:ascii="Times New Roman" w:hAnsi="Times New Roman"/>
          <w:color w:val="000000" w:themeColor="text1"/>
          <w:sz w:val="16"/>
          <w:szCs w:val="16"/>
        </w:rPr>
        <w:softHyphen/>
        <w:t>ной, позволяющий перевозить с комфортом четырех пассажиров, или трех раненых (два в лежачем положении), или груз большого объема весом до 350 кг (например, двига</w:t>
      </w:r>
      <w:r w:rsidRPr="00271E51">
        <w:rPr>
          <w:rFonts w:ascii="Times New Roman" w:hAnsi="Times New Roman"/>
          <w:color w:val="000000" w:themeColor="text1"/>
          <w:sz w:val="16"/>
          <w:szCs w:val="16"/>
        </w:rPr>
        <w:softHyphen/>
        <w:t>тель). Верхнее крыло для сохранения нор</w:t>
      </w:r>
      <w:r w:rsidRPr="00271E51">
        <w:rPr>
          <w:rFonts w:ascii="Times New Roman" w:hAnsi="Times New Roman"/>
          <w:color w:val="000000" w:themeColor="text1"/>
          <w:sz w:val="16"/>
          <w:szCs w:val="16"/>
        </w:rPr>
        <w:softHyphen/>
        <w:t>мальной полетной центровки сдвигалось назад на 200 мм. Двигатель М-11Ф имел хо</w:t>
      </w:r>
      <w:r w:rsidRPr="00271E51">
        <w:rPr>
          <w:rFonts w:ascii="Times New Roman" w:hAnsi="Times New Roman"/>
          <w:color w:val="000000" w:themeColor="text1"/>
          <w:sz w:val="16"/>
          <w:szCs w:val="16"/>
        </w:rPr>
        <w:softHyphen/>
        <w:t>рошее капотирование, на рулях высоты и элеронах устанавливалась аэродинамиче</w:t>
      </w:r>
      <w:r w:rsidRPr="00271E51">
        <w:rPr>
          <w:rFonts w:ascii="Times New Roman" w:hAnsi="Times New Roman"/>
          <w:color w:val="000000" w:themeColor="text1"/>
          <w:sz w:val="16"/>
          <w:szCs w:val="16"/>
        </w:rPr>
        <w:softHyphen/>
        <w:t>ская компенсация. Строить самолет пред</w:t>
      </w:r>
      <w:r w:rsidRPr="00271E51">
        <w:rPr>
          <w:rFonts w:ascii="Times New Roman" w:hAnsi="Times New Roman"/>
          <w:color w:val="000000" w:themeColor="text1"/>
          <w:sz w:val="16"/>
          <w:szCs w:val="16"/>
        </w:rPr>
        <w:softHyphen/>
        <w:t>полагалось при полном сохранении серий</w:t>
      </w:r>
      <w:r w:rsidRPr="00271E51">
        <w:rPr>
          <w:rFonts w:ascii="Times New Roman" w:hAnsi="Times New Roman"/>
          <w:color w:val="000000" w:themeColor="text1"/>
          <w:sz w:val="16"/>
          <w:szCs w:val="16"/>
        </w:rPr>
        <w:softHyphen/>
        <w:t>ной технологической оснастки. По сравне</w:t>
      </w:r>
      <w:r w:rsidRPr="00271E51">
        <w:rPr>
          <w:rFonts w:ascii="Times New Roman" w:hAnsi="Times New Roman"/>
          <w:color w:val="000000" w:themeColor="text1"/>
          <w:sz w:val="16"/>
          <w:szCs w:val="16"/>
        </w:rPr>
        <w:softHyphen/>
        <w:t>нию с базовым экземпляром трудоемкость изготовления «штабного лимузина» увели</w:t>
      </w:r>
      <w:r w:rsidRPr="00271E51">
        <w:rPr>
          <w:rFonts w:ascii="Times New Roman" w:hAnsi="Times New Roman"/>
          <w:color w:val="000000" w:themeColor="text1"/>
          <w:sz w:val="16"/>
          <w:szCs w:val="16"/>
        </w:rPr>
        <w:softHyphen/>
        <w:t>чивалась всего на 138 часов или на 4,6% (11085).</w:t>
      </w:r>
    </w:p>
    <w:p w14:paraId="684E31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D341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завершилась работа макетной комиссии по ЛЛ-143 2АШ-72 2250 нр Г.М.Б. и началось строительство опытной машины (3827,18).</w:t>
      </w:r>
    </w:p>
    <w:p w14:paraId="358320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E4B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вышел приказ о возобновлении производства планеров Г-11 на 168 заводе в Рязани, куда был возвращен один из заводов из Тюмени, строивший К-7 (94,69).</w:t>
      </w:r>
    </w:p>
    <w:p w14:paraId="42276A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721B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был подписан приказ о производстве Г-11 в Рязани, куда перебазировали один из заводов из Тюмени. Главным конст</w:t>
      </w:r>
      <w:r w:rsidRPr="00271E51">
        <w:rPr>
          <w:rFonts w:ascii="Times New Roman" w:hAnsi="Times New Roman"/>
          <w:color w:val="000000" w:themeColor="text1"/>
          <w:sz w:val="16"/>
          <w:szCs w:val="16"/>
        </w:rPr>
        <w:softHyphen/>
        <w:t>руктором туда назначили В.К. Грибовс- кого. Первый планёр в Рязани собрали в марте 1944 г., а к маю их изготовили более десятка. За образец взяли аппа</w:t>
      </w:r>
      <w:r w:rsidRPr="00271E51">
        <w:rPr>
          <w:rFonts w:ascii="Times New Roman" w:hAnsi="Times New Roman"/>
          <w:color w:val="000000" w:themeColor="text1"/>
          <w:sz w:val="16"/>
          <w:szCs w:val="16"/>
        </w:rPr>
        <w:softHyphen/>
        <w:t>раты последних серий завода № 471. В мае головной образец облетал стар</w:t>
      </w:r>
      <w:r w:rsidRPr="00271E51">
        <w:rPr>
          <w:rFonts w:ascii="Times New Roman" w:hAnsi="Times New Roman"/>
          <w:color w:val="000000" w:themeColor="text1"/>
          <w:sz w:val="16"/>
          <w:szCs w:val="16"/>
        </w:rPr>
        <w:softHyphen/>
        <w:t>ший лейтенант В. Чубуков с Опытно-испытательного полигона Воздушно-де- сантных войск. Взвешивание показало, что Г-11 № 63001 рязанского изготов</w:t>
      </w:r>
      <w:r w:rsidRPr="00271E51">
        <w:rPr>
          <w:rFonts w:ascii="Times New Roman" w:hAnsi="Times New Roman"/>
          <w:color w:val="000000" w:themeColor="text1"/>
          <w:sz w:val="16"/>
          <w:szCs w:val="16"/>
        </w:rPr>
        <w:softHyphen/>
        <w:t>ления на 64 кг тяжелее сделанного в Шумерли. По своей центровке, лётным данным и характеристикам пилотиро</w:t>
      </w:r>
      <w:r w:rsidRPr="00271E51">
        <w:rPr>
          <w:rFonts w:ascii="Times New Roman" w:hAnsi="Times New Roman"/>
          <w:color w:val="000000" w:themeColor="text1"/>
          <w:sz w:val="16"/>
          <w:szCs w:val="16"/>
        </w:rPr>
        <w:softHyphen/>
        <w:t>вания они не различались. Планёр показал себя устойчивым в полёте, отличался хорошей управляемостью. На нём даже выполняли штопор, пере</w:t>
      </w:r>
      <w:r w:rsidRPr="00271E51">
        <w:rPr>
          <w:rFonts w:ascii="Times New Roman" w:hAnsi="Times New Roman"/>
          <w:color w:val="000000" w:themeColor="text1"/>
          <w:sz w:val="16"/>
          <w:szCs w:val="16"/>
        </w:rPr>
        <w:softHyphen/>
        <w:t>ворот и бочку. При этом пилотирование Г-11 было проще, чем А-7.</w:t>
      </w:r>
    </w:p>
    <w:p w14:paraId="4716464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21-го экземпляра рязанс</w:t>
      </w:r>
      <w:r w:rsidRPr="00271E51">
        <w:rPr>
          <w:rFonts w:ascii="Times New Roman" w:hAnsi="Times New Roman"/>
          <w:color w:val="000000" w:themeColor="text1"/>
          <w:sz w:val="16"/>
          <w:szCs w:val="16"/>
        </w:rPr>
        <w:softHyphen/>
        <w:t>кой сборки ввели грузовой люк вместо двери на правом борту. Он закрывался двумя створками. На крыле появились интерцепторы. Позже предусмотрели резиновые пластинчатые амортизато</w:t>
      </w:r>
      <w:r w:rsidRPr="00271E51">
        <w:rPr>
          <w:rFonts w:ascii="Times New Roman" w:hAnsi="Times New Roman"/>
          <w:color w:val="000000" w:themeColor="text1"/>
          <w:sz w:val="16"/>
          <w:szCs w:val="16"/>
        </w:rPr>
        <w:softHyphen/>
        <w:t>ры для посадочной лыжи и установили небольшой форкиль (12266).</w:t>
      </w:r>
    </w:p>
    <w:p w14:paraId="3C92B396"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630058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"Белл" направила в Москву подробную информацию о Р-63 (3457,78).</w:t>
      </w:r>
    </w:p>
    <w:p w14:paraId="1F46C2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E0E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М-90 удалось выставить на государственные испытания, но заявленные характеристики подтвердить не удалось. Надежность М-90 также оставляла желать много лучшего. Работы по нему прекратили. Дальнейшим развитием М-90 должен был стать М-92, включенный в план опытных работ на 1943 г. Информации о работе над этим двигате</w:t>
      </w:r>
      <w:r w:rsidRPr="00271E51">
        <w:rPr>
          <w:rFonts w:ascii="Times New Roman" w:hAnsi="Times New Roman"/>
          <w:color w:val="000000" w:themeColor="text1"/>
          <w:sz w:val="16"/>
          <w:szCs w:val="16"/>
        </w:rPr>
        <w:softHyphen/>
        <w:t>лем практически нет. Возможно, еще одним членом этого семейства должен был стать 18-цилиндровый мотор БКМ («бесклапанный мотор»). Предпола</w:t>
      </w:r>
      <w:r w:rsidRPr="00271E51">
        <w:rPr>
          <w:rFonts w:ascii="Times New Roman" w:hAnsi="Times New Roman"/>
          <w:color w:val="000000" w:themeColor="text1"/>
          <w:sz w:val="16"/>
          <w:szCs w:val="16"/>
        </w:rPr>
        <w:softHyphen/>
        <w:t>галось, что он будет иметь гильзовое газораспределение по образцу двига</w:t>
      </w:r>
      <w:r w:rsidRPr="00271E51">
        <w:rPr>
          <w:rFonts w:ascii="Times New Roman" w:hAnsi="Times New Roman"/>
          <w:color w:val="000000" w:themeColor="text1"/>
          <w:sz w:val="16"/>
          <w:szCs w:val="16"/>
        </w:rPr>
        <w:softHyphen/>
        <w:t>телей фирмы «Бристоль». Впервые задание на мотор под таким названием подготовили еще в мае 1935 г. Но тот БКМ при рабочем объеме 10 л дол</w:t>
      </w:r>
      <w:r w:rsidRPr="00271E51">
        <w:rPr>
          <w:rFonts w:ascii="Times New Roman" w:hAnsi="Times New Roman"/>
          <w:color w:val="000000" w:themeColor="text1"/>
          <w:sz w:val="16"/>
          <w:szCs w:val="16"/>
        </w:rPr>
        <w:softHyphen/>
        <w:t>жен был иметь мощность 650/700 л.с. и односкоростной ПЦН. Возможно, он должен был являться продуктом переделки М-22. Новый же БКМ соглас</w:t>
      </w:r>
      <w:r w:rsidRPr="00271E51">
        <w:rPr>
          <w:rFonts w:ascii="Times New Roman" w:hAnsi="Times New Roman"/>
          <w:color w:val="000000" w:themeColor="text1"/>
          <w:sz w:val="16"/>
          <w:szCs w:val="16"/>
        </w:rPr>
        <w:softHyphen/>
        <w:t>но заданию от 8 марта 1940 г. должен был иметь мощность 1700/2000 л.с. и отличаться двухскоростным ПЦН и непосредственным впрыском топлива. Полагаю, что эта работа велась совместно с ЦИАМ, где проектировали цилиндр подходящего размера с золотниковым газораспределением. В январе 1939 г. подготовили техническое задание на мотор М-95 — 27-цилиндровую трехрядную «звезду». Ее проектирование сильно за</w:t>
      </w:r>
      <w:r w:rsidRPr="00271E51">
        <w:rPr>
          <w:rFonts w:ascii="Times New Roman" w:hAnsi="Times New Roman"/>
          <w:color w:val="000000" w:themeColor="text1"/>
          <w:sz w:val="16"/>
          <w:szCs w:val="16"/>
        </w:rPr>
        <w:softHyphen/>
        <w:t>тянулось, и лишь в 1942 г. подготовили общую компоновку двигателя. В документах упоминается еще двигатель 4М, но никаких подробностей о нем не известно (11852).</w:t>
      </w:r>
    </w:p>
    <w:p w14:paraId="485F93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двигателя с гильзовым газораспределением «для сухопутных и морских бомбардировщиков». Предполагался выход на госиспытания в 1942 г.</w:t>
      </w:r>
    </w:p>
    <w:p w14:paraId="15BB94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582B17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18-цилиндровый, двухрядный звездообразный, четырехтактный, воз</w:t>
      </w:r>
      <w:r w:rsidRPr="00271E51">
        <w:rPr>
          <w:rFonts w:ascii="Times New Roman" w:hAnsi="Times New Roman"/>
          <w:color w:val="000000" w:themeColor="text1"/>
          <w:sz w:val="16"/>
          <w:szCs w:val="16"/>
        </w:rPr>
        <w:softHyphen/>
        <w:t>душного охлаждения, редукторный, с двухскоростным ПЦН;</w:t>
      </w:r>
    </w:p>
    <w:p w14:paraId="082DA7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1700/2000 л.с. (по более раннему заданию, от июля 1940 г. — 1500/1650 л.с.);</w:t>
      </w:r>
    </w:p>
    <w:p w14:paraId="5A7084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900 кг;</w:t>
      </w:r>
    </w:p>
    <w:p w14:paraId="29A0F6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146/165 мм (11852).</w:t>
      </w:r>
    </w:p>
    <w:p w14:paraId="1F1EE8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CDEE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М-90 проходил госиспытания, но не подтвер</w:t>
      </w:r>
      <w:r w:rsidRPr="00271E51">
        <w:rPr>
          <w:rFonts w:ascii="Times New Roman" w:hAnsi="Times New Roman"/>
          <w:color w:val="000000" w:themeColor="text1"/>
          <w:sz w:val="16"/>
          <w:szCs w:val="16"/>
        </w:rPr>
        <w:softHyphen/>
        <w:t>дил заявленных характеристик. Работы были прекращены в начале 1944 г. В общей сложности изготовлено более 20 экземпляров. В документах упо</w:t>
      </w:r>
      <w:r w:rsidRPr="00271E51">
        <w:rPr>
          <w:rFonts w:ascii="Times New Roman" w:hAnsi="Times New Roman"/>
          <w:color w:val="000000" w:themeColor="text1"/>
          <w:sz w:val="16"/>
          <w:szCs w:val="16"/>
        </w:rPr>
        <w:softHyphen/>
        <w:t>минаются модификации М-90Б и М-90Ж, но отличия их неизвестны.</w:t>
      </w:r>
    </w:p>
    <w:p w14:paraId="1A476C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411C38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18-цилиндровый, двухрядный звездообразный, четырехтактный, воз</w:t>
      </w:r>
      <w:r w:rsidRPr="00271E51">
        <w:rPr>
          <w:rFonts w:ascii="Times New Roman" w:hAnsi="Times New Roman"/>
          <w:color w:val="000000" w:themeColor="text1"/>
          <w:sz w:val="16"/>
          <w:szCs w:val="16"/>
        </w:rPr>
        <w:softHyphen/>
        <w:t>душного охлаждения, редукторный, с двухскоростнъш ПЦН;</w:t>
      </w:r>
    </w:p>
    <w:p w14:paraId="72B2AF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по заданию 1500/1950 л.с., проектная 2000 л.с., фактиче</w:t>
      </w:r>
      <w:r w:rsidRPr="00271E51">
        <w:rPr>
          <w:rFonts w:ascii="Times New Roman" w:hAnsi="Times New Roman"/>
          <w:color w:val="000000" w:themeColor="text1"/>
          <w:sz w:val="16"/>
          <w:szCs w:val="16"/>
        </w:rPr>
        <w:softHyphen/>
        <w:t>ски 1550/1750 л.с.;</w:t>
      </w:r>
    </w:p>
    <w:p w14:paraId="4C12DE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первых экземпляров 950 кг, поздних — 1070 кг (при 850 кг по заданию);</w:t>
      </w:r>
    </w:p>
    <w:p w14:paraId="0AE513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диаметр цилиндра/ход поршня 146/165 мм. (11852).</w:t>
      </w:r>
    </w:p>
    <w:p w14:paraId="111866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0E52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состоялись конференции ГК авиамоторных, агрегатных и винтовых заводов (173,228).</w:t>
      </w:r>
    </w:p>
    <w:p w14:paraId="708CBC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8FBB3"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фронте, западнее Смоленска прошли войсковые испытания ИК приборы для ночного наведения самолетов "Гамма - ВЭИ", при этом ИК маяк с самолета был виден на расстоянии до 40 км, знаки сигнального полотнища - до 3...4 км, кодовые мигающие огни - до 8 км (18157).</w:t>
      </w:r>
    </w:p>
    <w:p w14:paraId="737CDC2A" w14:textId="77777777" w:rsidR="006C0ACA" w:rsidRPr="00271E51" w:rsidRDefault="006C0ACA" w:rsidP="00271E51">
      <w:pPr>
        <w:spacing w:after="0" w:line="240" w:lineRule="auto"/>
        <w:jc w:val="both"/>
        <w:rPr>
          <w:rFonts w:ascii="Times New Roman" w:hAnsi="Times New Roman"/>
          <w:color w:val="000000" w:themeColor="text1"/>
          <w:sz w:val="16"/>
          <w:szCs w:val="16"/>
        </w:rPr>
      </w:pPr>
    </w:p>
    <w:p w14:paraId="181724C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фирма «Белл» направила в Москву подробную информацию о Р-63. В феврале 1944 г. в США командировали представителей НИИ ВВС инженеров А.Г. Кочеткова и Ф.П. Супруна. Перед ними поставили задачу испытать Р-63А раньше, чем массовый поток этих самолётов хлынет в СССР.</w:t>
      </w:r>
    </w:p>
    <w:p w14:paraId="4AEBBBE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говорилось, одним из основных недостатков «Аэрокобры» являлась задняя центровка, возникавшая при некоторых вариантах загрузки. Она провоцировала срыв в штопор, который мог переходить в ещё более опасный плоский. Вторым существенным дефектом была недостаточная жёсткость хвостовой части фюзеляжа и оперения, деформировавшихся при резком маневрирований. Американские конструкторы доказывали, что внесённые ими в Р-63 изменения «излечили» самолёт от этих «болезней». Об этом подробно рассказывал подполковнику Кочеткову американский инженер Рей, побывавший в нашей стране с делегацией фирмы «Белл» в сентябре 1943 г. Но нашим специалистам в это не очень верилось.</w:t>
      </w:r>
    </w:p>
    <w:p w14:paraId="5093F77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Ознакомившись с новым истребителем, Кочетков с Супруном решили доказать, что недостатки устранены лишь частично, и опасность для пилотов по-прежнему сохраняется. Кочетков был не только инженером, но и лётчиком. Получив от американцев новенький истребитель Р-63А-6, 29 апреля 1944 г. он «загнал» его в плоский штопор, из которого не смог выйти. «Отмотав» некоторое количество витков, после тщетных попыток вывести истребитель в прямолинейный полёт на высоте 900 м Кочетков сбросил дверь и выпрыгнул с парашютом. К месту его приземления прикатило всё руководство фирмы во главе с вице-1 резидентом компании Джонсоном. Все вместе отправились осматривать обломки «Кингкобры». Вместо ожидаемого нагоняя советский лётчик получил благодарность за выявленный дефект и предложение отметить событие в ресторане. Так Кочеткову удалось доказать американцам необходимость улучшения противоштопорных свойств истребителя - наследственной беды потомка «Аэрокобры».</w:t>
      </w:r>
    </w:p>
    <w:p w14:paraId="578A523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память все присутствовавшие прямо у обломков истребителя оставили свои автографы на единственном нашедшемся листочке бумаге - долларовой банкноте, извлечённой кем-то из бумажника. Этот «счастливый доллар» Кочетков потом долго носил с собой. Позже лётчику вручили памятный знак фирмы «Ирвин», поставлявшей парашюты, - значок в виде золотой гусеницы. Такой выдавали каждому, кто спасся на парашюте её изготовления.</w:t>
      </w:r>
    </w:p>
    <w:p w14:paraId="7080358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Кочетков также провёл учебные воздушные бои с истребителями Р-39 и Р-51. Результаты определялись по кадрам фо- токинопулемёта. «Аэрокобра» проиграла без всяких сомнений, бой с «Мустангом», по общей оценке, окончился вничью.</w:t>
      </w:r>
    </w:p>
    <w:p w14:paraId="019390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этого Кочетков вывел из строя ещё одну «Кингкобру», прокрутив на ней высший пилотаж с большими перегрузками. У самолёта выявили выпучивание и вмятины обшивки на крыле и в хвостовой части фюзеляжа. Фирма внесла изменения в конструкцию, частично устранившие недостатки, но не сразу и не в полной мере (12265).</w:t>
      </w:r>
    </w:p>
    <w:p w14:paraId="1512F23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2E252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запустили первую трубу Т-106 в ЦАГИ после реэвакуации. Потом усовершенствовали натурные Т-101 и Т-104 (173,228).</w:t>
      </w:r>
    </w:p>
    <w:p w14:paraId="0F8081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9EE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на бывш. площадке завода № 454, выпускавшего агрегаты бомбардировочного и стрелкового вооружения и эвакуированного в августе 1941 года из Киева в Куйбышев, был организован Завод № 483.</w:t>
      </w:r>
    </w:p>
    <w:p w14:paraId="5C7D6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454, в свою очередь, был организован в ноябре 1940 года на базе экспериментального завода № 8 Гдлавмашдеталь НК текстильной промышленности.</w:t>
      </w:r>
    </w:p>
    <w:p w14:paraId="5214ED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освобождения Киева завод № 483 получил лишь производственные корпуса, никакого оборудования не было.</w:t>
      </w:r>
    </w:p>
    <w:p w14:paraId="07E79B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получил задание на выпуск бомбоимпульсных связок деревянной конструкции. В 4 квартале 1944 года заводу намечался новый профиль – выпуск радиаторов. Для начала было дано задание произвести ремонт 20 штук авиационных радиаторов.</w:t>
      </w:r>
    </w:p>
    <w:p w14:paraId="5B45FF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275E34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И. Погорелов</w:t>
      </w:r>
    </w:p>
    <w:p w14:paraId="640F50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Киев, ул. Владимиро-Лыбедская, д. 3</w:t>
      </w:r>
    </w:p>
    <w:p w14:paraId="3A82FE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Производственный профиль – приборный радиолокационный завод (9855).</w:t>
      </w:r>
    </w:p>
    <w:p w14:paraId="4E71EF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365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специалисты СКБ разработали рамную установку – “станок М31”. Он предназначался для ведения огня реактивными снарядами М-31. Укупорки со снарядами укладывались на раму станка в два яруса и закреплялись съемными стяжками. Передняя опора основания станка была плавающей на двух полозьях, задняя неподвижная с сошками, врезающимися в грунт. Установка применялась во всех наступательных операциях Красной Армии при прорыве обороны противника [58] (11772).</w:t>
      </w:r>
    </w:p>
    <w:p w14:paraId="116859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CF137"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1CEBB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EB97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доработкой 25-мм одноствольной автоматической АУ 84-К занялся завод № 88 (г. Мытищи) (3861).</w:t>
      </w:r>
    </w:p>
    <w:p w14:paraId="5321D9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9A7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вы</w:t>
      </w:r>
      <w:r w:rsidRPr="00271E51">
        <w:rPr>
          <w:rFonts w:ascii="Times New Roman" w:hAnsi="Times New Roman"/>
          <w:color w:val="000000" w:themeColor="text1"/>
          <w:sz w:val="16"/>
          <w:szCs w:val="16"/>
        </w:rPr>
        <w:softHyphen/>
        <w:t>пуск последних танков семейства КВ был прекращен. Всего, по отчету наркомата заказчику было сдано 148 танков КВ-85, выпускавшихся параллельно с КВ-1С. Итогом напряженной работы завода № 100 были два новых опытных танка ИС («Объект 237»), которые внешне напоминали своего предшественника — танк КВ-1С, но с большой башней. Правда, сходство было только внешнее. В отличие от предшественника, указанные танки при не</w:t>
      </w:r>
      <w:r w:rsidRPr="00271E51">
        <w:rPr>
          <w:rFonts w:ascii="Times New Roman" w:hAnsi="Times New Roman"/>
          <w:color w:val="000000" w:themeColor="text1"/>
          <w:sz w:val="16"/>
          <w:szCs w:val="16"/>
        </w:rPr>
        <w:softHyphen/>
        <w:t>сколько меньшей массе несли более мощное бронирова</w:t>
      </w:r>
      <w:r w:rsidRPr="00271E51">
        <w:rPr>
          <w:rFonts w:ascii="Times New Roman" w:hAnsi="Times New Roman"/>
          <w:color w:val="000000" w:themeColor="text1"/>
          <w:sz w:val="16"/>
          <w:szCs w:val="16"/>
        </w:rPr>
        <w:softHyphen/>
        <w:t>ние, а погон диаметром 1700 мм позволял оперировать эки</w:t>
      </w:r>
      <w:r w:rsidRPr="00271E51">
        <w:rPr>
          <w:rFonts w:ascii="Times New Roman" w:hAnsi="Times New Roman"/>
          <w:color w:val="000000" w:themeColor="text1"/>
          <w:sz w:val="16"/>
          <w:szCs w:val="16"/>
        </w:rPr>
        <w:softHyphen/>
        <w:t>пажу в башне с большим удобством. Вторым главным отли</w:t>
      </w:r>
      <w:r w:rsidRPr="00271E51">
        <w:rPr>
          <w:rFonts w:ascii="Times New Roman" w:hAnsi="Times New Roman"/>
          <w:color w:val="000000" w:themeColor="text1"/>
          <w:sz w:val="16"/>
          <w:szCs w:val="16"/>
        </w:rPr>
        <w:softHyphen/>
        <w:t>чием был новый двигатель В-2ИС, отличавшийся от анало</w:t>
      </w:r>
      <w:r w:rsidRPr="00271E51">
        <w:rPr>
          <w:rFonts w:ascii="Times New Roman" w:hAnsi="Times New Roman"/>
          <w:color w:val="000000" w:themeColor="text1"/>
          <w:sz w:val="16"/>
          <w:szCs w:val="16"/>
        </w:rPr>
        <w:softHyphen/>
        <w:t>гов более плотной компоновкой, за счет чего он был пони</w:t>
      </w:r>
      <w:r w:rsidRPr="00271E51">
        <w:rPr>
          <w:rFonts w:ascii="Times New Roman" w:hAnsi="Times New Roman"/>
          <w:color w:val="000000" w:themeColor="text1"/>
          <w:sz w:val="16"/>
          <w:szCs w:val="16"/>
        </w:rPr>
        <w:softHyphen/>
        <w:t>жен на 200 мм. Этот двигатель был дополнен всережимным регулятором числа оборотов и инерционным стартером. Двигатель мог развивать мощность до 650 л.с., но при 1900 об/мин и эксплуатационной мощности 520 — 540 л.с. его ресурс достиг 300 моточасов, расход топлива — 188 г/л.с.ч. (для примера расход топлива КВ-1С составлял не менее 195 г/л.с-.ч). Новая система охлаждения и воздухоочиститель «Мультициклон» должны были быть более эффективными при эксплуатации танка летом. Были изменены также под-моторная рама и бортовые редукторы. Третьим важным от</w:t>
      </w:r>
      <w:r w:rsidRPr="00271E51">
        <w:rPr>
          <w:rFonts w:ascii="Times New Roman" w:hAnsi="Times New Roman"/>
          <w:color w:val="000000" w:themeColor="text1"/>
          <w:sz w:val="16"/>
          <w:szCs w:val="16"/>
        </w:rPr>
        <w:softHyphen/>
        <w:t>личием было то, что в танке был применен планетарный механизм поворота (ПМП), с которым улучшилась манев</w:t>
      </w:r>
      <w:r w:rsidRPr="00271E51">
        <w:rPr>
          <w:rFonts w:ascii="Times New Roman" w:hAnsi="Times New Roman"/>
          <w:color w:val="000000" w:themeColor="text1"/>
          <w:sz w:val="16"/>
          <w:szCs w:val="16"/>
        </w:rPr>
        <w:softHyphen/>
        <w:t>ренность танка на ходу. Кроме того, приводы управления были дополнены сервомеханизмом и мостиком управле</w:t>
      </w:r>
      <w:r w:rsidRPr="00271E51">
        <w:rPr>
          <w:rFonts w:ascii="Times New Roman" w:hAnsi="Times New Roman"/>
          <w:color w:val="000000" w:themeColor="text1"/>
          <w:sz w:val="16"/>
          <w:szCs w:val="16"/>
        </w:rPr>
        <w:softHyphen/>
        <w:t>ния тормозом. Ну и, конечно, отличало новый танк боевое отделение, на которое могла устанавливаться башня с кру</w:t>
      </w:r>
      <w:r w:rsidRPr="00271E51">
        <w:rPr>
          <w:rFonts w:ascii="Times New Roman" w:hAnsi="Times New Roman"/>
          <w:color w:val="000000" w:themeColor="text1"/>
          <w:sz w:val="16"/>
          <w:szCs w:val="16"/>
        </w:rPr>
        <w:softHyphen/>
        <w:t>гом обслуживания до 1850 мм (11135).</w:t>
      </w:r>
    </w:p>
    <w:p w14:paraId="25A890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BC8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г. по июль 1944 г. на НИБТ полигон для проведения гарантийных испытаний были предъявлены один танк ИС-1 (ИС-85), шесть танков ИС-122 - так стали именовать танки ИС-2 и шесть само</w:t>
      </w:r>
      <w:r w:rsidRPr="00271E51">
        <w:rPr>
          <w:rFonts w:ascii="Times New Roman" w:hAnsi="Times New Roman"/>
          <w:color w:val="000000" w:themeColor="text1"/>
          <w:sz w:val="16"/>
          <w:szCs w:val="16"/>
        </w:rPr>
        <w:softHyphen/>
        <w:t>ходных установок ИСУ-152. Ни один из образцов танков и САУ гаран</w:t>
      </w:r>
      <w:r w:rsidRPr="00271E51">
        <w:rPr>
          <w:rFonts w:ascii="Times New Roman" w:hAnsi="Times New Roman"/>
          <w:color w:val="000000" w:themeColor="text1"/>
          <w:sz w:val="16"/>
          <w:szCs w:val="16"/>
        </w:rPr>
        <w:softHyphen/>
        <w:t>тийных испытаний не выдержал по причине недостаточной надежности основных агрегатов, которая была обусловлена в основном низким ка</w:t>
      </w:r>
      <w:r w:rsidRPr="00271E51">
        <w:rPr>
          <w:rFonts w:ascii="Times New Roman" w:hAnsi="Times New Roman"/>
          <w:color w:val="000000" w:themeColor="text1"/>
          <w:sz w:val="16"/>
          <w:szCs w:val="16"/>
        </w:rPr>
        <w:softHyphen/>
        <w:t>чеством изготовления и несовершенством конструкции. Наименее на</w:t>
      </w:r>
      <w:r w:rsidRPr="00271E51">
        <w:rPr>
          <w:rFonts w:ascii="Times New Roman" w:hAnsi="Times New Roman"/>
          <w:color w:val="000000" w:themeColor="text1"/>
          <w:sz w:val="16"/>
          <w:szCs w:val="16"/>
        </w:rPr>
        <w:softHyphen/>
        <w:t>дежными являлись двигатель, главный фрикцион, опорный каток, на</w:t>
      </w:r>
      <w:r w:rsidRPr="00271E51">
        <w:rPr>
          <w:rFonts w:ascii="Times New Roman" w:hAnsi="Times New Roman"/>
          <w:color w:val="000000" w:themeColor="text1"/>
          <w:sz w:val="16"/>
          <w:szCs w:val="16"/>
        </w:rPr>
        <w:softHyphen/>
        <w:t>правляющее колесо (10703).</w:t>
      </w:r>
    </w:p>
    <w:p w14:paraId="7AE92D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33C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было выпущено 40 танков ИС-85 и 35 танков ИС-122. Всего до конца января 1944 г. было изготовлено 107 танков ИС-85. На этом их производство прекратилось. На заводе № 9 НКВ вместо пушек Д-5Т-85 для танка ИС начали производство пушек Д-25 с поршневым затвором, причем до конца января 1944 г. завод № 9 осу</w:t>
      </w:r>
      <w:r w:rsidRPr="00271E51">
        <w:rPr>
          <w:rFonts w:ascii="Times New Roman" w:hAnsi="Times New Roman"/>
          <w:color w:val="000000" w:themeColor="text1"/>
          <w:sz w:val="16"/>
          <w:szCs w:val="16"/>
        </w:rPr>
        <w:softHyphen/>
        <w:t>ществлял только окончательную сборку пушек Д-25, а ствол с затвором поставлялся с завода № 172 НКВ. Всего было выпущено 147 пушек Д-25 с поршневым затвором (10703).</w:t>
      </w:r>
    </w:p>
    <w:p w14:paraId="05E2B5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1C7DA"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опытную систему С-34-100 установили на КВ-85, а с 22 по 28 января её испытали на Гороховецком артиллерийском научно-испытательном опытном полигоне (АНИОП).</w:t>
      </w:r>
    </w:p>
    <w:p w14:paraId="733CF3FF"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85-мм систем с повышенной баллистикой и 122-мм орудий с баллистикой А-19, конструкторское бюро завода №9 первоначально не участвовало в работах по 100-мм системам. Задание на разработку данной системы в танковом и самоходном вариантах поручили ЦАКБ. Орудие получило индекс С-34, работы по ней возглавил помощник главного конструктора по научно-исследовательской работе Г.И. Сергеев. Как и предыдущие орудия ЦАКБ, С-34 разрабатывалась как система, позволяющая использовать стволы разного калибра. Первоначально С-34 была дуплексом: помимо С-34-100, разрабатывалась С-34-122 с баллистикой 122-мм орудия А-19. Далее добавилась третья система — С-34-85, имевшая начальную скорость снаряда 1050 м/с. Впрочем, приоритет оставался за С-34-100</w:t>
      </w:r>
    </w:p>
    <w:p w14:paraId="04697CDE"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Орудие разрабатывалось и в варианте установки на «артсамоход на базе танка Т-34» — здесь у С-34 обнаружились первые проблемы. Во-первых, по расчётам масса САУ вырастала с 30 до 32,5–33 т, что было недопустимым. К надёжности ходовой части (прежде всего бандажей) и так имелись претензии, а рост массы лишь усугубил бы проблему. Во-вторых, специфичный подход ЦАКБ к орудию создал дополнительные трудности. Дело в том, что клин затвора открывался не влево, а вправо, так что заряжающий располагался слева, а наводчик и механик-водитель — справа. Этого конструкторам ЦАКБ показалось мало: по проекту два передних опорных катка получали торсионную подвеску. Неудивительно, что в Народном комиссариате танковой промышленности (НКТП) этот проект подвергли резкой критике, и его пришлось переделывать (18252).</w:t>
      </w:r>
    </w:p>
    <w:p w14:paraId="5DE8149B" w14:textId="77777777" w:rsidR="006C0ACA" w:rsidRPr="00271E51" w:rsidRDefault="006C0ACA" w:rsidP="00271E51">
      <w:pPr>
        <w:spacing w:after="0" w:line="240" w:lineRule="auto"/>
        <w:jc w:val="both"/>
        <w:rPr>
          <w:rFonts w:ascii="Times New Roman" w:hAnsi="Times New Roman"/>
          <w:color w:val="000000" w:themeColor="text1"/>
          <w:sz w:val="16"/>
          <w:szCs w:val="16"/>
        </w:rPr>
      </w:pPr>
    </w:p>
    <w:p w14:paraId="2B6B74D9"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декабре 1943 года началась установка С-34 в башню КВ-85, а 22 января 1944 года начались испытания на Гороховецком АНИОП. Продолжались они до 28 января. За это время было произведено 638 выстрелов, из них 324 усиленным зарядом. Кучность и точность стрельбы были признаны не вполне удовлетворительными — они уступали аналогичным параметрам 100-мм полевой пушки БС-3. Особенно ощутимой оказалась разница при стрельбе бронебойными снарядами.</w:t>
      </w:r>
    </w:p>
    <w:p w14:paraId="546E69F2"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Проводились и испытания по стрельбе с ходу. Выяснилось, что огонь на ходу не эффективен, в том числе из-за значительных усилий на маховиках механизмов наведения. Не совсем удачной была признана установка прицела, который рекомендовалось заменить на более совершенный ТШ-16.</w:t>
      </w:r>
    </w:p>
    <w:p w14:paraId="2AE33CD6"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Сильной стороной системы оказалась скорострельность. При угле возвышения орудия в 2 градуса она составила 12 выстрелов в минуту. Правда, такой темп был достигнут при стрельбе серией из 5 выстрелов, уложенных в нише башни. При закрытых люках и включённом вентиляторе две группы из 10 выстрелов, уложенных в нише башни, удалось отстрелять за 95–105 секунд. Соответственно, реальная скорострельность составила 5,7–6,3 выстрелов в минуту.</w:t>
      </w:r>
    </w:p>
    <w:p w14:paraId="6AA1A200"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При стрельбе на скорострельность отмечалось ослабление гаек механизмов наведения и гильзоотвода. Также постепенно ухудшалась работа клинового затвора. В конце испытаний начальная скорость снаряда уменьшилась на 14,4 метра в секунду, что было в пределах нормы.</w:t>
      </w:r>
    </w:p>
    <w:p w14:paraId="55D0C60C"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 xml:space="preserve">Идея усилить вооружение КВ-85 родилась в Центральном артиллерийском конструкторском бюро (ЦАКБ), которое разрабатывало орудие семейства С-34. Как и в КБ завода №9, в ЦАКБ разрабатывали триплекс: на одну и ту же люльку планировалось наложить три разных ствола. Базовой моделью была система калибром 100 </w:t>
      </w:r>
      <w:r w:rsidRPr="00271E51">
        <w:rPr>
          <w:color w:val="000000" w:themeColor="text1"/>
          <w:sz w:val="16"/>
          <w:szCs w:val="16"/>
        </w:rPr>
        <w:lastRenderedPageBreak/>
        <w:t>мм. Цифра 34 в обозначении новой пушки появилось не случайно: базировалось орудие на баллистике 100-мм морской пушки Б-34.</w:t>
      </w:r>
    </w:p>
    <w:p w14:paraId="454A915A"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Для установки Б-34 ЦАКБ получило один из серийных образцов КВ-85. Установка этой системы потребовала куда больших переделок, чем в случае с Д-25Т. Клиновой затвор у С-34 открывался не влево, а вправо, при этом заряжающего нужно было разместить с левой стороны. Для этого башню пришлось существенно переделывать. Заряжающий и командир поменялись местами, одновременно вправо переместилось место наводчика. Вместе с наводчиком «переехали» и прицел со спаренным пулемётом. Пришлось переделывать механизмы поворота башни: маховик наводки по вертикали находился слева, а по горизонтали — справа.</w:t>
      </w:r>
    </w:p>
    <w:p w14:paraId="58B6FF1D"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Серьёзной переделке подверглась орудийная установка. Изменилась неподвижная бронировка, а подвижную бронировку пришлось делать практически с нуля. Она получилась заметно шире, чем подвижная бронировка Д-5Т и Д-25Т. Укладки на опытной машине переделывать не стали.</w:t>
      </w:r>
    </w:p>
    <w:p w14:paraId="7F65D811"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С-34 испытания выдержала, но при этом от ЦАКБ требовалось внести улучшения в конструкцию орудия. Размещение экипажа внутри боевого отделения было признано более-менее удачным, но нужно было серьёзно улучшить условия работы наводчика и командира, который лишился дополнительного объёма в выступе, оставшемся с левой стороны. Из-за этого командиру было тесно, да ещё и возник серьёзный риск получить травму казённой частью орудия при стрельбе. Решением проблемы могло стать перемещение выступа на правую сторону башни. Также от ЦАКБ требовалось разработать укладку выстрелов в корпусе.</w:t>
      </w:r>
    </w:p>
    <w:p w14:paraId="011F10E5" w14:textId="77777777" w:rsidR="00F87975" w:rsidRPr="00271E51" w:rsidRDefault="00F87975"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Впрочем, этим ЦАКБ уже не занималось. ЦАКБ не планировало перевооружать КВ-85, опытный танк был не более чем тестовой лабораторией. Целью этих работ являлось создание 100-мм орудия для танка ИС. В дальнейшем коллектив ЦАКБ продолжил работу по С-34 уже с использованием танка ИС, эта машина получила обозначение Объект 248. Работы по КВ-85 с С-34 (или КВ-100, как его иногда называют) были остановлены (17722).</w:t>
      </w:r>
    </w:p>
    <w:p w14:paraId="1FD7D977" w14:textId="77777777" w:rsidR="00F87975" w:rsidRPr="00271E51" w:rsidRDefault="00F87975" w:rsidP="00271E51">
      <w:pPr>
        <w:spacing w:after="0" w:line="240" w:lineRule="auto"/>
        <w:jc w:val="both"/>
        <w:rPr>
          <w:rFonts w:ascii="Times New Roman" w:eastAsia="Times New Roman" w:hAnsi="Times New Roman"/>
          <w:color w:val="000000" w:themeColor="text1"/>
          <w:sz w:val="16"/>
          <w:szCs w:val="16"/>
          <w:lang w:eastAsia="ru-RU"/>
        </w:rPr>
      </w:pPr>
    </w:p>
    <w:p w14:paraId="36BE6D85" w14:textId="77777777" w:rsidR="00F87975" w:rsidRPr="00271E51" w:rsidRDefault="00F8797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декабре 1943 с конвейеров сошли первые 35 ИС-2 со 122-мм пушкой. Всего же за время войны таких танков, с некоторыми конструкционными доработками, было построено 3385.</w:t>
      </w:r>
    </w:p>
    <w:p w14:paraId="427C4AA4" w14:textId="77777777" w:rsidR="00F87975" w:rsidRPr="00271E51" w:rsidRDefault="00F87975"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Подавляющее большинство ИС-2 поступало на вооружение гвардейских тяжёлых полков прорыва. А в общей сложности новым танком были оснащены 25 частей Красной армии (17638).</w:t>
      </w:r>
    </w:p>
    <w:p w14:paraId="3548441B" w14:textId="77777777" w:rsidR="00F87975" w:rsidRPr="00271E51" w:rsidRDefault="00F87975" w:rsidP="00271E51">
      <w:pPr>
        <w:spacing w:after="0" w:line="240" w:lineRule="auto"/>
        <w:jc w:val="both"/>
        <w:rPr>
          <w:rFonts w:ascii="Times New Roman" w:eastAsia="Times New Roman" w:hAnsi="Times New Roman"/>
          <w:color w:val="000000" w:themeColor="text1"/>
          <w:sz w:val="16"/>
          <w:szCs w:val="16"/>
          <w:lang w:eastAsia="ru-RU"/>
        </w:rPr>
      </w:pPr>
    </w:p>
    <w:p w14:paraId="30698113" w14:textId="77777777" w:rsidR="00FC04C9" w:rsidRPr="00271E51" w:rsidRDefault="00FC04C9" w:rsidP="00271E51">
      <w:pPr>
        <w:pStyle w:val="a3"/>
        <w:rPr>
          <w:color w:val="000000" w:themeColor="text1"/>
          <w:lang w:val="ru-RU"/>
        </w:rPr>
      </w:pPr>
      <w:r w:rsidRPr="00271E51">
        <w:rPr>
          <w:color w:val="000000" w:themeColor="text1"/>
          <w:lang w:val="ru-RU"/>
        </w:rPr>
        <w:t>В результате в декабре 1943 г. изготовили 40 танков ИС-85 (ИС-1) и 35 ИС-122 (ИС-2), а всего до конца января 1943 г. собрали 107 ИС-85 (12617).</w:t>
      </w:r>
    </w:p>
    <w:p w14:paraId="5A897165" w14:textId="77777777" w:rsidR="00FC04C9" w:rsidRPr="00271E51" w:rsidRDefault="00FC04C9" w:rsidP="00271E51">
      <w:pPr>
        <w:pStyle w:val="a3"/>
        <w:rPr>
          <w:color w:val="000000" w:themeColor="text1"/>
          <w:lang w:val="ru-RU"/>
        </w:rPr>
      </w:pPr>
    </w:p>
    <w:p w14:paraId="65D01212" w14:textId="77777777" w:rsidR="00FC04C9" w:rsidRPr="00271E51" w:rsidRDefault="00FC04C9" w:rsidP="00271E51">
      <w:pPr>
        <w:pStyle w:val="a3"/>
        <w:rPr>
          <w:color w:val="000000" w:themeColor="text1"/>
          <w:lang w:val="ru-RU"/>
        </w:rPr>
      </w:pPr>
      <w:r w:rsidRPr="00271E51">
        <w:rPr>
          <w:color w:val="000000" w:themeColor="text1"/>
          <w:lang w:val="ru-RU"/>
        </w:rPr>
        <w:t>В декабре 1943 года началось производство танка, получившего название ИС-2 (в этом месяце было изготовлено 35 танков ИС-2). Боевое крещение танк получил в апреле 1944 года в ходе боёв на Правобережной Украине. После того, как поршневой затвор А-19 был заменён на клиновый полуавтоматический, пушка стала называться Д-25Т (опытный образец изготовлен и испытан в январе 1944 года). Скорострельность пушки с новым затвором была значительно выше, но экипаж не мог пользоваться новыми техническими возможностями в полной мере. При высоких темпах стрельбы система вентиляции танка переставала справляться со своими обязанностями, и воздух в боевом отделении слишком сильно загрязнялся пороховыми газами.</w:t>
      </w:r>
    </w:p>
    <w:p w14:paraId="7A522955" w14:textId="77777777" w:rsidR="00FC04C9" w:rsidRPr="00271E51" w:rsidRDefault="00FC04C9" w:rsidP="00271E51">
      <w:pPr>
        <w:pStyle w:val="a3"/>
        <w:rPr>
          <w:color w:val="000000" w:themeColor="text1"/>
          <w:lang w:val="ru-RU"/>
        </w:rPr>
      </w:pPr>
      <w:r w:rsidRPr="00271E51">
        <w:rPr>
          <w:color w:val="000000" w:themeColor="text1"/>
          <w:lang w:val="ru-RU"/>
        </w:rPr>
        <w:t>Окончательно формирование облика танка ИС завершилось после изменения формы лобового листа корпуса. Дело в том, что лобовой лист корпуса первых ИСов был ломаной формы, которая была традиционной скорее для немецкого, чем для советского танкостроения. Такая форма создавала удобные условия для работы механика-водителя, но ослабляла защищённость танка. Поэтому в 1944 году танкостроители перешли к «спрямлённому носу», что к тому же облегчило производство корпуса.</w:t>
      </w:r>
    </w:p>
    <w:p w14:paraId="3D089831" w14:textId="77777777" w:rsidR="00FC04C9" w:rsidRPr="00271E51" w:rsidRDefault="00FC04C9" w:rsidP="00271E51">
      <w:pPr>
        <w:pStyle w:val="a3"/>
        <w:rPr>
          <w:color w:val="000000" w:themeColor="text1"/>
          <w:lang w:val="ru-RU"/>
        </w:rPr>
      </w:pPr>
      <w:r w:rsidRPr="00271E51">
        <w:rPr>
          <w:color w:val="000000" w:themeColor="text1"/>
          <w:lang w:val="ru-RU"/>
        </w:rPr>
        <w:t>Создание танка ИС было самой радикальной мерой советского танкостроения, предпринятой с целью добиться качественного превосходства над противником. Танк ИС вобрал в себя лучшие достижения конструкторской мысли советских танкостроителей, сочетая в себе высокую приспособленность к массовому производству, мощное вооружение, способное бороться с любыми танками противника, сильную бронезащиту лобовой проекции, неуязвимую для большинства пушек противника, разделение обязанностей наводчика и командира между разными членами экипажа и внимание к таким «мелочам», которые ранее считались третьестепенными, как, например, качественный воздухоочиститель для двигателя, или система подогрева для зимних условий. Танк имел совершенную систему охлаждения, позволявшую использовать двигатель на полную мощность, двойной воздухоочиститель с грубой и тонкой очисткой воздуха, специальную аппаратуру подогрева воздуха, поступающего в двигатель, и много других усовершенствований, повышающих надежность (М. Барятинский. Тяжелый танк ИС//Бронеколлекция. 1998. № 3. С. 13-14). ИС обладал уникальной для тяжелых танков подвижностью, сближавшей его со средними танками. Его средняя скорость движения по дороге на испытаниях превзошла среднюю скорость танка Т-34 (РГАЭ. Ф. 8798. Оп. 4. Д. 5. Л. 220 - 221). Эти великолепные результаты были достигнуты благодаря хорошей подвеске и трансмиссии, в том числе планетарному механизму поворота. Фактически ИС относился к промежуточному классу между средними и тяжелыми танками, так же, как, например, немецкая «Пантера». Сам ИС можно считать одним из непосредственных предшественников будущих основных боевых танков. Броня лобовой проекции танка ИС гарантировала ему безопасность от снарядов практически любых немецких танковых и противотанковых орудий (кроме длинноствольных 88-миллиметровых пушек КЖК 43). Единственным недостатком ИС-2 была низкая скорострельность (из-за раздельного заряжания заряжающему приходилось делать двойную работу) и маленький боекомплект орудия. Правда, оно сочетало в себе высокую бронепробиваемость, дававшую танку возможность поражать сильнобронированные места любых немецких танков и САУ, кроме «Королевского Тигра» и «Фердинанда», мощное заброневое действие, гарантированно выводящее противника из строя, и большую мощность фугасного снаряда, который превосходно разрушал укрепления. На танке были установлены новые, более совершенные прицелы и приборы наблюдения, в том числе, скопированный английский танковый перископ МК-4 (12290).</w:t>
      </w:r>
    </w:p>
    <w:p w14:paraId="0DC3627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BA496A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танк ИС-2 был поставлен в серию на ЧКЗ. В документах НКТП он именовался ИС-122, видимо, по образу и подобию с танком ИС-85, производство которо</w:t>
      </w:r>
      <w:r w:rsidRPr="00271E51">
        <w:rPr>
          <w:rFonts w:ascii="Times New Roman" w:hAnsi="Times New Roman"/>
          <w:color w:val="000000" w:themeColor="text1"/>
          <w:sz w:val="16"/>
          <w:szCs w:val="16"/>
        </w:rPr>
        <w:softHyphen/>
        <w:t>го продолжалось здесь, тогда как выпуск КВ-85 заканчивал</w:t>
      </w:r>
      <w:r w:rsidRPr="00271E51">
        <w:rPr>
          <w:rFonts w:ascii="Times New Roman" w:hAnsi="Times New Roman"/>
          <w:color w:val="000000" w:themeColor="text1"/>
          <w:sz w:val="16"/>
          <w:szCs w:val="16"/>
        </w:rPr>
        <w:softHyphen/>
        <w:t>ся. До конца года из цехов завода вышло 67 танков ИС-85 и 35 ИС-122. В начале 1944 г. ЧКЗ выпустил еще 40 ИС-85, и с 1 марта 1944 г. производство этого тяжелого танка было пре</w:t>
      </w:r>
      <w:r w:rsidRPr="00271E51">
        <w:rPr>
          <w:rFonts w:ascii="Times New Roman" w:hAnsi="Times New Roman"/>
          <w:color w:val="000000" w:themeColor="text1"/>
          <w:sz w:val="16"/>
          <w:szCs w:val="16"/>
        </w:rPr>
        <w:softHyphen/>
        <w:t>кращено. Несмотря на то что к этому моменту прошел испытания танк КВ-122 и завод настаивал на его выпуске взамен КВ-85, на вооружение он принят не был (11135).</w:t>
      </w:r>
    </w:p>
    <w:p w14:paraId="1434DD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458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был создан и изготовлен Танк КВ-100 и в период с 22 по 28 января 1944 г. прошел испытания на Гороховецком АНИОПе. Изготовление опытного образца было связано с проработкой вопроса о возможности установки на тяжелый серийный танк более мощного ору</w:t>
      </w:r>
      <w:r w:rsidRPr="00271E51">
        <w:rPr>
          <w:rFonts w:ascii="Times New Roman" w:hAnsi="Times New Roman"/>
          <w:color w:val="000000" w:themeColor="text1"/>
          <w:sz w:val="16"/>
          <w:szCs w:val="16"/>
        </w:rPr>
        <w:softHyphen/>
        <w:t>жия, чем 85-мм танковая пушка. На вооружение и в серийное производ</w:t>
      </w:r>
      <w:r w:rsidRPr="00271E51">
        <w:rPr>
          <w:rFonts w:ascii="Times New Roman" w:hAnsi="Times New Roman"/>
          <w:color w:val="000000" w:themeColor="text1"/>
          <w:sz w:val="16"/>
          <w:szCs w:val="16"/>
        </w:rPr>
        <w:softHyphen/>
        <w:t>ство танк КВ-100 не принимался из-за крупных недостатков установки вооружения и тесноты расположения экипажа в башне. Опытный образец танка был создан на базе серийного танка КВ-85 и отличался от него установкой в модернизированной башне 100-мм пушки С-34 конструкции и производства ЦАКБ НКВ. В связи с тем, что пушка С-34 имела горизонтальный полуавтоматический затвор, для удобства работы заряжающего его рабочее место было перенесено в ле</w:t>
      </w:r>
      <w:r w:rsidRPr="00271E51">
        <w:rPr>
          <w:rFonts w:ascii="Times New Roman" w:hAnsi="Times New Roman"/>
          <w:color w:val="000000" w:themeColor="text1"/>
          <w:sz w:val="16"/>
          <w:szCs w:val="16"/>
        </w:rPr>
        <w:softHyphen/>
        <w:t>вую часть башни, а рабочие места командира танка и наводчика - в пра</w:t>
      </w:r>
      <w:r w:rsidRPr="00271E51">
        <w:rPr>
          <w:rFonts w:ascii="Times New Roman" w:hAnsi="Times New Roman"/>
          <w:color w:val="000000" w:themeColor="text1"/>
          <w:sz w:val="16"/>
          <w:szCs w:val="16"/>
        </w:rPr>
        <w:softHyphen/>
        <w:t>вую. Соответственно командирская башенка была установлена в правой части крыши башни. Для наблюдения за полем боя командир машины использовал смотровые щели, располагавшиеся по периметру коман</w:t>
      </w:r>
      <w:r w:rsidRPr="00271E51">
        <w:rPr>
          <w:rFonts w:ascii="Times New Roman" w:hAnsi="Times New Roman"/>
          <w:color w:val="000000" w:themeColor="text1"/>
          <w:sz w:val="16"/>
          <w:szCs w:val="16"/>
        </w:rPr>
        <w:softHyphen/>
        <w:t>дирской башенки и поворотный смотровой прибор МК-4, устанавли</w:t>
      </w:r>
      <w:r w:rsidRPr="00271E51">
        <w:rPr>
          <w:rFonts w:ascii="Times New Roman" w:hAnsi="Times New Roman"/>
          <w:color w:val="000000" w:themeColor="text1"/>
          <w:sz w:val="16"/>
          <w:szCs w:val="16"/>
        </w:rPr>
        <w:softHyphen/>
        <w:t>вавшийся в одной из створок крышки люка. Аналогичный смотровой прибор устанавливался в крыше башни для наводчика. Экипаж танка состоял из четырех человек (10703).</w:t>
      </w:r>
    </w:p>
    <w:p w14:paraId="668DC6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F81A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КБ Кировского завода начало раз</w:t>
      </w:r>
      <w:r w:rsidRPr="00271E51">
        <w:rPr>
          <w:rFonts w:ascii="Times New Roman" w:hAnsi="Times New Roman"/>
          <w:color w:val="000000" w:themeColor="text1"/>
          <w:sz w:val="16"/>
          <w:szCs w:val="16"/>
        </w:rPr>
        <w:softHyphen/>
        <w:t>работку супертанка «К», но летом 1944 г. этот танк никак не удавалось «пропихнуть» вместо ИС-2. Но вдруг осенью 1944 г. начинаются проектные работы сразу двух вариантов принципиально новых тяжелых танков в НИИ-100. Почему так случилось? Почему нарком танковой промышленности, еще весной не желавший ничего слышать о продолжении ра</w:t>
      </w:r>
      <w:r w:rsidRPr="00271E51">
        <w:rPr>
          <w:rFonts w:ascii="Times New Roman" w:hAnsi="Times New Roman"/>
          <w:color w:val="000000" w:themeColor="text1"/>
          <w:sz w:val="16"/>
          <w:szCs w:val="16"/>
        </w:rPr>
        <w:softHyphen/>
        <w:t>бот по танку «К», осенью дает ему если не «зеленую улицу», то во всяком случае поднимает перед ним шлагбаум?</w:t>
      </w:r>
    </w:p>
    <w:p w14:paraId="34298A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уже говорилось, невольным инициатором этого стали немцы, выпустившие в конце лета на поля боев свой новый тяжелый танк «Тигр-Б» (или «Королевский Тигр») (11153).</w:t>
      </w:r>
    </w:p>
    <w:p w14:paraId="38B09B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067F9" w14:textId="77777777" w:rsidR="002F0BE8" w:rsidRPr="00271E51" w:rsidRDefault="002F0BE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декабре 1943 года многострадальную самоходку КВ-7 вместе с КВ-9 и КВ-12 отправили в металлолом (15838).</w:t>
      </w:r>
    </w:p>
    <w:p w14:paraId="43E19C1D" w14:textId="77777777" w:rsidR="002F0BE8" w:rsidRPr="00271E51" w:rsidRDefault="002F0BE8" w:rsidP="00271E51">
      <w:pPr>
        <w:pStyle w:val="ae"/>
        <w:shd w:val="clear" w:color="auto" w:fill="FFFFFF"/>
        <w:spacing w:before="0" w:after="0"/>
        <w:jc w:val="both"/>
        <w:rPr>
          <w:color w:val="000000" w:themeColor="text1"/>
          <w:sz w:val="16"/>
          <w:szCs w:val="16"/>
        </w:rPr>
      </w:pPr>
    </w:p>
    <w:p w14:paraId="412EEA83" w14:textId="77777777" w:rsidR="00B95E55" w:rsidRPr="00271E51" w:rsidRDefault="00B95E55"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w:t>
      </w:r>
      <w:r w:rsidRPr="00271E51">
        <w:rPr>
          <w:rFonts w:ascii="Times New Roman" w:hAnsi="Times New Roman"/>
          <w:color w:val="000000" w:themeColor="text1"/>
          <w:sz w:val="16"/>
          <w:szCs w:val="16"/>
        </w:rPr>
        <w:softHyphen/>
        <w:t>кабре 1943 года ЧКЗ сдал 4 СУ-152, последние две серийные машины сдали в конце января 1944 года. Таким образом, общий объем выпуска СУ-152, включая опытный образец, составил 670 машин. Последние СУ-152 ЧКЗ сдал уже после прекращения производства. Интересно, что в сводках завода данные машины не проходят, зато они есть в докладах о сдаче заводами самоходных установок, которые каж</w:t>
      </w:r>
      <w:r w:rsidRPr="00271E51">
        <w:rPr>
          <w:rFonts w:ascii="Times New Roman" w:hAnsi="Times New Roman"/>
          <w:color w:val="000000" w:themeColor="text1"/>
          <w:sz w:val="16"/>
          <w:szCs w:val="16"/>
        </w:rPr>
        <w:softHyphen/>
        <w:t>дые 5 дней высылались Сталину, Молотову и Берии (17484).</w:t>
      </w:r>
    </w:p>
    <w:p w14:paraId="3FE78599" w14:textId="77777777" w:rsidR="00B95E55" w:rsidRPr="00271E51" w:rsidRDefault="00B95E55" w:rsidP="00271E51">
      <w:pPr>
        <w:spacing w:after="0" w:line="240" w:lineRule="auto"/>
        <w:jc w:val="both"/>
        <w:rPr>
          <w:rFonts w:ascii="Times New Roman" w:hAnsi="Times New Roman"/>
          <w:color w:val="000000" w:themeColor="text1"/>
          <w:sz w:val="16"/>
          <w:szCs w:val="16"/>
        </w:rPr>
      </w:pPr>
    </w:p>
    <w:p w14:paraId="2FFD08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все работы по модернизации Т-34 были свернуты, а по Т-43 - усилены. Был изготовлен опытный образец и три месяца испытывался параллельно с Т-34С. В октябре 1942 на испытания вышел танк, названный Т-34С с пятискоростной КПП, трехместной башней второго типа и катками с внутренней аммртизацией. Даже с броней 45 мм превысил по массе 32 т и оказался неудачным (7518, 32).</w:t>
      </w:r>
    </w:p>
    <w:p w14:paraId="193D54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8C4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было подготовлено письмо:</w:t>
      </w:r>
    </w:p>
    <w:p w14:paraId="7704AA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НАРКОМТАНКПРОМ - тов. ФРЕЗЕРОВУ</w:t>
      </w:r>
    </w:p>
    <w:p w14:paraId="091658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№112 СЕКРЕТНО</w:t>
      </w:r>
    </w:p>
    <w:p w14:paraId="395378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Докладываю предварительные результаты испытаний по пушкам С-54 и Д-5.</w:t>
      </w:r>
    </w:p>
    <w:p w14:paraId="5251E9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По С-54</w:t>
      </w:r>
    </w:p>
    <w:p w14:paraId="2B87B8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Установленная пушка С-54 в танке Т-34 со штатным пого</w:t>
      </w:r>
      <w:r w:rsidRPr="00271E51">
        <w:rPr>
          <w:rFonts w:ascii="Times New Roman" w:hAnsi="Times New Roman"/>
          <w:color w:val="000000" w:themeColor="text1"/>
          <w:sz w:val="16"/>
          <w:szCs w:val="16"/>
        </w:rPr>
        <w:softHyphen/>
        <w:t>ном - полигонные артиспытания выдержала.</w:t>
      </w:r>
    </w:p>
    <w:p w14:paraId="10BC43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Пушка С-54 может быть рекомендована для установки ее только в танке Т-34 со штатным погоном, при условии устранения всех выявленных дефектов при артиспытаниях /по противооткат</w:t>
      </w:r>
      <w:r w:rsidRPr="00271E51">
        <w:rPr>
          <w:rFonts w:ascii="Times New Roman" w:hAnsi="Times New Roman"/>
          <w:color w:val="000000" w:themeColor="text1"/>
          <w:sz w:val="16"/>
          <w:szCs w:val="16"/>
        </w:rPr>
        <w:softHyphen/>
        <w:t>ному устройству, противовесу, расположению поворотного меха</w:t>
      </w:r>
      <w:r w:rsidRPr="00271E51">
        <w:rPr>
          <w:rFonts w:ascii="Times New Roman" w:hAnsi="Times New Roman"/>
          <w:color w:val="000000" w:themeColor="text1"/>
          <w:sz w:val="16"/>
          <w:szCs w:val="16"/>
        </w:rPr>
        <w:softHyphen/>
        <w:t>низма, боеукладке и другим/.</w:t>
      </w:r>
    </w:p>
    <w:p w14:paraId="2172E3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Комиссия отмечает, что несмотря на лучшие баллистичес</w:t>
      </w:r>
      <w:r w:rsidRPr="00271E51">
        <w:rPr>
          <w:rFonts w:ascii="Times New Roman" w:hAnsi="Times New Roman"/>
          <w:color w:val="000000" w:themeColor="text1"/>
          <w:sz w:val="16"/>
          <w:szCs w:val="16"/>
        </w:rPr>
        <w:softHyphen/>
        <w:t>кие качества пушки С-54, по сравнению с Ф-34, полностью не от</w:t>
      </w:r>
      <w:r w:rsidRPr="00271E51">
        <w:rPr>
          <w:rFonts w:ascii="Times New Roman" w:hAnsi="Times New Roman"/>
          <w:color w:val="000000" w:themeColor="text1"/>
          <w:sz w:val="16"/>
          <w:szCs w:val="16"/>
        </w:rPr>
        <w:softHyphen/>
        <w:t>вечает всем тактико-техническим требованиям среднего танка ти</w:t>
      </w:r>
      <w:r w:rsidRPr="00271E51">
        <w:rPr>
          <w:rFonts w:ascii="Times New Roman" w:hAnsi="Times New Roman"/>
          <w:color w:val="000000" w:themeColor="text1"/>
          <w:sz w:val="16"/>
          <w:szCs w:val="16"/>
        </w:rPr>
        <w:softHyphen/>
        <w:t>па Т-34, но представляет возможность в кратчайшие сроки без затруднений перевооружить имеющиеся в Красной Армии танки Т-34 со штатным погоном.</w:t>
      </w:r>
    </w:p>
    <w:p w14:paraId="4FA160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В целях быстрейшей доработки С-54 - предложить ЦКБ НКВ установить срок до 20.ХП-43 г. пред"явления исправленного образца на проверку отстрелом на полигон ЦКБ НКВ, совместно с представителями ГАУ КА и ГБТУ.</w:t>
      </w:r>
    </w:p>
    <w:p w14:paraId="7D0907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Предложить ЦКБ НКВ проработать возможность замены пушки ЗИС-4 на С-54 в танках Т-34 и КВ.</w:t>
      </w:r>
    </w:p>
    <w:p w14:paraId="5E7F24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 По Д-5</w:t>
      </w:r>
    </w:p>
    <w:p w14:paraId="4E9C38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Установленная пушка Д-5 в танке Т-34 новой башне с расши</w:t>
      </w:r>
      <w:r w:rsidRPr="00271E51">
        <w:rPr>
          <w:rFonts w:ascii="Times New Roman" w:hAnsi="Times New Roman"/>
          <w:color w:val="000000" w:themeColor="text1"/>
          <w:sz w:val="16"/>
          <w:szCs w:val="16"/>
        </w:rPr>
        <w:softHyphen/>
        <w:t>ренным ПОГОНОМ/Ф1600мм/ полигонные артиспытания выдержала.</w:t>
      </w:r>
    </w:p>
    <w:p w14:paraId="5A230D8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Пушка Д-5 по своим тактико-техническим требованиям вполне удовлетворяет средние танки типа Т-34, по своей баллис</w:t>
      </w:r>
      <w:r w:rsidRPr="00271E51">
        <w:rPr>
          <w:rFonts w:ascii="Times New Roman" w:hAnsi="Times New Roman"/>
          <w:color w:val="000000" w:themeColor="text1"/>
          <w:sz w:val="16"/>
          <w:szCs w:val="16"/>
        </w:rPr>
        <w:softHyphen/>
        <w:t>тике является перспективной пушкой.</w:t>
      </w:r>
    </w:p>
    <w:p w14:paraId="0DCADA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Танк Т-34 с новой башней на расширенном погоне с пушкой Д-5 разрешает задачу вооружения танка типа Т-34, но вся бронеза-щита танка не представляет использования всех возможностей в боевых условиях получаемых новых качеств указанного танка.</w:t>
      </w:r>
    </w:p>
    <w:p w14:paraId="3A2653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После устранения, всех выявленных недостатков во время по</w:t>
      </w:r>
      <w:r w:rsidRPr="00271E51">
        <w:rPr>
          <w:rFonts w:ascii="Times New Roman" w:hAnsi="Times New Roman"/>
          <w:color w:val="000000" w:themeColor="text1"/>
          <w:sz w:val="16"/>
          <w:szCs w:val="16"/>
        </w:rPr>
        <w:softHyphen/>
        <w:t>лигонных испытаний /недостаточно четкой экстракции, малых зазо</w:t>
      </w:r>
      <w:r w:rsidRPr="00271E51">
        <w:rPr>
          <w:rFonts w:ascii="Times New Roman" w:hAnsi="Times New Roman"/>
          <w:color w:val="000000" w:themeColor="text1"/>
          <w:sz w:val="16"/>
          <w:szCs w:val="16"/>
        </w:rPr>
        <w:softHyphen/>
        <w:t>ров между башней и корпусом, наличие значительных щелей между подвижными и неподвижными частями бронезащиты маски, креп</w:t>
      </w:r>
      <w:r w:rsidRPr="00271E51">
        <w:rPr>
          <w:rFonts w:ascii="Times New Roman" w:hAnsi="Times New Roman"/>
          <w:color w:val="000000" w:themeColor="text1"/>
          <w:sz w:val="16"/>
          <w:szCs w:val="16"/>
        </w:rPr>
        <w:softHyphen/>
        <w:t>ление снарядов в боеукладке и другие/ установка пушки Д-5 в танке Т-34 в башне с расширенным погоном может быть рекомендована для серийного производства после проверки его ходовыми испыта</w:t>
      </w:r>
      <w:r w:rsidRPr="00271E51">
        <w:rPr>
          <w:rFonts w:ascii="Times New Roman" w:hAnsi="Times New Roman"/>
          <w:color w:val="000000" w:themeColor="text1"/>
          <w:sz w:val="16"/>
          <w:szCs w:val="16"/>
        </w:rPr>
        <w:softHyphen/>
        <w:t>ниями на предмет выявления стойкости подвески, катков и других агрегатов, подверженных перегрузке в связи с повышением веса.</w:t>
      </w:r>
    </w:p>
    <w:p w14:paraId="6B56B7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распоряжения Наркома, тов. МАЛЫШЕВА, танк Т-34 с пушкой Д-5 24.Х1 с.г. в 20 часов доставлен с артполигона сво</w:t>
      </w:r>
      <w:r w:rsidRPr="00271E51">
        <w:rPr>
          <w:rFonts w:ascii="Times New Roman" w:hAnsi="Times New Roman"/>
          <w:color w:val="000000" w:themeColor="text1"/>
          <w:sz w:val="16"/>
          <w:szCs w:val="16"/>
        </w:rPr>
        <w:softHyphen/>
        <w:t>им ходом на завод №112 для демонтажауказанной системы.</w:t>
      </w:r>
    </w:p>
    <w:p w14:paraId="78BDD2A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 ЮРАСОВ (11153).</w:t>
      </w:r>
    </w:p>
    <w:p w14:paraId="2547F9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b/>
          <w:bCs/>
          <w:color w:val="000000" w:themeColor="text1"/>
          <w:sz w:val="16"/>
          <w:szCs w:val="16"/>
        </w:rPr>
      </w:pPr>
    </w:p>
    <w:p w14:paraId="553FA9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сормовичи послали два танка с новыми башнями на московский артиллерийский завод, где в них и установили пушки ЗИС-С-53 (3905).</w:t>
      </w:r>
    </w:p>
    <w:p w14:paraId="065710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4FA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г. все работы по дальнейшей модернизации танка Т-34 были свер</w:t>
      </w:r>
      <w:r w:rsidRPr="00271E51">
        <w:rPr>
          <w:rFonts w:ascii="Times New Roman" w:hAnsi="Times New Roman"/>
          <w:color w:val="000000" w:themeColor="text1"/>
          <w:sz w:val="16"/>
          <w:szCs w:val="16"/>
        </w:rPr>
        <w:softHyphen/>
        <w:t>нуты, тогда как создание Т-43 форсировано (10782).</w:t>
      </w:r>
    </w:p>
    <w:p w14:paraId="06A9F0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D00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опытный образец Т-43 был изготовлен. К числу главных особенностей танка следует отнести раз</w:t>
      </w:r>
      <w:r w:rsidRPr="00271E51">
        <w:rPr>
          <w:rFonts w:ascii="Times New Roman" w:hAnsi="Times New Roman"/>
          <w:color w:val="000000" w:themeColor="text1"/>
          <w:sz w:val="16"/>
          <w:szCs w:val="16"/>
        </w:rPr>
        <w:softHyphen/>
        <w:t>мещение водителя справа от продольной оси танка, а его прежнее место занял единый топливный бак. Но своего люка в корпусе механик-водитель больше не имел (только наблюдательный люк-пробку) и вынужден был для входа-выхода пользоваться одним из башенных люков, что за</w:t>
      </w:r>
      <w:r w:rsidRPr="00271E51">
        <w:rPr>
          <w:rFonts w:ascii="Times New Roman" w:hAnsi="Times New Roman"/>
          <w:color w:val="000000" w:themeColor="text1"/>
          <w:sz w:val="16"/>
          <w:szCs w:val="16"/>
        </w:rPr>
        <w:softHyphen/>
        <w:t>трудняло его эвакуацию в случае загорания машины. Кур</w:t>
      </w:r>
      <w:r w:rsidRPr="00271E51">
        <w:rPr>
          <w:rFonts w:ascii="Times New Roman" w:hAnsi="Times New Roman"/>
          <w:color w:val="000000" w:themeColor="text1"/>
          <w:sz w:val="16"/>
          <w:szCs w:val="16"/>
        </w:rPr>
        <w:softHyphen/>
        <w:t>совой пулемет устанавливался неподвижно в лобовом листе корпуса справа от механика-водителя, который должен был вести из него огонь, ориентируясь на трассы пуль, осу</w:t>
      </w:r>
      <w:r w:rsidRPr="00271E51">
        <w:rPr>
          <w:rFonts w:ascii="Times New Roman" w:hAnsi="Times New Roman"/>
          <w:color w:val="000000" w:themeColor="text1"/>
          <w:sz w:val="16"/>
          <w:szCs w:val="16"/>
        </w:rPr>
        <w:softHyphen/>
        <w:t>ществляя поправки по рискам на перископе (на манер Т-34М). Т-43 долго изучали представители всевозможных ведомств, допустив его до заводских испытаний. Танк испытывался вместе с Т-34С (несшим башню Т-43 второго образца) в течение трех месяцев. По проходи</w:t>
      </w:r>
      <w:r w:rsidRPr="00271E51">
        <w:rPr>
          <w:rFonts w:ascii="Times New Roman" w:hAnsi="Times New Roman"/>
          <w:color w:val="000000" w:themeColor="text1"/>
          <w:sz w:val="16"/>
          <w:szCs w:val="16"/>
        </w:rPr>
        <w:softHyphen/>
        <w:t>мости, среднетехнической скорости движения по пересечен</w:t>
      </w:r>
      <w:r w:rsidRPr="00271E51">
        <w:rPr>
          <w:rFonts w:ascii="Times New Roman" w:hAnsi="Times New Roman"/>
          <w:color w:val="000000" w:themeColor="text1"/>
          <w:sz w:val="16"/>
          <w:szCs w:val="16"/>
        </w:rPr>
        <w:softHyphen/>
        <w:t>ной местности и надежности Т-43 оставил своего предка да</w:t>
      </w:r>
      <w:r w:rsidRPr="00271E51">
        <w:rPr>
          <w:rFonts w:ascii="Times New Roman" w:hAnsi="Times New Roman"/>
          <w:color w:val="000000" w:themeColor="text1"/>
          <w:sz w:val="16"/>
          <w:szCs w:val="16"/>
        </w:rPr>
        <w:softHyphen/>
        <w:t>леко позади, так как проходил редкий день, чтобы в Т-34С что-нибудь не ломалось. Новорожденный был, без сомне</w:t>
      </w:r>
      <w:r w:rsidRPr="00271E51">
        <w:rPr>
          <w:rFonts w:ascii="Times New Roman" w:hAnsi="Times New Roman"/>
          <w:color w:val="000000" w:themeColor="text1"/>
          <w:sz w:val="16"/>
          <w:szCs w:val="16"/>
        </w:rPr>
        <w:softHyphen/>
        <w:t>ния, удачнее, но так же как и Т-34С, почти не имел резервов для дальнейшей модернизации. В частности, из-за чрезмер</w:t>
      </w:r>
      <w:r w:rsidRPr="00271E51">
        <w:rPr>
          <w:rFonts w:ascii="Times New Roman" w:hAnsi="Times New Roman"/>
          <w:color w:val="000000" w:themeColor="text1"/>
          <w:sz w:val="16"/>
          <w:szCs w:val="16"/>
        </w:rPr>
        <w:softHyphen/>
        <w:t>но плотной компоновки и тесноты в башне не представля</w:t>
      </w:r>
      <w:r w:rsidRPr="00271E51">
        <w:rPr>
          <w:rFonts w:ascii="Times New Roman" w:hAnsi="Times New Roman"/>
          <w:color w:val="000000" w:themeColor="text1"/>
          <w:sz w:val="16"/>
          <w:szCs w:val="16"/>
        </w:rPr>
        <w:softHyphen/>
        <w:t>лось возможным перевооружить его более мощным орудием. До государственных испытаний танк допущен не был, а НКТП настоял на изготовлении нового танка, получивше</w:t>
      </w:r>
      <w:r w:rsidRPr="00271E51">
        <w:rPr>
          <w:rFonts w:ascii="Times New Roman" w:hAnsi="Times New Roman"/>
          <w:color w:val="000000" w:themeColor="text1"/>
          <w:sz w:val="16"/>
          <w:szCs w:val="16"/>
        </w:rPr>
        <w:softHyphen/>
        <w:t>го индекс Т-43 улучшенный, с целью установки башни с кругом обслуживания диаметром 1600 мм для свободного размещения в ней третьего члена экипажа, с новой радио</w:t>
      </w:r>
      <w:r w:rsidRPr="00271E51">
        <w:rPr>
          <w:rFonts w:ascii="Times New Roman" w:hAnsi="Times New Roman"/>
          <w:color w:val="000000" w:themeColor="text1"/>
          <w:sz w:val="16"/>
          <w:szCs w:val="16"/>
        </w:rPr>
        <w:softHyphen/>
        <w:t>станцией и введения гусеницы цевочного зацепления (10782).</w:t>
      </w:r>
    </w:p>
    <w:p w14:paraId="7C4ABC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388FA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опыт</w:t>
      </w:r>
      <w:r w:rsidRPr="00271E51">
        <w:rPr>
          <w:rFonts w:ascii="Times New Roman" w:hAnsi="Times New Roman"/>
          <w:color w:val="000000" w:themeColor="text1"/>
          <w:sz w:val="16"/>
          <w:szCs w:val="16"/>
        </w:rPr>
        <w:softHyphen/>
        <w:t>ный образец танка Т-34-85 с пушкой С-50 был изготовлен и в период с 25 по 3 1 де</w:t>
      </w:r>
      <w:r w:rsidRPr="00271E51">
        <w:rPr>
          <w:rFonts w:ascii="Times New Roman" w:hAnsi="Times New Roman"/>
          <w:color w:val="000000" w:themeColor="text1"/>
          <w:sz w:val="16"/>
          <w:szCs w:val="16"/>
        </w:rPr>
        <w:softHyphen/>
        <w:t>кабря 1943 г. прошел испытания на ГАНИОПе. Пушка испытания не выдержала по причине отрыва штоков противооткатных устройств. На вооружение танк не принимался и в серийном производстве не состоял. 85-мм танковая пушка конструкции и изготовления ЦАКБ НКВ (А. Боглевский, В. Мещанинов, В. Тюрин) была установлена в башню с диаметром опоры 1570 мм танка Т-34-85 обр. 1943 г. Для крепления пушки в передней части башни были вварены две щеки. На правой ще</w:t>
      </w:r>
      <w:r w:rsidRPr="00271E51">
        <w:rPr>
          <w:rFonts w:ascii="Times New Roman" w:hAnsi="Times New Roman"/>
          <w:color w:val="000000" w:themeColor="text1"/>
          <w:sz w:val="16"/>
          <w:szCs w:val="16"/>
        </w:rPr>
        <w:softHyphen/>
        <w:t>ке был закреплен стопор крепления пушки по-походному и подъемный механизм. С, целью улучшения работы заряжающего, его рабочее место разместили слева от пушки, а места командира танка и наводчика -справа. Кормовая пиша башни была увеличена на 130 - 150 мм (10703).</w:t>
      </w:r>
    </w:p>
    <w:p w14:paraId="46ECF6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4BD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был изготовлен на базе танка Т-34-76 обр. 1942 г. Танк Т-34-85 с пушкой С-53, который был разработан коллективами КБ за</w:t>
      </w:r>
      <w:r w:rsidRPr="00271E51">
        <w:rPr>
          <w:rFonts w:ascii="Times New Roman" w:hAnsi="Times New Roman"/>
          <w:color w:val="000000" w:themeColor="text1"/>
          <w:sz w:val="16"/>
          <w:szCs w:val="16"/>
        </w:rPr>
        <w:softHyphen/>
        <w:t>вода № 112 НКТП и ЦАКБ НКВ с целью повышения огневой мощи среднего танка, и в период с 25 но 31 декабря того же года проходил испытания на ГАНИОПе. Пушка испытания не выдержала из-за деформации кронштейна крепления штоков противооткатных ус</w:t>
      </w:r>
      <w:r w:rsidRPr="00271E51">
        <w:rPr>
          <w:rFonts w:ascii="Times New Roman" w:hAnsi="Times New Roman"/>
          <w:color w:val="000000" w:themeColor="text1"/>
          <w:sz w:val="16"/>
          <w:szCs w:val="16"/>
        </w:rPr>
        <w:softHyphen/>
        <w:t>тройств и изгиба последних. На вооружение танк не принимался (10703).</w:t>
      </w:r>
    </w:p>
    <w:p w14:paraId="2FE453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42047" w14:textId="77777777" w:rsidR="00FC04C9" w:rsidRPr="00271E51" w:rsidRDefault="00FC04C9" w:rsidP="00271E51">
      <w:pPr>
        <w:pStyle w:val="a3"/>
        <w:rPr>
          <w:color w:val="000000" w:themeColor="text1"/>
          <w:lang w:val="ru-RU"/>
        </w:rPr>
      </w:pPr>
      <w:r w:rsidRPr="00271E51">
        <w:rPr>
          <w:color w:val="000000" w:themeColor="text1"/>
          <w:lang w:val="ru-RU"/>
        </w:rPr>
        <w:t>В декабре 1943 года среди оставшихся претендентов на испытаниях победу одержала пушка С-53 конструкции ЦАКБ. Главным достоинством этой пушки была оригинальная компоновка орудия. Благодаря удачной конструкторской находке Сергееву и Шабарову удалось значительно уменьшить по сравнению с конкурирующими образцами пространство, занимаемое орудием в боевом отделении танка, не сокращая при этом тормозов отката. Поэтому С-53 была единственной из трёх представленных на испытания пушек, не имевшей дульного тормоза. 1 января танк с пушкой С-53 был принят на вооружение. Его производство должно было начаться с 1 марта. У С-53 испытания тоже выявили ряд недостатков, но их удалось устранить на её новой модификации. Новая пушка была в срочном порядке установлена в танк на заводе № 112, затем испытана с 30 января по 2 февраля 1944 года на Гороховецком артиллерийском полигоне и принята на вооружение. Кроме того, испытания выявили допустимость установки 85-мм пушки в танк с обычным погоном только как временной меры. Ещё одни сравнительные испытания танков с расширенной и обычной башнями, вооруженных 85-мм пушкой, были проведены в начале февраля и показали, что танк со старой башней значительно уступает по скорострельности орудия. Переход к производству танков с увеличенной башней был необходим и неизбежен (12290).</w:t>
      </w:r>
    </w:p>
    <w:p w14:paraId="4D372845" w14:textId="77777777" w:rsidR="00FC04C9" w:rsidRPr="00271E51" w:rsidRDefault="00FC04C9" w:rsidP="00271E51">
      <w:pPr>
        <w:pStyle w:val="a3"/>
        <w:rPr>
          <w:color w:val="000000" w:themeColor="text1"/>
          <w:lang w:val="ru-RU"/>
        </w:rPr>
      </w:pPr>
    </w:p>
    <w:p w14:paraId="5810CF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опытный образец танка Т-34 с 85 мм пушкой ЛБ был изготовлен и в период с 25 по 31 декабря то</w:t>
      </w:r>
      <w:r w:rsidRPr="00271E51">
        <w:rPr>
          <w:rFonts w:ascii="Times New Roman" w:hAnsi="Times New Roman"/>
          <w:color w:val="000000" w:themeColor="text1"/>
          <w:sz w:val="16"/>
          <w:szCs w:val="16"/>
        </w:rPr>
        <w:softHyphen/>
        <w:t>го же года проходил испытания на ГАНИОПе. Пушка испытания не вы</w:t>
      </w:r>
      <w:r w:rsidRPr="00271E51">
        <w:rPr>
          <w:rFonts w:ascii="Times New Roman" w:hAnsi="Times New Roman"/>
          <w:color w:val="000000" w:themeColor="text1"/>
          <w:sz w:val="16"/>
          <w:szCs w:val="16"/>
        </w:rPr>
        <w:softHyphen/>
        <w:t>держала по причине неудовлетворительной работы затвора. На воору</w:t>
      </w:r>
      <w:r w:rsidRPr="00271E51">
        <w:rPr>
          <w:rFonts w:ascii="Times New Roman" w:hAnsi="Times New Roman"/>
          <w:color w:val="000000" w:themeColor="text1"/>
          <w:sz w:val="16"/>
          <w:szCs w:val="16"/>
        </w:rPr>
        <w:softHyphen/>
        <w:t>жение танк с 85-мм пушкой ЛБ-1 не принимался и в серийном произ</w:t>
      </w:r>
      <w:r w:rsidRPr="00271E51">
        <w:rPr>
          <w:rFonts w:ascii="Times New Roman" w:hAnsi="Times New Roman"/>
          <w:color w:val="000000" w:themeColor="text1"/>
          <w:sz w:val="16"/>
          <w:szCs w:val="16"/>
        </w:rPr>
        <w:softHyphen/>
        <w:t>водстве не состоял (10703).</w:t>
      </w:r>
    </w:p>
    <w:p w14:paraId="17E827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1DC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ввиду недостаточной для надежного поражения «Тиг</w:t>
      </w:r>
      <w:r w:rsidRPr="00271E51">
        <w:rPr>
          <w:rFonts w:ascii="Times New Roman" w:hAnsi="Times New Roman"/>
          <w:color w:val="000000" w:themeColor="text1"/>
          <w:sz w:val="16"/>
          <w:szCs w:val="16"/>
        </w:rPr>
        <w:softHyphen/>
        <w:t>ра» 85-мм орудием инженером-пол</w:t>
      </w:r>
      <w:r w:rsidRPr="00271E51">
        <w:rPr>
          <w:rFonts w:ascii="Times New Roman" w:hAnsi="Times New Roman"/>
          <w:color w:val="000000" w:themeColor="text1"/>
          <w:sz w:val="16"/>
          <w:szCs w:val="16"/>
        </w:rPr>
        <w:softHyphen/>
        <w:t>ковником В. Кульчицким предлагалось усиливать вооруже</w:t>
      </w:r>
      <w:r w:rsidRPr="00271E51">
        <w:rPr>
          <w:rFonts w:ascii="Times New Roman" w:hAnsi="Times New Roman"/>
          <w:color w:val="000000" w:themeColor="text1"/>
          <w:sz w:val="16"/>
          <w:szCs w:val="16"/>
        </w:rPr>
        <w:softHyphen/>
        <w:t>ние танка Т-34 путем перехода сразу на 100-мм танковую пушку, минуя калибр 85-мм. Но до лета 1944 г. сделать это не представлялось возможным, так как не бьшо не только 100-мм танковой пушки, но и 100-мм бронебойных снаря</w:t>
      </w:r>
      <w:r w:rsidRPr="00271E51">
        <w:rPr>
          <w:rFonts w:ascii="Times New Roman" w:hAnsi="Times New Roman"/>
          <w:color w:val="000000" w:themeColor="text1"/>
          <w:sz w:val="16"/>
          <w:szCs w:val="16"/>
        </w:rPr>
        <w:softHyphen/>
        <w:t>дов, разработка которых по планам НКБ должна была завершиться лишь в 3-м квартале. Поэтому задание на создание башни Т-34 со 100-мм пушкой ОКБ № 92 и отдел 520 завода № 183 получили лишь в июне 1944 г. С инициативными работами в данном ; иаправлении выступили также КБ заводов № 112 «Красное Ц Сормово», № 9 Ф. Петрова и ОКБ-92 А. Савина. ОКБ № 92 первым выдвинуло свой вариант 100-мм пушки для танка Т-34. Указанная пушка представляла со</w:t>
      </w:r>
      <w:r w:rsidRPr="00271E51">
        <w:rPr>
          <w:rFonts w:ascii="Times New Roman" w:hAnsi="Times New Roman"/>
          <w:color w:val="000000" w:themeColor="text1"/>
          <w:sz w:val="16"/>
          <w:szCs w:val="16"/>
        </w:rPr>
        <w:softHyphen/>
        <w:t>бой увеличенный вариант 85-мм орудия ЗИС-С-53 с уси</w:t>
      </w:r>
      <w:r w:rsidRPr="00271E51">
        <w:rPr>
          <w:rFonts w:ascii="Times New Roman" w:hAnsi="Times New Roman"/>
          <w:color w:val="000000" w:themeColor="text1"/>
          <w:sz w:val="16"/>
          <w:szCs w:val="16"/>
        </w:rPr>
        <w:softHyphen/>
        <w:t>ленным тормозом отката, затвором от 100-мм полевого орудия обр. 1943 г. БС-3, пружинным уравновешивающим механизмом и дульным тормозом. Орудие получило индекс ЗИС-100. По основным посадочным местам оно почти полностью соответствовало пушке ЗИС-С-53 и потому могло без ограничений быть установлено в башне Т-34-85. Но реакция отдачи была выше допускаемой для погона Т-34-85 на 25-30%, поэтому осенью 1944 г. указанное орудие не было допущено к испытаниям в башне Т-34-85. Тем временем по согласованию с отделом 520 завода № 183 100-мм пушку Д-10Т для танка Т-44В подало КБ завода № 9, и совместным распоряжением А. Морозова и нач. ОГК НКТП Бера для испытаний башни нового танка была создана «ездящая лаборатория на базе шасси Т-34-85. Поскольку диаметр погона указанной башни со</w:t>
      </w:r>
      <w:r w:rsidRPr="00271E51">
        <w:rPr>
          <w:rFonts w:ascii="Times New Roman" w:hAnsi="Times New Roman"/>
          <w:color w:val="000000" w:themeColor="text1"/>
          <w:sz w:val="16"/>
          <w:szCs w:val="16"/>
        </w:rPr>
        <w:softHyphen/>
        <w:t>ставлял 1800 мм, для ее размещения на корпусе Т-34-85 последний был подвергнут большим переделками. В частности, сиденье механика-водителя было сдвинуто вперед на 140 мм и опущено на 70 мм, стрелок-радист исключен ИЗ состава экипажа, топливные баки были перенесены из боевого отделения в трансмиссионное и отделение управ</w:t>
      </w:r>
      <w:r w:rsidRPr="00271E51">
        <w:rPr>
          <w:rFonts w:ascii="Times New Roman" w:hAnsi="Times New Roman"/>
          <w:color w:val="000000" w:themeColor="text1"/>
          <w:sz w:val="16"/>
          <w:szCs w:val="16"/>
        </w:rPr>
        <w:softHyphen/>
        <w:t>ления, а вторая и третья свечи подвески размещены под углом. Все это позволяло установить на корпусе Т-34 зуб</w:t>
      </w:r>
      <w:r w:rsidRPr="00271E51">
        <w:rPr>
          <w:rFonts w:ascii="Times New Roman" w:hAnsi="Times New Roman"/>
          <w:color w:val="000000" w:themeColor="text1"/>
          <w:sz w:val="16"/>
          <w:szCs w:val="16"/>
        </w:rPr>
        <w:softHyphen/>
        <w:t xml:space="preserve">чатый венец диаметром 1700 мм, на котором и </w:t>
      </w:r>
      <w:r w:rsidRPr="00271E51">
        <w:rPr>
          <w:rFonts w:ascii="Times New Roman" w:hAnsi="Times New Roman"/>
          <w:color w:val="000000" w:themeColor="text1"/>
          <w:sz w:val="16"/>
          <w:szCs w:val="16"/>
        </w:rPr>
        <w:lastRenderedPageBreak/>
        <w:t>поместил</w:t>
      </w:r>
      <w:r w:rsidRPr="00271E51">
        <w:rPr>
          <w:rFonts w:ascii="Times New Roman" w:hAnsi="Times New Roman"/>
          <w:color w:val="000000" w:themeColor="text1"/>
          <w:sz w:val="16"/>
          <w:szCs w:val="16"/>
        </w:rPr>
        <w:softHyphen/>
        <w:t>ся прототип башни Т-44В с бронированием 90 мм в лобо</w:t>
      </w:r>
      <w:r w:rsidRPr="00271E51">
        <w:rPr>
          <w:rFonts w:ascii="Times New Roman" w:hAnsi="Times New Roman"/>
          <w:color w:val="000000" w:themeColor="text1"/>
          <w:sz w:val="16"/>
          <w:szCs w:val="16"/>
        </w:rPr>
        <w:softHyphen/>
        <w:t>вой части и 75 мм в бортах, в котором уже могли свободно разместиться 100-мм орудия Д-10Т или ЗИС-100 при 32 выстрелах БК. Этот танк получил собственное имя Т-34-100, так как его реализация давала надежды на возможность значитель</w:t>
      </w:r>
      <w:r w:rsidRPr="00271E51">
        <w:rPr>
          <w:rFonts w:ascii="Times New Roman" w:hAnsi="Times New Roman"/>
          <w:color w:val="000000" w:themeColor="text1"/>
          <w:sz w:val="16"/>
          <w:szCs w:val="16"/>
        </w:rPr>
        <w:softHyphen/>
        <w:t>ного усиления вооружения существующих танков Т-34 без значительной перестройки серийного производства. К моменту готовности танка в распоряжение завода № 183 было Додано только одно 100-мм орудие — доработанная ЗИС-100, получившая новый индекс ЛБ-1. В орудии было, 'вчастности, изменено расположение противооткатных механизмов относительно ЗИС-100. Пушка показала на испы таниях максимальную скорострельность 4-5 выстр./мин, но дульный тормоз сильно демаскировал танк. По окончании испытаний ЛБ-1 в Т-34-100 было уста</w:t>
      </w:r>
      <w:r w:rsidRPr="00271E51">
        <w:rPr>
          <w:rFonts w:ascii="Times New Roman" w:hAnsi="Times New Roman"/>
          <w:color w:val="000000" w:themeColor="text1"/>
          <w:sz w:val="16"/>
          <w:szCs w:val="16"/>
        </w:rPr>
        <w:softHyphen/>
        <w:t>новлено 100-мм орудие Д-10Т завода № 9, которое показа</w:t>
      </w:r>
      <w:r w:rsidRPr="00271E51">
        <w:rPr>
          <w:rFonts w:ascii="Times New Roman" w:hAnsi="Times New Roman"/>
          <w:color w:val="000000" w:themeColor="text1"/>
          <w:sz w:val="16"/>
          <w:szCs w:val="16"/>
        </w:rPr>
        <w:softHyphen/>
        <w:t>ло сходные результаты по точности, кучности и скорост</w:t>
      </w:r>
      <w:r w:rsidRPr="00271E51">
        <w:rPr>
          <w:rFonts w:ascii="Times New Roman" w:hAnsi="Times New Roman"/>
          <w:color w:val="000000" w:themeColor="text1"/>
          <w:sz w:val="16"/>
          <w:szCs w:val="16"/>
        </w:rPr>
        <w:softHyphen/>
        <w:t>рельности, но при большей реакции отдачи, но которое было сочтено предпочтительным из-за отсутствия у ору</w:t>
      </w:r>
      <w:r w:rsidRPr="00271E51">
        <w:rPr>
          <w:rFonts w:ascii="Times New Roman" w:hAnsi="Times New Roman"/>
          <w:color w:val="000000" w:themeColor="text1"/>
          <w:sz w:val="16"/>
          <w:szCs w:val="16"/>
        </w:rPr>
        <w:softHyphen/>
        <w:t>дия дульного тормоза. Поэтому вопрос о вооружении тан</w:t>
      </w:r>
      <w:r w:rsidRPr="00271E51">
        <w:rPr>
          <w:rFonts w:ascii="Times New Roman" w:hAnsi="Times New Roman"/>
          <w:color w:val="000000" w:themeColor="text1"/>
          <w:sz w:val="16"/>
          <w:szCs w:val="16"/>
        </w:rPr>
        <w:softHyphen/>
        <w:t>ка Т-44В был решен в пользу Д- 10Т. Но ОКБ № 92 совместно с КБ завода № 112 в инициатив</w:t>
      </w:r>
      <w:r w:rsidRPr="00271E51">
        <w:rPr>
          <w:rFonts w:ascii="Times New Roman" w:hAnsi="Times New Roman"/>
          <w:color w:val="000000" w:themeColor="text1"/>
          <w:sz w:val="16"/>
          <w:szCs w:val="16"/>
        </w:rPr>
        <w:softHyphen/>
        <w:t>ном порядке подготовили вариант танка со 100-мм пушкой ЛБ-1 в башне раннего Т-34-85 вместо 85-мм пушки Д-5Т. Несмотря на то, что в отчете это орудие называется ЛБ-1, ряд фактов (например размещение противооткатных механизмов) позволяет предположить, что здесь была уста</w:t>
      </w:r>
      <w:r w:rsidRPr="00271E51">
        <w:rPr>
          <w:rFonts w:ascii="Times New Roman" w:hAnsi="Times New Roman"/>
          <w:color w:val="000000" w:themeColor="text1"/>
          <w:sz w:val="16"/>
          <w:szCs w:val="16"/>
        </w:rPr>
        <w:softHyphen/>
        <w:t>новлена все-таки пушка ЗИС-100, но с дульным тормозом от ЛБ-1. Проведенные испытания возкой прошли без про</w:t>
      </w:r>
      <w:r w:rsidRPr="00271E51">
        <w:rPr>
          <w:rFonts w:ascii="Times New Roman" w:hAnsi="Times New Roman"/>
          <w:color w:val="000000" w:themeColor="text1"/>
          <w:sz w:val="16"/>
          <w:szCs w:val="16"/>
        </w:rPr>
        <w:softHyphen/>
        <w:t>исшествий. Но при стрельбе отмечались сильное раскачива</w:t>
      </w:r>
      <w:r w:rsidRPr="00271E51">
        <w:rPr>
          <w:rFonts w:ascii="Times New Roman" w:hAnsi="Times New Roman"/>
          <w:color w:val="000000" w:themeColor="text1"/>
          <w:sz w:val="16"/>
          <w:szCs w:val="16"/>
        </w:rPr>
        <w:softHyphen/>
        <w:t>ние танка и заедание в работе поворотного механизма. Кро</w:t>
      </w:r>
      <w:r w:rsidRPr="00271E51">
        <w:rPr>
          <w:rFonts w:ascii="Times New Roman" w:hAnsi="Times New Roman"/>
          <w:color w:val="000000" w:themeColor="text1"/>
          <w:sz w:val="16"/>
          <w:szCs w:val="16"/>
        </w:rPr>
        <w:softHyphen/>
        <w:t>ме того, заряжать танк в тесном отделении Т-34-85 длинным 100-мм выстрелом было крайне тяжело, а командир и навод-чик были значительно стеснены в работе. Параллельно велись также работы по перевооруже</w:t>
      </w:r>
      <w:r w:rsidRPr="00271E51">
        <w:rPr>
          <w:rFonts w:ascii="Times New Roman" w:hAnsi="Times New Roman"/>
          <w:color w:val="000000" w:themeColor="text1"/>
          <w:sz w:val="16"/>
          <w:szCs w:val="16"/>
        </w:rPr>
        <w:softHyphen/>
        <w:t>нию готового к серии Т-44Б 100-мм пушкой (11135).</w:t>
      </w:r>
    </w:p>
    <w:p w14:paraId="39B724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A78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-январе 1944 г. в КБ завода № 183 в Нижнем Тагиле под руководством главного конструктора А.А. Морозова был разработан Танк Т-44 (первой модификации). Три опытных образца (№ 1, 2 и 3) были изготовлены в январе - феврале 1944 г. и один из них (№ 2) с 19 фе</w:t>
      </w:r>
      <w:r w:rsidRPr="00271E51">
        <w:rPr>
          <w:rFonts w:ascii="Times New Roman" w:hAnsi="Times New Roman"/>
          <w:color w:val="000000" w:themeColor="text1"/>
          <w:sz w:val="16"/>
          <w:szCs w:val="16"/>
        </w:rPr>
        <w:softHyphen/>
        <w:t>враля по 5 марта того же года прошел испытания на НИБТ полигоне, в результате которых было выявлено много конструктивных недостатков машины. Па вооружение танк не принимался и в серийном производстве не состоял. Явился прототипом танка Т-44 (второй модификации) (10703).</w:t>
      </w:r>
    </w:p>
    <w:p w14:paraId="40F523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C84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декабря 1943 г. осуществлялось серийное про</w:t>
      </w:r>
      <w:r w:rsidRPr="00271E51">
        <w:rPr>
          <w:rFonts w:ascii="Times New Roman" w:hAnsi="Times New Roman"/>
          <w:color w:val="000000" w:themeColor="text1"/>
          <w:sz w:val="16"/>
          <w:szCs w:val="16"/>
        </w:rPr>
        <w:softHyphen/>
        <w:t>изводство самоходной установки СУ-152. Всего было выпущено 670 машин. Самоходная установ</w:t>
      </w:r>
      <w:r w:rsidRPr="00271E51">
        <w:rPr>
          <w:rFonts w:ascii="Times New Roman" w:hAnsi="Times New Roman"/>
          <w:color w:val="000000" w:themeColor="text1"/>
          <w:sz w:val="16"/>
          <w:szCs w:val="16"/>
        </w:rPr>
        <w:softHyphen/>
        <w:t>ка СУ-152 получила широкую известность во время Курской битвы ле</w:t>
      </w:r>
      <w:r w:rsidRPr="00271E51">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6D8E8E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168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были выпущены первые 35 ИСУ-152 и ИСУ-122 параллельно с ИС-85..</w:t>
      </w:r>
    </w:p>
    <w:p w14:paraId="7E0A97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три самоходные установки - ИСУ-152, ИСУ-122С и ИСУ-122С - изготовлялись на шасси тяжелого танка ИС, что упрощало их производство..</w:t>
      </w:r>
    </w:p>
    <w:p w14:paraId="77559C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агрегаты: силовая установка, трансмиссия, ходовая часть, электрооборудование и радиооборудование не отличаются от агрегатов тяжелого танка. В отличие от ИСов, самоходные установки оснащались топливными баками несколько измененной формы. Основным же конструктивным отличием самоходных установок от тяжелого танка является отсутствие вращающейся башни и вооружение..</w:t>
      </w:r>
    </w:p>
    <w:p w14:paraId="2A6DDC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Корпус и башня самоходных установок сварены из тяжелых броневых плит. Внутренняя часть корпуса разделена на четыре отделения: управления, боевое, моторное и трансмиссионное. Экипаж 152-мм и 122-мм САУ состоял из пяти или четырех человек: командира самоходно-артиллерийской установки, механика-водителя, командира орудия, замкового и заряжающего. Если экипаж состоял из четырех человек, то обязанности заряжающего выполняет замковый..</w:t>
      </w:r>
    </w:p>
    <w:p w14:paraId="53A7C4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размещается в боевом отделения в следующем порядке: командир самоходно-артиллерийской установки - впереди справа; механик-водитель - впереди слева; командир орудия - слева, позади механика-водителя; замковый - справа, позади командира самоходно-артиллерийской установки; заряжающий - слева, позади командира орудия..</w:t>
      </w:r>
    </w:p>
    <w:p w14:paraId="661E5B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152-мм САУ состоял из выстрелов раздельного гильзового заряжания, которые размещаются в боевом отделении следующем образом:..</w:t>
      </w:r>
    </w:p>
    <w:p w14:paraId="3598C8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бронебойно-трассирующие снаряды - в нише, с левой стороны, в специальных рамках;..</w:t>
      </w:r>
    </w:p>
    <w:p w14:paraId="41501C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осколочно-фугасные гранаты - там же;..</w:t>
      </w:r>
    </w:p>
    <w:p w14:paraId="39512B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гильзы с боевыми зарядами - в нише в специальных рамках и в хомутиковой укладке;..</w:t>
      </w:r>
    </w:p>
    <w:p w14:paraId="79F3A6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часть гильз с боевыми зарядами - на днище под орудием..</w:t>
      </w:r>
    </w:p>
    <w:p w14:paraId="1349A4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122-мм самоходной пушки состоял из выстрелов раздельного гильзового заряжания, размещенных в боевом отделения в следующем порядке:..</w:t>
      </w:r>
    </w:p>
    <w:p w14:paraId="0B265F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бронебойно-трассирующие снаряды - в нише, с левой стороны;..</w:t>
      </w:r>
    </w:p>
    <w:p w14:paraId="5A2CC1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осколочно-фугасные гранаты - там же;..</w:t>
      </w:r>
    </w:p>
    <w:p w14:paraId="020AE8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гильзы с боевыми зарядами - в нише, с правой и левой сторон;..</w:t>
      </w:r>
    </w:p>
    <w:p w14:paraId="779806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часть гильз с боевыми зарядами - под казенной частью орудия..</w:t>
      </w:r>
    </w:p>
    <w:p w14:paraId="1E4E78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Личное оружие экипажа состоял из пистолетов-пулеметов (ППШ или ППС) и ручных гранат Ф-1. Пистолеты-пулеметы были закреплены в специальных хомутах. Патроны к ним размещались в следующем порядке:..</w:t>
      </w:r>
    </w:p>
    <w:p w14:paraId="4375C0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часть магазинов - на пистолетах-пулеметах;..</w:t>
      </w:r>
    </w:p>
    <w:p w14:paraId="175C5C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остальные - в передней части боевого отделения..</w:t>
      </w:r>
    </w:p>
    <w:p w14:paraId="4D619F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Ручные гранаты Ф-1 были уложены в передней части боевого отделения и в нише слева, над снарядами. (3862).</w:t>
      </w:r>
    </w:p>
    <w:p w14:paraId="352D3E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A9A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декабря 1943 г. - до снятия с производства танка КВ-1 С продолжалось серийное производство самоход</w:t>
      </w:r>
      <w:r w:rsidRPr="00271E51">
        <w:rPr>
          <w:rFonts w:ascii="Times New Roman" w:hAnsi="Times New Roman"/>
          <w:color w:val="000000" w:themeColor="text1"/>
          <w:sz w:val="16"/>
          <w:szCs w:val="16"/>
        </w:rPr>
        <w:softHyphen/>
        <w:t>ных установок СУ-152 (10703).</w:t>
      </w:r>
    </w:p>
    <w:p w14:paraId="2E9A47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6E1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декабря 1943 года — до снятия с производства танка КВ-1С - продолжалось серийное производство самоходных установок СУ-152. Всего было выпущено 670 таких машин. Боевое крещение СУ-152 получили в боях на Курской дуге, правда еще в весьма ограниченном количестве. Так, например, в составе войск Центрального фронта имелось всего 25 боевых машин этого типа. Тем не менее, появление их стало неприятным сюрпризом для немцев.</w:t>
      </w:r>
    </w:p>
    <w:p w14:paraId="70200D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Осколочно-фугасная граната ОФ-540 массой 43,56 кг по выходе из ствола имела скорость 655 м/с и при установке взрывателя на осколочное действие наносила поражение осколками на 40 м — по фронту и на 8 м — в глубину. Бронебойно-трассирующий снаряд БР-540 при выходе из ствола с начальной скоростью 600 м/с пробивал на дистанции до 1500 м лобовую броню всех танков Вермахта. При попадании в башню он срывал ее с погона. Вследствие своей очень большой массы в 48,8 кг (для сравнения — 85-мм бронебойный снаряд имел массу 9,2 кг) даже при непробивании сильнобронированной цели (штурмового орудия «Фердинанд», например) он гарантированно выводил ее из строя из-за поломок узлов и механизмов вследствие сотрясения и поражения экипажа за счет многочисленных внутренних отколов брони. Неплохие результаты давал обстрел вражеской техники фугасными и бетонобойными снарядами. При использовании бетонобойного снаряда Г-530 по прямому назначению им пробивалась железобетонная стена толщиной около 1 м. Впрочем, на Курской дуге разрушать долговременные огневые точки противника новым САУ не пришлось, а вот по немецким танкам они постреляли немало, и вполне успешно. Так, майор Санковский, например, на своей СУ-152 подбил 10 танков за один день. Именно тогда тяжелые артсамоходы получили у солдат уважительное прозвище «Зверобой». </w:t>
      </w:r>
    </w:p>
    <w:p w14:paraId="18C2AA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СУ-152 продолжали активно использоваться в боевых действиях и после Курской битвы, причем опять-таки как мощное противотанковое средство. Во время Киевской операции 1-го Украинского фронта 52-я танковая бригада 16-го танкового корпуса, усиленная 1835-м тяжелым самоходно-артиллерийским полком, к 8 часам 7 ноября 1943 года заняла г.Фастов и стала закрепляться в нем. Как и бригада, полк понес в предыдущих боях значительные потери и имел в строю всего три СУ-152 и один танк КВ-1С. В ожидании контратаки с юга все три установки и танк были поставлены на позиции в районе высоты 210,4. В 10 часов того же дня противник предпринял первую контратаку с юга силами до батальона пехоты при поддержке восьми танков и четырех самоходных орудий. Но огнем САУ контратака была отбита. В течение 8 ноября немцы, усилив свою пехоту 20-мм зенитными автоматическими пушками, предприняли на этом направлении еще ряд контратак, которые также были отбиты. При этом самоходно-артиллерийские установки полка уничтожили два танка, два самоходных орудия, четыре пушки и до двух рот противника. Собственные потери составили один танк КВ-1С. </w:t>
      </w:r>
    </w:p>
    <w:p w14:paraId="7F0602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неудачных контратак с юга противник начал перегруппировку восточнее г.Фастова. Командир 52-й танковой бригады, ожидая контратаки немецких танков с этого направления, перебросил самоходки 1835-го самоходно-артиллерийского полка в этот район. В результате, предпринятые противником неоднократные контратаки также были отбиты. Огнем трех самоходно-артиллерийских установок СУ-152 было уничтожено 16 танков, после чего немцы окончательно отказались от дальнейших контратак и здесь. Для весны 1944 года была характерной передача СУ-152 в состав некоторых тяжелых танковых полков прорыва для восполнения потерь в танках КВ-1С и КВ-85. Впрочем, иногда имел место и обратный процесс, в результате чего самоходно-артиллерийские полки превращались в танко-самоходные. В освобождении Крыма весной 1944 года принимал участие 1452 тсап — 11 КВ-85, 5 КВ-1С, 6 СУ-152 и 3 СУ-76. Полк действовал под Армянском, освобождал города Евпатория, Саки, Бахчисарай, а 9 мая две оставшиеся в строю боевые машины полка — СУ-152 и КВ-85 — ворвались в Севастополь. </w:t>
      </w:r>
    </w:p>
    <w:p w14:paraId="24A305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СУ-152 использовались в боевых действиях вплоть до лета 1944 года, пока не были вытеснены из фронтовых частей новыми тяжелыми самоходками ИСУ-152 и ИСУ-122 (11638).</w:t>
      </w:r>
    </w:p>
    <w:p w14:paraId="1D27B1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11C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на ЧКЗ началось серийное производство самоходной установки ИСУ-152, которое продолжалось до 1946 г. Всего с 1943 г по май 1945 г. включительно было выпущено 1885 самоходных установок ИСУ-152, которые широко применялись на фронтах Великой Отечественной войны на ее завершающем этапе. Простота конструкции и эксплуата</w:t>
      </w:r>
      <w:r w:rsidRPr="00271E51">
        <w:rPr>
          <w:rFonts w:ascii="Times New Roman" w:hAnsi="Times New Roman"/>
          <w:color w:val="000000" w:themeColor="text1"/>
          <w:sz w:val="16"/>
          <w:szCs w:val="16"/>
        </w:rPr>
        <w:softHyphen/>
        <w:t>ции способствовали быстрому освоению машины экипажами. В по</w:t>
      </w:r>
      <w:r w:rsidRPr="00271E51">
        <w:rPr>
          <w:rFonts w:ascii="Times New Roman" w:hAnsi="Times New Roman"/>
          <w:color w:val="000000" w:themeColor="text1"/>
          <w:sz w:val="16"/>
          <w:szCs w:val="16"/>
        </w:rPr>
        <w:softHyphen/>
        <w:t>слевоенный период ИСУ-152 была модернизирована, а ее шасси ис</w:t>
      </w:r>
      <w:r w:rsidRPr="00271E51">
        <w:rPr>
          <w:rFonts w:ascii="Times New Roman" w:hAnsi="Times New Roman"/>
          <w:color w:val="000000" w:themeColor="text1"/>
          <w:sz w:val="16"/>
          <w:szCs w:val="16"/>
        </w:rPr>
        <w:softHyphen/>
        <w:t>пользовалось при создании самоходных ракетных пусковых устано</w:t>
      </w:r>
      <w:r w:rsidRPr="00271E51">
        <w:rPr>
          <w:rFonts w:ascii="Times New Roman" w:hAnsi="Times New Roman"/>
          <w:color w:val="000000" w:themeColor="text1"/>
          <w:sz w:val="16"/>
          <w:szCs w:val="16"/>
        </w:rPr>
        <w:softHyphen/>
        <w:t>вок и тягачей - эвакуаторов (10703).</w:t>
      </w:r>
    </w:p>
    <w:p w14:paraId="551AA0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8120D" w14:textId="77777777" w:rsidR="00944465" w:rsidRPr="00271E51" w:rsidRDefault="00944465" w:rsidP="00271E51">
      <w:pPr>
        <w:pStyle w:val="1162"/>
        <w:shd w:val="clear" w:color="auto" w:fill="auto"/>
        <w:spacing w:after="0" w:line="240" w:lineRule="auto"/>
        <w:ind w:firstLine="0"/>
        <w:jc w:val="both"/>
        <w:rPr>
          <w:rFonts w:ascii="Times New Roman" w:hAnsi="Times New Roman" w:cs="Times New Roman"/>
          <w:color w:val="0070C0"/>
          <w:sz w:val="16"/>
          <w:szCs w:val="16"/>
        </w:rPr>
      </w:pPr>
      <w:r w:rsidRPr="00271E51">
        <w:rPr>
          <w:rStyle w:val="96"/>
          <w:rFonts w:ascii="Times New Roman" w:hAnsi="Times New Roman" w:cs="Times New Roman"/>
          <w:color w:val="0070C0"/>
          <w:sz w:val="16"/>
          <w:szCs w:val="16"/>
        </w:rPr>
        <w:t>В декабре 1943 года объем выпуска ИС-85 при</w:t>
      </w:r>
      <w:r w:rsidRPr="00271E51">
        <w:rPr>
          <w:rStyle w:val="96"/>
          <w:rFonts w:ascii="Times New Roman" w:hAnsi="Times New Roman" w:cs="Times New Roman"/>
          <w:color w:val="0070C0"/>
          <w:sz w:val="16"/>
          <w:szCs w:val="16"/>
        </w:rPr>
        <w:softHyphen/>
        <w:t>шлось срезать в угоду ИС-122, поэтому вместо 75 ИС-85 таких танков сдали только 40 штук - оставшиеся уже были ИС-122. В январе 1944 года планировался полный переход на ИС- 122, но на ЧКЗ имелся задел по башням и кор</w:t>
      </w:r>
      <w:r w:rsidRPr="00271E51">
        <w:rPr>
          <w:rStyle w:val="96"/>
          <w:rFonts w:ascii="Times New Roman" w:hAnsi="Times New Roman" w:cs="Times New Roman"/>
          <w:color w:val="0070C0"/>
          <w:sz w:val="16"/>
          <w:szCs w:val="16"/>
        </w:rPr>
        <w:softHyphen/>
        <w:t>пусам ИС-85. В результате в январе 1944 года «допечатали» 40 ИС-85</w:t>
      </w:r>
      <w:r w:rsidRPr="00271E51">
        <w:rPr>
          <w:rStyle w:val="96"/>
          <w:rFonts w:ascii="Times New Roman" w:hAnsi="Times New Roman" w:cs="Times New Roman"/>
          <w:color w:val="0070C0"/>
          <w:sz w:val="16"/>
          <w:szCs w:val="16"/>
          <w:lang w:val="ru-RU"/>
        </w:rPr>
        <w:t xml:space="preserve"> (19872)</w:t>
      </w:r>
      <w:r w:rsidRPr="00271E51">
        <w:rPr>
          <w:rStyle w:val="96"/>
          <w:rFonts w:ascii="Times New Roman" w:hAnsi="Times New Roman" w:cs="Times New Roman"/>
          <w:color w:val="0070C0"/>
          <w:sz w:val="16"/>
          <w:szCs w:val="16"/>
        </w:rPr>
        <w:t>.</w:t>
      </w:r>
    </w:p>
    <w:p w14:paraId="23A977FB" w14:textId="77777777" w:rsidR="00944465" w:rsidRPr="00271E51" w:rsidRDefault="00944465" w:rsidP="00271E51">
      <w:pPr>
        <w:pStyle w:val="1162"/>
        <w:shd w:val="clear" w:color="auto" w:fill="auto"/>
        <w:spacing w:after="0" w:line="240" w:lineRule="auto"/>
        <w:ind w:firstLine="0"/>
        <w:jc w:val="both"/>
        <w:rPr>
          <w:rFonts w:ascii="Times New Roman" w:hAnsi="Times New Roman" w:cs="Times New Roman"/>
          <w:color w:val="0070C0"/>
          <w:sz w:val="16"/>
          <w:szCs w:val="16"/>
        </w:rPr>
      </w:pPr>
    </w:p>
    <w:p w14:paraId="376CAA61" w14:textId="77777777" w:rsidR="00944465" w:rsidRPr="00271E51" w:rsidRDefault="00944465"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декабре 1943 года на испытание вышел опытный образец Объекта 242, переделанной версии Объекта 241 (ИСУ-152) с орудием А-19. Официально работы по Объекту 242 начались еще в августе 1943 года, но потом началась эпопея с "дыроколами". Да и других работ в Челябинске хватало. Поэтому до декабря 1943 года работы попросту встали. Объект 242 разрабатывался под руководством А.С. Ермолаева, ведущим инженером машины являлся Г.Н. Москвин. На машине одновременно обкатывался ряд технических решений, включая зенитную турель с пулеметом ДШК и траки с уширителями. По результатам испытаний, которые проходили на Гороховецком АНИОП в период с 24 по 30 декабря 1943 года, была достигнута прицельная скорострельность 2-3 выстрела в минуту. Слаженный экипаж, в теории, мог достичь максимальной скорострельности 5-6 выстрелов в минуту. Испытания машина выдержала, ее рекомендовали запускать в серию, но... ни в январе, ни в феврале 1944 года по данной машине не наблюдалось никакой активности.</w:t>
      </w:r>
    </w:p>
    <w:p w14:paraId="5ED12F0B" w14:textId="77777777" w:rsidR="00944465" w:rsidRPr="00271E51" w:rsidRDefault="00944465"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Своя правда у ГАУ и ГБТУ КА была. Там ждали более мощных орудий, кроме того, на А-19 требовали поставить клиновой затвор. Другой вопрос, что даже установка клинового затвора потребовала времени, а про "дыроколы" и говорить не приходится. Работы по ним затянулись аж до 1945 года включительно, причем серийных образцов так и не случилось. Продолжаться это могло долго, но в дело вмешался Сталин. Он внёс правки в проект постановления ГКО об увеличении производства тяжёлых танков и САУ. В результате постановление ГКО №5378сс «Об увеличении производства тяжёлых танков, артиллерийских самоходных установок ИС, мощных танковых пушек и 122-152 мм снарядов» от 12 марта 1944 года вышло в свет в изменённом виде. В нём новая САУ фигурировала как ИСУ-122, под этим индексом она и пошла в серийное производство. Ну и для тех, кто верит в сказку про "переизбыток А-19". Уже на второй месяц выпуска ИСУ-122 случились первые перебои с А-19. В результате вместо 100 машин сдали 90, а ИСУ-152 сдали 135 штук вместо 125. И такое происходила не раз, не два и не три — каждый раз ЧКЗ "расплачивался" повышением объёма выпуска ИСУ-152 (20289).</w:t>
      </w:r>
    </w:p>
    <w:p w14:paraId="1A0690BD" w14:textId="77777777" w:rsidR="00944465" w:rsidRPr="00271E51" w:rsidRDefault="00944465"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798048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w:t>
      </w:r>
      <w:r w:rsidRPr="00271E51">
        <w:rPr>
          <w:rFonts w:ascii="Times New Roman" w:hAnsi="Times New Roman"/>
          <w:color w:val="000000" w:themeColor="text1"/>
          <w:sz w:val="16"/>
          <w:szCs w:val="16"/>
        </w:rPr>
        <w:softHyphen/>
        <w:t>кабре 1943 г. в КБ завода № 100 под руководством Ж.Я. Ко</w:t>
      </w:r>
      <w:r w:rsidRPr="00271E51">
        <w:rPr>
          <w:rFonts w:ascii="Times New Roman" w:hAnsi="Times New Roman"/>
          <w:color w:val="000000" w:themeColor="text1"/>
          <w:sz w:val="16"/>
          <w:szCs w:val="16"/>
        </w:rPr>
        <w:softHyphen/>
        <w:t>тина была разработана Самоходная установка ИСУ-122. При разработке имела заводское обозначение "Объект 242". Изготовленный опытный образец установки прошел полигонные испытания на Гороховецком АНИОПе в декаб</w:t>
      </w:r>
      <w:r w:rsidRPr="00271E51">
        <w:rPr>
          <w:rFonts w:ascii="Times New Roman" w:hAnsi="Times New Roman"/>
          <w:color w:val="000000" w:themeColor="text1"/>
          <w:sz w:val="16"/>
          <w:szCs w:val="16"/>
        </w:rPr>
        <w:softHyphen/>
        <w:t>ре 1943 г. Постановлением ГКО от 12 марта 1944 г. установ</w:t>
      </w:r>
      <w:r w:rsidRPr="00271E51">
        <w:rPr>
          <w:rFonts w:ascii="Times New Roman" w:hAnsi="Times New Roman"/>
          <w:color w:val="000000" w:themeColor="text1"/>
          <w:sz w:val="16"/>
          <w:szCs w:val="16"/>
        </w:rPr>
        <w:softHyphen/>
        <w:t>ка ИСУ-122 была принята на вооружение Красной Армии. Серийное производство машины началось на ЧКЗ с апреля 1944 г. и продолжалось до сентября 1945 г. До 1 июня 1945 г. завод выпустил 1435 самоходных установок ИСУ-122, кото</w:t>
      </w:r>
      <w:r w:rsidRPr="00271E51">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271E51">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271E51">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4972C1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B81BA"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коллектив ОКБ завода №100 смог приступить к работам по созданию самоходной установки, вооружённой 122-мм пушкой А-19. После полигонных испытаний опытный образец Объекта 241 месяц находился в Кубинке. Обратно в Челябинск машина вернулась только 6 декабря, после чего начались её переделки. Работы по переделке начались по заданию Главного бронетанкового управления Красной армии (ГБТУ КА) и Наркомата танковой промышленности (НКТП). Новая машина получила чертёжный индекс 242, а также именовалась как Объект 242. Кроме того, поначалу использовался ещё один индекс — СУ-ИС-122.</w:t>
      </w:r>
    </w:p>
    <w:p w14:paraId="672C8B8B"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и в случае с ИСУ-152, Объект 242 разрабатывался под руководством А.С. Ермолаева, ведущим инженером машины являлся Г.Н. Москвин. Существенных переделок по машине не требовалось. Поскольку МЛ-20 и А-19 были унифицированы по лафету, требовалось всего лишь заменить ствол и немного изменить прицел. Правда, ввиду отсутствия выстрелов калибра 122 мм заводские испытания задержались.</w:t>
      </w:r>
    </w:p>
    <w:p w14:paraId="32F23E92"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Пока машина ожидала боеприпасов, на заводе №100 зря времени не теряли. Одновременно завод №100 проводил различные опытные работы по узлам и агрегатам, которые планировалось вводить на серийных машинах — по этой причине Объект 242 также использовался в качестве передвижного стенда. Для снижения удельного давления на грунт заводское КБ разработало литые траки с уширителями (их изготавливали из стали 27 СГТ). Также на машину поставили новые планетарные механизмы поворота (ПМП). Левый ПМП получил безсепараторные подшипники производства ЧКЗ, а правый ПМП построили со шведскими подшипниками SKF. Наконец, на командирский люк поставили опытную зенитную установку крупнокалиберного пулемёта ДШКТ (18335).</w:t>
      </w:r>
    </w:p>
    <w:p w14:paraId="1257302C" w14:textId="77777777" w:rsidR="006C0ACA" w:rsidRPr="00271E51" w:rsidRDefault="006C0ACA" w:rsidP="00271E51">
      <w:pPr>
        <w:spacing w:after="0" w:line="240" w:lineRule="auto"/>
        <w:jc w:val="both"/>
        <w:rPr>
          <w:rFonts w:ascii="Times New Roman" w:hAnsi="Times New Roman"/>
          <w:color w:val="000000" w:themeColor="text1"/>
          <w:sz w:val="16"/>
          <w:szCs w:val="16"/>
        </w:rPr>
      </w:pPr>
    </w:p>
    <w:p w14:paraId="35DFC6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w:t>
      </w:r>
      <w:r w:rsidRPr="00271E51">
        <w:rPr>
          <w:rFonts w:ascii="Times New Roman" w:hAnsi="Times New Roman"/>
          <w:color w:val="000000" w:themeColor="text1"/>
          <w:sz w:val="16"/>
          <w:szCs w:val="16"/>
        </w:rPr>
        <w:softHyphen/>
        <w:t>ре 1943 г. изготовленный опытный образец установки ИСУ-122 прошел полигонные испытания на Гороховецком АНИОПе. Постановлением ГКО от 12 марта 1944 г. установ</w:t>
      </w:r>
      <w:r w:rsidRPr="00271E51">
        <w:rPr>
          <w:rFonts w:ascii="Times New Roman" w:hAnsi="Times New Roman"/>
          <w:color w:val="000000" w:themeColor="text1"/>
          <w:sz w:val="16"/>
          <w:szCs w:val="16"/>
        </w:rPr>
        <w:softHyphen/>
        <w:t>ка ИСУ-122 была принята на вооружение Красной Армии. Серийное производство машины началось на ЧКЗ с апреля 1944 г. и продолжалось до сентября 1945 г. До 1 июня 1945 г. завод выпустил 1435 самоходных установок ИСУ-122, кото</w:t>
      </w:r>
      <w:r w:rsidRPr="00271E51">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271E51">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271E51">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64C55C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A6A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Гороховецком АНИОПе при испытании само</w:t>
      </w:r>
      <w:r w:rsidRPr="00271E51">
        <w:rPr>
          <w:rFonts w:ascii="Times New Roman" w:hAnsi="Times New Roman"/>
          <w:color w:val="000000" w:themeColor="text1"/>
          <w:sz w:val="16"/>
          <w:szCs w:val="16"/>
        </w:rPr>
        <w:softHyphen/>
        <w:t>ходной установки на кронштейне в районе люка командира (правого люка) ИСУ-122 была смонтирована зенитно-пулеметная установка 12,7-мм пуле</w:t>
      </w:r>
      <w:r w:rsidRPr="00271E51">
        <w:rPr>
          <w:rFonts w:ascii="Times New Roman" w:hAnsi="Times New Roman"/>
          <w:color w:val="000000" w:themeColor="text1"/>
          <w:sz w:val="16"/>
          <w:szCs w:val="16"/>
        </w:rPr>
        <w:softHyphen/>
        <w:t>мета ДШК конструкции завода № 100. После доработки конструкции зенитная установка пулемета ДШК была принята на вооружение и с ок</w:t>
      </w:r>
      <w:r w:rsidRPr="00271E51">
        <w:rPr>
          <w:rFonts w:ascii="Times New Roman" w:hAnsi="Times New Roman"/>
          <w:color w:val="000000" w:themeColor="text1"/>
          <w:sz w:val="16"/>
          <w:szCs w:val="16"/>
        </w:rPr>
        <w:softHyphen/>
        <w:t>тября 1944 г. устанавливалась на серийных установках ИСУ-122. Для стрельбы использовался коллиматорный прицел К8-Т. Боекомплект к пулемету ДШК составлял 250 патронов (10703).</w:t>
      </w:r>
    </w:p>
    <w:p w14:paraId="132F32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A1F9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были изготовлены первые серийные танки ИС-122. Параллельно со сборкой ИСов в цехах ЧКЗ вплоть до конца года продолжался выпуск танков КВ-85. (3862).</w:t>
      </w:r>
    </w:p>
    <w:p w14:paraId="24E0E2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8C5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декабре 1943 года опытный образец установки ИСУ-122 проходил испытания на Гороховецком полигоне. Постановлением ГКО от 12 марта 1944 года ИСУ-122 была принята на вооружение Красной Армии. Серийное производство машины началось на ЧКЗ с апреля 1944 года и продолжалось до сентября 1945-го. </w:t>
      </w:r>
    </w:p>
    <w:p w14:paraId="68663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ИСУ-122 представляла собой вариант САУ ИСУ-152, в котором 152-мм гаубица-пушка МЛ-20С была заменена на 122-мм пушку А-19 обр. 1931/37 г. При этом пришлось несколько изменить и подвижную бронировку орудия. Высота линии огня составляла 1790 мм. В мае 1944 года в конструкцию ствола пушки А-19 были внесены изменения, которые нарушили взаимозаменяемость новых стволов с ранее выпущенными. Модернизированное орудие получило наименование «122-мм самоходная пушка обр. 1931/44 г». Оба орудия имели поршневой затвор. Длина ствола составляла 46,3 калибра. Устройство пушки А-19 во многом было одинаково с МЛ-20С. Она отличалась от последней стволом меньшего калибра с увеличенной на 730 мм длиной, отсутствием дульного тормоза и меньшим числом нарезов. Для наведения орудия использовались подъемный механизм секторного типа и поворотный механизм винтового типа. Углы вертикальной наводки составляли от -3° до +22°, по горизонтали — в секторе 10°. Для предохранения подъемного механизма от инерционных нагрузок в его конструкцию было введено сдающее звено в виде конусной фрикционной муфты, размещенной между червячным колесом и шестерней подъемного механизма. При стрельбе использовались телескопический прицел СТ-18, который отличался от прицела СТ-10 только нарезкой шкал, и панорамный прицел с полунезависимой или с независимой линией прицеливания (панорама Герца). Дальность стрельбы прямой наводкой составляла 5000 м, наибольшая — 14 300 м. Скорострельность — 2 — 3 выстр./мин. </w:t>
      </w:r>
    </w:p>
    <w:p w14:paraId="34B6AA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боекомплект установки входили 30 выстрелов раздельно-гильзового заря¬жания с бронебойно-трассирующим остроголовым снарядом БР-471 и бронебойно-трассирующим снарядом с баллистическим наконечником БР-471 Б, а также осколочно-фугасными пушечными гранатами: цельнокорпусной короткой ОФ-471Н, с привинтной головкой и длинной — ОФ-471. Начальная скорость бронебойного снаряда при массе 25 кг составляла 800 м/с. Дополнительно в боевом отделении укладывались два пистолета-пулемета ППШ (ППС) с боекомплектом 1491 патрон (21 диск) и 25 ручных гранат Ф-1. С октября 1944 года на части машин устанавливался зенитный пулемет ДШК с боекомплектом 250 патронов. В апреле 1944 года в КБ завода № 100 была создана самоходно-артиллерий-ская установка ИСУ-122С (ИСУ-122-2, объект 249), представлявшая собой модернизированный вариант ИСУ-122. В июне установка прошла испытания на АНИОПе в Гороховце, а 22 августа 1944 года была принята на вооружение. В том же месяце начали ее серийное производство на ЧКЗ параллельно с ИСУ-122 и ИСУ-152, которое </w:t>
      </w:r>
      <w:r w:rsidRPr="00271E51">
        <w:rPr>
          <w:rFonts w:ascii="Times New Roman" w:hAnsi="Times New Roman"/>
          <w:color w:val="000000" w:themeColor="text1"/>
          <w:sz w:val="16"/>
          <w:szCs w:val="16"/>
        </w:rPr>
        <w:lastRenderedPageBreak/>
        <w:t xml:space="preserve">продолжалось до сентября 1945 года. </w:t>
      </w:r>
    </w:p>
    <w:p w14:paraId="5EC238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ИСУ-122С была создана на базе ИСУ-122 и отличалась от нее установкой пушки Д-25С обр. 1944 г. с горизонтальным клиновым полуавтоматическим затвором и дульным тормозом. Высота линии огня составляла 1795 мм. Длина ствола — 48 калибров. За счет более компактных противооткатных устройств и казенной части пушки удалось повысить скорострельность — 6 выстр./мин. Углы вертикальной наводки составляли от -3° до +20°, по горизонтали — в секторе 10° (7°— вправо и 3° — влево). Прицелы пушки — телескопический ТШ-17 и панорама Герца. Дальность стрельбы прямой наводкой — 5000 м, максимальная — до 15 000 м. Боекомплект — такой же, как у пушки А-19. Внешне СУ-122С отличалась от СУ-122 стволом орудия и новой литой маской толщиной 120 — 150 мм. </w:t>
      </w:r>
    </w:p>
    <w:p w14:paraId="5BEC7D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1944 по 1947 год было изготовлено 2790 самоходных установок ИСУ-152, 1735 — ИСУ-122 и 675 — ИСУ-122С. Таким образом, суммарный выпуск тяжелых артсамоходов — 5200 штук — превысил число изготовленных тяжелых танков ИС — 4499 единиц. Следует отметить, что, как и в случае с ИС-2, к выпуску самоходных орудий на его базе должен был подключиться Ленинградский Кировский завод. До 9 мая 1945 года там собрали первые пять ИСУ-152, а до конца года — еще сто. В 1946 и 1947 годах производство ИСУ-152 осуществлялось только на ЛКЗ (11638).</w:t>
      </w:r>
    </w:p>
    <w:p w14:paraId="1A937A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FBFDE" w14:textId="77777777" w:rsidR="00AF626F" w:rsidRPr="00271E51" w:rsidRDefault="00AF626F"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 конце 1943 проходили испытания опытного образца самоходной артиллерийской установки Объект 242 (будущая ИСУ-122). На неё были установлены опытные «зимние» траки. Самое интересное, что про конструкцию этих траков вообще ничего не говорится, в том числе в сводках по опытным работам завода №100, который их и разработал. В коллективе завода №100 трудились и бывшие сотрудники опытного завода №185, которые занимались подобными разработками ещё до войны, но к ним эти «зимние» траки отношения не имели. В данной разработке легко угадываются немецкие Winterketten, о которых речь пойдёт ниже. Это был единый трак штампованной конструкции, имевший, как и немецкий прообраз, рёбра усиления с рабочей стороны. Для снижения массы имелись выемки с внутренней стороны уширителей (19583).</w:t>
      </w:r>
    </w:p>
    <w:p w14:paraId="0B007E0B" w14:textId="77777777" w:rsidR="00AF626F" w:rsidRPr="00271E51" w:rsidRDefault="00AF626F"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Испытания Объекта 242 проходили на Гороховецком АНИОП в период с 24 по 30 декабря 1943 года. Приоритетом являлись испытания системы А-19, установленной в САУ, поэтому непосредственно ходовым испытаниям уделялось мало внимания. Вместе с тем, уже они показали, что идея с советскими Winterketten лишена смысла. Собственно говоря, и обычные траки вели себя не лучшим образом, в связи с чем шли экспериментальные работы по созданию трака с бо́льшим ресурсом. Что уж говорить о траках с уширителями, на которые приходилась ещё бо́льшая нагрузка. Даже на небольшой дистанции ходовых испытаний около четверти уширителей траков оказались сломаны (19593).</w:t>
      </w:r>
    </w:p>
    <w:p w14:paraId="2CF03008" w14:textId="77777777" w:rsidR="00AF626F" w:rsidRPr="00271E51" w:rsidRDefault="00AF626F" w:rsidP="00271E51">
      <w:pPr>
        <w:pStyle w:val="ae"/>
        <w:shd w:val="clear" w:color="auto" w:fill="FFFFFF"/>
        <w:spacing w:before="0" w:after="0"/>
        <w:jc w:val="both"/>
        <w:textAlignment w:val="baseline"/>
        <w:rPr>
          <w:color w:val="000000" w:themeColor="text1"/>
          <w:sz w:val="16"/>
          <w:szCs w:val="16"/>
        </w:rPr>
      </w:pPr>
    </w:p>
    <w:p w14:paraId="156F7A0D"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эскизный проект САУ с орудием с баллистикой 100-мм морской пушки Б-34 передали Наркомату танковой промышленности и Управлению самоходной артиллерии (9637).</w:t>
      </w:r>
    </w:p>
    <w:p w14:paraId="70AA01B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45109D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основании постановления ГКО был изготовлен опытный образец танка "Объект 239" со 100-мм пуш</w:t>
      </w:r>
      <w:r w:rsidRPr="00271E51">
        <w:rPr>
          <w:rFonts w:ascii="Times New Roman" w:hAnsi="Times New Roman"/>
          <w:color w:val="000000" w:themeColor="text1"/>
          <w:sz w:val="16"/>
          <w:szCs w:val="16"/>
        </w:rPr>
        <w:softHyphen/>
        <w:t>кой С-34 конструкции ЦАКБ НКВ. В целях повышения боевой скорострельности 100-мм пушки С-34 была изменена компоновка боевого отделения. Командир танка и на</w:t>
      </w:r>
      <w:r w:rsidRPr="00271E51">
        <w:rPr>
          <w:rFonts w:ascii="Times New Roman" w:hAnsi="Times New Roman"/>
          <w:color w:val="000000" w:themeColor="text1"/>
          <w:sz w:val="16"/>
          <w:szCs w:val="16"/>
        </w:rPr>
        <w:softHyphen/>
        <w:t>водчик располагались справа от пушки, а заряжающий — слева от нее. Расположение входного люка и командирской башенки было зеркаль</w:t>
      </w:r>
      <w:r w:rsidRPr="00271E51">
        <w:rPr>
          <w:rFonts w:ascii="Times New Roman" w:hAnsi="Times New Roman"/>
          <w:color w:val="000000" w:themeColor="text1"/>
          <w:sz w:val="16"/>
          <w:szCs w:val="16"/>
        </w:rPr>
        <w:softHyphen/>
        <w:t>ным отображением расположения этих элементов башни на серийном танке ИС-1. Целью данной работы была всесторонняя проверка конст</w:t>
      </w:r>
      <w:r w:rsidRPr="00271E51">
        <w:rPr>
          <w:rFonts w:ascii="Times New Roman" w:hAnsi="Times New Roman"/>
          <w:color w:val="000000" w:themeColor="text1"/>
          <w:sz w:val="16"/>
          <w:szCs w:val="16"/>
        </w:rPr>
        <w:softHyphen/>
        <w:t>рукции пушки, ее эксплуатационных качеств с целью определения воз</w:t>
      </w:r>
      <w:r w:rsidRPr="00271E51">
        <w:rPr>
          <w:rFonts w:ascii="Times New Roman" w:hAnsi="Times New Roman"/>
          <w:color w:val="000000" w:themeColor="text1"/>
          <w:sz w:val="16"/>
          <w:szCs w:val="16"/>
        </w:rPr>
        <w:softHyphen/>
        <w:t>можности установки ее в башню танка "Объект 237". Испытания опытного танка "Объект 239" проходили на Гороховецком АНИОПе в период с 22 по 28 января 1944 г. По результатам испы</w:t>
      </w:r>
      <w:r w:rsidRPr="00271E51">
        <w:rPr>
          <w:rFonts w:ascii="Times New Roman" w:hAnsi="Times New Roman"/>
          <w:color w:val="000000" w:themeColor="text1"/>
          <w:sz w:val="16"/>
          <w:szCs w:val="16"/>
        </w:rPr>
        <w:softHyphen/>
        <w:t>таний было сделано заключение, что 100-мм танковая пушка С-34 ар</w:t>
      </w:r>
      <w:r w:rsidRPr="00271E51">
        <w:rPr>
          <w:rFonts w:ascii="Times New Roman" w:hAnsi="Times New Roman"/>
          <w:color w:val="000000" w:themeColor="text1"/>
          <w:sz w:val="16"/>
          <w:szCs w:val="16"/>
        </w:rPr>
        <w:softHyphen/>
        <w:t>тиллерийские полигонные испытания стрельбой выдержала и может быть рекомендована для принятия на вооружение тяжелых танков по</w:t>
      </w:r>
      <w:r w:rsidRPr="00271E51">
        <w:rPr>
          <w:rFonts w:ascii="Times New Roman" w:hAnsi="Times New Roman"/>
          <w:color w:val="000000" w:themeColor="text1"/>
          <w:sz w:val="16"/>
          <w:szCs w:val="16"/>
        </w:rPr>
        <w:softHyphen/>
        <w:t>сле устранения недостатков. Испытания пушки С-34 показали, что раз</w:t>
      </w:r>
      <w:r w:rsidRPr="00271E51">
        <w:rPr>
          <w:rFonts w:ascii="Times New Roman" w:hAnsi="Times New Roman"/>
          <w:color w:val="000000" w:themeColor="text1"/>
          <w:sz w:val="16"/>
          <w:szCs w:val="16"/>
        </w:rPr>
        <w:softHyphen/>
        <w:t>меры башни танка КВ-85 с увеличенным диаметром опоры башни допу</w:t>
      </w:r>
      <w:r w:rsidRPr="00271E51">
        <w:rPr>
          <w:rFonts w:ascii="Times New Roman" w:hAnsi="Times New Roman"/>
          <w:color w:val="000000" w:themeColor="text1"/>
          <w:sz w:val="16"/>
          <w:szCs w:val="16"/>
        </w:rPr>
        <w:softHyphen/>
        <w:t>скают установку в ней 100-мм пушки и размещение трех членов экипа</w:t>
      </w:r>
      <w:r w:rsidRPr="00271E51">
        <w:rPr>
          <w:rFonts w:ascii="Times New Roman" w:hAnsi="Times New Roman"/>
          <w:color w:val="000000" w:themeColor="text1"/>
          <w:sz w:val="16"/>
          <w:szCs w:val="16"/>
        </w:rPr>
        <w:softHyphen/>
        <w:t>жа. По результатам испытаний 100-мм пушки С-34 в танке КВ-85 в кон</w:t>
      </w:r>
      <w:r w:rsidRPr="00271E51">
        <w:rPr>
          <w:rFonts w:ascii="Times New Roman" w:hAnsi="Times New Roman"/>
          <w:color w:val="000000" w:themeColor="text1"/>
          <w:sz w:val="16"/>
          <w:szCs w:val="16"/>
        </w:rPr>
        <w:softHyphen/>
        <w:t>струкцию пушки был внесен ряд изменений, после чего заводом № 92 НКВ было изготовлено еще два дополнительных образца этой пушки. Один образец был предназначен для установки в башню танка ИС-1, второй - в самоходную артиллерийскую установку на базе танка Т-34. Заводу № 100 к 20 февраля необходимо было спроектировать и изгото</w:t>
      </w:r>
      <w:r w:rsidRPr="00271E51">
        <w:rPr>
          <w:rFonts w:ascii="Times New Roman" w:hAnsi="Times New Roman"/>
          <w:color w:val="000000" w:themeColor="text1"/>
          <w:sz w:val="16"/>
          <w:szCs w:val="16"/>
        </w:rPr>
        <w:softHyphen/>
        <w:t>вить опытный танк ИС-1 с пушкой С-34, а к 25 февраля 1944 г. предста</w:t>
      </w:r>
      <w:r w:rsidRPr="00271E51">
        <w:rPr>
          <w:rFonts w:ascii="Times New Roman" w:hAnsi="Times New Roman"/>
          <w:color w:val="000000" w:themeColor="text1"/>
          <w:sz w:val="16"/>
          <w:szCs w:val="16"/>
        </w:rPr>
        <w:softHyphen/>
        <w:t>вить его на полигонные испытания. Изготовление танка задерживалось из-за несвоевременной подачи на завод № 100 пушки С-34 в назначен</w:t>
      </w:r>
      <w:r w:rsidRPr="00271E51">
        <w:rPr>
          <w:rFonts w:ascii="Times New Roman" w:hAnsi="Times New Roman"/>
          <w:color w:val="000000" w:themeColor="text1"/>
          <w:sz w:val="16"/>
          <w:szCs w:val="16"/>
        </w:rPr>
        <w:softHyphen/>
        <w:t>ный срок — к 20 февраля 1944 г. Поэтому в НКТП было принято реше</w:t>
      </w:r>
      <w:r w:rsidRPr="00271E51">
        <w:rPr>
          <w:rFonts w:ascii="Times New Roman" w:hAnsi="Times New Roman"/>
          <w:color w:val="000000" w:themeColor="text1"/>
          <w:sz w:val="16"/>
          <w:szCs w:val="16"/>
        </w:rPr>
        <w:softHyphen/>
        <w:t>ние с целью выполнения постановления ГКО установить в серийный танк ИС-85 пушку Д-10Т. Так появился тяжелый танк "Объект 245" (за</w:t>
      </w:r>
      <w:r w:rsidRPr="00271E51">
        <w:rPr>
          <w:rFonts w:ascii="Times New Roman" w:hAnsi="Times New Roman"/>
          <w:color w:val="000000" w:themeColor="text1"/>
          <w:sz w:val="16"/>
          <w:szCs w:val="16"/>
        </w:rPr>
        <w:softHyphen/>
        <w:t>водское обозначение - ИС-4), вооруженный 100-мм пушкой Д-10Т за</w:t>
      </w:r>
      <w:r w:rsidRPr="00271E51">
        <w:rPr>
          <w:rFonts w:ascii="Times New Roman" w:hAnsi="Times New Roman"/>
          <w:color w:val="000000" w:themeColor="text1"/>
          <w:sz w:val="16"/>
          <w:szCs w:val="16"/>
        </w:rPr>
        <w:softHyphen/>
        <w:t>вода № 9 НКВ с баллистикой морской пушки Б-34 (длина ствола 56 ка</w:t>
      </w:r>
      <w:r w:rsidRPr="00271E51">
        <w:rPr>
          <w:rFonts w:ascii="Times New Roman" w:hAnsi="Times New Roman"/>
          <w:color w:val="000000" w:themeColor="text1"/>
          <w:sz w:val="16"/>
          <w:szCs w:val="16"/>
        </w:rPr>
        <w:softHyphen/>
        <w:t>либров, начальная скорость бронебойного снаряда 900 м/с). Он был из</w:t>
      </w:r>
      <w:r w:rsidRPr="00271E51">
        <w:rPr>
          <w:rFonts w:ascii="Times New Roman" w:hAnsi="Times New Roman"/>
          <w:color w:val="000000" w:themeColor="text1"/>
          <w:sz w:val="16"/>
          <w:szCs w:val="16"/>
        </w:rPr>
        <w:softHyphen/>
        <w:t>готовлен заводом № 100 в марте - апреле 1944 г. Ведущим инженером машины от завода № 100 был Н.И. Заморянский, а по пушке Д-10Т от завода № 9 - М.Е. Безусов (10703).</w:t>
      </w:r>
    </w:p>
    <w:p w14:paraId="29819C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E9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г. по август 1943 г. выпускались СУ 122. Всего было выпущено 636 машин. К сожалению, сохрани лось очень мало образцов СУ 122. Похоже, их всего два: один в Артиллерийском музее в С. Петербурге, а другой в Кубинке (11300).</w:t>
      </w:r>
    </w:p>
    <w:p w14:paraId="1DE5B7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DB1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1944 на Уралмашзаводе был построен опытный образец Су-85БМ с пушкой Д5-С85БМ со стволом, удлиненным на 1068 мм и скоростью снаряда 900 м/сек и поступил на заводские испытания (4406).</w:t>
      </w:r>
    </w:p>
    <w:p w14:paraId="7283C0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CBC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был изготовлен опытный образец установки СУ-85БМ-1 (СУ-85БМ-Н), который в январе — феврале 1944 г. успешно прошел заводские и полигонные испытания. Однако в связи с решением установить в серийную самоходную уста</w:t>
      </w:r>
      <w:r w:rsidRPr="00271E51">
        <w:rPr>
          <w:rFonts w:ascii="Times New Roman" w:hAnsi="Times New Roman"/>
          <w:color w:val="000000" w:themeColor="text1"/>
          <w:sz w:val="16"/>
          <w:szCs w:val="16"/>
        </w:rPr>
        <w:softHyphen/>
        <w:t>новку СУ-85 100-мм пушку Д-10С, превосходившую по огневой мощи пушку Д-5С-85БМ, работы по СУ-85БМ-1 были прекращены. Машина была создана на базе серийной самоходной установки СУ-85 и отличалась от нее вооружением. Экипаж машины состоял из четырех человек (10703).</w:t>
      </w:r>
    </w:p>
    <w:p w14:paraId="3D8CF5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9A21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Эскизный проект САУ, выполненый по иници</w:t>
      </w:r>
      <w:r w:rsidRPr="00271E51">
        <w:rPr>
          <w:rFonts w:ascii="Times New Roman" w:hAnsi="Times New Roman"/>
          <w:color w:val="000000" w:themeColor="text1"/>
          <w:sz w:val="16"/>
          <w:szCs w:val="16"/>
        </w:rPr>
        <w:softHyphen/>
        <w:t>ативе главного конструктора УЗТМ Л.И. Горлицкого конструкторами Г.Ф. Ксюниным, А.Г. Гайворонских, А.Д. Нехлюдовым, В.Л. Лихомано-вым, Л.А. Пинусом и др., был передан в НКТП и УСА На основе этого проекта, а также в связи с необходимо</w:t>
      </w:r>
      <w:r w:rsidRPr="00271E51">
        <w:rPr>
          <w:rFonts w:ascii="Times New Roman" w:hAnsi="Times New Roman"/>
          <w:color w:val="000000" w:themeColor="text1"/>
          <w:sz w:val="16"/>
          <w:szCs w:val="16"/>
        </w:rPr>
        <w:softHyphen/>
        <w:t>стью дальнейшего усиления вооружения средних самоходно-артилле</w:t>
      </w:r>
      <w:r w:rsidRPr="00271E51">
        <w:rPr>
          <w:rFonts w:ascii="Times New Roman" w:hAnsi="Times New Roman"/>
          <w:color w:val="000000" w:themeColor="text1"/>
          <w:sz w:val="16"/>
          <w:szCs w:val="16"/>
        </w:rPr>
        <w:softHyphen/>
        <w:t>рийских установок, ГКО своим постановлением от 27 декабря 1943 г. обязал ЦКАБ разработать проект 100-мм пушки для ее монтажа в само</w:t>
      </w:r>
      <w:r w:rsidRPr="00271E51">
        <w:rPr>
          <w:rFonts w:ascii="Times New Roman" w:hAnsi="Times New Roman"/>
          <w:color w:val="000000" w:themeColor="text1"/>
          <w:sz w:val="16"/>
          <w:szCs w:val="16"/>
        </w:rPr>
        <w:softHyphen/>
        <w:t>ходной установке СУ-85 (10703).</w:t>
      </w:r>
    </w:p>
    <w:p w14:paraId="7DBD3B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23F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испытали артсамоход СУ-74Б с противотанковой пушкой ЗИС-2. Эти машины не пошли в серию по разным причинам, но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новых машин (3862).</w:t>
      </w:r>
    </w:p>
    <w:p w14:paraId="08A840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2B7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испытали артсамоход СУ-74Б с противотанковой пушкой ЗИС-2 (3862).</w:t>
      </w:r>
    </w:p>
    <w:p w14:paraId="183FD3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29F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по заказу ГАУ РККА конструкторским бюро под руководством М.Н. Щукина была разра</w:t>
      </w:r>
      <w:r w:rsidRPr="00271E51">
        <w:rPr>
          <w:rFonts w:ascii="Times New Roman" w:hAnsi="Times New Roman"/>
          <w:color w:val="000000" w:themeColor="text1"/>
          <w:sz w:val="16"/>
          <w:szCs w:val="16"/>
        </w:rPr>
        <w:softHyphen/>
        <w:t>ботана Зенитная самоходная установка ЗСУ-37 завода № 38. В качестве базовой машины была ис</w:t>
      </w:r>
      <w:r w:rsidRPr="00271E51">
        <w:rPr>
          <w:rFonts w:ascii="Times New Roman" w:hAnsi="Times New Roman"/>
          <w:color w:val="000000" w:themeColor="text1"/>
          <w:sz w:val="16"/>
          <w:szCs w:val="16"/>
        </w:rPr>
        <w:softHyphen/>
        <w:t>пользована самоходная установка СУ-76М. Опытный образец машины успешно прошел государственные испытания. По результатам испыта</w:t>
      </w:r>
      <w:r w:rsidRPr="00271E51">
        <w:rPr>
          <w:rFonts w:ascii="Times New Roman" w:hAnsi="Times New Roman"/>
          <w:color w:val="000000" w:themeColor="text1"/>
          <w:sz w:val="16"/>
          <w:szCs w:val="16"/>
        </w:rPr>
        <w:softHyphen/>
        <w:t>ний в феврале 1944 г. установка была рекомендована к принятию на во</w:t>
      </w:r>
      <w:r w:rsidRPr="00271E51">
        <w:rPr>
          <w:rFonts w:ascii="Times New Roman" w:hAnsi="Times New Roman"/>
          <w:color w:val="000000" w:themeColor="text1"/>
          <w:sz w:val="16"/>
          <w:szCs w:val="16"/>
        </w:rPr>
        <w:softHyphen/>
        <w:t>оружение и производство, однако завод № 38 не располагал необходи</w:t>
      </w:r>
      <w:r w:rsidRPr="00271E51">
        <w:rPr>
          <w:rFonts w:ascii="Times New Roman" w:hAnsi="Times New Roman"/>
          <w:color w:val="000000" w:themeColor="text1"/>
          <w:sz w:val="16"/>
          <w:szCs w:val="16"/>
        </w:rPr>
        <w:softHyphen/>
        <w:t>мым оборудованием для ее серийного производства. Чертежи установ</w:t>
      </w:r>
      <w:r w:rsidRPr="00271E51">
        <w:rPr>
          <w:rFonts w:ascii="Times New Roman" w:hAnsi="Times New Roman"/>
          <w:color w:val="000000" w:themeColor="text1"/>
          <w:sz w:val="16"/>
          <w:szCs w:val="16"/>
        </w:rPr>
        <w:softHyphen/>
        <w:t>ки были переданы в КБ завода № 40, где они были доработаны коллективом конструкторов под руководством Л.Ф. Попова. Весной 1944 г. за</w:t>
      </w:r>
      <w:r w:rsidRPr="00271E51">
        <w:rPr>
          <w:rFonts w:ascii="Times New Roman" w:hAnsi="Times New Roman"/>
          <w:color w:val="000000" w:themeColor="text1"/>
          <w:sz w:val="16"/>
          <w:szCs w:val="16"/>
        </w:rPr>
        <w:softHyphen/>
        <w:t>водом № 40 был выпущен второй опытный образец, который отличался от своего прототипа силовой установкой, размерами и массой, а также конструкцией вращающейся башни. В июле 1944 г. этот образец прошел полигонные испытания на НИБТ полигоне. По результатам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успешно прошел полигонные испытания и был рекомендован к принятию на во</w:t>
      </w:r>
      <w:r w:rsidRPr="00271E51">
        <w:rPr>
          <w:rFonts w:ascii="Times New Roman" w:hAnsi="Times New Roman"/>
          <w:color w:val="000000" w:themeColor="text1"/>
          <w:sz w:val="16"/>
          <w:szCs w:val="16"/>
        </w:rPr>
        <w:softHyphen/>
        <w:t>оружение РККА (10703).</w:t>
      </w:r>
    </w:p>
    <w:p w14:paraId="0B0D4C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45D7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заводе № 38 по заказу ГАУ РККА конструктор</w:t>
      </w:r>
      <w:r w:rsidRPr="00271E51">
        <w:rPr>
          <w:rFonts w:ascii="Times New Roman" w:hAnsi="Times New Roman"/>
          <w:color w:val="000000" w:themeColor="text1"/>
          <w:sz w:val="16"/>
          <w:szCs w:val="16"/>
        </w:rPr>
        <w:softHyphen/>
        <w:t>ским бюро под руководством М.Н. Щукина была разработана зенитная самоходная установка ЗСУ-37. Опытный образец машины, созданный на базе самоходной установки СУ-76М, успешно прошел государствен</w:t>
      </w:r>
      <w:r w:rsidRPr="00271E51">
        <w:rPr>
          <w:rFonts w:ascii="Times New Roman" w:hAnsi="Times New Roman"/>
          <w:color w:val="000000" w:themeColor="text1"/>
          <w:sz w:val="16"/>
          <w:szCs w:val="16"/>
        </w:rPr>
        <w:softHyphen/>
        <w:t>ные испытания. По результатам испытаний в феврале 1944 г. ЗСУ была рекомендована к принятию на вооружение РККА, однако завод № 38 не располагал необходимым оборудованием для ее серийного производст</w:t>
      </w:r>
      <w:r w:rsidRPr="00271E51">
        <w:rPr>
          <w:rFonts w:ascii="Times New Roman" w:hAnsi="Times New Roman"/>
          <w:color w:val="000000" w:themeColor="text1"/>
          <w:sz w:val="16"/>
          <w:szCs w:val="16"/>
        </w:rPr>
        <w:softHyphen/>
        <w:t>ва. Чертежи установки были переданы в КБ завода № 40, где они были доработаны коллективом конструкторов под руководством Л.Ф. Попова. Весной 1944 г. заводом № 40 был выпущен второй опытный образец, который отличался от своего прототипа силовой установкой, размера</w:t>
      </w:r>
      <w:r w:rsidRPr="00271E51">
        <w:rPr>
          <w:rFonts w:ascii="Times New Roman" w:hAnsi="Times New Roman"/>
          <w:color w:val="000000" w:themeColor="text1"/>
          <w:sz w:val="16"/>
          <w:szCs w:val="16"/>
        </w:rPr>
        <w:softHyphen/>
        <w:t>ми и массой, а также конструкцией вращающейся башни. В июле 1944 г. этот образец прошел полигонные испытания на НИБТ полигоне. По ре</w:t>
      </w:r>
      <w:r w:rsidRPr="00271E51">
        <w:rPr>
          <w:rFonts w:ascii="Times New Roman" w:hAnsi="Times New Roman"/>
          <w:color w:val="000000" w:themeColor="text1"/>
          <w:sz w:val="16"/>
          <w:szCs w:val="16"/>
        </w:rPr>
        <w:softHyphen/>
        <w:t xml:space="preserve">зультатам испытаний летом того же года был выпущен третий опытный образец самоходной установки, на котором была вновь использована силовая установка СУ-76М. В октябре - ноябре 1944 г. этот опытный образец </w:t>
      </w:r>
      <w:r w:rsidRPr="00271E51">
        <w:rPr>
          <w:rFonts w:ascii="Times New Roman" w:hAnsi="Times New Roman"/>
          <w:color w:val="000000" w:themeColor="text1"/>
          <w:sz w:val="16"/>
          <w:szCs w:val="16"/>
        </w:rPr>
        <w:lastRenderedPageBreak/>
        <w:t>успешно прошел полигонные испытания и был рекомендован к принятию на вооружение РККА. В 1945 - 1948 гг. ЗСУ производилась на заводе № 40 в г. Мытищи Московской области. В 1945 г. было изго</w:t>
      </w:r>
      <w:r w:rsidRPr="00271E51">
        <w:rPr>
          <w:rFonts w:ascii="Times New Roman" w:hAnsi="Times New Roman"/>
          <w:color w:val="000000" w:themeColor="text1"/>
          <w:sz w:val="16"/>
          <w:szCs w:val="16"/>
        </w:rPr>
        <w:softHyphen/>
        <w:t>товлено 12 самоходных установок ЗСУ-37 (10703).</w:t>
      </w:r>
    </w:p>
    <w:p w14:paraId="4A5A2E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C822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в НИИ-13 совместно со слушателями Бронетанковой академии прошло эскизное проектирова</w:t>
      </w:r>
      <w:r w:rsidRPr="00271E51">
        <w:rPr>
          <w:rFonts w:ascii="Times New Roman" w:hAnsi="Times New Roman"/>
          <w:color w:val="000000" w:themeColor="text1"/>
          <w:sz w:val="16"/>
          <w:szCs w:val="16"/>
        </w:rPr>
        <w:softHyphen/>
        <w:t>ние легкой САУ взамен СУ-76. Разработанная машина должна была получить дизель ОМС мощностью 180—200 л.с. и вооружение в виде 85-мм пушки малого отка</w:t>
      </w:r>
      <w:r w:rsidRPr="00271E51">
        <w:rPr>
          <w:rFonts w:ascii="Times New Roman" w:hAnsi="Times New Roman"/>
          <w:color w:val="000000" w:themeColor="text1"/>
          <w:sz w:val="16"/>
          <w:szCs w:val="16"/>
        </w:rPr>
        <w:softHyphen/>
        <w:t>та. В качестве шасси предлагалось использовать немного доработанное шасси СУ-76, применение однодвигательно-го агрегата могло увеличить размеры боевого отделения, ку</w:t>
      </w:r>
      <w:r w:rsidRPr="00271E51">
        <w:rPr>
          <w:rFonts w:ascii="Times New Roman" w:hAnsi="Times New Roman"/>
          <w:color w:val="000000" w:themeColor="text1"/>
          <w:sz w:val="16"/>
          <w:szCs w:val="16"/>
        </w:rPr>
        <w:softHyphen/>
        <w:t>да планоровалось устанавить 85-мм орудие, имеющее кон</w:t>
      </w:r>
      <w:r w:rsidRPr="00271E51">
        <w:rPr>
          <w:rFonts w:ascii="Times New Roman" w:hAnsi="Times New Roman"/>
          <w:color w:val="000000" w:themeColor="text1"/>
          <w:sz w:val="16"/>
          <w:szCs w:val="16"/>
        </w:rPr>
        <w:softHyphen/>
        <w:t>струкцию, сходную с Д-5, но дополнительно оснащенную дульным тормозом реактивного типа (11417).</w:t>
      </w:r>
    </w:p>
    <w:p w14:paraId="18CF3D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C8C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была подготовлена ДОКЛАДНАЯ ЗАПИСКА КОМАНДУЮЩЕГО БТ и МВ КА ЗАМЕСТИТЕЛЮ ПРЕДСЕДАТЕЛЯ ГКО В.М. МОЛОТОВУ ПО ВОПРОСУ ИЗГОТОВЛЕНИЯ ЗЕНИТНЫХ БРОНЕПОЕЗДОВ</w:t>
      </w:r>
    </w:p>
    <w:p w14:paraId="021995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Представляю проект постановления Государственного комитета обороны об изготовлении 3 зенитных бронепоездов в I квартале 1944 года.</w:t>
      </w:r>
    </w:p>
    <w:p w14:paraId="2A9337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изготовления зенитных бронепоездов в значительной части будут использованы материа</w:t>
      </w:r>
      <w:r w:rsidRPr="00271E51">
        <w:rPr>
          <w:rFonts w:ascii="Times New Roman" w:hAnsi="Times New Roman"/>
          <w:color w:val="000000" w:themeColor="text1"/>
          <w:sz w:val="16"/>
          <w:szCs w:val="16"/>
        </w:rPr>
        <w:softHyphen/>
        <w:t>лы, имеющиеся в наличии — оставшиеся от строительства полевых бронепоездов в 1943 г.</w:t>
      </w:r>
    </w:p>
    <w:p w14:paraId="6CB3C6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Зенитные бронепоезда предназначаются для охраны войск и объектов в районе железных дорог от авиации противника, а также могут применяться как обычные полевые бронепоезда для непо</w:t>
      </w:r>
      <w:r w:rsidRPr="00271E51">
        <w:rPr>
          <w:rFonts w:ascii="Times New Roman" w:hAnsi="Times New Roman"/>
          <w:color w:val="000000" w:themeColor="text1"/>
          <w:sz w:val="16"/>
          <w:szCs w:val="16"/>
        </w:rPr>
        <w:softHyphen/>
        <w:t>средственного подавления живой силы и наземных огневых средств противника.</w:t>
      </w:r>
    </w:p>
    <w:p w14:paraId="47C24A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Зенитные бронепоезда являются хорошо подвижным средством с постоянной боевой готовностью.</w:t>
      </w:r>
    </w:p>
    <w:p w14:paraId="03B3BF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Ходатайствую об утверждении проекта постановления Государственного комитета обороны.</w:t>
      </w:r>
    </w:p>
    <w:p w14:paraId="21C639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проект постановления ГОКО на 2-х листах</w:t>
      </w:r>
    </w:p>
    <w:p w14:paraId="4C9EF00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086AD1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ЦАМО. Ф. 38. Оп. 11358. Д. 216. Л. 1. Копия (11403).</w:t>
      </w:r>
    </w:p>
    <w:p w14:paraId="04FA95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542C15" w14:textId="77777777" w:rsidR="006C0ACA" w:rsidRPr="00271E51" w:rsidRDefault="006C0ACA"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 декабре 1943 года опытный образец лёгкой САУ — ГАЗ-75 (ведущий инженер И.В. Гавалов), разработанной за рекордно короткие сроки — всего 26 дней, направили на НИБТ Полигон. Параллельно заводское КБ работало над технической документацией, эти работы продолжались до февраля 1944 года включительно. При боевой массе 14 т машина имела толщину лобовой брони 82 мм, а также 85-мм пушку Д-5С-85. В целом испытания прошли успешно, но дальше опытного экземпляра дело не продвинулось. Причины называют самые разные, но на самом деле они все не имеют отношения к реальности. Фактически ГАЗ-75 «утопил» А.А. Липгардт, главный конструктор ГАЗ. Он не был заинтересован в превращении Горьковского автозавода в завод танковый, тем более что постепенно шли работы по знаменитой «Победе». По этой причине принципиально новые разработки постепенно сводили на нет. Уже в марте 1944 года ни о каком ГАЗ-75 речи не шло, а какие-то перспективы на 1945 год — это плод буйной фантазии отдельных авторов (19620).</w:t>
      </w:r>
    </w:p>
    <w:p w14:paraId="642BF193" w14:textId="77777777" w:rsidR="006C0ACA" w:rsidRPr="00271E51" w:rsidRDefault="006C0ACA" w:rsidP="00271E51">
      <w:pPr>
        <w:pStyle w:val="ae"/>
        <w:shd w:val="clear" w:color="auto" w:fill="FFFFFF"/>
        <w:spacing w:before="0" w:after="0"/>
        <w:jc w:val="both"/>
        <w:textAlignment w:val="baseline"/>
        <w:rPr>
          <w:color w:val="000000" w:themeColor="text1"/>
          <w:sz w:val="16"/>
          <w:szCs w:val="16"/>
        </w:rPr>
      </w:pPr>
    </w:p>
    <w:p w14:paraId="04DF8D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после рассмотрения в Управлении самоходной артиллерии ГБТУ проекта механизма заряжания, предложенный доцентами Магнитогорского горнометаллургического института Жердевым, Скрипкиным и Ростовцевым (емкостью магазина на восемь выстрелов) было принято решение о не сообразности реализации его в металле из-за низкой расчетной скор рельности пушки (10703).</w:t>
      </w:r>
    </w:p>
    <w:p w14:paraId="0F3DFC8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D8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испытывали БА-64В и БА-64Г, приспособленные для движения по рельсам (3018,29).</w:t>
      </w:r>
    </w:p>
    <w:p w14:paraId="1A7AD6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563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Заводом № 703 НКМВ , Красноярский завод «Сельмаш» НКМВ, Красноярский завод комбайнов НКМВ, ОАО «ПО «Красноярский завод комбайнов» /660049  г. Красноярск ул. Профсоюзов, 3/ начато освоение производства зерноуборочных комбайнов, которое после войны стало основным для завода. 11.08.1944 г. вышло постановление ГКО № 6370 об ускорении строительства и ввода в действие в 1944 г. 1-й очереди Красноярского завода комбайнов НКМВ.</w:t>
      </w:r>
    </w:p>
    <w:p w14:paraId="7F150293" w14:textId="77777777" w:rsidR="00FC04C9" w:rsidRPr="00271E51" w:rsidRDefault="00FC04C9" w:rsidP="00271E51">
      <w:pPr>
        <w:widowControl w:val="0"/>
        <w:tabs>
          <w:tab w:val="left" w:pos="1115"/>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1950-х  г. начат выпуск ТНП: мясорубок, зонтов, стиральных машин. В 1969 г. разработана собственная модель комбайна «Сибиряк». В 1950-е  г. завод выпускал до 4 тыс. комбайнов в год, в конце 1960-х - до 18 тыс. в год. В начале 1990-х  г. производство резко сократилось (в 1992 г. выпущено 400, а в 1998 г. - 294</w:t>
      </w:r>
    </w:p>
    <w:p w14:paraId="6410AC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комбайна). Но уже к 2000 г. производство увеличено до 3000 машин в год. К началу 2000-х  г. всего построено около 700 тыс. комбайнов.</w:t>
      </w:r>
    </w:p>
    <w:p w14:paraId="6EB58D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2000 г. на базе Красноярского завода комбайнов создан «Сибирский машиностроительный холдинг» («Сибмашхолдинг»), В 01.2003 г. на базе завода создано ПО «Красноярский завод комбайнов», в состав которого вошли также Назаровский машиностроительный завод и Красноярский ССЗ. В 03.2003 г. Красноярский завод комбайнов вошел в состав машиностроительной корпорации «Агромашхолдинг». Входил в Концерн «Тракторные заводы» (2006 г.).</w:t>
      </w:r>
    </w:p>
    <w:p w14:paraId="460339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(03.1946 г.)- 4345 чел., (1980 г.)- около 12 тыс. чел.</w:t>
      </w:r>
    </w:p>
    <w:p w14:paraId="04B92C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(06.1942 г.)- Сосин. Гендиректор (-2003-08.2004 г.)- О. Кириллов (с 02.2004 г. одновременно- президент «Агромашхолдинга»), (08.2004 г.-)- А. Климашин.</w:t>
      </w:r>
    </w:p>
    <w:p w14:paraId="4EE6CD63" w14:textId="77777777" w:rsidR="00FC04C9" w:rsidRPr="00271E51" w:rsidRDefault="00FC04C9" w:rsidP="00271E51">
      <w:pPr>
        <w:widowControl w:val="0"/>
        <w:tabs>
          <w:tab w:val="left" w:pos="1427"/>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начальника цеха: литейного (ВОВ)- И.И. Высочин. -</w:t>
      </w:r>
      <w:r w:rsidRPr="00271E51">
        <w:rPr>
          <w:rFonts w:ascii="Times New Roman" w:hAnsi="Times New Roman"/>
          <w:color w:val="000000" w:themeColor="text1"/>
          <w:sz w:val="16"/>
          <w:szCs w:val="16"/>
          <w:lang w:val="en-US"/>
        </w:rPr>
        <w:t>J</w:t>
      </w:r>
      <w:r w:rsidRPr="00271E51">
        <w:rPr>
          <w:rFonts w:ascii="Times New Roman" w:hAnsi="Times New Roman"/>
          <w:iCs/>
          <w:color w:val="000000" w:themeColor="text1"/>
          <w:sz w:val="16"/>
          <w:szCs w:val="16"/>
        </w:rPr>
        <w:tab/>
        <w:t>Производство:</w:t>
      </w:r>
      <w:r w:rsidRPr="00271E51">
        <w:rPr>
          <w:rFonts w:ascii="Times New Roman" w:hAnsi="Times New Roman"/>
          <w:color w:val="000000" w:themeColor="text1"/>
          <w:sz w:val="16"/>
          <w:szCs w:val="16"/>
        </w:rPr>
        <w:t xml:space="preserve"> корпуса 82-мм мин, снаряды 45-мм, 76-мм (1942);</w:t>
      </w:r>
      <w:r w:rsidRPr="00271E51">
        <w:rPr>
          <w:rFonts w:ascii="Times New Roman" w:hAnsi="Times New Roman"/>
          <w:iCs/>
          <w:color w:val="000000" w:themeColor="text1"/>
          <w:sz w:val="16"/>
          <w:szCs w:val="16"/>
        </w:rPr>
        <w:t xml:space="preserve"> комбайны:</w:t>
      </w:r>
      <w:r w:rsidRPr="00271E51">
        <w:rPr>
          <w:rFonts w:ascii="Times New Roman" w:hAnsi="Times New Roman"/>
          <w:color w:val="000000" w:themeColor="text1"/>
          <w:sz w:val="16"/>
          <w:szCs w:val="16"/>
        </w:rPr>
        <w:t xml:space="preserve"> прицепной зерноуборочный</w:t>
      </w:r>
    </w:p>
    <w:p w14:paraId="076229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«Коммунар» (1944-), самоходные: С-4 (1947-), С-4М (1950-е), СК-3 (1959-), СКГ-3 (1959-), СК-4 (1965-), СКД-5 (1969-), «Сибиряк» (1969-), СКД-6 (1981-), «Енисей-1200 (1984-), -1200НМ (1994-), 1200У («Руслан», 2000-)».</w:t>
      </w:r>
    </w:p>
    <w:p w14:paraId="5BD577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Назаровский машиностроительный завод /г. Назарово Красноярского кр./</w:t>
      </w:r>
    </w:p>
    <w:p w14:paraId="275F27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01.2003 г. завод вошел в состав ПО «Красноярский завод комбайнов». Входил в «Агромашхолдинг» (2004 г.) (11982).</w:t>
      </w:r>
    </w:p>
    <w:p w14:paraId="088CD8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78D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 1943 г. из СПРАВКИ ЗАМЕСТИТЕЛЯ ЗАВЕДУЮЩЕГО ОТДЕЛОМ ЭЛЕКТРОПРОМЫШЛЕННОСТИ ОБКОМА ВКП(б) P.M. ЛИВШИЦА «О РАЗВИТИИ ЭЛЕКТРОПРОМЫШЛЕННЫХ ПРЕДПРИЯТИЙ В НОВОСИБИРСКОЙ ОБЛАСТИ»</w:t>
      </w:r>
    </w:p>
    <w:p w14:paraId="059C952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Состав предприятий и номенклатура выпуска</w:t>
      </w:r>
    </w:p>
    <w:p w14:paraId="6312E54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количеству предприятий и выпускаемой ими продукции Новосибирская область является центром электропромышленности на востоке Союза, заводы которой изготовляют следующие изделия:</w:t>
      </w:r>
    </w:p>
    <w:p w14:paraId="66F325D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-Мощные радиостанции фронтовой связи </w:t>
      </w:r>
    </w:p>
    <w:p w14:paraId="18FFA0C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-Радиостанции дальней связи средней мощности </w:t>
      </w:r>
    </w:p>
    <w:p w14:paraId="21C75C1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-Радиопеленгационные установки </w:t>
      </w:r>
    </w:p>
    <w:p w14:paraId="7825A75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-Радиоприемные станции для вооружения танков и самолетов </w:t>
      </w:r>
    </w:p>
    <w:p w14:paraId="57928B0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-Прием но-передающие станции для наземной связи </w:t>
      </w:r>
    </w:p>
    <w:p w14:paraId="2BEC694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-Приемно-усилительные и генераторные лампы, газовые приборы, рентгеновские трубки, миниатюрные осветительные лампы </w:t>
      </w:r>
    </w:p>
    <w:p w14:paraId="278FAB8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-Зенитные и посадочные прожекторные станции, станции электризации заграждений, морские и гражданские прожекторы, зарядные базы и агрегаты </w:t>
      </w:r>
    </w:p>
    <w:p w14:paraId="4DB5032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ряду выпускаемых изделий заводы электропромышленности области являются монополистами. Так, например, завод № 617 — единственный в Советском Союзе выпускает рентгеновские трубки, приемно-усилительные лампы типа «Желудь», термоэлементы, ртутные колбы (для ртутных выпрямителей), специальные миниатюрные осветительные лампы.</w:t>
      </w:r>
    </w:p>
    <w:p w14:paraId="3446110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208 — единственный по выпуску мощных радиостанций фронтовой связи типа «Даль».</w:t>
      </w:r>
    </w:p>
    <w:p w14:paraId="7F0940E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644 — по выпуску аэродромных посадочно-маячных станций типа ПМ-9 и станций электризации типа АЭ-2.</w:t>
      </w:r>
    </w:p>
    <w:p w14:paraId="210B5FD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590 -- по выпуску приемных радиостанций типа «Мак» для авиации дальнего действия .</w:t>
      </w:r>
    </w:p>
    <w:p w14:paraId="4C6996F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Восстановление мощностей заводов электропромышленности</w:t>
      </w:r>
    </w:p>
    <w:p w14:paraId="09D29C3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Эвакуация в Новосибирскую область предприятий НКЭП произведена неудовлетворительно. Большинство заводов прибыли с некомплектным оборудованием, без специнструмента, автотранспорта, без достаточного количества ИТР и квалифицированных рабочих (заводы № ..., 617, 208). Некомплектность привезенного оборудования у заводов, отсутствие специального инструмента, недостаток квалифицированных кадров явились большим тормозом к быстрому выпуску заводов электропромышленности. Вследствие неудовлетворительных темпов строительно-монтажных работ, проводимых в настоящее время Главвоенстроем (УВС-10), Наркомстроем (ОСМУ-5), Наркомэлектропромом (трест № 48), заводы до сих пор работают не на всю мощность эвакуированного оборудования, особенно Томская группа заводов. </w:t>
      </w:r>
    </w:p>
    <w:p w14:paraId="6FBEB85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Рост выпуска продукции заводами Наркомэлектропрома</w:t>
      </w:r>
    </w:p>
    <w:p w14:paraId="02B22EA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среднемесячном росте плана в 1943 году по сравнению с 1942 годом на 81 процент фактический среднемесячный прирост выпуска продукции в 1943 году составляет 108 процентов, т.е. в 1943 году заводы выпустили вдвое больше продукции, чем в 1942 году. Наряду с увеличением выпуска продукции значительно </w:t>
      </w:r>
      <w:r w:rsidRPr="00271E51">
        <w:rPr>
          <w:rFonts w:ascii="Times New Roman" w:hAnsi="Times New Roman"/>
          <w:color w:val="000000" w:themeColor="text1"/>
          <w:sz w:val="16"/>
          <w:szCs w:val="16"/>
        </w:rPr>
        <w:lastRenderedPageBreak/>
        <w:t>увеличен ассортимент выпускаемых изделий и улучшено их качество. Однако часть заводов электропромышленности систематически не выполняют план но номенклатуре. Это является следствием не только неудовлетворительной работы ряда заводов, но и незаконченного строительства крайне необходимых объектов, отсутствие которых создает диспропорцию отдельных звеньев завода. Наиболее плохо выполняется план по следующим изделиям: завод N° 644 - морские прожекторы — план 11 месяцев 1943 года выполнен на 41,1%, завод № 617 - металлические лампы - на 32,4%, завод № 617 - генераторные лампы — на 82,0%. Необходимые меры для улучшения работы заводов электропромышленности: Выделить недостающие дефицитные материалы и изделия для окончания строительства заводов НКЭП (металлические трубы, огнеупоры, стекло, кровля, арматура). Укрепить транспорт заводов выделением 26 автомашин и 260 лошадей. Выделить два совхоза для трех заводов города Новосибирска. Отпустить единовременно промтоваров на сумму 550 тысяч рублей для рабочих и ИТР заводов НКЭП, крайне нуждающихся в срочном приобретении промтоваров. Обязать НКЭП организовать на заводе № 617 цех производства вакуумного оборудования для вакуумной промышленности Востока ... развернуть в первом квартале 1944 года строительство завода № 208 на новой площадке, расположенной у железной дороги, использовав имеющуюся техническую документацию зданий бывшего завода № 208 в г. Ленинграде. В настоящее время завод № 208 расположен на 4 площадках, причем ни одна из них по своим размерам не позволяет произвести постройку всех необходимых зданий в одном месте. Строительство завода возложить на трест № 48 НКЭП при обязательном выделении тресту 1 000 человек рабочих.</w:t>
      </w:r>
    </w:p>
    <w:p w14:paraId="08B4A9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зав. отделом электропромышленности обкома ВКП(б) Лившиц</w:t>
      </w:r>
    </w:p>
    <w:p w14:paraId="15C7AAD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102-110. Подлинник.</w:t>
      </w:r>
    </w:p>
    <w:p w14:paraId="27F15ED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Подпись-автограф Лившица. Один из экземпляров машинописной закладки (12194).</w:t>
      </w:r>
    </w:p>
    <w:p w14:paraId="71CF8ABF"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BCEC6A9" w14:textId="77777777" w:rsidR="003D527B" w:rsidRPr="00271E51" w:rsidRDefault="003D527B"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hAnsi="Times New Roman"/>
          <w:color w:val="0070C0"/>
          <w:sz w:val="16"/>
          <w:szCs w:val="16"/>
        </w:rPr>
        <w:t>В декабре 1943 г. первый мотоброневагон Д-2 из 7 захваченных в 1941 (из 30 построенных) был внесен в список действующих германских броневагонов под номером 17 (Panzertriebwagen № 17). Позже, в период с ноября 1943 г. по январь 1944 г., к нему присоединились остальные шесть бывших советских броневагонов, получивших номера с 18 по 23. Их основное вооружение осталось прежним — два 76-мм орудия (модернизированные в 1930 г. российские «трехдюймовки» образца 1902 г.; немецкое обозначение F.K.295/1(r)) во вращающихся башнях, пулеметы, естественно, заменили немецкими. Толщина бронирования не изменилась и составляла 16 мм (борт, башня), вес достигал 34 тонн. В некоторых источниках встречается утверждение, что немцы заменили родной ярославский 93-сильный двигатель восьмицилиндровым двигателем мощностью 180 л. с. (22752).</w:t>
      </w:r>
    </w:p>
    <w:p w14:paraId="66A8074D" w14:textId="77777777" w:rsidR="003D527B" w:rsidRPr="00271E51" w:rsidRDefault="003D527B"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420AAB8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 1943 г. из ОТЧЕТА О РАБОТЕ ГОСУДАРСТВЕННОГО СОЮЗНОГО ОРДЕНА ТРУДОВОГО КРАСНОГО ЗНАМЕНИ ЗАВОДА № 635 НКБ ЗА 1943 г.</w:t>
      </w:r>
    </w:p>
    <w:p w14:paraId="2E6305BA" w14:textId="5F89762E"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1943 год для завода </w:t>
      </w:r>
      <w:r w:rsidR="003D527B"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rPr>
        <w:t xml:space="preserve"> 635 был годом резкого увеличения выпуска продукции по сравнению с 1942 годом, освоения новых видов изделий, значительного роста производительности труда, усовершенствования технологического процесса, внедрения на ряде изделий поточных методов производства, внедрения новых социалистических форм труда на базе широко развернутого социалистического соревнования, внедрения новых усовершенствований, рацмероприятий, давших значительную экономию как по основным, так и по вспомогательным материалам, а также сокращения потребности рабочих, снижения себестоимости продукции по важнейшим изделиям и улучшения материально-бытового обслуживания трудящихся - коллектива завода. За 1943 год завод выпустил продукции в 2,2 раза больше против 1942 года. Производительность труда повысилась на 47,6% против отчета 1942 года. Снизилась себестоимость по сравниваемой продукции на 23%. За 1943 год заводом освоены и переданы в валовое производство 7 видов новых изделий: 122 мм О.Ф. с привинтной головкой, 122 мм О.Ф. цельнокорпусные снаряжения шнекованием амматолом 80/20, впервые освоены в системе НКБ заводом № 635, сухопутные мины ЯМ-5, 57 мм О.Ф. снаряды, ФАБ-50 и химические шашки ЯФУ-21. Заводом освоено производство корпусов-футляров для изделий ЯФУ и ЯМ-21. В 1943 году завод в течение 9 месяцев подряд выполнял и перевыполнял производственную программу. Невыполнение плана в I квартале объясняется большими простоями из-за отсутствия угля и корпусов по ряду номенклатур. Только за I квартал 1943 года завод простоял из-за отсутствия угля 18 тысяч ч[ел.]/час и из-за отсутствия объектов 18,6 тысяч чел/час. Планирование завода осуществлялось Главным управлением в разрезе месячных, квартальных и годового планов. Причем годовой план спущен только в ценностном выражении. Характерно отметить, что утверждаемые Главком месячные планы в натуральном выражении, как правило, в своей сумме не сходятся с утвержденным квартальным планом в силу своей большой оперативности. Невыполнение плана по 76 мм О.Ф. объясняется выводом из строя в январе 1943 года одной мастерской, выпускающей в тот период 60% всего выпуска по этим изделиям, и периодическими простоями из-за отсутствия корпусов. По изделиям 120 мм мин[ы] невыполнение плана объясняется исключительно по причине отсутствия объектов. Завод имел все возможности перевыполнить программу по этим изделиям. В течение января, февраля, марта и апреля план поставок этих корпусов выполнен заводом-поставщиком только на 30%. Наличие рабочей силы: на 1 января 1943 года всего рабочих -2 633 человека, в том числе мужчин — 1 154, женщин - 1 478 человек; на 1 января 1944 года всего рабочих - 2 415 человек, в том числе мужчин - 990, женщин - 1 425 человек. Наличие рабочей силы по возрасту на 1 января 1944 года: до 16 лет — 200 человек, от 16 до 25 лет - 1260 человек, от 25 до 45 лет - 695 человек, от 45 лет и старше - 260 человек. Система оплаты труда. В соответствии с приказом НКБ № 250 от 10 мая 1943 года завод установил прогрессивно-сдельную систему оплаты труда на важнейших и решающих участках основного и вспомогательного производства (ж.д. транспорт). По состоянию на 1 января 1944 года сдельно-прогрессивной оплатой труда на заводе охвачено на 4,6% всех действующих норм, в том числе по основному производству 5,6%, по вспомогательному производству 4,1%. Всего 28% рабочих состоят на сдельно-прогрессивной оплате. На премиальную систему оплаты труда в отчетном году были переведены ИТР цехов и заводоуправления, а с III квартала 1943 года на премиальную систему оплаты труда были переведены и счетно-конторские работники завода. Перевод ИТР и счетно-конторских работников на премиальную систему оплаты труда позволил заводу улучшить работу во всех звеньях, как производственных, так и в аппарате. Общая потребность завода в площади, исходя из норм 4,25 м на человека, определяется в количестве 18 181 м . Имея жилплощади 19 564 м , завод не может полностью удовлетворить свою потребность в силу того, что 3 401 м завод сдал в аренду другим организациям, обслуживающим завод (ВПК, ФЗО и другим). Таким образом, завод в 1944 году намечает дополнительное строительство на 2 100 м для удовлетворения полной потребности жилплощадью работников завода. Из общей площади жилфонда 19 564 м благоустроено небольшое количество жилфонда, только 1 212 м оборудовано центральным отоплением, водопроводом, канализацией, остальная жилплощадь -18 352 м , за исключением электрического освещения, никаких удобств не имеет. В течение 1943 года для создания более благоприятных жилищных условий рабочих завода были проведены большие работы как по текущему, так и по капитальному ремонту всего жилфонда и, по сравнению с 1942 годом, жилищные условия для рабочих значительно улучшились. Для обслуживания рабочих завода завод имеет баню, парикмахерскую. В 1943 году при бане введена в эксплуатацию дезокамера. Санобработка рабочих, проживающих в общежитиях, проводится строго по графику 3 раза в месяц, одновременно с этим производится смена постельного белья. Собственной прачечной ЖКО не имеет, стирка белья рабочих и постельного белья организована на договорных началах в прачечной, принадлежащей УВС-3, каковая полностью не обеспечивает нужды ЖКО. Ремонт одежды и обуви рабочих организован в мастерских ОРСа завода.</w:t>
      </w:r>
    </w:p>
    <w:p w14:paraId="27DF867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завода № 635</w:t>
      </w:r>
    </w:p>
    <w:p w14:paraId="453556A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Инженер-полковник Савосин</w:t>
      </w:r>
    </w:p>
    <w:p w14:paraId="2A4AD21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бухгалтер завода Высоцкий</w:t>
      </w:r>
    </w:p>
    <w:p w14:paraId="136B5CE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РАНО. Ф. Р-1Ш. Оп. 1. Д. 32. Л. 2-3. 35. 43. 63. 64. Подлинник (12194).</w:t>
      </w:r>
    </w:p>
    <w:p w14:paraId="18D7F6DE"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3793F9B"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Декабрь 1943 г.</w:t>
      </w:r>
    </w:p>
    <w:p w14:paraId="2D89D47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ИЗ СПРАВКИ ЗАМЕСТИТЕЛЯ ЗАВЕДУЮЩЕГО ОТДЕЛОМ ЭЛЕКТРОПРОМЫШЛЕННОСТИ ОБКОМА ВКП(б) Р.М. ЛИВШИЦА «О РАЗВИТИИ ЭЛЕКТРОПРОМЫШЛЕННЫХ ПРЕДПРИЯТИЙ В НОВОСИБИРСКОЙ ОБЛАСТИ»</w:t>
      </w:r>
    </w:p>
    <w:p w14:paraId="1BA85A5B"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декабрь 1943 г.</w:t>
      </w:r>
    </w:p>
    <w:p w14:paraId="249F2456"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w:t>
      </w:r>
    </w:p>
    <w:p w14:paraId="0841B177"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1. Состав предприятий и номенклатура выпуска</w:t>
      </w:r>
    </w:p>
    <w:p w14:paraId="5B41DAE0"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 По количеству предприятий и выпускаемой ими продукции Новосибирская область является центром электропромышленности на</w:t>
      </w:r>
    </w:p>
    <w:p w14:paraId="0876A982"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востоке Союза, заводы которой изготовляют следующие изделия:</w:t>
      </w:r>
    </w:p>
    <w:p w14:paraId="4B51837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заводов</w:t>
      </w:r>
      <w:r w:rsidRPr="00271E51">
        <w:rPr>
          <w:rFonts w:ascii="Times New Roman" w:hAnsi="Times New Roman"/>
          <w:color w:val="0070C0"/>
          <w:sz w:val="16"/>
          <w:szCs w:val="16"/>
        </w:rPr>
        <w:tab/>
        <w:t>Основная номенклатура выпуска</w:t>
      </w:r>
      <w:r w:rsidRPr="00271E51">
        <w:rPr>
          <w:rFonts w:ascii="Times New Roman" w:hAnsi="Times New Roman"/>
          <w:color w:val="0070C0"/>
          <w:sz w:val="16"/>
          <w:szCs w:val="16"/>
        </w:rPr>
        <w:tab/>
        <w:t>Потребители</w:t>
      </w:r>
    </w:p>
    <w:p w14:paraId="112C6E2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208</w:t>
      </w:r>
      <w:r w:rsidRPr="00271E51">
        <w:rPr>
          <w:rFonts w:ascii="Times New Roman" w:hAnsi="Times New Roman"/>
          <w:color w:val="0070C0"/>
          <w:sz w:val="16"/>
          <w:szCs w:val="16"/>
        </w:rPr>
        <w:tab/>
        <w:t>Мощные радиостанции фронтовой связи</w:t>
      </w:r>
      <w:r w:rsidRPr="00271E51">
        <w:rPr>
          <w:rFonts w:ascii="Times New Roman" w:hAnsi="Times New Roman"/>
          <w:color w:val="0070C0"/>
          <w:sz w:val="16"/>
          <w:szCs w:val="16"/>
        </w:rPr>
        <w:tab/>
        <w:t>Управление связи</w:t>
      </w:r>
    </w:p>
    <w:p w14:paraId="7089A6ED"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Радиостанции дальней связи средней мощности</w:t>
      </w:r>
      <w:r w:rsidRPr="00271E51">
        <w:rPr>
          <w:rFonts w:ascii="Times New Roman" w:hAnsi="Times New Roman"/>
          <w:color w:val="0070C0"/>
          <w:sz w:val="16"/>
          <w:szCs w:val="16"/>
        </w:rPr>
        <w:tab/>
        <w:t>Управление связи</w:t>
      </w:r>
    </w:p>
    <w:p w14:paraId="6BD5C21D"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Радиопеленгационные установки</w:t>
      </w:r>
      <w:r w:rsidRPr="00271E51">
        <w:rPr>
          <w:rFonts w:ascii="Times New Roman" w:hAnsi="Times New Roman"/>
          <w:color w:val="0070C0"/>
          <w:sz w:val="16"/>
          <w:szCs w:val="16"/>
        </w:rPr>
        <w:tab/>
        <w:t>ГАУ и НКГБ</w:t>
      </w:r>
    </w:p>
    <w:p w14:paraId="0284C1A8"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590</w:t>
      </w:r>
      <w:r w:rsidRPr="00271E51">
        <w:rPr>
          <w:rFonts w:ascii="Times New Roman" w:hAnsi="Times New Roman"/>
          <w:color w:val="0070C0"/>
          <w:sz w:val="16"/>
          <w:szCs w:val="16"/>
        </w:rPr>
        <w:tab/>
        <w:t>Радиоприемные станции для вооружения танков и са- молетов</w:t>
      </w:r>
      <w:r w:rsidRPr="00271E51">
        <w:rPr>
          <w:rFonts w:ascii="Times New Roman" w:hAnsi="Times New Roman"/>
          <w:color w:val="0070C0"/>
          <w:sz w:val="16"/>
          <w:szCs w:val="16"/>
        </w:rPr>
        <w:tab/>
        <w:t>НКАП, УВВС, Управление связи</w:t>
      </w:r>
    </w:p>
    <w:p w14:paraId="3A060BE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Приемно-передающие станции для наземной связи</w:t>
      </w:r>
      <w:r w:rsidRPr="00271E51">
        <w:rPr>
          <w:rFonts w:ascii="Times New Roman" w:hAnsi="Times New Roman"/>
          <w:color w:val="0070C0"/>
          <w:sz w:val="16"/>
          <w:szCs w:val="16"/>
        </w:rPr>
        <w:tab/>
        <w:t>Управление связи</w:t>
      </w:r>
    </w:p>
    <w:p w14:paraId="15031D1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337F13F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617</w:t>
      </w:r>
      <w:r w:rsidRPr="00271E51">
        <w:rPr>
          <w:rFonts w:ascii="Times New Roman" w:hAnsi="Times New Roman"/>
          <w:color w:val="0070C0"/>
          <w:sz w:val="16"/>
          <w:szCs w:val="16"/>
        </w:rPr>
        <w:tab/>
        <w:t>Приемно-усилительные и генераторные лампы, газо- вые приборы, рентгеновские трубки, миниатюрные осветительные лампы</w:t>
      </w:r>
      <w:r w:rsidRPr="00271E51">
        <w:rPr>
          <w:rFonts w:ascii="Times New Roman" w:hAnsi="Times New Roman"/>
          <w:color w:val="0070C0"/>
          <w:sz w:val="16"/>
          <w:szCs w:val="16"/>
        </w:rPr>
        <w:tab/>
        <w:t>НКАП, НКЭП, Управление связи</w:t>
      </w:r>
    </w:p>
    <w:p w14:paraId="2D2D5E5E"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lastRenderedPageBreak/>
        <w:t>&lt;...&gt;</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408A171D"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644</w:t>
      </w:r>
      <w:r w:rsidRPr="00271E51">
        <w:rPr>
          <w:rFonts w:ascii="Times New Roman" w:hAnsi="Times New Roman"/>
          <w:color w:val="0070C0"/>
          <w:sz w:val="16"/>
          <w:szCs w:val="16"/>
        </w:rPr>
        <w:tab/>
        <w:t>Зенитные и посадочные прожекторные станции, стан- ции электризации заграждений, морские и граждан- ские прожекторы, зарядные базы и агрегаты</w:t>
      </w:r>
      <w:r w:rsidRPr="00271E51">
        <w:rPr>
          <w:rFonts w:ascii="Times New Roman" w:hAnsi="Times New Roman"/>
          <w:color w:val="0070C0"/>
          <w:sz w:val="16"/>
          <w:szCs w:val="16"/>
        </w:rPr>
        <w:tab/>
        <w:t>УВВС, ГАУ, ГВИУ, НК ВМФ</w:t>
      </w:r>
    </w:p>
    <w:p w14:paraId="0CA57AA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w:t>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435ECDE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 ряду выпускаемых изделий заводы электропромышленности области являются монополистами. Так, например, завод № 617 — единственный в Советском Союзе выпускает рентгеновские трубки, приемно-усилительные лампы типа «Желудь», термоэлементы, ртутные колбы (для ртутных выпрямителей), специальные миниатюрные осветительные лампы.</w:t>
      </w:r>
    </w:p>
    <w:p w14:paraId="270D0496"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208 — единственный по выпуску мощных радиостанций фронтовой связи типа «Даль».</w:t>
      </w:r>
    </w:p>
    <w:p w14:paraId="3975ABC9"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Завод № 644 — по выпуску аэродромных посадочно-маячных станций типа ПМ-9 и станций электризации типа АЭ-2.</w:t>
      </w:r>
    </w:p>
    <w:p w14:paraId="724C07D2"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Вследствие неудовлетворительных темпов строительно-монтажных работ, проводимых в настоящее время Главвоенстроем (УВС-10), Наркомстроем (ОСМУ-5), Наркомэлектропромом (трест № 48), заводы до сих пор работают не на всю мощность эвакуированного оборудования, особенно Томская группа заводов. &lt;...&gt;</w:t>
      </w:r>
    </w:p>
    <w:p w14:paraId="69D50044"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3. Рост выпуска продукции заводами Наркомэлектропрома</w:t>
      </w:r>
    </w:p>
    <w:p w14:paraId="2B783002"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До четвертого квартала 1942 года большинство заводов электропромышленности не выполняло государственного плана выпуска продукции, электропромышленность в целом являлась наиболее отстающей отраслью промышленности в Новосибирской области.</w:t>
      </w:r>
    </w:p>
    <w:p w14:paraId="3CD6878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Это явилось следствием не только крайней затяжки строительных и восстановительных работ, но и особых трудностей снабжения из-за большой удаленности от источников снабжения, исключительно большого ассортимента материалов и готовых изделий, потребляемых электропромышленностью, сложности кооперации, а также совершенно недостаточного внимания со стороны НКЭП к эвакуированным заводам, как в отношении организационного руководства, так и в отношении их материально-технического снабжения.</w:t>
      </w:r>
    </w:p>
    <w:p w14:paraId="0D194458"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Проведенные мероприятия по вводу новых мощностей, поднятию производительности труда, лучшей организации производства, а также по усилению партийно-политической работы привели к значительному улучшению работы заводов электропромышленности в 1943 году.</w:t>
      </w:r>
    </w:p>
    <w:p w14:paraId="1D5FADB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первом полугодии 1943 года заводы дали на 30% больше товарной продукции, чем во втором полугодии 1942 года, а за 11 месяцев 1943 года — на 90% больше, чем за 1942 год. *</w:t>
      </w:r>
    </w:p>
    <w:p w14:paraId="7A977BAC"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Сравнительные данные работы заводов электропромышленности в 1942 и 1943 годах</w:t>
      </w:r>
    </w:p>
    <w:p w14:paraId="207078E9"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Вся товарная продукция в неизменных ценах</w:t>
      </w:r>
      <w:r w:rsidRPr="00271E51">
        <w:rPr>
          <w:rFonts w:ascii="Times New Roman" w:hAnsi="Times New Roman"/>
          <w:color w:val="0070C0"/>
          <w:sz w:val="16"/>
          <w:szCs w:val="16"/>
        </w:rPr>
        <w:tab/>
        <w:t>Ед. изм.</w:t>
      </w:r>
      <w:r w:rsidRPr="00271E51">
        <w:rPr>
          <w:rFonts w:ascii="Times New Roman" w:hAnsi="Times New Roman"/>
          <w:color w:val="0070C0"/>
          <w:sz w:val="16"/>
          <w:szCs w:val="16"/>
        </w:rPr>
        <w:tab/>
        <w:t>1-е полугодие 1942 г.</w:t>
      </w:r>
      <w:r w:rsidRPr="00271E51">
        <w:rPr>
          <w:rFonts w:ascii="Times New Roman" w:hAnsi="Times New Roman"/>
          <w:color w:val="0070C0"/>
          <w:sz w:val="16"/>
          <w:szCs w:val="16"/>
        </w:rPr>
        <w:tab/>
        <w:t>2-е полугодие 1942 г.</w:t>
      </w:r>
      <w:r w:rsidRPr="00271E51">
        <w:rPr>
          <w:rFonts w:ascii="Times New Roman" w:hAnsi="Times New Roman"/>
          <w:color w:val="0070C0"/>
          <w:sz w:val="16"/>
          <w:szCs w:val="16"/>
        </w:rPr>
        <w:tab/>
        <w:t>1-е полугодие 1943 г.</w:t>
      </w:r>
      <w:r w:rsidRPr="00271E51">
        <w:rPr>
          <w:rFonts w:ascii="Times New Roman" w:hAnsi="Times New Roman"/>
          <w:color w:val="0070C0"/>
          <w:sz w:val="16"/>
          <w:szCs w:val="16"/>
        </w:rPr>
        <w:tab/>
        <w:t>III квартал 1943 г.</w:t>
      </w:r>
      <w:r w:rsidRPr="00271E51">
        <w:rPr>
          <w:rFonts w:ascii="Times New Roman" w:hAnsi="Times New Roman"/>
          <w:color w:val="0070C0"/>
          <w:sz w:val="16"/>
          <w:szCs w:val="16"/>
        </w:rPr>
        <w:tab/>
        <w:t>Октябрь [1943 г.]</w:t>
      </w:r>
      <w:r w:rsidRPr="00271E51">
        <w:rPr>
          <w:rFonts w:ascii="Times New Roman" w:hAnsi="Times New Roman"/>
          <w:color w:val="0070C0"/>
          <w:sz w:val="16"/>
          <w:szCs w:val="16"/>
        </w:rPr>
        <w:tab/>
        <w:t>Ноябрь 1943 г.</w:t>
      </w:r>
    </w:p>
    <w:p w14:paraId="15DB4D3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План</w:t>
      </w:r>
      <w:r w:rsidRPr="00271E51">
        <w:rPr>
          <w:rFonts w:ascii="Times New Roman" w:hAnsi="Times New Roman"/>
          <w:color w:val="0070C0"/>
          <w:sz w:val="16"/>
          <w:szCs w:val="16"/>
        </w:rPr>
        <w:tab/>
        <w:t>т[ыс.] р.</w:t>
      </w:r>
      <w:r w:rsidRPr="00271E51">
        <w:rPr>
          <w:rFonts w:ascii="Times New Roman" w:hAnsi="Times New Roman"/>
          <w:color w:val="0070C0"/>
          <w:sz w:val="16"/>
          <w:szCs w:val="16"/>
        </w:rPr>
        <w:tab/>
        <w:t>88 528,0</w:t>
      </w:r>
      <w:r w:rsidRPr="00271E51">
        <w:rPr>
          <w:rFonts w:ascii="Times New Roman" w:hAnsi="Times New Roman"/>
          <w:color w:val="0070C0"/>
          <w:sz w:val="16"/>
          <w:szCs w:val="16"/>
        </w:rPr>
        <w:tab/>
        <w:t>177 683,8</w:t>
      </w:r>
      <w:r w:rsidRPr="00271E51">
        <w:rPr>
          <w:rFonts w:ascii="Times New Roman" w:hAnsi="Times New Roman"/>
          <w:color w:val="0070C0"/>
          <w:sz w:val="16"/>
          <w:szCs w:val="16"/>
        </w:rPr>
        <w:tab/>
        <w:t>222 960</w:t>
      </w:r>
      <w:r w:rsidRPr="00271E51">
        <w:rPr>
          <w:rFonts w:ascii="Times New Roman" w:hAnsi="Times New Roman"/>
          <w:color w:val="0070C0"/>
          <w:sz w:val="16"/>
          <w:szCs w:val="16"/>
        </w:rPr>
        <w:tab/>
        <w:t>126 680</w:t>
      </w:r>
      <w:r w:rsidRPr="00271E51">
        <w:rPr>
          <w:rFonts w:ascii="Times New Roman" w:hAnsi="Times New Roman"/>
          <w:color w:val="0070C0"/>
          <w:sz w:val="16"/>
          <w:szCs w:val="16"/>
        </w:rPr>
        <w:tab/>
        <w:t>42 125,0</w:t>
      </w:r>
      <w:r w:rsidRPr="00271E51">
        <w:rPr>
          <w:rFonts w:ascii="Times New Roman" w:hAnsi="Times New Roman"/>
          <w:color w:val="0070C0"/>
          <w:sz w:val="16"/>
          <w:szCs w:val="16"/>
        </w:rPr>
        <w:tab/>
        <w:t>42 856,0</w:t>
      </w:r>
    </w:p>
    <w:p w14:paraId="192D6D1B"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Фактически</w:t>
      </w:r>
      <w:r w:rsidRPr="00271E51">
        <w:rPr>
          <w:rFonts w:ascii="Times New Roman" w:hAnsi="Times New Roman"/>
          <w:color w:val="0070C0"/>
          <w:sz w:val="16"/>
          <w:szCs w:val="16"/>
        </w:rPr>
        <w:tab/>
        <w:t>т[ыс.] р.</w:t>
      </w:r>
      <w:r w:rsidRPr="00271E51">
        <w:rPr>
          <w:rFonts w:ascii="Times New Roman" w:hAnsi="Times New Roman"/>
          <w:color w:val="0070C0"/>
          <w:sz w:val="16"/>
          <w:szCs w:val="16"/>
        </w:rPr>
        <w:tab/>
        <w:t>55 339,9</w:t>
      </w:r>
      <w:r w:rsidRPr="00271E51">
        <w:rPr>
          <w:rFonts w:ascii="Times New Roman" w:hAnsi="Times New Roman"/>
          <w:color w:val="0070C0"/>
          <w:sz w:val="16"/>
          <w:szCs w:val="16"/>
        </w:rPr>
        <w:tab/>
        <w:t>169 632,0</w:t>
      </w:r>
      <w:r w:rsidRPr="00271E51">
        <w:rPr>
          <w:rFonts w:ascii="Times New Roman" w:hAnsi="Times New Roman"/>
          <w:color w:val="0070C0"/>
          <w:sz w:val="16"/>
          <w:szCs w:val="16"/>
        </w:rPr>
        <w:tab/>
        <w:t>220 181,1</w:t>
      </w:r>
      <w:r w:rsidRPr="00271E51">
        <w:rPr>
          <w:rFonts w:ascii="Times New Roman" w:hAnsi="Times New Roman"/>
          <w:color w:val="0070C0"/>
          <w:sz w:val="16"/>
          <w:szCs w:val="16"/>
        </w:rPr>
        <w:tab/>
        <w:t>1 189 432</w:t>
      </w:r>
      <w:r w:rsidRPr="00271E51">
        <w:rPr>
          <w:rFonts w:ascii="Times New Roman" w:hAnsi="Times New Roman"/>
          <w:color w:val="0070C0"/>
          <w:sz w:val="16"/>
          <w:szCs w:val="16"/>
        </w:rPr>
        <w:tab/>
        <w:t>43 574,4</w:t>
      </w:r>
      <w:r w:rsidRPr="00271E51">
        <w:rPr>
          <w:rFonts w:ascii="Times New Roman" w:hAnsi="Times New Roman"/>
          <w:color w:val="0070C0"/>
          <w:sz w:val="16"/>
          <w:szCs w:val="16"/>
        </w:rPr>
        <w:tab/>
        <w:t>38 819,3</w:t>
      </w:r>
    </w:p>
    <w:p w14:paraId="7EBF5489"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Выполнение плана в про- центах в целом по отрасли</w:t>
      </w:r>
      <w:r w:rsidRPr="00271E51">
        <w:rPr>
          <w:rFonts w:ascii="Times New Roman" w:hAnsi="Times New Roman"/>
          <w:color w:val="0070C0"/>
          <w:sz w:val="16"/>
          <w:szCs w:val="16"/>
        </w:rPr>
        <w:tab/>
      </w:r>
      <w:r w:rsidRPr="00271E51">
        <w:rPr>
          <w:rFonts w:ascii="Times New Roman" w:hAnsi="Times New Roman"/>
          <w:color w:val="0070C0"/>
          <w:sz w:val="16"/>
          <w:szCs w:val="16"/>
        </w:rPr>
        <w:tab/>
        <w:t>62,5</w:t>
      </w:r>
      <w:r w:rsidRPr="00271E51">
        <w:rPr>
          <w:rFonts w:ascii="Times New Roman" w:hAnsi="Times New Roman"/>
          <w:color w:val="0070C0"/>
          <w:sz w:val="16"/>
          <w:szCs w:val="16"/>
        </w:rPr>
        <w:tab/>
        <w:t>96,0</w:t>
      </w:r>
      <w:r w:rsidRPr="00271E51">
        <w:rPr>
          <w:rFonts w:ascii="Times New Roman" w:hAnsi="Times New Roman"/>
          <w:color w:val="0070C0"/>
          <w:sz w:val="16"/>
          <w:szCs w:val="16"/>
        </w:rPr>
        <w:tab/>
        <w:t>98,5</w:t>
      </w:r>
      <w:r w:rsidRPr="00271E51">
        <w:rPr>
          <w:rFonts w:ascii="Times New Roman" w:hAnsi="Times New Roman"/>
          <w:color w:val="0070C0"/>
          <w:sz w:val="16"/>
          <w:szCs w:val="16"/>
        </w:rPr>
        <w:tab/>
        <w:t>95,0</w:t>
      </w:r>
      <w:r w:rsidRPr="00271E51">
        <w:rPr>
          <w:rFonts w:ascii="Times New Roman" w:hAnsi="Times New Roman"/>
          <w:color w:val="0070C0"/>
          <w:sz w:val="16"/>
          <w:szCs w:val="16"/>
        </w:rPr>
        <w:tab/>
        <w:t>103,0</w:t>
      </w:r>
      <w:r w:rsidRPr="00271E51">
        <w:rPr>
          <w:rFonts w:ascii="Times New Roman" w:hAnsi="Times New Roman"/>
          <w:color w:val="0070C0"/>
          <w:sz w:val="16"/>
          <w:szCs w:val="16"/>
        </w:rPr>
        <w:tab/>
        <w:t>91,0</w:t>
      </w:r>
    </w:p>
    <w:p w14:paraId="0D1B00A9"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План 11 месяцев 1943 года в целом по отрасли выполнен на 97%.</w:t>
      </w:r>
    </w:p>
    <w:p w14:paraId="5FF514A8"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При среднемесячном росте плана в 1943 году по сравнению с 1942 годом на 81 процент фактический среднемесячный прирост выпуска продукции </w:t>
      </w:r>
    </w:p>
    <w:p w14:paraId="582652E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1943 году составляет 108 процентов, т.е. в 1943 году заводы выпустили вдвое больше продукции, чем в 1942 году.</w:t>
      </w:r>
    </w:p>
    <w:p w14:paraId="5146B0D8"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1943 году заводы резко увеличили выпуск важнейших изделий, что видно из следующей таблицы:</w:t>
      </w:r>
    </w:p>
    <w:p w14:paraId="1FFB3B44"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заводов</w:t>
      </w:r>
      <w:r w:rsidRPr="00271E51">
        <w:rPr>
          <w:rFonts w:ascii="Times New Roman" w:hAnsi="Times New Roman"/>
          <w:color w:val="0070C0"/>
          <w:sz w:val="16"/>
          <w:szCs w:val="16"/>
        </w:rPr>
        <w:tab/>
        <w:t>Наименование изделий</w:t>
      </w:r>
      <w:r w:rsidRPr="00271E51">
        <w:rPr>
          <w:rFonts w:ascii="Times New Roman" w:hAnsi="Times New Roman"/>
          <w:color w:val="0070C0"/>
          <w:sz w:val="16"/>
          <w:szCs w:val="16"/>
        </w:rPr>
        <w:tab/>
        <w:t>Ед. ИЗМ.</w:t>
      </w:r>
      <w:r w:rsidRPr="00271E51">
        <w:rPr>
          <w:rFonts w:ascii="Times New Roman" w:hAnsi="Times New Roman"/>
          <w:color w:val="0070C0"/>
          <w:sz w:val="16"/>
          <w:szCs w:val="16"/>
        </w:rPr>
        <w:tab/>
        <w:t>Превышение выпуска за 11 месяцев 1943 года по сравнению с 1942 г.</w:t>
      </w:r>
      <w:r w:rsidRPr="00271E51">
        <w:rPr>
          <w:rFonts w:ascii="Times New Roman" w:hAnsi="Times New Roman"/>
          <w:color w:val="0070C0"/>
          <w:sz w:val="16"/>
          <w:szCs w:val="16"/>
        </w:rPr>
        <w:tab/>
        <w:t>Рост выпуска за 11 месяцев 1943 года по сравнению с 1942 годом</w:t>
      </w:r>
    </w:p>
    <w:p w14:paraId="041D6FA8"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590</w:t>
      </w:r>
      <w:r w:rsidRPr="00271E51">
        <w:rPr>
          <w:rFonts w:ascii="Times New Roman" w:hAnsi="Times New Roman"/>
          <w:color w:val="0070C0"/>
          <w:sz w:val="16"/>
          <w:szCs w:val="16"/>
        </w:rPr>
        <w:tab/>
        <w:t>Приемники для самолетов и танков</w:t>
      </w:r>
      <w:r w:rsidRPr="00271E51">
        <w:rPr>
          <w:rFonts w:ascii="Times New Roman" w:hAnsi="Times New Roman"/>
          <w:color w:val="0070C0"/>
          <w:sz w:val="16"/>
          <w:szCs w:val="16"/>
        </w:rPr>
        <w:tab/>
        <w:t>шт.</w:t>
      </w:r>
      <w:r w:rsidRPr="00271E51">
        <w:rPr>
          <w:rFonts w:ascii="Times New Roman" w:hAnsi="Times New Roman"/>
          <w:color w:val="0070C0"/>
          <w:sz w:val="16"/>
          <w:szCs w:val="16"/>
        </w:rPr>
        <w:tab/>
        <w:t>16 954</w:t>
      </w:r>
      <w:r w:rsidRPr="00271E51">
        <w:rPr>
          <w:rFonts w:ascii="Times New Roman" w:hAnsi="Times New Roman"/>
          <w:color w:val="0070C0"/>
          <w:sz w:val="16"/>
          <w:szCs w:val="16"/>
        </w:rPr>
        <w:tab/>
        <w:t>на 60 %</w:t>
      </w:r>
    </w:p>
    <w:p w14:paraId="78512C3C"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208</w:t>
      </w:r>
      <w:r w:rsidRPr="00271E51">
        <w:rPr>
          <w:rFonts w:ascii="Times New Roman" w:hAnsi="Times New Roman"/>
          <w:color w:val="0070C0"/>
          <w:sz w:val="16"/>
          <w:szCs w:val="16"/>
        </w:rPr>
        <w:tab/>
        <w:t>Мощные фронтовые радиостанции</w:t>
      </w:r>
      <w:r w:rsidRPr="00271E51">
        <w:rPr>
          <w:rFonts w:ascii="Times New Roman" w:hAnsi="Times New Roman"/>
          <w:color w:val="0070C0"/>
          <w:sz w:val="16"/>
          <w:szCs w:val="16"/>
        </w:rPr>
        <w:tab/>
        <w:t>шт.</w:t>
      </w:r>
      <w:r w:rsidRPr="00271E51">
        <w:rPr>
          <w:rFonts w:ascii="Times New Roman" w:hAnsi="Times New Roman"/>
          <w:color w:val="0070C0"/>
          <w:sz w:val="16"/>
          <w:szCs w:val="16"/>
        </w:rPr>
        <w:tab/>
        <w:t>14</w:t>
      </w:r>
      <w:r w:rsidRPr="00271E51">
        <w:rPr>
          <w:rFonts w:ascii="Times New Roman" w:hAnsi="Times New Roman"/>
          <w:color w:val="0070C0"/>
          <w:sz w:val="16"/>
          <w:szCs w:val="16"/>
        </w:rPr>
        <w:tab/>
        <w:t>на 63 %</w:t>
      </w:r>
    </w:p>
    <w:p w14:paraId="5D1B007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617</w:t>
      </w:r>
      <w:r w:rsidRPr="00271E51">
        <w:rPr>
          <w:rFonts w:ascii="Times New Roman" w:hAnsi="Times New Roman"/>
          <w:color w:val="0070C0"/>
          <w:sz w:val="16"/>
          <w:szCs w:val="16"/>
        </w:rPr>
        <w:tab/>
        <w:t>Металлические лампы</w:t>
      </w:r>
      <w:r w:rsidRPr="00271E51">
        <w:rPr>
          <w:rFonts w:ascii="Times New Roman" w:hAnsi="Times New Roman"/>
          <w:color w:val="0070C0"/>
          <w:sz w:val="16"/>
          <w:szCs w:val="16"/>
        </w:rPr>
        <w:tab/>
        <w:t>шт.</w:t>
      </w:r>
      <w:r w:rsidRPr="00271E51">
        <w:rPr>
          <w:rFonts w:ascii="Times New Roman" w:hAnsi="Times New Roman"/>
          <w:color w:val="0070C0"/>
          <w:sz w:val="16"/>
          <w:szCs w:val="16"/>
        </w:rPr>
        <w:tab/>
        <w:t>127 562</w:t>
      </w:r>
      <w:r w:rsidRPr="00271E51">
        <w:rPr>
          <w:rFonts w:ascii="Times New Roman" w:hAnsi="Times New Roman"/>
          <w:color w:val="0070C0"/>
          <w:sz w:val="16"/>
          <w:szCs w:val="16"/>
        </w:rPr>
        <w:tab/>
        <w:t>в 37 раз</w:t>
      </w:r>
    </w:p>
    <w:p w14:paraId="6FECD89F"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генераторные лампы</w:t>
      </w:r>
      <w:r w:rsidRPr="00271E51">
        <w:rPr>
          <w:rFonts w:ascii="Times New Roman" w:hAnsi="Times New Roman"/>
          <w:color w:val="0070C0"/>
          <w:sz w:val="16"/>
          <w:szCs w:val="16"/>
        </w:rPr>
        <w:tab/>
        <w:t>шт.</w:t>
      </w:r>
      <w:r w:rsidRPr="00271E51">
        <w:rPr>
          <w:rFonts w:ascii="Times New Roman" w:hAnsi="Times New Roman"/>
          <w:color w:val="0070C0"/>
          <w:sz w:val="16"/>
          <w:szCs w:val="16"/>
        </w:rPr>
        <w:tab/>
        <w:t>47 229</w:t>
      </w:r>
      <w:r w:rsidRPr="00271E51">
        <w:rPr>
          <w:rFonts w:ascii="Times New Roman" w:hAnsi="Times New Roman"/>
          <w:color w:val="0070C0"/>
          <w:sz w:val="16"/>
          <w:szCs w:val="16"/>
        </w:rPr>
        <w:tab/>
        <w:t>в 3,8 раза</w:t>
      </w:r>
    </w:p>
    <w:p w14:paraId="6C3F4957"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ртутные колбы</w:t>
      </w:r>
      <w:r w:rsidRPr="00271E51">
        <w:rPr>
          <w:rFonts w:ascii="Times New Roman" w:hAnsi="Times New Roman"/>
          <w:color w:val="0070C0"/>
          <w:sz w:val="16"/>
          <w:szCs w:val="16"/>
        </w:rPr>
        <w:tab/>
        <w:t>шт.</w:t>
      </w:r>
      <w:r w:rsidRPr="00271E51">
        <w:rPr>
          <w:rFonts w:ascii="Times New Roman" w:hAnsi="Times New Roman"/>
          <w:color w:val="0070C0"/>
          <w:sz w:val="16"/>
          <w:szCs w:val="16"/>
        </w:rPr>
        <w:tab/>
        <w:t>1 712</w:t>
      </w:r>
      <w:r w:rsidRPr="00271E51">
        <w:rPr>
          <w:rFonts w:ascii="Times New Roman" w:hAnsi="Times New Roman"/>
          <w:color w:val="0070C0"/>
          <w:sz w:val="16"/>
          <w:szCs w:val="16"/>
        </w:rPr>
        <w:tab/>
        <w:t>в 16 раз</w:t>
      </w:r>
    </w:p>
    <w:p w14:paraId="52ED78EE"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ab/>
        <w:t>малогабаритные лампы</w:t>
      </w:r>
      <w:r w:rsidRPr="00271E51">
        <w:rPr>
          <w:rFonts w:ascii="Times New Roman" w:hAnsi="Times New Roman"/>
          <w:color w:val="0070C0"/>
          <w:sz w:val="16"/>
          <w:szCs w:val="16"/>
        </w:rPr>
        <w:tab/>
        <w:t>т[ыс.] шт.</w:t>
      </w:r>
      <w:r w:rsidRPr="00271E51">
        <w:rPr>
          <w:rFonts w:ascii="Times New Roman" w:hAnsi="Times New Roman"/>
          <w:color w:val="0070C0"/>
          <w:sz w:val="16"/>
          <w:szCs w:val="16"/>
        </w:rPr>
        <w:tab/>
        <w:t>430</w:t>
      </w:r>
      <w:r w:rsidRPr="00271E51">
        <w:rPr>
          <w:rFonts w:ascii="Times New Roman" w:hAnsi="Times New Roman"/>
          <w:color w:val="0070C0"/>
          <w:sz w:val="16"/>
          <w:szCs w:val="16"/>
        </w:rPr>
        <w:tab/>
        <w:t>в 1,8 раза</w:t>
      </w:r>
    </w:p>
    <w:p w14:paraId="7B4512B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w:t>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r w:rsidRPr="00271E51">
        <w:rPr>
          <w:rFonts w:ascii="Times New Roman" w:hAnsi="Times New Roman"/>
          <w:color w:val="0070C0"/>
          <w:sz w:val="16"/>
          <w:szCs w:val="16"/>
        </w:rPr>
        <w:tab/>
      </w:r>
    </w:p>
    <w:p w14:paraId="23EB983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Наряду с увеличением выпуска продукции значительно увеличен ассортимент выпускаемых изделий и улучшено их качество.</w:t>
      </w:r>
    </w:p>
    <w:p w14:paraId="203AAC7A"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Однако часть заводов электропромышленности систематически не выполняют план но номенклатуре. Это является следствием не только неудовлетворительной работы ряда заводов, но и незаконченного строительства крайне необходимых объектов, отсутствие которых создает диспропорцию отдельных звеньев завода.</w:t>
      </w:r>
    </w:p>
    <w:p w14:paraId="05F796E5"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Наиболее плохо выполняется план по следующим изделиям: завод № 644 - морские прожекторы - план 11 месяцев 1943 года выполнен на 41,1%, завод № 617 - металлические лампы — на 32,4%, завод № 617 — генераторные лампы — на 82,0%. &lt;...&gt;</w:t>
      </w:r>
    </w:p>
    <w:p w14:paraId="0664891D"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Необходимые меры для улучшения работы заводов электропромышленности:</w:t>
      </w:r>
    </w:p>
    <w:p w14:paraId="59ECE0AB"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&lt;...&gt;</w:t>
      </w:r>
    </w:p>
    <w:p w14:paraId="6F73F6BB"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Выделить недостающие дефицитные материалы и изделия для окончания строительства заводов НКЭП (металлические трубы, огнеупоры, стекло, кровля, арматура). &lt;...&gt; Укрепить транспорт заводов выделением 26 автомашин и 260 лошадей. Выделить два совхоза для трех заводов города Новосибирска. &lt;...&gt; Отпустить единовременно промтоваров на сумму 550 тысяч рублей для рабочих и ИТР заводов НКЭП, крайне нуждающихся в срочном приобретении промтоваров.</w:t>
      </w:r>
    </w:p>
    <w:p w14:paraId="4ECD5261"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Обязать НКЭП ... организовать на заводе № 617 цех производства вакуумного оборудования для вакуумной промышленности Востока ...развернуть в первом квартале 1944 года строительство завода № 208 на новой площадке, расположенной у железной дороги, использовав имеющуюся техническую документацию зданий бывшего завода № 208 в г. Ленинграде. В настоящее время завод № 208 расположен на 4 площадках, причем ни одна из них по своим размерам не позволяет произвести постройку всех необходимых зданий в одном месте. Строительство завода возложить на трест № 48 НКЭП при обязательном выделении тресту 1 000 человек рабочих.</w:t>
      </w:r>
    </w:p>
    <w:p w14:paraId="35DE2330"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Зам. зав. отделом электропромышленности обкома ВКП(б) Лившиц</w:t>
      </w:r>
    </w:p>
    <w:p w14:paraId="25F8BB03"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ГАНО. Ф. П—4. Оп. 7. Д. 491. Л. 102-110. Подлинник.</w:t>
      </w:r>
    </w:p>
    <w:p w14:paraId="522B1C02" w14:textId="77777777" w:rsidR="00451C95" w:rsidRPr="00271E51" w:rsidRDefault="00451C9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Подпись-автограф Лившица. Один из экземпляров машинописной закладки (20410).</w:t>
      </w:r>
    </w:p>
    <w:p w14:paraId="5ADE6239" w14:textId="77777777" w:rsidR="00451C95" w:rsidRPr="00271E51" w:rsidRDefault="00451C95" w:rsidP="00271E51">
      <w:pPr>
        <w:spacing w:after="0" w:line="240" w:lineRule="auto"/>
        <w:jc w:val="both"/>
        <w:rPr>
          <w:rFonts w:ascii="Times New Roman" w:hAnsi="Times New Roman"/>
          <w:color w:val="0070C0"/>
          <w:sz w:val="16"/>
          <w:szCs w:val="16"/>
        </w:rPr>
      </w:pPr>
    </w:p>
    <w:p w14:paraId="30265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года М.Г. Первухин поручил директору НИИ-42 Г.И. Гаврилову форсировать работы по получению гексафторида урана. При этом предписывалось с апреля 1944 года производить 10 кг UF</w:t>
      </w:r>
      <w:r w:rsidRPr="00271E51">
        <w:rPr>
          <w:rFonts w:ascii="Times New Roman" w:hAnsi="Times New Roman"/>
          <w:color w:val="000000" w:themeColor="text1"/>
          <w:sz w:val="16"/>
          <w:szCs w:val="16"/>
          <w:vertAlign w:val="subscript"/>
        </w:rPr>
        <w:t>6</w:t>
      </w:r>
      <w:r w:rsidRPr="00271E51">
        <w:rPr>
          <w:rFonts w:ascii="Times New Roman" w:hAnsi="Times New Roman"/>
          <w:color w:val="000000" w:themeColor="text1"/>
          <w:sz w:val="16"/>
          <w:szCs w:val="16"/>
        </w:rPr>
        <w:t xml:space="preserve"> в месяц, а также разработать проект завода, с производительностью 100 кг гексафторида урана в сутки. НИИ-42 предписывалось в 1944 году исследовать физико-химические свойства UF</w:t>
      </w:r>
      <w:r w:rsidRPr="00271E51">
        <w:rPr>
          <w:rFonts w:ascii="Times New Roman" w:hAnsi="Times New Roman"/>
          <w:color w:val="000000" w:themeColor="text1"/>
          <w:sz w:val="16"/>
          <w:szCs w:val="16"/>
          <w:vertAlign w:val="subscript"/>
        </w:rPr>
        <w:t>6</w:t>
      </w:r>
      <w:r w:rsidRPr="00271E51">
        <w:rPr>
          <w:rFonts w:ascii="Times New Roman" w:hAnsi="Times New Roman"/>
          <w:color w:val="000000" w:themeColor="text1"/>
          <w:sz w:val="16"/>
          <w:szCs w:val="16"/>
        </w:rPr>
        <w:t xml:space="preserve"> и представить результаты этих исследований в Лабораторию No. 2 (10549).</w:t>
      </w:r>
    </w:p>
    <w:p w14:paraId="4A5E14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E22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Черном море был сдан головной бот, а затем запущен в се</w:t>
      </w:r>
      <w:r w:rsidRPr="00271E51">
        <w:rPr>
          <w:rFonts w:ascii="Times New Roman" w:hAnsi="Times New Roman"/>
          <w:color w:val="000000" w:themeColor="text1"/>
          <w:sz w:val="16"/>
          <w:szCs w:val="16"/>
        </w:rPr>
        <w:softHyphen/>
        <w:t>рию. Всего было построено более 160 ДБ и ДМБ в разных вариан</w:t>
      </w:r>
      <w:r w:rsidRPr="00271E51">
        <w:rPr>
          <w:rFonts w:ascii="Times New Roman" w:hAnsi="Times New Roman"/>
          <w:color w:val="000000" w:themeColor="text1"/>
          <w:sz w:val="16"/>
          <w:szCs w:val="16"/>
        </w:rPr>
        <w:softHyphen/>
        <w:t>тах по материалу корпуса и вооружению (3898).</w:t>
      </w:r>
    </w:p>
    <w:p w14:paraId="68AED5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E2A2E" w14:textId="77777777" w:rsidR="00365852" w:rsidRPr="00271E51" w:rsidRDefault="00365852"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hAnsi="Times New Roman"/>
          <w:color w:val="0070C0"/>
          <w:sz w:val="16"/>
          <w:szCs w:val="16"/>
        </w:rPr>
        <w:t>В декабре 1944 г. Розенберг, который обычно упоминается в связи с американской и советской атомными программами, добыл и передал советскому разведчику Александру Феклисову подробную документацию и образец готового радиолокационного взрывателя. Советские специалисты высоко оценили это изделие. По их ходатайству было принято Постановление Совета Министров СССР о создании специального КБ для дальнейшей разработки этого устройства и о налаживании его производства. Пятого июля 1945 г. Государственный комитет обороны СССР принял Постановление № 9390 о создании Комиссии по вопросам изделий немецкой радиолокационной техники. Руководителем группы инженерно-технических и научных работников был назначен будущий министр электронной промышленности СССР А. И. Шокин. Комиссия занималась сбором образцов приборов и изделий, технической документации, изучением промышленных предприятий, поиском и привлечением к работе немецких специалистов (33760).</w:t>
      </w:r>
    </w:p>
    <w:p w14:paraId="0F250EF1" w14:textId="77777777" w:rsidR="00365852" w:rsidRPr="00271E51" w:rsidRDefault="00365852"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1634ECC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076B4D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8BF9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 полк Нормандия прибыло очеред</w:t>
      </w:r>
      <w:r w:rsidRPr="00271E51">
        <w:rPr>
          <w:rFonts w:ascii="Times New Roman" w:hAnsi="Times New Roman"/>
          <w:color w:val="000000" w:themeColor="text1"/>
          <w:sz w:val="16"/>
          <w:szCs w:val="16"/>
        </w:rPr>
        <w:softHyphen/>
        <w:t>ное пополнение, в том числе несколько очень опытных летчиков. На вооруже</w:t>
      </w:r>
      <w:r w:rsidRPr="00271E51">
        <w:rPr>
          <w:rFonts w:ascii="Times New Roman" w:hAnsi="Times New Roman"/>
          <w:color w:val="000000" w:themeColor="text1"/>
          <w:sz w:val="16"/>
          <w:szCs w:val="16"/>
        </w:rPr>
        <w:softHyphen/>
        <w:t>ние полка поступили новые истребите</w:t>
      </w:r>
      <w:r w:rsidRPr="00271E51">
        <w:rPr>
          <w:rFonts w:ascii="Times New Roman" w:hAnsi="Times New Roman"/>
          <w:color w:val="000000" w:themeColor="text1"/>
          <w:sz w:val="16"/>
          <w:szCs w:val="16"/>
        </w:rPr>
        <w:softHyphen/>
        <w:t>ли Як-9Т, вооруженные 37-мм пушкой НС-37. Новички и ветераны “Норман</w:t>
      </w:r>
      <w:r w:rsidRPr="00271E51">
        <w:rPr>
          <w:rFonts w:ascii="Times New Roman" w:hAnsi="Times New Roman"/>
          <w:color w:val="000000" w:themeColor="text1"/>
          <w:sz w:val="16"/>
          <w:szCs w:val="16"/>
        </w:rPr>
        <w:softHyphen/>
        <w:t>дии” приступили к освоению этих ма</w:t>
      </w:r>
      <w:r w:rsidRPr="00271E51">
        <w:rPr>
          <w:rFonts w:ascii="Times New Roman" w:hAnsi="Times New Roman"/>
          <w:color w:val="000000" w:themeColor="text1"/>
          <w:sz w:val="16"/>
          <w:szCs w:val="16"/>
        </w:rPr>
        <w:softHyphen/>
        <w:t>шин, причем далеко не всегда процесс протекал гладко. Произошло несколько поломок и аварий, едва не ставших ка</w:t>
      </w:r>
      <w:r w:rsidRPr="00271E51">
        <w:rPr>
          <w:rFonts w:ascii="Times New Roman" w:hAnsi="Times New Roman"/>
          <w:color w:val="000000" w:themeColor="text1"/>
          <w:sz w:val="16"/>
          <w:szCs w:val="16"/>
        </w:rPr>
        <w:softHyphen/>
        <w:t>тастрофами. Вдали от фронта подпол</w:t>
      </w:r>
      <w:r w:rsidRPr="00271E51">
        <w:rPr>
          <w:rFonts w:ascii="Times New Roman" w:hAnsi="Times New Roman"/>
          <w:color w:val="000000" w:themeColor="text1"/>
          <w:sz w:val="16"/>
          <w:szCs w:val="16"/>
        </w:rPr>
        <w:softHyphen/>
        <w:t>ковник Пуйяд слегка “отпустил вожжи”, и французы расслабились. Вечеринки, танцы, кинофильмы серьезно подорва</w:t>
      </w:r>
      <w:r w:rsidRPr="00271E51">
        <w:rPr>
          <w:rFonts w:ascii="Times New Roman" w:hAnsi="Times New Roman"/>
          <w:color w:val="000000" w:themeColor="text1"/>
          <w:sz w:val="16"/>
          <w:szCs w:val="16"/>
        </w:rPr>
        <w:softHyphen/>
        <w:t>ли режим, пилоты нередко “клевали носом” после бурно проведенной ночи. Вспоминая о тех временах, Франсуа де Жоффр в книге “Нормандия - Неман” писал: “Злой рок тяготел над нами: мы ломали у машины все, что только мож</w:t>
      </w:r>
      <w:r w:rsidRPr="00271E51">
        <w:rPr>
          <w:rFonts w:ascii="Times New Roman" w:hAnsi="Times New Roman"/>
          <w:color w:val="000000" w:themeColor="text1"/>
          <w:sz w:val="16"/>
          <w:szCs w:val="16"/>
        </w:rPr>
        <w:softHyphen/>
        <w:t xml:space="preserve">но, от винтов до шасси”. </w:t>
      </w:r>
      <w:r w:rsidRPr="00271E51">
        <w:rPr>
          <w:rFonts w:ascii="Times New Roman" w:hAnsi="Times New Roman"/>
          <w:color w:val="000000" w:themeColor="text1"/>
          <w:sz w:val="16"/>
          <w:szCs w:val="16"/>
        </w:rPr>
        <w:lastRenderedPageBreak/>
        <w:t>Первое время обходилось без человеческих жертв, но 18 марта катастрофа все-таки про</w:t>
      </w:r>
      <w:r w:rsidRPr="00271E51">
        <w:rPr>
          <w:rFonts w:ascii="Times New Roman" w:hAnsi="Times New Roman"/>
          <w:color w:val="000000" w:themeColor="text1"/>
          <w:sz w:val="16"/>
          <w:szCs w:val="16"/>
        </w:rPr>
        <w:softHyphen/>
        <w:t>изошла: в воздухе столкнулись “Яки” аспирантов Жуара и Бурдье. Оба пило</w:t>
      </w:r>
      <w:r w:rsidRPr="00271E51">
        <w:rPr>
          <w:rFonts w:ascii="Times New Roman" w:hAnsi="Times New Roman"/>
          <w:color w:val="000000" w:themeColor="text1"/>
          <w:sz w:val="16"/>
          <w:szCs w:val="16"/>
        </w:rPr>
        <w:softHyphen/>
        <w:t>та погибли. Однако неприятности на этом не закончились. Летчики Эмоне и Шик за два дня поломали три боевых самолета. А 21 апреля, выполняя “за</w:t>
      </w:r>
      <w:r w:rsidRPr="00271E51">
        <w:rPr>
          <w:rFonts w:ascii="Times New Roman" w:hAnsi="Times New Roman"/>
          <w:color w:val="000000" w:themeColor="text1"/>
          <w:sz w:val="16"/>
          <w:szCs w:val="16"/>
        </w:rPr>
        <w:softHyphen/>
        <w:t>медленную бочку” на малой высоте по</w:t>
      </w:r>
      <w:r w:rsidRPr="00271E51">
        <w:rPr>
          <w:rFonts w:ascii="Times New Roman" w:hAnsi="Times New Roman"/>
          <w:color w:val="000000" w:themeColor="text1"/>
          <w:sz w:val="16"/>
          <w:szCs w:val="16"/>
        </w:rPr>
        <w:softHyphen/>
        <w:t>гиб лейтенант Фуко (3956).</w:t>
      </w:r>
    </w:p>
    <w:p w14:paraId="26F797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E5940" w14:textId="77777777" w:rsidR="00944465" w:rsidRPr="00271E51" w:rsidRDefault="0094446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декабре 1943 года на основании Приказа НКО №00139 от 12 ноября 1943 года была сформирована 56-я авиадивизия истребителей Дальнего Действия на A-20G-1 с РЛС в составе трех авиационных полков. С июня 1944 года дивизия – в составе Действующей Армии. Первый командир дивизии – подполковник Михаил Федорович Кузнецов, заместитель по радиолокации – инженер-майор Е. С. Штейн. Позже авиадивизией командовали полковник Андрей Дементьевич Бабенко – с 23 мая по 19 декабря 1944 года, и полковник Борис Владимирович Бицкий – с 20 декабря 1944 года и до окончания войны. Данная авиационная дивизия обеспечивала ночное прикрытие Брянского железнодорожного узла, участвовала в боях под Минском, Ригой, Львовом, Ковелем и Брестом, а затем под Познанью (22709).</w:t>
      </w:r>
    </w:p>
    <w:p w14:paraId="6C82A259" w14:textId="77777777" w:rsidR="00944465" w:rsidRPr="00271E51" w:rsidRDefault="00944465" w:rsidP="00271E51">
      <w:pPr>
        <w:spacing w:after="0" w:line="240" w:lineRule="auto"/>
        <w:jc w:val="both"/>
        <w:rPr>
          <w:rFonts w:ascii="Times New Roman" w:hAnsi="Times New Roman"/>
          <w:color w:val="0070C0"/>
          <w:sz w:val="16"/>
          <w:szCs w:val="16"/>
        </w:rPr>
      </w:pPr>
    </w:p>
    <w:p w14:paraId="038A67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на Черном море была предпринята последняя попытка использовать катер типа Г-5 с дистанционным управлением в качестве “сверхтяжелой бомбы” для удара по базе противника. Объектом атаки, как и в феврале, избрали Камыш-Бурун. На этот порт базировались немецкие корабли, блокировавшие эльтигенский плацдарм, причем все попытки “выкурить” оттуда БДБ оставались безрезультатными. Решение использовать катер ВУ Военный совет Черноморского флота принял во второй половине ноября, а проведение атаки первоначально планировалось на период с 5 по 10 декабря. В соответствии с принятым решением, ТКА №41, снабженный комплектом аппаратуры и полностью готовый к бою, 23 ноября прибыл в Геленджик. Для управления катером 82-я авиаэскадрилья выделила МБР-2 с бортовым номером 10, также находивший в полной боевой готовности. Но вмешался человеческий фактор - обученный и уже имевший боевой опыт оператор, капитан-лейтенант Саблин, 10 сентября погиб в бою у Новороссийска. На замену ему был выбран капитан-лейтенант Скорый, командир звена из состава 1-й БТКА. Этот опытнейший катерник еще до войны готовился на роль оператора системы ВУ, но успел утратить необходимые навыки и ему требовалась тренировка. К сожалению, провести их никак не удавалось - мешала плохая погода. Лишь 2 декабря море немного стихло и оператору удалось попрактиковаться в наведении катера ВУ на цель и управлении им на переходе. Этого было явно недостаточно, но время не ждало. 8 декабря Скорый принял участие в полете самолета-разведчика к Камыш-Буруну и на месте ознакомился с обстановкой. На следующий день в штаб флота поступил доклад о готовности катерников к действию, но было поздно - эльтигенский плацдарм перестал существовать. Однако боевые действия в Керченском проливе продолжались, так что операцию, отложив на неделю, совсем отменять не стали. Действовать решили днем, чтобы оператор с борта гидросамолета мог отчетливо видеть объект атаки, подходы к нему и собственно катер-снаряд. Для участия в ударе были назначены значительные силы ВВС флота, а выделенные торпедные катера перебазированы в Тамань.</w:t>
      </w:r>
    </w:p>
    <w:p w14:paraId="6FB683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Утром 16 декабря, в день атаки, два “Киттихаука” 30-го разведывательного авиаполка провели разведку в районе Керченского пролива и Камыш-Буруна, где в 07:10 обнаружили две БДБ у стенки и одну - в судоремонтном заводе. В 10:00 МБР-2 с аппаратурой управления вылетел в район атаки, его сопровождали восемь истребителей Як-9. Спустя полчаса ТКА №41 и сопровождавшие его №62 и №81 (участник июльской атаки) вышли из Тамани. С 10:25 до 11:50 их прикрывали пять Як-9 и восемь ЛаГГ-3. Еще пять Як-9 были направлены для наблюдения и аэрофотосъемки результатов удара. Кроме того, шесть штурмовиков Ил-2, которых охраняли восемь Як-9, в 10:55 взяли курс на Камыш-Бурун. Их задачей было подавление неприятельской артиллерии. В 11:04 81-й снял с брандера экипаж и отошел от его борта, а спустя девять минут оператор отдал по радио приказ на 41-й: “Боевой ход”. В 11:28 по ТКА №41 открыли огонь немецкие орудия. Сразу же штурмовики начали атаку вражеских батарей, подавив две из них. Стрельба по катеру стала менее интенсивной, но неприятельские зенитчики сбили один из Илов. Что произошло дальше, с абсолютной точностью установить не удалось. По одним сведениям, катер-снаряд в 11:37 по невыясненной причине взорвался и затонул в 1,5 милях к востоку от косы Камыш-Бурун. По другим, причиной срыва атаки оказалась недостаточная натренированность и отсутствие должного взаимопонимания между летчиком самолета управления и оператором системы ВУ. Пилот не понял жеста капитан-лейтенанта Скорого и выполнил совсем не тот маневр, который требовался. Оператор на какое-то время потерял управление и 41-й взорвался, врезавшись в оконечность Камыш-Бурунской косы. Так закончилась история практического применения радиоуправляемых катеров в годы войны (6002).</w:t>
      </w:r>
    </w:p>
    <w:p w14:paraId="47F1C4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44D2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Жизнь и внутренняя политика:</w:t>
      </w:r>
    </w:p>
    <w:p w14:paraId="3D11D9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05415"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Продовольственные цены в 1941-1945 гг. по городам Челябинской области.</w:t>
      </w:r>
    </w:p>
    <w:tbl>
      <w:tblPr>
        <w:tblW w:w="8569" w:type="dxa"/>
        <w:tblBorders>
          <w:top w:val="single" w:sz="4" w:space="0" w:color="DDDDDD"/>
          <w:left w:val="single" w:sz="4" w:space="0" w:color="DDDDDD"/>
          <w:bottom w:val="single" w:sz="4" w:space="0" w:color="DDDDDD"/>
          <w:right w:val="single" w:sz="4" w:space="0" w:color="DDDDDD"/>
        </w:tblBorders>
        <w:shd w:val="clear" w:color="auto" w:fill="FFFFFF"/>
        <w:tblCellMar>
          <w:left w:w="0" w:type="dxa"/>
          <w:right w:w="0" w:type="dxa"/>
        </w:tblCellMar>
        <w:tblLook w:val="04A0" w:firstRow="1" w:lastRow="0" w:firstColumn="1" w:lastColumn="0" w:noHBand="0" w:noVBand="1"/>
      </w:tblPr>
      <w:tblGrid>
        <w:gridCol w:w="1478"/>
        <w:gridCol w:w="1378"/>
        <w:gridCol w:w="1421"/>
        <w:gridCol w:w="1378"/>
        <w:gridCol w:w="1417"/>
        <w:gridCol w:w="1497"/>
      </w:tblGrid>
      <w:tr w:rsidR="00A907A5" w:rsidRPr="00271E51" w14:paraId="36486BBB"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D66A8B6"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 </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66303FF"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1941 июнь</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F9CF1C1"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1942 февраль</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2F341B8"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1943 июнь</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92D0A0F"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1943 декабрь</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FE7AF9A"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1945 ноябрь (Челябинск)</w:t>
            </w:r>
          </w:p>
        </w:tc>
      </w:tr>
      <w:tr w:rsidR="00A907A5" w:rsidRPr="00271E51" w14:paraId="507EAFBF"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359B509"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Мука пшеничная,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382D469"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3,5-5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D1BBE8C"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37,5-50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C69EB2F"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200-350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6703A52"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160-220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A7A4A3C"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23 руб.</w:t>
            </w:r>
          </w:p>
        </w:tc>
      </w:tr>
      <w:tr w:rsidR="00A907A5" w:rsidRPr="00271E51" w14:paraId="48098AED"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72904F6"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Говядина,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BB00B49"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18-23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BADD904"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Нет данных</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76B6511"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200-300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2E110542"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200-230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5E0384C6"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40 руб.</w:t>
            </w:r>
          </w:p>
        </w:tc>
      </w:tr>
      <w:tr w:rsidR="00A907A5" w:rsidRPr="00271E51" w14:paraId="43D0A4F5"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1238EA0"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Молоко, л</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C235283"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2-4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2142E2"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25-35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10FA308"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50-90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FEE35F6"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50-85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098DFDB"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 руб.</w:t>
            </w:r>
          </w:p>
        </w:tc>
      </w:tr>
      <w:tr w:rsidR="00A907A5" w:rsidRPr="00271E51" w14:paraId="6DC179DD"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6552106"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Картофель,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AE0AABC"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1,25-2,5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802DA0C"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9-15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073B9A1"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60-80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A522F7"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25-45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43B3088"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 руб.</w:t>
            </w:r>
          </w:p>
        </w:tc>
      </w:tr>
      <w:tr w:rsidR="00A907A5" w:rsidRPr="00271E51" w14:paraId="6437C927"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26D16C9"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Яйца, дес.</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E0FEE78"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5-11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43C3614"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60-85 руб.</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74F377DA"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130-200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B49D730"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170-250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AD122FB"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55 руб.</w:t>
            </w:r>
          </w:p>
        </w:tc>
      </w:tr>
      <w:tr w:rsidR="00A907A5" w:rsidRPr="00271E51" w14:paraId="7B973FF8" w14:textId="77777777" w:rsidTr="004E18F4">
        <w:tc>
          <w:tcPr>
            <w:tcW w:w="14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4B2CD26E"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Масло топлёное, кг</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191AA11"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30-55 руб.</w:t>
            </w:r>
          </w:p>
        </w:tc>
        <w:tc>
          <w:tcPr>
            <w:tcW w:w="1421"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1C361B6E"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300-450</w:t>
            </w:r>
          </w:p>
        </w:tc>
        <w:tc>
          <w:tcPr>
            <w:tcW w:w="1378"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62C708DA"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600-800 руб.</w:t>
            </w:r>
          </w:p>
        </w:tc>
        <w:tc>
          <w:tcPr>
            <w:tcW w:w="141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08AB6E63"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600-800 руб.</w:t>
            </w:r>
          </w:p>
        </w:tc>
        <w:tc>
          <w:tcPr>
            <w:tcW w:w="1497" w:type="dxa"/>
            <w:tcBorders>
              <w:top w:val="single" w:sz="4" w:space="0" w:color="DDDDDD"/>
              <w:left w:val="single" w:sz="4" w:space="0" w:color="DDDDDD"/>
              <w:bottom w:val="single" w:sz="4" w:space="0" w:color="DDDDDD"/>
              <w:right w:val="single" w:sz="4" w:space="0" w:color="DDDDDD"/>
            </w:tcBorders>
            <w:shd w:val="clear" w:color="auto" w:fill="auto"/>
            <w:tcMar>
              <w:top w:w="71" w:type="dxa"/>
              <w:left w:w="71" w:type="dxa"/>
              <w:bottom w:w="71" w:type="dxa"/>
              <w:right w:w="71" w:type="dxa"/>
            </w:tcMar>
            <w:hideMark/>
          </w:tcPr>
          <w:p w14:paraId="33B6819D" w14:textId="77777777" w:rsidR="00073EF4" w:rsidRPr="00271E51" w:rsidRDefault="00073EF4"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200 руб.</w:t>
            </w:r>
          </w:p>
        </w:tc>
      </w:tr>
    </w:tbl>
    <w:p w14:paraId="747E086C" w14:textId="77777777" w:rsidR="00073EF4" w:rsidRPr="00271E51" w:rsidRDefault="00073EF4"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(19649).</w:t>
      </w:r>
    </w:p>
    <w:p w14:paraId="221616D7" w14:textId="77777777" w:rsidR="00073EF4" w:rsidRPr="00271E51" w:rsidRDefault="00073EF4" w:rsidP="00271E51">
      <w:pPr>
        <w:spacing w:after="0" w:line="240" w:lineRule="auto"/>
        <w:jc w:val="both"/>
        <w:rPr>
          <w:rFonts w:ascii="Times New Roman" w:hAnsi="Times New Roman"/>
          <w:color w:val="000000" w:themeColor="text1"/>
          <w:sz w:val="16"/>
          <w:szCs w:val="16"/>
        </w:rPr>
      </w:pPr>
    </w:p>
    <w:p w14:paraId="4476F678"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Военный Совет Ленфронта решил создать выставку «Героическая оборона Ленинграда», положив в её основу уже существовавшие в городе выставки «Великая Отечественная Война советского народа», «Артиллерийская выставка» и «Действия партизан в Ленинградской области».</w:t>
      </w:r>
    </w:p>
    <w:p w14:paraId="22DA348F"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трёх месяцев тщательно собирались и свозились трофеи наших войск, отыскивались реликвии прославленных героев боёв, собирался разнообразный материал, отображающий героическую борьбу трудящихся города Ленина.</w:t>
      </w:r>
    </w:p>
    <w:p w14:paraId="281F190F"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полгода ее посетило 220 тысяч человек, в 1945 году выставку посетили маршал Г. К. Жуков и генерал союзников Д. Эйзенхауэр.</w:t>
      </w:r>
    </w:p>
    <w:p w14:paraId="4C111663"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января 1946 года выставку преобразовали в полноценный музей.</w:t>
      </w:r>
    </w:p>
    <w:p w14:paraId="4694A7CF"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году музей посетило 350 000 человек!</w:t>
      </w:r>
    </w:p>
    <w:p w14:paraId="4FF693DA" w14:textId="77777777" w:rsidR="00415F08" w:rsidRPr="00271E51" w:rsidRDefault="00415F0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 1949 году Музей обороны стал одной из жертв так называемого «Ленинградского дела» (19202).</w:t>
      </w:r>
    </w:p>
    <w:p w14:paraId="4193025D" w14:textId="77777777" w:rsidR="00415F08" w:rsidRPr="00271E51" w:rsidRDefault="00415F08" w:rsidP="00271E51">
      <w:pPr>
        <w:spacing w:after="0" w:line="240" w:lineRule="auto"/>
        <w:jc w:val="both"/>
        <w:rPr>
          <w:rFonts w:ascii="Times New Roman" w:hAnsi="Times New Roman"/>
          <w:color w:val="000000" w:themeColor="text1"/>
          <w:sz w:val="16"/>
          <w:szCs w:val="16"/>
        </w:rPr>
      </w:pPr>
    </w:p>
    <w:p w14:paraId="3FCE80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по данным органов НКВД Горького, имели место следующие высказывания.</w:t>
      </w:r>
    </w:p>
    <w:p w14:paraId="7020C8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смены цеха № 25 завода № 112 Сидягин: «Ну, понятно, разворовали, теперь за счет рабочего нужно пополнять запасы, довоевались „до ручки“».</w:t>
      </w:r>
    </w:p>
    <w:p w14:paraId="34B33C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 цеха № 49 завода № 469 Сухотин: «Уменьшение норм хлеба для рабочих очень тяжело перенести, о нас никто не заботится. Что я буду делать теперь, хочу куда-нибудь детей направить, а то с голоду умрут».</w:t>
      </w:r>
    </w:p>
    <w:p w14:paraId="5B1955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 летно-испытательной станции авиазавода № 21 Кирясов: «Товарищ Сталин сказал, что войне скоро будет конец, так почему же убавляют нормы, значит, война будет продолжаться долго, народ и так голодает, а тут еще хлеб отнимают, многие люди будут пухнуть и умирать».</w:t>
      </w:r>
    </w:p>
    <w:p w14:paraId="75E4B7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Механик завода № 33 Балохин: «Мы получаем столько, сколько Гитлер дает в оккупированных районах».</w:t>
      </w:r>
    </w:p>
    <w:p w14:paraId="6254E6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Сотрудница планового отдела завода боеприпасов № 558 Ваганова: «Вот тебе и победа, города опять отдаем, нормы на хлеб снизили, и скоро, по-видимому, давать не будут, значит, дела на фронте не из блестящих».</w:t>
      </w:r>
    </w:p>
    <w:p w14:paraId="6E2C3C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Агент отдела рабочего снабжения завода шампанских вин Кальпин:</w:t>
      </w:r>
    </w:p>
    <w:p w14:paraId="3221DC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заводам идет гул, рабочие очень недовольны снижением норм на хлеб. Сейчас пойдет насмарку все стахановское движение. Рабочие заявляют, что кто издает распоряжения, пусть сами и работают!» [431 — ГОПАНО, Ф. 3, Оп. 1, Д. 3398.] (11741).</w:t>
      </w:r>
    </w:p>
    <w:p w14:paraId="5812E2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стали </w:t>
      </w:r>
    </w:p>
    <w:p w14:paraId="678611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8656A"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9075F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902FF1" w14:textId="77777777" w:rsidR="002D7419" w:rsidRPr="00271E51" w:rsidRDefault="002D7419"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shd w:val="clear" w:color="auto" w:fill="FFFFFF"/>
        </w:rPr>
        <w:t>В декабре 1943 года во время обеда на Тегеранской конференции Сталин говорил Рузвельту: «Самое главное в этой войне – машины. Соединенные Штаты показали, что они способны выпускать каждый месяц от 8000 до 10 000 самолетов. Россия может выпускать максимум 3000 самолетов в месяц… Таким образом, Соединенные Штаты являются страной машин. Без использования этих машин… мы проиграли бы войну» (21542).</w:t>
      </w:r>
    </w:p>
    <w:p w14:paraId="068BE754" w14:textId="77777777" w:rsidR="002D7419" w:rsidRPr="00271E51" w:rsidRDefault="002D7419" w:rsidP="00271E51">
      <w:pPr>
        <w:spacing w:after="0" w:line="240" w:lineRule="auto"/>
        <w:jc w:val="both"/>
        <w:rPr>
          <w:rFonts w:ascii="Times New Roman" w:hAnsi="Times New Roman"/>
          <w:color w:val="0070C0"/>
          <w:sz w:val="16"/>
          <w:szCs w:val="16"/>
        </w:rPr>
      </w:pPr>
    </w:p>
    <w:p w14:paraId="3AE139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СССР уже подписал с находившимся в изгнании бывшим президентом Бенешем договор о взаимной помощи между СССР и Чехословакией (3871).</w:t>
      </w:r>
    </w:p>
    <w:p w14:paraId="6D5BC3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C506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148611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78CD6" w14:textId="77777777" w:rsidR="006C0ACA" w:rsidRPr="00271E51" w:rsidRDefault="006C0ACA"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В декабре 1943 года Шпеер подписал приказ о начале разработки скоростного реактивного штурмовика на базе перехватчика Ме-262.</w:t>
      </w:r>
    </w:p>
    <w:p w14:paraId="17C2F2D1" w14:textId="77777777" w:rsidR="006C0ACA" w:rsidRPr="00271E51" w:rsidRDefault="006C0ACA"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Конструкторскому бюро Мессершмитта был дан карт-бланш, а финансирование проекта было восстановлено в полном объеме. Но перед создателями скоростного штурмовика возникли многочисленные проблемы. Из-за массированных налетов союзной авиации на промышленные центры на территории Германии начались перебои с поставками комплектующих. Не хватало хрома и никеля, которые использовались для изготовления лопаток турбины двигателя Jumo-004B. Вследствие этого резко сократилось производство турбореактивных двигателей Junkers. В апреле 1944 года удалось собрать лишь 15 предсерийных штурмовиков, которые были переданы в специальное испытательное подразделение люфтваффе, которое отрабатывало тактику применения новой реактивной техники.</w:t>
      </w:r>
    </w:p>
    <w:p w14:paraId="2CEA062E" w14:textId="77777777" w:rsidR="006C0ACA" w:rsidRPr="00271E51" w:rsidRDefault="006C0ACA"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t>Только в июне 1944 года, после переноса производства двигателя Jumo-004B в подземный завод Нордхаузен, появилась возможность начать серийное производство Ме-262 (19691).</w:t>
      </w:r>
    </w:p>
    <w:p w14:paraId="28FBECC7" w14:textId="77777777" w:rsidR="006C0ACA" w:rsidRPr="00271E51" w:rsidRDefault="006C0ACA" w:rsidP="00271E51">
      <w:pPr>
        <w:spacing w:after="0" w:line="240" w:lineRule="auto"/>
        <w:jc w:val="both"/>
        <w:rPr>
          <w:rFonts w:ascii="Times New Roman" w:hAnsi="Times New Roman"/>
          <w:color w:val="000000" w:themeColor="text1"/>
          <w:sz w:val="16"/>
          <w:szCs w:val="16"/>
        </w:rPr>
      </w:pPr>
    </w:p>
    <w:p w14:paraId="5DA8B35E" w14:textId="77777777" w:rsidR="002D7419" w:rsidRPr="00271E51" w:rsidRDefault="002D741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фирма Белл сообщила о создании с учетом наших замечаний новой модификации Кобры и просили прислать летчика и и для проведения контрольных испытаний (172,168).</w:t>
      </w:r>
    </w:p>
    <w:p w14:paraId="2BF603BA" w14:textId="77777777" w:rsidR="002D7419" w:rsidRPr="00271E51" w:rsidRDefault="002D741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F9C399" w14:textId="77777777" w:rsidR="002D7419" w:rsidRPr="00271E51" w:rsidRDefault="002D741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японцы испытывали истребитель со спаркой моторов Ки.64 с паровым охлаждением, но на пятом полете моторы заклинило (4026,26).</w:t>
      </w:r>
    </w:p>
    <w:p w14:paraId="63D193EE" w14:textId="77777777" w:rsidR="002D7419" w:rsidRPr="00271E51" w:rsidRDefault="002D741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A3BED" w14:textId="77777777" w:rsidR="00365852" w:rsidRPr="00271E51" w:rsidRDefault="0036585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 xml:space="preserve">Декабрь 1943 первый полет Кавасаки </w:t>
      </w:r>
      <w:r w:rsidRPr="00271E51">
        <w:rPr>
          <w:rFonts w:ascii="Times New Roman" w:hAnsi="Times New Roman"/>
          <w:color w:val="0070C0"/>
          <w:sz w:val="16"/>
          <w:szCs w:val="16"/>
          <w:lang w:val="en-US"/>
        </w:rPr>
        <w:t>Ki</w:t>
      </w:r>
      <w:r w:rsidRPr="00271E51">
        <w:rPr>
          <w:rFonts w:ascii="Times New Roman" w:hAnsi="Times New Roman"/>
          <w:color w:val="0070C0"/>
          <w:sz w:val="16"/>
          <w:szCs w:val="16"/>
        </w:rPr>
        <w:t>-64 (20376).</w:t>
      </w:r>
    </w:p>
    <w:p w14:paraId="6A59AA2B" w14:textId="77777777" w:rsidR="00365852" w:rsidRPr="00271E51" w:rsidRDefault="00365852" w:rsidP="00271E51">
      <w:pPr>
        <w:spacing w:after="0" w:line="240" w:lineRule="auto"/>
        <w:jc w:val="both"/>
        <w:rPr>
          <w:rFonts w:ascii="Times New Roman" w:hAnsi="Times New Roman"/>
          <w:color w:val="0070C0"/>
          <w:sz w:val="16"/>
          <w:szCs w:val="16"/>
        </w:rPr>
      </w:pPr>
    </w:p>
    <w:p w14:paraId="41885E34" w14:textId="77777777" w:rsidR="00365852" w:rsidRPr="00271E51" w:rsidRDefault="0036585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декабре 1943 Венесуэльская авиакомпания Avensa выполняет свои первые полеты (20376).</w:t>
      </w:r>
    </w:p>
    <w:p w14:paraId="2792D36C" w14:textId="77777777" w:rsidR="00365852" w:rsidRPr="00271E51" w:rsidRDefault="00365852" w:rsidP="00271E51">
      <w:pPr>
        <w:spacing w:after="0" w:line="240" w:lineRule="auto"/>
        <w:jc w:val="both"/>
        <w:rPr>
          <w:rFonts w:ascii="Times New Roman" w:hAnsi="Times New Roman"/>
          <w:color w:val="0070C0"/>
          <w:sz w:val="16"/>
          <w:szCs w:val="16"/>
        </w:rPr>
      </w:pPr>
    </w:p>
    <w:p w14:paraId="46C5AA9B" w14:textId="77777777" w:rsidR="00365852" w:rsidRPr="00271E51" w:rsidRDefault="00365852"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декабре 1943 Военно -воздушные силы США просят компанию Douglas Aircraft Company представить предложение по исследовательскому самолету с двигателем на скорость 1 Мах (20376).</w:t>
      </w:r>
    </w:p>
    <w:p w14:paraId="282EC404" w14:textId="77777777" w:rsidR="00365852" w:rsidRPr="00271E51" w:rsidRDefault="00365852" w:rsidP="00271E51">
      <w:pPr>
        <w:spacing w:after="0" w:line="240" w:lineRule="auto"/>
        <w:jc w:val="both"/>
        <w:rPr>
          <w:rFonts w:ascii="Times New Roman" w:hAnsi="Times New Roman"/>
          <w:color w:val="0070C0"/>
          <w:sz w:val="16"/>
          <w:szCs w:val="16"/>
        </w:rPr>
      </w:pPr>
    </w:p>
    <w:p w14:paraId="63B74E8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был разработан более или менее реальный вариант боевого применения V1, который предусматривал ежедневное ведение огня с 64 пусковых установок в течение 10 часов при запуске двух ракет в час. Следовательно, ежесуточно обстреливать Британию должно было 1280 крылатых ракет (Орлов А.С. «Чудо-оружие»: обманутые надежды фюрера. Смоленск: Русич, 1999.) (11686).</w:t>
      </w:r>
    </w:p>
    <w:p w14:paraId="0A4B9E4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1202F2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командование ПВО Великобритании приступило к детальной разработке плана обороны от V-1, названного Diver. Хотели использовать аэростаты заграждения (1227,21).</w:t>
      </w:r>
    </w:p>
    <w:p w14:paraId="162FAE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6F2F4"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декабре 1943 года вновь начался выпуск САУ </w:t>
      </w:r>
      <w:r w:rsidRPr="00271E51">
        <w:rPr>
          <w:rFonts w:ascii="Times New Roman" w:hAnsi="Times New Roman"/>
          <w:color w:val="000000" w:themeColor="text1"/>
          <w:sz w:val="16"/>
          <w:szCs w:val="16"/>
          <w:lang w:val="en-US"/>
        </w:rPr>
        <w:t>Sturmpanzer</w:t>
      </w:r>
      <w:r w:rsidRPr="00271E51">
        <w:rPr>
          <w:rFonts w:ascii="Times New Roman" w:hAnsi="Times New Roman"/>
          <w:color w:val="000000" w:themeColor="text1"/>
          <w:sz w:val="16"/>
          <w:szCs w:val="16"/>
        </w:rPr>
        <w:t xml:space="preserve"> IV. В качестве базы использова</w:t>
      </w:r>
      <w:r w:rsidRPr="00271E51">
        <w:rPr>
          <w:rFonts w:ascii="Times New Roman" w:hAnsi="Times New Roman"/>
          <w:color w:val="000000" w:themeColor="text1"/>
          <w:sz w:val="16"/>
          <w:szCs w:val="16"/>
        </w:rPr>
        <w:softHyphen/>
        <w:t xml:space="preserve">лось шасси среднего танка </w:t>
      </w:r>
      <w:r w:rsidRPr="00271E51">
        <w:rPr>
          <w:rFonts w:ascii="Times New Roman" w:hAnsi="Times New Roman"/>
          <w:color w:val="000000" w:themeColor="text1"/>
          <w:sz w:val="16"/>
          <w:szCs w:val="16"/>
          <w:lang w:val="en-US"/>
        </w:rPr>
        <w:t>Pz</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IV</w:t>
      </w:r>
      <w:r w:rsidRPr="00271E51">
        <w:rPr>
          <w:rFonts w:ascii="Times New Roman" w:hAnsi="Times New Roman"/>
          <w:color w:val="000000" w:themeColor="text1"/>
          <w:sz w:val="16"/>
          <w:szCs w:val="16"/>
        </w:rPr>
        <w:t xml:space="preserve"> моди</w:t>
      </w:r>
      <w:r w:rsidRPr="00271E51">
        <w:rPr>
          <w:rFonts w:ascii="Times New Roman" w:hAnsi="Times New Roman"/>
          <w:color w:val="000000" w:themeColor="text1"/>
          <w:sz w:val="16"/>
          <w:szCs w:val="16"/>
        </w:rPr>
        <w:softHyphen/>
        <w:t>фикации Н. В конструкцию и форму рубки были внесены незначительные из</w:t>
      </w:r>
      <w:r w:rsidRPr="00271E51">
        <w:rPr>
          <w:rFonts w:ascii="Times New Roman" w:hAnsi="Times New Roman"/>
          <w:color w:val="000000" w:themeColor="text1"/>
          <w:sz w:val="16"/>
          <w:szCs w:val="16"/>
        </w:rPr>
        <w:softHyphen/>
        <w:t>менения. В частности, в увеличенной ру- бочке механика-водителя был ликвиди</w:t>
      </w:r>
      <w:r w:rsidRPr="00271E51">
        <w:rPr>
          <w:rFonts w:ascii="Times New Roman" w:hAnsi="Times New Roman"/>
          <w:color w:val="000000" w:themeColor="text1"/>
          <w:sz w:val="16"/>
          <w:szCs w:val="16"/>
        </w:rPr>
        <w:softHyphen/>
        <w:t xml:space="preserve">рован заимствованный у танка «Тигр» прибор наблюдения </w:t>
      </w:r>
      <w:r w:rsidRPr="00271E51">
        <w:rPr>
          <w:rFonts w:ascii="Times New Roman" w:hAnsi="Times New Roman"/>
          <w:color w:val="000000" w:themeColor="text1"/>
          <w:sz w:val="16"/>
          <w:szCs w:val="16"/>
          <w:lang w:val="en-US"/>
        </w:rPr>
        <w:t>Fahrersehklappe</w:t>
      </w:r>
      <w:r w:rsidRPr="00271E51">
        <w:rPr>
          <w:rFonts w:ascii="Times New Roman" w:hAnsi="Times New Roman"/>
          <w:color w:val="000000" w:themeColor="text1"/>
          <w:sz w:val="16"/>
          <w:szCs w:val="16"/>
        </w:rPr>
        <w:t xml:space="preserve"> 80, а вместо него смонтирован перископ. Кро</w:t>
      </w:r>
      <w:r w:rsidRPr="00271E51">
        <w:rPr>
          <w:rFonts w:ascii="Times New Roman" w:hAnsi="Times New Roman"/>
          <w:color w:val="000000" w:themeColor="text1"/>
          <w:sz w:val="16"/>
          <w:szCs w:val="16"/>
        </w:rPr>
        <w:softHyphen/>
        <w:t xml:space="preserve">ме того, с февраля 1944 года на боевых машинах начали устанавливать орудие 15 </w:t>
      </w:r>
      <w:r w:rsidRPr="00271E51">
        <w:rPr>
          <w:rFonts w:ascii="Times New Roman" w:hAnsi="Times New Roman"/>
          <w:color w:val="000000" w:themeColor="text1"/>
          <w:sz w:val="16"/>
          <w:szCs w:val="16"/>
          <w:lang w:val="en-US"/>
        </w:rPr>
        <w:t>cmSturmhaubitze</w:t>
      </w:r>
      <w:r w:rsidRPr="00271E51">
        <w:rPr>
          <w:rFonts w:ascii="Times New Roman" w:hAnsi="Times New Roman"/>
          <w:color w:val="000000" w:themeColor="text1"/>
          <w:sz w:val="16"/>
          <w:szCs w:val="16"/>
        </w:rPr>
        <w:t xml:space="preserve"> 43/1 с удлиненным броневым кожухом ствола. Увеличилось число и расположение вентиляторов и люков на крыше рубки. Всего было вы</w:t>
      </w:r>
      <w:r w:rsidRPr="00271E51">
        <w:rPr>
          <w:rFonts w:ascii="Times New Roman" w:hAnsi="Times New Roman"/>
          <w:color w:val="000000" w:themeColor="text1"/>
          <w:sz w:val="16"/>
          <w:szCs w:val="16"/>
        </w:rPr>
        <w:softHyphen/>
        <w:t xml:space="preserve">пущено 73 </w:t>
      </w:r>
      <w:r w:rsidRPr="00271E51">
        <w:rPr>
          <w:rFonts w:ascii="Times New Roman" w:hAnsi="Times New Roman"/>
          <w:color w:val="000000" w:themeColor="text1"/>
          <w:sz w:val="16"/>
          <w:szCs w:val="16"/>
          <w:lang w:val="en-US"/>
        </w:rPr>
        <w:t>Sturmpanzer</w:t>
      </w:r>
      <w:r w:rsidRPr="00271E51">
        <w:rPr>
          <w:rFonts w:ascii="Times New Roman" w:hAnsi="Times New Roman"/>
          <w:color w:val="000000" w:themeColor="text1"/>
          <w:sz w:val="16"/>
          <w:szCs w:val="16"/>
        </w:rPr>
        <w:t xml:space="preserve"> IV так называемой средней, серии. Кстати, в 1944 году боевая машина получила нео</w:t>
      </w:r>
      <w:r w:rsidRPr="00271E51">
        <w:rPr>
          <w:rFonts w:ascii="Times New Roman" w:hAnsi="Times New Roman"/>
          <w:color w:val="000000" w:themeColor="text1"/>
          <w:sz w:val="16"/>
          <w:szCs w:val="16"/>
        </w:rPr>
        <w:softHyphen/>
        <w:t xml:space="preserve">фициальное название </w:t>
      </w:r>
      <w:r w:rsidRPr="00271E51">
        <w:rPr>
          <w:rFonts w:ascii="Times New Roman" w:hAnsi="Times New Roman"/>
          <w:color w:val="000000" w:themeColor="text1"/>
          <w:sz w:val="16"/>
          <w:szCs w:val="16"/>
          <w:lang w:val="en-US"/>
        </w:rPr>
        <w:t>Brummbar</w:t>
      </w:r>
      <w:r w:rsidRPr="00271E51">
        <w:rPr>
          <w:rFonts w:ascii="Times New Roman" w:hAnsi="Times New Roman"/>
          <w:color w:val="000000" w:themeColor="text1"/>
          <w:sz w:val="16"/>
          <w:szCs w:val="16"/>
        </w:rPr>
        <w:t xml:space="preserve"> («Бруммбер» — «Гризли»), под которым известна значительно больше, чем под своим официальным обозначением (15232).</w:t>
      </w:r>
    </w:p>
    <w:p w14:paraId="01D332B1"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1E4C5E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неизвестный объект цилиндрической формы пролетел по маршруту Гельголанд - Виттенберг - Нейстрелиц со скоростью 3000 км/час (7579).</w:t>
      </w:r>
    </w:p>
    <w:p w14:paraId="72D923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DC590"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FD0D0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EE9C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(со 111 серии) по июль 1944 (192 серия) выпускался Як-1 с улучшенной аэродинамикой и всего сделали 4461 (65,62).</w:t>
      </w:r>
    </w:p>
    <w:p w14:paraId="14F6E0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1CB2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декабре 1943 г. — январе 1944 г. М-107А испытывался на истребителе Як-9У, в апреле — ноябре 1944 г. — на Як-3, в апреле 1944 г. — на опытном скоростном бомбардиров</w:t>
      </w:r>
      <w:r w:rsidRPr="00271E51">
        <w:rPr>
          <w:rFonts w:ascii="Times New Roman" w:hAnsi="Times New Roman"/>
          <w:color w:val="000000" w:themeColor="text1"/>
          <w:sz w:val="16"/>
          <w:szCs w:val="16"/>
        </w:rPr>
        <w:softHyphen/>
        <w:t>щике Пе-2И. ВК-107А серийно выпускался до 1948 г. В процессе производства в 1945 г. сняли инжектор маслосистемы, работавший при запуске и прогреве мотора, в 1946 г. изменили передаточное от</w:t>
      </w:r>
      <w:r w:rsidRPr="00271E51">
        <w:rPr>
          <w:rFonts w:ascii="Times New Roman" w:hAnsi="Times New Roman"/>
          <w:color w:val="000000" w:themeColor="text1"/>
          <w:sz w:val="16"/>
          <w:szCs w:val="16"/>
        </w:rPr>
        <w:softHyphen/>
        <w:t>ношение редуктора, ограничили максимальные обороты, ввели допол</w:t>
      </w:r>
      <w:r w:rsidRPr="00271E51">
        <w:rPr>
          <w:rFonts w:ascii="Times New Roman" w:hAnsi="Times New Roman"/>
          <w:color w:val="000000" w:themeColor="text1"/>
          <w:sz w:val="16"/>
          <w:szCs w:val="16"/>
        </w:rPr>
        <w:softHyphen/>
        <w:t>нительную маслопомпу (по типу ВК-108). Это позволило на пове</w:t>
      </w:r>
      <w:r w:rsidRPr="00271E51">
        <w:rPr>
          <w:rFonts w:ascii="Times New Roman" w:hAnsi="Times New Roman"/>
          <w:color w:val="000000" w:themeColor="text1"/>
          <w:sz w:val="16"/>
          <w:szCs w:val="16"/>
        </w:rPr>
        <w:softHyphen/>
        <w:t>рочных испытаниях продемонстрировать ресурс в 100 ч. На М-107А (ВК-107А) устанавливались пушки ШВАК (20 мм), Н-37 (37 мм), Б-20М (20 мм), НС-23 (23 мм), Н-45 (45 мм) (11582).</w:t>
      </w:r>
    </w:p>
    <w:p w14:paraId="0DF713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A9D1BE"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3FE043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9A0B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г. по март 1944 г. танки ИС-2 оснащались пушкой Д-25 с поршневым затвором. Всего бы</w:t>
      </w:r>
      <w:r w:rsidRPr="00271E51">
        <w:rPr>
          <w:rFonts w:ascii="Times New Roman" w:hAnsi="Times New Roman"/>
          <w:color w:val="000000" w:themeColor="text1"/>
          <w:sz w:val="16"/>
          <w:szCs w:val="16"/>
        </w:rPr>
        <w:softHyphen/>
        <w:t>ло изготовлено 145 машин данной модификации (10703).</w:t>
      </w:r>
    </w:p>
    <w:p w14:paraId="45CA30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30D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декабря 1943 г. по июль 1944 г. танк ИС-2 серийно выпускался на ЧКЗ. С декабря 1943 г. по март 1944 г. тапки ИС-2 оснащались пушкой Д-25 с поршневым затвором. Всего бы</w:t>
      </w:r>
      <w:r w:rsidRPr="00271E51">
        <w:rPr>
          <w:rFonts w:ascii="Times New Roman" w:hAnsi="Times New Roman"/>
          <w:color w:val="000000" w:themeColor="text1"/>
          <w:sz w:val="16"/>
          <w:szCs w:val="16"/>
        </w:rPr>
        <w:softHyphen/>
        <w:t>ло изготовлено 145 машин данной модификации (10703).</w:t>
      </w:r>
    </w:p>
    <w:p w14:paraId="0827CB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97758" w14:textId="77777777" w:rsidR="00845339" w:rsidRPr="00271E51" w:rsidRDefault="00845339" w:rsidP="00271E51">
      <w:pPr>
        <w:spacing w:after="0" w:line="240" w:lineRule="auto"/>
        <w:jc w:val="both"/>
        <w:rPr>
          <w:rStyle w:val="670"/>
          <w:rFonts w:ascii="Times New Roman" w:hAnsi="Times New Roman" w:cs="Times New Roman"/>
          <w:color w:val="0070C0"/>
          <w:sz w:val="16"/>
          <w:szCs w:val="16"/>
        </w:rPr>
      </w:pPr>
      <w:r w:rsidRPr="00271E51">
        <w:rPr>
          <w:rStyle w:val="670"/>
          <w:rFonts w:ascii="Times New Roman" w:hAnsi="Times New Roman" w:cs="Times New Roman"/>
          <w:color w:val="0070C0"/>
          <w:sz w:val="16"/>
          <w:szCs w:val="16"/>
        </w:rPr>
        <w:t>С декабря 1943 по февраль 1944 действовала система серийных номе</w:t>
      </w:r>
      <w:r w:rsidRPr="00271E51">
        <w:rPr>
          <w:rStyle w:val="670"/>
          <w:rFonts w:ascii="Times New Roman" w:hAnsi="Times New Roman" w:cs="Times New Roman"/>
          <w:color w:val="0070C0"/>
          <w:sz w:val="16"/>
          <w:szCs w:val="16"/>
        </w:rPr>
        <w:softHyphen/>
        <w:t>ров, начинавшихся с ИС122, далее год (3 или 4 - по последней цифре от 1943 или 1944 года), далее месяц, далее номер танка за месяц. В феврале вместо ИС122 впереди стали писать 240 (чертежный индекс маши</w:t>
      </w:r>
      <w:r w:rsidRPr="00271E51">
        <w:rPr>
          <w:rStyle w:val="670"/>
          <w:rFonts w:ascii="Times New Roman" w:hAnsi="Times New Roman" w:cs="Times New Roman"/>
          <w:color w:val="0070C0"/>
          <w:sz w:val="16"/>
          <w:szCs w:val="16"/>
        </w:rPr>
        <w:softHyphen/>
        <w:t>ны), при этом остальная номерная система осталась на месте. 19 декабря 1944 года ГБТУ КА утвердило новую систему нумерации. На самом деле, старая нумерация использова</w:t>
      </w:r>
      <w:r w:rsidRPr="00271E51">
        <w:rPr>
          <w:rStyle w:val="670"/>
          <w:rFonts w:ascii="Times New Roman" w:hAnsi="Times New Roman" w:cs="Times New Roman"/>
          <w:color w:val="0070C0"/>
          <w:sz w:val="16"/>
          <w:szCs w:val="16"/>
        </w:rPr>
        <w:softHyphen/>
        <w:t>лась и в марте 1944 года. Например, танк, ко</w:t>
      </w:r>
      <w:r w:rsidRPr="00271E51">
        <w:rPr>
          <w:rStyle w:val="670"/>
          <w:rFonts w:ascii="Times New Roman" w:hAnsi="Times New Roman" w:cs="Times New Roman"/>
          <w:color w:val="0070C0"/>
          <w:sz w:val="16"/>
          <w:szCs w:val="16"/>
        </w:rPr>
        <w:softHyphen/>
        <w:t>торый послужил прототипом для чертежей в этом номере журнала, был выпущен в марте 1944 года и имеет серийный номер ИС1220334. С декабря 1944 по февраль 1945 год/месяц обозначались как 412. Далее вме</w:t>
      </w:r>
      <w:r w:rsidRPr="00271E51">
        <w:rPr>
          <w:rStyle w:val="670"/>
          <w:rFonts w:ascii="Times New Roman" w:hAnsi="Times New Roman" w:cs="Times New Roman"/>
          <w:color w:val="0070C0"/>
          <w:sz w:val="16"/>
          <w:szCs w:val="16"/>
        </w:rPr>
        <w:softHyphen/>
        <w:t>сте месяца и года использовались двузнач</w:t>
      </w:r>
      <w:r w:rsidRPr="00271E51">
        <w:rPr>
          <w:rStyle w:val="670"/>
          <w:rFonts w:ascii="Times New Roman" w:hAnsi="Times New Roman" w:cs="Times New Roman"/>
          <w:color w:val="0070C0"/>
          <w:sz w:val="16"/>
          <w:szCs w:val="16"/>
        </w:rPr>
        <w:softHyphen/>
        <w:t>ные номера, индивидуальные для каждого завода в определенный месяц 1945 года. На</w:t>
      </w:r>
      <w:r w:rsidRPr="00271E51">
        <w:rPr>
          <w:rStyle w:val="670"/>
          <w:rFonts w:ascii="Times New Roman" w:hAnsi="Times New Roman" w:cs="Times New Roman"/>
          <w:color w:val="0070C0"/>
          <w:sz w:val="16"/>
          <w:szCs w:val="16"/>
        </w:rPr>
        <w:softHyphen/>
        <w:t>пример, на ЧКЗ танки мартовского выпуска имели номер 6, а в апреле - 67. Выпущенные в марте 1945 года пять ИС-2 на Кировском За</w:t>
      </w:r>
      <w:r w:rsidRPr="00271E51">
        <w:rPr>
          <w:rStyle w:val="670"/>
          <w:rFonts w:ascii="Times New Roman" w:hAnsi="Times New Roman" w:cs="Times New Roman"/>
          <w:color w:val="0070C0"/>
          <w:sz w:val="16"/>
          <w:szCs w:val="16"/>
        </w:rPr>
        <w:softHyphen/>
        <w:t>воде в Ленинграде имели номер 77. Эта си</w:t>
      </w:r>
      <w:r w:rsidRPr="00271E51">
        <w:rPr>
          <w:rStyle w:val="670"/>
          <w:rFonts w:ascii="Times New Roman" w:hAnsi="Times New Roman" w:cs="Times New Roman"/>
          <w:color w:val="0070C0"/>
          <w:sz w:val="16"/>
          <w:szCs w:val="16"/>
        </w:rPr>
        <w:softHyphen/>
        <w:t>стема действовала до конца 1945 года. Далее в ГБТУ КА поняли, что перемудрили с секрет</w:t>
      </w:r>
      <w:r w:rsidRPr="00271E51">
        <w:rPr>
          <w:rStyle w:val="670"/>
          <w:rFonts w:ascii="Times New Roman" w:hAnsi="Times New Roman" w:cs="Times New Roman"/>
          <w:color w:val="0070C0"/>
          <w:sz w:val="16"/>
          <w:szCs w:val="16"/>
        </w:rPr>
        <w:softHyphen/>
        <w:t>ностью, поскольку без бумажки в данной ну</w:t>
      </w:r>
      <w:r w:rsidRPr="00271E51">
        <w:rPr>
          <w:rStyle w:val="670"/>
          <w:rFonts w:ascii="Times New Roman" w:hAnsi="Times New Roman" w:cs="Times New Roman"/>
          <w:color w:val="0070C0"/>
          <w:sz w:val="16"/>
          <w:szCs w:val="16"/>
        </w:rPr>
        <w:softHyphen/>
        <w:t xml:space="preserve">мерации было попросту не разобраться. По этой причине с начала 1946 года появилась новая система нумерации, которая, впрочем, ИС-2 уже не коснулась. </w:t>
      </w:r>
    </w:p>
    <w:p w14:paraId="54F43991" w14:textId="77777777" w:rsidR="00845339" w:rsidRPr="00271E51" w:rsidRDefault="00845339" w:rsidP="00271E51">
      <w:pPr>
        <w:spacing w:after="0" w:line="240" w:lineRule="auto"/>
        <w:jc w:val="both"/>
        <w:rPr>
          <w:rStyle w:val="670"/>
          <w:rFonts w:ascii="Times New Roman" w:hAnsi="Times New Roman" w:cs="Times New Roman"/>
          <w:color w:val="0070C0"/>
          <w:sz w:val="16"/>
          <w:szCs w:val="16"/>
        </w:rPr>
      </w:pPr>
      <w:r w:rsidRPr="00271E51">
        <w:rPr>
          <w:rStyle w:val="670"/>
          <w:rFonts w:ascii="Times New Roman" w:hAnsi="Times New Roman" w:cs="Times New Roman"/>
          <w:color w:val="0070C0"/>
          <w:sz w:val="16"/>
          <w:szCs w:val="16"/>
        </w:rPr>
        <w:t>Таким образом, общее количество выпу</w:t>
      </w:r>
      <w:r w:rsidRPr="00271E51">
        <w:rPr>
          <w:rStyle w:val="670"/>
          <w:rFonts w:ascii="Times New Roman" w:hAnsi="Times New Roman" w:cs="Times New Roman"/>
          <w:color w:val="0070C0"/>
          <w:sz w:val="16"/>
          <w:szCs w:val="16"/>
        </w:rPr>
        <w:softHyphen/>
        <w:t>щенных составило 3395 ИС-2, из них 3385 по</w:t>
      </w:r>
      <w:r w:rsidRPr="00271E51">
        <w:rPr>
          <w:rStyle w:val="670"/>
          <w:rFonts w:ascii="Times New Roman" w:hAnsi="Times New Roman" w:cs="Times New Roman"/>
          <w:color w:val="0070C0"/>
          <w:sz w:val="16"/>
          <w:szCs w:val="16"/>
        </w:rPr>
        <w:softHyphen/>
        <w:t>строили на ЧКЗ, плюс 10 танков сдал Киров</w:t>
      </w:r>
      <w:r w:rsidRPr="00271E51">
        <w:rPr>
          <w:rStyle w:val="670"/>
          <w:rFonts w:ascii="Times New Roman" w:hAnsi="Times New Roman" w:cs="Times New Roman"/>
          <w:color w:val="0070C0"/>
          <w:sz w:val="16"/>
          <w:szCs w:val="16"/>
        </w:rPr>
        <w:softHyphen/>
        <w:t>ский Завод в Ленинграде. Цифры в скобках, которые указаны в столбце «план» - это фи</w:t>
      </w:r>
      <w:r w:rsidRPr="00271E51">
        <w:rPr>
          <w:rStyle w:val="670"/>
          <w:rFonts w:ascii="Times New Roman" w:hAnsi="Times New Roman" w:cs="Times New Roman"/>
          <w:color w:val="0070C0"/>
          <w:sz w:val="16"/>
          <w:szCs w:val="16"/>
        </w:rPr>
        <w:softHyphen/>
        <w:t>нальный вариант. Например, изначально в январе 1944 года планировалось сдать 75 ИС- 122, но поскольку имелся задел по корпусам и башням ИС-85, в январе сдали 40 машин данного типа. Кроме того, под конец выпуска ЧКЗ отдувался за двоих, то есть, и за себя, и за Кировский Завод в Ленинграде. Там выпуск ИС-2 фактически завалили, поэтому в апреле, мае и июне 1945 года ЧКЗ сдавал на 5 танков больше. При этом на такое же количество уменьшался выпуск ИСУ-122. Также стоит от</w:t>
      </w:r>
      <w:r w:rsidRPr="00271E51">
        <w:rPr>
          <w:rStyle w:val="670"/>
          <w:rFonts w:ascii="Times New Roman" w:hAnsi="Times New Roman" w:cs="Times New Roman"/>
          <w:color w:val="0070C0"/>
          <w:sz w:val="16"/>
          <w:szCs w:val="16"/>
        </w:rPr>
        <w:softHyphen/>
        <w:t>метить, что до февраля 1944 года основной продукцией ЧКЗ были Т-34. Лишь в марте, после выхода постановления ГКО №5378сс, выпуск Т-34 в Челябинске прекратили (случилось это 15 марта), после чего завод смог сконцентрироваться на изготовлении тяжелых ИС и ИСУ. К концу лета 1944 года завод вышел на пиковую мощность - 250 ИС- 2 и 250 ИСУ. Это означало, что ежемесячно в Танкограде сдавалась матчасть для почти 22 гвардейских тяжелых танковых полков про</w:t>
      </w:r>
      <w:r w:rsidRPr="00271E51">
        <w:rPr>
          <w:rStyle w:val="670"/>
          <w:rFonts w:ascii="Times New Roman" w:hAnsi="Times New Roman" w:cs="Times New Roman"/>
          <w:color w:val="0070C0"/>
          <w:sz w:val="16"/>
          <w:szCs w:val="16"/>
        </w:rPr>
        <w:softHyphen/>
        <w:t>рыва и для такого же количества самоходных артиллерийских полков.</w:t>
      </w:r>
    </w:p>
    <w:p w14:paraId="38515E45" w14:textId="77777777" w:rsidR="00845339" w:rsidRPr="00271E51" w:rsidRDefault="00845339" w:rsidP="00271E51">
      <w:pPr>
        <w:spacing w:after="0" w:line="240" w:lineRule="auto"/>
        <w:jc w:val="both"/>
        <w:rPr>
          <w:rFonts w:ascii="Times New Roman" w:hAnsi="Times New Roman"/>
          <w:color w:val="0070C0"/>
          <w:sz w:val="16"/>
          <w:szCs w:val="16"/>
        </w:rPr>
      </w:pPr>
      <w:r w:rsidRPr="00271E51">
        <w:rPr>
          <w:rStyle w:val="670"/>
          <w:rFonts w:ascii="Times New Roman" w:hAnsi="Times New Roman" w:cs="Times New Roman"/>
          <w:color w:val="0070C0"/>
          <w:sz w:val="16"/>
          <w:szCs w:val="16"/>
        </w:rPr>
        <w:lastRenderedPageBreak/>
        <w:t>С точки зрения шасси, танки ИС-85 и само</w:t>
      </w:r>
      <w:r w:rsidRPr="00271E51">
        <w:rPr>
          <w:rStyle w:val="670"/>
          <w:rFonts w:ascii="Times New Roman" w:hAnsi="Times New Roman" w:cs="Times New Roman"/>
          <w:color w:val="0070C0"/>
          <w:sz w:val="16"/>
          <w:szCs w:val="16"/>
        </w:rPr>
        <w:softHyphen/>
        <w:t>ходки ИС-122 были почти одинаковыми. Единственным внешним изменением, кото</w:t>
      </w:r>
      <w:r w:rsidRPr="00271E51">
        <w:rPr>
          <w:rStyle w:val="670"/>
          <w:rFonts w:ascii="Times New Roman" w:hAnsi="Times New Roman" w:cs="Times New Roman"/>
          <w:color w:val="0070C0"/>
          <w:sz w:val="16"/>
          <w:szCs w:val="16"/>
        </w:rPr>
        <w:softHyphen/>
        <w:t>рое бросается в глаза, была установка короба для банника, повторяющего тот, что ставился на орудийном щите МЛ-20 и А-19. Изначаль</w:t>
      </w:r>
      <w:r w:rsidRPr="00271E51">
        <w:rPr>
          <w:rStyle w:val="670"/>
          <w:rFonts w:ascii="Times New Roman" w:hAnsi="Times New Roman" w:cs="Times New Roman"/>
          <w:color w:val="0070C0"/>
          <w:sz w:val="16"/>
          <w:szCs w:val="16"/>
        </w:rPr>
        <w:softHyphen/>
        <w:t>но короб крепился на левом борту корпуса, но с февраля 1944 года переместился на пра</w:t>
      </w:r>
      <w:r w:rsidRPr="00271E51">
        <w:rPr>
          <w:rStyle w:val="670"/>
          <w:rFonts w:ascii="Times New Roman" w:hAnsi="Times New Roman" w:cs="Times New Roman"/>
          <w:color w:val="0070C0"/>
          <w:sz w:val="16"/>
          <w:szCs w:val="16"/>
        </w:rPr>
        <w:softHyphen/>
        <w:t>вый борт. Тогда же на левом борту башни по</w:t>
      </w:r>
      <w:r w:rsidRPr="00271E51">
        <w:rPr>
          <w:rStyle w:val="670"/>
          <w:rFonts w:ascii="Times New Roman" w:hAnsi="Times New Roman" w:cs="Times New Roman"/>
          <w:color w:val="0070C0"/>
          <w:sz w:val="16"/>
          <w:szCs w:val="16"/>
        </w:rPr>
        <w:softHyphen/>
        <w:t>явилось крепление под пилу, а справа - креп</w:t>
      </w:r>
      <w:r w:rsidRPr="00271E51">
        <w:rPr>
          <w:rStyle w:val="670"/>
          <w:rFonts w:ascii="Times New Roman" w:hAnsi="Times New Roman" w:cs="Times New Roman"/>
          <w:color w:val="0070C0"/>
          <w:sz w:val="16"/>
          <w:szCs w:val="16"/>
        </w:rPr>
        <w:softHyphen/>
        <w:t>ление под лопату БСЛ-110 (19874).</w:t>
      </w:r>
    </w:p>
    <w:p w14:paraId="249A5ACE" w14:textId="77777777" w:rsidR="00845339" w:rsidRPr="00271E51" w:rsidRDefault="00845339" w:rsidP="00271E51">
      <w:pPr>
        <w:shd w:val="clear" w:color="auto" w:fill="FFFFFF"/>
        <w:spacing w:after="0" w:line="240" w:lineRule="auto"/>
        <w:jc w:val="both"/>
        <w:rPr>
          <w:rStyle w:val="670"/>
          <w:rFonts w:ascii="Times New Roman" w:hAnsi="Times New Roman" w:cs="Times New Roman"/>
          <w:color w:val="0070C0"/>
          <w:sz w:val="16"/>
          <w:szCs w:val="16"/>
        </w:rPr>
      </w:pPr>
    </w:p>
    <w:p w14:paraId="79A57D9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5CD13D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1F81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наметилось господство в воздухе советских ВВС и при наличии достаточно мошной истребительной авиации уже имелась возможность несколько пересмотреть концепцию перспективного штурмовика. Дело в том, что процент встреч штурмовиков Ил-2 с истребителями люфтваффе при выполнении боевых задач в период 1944—1945 гг. в среднем составлял не более 10—15% общего числа боевых вылетов групп (по ста</w:t>
      </w:r>
      <w:r w:rsidRPr="00271E51">
        <w:rPr>
          <w:rFonts w:ascii="Times New Roman" w:hAnsi="Times New Roman"/>
          <w:color w:val="000000" w:themeColor="text1"/>
          <w:sz w:val="16"/>
          <w:szCs w:val="16"/>
        </w:rPr>
        <w:softHyphen/>
        <w:t>тистике 2-й, 5-й, 8-й, 16-й и 17-й воздушных армий). В то же время относительно большие потери стрелков в воздушных боях становились неоправданными по отношению к эффек</w:t>
      </w:r>
      <w:r w:rsidRPr="00271E51">
        <w:rPr>
          <w:rFonts w:ascii="Times New Roman" w:hAnsi="Times New Roman"/>
          <w:color w:val="000000" w:themeColor="text1"/>
          <w:sz w:val="16"/>
          <w:szCs w:val="16"/>
        </w:rPr>
        <w:softHyphen/>
        <w:t>тивности их оборонительной деятельности.</w:t>
      </w:r>
    </w:p>
    <w:p w14:paraId="6DAF2F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по опыту штурмовых полков 8-й и 17-й воздушных ар</w:t>
      </w:r>
      <w:r w:rsidRPr="00271E51">
        <w:rPr>
          <w:rFonts w:ascii="Times New Roman" w:hAnsi="Times New Roman"/>
          <w:color w:val="000000" w:themeColor="text1"/>
          <w:sz w:val="16"/>
          <w:szCs w:val="16"/>
        </w:rPr>
        <w:softHyphen/>
        <w:t>мий в период с 1943 по 1945 г. средний расход боекомплекта пу</w:t>
      </w:r>
      <w:r w:rsidRPr="00271E51">
        <w:rPr>
          <w:rFonts w:ascii="Times New Roman" w:hAnsi="Times New Roman"/>
          <w:color w:val="000000" w:themeColor="text1"/>
          <w:sz w:val="16"/>
          <w:szCs w:val="16"/>
        </w:rPr>
        <w:softHyphen/>
        <w:t>лемета УБТ в одном боевом самолето-вылете Ил-2 составил 14,7%, или 22 патрона, что соответствует продолжительности стрельбы всего 1,32 с. То есть при наличии достаточного сопро</w:t>
      </w:r>
      <w:r w:rsidRPr="00271E51">
        <w:rPr>
          <w:rFonts w:ascii="Times New Roman" w:hAnsi="Times New Roman"/>
          <w:color w:val="000000" w:themeColor="text1"/>
          <w:sz w:val="16"/>
          <w:szCs w:val="16"/>
        </w:rPr>
        <w:softHyphen/>
        <w:t>вождения истребителями вести огонь воздушному стрелку поч</w:t>
      </w:r>
      <w:r w:rsidRPr="00271E51">
        <w:rPr>
          <w:rFonts w:ascii="Times New Roman" w:hAnsi="Times New Roman"/>
          <w:color w:val="000000" w:themeColor="text1"/>
          <w:sz w:val="16"/>
          <w:szCs w:val="16"/>
        </w:rPr>
        <w:softHyphen/>
        <w:t>ти не приходилось. Он сам и его пулемет становились просто лишним грузом, своим присутствием серьезно не влиявшим на боевую живучесть машины. В то же время вероятность пораже</w:t>
      </w:r>
      <w:r w:rsidRPr="00271E51">
        <w:rPr>
          <w:rFonts w:ascii="Times New Roman" w:hAnsi="Times New Roman"/>
          <w:color w:val="000000" w:themeColor="text1"/>
          <w:sz w:val="16"/>
          <w:szCs w:val="16"/>
        </w:rPr>
        <w:softHyphen/>
        <w:t>ния стрелка огнем немецких истребителей в одной атаке была примерно в 2—2,5 раза выше, чем возможность сбить в этих же условиях защищаемый им штурмовик, и в 3—4,5 раза больше, чем вероятность уничтожения немецкого истребителя ответным огнем воздушного стрелка. Возможно, по этой причине опыт</w:t>
      </w:r>
      <w:r w:rsidRPr="00271E51">
        <w:rPr>
          <w:rFonts w:ascii="Times New Roman" w:hAnsi="Times New Roman"/>
          <w:color w:val="000000" w:themeColor="text1"/>
          <w:sz w:val="16"/>
          <w:szCs w:val="16"/>
        </w:rPr>
        <w:softHyphen/>
        <w:t>ные летчики-штурмовики не только довольно спокойно отно</w:t>
      </w:r>
      <w:r w:rsidRPr="00271E51">
        <w:rPr>
          <w:rFonts w:ascii="Times New Roman" w:hAnsi="Times New Roman"/>
          <w:color w:val="000000" w:themeColor="text1"/>
          <w:sz w:val="16"/>
          <w:szCs w:val="16"/>
        </w:rPr>
        <w:softHyphen/>
        <w:t>сились к боевым вылетам без стрелка, но даже иногда старались обходиться без него, справедливо полагаясь на активный ма</w:t>
      </w:r>
      <w:r w:rsidRPr="00271E51">
        <w:rPr>
          <w:rFonts w:ascii="Times New Roman" w:hAnsi="Times New Roman"/>
          <w:color w:val="000000" w:themeColor="text1"/>
          <w:sz w:val="16"/>
          <w:szCs w:val="16"/>
        </w:rPr>
        <w:softHyphen/>
        <w:t>невр в бою и взаимодействие с истребителями прикрытия.</w:t>
      </w:r>
    </w:p>
    <w:p w14:paraId="74C5B4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случае постройки одноместного бронированного штур</w:t>
      </w:r>
      <w:r w:rsidRPr="00271E51">
        <w:rPr>
          <w:rFonts w:ascii="Times New Roman" w:hAnsi="Times New Roman"/>
          <w:color w:val="000000" w:themeColor="text1"/>
          <w:sz w:val="16"/>
          <w:szCs w:val="16"/>
        </w:rPr>
        <w:softHyphen/>
        <w:t>мовика с мотором АМ-42 его взлетный вес мог быть уменьшен примерно на 800 кг по сравнению с двухместным, улучшилась бы и аэродинамика машины. Как следствие, можно было по</w:t>
      </w:r>
      <w:r w:rsidRPr="00271E51">
        <w:rPr>
          <w:rFonts w:ascii="Times New Roman" w:hAnsi="Times New Roman"/>
          <w:color w:val="000000" w:themeColor="text1"/>
          <w:sz w:val="16"/>
          <w:szCs w:val="16"/>
        </w:rPr>
        <w:softHyphen/>
        <w:t>лучить заметное улучшение летных характеристик и боевых возможностей. Получаемый выигрыш можно было бы исполь</w:t>
      </w:r>
      <w:r w:rsidRPr="00271E51">
        <w:rPr>
          <w:rFonts w:ascii="Times New Roman" w:hAnsi="Times New Roman"/>
          <w:color w:val="000000" w:themeColor="text1"/>
          <w:sz w:val="16"/>
          <w:szCs w:val="16"/>
        </w:rPr>
        <w:softHyphen/>
        <w:t>зовать по-разному. Например, довести дальность полета до 1200 км, увеличить максимальную бомбовую нагрузку до 1000 кг, существенно улучшить маневренные и взлетно-поса</w:t>
      </w:r>
      <w:r w:rsidRPr="00271E51">
        <w:rPr>
          <w:rFonts w:ascii="Times New Roman" w:hAnsi="Times New Roman"/>
          <w:color w:val="000000" w:themeColor="text1"/>
          <w:sz w:val="16"/>
          <w:szCs w:val="16"/>
        </w:rPr>
        <w:softHyphen/>
        <w:t>дочные характеристики, а также скорость полета. По большо</w:t>
      </w:r>
      <w:r w:rsidRPr="00271E51">
        <w:rPr>
          <w:rFonts w:ascii="Times New Roman" w:hAnsi="Times New Roman"/>
          <w:color w:val="000000" w:themeColor="text1"/>
          <w:sz w:val="16"/>
          <w:szCs w:val="16"/>
        </w:rPr>
        <w:softHyphen/>
        <w:t>му же счету — появилась бы реальная возможность создать бронированный пикирующий бомбардировщик-штурмовик, потребность в котором столь остро ощущали ВВС при проры</w:t>
      </w:r>
      <w:r w:rsidRPr="00271E51">
        <w:rPr>
          <w:rFonts w:ascii="Times New Roman" w:hAnsi="Times New Roman"/>
          <w:color w:val="000000" w:themeColor="text1"/>
          <w:sz w:val="16"/>
          <w:szCs w:val="16"/>
        </w:rPr>
        <w:softHyphen/>
        <w:t>ве обороны противника.</w:t>
      </w:r>
    </w:p>
    <w:p w14:paraId="5FAF4C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варианте маневренного скоростного штурмовика, как по</w:t>
      </w:r>
      <w:r w:rsidRPr="00271E51">
        <w:rPr>
          <w:rFonts w:ascii="Times New Roman" w:hAnsi="Times New Roman"/>
          <w:color w:val="000000" w:themeColor="text1"/>
          <w:sz w:val="16"/>
          <w:szCs w:val="16"/>
        </w:rPr>
        <w:softHyphen/>
        <w:t>казывают расчеты, выполненные по упрощенной методике И.В. Остославского, максимальная скорость Ил-1 у земли со</w:t>
      </w:r>
      <w:r w:rsidRPr="00271E51">
        <w:rPr>
          <w:rFonts w:ascii="Times New Roman" w:hAnsi="Times New Roman"/>
          <w:color w:val="000000" w:themeColor="text1"/>
          <w:sz w:val="16"/>
          <w:szCs w:val="16"/>
        </w:rPr>
        <w:softHyphen/>
        <w:t>ставила бы около 540 км/ч, на расчетной высоте 2600 м — 596 км/ч. Отсюда следует, что основные немецкие истребители того периода были бы способны догнать одноместный штур</w:t>
      </w:r>
      <w:r w:rsidRPr="00271E51">
        <w:rPr>
          <w:rFonts w:ascii="Times New Roman" w:hAnsi="Times New Roman"/>
          <w:color w:val="000000" w:themeColor="text1"/>
          <w:sz w:val="16"/>
          <w:szCs w:val="16"/>
        </w:rPr>
        <w:softHyphen/>
        <w:t>мовик только при наличии существенного превышения по высоте или с использованием систем форсажа. Да и воздушный бой оказался бы не из легких.</w:t>
      </w:r>
    </w:p>
    <w:p w14:paraId="6321EC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 одноместного пикирующего бомбардировщика-штурмовика имел бы запас прочности до 8</w:t>
      </w:r>
      <w:r w:rsidRPr="00271E51">
        <w:rPr>
          <w:rFonts w:ascii="Times New Roman" w:hAnsi="Times New Roman"/>
          <w:color w:val="000000" w:themeColor="text1"/>
          <w:sz w:val="16"/>
          <w:szCs w:val="16"/>
          <w:lang w:val="en-US"/>
        </w:rPr>
        <w:t>g</w:t>
      </w:r>
      <w:r w:rsidRPr="00271E51">
        <w:rPr>
          <w:rFonts w:ascii="Times New Roman" w:hAnsi="Times New Roman"/>
          <w:color w:val="000000" w:themeColor="text1"/>
          <w:sz w:val="16"/>
          <w:szCs w:val="16"/>
        </w:rPr>
        <w:t>, возможность пи</w:t>
      </w:r>
      <w:r w:rsidRPr="00271E51">
        <w:rPr>
          <w:rFonts w:ascii="Times New Roman" w:hAnsi="Times New Roman"/>
          <w:color w:val="000000" w:themeColor="text1"/>
          <w:sz w:val="16"/>
          <w:szCs w:val="16"/>
        </w:rPr>
        <w:softHyphen/>
        <w:t>кировать под углами до 60° и максимальную бомбовую нагруз</w:t>
      </w:r>
      <w:r w:rsidRPr="00271E51">
        <w:rPr>
          <w:rFonts w:ascii="Times New Roman" w:hAnsi="Times New Roman"/>
          <w:color w:val="000000" w:themeColor="text1"/>
          <w:sz w:val="16"/>
          <w:szCs w:val="16"/>
        </w:rPr>
        <w:softHyphen/>
        <w:t>ку 1000 кг (800 кг экономии веса «пошли» бы на обеспечение запаса прочности, на установку тормозных щитков — около 365 кг и на увеличение максимальной бомбовой нагрузки оста</w:t>
      </w:r>
      <w:r w:rsidRPr="00271E51">
        <w:rPr>
          <w:rFonts w:ascii="Times New Roman" w:hAnsi="Times New Roman"/>
          <w:color w:val="000000" w:themeColor="text1"/>
          <w:sz w:val="16"/>
          <w:szCs w:val="16"/>
        </w:rPr>
        <w:softHyphen/>
        <w:t>лось бы еще 400 кг) (11474,488).</w:t>
      </w:r>
    </w:p>
    <w:p w14:paraId="277BB6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0CCD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серийные заводы смогли начать выпуск двухместных Ил-2 с крылом со “стрелкой”. Улучшение продольной устойчивости способствовало повышению боевых качеств штурмовика - летчикам стало легче прицеливаться и держать самолет на линии прицеливания во время стрельбы и при бомбометании (9528).</w:t>
      </w:r>
    </w:p>
    <w:p w14:paraId="163B91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BA809" w14:textId="77777777" w:rsidR="002F0BE8" w:rsidRPr="00271E51" w:rsidRDefault="002F0BE8"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закончились  испытания самолетов Ил-2 с пушками  НС-37 (15979).</w:t>
      </w:r>
    </w:p>
    <w:p w14:paraId="39AA1D36" w14:textId="77777777" w:rsidR="002F0BE8" w:rsidRPr="00271E51" w:rsidRDefault="002F0BE8" w:rsidP="00271E51">
      <w:pPr>
        <w:shd w:val="clear" w:color="auto" w:fill="FFFFFF"/>
        <w:spacing w:after="0" w:line="240" w:lineRule="auto"/>
        <w:jc w:val="both"/>
        <w:rPr>
          <w:rFonts w:ascii="Times New Roman" w:hAnsi="Times New Roman"/>
          <w:color w:val="000000" w:themeColor="text1"/>
          <w:sz w:val="16"/>
          <w:szCs w:val="16"/>
        </w:rPr>
      </w:pPr>
    </w:p>
    <w:p w14:paraId="7349E220" w14:textId="77777777" w:rsidR="00944465" w:rsidRPr="00271E51" w:rsidRDefault="00944465"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К концу1943 года положение дел с разработкой новых ильюшинских штурмовиков в целом складывалось неважное (21005).</w:t>
      </w:r>
    </w:p>
    <w:p w14:paraId="7474DE2F" w14:textId="77777777" w:rsidR="00944465" w:rsidRPr="00271E51" w:rsidRDefault="00944465" w:rsidP="00271E51">
      <w:pPr>
        <w:spacing w:after="0" w:line="240" w:lineRule="auto"/>
        <w:jc w:val="both"/>
        <w:rPr>
          <w:rFonts w:ascii="Times New Roman" w:hAnsi="Times New Roman"/>
          <w:color w:val="0070C0"/>
          <w:sz w:val="16"/>
          <w:szCs w:val="16"/>
        </w:rPr>
      </w:pPr>
    </w:p>
    <w:p w14:paraId="4E2F86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во время заводских испытаний, при последнем полете, после которого самолет Ил-8-1 АМ-42 д.б. пойти на гос. испытания - отказал мотор (2217).</w:t>
      </w:r>
    </w:p>
    <w:p w14:paraId="104597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1423E" w14:textId="77777777" w:rsidR="002F0BE8" w:rsidRPr="00271E51" w:rsidRDefault="002F0BE8"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К концу 1943 г. «экранирован</w:t>
      </w:r>
      <w:r w:rsidRPr="00271E51">
        <w:rPr>
          <w:rFonts w:ascii="Times New Roman" w:cs="Times New Roman"/>
          <w:color w:val="000000" w:themeColor="text1"/>
          <w:spacing w:val="0"/>
          <w:sz w:val="16"/>
          <w:szCs w:val="16"/>
        </w:rPr>
        <w:softHyphen/>
        <w:t>ная двухслойная» броня была установлена на опытном тяжелом брониро</w:t>
      </w:r>
      <w:r w:rsidRPr="00271E51">
        <w:rPr>
          <w:rFonts w:ascii="Times New Roman" w:cs="Times New Roman"/>
          <w:color w:val="000000" w:themeColor="text1"/>
          <w:spacing w:val="0"/>
          <w:sz w:val="16"/>
          <w:szCs w:val="16"/>
        </w:rPr>
        <w:softHyphen/>
        <w:t>ванном штурмовике-бомбардировщике Ил-2М с мотором АМ-42 (Ил-АМ-42 экз. №2) и штур</w:t>
      </w:r>
      <w:r w:rsidRPr="00271E51">
        <w:rPr>
          <w:rFonts w:ascii="Times New Roman" w:cs="Times New Roman"/>
          <w:color w:val="000000" w:themeColor="text1"/>
          <w:spacing w:val="0"/>
          <w:sz w:val="16"/>
          <w:szCs w:val="16"/>
        </w:rPr>
        <w:softHyphen/>
        <w:t>мовом варианте бронированного истребителя Ил-1 АМ-42 (в серии е Ил-10).</w:t>
      </w:r>
    </w:p>
    <w:p w14:paraId="6EE72853" w14:textId="77777777" w:rsidR="002F0BE8" w:rsidRPr="00271E51" w:rsidRDefault="002F0BE8" w:rsidP="00271E51">
      <w:pPr>
        <w:pStyle w:val="36"/>
        <w:shd w:val="clear" w:color="auto" w:fill="auto"/>
        <w:tabs>
          <w:tab w:val="left" w:pos="1556"/>
        </w:tabs>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Схема бронирования Ил-2М АМ-42 была следующей. Мотор с агрегатами, водяной и масляный радиатор прикрывались броней толщиной 4 мм. Снизу бронекапот нес 5-мм броню. Сверху под капотом за приборной до</w:t>
      </w:r>
      <w:r w:rsidRPr="00271E51">
        <w:rPr>
          <w:rFonts w:ascii="Times New Roman" w:cs="Times New Roman"/>
          <w:color w:val="000000" w:themeColor="text1"/>
          <w:spacing w:val="0"/>
          <w:sz w:val="16"/>
          <w:szCs w:val="16"/>
        </w:rPr>
        <w:softHyphen/>
        <w:t>ской устанавливался бронещиток толщиной 7 мм. Агрегаты винта спереди прикрывались 6-мм бронещитком. Кабина пилота имела броню толщиной 4,5 и 6 мм. Со стороны зад</w:t>
      </w:r>
      <w:r w:rsidRPr="00271E51">
        <w:rPr>
          <w:rFonts w:ascii="Times New Roman" w:cs="Times New Roman"/>
          <w:color w:val="000000" w:themeColor="text1"/>
          <w:spacing w:val="0"/>
          <w:sz w:val="16"/>
          <w:szCs w:val="16"/>
        </w:rPr>
        <w:softHyphen/>
        <w:t>ней полусферы летчик защищался бронеплитой толщиной 8 мм, а спереди - 62-мм про</w:t>
      </w:r>
      <w:r w:rsidRPr="00271E51">
        <w:rPr>
          <w:rFonts w:ascii="Times New Roman" w:cs="Times New Roman"/>
          <w:color w:val="000000" w:themeColor="text1"/>
          <w:spacing w:val="0"/>
          <w:sz w:val="16"/>
          <w:szCs w:val="16"/>
        </w:rPr>
        <w:softHyphen/>
        <w:t>зрачным бронестеклом. На фонаре кабины пилота сверху и сбоку устанавливались бро- нелисты толщиной 6 мм. Верхняя часть бен</w:t>
      </w:r>
      <w:r w:rsidRPr="00271E51">
        <w:rPr>
          <w:rFonts w:ascii="Times New Roman" w:cs="Times New Roman"/>
          <w:color w:val="000000" w:themeColor="text1"/>
          <w:spacing w:val="0"/>
          <w:sz w:val="16"/>
          <w:szCs w:val="16"/>
        </w:rPr>
        <w:softHyphen/>
        <w:t>зобака позади кабины летчика имела: со сто</w:t>
      </w:r>
      <w:r w:rsidRPr="00271E51">
        <w:rPr>
          <w:rFonts w:ascii="Times New Roman" w:cs="Times New Roman"/>
          <w:color w:val="000000" w:themeColor="text1"/>
          <w:spacing w:val="0"/>
          <w:sz w:val="16"/>
          <w:szCs w:val="16"/>
        </w:rPr>
        <w:softHyphen/>
        <w:t>роны хвоста - броню толщиной 8 мм, сверху и сбоков - толщиной 6 мм. Штурман-стрелок с боков защищался бронелистами толщиной 5 и 6 мм, снизу - 6 мм, а со стороны задней полусферы - экранированной броней из двух 8-мм бронеплит (экран - из цементованной брони ХД, основная броня - гомогенная бро</w:t>
      </w:r>
      <w:r w:rsidRPr="00271E51">
        <w:rPr>
          <w:rFonts w:ascii="Times New Roman" w:cs="Times New Roman"/>
          <w:color w:val="000000" w:themeColor="text1"/>
          <w:spacing w:val="0"/>
          <w:sz w:val="16"/>
          <w:szCs w:val="16"/>
        </w:rPr>
        <w:softHyphen/>
        <w:t>ня АБ-2).</w:t>
      </w:r>
    </w:p>
    <w:p w14:paraId="3502F642" w14:textId="77777777" w:rsidR="002F0BE8" w:rsidRPr="00271E51" w:rsidRDefault="002F0BE8"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Бронирование разведчика-корректиров</w:t>
      </w:r>
      <w:r w:rsidRPr="00271E51">
        <w:rPr>
          <w:rFonts w:ascii="Times New Roman" w:cs="Times New Roman"/>
          <w:color w:val="000000" w:themeColor="text1"/>
          <w:spacing w:val="0"/>
          <w:sz w:val="16"/>
          <w:szCs w:val="16"/>
        </w:rPr>
        <w:softHyphen/>
        <w:t>щика Ил-2(РК) АМ-42 (Ил-АМ-42 экз. №1) от</w:t>
      </w:r>
      <w:r w:rsidRPr="00271E51">
        <w:rPr>
          <w:rFonts w:ascii="Times New Roman" w:cs="Times New Roman"/>
          <w:color w:val="000000" w:themeColor="text1"/>
          <w:spacing w:val="0"/>
          <w:sz w:val="16"/>
          <w:szCs w:val="16"/>
        </w:rPr>
        <w:softHyphen/>
        <w:t>личалось от Ил-2М. Вместо экранированной брони (толщиной 8+8 мм) со стороны хвоста кабина штурмана-стрелка оснащалась броне- стенкой толщиной 12 мм. Летчик со стороны верхней задней полусферы защищался 12-мм броней. Бронестенка толщиной 8 мм за верх</w:t>
      </w:r>
      <w:r w:rsidRPr="00271E51">
        <w:rPr>
          <w:rFonts w:ascii="Times New Roman" w:cs="Times New Roman"/>
          <w:color w:val="000000" w:themeColor="text1"/>
          <w:spacing w:val="0"/>
          <w:sz w:val="16"/>
          <w:szCs w:val="16"/>
        </w:rPr>
        <w:softHyphen/>
        <w:t>ней частью бензобака отсутствовала, потому что бензобак имел меньшую высоту. При этом верхняя часть бензобака сверху прикрывалась 6-мм бронеплиткой.</w:t>
      </w:r>
    </w:p>
    <w:p w14:paraId="4DAE106D" w14:textId="77777777" w:rsidR="002F0BE8" w:rsidRPr="00271E51" w:rsidRDefault="002F0BE8"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На самолете Ил-10 для защиты воздуш</w:t>
      </w:r>
      <w:r w:rsidRPr="00271E51">
        <w:rPr>
          <w:rFonts w:ascii="Times New Roman" w:cs="Times New Roman"/>
          <w:color w:val="000000" w:themeColor="text1"/>
          <w:spacing w:val="0"/>
          <w:sz w:val="16"/>
          <w:szCs w:val="16"/>
        </w:rPr>
        <w:softHyphen/>
        <w:t>ного стрелка и летчика со стороны задней полусферы были установлены экранирован</w:t>
      </w:r>
      <w:r w:rsidRPr="00271E51">
        <w:rPr>
          <w:rFonts w:ascii="Times New Roman" w:cs="Times New Roman"/>
          <w:color w:val="000000" w:themeColor="text1"/>
          <w:spacing w:val="0"/>
          <w:sz w:val="16"/>
          <w:szCs w:val="16"/>
        </w:rPr>
        <w:softHyphen/>
        <w:t>ные бронеплиты (бронеперегородка стрелка, бронестенка и подголовник пилота), состояв</w:t>
      </w:r>
      <w:r w:rsidRPr="00271E51">
        <w:rPr>
          <w:rFonts w:ascii="Times New Roman" w:cs="Times New Roman"/>
          <w:color w:val="000000" w:themeColor="text1"/>
          <w:spacing w:val="0"/>
          <w:sz w:val="16"/>
          <w:szCs w:val="16"/>
        </w:rPr>
        <w:softHyphen/>
        <w:t>шие из двух 8-мм броневых листов (экран - ХД, основная броня - из АБ-2). Верхняя часть бронекорпуса выполнялась из дюралюминие</w:t>
      </w:r>
      <w:r w:rsidRPr="00271E51">
        <w:rPr>
          <w:rFonts w:ascii="Times New Roman" w:cs="Times New Roman"/>
          <w:color w:val="000000" w:themeColor="text1"/>
          <w:spacing w:val="0"/>
          <w:sz w:val="16"/>
          <w:szCs w:val="16"/>
        </w:rPr>
        <w:softHyphen/>
        <w:t>вых листов толщиной 4 мм, а нижние боковые стенки капота мотора е из листов брони тол</w:t>
      </w:r>
      <w:r w:rsidRPr="00271E51">
        <w:rPr>
          <w:rFonts w:ascii="Times New Roman" w:cs="Times New Roman"/>
          <w:color w:val="000000" w:themeColor="text1"/>
          <w:spacing w:val="0"/>
          <w:sz w:val="16"/>
          <w:szCs w:val="16"/>
        </w:rPr>
        <w:softHyphen/>
        <w:t>щиной 6е8 мм. Остальные бронелисты капота (люки и крышки) и броня бензобаков имели толщину 4 мм. Втулка винта прикрывалась спе</w:t>
      </w:r>
      <w:r w:rsidRPr="00271E51">
        <w:rPr>
          <w:rFonts w:ascii="Times New Roman" w:cs="Times New Roman"/>
          <w:color w:val="000000" w:themeColor="text1"/>
          <w:spacing w:val="0"/>
          <w:sz w:val="16"/>
          <w:szCs w:val="16"/>
        </w:rPr>
        <w:softHyphen/>
        <w:t>реди диском толщиной 6 мм.</w:t>
      </w:r>
    </w:p>
    <w:p w14:paraId="29B90642" w14:textId="77777777" w:rsidR="002F0BE8" w:rsidRPr="00271E51" w:rsidRDefault="002F0BE8"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Боковые листы кабин стрелка и пилота имели толщину, соответственно, 6 и 8 мм, ниж</w:t>
      </w:r>
      <w:r w:rsidRPr="00271E51">
        <w:rPr>
          <w:rFonts w:ascii="Times New Roman" w:cs="Times New Roman"/>
          <w:color w:val="000000" w:themeColor="text1"/>
          <w:spacing w:val="0"/>
          <w:sz w:val="16"/>
          <w:szCs w:val="16"/>
        </w:rPr>
        <w:softHyphen/>
        <w:t>ний боковой лист кабины летчика - 5 мм. Свер</w:t>
      </w:r>
      <w:r w:rsidRPr="00271E51">
        <w:rPr>
          <w:rFonts w:ascii="Times New Roman" w:cs="Times New Roman"/>
          <w:color w:val="000000" w:themeColor="text1"/>
          <w:spacing w:val="0"/>
          <w:sz w:val="16"/>
          <w:szCs w:val="16"/>
        </w:rPr>
        <w:softHyphen/>
        <w:t>ху пилот прикрывался 8-мм плитой, установ</w:t>
      </w:r>
      <w:r w:rsidRPr="00271E51">
        <w:rPr>
          <w:rFonts w:ascii="Times New Roman" w:cs="Times New Roman"/>
          <w:color w:val="000000" w:themeColor="text1"/>
          <w:spacing w:val="0"/>
          <w:sz w:val="16"/>
          <w:szCs w:val="16"/>
        </w:rPr>
        <w:softHyphen/>
        <w:t>ленной на фонаре. Полы кабин выполнялись из 6-мм брони. Тоннели водо- и маслорадиаторов со стороны заднего лонжерона прикрывались 10-мм броней, а бронезаслонки на выходе тоннеля имели толщину 5 и 6 мм. Откидываю</w:t>
      </w:r>
      <w:r w:rsidRPr="00271E51">
        <w:rPr>
          <w:rFonts w:ascii="Times New Roman" w:cs="Times New Roman"/>
          <w:color w:val="000000" w:themeColor="text1"/>
          <w:spacing w:val="0"/>
          <w:sz w:val="16"/>
          <w:szCs w:val="16"/>
        </w:rPr>
        <w:softHyphen/>
        <w:t>щиеся боковые крышки фонаря кабины пилота изготавливались из металлической брони тол</w:t>
      </w:r>
      <w:r w:rsidRPr="00271E51">
        <w:rPr>
          <w:rFonts w:ascii="Times New Roman" w:cs="Times New Roman"/>
          <w:color w:val="000000" w:themeColor="text1"/>
          <w:spacing w:val="0"/>
          <w:sz w:val="16"/>
          <w:szCs w:val="16"/>
        </w:rPr>
        <w:softHyphen/>
        <w:t>щиной 6 мм и плексигласа. В козырьке стави</w:t>
      </w:r>
      <w:r w:rsidRPr="00271E51">
        <w:rPr>
          <w:rFonts w:ascii="Times New Roman" w:cs="Times New Roman"/>
          <w:color w:val="000000" w:themeColor="text1"/>
          <w:spacing w:val="0"/>
          <w:sz w:val="16"/>
          <w:szCs w:val="16"/>
        </w:rPr>
        <w:softHyphen/>
        <w:t>лась прозрачная броня толщиной 64 мм. Голо</w:t>
      </w:r>
      <w:r w:rsidRPr="00271E51">
        <w:rPr>
          <w:rFonts w:ascii="Times New Roman" w:cs="Times New Roman"/>
          <w:color w:val="000000" w:themeColor="text1"/>
          <w:spacing w:val="0"/>
          <w:sz w:val="16"/>
          <w:szCs w:val="16"/>
        </w:rPr>
        <w:softHyphen/>
        <w:t>ва стрелка ни металлической, ни прозрачной броней не прикрывалась (15778).</w:t>
      </w:r>
    </w:p>
    <w:p w14:paraId="3A31D197" w14:textId="77777777" w:rsidR="002F0BE8" w:rsidRPr="00271E51" w:rsidRDefault="002F0BE8" w:rsidP="00271E51">
      <w:pPr>
        <w:pStyle w:val="36"/>
        <w:shd w:val="clear" w:color="auto" w:fill="auto"/>
        <w:spacing w:after="0" w:line="240" w:lineRule="auto"/>
        <w:jc w:val="both"/>
        <w:rPr>
          <w:rFonts w:ascii="Times New Roman" w:cs="Times New Roman"/>
          <w:color w:val="000000" w:themeColor="text1"/>
          <w:spacing w:val="0"/>
          <w:sz w:val="16"/>
          <w:szCs w:val="16"/>
        </w:rPr>
      </w:pPr>
    </w:p>
    <w:p w14:paraId="24426FDD" w14:textId="77777777" w:rsidR="00415F08" w:rsidRPr="00271E51" w:rsidRDefault="00415F0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 и начале 1944 г. (?) на вооружение ВВС начали поступать новые машины -штурмовики Ил-10, бомбардировщики Ту-2. Штатные авиабомбы предшествующих моделей не были рассчитаны на применение в таких условиях и потому вели себя на траектории неустойчиво. Кроме того, у новых машин существенно уменьшили габариты бомбоотсеков. Теперь в них умещалось от 50 до 60% бомбовой нагрузки старых машин. В ГСКБ-47 предложили согласовать габариты авиабомб с генеральными конструкторами самолетных КБ и упорядочить проектирование боеприпасов и бомбоотсеков. После этого началась разработка новой системы ФАБ модели 1944 г. калибрами 250, 500 и 1000 кг (7453).</w:t>
      </w:r>
    </w:p>
    <w:p w14:paraId="23CA3B3E" w14:textId="77777777" w:rsidR="00415F08" w:rsidRPr="00271E51" w:rsidRDefault="00415F0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F77B7"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конце 1943 года по заданию правительства первые агрегаты для Ил-10 были изготовлены в Куйбышеве на заводе № 18. В первом квартале 1944-го здесь началось изготовление опытного экземпляра этого самолета. Работали в тесном контакте с конструкторами Ильюшина. Они не только готовили чертежи, но и вместе с технологами завода принимали участие в монтаже узлов. Все знали, что после испытания новой машины она пойдет на заводе в серию, поэтому отрабатывали производство агрегатов так, чтобы их можно было сразу пустить на поток. Это помогло заводу № 18 во втором полугодии 1944 года, не снижая выпуска Ил-2, собрать 73 новых машины, и свыше 40 передать фронтовой авиации. К апрелю 1945 года производство Ил-10 было доведено до 150 машин в месяц, а в июне завод полностью перешел на выпуск новых самолетов (19828).</w:t>
      </w:r>
    </w:p>
    <w:p w14:paraId="23B0782E" w14:textId="77777777" w:rsidR="00415F08" w:rsidRPr="00271E51" w:rsidRDefault="00415F08" w:rsidP="00271E51">
      <w:pPr>
        <w:pStyle w:val="ae"/>
        <w:shd w:val="clear" w:color="auto" w:fill="FFFFFF"/>
        <w:spacing w:before="0" w:after="0"/>
        <w:jc w:val="both"/>
        <w:rPr>
          <w:color w:val="000000" w:themeColor="text1"/>
          <w:sz w:val="16"/>
          <w:szCs w:val="16"/>
        </w:rPr>
      </w:pPr>
    </w:p>
    <w:p w14:paraId="43FF48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закончились запасы кобальта, который получали из Бельгийского Конго и который использовался для производства головки поршня АМ-38. Пытались брать из Петсамо, но оказалось много серы и только Норильск спас (564,8).</w:t>
      </w:r>
    </w:p>
    <w:p w14:paraId="338329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F99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было израсходовано 1 171 340 бомб типа ПТАБ-2,5-1,5, то в 1944 г. — уже 5 024 822 штук, а за первые 4 месяца 1945 г. — 3 242 701 бомб. То есть ежемесяч</w:t>
      </w:r>
      <w:r w:rsidRPr="00271E51">
        <w:rPr>
          <w:rFonts w:ascii="Times New Roman" w:hAnsi="Times New Roman"/>
          <w:color w:val="000000" w:themeColor="text1"/>
          <w:sz w:val="16"/>
          <w:szCs w:val="16"/>
        </w:rPr>
        <w:softHyphen/>
        <w:t>ный расход ПТАБ каждый год почти удваивался.</w:t>
      </w:r>
    </w:p>
    <w:p w14:paraId="220F3D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по этим причинам повышение противотанковых свойств ВВС КА связывалось исключительно с совершенство</w:t>
      </w:r>
      <w:r w:rsidRPr="00271E51">
        <w:rPr>
          <w:rFonts w:ascii="Times New Roman" w:hAnsi="Times New Roman"/>
          <w:color w:val="000000" w:themeColor="text1"/>
          <w:sz w:val="16"/>
          <w:szCs w:val="16"/>
        </w:rPr>
        <w:softHyphen/>
        <w:t>ванием авиабомб этого типа (11474),360).</w:t>
      </w:r>
    </w:p>
    <w:p w14:paraId="3DBC03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D8B6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 ЦКБ-22 была разработана более мощ</w:t>
      </w:r>
      <w:r w:rsidRPr="00271E51">
        <w:rPr>
          <w:rFonts w:ascii="Times New Roman" w:hAnsi="Times New Roman"/>
          <w:color w:val="000000" w:themeColor="text1"/>
          <w:sz w:val="16"/>
          <w:szCs w:val="16"/>
        </w:rPr>
        <w:softHyphen/>
        <w:t>ная и совершенная противотанковая авиабомба в габаритах 10 кг, но весом 2,5 кг — ПТАБ-10-2,5.</w:t>
      </w:r>
    </w:p>
    <w:p w14:paraId="44DAAE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первых же полигонных испытаниях бомба показала превосходные результаты по эффективности действия, но бы</w:t>
      </w:r>
      <w:r w:rsidRPr="00271E51">
        <w:rPr>
          <w:rFonts w:ascii="Times New Roman" w:hAnsi="Times New Roman"/>
          <w:color w:val="000000" w:themeColor="text1"/>
          <w:sz w:val="16"/>
          <w:szCs w:val="16"/>
        </w:rPr>
        <w:softHyphen/>
        <w:t>ла забракована военными из-за несоответствия габаритов.</w:t>
      </w:r>
    </w:p>
    <w:p w14:paraId="1465C5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Бомбу срочно доработали. На государственных испытаниях в НИИ ВВС, проходивших с 5 июня по 18 июля 1944 г., ПТАБ-10-2, 5 легко пробивала танковую броню толщиной до 160 мм при углах встречи до 30 и обеспечивала пробитие 40-мм брони, расположенной на расстоянии 500 мм от 20-мм бронево</w:t>
      </w:r>
      <w:r w:rsidRPr="00271E51">
        <w:rPr>
          <w:rFonts w:ascii="Times New Roman" w:hAnsi="Times New Roman"/>
          <w:color w:val="000000" w:themeColor="text1"/>
          <w:sz w:val="16"/>
          <w:szCs w:val="16"/>
        </w:rPr>
        <w:softHyphen/>
        <w:t>го экрана.</w:t>
      </w:r>
    </w:p>
    <w:p w14:paraId="1F6277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 силу конструктивных недостатков как самой бомбы, так и бомбоотсеков штурмовиков Ил-2 ПТАБ-10-2,5 не была принята на вооружение ВВС КА как не выдержавшая вой</w:t>
      </w:r>
      <w:r w:rsidRPr="00271E51">
        <w:rPr>
          <w:rFonts w:ascii="Times New Roman" w:hAnsi="Times New Roman"/>
          <w:color w:val="000000" w:themeColor="text1"/>
          <w:sz w:val="16"/>
          <w:szCs w:val="16"/>
        </w:rPr>
        <w:softHyphen/>
        <w:t>сковых испытаний. В акте по войсковым испытаниям от 28 сен</w:t>
      </w:r>
      <w:r w:rsidRPr="00271E51">
        <w:rPr>
          <w:rFonts w:ascii="Times New Roman" w:hAnsi="Times New Roman"/>
          <w:color w:val="000000" w:themeColor="text1"/>
          <w:sz w:val="16"/>
          <w:szCs w:val="16"/>
        </w:rPr>
        <w:softHyphen/>
        <w:t>тября 1945 г. указывалось: «Для принятия окончательного реше</w:t>
      </w:r>
      <w:r w:rsidRPr="00271E51">
        <w:rPr>
          <w:rFonts w:ascii="Times New Roman" w:hAnsi="Times New Roman"/>
          <w:color w:val="000000" w:themeColor="text1"/>
          <w:sz w:val="16"/>
          <w:szCs w:val="16"/>
        </w:rPr>
        <w:softHyphen/>
        <w:t>ния по авиабомбам ПТАБ-10-2, 5, показавшим на испытаниях высокую эффективность, считать необходимым доработать кон</w:t>
      </w:r>
      <w:r w:rsidRPr="00271E51">
        <w:rPr>
          <w:rFonts w:ascii="Times New Roman" w:hAnsi="Times New Roman"/>
          <w:color w:val="000000" w:themeColor="text1"/>
          <w:sz w:val="16"/>
          <w:szCs w:val="16"/>
        </w:rPr>
        <w:softHyphen/>
        <w:t>струкцию ПТАБ-10-2,5 в части увеличения жесткости стабилиза</w:t>
      </w:r>
      <w:r w:rsidRPr="00271E51">
        <w:rPr>
          <w:rFonts w:ascii="Times New Roman" w:hAnsi="Times New Roman"/>
          <w:color w:val="000000" w:themeColor="text1"/>
          <w:sz w:val="16"/>
          <w:szCs w:val="16"/>
        </w:rPr>
        <w:softHyphen/>
        <w:t>тора и его крепления к корпусу бомбы».</w:t>
      </w:r>
    </w:p>
    <w:p w14:paraId="1F8D94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Дальнейшая доработка и совершенствование противотан</w:t>
      </w:r>
      <w:r w:rsidRPr="00271E51">
        <w:rPr>
          <w:rFonts w:ascii="Times New Roman" w:hAnsi="Times New Roman"/>
          <w:color w:val="000000" w:themeColor="text1"/>
          <w:sz w:val="16"/>
          <w:szCs w:val="16"/>
        </w:rPr>
        <w:softHyphen/>
        <w:t>ковых авиабомб этого типа привело к принятию на вооруже</w:t>
      </w:r>
      <w:r w:rsidRPr="00271E51">
        <w:rPr>
          <w:rFonts w:ascii="Times New Roman" w:hAnsi="Times New Roman"/>
          <w:color w:val="000000" w:themeColor="text1"/>
          <w:sz w:val="16"/>
          <w:szCs w:val="16"/>
        </w:rPr>
        <w:softHyphen/>
        <w:t>ние ВВС КА авиабомбы ПТАБ-2,5 (в габаритах 2,5 кг весом 2,5 кг). Но это было уже после войны (11474,360).</w:t>
      </w:r>
    </w:p>
    <w:p w14:paraId="1586D9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23F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конца 1943 г. на заводах авиапромышленности для АДД было сдано 400 пламегасителей ГАМ-9 и 200 ГАМ- 10. Их установка на Пе-8 АШ-82ФН позволила с 1 октября 1943 г. возобновить полноценную боевую деятельность четырехмоторных кораблей 45-й авиадивизии (12025).</w:t>
      </w:r>
    </w:p>
    <w:p w14:paraId="613916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CE6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 начале 1944 в ОКБ А.С.Я. был выпущен Як-9К (крупнокалиберный) с ВК-105ПФ и ВИШ-62П диаметром 3.0 м, на котором вместо НС-37 была установлена НС-45 с дульным тормозом, выступающим на 370 мм, и 29 снарядами + УБС. Прицельная стрельба была возможна на скорости, больше 350 км/час очередями по 2-3 выстрела (65,131).</w:t>
      </w:r>
    </w:p>
    <w:p w14:paraId="7DB628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327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завод № 153 полностью перешел на производство самолетов Як-9 и было выпущено 828 боевых единиц этой модификации (9503).</w:t>
      </w:r>
    </w:p>
    <w:p w14:paraId="557B29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79B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Як-9Т начали использовать даже для борьбы с судами противника на Черном море. Як-9Т с успехом применяли также для атак наземных целей. Бронебойные снаряды про</w:t>
      </w:r>
      <w:r w:rsidRPr="00271E51">
        <w:rPr>
          <w:rFonts w:ascii="Times New Roman" w:hAnsi="Times New Roman"/>
          <w:color w:val="000000" w:themeColor="text1"/>
          <w:sz w:val="16"/>
          <w:szCs w:val="16"/>
        </w:rPr>
        <w:softHyphen/>
        <w:t>бивали с дистанции 500 м под углом 45° танко</w:t>
      </w:r>
      <w:r w:rsidRPr="00271E51">
        <w:rPr>
          <w:rFonts w:ascii="Times New Roman" w:hAnsi="Times New Roman"/>
          <w:color w:val="000000" w:themeColor="text1"/>
          <w:sz w:val="16"/>
          <w:szCs w:val="16"/>
        </w:rPr>
        <w:softHyphen/>
        <w:t>вую броню толщиной до 30 мм. Словом, диапазон применения самолета оказался чрезвычайно широк. И все же, Як-9Т требовал от летчика хорошей подготовки. Оказалось, что из-за большой отда</w:t>
      </w:r>
      <w:r w:rsidRPr="00271E51">
        <w:rPr>
          <w:rFonts w:ascii="Times New Roman" w:hAnsi="Times New Roman"/>
          <w:color w:val="000000" w:themeColor="text1"/>
          <w:sz w:val="16"/>
          <w:szCs w:val="16"/>
        </w:rPr>
        <w:softHyphen/>
        <w:t>чи при стрельбе длинными очередями быстро сбивалась линия прицеливания, и точная стрель</w:t>
      </w:r>
      <w:r w:rsidRPr="00271E51">
        <w:rPr>
          <w:rFonts w:ascii="Times New Roman" w:hAnsi="Times New Roman"/>
          <w:color w:val="000000" w:themeColor="text1"/>
          <w:sz w:val="16"/>
          <w:szCs w:val="16"/>
        </w:rPr>
        <w:softHyphen/>
        <w:t>ба обеспечивалась только короткими очередями до трех снарядов. После проведения испы</w:t>
      </w:r>
      <w:r w:rsidRPr="00271E51">
        <w:rPr>
          <w:rFonts w:ascii="Times New Roman" w:hAnsi="Times New Roman"/>
          <w:color w:val="000000" w:themeColor="text1"/>
          <w:sz w:val="16"/>
          <w:szCs w:val="16"/>
        </w:rPr>
        <w:softHyphen/>
        <w:t xml:space="preserve">таний на фронте военные отмечали: </w:t>
      </w:r>
      <w:r w:rsidRPr="00271E51">
        <w:rPr>
          <w:rFonts w:ascii="Times New Roman" w:hAnsi="Times New Roman"/>
          <w:iCs/>
          <w:color w:val="000000" w:themeColor="text1"/>
          <w:sz w:val="16"/>
          <w:szCs w:val="16"/>
        </w:rPr>
        <w:t>«Само</w:t>
      </w:r>
      <w:r w:rsidRPr="00271E51">
        <w:rPr>
          <w:rFonts w:ascii="Times New Roman" w:hAnsi="Times New Roman"/>
          <w:iCs/>
          <w:color w:val="000000" w:themeColor="text1"/>
          <w:sz w:val="16"/>
          <w:szCs w:val="16"/>
        </w:rPr>
        <w:softHyphen/>
        <w:t>летами Як-9Т целесообразно вооружать части с летным составом, хорошо владею</w:t>
      </w:r>
      <w:r w:rsidRPr="00271E51">
        <w:rPr>
          <w:rFonts w:ascii="Times New Roman" w:hAnsi="Times New Roman"/>
          <w:iCs/>
          <w:color w:val="000000" w:themeColor="text1"/>
          <w:sz w:val="16"/>
          <w:szCs w:val="16"/>
        </w:rPr>
        <w:softHyphen/>
        <w:t>щим воздушной стрельбой. Летчик, летаю</w:t>
      </w:r>
      <w:r w:rsidRPr="00271E51">
        <w:rPr>
          <w:rFonts w:ascii="Times New Roman" w:hAnsi="Times New Roman"/>
          <w:iCs/>
          <w:color w:val="000000" w:themeColor="text1"/>
          <w:sz w:val="16"/>
          <w:szCs w:val="16"/>
        </w:rPr>
        <w:softHyphen/>
        <w:t>щий на Як-9Т, должен быть своего рода воз</w:t>
      </w:r>
      <w:r w:rsidRPr="00271E51">
        <w:rPr>
          <w:rFonts w:ascii="Times New Roman" w:hAnsi="Times New Roman"/>
          <w:iCs/>
          <w:color w:val="000000" w:themeColor="text1"/>
          <w:sz w:val="16"/>
          <w:szCs w:val="16"/>
        </w:rPr>
        <w:softHyphen/>
        <w:t>душным снайпером и уметь поражать врага наверняка с первого выстрела»</w:t>
      </w:r>
      <w:r w:rsidRPr="00271E51">
        <w:rPr>
          <w:rFonts w:ascii="Times New Roman" w:hAnsi="Times New Roman"/>
          <w:color w:val="000000" w:themeColor="text1"/>
          <w:sz w:val="16"/>
          <w:szCs w:val="16"/>
        </w:rPr>
        <w:t xml:space="preserve"> (10712).</w:t>
      </w:r>
    </w:p>
    <w:tbl>
      <w:tblPr>
        <w:tblW w:w="0" w:type="auto"/>
        <w:tblInd w:w="40" w:type="dxa"/>
        <w:tblLayout w:type="fixed"/>
        <w:tblCellMar>
          <w:left w:w="40" w:type="dxa"/>
          <w:right w:w="40" w:type="dxa"/>
        </w:tblCellMar>
        <w:tblLook w:val="0000" w:firstRow="0" w:lastRow="0" w:firstColumn="0" w:lastColumn="0" w:noHBand="0" w:noVBand="0"/>
      </w:tblPr>
      <w:tblGrid>
        <w:gridCol w:w="1267"/>
        <w:gridCol w:w="595"/>
        <w:gridCol w:w="653"/>
        <w:gridCol w:w="768"/>
        <w:gridCol w:w="845"/>
        <w:gridCol w:w="595"/>
        <w:gridCol w:w="912"/>
      </w:tblGrid>
      <w:tr w:rsidR="00A907A5" w:rsidRPr="00271E51" w14:paraId="761E25CA" w14:textId="77777777" w:rsidTr="00ED5B0A">
        <w:trPr>
          <w:trHeight w:val="394"/>
        </w:trPr>
        <w:tc>
          <w:tcPr>
            <w:tcW w:w="5635" w:type="dxa"/>
            <w:gridSpan w:val="7"/>
            <w:tcBorders>
              <w:top w:val="single" w:sz="6" w:space="0" w:color="auto"/>
              <w:left w:val="single" w:sz="6" w:space="0" w:color="auto"/>
              <w:bottom w:val="single" w:sz="6" w:space="0" w:color="auto"/>
              <w:right w:val="single" w:sz="6" w:space="0" w:color="auto"/>
            </w:tcBorders>
          </w:tcPr>
          <w:p w14:paraId="003B18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Некоторые авиационные пушки, применявшиеся во Второй мировой войне</w:t>
            </w:r>
          </w:p>
        </w:tc>
      </w:tr>
      <w:tr w:rsidR="00A907A5" w:rsidRPr="00271E51" w14:paraId="2A4CBCB8" w14:textId="77777777" w:rsidTr="00ED5B0A">
        <w:trPr>
          <w:trHeight w:val="595"/>
        </w:trPr>
        <w:tc>
          <w:tcPr>
            <w:tcW w:w="1267" w:type="dxa"/>
            <w:tcBorders>
              <w:top w:val="single" w:sz="6" w:space="0" w:color="auto"/>
              <w:left w:val="single" w:sz="6" w:space="0" w:color="auto"/>
              <w:bottom w:val="single" w:sz="6" w:space="0" w:color="auto"/>
              <w:right w:val="single" w:sz="6" w:space="0" w:color="auto"/>
            </w:tcBorders>
          </w:tcPr>
          <w:p w14:paraId="7D9CAE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пушки и на каких истребителях использовалась</w:t>
            </w:r>
          </w:p>
        </w:tc>
        <w:tc>
          <w:tcPr>
            <w:tcW w:w="595" w:type="dxa"/>
            <w:tcBorders>
              <w:top w:val="single" w:sz="6" w:space="0" w:color="auto"/>
              <w:left w:val="single" w:sz="6" w:space="0" w:color="auto"/>
              <w:bottom w:val="single" w:sz="6" w:space="0" w:color="auto"/>
              <w:right w:val="single" w:sz="6" w:space="0" w:color="auto"/>
            </w:tcBorders>
          </w:tcPr>
          <w:p w14:paraId="7EE7A6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w:t>
            </w:r>
          </w:p>
        </w:tc>
        <w:tc>
          <w:tcPr>
            <w:tcW w:w="653" w:type="dxa"/>
            <w:tcBorders>
              <w:top w:val="single" w:sz="6" w:space="0" w:color="auto"/>
              <w:left w:val="single" w:sz="6" w:space="0" w:color="auto"/>
              <w:bottom w:val="single" w:sz="6" w:space="0" w:color="auto"/>
              <w:right w:val="single" w:sz="6" w:space="0" w:color="auto"/>
            </w:tcBorders>
          </w:tcPr>
          <w:p w14:paraId="17DD1F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снаряда, г</w:t>
            </w:r>
          </w:p>
        </w:tc>
        <w:tc>
          <w:tcPr>
            <w:tcW w:w="768" w:type="dxa"/>
            <w:tcBorders>
              <w:top w:val="single" w:sz="6" w:space="0" w:color="auto"/>
              <w:left w:val="single" w:sz="6" w:space="0" w:color="auto"/>
              <w:bottom w:val="single" w:sz="6" w:space="0" w:color="auto"/>
              <w:right w:val="single" w:sz="6" w:space="0" w:color="auto"/>
            </w:tcBorders>
          </w:tcPr>
          <w:p w14:paraId="190962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снаряда, м/сек</w:t>
            </w:r>
          </w:p>
        </w:tc>
        <w:tc>
          <w:tcPr>
            <w:tcW w:w="845" w:type="dxa"/>
            <w:tcBorders>
              <w:top w:val="single" w:sz="6" w:space="0" w:color="auto"/>
              <w:left w:val="single" w:sz="6" w:space="0" w:color="auto"/>
              <w:bottom w:val="single" w:sz="6" w:space="0" w:color="auto"/>
              <w:right w:val="single" w:sz="6" w:space="0" w:color="auto"/>
            </w:tcBorders>
          </w:tcPr>
          <w:p w14:paraId="1808D4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w:t>
            </w:r>
            <w:r w:rsidRPr="00271E51">
              <w:rPr>
                <w:rFonts w:ascii="Times New Roman" w:hAnsi="Times New Roman"/>
                <w:color w:val="000000" w:themeColor="text1"/>
                <w:sz w:val="16"/>
                <w:szCs w:val="16"/>
              </w:rPr>
              <w:softHyphen/>
              <w:t>стрель</w:t>
            </w:r>
            <w:r w:rsidRPr="00271E51">
              <w:rPr>
                <w:rFonts w:ascii="Times New Roman" w:hAnsi="Times New Roman"/>
                <w:color w:val="000000" w:themeColor="text1"/>
                <w:sz w:val="16"/>
                <w:szCs w:val="16"/>
              </w:rPr>
              <w:softHyphen/>
              <w:t>ность, выстр./мин</w:t>
            </w:r>
          </w:p>
        </w:tc>
        <w:tc>
          <w:tcPr>
            <w:tcW w:w="595" w:type="dxa"/>
            <w:tcBorders>
              <w:top w:val="single" w:sz="6" w:space="0" w:color="auto"/>
              <w:left w:val="single" w:sz="6" w:space="0" w:color="auto"/>
              <w:bottom w:val="single" w:sz="6" w:space="0" w:color="auto"/>
              <w:right w:val="single" w:sz="6" w:space="0" w:color="auto"/>
            </w:tcBorders>
          </w:tcPr>
          <w:p w14:paraId="25BDF5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оружия, кг</w:t>
            </w:r>
          </w:p>
        </w:tc>
        <w:tc>
          <w:tcPr>
            <w:tcW w:w="912" w:type="dxa"/>
            <w:tcBorders>
              <w:top w:val="single" w:sz="6" w:space="0" w:color="auto"/>
              <w:left w:val="single" w:sz="6" w:space="0" w:color="auto"/>
              <w:bottom w:val="single" w:sz="6" w:space="0" w:color="auto"/>
              <w:right w:val="single" w:sz="6" w:space="0" w:color="auto"/>
            </w:tcBorders>
          </w:tcPr>
          <w:p w14:paraId="038542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секундного залпа, кг</w:t>
            </w:r>
          </w:p>
        </w:tc>
      </w:tr>
      <w:tr w:rsidR="00A907A5" w:rsidRPr="00271E51" w14:paraId="7A80FCB6" w14:textId="77777777" w:rsidTr="00ED5B0A">
        <w:trPr>
          <w:trHeight w:val="192"/>
        </w:trPr>
        <w:tc>
          <w:tcPr>
            <w:tcW w:w="1267" w:type="dxa"/>
            <w:tcBorders>
              <w:top w:val="single" w:sz="6" w:space="0" w:color="auto"/>
              <w:left w:val="single" w:sz="6" w:space="0" w:color="auto"/>
              <w:bottom w:val="nil"/>
              <w:right w:val="single" w:sz="6" w:space="0" w:color="auto"/>
            </w:tcBorders>
          </w:tcPr>
          <w:p w14:paraId="5CF09C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ШВАК Як-1, -3, -7, -9 ЛаГГ-3, Ла-5, -7</w:t>
            </w:r>
          </w:p>
        </w:tc>
        <w:tc>
          <w:tcPr>
            <w:tcW w:w="4368" w:type="dxa"/>
            <w:gridSpan w:val="6"/>
            <w:tcBorders>
              <w:top w:val="single" w:sz="6" w:space="0" w:color="auto"/>
              <w:left w:val="single" w:sz="6" w:space="0" w:color="auto"/>
              <w:bottom w:val="single" w:sz="6" w:space="0" w:color="auto"/>
              <w:right w:val="single" w:sz="6" w:space="0" w:color="auto"/>
            </w:tcBorders>
          </w:tcPr>
          <w:p w14:paraId="15A874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СССР</w:t>
            </w:r>
          </w:p>
        </w:tc>
      </w:tr>
      <w:tr w:rsidR="00A907A5" w:rsidRPr="00271E51" w14:paraId="1F37DC89" w14:textId="77777777" w:rsidTr="00ED5B0A">
        <w:trPr>
          <w:trHeight w:val="269"/>
        </w:trPr>
        <w:tc>
          <w:tcPr>
            <w:tcW w:w="1267" w:type="dxa"/>
            <w:tcBorders>
              <w:top w:val="nil"/>
              <w:left w:val="single" w:sz="6" w:space="0" w:color="auto"/>
              <w:bottom w:val="single" w:sz="6" w:space="0" w:color="auto"/>
              <w:right w:val="single" w:sz="6" w:space="0" w:color="auto"/>
            </w:tcBorders>
          </w:tcPr>
          <w:p w14:paraId="416BD2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6AA5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766745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w:t>
            </w:r>
          </w:p>
        </w:tc>
        <w:tc>
          <w:tcPr>
            <w:tcW w:w="768" w:type="dxa"/>
            <w:tcBorders>
              <w:top w:val="single" w:sz="6" w:space="0" w:color="auto"/>
              <w:left w:val="single" w:sz="6" w:space="0" w:color="auto"/>
              <w:bottom w:val="single" w:sz="6" w:space="0" w:color="auto"/>
              <w:right w:val="single" w:sz="6" w:space="0" w:color="auto"/>
            </w:tcBorders>
          </w:tcPr>
          <w:p w14:paraId="72DC30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845" w:type="dxa"/>
            <w:tcBorders>
              <w:top w:val="single" w:sz="6" w:space="0" w:color="auto"/>
              <w:left w:val="single" w:sz="6" w:space="0" w:color="auto"/>
              <w:bottom w:val="single" w:sz="6" w:space="0" w:color="auto"/>
              <w:right w:val="single" w:sz="6" w:space="0" w:color="auto"/>
            </w:tcBorders>
          </w:tcPr>
          <w:p w14:paraId="0444A3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595" w:type="dxa"/>
            <w:tcBorders>
              <w:top w:val="single" w:sz="6" w:space="0" w:color="auto"/>
              <w:left w:val="single" w:sz="6" w:space="0" w:color="auto"/>
              <w:bottom w:val="single" w:sz="6" w:space="0" w:color="auto"/>
              <w:right w:val="single" w:sz="6" w:space="0" w:color="auto"/>
            </w:tcBorders>
          </w:tcPr>
          <w:p w14:paraId="583514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w:t>
            </w:r>
          </w:p>
        </w:tc>
        <w:tc>
          <w:tcPr>
            <w:tcW w:w="912" w:type="dxa"/>
            <w:tcBorders>
              <w:top w:val="single" w:sz="6" w:space="0" w:color="auto"/>
              <w:left w:val="single" w:sz="6" w:space="0" w:color="auto"/>
              <w:bottom w:val="single" w:sz="6" w:space="0" w:color="auto"/>
              <w:right w:val="single" w:sz="6" w:space="0" w:color="auto"/>
            </w:tcBorders>
          </w:tcPr>
          <w:p w14:paraId="075D3E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1,28</w:t>
            </w:r>
          </w:p>
        </w:tc>
      </w:tr>
      <w:tr w:rsidR="00A907A5" w:rsidRPr="00271E51" w14:paraId="7CCC1732" w14:textId="77777777" w:rsidTr="00ED5B0A">
        <w:trPr>
          <w:trHeight w:val="202"/>
        </w:trPr>
        <w:tc>
          <w:tcPr>
            <w:tcW w:w="1267" w:type="dxa"/>
            <w:tcBorders>
              <w:top w:val="single" w:sz="6" w:space="0" w:color="auto"/>
              <w:left w:val="single" w:sz="6" w:space="0" w:color="auto"/>
              <w:bottom w:val="single" w:sz="6" w:space="0" w:color="auto"/>
              <w:right w:val="single" w:sz="6" w:space="0" w:color="auto"/>
            </w:tcBorders>
          </w:tcPr>
          <w:p w14:paraId="3D1442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НС-37 Як-9Т</w:t>
            </w:r>
          </w:p>
        </w:tc>
        <w:tc>
          <w:tcPr>
            <w:tcW w:w="595" w:type="dxa"/>
            <w:tcBorders>
              <w:top w:val="single" w:sz="6" w:space="0" w:color="auto"/>
              <w:left w:val="single" w:sz="6" w:space="0" w:color="auto"/>
              <w:bottom w:val="single" w:sz="6" w:space="0" w:color="auto"/>
              <w:right w:val="single" w:sz="6" w:space="0" w:color="auto"/>
            </w:tcBorders>
          </w:tcPr>
          <w:p w14:paraId="4D571D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653" w:type="dxa"/>
            <w:tcBorders>
              <w:top w:val="single" w:sz="6" w:space="0" w:color="auto"/>
              <w:left w:val="single" w:sz="6" w:space="0" w:color="auto"/>
              <w:bottom w:val="single" w:sz="6" w:space="0" w:color="auto"/>
              <w:right w:val="single" w:sz="6" w:space="0" w:color="auto"/>
            </w:tcBorders>
          </w:tcPr>
          <w:p w14:paraId="222081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735</w:t>
            </w:r>
          </w:p>
        </w:tc>
        <w:tc>
          <w:tcPr>
            <w:tcW w:w="768" w:type="dxa"/>
            <w:tcBorders>
              <w:top w:val="single" w:sz="6" w:space="0" w:color="auto"/>
              <w:left w:val="single" w:sz="6" w:space="0" w:color="auto"/>
              <w:bottom w:val="single" w:sz="6" w:space="0" w:color="auto"/>
              <w:right w:val="single" w:sz="6" w:space="0" w:color="auto"/>
            </w:tcBorders>
          </w:tcPr>
          <w:p w14:paraId="5427D2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845" w:type="dxa"/>
            <w:tcBorders>
              <w:top w:val="single" w:sz="6" w:space="0" w:color="auto"/>
              <w:left w:val="single" w:sz="6" w:space="0" w:color="auto"/>
              <w:bottom w:val="single" w:sz="6" w:space="0" w:color="auto"/>
              <w:right w:val="single" w:sz="6" w:space="0" w:color="auto"/>
            </w:tcBorders>
          </w:tcPr>
          <w:p w14:paraId="16C921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595" w:type="dxa"/>
            <w:tcBorders>
              <w:top w:val="single" w:sz="6" w:space="0" w:color="auto"/>
              <w:left w:val="single" w:sz="6" w:space="0" w:color="auto"/>
              <w:bottom w:val="single" w:sz="6" w:space="0" w:color="auto"/>
              <w:right w:val="single" w:sz="6" w:space="0" w:color="auto"/>
            </w:tcBorders>
          </w:tcPr>
          <w:p w14:paraId="3D0EFE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912" w:type="dxa"/>
            <w:tcBorders>
              <w:top w:val="single" w:sz="6" w:space="0" w:color="auto"/>
              <w:left w:val="single" w:sz="6" w:space="0" w:color="auto"/>
              <w:bottom w:val="single" w:sz="6" w:space="0" w:color="auto"/>
              <w:right w:val="single" w:sz="6" w:space="0" w:color="auto"/>
            </w:tcBorders>
          </w:tcPr>
          <w:p w14:paraId="035206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w:t>
            </w:r>
          </w:p>
        </w:tc>
      </w:tr>
      <w:tr w:rsidR="00A907A5" w:rsidRPr="00271E51" w14:paraId="76F3DBAF" w14:textId="77777777" w:rsidTr="00ED5B0A">
        <w:trPr>
          <w:trHeight w:val="182"/>
        </w:trPr>
        <w:tc>
          <w:tcPr>
            <w:tcW w:w="1267" w:type="dxa"/>
            <w:tcBorders>
              <w:top w:val="single" w:sz="6" w:space="0" w:color="auto"/>
              <w:left w:val="single" w:sz="6" w:space="0" w:color="auto"/>
              <w:bottom w:val="single" w:sz="6" w:space="0" w:color="auto"/>
              <w:right w:val="single" w:sz="6" w:space="0" w:color="auto"/>
            </w:tcBorders>
          </w:tcPr>
          <w:p w14:paraId="3CA2D6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НС-45 Як-9К</w:t>
            </w:r>
          </w:p>
        </w:tc>
        <w:tc>
          <w:tcPr>
            <w:tcW w:w="595" w:type="dxa"/>
            <w:tcBorders>
              <w:top w:val="single" w:sz="6" w:space="0" w:color="auto"/>
              <w:left w:val="single" w:sz="6" w:space="0" w:color="auto"/>
              <w:bottom w:val="single" w:sz="6" w:space="0" w:color="auto"/>
              <w:right w:val="single" w:sz="6" w:space="0" w:color="auto"/>
            </w:tcBorders>
          </w:tcPr>
          <w:p w14:paraId="4E09B8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653" w:type="dxa"/>
            <w:tcBorders>
              <w:top w:val="single" w:sz="6" w:space="0" w:color="auto"/>
              <w:left w:val="single" w:sz="6" w:space="0" w:color="auto"/>
              <w:bottom w:val="single" w:sz="6" w:space="0" w:color="auto"/>
              <w:right w:val="single" w:sz="6" w:space="0" w:color="auto"/>
            </w:tcBorders>
          </w:tcPr>
          <w:p w14:paraId="6608D4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1065</w:t>
            </w:r>
          </w:p>
        </w:tc>
        <w:tc>
          <w:tcPr>
            <w:tcW w:w="768" w:type="dxa"/>
            <w:tcBorders>
              <w:top w:val="single" w:sz="6" w:space="0" w:color="auto"/>
              <w:left w:val="single" w:sz="6" w:space="0" w:color="auto"/>
              <w:bottom w:val="single" w:sz="6" w:space="0" w:color="auto"/>
              <w:right w:val="single" w:sz="6" w:space="0" w:color="auto"/>
            </w:tcBorders>
          </w:tcPr>
          <w:p w14:paraId="7BBE18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850</w:t>
            </w:r>
          </w:p>
        </w:tc>
        <w:tc>
          <w:tcPr>
            <w:tcW w:w="845" w:type="dxa"/>
            <w:tcBorders>
              <w:top w:val="single" w:sz="6" w:space="0" w:color="auto"/>
              <w:left w:val="single" w:sz="6" w:space="0" w:color="auto"/>
              <w:bottom w:val="single" w:sz="6" w:space="0" w:color="auto"/>
              <w:right w:val="single" w:sz="6" w:space="0" w:color="auto"/>
            </w:tcBorders>
          </w:tcPr>
          <w:p w14:paraId="46CC45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595" w:type="dxa"/>
            <w:tcBorders>
              <w:top w:val="single" w:sz="6" w:space="0" w:color="auto"/>
              <w:left w:val="single" w:sz="6" w:space="0" w:color="auto"/>
              <w:bottom w:val="single" w:sz="6" w:space="0" w:color="auto"/>
              <w:right w:val="single" w:sz="6" w:space="0" w:color="auto"/>
            </w:tcBorders>
          </w:tcPr>
          <w:p w14:paraId="259325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912" w:type="dxa"/>
            <w:tcBorders>
              <w:top w:val="single" w:sz="6" w:space="0" w:color="auto"/>
              <w:left w:val="single" w:sz="6" w:space="0" w:color="auto"/>
              <w:bottom w:val="single" w:sz="6" w:space="0" w:color="auto"/>
              <w:right w:val="single" w:sz="6" w:space="0" w:color="auto"/>
            </w:tcBorders>
          </w:tcPr>
          <w:p w14:paraId="190BDB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4,45</w:t>
            </w:r>
          </w:p>
        </w:tc>
      </w:tr>
      <w:tr w:rsidR="00A907A5" w:rsidRPr="00271E51" w14:paraId="3D321F94" w14:textId="77777777" w:rsidTr="00ED5B0A">
        <w:trPr>
          <w:trHeight w:val="192"/>
        </w:trPr>
        <w:tc>
          <w:tcPr>
            <w:tcW w:w="1267" w:type="dxa"/>
            <w:tcBorders>
              <w:top w:val="single" w:sz="6" w:space="0" w:color="auto"/>
              <w:left w:val="single" w:sz="6" w:space="0" w:color="auto"/>
              <w:bottom w:val="nil"/>
              <w:right w:val="single" w:sz="6" w:space="0" w:color="auto"/>
            </w:tcBorders>
          </w:tcPr>
          <w:p w14:paraId="043FD2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МС-151 Вf 109С, FW 190А</w:t>
            </w:r>
          </w:p>
        </w:tc>
        <w:tc>
          <w:tcPr>
            <w:tcW w:w="4368" w:type="dxa"/>
            <w:gridSpan w:val="6"/>
            <w:tcBorders>
              <w:top w:val="single" w:sz="6" w:space="0" w:color="auto"/>
              <w:left w:val="single" w:sz="6" w:space="0" w:color="auto"/>
              <w:bottom w:val="single" w:sz="6" w:space="0" w:color="auto"/>
              <w:right w:val="single" w:sz="6" w:space="0" w:color="auto"/>
            </w:tcBorders>
          </w:tcPr>
          <w:p w14:paraId="1F849A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Германия</w:t>
            </w:r>
          </w:p>
        </w:tc>
      </w:tr>
      <w:tr w:rsidR="00A907A5" w:rsidRPr="00271E51" w14:paraId="7B36C759" w14:textId="77777777" w:rsidTr="00ED5B0A">
        <w:trPr>
          <w:trHeight w:val="192"/>
        </w:trPr>
        <w:tc>
          <w:tcPr>
            <w:tcW w:w="1267" w:type="dxa"/>
            <w:tcBorders>
              <w:top w:val="nil"/>
              <w:left w:val="single" w:sz="6" w:space="0" w:color="auto"/>
              <w:bottom w:val="single" w:sz="6" w:space="0" w:color="auto"/>
              <w:right w:val="single" w:sz="6" w:space="0" w:color="auto"/>
            </w:tcBorders>
          </w:tcPr>
          <w:p w14:paraId="46F24A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81F2E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3F3DBB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768" w:type="dxa"/>
            <w:tcBorders>
              <w:top w:val="single" w:sz="6" w:space="0" w:color="auto"/>
              <w:left w:val="single" w:sz="6" w:space="0" w:color="auto"/>
              <w:bottom w:val="single" w:sz="6" w:space="0" w:color="auto"/>
              <w:right w:val="single" w:sz="6" w:space="0" w:color="auto"/>
            </w:tcBorders>
          </w:tcPr>
          <w:p w14:paraId="3E5A28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w:t>
            </w:r>
          </w:p>
        </w:tc>
        <w:tc>
          <w:tcPr>
            <w:tcW w:w="845" w:type="dxa"/>
            <w:tcBorders>
              <w:top w:val="single" w:sz="6" w:space="0" w:color="auto"/>
              <w:left w:val="single" w:sz="6" w:space="0" w:color="auto"/>
              <w:bottom w:val="single" w:sz="6" w:space="0" w:color="auto"/>
              <w:right w:val="single" w:sz="6" w:space="0" w:color="auto"/>
            </w:tcBorders>
          </w:tcPr>
          <w:p w14:paraId="23C5E5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95" w:type="dxa"/>
            <w:tcBorders>
              <w:top w:val="single" w:sz="6" w:space="0" w:color="auto"/>
              <w:left w:val="single" w:sz="6" w:space="0" w:color="auto"/>
              <w:bottom w:val="single" w:sz="6" w:space="0" w:color="auto"/>
              <w:right w:val="single" w:sz="6" w:space="0" w:color="auto"/>
            </w:tcBorders>
          </w:tcPr>
          <w:p w14:paraId="7A0254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w:t>
            </w:r>
          </w:p>
        </w:tc>
        <w:tc>
          <w:tcPr>
            <w:tcW w:w="912" w:type="dxa"/>
            <w:tcBorders>
              <w:top w:val="single" w:sz="6" w:space="0" w:color="auto"/>
              <w:left w:val="single" w:sz="6" w:space="0" w:color="auto"/>
              <w:bottom w:val="single" w:sz="6" w:space="0" w:color="auto"/>
              <w:right w:val="single" w:sz="6" w:space="0" w:color="auto"/>
            </w:tcBorders>
          </w:tcPr>
          <w:p w14:paraId="4677C1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w:t>
            </w:r>
          </w:p>
        </w:tc>
      </w:tr>
      <w:tr w:rsidR="00A907A5" w:rsidRPr="00271E51" w14:paraId="7460E3CC" w14:textId="77777777" w:rsidTr="00ED5B0A">
        <w:trPr>
          <w:trHeight w:val="326"/>
        </w:trPr>
        <w:tc>
          <w:tcPr>
            <w:tcW w:w="1267" w:type="dxa"/>
            <w:tcBorders>
              <w:top w:val="single" w:sz="6" w:space="0" w:color="auto"/>
              <w:left w:val="single" w:sz="6" w:space="0" w:color="auto"/>
              <w:bottom w:val="single" w:sz="6" w:space="0" w:color="auto"/>
              <w:right w:val="single" w:sz="6" w:space="0" w:color="auto"/>
            </w:tcBorders>
          </w:tcPr>
          <w:p w14:paraId="7F8A8C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MG 103, Bf 109к</w:t>
            </w:r>
          </w:p>
        </w:tc>
        <w:tc>
          <w:tcPr>
            <w:tcW w:w="595" w:type="dxa"/>
            <w:tcBorders>
              <w:top w:val="single" w:sz="6" w:space="0" w:color="auto"/>
              <w:left w:val="single" w:sz="6" w:space="0" w:color="auto"/>
              <w:bottom w:val="single" w:sz="6" w:space="0" w:color="auto"/>
              <w:right w:val="single" w:sz="6" w:space="0" w:color="auto"/>
            </w:tcBorders>
          </w:tcPr>
          <w:p w14:paraId="01309B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653" w:type="dxa"/>
            <w:tcBorders>
              <w:top w:val="single" w:sz="6" w:space="0" w:color="auto"/>
              <w:left w:val="single" w:sz="6" w:space="0" w:color="auto"/>
              <w:bottom w:val="single" w:sz="6" w:space="0" w:color="auto"/>
              <w:right w:val="single" w:sz="6" w:space="0" w:color="auto"/>
            </w:tcBorders>
          </w:tcPr>
          <w:p w14:paraId="40C863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330</w:t>
            </w:r>
          </w:p>
        </w:tc>
        <w:tc>
          <w:tcPr>
            <w:tcW w:w="768" w:type="dxa"/>
            <w:tcBorders>
              <w:top w:val="single" w:sz="6" w:space="0" w:color="auto"/>
              <w:left w:val="single" w:sz="6" w:space="0" w:color="auto"/>
              <w:bottom w:val="single" w:sz="6" w:space="0" w:color="auto"/>
              <w:right w:val="single" w:sz="6" w:space="0" w:color="auto"/>
            </w:tcBorders>
          </w:tcPr>
          <w:p w14:paraId="629AD5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w:t>
            </w:r>
          </w:p>
        </w:tc>
        <w:tc>
          <w:tcPr>
            <w:tcW w:w="845" w:type="dxa"/>
            <w:tcBorders>
              <w:top w:val="single" w:sz="6" w:space="0" w:color="auto"/>
              <w:left w:val="single" w:sz="6" w:space="0" w:color="auto"/>
              <w:bottom w:val="single" w:sz="6" w:space="0" w:color="auto"/>
              <w:right w:val="single" w:sz="6" w:space="0" w:color="auto"/>
            </w:tcBorders>
          </w:tcPr>
          <w:p w14:paraId="68EFA0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595" w:type="dxa"/>
            <w:tcBorders>
              <w:top w:val="single" w:sz="6" w:space="0" w:color="auto"/>
              <w:left w:val="single" w:sz="6" w:space="0" w:color="auto"/>
              <w:bottom w:val="single" w:sz="6" w:space="0" w:color="auto"/>
              <w:right w:val="single" w:sz="6" w:space="0" w:color="auto"/>
            </w:tcBorders>
          </w:tcPr>
          <w:p w14:paraId="4BDF6B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tc>
        <w:tc>
          <w:tcPr>
            <w:tcW w:w="912" w:type="dxa"/>
            <w:tcBorders>
              <w:top w:val="single" w:sz="6" w:space="0" w:color="auto"/>
              <w:left w:val="single" w:sz="6" w:space="0" w:color="auto"/>
              <w:bottom w:val="single" w:sz="6" w:space="0" w:color="auto"/>
              <w:right w:val="single" w:sz="6" w:space="0" w:color="auto"/>
            </w:tcBorders>
          </w:tcPr>
          <w:p w14:paraId="5531D9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r>
      <w:tr w:rsidR="00A907A5" w:rsidRPr="00271E51" w14:paraId="67839666" w14:textId="77777777" w:rsidTr="00ED5B0A">
        <w:trPr>
          <w:trHeight w:val="173"/>
        </w:trPr>
        <w:tc>
          <w:tcPr>
            <w:tcW w:w="1267" w:type="dxa"/>
            <w:tcBorders>
              <w:top w:val="single" w:sz="6" w:space="0" w:color="auto"/>
              <w:left w:val="single" w:sz="6" w:space="0" w:color="auto"/>
              <w:bottom w:val="nil"/>
              <w:right w:val="single" w:sz="6" w:space="0" w:color="auto"/>
            </w:tcBorders>
          </w:tcPr>
          <w:p w14:paraId="440FF0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Испано-Сюиза «Спитфайр», «Харрикейн»</w:t>
            </w:r>
          </w:p>
        </w:tc>
        <w:tc>
          <w:tcPr>
            <w:tcW w:w="4368" w:type="dxa"/>
            <w:gridSpan w:val="6"/>
            <w:tcBorders>
              <w:top w:val="single" w:sz="6" w:space="0" w:color="auto"/>
              <w:left w:val="single" w:sz="6" w:space="0" w:color="auto"/>
              <w:bottom w:val="single" w:sz="6" w:space="0" w:color="auto"/>
              <w:right w:val="single" w:sz="6" w:space="0" w:color="auto"/>
            </w:tcBorders>
          </w:tcPr>
          <w:p w14:paraId="32905E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Великобритания, США</w:t>
            </w:r>
          </w:p>
        </w:tc>
      </w:tr>
      <w:tr w:rsidR="00A907A5" w:rsidRPr="00271E51" w14:paraId="24E919F3" w14:textId="77777777" w:rsidTr="00ED5B0A">
        <w:trPr>
          <w:trHeight w:val="278"/>
        </w:trPr>
        <w:tc>
          <w:tcPr>
            <w:tcW w:w="1267" w:type="dxa"/>
            <w:tcBorders>
              <w:top w:val="nil"/>
              <w:left w:val="single" w:sz="6" w:space="0" w:color="auto"/>
              <w:bottom w:val="single" w:sz="6" w:space="0" w:color="auto"/>
              <w:right w:val="single" w:sz="6" w:space="0" w:color="auto"/>
            </w:tcBorders>
          </w:tcPr>
          <w:p w14:paraId="3E2DAB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0EF1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4D4106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768" w:type="dxa"/>
            <w:tcBorders>
              <w:top w:val="single" w:sz="6" w:space="0" w:color="auto"/>
              <w:left w:val="single" w:sz="6" w:space="0" w:color="auto"/>
              <w:bottom w:val="single" w:sz="6" w:space="0" w:color="auto"/>
              <w:right w:val="single" w:sz="6" w:space="0" w:color="auto"/>
            </w:tcBorders>
          </w:tcPr>
          <w:p w14:paraId="52A684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860</w:t>
            </w:r>
          </w:p>
        </w:tc>
        <w:tc>
          <w:tcPr>
            <w:tcW w:w="845" w:type="dxa"/>
            <w:tcBorders>
              <w:top w:val="single" w:sz="6" w:space="0" w:color="auto"/>
              <w:left w:val="single" w:sz="6" w:space="0" w:color="auto"/>
              <w:bottom w:val="single" w:sz="6" w:space="0" w:color="auto"/>
              <w:right w:val="single" w:sz="6" w:space="0" w:color="auto"/>
            </w:tcBorders>
          </w:tcPr>
          <w:p w14:paraId="5927C5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tc>
        <w:tc>
          <w:tcPr>
            <w:tcW w:w="595" w:type="dxa"/>
            <w:tcBorders>
              <w:top w:val="single" w:sz="6" w:space="0" w:color="auto"/>
              <w:left w:val="single" w:sz="6" w:space="0" w:color="auto"/>
              <w:bottom w:val="single" w:sz="6" w:space="0" w:color="auto"/>
              <w:right w:val="single" w:sz="6" w:space="0" w:color="auto"/>
            </w:tcBorders>
          </w:tcPr>
          <w:p w14:paraId="65CE8F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912" w:type="dxa"/>
            <w:tcBorders>
              <w:top w:val="single" w:sz="6" w:space="0" w:color="auto"/>
              <w:left w:val="single" w:sz="6" w:space="0" w:color="auto"/>
              <w:bottom w:val="single" w:sz="6" w:space="0" w:color="auto"/>
              <w:right w:val="single" w:sz="6" w:space="0" w:color="auto"/>
            </w:tcBorders>
          </w:tcPr>
          <w:p w14:paraId="4076B4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w:t>
            </w:r>
          </w:p>
        </w:tc>
      </w:tr>
      <w:tr w:rsidR="00A907A5" w:rsidRPr="00271E51" w14:paraId="62C7545F" w14:textId="77777777" w:rsidTr="00ED5B0A">
        <w:trPr>
          <w:trHeight w:val="538"/>
        </w:trPr>
        <w:tc>
          <w:tcPr>
            <w:tcW w:w="1267" w:type="dxa"/>
            <w:tcBorders>
              <w:top w:val="single" w:sz="6" w:space="0" w:color="auto"/>
              <w:left w:val="single" w:sz="6" w:space="0" w:color="auto"/>
              <w:bottom w:val="single" w:sz="6" w:space="0" w:color="auto"/>
              <w:right w:val="single" w:sz="6" w:space="0" w:color="auto"/>
            </w:tcBorders>
          </w:tcPr>
          <w:p w14:paraId="1D954F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М-4 Р-39К, L М, N, Q</w:t>
            </w:r>
          </w:p>
          <w:p w14:paraId="0415D6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Р-63А, С</w:t>
            </w:r>
          </w:p>
        </w:tc>
        <w:tc>
          <w:tcPr>
            <w:tcW w:w="595" w:type="dxa"/>
            <w:tcBorders>
              <w:top w:val="single" w:sz="6" w:space="0" w:color="auto"/>
              <w:left w:val="single" w:sz="6" w:space="0" w:color="auto"/>
              <w:bottom w:val="single" w:sz="6" w:space="0" w:color="auto"/>
              <w:right w:val="single" w:sz="6" w:space="0" w:color="auto"/>
            </w:tcBorders>
          </w:tcPr>
          <w:p w14:paraId="54C94F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653" w:type="dxa"/>
            <w:tcBorders>
              <w:top w:val="single" w:sz="6" w:space="0" w:color="auto"/>
              <w:left w:val="single" w:sz="6" w:space="0" w:color="auto"/>
              <w:bottom w:val="single" w:sz="6" w:space="0" w:color="auto"/>
              <w:right w:val="single" w:sz="6" w:space="0" w:color="auto"/>
            </w:tcBorders>
          </w:tcPr>
          <w:p w14:paraId="49FCFF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650</w:t>
            </w:r>
          </w:p>
        </w:tc>
        <w:tc>
          <w:tcPr>
            <w:tcW w:w="768" w:type="dxa"/>
            <w:tcBorders>
              <w:top w:val="single" w:sz="6" w:space="0" w:color="auto"/>
              <w:left w:val="single" w:sz="6" w:space="0" w:color="auto"/>
              <w:bottom w:val="single" w:sz="6" w:space="0" w:color="auto"/>
              <w:right w:val="single" w:sz="6" w:space="0" w:color="auto"/>
            </w:tcBorders>
          </w:tcPr>
          <w:p w14:paraId="09D09B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845" w:type="dxa"/>
            <w:tcBorders>
              <w:top w:val="single" w:sz="6" w:space="0" w:color="auto"/>
              <w:left w:val="single" w:sz="6" w:space="0" w:color="auto"/>
              <w:bottom w:val="single" w:sz="6" w:space="0" w:color="auto"/>
              <w:right w:val="single" w:sz="6" w:space="0" w:color="auto"/>
            </w:tcBorders>
          </w:tcPr>
          <w:p w14:paraId="22EDC6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w:t>
            </w:r>
          </w:p>
        </w:tc>
        <w:tc>
          <w:tcPr>
            <w:tcW w:w="595" w:type="dxa"/>
            <w:tcBorders>
              <w:top w:val="single" w:sz="6" w:space="0" w:color="auto"/>
              <w:left w:val="single" w:sz="6" w:space="0" w:color="auto"/>
              <w:bottom w:val="single" w:sz="6" w:space="0" w:color="auto"/>
              <w:right w:val="single" w:sz="6" w:space="0" w:color="auto"/>
            </w:tcBorders>
          </w:tcPr>
          <w:p w14:paraId="16F248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912" w:type="dxa"/>
            <w:tcBorders>
              <w:top w:val="single" w:sz="6" w:space="0" w:color="auto"/>
              <w:left w:val="single" w:sz="6" w:space="0" w:color="auto"/>
              <w:bottom w:val="single" w:sz="6" w:space="0" w:color="auto"/>
              <w:right w:val="single" w:sz="6" w:space="0" w:color="auto"/>
            </w:tcBorders>
          </w:tcPr>
          <w:p w14:paraId="67CA9B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w:t>
            </w:r>
          </w:p>
        </w:tc>
      </w:tr>
    </w:tbl>
    <w:p w14:paraId="13FC9F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(10712).</w:t>
      </w:r>
    </w:p>
    <w:p w14:paraId="5D6C78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1D4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самом конце 1943 г. был разработан Як-9К, который являлся моди</w:t>
      </w:r>
      <w:r w:rsidRPr="00271E51">
        <w:rPr>
          <w:rFonts w:ascii="Times New Roman" w:hAnsi="Times New Roman"/>
          <w:color w:val="000000" w:themeColor="text1"/>
          <w:sz w:val="16"/>
          <w:szCs w:val="16"/>
        </w:rPr>
        <w:softHyphen/>
        <w:t>фикацией Як-9Т и нес пушку НС-45 калиб</w:t>
      </w:r>
      <w:r w:rsidRPr="00271E51">
        <w:rPr>
          <w:rFonts w:ascii="Times New Roman" w:hAnsi="Times New Roman"/>
          <w:color w:val="000000" w:themeColor="text1"/>
          <w:sz w:val="16"/>
          <w:szCs w:val="16"/>
        </w:rPr>
        <w:softHyphen/>
        <w:t>ром 45 мм! Сконструировав для НС-45 тонкостенный ствол, А.Э. Нудельман и А.С. Суранов обеспечили саму возможность установ</w:t>
      </w:r>
      <w:r w:rsidRPr="00271E51">
        <w:rPr>
          <w:rFonts w:ascii="Times New Roman" w:hAnsi="Times New Roman"/>
          <w:color w:val="000000" w:themeColor="text1"/>
          <w:sz w:val="16"/>
          <w:szCs w:val="16"/>
        </w:rPr>
        <w:softHyphen/>
        <w:t>ки нового оружия на Як-9: зазор между полым валом редуктора винта и проходя</w:t>
      </w:r>
      <w:r w:rsidRPr="00271E51">
        <w:rPr>
          <w:rFonts w:ascii="Times New Roman" w:hAnsi="Times New Roman"/>
          <w:color w:val="000000" w:themeColor="text1"/>
          <w:sz w:val="16"/>
          <w:szCs w:val="16"/>
        </w:rPr>
        <w:softHyphen/>
        <w:t>щим сквозь него стволом пушки составлял всего 0,75 мм. Чтобы уменьшить силу отдачи, которая сос</w:t>
      </w:r>
      <w:r w:rsidRPr="00271E51">
        <w:rPr>
          <w:rFonts w:ascii="Times New Roman" w:hAnsi="Times New Roman"/>
          <w:color w:val="000000" w:themeColor="text1"/>
          <w:sz w:val="16"/>
          <w:szCs w:val="16"/>
        </w:rPr>
        <w:softHyphen/>
        <w:t>тавляла около 7 тс, ствол НС-45 снабдили мощным дульным тормозом. И все же при стрельбе на неболь</w:t>
      </w:r>
      <w:r w:rsidRPr="00271E51">
        <w:rPr>
          <w:rFonts w:ascii="Times New Roman" w:hAnsi="Times New Roman"/>
          <w:color w:val="000000" w:themeColor="text1"/>
          <w:sz w:val="16"/>
          <w:szCs w:val="16"/>
        </w:rPr>
        <w:softHyphen/>
        <w:t>ших скоростях самолет разворачивало, а летчик испытывал резкие толчки. С этим недостатком при</w:t>
      </w:r>
      <w:r w:rsidRPr="00271E51">
        <w:rPr>
          <w:rFonts w:ascii="Times New Roman" w:hAnsi="Times New Roman"/>
          <w:color w:val="000000" w:themeColor="text1"/>
          <w:sz w:val="16"/>
          <w:szCs w:val="16"/>
        </w:rPr>
        <w:softHyphen/>
        <w:t>шлось примириться, огра ничившись рекомендацией пилотам вести стрельбу короткими очередя</w:t>
      </w:r>
      <w:r w:rsidRPr="00271E51">
        <w:rPr>
          <w:rFonts w:ascii="Times New Roman" w:hAnsi="Times New Roman"/>
          <w:color w:val="000000" w:themeColor="text1"/>
          <w:sz w:val="16"/>
          <w:szCs w:val="16"/>
        </w:rPr>
        <w:softHyphen/>
        <w:t>ми по 2-3 выстрела. Масса секундного залпа Як-9К достигла 5,53 кг (у Як-9 — 2,0 кг, у Як-9Т — 3,74 кг), а опыт боевых действий показал, что вполне хватало попадания и одного 45-мм снаряда, чтобы уничтожить любой самолет противника. Летные характеристики Як-9К и Як-9Т были близки (10712).</w:t>
      </w:r>
    </w:p>
    <w:p w14:paraId="4F5BFB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DCB1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ОКБ-153 предъявило на заводские испытания истребитель Як-9К с пушкой НС-45 калибра 45 мм с темпом стрельбы 250 выстрелов в минуту и пулеметом УБС, ставший модификацией Як-9Т. Стремление установить столь мощное орудие на самолет-истребитель привело к утончению стенок его ствола почти в два раза по сравнению с НС-37. Поскольку ствол пушки проходил через втулку воздушного винта, то для его центрирования пришлось установить шариковый подшипник. Другой особенностью НС-45 была высокая отдача, достигавшая почти 7 тонн. Чтобы избежать негативных последствий от воздействия столь сильных ударов на конструкцию фюзеляжа, орудие снабдили дульным тормозом, поглощавшим до 85 процентов энергии выстрела.</w:t>
      </w:r>
    </w:p>
    <w:p w14:paraId="2B8126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Питание пушки - непрерывное, ленточное, а ее боезапас не превышал 29 патронов. Для контроля расхода боеприпасов на приборной доске летчика установили соответствующий счетчик. Управление стрельбой из орудия НС-45 и его перезарядка - пневмо- электрическое.</w:t>
      </w:r>
    </w:p>
    <w:p w14:paraId="14AFC4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сравнению с Як-9Т, возрос запас бензина с 322 до 475 кг, размещавшийся в четырех крыльевых баках. При этом, отказались от расходного бачка, установив перекрыв- ной пожарный топливный кран. Были и другие доработки, связанные, видимо, с желанием сохранить полетный вес машины на уровне Як-9Т (12046).</w:t>
      </w:r>
    </w:p>
    <w:p w14:paraId="36167E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D6E7E" w14:textId="77777777" w:rsidR="00415F08" w:rsidRPr="00271E51" w:rsidRDefault="00415F0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конце 1943 г. ОКБ-153 предъявило на ис</w:t>
      </w:r>
      <w:r w:rsidRPr="00271E51">
        <w:rPr>
          <w:rFonts w:ascii="Times New Roman" w:cs="Times New Roman"/>
          <w:color w:val="000000" w:themeColor="text1"/>
          <w:spacing w:val="0"/>
        </w:rPr>
        <w:softHyphen/>
        <w:t>пытания Як-9К с 45-мм пушкой НС-45 с тем</w:t>
      </w:r>
      <w:r w:rsidRPr="00271E51">
        <w:rPr>
          <w:rFonts w:ascii="Times New Roman" w:cs="Times New Roman"/>
          <w:color w:val="000000" w:themeColor="text1"/>
          <w:spacing w:val="0"/>
        </w:rPr>
        <w:softHyphen/>
        <w:t>пом стрельбы 250 выстр./мин. и пулемётом УБС. Поскольку ствол, как у Як-9Т, проходил через выходной вал редуктора, его наружный диаметр пришлось существенно уменьшить. Это привело к утоньшению стенок ствола почти вдвое по сравнению с НС-37. Для его центрирования пришлось установить во втулке винта шариковый подшипник. Осо</w:t>
      </w:r>
      <w:r w:rsidRPr="00271E51">
        <w:rPr>
          <w:rFonts w:ascii="Times New Roman" w:cs="Times New Roman"/>
          <w:color w:val="000000" w:themeColor="text1"/>
          <w:spacing w:val="0"/>
        </w:rPr>
        <w:softHyphen/>
        <w:t>бенностью НС-45 являлась большая отда</w:t>
      </w:r>
      <w:r w:rsidRPr="00271E51">
        <w:rPr>
          <w:rFonts w:ascii="Times New Roman" w:cs="Times New Roman"/>
          <w:color w:val="000000" w:themeColor="text1"/>
          <w:spacing w:val="0"/>
        </w:rPr>
        <w:softHyphen/>
        <w:t>ча, достигавшая почти 7 т. Чтобы избежать негативных последствий от сильных ударов, орудие снабдили дульным тормозом, погло</w:t>
      </w:r>
      <w:r w:rsidRPr="00271E51">
        <w:rPr>
          <w:rFonts w:ascii="Times New Roman" w:cs="Times New Roman"/>
          <w:color w:val="000000" w:themeColor="text1"/>
          <w:spacing w:val="0"/>
        </w:rPr>
        <w:softHyphen/>
        <w:t>щавшим до 85% энергии выстрела.</w:t>
      </w:r>
    </w:p>
    <w:p w14:paraId="0AB4A81A" w14:textId="77777777" w:rsidR="00415F08" w:rsidRPr="00271E51" w:rsidRDefault="00415F0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Патроны подавались из разъёмной ленты; боезапас обеспечивал не более 29 выстре</w:t>
      </w:r>
      <w:r w:rsidRPr="00271E51">
        <w:rPr>
          <w:rFonts w:ascii="Times New Roman" w:cs="Times New Roman"/>
          <w:color w:val="000000" w:themeColor="text1"/>
          <w:spacing w:val="0"/>
        </w:rPr>
        <w:softHyphen/>
        <w:t>лов. Для контроля расхода боеприпасов на приборной доске установили счётчик. Управление стрельбой из НС-45 и переза</w:t>
      </w:r>
      <w:r w:rsidRPr="00271E51">
        <w:rPr>
          <w:rFonts w:ascii="Times New Roman" w:cs="Times New Roman"/>
          <w:color w:val="000000" w:themeColor="text1"/>
          <w:spacing w:val="0"/>
        </w:rPr>
        <w:softHyphen/>
        <w:t>рядка её были пневмоэлектрическими.</w:t>
      </w:r>
    </w:p>
    <w:p w14:paraId="4FA19621" w14:textId="77777777" w:rsidR="00415F08" w:rsidRPr="00271E51" w:rsidRDefault="00415F0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lastRenderedPageBreak/>
        <w:t>По сравнению с Як-9Т запас бензина уве</w:t>
      </w:r>
      <w:r w:rsidRPr="00271E51">
        <w:rPr>
          <w:rFonts w:ascii="Times New Roman" w:cs="Times New Roman"/>
          <w:color w:val="000000" w:themeColor="text1"/>
          <w:spacing w:val="0"/>
        </w:rPr>
        <w:softHyphen/>
        <w:t>личили с 322 до 475 кг. Он размещался в четырёх крыльевых баках. От расходного бачка отказались, установив перекрывной кран. Производились и другие доработки, связанные, видимо, с желанием сохранить полётный вес машины на уровне Як-9Т.</w:t>
      </w:r>
    </w:p>
    <w:p w14:paraId="05096208" w14:textId="77777777" w:rsidR="00415F08" w:rsidRPr="00271E51" w:rsidRDefault="00415F08"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Апрельским 1944 г. постановлением ГКО предписывалось перевооружить шесть дивизий на Як-9Т и одну - на Як-9К. Но в массовое производство самолёт не пошёл из-за недостаточной надёжности НС-45, хотя промышленность сдала заказчику 53 истребителя, большая часть которых про</w:t>
      </w:r>
      <w:r w:rsidRPr="00271E51">
        <w:rPr>
          <w:rFonts w:ascii="Times New Roman" w:cs="Times New Roman"/>
          <w:color w:val="000000" w:themeColor="text1"/>
          <w:spacing w:val="0"/>
        </w:rPr>
        <w:softHyphen/>
        <w:t>ходила войсковые испытания в 274-м иап 278-й иад и в 812-м иап 65-й иад (19103).</w:t>
      </w:r>
    </w:p>
    <w:p w14:paraId="540291EA" w14:textId="77777777" w:rsidR="00415F08" w:rsidRPr="00271E51" w:rsidRDefault="00415F08" w:rsidP="00271E51">
      <w:pPr>
        <w:spacing w:after="0" w:line="240" w:lineRule="auto"/>
        <w:jc w:val="both"/>
        <w:rPr>
          <w:rFonts w:ascii="Times New Roman" w:hAnsi="Times New Roman"/>
          <w:color w:val="000000" w:themeColor="text1"/>
          <w:sz w:val="16"/>
          <w:szCs w:val="16"/>
        </w:rPr>
      </w:pPr>
    </w:p>
    <w:p w14:paraId="01A4A3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появились два опытных истребителя, обозначенные Як-9У. Конструкторы фирмы «Як» стали про</w:t>
      </w:r>
      <w:r w:rsidRPr="00271E51">
        <w:rPr>
          <w:rFonts w:ascii="Times New Roman" w:hAnsi="Times New Roman"/>
          <w:color w:val="000000" w:themeColor="text1"/>
          <w:sz w:val="16"/>
          <w:szCs w:val="16"/>
        </w:rPr>
        <w:softHyphen/>
        <w:t>ектировать новый истребитель в двух ва</w:t>
      </w:r>
      <w:r w:rsidRPr="00271E51">
        <w:rPr>
          <w:rFonts w:ascii="Times New Roman" w:hAnsi="Times New Roman"/>
          <w:color w:val="000000" w:themeColor="text1"/>
          <w:sz w:val="16"/>
          <w:szCs w:val="16"/>
        </w:rPr>
        <w:softHyphen/>
        <w:t>риантах: первый с М-107А, а второй с М-105ПФ-2. Второе решение являлось паллиативным, поскольку М-105ПФ-2 был не намного мощнее М-105ПФ и не мог обеспечить желаемого улучшения летных данных, но зато он, представляя собой не</w:t>
      </w:r>
      <w:r w:rsidRPr="00271E51">
        <w:rPr>
          <w:rFonts w:ascii="Times New Roman" w:hAnsi="Times New Roman"/>
          <w:color w:val="000000" w:themeColor="text1"/>
          <w:sz w:val="16"/>
          <w:szCs w:val="16"/>
        </w:rPr>
        <w:softHyphen/>
        <w:t>большую модификацию М-105ПФ, избав</w:t>
      </w:r>
      <w:r w:rsidRPr="00271E51">
        <w:rPr>
          <w:rFonts w:ascii="Times New Roman" w:hAnsi="Times New Roman"/>
          <w:color w:val="000000" w:themeColor="text1"/>
          <w:sz w:val="16"/>
          <w:szCs w:val="16"/>
        </w:rPr>
        <w:softHyphen/>
        <w:t>лял от многих проблем, связанных с отра</w:t>
      </w:r>
      <w:r w:rsidRPr="00271E51">
        <w:rPr>
          <w:rFonts w:ascii="Times New Roman" w:hAnsi="Times New Roman"/>
          <w:color w:val="000000" w:themeColor="text1"/>
          <w:sz w:val="16"/>
          <w:szCs w:val="16"/>
        </w:rPr>
        <w:softHyphen/>
        <w:t>боткой на самолете совершенно нового мотора, и позволял испытать вновь соз</w:t>
      </w:r>
      <w:r w:rsidRPr="00271E51">
        <w:rPr>
          <w:rFonts w:ascii="Times New Roman" w:hAnsi="Times New Roman"/>
          <w:color w:val="000000" w:themeColor="text1"/>
          <w:sz w:val="16"/>
          <w:szCs w:val="16"/>
        </w:rPr>
        <w:softHyphen/>
        <w:t>данный истребитель и даже начать его се</w:t>
      </w:r>
      <w:r w:rsidRPr="00271E51">
        <w:rPr>
          <w:rFonts w:ascii="Times New Roman" w:hAnsi="Times New Roman"/>
          <w:color w:val="000000" w:themeColor="text1"/>
          <w:sz w:val="16"/>
          <w:szCs w:val="16"/>
        </w:rPr>
        <w:softHyphen/>
        <w:t>рийный выпуск в случае неудачи с М-107А. Помимо установки мотора другого ти</w:t>
      </w:r>
      <w:r w:rsidRPr="00271E51">
        <w:rPr>
          <w:rFonts w:ascii="Times New Roman" w:hAnsi="Times New Roman"/>
          <w:color w:val="000000" w:themeColor="text1"/>
          <w:sz w:val="16"/>
          <w:szCs w:val="16"/>
        </w:rPr>
        <w:softHyphen/>
        <w:t>па, конструкторы провели целый комплекс работ по усовершенствованию аэродина</w:t>
      </w:r>
      <w:r w:rsidRPr="00271E51">
        <w:rPr>
          <w:rFonts w:ascii="Times New Roman" w:hAnsi="Times New Roman"/>
          <w:color w:val="000000" w:themeColor="text1"/>
          <w:sz w:val="16"/>
          <w:szCs w:val="16"/>
        </w:rPr>
        <w:softHyphen/>
        <w:t>мики и конструкции базовой модели. В частности, маслорадиатор убрали из-под капота и установили его в центральной части крыла, полотняную обшивку хвосто</w:t>
      </w:r>
      <w:r w:rsidRPr="00271E51">
        <w:rPr>
          <w:rFonts w:ascii="Times New Roman" w:hAnsi="Times New Roman"/>
          <w:color w:val="000000" w:themeColor="text1"/>
          <w:sz w:val="16"/>
          <w:szCs w:val="16"/>
        </w:rPr>
        <w:softHyphen/>
        <w:t>вой части фюзеляжа заменили на фанер</w:t>
      </w:r>
      <w:r w:rsidRPr="00271E51">
        <w:rPr>
          <w:rFonts w:ascii="Times New Roman" w:hAnsi="Times New Roman"/>
          <w:color w:val="000000" w:themeColor="text1"/>
          <w:sz w:val="16"/>
          <w:szCs w:val="16"/>
        </w:rPr>
        <w:softHyphen/>
        <w:t>ную, улучшили герметизацию фюзеляжа и сделали множество других более мелких, но важных доработок. Вооружение обоих Як-9У состояло из центральной пушки (ка</w:t>
      </w:r>
      <w:r w:rsidRPr="00271E51">
        <w:rPr>
          <w:rFonts w:ascii="Times New Roman" w:hAnsi="Times New Roman"/>
          <w:color w:val="000000" w:themeColor="text1"/>
          <w:sz w:val="16"/>
          <w:szCs w:val="16"/>
        </w:rPr>
        <w:softHyphen/>
        <w:t>либром 23 мм на первом с М-105ПФ-2 и 20-мм на втором с М-107А) и двух син</w:t>
      </w:r>
      <w:r w:rsidRPr="00271E51">
        <w:rPr>
          <w:rFonts w:ascii="Times New Roman" w:hAnsi="Times New Roman"/>
          <w:color w:val="000000" w:themeColor="text1"/>
          <w:sz w:val="16"/>
          <w:szCs w:val="16"/>
        </w:rPr>
        <w:softHyphen/>
        <w:t>хронных 12,7-мм пулеметов. Испытания обоих самолетов велись поч</w:t>
      </w:r>
      <w:r w:rsidRPr="00271E51">
        <w:rPr>
          <w:rFonts w:ascii="Times New Roman" w:hAnsi="Times New Roman"/>
          <w:color w:val="000000" w:themeColor="text1"/>
          <w:sz w:val="16"/>
          <w:szCs w:val="16"/>
        </w:rPr>
        <w:softHyphen/>
        <w:t>ти одновременно. Военные однозначно от</w:t>
      </w:r>
      <w:r w:rsidRPr="00271E51">
        <w:rPr>
          <w:rFonts w:ascii="Times New Roman" w:hAnsi="Times New Roman"/>
          <w:color w:val="000000" w:themeColor="text1"/>
          <w:sz w:val="16"/>
          <w:szCs w:val="16"/>
        </w:rPr>
        <w:softHyphen/>
        <w:t>дали предпочтение Як-9У с ВК-107А (новое название М-107А). Они сочли его лучшим из всех советских и иностранных истребите</w:t>
      </w:r>
      <w:r w:rsidRPr="00271E51">
        <w:rPr>
          <w:rFonts w:ascii="Times New Roman" w:hAnsi="Times New Roman"/>
          <w:color w:val="000000" w:themeColor="text1"/>
          <w:sz w:val="16"/>
          <w:szCs w:val="16"/>
        </w:rPr>
        <w:softHyphen/>
        <w:t>лей, проходивших испытания в НИИ ВВС. Действительно, на Як-9У был достигнут та</w:t>
      </w:r>
      <w:r w:rsidRPr="00271E51">
        <w:rPr>
          <w:rFonts w:ascii="Times New Roman" w:hAnsi="Times New Roman"/>
          <w:color w:val="000000" w:themeColor="text1"/>
          <w:sz w:val="16"/>
          <w:szCs w:val="16"/>
        </w:rPr>
        <w:softHyphen/>
        <w:t>кой рывок в летных характеристиках, кото</w:t>
      </w:r>
      <w:r w:rsidRPr="00271E51">
        <w:rPr>
          <w:rFonts w:ascii="Times New Roman" w:hAnsi="Times New Roman"/>
          <w:color w:val="000000" w:themeColor="text1"/>
          <w:sz w:val="16"/>
          <w:szCs w:val="16"/>
        </w:rPr>
        <w:softHyphen/>
        <w:t>рый сразу вывел этот самолет в лидеры. Ко</w:t>
      </w:r>
      <w:r w:rsidRPr="00271E51">
        <w:rPr>
          <w:rFonts w:ascii="Times New Roman" w:hAnsi="Times New Roman"/>
          <w:color w:val="000000" w:themeColor="text1"/>
          <w:sz w:val="16"/>
          <w:szCs w:val="16"/>
        </w:rPr>
        <w:softHyphen/>
        <w:t>нечно, получить такой истребитель для ВВС было очень соблазнительно, и Як-9У с ВК-107А, несмотря на целый ряд выявлен</w:t>
      </w:r>
      <w:r w:rsidRPr="00271E51">
        <w:rPr>
          <w:rFonts w:ascii="Times New Roman" w:hAnsi="Times New Roman"/>
          <w:color w:val="000000" w:themeColor="text1"/>
          <w:sz w:val="16"/>
          <w:szCs w:val="16"/>
        </w:rPr>
        <w:softHyphen/>
        <w:t>ных крупных недостатков, касавшихся в ос</w:t>
      </w:r>
      <w:r w:rsidRPr="00271E51">
        <w:rPr>
          <w:rFonts w:ascii="Times New Roman" w:hAnsi="Times New Roman"/>
          <w:color w:val="000000" w:themeColor="text1"/>
          <w:sz w:val="16"/>
          <w:szCs w:val="16"/>
        </w:rPr>
        <w:softHyphen/>
        <w:t>новном мотора и системы охлаждения, был рекомендован в серию. Уже в апреле 1944 г. появились первые серийные машины (10712).</w:t>
      </w:r>
    </w:p>
    <w:p w14:paraId="240E7E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0D9C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гола начались заводские испытания унифицированного истребителя Як-9У с двигателем ВК-107А. Сравнение его с Як-1М "Дублер" с таким же вооружением показало, что время набора высоты 5000 метров у них одинаковое - 4,1 минуты, но меньше, чем у трехточечного Bfl09G-2 и FW190F-4, на 0,3 и 2,7 секунды соответственно. Отставал от "яка" на 0,7 секунды и Jla-7. Вираж на высоте 1000 метров Як-9 выполнял на 1,5 - 2,5 секунды, Bfl09G-2 - на 4-4,5 секунды и FW190F-4 - на 7 секунд (без применения крыльевых щитков) дольше. Правда, он имел преимущество перед Як-1М "Дублер" в боевом развороте, поднимаясь на 100 метров выше, но Bfl09G-2 и FW190F-4 отставали на 50-200 метров и 550 метров соответственно. А вот в дальности на наивыгоднейшем режиме Як-IM "Дублер" проигрывал: Як-9У почти на 70 км, Ла-7 - на 5 км, FW190F-4 - на 168 км. </w:t>
      </w:r>
    </w:p>
    <w:p w14:paraId="344B74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данные семейства истребителей Як-1М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907A5" w:rsidRPr="00271E51" w14:paraId="466BEC9F" w14:textId="77777777" w:rsidTr="00ED5B0A">
        <w:tc>
          <w:tcPr>
            <w:tcW w:w="1601" w:type="dxa"/>
            <w:tcBorders>
              <w:top w:val="single" w:sz="12" w:space="0" w:color="auto"/>
            </w:tcBorders>
          </w:tcPr>
          <w:p w14:paraId="4DC32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w:t>
            </w:r>
          </w:p>
        </w:tc>
        <w:tc>
          <w:tcPr>
            <w:tcW w:w="1601" w:type="dxa"/>
            <w:tcBorders>
              <w:top w:val="single" w:sz="12" w:space="0" w:color="auto"/>
            </w:tcBorders>
          </w:tcPr>
          <w:p w14:paraId="537CC4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Як-1 №2985, октябрь 1942 г.</w:t>
            </w:r>
          </w:p>
        </w:tc>
        <w:tc>
          <w:tcPr>
            <w:tcW w:w="1601" w:type="dxa"/>
            <w:tcBorders>
              <w:top w:val="single" w:sz="12" w:space="0" w:color="auto"/>
            </w:tcBorders>
          </w:tcPr>
          <w:p w14:paraId="747C4F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Як-IM</w:t>
            </w:r>
          </w:p>
        </w:tc>
        <w:tc>
          <w:tcPr>
            <w:tcW w:w="1601" w:type="dxa"/>
            <w:tcBorders>
              <w:top w:val="single" w:sz="12" w:space="0" w:color="auto"/>
            </w:tcBorders>
          </w:tcPr>
          <w:p w14:paraId="600389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Як-IM "Дублер"</w:t>
            </w:r>
          </w:p>
        </w:tc>
        <w:tc>
          <w:tcPr>
            <w:tcW w:w="1601" w:type="dxa"/>
            <w:tcBorders>
              <w:top w:val="single" w:sz="12" w:space="0" w:color="auto"/>
            </w:tcBorders>
          </w:tcPr>
          <w:p w14:paraId="02D1A5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Ла-5ФН "Дублер", май 1943 г.</w:t>
            </w:r>
          </w:p>
        </w:tc>
        <w:tc>
          <w:tcPr>
            <w:tcW w:w="1601" w:type="dxa"/>
            <w:tcBorders>
              <w:top w:val="single" w:sz="12" w:space="0" w:color="auto"/>
            </w:tcBorders>
          </w:tcPr>
          <w:p w14:paraId="3FCD8D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Bfl09G-2, май 1943 г.</w:t>
            </w:r>
          </w:p>
        </w:tc>
        <w:tc>
          <w:tcPr>
            <w:tcW w:w="1601" w:type="dxa"/>
            <w:tcBorders>
              <w:top w:val="single" w:sz="12" w:space="0" w:color="auto"/>
            </w:tcBorders>
          </w:tcPr>
          <w:p w14:paraId="4BBA55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FW190F-4, июнь 1943 г.</w:t>
            </w:r>
          </w:p>
        </w:tc>
      </w:tr>
      <w:tr w:rsidR="00A907A5" w:rsidRPr="00271E51" w14:paraId="19290A06" w14:textId="77777777" w:rsidTr="00ED5B0A">
        <w:tc>
          <w:tcPr>
            <w:tcW w:w="1601" w:type="dxa"/>
          </w:tcPr>
          <w:p w14:paraId="356168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Двигатель</w:t>
            </w:r>
          </w:p>
        </w:tc>
        <w:tc>
          <w:tcPr>
            <w:tcW w:w="1601" w:type="dxa"/>
          </w:tcPr>
          <w:p w14:paraId="74E66D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 Наддув 1050 мм рт.ст.</w:t>
            </w:r>
          </w:p>
        </w:tc>
        <w:tc>
          <w:tcPr>
            <w:tcW w:w="1601" w:type="dxa"/>
          </w:tcPr>
          <w:p w14:paraId="46F34C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 Наддув 1050 мм рт.ст.</w:t>
            </w:r>
          </w:p>
        </w:tc>
        <w:tc>
          <w:tcPr>
            <w:tcW w:w="1601" w:type="dxa"/>
          </w:tcPr>
          <w:p w14:paraId="7ED8A7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 Наддув 1100 мм рт.ст.</w:t>
            </w:r>
          </w:p>
        </w:tc>
        <w:tc>
          <w:tcPr>
            <w:tcW w:w="1601" w:type="dxa"/>
          </w:tcPr>
          <w:p w14:paraId="58AE3F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АШ-82ФН</w:t>
            </w:r>
          </w:p>
        </w:tc>
        <w:tc>
          <w:tcPr>
            <w:tcW w:w="1601" w:type="dxa"/>
          </w:tcPr>
          <w:p w14:paraId="2FB9AD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DB-605A-1</w:t>
            </w:r>
          </w:p>
        </w:tc>
        <w:tc>
          <w:tcPr>
            <w:tcW w:w="1601" w:type="dxa"/>
          </w:tcPr>
          <w:p w14:paraId="013995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BMW-801</w:t>
            </w:r>
          </w:p>
        </w:tc>
      </w:tr>
      <w:tr w:rsidR="00A907A5" w:rsidRPr="00271E51" w14:paraId="1AC4FC8D" w14:textId="77777777" w:rsidTr="00ED5B0A">
        <w:tc>
          <w:tcPr>
            <w:tcW w:w="1601" w:type="dxa"/>
          </w:tcPr>
          <w:p w14:paraId="567236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w:t>
            </w:r>
          </w:p>
        </w:tc>
        <w:tc>
          <w:tcPr>
            <w:tcW w:w="1601" w:type="dxa"/>
          </w:tcPr>
          <w:p w14:paraId="769B62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ВИШ-61П</w:t>
            </w:r>
          </w:p>
        </w:tc>
        <w:tc>
          <w:tcPr>
            <w:tcW w:w="1601" w:type="dxa"/>
          </w:tcPr>
          <w:p w14:paraId="421A49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ВИШ-61П</w:t>
            </w:r>
          </w:p>
        </w:tc>
        <w:tc>
          <w:tcPr>
            <w:tcW w:w="1601" w:type="dxa"/>
          </w:tcPr>
          <w:p w14:paraId="058B55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ВИШ- 105СВ-01</w:t>
            </w:r>
          </w:p>
        </w:tc>
        <w:tc>
          <w:tcPr>
            <w:tcW w:w="1601" w:type="dxa"/>
          </w:tcPr>
          <w:p w14:paraId="4D66EB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ВИШ-105В</w:t>
            </w:r>
          </w:p>
        </w:tc>
        <w:tc>
          <w:tcPr>
            <w:tcW w:w="1601" w:type="dxa"/>
          </w:tcPr>
          <w:p w14:paraId="006420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1C343A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VDM</w:t>
            </w:r>
          </w:p>
        </w:tc>
      </w:tr>
      <w:tr w:rsidR="00A907A5" w:rsidRPr="00271E51" w14:paraId="0396B530" w14:textId="77777777" w:rsidTr="00ED5B0A">
        <w:tc>
          <w:tcPr>
            <w:tcW w:w="1601" w:type="dxa"/>
          </w:tcPr>
          <w:p w14:paraId="121971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1601" w:type="dxa"/>
          </w:tcPr>
          <w:p w14:paraId="752087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601" w:type="dxa"/>
          </w:tcPr>
          <w:p w14:paraId="7C08DE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w:t>
            </w:r>
          </w:p>
        </w:tc>
        <w:tc>
          <w:tcPr>
            <w:tcW w:w="1601" w:type="dxa"/>
          </w:tcPr>
          <w:p w14:paraId="7B3AD4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w:t>
            </w:r>
          </w:p>
        </w:tc>
        <w:tc>
          <w:tcPr>
            <w:tcW w:w="1601" w:type="dxa"/>
          </w:tcPr>
          <w:p w14:paraId="1AEFE1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tc>
        <w:tc>
          <w:tcPr>
            <w:tcW w:w="1601" w:type="dxa"/>
          </w:tcPr>
          <w:p w14:paraId="7F9F16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10,52</w:t>
            </w:r>
          </w:p>
        </w:tc>
        <w:tc>
          <w:tcPr>
            <w:tcW w:w="1601" w:type="dxa"/>
          </w:tcPr>
          <w:p w14:paraId="153A95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F4FEFD" w14:textId="77777777" w:rsidTr="00ED5B0A">
        <w:tc>
          <w:tcPr>
            <w:tcW w:w="1601" w:type="dxa"/>
          </w:tcPr>
          <w:p w14:paraId="47B1B1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1601" w:type="dxa"/>
          </w:tcPr>
          <w:p w14:paraId="06E8E0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8,48</w:t>
            </w:r>
          </w:p>
        </w:tc>
        <w:tc>
          <w:tcPr>
            <w:tcW w:w="1601" w:type="dxa"/>
          </w:tcPr>
          <w:p w14:paraId="2EEC09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8,462</w:t>
            </w:r>
          </w:p>
        </w:tc>
        <w:tc>
          <w:tcPr>
            <w:tcW w:w="1601" w:type="dxa"/>
          </w:tcPr>
          <w:p w14:paraId="302597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8,31</w:t>
            </w:r>
          </w:p>
        </w:tc>
        <w:tc>
          <w:tcPr>
            <w:tcW w:w="1601" w:type="dxa"/>
          </w:tcPr>
          <w:p w14:paraId="2D3CF1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8,61</w:t>
            </w:r>
          </w:p>
        </w:tc>
        <w:tc>
          <w:tcPr>
            <w:tcW w:w="1601" w:type="dxa"/>
          </w:tcPr>
          <w:p w14:paraId="1607DD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C9B3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983E79" w14:textId="77777777" w:rsidTr="00ED5B0A">
        <w:tc>
          <w:tcPr>
            <w:tcW w:w="1601" w:type="dxa"/>
          </w:tcPr>
          <w:p w14:paraId="4BE718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м2</w:t>
            </w:r>
          </w:p>
        </w:tc>
        <w:tc>
          <w:tcPr>
            <w:tcW w:w="1601" w:type="dxa"/>
          </w:tcPr>
          <w:p w14:paraId="7B92E3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17,15</w:t>
            </w:r>
          </w:p>
        </w:tc>
        <w:tc>
          <w:tcPr>
            <w:tcW w:w="1601" w:type="dxa"/>
          </w:tcPr>
          <w:p w14:paraId="4D36F5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14,85</w:t>
            </w:r>
          </w:p>
        </w:tc>
        <w:tc>
          <w:tcPr>
            <w:tcW w:w="1601" w:type="dxa"/>
          </w:tcPr>
          <w:p w14:paraId="507E43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tc>
        <w:tc>
          <w:tcPr>
            <w:tcW w:w="1601" w:type="dxa"/>
          </w:tcPr>
          <w:p w14:paraId="16E033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16,3</w:t>
            </w:r>
          </w:p>
        </w:tc>
        <w:tc>
          <w:tcPr>
            <w:tcW w:w="1601" w:type="dxa"/>
          </w:tcPr>
          <w:p w14:paraId="3234E6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18,61</w:t>
            </w:r>
          </w:p>
        </w:tc>
        <w:tc>
          <w:tcPr>
            <w:tcW w:w="1601" w:type="dxa"/>
          </w:tcPr>
          <w:p w14:paraId="328A59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9468DEE" w14:textId="77777777" w:rsidTr="00ED5B0A">
        <w:tc>
          <w:tcPr>
            <w:tcW w:w="1601" w:type="dxa"/>
          </w:tcPr>
          <w:p w14:paraId="6BA159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Взлетный вес, кг</w:t>
            </w:r>
          </w:p>
        </w:tc>
        <w:tc>
          <w:tcPr>
            <w:tcW w:w="1601" w:type="dxa"/>
          </w:tcPr>
          <w:p w14:paraId="27F5A6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2900</w:t>
            </w:r>
          </w:p>
        </w:tc>
        <w:tc>
          <w:tcPr>
            <w:tcW w:w="1601" w:type="dxa"/>
          </w:tcPr>
          <w:p w14:paraId="15F6FE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2655</w:t>
            </w:r>
          </w:p>
        </w:tc>
        <w:tc>
          <w:tcPr>
            <w:tcW w:w="1601" w:type="dxa"/>
          </w:tcPr>
          <w:p w14:paraId="3F8973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2660</w:t>
            </w:r>
          </w:p>
        </w:tc>
        <w:tc>
          <w:tcPr>
            <w:tcW w:w="1601" w:type="dxa"/>
          </w:tcPr>
          <w:p w14:paraId="1726B2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3168</w:t>
            </w:r>
          </w:p>
        </w:tc>
        <w:tc>
          <w:tcPr>
            <w:tcW w:w="1601" w:type="dxa"/>
          </w:tcPr>
          <w:p w14:paraId="428D25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3023</w:t>
            </w:r>
          </w:p>
        </w:tc>
        <w:tc>
          <w:tcPr>
            <w:tcW w:w="1601" w:type="dxa"/>
          </w:tcPr>
          <w:p w14:paraId="3BE5C8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3989</w:t>
            </w:r>
          </w:p>
        </w:tc>
      </w:tr>
      <w:tr w:rsidR="00A907A5" w:rsidRPr="00271E51" w14:paraId="0E66EA5A" w14:textId="77777777" w:rsidTr="00ED5B0A">
        <w:tc>
          <w:tcPr>
            <w:tcW w:w="1601" w:type="dxa"/>
          </w:tcPr>
          <w:p w14:paraId="22BFD4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кг</w:t>
            </w:r>
          </w:p>
        </w:tc>
        <w:tc>
          <w:tcPr>
            <w:tcW w:w="1601" w:type="dxa"/>
          </w:tcPr>
          <w:p w14:paraId="343D9D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2415</w:t>
            </w:r>
          </w:p>
        </w:tc>
        <w:tc>
          <w:tcPr>
            <w:tcW w:w="1601" w:type="dxa"/>
          </w:tcPr>
          <w:p w14:paraId="3AC279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2133</w:t>
            </w:r>
          </w:p>
        </w:tc>
        <w:tc>
          <w:tcPr>
            <w:tcW w:w="1601" w:type="dxa"/>
          </w:tcPr>
          <w:p w14:paraId="51C55E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2105</w:t>
            </w:r>
          </w:p>
        </w:tc>
        <w:tc>
          <w:tcPr>
            <w:tcW w:w="1601" w:type="dxa"/>
          </w:tcPr>
          <w:p w14:paraId="1BB594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2490</w:t>
            </w:r>
          </w:p>
        </w:tc>
        <w:tc>
          <w:tcPr>
            <w:tcW w:w="1601" w:type="dxa"/>
          </w:tcPr>
          <w:p w14:paraId="201592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2428</w:t>
            </w:r>
          </w:p>
        </w:tc>
        <w:tc>
          <w:tcPr>
            <w:tcW w:w="1601" w:type="dxa"/>
          </w:tcPr>
          <w:p w14:paraId="769006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3273</w:t>
            </w:r>
          </w:p>
        </w:tc>
      </w:tr>
      <w:tr w:rsidR="00A907A5" w:rsidRPr="00271E51" w14:paraId="6D5BBC5D" w14:textId="77777777" w:rsidTr="00ED5B0A">
        <w:tc>
          <w:tcPr>
            <w:tcW w:w="1601" w:type="dxa"/>
          </w:tcPr>
          <w:p w14:paraId="1D3924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топлива, кг</w:t>
            </w:r>
          </w:p>
        </w:tc>
        <w:tc>
          <w:tcPr>
            <w:tcW w:w="1601" w:type="dxa"/>
          </w:tcPr>
          <w:p w14:paraId="344CAA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c>
          <w:tcPr>
            <w:tcW w:w="1601" w:type="dxa"/>
          </w:tcPr>
          <w:p w14:paraId="7C32A0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w:t>
            </w:r>
          </w:p>
        </w:tc>
        <w:tc>
          <w:tcPr>
            <w:tcW w:w="1601" w:type="dxa"/>
          </w:tcPr>
          <w:p w14:paraId="3D4A72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2752)</w:t>
            </w:r>
          </w:p>
        </w:tc>
        <w:tc>
          <w:tcPr>
            <w:tcW w:w="1601" w:type="dxa"/>
          </w:tcPr>
          <w:p w14:paraId="6C21E7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341</w:t>
            </w:r>
          </w:p>
        </w:tc>
        <w:tc>
          <w:tcPr>
            <w:tcW w:w="1601" w:type="dxa"/>
          </w:tcPr>
          <w:p w14:paraId="6BC1B8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tc>
        <w:tc>
          <w:tcPr>
            <w:tcW w:w="1601" w:type="dxa"/>
          </w:tcPr>
          <w:p w14:paraId="01C493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w:t>
            </w:r>
          </w:p>
        </w:tc>
      </w:tr>
      <w:tr w:rsidR="00A907A5" w:rsidRPr="00271E51" w14:paraId="09956939" w14:textId="77777777" w:rsidTr="00ED5B0A">
        <w:tc>
          <w:tcPr>
            <w:tcW w:w="1601" w:type="dxa"/>
          </w:tcPr>
          <w:p w14:paraId="735629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Удельная нагрузка на крыло, кг/м2</w:t>
            </w:r>
          </w:p>
        </w:tc>
        <w:tc>
          <w:tcPr>
            <w:tcW w:w="1601" w:type="dxa"/>
          </w:tcPr>
          <w:p w14:paraId="4B7C8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028EC8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178,8</w:t>
            </w:r>
          </w:p>
        </w:tc>
        <w:tc>
          <w:tcPr>
            <w:tcW w:w="1601" w:type="dxa"/>
          </w:tcPr>
          <w:p w14:paraId="3AC153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w:t>
            </w:r>
          </w:p>
        </w:tc>
        <w:tc>
          <w:tcPr>
            <w:tcW w:w="1601" w:type="dxa"/>
          </w:tcPr>
          <w:p w14:paraId="25A380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w:t>
            </w:r>
          </w:p>
        </w:tc>
        <w:tc>
          <w:tcPr>
            <w:tcW w:w="1601" w:type="dxa"/>
          </w:tcPr>
          <w:p w14:paraId="0C8DBB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w:t>
            </w:r>
          </w:p>
        </w:tc>
        <w:tc>
          <w:tcPr>
            <w:tcW w:w="1601" w:type="dxa"/>
          </w:tcPr>
          <w:p w14:paraId="345A5C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w:t>
            </w:r>
          </w:p>
        </w:tc>
      </w:tr>
      <w:tr w:rsidR="00A907A5" w:rsidRPr="00271E51" w14:paraId="1CBD05DA" w14:textId="77777777" w:rsidTr="00ED5B0A">
        <w:tc>
          <w:tcPr>
            <w:tcW w:w="1601" w:type="dxa"/>
          </w:tcPr>
          <w:p w14:paraId="43F26D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макс., км/ч у земли на высоте, км</w:t>
            </w:r>
          </w:p>
        </w:tc>
        <w:tc>
          <w:tcPr>
            <w:tcW w:w="1601" w:type="dxa"/>
          </w:tcPr>
          <w:p w14:paraId="466361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508 570/3750</w:t>
            </w:r>
          </w:p>
        </w:tc>
        <w:tc>
          <w:tcPr>
            <w:tcW w:w="1601" w:type="dxa"/>
          </w:tcPr>
          <w:p w14:paraId="6DAA9E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545 632/4,45</w:t>
            </w:r>
          </w:p>
        </w:tc>
        <w:tc>
          <w:tcPr>
            <w:tcW w:w="1601" w:type="dxa"/>
          </w:tcPr>
          <w:p w14:paraId="45926F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570 651/4,3</w:t>
            </w:r>
          </w:p>
        </w:tc>
        <w:tc>
          <w:tcPr>
            <w:tcW w:w="1601" w:type="dxa"/>
          </w:tcPr>
          <w:p w14:paraId="1DD421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595 648/6,3</w:t>
            </w:r>
          </w:p>
        </w:tc>
        <w:tc>
          <w:tcPr>
            <w:tcW w:w="1601" w:type="dxa"/>
          </w:tcPr>
          <w:p w14:paraId="6E137F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524 666/7</w:t>
            </w:r>
          </w:p>
        </w:tc>
        <w:tc>
          <w:tcPr>
            <w:tcW w:w="1601" w:type="dxa"/>
          </w:tcPr>
          <w:p w14:paraId="7D0AA7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510 610/6</w:t>
            </w:r>
          </w:p>
        </w:tc>
      </w:tr>
      <w:tr w:rsidR="00A907A5" w:rsidRPr="00271E51" w14:paraId="2DDC57BA" w14:textId="77777777" w:rsidTr="00ED5B0A">
        <w:tc>
          <w:tcPr>
            <w:tcW w:w="1601" w:type="dxa"/>
          </w:tcPr>
          <w:p w14:paraId="1A964A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набора высоты 5000 м, мин.</w:t>
            </w:r>
          </w:p>
        </w:tc>
        <w:tc>
          <w:tcPr>
            <w:tcW w:w="1601" w:type="dxa"/>
          </w:tcPr>
          <w:p w14:paraId="12A93D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1601" w:type="dxa"/>
          </w:tcPr>
          <w:p w14:paraId="01A464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601" w:type="dxa"/>
          </w:tcPr>
          <w:p w14:paraId="1AA571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601" w:type="dxa"/>
          </w:tcPr>
          <w:p w14:paraId="58093E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1601" w:type="dxa"/>
          </w:tcPr>
          <w:p w14:paraId="75B8F7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w:t>
            </w:r>
          </w:p>
        </w:tc>
        <w:tc>
          <w:tcPr>
            <w:tcW w:w="1601" w:type="dxa"/>
          </w:tcPr>
          <w:p w14:paraId="540062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w:t>
            </w:r>
          </w:p>
        </w:tc>
      </w:tr>
      <w:tr w:rsidR="00A907A5" w:rsidRPr="00271E51" w14:paraId="5C8E65C4" w14:textId="77777777" w:rsidTr="00ED5B0A">
        <w:tc>
          <w:tcPr>
            <w:tcW w:w="1601" w:type="dxa"/>
          </w:tcPr>
          <w:p w14:paraId="791E4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Практический потолок, м</w:t>
            </w:r>
          </w:p>
        </w:tc>
        <w:tc>
          <w:tcPr>
            <w:tcW w:w="1601" w:type="dxa"/>
          </w:tcPr>
          <w:p w14:paraId="196E4A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373783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10 800</w:t>
            </w:r>
          </w:p>
        </w:tc>
        <w:tc>
          <w:tcPr>
            <w:tcW w:w="1601" w:type="dxa"/>
          </w:tcPr>
          <w:p w14:paraId="67BC52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10 300</w:t>
            </w:r>
          </w:p>
        </w:tc>
        <w:tc>
          <w:tcPr>
            <w:tcW w:w="1601" w:type="dxa"/>
          </w:tcPr>
          <w:p w14:paraId="3EB183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11 200</w:t>
            </w:r>
          </w:p>
        </w:tc>
        <w:tc>
          <w:tcPr>
            <w:tcW w:w="1601" w:type="dxa"/>
          </w:tcPr>
          <w:p w14:paraId="3AFF15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900</w:t>
            </w:r>
          </w:p>
        </w:tc>
        <w:tc>
          <w:tcPr>
            <w:tcW w:w="1601" w:type="dxa"/>
          </w:tcPr>
          <w:p w14:paraId="66E790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10 500</w:t>
            </w:r>
          </w:p>
        </w:tc>
      </w:tr>
      <w:tr w:rsidR="00A907A5" w:rsidRPr="00271E51" w14:paraId="641D3B8A" w14:textId="77777777" w:rsidTr="00ED5B0A">
        <w:tc>
          <w:tcPr>
            <w:tcW w:w="1601" w:type="dxa"/>
          </w:tcPr>
          <w:p w14:paraId="5DE2F3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виража на высоте 1000 м, с</w:t>
            </w:r>
          </w:p>
        </w:tc>
        <w:tc>
          <w:tcPr>
            <w:tcW w:w="1601" w:type="dxa"/>
          </w:tcPr>
          <w:p w14:paraId="66A969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0C326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16-17</w:t>
            </w:r>
          </w:p>
        </w:tc>
        <w:tc>
          <w:tcPr>
            <w:tcW w:w="1601" w:type="dxa"/>
          </w:tcPr>
          <w:p w14:paraId="03AD7F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16-17</w:t>
            </w:r>
          </w:p>
        </w:tc>
        <w:tc>
          <w:tcPr>
            <w:tcW w:w="1601" w:type="dxa"/>
          </w:tcPr>
          <w:p w14:paraId="320B7D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c>
          <w:tcPr>
            <w:tcW w:w="1601" w:type="dxa"/>
          </w:tcPr>
          <w:p w14:paraId="7DEA29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20-21,5</w:t>
            </w:r>
          </w:p>
        </w:tc>
        <w:tc>
          <w:tcPr>
            <w:tcW w:w="1601" w:type="dxa"/>
          </w:tcPr>
          <w:p w14:paraId="1B3BE7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22-23</w:t>
            </w:r>
          </w:p>
        </w:tc>
      </w:tr>
      <w:tr w:rsidR="00A907A5" w:rsidRPr="00271E51" w14:paraId="4E6ABB25" w14:textId="77777777" w:rsidTr="00ED5B0A">
        <w:tc>
          <w:tcPr>
            <w:tcW w:w="1601" w:type="dxa"/>
          </w:tcPr>
          <w:p w14:paraId="508203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Набор высоты при боевом развороте с 1000 м, м</w:t>
            </w:r>
          </w:p>
        </w:tc>
        <w:tc>
          <w:tcPr>
            <w:tcW w:w="1601" w:type="dxa"/>
          </w:tcPr>
          <w:p w14:paraId="26C6CA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335E8B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1250-1300</w:t>
            </w:r>
          </w:p>
        </w:tc>
        <w:tc>
          <w:tcPr>
            <w:tcW w:w="1601" w:type="dxa"/>
          </w:tcPr>
          <w:p w14:paraId="4D1447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1250-1300</w:t>
            </w:r>
          </w:p>
        </w:tc>
        <w:tc>
          <w:tcPr>
            <w:tcW w:w="1601" w:type="dxa"/>
          </w:tcPr>
          <w:p w14:paraId="1E17EE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1601" w:type="dxa"/>
          </w:tcPr>
          <w:p w14:paraId="173395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1601" w:type="dxa"/>
          </w:tcPr>
          <w:p w14:paraId="30EB50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700-750</w:t>
            </w:r>
          </w:p>
        </w:tc>
      </w:tr>
      <w:tr w:rsidR="00A907A5" w:rsidRPr="00271E51" w14:paraId="4C3D4DF4" w14:textId="77777777" w:rsidTr="00ED5B0A">
        <w:tc>
          <w:tcPr>
            <w:tcW w:w="1601" w:type="dxa"/>
          </w:tcPr>
          <w:p w14:paraId="6F9A4B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макс, км</w:t>
            </w:r>
          </w:p>
        </w:tc>
        <w:tc>
          <w:tcPr>
            <w:tcW w:w="1601" w:type="dxa"/>
          </w:tcPr>
          <w:p w14:paraId="0D558E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265050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815</w:t>
            </w:r>
          </w:p>
        </w:tc>
        <w:tc>
          <w:tcPr>
            <w:tcW w:w="1601" w:type="dxa"/>
          </w:tcPr>
          <w:p w14:paraId="721BF9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815</w:t>
            </w:r>
          </w:p>
        </w:tc>
        <w:tc>
          <w:tcPr>
            <w:tcW w:w="1601" w:type="dxa"/>
          </w:tcPr>
          <w:p w14:paraId="3641BF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765</w:t>
            </w:r>
          </w:p>
        </w:tc>
        <w:tc>
          <w:tcPr>
            <w:tcW w:w="1601" w:type="dxa"/>
          </w:tcPr>
          <w:p w14:paraId="136D1D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784</w:t>
            </w:r>
          </w:p>
        </w:tc>
        <w:tc>
          <w:tcPr>
            <w:tcW w:w="1601" w:type="dxa"/>
          </w:tcPr>
          <w:p w14:paraId="5C1928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983</w:t>
            </w:r>
          </w:p>
        </w:tc>
      </w:tr>
      <w:tr w:rsidR="00A907A5" w:rsidRPr="00271E51" w14:paraId="4032AAE1" w14:textId="77777777" w:rsidTr="00ED5B0A">
        <w:tc>
          <w:tcPr>
            <w:tcW w:w="1601" w:type="dxa"/>
          </w:tcPr>
          <w:p w14:paraId="66E45B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Разбег/пробег, м</w:t>
            </w:r>
          </w:p>
        </w:tc>
        <w:tc>
          <w:tcPr>
            <w:tcW w:w="1601" w:type="dxa"/>
          </w:tcPr>
          <w:p w14:paraId="618FE5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686261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275/485</w:t>
            </w:r>
          </w:p>
        </w:tc>
        <w:tc>
          <w:tcPr>
            <w:tcW w:w="1601" w:type="dxa"/>
          </w:tcPr>
          <w:p w14:paraId="213E1E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67344F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5CE9E5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01" w:type="dxa"/>
          </w:tcPr>
          <w:p w14:paraId="1405DE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057A558" w14:textId="77777777" w:rsidTr="00ED5B0A">
        <w:tc>
          <w:tcPr>
            <w:tcW w:w="1601" w:type="dxa"/>
            <w:tcBorders>
              <w:bottom w:val="single" w:sz="12" w:space="0" w:color="auto"/>
            </w:tcBorders>
          </w:tcPr>
          <w:p w14:paraId="72D244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 количество х калибр, мм</w:t>
            </w:r>
          </w:p>
        </w:tc>
        <w:tc>
          <w:tcPr>
            <w:tcW w:w="1601" w:type="dxa"/>
            <w:tcBorders>
              <w:bottom w:val="single" w:sz="12" w:space="0" w:color="auto"/>
            </w:tcBorders>
          </w:tcPr>
          <w:p w14:paraId="07A6DF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1x12,7</w:t>
            </w:r>
          </w:p>
        </w:tc>
        <w:tc>
          <w:tcPr>
            <w:tcW w:w="1601" w:type="dxa"/>
            <w:tcBorders>
              <w:bottom w:val="single" w:sz="12" w:space="0" w:color="auto"/>
            </w:tcBorders>
          </w:tcPr>
          <w:p w14:paraId="27E8F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2x12,7</w:t>
            </w:r>
          </w:p>
        </w:tc>
        <w:tc>
          <w:tcPr>
            <w:tcW w:w="1601" w:type="dxa"/>
            <w:tcBorders>
              <w:bottom w:val="single" w:sz="12" w:space="0" w:color="auto"/>
            </w:tcBorders>
          </w:tcPr>
          <w:p w14:paraId="2ED9A5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2x12,7</w:t>
            </w:r>
          </w:p>
        </w:tc>
        <w:tc>
          <w:tcPr>
            <w:tcW w:w="1601" w:type="dxa"/>
            <w:tcBorders>
              <w:bottom w:val="single" w:sz="12" w:space="0" w:color="auto"/>
            </w:tcBorders>
          </w:tcPr>
          <w:p w14:paraId="6EABC4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2x20</w:t>
            </w:r>
          </w:p>
        </w:tc>
        <w:tc>
          <w:tcPr>
            <w:tcW w:w="1601" w:type="dxa"/>
            <w:tcBorders>
              <w:bottom w:val="single" w:sz="12" w:space="0" w:color="auto"/>
            </w:tcBorders>
          </w:tcPr>
          <w:p w14:paraId="4EA6D8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1x20 2x7,92</w:t>
            </w:r>
          </w:p>
        </w:tc>
        <w:tc>
          <w:tcPr>
            <w:tcW w:w="1601" w:type="dxa"/>
            <w:tcBorders>
              <w:bottom w:val="single" w:sz="12" w:space="0" w:color="auto"/>
            </w:tcBorders>
          </w:tcPr>
          <w:p w14:paraId="71D26A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4x20 2x7,92</w:t>
            </w:r>
          </w:p>
        </w:tc>
      </w:tr>
    </w:tbl>
    <w:p w14:paraId="2D6EF2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Говоря о немецких самолетах, следует отметить, что в НИИ ВВС проходили, как правило, далеко не новые машины, с частично выработанным ресурсом двигателей. Если, например, внести трехпроцентные поправки на скорость, то получится, что новый BH09G-2 с более слабым вооружением по скороподъемности и дальности должен не отставать от Як-1М "Дублер", но на вираже "немец" все же был слабоват. У земли Як-1 М летал быстрее, но на высоте он отставал от Bfl09G-2.</w:t>
      </w:r>
    </w:p>
    <w:p w14:paraId="1456B7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Что касается FW190F-4, то преимущество, за исключением дальности, было полностью на стороне отечественного истребителя (12047).</w:t>
      </w:r>
    </w:p>
    <w:p w14:paraId="5DC4F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3C2E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r w:rsidRPr="00271E51">
        <w:rPr>
          <w:rFonts w:ascii="Times New Roman" w:hAnsi="Times New Roman" w:cs="Times New Roman"/>
          <w:color w:val="000000" w:themeColor="text1"/>
          <w:sz w:val="16"/>
          <w:szCs w:val="16"/>
        </w:rPr>
        <w:t>К концу 1943 года в Советский Союз прибыли 28 самолетов «Харрикейн» 1Ю, а в начале следующего - еще 20 ма</w:t>
      </w:r>
      <w:r w:rsidRPr="00271E51">
        <w:rPr>
          <w:rFonts w:ascii="Times New Roman" w:hAnsi="Times New Roman" w:cs="Times New Roman"/>
          <w:color w:val="000000" w:themeColor="text1"/>
          <w:sz w:val="16"/>
          <w:szCs w:val="16"/>
        </w:rPr>
        <w:softHyphen/>
        <w:t>шин этого типа и несколько десятков «Харрикейнов» IV со сменным составом вооружения, включавшим пушки калибра 40 мм по типу варианта Мк.1Ю.</w:t>
      </w:r>
    </w:p>
    <w:p w14:paraId="21DA215E" w14:textId="77777777" w:rsidR="00FC04C9" w:rsidRPr="00271E51" w:rsidRDefault="00FC04C9" w:rsidP="00271E5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83EE51F" w14:textId="77777777" w:rsidR="0045114F" w:rsidRPr="00271E51" w:rsidRDefault="0045114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К концу 1943 года в Советский Союз прибыли 28 самолетов «Харрикейн» </w:t>
      </w:r>
      <w:r w:rsidRPr="00271E51">
        <w:rPr>
          <w:color w:val="000000" w:themeColor="text1"/>
          <w:sz w:val="16"/>
          <w:szCs w:val="16"/>
          <w:lang w:val="en-US"/>
        </w:rPr>
        <w:t>IID</w:t>
      </w:r>
      <w:r w:rsidRPr="00271E51">
        <w:rPr>
          <w:color w:val="000000" w:themeColor="text1"/>
          <w:sz w:val="16"/>
          <w:szCs w:val="16"/>
        </w:rPr>
        <w:t>, а в начале следующего — еще 20 машин этого типа и несколь</w:t>
      </w:r>
      <w:r w:rsidRPr="00271E51">
        <w:rPr>
          <w:color w:val="000000" w:themeColor="text1"/>
          <w:sz w:val="16"/>
          <w:szCs w:val="16"/>
        </w:rPr>
        <w:softHyphen/>
        <w:t xml:space="preserve">ко десятков «Харрикейн» IV со сменным составом вооружения, включавшим пушки калибра 40 мм по типу варианта </w:t>
      </w:r>
      <w:r w:rsidRPr="00271E51">
        <w:rPr>
          <w:color w:val="000000" w:themeColor="text1"/>
          <w:sz w:val="16"/>
          <w:szCs w:val="16"/>
          <w:lang w:val="en-US"/>
        </w:rPr>
        <w:t>Mk</w:t>
      </w:r>
      <w:r w:rsidRPr="00271E51">
        <w:rPr>
          <w:color w:val="000000" w:themeColor="text1"/>
          <w:sz w:val="16"/>
          <w:szCs w:val="16"/>
        </w:rPr>
        <w:t>.</w:t>
      </w:r>
      <w:r w:rsidRPr="00271E51">
        <w:rPr>
          <w:color w:val="000000" w:themeColor="text1"/>
          <w:sz w:val="16"/>
          <w:szCs w:val="16"/>
          <w:lang w:val="en-US"/>
        </w:rPr>
        <w:t>IID</w:t>
      </w:r>
      <w:r w:rsidRPr="00271E51">
        <w:rPr>
          <w:color w:val="000000" w:themeColor="text1"/>
          <w:sz w:val="16"/>
          <w:szCs w:val="16"/>
        </w:rPr>
        <w:t>.</w:t>
      </w:r>
    </w:p>
    <w:p w14:paraId="2FE8A52A" w14:textId="77777777" w:rsidR="0045114F" w:rsidRPr="00271E51" w:rsidRDefault="0045114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 xml:space="preserve">На противотанковые «Харрикейны» </w:t>
      </w:r>
      <w:r w:rsidRPr="00271E51">
        <w:rPr>
          <w:color w:val="000000" w:themeColor="text1"/>
          <w:sz w:val="16"/>
          <w:szCs w:val="16"/>
          <w:lang w:val="en-US"/>
        </w:rPr>
        <w:t>IID</w:t>
      </w:r>
      <w:r w:rsidRPr="00271E51">
        <w:rPr>
          <w:color w:val="000000" w:themeColor="text1"/>
          <w:sz w:val="16"/>
          <w:szCs w:val="16"/>
        </w:rPr>
        <w:t xml:space="preserve"> и </w:t>
      </w:r>
      <w:r w:rsidRPr="00271E51">
        <w:rPr>
          <w:color w:val="000000" w:themeColor="text1"/>
          <w:sz w:val="16"/>
          <w:szCs w:val="16"/>
          <w:lang w:val="en-US"/>
        </w:rPr>
        <w:t>IV</w:t>
      </w:r>
      <w:r w:rsidRPr="00271E51">
        <w:rPr>
          <w:color w:val="000000" w:themeColor="text1"/>
          <w:sz w:val="16"/>
          <w:szCs w:val="16"/>
        </w:rPr>
        <w:t xml:space="preserve"> с осени 1943 г. начали переучиваться 441-й иап ПВО страны и 246-й иап фронтовой авиации ВВС КА.</w:t>
      </w:r>
    </w:p>
    <w:p w14:paraId="0B14FA01" w14:textId="77777777" w:rsidR="0045114F" w:rsidRPr="00271E51" w:rsidRDefault="0045114F" w:rsidP="00271E51">
      <w:pPr>
        <w:pStyle w:val="12a"/>
        <w:shd w:val="clear" w:color="auto" w:fill="auto"/>
        <w:spacing w:after="0" w:line="240" w:lineRule="auto"/>
        <w:jc w:val="both"/>
        <w:rPr>
          <w:color w:val="000000" w:themeColor="text1"/>
          <w:sz w:val="16"/>
          <w:szCs w:val="16"/>
        </w:rPr>
      </w:pPr>
      <w:r w:rsidRPr="00271E51">
        <w:rPr>
          <w:color w:val="000000" w:themeColor="text1"/>
          <w:sz w:val="16"/>
          <w:szCs w:val="16"/>
        </w:rPr>
        <w:t>Почти одновременно с освоением противотан</w:t>
      </w:r>
      <w:r w:rsidRPr="00271E51">
        <w:rPr>
          <w:color w:val="000000" w:themeColor="text1"/>
          <w:sz w:val="16"/>
          <w:szCs w:val="16"/>
        </w:rPr>
        <w:softHyphen/>
        <w:t>ковых «англичан» в частях ВВС КА 2 самолета «Хар</w:t>
      </w:r>
      <w:r w:rsidRPr="00271E51">
        <w:rPr>
          <w:color w:val="000000" w:themeColor="text1"/>
          <w:sz w:val="16"/>
          <w:szCs w:val="16"/>
        </w:rPr>
        <w:softHyphen/>
        <w:t xml:space="preserve">рикейн» </w:t>
      </w:r>
      <w:r w:rsidRPr="00271E51">
        <w:rPr>
          <w:color w:val="000000" w:themeColor="text1"/>
          <w:sz w:val="16"/>
          <w:szCs w:val="16"/>
          <w:lang w:val="en-US"/>
        </w:rPr>
        <w:t>IID</w:t>
      </w:r>
      <w:r w:rsidRPr="00271E51">
        <w:rPr>
          <w:color w:val="000000" w:themeColor="text1"/>
          <w:sz w:val="16"/>
          <w:szCs w:val="16"/>
        </w:rPr>
        <w:t xml:space="preserve"> зав. № КХ-171 и № КХ-305 поступили в НИИ ВВС и затем в НИИ АВ ВВС, где провели все</w:t>
      </w:r>
      <w:r w:rsidRPr="00271E51">
        <w:rPr>
          <w:color w:val="000000" w:themeColor="text1"/>
          <w:sz w:val="16"/>
          <w:szCs w:val="16"/>
        </w:rPr>
        <w:softHyphen/>
        <w:t>сторонние исследования их летно-боевых качеств и вооружения (17500).</w:t>
      </w:r>
    </w:p>
    <w:p w14:paraId="3EC79F40" w14:textId="77777777" w:rsidR="0045114F" w:rsidRPr="00271E51" w:rsidRDefault="0045114F" w:rsidP="00271E51">
      <w:pPr>
        <w:spacing w:after="0" w:line="240" w:lineRule="auto"/>
        <w:jc w:val="both"/>
        <w:rPr>
          <w:rFonts w:ascii="Times New Roman" w:eastAsia="Times New Roman" w:hAnsi="Times New Roman"/>
          <w:color w:val="000000" w:themeColor="text1"/>
          <w:sz w:val="16"/>
          <w:szCs w:val="16"/>
          <w:lang w:eastAsia="ru-RU"/>
        </w:rPr>
      </w:pPr>
    </w:p>
    <w:p w14:paraId="0B353E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когда резервы модификации и модернизации Як-1 были исчерпаны, машина все больше использовалась для решения задач разведки и число самолетов, оборудованных АФА, возросло. Одна из дооборудованных АФА машин сохранилась по сей день. Это Як-1 серийный № 08110 - подарок Ф.П. Голо вато го летчику Б.Н. Еремину, экспонирующийся в филиале Саратовского музея краеведения на Соколовой горе. К сожалению, при реставрации в 1944 г. фотолюк на самолете, через который осуществлялась съемка, был заделан. Остался лишь люк на правом борту, через который снимали и устанавливали АФА (12048).</w:t>
      </w:r>
    </w:p>
    <w:p w14:paraId="14ABB6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3EC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параллельно с трехпушечным вариантом разработали машину Ла-5 с парой орудий ВЯ и пулеметом БС (12032).</w:t>
      </w:r>
    </w:p>
    <w:p w14:paraId="6C4DC4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E06C3" w14:textId="77777777" w:rsidR="00DD2B77" w:rsidRPr="00271E51" w:rsidRDefault="00DD2B7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 был предложен вариант Ла-5 с двумя пушками ВЯ-23 и одним пулеметом БС, а в январе-феврале 1944 г. на заводском аэродроме проводились испытания Ла-5ФН с тремя пушками УБ-20. Но это орудие, как и ШВАК, представляло собой «перестволеный» пулемет УБ-12,7 с тупоносым коротким снарядом, заимствованным у пушки Б.Г. Шпитального. Из-за недостаточной надежности пушки УБ-20, отличавшейся частыми поломками и задержками в стрельбе, перейти на </w:t>
      </w:r>
      <w:r w:rsidRPr="00271E51">
        <w:rPr>
          <w:rFonts w:ascii="Times New Roman" w:hAnsi="Times New Roman"/>
          <w:color w:val="000000" w:themeColor="text1"/>
          <w:sz w:val="16"/>
          <w:szCs w:val="16"/>
        </w:rPr>
        <w:lastRenderedPageBreak/>
        <w:t>«трехточечный» вариант вооружения для Ла-5ФН не решились. А военные настаивали. Так, командир 2-го иак генерал А.С Благовещенский заявил на конференции, в работе которой принимали представители самолетостроительных предприятий: «Не может такой хороший самолет иметь такой малый огонь» (18999).</w:t>
      </w:r>
    </w:p>
    <w:p w14:paraId="5E066671" w14:textId="77777777" w:rsidR="00DD2B77" w:rsidRPr="00271E51" w:rsidRDefault="00DD2B77" w:rsidP="00271E51">
      <w:pPr>
        <w:spacing w:after="0" w:line="240" w:lineRule="auto"/>
        <w:jc w:val="both"/>
        <w:rPr>
          <w:rFonts w:ascii="Times New Roman" w:hAnsi="Times New Roman"/>
          <w:color w:val="000000" w:themeColor="text1"/>
          <w:sz w:val="16"/>
          <w:szCs w:val="16"/>
        </w:rPr>
      </w:pPr>
    </w:p>
    <w:p w14:paraId="3694E3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стало ясно, что бесступенчатая передача нагне</w:t>
      </w:r>
      <w:r w:rsidRPr="00271E51">
        <w:rPr>
          <w:rFonts w:ascii="Times New Roman" w:hAnsi="Times New Roman"/>
          <w:color w:val="000000" w:themeColor="text1"/>
          <w:sz w:val="16"/>
          <w:szCs w:val="16"/>
        </w:rPr>
        <w:softHyphen/>
        <w:t>тателя для М-83 создана не будет, и на него было решено поставить на</w:t>
      </w:r>
      <w:r w:rsidRPr="00271E51">
        <w:rPr>
          <w:rFonts w:ascii="Times New Roman" w:hAnsi="Times New Roman"/>
          <w:color w:val="000000" w:themeColor="text1"/>
          <w:sz w:val="16"/>
          <w:szCs w:val="16"/>
        </w:rPr>
        <w:softHyphen/>
        <w:t>гнетатель, разработанный для М-82ФНА. В таком виде М-83 3 декаб</w:t>
      </w:r>
      <w:r w:rsidRPr="00271E51">
        <w:rPr>
          <w:rFonts w:ascii="Times New Roman" w:hAnsi="Times New Roman"/>
          <w:color w:val="000000" w:themeColor="text1"/>
          <w:sz w:val="16"/>
          <w:szCs w:val="16"/>
        </w:rPr>
        <w:softHyphen/>
        <w:t>ря 1943 года был впервые предъяв</w:t>
      </w:r>
      <w:r w:rsidRPr="00271E51">
        <w:rPr>
          <w:rFonts w:ascii="Times New Roman" w:hAnsi="Times New Roman"/>
          <w:color w:val="000000" w:themeColor="text1"/>
          <w:sz w:val="16"/>
          <w:szCs w:val="16"/>
        </w:rPr>
        <w:softHyphen/>
        <w:t>лен на 50-часовое совместное испы</w:t>
      </w:r>
      <w:r w:rsidRPr="00271E51">
        <w:rPr>
          <w:rFonts w:ascii="Times New Roman" w:hAnsi="Times New Roman"/>
          <w:color w:val="000000" w:themeColor="text1"/>
          <w:sz w:val="16"/>
          <w:szCs w:val="16"/>
        </w:rPr>
        <w:softHyphen/>
        <w:t>тание. Забегая вперед, отметим, что мотор М-83 доводился потом в тече</w:t>
      </w:r>
      <w:r w:rsidRPr="00271E51">
        <w:rPr>
          <w:rFonts w:ascii="Times New Roman" w:hAnsi="Times New Roman"/>
          <w:color w:val="000000" w:themeColor="text1"/>
          <w:sz w:val="16"/>
          <w:szCs w:val="16"/>
        </w:rPr>
        <w:softHyphen/>
        <w:t>ние всего 1944 года (слабым местом оказалась крыльчатка нагнетателя), и лишь к началу 1945 года был подго</w:t>
      </w:r>
      <w:r w:rsidRPr="00271E51">
        <w:rPr>
          <w:rFonts w:ascii="Times New Roman" w:hAnsi="Times New Roman"/>
          <w:color w:val="000000" w:themeColor="text1"/>
          <w:sz w:val="16"/>
          <w:szCs w:val="16"/>
        </w:rPr>
        <w:softHyphen/>
        <w:t>товлен к запуску в серийное произ</w:t>
      </w:r>
      <w:r w:rsidRPr="00271E51">
        <w:rPr>
          <w:rFonts w:ascii="Times New Roman" w:hAnsi="Times New Roman"/>
          <w:color w:val="000000" w:themeColor="text1"/>
          <w:sz w:val="16"/>
          <w:szCs w:val="16"/>
        </w:rPr>
        <w:softHyphen/>
        <w:t>водство, которое, однако, так практи</w:t>
      </w:r>
      <w:r w:rsidRPr="00271E51">
        <w:rPr>
          <w:rFonts w:ascii="Times New Roman" w:hAnsi="Times New Roman"/>
          <w:color w:val="000000" w:themeColor="text1"/>
          <w:sz w:val="16"/>
          <w:szCs w:val="16"/>
        </w:rPr>
        <w:softHyphen/>
        <w:t>чески и не было развернуто. В результате этого серийный М-82ФН в 1944-м году не претерпел сколь-нибудь серьезных изменений по сравнению с 1943-м годом, хотя в декабре 1943 года он и был предъяв</w:t>
      </w:r>
      <w:r w:rsidRPr="00271E51">
        <w:rPr>
          <w:rFonts w:ascii="Times New Roman" w:hAnsi="Times New Roman"/>
          <w:color w:val="000000" w:themeColor="text1"/>
          <w:sz w:val="16"/>
          <w:szCs w:val="16"/>
        </w:rPr>
        <w:softHyphen/>
        <w:t>лен заводом №19 на 150-часовые испытания:</w:t>
      </w:r>
    </w:p>
    <w:p w14:paraId="08F324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проведения опытных работ по улучшению конструкции и увеличению механической прочнос</w:t>
      </w:r>
      <w:r w:rsidRPr="00271E51">
        <w:rPr>
          <w:rFonts w:ascii="Times New Roman" w:hAnsi="Times New Roman"/>
          <w:color w:val="000000" w:themeColor="text1"/>
          <w:sz w:val="16"/>
          <w:szCs w:val="16"/>
        </w:rPr>
        <w:softHyphen/>
        <w:t>ти отдельных узлов и деталей мотора М-82ФН, нами подготовлен и предъяв</w:t>
      </w:r>
      <w:r w:rsidRPr="00271E51">
        <w:rPr>
          <w:rFonts w:ascii="Times New Roman" w:hAnsi="Times New Roman"/>
          <w:color w:val="000000" w:themeColor="text1"/>
          <w:sz w:val="16"/>
          <w:szCs w:val="16"/>
        </w:rPr>
        <w:softHyphen/>
        <w:t>ляется на совместное испытание мо</w:t>
      </w:r>
      <w:r w:rsidRPr="00271E51">
        <w:rPr>
          <w:rFonts w:ascii="Times New Roman" w:hAnsi="Times New Roman"/>
          <w:color w:val="000000" w:themeColor="text1"/>
          <w:sz w:val="16"/>
          <w:szCs w:val="16"/>
        </w:rPr>
        <w:softHyphen/>
        <w:t>тор М-82ФН № 8211970 со 150 ча</w:t>
      </w:r>
      <w:r w:rsidRPr="00271E51">
        <w:rPr>
          <w:rFonts w:ascii="Times New Roman" w:hAnsi="Times New Roman"/>
          <w:color w:val="000000" w:themeColor="text1"/>
          <w:sz w:val="16"/>
          <w:szCs w:val="16"/>
        </w:rPr>
        <w:softHyphen/>
        <w:t>совым ресурсом.</w:t>
      </w:r>
    </w:p>
    <w:p w14:paraId="72C2BF1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Конструктивные отличия этого мо</w:t>
      </w:r>
      <w:r w:rsidRPr="00271E51">
        <w:rPr>
          <w:rFonts w:ascii="Times New Roman" w:hAnsi="Times New Roman"/>
          <w:color w:val="000000" w:themeColor="text1"/>
          <w:sz w:val="16"/>
          <w:szCs w:val="16"/>
        </w:rPr>
        <w:softHyphen/>
        <w:t>тора следующие:</w:t>
      </w:r>
    </w:p>
    <w:p w14:paraId="342970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Усилены гильзы цилиндров.</w:t>
      </w:r>
    </w:p>
    <w:p w14:paraId="34DE2E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Проведены улучшения в клапа</w:t>
      </w:r>
      <w:r w:rsidRPr="00271E51">
        <w:rPr>
          <w:rFonts w:ascii="Times New Roman" w:hAnsi="Times New Roman"/>
          <w:color w:val="000000" w:themeColor="text1"/>
          <w:sz w:val="16"/>
          <w:szCs w:val="16"/>
        </w:rPr>
        <w:softHyphen/>
        <w:t>на впуска и выпуска.</w:t>
      </w:r>
    </w:p>
    <w:p w14:paraId="4AA349F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Изменена конструкция крепле</w:t>
      </w:r>
      <w:r w:rsidRPr="00271E51">
        <w:rPr>
          <w:rFonts w:ascii="Times New Roman" w:hAnsi="Times New Roman"/>
          <w:color w:val="000000" w:themeColor="text1"/>
          <w:sz w:val="16"/>
          <w:szCs w:val="16"/>
        </w:rPr>
        <w:softHyphen/>
        <w:t>ния кожухов тяг на жесткую для луч</w:t>
      </w:r>
      <w:r w:rsidRPr="00271E51">
        <w:rPr>
          <w:rFonts w:ascii="Times New Roman" w:hAnsi="Times New Roman"/>
          <w:color w:val="000000" w:themeColor="text1"/>
          <w:sz w:val="16"/>
          <w:szCs w:val="16"/>
        </w:rPr>
        <w:softHyphen/>
        <w:t>шего уплотнения.</w:t>
      </w:r>
    </w:p>
    <w:p w14:paraId="755A5F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Коленчатый вал имеет плаваю</w:t>
      </w:r>
      <w:r w:rsidRPr="00271E51">
        <w:rPr>
          <w:rFonts w:ascii="Times New Roman" w:hAnsi="Times New Roman"/>
          <w:color w:val="000000" w:themeColor="text1"/>
          <w:sz w:val="16"/>
          <w:szCs w:val="16"/>
        </w:rPr>
        <w:softHyphen/>
        <w:t>щие втулки заднего противовеса.</w:t>
      </w:r>
    </w:p>
    <w:p w14:paraId="26FE58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Изменена передача к регулято</w:t>
      </w:r>
      <w:r w:rsidRPr="00271E51">
        <w:rPr>
          <w:rFonts w:ascii="Times New Roman" w:hAnsi="Times New Roman"/>
          <w:color w:val="000000" w:themeColor="text1"/>
          <w:sz w:val="16"/>
          <w:szCs w:val="16"/>
        </w:rPr>
        <w:softHyphen/>
        <w:t>ру Р-7 (с 0,88 на 1,023).</w:t>
      </w:r>
    </w:p>
    <w:p w14:paraId="06A4AF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Увеличены откачивающие кана</w:t>
      </w:r>
      <w:r w:rsidRPr="00271E51">
        <w:rPr>
          <w:rFonts w:ascii="Times New Roman" w:hAnsi="Times New Roman"/>
          <w:color w:val="000000" w:themeColor="text1"/>
          <w:sz w:val="16"/>
          <w:szCs w:val="16"/>
        </w:rPr>
        <w:softHyphen/>
        <w:t>лы в задней крышке и заднем корпу</w:t>
      </w:r>
      <w:r w:rsidRPr="00271E51">
        <w:rPr>
          <w:rFonts w:ascii="Times New Roman" w:hAnsi="Times New Roman"/>
          <w:color w:val="000000" w:themeColor="text1"/>
          <w:sz w:val="16"/>
          <w:szCs w:val="16"/>
        </w:rPr>
        <w:softHyphen/>
        <w:t>се нагнетателя» (10714).</w:t>
      </w:r>
    </w:p>
    <w:p w14:paraId="76DC03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9A7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в серийное производство запустили ВИШ-105В-4 (11123).</w:t>
      </w:r>
    </w:p>
    <w:p w14:paraId="48E830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AB0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Н.Н.П. получил задание спроектировать на базе И-185 М-71 высотный перехватчик, оснащенный ГК и ТК-3. В процессе проектирования перешли на АМ-39Б с ТК-300Б (2495,39).</w:t>
      </w:r>
    </w:p>
    <w:p w14:paraId="4553FA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ABF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построили модифицированный ТИС, получивший новое заводское обозначение «МА». Из-за отсутствия моторов АМ-39А на самолет пришлось уста</w:t>
      </w:r>
      <w:r w:rsidRPr="00271E51">
        <w:rPr>
          <w:rFonts w:ascii="Times New Roman" w:hAnsi="Times New Roman"/>
          <w:color w:val="000000" w:themeColor="text1"/>
          <w:sz w:val="16"/>
          <w:szCs w:val="16"/>
        </w:rPr>
        <w:softHyphen/>
        <w:t>новить низковысотные АМ-38Ф (10667).</w:t>
      </w:r>
    </w:p>
    <w:p w14:paraId="4E6F07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617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закончили постройкой ТИС-МА с АМ-39Б с турбокомпрессорами. Летные испытания из-за отсутствия АМ-39 пришлось проводить с моторами АМ-38Ф. Первый полет машины состоялся 13 июня 1944 г. В ходе испытаний были получены высокие летные данные, подтвердившие правильность предварительных расчетов. После переоснащения моторами АМ-39А ожидалось получение максимальной скорости у земли на форсированном режиме 564 км/ч, а на высоте 8500 м - 677 км/ч. (9032).</w:t>
      </w:r>
    </w:p>
    <w:p w14:paraId="7747C2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578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самолет ТИС (МА) был построен. Летные испытания проходил в период с 1 июня по 16 сентября 1944 г. (9649).</w:t>
      </w:r>
    </w:p>
    <w:p w14:paraId="47F3D7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287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w:t>
      </w:r>
      <w:r w:rsidRPr="00271E51">
        <w:rPr>
          <w:rFonts w:ascii="Times New Roman" w:hAnsi="Times New Roman"/>
          <w:color w:val="000000" w:themeColor="text1"/>
          <w:sz w:val="16"/>
          <w:szCs w:val="16"/>
        </w:rPr>
        <w:softHyphen/>
        <w:t>це 1943 г. самолет ТИС-М А закончили строить. Летные испытания из-за отсутствия АМ-39 пришлось проводить с моторами АМ-38Ф. Первый полет машины состоялся 13 июня 1944 г. В ходе испытаний были получены высокие летные данные, подтвердившие правильность предварительных расчетов. После переоснащення самолета моторами АМ-39 А получили макси</w:t>
      </w:r>
      <w:r w:rsidRPr="00271E51">
        <w:rPr>
          <w:rFonts w:ascii="Times New Roman" w:hAnsi="Times New Roman"/>
          <w:color w:val="000000" w:themeColor="text1"/>
          <w:sz w:val="16"/>
          <w:szCs w:val="16"/>
        </w:rPr>
        <w:softHyphen/>
        <w:t>мальную скорость у земли на форсированном режиме 564 км/ч, а на высоте 8500 м — 677 км/ч. (10781).</w:t>
      </w:r>
    </w:p>
    <w:p w14:paraId="406AF5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F5B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уже в Москве был построен ТИС (МА) Н.Н.П. И-за отсутствия АМ-39А поставили М-38Ф (10535,34).</w:t>
      </w:r>
    </w:p>
    <w:p w14:paraId="196915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E89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на всех истребителях были установлены подвижные части фонарей кабин с аварийным сбросом. До этого летчики летали с открытыми фонарями, так как подвижные части на большой скорости не открывались - летчик не мог открыть, и к тому же фонарь терял прозрачность из-за попадания на него масла от мотора. А при открытом фонаре кабины летчика скорость самолета уменьшается. Кроме того была усовершенствована кинематика уборки хвостового колеса, которое в полете стало убирающимся, что тоже дало некоторую прибавку скорости. Были проведены и другие многочисленные работы по улучшению летных характеристик, особенно самолетов Ла-5, но они не дали требуемых результатов. Наши истребители уступали истребителям противника (3573).</w:t>
      </w:r>
    </w:p>
    <w:p w14:paraId="7E9990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645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Нико</w:t>
      </w:r>
      <w:r w:rsidRPr="00271E51">
        <w:rPr>
          <w:rFonts w:ascii="Times New Roman" w:hAnsi="Times New Roman"/>
          <w:color w:val="000000" w:themeColor="text1"/>
          <w:sz w:val="16"/>
          <w:szCs w:val="16"/>
        </w:rPr>
        <w:softHyphen/>
        <w:t>лай Николаевич сделал набросок истребителя, выпол</w:t>
      </w:r>
      <w:r w:rsidRPr="00271E51">
        <w:rPr>
          <w:rFonts w:ascii="Times New Roman" w:hAnsi="Times New Roman"/>
          <w:color w:val="000000" w:themeColor="text1"/>
          <w:sz w:val="16"/>
          <w:szCs w:val="16"/>
        </w:rPr>
        <w:softHyphen/>
        <w:t>ненного по схеме «утка» с толкающим винтом и трехколесным шасси с носовым колесом. На концах крыла стояли шайбы. Однако, как показали расче</w:t>
      </w:r>
      <w:r w:rsidRPr="00271E51">
        <w:rPr>
          <w:rFonts w:ascii="Times New Roman" w:hAnsi="Times New Roman"/>
          <w:color w:val="000000" w:themeColor="text1"/>
          <w:sz w:val="16"/>
          <w:szCs w:val="16"/>
        </w:rPr>
        <w:softHyphen/>
        <w:t>ты, резкого повышения летных характеристик при та</w:t>
      </w:r>
      <w:r w:rsidRPr="00271E51">
        <w:rPr>
          <w:rFonts w:ascii="Times New Roman" w:hAnsi="Times New Roman"/>
          <w:color w:val="000000" w:themeColor="text1"/>
          <w:sz w:val="16"/>
          <w:szCs w:val="16"/>
        </w:rPr>
        <w:softHyphen/>
        <w:t>кой схеме получить не удалось. На первый взгляд, решить проблему могла установ</w:t>
      </w:r>
      <w:r w:rsidRPr="00271E51">
        <w:rPr>
          <w:rFonts w:ascii="Times New Roman" w:hAnsi="Times New Roman"/>
          <w:color w:val="000000" w:themeColor="text1"/>
          <w:sz w:val="16"/>
          <w:szCs w:val="16"/>
        </w:rPr>
        <w:softHyphen/>
        <w:t>ка двигателя увеличенной мощности, но с ростом мощности двигателя увеличивался и его вес. Возмож</w:t>
      </w:r>
      <w:r w:rsidRPr="00271E51">
        <w:rPr>
          <w:rFonts w:ascii="Times New Roman" w:hAnsi="Times New Roman"/>
          <w:color w:val="000000" w:themeColor="text1"/>
          <w:sz w:val="16"/>
          <w:szCs w:val="16"/>
        </w:rPr>
        <w:softHyphen/>
        <w:t>ности по снижению удельного веса авиационных пор</w:t>
      </w:r>
      <w:r w:rsidRPr="00271E51">
        <w:rPr>
          <w:rFonts w:ascii="Times New Roman" w:hAnsi="Times New Roman"/>
          <w:color w:val="000000" w:themeColor="text1"/>
          <w:sz w:val="16"/>
          <w:szCs w:val="16"/>
        </w:rPr>
        <w:softHyphen/>
        <w:t>шневых моторов в основном были исчерпаны. К тому же при скорости свыше 750 км/ч начинали падать тяго</w:t>
      </w:r>
      <w:r w:rsidRPr="00271E51">
        <w:rPr>
          <w:rFonts w:ascii="Times New Roman" w:hAnsi="Times New Roman"/>
          <w:color w:val="000000" w:themeColor="text1"/>
          <w:sz w:val="16"/>
          <w:szCs w:val="16"/>
        </w:rPr>
        <w:softHyphen/>
        <w:t>вые характеристики воздушного винта, резко возрас</w:t>
      </w:r>
      <w:r w:rsidRPr="00271E51">
        <w:rPr>
          <w:rFonts w:ascii="Times New Roman" w:hAnsi="Times New Roman"/>
          <w:color w:val="000000" w:themeColor="text1"/>
          <w:sz w:val="16"/>
          <w:szCs w:val="16"/>
        </w:rPr>
        <w:softHyphen/>
        <w:t>тал его вес. Выход из создавшегося положения мог дать только реактивный двигатель (10667).</w:t>
      </w:r>
    </w:p>
    <w:p w14:paraId="111D3E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CE0E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модифицированный Пе-8 был запущен в производство на заводе №22. Ему присвоили заводское обозначение самолет "Т". По машине ОКБ выдало в опытное производство 4483 рабочих чертежей. Чертежи были проработаны технологическим отделом, составлены производственные графики изготовления отдельных агрегатов самолета, была выдана документация на изготовление необходимой дополнительной оснастки. К началу весны 1944 года часть новых стапелей, а также некоторое количество деталей для новой машины было уже изготовлено. Постановлением ГОКО от 5 марта 1944 года производство Пе-8 на заводе №22 было прекращено, одновременно завод прекратил дальнейшую работу по изготовлению модифицированного Пе-8. Приказ НКАП по этой работе так и не появился (12726).</w:t>
      </w:r>
    </w:p>
    <w:p w14:paraId="654BFA1E"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EC73D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был закончен НБ Н.Н.П. с 2хМ-30Б (228,176).</w:t>
      </w:r>
    </w:p>
    <w:p w14:paraId="2C96A5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C4A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закрыли тему по Пе-2ВИ А.И.Путилова. Первый полет Пе-2ВИ выполнил 9 мая 1943. А.И.Путилов работу не закончил, а В.М.М. заниматься высотной машиной не захотел и отдал ее в ЛИИ, тот спихнул заводу 26 (2475,19).</w:t>
      </w:r>
    </w:p>
    <w:p w14:paraId="31A6FC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516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Вплоть до конца 1943 г. история «пешки» насыщена огромным многообразием вари</w:t>
      </w:r>
      <w:r w:rsidRPr="00271E51">
        <w:rPr>
          <w:rFonts w:ascii="Times New Roman" w:hAnsi="Times New Roman"/>
          <w:color w:val="000000" w:themeColor="text1"/>
          <w:sz w:val="16"/>
          <w:szCs w:val="16"/>
        </w:rPr>
        <w:softHyphen/>
        <w:t>антов вооружения. Однако далее «бурный поток» внезапно затихает (если не считать многократных попыток ОКО-22 «протолк</w:t>
      </w:r>
      <w:r w:rsidRPr="00271E51">
        <w:rPr>
          <w:rFonts w:ascii="Times New Roman" w:hAnsi="Times New Roman"/>
          <w:color w:val="000000" w:themeColor="text1"/>
          <w:sz w:val="16"/>
          <w:szCs w:val="16"/>
        </w:rPr>
        <w:softHyphen/>
        <w:t>нуть» новый фонарь кабины с установкой 03). Что произошло? Неужели машина вдруг стала полностью соответствовать требова</w:t>
      </w:r>
      <w:r w:rsidRPr="00271E51">
        <w:rPr>
          <w:rFonts w:ascii="Times New Roman" w:hAnsi="Times New Roman"/>
          <w:color w:val="000000" w:themeColor="text1"/>
          <w:sz w:val="16"/>
          <w:szCs w:val="16"/>
        </w:rPr>
        <w:softHyphen/>
        <w:t>ниям войны? Или у конструкторов иссякли идеи, опустились руки?</w:t>
      </w:r>
    </w:p>
    <w:p w14:paraId="05A771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Оказывается, ни то, ни другое. Причина в том, что к 1944 г. всё явственнее станови</w:t>
      </w:r>
      <w:r w:rsidRPr="00271E51">
        <w:rPr>
          <w:rFonts w:ascii="Times New Roman" w:hAnsi="Times New Roman"/>
          <w:color w:val="000000" w:themeColor="text1"/>
          <w:sz w:val="16"/>
          <w:szCs w:val="16"/>
        </w:rPr>
        <w:softHyphen/>
        <w:t>лась необходимость качественного измене</w:t>
      </w:r>
      <w:r w:rsidRPr="00271E51">
        <w:rPr>
          <w:rFonts w:ascii="Times New Roman" w:hAnsi="Times New Roman"/>
          <w:color w:val="000000" w:themeColor="text1"/>
          <w:sz w:val="16"/>
          <w:szCs w:val="16"/>
        </w:rPr>
        <w:softHyphen/>
        <w:t>ния «пешки». Главный конструктор В.Мяси-щев сосредоточил все силы ОКО на создании принципиально нового, далеко продвинутого варианта Пе-2И, названного «советским Москито». Совершенствование «обычного» Пе-2 практически свернули, свели к мелочам. К сожалению, ставка на Пе-2И не оправда</w:t>
      </w:r>
      <w:r w:rsidRPr="00271E51">
        <w:rPr>
          <w:rFonts w:ascii="Times New Roman" w:hAnsi="Times New Roman"/>
          <w:color w:val="000000" w:themeColor="text1"/>
          <w:sz w:val="16"/>
          <w:szCs w:val="16"/>
        </w:rPr>
        <w:softHyphen/>
        <w:t>лась, и самолёт так и не стал серийным, хо</w:t>
      </w:r>
      <w:r w:rsidRPr="00271E51">
        <w:rPr>
          <w:rFonts w:ascii="Times New Roman" w:hAnsi="Times New Roman"/>
          <w:color w:val="000000" w:themeColor="text1"/>
          <w:sz w:val="16"/>
          <w:szCs w:val="16"/>
        </w:rPr>
        <w:softHyphen/>
        <w:t>тя и не по вине Мясищева. В результате «пе</w:t>
      </w:r>
      <w:r w:rsidRPr="00271E51">
        <w:rPr>
          <w:rFonts w:ascii="Times New Roman" w:hAnsi="Times New Roman"/>
          <w:color w:val="000000" w:themeColor="text1"/>
          <w:sz w:val="16"/>
          <w:szCs w:val="16"/>
        </w:rPr>
        <w:softHyphen/>
        <w:t>рекоса» в деятельности ОКО оборонитель</w:t>
      </w:r>
      <w:r w:rsidRPr="00271E51">
        <w:rPr>
          <w:rFonts w:ascii="Times New Roman" w:hAnsi="Times New Roman"/>
          <w:color w:val="000000" w:themeColor="text1"/>
          <w:sz w:val="16"/>
          <w:szCs w:val="16"/>
        </w:rPr>
        <w:softHyphen/>
        <w:t>ные возможности серийных Пе-2, встречаю</w:t>
      </w:r>
      <w:r w:rsidRPr="00271E51">
        <w:rPr>
          <w:rFonts w:ascii="Times New Roman" w:hAnsi="Times New Roman"/>
          <w:color w:val="000000" w:themeColor="text1"/>
          <w:sz w:val="16"/>
          <w:szCs w:val="16"/>
        </w:rPr>
        <w:softHyphen/>
        <w:t>щих всё более совершенные истребители противника, заметно сокращались (11392).</w:t>
      </w:r>
    </w:p>
    <w:p w14:paraId="03B2AB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7C7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возобновили серию Ер-2 в Иркутске с АЧ-30Б (218,22).</w:t>
      </w:r>
    </w:p>
    <w:p w14:paraId="2626A2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2CF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образец модифицированного Пе-8 запустили в производство на заводе № 22 как самолёт "Т". К началу весны 1944 г. часть новых стапелей, а также некоторое количество деталей для новой машины уже изготовили. Но в марте Пе-8 сняли с производства, завод прекратил работу и по изготовлению модернизированного самолёта. Правда, приказ НКАП по этому поводу так и не появился. Однако и тяжёлые бомбардировщики следующего поколения не дошли даже до стадии опытных образцов. Туполевский "64" застрял из-за отсутствия современного оборудования и вооружения, а мясищевские проекты даже не вышли из эмбрионального состояния. В результате наша авиация вообще осталась без четырёхмоторных бомбардировщиков. В начале 1945 г. были даже предложения реанимировать серийное производство Пе-8 в модернизированном варианте, но их отвергли. Сталин решил копировать американский В-29, что и было сделано (11996).</w:t>
      </w:r>
    </w:p>
    <w:p w14:paraId="597FE7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построили НБ (Т) с АМ-82НВ, его долго испы</w:t>
      </w:r>
      <w:r w:rsidRPr="00271E51">
        <w:rPr>
          <w:rFonts w:ascii="Times New Roman" w:hAnsi="Times New Roman"/>
          <w:color w:val="000000" w:themeColor="text1"/>
          <w:sz w:val="16"/>
          <w:szCs w:val="16"/>
        </w:rPr>
        <w:softHyphen/>
        <w:t xml:space="preserve">тывали на земле и дорабатывали. Только 23 мая 1944 г. летчик Гаврилов совершил на НБ первый полет. </w:t>
      </w:r>
      <w:r w:rsidRPr="00271E51">
        <w:rPr>
          <w:rFonts w:ascii="Times New Roman" w:hAnsi="Times New Roman"/>
          <w:color w:val="000000" w:themeColor="text1"/>
          <w:sz w:val="16"/>
          <w:szCs w:val="16"/>
        </w:rPr>
        <w:lastRenderedPageBreak/>
        <w:t>В по</w:t>
      </w:r>
      <w:r w:rsidRPr="00271E51">
        <w:rPr>
          <w:rFonts w:ascii="Times New Roman" w:hAnsi="Times New Roman"/>
          <w:color w:val="000000" w:themeColor="text1"/>
          <w:sz w:val="16"/>
          <w:szCs w:val="16"/>
        </w:rPr>
        <w:softHyphen/>
        <w:t>следующих полетах выявились недостатки - перегрев моторов, масла, на некоторых режимах - сваливание на левое крыло. Доработки потребовали времени и поэто</w:t>
      </w:r>
      <w:r w:rsidRPr="00271E51">
        <w:rPr>
          <w:rFonts w:ascii="Times New Roman" w:hAnsi="Times New Roman"/>
          <w:color w:val="000000" w:themeColor="text1"/>
          <w:sz w:val="16"/>
          <w:szCs w:val="16"/>
        </w:rPr>
        <w:softHyphen/>
        <w:t>му к нормальным заводским испытаниям приступили 25 августа 1944 г., после смерти Н.Н.Поликарпова. У земли была достигнута максимальная скорость 430 км/ч (436 км/ч по расчету), 510 км/ч на высоте 5000 м (493 км/ч по расчету). Испытания на границе высотнос</w:t>
      </w:r>
      <w:r w:rsidRPr="00271E51">
        <w:rPr>
          <w:rFonts w:ascii="Times New Roman" w:hAnsi="Times New Roman"/>
          <w:color w:val="000000" w:themeColor="text1"/>
          <w:sz w:val="16"/>
          <w:szCs w:val="16"/>
        </w:rPr>
        <w:softHyphen/>
        <w:t>ти (6250 м) перенесли на 1945 г. Отмечалось, что по бом</w:t>
      </w:r>
      <w:r w:rsidRPr="00271E51">
        <w:rPr>
          <w:rFonts w:ascii="Times New Roman" w:hAnsi="Times New Roman"/>
          <w:color w:val="000000" w:themeColor="text1"/>
          <w:sz w:val="16"/>
          <w:szCs w:val="16"/>
        </w:rPr>
        <w:softHyphen/>
        <w:t>бовой нагрузке НБ превосходит Ту-2, но уступает ему в максимальной скорости, что для снижения вероятности поражения от огня зенитной артиллерии необходимо поднять потолок. Эти мероприятия можно было осуще</w:t>
      </w:r>
      <w:r w:rsidRPr="00271E51">
        <w:rPr>
          <w:rFonts w:ascii="Times New Roman" w:hAnsi="Times New Roman"/>
          <w:color w:val="000000" w:themeColor="text1"/>
          <w:sz w:val="16"/>
          <w:szCs w:val="16"/>
        </w:rPr>
        <w:softHyphen/>
        <w:t>ствить, установив на самолете турбокомпрессоры, что и собирались сделать после завершения первого этапа ис</w:t>
      </w:r>
      <w:r w:rsidRPr="00271E51">
        <w:rPr>
          <w:rFonts w:ascii="Times New Roman" w:hAnsi="Times New Roman"/>
          <w:color w:val="000000" w:themeColor="text1"/>
          <w:sz w:val="16"/>
          <w:szCs w:val="16"/>
        </w:rPr>
        <w:softHyphen/>
        <w:t>пытаний. Всю зиму НБ оставался на аэродроме. В феврале вы</w:t>
      </w:r>
      <w:r w:rsidRPr="00271E51">
        <w:rPr>
          <w:rFonts w:ascii="Times New Roman" w:hAnsi="Times New Roman"/>
          <w:color w:val="000000" w:themeColor="text1"/>
          <w:sz w:val="16"/>
          <w:szCs w:val="16"/>
        </w:rPr>
        <w:softHyphen/>
        <w:t>яснилось, что фанерная обшивка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271E51">
        <w:rPr>
          <w:rFonts w:ascii="Times New Roman" w:hAnsi="Times New Roman"/>
          <w:color w:val="000000" w:themeColor="text1"/>
          <w:sz w:val="16"/>
          <w:szCs w:val="16"/>
        </w:rPr>
        <w:softHyphen/>
        <w:t>го сделать по причине секретности машины и в марте 1945 г. НБ разобрали (10667).</w:t>
      </w:r>
    </w:p>
    <w:p w14:paraId="1AD381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24D6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 ходе совещаний с генерал-полков</w:t>
      </w:r>
      <w:r w:rsidRPr="00271E51">
        <w:rPr>
          <w:rFonts w:ascii="Times New Roman" w:hAnsi="Times New Roman"/>
          <w:color w:val="000000" w:themeColor="text1"/>
          <w:sz w:val="16"/>
          <w:szCs w:val="16"/>
        </w:rPr>
        <w:softHyphen/>
        <w:t>ником Худяковым была сформулирована концепция нового самолета и определены основные требования к нему: максимальная скорость - 550 км/ч, экипаж - пять человек, бомбовая нагрузка - от 2 до 5 тонн (в зависимо</w:t>
      </w:r>
      <w:r w:rsidRPr="00271E51">
        <w:rPr>
          <w:rFonts w:ascii="Times New Roman" w:hAnsi="Times New Roman"/>
          <w:color w:val="000000" w:themeColor="text1"/>
          <w:sz w:val="16"/>
          <w:szCs w:val="16"/>
        </w:rPr>
        <w:softHyphen/>
        <w:t>сти от дальности). Пять пушек калибра 23 мм должны были обеспечивать круговой обстрел. Николай Николаевич всегда предпочитал вместо слова «бомбардировщик», особенно когда это касалось тяжелых машин, использовать другое - «бомбовоз». По</w:t>
      </w:r>
      <w:r w:rsidRPr="00271E51">
        <w:rPr>
          <w:rFonts w:ascii="Times New Roman" w:hAnsi="Times New Roman"/>
          <w:color w:val="000000" w:themeColor="text1"/>
          <w:sz w:val="16"/>
          <w:szCs w:val="16"/>
        </w:rPr>
        <w:softHyphen/>
        <w:t>этому проектируемая машина у него получила обозна</w:t>
      </w:r>
      <w:r w:rsidRPr="00271E51">
        <w:rPr>
          <w:rFonts w:ascii="Times New Roman" w:hAnsi="Times New Roman"/>
          <w:color w:val="000000" w:themeColor="text1"/>
          <w:sz w:val="16"/>
          <w:szCs w:val="16"/>
        </w:rPr>
        <w:softHyphen/>
        <w:t>чение ББ - «большой бомбовоз» (10667).</w:t>
      </w:r>
    </w:p>
    <w:p w14:paraId="0344BD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1CD2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 условиях наметившегося господства в воздухе советских ВВС и наличия дос</w:t>
      </w:r>
      <w:r w:rsidRPr="00271E51">
        <w:rPr>
          <w:rFonts w:ascii="Times New Roman" w:hAnsi="Times New Roman"/>
          <w:color w:val="000000" w:themeColor="text1"/>
          <w:sz w:val="16"/>
          <w:szCs w:val="16"/>
        </w:rPr>
        <w:softHyphen/>
        <w:t>таточно мощной истребительной авиа</w:t>
      </w:r>
      <w:r w:rsidRPr="00271E51">
        <w:rPr>
          <w:rFonts w:ascii="Times New Roman" w:hAnsi="Times New Roman"/>
          <w:color w:val="000000" w:themeColor="text1"/>
          <w:sz w:val="16"/>
          <w:szCs w:val="16"/>
        </w:rPr>
        <w:softHyphen/>
        <w:t>ции уже имелась возможность несколь</w:t>
      </w:r>
      <w:r w:rsidRPr="00271E51">
        <w:rPr>
          <w:rFonts w:ascii="Times New Roman" w:hAnsi="Times New Roman"/>
          <w:color w:val="000000" w:themeColor="text1"/>
          <w:sz w:val="16"/>
          <w:szCs w:val="16"/>
        </w:rPr>
        <w:softHyphen/>
        <w:t>ко пересмотреть концепцию перспектив</w:t>
      </w:r>
      <w:r w:rsidRPr="00271E51">
        <w:rPr>
          <w:rFonts w:ascii="Times New Roman" w:hAnsi="Times New Roman"/>
          <w:color w:val="000000" w:themeColor="text1"/>
          <w:sz w:val="16"/>
          <w:szCs w:val="16"/>
        </w:rPr>
        <w:softHyphen/>
        <w:t>ного штурмовика. Дело в том, что процент встреч штурмовиков Ил-2 с ис</w:t>
      </w:r>
      <w:r w:rsidRPr="00271E51">
        <w:rPr>
          <w:rFonts w:ascii="Times New Roman" w:hAnsi="Times New Roman"/>
          <w:color w:val="000000" w:themeColor="text1"/>
          <w:sz w:val="16"/>
          <w:szCs w:val="16"/>
        </w:rPr>
        <w:softHyphen/>
        <w:t>требителями Люфтваффе при выполне</w:t>
      </w:r>
      <w:r w:rsidRPr="00271E51">
        <w:rPr>
          <w:rFonts w:ascii="Times New Roman" w:hAnsi="Times New Roman"/>
          <w:color w:val="000000" w:themeColor="text1"/>
          <w:sz w:val="16"/>
          <w:szCs w:val="16"/>
        </w:rPr>
        <w:softHyphen/>
        <w:t>нии боевых задач в период 1944 — 1945 гг. в среднем составлял не более 10 — 15 % общего числа боевых вылетов групп (по статистике 2, 5, 8, 16-й и 17-й воздушных армий). В то же время отно</w:t>
      </w:r>
      <w:r w:rsidRPr="00271E51">
        <w:rPr>
          <w:rFonts w:ascii="Times New Roman" w:hAnsi="Times New Roman"/>
          <w:color w:val="000000" w:themeColor="text1"/>
          <w:sz w:val="16"/>
          <w:szCs w:val="16"/>
        </w:rPr>
        <w:softHyphen/>
        <w:t>сительно большие потери стрелков в воздушных боях становились неоправ</w:t>
      </w:r>
      <w:r w:rsidRPr="00271E51">
        <w:rPr>
          <w:rFonts w:ascii="Times New Roman" w:hAnsi="Times New Roman"/>
          <w:color w:val="000000" w:themeColor="text1"/>
          <w:sz w:val="16"/>
          <w:szCs w:val="16"/>
        </w:rPr>
        <w:softHyphen/>
        <w:t>данными по отношению к эффективнос</w:t>
      </w:r>
      <w:r w:rsidRPr="00271E51">
        <w:rPr>
          <w:rFonts w:ascii="Times New Roman" w:hAnsi="Times New Roman"/>
          <w:color w:val="000000" w:themeColor="text1"/>
          <w:sz w:val="16"/>
          <w:szCs w:val="16"/>
        </w:rPr>
        <w:softHyphen/>
        <w:t>ти их оборонительной деятельности (10680).</w:t>
      </w:r>
    </w:p>
    <w:p w14:paraId="0FD111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6BC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конце 1943 г. Микулин приступил к проектированию турбокомпрессора АМТК-1. В основу конструкции этих турбокомпрессоров были положены два изобретения Александра Александровича: постановка турбокомпрессора на один блок мотора при сохранении реактивного выхлопа с другого блока, изготовление лопаток турбины фрезерованием с приданием эллиптической формы корыту (9030).</w:t>
      </w:r>
    </w:p>
    <w:p w14:paraId="660A3D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6C8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конца 1943 г. затянулась работа отечественных моторостроителей по увеличению срока службы и надежности двигателем М-107А. Тем не менее, еще до начала нового 1944 г. ГКО (Постановление №4849) утвердил заключения и выводы Правительственной комиссии по результатам 100-часовых испытаний мотора М-107А и принял двигатель на вооружение ВВС Красной Армии. В результате перед заместителем Наркома авиапромышленности А.А.Завитаевым и директором завода В.П.Баландиным во весь рост встала задача не снижая общего объема выпускаемой продукции построить в январе 1944 г. 100 моторов М-107А с ресурсом 100 часов, а к 22 февраля подготовить предложения о переходе завода №26 на выпуск только моторов М-107А (4842).</w:t>
      </w:r>
    </w:p>
    <w:p w14:paraId="7DB9A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CB7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в КБ П.О.С. велись предва</w:t>
      </w:r>
      <w:r w:rsidRPr="00271E51">
        <w:rPr>
          <w:rFonts w:ascii="Times New Roman" w:hAnsi="Times New Roman"/>
          <w:color w:val="000000" w:themeColor="text1"/>
          <w:sz w:val="16"/>
          <w:szCs w:val="16"/>
        </w:rPr>
        <w:softHyphen/>
        <w:t>рительные проработки проекта одно</w:t>
      </w:r>
      <w:r w:rsidRPr="00271E51">
        <w:rPr>
          <w:rFonts w:ascii="Times New Roman" w:hAnsi="Times New Roman"/>
          <w:color w:val="000000" w:themeColor="text1"/>
          <w:sz w:val="16"/>
          <w:szCs w:val="16"/>
        </w:rPr>
        <w:softHyphen/>
        <w:t>местного истребителя с комбинирован</w:t>
      </w:r>
      <w:r w:rsidRPr="00271E51">
        <w:rPr>
          <w:rFonts w:ascii="Times New Roman" w:hAnsi="Times New Roman"/>
          <w:color w:val="000000" w:themeColor="text1"/>
          <w:sz w:val="16"/>
          <w:szCs w:val="16"/>
        </w:rPr>
        <w:softHyphen/>
        <w:t>ной силовой установкой, выполненной по схеме А.И.Толстова. Принципиаль</w:t>
      </w:r>
      <w:r w:rsidRPr="00271E51">
        <w:rPr>
          <w:rFonts w:ascii="Times New Roman" w:hAnsi="Times New Roman"/>
          <w:color w:val="000000" w:themeColor="text1"/>
          <w:sz w:val="16"/>
          <w:szCs w:val="16"/>
        </w:rPr>
        <w:softHyphen/>
        <w:t>ной особенностью которой являлось использование авиационного дизеля М-30Б с воздушным винтом в каче</w:t>
      </w:r>
      <w:r w:rsidRPr="00271E51">
        <w:rPr>
          <w:rFonts w:ascii="Times New Roman" w:hAnsi="Times New Roman"/>
          <w:color w:val="000000" w:themeColor="text1"/>
          <w:sz w:val="16"/>
          <w:szCs w:val="16"/>
        </w:rPr>
        <w:softHyphen/>
        <w:t>стве основного двигателя самолета, а двух ВРДК, расположенных под консо</w:t>
      </w:r>
      <w:r w:rsidRPr="00271E51">
        <w:rPr>
          <w:rFonts w:ascii="Times New Roman" w:hAnsi="Times New Roman"/>
          <w:color w:val="000000" w:themeColor="text1"/>
          <w:sz w:val="16"/>
          <w:szCs w:val="16"/>
        </w:rPr>
        <w:softHyphen/>
        <w:t>лями крыла, как ускорителей, необхо</w:t>
      </w:r>
      <w:r w:rsidRPr="00271E51">
        <w:rPr>
          <w:rFonts w:ascii="Times New Roman" w:hAnsi="Times New Roman"/>
          <w:color w:val="000000" w:themeColor="text1"/>
          <w:sz w:val="16"/>
          <w:szCs w:val="16"/>
        </w:rPr>
        <w:softHyphen/>
        <w:t>димых для кратковременного увеличе</w:t>
      </w:r>
      <w:r w:rsidRPr="00271E51">
        <w:rPr>
          <w:rFonts w:ascii="Times New Roman" w:hAnsi="Times New Roman"/>
          <w:color w:val="000000" w:themeColor="text1"/>
          <w:sz w:val="16"/>
          <w:szCs w:val="16"/>
        </w:rPr>
        <w:softHyphen/>
        <w:t>ния скорости полета. В данной схеме ВРДК турбина, вращавшая осевой ком</w:t>
      </w:r>
      <w:r w:rsidRPr="00271E51">
        <w:rPr>
          <w:rFonts w:ascii="Times New Roman" w:hAnsi="Times New Roman"/>
          <w:color w:val="000000" w:themeColor="text1"/>
          <w:sz w:val="16"/>
          <w:szCs w:val="16"/>
        </w:rPr>
        <w:softHyphen/>
        <w:t>прессор, приводилась в действие вых</w:t>
      </w:r>
      <w:r w:rsidRPr="00271E51">
        <w:rPr>
          <w:rFonts w:ascii="Times New Roman" w:hAnsi="Times New Roman"/>
          <w:color w:val="000000" w:themeColor="text1"/>
          <w:sz w:val="16"/>
          <w:szCs w:val="16"/>
        </w:rPr>
        <w:softHyphen/>
        <w:t>лопными газами основного двигателя самолета.</w:t>
      </w:r>
    </w:p>
    <w:p w14:paraId="784744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предварительным расчетам, са</w:t>
      </w:r>
      <w:r w:rsidRPr="00271E51">
        <w:rPr>
          <w:rFonts w:ascii="Times New Roman" w:hAnsi="Times New Roman"/>
          <w:color w:val="000000" w:themeColor="text1"/>
          <w:sz w:val="16"/>
          <w:szCs w:val="16"/>
        </w:rPr>
        <w:softHyphen/>
        <w:t>молет должен был иметь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2483"/>
      </w:tblGrid>
      <w:tr w:rsidR="00A907A5" w:rsidRPr="00271E51" w14:paraId="28F31291" w14:textId="77777777" w:rsidTr="00ED5B0A">
        <w:tc>
          <w:tcPr>
            <w:tcW w:w="5635" w:type="dxa"/>
            <w:tcBorders>
              <w:top w:val="single" w:sz="12" w:space="0" w:color="auto"/>
            </w:tcBorders>
            <w:shd w:val="clear" w:color="auto" w:fill="FFFFFF"/>
          </w:tcPr>
          <w:p w14:paraId="61263A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на высоте 8000 м, км/ч</w:t>
            </w:r>
          </w:p>
        </w:tc>
        <w:tc>
          <w:tcPr>
            <w:tcW w:w="2483" w:type="dxa"/>
            <w:tcBorders>
              <w:top w:val="single" w:sz="12" w:space="0" w:color="auto"/>
            </w:tcBorders>
            <w:shd w:val="clear" w:color="auto" w:fill="FFFFFF"/>
          </w:tcPr>
          <w:p w14:paraId="129CEB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770</w:t>
            </w:r>
          </w:p>
        </w:tc>
      </w:tr>
      <w:tr w:rsidR="00A907A5" w:rsidRPr="00271E51" w14:paraId="34AA768B" w14:textId="77777777" w:rsidTr="00ED5B0A">
        <w:tc>
          <w:tcPr>
            <w:tcW w:w="5635" w:type="dxa"/>
            <w:shd w:val="clear" w:color="auto" w:fill="FFFFFF"/>
          </w:tcPr>
          <w:p w14:paraId="101C16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Полетная масса, кг</w:t>
            </w:r>
          </w:p>
        </w:tc>
        <w:tc>
          <w:tcPr>
            <w:tcW w:w="2483" w:type="dxa"/>
            <w:shd w:val="clear" w:color="auto" w:fill="FFFFFF"/>
          </w:tcPr>
          <w:p w14:paraId="208F4D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5800</w:t>
            </w:r>
          </w:p>
        </w:tc>
      </w:tr>
      <w:tr w:rsidR="00A907A5" w:rsidRPr="00271E51" w14:paraId="13946581" w14:textId="77777777" w:rsidTr="00ED5B0A">
        <w:tc>
          <w:tcPr>
            <w:tcW w:w="5635" w:type="dxa"/>
            <w:shd w:val="clear" w:color="auto" w:fill="FFFFFF"/>
          </w:tcPr>
          <w:p w14:paraId="0A927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пустого самолета, кг</w:t>
            </w:r>
          </w:p>
        </w:tc>
        <w:tc>
          <w:tcPr>
            <w:tcW w:w="2483" w:type="dxa"/>
            <w:shd w:val="clear" w:color="auto" w:fill="FFFFFF"/>
          </w:tcPr>
          <w:p w14:paraId="30F3C9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4200</w:t>
            </w:r>
          </w:p>
        </w:tc>
      </w:tr>
      <w:tr w:rsidR="00A907A5" w:rsidRPr="00271E51" w14:paraId="697297AD" w14:textId="77777777" w:rsidTr="00ED5B0A">
        <w:tc>
          <w:tcPr>
            <w:tcW w:w="5635" w:type="dxa"/>
            <w:shd w:val="clear" w:color="auto" w:fill="FFFFFF"/>
          </w:tcPr>
          <w:p w14:paraId="3F06B2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нагрузки, кг</w:t>
            </w:r>
          </w:p>
        </w:tc>
        <w:tc>
          <w:tcPr>
            <w:tcW w:w="2483" w:type="dxa"/>
            <w:shd w:val="clear" w:color="auto" w:fill="FFFFFF"/>
          </w:tcPr>
          <w:p w14:paraId="7EED1C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tc>
      </w:tr>
      <w:tr w:rsidR="00A907A5" w:rsidRPr="00271E51" w14:paraId="7EC0C16B" w14:textId="77777777" w:rsidTr="00ED5B0A">
        <w:tc>
          <w:tcPr>
            <w:tcW w:w="5635" w:type="dxa"/>
            <w:shd w:val="clear" w:color="auto" w:fill="FFFFFF"/>
          </w:tcPr>
          <w:p w14:paraId="6C31BE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самолета, мм</w:t>
            </w:r>
          </w:p>
        </w:tc>
        <w:tc>
          <w:tcPr>
            <w:tcW w:w="2483" w:type="dxa"/>
            <w:shd w:val="clear" w:color="auto" w:fill="FFFFFF"/>
          </w:tcPr>
          <w:p w14:paraId="4B75BC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11280</w:t>
            </w:r>
          </w:p>
        </w:tc>
      </w:tr>
      <w:tr w:rsidR="00A907A5" w:rsidRPr="00271E51" w14:paraId="5B7B9232" w14:textId="77777777" w:rsidTr="00ED5B0A">
        <w:tc>
          <w:tcPr>
            <w:tcW w:w="5635" w:type="dxa"/>
            <w:shd w:val="clear" w:color="auto" w:fill="FFFFFF"/>
          </w:tcPr>
          <w:p w14:paraId="43C913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мм</w:t>
            </w:r>
          </w:p>
        </w:tc>
        <w:tc>
          <w:tcPr>
            <w:tcW w:w="2483" w:type="dxa"/>
            <w:shd w:val="clear" w:color="auto" w:fill="FFFFFF"/>
          </w:tcPr>
          <w:p w14:paraId="13EF3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13450</w:t>
            </w:r>
          </w:p>
        </w:tc>
      </w:tr>
      <w:tr w:rsidR="00A907A5" w:rsidRPr="00271E51" w14:paraId="0AA5B802" w14:textId="77777777" w:rsidTr="00ED5B0A">
        <w:tc>
          <w:tcPr>
            <w:tcW w:w="5635" w:type="dxa"/>
            <w:tcBorders>
              <w:bottom w:val="single" w:sz="12" w:space="0" w:color="auto"/>
            </w:tcBorders>
            <w:shd w:val="clear" w:color="auto" w:fill="FFFFFF"/>
          </w:tcPr>
          <w:p w14:paraId="2EA462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271E51">
              <w:rPr>
                <w:rFonts w:ascii="Times New Roman" w:hAnsi="Times New Roman"/>
                <w:color w:val="000000" w:themeColor="text1"/>
                <w:sz w:val="16"/>
                <w:szCs w:val="16"/>
              </w:rPr>
              <w:t>Площадь крыла, м</w:t>
            </w:r>
            <w:r w:rsidRPr="00271E51">
              <w:rPr>
                <w:rFonts w:ascii="Times New Roman" w:hAnsi="Times New Roman"/>
                <w:color w:val="000000" w:themeColor="text1"/>
                <w:sz w:val="16"/>
                <w:szCs w:val="16"/>
                <w:vertAlign w:val="superscript"/>
              </w:rPr>
              <w:t>2</w:t>
            </w:r>
          </w:p>
        </w:tc>
        <w:tc>
          <w:tcPr>
            <w:tcW w:w="2483" w:type="dxa"/>
            <w:tcBorders>
              <w:bottom w:val="single" w:sz="12" w:space="0" w:color="auto"/>
            </w:tcBorders>
            <w:shd w:val="clear" w:color="auto" w:fill="FFFFFF"/>
          </w:tcPr>
          <w:p w14:paraId="7361D1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 (10669).</w:t>
            </w:r>
          </w:p>
        </w:tc>
      </w:tr>
    </w:tbl>
    <w:p w14:paraId="1290CE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EA499" w14:textId="77777777" w:rsidR="00DD2B77" w:rsidRPr="00271E51" w:rsidRDefault="00DD2B7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концу 1943 г. в ОКБ П.О. Сухого уже велись предварительные проработки проекта одноместного истреби теля с комбинированной силовой установкой, выполненной по схеме А.И. Толстова. Принципиальной особенностью которой являлось использование авиационного дизеля М-30Б с воздущным винтом в качестве основного двигателя самолета, а двух ВРДК, расположенных под консолями крыла, как ускорите лей, необходимых для кратковременного увеличения скорос ти полета. В данной схеме ВРДК турбина, вращавшая осевой компрессор, приводилась в действие выхлопными газами ос новного двигателя самолета.</w:t>
      </w:r>
    </w:p>
    <w:p w14:paraId="41DD6743" w14:textId="77777777" w:rsidR="00DD2B77" w:rsidRPr="00271E51" w:rsidRDefault="00DD2B77"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началу 1944 г. работы по такому самолету были прекра щены в связи с большими трудностями, возникшими при со здании данной схемы ВРДК. Однако следует отметить, что в начале 1945 г. П.О.Сухой еще раз вернулся к этой силовой установке, но уже применительно к самолету Ер-2 (19586).</w:t>
      </w:r>
    </w:p>
    <w:p w14:paraId="65CF3B79" w14:textId="77777777" w:rsidR="00DD2B77" w:rsidRPr="00271E51" w:rsidRDefault="00DD2B77" w:rsidP="00271E51">
      <w:pPr>
        <w:pStyle w:val="ae"/>
        <w:shd w:val="clear" w:color="auto" w:fill="FFFFFF"/>
        <w:spacing w:before="0" w:after="0"/>
        <w:jc w:val="both"/>
        <w:rPr>
          <w:color w:val="000000" w:themeColor="text1"/>
          <w:sz w:val="16"/>
          <w:szCs w:val="16"/>
        </w:rPr>
      </w:pPr>
    </w:p>
    <w:p w14:paraId="5A296B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Нач. ВВС ВМФ С.Ф.Жаворонков выпустил приказ, в соответствии с которым ЛИИ ВВС ВМФ в 1944 провел испытания с целью проверки эффективности метода топмачтового бомбометания и д. Вопросов. Следовало определить и наиболее подходящие самолеты. Основные требования: высокая маневренность, живучесть сильное вооружение, достаточная бомбовая нагрузка. Отрабатывали на Пе-2, Ил-4 и Ил-2, а также на ленд-лизовских - Киттихок и Бостон. Более пригодными признали Ил-2 и ленд-лизовские машины. Рекомендации направили на флоты для исполнения. Подготовили таблицы с применением прицела л, в т.ч. коллиматорного прицела Пе-2. Обратили внимание и на изучение рикошетирующих свойств бомб различного типа и калибра. Наилучшими баллистическими и рикошетирующими свойствами обладали ФАБ-250 и более крупного калибра с перьевыми стабилизаторами. ФАБ-100 с коробчатыми съемными стабилизаторами оказались малопригодными, т.к. стабилизатор иногда отламывался (4414,9).</w:t>
      </w:r>
    </w:p>
    <w:p w14:paraId="0209E4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9952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установку ФЗ решили установить на новый вариант двухмоторного истребителя Пе-3, производство которого возобновлялось на казанском заводе. Другим нововведением должно было стать крыло с модифицированным профилем носка, значительно улучшавшим поведение машины при посадке. Первый самолет этого типа был закончен в феврале 1944 г. (4476).</w:t>
      </w:r>
    </w:p>
    <w:p w14:paraId="24F233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365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в производство на заводе №22 был запущен модифицированный Пе-8 4М-82ФН ТК-3. Ему присвоили заводское обозначение самолет "Т". По машине ОКБ выдало в опытное производство 4483 рабочих чертежей. Чертежи были проработаны технологическим отделом, составлены производственные графики изготовления отдельных агрегатов самолета, была выдана документация на изготовление необходимой дополнительной оснастки. К началу весны 1944 года часть новых стапелей, а также некоторое количество деталей для новой машины было уже изготовлено (7685).</w:t>
      </w:r>
    </w:p>
    <w:p w14:paraId="696E33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733E9" w14:textId="77777777" w:rsidR="00FC04C9" w:rsidRPr="00271E51" w:rsidRDefault="00FC04C9"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конце 1943 года модифицированный Пе-8 был запущен в производство на заводе №22. Ему присвоили заводское обозначение самолет "Т". По машине ОКБ выдало в опытное производство 4483 рабочих чертежей. Чертежи были проработаны технологическим отделом, составлены производственные графики изготовления отдельных агрегатов самолета, была выдана документация на изготовление необходимой дополнительной оснастки. К началу весны 1944 года часть новых стапелей, а также некоторое количество деталей для новой машины было уже изготовлено (12187).</w:t>
      </w:r>
    </w:p>
    <w:p w14:paraId="664F59A5" w14:textId="77777777" w:rsidR="00FC04C9" w:rsidRPr="00271E51" w:rsidRDefault="00FC04C9" w:rsidP="00271E51">
      <w:pPr>
        <w:pStyle w:val="ae"/>
        <w:shd w:val="clear" w:color="auto" w:fill="FFFFFF"/>
        <w:spacing w:before="0" w:after="0"/>
        <w:jc w:val="both"/>
        <w:rPr>
          <w:color w:val="000000" w:themeColor="text1"/>
          <w:sz w:val="16"/>
          <w:szCs w:val="16"/>
        </w:rPr>
      </w:pPr>
    </w:p>
    <w:p w14:paraId="0D2EED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был готов эскизный проект нового морского разведчика Г.М.Б., получившего обозначение ЛЛ-143. У Г.М.Б. на 477 заводе было всего 36 конструкторов (3939,4).</w:t>
      </w:r>
    </w:p>
    <w:p w14:paraId="5C518A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DCB5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начале 1944 года авиазавод в Красно</w:t>
      </w:r>
      <w:r w:rsidRPr="00271E51">
        <w:rPr>
          <w:rFonts w:ascii="Times New Roman" w:hAnsi="Times New Roman"/>
          <w:color w:val="000000" w:themeColor="text1"/>
          <w:sz w:val="16"/>
          <w:szCs w:val="16"/>
        </w:rPr>
        <w:softHyphen/>
        <w:t>ярске начал поставлять КОР-2 на Балтийский флот. Всего сюда поступило 12 экземпляров, которые вошли в состав 29-й отдельной разведывательной эскадрильи. В начале 1945 г. здесь числилось 10 самоле</w:t>
      </w:r>
      <w:r w:rsidRPr="00271E51">
        <w:rPr>
          <w:rFonts w:ascii="Times New Roman" w:hAnsi="Times New Roman"/>
          <w:color w:val="000000" w:themeColor="text1"/>
          <w:sz w:val="16"/>
          <w:szCs w:val="16"/>
        </w:rPr>
        <w:softHyphen/>
        <w:t>тов КОР-2 (Бе-4): №№ 4770205, 4770302, 4770305, 4770303, 4770405, 4770301, 4770401, 4770403, 4770404, 4770402, 4770205. По со</w:t>
      </w:r>
      <w:r w:rsidRPr="00271E51">
        <w:rPr>
          <w:rFonts w:ascii="Times New Roman" w:hAnsi="Times New Roman"/>
          <w:color w:val="000000" w:themeColor="text1"/>
          <w:sz w:val="16"/>
          <w:szCs w:val="16"/>
        </w:rPr>
        <w:softHyphen/>
        <w:t>стоянию на 9 мая в строю оставалось 9 эк</w:t>
      </w:r>
      <w:r w:rsidRPr="00271E51">
        <w:rPr>
          <w:rFonts w:ascii="Times New Roman" w:hAnsi="Times New Roman"/>
          <w:color w:val="000000" w:themeColor="text1"/>
          <w:sz w:val="16"/>
          <w:szCs w:val="16"/>
        </w:rPr>
        <w:softHyphen/>
        <w:t>земпляров. Известно, что один из первых поставленных самолетов потерпел аварию в конце 1943 г. на аэродроме Гора-Валдай. КОР-2, заводской №4770303, хвостовой но</w:t>
      </w:r>
      <w:r w:rsidRPr="00271E51">
        <w:rPr>
          <w:rFonts w:ascii="Times New Roman" w:hAnsi="Times New Roman"/>
          <w:color w:val="000000" w:themeColor="text1"/>
          <w:sz w:val="16"/>
          <w:szCs w:val="16"/>
        </w:rPr>
        <w:softHyphen/>
        <w:t xml:space="preserve">мер 3, выпущенный в марте 1944 г., налетал 35 </w:t>
      </w:r>
      <w:r w:rsidRPr="00271E51">
        <w:rPr>
          <w:rFonts w:ascii="Times New Roman" w:hAnsi="Times New Roman"/>
          <w:color w:val="000000" w:themeColor="text1"/>
          <w:sz w:val="16"/>
          <w:szCs w:val="16"/>
        </w:rPr>
        <w:lastRenderedPageBreak/>
        <w:t>часов. Пилотируемый командиром 17-й оаэ майором И.Г.Мирошниченко самолет потерпел аварию 13 апреля 1945 г. При со</w:t>
      </w:r>
      <w:r w:rsidRPr="00271E51">
        <w:rPr>
          <w:rFonts w:ascii="Times New Roman" w:hAnsi="Times New Roman"/>
          <w:color w:val="000000" w:themeColor="text1"/>
          <w:sz w:val="16"/>
          <w:szCs w:val="16"/>
        </w:rPr>
        <w:softHyphen/>
        <w:t>вершении грубой посадки на озере Киш этот КОР-2 выполнил два «барса» (т.е. взмыва</w:t>
      </w:r>
      <w:r w:rsidRPr="00271E51">
        <w:rPr>
          <w:rFonts w:ascii="Times New Roman" w:hAnsi="Times New Roman"/>
          <w:color w:val="000000" w:themeColor="text1"/>
          <w:sz w:val="16"/>
          <w:szCs w:val="16"/>
        </w:rPr>
        <w:softHyphen/>
        <w:t>ния), ударился о воду и начал тонуть. Само</w:t>
      </w:r>
      <w:r w:rsidRPr="00271E51">
        <w:rPr>
          <w:rFonts w:ascii="Times New Roman" w:hAnsi="Times New Roman"/>
          <w:color w:val="000000" w:themeColor="text1"/>
          <w:sz w:val="16"/>
          <w:szCs w:val="16"/>
        </w:rPr>
        <w:softHyphen/>
        <w:t>лет пришлось списать.</w:t>
      </w:r>
    </w:p>
    <w:p w14:paraId="40AED3A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Использование КОР-2 на Балтике было эпизодическим, в основном осуществлялись вылеты на разведку побережья и для спасе</w:t>
      </w:r>
      <w:r w:rsidRPr="00271E51">
        <w:rPr>
          <w:rFonts w:ascii="Times New Roman" w:hAnsi="Times New Roman"/>
          <w:color w:val="000000" w:themeColor="text1"/>
          <w:sz w:val="16"/>
          <w:szCs w:val="16"/>
        </w:rPr>
        <w:softHyphen/>
        <w:t>ния летчиков со сбитых самолетов. 22 июля 1944 г., после нанесения удара по немецким кораблям в Балтийском море, Ил-2 из соста</w:t>
      </w:r>
      <w:r w:rsidRPr="00271E51">
        <w:rPr>
          <w:rFonts w:ascii="Times New Roman" w:hAnsi="Times New Roman"/>
          <w:color w:val="000000" w:themeColor="text1"/>
          <w:sz w:val="16"/>
          <w:szCs w:val="16"/>
        </w:rPr>
        <w:softHyphen/>
        <w:t>ва 8-го гвардейского штурмового авиапол</w:t>
      </w:r>
      <w:r w:rsidRPr="00271E51">
        <w:rPr>
          <w:rFonts w:ascii="Times New Roman" w:hAnsi="Times New Roman"/>
          <w:color w:val="000000" w:themeColor="text1"/>
          <w:sz w:val="16"/>
          <w:szCs w:val="16"/>
        </w:rPr>
        <w:softHyphen/>
        <w:t>ка 11-й штурмовой авиадивизии по причи</w:t>
      </w:r>
      <w:r w:rsidRPr="00271E51">
        <w:rPr>
          <w:rFonts w:ascii="Times New Roman" w:hAnsi="Times New Roman"/>
          <w:color w:val="000000" w:themeColor="text1"/>
          <w:sz w:val="16"/>
          <w:szCs w:val="16"/>
        </w:rPr>
        <w:softHyphen/>
        <w:t>не отказа двигателя совершил вынужденную посадку в Финском заливе. Самолет быстро затонул, пилот Кузнецов и стрелок Стрижак перебрались в спасательную лодку. Короткое время спустя их атаковала пара ФВ-190, ко</w:t>
      </w:r>
      <w:r w:rsidRPr="00271E51">
        <w:rPr>
          <w:rFonts w:ascii="Times New Roman" w:hAnsi="Times New Roman"/>
          <w:color w:val="000000" w:themeColor="text1"/>
          <w:sz w:val="16"/>
          <w:szCs w:val="16"/>
        </w:rPr>
        <w:softHyphen/>
        <w:t>торую отогнали истребители Ла-5. Чуть поз же «лавочкины» навели на терпящих бедст</w:t>
      </w:r>
      <w:r w:rsidRPr="00271E51">
        <w:rPr>
          <w:rFonts w:ascii="Times New Roman" w:hAnsi="Times New Roman"/>
          <w:color w:val="000000" w:themeColor="text1"/>
          <w:sz w:val="16"/>
          <w:szCs w:val="16"/>
        </w:rPr>
        <w:softHyphen/>
        <w:t>вие летчиков КОР-2, вылетевший с гидроаэ</w:t>
      </w:r>
      <w:r w:rsidRPr="00271E51">
        <w:rPr>
          <w:rFonts w:ascii="Times New Roman" w:hAnsi="Times New Roman"/>
          <w:color w:val="000000" w:themeColor="text1"/>
          <w:sz w:val="16"/>
          <w:szCs w:val="16"/>
        </w:rPr>
        <w:softHyphen/>
        <w:t>родрома Гора-Валдай. Пилот этой летающей лодки майор Апарин удачно приводнился, забрал летчиков и доставил их домой.</w:t>
      </w:r>
    </w:p>
    <w:p w14:paraId="0DFB4C1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начиная с само</w:t>
      </w:r>
      <w:r w:rsidRPr="00271E51">
        <w:rPr>
          <w:rFonts w:ascii="Times New Roman" w:hAnsi="Times New Roman"/>
          <w:color w:val="000000" w:themeColor="text1"/>
          <w:sz w:val="16"/>
          <w:szCs w:val="16"/>
        </w:rPr>
        <w:softHyphen/>
        <w:t>лета №4770202, КОР-2 стали оснащаться до</w:t>
      </w:r>
      <w:r w:rsidRPr="00271E51">
        <w:rPr>
          <w:rFonts w:ascii="Times New Roman" w:hAnsi="Times New Roman"/>
          <w:color w:val="000000" w:themeColor="text1"/>
          <w:sz w:val="16"/>
          <w:szCs w:val="16"/>
        </w:rPr>
        <w:softHyphen/>
        <w:t>полнительными топливными баками общей емкостью 300 л. Два таких бака размешались в районе центра тяжести внутри корпуса лод ки таким образом, чтобы остался проход из кабины стрелка к пилотам. Дальность увели</w:t>
      </w:r>
      <w:r w:rsidRPr="00271E51">
        <w:rPr>
          <w:rFonts w:ascii="Times New Roman" w:hAnsi="Times New Roman"/>
          <w:color w:val="000000" w:themeColor="text1"/>
          <w:sz w:val="16"/>
          <w:szCs w:val="16"/>
        </w:rPr>
        <w:softHyphen/>
        <w:t>чилась, теперь самолет мог осуществлять по</w:t>
      </w:r>
      <w:r w:rsidRPr="00271E51">
        <w:rPr>
          <w:rFonts w:ascii="Times New Roman" w:hAnsi="Times New Roman"/>
          <w:color w:val="000000" w:themeColor="text1"/>
          <w:sz w:val="16"/>
          <w:szCs w:val="16"/>
        </w:rPr>
        <w:softHyphen/>
        <w:t>леты на радиусе до 575 км. Взлетный вес при этом перевалил за три тонны, поэтому, когда понадобилось выполнить очередное требова</w:t>
      </w:r>
      <w:r w:rsidRPr="00271E51">
        <w:rPr>
          <w:rFonts w:ascii="Times New Roman" w:hAnsi="Times New Roman"/>
          <w:color w:val="000000" w:themeColor="text1"/>
          <w:sz w:val="16"/>
          <w:szCs w:val="16"/>
        </w:rPr>
        <w:softHyphen/>
        <w:t>ние военных и увеличить огневую мощь кор</w:t>
      </w:r>
      <w:r w:rsidRPr="00271E51">
        <w:rPr>
          <w:rFonts w:ascii="Times New Roman" w:hAnsi="Times New Roman"/>
          <w:color w:val="000000" w:themeColor="text1"/>
          <w:sz w:val="16"/>
          <w:szCs w:val="16"/>
        </w:rPr>
        <w:softHyphen/>
        <w:t>мовой установки, конструкторам пришлось идти на компромиссное решение. Взамен пу</w:t>
      </w:r>
      <w:r w:rsidRPr="00271E51">
        <w:rPr>
          <w:rFonts w:ascii="Times New Roman" w:hAnsi="Times New Roman"/>
          <w:color w:val="000000" w:themeColor="text1"/>
          <w:sz w:val="16"/>
          <w:szCs w:val="16"/>
        </w:rPr>
        <w:softHyphen/>
        <w:t>лемета ШКАС калибра 7,62 мм для обстрела задней полусферы установили крупнокали</w:t>
      </w:r>
      <w:r w:rsidRPr="00271E51">
        <w:rPr>
          <w:rFonts w:ascii="Times New Roman" w:hAnsi="Times New Roman"/>
          <w:color w:val="000000" w:themeColor="text1"/>
          <w:sz w:val="16"/>
          <w:szCs w:val="16"/>
        </w:rPr>
        <w:softHyphen/>
        <w:t>берный пулемет УБТ калибра 12,7 мм на ту</w:t>
      </w:r>
      <w:r w:rsidRPr="00271E51">
        <w:rPr>
          <w:rFonts w:ascii="Times New Roman" w:hAnsi="Times New Roman"/>
          <w:color w:val="000000" w:themeColor="text1"/>
          <w:sz w:val="16"/>
          <w:szCs w:val="16"/>
        </w:rPr>
        <w:softHyphen/>
        <w:t>рели ВУБ-3 (начиная с самолета №4770305), однако взамен сняли один курсовой пуле</w:t>
      </w:r>
      <w:r w:rsidRPr="00271E51">
        <w:rPr>
          <w:rFonts w:ascii="Times New Roman" w:hAnsi="Times New Roman"/>
          <w:color w:val="000000" w:themeColor="text1"/>
          <w:sz w:val="16"/>
          <w:szCs w:val="16"/>
        </w:rPr>
        <w:softHyphen/>
        <w:t>мет. В таком виде КОР-2 поставлялись заво</w:t>
      </w:r>
      <w:r w:rsidRPr="00271E51">
        <w:rPr>
          <w:rFonts w:ascii="Times New Roman" w:hAnsi="Times New Roman"/>
          <w:color w:val="000000" w:themeColor="text1"/>
          <w:sz w:val="16"/>
          <w:szCs w:val="16"/>
        </w:rPr>
        <w:softHyphen/>
        <w:t>дом №477 в 1944—45 гг., вплоть до окончания производства. Конструкторское бюро Бери- ева в тот период уже полностью переключи</w:t>
      </w:r>
      <w:r w:rsidRPr="00271E51">
        <w:rPr>
          <w:rFonts w:ascii="Times New Roman" w:hAnsi="Times New Roman"/>
          <w:color w:val="000000" w:themeColor="text1"/>
          <w:sz w:val="16"/>
          <w:szCs w:val="16"/>
        </w:rPr>
        <w:softHyphen/>
        <w:t xml:space="preserve"> лось на проектирование тяжелой двухмотор</w:t>
      </w:r>
      <w:r w:rsidRPr="00271E51">
        <w:rPr>
          <w:rFonts w:ascii="Times New Roman" w:hAnsi="Times New Roman"/>
          <w:color w:val="000000" w:themeColor="text1"/>
          <w:sz w:val="16"/>
          <w:szCs w:val="16"/>
        </w:rPr>
        <w:softHyphen/>
        <w:t>ной летающей лодки ЛЛ-143, ставшей впо</w:t>
      </w:r>
      <w:r w:rsidRPr="00271E51">
        <w:rPr>
          <w:rFonts w:ascii="Times New Roman" w:hAnsi="Times New Roman"/>
          <w:color w:val="000000" w:themeColor="text1"/>
          <w:sz w:val="16"/>
          <w:szCs w:val="16"/>
        </w:rPr>
        <w:softHyphen/>
        <w:t>следствии известной как Бе-6 (12301).</w:t>
      </w:r>
    </w:p>
    <w:p w14:paraId="7CA4048B"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B4F4D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П.В.Цыбину было выдано задание на планер Ц-25 на 25 десантников или 2200 кг грузов и его опытный экз. Был построен в конце 1944 на заводе 468 в Бескудниково (4834,18).</w:t>
      </w:r>
    </w:p>
    <w:p w14:paraId="6C4B85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4A5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1943-го П.В.Цыбину выдали задание на проектирование планера Ц-25, рассчитанного на 25 десантников или 2200 кг грузов,. Его опытный экземпляр построили (по данным К.В.Грибовского, в конце 1944-го) на заводе десантного оборудования №468 в поселке Бескудниково (ныне район Москвы). Из-за нехватки рабочих к его строительству привлекли планеристов ВДВ, кому не хватило планеров, и кто имел столярные и слесарные специальности. Из-за малых размеров сборочного цеха аппарат размещался в нем лишь по диагонали. Ц-25 изготовлялся, в основном, из древесины — недефицитного и дешевого конструкционного материала, более всего подходившего для машины, рассчитанной на одноразовое применение. Ц-25 имел высокопланную схему с трапециевидным крылом, доставшуюся от своего предшественника КЦ-20, разработанного П.В.Цыбиным совместно с Д.И.Колесниковым в 1941-м и строившимся для ВДВ в 1942–1943-х годах. Крупными недостатками КЦ-20 были невозможность полностью использовать его грузоподъемность (отсутствовал грузовой люк большего размера) и переднее расположение кабины экипажа, приводившее к гибели экипажа при столкновении планеров с препятствиями на посадках в боевых условиях. Например, старший сержант Шуткин разбился на партизанском аэродроме, врезавшись в деревья из-за неправильного расположения посадочных знаков, выложенных неквалифицированной стартовой командой. На Ц-25 носовую часть сделали откидной (в правую сторону). Грузовая кабина имела длину — 6, ширину -1,8, высоту 1,7 м. Для погрузки техники (дивизионной пушки с тягачом) или 25 десантников служил двухколейный трап, который в полете использовался как сиденья. По сравнению с КЦ-20, аэродинамика Ц-25 ухудшилась из-за переноса кабины на верх фюзеляжа. Последний получился «двухэтажным» — под кабиной пилотов располагалась техника или десантники, над пилотами — люк аварийного покидания со сбрасываемой остекленной крышкой. Ухудшили аэродинамику на Ц-25 и подкосы крыла. В районе крепления подкосов применили профиль Р-11М — относительной толщиной 14%, в остальной части -10%. Однолонжеронное крыло (размах крыла -25,2 м, площадь крыла 70 кв.м) со щелевыми элеронами и закрылками состояло из двух отъемных частей, крепившихся к фюзеляжу. Крыло в передней части обшивалось фанерой, а остальная часть — полотном. Отклонение закрылков на 45 град, снижало максимальное аэродинамическое качество с 16 до 9, что увеличивало крутизну глиссады. При этом скорость снижения изменялась с 2–4 до 5–6м/с, а горизонтальная — со 140 до 130км/ч. Использование закрылков на планере давало еще одно преимущество — позволяло уточнять расчет на посадку. Для этого закрылки в случае явного недотягивания до расчетного места приземления убирали (но не ниже 75-метровой высоты). В отличие от КЦ-20, на Ц-25 на крыле имелись интерцепторы. Их выпуск совместно с закрылками увеличивал вертикальную скорость снижения до 8 м/с. Их также использовали для уточнения расчета на посадку, но до высоты 50 м. Отказ от турели на Ц-25 (которая на КЦ-20 планировалась, для чего зарезервировали место), вызвал переход к однокилевому оперению. На руле высоты имелся управляемый триммер, на руле направления — пластинчатый (нож — прим. ред.). Проводка к рулю направления — тросовая, к элеронам и рулю высоты при помощи жестких тяг.  Посадка осуществлялась на лыжу с резиновой амортизацией. Основные опоры взлетного шасси — с одиночными колесами размером 800x260 мм. Тормоза с приводом от пневмосистемы. Переход на шасси с носовой опорой (колесо размером 470x210 мм) был вынужденным решением, и проходимость планера от этого ухудшилась. Чтобы уменьшить вероятность поломки передней опоры на неподготовленные площадки, в верхнем узле она крепилась штифтом, срезавшимся при действии на опору чрезмерной нагрузки. Летные испытания в НИИ ВВС проводил М.Ф.Романов, служивший в обычной планерной части. Ц-25 красивым не назовешь. За эксплуатационные выгоды пришлось заплатить чистотой форм, присущей КЦ-20. При этом утеряли еще одно свойство КЦ-20 — способность совершать взлеты и посадки без взлетно-посадочных устройств (на днище фюзеляжа). Серийный выпуск планеров освоил оренбургский авиазавод №47. Всего построили 251 Ц-25. Из них 24 — в 1947-м, когда их только освоили. Максимум выпуска пришелся на 1948-й -127 машин. В последнем 1949-м сдали заказчику 100 планеров и завод начинал освоение Як-14. До августа 1948-го в НИИ ВВС испытывались два модифицированных Ц-25. Более тяжелый Ил-12 с Ц-25 на буксире проигрывал в скорости горизонтального полета аэросцепке с Ту-2–286 км/ч против 321 км/ч соответственно. Однако аэропоезд с Ил-12 обладал меньшим разбегом 810м против 875 м с Ту-2. Чтобы аэропоезду с Ту-2 сохранить ту же взлетную дистанцию 2200 м как у сцепки с Ил-12, использовали форсажный режим двигателей вместо номинального у «Ила». Ил-12 также обеспечивал больший избыток скорости для набора 2000 м — 80 км/ч против 15, больший потолок — 3860 м против 3000 м и меньшее время набора высоты 3000 м — 28 вместо 30 мин. Максимальная скорость в свободном планировании доходила до 345 км/ч, минимальная -115–125 км/ч, наивыгоднейшая -155–160, посадочная 80. Пробег -355 м. Испытания выявили невозможность полета на планере без балансировочного груза, иначе планер имел заднюю центровку. Распространенным дефектом Ц-25 — обрыв стального буксировочного троса. Обычно это происходило перед взлетом, при выбирании слабины. Радикально избавиться от него так и не смогли. Ц-25 базировались на аэродромах от Белоруссии до Дальнего Востока (11810).</w:t>
      </w:r>
    </w:p>
    <w:p w14:paraId="6C9F14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BC97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конструкторское бюро Цыбина было воссоздано, и он вернулся к активной конструк</w:t>
      </w:r>
      <w:r w:rsidRPr="00271E51">
        <w:rPr>
          <w:rFonts w:ascii="Times New Roman" w:hAnsi="Times New Roman"/>
          <w:color w:val="000000" w:themeColor="text1"/>
          <w:sz w:val="16"/>
          <w:szCs w:val="16"/>
        </w:rPr>
        <w:softHyphen/>
        <w:t>торской работе. Новому коллективу было выдано за</w:t>
      </w:r>
      <w:r w:rsidRPr="00271E51">
        <w:rPr>
          <w:rFonts w:ascii="Times New Roman" w:hAnsi="Times New Roman"/>
          <w:color w:val="000000" w:themeColor="text1"/>
          <w:sz w:val="16"/>
          <w:szCs w:val="16"/>
        </w:rPr>
        <w:softHyphen/>
        <w:t>дание на проектирование тяжелого десантного пла</w:t>
      </w:r>
      <w:r w:rsidRPr="00271E51">
        <w:rPr>
          <w:rFonts w:ascii="Times New Roman" w:hAnsi="Times New Roman"/>
          <w:color w:val="000000" w:themeColor="text1"/>
          <w:sz w:val="16"/>
          <w:szCs w:val="16"/>
        </w:rPr>
        <w:softHyphen/>
        <w:t>нера, способного перевозить 25 десантников (грузо</w:t>
      </w:r>
      <w:r w:rsidRPr="00271E51">
        <w:rPr>
          <w:rFonts w:ascii="Times New Roman" w:hAnsi="Times New Roman"/>
          <w:color w:val="000000" w:themeColor="text1"/>
          <w:sz w:val="16"/>
          <w:szCs w:val="16"/>
        </w:rPr>
        <w:softHyphen/>
        <w:t>подъемность 2200 кг). История возникновения такого задания не совсем понятна, ведь к тому времени се</w:t>
      </w:r>
      <w:r w:rsidRPr="00271E51">
        <w:rPr>
          <w:rFonts w:ascii="Times New Roman" w:hAnsi="Times New Roman"/>
          <w:color w:val="000000" w:themeColor="text1"/>
          <w:sz w:val="16"/>
          <w:szCs w:val="16"/>
        </w:rPr>
        <w:softHyphen/>
        <w:t>рийно выпускались планеры А-7 и Г-11, способные перевозить 7 и 11 десантников соответственно. При</w:t>
      </w:r>
      <w:r w:rsidRPr="00271E51">
        <w:rPr>
          <w:rFonts w:ascii="Times New Roman" w:hAnsi="Times New Roman"/>
          <w:color w:val="000000" w:themeColor="text1"/>
          <w:sz w:val="16"/>
          <w:szCs w:val="16"/>
        </w:rPr>
        <w:softHyphen/>
        <w:t>чем эти планеры выпускались в таких количествах, что десантные войска и Штаб партизанского движения не успевали их использовать. Руководство, выдавшее задание, исходило, по-видимо</w:t>
      </w:r>
      <w:r w:rsidRPr="00271E51">
        <w:rPr>
          <w:rFonts w:ascii="Times New Roman" w:hAnsi="Times New Roman"/>
          <w:color w:val="000000" w:themeColor="text1"/>
          <w:sz w:val="16"/>
          <w:szCs w:val="16"/>
        </w:rPr>
        <w:softHyphen/>
        <w:t>му, из тех соображений, что после перелома в войне, наступившего после Сталинградской битвы, Красная Армия перейдет в наступление и ей понадобятся тя</w:t>
      </w:r>
      <w:r w:rsidRPr="00271E51">
        <w:rPr>
          <w:rFonts w:ascii="Times New Roman" w:hAnsi="Times New Roman"/>
          <w:color w:val="000000" w:themeColor="text1"/>
          <w:sz w:val="16"/>
          <w:szCs w:val="16"/>
        </w:rPr>
        <w:softHyphen/>
        <w:t>желые планеры в будущих десантных операциях. А проблема буксировщиков решится как-нибудь сама собой, возможно, путем использования мощных бом</w:t>
      </w:r>
      <w:r w:rsidRPr="00271E51">
        <w:rPr>
          <w:rFonts w:ascii="Times New Roman" w:hAnsi="Times New Roman"/>
          <w:color w:val="000000" w:themeColor="text1"/>
          <w:sz w:val="16"/>
          <w:szCs w:val="16"/>
        </w:rPr>
        <w:softHyphen/>
        <w:t>бардировщиков, поставляемых по ленд-лизу.</w:t>
      </w:r>
    </w:p>
    <w:p w14:paraId="499BB6D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Серийно выпускался также тяжелый планер КЦ-20, пред</w:t>
      </w:r>
      <w:r w:rsidRPr="00271E51">
        <w:rPr>
          <w:rFonts w:ascii="Times New Roman" w:hAnsi="Times New Roman"/>
          <w:color w:val="000000" w:themeColor="text1"/>
          <w:sz w:val="16"/>
          <w:szCs w:val="16"/>
        </w:rPr>
        <w:softHyphen/>
        <w:t>назначенный для транспорти</w:t>
      </w:r>
      <w:r w:rsidRPr="00271E51">
        <w:rPr>
          <w:rFonts w:ascii="Times New Roman" w:hAnsi="Times New Roman"/>
          <w:color w:val="000000" w:themeColor="text1"/>
          <w:sz w:val="16"/>
          <w:szCs w:val="16"/>
        </w:rPr>
        <w:softHyphen/>
        <w:t>ровки 20 десантников. Эта ма</w:t>
      </w:r>
      <w:r w:rsidRPr="00271E51">
        <w:rPr>
          <w:rFonts w:ascii="Times New Roman" w:hAnsi="Times New Roman"/>
          <w:color w:val="000000" w:themeColor="text1"/>
          <w:sz w:val="16"/>
          <w:szCs w:val="16"/>
        </w:rPr>
        <w:softHyphen/>
        <w:t>шина ограниченно применя</w:t>
      </w:r>
      <w:r w:rsidRPr="00271E51">
        <w:rPr>
          <w:rFonts w:ascii="Times New Roman" w:hAnsi="Times New Roman"/>
          <w:color w:val="000000" w:themeColor="text1"/>
          <w:sz w:val="16"/>
          <w:szCs w:val="16"/>
        </w:rPr>
        <w:softHyphen/>
        <w:t>лась для снабжения партизан. Но КЦ-20 имел существенный конструктивный недостаток — отсутствие широкой грузовой двери не позволяло загружать габаритные грузы и полностью использовать грузоподъем</w:t>
      </w:r>
      <w:r w:rsidRPr="00271E51">
        <w:rPr>
          <w:rFonts w:ascii="Times New Roman" w:hAnsi="Times New Roman"/>
          <w:color w:val="000000" w:themeColor="text1"/>
          <w:sz w:val="16"/>
          <w:szCs w:val="16"/>
        </w:rPr>
        <w:softHyphen/>
        <w:t>ность планера. Остро также стояла проблема самолетов-буксировщиков.</w:t>
      </w:r>
    </w:p>
    <w:p w14:paraId="75C11D5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Коллектив, размещенный на базе небольшого за</w:t>
      </w:r>
      <w:r w:rsidRPr="00271E51">
        <w:rPr>
          <w:rFonts w:ascii="Times New Roman" w:hAnsi="Times New Roman"/>
          <w:color w:val="000000" w:themeColor="text1"/>
          <w:sz w:val="16"/>
          <w:szCs w:val="16"/>
        </w:rPr>
        <w:softHyphen/>
        <w:t>вода десантного оборудования № 468 в поселке Бес</w:t>
      </w:r>
      <w:r w:rsidRPr="00271E51">
        <w:rPr>
          <w:rFonts w:ascii="Times New Roman" w:hAnsi="Times New Roman"/>
          <w:color w:val="000000" w:themeColor="text1"/>
          <w:sz w:val="16"/>
          <w:szCs w:val="16"/>
        </w:rPr>
        <w:softHyphen/>
        <w:t>кудниково (ныне район Москвы), приступил к работе и спроектировал планер, получивший обозначение Ц-25. За основу был взят летавший КЦ-20, у кото</w:t>
      </w:r>
      <w:r w:rsidRPr="00271E51">
        <w:rPr>
          <w:rFonts w:ascii="Times New Roman" w:hAnsi="Times New Roman"/>
          <w:color w:val="000000" w:themeColor="text1"/>
          <w:sz w:val="16"/>
          <w:szCs w:val="16"/>
        </w:rPr>
        <w:softHyphen/>
        <w:t>рого решили устранить недостатки, выявившиеся в процессе боевого применения. Во-первых, носо</w:t>
      </w:r>
      <w:r w:rsidRPr="00271E51">
        <w:rPr>
          <w:rFonts w:ascii="Times New Roman" w:hAnsi="Times New Roman"/>
          <w:color w:val="000000" w:themeColor="text1"/>
          <w:sz w:val="16"/>
          <w:szCs w:val="16"/>
        </w:rPr>
        <w:softHyphen/>
        <w:t>вую часть сделали откидывающейся, чтобы получить большой передний люк для загрузки крупногабарит</w:t>
      </w:r>
      <w:r w:rsidRPr="00271E51">
        <w:rPr>
          <w:rFonts w:ascii="Times New Roman" w:hAnsi="Times New Roman"/>
          <w:color w:val="000000" w:themeColor="text1"/>
          <w:sz w:val="16"/>
          <w:szCs w:val="16"/>
        </w:rPr>
        <w:softHyphen/>
        <w:t>ных грузов. Соответственно пилотскую кабину при</w:t>
      </w:r>
      <w:r w:rsidRPr="00271E51">
        <w:rPr>
          <w:rFonts w:ascii="Times New Roman" w:hAnsi="Times New Roman"/>
          <w:color w:val="000000" w:themeColor="text1"/>
          <w:sz w:val="16"/>
          <w:szCs w:val="16"/>
        </w:rPr>
        <w:softHyphen/>
        <w:t>шлось переместить вверх. Это увеличило мидель фю</w:t>
      </w:r>
      <w:r w:rsidRPr="00271E51">
        <w:rPr>
          <w:rFonts w:ascii="Times New Roman" w:hAnsi="Times New Roman"/>
          <w:color w:val="000000" w:themeColor="text1"/>
          <w:sz w:val="16"/>
          <w:szCs w:val="16"/>
        </w:rPr>
        <w:softHyphen/>
        <w:t>зеляжа с соответствующим уменьшением аэродина</w:t>
      </w:r>
      <w:r w:rsidRPr="00271E51">
        <w:rPr>
          <w:rFonts w:ascii="Times New Roman" w:hAnsi="Times New Roman"/>
          <w:color w:val="000000" w:themeColor="text1"/>
          <w:sz w:val="16"/>
          <w:szCs w:val="16"/>
        </w:rPr>
        <w:softHyphen/>
        <w:t>мического качества. Переднее размещение главного грузового люка имело свои недостатки, основным из которых была вероятность его повреждения при по</w:t>
      </w:r>
      <w:r w:rsidRPr="00271E51">
        <w:rPr>
          <w:rFonts w:ascii="Times New Roman" w:hAnsi="Times New Roman"/>
          <w:color w:val="000000" w:themeColor="text1"/>
          <w:sz w:val="16"/>
          <w:szCs w:val="16"/>
        </w:rPr>
        <w:softHyphen/>
        <w:t>садке с последующей невозможностью извлечения груза. Оптимальным было бы размещение этого люка в хвосте фюзеляжа, но это требовало полной пере</w:t>
      </w:r>
      <w:r w:rsidRPr="00271E51">
        <w:rPr>
          <w:rFonts w:ascii="Times New Roman" w:hAnsi="Times New Roman"/>
          <w:color w:val="000000" w:themeColor="text1"/>
          <w:sz w:val="16"/>
          <w:szCs w:val="16"/>
        </w:rPr>
        <w:softHyphen/>
        <w:t>делки проекта, на что в условиях дефицита времени конструкторы пойти не могли. В общем, Ц-25 стал первым в России летательным аппаратом с передним грузовым люком.</w:t>
      </w:r>
    </w:p>
    <w:p w14:paraId="0C8F229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Решили отказаться от возможности установки пу</w:t>
      </w:r>
      <w:r w:rsidRPr="00271E51">
        <w:rPr>
          <w:rFonts w:ascii="Times New Roman" w:hAnsi="Times New Roman"/>
          <w:color w:val="000000" w:themeColor="text1"/>
          <w:sz w:val="16"/>
          <w:szCs w:val="16"/>
        </w:rPr>
        <w:softHyphen/>
        <w:t>леметной турели на спине фюзеляжа (такая возмож</w:t>
      </w:r>
      <w:r w:rsidRPr="00271E51">
        <w:rPr>
          <w:rFonts w:ascii="Times New Roman" w:hAnsi="Times New Roman"/>
          <w:color w:val="000000" w:themeColor="text1"/>
          <w:sz w:val="16"/>
          <w:szCs w:val="16"/>
        </w:rPr>
        <w:softHyphen/>
        <w:t>ность была на КЦ-20). В результате упростилось хво</w:t>
      </w:r>
      <w:r w:rsidRPr="00271E51">
        <w:rPr>
          <w:rFonts w:ascii="Times New Roman" w:hAnsi="Times New Roman"/>
          <w:color w:val="000000" w:themeColor="text1"/>
          <w:sz w:val="16"/>
          <w:szCs w:val="16"/>
        </w:rPr>
        <w:softHyphen/>
        <w:t>стовое оперение — оно стало однокилевым. Эксплу</w:t>
      </w:r>
      <w:r w:rsidRPr="00271E51">
        <w:rPr>
          <w:rFonts w:ascii="Times New Roman" w:hAnsi="Times New Roman"/>
          <w:color w:val="000000" w:themeColor="text1"/>
          <w:sz w:val="16"/>
          <w:szCs w:val="16"/>
        </w:rPr>
        <w:softHyphen/>
        <w:t>атация показала, что в боевых вылетах огонь с планеров не ве</w:t>
      </w:r>
      <w:r w:rsidRPr="00271E51">
        <w:rPr>
          <w:rFonts w:ascii="Times New Roman" w:hAnsi="Times New Roman"/>
          <w:color w:val="000000" w:themeColor="text1"/>
          <w:sz w:val="16"/>
          <w:szCs w:val="16"/>
        </w:rPr>
        <w:softHyphen/>
        <w:t>дется, следовательно — турель не нужна.</w:t>
      </w:r>
    </w:p>
    <w:p w14:paraId="6A2DE2A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Вдоль всей задней кромки разместили щелевые закрылки и щелевые элероны. Это существенно улучшило ма</w:t>
      </w:r>
      <w:r w:rsidRPr="00271E51">
        <w:rPr>
          <w:rFonts w:ascii="Times New Roman" w:hAnsi="Times New Roman"/>
          <w:color w:val="000000" w:themeColor="text1"/>
          <w:sz w:val="16"/>
          <w:szCs w:val="16"/>
        </w:rPr>
        <w:softHyphen/>
        <w:t>невренность планера в воздухе и упростило расчет на посадку. Для этого же служили интерцепторы, размещенные на верхних сторонах крыла.</w:t>
      </w:r>
    </w:p>
    <w:p w14:paraId="7D5DE40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Шасси сделали трехколес</w:t>
      </w:r>
      <w:r w:rsidRPr="00271E51">
        <w:rPr>
          <w:rFonts w:ascii="Times New Roman" w:hAnsi="Times New Roman"/>
          <w:color w:val="000000" w:themeColor="text1"/>
          <w:sz w:val="16"/>
          <w:szCs w:val="16"/>
        </w:rPr>
        <w:softHyphen/>
        <w:t>ным, с носовой опорой. По мнению планеристов, носовая опора ухудшала маневренность планера на земле, но ее приме</w:t>
      </w:r>
      <w:r w:rsidRPr="00271E51">
        <w:rPr>
          <w:rFonts w:ascii="Times New Roman" w:hAnsi="Times New Roman"/>
          <w:color w:val="000000" w:themeColor="text1"/>
          <w:sz w:val="16"/>
          <w:szCs w:val="16"/>
        </w:rPr>
        <w:softHyphen/>
        <w:t>нение было вынужденной ме</w:t>
      </w:r>
      <w:r w:rsidRPr="00271E51">
        <w:rPr>
          <w:rFonts w:ascii="Times New Roman" w:hAnsi="Times New Roman"/>
          <w:color w:val="000000" w:themeColor="text1"/>
          <w:sz w:val="16"/>
          <w:szCs w:val="16"/>
        </w:rPr>
        <w:softHyphen/>
        <w:t>рой — таким образом пытались защитить грузовой люк от по</w:t>
      </w:r>
      <w:r w:rsidRPr="00271E51">
        <w:rPr>
          <w:rFonts w:ascii="Times New Roman" w:hAnsi="Times New Roman"/>
          <w:color w:val="000000" w:themeColor="text1"/>
          <w:sz w:val="16"/>
          <w:szCs w:val="16"/>
        </w:rPr>
        <w:softHyphen/>
        <w:t>вреждений при посадке. Колеса имели пневматические тормоза, питавшиеся от бортового балло</w:t>
      </w:r>
      <w:r w:rsidRPr="00271E51">
        <w:rPr>
          <w:rFonts w:ascii="Times New Roman" w:hAnsi="Times New Roman"/>
          <w:color w:val="000000" w:themeColor="text1"/>
          <w:sz w:val="16"/>
          <w:szCs w:val="16"/>
        </w:rPr>
        <w:softHyphen/>
        <w:t>на, и резиновую пластинчатую амортизацию. В хвосте устанав</w:t>
      </w:r>
      <w:r w:rsidRPr="00271E51">
        <w:rPr>
          <w:rFonts w:ascii="Times New Roman" w:hAnsi="Times New Roman"/>
          <w:color w:val="000000" w:themeColor="text1"/>
          <w:sz w:val="16"/>
          <w:szCs w:val="16"/>
        </w:rPr>
        <w:softHyphen/>
        <w:t>ливался хвостовой костыль — «лыжонок», а в качестве резерв</w:t>
      </w:r>
      <w:r w:rsidRPr="00271E51">
        <w:rPr>
          <w:rFonts w:ascii="Times New Roman" w:hAnsi="Times New Roman"/>
          <w:color w:val="000000" w:themeColor="text1"/>
          <w:sz w:val="16"/>
          <w:szCs w:val="16"/>
        </w:rPr>
        <w:softHyphen/>
        <w:t>ного средства посадки предус</w:t>
      </w:r>
      <w:r w:rsidRPr="00271E51">
        <w:rPr>
          <w:rFonts w:ascii="Times New Roman" w:hAnsi="Times New Roman"/>
          <w:color w:val="000000" w:themeColor="text1"/>
          <w:sz w:val="16"/>
          <w:szCs w:val="16"/>
        </w:rPr>
        <w:softHyphen/>
        <w:t>матривалась центральная лыжа. В 1943— 1944 гг. с алюминиевыми сплавами стало полегче, поэтому наряду с деревом, которое остава</w:t>
      </w:r>
      <w:r w:rsidRPr="00271E51">
        <w:rPr>
          <w:rFonts w:ascii="Times New Roman" w:hAnsi="Times New Roman"/>
          <w:color w:val="000000" w:themeColor="text1"/>
          <w:sz w:val="16"/>
          <w:szCs w:val="16"/>
        </w:rPr>
        <w:softHyphen/>
        <w:t xml:space="preserve">лось главным </w:t>
      </w:r>
      <w:r w:rsidRPr="00271E51">
        <w:rPr>
          <w:rFonts w:ascii="Times New Roman" w:hAnsi="Times New Roman"/>
          <w:color w:val="000000" w:themeColor="text1"/>
          <w:sz w:val="16"/>
          <w:szCs w:val="16"/>
        </w:rPr>
        <w:lastRenderedPageBreak/>
        <w:t>конструкционным материалом для пла</w:t>
      </w:r>
      <w:r w:rsidRPr="00271E51">
        <w:rPr>
          <w:rFonts w:ascii="Times New Roman" w:hAnsi="Times New Roman"/>
          <w:color w:val="000000" w:themeColor="text1"/>
          <w:sz w:val="16"/>
          <w:szCs w:val="16"/>
        </w:rPr>
        <w:softHyphen/>
        <w:t>нера, стал шире применяться дюраль. В частности, из него сделали две сходни для погрузки колесной тех</w:t>
      </w:r>
      <w:r w:rsidRPr="00271E51">
        <w:rPr>
          <w:rFonts w:ascii="Times New Roman" w:hAnsi="Times New Roman"/>
          <w:color w:val="000000" w:themeColor="text1"/>
          <w:sz w:val="16"/>
          <w:szCs w:val="16"/>
        </w:rPr>
        <w:softHyphen/>
        <w:t>ники. При перевозке личного состава сходни крепи</w:t>
      </w:r>
      <w:r w:rsidRPr="00271E51">
        <w:rPr>
          <w:rFonts w:ascii="Times New Roman" w:hAnsi="Times New Roman"/>
          <w:color w:val="000000" w:themeColor="text1"/>
          <w:sz w:val="16"/>
          <w:szCs w:val="16"/>
        </w:rPr>
        <w:softHyphen/>
        <w:t>лись по бортам грузовой кабины и служили сиденья</w:t>
      </w:r>
      <w:r w:rsidRPr="00271E51">
        <w:rPr>
          <w:rFonts w:ascii="Times New Roman" w:hAnsi="Times New Roman"/>
          <w:color w:val="000000" w:themeColor="text1"/>
          <w:sz w:val="16"/>
          <w:szCs w:val="16"/>
        </w:rPr>
        <w:softHyphen/>
        <w:t>ми для десантников. Остальные бойцы размещались на откидных фанерных сиденьях, также закрепленных по бортам. В грузовой кабине по</w:t>
      </w:r>
      <w:r w:rsidRPr="00271E51">
        <w:rPr>
          <w:rFonts w:ascii="Times New Roman" w:hAnsi="Times New Roman"/>
          <w:color w:val="000000" w:themeColor="text1"/>
          <w:sz w:val="16"/>
          <w:szCs w:val="16"/>
        </w:rPr>
        <w:softHyphen/>
        <w:t>мещались 24 десантника, еще один находился в пилотской ка</w:t>
      </w:r>
      <w:r w:rsidRPr="00271E51">
        <w:rPr>
          <w:rFonts w:ascii="Times New Roman" w:hAnsi="Times New Roman"/>
          <w:color w:val="000000" w:themeColor="text1"/>
          <w:sz w:val="16"/>
          <w:szCs w:val="16"/>
        </w:rPr>
        <w:softHyphen/>
        <w:t>бине, рядом с летчиком. Таким образом, планер перевозил од</w:t>
      </w:r>
      <w:r w:rsidRPr="00271E51">
        <w:rPr>
          <w:rFonts w:ascii="Times New Roman" w:hAnsi="Times New Roman"/>
          <w:color w:val="000000" w:themeColor="text1"/>
          <w:sz w:val="16"/>
          <w:szCs w:val="16"/>
        </w:rPr>
        <w:softHyphen/>
        <w:t>ного пилота и 25 десантников. В процессе эксплуатации в полет выпускали экипаж из двух пило</w:t>
      </w:r>
      <w:r w:rsidRPr="00271E51">
        <w:rPr>
          <w:rFonts w:ascii="Times New Roman" w:hAnsi="Times New Roman"/>
          <w:color w:val="000000" w:themeColor="text1"/>
          <w:sz w:val="16"/>
          <w:szCs w:val="16"/>
        </w:rPr>
        <w:softHyphen/>
        <w:t>тов, а в грузовой кабине всегда можно было ужаться, чтобы по</w:t>
      </w:r>
      <w:r w:rsidRPr="00271E51">
        <w:rPr>
          <w:rFonts w:ascii="Times New Roman" w:hAnsi="Times New Roman"/>
          <w:color w:val="000000" w:themeColor="text1"/>
          <w:sz w:val="16"/>
          <w:szCs w:val="16"/>
        </w:rPr>
        <w:softHyphen/>
        <w:t>садить еще одного человека, так что требование о перевозке 25 человек формально было вы</w:t>
      </w:r>
      <w:r w:rsidRPr="00271E51">
        <w:rPr>
          <w:rFonts w:ascii="Times New Roman" w:hAnsi="Times New Roman"/>
          <w:color w:val="000000" w:themeColor="text1"/>
          <w:sz w:val="16"/>
          <w:szCs w:val="16"/>
        </w:rPr>
        <w:softHyphen/>
        <w:t>полнено (12300).</w:t>
      </w:r>
    </w:p>
    <w:p w14:paraId="1602EBCB"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091C84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после того как произвели 50 закончили серию планеров КЦ-20 П.В.Цыбина (94,80).</w:t>
      </w:r>
    </w:p>
    <w:p w14:paraId="260918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BD3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П.В.Цыбин получил задание на новый десантный планер грузоподъемностью 2200 или 25 десантников. В 1944 Ц-25 построили и испытали, а в 1945 сделали и испытали моторный вариант с двумя М-11 (94,104).</w:t>
      </w:r>
    </w:p>
    <w:p w14:paraId="032C4A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397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восстановили производство планеров Г-11 на заводе в Рязани и В.К.Грибовского назначили гк. В марте 1944 л Чубуков испытал первый (9080).</w:t>
      </w:r>
    </w:p>
    <w:p w14:paraId="1D2194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CF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 производство планеров Г-11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 «Управляемость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Г-14,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 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 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 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 (11810). </w:t>
      </w:r>
    </w:p>
    <w:p w14:paraId="1A12A1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00A88" w14:textId="77777777" w:rsidR="00FC04C9" w:rsidRPr="00271E51" w:rsidRDefault="00FC04C9"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7D60E2C9" w14:textId="77777777" w:rsidR="00FC04C9" w:rsidRPr="00271E51" w:rsidRDefault="00FC04C9" w:rsidP="00271E51">
      <w:pPr>
        <w:shd w:val="clear" w:color="auto" w:fill="FFFFFF"/>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08E941FE" w14:textId="77777777" w:rsidR="00FC04C9" w:rsidRPr="00271E51" w:rsidRDefault="00FC04C9"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7795623F" w14:textId="77777777" w:rsidR="00FC04C9" w:rsidRPr="00271E51" w:rsidRDefault="00FC04C9"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38E6F4D6" w14:textId="77777777" w:rsidR="00FC04C9" w:rsidRPr="00271E51" w:rsidRDefault="00FC04C9"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A907A5" w:rsidRPr="00271E51" w14:paraId="3453329C"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4B899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EA232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Г-11</w:t>
            </w:r>
          </w:p>
        </w:tc>
      </w:tr>
      <w:tr w:rsidR="00A907A5" w:rsidRPr="00271E51" w14:paraId="50126581"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C961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A62CD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18.00</w:t>
            </w:r>
          </w:p>
        </w:tc>
      </w:tr>
      <w:tr w:rsidR="00A907A5" w:rsidRPr="00271E51" w14:paraId="29C74996"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CCF14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24FA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10.84</w:t>
            </w:r>
          </w:p>
        </w:tc>
      </w:tr>
      <w:tr w:rsidR="00A907A5" w:rsidRPr="00271E51" w14:paraId="44D2F9DD"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5EB9A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047A4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w:t>
            </w:r>
          </w:p>
        </w:tc>
      </w:tr>
      <w:tr w:rsidR="00A907A5" w:rsidRPr="00271E51" w14:paraId="21930746"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C85C7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91130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30.00</w:t>
            </w:r>
          </w:p>
        </w:tc>
      </w:tr>
      <w:tr w:rsidR="00A907A5" w:rsidRPr="00271E51" w14:paraId="461E7666"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8AD03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6281E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w:t>
            </w:r>
          </w:p>
        </w:tc>
      </w:tr>
      <w:tr w:rsidR="00A907A5" w:rsidRPr="00271E51" w14:paraId="23BB1E6F"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B10E1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760C1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960</w:t>
            </w:r>
          </w:p>
        </w:tc>
      </w:tr>
      <w:tr w:rsidR="00A907A5" w:rsidRPr="00271E51" w14:paraId="29D5F48B"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8B4BC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E63D9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1660</w:t>
            </w:r>
          </w:p>
        </w:tc>
      </w:tr>
      <w:tr w:rsidR="00A907A5" w:rsidRPr="00271E51" w14:paraId="399888DD"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1349C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02CDA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220</w:t>
            </w:r>
          </w:p>
        </w:tc>
      </w:tr>
      <w:tr w:rsidR="00A907A5" w:rsidRPr="00271E51" w14:paraId="7EA08B49" w14:textId="77777777" w:rsidTr="00ED5B0A">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C7502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5B38D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11 десантников</w:t>
            </w:r>
          </w:p>
        </w:tc>
      </w:tr>
    </w:tbl>
    <w:p w14:paraId="700C6109" w14:textId="77777777" w:rsidR="00FC04C9" w:rsidRPr="00271E51" w:rsidRDefault="00FC04C9" w:rsidP="00271E51">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(12682).</w:t>
      </w:r>
    </w:p>
    <w:p w14:paraId="25F3774E" w14:textId="77777777" w:rsidR="00FC04C9" w:rsidRPr="00271E51" w:rsidRDefault="00FC04C9" w:rsidP="00271E51">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0834A782" w14:textId="77777777" w:rsidR="00DD2B77" w:rsidRPr="00271E51" w:rsidRDefault="00DD2B77" w:rsidP="00271E51">
      <w:pPr>
        <w:spacing w:after="0" w:line="240" w:lineRule="auto"/>
        <w:jc w:val="both"/>
        <w:rPr>
          <w:rFonts w:ascii="Times New Roman" w:hAnsi="Times New Roman"/>
          <w:color w:val="000000" w:themeColor="text1"/>
          <w:sz w:val="16"/>
          <w:szCs w:val="16"/>
          <w:shd w:val="clear" w:color="auto" w:fill="FFFFFF"/>
        </w:rPr>
      </w:pPr>
      <w:r w:rsidRPr="00271E51">
        <w:rPr>
          <w:rFonts w:ascii="Times New Roman" w:hAnsi="Times New Roman"/>
          <w:color w:val="000000" w:themeColor="text1"/>
          <w:sz w:val="16"/>
          <w:szCs w:val="16"/>
          <w:shd w:val="clear" w:color="auto" w:fill="FFFFFF"/>
        </w:rPr>
        <w:t>С конца 1943 года в списках ГВф стал числиться Юнкерс W 34. Этот самолёт выпуска 30-х годов, обозначавшийся у нас В-34 или Ю-34, представлял собой одномоторный цельнометаллический моноплан с неубирающимся шасси. Эта машина некоторое время находилась на заводе №243, а после выхода из ремонта в сентябре 1944 года попала в возрожденное Украинское управление ГВФ. 4 июля 1945 года В-34 прибыл в Москву. Его направили в НИИ ГВФ, где подвергли испытаниям на предмет возможности эксплуатации на Памире. Там продолжали летать на Хорог давно устаревшие П-5 (разоружённые P-5). Самолётам было уже около 10 лет, выпуск стоявших на них моторов М-17Ф тоже давно прекратили. Другие имевшиеся у ГВФ машины либо не могли сесть на тамошних площадках, либо не обладали достаточным потолком для полетов в горах. Со 2 сентября хотели начать опытную эксплуатацию этого В-34 на линии Сталинабад – Хорог, но затем отказались от данного намерения. Ещё один вполне исправный В-34 передали в ГВФ из 8-й воздушной армии. В августе 1946 года в ГВФ летали три В-34: один в Латвии, один в Казахстане и один, считавшийся учебным, в НИИ ГВФ.</w:t>
      </w:r>
    </w:p>
    <w:p w14:paraId="670AD43B" w14:textId="77777777" w:rsidR="00DD2B77" w:rsidRPr="00271E51" w:rsidRDefault="00DD2B77"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shd w:val="clear" w:color="auto" w:fill="FFFFFF"/>
        </w:rPr>
        <w:lastRenderedPageBreak/>
        <w:t>В качестве альтернативы этому одномоторному «юнкерсу» для полётов в горах рассматривался Зибель Si 204D (у нас Си-204 или просто «Зибель»). Это была вполне современная машина с двумя рядными моторами воздушного охлаждения «Аргус». Для пробной эксплуатации один Си-204 одолжили у ГУСМП. К 31 августа 1945 г его перегнали в Сталинабад, но полёты в Хорог задержались из-за отказа одного двигателя. Мотор срочно доставили самолётом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(19686).</w:t>
      </w:r>
    </w:p>
    <w:p w14:paraId="257CC981" w14:textId="77777777" w:rsidR="00DD2B77" w:rsidRPr="00271E51" w:rsidRDefault="00DD2B77" w:rsidP="00271E51">
      <w:pPr>
        <w:spacing w:after="0" w:line="240" w:lineRule="auto"/>
        <w:jc w:val="both"/>
        <w:rPr>
          <w:rFonts w:ascii="Times New Roman" w:hAnsi="Times New Roman"/>
          <w:color w:val="000000" w:themeColor="text1"/>
          <w:sz w:val="16"/>
          <w:szCs w:val="16"/>
        </w:rPr>
      </w:pPr>
    </w:p>
    <w:p w14:paraId="3F4B2D2F"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конце 1943 г. были успешно проведены летные испыта ния самолета «302» как планера. Известный летчик-испыта тель С.Н. Анохин дал ему высокую оценку. Впервые в рабо чем режиме хорошо показала себя конструкция ЖРД с ТНА многоразового действия с регулируемой тягой. Казалось бы, все шло нормально. И тут...</w:t>
      </w:r>
    </w:p>
    <w:p w14:paraId="42113D50"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Воспользовавшись тем, что Костиков с устного разреше ния Г.М. Маленкова, лично следившего за этой машиной, внес в середине 1943 г. изменения в последовательность выполне ния работ по самолету, отодвинул конечные сроки и не офор мил это постановлением правительства, А.С. Яковлев с помощью верных ему людей обвинил Андрея Григорьевича в обма не правительства и лично И.В. Сталина.</w:t>
      </w:r>
    </w:p>
    <w:p w14:paraId="2A6A0CB7"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Реакция со стороны «вождя народов» была быстрой и стро гой: работы по самолету «302» прекратить, РНИИ ликвиди ровать, создать вместо него НИИ-1 в системе НКАП, А.Г. Ко стикова отдать под суд. У «302П», находившегося на испыта ниях на аэродроме ЛИИ, отпилили хвост, сам самолет, обладавший отличными летными качествами, выбросили на свалку. Такая же участь готовилась и для двигателя, однако, работу над ним удалось продолжить в системе НИИ-1. Завер шилась она в январе 1945 г. успешным проведением государ ственных стендовых испытаний.</w:t>
      </w:r>
    </w:p>
    <w:p w14:paraId="41769C7A"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Ну а дальше события развивались следующим образом.</w:t>
      </w:r>
    </w:p>
    <w:p w14:paraId="7E5DBF8B"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 сультанта в ГКО по авиационной технике.</w:t>
      </w:r>
    </w:p>
    <w:p w14:paraId="6D8A45C8"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6CA40775"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6BBF12CE" w14:textId="77777777" w:rsidR="00415F08" w:rsidRPr="00271E51" w:rsidRDefault="00415F08" w:rsidP="00271E51">
      <w:pPr>
        <w:spacing w:after="0" w:line="240" w:lineRule="auto"/>
        <w:jc w:val="both"/>
        <w:rPr>
          <w:rFonts w:ascii="Times New Roman" w:hAnsi="Times New Roman"/>
          <w:color w:val="000000" w:themeColor="text1"/>
          <w:sz w:val="16"/>
          <w:szCs w:val="16"/>
        </w:rPr>
      </w:pPr>
    </w:p>
    <w:p w14:paraId="1C415A0E" w14:textId="77777777" w:rsidR="00FC04C9" w:rsidRPr="00271E51" w:rsidRDefault="00DD2B77"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w:t>
      </w:r>
      <w:r w:rsidR="00FC04C9" w:rsidRPr="00271E51">
        <w:rPr>
          <w:rFonts w:ascii="Times New Roman" w:hAnsi="Times New Roman"/>
          <w:color w:val="000000" w:themeColor="text1"/>
          <w:sz w:val="16"/>
          <w:szCs w:val="16"/>
        </w:rPr>
        <w:t xml:space="preserve"> конце 1943 В.Н.П. получил задание на истребитель "Малютка" с двигателем РНИИ (228,182).</w:t>
      </w:r>
    </w:p>
    <w:p w14:paraId="122890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другим данным осенью 1943</w:t>
      </w:r>
    </w:p>
    <w:p w14:paraId="39328D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DA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Н.Н.Поликарпов получил задание на разработку истребителя-перехватчика «Малютка» с ра</w:t>
      </w:r>
      <w:r w:rsidRPr="00271E51">
        <w:rPr>
          <w:rFonts w:ascii="Times New Roman" w:hAnsi="Times New Roman"/>
          <w:color w:val="000000" w:themeColor="text1"/>
          <w:sz w:val="16"/>
          <w:szCs w:val="16"/>
        </w:rPr>
        <w:softHyphen/>
        <w:t>кетным двигателем конструкции РНИИ и гермокаби-ной. Горючим служил керосин, а окислителем - азотная кислота. Его двигательная установка с номинальной тя</w:t>
      </w:r>
      <w:r w:rsidRPr="00271E51">
        <w:rPr>
          <w:rFonts w:ascii="Times New Roman" w:hAnsi="Times New Roman"/>
          <w:color w:val="000000" w:themeColor="text1"/>
          <w:sz w:val="16"/>
          <w:szCs w:val="16"/>
        </w:rPr>
        <w:softHyphen/>
        <w:t>гой 1100 кгс состояла из двух камер сгорания. Две каме</w:t>
      </w:r>
      <w:r w:rsidRPr="00271E51">
        <w:rPr>
          <w:rFonts w:ascii="Times New Roman" w:hAnsi="Times New Roman"/>
          <w:color w:val="000000" w:themeColor="text1"/>
          <w:sz w:val="16"/>
          <w:szCs w:val="16"/>
        </w:rPr>
        <w:softHyphen/>
        <w:t>ры работали вместе на взлете, наборе высоты и разгоне до максимальной скорости, одна, малая - для ее поддер</w:t>
      </w:r>
      <w:r w:rsidRPr="00271E51">
        <w:rPr>
          <w:rFonts w:ascii="Times New Roman" w:hAnsi="Times New Roman"/>
          <w:color w:val="000000" w:themeColor="text1"/>
          <w:sz w:val="16"/>
          <w:szCs w:val="16"/>
        </w:rPr>
        <w:softHyphen/>
        <w:t>жания. Компоненты топлива размещались в четырех фюзеляжных баках и подавались в двигатель турбонасосным агрегатом. Для обеспечения необходимого запаса устойчивости сначала вырабатывался керосин из переднего бака и окислитель из заднего, затем керосин из заднего бака, а окислитель из переднего. Незначительный уход центра тяжести при этом компенсировался выбросом воды из специального бачка. После проведения перехвата, осо</w:t>
      </w:r>
      <w:r w:rsidRPr="00271E51">
        <w:rPr>
          <w:rFonts w:ascii="Times New Roman" w:hAnsi="Times New Roman"/>
          <w:color w:val="000000" w:themeColor="text1"/>
          <w:sz w:val="16"/>
          <w:szCs w:val="16"/>
        </w:rPr>
        <w:softHyphen/>
        <w:t>бенно на большой высоте, топлива на посадку не хвата</w:t>
      </w:r>
      <w:r w:rsidRPr="00271E51">
        <w:rPr>
          <w:rFonts w:ascii="Times New Roman" w:hAnsi="Times New Roman"/>
          <w:color w:val="000000" w:themeColor="text1"/>
          <w:sz w:val="16"/>
          <w:szCs w:val="16"/>
        </w:rPr>
        <w:softHyphen/>
        <w:t>ло, поэтому самолет планировал на аэродром с выключенным двигателем. Вооружение истребителя со</w:t>
      </w:r>
      <w:r w:rsidRPr="00271E51">
        <w:rPr>
          <w:rFonts w:ascii="Times New Roman" w:hAnsi="Times New Roman"/>
          <w:color w:val="000000" w:themeColor="text1"/>
          <w:sz w:val="16"/>
          <w:szCs w:val="16"/>
        </w:rPr>
        <w:softHyphen/>
        <w:t>стояло из двух пушек калибра 23 мм. По предварительному проекту площадь крыла рав</w:t>
      </w:r>
      <w:r w:rsidRPr="00271E51">
        <w:rPr>
          <w:rFonts w:ascii="Times New Roman" w:hAnsi="Times New Roman"/>
          <w:color w:val="000000" w:themeColor="text1"/>
          <w:sz w:val="16"/>
          <w:szCs w:val="16"/>
        </w:rPr>
        <w:softHyphen/>
        <w:t>нялась 6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полетный вес - 2550 кг. В окончательном ва</w:t>
      </w:r>
      <w:r w:rsidRPr="00271E51">
        <w:rPr>
          <w:rFonts w:ascii="Times New Roman" w:hAnsi="Times New Roman"/>
          <w:color w:val="000000" w:themeColor="text1"/>
          <w:sz w:val="16"/>
          <w:szCs w:val="16"/>
        </w:rPr>
        <w:softHyphen/>
        <w:t>рианте площадь крыла увеличили до 8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полетный вес стал равным 2795 кг, вес пустого - 1016 кг. Самолет имел относительно небольшие размеры: размах 7,5 м, длину 7 м. Шасси трехколесное, с носовым колесом.</w:t>
      </w:r>
    </w:p>
    <w:p w14:paraId="6EE224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других перехватчиков с ЖРД, разраба</w:t>
      </w:r>
      <w:r w:rsidRPr="00271E51">
        <w:rPr>
          <w:rFonts w:ascii="Times New Roman" w:hAnsi="Times New Roman"/>
          <w:color w:val="000000" w:themeColor="text1"/>
          <w:sz w:val="16"/>
          <w:szCs w:val="16"/>
        </w:rPr>
        <w:softHyphen/>
        <w:t>тываемых в СССР в 1943-1944 гг., («302», «4302»), «Малютка» изначально проектировалась как специали</w:t>
      </w:r>
      <w:r w:rsidRPr="00271E51">
        <w:rPr>
          <w:rFonts w:ascii="Times New Roman" w:hAnsi="Times New Roman"/>
          <w:color w:val="000000" w:themeColor="text1"/>
          <w:sz w:val="16"/>
          <w:szCs w:val="16"/>
        </w:rPr>
        <w:softHyphen/>
        <w:t>зированный высотный перехватчик, что, впрочем, не исключало ее применения в других диапазонах высот. Самолет должен был развивать у земли максимальную скорость 890 км/ч, на высоте 15000 м - 845 км/ч, наби</w:t>
      </w:r>
      <w:r w:rsidRPr="00271E51">
        <w:rPr>
          <w:rFonts w:ascii="Times New Roman" w:hAnsi="Times New Roman"/>
          <w:color w:val="000000" w:themeColor="text1"/>
          <w:sz w:val="16"/>
          <w:szCs w:val="16"/>
        </w:rPr>
        <w:softHyphen/>
        <w:t>рать высоту 5000 м за одну минуту, а 15000 м - за 2,5 мин. Его потолок составлял 16000 м. После набора высо</w:t>
      </w:r>
      <w:r w:rsidRPr="00271E51">
        <w:rPr>
          <w:rFonts w:ascii="Times New Roman" w:hAnsi="Times New Roman"/>
          <w:color w:val="000000" w:themeColor="text1"/>
          <w:sz w:val="16"/>
          <w:szCs w:val="16"/>
        </w:rPr>
        <w:softHyphen/>
        <w:t>ты 15000 м запаса топлива хватало на горизонтальный полет продолжительностью в одну минуту на режиме максимальной тяги и девять минут - на режиме мини</w:t>
      </w:r>
      <w:r w:rsidRPr="00271E51">
        <w:rPr>
          <w:rFonts w:ascii="Times New Roman" w:hAnsi="Times New Roman"/>
          <w:color w:val="000000" w:themeColor="text1"/>
          <w:sz w:val="16"/>
          <w:szCs w:val="16"/>
        </w:rPr>
        <w:softHyphen/>
        <w:t>мальной (10667).</w:t>
      </w:r>
    </w:p>
    <w:p w14:paraId="74961D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 ЖРД самолета «Малютка»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57"/>
        <w:gridCol w:w="1478"/>
        <w:gridCol w:w="691"/>
        <w:gridCol w:w="1114"/>
      </w:tblGrid>
      <w:tr w:rsidR="00A907A5" w:rsidRPr="00271E51" w14:paraId="1BC748C2" w14:textId="77777777" w:rsidTr="00ED5B0A">
        <w:trPr>
          <w:trHeight w:val="509"/>
        </w:trPr>
        <w:tc>
          <w:tcPr>
            <w:tcW w:w="1757" w:type="dxa"/>
            <w:tcBorders>
              <w:top w:val="single" w:sz="12" w:space="0" w:color="auto"/>
            </w:tcBorders>
          </w:tcPr>
          <w:p w14:paraId="3DF08E5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Режим включения</w:t>
            </w:r>
          </w:p>
        </w:tc>
        <w:tc>
          <w:tcPr>
            <w:tcW w:w="1478" w:type="dxa"/>
            <w:tcBorders>
              <w:top w:val="single" w:sz="12" w:space="0" w:color="auto"/>
            </w:tcBorders>
          </w:tcPr>
          <w:p w14:paraId="509068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Режим работы</w:t>
            </w:r>
          </w:p>
        </w:tc>
        <w:tc>
          <w:tcPr>
            <w:tcW w:w="691" w:type="dxa"/>
            <w:tcBorders>
              <w:top w:val="single" w:sz="12" w:space="0" w:color="auto"/>
            </w:tcBorders>
          </w:tcPr>
          <w:p w14:paraId="4F0DB2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Тяга, кг</w:t>
            </w:r>
          </w:p>
        </w:tc>
        <w:tc>
          <w:tcPr>
            <w:tcW w:w="1114" w:type="dxa"/>
            <w:tcBorders>
              <w:top w:val="single" w:sz="12" w:space="0" w:color="auto"/>
            </w:tcBorders>
          </w:tcPr>
          <w:p w14:paraId="5B926F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Секундный расход, кг/с</w:t>
            </w:r>
          </w:p>
        </w:tc>
      </w:tr>
      <w:tr w:rsidR="00A907A5" w:rsidRPr="00271E51" w14:paraId="75BEE505" w14:textId="77777777" w:rsidTr="00ED5B0A">
        <w:trPr>
          <w:trHeight w:val="298"/>
        </w:trPr>
        <w:tc>
          <w:tcPr>
            <w:tcW w:w="1757" w:type="dxa"/>
          </w:tcPr>
          <w:p w14:paraId="473F0B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Две камеры</w:t>
            </w:r>
          </w:p>
        </w:tc>
        <w:tc>
          <w:tcPr>
            <w:tcW w:w="1478" w:type="dxa"/>
          </w:tcPr>
          <w:p w14:paraId="58ADC8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w:t>
            </w:r>
          </w:p>
        </w:tc>
        <w:tc>
          <w:tcPr>
            <w:tcW w:w="691" w:type="dxa"/>
          </w:tcPr>
          <w:p w14:paraId="1DE252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tc>
        <w:tc>
          <w:tcPr>
            <w:tcW w:w="1114" w:type="dxa"/>
          </w:tcPr>
          <w:p w14:paraId="0E7691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2,995</w:t>
            </w:r>
          </w:p>
        </w:tc>
      </w:tr>
      <w:tr w:rsidR="00A907A5" w:rsidRPr="00271E51" w14:paraId="5836517C" w14:textId="77777777" w:rsidTr="00ED5B0A">
        <w:trPr>
          <w:trHeight w:val="211"/>
        </w:trPr>
        <w:tc>
          <w:tcPr>
            <w:tcW w:w="1757" w:type="dxa"/>
          </w:tcPr>
          <w:p w14:paraId="3764EE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Pr>
          <w:p w14:paraId="362BC2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номинальный</w:t>
            </w:r>
          </w:p>
        </w:tc>
        <w:tc>
          <w:tcPr>
            <w:tcW w:w="691" w:type="dxa"/>
          </w:tcPr>
          <w:p w14:paraId="47CD3B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1100</w:t>
            </w:r>
          </w:p>
        </w:tc>
        <w:tc>
          <w:tcPr>
            <w:tcW w:w="1114" w:type="dxa"/>
          </w:tcPr>
          <w:p w14:paraId="277896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r>
      <w:tr w:rsidR="00A907A5" w:rsidRPr="00271E51" w14:paraId="06507DCD" w14:textId="77777777" w:rsidTr="00ED5B0A">
        <w:trPr>
          <w:trHeight w:val="250"/>
        </w:trPr>
        <w:tc>
          <w:tcPr>
            <w:tcW w:w="1757" w:type="dxa"/>
          </w:tcPr>
          <w:p w14:paraId="36E0DD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Pr>
          <w:p w14:paraId="6B8E63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максимальный</w:t>
            </w:r>
          </w:p>
        </w:tc>
        <w:tc>
          <w:tcPr>
            <w:tcW w:w="691" w:type="dxa"/>
          </w:tcPr>
          <w:p w14:paraId="507B67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1400</w:t>
            </w:r>
          </w:p>
        </w:tc>
        <w:tc>
          <w:tcPr>
            <w:tcW w:w="1114" w:type="dxa"/>
          </w:tcPr>
          <w:p w14:paraId="2938E2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r>
      <w:tr w:rsidR="00A907A5" w:rsidRPr="00271E51" w14:paraId="1D4B0247" w14:textId="77777777" w:rsidTr="00ED5B0A">
        <w:trPr>
          <w:trHeight w:val="250"/>
        </w:trPr>
        <w:tc>
          <w:tcPr>
            <w:tcW w:w="1757" w:type="dxa"/>
          </w:tcPr>
          <w:p w14:paraId="58F6D2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 малая камера</w:t>
            </w:r>
          </w:p>
        </w:tc>
        <w:tc>
          <w:tcPr>
            <w:tcW w:w="1478" w:type="dxa"/>
          </w:tcPr>
          <w:p w14:paraId="0FF844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w:t>
            </w:r>
          </w:p>
        </w:tc>
        <w:tc>
          <w:tcPr>
            <w:tcW w:w="691" w:type="dxa"/>
          </w:tcPr>
          <w:p w14:paraId="4258EA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114" w:type="dxa"/>
          </w:tcPr>
          <w:p w14:paraId="681C35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w:t>
            </w:r>
          </w:p>
        </w:tc>
      </w:tr>
      <w:tr w:rsidR="00A907A5" w:rsidRPr="00271E51" w14:paraId="294C081E" w14:textId="77777777" w:rsidTr="00ED5B0A">
        <w:trPr>
          <w:trHeight w:val="221"/>
        </w:trPr>
        <w:tc>
          <w:tcPr>
            <w:tcW w:w="1757" w:type="dxa"/>
          </w:tcPr>
          <w:p w14:paraId="61A330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Pr>
          <w:p w14:paraId="4C9A3F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номинальный</w:t>
            </w:r>
          </w:p>
        </w:tc>
        <w:tc>
          <w:tcPr>
            <w:tcW w:w="691" w:type="dxa"/>
          </w:tcPr>
          <w:p w14:paraId="547104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1114" w:type="dxa"/>
          </w:tcPr>
          <w:p w14:paraId="0ED1FF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r>
      <w:tr w:rsidR="00A907A5" w:rsidRPr="00271E51" w14:paraId="7BE49876" w14:textId="77777777" w:rsidTr="00ED5B0A">
        <w:trPr>
          <w:trHeight w:val="221"/>
        </w:trPr>
        <w:tc>
          <w:tcPr>
            <w:tcW w:w="1757" w:type="dxa"/>
            <w:tcBorders>
              <w:bottom w:val="single" w:sz="12" w:space="0" w:color="auto"/>
            </w:tcBorders>
          </w:tcPr>
          <w:p w14:paraId="64E02B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bottom w:val="single" w:sz="12" w:space="0" w:color="auto"/>
            </w:tcBorders>
          </w:tcPr>
          <w:p w14:paraId="06EA49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максимальный</w:t>
            </w:r>
          </w:p>
        </w:tc>
        <w:tc>
          <w:tcPr>
            <w:tcW w:w="691" w:type="dxa"/>
            <w:tcBorders>
              <w:bottom w:val="single" w:sz="12" w:space="0" w:color="auto"/>
            </w:tcBorders>
          </w:tcPr>
          <w:p w14:paraId="650B9D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w:t>
            </w:r>
          </w:p>
        </w:tc>
        <w:tc>
          <w:tcPr>
            <w:tcW w:w="1114" w:type="dxa"/>
            <w:tcBorders>
              <w:bottom w:val="single" w:sz="12" w:space="0" w:color="auto"/>
            </w:tcBorders>
          </w:tcPr>
          <w:p w14:paraId="09A78D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1,86</w:t>
            </w:r>
          </w:p>
        </w:tc>
      </w:tr>
    </w:tbl>
    <w:p w14:paraId="0BB9F0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(10667).</w:t>
      </w:r>
    </w:p>
    <w:p w14:paraId="77553E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C9F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уже после возвращения в Москву, Поликарпов получил задание на проектирование истребителя с ракетным двигателем конструкции РНИИ. Этот самолет, который получил название "Малютка", в первоначальном варианте разрабатывался на основе многих конструктивных элементов истребителя И-185. В частности, практически без изменений использовалось крыло и хвостовое оперение И-185. Фотографии продувочной модели самолета, которая исследовалась в аэродинамических трубах НАГИ, наглядно это демонстрируют.</w:t>
      </w:r>
    </w:p>
    <w:p w14:paraId="429F39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процессе совершенствования аппарат заметно видоизменился и представлял собой низкоплан длиной 7,0 м, с прямым крылом размахом 7,5 м, был оборудован шасси с носовой стойкой. Самолет имел вентилируемую гермокабину, его вооружение состояло из двух пушек калибра 23 мм.</w:t>
      </w:r>
    </w:p>
    <w:p w14:paraId="716478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Силовая установка "Малютки" с максимальной тягой 1400 кг и номинальной тягой 1100 кг состояла из двух камер сгорания. Две камеры работали вместе на взлете, при наборе высоты и разгоне до максимальной скорости, одна малая камера использовалась для поддержания полетной скорости. Горючим служил керосин, а окислителем - азотная кислота. Компоненты топлива размещались в четырех фюзеляжных баках и подавались в двигатель турбонасосным агрегатом в особой очередности. Для обеспечения необходимой устойчивости в полете сначала вырабатывался керосин из переднего бака и окислитель из заднего, затем керосин из заднего бака, а окислитель из переднего. Изме- Окончательный проектный нение центровки по мере расходования ком- вариант самолета понентов топлива компенсировалось вы- "Малютка" бросом воды из специального бачка. После проведения перехвата и выработки горючего самолет планировал на аэродром с выключенным двигателем.</w:t>
      </w:r>
    </w:p>
    <w:p w14:paraId="3678A3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"Малютка" должен был развивать у земли максимальную скорость 890 км/ч, а на высоте 15000 м - 845 км/ч. Набор высоты 5000 м осуществлялся за одну минуту, а набор расчетной высоты 15000 м - за 2,5 минуты. Максимальный расчетный потолок определили в 16000 м. После выхода на высоту 15000 м перехватчик мог продолжать полет на режиме максимальной тяги в течение одной минуты, и девять минут - на режиме минимальной тяги. Разработка эскизного проекта перехватчика продолжалась и в I945 г., однако вскоре по указанию НКАП тему закрыли (12016).</w:t>
      </w:r>
    </w:p>
    <w:p w14:paraId="4D20AD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96191"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1943-го - начале 1944-го М. И. Гудков предложил первый в СССР проект самолета с газотурбинным двигателем.</w:t>
      </w:r>
    </w:p>
    <w:p w14:paraId="7211025E"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базировался на том же ЛаГГ-3 и был выполнен по реданной схеме: двигатель располагался под фюзеляжем, горячие газы отводились под хвостовую часть фюзеляжа, защищенную стальным экраном.</w:t>
      </w:r>
    </w:p>
    <w:p w14:paraId="1194B262"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Машина выглядела необычно, поэтому для выяснения возможности ее постройки создали специальную комиссию, посчитавшую необходимым продолжить работу над ТРД, а постройку машины - преждевременной. И все же проект Гудкова сделал свое дело, возобновилась разработка ТРД, а после окончания войны отечественные конструкторы использовали для своих реактивных первенцев реданную схему (15558).</w:t>
      </w:r>
    </w:p>
    <w:p w14:paraId="108C122D"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68A201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Микулин приступил к проек</w:t>
      </w:r>
      <w:r w:rsidRPr="00271E51">
        <w:rPr>
          <w:rFonts w:ascii="Times New Roman" w:hAnsi="Times New Roman"/>
          <w:color w:val="000000" w:themeColor="text1"/>
          <w:sz w:val="16"/>
          <w:szCs w:val="16"/>
        </w:rPr>
        <w:softHyphen/>
        <w:t>тированию АМТК-1. В тяжелых услови</w:t>
      </w:r>
      <w:r w:rsidRPr="00271E51">
        <w:rPr>
          <w:rFonts w:ascii="Times New Roman" w:hAnsi="Times New Roman"/>
          <w:color w:val="000000" w:themeColor="text1"/>
          <w:sz w:val="16"/>
          <w:szCs w:val="16"/>
        </w:rPr>
        <w:softHyphen/>
        <w:t xml:space="preserve">ях военного времени, благодаря параллельной разработке чертежей и технологии </w:t>
      </w:r>
      <w:r w:rsidRPr="00271E51">
        <w:rPr>
          <w:rFonts w:ascii="Times New Roman" w:hAnsi="Times New Roman"/>
          <w:color w:val="000000" w:themeColor="text1"/>
          <w:sz w:val="16"/>
          <w:szCs w:val="16"/>
        </w:rPr>
        <w:lastRenderedPageBreak/>
        <w:t>изготовления, опытные образцы турбокомпрессоров были изготовлены в корот</w:t>
      </w:r>
      <w:r w:rsidRPr="00271E51">
        <w:rPr>
          <w:rFonts w:ascii="Times New Roman" w:hAnsi="Times New Roman"/>
          <w:color w:val="000000" w:themeColor="text1"/>
          <w:sz w:val="16"/>
          <w:szCs w:val="16"/>
        </w:rPr>
        <w:softHyphen/>
        <w:t>кие сроки, и уже в марте 1944 г. завод приступил к до водочным работам. В основу конструкции этих турбокомпрессоров бы ли положены два изобрете</w:t>
      </w:r>
      <w:r w:rsidRPr="00271E51">
        <w:rPr>
          <w:rFonts w:ascii="Times New Roman" w:hAnsi="Times New Roman"/>
          <w:color w:val="000000" w:themeColor="text1"/>
          <w:sz w:val="16"/>
          <w:szCs w:val="16"/>
        </w:rPr>
        <w:softHyphen/>
        <w:t>ния Александра Алсксан дровича:</w:t>
      </w:r>
    </w:p>
    <w:p w14:paraId="2A12B6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постановка турбоком прессора на один блок мотора при сохранении реактивно! с выхлопа с другого блока, что позволяло увеличить скорость самолета, отказаться от ручной регули</w:t>
      </w:r>
      <w:r w:rsidRPr="00271E51">
        <w:rPr>
          <w:rFonts w:ascii="Times New Roman" w:hAnsi="Times New Roman"/>
          <w:color w:val="000000" w:themeColor="text1"/>
          <w:sz w:val="16"/>
          <w:szCs w:val="16"/>
        </w:rPr>
        <w:softHyphen/>
        <w:t>ровки и повысить полезную мощность мотора;</w:t>
      </w:r>
    </w:p>
    <w:p w14:paraId="2AE26A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лопатки турбины изготавливались фрезерованием с приданием эллиптической формы корыту, что повысило прочность лопаток и позволило снизить стоимость изготовления ТК (10781).</w:t>
      </w:r>
    </w:p>
    <w:p w14:paraId="4B273D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08629" w14:textId="77777777" w:rsidR="00415F08" w:rsidRPr="00271E51" w:rsidRDefault="00415F08" w:rsidP="00271E51">
      <w:pPr>
        <w:pStyle w:val="ae"/>
        <w:shd w:val="clear" w:color="auto" w:fill="FFFFFF"/>
        <w:spacing w:before="0" w:after="0"/>
        <w:jc w:val="both"/>
        <w:rPr>
          <w:color w:val="000000" w:themeColor="text1"/>
          <w:sz w:val="16"/>
          <w:szCs w:val="16"/>
        </w:rPr>
      </w:pPr>
      <w:r w:rsidRPr="00271E51">
        <w:rPr>
          <w:color w:val="000000" w:themeColor="text1"/>
          <w:sz w:val="16"/>
          <w:szCs w:val="16"/>
        </w:rPr>
        <w:t>К концу 1943 года поточный метод организации труда был внедрен во всем авиапроме. На саратовском авиазаводе благодаря ему выпуск истребителей Як-1 увеличился в три раза. На ташкентском авиазаводе поток не только ускорил процесс сборки, но и улучшил качество. Установка элеронов и рулей стала проходить без предварительной ручной подгонки. Поточный метод позволил за годы войны снизить трудоемкость при изготовлении штурмовиков Ил-2 вдвое, а время их производства в сборочных цехах сократить в пять раз. Родившийся в годы войны поточный метод организации труда с успехом применялся в авиационной промышленности и в послевоенные годы (19828).</w:t>
      </w:r>
    </w:p>
    <w:p w14:paraId="010799B5" w14:textId="77777777" w:rsidR="00415F08" w:rsidRPr="00271E51" w:rsidRDefault="00415F08" w:rsidP="00271E51">
      <w:pPr>
        <w:pStyle w:val="ae"/>
        <w:shd w:val="clear" w:color="auto" w:fill="FFFFFF"/>
        <w:spacing w:before="0" w:after="0"/>
        <w:jc w:val="both"/>
        <w:rPr>
          <w:color w:val="000000" w:themeColor="text1"/>
          <w:sz w:val="16"/>
          <w:szCs w:val="16"/>
        </w:rPr>
      </w:pPr>
    </w:p>
    <w:p w14:paraId="1BA05A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планируя выпуск 1944 г., руководство НКАП всерьёз озаботилось снижением себестои</w:t>
      </w:r>
      <w:r w:rsidRPr="00271E51">
        <w:rPr>
          <w:rFonts w:ascii="Times New Roman" w:hAnsi="Times New Roman"/>
          <w:color w:val="000000" w:themeColor="text1"/>
          <w:sz w:val="16"/>
          <w:szCs w:val="16"/>
        </w:rPr>
        <w:softHyphen/>
        <w:t>мости авиатехники за счёт коррекции цен на поставляемые по</w:t>
      </w:r>
      <w:r w:rsidRPr="00271E51">
        <w:rPr>
          <w:rFonts w:ascii="Times New Roman" w:hAnsi="Times New Roman"/>
          <w:color w:val="000000" w:themeColor="text1"/>
          <w:sz w:val="16"/>
          <w:szCs w:val="16"/>
        </w:rPr>
        <w:softHyphen/>
        <w:t>луфабрикаты и агрегаты. Как уже говорилось выше, на такие изделия могло приходиться до половины заводской себестои</w:t>
      </w:r>
      <w:r w:rsidRPr="00271E51">
        <w:rPr>
          <w:rFonts w:ascii="Times New Roman" w:hAnsi="Times New Roman"/>
          <w:color w:val="000000" w:themeColor="text1"/>
          <w:sz w:val="16"/>
          <w:szCs w:val="16"/>
        </w:rPr>
        <w:softHyphen/>
        <w:t>мости. Так, 21 августа 1943 г. Шахурин писал в Госплан: «Дей</w:t>
      </w:r>
      <w:r w:rsidRPr="00271E51">
        <w:rPr>
          <w:rFonts w:ascii="Times New Roman" w:hAnsi="Times New Roman"/>
          <w:color w:val="000000" w:themeColor="text1"/>
          <w:sz w:val="16"/>
          <w:szCs w:val="16"/>
        </w:rPr>
        <w:softHyphen/>
        <w:t>ствующие отпускные цены на изделия, поставляемые НКАПу в порядке кооперации, по ряду предприятий, не пересматрива</w:t>
      </w:r>
      <w:r w:rsidRPr="00271E51">
        <w:rPr>
          <w:rFonts w:ascii="Times New Roman" w:hAnsi="Times New Roman"/>
          <w:color w:val="000000" w:themeColor="text1"/>
          <w:sz w:val="16"/>
          <w:szCs w:val="16"/>
        </w:rPr>
        <w:softHyphen/>
        <w:t>лись в течение нескольких лет. В результате во многих случаях цены резко отличаются от фактически достигнутой себестои</w:t>
      </w:r>
      <w:r w:rsidRPr="00271E51">
        <w:rPr>
          <w:rFonts w:ascii="Times New Roman" w:hAnsi="Times New Roman"/>
          <w:color w:val="000000" w:themeColor="text1"/>
          <w:sz w:val="16"/>
          <w:szCs w:val="16"/>
        </w:rPr>
        <w:softHyphen/>
        <w:t>мости, чем неоправданно удорожается себестоимость продук</w:t>
      </w:r>
      <w:r w:rsidRPr="00271E51">
        <w:rPr>
          <w:rFonts w:ascii="Times New Roman" w:hAnsi="Times New Roman"/>
          <w:color w:val="000000" w:themeColor="text1"/>
          <w:sz w:val="16"/>
          <w:szCs w:val="16"/>
        </w:rPr>
        <w:softHyphen/>
        <w:t xml:space="preserve">ции </w:t>
      </w:r>
      <w:r w:rsidRPr="00271E51">
        <w:rPr>
          <w:rFonts w:ascii="Times New Roman" w:hAnsi="Times New Roman"/>
          <w:color w:val="000000" w:themeColor="text1"/>
          <w:sz w:val="16"/>
          <w:szCs w:val="16"/>
          <w:lang w:val="en-US"/>
        </w:rPr>
        <w:t>HKA</w:t>
      </w:r>
      <w:r w:rsidRPr="00271E51">
        <w:rPr>
          <w:rFonts w:ascii="Times New Roman" w:hAnsi="Times New Roman"/>
          <w:color w:val="000000" w:themeColor="text1"/>
          <w:sz w:val="16"/>
          <w:szCs w:val="16"/>
        </w:rPr>
        <w:t>П</w:t>
      </w:r>
      <w:r w:rsidRPr="00271E51">
        <w:rPr>
          <w:rFonts w:ascii="Times New Roman" w:hAnsi="Times New Roman"/>
          <w:color w:val="000000" w:themeColor="text1"/>
          <w:sz w:val="16"/>
          <w:szCs w:val="16"/>
          <w:lang w:val="en-US"/>
        </w:rPr>
        <w:t>a</w:t>
      </w:r>
      <w:r w:rsidRPr="00271E51">
        <w:rPr>
          <w:rFonts w:ascii="Times New Roman" w:hAnsi="Times New Roman"/>
          <w:color w:val="000000" w:themeColor="text1"/>
          <w:sz w:val="16"/>
          <w:szCs w:val="16"/>
        </w:rPr>
        <w:t>. Считая такое положение ненормальным, прошу, в порядке подготовки к заключению договоров на 1944 г., пред</w:t>
      </w:r>
      <w:r w:rsidRPr="00271E51">
        <w:rPr>
          <w:rFonts w:ascii="Times New Roman" w:hAnsi="Times New Roman"/>
          <w:color w:val="000000" w:themeColor="text1"/>
          <w:sz w:val="16"/>
          <w:szCs w:val="16"/>
        </w:rPr>
        <w:softHyphen/>
        <w:t>ставить в ПЭО НКАП не позднее 01.10.1943 действующие от</w:t>
      </w:r>
      <w:r w:rsidRPr="00271E51">
        <w:rPr>
          <w:rFonts w:ascii="Times New Roman" w:hAnsi="Times New Roman"/>
          <w:color w:val="000000" w:themeColor="text1"/>
          <w:sz w:val="16"/>
          <w:szCs w:val="16"/>
        </w:rPr>
        <w:softHyphen/>
        <w:t>пускные цены, фактические данные по себестоимости за по</w:t>
      </w:r>
      <w:r w:rsidRPr="00271E51">
        <w:rPr>
          <w:rFonts w:ascii="Times New Roman" w:hAnsi="Times New Roman"/>
          <w:color w:val="000000" w:themeColor="text1"/>
          <w:sz w:val="16"/>
          <w:szCs w:val="16"/>
        </w:rPr>
        <w:softHyphen/>
        <w:t>следние 2—3 месяца и расчётные материалы по намеченным отпускным ценам на 1944 г. по следующим изделиям: маноме</w:t>
      </w:r>
      <w:r w:rsidRPr="00271E51">
        <w:rPr>
          <w:rFonts w:ascii="Times New Roman" w:hAnsi="Times New Roman"/>
          <w:color w:val="000000" w:themeColor="text1"/>
          <w:sz w:val="16"/>
          <w:szCs w:val="16"/>
        </w:rPr>
        <w:softHyphen/>
        <w:t>тры воздушные, перепускные краны, часы АВР, АЧО, АЧХО, высотная аппаратура, кислородные приборы, редуктора воз</w:t>
      </w:r>
      <w:r w:rsidRPr="00271E51">
        <w:rPr>
          <w:rFonts w:ascii="Times New Roman" w:hAnsi="Times New Roman"/>
          <w:color w:val="000000" w:themeColor="text1"/>
          <w:sz w:val="16"/>
          <w:szCs w:val="16"/>
        </w:rPr>
        <w:softHyphen/>
        <w:t>душные, авиаштамповки и поковки, зеркала обзора, слюда всех марок, резиновые изделия, бронекозырьки, бронеизделия, детали из пластмассы...» (РГАЭ. Ф. 4372. Оп. 43 Д. 240. Л. 2). Видимо, в снижении</w:t>
      </w:r>
      <w:r w:rsidRPr="00271E51">
        <w:rPr>
          <w:rFonts w:ascii="Times New Roman" w:hAnsi="Times New Roman"/>
          <w:iCs/>
          <w:color w:val="000000" w:themeColor="text1"/>
          <w:sz w:val="16"/>
          <w:szCs w:val="16"/>
        </w:rPr>
        <w:t xml:space="preserve"> отпускных </w:t>
      </w:r>
      <w:r w:rsidRPr="00271E51">
        <w:rPr>
          <w:rFonts w:ascii="Times New Roman" w:hAnsi="Times New Roman"/>
          <w:color w:val="000000" w:themeColor="text1"/>
          <w:sz w:val="16"/>
          <w:szCs w:val="16"/>
        </w:rPr>
        <w:t>цен на 1944 г. сказался и фактор удешевления поставляемых авиапромышленности агрегатов и материалов (12011).</w:t>
      </w:r>
    </w:p>
    <w:p w14:paraId="71C8E8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82F3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ОКБ-16 приступило к разработке пушки Н-37 под новый, менее мощный патрон (263,95).</w:t>
      </w:r>
    </w:p>
    <w:p w14:paraId="11BB84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C7A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к моменту проведения гос. испытаний в НИИ ВВС и ЛИИ НКАП США приступили к массовой отправке Р-47 в Советский Союз с завода в Фармипгдейле. Всего но III протоколу о поставках в СССР должны были послать 200 "Тандерболтов". На этот раз отправлялись истребители модификаций P-47D-22 и P-47D-27. D-22 отличался от D-10 наличием подкрыльных пилонов для подвески бомб крупных калибров и широколопастным винтом "Гамильтон", улучшившим скороподъемность на малых и средних вы сотах. На D-27 срезали гаргрот и установили новый каплевидный фонарь кругового обзора. Всего из США отправили сто D-22 и сто D-27. Большая часть самолетов шла по южному маршруту. Разобранные истребители в контейнерах плыли морем в Персидский залив, затем их перевозили для сборки в Абадан. Оттуда "Тандерболты" перегоняли в Азербайджан советские летчики. По южному морскому нуги проследовали 196 самолетов, до Абадана благополучно добрались 189, советские ВВС. приняли 188 (одна машина разбилась при облете). Еще четыре истребителя прибыли через северные порты. Таким образом, всего, считая с первой тропкой, наша авиация получила 195 Р-47. Почти все они были приняты в 1944 году, в 1945 - только пять самолетов. Встал вопрос о рациональном использовании прибывших истребителей. Первоначально их стали распределять но частям ПВО, учитывая хорошие высотные характеристики и продолжительность полета. Большой практический потолок, высокая скорость и мощное вооружение делали Р-47 достаточно эффективным для перехвата бомбардировщиков и разведчиков, пытающихся на высоте прорваться в наш глубокий тыл. Большую партию самолетов отправили Юго-Западному фронту ПВО на Украину. Однако в качестве перехватчиков "Тандерболты" страдали одним очень существенным недостатком: плохой скороподъемностью. На малых и средних высотах по этому показателю они проигрывали советским истребителям, а на больших - английским "Спитфайрам" IX, которые в этот период начали поступать в СССР. В результате "Тандерболты" не получили широкого распространения в ПВО и к концу весны 1945 года их уже там не было. Факты боевого применения Р-47 в системе противовоздушной обороны неизвестны. Зато морские летчики их эксплуатировали и даже немного повоевали на них (3457,85).</w:t>
      </w:r>
    </w:p>
    <w:p w14:paraId="62664B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9159B"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стало ясно, что бесступенчатая передача нагнетателя для М-83 со</w:t>
      </w:r>
      <w:r w:rsidRPr="00271E51">
        <w:rPr>
          <w:rFonts w:ascii="Times New Roman" w:hAnsi="Times New Roman"/>
          <w:color w:val="000000" w:themeColor="text1"/>
          <w:sz w:val="16"/>
          <w:szCs w:val="16"/>
        </w:rPr>
        <w:softHyphen/>
        <w:t>здана не будет, и на него решили поставить нагнетатель, разработанный для М-82ФНА. В таком виде М-83 3 декабря 1943 г. впервые предъявили на 50-часовое совместное ис</w:t>
      </w:r>
      <w:r w:rsidRPr="00271E51">
        <w:rPr>
          <w:rFonts w:ascii="Times New Roman" w:hAnsi="Times New Roman"/>
          <w:color w:val="000000" w:themeColor="text1"/>
          <w:sz w:val="16"/>
          <w:szCs w:val="16"/>
        </w:rPr>
        <w:softHyphen/>
        <w:t>пытание. Забегая вперед, отметим, что М-83 доводили потом в течение всего 1944 г. (слабым местом оказалась крыльчатка нагнетателя), и лишь к началу 1945 г. подготови</w:t>
      </w:r>
      <w:r w:rsidRPr="00271E51">
        <w:rPr>
          <w:rFonts w:ascii="Times New Roman" w:hAnsi="Times New Roman"/>
          <w:color w:val="000000" w:themeColor="text1"/>
          <w:sz w:val="16"/>
          <w:szCs w:val="16"/>
        </w:rPr>
        <w:softHyphen/>
        <w:t>ли к запуску в серию, которую, однако, так практически и не развернули (15829).</w:t>
      </w:r>
    </w:p>
    <w:p w14:paraId="1F6E8FD6"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6F90C4E1" w14:textId="77777777" w:rsidR="00EC0BEB" w:rsidRPr="00271E51" w:rsidRDefault="00EC0BE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w:t>
      </w:r>
    </w:p>
    <w:p w14:paraId="1FDDD829" w14:textId="77777777" w:rsidR="00EC0BEB" w:rsidRPr="00271E51" w:rsidRDefault="00EC0BEB" w:rsidP="00271E51">
      <w:pPr>
        <w:pStyle w:val="3a"/>
        <w:shd w:val="clear" w:color="auto" w:fill="auto"/>
        <w:spacing w:before="0" w:after="0" w:line="240" w:lineRule="auto"/>
        <w:jc w:val="both"/>
        <w:rPr>
          <w:color w:val="000000" w:themeColor="text1"/>
          <w:spacing w:val="0"/>
          <w:sz w:val="16"/>
          <w:szCs w:val="16"/>
        </w:rPr>
      </w:pPr>
      <w:r w:rsidRPr="00271E51">
        <w:rPr>
          <w:color w:val="000000" w:themeColor="text1"/>
          <w:spacing w:val="0"/>
          <w:sz w:val="16"/>
          <w:szCs w:val="16"/>
        </w:rPr>
        <w:t>Заключение об испытаниях мотора М-105ПФ № 32-1311 на топливе 4Б-70 на заводе № 16</w:t>
      </w:r>
    </w:p>
    <w:p w14:paraId="1CBA7071" w14:textId="77777777" w:rsidR="00EC0BEB" w:rsidRPr="00271E51" w:rsidRDefault="00EC0BEB" w:rsidP="00271E51">
      <w:pPr>
        <w:tabs>
          <w:tab w:val="left" w:pos="850"/>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Проведенное 100-часовое испытание мотора М-105ПФ № 32-1311 на топливе 4Б-70 (октановое число 89) с впрыском воды на номинальном и эксплуатационном режимах, в количестве 60-70 литров в час, при давлении 0,8-1,1 атм. считать - УДОВЛЕТВОРИТЕЛЬНЫМ.</w:t>
      </w:r>
    </w:p>
    <w:p w14:paraId="377866D5" w14:textId="77777777" w:rsidR="00EC0BEB" w:rsidRPr="00271E51" w:rsidRDefault="00EC0BEB" w:rsidP="00271E51">
      <w:pPr>
        <w:tabs>
          <w:tab w:val="left" w:pos="81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Система безраспылочного впрыска воды под давлением 0,8- 1,1 атм. из зарубашечного пространства блоков во время длительного испытания работала удовлетворительно. Заданное давление воды дер</w:t>
      </w:r>
      <w:r w:rsidRPr="00271E51">
        <w:rPr>
          <w:rFonts w:ascii="Times New Roman" w:hAnsi="Times New Roman"/>
          <w:color w:val="000000" w:themeColor="text1"/>
          <w:sz w:val="16"/>
          <w:szCs w:val="16"/>
        </w:rPr>
        <w:softHyphen/>
        <w:t>жалось устойчиво.</w:t>
      </w:r>
    </w:p>
    <w:p w14:paraId="210DD3AB" w14:textId="77777777" w:rsidR="00EC0BEB" w:rsidRPr="00271E51" w:rsidRDefault="00EC0BE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впрыска проста в производстве и монтаже и надежна в экс</w:t>
      </w:r>
      <w:r w:rsidRPr="00271E51">
        <w:rPr>
          <w:rFonts w:ascii="Times New Roman" w:hAnsi="Times New Roman"/>
          <w:color w:val="000000" w:themeColor="text1"/>
          <w:sz w:val="16"/>
          <w:szCs w:val="16"/>
        </w:rPr>
        <w:softHyphen/>
        <w:t>плуатации.</w:t>
      </w:r>
    </w:p>
    <w:p w14:paraId="2A7E1C3E" w14:textId="77777777" w:rsidR="00EC0BEB" w:rsidRPr="00271E51" w:rsidRDefault="00EC0BEB" w:rsidP="00271E51">
      <w:pPr>
        <w:tabs>
          <w:tab w:val="left" w:pos="82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На крейсерском режиме, составляющем примерно 0,7 номи</w:t>
      </w:r>
      <w:r w:rsidRPr="00271E51">
        <w:rPr>
          <w:rFonts w:ascii="Times New Roman" w:hAnsi="Times New Roman"/>
          <w:color w:val="000000" w:themeColor="text1"/>
          <w:sz w:val="16"/>
          <w:szCs w:val="16"/>
        </w:rPr>
        <w:softHyphen/>
        <w:t>нала, мотор работает устойчиво и без признаков детонации на топливе 4Б-70 без впрыска воды.</w:t>
      </w:r>
    </w:p>
    <w:p w14:paraId="430E3730" w14:textId="77777777" w:rsidR="00EC0BEB" w:rsidRPr="00271E51" w:rsidRDefault="00EC0BEB" w:rsidP="00271E51">
      <w:pPr>
        <w:tabs>
          <w:tab w:val="left" w:pos="78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Указанное количество впрыскиваемой воды в цилиндры мото</w:t>
      </w:r>
      <w:r w:rsidRPr="00271E51">
        <w:rPr>
          <w:rFonts w:ascii="Times New Roman" w:hAnsi="Times New Roman"/>
          <w:color w:val="000000" w:themeColor="text1"/>
          <w:sz w:val="16"/>
          <w:szCs w:val="16"/>
        </w:rPr>
        <w:softHyphen/>
        <w:t>ра влияния на мощность и экономичность не оказывает.</w:t>
      </w:r>
    </w:p>
    <w:p w14:paraId="1367FCEA" w14:textId="77777777" w:rsidR="00EC0BEB" w:rsidRPr="00271E51" w:rsidRDefault="00EC0BEB" w:rsidP="00271E51">
      <w:pPr>
        <w:tabs>
          <w:tab w:val="left" w:pos="836"/>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Считать возможным проводить заводские сдаточные и дли</w:t>
      </w:r>
      <w:r w:rsidRPr="00271E51">
        <w:rPr>
          <w:rFonts w:ascii="Times New Roman" w:hAnsi="Times New Roman"/>
          <w:color w:val="000000" w:themeColor="text1"/>
          <w:sz w:val="16"/>
          <w:szCs w:val="16"/>
        </w:rPr>
        <w:softHyphen/>
        <w:t>тельные (комиссионные и на гарантийный срок службы) испытания на топливе 4Б-70 с впрыском воды в количестве 60-70 литров в час на но</w:t>
      </w:r>
      <w:r w:rsidRPr="00271E51">
        <w:rPr>
          <w:rFonts w:ascii="Times New Roman" w:hAnsi="Times New Roman"/>
          <w:color w:val="000000" w:themeColor="text1"/>
          <w:sz w:val="16"/>
          <w:szCs w:val="16"/>
        </w:rPr>
        <w:softHyphen/>
        <w:t>минальном и эксплуатационном режимах.</w:t>
      </w:r>
    </w:p>
    <w:p w14:paraId="175E53A2" w14:textId="77777777" w:rsidR="00EC0BEB" w:rsidRPr="00271E51" w:rsidRDefault="00EC0BEB" w:rsidP="00271E51">
      <w:pPr>
        <w:tabs>
          <w:tab w:val="left" w:pos="77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Для окончательного решения о переводе контрольных испыта</w:t>
      </w:r>
      <w:r w:rsidRPr="00271E51">
        <w:rPr>
          <w:rFonts w:ascii="Times New Roman" w:hAnsi="Times New Roman"/>
          <w:color w:val="000000" w:themeColor="text1"/>
          <w:sz w:val="16"/>
          <w:szCs w:val="16"/>
        </w:rPr>
        <w:softHyphen/>
        <w:t>ний провести дополнительное испытание 5-ти моторов с их последую</w:t>
      </w:r>
      <w:r w:rsidRPr="00271E51">
        <w:rPr>
          <w:rFonts w:ascii="Times New Roman" w:hAnsi="Times New Roman"/>
          <w:color w:val="000000" w:themeColor="text1"/>
          <w:sz w:val="16"/>
          <w:szCs w:val="16"/>
        </w:rPr>
        <w:softHyphen/>
        <w:t>щее консервацией и проверкой деталей на наличие коррозии.</w:t>
      </w:r>
    </w:p>
    <w:p w14:paraId="18BB314A" w14:textId="77777777" w:rsidR="00EC0BEB" w:rsidRPr="00271E51" w:rsidRDefault="00EC0BEB" w:rsidP="00271E51">
      <w:pPr>
        <w:tabs>
          <w:tab w:val="left" w:pos="78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Систему фильтрации воды необходимо улучшить за счет увели</w:t>
      </w:r>
      <w:r w:rsidRPr="00271E51">
        <w:rPr>
          <w:rFonts w:ascii="Times New Roman" w:hAnsi="Times New Roman"/>
          <w:color w:val="000000" w:themeColor="text1"/>
          <w:sz w:val="16"/>
          <w:szCs w:val="16"/>
        </w:rPr>
        <w:softHyphen/>
        <w:t>чения площади существующего фильтра.</w:t>
      </w:r>
    </w:p>
    <w:p w14:paraId="605EA9A4" w14:textId="77777777" w:rsidR="00EC0BEB" w:rsidRPr="00271E51" w:rsidRDefault="00EC0BEB" w:rsidP="00271E51">
      <w:pPr>
        <w:tabs>
          <w:tab w:val="left" w:pos="807"/>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Имеющие место случаи трещин кронштейна крепления водя</w:t>
      </w:r>
      <w:r w:rsidRPr="00271E51">
        <w:rPr>
          <w:rFonts w:ascii="Times New Roman" w:hAnsi="Times New Roman"/>
          <w:color w:val="000000" w:themeColor="text1"/>
          <w:sz w:val="16"/>
          <w:szCs w:val="16"/>
        </w:rPr>
        <w:softHyphen/>
        <w:t>ного крана и трубок впрыскивающей системы происходили по причине нежесткого их крепления, что в дальнейших конструкциях необходимо устранить, а также предусмотреть возможность полного слива воды из трубопроводов впрыска в зимнее время.</w:t>
      </w:r>
    </w:p>
    <w:p w14:paraId="2A9ED68A" w14:textId="77777777" w:rsidR="00EC0BEB" w:rsidRPr="00271E51" w:rsidRDefault="00EC0BEB" w:rsidP="00271E51">
      <w:pPr>
        <w:tabs>
          <w:tab w:val="left" w:pos="82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Считать возможным проведение ЛЕТНЫХ ИСПЫТАНИЙ с указанной схемой впрыска, как наиболее простой и надежной, увязав с заводом № 22 схему подпитки воды и емкость подпиточного бака.</w:t>
      </w:r>
    </w:p>
    <w:p w14:paraId="2A993D6F" w14:textId="77777777" w:rsidR="00EC0BEB" w:rsidRPr="00271E51" w:rsidRDefault="00EC0BEB" w:rsidP="00271E51">
      <w:pPr>
        <w:tabs>
          <w:tab w:val="left" w:pos="86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Проводить дальнейшую экспериментальную работу с целью:</w:t>
      </w:r>
    </w:p>
    <w:p w14:paraId="53D681DF" w14:textId="77777777" w:rsidR="00EC0BEB" w:rsidRPr="00271E51" w:rsidRDefault="00EC0BEB" w:rsidP="00271E51">
      <w:pPr>
        <w:tabs>
          <w:tab w:val="left" w:pos="788"/>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улучшения экономичности работы мотора (работа на обеднен</w:t>
      </w:r>
      <w:r w:rsidRPr="00271E51">
        <w:rPr>
          <w:rFonts w:ascii="Times New Roman" w:hAnsi="Times New Roman"/>
          <w:color w:val="000000" w:themeColor="text1"/>
          <w:sz w:val="16"/>
          <w:szCs w:val="16"/>
        </w:rPr>
        <w:softHyphen/>
        <w:t>ных смесях);</w:t>
      </w:r>
    </w:p>
    <w:p w14:paraId="67412AD7" w14:textId="77777777" w:rsidR="00EC0BEB" w:rsidRPr="00271E51" w:rsidRDefault="00EC0BEB" w:rsidP="00271E51">
      <w:pPr>
        <w:tabs>
          <w:tab w:val="left" w:pos="798"/>
          <w:tab w:val="left" w:pos="51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дальнейшего снижения октанового числа топлива.</w:t>
      </w:r>
    </w:p>
    <w:p w14:paraId="4A156A59" w14:textId="77777777" w:rsidR="00EC0BEB" w:rsidRPr="00271E51" w:rsidRDefault="00EC0BEB" w:rsidP="00271E51">
      <w:pPr>
        <w:tabs>
          <w:tab w:val="left" w:pos="798"/>
          <w:tab w:val="left" w:pos="51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инженер завода № 16 Месяцев</w:t>
      </w:r>
    </w:p>
    <w:p w14:paraId="329DB5EB" w14:textId="77777777" w:rsidR="00EC0BEB" w:rsidRPr="00271E51" w:rsidRDefault="00EC0BEB" w:rsidP="00271E51">
      <w:pPr>
        <w:tabs>
          <w:tab w:val="left" w:pos="798"/>
          <w:tab w:val="left" w:pos="51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СКО завода № 16 М.А. Колосов</w:t>
      </w:r>
    </w:p>
    <w:p w14:paraId="6758CD30" w14:textId="77777777" w:rsidR="00EC0BEB" w:rsidRPr="00271E51" w:rsidRDefault="00EC0BEB" w:rsidP="00271E51">
      <w:pPr>
        <w:tabs>
          <w:tab w:val="left" w:pos="798"/>
          <w:tab w:val="left" w:pos="5142"/>
        </w:tabs>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ОТК завода № 16 Родионов</w:t>
      </w:r>
    </w:p>
    <w:p w14:paraId="54C49BF4" w14:textId="77777777" w:rsidR="00EC0BEB" w:rsidRPr="00271E51" w:rsidRDefault="00EC0BE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Филиал РГАНТД. Ф. Р-4. Оп. 2-1. Д. 358. Л. 13, 14. Копия (15633).</w:t>
      </w:r>
    </w:p>
    <w:p w14:paraId="159FC09A" w14:textId="77777777" w:rsidR="00EC0BEB" w:rsidRPr="00271E51" w:rsidRDefault="00EC0BEB" w:rsidP="00271E51">
      <w:pPr>
        <w:pStyle w:val="3a"/>
        <w:shd w:val="clear" w:color="auto" w:fill="auto"/>
        <w:spacing w:before="0" w:after="0" w:line="240" w:lineRule="auto"/>
        <w:jc w:val="both"/>
        <w:rPr>
          <w:rStyle w:val="31pt0"/>
          <w:color w:val="000000" w:themeColor="text1"/>
          <w:spacing w:val="0"/>
          <w:sz w:val="16"/>
          <w:szCs w:val="16"/>
        </w:rPr>
      </w:pPr>
    </w:p>
    <w:p w14:paraId="2CAC8912" w14:textId="77777777" w:rsidR="00FC04C9" w:rsidRPr="00271E51" w:rsidRDefault="00FC04C9" w:rsidP="00271E51">
      <w:pPr>
        <w:overflowPunct w:val="0"/>
        <w:autoSpaceDE w:val="0"/>
        <w:autoSpaceDN w:val="0"/>
        <w:adjustRightInd w:val="0"/>
        <w:spacing w:after="0" w:line="240" w:lineRule="auto"/>
        <w:jc w:val="both"/>
        <w:textAlignment w:val="baseline"/>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на завод № 48 поступил заказ на серийное изготовление корпусов ФАБ-250М43, однако выдержать технологию полностью скудная заводская база не позволяла. В ГК НИИ ВВС временно сделали исключение для этого предприятия, разрешив заводчанам до 1 апреля следующего года выпускать продукцию с незначительными отклонениями от утвержденной документации. В итоге на фронт поступила партия упрощенных ФАБ-250М43 с приваренными стабилизаторами, без горловины, кольца и чашки в заднем конусе. Способ фиксации запальных стаканов в корпусе боеприпаса поменяли наоборот - передний приварили, а задний установили на резьбе. В результате этого снаряжать авиабомбы пришлось через головное очко, для чего его диаметр увеличили до 85 мм.</w:t>
      </w:r>
    </w:p>
    <w:p w14:paraId="721349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Следует отметить, что руководство завода № 48 взяло на себя ответственность за начало выпуска новой продукции, не дожидаясь разрешения из техотдела Наркомата боеприпасов. В итоге их “самодеятельность” все же утвердили без дополнительных испытаний, присвоив авиабомбам номер чертежа 3-01284а. Сегодня все это, возможно, вызовет недоумение или улыбку читателя, но не стоит забывать о трудовой дисциплине тех времен (особенно на военных заводах), усугубленной военным </w:t>
      </w:r>
      <w:r w:rsidRPr="00271E51">
        <w:rPr>
          <w:rFonts w:ascii="Times New Roman" w:hAnsi="Times New Roman"/>
          <w:color w:val="000000" w:themeColor="text1"/>
          <w:sz w:val="16"/>
          <w:szCs w:val="16"/>
        </w:rPr>
        <w:lastRenderedPageBreak/>
        <w:t>положением страны. Окончательно же завод перешел к производству ФАБ-250М43 чертежа 3-01284 только к октябрю 1944 г. (7453).</w:t>
      </w:r>
    </w:p>
    <w:p w14:paraId="68E6B6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B25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 завод № 48 поступил заказ на серийное производство ФАБ-250М43, но пришлось упрощать и НИИ ВВС согласился и разрешил выпускать упрощенные бомбы до февраля 1944. В реальности начал выпуск по оригинальным чертежам с октября 1944 (7453, 306).</w:t>
      </w:r>
    </w:p>
    <w:p w14:paraId="5900B3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0CD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на заводе подъемно-транспортного оборудования им. Кирова в Ленингра</w:t>
      </w:r>
      <w:r w:rsidRPr="00271E51">
        <w:rPr>
          <w:rFonts w:ascii="Times New Roman" w:hAnsi="Times New Roman"/>
          <w:color w:val="000000" w:themeColor="text1"/>
          <w:sz w:val="16"/>
          <w:szCs w:val="16"/>
        </w:rPr>
        <w:softHyphen/>
        <w:t>де начали проектные работы по при</w:t>
      </w:r>
      <w:r w:rsidRPr="00271E51">
        <w:rPr>
          <w:rFonts w:ascii="Times New Roman" w:hAnsi="Times New Roman"/>
          <w:color w:val="000000" w:themeColor="text1"/>
          <w:sz w:val="16"/>
          <w:szCs w:val="16"/>
        </w:rPr>
        <w:softHyphen/>
        <w:t>способлению к отечественных ка</w:t>
      </w:r>
      <w:r w:rsidRPr="00271E51">
        <w:rPr>
          <w:rFonts w:ascii="Times New Roman" w:hAnsi="Times New Roman"/>
          <w:color w:val="000000" w:themeColor="text1"/>
          <w:sz w:val="16"/>
          <w:szCs w:val="16"/>
        </w:rPr>
        <w:softHyphen/>
        <w:t>тапульт к Спитфайру. В 1944 г. приступили к пере</w:t>
      </w:r>
      <w:r w:rsidRPr="00271E51">
        <w:rPr>
          <w:rFonts w:ascii="Times New Roman" w:hAnsi="Times New Roman"/>
          <w:color w:val="000000" w:themeColor="text1"/>
          <w:sz w:val="16"/>
          <w:szCs w:val="16"/>
        </w:rPr>
        <w:softHyphen/>
        <w:t>оборудованию катапульты на крейсе</w:t>
      </w:r>
      <w:r w:rsidRPr="00271E51">
        <w:rPr>
          <w:rFonts w:ascii="Times New Roman" w:hAnsi="Times New Roman"/>
          <w:color w:val="000000" w:themeColor="text1"/>
          <w:sz w:val="16"/>
          <w:szCs w:val="16"/>
        </w:rPr>
        <w:softHyphen/>
        <w:t>ре "Молотов" Черноморского флота. Осенью того же года девять истре</w:t>
      </w:r>
      <w:r w:rsidRPr="00271E51">
        <w:rPr>
          <w:rFonts w:ascii="Times New Roman" w:hAnsi="Times New Roman"/>
          <w:color w:val="000000" w:themeColor="text1"/>
          <w:sz w:val="16"/>
          <w:szCs w:val="16"/>
        </w:rPr>
        <w:softHyphen/>
        <w:t>бителей передали специально сфор</w:t>
      </w:r>
      <w:r w:rsidRPr="00271E51">
        <w:rPr>
          <w:rFonts w:ascii="Times New Roman" w:hAnsi="Times New Roman"/>
          <w:color w:val="000000" w:themeColor="text1"/>
          <w:sz w:val="16"/>
          <w:szCs w:val="16"/>
        </w:rPr>
        <w:softHyphen/>
        <w:t>мированной 24-й аэ корабельной авиа</w:t>
      </w:r>
      <w:r w:rsidRPr="00271E51">
        <w:rPr>
          <w:rFonts w:ascii="Times New Roman" w:hAnsi="Times New Roman"/>
          <w:color w:val="000000" w:themeColor="text1"/>
          <w:sz w:val="16"/>
          <w:szCs w:val="16"/>
        </w:rPr>
        <w:softHyphen/>
        <w:t>ции, базировавшейся на аэродроме Альма-Томак. Под зализами крыла смонтировали гнезда под захваты катапульты, для облегчения сняли часть оборудования и пушки вместе с бое</w:t>
      </w:r>
      <w:r w:rsidRPr="00271E51">
        <w:rPr>
          <w:rFonts w:ascii="Times New Roman" w:hAnsi="Times New Roman"/>
          <w:color w:val="000000" w:themeColor="text1"/>
          <w:sz w:val="16"/>
          <w:szCs w:val="16"/>
        </w:rPr>
        <w:softHyphen/>
        <w:t>запасом. В годы войны катапультные старты не осуществлялись, но в 1946 г. один "Спитфайр" запускался с бор</w:t>
      </w:r>
      <w:r w:rsidRPr="00271E51">
        <w:rPr>
          <w:rFonts w:ascii="Times New Roman" w:hAnsi="Times New Roman"/>
          <w:color w:val="000000" w:themeColor="text1"/>
          <w:sz w:val="16"/>
          <w:szCs w:val="16"/>
        </w:rPr>
        <w:softHyphen/>
        <w:t>та крейсера "Молотов" (10790).</w:t>
      </w:r>
    </w:p>
    <w:p w14:paraId="38EA95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824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в списках ГВФ стал числиться Юнкере W 34. Этот самолёт выпуска 30-х годов, обозначавшийся у нас В-34 или Ю-34, представлял собой одномоторный цельнометаллический моноплан с неубирающимся шасси. Эта машина некоторое время находилась на заводе № 243, а после выхода из ремонта в сентябре 1944 г попала в возрожденное Украинское управление ГВФ (6393).</w:t>
      </w:r>
    </w:p>
    <w:p w14:paraId="2855B2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295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П-5 всех модификаций, которые служили в Арктике, начали консервировать, а в следующем году - списывать. До начала 1945 г. ни один из них не дожил. В сезон 1934 г. Полярная авиация располагала двумя новыми гидросамолетами МР-5 и начала получать П-5 на колесах. Поплавковые самолеты в полярной авиации не прижились. А обычных П-5, летавших на лыжах, в ГУСМП всегда было много - только за 1935 г. получили 26 самолетов (11936).</w:t>
      </w:r>
    </w:p>
    <w:p w14:paraId="4A5833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98D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П-5 начали консервировать, а в следующем году - списывать. П-5 всех модификаций служили в Арктике вплоть до середины войны. До начала 1945 г. ни один из них не дожил (12034).</w:t>
      </w:r>
    </w:p>
    <w:p w14:paraId="679A9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Наличие самолетов П-5, ЛП-5 и ПР-5 в ГВФ (без ведомственной авиации)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907A5" w:rsidRPr="00271E51" w14:paraId="32BB88AE" w14:textId="77777777" w:rsidTr="00ED5B0A">
        <w:tc>
          <w:tcPr>
            <w:tcW w:w="2802" w:type="dxa"/>
            <w:tcBorders>
              <w:top w:val="single" w:sz="12" w:space="0" w:color="auto"/>
            </w:tcBorders>
          </w:tcPr>
          <w:p w14:paraId="318E2F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w:t>
            </w:r>
          </w:p>
        </w:tc>
        <w:tc>
          <w:tcPr>
            <w:tcW w:w="2802" w:type="dxa"/>
            <w:tcBorders>
              <w:top w:val="single" w:sz="12" w:space="0" w:color="auto"/>
            </w:tcBorders>
          </w:tcPr>
          <w:p w14:paraId="36D28F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1П-5</w:t>
            </w:r>
          </w:p>
        </w:tc>
        <w:tc>
          <w:tcPr>
            <w:tcW w:w="2802" w:type="dxa"/>
            <w:tcBorders>
              <w:top w:val="single" w:sz="12" w:space="0" w:color="auto"/>
            </w:tcBorders>
          </w:tcPr>
          <w:p w14:paraId="46E4E9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ЛП-5</w:t>
            </w:r>
          </w:p>
        </w:tc>
        <w:tc>
          <w:tcPr>
            <w:tcW w:w="2802" w:type="dxa"/>
            <w:tcBorders>
              <w:top w:val="single" w:sz="12" w:space="0" w:color="auto"/>
            </w:tcBorders>
          </w:tcPr>
          <w:p w14:paraId="56E538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ПР-5</w:t>
            </w:r>
          </w:p>
        </w:tc>
      </w:tr>
      <w:tr w:rsidR="00A907A5" w:rsidRPr="00271E51" w14:paraId="57F66EC0" w14:textId="77777777" w:rsidTr="00ED5B0A">
        <w:tc>
          <w:tcPr>
            <w:tcW w:w="2802" w:type="dxa"/>
          </w:tcPr>
          <w:p w14:paraId="5F775A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01.01.32</w:t>
            </w:r>
          </w:p>
        </w:tc>
        <w:tc>
          <w:tcPr>
            <w:tcW w:w="2802" w:type="dxa"/>
          </w:tcPr>
          <w:p w14:paraId="00D87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tc>
        <w:tc>
          <w:tcPr>
            <w:tcW w:w="2802" w:type="dxa"/>
          </w:tcPr>
          <w:p w14:paraId="0C181F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02" w:type="dxa"/>
          </w:tcPr>
          <w:p w14:paraId="146DEB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0D628F7" w14:textId="77777777" w:rsidTr="00ED5B0A">
        <w:tc>
          <w:tcPr>
            <w:tcW w:w="2802" w:type="dxa"/>
          </w:tcPr>
          <w:p w14:paraId="24038E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01.01.33</w:t>
            </w:r>
          </w:p>
        </w:tc>
        <w:tc>
          <w:tcPr>
            <w:tcW w:w="2802" w:type="dxa"/>
          </w:tcPr>
          <w:p w14:paraId="377930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2802" w:type="dxa"/>
          </w:tcPr>
          <w:p w14:paraId="3F3500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02" w:type="dxa"/>
          </w:tcPr>
          <w:p w14:paraId="6F7118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0E1BDCB" w14:textId="77777777" w:rsidTr="00ED5B0A">
        <w:tc>
          <w:tcPr>
            <w:tcW w:w="2802" w:type="dxa"/>
          </w:tcPr>
          <w:p w14:paraId="12EE89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01.01.35</w:t>
            </w:r>
          </w:p>
        </w:tc>
        <w:tc>
          <w:tcPr>
            <w:tcW w:w="2802" w:type="dxa"/>
          </w:tcPr>
          <w:p w14:paraId="640DE6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156</w:t>
            </w:r>
          </w:p>
        </w:tc>
        <w:tc>
          <w:tcPr>
            <w:tcW w:w="2802" w:type="dxa"/>
          </w:tcPr>
          <w:p w14:paraId="044D26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02" w:type="dxa"/>
          </w:tcPr>
          <w:p w14:paraId="1ED1C7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A93364F" w14:textId="77777777" w:rsidTr="00ED5B0A">
        <w:tc>
          <w:tcPr>
            <w:tcW w:w="2802" w:type="dxa"/>
          </w:tcPr>
          <w:p w14:paraId="1F3B16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01.05.39</w:t>
            </w:r>
          </w:p>
        </w:tc>
        <w:tc>
          <w:tcPr>
            <w:tcW w:w="2802" w:type="dxa"/>
          </w:tcPr>
          <w:p w14:paraId="38E75C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w:t>
            </w:r>
          </w:p>
        </w:tc>
        <w:tc>
          <w:tcPr>
            <w:tcW w:w="2802" w:type="dxa"/>
          </w:tcPr>
          <w:p w14:paraId="1EDCBD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2802" w:type="dxa"/>
          </w:tcPr>
          <w:p w14:paraId="156F51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tc>
      </w:tr>
      <w:tr w:rsidR="00A907A5" w:rsidRPr="00271E51" w14:paraId="3A8FCF37" w14:textId="77777777" w:rsidTr="00ED5B0A">
        <w:tc>
          <w:tcPr>
            <w:tcW w:w="2802" w:type="dxa"/>
          </w:tcPr>
          <w:p w14:paraId="2C9756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01.01.40</w:t>
            </w:r>
          </w:p>
        </w:tc>
        <w:tc>
          <w:tcPr>
            <w:tcW w:w="2802" w:type="dxa"/>
          </w:tcPr>
          <w:p w14:paraId="44E347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w:t>
            </w:r>
          </w:p>
        </w:tc>
        <w:tc>
          <w:tcPr>
            <w:tcW w:w="2802" w:type="dxa"/>
          </w:tcPr>
          <w:p w14:paraId="5E47C5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2802" w:type="dxa"/>
          </w:tcPr>
          <w:p w14:paraId="026D6A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w:t>
            </w:r>
          </w:p>
        </w:tc>
      </w:tr>
      <w:tr w:rsidR="00A907A5" w:rsidRPr="00271E51" w14:paraId="614E0FA7" w14:textId="77777777" w:rsidTr="00ED5B0A">
        <w:tc>
          <w:tcPr>
            <w:tcW w:w="2802" w:type="dxa"/>
          </w:tcPr>
          <w:p w14:paraId="3A0D3C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01.12.40</w:t>
            </w:r>
          </w:p>
        </w:tc>
        <w:tc>
          <w:tcPr>
            <w:tcW w:w="2802" w:type="dxa"/>
          </w:tcPr>
          <w:p w14:paraId="28DCFB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w:t>
            </w:r>
          </w:p>
        </w:tc>
        <w:tc>
          <w:tcPr>
            <w:tcW w:w="2802" w:type="dxa"/>
          </w:tcPr>
          <w:p w14:paraId="40A5A0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2802" w:type="dxa"/>
          </w:tcPr>
          <w:p w14:paraId="2D1387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r>
      <w:tr w:rsidR="00A907A5" w:rsidRPr="00271E51" w14:paraId="3FB02B5F" w14:textId="77777777" w:rsidTr="00ED5B0A">
        <w:tc>
          <w:tcPr>
            <w:tcW w:w="2802" w:type="dxa"/>
          </w:tcPr>
          <w:p w14:paraId="0ABB52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01.04.41</w:t>
            </w:r>
          </w:p>
        </w:tc>
        <w:tc>
          <w:tcPr>
            <w:tcW w:w="2802" w:type="dxa"/>
          </w:tcPr>
          <w:p w14:paraId="4F5455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2802" w:type="dxa"/>
          </w:tcPr>
          <w:p w14:paraId="716DE3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2802" w:type="dxa"/>
          </w:tcPr>
          <w:p w14:paraId="1FC0BA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tc>
      </w:tr>
      <w:tr w:rsidR="00A907A5" w:rsidRPr="00271E51" w14:paraId="7DC692ED" w14:textId="77777777" w:rsidTr="00ED5B0A">
        <w:tc>
          <w:tcPr>
            <w:tcW w:w="2802" w:type="dxa"/>
          </w:tcPr>
          <w:p w14:paraId="647CB0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20.12.41</w:t>
            </w:r>
          </w:p>
        </w:tc>
        <w:tc>
          <w:tcPr>
            <w:tcW w:w="2802" w:type="dxa"/>
          </w:tcPr>
          <w:p w14:paraId="1E90F7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tc>
        <w:tc>
          <w:tcPr>
            <w:tcW w:w="2802" w:type="dxa"/>
          </w:tcPr>
          <w:p w14:paraId="3A7453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02" w:type="dxa"/>
          </w:tcPr>
          <w:p w14:paraId="1BB159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w:t>
            </w:r>
          </w:p>
        </w:tc>
      </w:tr>
      <w:tr w:rsidR="00A907A5" w:rsidRPr="00271E51" w14:paraId="53490F9D" w14:textId="77777777" w:rsidTr="00ED5B0A">
        <w:tc>
          <w:tcPr>
            <w:tcW w:w="2802" w:type="dxa"/>
          </w:tcPr>
          <w:p w14:paraId="45FF7A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01.12.42</w:t>
            </w:r>
          </w:p>
        </w:tc>
        <w:tc>
          <w:tcPr>
            <w:tcW w:w="2802" w:type="dxa"/>
          </w:tcPr>
          <w:p w14:paraId="750094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180</w:t>
            </w:r>
          </w:p>
        </w:tc>
        <w:tc>
          <w:tcPr>
            <w:tcW w:w="2802" w:type="dxa"/>
          </w:tcPr>
          <w:p w14:paraId="324925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2802" w:type="dxa"/>
          </w:tcPr>
          <w:p w14:paraId="3B309E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tc>
      </w:tr>
      <w:tr w:rsidR="00A907A5" w:rsidRPr="00271E51" w14:paraId="18DFDEF9" w14:textId="77777777" w:rsidTr="00ED5B0A">
        <w:tc>
          <w:tcPr>
            <w:tcW w:w="2802" w:type="dxa"/>
          </w:tcPr>
          <w:p w14:paraId="34E8DE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01.01.44</w:t>
            </w:r>
          </w:p>
        </w:tc>
        <w:tc>
          <w:tcPr>
            <w:tcW w:w="2802" w:type="dxa"/>
          </w:tcPr>
          <w:p w14:paraId="64AD37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tc>
        <w:tc>
          <w:tcPr>
            <w:tcW w:w="2802" w:type="dxa"/>
          </w:tcPr>
          <w:p w14:paraId="643E04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A34D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82634A3" w14:textId="77777777" w:rsidTr="00ED5B0A">
        <w:tc>
          <w:tcPr>
            <w:tcW w:w="2802" w:type="dxa"/>
          </w:tcPr>
          <w:p w14:paraId="5F79B8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01.06.44</w:t>
            </w:r>
          </w:p>
        </w:tc>
        <w:tc>
          <w:tcPr>
            <w:tcW w:w="2802" w:type="dxa"/>
          </w:tcPr>
          <w:p w14:paraId="5B984F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w:t>
            </w:r>
          </w:p>
        </w:tc>
        <w:tc>
          <w:tcPr>
            <w:tcW w:w="2802" w:type="dxa"/>
          </w:tcPr>
          <w:p w14:paraId="7D1D99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73A47B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93E4681" w14:textId="77777777" w:rsidTr="00ED5B0A">
        <w:tc>
          <w:tcPr>
            <w:tcW w:w="2802" w:type="dxa"/>
          </w:tcPr>
          <w:p w14:paraId="3CBE10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01.12.45</w:t>
            </w:r>
          </w:p>
        </w:tc>
        <w:tc>
          <w:tcPr>
            <w:tcW w:w="2802" w:type="dxa"/>
          </w:tcPr>
          <w:p w14:paraId="628CF7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2802" w:type="dxa"/>
          </w:tcPr>
          <w:p w14:paraId="550143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8A1B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FC340D" w14:textId="77777777" w:rsidTr="00ED5B0A">
        <w:tc>
          <w:tcPr>
            <w:tcW w:w="2802" w:type="dxa"/>
          </w:tcPr>
          <w:p w14:paraId="752394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01.12.46</w:t>
            </w:r>
          </w:p>
        </w:tc>
        <w:tc>
          <w:tcPr>
            <w:tcW w:w="2802" w:type="dxa"/>
          </w:tcPr>
          <w:p w14:paraId="70F4E5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802" w:type="dxa"/>
          </w:tcPr>
          <w:p w14:paraId="7E25E8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0F62C3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F168DE1" w14:textId="77777777" w:rsidTr="00ED5B0A">
        <w:tc>
          <w:tcPr>
            <w:tcW w:w="2802" w:type="dxa"/>
            <w:tcBorders>
              <w:bottom w:val="single" w:sz="12" w:space="0" w:color="auto"/>
            </w:tcBorders>
          </w:tcPr>
          <w:p w14:paraId="1865C3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01.12.47</w:t>
            </w:r>
          </w:p>
        </w:tc>
        <w:tc>
          <w:tcPr>
            <w:tcW w:w="2802" w:type="dxa"/>
            <w:tcBorders>
              <w:bottom w:val="single" w:sz="12" w:space="0" w:color="auto"/>
            </w:tcBorders>
          </w:tcPr>
          <w:p w14:paraId="1304D5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2802" w:type="dxa"/>
            <w:tcBorders>
              <w:bottom w:val="single" w:sz="12" w:space="0" w:color="auto"/>
            </w:tcBorders>
          </w:tcPr>
          <w:p w14:paraId="3B8050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449CD1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F4DC3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Примечание: с середины 1943 г. все самолеты на базе Р-5 учитывались ГУ ГВФ совместно (12034).</w:t>
      </w:r>
    </w:p>
    <w:p w14:paraId="555EA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2A4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появилась самолетная РЛС Гнейс-2М и в начале 1944 их поставили на 4 А-20 (1085,172).</w:t>
      </w:r>
    </w:p>
    <w:p w14:paraId="481D9E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C86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завод № 43 был восстановлен и согласно решению ГКО от 3 января 1944 года за № 4979сс и приказа НКАП от 4 января 1944 года № 6 ему был присвоен номер 473. Директором завода был назначен Пиняк В.М.</w:t>
      </w:r>
    </w:p>
    <w:p w14:paraId="19C9AA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1945 по 1946 гг. – директор Дудник Е.П.</w:t>
      </w:r>
    </w:p>
    <w:p w14:paraId="689C82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1946 по 1950 гг. – директор Миронов М.Р.</w:t>
      </w:r>
    </w:p>
    <w:p w14:paraId="5752AC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1950 по 1954 гг. – директор Шелест П.Е.</w:t>
      </w:r>
    </w:p>
    <w:p w14:paraId="19AF41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1954 по 1958 гг. – директор Степанченко В.А.</w:t>
      </w:r>
    </w:p>
    <w:p w14:paraId="73783C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1958 года – директор Ивченко А.Г.</w:t>
      </w:r>
    </w:p>
    <w:p w14:paraId="66A892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1945 года завод № 473 занимал следующие промплощадки:</w:t>
      </w:r>
    </w:p>
    <w:p w14:paraId="6C1BC0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Промплощадку № 1 – бывш. строительство фабрики клавишных музыкальных инструментов</w:t>
      </w:r>
    </w:p>
    <w:p w14:paraId="7FABA7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Промплощадку № 2 – территорию бывш. завода № 43 и 6-го ж/д полка</w:t>
      </w:r>
    </w:p>
    <w:p w14:paraId="774D64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Промплощадку № 3 – бывш. опытный завод гл. конструктора Таирова В.К.</w:t>
      </w:r>
    </w:p>
    <w:p w14:paraId="6F139B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Промплощадку № 4 – аэродром КВО</w:t>
      </w:r>
    </w:p>
    <w:p w14:paraId="5E47CD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Согласно распоряжению СНК от 23 октября 1945 года № 15327-Р промплощадки №№ 2 и 3 переданы НК гражданстрою.</w:t>
      </w:r>
    </w:p>
    <w:p w14:paraId="03AD4E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находится в 9 км от центра Киева и граничит:</w:t>
      </w:r>
    </w:p>
    <w:p w14:paraId="2AB64CE6"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севера – с аэродромом завода № 473</w:t>
      </w:r>
    </w:p>
    <w:p w14:paraId="2EB0CF46"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востока – с Гостомельским шоссе</w:t>
      </w:r>
    </w:p>
    <w:p w14:paraId="500C815A"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юга – с Брест-Литовским шоссе</w:t>
      </w:r>
    </w:p>
    <w:p w14:paraId="0ACB3A22"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запада – с ж/д линией Гомель-Коростень</w:t>
      </w:r>
    </w:p>
    <w:p w14:paraId="3181D5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5CD78ED1"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“К-1” – 1925-1926 гг.</w:t>
      </w:r>
    </w:p>
    <w:p w14:paraId="548ED71E"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Серия автожиров “ЭА4” – 1932-1933 гг.</w:t>
      </w:r>
    </w:p>
    <w:p w14:paraId="06DF8905"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Серия первых советских скоростных пассажирских самолетов “ХАИ-1” – 1934-1936 гг.</w:t>
      </w:r>
    </w:p>
    <w:p w14:paraId="4898469A"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Строительство опытных самолетов “ОКО-1” и “ОКО-6” конструкции Таирова В.К. – 1937-1941 гг.</w:t>
      </w:r>
    </w:p>
    <w:p w14:paraId="14D96E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 июня 1941 года завод был разрушен с воздуха.</w:t>
      </w:r>
    </w:p>
    <w:p w14:paraId="74661F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был эвакуирован в гг. Новосибирск и Куйбышев.</w:t>
      </w:r>
    </w:p>
    <w:p w14:paraId="0CE1C3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ВОВ завод стал крупносерийным.</w:t>
      </w:r>
    </w:p>
    <w:p w14:paraId="4C2120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Киев, Брест-Литовское шоссе, 146</w:t>
      </w:r>
    </w:p>
    <w:p w14:paraId="2DE7F1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выпускал:</w:t>
      </w:r>
    </w:p>
    <w:p w14:paraId="36263EF6"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Малые серии геликоптеров конструкции Братухина И.П.</w:t>
      </w:r>
    </w:p>
    <w:p w14:paraId="744A4512"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образец вертолета конструкции М.А. Миля.</w:t>
      </w:r>
    </w:p>
    <w:p w14:paraId="6048BE58"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1949 года перешел на производство самолетов АН-2 конструкции О.К. Антонова (9609).</w:t>
      </w:r>
    </w:p>
    <w:p w14:paraId="61BB2B14" w14:textId="77777777" w:rsidR="00FC04C9" w:rsidRPr="00271E51" w:rsidRDefault="00FC04C9" w:rsidP="00271E51">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2725780" w14:textId="77777777" w:rsidR="00FD274E" w:rsidRPr="00271E51" w:rsidRDefault="00FD274E"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В конце 1943 г., планируя выпуск 1944 г., в НКАП всерьёз оза</w:t>
      </w:r>
      <w:r w:rsidRPr="00271E51">
        <w:rPr>
          <w:rFonts w:ascii="Times New Roman" w:hAnsi="Times New Roman"/>
          <w:color w:val="0070C0"/>
          <w:sz w:val="16"/>
          <w:szCs w:val="16"/>
          <w:lang w:eastAsia="ru-RU" w:bidi="ru-RU"/>
        </w:rPr>
        <w:softHyphen/>
        <w:t>ботились снижением себестоимости авиатехники за счёт коррекции цен на постав</w:t>
      </w:r>
      <w:r w:rsidRPr="00271E51">
        <w:rPr>
          <w:rFonts w:ascii="Times New Roman" w:hAnsi="Times New Roman"/>
          <w:color w:val="0070C0"/>
          <w:sz w:val="16"/>
          <w:szCs w:val="16"/>
          <w:lang w:eastAsia="ru-RU" w:bidi="ru-RU"/>
        </w:rPr>
        <w:softHyphen/>
        <w:t>ляемые полуфабрикаты и агрегаты (22646).</w:t>
      </w:r>
    </w:p>
    <w:p w14:paraId="77938956" w14:textId="77777777" w:rsidR="00FD274E" w:rsidRPr="00271E51" w:rsidRDefault="00FD274E" w:rsidP="00271E51">
      <w:pPr>
        <w:spacing w:after="0" w:line="240" w:lineRule="auto"/>
        <w:jc w:val="both"/>
        <w:rPr>
          <w:rFonts w:ascii="Times New Roman" w:hAnsi="Times New Roman"/>
          <w:i/>
          <w:iCs/>
          <w:color w:val="0070C0"/>
          <w:sz w:val="16"/>
          <w:szCs w:val="16"/>
          <w:lang w:eastAsia="ru-RU" w:bidi="ru-RU"/>
        </w:rPr>
      </w:pPr>
    </w:p>
    <w:p w14:paraId="64709A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года в ОКБ- 16А.Э. Нудельмана приступили к созданию облегченного 37-мм авиационного орудия на базе НС-37. Работы провели по отработанной ранее на пушке НС-23 схеме "боеприпас-оружие". Исследования эффективности авиационного вооружения показали, что при стрельбе по маневрирующим целям очень важным показателем является плотность огня, одной из составляющих которого считается скорострельность. Для повышения темпа стрельбы орудия </w:t>
      </w:r>
      <w:r w:rsidRPr="00271E51">
        <w:rPr>
          <w:rFonts w:ascii="Times New Roman" w:hAnsi="Times New Roman"/>
          <w:color w:val="000000" w:themeColor="text1"/>
          <w:sz w:val="16"/>
          <w:szCs w:val="16"/>
        </w:rPr>
        <w:lastRenderedPageBreak/>
        <w:t>уменьшили начальную скорость снаряда, звенья и гильзу для которого (как и на НС-23) подобрали, доработав гильзу 37-мм зенитной пушки К-70. По сравнению с исходной НС-37 патрон стал легче почти в полтора раза, и во столько же уменьшился вес пушки (с 171 до 103 кг), при этом скорострельность возросла в полтора раза (с 260 до 400 выстрелов в минуту) (12047).</w:t>
      </w:r>
    </w:p>
    <w:p w14:paraId="4EEF59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D4C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по заданию ГУВ ГМЧ конструкторская группа А.Н.Васильева в СКВ завода «Компрессор» начала разрабатывать ПУ для стрельбы вращающимися снарядами М-13УК и М-13. В 1944 г. была создана 10-зарядная самоходная ПУ - БМ-13СН на шасси авто. В ней впервые были применены спиральные направляющие. Снаряды получали вращение с небольшой угловой скоростью. Кучность при стрельбе М-13УК возросла в 1,1 раза, в сравнении с БМ-13Н.</w:t>
      </w:r>
    </w:p>
    <w:p w14:paraId="637ABA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причинами высокого рассеивания РС явились эксцент</w:t>
      </w:r>
      <w:r w:rsidRPr="00271E51">
        <w:rPr>
          <w:rFonts w:ascii="Times New Roman" w:hAnsi="Times New Roman"/>
          <w:color w:val="000000" w:themeColor="text1"/>
          <w:sz w:val="16"/>
          <w:szCs w:val="16"/>
        </w:rPr>
        <w:softHyphen/>
        <w:t>риситет снаряда, а также возмущения, возникающие при его движении по направляющим и в полете. Проведенные ГУВ ГМЧ отстрелы снаря</w:t>
      </w:r>
      <w:r w:rsidRPr="00271E51">
        <w:rPr>
          <w:rFonts w:ascii="Times New Roman" w:hAnsi="Times New Roman"/>
          <w:color w:val="000000" w:themeColor="text1"/>
          <w:sz w:val="16"/>
          <w:szCs w:val="16"/>
        </w:rPr>
        <w:softHyphen/>
        <w:t>дов с косо расположенными перьями стабилизаторов реализовали воз</w:t>
      </w:r>
      <w:r w:rsidRPr="00271E51">
        <w:rPr>
          <w:rFonts w:ascii="Times New Roman" w:hAnsi="Times New Roman"/>
          <w:color w:val="000000" w:themeColor="text1"/>
          <w:sz w:val="16"/>
          <w:szCs w:val="16"/>
        </w:rPr>
        <w:softHyphen/>
        <w:t>можность вращать РС на траектории. Для М-13 боковая кучность была улучшена на 40-50%. В 1943 г. сотрудники ЦАГИ С.А.Христианович Ф.Р.Гантмахер, Л.М.Левин, И.И.Слезингер и офицеры ГУВ ГМЧ Л.Я.Пенн, А.И.Семенов и Я.Б.Шор в результате экспериментальных и теоретических исследований по баллистике РС установили, что интен-сивнное вращение снаряда на первых метрах полета должно радикально повысить их кучность. Такое вращение не могло быть достигнуто с помо</w:t>
      </w:r>
      <w:r w:rsidRPr="00271E51">
        <w:rPr>
          <w:rFonts w:ascii="Times New Roman" w:hAnsi="Times New Roman"/>
          <w:color w:val="000000" w:themeColor="text1"/>
          <w:sz w:val="16"/>
          <w:szCs w:val="16"/>
        </w:rPr>
        <w:softHyphen/>
        <w:t>щью косо установленных перьев стабилизаторов. Интенсивного враще</w:t>
      </w:r>
      <w:r w:rsidRPr="00271E51">
        <w:rPr>
          <w:rFonts w:ascii="Times New Roman" w:hAnsi="Times New Roman"/>
          <w:color w:val="000000" w:themeColor="text1"/>
          <w:sz w:val="16"/>
          <w:szCs w:val="16"/>
        </w:rPr>
        <w:softHyphen/>
        <w:t>ния РС авторы добились, применив принцип Сегнерова колеса, за счет использования небольшой части (от 3 до 6%) пороховых газов, выпуска</w:t>
      </w:r>
      <w:r w:rsidRPr="00271E51">
        <w:rPr>
          <w:rFonts w:ascii="Times New Roman" w:hAnsi="Times New Roman"/>
          <w:color w:val="000000" w:themeColor="text1"/>
          <w:sz w:val="16"/>
          <w:szCs w:val="16"/>
        </w:rPr>
        <w:softHyphen/>
        <w:t>емых из камеры сгорания двигателя через тангенциальные каналы в пло</w:t>
      </w:r>
      <w:r w:rsidRPr="00271E51">
        <w:rPr>
          <w:rFonts w:ascii="Times New Roman" w:hAnsi="Times New Roman"/>
          <w:color w:val="000000" w:themeColor="text1"/>
          <w:sz w:val="16"/>
          <w:szCs w:val="16"/>
        </w:rPr>
        <w:softHyphen/>
        <w:t>скости, близкой к центру тяжести РС. В отличие от вращающихся арт-снарядов, вращение РС служило не для стабилизации на траектории (это обеспечивалось оперением), а должно было ослабить действие отклоня</w:t>
      </w:r>
      <w:r w:rsidRPr="00271E51">
        <w:rPr>
          <w:rFonts w:ascii="Times New Roman" w:hAnsi="Times New Roman"/>
          <w:color w:val="000000" w:themeColor="text1"/>
          <w:sz w:val="16"/>
          <w:szCs w:val="16"/>
        </w:rPr>
        <w:softHyphen/>
        <w:t>ющих РС моментов сил путем их усреднения.</w:t>
      </w:r>
    </w:p>
    <w:p w14:paraId="763EBD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исследовательских работ создали новые вращающиеся в полете РС улучшенной кучности - М-13УК с дальностью полета 7,9 км. Их вращение достигалось путем введения 12 тангенциально располо</w:t>
      </w:r>
      <w:r w:rsidRPr="00271E51">
        <w:rPr>
          <w:rFonts w:ascii="Times New Roman" w:hAnsi="Times New Roman"/>
          <w:color w:val="000000" w:themeColor="text1"/>
          <w:sz w:val="16"/>
          <w:szCs w:val="16"/>
        </w:rPr>
        <w:softHyphen/>
        <w:t>женных отверстий в переднем центрующем утолщении. В ходе отработ</w:t>
      </w:r>
      <w:r w:rsidRPr="00271E51">
        <w:rPr>
          <w:rFonts w:ascii="Times New Roman" w:hAnsi="Times New Roman"/>
          <w:color w:val="000000" w:themeColor="text1"/>
          <w:sz w:val="16"/>
          <w:szCs w:val="16"/>
        </w:rPr>
        <w:softHyphen/>
        <w:t>ки было отстреляно более 1000 РС и проведено более 100 стендовых ис</w:t>
      </w:r>
      <w:r w:rsidRPr="00271E51">
        <w:rPr>
          <w:rFonts w:ascii="Times New Roman" w:hAnsi="Times New Roman"/>
          <w:color w:val="000000" w:themeColor="text1"/>
          <w:sz w:val="16"/>
          <w:szCs w:val="16"/>
        </w:rPr>
        <w:softHyphen/>
        <w:t>пытаний. Установили, что у М-13УК рассеивание по боковому направ</w:t>
      </w:r>
      <w:r w:rsidRPr="00271E51">
        <w:rPr>
          <w:rFonts w:ascii="Times New Roman" w:hAnsi="Times New Roman"/>
          <w:color w:val="000000" w:themeColor="text1"/>
          <w:sz w:val="16"/>
          <w:szCs w:val="16"/>
        </w:rPr>
        <w:softHyphen/>
        <w:t>лению было в 2,2 раза, а по дальности в 1,14 раза менее, чем у М-13. Плотность огня в залпе возросла в 3 раза, однако дальность полета не</w:t>
      </w:r>
      <w:r w:rsidRPr="00271E51">
        <w:rPr>
          <w:rFonts w:ascii="Times New Roman" w:hAnsi="Times New Roman"/>
          <w:color w:val="000000" w:themeColor="text1"/>
          <w:sz w:val="16"/>
          <w:szCs w:val="16"/>
        </w:rPr>
        <w:softHyphen/>
        <w:t>сколько уменьшилась. На активной части траектории в 60 м снаряд со</w:t>
      </w:r>
      <w:r w:rsidRPr="00271E51">
        <w:rPr>
          <w:rFonts w:ascii="Times New Roman" w:hAnsi="Times New Roman"/>
          <w:color w:val="000000" w:themeColor="text1"/>
          <w:sz w:val="16"/>
          <w:szCs w:val="16"/>
        </w:rPr>
        <w:softHyphen/>
        <w:t>вершал 5 оборотов. На малых углах бросания характеристики рассеива</w:t>
      </w:r>
      <w:r w:rsidRPr="00271E51">
        <w:rPr>
          <w:rFonts w:ascii="Times New Roman" w:hAnsi="Times New Roman"/>
          <w:color w:val="000000" w:themeColor="text1"/>
          <w:sz w:val="16"/>
          <w:szCs w:val="16"/>
        </w:rPr>
        <w:softHyphen/>
        <w:t>ния по дальности возрастали.</w:t>
      </w:r>
    </w:p>
    <w:p w14:paraId="5FFBFBA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боекомплект «катюши» - БМ-13 вошли снаряды увеличенной куч</w:t>
      </w:r>
      <w:r w:rsidRPr="00271E51">
        <w:rPr>
          <w:rFonts w:ascii="Times New Roman" w:hAnsi="Times New Roman"/>
          <w:color w:val="000000" w:themeColor="text1"/>
          <w:sz w:val="16"/>
          <w:szCs w:val="16"/>
        </w:rPr>
        <w:softHyphen/>
        <w:t>ности М-13УК и М-13УК-1. Оба боеприпаса использовались и в авиа</w:t>
      </w:r>
      <w:r w:rsidRPr="00271E51">
        <w:rPr>
          <w:rFonts w:ascii="Times New Roman" w:hAnsi="Times New Roman"/>
          <w:color w:val="000000" w:themeColor="text1"/>
          <w:sz w:val="16"/>
          <w:szCs w:val="16"/>
        </w:rPr>
        <w:softHyphen/>
        <w:t>ции. М-13УК при стрельбе с Ил-2 по наземным целям с дальностей 600-800 м обладал рассеиванием по дальности - 8,6 м, а по направлению - 4,7 м, что было значительно меньше радиуса сплошного поражения этого снаряда.</w:t>
      </w:r>
    </w:p>
    <w:p w14:paraId="60F33A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РС всегда запрещалось класть на землю без укупорки и касаться опе</w:t>
      </w:r>
      <w:r w:rsidRPr="00271E51">
        <w:rPr>
          <w:rFonts w:ascii="Times New Roman" w:hAnsi="Times New Roman"/>
          <w:color w:val="000000" w:themeColor="text1"/>
          <w:sz w:val="16"/>
          <w:szCs w:val="16"/>
        </w:rPr>
        <w:softHyphen/>
        <w:t>рением один другого, поскольку тонкостенные полые внутри стабилиза</w:t>
      </w:r>
      <w:r w:rsidRPr="00271E51">
        <w:rPr>
          <w:rFonts w:ascii="Times New Roman" w:hAnsi="Times New Roman"/>
          <w:color w:val="000000" w:themeColor="text1"/>
          <w:sz w:val="16"/>
          <w:szCs w:val="16"/>
        </w:rPr>
        <w:softHyphen/>
        <w:t>торы М-13УК в боевых условиях часто гнулись и при неделикатном об</w:t>
      </w:r>
      <w:r w:rsidRPr="00271E51">
        <w:rPr>
          <w:rFonts w:ascii="Times New Roman" w:hAnsi="Times New Roman"/>
          <w:color w:val="000000" w:themeColor="text1"/>
          <w:sz w:val="16"/>
          <w:szCs w:val="16"/>
        </w:rPr>
        <w:softHyphen/>
        <w:t>ращении получали вмятины. Внесение таких «изменений» в конструкцию явно не улучшало аэродинамических характеристик боеприпаса. И если незначительно погнутый стабилизатор предписывалось выпрям</w:t>
      </w:r>
      <w:r w:rsidRPr="00271E51">
        <w:rPr>
          <w:rFonts w:ascii="Times New Roman" w:hAnsi="Times New Roman"/>
          <w:color w:val="000000" w:themeColor="text1"/>
          <w:sz w:val="16"/>
          <w:szCs w:val="16"/>
        </w:rPr>
        <w:softHyphen/>
        <w:t>лять деревянным молотком, то вмятины на сваренном по контуру опере</w:t>
      </w:r>
      <w:r w:rsidRPr="00271E51">
        <w:rPr>
          <w:rFonts w:ascii="Times New Roman" w:hAnsi="Times New Roman"/>
          <w:color w:val="000000" w:themeColor="text1"/>
          <w:sz w:val="16"/>
          <w:szCs w:val="16"/>
        </w:rPr>
        <w:softHyphen/>
        <w:t>нии невозможно было выправить. Несколько позже, в модели снаряда М-13УК-1 разработчики учли эту неприятность, выполнив стабилизато</w:t>
      </w:r>
      <w:r w:rsidRPr="00271E51">
        <w:rPr>
          <w:rFonts w:ascii="Times New Roman" w:hAnsi="Times New Roman"/>
          <w:color w:val="000000" w:themeColor="text1"/>
          <w:sz w:val="16"/>
          <w:szCs w:val="16"/>
        </w:rPr>
        <w:softHyphen/>
        <w:t>ры плоскими из более толстых стальных пластин. Баллистический ин</w:t>
      </w:r>
      <w:r w:rsidRPr="00271E51">
        <w:rPr>
          <w:rFonts w:ascii="Times New Roman" w:hAnsi="Times New Roman"/>
          <w:color w:val="000000" w:themeColor="text1"/>
          <w:sz w:val="16"/>
          <w:szCs w:val="16"/>
        </w:rPr>
        <w:softHyphen/>
        <w:t>декс снаряда остался прежним.</w:t>
      </w:r>
    </w:p>
    <w:p w14:paraId="6E16FB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Повышению кучности стрельбы по дальности способствовало и при</w:t>
      </w:r>
      <w:r w:rsidRPr="00271E51">
        <w:rPr>
          <w:rFonts w:ascii="Times New Roman" w:hAnsi="Times New Roman"/>
          <w:color w:val="000000" w:themeColor="text1"/>
          <w:sz w:val="16"/>
          <w:szCs w:val="16"/>
        </w:rPr>
        <w:softHyphen/>
        <w:t>менение тормозных картонных колец, устанавливаемых под взрыватель. Увеличивая сопротивление воздуха летящему снаряду, они несколько уменьшали дальность его полета, но уменьшали влияние «разброса углов бросания». При прицеливании вводили поправку на упреждение цели. Кольца использовались двух размеров - малые (диаметром 90 мм) и большие (диаметром 125 мм), но только в «пехоте». В авиации нужды в этом не было.</w:t>
      </w:r>
    </w:p>
    <w:p w14:paraId="02CA1B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под руководством Печерского Е.А. создали первый турборе</w:t>
      </w:r>
      <w:r w:rsidRPr="00271E51">
        <w:rPr>
          <w:rFonts w:ascii="Times New Roman" w:hAnsi="Times New Roman"/>
          <w:color w:val="000000" w:themeColor="text1"/>
          <w:sz w:val="16"/>
          <w:szCs w:val="16"/>
        </w:rPr>
        <w:softHyphen/>
        <w:t>активный ТРС-82. Его техническое рассеивание было значительно ни</w:t>
      </w:r>
      <w:r w:rsidRPr="00271E51">
        <w:rPr>
          <w:rFonts w:ascii="Times New Roman" w:hAnsi="Times New Roman"/>
          <w:color w:val="000000" w:themeColor="text1"/>
          <w:sz w:val="16"/>
          <w:szCs w:val="16"/>
        </w:rPr>
        <w:softHyphen/>
        <w:t>же, чем у М-1ЗУК. ПУ для такого РС представляла собой тонкостенную трубу, которую можно было разместить внутри фюзеляжа или крыла тол</w:t>
      </w:r>
      <w:r w:rsidRPr="00271E51">
        <w:rPr>
          <w:rFonts w:ascii="Times New Roman" w:hAnsi="Times New Roman"/>
          <w:color w:val="000000" w:themeColor="text1"/>
          <w:sz w:val="16"/>
          <w:szCs w:val="16"/>
        </w:rPr>
        <w:softHyphen/>
        <w:t>стого профиля при условии организации отвода газов реактивной струи.</w:t>
      </w:r>
    </w:p>
    <w:p w14:paraId="1E9522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НИИ-3 НКБ в 1943 г. существовали предложения по созданию ре</w:t>
      </w:r>
      <w:r w:rsidRPr="00271E51">
        <w:rPr>
          <w:rFonts w:ascii="Times New Roman" w:hAnsi="Times New Roman"/>
          <w:color w:val="000000" w:themeColor="text1"/>
          <w:sz w:val="16"/>
          <w:szCs w:val="16"/>
        </w:rPr>
        <w:softHyphen/>
        <w:t>активных снарядов кумулятивного действия - КАРС-132 и АТРС-132К.</w:t>
      </w:r>
    </w:p>
    <w:p w14:paraId="5A4FDF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Часто дефекты в залитых зарядах приводили к преждевременным разрывам снарядов. В соответствии с технологией, требовалось большое количество пара. Велики были потери ВВ в процессе производства. Аль</w:t>
      </w:r>
      <w:r w:rsidRPr="00271E51">
        <w:rPr>
          <w:rFonts w:ascii="Times New Roman" w:hAnsi="Times New Roman"/>
          <w:color w:val="000000" w:themeColor="text1"/>
          <w:sz w:val="16"/>
          <w:szCs w:val="16"/>
        </w:rPr>
        <w:softHyphen/>
        <w:t>тернативой малопроизводительным способам наполнения боеприпасов стали методы прессования и шнекования (11402).</w:t>
      </w:r>
    </w:p>
    <w:p w14:paraId="455115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3DC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после того, как в стране были созданы значительные мощности по производству нитроглицериновых порохов, и промышлен</w:t>
      </w:r>
      <w:r w:rsidRPr="00271E51">
        <w:rPr>
          <w:rFonts w:ascii="Times New Roman" w:hAnsi="Times New Roman"/>
          <w:color w:val="000000" w:themeColor="text1"/>
          <w:sz w:val="16"/>
          <w:szCs w:val="16"/>
        </w:rPr>
        <w:softHyphen/>
        <w:t>ность оказалась в состоянии обеспечить нужды фронта, необходимость в производстве РЗ из пороха ПК отпала, и их прекратили выпускать на всех заводах.</w:t>
      </w:r>
    </w:p>
    <w:p w14:paraId="3EF790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Пороховые заряды отечественного производства для штатных РС бы</w:t>
      </w:r>
      <w:r w:rsidRPr="00271E51">
        <w:rPr>
          <w:rFonts w:ascii="Times New Roman" w:hAnsi="Times New Roman"/>
          <w:color w:val="000000" w:themeColor="text1"/>
          <w:sz w:val="16"/>
          <w:szCs w:val="16"/>
        </w:rPr>
        <w:softHyphen/>
        <w:t>ли рассчитаны на применение при температурах от -40 до +40°С. Произ</w:t>
      </w:r>
      <w:r w:rsidRPr="00271E51">
        <w:rPr>
          <w:rFonts w:ascii="Times New Roman" w:hAnsi="Times New Roman"/>
          <w:color w:val="000000" w:themeColor="text1"/>
          <w:sz w:val="16"/>
          <w:szCs w:val="16"/>
        </w:rPr>
        <w:softHyphen/>
        <w:t>водство баллиститных порохов в годы войны росло значительно быстрее, чем производство пироксилиновых. Если к концу войны выпуск пироксилиновых порохов был восстановлен на уровне довоенных объемов, то баллиститных вырос в 7,5 раз. Всего за годы войны последних изгото</w:t>
      </w:r>
      <w:r w:rsidRPr="00271E51">
        <w:rPr>
          <w:rFonts w:ascii="Times New Roman" w:hAnsi="Times New Roman"/>
          <w:color w:val="000000" w:themeColor="text1"/>
          <w:sz w:val="16"/>
          <w:szCs w:val="16"/>
        </w:rPr>
        <w:softHyphen/>
        <w:t>вили 123тыс.т.</w:t>
      </w:r>
    </w:p>
    <w:p w14:paraId="3A5E43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Единственный завод баллиститных порохов №59 из Донбасса и ма</w:t>
      </w:r>
      <w:r w:rsidRPr="00271E51">
        <w:rPr>
          <w:rFonts w:ascii="Times New Roman" w:hAnsi="Times New Roman"/>
          <w:color w:val="000000" w:themeColor="text1"/>
          <w:sz w:val="16"/>
          <w:szCs w:val="16"/>
        </w:rPr>
        <w:softHyphen/>
        <w:t>ленький опытный завод №6 из Шлиссельбурга также были эвакуирова</w:t>
      </w:r>
      <w:r w:rsidRPr="00271E51">
        <w:rPr>
          <w:rFonts w:ascii="Times New Roman" w:hAnsi="Times New Roman"/>
          <w:color w:val="000000" w:themeColor="text1"/>
          <w:sz w:val="16"/>
          <w:szCs w:val="16"/>
        </w:rPr>
        <w:softHyphen/>
        <w:t>ны.</w:t>
      </w:r>
    </w:p>
    <w:p w14:paraId="4D570E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Американский централит появился лишь в 1943 г., однако возобнов</w:t>
      </w:r>
      <w:r w:rsidRPr="00271E51">
        <w:rPr>
          <w:rFonts w:ascii="Times New Roman" w:hAnsi="Times New Roman"/>
          <w:color w:val="000000" w:themeColor="text1"/>
          <w:sz w:val="16"/>
          <w:szCs w:val="16"/>
        </w:rPr>
        <w:softHyphen/>
        <w:t>лять производство порохов по рецептуре Н не стали, поскольку техноло</w:t>
      </w:r>
      <w:r w:rsidRPr="00271E51">
        <w:rPr>
          <w:rFonts w:ascii="Times New Roman" w:hAnsi="Times New Roman"/>
          <w:color w:val="000000" w:themeColor="text1"/>
          <w:sz w:val="16"/>
          <w:szCs w:val="16"/>
        </w:rPr>
        <w:softHyphen/>
        <w:t>гически НМ2 оказался лучше, особенно при захвате валками. Но главное его преимущество заключалось в том, что при одинаковой калорийности горение зарядов из пороха НМ2 сопровождалось меньшим давлением, поскольку всего 2% магнезита обеспечивают пороху стабильное горение (без пиков выброса давления). С тех пор его стали вводить в ракетные баллиститные пороха любых составов в количестве 2-3% (11402).</w:t>
      </w:r>
    </w:p>
    <w:p w14:paraId="1FD334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9FD44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029EB6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A937B" w14:textId="77777777" w:rsidR="002F0BE8" w:rsidRPr="00271E51" w:rsidRDefault="002F0BE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 советские </w:t>
      </w:r>
      <w:hyperlink r:id="rId136" w:tgtFrame="_blank" w:history="1">
        <w:r w:rsidRPr="00271E51">
          <w:rPr>
            <w:rFonts w:ascii="Times New Roman" w:hAnsi="Times New Roman"/>
            <w:color w:val="000000" w:themeColor="text1"/>
            <w:sz w:val="16"/>
            <w:szCs w:val="16"/>
          </w:rPr>
          <w:t>танк</w:t>
        </w:r>
      </w:hyperlink>
      <w:r w:rsidRPr="00271E51">
        <w:rPr>
          <w:rFonts w:ascii="Times New Roman" w:hAnsi="Times New Roman"/>
          <w:color w:val="000000" w:themeColor="text1"/>
          <w:sz w:val="16"/>
          <w:szCs w:val="16"/>
        </w:rPr>
        <w:t>исты столкнулись с немецким РПГ  ”Фаустпатронами” и 88-мм “Панцершреками” (15596).</w:t>
      </w:r>
    </w:p>
    <w:p w14:paraId="6558A2EF" w14:textId="77777777" w:rsidR="002F0BE8" w:rsidRPr="00271E51" w:rsidRDefault="002F0BE8" w:rsidP="00271E51">
      <w:pPr>
        <w:spacing w:after="0" w:line="240" w:lineRule="auto"/>
        <w:jc w:val="both"/>
        <w:rPr>
          <w:rFonts w:ascii="Times New Roman" w:hAnsi="Times New Roman"/>
          <w:color w:val="000000" w:themeColor="text1"/>
          <w:sz w:val="16"/>
          <w:szCs w:val="16"/>
        </w:rPr>
      </w:pPr>
    </w:p>
    <w:p w14:paraId="146FA61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ОКБ-172 получило задание создать для самоходов типа ИСУ более мощные пушки, чем существующие штатные орудия с баллистикой 152-мм пушки-гаубицы МЛ-20 и 122-мм пушки А-19.</w:t>
      </w:r>
    </w:p>
    <w:p w14:paraId="1A4345C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начале 1944 г. ОКБ-172 спроектировало 152-мм пушку большой мощности БЛ-8. Ствол пушки имел гладкостенную насадку и дульный тормоз. Затвор поршневой. Орудие было снабжено системой продувки канала ствола после выстрела сжатым воздухом из специальных баллонов. Заряжание раздельно-гильзовое. Тормоз отката гидравлический веретенного типа, накатник гидропневматический.</w:t>
      </w:r>
    </w:p>
    <w:p w14:paraId="21D7B39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БЛ-8 была изготовлена на заводе № 172 и установлена в артсамоход, изготовленный заводом № 100. Позже его стали называть ИСУ-152–1.</w:t>
      </w:r>
    </w:p>
    <w:p w14:paraId="6B115D5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 с пушкой прибыл на полигонные испытания 22 июля 1944 г. В ходе испытаний пушка стреляла штатными 152-мм снарядами ОФ-540 весом 48,6 кг, Бр-540 весом 48,8 кг и Г-530 весом 40 кг. Всего к 17 августа 1944 г. был сделан 501 выстрел и произведена обкатка на 52 км.</w:t>
      </w:r>
    </w:p>
    <w:p w14:paraId="14373A1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выяснилось, что 152-мм бронебойный снаряд Бр-540 в состоянии пробить 203-мм плиту (к = 2300)[76] по нормали с дистанции 600–700 м и 180-мм плиту (к = 2350) под углом 30° к нормали с дистанции 200 м. Однако большинство снарядов при прохождении брони разрушалось, то есть снаряды были плохого качества, а не пушка, да и разрушившийся снаряд осколками достаточно эффективно поражал внутренность танка.</w:t>
      </w:r>
    </w:p>
    <w:p w14:paraId="25BB2EB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снарядов: ОФ-540 — 851 м/с, Бр540 — 826 м/с и Г-530 — 866 м/с. Максимальная дальность стрельбы снарядом ОФ-540 составляла 17 км при угле возвышения 17°.</w:t>
      </w:r>
    </w:p>
    <w:p w14:paraId="18FCC19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испытаний пушка БЛ-8 была признана удовлетворительной, а действия снарядов — неудовлетворительными.</w:t>
      </w:r>
    </w:p>
    <w:p w14:paraId="339C32F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Данные пушки БЛ-8 в самоходе ИС </w:t>
      </w:r>
    </w:p>
    <w:p w14:paraId="0A5B4D6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 — 152</w:t>
      </w:r>
    </w:p>
    <w:p w14:paraId="6BB41F1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ствола, мм/клб: с дульным тормозом — 7910/52</w:t>
      </w:r>
    </w:p>
    <w:p w14:paraId="7819663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без дульного тормоза — 7540/49,6</w:t>
      </w:r>
    </w:p>
    <w:p w14:paraId="0172E99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Крутизна нарезов (постоянная), град — 7°18′</w:t>
      </w:r>
    </w:p>
    <w:p w14:paraId="3077A30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ВН, град — −3°10′; +17°45′ (по ТУ +20°)</w:t>
      </w:r>
    </w:p>
    <w:p w14:paraId="78B5988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ГН, град — вправо 5°27′, влево 2°24′ (по ТУ 7° и 3° соответственно)</w:t>
      </w:r>
    </w:p>
    <w:p w14:paraId="69A99B1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линии огня, мм — 1655</w:t>
      </w:r>
    </w:p>
    <w:p w14:paraId="2AAED4F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отката, мм — 870+25 по ТУ, а на испытаниях до 928</w:t>
      </w:r>
    </w:p>
    <w:p w14:paraId="102BB50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выстрелов — 21 Максимальная скорость движения, км/час — 30–34</w:t>
      </w:r>
    </w:p>
    <w:p w14:paraId="77CCD66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Скорострельность для осколочно-фугасного снаряда, за 100 с — на полигоне 1 выстрел; по ТУ 2 выстр/мин</w:t>
      </w:r>
    </w:p>
    <w:p w14:paraId="084B5B0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пушки с самоходом, т — 47</w:t>
      </w:r>
    </w:p>
    <w:p w14:paraId="4DF1164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Время перехода из походного положения в боевое (для малых переходов), с — 25</w:t>
      </w:r>
    </w:p>
    <w:p w14:paraId="34F18F9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 — 5</w:t>
      </w:r>
    </w:p>
    <w:p w14:paraId="321E8B3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Вслед за БЛ-8 ОКБ начало проектировать более мощную 152-мм пушку БЛ-10. Новая пушка имела полуавтоматический клиновой затвор, благодаря чему в 2 раза увеличилась скорострельность (до 3 выстр/мин). Создание полуавтоматического затвора для пушки такой мощности было большим техническим успехом для 1944 г. Длина ствола пушки составила 48,5 калибра. Угол вертикального наведения −2°; +20°. Угол горизонтального наведения вправо 7°, влево 3°. Вес качающейся части орудия 4,9 т. При стрельбе бронебойным снарядом Бр-540 начальная скорость составила 880 м/с.</w:t>
      </w:r>
    </w:p>
    <w:p w14:paraId="58CFA46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образец пушки БЛ-10 был изготовлен заводом № 172. Пушку установили на артсамоходе ИСУ-152–2 и отправили на полигонные испытания, которые она прошла с удовлетворительными результатами. Но на вооружение БЛ-10 принята не была. Основной причиной этого стало окончание войны.</w:t>
      </w:r>
    </w:p>
    <w:p w14:paraId="30E2108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Параллельно со 152-мм пушками большой мощности для артсамоходов в ОКБ-172 проектировали и 122-мм пушки особой мощности. Так, в начале 1944 г. был закончен проект 122-мм пушки БЛ-9. Пушка имела клиновой полуавтоматический затвор и раздельно-гильзовое заряжание. Замечу, что желание конструкторов ОКБ-172 иметь штатную гильзу, а не проектировать новую, привело к тому, что весь заряд не помешался в гильзе, и дополнительные пучки приходилось засовывать в камору перед гильзой.</w:t>
      </w:r>
    </w:p>
    <w:p w14:paraId="6BA1DFF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Опытный образец 122-мм пушки БЛ-9 был изготовлен в мае 1944 г. на заводе № 172, а в июне установлен на артсамоход ИСУ-122–1, изготовленный заводом № 100. В сентябре 1944 г. БЛ-9 с самоходом прошли полигонные испытания. Стрельба велась бронебойными и осколочно-фугасными снарядами весом 25 кг. Начальная скорость для бронебойного снаряда на полигоне составила 987 м/с (расчетная 1000 м/с). Дальность стрельбы осколочно-фугасным снарядом составила 10 700 м. Расчетная скорострельность была 3 выстр/мин, но на полигоне ее не проверяли.</w:t>
      </w:r>
    </w:p>
    <w:p w14:paraId="3C19F26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государственных испытаниях в мае 1945 г. в ходе стрельб из-за дефекта металла произошел разрыв ствола пушки БЛ-9. Этот эпизод, а также окончание войны, послужили поводом к отказу от серийного производства БЛ-9.</w:t>
      </w:r>
    </w:p>
    <w:p w14:paraId="4A75340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Данные пушки БЛ-9 в самоходе ИС </w:t>
      </w:r>
    </w:p>
    <w:p w14:paraId="0D58FB5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 — 122</w:t>
      </w:r>
    </w:p>
    <w:p w14:paraId="29AFA89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ствола, мм/клб — 7240/59,3</w:t>
      </w:r>
    </w:p>
    <w:p w14:paraId="52E3EDE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канала, мм/клб — 6934/56,8</w:t>
      </w:r>
    </w:p>
    <w:p w14:paraId="0D2B1F4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нарезной части, мм — 5884</w:t>
      </w:r>
    </w:p>
    <w:p w14:paraId="4A5B7E2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Крутизна нарезов, клб — 30</w:t>
      </w:r>
    </w:p>
    <w:p w14:paraId="33042B3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нарезов — 38</w:t>
      </w:r>
    </w:p>
    <w:p w14:paraId="41FB810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Глубина нареза, мм — 2,0</w:t>
      </w:r>
    </w:p>
    <w:p w14:paraId="6892AAE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Ширина нареза, мм — 8,0</w:t>
      </w:r>
    </w:p>
    <w:p w14:paraId="5DB388A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Ширина поля, мм — 5,67</w:t>
      </w:r>
    </w:p>
    <w:p w14:paraId="4B8E70F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ствола с затвором, кг — 3270</w:t>
      </w:r>
    </w:p>
    <w:p w14:paraId="3290AF1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откатных частей, кг — 3312</w:t>
      </w:r>
    </w:p>
    <w:p w14:paraId="7398D1E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качающейся части, кг — 5060</w:t>
      </w:r>
    </w:p>
    <w:p w14:paraId="48B963A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ВН, град —1; +16</w:t>
      </w:r>
    </w:p>
    <w:p w14:paraId="0B301A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ГН, град — 10</w:t>
      </w:r>
    </w:p>
    <w:p w14:paraId="4F65AED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отката максимальная, мм — 810–900</w:t>
      </w:r>
    </w:p>
    <w:p w14:paraId="0AF1105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Высота линии огня, мм — 1820</w:t>
      </w:r>
    </w:p>
    <w:p w14:paraId="5D0D008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Боекомплект, выстрелов — 24</w:t>
      </w:r>
    </w:p>
    <w:p w14:paraId="56DAC90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Время перехода из походного положения в боевое, мин:</w:t>
      </w:r>
    </w:p>
    <w:p w14:paraId="225E3CE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длительного перехода — 7,5–8,5</w:t>
      </w:r>
    </w:p>
    <w:p w14:paraId="14522D7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малого перехода — 1,5–2</w:t>
      </w:r>
    </w:p>
    <w:p w14:paraId="2FA75B7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пушки с самоходом, т — 47</w:t>
      </w:r>
    </w:p>
    <w:p w14:paraId="426CBC4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 чел — 5</w:t>
      </w:r>
    </w:p>
    <w:p w14:paraId="607F8D5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движения, км/час: по шоссе — 31–34</w:t>
      </w:r>
    </w:p>
    <w:p w14:paraId="185D25A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местности — 16 (12705).</w:t>
      </w:r>
    </w:p>
    <w:p w14:paraId="48797D16"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77C08889"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Артиллерийский комитет ГАУ КА начал задумываться о том, что в текущем виде 152-мм гаубица-пушка МЛ-20с не вполне удачна как самоходная система. Некоторую комичность этим выводам придаёт тот факт, что всё тот же Артком ГАУ КА в своё время отклонил проект завода №8, известный как ЗИК-20. Ф.Ф. Петров, руководивший разработкой ЗИК-20, ещё летом 1942 года предлагал убрать с МЛ-20 дульный тормоз, а также несколько переделать систему, упростив её установку в САУ. Осенью 1942 года данную идею не поддержали, а в конце 1943 года она появилась как инициатива Арткома ГАУ КА. Теперь предлагалось демонтировать дульный тормоз, ввести клиновой затвор, изменить люльку и рамку.</w:t>
      </w:r>
    </w:p>
    <w:p w14:paraId="3042DDEA"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Работу поручили ОКБ-172, которое с 13 января 1944 года начало работу по проекту, получившему обозначение МЛ-20см. Руководил работами главный конструктор ОКБ-172 по сухопутной артиллерии М.Ю. Цирульников. В проекте МЛ-20см частично выполнили требования ГАУ КА: дульный тормоз ликвидировали, люльку и противооткатные устройства укоротили, а также ввели тормоз отката более простой конструкции (18636).</w:t>
      </w:r>
    </w:p>
    <w:p w14:paraId="10483473" w14:textId="77777777" w:rsidR="00D96B98" w:rsidRPr="00271E51" w:rsidRDefault="00D96B98" w:rsidP="00271E51">
      <w:pPr>
        <w:spacing w:after="0" w:line="240" w:lineRule="auto"/>
        <w:jc w:val="both"/>
        <w:rPr>
          <w:rFonts w:ascii="Times New Roman" w:hAnsi="Times New Roman"/>
          <w:color w:val="000000" w:themeColor="text1"/>
          <w:sz w:val="16"/>
          <w:szCs w:val="16"/>
        </w:rPr>
      </w:pPr>
    </w:p>
    <w:p w14:paraId="3D10DC7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 начале 1944 г. в ЦАКБ был спроектирован 160-мм дивизионный миномет С-43. Миномет создан по схеме мнимого треугольника. Заряжание производилось с дула. Длина трубы миномета — 2178 мм. Вес качающейся части — 170 кг. Угол вертикального наведения миномета — 4–45°; + 80°. Вес мины — 40 кг. При максимальном заряде (№ 4) весом 0,64 кг мина имела скорость 187 м/с и дальность 3270 м, а при минимальном заряде (№ 1) — скорость 88 м/с и дальность 777 м при угле 45° и 261 м при угле 80°.</w:t>
      </w:r>
    </w:p>
    <w:p w14:paraId="4AE6C66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на вооружение 17 января 1944 г. был. принят 160-мм миномет МТ-13 конструкции И. Г. Теверовского, получивший название 160-мм миномет обр. 1943 г. В начале 1944 г. миномет был запущен в серию на Тульском машиностроительном заводе. Уже в 1944 г. с завода на фронт отправилось 350 минометов.</w:t>
      </w:r>
    </w:p>
    <w:p w14:paraId="1255487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Первые же стрельбы 160-мм минометов произвели на противника огромное психологическое воздействие. Выстрелы у МТ-13 глухие, мины летели по крутой траектории и падали почти отвесно, поэтому при первых же разрывах мин немцы стали подавать сигналы воздушной тревоги.</w:t>
      </w:r>
    </w:p>
    <w:p w14:paraId="6CC9ACC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Миномет МТ-13 стрелял двенадцатиперой фугасной миной, внешне очень похожей на 82–120-мм мины. 160-мм фугасная мина Ф-852 весила 40,9 кг и содержала 7,8 кг разрывного заряда.</w:t>
      </w:r>
    </w:p>
    <w:p w14:paraId="0FF7682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Заряжание миномета производилось с казенной части, для чего ствол приводился в горизонтальное положение. После открывания затвора на полуоси клина ствола навешивался лоток, на который расчет укладывал мину и вручную вставлял ее в канал ствола. Затем на крылья стабилизатора надевалась гильза. Лишь после этого мина с гильзой досылалась до места.</w:t>
      </w:r>
    </w:p>
    <w:p w14:paraId="216369D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перевозки миномета использовались автомобили «ГАЗ-63», «ЗИС-150» и другие, а также тракторы.</w:t>
      </w:r>
    </w:p>
    <w:p w14:paraId="7DDF8C5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160-мм миномета составлял 1170 кг в боевом положении и 1270 кг в походном. Угол возвышения +45°; +80°. Дальность стрельбы — от 620 м до 5100 м (12705).</w:t>
      </w:r>
    </w:p>
    <w:p w14:paraId="04177A11"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3B281EB" w14:textId="77777777" w:rsidR="0045114F" w:rsidRPr="00271E51" w:rsidRDefault="0045114F" w:rsidP="00271E5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В конце 1943 года в войска стали поступать сначала КВ-85, затем ИС-1, а позже ИС-2. Несмотря на это, в некоторых частях эти танки КВ-1с продолжали сражаться и осенью 1944 года. Прежде всего, это касается Ленинградского фронта. Он оказался своеобразным заповедником, где можно было встретить множество танков, которые уже считали давно ушедшими с поля боя на остальных участках советско-германского фронта, например, БТ-5 и Т-26. КВ-1с появились на Ленинградском фронте летом 1943 года. Здесь они сражались плечом к плечу с КВ-1, отдельные из которых к тому моменту имели за спиной по 2,5–3 года боевой карьеры. В последний раз КВ-1с использовались осенью 1944 года при освобождении Прибалтики (17692).</w:t>
      </w:r>
    </w:p>
    <w:p w14:paraId="422EE080" w14:textId="77777777" w:rsidR="0045114F" w:rsidRPr="00271E51" w:rsidRDefault="0045114F" w:rsidP="00271E51">
      <w:pPr>
        <w:pStyle w:val="12a"/>
        <w:shd w:val="clear" w:color="auto" w:fill="auto"/>
        <w:spacing w:after="0" w:line="240" w:lineRule="auto"/>
        <w:jc w:val="both"/>
        <w:rPr>
          <w:color w:val="000000" w:themeColor="text1"/>
          <w:sz w:val="16"/>
          <w:szCs w:val="16"/>
        </w:rPr>
      </w:pPr>
    </w:p>
    <w:p w14:paraId="1B6756F5"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С декабря 1943 года начался выпуск тяжёлых танков </w:t>
      </w:r>
      <w:hyperlink r:id="rId137" w:history="1">
        <w:r w:rsidRPr="00271E51">
          <w:rPr>
            <w:rStyle w:val="a5"/>
            <w:bCs/>
            <w:iCs/>
            <w:color w:val="000000" w:themeColor="text1"/>
            <w:sz w:val="16"/>
            <w:szCs w:val="16"/>
            <w:bdr w:val="none" w:sz="0" w:space="0" w:color="auto" w:frame="1"/>
          </w:rPr>
          <w:t>ИС-122 (ИС-2)</w:t>
        </w:r>
      </w:hyperlink>
      <w:r w:rsidRPr="00271E51">
        <w:rPr>
          <w:color w:val="000000" w:themeColor="text1"/>
          <w:sz w:val="16"/>
          <w:szCs w:val="16"/>
        </w:rPr>
        <w:t> с более мощной 122-мм пушкой Д-25Т. Однако, оказалось, что немецкое 75-мм орудие KwK 42 L/70 пробивает и лоб корпуса, и лоб башни. По этой причине уже с конца марта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667FC147"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конце 1943 года главное командование вермахта снова подняло вопрос об организации «воздушного моста» в Японию, и в январе 1944 года гауптман Хайнц Браун получил приказ сформировать специальное подразделение для полётов на Дальний Восток. Оно получило неофициальное название «Командование Япония».</w:t>
      </w:r>
    </w:p>
    <w:p w14:paraId="4E26BD8C"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распоряжении Брауна было три самолёта Ju-290 и три экипажа — его собственный и два из «Люфтганзы». Предполагалось, что «юнкерсы» будут вылетать с одного из аэродромов на севере Финляндии или Норвегии, разведку которых провёл Майр. По результатам этих полётов он сообщил, что наиболее подходящим местом для вылетов Ju-290 является аэродром Наутси, в 25 километрах восточнее посёлка Янискоски. После взлёта «юнкерсы» должны были сначала лететь на северо-восток, к Баренцеву морю, чтобы обойти районы действия советских истребителей на Кольском полуострове, там они брали курс на восток и через некоторое время, миновав Новую Землю, разворачивались на юго-восток. Дальнейшая трасса их полёта проходила над малонаселёнными районами Западной и Центральной Сибири в направлении озера Байкал. Там у СССР не имелось никаких постов наблюдения за воздухом, и можно было быть спокойным, что самолёты не обнаружат. После этого «юнкерсы», пролетев над восточной частью Монголии, направлялись в Маньчжоу-Го или в Японию. Обратный полёт проходил по тому же маршруту, при этом предполагалось, что каждый самолёт должен будет взять на борт по две тонны вольф­рама, крайне необходимого для военной промышленности Германии (19672).</w:t>
      </w:r>
    </w:p>
    <w:p w14:paraId="3F428E42" w14:textId="77777777" w:rsidR="00D96B98" w:rsidRPr="00271E51" w:rsidRDefault="00D96B98" w:rsidP="00271E51">
      <w:pPr>
        <w:spacing w:after="0" w:line="240" w:lineRule="auto"/>
        <w:jc w:val="both"/>
        <w:rPr>
          <w:rFonts w:ascii="Times New Roman" w:hAnsi="Times New Roman"/>
          <w:color w:val="000000" w:themeColor="text1"/>
          <w:sz w:val="16"/>
          <w:szCs w:val="16"/>
        </w:rPr>
      </w:pPr>
    </w:p>
    <w:p w14:paraId="7758511D" w14:textId="77777777" w:rsidR="0045114F" w:rsidRPr="00271E51" w:rsidRDefault="0045114F" w:rsidP="00271E51">
      <w:pPr>
        <w:pStyle w:val="ae"/>
        <w:spacing w:before="0" w:after="0"/>
        <w:jc w:val="both"/>
        <w:textAlignment w:val="baseline"/>
        <w:rPr>
          <w:color w:val="000000" w:themeColor="text1"/>
          <w:sz w:val="16"/>
          <w:szCs w:val="16"/>
        </w:rPr>
      </w:pPr>
      <w:r w:rsidRPr="00271E51">
        <w:rPr>
          <w:color w:val="000000" w:themeColor="text1"/>
          <w:sz w:val="16"/>
          <w:szCs w:val="16"/>
        </w:rPr>
        <w:t xml:space="preserve">Конец 1943 – начало 1944 года стали апогеем боевой карьеры КВ-85. Скромный объём выпуска и большие потери привели к тому, что уже к лету 1944 года эти машины стали большой редкостью. Например, весной 1944 года 11 КВ-85 находилось в составе 1452-го самоходно-артиллерийского полка, который участвовал в освобождении Крыма. Отдельные машины воевали в разных частях летом-осенью 1944 года, но это уже были последние всплески боевой активности. Увы, ни одной серийной машины этого типа до наших дней не сохранилось. Зато сохранился </w:t>
      </w:r>
      <w:hyperlink r:id="rId138" w:history="1">
        <w:r w:rsidRPr="00271E51">
          <w:rPr>
            <w:rStyle w:val="a5"/>
            <w:bCs/>
            <w:iCs/>
            <w:color w:val="000000" w:themeColor="text1"/>
            <w:sz w:val="16"/>
            <w:szCs w:val="16"/>
            <w:bdr w:val="none" w:sz="0" w:space="0" w:color="auto" w:frame="1"/>
          </w:rPr>
          <w:t>Объект 239, стоящий на постаменте в Автово</w:t>
        </w:r>
      </w:hyperlink>
      <w:r w:rsidRPr="00271E51">
        <w:rPr>
          <w:color w:val="000000" w:themeColor="text1"/>
          <w:sz w:val="16"/>
          <w:szCs w:val="16"/>
        </w:rPr>
        <w:t xml:space="preserve"> в Санкт-Петербурге. Правда, перед установкой его «облагородили», приварив бронировку курсового пулемёта (17710).</w:t>
      </w:r>
    </w:p>
    <w:p w14:paraId="122CCF42" w14:textId="77777777" w:rsidR="0045114F" w:rsidRPr="00271E51" w:rsidRDefault="0045114F" w:rsidP="00271E51">
      <w:pPr>
        <w:pStyle w:val="12a"/>
        <w:shd w:val="clear" w:color="auto" w:fill="auto"/>
        <w:spacing w:after="0" w:line="240" w:lineRule="auto"/>
        <w:jc w:val="both"/>
        <w:rPr>
          <w:color w:val="000000" w:themeColor="text1"/>
          <w:sz w:val="16"/>
          <w:szCs w:val="16"/>
        </w:rPr>
      </w:pPr>
    </w:p>
    <w:p w14:paraId="5C17C5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танк Т-34 уже не соответствовал ставившимся перед ним задачам. Требовалась кардинальная модернизация. В итоге был создан танк Т-34-85 (3862).</w:t>
      </w:r>
    </w:p>
    <w:p w14:paraId="16EF9F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85DD4" w14:textId="77777777" w:rsidR="0045114F" w:rsidRPr="00271E51" w:rsidRDefault="0045114F" w:rsidP="00271E51">
      <w:pPr>
        <w:pStyle w:val="ae"/>
        <w:spacing w:before="0" w:after="0"/>
        <w:jc w:val="both"/>
        <w:textAlignment w:val="baseline"/>
        <w:rPr>
          <w:color w:val="000000" w:themeColor="text1"/>
          <w:sz w:val="16"/>
          <w:szCs w:val="16"/>
        </w:rPr>
      </w:pPr>
      <w:r w:rsidRPr="00271E51">
        <w:rPr>
          <w:color w:val="000000" w:themeColor="text1"/>
          <w:sz w:val="16"/>
          <w:szCs w:val="16"/>
        </w:rPr>
        <w:t>В конце 1943 года выяснилось, что лоб корпуса «Пантер» Д-5С-85 пробить не может. Также экипажи просили усилить лобовую броню СУ-85. Было предложено пересмотреть штат САП, увеличив количество самоходных установок с 16 до 22 штук. Использование Т-34 в качестве командирской машины оказалось плохой идеей: противник быстро понимал, что в танке находится командир, и старался уничтожить его в первую очередь (17719).</w:t>
      </w:r>
    </w:p>
    <w:p w14:paraId="18F44145" w14:textId="77777777" w:rsidR="0045114F" w:rsidRPr="00271E51" w:rsidRDefault="0045114F" w:rsidP="00271E51">
      <w:pPr>
        <w:pStyle w:val="12a"/>
        <w:shd w:val="clear" w:color="auto" w:fill="auto"/>
        <w:spacing w:after="0" w:line="240" w:lineRule="auto"/>
        <w:jc w:val="both"/>
        <w:rPr>
          <w:color w:val="000000" w:themeColor="text1"/>
          <w:sz w:val="16"/>
          <w:szCs w:val="16"/>
        </w:rPr>
      </w:pPr>
    </w:p>
    <w:p w14:paraId="6D78B0D5" w14:textId="77777777" w:rsidR="009A5E05" w:rsidRPr="00271E51" w:rsidRDefault="009A5E05" w:rsidP="00271E51">
      <w:pPr>
        <w:pStyle w:val="27"/>
        <w:shd w:val="clear" w:color="auto" w:fill="auto"/>
        <w:spacing w:after="0" w:line="240" w:lineRule="auto"/>
        <w:ind w:firstLine="0"/>
        <w:rPr>
          <w:rFonts w:ascii="Times New Roman" w:cs="Times New Roman"/>
          <w:color w:val="000000" w:themeColor="text1"/>
          <w:spacing w:val="0"/>
        </w:rPr>
      </w:pPr>
      <w:r w:rsidRPr="00271E51">
        <w:rPr>
          <w:rFonts w:ascii="Times New Roman" w:cs="Times New Roman"/>
          <w:color w:val="000000" w:themeColor="text1"/>
          <w:spacing w:val="0"/>
        </w:rPr>
        <w:t>В конце 1943 г. инженер Жеронкин, заместитель глав</w:t>
      </w:r>
      <w:r w:rsidRPr="00271E51">
        <w:rPr>
          <w:rFonts w:ascii="Times New Roman" w:cs="Times New Roman"/>
          <w:color w:val="000000" w:themeColor="text1"/>
          <w:spacing w:val="0"/>
        </w:rPr>
        <w:softHyphen/>
        <w:t>ного металлурга завода №183, предложил ори</w:t>
      </w:r>
      <w:r w:rsidRPr="00271E51">
        <w:rPr>
          <w:rFonts w:ascii="Times New Roman" w:cs="Times New Roman"/>
          <w:color w:val="000000" w:themeColor="text1"/>
          <w:spacing w:val="0"/>
        </w:rPr>
        <w:softHyphen/>
        <w:t>гинальный способ увеличения износоустойчи</w:t>
      </w:r>
      <w:r w:rsidRPr="00271E51">
        <w:rPr>
          <w:rFonts w:ascii="Times New Roman" w:cs="Times New Roman"/>
          <w:color w:val="000000" w:themeColor="text1"/>
          <w:spacing w:val="0"/>
        </w:rPr>
        <w:softHyphen/>
        <w:t>вости трака Т-34 из стали Гадфильда. Речь шла о повышении предела текучести при пластиче</w:t>
      </w:r>
      <w:r w:rsidRPr="00271E51">
        <w:rPr>
          <w:rFonts w:ascii="Times New Roman" w:cs="Times New Roman"/>
          <w:color w:val="000000" w:themeColor="text1"/>
          <w:spacing w:val="0"/>
        </w:rPr>
        <w:softHyphen/>
        <w:t>ском обжатии стали этой марки (15765).</w:t>
      </w:r>
    </w:p>
    <w:p w14:paraId="4A24D822" w14:textId="77777777" w:rsidR="009A5E05" w:rsidRPr="00271E51" w:rsidRDefault="009A5E05" w:rsidP="00271E51">
      <w:pPr>
        <w:pStyle w:val="27"/>
        <w:shd w:val="clear" w:color="auto" w:fill="auto"/>
        <w:spacing w:after="0" w:line="240" w:lineRule="auto"/>
        <w:ind w:firstLine="0"/>
        <w:rPr>
          <w:rFonts w:ascii="Times New Roman" w:cs="Times New Roman"/>
          <w:color w:val="000000" w:themeColor="text1"/>
          <w:spacing w:val="0"/>
        </w:rPr>
      </w:pPr>
    </w:p>
    <w:p w14:paraId="02847A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1943-начале 1944 на артиллерийском заводе №92 в Горьком вновь собирается совещание, в котором участвуют Д. Ф. Устинов, В. А. Малышев, В. Л. Ванников, Я. Н. Федоренко, Ф. Ф. Петров, В. Г. Грабин и др. Решили пока ставить на танки пушку Д-5Т (танков с этой пушкой в конце 1943 - начале 1944 гг. было выпущено до 500 единиц) и одновременно доработать пушку ЗИС-С-53. Так, наконец, новая пушка ЗИС-С-53 была доведена "до ума" (3905).</w:t>
      </w:r>
    </w:p>
    <w:p w14:paraId="2F68CE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9216" w14:textId="77777777" w:rsidR="007E02AB" w:rsidRPr="00271E51" w:rsidRDefault="007E02AB" w:rsidP="00271E51">
      <w:pPr>
        <w:shd w:val="clear" w:color="auto" w:fill="FFFFFF"/>
        <w:spacing w:after="0" w:line="240" w:lineRule="auto"/>
        <w:jc w:val="both"/>
        <w:rPr>
          <w:rFonts w:ascii="Times New Roman" w:eastAsia="Times New Roman" w:hAnsi="Times New Roman"/>
          <w:color w:val="0070C0"/>
          <w:sz w:val="16"/>
          <w:szCs w:val="16"/>
          <w:lang w:eastAsia="ru-RU"/>
        </w:rPr>
      </w:pPr>
      <w:r w:rsidRPr="00271E51">
        <w:rPr>
          <w:rFonts w:ascii="Times New Roman" w:eastAsia="Times New Roman" w:hAnsi="Times New Roman"/>
          <w:color w:val="0070C0"/>
          <w:sz w:val="16"/>
          <w:szCs w:val="16"/>
          <w:lang w:eastAsia="ru-RU"/>
        </w:rPr>
        <w:t>В конце 1943 года, по итогам испытаний, среди нескольких проектов танковых орудий вперед вырвалась 85-мм система С-53. Разработали ее, под общим руководством В.Г. Грабина, начальник 17-го отдела ЦАКБ П.Ф. Муравьев и начальник 3-го отдела ЦАКБ Е.В. Синильщиков. Это те же люди, которые создали С-31. Во главу угла поставили уже не взаимозаменяемость с 76-мм орудием ЗИС-5, а компактность системы и обеспечение максимального внутреннего объема внутри боевого отделения. То самое, чего так не хватало С-31. Поначалу испытания С-53, изначально установленной в башню Т-34 с диаметром погона 1420 мм, шли не очень хорошо. Но далее выяснилось, что С-53 имеет перспективы, а завод №9, производитель 85-мм систем Д-5Т, стал готовиться к массовому выпуску 122-мм орудий Д-25Т. И если 85-мм самоходные орудия Д-5С-85 сохранялись в гамме завода №9 (да и то, вскоре их выпуск освоили на заводе №8), то для вооружения Т-34-85 пушка ЦАКБ, организацию выпуска которой брал на себя завод №92, орудие С-53 оказывалось оптимальным (21485).</w:t>
      </w:r>
    </w:p>
    <w:p w14:paraId="15823F32" w14:textId="77777777" w:rsidR="007E02AB" w:rsidRPr="00271E51" w:rsidRDefault="007E02AB" w:rsidP="00271E51">
      <w:pPr>
        <w:shd w:val="clear" w:color="auto" w:fill="FFFFFF"/>
        <w:spacing w:after="0" w:line="240" w:lineRule="auto"/>
        <w:jc w:val="both"/>
        <w:rPr>
          <w:rFonts w:ascii="Times New Roman" w:eastAsia="Times New Roman" w:hAnsi="Times New Roman"/>
          <w:color w:val="0070C0"/>
          <w:sz w:val="16"/>
          <w:szCs w:val="16"/>
          <w:lang w:eastAsia="ru-RU"/>
        </w:rPr>
      </w:pPr>
    </w:p>
    <w:p w14:paraId="62D0EE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было изготовлено 45 серийных 122-мм танковых пушек Д-25Т, в 1945 году - 2394 шт. и в 1945 году - 3138 шт. Пушка Д-25Т была принята на вооружение под названием "122-мм танковая пушка обр. 1943 г." Она устанавливалась на танках ИС-2, ИС-3, а после войны и на ИС-4 (3861).</w:t>
      </w:r>
    </w:p>
    <w:p w14:paraId="044A3A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5F3E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на танк Т-34 была установлена более мощная пушка калибра 85 мм, которая практически уравнивала огневую мощь Т-34 с новыми немецкими танками. Была введена также командирская башенка, значительно улучшившая обзор из танка. Танк с указанными изменениями получил индекс Т-34-85 и был принят на вооружение 15 декабря 1943 года. Первые образцы танка Т-34-85 начали сходить с конвейера Уральского танкового завода в марте 1944 года (9154).</w:t>
      </w:r>
    </w:p>
    <w:p w14:paraId="155B4209"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690107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все три прототипа 85-мм орудий (КБ Петрова, известное созданием пушки Д-5 для танков КВ-85, СУ-85 и ИС-1, конструкторский коллектив под руководством В.Грабина и коллектива А.Савина на заводе № 92 в Горьком) были установлены в стандартные башни Т-34 и направлены на полигон под Горький для проведения испытаний. Сразу же выяснилось, что стандартная двухместная башня "тридцатьчетверки" слишком мала для нормального обслуживания 85-мм орудий и кроме того, все три прототипа пушек имели серьезные конструктивные или эксплуатационные недостатки. Пока артиллерийские КБ устраняли выявленные недостатки, конструкторы завода №112 "Красное Сормово" приступили к созданию новой танковой башни (3862).</w:t>
      </w:r>
    </w:p>
    <w:p w14:paraId="678C3D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Новая башня, разработанная под руководством В.Керичева была рассчитана на трех человек и благодаря большому внутреннему объему позволяла легко разместить 85-мм орудие. Диаметр башенного погона увеличили с 1420 до 1600 мм. К сожалению позже выяснилось, что конструкция пушки ЗИС-53 (она была выбрана для установки в новый танк) не позволяет разместить ее в новой башне, поскольку каждое артиллерийское КБ разрабатывало собственную схему установки орудия. Этот вопрос решался на самом высоком уровне и в конце концов ГКО обязал Грабина модифицировать пушку и приспособить ее для установки в башню завода "Красное Сормово" (3862).</w:t>
      </w:r>
    </w:p>
    <w:p w14:paraId="0A2568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Огневые испытания ЗИС-53 выявили новые недоработки в конструкции и поэтому, в качестве временной меры, на первые серийные Т-34/85 устанавливались 85-мм пушка Д-5Т конструкции Петрова (3862).</w:t>
      </w:r>
    </w:p>
    <w:p w14:paraId="582C07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AEA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был готов опытный образец "Изделия 242". Эта самоходка была принята на вооружение как ИСУ-122..</w:t>
      </w:r>
    </w:p>
    <w:p w14:paraId="057A57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войны предпринимались попытки усилить огневую мощь ИСУ. Пушка А-19, модернизированная для использования на танках ИС-2, имела падающий полуавтоматический затвор. Модернизированное орудие, обозначенное как Д-25С, обладало практической скорострельностью 2-3 выстрела в минуту, против 1,5-2 выстрелов в минуту у А-19. Вскоре было принято решение установить такую пушку и на ИСУ-122. Был построен прототип "Изделия 249", вооруженный Д-25С. Кроме нового вооружения, "Изделие 249" получило новую бронемаску, которая обеспечивала лучший горизонтальный сектор обстрела..</w:t>
      </w:r>
    </w:p>
    <w:p w14:paraId="418722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новой машине было также предусмотрено более удобное размещение экипажа в боевом отделении. "Изделие 249" было принято к серийному выпуску под названием ИСУ-122-2 или ИСУ-122С..</w:t>
      </w:r>
    </w:p>
    <w:p w14:paraId="78471A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войны разрабатывались проекты установки на шасси ИСУ длинноствольной пушки БЛ-8 калибра 152мм, БЛ-10 калибра 152мм и С-26 калибра 130мм. Были построены прототипы всех трех машин, но по разным причинам, ни одна из них в серию не пошла. (3862).</w:t>
      </w:r>
    </w:p>
    <w:p w14:paraId="5AC60A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6D1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учитывая опыт боевых действий, КБ А.А.Морозова приступило к созданию нового, более совершенного среднего танка Т-44 (3905).</w:t>
      </w:r>
    </w:p>
    <w:p w14:paraId="2118EE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51C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приступили к созданию Т-44. При работе над ним коллектив КБ завода №183, возглавляемый А. А. Морозовым, естественно, использовал элементы знаменитого Т-34, но существенное влияние на конструкцию Т-44 оказали еще две машины: Т-34М и Т-43 (3862).</w:t>
      </w:r>
    </w:p>
    <w:p w14:paraId="776E7F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Новый танк получил обозначение "Объект 136" а в серии - обозначение Т-44. На новой машине не только применили поперечное расположение двигателя, но и ряд других технических новинок (3862).</w:t>
      </w:r>
    </w:p>
    <w:p w14:paraId="650F7F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Будучи внедренными по отдельности, на разных танках, они не дали бы ощутимого эффекта, зато в совокупности сделали конструкцию Т-44 такой, которая на десятилетия определила развитие отечественной бронетанковой техники (3862).</w:t>
      </w:r>
    </w:p>
    <w:p w14:paraId="1E9A8C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Высоту моторно-трансмиссионного отделения уменьшили, перенеся воздухоочиститель нового типа из развала цилиндров У-образного двигателя к борту (3862).</w:t>
      </w:r>
    </w:p>
    <w:p w14:paraId="2A1DCB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 дизель В-44 оснастили улучшенной топливной аппаратурой, что позволило поднять мощность с 500 до 520 л. с. при том же объеме цилиндров, что и на предшествующем В-34. На месте вентилятора, выступавшего за габариты картера, поставили компактный маховик. Это дало возможность смонтировать дизель на низкой, жесткой, но легкой моторной раме, а в итоге высота корпуса уменьшилась на 300 мм (3862).</w:t>
      </w:r>
    </w:p>
    <w:p w14:paraId="541B6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От громоздких надгусеничных ниш конструкторы отказались. Что же касается вентилятора, то его сместили к кормовому листу, приводился он от коробки передач через фрикцион, что исключило поломки рабочего колеса при резких переменах режима работы двигателя (3862).</w:t>
      </w:r>
    </w:p>
    <w:p w14:paraId="3997BF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такая компоновка заметно улучшила охлаждение агрегатов трансмиссии. На "тридцатьчетверке" радиаторы стояли вертикально, по бокам двигателя, создавая большое сопротивление воздушному потоку и отнимая у машины немалую долю мощности (3862).</w:t>
      </w:r>
    </w:p>
    <w:p w14:paraId="0DA037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Т-44 водяной и масляный радиаторы поставили горизонтально, под крышей трансмиссионного отделения, в однородном воздушном потоке, поэтому система охлаждения оказалась эффективней. Двигатель был соединен с новой, пятиступенчатой коробкой передач, так называемой "гитарой", повышающим редуктором с передаточным числом 0,7 (3862).</w:t>
      </w:r>
    </w:p>
    <w:p w14:paraId="568478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число оборотов шестерен увеличилось а передаваемые ими нагрузки уменьшились, то коробку передач удалось выполнить легкой и компактной. Зато бортовые фрикционы и передачи были полностью заимствованы у Т-34 (3862).</w:t>
      </w:r>
    </w:p>
    <w:p w14:paraId="33092D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Новая схема моторно-трансмиссионного отделения позволила сместить башню новой конструкции с 85-мм пушкой ЗИС-С-53 в центр корпуса, где на танкистов меньше воздействовали утомляющие угловые колебания машины, а длинноствольная пушка не могла воткнуться в землю при движении по пересеченной местности. Возросла и точность стрельбы (3862).</w:t>
      </w:r>
    </w:p>
    <w:p w14:paraId="02189D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Такая центровка позволила конструкторам довести толщину лобового листа брони до 120 мм без перегрузки передних катков. Добавим, что повышению прочности лобового листа способствовали и перенос люка механика-водителя на крышу корпуса, и отказ от шаровой установки курсового пулемета, так как боевой опыт выявил его недостаточную эффективность (3862).</w:t>
      </w:r>
    </w:p>
    <w:p w14:paraId="054FCD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новом танке курсовой пулемет был жестко закреплен в носовой части корпуса, а на освободившемся месте рядом с механиком-водителем поставили топливный бак (3862).</w:t>
      </w:r>
    </w:p>
    <w:p w14:paraId="618CA1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EBE8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исходу 1943 года было закончено проектирование танка Т-44. Опытные образцы были изготовлены в первой половине 1944 года. Проведенные испытания опытных образцов показали, что по целому ряду причин для танка Т-44 пушки повышенного калибра 122 и 100 мм неприемлемы, и дальнейшие работы по ним были прекращены. Испытания и доработка танка Т-44 с пушкой 85мм, принятой для Т-34-85, продолжались в течение 1944 года и к концу года были успешно завершены. Был создан новый средний танк (9154).</w:t>
      </w:r>
    </w:p>
    <w:p w14:paraId="2FB03782"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164E30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во исполнение постановления ГКО о вооружении тя</w:t>
      </w:r>
      <w:r w:rsidRPr="00271E51">
        <w:rPr>
          <w:rFonts w:ascii="Times New Roman" w:hAnsi="Times New Roman"/>
          <w:color w:val="000000" w:themeColor="text1"/>
          <w:sz w:val="16"/>
          <w:szCs w:val="16"/>
        </w:rPr>
        <w:softHyphen/>
        <w:t>желого танка 100-мм пушкой на опытном заводе № 100 были изготовле</w:t>
      </w:r>
      <w:r w:rsidRPr="00271E51">
        <w:rPr>
          <w:rFonts w:ascii="Times New Roman" w:hAnsi="Times New Roman"/>
          <w:color w:val="000000" w:themeColor="text1"/>
          <w:sz w:val="16"/>
          <w:szCs w:val="16"/>
        </w:rPr>
        <w:softHyphen/>
        <w:t>ны два танка ИС ("Объект 245" и "Объект 248"), вооруженных 100-мм пушками Д- ЮТ и С-34. Испытания орудий в объектовых условиях про</w:t>
      </w:r>
      <w:r w:rsidRPr="00271E51">
        <w:rPr>
          <w:rFonts w:ascii="Times New Roman" w:hAnsi="Times New Roman"/>
          <w:color w:val="000000" w:themeColor="text1"/>
          <w:sz w:val="16"/>
          <w:szCs w:val="16"/>
        </w:rPr>
        <w:softHyphen/>
        <w:t>должались до середины октября 1944 г., однако на вооружение тяжелых танков они не были приняты, так как установленная к тому времени в тяжелый танк 122-мм пушка превосходила 100-мм пушку по могущест</w:t>
      </w:r>
      <w:r w:rsidRPr="00271E51">
        <w:rPr>
          <w:rFonts w:ascii="Times New Roman" w:hAnsi="Times New Roman"/>
          <w:color w:val="000000" w:themeColor="text1"/>
          <w:sz w:val="16"/>
          <w:szCs w:val="16"/>
        </w:rPr>
        <w:softHyphen/>
        <w:t>ву действия снарядов. Таким образом, 100-мм пушка на серийных тан</w:t>
      </w:r>
      <w:r w:rsidRPr="00271E51">
        <w:rPr>
          <w:rFonts w:ascii="Times New Roman" w:hAnsi="Times New Roman"/>
          <w:color w:val="000000" w:themeColor="text1"/>
          <w:sz w:val="16"/>
          <w:szCs w:val="16"/>
        </w:rPr>
        <w:softHyphen/>
        <w:t>ках периода Великой Отечественной войны не устанавливалась (10703).</w:t>
      </w:r>
    </w:p>
    <w:p w14:paraId="50A564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0A69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был прекращен выпуск танков Т-70 и Т-80, а вместо них Горьковский автозавод и завод № 40 в г. Мытищи со второго полугодия 1943 г. перешли на производство легких самоходно-артиллерийских установок СУ-76М, созданных на базе уз</w:t>
      </w:r>
      <w:r w:rsidRPr="00271E51">
        <w:rPr>
          <w:rFonts w:ascii="Times New Roman" w:hAnsi="Times New Roman"/>
          <w:color w:val="000000" w:themeColor="text1"/>
          <w:sz w:val="16"/>
          <w:szCs w:val="16"/>
        </w:rPr>
        <w:softHyphen/>
        <w:t>лов и агрегатов танка Т-70 (10703).</w:t>
      </w:r>
    </w:p>
    <w:p w14:paraId="4E78DE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F77E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стал выпускаться танк Т-80. Как видим, процесс совершенствования легкого танка шел достаточно логично, целесообразно. За малым исключением - в Германии уже в начале 1942 г. выпуск легких танков резко сократился. А, кроме того, не проще ли было подобную процедуру проделывать над Т-26? Вспоминая про идею САУ на базе Т-26, можно напомнить, что в 1943 г. появилась самоходка СУ-76 на шасси Т-70 с пушкой ЗИС-3 (11224).</w:t>
      </w:r>
    </w:p>
    <w:p w14:paraId="6AAA05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3BC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отече</w:t>
      </w:r>
      <w:r w:rsidRPr="00271E51">
        <w:rPr>
          <w:rFonts w:ascii="Times New Roman" w:hAnsi="Times New Roman"/>
          <w:color w:val="000000" w:themeColor="text1"/>
          <w:sz w:val="16"/>
          <w:szCs w:val="16"/>
        </w:rPr>
        <w:softHyphen/>
        <w:t>ственные легкие танки стали исчезать из списков новой техники, поступающей на фронт. Все потребности Красной армии в легких танках покрывались теперь только за счет ленд-лизовских «Валентайнов» (11084).</w:t>
      </w:r>
    </w:p>
    <w:p w14:paraId="655390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E157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 КБ завода № 40 под руководством Л.Ф. Попова была разра</w:t>
      </w:r>
      <w:r w:rsidRPr="00271E51">
        <w:rPr>
          <w:rFonts w:ascii="Times New Roman" w:hAnsi="Times New Roman"/>
          <w:color w:val="000000" w:themeColor="text1"/>
          <w:sz w:val="16"/>
          <w:szCs w:val="16"/>
        </w:rPr>
        <w:softHyphen/>
        <w:t>ботана Зенитная самоходная установка ЗСУ-37 на базе се</w:t>
      </w:r>
      <w:r w:rsidRPr="00271E51">
        <w:rPr>
          <w:rFonts w:ascii="Times New Roman" w:hAnsi="Times New Roman"/>
          <w:color w:val="000000" w:themeColor="text1"/>
          <w:sz w:val="16"/>
          <w:szCs w:val="16"/>
        </w:rPr>
        <w:softHyphen/>
        <w:t>рийной самоходной артиллерийской установки СУ-76М. Для своего времени эта машина являлась эффективным средством защиты танко</w:t>
      </w:r>
      <w:r w:rsidRPr="00271E51">
        <w:rPr>
          <w:rFonts w:ascii="Times New Roman" w:hAnsi="Times New Roman"/>
          <w:color w:val="000000" w:themeColor="text1"/>
          <w:sz w:val="16"/>
          <w:szCs w:val="16"/>
        </w:rPr>
        <w:softHyphen/>
        <w:t>вых частей и соединений от авиации противника. Опытный образец ма</w:t>
      </w:r>
      <w:r w:rsidRPr="00271E51">
        <w:rPr>
          <w:rFonts w:ascii="Times New Roman" w:hAnsi="Times New Roman"/>
          <w:color w:val="000000" w:themeColor="text1"/>
          <w:sz w:val="16"/>
          <w:szCs w:val="16"/>
        </w:rPr>
        <w:softHyphen/>
        <w:t>шины был изготовлен в начале 1944 г. ЗСУ была принята на вооруже</w:t>
      </w:r>
      <w:r w:rsidRPr="00271E51">
        <w:rPr>
          <w:rFonts w:ascii="Times New Roman" w:hAnsi="Times New Roman"/>
          <w:color w:val="000000" w:themeColor="text1"/>
          <w:sz w:val="16"/>
          <w:szCs w:val="16"/>
        </w:rPr>
        <w:softHyphen/>
        <w:t>ние и в 1945 - 1948 гг. производилась на заводе № 40 в г. Мытищи Мос</w:t>
      </w:r>
      <w:r w:rsidRPr="00271E51">
        <w:rPr>
          <w:rFonts w:ascii="Times New Roman" w:hAnsi="Times New Roman"/>
          <w:color w:val="000000" w:themeColor="text1"/>
          <w:sz w:val="16"/>
          <w:szCs w:val="16"/>
        </w:rPr>
        <w:softHyphen/>
        <w:t>ковской области. В 1945 г. было изготовлено 12 машин, а всего за годы серийного производства было выпущено 75 самоходных установок ЗСУ-37 (10703).</w:t>
      </w:r>
    </w:p>
    <w:p w14:paraId="4CD9FA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5F0C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завод № 9 НКВ разработал клиновой полуавтоматический затвор и изготовил опытный образец модернизированной пуш</w:t>
      </w:r>
      <w:r w:rsidRPr="00271E51">
        <w:rPr>
          <w:rFonts w:ascii="Times New Roman" w:hAnsi="Times New Roman"/>
          <w:color w:val="000000" w:themeColor="text1"/>
          <w:sz w:val="16"/>
          <w:szCs w:val="16"/>
        </w:rPr>
        <w:softHyphen/>
        <w:t>ки Д-25. Эту пушку с телескопическим шарнирным прицелом ТШ-17 в период с 1 по 6 февраля 1944 г. установили на опытном танке "Объект 240". Кроме того, заменили подмоторную раму и двигатель.(10703).</w:t>
      </w:r>
    </w:p>
    <w:p w14:paraId="167066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351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проанализировав опыт боевого применения танков во время Курской битвы, руководство ТУ ГБТУ пришло к выводу, что назрела необходимость приступить к проектированию, изготовлению и испытаниям опытных образцов новых тяжелых танков. Поэтому 3 декабря 1943 г. ЧКЗ был выдан проект ТТТ на новый тяжелый танк. Проектом предусматривалось создание тяжелого танка массой 55 т и с экипажем из 5-ти человек. Корпус танка предполагалось изготовлять из гомогенной ; брони высокой твердости с толщиной броневых плит от 30 до 200 мм. Максимальная толщина лобовой брони литой башни достигала 160 мм. Вооружение танка должно было состоять из 122-мм пушки или 152,4-мм пушки-гаубицы и четырех пулеметов. Дизель мощностью 800 - 1000 л.с. (588 - 735 кВт) должен был обеспечить максимальную скорость движе</w:t>
      </w:r>
      <w:r w:rsidRPr="00271E51">
        <w:rPr>
          <w:rFonts w:ascii="Times New Roman" w:hAnsi="Times New Roman"/>
          <w:color w:val="000000" w:themeColor="text1"/>
          <w:sz w:val="16"/>
          <w:szCs w:val="16"/>
        </w:rPr>
        <w:softHyphen/>
        <w:t>ния танка 35 км/ч. Запаса возимого топлива должно было хватить на 10 часов движения танка. Баки должны были располагаться изолированно от двигателя в нижней части корпуса танка вне боевого отделения. Трансмиссия располагалась в передней части корпуса танка. В ее состав входи</w:t>
      </w:r>
      <w:r w:rsidRPr="00271E51">
        <w:rPr>
          <w:rFonts w:ascii="Times New Roman" w:hAnsi="Times New Roman"/>
          <w:color w:val="000000" w:themeColor="text1"/>
          <w:sz w:val="16"/>
          <w:szCs w:val="16"/>
        </w:rPr>
        <w:softHyphen/>
        <w:t>ли планетарная коробка передачи и двухступенчатый планетарный меха</w:t>
      </w:r>
      <w:r w:rsidRPr="00271E51">
        <w:rPr>
          <w:rFonts w:ascii="Times New Roman" w:hAnsi="Times New Roman"/>
          <w:color w:val="000000" w:themeColor="text1"/>
          <w:sz w:val="16"/>
          <w:szCs w:val="16"/>
        </w:rPr>
        <w:softHyphen/>
        <w:t>низм поворота. Ведущие колеса должны были располагаться спереди и иметь цевочное зацепление с гусеницами. В системе подрессоривания предусматривалось использование индивидуальной торсионной подвес</w:t>
      </w:r>
      <w:r w:rsidRPr="00271E51">
        <w:rPr>
          <w:rFonts w:ascii="Times New Roman" w:hAnsi="Times New Roman"/>
          <w:color w:val="000000" w:themeColor="text1"/>
          <w:sz w:val="16"/>
          <w:szCs w:val="16"/>
        </w:rPr>
        <w:softHyphen/>
        <w:t>ки и установка амортизаторов на передних и задних опорных катках. Рас</w:t>
      </w:r>
      <w:r w:rsidRPr="00271E51">
        <w:rPr>
          <w:rFonts w:ascii="Times New Roman" w:hAnsi="Times New Roman"/>
          <w:color w:val="000000" w:themeColor="text1"/>
          <w:sz w:val="16"/>
          <w:szCs w:val="16"/>
        </w:rPr>
        <w:softHyphen/>
        <w:t>положение экипажа в боевом отделении - наводчик справа от пушки, за ним командир, два заряжающих слева. Тактико-техническими требованиями также предусматривалась разработка проекта танка с электромеханической трансмиссией (10703).</w:t>
      </w:r>
    </w:p>
    <w:p w14:paraId="72F031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7B4C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 рамках проводимых НКВ опытно-конструкторских работ по увеличению бронепробиваемости 85-мм тан</w:t>
      </w:r>
      <w:r w:rsidRPr="00271E51">
        <w:rPr>
          <w:rFonts w:ascii="Times New Roman" w:hAnsi="Times New Roman"/>
          <w:color w:val="000000" w:themeColor="text1"/>
          <w:sz w:val="16"/>
          <w:szCs w:val="16"/>
        </w:rPr>
        <w:softHyphen/>
        <w:t>ковых пушек на заводе № 100 под руководст</w:t>
      </w:r>
      <w:r w:rsidRPr="00271E51">
        <w:rPr>
          <w:rFonts w:ascii="Times New Roman" w:hAnsi="Times New Roman"/>
          <w:color w:val="000000" w:themeColor="text1"/>
          <w:sz w:val="16"/>
          <w:szCs w:val="16"/>
        </w:rPr>
        <w:softHyphen/>
        <w:t>вом А.С. Ермолаева был разработан Танк "Объект 244". Опытный образец машины был изготовлен заводом № 100 в январе 1944 г. и весной того же года прошел заводские и поли</w:t>
      </w:r>
      <w:r w:rsidRPr="00271E51">
        <w:rPr>
          <w:rFonts w:ascii="Times New Roman" w:hAnsi="Times New Roman"/>
          <w:color w:val="000000" w:themeColor="text1"/>
          <w:sz w:val="16"/>
          <w:szCs w:val="16"/>
        </w:rPr>
        <w:softHyphen/>
        <w:t>гонные испытания на Гороховецком АНИОПе. На вооружение танк не принимался из-за недостаточной прочности ствола орудия. Опытный образец машины был создан на базе первого опытного об</w:t>
      </w:r>
      <w:r w:rsidRPr="00271E51">
        <w:rPr>
          <w:rFonts w:ascii="Times New Roman" w:hAnsi="Times New Roman"/>
          <w:color w:val="000000" w:themeColor="text1"/>
          <w:sz w:val="16"/>
          <w:szCs w:val="16"/>
        </w:rPr>
        <w:softHyphen/>
        <w:t>разца танка "Объект 237" и отличался от него установкой в башне вме</w:t>
      </w:r>
      <w:r w:rsidRPr="00271E51">
        <w:rPr>
          <w:rFonts w:ascii="Times New Roman" w:hAnsi="Times New Roman"/>
          <w:color w:val="000000" w:themeColor="text1"/>
          <w:sz w:val="16"/>
          <w:szCs w:val="16"/>
        </w:rPr>
        <w:softHyphen/>
        <w:t>сто 85-мм танковой пушки Д-5Т-85 опытной 85-мм пушки Д-5Т-85БМ, а также монтажом зенитной пулеметной установки. Экипаж машины состоял из четырех человек (10703).</w:t>
      </w:r>
    </w:p>
    <w:p w14:paraId="6DFF92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8D9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во исполнение постановления ГКО о вооружении тя</w:t>
      </w:r>
      <w:r w:rsidRPr="00271E51">
        <w:rPr>
          <w:rFonts w:ascii="Times New Roman" w:hAnsi="Times New Roman"/>
          <w:color w:val="000000" w:themeColor="text1"/>
          <w:sz w:val="16"/>
          <w:szCs w:val="16"/>
        </w:rPr>
        <w:softHyphen/>
        <w:t>желого танка 100-мм пушкой на опытном заводе № 100 были изготовле</w:t>
      </w:r>
      <w:r w:rsidRPr="00271E51">
        <w:rPr>
          <w:rFonts w:ascii="Times New Roman" w:hAnsi="Times New Roman"/>
          <w:color w:val="000000" w:themeColor="text1"/>
          <w:sz w:val="16"/>
          <w:szCs w:val="16"/>
        </w:rPr>
        <w:softHyphen/>
        <w:t xml:space="preserve">ны два танка ИС ("Объект 245" и "Объект 248"), вооруженных 100-мм пушками Д- </w:t>
      </w:r>
      <w:r w:rsidR="00D96B98" w:rsidRPr="00271E51">
        <w:rPr>
          <w:rFonts w:ascii="Times New Roman" w:hAnsi="Times New Roman"/>
          <w:color w:val="000000" w:themeColor="text1"/>
          <w:sz w:val="16"/>
          <w:szCs w:val="16"/>
        </w:rPr>
        <w:t>10</w:t>
      </w:r>
      <w:r w:rsidRPr="00271E51">
        <w:rPr>
          <w:rFonts w:ascii="Times New Roman" w:hAnsi="Times New Roman"/>
          <w:color w:val="000000" w:themeColor="text1"/>
          <w:sz w:val="16"/>
          <w:szCs w:val="16"/>
        </w:rPr>
        <w:t>Т и С-34. Испытания орудий в объектовых условиях про</w:t>
      </w:r>
      <w:r w:rsidRPr="00271E51">
        <w:rPr>
          <w:rFonts w:ascii="Times New Roman" w:hAnsi="Times New Roman"/>
          <w:color w:val="000000" w:themeColor="text1"/>
          <w:sz w:val="16"/>
          <w:szCs w:val="16"/>
        </w:rPr>
        <w:softHyphen/>
        <w:t>должались до середины октября 1944 г., однако на вооружение тяжелых танков они не были приняты, так как установленная к тому времени в тяжелый танк 122-мм пушка превосходила 100-мм пушку по могущест</w:t>
      </w:r>
      <w:r w:rsidRPr="00271E51">
        <w:rPr>
          <w:rFonts w:ascii="Times New Roman" w:hAnsi="Times New Roman"/>
          <w:color w:val="000000" w:themeColor="text1"/>
          <w:sz w:val="16"/>
          <w:szCs w:val="16"/>
        </w:rPr>
        <w:softHyphen/>
        <w:t>ву действия снарядов. Таким образом, 100-мм пушка на серийных тан</w:t>
      </w:r>
      <w:r w:rsidRPr="00271E51">
        <w:rPr>
          <w:rFonts w:ascii="Times New Roman" w:hAnsi="Times New Roman"/>
          <w:color w:val="000000" w:themeColor="text1"/>
          <w:sz w:val="16"/>
          <w:szCs w:val="16"/>
        </w:rPr>
        <w:softHyphen/>
        <w:t>ках периода Великой Отечественной войны не устанавливалась (10703).</w:t>
      </w:r>
    </w:p>
    <w:p w14:paraId="02DD63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4EBC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для снижения безвозвратных потерь танков на поле боя от пожара, для танка Т-34 в НИИ противопожарного оборудования бы</w:t>
      </w:r>
      <w:r w:rsidRPr="00271E51">
        <w:rPr>
          <w:rFonts w:ascii="Times New Roman" w:hAnsi="Times New Roman"/>
          <w:color w:val="000000" w:themeColor="text1"/>
          <w:sz w:val="16"/>
          <w:szCs w:val="16"/>
        </w:rPr>
        <w:softHyphen/>
        <w:t>ла разработана и на опытном заводе № 100 (г. Челябинск) изготовлена опытная партия (100 шт.) автоматической системы пожаротушения (ППО-Т-34). Она представляла собой размещение углекислотных огнету</w:t>
      </w:r>
      <w:r w:rsidRPr="00271E51">
        <w:rPr>
          <w:rFonts w:ascii="Times New Roman" w:hAnsi="Times New Roman"/>
          <w:color w:val="000000" w:themeColor="text1"/>
          <w:sz w:val="16"/>
          <w:szCs w:val="16"/>
        </w:rPr>
        <w:softHyphen/>
        <w:t>шителей в стационарной автоматической установке. По результатам ис</w:t>
      </w:r>
      <w:r w:rsidRPr="00271E51">
        <w:rPr>
          <w:rFonts w:ascii="Times New Roman" w:hAnsi="Times New Roman"/>
          <w:color w:val="000000" w:themeColor="text1"/>
          <w:sz w:val="16"/>
          <w:szCs w:val="16"/>
        </w:rPr>
        <w:softHyphen/>
        <w:t>пытаний эта система ППО оказалась наиболее эффективной по сравне</w:t>
      </w:r>
      <w:r w:rsidRPr="00271E51">
        <w:rPr>
          <w:rFonts w:ascii="Times New Roman" w:hAnsi="Times New Roman"/>
          <w:color w:val="000000" w:themeColor="text1"/>
          <w:sz w:val="16"/>
          <w:szCs w:val="16"/>
        </w:rPr>
        <w:softHyphen/>
        <w:t>нию с ППО немецких, британских и американских танков конца Второй мировой войны. Результаты испытаний системы ППО-Т-34 были учтены при создании автоматической системы противопожарного оборудования, которая после войны стала устанавливаться на всех отечественных танках. Для повышения пожаробезопасности танка начальник кафедры тан</w:t>
      </w:r>
      <w:r w:rsidRPr="00271E51">
        <w:rPr>
          <w:rFonts w:ascii="Times New Roman" w:hAnsi="Times New Roman"/>
          <w:color w:val="000000" w:themeColor="text1"/>
          <w:sz w:val="16"/>
          <w:szCs w:val="16"/>
        </w:rPr>
        <w:softHyphen/>
        <w:t>ков ВА БТ и МВ им. Сталина профессор Н.И. Груздев в конце Великой Отечественной войны предложил разместить топливо в опорных катках танка. Установка топливных баков в опорных катках танка позволила не только локализовать очага возгорания пожара, но и сократить объем корпуса. Для проверки данного предложения был изготовлен опытный образец танка Т-34-85. В ходе проведения испытаний выяснилось, что размещение топлива в опорных катках затруднило заправку, усложнило выполнение соответствующих уплотнений и ухудшило условия работы подшипников опорных катко». Дальнейшего развития это предложение не получило (10703).</w:t>
      </w:r>
    </w:p>
    <w:p w14:paraId="218F80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A57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конце 1943 г. в результате совершенствования конструкции броневой защиты и боеприпасов изменилась тактика огневого боя совет</w:t>
      </w:r>
      <w:r w:rsidRPr="00271E51">
        <w:rPr>
          <w:rFonts w:ascii="Times New Roman" w:hAnsi="Times New Roman"/>
          <w:color w:val="000000" w:themeColor="text1"/>
          <w:sz w:val="16"/>
          <w:szCs w:val="16"/>
        </w:rPr>
        <w:softHyphen/>
        <w:t>ских танков. Если в начале войны они вели огневой бой с танками про</w:t>
      </w:r>
      <w:r w:rsidRPr="00271E51">
        <w:rPr>
          <w:rFonts w:ascii="Times New Roman" w:hAnsi="Times New Roman"/>
          <w:color w:val="000000" w:themeColor="text1"/>
          <w:sz w:val="16"/>
          <w:szCs w:val="16"/>
        </w:rPr>
        <w:softHyphen/>
        <w:t>тивника на дистанции 300 - 600 м, то в 1943 - 1945 гг. они, благодаря мощным танковым пушкам, успешно вели огневой бой на дистанциях свыше 1000 м. Повышение боевой скорострельности достигалось введением полу</w:t>
      </w:r>
      <w:r w:rsidRPr="00271E51">
        <w:rPr>
          <w:rFonts w:ascii="Times New Roman" w:hAnsi="Times New Roman"/>
          <w:color w:val="000000" w:themeColor="text1"/>
          <w:sz w:val="16"/>
          <w:szCs w:val="16"/>
        </w:rPr>
        <w:softHyphen/>
        <w:t>автоматических клиновых затворов» орудий вместо поршневых затво</w:t>
      </w:r>
      <w:r w:rsidRPr="00271E51">
        <w:rPr>
          <w:rFonts w:ascii="Times New Roman" w:hAnsi="Times New Roman"/>
          <w:color w:val="000000" w:themeColor="text1"/>
          <w:sz w:val="16"/>
          <w:szCs w:val="16"/>
        </w:rPr>
        <w:softHyphen/>
        <w:t>ров, совершенствованием прицелов и механизмов наводки, а также при</w:t>
      </w:r>
      <w:r w:rsidRPr="00271E51">
        <w:rPr>
          <w:rFonts w:ascii="Times New Roman" w:hAnsi="Times New Roman"/>
          <w:color w:val="000000" w:themeColor="text1"/>
          <w:sz w:val="16"/>
          <w:szCs w:val="16"/>
        </w:rPr>
        <w:softHyphen/>
        <w:t>менением унитарных выстрелов калибром до 100 мм включительно. Другие способы увеличения боевой скорострельности, например, увеличение числа заряжающих для орудия с раздельно-гильзовым заряжанием себя не оправдали, а использование на некоторых опытных образцах средств механизации заряжания только облегчало труд заряжающего, но не сокращало время подготовки выстрела. Так, в 1943 г. доцентами Магнитогорского горнометаллургического института Жердевым, Скрипкиным и Ростовцевым был разработан проект механизм заряжания танковой пушки, емкостью магазина на восемь выстрелов. В декабре 1943 г. после рассмотрения в Управлении самоходной артилле ГБТУ проекта механизма заряжания было принято решение о не сообразности реализации его в металле из-за низкой расчетной скор рельности пушки. С увеличением калибров и боевой скорострельности орудий возрастала загазованность боевого отделения. Продувка сжатым воздухом канала ствола танкового орудия после выстрела на сов рийных танках не применялась из-за низкой надежности и сложности удаления пороховых газов из стреляной гильзы, ограниченной емкости воздушного баллона, рассчитанной на производство 8 выстрелов, при отсутствии воздушного компрессора. Основным ( бом снижения загазованности являлась установка в боевом отделении одного или двух высокопроизводительных вентиляторов (10703).</w:t>
      </w:r>
    </w:p>
    <w:p w14:paraId="6E4058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Рост калибра танковых пушек и начальной скорости бронебойных снарядов в годы войны</w:t>
      </w:r>
    </w:p>
    <w:tbl>
      <w:tblPr>
        <w:tblW w:w="0" w:type="auto"/>
        <w:tblInd w:w="40" w:type="dxa"/>
        <w:tblLayout w:type="fixed"/>
        <w:tblCellMar>
          <w:left w:w="40" w:type="dxa"/>
          <w:right w:w="40" w:type="dxa"/>
        </w:tblCellMar>
        <w:tblLook w:val="0000" w:firstRow="0" w:lastRow="0" w:firstColumn="0" w:lastColumn="0" w:noHBand="0" w:noVBand="0"/>
      </w:tblPr>
      <w:tblGrid>
        <w:gridCol w:w="874"/>
        <w:gridCol w:w="1450"/>
        <w:gridCol w:w="2246"/>
        <w:gridCol w:w="1834"/>
        <w:gridCol w:w="2160"/>
        <w:gridCol w:w="1546"/>
      </w:tblGrid>
      <w:tr w:rsidR="00A907A5" w:rsidRPr="00271E51" w14:paraId="3A588C56" w14:textId="77777777" w:rsidTr="00ED5B0A">
        <w:trPr>
          <w:trHeight w:val="394"/>
        </w:trPr>
        <w:tc>
          <w:tcPr>
            <w:tcW w:w="874" w:type="dxa"/>
            <w:tcBorders>
              <w:top w:val="single" w:sz="6" w:space="0" w:color="auto"/>
              <w:left w:val="single" w:sz="6" w:space="0" w:color="auto"/>
              <w:bottom w:val="single" w:sz="6" w:space="0" w:color="auto"/>
              <w:right w:val="single" w:sz="6" w:space="0" w:color="auto"/>
            </w:tcBorders>
          </w:tcPr>
          <w:p w14:paraId="3589B2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w:t>
            </w:r>
          </w:p>
        </w:tc>
        <w:tc>
          <w:tcPr>
            <w:tcW w:w="1450" w:type="dxa"/>
            <w:tcBorders>
              <w:top w:val="single" w:sz="6" w:space="0" w:color="auto"/>
              <w:left w:val="single" w:sz="6" w:space="0" w:color="auto"/>
              <w:bottom w:val="single" w:sz="6" w:space="0" w:color="auto"/>
              <w:right w:val="single" w:sz="6" w:space="0" w:color="auto"/>
            </w:tcBorders>
          </w:tcPr>
          <w:p w14:paraId="7E901C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Страна</w:t>
            </w:r>
          </w:p>
        </w:tc>
        <w:tc>
          <w:tcPr>
            <w:tcW w:w="2246" w:type="dxa"/>
            <w:tcBorders>
              <w:top w:val="single" w:sz="6" w:space="0" w:color="auto"/>
              <w:left w:val="single" w:sz="6" w:space="0" w:color="auto"/>
              <w:bottom w:val="single" w:sz="6" w:space="0" w:color="auto"/>
              <w:right w:val="single" w:sz="6" w:space="0" w:color="auto"/>
            </w:tcBorders>
          </w:tcPr>
          <w:p w14:paraId="79AEC1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Марка танка</w:t>
            </w:r>
          </w:p>
        </w:tc>
        <w:tc>
          <w:tcPr>
            <w:tcW w:w="1834" w:type="dxa"/>
            <w:tcBorders>
              <w:top w:val="single" w:sz="6" w:space="0" w:color="auto"/>
              <w:left w:val="single" w:sz="6" w:space="0" w:color="auto"/>
              <w:bottom w:val="single" w:sz="6" w:space="0" w:color="auto"/>
              <w:right w:val="single" w:sz="6" w:space="0" w:color="auto"/>
            </w:tcBorders>
          </w:tcPr>
          <w:p w14:paraId="403636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танка</w:t>
            </w:r>
          </w:p>
        </w:tc>
        <w:tc>
          <w:tcPr>
            <w:tcW w:w="2160" w:type="dxa"/>
            <w:tcBorders>
              <w:top w:val="single" w:sz="6" w:space="0" w:color="auto"/>
              <w:left w:val="single" w:sz="6" w:space="0" w:color="auto"/>
              <w:bottom w:val="single" w:sz="6" w:space="0" w:color="auto"/>
              <w:right w:val="single" w:sz="6" w:space="0" w:color="auto"/>
            </w:tcBorders>
          </w:tcPr>
          <w:p w14:paraId="7AC4E5B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пушки, мм</w:t>
            </w:r>
          </w:p>
        </w:tc>
        <w:tc>
          <w:tcPr>
            <w:tcW w:w="1546" w:type="dxa"/>
            <w:tcBorders>
              <w:top w:val="single" w:sz="6" w:space="0" w:color="auto"/>
              <w:left w:val="single" w:sz="6" w:space="0" w:color="auto"/>
              <w:bottom w:val="single" w:sz="6" w:space="0" w:color="auto"/>
              <w:right w:val="single" w:sz="6" w:space="0" w:color="auto"/>
            </w:tcBorders>
          </w:tcPr>
          <w:p w14:paraId="6EAE93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 снаряда, м/с</w:t>
            </w:r>
          </w:p>
        </w:tc>
      </w:tr>
      <w:tr w:rsidR="00A907A5" w:rsidRPr="00271E51" w14:paraId="3576C34D" w14:textId="77777777" w:rsidTr="00ED5B0A">
        <w:trPr>
          <w:trHeight w:val="202"/>
        </w:trPr>
        <w:tc>
          <w:tcPr>
            <w:tcW w:w="874" w:type="dxa"/>
            <w:tcBorders>
              <w:top w:val="single" w:sz="6" w:space="0" w:color="auto"/>
              <w:left w:val="single" w:sz="6" w:space="0" w:color="auto"/>
              <w:bottom w:val="nil"/>
              <w:right w:val="single" w:sz="6" w:space="0" w:color="auto"/>
            </w:tcBorders>
          </w:tcPr>
          <w:p w14:paraId="720C9D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1450" w:type="dxa"/>
            <w:tcBorders>
              <w:top w:val="single" w:sz="6" w:space="0" w:color="auto"/>
              <w:left w:val="single" w:sz="6" w:space="0" w:color="auto"/>
              <w:bottom w:val="nil"/>
              <w:right w:val="single" w:sz="6" w:space="0" w:color="auto"/>
            </w:tcBorders>
          </w:tcPr>
          <w:p w14:paraId="690604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СССР</w:t>
            </w:r>
          </w:p>
        </w:tc>
        <w:tc>
          <w:tcPr>
            <w:tcW w:w="2246" w:type="dxa"/>
            <w:tcBorders>
              <w:top w:val="single" w:sz="6" w:space="0" w:color="auto"/>
              <w:left w:val="single" w:sz="6" w:space="0" w:color="auto"/>
              <w:bottom w:val="single" w:sz="6" w:space="0" w:color="auto"/>
              <w:right w:val="single" w:sz="6" w:space="0" w:color="auto"/>
            </w:tcBorders>
          </w:tcPr>
          <w:p w14:paraId="26E910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Т-34-76</w:t>
            </w:r>
          </w:p>
        </w:tc>
        <w:tc>
          <w:tcPr>
            <w:tcW w:w="1834" w:type="dxa"/>
            <w:tcBorders>
              <w:top w:val="single" w:sz="6" w:space="0" w:color="auto"/>
              <w:left w:val="single" w:sz="6" w:space="0" w:color="auto"/>
              <w:bottom w:val="single" w:sz="6" w:space="0" w:color="auto"/>
              <w:right w:val="single" w:sz="6" w:space="0" w:color="auto"/>
            </w:tcBorders>
          </w:tcPr>
          <w:p w14:paraId="563C2C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w:t>
            </w:r>
          </w:p>
        </w:tc>
        <w:tc>
          <w:tcPr>
            <w:tcW w:w="2160" w:type="dxa"/>
            <w:tcBorders>
              <w:top w:val="single" w:sz="6" w:space="0" w:color="auto"/>
              <w:left w:val="single" w:sz="6" w:space="0" w:color="auto"/>
              <w:bottom w:val="single" w:sz="6" w:space="0" w:color="auto"/>
              <w:right w:val="single" w:sz="6" w:space="0" w:color="auto"/>
            </w:tcBorders>
          </w:tcPr>
          <w:p w14:paraId="5D9409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1546" w:type="dxa"/>
            <w:tcBorders>
              <w:top w:val="single" w:sz="6" w:space="0" w:color="auto"/>
              <w:left w:val="single" w:sz="6" w:space="0" w:color="auto"/>
              <w:bottom w:val="single" w:sz="6" w:space="0" w:color="auto"/>
              <w:right w:val="single" w:sz="6" w:space="0" w:color="auto"/>
            </w:tcBorders>
          </w:tcPr>
          <w:p w14:paraId="134768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r>
      <w:tr w:rsidR="00A907A5" w:rsidRPr="00271E51" w14:paraId="55941A40" w14:textId="77777777" w:rsidTr="00ED5B0A">
        <w:trPr>
          <w:trHeight w:val="202"/>
        </w:trPr>
        <w:tc>
          <w:tcPr>
            <w:tcW w:w="874" w:type="dxa"/>
            <w:tcBorders>
              <w:top w:val="nil"/>
              <w:left w:val="single" w:sz="6" w:space="0" w:color="auto"/>
              <w:bottom w:val="nil"/>
              <w:right w:val="single" w:sz="6" w:space="0" w:color="auto"/>
            </w:tcBorders>
          </w:tcPr>
          <w:p w14:paraId="282F44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385D1E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6773D2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КВ-1</w:t>
            </w:r>
          </w:p>
        </w:tc>
        <w:tc>
          <w:tcPr>
            <w:tcW w:w="1834" w:type="dxa"/>
            <w:tcBorders>
              <w:top w:val="single" w:sz="6" w:space="0" w:color="auto"/>
              <w:left w:val="single" w:sz="6" w:space="0" w:color="auto"/>
              <w:bottom w:val="single" w:sz="6" w:space="0" w:color="auto"/>
              <w:right w:val="single" w:sz="6" w:space="0" w:color="auto"/>
            </w:tcBorders>
          </w:tcPr>
          <w:p w14:paraId="6157AB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2160" w:type="dxa"/>
            <w:tcBorders>
              <w:top w:val="single" w:sz="6" w:space="0" w:color="auto"/>
              <w:left w:val="single" w:sz="6" w:space="0" w:color="auto"/>
              <w:bottom w:val="single" w:sz="6" w:space="0" w:color="auto"/>
              <w:right w:val="single" w:sz="6" w:space="0" w:color="auto"/>
            </w:tcBorders>
          </w:tcPr>
          <w:p w14:paraId="7B57DA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76,2</w:t>
            </w:r>
          </w:p>
        </w:tc>
        <w:tc>
          <w:tcPr>
            <w:tcW w:w="1546" w:type="dxa"/>
            <w:tcBorders>
              <w:top w:val="single" w:sz="6" w:space="0" w:color="auto"/>
              <w:left w:val="single" w:sz="6" w:space="0" w:color="auto"/>
              <w:bottom w:val="single" w:sz="6" w:space="0" w:color="auto"/>
              <w:right w:val="single" w:sz="6" w:space="0" w:color="auto"/>
            </w:tcBorders>
          </w:tcPr>
          <w:p w14:paraId="746158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680</w:t>
            </w:r>
          </w:p>
        </w:tc>
      </w:tr>
      <w:tr w:rsidR="00A907A5" w:rsidRPr="00271E51" w14:paraId="46CF5208" w14:textId="77777777" w:rsidTr="00ED5B0A">
        <w:trPr>
          <w:trHeight w:val="202"/>
        </w:trPr>
        <w:tc>
          <w:tcPr>
            <w:tcW w:w="874" w:type="dxa"/>
            <w:tcBorders>
              <w:top w:val="nil"/>
              <w:left w:val="single" w:sz="6" w:space="0" w:color="auto"/>
              <w:bottom w:val="single" w:sz="6" w:space="0" w:color="auto"/>
              <w:right w:val="single" w:sz="6" w:space="0" w:color="auto"/>
            </w:tcBorders>
          </w:tcPr>
          <w:p w14:paraId="2DBFD9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40D8B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Германия</w:t>
            </w:r>
          </w:p>
        </w:tc>
        <w:tc>
          <w:tcPr>
            <w:tcW w:w="2246" w:type="dxa"/>
            <w:tcBorders>
              <w:top w:val="single" w:sz="6" w:space="0" w:color="auto"/>
              <w:left w:val="single" w:sz="6" w:space="0" w:color="auto"/>
              <w:bottom w:val="single" w:sz="6" w:space="0" w:color="auto"/>
              <w:right w:val="single" w:sz="6" w:space="0" w:color="auto"/>
            </w:tcBorders>
          </w:tcPr>
          <w:p w14:paraId="06A6B6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Т-ГУ</w:t>
            </w:r>
          </w:p>
        </w:tc>
        <w:tc>
          <w:tcPr>
            <w:tcW w:w="1834" w:type="dxa"/>
            <w:tcBorders>
              <w:top w:val="single" w:sz="6" w:space="0" w:color="auto"/>
              <w:left w:val="single" w:sz="6" w:space="0" w:color="auto"/>
              <w:bottom w:val="single" w:sz="6" w:space="0" w:color="auto"/>
              <w:right w:val="single" w:sz="6" w:space="0" w:color="auto"/>
            </w:tcBorders>
          </w:tcPr>
          <w:p w14:paraId="44BC29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w:t>
            </w:r>
          </w:p>
        </w:tc>
        <w:tc>
          <w:tcPr>
            <w:tcW w:w="2160" w:type="dxa"/>
            <w:tcBorders>
              <w:top w:val="single" w:sz="6" w:space="0" w:color="auto"/>
              <w:left w:val="single" w:sz="6" w:space="0" w:color="auto"/>
              <w:bottom w:val="single" w:sz="6" w:space="0" w:color="auto"/>
              <w:right w:val="single" w:sz="6" w:space="0" w:color="auto"/>
            </w:tcBorders>
          </w:tcPr>
          <w:p w14:paraId="0190F4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tc>
        <w:tc>
          <w:tcPr>
            <w:tcW w:w="1546" w:type="dxa"/>
            <w:tcBorders>
              <w:top w:val="single" w:sz="6" w:space="0" w:color="auto"/>
              <w:left w:val="single" w:sz="6" w:space="0" w:color="auto"/>
              <w:bottom w:val="single" w:sz="6" w:space="0" w:color="auto"/>
              <w:right w:val="single" w:sz="6" w:space="0" w:color="auto"/>
            </w:tcBorders>
          </w:tcPr>
          <w:p w14:paraId="311327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w:t>
            </w:r>
          </w:p>
        </w:tc>
      </w:tr>
      <w:tr w:rsidR="00A907A5" w:rsidRPr="00271E51" w14:paraId="041C6EE8" w14:textId="77777777" w:rsidTr="00ED5B0A">
        <w:trPr>
          <w:trHeight w:val="202"/>
        </w:trPr>
        <w:tc>
          <w:tcPr>
            <w:tcW w:w="874" w:type="dxa"/>
            <w:tcBorders>
              <w:top w:val="single" w:sz="6" w:space="0" w:color="auto"/>
              <w:left w:val="single" w:sz="6" w:space="0" w:color="auto"/>
              <w:bottom w:val="nil"/>
              <w:right w:val="single" w:sz="6" w:space="0" w:color="auto"/>
            </w:tcBorders>
          </w:tcPr>
          <w:p w14:paraId="1A8AD6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1450" w:type="dxa"/>
            <w:tcBorders>
              <w:top w:val="single" w:sz="6" w:space="0" w:color="auto"/>
              <w:left w:val="single" w:sz="6" w:space="0" w:color="auto"/>
              <w:bottom w:val="nil"/>
              <w:right w:val="single" w:sz="6" w:space="0" w:color="auto"/>
            </w:tcBorders>
          </w:tcPr>
          <w:p w14:paraId="5B531F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СССР</w:t>
            </w:r>
          </w:p>
        </w:tc>
        <w:tc>
          <w:tcPr>
            <w:tcW w:w="2246" w:type="dxa"/>
            <w:tcBorders>
              <w:top w:val="single" w:sz="6" w:space="0" w:color="auto"/>
              <w:left w:val="single" w:sz="6" w:space="0" w:color="auto"/>
              <w:bottom w:val="single" w:sz="6" w:space="0" w:color="auto"/>
              <w:right w:val="single" w:sz="6" w:space="0" w:color="auto"/>
            </w:tcBorders>
          </w:tcPr>
          <w:p w14:paraId="1EEB49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Т-34-85</w:t>
            </w:r>
          </w:p>
        </w:tc>
        <w:tc>
          <w:tcPr>
            <w:tcW w:w="1834" w:type="dxa"/>
            <w:tcBorders>
              <w:top w:val="single" w:sz="6" w:space="0" w:color="auto"/>
              <w:left w:val="single" w:sz="6" w:space="0" w:color="auto"/>
              <w:bottom w:val="single" w:sz="6" w:space="0" w:color="auto"/>
              <w:right w:val="single" w:sz="6" w:space="0" w:color="auto"/>
            </w:tcBorders>
          </w:tcPr>
          <w:p w14:paraId="436757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w:t>
            </w:r>
          </w:p>
        </w:tc>
        <w:tc>
          <w:tcPr>
            <w:tcW w:w="2160" w:type="dxa"/>
            <w:tcBorders>
              <w:top w:val="single" w:sz="6" w:space="0" w:color="auto"/>
              <w:left w:val="single" w:sz="6" w:space="0" w:color="auto"/>
              <w:bottom w:val="single" w:sz="6" w:space="0" w:color="auto"/>
              <w:right w:val="single" w:sz="6" w:space="0" w:color="auto"/>
            </w:tcBorders>
          </w:tcPr>
          <w:p w14:paraId="6E9B5F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1546" w:type="dxa"/>
            <w:tcBorders>
              <w:top w:val="single" w:sz="6" w:space="0" w:color="auto"/>
              <w:left w:val="single" w:sz="6" w:space="0" w:color="auto"/>
              <w:bottom w:val="single" w:sz="6" w:space="0" w:color="auto"/>
              <w:right w:val="single" w:sz="6" w:space="0" w:color="auto"/>
            </w:tcBorders>
          </w:tcPr>
          <w:p w14:paraId="59B4B1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792</w:t>
            </w:r>
          </w:p>
        </w:tc>
      </w:tr>
      <w:tr w:rsidR="00A907A5" w:rsidRPr="00271E51" w14:paraId="743AC340" w14:textId="77777777" w:rsidTr="00ED5B0A">
        <w:trPr>
          <w:trHeight w:val="202"/>
        </w:trPr>
        <w:tc>
          <w:tcPr>
            <w:tcW w:w="874" w:type="dxa"/>
            <w:tcBorders>
              <w:top w:val="nil"/>
              <w:left w:val="single" w:sz="6" w:space="0" w:color="auto"/>
              <w:bottom w:val="nil"/>
              <w:right w:val="single" w:sz="6" w:space="0" w:color="auto"/>
            </w:tcBorders>
          </w:tcPr>
          <w:p w14:paraId="51D77E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5326FF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1A2FD9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КВ-85.ИС-1</w:t>
            </w:r>
          </w:p>
        </w:tc>
        <w:tc>
          <w:tcPr>
            <w:tcW w:w="1834" w:type="dxa"/>
            <w:tcBorders>
              <w:top w:val="single" w:sz="6" w:space="0" w:color="auto"/>
              <w:left w:val="single" w:sz="6" w:space="0" w:color="auto"/>
              <w:bottom w:val="single" w:sz="6" w:space="0" w:color="auto"/>
              <w:right w:val="single" w:sz="6" w:space="0" w:color="auto"/>
            </w:tcBorders>
          </w:tcPr>
          <w:p w14:paraId="38B30E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2160" w:type="dxa"/>
            <w:tcBorders>
              <w:top w:val="single" w:sz="6" w:space="0" w:color="auto"/>
              <w:left w:val="single" w:sz="6" w:space="0" w:color="auto"/>
              <w:bottom w:val="single" w:sz="6" w:space="0" w:color="auto"/>
              <w:right w:val="single" w:sz="6" w:space="0" w:color="auto"/>
            </w:tcBorders>
          </w:tcPr>
          <w:p w14:paraId="483CF0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w:t>
            </w:r>
          </w:p>
        </w:tc>
        <w:tc>
          <w:tcPr>
            <w:tcW w:w="1546" w:type="dxa"/>
            <w:tcBorders>
              <w:top w:val="single" w:sz="6" w:space="0" w:color="auto"/>
              <w:left w:val="single" w:sz="6" w:space="0" w:color="auto"/>
              <w:bottom w:val="single" w:sz="6" w:space="0" w:color="auto"/>
              <w:right w:val="single" w:sz="6" w:space="0" w:color="auto"/>
            </w:tcBorders>
          </w:tcPr>
          <w:p w14:paraId="64F05D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792'</w:t>
            </w:r>
          </w:p>
        </w:tc>
      </w:tr>
      <w:tr w:rsidR="00A907A5" w:rsidRPr="00271E51" w14:paraId="7FBF9AAD" w14:textId="77777777" w:rsidTr="00ED5B0A">
        <w:trPr>
          <w:trHeight w:val="192"/>
        </w:trPr>
        <w:tc>
          <w:tcPr>
            <w:tcW w:w="874" w:type="dxa"/>
            <w:tcBorders>
              <w:top w:val="nil"/>
              <w:left w:val="single" w:sz="6" w:space="0" w:color="auto"/>
              <w:bottom w:val="single" w:sz="6" w:space="0" w:color="auto"/>
              <w:right w:val="single" w:sz="6" w:space="0" w:color="auto"/>
            </w:tcBorders>
          </w:tcPr>
          <w:p w14:paraId="0D6161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BF43F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Германия</w:t>
            </w:r>
          </w:p>
        </w:tc>
        <w:tc>
          <w:tcPr>
            <w:tcW w:w="2246" w:type="dxa"/>
            <w:tcBorders>
              <w:top w:val="single" w:sz="6" w:space="0" w:color="auto"/>
              <w:left w:val="single" w:sz="6" w:space="0" w:color="auto"/>
              <w:bottom w:val="single" w:sz="6" w:space="0" w:color="auto"/>
              <w:right w:val="single" w:sz="6" w:space="0" w:color="auto"/>
            </w:tcBorders>
          </w:tcPr>
          <w:p w14:paraId="14394C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Т-У1 "Тигр I"</w:t>
            </w:r>
          </w:p>
        </w:tc>
        <w:tc>
          <w:tcPr>
            <w:tcW w:w="1834" w:type="dxa"/>
            <w:tcBorders>
              <w:top w:val="single" w:sz="6" w:space="0" w:color="auto"/>
              <w:left w:val="single" w:sz="6" w:space="0" w:color="auto"/>
              <w:bottom w:val="single" w:sz="6" w:space="0" w:color="auto"/>
              <w:right w:val="single" w:sz="6" w:space="0" w:color="auto"/>
            </w:tcBorders>
          </w:tcPr>
          <w:p w14:paraId="752CCB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2160" w:type="dxa"/>
            <w:tcBorders>
              <w:top w:val="single" w:sz="6" w:space="0" w:color="auto"/>
              <w:left w:val="single" w:sz="6" w:space="0" w:color="auto"/>
              <w:bottom w:val="single" w:sz="6" w:space="0" w:color="auto"/>
              <w:right w:val="single" w:sz="6" w:space="0" w:color="auto"/>
            </w:tcBorders>
          </w:tcPr>
          <w:p w14:paraId="5294E1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tc>
        <w:tc>
          <w:tcPr>
            <w:tcW w:w="1546" w:type="dxa"/>
            <w:tcBorders>
              <w:top w:val="single" w:sz="6" w:space="0" w:color="auto"/>
              <w:left w:val="single" w:sz="6" w:space="0" w:color="auto"/>
              <w:bottom w:val="single" w:sz="6" w:space="0" w:color="auto"/>
              <w:right w:val="single" w:sz="6" w:space="0" w:color="auto"/>
            </w:tcBorders>
          </w:tcPr>
          <w:p w14:paraId="349629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B86DCD4" w14:textId="77777777" w:rsidTr="00ED5B0A">
        <w:trPr>
          <w:trHeight w:val="202"/>
        </w:trPr>
        <w:tc>
          <w:tcPr>
            <w:tcW w:w="874" w:type="dxa"/>
            <w:tcBorders>
              <w:top w:val="single" w:sz="6" w:space="0" w:color="auto"/>
              <w:left w:val="single" w:sz="6" w:space="0" w:color="auto"/>
              <w:bottom w:val="nil"/>
              <w:right w:val="single" w:sz="6" w:space="0" w:color="auto"/>
            </w:tcBorders>
          </w:tcPr>
          <w:p w14:paraId="749DD0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1450" w:type="dxa"/>
            <w:tcBorders>
              <w:top w:val="single" w:sz="6" w:space="0" w:color="auto"/>
              <w:left w:val="single" w:sz="6" w:space="0" w:color="auto"/>
              <w:bottom w:val="single" w:sz="6" w:space="0" w:color="auto"/>
              <w:right w:val="single" w:sz="6" w:space="0" w:color="auto"/>
            </w:tcBorders>
          </w:tcPr>
          <w:p w14:paraId="655520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СССР</w:t>
            </w:r>
          </w:p>
        </w:tc>
        <w:tc>
          <w:tcPr>
            <w:tcW w:w="2246" w:type="dxa"/>
            <w:tcBorders>
              <w:top w:val="single" w:sz="6" w:space="0" w:color="auto"/>
              <w:left w:val="single" w:sz="6" w:space="0" w:color="auto"/>
              <w:bottom w:val="single" w:sz="6" w:space="0" w:color="auto"/>
              <w:right w:val="single" w:sz="6" w:space="0" w:color="auto"/>
            </w:tcBorders>
          </w:tcPr>
          <w:p w14:paraId="0DCEE8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ИС-2</w:t>
            </w:r>
          </w:p>
        </w:tc>
        <w:tc>
          <w:tcPr>
            <w:tcW w:w="1834" w:type="dxa"/>
            <w:tcBorders>
              <w:top w:val="single" w:sz="6" w:space="0" w:color="auto"/>
              <w:left w:val="single" w:sz="6" w:space="0" w:color="auto"/>
              <w:bottom w:val="single" w:sz="6" w:space="0" w:color="auto"/>
              <w:right w:val="single" w:sz="6" w:space="0" w:color="auto"/>
            </w:tcBorders>
          </w:tcPr>
          <w:p w14:paraId="55B041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2160" w:type="dxa"/>
            <w:tcBorders>
              <w:top w:val="single" w:sz="6" w:space="0" w:color="auto"/>
              <w:left w:val="single" w:sz="6" w:space="0" w:color="auto"/>
              <w:bottom w:val="single" w:sz="6" w:space="0" w:color="auto"/>
              <w:right w:val="single" w:sz="6" w:space="0" w:color="auto"/>
            </w:tcBorders>
          </w:tcPr>
          <w:p w14:paraId="65C527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w:t>
            </w:r>
          </w:p>
        </w:tc>
        <w:tc>
          <w:tcPr>
            <w:tcW w:w="1546" w:type="dxa"/>
            <w:tcBorders>
              <w:top w:val="single" w:sz="6" w:space="0" w:color="auto"/>
              <w:left w:val="single" w:sz="6" w:space="0" w:color="auto"/>
              <w:bottom w:val="single" w:sz="6" w:space="0" w:color="auto"/>
              <w:right w:val="single" w:sz="6" w:space="0" w:color="auto"/>
            </w:tcBorders>
          </w:tcPr>
          <w:p w14:paraId="579573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795</w:t>
            </w:r>
          </w:p>
        </w:tc>
      </w:tr>
      <w:tr w:rsidR="00A907A5" w:rsidRPr="00271E51" w14:paraId="3EBF1973" w14:textId="77777777" w:rsidTr="00ED5B0A">
        <w:trPr>
          <w:trHeight w:val="230"/>
        </w:trPr>
        <w:tc>
          <w:tcPr>
            <w:tcW w:w="874" w:type="dxa"/>
            <w:tcBorders>
              <w:top w:val="nil"/>
              <w:left w:val="single" w:sz="6" w:space="0" w:color="auto"/>
              <w:bottom w:val="single" w:sz="6" w:space="0" w:color="auto"/>
              <w:right w:val="single" w:sz="6" w:space="0" w:color="auto"/>
            </w:tcBorders>
          </w:tcPr>
          <w:p w14:paraId="1FD274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7CA4B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Германия</w:t>
            </w:r>
          </w:p>
        </w:tc>
        <w:tc>
          <w:tcPr>
            <w:tcW w:w="2246" w:type="dxa"/>
            <w:tcBorders>
              <w:top w:val="single" w:sz="6" w:space="0" w:color="auto"/>
              <w:left w:val="single" w:sz="6" w:space="0" w:color="auto"/>
              <w:bottom w:val="single" w:sz="6" w:space="0" w:color="auto"/>
              <w:right w:val="single" w:sz="6" w:space="0" w:color="auto"/>
            </w:tcBorders>
          </w:tcPr>
          <w:p w14:paraId="56CE94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Т-У1В "Тигр П"</w:t>
            </w:r>
          </w:p>
        </w:tc>
        <w:tc>
          <w:tcPr>
            <w:tcW w:w="1834" w:type="dxa"/>
            <w:tcBorders>
              <w:top w:val="single" w:sz="6" w:space="0" w:color="auto"/>
              <w:left w:val="single" w:sz="6" w:space="0" w:color="auto"/>
              <w:bottom w:val="single" w:sz="6" w:space="0" w:color="auto"/>
              <w:right w:val="single" w:sz="6" w:space="0" w:color="auto"/>
            </w:tcBorders>
          </w:tcPr>
          <w:p w14:paraId="4E245D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Тяжелый</w:t>
            </w:r>
          </w:p>
        </w:tc>
        <w:tc>
          <w:tcPr>
            <w:tcW w:w="2160" w:type="dxa"/>
            <w:tcBorders>
              <w:top w:val="single" w:sz="6" w:space="0" w:color="auto"/>
              <w:left w:val="single" w:sz="6" w:space="0" w:color="auto"/>
              <w:bottom w:val="single" w:sz="6" w:space="0" w:color="auto"/>
              <w:right w:val="single" w:sz="6" w:space="0" w:color="auto"/>
            </w:tcBorders>
          </w:tcPr>
          <w:p w14:paraId="641A3D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w:t>
            </w:r>
          </w:p>
        </w:tc>
        <w:tc>
          <w:tcPr>
            <w:tcW w:w="1546" w:type="dxa"/>
            <w:tcBorders>
              <w:top w:val="single" w:sz="6" w:space="0" w:color="auto"/>
              <w:left w:val="single" w:sz="6" w:space="0" w:color="auto"/>
              <w:bottom w:val="single" w:sz="6" w:space="0" w:color="auto"/>
              <w:right w:val="single" w:sz="6" w:space="0" w:color="auto"/>
            </w:tcBorders>
          </w:tcPr>
          <w:p w14:paraId="5DA930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tc>
      </w:tr>
    </w:tbl>
    <w:p w14:paraId="44402E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(10703)</w:t>
      </w:r>
    </w:p>
    <w:p w14:paraId="6D3F7A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4F57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w:t>
      </w:r>
      <w:r w:rsidRPr="00271E51">
        <w:rPr>
          <w:rFonts w:ascii="Times New Roman" w:hAnsi="Times New Roman"/>
          <w:color w:val="000000" w:themeColor="text1"/>
          <w:sz w:val="16"/>
          <w:szCs w:val="16"/>
        </w:rPr>
        <w:softHyphen/>
        <w:t>це 1943 - в начале 1944 гг. коллективом КБ завода № 100 была разработана Опытная самоход</w:t>
      </w:r>
      <w:r w:rsidRPr="00271E51">
        <w:rPr>
          <w:rFonts w:ascii="Times New Roman" w:hAnsi="Times New Roman"/>
          <w:color w:val="000000" w:themeColor="text1"/>
          <w:sz w:val="16"/>
          <w:szCs w:val="16"/>
        </w:rPr>
        <w:softHyphen/>
        <w:t>ная пушка С-59 и представляла собой установку 152,4-мм пушки Бр-2 с щитовым прикрытием на базу тяжелого танка КВ-1С. Аналогичное щитовое прикрытие имела и созданная в 1943 г. опытная самоходная гаубица С-51. На базе тяжелого танка КВ-1С была установ</w:t>
      </w:r>
      <w:r w:rsidRPr="00271E51">
        <w:rPr>
          <w:rFonts w:ascii="Times New Roman" w:hAnsi="Times New Roman"/>
          <w:color w:val="000000" w:themeColor="text1"/>
          <w:sz w:val="16"/>
          <w:szCs w:val="16"/>
        </w:rPr>
        <w:softHyphen/>
        <w:t>лена качающаяся часть 203-мм гаубицы Бр-4 обр. 1931 г. Во время по</w:t>
      </w:r>
      <w:r w:rsidRPr="00271E51">
        <w:rPr>
          <w:rFonts w:ascii="Times New Roman" w:hAnsi="Times New Roman"/>
          <w:color w:val="000000" w:themeColor="text1"/>
          <w:sz w:val="16"/>
          <w:szCs w:val="16"/>
        </w:rPr>
        <w:softHyphen/>
        <w:t>лигонных испытаний, проходивших на ГАНИОПе в разное время, у обоих опытных образцов были выявлены существенные недостатки и поэтому дальнейшие работы над подобными конструкциями самоход</w:t>
      </w:r>
      <w:r w:rsidRPr="00271E51">
        <w:rPr>
          <w:rFonts w:ascii="Times New Roman" w:hAnsi="Times New Roman"/>
          <w:color w:val="000000" w:themeColor="text1"/>
          <w:sz w:val="16"/>
          <w:szCs w:val="16"/>
        </w:rPr>
        <w:softHyphen/>
        <w:t>ных орудий были прекращены (10703).</w:t>
      </w:r>
    </w:p>
    <w:p w14:paraId="79DB2A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99C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Красная Армия обладала тремя классами САУ, отличавшимися друг от друга массой системы и калиб</w:t>
      </w:r>
      <w:r w:rsidRPr="00271E51">
        <w:rPr>
          <w:rFonts w:ascii="Times New Roman" w:hAnsi="Times New Roman"/>
          <w:color w:val="000000" w:themeColor="text1"/>
          <w:sz w:val="16"/>
          <w:szCs w:val="16"/>
        </w:rPr>
        <w:softHyphen/>
        <w:t>ром вооружения. Легкие САУ, СУ-76, предназначались для качественного усиления частей легких танков Т-70 и «Валентайн», борьбы с неприятельскими средними танками и батареями противотанковых орудий. Средние САУ, СУ-85, выполняли схожие задачи, но уже в отношении частей сред</w:t>
      </w:r>
      <w:r w:rsidRPr="00271E51">
        <w:rPr>
          <w:rFonts w:ascii="Times New Roman" w:hAnsi="Times New Roman"/>
          <w:color w:val="000000" w:themeColor="text1"/>
          <w:sz w:val="16"/>
          <w:szCs w:val="16"/>
        </w:rPr>
        <w:softHyphen/>
        <w:t>них танков Т-34. Тяжелые же, СУ-152, предполагалось при</w:t>
      </w:r>
      <w:r w:rsidRPr="00271E51">
        <w:rPr>
          <w:rFonts w:ascii="Times New Roman" w:hAnsi="Times New Roman"/>
          <w:color w:val="000000" w:themeColor="text1"/>
          <w:sz w:val="16"/>
          <w:szCs w:val="16"/>
        </w:rPr>
        <w:softHyphen/>
        <w:t>влекать для качественного усиления танковых соединений при прорыве особо укрепленных полос обороны, а также привлекать для борьбы с вражескими подразделениями тя</w:t>
      </w:r>
      <w:r w:rsidRPr="00271E51">
        <w:rPr>
          <w:rFonts w:ascii="Times New Roman" w:hAnsi="Times New Roman"/>
          <w:color w:val="000000" w:themeColor="text1"/>
          <w:sz w:val="16"/>
          <w:szCs w:val="16"/>
        </w:rPr>
        <w:softHyphen/>
        <w:t>желых танков. Хорошо видно, что только СУ-152 были ост</w:t>
      </w:r>
      <w:r w:rsidRPr="00271E51">
        <w:rPr>
          <w:rFonts w:ascii="Times New Roman" w:hAnsi="Times New Roman"/>
          <w:color w:val="000000" w:themeColor="text1"/>
          <w:sz w:val="16"/>
          <w:szCs w:val="16"/>
        </w:rPr>
        <w:softHyphen/>
        <w:t>ро необходимы для организации наступлений, мощности же осколочно-фугасной гранаты СУ-76, равно как и осколочной СУ-85, было явно недостаточно для разрушения укреп</w:t>
      </w:r>
      <w:r w:rsidRPr="00271E51">
        <w:rPr>
          <w:rFonts w:ascii="Times New Roman" w:hAnsi="Times New Roman"/>
          <w:color w:val="000000" w:themeColor="text1"/>
          <w:sz w:val="16"/>
          <w:szCs w:val="16"/>
        </w:rPr>
        <w:softHyphen/>
        <w:t>лений и «выкуривания» пехоты из окопов. Опыт преследования противника, и особенно — перепра</w:t>
      </w:r>
      <w:r w:rsidRPr="00271E51">
        <w:rPr>
          <w:rFonts w:ascii="Times New Roman" w:hAnsi="Times New Roman"/>
          <w:color w:val="000000" w:themeColor="text1"/>
          <w:sz w:val="16"/>
          <w:szCs w:val="16"/>
        </w:rPr>
        <w:softHyphen/>
        <w:t>вы через Днепр и наступление с Лютежского плацдарма по</w:t>
      </w:r>
      <w:r w:rsidRPr="00271E51">
        <w:rPr>
          <w:rFonts w:ascii="Times New Roman" w:hAnsi="Times New Roman"/>
          <w:color w:val="000000" w:themeColor="text1"/>
          <w:sz w:val="16"/>
          <w:szCs w:val="16"/>
        </w:rPr>
        <w:softHyphen/>
        <w:t>казал, что для организации эффективного артиллерийского сопровождения в данных условиях были необходимы мо</w:t>
      </w:r>
      <w:r w:rsidRPr="00271E51">
        <w:rPr>
          <w:rFonts w:ascii="Times New Roman" w:hAnsi="Times New Roman"/>
          <w:color w:val="000000" w:themeColor="text1"/>
          <w:sz w:val="16"/>
          <w:szCs w:val="16"/>
        </w:rPr>
        <w:softHyphen/>
        <w:t>бильные артсистемы, способные вести огонь с закрытых по</w:t>
      </w:r>
      <w:r w:rsidRPr="00271E51">
        <w:rPr>
          <w:rFonts w:ascii="Times New Roman" w:hAnsi="Times New Roman"/>
          <w:color w:val="000000" w:themeColor="text1"/>
          <w:sz w:val="16"/>
          <w:szCs w:val="16"/>
        </w:rPr>
        <w:softHyphen/>
        <w:t>зиций, равно как и командно-наблюдательные машины к ним. И в планах ГАУ и НКВ на 1-е полугодие 1944 г. появил</w:t>
      </w:r>
      <w:r w:rsidRPr="00271E51">
        <w:rPr>
          <w:rFonts w:ascii="Times New Roman" w:hAnsi="Times New Roman"/>
          <w:color w:val="000000" w:themeColor="text1"/>
          <w:sz w:val="16"/>
          <w:szCs w:val="16"/>
        </w:rPr>
        <w:softHyphen/>
        <w:t>ся пункт исследовательских работ в данном направлении. Далее, несмотря на то, что потребности в самоходной противотанковой артиллерии для РККА в первом прибли</w:t>
      </w:r>
      <w:r w:rsidRPr="00271E51">
        <w:rPr>
          <w:rFonts w:ascii="Times New Roman" w:hAnsi="Times New Roman"/>
          <w:color w:val="000000" w:themeColor="text1"/>
          <w:sz w:val="16"/>
          <w:szCs w:val="16"/>
        </w:rPr>
        <w:softHyphen/>
        <w:t>жении были разрешены, все же довольно остро стоял вопрос об увеличении дистанции эффективной стрельбы по враже</w:t>
      </w:r>
      <w:r w:rsidRPr="00271E51">
        <w:rPr>
          <w:rFonts w:ascii="Times New Roman" w:hAnsi="Times New Roman"/>
          <w:color w:val="000000" w:themeColor="text1"/>
          <w:sz w:val="16"/>
          <w:szCs w:val="16"/>
        </w:rPr>
        <w:softHyphen/>
        <w:t>ским танкам. А поскольку командование БТВ часто исполь</w:t>
      </w:r>
      <w:r w:rsidRPr="00271E51">
        <w:rPr>
          <w:rFonts w:ascii="Times New Roman" w:hAnsi="Times New Roman"/>
          <w:color w:val="000000" w:themeColor="text1"/>
          <w:sz w:val="16"/>
          <w:szCs w:val="16"/>
        </w:rPr>
        <w:softHyphen/>
        <w:t>зовало противотанковые САУ в качестве танков, в начале 1944 г. встал вопрос усиления бронирования СУ-85 до уров</w:t>
      </w:r>
      <w:r w:rsidRPr="00271E51">
        <w:rPr>
          <w:rFonts w:ascii="Times New Roman" w:hAnsi="Times New Roman"/>
          <w:color w:val="000000" w:themeColor="text1"/>
          <w:sz w:val="16"/>
          <w:szCs w:val="16"/>
        </w:rPr>
        <w:softHyphen/>
        <w:t>ня, способного противостоять 75-мм танковой, штурмовой и противотанковой пушкам К</w:t>
      </w:r>
      <w:r w:rsidRPr="00271E51">
        <w:rPr>
          <w:rFonts w:ascii="Times New Roman" w:hAnsi="Times New Roman"/>
          <w:color w:val="000000" w:themeColor="text1"/>
          <w:sz w:val="16"/>
          <w:szCs w:val="16"/>
          <w:lang w:val="en-US"/>
        </w:rPr>
        <w:t>w</w:t>
      </w:r>
      <w:r w:rsidRPr="00271E51">
        <w:rPr>
          <w:rFonts w:ascii="Times New Roman" w:hAnsi="Times New Roman"/>
          <w:color w:val="000000" w:themeColor="text1"/>
          <w:sz w:val="16"/>
          <w:szCs w:val="16"/>
        </w:rPr>
        <w:t xml:space="preserve">К 40, </w:t>
      </w:r>
      <w:r w:rsidRPr="00271E51">
        <w:rPr>
          <w:rFonts w:ascii="Times New Roman" w:hAnsi="Times New Roman"/>
          <w:color w:val="000000" w:themeColor="text1"/>
          <w:sz w:val="16"/>
          <w:szCs w:val="16"/>
          <w:lang w:val="en-US"/>
        </w:rPr>
        <w:t>StuK</w:t>
      </w:r>
      <w:r w:rsidRPr="00271E51">
        <w:rPr>
          <w:rFonts w:ascii="Times New Roman" w:hAnsi="Times New Roman"/>
          <w:color w:val="000000" w:themeColor="text1"/>
          <w:sz w:val="16"/>
          <w:szCs w:val="16"/>
        </w:rPr>
        <w:t xml:space="preserve"> 40 и РаК 40. В плане защиты БТВ от вражеских самолетов на 4-й квартал 1943 г. и 1-й квартал 1944 г. были прописаны планы создания 37-мм и 25-мм зенитных самоходных установок на шасси Т-70 (СУ-76) и Т-34 с башней Савина (11417).</w:t>
      </w:r>
    </w:p>
    <w:p w14:paraId="53B2ECA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2D29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велись множественные доработ</w:t>
      </w:r>
      <w:r w:rsidRPr="00271E51">
        <w:rPr>
          <w:rFonts w:ascii="Times New Roman" w:hAnsi="Times New Roman"/>
          <w:color w:val="000000" w:themeColor="text1"/>
          <w:sz w:val="16"/>
          <w:szCs w:val="16"/>
        </w:rPr>
        <w:softHyphen/>
        <w:t>ки конструкции машины, направленные на улучшение ее ра</w:t>
      </w:r>
      <w:r w:rsidRPr="00271E51">
        <w:rPr>
          <w:rFonts w:ascii="Times New Roman" w:hAnsi="Times New Roman"/>
          <w:color w:val="000000" w:themeColor="text1"/>
          <w:sz w:val="16"/>
          <w:szCs w:val="16"/>
        </w:rPr>
        <w:softHyphen/>
        <w:t>ботоспособности, упрощение трудоемкости изготовления, снижения цены. В частности, были доработаны системы пи</w:t>
      </w:r>
      <w:r w:rsidRPr="00271E51">
        <w:rPr>
          <w:rFonts w:ascii="Times New Roman" w:hAnsi="Times New Roman"/>
          <w:color w:val="000000" w:themeColor="text1"/>
          <w:sz w:val="16"/>
          <w:szCs w:val="16"/>
        </w:rPr>
        <w:softHyphen/>
        <w:t>тания и охлаждения двигателя, немного изменена компонов</w:t>
      </w:r>
      <w:r w:rsidRPr="00271E51">
        <w:rPr>
          <w:rFonts w:ascii="Times New Roman" w:hAnsi="Times New Roman"/>
          <w:color w:val="000000" w:themeColor="text1"/>
          <w:sz w:val="16"/>
          <w:szCs w:val="16"/>
        </w:rPr>
        <w:softHyphen/>
        <w:t>ка боевого отделения, увеличен объем топливного бака, уве</w:t>
      </w:r>
      <w:r w:rsidRPr="00271E51">
        <w:rPr>
          <w:rFonts w:ascii="Times New Roman" w:hAnsi="Times New Roman"/>
          <w:color w:val="000000" w:themeColor="text1"/>
          <w:sz w:val="16"/>
          <w:szCs w:val="16"/>
        </w:rPr>
        <w:softHyphen/>
        <w:t>личен возимый боекомплект. Такая доработанная машина получила войсковой индекс СУ-76М и была принята на во</w:t>
      </w:r>
      <w:r w:rsidRPr="00271E51">
        <w:rPr>
          <w:rFonts w:ascii="Times New Roman" w:hAnsi="Times New Roman"/>
          <w:color w:val="000000" w:themeColor="text1"/>
          <w:sz w:val="16"/>
          <w:szCs w:val="16"/>
        </w:rPr>
        <w:softHyphen/>
        <w:t>оружение еще до завершения приемочных испытаний.</w:t>
      </w:r>
    </w:p>
    <w:p w14:paraId="6997DFA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Новая модификация оказалась проще предшествующей, что позволило примерно на четверть поднять удельный вы</w:t>
      </w:r>
      <w:r w:rsidRPr="00271E51">
        <w:rPr>
          <w:rFonts w:ascii="Times New Roman" w:hAnsi="Times New Roman"/>
          <w:color w:val="000000" w:themeColor="text1"/>
          <w:sz w:val="16"/>
          <w:szCs w:val="16"/>
        </w:rPr>
        <w:softHyphen/>
        <w:t>пуск легких САУ. Машины шли на оснащение не только лег</w:t>
      </w:r>
      <w:r w:rsidRPr="00271E51">
        <w:rPr>
          <w:rFonts w:ascii="Times New Roman" w:hAnsi="Times New Roman"/>
          <w:color w:val="000000" w:themeColor="text1"/>
          <w:sz w:val="16"/>
          <w:szCs w:val="16"/>
        </w:rPr>
        <w:softHyphen/>
        <w:t>ких САП, но также истребительно-противотанковых подраз</w:t>
      </w:r>
      <w:r w:rsidRPr="00271E51">
        <w:rPr>
          <w:rFonts w:ascii="Times New Roman" w:hAnsi="Times New Roman"/>
          <w:color w:val="000000" w:themeColor="text1"/>
          <w:sz w:val="16"/>
          <w:szCs w:val="16"/>
        </w:rPr>
        <w:softHyphen/>
        <w:t>делений и частей. В эксплуатации они были очень неприхот</w:t>
      </w:r>
      <w:r w:rsidRPr="00271E51">
        <w:rPr>
          <w:rFonts w:ascii="Times New Roman" w:hAnsi="Times New Roman"/>
          <w:color w:val="000000" w:themeColor="text1"/>
          <w:sz w:val="16"/>
          <w:szCs w:val="16"/>
        </w:rPr>
        <w:softHyphen/>
        <w:t>ливы, просты в освоении личным составом, подвижны и ма-невренны во время маршей. Несмотря на то, что максималь</w:t>
      </w:r>
      <w:r w:rsidRPr="00271E51">
        <w:rPr>
          <w:rFonts w:ascii="Times New Roman" w:hAnsi="Times New Roman"/>
          <w:color w:val="000000" w:themeColor="text1"/>
          <w:sz w:val="16"/>
          <w:szCs w:val="16"/>
        </w:rPr>
        <w:softHyphen/>
        <w:t>ная скорость СУ-76М была ниже, чем у Т-34, благодаря бо</w:t>
      </w:r>
      <w:r w:rsidRPr="00271E51">
        <w:rPr>
          <w:rFonts w:ascii="Times New Roman" w:hAnsi="Times New Roman"/>
          <w:color w:val="000000" w:themeColor="text1"/>
          <w:sz w:val="16"/>
          <w:szCs w:val="16"/>
        </w:rPr>
        <w:softHyphen/>
        <w:t>лее удачному распределению передач подвижность полков СУ-76 была выше, чем большинства иных танков и САУ.</w:t>
      </w:r>
    </w:p>
    <w:p w14:paraId="026CA7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то, что разрабатывались СУ-76 и СУ-76М как самоходные дивизионные орудия поддержки, исполь</w:t>
      </w:r>
      <w:r w:rsidRPr="00271E51">
        <w:rPr>
          <w:rFonts w:ascii="Times New Roman" w:hAnsi="Times New Roman"/>
          <w:color w:val="000000" w:themeColor="text1"/>
          <w:sz w:val="16"/>
          <w:szCs w:val="16"/>
        </w:rPr>
        <w:softHyphen/>
        <w:t>зовались они, особенно первое время, преимущественно, как танки без башни. Большинство командиров танковых соединений, получив для поддержки САПы, не имели представления о тактике использования самоходных орудий и часто посылали эти части на убой. СУ-76 проводили фронтальные атаки немецких укреплений, броней при</w:t>
      </w:r>
      <w:r w:rsidRPr="00271E51">
        <w:rPr>
          <w:rFonts w:ascii="Times New Roman" w:hAnsi="Times New Roman"/>
          <w:color w:val="000000" w:themeColor="text1"/>
          <w:sz w:val="16"/>
          <w:szCs w:val="16"/>
        </w:rPr>
        <w:softHyphen/>
        <w:t>крывая атакующую пехоту, использовались и для противо</w:t>
      </w:r>
      <w:r w:rsidRPr="00271E51">
        <w:rPr>
          <w:rFonts w:ascii="Times New Roman" w:hAnsi="Times New Roman"/>
          <w:color w:val="000000" w:themeColor="text1"/>
          <w:sz w:val="16"/>
          <w:szCs w:val="16"/>
        </w:rPr>
        <w:softHyphen/>
        <w:t>танковой обороны на совершенно неприспособленных участках, контратаковали немецкие танки (!) и т.д.</w:t>
      </w:r>
    </w:p>
    <w:p w14:paraId="1D4F52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Малограмотная тактика применения САП вызывала негативное отношение к машине и у воевавших на ней. На языке солдат за СУ-76М закрепились весьма нелестные прозвища: «сучка», «пукалка», «старая девка», «братская могила», «голозадый Фердинанд» и т.п. Многие танкисты не любили свои боевые машины, мечтая пересесть куда-нибудь, где броня покрепче, но и пересаживаясь на СУ-85, не чувствовали облегчения.</w:t>
      </w:r>
    </w:p>
    <w:p w14:paraId="071C54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Автор беседовал с многими ветеранами и в очередной раз убедился, что все, ругавшие СУ-76, были танкистами, мало воевавшими в ней или подбитыми в первых боях и пере</w:t>
      </w:r>
      <w:r w:rsidRPr="00271E51">
        <w:rPr>
          <w:rFonts w:ascii="Times New Roman" w:hAnsi="Times New Roman"/>
          <w:color w:val="000000" w:themeColor="text1"/>
          <w:sz w:val="16"/>
          <w:szCs w:val="16"/>
        </w:rPr>
        <w:softHyphen/>
        <w:t>севшими на другие боевые машины. Их критика отличалась некоей огульностью. «Машина — дерьмо!»— говорили они и переводили разговор на другие темы. А из конкретики приводили тривиальные доводы: броня тонкая, крыши нет, питается бензином, пушка слабая. И все!</w:t>
      </w:r>
    </w:p>
    <w:p w14:paraId="64E9B5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те, кто имел честь длительное время воевать на СУ-76 (особенно механики-водители), неизменно отзыва</w:t>
      </w:r>
      <w:r w:rsidRPr="00271E51">
        <w:rPr>
          <w:rFonts w:ascii="Times New Roman" w:hAnsi="Times New Roman"/>
          <w:color w:val="000000" w:themeColor="text1"/>
          <w:sz w:val="16"/>
          <w:szCs w:val="16"/>
        </w:rPr>
        <w:softHyphen/>
        <w:t>лись о своей машине положительно. И клички машине дава</w:t>
      </w:r>
      <w:r w:rsidRPr="00271E51">
        <w:rPr>
          <w:rFonts w:ascii="Times New Roman" w:hAnsi="Times New Roman"/>
          <w:color w:val="000000" w:themeColor="text1"/>
          <w:sz w:val="16"/>
          <w:szCs w:val="16"/>
        </w:rPr>
        <w:softHyphen/>
        <w:t>ли ласковые: «Ласточка», «Сухарик», «Снежинка», «Колом</w:t>
      </w:r>
      <w:r w:rsidRPr="00271E51">
        <w:rPr>
          <w:rFonts w:ascii="Times New Roman" w:hAnsi="Times New Roman"/>
          <w:color w:val="000000" w:themeColor="text1"/>
          <w:sz w:val="16"/>
          <w:szCs w:val="16"/>
        </w:rPr>
        <w:softHyphen/>
        <w:t>бина», и даже «Суворочка». Это не считая массы женских имен, которыми нарекали свои боевые машины их коман</w:t>
      </w:r>
      <w:r w:rsidRPr="00271E51">
        <w:rPr>
          <w:rFonts w:ascii="Times New Roman" w:hAnsi="Times New Roman"/>
          <w:color w:val="000000" w:themeColor="text1"/>
          <w:sz w:val="16"/>
          <w:szCs w:val="16"/>
        </w:rPr>
        <w:softHyphen/>
        <w:t>диры и механики-водители во все времена.</w:t>
      </w:r>
    </w:p>
    <w:p w14:paraId="74D7BB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вот их аргументация в защиту СУ-76М выглядит куда. более убедительной. Во-первых, условия обитаемости экипа</w:t>
      </w:r>
      <w:r w:rsidRPr="00271E51">
        <w:rPr>
          <w:rFonts w:ascii="Times New Roman" w:hAnsi="Times New Roman"/>
          <w:color w:val="000000" w:themeColor="text1"/>
          <w:sz w:val="16"/>
          <w:szCs w:val="16"/>
        </w:rPr>
        <w:softHyphen/>
        <w:t>жа. Отсутствие крыши они не считали недостатком. Ведь в закрытой рубке и в башне танка вентилятор не справлялся с очисткой воздуха и потому вести интенсивную стрельбу бы</w:t>
      </w:r>
      <w:r w:rsidRPr="00271E51">
        <w:rPr>
          <w:rFonts w:ascii="Times New Roman" w:hAnsi="Times New Roman"/>
          <w:color w:val="000000" w:themeColor="text1"/>
          <w:sz w:val="16"/>
          <w:szCs w:val="16"/>
        </w:rPr>
        <w:softHyphen/>
        <w:t>ло невозможно (особенно ярко это проявилось на Курской дуге в САПах, оснащенных СУ-76(и) и СУ-76М (СУ-12М), имевшими крышу. Тогда как в СУ-76М стрельба ничем не от</w:t>
      </w:r>
      <w:r w:rsidRPr="00271E51">
        <w:rPr>
          <w:rFonts w:ascii="Times New Roman" w:hAnsi="Times New Roman"/>
          <w:color w:val="000000" w:themeColor="text1"/>
          <w:sz w:val="16"/>
          <w:szCs w:val="16"/>
        </w:rPr>
        <w:softHyphen/>
        <w:t>личалась от ведения огня из полевого орудия, да к тому же расчет прикрыт с бортов и частично со спины от пуль и ос</w:t>
      </w:r>
      <w:r w:rsidRPr="00271E51">
        <w:rPr>
          <w:rFonts w:ascii="Times New Roman" w:hAnsi="Times New Roman"/>
          <w:color w:val="000000" w:themeColor="text1"/>
          <w:sz w:val="16"/>
          <w:szCs w:val="16"/>
        </w:rPr>
        <w:softHyphen/>
        <w:t>колков. В случае загорания машины экипаж чаще всего успевал выпрыгнуть из боевого отделения (и это несмотря на то, что САУ питалась бензином). Если при загорании СУ-85 из нее спасались в лучшем случае двое, то в СУ-76М иногда по</w:t>
      </w:r>
      <w:r w:rsidRPr="00271E51">
        <w:rPr>
          <w:rFonts w:ascii="Times New Roman" w:hAnsi="Times New Roman"/>
          <w:color w:val="000000" w:themeColor="text1"/>
          <w:sz w:val="16"/>
          <w:szCs w:val="16"/>
        </w:rPr>
        <w:softHyphen/>
        <w:t>гибал только водитель, а чаще спасались все. Далее — у СУ-85, да и у Т-34, имелась довольно обширная «мертвая зона», непросматриваемая даже из башенки, а здесь было видно все. Во-вторых, управлять машиной было не в пример легче, чем Т-34, где до середины 1943 г. (а фактически — до осени 1944 г.) переключить передачу в движении мог только водитель недюжинной силы. Да и ход СУ-76М был очень плавным и тихим. Т-34 издавал в движении такой лязг и гул, что предупреждал о своем появлении за несколько сотен ме</w:t>
      </w:r>
      <w:r w:rsidRPr="00271E51">
        <w:rPr>
          <w:rFonts w:ascii="Times New Roman" w:hAnsi="Times New Roman"/>
          <w:color w:val="000000" w:themeColor="text1"/>
          <w:sz w:val="16"/>
          <w:szCs w:val="16"/>
        </w:rPr>
        <w:softHyphen/>
        <w:t>тров, а СУ-76М могла внезапно выскочить из-за поворота, произвести выстрел и скрыться незамеченной. Ведь в движе</w:t>
      </w:r>
      <w:r w:rsidRPr="00271E51">
        <w:rPr>
          <w:rFonts w:ascii="Times New Roman" w:hAnsi="Times New Roman"/>
          <w:color w:val="000000" w:themeColor="text1"/>
          <w:sz w:val="16"/>
          <w:szCs w:val="16"/>
        </w:rPr>
        <w:softHyphen/>
        <w:t>нии она была не громче грузового автомобиля. Была эта ма</w:t>
      </w:r>
      <w:r w:rsidRPr="00271E51">
        <w:rPr>
          <w:rFonts w:ascii="Times New Roman" w:hAnsi="Times New Roman"/>
          <w:color w:val="000000" w:themeColor="text1"/>
          <w:sz w:val="16"/>
          <w:szCs w:val="16"/>
        </w:rPr>
        <w:softHyphen/>
        <w:t>шина хорошей и по проходимости, так как имела маленькое удельное давление на грунт, а уж о надежности и говорить не приходится. Моторный агрегат ГАЗ-203 порой свободно «на</w:t>
      </w:r>
      <w:r w:rsidRPr="00271E51">
        <w:rPr>
          <w:rFonts w:ascii="Times New Roman" w:hAnsi="Times New Roman"/>
          <w:color w:val="000000" w:themeColor="text1"/>
          <w:sz w:val="16"/>
          <w:szCs w:val="16"/>
        </w:rPr>
        <w:softHyphen/>
        <w:t>рабатывал» 350 моточасов и более и при этом часто не требо</w:t>
      </w:r>
      <w:r w:rsidRPr="00271E51">
        <w:rPr>
          <w:rFonts w:ascii="Times New Roman" w:hAnsi="Times New Roman"/>
          <w:color w:val="000000" w:themeColor="text1"/>
          <w:sz w:val="16"/>
          <w:szCs w:val="16"/>
        </w:rPr>
        <w:softHyphen/>
        <w:t xml:space="preserve">вал </w:t>
      </w:r>
      <w:r w:rsidRPr="00271E51">
        <w:rPr>
          <w:rFonts w:ascii="Times New Roman" w:hAnsi="Times New Roman"/>
          <w:color w:val="000000" w:themeColor="text1"/>
          <w:sz w:val="16"/>
          <w:szCs w:val="16"/>
        </w:rPr>
        <w:lastRenderedPageBreak/>
        <w:t>ремонта, а В-2 чаще всего с трудом преодолевал 150 моточасов. Трансмиссия СУ-76М работала в менее нагружен</w:t>
      </w:r>
      <w:r w:rsidRPr="00271E51">
        <w:rPr>
          <w:rFonts w:ascii="Times New Roman" w:hAnsi="Times New Roman"/>
          <w:color w:val="000000" w:themeColor="text1"/>
          <w:sz w:val="16"/>
          <w:szCs w:val="16"/>
        </w:rPr>
        <w:softHyphen/>
        <w:t>ном режиме, чем трансмиссия Т-34 и КВ, и потому тоже от</w:t>
      </w:r>
      <w:r w:rsidRPr="00271E51">
        <w:rPr>
          <w:rFonts w:ascii="Times New Roman" w:hAnsi="Times New Roman"/>
          <w:color w:val="000000" w:themeColor="text1"/>
          <w:sz w:val="16"/>
          <w:szCs w:val="16"/>
        </w:rPr>
        <w:softHyphen/>
        <w:t>личалась хорошей надежностью.</w:t>
      </w:r>
    </w:p>
    <w:p w14:paraId="134DE7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главное преимущество «сучки» было в том, что она позволяла решать практически все задачи, которые только можно было придумать для дивизионной пушки, обладая при этом более устойчивой базой. В умелых руках СУ-76М на Днепре, под Кенигсбергом, в Берлине и на Карельском пере</w:t>
      </w:r>
      <w:r w:rsidRPr="00271E51">
        <w:rPr>
          <w:rFonts w:ascii="Times New Roman" w:hAnsi="Times New Roman"/>
          <w:color w:val="000000" w:themeColor="text1"/>
          <w:sz w:val="16"/>
          <w:szCs w:val="16"/>
        </w:rPr>
        <w:softHyphen/>
        <w:t>шейке двумя-тремя выстрелами прямой наводкой попадали снарядом в амбразуру ДОТ и ДЗОТ. На «линии Кароля» в Ру</w:t>
      </w:r>
      <w:r w:rsidRPr="00271E51">
        <w:rPr>
          <w:rFonts w:ascii="Times New Roman" w:hAnsi="Times New Roman"/>
          <w:color w:val="000000" w:themeColor="text1"/>
          <w:sz w:val="16"/>
          <w:szCs w:val="16"/>
        </w:rPr>
        <w:softHyphen/>
        <w:t>мынии СУ-76 проявили себя как прекрасные «кочующие ба</w:t>
      </w:r>
      <w:r w:rsidRPr="00271E51">
        <w:rPr>
          <w:rFonts w:ascii="Times New Roman" w:hAnsi="Times New Roman"/>
          <w:color w:val="000000" w:themeColor="text1"/>
          <w:sz w:val="16"/>
          <w:szCs w:val="16"/>
        </w:rPr>
        <w:softHyphen/>
        <w:t>тареи» для проведения артналетов и контрбатарейной борь</w:t>
      </w:r>
      <w:r w:rsidRPr="00271E51">
        <w:rPr>
          <w:rFonts w:ascii="Times New Roman" w:hAnsi="Times New Roman"/>
          <w:color w:val="000000" w:themeColor="text1"/>
          <w:sz w:val="16"/>
          <w:szCs w:val="16"/>
        </w:rPr>
        <w:softHyphen/>
        <w:t>бы, так как СУ-76 могла вести огонь даже с закрытых пози</w:t>
      </w:r>
      <w:r w:rsidRPr="00271E51">
        <w:rPr>
          <w:rFonts w:ascii="Times New Roman" w:hAnsi="Times New Roman"/>
          <w:color w:val="000000" w:themeColor="text1"/>
          <w:sz w:val="16"/>
          <w:szCs w:val="16"/>
        </w:rPr>
        <w:softHyphen/>
        <w:t>ций по установкам полевой артиллерии, причем командиры легких САУ имели в среднем лучшую артиллерийскую под</w:t>
      </w:r>
      <w:r w:rsidRPr="00271E51">
        <w:rPr>
          <w:rFonts w:ascii="Times New Roman" w:hAnsi="Times New Roman"/>
          <w:color w:val="000000" w:themeColor="text1"/>
          <w:sz w:val="16"/>
          <w:szCs w:val="16"/>
        </w:rPr>
        <w:softHyphen/>
        <w:t>готовку, чем командиры СУ-85, которых учили «по-танково</w:t>
      </w:r>
      <w:r w:rsidRPr="00271E51">
        <w:rPr>
          <w:rFonts w:ascii="Times New Roman" w:hAnsi="Times New Roman"/>
          <w:color w:val="000000" w:themeColor="text1"/>
          <w:sz w:val="16"/>
          <w:szCs w:val="16"/>
        </w:rPr>
        <w:softHyphen/>
        <w:t>му». В Венгрии, за Тиссой СУ-76М прикрывали плацдарм от яростных атак мадьярской пехоты и конницы, ведя губитель</w:t>
      </w:r>
      <w:r w:rsidRPr="00271E51">
        <w:rPr>
          <w:rFonts w:ascii="Times New Roman" w:hAnsi="Times New Roman"/>
          <w:color w:val="000000" w:themeColor="text1"/>
          <w:sz w:val="16"/>
          <w:szCs w:val="16"/>
        </w:rPr>
        <w:softHyphen/>
        <w:t>ный огонь шрапнелями, поставленными «на картечь». А уж в навыке сбивать немецкие пулеметы, обстреле живой силы и т.д. равных ей не было (11417).</w:t>
      </w:r>
    </w:p>
    <w:p w14:paraId="2EBE61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A84F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из танковых частей и соединений, для усиления которых придавались САП, оснащенные СУ-76, на</w:t>
      </w:r>
      <w:r w:rsidRPr="00271E51">
        <w:rPr>
          <w:rFonts w:ascii="Times New Roman" w:hAnsi="Times New Roman"/>
          <w:color w:val="000000" w:themeColor="text1"/>
          <w:sz w:val="16"/>
          <w:szCs w:val="16"/>
        </w:rPr>
        <w:softHyphen/>
        <w:t>чали раздаваться критические замечания, что указанные артустановки ничем не отличаются от танковых и потому, дес</w:t>
      </w:r>
      <w:r w:rsidRPr="00271E51">
        <w:rPr>
          <w:rFonts w:ascii="Times New Roman" w:hAnsi="Times New Roman"/>
          <w:color w:val="000000" w:themeColor="text1"/>
          <w:sz w:val="16"/>
          <w:szCs w:val="16"/>
        </w:rPr>
        <w:softHyphen/>
        <w:t>кать, бесполезны. «Управление самоходной артиллерии Красной Армии проводило большую работу по разъяснению назначения и особенностей применения САУ, но до танкистов все это доходи</w:t>
      </w:r>
      <w:r w:rsidRPr="00271E51">
        <w:rPr>
          <w:rFonts w:ascii="Times New Roman" w:hAnsi="Times New Roman"/>
          <w:color w:val="000000" w:themeColor="text1"/>
          <w:sz w:val="16"/>
          <w:szCs w:val="16"/>
        </w:rPr>
        <w:softHyphen/>
        <w:t>ло очень медленно», - говорил Л.И. Горлицкий. Кроме того, хо</w:t>
      </w:r>
      <w:r w:rsidRPr="00271E51">
        <w:rPr>
          <w:rFonts w:ascii="Times New Roman" w:hAnsi="Times New Roman"/>
          <w:color w:val="000000" w:themeColor="text1"/>
          <w:sz w:val="16"/>
          <w:szCs w:val="16"/>
        </w:rPr>
        <w:softHyphen/>
        <w:t>телось усилить мощь артиллерии поддержки. Поэтому в кон</w:t>
      </w:r>
      <w:r w:rsidRPr="00271E51">
        <w:rPr>
          <w:rFonts w:ascii="Times New Roman" w:hAnsi="Times New Roman"/>
          <w:color w:val="000000" w:themeColor="text1"/>
          <w:sz w:val="16"/>
          <w:szCs w:val="16"/>
        </w:rPr>
        <w:softHyphen/>
        <w:t>це 1943 г. БТУ ГБТУ выдвинуло требования по усилению во</w:t>
      </w:r>
      <w:r w:rsidRPr="00271E51">
        <w:rPr>
          <w:rFonts w:ascii="Times New Roman" w:hAnsi="Times New Roman"/>
          <w:color w:val="000000" w:themeColor="text1"/>
          <w:sz w:val="16"/>
          <w:szCs w:val="16"/>
        </w:rPr>
        <w:softHyphen/>
        <w:t>оружения легких САУ как с точки зрения бронепробиваемос-ти, так и осколочного действия. Весной 1944 г. прошел поли</w:t>
      </w:r>
      <w:r w:rsidRPr="00271E51">
        <w:rPr>
          <w:rFonts w:ascii="Times New Roman" w:hAnsi="Times New Roman"/>
          <w:color w:val="000000" w:themeColor="text1"/>
          <w:sz w:val="16"/>
          <w:szCs w:val="16"/>
        </w:rPr>
        <w:softHyphen/>
        <w:t>гонные испытания доработанный образец СУ-57А. Он вновь предлагался для оснащения легких САП в качестве истреби</w:t>
      </w:r>
      <w:r w:rsidRPr="00271E51">
        <w:rPr>
          <w:rFonts w:ascii="Times New Roman" w:hAnsi="Times New Roman"/>
          <w:color w:val="000000" w:themeColor="text1"/>
          <w:sz w:val="16"/>
          <w:szCs w:val="16"/>
        </w:rPr>
        <w:softHyphen/>
        <w:t>теля танков из расчета 1 батарея на полк. Но такое «разбавле</w:t>
      </w:r>
      <w:r w:rsidRPr="00271E51">
        <w:rPr>
          <w:rFonts w:ascii="Times New Roman" w:hAnsi="Times New Roman"/>
          <w:color w:val="000000" w:themeColor="text1"/>
          <w:sz w:val="16"/>
          <w:szCs w:val="16"/>
        </w:rPr>
        <w:softHyphen/>
        <w:t>ние» ослабляло огневую мощь полка, поэтому СУ-57А была вновь отвергнута, и на этот раз окончательно (11417).</w:t>
      </w:r>
    </w:p>
    <w:p w14:paraId="4BFD8F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18F52" w14:textId="77777777" w:rsidR="009A5E05" w:rsidRPr="00271E51" w:rsidRDefault="009A5E05"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на ГАЗ велись множественные доработки конструкции СУ-76, направленные на улучшение ее работоспособности, упрощение трудоемкости изготовления, снижения цены. В частности, были доработаны системы питания и охлаждения двигателя, немного изменена компоновка боевого отделения, увеличен объем топливного бака, увеличен возимый боекомплект. Такая доработанная машина получила войсковой индекс СУ-76М и была принята на вооружение еще до завершения войсковых испытаний. Новая модификация оказалась проще предшествующей, что позволило примерно на четверть поднять удельный выпуск легких САУ. Машины шли на оснащение не только легких самоходно-артиллерийских полков (САП), но также истребительно-противотанковых подразделений и частей. В эксплуатации они были очень неприхотливы, просты в освоении личным составом, подвижны и маневренны во время маршей. Несмотря на то, что максимальная скорость СУ-76М была ниже, чем у Т-34, благодаря более удачному распределению передач подвижность полков СУ-76 была выше, чем большинства иных танков и САУ (15218).</w:t>
      </w:r>
    </w:p>
    <w:p w14:paraId="5A64284F" w14:textId="77777777" w:rsidR="009A5E05" w:rsidRPr="00271E51" w:rsidRDefault="009A5E05" w:rsidP="00271E51">
      <w:pPr>
        <w:widowControl w:val="0"/>
        <w:spacing w:after="0" w:line="240" w:lineRule="auto"/>
        <w:jc w:val="both"/>
        <w:rPr>
          <w:rFonts w:ascii="Times New Roman" w:hAnsi="Times New Roman"/>
          <w:color w:val="000000" w:themeColor="text1"/>
          <w:sz w:val="16"/>
          <w:szCs w:val="16"/>
        </w:rPr>
      </w:pPr>
    </w:p>
    <w:p w14:paraId="4F6B51A3" w14:textId="77777777" w:rsidR="009A5E05" w:rsidRPr="00271E51" w:rsidRDefault="009A5E05" w:rsidP="00271E51">
      <w:pPr>
        <w:widowControl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года применение самоходно-артиллерийских орудий типа СУ-76 в Красной Армии становится массовым. Основной штатной единицей использования этих САУ являлся легкий самоходно-артиллерийский полк (ЛСАП), хотя на фронтах стали появляться и первые самоходно-артиллерийские бригады (сабр) (15218).</w:t>
      </w:r>
    </w:p>
    <w:p w14:paraId="6327CC7B" w14:textId="77777777" w:rsidR="009A5E05" w:rsidRPr="00271E51" w:rsidRDefault="009A5E05" w:rsidP="00271E51">
      <w:pPr>
        <w:widowControl w:val="0"/>
        <w:spacing w:after="0" w:line="240" w:lineRule="auto"/>
        <w:jc w:val="both"/>
        <w:rPr>
          <w:rFonts w:ascii="Times New Roman" w:hAnsi="Times New Roman"/>
          <w:color w:val="000000" w:themeColor="text1"/>
          <w:sz w:val="16"/>
          <w:szCs w:val="16"/>
        </w:rPr>
      </w:pPr>
    </w:p>
    <w:p w14:paraId="08DC64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КБ ГАЗ под руководством Н.А. Астрова предложило проект легкой 85-мм САУ конструкции И.В. Гавалова. Эта машина представляла собой вариант СУ-76М с немного удлиненным корпусом и модернизированным дви</w:t>
      </w:r>
      <w:r w:rsidRPr="00271E51">
        <w:rPr>
          <w:rFonts w:ascii="Times New Roman" w:hAnsi="Times New Roman"/>
          <w:color w:val="000000" w:themeColor="text1"/>
          <w:sz w:val="16"/>
          <w:szCs w:val="16"/>
        </w:rPr>
        <w:softHyphen/>
        <w:t>гательным агрегатом ГАЗ-80 (ГАЗ-203Ф), которая вооружа</w:t>
      </w:r>
      <w:r w:rsidRPr="00271E51">
        <w:rPr>
          <w:rFonts w:ascii="Times New Roman" w:hAnsi="Times New Roman"/>
          <w:color w:val="000000" w:themeColor="text1"/>
          <w:sz w:val="16"/>
          <w:szCs w:val="16"/>
        </w:rPr>
        <w:softHyphen/>
        <w:t>лась либо 85-мм пушкой Д-5С (вариант СУ-15А-85-1), либо С-53С (СУ-15А-85-2). Но орудие С-53С не было доведено в срок, и потому до испытаний дошел только вариант, воору</w:t>
      </w:r>
      <w:r w:rsidRPr="00271E51">
        <w:rPr>
          <w:rFonts w:ascii="Times New Roman" w:hAnsi="Times New Roman"/>
          <w:color w:val="000000" w:themeColor="text1"/>
          <w:sz w:val="16"/>
          <w:szCs w:val="16"/>
        </w:rPr>
        <w:softHyphen/>
        <w:t>женный 85-мм пушкой Д-5С-85 конструкции завода № 9.</w:t>
      </w:r>
    </w:p>
    <w:p w14:paraId="0A0C1A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испытания стрельбой в марте, мае и сентябре 1944 г. показали, что реакция отдачи на шасси чрезмерна. Машина испытывает значительное раскачивание корпуса, затрудняющее прицеливание при ведении огня по движу</w:t>
      </w:r>
      <w:r w:rsidRPr="00271E51">
        <w:rPr>
          <w:rFonts w:ascii="Times New Roman" w:hAnsi="Times New Roman"/>
          <w:color w:val="000000" w:themeColor="text1"/>
          <w:sz w:val="16"/>
          <w:szCs w:val="16"/>
        </w:rPr>
        <w:softHyphen/>
        <w:t>щейся цели. Для уменьшения раскачивания требовалось снизить реакцию отдачи, по крайней мере, на треть.</w:t>
      </w:r>
    </w:p>
    <w:p w14:paraId="0D56D1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"Вскоре требования на такое орудие были выданы ОКБ завода № 92. Руководил работами по новому орудию А.Са</w:t>
      </w:r>
      <w:r w:rsidRPr="00271E51">
        <w:rPr>
          <w:rFonts w:ascii="Times New Roman" w:hAnsi="Times New Roman"/>
          <w:color w:val="000000" w:themeColor="text1"/>
          <w:sz w:val="16"/>
          <w:szCs w:val="16"/>
        </w:rPr>
        <w:softHyphen/>
        <w:t>вин. Причем для упрощения массового выпуска конструк</w:t>
      </w:r>
      <w:r w:rsidRPr="00271E51">
        <w:rPr>
          <w:rFonts w:ascii="Times New Roman" w:hAnsi="Times New Roman"/>
          <w:color w:val="000000" w:themeColor="text1"/>
          <w:sz w:val="16"/>
          <w:szCs w:val="16"/>
        </w:rPr>
        <w:softHyphen/>
        <w:t>торы заимствовали большую часть механизмов пушки от ЗИС-С-53, серийно производимой здесь для Т-34. В нояб</w:t>
      </w:r>
      <w:r w:rsidRPr="00271E51">
        <w:rPr>
          <w:rFonts w:ascii="Times New Roman" w:hAnsi="Times New Roman"/>
          <w:color w:val="000000" w:themeColor="text1"/>
          <w:sz w:val="16"/>
          <w:szCs w:val="16"/>
        </w:rPr>
        <w:softHyphen/>
        <w:t>ре 1944 г. пушка, получившая индекс ЛБ-2, была готова, но только в январе 1945 г. военные допустили ее для испыта</w:t>
      </w:r>
      <w:r w:rsidRPr="00271E51">
        <w:rPr>
          <w:rFonts w:ascii="Times New Roman" w:hAnsi="Times New Roman"/>
          <w:color w:val="000000" w:themeColor="text1"/>
          <w:sz w:val="16"/>
          <w:szCs w:val="16"/>
        </w:rPr>
        <w:softHyphen/>
        <w:t>ний. Она отличалась от С-53 немного облегченной конст</w:t>
      </w:r>
      <w:r w:rsidRPr="00271E51">
        <w:rPr>
          <w:rFonts w:ascii="Times New Roman" w:hAnsi="Times New Roman"/>
          <w:color w:val="000000" w:themeColor="text1"/>
          <w:sz w:val="16"/>
          <w:szCs w:val="16"/>
        </w:rPr>
        <w:softHyphen/>
        <w:t>рукцией и двухкамерным дульным тормозом (11417).</w:t>
      </w:r>
    </w:p>
    <w:p w14:paraId="56C232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152176" w14:textId="77777777" w:rsidR="00D91591" w:rsidRPr="00271E51" w:rsidRDefault="00D9159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под руководством Н.А. Астрова на ГАЗ им. Молотова была разработана и построена самоходная установка СУ-85 ГАЗ, имевшая также заводской индекс ГАЗ-75. Эта машина являлась развитием САУ ГАЗ-74,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которые проходили с 3 января по 8 марта 1944 года, в целом закончились успешно, но дорабатывать машину не стали.</w:t>
      </w:r>
    </w:p>
    <w:p w14:paraId="0CB1AFF8" w14:textId="77777777" w:rsidR="00D91591" w:rsidRPr="00271E51" w:rsidRDefault="00D9159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7B87990" w14:textId="77777777" w:rsidR="00D91591" w:rsidRPr="00271E51" w:rsidRDefault="00D91591" w:rsidP="00271E51">
      <w:pPr>
        <w:spacing w:after="0" w:line="240" w:lineRule="auto"/>
        <w:jc w:val="both"/>
        <w:rPr>
          <w:rFonts w:ascii="Times New Roman" w:hAnsi="Times New Roman"/>
          <w:color w:val="000000" w:themeColor="text1"/>
          <w:sz w:val="16"/>
          <w:szCs w:val="16"/>
        </w:rPr>
      </w:pPr>
    </w:p>
    <w:p w14:paraId="1B1C5332"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 конце 1943 года была предпринята Новая попытка применения зимних уширителей траков. К тому моменту лёгкие танки советская промышленность выпускать перестала, но зато производились Су-76 (на той же базе, что и Т-70Б). Несмотря на то, что машина получила более широкие траки, за счёт увеличения массы удельное давление на грунт выросло до 0,54 кг/см2. Да и удельная мощность по сравнении с Т-70/Т-70Б выше не стала. Одним словом, проблемы с преодолением глубокого снега оставались актуальными.</w:t>
      </w:r>
    </w:p>
    <w:p w14:paraId="28B05C63"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 случае с СУ-76М работами по созданию уширителей траков занялся коллектив конструкторского бюро завода №40 НКСМ (город Мытищи). Идея, которую там реализовали, во многом напоминала довоенные разработки завода №185. Вместо того чтобы делать полностью новый трак, на заводе №40 решили сделать съёмные уширители. Они представляли собой довольно простую конструкцию, состоявшую из 6 деталей, общая масса одного уширителя составляла 2,6 кг. Для установки уширителя снимались два пальца на траках, а вместо них ставилась «вилка». Самих же уширителей требовалось меньше, чем в случае с конструкцией завода №37 — 92 штуки на машину.</w:t>
      </w:r>
    </w:p>
    <w:p w14:paraId="10D516C9"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После установки уширителей ширина траков вырастала до 550 мм. Сама установка не являлась чрезвычайно тяжёлой задачей. По итогам испытаний на НИБТ Полигоне, проходивших в декабре 1943 года, в среднем на установку полного комплекта уширителей требовалось 25-30 человеко-часов. Примерно столько же требовалось на их снятие. Отмечалось, что монтаж и демонтаж не вызывают существенных неудобств. Впрочем, более важным параметром являлась надёжность работы, а также эффективность. В связи с этим СУ-76М, оснащённая уширителями, прошла программу испытаний на НИБТ Полигоне.</w:t>
      </w:r>
    </w:p>
    <w:p w14:paraId="59D7E82C"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Согласно утверждённой программе испытаний, машина проходила типовые 500 км, из них 50 км по асфальтовому шоссе, ещё 200 — по булыжному шоссе и 250 — по просёлку. Также в программу входили специспытания на прочность уширителей. Отдельно оговаривалось, что испытания проводятся с максимальной скоростью машины. Откровенно говоря, условия не самые правильные, учитывая то, что уширители предназначались, прежде всего, для преодоления сложных участков местности. Поэтому результаты испытаний оказались немного предсказуемыми.</w:t>
      </w:r>
    </w:p>
    <w:p w14:paraId="4AF2C0F1"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Прежде всего, требовалось проверить работу уширителей на заснеженной местности, поэтому первым делом машина направилась на просёлок. Условия были совсем не те, для которых предназначались данные уширители — толщина снежного покрова не превышала 100-150 мм. Судя по отчёту, проверки движения по глубокому снегу не проводилось вовсе, вместо этого машина ехала на максимальной скорости по просёлку. За 250 км пути со средней скоростью 15,5 км/ч разрушилось 8 уширителей. Специспытания же заключались в проезде по брёвнам (с очевидным результатом).</w:t>
      </w:r>
    </w:p>
    <w:p w14:paraId="5DE0B909"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r w:rsidRPr="00271E51">
        <w:rPr>
          <w:color w:val="000000" w:themeColor="text1"/>
          <w:sz w:val="16"/>
          <w:szCs w:val="16"/>
        </w:rPr>
        <w:t>Всего за время испытаний СУ-76М с уширителями преодолела 320 км. За это время вышло из строя 42 уширителя, из них 34 при езде по шоссе. По итогам испытаний уширители забраковали, но, откровенно говоря, сами испытания вызывают массу вопросов и откровенное недоумение. Почему-то вспоминается анекдот про суровых сибирских лесорубов и японскую бензопилу. Проверки работы уширителей на той местности, для которой их создавали, попросту не было — создаётся впечатление, что испытания прошли для галочки. Результат оказался всего лишь один — работу по уширителям траков для СУ-76М прекратили (19593).</w:t>
      </w:r>
    </w:p>
    <w:p w14:paraId="11278628" w14:textId="77777777" w:rsidR="00D96B98" w:rsidRPr="00271E51" w:rsidRDefault="00D96B98" w:rsidP="00271E51">
      <w:pPr>
        <w:pStyle w:val="ae"/>
        <w:shd w:val="clear" w:color="auto" w:fill="FFFFFF"/>
        <w:spacing w:before="0" w:after="0"/>
        <w:jc w:val="both"/>
        <w:textAlignment w:val="baseline"/>
        <w:rPr>
          <w:color w:val="000000" w:themeColor="text1"/>
          <w:sz w:val="16"/>
          <w:szCs w:val="16"/>
        </w:rPr>
      </w:pPr>
    </w:p>
    <w:p w14:paraId="345277FC"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задумались о создании специализированных боевых машин для нужд воздушно-десантных частей. Первая такая машина (ОСУ-76) появилась в 1944 году (18244).</w:t>
      </w:r>
    </w:p>
    <w:p w14:paraId="5AD1D503" w14:textId="77777777" w:rsidR="00D96B98" w:rsidRPr="00271E51" w:rsidRDefault="00D96B98" w:rsidP="00271E51">
      <w:pPr>
        <w:spacing w:after="0" w:line="240" w:lineRule="auto"/>
        <w:jc w:val="both"/>
        <w:rPr>
          <w:rFonts w:ascii="Times New Roman" w:hAnsi="Times New Roman"/>
          <w:color w:val="000000" w:themeColor="text1"/>
          <w:sz w:val="16"/>
          <w:szCs w:val="16"/>
        </w:rPr>
      </w:pPr>
    </w:p>
    <w:p w14:paraId="3EE5C575" w14:textId="77777777" w:rsidR="00D96B98" w:rsidRPr="00271E51" w:rsidRDefault="00D96B9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C конца 1943 года в Управление самоходной артиллерии Главного бронетанкового управления Красной армии (УСА ГБТУ КА) начали поступать жалобы на отсутствие крыши на СУ-12, что приводило к потерям от пуль и осколков снарядов, падающих сверху в боевое отделение. Одними только жалобами дело не ограничивалось (18172).</w:t>
      </w:r>
    </w:p>
    <w:p w14:paraId="0FD4EC87" w14:textId="77777777" w:rsidR="00D96B98" w:rsidRPr="00271E51" w:rsidRDefault="00D96B98" w:rsidP="00271E51">
      <w:pPr>
        <w:spacing w:after="0" w:line="240" w:lineRule="auto"/>
        <w:jc w:val="both"/>
        <w:rPr>
          <w:rFonts w:ascii="Times New Roman" w:hAnsi="Times New Roman"/>
          <w:color w:val="000000" w:themeColor="text1"/>
          <w:sz w:val="16"/>
          <w:szCs w:val="16"/>
        </w:rPr>
      </w:pPr>
    </w:p>
    <w:p w14:paraId="7682B4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Горьковским автозаводом были изготовлены еще три опытных образца бронеавтомобиля БА-64Е, которые в феврале - марте 1944 г. прошли войсковые испытания в 3-й Гвардейской танковой ар</w:t>
      </w:r>
      <w:r w:rsidRPr="00271E51">
        <w:rPr>
          <w:rFonts w:ascii="Times New Roman" w:hAnsi="Times New Roman"/>
          <w:color w:val="000000" w:themeColor="text1"/>
          <w:sz w:val="16"/>
          <w:szCs w:val="16"/>
        </w:rPr>
        <w:softHyphen/>
        <w:t>мии и 7-м Нежинском механизированном корпусе, по результатам кото</w:t>
      </w:r>
      <w:r w:rsidRPr="00271E51">
        <w:rPr>
          <w:rFonts w:ascii="Times New Roman" w:hAnsi="Times New Roman"/>
          <w:color w:val="000000" w:themeColor="text1"/>
          <w:sz w:val="16"/>
          <w:szCs w:val="16"/>
        </w:rPr>
        <w:softHyphen/>
        <w:t>рых машины получили отрицательное заключение (10703).</w:t>
      </w:r>
    </w:p>
    <w:p w14:paraId="0F4FF0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A3A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ГАЗ построил три бронетранспортера БА-64Е, которые были направлены на фронтовые испытания (два - в 3-ю Гв.ТА и один в 7-й МК). В обоих случаях была дана негативная оценка: тесно, неудобно, малоэффективно (3862).</w:t>
      </w:r>
    </w:p>
    <w:p w14:paraId="36F092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8E8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ГАЗ года отчитался о «перевыполнении» плана! Впрочем, о подобных «достижениях» в пропагандистских целях заявили и руководители других предприятий, пострадавших от налетов. Причем зачастую получилось так, что если до бомбежек графики производства хронически не выполнялись, то после них дела резко шли в гору. Фактически же план ГАЗа на 1943 г. по основным видам продукции составлял: 50 тыс. автомобилей, 6200 танков Т-70, 4800 броневиков БА-64 и др. Однако в годовом отчете завода говорилось, что он выпустил 18,8 тыс. автомашин, 3346 Т-70 и 1100 БА-64, т.е. в 1,5 – 4разаменыпе положенного. Причем и эти цифры подвергаются сомнению, т.к. руководство завода вынуждено было прибегать к припискам. Как же тогда удалось перевыполнить план? Просто после налетов его постоянно пересматривали и в конце концов подогнали под реальный выпуск. Все это вполне было в духе времени (11742).</w:t>
      </w:r>
    </w:p>
    <w:p w14:paraId="10469E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D1C0D" w14:textId="77777777" w:rsidR="004133BF" w:rsidRPr="00271E51" w:rsidRDefault="004133B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конце 1943 года НАТИ был освобожден от выпуска военной продукции и целиком вернулся к научно-исследовательским работам. Были продолжены начатые перед войной совместные с Ярославским автомобильным заводом работы по созданию унифицированного семейства грузовых автомобилей (22518)</w:t>
      </w:r>
    </w:p>
    <w:p w14:paraId="574A1928" w14:textId="77777777" w:rsidR="004133BF" w:rsidRPr="00271E51" w:rsidRDefault="004133BF" w:rsidP="00271E51">
      <w:pPr>
        <w:spacing w:after="0" w:line="240" w:lineRule="auto"/>
        <w:jc w:val="both"/>
        <w:rPr>
          <w:rFonts w:ascii="Times New Roman" w:hAnsi="Times New Roman"/>
          <w:color w:val="0070C0"/>
          <w:sz w:val="16"/>
          <w:szCs w:val="16"/>
        </w:rPr>
      </w:pPr>
    </w:p>
    <w:p w14:paraId="002F82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появился разрабатываемый ОГК НКТП совместно с НАТИ с конца 1942 артиллерийский трактор взамен СЗТ-НАТИ на шасси легкого танка Т-60/Т-70 Я-11/Я-13 (7382, 2).</w:t>
      </w:r>
    </w:p>
    <w:p w14:paraId="39A8E4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537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двухтактные отечественные мотоци­клы и ТИЗ-АМ-600 на БТРЗ № 20 перестали поступать. Вместо них привозили упакованные в ящики амери­канские мотоциклы Harley-Davidson, получаемые по ленд-лизу. Конвейер для сборки двухтактных мотоци­клов разобрали, и в сборочном цехе стало свободнее, «харлеи» собирали во дворе под навесом. Качество упаковки восхищало. Внутренняя поверхность ящиков из высококачественной древесины оказалась покры­той толем. В каждом ящике находился полный сбором ный комплект мотоцикла. Все отверстия в узлах и де­талях на фирме заглушали особыми пробками. К ра­мам «Харлеев» приваривали шарниры для крепления мотоколясок, поступавших с автозавода ГАЗ. Скорость «Харлея»-одиночки превышала 110 км/ч, а с коля­ской - 90 км/ч (11290).</w:t>
      </w:r>
    </w:p>
    <w:p w14:paraId="091666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B11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обо</w:t>
      </w:r>
      <w:r w:rsidRPr="00271E51">
        <w:rPr>
          <w:rFonts w:ascii="Times New Roman" w:hAnsi="Times New Roman"/>
          <w:color w:val="000000" w:themeColor="text1"/>
          <w:sz w:val="16"/>
          <w:szCs w:val="16"/>
        </w:rPr>
        <w:softHyphen/>
        <w:t>рудование и людей с ТМЗ переправили на новое место назначе</w:t>
      </w:r>
      <w:r w:rsidRPr="00271E51">
        <w:rPr>
          <w:rFonts w:ascii="Times New Roman" w:hAnsi="Times New Roman"/>
          <w:color w:val="000000" w:themeColor="text1"/>
          <w:sz w:val="16"/>
          <w:szCs w:val="16"/>
        </w:rPr>
        <w:softHyphen/>
        <w:t>ния, и на этом история Тюменского мотоциклетного завода за</w:t>
      </w:r>
      <w:r w:rsidRPr="00271E51">
        <w:rPr>
          <w:rFonts w:ascii="Times New Roman" w:hAnsi="Times New Roman"/>
          <w:color w:val="000000" w:themeColor="text1"/>
          <w:sz w:val="16"/>
          <w:szCs w:val="16"/>
        </w:rPr>
        <w:softHyphen/>
        <w:t>вершилась. За период с 13 декабря 1941 г. по 26 октября 1943 г. в разное время директорами ТМЗ работали И.М. Мизрухин [5.62], Г.Д. Ударов [5.63] и И.З. Соколов [5.64]. В связи с ростом ГМЗ за счёт получения оборудования и персона</w:t>
      </w:r>
      <w:r w:rsidRPr="00271E51">
        <w:rPr>
          <w:rFonts w:ascii="Times New Roman" w:hAnsi="Times New Roman"/>
          <w:color w:val="000000" w:themeColor="text1"/>
          <w:sz w:val="16"/>
          <w:szCs w:val="16"/>
        </w:rPr>
        <w:softHyphen/>
        <w:t>ла с ТМЗ возникла необходимость учёта полученных ценностей. Однако не сохранилась документация о порядке и сроках эвакуа</w:t>
      </w:r>
      <w:r w:rsidRPr="00271E51">
        <w:rPr>
          <w:rFonts w:ascii="Times New Roman" w:hAnsi="Times New Roman"/>
          <w:color w:val="000000" w:themeColor="text1"/>
          <w:sz w:val="16"/>
          <w:szCs w:val="16"/>
        </w:rPr>
        <w:softHyphen/>
        <w:t>ции с ЛМЗ и ХМЗ технологического оборудования, доставленно</w:t>
      </w:r>
      <w:r w:rsidRPr="00271E51">
        <w:rPr>
          <w:rFonts w:ascii="Times New Roman" w:hAnsi="Times New Roman"/>
          <w:color w:val="000000" w:themeColor="text1"/>
          <w:sz w:val="16"/>
          <w:szCs w:val="16"/>
        </w:rPr>
        <w:softHyphen/>
        <w:t>го на территорию завода «Красная Этна». Эвакуацией оборудова</w:t>
      </w:r>
      <w:r w:rsidRPr="00271E51">
        <w:rPr>
          <w:rFonts w:ascii="Times New Roman" w:hAnsi="Times New Roman"/>
          <w:color w:val="000000" w:themeColor="text1"/>
          <w:sz w:val="16"/>
          <w:szCs w:val="16"/>
        </w:rPr>
        <w:softHyphen/>
        <w:t>ния с ЛМЗ руководил директор этого завода М.Г. Соловьев. Часть оборудования доставили на ГМЗ, а часть - на ТМЗ. В силу сложившихся обстоятельств, дирекция ГМЗ не смогла отчитать</w:t>
      </w:r>
      <w:r w:rsidRPr="00271E51">
        <w:rPr>
          <w:rFonts w:ascii="Times New Roman" w:hAnsi="Times New Roman"/>
          <w:color w:val="000000" w:themeColor="text1"/>
          <w:sz w:val="16"/>
          <w:szCs w:val="16"/>
        </w:rPr>
        <w:softHyphen/>
        <w:t>ся перед руководством Главмотовелопрома о сохранности обору</w:t>
      </w:r>
      <w:r w:rsidRPr="00271E51">
        <w:rPr>
          <w:rFonts w:ascii="Times New Roman" w:hAnsi="Times New Roman"/>
          <w:color w:val="000000" w:themeColor="text1"/>
          <w:sz w:val="16"/>
          <w:szCs w:val="16"/>
        </w:rPr>
        <w:softHyphen/>
        <w:t>дования, вывезенного с ЛМЗ и ХМЗ [5.65] (11429).</w:t>
      </w:r>
    </w:p>
    <w:p w14:paraId="159CF96A" w14:textId="77777777" w:rsidR="00FC04C9" w:rsidRPr="00271E51" w:rsidRDefault="00FC04C9" w:rsidP="00271E51">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912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 наряду с военной продукцией возобновил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56E0EA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1947-48г. Ленинградский государственный весовой завод «Госметр» - в ведении Главмервеспрома ММиП, с 1957г. - в ведении Управления приборостроительной промышленности ЛенСНХ, с 1958г. - Управления агрегатостроения и приборостроения ЛенСНХ, с 11.1965г. - МПиСА.</w:t>
      </w:r>
      <w:r w:rsidRPr="00271E51">
        <w:rPr>
          <w:rFonts w:ascii="Times New Roman" w:hAnsi="Times New Roman"/>
          <w:color w:val="000000" w:themeColor="text1"/>
          <w:sz w:val="16"/>
          <w:szCs w:val="16"/>
          <w:vertAlign w:val="superscript"/>
        </w:rPr>
        <w:t>131</w:t>
      </w:r>
    </w:p>
    <w:p w14:paraId="0D92C2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522A06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2002г. завод перешел на производство электронных весов специального класса точности.</w:t>
      </w:r>
    </w:p>
    <w:p w14:paraId="31441C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 оборудования: (1946г.)- 288 ед., (1947г.)- 322 ед.</w:t>
      </w:r>
    </w:p>
    <w:p w14:paraId="1D09CD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территории (1947г.)- 1,873 га; застройки (1947г.)- 3915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производственная (1939г.)- 3045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(1946г.)- 4315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(1947г.)- 5472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C0F69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(1939г.)- 849 чел., (1946г.)- 900 чел., (1947г.)- 880 чел.</w:t>
      </w:r>
    </w:p>
    <w:p w14:paraId="16620A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(1925г.-)- П.И. Паршин, (1948г.)- Спиридонов, (-2008г.)- В.М. Мануйлов.</w:t>
      </w:r>
    </w:p>
    <w:p w14:paraId="4A3B45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(1948г.)- Самойленко.</w:t>
      </w:r>
    </w:p>
    <w:p w14:paraId="5ED698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весы:</w:t>
      </w:r>
      <w:r w:rsidRPr="00271E51">
        <w:rPr>
          <w:rFonts w:ascii="Times New Roman" w:hAnsi="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271E51">
        <w:rPr>
          <w:rFonts w:ascii="Times New Roman" w:hAnsi="Times New Roman"/>
          <w:color w:val="000000" w:themeColor="text1"/>
          <w:sz w:val="16"/>
          <w:szCs w:val="16"/>
          <w:vertAlign w:val="superscript"/>
        </w:rPr>
        <w:t>129</w:t>
      </w:r>
    </w:p>
    <w:p w14:paraId="699E12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3FE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 вооружение приняли первые радиопрожекторы РАП-150 (359,169).</w:t>
      </w:r>
    </w:p>
    <w:p w14:paraId="7B954D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D48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Уфимским электроламповым заводом «Свет» (ГС завод № 643 НКЭП, Уфимский электроламповый завод (УЭЛЗ), ОАО «УЭЛЗ-Свет» /Башкирия 450029  г. Уфа ул. Юбилейная, 1/) был освоен выпуск осветительных электроламп. В 1950 г. построены стекольный и сборочный цехи. В 1956 г. на заводе установлена высокопроизводительная сборочная линия, впервые изготовленная в СССР, в 1958 г. установлена опытная линия изготовления миниатюрных электроламп. В 1961-61 г. начато освоение производства электроламп мощностью 300 и 500 Вт, в 1967 г. вступила в строй первая в стране линия по сборке ламп в 1000 Вт. В 1966-67 г. осуществлена перестройка производства на использование природного газа вместо водного, введена в строй азотно-кислородная станция. В 1976 г. освоен выпуск сверхминиатюрных электроламп, затем - кварцево-галогенных ламп.</w:t>
      </w:r>
    </w:p>
    <w:p w14:paraId="436C09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22.10.2003 г. была выпущена 8-миллиардная осветительная электролампа. В 2004 г. освоено собственное производство стеклотрубки и штабиков.</w:t>
      </w:r>
    </w:p>
    <w:p w14:paraId="22B245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1993 г. завод преобразован в ОАО «УЭЛЗ «Свет». Входил в холдинг В.А.В.С. (2003-06 г.). 26.05.2008 г. на предприятии введено внешнее наблюдение.</w:t>
      </w:r>
    </w:p>
    <w:p w14:paraId="2C2AEE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В.В. Киселев, М.Т. Конюхов, В.Д. Кузнецов, А.Ф. Панкратов, Т.А. Гашимов, В.А. Борисов, Р.Т. Сайфуллин, Т.С. Косилова. Гендиректор (1997-2003 г.-)- Р.Т. Сайфулин, (20.07.2006 г.-)- П.Н. Цапин. Временный управляющий (05.2008 г.-)- А.В. Кузьминов.</w:t>
      </w:r>
    </w:p>
    <w:p w14:paraId="061CF6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гендиректора по производству (1993-97 г.)- Р.Т. Сайфуллин.</w:t>
      </w:r>
    </w:p>
    <w:p w14:paraId="2039D3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директор- Н.Е. Крывкин. Директор по продажам- Д.А. Соловьев.</w:t>
      </w:r>
    </w:p>
    <w:p w14:paraId="65724F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(1941 -42 г.)- М.М. Федоров (11982).</w:t>
      </w:r>
    </w:p>
    <w:p w14:paraId="6D572D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C6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наша радиотехническая промышленность смогла обеспечить ВВС, помимо обычных приемо-передающих радиостанций, специальными установками радиообнаружения (радарами) самолетов типа "Редут" и "Пегматит" (РУС-2) (497) (РГАМО, ф. 35, оп. 11250, д. 122, л. 94.), оказавшие неоценимую помощь командному и летному составу в управлении и боевом применении авиации, особенно истребительной. К сожалению, таких установок тогда было еще мало (3573).</w:t>
      </w:r>
    </w:p>
    <w:p w14:paraId="415C77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702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НИИ-10 полностью восстанавливает свою деятельность в Москве,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71D9E6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После возвращения в Москву часть сотрудников института, по указанию главка, временно переходит на соседний завод, чтобы оказать помощь при освоении </w:t>
      </w:r>
      <w:r w:rsidRPr="00271E51">
        <w:rPr>
          <w:rFonts w:ascii="Times New Roman" w:hAnsi="Times New Roman"/>
          <w:color w:val="000000" w:themeColor="text1"/>
          <w:sz w:val="16"/>
          <w:szCs w:val="16"/>
        </w:rPr>
        <w:lastRenderedPageBreak/>
        <w:t>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4F7E62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3E9001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359AE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135ADC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1FCA64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327E9D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3E73D6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7CF8F8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766F32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22E24C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5E9D3C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511523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32F808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70664F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1FF369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58132F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731FCD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261FA6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274250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36241C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226AF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7D497F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07B2B6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6E20A8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75DF6B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172E17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5E53FE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Щелковском районе была построена складская база «Шевелкино».</w:t>
      </w:r>
    </w:p>
    <w:p w14:paraId="576A49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23878E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22814E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559AC8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2DFB15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148759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2781BE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37825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1F1134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72289E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1B4606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687F47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75F35E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47B81" w14:textId="77777777" w:rsidR="00887451" w:rsidRPr="00271E51" w:rsidRDefault="0088745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конец 1943 года общая численность СКБ НКСП составляла 375 чел, в том числе эвакуированных из Ленинграда 122 чел. Начальником ПКО был назначен А.С. Одинцов, начальником лабораторного отдела В.Н. Третьяков (в будущем – заместитель министра судостроительной промышленности), его заместителем – Н.Н. Остряков.</w:t>
      </w:r>
    </w:p>
    <w:p w14:paraId="3982B731" w14:textId="77777777" w:rsidR="00887451" w:rsidRPr="00271E51" w:rsidRDefault="00887451"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Группу самонаводящихся акустических торпед (САТ) возглавил В.Д. Чижов (впоследствии директор КБ-l), в состав группы входили Ф.С. Сметанников, Ф.В. Лукин и другие высококвалифицированные специалисты (15736).</w:t>
      </w:r>
    </w:p>
    <w:p w14:paraId="66BA9689" w14:textId="77777777" w:rsidR="00887451" w:rsidRPr="00271E51" w:rsidRDefault="00887451" w:rsidP="00271E51">
      <w:pPr>
        <w:spacing w:after="0" w:line="240" w:lineRule="auto"/>
        <w:jc w:val="both"/>
        <w:rPr>
          <w:rFonts w:ascii="Times New Roman" w:hAnsi="Times New Roman"/>
          <w:color w:val="000000" w:themeColor="text1"/>
          <w:sz w:val="16"/>
          <w:szCs w:val="16"/>
        </w:rPr>
      </w:pPr>
    </w:p>
    <w:p w14:paraId="1F2DE767"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конце 1943 года И.В. Курчатов представил отчет М.Г. Первухину о состоянии работ по атомной проблеме. В своем отчете он отмечает: </w:t>
      </w:r>
    </w:p>
    <w:p w14:paraId="3F1327E5"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1943 года начались испытания центрифуги для разделения изотопов. Испытания проводились для смеси легких газов. Был обнаружен эффект разделения, однако проектные параметры установки не были реализованы. Проведение экспериментов с разделением изотопов урана задерживается из-за отсутствия необходимых количеств гексафторида урана;</w:t>
      </w:r>
    </w:p>
    <w:p w14:paraId="5CEE4EFC"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получения гексафторида урана необходим металлический уран, накопление которого производится в Институте редких металлов. Впервые в СССР (НИИ-42, Наркомат химической промышленности) получено небольшое количество гексафторида урана. Свойства гексафторида урана и его воздействие на различные материалы еще не изучено и эту работу необходимо провести в НИИ-42. Ранее эта задача была поручена Радиевому институту, однако она не была им решена;</w:t>
      </w:r>
    </w:p>
    <w:p w14:paraId="3D590EBC"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Радиевом институте были измерены характеристики деления U-235 быстрыми нейтронами. Это первые экспериментальные данные, полученные по этому вопросу в СССР;</w:t>
      </w:r>
    </w:p>
    <w:p w14:paraId="1C971F6F"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получение тяжелой воды необходимо для создания ядерного реактора, работающего на природном уране и тяжелой воде. Разработан проект экспериментальной установки для получения тяжелой воды. Этот проект передан для изготовления установки в Наркомат химической промышленности;</w:t>
      </w:r>
    </w:p>
    <w:p w14:paraId="6C9DB6B2"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проект газодиффузионной машины лабораторией ЦАГИ в срок не выполнен. Независимо от этого проекта Лаборатория No. 2 создает упрощенную модель газодиффузионной машины в Свердловске;</w:t>
      </w:r>
    </w:p>
    <w:p w14:paraId="7976AE8A"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происходит задержка с созданием циклотрона из-за сдвига сроков поставки электромагнита;</w:t>
      </w:r>
    </w:p>
    <w:p w14:paraId="5912E947"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эксперименты, проведенные Лабораторией No. 2, показали, что типовая продукция графитовых заводов СССР непригодна для использования в уран-графитовом ядерном реакторе, так как типовой графит содержит значительное количество примесей, которые поглощают нейтроны. В связи с этим необходимо решить новую задачу - получение чистого графита, к решению которой по просьбе Лаборатории No. 2 приступил Московский электродный завод (10549).</w:t>
      </w:r>
    </w:p>
    <w:p w14:paraId="458C4074" w14:textId="77777777" w:rsidR="00887451" w:rsidRPr="00271E51" w:rsidRDefault="00887451"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17F0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58C3F8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2329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 концу 1943 г. было израсходовано 1171340 бомб ПТАБ, в 1944 г. - уже 5024822 штук, а за первых 4 месяца 1945 г. - 3242701 бомб. То есть, ежемесячный расход ПТАБ каждый год почти удваивался. Таким образом, основным средством борьбы штурмовиков Ил-2 с немецкими танками фактически стала ПТАБ-2,5-1,5. Высокую эффективность ПТАБ показывали и при действии по открытым складам боеприпасов и скоплениям боевой техники вследствие большого числа прямых попаданий. </w:t>
      </w:r>
      <w:r w:rsidRPr="00271E51">
        <w:rPr>
          <w:rFonts w:ascii="Times New Roman" w:hAnsi="Times New Roman"/>
          <w:color w:val="000000" w:themeColor="text1"/>
          <w:sz w:val="16"/>
          <w:szCs w:val="16"/>
        </w:rPr>
        <w:lastRenderedPageBreak/>
        <w:t>При этом автомашины, тягачи и бронетранспортеры, как правило, полностью сгорали, а боеприпасы в штабелях подрывались не только при прямом попадании ПТАБ в их корпуса, но и через укупорку (12020).</w:t>
      </w:r>
    </w:p>
    <w:p w14:paraId="6CFA97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F01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наметилось господство в воздухе ВВС КА и наличия достаточных ресурсов истребительной авиации для сопровождения штурмовиков, уже имелась возможность несколько пересмотреть концепцию нового самолета-штурмовика. Дело в том, что относительно большие потери стрелков становились неоправданными по отношению к эффективности их оборонительной деятельности в ходе боевых операций. Так, по опыту штурмовых авиаполков 8-й и 17-й ВА в период 1943-45 гг. средний расход боекомплекта пулемета УБТ в одном боевом самолето-вылете Ил-2 составил 14,7% или 22 патрона, что соответствует продолжительности стрельбы всего 1,32 сек. В то же время вероятность поражения стрелка огнем немецких истребителей в одной атаке, как показывают оценки, была примерно в 2-2,5 раза выше, чем вероятность сбития в этих же условиях защищаемого им штурмовика, и в 3-4,5 раза выше, чем вероятность сбития немецкого истребителя огнем воздушного стрелка. То есть на один потерянный в воздушных боях Ил-2 в это время в среднем приходилось 3-4 воздушных стрелка, раненных или убитых в единоборстве с истребителями люфтваффе.. (7442).</w:t>
      </w:r>
    </w:p>
    <w:p w14:paraId="4315A7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 по этим причинам опытные летчики-штурмовики не только довольно спокойно относились к боевым вылетам без воздушного стрелка в составе экипажа, но даже старались выполнять их без стрелка, вполне справедливо полагаясь на активный маневр в бою и взаимодействие с истребителями прикрытия (7442).</w:t>
      </w:r>
    </w:p>
    <w:p w14:paraId="30C723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случае постройки одноместного бронированного штурмовика с мотором АМ-42 его взлетный вес мог быть сокращен примерно на 800 кг по сравнению с двухместным Ил-10, улучшилась бы аэродинамика самолета и, как следствие, возможно было заметное улучшение его летных характеристик и боевых возможностей (7442).</w:t>
      </w:r>
    </w:p>
    <w:p w14:paraId="62B739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Получаемый выигрыш можно было бы использовать по-разному. Например, довести скоростную дальность полета до 1200 км, увеличить максимальную бомбовую нагрузку до 1000 кг, существенно улучшить маневренные и взлетно-посадочные характеристики, скорость полета. А как более серьезный результат - появилась бы реальная возможность создать бронированный пикирующий бомбардировщик-штурмовик, потребность в котором столь остро ощущали ВВС КА при прорыве укрепрайонов вермахта. (7442).</w:t>
      </w:r>
    </w:p>
    <w:p w14:paraId="2A367A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варианте маневренного скоростного штурмовика, как показывают расчеты, выполненные по упрощенной методике И.В.Остославского, максимальная скорость самолета у земли могла составить около 540 км/ч, на расчетной высоте 2600 м - 596 км/ч, а на высоте 5000 м около 620 км/ч. Время выполнения виража на высоте 1000 м не превышало бы 21 сек. Время набора высоты 5000 м составило бы примерно 6 минут. Длина разбега составила бы около 350 м, дистанция взлета - около 850 м, что было лучше, чем у Ил-2 АМ-38ф (7442).</w:t>
      </w:r>
    </w:p>
    <w:p w14:paraId="0708C0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Отсюда следует, что основные немецкие истребители этого периода способны были догнать одноместный штурмовик только при наличии существенного превышения по высоте или с использованием систем форсажа. Да и воздушный бой был бы не из легких (7442).</w:t>
      </w:r>
    </w:p>
    <w:p w14:paraId="75BAA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Одноместный бомбардировщик-штурмовик с максимальной дальностью полета в 1200 км и с бомбовой нагрузкой 1000 кг вполне было возможно создать как развитие самолета Ил-8 (2-й вариант). При этом максимальная скорость с двумя бомбами типа ФАБ-500 под крылом могла составить у земли около 455 км/ч, а на расчетной высоте 2800 м - 510 км/ч (7442).</w:t>
      </w:r>
    </w:p>
    <w:p w14:paraId="151C62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разбега была бы около 450 м, взлетная дистанция около 1100 м, что соответствовало взлетным характеристикам самолета Ил-2 с мотором АМ-38ф. Время набора высоты 5000 м не превышало бы 8 мин. Время выполнения виража на высоте 1000 м - 22-23 сек (7442).</w:t>
      </w:r>
    </w:p>
    <w:p w14:paraId="7D03D4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Любопытно, что подобный по назначению немецкий самолет Fw-190A-5/ R16 имел значительно более слабое бронирование и более низкие летные данные (7442).</w:t>
      </w:r>
    </w:p>
    <w:p w14:paraId="16EA10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Вариант одноместного пикирующего бомбардировщика-штурмовика имел бы запас прочности до 8g, возможность пикировать под углами до 60° и максимальную бомбовую нагрузку 1000 кг (800 кг экономии веса "пошли" бы на обеспечение запаса прочности и установку тормозных щитков - около 365 кг, и на увеличение максимальной бомбовой нагрузки на 400 кг) (7442).</w:t>
      </w:r>
    </w:p>
    <w:p w14:paraId="2C8E61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0B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в штурмовой авиации было введено четырехсамолетное звено (2606,35).</w:t>
      </w:r>
    </w:p>
    <w:p w14:paraId="40824A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09C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произошел переход к бомбометанию с пикирования звеньями и эскадрильями Пе-2. Оценки выполнения бомбометания в 284-м бап показали, что если раньше средние радиальные отклонения от цели превышали 200 м, то после внедрения этого способа атаки они сократились до 18 м. 284-й полк, применяя бомбометание с пикирования, нанес большой ущерб железнодорожным перевозкам врага. Приказ по ВВС требовал к началу октября 1943 г. обучить боевому применению с пикирования по одному полку Пе-2 в каждой дивизии. До этого ситуация была иной, хотя эффективность пикирования на Пе-2 была доказана Полбиным еще в 1941, когда был налет на г. Плоешти шестерки самолетов из 40-го полка ВВС Черноморского флота. После нескольких дней, затраченных на освоение только что полученных машин, группа под командованием капитана А.Цурцулина ушла на боевое задание. В результате удара было сожжено не менее четверти миллиона тонн нефтепродуктов, огненное море бушевало трое суток. Румынское информационное агентство заявило, что Плоешти бомбило более сотни советских самолетов (3542).</w:t>
      </w:r>
    </w:p>
    <w:p w14:paraId="1E0A05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30A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последних числах 1943 г. 7-й сак генерал-майора П.П. Архангельского переформировали в 4-й бак. Из авиакорпуса исключили прежние дивизии, а до конца зимы 1944 г. в него вошли 219-я бад полковника П.Н. Анисимова (6-й, 35-й и 38-й бап) и 202-я бад полковника С.И. Нечипоренко (18-й, 36-й гв. и 797-й бап). За предшествующие годы эти части и соединения накопили значительный опыт применения самолетов Пе-2 на Дону, под Сталинградом и Ржевом, на Курской дуге; отдельные экипажи выполнили 100 и более успешных боевых вылетов.</w:t>
      </w:r>
    </w:p>
    <w:p w14:paraId="1B34A1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этому времени в нашу страну по ленд- лизу поступило уже достаточное количество самолетов А-20 "Бостон", ими оснастили несколько авиадивизий. Было принято решение на период летних операций включить по одной дивизии на "Бостонах" в состав 2-го гв. и 4-го бак. В частности, последнему соединению 25 апреля передали 321-ю бад полковника И.Г. Чука, которая уже действовала в составе 7-го смешанного авиакорпуса осенью предыдущего года. О боевом составе 4-го бак накануне летней кампании дает представление таблица.</w:t>
      </w:r>
    </w:p>
    <w:p w14:paraId="4D2ABF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состав 4-го бак весной 1944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A907A5" w:rsidRPr="00271E51" w14:paraId="55F10987" w14:textId="77777777" w:rsidTr="00ED5B0A">
        <w:tc>
          <w:tcPr>
            <w:tcW w:w="1401" w:type="dxa"/>
            <w:tcBorders>
              <w:top w:val="single" w:sz="12" w:space="0" w:color="auto"/>
            </w:tcBorders>
          </w:tcPr>
          <w:p w14:paraId="7C1337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Соединение</w:t>
            </w:r>
          </w:p>
        </w:tc>
        <w:tc>
          <w:tcPr>
            <w:tcW w:w="1401" w:type="dxa"/>
            <w:tcBorders>
              <w:top w:val="single" w:sz="12" w:space="0" w:color="auto"/>
            </w:tcBorders>
          </w:tcPr>
          <w:p w14:paraId="0843B2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w:t>
            </w:r>
          </w:p>
        </w:tc>
        <w:tc>
          <w:tcPr>
            <w:tcW w:w="1401" w:type="dxa"/>
            <w:tcBorders>
              <w:top w:val="single" w:sz="12" w:space="0" w:color="auto"/>
            </w:tcBorders>
          </w:tcPr>
          <w:p w14:paraId="281F58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1401" w:type="dxa"/>
            <w:tcBorders>
              <w:top w:val="single" w:sz="12" w:space="0" w:color="auto"/>
            </w:tcBorders>
          </w:tcPr>
          <w:p w14:paraId="558008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BD73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A-20G</w:t>
            </w:r>
          </w:p>
        </w:tc>
        <w:tc>
          <w:tcPr>
            <w:tcW w:w="1401" w:type="dxa"/>
            <w:tcBorders>
              <w:top w:val="single" w:sz="12" w:space="0" w:color="auto"/>
            </w:tcBorders>
          </w:tcPr>
          <w:p w14:paraId="7A9567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50BA51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Боеготовых</w:t>
            </w:r>
          </w:p>
        </w:tc>
        <w:tc>
          <w:tcPr>
            <w:tcW w:w="1401" w:type="dxa"/>
            <w:tcBorders>
              <w:top w:val="single" w:sz="12" w:space="0" w:color="auto"/>
            </w:tcBorders>
          </w:tcPr>
          <w:p w14:paraId="16C31B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69BF95" w14:textId="77777777" w:rsidTr="00ED5B0A">
        <w:tc>
          <w:tcPr>
            <w:tcW w:w="1401" w:type="dxa"/>
          </w:tcPr>
          <w:p w14:paraId="1B0751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2BCD4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11F2A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Исправно</w:t>
            </w:r>
          </w:p>
        </w:tc>
        <w:tc>
          <w:tcPr>
            <w:tcW w:w="1401" w:type="dxa"/>
          </w:tcPr>
          <w:p w14:paraId="43A395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Неисправно</w:t>
            </w:r>
          </w:p>
        </w:tc>
        <w:tc>
          <w:tcPr>
            <w:tcW w:w="1401" w:type="dxa"/>
          </w:tcPr>
          <w:p w14:paraId="759B6F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Исправно</w:t>
            </w:r>
          </w:p>
        </w:tc>
        <w:tc>
          <w:tcPr>
            <w:tcW w:w="1401" w:type="dxa"/>
          </w:tcPr>
          <w:p w14:paraId="6717C4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Неисправно</w:t>
            </w:r>
          </w:p>
        </w:tc>
        <w:tc>
          <w:tcPr>
            <w:tcW w:w="1401" w:type="dxa"/>
          </w:tcPr>
          <w:p w14:paraId="15DCD9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экипажей</w:t>
            </w:r>
          </w:p>
        </w:tc>
        <w:tc>
          <w:tcPr>
            <w:tcW w:w="1401" w:type="dxa"/>
          </w:tcPr>
          <w:p w14:paraId="5494A4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DAC6C3" w14:textId="77777777" w:rsidTr="00ED5B0A">
        <w:tc>
          <w:tcPr>
            <w:tcW w:w="1401" w:type="dxa"/>
          </w:tcPr>
          <w:p w14:paraId="24E7B4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202-я бад</w:t>
            </w:r>
          </w:p>
        </w:tc>
        <w:tc>
          <w:tcPr>
            <w:tcW w:w="1401" w:type="dxa"/>
          </w:tcPr>
          <w:p w14:paraId="6800EE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03.03.1944 г.</w:t>
            </w:r>
          </w:p>
        </w:tc>
        <w:tc>
          <w:tcPr>
            <w:tcW w:w="1401" w:type="dxa"/>
          </w:tcPr>
          <w:p w14:paraId="06CE1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tc>
        <w:tc>
          <w:tcPr>
            <w:tcW w:w="1401" w:type="dxa"/>
          </w:tcPr>
          <w:p w14:paraId="2C5D00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401" w:type="dxa"/>
          </w:tcPr>
          <w:p w14:paraId="06E35E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5BB4E9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668B9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1401" w:type="dxa"/>
          </w:tcPr>
          <w:p w14:paraId="3AA21A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B0DE75" w14:textId="77777777" w:rsidTr="00ED5B0A">
        <w:tc>
          <w:tcPr>
            <w:tcW w:w="1401" w:type="dxa"/>
          </w:tcPr>
          <w:p w14:paraId="1F082A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219-я бад</w:t>
            </w:r>
          </w:p>
        </w:tc>
        <w:tc>
          <w:tcPr>
            <w:tcW w:w="1401" w:type="dxa"/>
          </w:tcPr>
          <w:p w14:paraId="17589C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15.04.1944 г.</w:t>
            </w:r>
          </w:p>
        </w:tc>
        <w:tc>
          <w:tcPr>
            <w:tcW w:w="1401" w:type="dxa"/>
          </w:tcPr>
          <w:p w14:paraId="3D7A0E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tc>
        <w:tc>
          <w:tcPr>
            <w:tcW w:w="1401" w:type="dxa"/>
          </w:tcPr>
          <w:p w14:paraId="0E7D0A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1401" w:type="dxa"/>
          </w:tcPr>
          <w:p w14:paraId="6E064D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2DB9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C5912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w:t>
            </w:r>
          </w:p>
        </w:tc>
        <w:tc>
          <w:tcPr>
            <w:tcW w:w="1401" w:type="dxa"/>
          </w:tcPr>
          <w:p w14:paraId="402FD2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A50FED" w14:textId="77777777" w:rsidTr="00ED5B0A">
        <w:tc>
          <w:tcPr>
            <w:tcW w:w="1401" w:type="dxa"/>
          </w:tcPr>
          <w:p w14:paraId="6D52F2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321-я бад</w:t>
            </w:r>
          </w:p>
        </w:tc>
        <w:tc>
          <w:tcPr>
            <w:tcW w:w="1401" w:type="dxa"/>
          </w:tcPr>
          <w:p w14:paraId="22210F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28.04.1944 г.</w:t>
            </w:r>
          </w:p>
        </w:tc>
        <w:tc>
          <w:tcPr>
            <w:tcW w:w="1401" w:type="dxa"/>
          </w:tcPr>
          <w:p w14:paraId="696CA2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7A229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730D55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tc>
        <w:tc>
          <w:tcPr>
            <w:tcW w:w="1401" w:type="dxa"/>
          </w:tcPr>
          <w:p w14:paraId="618692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2B1D9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w:t>
            </w:r>
          </w:p>
        </w:tc>
        <w:tc>
          <w:tcPr>
            <w:tcW w:w="1401" w:type="dxa"/>
          </w:tcPr>
          <w:p w14:paraId="7BFF99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38436C" w14:textId="77777777" w:rsidTr="00ED5B0A">
        <w:tc>
          <w:tcPr>
            <w:tcW w:w="1401" w:type="dxa"/>
            <w:tcBorders>
              <w:bottom w:val="single" w:sz="12" w:space="0" w:color="auto"/>
            </w:tcBorders>
          </w:tcPr>
          <w:p w14:paraId="3260AB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401" w:type="dxa"/>
            <w:tcBorders>
              <w:bottom w:val="single" w:sz="12" w:space="0" w:color="auto"/>
            </w:tcBorders>
          </w:tcPr>
          <w:p w14:paraId="41AA99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48BC9F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1401" w:type="dxa"/>
            <w:tcBorders>
              <w:bottom w:val="single" w:sz="12" w:space="0" w:color="auto"/>
            </w:tcBorders>
          </w:tcPr>
          <w:p w14:paraId="07416B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w:t>
            </w:r>
          </w:p>
        </w:tc>
        <w:tc>
          <w:tcPr>
            <w:tcW w:w="1401" w:type="dxa"/>
            <w:tcBorders>
              <w:bottom w:val="single" w:sz="12" w:space="0" w:color="auto"/>
            </w:tcBorders>
          </w:tcPr>
          <w:p w14:paraId="73CE2B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tc>
        <w:tc>
          <w:tcPr>
            <w:tcW w:w="1401" w:type="dxa"/>
            <w:tcBorders>
              <w:bottom w:val="single" w:sz="12" w:space="0" w:color="auto"/>
            </w:tcBorders>
          </w:tcPr>
          <w:p w14:paraId="476C01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Borders>
              <w:bottom w:val="single" w:sz="12" w:space="0" w:color="auto"/>
            </w:tcBorders>
          </w:tcPr>
          <w:p w14:paraId="158623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199</w:t>
            </w:r>
          </w:p>
        </w:tc>
        <w:tc>
          <w:tcPr>
            <w:tcW w:w="1401" w:type="dxa"/>
            <w:tcBorders>
              <w:bottom w:val="single" w:sz="12" w:space="0" w:color="auto"/>
            </w:tcBorders>
          </w:tcPr>
          <w:p w14:paraId="560216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E7F4E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(12042).</w:t>
      </w:r>
    </w:p>
    <w:p w14:paraId="24F208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конца 1943 г. последние шесть Ер-2 эксплуатировались в 747-м дбап, и ВВС расстались с Ер-2 более чем на год.</w:t>
      </w:r>
    </w:p>
    <w:p w14:paraId="744ECE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 два с половиной года войны основными целями Ер-2 747-го полка были железнодорожные узлы, в частности, Вязьма, Брянск, Сухиничи, Смоленск, Воло- во, бомбили на перегонах эшелоны противника. Подвергались ударам и аэродромы, такие, как, например, Сеща, артиллерийские позиции в районе Ржева. </w:t>
      </w:r>
    </w:p>
    <w:p w14:paraId="0E5734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Приведем лишь несколько эпизодов из боевой деятельности полка в 1942 г. Выполняя очередной боевой вылет, штурман Бойко обнаружил передвижение автоколонны на Юхнов. Его бомбардировщик в составе группы произвел шесть заходов на колонну, сбросив 12 бомб. В этом бою противник недосчитался 20 автомашин с грузами, но и мы потеряли три самолета. Один из них, пилотировавшийся летчиком П.А. Клименко, атаковали три истребителя Bf 109. Ранив стрелка и повредив пулемет стрелка-радиста, истребители подожгли нашу машину, которую пришлось сажать на лес.</w:t>
      </w:r>
    </w:p>
    <w:p w14:paraId="427A19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другом вылете, на самолете летчика М.А. Брусницина зенитная артиллерия повредила стабилизатор и один руль поворота. Несмотря на это, экипаж выполнил боевую задачу, но при возвращении домой, уже за линией фронта, Ер-2 атаковали истребители противника. Из горящей машины удалось спастись на парашютах лишь летчику и штурману.</w:t>
      </w:r>
    </w:p>
    <w:p w14:paraId="61327F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Лишь в начале 1945 г. Ер-2 стали поступать в дальнюю авиацию после освоения производства новой версии бомбардировщика в Иркутске (11994).</w:t>
      </w:r>
    </w:p>
    <w:p w14:paraId="695320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2412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в значительной степени укомплектовали Р-39 и 43-й полк на ЧМФ. Он использовался примерно так же, как 11-й, по более активно действовал но наземным целям, поддерживая наступающие части советской армии. В августе 1944 года оба эти авиаполка привлекли к массированному удару но Констанце. 32 "Кобры" 11-го полка сопровождали "Бостоны" и Ил-4, а 43 истребителя 43-го полка прикрывали пикировщики Пе-2. В ноябре 1944 года, когда боевые действия на Черном море уже закончились, на вооружении ВВС Черноморского флота состояли 125 Р-39 (3457,73).</w:t>
      </w:r>
    </w:p>
    <w:p w14:paraId="43E0B4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8404F8"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lastRenderedPageBreak/>
        <w:t>К концу 1943 г. полки ночников полно</w:t>
      </w:r>
      <w:r w:rsidRPr="00271E51">
        <w:rPr>
          <w:rFonts w:ascii="Times New Roman" w:hAnsi="Times New Roman"/>
          <w:noProof/>
          <w:color w:val="000000" w:themeColor="text1"/>
          <w:sz w:val="16"/>
          <w:szCs w:val="16"/>
        </w:rPr>
        <w:softHyphen/>
        <w:t>стью перешли на У-2. Р-5 оставалось все меньше, их окончательно переключили на вспомогательные задачи: связь, перевозка грузов, а в тылу также буксировка мишеней для воздушной стрельбы. В Саратовской военной авиационной планерной школе эти машины таскали за собой десантные плане</w:t>
      </w:r>
      <w:r w:rsidRPr="00271E51">
        <w:rPr>
          <w:rFonts w:ascii="Times New Roman" w:hAnsi="Times New Roman"/>
          <w:noProof/>
          <w:color w:val="000000" w:themeColor="text1"/>
          <w:sz w:val="16"/>
          <w:szCs w:val="16"/>
        </w:rPr>
        <w:softHyphen/>
        <w:t>ры (но только в учебных целях). Много Р-5 до конца войны сохранялось в авиационных училищах. А вот в морской авиации к январю 1944 г. осталось меньше десятка Р-5</w:t>
      </w:r>
      <w:r w:rsidRPr="00271E51">
        <w:rPr>
          <w:rFonts w:ascii="Times New Roman" w:hAnsi="Times New Roman"/>
          <w:color w:val="000000" w:themeColor="text1"/>
          <w:sz w:val="16"/>
          <w:szCs w:val="16"/>
        </w:rPr>
        <w:t xml:space="preserve"> (11936)</w:t>
      </w:r>
      <w:r w:rsidRPr="00271E51">
        <w:rPr>
          <w:rFonts w:ascii="Times New Roman" w:hAnsi="Times New Roman"/>
          <w:noProof/>
          <w:color w:val="000000" w:themeColor="text1"/>
          <w:sz w:val="16"/>
          <w:szCs w:val="16"/>
        </w:rPr>
        <w:t>.</w:t>
      </w:r>
    </w:p>
    <w:p w14:paraId="49BF6D4B"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rPr>
      </w:pPr>
    </w:p>
    <w:p w14:paraId="4FD0AFD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боевая деятельность И-15бис на Черноморском флоте закон</w:t>
      </w:r>
      <w:r w:rsidRPr="00271E51">
        <w:rPr>
          <w:rFonts w:ascii="Times New Roman" w:hAnsi="Times New Roman"/>
          <w:color w:val="000000" w:themeColor="text1"/>
          <w:sz w:val="16"/>
          <w:szCs w:val="16"/>
        </w:rPr>
        <w:softHyphen/>
        <w:t>чилась. В1944 г. эти самолёты ограничен</w:t>
      </w:r>
      <w:r w:rsidRPr="00271E51">
        <w:rPr>
          <w:rFonts w:ascii="Times New Roman" w:hAnsi="Times New Roman"/>
          <w:color w:val="000000" w:themeColor="text1"/>
          <w:sz w:val="16"/>
          <w:szCs w:val="16"/>
        </w:rPr>
        <w:softHyphen/>
        <w:t>но использовались для тренировочных полётов (12294).</w:t>
      </w:r>
    </w:p>
    <w:p w14:paraId="13F76E0E"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7C3662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полки легких ночных бомбардировщиков, которые изрядно сократились в числе, постепенно перешли полностью на У-2. В частях ВВС Р-5 становилось все меньше и они переключились на различные вспомогательные задачи: связь, перевозка грузов, а в тылу также буксировка мишеней для воздушной стрельбы. В Саратовской военной авиационной планерной школе (СВАПШ) эти машины таскали за собой десантные планеры (но только в учебных целях). Много Р-5 до конца войны сохранялось в авиационных училищах (12034).</w:t>
      </w:r>
    </w:p>
    <w:p w14:paraId="4D7120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CCD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года в составе сухопутных войск находилось 60 зенитных артиллерийских дивизий. В 1943 году в состав танковых, механизированных и кавалерийских корпусов было включено по одному зенитному артиллерийскому полку (3861).</w:t>
      </w:r>
    </w:p>
    <w:p w14:paraId="0874BA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657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1943 г. отечественные легкие танки исчезли из списков новой техники, поступающей на фронт. А все имеющиеся потребности Красной Армии в легких танках могли быть покрыты теперь только ленд-лизовскими поставками «Валентайнов» (11135).</w:t>
      </w:r>
    </w:p>
    <w:p w14:paraId="1CB836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012A8" w14:textId="77777777" w:rsidR="00CD4E8C" w:rsidRPr="00271E51" w:rsidRDefault="00CD4E8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концу 1943 г. Войска правительственной связи как самостоятельные войска НКВД обслуживали 27 970 км проводов от Москвы до штабов фронтов, 15 286 км от штабов фронтов до штабов армий, а также 46 461 км проводов НКО и НКС.</w:t>
      </w:r>
    </w:p>
    <w:p w14:paraId="37D89781" w14:textId="77777777" w:rsidR="00CD4E8C" w:rsidRPr="00271E51" w:rsidRDefault="00CD4E8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проведении крупномасштабных наступательных операций Красной Армии ВЧ-связь становится основным средством управления для командования фронтов в звене фронт—армия.</w:t>
      </w:r>
    </w:p>
    <w:p w14:paraId="0B38F134" w14:textId="77777777" w:rsidR="00CD4E8C" w:rsidRPr="00271E51" w:rsidRDefault="00CD4E8C"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развитей правительственной связи важную роль сыграло Положение об оператив</w:t>
      </w:r>
      <w:r w:rsidRPr="00271E51">
        <w:rPr>
          <w:rFonts w:ascii="Times New Roman" w:hAnsi="Times New Roman"/>
          <w:color w:val="000000" w:themeColor="text1"/>
          <w:sz w:val="16"/>
          <w:szCs w:val="16"/>
        </w:rPr>
        <w:softHyphen/>
        <w:t>ных органах и войсках правительственной связи НКВД СССР, вступившее в силу 15 декаб</w:t>
      </w:r>
      <w:r w:rsidRPr="00271E51">
        <w:rPr>
          <w:rFonts w:ascii="Times New Roman" w:hAnsi="Times New Roman"/>
          <w:color w:val="000000" w:themeColor="text1"/>
          <w:sz w:val="16"/>
          <w:szCs w:val="16"/>
        </w:rPr>
        <w:softHyphen/>
        <w:t>ря 1943 г. Последнее обобщило опыт организации ВЧ-связи на фронтах и до окончания войны стало основным, руководящим документом по обеспечению правительственной связи в звене Ставка ВГК—фронт—армия (15493).</w:t>
      </w:r>
    </w:p>
    <w:p w14:paraId="228A1A5B" w14:textId="77777777" w:rsidR="00CD4E8C" w:rsidRPr="00271E51" w:rsidRDefault="00CD4E8C" w:rsidP="00271E51">
      <w:pPr>
        <w:spacing w:after="0" w:line="240" w:lineRule="auto"/>
        <w:jc w:val="both"/>
        <w:rPr>
          <w:rFonts w:ascii="Times New Roman" w:hAnsi="Times New Roman"/>
          <w:color w:val="000000" w:themeColor="text1"/>
          <w:sz w:val="16"/>
          <w:szCs w:val="16"/>
        </w:rPr>
      </w:pPr>
    </w:p>
    <w:p w14:paraId="2A09F67B"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B4195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9DFA8" w14:textId="77777777" w:rsidR="00D57092" w:rsidRPr="00271E51" w:rsidRDefault="00D57092" w:rsidP="00271E51">
      <w:pPr>
        <w:shd w:val="clear" w:color="auto" w:fill="FFFFFF"/>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конце 1943 года прошли государственные испытания бомбардировщика FW191V6, Технический комитет министерства авиации аннулировал заказ на серию бомбардировщиков FW191B-1 и не согласился с предложением главного конструктора фирмы «Фокке Вульф» Курта Танка заменить два ненадежных мотора DB606 четырьмя менее мощными, зато хорошо себя зарекомендовавшими Jumo, DB601E, DB605 на самолете FW191C. Проект закрыли, зато вспомнили о «резервном» Do317 (22850).</w:t>
      </w:r>
    </w:p>
    <w:p w14:paraId="4B460D64" w14:textId="77777777" w:rsidR="00D57092" w:rsidRPr="00271E51" w:rsidRDefault="00D57092" w:rsidP="00271E51">
      <w:pPr>
        <w:shd w:val="clear" w:color="auto" w:fill="FFFFFF"/>
        <w:spacing w:after="0" w:line="240" w:lineRule="auto"/>
        <w:jc w:val="both"/>
        <w:rPr>
          <w:rFonts w:ascii="Times New Roman" w:hAnsi="Times New Roman"/>
          <w:color w:val="0070C0"/>
          <w:sz w:val="16"/>
          <w:szCs w:val="16"/>
        </w:rPr>
      </w:pPr>
    </w:p>
    <w:p w14:paraId="07454CC1" w14:textId="77777777" w:rsidR="00D57092" w:rsidRPr="00271E51" w:rsidRDefault="00D57092" w:rsidP="00271E51">
      <w:pPr>
        <w:pStyle w:val="ae"/>
        <w:shd w:val="clear" w:color="auto" w:fill="FFFFFF"/>
        <w:spacing w:before="0" w:after="0"/>
        <w:jc w:val="both"/>
        <w:rPr>
          <w:color w:val="0070C0"/>
          <w:sz w:val="16"/>
          <w:szCs w:val="16"/>
        </w:rPr>
      </w:pPr>
      <w:r w:rsidRPr="00271E51">
        <w:rPr>
          <w:color w:val="0070C0"/>
          <w:sz w:val="16"/>
          <w:szCs w:val="16"/>
        </w:rPr>
        <w:t>В конце 1943 г. несколько FW 200C-3U1 и U2 были доработаны подвеской двух крылатых ракет под внешними мотогондолами, а на месте бомбардира появился визир, передатчик FuG 203b «Страсбург III» и пульт с рукояткой-кнюппелем для передачи команд наведения «вверх-вниз» и «вправо-влево» на ракету. Переделанные машины обозначались FW 200C-6, а те, на которых аппаратуру запуска ракет ставили при сборке на заводе — С-8. Они отличались удлиненными внешними мотогондолами, снижавшими сопротивление громоздкой подвески (22969).</w:t>
      </w:r>
    </w:p>
    <w:p w14:paraId="089E2D35" w14:textId="77777777" w:rsidR="00D57092" w:rsidRPr="00271E51" w:rsidRDefault="00D57092" w:rsidP="00271E51">
      <w:pPr>
        <w:pStyle w:val="ae"/>
        <w:shd w:val="clear" w:color="auto" w:fill="FFFFFF"/>
        <w:spacing w:before="0" w:after="0"/>
        <w:jc w:val="both"/>
        <w:rPr>
          <w:color w:val="0070C0"/>
          <w:sz w:val="16"/>
          <w:szCs w:val="16"/>
        </w:rPr>
      </w:pPr>
    </w:p>
    <w:p w14:paraId="7E20110F" w14:textId="77777777" w:rsidR="00D009D8" w:rsidRPr="00271E51" w:rsidRDefault="00D00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 новом заводе, расположенном к югу от Пенемюнде началось предварительное производство А-4. Однако основной серийный выпуск V-2 осуществлялся на огром</w:t>
      </w:r>
      <w:r w:rsidRPr="00271E51">
        <w:rPr>
          <w:rFonts w:ascii="Times New Roman" w:hAnsi="Times New Roman"/>
          <w:color w:val="000000" w:themeColor="text1"/>
          <w:sz w:val="16"/>
          <w:szCs w:val="16"/>
        </w:rPr>
        <w:softHyphen/>
        <w:t>ном подземном заводе Mittelwerke, где 50 000 славянских рабочих соби</w:t>
      </w:r>
      <w:r w:rsidRPr="00271E51">
        <w:rPr>
          <w:rFonts w:ascii="Times New Roman" w:hAnsi="Times New Roman"/>
          <w:color w:val="000000" w:themeColor="text1"/>
          <w:sz w:val="16"/>
          <w:szCs w:val="16"/>
        </w:rPr>
        <w:softHyphen/>
        <w:t>рали немецкое «чудо-оружие» (19630).</w:t>
      </w:r>
    </w:p>
    <w:p w14:paraId="2F3B665C" w14:textId="77777777" w:rsidR="00D009D8" w:rsidRPr="00271E51" w:rsidRDefault="00D009D8" w:rsidP="00271E51">
      <w:pPr>
        <w:spacing w:after="0" w:line="240" w:lineRule="auto"/>
        <w:jc w:val="both"/>
        <w:rPr>
          <w:rFonts w:ascii="Times New Roman" w:hAnsi="Times New Roman"/>
          <w:color w:val="000000" w:themeColor="text1"/>
          <w:sz w:val="16"/>
          <w:szCs w:val="16"/>
        </w:rPr>
      </w:pPr>
    </w:p>
    <w:p w14:paraId="14D29F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немцы начали работать над дизелем Юмо 224 мощностью 4800 л.с., над которым потом работали и мы. работы остановили на 80: готовности переключив силу на ТРД (1795,75).</w:t>
      </w:r>
    </w:p>
    <w:p w14:paraId="6F3548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9EB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 все ильюшинские са</w:t>
      </w:r>
      <w:r w:rsidRPr="00271E51">
        <w:rPr>
          <w:rFonts w:ascii="Times New Roman" w:hAnsi="Times New Roman"/>
          <w:color w:val="000000" w:themeColor="text1"/>
          <w:sz w:val="16"/>
          <w:szCs w:val="16"/>
        </w:rPr>
        <w:softHyphen/>
        <w:t>молеты передали эскадрилье Lelv 46, укомплектованную в основном немец</w:t>
      </w:r>
      <w:r w:rsidRPr="00271E51">
        <w:rPr>
          <w:rFonts w:ascii="Times New Roman" w:hAnsi="Times New Roman"/>
          <w:color w:val="000000" w:themeColor="text1"/>
          <w:sz w:val="16"/>
          <w:szCs w:val="16"/>
        </w:rPr>
        <w:softHyphen/>
        <w:t>кими Во 172 (10734,87).</w:t>
      </w:r>
    </w:p>
    <w:p w14:paraId="7F74D9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1F2B6" w14:textId="77777777" w:rsidR="00EC0BEB" w:rsidRPr="00271E51" w:rsidRDefault="00EC0BEB" w:rsidP="00271E51">
      <w:pPr>
        <w:pStyle w:val="36"/>
        <w:shd w:val="clear" w:color="auto" w:fill="auto"/>
        <w:spacing w:after="0" w:line="240" w:lineRule="auto"/>
        <w:jc w:val="both"/>
        <w:rPr>
          <w:rFonts w:ascii="Times New Roman" w:cs="Times New Roman"/>
          <w:color w:val="000000" w:themeColor="text1"/>
          <w:spacing w:val="0"/>
          <w:sz w:val="16"/>
          <w:szCs w:val="16"/>
        </w:rPr>
      </w:pPr>
      <w:r w:rsidRPr="00271E51">
        <w:rPr>
          <w:rFonts w:ascii="Times New Roman" w:cs="Times New Roman"/>
          <w:color w:val="000000" w:themeColor="text1"/>
          <w:spacing w:val="0"/>
          <w:sz w:val="16"/>
          <w:szCs w:val="16"/>
        </w:rPr>
        <w:t>С конца 1943 г. на аэродроме Брандис в 15 км от Тауша испытывалось все, что производилось в Дессау и на других юнкерсовских предприятиях. Поле близ городка Брандис впервые использовали для авиации в 1935 г. Здесь ба</w:t>
      </w:r>
      <w:r w:rsidRPr="00271E51">
        <w:rPr>
          <w:rFonts w:ascii="Times New Roman" w:cs="Times New Roman"/>
          <w:color w:val="000000" w:themeColor="text1"/>
          <w:spacing w:val="0"/>
          <w:sz w:val="16"/>
          <w:szCs w:val="16"/>
        </w:rPr>
        <w:softHyphen/>
        <w:t>зировались сначала ночные бомбардировщики, затем истребители. Во второй половине 1944 г. нагрузка на аэродром ещё более возросла: там создали так называемую «школу слепых полётов», а фактически — силь</w:t>
      </w:r>
      <w:r w:rsidRPr="00271E51">
        <w:rPr>
          <w:rFonts w:ascii="Times New Roman" w:cs="Times New Roman"/>
          <w:color w:val="000000" w:themeColor="text1"/>
          <w:spacing w:val="0"/>
          <w:sz w:val="16"/>
          <w:szCs w:val="16"/>
        </w:rPr>
        <w:softHyphen/>
        <w:t>ную базу ПВО из истребителей Ме-163 (эскадрилья «400»), выпускавшихся на заводах Юнкерса. Союзники всё это проморгали, т.к. днём немцы хорошо маскировали техни</w:t>
      </w:r>
      <w:r w:rsidRPr="00271E51">
        <w:rPr>
          <w:rFonts w:ascii="Times New Roman" w:cs="Times New Roman"/>
          <w:color w:val="000000" w:themeColor="text1"/>
          <w:spacing w:val="0"/>
          <w:sz w:val="16"/>
          <w:szCs w:val="16"/>
        </w:rPr>
        <w:softHyphen/>
      </w:r>
      <w:r w:rsidRPr="00271E51">
        <w:rPr>
          <w:rStyle w:val="1pt"/>
          <w:rFonts w:ascii="Times New Roman" w:eastAsia="Arial Narrow" w:cs="Times New Roman"/>
          <w:color w:val="000000" w:themeColor="text1"/>
          <w:spacing w:val="0"/>
          <w:sz w:val="16"/>
          <w:szCs w:val="16"/>
        </w:rPr>
        <w:t>ку—в</w:t>
      </w:r>
      <w:r w:rsidRPr="00271E51">
        <w:rPr>
          <w:rFonts w:ascii="Times New Roman" w:cs="Times New Roman"/>
          <w:color w:val="000000" w:themeColor="text1"/>
          <w:spacing w:val="0"/>
          <w:sz w:val="16"/>
          <w:szCs w:val="16"/>
        </w:rPr>
        <w:t xml:space="preserve"> основном маленькие «Мессершмитты», используя густой лес по границам аэро</w:t>
      </w:r>
      <w:r w:rsidRPr="00271E51">
        <w:rPr>
          <w:rFonts w:ascii="Times New Roman" w:cs="Times New Roman"/>
          <w:color w:val="000000" w:themeColor="text1"/>
          <w:spacing w:val="0"/>
          <w:sz w:val="16"/>
          <w:szCs w:val="16"/>
        </w:rPr>
        <w:softHyphen/>
        <w:t>дрома. Даже большие самолёты, в том числе опытные, не привлекли их внимания. Поэтому Брандис, в отличие от главного военного испытательного аэродрома Рехлин, начали осторожно бомбить (и только ночью: боялись Ме-163) с февраля 1945 г. Рех</w:t>
      </w:r>
      <w:r w:rsidRPr="00271E51">
        <w:rPr>
          <w:rFonts w:ascii="Times New Roman" w:cs="Times New Roman"/>
          <w:color w:val="000000" w:themeColor="text1"/>
          <w:spacing w:val="0"/>
          <w:sz w:val="16"/>
          <w:szCs w:val="16"/>
        </w:rPr>
        <w:softHyphen/>
        <w:t>лин же фактически вывели из строя (15791).</w:t>
      </w:r>
    </w:p>
    <w:p w14:paraId="6B88F460" w14:textId="77777777" w:rsidR="00EC0BEB" w:rsidRPr="00271E51" w:rsidRDefault="00EC0BEB" w:rsidP="00271E51">
      <w:pPr>
        <w:pStyle w:val="36"/>
        <w:shd w:val="clear" w:color="auto" w:fill="auto"/>
        <w:spacing w:after="0" w:line="240" w:lineRule="auto"/>
        <w:jc w:val="both"/>
        <w:rPr>
          <w:rFonts w:ascii="Times New Roman" w:cs="Times New Roman"/>
          <w:color w:val="000000" w:themeColor="text1"/>
          <w:spacing w:val="0"/>
          <w:sz w:val="16"/>
          <w:szCs w:val="16"/>
        </w:rPr>
      </w:pPr>
    </w:p>
    <w:p w14:paraId="0013F2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года для нужд программы началось строительство гигантского подземного комплекса под кодовым название «Земент» («Zement»). В подгорном массиве в районе Гнюндена, что в северно-западной Австрии, было запланировано создать огромный защищенный комплекс, предназначенный для сборки, подготовки к запуску и обслуживания двухступенчатой ракеты «А-9/А-10». При этом само место запуска предполагалось разместить в ближайшей долине. Численность персонала объекта «Земент» должна была составлять не менее 3000 специально подготовленных человек…</w:t>
      </w:r>
    </w:p>
    <w:p w14:paraId="185B1E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Принципиальным недостатоком баллистической ракеты типа «V-2» является то, что она выполнена в виде моноблока, движущегося как единое целое в течение всего полета. В то же время полет ракеты состоиял из двух совершенно разных этапов – активного, когда работает двигатель, и пассивного, когда ракета двигается по баллистической траектории. На активном этапе нужны крупногабаритные баки с горючим, но это делает ракету достаточно громоздкой. Чем выше скорость, а она повышается с увеличением расчетной дальности полета, тем больше увеличивается нагрузка при входе в плотные слои атмосферы на нисходящей ветви траектории. Корпус «V-2» зачастую не выдерживал эти нагрузки, что приводило к многочисленным авариям при испытаниях и потерям боевых ракет. Так что, в принципе одноступенчатую ракету «V-2» невозможно было модернизировать для увеличения дальности полета свыше 1000 км.</w:t>
      </w:r>
    </w:p>
    <w:p w14:paraId="7ABC5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этой причине, когда встал вопрос о создании ракеты, способной достичь территории США, конструкторы Пенемюнде решили сделать ракету двухступенчатой. Согласно их проекту в качестве первой ступени, представлявшей собой стартовый ускоритель, должна была использоваться ракета «А-10», а вторая ступень состояла из снабженной крыльями ракеты «А-9».</w:t>
      </w:r>
    </w:p>
    <w:p w14:paraId="26F199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ступень обеспечивала вертикальный запуск и скорость ракеты примерно 1180 м/с (4250 км/ч). После выгорания топлива в первой ступени, которое, согласно расчетам, должно было произойти на высоте 24 км, эта ступень автоматически отделялась и опускалась на парашюте. В момент отделения первой ступени включался двигатель второй ступени, который должен был разогнать ракету до 2780 м/с (10 000 км/ч) и поднять ее на высоту около 350 км. Оказавшись в космосе, ракета двигалась бы по баллистической траектории, а при входе ее в более плотные слои атмосферы вступали в действие аэродинамические рули, и ракета из пикирующего полета переходила бы в планирование, опираясь при этом на свои стреловидные крылья. Весь перелет из Европы в Америку должен был занять не более 35 – 37 минут.</w:t>
      </w:r>
    </w:p>
    <w:p w14:paraId="1DA954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Главное преимущество двухступенчатой конструкции ракеты заключается в том, что отделившаяся после выполнения своей задачи первая ступень (с ее ставшими ненужными топливными баками, двигателем и оболочкой корпуса) не участвует в полете больше, чем это необходимо и не является балластом для второй ступени.</w:t>
      </w:r>
    </w:p>
    <w:p w14:paraId="04247D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ступень «А-10» была внушительным сооружением: весом 69 т и длиной 20 м. С помощью турбонасосов 52 т топлива (этиловый спирт и жидкий кислород) подавались в двигатель конструкции Тиля-Вальтера, развивающий колоссальную тягу в 200 т. Симметрично вокруг выходного отверстия сопла двигателя располагались четыре графитовых газовых руля, обеспечивающие стабилизацию полета. Управление ими осуществлялось с помощью гироскопов. В верхней части первой ступени имелся узел для стыковки со второй ступенью, а в нижней ее части были смонтированы четыре стабилизатора размахом 9,8 м, которые служили опорой ракеты на старте.</w:t>
      </w:r>
    </w:p>
    <w:p w14:paraId="06F9E7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Для обеспечения многоразового использования ступени «А-10» предполагалось использовать специальную систему ее спасения, состоящую из аэродинамических тормозов и парашюта так называемой самораскрывающейся конструкции площадью 25 м2 . Конструкция парашюта позволяла открыть его еще в разряженных слоях атмосферы для того, чтобы он работал в качестве плавного тормоза на протяжении многих километров падения первой ступени.</w:t>
      </w:r>
    </w:p>
    <w:p w14:paraId="3C3B99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Ракета «А-9» являлась вариантом ракеты «А-4b», но на новом топливе «SV-Stoff» (окись азота и «визол»). При общем весе 16,2 т она имела длину 14 м и диаметр – 1,62 м. Ее двигатель развивал тягу 25 400 кг, а вес топлива составлял 11,9 т. Среднюю и нижнюю части ракеты занимали баки с топливом и двигатель, а верхняя часть предназначалась для полезного груза. Максимальная расчетная дальность достигала 4800 км.</w:t>
      </w:r>
    </w:p>
    <w:p w14:paraId="557894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Дальнейшая судьба двухступенчатой трансатлантической ракеты «А-9/А-10» (ее еще называют «Amerika-Rakete») до сих пор вызывает горячие споры.</w:t>
      </w:r>
    </w:p>
    <w:p w14:paraId="0DF25A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Одни утверждают, что было изготовлено только два или три макетных образца ракеты «А-9», а ускоритель «А-10» так и остался на бумаге.</w:t>
      </w:r>
    </w:p>
    <w:p w14:paraId="25826B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Другие, ссылаясь на изыскания западных историков, говорят о том, что межконтинентальная ракета Третьего рейха была не только сконструирована, но и доведена до серийного производства.</w:t>
      </w:r>
    </w:p>
    <w:p w14:paraId="17701C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автор этого проекта Вернер фон Браун сообщил и о существовании вполне мирного варианта ракеты «А-9/А-10». Он подразумевал наличие в компоновке ракеты комфортабельной кабины пилота, убирающегося в полете трехколесного шасси и аэродинамических приспособлений, необходимых для посадки. В этом варианте летчик так же брал на себя управление на высоте 45 км и переводил ракету в планирующий полет. Приближаясь к месту назначения, пилот сбрасывал заостренный обтекатель носовой части, выпускал шасси и садился при посадочной скорости всего около 130 км/ч.</w:t>
      </w:r>
    </w:p>
    <w:p w14:paraId="42F5DA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рассматривать проект «А-9/А-10» с чисто военной точки зрения, то боевая эффективность этого монстра, весящего 86 т, расходующего 64 т топлива и доставляющего к цели заряд всего в 1 т, представляется сомнительной. Однако немецкое военно-политическое руководство оценивало проекты не с точки зрения экономической целесообразности или боевой эффективности, а с точки зрения политики. Уже сам факт того, что Нью-Йорк и другие города США не являются более недостижимыми для германских межконтинентальных ракет, оказал бы сильнейшее психологическое воздействие на население США, которое потребовало бы у своего правительства немедленного выхода из войны. Впрочем, то же самое говорили и об англичанах… (11688).</w:t>
      </w:r>
    </w:p>
    <w:p w14:paraId="6CDE0F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4F39F" w14:textId="77777777" w:rsidR="00EF331F" w:rsidRPr="00271E51" w:rsidRDefault="00EF331F"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конце 1943 г. стал выпускаться вариант «ночника» с новой РЛС FuG 220 «Lichtenstein SN-2b» — Bf-110G-4b. Кроме комплекта R3, он мог оснащаться комплектами R6 — комплект R3 c системой GM-1 и R7 — комбинация R3 с дополнительным топливным баком по образцу «набора заводской установки» U8 (22894).</w:t>
      </w:r>
    </w:p>
    <w:p w14:paraId="23B304B6" w14:textId="77777777" w:rsidR="00EF331F" w:rsidRPr="00271E51" w:rsidRDefault="00EF331F" w:rsidP="00271E51">
      <w:pPr>
        <w:spacing w:after="0" w:line="240" w:lineRule="auto"/>
        <w:jc w:val="both"/>
        <w:rPr>
          <w:rFonts w:ascii="Times New Roman" w:hAnsi="Times New Roman"/>
          <w:color w:val="0070C0"/>
          <w:sz w:val="16"/>
          <w:szCs w:val="16"/>
        </w:rPr>
      </w:pPr>
    </w:p>
    <w:p w14:paraId="1E10C553" w14:textId="77777777" w:rsidR="00CD4E8C" w:rsidRPr="00271E51" w:rsidRDefault="00CD4E8C" w:rsidP="00271E51">
      <w:pPr>
        <w:pStyle w:val="Default"/>
        <w:jc w:val="both"/>
        <w:rPr>
          <w:color w:val="000000" w:themeColor="text1"/>
          <w:sz w:val="16"/>
          <w:szCs w:val="16"/>
        </w:rPr>
      </w:pPr>
      <w:r w:rsidRPr="00271E51">
        <w:rPr>
          <w:color w:val="000000" w:themeColor="text1"/>
          <w:sz w:val="16"/>
          <w:szCs w:val="16"/>
        </w:rPr>
        <w:t xml:space="preserve">В конце 1943 г. основная часть предприятия «Fernsehen» («Телевидение») была спрятана от берлинских бомбежек в Судетские горы и получила там новое конспиративное название - "Farvis". Упоминается городок Obertannwald в Судетах, куда она была перебазирована. Предприятие разместили в бывшей прядильной фабрике, а для высоковакуумного производства супериконоскопов было выстроено новое здание c заданием на выпуск 1000 экз. в год. В конце 1945 года пять сотрудников предприятия вместе с семьями и мебелью, а также оборудованием для производства </w:t>
      </w:r>
      <w:r w:rsidRPr="00271E51">
        <w:rPr>
          <w:iCs/>
          <w:color w:val="000000" w:themeColor="text1"/>
          <w:sz w:val="16"/>
          <w:szCs w:val="16"/>
        </w:rPr>
        <w:t xml:space="preserve">электроннолучевых трубок </w:t>
      </w:r>
      <w:r w:rsidRPr="00271E51">
        <w:rPr>
          <w:color w:val="000000" w:themeColor="text1"/>
          <w:sz w:val="16"/>
          <w:szCs w:val="16"/>
        </w:rPr>
        <w:t xml:space="preserve">(ЭЛТ) и работ по металлу в товарных вагонах были вывезены в Советский Союз. Они прибыли во Фрязино 7 апреля 1946 г., и были размещены в домах по сегодняшней Институтской улице (вероятно, это был дом «8 или 10»). Среди них был и начальник производства ЭЛТ в этой фирме Вальтер Хасс (ЭЛТ для телевизоров, осциллографов и РЛС стали потом называться английским термином </w:t>
      </w:r>
      <w:r w:rsidRPr="00271E51">
        <w:rPr>
          <w:iCs/>
          <w:color w:val="000000" w:themeColor="text1"/>
          <w:sz w:val="16"/>
          <w:szCs w:val="16"/>
        </w:rPr>
        <w:t>- кинескоп</w:t>
      </w:r>
      <w:r w:rsidRPr="00271E51">
        <w:rPr>
          <w:color w:val="000000" w:themeColor="text1"/>
          <w:sz w:val="16"/>
          <w:szCs w:val="16"/>
        </w:rPr>
        <w:t xml:space="preserve">). Имен своих четырех спутников Хасс не назвал. Это были, скорее всего, специалисты по </w:t>
      </w:r>
      <w:r w:rsidRPr="00271E51">
        <w:rPr>
          <w:iCs/>
          <w:color w:val="000000" w:themeColor="text1"/>
          <w:sz w:val="16"/>
          <w:szCs w:val="16"/>
        </w:rPr>
        <w:t xml:space="preserve">оборудованию испытательных установок </w:t>
      </w:r>
      <w:r w:rsidRPr="00271E51">
        <w:rPr>
          <w:color w:val="000000" w:themeColor="text1"/>
          <w:sz w:val="16"/>
          <w:szCs w:val="16"/>
        </w:rPr>
        <w:t>для кинескопов и другой аппаратуры.</w:t>
      </w:r>
    </w:p>
    <w:p w14:paraId="046ECE42" w14:textId="77777777" w:rsidR="00CD4E8C" w:rsidRPr="00271E51" w:rsidRDefault="00CD4E8C" w:rsidP="00271E51">
      <w:pPr>
        <w:shd w:val="clear" w:color="auto" w:fill="FFFFFF"/>
        <w:spacing w:after="0" w:line="240" w:lineRule="auto"/>
        <w:jc w:val="both"/>
        <w:rPr>
          <w:rFonts w:ascii="Times New Roman" w:hAnsi="Times New Roman"/>
          <w:color w:val="000000" w:themeColor="text1"/>
          <w:sz w:val="16"/>
          <w:szCs w:val="16"/>
        </w:rPr>
      </w:pPr>
    </w:p>
    <w:p w14:paraId="29EB69E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474BB2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AB0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 начале 1944 г. на заводе № 468 была размещена конструкторская группа во главе с полковником П.В. Цыбиным, проектировавшая де</w:t>
      </w:r>
      <w:r w:rsidRPr="00271E51">
        <w:rPr>
          <w:rFonts w:ascii="Times New Roman" w:hAnsi="Times New Roman"/>
          <w:color w:val="000000" w:themeColor="text1"/>
          <w:sz w:val="16"/>
          <w:szCs w:val="16"/>
        </w:rPr>
        <w:softHyphen/>
        <w:t>сантные планеры. Группа Цыбина довольно бы</w:t>
      </w:r>
      <w:r w:rsidRPr="00271E51">
        <w:rPr>
          <w:rFonts w:ascii="Times New Roman" w:hAnsi="Times New Roman"/>
          <w:color w:val="000000" w:themeColor="text1"/>
          <w:sz w:val="16"/>
          <w:szCs w:val="16"/>
        </w:rPr>
        <w:softHyphen/>
        <w:t>стро выросла в собственное ОКБ, а вскоре после окончания войны прика</w:t>
      </w:r>
      <w:r w:rsidRPr="00271E51">
        <w:rPr>
          <w:rFonts w:ascii="Times New Roman" w:hAnsi="Times New Roman"/>
          <w:color w:val="000000" w:themeColor="text1"/>
          <w:sz w:val="16"/>
          <w:szCs w:val="16"/>
        </w:rPr>
        <w:softHyphen/>
        <w:t>зом наркома авиационной промыш</w:t>
      </w:r>
      <w:r w:rsidRPr="00271E51">
        <w:rPr>
          <w:rFonts w:ascii="Times New Roman" w:hAnsi="Times New Roman"/>
          <w:color w:val="000000" w:themeColor="text1"/>
          <w:sz w:val="16"/>
          <w:szCs w:val="16"/>
        </w:rPr>
        <w:softHyphen/>
        <w:t>ленности от 19 ноября 1945 г. завод №468 был возвращен в подчинение 7-му Главному управлению НКАП, А. И. Привалова назначили директо</w:t>
      </w:r>
      <w:r w:rsidRPr="00271E51">
        <w:rPr>
          <w:rFonts w:ascii="Times New Roman" w:hAnsi="Times New Roman"/>
          <w:color w:val="000000" w:themeColor="text1"/>
          <w:sz w:val="16"/>
          <w:szCs w:val="16"/>
        </w:rPr>
        <w:softHyphen/>
        <w:t>ром завода, а П.В. Цыбина - главным конструктором. Опытно-конструкторские работы сосредоточились на ; планерах Цыбина, в его ОКБ переве</w:t>
      </w:r>
      <w:r w:rsidRPr="00271E51">
        <w:rPr>
          <w:rFonts w:ascii="Times New Roman" w:hAnsi="Times New Roman"/>
          <w:color w:val="000000" w:themeColor="text1"/>
          <w:sz w:val="16"/>
          <w:szCs w:val="16"/>
        </w:rPr>
        <w:softHyphen/>
        <w:t>ли и конструкторов-«парашютистов» (11752).</w:t>
      </w:r>
    </w:p>
    <w:p w14:paraId="20E245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AD2ED" w14:textId="77777777" w:rsidR="007E02AB" w:rsidRPr="00271E51" w:rsidRDefault="007E02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начале 1944 года авиазавод в Красно</w:t>
      </w:r>
      <w:r w:rsidRPr="00271E51">
        <w:rPr>
          <w:rFonts w:ascii="Times New Roman" w:hAnsi="Times New Roman"/>
          <w:color w:val="000000" w:themeColor="text1"/>
          <w:sz w:val="16"/>
          <w:szCs w:val="16"/>
        </w:rPr>
        <w:softHyphen/>
        <w:t>ярске начал поставлять КОР-2 на Балтийский флот. Всего сюда поступило 12 экземпляров, которые вошли в состав 29-й отдельной разведывательной эскадрильи. В начале 1945 г. здесь числилось 10 самоле</w:t>
      </w:r>
      <w:r w:rsidRPr="00271E51">
        <w:rPr>
          <w:rFonts w:ascii="Times New Roman" w:hAnsi="Times New Roman"/>
          <w:color w:val="000000" w:themeColor="text1"/>
          <w:sz w:val="16"/>
          <w:szCs w:val="16"/>
        </w:rPr>
        <w:softHyphen/>
        <w:t>тов КОР-2 (Бе-4): №№ 4770205, 4770302, 4770305, 4770303, 4770405, 4770301, 4770401, 4770403, 4770404, 4770402, 4770205. По со</w:t>
      </w:r>
      <w:r w:rsidRPr="00271E51">
        <w:rPr>
          <w:rFonts w:ascii="Times New Roman" w:hAnsi="Times New Roman"/>
          <w:color w:val="000000" w:themeColor="text1"/>
          <w:sz w:val="16"/>
          <w:szCs w:val="16"/>
        </w:rPr>
        <w:softHyphen/>
        <w:t>стоянию на 9 мая в строю оставалось 9 эк</w:t>
      </w:r>
      <w:r w:rsidRPr="00271E51">
        <w:rPr>
          <w:rFonts w:ascii="Times New Roman" w:hAnsi="Times New Roman"/>
          <w:color w:val="000000" w:themeColor="text1"/>
          <w:sz w:val="16"/>
          <w:szCs w:val="16"/>
        </w:rPr>
        <w:softHyphen/>
        <w:t>земпляров. Известно, что один из первых поставленных самолетов потерпел аварию в конце 1943 г. на аэродроме Гора-Валдай. КОР-2, заводской №4770303, хвостовой но</w:t>
      </w:r>
      <w:r w:rsidRPr="00271E51">
        <w:rPr>
          <w:rFonts w:ascii="Times New Roman" w:hAnsi="Times New Roman"/>
          <w:color w:val="000000" w:themeColor="text1"/>
          <w:sz w:val="16"/>
          <w:szCs w:val="16"/>
        </w:rPr>
        <w:softHyphen/>
        <w:t>мер 3, выпущенный в марте 1944 г., налетал 35 часов. Пилотируемый командиром 17-й оаэ майором И.Г.Мирошниченко самолет потерпел аварию 13 апреля 1945 г. При со</w:t>
      </w:r>
      <w:r w:rsidRPr="00271E51">
        <w:rPr>
          <w:rFonts w:ascii="Times New Roman" w:hAnsi="Times New Roman"/>
          <w:color w:val="000000" w:themeColor="text1"/>
          <w:sz w:val="16"/>
          <w:szCs w:val="16"/>
        </w:rPr>
        <w:softHyphen/>
        <w:t>вершении грубой посадки на озере Киш этот КОР-2 выполнил два «барса» (т.е. взмыва</w:t>
      </w:r>
      <w:r w:rsidRPr="00271E51">
        <w:rPr>
          <w:rFonts w:ascii="Times New Roman" w:hAnsi="Times New Roman"/>
          <w:color w:val="000000" w:themeColor="text1"/>
          <w:sz w:val="16"/>
          <w:szCs w:val="16"/>
        </w:rPr>
        <w:softHyphen/>
        <w:t>ния), ударился о воду и начал тонуть. Само</w:t>
      </w:r>
      <w:r w:rsidRPr="00271E51">
        <w:rPr>
          <w:rFonts w:ascii="Times New Roman" w:hAnsi="Times New Roman"/>
          <w:color w:val="000000" w:themeColor="text1"/>
          <w:sz w:val="16"/>
          <w:szCs w:val="16"/>
        </w:rPr>
        <w:softHyphen/>
        <w:t>лет пришлось списать.</w:t>
      </w:r>
    </w:p>
    <w:p w14:paraId="467A9FD8" w14:textId="77777777" w:rsidR="007E02AB" w:rsidRPr="00271E51" w:rsidRDefault="007E02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Использование КОР-2 на Балтике было эпизодическим, в основном осуществлялись вылеты на разведку побережья и для спасе</w:t>
      </w:r>
      <w:r w:rsidRPr="00271E51">
        <w:rPr>
          <w:rFonts w:ascii="Times New Roman" w:hAnsi="Times New Roman"/>
          <w:color w:val="000000" w:themeColor="text1"/>
          <w:sz w:val="16"/>
          <w:szCs w:val="16"/>
        </w:rPr>
        <w:softHyphen/>
        <w:t>ния летчиков со сбитых самолетов. 22 июля 1944 г., после нанесения удара по немецким кораблям в Балтийском море, Ил-2 из соста</w:t>
      </w:r>
      <w:r w:rsidRPr="00271E51">
        <w:rPr>
          <w:rFonts w:ascii="Times New Roman" w:hAnsi="Times New Roman"/>
          <w:color w:val="000000" w:themeColor="text1"/>
          <w:sz w:val="16"/>
          <w:szCs w:val="16"/>
        </w:rPr>
        <w:softHyphen/>
        <w:t>ва 8-го гвардейского штурмового авиапол</w:t>
      </w:r>
      <w:r w:rsidRPr="00271E51">
        <w:rPr>
          <w:rFonts w:ascii="Times New Roman" w:hAnsi="Times New Roman"/>
          <w:color w:val="000000" w:themeColor="text1"/>
          <w:sz w:val="16"/>
          <w:szCs w:val="16"/>
        </w:rPr>
        <w:softHyphen/>
        <w:t>ка 11-й штурмовой авиадивизии по причи</w:t>
      </w:r>
      <w:r w:rsidRPr="00271E51">
        <w:rPr>
          <w:rFonts w:ascii="Times New Roman" w:hAnsi="Times New Roman"/>
          <w:color w:val="000000" w:themeColor="text1"/>
          <w:sz w:val="16"/>
          <w:szCs w:val="16"/>
        </w:rPr>
        <w:softHyphen/>
        <w:t>не отказа двигателя совершил вынужденную посадку в Финском заливе. Самолет быстро затонул, пилот Кузнецов и стрелок Стрижак перебрались в спасательную лодку. Короткое время спустя их атаковала пара ФВ-190, ко</w:t>
      </w:r>
      <w:r w:rsidRPr="00271E51">
        <w:rPr>
          <w:rFonts w:ascii="Times New Roman" w:hAnsi="Times New Roman"/>
          <w:color w:val="000000" w:themeColor="text1"/>
          <w:sz w:val="16"/>
          <w:szCs w:val="16"/>
        </w:rPr>
        <w:softHyphen/>
        <w:t>торую отогнали истребители Ла-5. Чуть поз же «лавочкины» навели на терпящих бедст</w:t>
      </w:r>
      <w:r w:rsidRPr="00271E51">
        <w:rPr>
          <w:rFonts w:ascii="Times New Roman" w:hAnsi="Times New Roman"/>
          <w:color w:val="000000" w:themeColor="text1"/>
          <w:sz w:val="16"/>
          <w:szCs w:val="16"/>
        </w:rPr>
        <w:softHyphen/>
        <w:t>вие летчиков КОР-2, вылетевший с гидроаэ</w:t>
      </w:r>
      <w:r w:rsidRPr="00271E51">
        <w:rPr>
          <w:rFonts w:ascii="Times New Roman" w:hAnsi="Times New Roman"/>
          <w:color w:val="000000" w:themeColor="text1"/>
          <w:sz w:val="16"/>
          <w:szCs w:val="16"/>
        </w:rPr>
        <w:softHyphen/>
        <w:t>родрома Гора-Валдай. Пилот этой летающей лодки майор Апарин удачно приводнился, забрал летчиков и доставил их домой.</w:t>
      </w:r>
    </w:p>
    <w:p w14:paraId="695301D3" w14:textId="77777777" w:rsidR="007E02AB" w:rsidRPr="00271E51" w:rsidRDefault="007E02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в составе ВВС Балтийского флота оставались два КОР-2. Очевидно, часть бал</w:t>
      </w:r>
      <w:r w:rsidRPr="00271E51">
        <w:rPr>
          <w:rFonts w:ascii="Times New Roman" w:hAnsi="Times New Roman"/>
          <w:color w:val="000000" w:themeColor="text1"/>
          <w:sz w:val="16"/>
          <w:szCs w:val="16"/>
        </w:rPr>
        <w:softHyphen/>
        <w:t>тийских машин к этому периоду перевели на Каспийское море. В 1946 г. в составе 79-й мор</w:t>
      </w:r>
      <w:r w:rsidRPr="00271E51">
        <w:rPr>
          <w:rFonts w:ascii="Times New Roman" w:hAnsi="Times New Roman"/>
          <w:color w:val="000000" w:themeColor="text1"/>
          <w:sz w:val="16"/>
          <w:szCs w:val="16"/>
        </w:rPr>
        <w:softHyphen/>
        <w:t>ской разведывательной эскадрильи, базирую</w:t>
      </w:r>
      <w:r w:rsidRPr="00271E51">
        <w:rPr>
          <w:rFonts w:ascii="Times New Roman" w:hAnsi="Times New Roman"/>
          <w:color w:val="000000" w:themeColor="text1"/>
          <w:sz w:val="16"/>
          <w:szCs w:val="16"/>
        </w:rPr>
        <w:softHyphen/>
        <w:t>щейся в Баку, числилось 10 КОР-2.</w:t>
      </w:r>
    </w:p>
    <w:p w14:paraId="3079EC1F" w14:textId="77777777" w:rsidR="007E02AB" w:rsidRPr="00271E51" w:rsidRDefault="007E02AB"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Тихоокеанский флот до 1 января 1945 г. поступило 4 самолета КОР-2. Два из них по</w:t>
      </w:r>
      <w:r w:rsidRPr="00271E51">
        <w:rPr>
          <w:rFonts w:ascii="Times New Roman" w:hAnsi="Times New Roman"/>
          <w:color w:val="000000" w:themeColor="text1"/>
          <w:sz w:val="16"/>
          <w:szCs w:val="16"/>
        </w:rPr>
        <w:softHyphen/>
        <w:t>стройки завода №288 (№28808 и №28809) по</w:t>
      </w:r>
      <w:r w:rsidRPr="00271E51">
        <w:rPr>
          <w:rFonts w:ascii="Times New Roman" w:hAnsi="Times New Roman"/>
          <w:color w:val="000000" w:themeColor="text1"/>
          <w:sz w:val="16"/>
          <w:szCs w:val="16"/>
        </w:rPr>
        <w:softHyphen/>
        <w:t>ступили в 1942 г. и два — постройки завода №477 (№4770201 и №4770203) в 1944 г. В пер</w:t>
      </w:r>
      <w:r w:rsidRPr="00271E51">
        <w:rPr>
          <w:rFonts w:ascii="Times New Roman" w:hAnsi="Times New Roman"/>
          <w:color w:val="000000" w:themeColor="text1"/>
          <w:sz w:val="16"/>
          <w:szCs w:val="16"/>
        </w:rPr>
        <w:softHyphen/>
        <w:t>вой половине 1945 г. три КОР-2 были припи</w:t>
      </w:r>
      <w:r w:rsidRPr="00271E51">
        <w:rPr>
          <w:rFonts w:ascii="Times New Roman" w:hAnsi="Times New Roman"/>
          <w:color w:val="000000" w:themeColor="text1"/>
          <w:sz w:val="16"/>
          <w:szCs w:val="16"/>
        </w:rPr>
        <w:softHyphen/>
        <w:t>саны к корабельному звену крейсера «Кагано</w:t>
      </w:r>
      <w:r w:rsidRPr="00271E51">
        <w:rPr>
          <w:rFonts w:ascii="Times New Roman" w:hAnsi="Times New Roman"/>
          <w:color w:val="000000" w:themeColor="text1"/>
          <w:sz w:val="16"/>
          <w:szCs w:val="16"/>
        </w:rPr>
        <w:softHyphen/>
        <w:t>вич» и один (№28809) числился в 46 авиамас</w:t>
      </w:r>
      <w:r w:rsidRPr="00271E51">
        <w:rPr>
          <w:rFonts w:ascii="Times New Roman" w:hAnsi="Times New Roman"/>
          <w:color w:val="000000" w:themeColor="text1"/>
          <w:sz w:val="16"/>
          <w:szCs w:val="16"/>
        </w:rPr>
        <w:softHyphen/>
        <w:t>терских. Известно, что в период 1945—46 гг. самолеты использовались с корабельной ка</w:t>
      </w:r>
      <w:r w:rsidRPr="00271E51">
        <w:rPr>
          <w:rFonts w:ascii="Times New Roman" w:hAnsi="Times New Roman"/>
          <w:color w:val="000000" w:themeColor="text1"/>
          <w:sz w:val="16"/>
          <w:szCs w:val="16"/>
        </w:rPr>
        <w:softHyphen/>
        <w:t>тапульты крейсера «Каганович». В 1946 г. 11 КОР-2 числились в составе 115-го морского разведывательного авиаполка (12301).</w:t>
      </w:r>
    </w:p>
    <w:p w14:paraId="50642D63" w14:textId="77777777" w:rsidR="007E02AB" w:rsidRPr="00271E51" w:rsidRDefault="007E02AB" w:rsidP="00271E51">
      <w:pPr>
        <w:spacing w:after="0" w:line="240" w:lineRule="auto"/>
        <w:jc w:val="both"/>
        <w:rPr>
          <w:rFonts w:ascii="Times New Roman" w:hAnsi="Times New Roman"/>
          <w:color w:val="000000" w:themeColor="text1"/>
          <w:sz w:val="16"/>
          <w:szCs w:val="16"/>
        </w:rPr>
      </w:pPr>
    </w:p>
    <w:p w14:paraId="238ACC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1942 - начале 1943 г. на заводах НКХП в Челябинске и Новосибирске в нитрошпатлевке АШ-22 дефицитный свинцовый крон, входящий в ее состав, заменили на железный сурик. Такая шпатлевка применялась на авиазаводах всю зиму и весну. Летом под воздействием тепла в слое шпатлевки возникли внутренние напряжения, вызвавшие растрескивание лакокрасочного слоя. Через трещины проникала влага, что резко снизило прочность приклейки ткани и привело к ее отрыву. Растрескивание произошло примерно на тысяче самолетов, окрашенных с применением этой шпатлевки. "Грешили" этим истребители Як-7 завода № 153, Як-1 завода № 292 и Ла-5 заводов № 21 и № 99. Машины потеряли боеспособность. Брошенные на фронт заводские бригады за две-три недели вернули в строй дефектные самолеты, а буквально через два-три дня после завершения работ, как пишет А.С. Яковлев, началось знаменитое сражение на орловско- курском направлении. Таким образом, причиной дефекта стала некачественная шпатлевка, из рецептуры которой вынужденно вывели свинцовый крон. Как видим, решить проблему дефицита за счет шпатлевки не удалось. Но свинцовый крон входил и в состав зеленых эмалей А-24м и АМТ-4. Если нельзя отказаться от него в шпатлевке, то, может быть, уменьшить расход крона на краски? Резервные рецептуры предусматривали возможность замены крона и милори одним пигментом - зеленой окисью хрома, но и окись хрома была дефицитной: в 1943 г. НКАП получил только 53,8% от необходимого количества. Невозможна оказалась и замена свинцового крона на другой - цинковый: в марте 1943 г. в "связи с полным отсутствием цинкового крона" приостановили изготовление грунтов АПГ-1 и АЛГ-5. Выход оставался один - резко уменьшить выпуск зеленых эмалей. "Схемы..." 1943 г. как раз и отвечают такому решению: на наиболее массовом классе самолетов - истребителях - зеленый цвет отсутствует полностью, а для других машин потребность в зеленых красках уменьшена более чем в 1,6 раза (11989).</w:t>
      </w:r>
    </w:p>
    <w:p w14:paraId="1EC330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A9E64" w14:textId="77777777" w:rsidR="007E02AB" w:rsidRPr="00271E51" w:rsidRDefault="007E02AB" w:rsidP="00271E51">
      <w:pPr>
        <w:pStyle w:val="ae"/>
        <w:shd w:val="clear" w:color="auto" w:fill="FFFFFF"/>
        <w:spacing w:before="0" w:after="0"/>
        <w:jc w:val="both"/>
        <w:rPr>
          <w:color w:val="0070C0"/>
          <w:sz w:val="16"/>
          <w:szCs w:val="16"/>
        </w:rPr>
      </w:pPr>
      <w:r w:rsidRPr="00271E51">
        <w:rPr>
          <w:color w:val="0070C0"/>
          <w:sz w:val="16"/>
          <w:szCs w:val="16"/>
        </w:rPr>
        <w:t>В конце 1943 – начале 1944 годов перед специалистами СКБ и разработчиками реактивных снарядов был поставлен вопрос об улучшении кучности стрельбы снарядов калибра 132 мм. Для придания вращательного движения конструкторы ввели в конструкцию снаряда тангенциальные отверстия по диаметру головного рабочего пояска. Такое же решение было использовано и в конструкции штатного снаряда М-31, и предлагалось для снаряда М-8. В результате этого показатель кучности повысился, но произошло снижение показателя по дальности полета. По сравнению со штатным снарядом М-13, дальность полета которого составляла 8470 м, дальность нового снаряда, получившего индекс М-13УК, составляла 7900 м. Несмотря на это снаряд был принят на вооружение Красной Армии.</w:t>
      </w:r>
    </w:p>
    <w:p w14:paraId="425B4D2D" w14:textId="77777777" w:rsidR="007E02AB" w:rsidRPr="00271E51" w:rsidRDefault="007E02AB" w:rsidP="00271E51">
      <w:pPr>
        <w:pStyle w:val="ae"/>
        <w:shd w:val="clear" w:color="auto" w:fill="FFFFFF"/>
        <w:spacing w:before="0" w:after="0"/>
        <w:jc w:val="both"/>
        <w:rPr>
          <w:color w:val="0070C0"/>
          <w:sz w:val="16"/>
          <w:szCs w:val="16"/>
        </w:rPr>
      </w:pPr>
      <w:r w:rsidRPr="00271E51">
        <w:rPr>
          <w:color w:val="0070C0"/>
          <w:sz w:val="16"/>
          <w:szCs w:val="16"/>
        </w:rPr>
        <w:t>В тот же период специалистами НИИ-1 (Ведущий конструктор Бессонов В.Г.) был разработан и затем проходил испытания снаряд М-13ДД. Снаряд обладал лучшим показателем по кучности, но им нельзя был стрелять со штатных установок М-13, так как снаряд имел вращательное движение и при пуске с обычных штатных направляющих разрушал их, отрывая от них накладки. В меньшей степени это имело место и при пуске снарядов М-13УК. Снаряд М-13ДД был принят на вооружение Красной Армии в конце войны. Массовое производство снаряда не было организовано.</w:t>
      </w:r>
    </w:p>
    <w:p w14:paraId="43AC9216" w14:textId="77777777" w:rsidR="007E02AB" w:rsidRPr="00271E51" w:rsidRDefault="007E02AB" w:rsidP="00271E51">
      <w:pPr>
        <w:pStyle w:val="ae"/>
        <w:shd w:val="clear" w:color="auto" w:fill="FFFFFF"/>
        <w:spacing w:before="0" w:after="0"/>
        <w:jc w:val="both"/>
        <w:rPr>
          <w:color w:val="0070C0"/>
          <w:sz w:val="16"/>
          <w:szCs w:val="16"/>
        </w:rPr>
      </w:pPr>
      <w:r w:rsidRPr="00271E51">
        <w:rPr>
          <w:color w:val="0070C0"/>
          <w:sz w:val="16"/>
          <w:szCs w:val="16"/>
        </w:rPr>
        <w:t xml:space="preserve">Одновременно с этим специалисты СКБ начали поисковые конструкторские проработки и экспериментальные работы по улучшению кучности стрельбы реактивными </w:t>
      </w:r>
      <w:r w:rsidRPr="00271E51">
        <w:rPr>
          <w:color w:val="0070C0"/>
          <w:sz w:val="16"/>
          <w:szCs w:val="16"/>
        </w:rPr>
        <w:lastRenderedPageBreak/>
        <w:t>снарядами М-13 и М-8 за счет отработки направляющих. В основу был положен новый принцип пуска реактивных снарядов и обеспечения достаточной прочности их для стрельбы снарядами М-13ДД и М-20. Поскольку придание вращения оперенным реактивным неуправляемым снарядам на начальном отрезке траектории их полета улучшало кучность, то родилась идея придания вращения снарядам на направляющих без сверления тангенциальных отверстий в снарядах, потребляющих часть мощности двигателя на вращение их и уменьшающих за этот счет дальность их полета. Эта идея привела к созданию спиральных направляющих. Конструкция спиральной направляющей приобрела форму ствола, образованного четырьмя спиральными прутками, из которых три – гладкие стальные трубы, а четвертый, ведущий – из стального квадрата с выбранными пазами, образующими Н-образный профиль сечения. Прутки приваривались к лапкам кольцевых обойм. В казенной части находились замок для удерживания снаряда в направляющей и электроконтакты. Была создана специальная оснастка для гибки прутков направляющей по спирали, имеющих по своей длине различные углы закручивания и сварки направляющих стволов. Вначале установка имела 12 направляющих, связанных жестко в четыре кассеты (по три направляющих в кассете). Были разработаны и изготовлены опытные образцы 12-зарядной установки М-13-СН. Однако ходовые испытания показали, что шасси автомашины перегружено, и было принято решение о снятии с установки двух направляющих с верхних кассет. Метательная установка была смонтирована на доработанном шасси грузового автомобиля Studebeker повышенной проходимости. Она состояла из комплекта направляющих, фермы, поворотной рамы, подрамника, прицела, механизмов вертикального и горизонтального наведения, электрооборудования. Кроме кассет с направляющими и фермы, все остальные узлы были унифицированы с соответствующими узлами боевой нормализованной установки М-13Н. С помощью установки М-13-СН было возможно осуществлять запуск снарядами М-13, М-13УК, М-20 и М-13ДД калибра 132 мм. Были получены значительно лучшие показатели по кучности стрельбы: снарядами М-13 – в 3,2 раза, М-13УК – в 1,1 раза, М-20 - в 3,3 раза, М-13ДД – в 1,47 раза). При улучшении кучности стрельбы реактивными снарядами М-13 дальность полета не уменьшилась, как это имело место при стрельбе снарядами М-13УК с установок М-13, имевших направляющие типа “балка”. Отпала необходимость в изготовлении снарядов М-13УК, усложненных за счет сверлений в корпусе двигателей. Установка М-13-СН была проще, менее трудоемка и дешевле в изготовлении. Отпал целый ряд трудоемких станочных работ: строжка длинных направляющих, сверление большого количества заклепочных отверстий, приклепка накладок к направляющим, обточка, калибровка, изготовление и нарезка резьбы лонжеронов и гаек к ним, сложная механическая обработка замков и замковых коробок и т.п. Опытные образцы были изготовлены на московском заводе “Компрессор” (№733) и были подвергнуты полигонным и ходовым испытаниям, закончившимся с хорошими результатами. После окончания войны установка М-13-СН в 1945 году прошла войсковые испытания с хорошими результатами. В связи с тем, что предстояла модернизация снарядов типа М-13, установка не была принята на вооружение. После серии 1946 года на основании приказа НКОМ №27 от 24.10.1946 года установка была снята с производства. Однако, в 1950 году выпускалось Краткое руководство по боевой машине БМ-13-СН (21476).</w:t>
      </w:r>
    </w:p>
    <w:p w14:paraId="4E6D2E8F" w14:textId="77777777" w:rsidR="007E02AB" w:rsidRPr="00271E51" w:rsidRDefault="007E02AB" w:rsidP="00271E51">
      <w:pPr>
        <w:pStyle w:val="ae"/>
        <w:shd w:val="clear" w:color="auto" w:fill="FFFFFF"/>
        <w:spacing w:before="0" w:after="0"/>
        <w:jc w:val="both"/>
        <w:rPr>
          <w:color w:val="0070C0"/>
          <w:sz w:val="16"/>
          <w:szCs w:val="16"/>
        </w:rPr>
      </w:pPr>
    </w:p>
    <w:p w14:paraId="75011EEA"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470BE47A"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904B2"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1943 или начале 1944 года все служащие-коммунисты закупочной комиссии были собраны на очередное партсобрание. Выступивший на нем заместитель председателя правительственной комиссии М. Серов огласил секретную телеграмму от члена ГКО А. И. Микояна. Она предписывала каждому коммунисту, работавшему в комиссии, собирать информацию о техническом развитии в США, особенно в области военной промышленности. После того, как ее зачитали, каждый член ячейки расписался в том, что ознакомлен с приказом и приложит все силы, чтобы выполнить его.</w:t>
      </w:r>
    </w:p>
    <w:p w14:paraId="4245FB7A"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Началась массовая охота за секретной информацией. Участники собрания добывали проекты целых заводов, специальных машин и деталей к ним, фотографии и чертежи, касающиеся производства самолетов, вооружений и подводных лодок и массу другой секретной информации (Пещерский В. Л. «Штирлиц» служил под началом… Мюллера. // Военно-исторический журнал. — С. 18—25).</w:t>
      </w:r>
    </w:p>
    <w:p w14:paraId="11CD56DB"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Хотя говорить о том, что советская разведка в США была полностью задействована для добычи научно-технической и военно-технической информации, особенно в первые годы войны, не совсем правильно (11765).</w:t>
      </w:r>
    </w:p>
    <w:p w14:paraId="0D89D9BE" w14:textId="77777777" w:rsidR="007E02AB" w:rsidRPr="00271E51" w:rsidRDefault="007E02AB"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33B151"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772634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BA49E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четвёртом квартале 1943 года, после изготовления еще 62 СУ-76И их выпуск был прекращен. К этому времени на заводах полным ходом шло производство отечественных самоходных установок СУ-76М, количество которых покрывало потребности Красной Армии. Всего за 1943 год московский завод № 37 изготовил и передал в войска 201 самоходку СУ-76И, включая опытный образец (см. таблицу).</w:t>
      </w:r>
    </w:p>
    <w:p w14:paraId="78B11BF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Помесячный выпуск СУ-76И в 1943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580"/>
        <w:gridCol w:w="721"/>
        <w:gridCol w:w="515"/>
        <w:gridCol w:w="610"/>
        <w:gridCol w:w="604"/>
        <w:gridCol w:w="694"/>
        <w:gridCol w:w="858"/>
        <w:gridCol w:w="788"/>
        <w:gridCol w:w="720"/>
        <w:gridCol w:w="611"/>
      </w:tblGrid>
      <w:tr w:rsidR="00A907A5" w:rsidRPr="00271E51" w14:paraId="3369895D" w14:textId="77777777" w:rsidTr="00ED5B0A">
        <w:tc>
          <w:tcPr>
            <w:tcW w:w="0" w:type="auto"/>
            <w:shd w:val="clear" w:color="auto" w:fill="auto"/>
            <w:hideMark/>
          </w:tcPr>
          <w:p w14:paraId="3D8AF420"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Месяц</w:t>
            </w:r>
          </w:p>
        </w:tc>
        <w:tc>
          <w:tcPr>
            <w:tcW w:w="0" w:type="auto"/>
            <w:shd w:val="clear" w:color="auto" w:fill="auto"/>
            <w:hideMark/>
          </w:tcPr>
          <w:p w14:paraId="16C4535B"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Март</w:t>
            </w:r>
          </w:p>
        </w:tc>
        <w:tc>
          <w:tcPr>
            <w:tcW w:w="0" w:type="auto"/>
            <w:shd w:val="clear" w:color="auto" w:fill="auto"/>
            <w:hideMark/>
          </w:tcPr>
          <w:p w14:paraId="04BE9AD6"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Апрель</w:t>
            </w:r>
          </w:p>
        </w:tc>
        <w:tc>
          <w:tcPr>
            <w:tcW w:w="0" w:type="auto"/>
            <w:shd w:val="clear" w:color="auto" w:fill="auto"/>
            <w:hideMark/>
          </w:tcPr>
          <w:p w14:paraId="1F46AFE1"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Май</w:t>
            </w:r>
          </w:p>
        </w:tc>
        <w:tc>
          <w:tcPr>
            <w:tcW w:w="0" w:type="auto"/>
            <w:shd w:val="clear" w:color="auto" w:fill="auto"/>
            <w:hideMark/>
          </w:tcPr>
          <w:p w14:paraId="75D5FDB0"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Июнь</w:t>
            </w:r>
          </w:p>
        </w:tc>
        <w:tc>
          <w:tcPr>
            <w:tcW w:w="0" w:type="auto"/>
            <w:shd w:val="clear" w:color="auto" w:fill="auto"/>
            <w:hideMark/>
          </w:tcPr>
          <w:p w14:paraId="2D72368F"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Июль</w:t>
            </w:r>
          </w:p>
        </w:tc>
        <w:tc>
          <w:tcPr>
            <w:tcW w:w="0" w:type="auto"/>
            <w:shd w:val="clear" w:color="auto" w:fill="auto"/>
            <w:hideMark/>
          </w:tcPr>
          <w:p w14:paraId="11A3DBE7"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Август</w:t>
            </w:r>
          </w:p>
        </w:tc>
        <w:tc>
          <w:tcPr>
            <w:tcW w:w="0" w:type="auto"/>
            <w:shd w:val="clear" w:color="auto" w:fill="auto"/>
            <w:hideMark/>
          </w:tcPr>
          <w:p w14:paraId="5637D920"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Сентябрь</w:t>
            </w:r>
          </w:p>
        </w:tc>
        <w:tc>
          <w:tcPr>
            <w:tcW w:w="0" w:type="auto"/>
            <w:shd w:val="clear" w:color="auto" w:fill="auto"/>
            <w:hideMark/>
          </w:tcPr>
          <w:p w14:paraId="379180E9"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Октябрь</w:t>
            </w:r>
          </w:p>
        </w:tc>
        <w:tc>
          <w:tcPr>
            <w:tcW w:w="0" w:type="auto"/>
            <w:shd w:val="clear" w:color="auto" w:fill="auto"/>
            <w:hideMark/>
          </w:tcPr>
          <w:p w14:paraId="640B2DC7"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Ноябрь</w:t>
            </w:r>
          </w:p>
        </w:tc>
        <w:tc>
          <w:tcPr>
            <w:tcW w:w="0" w:type="auto"/>
            <w:shd w:val="clear" w:color="auto" w:fill="auto"/>
            <w:hideMark/>
          </w:tcPr>
          <w:p w14:paraId="1BE821E8" w14:textId="77777777" w:rsidR="00FC04C9" w:rsidRPr="00271E51" w:rsidRDefault="00FC04C9" w:rsidP="00271E51">
            <w:pPr>
              <w:spacing w:after="0" w:line="240" w:lineRule="auto"/>
              <w:jc w:val="both"/>
              <w:rPr>
                <w:rFonts w:ascii="Times New Roman" w:eastAsia="Times New Roman" w:hAnsi="Times New Roman"/>
                <w:bCs/>
                <w:color w:val="000000" w:themeColor="text1"/>
                <w:sz w:val="16"/>
                <w:szCs w:val="16"/>
                <w:lang w:eastAsia="ru-RU"/>
              </w:rPr>
            </w:pPr>
            <w:r w:rsidRPr="00271E51">
              <w:rPr>
                <w:rFonts w:ascii="Times New Roman" w:eastAsia="Times New Roman" w:hAnsi="Times New Roman"/>
                <w:bCs/>
                <w:color w:val="000000" w:themeColor="text1"/>
                <w:sz w:val="16"/>
                <w:szCs w:val="16"/>
                <w:lang w:eastAsia="ru-RU"/>
              </w:rPr>
              <w:t>Всего</w:t>
            </w:r>
          </w:p>
        </w:tc>
      </w:tr>
      <w:tr w:rsidR="00A907A5" w:rsidRPr="00271E51" w14:paraId="54A405A1" w14:textId="77777777" w:rsidTr="00ED5B0A">
        <w:tc>
          <w:tcPr>
            <w:tcW w:w="0" w:type="auto"/>
            <w:shd w:val="clear" w:color="auto" w:fill="auto"/>
            <w:hideMark/>
          </w:tcPr>
          <w:p w14:paraId="72C78495"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Количество</w:t>
            </w:r>
          </w:p>
        </w:tc>
        <w:tc>
          <w:tcPr>
            <w:tcW w:w="0" w:type="auto"/>
            <w:shd w:val="clear" w:color="auto" w:fill="auto"/>
            <w:hideMark/>
          </w:tcPr>
          <w:p w14:paraId="6B363320"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w:t>
            </w:r>
          </w:p>
        </w:tc>
        <w:tc>
          <w:tcPr>
            <w:tcW w:w="0" w:type="auto"/>
            <w:shd w:val="clear" w:color="auto" w:fill="auto"/>
            <w:hideMark/>
          </w:tcPr>
          <w:p w14:paraId="19543B27"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25</w:t>
            </w:r>
          </w:p>
        </w:tc>
        <w:tc>
          <w:tcPr>
            <w:tcW w:w="0" w:type="auto"/>
            <w:shd w:val="clear" w:color="auto" w:fill="auto"/>
            <w:hideMark/>
          </w:tcPr>
          <w:p w14:paraId="4F6E09A1"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15</w:t>
            </w:r>
          </w:p>
        </w:tc>
        <w:tc>
          <w:tcPr>
            <w:tcW w:w="0" w:type="auto"/>
            <w:shd w:val="clear" w:color="auto" w:fill="auto"/>
            <w:hideMark/>
          </w:tcPr>
          <w:p w14:paraId="4B7443BF"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w:t>
            </w:r>
          </w:p>
        </w:tc>
        <w:tc>
          <w:tcPr>
            <w:tcW w:w="0" w:type="auto"/>
            <w:shd w:val="clear" w:color="auto" w:fill="auto"/>
            <w:hideMark/>
          </w:tcPr>
          <w:p w14:paraId="4657E38F"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26</w:t>
            </w:r>
          </w:p>
        </w:tc>
        <w:tc>
          <w:tcPr>
            <w:tcW w:w="0" w:type="auto"/>
            <w:shd w:val="clear" w:color="auto" w:fill="auto"/>
            <w:hideMark/>
          </w:tcPr>
          <w:p w14:paraId="34C1B161"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26</w:t>
            </w:r>
          </w:p>
        </w:tc>
        <w:tc>
          <w:tcPr>
            <w:tcW w:w="0" w:type="auto"/>
            <w:shd w:val="clear" w:color="auto" w:fill="auto"/>
            <w:hideMark/>
          </w:tcPr>
          <w:p w14:paraId="05BE9435"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26</w:t>
            </w:r>
          </w:p>
        </w:tc>
        <w:tc>
          <w:tcPr>
            <w:tcW w:w="0" w:type="auto"/>
            <w:shd w:val="clear" w:color="auto" w:fill="auto"/>
            <w:hideMark/>
          </w:tcPr>
          <w:p w14:paraId="7B48710B"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31</w:t>
            </w:r>
          </w:p>
        </w:tc>
        <w:tc>
          <w:tcPr>
            <w:tcW w:w="0" w:type="auto"/>
            <w:shd w:val="clear" w:color="auto" w:fill="auto"/>
            <w:hideMark/>
          </w:tcPr>
          <w:p w14:paraId="2525B141"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31</w:t>
            </w:r>
          </w:p>
        </w:tc>
        <w:tc>
          <w:tcPr>
            <w:tcW w:w="0" w:type="auto"/>
            <w:shd w:val="clear" w:color="auto" w:fill="auto"/>
            <w:hideMark/>
          </w:tcPr>
          <w:p w14:paraId="320DC0A3" w14:textId="77777777" w:rsidR="00FC04C9" w:rsidRPr="00271E51" w:rsidRDefault="00FC04C9" w:rsidP="00271E51">
            <w:pPr>
              <w:spacing w:after="0" w:line="240" w:lineRule="auto"/>
              <w:jc w:val="both"/>
              <w:rPr>
                <w:rFonts w:ascii="Times New Roman" w:eastAsia="Times New Roman" w:hAnsi="Times New Roman"/>
                <w:color w:val="000000" w:themeColor="text1"/>
                <w:sz w:val="16"/>
                <w:szCs w:val="16"/>
                <w:lang w:eastAsia="ru-RU"/>
              </w:rPr>
            </w:pPr>
            <w:r w:rsidRPr="00271E51">
              <w:rPr>
                <w:rFonts w:ascii="Times New Roman" w:eastAsia="Times New Roman" w:hAnsi="Times New Roman"/>
                <w:color w:val="000000" w:themeColor="text1"/>
                <w:sz w:val="16"/>
                <w:szCs w:val="16"/>
                <w:lang w:eastAsia="ru-RU"/>
              </w:rPr>
              <w:t>201</w:t>
            </w:r>
          </w:p>
        </w:tc>
      </w:tr>
    </w:tbl>
    <w:p w14:paraId="3378D83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(12688).</w:t>
      </w:r>
    </w:p>
    <w:p w14:paraId="3E0B90F2"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5CC45B05"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73E4B7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1CD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в ходе промышленного производства ПТАБ-2,5-1,5, когда внутриполитические страсти вокруг этого боеприпаса поутихли, технологи механических и снаряжательных заводов предложили улучшить его конструкцию и упростить производство. В итоге на хвостовой части корпуса авиабомбы для предотвращения перемещения осколочной рубашки выполнили дополнительную зигу, разрешили использовать переходные втулки как из пластмассы, так и из алюминиевого сплава, а также внесли ряд менее существенных технологических новшеств.</w:t>
      </w:r>
    </w:p>
    <w:p w14:paraId="654ED5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 внимания конструкторы уделили отказам в действии взрывателей из-за заклинивания крыльчаток взрывателей в цилиндрическом стабилизаторе. В качестве временной меры главный инженер ВВС разрешил отгибать лопасти крыльчаток вниз, чтобы увеличить величину зазора между ними и стабилизатором. Однако это не лучшим образом сказывалось на безотказности взведения взрывателей. В итоге у всех авиабомб новой модели заказчик потребовал проверять на снаряжательных заводах “центричность” (цилиндричность и соосность корпуса авиабомбы и стабилизатора) и испытывать их на способность пробить 60-мм броню (5 авиабомб от партии в 100.000 штук).</w:t>
      </w:r>
    </w:p>
    <w:p w14:paraId="1C6B1D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утверждения всех этих изменений Научно-технический журнал ВВС № 090 от 1943 г. присвоил боеприпасам номер чертежа 3-01278 и индекс 7-Т-118. Утвержденные ранее авиабомбы с производства сняли. В 1945 г. в связи с введением на вооружение для противотанковых авиабомб кумулятивного действия нового взрывателя АДЦ документацию на производство ПТАБ чертежа 3-01278 пересмотрели. Дело в том, что хвостовики взрывателей АДЦ и АД-А отличались, что потребовало изменить конструкцию детонаторной шашки. Кроме того, для надежности свертывания крыльчатки необходимо было увеличить внутренний диаметр цилиндра стабилизатора и его зиги (ребра жесткости) “делать по наружному диаметру”, то есть выдавленными наружу (7453).</w:t>
      </w:r>
    </w:p>
    <w:p w14:paraId="54665F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ГСКБ-47, уточнив характеристики бронеплит, поставляемых для контрольных испытаний авиабомб, в конструкцию ПТАБ внесли изменения. Во-первых, резьба у пластмассовых переходных втулок под взрыватель при ускоренной сушке окрашенных узлов зачастую коробилась и крошилась, отчего стабилизатор на корпусе держался непрочно. В итоге от использования деталей из волокнистого пластика пришлось отказаться. Во-вторых, из-за большого процента брака механических заводов в Наркомате боеприпасов сослались на трудности центровки полностью собранных боеприпасов и добились ослабления этих требований. Теперь заводчанам разрешили проверять “цилиндричность” отдельно корпусов авиабомб и их стабилизаторов. В-третьих, конструкторы уточнили длину авиабомбы (351 - 358 мм вместо 355 - 361 мм) и пр. В производстве новой ПТАБ-2,5-1,5 присвоили номер чертежа 3-01548, а выпуск боеприпасов прежней модели полностью прекратили. Однако в связи с окончанием Великой Отечественной войны в массовое производство их так и не запустили (7453).</w:t>
      </w:r>
    </w:p>
    <w:p w14:paraId="767C39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BDB5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Во второй половине 1943 года в инициативном порядке в ОКБ Незваля были начаты работы по модернизации Пе-8 с двигателями АШ-82ФН ТК-3. Идея ОКБ была в том, чтобы провести глубокую модернизацию базовой конструкции Пе-8 путем улучшения его аэродинамики, внедрения высотных двигателей с ТК и усиления бомбардировочного вооружения. Все это должно было обеспечить значительное расширение боевых возможностей самолета Пе-8. В ОКБ были разработаны предварительные технические предложения, которые были представлены НКАП. Предложения по модернизации Пе-8 как нельзя были кстати. В первой половине 1943 года наше военно-политическое руководство по разным каналам начало получать информацию по новейшему американскому скоростному высотному дальнему бомбардировщику В-29, летно-тактические характеристики которого на голову превосходили все то, что воевало на фронтах Второй мировой войны. Кроме того, под влиянием полученной информации из США по "атомному проекту" в СССР активизировались работы над советской атомной бомбой. Какой эта бомба будет и будет ли вообще, еще было неясно. Но то, что ей потребуется достойный авиационный носитель, это было ясно даже за два года до первого американского ядерного взрыва. В специфических условиях войны с Германией в конце концов можно было обойтись без оснащения нашей авиации большим количеством дальних четырехмоторных бомбардировщиков класса "летающая крепость". Но в условиях надвигавшегося послевоенного мира, при возможном появлении на "свет божий" супербомбы, и будущего неотвратимого противостояния с Западом решено было срочно заняться новым перспективным бомбардировщиком, характеристики которого были близки </w:t>
      </w:r>
      <w:r w:rsidRPr="00271E51">
        <w:rPr>
          <w:rFonts w:ascii="Times New Roman" w:hAnsi="Times New Roman"/>
          <w:color w:val="000000" w:themeColor="text1"/>
          <w:sz w:val="16"/>
          <w:szCs w:val="16"/>
        </w:rPr>
        <w:lastRenderedPageBreak/>
        <w:t>к ЛТХ американского В-29. Мыслилось, что разработка новой советской "летающей крепости" должна была быть закончена к моменту окончания войны с Германией, и наши ВВС смогут получить эту машину на вооружение сразу же после ее окончания (7685).</w:t>
      </w:r>
    </w:p>
    <w:p w14:paraId="06F57C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F751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года в инициативном порядке в ОКБ Незваля были начаты работы варианту самолета Пе-8 с двигателями АШ- 82ФН ТК-3. Идея ОКБ была в том, чтобы провести глубокую модернизацию базовой конструкции Пе-8 путем улучшения его аэродинамики, внедрения высотных двигателей с ТК и усиления бомбардировочного вооружения. Все это должно было обеспечить значительное расширение боевых возможностей самолета Пе-8. В ОКБ были разработаны предварительные технические предложения, которые были представлены НКАП. Предложения по модернизации Пе-8 как нельзя были кстати. В первой половине 1943 года наше военно-политическое руководство по разным каналам начало получать информацию по новейшему американскому скоростному высотному дальнему бомбар</w:t>
      </w:r>
      <w:r w:rsidRPr="00271E51">
        <w:rPr>
          <w:rFonts w:ascii="Times New Roman" w:hAnsi="Times New Roman"/>
          <w:color w:val="000000" w:themeColor="text1"/>
          <w:sz w:val="16"/>
          <w:szCs w:val="16"/>
        </w:rPr>
        <w:softHyphen/>
        <w:t xml:space="preserve">дировщику В-29, летно-тактические характеристики которого на голову превосходили все то, что воевало на фронтах Второй мировой войны. Кроме того, под влиянием полученной информации из США по "атомному проекту" в СССР активизировались работы над советской атомной бомбой. Какой эта бомба будет и будет ли вообще, еще было неясно. Но то, что ей потребуется достойный авиационный носитель, это было ясно даже за два года до первого американского ядерного взрыва. В специфических условиях войны с Германией в конце концов можно было обойтись без оснащения нашей авиации большим количеством дальних четырехмоторных бомбардировщиков класса "летающая крепость". Но в условиях надвигавшегося послевоенного мира, при возможном появлении на "свет божий" супербомбы, и будущего неотвратимого противостояния с Западом решено было срочно заняться новым перспективным бомбардировщиком, характеристики которого были близки к </w:t>
      </w:r>
      <w:r w:rsidRPr="00271E51">
        <w:rPr>
          <w:rFonts w:ascii="Times New Roman" w:hAnsi="Times New Roman"/>
          <w:color w:val="000000" w:themeColor="text1"/>
          <w:sz w:val="16"/>
          <w:szCs w:val="16"/>
          <w:lang w:val="en-US"/>
        </w:rPr>
        <w:t>JITX</w:t>
      </w:r>
      <w:r w:rsidRPr="00271E51">
        <w:rPr>
          <w:rFonts w:ascii="Times New Roman" w:hAnsi="Times New Roman"/>
          <w:color w:val="000000" w:themeColor="text1"/>
          <w:sz w:val="16"/>
          <w:szCs w:val="16"/>
        </w:rPr>
        <w:t xml:space="preserve"> американского В-29. Мыслилось, что разработка новой советской "летающей крепости" должна была быть закончена к моменту окончания войны с Германией, и наши ВВС смогут получить эту машину на вооружение сразу же после ее окончания. В рамках этого направления работ НКАП в сентябре 1943 года выдал задание ОКБ А.Н.Туполева на предварительную разработку проекта четырехмоторного бомбардировщика "64". ОКБ В.М.Мясищева вскоре начало работать над аналогичными проектами самолетов "202" и "302". В этом ряду начавшихся работ предложение ОКБ Незваля по модернизации Пе-8 не было чем-то революционным, однако давало возможность в достаточно короткие сроки создать неплохой самолет, с минимальной степенью технического риска, конечно, не такой, как В-29, но способный на какое-то время, пока не будут доведены до ума туполевекие и мясищевские проекты, обеспечить нашу дальнюю авиацию новыми четырехмоторными бомбардировщиками.</w:t>
      </w:r>
    </w:p>
    <w:p w14:paraId="702BAD4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 получилось совсем по другому сценарию: работы по самолету "64" столкнулись с тяжело разрешимыми проблемами, связанными с оснащением новой машины современным оборудованием и вооружением, мясищевские проекты не вышли из эмбрионального состояния. В результате, к моменту окончания "горячей" Второй мировой войны и начала "холодной", наша авиация оставалась без современного четырехмоторного бомбардировщика. Начались поиски выхода. Приблизительно в начале 1945 года были даже предложения реанимировать серийное производство Пе-8, судя по всему в модернизированном варианте, но это предложение было отвергнуто в самом начале. Под влиянием предложений авиапрома и военных (например, письмо в НКАП В.М.Мясищева и "представления" В-29 Сталину Головановым) Сталин принимает историческое для нашей авиации решение — копировать В-29 на основе нескольких машин, интернированных СССР на Дальнем Востоке (12726).</w:t>
      </w:r>
    </w:p>
    <w:p w14:paraId="56A33FED" w14:textId="77777777" w:rsidR="00FC04C9" w:rsidRPr="00271E51" w:rsidRDefault="00FC04C9" w:rsidP="00271E51">
      <w:pPr>
        <w:pStyle w:val="ae"/>
        <w:spacing w:before="0" w:after="0"/>
        <w:jc w:val="both"/>
        <w:rPr>
          <w:color w:val="000000" w:themeColor="text1"/>
          <w:sz w:val="16"/>
          <w:szCs w:val="16"/>
        </w:rPr>
      </w:pPr>
    </w:p>
    <w:p w14:paraId="4FD85D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года начались работы, однако свертывание работ в 1944 году по всей тематике Пе-8 привело к прекращению работ и по этой теме (7685).</w:t>
      </w:r>
    </w:p>
    <w:p w14:paraId="3A8FD7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F8F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в инициативном порядке были начаты работы по варианту Пе-8 с двигателями АШ-82ФН и турбонагнетателями ТК-3 Предлагалось провести глубокую модернизацию Пе-8 путём улучшения аэродинамики, внедрения высотных двигателей с турбонаддувом и усиления бомбардировочного вооружения (11996).</w:t>
      </w:r>
    </w:p>
    <w:p w14:paraId="106A4E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469DE" w14:textId="77777777" w:rsidR="00362C50" w:rsidRPr="00271E51" w:rsidRDefault="00362C50"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второй половине 1943 г. падение летных данных серийных Пе-2 удалось остановить. Разрыв в скоростях между «Пешками» и истребителями противника Мессершмитт Bf 109G и Фокке-Вульф FW 190A сократился и достиг своего минимума — примерно 70 км/ч против Bf 109G-6 и 55 км/ч в равнении с FW 190A-6. Справедливости ради надо отметить, что здесь сыграло главную роль не улучшение самого Пе-2, а то обстоятельство, что его граница высотности и соответственно типовой эшелон полетов понизились, а высоты достижения максимальных скоростей немецких истребителей в связи с усилившимися бомбардировками союзников, наоборот, начали подниматься, пожертвовав скоростями у земли, где работала авиация на Советско-германском фронте (22828).</w:t>
      </w:r>
    </w:p>
    <w:p w14:paraId="02DE57F2" w14:textId="77777777" w:rsidR="00362C50" w:rsidRPr="00271E51" w:rsidRDefault="00362C50" w:rsidP="00271E51">
      <w:pPr>
        <w:spacing w:after="0" w:line="240" w:lineRule="auto"/>
        <w:jc w:val="both"/>
        <w:rPr>
          <w:rFonts w:ascii="Times New Roman" w:hAnsi="Times New Roman"/>
          <w:color w:val="0070C0"/>
          <w:sz w:val="16"/>
          <w:szCs w:val="16"/>
        </w:rPr>
      </w:pPr>
    </w:p>
    <w:p w14:paraId="5944F0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начиная с само</w:t>
      </w:r>
      <w:r w:rsidRPr="00271E51">
        <w:rPr>
          <w:rFonts w:ascii="Times New Roman" w:hAnsi="Times New Roman"/>
          <w:color w:val="000000" w:themeColor="text1"/>
          <w:sz w:val="16"/>
          <w:szCs w:val="16"/>
        </w:rPr>
        <w:softHyphen/>
        <w:t>лета №4770202, КОР-2 стали оснащать дополнительными топливными баками общей емкостью 300 л. Два таких ба</w:t>
      </w:r>
      <w:r w:rsidRPr="00271E51">
        <w:rPr>
          <w:rFonts w:ascii="Times New Roman" w:hAnsi="Times New Roman"/>
          <w:color w:val="000000" w:themeColor="text1"/>
          <w:sz w:val="16"/>
          <w:szCs w:val="16"/>
        </w:rPr>
        <w:softHyphen/>
        <w:t>ка размещались в районе центра тяжести внутри корпуса лодки таким образом, чтобы остался проход из кабины стрелка к пилотам. Дальность увеличилась, теперь само</w:t>
      </w:r>
      <w:r w:rsidRPr="00271E51">
        <w:rPr>
          <w:rFonts w:ascii="Times New Roman" w:hAnsi="Times New Roman"/>
          <w:color w:val="000000" w:themeColor="text1"/>
          <w:sz w:val="16"/>
          <w:szCs w:val="16"/>
        </w:rPr>
        <w:softHyphen/>
        <w:t>лет мог осуществлять полеты радиусом до 575 км. Взлетный вес при этом перевалил за три тонны, поэтому, когда понадобилось выполнить очередное требование воен</w:t>
      </w:r>
      <w:r w:rsidRPr="00271E51">
        <w:rPr>
          <w:rFonts w:ascii="Times New Roman" w:hAnsi="Times New Roman"/>
          <w:color w:val="000000" w:themeColor="text1"/>
          <w:sz w:val="16"/>
          <w:szCs w:val="16"/>
        </w:rPr>
        <w:softHyphen/>
        <w:t>ных и увеличить огневую мощь кормовой установки, кон</w:t>
      </w:r>
      <w:r w:rsidRPr="00271E51">
        <w:rPr>
          <w:rFonts w:ascii="Times New Roman" w:hAnsi="Times New Roman"/>
          <w:color w:val="000000" w:themeColor="text1"/>
          <w:sz w:val="16"/>
          <w:szCs w:val="16"/>
        </w:rPr>
        <w:softHyphen/>
        <w:t>структорам пришлось идти на компромиссное решение -взамен пулемета ШКАС калибра 7,62 мм для обстрела зад</w:t>
      </w:r>
      <w:r w:rsidRPr="00271E51">
        <w:rPr>
          <w:rFonts w:ascii="Times New Roman" w:hAnsi="Times New Roman"/>
          <w:color w:val="000000" w:themeColor="text1"/>
          <w:sz w:val="16"/>
          <w:szCs w:val="16"/>
        </w:rPr>
        <w:softHyphen/>
        <w:t>ней полусферы установили крупнокалиберный пулемет УБТ калибра 12,7 мм на турели ВУБ-3 (начиная с самоле</w:t>
      </w:r>
      <w:r w:rsidRPr="00271E51">
        <w:rPr>
          <w:rFonts w:ascii="Times New Roman" w:hAnsi="Times New Roman"/>
          <w:color w:val="000000" w:themeColor="text1"/>
          <w:sz w:val="16"/>
          <w:szCs w:val="16"/>
        </w:rPr>
        <w:softHyphen/>
        <w:t>та №4770305), однако сняли один курсовой пулемет. В та</w:t>
      </w:r>
      <w:r w:rsidRPr="00271E51">
        <w:rPr>
          <w:rFonts w:ascii="Times New Roman" w:hAnsi="Times New Roman"/>
          <w:color w:val="000000" w:themeColor="text1"/>
          <w:sz w:val="16"/>
          <w:szCs w:val="16"/>
        </w:rPr>
        <w:softHyphen/>
        <w:t>ком виде КОР-2 поставлялись заводом №477 в 1944-1945 гг., вплоть до окончания производства. Конструкторское бюро Бериева в тот период уже полностью переключи</w:t>
      </w:r>
      <w:r w:rsidRPr="00271E51">
        <w:rPr>
          <w:rFonts w:ascii="Times New Roman" w:hAnsi="Times New Roman"/>
          <w:color w:val="000000" w:themeColor="text1"/>
          <w:sz w:val="16"/>
          <w:szCs w:val="16"/>
        </w:rPr>
        <w:softHyphen/>
        <w:t>лось на проектирование тяжелой двухмоторной летаю</w:t>
      </w:r>
      <w:r w:rsidRPr="00271E51">
        <w:rPr>
          <w:rFonts w:ascii="Times New Roman" w:hAnsi="Times New Roman"/>
          <w:color w:val="000000" w:themeColor="text1"/>
          <w:sz w:val="16"/>
          <w:szCs w:val="16"/>
        </w:rPr>
        <w:softHyphen/>
        <w:t>щей лодки ЛЛ-143, ставшей впоследствии известной как Бе-6. На заключительном этапе производства КОР-2 со</w:t>
      </w:r>
      <w:r w:rsidRPr="00271E51">
        <w:rPr>
          <w:rFonts w:ascii="Times New Roman" w:hAnsi="Times New Roman"/>
          <w:color w:val="000000" w:themeColor="text1"/>
          <w:sz w:val="16"/>
          <w:szCs w:val="16"/>
        </w:rPr>
        <w:softHyphen/>
        <w:t>трудники КБ обеспечивали технический контроль над самолетами, отправленными в Поти, Туапсе, Ригу, Ле</w:t>
      </w:r>
      <w:r w:rsidRPr="00271E51">
        <w:rPr>
          <w:rFonts w:ascii="Times New Roman" w:hAnsi="Times New Roman"/>
          <w:color w:val="000000" w:themeColor="text1"/>
          <w:sz w:val="16"/>
          <w:szCs w:val="16"/>
        </w:rPr>
        <w:softHyphen/>
        <w:t>нинград, Архангельск, Мурманск, Владивосток. Всего было выпущено 44 самолета КОР-2 (Бе-4). Из них до окончания войны 12 поступило на Черноморский флот, 12 - на Балтийский флот, 4 - на Тихоокеанский флот. По состоянию на 9 мая 1945 г. на этих флотах числилось 20 КОР-2 (11107).</w:t>
      </w:r>
    </w:p>
    <w:p w14:paraId="44C4AF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849AF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начиная с само</w:t>
      </w:r>
      <w:r w:rsidRPr="00271E51">
        <w:rPr>
          <w:rFonts w:ascii="Times New Roman" w:hAnsi="Times New Roman"/>
          <w:color w:val="000000" w:themeColor="text1"/>
          <w:sz w:val="16"/>
          <w:szCs w:val="16"/>
        </w:rPr>
        <w:softHyphen/>
        <w:t>лета №4770202, КОР-2 стали оснащаться до</w:t>
      </w:r>
      <w:r w:rsidRPr="00271E51">
        <w:rPr>
          <w:rFonts w:ascii="Times New Roman" w:hAnsi="Times New Roman"/>
          <w:color w:val="000000" w:themeColor="text1"/>
          <w:sz w:val="16"/>
          <w:szCs w:val="16"/>
        </w:rPr>
        <w:softHyphen/>
        <w:t>полнительными топливными баками общей емкостью 300 л. Два таких бака размешались в районе центра тяжести внутри корпуса лод ки таким образом, чтобы остался проход из кабины стрелка к пилотам. Дальность увели</w:t>
      </w:r>
      <w:r w:rsidRPr="00271E51">
        <w:rPr>
          <w:rFonts w:ascii="Times New Roman" w:hAnsi="Times New Roman"/>
          <w:color w:val="000000" w:themeColor="text1"/>
          <w:sz w:val="16"/>
          <w:szCs w:val="16"/>
        </w:rPr>
        <w:softHyphen/>
        <w:t>чилась, теперь самолет мог осуществлять по</w:t>
      </w:r>
      <w:r w:rsidRPr="00271E51">
        <w:rPr>
          <w:rFonts w:ascii="Times New Roman" w:hAnsi="Times New Roman"/>
          <w:color w:val="000000" w:themeColor="text1"/>
          <w:sz w:val="16"/>
          <w:szCs w:val="16"/>
        </w:rPr>
        <w:softHyphen/>
        <w:t>леты на радиусе до 575 км. Взлетный вес при этом перевалил за три тонны, поэтому, когда понадобилось выполнить очередное требова</w:t>
      </w:r>
      <w:r w:rsidRPr="00271E51">
        <w:rPr>
          <w:rFonts w:ascii="Times New Roman" w:hAnsi="Times New Roman"/>
          <w:color w:val="000000" w:themeColor="text1"/>
          <w:sz w:val="16"/>
          <w:szCs w:val="16"/>
        </w:rPr>
        <w:softHyphen/>
        <w:t>ние военных и увеличить огневую мощь кор</w:t>
      </w:r>
      <w:r w:rsidRPr="00271E51">
        <w:rPr>
          <w:rFonts w:ascii="Times New Roman" w:hAnsi="Times New Roman"/>
          <w:color w:val="000000" w:themeColor="text1"/>
          <w:sz w:val="16"/>
          <w:szCs w:val="16"/>
        </w:rPr>
        <w:softHyphen/>
        <w:t>мовой установки, конструкторам пришлось идти на компромиссное решение. Взамен пу</w:t>
      </w:r>
      <w:r w:rsidRPr="00271E51">
        <w:rPr>
          <w:rFonts w:ascii="Times New Roman" w:hAnsi="Times New Roman"/>
          <w:color w:val="000000" w:themeColor="text1"/>
          <w:sz w:val="16"/>
          <w:szCs w:val="16"/>
        </w:rPr>
        <w:softHyphen/>
        <w:t>лемета ШКАС калибра 7,62 мм для обстрела задней полусферы установили крупнокали</w:t>
      </w:r>
      <w:r w:rsidRPr="00271E51">
        <w:rPr>
          <w:rFonts w:ascii="Times New Roman" w:hAnsi="Times New Roman"/>
          <w:color w:val="000000" w:themeColor="text1"/>
          <w:sz w:val="16"/>
          <w:szCs w:val="16"/>
        </w:rPr>
        <w:softHyphen/>
        <w:t>берный пулемет УБТ калибра 12,7 мм на ту</w:t>
      </w:r>
      <w:r w:rsidRPr="00271E51">
        <w:rPr>
          <w:rFonts w:ascii="Times New Roman" w:hAnsi="Times New Roman"/>
          <w:color w:val="000000" w:themeColor="text1"/>
          <w:sz w:val="16"/>
          <w:szCs w:val="16"/>
        </w:rPr>
        <w:softHyphen/>
        <w:t>рели ВУБ-3 (начиная с самолета №4770305), однако взамен сняли один курсовой пуле</w:t>
      </w:r>
      <w:r w:rsidRPr="00271E51">
        <w:rPr>
          <w:rFonts w:ascii="Times New Roman" w:hAnsi="Times New Roman"/>
          <w:color w:val="000000" w:themeColor="text1"/>
          <w:sz w:val="16"/>
          <w:szCs w:val="16"/>
        </w:rPr>
        <w:softHyphen/>
        <w:t>мет. В таком виде КОР-2 поставлялись заво</w:t>
      </w:r>
      <w:r w:rsidRPr="00271E51">
        <w:rPr>
          <w:rFonts w:ascii="Times New Roman" w:hAnsi="Times New Roman"/>
          <w:color w:val="000000" w:themeColor="text1"/>
          <w:sz w:val="16"/>
          <w:szCs w:val="16"/>
        </w:rPr>
        <w:softHyphen/>
        <w:t>дом №477 в 1944—45 гг., вплоть до окончания производства. Конструкторское бюро Бери- ева в тот период уже полностью переключи</w:t>
      </w:r>
      <w:r w:rsidRPr="00271E51">
        <w:rPr>
          <w:rFonts w:ascii="Times New Roman" w:hAnsi="Times New Roman"/>
          <w:color w:val="000000" w:themeColor="text1"/>
          <w:sz w:val="16"/>
          <w:szCs w:val="16"/>
        </w:rPr>
        <w:softHyphen/>
        <w:t xml:space="preserve"> лось на проектирование тяжелой двухмотор</w:t>
      </w:r>
      <w:r w:rsidRPr="00271E51">
        <w:rPr>
          <w:rFonts w:ascii="Times New Roman" w:hAnsi="Times New Roman"/>
          <w:color w:val="000000" w:themeColor="text1"/>
          <w:sz w:val="16"/>
          <w:szCs w:val="16"/>
        </w:rPr>
        <w:softHyphen/>
        <w:t>ной летающей лодки ЛЛ-143, ставшей впо</w:t>
      </w:r>
      <w:r w:rsidRPr="00271E51">
        <w:rPr>
          <w:rFonts w:ascii="Times New Roman" w:hAnsi="Times New Roman"/>
          <w:color w:val="000000" w:themeColor="text1"/>
          <w:sz w:val="16"/>
          <w:szCs w:val="16"/>
        </w:rPr>
        <w:softHyphen/>
        <w:t>следствии известной как Бе-6 (12301).</w:t>
      </w:r>
    </w:p>
    <w:p w14:paraId="223AF391"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4A9ECDB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построили другой опытный образец А-7М. У него правую дверь заме</w:t>
      </w:r>
      <w:r w:rsidRPr="00271E51">
        <w:rPr>
          <w:rFonts w:ascii="Times New Roman" w:hAnsi="Times New Roman"/>
          <w:color w:val="000000" w:themeColor="text1"/>
          <w:sz w:val="16"/>
          <w:szCs w:val="16"/>
        </w:rPr>
        <w:softHyphen/>
        <w:t>нили грузовым люком размером 1600 х 1060 мм, закрывавшимся двумя створками. Одновременно в конструкцию внесли ряд других, менее значимых из</w:t>
      </w:r>
      <w:r w:rsidRPr="00271E51">
        <w:rPr>
          <w:rFonts w:ascii="Times New Roman" w:hAnsi="Times New Roman"/>
          <w:color w:val="000000" w:themeColor="text1"/>
          <w:sz w:val="16"/>
          <w:szCs w:val="16"/>
        </w:rPr>
        <w:softHyphen/>
        <w:t>менений. После заводских испытаний в конце октября планер перевезли в ЛИИ. Там до начала 1944 г. проходили государственные испытания.</w:t>
      </w:r>
    </w:p>
    <w:p w14:paraId="494740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планера возрос до 1080 кг, полет</w:t>
      </w:r>
      <w:r w:rsidRPr="00271E51">
        <w:rPr>
          <w:rFonts w:ascii="Times New Roman" w:hAnsi="Times New Roman"/>
          <w:color w:val="000000" w:themeColor="text1"/>
          <w:sz w:val="16"/>
          <w:szCs w:val="16"/>
        </w:rPr>
        <w:softHyphen/>
        <w:t>ный нормальный — до 2435 кг, максимальный — до 2665 кг. За счет этого увеличились скорость отрыва на взлете, посадочная скорость и пробег. Скорость бук</w:t>
      </w:r>
      <w:r w:rsidRPr="00271E51">
        <w:rPr>
          <w:rFonts w:ascii="Times New Roman" w:hAnsi="Times New Roman"/>
          <w:color w:val="000000" w:themeColor="text1"/>
          <w:sz w:val="16"/>
          <w:szCs w:val="16"/>
        </w:rPr>
        <w:softHyphen/>
        <w:t>сировки А-7М ограничили 250 км/ч (у А-7 — 300 км/ч).</w:t>
      </w:r>
    </w:p>
    <w:p w14:paraId="4D7F3FA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января 1944 г. А-7М передали на войсковые ис</w:t>
      </w:r>
      <w:r w:rsidRPr="00271E51">
        <w:rPr>
          <w:rFonts w:ascii="Times New Roman" w:hAnsi="Times New Roman"/>
          <w:color w:val="000000" w:themeColor="text1"/>
          <w:sz w:val="16"/>
          <w:szCs w:val="16"/>
        </w:rPr>
        <w:softHyphen/>
        <w:t>пытания. По устойчивости и управляемости второй экземпляр оказался аналогичен серийному А-7, в том числе он демонстрировал тенденцию к сваливанию в штопор на малых скоростях. Из недостатков отмети</w:t>
      </w:r>
      <w:r w:rsidRPr="00271E51">
        <w:rPr>
          <w:rFonts w:ascii="Times New Roman" w:hAnsi="Times New Roman"/>
          <w:color w:val="000000" w:themeColor="text1"/>
          <w:sz w:val="16"/>
          <w:szCs w:val="16"/>
        </w:rPr>
        <w:softHyphen/>
        <w:t>ли также тесноту грузовой кабины, в которой десант</w:t>
      </w:r>
      <w:r w:rsidRPr="00271E51">
        <w:rPr>
          <w:rFonts w:ascii="Times New Roman" w:hAnsi="Times New Roman"/>
          <w:color w:val="000000" w:themeColor="text1"/>
          <w:sz w:val="16"/>
          <w:szCs w:val="16"/>
        </w:rPr>
        <w:softHyphen/>
        <w:t>ники размещались слишком плотно (12300).</w:t>
      </w:r>
    </w:p>
    <w:p w14:paraId="25B8FFDF"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453CD59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построили другой опытный образец А-7М. У него правую дверь заме</w:t>
      </w:r>
      <w:r w:rsidRPr="00271E51">
        <w:rPr>
          <w:rFonts w:ascii="Times New Roman" w:hAnsi="Times New Roman"/>
          <w:color w:val="000000" w:themeColor="text1"/>
          <w:sz w:val="16"/>
          <w:szCs w:val="16"/>
        </w:rPr>
        <w:softHyphen/>
        <w:t>нили грузовым люком размером 1600 х 1060 мм, закрывавшимся двумя створками. Одновременно в конструкцию внесли ряд других, менее значимых из</w:t>
      </w:r>
      <w:r w:rsidRPr="00271E51">
        <w:rPr>
          <w:rFonts w:ascii="Times New Roman" w:hAnsi="Times New Roman"/>
          <w:color w:val="000000" w:themeColor="text1"/>
          <w:sz w:val="16"/>
          <w:szCs w:val="16"/>
        </w:rPr>
        <w:softHyphen/>
        <w:t>менений. После заводских испытаний в конце октя бря планер перевезли в ЛИИ. Там до начала 1944 г. проходили государственные испытания.</w:t>
      </w:r>
    </w:p>
    <w:p w14:paraId="49DA07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пустого планера возрос до 1080 кг, полет</w:t>
      </w:r>
      <w:r w:rsidRPr="00271E51">
        <w:rPr>
          <w:rFonts w:ascii="Times New Roman" w:hAnsi="Times New Roman"/>
          <w:color w:val="000000" w:themeColor="text1"/>
          <w:sz w:val="16"/>
          <w:szCs w:val="16"/>
        </w:rPr>
        <w:softHyphen/>
        <w:t>ный нормальный — до 2435 кг, максимальный — до 2665 кг. За счет этого увеличились скорость отрыва на взлете, посадочная скорость и пробег. Скорость бук</w:t>
      </w:r>
      <w:r w:rsidRPr="00271E51">
        <w:rPr>
          <w:rFonts w:ascii="Times New Roman" w:hAnsi="Times New Roman"/>
          <w:color w:val="000000" w:themeColor="text1"/>
          <w:sz w:val="16"/>
          <w:szCs w:val="16"/>
        </w:rPr>
        <w:softHyphen/>
        <w:t>сировки А-7М ограничили 250 км/ч (у А-7 — 300 км/ч).</w:t>
      </w:r>
    </w:p>
    <w:p w14:paraId="4C5B9BB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 января 1944 г. А-7М передали на войсковые ис</w:t>
      </w:r>
      <w:r w:rsidRPr="00271E51">
        <w:rPr>
          <w:rFonts w:ascii="Times New Roman" w:hAnsi="Times New Roman"/>
          <w:color w:val="000000" w:themeColor="text1"/>
          <w:sz w:val="16"/>
          <w:szCs w:val="16"/>
        </w:rPr>
        <w:softHyphen/>
        <w:t>пытания. По устойчивости и управляемости второй экземпляр оказался аналогичен серийному А-7, в том числе он демонстрировал тенденцию к сваливанию в штопор на малых скоростях. Из недостатков отмети</w:t>
      </w:r>
      <w:r w:rsidRPr="00271E51">
        <w:rPr>
          <w:rFonts w:ascii="Times New Roman" w:hAnsi="Times New Roman"/>
          <w:color w:val="000000" w:themeColor="text1"/>
          <w:sz w:val="16"/>
          <w:szCs w:val="16"/>
        </w:rPr>
        <w:softHyphen/>
        <w:t>ли также тесноту грузовой кабины, в которой десант</w:t>
      </w:r>
      <w:r w:rsidRPr="00271E51">
        <w:rPr>
          <w:rFonts w:ascii="Times New Roman" w:hAnsi="Times New Roman"/>
          <w:color w:val="000000" w:themeColor="text1"/>
          <w:sz w:val="16"/>
          <w:szCs w:val="16"/>
        </w:rPr>
        <w:softHyphen/>
        <w:t>ники размещались слишком плотно (12300).</w:t>
      </w:r>
    </w:p>
    <w:p w14:paraId="7171A161"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F4907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в авиационные части стали поступать непривычно окрашенные самолеты, постепенно сменявшие зелено-черные машины. Новые камуфляжи были регламентированы "Схемами маскирующей окраски самолетов", разработанными в соответствии с приказом НКАП и ВВС Красной Армии № 389/0133 от 3 июля 1943 г. и утвержденными 18 июля.</w:t>
      </w:r>
    </w:p>
    <w:p w14:paraId="1FB6EC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"Схемы..." определяли цвета и марки красок, форму и расположение камуфляжных пятен. Все истребители теперь окрашивались сверху и с боков в два цвета: серо-голубой и темно-серый; самолеты Пе-2, Ил-2, У-2, УТ-2 и Як-6 - в три цвета (зеленый, светло-коричневый и темно-серый), причем Ил-2, УТ-2 и Пе-2 имели по два варианта окраски. Для бомбардировщиков Ил-4 и Пе-8 этот документ предписывал вместо темно-серого цвета черный. Нижние поверхности всех самолетов должны были иметь тот же голубой цвет, что и раньше.</w:t>
      </w:r>
    </w:p>
    <w:p w14:paraId="47A486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Интересно, что сначала, согласно тактико-техническим требованиям НИИ ВВС на разработку лакокрасочного покрытия самолетов на 1943 г., утвержденным генерал-майором Лосюковым 24 февраля 1943 г., "окраска верхних и боковых поверхностей самолета должна быть камуфляжной с применением как минимум трех цветов: зеленого (цвет №4), черного (цвет №6) и песочного (цвет №1)". Номера цветов, как видим, совпадают с номерами красок серии АМТ. По разработанному в апреле 1943 г. проекту приказа о переходе на новые схемы окраски, для всех классов самолетов, включая истребители, также планировался трехцветный камуфляж, причем соотношение зеленого, черного (а не темно-серого, как впоследствии) и светло-коричне- вого цветов предполагалось, как 5:2:3.</w:t>
      </w:r>
    </w:p>
    <w:p w14:paraId="0DD110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Более того, в апреле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w:t>
      </w:r>
    </w:p>
    <w:p w14:paraId="2883CE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окраски самолетов разрешалось пользоваться только стандартными красками следующих марок: зеленый цвет - АМТ-4 (для металлических поверхностей - А-24м), светло-коричневый - АМТ-1 (А-21м), серо-голубой - АМТ-11, темно-серый - АМТ-12 (А-32м), голубой - АМТ-7 (А-28м).</w:t>
      </w:r>
    </w:p>
    <w:p w14:paraId="6384ED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 двух красках, АМТ-4 и АМТ-7 (и их масляных аналогах) уже говорилось. Не указанная в перечне черная краска (для Ил-4 и Пе-8), без сомнения, АМТ-6, также применявшаяся с 1941 г. А что можно сказать об остальных?</w:t>
      </w:r>
    </w:p>
    <w:p w14:paraId="7D97BE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Светло-коричневый аэролак АМТ-1, разработанный еще в 1941 г., не был востребован ВВС до июля 1943 г., когда на него, а также на АМТ-11 и АМТ-12, ввели ТУ. Цвет АМТ-1 можно назвать светло-серо-коричневым. ТУ допускали "незначительные изменения расцветки при хранении". АМТ-1, так же, как и другие лаки серии АМТ, давал полуматовое покрытие.</w:t>
      </w:r>
    </w:p>
    <w:p w14:paraId="417A22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 на масляную эмаль А-21м (цветовой аналог АМТ-1) ввели в сентябре 1943 г. Цвет этой эмали несколько отличался от АМТ-1, вероятно, из-за различий в пленкообразующих. Масляный лак по сравнению с нитроцеллюлозой имел желтоватый оттенок, поэтому и цвет А-21м был более желтым, теплым. Другой характерной для масляных эмалей особенностью А-21м являлась матовая поверхность высохшей пленки.</w:t>
      </w:r>
    </w:p>
    <w:p w14:paraId="058E33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АМТ-11 имел средне-темный с небольшим голубым оттенком серый цвет. В 1943 г. ТУ на масляную эмаль такого цвета еще отсутствовали. Это объясняется тем, что он использовался тогда только для истребителей, среди которых в тот период не было цельнометаллических самолетов, требовавших окраски масляными эмалями. А для металлических капотов машин смешанной конструкции служили аэролаки, наносимые по грунту АЛГ-5 с горячей сушкой, которая могла быть без особых затруднений произведена на заводах НКАП.</w:t>
      </w:r>
    </w:p>
    <w:p w14:paraId="3B511F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Темно-серые аэролак АМТ-12 и масляная эмаль А-32м шли на смену черным АМТ-6 и А-26м, которые теперь стали применяться только для окраски лопастей винтов. Обе новые эмали были достаточно темными, близкими к черному цвету, причем аэролак АМТ-12 был немного темнее, чем А-32м. Причиной такой, казалось бы, незначительной замены являлся сделанный маскировщиками вывод о том, что чисто черного цвета в фоне земли не существует. Даже тени от складок местности при наблюдении с высоты кажутся не черными, а темно-серыми.</w:t>
      </w:r>
    </w:p>
    <w:p w14:paraId="3223F8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Приказ НКАП и ВВС определял также порядок введения новых схем камуфляжа в практику. Поставку всех необходимых эмалей должны были обеспечить к 25 июля. Начало выпуска истребителей с новым камуфляжем планировалось с 15 июля, остальных самолетов - с 1 августа, а до этого срока, начиная с 15 июля, предписывалось в существующей двухцветной окраске выпускаемых машин заменить черный цвет на темно- серый. До получения стандартных серо- голубой и темно-серой красок разрешалось применять смеси нитроэмалей АМТ-7 (голубой) и АМТ-6 (черной) или масляных А-26м и А-28м, сделанные по специальной инструкции и эталонам ВИАМ. Такие меры по смешиванию красок, никогда ранее не разрешавшиеся, говорят об особой срочности введения нового камуфляжа. Документального подтверждения применения смесей красок не обнаружено, равно как и сами "специальные" инструкции и эталоны. Однако исключить их использования на начальном этапе внедрения нового камуфляжа нельзя. В этом случае цвета таких эмалей могли значительно отличаться от АМТ-11 и АМТ-12 (А-32м).</w:t>
      </w:r>
    </w:p>
    <w:p w14:paraId="2906D2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одну и ту же часть предписывалось отправлять самолеты, окрашенные по разным вариантам (для тех типов, у которых имелись два варианта камуфляжа). Перекраска существующего парка самолетов в авиачастях не планировалась. Окрашиваться по новым схемам должны были только ремонтируемые самолеты. Зимой 1943/44 г. по указанию маршала авиации А.А. Новикова все истребители, имеющие новый камуфляж, в белый цвет уже не окрашивались.</w:t>
      </w:r>
    </w:p>
    <w:p w14:paraId="05D845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Насколько же пунктуально выполнялись требования "Схем ..." 1943 г.?</w:t>
      </w:r>
    </w:p>
    <w:p w14:paraId="54F669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Очень часто стандартная схема встречается на фотографиях истребителей того периода (ЛаГГ-3, Ла-5, Як-3, Як-9). Правда, форма пятен бывает несколько искажена. Наиболее часто это выражается в отсутствии четких углов, которые при окраске пульверизатором без трафарета становятся скругленными. Больше всего отличий от "Схем..." наблюдается в окраске капотов. Возможно, это объясняется тем, что их лакокрасочное покрытие, как наиболее повреждаемое при эксплуатации, чаще подлежало ремонту.</w:t>
      </w:r>
    </w:p>
    <w:p w14:paraId="0C42B0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Иначе обстояло дело с трехцветным камуфляжем. На самолетах Пе-2, Ил-4, Пе-8 и им подобных наносить его было нелегко из-за больших размеров. На многих заводах введение окраски самолетов по новым схемам задерживалось в связи с неполучением новых аэролаков, да и красить в три цвета (не считая голубого для нижних поверхностей) было сложнее, чем в два. В последний день июля НКАП обратился к начальнику Главного управления заказов ВВС генерал-лейтенанту Н.П. Селезневу с просьбой дать указания военпредам 11-го Главного управления (серийное производство легкомоторных самолетов) о приемке до 1 сентября самолетов с двухцветным камуфляжем. Из черновика письма, как нереальную мечту, замнаркома авиапромышленности П.В. Дементьев вычеркнул предложение о сохранении двухцветного камуфляжа для этих самолетов и "на дальнейший период".</w:t>
      </w:r>
    </w:p>
    <w:p w14:paraId="757C02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 даже если машина была окрашена по трехцветной схеме, на фотографиях не всегда это можно увидеть, т.к. покрытия, выполненные зеленой краской АМТ-4 (или А-24м) и темно-серой АМТ-12 (А-32м), имели близкие коэффициенты отражения: до 9% и 12% соответственно. Учитывая, что зеленый цвет на черно-белых фотографиях выглядит темно-серым, различить эти цвета можно только на качественных снимках. где камуфлированные поверхности хорошо освещены. На таком общем фоне хорошо заметна лишь светло-коричневая эмаль АМТ-1 (коэффициент отражения до 22%).</w:t>
      </w:r>
    </w:p>
    <w:p w14:paraId="318A8D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Именно светлые пятна, полностью совпадающие по форме и месту расположения со "Схемами...", видны на некоторых фотографиях Ил-2, У-2 и, реже, Пе-2. Поэтому с достаточно большой уверенностью можно говорить об их стандартном трехцветном камуфляже. Известны фотографии и других самолетов, например. Ил-4. на которых ясно виден трехцветный камуфляж (правда, его рисунок не совпадает со "Схемами...").</w:t>
      </w:r>
    </w:p>
    <w:p w14:paraId="2B58DF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"Схемах..." отсутствует камуфляж для Ту-2. На момент их разработки серийное производство его на заводе № 166 в Омске было остановлено. 17 июля 1943 г. (за день до утверждения "Схем..."!) вышло постановление ГКО о запуске Ту-2 в серию на московском заводе № 23. Первая же серийная машина покинула сборочный цех только в ноябре. Хотя для нее вполне можно было использовать схему камуфляжа близкого по размерам и конфигурации Пе-2, на заводе предпочли разработать собственный вариант с теми же тремя красками (А-21м, А-24м и А-32м).</w:t>
      </w:r>
    </w:p>
    <w:p w14:paraId="0B8823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наконец, о причинах смены камуфляжа. Зелено-черный камуфляж лучше всего защищал от наблюдения сверху машину, стоящую на земле или летящую на небольшой высоте, когда расстояние от нее до фона значительно меньше, чем до наблюдателя и. следовательно, можно пренебречь влиянием атмосферной дымки между замаскированным самолетом и землей.</w:t>
      </w:r>
    </w:p>
    <w:p w14:paraId="00C56F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увеличением высоты наблюдения различие участков земной поверхности по цвету постепенно уменьшается, все более сменяясь различием ахроматическим, т. е. только по светлоте. Дымка придавала расцветкам земного фона холодные, голубоватые оттенки. Тем самым зелено-черный истребитель, набирая высоту и приближаясь к противнику, летящему на большой высоте (расстояние от самолета до фона становилось больше, чем до наблюдателя), все заметнее выделялся зелеными пятнами на голубовато-сероватом фоне земли.</w:t>
      </w:r>
    </w:p>
    <w:p w14:paraId="314E02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давнее недовольство военных черно-зеленой окраской, казалось, причина ясна: советская авиация, переходя к активным действиям, набирала, в прямом и переносном смысле, высоту, для чего и понадобился новый камуфляж. Но все не так просто.</w:t>
      </w:r>
    </w:p>
    <w:p w14:paraId="18B645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Посмотрим, как тогда выглядела конструкция деревянных обшивок самолетов. Фанера приклеивалась к каркасу и покрывалась двумя слоями нитроклея, затем наносился тонкий слой шпатлевки, потом опять слой нитроклея и, наконец, наклеивалась ткань, которая покрывалась двумя слоями шпатлевки, грунтовочным слоем аэролака АН Ал (в военное временя этот слой мог не наноситься) и двумя слоями аэролака АМТ (11989).</w:t>
      </w:r>
    </w:p>
    <w:p w14:paraId="23932E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6F6F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Только со второй поло</w:t>
      </w:r>
      <w:r w:rsidRPr="00271E51">
        <w:rPr>
          <w:rFonts w:ascii="Times New Roman" w:hAnsi="Times New Roman"/>
          <w:color w:val="000000" w:themeColor="text1"/>
          <w:sz w:val="16"/>
          <w:szCs w:val="16"/>
        </w:rPr>
        <w:softHyphen/>
        <w:t>вины 1943 г., когда отечественная химическая промышленность налади</w:t>
      </w:r>
      <w:r w:rsidRPr="00271E51">
        <w:rPr>
          <w:rFonts w:ascii="Times New Roman" w:hAnsi="Times New Roman"/>
          <w:color w:val="000000" w:themeColor="text1"/>
          <w:sz w:val="16"/>
          <w:szCs w:val="16"/>
        </w:rPr>
        <w:softHyphen/>
        <w:t>ла производство нормальных ВВ и порохов, ГМЧ смогли «заявить о себе во весь голос». Тогда на вооружение приняли снаряд М-8 модели ТЗ-0095, и его удлиненную БЧ теперь снаряжали только тротилом. Но</w:t>
      </w:r>
      <w:r w:rsidRPr="00271E51">
        <w:rPr>
          <w:rFonts w:ascii="Times New Roman" w:hAnsi="Times New Roman"/>
          <w:color w:val="000000" w:themeColor="text1"/>
          <w:sz w:val="16"/>
          <w:szCs w:val="16"/>
        </w:rPr>
        <w:softHyphen/>
        <w:t>вый метод кусковой заливки позволил до максимума ускорить процесс снаряжания и увеличить огневую мощь боеприпаса. Кстати, по оконча</w:t>
      </w:r>
      <w:r w:rsidRPr="00271E51">
        <w:rPr>
          <w:rFonts w:ascii="Times New Roman" w:hAnsi="Times New Roman"/>
          <w:color w:val="000000" w:themeColor="text1"/>
          <w:sz w:val="16"/>
          <w:szCs w:val="16"/>
        </w:rPr>
        <w:softHyphen/>
        <w:t xml:space="preserve">нии войны 82-мм РСЗО сразу </w:t>
      </w:r>
      <w:r w:rsidRPr="00271E51">
        <w:rPr>
          <w:rFonts w:ascii="Times New Roman" w:hAnsi="Times New Roman"/>
          <w:color w:val="000000" w:themeColor="text1"/>
          <w:sz w:val="16"/>
          <w:szCs w:val="16"/>
        </w:rPr>
        <w:lastRenderedPageBreak/>
        <w:t>законсервировали на базах хранения, а позже ими вооружили армии стран Варшавского Договора. практически всю первую половину Великой Отечест</w:t>
      </w:r>
      <w:r w:rsidRPr="00271E51">
        <w:rPr>
          <w:rFonts w:ascii="Times New Roman" w:hAnsi="Times New Roman"/>
          <w:color w:val="000000" w:themeColor="text1"/>
          <w:sz w:val="16"/>
          <w:szCs w:val="16"/>
        </w:rPr>
        <w:softHyphen/>
        <w:t>венной 82-мм РСЗО оставались для ГМЧ обузой, а на противника их огонь больше воздействовал психологически. Кроме того, в условиях во</w:t>
      </w:r>
      <w:r w:rsidRPr="00271E51">
        <w:rPr>
          <w:rFonts w:ascii="Times New Roman" w:hAnsi="Times New Roman"/>
          <w:color w:val="000000" w:themeColor="text1"/>
          <w:sz w:val="16"/>
          <w:szCs w:val="16"/>
        </w:rPr>
        <w:softHyphen/>
        <w:t>енного времени периодически возвращаемые с фронта партии неконди</w:t>
      </w:r>
      <w:r w:rsidRPr="00271E51">
        <w:rPr>
          <w:rFonts w:ascii="Times New Roman" w:hAnsi="Times New Roman"/>
          <w:color w:val="000000" w:themeColor="text1"/>
          <w:sz w:val="16"/>
          <w:szCs w:val="16"/>
        </w:rPr>
        <w:softHyphen/>
        <w:t>ционных снарядов М-8 требовали привлечения для их переснаряжания большого числа солдат и автотранспорт (11402).</w:t>
      </w:r>
    </w:p>
    <w:p w14:paraId="2E0D92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1CA3E"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4A890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E5DDF" w14:textId="77777777" w:rsidR="00CD4E8C" w:rsidRPr="00271E51" w:rsidRDefault="00CD4E8C" w:rsidP="00271E51">
      <w:pPr>
        <w:pStyle w:val="rtejustify"/>
        <w:shd w:val="clear" w:color="auto" w:fill="FFFFFF"/>
        <w:spacing w:before="0" w:after="0"/>
        <w:rPr>
          <w:color w:val="000000" w:themeColor="text1"/>
          <w:sz w:val="16"/>
          <w:szCs w:val="16"/>
        </w:rPr>
      </w:pPr>
      <w:r w:rsidRPr="00271E51">
        <w:rPr>
          <w:color w:val="000000" w:themeColor="text1"/>
          <w:sz w:val="16"/>
          <w:szCs w:val="16"/>
        </w:rPr>
        <w:t>Со второй половины 1943 г. предприятиям вновь потребовалась срочная модернизация: на этот раз руководство НКВД решило увеличить до 250 тыс. в месяц производство 120-мм мин. Количество изготовлявших мины предприятий выросло до восьми, было установлено дополнительно 600 единиц металлообрабатывающего оборудования, реконструировано 4 литейных цеха, построено 7 вагранок и 10 отжигательных печей (15473).</w:t>
      </w:r>
    </w:p>
    <w:p w14:paraId="1F23F607" w14:textId="77777777" w:rsidR="00CD4E8C" w:rsidRPr="00271E51" w:rsidRDefault="00CD4E8C" w:rsidP="00271E51">
      <w:pPr>
        <w:pStyle w:val="rtejustify"/>
        <w:shd w:val="clear" w:color="auto" w:fill="FFFFFF"/>
        <w:spacing w:before="0" w:after="0"/>
        <w:rPr>
          <w:color w:val="000000" w:themeColor="text1"/>
          <w:sz w:val="16"/>
          <w:szCs w:val="16"/>
        </w:rPr>
      </w:pPr>
    </w:p>
    <w:p w14:paraId="41A21EF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 второй половины 1943 г. предприятиям вновь потребовалась срочная модернизация: на этот раз руководство НКВД решило увеличить до 250 тыс. в месяц производство 120-мм мин. Количество изготовлявших мины предприятий выросло до восьми, было установлено дополнительно 600 единиц металлообрабатывающего оборудования, реконструировано 4 литейных цеха, построено 7 вагранок и 10 отжигательных печей. </w:t>
      </w:r>
    </w:p>
    <w:p w14:paraId="038BD5D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Наращивание выпуска боеприпасов давалось с трудом: не хватало буквально всего и вся. Приходилось широко импровизировать. </w:t>
      </w:r>
    </w:p>
    <w:p w14:paraId="2696306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плавки чугуна и литья корпусов мин требовалось большое количество огнеупорных материалов для строительства вагранок. А их очень не хватало. На помощь пришло изобретение ярославских заключенных. </w:t>
      </w:r>
    </w:p>
    <w:p w14:paraId="6ACACC5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Они сконструировали вагранку с футеровкой не в три, а в один кирпич. Отсутствующие слои огнеупоров заменило принудительное водяное охлаждение. После испытаний начальник отдела военной продукции своим циркуляром от 18 февраля 1943 г. обязал производителей боеприпасов немедленно взять ценный опыт на вооружение. Циркуляром от 22 июля 1943 г. все предприятия были ознакомлены с ценным изобретением Кунгурской ИТК № 3. Стабилизаторы мин крепились к корпусам точечной сваркой, а электросварочной проволоки диаметром 3–5 мм остро не хватало. Тогда из оставшихся после штамповки крыльев стабилизатора отходов стали вырубать полоски шириной около 4 мм, которые и пошли на электроды. Как показали испытания, ущерба для прочности мин не было, а экономия ценного стратегического материала была существенной. </w:t>
      </w:r>
    </w:p>
    <w:p w14:paraId="010DC39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поддержания выпуска боеприпасов на высоком уровне требовалось поддерживать как работоспособность оборудования, так и работоспособность людей. С начала 1943 г. всем ИТК был разослан уменьшенный против нормы план выпуска боеприпасов на январь-февраль. А следом - циркуляр, требующий, пользуясь снижением нагрузки, проводить ремонтные работы, не останавливая ни на миг производство продукции, а лишь переключая его на отремонтированные и отлаженные линии. </w:t>
      </w:r>
    </w:p>
    <w:p w14:paraId="0814D1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Что же касается людей, то главной заботой чекистов было удержание на производстве опытных мастеров и квалифицированных рабочих некоторых специальностей. С неопытными кадрами брак на производстве, особенно по литью, достигал 40 %. С 1942 г. мастера и квалифицированные рабочие стали получать пайки выше, чем сотрудники ИТК. Дневной паек мастера или начальника смены из заключенных составлял 700 грамм хлеба против 500 граммов у чекиста. Добавим для сравнения, что норма выдачи по "рабочей" карточке "на воле" составляла 500 граммов хлеба в день. </w:t>
      </w:r>
    </w:p>
    <w:p w14:paraId="21B2C8B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Принятые меры позволили постоянно наращивать выпуск военной продукции.</w:t>
      </w:r>
    </w:p>
    <w:p w14:paraId="62CC025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Хозяйственными подразделениями НКВД выпущено 14 % минометных боеприпасов, 22 % инженерных мин и 14 % ручных гранат, поставленных промышленностью вооруженным силам. </w:t>
      </w:r>
    </w:p>
    <w:p w14:paraId="4781C51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боеприпасов, колониями и лагерными отделениями было произведено 27 900 тыс. комплектов спецукупорки для мин, снарядов и авиабомб, 500 тыс. катушек для телефонного кабеля, 30 тыс. укороченных лодок-волокуш (УЛВ), 1700 тыс. противогазных масок, 2250 т медного снарядного пояска.</w:t>
      </w:r>
    </w:p>
    <w:p w14:paraId="5872D57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Предприятия ГУЛАГа оказали огромную помощь и в производстве других видов продукции для армии. До войны все военные заводы и мастерские Главного артиллерийского управления РККА снабжались кожтехническими изделиями (уплотнительными кольцами, прокладками и т. д.) московской ИТК № 1. После эвакуации последней в октябре 1941 г. производство было перебазировано в ИТК № 5 города Кунгура. Одновременно, учитывая сложность получения в военное время высококачественной кожи, специалисты 4-го спецотдела НКВД и колонии разработали метод изготовления уплотнителей из поливинилхлорида. Технология была отлажена в 1942 году, а с 1943 г. уплотнители и прокладки были успешно внедрены на 135 оборонных предприятиях, что позволило только за 1943 г сэкономить 75 тонн натуральной кожи. </w:t>
      </w:r>
    </w:p>
    <w:p w14:paraId="4874862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 годы войны колониями было пошито 22 млн. единиц обмундирования для Красной Армии. В это число не включалась обувь, изготовленная на предприятиях ГУЛАГа, а также ватные штаны и телогрейки, не являвшиеся, согласно военной терминологии того времени, предметами обмундирования. Фактически в данную группу были включены такие виды изделий, как гимнастерки (суконные и хлопчатобумажные), шаровары и шинели. Всего же, по данным доклада начальника Штаба тыла Красной Армии М. П. Миловского от 26 июня 1946 г., посвященного итогам работы тыла в годы войны, вооруженные силы получили 36 580 тыс. шинелей, 76 768 тыс. гимнастерок, 64 064 тыс. шаровар, т. е. всего 177 412 тыс. предметов. Из этого числа исправительно-трудовые колонии и лагерные отделения поставили примерно 12 %. </w:t>
      </w:r>
    </w:p>
    <w:p w14:paraId="394B886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Параллельно ГУЛАГ расширил практику поставки рабочей силы предприятиям других наркоматов. До войны заключенные работали на 350 предприятиях СССР. К 1944 уже 640 предприятий пользовались трудом осужденных. Руководство НКВД неоднократно добивалось прекращения передачи рабочих рук другим ведомствам, так как их не хватало на собственных строительствах. Но в условиях, когда на самых тяжелых производствах в промышленности использовался женский или подростковый труд, руководство государства не могло лишить оборонные предприятия возможности применять в "горячих" цехах мужской труд и оставляло просьбы НКВД без внимания. </w:t>
      </w:r>
    </w:p>
    <w:p w14:paraId="21BC58B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Для использования труда осужденных на производстве оборонной продукции в системе ГУЛАГа были организованы 380 промышленных колоний емкостью в 225 тыс. чел. Из них 39 тыс. работали на предприятиях наркомата боеприпасов, 40 тыс. в черной и цветной металлургии, 20 тыс. - в авиационной и танковой промышленности. Непосредственно в цехах использовалось 25 % заключенных, еще 34 % были заняты в строительстве, 11 % - на горнорудных работах. Остальные использовались прежде всего на погрузочных работах. </w:t>
      </w:r>
    </w:p>
    <w:p w14:paraId="51A35B8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Всего за период войны на основе контрагентских договоров непосредственно предприятиям было передано почти 900 тыс. заключенных. Большая часть работавших на производстве была задействована в "горячих" цехах предприятий. Таким образом, труд заключенных в промышленности применялся главным образом там, где требовалось большое физическое напряжение, но не высокая квалификация. Фактически привлечение осуждение позволяло освободить больше кадров для работы в обрабатывающих и сборочных цехах предприятий, где с успехом мог применяться труд женщин и подростков. Всего же за годы войны предоставление НКВД рабочей силы другим наркоматам выглядело следующим образом. 1941 г. 266 000 1942 г. 457 777 1943 г. 595 000 1944 г. 927 000 </w:t>
      </w:r>
    </w:p>
    <w:p w14:paraId="02FA88E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рабочая сила, поставленная НКВД к 1944 году, составляла 55 % от числа всех занятых на производстве в ключевых оборонных наркоматах. В 1944 г. численность рабочих и служащих на предприятиях НКАП, НКБ, НКМВ, НКСП и Наркомтанкопрома составляла около 1671 тыс. чел.</w:t>
      </w:r>
    </w:p>
    <w:p w14:paraId="6063F23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Важным видом хозяйственной деятельности НКВД в годы войны продолжало оставаться капитальное строительство. За годы войны на укомплектование строительств и ИТЛ оборонного значения было направлено свыше 2 млн. осужденных, которые распределялись между основными производственными главками следующим образом: </w:t>
      </w:r>
    </w:p>
    <w:p w14:paraId="75502D6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строительство железных дорог - 448 тыс. чел.; </w:t>
      </w:r>
    </w:p>
    <w:p w14:paraId="1FEBB2B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 сооружение промышленных предприятий - 310 тыс. чел.; </w:t>
      </w:r>
    </w:p>
    <w:p w14:paraId="3033397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Главному управлению лагерей горно-металлургической промышленности - 171 тыс. чел.; </w:t>
      </w:r>
    </w:p>
    <w:p w14:paraId="3831870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Аэродромное и шоссейное строительство - 268 тыс. чел.</w:t>
      </w:r>
    </w:p>
    <w:p w14:paraId="5F15820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указанным главкам было передано свыше 40 тыс. квалифицированных специалистов из числа осужденных. Преимущественно рабочая сила и ИТР направлялись на объекты, строительство которых имело высший приоритет. К таковым относились строительство Нижнетагильского и Челябинского металлургических комбинатов, Богословского алюминиевого завода, Джидинского комбината медных руд, сооружение железной дороги Саратов - Сталинград и др. (12129).</w:t>
      </w:r>
    </w:p>
    <w:p w14:paraId="572A8E7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6A7C3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в конструк</w:t>
      </w:r>
      <w:r w:rsidRPr="00271E51">
        <w:rPr>
          <w:rFonts w:ascii="Times New Roman" w:hAnsi="Times New Roman"/>
          <w:color w:val="000000" w:themeColor="text1"/>
          <w:sz w:val="16"/>
          <w:szCs w:val="16"/>
        </w:rPr>
        <w:softHyphen/>
        <w:t>торском отделе завода "Красное Сормово" (завод № 112) под руковод</w:t>
      </w:r>
      <w:r w:rsidRPr="00271E51">
        <w:rPr>
          <w:rFonts w:ascii="Times New Roman" w:hAnsi="Times New Roman"/>
          <w:color w:val="000000" w:themeColor="text1"/>
          <w:sz w:val="16"/>
          <w:szCs w:val="16"/>
        </w:rPr>
        <w:softHyphen/>
        <w:t>ством В.В. Крылова был разработан Танк СГ-34-1. Ведущим конструктором машины был Ю.П. Нови</w:t>
      </w:r>
      <w:r w:rsidRPr="00271E51">
        <w:rPr>
          <w:rFonts w:ascii="Times New Roman" w:hAnsi="Times New Roman"/>
          <w:color w:val="000000" w:themeColor="text1"/>
          <w:sz w:val="16"/>
          <w:szCs w:val="16"/>
        </w:rPr>
        <w:softHyphen/>
        <w:t>ков. Опытный образец танка в конце того же года прошел полигонные испытания. На вооружение танк СГ-34-1 не принимался и в серийном производстве не состоял. Тапк СГ-34-1 был разработан с целью проверки возможности фор</w:t>
      </w:r>
      <w:r w:rsidRPr="00271E51">
        <w:rPr>
          <w:rFonts w:ascii="Times New Roman" w:hAnsi="Times New Roman"/>
          <w:color w:val="000000" w:themeColor="text1"/>
          <w:sz w:val="16"/>
          <w:szCs w:val="16"/>
        </w:rPr>
        <w:softHyphen/>
        <w:t>сирования водных преград по дну глубиной не более 3 м. Опытный об</w:t>
      </w:r>
      <w:r w:rsidRPr="00271E51">
        <w:rPr>
          <w:rFonts w:ascii="Times New Roman" w:hAnsi="Times New Roman"/>
          <w:color w:val="000000" w:themeColor="text1"/>
          <w:sz w:val="16"/>
          <w:szCs w:val="16"/>
        </w:rPr>
        <w:softHyphen/>
        <w:t>разец машины был изготовлен на базе танка Т-34-76 обр. 1942 г. и отли</w:t>
      </w:r>
      <w:r w:rsidRPr="00271E51">
        <w:rPr>
          <w:rFonts w:ascii="Times New Roman" w:hAnsi="Times New Roman"/>
          <w:color w:val="000000" w:themeColor="text1"/>
          <w:sz w:val="16"/>
          <w:szCs w:val="16"/>
        </w:rPr>
        <w:softHyphen/>
        <w:t>чался от него установкой оборудования для подводного вождения, а также герметизацией корпуса и башни. Боекомплект танка и емкость топливных баков остались такими же как на базовой машине (10703).</w:t>
      </w:r>
    </w:p>
    <w:p w14:paraId="3CFBF5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AA761"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2F405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DD5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второй половине 1943 г. по материалам 1-го бак его личному составу удалось добиться высоких результатов в области боевого применения самолетов Пе-2. Деятельность корпуса проходила при различных особенностях наземной и воздушной обстановки, в самых разнообразных условиях местности и погоды, при весьма частом перебазировании своих частей вслед за наступающими наземными войсками. Все эти факторы были тщательно проанализированы в штабах, что способствовало накоплению боевого опыта, выработке новых, более совершенных приемов борьбы с неприятелем и сколачиванию корпуса как мощного оперативно-тактического соединения.</w:t>
      </w:r>
    </w:p>
    <w:p w14:paraId="1A3C74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протяжении всего периода боевые действия соединения главным образом проводились в интересах наземных войск, в тесном тактическом взаимодействии с ними. Основными задачами соединения являлись:</w:t>
      </w:r>
    </w:p>
    <w:p w14:paraId="1C565B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воздействие на живую силу, огневые средства, технику и инженерные сооружения врага в условиях стабильной линии фронта;</w:t>
      </w:r>
    </w:p>
    <w:p w14:paraId="380077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непрерывная поддержка войск при их наступательных действиях;</w:t>
      </w:r>
    </w:p>
    <w:p w14:paraId="04E4AA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срыв контратак противника;</w:t>
      </w:r>
    </w:p>
    <w:p w14:paraId="537D57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преследование отходящих войск и уничтожение окруженных групп неприятеля.</w:t>
      </w:r>
    </w:p>
    <w:p w14:paraId="0A8186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Части корпуса широко использовались не только для действий на поле боя, но и для ударов по железнодорожным мостам и переправам, вражеским аэродромам, а также для ведения разведки. Общее количество самолето-вылетов в I943 г. и их распределение по задачам приведено в таблице.</w:t>
      </w:r>
    </w:p>
    <w:p w14:paraId="2614DB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Рассматривая распределение усилий бомбардировочного авиакорпуса летом-осенью I943 г., отметим, что действия на поле боя с целью оказания поддержки наземным войскам, являлись основными. Как правило, бомбардировочные удары выполнялись в тесном тактическом взаимодействии с войсками, т. е. путем согласования по месту и времени ударов по тем объектам, которые выбирали наземные командиры. Обычно тактика боевых действий определялась характером целей, количеством привлекаемых к удару самолетов, воздушной и наземной обстановкой, а также метеорологическими условиями.</w:t>
      </w:r>
    </w:p>
    <w:p w14:paraId="09336B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действиях на поле боя корпусу И.С. Полбина, как и другим корпусам Резерва Ставки ВГК, приходилось действовать по следующим целям:</w:t>
      </w:r>
    </w:p>
    <w:p w14:paraId="14B675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войска и огневые точки неприятеля в непосредственной близости от линии боевого соприкосновения, а также в глубине 5-10 км его территории;</w:t>
      </w:r>
    </w:p>
    <w:p w14:paraId="36C116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артиллерийские и минометные батареи на огневых позициях;</w:t>
      </w:r>
    </w:p>
    <w:p w14:paraId="2876C8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инженерные сооружения опорных пунктов и узлов сопротивления;</w:t>
      </w:r>
    </w:p>
    <w:p w14:paraId="6FF9E5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танки в боевых порядках и при развертывании.</w:t>
      </w:r>
    </w:p>
    <w:p w14:paraId="60DCC2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на подходах к полю боя "пешки" воздействовали на резервы врага как в движении, так и в районах сосредоточения, а также на отходящие войска; особенно эффективными были удары по местам скопления живои силы и техники неприятеля. Для поражения объектов на поле боя использовались сосредоточенные удары нескольких групп бомбардировщиков (их численность доходила до 108 Пе-2), удары отдельных эскадрилий и эшелонированные удары, выполняемые одиночными самолетами и мелкими группами.</w:t>
      </w:r>
    </w:p>
    <w:p w14:paraId="101A0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рассматриваемый период значительное внимание стало уделяться оптимальному выбору средств поражения. Анализируя операции, в которых принял участие 1-й бак, можно отметить, что бомбовая нагрузка одного самолета в среднем равнялась 680 кг. Сброшенный груз по удельному весу распределялся следующим образом: ФАБ-250 - 27%, ФАБ-100 - 64%, ФАБ-50 - 3%, мелкие осколочные бомбы разного калибра - 6%.</w:t>
      </w:r>
    </w:p>
    <w:p w14:paraId="5175D2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Знаменитая полбинская "вертушка" подразумевала не просто последовательное пикирование, при которой следующий самолет прикрывает хвост предыдущего, а еще и выполнение нескольких заходов с разных направлений</w:t>
      </w:r>
    </w:p>
    <w:p w14:paraId="301B39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Теоретически выбор типа и калибра авиабомб определялся в зависимости от характера цели. Однако на практике, при ограниченных сроках подготовки вылета, применялись фугаски крупных калибров, для подвески которых на внешние держатели требовалось значительно меньше времени. Любопытно, что расход мелких осколочных авиабомб значительно колебался: в отдельные недели, когда части нацеливались на действия по отходящим колоннам, они составляли до 60% всего сброшенного на врага тоннажа.</w:t>
      </w:r>
    </w:p>
    <w:p w14:paraId="1F6F1C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развертыванием наступления наших войск на широком фронте авиакорпуса Резерва Ставки ВГК стали широко привлекаться к разрушению железнодорожных объектов врага. Такие удары наносились с цель воспрепятствовать подвозу войск, боевой техники и грузов снабжения к линии фронта или их эвакуации в тыл. Обычно ударам подвергались железнодорожные станции и скопившиеся на них эшелоны, станции снабжения и склады.</w:t>
      </w:r>
    </w:p>
    <w:p w14:paraId="04B53B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выполнении этих задач основным способом действий бомбардировщиков были атаки с пикирования - они достигали 60% всех самолето-вылетов по тыловым объектам. В августе-сентябре широкое распространение получили удары групп от 9 до 36 самолетов под прикрытием истребителей. Впоследствии, когда погода в меньшей степени способствовала боевой работе, экипажи атаковали железнодорожные объекты без сопровождения "ястребками" мелкими подразделениями или одиночными "охотниками" с горизонтального полета с высот 100-600 м.</w:t>
      </w:r>
    </w:p>
    <w:p w14:paraId="37C09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Распределение самолето-вылетов 1-го бак по задачам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tblGrid>
      <w:tr w:rsidR="00A907A5" w:rsidRPr="00271E51" w14:paraId="396D0411" w14:textId="77777777" w:rsidTr="00ED5B0A">
        <w:tc>
          <w:tcPr>
            <w:tcW w:w="1121" w:type="dxa"/>
            <w:tcBorders>
              <w:top w:val="single" w:sz="12" w:space="0" w:color="auto"/>
            </w:tcBorders>
          </w:tcPr>
          <w:p w14:paraId="721C34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Месяиы 1943 г.</w:t>
            </w:r>
          </w:p>
        </w:tc>
        <w:tc>
          <w:tcPr>
            <w:tcW w:w="1121" w:type="dxa"/>
            <w:tcBorders>
              <w:top w:val="single" w:sz="12" w:space="0" w:color="auto"/>
            </w:tcBorders>
          </w:tcPr>
          <w:p w14:paraId="3F1559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121" w:type="dxa"/>
            <w:tcBorders>
              <w:top w:val="single" w:sz="12" w:space="0" w:color="auto"/>
            </w:tcBorders>
          </w:tcPr>
          <w:p w14:paraId="311B2E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них</w:t>
            </w:r>
          </w:p>
        </w:tc>
        <w:tc>
          <w:tcPr>
            <w:tcW w:w="1121" w:type="dxa"/>
            <w:tcBorders>
              <w:top w:val="single" w:sz="12" w:space="0" w:color="auto"/>
            </w:tcBorders>
          </w:tcPr>
          <w:p w14:paraId="7AD00D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1AB0DF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Распределение успешных вылетов по задачам</w:t>
            </w:r>
          </w:p>
        </w:tc>
        <w:tc>
          <w:tcPr>
            <w:tcW w:w="1121" w:type="dxa"/>
            <w:tcBorders>
              <w:top w:val="single" w:sz="12" w:space="0" w:color="auto"/>
            </w:tcBorders>
          </w:tcPr>
          <w:p w14:paraId="0E785A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Количество</w:t>
            </w:r>
          </w:p>
        </w:tc>
        <w:tc>
          <w:tcPr>
            <w:tcW w:w="1121" w:type="dxa"/>
            <w:tcBorders>
              <w:top w:val="single" w:sz="12" w:space="0" w:color="auto"/>
            </w:tcBorders>
          </w:tcPr>
          <w:p w14:paraId="3A32BF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47E1B8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A3433B6" w14:textId="77777777" w:rsidTr="00ED5B0A">
        <w:tc>
          <w:tcPr>
            <w:tcW w:w="1121" w:type="dxa"/>
          </w:tcPr>
          <w:p w14:paraId="2641CB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1C76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вылетов</w:t>
            </w:r>
          </w:p>
        </w:tc>
        <w:tc>
          <w:tcPr>
            <w:tcW w:w="1121" w:type="dxa"/>
          </w:tcPr>
          <w:p w14:paraId="7003C7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успешных</w:t>
            </w:r>
          </w:p>
        </w:tc>
        <w:tc>
          <w:tcPr>
            <w:tcW w:w="1121" w:type="dxa"/>
          </w:tcPr>
          <w:p w14:paraId="5C0F95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CE855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813BA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ж.д. объектам</w:t>
            </w:r>
          </w:p>
        </w:tc>
        <w:tc>
          <w:tcPr>
            <w:tcW w:w="1121" w:type="dxa"/>
          </w:tcPr>
          <w:p w14:paraId="07F8C7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аэродромам</w:t>
            </w:r>
          </w:p>
        </w:tc>
        <w:tc>
          <w:tcPr>
            <w:tcW w:w="1121" w:type="dxa"/>
          </w:tcPr>
          <w:p w14:paraId="6E172D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пикирования</w:t>
            </w:r>
          </w:p>
        </w:tc>
      </w:tr>
      <w:tr w:rsidR="00A907A5" w:rsidRPr="00271E51" w14:paraId="34A1E56C" w14:textId="77777777" w:rsidTr="00ED5B0A">
        <w:tc>
          <w:tcPr>
            <w:tcW w:w="1121" w:type="dxa"/>
          </w:tcPr>
          <w:p w14:paraId="0FB088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26D0B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5CC0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5F13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Разведка</w:t>
            </w:r>
          </w:p>
        </w:tc>
        <w:tc>
          <w:tcPr>
            <w:tcW w:w="1121" w:type="dxa"/>
          </w:tcPr>
          <w:p w14:paraId="438208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войскам</w:t>
            </w:r>
          </w:p>
        </w:tc>
        <w:tc>
          <w:tcPr>
            <w:tcW w:w="1121" w:type="dxa"/>
          </w:tcPr>
          <w:p w14:paraId="6E8048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 переправам </w:t>
            </w:r>
          </w:p>
        </w:tc>
        <w:tc>
          <w:tcPr>
            <w:tcW w:w="1121" w:type="dxa"/>
          </w:tcPr>
          <w:p w14:paraId="4A67E3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E88E4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D0086CC" w14:textId="77777777" w:rsidTr="00ED5B0A">
        <w:tc>
          <w:tcPr>
            <w:tcW w:w="1121" w:type="dxa"/>
          </w:tcPr>
          <w:p w14:paraId="41EB2F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tc>
        <w:tc>
          <w:tcPr>
            <w:tcW w:w="1121" w:type="dxa"/>
          </w:tcPr>
          <w:p w14:paraId="767C0F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w:t>
            </w:r>
          </w:p>
        </w:tc>
        <w:tc>
          <w:tcPr>
            <w:tcW w:w="1121" w:type="dxa"/>
          </w:tcPr>
          <w:p w14:paraId="1069C8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c>
          <w:tcPr>
            <w:tcW w:w="1121" w:type="dxa"/>
          </w:tcPr>
          <w:p w14:paraId="454778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1121" w:type="dxa"/>
          </w:tcPr>
          <w:p w14:paraId="61E469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228</w:t>
            </w:r>
          </w:p>
        </w:tc>
        <w:tc>
          <w:tcPr>
            <w:tcW w:w="1121" w:type="dxa"/>
          </w:tcPr>
          <w:p w14:paraId="12A4EE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5C50DD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255806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158</w:t>
            </w:r>
          </w:p>
        </w:tc>
      </w:tr>
      <w:tr w:rsidR="00A907A5" w:rsidRPr="00271E51" w14:paraId="6A5C1839" w14:textId="77777777" w:rsidTr="00ED5B0A">
        <w:tc>
          <w:tcPr>
            <w:tcW w:w="1121" w:type="dxa"/>
          </w:tcPr>
          <w:p w14:paraId="58401A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tc>
        <w:tc>
          <w:tcPr>
            <w:tcW w:w="1121" w:type="dxa"/>
          </w:tcPr>
          <w:p w14:paraId="2E4D0F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556</w:t>
            </w:r>
          </w:p>
        </w:tc>
        <w:tc>
          <w:tcPr>
            <w:tcW w:w="1121" w:type="dxa"/>
          </w:tcPr>
          <w:p w14:paraId="5D5E76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438</w:t>
            </w:r>
          </w:p>
        </w:tc>
        <w:tc>
          <w:tcPr>
            <w:tcW w:w="1121" w:type="dxa"/>
          </w:tcPr>
          <w:p w14:paraId="0BF7B7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w:t>
            </w:r>
          </w:p>
        </w:tc>
        <w:tc>
          <w:tcPr>
            <w:tcW w:w="1121" w:type="dxa"/>
          </w:tcPr>
          <w:p w14:paraId="3942AC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398</w:t>
            </w:r>
          </w:p>
        </w:tc>
        <w:tc>
          <w:tcPr>
            <w:tcW w:w="1121" w:type="dxa"/>
          </w:tcPr>
          <w:p w14:paraId="4DEB0C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121" w:type="dxa"/>
          </w:tcPr>
          <w:p w14:paraId="4D398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1121" w:type="dxa"/>
          </w:tcPr>
          <w:p w14:paraId="32510C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42B5078" w14:textId="77777777" w:rsidTr="00ED5B0A">
        <w:tc>
          <w:tcPr>
            <w:tcW w:w="1121" w:type="dxa"/>
          </w:tcPr>
          <w:p w14:paraId="6A1A45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tc>
        <w:tc>
          <w:tcPr>
            <w:tcW w:w="1121" w:type="dxa"/>
          </w:tcPr>
          <w:p w14:paraId="0CD912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388</w:t>
            </w:r>
          </w:p>
        </w:tc>
        <w:tc>
          <w:tcPr>
            <w:tcW w:w="1121" w:type="dxa"/>
          </w:tcPr>
          <w:p w14:paraId="7EAA19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337</w:t>
            </w:r>
          </w:p>
        </w:tc>
        <w:tc>
          <w:tcPr>
            <w:tcW w:w="1121" w:type="dxa"/>
          </w:tcPr>
          <w:p w14:paraId="5EA6A8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1121" w:type="dxa"/>
          </w:tcPr>
          <w:p w14:paraId="3A8913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262</w:t>
            </w:r>
          </w:p>
        </w:tc>
        <w:tc>
          <w:tcPr>
            <w:tcW w:w="1121" w:type="dxa"/>
          </w:tcPr>
          <w:p w14:paraId="37C576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2D6E0F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725078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r>
      <w:tr w:rsidR="00A907A5" w:rsidRPr="00271E51" w14:paraId="3D040A72" w14:textId="77777777" w:rsidTr="00ED5B0A">
        <w:tc>
          <w:tcPr>
            <w:tcW w:w="1121" w:type="dxa"/>
          </w:tcPr>
          <w:p w14:paraId="5CBAC5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tc>
        <w:tc>
          <w:tcPr>
            <w:tcW w:w="1121" w:type="dxa"/>
          </w:tcPr>
          <w:p w14:paraId="042C9C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121" w:type="dxa"/>
          </w:tcPr>
          <w:p w14:paraId="3E80C7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121" w:type="dxa"/>
          </w:tcPr>
          <w:p w14:paraId="6D60B7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326F86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1121" w:type="dxa"/>
          </w:tcPr>
          <w:p w14:paraId="7B8D7F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7E50BD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7A8435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6714A9C" w14:textId="77777777" w:rsidTr="00ED5B0A">
        <w:tc>
          <w:tcPr>
            <w:tcW w:w="1121" w:type="dxa"/>
          </w:tcPr>
          <w:p w14:paraId="5F1186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tc>
        <w:tc>
          <w:tcPr>
            <w:tcW w:w="1121" w:type="dxa"/>
          </w:tcPr>
          <w:p w14:paraId="3E6BCE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w:t>
            </w:r>
          </w:p>
        </w:tc>
        <w:tc>
          <w:tcPr>
            <w:tcW w:w="1121" w:type="dxa"/>
          </w:tcPr>
          <w:p w14:paraId="48D9A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w:t>
            </w:r>
          </w:p>
        </w:tc>
        <w:tc>
          <w:tcPr>
            <w:tcW w:w="1121" w:type="dxa"/>
          </w:tcPr>
          <w:p w14:paraId="61D6FD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tc>
        <w:tc>
          <w:tcPr>
            <w:tcW w:w="1121" w:type="dxa"/>
          </w:tcPr>
          <w:p w14:paraId="0FC744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w:t>
            </w:r>
          </w:p>
        </w:tc>
        <w:tc>
          <w:tcPr>
            <w:tcW w:w="1121" w:type="dxa"/>
          </w:tcPr>
          <w:p w14:paraId="6A8C93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1121" w:type="dxa"/>
          </w:tcPr>
          <w:p w14:paraId="2DFAF1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0F2195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0FDD989" w14:textId="77777777" w:rsidTr="00ED5B0A">
        <w:tc>
          <w:tcPr>
            <w:tcW w:w="1121" w:type="dxa"/>
          </w:tcPr>
          <w:p w14:paraId="134806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 Июль</w:t>
            </w:r>
          </w:p>
        </w:tc>
        <w:tc>
          <w:tcPr>
            <w:tcW w:w="1121" w:type="dxa"/>
          </w:tcPr>
          <w:p w14:paraId="4D3BE4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w:t>
            </w:r>
          </w:p>
        </w:tc>
        <w:tc>
          <w:tcPr>
            <w:tcW w:w="1121" w:type="dxa"/>
          </w:tcPr>
          <w:p w14:paraId="0DBF1C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854</w:t>
            </w:r>
          </w:p>
        </w:tc>
        <w:tc>
          <w:tcPr>
            <w:tcW w:w="1121" w:type="dxa"/>
          </w:tcPr>
          <w:p w14:paraId="77AE97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1121" w:type="dxa"/>
          </w:tcPr>
          <w:p w14:paraId="7FF929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788</w:t>
            </w:r>
          </w:p>
        </w:tc>
        <w:tc>
          <w:tcPr>
            <w:tcW w:w="1121" w:type="dxa"/>
          </w:tcPr>
          <w:p w14:paraId="14A706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66B014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1121" w:type="dxa"/>
          </w:tcPr>
          <w:p w14:paraId="0C046E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46088634" w14:textId="77777777" w:rsidTr="00ED5B0A">
        <w:tc>
          <w:tcPr>
            <w:tcW w:w="1121" w:type="dxa"/>
          </w:tcPr>
          <w:p w14:paraId="458F32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w:t>
            </w:r>
          </w:p>
        </w:tc>
        <w:tc>
          <w:tcPr>
            <w:tcW w:w="1121" w:type="dxa"/>
          </w:tcPr>
          <w:p w14:paraId="218537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2412</w:t>
            </w:r>
          </w:p>
        </w:tc>
        <w:tc>
          <w:tcPr>
            <w:tcW w:w="1121" w:type="dxa"/>
          </w:tcPr>
          <w:p w14:paraId="0EC131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2263</w:t>
            </w:r>
          </w:p>
        </w:tc>
        <w:tc>
          <w:tcPr>
            <w:tcW w:w="1121" w:type="dxa"/>
          </w:tcPr>
          <w:p w14:paraId="24A0B0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1121" w:type="dxa"/>
          </w:tcPr>
          <w:p w14:paraId="43A705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2086</w:t>
            </w:r>
          </w:p>
        </w:tc>
        <w:tc>
          <w:tcPr>
            <w:tcW w:w="1121" w:type="dxa"/>
          </w:tcPr>
          <w:p w14:paraId="7982A7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1121" w:type="dxa"/>
          </w:tcPr>
          <w:p w14:paraId="2471D4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3DECF1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w:t>
            </w:r>
          </w:p>
        </w:tc>
      </w:tr>
      <w:tr w:rsidR="00A907A5" w:rsidRPr="00271E51" w14:paraId="16A2B776" w14:textId="77777777" w:rsidTr="00ED5B0A">
        <w:tc>
          <w:tcPr>
            <w:tcW w:w="1121" w:type="dxa"/>
          </w:tcPr>
          <w:p w14:paraId="501152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w:t>
            </w:r>
          </w:p>
        </w:tc>
        <w:tc>
          <w:tcPr>
            <w:tcW w:w="1121" w:type="dxa"/>
          </w:tcPr>
          <w:p w14:paraId="4399E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687</w:t>
            </w:r>
          </w:p>
        </w:tc>
        <w:tc>
          <w:tcPr>
            <w:tcW w:w="1121" w:type="dxa"/>
          </w:tcPr>
          <w:p w14:paraId="017ABC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634</w:t>
            </w:r>
          </w:p>
        </w:tc>
        <w:tc>
          <w:tcPr>
            <w:tcW w:w="1121" w:type="dxa"/>
          </w:tcPr>
          <w:p w14:paraId="5CAE50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1121" w:type="dxa"/>
          </w:tcPr>
          <w:p w14:paraId="266067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tc>
        <w:tc>
          <w:tcPr>
            <w:tcW w:w="1121" w:type="dxa"/>
          </w:tcPr>
          <w:p w14:paraId="5B7465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155</w:t>
            </w:r>
          </w:p>
        </w:tc>
        <w:tc>
          <w:tcPr>
            <w:tcW w:w="1121" w:type="dxa"/>
          </w:tcPr>
          <w:p w14:paraId="1B7158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66599B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169</w:t>
            </w:r>
          </w:p>
        </w:tc>
      </w:tr>
      <w:tr w:rsidR="00A907A5" w:rsidRPr="00271E51" w14:paraId="3E11EC6D" w14:textId="77777777" w:rsidTr="00ED5B0A">
        <w:tc>
          <w:tcPr>
            <w:tcW w:w="1121" w:type="dxa"/>
          </w:tcPr>
          <w:p w14:paraId="7B64E0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w:t>
            </w:r>
          </w:p>
        </w:tc>
        <w:tc>
          <w:tcPr>
            <w:tcW w:w="1121" w:type="dxa"/>
          </w:tcPr>
          <w:p w14:paraId="680505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777</w:t>
            </w:r>
          </w:p>
        </w:tc>
        <w:tc>
          <w:tcPr>
            <w:tcW w:w="1121" w:type="dxa"/>
          </w:tcPr>
          <w:p w14:paraId="23A5AE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713</w:t>
            </w:r>
          </w:p>
        </w:tc>
        <w:tc>
          <w:tcPr>
            <w:tcW w:w="1121" w:type="dxa"/>
          </w:tcPr>
          <w:p w14:paraId="261F76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121" w:type="dxa"/>
          </w:tcPr>
          <w:p w14:paraId="201EC1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512</w:t>
            </w:r>
          </w:p>
        </w:tc>
        <w:tc>
          <w:tcPr>
            <w:tcW w:w="1121" w:type="dxa"/>
          </w:tcPr>
          <w:p w14:paraId="56E079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w:t>
            </w:r>
          </w:p>
        </w:tc>
        <w:tc>
          <w:tcPr>
            <w:tcW w:w="1121" w:type="dxa"/>
          </w:tcPr>
          <w:p w14:paraId="7CA3AC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2E16DC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tc>
      </w:tr>
      <w:tr w:rsidR="00A907A5" w:rsidRPr="00271E51" w14:paraId="1A0987F4" w14:textId="77777777" w:rsidTr="00ED5B0A">
        <w:tc>
          <w:tcPr>
            <w:tcW w:w="1121" w:type="dxa"/>
          </w:tcPr>
          <w:p w14:paraId="50A7F4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w:t>
            </w:r>
          </w:p>
        </w:tc>
        <w:tc>
          <w:tcPr>
            <w:tcW w:w="1121" w:type="dxa"/>
          </w:tcPr>
          <w:p w14:paraId="565609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w:t>
            </w:r>
          </w:p>
        </w:tc>
        <w:tc>
          <w:tcPr>
            <w:tcW w:w="1121" w:type="dxa"/>
          </w:tcPr>
          <w:p w14:paraId="3DC950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311</w:t>
            </w:r>
          </w:p>
        </w:tc>
        <w:tc>
          <w:tcPr>
            <w:tcW w:w="1121" w:type="dxa"/>
          </w:tcPr>
          <w:p w14:paraId="6F2D9C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tc>
        <w:tc>
          <w:tcPr>
            <w:tcW w:w="1121" w:type="dxa"/>
          </w:tcPr>
          <w:p w14:paraId="43E9B2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128</w:t>
            </w:r>
          </w:p>
        </w:tc>
        <w:tc>
          <w:tcPr>
            <w:tcW w:w="1121" w:type="dxa"/>
          </w:tcPr>
          <w:p w14:paraId="776045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173</w:t>
            </w:r>
          </w:p>
        </w:tc>
        <w:tc>
          <w:tcPr>
            <w:tcW w:w="1121" w:type="dxa"/>
          </w:tcPr>
          <w:p w14:paraId="435F18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323443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r>
      <w:tr w:rsidR="00A907A5" w:rsidRPr="00271E51" w14:paraId="28650E7B" w14:textId="77777777" w:rsidTr="00ED5B0A">
        <w:tc>
          <w:tcPr>
            <w:tcW w:w="1121" w:type="dxa"/>
          </w:tcPr>
          <w:p w14:paraId="7AB159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w:t>
            </w:r>
          </w:p>
        </w:tc>
        <w:tc>
          <w:tcPr>
            <w:tcW w:w="1121" w:type="dxa"/>
          </w:tcPr>
          <w:p w14:paraId="00C1B1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w:t>
            </w:r>
          </w:p>
        </w:tc>
        <w:tc>
          <w:tcPr>
            <w:tcW w:w="1121" w:type="dxa"/>
          </w:tcPr>
          <w:p w14:paraId="21CBE6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396</w:t>
            </w:r>
          </w:p>
        </w:tc>
        <w:tc>
          <w:tcPr>
            <w:tcW w:w="1121" w:type="dxa"/>
          </w:tcPr>
          <w:p w14:paraId="265073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1121" w:type="dxa"/>
          </w:tcPr>
          <w:p w14:paraId="775F1C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w:t>
            </w:r>
          </w:p>
        </w:tc>
        <w:tc>
          <w:tcPr>
            <w:tcW w:w="1121" w:type="dxa"/>
          </w:tcPr>
          <w:p w14:paraId="16D989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148</w:t>
            </w:r>
          </w:p>
        </w:tc>
        <w:tc>
          <w:tcPr>
            <w:tcW w:w="1121" w:type="dxa"/>
          </w:tcPr>
          <w:p w14:paraId="326A35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121" w:type="dxa"/>
          </w:tcPr>
          <w:p w14:paraId="2F9CAB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r>
      <w:tr w:rsidR="00A907A5" w:rsidRPr="00271E51" w14:paraId="267CF44C" w14:textId="77777777" w:rsidTr="00ED5B0A">
        <w:tc>
          <w:tcPr>
            <w:tcW w:w="1121" w:type="dxa"/>
            <w:tcBorders>
              <w:bottom w:val="single" w:sz="12" w:space="0" w:color="auto"/>
            </w:tcBorders>
          </w:tcPr>
          <w:p w14:paraId="47E946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tc>
        <w:tc>
          <w:tcPr>
            <w:tcW w:w="1121" w:type="dxa"/>
            <w:tcBorders>
              <w:bottom w:val="single" w:sz="12" w:space="0" w:color="auto"/>
            </w:tcBorders>
          </w:tcPr>
          <w:p w14:paraId="5B35D6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6938</w:t>
            </w:r>
          </w:p>
        </w:tc>
        <w:tc>
          <w:tcPr>
            <w:tcW w:w="1121" w:type="dxa"/>
            <w:tcBorders>
              <w:bottom w:val="single" w:sz="12" w:space="0" w:color="auto"/>
            </w:tcBorders>
          </w:tcPr>
          <w:p w14:paraId="3B6E43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6280</w:t>
            </w:r>
          </w:p>
        </w:tc>
        <w:tc>
          <w:tcPr>
            <w:tcW w:w="1121" w:type="dxa"/>
            <w:tcBorders>
              <w:bottom w:val="single" w:sz="12" w:space="0" w:color="auto"/>
            </w:tcBorders>
          </w:tcPr>
          <w:p w14:paraId="1024F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253</w:t>
            </w:r>
          </w:p>
        </w:tc>
        <w:tc>
          <w:tcPr>
            <w:tcW w:w="1121" w:type="dxa"/>
            <w:tcBorders>
              <w:bottom w:val="single" w:sz="12" w:space="0" w:color="auto"/>
            </w:tcBorders>
          </w:tcPr>
          <w:p w14:paraId="7470F9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5161</w:t>
            </w:r>
          </w:p>
        </w:tc>
        <w:tc>
          <w:tcPr>
            <w:tcW w:w="1121" w:type="dxa"/>
            <w:tcBorders>
              <w:bottom w:val="single" w:sz="12" w:space="0" w:color="auto"/>
            </w:tcBorders>
          </w:tcPr>
          <w:p w14:paraId="2D13EE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814</w:t>
            </w:r>
          </w:p>
        </w:tc>
        <w:tc>
          <w:tcPr>
            <w:tcW w:w="1121" w:type="dxa"/>
            <w:tcBorders>
              <w:bottom w:val="single" w:sz="12" w:space="0" w:color="auto"/>
            </w:tcBorders>
          </w:tcPr>
          <w:p w14:paraId="70B031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c>
          <w:tcPr>
            <w:tcW w:w="1121" w:type="dxa"/>
            <w:tcBorders>
              <w:bottom w:val="single" w:sz="12" w:space="0" w:color="auto"/>
            </w:tcBorders>
          </w:tcPr>
          <w:p w14:paraId="325CA0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1131</w:t>
            </w:r>
          </w:p>
        </w:tc>
      </w:tr>
    </w:tbl>
    <w:p w14:paraId="22B4C5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(12042).</w:t>
      </w:r>
    </w:p>
    <w:p w14:paraId="0C151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9D5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Начинал со второй половины 1943 года Р-39 начинает отходить от роли "чистого" истребителя и все больше привлекается к ударам по целям на суше и море. Об этом можно судить, например, по результатам боевой деятельности 9-го гвардейского полка за февраль 1944 года: уничтожено 13 самолетов и 110 автомашин, 100 лошадей, пять паровозов и много живой силы противника. А 216-я дивизия с 1 января по 10 мая 1943 года сбила в воздухе 187 самолетов, а на земле сожгла - 200. Отправляясь на "свободную охоту", "Кобры" не в последнюю очередь ориентировались на подвижные наземные цели. Особенно велика была их роль в борьбе с движением но железным дорогам. Мощная пушка запросто пробивала бронебойным снарядом паровозный котел. В дивизии Дзусова в сентябре 1943 года при отходе немцев из Мариуполя шесть нар "Кобр" за одни день к обеду "настреляли" 13 паровозов. Ракетное оружие, но видимому, посчитали для "Кобры" ненужной роскошью - ее огневая мощь и так была велика. А вот бомбы вешали: и на штатные американские бомбодержатели, и на советские, устанавливавшиеся прямо в частях. Обычно использовались фугасные и зажигательные бомбы калибра 100-250 кг. Бомбили с горизонтального полета, пологого пикирования (под 45 градусов), а на море - и топмачтовым способом. Оружие Р-39 было весьма эффективно против воздушных, наземных и морских целей. Для воздушного боя вооружение модификации Q считалось чрезмерным и два подкрыльных пулемета повсеместно снимались, 37-мм пушка М4, как правило, разрушала вражеский самолет с первого попадания. Пушка "Кобры" поражала вражеские бронемашины, паровозы, речные и даже морские суда. Одного снаряда вполне хватало, чтобы потопить небольшой катер. Надо только сказать, что по скорострельности и баллистическим характеристикам эта пушка уступала отечественным того же калибра, а ее работа на истребителях первых серии отличалась недостаточной надежностью. Интересно, что у P-39D-1 с 20-мм пушкой секундный залп за счет скорострельности был выше, чем у P-39D-2 с 37-мм (192 кг/мин. против 161 кг/мин.) (3457,75).</w:t>
      </w:r>
    </w:p>
    <w:p w14:paraId="48A0E0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F33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 1944 из-за отсутствия дальних истребителей сопровождения и постоянного дефицита фронтовой бомбардировочной авиации с перегруппировками войск противника фактически не боролись, а берегли авиацию для поддержки собственного наступления (518,131).</w:t>
      </w:r>
    </w:p>
    <w:p w14:paraId="6824AF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0837B" w14:textId="77777777" w:rsidR="00D009D8" w:rsidRPr="00271E51" w:rsidRDefault="00D009D8"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Со второй половины 1943 г. под руководством начальника отдела тактического применения авиации Н. Шаурова развернулась большая работа по созданию учебных кинофильмов. Такие фильмы, как “Немецкий истребитель Ме-109”, “Воздушный бой самолета Ла-5 с Ме-109Г-2” просматривались с соответствующими разъяснениями в школах летного состава. Это оказало большую помощь командованию, которое использовало фильмы как учебные пособия. В письме начальнику НИИ генералу П. Лосюкову командующий. 3-й воздушной армией писал, что “фильм необходим не только для истребительных частей, но и летного состава других родов войск. Нужно всячески форсировать выпуск подобных фильмов” (19179).</w:t>
      </w:r>
    </w:p>
    <w:p w14:paraId="7740E836" w14:textId="77777777" w:rsidR="00D009D8" w:rsidRPr="00271E51" w:rsidRDefault="00D009D8" w:rsidP="00271E51">
      <w:pPr>
        <w:spacing w:after="0" w:line="240" w:lineRule="auto"/>
        <w:jc w:val="both"/>
        <w:rPr>
          <w:rFonts w:ascii="Times New Roman" w:hAnsi="Times New Roman"/>
          <w:color w:val="000000" w:themeColor="text1"/>
          <w:sz w:val="16"/>
          <w:szCs w:val="16"/>
        </w:rPr>
      </w:pPr>
    </w:p>
    <w:p w14:paraId="09C72D35" w14:textId="5BB3F667" w:rsidR="00D41354" w:rsidRPr="00271E51" w:rsidRDefault="00D41354"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271E51">
        <w:rPr>
          <w:rFonts w:ascii="Times New Roman" w:hAnsi="Times New Roman"/>
          <w:i/>
          <w:iCs/>
          <w:color w:val="000000" w:themeColor="text1"/>
          <w:sz w:val="16"/>
          <w:szCs w:val="16"/>
        </w:rPr>
        <w:t>За рубежом:</w:t>
      </w:r>
    </w:p>
    <w:p w14:paraId="4CBE9613" w14:textId="77777777" w:rsidR="00D41354" w:rsidRPr="00271E51" w:rsidRDefault="00D41354" w:rsidP="00271E5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43587E6" w14:textId="77777777" w:rsidR="00961AA6" w:rsidRPr="00271E51" w:rsidRDefault="00961AA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Во второй половине 1943 года провели коренную модернизацию самолета XF4U. Первый экземпляр обновленного «Корсара» взлетел 19 апреля 1944 года, под обозначением XF4U-4A. Второй образец, с обозначением F4U-4В, поднялся в воздух 12 июля 1944 года. В конструкцию машины внесли большое количество изменений. Основные — коснулись силовой установки. Скорость полета четвертой модификации достигла 717 км/ч. Существенно обновился состав радиооборудования и вооружения. Истребитель F4U-4 начал поступать в строевые части с 1945 года. До конца войны американцы успели построить 1912 самолетов этой модификации. Большинство «четверок» приняли участие в последних сражениях на Тихоокеанском театре военных действий (22903).</w:t>
      </w:r>
    </w:p>
    <w:p w14:paraId="64AB3282" w14:textId="77777777" w:rsidR="00961AA6" w:rsidRPr="00271E51" w:rsidRDefault="00961AA6" w:rsidP="00271E51">
      <w:pPr>
        <w:spacing w:after="0" w:line="240" w:lineRule="auto"/>
        <w:jc w:val="both"/>
        <w:rPr>
          <w:rFonts w:ascii="Times New Roman" w:hAnsi="Times New Roman"/>
          <w:color w:val="0070C0"/>
          <w:sz w:val="16"/>
          <w:szCs w:val="16"/>
        </w:rPr>
      </w:pPr>
    </w:p>
    <w:p w14:paraId="10195A5A" w14:textId="391DF14B"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37ABF6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1E60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на вернувшемся в Воронеж 18 заводе, ставшим заводом 64 стали делать Ил-2 (173,227).</w:t>
      </w:r>
    </w:p>
    <w:p w14:paraId="37681F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отчете ЛИИ за 1943 была охарактеризована его деятельность:</w:t>
      </w:r>
    </w:p>
    <w:p w14:paraId="30943D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Осуществление систематического контроля за качеством (ЛД и эксплуатационные свойства) боевых самолетов, выпускаемых серийными заводами АП</w:t>
      </w:r>
    </w:p>
    <w:p w14:paraId="420C7C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Проведение испытаний и доводки многочисленных модификаций серийных самолетов</w:t>
      </w:r>
    </w:p>
    <w:p w14:paraId="7423BE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Проведение испытаний отдельных опытных самолетов</w:t>
      </w:r>
    </w:p>
    <w:p w14:paraId="1A4808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Испытания и изучение отдельных заграничных самолетов</w:t>
      </w:r>
    </w:p>
    <w:p w14:paraId="587D0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Испытания и доводки основных агрегатов самолета:</w:t>
      </w:r>
    </w:p>
    <w:p w14:paraId="4FFC2A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ВМГ</w:t>
      </w:r>
    </w:p>
    <w:p w14:paraId="18098F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винты и механизмы винтов</w:t>
      </w:r>
    </w:p>
    <w:p w14:paraId="41CDB4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вооружение</w:t>
      </w:r>
    </w:p>
    <w:p w14:paraId="0B9C45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спецоборудование</w:t>
      </w:r>
    </w:p>
    <w:p w14:paraId="051E57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Изучение и разрешение отдельных технических проблем, непосредственно определяющих качество боевых самолетов</w:t>
      </w:r>
    </w:p>
    <w:p w14:paraId="782205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устойчивость и управляемость</w:t>
      </w:r>
    </w:p>
    <w:p w14:paraId="4C3757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дальности полета</w:t>
      </w:r>
    </w:p>
    <w:p w14:paraId="0227A4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сокращение послепосадочного разбега</w:t>
      </w:r>
    </w:p>
    <w:p w14:paraId="45CF63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улучшение взлетных свойств</w:t>
      </w:r>
    </w:p>
    <w:p w14:paraId="4024ED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обеспечение высотности охлаждения и зажигания</w:t>
      </w:r>
    </w:p>
    <w:p w14:paraId="63B3DB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геометрические размеры кабины и аппаратура жизнеобеспечения для экипажа при высотных полетах</w:t>
      </w:r>
    </w:p>
    <w:p w14:paraId="05FFB7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увеличение дальности радиосвязи и т.п.</w:t>
      </w:r>
    </w:p>
    <w:p w14:paraId="3E3F8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Уточнения и дальнейшего совершенствования методики летных испытаний и исследований</w:t>
      </w:r>
    </w:p>
    <w:p w14:paraId="267A0A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Создания специальной аппаратуры для летных испытаний и исследований</w:t>
      </w:r>
    </w:p>
    <w:p w14:paraId="32FA21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Оказание непосредственной помощи отдельным КБ, заводам и частям ВВС по разрешению ряда технических вопросов эксплуатации самолетов или отдельных агрегатов</w:t>
      </w:r>
    </w:p>
    <w:p w14:paraId="40F200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Выполнение промышленных испытаний ряда серийных и опытных объектов (173,320).</w:t>
      </w:r>
    </w:p>
    <w:p w14:paraId="1EFC2B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570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план опытного самолетостроения на 1943 г. была включена постройка двух</w:t>
      </w:r>
      <w:r w:rsidRPr="00271E51">
        <w:rPr>
          <w:rFonts w:ascii="Times New Roman" w:hAnsi="Times New Roman"/>
          <w:color w:val="000000" w:themeColor="text1"/>
          <w:sz w:val="16"/>
          <w:szCs w:val="16"/>
        </w:rPr>
        <w:softHyphen/>
        <w:t>местного Ил-2 с мотором М-250 конст</w:t>
      </w:r>
      <w:r w:rsidRPr="00271E51">
        <w:rPr>
          <w:rFonts w:ascii="Times New Roman" w:hAnsi="Times New Roman"/>
          <w:color w:val="000000" w:themeColor="text1"/>
          <w:sz w:val="16"/>
          <w:szCs w:val="16"/>
        </w:rPr>
        <w:softHyphen/>
        <w:t>рукции КБ-2 МАИ со взлетной мощнос</w:t>
      </w:r>
      <w:r w:rsidRPr="00271E51">
        <w:rPr>
          <w:rFonts w:ascii="Times New Roman" w:hAnsi="Times New Roman"/>
          <w:color w:val="000000" w:themeColor="text1"/>
          <w:sz w:val="16"/>
          <w:szCs w:val="16"/>
        </w:rPr>
        <w:softHyphen/>
        <w:t>тью 2270 л.с. и номинальной мощнос</w:t>
      </w:r>
      <w:r w:rsidRPr="00271E51">
        <w:rPr>
          <w:rFonts w:ascii="Times New Roman" w:hAnsi="Times New Roman"/>
          <w:color w:val="000000" w:themeColor="text1"/>
          <w:sz w:val="16"/>
          <w:szCs w:val="16"/>
        </w:rPr>
        <w:softHyphen/>
        <w:t>тью на высоте 1000 м -1900 л.с.</w:t>
      </w:r>
    </w:p>
    <w:p w14:paraId="109A13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проекту вооружение Ил-2 с М-250 состояло из 2-х крыльевых пушек ВЯ-23 (300 снарядов), 2-х крыльевых 12,7</w:t>
      </w:r>
      <w:r w:rsidRPr="00271E51">
        <w:rPr>
          <w:rFonts w:ascii="Times New Roman" w:hAnsi="Times New Roman"/>
          <w:color w:val="000000" w:themeColor="text1"/>
          <w:sz w:val="16"/>
          <w:szCs w:val="16"/>
        </w:rPr>
        <w:softHyphen/>
        <w:t>MM пулеметов УБК (300 патронов), одно</w:t>
      </w:r>
      <w:r w:rsidRPr="00271E51">
        <w:rPr>
          <w:rFonts w:ascii="Times New Roman" w:hAnsi="Times New Roman"/>
          <w:color w:val="000000" w:themeColor="text1"/>
          <w:sz w:val="16"/>
          <w:szCs w:val="16"/>
        </w:rPr>
        <w:softHyphen/>
        <w:t>го оборонительного УБТ (150 патронов), 600 кг бомб (в перегрузку - 800 кг) и 8 РО-82. Бронирование аналогично серий</w:t>
      </w:r>
      <w:r w:rsidRPr="00271E51">
        <w:rPr>
          <w:rFonts w:ascii="Times New Roman" w:hAnsi="Times New Roman"/>
          <w:color w:val="000000" w:themeColor="text1"/>
          <w:sz w:val="16"/>
          <w:szCs w:val="16"/>
        </w:rPr>
        <w:softHyphen/>
        <w:t>ному двухместному Ил-2 АМ-38.</w:t>
      </w:r>
    </w:p>
    <w:p w14:paraId="01D8F9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скорость у земли со</w:t>
      </w:r>
      <w:r w:rsidRPr="00271E51">
        <w:rPr>
          <w:rFonts w:ascii="Times New Roman" w:hAnsi="Times New Roman"/>
          <w:color w:val="000000" w:themeColor="text1"/>
          <w:sz w:val="16"/>
          <w:szCs w:val="16"/>
        </w:rPr>
        <w:softHyphen/>
        <w:t>ставляла 450 км/ч, на высоте 2500 м -490 км/ч. Время подъема на высоту 50QO м - 11 минут. Время полного виража -30 сек. Посадочная скорость - 135 км/ч. Дальность полета - 500 км.</w:t>
      </w:r>
    </w:p>
    <w:p w14:paraId="7BD7CE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w:t>
      </w:r>
      <w:r w:rsidRPr="00271E51">
        <w:rPr>
          <w:rFonts w:ascii="Times New Roman" w:hAnsi="Times New Roman"/>
          <w:color w:val="000000" w:themeColor="text1"/>
          <w:sz w:val="16"/>
          <w:szCs w:val="16"/>
        </w:rPr>
        <w:softHyphen/>
        <w:t>лы, подтверждающие факт постройки двухместного Ил-2 с М-250, не найдены (6467).</w:t>
      </w:r>
    </w:p>
    <w:p w14:paraId="21284F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E8B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эскадрилья Ил-2 была показан представителю военного ведомства США Г.Риккенбекеру. Также было показан процесс конструирования и производства (6,223).</w:t>
      </w:r>
    </w:p>
    <w:p w14:paraId="05F63A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BD5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ЛИИ л/и Н.В.Адамович продемонстрировал в полете условия разрушения деревянных консолей крыла Ил-2 (173,323).</w:t>
      </w:r>
    </w:p>
    <w:p w14:paraId="10DACF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5030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по данным инженерно-авиационной службы 15-й ВА самолеты Ил-2 в общей сложности получили 3580 боевых повреждений и пробоин от огня зенитной артиллерии и истребителей противника, в 1944 г. — 6494, и в 1945 г. — 1690. При этом основная доля повреждений приходилась на прямые попадания снарядов зенитной артиллерии, главным образом малокалиберной: 1943 г. - 1827, 1944 г. -3921, 1945 г. — 871. Несколько меньше было повреждений от осколков зенитных снарядов: 1943 г. - 1567, 1944 г. - 2456, 1945 г.- 761.</w:t>
      </w:r>
    </w:p>
    <w:p w14:paraId="605872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Незначительная доля повреждений Ил-2 от огня истребителей люфтваффе — от 1,8% до 5,2%, отчасти является следствием того факта, что пулеметно-пушечная очередь истребителя наносит более серьезное поражение Ил-2, чем огонь зенитной артиллерии, ибо затрагивает сразу несколько силовых элементов конструкции самолета. В результате большого комплекса повреждений Ил-2 уже не мог продолжать полет и падал. Поэтому среди штурмовиков, возвратившихся на свой аэродром или севших вынужденно на своей территории, с повреждениями от огня истребителей было значительно меньше, чем с повреждениями от зенитного огня.</w:t>
      </w:r>
    </w:p>
    <w:p w14:paraId="3C28A6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учесть средний самолетный парк армии за 1943—1945 гг., то получается, что количество пробоин и повреждений, полученных каждым самолетом Ил-2 до его выхода из строя (списания), равно 39-50. То есть Ил-2 с таким количеством отремонтированных повреждений продолжал боевую работу. Наибольшее зафиксированное в армии количество повреждений и пробоин, полученных одним самолетом Ил-2, достигало 326. При этом самолет после ремонта ввели в боевой строй!</w:t>
      </w:r>
    </w:p>
    <w:p w14:paraId="7E7F4C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сравнения, истребители Як-9 выдерживали в среднем 2-4 пробоины, а бомбардировщики Пе-2 не более четырех.</w:t>
      </w:r>
    </w:p>
    <w:p w14:paraId="74B712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Двухлонжеронное крыло Ил-2 смешанной конструкции, как показывает анализ боевых повреждений, имело не очень высокую живучесть. При попадании малокалиберных снарядов происходил срыв и разрушение стрингеров и обшивки на большой площади: до 3-5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 для снарядов калибра 37 мм, и до 1,5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 для 20-мм снарядов. При этом «самолет Ил-2 становился трудноуправляемым и стремился сорваться в штопор».</w:t>
      </w:r>
    </w:p>
    <w:p w14:paraId="2E4294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в том, что обшивка не прикреплялась к нервюрам, а только к стрингерам. Стрингеры же, сами плохо прикрепленные к нервюрам, легко срывались взрывной волной вместе с обшивкой и разрушались.</w:t>
      </w:r>
    </w:p>
    <w:p w14:paraId="4B35DE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Цельнометаллическое крыло обладало значительно большей стойкостью, размеры разрушения были существенно ниже. Как отмечалось в документах, «плоскости с металлической обшивкой легко переносят повреждения от огня зенитной артиллерии и истребителей противника». Самолеты возвращались с боевого задания, имея 100—120 осколочных и пулевых пробоин. Выходные отверстия, полученные, например, от 20-мм снарядов, практически отсутствовали. Наблюдались лишь вздутия обшивки и множество небольших отверстий до 25-35 мм от осколков на площади около 1,5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Каких-либо особенностей в поведении самолета в воздухе не отмечалось.</w:t>
      </w:r>
    </w:p>
    <w:p w14:paraId="6CB268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Если с пробоинами в металлическом крыле технический состав достаточно легко боролся путем наложения латок из дюраля, то с деревянными плоскостями </w:t>
      </w:r>
      <w:r w:rsidRPr="00271E51">
        <w:rPr>
          <w:rFonts w:ascii="Times New Roman" w:hAnsi="Times New Roman"/>
          <w:color w:val="000000" w:themeColor="text1"/>
          <w:sz w:val="16"/>
          <w:szCs w:val="16"/>
        </w:rPr>
        <w:lastRenderedPageBreak/>
        <w:t>приходилось изрядно повозиться. Очевидно, все это существенно удлиняло сроки восстановления поврежденных штурмовиков.</w:t>
      </w:r>
    </w:p>
    <w:p w14:paraId="136939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Вместе с тем инженеры полков указывали, что пулевые, осколочные и даже снарядные пробоины центроплана, если не затрагивали горизонтальных полок лонжерона, заметного влияния на изменение прочности конструкции не оказывали: «самолет рассыпается в воздухе только в тех случаях, когда прямым попаданием снаряда разбиваются оба стыковых узла крепления центроплана с плоскостью».</w:t>
      </w:r>
    </w:p>
    <w:p w14:paraId="46C76D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Интересная деталь. Крепление дюралевой обшивки к стрингерам и нервюрам с помощью потайных заклепок для улучшения аэродинамики самолета оказалось совершенно неудовлетворительным с точки зрения боевой живучести. При разрыве снаряда, под действием взрывной волны, головки заклепок легко прорываются в отверстия в обшивке, и обшивка отрывается от стрингеров, нервюр и лонжеронов на большой площади.</w:t>
      </w:r>
    </w:p>
    <w:p w14:paraId="6BC19C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Положение спасал удачно выбранный аэродинамический профиль крыла — Clark-YH. Крыло не теряло несущих свойств даже при значительном разрушении обшивки. Собственно говоря, именно по этой причине летчикам удавалось дотянуть до своей территории или аэродрома, когда разрушено полкрыла (11921).</w:t>
      </w:r>
    </w:p>
    <w:p w14:paraId="7DAC06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408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КБ А.Э.Нудельмана был разработан новый 23 мм патрон с уменьшенным зарядом для легкой 23 мм пушки. Появилась НС-23, которая ставилась вместо пушки ВЯ на Ил-10 (85,449). Параллельно был создан более легкий патрон 37 мм и пушка Н-37 для замены НС-37 (85,449).</w:t>
      </w:r>
    </w:p>
    <w:p w14:paraId="3D6BF2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38334" w14:textId="77777777" w:rsidR="006E23A3" w:rsidRPr="00271E51" w:rsidRDefault="006E23A3"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конструкторы Нудельман А.Э., Грибков П.П. и Лебедев Г.Н. начали разрабатывать новый 23-мм патрон с уменьшенной начальной скоростью снаряда. Уменьшение начальной скорости должно было привести к ослаблению воздействия выстрела на самолет, что при росте скорострельности имело существенное значение для улучшения маневренности самолета в бою.</w:t>
      </w:r>
    </w:p>
    <w:p w14:paraId="2BDD4D90" w14:textId="77777777" w:rsidR="006E23A3" w:rsidRPr="00271E51" w:rsidRDefault="006E23A3"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Первоначально пушка НС-23 разрабатывалась в моторном варианте  для установки на истребителе Як-9. Опыт, накопленный при создании и отработке пушек НС-37 и НС-45, помог конструкторам в короткие сроки создать пушку НС-23, автоматика которой работала надежно, характеристики соответствовали заданным проектным заданием, в том числе по показателю «живучесть».</w:t>
      </w:r>
    </w:p>
    <w:p w14:paraId="63F567E6" w14:textId="77777777" w:rsidR="006E23A3" w:rsidRPr="00271E51" w:rsidRDefault="006E23A3" w:rsidP="00271E51">
      <w:pPr>
        <w:shd w:val="clear" w:color="auto" w:fill="FFFFFF"/>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Установку пушки провели на серийном заводе Яковлева А.С., 4 мая 1944 закончили наземные государственные испытания, а 7 июня 1944 г. были завершены летные испытания пушки НС-23 на истребителе Як-9. Пушка НС-23 с новым патроном получила поддержку командования ВВС (15979).</w:t>
      </w:r>
    </w:p>
    <w:p w14:paraId="589FD38C" w14:textId="77777777" w:rsidR="006E23A3" w:rsidRPr="00271E51" w:rsidRDefault="006E23A3" w:rsidP="00271E51">
      <w:pPr>
        <w:shd w:val="clear" w:color="auto" w:fill="FFFFFF"/>
        <w:spacing w:after="0" w:line="240" w:lineRule="auto"/>
        <w:jc w:val="both"/>
        <w:rPr>
          <w:rFonts w:ascii="Times New Roman" w:hAnsi="Times New Roman"/>
          <w:color w:val="000000" w:themeColor="text1"/>
          <w:sz w:val="16"/>
          <w:szCs w:val="16"/>
        </w:rPr>
      </w:pPr>
    </w:p>
    <w:p w14:paraId="06837868"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В1943 г. в ОКБ-16 НКВ, которым руководил А.Э. Нудельман, разработали новый патрон ка</w:t>
      </w:r>
      <w:r w:rsidRPr="00271E51">
        <w:rPr>
          <w:rFonts w:ascii="Times New Roman" w:hAnsi="Times New Roman"/>
          <w:color w:val="000000" w:themeColor="text1"/>
          <w:sz w:val="16"/>
          <w:szCs w:val="16"/>
        </w:rPr>
        <w:softHyphen/>
        <w:t>либра 23 мм уменьшенной баллистики и пушку НС-23 под него. Пушка для работы автомати</w:t>
      </w:r>
      <w:r w:rsidRPr="00271E51">
        <w:rPr>
          <w:rFonts w:ascii="Times New Roman" w:hAnsi="Times New Roman"/>
          <w:color w:val="000000" w:themeColor="text1"/>
          <w:sz w:val="16"/>
          <w:szCs w:val="16"/>
        </w:rPr>
        <w:softHyphen/>
        <w:t>ки использовала энергию отката при коротком ходе ствола, запирание канала ствола поворо</w:t>
      </w:r>
      <w:r w:rsidRPr="00271E51">
        <w:rPr>
          <w:rFonts w:ascii="Times New Roman" w:hAnsi="Times New Roman"/>
          <w:color w:val="000000" w:themeColor="text1"/>
          <w:sz w:val="16"/>
          <w:szCs w:val="16"/>
        </w:rPr>
        <w:softHyphen/>
        <w:t>том затвора поршневого типа и ускоритель на</w:t>
      </w:r>
      <w:r w:rsidRPr="00271E51">
        <w:rPr>
          <w:rFonts w:ascii="Times New Roman" w:hAnsi="Times New Roman"/>
          <w:color w:val="000000" w:themeColor="text1"/>
          <w:sz w:val="16"/>
          <w:szCs w:val="16"/>
        </w:rPr>
        <w:softHyphen/>
        <w:t>ката. Выбрасывание стреляной гильзы при от</w:t>
      </w:r>
      <w:r w:rsidRPr="00271E51">
        <w:rPr>
          <w:rFonts w:ascii="Times New Roman" w:hAnsi="Times New Roman"/>
          <w:color w:val="000000" w:themeColor="text1"/>
          <w:sz w:val="16"/>
          <w:szCs w:val="16"/>
        </w:rPr>
        <w:softHyphen/>
        <w:t>кате производилось очередным патроном, по</w:t>
      </w:r>
      <w:r w:rsidRPr="00271E51">
        <w:rPr>
          <w:rFonts w:ascii="Times New Roman" w:hAnsi="Times New Roman"/>
          <w:color w:val="000000" w:themeColor="text1"/>
          <w:sz w:val="16"/>
          <w:szCs w:val="16"/>
        </w:rPr>
        <w:softHyphen/>
        <w:t>даваемым в затвор. Начальная скорость снаря</w:t>
      </w:r>
      <w:r w:rsidRPr="00271E51">
        <w:rPr>
          <w:rFonts w:ascii="Times New Roman" w:hAnsi="Times New Roman"/>
          <w:color w:val="000000" w:themeColor="text1"/>
          <w:sz w:val="16"/>
          <w:szCs w:val="16"/>
        </w:rPr>
        <w:softHyphen/>
        <w:t>да составляла 680 м/с, темп стрельбы - около 600 выстр./мин. НС-23 получилась почти вдвое легче серийной ВЯ-23 такого же калибра - 38,2 кг против 66 кг. Примерно на 60% меньше была и сила отдачи (15763).</w:t>
      </w:r>
    </w:p>
    <w:p w14:paraId="7CAED963"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5AD6A03A"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вооружение люфтваффе по</w:t>
      </w:r>
      <w:r w:rsidRPr="00271E51">
        <w:rPr>
          <w:rFonts w:ascii="Times New Roman" w:hAnsi="Times New Roman"/>
          <w:color w:val="000000" w:themeColor="text1"/>
          <w:sz w:val="16"/>
          <w:szCs w:val="16"/>
        </w:rPr>
        <w:softHyphen/>
        <w:t>ступила 30-мм пушка МК108, разработанная под патрон уменьшенной баллистики. Ком</w:t>
      </w:r>
      <w:r w:rsidRPr="00271E51">
        <w:rPr>
          <w:rFonts w:ascii="Times New Roman" w:hAnsi="Times New Roman"/>
          <w:color w:val="000000" w:themeColor="text1"/>
          <w:sz w:val="16"/>
          <w:szCs w:val="16"/>
        </w:rPr>
        <w:softHyphen/>
        <w:t>плекс рассчитывался для применения на даль</w:t>
      </w:r>
      <w:r w:rsidRPr="00271E51">
        <w:rPr>
          <w:rFonts w:ascii="Times New Roman" w:hAnsi="Times New Roman"/>
          <w:color w:val="000000" w:themeColor="text1"/>
          <w:sz w:val="16"/>
          <w:szCs w:val="16"/>
        </w:rPr>
        <w:softHyphen/>
        <w:t>ностях 200-400 м. При начальной скорости снаряда 500-520 м/с и темпе стрельбы около 600 выстр./мин масса пушки составляла всего 62 кг. Для примера: масса пушки МК103 такого же калибра, но с более высокой баллистикой, достигала 147 кг.</w:t>
      </w:r>
    </w:p>
    <w:p w14:paraId="76CDB53F"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Автоматика МК108 работала на принципе отдачи при свободном затворе. При этом дли</w:t>
      </w:r>
      <w:r w:rsidRPr="00271E51">
        <w:rPr>
          <w:rFonts w:ascii="Times New Roman" w:hAnsi="Times New Roman"/>
          <w:color w:val="000000" w:themeColor="text1"/>
          <w:sz w:val="16"/>
          <w:szCs w:val="16"/>
        </w:rPr>
        <w:softHyphen/>
        <w:t>на ствола (всего 15 калибров) выбиралась так, чтобы к моменту открывания затвора снаряд уже покинул канал ствола. Этим обеспечивался сброс до безопасного уровня давления газов в стволе к моменту открывания затвора. Отда</w:t>
      </w:r>
      <w:r w:rsidRPr="00271E51">
        <w:rPr>
          <w:rFonts w:ascii="Times New Roman" w:hAnsi="Times New Roman"/>
          <w:color w:val="000000" w:themeColor="text1"/>
          <w:sz w:val="16"/>
          <w:szCs w:val="16"/>
        </w:rPr>
        <w:softHyphen/>
        <w:t>ча при стрельбе полностью гасилась обратным движением затвора на пружины, которые ком</w:t>
      </w:r>
      <w:r w:rsidRPr="00271E51">
        <w:rPr>
          <w:rFonts w:ascii="Times New Roman" w:hAnsi="Times New Roman"/>
          <w:color w:val="000000" w:themeColor="text1"/>
          <w:sz w:val="16"/>
          <w:szCs w:val="16"/>
        </w:rPr>
        <w:softHyphen/>
        <w:t>пенсировали отдачу. Питание - звеньевое.</w:t>
      </w:r>
    </w:p>
    <w:p w14:paraId="4CAF2C78"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Пушка была выполнена с предельной про</w:t>
      </w:r>
      <w:r w:rsidRPr="00271E51">
        <w:rPr>
          <w:rFonts w:ascii="Times New Roman" w:hAnsi="Times New Roman"/>
          <w:color w:val="000000" w:themeColor="text1"/>
          <w:sz w:val="16"/>
          <w:szCs w:val="16"/>
        </w:rPr>
        <w:softHyphen/>
        <w:t>стотой; чистовая обработка применялась толь</w:t>
      </w:r>
      <w:r w:rsidRPr="00271E51">
        <w:rPr>
          <w:rFonts w:ascii="Times New Roman" w:hAnsi="Times New Roman"/>
          <w:color w:val="000000" w:themeColor="text1"/>
          <w:sz w:val="16"/>
          <w:szCs w:val="16"/>
        </w:rPr>
        <w:softHyphen/>
        <w:t>ко в местах, где это особенно требовалось. Много деталей (до 80%) - штампованные. Ши</w:t>
      </w:r>
      <w:r w:rsidRPr="00271E51">
        <w:rPr>
          <w:rFonts w:ascii="Times New Roman" w:hAnsi="Times New Roman"/>
          <w:color w:val="000000" w:themeColor="text1"/>
          <w:sz w:val="16"/>
          <w:szCs w:val="16"/>
        </w:rPr>
        <w:softHyphen/>
        <w:t>роко применялась сварка.</w:t>
      </w:r>
    </w:p>
    <w:p w14:paraId="7749D7B9"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боекомплект МК108 входили фугасные и осколочные боеприпасы со стальной латуниро</w:t>
      </w:r>
      <w:r w:rsidRPr="00271E51">
        <w:rPr>
          <w:rFonts w:ascii="Times New Roman" w:hAnsi="Times New Roman"/>
          <w:color w:val="000000" w:themeColor="text1"/>
          <w:sz w:val="16"/>
          <w:szCs w:val="16"/>
        </w:rPr>
        <w:softHyphen/>
        <w:t>ванной гильзой взамен латунной гильзы как у других систем. Причем фугасные снаряды из</w:t>
      </w:r>
      <w:r w:rsidRPr="00271E51">
        <w:rPr>
          <w:rFonts w:ascii="Times New Roman" w:hAnsi="Times New Roman"/>
          <w:color w:val="000000" w:themeColor="text1"/>
          <w:sz w:val="16"/>
          <w:szCs w:val="16"/>
        </w:rPr>
        <w:softHyphen/>
        <w:t>готавливались из стали методом глубокой вы</w:t>
      </w:r>
      <w:r w:rsidRPr="00271E51">
        <w:rPr>
          <w:rFonts w:ascii="Times New Roman" w:hAnsi="Times New Roman"/>
          <w:color w:val="000000" w:themeColor="text1"/>
          <w:sz w:val="16"/>
          <w:szCs w:val="16"/>
        </w:rPr>
        <w:softHyphen/>
        <w:t>тяжки вместо точения корпуса из цельной за</w:t>
      </w:r>
      <w:r w:rsidRPr="00271E51">
        <w:rPr>
          <w:rFonts w:ascii="Times New Roman" w:hAnsi="Times New Roman"/>
          <w:color w:val="000000" w:themeColor="text1"/>
          <w:sz w:val="16"/>
          <w:szCs w:val="16"/>
        </w:rPr>
        <w:softHyphen/>
        <w:t>готовки. Это позволило получить тонкостенный, но прочный корпус, в который помеща</w:t>
      </w:r>
      <w:r w:rsidRPr="00271E51">
        <w:rPr>
          <w:rFonts w:ascii="Times New Roman" w:hAnsi="Times New Roman"/>
          <w:color w:val="000000" w:themeColor="text1"/>
          <w:sz w:val="16"/>
          <w:szCs w:val="16"/>
        </w:rPr>
        <w:softHyphen/>
        <w:t>лось больше взрывчатого или зажигательного вещества, чем в снаряде с точёным корпусом. Кроме того, меньший вес тянутого снаряда по сравнению с точеным снарядом положительно сказывался на надежности работы автоматики.</w:t>
      </w:r>
    </w:p>
    <w:p w14:paraId="66E5D621"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Вместе с тем, определились и недостат</w:t>
      </w:r>
      <w:r w:rsidRPr="00271E51">
        <w:rPr>
          <w:rFonts w:ascii="Times New Roman" w:hAnsi="Times New Roman"/>
          <w:color w:val="000000" w:themeColor="text1"/>
          <w:sz w:val="16"/>
          <w:szCs w:val="16"/>
        </w:rPr>
        <w:softHyphen/>
        <w:t>ки: «пушка работает с выкатом, и когда бывает преждевременное разбитие капсюля - рвется кожух пушки». По результатам изучения пушки МК108 специалисты НИИ ВВС КА отмечали, что благодаря «удачному подбору баллистической комбинации, при которой сохраняется боевая эффективность для заданных условий боя (в данном случае, боя на дальностях 200-400 м), удалось получить 30-мм пушку с весовой харак</w:t>
      </w:r>
      <w:r w:rsidRPr="00271E51">
        <w:rPr>
          <w:rFonts w:ascii="Times New Roman" w:hAnsi="Times New Roman"/>
          <w:color w:val="000000" w:themeColor="text1"/>
          <w:sz w:val="16"/>
          <w:szCs w:val="16"/>
        </w:rPr>
        <w:softHyphen/>
        <w:t>теристикой, силой отдачи и другими данными благоприятными для установки на самолет» (15763).</w:t>
      </w:r>
    </w:p>
    <w:p w14:paraId="1A54AEFF"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3DCA1B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Ижмаш выпустил 4730 НС-37. Куда-то ведь их поставили. Всего за войну - 8000 (177,308).</w:t>
      </w:r>
    </w:p>
    <w:p w14:paraId="0D8F72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8F1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была создана новая система авиабомб - МС43 - упрощенная конструкция из серого чугуна, сталистого чугуна и т.п. (85,466). КБ Н.Т.Кулакова сделало десять новых конструкций фугасных авиабомб системы М-43, отличающихся упрощенной конструкцией и технологией отливания. Корпуса лили из сталистого чугуна и на станках делали только резьбу под взрыватель, а вся другая резьба - литая, резьба Эдисона. Стабилизаторы - разъемные. Н.Ф.Сидоров предложил новую подвесную систему для бомб модели М-43 (177,412).</w:t>
      </w:r>
    </w:p>
    <w:p w14:paraId="7EEE67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0DF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академик Н.Н. Семёнов сообщил, что его сотрудники получили интересные результаты при исследовании процессов сгорания топлива в двигателях с форкамерным зажиганием. В течение месяца на заводе № 300 был изготовлен комплект форкамер, который смонтировали на серийном АМ-38Ф. В ходе испытаний, в которых принимал участие в качестве ведущего инженера один из авторов настоящей статьи, были отработаны все режимы, включая наиболее сложный - запуск при низких температурах. Испытания показали, что применение форкамерного зажигания существенно улучшило параметры двигателя. Новый двигатель получил наименование АМ-38ФК (9030).</w:t>
      </w:r>
    </w:p>
    <w:p w14:paraId="71690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CB1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завод № 381 НКАП был реэвакуирован из Нижнего Тагила в Москву (8949).</w:t>
      </w:r>
    </w:p>
    <w:p w14:paraId="78BE62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20D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 произведен выпуск опытного экземпляра самолета Ил-10 в двухместном варианте; параллельно шла доработка и доводка одноместного самолета (ГАСО. Ф. Р-3454. Оп. 1. Д. 27. Л. 11, 23-24.) (11714).</w:t>
      </w:r>
    </w:p>
    <w:p w14:paraId="274F04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CAE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при эксплуатации Ид-2 возникали следующие проблемы:</w:t>
      </w:r>
    </w:p>
    <w:p w14:paraId="6D6831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Характерным дефектом Ил-2 в процессе эксплуатации являлось загнивание, расслоение и отставание деревянной обшивки от силового каркаса как в консолях, так и в хвостовой части фюзеляжа. При этом отмечалась плохая склейка шпангоутов между собой и связь их с каркасом, а также недостаточная прочность самих шпангоутов. На шпангоутах наблюдались трещины и расслоение по склейке.</w:t>
      </w:r>
    </w:p>
    <w:p w14:paraId="512D4D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этим причинам прочность хвостовой части фюзеляжа оказывалась невысокой. В строевых частях имелись частые случаи, когда при производстве взлета и посадки на полевых аэродромах с полной бомбовой нагрузкой даже от незначительного подскока хвоста разрушались 14-й и 15-й шпангоуты, иногда и 13-й шпангоут. Как следствие, фюзеляжи переламывались. Указанный дефект появлялся уже при налете в 20 - 40 ч. В большинстве случаев этот дефект отмечался на самолетах производства заводов № 1 и № 30 и в меньшей степени на самолетах завода № 18.</w:t>
      </w:r>
    </w:p>
    <w:p w14:paraId="51F998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профилактических мероприятий, силами ПАРМ-1 и техсостава частей, производилось усиление хвостовой части фюзеляжа путем постановки дополнительных накладок и угольников, которые крепили 14-й и 15-й шпангоуты к шпону фюзеляжа. Усиление производилось сразу же после поступления самолетов в части.</w:t>
      </w:r>
    </w:p>
    <w:p w14:paraId="6F5DF5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отмечалось в отчете главного инженера 5-й воздушной армии генерала А. Г. Руденко, «технический состав и работники ПАРМ-1 на эту работу затратили много сил и средств».</w:t>
      </w:r>
    </w:p>
    <w:p w14:paraId="02AD48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ускорения производства работ по усилению шпангоутов самолетов Ил-2, кроме ПАРМ-1 и технического состава частей, мобилизовывались бригады стационарных авиамастерских и заводов НКАП. Работа приурочивалась к другим видам ремонта и производилась практически круглосуточно, невзирая на погоду. В условиях высокой влажности, особенно на черноморском побережье Кавказа, хвосты самолетов заводились в специально изготовленные крытые капониры, где производилась просушка клеевых соединений при помощи ламп АПЛ-1 или нагретого песка.</w:t>
      </w:r>
    </w:p>
    <w:p w14:paraId="4CB583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Обрыв ушково-вильчатого болта крепления штока цилиндра уборки и выпуска шасси, а также трещины по сварке ломающихся подкосов шасси и в узлах стыка крыла </w:t>
      </w:r>
      <w:r w:rsidRPr="00271E51">
        <w:rPr>
          <w:rFonts w:ascii="Times New Roman" w:hAnsi="Times New Roman"/>
          <w:color w:val="000000" w:themeColor="text1"/>
          <w:sz w:val="16"/>
          <w:szCs w:val="16"/>
        </w:rPr>
        <w:lastRenderedPageBreak/>
        <w:t>с центропланом нередко вызывали тяжелые последствия (аварии и поломки). Однако они все же не имели в это время массового характера. Поэтому «для предупреждения и устранения их не требовалось большой затраты сил и средств, как это имело место при устранении дефектов хвостовой части фюзеляжа».</w:t>
      </w:r>
    </w:p>
    <w:p w14:paraId="6A8FA5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Серьезные проблемы были и с моторами АМ-38 и АМ-38ф, которые нормально все же не работали. По опыту штурмовых частей 3-й воздушной армии один отказ мотора, который приводил к его преждевременному снятию с самолета или к вынужденным посадкам, авариям и катастрофам, приходился в среднем на 35 ч налета. В частях 15-й воздушной армии один отказ мотора АМ-38ф приходился на 20 - 25 часов работы.</w:t>
      </w:r>
    </w:p>
    <w:p w14:paraId="23BE9B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качестве «одного из наиболее крупных недостатков, как самолетов, так и моторов» инженеры полков указывали «ограниченный диапазон регулировки температуры воды и масла при температуре окружающего воздуха +25 град и выше, т.е. работа на режимном пределе».</w:t>
      </w:r>
    </w:p>
    <w:p w14:paraId="62543C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Частым явлением продолжали оставаться такие дефекты как «обрыв прицепных шатунов вторых и третьих цилиндров и как следствие авария мотора», прогар поршней - «в 90% случаев прогорает 5-й поршень левый», отказ в работе бензопомпы БНК-10 - «из-за выхода из строя мембраны». Свечи зажигания СВ-19 и СВ-20, как и прежде, отказывали, не наработав и 10 - 15 ч, а свечи БГ-27 - 25 - 30 ч.</w:t>
      </w:r>
    </w:p>
    <w:p w14:paraId="54AB9A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неожиданными оказались результаты расследования случаев вынужденных посадок самолетов Ил-2 по причине самопроизвольной остановки моторов АМ-38ф в воздухе. Выяснилось, что виной тому является дефект переключателей типа АТЭ - в ходе эксплуатации ослабевает гайка крепления минусовой шайбы, которая развертывается, замыкает на массу, и мотор выключается. Осмотр по указанию главного инженера ВВС КА самолетов в действующих полках показал - дефект носит массовый характер. Например, только в одной 225-й шад при осмотре обнаружили дефектные переключатели на 35 самолетах.</w:t>
      </w:r>
    </w:p>
    <w:p w14:paraId="564FE0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появлением в строевых частях двухместных вариантов Ил-2 с оборонительным пулеметом УБТ и установкой ВУБ-3 техническому составу и специалистам по вооружению полков хлопот резко прибавилось.</w:t>
      </w:r>
    </w:p>
    <w:p w14:paraId="516C07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уже после 5-10 посадок двухместного Ил-2 (особенно первых серий) на полевые аэродромы в большинстве случаев в средней части полукольца установки ВУБ-3 появлялись трещины. Приходилось в срочном порядке заменять турель и усиливать фюзеляж в районе выреза под кабину стрелка.</w:t>
      </w:r>
    </w:p>
    <w:p w14:paraId="38591C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Мучились вооруженцы с гибким рукавом подвода патронной ленты в приемник пулемета. При зарядке пулемета на протягивание ленты по рукаву даже опытный оружейник затрачивал примерно 6 мин.</w:t>
      </w:r>
    </w:p>
    <w:p w14:paraId="4D9EB3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боевых вылетах выяснилось, что ВУБ-3 не обеспечивает надежное питание пулемета УБТ патронами при стрельбе в воздухе. При всех максимальных углах возвышения пулемет стрелял автоматическим огнем, но при максимальном угле поворота и возвышения патронная лента в гибком рукаве настолько зажималась, что электромотор МУ-50 в системе подтяга патронной ленты оказывался не в состоянии подать ее вперед. Иногда лента обрывалась. К тому же, поскольку электромотор работал в крайне наряженном режиме, то его «пережог» был массовым явлением, особенно при стрельбе длинными очередями. По этим причинам весьма частыми были задержки в стрельбе — неподача патрона в приемник пулемета. При этом из-за резкой остановки подвижной системы (ползуна, затвора) детали пулемета испытывали большие динамические нагрузки, вызывающие их поломки, деформацию или преждевременный износ.</w:t>
      </w:r>
    </w:p>
    <w:p w14:paraId="5C5CCC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следствие, в НКАП и заказывающие органы ВВС КА посыпались предложения летного и технического состава строевых частей о замене ленточного питания пулемета УБТ дисковым как более надежным в бою.</w:t>
      </w:r>
    </w:p>
    <w:p w14:paraId="6F175A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Установку ВУБ-3 срочно доработали и к маю в серийное производство запустили модернизированный вариант. Основные изменения заключались в установке механического подтяга патронной ленты (вместо электрического) и усиленного полукольца турели, а также в изменении габаритов и подвески патронного ящика, что обеспечивало увеличенные углы обстрела из пулемета.</w:t>
      </w:r>
    </w:p>
    <w:p w14:paraId="6DF8C6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Механизм подтяга патронной ленты, состоящий из подающей пружины, звездочки и рычага, устанавливался непосредственно в приемнике пулемета. При заправке ленты в приемник пружину требовалось завести, после чего «силой упругости пружины лента будет проталкиваться в приемник». Подзавод пружины осуществлялся во время стрельбы с помощью подвижной планки в приемнике пулемета, которая при стрельбе действовала на рычаг механизма подтяга, обеспечивая тем самым подзавод пружины до первоначального состояния, а значит, «постоянство силы подтяга ленты».</w:t>
      </w:r>
    </w:p>
    <w:p w14:paraId="7BECDE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проявились и многочисленные дефекты пулемета, такие как неотдача и недоход частей в переднее положение, поперечный обрыв и отрыв дульца гильзы, а также «невхождение 12,7 мм патронов с пулей МДЗ в патронник стволов пулеметов».</w:t>
      </w:r>
    </w:p>
    <w:p w14:paraId="49119A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Например, когда части 232-й шад 2-го шак Резерва ВГК получили от 30-го завода новые самолеты Ил-2, то оказалось, что на 99 Ил-2 пулеметы УБТ при проверке на земле давали сплошные отказы в стрельбе по причине неотдачи и недохода подвижных частей. Заместитель старшего инженера дивизии инженер-капитан Копылов констатировал: «Дефект производственный: плохая пригонка и отработка на заводах ползуна, клина запирания и т.д.»</w:t>
      </w:r>
    </w:p>
    <w:p w14:paraId="436057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снаряжении патронных лент в строевых частях обнаружили целые партии патронов к пулемету УБ изготовления 1941 г. и 1942 г. с продольными трещинами на дульцах гильз. В результате «при перезаряжании пулемета пуля дефектного патрона застревает в пульном ходе и при очередной стрельбе происходит раздутие ствола и ствольной коробки».</w:t>
      </w:r>
    </w:p>
    <w:p w14:paraId="620786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детальной проверке оказалось, что в основе этих дефектов лежит целый комплекс недочетов в работе заводов наркомата вооружения и авиационной промышленности, а также и заказывающих управлений ВВС КА.</w:t>
      </w:r>
    </w:p>
    <w:p w14:paraId="55BD17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патронных заводах № 17, 46 и 188 НКВ имели место нарушения технологических режимов термообработки при изготовлении гильз к патронам калибра 12,7 мм, что приводило к снижению местной прочности стенки гильзы и ее разрыву в патроннике пулемета при стрельбе. На заводе № 74 НКВ, где был налажен валовый выпуск пулеметов УБ, из-за отсутствия должного контроля подгонка рабочей поверхности запорного вкладыша к гнезду ствола в ряде случаев оказывалась односторонней. Это вызывало ускоренный износ рабочих поверхностей ствола и вкладыша. Примерно после 3000-4000 выстрелов зазор между зеркалом затвора и пеньком ствола увеличивался настолько, что вызывало задержку «отрыв дулец у гильз».</w:t>
      </w:r>
    </w:p>
    <w:p w14:paraId="5249FE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дополнение к этому при принятии на вооружение ВВС пулемета УБ не были проверены стрельбой патроны с пулей МДЗ-3, которая была на 2,7 мм короче других пуль калибра 12,7 мм. Считалось, что отработка патронов с МДЗ-3 на пулемете БС и положительные результаты испытаний стрельбой в НИП АВ ВВС являются вполне достаточной гарантией надежности работы этого патрона и на пулемете УБ. Однако у пулемета УБ в сравнении с пулеметом БС был укорочен приемник и поэтому «поставлена пружина уравнителя с уменьшенной стрелкой прогиба». Именно это обстоятельство и стало причиной задержки типа «опережение» при стрельбе из пулеметов УБ патронами с пулей МДЗ-3: из-за «незахвата патронов лапками затвора и утыкания патрона в патронник ствола» автоматическая стрельба прекращалась.</w:t>
      </w:r>
    </w:p>
    <w:p w14:paraId="7BB4BC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устранения дефекта завод № 74 оперативно разработал для пулемета УБ пружину уравнителя нового типа, а в строевые части разослал ремкомплекты для замены пружин старого типа.</w:t>
      </w:r>
    </w:p>
    <w:p w14:paraId="5FB16C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главного инженера ВВС КА генерал Лапин во избежание «отказов и происшествий при эксплуатации вооружения и боеприпасов на самолетах в частях ВВС КА» шифротелеграммой от 6 июня 1943 г. временно запретил применять в пулеметах УБ патроны с пулей МДЗ-3.</w:t>
      </w:r>
    </w:p>
    <w:p w14:paraId="34AD5A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был усилен контроль на заводах за соблюдением технологии сборки и отладки пулеметов, изготовления гильз, а также введена лакировка гильз и выданы рекомендации строевым частям смазывать патроны перед каждым боевым вылетом.</w:t>
      </w:r>
    </w:p>
    <w:p w14:paraId="798710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Несмотря на доработку ВУБ-3 и пулемета, проблема отказов в работе УБТ по причине неподачи патрона в приемник полностью решена не была - при стрельбе в воздухе, особенно длинными очередями, продолжали случаться задержки и даже заклинивание автоматики пулемета.</w:t>
      </w:r>
    </w:p>
    <w:p w14:paraId="4D9920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воспоминаниям воздушного стрелка 43-го гшап Г.А. Литвина «Березин» при стрельбе в воздухе отказывал почти в каждом боевом вылете, а стрельба длинными очередями производилась «с замиранием сердца». Смазка патронов перед стрельбой (вылетом на боевое задание) спасала лишь отчасти. Стрельба очередью свыше 10 патронов становилась причиной «обязательного заклинивания пулемета...»</w:t>
      </w:r>
    </w:p>
    <w:p w14:paraId="0686C7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Наиболее распространенной задержкой пулемета (около 55% всех задержек) в это время являлось заклинение ползуна с клином запирания затвора, из-за плохой подгонки клина и грубой обработки ползуна на заводе. При этом обычно образовывались заусенцы и приподнятости металла на ромбовидном выступе и в пазу. В этом случае, как правило, требовалась замена ползуна. Клин запирания затвора выходил из строя уже при настреле в диапазоне от 300-1500 выстрелов. В то же время при хорошей подгонке он выходил из строя только в результате износа рабочей поверхности после 5000-6000 выстрелов.</w:t>
      </w:r>
    </w:p>
    <w:p w14:paraId="7BA792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Отмечалась значительная усадка пружин - возвратной, спускового движка и рамки спускового механизма. Причиной усадки являлись недостаточная термообработка и большие напряжения в металле, возникающие при быстро меняющейся знакопеременной динамической нагрузке. Вследствие этого пружины теряли жесткость, садились: «свой срок живучести не выдерживают».</w:t>
      </w:r>
    </w:p>
    <w:p w14:paraId="669A6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плохой термообработки частыми являлись случаи выхода из строя затвора по причине «образования трещины в перемычке, соединяющей отверстия для фиксатора и для выхода бойка».</w:t>
      </w:r>
    </w:p>
    <w:p w14:paraId="4B8AEE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Статистика поломок и отказов затворов УБТ показывает, что только 25% затворов выдерживали гарантийный ресурс в 4000 выстрелов. Обычно затворы выходили из строя в среднем после 800-1000 выстрелов.</w:t>
      </w:r>
    </w:p>
    <w:p w14:paraId="2BF99F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Возвратная пружина в среднем выдерживала 3500-4000 выстрелов (усадка пружины), фиксаторы затвора - 4000 выстрелов, ладыжка ствольной коробки - 3500-4000 выстрелов, движок подачи приемника — 4000 выстрелов.</w:t>
      </w:r>
    </w:p>
    <w:p w14:paraId="225F18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Инженерами по вооружению полков и дивизий делался неутешительный вывод: «Пулемет УБТ, как и пушка ШВАК, требует повседневного технического контроля </w:t>
      </w:r>
      <w:r w:rsidRPr="00271E51">
        <w:rPr>
          <w:rFonts w:ascii="Times New Roman" w:hAnsi="Times New Roman"/>
          <w:color w:val="000000" w:themeColor="text1"/>
          <w:sz w:val="16"/>
          <w:szCs w:val="16"/>
        </w:rPr>
        <w:lastRenderedPageBreak/>
        <w:t>с целью своевременного выявления износившихся деталей и их замены, так как многие детали пулемета имеют невысокую живучесть, отличающуюся большим непостоянством». При несоблюдении этих условий число отказов УБТ значительно возрастало.</w:t>
      </w:r>
    </w:p>
    <w:p w14:paraId="353697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устранения недостатков установки ВУБ-3 технический состав и специалисты по вооружению полков довольно много экспериментировали. В частности, в июне 1943 г. заместитель старшего техника по вооружению 825-го шап старший техник-лейтенант Гонин снял с установки гибкий рукав (от него остался только переходник основания), вывел ленту из центра патронного ящика вверх через трапециевидную воронку прямо в приемник, срезал угол воронки, касающийся при развороте вправо борта самолета.</w:t>
      </w:r>
    </w:p>
    <w:p w14:paraId="0A6D62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Отстрел показал - в сравнении с серийной установкой «увеличились углы возвышения и снижения настолько, насколько воздушный стрелок может высунуться из кабины». Кроме того, до 30 сек сократилось потребное время заряжания патронной ленты в пулемет.</w:t>
      </w:r>
    </w:p>
    <w:p w14:paraId="21644D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положительные результаты такой доработки, заместитель старшего инженера по вооружению 225-й шад инженер-капитан Николаев в своем рапорте от 23 июня просил заместителя главного инженера по вооружению 15-й воздушной армии модифицировать подобным образом установки ВУБ-3 на самолетах одного звена «для окончательного убеждения в целесообразности этого».</w:t>
      </w:r>
    </w:p>
    <w:p w14:paraId="1FEBCF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Примерно в это же время в 775-м шап по предложению помощника командира полка по воздушно-стрелковой службе старшего техника-лейтенанта И.П. Постасюка с целью увеличения углов обстрела из пулемета УБТ был укорочен патронный ящик и перенесены ограничители на полукольце турели. Испытания стрельбой в воздухе показали, что углы обстрела влево и вправо увеличились до 90°. При этом автоматическая стрельба влево и вправо вверх при всех углах поворота пулемета оказалась возможной, но прицеливаться на предельных углах поворота вправо было трудно, «так как прицел стоит слева».</w:t>
      </w:r>
    </w:p>
    <w:p w14:paraId="34955E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всех случаях прицельный огонь в стороны можно было вести при углах до 60°, а в диапазоне 60 - 90° - по трассе.</w:t>
      </w:r>
    </w:p>
    <w:p w14:paraId="616715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Помощник командира 2-го смешанного авиакорпуса по воздушно-стрелковой службе инженер-майор Волощенко считал целесообразным выполнить такую доработку на всех самолетах Ил-2, о чем и доложил специальным донесением от 16 июля помощнику командующего ВВС КА по воздушно-стрелковой службе генерал-майору Рафаловичу.</w:t>
      </w:r>
    </w:p>
    <w:p w14:paraId="4AAA9E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Серьезные нарекания технического состава вызывали 37-мм пушки НС-37 и их пушечные установки противотанкового варианта Ил-2,которые имели многочисленные конструктивные недостатки.</w:t>
      </w:r>
    </w:p>
    <w:p w14:paraId="0E98CD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Технический состав полков отмечал плохую термообработку металла, что являлось причиной поломки отдельных деталей пушки. Например, вкладыш ударника выдерживал в среднем только 120-235 выстрелов, после чего ломался. Очень часто перегорал электроспуск. Пришлось ставить на пушках механический дублер.</w:t>
      </w:r>
    </w:p>
    <w:p w14:paraId="1717E4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неполной разборке пушки было очень трудно устанавливать прибор для поджатия пружины рычага подачи приемника - требовалось увеличить вырез в верхней обшивке плоскости.</w:t>
      </w:r>
    </w:p>
    <w:p w14:paraId="0A92D9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Троса перезарядки на заводе ставились не вытянутыми. Поэтому через несколько боевых вылетов троса вытягивались настолько, что не выполняли своего назначения.</w:t>
      </w:r>
    </w:p>
    <w:p w14:paraId="3E9B98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Конструкция двух лючков над снарядным ящиком сильно затрудняла укладку патронной ленты. Предлагалось «сделать над отсеком одну общую крышку».</w:t>
      </w:r>
    </w:p>
    <w:p w14:paraId="722E0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«неплавного подвода ленты из патронного ящика в подводящий рукав» довольно часто (90% всех случаев) происходил обрыв звеньев и вследствие этого прекращение огня из левой пушки.</w:t>
      </w:r>
    </w:p>
    <w:p w14:paraId="6AC40D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Встречались случаи «выпадения патрона из ленты (на левой пушке) и неотход подвижных частей пушки», а также непопадания звена в патронник по причине нестандартности звеньев. Как следствие, происходил отказ в работе пушек.</w:t>
      </w:r>
    </w:p>
    <w:p w14:paraId="7E4A50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Последние дефекты обуславливались тем обстоятельством, что в крыльевом варианте пушки НС-37 на Ил-2 использовались звенья от мотор-пушки этого типа, установленной на истребителе Як-9Т, где «усилие съема было в пределах 50-80 кг». Из-за увеличения боекомплекта в сравнении с Як-9Т и особенностей пушечной установки на самолете Ил-2, «указанное усилие съема оказалось недостаточным, почему и начали появляться случаи выпадения патронов из звена».</w:t>
      </w:r>
    </w:p>
    <w:p w14:paraId="040953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изжития этого дефекта довольно скоро было «отработано и запущено в валовое производство звено с усилием съема 80-100 кг, а старые звенья из употребления изъяты».</w:t>
      </w:r>
    </w:p>
    <w:p w14:paraId="74C80B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Столкнулись в полках и с несколько необычными эксплуатационными трудностями. Оказалось, что обслуживание пушек НС-37 девушками-оружейницами непосильно: «практикой установлено, что для обслуживания пушек необходимо иметь штат вооруженцев из мужчин». При этом если полк работал всеми самолетами и выполнял 2-3 полковых вылета в день, то существующий штат специалистов по вооружению не справлялся с подготовкой самолетов к повторным боевым вылетам.</w:t>
      </w:r>
    </w:p>
    <w:p w14:paraId="39689C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температура наружного воздуха упала ниже минус 10°С начались массовые отказы пушек НС-37. Дело в том, что гидротормоз пушки снаряжался на заводе водоглицериновой смесью, непригодной для работы при низкой температуре.</w:t>
      </w:r>
    </w:p>
    <w:p w14:paraId="7D4860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всегда, положение спасла смекалка русского солдата. Используя опыт «самолетчиков», которые применяли в гидротормозах шасси спиртоглицериновую смесь, вооруженцы опытным путем определили необходимое процентное соотношение спирта и глицерина в аналогичной смеси для пушки. Работа автоматики пушки и величина отката проверялась путем отстрела на земле при различном соотношении спирта и глицерина. Пушка уложилась в требуемые параметры и начала безотказно работать при составе смеси 90% спирта и 10% глицерина. По сути, это практически чистый спирт.</w:t>
      </w:r>
    </w:p>
    <w:p w14:paraId="5C9C50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вынужденное применение спиртовой смеси в пушках НС-37 приводило и к известным заботам комсостава полков по обеспечению контроля использования смеси по прямому назначению. Естественно, это не всегда удавалось...</w:t>
      </w:r>
    </w:p>
    <w:p w14:paraId="73CE73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по рекомендации ОКБ-16 и НИИ АВ в гидротормоз пушки стали заливать тракторный керосин № 1. Для оказания помощи строевым частям в этом вопросе от ОКБ-16 в действующую армию срочно выехали небольшие бригады специалистов.</w:t>
      </w:r>
    </w:p>
    <w:p w14:paraId="522755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апреле на многих боевых самолетах обнаружился дефект производственной отделки: происходило отклеивание миткалевого покрытия, расслоение и деформация фанерной обшивки, растрескивание лакокрасочного покрытия и т.д. Отмечались многочисленные случаи, когда в полете с крыльев срывало фанерную обшивку. По этим причинам только в одной 16-й воздушной армии вышло из строя 125 самолетов Ил-2. Кроме них, из-за дефектов обшивки считались небоеспособными еще 27 истребителей Ла-5, а также 97 Як-1 и 100 - Як-9 и Як-7. В 13-й воздушной армии из строя вышли 84 штурмовика Ил-2, 11 Ла-5 и 70 самолетов Як-1, Як-7. Подобная картина наблюдалась и в других воздушных армиях.</w:t>
      </w:r>
    </w:p>
    <w:p w14:paraId="49F9C3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Проведенное специально назначенной комиссией расследование показало, что основными причинами дефектов самолетов являлись: некачественная нитрошпатлевка АШ-22, из состава которой был выведен дефицитный в то время свинцовый крон, недостаточная площадь крепления обшивки к силовому каркасу крыла и, наконец, просто производственный брак, вследствие нарушений технологического процесса обработки древесины.</w:t>
      </w:r>
    </w:p>
    <w:p w14:paraId="0DDD6A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Судя по документам, основной брак в это время исходил от заводов № 1 и 30. При этом пальму первенства в этом вопросе держал московский завод. Например, в частях 232-й шад 2-го шак Резерва ВГК небоеспособными оказались почти все Ил-2, полученные на 30-м заводе: в 704-м шап - 34 самолета, в 801-м шап - 32, в 230-м шап - 34 машины. Положение в полках 231-й шад этого корпуса было значительно лучше. Из строя вышли 33 самолета Ил-2 производства завода № 30 - немногим больше одной трети боевого состава дивизии.</w:t>
      </w:r>
    </w:p>
    <w:p w14:paraId="025929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Отрыв миткалевого покрытия с плоскостей и килей самолетов, а также обшивки крыла в полете, как правило, начинался в районах «металлических лент лонжеронов балок РО и лючков патронных ящиков пушки, а также в переходе с фюзеляжа на киль».</w:t>
      </w:r>
    </w:p>
    <w:p w14:paraId="319FBA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Вызванные с завода № 30 бригады установили массовый производственный брак: смещение листов фанеры обшивки крыла относительно шаблона, плохая проклейка обшивки по стрингерам и нервюрам, «смещение гвоздевого шва, непроклейка перкаля, подрезы перкаля в местах лент лонжеронов, так как их углы не прошпаклеваны и образуют острый угол».</w:t>
      </w:r>
    </w:p>
    <w:p w14:paraId="57B6D1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результате плохой проклейки сырость проникала повсюду, что и приводило «к отставанию фанеры и перкаля и срыву и того и другого в полете».</w:t>
      </w:r>
    </w:p>
    <w:p w14:paraId="1B8D3B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Старший инженер 232-й шад инженер-полковник Герасимчук в своем отчете о состоянии материальной части дивизии констатировал: «Крылья Ил-2, изготовленные заводом № 30, начиная с серии 14 и кончая серией 20, выполнены с грубым нарушением технологии. Как следствие нарушения технологии -каждый самолет имеет коробление фанерной обшивки крыльев и волнистость ее».</w:t>
      </w:r>
    </w:p>
    <w:p w14:paraId="142ED0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дополнение к этим бедам в ходе осмотра самолетов в 231-й шад были обнаружены еще два не менее опасных дефектов: трещины в стыковочных узлах центроплана (5 машин), а также «овализация и эксцентричность стаканчиков тяг элеронов» (12 машин). Пришлось срочно заменять и рассылать циркуляры в другие части о незамедлительном осмотре стыковочных узлов и тяг элеронов Ил-2.</w:t>
      </w:r>
    </w:p>
    <w:p w14:paraId="630DCF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Проведенные в ЦАГИ в мае месяце специальные исследования на прочность нескольких серийных штурмовиков показали, что на Ил-2 производства завода № 30 (зав. № 302263) уже при 50% нагрузке от расчетного значения (по нормам прочности 1937 г. это соответствует перегрузке 4,13 — авт.) появилась «волна, означающая начало отрыва обшивки от лонжерона крыла, а в последующем и от всего силового набора крыла». При повышении нагрузки до 60% от расчетной и выше начался отрыв фанеры по всему размаху крыла в местах стыка с дюралевой обшивкой и склейки у переднего и заднего лонжеронов. Как докладывал старший военный представитель ГУЗ ВВС в ЦАГИ инженер-майор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мощности». Разрушение крыла наступило при достижении нагрузки 90% от расчетной величины.</w:t>
      </w:r>
    </w:p>
    <w:p w14:paraId="23DFFD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 производства куйбышевского завода № 1 (зав. № 7005) без каких-либо замечаний выдержал нагрузку в 110% от расчетного значения.</w:t>
      </w:r>
    </w:p>
    <w:p w14:paraId="6315E0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Как следует из материалов ЦАГИ, перед поступлением в институт оба штурмовика прошли испытания на прочность в ЛИИ НКАП. На самолете 30-го завода было </w:t>
      </w:r>
      <w:r w:rsidRPr="00271E51">
        <w:rPr>
          <w:rFonts w:ascii="Times New Roman" w:hAnsi="Times New Roman"/>
          <w:color w:val="000000" w:themeColor="text1"/>
          <w:sz w:val="16"/>
          <w:szCs w:val="16"/>
        </w:rPr>
        <w:lastRenderedPageBreak/>
        <w:t>выполнено 26 пикирований, а на самолете 1-го завода - 34 пикирования. Скорость на пикировании достигала 450 км/ч, а перегрузка на выходе из пикирования - порядка 5 единиц. Перед летными испытаниями путем простукивания крыла самолетов были определены места возможного непроклея обшивки с каркасом. После полетов новых мест возможного непроклея не обнаружено. В процессе подготовки самолетов к статическим испытаниям было обнаружено, что на самолете № 7005 миткаль приклеен к обшивке крыла (фанере) в основном только в местах прохождения лонжеронов и нервюр, а на самолете № 302263 - отставание верхнего шпона фанеры на верхней поверхности законцовки крыла между лонжеронами в зоне нервюр №№20-21.</w:t>
      </w:r>
    </w:p>
    <w:p w14:paraId="5961B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Интересно отметить, что статиспытания штурмовиков Ил-2 29 мая проводились в присутствии замнаркома авиапрома П.В. Дементьева и главного конструктора самолета С.В. Ильюшина. Несмотря на проводимый в строевых частях ремонт обшивки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использования самолета Ил-2 в полной мере, согласно его ЛТД».</w:t>
      </w:r>
    </w:p>
    <w:p w14:paraId="15748F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дальнейшем эта инициатива была узаконена специальным распоряжением УТЭ ВВС от 22 июля 1943 г. Нормальная бомбовая нагрузка двухместных самолетов Ил-2 ограничивалась 300 кг.</w:t>
      </w:r>
    </w:p>
    <w:p w14:paraId="33A3B8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июля в ЦАГИ закончились статиспытания самолета Ил-2 № 1826 производства завода № 30. Штурмовик был сдан заводом 14 марта 1943 г. и налетал 20 ч, после чего обнаружился дефект обшивки крыла. Самолет отремонтировали по технологии, предложенной ОКБ Ильюшина. Была проведена «замена миткаля полотном, одетого на крыло в виде чулка с соответствующим проклеем». Предполагалось, что в случае срыва обшивки от каркаса крыла она будет удерживаться полотном, «завязанным» снизу крыла.</w:t>
      </w:r>
    </w:p>
    <w:p w14:paraId="2AF3C7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самолета обшивка оторвалась на правом крыле при нагрузке 110% от расчетного значения (соответствует перегрузке 7,5 единиц). При этом дважды открывались люки патронных ящиков - при нагрузке 60% и 100%.</w:t>
      </w:r>
    </w:p>
    <w:p w14:paraId="652C64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Дополнительные испытания на прочность самолета Ил-2 № 1850 производства завода № 30 подтвердили недостаточную прочность узлов крепления крышек патронных ящиков. Отрыв крышки начинался при нагрузке 60% от расчетного значения. Крышка крепилась к патронному ящику по одной длинной стороне пятью язычками и по другой длинной стороне пятью замками. Каждая из двух коротких сторон крышки, крепилась одним замком.</w:t>
      </w:r>
    </w:p>
    <w:p w14:paraId="730C35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сравнении с крышкой от Ил-2 № 7005 производства завода № 1 оказалось, что последняя крепится к патронному ящику девятью стальными замками и тремя дюралюминовыми язычками. Причем вместо язычков по углам крышка крепится замками.</w:t>
      </w:r>
    </w:p>
    <w:p w14:paraId="366640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 завода № 30 потребовали перейти к конструкции крышек патронных ящиков по образцу завода № 1, которые при всех испытаниях оказались более надежными. Строевым частям рекомендовали проводить ремонт дефектных самолетов по новой технологии.</w:t>
      </w:r>
    </w:p>
    <w:p w14:paraId="0BD424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Негативные тенденции с боеготовностью материальной части потребовали от Государственного Комитета Обороны, штаба ВВС КА и НКАП чрезвычайных шагов по исправлению ситуации.</w:t>
      </w:r>
    </w:p>
    <w:p w14:paraId="6475DE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НКАП в июне 1943 г. была создана Главная инспекция по качеству, и одновременно было проведено значительное расширение штатов Управления заказов и Военной приемки, а также укомплектование последних квалифицированными специалистами.</w:t>
      </w:r>
    </w:p>
    <w:p w14:paraId="18D95D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авиазаводах был введен жесткий контроль качества фанеры, склейки крыла, приклейки фанеры к каркасу крыла, изменена технология лакокрасочных покрытий, а также проведена работа по усилению деревянного фюзеляжа до требуемых норм прочности.</w:t>
      </w:r>
    </w:p>
    <w:p w14:paraId="65F092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авиачастях действующей армии в соответствии с ремонтными бюллетенями заводов в срочном порядке был организован технический осмотр всех самолетов Ил-2 и ремонт обшивки крыльев и фюзеляжа силами техсостава полков, ПАРМ и заводскими бригадами. Для ускорения работы по вводу в строй неисправных самолетов на фронт были направлены дополнительные заводские бригады.</w:t>
      </w:r>
    </w:p>
    <w:p w14:paraId="59325E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Командующие и главные инженеры воздушных армий, ВВС фронтов и округов обязывались обеспечить жесткий контроль исполнения техническим составом инструкций и указаний о порядке обслуживания и ремонта самолетов деревянной и смешанной конструкции. Каждый случай выхода из строя самолетов вследствие загнивания древесины и фанерного покрытия или по другим не боевым причинам должен был расследоваться, а виновные привлекаться к ответственности.</w:t>
      </w:r>
    </w:p>
    <w:p w14:paraId="7C5D28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Уже к 1 июля 1943 г. процент неисправных боевых самолетов в ВВС КА удалось понизить до 11,7%. Причем из общего числа небоеспособных самолетов больше всего - 27,4%, приходилось на долю штурмовиков Ил-2.</w:t>
      </w:r>
    </w:p>
    <w:p w14:paraId="1CD869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Особо отметим, что при общем по ВВС КА сокращении процента неисправных самолетов количество не ремонтируемых из-за отсутствия запчастей боевых машин неуклонно возрастало. Если по состоянию на 10 марта 1943 г. по этой причине не ремонтировалось 37,9% неисправных самолетов, то на 1 апреля — 41,3%, на 1 мая - 44,3% и на 1 июня - 46,3%.</w:t>
      </w:r>
    </w:p>
    <w:p w14:paraId="355812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Главный инженер 16-й воздушной армии генерал-майор В.И. Ребров в одном из отчетов докладывал: «Живучесть самолетов значительно сокращается тем, что органы снабжения и заводы НКАП не обеспечивают части достаточным количеством запасных частей, из-за отсутствия которых часто приходится направлять в капитальный ремонт и даже списывать самолеты и моторы. Например, самолеты Ил-2 списываются из-за отсутствия запасных частей фюзеляжей, которые приходят в негодность быстрее остальных частей самолета. Изготовлять запчасти и отдельные детали силами реморганов обходится очень дорого, а часто вообще невозможно».</w:t>
      </w:r>
    </w:p>
    <w:p w14:paraId="0EB8BB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наиболее ходовым запасным частям относились воздушные винты, водо- и маслорадиаторы, маслопетрофлексы, ломающиеся подкосы, колеса шасси, резина, а также расходные материалы: эмалит, перкаль, казеин, растворитель, дюраль, фанера.</w:t>
      </w:r>
    </w:p>
    <w:p w14:paraId="60108E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остром дефиците продолжали оставаться моторы АМ-38ф, пригодные к использованию на боевых самолетах. Выполнение полками планов по вводу в строй Ил-2 по замене моторов стабильно не выполнялись. В ряде дивизий по этой причине в течение трех-четырех месяцев простаивали по 10-15 вполне исправных самолетов Ил-2.</w:t>
      </w:r>
    </w:p>
    <w:p w14:paraId="76427F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Инженеры штурмовых авиаполков и дивизий в своих отчетах указывали, что «большим тормозом в боевой работе» является отсутствие в системе технического снабжения, так называемых «мелочей» (крепежных деталей для силовых узлов шасси, костыльной установки подвески консолей, плоскостей и т.д.). Их приходилось изготавливать в полевых авиаремонтных мастерских ПАРМ-1, на что уходило много времени, так как в большинстве случаев требовалось обеспечить 2-й класс точности обработки деталей и специальную температурную закалку.</w:t>
      </w:r>
    </w:p>
    <w:p w14:paraId="70221A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Из-за отсутствия в достаточном количестве ремонтных групповых комплектов в частях «практиковалась разделка списанных и ремонтных самолетов на запчасти силами технического состава авиаполков и ПАРМ-1». Предлагалось пересмотреть состав поставляемых промышленностью групповых комплектов Ил-2, поскольку некоторые комплекты были «слишком громоздкими для войны». Кроме этого, требовалось ввести групповые комплекты по отдельным видам полевого ремонта Ил-2: «Практика совершенно точно определила номенклатуру для восстановления самолета, например, при вынужденных посадках на фюзеляж и т.д.».</w:t>
      </w:r>
    </w:p>
    <w:p w14:paraId="675058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Положение осложнялось еще и тем обстоятельством, что обслуживание полков со стороны БАО в ряде случаев оставляло желать лучшего. Заявки старших инженеров полков и дивизий на запасные части и расходные материалы длительное время не удовлетворялись со ссылкой на отсутствие таковых на складах. Более того, как следует из документов, «большое количество матчасти» простаивало не только из-за отсутствия запасных частей и расходных материалов, но также из-за плохой доставки на склад БАО имеющихся в наличии на складах РАБ запчастей и материалов. Иногда на это действо уходило по 3-4 дня.</w:t>
      </w:r>
    </w:p>
    <w:p w14:paraId="10508C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Вот что писал по этому поводу в августе 1943 г. старший инженер 225-й шад инженер-майор Бурцев: «На все заявки, поданные в БАО, РАБ и в Отдел снабжения 15 ВА, пока никаких реальных результатов не имею. Моторов нет, винтов и маслорадиаторов тоже нет. Поэтому неудивительно, что процент неисправных самолетов все время растет. ...Вопросы снабжения и обеспечения запасными частями и расходными материалами по-прежнему остаются узким местом в нашей работе, заявок много, но запасных частей и расходных материалов нет. БАО до сих пор считают второстепенными вопросы снабжения запасными частями. Дело доходит до того, что 614-й Курский штурмовой авиаполк из-за отсутствия ветоши и оружейного масла в один из летных дней вынужден был прекратить полеты, так как в течение 2-х боевых дней вооружения не чистил».</w:t>
      </w:r>
    </w:p>
    <w:p w14:paraId="7D2247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докладу заместителя старшего инженера 225-й шад по авиавооружению инженер-капитана Николаева БАО №№ 267, 176, 108, 198 и 197 плохо снабжали части дивизии запчастями и протирочным материалом. По этой причине «2 раза из-за отсутствия оружейного масла в 198-м и 267-м БАО, 614-й и 825-й шап на ночь вооружение смазывали авиационным маслом, что является прямым нарушением приказа НКО и, кроме этого, с наступлением утренних заморозков может привести к 100% отказу вооружения».</w:t>
      </w:r>
    </w:p>
    <w:p w14:paraId="271AEC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Старший инженер 232-й шад инженер-полковник Герасимчук в своем отчете за май 1943 г. в отношении деятельности батальонов аэродромного обслуживания высказался более жестко: «Работники БАО занимаются больше всего обслуживанием себя, никто их не контролирует в этом деле. Если, что потребуется из деталей, пишем заявки, эти заявки проходят длительный путь и множество инстанций, и везде на них смотрят «сквозь пальцы». Недостаток запчастей по мотору и самолету, достаются полками из разбитых машин. Достать даже машину для полка, это целое событие, это, как правило, невозможно. Руководители БАО и тем более РАБ «зажирели» и правильно в полках говорят: «кто воюет, а кто отвоевывается». Как должны работать БАО Калининского фронта, нужно поучиться в батальонах Волховского фронта».</w:t>
      </w:r>
    </w:p>
    <w:p w14:paraId="4F0103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Следует учитывать, что обеспеченность запчастями воздушных армий все же была более-менее сносной. Тыловые части снабжались запчастями на порядок хуже. </w:t>
      </w:r>
      <w:r w:rsidRPr="00271E51">
        <w:rPr>
          <w:rFonts w:ascii="Times New Roman" w:hAnsi="Times New Roman"/>
          <w:color w:val="000000" w:themeColor="text1"/>
          <w:sz w:val="16"/>
          <w:szCs w:val="16"/>
        </w:rPr>
        <w:lastRenderedPageBreak/>
        <w:t>Так, из 1605 (!) неисправных самолетов ВВС КА по состоянию на 1 июня 1943 г., не ремонтируемых только лишь из-за нехватки запчастей, 1298 боевых машин находилось в тыловых военных округах, в том числе: 309 Як-1 и Як-7, 99 ЛаГГ-3, 78 Ла-5, 84 Пе-2 и 444 (!) Ил-2.</w:t>
      </w:r>
    </w:p>
    <w:p w14:paraId="74F84A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в ВВС КА имелись почти две воздушные армии среднего размера, небоеспособные из-за отсутствия запасных частей. В то же время заводы НКАП перенапрягались сверх всякой меры, форсируя выпуск боевых самолетов. Требования ВВС увеличить поставки в оборотный фонд авиамоторов, запасных частей и ремонтных групповых комплектов, что позволяло бы оперативно восстанавливать имевшуюся материальную часть, руководством НКАП игнорировались. Видимо, было проще «гнать план» по самолетам, чем заниматься трудоемким процессом налаживания выпуска «мелочей».</w:t>
      </w:r>
    </w:p>
    <w:p w14:paraId="7449A5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стоит затронуть и такой приметный вопрос как взаимозаменяемость агрегатов самолетов Ил-2, построенных разными заводами.</w:t>
      </w:r>
    </w:p>
    <w:p w14:paraId="4852B5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Теоретически все серийные Ил-2, изготовляемые по одному комплекту чертежей, исходящего от завода № 18, как головного по серийному производству штурмовика, должны быть строго одинаковы. Практически так никогда не было. Имелось десяток причин, которые в своей сумме нарушали этот принцип. Самолеты Ил-2 разных заводов отличались и притом значительно. Фактическое отсутствие «обязательного для всех машин одного класса стандарта на мелкие детали (колеса шасси, пневматики, хвостовые колеса, зарядные штуцеры, пробки горловин бензо- и маслобаков, различные краны, фильтры и т.д.)» серьезно затрудняло организацию эксплуатации и ремонта самолетов Ил-2 в частях, а также «вызывало большой процент простаивающих самолетов вследствие плохой взаимозаменяемости деталей и агрегатов ...при затруднении поставки с заводов имущества».</w:t>
      </w:r>
    </w:p>
    <w:p w14:paraId="281CBA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Командующим ВВС было даже дано указание комплектовать штурмовые авиачасти и соединения преимущественно самолетами с одного завода.</w:t>
      </w:r>
    </w:p>
    <w:p w14:paraId="7138EE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Проведенная в апреле-мае 1943 г. проверка на взаимозаменяемость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самолетов другого завода нельзя. Из числа крупных агрегатов невзаимозаменяемыми оказались: плоскости (разные стыковочные болты - конические и цилиндрические), ферма костыля, верхний и задний бензобаки, щитки крыла, основной маслобак, руль высоты, комплект элеронов, складывающийся подкос.</w:t>
      </w:r>
    </w:p>
    <w:p w14:paraId="30112C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доклада заместителя старшего военпреда ГУЗ ВВС на заводе № 1 инженер-майора Коннинского от 11 июня, перечень невзаимозаменяемых более мелких агрегатов и деталей включал еще два десятка позиций.</w:t>
      </w:r>
    </w:p>
    <w:p w14:paraId="1DEC05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Отличия самолетов производства заводов №№ 1 и 18 от штурмовиков завода № 30 были еще значительнее. Невзаимозаменяемыми оказались бронелюки капота мотора и фонари кабины стрелка из-за различной конструкции подвески их и конструкции замка. У бронекорзин маслорадиаторов не совпадали отверстия под бронешурупы. На самолеты завода № 30 нельзя было поставить плоскости заводов № 18 и № 1 в силу несовпадения стыковочных отверстий. Нельзя было заменить и подмоторные рамы, «так как рамы изготавливаются не по стандарту и требуют индивидуальной подгонки на заводе».</w:t>
      </w:r>
    </w:p>
    <w:p w14:paraId="02A837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Многочисленные детали винтомоторной группы - штуцеры, угольники, накидные гайки, ниппели, «различны по конструкции и размерам, как у разных заводов, так и различных серий самолетов».</w:t>
      </w:r>
    </w:p>
    <w:p w14:paraId="0A6EF7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Поступающие в части в качестве запчастей пирамиды подвески амортизационных стоек не имели просверленных по стандарту отверстий для болтов крепления. Их подгонка по месту в частях «требовала больших трудовых затрат».</w:t>
      </w:r>
    </w:p>
    <w:p w14:paraId="5E0A3E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Руль высоты изготавливался на заводах «комплектно с индивидуальной подгонкой двух половин». Поэтому при замене одной половинки руля высоты приходилось менять весь комплект или «переклепывать фланец-звездочку со старой половины руля на новую».</w:t>
      </w:r>
    </w:p>
    <w:p w14:paraId="4A14F2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целью повышения контроля качества выпускаемых боевых самолетов НИИ ВВС, помимо периодических контрольных испытаний, ввело дополнительные летные испытания группы из трех самолетов Ил-2 на износ. Идея этих испытаний состояла в том, чтобы в кратчайшие сроки выработать на этих самолетах ресурсы, установленные для всех агрегатов, затем превысить их и определить «слабые» места штурмовика.</w:t>
      </w:r>
    </w:p>
    <w:p w14:paraId="2094BA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Непосредственно на заводах, наряду с повседневными сдаточными испытаниями серийных Ил-2, стали проводиться, так называемые, контрольные партионные испытания. Проводились они комиссией под председательством старшего военного представителя ГУЗ ВВС на заводе. Для этих испытаний по назначению военпреда от зачетной партии наугад выбирался один из серийных самолетов, выделялся летчик-испытатель и назначался срок испытаний. По результатам этой работы составлялся подробный отчет, который после утверждения становился официальным аттестатом качества самолетов, выпускавшихся заводом за определенный период.</w:t>
      </w:r>
    </w:p>
    <w:p w14:paraId="04BFB1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Благодаря принятым мерам качество выпускаемых самолетов Ил-2 постепенно улучшалось, но до конца войны этот вопрос решить так и не удалось.</w:t>
      </w:r>
    </w:p>
    <w:p w14:paraId="48F8ED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следует из материалов НИИ ВВС, несмотря на большое количество проведенных статиспытаний агрегатов серийных самолетов Ил-2 и доработок, их прочность осталась на прежнем уровне. Слабым местом оставались стыковочные узлы отъемной части крыла. Это подтверждалось и эксплуатацией самолетов в строевых частях. Однако никаких работ в этом направлении на заводах не проводилось. Серьезным недостатком являлось то обстоятельство, что все статиспытания проводились на заводах при полетных весах, которые на 2-3% ниже фактических весов серийных самолетов.</w:t>
      </w:r>
    </w:p>
    <w:p w14:paraId="10BA8D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Качество производственного исполнения серийных самолетов по спецоборудованию в течение 1943 г. не только не улучшилось, но даже значительно ухудшилось. Количество дефектов, отмеченных в актах НИИ ВВС по испытаниям, возросло почти в 4-5 раз. В частности, завод № 1 в течение 1943 г. не провел в жизнь ни одного изменения, предложенного НИИ ВВС по улучшению работы радио и спецоборудования.</w:t>
      </w:r>
    </w:p>
    <w:p w14:paraId="5FC9B1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постоянно стремились занизить вес пустого самолета, объясняя имеющиеся колебания весов серийных самолетов «только за счет допусков на вес мотора (± 17,6 кг) и брони (± 25 кг)». В действительности же вес пустого самолета неуклонно возрастал за счет веса конструкции крыла (на 43 кг), центроплана - 22 кг, складывающихся подкосов — 8 кг, маслобака и т.д. Как удалось установить специалистам НИИ ВВС, вес пустого Ил-2 должен был увеличиться на 75 кг.</w:t>
      </w:r>
    </w:p>
    <w:p w14:paraId="57B438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отдельных разделов отчетов по испытаниям серийных Ил-2 на заводах показывает, что выводы по ним сделаны необъективно. Так, максимальные скорости самолетов у земли и на границе высотности фактически оставались на прежнем уровне, но заводы докладывали об их увеличении. Заводы завышали максимальные скорости примерно на 10-12 км против реальных скоростей. В ряде случаев это подтверждалось дополнительными контрольными испытаниями серийных Ил-2 в НИИ ВВС.</w:t>
      </w:r>
    </w:p>
    <w:p w14:paraId="37F544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Военные отмечали, что конструктивные изменения, проводимые заводами, несомненно, облагородили самолет, однако качество внешней отделки Ил-2, особенно крыла и производственное исполнение самолета в целом продолжали оставаться «недостаточно хорошими». Как следствие, «нет прироста скорости».</w:t>
      </w:r>
    </w:p>
    <w:p w14:paraId="575C7A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1943-45 гг. делались неоднократные попытки улучшить летные и эксплуатационные качества Ил-2.</w:t>
      </w:r>
    </w:p>
    <w:p w14:paraId="11DD3C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к 20 августа 1943 г. на заводе № 18 был построен 31 самолет Ил-2 (начиная с самолета зав. № 1870166) с фибровыми бензобаками. Эта работа выполнялась на основании распоряжения начальника УЗСиМ ВВС КА генерал-майора П.А. Алексеева. Завод должен был построить 100 самолетов Ил-2 с фибровыми бензобаками и 150 самолетов со смешанным комплектом бензобаков: задний и нижний - фибровые, а передний - металлический. Эти самолеты предполагалось направить в части 1-й заб для формирования маршевых авиаполков, где они должны были пройти войсковые испытания.</w:t>
      </w:r>
    </w:p>
    <w:p w14:paraId="6F57F8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Фибровые бензобаки целиком изготавливались из фибры, за исключением их арматуры. При этом протектор фибровых баков отличался от протектора металлических баков толщиной и общей конструкцией. Протектор имел толщину 12 мм и состоял из трех слоев. Первый слой толщиной 4 мм выполнялся из кожзаменителя, прилегающего к фибре (но к ней не приклеивался). К кожзаменителю приклеивался второй слой из мелкопористой активной бензонабухающей губки «Аназот». Третий слой представлял собой резиновый чехол, состоящий из двух частей, изготавливаемых отдельно: нижней -мешка, и верхней - крышки. Мешок натягивался на бак и скреплялся с крышкой петлями.</w:t>
      </w:r>
    </w:p>
    <w:p w14:paraId="1CEEE4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Емкость системы фибровых бензобаков была равна емкости системы с металлическими баками или на 10 - 14 л больше.</w:t>
      </w:r>
    </w:p>
    <w:p w14:paraId="13B720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Фибровые бензобаки имели повышенную виброустойчивость, исключающую появление трещин, которые являлись массовым дефектом сварных металлических бензобаков. При этом на каждом самолете экономилось 55-56 кг дорогостоящего дефицитного цветного металла. Но самое главное, фибра не давала «вторичного» эффекта при попадании в бак пуль — на выходном отверстии пули, пробившей фибровый бак, отсутствовали характерные для металлических баков рваные и развороченные края пробоины, не позволяющие протектору затянуться. На испытаниях новые баки не давали течи даже с 17 пробоинами от пуль нормального калибра.</w:t>
      </w:r>
    </w:p>
    <w:p w14:paraId="736794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сожалению, без недостатков не обошлось. Оказалось, что отремонтировать фибровые бензобаки в полевых условиях практически невозможно. Технология их ремонта, разработанная на 18-м заводе на основании инструкции ВИАМ, была трудоемкой, хотя и несложной, имела ограничения по температуре окружающего воздуха (не ниже 12°С, но не более 30-40°С), что предполагало наличие закрытого помещения (в зимнее время отапливаемого) и отнимала у технического состава много времени. В то же время заменить вышедший из строя бензобак было просто нечем, так как поставка их заводами НКАП была крайне неудовлетворительной. В результате из-за отсутствия бензобаков самолеты простаивали в ремонте длительное время. Кроме того, фибровые бензобаки текли «через болты крепления горловин и болты крепления бензодатчиков». По этим причинам в частях действующей армии фибровые бензобаки ремонтных Ил-2 заменяли обычными металлическими.</w:t>
      </w:r>
    </w:p>
    <w:p w14:paraId="67AAEC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 с 12 сентября по 18 ноября 1943 г. в ЦАГИ по заданию наркомавиапрома проводились специальные летные испытания самолета Ил-2 АМ-38Ф на вибрацию. Инициатором этих исследований был винтовой завод № 35.</w:t>
      </w:r>
    </w:p>
    <w:p w14:paraId="2337A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Здесь следует сказать, что военпреды на заводе № 30 в июле-августе отбраковали по этой причине довольно много самолетов. Ни самолетостроители, ни моторный завод, ни винтовой своей вины не признавали. Это и послужило поводом для проведения детальных исследований причин возникновения сильных вибраций на самолетах Ил-2 и разработки мероприятий для их устранения.</w:t>
      </w:r>
    </w:p>
    <w:p w14:paraId="29884B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Руководил работами начальник 2-го отдела лаборатории № 3 института профессор М.В. Келдыш. В состав группы входили: начальник группы вибраций С.П. Стрелков, Н.Н. Чернышев и А.И. Панкратов.</w:t>
      </w:r>
    </w:p>
    <w:p w14:paraId="6CBCAE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проводились на самолете Ил-2 № 302786 с мотором АМ-38Ф № 4591698 и винтом АВ-5л-158 № 063675. Этот самолет вследствие интенсивных вибраций от винтомоторной группы военной приемкой завода № 30 был признан не подлежащим сдаче.</w:t>
      </w:r>
    </w:p>
    <w:p w14:paraId="1D8C7C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Оказалось, что имевшие место на всех режимах полета самолета сильные вибрации имеют частоту, совпадающую с частотой оборотов винта. При этом периодические вибрации с частотой оборотов винта, вызываемые винтомоторной группой, усиливались в интервале 1850-1950 об/мин коленчатого вала мотора. Эти вибрации носили резонансный характер, наиболее резко выраженный в диапазоне частот, в котором лежат три собственные частоты моторной установки.</w:t>
      </w:r>
    </w:p>
    <w:p w14:paraId="318A26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Рабочая группа ЛИИ сделала вывод, что одним из основных источников возникновения вибрации винтомоторной группы, передающиеся затем на весь самолет, является винт. Однако даже «если статическая балансировка винта будет выдержана, то все-таки могут появиться резонансные вибрации (значительно меньших амплитуд), возбуждаемые винтом на режимах работы мотора порядка 1800-2000 об/мин».</w:t>
      </w:r>
    </w:p>
    <w:p w14:paraId="1BED95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Проверка статической балансировки винта № 063675 показала, что он имеет разбалансировку почти в 6 раз превышающую норму. После балансировки винта интенсивность вибрации значительно уменьшилась, но полностью не исчезла. Дополнительные полеты этого самолета с другим винтом № 0237443, имеющим нормальную балансировку, подтвердили полученные результаты.</w:t>
      </w:r>
    </w:p>
    <w:p w14:paraId="048184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Выборочная проверка балансировки еще двух винтов АВ-5л-158 зав. №№ 083648 и 083682, взятых наугад из сборочного цеха завода № 30, выявила у них значительную разбалансировку (в 4 - 5 раз выше нормы). То есть, наличие значительного количества случаев вибраций на серийных самолетах завода № 30 вызвано недостаточным входным контролем балансировки винтов.</w:t>
      </w:r>
    </w:p>
    <w:p w14:paraId="77D218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Одновременно для устранения резонансных колебаний при сбалансированном винте и уменьшения вибраций всего самолета группа ЛИИ НКАП разработала простейшую схему амортизации, обеспечивавшую «ослабление передачи периодических сил винта и мотора на планер самолета и понижение собственных частот моторной установки».</w:t>
      </w:r>
    </w:p>
    <w:p w14:paraId="5206A6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Предложенная схема амортизации состояла из резиновых прокладок, установленных между лапой мотора и моторной рамой, резиновых шайб, которые кладутся под затяжную гайку болта крепления мотора и резиновых втулок, надеваемых на болты крепления мотора. Резиновые прокладки являлись основными упругими элементами амортизации. Резина работала на сжатие при вертикальных и на сдвиг при поперечных перемещениях мотора. При этом диаметр отверстий под болты крепления мотора увеличивались на 2 мм, вследствие чего они получили возможность перемещаться в поперечном направлении.</w:t>
      </w:r>
    </w:p>
    <w:p w14:paraId="6429E0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Амплитуда колебаний мотора значительно уменьшилась, а верхняя граница зоны резонансных колебаний мотора понизилась до 1700 об/мин. Особенно сильное влияние мотора сказалось на вибрации капота мотора, на котором совершенно исчезли вибрации, возбуждаемые винтом, несмотря на то, что они имели место на моторе.</w:t>
      </w:r>
    </w:p>
    <w:p w14:paraId="359F4B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заключение отчета заводам рекомендовалось усилить контроль статической балансировки винтов и установить мотор на резиновые амортизаторы (11921).</w:t>
      </w:r>
    </w:p>
    <w:p w14:paraId="3B276C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891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активно совершенствовалась мотоустановка. Планировавшийся в свое время для ДБ-3Ф двигатель М-89 в серию не запускали, но кое-что от него использовали для того, чтобы модифицировать М-88Б в М-88Ф мощностью 1250 л.с. Новый мотор добавил самолету скорость (до 15 км/ч) и практический потолок (примерно на 1000 м). Но М-88Ф выпустили в очень небольшом количестве. Примерно в это же время (на заводе №39 - с октября) стали ставить воздушные фильтры на всасывающих патрубках. Поскольку они создавали дополнительное сопротивление на входе, их использовали только при взлете.</w:t>
      </w:r>
    </w:p>
    <w:p w14:paraId="30B3F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трудоёмкость изготовления одного Ил-4 довели до 12,5 тысяч человеко-часов - меньше, чем у фронтового Пе-2. Собирали до 40 машин в месяц. Выпуск Ил-4 в 1943 г. значительно вырос по сравнению с 42-м. Изготовили 1568 самолетов. Интересно, что лидерство по количеству построенных бомбардировщиков перешло к заводу №39 - 698 машин, 126-й собрал 613. АДД приняла примерно две трети суммарного выпуска - 1198 Ил-4. Это дало возможность сформировать восемь новых полков. Почти все оставшиеся получила морская авиация. В 1943 г. закончился цикл внедрения таких важных нововведений, как крыло “со стрелкой”, усиленное шасси, пламегасители. Кроме этого, старое освещение кабин заменили современным ультрафиолетовым (УФО). Лампы УФО, дававшие невидимый человеку свет и тем самым не ухудшающие обзор в темноте и не демаскирующие самолет, возбуждали свечение специальных разноцветных составов, нанесенных на шкалы приборов, ручки и тумблеры управления. Часть самолетов комплектовалась аппаратурой слепой посадки “Ночь-1”, а с середины 1943 г. на каждой второй машине Ил-4 монтировали автомат курса АПГ-1 - нечто вроде примитивного автопилота. Заменили переговорное устройство, кислородные приборы, радиостанцию. В то же время приход на заводы в 1942-1943 гг. большого количества неквалифицированной рабочей силы и спешка с выполнением напряженных планов приводили к значительному проценту брака. Командование АДД констатировало: “Большая часть самолетов Ил-4 нередко приходит с дефектами... с завода вследствие недостаточно строгой приемки самолетов”. Бывали даже случаи, когда из полков требовали изъять отдельные бомбардировщики, от которых отказывались экипажи. Встречались несоблюдение профиля крыла, закрутка его сечений относительно друг друга, вмятины и хлопуны. Окантовка фонарей отставала от плексигласа, люки имели щели, между сдвижной частью фонаря пилота и гаргротом зазор доходил до 40 мм. Допуски на стыковку отдельных частей превышались на 100-120%. Самолеты красили кое-как, без грунтовки, с потеками и осевшей пылью. Фанерные гаргроты полагалось шпаклевать, но делали это плохо, шпаклевка трескалась. Щели у рулей были не постоянны по радиусу. Все это служило причиной не только уменьшения скорости полета, но часто вело к ухудшению посадочных качеств и вызывало тенденцию к сваливанию на крыло. Командование АДД отреагировало на повторяющиеся дефекты повышением требований к военной приемке (7666).</w:t>
      </w:r>
    </w:p>
    <w:p w14:paraId="03A5CD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9D5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активно пытались усовершенствовать мотоустановку Ил-4. Планировавшийся в свое время для ДБ-ЗФ двигатель М-89 в серии выпускали недолго, а надежность его оставляло много лучшего. Использовав некоторые узлы этого мотора, модифицировали М-88Б в М-88Ф мощностью 1250 л.с. Он добавил самолету скорость (до 15 км/ч) и практический потолок (примерно на 1000 м). Но и М-88Ф был выпущен в очень небольшом количестве. Основным по-прежнему оставался М-88 Б. Ему искали альтернативы - различные отечественные и импортные двигатели. Делались проработки по установке рядного V- образного М-Ю5, опытных 18-цилиндровых М-90 и М-71, дизеля М-30Б (АЧ-ЗОБ). Уже в ходе войны оценивали возможность установки американских моторов R-2600, R-1820 и R-1830 (12021).</w:t>
      </w:r>
    </w:p>
    <w:p w14:paraId="1638E5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739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Омске на 166 заводе сделали всего один Ту-2, а в 1942 - 79. До конца 1943 на 23 заводе в Москве сделали еще 16 с АШ-82ФН, называемых Ту-2С (3889,40).</w:t>
      </w:r>
    </w:p>
    <w:p w14:paraId="532A81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AA4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завод № 23 сдал заказчику первые 16 Ту-2С. Видимо, их и стал осваивать личный состав 132-го и 12-го полков, вошедшего впоследствии в состав 334-й бад полковника И.П. Скока 13-й ВА. К июлю 1944 года в дивизии числилось 83 бомбардировщика, которые приняли участие в наступлении войск 1-го Прибалтийского фронта (12035).</w:t>
      </w:r>
    </w:p>
    <w:p w14:paraId="40066D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74B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ОКБ Туполева разработали варианты установки на серийном Ту-2 дополнительного пушечного вооружения (двух орудий Нудельмана-Суранова НС-45 калибра 45 мм) и РЛС. Но для начала оборудовали один Ту-2С РЛС ПНБ-4 (прибор ночного боя), созданной под руководством В. Моргунова и П. Куксенко в Спецотделе НКВД- СССР, и двумя пушками ВЯ калибра 23 мм.</w:t>
      </w:r>
    </w:p>
    <w:p w14:paraId="343202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ходе испытаний ПНБ-4 продемонстрировал возможность обнаружения воздушных целей в диапазоне от 150 до 5000 метров. Затем оборудовали второй Ту-2С, но с РЛС "Гнейс-5" конструкции НИИ-20 и двумя орудиями НС-45.</w:t>
      </w:r>
    </w:p>
    <w:p w14:paraId="7DA8F7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обоих машинах передающие антенны РЛС располагались в носовой части фюзеляжа, а приемные - на консолях крыла.</w:t>
      </w:r>
    </w:p>
    <w:p w14:paraId="562808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Станция "Гнейс-5" была мощнее и позволяла обнаруживать воздушные цели на удалении до 8 км. Эта РЛС во второй половине 1945 года выдержала государственные испытания и, по отзывам специалистов 3-го управления НИИ ВВС, не уступала английской AI.Mk IX, а по ряду параметров даже превосходила ее.</w:t>
      </w:r>
    </w:p>
    <w:p w14:paraId="58D362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Доработанные машины в варианте Ту-2П стали, по сути, летающими лабораториями для отработки РЛС, в то время как бортовыми радарами стали оснащать ленд-лизо- вские A-20G "Бостон", которые, как известно, непродолжительное время состояли на вооружении авиации ПВО (12035).</w:t>
      </w:r>
    </w:p>
    <w:p w14:paraId="407FD4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E35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Весь 1943 и 1944 годы завод №22 достаточно ритмично, по 1-2 машины в месяц, выпускал и сдавал заказчику Пе-8 с двигателями М-82 (АШ-82). Всего за 1943 год завод выпустил 18 машин с М-82, а до конца 1944 года -14 машин с М-82 и четыре с дизелями АЧ-30Б (в варианте Пе-8ОН, из которых докончили и передали на испытания только две машины).</w:t>
      </w:r>
    </w:p>
    <w:p w14:paraId="533014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войсках Пе-8 4М-82 были довольно быстро и легко освоены, и со стороны летного и технического состава особых замечаний ни к ОКБ, ни к заводу не было. С летным и техническим персоналом, с командованием 45-й дивизии у ОКБ и завода установились очень хорошие деловые отношения. Представители ОКБ поддерживали тесную связь с дивизией, постоянно знакомились с результатами боевых действий летных экипажей и самолетов Пе-8. Постоянно получали информацию от инженерного состава дивизии, который в процессе боевой эксплуатации выявлял отдельные неудачные места конструкции машины. Ведущие конструкторы ОКБ внимательнейшим образом прислушивались к их замечаниям и в большинстве случаев эти замечания принимались, по ним проводились необходимые работы по совершенствованию конструкции и боевой эффективности Пе-8. Постепенно все эти замечания по Пе-8 подтолкнули ОКБ заняться серьезной </w:t>
      </w:r>
      <w:r w:rsidRPr="00271E51">
        <w:rPr>
          <w:rFonts w:ascii="Times New Roman" w:hAnsi="Times New Roman"/>
          <w:color w:val="000000" w:themeColor="text1"/>
          <w:sz w:val="16"/>
          <w:szCs w:val="16"/>
        </w:rPr>
        <w:lastRenderedPageBreak/>
        <w:t>работой по глубокой модернизации базовой конструкции самолета (7685).</w:t>
      </w:r>
    </w:p>
    <w:p w14:paraId="769752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1F4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Пе-2 за боевой вылет в среднем расходо</w:t>
      </w:r>
      <w:r w:rsidRPr="00271E51">
        <w:rPr>
          <w:rFonts w:ascii="Times New Roman" w:hAnsi="Times New Roman"/>
          <w:color w:val="000000" w:themeColor="text1"/>
          <w:sz w:val="16"/>
          <w:szCs w:val="16"/>
        </w:rPr>
        <w:softHyphen/>
        <w:t>вали 52 патрона ШКАС и 42 патрона УБ (с учётом затраченных на отстрел оружия перед каждым вылетом). По понятным при</w:t>
      </w:r>
      <w:r w:rsidRPr="00271E51">
        <w:rPr>
          <w:rFonts w:ascii="Times New Roman" w:hAnsi="Times New Roman"/>
          <w:color w:val="000000" w:themeColor="text1"/>
          <w:sz w:val="16"/>
          <w:szCs w:val="16"/>
        </w:rPr>
        <w:softHyphen/>
        <w:t>чинам, не могли учесть реального расхода боеприпасов на сбитых самолётах (11392).</w:t>
      </w:r>
    </w:p>
    <w:p w14:paraId="4B5E97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DB24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НИПАВ ВВС КА решили дать «научную оценку» само</w:t>
      </w:r>
      <w:r w:rsidRPr="00271E51">
        <w:rPr>
          <w:rFonts w:ascii="Times New Roman" w:hAnsi="Times New Roman"/>
          <w:color w:val="000000" w:themeColor="text1"/>
          <w:sz w:val="16"/>
          <w:szCs w:val="16"/>
        </w:rPr>
        <w:softHyphen/>
        <w:t>дельным ракетным установкам на бомбардировщиках Пе-2. Правда, на этот раз инициатива установить две пусковые в хвостовой части фю</w:t>
      </w:r>
      <w:r w:rsidRPr="00271E51">
        <w:rPr>
          <w:rFonts w:ascii="Times New Roman" w:hAnsi="Times New Roman"/>
          <w:color w:val="000000" w:themeColor="text1"/>
          <w:sz w:val="16"/>
          <w:szCs w:val="16"/>
        </w:rPr>
        <w:softHyphen/>
        <w:t>зеляжа, но строго параллельно строительной оси машин принадлежала командиру 1-й эскадрильи 205-го бап майору Глухову. Именно таким об</w:t>
      </w:r>
      <w:r w:rsidRPr="00271E51">
        <w:rPr>
          <w:rFonts w:ascii="Times New Roman" w:hAnsi="Times New Roman"/>
          <w:color w:val="000000" w:themeColor="text1"/>
          <w:sz w:val="16"/>
          <w:szCs w:val="16"/>
        </w:rPr>
        <w:softHyphen/>
        <w:t>разом он предлагал упорядочить стрельбу РС-82 назад на поражение, а не «на испуг». При этом наводить РО на цель предполагалось грубо -всем корпусом машины, поскольку неконтактные взрыватели снарядов не требовали прямого попадания. По-видимому, маневрировать пилот должен был по командам штурмана, использующего прицел пулемета УБТ, установленного в нейтральное положение.</w:t>
      </w:r>
    </w:p>
    <w:p w14:paraId="200A38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Испытывал данный вариант вооружения капитан В.Сорокин. По ре</w:t>
      </w:r>
      <w:r w:rsidRPr="00271E51">
        <w:rPr>
          <w:rFonts w:ascii="Times New Roman" w:hAnsi="Times New Roman"/>
          <w:color w:val="000000" w:themeColor="text1"/>
          <w:sz w:val="16"/>
          <w:szCs w:val="16"/>
        </w:rPr>
        <w:softHyphen/>
        <w:t>зультатам пусков он сделал вывод о невысокой эффективности стрельбы из такой установки, объяснив это двумя причинами. Во-первых, он свя</w:t>
      </w:r>
      <w:r w:rsidRPr="00271E51">
        <w:rPr>
          <w:rFonts w:ascii="Times New Roman" w:hAnsi="Times New Roman"/>
          <w:color w:val="000000" w:themeColor="text1"/>
          <w:sz w:val="16"/>
          <w:szCs w:val="16"/>
        </w:rPr>
        <w:softHyphen/>
        <w:t>зал большое рассеивание снарядов с тем, что на траектории они прохо</w:t>
      </w:r>
      <w:r w:rsidRPr="00271E51">
        <w:rPr>
          <w:rFonts w:ascii="Times New Roman" w:hAnsi="Times New Roman"/>
          <w:color w:val="000000" w:themeColor="text1"/>
          <w:sz w:val="16"/>
          <w:szCs w:val="16"/>
        </w:rPr>
        <w:softHyphen/>
        <w:t>дят точку с «нулевой скоростью» относительно земли. Следует отметить, что впоследствии этот тезис еще неоднократно будет сопровождать дис</w:t>
      </w:r>
      <w:r w:rsidRPr="00271E51">
        <w:rPr>
          <w:rFonts w:ascii="Times New Roman" w:hAnsi="Times New Roman"/>
          <w:color w:val="000000" w:themeColor="text1"/>
          <w:sz w:val="16"/>
          <w:szCs w:val="16"/>
        </w:rPr>
        <w:softHyphen/>
        <w:t>куссии сторонников и противников стрельбы назад ракетами с самоле</w:t>
      </w:r>
      <w:r w:rsidRPr="00271E51">
        <w:rPr>
          <w:rFonts w:ascii="Times New Roman" w:hAnsi="Times New Roman"/>
          <w:color w:val="000000" w:themeColor="text1"/>
          <w:sz w:val="16"/>
          <w:szCs w:val="16"/>
        </w:rPr>
        <w:softHyphen/>
        <w:t>тов. Более того, теоретики даже попытаются подвести научное обоснова</w:t>
      </w:r>
      <w:r w:rsidRPr="00271E51">
        <w:rPr>
          <w:rFonts w:ascii="Times New Roman" w:hAnsi="Times New Roman"/>
          <w:color w:val="000000" w:themeColor="text1"/>
          <w:sz w:val="16"/>
          <w:szCs w:val="16"/>
        </w:rPr>
        <w:softHyphen/>
        <w:t>ние с математическими выкладками под свое заблуждение. Тем време</w:t>
      </w:r>
      <w:r w:rsidRPr="00271E51">
        <w:rPr>
          <w:rFonts w:ascii="Times New Roman" w:hAnsi="Times New Roman"/>
          <w:color w:val="000000" w:themeColor="text1"/>
          <w:sz w:val="16"/>
          <w:szCs w:val="16"/>
        </w:rPr>
        <w:softHyphen/>
        <w:t>нем, практика всякий раз наглядно опровергала их точку зрения.</w:t>
      </w:r>
    </w:p>
    <w:p w14:paraId="4326D9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Вторым из судьбоносных недостатков установки была отмечена «большая временная задержка взрыва РС-82». Дело в том, что минималь</w:t>
      </w:r>
      <w:r w:rsidRPr="00271E51">
        <w:rPr>
          <w:rFonts w:ascii="Times New Roman" w:hAnsi="Times New Roman"/>
          <w:color w:val="000000" w:themeColor="text1"/>
          <w:sz w:val="16"/>
          <w:szCs w:val="16"/>
        </w:rPr>
        <w:softHyphen/>
        <w:t>ное время срабатывания дистанционной трубки АГДТ-А-РС-82 составляло 2,0 с, то есть, подрыв БЧ снаряда невозможно было организовать на расстоянии ближе 450 м. А истребители противника зачастую начинали атаковать значительно ближе, сопоставляя дистанцию с дальностью дей</w:t>
      </w:r>
      <w:r w:rsidRPr="00271E51">
        <w:rPr>
          <w:rFonts w:ascii="Times New Roman" w:hAnsi="Times New Roman"/>
          <w:color w:val="000000" w:themeColor="text1"/>
          <w:sz w:val="16"/>
          <w:szCs w:val="16"/>
        </w:rPr>
        <w:softHyphen/>
        <w:t>ствительного огня своих пулеметов. В итоге испытанное устройство по</w:t>
      </w:r>
      <w:r w:rsidRPr="00271E51">
        <w:rPr>
          <w:rFonts w:ascii="Times New Roman" w:hAnsi="Times New Roman"/>
          <w:color w:val="000000" w:themeColor="text1"/>
          <w:sz w:val="16"/>
          <w:szCs w:val="16"/>
        </w:rPr>
        <w:softHyphen/>
        <w:t>лучило отрицательный отзыв специалистов полигона, поскольку «...на такой дальности прицельная стрельба оказывается невозможной...».</w:t>
      </w:r>
    </w:p>
    <w:p w14:paraId="44674A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Некорректно сформулированный вывод испытателей лишь подтвер</w:t>
      </w:r>
      <w:r w:rsidRPr="00271E51">
        <w:rPr>
          <w:rFonts w:ascii="Times New Roman" w:hAnsi="Times New Roman"/>
          <w:color w:val="000000" w:themeColor="text1"/>
          <w:sz w:val="16"/>
          <w:szCs w:val="16"/>
        </w:rPr>
        <w:softHyphen/>
        <w:t>ждает, что с началом войны контингент специалистов на НИПАВ суще</w:t>
      </w:r>
      <w:r w:rsidRPr="00271E51">
        <w:rPr>
          <w:rFonts w:ascii="Times New Roman" w:hAnsi="Times New Roman"/>
          <w:color w:val="000000" w:themeColor="text1"/>
          <w:sz w:val="16"/>
          <w:szCs w:val="16"/>
        </w:rPr>
        <w:softHyphen/>
        <w:t>ственно обновился. Те «корифеи» сотен ракетных пусков, что отстрели</w:t>
      </w:r>
      <w:r w:rsidRPr="00271E51">
        <w:rPr>
          <w:rFonts w:ascii="Times New Roman" w:hAnsi="Times New Roman"/>
          <w:color w:val="000000" w:themeColor="text1"/>
          <w:sz w:val="16"/>
          <w:szCs w:val="16"/>
        </w:rPr>
        <w:softHyphen/>
        <w:t>вали большие опытные партии РС в 1935-40 гг., ушли на фронт, а новое поколение еще не успело приобрести требуемый уровень квалификации. Таким образом, в случае с данной системой РОСа на Пе-2 основные при</w:t>
      </w:r>
      <w:r w:rsidRPr="00271E51">
        <w:rPr>
          <w:rFonts w:ascii="Times New Roman" w:hAnsi="Times New Roman"/>
          <w:color w:val="000000" w:themeColor="text1"/>
          <w:sz w:val="16"/>
          <w:szCs w:val="16"/>
        </w:rPr>
        <w:softHyphen/>
        <w:t>чины отказа в ее принятии на вооружение выглядят весьма неубедитель</w:t>
      </w:r>
      <w:r w:rsidRPr="00271E51">
        <w:rPr>
          <w:rFonts w:ascii="Times New Roman" w:hAnsi="Times New Roman"/>
          <w:color w:val="000000" w:themeColor="text1"/>
          <w:sz w:val="16"/>
          <w:szCs w:val="16"/>
        </w:rPr>
        <w:softHyphen/>
        <w:t>но, поскольку прицельная стрельба на такой дальности хоть и сопряже</w:t>
      </w:r>
      <w:r w:rsidRPr="00271E51">
        <w:rPr>
          <w:rFonts w:ascii="Times New Roman" w:hAnsi="Times New Roman"/>
          <w:color w:val="000000" w:themeColor="text1"/>
          <w:sz w:val="16"/>
          <w:szCs w:val="16"/>
        </w:rPr>
        <w:softHyphen/>
        <w:t>на со сложностями, но она возможна и необходима, что неоднократно демонстрировали даже самими испытатели. Другое дело - насколько она эффективна. И вот снова теория вступила в противоречие с практикой.</w:t>
      </w:r>
    </w:p>
    <w:p w14:paraId="49A89DD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капитан Сорокин рассчитывал поражать цели прямой наводкой после каждого своего выстрела, то это - верх самонадеянности или тех</w:t>
      </w:r>
      <w:r w:rsidRPr="00271E51">
        <w:rPr>
          <w:rFonts w:ascii="Times New Roman" w:hAnsi="Times New Roman"/>
          <w:color w:val="000000" w:themeColor="text1"/>
          <w:sz w:val="16"/>
          <w:szCs w:val="16"/>
        </w:rPr>
        <w:softHyphen/>
        <w:t>нической неграмотности, поскольку подобная система могла лишь уве</w:t>
      </w:r>
      <w:r w:rsidRPr="00271E51">
        <w:rPr>
          <w:rFonts w:ascii="Times New Roman" w:hAnsi="Times New Roman"/>
          <w:color w:val="000000" w:themeColor="text1"/>
          <w:sz w:val="16"/>
          <w:szCs w:val="16"/>
        </w:rPr>
        <w:softHyphen/>
        <w:t>личить вероятность нанесения ущерба истребителям противника и, воз</w:t>
      </w:r>
      <w:r w:rsidRPr="00271E51">
        <w:rPr>
          <w:rFonts w:ascii="Times New Roman" w:hAnsi="Times New Roman"/>
          <w:color w:val="000000" w:themeColor="text1"/>
          <w:sz w:val="16"/>
          <w:szCs w:val="16"/>
        </w:rPr>
        <w:softHyphen/>
        <w:t>можно, в некоторых случаях, приводила бы к поражению самолета. Во-вторых, недостаточность нижнего порога срабатывания дистанционных трубок АГДТ-А-РС-82 было продиктовано условиями безопасности стрельбы РС по целям в передней полусфере. И, поскольку стрельбу на</w:t>
      </w:r>
      <w:r w:rsidRPr="00271E51">
        <w:rPr>
          <w:rFonts w:ascii="Times New Roman" w:hAnsi="Times New Roman"/>
          <w:color w:val="000000" w:themeColor="text1"/>
          <w:sz w:val="16"/>
          <w:szCs w:val="16"/>
        </w:rPr>
        <w:softHyphen/>
        <w:t>зад можно считать всего лишь частной задачей, под нее в военное время заводчане вряд ли стали бы дорабатывать неконтактный взрыватель. Кроме того, даже в баллистических таблицах для штатной стрельбы РС по воздушным целям в большинстве случаев приводится нештатное (слишком малое) время установки срабатывания. Значит, штурманская служба была в курсе того, что АГДТ при необходимости можно заставить сработать ранее 2 с.</w:t>
      </w:r>
    </w:p>
    <w:p w14:paraId="64BB6C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Компенсировать недостатки, присущие жестко установленным РО-82, попытались представители промышленности. Располагая на авиазаводах значительно большими технологическими возможностями, они разрабатывали на основе ракетных пусковых подвижные оборони</w:t>
      </w:r>
      <w:r w:rsidRPr="00271E51">
        <w:rPr>
          <w:rFonts w:ascii="Times New Roman" w:hAnsi="Times New Roman"/>
          <w:color w:val="000000" w:themeColor="text1"/>
          <w:sz w:val="16"/>
          <w:szCs w:val="16"/>
        </w:rPr>
        <w:softHyphen/>
        <w:t>тельные установки. В августе 1942 г. конструкторы В.Заулошнов и А.Ви</w:t>
      </w:r>
      <w:r w:rsidRPr="00271E51">
        <w:rPr>
          <w:rFonts w:ascii="Times New Roman" w:hAnsi="Times New Roman"/>
          <w:color w:val="000000" w:themeColor="text1"/>
          <w:sz w:val="16"/>
          <w:szCs w:val="16"/>
        </w:rPr>
        <w:softHyphen/>
        <w:t>ноградов создали два образца таких устройств для самолета Пе-2. Оба они были реализованы на машине с заводским №7/87.</w:t>
      </w:r>
    </w:p>
    <w:p w14:paraId="0538F4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Ракетную управляемую батарею РУБ-2Л для люковой стрелковой ус</w:t>
      </w:r>
      <w:r w:rsidRPr="00271E51">
        <w:rPr>
          <w:rFonts w:ascii="Times New Roman" w:hAnsi="Times New Roman"/>
          <w:color w:val="000000" w:themeColor="text1"/>
          <w:sz w:val="16"/>
          <w:szCs w:val="16"/>
        </w:rPr>
        <w:softHyphen/>
        <w:t>тановки ЛУ-Пе-2 смонтировали на подвижной части нижней турели. Конструктивно она представляла собой два штатных орудия РО-82, за</w:t>
      </w:r>
      <w:r w:rsidRPr="00271E51">
        <w:rPr>
          <w:rFonts w:ascii="Times New Roman" w:hAnsi="Times New Roman"/>
          <w:color w:val="000000" w:themeColor="text1"/>
          <w:sz w:val="16"/>
          <w:szCs w:val="16"/>
        </w:rPr>
        <w:softHyphen/>
        <w:t>крепленных по обеим сторонам пулемета УБТ. Огонь из них вел залпом стрелок-радист от отдельной боевой кнопки, используя перископиче</w:t>
      </w:r>
      <w:r w:rsidRPr="00271E51">
        <w:rPr>
          <w:rFonts w:ascii="Times New Roman" w:hAnsi="Times New Roman"/>
          <w:color w:val="000000" w:themeColor="text1"/>
          <w:sz w:val="16"/>
          <w:szCs w:val="16"/>
        </w:rPr>
        <w:softHyphen/>
        <w:t>ский люковый оптический прицел ОП-2Л. И хотя, подвижность такой установки была ограниченной, эта комбинированная стрелковая систе</w:t>
      </w:r>
      <w:r w:rsidRPr="00271E51">
        <w:rPr>
          <w:rFonts w:ascii="Times New Roman" w:hAnsi="Times New Roman"/>
          <w:color w:val="000000" w:themeColor="text1"/>
          <w:sz w:val="16"/>
          <w:szCs w:val="16"/>
        </w:rPr>
        <w:softHyphen/>
        <w:t>ма позволяла еще больше сократить диапазон ракурсов успешных атак истребителей противника.</w:t>
      </w:r>
    </w:p>
    <w:p w14:paraId="751899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Еще один вариант - верхняя установка РУБ-4 - размещалась сверху на блистере от башенной пулеметной установки, используемой на даль</w:t>
      </w:r>
      <w:r w:rsidRPr="00271E51">
        <w:rPr>
          <w:rFonts w:ascii="Times New Roman" w:hAnsi="Times New Roman"/>
          <w:color w:val="000000" w:themeColor="text1"/>
          <w:sz w:val="16"/>
          <w:szCs w:val="16"/>
        </w:rPr>
        <w:softHyphen/>
        <w:t>них бомбардировщиках Ил-4 для хвостового стрелка. Для этого опору кольцевого подшипника встроили в отверстие верхнего люка стрелка-радиста. В ходе наземных испытаний на НИПАВ ВВС КА выяснилось, что при стрельбе из нее возникают очень большие моменты сил, стремя</w:t>
      </w:r>
      <w:r w:rsidRPr="00271E51">
        <w:rPr>
          <w:rFonts w:ascii="Times New Roman" w:hAnsi="Times New Roman"/>
          <w:color w:val="000000" w:themeColor="text1"/>
          <w:sz w:val="16"/>
          <w:szCs w:val="16"/>
        </w:rPr>
        <w:softHyphen/>
        <w:t>щиеся развернуть установку, в связи с чем стрелок не в состоянии вести прицельный огонь. В ходе летных испытаний было отмечено, что парус</w:t>
      </w:r>
      <w:r w:rsidRPr="00271E51">
        <w:rPr>
          <w:rFonts w:ascii="Times New Roman" w:hAnsi="Times New Roman"/>
          <w:color w:val="000000" w:themeColor="text1"/>
          <w:sz w:val="16"/>
          <w:szCs w:val="16"/>
        </w:rPr>
        <w:softHyphen/>
        <w:t>ность установки велика, и набегающий поток воздуха сильно препятствует наведению батареи даже на небольшие углы по направлению, а по</w:t>
      </w:r>
      <w:r w:rsidRPr="00271E51">
        <w:rPr>
          <w:rFonts w:ascii="Times New Roman" w:hAnsi="Times New Roman"/>
          <w:color w:val="000000" w:themeColor="text1"/>
          <w:sz w:val="16"/>
          <w:szCs w:val="16"/>
        </w:rPr>
        <w:softHyphen/>
        <w:t>сле пуска одного из снарядов всю установку неизбежно разворачивает в сторону. В итоге испытатели пришли к выводу, что ракетные управляе</w:t>
      </w:r>
      <w:r w:rsidRPr="00271E51">
        <w:rPr>
          <w:rFonts w:ascii="Times New Roman" w:hAnsi="Times New Roman"/>
          <w:color w:val="000000" w:themeColor="text1"/>
          <w:sz w:val="16"/>
          <w:szCs w:val="16"/>
        </w:rPr>
        <w:softHyphen/>
        <w:t>мые батареи абсолютно непригодны для боевого применения.</w:t>
      </w:r>
    </w:p>
    <w:p w14:paraId="4BCAD9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Между тем эти недостатки были вполне объяснимы и заранее про</w:t>
      </w:r>
      <w:r w:rsidRPr="00271E51">
        <w:rPr>
          <w:rFonts w:ascii="Times New Roman" w:hAnsi="Times New Roman"/>
          <w:color w:val="000000" w:themeColor="text1"/>
          <w:sz w:val="16"/>
          <w:szCs w:val="16"/>
        </w:rPr>
        <w:softHyphen/>
        <w:t>гнозируемы. Дело в том, что сила отдачи РС-82 превышала 1000 кг, и при одиночном пуске из-под крыла истребителя даже самолет слегка разво</w:t>
      </w:r>
      <w:r w:rsidRPr="00271E51">
        <w:rPr>
          <w:rFonts w:ascii="Times New Roman" w:hAnsi="Times New Roman"/>
          <w:color w:val="000000" w:themeColor="text1"/>
          <w:sz w:val="16"/>
          <w:szCs w:val="16"/>
        </w:rPr>
        <w:softHyphen/>
        <w:t>рачивало в противоположную сторону. Именно поэтому на крылатых машинах схема разгрузки была организована симметрично, то есть по</w:t>
      </w:r>
      <w:r w:rsidRPr="00271E51">
        <w:rPr>
          <w:rFonts w:ascii="Times New Roman" w:hAnsi="Times New Roman"/>
          <w:color w:val="000000" w:themeColor="text1"/>
          <w:sz w:val="16"/>
          <w:szCs w:val="16"/>
        </w:rPr>
        <w:softHyphen/>
        <w:t>очередно из-под каждой плоскости. Одиночная же стрельба РС в авиа</w:t>
      </w:r>
      <w:r w:rsidRPr="00271E51">
        <w:rPr>
          <w:rFonts w:ascii="Times New Roman" w:hAnsi="Times New Roman"/>
          <w:color w:val="000000" w:themeColor="text1"/>
          <w:sz w:val="16"/>
          <w:szCs w:val="16"/>
        </w:rPr>
        <w:softHyphen/>
        <w:t>ции не приветствовалась с 1939 г. В связи с этим вызывает удивление -как инженеры-оружейники пытались рекомендовать стрелкам вручную удерживать такие чудовищные силы отдачи? Между тем скомпенсиро</w:t>
      </w:r>
      <w:r w:rsidRPr="00271E51">
        <w:rPr>
          <w:rFonts w:ascii="Times New Roman" w:hAnsi="Times New Roman"/>
          <w:color w:val="000000" w:themeColor="text1"/>
          <w:sz w:val="16"/>
          <w:szCs w:val="16"/>
        </w:rPr>
        <w:softHyphen/>
        <w:t>вать их не составляло большого труда - достаточно было стрелять из РУБ-4 залпами по паре снарядов, разгружая установку симметрично.</w:t>
      </w:r>
    </w:p>
    <w:p w14:paraId="40157A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это позволило бы увеличить плотность осколочного поля вблизи цели и, как следствие, вероятность ее поражения. Правда, залпо</w:t>
      </w:r>
      <w:r w:rsidRPr="00271E51">
        <w:rPr>
          <w:rFonts w:ascii="Times New Roman" w:hAnsi="Times New Roman"/>
          <w:color w:val="000000" w:themeColor="text1"/>
          <w:sz w:val="16"/>
          <w:szCs w:val="16"/>
        </w:rPr>
        <w:softHyphen/>
        <w:t>вая стрельба из РУБ-4 потребовала бы усилить подшипник башенной ус</w:t>
      </w:r>
      <w:r w:rsidRPr="00271E51">
        <w:rPr>
          <w:rFonts w:ascii="Times New Roman" w:hAnsi="Times New Roman"/>
          <w:color w:val="000000" w:themeColor="text1"/>
          <w:sz w:val="16"/>
          <w:szCs w:val="16"/>
        </w:rPr>
        <w:softHyphen/>
        <w:t>тановки (как это сделали на некоторых Ил-4 с пушкой ШВАК для заши</w:t>
      </w:r>
      <w:r w:rsidRPr="00271E51">
        <w:rPr>
          <w:rFonts w:ascii="Times New Roman" w:hAnsi="Times New Roman"/>
          <w:color w:val="000000" w:themeColor="text1"/>
          <w:sz w:val="16"/>
          <w:szCs w:val="16"/>
        </w:rPr>
        <w:softHyphen/>
        <w:t>ты ЗПС), но это уже совсем другая тема...</w:t>
      </w:r>
    </w:p>
    <w:p w14:paraId="130F6AC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серийное производство упомянутые установки так и не поступили. Военные не смогли четко сформулировать то, чего они ожидали полу</w:t>
      </w:r>
      <w:r w:rsidRPr="00271E51">
        <w:rPr>
          <w:rFonts w:ascii="Times New Roman" w:hAnsi="Times New Roman"/>
          <w:color w:val="000000" w:themeColor="text1"/>
          <w:sz w:val="16"/>
          <w:szCs w:val="16"/>
        </w:rPr>
        <w:softHyphen/>
        <w:t>чить от использования РС в системе оборонительного вооружения бом</w:t>
      </w:r>
      <w:r w:rsidRPr="00271E51">
        <w:rPr>
          <w:rFonts w:ascii="Times New Roman" w:hAnsi="Times New Roman"/>
          <w:color w:val="000000" w:themeColor="text1"/>
          <w:sz w:val="16"/>
          <w:szCs w:val="16"/>
        </w:rPr>
        <w:softHyphen/>
        <w:t>бардировщиков (11402).</w:t>
      </w:r>
    </w:p>
    <w:p w14:paraId="518035C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BD2D5"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течение 1943 г. ОКБ получило дополнительные «посылы» для улучшения конструкции Ла-5. Так, при испытаниях Ла-5ФН в ЛИИ и НИИ ВВС, а также и при войсковых испытаниях на фронте отмечалось, что тепловой режим М-82ФН заметно ниже, благодаря испарению топлива непосредственно в цилиндрах, по сравнению с М-82Ф, а также и предельно до</w:t>
      </w:r>
      <w:r w:rsidRPr="00271E51">
        <w:rPr>
          <w:rFonts w:ascii="Times New Roman" w:hAnsi="Times New Roman"/>
          <w:color w:val="000000" w:themeColor="text1"/>
          <w:sz w:val="16"/>
          <w:szCs w:val="16"/>
        </w:rPr>
        <w:softHyphen/>
        <w:t>пустимыми температурами головок и масла. Боковые створки на Ла-5ФН лётчики в по</w:t>
      </w:r>
      <w:r w:rsidRPr="00271E51">
        <w:rPr>
          <w:rFonts w:ascii="Times New Roman" w:hAnsi="Times New Roman"/>
          <w:color w:val="000000" w:themeColor="text1"/>
          <w:sz w:val="16"/>
          <w:szCs w:val="16"/>
        </w:rPr>
        <w:softHyphen/>
        <w:t>лётах даже летом почти не открывали. Естественным выводом из этого стало решение уменьшить эти боковые створки, одновременно отодвинув их от поверхности крыла. Кри</w:t>
      </w:r>
      <w:r w:rsidRPr="00271E51">
        <w:rPr>
          <w:rFonts w:ascii="Times New Roman" w:hAnsi="Times New Roman"/>
          <w:color w:val="000000" w:themeColor="text1"/>
          <w:sz w:val="16"/>
          <w:szCs w:val="16"/>
        </w:rPr>
        <w:softHyphen/>
        <w:t>терием уменьшения стала предельно допустимая температура головок цилиндров — 250°С. Вместо сдвоенных и строенных выхлопных патрубков применили индивидуальные — на каждый цилиндр свой патрубок. Патрубки выходили по 7 с каждой стороны.</w:t>
      </w:r>
    </w:p>
    <w:p w14:paraId="7AF4106A"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наряду с улучшением аэродинамики выбрали и все остававшиеся ре</w:t>
      </w:r>
      <w:r w:rsidRPr="00271E51">
        <w:rPr>
          <w:rFonts w:ascii="Times New Roman" w:hAnsi="Times New Roman"/>
          <w:color w:val="000000" w:themeColor="text1"/>
          <w:sz w:val="16"/>
          <w:szCs w:val="16"/>
        </w:rPr>
        <w:softHyphen/>
        <w:t>зервы ВМГ: снизили расход воздуха на охлаждение мотора и уменьшили до минимума потери мощности на выхлопе. Кроме этого, установили винт ВИШ-105 с лопастями В-4, имеющими новый «махоустойчивый» профиль и повышенный КПД.</w:t>
      </w:r>
    </w:p>
    <w:p w14:paraId="0026A6F3"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Наконец, по требованию лётчиков вместо одного всасывающего патрубка сверху ка</w:t>
      </w:r>
      <w:r w:rsidRPr="00271E51">
        <w:rPr>
          <w:rFonts w:ascii="Times New Roman" w:hAnsi="Times New Roman"/>
          <w:color w:val="000000" w:themeColor="text1"/>
          <w:sz w:val="16"/>
          <w:szCs w:val="16"/>
        </w:rPr>
        <w:softHyphen/>
        <w:t>пота, мешавшего обзору, установили два всасывающих патрубка в носках центропла</w:t>
      </w:r>
      <w:r w:rsidRPr="00271E51">
        <w:rPr>
          <w:rFonts w:ascii="Times New Roman" w:hAnsi="Times New Roman"/>
          <w:color w:val="000000" w:themeColor="text1"/>
          <w:sz w:val="16"/>
          <w:szCs w:val="16"/>
        </w:rPr>
        <w:softHyphen/>
        <w:t>на, хотя это мероприятие и повышало потери давления на всасывании. В таком виде 15 февраля 1944 г. самолёт «3Б» (т.е. вооружённый тремя новыми 20-мм синхронными пушками Б-20), или «эталон 1944 года» поступил в НИИ ВВС, где показал прекрасные лётные характеристики: максимальную скорость у земли на номинале — 597 км/ч, на 2-й границе высотности 6000 м — 680 км/ч, время набора 5000 м — 4,45 мин. (15829)</w:t>
      </w:r>
    </w:p>
    <w:p w14:paraId="65DF763E"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48C80A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заводе в Горьком организовали поточное производство Ла-5 и в сутки из сборочного цеха выкатывали до 16 машин. Поточная линия позволила увеличить не только производительность труда, но и качество контроля сборки машин. Теперь контролер не бегал за самолетом, а рабочие стали более ответственно подходить к сборке машин.</w:t>
      </w:r>
    </w:p>
    <w:p w14:paraId="3D4E9B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Когда правительство поручило заводу № 99 освоить серийный выпуск Ла-5, то для оказания технической помощи в Улан-Удэ откомандировали из Горького 50 специалистов. Кроме того, на московский завод № 381 ив Улан-Удэ горь- ковские самолетостроители в 1942 году поставили россыпью 40 комплектов Ла-5.</w:t>
      </w:r>
    </w:p>
    <w:p w14:paraId="0BAFE1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Ла-5 был, безусловно, значительным достижением отечественной авиапромышленности, но он появился с опозданием. К тому времени у противника имелся Bf 109G-2 сначала "пятиточечный", а затем облегченный "трехточечный" - с пушкой и двумя пулеметами. </w:t>
      </w:r>
    </w:p>
    <w:p w14:paraId="757B20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Возросшая мощность мотора "Мессершмитта" сделала свое дело, значительно улучшилась не только горизонтальная, но и вертикальная скорость.</w:t>
      </w:r>
    </w:p>
    <w:p w14:paraId="0FAB30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Испытания Bf 109G-2 в НИИ ВВС и последующие бои под Сталинградом показали почти полное превосходство "немца", за исключением горизонтального маневра, над Jla-5, особенно на высотах до 3000 м. Как здесь не вспомнить распавшийся "триумвират". Если бы Гудкову не чинили препятствий с Гу-82 в тот последний предвоенный год, то и ЛаГГ-3 с мотором М-82, сотни экземпляров которого не востребованными лежали на складах авиамоторного завода, мог бы уже в 1942-м сказать заметное слово на фронтах Великой Отечественной войны.</w:t>
      </w:r>
    </w:p>
    <w:p w14:paraId="3570FA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Несмотря на высокие летные характеристики, Ла-5 имел немало так и не устраненных дефектов и среди них, по образному выражению военного летчика, а </w:t>
      </w:r>
      <w:r w:rsidRPr="00271E51">
        <w:rPr>
          <w:rFonts w:ascii="Times New Roman" w:hAnsi="Times New Roman"/>
          <w:color w:val="000000" w:themeColor="text1"/>
          <w:sz w:val="16"/>
          <w:szCs w:val="16"/>
        </w:rPr>
        <w:lastRenderedPageBreak/>
        <w:t>впоследствии известного писателя Анатолия Маркуши "летчиков мучила африканская жара в кабине, а подошвы сержантских кирзачей спекались и трескались после десяти полетов".</w:t>
      </w:r>
    </w:p>
    <w:p w14:paraId="4A4F1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Ла-5 дефектов было не меньше, чем у его предшественника, и о многих уже говорилось. Тем не менее, стоит привести некоторую статистическую информацию. Например, с июля по октябрь 1942 года, когда первые Ла-5 попали на фронт, выяснилось, что произошла одна лишь катастрофа. Отмечались 14 поломок шасси, в основном, хвостовой опоры и 203 простоя машин. Последние были связаны, главным образом, с трещинами в кольцевом капоте двигателя, с прогаром выхлопных патрубков, течью бензо- и маслобаков, а также люфтом руля высоты.</w:t>
      </w:r>
    </w:p>
    <w:p w14:paraId="567BFD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сравнения отмечу, что за тот же период произошло четыре катастрофы Як-7, 38 его поломок и 185 простоев боевых машин. О том, сколько Ла-5 и Як-7 в тот период находилось на фронте мне неизвестно. В то же время отмечу, что до конца 1942 года выпустили 2431 Як-7, а Ла-5 - 1131.</w:t>
      </w:r>
    </w:p>
    <w:p w14:paraId="6DC9AE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 мая 1943 года в 32-м гвардейском иап потерпел катастрофу Ла-5, который вошел в плоский перевернутый штопор. Сразу же после этого случая Ла-5 с М-82Ф испытали на штопор в ЛИИ. Как выяснилось, при грубых ошибках в пилотировании истребитель попадал в перевернутый штопор. Но, на высотах свыше 1500 м как перевернутый, так и нормальный штопор были безопасны, а по итогам исследований для летчиков составили инструкцию ПО пилотированию Ла-5 в перевернутом штопоре (12032).</w:t>
      </w:r>
    </w:p>
    <w:p w14:paraId="6D2964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C02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контрольные испытания предъявили серийную машину № 37212282 с убирающимся хвостовым колесом. Летчику-испытателю Г.А. Мищенко (ведущие инженеры А.Д. Миронов от ЛИИ и Н.П. Васильев от завода №21) хватило восьми полетов, чтобы сделать вывод о полном соответствии летных данных постановлению ГКО от 9 декабря 1942 г. Хотя, на истребителе по-прежнему оставались незакрытыми купола шасси (выемки в крыле под колеса) и возвышалась мачта антенны радиостанции, создававшие дополнительное аэродинамическое сопротивление (12032).</w:t>
      </w:r>
    </w:p>
    <w:p w14:paraId="2FD565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18581" w14:textId="77777777" w:rsidR="006E23A3" w:rsidRPr="00271E51" w:rsidRDefault="006E23A3" w:rsidP="00271E51">
      <w:pPr>
        <w:pStyle w:val="a3"/>
        <w:rPr>
          <w:color w:val="000000" w:themeColor="text1"/>
          <w:lang w:val="ru-RU"/>
        </w:rPr>
      </w:pPr>
      <w:r w:rsidRPr="00271E51">
        <w:rPr>
          <w:color w:val="000000" w:themeColor="text1"/>
          <w:lang w:val="ru-RU"/>
        </w:rPr>
        <w:t>В 1943 г. в ОКБ Микояна построили новый опытный самолёт И-211 с полностью</w:t>
      </w:r>
      <w:r w:rsidRPr="00271E51">
        <w:rPr>
          <w:rStyle w:val="911"/>
          <w:rFonts w:ascii="Times New Roman" w:hAnsi="Times New Roman" w:cs="Times New Roman"/>
          <w:b w:val="0"/>
          <w:color w:val="000000" w:themeColor="text1"/>
          <w:spacing w:val="0"/>
          <w:sz w:val="16"/>
          <w:szCs w:val="16"/>
          <w:lang w:val="ru-RU"/>
        </w:rPr>
        <w:t xml:space="preserve"> п </w:t>
      </w:r>
      <w:r w:rsidRPr="00271E51">
        <w:rPr>
          <w:color w:val="000000" w:themeColor="text1"/>
          <w:lang w:val="ru-RU"/>
        </w:rPr>
        <w:t>реконструированной силовой установкой мотора М-82Ф. Особое внимание уделял</w:t>
      </w:r>
      <w:r w:rsidRPr="00271E51">
        <w:rPr>
          <w:color w:val="000000" w:themeColor="text1"/>
          <w:vertAlign w:val="superscript"/>
          <w:lang w:val="ru-RU"/>
        </w:rPr>
        <w:t xml:space="preserve">- </w:t>
      </w:r>
      <w:r w:rsidRPr="00271E51">
        <w:rPr>
          <w:color w:val="000000" w:themeColor="text1"/>
          <w:lang w:val="ru-RU"/>
        </w:rPr>
        <w:t>тщательной внешней и внутренней герметизации капота, выполненного, кстати, по схе ме с боковыми створками. Маслорадиаторы убрали полностью внутрь фюзеляжа. Вс оружение составили две синхронные пушки ШВАК. И—211 получился значитель лучше предшественника и на лётных испытаниях достиг скорости 670 км/ч на высо 7100 м (15788).</w:t>
      </w:r>
    </w:p>
    <w:p w14:paraId="578B7D74" w14:textId="77777777" w:rsidR="006E23A3" w:rsidRPr="00271E51" w:rsidRDefault="006E23A3" w:rsidP="00271E51">
      <w:pPr>
        <w:pStyle w:val="a3"/>
        <w:rPr>
          <w:color w:val="000000" w:themeColor="text1"/>
          <w:lang w:val="ru-RU"/>
        </w:rPr>
      </w:pPr>
    </w:p>
    <w:p w14:paraId="1D58B1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заводу № 381 в качестве филиала № 2 передана Мебельная фабрика Управления делами СНК СССР для изготовления оперения, деревянных узлов фюзеляжа Ла-5 (Филиал № 2 завода № 381 НКАП /г. Москва Наставнический пер., 3/) (возможно, это переданный по приказу № 743с от 11.12.1943 г. филиал завода № 464 НКАП).</w:t>
      </w:r>
    </w:p>
    <w:p w14:paraId="6EAF4C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решению СНК № 10920-р от 19.05.1944 г. и приказу НКАП № 19 от 23.05.1944 г. бывшая мебельная фабрика возвращена обратно в ведение ХозУ СНК СССР (11982).</w:t>
      </w:r>
    </w:p>
    <w:p w14:paraId="5615F408" w14:textId="77777777" w:rsidR="006E23A3" w:rsidRPr="00271E51" w:rsidRDefault="006E23A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FBF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один из соавторов ЛаГГ-3 - конструктор М.И. Гудков предложил проект истребителя Гу-ВРД с двигателем конструкции А.М. Люлька, и в этом проекте схема также была "реданной". Правда, этот проект не был реализован; правда и то, что конструктор явно находился под влиянием стереотипов и постарался сделать истребитель остроносым, как это было тогда принято, а подачу воздуха к ТРД он собирался осуществлять через окна, но, в общем, расположение силовой установки у Гу-ВРД было точно таким же, как у Як-ЮМО. Такое обозначение получила предложенная Адлером и Шехтером машина после внесения изменений в соответствии с мнением Яковлева, а также после одобрения эскизного проекта в наркомате авиапромышленности (11407).</w:t>
      </w:r>
    </w:p>
    <w:p w14:paraId="5FAB47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70F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испытывался Ли-2 с гусеничным шасси С.А.Мостового (4,136).</w:t>
      </w:r>
    </w:p>
    <w:p w14:paraId="7D8C8F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8B5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Г.М.Бериев предложил ЛЛ-143. Авиацией в партии руководил Г.М.Маленков - тянул, но проект поддержал К.Е.Ворошилов (79,231).</w:t>
      </w:r>
    </w:p>
    <w:p w14:paraId="75D51F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A79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под руководством Н.Н.Поликарпова созда</w:t>
      </w:r>
      <w:r w:rsidRPr="00271E51">
        <w:rPr>
          <w:rFonts w:ascii="Times New Roman" w:hAnsi="Times New Roman"/>
          <w:color w:val="000000" w:themeColor="text1"/>
          <w:sz w:val="16"/>
          <w:szCs w:val="16"/>
        </w:rPr>
        <w:softHyphen/>
        <w:t>ли модификацию У-2ВС - ночной артиллерийский корректировщик У-2НАК. Его главном предназначе</w:t>
      </w:r>
      <w:r w:rsidRPr="00271E51">
        <w:rPr>
          <w:rFonts w:ascii="Times New Roman" w:hAnsi="Times New Roman"/>
          <w:color w:val="000000" w:themeColor="text1"/>
          <w:sz w:val="16"/>
          <w:szCs w:val="16"/>
        </w:rPr>
        <w:softHyphen/>
        <w:t>нием была разведка артиллерийских позиций против</w:t>
      </w:r>
      <w:r w:rsidRPr="00271E51">
        <w:rPr>
          <w:rFonts w:ascii="Times New Roman" w:hAnsi="Times New Roman"/>
          <w:color w:val="000000" w:themeColor="text1"/>
          <w:sz w:val="16"/>
          <w:szCs w:val="16"/>
        </w:rPr>
        <w:softHyphen/>
        <w:t>ника и корректировка стрельбы нашей артиллерии в ночных условиях. Стрелковая установка с пулеметом ШКАС в задней кабине сохранялась. От исходного об</w:t>
      </w:r>
      <w:r w:rsidRPr="00271E51">
        <w:rPr>
          <w:rFonts w:ascii="Times New Roman" w:hAnsi="Times New Roman"/>
          <w:color w:val="000000" w:themeColor="text1"/>
          <w:sz w:val="16"/>
          <w:szCs w:val="16"/>
        </w:rPr>
        <w:softHyphen/>
        <w:t>разца У-2НАК отличался выхлопным коллектором с глушителем, обеспечивающим снижение шума работа</w:t>
      </w:r>
      <w:r w:rsidRPr="00271E51">
        <w:rPr>
          <w:rFonts w:ascii="Times New Roman" w:hAnsi="Times New Roman"/>
          <w:color w:val="000000" w:themeColor="text1"/>
          <w:sz w:val="16"/>
          <w:szCs w:val="16"/>
        </w:rPr>
        <w:softHyphen/>
        <w:t>ющего двигателя на дальности свыше 300 м, более мощной радиостанцией с генератором с приводом от мотора М-11 для ее питания, ночным прицелом-визи</w:t>
      </w:r>
      <w:r w:rsidRPr="00271E51">
        <w:rPr>
          <w:rFonts w:ascii="Times New Roman" w:hAnsi="Times New Roman"/>
          <w:color w:val="000000" w:themeColor="text1"/>
          <w:sz w:val="16"/>
          <w:szCs w:val="16"/>
        </w:rPr>
        <w:softHyphen/>
        <w:t>ром и откидным штурманским столиком в задней ка</w:t>
      </w:r>
      <w:r w:rsidRPr="00271E51">
        <w:rPr>
          <w:rFonts w:ascii="Times New Roman" w:hAnsi="Times New Roman"/>
          <w:color w:val="000000" w:themeColor="text1"/>
          <w:sz w:val="16"/>
          <w:szCs w:val="16"/>
        </w:rPr>
        <w:softHyphen/>
        <w:t>бине с подсветкой. У-2НАК успешно прошел испыта</w:t>
      </w:r>
      <w:r w:rsidRPr="00271E51">
        <w:rPr>
          <w:rFonts w:ascii="Times New Roman" w:hAnsi="Times New Roman"/>
          <w:color w:val="000000" w:themeColor="text1"/>
          <w:sz w:val="16"/>
          <w:szCs w:val="16"/>
        </w:rPr>
        <w:softHyphen/>
        <w:t>ния, строился серийно и применялся на фронтах в 1943-1945 гг. В свою очередь модификацией этого самолета являл</w:t>
      </w:r>
      <w:r w:rsidRPr="00271E51">
        <w:rPr>
          <w:rFonts w:ascii="Times New Roman" w:hAnsi="Times New Roman"/>
          <w:color w:val="000000" w:themeColor="text1"/>
          <w:sz w:val="16"/>
          <w:szCs w:val="16"/>
        </w:rPr>
        <w:softHyphen/>
        <w:t>ся У-2ГН («Голос неба») для ведения пропаганды среди войск неприятеля в прифронтовой полосе. Выхлопной коллектор-глушитель и приводной генератор сохраня</w:t>
      </w:r>
      <w:r w:rsidRPr="00271E51">
        <w:rPr>
          <w:rFonts w:ascii="Times New Roman" w:hAnsi="Times New Roman"/>
          <w:color w:val="000000" w:themeColor="text1"/>
          <w:sz w:val="16"/>
          <w:szCs w:val="16"/>
        </w:rPr>
        <w:softHyphen/>
        <w:t>лись. Вооружение и штурманское оборудование задней кабины сняли, а взамен их смонтирована мощная ра</w:t>
      </w:r>
      <w:r w:rsidRPr="00271E51">
        <w:rPr>
          <w:rFonts w:ascii="Times New Roman" w:hAnsi="Times New Roman"/>
          <w:color w:val="000000" w:themeColor="text1"/>
          <w:sz w:val="16"/>
          <w:szCs w:val="16"/>
        </w:rPr>
        <w:softHyphen/>
        <w:t>диоустановка с громкоговорителем. После проведения испытаний два построенных экземпляра с 1944 г. с успе</w:t>
      </w:r>
      <w:r w:rsidRPr="00271E51">
        <w:rPr>
          <w:rFonts w:ascii="Times New Roman" w:hAnsi="Times New Roman"/>
          <w:color w:val="000000" w:themeColor="text1"/>
          <w:sz w:val="16"/>
          <w:szCs w:val="16"/>
        </w:rPr>
        <w:softHyphen/>
        <w:t>хом использовались на фронте (10667).</w:t>
      </w:r>
    </w:p>
    <w:p w14:paraId="6EBA20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86AC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когда ОКБ Н.Н.Поликарпова вернулось из Новосибирска в Москву, по инициативе Николая Нико</w:t>
      </w:r>
      <w:r w:rsidRPr="00271E51">
        <w:rPr>
          <w:rFonts w:ascii="Times New Roman" w:hAnsi="Times New Roman"/>
          <w:color w:val="000000" w:themeColor="text1"/>
          <w:sz w:val="16"/>
          <w:szCs w:val="16"/>
        </w:rPr>
        <w:softHyphen/>
        <w:t>лаевича началась разработка глубокой модификации са</w:t>
      </w:r>
      <w:r w:rsidRPr="00271E51">
        <w:rPr>
          <w:rFonts w:ascii="Times New Roman" w:hAnsi="Times New Roman"/>
          <w:color w:val="000000" w:themeColor="text1"/>
          <w:sz w:val="16"/>
          <w:szCs w:val="16"/>
        </w:rPr>
        <w:softHyphen/>
        <w:t>молета У-2 - У-2ШС (штабной, санитарный) или У2-ШС. Над эскизным проектом работали конструкто</w:t>
      </w:r>
      <w:r w:rsidRPr="00271E51">
        <w:rPr>
          <w:rFonts w:ascii="Times New Roman" w:hAnsi="Times New Roman"/>
          <w:color w:val="000000" w:themeColor="text1"/>
          <w:sz w:val="16"/>
          <w:szCs w:val="16"/>
        </w:rPr>
        <w:softHyphen/>
        <w:t>ры В.Г.Сигаев (ведущий), Б.Н.Фадеев, В.Ф.Бабаев, И.Н.Александров. Преследовалась цель создать универ</w:t>
      </w:r>
      <w:r w:rsidRPr="00271E51">
        <w:rPr>
          <w:rFonts w:ascii="Times New Roman" w:hAnsi="Times New Roman"/>
          <w:color w:val="000000" w:themeColor="text1"/>
          <w:sz w:val="16"/>
          <w:szCs w:val="16"/>
        </w:rPr>
        <w:softHyphen/>
        <w:t>сальную многоцелевую машину, которая, кроме выпол</w:t>
      </w:r>
      <w:r w:rsidRPr="00271E51">
        <w:rPr>
          <w:rFonts w:ascii="Times New Roman" w:hAnsi="Times New Roman"/>
          <w:color w:val="000000" w:themeColor="text1"/>
          <w:sz w:val="16"/>
          <w:szCs w:val="16"/>
        </w:rPr>
        <w:softHyphen/>
        <w:t>нения основных задач штабного и пассажирского самолета, после минимального по времени и трудоем</w:t>
      </w:r>
      <w:r w:rsidRPr="00271E51">
        <w:rPr>
          <w:rFonts w:ascii="Times New Roman" w:hAnsi="Times New Roman"/>
          <w:color w:val="000000" w:themeColor="text1"/>
          <w:sz w:val="16"/>
          <w:szCs w:val="16"/>
        </w:rPr>
        <w:softHyphen/>
        <w:t>кости переоборудования была бы способна перевозить раненых, а с убранными сиденьями в пассажирском от</w:t>
      </w:r>
      <w:r w:rsidRPr="00271E51">
        <w:rPr>
          <w:rFonts w:ascii="Times New Roman" w:hAnsi="Times New Roman"/>
          <w:color w:val="000000" w:themeColor="text1"/>
          <w:sz w:val="16"/>
          <w:szCs w:val="16"/>
        </w:rPr>
        <w:softHyphen/>
        <w:t>секе-грузы. В конструкцию У-2 внесли следующие изменения:</w:t>
      </w:r>
    </w:p>
    <w:p w14:paraId="4A8374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Фюзеляж расширен для большей пассажировмести-мости (кабина на 5 человек: летчик, бортмеханик, 3 пас</w:t>
      </w:r>
      <w:r w:rsidRPr="00271E51">
        <w:rPr>
          <w:rFonts w:ascii="Times New Roman" w:hAnsi="Times New Roman"/>
          <w:color w:val="000000" w:themeColor="text1"/>
          <w:sz w:val="16"/>
          <w:szCs w:val="16"/>
        </w:rPr>
        <w:softHyphen/>
        <w:t>сажира).</w:t>
      </w:r>
    </w:p>
    <w:p w14:paraId="301242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Вынос верхнего крыла относительно нижнего уменьшен на 200 мм.</w:t>
      </w:r>
    </w:p>
    <w:p w14:paraId="478F45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Самолет снабжен уширенным килем, как на У-2М.</w:t>
      </w:r>
    </w:p>
    <w:p w14:paraId="5E7B86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Установлен более мощный двигатель - М-11Ф в 140 л.с.</w:t>
      </w:r>
    </w:p>
    <w:p w14:paraId="43EC1B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На рулях высоты установлены триммеры.</w:t>
      </w:r>
    </w:p>
    <w:p w14:paraId="53F95B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Установлен капот и кок по типу У-2М.</w:t>
      </w:r>
    </w:p>
    <w:p w14:paraId="2026BB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Кабина летчика и бортмеханика (пассажира) сде</w:t>
      </w:r>
      <w:r w:rsidRPr="00271E51">
        <w:rPr>
          <w:rFonts w:ascii="Times New Roman" w:hAnsi="Times New Roman"/>
          <w:color w:val="000000" w:themeColor="text1"/>
          <w:sz w:val="16"/>
          <w:szCs w:val="16"/>
        </w:rPr>
        <w:softHyphen/>
        <w:t>лана закрытой с двумя открывающимися вверх створ</w:t>
      </w:r>
      <w:r w:rsidRPr="00271E51">
        <w:rPr>
          <w:rFonts w:ascii="Times New Roman" w:hAnsi="Times New Roman"/>
          <w:color w:val="000000" w:themeColor="text1"/>
          <w:sz w:val="16"/>
          <w:szCs w:val="16"/>
        </w:rPr>
        <w:softHyphen/>
        <w:t>ками.</w:t>
      </w:r>
    </w:p>
    <w:p w14:paraId="08F0CC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 Пассажирская кабина сверху закрыта прозрачным фонарем, в котором вверх открывалась одна левая створка. В ней установлены два деревянных кресла: пе</w:t>
      </w:r>
      <w:r w:rsidRPr="00271E51">
        <w:rPr>
          <w:rFonts w:ascii="Times New Roman" w:hAnsi="Times New Roman"/>
          <w:color w:val="000000" w:themeColor="text1"/>
          <w:sz w:val="16"/>
          <w:szCs w:val="16"/>
        </w:rPr>
        <w:softHyphen/>
        <w:t>реднее для двух пассажиров (спиной к направлению по</w:t>
      </w:r>
      <w:r w:rsidRPr="00271E51">
        <w:rPr>
          <w:rFonts w:ascii="Times New Roman" w:hAnsi="Times New Roman"/>
          <w:color w:val="000000" w:themeColor="text1"/>
          <w:sz w:val="16"/>
          <w:szCs w:val="16"/>
        </w:rPr>
        <w:softHyphen/>
        <w:t>лета) и заднее для одного. Кресла могли сниматься при перевозке груза (до 250 кг). За пассажирской кабиной заднюю часть фюзеляжа закрывал легкосъемный фа</w:t>
      </w:r>
      <w:r w:rsidRPr="00271E51">
        <w:rPr>
          <w:rFonts w:ascii="Times New Roman" w:hAnsi="Times New Roman"/>
          <w:color w:val="000000" w:themeColor="text1"/>
          <w:sz w:val="16"/>
          <w:szCs w:val="16"/>
        </w:rPr>
        <w:softHyphen/>
        <w:t>нерный гаргрот на замках.</w:t>
      </w:r>
    </w:p>
    <w:p w14:paraId="18E0CD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 Изменено размещение приборов на приборной доске.</w:t>
      </w:r>
    </w:p>
    <w:p w14:paraId="03459E6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Хвостовой костыль снабжен роликом.</w:t>
      </w:r>
    </w:p>
    <w:p w14:paraId="20DB95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На самолете установлено радиооборудование и антенна.</w:t>
      </w:r>
    </w:p>
    <w:p w14:paraId="2314DA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 Проводка управления сделана внутренней тросо</w:t>
      </w:r>
      <w:r w:rsidRPr="00271E51">
        <w:rPr>
          <w:rFonts w:ascii="Times New Roman" w:hAnsi="Times New Roman"/>
          <w:color w:val="000000" w:themeColor="text1"/>
          <w:sz w:val="16"/>
          <w:szCs w:val="16"/>
        </w:rPr>
        <w:softHyphen/>
        <w:t>вой.</w:t>
      </w:r>
    </w:p>
    <w:p w14:paraId="720D8E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ВВС проявили заинтересованность в самолете такого типа. На постройку отводилось всего 20 дней. В апреле 1944 г. самолет выкатили из сборочного цеха. Испыта</w:t>
      </w:r>
      <w:r w:rsidRPr="00271E51">
        <w:rPr>
          <w:rFonts w:ascii="Times New Roman" w:hAnsi="Times New Roman"/>
          <w:color w:val="000000" w:themeColor="text1"/>
          <w:sz w:val="16"/>
          <w:szCs w:val="16"/>
        </w:rPr>
        <w:softHyphen/>
        <w:t>ния прошли очень быстро. Улучшенная аэродинамика и повышенная мощность двигателя привели к увеличе</w:t>
      </w:r>
      <w:r w:rsidRPr="00271E51">
        <w:rPr>
          <w:rFonts w:ascii="Times New Roman" w:hAnsi="Times New Roman"/>
          <w:color w:val="000000" w:themeColor="text1"/>
          <w:sz w:val="16"/>
          <w:szCs w:val="16"/>
        </w:rPr>
        <w:softHyphen/>
        <w:t>нию максимальной скорости полета у земли до 169 км/ч. Разбег и пробег немного возросли. В остальном самолет сохранил свои летные качества. Сразу же приняли реше</w:t>
      </w:r>
      <w:r w:rsidRPr="00271E51">
        <w:rPr>
          <w:rFonts w:ascii="Times New Roman" w:hAnsi="Times New Roman"/>
          <w:color w:val="000000" w:themeColor="text1"/>
          <w:sz w:val="16"/>
          <w:szCs w:val="16"/>
        </w:rPr>
        <w:softHyphen/>
        <w:t>ние о запуске в серию. Так как основные авиационные заводы занимались выпуском другой продукции, для организации серийной постройки У-2ШС выделялись бывшие деревообрабатывающие комбинаты — заводы № 494 в Козловке на Волге и № 471 в Шумерле, куда из ОКБ направили группы конструкторов и технологов для оказания помощи в освоении самолета. После смер</w:t>
      </w:r>
      <w:r w:rsidRPr="00271E51">
        <w:rPr>
          <w:rFonts w:ascii="Times New Roman" w:hAnsi="Times New Roman"/>
          <w:color w:val="000000" w:themeColor="text1"/>
          <w:sz w:val="16"/>
          <w:szCs w:val="16"/>
        </w:rPr>
        <w:softHyphen/>
        <w:t>ти Н.Н.Поликарпова дело заглохло, внедрение в серию У-2ШС прекратилось, во многом по субъективным при</w:t>
      </w:r>
      <w:r w:rsidRPr="00271E51">
        <w:rPr>
          <w:rFonts w:ascii="Times New Roman" w:hAnsi="Times New Roman"/>
          <w:color w:val="000000" w:themeColor="text1"/>
          <w:sz w:val="16"/>
          <w:szCs w:val="16"/>
        </w:rPr>
        <w:softHyphen/>
        <w:t>чинам. Главный конструктор авиационной и ракетной техники Д.Л.Томашевич, бывший заместитель Поли</w:t>
      </w:r>
      <w:r w:rsidRPr="00271E51">
        <w:rPr>
          <w:rFonts w:ascii="Times New Roman" w:hAnsi="Times New Roman"/>
          <w:color w:val="000000" w:themeColor="text1"/>
          <w:sz w:val="16"/>
          <w:szCs w:val="16"/>
        </w:rPr>
        <w:softHyphen/>
        <w:t>карпова, вспоминал:</w:t>
      </w:r>
    </w:p>
    <w:p w14:paraId="0D0F50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«Позже, уже после войны, я сам убедился, как не дава</w:t>
      </w:r>
      <w:r w:rsidRPr="00271E51">
        <w:rPr>
          <w:rFonts w:ascii="Times New Roman" w:hAnsi="Times New Roman"/>
          <w:color w:val="000000" w:themeColor="text1"/>
          <w:sz w:val="16"/>
          <w:szCs w:val="16"/>
        </w:rPr>
        <w:softHyphen/>
        <w:t>ли хода пятиместному пассажирскому самолету «По-2», хотя многие организации нуждались в таком самолете и, отчаявшись его получить, требовали от завода чертежи, чтобы самостоятельно переделать учебный самолет «По-2» в пассажирский» (10667).</w:t>
      </w:r>
    </w:p>
    <w:p w14:paraId="1F903F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950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совершенствование КОР-2 продолжалось. Как и многие советские самолеты, их стали вооружать не</w:t>
      </w:r>
      <w:r w:rsidRPr="00271E51">
        <w:rPr>
          <w:rFonts w:ascii="Times New Roman" w:hAnsi="Times New Roman"/>
          <w:color w:val="000000" w:themeColor="text1"/>
          <w:sz w:val="16"/>
          <w:szCs w:val="16"/>
        </w:rPr>
        <w:softHyphen/>
        <w:t>управляемыми реактивными снарядами РС-82. На самоле</w:t>
      </w:r>
      <w:r w:rsidRPr="00271E51">
        <w:rPr>
          <w:rFonts w:ascii="Times New Roman" w:hAnsi="Times New Roman"/>
          <w:color w:val="000000" w:themeColor="text1"/>
          <w:sz w:val="16"/>
          <w:szCs w:val="16"/>
        </w:rPr>
        <w:softHyphen/>
        <w:t>те с заводским №28807 под каждым крылом разместили по четыре установки РС-82, на всех последующих устанав</w:t>
      </w:r>
      <w:r w:rsidRPr="00271E51">
        <w:rPr>
          <w:rFonts w:ascii="Times New Roman" w:hAnsi="Times New Roman"/>
          <w:color w:val="000000" w:themeColor="text1"/>
          <w:sz w:val="16"/>
          <w:szCs w:val="16"/>
        </w:rPr>
        <w:softHyphen/>
        <w:t>ливали по две установки РС-82. Кроме этого, в варианте пикирующего бомбардировщика КОР-2 мог поднимать четыре фугасных бомбы ФАБ-100, в противолодочном ва</w:t>
      </w:r>
      <w:r w:rsidRPr="00271E51">
        <w:rPr>
          <w:rFonts w:ascii="Times New Roman" w:hAnsi="Times New Roman"/>
          <w:color w:val="000000" w:themeColor="text1"/>
          <w:sz w:val="16"/>
          <w:szCs w:val="16"/>
        </w:rPr>
        <w:softHyphen/>
        <w:t>рианте - четыре противолодочных бомбы ПЛАБ-100. Ко</w:t>
      </w:r>
      <w:r w:rsidRPr="00271E51">
        <w:rPr>
          <w:rFonts w:ascii="Times New Roman" w:hAnsi="Times New Roman"/>
          <w:color w:val="000000" w:themeColor="text1"/>
          <w:sz w:val="16"/>
          <w:szCs w:val="16"/>
        </w:rPr>
        <w:softHyphen/>
        <w:t>рабельный разведчик с таким вооружением мог использо</w:t>
      </w:r>
      <w:r w:rsidRPr="00271E51">
        <w:rPr>
          <w:rFonts w:ascii="Times New Roman" w:hAnsi="Times New Roman"/>
          <w:color w:val="000000" w:themeColor="text1"/>
          <w:sz w:val="16"/>
          <w:szCs w:val="16"/>
        </w:rPr>
        <w:softHyphen/>
        <w:t xml:space="preserve">ваться как ударный самолет, однако дальности полета, столь необходимой для полетов над </w:t>
      </w:r>
      <w:r w:rsidRPr="00271E51">
        <w:rPr>
          <w:rFonts w:ascii="Times New Roman" w:hAnsi="Times New Roman"/>
          <w:color w:val="000000" w:themeColor="text1"/>
          <w:sz w:val="16"/>
          <w:szCs w:val="16"/>
        </w:rPr>
        <w:lastRenderedPageBreak/>
        <w:t>морем, ему не хвата</w:t>
      </w:r>
      <w:r w:rsidRPr="00271E51">
        <w:rPr>
          <w:rFonts w:ascii="Times New Roman" w:hAnsi="Times New Roman"/>
          <w:color w:val="000000" w:themeColor="text1"/>
          <w:sz w:val="16"/>
          <w:szCs w:val="16"/>
        </w:rPr>
        <w:softHyphen/>
        <w:t xml:space="preserve">ло. Поэтому </w:t>
      </w:r>
    </w:p>
    <w:p w14:paraId="5ADFFB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996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когда эвакуированный из Москвы завод № 24 нахо</w:t>
      </w:r>
      <w:r w:rsidRPr="00271E51">
        <w:rPr>
          <w:rFonts w:ascii="Times New Roman" w:hAnsi="Times New Roman"/>
          <w:color w:val="000000" w:themeColor="text1"/>
          <w:sz w:val="16"/>
          <w:szCs w:val="16"/>
        </w:rPr>
        <w:softHyphen/>
        <w:t>дился в Куйбышеве (ныне Са</w:t>
      </w:r>
      <w:r w:rsidRPr="00271E51">
        <w:rPr>
          <w:rFonts w:ascii="Times New Roman" w:hAnsi="Times New Roman"/>
          <w:color w:val="000000" w:themeColor="text1"/>
          <w:sz w:val="16"/>
          <w:szCs w:val="16"/>
        </w:rPr>
        <w:softHyphen/>
        <w:t>мара), производство катерных двигателей семейства ГМ-34 (ГАМ-34) завершилось. Серийный выпуск ва</w:t>
      </w:r>
      <w:r w:rsidRPr="00271E51">
        <w:rPr>
          <w:rFonts w:ascii="Times New Roman" w:hAnsi="Times New Roman"/>
          <w:color w:val="000000" w:themeColor="text1"/>
          <w:sz w:val="16"/>
          <w:szCs w:val="16"/>
        </w:rPr>
        <w:softHyphen/>
        <w:t>риантов ГМ-34 неоднократно пытались восстановить вплоть до 1946 г., поскольку в строю оста</w:t>
      </w:r>
      <w:r w:rsidRPr="00271E51">
        <w:rPr>
          <w:rFonts w:ascii="Times New Roman" w:hAnsi="Times New Roman"/>
          <w:color w:val="000000" w:themeColor="text1"/>
          <w:sz w:val="16"/>
          <w:szCs w:val="16"/>
        </w:rPr>
        <w:softHyphen/>
        <w:t>валось много торпедных катеров типа Г-5, на которых они монтиро</w:t>
      </w:r>
      <w:r w:rsidRPr="00271E51">
        <w:rPr>
          <w:rFonts w:ascii="Times New Roman" w:hAnsi="Times New Roman"/>
          <w:color w:val="000000" w:themeColor="text1"/>
          <w:sz w:val="16"/>
          <w:szCs w:val="16"/>
        </w:rPr>
        <w:softHyphen/>
        <w:t>вались. Но сделать это было трудно, так как прекратился выпуск базово</w:t>
      </w:r>
      <w:r w:rsidRPr="00271E51">
        <w:rPr>
          <w:rFonts w:ascii="Times New Roman" w:hAnsi="Times New Roman"/>
          <w:color w:val="000000" w:themeColor="text1"/>
          <w:sz w:val="16"/>
          <w:szCs w:val="16"/>
        </w:rPr>
        <w:softHyphen/>
        <w:t>го М-34 (АМ-34). Уже последние се</w:t>
      </w:r>
      <w:r w:rsidRPr="00271E51">
        <w:rPr>
          <w:rFonts w:ascii="Times New Roman" w:hAnsi="Times New Roman"/>
          <w:color w:val="000000" w:themeColor="text1"/>
          <w:sz w:val="16"/>
          <w:szCs w:val="16"/>
        </w:rPr>
        <w:softHyphen/>
        <w:t>рии ГМ-34БФ включали немало де</w:t>
      </w:r>
      <w:r w:rsidRPr="00271E51">
        <w:rPr>
          <w:rFonts w:ascii="Times New Roman" w:hAnsi="Times New Roman"/>
          <w:color w:val="000000" w:themeColor="text1"/>
          <w:sz w:val="16"/>
          <w:szCs w:val="16"/>
        </w:rPr>
        <w:softHyphen/>
        <w:t>талей от нового мотора Микулина -АМ-35А; этот вариант иногда име</w:t>
      </w:r>
      <w:r w:rsidRPr="00271E51">
        <w:rPr>
          <w:rFonts w:ascii="Times New Roman" w:hAnsi="Times New Roman"/>
          <w:color w:val="000000" w:themeColor="text1"/>
          <w:sz w:val="16"/>
          <w:szCs w:val="16"/>
        </w:rPr>
        <w:softHyphen/>
        <w:t>новался ГАМ-34бис. Всего изготови</w:t>
      </w:r>
      <w:r w:rsidRPr="00271E51">
        <w:rPr>
          <w:rFonts w:ascii="Times New Roman" w:hAnsi="Times New Roman"/>
          <w:color w:val="000000" w:themeColor="text1"/>
          <w:sz w:val="16"/>
          <w:szCs w:val="16"/>
        </w:rPr>
        <w:softHyphen/>
        <w:t>ли более 10000 экземпляров раз</w:t>
      </w:r>
      <w:r w:rsidRPr="00271E51">
        <w:rPr>
          <w:rFonts w:ascii="Times New Roman" w:hAnsi="Times New Roman"/>
          <w:color w:val="000000" w:themeColor="text1"/>
          <w:sz w:val="16"/>
          <w:szCs w:val="16"/>
        </w:rPr>
        <w:softHyphen/>
        <w:t>личных модификаций М-34. Точнее ска</w:t>
      </w:r>
      <w:r w:rsidRPr="00271E51">
        <w:rPr>
          <w:rFonts w:ascii="Times New Roman" w:hAnsi="Times New Roman"/>
          <w:color w:val="000000" w:themeColor="text1"/>
          <w:sz w:val="16"/>
          <w:szCs w:val="16"/>
        </w:rPr>
        <w:softHyphen/>
        <w:t>зать трудно, поскольку в документах имеются значительные разночтения. АМ-35А являлся развитием кон</w:t>
      </w:r>
      <w:r w:rsidRPr="00271E51">
        <w:rPr>
          <w:rFonts w:ascii="Times New Roman" w:hAnsi="Times New Roman"/>
          <w:color w:val="000000" w:themeColor="text1"/>
          <w:sz w:val="16"/>
          <w:szCs w:val="16"/>
        </w:rPr>
        <w:softHyphen/>
        <w:t>струкции М-34ФРНВ. Двигаясь па</w:t>
      </w:r>
      <w:r w:rsidRPr="00271E51">
        <w:rPr>
          <w:rFonts w:ascii="Times New Roman" w:hAnsi="Times New Roman"/>
          <w:color w:val="000000" w:themeColor="text1"/>
          <w:sz w:val="16"/>
          <w:szCs w:val="16"/>
        </w:rPr>
        <w:softHyphen/>
        <w:t>раллельно по двум направлениям -высотных двигателей для истребите</w:t>
      </w:r>
      <w:r w:rsidRPr="00271E51">
        <w:rPr>
          <w:rFonts w:ascii="Times New Roman" w:hAnsi="Times New Roman"/>
          <w:color w:val="000000" w:themeColor="text1"/>
          <w:sz w:val="16"/>
          <w:szCs w:val="16"/>
        </w:rPr>
        <w:softHyphen/>
        <w:t>лей и бомбардировщиков и низко</w:t>
      </w:r>
      <w:r w:rsidRPr="00271E51">
        <w:rPr>
          <w:rFonts w:ascii="Times New Roman" w:hAnsi="Times New Roman"/>
          <w:color w:val="000000" w:themeColor="text1"/>
          <w:sz w:val="16"/>
          <w:szCs w:val="16"/>
        </w:rPr>
        <w:softHyphen/>
        <w:t>высотных для штурмовиков - Микулин создал целое семейство мото</w:t>
      </w:r>
      <w:r w:rsidRPr="00271E51">
        <w:rPr>
          <w:rFonts w:ascii="Times New Roman" w:hAnsi="Times New Roman"/>
          <w:color w:val="000000" w:themeColor="text1"/>
          <w:sz w:val="16"/>
          <w:szCs w:val="16"/>
        </w:rPr>
        <w:softHyphen/>
        <w:t>ров. В целом все его поршневые дви</w:t>
      </w:r>
      <w:r w:rsidRPr="00271E51">
        <w:rPr>
          <w:rFonts w:ascii="Times New Roman" w:hAnsi="Times New Roman"/>
          <w:color w:val="000000" w:themeColor="text1"/>
          <w:sz w:val="16"/>
          <w:szCs w:val="16"/>
        </w:rPr>
        <w:softHyphen/>
        <w:t>гатели представляли собой непре</w:t>
      </w:r>
      <w:r w:rsidRPr="00271E51">
        <w:rPr>
          <w:rFonts w:ascii="Times New Roman" w:hAnsi="Times New Roman"/>
          <w:color w:val="000000" w:themeColor="text1"/>
          <w:sz w:val="16"/>
          <w:szCs w:val="16"/>
        </w:rPr>
        <w:softHyphen/>
        <w:t>рывную цепочку развития одной ба</w:t>
      </w:r>
      <w:r w:rsidRPr="00271E51">
        <w:rPr>
          <w:rFonts w:ascii="Times New Roman" w:hAnsi="Times New Roman"/>
          <w:color w:val="000000" w:themeColor="text1"/>
          <w:sz w:val="16"/>
          <w:szCs w:val="16"/>
        </w:rPr>
        <w:softHyphen/>
        <w:t>зовой конструкции, сохранявшей как общую компоновку и силовую схе</w:t>
      </w:r>
      <w:r w:rsidRPr="00271E51">
        <w:rPr>
          <w:rFonts w:ascii="Times New Roman" w:hAnsi="Times New Roman"/>
          <w:color w:val="000000" w:themeColor="text1"/>
          <w:sz w:val="16"/>
          <w:szCs w:val="16"/>
        </w:rPr>
        <w:softHyphen/>
        <w:t>му, так и размерения цилиндров. При этом при неизменном объеме мак</w:t>
      </w:r>
      <w:r w:rsidRPr="00271E51">
        <w:rPr>
          <w:rFonts w:ascii="Times New Roman" w:hAnsi="Times New Roman"/>
          <w:color w:val="000000" w:themeColor="text1"/>
          <w:sz w:val="16"/>
          <w:szCs w:val="16"/>
        </w:rPr>
        <w:softHyphen/>
        <w:t>симальная мощность от ранних М-34 до М-47 (1948 г.) выросла бо</w:t>
      </w:r>
      <w:r w:rsidRPr="00271E51">
        <w:rPr>
          <w:rFonts w:ascii="Times New Roman" w:hAnsi="Times New Roman"/>
          <w:color w:val="000000" w:themeColor="text1"/>
          <w:sz w:val="16"/>
          <w:szCs w:val="16"/>
        </w:rPr>
        <w:softHyphen/>
        <w:t>лее чем в три раза. Следует отме</w:t>
      </w:r>
      <w:r w:rsidRPr="00271E51">
        <w:rPr>
          <w:rFonts w:ascii="Times New Roman" w:hAnsi="Times New Roman"/>
          <w:color w:val="000000" w:themeColor="text1"/>
          <w:sz w:val="16"/>
          <w:szCs w:val="16"/>
        </w:rPr>
        <w:softHyphen/>
        <w:t>тить также, что в то время, когда многие советские конструкторы авиа</w:t>
      </w:r>
      <w:r w:rsidRPr="00271E51">
        <w:rPr>
          <w:rFonts w:ascii="Times New Roman" w:hAnsi="Times New Roman"/>
          <w:color w:val="000000" w:themeColor="text1"/>
          <w:sz w:val="16"/>
          <w:szCs w:val="16"/>
        </w:rPr>
        <w:softHyphen/>
        <w:t>моторов исходно отталкивались от иностранных образцов или узлов других отечественных двигателей, Микулин упорно шел своим ориги</w:t>
      </w:r>
      <w:r w:rsidRPr="00271E51">
        <w:rPr>
          <w:rFonts w:ascii="Times New Roman" w:hAnsi="Times New Roman"/>
          <w:color w:val="000000" w:themeColor="text1"/>
          <w:sz w:val="16"/>
          <w:szCs w:val="16"/>
        </w:rPr>
        <w:softHyphen/>
        <w:t>нальным путем, лишь изредка заим</w:t>
      </w:r>
      <w:r w:rsidRPr="00271E51">
        <w:rPr>
          <w:rFonts w:ascii="Times New Roman" w:hAnsi="Times New Roman"/>
          <w:color w:val="000000" w:themeColor="text1"/>
          <w:sz w:val="16"/>
          <w:szCs w:val="16"/>
        </w:rPr>
        <w:softHyphen/>
        <w:t>ствуя удачные элементы у других. Правда, зачастую это приводило к длительной доводке, за время кото</w:t>
      </w:r>
      <w:r w:rsidRPr="00271E51">
        <w:rPr>
          <w:rFonts w:ascii="Times New Roman" w:hAnsi="Times New Roman"/>
          <w:color w:val="000000" w:themeColor="text1"/>
          <w:sz w:val="16"/>
          <w:szCs w:val="16"/>
        </w:rPr>
        <w:softHyphen/>
        <w:t>рой двигатель начинал отставать от конструкций конкурентов. Зато другие конструкторы в ряде проектов использовали не только идеи Микулина, но и целые узлы его двигателей (11848).</w:t>
      </w:r>
    </w:p>
    <w:p w14:paraId="33DB867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2B2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появился ГАМ-35ФН, дефорсированный до 1150 л.с. катерный двигатель с реверс-муфтой. Но данных о его испытаниях нет (11934).</w:t>
      </w:r>
    </w:p>
    <w:p w14:paraId="5351B9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D1CE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 № 29 параллельно с выпуском двигателя М-88Б освоил производство двухрядного 14-цилиндрового звездообразного двигателя АШ-82ФН (форсированный с непосредственным впрыском топлива вместо карбюраторной системы топливопитания). Двигатель был создан под руководством А.Д. Швецова - главного конструктора ОКБ-19 (Пермь) и производился на заводе № 19. Однако, в связи с расширением производства самолетов (истребители Ла-5, бомбардировщики Ту-2 и Пе-8), оснащенных моторами семейства АШ-82Ф, мощностей пермского завода стало не хватать для обеспечения потребностей фронта. Освоение производства нового двигателя на заводе № 29 проходило под руководством В.С. Нитченко, заместителя А.Д. Швецова, который в дальнейшем был назначен заместителем главного конструктора завода № 29.</w:t>
      </w:r>
    </w:p>
    <w:p w14:paraId="208B84E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Е.В. Урмин в 1943 г. ушел с завода № 29 и возглавил конструкторское бюро воронежского завода № 154, находившегося в это время в эвакуации в Андижане. На этом посту он сменил М.А. Косова, руководившего ОКБ завода № 154 с начала 1941 г.</w:t>
      </w:r>
    </w:p>
    <w:p w14:paraId="2376F687"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новом месте Е.В. Урмин занимается созданием новых модификаций двигателя М-11, в частности под его руководством был создан двигатель М-11Я.</w:t>
      </w:r>
    </w:p>
    <w:p w14:paraId="25DC5F24"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дальнейшем Е.В. Урмин работал в Академии авиационной промышленности МАП заместителем начальника академии по научной части, а затем заведующим кафедрой авиадвигателей в Киевском институте гражданской авиации, где ему было присвоено звание профессора.</w:t>
      </w:r>
    </w:p>
    <w:p w14:paraId="123AABD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ОКБ завода № 29, оставшегося в г. Омске, просуществовало до 1949 г. и было преобразовано в серийное КБ.</w:t>
      </w:r>
    </w:p>
    <w:p w14:paraId="6FDF9C20"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этот период под руководством В.С. Нитченко запорожскими конструкторами, не возвратившимися из эвакуации сразу после освобождения родного города, был создан и внедрен в производство двигатель АШ-21 - однорядный 7-цилиндровый звездообразный мотор с такими же размерами цилиндров, как и у АШ-82 (т.е. практически - половина АШ-82), с односкоростным ПЦН и редуктором. Двигатель предназначался для учебно-тренировочных самолетов Як-11. Ведущим конструктором по АШ-21 был В.Г. Федичев.</w:t>
      </w:r>
    </w:p>
    <w:p w14:paraId="70757C9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Отдельная конструкторская группа под руководством А.К. Пантелеева (в дальнейшем заместителя генеральных конструкторов ЗМКБ "Прогресс" А.Г. Ивченко и В.А. Лотарева) работала над проектом 21-цилиндрового трехрядного двигателя мощностью до 3 тыс. л.с. на базе цилиндропоршневой группы двигателя АШ-82ФН (11478).</w:t>
      </w:r>
    </w:p>
    <w:p w14:paraId="66395996"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412EBA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в конструкторском бюро завода № 19 в Молотове (ныне Пермь) велась проработка эскизной компоновки двигателя М-Ш - двигателя нетрадиционной схемы, предназначенный для самолетов-штурмовиков («М-Ш» — «мотор штурмовика»). Отличался наклонным расположением цилиндров и бескривошипной передачей. Никаких сведений о дальнейшей работе над этим проектом нет.</w:t>
      </w:r>
    </w:p>
    <w:p w14:paraId="38AC96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Характеристики:</w:t>
      </w:r>
    </w:p>
    <w:p w14:paraId="500FBC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12-цилиндровый, звездообразный с наклонными цилиндрами, с бескри</w:t>
      </w:r>
      <w:r w:rsidRPr="00271E51">
        <w:rPr>
          <w:rFonts w:ascii="Times New Roman" w:hAnsi="Times New Roman"/>
          <w:color w:val="000000" w:themeColor="text1"/>
          <w:sz w:val="16"/>
          <w:szCs w:val="16"/>
        </w:rPr>
        <w:softHyphen/>
        <w:t>вошипной передачей;</w:t>
      </w:r>
    </w:p>
    <w:p w14:paraId="06CEC0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мощность 1450/1850 л.с.;</w:t>
      </w:r>
    </w:p>
    <w:p w14:paraId="44ABE1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вес 800 кг (по заданию);</w:t>
      </w:r>
    </w:p>
    <w:p w14:paraId="10F635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предусматривалась установка пушки со стволом, проходящим через полый вал (11852).</w:t>
      </w:r>
    </w:p>
    <w:p w14:paraId="507144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5BF5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тенденция на снижение отпускных цен получила дальнейшее раз</w:t>
      </w:r>
      <w:r w:rsidRPr="00271E51">
        <w:rPr>
          <w:rFonts w:ascii="Times New Roman" w:hAnsi="Times New Roman"/>
          <w:color w:val="000000" w:themeColor="text1"/>
          <w:sz w:val="16"/>
          <w:szCs w:val="16"/>
        </w:rPr>
        <w:softHyphen/>
        <w:t>витие (см. прил. 9). Цена на Ил-2 завода № 1 снизилась с 230 до 162 тыс. руб., Як-7 завода № 153 — со 146 до 110, и т.д. При этом следует учесть, что данное снижение отпускных цен про</w:t>
      </w:r>
      <w:r w:rsidRPr="00271E51">
        <w:rPr>
          <w:rFonts w:ascii="Times New Roman" w:hAnsi="Times New Roman"/>
          <w:color w:val="000000" w:themeColor="text1"/>
          <w:sz w:val="16"/>
          <w:szCs w:val="16"/>
        </w:rPr>
        <w:softHyphen/>
        <w:t xml:space="preserve">исходило на фоне подорожания используемых в авиастроении лесоматериалов—авиасосны, фанеры и т.п. (РГАЭ. Ф. 8044. </w:t>
      </w:r>
      <w:r w:rsidRPr="00271E51">
        <w:rPr>
          <w:rFonts w:ascii="Times New Roman" w:hAnsi="Times New Roman"/>
          <w:color w:val="000000" w:themeColor="text1"/>
          <w:sz w:val="16"/>
          <w:szCs w:val="16"/>
          <w:lang w:val="en-US"/>
        </w:rPr>
        <w:t>On</w:t>
      </w:r>
      <w:r w:rsidRPr="00271E51">
        <w:rPr>
          <w:rFonts w:ascii="Times New Roman" w:hAnsi="Times New Roman"/>
          <w:color w:val="000000" w:themeColor="text1"/>
          <w:sz w:val="16"/>
          <w:szCs w:val="16"/>
        </w:rPr>
        <w:t>. 1. Д. 2907. Л. 2.). Если в 1942 г. про</w:t>
      </w:r>
      <w:r w:rsidRPr="00271E51">
        <w:rPr>
          <w:rFonts w:ascii="Times New Roman" w:hAnsi="Times New Roman"/>
          <w:color w:val="000000" w:themeColor="text1"/>
          <w:sz w:val="16"/>
          <w:szCs w:val="16"/>
        </w:rPr>
        <w:softHyphen/>
        <w:t>изводитель пытался вынудить Военвед брать авиапродукцию по сравнительно высоким ценам, то в 1943 г. ситуация изменилась зеркально. Теперь уже армейское руководство пыталось слов</w:t>
      </w:r>
      <w:r w:rsidRPr="00271E51">
        <w:rPr>
          <w:rFonts w:ascii="Times New Roman" w:hAnsi="Times New Roman"/>
          <w:color w:val="000000" w:themeColor="text1"/>
          <w:sz w:val="16"/>
          <w:szCs w:val="16"/>
        </w:rPr>
        <w:softHyphen/>
        <w:t>чить в финансовой сфере и объегорить авиапромышленность. Так, в ноябре 1943 г. НКАП выражал недовольство тем, что ру</w:t>
      </w:r>
      <w:r w:rsidRPr="00271E51">
        <w:rPr>
          <w:rFonts w:ascii="Times New Roman" w:hAnsi="Times New Roman"/>
          <w:color w:val="000000" w:themeColor="text1"/>
          <w:sz w:val="16"/>
          <w:szCs w:val="16"/>
        </w:rPr>
        <w:softHyphen/>
        <w:t>ководство ВВС систематически уклонялось от согласования от</w:t>
      </w:r>
      <w:r w:rsidRPr="00271E51">
        <w:rPr>
          <w:rFonts w:ascii="Times New Roman" w:hAnsi="Times New Roman"/>
          <w:color w:val="000000" w:themeColor="text1"/>
          <w:sz w:val="16"/>
          <w:szCs w:val="16"/>
        </w:rPr>
        <w:softHyphen/>
        <w:t>пускных цен и явочным порядком рассчитывалось с авиапред</w:t>
      </w:r>
      <w:r w:rsidRPr="00271E51">
        <w:rPr>
          <w:rFonts w:ascii="Times New Roman" w:hAnsi="Times New Roman"/>
          <w:color w:val="000000" w:themeColor="text1"/>
          <w:sz w:val="16"/>
          <w:szCs w:val="16"/>
        </w:rPr>
        <w:softHyphen/>
        <w:t xml:space="preserve">приятиями по заниженным отпускным ценам прошлого периода, чем ставило авиазаводы в весьма затруднительное финансовое положение (РГАЭ. Ф. 8044. </w:t>
      </w:r>
      <w:r w:rsidRPr="00271E51">
        <w:rPr>
          <w:rFonts w:ascii="Times New Roman" w:hAnsi="Times New Roman"/>
          <w:color w:val="000000" w:themeColor="text1"/>
          <w:sz w:val="16"/>
          <w:szCs w:val="16"/>
          <w:lang w:val="en-US"/>
        </w:rPr>
        <w:t>On</w:t>
      </w:r>
      <w:r w:rsidRPr="00271E51">
        <w:rPr>
          <w:rFonts w:ascii="Times New Roman" w:hAnsi="Times New Roman"/>
          <w:color w:val="000000" w:themeColor="text1"/>
          <w:sz w:val="16"/>
          <w:szCs w:val="16"/>
        </w:rPr>
        <w:t>. 1. Д. 2907. Л. 124). В 1944—1945 гг. снижение отпускных цен продол</w:t>
      </w:r>
      <w:r w:rsidRPr="00271E51">
        <w:rPr>
          <w:rFonts w:ascii="Times New Roman" w:hAnsi="Times New Roman"/>
          <w:color w:val="000000" w:themeColor="text1"/>
          <w:sz w:val="16"/>
          <w:szCs w:val="16"/>
        </w:rPr>
        <w:softHyphen/>
        <w:t>жилось (см. прил. 10). Помимо очевидного снижения размеров цен от 1944-ш к 1945 г. следует отметить ещё два немаловажных момента. Во-первых, наконец официально восторжествовала точка зрения Зверева, и отпускные цены стали утверждать на квартал. Во-вторых, Военвед и Авиапром прекратили взаимные попытки словчить и перенесли борьбу за свои финансовые инте</w:t>
      </w:r>
      <w:r w:rsidRPr="00271E51">
        <w:rPr>
          <w:rFonts w:ascii="Times New Roman" w:hAnsi="Times New Roman"/>
          <w:color w:val="000000" w:themeColor="text1"/>
          <w:sz w:val="16"/>
          <w:szCs w:val="16"/>
        </w:rPr>
        <w:softHyphen/>
        <w:t>ресы в цивилизованную форму. Теперь основной накал споров приходился непосредственно на переговоры об установлении отпускной цены. Причём нередко стороны так и не иаходили компромисса. Скажем, в декабре 1944 г. ВВС и НКАП не сумели договориться по цене ВК-105ПФ с завода № 466 — ВВС хотели ограничиться 62 тыс. руб., а НКАП настаивал на 75 (12011).</w:t>
      </w:r>
    </w:p>
    <w:p w14:paraId="76D2D9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9</w:t>
      </w:r>
    </w:p>
    <w:p w14:paraId="11E2FE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Прейскурант отпускных цен, утверждённых 1 сентября (видимо, на IV квартал 1943 г.)1943 г. (тыс. руб.)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2906. Л. 79—80)</w:t>
      </w:r>
    </w:p>
    <w:tbl>
      <w:tblPr>
        <w:tblW w:w="0" w:type="auto"/>
        <w:tblInd w:w="8" w:type="dxa"/>
        <w:tblLayout w:type="fixed"/>
        <w:tblCellMar>
          <w:left w:w="0" w:type="dxa"/>
          <w:right w:w="0" w:type="dxa"/>
        </w:tblCellMar>
        <w:tblLook w:val="0000" w:firstRow="0" w:lastRow="0" w:firstColumn="0" w:lastColumn="0" w:noHBand="0" w:noVBand="0"/>
      </w:tblPr>
      <w:tblGrid>
        <w:gridCol w:w="1546"/>
        <w:gridCol w:w="720"/>
        <w:gridCol w:w="1416"/>
        <w:gridCol w:w="2453"/>
      </w:tblGrid>
      <w:tr w:rsidR="00A907A5" w:rsidRPr="00271E51" w14:paraId="0A2393D9" w14:textId="77777777" w:rsidTr="00ED5B0A">
        <w:trPr>
          <w:trHeight w:val="422"/>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4C4F01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Tin </w:t>
            </w:r>
            <w:r w:rsidRPr="00271E51">
              <w:rPr>
                <w:rFonts w:ascii="Times New Roman" w:hAnsi="Times New Roman"/>
                <w:color w:val="000000" w:themeColor="text1"/>
                <w:sz w:val="16"/>
                <w:szCs w:val="16"/>
              </w:rPr>
              <w:t>техника</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0DE995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завода</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512F7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Ценя (для самолё</w:t>
            </w:r>
            <w:r w:rsidRPr="00271E51">
              <w:rPr>
                <w:rFonts w:ascii="Times New Roman" w:hAnsi="Times New Roman"/>
                <w:color w:val="000000" w:themeColor="text1"/>
                <w:sz w:val="16"/>
                <w:szCs w:val="16"/>
              </w:rPr>
              <w:softHyphen/>
              <w:t>тов—8«з мотора)</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39EB2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Нрямечаввя</w:t>
            </w:r>
          </w:p>
        </w:tc>
      </w:tr>
      <w:tr w:rsidR="00A907A5" w:rsidRPr="00271E51" w14:paraId="7CF87C71"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1EB9D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Ла-5 (М-82Ф)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70F0E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79C45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2453" w:type="dxa"/>
            <w:tcBorders>
              <w:top w:val="single" w:sz="6" w:space="0" w:color="auto"/>
              <w:left w:val="single" w:sz="6" w:space="0" w:color="auto"/>
              <w:bottom w:val="nil"/>
              <w:right w:val="single" w:sz="6" w:space="0" w:color="auto"/>
            </w:tcBorders>
            <w:shd w:val="clear" w:color="auto" w:fill="FFFFFF"/>
          </w:tcPr>
          <w:p w14:paraId="01177B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пушками ВЯ-23</w:t>
            </w:r>
          </w:p>
        </w:tc>
      </w:tr>
      <w:tr w:rsidR="00A907A5" w:rsidRPr="00271E51" w14:paraId="4D998F70" w14:textId="77777777" w:rsidTr="00ED5B0A">
        <w:trPr>
          <w:trHeight w:val="226"/>
        </w:trPr>
        <w:tc>
          <w:tcPr>
            <w:tcW w:w="1546" w:type="dxa"/>
            <w:tcBorders>
              <w:top w:val="single" w:sz="6" w:space="0" w:color="auto"/>
              <w:left w:val="single" w:sz="6" w:space="0" w:color="auto"/>
              <w:bottom w:val="nil"/>
              <w:right w:val="single" w:sz="6" w:space="0" w:color="auto"/>
            </w:tcBorders>
            <w:shd w:val="clear" w:color="auto" w:fill="FFFFFF"/>
          </w:tcPr>
          <w:p w14:paraId="63CAF8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(ЛМ-38Ф)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7C9D0F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061FC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w:t>
            </w:r>
          </w:p>
        </w:tc>
        <w:tc>
          <w:tcPr>
            <w:tcW w:w="2453" w:type="dxa"/>
            <w:tcBorders>
              <w:top w:val="nil"/>
              <w:left w:val="single" w:sz="6" w:space="0" w:color="auto"/>
              <w:bottom w:val="nil"/>
              <w:right w:val="single" w:sz="6" w:space="0" w:color="auto"/>
            </w:tcBorders>
            <w:shd w:val="clear" w:color="auto" w:fill="FFFFFF"/>
          </w:tcPr>
          <w:p w14:paraId="3A1EE0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74DB291" w14:textId="77777777" w:rsidTr="00ED5B0A">
        <w:trPr>
          <w:trHeight w:val="221"/>
        </w:trPr>
        <w:tc>
          <w:tcPr>
            <w:tcW w:w="1546" w:type="dxa"/>
            <w:tcBorders>
              <w:top w:val="nil"/>
              <w:left w:val="single" w:sz="6" w:space="0" w:color="auto"/>
              <w:bottom w:val="nil"/>
              <w:right w:val="single" w:sz="6" w:space="0" w:color="auto"/>
            </w:tcBorders>
            <w:shd w:val="clear" w:color="auto" w:fill="FFFFFF"/>
          </w:tcPr>
          <w:p w14:paraId="17208C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6AAFE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8DF80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w:t>
            </w:r>
          </w:p>
        </w:tc>
        <w:tc>
          <w:tcPr>
            <w:tcW w:w="2453" w:type="dxa"/>
            <w:tcBorders>
              <w:top w:val="nil"/>
              <w:left w:val="single" w:sz="6" w:space="0" w:color="auto"/>
              <w:bottom w:val="single" w:sz="6" w:space="0" w:color="auto"/>
              <w:right w:val="single" w:sz="6" w:space="0" w:color="auto"/>
            </w:tcBorders>
            <w:shd w:val="clear" w:color="auto" w:fill="FFFFFF"/>
          </w:tcPr>
          <w:p w14:paraId="315725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5C4BAC" w14:textId="77777777" w:rsidTr="00ED5B0A">
        <w:trPr>
          <w:trHeight w:val="226"/>
        </w:trPr>
        <w:tc>
          <w:tcPr>
            <w:tcW w:w="1546" w:type="dxa"/>
            <w:tcBorders>
              <w:top w:val="nil"/>
              <w:left w:val="single" w:sz="6" w:space="0" w:color="auto"/>
              <w:bottom w:val="single" w:sz="6" w:space="0" w:color="auto"/>
              <w:right w:val="single" w:sz="6" w:space="0" w:color="auto"/>
            </w:tcBorders>
            <w:shd w:val="clear" w:color="auto" w:fill="FFFFFF"/>
          </w:tcPr>
          <w:p w14:paraId="7AC858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72F892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5285E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8B9FE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пушками ШВАК</w:t>
            </w:r>
          </w:p>
        </w:tc>
      </w:tr>
      <w:tr w:rsidR="00A907A5" w:rsidRPr="00271E51" w14:paraId="0F7E7CA5"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9CFDE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 (2М-88Б)</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769A86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211809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2234E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EF9E3E6"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028075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 (2М-105ПФ)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52F16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A6C32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3D49F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0AF5C5"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53A8DC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Ли-2 (2М-62ИР)</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0137A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64788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1402C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A2E94D"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4D837D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УТ-2(М-11Д)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86615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0F5EDC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2453" w:type="dxa"/>
            <w:tcBorders>
              <w:top w:val="single" w:sz="6" w:space="0" w:color="auto"/>
              <w:left w:val="single" w:sz="6" w:space="0" w:color="auto"/>
              <w:bottom w:val="nil"/>
              <w:right w:val="single" w:sz="6" w:space="0" w:color="auto"/>
            </w:tcBorders>
            <w:shd w:val="clear" w:color="auto" w:fill="FFFFFF"/>
          </w:tcPr>
          <w:p w14:paraId="453FAB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вооружением и эяепрофнпцмй</w:t>
            </w:r>
          </w:p>
        </w:tc>
      </w:tr>
      <w:tr w:rsidR="00A907A5" w:rsidRPr="00271E51" w14:paraId="6CACDE03"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22DCF1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У-2(М-ПД)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1242D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387</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3FA90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2453" w:type="dxa"/>
            <w:tcBorders>
              <w:top w:val="nil"/>
              <w:left w:val="single" w:sz="6" w:space="0" w:color="auto"/>
              <w:bottom w:val="single" w:sz="6" w:space="0" w:color="auto"/>
              <w:right w:val="single" w:sz="6" w:space="0" w:color="auto"/>
            </w:tcBorders>
            <w:shd w:val="clear" w:color="auto" w:fill="FFFFFF"/>
          </w:tcPr>
          <w:p w14:paraId="2E82D8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9C688A3"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3ECE0F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 (М-105ПФ)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0242F4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1S3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DA289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F7E42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C7F0A8"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0074D4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1D181C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10837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734BD8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69A7B0"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746836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 (М-105ПФ)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D0DDA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778B45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4E74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37-ым пушкой СКБ-16</w:t>
            </w:r>
          </w:p>
        </w:tc>
      </w:tr>
      <w:tr w:rsidR="00A907A5" w:rsidRPr="00271E51" w14:paraId="36566739"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B52E5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63F16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D50A4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29D39D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ACFB14"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2BC2C5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6A1451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2882C8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C616D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37A0B6"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0728D8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0777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4A843C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4DFEC7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ACE597B"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6B1D36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АМ-38Ф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5AC41B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306CF0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E6599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CFC7D34" w14:textId="77777777" w:rsidTr="00ED5B0A">
        <w:trPr>
          <w:trHeight w:val="221"/>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594BBB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96D5B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03579A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52D914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DCCE7F" w14:textId="77777777" w:rsidTr="00ED5B0A">
        <w:trPr>
          <w:trHeight w:val="226"/>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2D5C34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М-82ФН</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474E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5B9A0B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3FBB69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279CA10" w14:textId="77777777" w:rsidTr="00ED5B0A">
        <w:trPr>
          <w:trHeight w:val="240"/>
        </w:trPr>
        <w:tc>
          <w:tcPr>
            <w:tcW w:w="1546" w:type="dxa"/>
            <w:tcBorders>
              <w:top w:val="single" w:sz="6" w:space="0" w:color="auto"/>
              <w:left w:val="single" w:sz="6" w:space="0" w:color="auto"/>
              <w:bottom w:val="single" w:sz="6" w:space="0" w:color="auto"/>
              <w:right w:val="single" w:sz="6" w:space="0" w:color="auto"/>
            </w:tcBorders>
            <w:shd w:val="clear" w:color="auto" w:fill="FFFFFF"/>
          </w:tcPr>
          <w:p w14:paraId="18EAA6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м-ид</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7D05E1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14:paraId="65A89B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2453" w:type="dxa"/>
            <w:tcBorders>
              <w:top w:val="single" w:sz="6" w:space="0" w:color="auto"/>
              <w:left w:val="single" w:sz="6" w:space="0" w:color="auto"/>
              <w:bottom w:val="single" w:sz="6" w:space="0" w:color="auto"/>
              <w:right w:val="single" w:sz="6" w:space="0" w:color="auto"/>
            </w:tcBorders>
            <w:shd w:val="clear" w:color="auto" w:fill="FFFFFF"/>
          </w:tcPr>
          <w:p w14:paraId="106374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549A70C" w14:textId="77777777" w:rsidR="00FC04C9" w:rsidRPr="00271E51" w:rsidRDefault="00FC04C9" w:rsidP="00271E51">
      <w:pPr>
        <w:widowControl w:val="0"/>
        <w:tabs>
          <w:tab w:val="left" w:pos="431"/>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(12011).</w:t>
      </w:r>
    </w:p>
    <w:p w14:paraId="159A4C08" w14:textId="77777777" w:rsidR="00FC04C9" w:rsidRPr="00271E51" w:rsidRDefault="00FC04C9" w:rsidP="00271E51">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10</w:t>
      </w:r>
    </w:p>
    <w:p w14:paraId="5B638C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Прейскурант отпускных цен на I кв. 1945 г., согласованный НКАП н ВВС 21 декабря 1944 г. (тыс. руб.) (самолёты без моторов) (РГАЭ. Ф. 8044. Оп. 1.Д. 2941. Л. 83—84)</w:t>
      </w:r>
    </w:p>
    <w:tbl>
      <w:tblPr>
        <w:tblW w:w="0" w:type="auto"/>
        <w:tblInd w:w="8" w:type="dxa"/>
        <w:tblLayout w:type="fixed"/>
        <w:tblCellMar>
          <w:left w:w="0" w:type="dxa"/>
          <w:right w:w="0" w:type="dxa"/>
        </w:tblCellMar>
        <w:tblLook w:val="0000" w:firstRow="0" w:lastRow="0" w:firstColumn="0" w:lastColumn="0" w:noHBand="0" w:noVBand="0"/>
      </w:tblPr>
      <w:tblGrid>
        <w:gridCol w:w="1834"/>
        <w:gridCol w:w="826"/>
        <w:gridCol w:w="1565"/>
        <w:gridCol w:w="1690"/>
      </w:tblGrid>
      <w:tr w:rsidR="00A907A5" w:rsidRPr="00271E51" w14:paraId="50C59B91" w14:textId="77777777" w:rsidTr="00ED5B0A">
        <w:trPr>
          <w:trHeight w:val="427"/>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5036A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F180B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завода</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188211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O</w:t>
            </w:r>
            <w:r w:rsidRPr="00271E51">
              <w:rPr>
                <w:rFonts w:ascii="Times New Roman" w:hAnsi="Times New Roman"/>
                <w:color w:val="000000" w:themeColor="text1"/>
                <w:sz w:val="16"/>
                <w:szCs w:val="16"/>
              </w:rPr>
              <w:t>тпускная цена на IV кв. 1944 г.</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0F48C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Отпускная цена </w:t>
            </w:r>
            <w:r w:rsidRPr="00271E51">
              <w:rPr>
                <w:rFonts w:ascii="Times New Roman" w:hAnsi="Times New Roman"/>
                <w:color w:val="000000" w:themeColor="text1"/>
                <w:sz w:val="16"/>
                <w:szCs w:val="16"/>
                <w:lang w:val="en-US"/>
              </w:rPr>
              <w:t>I</w:t>
            </w:r>
            <w:r w:rsidRPr="00271E51">
              <w:rPr>
                <w:rFonts w:ascii="Times New Roman" w:hAnsi="Times New Roman"/>
                <w:color w:val="000000" w:themeColor="text1"/>
                <w:sz w:val="16"/>
                <w:szCs w:val="16"/>
              </w:rPr>
              <w:t xml:space="preserve"> кв. 1945 г.</w:t>
            </w:r>
          </w:p>
        </w:tc>
      </w:tr>
      <w:tr w:rsidR="00A907A5" w:rsidRPr="00271E51" w14:paraId="2D79FDD5"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7EDF7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0F4BED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EE125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E7304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r>
      <w:tr w:rsidR="00A907A5" w:rsidRPr="00271E51" w14:paraId="73920D70"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3C0B9C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w:t>
            </w:r>
            <w:r w:rsidRPr="00271E51">
              <w:rPr>
                <w:rFonts w:ascii="Times New Roman" w:hAnsi="Times New Roman"/>
                <w:color w:val="000000" w:themeColor="text1"/>
                <w:sz w:val="16"/>
                <w:szCs w:val="16"/>
                <w:lang w:val="en-US"/>
              </w:rPr>
              <w:t xml:space="preserve">-7 </w:t>
            </w:r>
            <w:r w:rsidRPr="00271E51">
              <w:rPr>
                <w:rFonts w:ascii="Times New Roman" w:hAnsi="Times New Roman"/>
                <w:color w:val="000000" w:themeColor="text1"/>
                <w:sz w:val="16"/>
                <w:szCs w:val="16"/>
              </w:rPr>
              <w:t>(АШ-82ФН)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489AA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50514E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A3663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w:t>
            </w:r>
          </w:p>
        </w:tc>
      </w:tr>
      <w:tr w:rsidR="00A907A5" w:rsidRPr="00271E51" w14:paraId="6DEADB73" w14:textId="77777777" w:rsidTr="00ED5B0A">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51A79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Ла-7 (АШ-82ФН)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3B9A7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4673C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2793D8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w:t>
            </w:r>
          </w:p>
        </w:tc>
      </w:tr>
      <w:tr w:rsidR="00A907A5" w:rsidRPr="00271E51" w14:paraId="20327AB6"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65F1BC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Як-3 (ВК-105ПФ)</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05E2A9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38D83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6FE2D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w:t>
            </w:r>
          </w:p>
        </w:tc>
      </w:tr>
      <w:tr w:rsidR="00A907A5" w:rsidRPr="00271E51" w14:paraId="58FA7C93" w14:textId="77777777" w:rsidTr="00ED5B0A">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4B9A6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7CC270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A5BB1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3ABF5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r>
      <w:tr w:rsidR="00A907A5" w:rsidRPr="00271E51" w14:paraId="56B18765"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C89F3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Як-З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7361E9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1S3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E49D2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12580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r>
      <w:tr w:rsidR="00A907A5" w:rsidRPr="00271E51" w14:paraId="06DB7EC4"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3A40E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Як-3 (ВК-107А)</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77DB71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89A67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69255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w:t>
            </w:r>
          </w:p>
        </w:tc>
      </w:tr>
      <w:tr w:rsidR="00A907A5" w:rsidRPr="00271E51" w14:paraId="7FBFC8D3"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2D9AD4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ТУ-2 (2АШ-82ФН)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27DC23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358CD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0CC7C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590</w:t>
            </w:r>
          </w:p>
        </w:tc>
      </w:tr>
      <w:tr w:rsidR="00A907A5" w:rsidRPr="00271E51" w14:paraId="5144B9DB"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B8839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40508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40332B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062840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w:t>
            </w:r>
          </w:p>
        </w:tc>
      </w:tr>
      <w:tr w:rsidR="00A907A5" w:rsidRPr="00271E51" w14:paraId="05547789" w14:textId="77777777" w:rsidTr="00ED5B0A">
        <w:trPr>
          <w:trHeight w:val="226"/>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49ADE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Ил-10 (АМ-42)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4465E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AAD38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525797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w:t>
            </w:r>
          </w:p>
        </w:tc>
      </w:tr>
      <w:tr w:rsidR="00A907A5" w:rsidRPr="00271E51" w14:paraId="423EB3BE"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147A81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По-2 (М-ПД)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3AC08D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07FE1F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3AFE20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r>
      <w:tr w:rsidR="00A907A5" w:rsidRPr="00271E51" w14:paraId="586FF9A2"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7A825F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По-2 (М-11Д)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7695DB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6E094A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757304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tc>
      </w:tr>
      <w:tr w:rsidR="00A907A5" w:rsidRPr="00271E51" w14:paraId="72EEDC98"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AC8A6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Ще-2 (2М-ИД)</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5EAD1B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320E3D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674C3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w:t>
            </w:r>
          </w:p>
        </w:tc>
      </w:tr>
      <w:tr w:rsidR="00A907A5" w:rsidRPr="00271E51" w14:paraId="5F5BC749" w14:textId="77777777" w:rsidTr="00ED5B0A">
        <w:trPr>
          <w:trHeight w:val="221"/>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09196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АШ-82ФН</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7C5019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7ECBC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400A1F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w:t>
            </w:r>
          </w:p>
        </w:tc>
      </w:tr>
      <w:tr w:rsidR="00A907A5" w:rsidRPr="00271E51" w14:paraId="2AC1A6A3" w14:textId="77777777" w:rsidTr="00ED5B0A">
        <w:trPr>
          <w:trHeight w:val="250"/>
        </w:trPr>
        <w:tc>
          <w:tcPr>
            <w:tcW w:w="1834" w:type="dxa"/>
            <w:tcBorders>
              <w:top w:val="single" w:sz="6" w:space="0" w:color="auto"/>
              <w:left w:val="single" w:sz="6" w:space="0" w:color="auto"/>
              <w:bottom w:val="single" w:sz="6" w:space="0" w:color="auto"/>
              <w:right w:val="single" w:sz="6" w:space="0" w:color="auto"/>
            </w:tcBorders>
            <w:shd w:val="clear" w:color="auto" w:fill="FFFFFF"/>
          </w:tcPr>
          <w:p w14:paraId="5EF91A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АМ-42</w:t>
            </w:r>
          </w:p>
        </w:tc>
        <w:tc>
          <w:tcPr>
            <w:tcW w:w="826" w:type="dxa"/>
            <w:tcBorders>
              <w:top w:val="single" w:sz="6" w:space="0" w:color="auto"/>
              <w:left w:val="single" w:sz="6" w:space="0" w:color="auto"/>
              <w:bottom w:val="single" w:sz="6" w:space="0" w:color="auto"/>
              <w:right w:val="single" w:sz="6" w:space="0" w:color="auto"/>
            </w:tcBorders>
            <w:shd w:val="clear" w:color="auto" w:fill="FFFFFF"/>
          </w:tcPr>
          <w:p w14:paraId="157E73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14:paraId="2F1032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14:paraId="1B6C74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r>
    </w:tbl>
    <w:p w14:paraId="622296A0" w14:textId="77777777" w:rsidR="00FC04C9" w:rsidRPr="00271E51" w:rsidRDefault="00FC04C9" w:rsidP="00271E51">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(12011).</w:t>
      </w:r>
    </w:p>
    <w:p w14:paraId="63F969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F9A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Средневзвешенная себестоимость моторов М-105АФ и АМ-38Ф за 1943 г.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2876. Л. 91)</w:t>
      </w:r>
    </w:p>
    <w:tbl>
      <w:tblPr>
        <w:tblW w:w="0" w:type="auto"/>
        <w:tblInd w:w="8" w:type="dxa"/>
        <w:tblLayout w:type="fixed"/>
        <w:tblCellMar>
          <w:left w:w="0" w:type="dxa"/>
          <w:right w:w="0" w:type="dxa"/>
        </w:tblCellMar>
        <w:tblLook w:val="0000" w:firstRow="0" w:lastRow="0" w:firstColumn="0" w:lastColumn="0" w:noHBand="0" w:noVBand="0"/>
      </w:tblPr>
      <w:tblGrid>
        <w:gridCol w:w="1056"/>
        <w:gridCol w:w="1075"/>
        <w:gridCol w:w="1819"/>
        <w:gridCol w:w="2011"/>
      </w:tblGrid>
      <w:tr w:rsidR="00A907A5" w:rsidRPr="00271E51" w14:paraId="5DAC0380" w14:textId="77777777" w:rsidTr="00ED5B0A">
        <w:trPr>
          <w:trHeight w:val="427"/>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0D19A9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завода</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14:paraId="2C7A4B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T</w:t>
            </w:r>
            <w:r w:rsidRPr="00271E51">
              <w:rPr>
                <w:rFonts w:ascii="Times New Roman" w:hAnsi="Times New Roman"/>
                <w:color w:val="000000" w:themeColor="text1"/>
                <w:sz w:val="16"/>
                <w:szCs w:val="16"/>
              </w:rPr>
              <w:t>ипмотора</w:t>
            </w: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6AC097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Среднегодовая себестоимость (руб.)</w:t>
            </w:r>
          </w:p>
          <w:p w14:paraId="798F23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35B39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Годовой выпуск моторов (шт.)</w:t>
            </w:r>
          </w:p>
        </w:tc>
      </w:tr>
      <w:tr w:rsidR="00A907A5" w:rsidRPr="00271E51" w14:paraId="247DC192" w14:textId="77777777" w:rsidTr="00ED5B0A">
        <w:trPr>
          <w:trHeight w:val="216"/>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2B0F35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1075" w:type="dxa"/>
            <w:tcBorders>
              <w:top w:val="single" w:sz="6" w:space="0" w:color="auto"/>
              <w:left w:val="single" w:sz="6" w:space="0" w:color="auto"/>
              <w:bottom w:val="nil"/>
              <w:right w:val="single" w:sz="6" w:space="0" w:color="auto"/>
            </w:tcBorders>
            <w:shd w:val="clear" w:color="auto" w:fill="FFFFFF"/>
          </w:tcPr>
          <w:p w14:paraId="017698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3DCAC1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52530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2668FB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4438</w:t>
            </w:r>
          </w:p>
        </w:tc>
      </w:tr>
      <w:tr w:rsidR="00A907A5" w:rsidRPr="00271E51" w14:paraId="7010B542" w14:textId="77777777" w:rsidTr="00ED5B0A">
        <w:trPr>
          <w:trHeight w:val="226"/>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0777B6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1075" w:type="dxa"/>
            <w:tcBorders>
              <w:top w:val="nil"/>
              <w:left w:val="single" w:sz="6" w:space="0" w:color="auto"/>
              <w:bottom w:val="nil"/>
              <w:right w:val="single" w:sz="6" w:space="0" w:color="auto"/>
            </w:tcBorders>
            <w:shd w:val="clear" w:color="auto" w:fill="FFFFFF"/>
          </w:tcPr>
          <w:p w14:paraId="16A27D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72C718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41920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5AF7D0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11942</w:t>
            </w:r>
          </w:p>
        </w:tc>
      </w:tr>
      <w:tr w:rsidR="00A907A5" w:rsidRPr="00271E51" w14:paraId="3E27C95E" w14:textId="77777777" w:rsidTr="00ED5B0A">
        <w:trPr>
          <w:trHeight w:val="221"/>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4C069E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453</w:t>
            </w:r>
          </w:p>
        </w:tc>
        <w:tc>
          <w:tcPr>
            <w:tcW w:w="1075" w:type="dxa"/>
            <w:tcBorders>
              <w:top w:val="nil"/>
              <w:left w:val="single" w:sz="6" w:space="0" w:color="auto"/>
              <w:bottom w:val="nil"/>
              <w:right w:val="single" w:sz="6" w:space="0" w:color="auto"/>
            </w:tcBorders>
            <w:shd w:val="clear" w:color="auto" w:fill="FFFFFF"/>
          </w:tcPr>
          <w:p w14:paraId="350752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74F5CB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68342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147A98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2779</w:t>
            </w:r>
          </w:p>
        </w:tc>
      </w:tr>
      <w:tr w:rsidR="00A907A5" w:rsidRPr="00271E51" w14:paraId="0A0F763C" w14:textId="77777777" w:rsidTr="00ED5B0A">
        <w:trPr>
          <w:trHeight w:val="226"/>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176500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Июго</w:t>
            </w:r>
          </w:p>
        </w:tc>
        <w:tc>
          <w:tcPr>
            <w:tcW w:w="1075" w:type="dxa"/>
            <w:tcBorders>
              <w:top w:val="nil"/>
              <w:left w:val="single" w:sz="6" w:space="0" w:color="auto"/>
              <w:bottom w:val="single" w:sz="6" w:space="0" w:color="auto"/>
              <w:right w:val="single" w:sz="6" w:space="0" w:color="auto"/>
            </w:tcBorders>
            <w:shd w:val="clear" w:color="auto" w:fill="FFFFFF"/>
          </w:tcPr>
          <w:p w14:paraId="18C3AC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25B652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48203</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5E7D5A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19159</w:t>
            </w:r>
          </w:p>
        </w:tc>
      </w:tr>
      <w:tr w:rsidR="00A907A5" w:rsidRPr="00271E51" w14:paraId="046D460E" w14:textId="77777777" w:rsidTr="00ED5B0A">
        <w:trPr>
          <w:trHeight w:val="216"/>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0E3780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1075" w:type="dxa"/>
            <w:tcBorders>
              <w:top w:val="single" w:sz="6" w:space="0" w:color="auto"/>
              <w:left w:val="single" w:sz="6" w:space="0" w:color="auto"/>
              <w:bottom w:val="nil"/>
              <w:right w:val="single" w:sz="6" w:space="0" w:color="auto"/>
            </w:tcBorders>
            <w:shd w:val="clear" w:color="auto" w:fill="FFFFFF"/>
          </w:tcPr>
          <w:p w14:paraId="02415B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АМ-38Ф</w:t>
            </w: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2071FE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52565</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50450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10431</w:t>
            </w:r>
          </w:p>
        </w:tc>
      </w:tr>
      <w:tr w:rsidR="00A907A5" w:rsidRPr="00271E51" w14:paraId="1DBD6284" w14:textId="77777777" w:rsidTr="00ED5B0A">
        <w:trPr>
          <w:trHeight w:val="221"/>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6F2533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c>
          <w:tcPr>
            <w:tcW w:w="1075" w:type="dxa"/>
            <w:tcBorders>
              <w:top w:val="nil"/>
              <w:left w:val="single" w:sz="6" w:space="0" w:color="auto"/>
              <w:bottom w:val="nil"/>
              <w:right w:val="single" w:sz="6" w:space="0" w:color="auto"/>
            </w:tcBorders>
            <w:shd w:val="clear" w:color="auto" w:fill="FFFFFF"/>
          </w:tcPr>
          <w:p w14:paraId="0141C3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52FA9D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76991</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7383AE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2985</w:t>
            </w:r>
          </w:p>
        </w:tc>
      </w:tr>
      <w:tr w:rsidR="00A907A5" w:rsidRPr="00271E51" w14:paraId="455B35A0" w14:textId="77777777" w:rsidTr="00ED5B0A">
        <w:trPr>
          <w:trHeight w:val="245"/>
        </w:trPr>
        <w:tc>
          <w:tcPr>
            <w:tcW w:w="1056" w:type="dxa"/>
            <w:tcBorders>
              <w:top w:val="single" w:sz="6" w:space="0" w:color="auto"/>
              <w:left w:val="single" w:sz="6" w:space="0" w:color="auto"/>
              <w:bottom w:val="single" w:sz="6" w:space="0" w:color="auto"/>
              <w:right w:val="single" w:sz="6" w:space="0" w:color="auto"/>
            </w:tcBorders>
            <w:shd w:val="clear" w:color="auto" w:fill="FFFFFF"/>
          </w:tcPr>
          <w:p w14:paraId="057933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tc>
        <w:tc>
          <w:tcPr>
            <w:tcW w:w="1075" w:type="dxa"/>
            <w:tcBorders>
              <w:top w:val="nil"/>
              <w:left w:val="single" w:sz="6" w:space="0" w:color="auto"/>
              <w:bottom w:val="single" w:sz="6" w:space="0" w:color="auto"/>
              <w:right w:val="single" w:sz="6" w:space="0" w:color="auto"/>
            </w:tcBorders>
            <w:shd w:val="clear" w:color="auto" w:fill="FFFFFF"/>
          </w:tcPr>
          <w:p w14:paraId="15AA3B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9" w:type="dxa"/>
            <w:tcBorders>
              <w:top w:val="single" w:sz="6" w:space="0" w:color="auto"/>
              <w:left w:val="single" w:sz="6" w:space="0" w:color="auto"/>
              <w:bottom w:val="single" w:sz="6" w:space="0" w:color="auto"/>
              <w:right w:val="single" w:sz="6" w:space="0" w:color="auto"/>
            </w:tcBorders>
            <w:shd w:val="clear" w:color="auto" w:fill="FFFFFF"/>
          </w:tcPr>
          <w:p w14:paraId="3EB662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58000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75FEA7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13416</w:t>
            </w:r>
          </w:p>
        </w:tc>
      </w:tr>
    </w:tbl>
    <w:p w14:paraId="572512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19D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заводском разрезе авиавыпуск 1943 г. имел следующий вид.</w:t>
      </w:r>
    </w:p>
    <w:p w14:paraId="0A01C8DF" w14:textId="77777777" w:rsidR="00FC04C9" w:rsidRPr="00271E51" w:rsidRDefault="00FC04C9" w:rsidP="00271E51">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Приложение 16</w:t>
      </w:r>
    </w:p>
    <w:p w14:paraId="0183D6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моделей самолётов по заводам</w:t>
      </w:r>
    </w:p>
    <w:tbl>
      <w:tblPr>
        <w:tblW w:w="0" w:type="auto"/>
        <w:tblInd w:w="8" w:type="dxa"/>
        <w:tblLayout w:type="fixed"/>
        <w:tblCellMar>
          <w:left w:w="0" w:type="dxa"/>
          <w:right w:w="0" w:type="dxa"/>
        </w:tblCellMar>
        <w:tblLook w:val="0000" w:firstRow="0" w:lastRow="0" w:firstColumn="0" w:lastColumn="0" w:noHBand="0" w:noVBand="0"/>
      </w:tblPr>
      <w:tblGrid>
        <w:gridCol w:w="547"/>
        <w:gridCol w:w="15"/>
        <w:gridCol w:w="719"/>
        <w:gridCol w:w="6"/>
        <w:gridCol w:w="440"/>
        <w:gridCol w:w="11"/>
        <w:gridCol w:w="723"/>
        <w:gridCol w:w="7"/>
        <w:gridCol w:w="444"/>
        <w:gridCol w:w="7"/>
        <w:gridCol w:w="723"/>
        <w:gridCol w:w="7"/>
        <w:gridCol w:w="446"/>
        <w:gridCol w:w="840"/>
        <w:gridCol w:w="566"/>
        <w:gridCol w:w="730"/>
        <w:gridCol w:w="446"/>
        <w:gridCol w:w="984"/>
        <w:gridCol w:w="10"/>
        <w:gridCol w:w="446"/>
        <w:gridCol w:w="763"/>
        <w:gridCol w:w="644"/>
      </w:tblGrid>
      <w:tr w:rsidR="00A907A5" w:rsidRPr="00271E51" w14:paraId="4ECAC0A3" w14:textId="77777777" w:rsidTr="00ED5B0A">
        <w:trPr>
          <w:trHeight w:val="264"/>
        </w:trPr>
        <w:tc>
          <w:tcPr>
            <w:tcW w:w="562" w:type="dxa"/>
            <w:gridSpan w:val="2"/>
            <w:tcBorders>
              <w:top w:val="single" w:sz="6" w:space="0" w:color="auto"/>
              <w:left w:val="single" w:sz="6" w:space="0" w:color="auto"/>
              <w:bottom w:val="nil"/>
              <w:right w:val="single" w:sz="6" w:space="0" w:color="auto"/>
            </w:tcBorders>
            <w:shd w:val="clear" w:color="auto" w:fill="FFFFFF"/>
          </w:tcPr>
          <w:p w14:paraId="39D23F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w:t>
            </w:r>
            <w:r w:rsidRPr="00271E51">
              <w:rPr>
                <w:rFonts w:ascii="Times New Roman" w:hAnsi="Times New Roman"/>
                <w:color w:val="000000" w:themeColor="text1"/>
                <w:sz w:val="16"/>
                <w:szCs w:val="16"/>
              </w:rPr>
              <w:softHyphen/>
            </w:r>
          </w:p>
        </w:tc>
        <w:tc>
          <w:tcPr>
            <w:tcW w:w="725" w:type="dxa"/>
            <w:gridSpan w:val="2"/>
            <w:tcBorders>
              <w:top w:val="single" w:sz="6" w:space="0" w:color="auto"/>
              <w:left w:val="single" w:sz="6" w:space="0" w:color="auto"/>
              <w:bottom w:val="single" w:sz="6" w:space="0" w:color="auto"/>
              <w:right w:val="nil"/>
            </w:tcBorders>
            <w:shd w:val="clear" w:color="auto" w:fill="FFFFFF"/>
          </w:tcPr>
          <w:p w14:paraId="51C870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1939</w:t>
            </w:r>
          </w:p>
        </w:tc>
        <w:tc>
          <w:tcPr>
            <w:tcW w:w="451" w:type="dxa"/>
            <w:gridSpan w:val="2"/>
            <w:tcBorders>
              <w:top w:val="single" w:sz="6" w:space="0" w:color="auto"/>
              <w:left w:val="nil"/>
              <w:bottom w:val="single" w:sz="6" w:space="0" w:color="auto"/>
              <w:right w:val="single" w:sz="6" w:space="0" w:color="auto"/>
            </w:tcBorders>
            <w:shd w:val="clear" w:color="auto" w:fill="FFFFFF"/>
          </w:tcPr>
          <w:p w14:paraId="1188CB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81" w:type="dxa"/>
            <w:gridSpan w:val="4"/>
            <w:tcBorders>
              <w:top w:val="single" w:sz="6" w:space="0" w:color="auto"/>
              <w:left w:val="single" w:sz="6" w:space="0" w:color="auto"/>
              <w:bottom w:val="single" w:sz="6" w:space="0" w:color="auto"/>
              <w:right w:val="single" w:sz="6" w:space="0" w:color="auto"/>
            </w:tcBorders>
            <w:shd w:val="clear" w:color="auto" w:fill="FFFFFF"/>
          </w:tcPr>
          <w:p w14:paraId="47F401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w:t>
            </w:r>
          </w:p>
        </w:tc>
        <w:tc>
          <w:tcPr>
            <w:tcW w:w="1176" w:type="dxa"/>
            <w:gridSpan w:val="3"/>
            <w:tcBorders>
              <w:top w:val="single" w:sz="6" w:space="0" w:color="auto"/>
              <w:left w:val="single" w:sz="6" w:space="0" w:color="auto"/>
              <w:bottom w:val="single" w:sz="6" w:space="0" w:color="auto"/>
              <w:right w:val="single" w:sz="6" w:space="0" w:color="auto"/>
            </w:tcBorders>
            <w:shd w:val="clear" w:color="auto" w:fill="FFFFFF"/>
          </w:tcPr>
          <w:p w14:paraId="76D882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1401" w:type="dxa"/>
            <w:gridSpan w:val="2"/>
            <w:tcBorders>
              <w:top w:val="single" w:sz="6" w:space="0" w:color="auto"/>
              <w:left w:val="single" w:sz="6" w:space="0" w:color="auto"/>
              <w:bottom w:val="single" w:sz="6" w:space="0" w:color="auto"/>
              <w:right w:val="single" w:sz="6" w:space="0" w:color="auto"/>
            </w:tcBorders>
            <w:shd w:val="clear" w:color="auto" w:fill="FFFFFF"/>
          </w:tcPr>
          <w:p w14:paraId="6B1ACA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1176" w:type="dxa"/>
            <w:gridSpan w:val="2"/>
            <w:tcBorders>
              <w:top w:val="single" w:sz="6" w:space="0" w:color="auto"/>
              <w:left w:val="single" w:sz="6" w:space="0" w:color="auto"/>
              <w:bottom w:val="single" w:sz="6" w:space="0" w:color="auto"/>
              <w:right w:val="single" w:sz="6" w:space="0" w:color="auto"/>
            </w:tcBorders>
            <w:shd w:val="clear" w:color="auto" w:fill="FFFFFF"/>
          </w:tcPr>
          <w:p w14:paraId="7DEA54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1430" w:type="dxa"/>
            <w:gridSpan w:val="3"/>
            <w:tcBorders>
              <w:top w:val="single" w:sz="6" w:space="0" w:color="auto"/>
              <w:left w:val="single" w:sz="6" w:space="0" w:color="auto"/>
              <w:bottom w:val="single" w:sz="6" w:space="0" w:color="auto"/>
              <w:right w:val="single" w:sz="6" w:space="0" w:color="auto"/>
            </w:tcBorders>
            <w:shd w:val="clear" w:color="auto" w:fill="FFFFFF"/>
          </w:tcPr>
          <w:p w14:paraId="21B8B7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1396" w:type="dxa"/>
            <w:gridSpan w:val="2"/>
            <w:tcBorders>
              <w:top w:val="single" w:sz="6" w:space="0" w:color="auto"/>
              <w:left w:val="single" w:sz="6" w:space="0" w:color="auto"/>
              <w:bottom w:val="single" w:sz="6" w:space="0" w:color="auto"/>
              <w:right w:val="single" w:sz="6" w:space="0" w:color="auto"/>
            </w:tcBorders>
            <w:shd w:val="clear" w:color="auto" w:fill="FFFFFF"/>
          </w:tcPr>
          <w:p w14:paraId="466FEC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w:t>
            </w:r>
          </w:p>
        </w:tc>
      </w:tr>
      <w:tr w:rsidR="00A907A5" w:rsidRPr="00271E51" w14:paraId="432CA34D" w14:textId="77777777" w:rsidTr="00ED5B0A">
        <w:trPr>
          <w:trHeight w:val="221"/>
        </w:trPr>
        <w:tc>
          <w:tcPr>
            <w:tcW w:w="562" w:type="dxa"/>
            <w:gridSpan w:val="2"/>
            <w:tcBorders>
              <w:top w:val="nil"/>
              <w:left w:val="single" w:sz="6" w:space="0" w:color="auto"/>
              <w:bottom w:val="single" w:sz="6" w:space="0" w:color="auto"/>
              <w:right w:val="single" w:sz="6" w:space="0" w:color="auto"/>
            </w:tcBorders>
            <w:shd w:val="clear" w:color="auto" w:fill="FFFFFF"/>
          </w:tcPr>
          <w:p w14:paraId="534D10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вода</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E8A24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4B832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97C09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67B11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A4BBE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6E3AC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764E3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7AB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2A2EC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F50AC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14F1CD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B6A29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52B68F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типам</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40A634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веете</w:t>
            </w:r>
          </w:p>
        </w:tc>
      </w:tr>
      <w:tr w:rsidR="00A907A5" w:rsidRPr="00271E51" w14:paraId="0FF6AB38" w14:textId="77777777" w:rsidTr="00ED5B0A">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22818B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5ED569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1304 И-15 1011И-153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C3CB2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F9428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2362 И-153 120 МиГ-3 81Як-4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1E29A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D51F9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 И-153 3100 МиГ-3 5Ил-2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CDFC7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FECD0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МиГ-3 2991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B18D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24957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4257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2B551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4257</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30F34B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3719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09D5C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3719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2FEC17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957 Ил-2 1121 Ия-10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0F3C1B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2078</w:t>
            </w:r>
          </w:p>
        </w:tc>
      </w:tr>
      <w:tr w:rsidR="00A907A5" w:rsidRPr="00271E51" w14:paraId="582D0DFB" w14:textId="77777777" w:rsidTr="00ED5B0A">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5132C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B970A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C6C84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A1559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808Ил-4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00DCA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C2D29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1510 Ил-2 328Ил-4 71Ер-2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A788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53D1F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3942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DC20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BC7F6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4702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1411A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4702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299DC1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smallCaps/>
                <w:color w:val="000000" w:themeColor="text1"/>
                <w:sz w:val="16"/>
                <w:szCs w:val="16"/>
              </w:rPr>
              <w:t>4014Ил-2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41033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4014</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CA5D4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931 Ил-2 1435 Ил-10</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20CF9F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2366</w:t>
            </w:r>
          </w:p>
        </w:tc>
      </w:tr>
      <w:tr w:rsidR="00A907A5" w:rsidRPr="00271E51" w14:paraId="7AF3C1DC" w14:textId="77777777" w:rsidTr="00ED5B0A">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537E2C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2A6FAE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1571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9892D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E9A91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2207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AC02E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9C13B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337 И-16 1659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51190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1996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DECD7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Як-7 1924ЛаГГ-3 1107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2235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15BCE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4619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A1C9A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4619</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767251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3503 Ла-5 1558 Ла-7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AB5F0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5061</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50D998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2799Ла-7</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46C7D2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2799</w:t>
            </w:r>
          </w:p>
        </w:tc>
      </w:tr>
      <w:tr w:rsidR="00A907A5" w:rsidRPr="00271E51" w14:paraId="7209F9F2" w14:textId="77777777" w:rsidTr="00ED5B0A">
        <w:trPr>
          <w:trHeight w:val="61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746107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smallCaps/>
                <w:color w:val="000000" w:themeColor="text1"/>
                <w:sz w:val="16"/>
                <w:szCs w:val="16"/>
              </w:rPr>
              <w:t>22</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95AB6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81769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1435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537EF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1820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DDF85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1820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31974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 СБ 1120 Пе-2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29372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DA805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1937 Пе-2 22 Пе-8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1D7C2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1959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D5167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2423 Пе-2 29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6F61C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2452</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AAEF3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2944 Пе-2 19 Пе-3 5 Пе-8</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4BA69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2968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6E66DC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1634 Пе-2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7B2914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1634</w:t>
            </w:r>
          </w:p>
        </w:tc>
      </w:tr>
      <w:tr w:rsidR="00A907A5" w:rsidRPr="00271E51" w14:paraId="19930CD8" w14:textId="77777777" w:rsidTr="00ED5B0A">
        <w:trPr>
          <w:trHeight w:val="610"/>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3C6AA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77851E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254УТ-2 1584У-2 251АП-СП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902D8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D414B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383УТ-2 472 У-2 125 АП</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CF9AD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980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18DCF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 ЛаГГ-З 5УТ-2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85541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9B3A8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60C2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smallCaps/>
                <w:color w:val="000000" w:themeColor="text1"/>
                <w:sz w:val="16"/>
                <w:szCs w:val="16"/>
              </w:rPr>
              <w:t>110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71861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257Ил-4 16ТУ-2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D57B3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884D1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378ТУ-2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A56C2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378</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5D6C38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742Ту-2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1BAEBC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742</w:t>
            </w:r>
          </w:p>
        </w:tc>
      </w:tr>
      <w:tr w:rsidR="00A907A5" w:rsidRPr="00271E51" w14:paraId="7DCE7D78" w14:textId="77777777" w:rsidTr="00ED5B0A">
        <w:trPr>
          <w:trHeight w:val="226"/>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39608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469429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D1B98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6C71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F5884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1E76C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63CD0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1DE9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48EA3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F1B86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2234 Ил-2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E1251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2234</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2FD2A3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3377 Ия-2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ECE6B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3377</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10079A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2201 Ия-2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0EB982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2201</w:t>
            </w:r>
          </w:p>
        </w:tc>
      </w:tr>
      <w:tr w:rsidR="00A907A5" w:rsidRPr="00271E51" w14:paraId="4E85DD43" w14:textId="77777777" w:rsidTr="00ED5B0A">
        <w:trPr>
          <w:trHeight w:val="418"/>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75B062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0ACFDB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192МБР-2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317B5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F9E72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38МБР-2 13 Че-2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C8EAF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E88C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474 ЛаГГ-З 4 Че-2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C5539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C8B46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782ЛаГГ-3 22 Ла-5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613F1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634EC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1065 ЛаГГ-З 5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76AC7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467E20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 ЛаГГ-З</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FB8D7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2122DD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5197FB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44E60B" w14:textId="77777777" w:rsidTr="00ED5B0A">
        <w:trPr>
          <w:trHeight w:val="854"/>
        </w:trPr>
        <w:tc>
          <w:tcPr>
            <w:tcW w:w="562" w:type="dxa"/>
            <w:gridSpan w:val="2"/>
            <w:tcBorders>
              <w:top w:val="single" w:sz="6" w:space="0" w:color="auto"/>
              <w:left w:val="single" w:sz="6" w:space="0" w:color="auto"/>
              <w:bottom w:val="single" w:sz="6" w:space="0" w:color="auto"/>
              <w:right w:val="single" w:sz="6" w:space="0" w:color="auto"/>
            </w:tcBorders>
            <w:shd w:val="clear" w:color="auto" w:fill="FFFFFF"/>
          </w:tcPr>
          <w:p w14:paraId="008623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w:t>
            </w:r>
          </w:p>
        </w:tc>
        <w:tc>
          <w:tcPr>
            <w:tcW w:w="725" w:type="dxa"/>
            <w:gridSpan w:val="2"/>
            <w:tcBorders>
              <w:top w:val="single" w:sz="6" w:space="0" w:color="auto"/>
              <w:left w:val="single" w:sz="6" w:space="0" w:color="auto"/>
              <w:bottom w:val="single" w:sz="6" w:space="0" w:color="auto"/>
              <w:right w:val="single" w:sz="6" w:space="0" w:color="auto"/>
            </w:tcBorders>
            <w:shd w:val="clear" w:color="auto" w:fill="FFFFFF"/>
          </w:tcPr>
          <w:p w14:paraId="34FEE0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279Ш-4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0FF8E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101D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198Ил-4 1 Пс-2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05533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FB709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44Ил-4 303 Пе-2 196Пе-3</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EFC4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543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42E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53ЙЛ-4 587 Пе-2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E3DB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56AB9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698Ии-4 5 Пе-2 13 Пе-3 2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A6387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718</w:t>
            </w:r>
          </w:p>
        </w:tc>
        <w:tc>
          <w:tcPr>
            <w:tcW w:w="984" w:type="dxa"/>
            <w:gridSpan w:val="2"/>
            <w:tcBorders>
              <w:top w:val="single" w:sz="6" w:space="0" w:color="auto"/>
              <w:left w:val="single" w:sz="6" w:space="0" w:color="auto"/>
              <w:bottom w:val="single" w:sz="6" w:space="0" w:color="auto"/>
              <w:right w:val="single" w:sz="6" w:space="0" w:color="auto"/>
            </w:tcBorders>
            <w:shd w:val="clear" w:color="auto" w:fill="FFFFFF"/>
          </w:tcPr>
          <w:p w14:paraId="2747D5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118Ил-4 148 Ер-2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9E5AE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266</w:t>
            </w:r>
          </w:p>
        </w:tc>
        <w:tc>
          <w:tcPr>
            <w:tcW w:w="763" w:type="dxa"/>
            <w:tcBorders>
              <w:top w:val="single" w:sz="6" w:space="0" w:color="auto"/>
              <w:left w:val="single" w:sz="6" w:space="0" w:color="auto"/>
              <w:bottom w:val="single" w:sz="6" w:space="0" w:color="auto"/>
              <w:right w:val="single" w:sz="6" w:space="0" w:color="auto"/>
            </w:tcBorders>
            <w:shd w:val="clear" w:color="auto" w:fill="FFFFFF"/>
          </w:tcPr>
          <w:p w14:paraId="4B7284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 Ер-2</w:t>
            </w:r>
          </w:p>
        </w:tc>
        <w:tc>
          <w:tcPr>
            <w:tcW w:w="633" w:type="dxa"/>
            <w:tcBorders>
              <w:top w:val="single" w:sz="6" w:space="0" w:color="auto"/>
              <w:left w:val="single" w:sz="6" w:space="0" w:color="auto"/>
              <w:bottom w:val="single" w:sz="6" w:space="0" w:color="auto"/>
              <w:right w:val="single" w:sz="6" w:space="0" w:color="auto"/>
            </w:tcBorders>
            <w:shd w:val="clear" w:color="auto" w:fill="FFFFFF"/>
          </w:tcPr>
          <w:p w14:paraId="034FBE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w:t>
            </w:r>
          </w:p>
        </w:tc>
      </w:tr>
      <w:tr w:rsidR="00A907A5" w:rsidRPr="00271E51" w14:paraId="6C284B1B" w14:textId="77777777" w:rsidTr="00ED5B0A">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F3A0B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47</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0E416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10УТ-2 445УТ-1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94FB5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1E537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165УТ-2 1УТ-1</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1982B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5D123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35C3A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4338C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2Я1-1 427УТ-2 25Яж-6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8A02A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39929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 А-б</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5D3CC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95308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222Ще-2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1749A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15F80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 Ще-2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7CF70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285</w:t>
            </w:r>
          </w:p>
        </w:tc>
      </w:tr>
      <w:tr w:rsidR="00A907A5" w:rsidRPr="00271E51" w14:paraId="1DFB94DA" w14:textId="77777777" w:rsidTr="00ED5B0A">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60D63F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65957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C747D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BFF76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57Як4 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63E0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C981E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63Лс-4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2C5E1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C5BFF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06757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7A516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3612D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220FE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6BDA8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4F940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9362A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BF49CB" w14:textId="77777777" w:rsidTr="00ED5B0A">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78A26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9F94B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BCAAE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986E3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6DA67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3C838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323F3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536E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 Як-7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63345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80CCE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 Як-7</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E68AD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0C7AC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465 Як-7 373Як-9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72604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87869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E614C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w:t>
            </w:r>
          </w:p>
        </w:tc>
      </w:tr>
      <w:tr w:rsidR="00A907A5" w:rsidRPr="00271E51" w14:paraId="632CAD4C" w14:textId="77777777" w:rsidTr="00ED5B0A">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67EE5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D397F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6J&amp;-2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1E423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82593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 Ля-2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4953A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BE977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237Лм-2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69795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04752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423 Ля-2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B3068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B1D03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618 №2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3267B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618</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6513D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626Ли-2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5A4C5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D3AD8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458Лн-2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7594A9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458</w:t>
            </w:r>
          </w:p>
        </w:tc>
      </w:tr>
      <w:tr w:rsidR="00A907A5" w:rsidRPr="00271E51" w14:paraId="52A10B6C" w14:textId="77777777" w:rsidTr="00ED5B0A">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40122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A92F6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31142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837A4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9A962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2374C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E785C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A7427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508F4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3A739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184 Ла-5</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614EF9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184</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DD890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 Ла-5 40 Ла-7</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83091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142</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A4FA8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 Ла-7</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D1250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210</w:t>
            </w:r>
          </w:p>
        </w:tc>
      </w:tr>
      <w:tr w:rsidR="00A907A5" w:rsidRPr="00271E51" w14:paraId="3EB91777" w14:textId="77777777" w:rsidTr="00ED5B0A">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74004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U6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E0138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FDD4D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7FB22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874AF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F819F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99УТ-2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AE23A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3FD02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539УТ-2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4585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2299B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702УТ-2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1423B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702</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4EDD8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746УТ-2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3A7D5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8AD4B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B23FD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w:t>
            </w:r>
          </w:p>
        </w:tc>
      </w:tr>
      <w:tr w:rsidR="00A907A5" w:rsidRPr="00271E51" w14:paraId="2A148EFF" w14:textId="77777777" w:rsidTr="00ED5B0A">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5DC5F5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E60EA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6FF2B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62CB5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C46BC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30AE1A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 Пе-2 23 Пе-8</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24478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7E146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86C44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C7F5E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D59B9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0627C1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3E3275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0CD43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4DA0BA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FEB476" w14:textId="77777777" w:rsidTr="00ED5B0A">
        <w:trPr>
          <w:trHeight w:val="42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1BE9D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8A3D7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343 СБ</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09E74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9DC22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 СБ</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D343D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33E2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 СБ 144 Пе-2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976BA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6AE9D1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2717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1AD84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8BE36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544ACF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51531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91891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2E8B31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EAE14F0" w14:textId="77777777" w:rsidTr="00ED5B0A">
        <w:trPr>
          <w:trHeight w:val="221"/>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425DE6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275498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 Ил-4</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3720B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93001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1B630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56D27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 Ил-4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79732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E6F69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 Ил-4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31D69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A61FD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613 Ил-4</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C58F3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1B8632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588Ил-4</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65ED7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F8976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485Ил-4</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578CC6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485</w:t>
            </w:r>
          </w:p>
        </w:tc>
      </w:tr>
      <w:tr w:rsidR="00A907A5" w:rsidRPr="00271E51" w14:paraId="45ACB43C" w14:textId="77777777" w:rsidTr="00ED5B0A">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76629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54C7C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24452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22703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110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DC547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45164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635 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17B2F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DE51E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 Су-2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C229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8AD35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7FAC8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7AE5C7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5C1D44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9E716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1599B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C6482E" w14:textId="77777777" w:rsidTr="00ED5B0A">
        <w:trPr>
          <w:trHeight w:val="22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0D8B43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2A980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106УТ-1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BAC25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106</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622A3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9D6E9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4C950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A121B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3B42B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1F878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43D29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95FA6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6582D8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67B9D2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5ECA13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0964DE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7EC8A3" w14:textId="77777777" w:rsidTr="00ED5B0A">
        <w:trPr>
          <w:trHeight w:val="614"/>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3ACBF7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DE7E3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 И-16</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40ED9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8BBBC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 И-16</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53A63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BFA5F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 И-16 21 №7 265ЛаГГ-3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F3182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95A5C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2211 Як-7 59 Як-9 65ЛаГГ-3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A9F11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37FA1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2656Як-7 1761 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426BC3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4417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B3992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5</w:t>
            </w:r>
            <w:r w:rsidRPr="00271E51">
              <w:rPr>
                <w:rFonts w:ascii="Times New Roman" w:hAnsi="Times New Roman"/>
                <w:color w:val="000000" w:themeColor="text1"/>
                <w:sz w:val="16"/>
                <w:szCs w:val="16"/>
              </w:rPr>
              <w:t>858Як</w:t>
            </w:r>
            <w:r w:rsidRPr="00271E51">
              <w:rPr>
                <w:rFonts w:ascii="Times New Roman" w:hAnsi="Times New Roman"/>
                <w:color w:val="000000" w:themeColor="text1"/>
                <w:sz w:val="16"/>
                <w:szCs w:val="16"/>
                <w:lang w:val="en-US"/>
              </w:rPr>
              <w:t>-9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2AA5AF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5858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15B0C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3559Як-9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0D0748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3559</w:t>
            </w:r>
          </w:p>
        </w:tc>
      </w:tr>
      <w:tr w:rsidR="00A907A5" w:rsidRPr="00271E51" w14:paraId="1255A274" w14:textId="77777777" w:rsidTr="00ED5B0A">
        <w:trPr>
          <w:trHeight w:val="216"/>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9E3FB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1</w:t>
            </w:r>
            <w:r w:rsidRPr="00271E51">
              <w:rPr>
                <w:rFonts w:ascii="Times New Roman" w:hAnsi="Times New Roman"/>
                <w:color w:val="000000" w:themeColor="text1"/>
                <w:sz w:val="16"/>
                <w:szCs w:val="16"/>
              </w:rPr>
              <w:t>55</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A3C87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F367C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851A9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FCDB2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714108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6EA72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4B2786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39МиГ-З</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6140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BE471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5E999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0DB71C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4DA20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F2910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579F2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54CF2D" w14:textId="77777777" w:rsidTr="00ED5B0A">
        <w:trPr>
          <w:trHeight w:val="418"/>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7A45FC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9FD5B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7A9B8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5260D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FCF24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8AADF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E3E01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BBC0F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79Ту-2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B79D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672498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1T</w:t>
            </w:r>
            <w:r w:rsidRPr="00271E51">
              <w:rPr>
                <w:rFonts w:ascii="Times New Roman" w:hAnsi="Times New Roman"/>
                <w:color w:val="000000" w:themeColor="text1"/>
                <w:sz w:val="16"/>
                <w:szCs w:val="16"/>
              </w:rPr>
              <w:t>у-2</w:t>
            </w:r>
          </w:p>
          <w:p w14:paraId="020C4A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732Як-9</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C9372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713</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2F9052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1600Як-9</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4EC5C8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4BB3F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1084Як-9</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6E74DD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1084</w:t>
            </w:r>
          </w:p>
        </w:tc>
      </w:tr>
      <w:tr w:rsidR="00A907A5" w:rsidRPr="00271E51" w14:paraId="4B7F5FA8" w14:textId="77777777" w:rsidTr="00ED5B0A">
        <w:trPr>
          <w:trHeight w:val="312"/>
        </w:trPr>
        <w:tc>
          <w:tcPr>
            <w:tcW w:w="547" w:type="dxa"/>
            <w:tcBorders>
              <w:top w:val="single" w:sz="6" w:space="0" w:color="auto"/>
              <w:left w:val="single" w:sz="6" w:space="0" w:color="auto"/>
              <w:bottom w:val="single" w:sz="6" w:space="0" w:color="auto"/>
              <w:right w:val="single" w:sz="6" w:space="0" w:color="auto"/>
            </w:tcBorders>
            <w:shd w:val="clear" w:color="auto" w:fill="FFFFFF"/>
          </w:tcPr>
          <w:p w14:paraId="149CB9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5B79E1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DBF3F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CFF82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14C98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27C96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0B5BA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6CE8A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12УТ-2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AFB5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12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BC497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207УТ-2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1001FF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207</w:t>
            </w:r>
          </w:p>
        </w:tc>
        <w:tc>
          <w:tcPr>
            <w:tcW w:w="994" w:type="dxa"/>
            <w:gridSpan w:val="2"/>
            <w:tcBorders>
              <w:top w:val="single" w:sz="6" w:space="0" w:color="auto"/>
              <w:left w:val="single" w:sz="6" w:space="0" w:color="auto"/>
              <w:bottom w:val="single" w:sz="6" w:space="0" w:color="auto"/>
              <w:right w:val="single" w:sz="6" w:space="0" w:color="auto"/>
            </w:tcBorders>
            <w:shd w:val="clear" w:color="auto" w:fill="FFFFFF"/>
          </w:tcPr>
          <w:p w14:paraId="37BA71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309УТ-2</w:t>
            </w:r>
          </w:p>
        </w:tc>
        <w:tc>
          <w:tcPr>
            <w:tcW w:w="437" w:type="dxa"/>
            <w:tcBorders>
              <w:top w:val="single" w:sz="6" w:space="0" w:color="auto"/>
              <w:left w:val="single" w:sz="6" w:space="0" w:color="auto"/>
              <w:bottom w:val="single" w:sz="6" w:space="0" w:color="auto"/>
              <w:right w:val="single" w:sz="6" w:space="0" w:color="auto"/>
            </w:tcBorders>
            <w:shd w:val="clear" w:color="auto" w:fill="FFFFFF"/>
          </w:tcPr>
          <w:p w14:paraId="0697A9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3503F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407УТ-2</w:t>
            </w:r>
          </w:p>
        </w:tc>
        <w:tc>
          <w:tcPr>
            <w:tcW w:w="643" w:type="dxa"/>
            <w:tcBorders>
              <w:top w:val="single" w:sz="6" w:space="0" w:color="auto"/>
              <w:left w:val="single" w:sz="6" w:space="0" w:color="auto"/>
              <w:bottom w:val="single" w:sz="6" w:space="0" w:color="auto"/>
              <w:right w:val="single" w:sz="6" w:space="0" w:color="auto"/>
            </w:tcBorders>
            <w:shd w:val="clear" w:color="auto" w:fill="FFFFFF"/>
          </w:tcPr>
          <w:p w14:paraId="388E7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407</w:t>
            </w:r>
          </w:p>
        </w:tc>
      </w:tr>
      <w:tr w:rsidR="00A907A5" w:rsidRPr="00271E51" w14:paraId="4B73E011" w14:textId="77777777" w:rsidTr="00ED5B0A">
        <w:trPr>
          <w:trHeight w:val="230"/>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08589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DF8A2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6785E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62D173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3Су-2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854CB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81B5E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89СУ-2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CF6C5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2082F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F25E4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BC8BD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F0BAD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DFB53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0DC0EA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CF851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1D4A6E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F9B68B" w14:textId="77777777" w:rsidTr="00ED5B0A">
        <w:trPr>
          <w:trHeight w:val="221"/>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767D8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228</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5D919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4C5A9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E0ABA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CA353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0D633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47583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B5352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6Бе-4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806C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07C033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380F0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4908E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8AFD4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C66B3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AFDC8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837EF2" w14:textId="77777777" w:rsidTr="00ED5B0A">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3ADCCF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40DAB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102Р-10</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B7D6F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63B41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16Як-1 18Р-10</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A5039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2A8FF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1212 Як-1</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869A2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79E2C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3474 Як-1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A16A4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3474</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1A6EA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2720 Як-1</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B71FD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2720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F11A3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1128 Як-1 1682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2CB0F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2810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310D9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1918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688551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1918</w:t>
            </w:r>
          </w:p>
        </w:tc>
      </w:tr>
      <w:tr w:rsidR="00A907A5" w:rsidRPr="00271E51" w14:paraId="263B136C" w14:textId="77777777" w:rsidTr="00ED5B0A">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8A9E3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87F15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276УТ-2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E6FF7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276</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386A44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 Як-1 11УТ-3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FE402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947B6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 Як-1 186Як-7</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F2AD5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93AB0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B9C90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30558A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CB278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5D708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498 Як-3</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55BB0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498</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999EA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462 Як-3</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0C08F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462</w:t>
            </w:r>
          </w:p>
        </w:tc>
      </w:tr>
      <w:tr w:rsidR="00A907A5" w:rsidRPr="00271E51" w14:paraId="74E719D2" w14:textId="77777777" w:rsidTr="00ED5B0A">
        <w:trPr>
          <w:trHeight w:val="413"/>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4364EC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1BFA1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FA5BC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444D9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04685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C79CD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 Ил-2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7C935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D17E2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243 Ил-2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859FE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243</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1F733A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28885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A7A71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221 </w:t>
            </w:r>
            <w:r w:rsidRPr="00271E51">
              <w:rPr>
                <w:rFonts w:ascii="Times New Roman" w:hAnsi="Times New Roman"/>
                <w:color w:val="000000" w:themeColor="text1"/>
                <w:sz w:val="16"/>
                <w:szCs w:val="16"/>
                <w:lang w:val="en-US"/>
              </w:rPr>
              <w:t>JIa-5 638JIa-7</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66CFE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859</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E70ED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660 </w:t>
            </w:r>
            <w:r w:rsidRPr="00271E51">
              <w:rPr>
                <w:rFonts w:ascii="Times New Roman" w:hAnsi="Times New Roman"/>
                <w:color w:val="000000" w:themeColor="text1"/>
                <w:sz w:val="16"/>
                <w:szCs w:val="16"/>
                <w:lang w:val="en-US"/>
              </w:rPr>
              <w:t>JIa-7</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D49D7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660</w:t>
            </w:r>
          </w:p>
        </w:tc>
      </w:tr>
      <w:tr w:rsidR="00A907A5" w:rsidRPr="00271E51" w14:paraId="6DEB214C" w14:textId="77777777" w:rsidTr="00ED5B0A">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0D680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FFF43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ECEEA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02F914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8A215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D0FCC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1245У-2</w:t>
            </w: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22BF7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BD4A6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2225У-2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815D1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2225</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8218C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2733У-2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2A186D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2733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62922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3045У-2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73269A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3045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AF6AC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2155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43770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2155</w:t>
            </w:r>
          </w:p>
        </w:tc>
      </w:tr>
      <w:tr w:rsidR="00A907A5" w:rsidRPr="00271E51" w14:paraId="5E8AB17F" w14:textId="77777777" w:rsidTr="00ED5B0A">
        <w:trPr>
          <w:trHeight w:val="422"/>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706949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22786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11534A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364E9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158EA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1B15E6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24066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6B96DD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5C8EC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581A46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31B24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34E70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20Бе-4</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333FD1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2458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18Бе-4 27УТ-2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3026E0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tc>
      </w:tr>
      <w:tr w:rsidR="00A907A5" w:rsidRPr="00271E51" w14:paraId="232C05B6" w14:textId="77777777" w:rsidTr="00ED5B0A">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09C848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464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639612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0F4777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3CA9B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EC8F6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EB86C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542573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3BCC31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2Як-6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983E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22A2DF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48Як-6 71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5D5EC5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7CAAD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736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581A6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736</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9DCF2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5C5425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557</w:t>
            </w:r>
          </w:p>
        </w:tc>
      </w:tr>
      <w:tr w:rsidR="00A907A5" w:rsidRPr="00271E51" w14:paraId="4AA0E616" w14:textId="77777777" w:rsidTr="00ED5B0A">
        <w:trPr>
          <w:trHeight w:val="418"/>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6AE3E5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471</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43E50C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4520EB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1AE719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2EBD0A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2557B4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0AA08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061086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1Яж-6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2FEC9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38A73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81Як-6 53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316E23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9501A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657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124E1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657</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EEC57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417У-2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0BE0D0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417</w:t>
            </w:r>
          </w:p>
        </w:tc>
      </w:tr>
      <w:tr w:rsidR="00A907A5" w:rsidRPr="00271E51" w14:paraId="030CF6B3" w14:textId="77777777" w:rsidTr="00ED5B0A">
        <w:trPr>
          <w:trHeight w:val="226"/>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19A7A9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494</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01E15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2D3AEB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485DEA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5604B9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E53CC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3FCA12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63D71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 У-2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E37B5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7A3262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 У-2</w:t>
            </w: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79E941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47CFA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 У-2</w:t>
            </w: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49A014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695</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D43D6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 У-2</w:t>
            </w: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4E7F41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w:t>
            </w:r>
          </w:p>
        </w:tc>
      </w:tr>
      <w:tr w:rsidR="00A907A5" w:rsidRPr="00271E51" w14:paraId="5C1DDA75" w14:textId="77777777" w:rsidTr="00ED5B0A">
        <w:trPr>
          <w:trHeight w:val="254"/>
        </w:trPr>
        <w:tc>
          <w:tcPr>
            <w:tcW w:w="542" w:type="dxa"/>
            <w:tcBorders>
              <w:top w:val="single" w:sz="6" w:space="0" w:color="auto"/>
              <w:left w:val="single" w:sz="6" w:space="0" w:color="auto"/>
              <w:bottom w:val="single" w:sz="6" w:space="0" w:color="auto"/>
              <w:right w:val="single" w:sz="6" w:space="0" w:color="auto"/>
            </w:tcBorders>
            <w:shd w:val="clear" w:color="auto" w:fill="FFFFFF"/>
          </w:tcPr>
          <w:p w14:paraId="2360E9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57EE71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718E6A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10342</w:t>
            </w:r>
          </w:p>
        </w:tc>
        <w:tc>
          <w:tcPr>
            <w:tcW w:w="734" w:type="dxa"/>
            <w:gridSpan w:val="2"/>
            <w:tcBorders>
              <w:top w:val="single" w:sz="6" w:space="0" w:color="auto"/>
              <w:left w:val="single" w:sz="6" w:space="0" w:color="auto"/>
              <w:bottom w:val="single" w:sz="6" w:space="0" w:color="auto"/>
              <w:right w:val="single" w:sz="6" w:space="0" w:color="auto"/>
            </w:tcBorders>
            <w:shd w:val="clear" w:color="auto" w:fill="FFFFFF"/>
          </w:tcPr>
          <w:p w14:paraId="7FA140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6828F4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10137</w:t>
            </w:r>
          </w:p>
        </w:tc>
        <w:tc>
          <w:tcPr>
            <w:tcW w:w="730" w:type="dxa"/>
            <w:gridSpan w:val="2"/>
            <w:tcBorders>
              <w:top w:val="single" w:sz="6" w:space="0" w:color="auto"/>
              <w:left w:val="single" w:sz="6" w:space="0" w:color="auto"/>
              <w:bottom w:val="single" w:sz="6" w:space="0" w:color="auto"/>
              <w:right w:val="single" w:sz="6" w:space="0" w:color="auto"/>
            </w:tcBorders>
            <w:shd w:val="clear" w:color="auto" w:fill="FFFFFF"/>
          </w:tcPr>
          <w:p w14:paraId="063D10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gridSpan w:val="2"/>
            <w:tcBorders>
              <w:top w:val="single" w:sz="6" w:space="0" w:color="auto"/>
              <w:left w:val="single" w:sz="6" w:space="0" w:color="auto"/>
              <w:bottom w:val="single" w:sz="6" w:space="0" w:color="auto"/>
              <w:right w:val="single" w:sz="6" w:space="0" w:color="auto"/>
            </w:tcBorders>
            <w:shd w:val="clear" w:color="auto" w:fill="FFFFFF"/>
          </w:tcPr>
          <w:p w14:paraId="6FA5C3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14946</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45A0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B1CF2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25348</w:t>
            </w:r>
          </w:p>
        </w:tc>
        <w:tc>
          <w:tcPr>
            <w:tcW w:w="730" w:type="dxa"/>
            <w:tcBorders>
              <w:top w:val="single" w:sz="6" w:space="0" w:color="auto"/>
              <w:left w:val="single" w:sz="6" w:space="0" w:color="auto"/>
              <w:bottom w:val="single" w:sz="6" w:space="0" w:color="auto"/>
              <w:right w:val="single" w:sz="6" w:space="0" w:color="auto"/>
            </w:tcBorders>
            <w:shd w:val="clear" w:color="auto" w:fill="FFFFFF"/>
          </w:tcPr>
          <w:p w14:paraId="409E29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6" w:type="dxa"/>
            <w:tcBorders>
              <w:top w:val="single" w:sz="6" w:space="0" w:color="auto"/>
              <w:left w:val="single" w:sz="6" w:space="0" w:color="auto"/>
              <w:bottom w:val="single" w:sz="6" w:space="0" w:color="auto"/>
              <w:right w:val="single" w:sz="6" w:space="0" w:color="auto"/>
            </w:tcBorders>
            <w:shd w:val="clear" w:color="auto" w:fill="FFFFFF"/>
          </w:tcPr>
          <w:p w14:paraId="0EAC1C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34639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BBCE9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1" w:type="dxa"/>
            <w:gridSpan w:val="2"/>
            <w:tcBorders>
              <w:top w:val="single" w:sz="6" w:space="0" w:color="auto"/>
              <w:left w:val="single" w:sz="6" w:space="0" w:color="auto"/>
              <w:bottom w:val="single" w:sz="6" w:space="0" w:color="auto"/>
              <w:right w:val="single" w:sz="6" w:space="0" w:color="auto"/>
            </w:tcBorders>
            <w:shd w:val="clear" w:color="auto" w:fill="FFFFFF"/>
          </w:tcPr>
          <w:p w14:paraId="19623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40261</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7F689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4" w:type="dxa"/>
            <w:tcBorders>
              <w:top w:val="single" w:sz="6" w:space="0" w:color="auto"/>
              <w:left w:val="single" w:sz="6" w:space="0" w:color="auto"/>
              <w:bottom w:val="single" w:sz="6" w:space="0" w:color="auto"/>
              <w:right w:val="single" w:sz="6" w:space="0" w:color="auto"/>
            </w:tcBorders>
            <w:shd w:val="clear" w:color="auto" w:fill="FFFFFF"/>
          </w:tcPr>
          <w:p w14:paraId="7807BE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26479</w:t>
            </w:r>
          </w:p>
        </w:tc>
      </w:tr>
    </w:tbl>
    <w:p w14:paraId="0052A608" w14:textId="77777777" w:rsidR="00FC04C9" w:rsidRPr="00271E51" w:rsidRDefault="00FC04C9" w:rsidP="00271E51">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(12011).</w:t>
      </w:r>
    </w:p>
    <w:p w14:paraId="7DB827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 (12,29 % всего авиавыпуска). Второй по мас</w:t>
      </w:r>
      <w:r w:rsidRPr="00271E51">
        <w:rPr>
          <w:rFonts w:ascii="Times New Roman" w:hAnsi="Times New Roman"/>
          <w:color w:val="000000" w:themeColor="text1"/>
          <w:sz w:val="16"/>
          <w:szCs w:val="16"/>
        </w:rPr>
        <w:softHyphen/>
        <w:t>штабам выпуска производитель Ил-2.</w:t>
      </w:r>
    </w:p>
    <w:p w14:paraId="1CC19C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 (13,57 % всего авиавыпуска). Головное предприятие по выпуску Ил-2.</w:t>
      </w:r>
    </w:p>
    <w:p w14:paraId="4A90DF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21 (13,33 % всего авиавыпуска). Головное предприятие по выпуску Ла-5.</w:t>
      </w:r>
    </w:p>
    <w:p w14:paraId="32E024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22 (7,08 % всего авиавыпуска). Головное пред</w:t>
      </w:r>
      <w:r w:rsidRPr="00271E51">
        <w:rPr>
          <w:rFonts w:ascii="Times New Roman" w:hAnsi="Times New Roman"/>
          <w:color w:val="000000" w:themeColor="text1"/>
          <w:sz w:val="16"/>
          <w:szCs w:val="16"/>
        </w:rPr>
        <w:softHyphen/>
        <w:t>приятие по выпуску Пе-2; попутно выпускал небольшую се</w:t>
      </w:r>
      <w:r w:rsidRPr="00271E51">
        <w:rPr>
          <w:rFonts w:ascii="Times New Roman" w:hAnsi="Times New Roman"/>
          <w:color w:val="000000" w:themeColor="text1"/>
          <w:sz w:val="16"/>
          <w:szCs w:val="16"/>
        </w:rPr>
        <w:softHyphen/>
        <w:t>рию Пе-8.</w:t>
      </w:r>
    </w:p>
    <w:p w14:paraId="5BEB6D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23 (0,79 % всего авиавыпуска). В 1942 г. про</w:t>
      </w:r>
      <w:r w:rsidRPr="00271E51">
        <w:rPr>
          <w:rFonts w:ascii="Times New Roman" w:hAnsi="Times New Roman"/>
          <w:color w:val="000000" w:themeColor="text1"/>
          <w:sz w:val="16"/>
          <w:szCs w:val="16"/>
        </w:rPr>
        <w:softHyphen/>
        <w:t>изводство Ту-2 на заводе № 166 было прекращено в пользу Як-9. Однако уже в 1943 г. Туполев добился возобновления производства своего бомбардировщика. Однако на этот раз по Ту-2 было решено выделить завод № 23. Впрочем, освое</w:t>
      </w:r>
      <w:r w:rsidRPr="00271E51">
        <w:rPr>
          <w:rFonts w:ascii="Times New Roman" w:hAnsi="Times New Roman"/>
          <w:color w:val="000000" w:themeColor="text1"/>
          <w:sz w:val="16"/>
          <w:szCs w:val="16"/>
        </w:rPr>
        <w:softHyphen/>
        <w:t>ние Ту-2 на заводе задерживалось, и большинство машин, ко</w:t>
      </w:r>
      <w:r w:rsidRPr="00271E51">
        <w:rPr>
          <w:rFonts w:ascii="Times New Roman" w:hAnsi="Times New Roman"/>
          <w:color w:val="000000" w:themeColor="text1"/>
          <w:sz w:val="16"/>
          <w:szCs w:val="16"/>
        </w:rPr>
        <w:softHyphen/>
        <w:t>торыми предприятие отчиталось за 1943 г., были Ил-4.</w:t>
      </w:r>
    </w:p>
    <w:p w14:paraId="71CCA0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30 (6,45 % всего авиавыпуска). Третий по значе</w:t>
      </w:r>
      <w:r w:rsidRPr="00271E51">
        <w:rPr>
          <w:rFonts w:ascii="Times New Roman" w:hAnsi="Times New Roman"/>
          <w:color w:val="000000" w:themeColor="text1"/>
          <w:sz w:val="16"/>
          <w:szCs w:val="16"/>
        </w:rPr>
        <w:softHyphen/>
        <w:t>нию центр производства Ил-2.</w:t>
      </w:r>
    </w:p>
    <w:p w14:paraId="523348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31 (3,09 % всего авиавыпуска). Фактически свер</w:t>
      </w:r>
      <w:r w:rsidRPr="00271E51">
        <w:rPr>
          <w:rFonts w:ascii="Times New Roman" w:hAnsi="Times New Roman"/>
          <w:color w:val="000000" w:themeColor="text1"/>
          <w:sz w:val="16"/>
          <w:szCs w:val="16"/>
        </w:rPr>
        <w:softHyphen/>
        <w:t>нул выпуск Ла-5, сосредоточив все ресурсы на производстве обладающих относительно большой дальностью ЛаГТ-3. Это был единственный завод, всё ещё выпускавший эти самолё</w:t>
      </w:r>
      <w:r w:rsidRPr="00271E51">
        <w:rPr>
          <w:rFonts w:ascii="Times New Roman" w:hAnsi="Times New Roman"/>
          <w:color w:val="000000" w:themeColor="text1"/>
          <w:sz w:val="16"/>
          <w:szCs w:val="16"/>
        </w:rPr>
        <w:softHyphen/>
        <w:t>ты.</w:t>
      </w:r>
    </w:p>
    <w:p w14:paraId="147899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39 (2,07% всего авиавыпуска). Производство Пе-2 (и его модификации — Пе-3) сворачивалось. Синхрон</w:t>
      </w:r>
      <w:r w:rsidRPr="00271E51">
        <w:rPr>
          <w:rFonts w:ascii="Times New Roman" w:hAnsi="Times New Roman"/>
          <w:color w:val="000000" w:themeColor="text1"/>
          <w:sz w:val="16"/>
          <w:szCs w:val="16"/>
        </w:rPr>
        <w:softHyphen/>
        <w:t>но осваивалась новая модель бомбардировщика — Ер-2. При этом завод не прекращал выпуска Ил-4.</w:t>
      </w:r>
    </w:p>
    <w:p w14:paraId="719541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47 (0,65 % всего авиавыпуска). Головное пред</w:t>
      </w:r>
      <w:r w:rsidRPr="00271E51">
        <w:rPr>
          <w:rFonts w:ascii="Times New Roman" w:hAnsi="Times New Roman"/>
          <w:color w:val="000000" w:themeColor="text1"/>
          <w:sz w:val="16"/>
          <w:szCs w:val="16"/>
        </w:rPr>
        <w:softHyphen/>
        <w:t>приятие по выпуску Як-6.</w:t>
      </w:r>
    </w:p>
    <w:p w14:paraId="05FF80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 (1,85 % всего авиавыпуска). Вспомогательный завод по выпуску Як-7.</w:t>
      </w:r>
    </w:p>
    <w:p w14:paraId="35EED2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№84(1,78 % всего авиавыпуска). Единственный за</w:t>
      </w:r>
      <w:r w:rsidRPr="00271E51">
        <w:rPr>
          <w:rFonts w:ascii="Times New Roman" w:hAnsi="Times New Roman"/>
          <w:color w:val="000000" w:themeColor="text1"/>
          <w:sz w:val="16"/>
          <w:szCs w:val="16"/>
        </w:rPr>
        <w:softHyphen/>
        <w:t>вод в СССР, выпускавший транспортные самолёты Ли-2.</w:t>
      </w:r>
    </w:p>
    <w:p w14:paraId="2602F1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w:t>
      </w:r>
      <w:r w:rsidRPr="00271E51">
        <w:rPr>
          <w:rFonts w:ascii="Times New Roman" w:hAnsi="Times New Roman"/>
          <w:iCs/>
          <w:color w:val="000000" w:themeColor="text1"/>
          <w:sz w:val="16"/>
          <w:szCs w:val="16"/>
        </w:rPr>
        <w:t xml:space="preserve"> 99</w:t>
      </w:r>
      <w:r w:rsidRPr="00271E51">
        <w:rPr>
          <w:rFonts w:ascii="Times New Roman" w:hAnsi="Times New Roman"/>
          <w:color w:val="000000" w:themeColor="text1"/>
          <w:sz w:val="16"/>
          <w:szCs w:val="16"/>
        </w:rPr>
        <w:t xml:space="preserve"> (0,53 % всего авиавыпуска). Освоил выпуск Ла-5.</w:t>
      </w:r>
    </w:p>
    <w:p w14:paraId="59F1E9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Иб (2,03 % всего авиавыпуска). Головное пред</w:t>
      </w:r>
      <w:r w:rsidRPr="00271E51">
        <w:rPr>
          <w:rFonts w:ascii="Times New Roman" w:hAnsi="Times New Roman"/>
          <w:color w:val="000000" w:themeColor="text1"/>
          <w:sz w:val="16"/>
          <w:szCs w:val="16"/>
        </w:rPr>
        <w:softHyphen/>
        <w:t>приятие по выпуску УТ-2.</w:t>
      </w:r>
    </w:p>
    <w:p w14:paraId="308786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126 (1,77 % всего авиавыпуска). Продолжал про</w:t>
      </w:r>
      <w:r w:rsidRPr="00271E51">
        <w:rPr>
          <w:rFonts w:ascii="Times New Roman" w:hAnsi="Times New Roman"/>
          <w:color w:val="000000" w:themeColor="text1"/>
          <w:sz w:val="16"/>
          <w:szCs w:val="16"/>
        </w:rPr>
        <w:softHyphen/>
        <w:t>изводство Ил-4.</w:t>
      </w:r>
    </w:p>
    <w:p w14:paraId="5A4DF4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153 (12,75 % всего авиавыпуска). Головное пред</w:t>
      </w:r>
      <w:r w:rsidRPr="00271E51">
        <w:rPr>
          <w:rFonts w:ascii="Times New Roman" w:hAnsi="Times New Roman"/>
          <w:color w:val="000000" w:themeColor="text1"/>
          <w:sz w:val="16"/>
          <w:szCs w:val="16"/>
        </w:rPr>
        <w:softHyphen/>
        <w:t>приятие по выпуску Як-7 и Як-9. По суммарному количеству сданных за год машин — вообще головной завод яковлевских истребителей.</w:t>
      </w:r>
    </w:p>
    <w:p w14:paraId="7BA3E4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166 (2,12 % всего авиавыпуска). Вспомогатель</w:t>
      </w:r>
      <w:r w:rsidRPr="00271E51">
        <w:rPr>
          <w:rFonts w:ascii="Times New Roman" w:hAnsi="Times New Roman"/>
          <w:color w:val="000000" w:themeColor="text1"/>
          <w:sz w:val="16"/>
          <w:szCs w:val="16"/>
        </w:rPr>
        <w:softHyphen/>
        <w:t>ный завод по выпуску Як-9.</w:t>
      </w:r>
    </w:p>
    <w:p w14:paraId="597971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168 (0,60 % всего авиавыпуска). Вспомогатель</w:t>
      </w:r>
      <w:r w:rsidRPr="00271E51">
        <w:rPr>
          <w:rFonts w:ascii="Times New Roman" w:hAnsi="Times New Roman"/>
          <w:color w:val="000000" w:themeColor="text1"/>
          <w:sz w:val="16"/>
          <w:szCs w:val="16"/>
        </w:rPr>
        <w:softHyphen/>
        <w:t>ный завод по выпуску УТ-2.</w:t>
      </w:r>
    </w:p>
    <w:p w14:paraId="23118D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292 (7,85 % всего авиавыпуска). Головной завод по производству Як-1.</w:t>
      </w:r>
    </w:p>
    <w:p w14:paraId="7380FB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387 (7,89 % всего авиавыпуска). Головной завод по выпуску У-2.</w:t>
      </w:r>
    </w:p>
    <w:p w14:paraId="364D84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 464 и 471 (0,34 % и 0,39 % всего авиавыпуска соответственно). Мелкие серии Як-6 и У-2 на каждом.</w:t>
      </w:r>
    </w:p>
    <w:p w14:paraId="56EE32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494 (0,78 % всего авиавыпуска). Микросерия У-2.</w:t>
      </w:r>
    </w:p>
    <w:p w14:paraId="0B2398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Из рассмотрения выпал завод № 381. Этот завод, который на начало 1941 г. трактовался как второй центр производства Ил-2, к началу 1942 г. явно утратил особую приоритетность для выпуска штурмовиков. Поток Ил-2 с заводов № 1, 18 и 30 позволили не форсировать производство той же модели ещё и на нижнетагильском </w:t>
      </w:r>
      <w:r w:rsidRPr="00271E51">
        <w:rPr>
          <w:rFonts w:ascii="Times New Roman" w:hAnsi="Times New Roman"/>
          <w:color w:val="000000" w:themeColor="text1"/>
          <w:sz w:val="16"/>
          <w:szCs w:val="16"/>
        </w:rPr>
        <w:lastRenderedPageBreak/>
        <w:t>заводе. Было принято решение о переключении завода на выпуск Ла-5 — туда даже было переведено КБ Лавочкина. Однако в дальнейшем начались организационные пертурбации. Часть оборудования была пе</w:t>
      </w:r>
      <w:r w:rsidRPr="00271E51">
        <w:rPr>
          <w:rFonts w:ascii="Times New Roman" w:hAnsi="Times New Roman"/>
          <w:color w:val="000000" w:themeColor="text1"/>
          <w:sz w:val="16"/>
          <w:szCs w:val="16"/>
        </w:rPr>
        <w:softHyphen/>
        <w:t>редана заводу № 183</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а основные ресурсы завода были реэва</w:t>
      </w:r>
      <w:r w:rsidRPr="00271E51">
        <w:rPr>
          <w:rFonts w:ascii="Times New Roman" w:hAnsi="Times New Roman"/>
          <w:color w:val="000000" w:themeColor="text1"/>
          <w:sz w:val="16"/>
          <w:szCs w:val="16"/>
        </w:rPr>
        <w:softHyphen/>
        <w:t>куированы в Москву, на производственную площадку завода № 39. Там уже существовал завод № 81, ориентированный на ремонт авиатехники. Завод № 381 включил ремонтное</w:t>
      </w:r>
    </w:p>
    <w:p w14:paraId="6FB110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xml:space="preserve"> Он же Уральский вагоностроительный завод (УВЗ). Один из крупней</w:t>
      </w:r>
      <w:r w:rsidRPr="00271E51">
        <w:rPr>
          <w:rFonts w:ascii="Times New Roman" w:hAnsi="Times New Roman"/>
          <w:color w:val="000000" w:themeColor="text1"/>
          <w:sz w:val="16"/>
          <w:szCs w:val="16"/>
        </w:rPr>
        <w:softHyphen/>
        <w:t>ших танкостроительных заводов СССР военных лет.</w:t>
      </w:r>
    </w:p>
    <w:p w14:paraId="76CA62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предприятие в свой состав, однако все эти переезды и пере</w:t>
      </w:r>
      <w:r w:rsidRPr="00271E51">
        <w:rPr>
          <w:rFonts w:ascii="Times New Roman" w:hAnsi="Times New Roman"/>
          <w:color w:val="000000" w:themeColor="text1"/>
          <w:sz w:val="16"/>
          <w:szCs w:val="16"/>
        </w:rPr>
        <w:softHyphen/>
        <w:t>подчинения существенно замедлили начало серийного про</w:t>
      </w:r>
      <w:r w:rsidRPr="00271E51">
        <w:rPr>
          <w:rFonts w:ascii="Times New Roman" w:hAnsi="Times New Roman"/>
          <w:color w:val="000000" w:themeColor="text1"/>
          <w:sz w:val="16"/>
          <w:szCs w:val="16"/>
        </w:rPr>
        <w:softHyphen/>
        <w:t>изводства. Во всяком случае, за 1943 г. завод не отчитался ни единым самолётом.</w:t>
      </w:r>
    </w:p>
    <w:p w14:paraId="4D444C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7 ведущих предприятий НКАП в 1943 г. пришлось поч</w:t>
      </w:r>
      <w:r w:rsidRPr="00271E51">
        <w:rPr>
          <w:rFonts w:ascii="Times New Roman" w:hAnsi="Times New Roman"/>
          <w:color w:val="000000" w:themeColor="text1"/>
          <w:sz w:val="16"/>
          <w:szCs w:val="16"/>
        </w:rPr>
        <w:softHyphen/>
        <w:t>ти 75 % всего авиавыпуска. Как видим, состав топовой груп</w:t>
      </w:r>
      <w:r w:rsidRPr="00271E51">
        <w:rPr>
          <w:rFonts w:ascii="Times New Roman" w:hAnsi="Times New Roman"/>
          <w:color w:val="000000" w:themeColor="text1"/>
          <w:sz w:val="16"/>
          <w:szCs w:val="16"/>
        </w:rPr>
        <w:softHyphen/>
        <w:t>пы не изменился, но её вес несколько (надо признать, совсем чуть-чуть) снизился. Доли заводов № 1,21 и 153 — возросли. Напротив, удельный вес заводов № 18, 22, 292 и 387 — сни</w:t>
      </w:r>
      <w:r w:rsidRPr="00271E51">
        <w:rPr>
          <w:rFonts w:ascii="Times New Roman" w:hAnsi="Times New Roman"/>
          <w:color w:val="000000" w:themeColor="text1"/>
          <w:sz w:val="16"/>
          <w:szCs w:val="16"/>
        </w:rPr>
        <w:softHyphen/>
        <w:t>зился (12011).</w:t>
      </w:r>
    </w:p>
    <w:p w14:paraId="503DFD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579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w:t>
      </w:r>
    </w:p>
    <w:p w14:paraId="05500C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Движение, численность и использование рабочей силы на заводах НКАП в 1943 г.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2879. Л. 38,61,104,127)</w:t>
      </w:r>
    </w:p>
    <w:tbl>
      <w:tblPr>
        <w:tblW w:w="0" w:type="auto"/>
        <w:tblInd w:w="8" w:type="dxa"/>
        <w:tblLayout w:type="fixed"/>
        <w:tblCellMar>
          <w:left w:w="0" w:type="dxa"/>
          <w:right w:w="0" w:type="dxa"/>
        </w:tblCellMar>
        <w:tblLook w:val="0000" w:firstRow="0" w:lastRow="0" w:firstColumn="0" w:lastColumn="0" w:noHBand="0" w:noVBand="0"/>
      </w:tblPr>
      <w:tblGrid>
        <w:gridCol w:w="1829"/>
        <w:gridCol w:w="1022"/>
        <w:gridCol w:w="1022"/>
        <w:gridCol w:w="1027"/>
        <w:gridCol w:w="1061"/>
      </w:tblGrid>
      <w:tr w:rsidR="00A907A5" w:rsidRPr="00271E51" w14:paraId="086B27BD" w14:textId="77777777" w:rsidTr="00ED5B0A">
        <w:trPr>
          <w:trHeight w:val="235"/>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6AE998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E8FE0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 1943 г.</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09DB9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 xml:space="preserve">Mai </w:t>
            </w:r>
            <w:r w:rsidRPr="00271E51">
              <w:rPr>
                <w:rFonts w:ascii="Times New Roman" w:hAnsi="Times New Roman"/>
                <w:color w:val="000000" w:themeColor="text1"/>
                <w:sz w:val="16"/>
                <w:szCs w:val="16"/>
              </w:rPr>
              <w:t>1943 г.</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DE52C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 1943 г.</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BD794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 1943 п</w:t>
            </w:r>
          </w:p>
        </w:tc>
      </w:tr>
      <w:tr w:rsidR="00A907A5" w:rsidRPr="00271E51" w14:paraId="65094895" w14:textId="77777777" w:rsidTr="00ED5B0A">
        <w:trPr>
          <w:trHeight w:val="413"/>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11E045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Среднесписочное число рабочих</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3E339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428096</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F2922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424197</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81101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414688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F69B3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417258</w:t>
            </w:r>
          </w:p>
        </w:tc>
      </w:tr>
      <w:tr w:rsidR="00A907A5" w:rsidRPr="00271E51" w14:paraId="70B1C1CA" w14:textId="77777777" w:rsidTr="00ED5B0A">
        <w:trPr>
          <w:trHeight w:val="226"/>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30326F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Пришгго со стороны</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9E471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10053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BD1F3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12182</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07C8D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6843</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55FA1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8549</w:t>
            </w:r>
          </w:p>
        </w:tc>
      </w:tr>
      <w:tr w:rsidR="00A907A5" w:rsidRPr="00271E51" w14:paraId="244489E9" w14:textId="77777777" w:rsidTr="00ED5B0A">
        <w:trPr>
          <w:trHeight w:val="226"/>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6E6455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Выбыло на сторону</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A2CFD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9434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AF2C5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9589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E9C7E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9615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4B1CE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7988</w:t>
            </w:r>
          </w:p>
        </w:tc>
      </w:tr>
      <w:tr w:rsidR="00A907A5" w:rsidRPr="00271E51" w14:paraId="6AC4B327" w14:textId="77777777" w:rsidTr="00ED5B0A">
        <w:trPr>
          <w:trHeight w:val="216"/>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746B87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текучести</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5C4CAE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lang w:val="en-US"/>
              </w:rPr>
              <w:t>XL</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4C7C5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EF34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5EC71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r>
      <w:tr w:rsidR="00A907A5" w:rsidRPr="00271E51" w14:paraId="17572509" w14:textId="77777777" w:rsidTr="00ED5B0A">
        <w:trPr>
          <w:trHeight w:val="413"/>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1719C0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Чвсло рабочих, совершивших прогул</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520925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5556</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3FCB7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5804</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12A4D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EFC7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5391</w:t>
            </w:r>
          </w:p>
        </w:tc>
      </w:tr>
      <w:tr w:rsidR="00A907A5" w:rsidRPr="00271E51" w14:paraId="29A230F4" w14:textId="77777777" w:rsidTr="00ED5B0A">
        <w:trPr>
          <w:trHeight w:val="226"/>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053489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отработано человекодней</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B91E5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9533408</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71E0F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9947221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743B8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9994104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C0C94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10264831</w:t>
            </w:r>
          </w:p>
        </w:tc>
      </w:tr>
      <w:tr w:rsidR="00A907A5" w:rsidRPr="00271E51" w14:paraId="13F85E47" w14:textId="77777777" w:rsidTr="00ED5B0A">
        <w:trPr>
          <w:trHeight w:val="413"/>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4E3CD8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Человекодней целодневных простоев</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F48D5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144733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7840BB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23394</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666222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17917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DD373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18710</w:t>
            </w:r>
          </w:p>
        </w:tc>
      </w:tr>
      <w:tr w:rsidR="00A907A5" w:rsidRPr="00271E51" w14:paraId="700D317B" w14:textId="77777777" w:rsidTr="00ED5B0A">
        <w:trPr>
          <w:trHeight w:val="216"/>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3A4573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Прогулы (человекодней)</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157F21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84136</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93F8E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79025</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264EBC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77335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5AE05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5F463159" w14:textId="77777777" w:rsidTr="00ED5B0A">
        <w:trPr>
          <w:trHeight w:val="418"/>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453040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Отработано человекочасов В том числе</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6733FC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90843000</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507155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94681000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26F3D6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94884000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3715E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97533100</w:t>
            </w:r>
          </w:p>
        </w:tc>
      </w:tr>
      <w:tr w:rsidR="00A907A5" w:rsidRPr="00271E51" w14:paraId="06BBF6D5" w14:textId="77777777" w:rsidTr="00ED5B0A">
        <w:trPr>
          <w:trHeight w:val="221"/>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22E01E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сверхурочно</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0B025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18790000</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741C4B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18591000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C8F47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19829000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FC5EA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20810000</w:t>
            </w:r>
          </w:p>
        </w:tc>
      </w:tr>
      <w:tr w:rsidR="00A907A5" w:rsidRPr="00271E51" w14:paraId="18ED846B" w14:textId="77777777" w:rsidTr="00ED5B0A">
        <w:trPr>
          <w:trHeight w:val="221"/>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73F8FA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сдельно</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19ED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53413000</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35387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55822000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2118C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56697000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63E23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59787000</w:t>
            </w:r>
          </w:p>
        </w:tc>
      </w:tr>
      <w:tr w:rsidR="00A907A5" w:rsidRPr="00271E51" w14:paraId="7789BBBD" w14:textId="77777777" w:rsidTr="00ED5B0A">
        <w:trPr>
          <w:trHeight w:val="245"/>
        </w:trPr>
        <w:tc>
          <w:tcPr>
            <w:tcW w:w="1829" w:type="dxa"/>
            <w:tcBorders>
              <w:top w:val="single" w:sz="6" w:space="0" w:color="auto"/>
              <w:left w:val="single" w:sz="6" w:space="0" w:color="auto"/>
              <w:bottom w:val="single" w:sz="6" w:space="0" w:color="auto"/>
              <w:right w:val="single" w:sz="6" w:space="0" w:color="auto"/>
            </w:tcBorders>
            <w:shd w:val="clear" w:color="auto" w:fill="FFFFFF"/>
          </w:tcPr>
          <w:p w14:paraId="6AFDBB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Человекодней текущего простоя</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306C5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2825182</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55C51B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1136019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5C7F2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962070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62BFEA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851513</w:t>
            </w:r>
          </w:p>
        </w:tc>
      </w:tr>
    </w:tbl>
    <w:p w14:paraId="79F4277C" w14:textId="77777777" w:rsidR="00FC04C9" w:rsidRPr="00271E51" w:rsidRDefault="00FC04C9" w:rsidP="00271E51">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наглядно демонстрирует постоянное снижение потерь времени от прогулов и простоев и синхронный рост| числа отработанных человекодней на фоне практически неизменной численности рабочих авиапромышленности. Оче</w:t>
      </w:r>
      <w:r w:rsidRPr="00271E51">
        <w:rPr>
          <w:rFonts w:ascii="Times New Roman" w:hAnsi="Times New Roman"/>
          <w:color w:val="000000" w:themeColor="text1"/>
          <w:sz w:val="16"/>
          <w:szCs w:val="16"/>
        </w:rPr>
        <w:softHyphen/>
        <w:t>видно, что текучесть кадров перестала существовать как фактор, имеющий существенное значение для организации авиапуска. Наконец, следует отметить, что к середине 1943 г. численность персонала авиапромышленности стабилизиру</w:t>
      </w:r>
      <w:r w:rsidRPr="00271E51">
        <w:rPr>
          <w:rFonts w:ascii="Times New Roman" w:hAnsi="Times New Roman"/>
          <w:color w:val="000000" w:themeColor="text1"/>
          <w:sz w:val="16"/>
          <w:szCs w:val="16"/>
        </w:rPr>
        <w:softHyphen/>
        <w:t>ется, что позволяет провести через лето 1943 г. своеобраз</w:t>
      </w:r>
      <w:r w:rsidRPr="00271E51">
        <w:rPr>
          <w:rFonts w:ascii="Times New Roman" w:hAnsi="Times New Roman"/>
          <w:color w:val="000000" w:themeColor="text1"/>
          <w:sz w:val="16"/>
          <w:szCs w:val="16"/>
        </w:rPr>
        <w:softHyphen/>
        <w:t>ный водораздел. Авиапромышленность, очевидно, завер</w:t>
      </w:r>
      <w:r w:rsidRPr="00271E51">
        <w:rPr>
          <w:rFonts w:ascii="Times New Roman" w:hAnsi="Times New Roman"/>
          <w:color w:val="000000" w:themeColor="text1"/>
          <w:sz w:val="16"/>
          <w:szCs w:val="16"/>
        </w:rPr>
        <w:softHyphen/>
        <w:t>шила процесс количественного наращивания численности работников и перешла к фазе поиска путей качественного роста (12011).</w:t>
      </w:r>
    </w:p>
    <w:p w14:paraId="269BBA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0B2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площадке завода № 452 («Промпаровоз») в Днепропетровске был вновь образован Завод № 486 НКАП, НКЦМ /Украина  г. Днепропетровск/</w:t>
      </w:r>
    </w:p>
    <w:p w14:paraId="15E92F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соответствии с пост. ГКО № 5684 от 19.04.1944 г. и приказом НКАП/НКЦМ № 298с/107с от 29.04.1944 г. завод переведен в ведение НКЦМ со всем оборудованием и личным составом.</w:t>
      </w:r>
    </w:p>
    <w:p w14:paraId="2DC897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(04.1944 г.)- В.В. Ошко, Иванов (11982).</w:t>
      </w:r>
    </w:p>
    <w:p w14:paraId="036263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0EA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эксплуатацию была введена труба больших скоростей (5,55).</w:t>
      </w:r>
    </w:p>
    <w:p w14:paraId="1CBA05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81C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МНПО Союз берет начало с опытного завода 300, созданного в 1943 (62,361).</w:t>
      </w:r>
    </w:p>
    <w:p w14:paraId="45F5E0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A39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издали "Руководство для конструкторов" (173,228).</w:t>
      </w:r>
    </w:p>
    <w:p w14:paraId="7737E5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C40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для "для окраски самолетов в авиачастях АДД" ВИАМом по заданию Авиации Дальнего Действия была разработана несмываемая нитромасляная черная матовая эмаль А-31НМ. Краска понравилась заказчику, но выпуск ее налажен не был [43] (3522).</w:t>
      </w:r>
    </w:p>
    <w:p w14:paraId="71E904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CBA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 № 300 завершил доводку первого в нашей стране турбокомпрессора, надежно работавшего в течение установленного ресурса - ТК-3. Параллельно с ТК-3 Микулин разрабатывал турбокомпрессор собственной конструкции ТК-300, затем ТК-300Б, которые явились прототипами уникального турбокомпрессора АМТК-1. К его проектированию Микулин приступил еще в конце 1943 г. (9030).</w:t>
      </w:r>
    </w:p>
    <w:p w14:paraId="677E8E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095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 № 300 занимался проектированием, постройкой и устранением дефектов моторов АМ-39, АМ-39А и АМ-39Ф. Кроме того, намечалась постройка и проведение испытаний мотора АМ-43ТР с турбореактором, модификации двигателя АМ-35А с непосредственным впрыском топлива и турбокомпрессором. Далеко не все из указанного удалось выполнить в 1943 г. В полном объеме опытные, экспериментальные и научно-исследовательские работы, внедрение в серию турбокомпрессоров стали возможными лишь в 1944 г. (9032).</w:t>
      </w:r>
    </w:p>
    <w:p w14:paraId="31B8A5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243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конференции конструкторов в ЦИАМ был продемонстрирован двигатель АМ-43 и произвел хорошее впечатле</w:t>
      </w:r>
      <w:r w:rsidRPr="00271E51">
        <w:rPr>
          <w:rFonts w:ascii="Times New Roman" w:hAnsi="Times New Roman"/>
          <w:color w:val="000000" w:themeColor="text1"/>
          <w:sz w:val="16"/>
          <w:szCs w:val="16"/>
        </w:rPr>
        <w:softHyphen/>
        <w:t>ние. Он имел взлетную мощность 2300 л. с. п номинальную 2000 л. с. на расчетной высоте 2300 м. Высокая мощность достигалась благода</w:t>
      </w:r>
      <w:r w:rsidRPr="00271E51">
        <w:rPr>
          <w:rFonts w:ascii="Times New Roman" w:hAnsi="Times New Roman"/>
          <w:color w:val="000000" w:themeColor="text1"/>
          <w:sz w:val="16"/>
          <w:szCs w:val="16"/>
        </w:rPr>
        <w:softHyphen/>
        <w:t>ря применению нового всасывающего трубопровода, увеличению на 50% проходного сечения выпускных клапанов, применению нового кулачкового валика с расширенными фазами газораспределения. В 1945 г. Флискому ставилась задача завершить конструктивную доработку и довести до 50-часового ресурса моторы М-43НВ и М-45НВ. Отметим, что завод № 24 с этой задачей не справился. Двигатель М-45НВ планировалось использовать на скоростном и маневренном самолете-штурмовике Ил-16. С двигателем М-43НВ со взлетной мощностью 2300 л. с. у нового штурмовика максималь</w:t>
      </w:r>
      <w:r w:rsidRPr="00271E51">
        <w:rPr>
          <w:rFonts w:ascii="Times New Roman" w:hAnsi="Times New Roman"/>
          <w:color w:val="000000" w:themeColor="text1"/>
          <w:sz w:val="16"/>
          <w:szCs w:val="16"/>
        </w:rPr>
        <w:softHyphen/>
        <w:t>ная расчетная скорость составляла 625 км/ч. В начале 1945 г. В.К. Коккинаки совершил на нем первый полет. Но вскоре работы по самолету из-за недоведенности силовой установки, а также в свя</w:t>
      </w:r>
      <w:r w:rsidRPr="00271E51">
        <w:rPr>
          <w:rFonts w:ascii="Times New Roman" w:hAnsi="Times New Roman"/>
          <w:color w:val="000000" w:themeColor="text1"/>
          <w:sz w:val="16"/>
          <w:szCs w:val="16"/>
        </w:rPr>
        <w:softHyphen/>
        <w:t>зи с окончанием войны и отсутствием четких взглядов на пути раз</w:t>
      </w:r>
      <w:r w:rsidRPr="00271E51">
        <w:rPr>
          <w:rFonts w:ascii="Times New Roman" w:hAnsi="Times New Roman"/>
          <w:color w:val="000000" w:themeColor="text1"/>
          <w:sz w:val="16"/>
          <w:szCs w:val="16"/>
        </w:rPr>
        <w:softHyphen/>
        <w:t>вития штурмовиков по указанию Главкома ВВС были прекращены. Планировалось использовать этот мотор также и на послевоен</w:t>
      </w:r>
      <w:r w:rsidRPr="00271E51">
        <w:rPr>
          <w:rFonts w:ascii="Times New Roman" w:hAnsi="Times New Roman"/>
          <w:color w:val="000000" w:themeColor="text1"/>
          <w:sz w:val="16"/>
          <w:szCs w:val="16"/>
        </w:rPr>
        <w:softHyphen/>
        <w:t>ных модификациях самолета Ил-10 вместо АМ-42, но этот замысел не был реализован из-за недоведенности мотора. В декабре 1945 г. проходил испытания только один экземпляр самолета Ил-10 с этим двигателем. Получили максимальную скорость у земли 540 км/ч, а на расчетной высоте 2200 м — 575 км/ч. (10781).</w:t>
      </w:r>
    </w:p>
    <w:p w14:paraId="52FE2E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06E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было принято решение – на месте бывш. завода № 29 НКАП организовать ремонтную базу по ремонту авиадвигателей М-88Б.</w:t>
      </w:r>
    </w:p>
    <w:p w14:paraId="4ECF2E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ГКО № 4922сс от 11 января 1944 года и выписки из приказа НКАП от 16 января 1944 года № 24с было решено организовать в Запорожье на базе бывш. завода № 29 авиаремонтный завод.</w:t>
      </w:r>
    </w:p>
    <w:p w14:paraId="7D2C5E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Присвоить организованному авиаремонтному заводу № 478.</w:t>
      </w:r>
    </w:p>
    <w:p w14:paraId="2A4282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24 сентября 1944 года – директор Авраменко А.К.</w:t>
      </w:r>
    </w:p>
    <w:p w14:paraId="549002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приказу НКАП № 193с от 5 мая 1945 года на заводе № 478 было положено начало организации ОКБ, на которое возлагались функции внедрения в серийное </w:t>
      </w:r>
      <w:r w:rsidRPr="00271E51">
        <w:rPr>
          <w:rFonts w:ascii="Times New Roman" w:hAnsi="Times New Roman"/>
          <w:color w:val="000000" w:themeColor="text1"/>
          <w:sz w:val="16"/>
          <w:szCs w:val="16"/>
        </w:rPr>
        <w:lastRenderedPageBreak/>
        <w:t>производство авиамоторов М-88б и создание новых и модифицированных моторов. Начальником ОКБ был назначен Ивченко А.Г.</w:t>
      </w:r>
    </w:p>
    <w:p w14:paraId="33C564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36A78E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8 мая 1947 года – директор Шубин И.М.</w:t>
      </w:r>
    </w:p>
    <w:p w14:paraId="551E8B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УССР, Запорожье, пл. им. Шевченко</w:t>
      </w:r>
    </w:p>
    <w:p w14:paraId="0FD28B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1B4DAD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0DFC61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2BE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1943 г. завод № 16 выпустил 493 мотора М-105РА и 3928 моторов М-105ПФ – всего 4421 мотор при плане 4202 мотора. На следующий год в производстве находился только вариант ПФ (12049).</w:t>
      </w:r>
    </w:p>
    <w:p w14:paraId="1DF146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984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1943 Винт Гидроматик (флюгерный)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080"/>
        <w:gridCol w:w="1589"/>
        <w:gridCol w:w="1661"/>
        <w:gridCol w:w="4545"/>
      </w:tblGrid>
      <w:tr w:rsidR="00A907A5" w:rsidRPr="00271E51" w14:paraId="533369AB" w14:textId="77777777" w:rsidTr="00ED5B0A">
        <w:trPr>
          <w:tblCellSpacing w:w="7" w:type="dxa"/>
          <w:jc w:val="center"/>
        </w:trPr>
        <w:tc>
          <w:tcPr>
            <w:tcW w:w="0" w:type="auto"/>
            <w:gridSpan w:val="4"/>
            <w:vAlign w:val="center"/>
            <w:hideMark/>
          </w:tcPr>
          <w:p w14:paraId="6FBD7B6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Винт Гидроматик (флюгерный)    Производства фирмы Гамильтон-Стандарт</w:t>
            </w:r>
          </w:p>
        </w:tc>
      </w:tr>
      <w:tr w:rsidR="00A907A5" w:rsidRPr="00271E51" w14:paraId="2F3E212A" w14:textId="77777777" w:rsidTr="00ED5B0A">
        <w:trPr>
          <w:tblCellSpacing w:w="7" w:type="dxa"/>
          <w:jc w:val="center"/>
        </w:trPr>
        <w:tc>
          <w:tcPr>
            <w:tcW w:w="0" w:type="auto"/>
            <w:vAlign w:val="center"/>
            <w:hideMark/>
          </w:tcPr>
          <w:p w14:paraId="7669A3C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винта</w:t>
            </w:r>
          </w:p>
        </w:tc>
        <w:tc>
          <w:tcPr>
            <w:tcW w:w="0" w:type="auto"/>
            <w:vAlign w:val="center"/>
            <w:hideMark/>
          </w:tcPr>
          <w:p w14:paraId="4DBC0CC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гидравлическ. автомат</w:t>
            </w:r>
          </w:p>
        </w:tc>
        <w:tc>
          <w:tcPr>
            <w:tcW w:w="0" w:type="auto"/>
            <w:vMerge w:val="restart"/>
            <w:vAlign w:val="center"/>
            <w:hideMark/>
          </w:tcPr>
          <w:p w14:paraId="4242732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Предназначен для</w:t>
            </w:r>
          </w:p>
          <w:p w14:paraId="0A49532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на самолетах</w:t>
            </w:r>
          </w:p>
        </w:tc>
        <w:tc>
          <w:tcPr>
            <w:tcW w:w="0" w:type="auto"/>
            <w:vMerge w:val="restart"/>
            <w:vAlign w:val="center"/>
            <w:hideMark/>
          </w:tcPr>
          <w:p w14:paraId="3A06BAE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"Норт-Америкен" В-25-С с 2-мя моторами Райт "Циклон" GR-2600-13</w:t>
            </w:r>
          </w:p>
        </w:tc>
      </w:tr>
      <w:tr w:rsidR="00A907A5" w:rsidRPr="00271E51" w14:paraId="4605DF81" w14:textId="77777777" w:rsidTr="00ED5B0A">
        <w:trPr>
          <w:tblCellSpacing w:w="7" w:type="dxa"/>
          <w:jc w:val="center"/>
        </w:trPr>
        <w:tc>
          <w:tcPr>
            <w:tcW w:w="0" w:type="auto"/>
            <w:vAlign w:val="center"/>
            <w:hideMark/>
          </w:tcPr>
          <w:p w14:paraId="7D8B26E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действия</w:t>
            </w:r>
          </w:p>
        </w:tc>
        <w:tc>
          <w:tcPr>
            <w:tcW w:w="0" w:type="auto"/>
            <w:vAlign w:val="center"/>
            <w:hideMark/>
          </w:tcPr>
          <w:p w14:paraId="5E5FE27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двухсторонняя</w:t>
            </w:r>
          </w:p>
        </w:tc>
        <w:tc>
          <w:tcPr>
            <w:tcW w:w="0" w:type="auto"/>
            <w:vMerge/>
            <w:vAlign w:val="center"/>
            <w:hideMark/>
          </w:tcPr>
          <w:p w14:paraId="1F8040A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163D3AC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366441AB" w14:textId="77777777" w:rsidTr="00ED5B0A">
        <w:trPr>
          <w:tblCellSpacing w:w="7" w:type="dxa"/>
          <w:jc w:val="center"/>
        </w:trPr>
        <w:tc>
          <w:tcPr>
            <w:tcW w:w="0" w:type="auto"/>
            <w:vAlign w:val="center"/>
            <w:hideMark/>
          </w:tcPr>
          <w:p w14:paraId="6A5C3C9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лопастей</w:t>
            </w:r>
          </w:p>
        </w:tc>
        <w:tc>
          <w:tcPr>
            <w:tcW w:w="0" w:type="auto"/>
            <w:vAlign w:val="center"/>
            <w:hideMark/>
          </w:tcPr>
          <w:p w14:paraId="6F8C654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gridSpan w:val="2"/>
            <w:vMerge w:val="restart"/>
            <w:vAlign w:val="center"/>
            <w:hideMark/>
          </w:tcPr>
          <w:p w14:paraId="7817715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945BDF6" w14:textId="77777777" w:rsidTr="00ED5B0A">
        <w:trPr>
          <w:tblCellSpacing w:w="7" w:type="dxa"/>
          <w:jc w:val="center"/>
        </w:trPr>
        <w:tc>
          <w:tcPr>
            <w:tcW w:w="0" w:type="auto"/>
            <w:vAlign w:val="center"/>
            <w:hideMark/>
          </w:tcPr>
          <w:p w14:paraId="3F380AF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 лопастей</w:t>
            </w:r>
          </w:p>
        </w:tc>
        <w:tc>
          <w:tcPr>
            <w:tcW w:w="0" w:type="auto"/>
            <w:vAlign w:val="center"/>
            <w:hideMark/>
          </w:tcPr>
          <w:p w14:paraId="6409C1B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дюраль</w:t>
            </w:r>
          </w:p>
        </w:tc>
        <w:tc>
          <w:tcPr>
            <w:tcW w:w="0" w:type="auto"/>
            <w:gridSpan w:val="2"/>
            <w:vMerge/>
            <w:vAlign w:val="center"/>
            <w:hideMark/>
          </w:tcPr>
          <w:p w14:paraId="655A0384"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FD3E5E3" w14:textId="77777777" w:rsidTr="00ED5B0A">
        <w:trPr>
          <w:tblCellSpacing w:w="7" w:type="dxa"/>
          <w:jc w:val="center"/>
        </w:trPr>
        <w:tc>
          <w:tcPr>
            <w:tcW w:w="0" w:type="auto"/>
            <w:vAlign w:val="center"/>
            <w:hideMark/>
          </w:tcPr>
          <w:p w14:paraId="13956C7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винта (м)</w:t>
            </w:r>
          </w:p>
        </w:tc>
        <w:tc>
          <w:tcPr>
            <w:tcW w:w="0" w:type="auto"/>
            <w:vAlign w:val="center"/>
            <w:hideMark/>
          </w:tcPr>
          <w:p w14:paraId="66700DB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w:t>
            </w:r>
          </w:p>
        </w:tc>
        <w:tc>
          <w:tcPr>
            <w:tcW w:w="0" w:type="auto"/>
            <w:gridSpan w:val="2"/>
            <w:vMerge/>
            <w:vAlign w:val="center"/>
            <w:hideMark/>
          </w:tcPr>
          <w:p w14:paraId="73CB0D8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3B6C3438" w14:textId="77777777" w:rsidTr="00ED5B0A">
        <w:trPr>
          <w:tblCellSpacing w:w="7" w:type="dxa"/>
          <w:jc w:val="center"/>
        </w:trPr>
        <w:tc>
          <w:tcPr>
            <w:tcW w:w="0" w:type="auto"/>
            <w:vAlign w:val="center"/>
            <w:hideMark/>
          </w:tcPr>
          <w:p w14:paraId="0F27257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ширина лопастей (мм)</w:t>
            </w:r>
          </w:p>
        </w:tc>
        <w:tc>
          <w:tcPr>
            <w:tcW w:w="0" w:type="auto"/>
            <w:vAlign w:val="center"/>
            <w:hideMark/>
          </w:tcPr>
          <w:p w14:paraId="6BD5CEB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w:t>
            </w:r>
          </w:p>
        </w:tc>
        <w:tc>
          <w:tcPr>
            <w:tcW w:w="0" w:type="auto"/>
            <w:gridSpan w:val="2"/>
            <w:vMerge/>
            <w:vAlign w:val="center"/>
            <w:hideMark/>
          </w:tcPr>
          <w:p w14:paraId="046896C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B9E4990" w14:textId="77777777" w:rsidTr="00ED5B0A">
        <w:trPr>
          <w:tblCellSpacing w:w="7" w:type="dxa"/>
          <w:jc w:val="center"/>
        </w:trPr>
        <w:tc>
          <w:tcPr>
            <w:tcW w:w="0" w:type="auto"/>
            <w:vAlign w:val="center"/>
            <w:hideMark/>
          </w:tcPr>
          <w:p w14:paraId="411C147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6D4A2E6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w:t>
            </w:r>
          </w:p>
        </w:tc>
        <w:tc>
          <w:tcPr>
            <w:tcW w:w="0" w:type="auto"/>
            <w:gridSpan w:val="2"/>
            <w:vMerge/>
            <w:vAlign w:val="center"/>
            <w:hideMark/>
          </w:tcPr>
          <w:p w14:paraId="51E364C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3588E12" w14:textId="77777777" w:rsidTr="00ED5B0A">
        <w:trPr>
          <w:tblCellSpacing w:w="7" w:type="dxa"/>
          <w:jc w:val="center"/>
        </w:trPr>
        <w:tc>
          <w:tcPr>
            <w:tcW w:w="0" w:type="auto"/>
            <w:vAlign w:val="center"/>
            <w:hideMark/>
          </w:tcPr>
          <w:p w14:paraId="2278EB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Профиль сечения лопасти</w:t>
            </w:r>
          </w:p>
        </w:tc>
        <w:tc>
          <w:tcPr>
            <w:tcW w:w="0" w:type="auto"/>
            <w:vAlign w:val="center"/>
            <w:hideMark/>
          </w:tcPr>
          <w:p w14:paraId="13E71E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Clark-Y</w:t>
            </w:r>
          </w:p>
        </w:tc>
        <w:tc>
          <w:tcPr>
            <w:tcW w:w="0" w:type="auto"/>
            <w:gridSpan w:val="2"/>
            <w:vMerge/>
            <w:vAlign w:val="center"/>
            <w:hideMark/>
          </w:tcPr>
          <w:p w14:paraId="2486D2FA"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9F73BAF" w14:textId="77777777" w:rsidTr="00ED5B0A">
        <w:trPr>
          <w:tblCellSpacing w:w="7" w:type="dxa"/>
          <w:jc w:val="center"/>
        </w:trPr>
        <w:tc>
          <w:tcPr>
            <w:tcW w:w="0" w:type="auto"/>
            <w:vAlign w:val="center"/>
            <w:hideMark/>
          </w:tcPr>
          <w:p w14:paraId="574F2CC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Диапазон поворота лопастей (град.)</w:t>
            </w:r>
          </w:p>
        </w:tc>
        <w:tc>
          <w:tcPr>
            <w:tcW w:w="0" w:type="auto"/>
            <w:vAlign w:val="center"/>
            <w:hideMark/>
          </w:tcPr>
          <w:p w14:paraId="137642F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0" w:type="auto"/>
            <w:gridSpan w:val="2"/>
            <w:vMerge/>
            <w:vAlign w:val="center"/>
            <w:hideMark/>
          </w:tcPr>
          <w:p w14:paraId="3AF2A6D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7416B37" w14:textId="77777777" w:rsidTr="00ED5B0A">
        <w:trPr>
          <w:tblCellSpacing w:w="7" w:type="dxa"/>
          <w:jc w:val="center"/>
        </w:trPr>
        <w:tc>
          <w:tcPr>
            <w:tcW w:w="0" w:type="auto"/>
            <w:vAlign w:val="center"/>
            <w:hideMark/>
          </w:tcPr>
          <w:p w14:paraId="6CB9572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установочный угол</w:t>
            </w:r>
          </w:p>
          <w:p w14:paraId="1D5258C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лопастей (град.)</w:t>
            </w:r>
          </w:p>
        </w:tc>
        <w:tc>
          <w:tcPr>
            <w:tcW w:w="0" w:type="auto"/>
            <w:vAlign w:val="center"/>
            <w:hideMark/>
          </w:tcPr>
          <w:p w14:paraId="7B25894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w:t>
            </w:r>
          </w:p>
        </w:tc>
        <w:tc>
          <w:tcPr>
            <w:tcW w:w="0" w:type="auto"/>
            <w:gridSpan w:val="2"/>
            <w:vMerge/>
            <w:vAlign w:val="center"/>
            <w:hideMark/>
          </w:tcPr>
          <w:p w14:paraId="6A0FB28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FD8DBAD" w14:textId="77777777" w:rsidTr="00ED5B0A">
        <w:trPr>
          <w:tblCellSpacing w:w="7" w:type="dxa"/>
          <w:jc w:val="center"/>
        </w:trPr>
        <w:tc>
          <w:tcPr>
            <w:tcW w:w="0" w:type="auto"/>
            <w:vAlign w:val="center"/>
            <w:hideMark/>
          </w:tcPr>
          <w:p w14:paraId="23BB0C5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лопасти (кг)</w:t>
            </w:r>
          </w:p>
        </w:tc>
        <w:tc>
          <w:tcPr>
            <w:tcW w:w="0" w:type="auto"/>
            <w:vAlign w:val="center"/>
            <w:hideMark/>
          </w:tcPr>
          <w:p w14:paraId="59D4A2F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vAlign w:val="center"/>
            <w:hideMark/>
          </w:tcPr>
          <w:p w14:paraId="4D7DD81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223077BF" w14:textId="77777777" w:rsidTr="00ED5B0A">
        <w:trPr>
          <w:tblCellSpacing w:w="7" w:type="dxa"/>
          <w:jc w:val="center"/>
        </w:trPr>
        <w:tc>
          <w:tcPr>
            <w:tcW w:w="0" w:type="auto"/>
            <w:vAlign w:val="center"/>
            <w:hideMark/>
          </w:tcPr>
          <w:p w14:paraId="6D70617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винта (кг)</w:t>
            </w:r>
          </w:p>
        </w:tc>
        <w:tc>
          <w:tcPr>
            <w:tcW w:w="0" w:type="auto"/>
            <w:vAlign w:val="center"/>
            <w:hideMark/>
          </w:tcPr>
          <w:p w14:paraId="0B575E4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vAlign w:val="center"/>
            <w:hideMark/>
          </w:tcPr>
          <w:p w14:paraId="31C9B4F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79BD4AD" w14:textId="77777777" w:rsidTr="00ED5B0A">
        <w:trPr>
          <w:tblCellSpacing w:w="7" w:type="dxa"/>
          <w:jc w:val="center"/>
        </w:trPr>
        <w:tc>
          <w:tcPr>
            <w:tcW w:w="0" w:type="auto"/>
            <w:vAlign w:val="center"/>
            <w:hideMark/>
          </w:tcPr>
          <w:p w14:paraId="386E923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04EBE17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2400</w:t>
            </w:r>
          </w:p>
        </w:tc>
        <w:tc>
          <w:tcPr>
            <w:tcW w:w="0" w:type="auto"/>
            <w:gridSpan w:val="2"/>
            <w:vMerge/>
            <w:vAlign w:val="center"/>
            <w:hideMark/>
          </w:tcPr>
          <w:p w14:paraId="6835160D"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DD63112" w14:textId="77777777" w:rsidTr="00ED5B0A">
        <w:trPr>
          <w:tblCellSpacing w:w="7" w:type="dxa"/>
          <w:jc w:val="center"/>
        </w:trPr>
        <w:tc>
          <w:tcPr>
            <w:tcW w:w="0" w:type="auto"/>
            <w:vAlign w:val="center"/>
            <w:hideMark/>
          </w:tcPr>
          <w:p w14:paraId="103AD68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Редукция мотора</w:t>
            </w:r>
          </w:p>
        </w:tc>
        <w:tc>
          <w:tcPr>
            <w:tcW w:w="0" w:type="auto"/>
            <w:vAlign w:val="center"/>
            <w:hideMark/>
          </w:tcPr>
          <w:p w14:paraId="3C44BF2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0,562</w:t>
            </w:r>
          </w:p>
        </w:tc>
        <w:tc>
          <w:tcPr>
            <w:tcW w:w="0" w:type="auto"/>
            <w:gridSpan w:val="2"/>
            <w:vMerge/>
            <w:vAlign w:val="center"/>
            <w:hideMark/>
          </w:tcPr>
          <w:p w14:paraId="3466FBCA"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504D71A" w14:textId="77777777" w:rsidTr="00ED5B0A">
        <w:trPr>
          <w:tblCellSpacing w:w="7" w:type="dxa"/>
          <w:jc w:val="center"/>
        </w:trPr>
        <w:tc>
          <w:tcPr>
            <w:tcW w:w="0" w:type="auto"/>
            <w:vAlign w:val="center"/>
            <w:hideMark/>
          </w:tcPr>
          <w:p w14:paraId="4D2584B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Направление вращения винта</w:t>
            </w:r>
          </w:p>
        </w:tc>
        <w:tc>
          <w:tcPr>
            <w:tcW w:w="0" w:type="auto"/>
            <w:vAlign w:val="center"/>
            <w:hideMark/>
          </w:tcPr>
          <w:p w14:paraId="3360253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правое</w:t>
            </w:r>
          </w:p>
        </w:tc>
        <w:tc>
          <w:tcPr>
            <w:tcW w:w="0" w:type="auto"/>
            <w:vMerge w:val="restart"/>
            <w:vAlign w:val="center"/>
            <w:hideMark/>
          </w:tcPr>
          <w:p w14:paraId="0A814BB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w:t>
            </w:r>
          </w:p>
          <w:p w14:paraId="1D42419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w:t>
            </w:r>
          </w:p>
        </w:tc>
        <w:tc>
          <w:tcPr>
            <w:tcW w:w="0" w:type="auto"/>
            <w:vMerge w:val="restart"/>
            <w:vAlign w:val="center"/>
            <w:hideMark/>
          </w:tcPr>
          <w:p w14:paraId="11DAE16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Находится в эксплоатации а самолетах "Норт Америкен" В-25-С.</w:t>
            </w:r>
          </w:p>
        </w:tc>
      </w:tr>
      <w:tr w:rsidR="00A907A5" w:rsidRPr="00271E51" w14:paraId="71753289" w14:textId="77777777" w:rsidTr="00ED5B0A">
        <w:trPr>
          <w:tblCellSpacing w:w="7" w:type="dxa"/>
          <w:jc w:val="center"/>
        </w:trPr>
        <w:tc>
          <w:tcPr>
            <w:tcW w:w="0" w:type="auto"/>
            <w:vAlign w:val="center"/>
            <w:hideMark/>
          </w:tcPr>
          <w:p w14:paraId="75BCAEE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регулятора оборотов</w:t>
            </w:r>
          </w:p>
        </w:tc>
        <w:tc>
          <w:tcPr>
            <w:tcW w:w="0" w:type="auto"/>
            <w:vAlign w:val="center"/>
            <w:hideMark/>
          </w:tcPr>
          <w:p w14:paraId="628E9F1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Гамильтон</w:t>
            </w:r>
          </w:p>
        </w:tc>
        <w:tc>
          <w:tcPr>
            <w:tcW w:w="0" w:type="auto"/>
            <w:vMerge/>
            <w:vAlign w:val="center"/>
            <w:hideMark/>
          </w:tcPr>
          <w:p w14:paraId="1479569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0DFB0180"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6C377FB" w14:textId="77777777" w:rsidTr="00ED5B0A">
        <w:trPr>
          <w:tblCellSpacing w:w="7" w:type="dxa"/>
          <w:jc w:val="center"/>
        </w:trPr>
        <w:tc>
          <w:tcPr>
            <w:tcW w:w="0" w:type="auto"/>
            <w:vAlign w:val="center"/>
            <w:hideMark/>
          </w:tcPr>
          <w:p w14:paraId="3820A3F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Носок вала редуктора мотора</w:t>
            </w:r>
          </w:p>
        </w:tc>
        <w:tc>
          <w:tcPr>
            <w:tcW w:w="0" w:type="auto"/>
            <w:vAlign w:val="center"/>
            <w:hideMark/>
          </w:tcPr>
          <w:p w14:paraId="573EE75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SAE-50</w:t>
            </w:r>
          </w:p>
        </w:tc>
        <w:tc>
          <w:tcPr>
            <w:tcW w:w="0" w:type="auto"/>
            <w:vMerge/>
            <w:vAlign w:val="center"/>
            <w:hideMark/>
          </w:tcPr>
          <w:p w14:paraId="233CC4D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6D57A78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bl>
    <w:p w14:paraId="23DEB506"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r w:rsidRPr="00271E51">
        <w:rPr>
          <w:rFonts w:ascii="Times New Roman" w:hAnsi="Times New Roman"/>
          <w:vanish/>
          <w:color w:val="000000" w:themeColor="text1"/>
          <w:sz w:val="16"/>
          <w:szCs w:val="16"/>
        </w:rPr>
        <w:t>(12227).</w:t>
      </w:r>
    </w:p>
    <w:p w14:paraId="31D35CAE"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p>
    <w:p w14:paraId="14974D37"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r w:rsidRPr="00271E51">
        <w:rPr>
          <w:rFonts w:ascii="Times New Roman" w:hAnsi="Times New Roman"/>
          <w:vanish/>
          <w:color w:val="000000" w:themeColor="text1"/>
          <w:sz w:val="16"/>
          <w:szCs w:val="16"/>
        </w:rPr>
        <w:t xml:space="preserve">1943 </w:t>
      </w:r>
      <w:r w:rsidRPr="00271E51">
        <w:rPr>
          <w:rFonts w:ascii="Times New Roman" w:hAnsi="Times New Roman"/>
          <w:bCs/>
          <w:color w:val="000000" w:themeColor="text1"/>
          <w:sz w:val="16"/>
          <w:szCs w:val="16"/>
        </w:rPr>
        <w:t>Винт Гидроматик (флюгерный)    Производства фирмы Гамильтон-Стандарт</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012"/>
        <w:gridCol w:w="1572"/>
        <w:gridCol w:w="1640"/>
        <w:gridCol w:w="4651"/>
      </w:tblGrid>
      <w:tr w:rsidR="00A907A5" w:rsidRPr="00271E51" w14:paraId="5FA5B65B" w14:textId="77777777" w:rsidTr="00ED5B0A">
        <w:trPr>
          <w:tblCellSpacing w:w="7" w:type="dxa"/>
          <w:jc w:val="center"/>
        </w:trPr>
        <w:tc>
          <w:tcPr>
            <w:tcW w:w="0" w:type="auto"/>
            <w:gridSpan w:val="4"/>
            <w:vAlign w:val="center"/>
            <w:hideMark/>
          </w:tcPr>
          <w:p w14:paraId="0B79EDD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Винт Гидроматик (флюгерный)    Производства фирмы Гамильтон-Стандарт</w:t>
            </w:r>
          </w:p>
        </w:tc>
      </w:tr>
      <w:tr w:rsidR="00A907A5" w:rsidRPr="00271E51" w14:paraId="16D839C0" w14:textId="77777777" w:rsidTr="00ED5B0A">
        <w:trPr>
          <w:tblCellSpacing w:w="7" w:type="dxa"/>
          <w:jc w:val="center"/>
        </w:trPr>
        <w:tc>
          <w:tcPr>
            <w:tcW w:w="0" w:type="auto"/>
            <w:vAlign w:val="center"/>
            <w:hideMark/>
          </w:tcPr>
          <w:p w14:paraId="7351A0D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винта</w:t>
            </w:r>
          </w:p>
        </w:tc>
        <w:tc>
          <w:tcPr>
            <w:tcW w:w="0" w:type="auto"/>
            <w:vAlign w:val="center"/>
            <w:hideMark/>
          </w:tcPr>
          <w:p w14:paraId="1D93510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гидравлическ. автомат</w:t>
            </w:r>
          </w:p>
        </w:tc>
        <w:tc>
          <w:tcPr>
            <w:tcW w:w="0" w:type="auto"/>
            <w:vMerge w:val="restart"/>
            <w:vAlign w:val="center"/>
            <w:hideMark/>
          </w:tcPr>
          <w:p w14:paraId="3797A6E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Предназначен для</w:t>
            </w:r>
          </w:p>
          <w:p w14:paraId="4FEA91F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на самолетах</w:t>
            </w:r>
          </w:p>
        </w:tc>
        <w:tc>
          <w:tcPr>
            <w:tcW w:w="0" w:type="auto"/>
            <w:vMerge w:val="restart"/>
            <w:vAlign w:val="center"/>
            <w:hideMark/>
          </w:tcPr>
          <w:p w14:paraId="74EF2E8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"Дуглас ДБ-7Б "Бостон" III с 2-мя моторами Райт "Циклон" GR-2600-A5B</w:t>
            </w:r>
          </w:p>
        </w:tc>
      </w:tr>
      <w:tr w:rsidR="00A907A5" w:rsidRPr="00271E51" w14:paraId="4253185D" w14:textId="77777777" w:rsidTr="00ED5B0A">
        <w:trPr>
          <w:tblCellSpacing w:w="7" w:type="dxa"/>
          <w:jc w:val="center"/>
        </w:trPr>
        <w:tc>
          <w:tcPr>
            <w:tcW w:w="0" w:type="auto"/>
            <w:vAlign w:val="center"/>
            <w:hideMark/>
          </w:tcPr>
          <w:p w14:paraId="002C2C6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действия</w:t>
            </w:r>
          </w:p>
        </w:tc>
        <w:tc>
          <w:tcPr>
            <w:tcW w:w="0" w:type="auto"/>
            <w:vAlign w:val="center"/>
            <w:hideMark/>
          </w:tcPr>
          <w:p w14:paraId="39B13BD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двухсторонняя</w:t>
            </w:r>
          </w:p>
        </w:tc>
        <w:tc>
          <w:tcPr>
            <w:tcW w:w="0" w:type="auto"/>
            <w:vMerge/>
            <w:vAlign w:val="center"/>
            <w:hideMark/>
          </w:tcPr>
          <w:p w14:paraId="5F51BD0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5DCDFC40"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CFB69CA" w14:textId="77777777" w:rsidTr="00ED5B0A">
        <w:trPr>
          <w:tblCellSpacing w:w="7" w:type="dxa"/>
          <w:jc w:val="center"/>
        </w:trPr>
        <w:tc>
          <w:tcPr>
            <w:tcW w:w="0" w:type="auto"/>
            <w:vAlign w:val="center"/>
            <w:hideMark/>
          </w:tcPr>
          <w:p w14:paraId="08DA7DF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лопастей</w:t>
            </w:r>
          </w:p>
        </w:tc>
        <w:tc>
          <w:tcPr>
            <w:tcW w:w="0" w:type="auto"/>
            <w:vAlign w:val="center"/>
            <w:hideMark/>
          </w:tcPr>
          <w:p w14:paraId="411ECF2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gridSpan w:val="2"/>
            <w:vMerge w:val="restart"/>
            <w:vAlign w:val="center"/>
            <w:hideMark/>
          </w:tcPr>
          <w:p w14:paraId="55FD2ED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069EA14" w14:textId="77777777" w:rsidTr="00ED5B0A">
        <w:trPr>
          <w:tblCellSpacing w:w="7" w:type="dxa"/>
          <w:jc w:val="center"/>
        </w:trPr>
        <w:tc>
          <w:tcPr>
            <w:tcW w:w="0" w:type="auto"/>
            <w:vAlign w:val="center"/>
            <w:hideMark/>
          </w:tcPr>
          <w:p w14:paraId="0416493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 лопастей</w:t>
            </w:r>
          </w:p>
        </w:tc>
        <w:tc>
          <w:tcPr>
            <w:tcW w:w="0" w:type="auto"/>
            <w:vAlign w:val="center"/>
            <w:hideMark/>
          </w:tcPr>
          <w:p w14:paraId="6604A7D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дюраль</w:t>
            </w:r>
          </w:p>
        </w:tc>
        <w:tc>
          <w:tcPr>
            <w:tcW w:w="0" w:type="auto"/>
            <w:gridSpan w:val="2"/>
            <w:vMerge/>
            <w:vAlign w:val="center"/>
            <w:hideMark/>
          </w:tcPr>
          <w:p w14:paraId="5BA8A90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7951F3D" w14:textId="77777777" w:rsidTr="00ED5B0A">
        <w:trPr>
          <w:tblCellSpacing w:w="7" w:type="dxa"/>
          <w:jc w:val="center"/>
        </w:trPr>
        <w:tc>
          <w:tcPr>
            <w:tcW w:w="0" w:type="auto"/>
            <w:vAlign w:val="center"/>
            <w:hideMark/>
          </w:tcPr>
          <w:p w14:paraId="2A45EE5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винта (м)</w:t>
            </w:r>
          </w:p>
        </w:tc>
        <w:tc>
          <w:tcPr>
            <w:tcW w:w="0" w:type="auto"/>
            <w:vAlign w:val="center"/>
            <w:hideMark/>
          </w:tcPr>
          <w:p w14:paraId="57D62B3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3,426</w:t>
            </w:r>
          </w:p>
        </w:tc>
        <w:tc>
          <w:tcPr>
            <w:tcW w:w="0" w:type="auto"/>
            <w:gridSpan w:val="2"/>
            <w:vMerge/>
            <w:vAlign w:val="center"/>
            <w:hideMark/>
          </w:tcPr>
          <w:p w14:paraId="4E45D1F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B8514DC" w14:textId="77777777" w:rsidTr="00ED5B0A">
        <w:trPr>
          <w:tblCellSpacing w:w="7" w:type="dxa"/>
          <w:jc w:val="center"/>
        </w:trPr>
        <w:tc>
          <w:tcPr>
            <w:tcW w:w="0" w:type="auto"/>
            <w:vAlign w:val="center"/>
            <w:hideMark/>
          </w:tcPr>
          <w:p w14:paraId="5EDC429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ширина лопастей (мм)</w:t>
            </w:r>
          </w:p>
        </w:tc>
        <w:tc>
          <w:tcPr>
            <w:tcW w:w="0" w:type="auto"/>
            <w:vAlign w:val="center"/>
            <w:hideMark/>
          </w:tcPr>
          <w:p w14:paraId="42F2CBF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275</w:t>
            </w:r>
          </w:p>
        </w:tc>
        <w:tc>
          <w:tcPr>
            <w:tcW w:w="0" w:type="auto"/>
            <w:gridSpan w:val="2"/>
            <w:vMerge/>
            <w:vAlign w:val="center"/>
            <w:hideMark/>
          </w:tcPr>
          <w:p w14:paraId="7787459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5A601FE" w14:textId="77777777" w:rsidTr="00ED5B0A">
        <w:trPr>
          <w:tblCellSpacing w:w="7" w:type="dxa"/>
          <w:jc w:val="center"/>
        </w:trPr>
        <w:tc>
          <w:tcPr>
            <w:tcW w:w="0" w:type="auto"/>
            <w:vAlign w:val="center"/>
            <w:hideMark/>
          </w:tcPr>
          <w:p w14:paraId="5B7E0A8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0D667EE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w:t>
            </w:r>
          </w:p>
        </w:tc>
        <w:tc>
          <w:tcPr>
            <w:tcW w:w="0" w:type="auto"/>
            <w:gridSpan w:val="2"/>
            <w:vMerge/>
            <w:vAlign w:val="center"/>
            <w:hideMark/>
          </w:tcPr>
          <w:p w14:paraId="301F8E6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54FD0EF" w14:textId="77777777" w:rsidTr="00ED5B0A">
        <w:trPr>
          <w:tblCellSpacing w:w="7" w:type="dxa"/>
          <w:jc w:val="center"/>
        </w:trPr>
        <w:tc>
          <w:tcPr>
            <w:tcW w:w="0" w:type="auto"/>
            <w:vAlign w:val="center"/>
            <w:hideMark/>
          </w:tcPr>
          <w:p w14:paraId="0CA7568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Профиль сечения лопасти</w:t>
            </w:r>
          </w:p>
        </w:tc>
        <w:tc>
          <w:tcPr>
            <w:tcW w:w="0" w:type="auto"/>
            <w:vAlign w:val="center"/>
            <w:hideMark/>
          </w:tcPr>
          <w:p w14:paraId="0AB01A9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Clark-Y</w:t>
            </w:r>
          </w:p>
        </w:tc>
        <w:tc>
          <w:tcPr>
            <w:tcW w:w="0" w:type="auto"/>
            <w:gridSpan w:val="2"/>
            <w:vMerge/>
            <w:vAlign w:val="center"/>
            <w:hideMark/>
          </w:tcPr>
          <w:p w14:paraId="20F8011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CB81BF2" w14:textId="77777777" w:rsidTr="00ED5B0A">
        <w:trPr>
          <w:tblCellSpacing w:w="7" w:type="dxa"/>
          <w:jc w:val="center"/>
        </w:trPr>
        <w:tc>
          <w:tcPr>
            <w:tcW w:w="0" w:type="auto"/>
            <w:vAlign w:val="center"/>
            <w:hideMark/>
          </w:tcPr>
          <w:p w14:paraId="420F566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Диапазон поворота лопастей (град.)</w:t>
            </w:r>
          </w:p>
        </w:tc>
        <w:tc>
          <w:tcPr>
            <w:tcW w:w="0" w:type="auto"/>
            <w:vAlign w:val="center"/>
            <w:hideMark/>
          </w:tcPr>
          <w:p w14:paraId="6171ED9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w:t>
            </w:r>
          </w:p>
        </w:tc>
        <w:tc>
          <w:tcPr>
            <w:tcW w:w="0" w:type="auto"/>
            <w:gridSpan w:val="2"/>
            <w:vMerge/>
            <w:vAlign w:val="center"/>
            <w:hideMark/>
          </w:tcPr>
          <w:p w14:paraId="6AB429E5"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47C3A8A" w14:textId="77777777" w:rsidTr="00ED5B0A">
        <w:trPr>
          <w:tblCellSpacing w:w="7" w:type="dxa"/>
          <w:jc w:val="center"/>
        </w:trPr>
        <w:tc>
          <w:tcPr>
            <w:tcW w:w="0" w:type="auto"/>
            <w:vAlign w:val="center"/>
            <w:hideMark/>
          </w:tcPr>
          <w:p w14:paraId="5E14E00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установочный угол</w:t>
            </w:r>
          </w:p>
          <w:p w14:paraId="61E2CFC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лопастей (град.)</w:t>
            </w:r>
          </w:p>
        </w:tc>
        <w:tc>
          <w:tcPr>
            <w:tcW w:w="0" w:type="auto"/>
            <w:vAlign w:val="center"/>
            <w:hideMark/>
          </w:tcPr>
          <w:p w14:paraId="55499BF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c>
          <w:tcPr>
            <w:tcW w:w="0" w:type="auto"/>
            <w:gridSpan w:val="2"/>
            <w:vMerge/>
            <w:vAlign w:val="center"/>
            <w:hideMark/>
          </w:tcPr>
          <w:p w14:paraId="03F260E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15EE853" w14:textId="77777777" w:rsidTr="00ED5B0A">
        <w:trPr>
          <w:tblCellSpacing w:w="7" w:type="dxa"/>
          <w:jc w:val="center"/>
        </w:trPr>
        <w:tc>
          <w:tcPr>
            <w:tcW w:w="0" w:type="auto"/>
            <w:vAlign w:val="center"/>
            <w:hideMark/>
          </w:tcPr>
          <w:p w14:paraId="2CDE719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лопасти (кг)</w:t>
            </w:r>
          </w:p>
        </w:tc>
        <w:tc>
          <w:tcPr>
            <w:tcW w:w="0" w:type="auto"/>
            <w:vAlign w:val="center"/>
            <w:hideMark/>
          </w:tcPr>
          <w:p w14:paraId="6CB85CD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vAlign w:val="center"/>
            <w:hideMark/>
          </w:tcPr>
          <w:p w14:paraId="77CE534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DC94EF7" w14:textId="77777777" w:rsidTr="00ED5B0A">
        <w:trPr>
          <w:tblCellSpacing w:w="7" w:type="dxa"/>
          <w:jc w:val="center"/>
        </w:trPr>
        <w:tc>
          <w:tcPr>
            <w:tcW w:w="0" w:type="auto"/>
            <w:vAlign w:val="center"/>
            <w:hideMark/>
          </w:tcPr>
          <w:p w14:paraId="71037DE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винта (кг)</w:t>
            </w:r>
          </w:p>
        </w:tc>
        <w:tc>
          <w:tcPr>
            <w:tcW w:w="0" w:type="auto"/>
            <w:vAlign w:val="center"/>
            <w:hideMark/>
          </w:tcPr>
          <w:p w14:paraId="2E02319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0" w:type="auto"/>
            <w:gridSpan w:val="2"/>
            <w:vMerge/>
            <w:vAlign w:val="center"/>
            <w:hideMark/>
          </w:tcPr>
          <w:p w14:paraId="2535D8C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2AC07A9" w14:textId="77777777" w:rsidTr="00ED5B0A">
        <w:trPr>
          <w:tblCellSpacing w:w="7" w:type="dxa"/>
          <w:jc w:val="center"/>
        </w:trPr>
        <w:tc>
          <w:tcPr>
            <w:tcW w:w="0" w:type="auto"/>
            <w:vAlign w:val="center"/>
            <w:hideMark/>
          </w:tcPr>
          <w:p w14:paraId="4EE70DF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110F3AA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2300</w:t>
            </w:r>
          </w:p>
        </w:tc>
        <w:tc>
          <w:tcPr>
            <w:tcW w:w="0" w:type="auto"/>
            <w:gridSpan w:val="2"/>
            <w:vMerge/>
            <w:vAlign w:val="center"/>
            <w:hideMark/>
          </w:tcPr>
          <w:p w14:paraId="10492F6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26145EFD" w14:textId="77777777" w:rsidTr="00ED5B0A">
        <w:trPr>
          <w:tblCellSpacing w:w="7" w:type="dxa"/>
          <w:jc w:val="center"/>
        </w:trPr>
        <w:tc>
          <w:tcPr>
            <w:tcW w:w="0" w:type="auto"/>
            <w:vAlign w:val="center"/>
            <w:hideMark/>
          </w:tcPr>
          <w:p w14:paraId="7CAED3A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Редукция мотора</w:t>
            </w:r>
          </w:p>
        </w:tc>
        <w:tc>
          <w:tcPr>
            <w:tcW w:w="0" w:type="auto"/>
            <w:vAlign w:val="center"/>
            <w:hideMark/>
          </w:tcPr>
          <w:p w14:paraId="59FAB82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0,562</w:t>
            </w:r>
          </w:p>
        </w:tc>
        <w:tc>
          <w:tcPr>
            <w:tcW w:w="0" w:type="auto"/>
            <w:gridSpan w:val="2"/>
            <w:vMerge/>
            <w:vAlign w:val="center"/>
            <w:hideMark/>
          </w:tcPr>
          <w:p w14:paraId="0276E3F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AD2D674" w14:textId="77777777" w:rsidTr="00ED5B0A">
        <w:trPr>
          <w:tblCellSpacing w:w="7" w:type="dxa"/>
          <w:jc w:val="center"/>
        </w:trPr>
        <w:tc>
          <w:tcPr>
            <w:tcW w:w="0" w:type="auto"/>
            <w:vAlign w:val="center"/>
            <w:hideMark/>
          </w:tcPr>
          <w:p w14:paraId="768CC4B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Направление вращения винта</w:t>
            </w:r>
          </w:p>
        </w:tc>
        <w:tc>
          <w:tcPr>
            <w:tcW w:w="0" w:type="auto"/>
            <w:vAlign w:val="center"/>
            <w:hideMark/>
          </w:tcPr>
          <w:p w14:paraId="1164535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правое</w:t>
            </w:r>
          </w:p>
        </w:tc>
        <w:tc>
          <w:tcPr>
            <w:tcW w:w="0" w:type="auto"/>
            <w:vMerge w:val="restart"/>
            <w:vAlign w:val="center"/>
            <w:hideMark/>
          </w:tcPr>
          <w:p w14:paraId="50DCF70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w:t>
            </w:r>
          </w:p>
          <w:p w14:paraId="47FCE47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w:t>
            </w:r>
          </w:p>
        </w:tc>
        <w:tc>
          <w:tcPr>
            <w:tcW w:w="0" w:type="auto"/>
            <w:vMerge w:val="restart"/>
            <w:vAlign w:val="center"/>
            <w:hideMark/>
          </w:tcPr>
          <w:p w14:paraId="4BD6644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Находится в эксплоатации а самолетах Дуглас ДБ-7Б "Бостон" III.</w:t>
            </w:r>
          </w:p>
        </w:tc>
      </w:tr>
      <w:tr w:rsidR="00A907A5" w:rsidRPr="00271E51" w14:paraId="3F7A1581" w14:textId="77777777" w:rsidTr="00ED5B0A">
        <w:trPr>
          <w:tblCellSpacing w:w="7" w:type="dxa"/>
          <w:jc w:val="center"/>
        </w:trPr>
        <w:tc>
          <w:tcPr>
            <w:tcW w:w="0" w:type="auto"/>
            <w:vAlign w:val="center"/>
            <w:hideMark/>
          </w:tcPr>
          <w:p w14:paraId="057A235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регулятора оборотов</w:t>
            </w:r>
          </w:p>
        </w:tc>
        <w:tc>
          <w:tcPr>
            <w:tcW w:w="0" w:type="auto"/>
            <w:vAlign w:val="center"/>
            <w:hideMark/>
          </w:tcPr>
          <w:p w14:paraId="39AA9C8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Гамильтон</w:t>
            </w:r>
          </w:p>
        </w:tc>
        <w:tc>
          <w:tcPr>
            <w:tcW w:w="0" w:type="auto"/>
            <w:vMerge/>
            <w:vAlign w:val="center"/>
            <w:hideMark/>
          </w:tcPr>
          <w:p w14:paraId="6144557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158F8F5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E713875" w14:textId="77777777" w:rsidTr="00ED5B0A">
        <w:trPr>
          <w:tblCellSpacing w:w="7" w:type="dxa"/>
          <w:jc w:val="center"/>
        </w:trPr>
        <w:tc>
          <w:tcPr>
            <w:tcW w:w="0" w:type="auto"/>
            <w:vAlign w:val="center"/>
            <w:hideMark/>
          </w:tcPr>
          <w:p w14:paraId="4997D21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Носок вала редуктора мотора</w:t>
            </w:r>
          </w:p>
        </w:tc>
        <w:tc>
          <w:tcPr>
            <w:tcW w:w="0" w:type="auto"/>
            <w:vAlign w:val="center"/>
            <w:hideMark/>
          </w:tcPr>
          <w:p w14:paraId="6063F9E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SAE-50</w:t>
            </w:r>
          </w:p>
        </w:tc>
        <w:tc>
          <w:tcPr>
            <w:tcW w:w="0" w:type="auto"/>
            <w:vMerge/>
            <w:vAlign w:val="center"/>
            <w:hideMark/>
          </w:tcPr>
          <w:p w14:paraId="7677C1B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6B4EF09A"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bl>
    <w:p w14:paraId="688FCBB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(12227).</w:t>
      </w:r>
    </w:p>
    <w:p w14:paraId="6F8775A2"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3AB8CA9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 xml:space="preserve">1943 Винт Кертис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785"/>
        <w:gridCol w:w="1546"/>
        <w:gridCol w:w="1569"/>
        <w:gridCol w:w="4975"/>
      </w:tblGrid>
      <w:tr w:rsidR="00A907A5" w:rsidRPr="00271E51" w14:paraId="0A6AE606" w14:textId="77777777" w:rsidTr="00ED5B0A">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E414E6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Винт Кертис.    Производства фирмы Кертис.</w:t>
            </w:r>
          </w:p>
        </w:tc>
      </w:tr>
      <w:tr w:rsidR="00A907A5" w:rsidRPr="00271E51" w14:paraId="0B50974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20724A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7162EE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электрический</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9112C2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Предназначен для</w:t>
            </w:r>
          </w:p>
          <w:p w14:paraId="42D7B9C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8FEA01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"Томагаук" с мот. Аллисон V-1710-C-15 и "Киттихаук" с мотором Аллисон V-1710-F3R.</w:t>
            </w:r>
          </w:p>
        </w:tc>
      </w:tr>
      <w:tr w:rsidR="00A907A5" w:rsidRPr="00271E51" w14:paraId="3FF3FE5E"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DC8617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B50414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 механический</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0E48D2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087EC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3BF601C3"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723BF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F73F23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E20D0C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669005D"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AE7AC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BA8A4B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сталь</w:t>
            </w:r>
          </w:p>
          <w:p w14:paraId="7FC4EA4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(пустотелые)</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05DB80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C2CAAEF"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3FCF3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BFE671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9C6014C"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4FBC0C3"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8A662F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ширина лопастей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230B81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2140475"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7396A47"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91EE4E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013FAF7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33AF0ED"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AF5D7F1"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AECAE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CAB6F8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7E1C2A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30DD087"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69E66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DB903E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D8039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264C33E2"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405B8B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установочный угол</w:t>
            </w:r>
          </w:p>
          <w:p w14:paraId="1A8D018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E7F79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B61E99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FD3175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6F24B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6E0627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2F1F5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D8E4B1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033354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790BCD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6AA47B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3F11224"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6E384C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016899F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4E72E8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17B03B45"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51C2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5974C8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85FA0F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67BDA46"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EDE775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7963EE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9F89B2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w:t>
            </w:r>
          </w:p>
          <w:p w14:paraId="51661D6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584108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Находится в эксплоатации на самолетах "Томагаук" и "Киттихаук".</w:t>
            </w:r>
          </w:p>
        </w:tc>
      </w:tr>
      <w:tr w:rsidR="00A907A5" w:rsidRPr="00271E51" w14:paraId="050DC0D4"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717C3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4B7C43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Кертис</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F04C1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A34EA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CAAA268"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AB3C2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32FE51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75328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1FFFF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F749AD1" w14:textId="77777777" w:rsidTr="00ED5B0A">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925522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7CDDBB1"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F71E53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Источник сведений: </w:t>
            </w:r>
          </w:p>
        </w:tc>
      </w:tr>
    </w:tbl>
    <w:p w14:paraId="37644AB9"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r w:rsidRPr="00271E51">
        <w:rPr>
          <w:rFonts w:ascii="Times New Roman" w:hAnsi="Times New Roman"/>
          <w:vanish/>
          <w:color w:val="000000" w:themeColor="text1"/>
          <w:sz w:val="16"/>
          <w:szCs w:val="16"/>
        </w:rPr>
        <w:t>(12227).</w:t>
      </w:r>
    </w:p>
    <w:p w14:paraId="1D936C5B"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p>
    <w:p w14:paraId="3BB0AE09" w14:textId="77777777" w:rsidR="00FC04C9" w:rsidRPr="00271E51" w:rsidRDefault="00FC04C9" w:rsidP="00271E51">
      <w:pPr>
        <w:spacing w:after="0" w:line="240" w:lineRule="auto"/>
        <w:jc w:val="both"/>
        <w:rPr>
          <w:rFonts w:ascii="Times New Roman" w:hAnsi="Times New Roman"/>
          <w:vanish/>
          <w:color w:val="000000" w:themeColor="text1"/>
          <w:sz w:val="16"/>
          <w:szCs w:val="16"/>
        </w:rPr>
      </w:pPr>
      <w:r w:rsidRPr="00271E51">
        <w:rPr>
          <w:rFonts w:ascii="Times New Roman" w:hAnsi="Times New Roman"/>
          <w:bCs/>
          <w:color w:val="000000" w:themeColor="text1"/>
          <w:sz w:val="16"/>
          <w:szCs w:val="16"/>
        </w:rPr>
        <w:t>1943 Винт Кертис.    Производства фирмы Кертис.</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75"/>
        <w:gridCol w:w="1729"/>
        <w:gridCol w:w="1772"/>
        <w:gridCol w:w="3999"/>
      </w:tblGrid>
      <w:tr w:rsidR="00A907A5" w:rsidRPr="00271E51" w14:paraId="27CF8D51" w14:textId="77777777" w:rsidTr="00ED5B0A">
        <w:trPr>
          <w:tblCellSpacing w:w="7" w:type="dxa"/>
          <w:jc w:val="center"/>
        </w:trPr>
        <w:tc>
          <w:tcPr>
            <w:tcW w:w="0" w:type="auto"/>
            <w:gridSpan w:val="4"/>
            <w:vAlign w:val="center"/>
            <w:hideMark/>
          </w:tcPr>
          <w:p w14:paraId="041153F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bCs/>
                <w:color w:val="000000" w:themeColor="text1"/>
                <w:sz w:val="16"/>
                <w:szCs w:val="16"/>
              </w:rPr>
              <w:t>Винт Кертис.    Производства фирмы Кертис.</w:t>
            </w:r>
          </w:p>
        </w:tc>
      </w:tr>
      <w:tr w:rsidR="00A907A5" w:rsidRPr="00271E51" w14:paraId="6988F463" w14:textId="77777777" w:rsidTr="00ED5B0A">
        <w:trPr>
          <w:tblCellSpacing w:w="7" w:type="dxa"/>
          <w:jc w:val="center"/>
        </w:trPr>
        <w:tc>
          <w:tcPr>
            <w:tcW w:w="0" w:type="auto"/>
            <w:vAlign w:val="center"/>
            <w:hideMark/>
          </w:tcPr>
          <w:p w14:paraId="606D1AB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винта</w:t>
            </w:r>
          </w:p>
        </w:tc>
        <w:tc>
          <w:tcPr>
            <w:tcW w:w="0" w:type="auto"/>
            <w:vAlign w:val="center"/>
            <w:hideMark/>
          </w:tcPr>
          <w:p w14:paraId="54A5CFF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электрический</w:t>
            </w:r>
          </w:p>
        </w:tc>
        <w:tc>
          <w:tcPr>
            <w:tcW w:w="0" w:type="auto"/>
            <w:vMerge w:val="restart"/>
            <w:vAlign w:val="center"/>
            <w:hideMark/>
          </w:tcPr>
          <w:p w14:paraId="7828247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Предназначен для</w:t>
            </w:r>
          </w:p>
          <w:p w14:paraId="370D205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установки на самолетах</w:t>
            </w:r>
          </w:p>
        </w:tc>
        <w:tc>
          <w:tcPr>
            <w:tcW w:w="0" w:type="auto"/>
            <w:vMerge w:val="restart"/>
            <w:vAlign w:val="center"/>
            <w:hideMark/>
          </w:tcPr>
          <w:p w14:paraId="0D9D606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"Аэрокобра I" с мотором Аллисон V-1710-E4.</w:t>
            </w:r>
          </w:p>
        </w:tc>
      </w:tr>
      <w:tr w:rsidR="00A907A5" w:rsidRPr="00271E51" w14:paraId="0E812678" w14:textId="77777777" w:rsidTr="00ED5B0A">
        <w:trPr>
          <w:tblCellSpacing w:w="7" w:type="dxa"/>
          <w:jc w:val="center"/>
        </w:trPr>
        <w:tc>
          <w:tcPr>
            <w:tcW w:w="0" w:type="auto"/>
            <w:vAlign w:val="center"/>
            <w:hideMark/>
          </w:tcPr>
          <w:p w14:paraId="46145C0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Схема действия</w:t>
            </w:r>
          </w:p>
        </w:tc>
        <w:tc>
          <w:tcPr>
            <w:tcW w:w="0" w:type="auto"/>
            <w:vAlign w:val="center"/>
            <w:hideMark/>
          </w:tcPr>
          <w:p w14:paraId="161C094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электро- механический</w:t>
            </w:r>
          </w:p>
        </w:tc>
        <w:tc>
          <w:tcPr>
            <w:tcW w:w="0" w:type="auto"/>
            <w:vMerge/>
            <w:vAlign w:val="center"/>
            <w:hideMark/>
          </w:tcPr>
          <w:p w14:paraId="4C9CEF9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3BA044E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341206BE" w14:textId="77777777" w:rsidTr="00ED5B0A">
        <w:trPr>
          <w:tblCellSpacing w:w="7" w:type="dxa"/>
          <w:jc w:val="center"/>
        </w:trPr>
        <w:tc>
          <w:tcPr>
            <w:tcW w:w="0" w:type="auto"/>
            <w:vAlign w:val="center"/>
            <w:hideMark/>
          </w:tcPr>
          <w:p w14:paraId="0BAD926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лопастей</w:t>
            </w:r>
          </w:p>
        </w:tc>
        <w:tc>
          <w:tcPr>
            <w:tcW w:w="0" w:type="auto"/>
            <w:vAlign w:val="center"/>
            <w:hideMark/>
          </w:tcPr>
          <w:p w14:paraId="1CD7285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0" w:type="auto"/>
            <w:gridSpan w:val="2"/>
            <w:vMerge w:val="restart"/>
            <w:vAlign w:val="center"/>
            <w:hideMark/>
          </w:tcPr>
          <w:p w14:paraId="0533ECD9"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05B7120" w14:textId="77777777" w:rsidTr="00ED5B0A">
        <w:trPr>
          <w:tblCellSpacing w:w="7" w:type="dxa"/>
          <w:jc w:val="center"/>
        </w:trPr>
        <w:tc>
          <w:tcPr>
            <w:tcW w:w="0" w:type="auto"/>
            <w:vAlign w:val="center"/>
            <w:hideMark/>
          </w:tcPr>
          <w:p w14:paraId="32996C8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Материал лопастей</w:t>
            </w:r>
          </w:p>
        </w:tc>
        <w:tc>
          <w:tcPr>
            <w:tcW w:w="0" w:type="auto"/>
            <w:vAlign w:val="center"/>
            <w:hideMark/>
          </w:tcPr>
          <w:p w14:paraId="42E6730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сталь</w:t>
            </w:r>
          </w:p>
          <w:p w14:paraId="1DD6CB0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(пустотелые)</w:t>
            </w:r>
          </w:p>
        </w:tc>
        <w:tc>
          <w:tcPr>
            <w:tcW w:w="0" w:type="auto"/>
            <w:gridSpan w:val="2"/>
            <w:vMerge/>
            <w:vAlign w:val="center"/>
            <w:hideMark/>
          </w:tcPr>
          <w:p w14:paraId="543780F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9164DF6" w14:textId="77777777" w:rsidTr="00ED5B0A">
        <w:trPr>
          <w:tblCellSpacing w:w="7" w:type="dxa"/>
          <w:jc w:val="center"/>
        </w:trPr>
        <w:tc>
          <w:tcPr>
            <w:tcW w:w="0" w:type="auto"/>
            <w:vAlign w:val="center"/>
            <w:hideMark/>
          </w:tcPr>
          <w:p w14:paraId="7F0FB9F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Диаметр винта (м)</w:t>
            </w:r>
          </w:p>
        </w:tc>
        <w:tc>
          <w:tcPr>
            <w:tcW w:w="0" w:type="auto"/>
            <w:vAlign w:val="center"/>
            <w:hideMark/>
          </w:tcPr>
          <w:p w14:paraId="195DC40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3,16</w:t>
            </w:r>
          </w:p>
        </w:tc>
        <w:tc>
          <w:tcPr>
            <w:tcW w:w="0" w:type="auto"/>
            <w:gridSpan w:val="2"/>
            <w:vMerge/>
            <w:vAlign w:val="center"/>
            <w:hideMark/>
          </w:tcPr>
          <w:p w14:paraId="3D36C452"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CAD836D" w14:textId="77777777" w:rsidTr="00ED5B0A">
        <w:trPr>
          <w:tblCellSpacing w:w="7" w:type="dxa"/>
          <w:jc w:val="center"/>
        </w:trPr>
        <w:tc>
          <w:tcPr>
            <w:tcW w:w="0" w:type="auto"/>
            <w:vAlign w:val="center"/>
            <w:hideMark/>
          </w:tcPr>
          <w:p w14:paraId="67B9BDD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Максимальная ширина лопастей (мм)</w:t>
            </w:r>
          </w:p>
        </w:tc>
        <w:tc>
          <w:tcPr>
            <w:tcW w:w="0" w:type="auto"/>
            <w:vAlign w:val="center"/>
            <w:hideMark/>
          </w:tcPr>
          <w:p w14:paraId="5BB4DB7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w:t>
            </w:r>
          </w:p>
        </w:tc>
        <w:tc>
          <w:tcPr>
            <w:tcW w:w="0" w:type="auto"/>
            <w:gridSpan w:val="2"/>
            <w:vMerge/>
            <w:vAlign w:val="center"/>
            <w:hideMark/>
          </w:tcPr>
          <w:p w14:paraId="44542F75"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5D280D7" w14:textId="77777777" w:rsidTr="00ED5B0A">
        <w:trPr>
          <w:tblCellSpacing w:w="7" w:type="dxa"/>
          <w:jc w:val="center"/>
        </w:trPr>
        <w:tc>
          <w:tcPr>
            <w:tcW w:w="0" w:type="auto"/>
            <w:vAlign w:val="center"/>
            <w:hideMark/>
          </w:tcPr>
          <w:p w14:paraId="5797EA5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7A056A8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w:t>
            </w:r>
          </w:p>
        </w:tc>
        <w:tc>
          <w:tcPr>
            <w:tcW w:w="0" w:type="auto"/>
            <w:gridSpan w:val="2"/>
            <w:vMerge/>
            <w:vAlign w:val="center"/>
            <w:hideMark/>
          </w:tcPr>
          <w:p w14:paraId="3CD5EC2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59EC9596" w14:textId="77777777" w:rsidTr="00ED5B0A">
        <w:trPr>
          <w:tblCellSpacing w:w="7" w:type="dxa"/>
          <w:jc w:val="center"/>
        </w:trPr>
        <w:tc>
          <w:tcPr>
            <w:tcW w:w="0" w:type="auto"/>
            <w:vAlign w:val="center"/>
            <w:hideMark/>
          </w:tcPr>
          <w:p w14:paraId="27A5BA0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Профиль сечения лопасти</w:t>
            </w:r>
          </w:p>
        </w:tc>
        <w:tc>
          <w:tcPr>
            <w:tcW w:w="0" w:type="auto"/>
            <w:vAlign w:val="center"/>
            <w:hideMark/>
          </w:tcPr>
          <w:p w14:paraId="1BDE9D8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Clark-Y</w:t>
            </w:r>
          </w:p>
        </w:tc>
        <w:tc>
          <w:tcPr>
            <w:tcW w:w="0" w:type="auto"/>
            <w:gridSpan w:val="2"/>
            <w:vMerge/>
            <w:vAlign w:val="center"/>
            <w:hideMark/>
          </w:tcPr>
          <w:p w14:paraId="464ED921"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17AB66D" w14:textId="77777777" w:rsidTr="00ED5B0A">
        <w:trPr>
          <w:tblCellSpacing w:w="7" w:type="dxa"/>
          <w:jc w:val="center"/>
        </w:trPr>
        <w:tc>
          <w:tcPr>
            <w:tcW w:w="0" w:type="auto"/>
            <w:vAlign w:val="center"/>
            <w:hideMark/>
          </w:tcPr>
          <w:p w14:paraId="64338A1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Диапазон поворота лопастей (град.)</w:t>
            </w:r>
          </w:p>
        </w:tc>
        <w:tc>
          <w:tcPr>
            <w:tcW w:w="0" w:type="auto"/>
            <w:vAlign w:val="center"/>
            <w:hideMark/>
          </w:tcPr>
          <w:p w14:paraId="28454BB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0" w:type="auto"/>
            <w:gridSpan w:val="2"/>
            <w:vMerge/>
            <w:vAlign w:val="center"/>
            <w:hideMark/>
          </w:tcPr>
          <w:p w14:paraId="05770154"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F78ECE1" w14:textId="77777777" w:rsidTr="00ED5B0A">
        <w:trPr>
          <w:tblCellSpacing w:w="7" w:type="dxa"/>
          <w:jc w:val="center"/>
        </w:trPr>
        <w:tc>
          <w:tcPr>
            <w:tcW w:w="0" w:type="auto"/>
            <w:vAlign w:val="center"/>
            <w:hideMark/>
          </w:tcPr>
          <w:p w14:paraId="1BB5554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Минимальный установочный угол</w:t>
            </w:r>
          </w:p>
          <w:p w14:paraId="169665C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лопастей (град.)</w:t>
            </w:r>
          </w:p>
        </w:tc>
        <w:tc>
          <w:tcPr>
            <w:tcW w:w="0" w:type="auto"/>
            <w:vAlign w:val="center"/>
            <w:hideMark/>
          </w:tcPr>
          <w:p w14:paraId="22CB785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21,5</w:t>
            </w:r>
          </w:p>
        </w:tc>
        <w:tc>
          <w:tcPr>
            <w:tcW w:w="0" w:type="auto"/>
            <w:gridSpan w:val="2"/>
            <w:vMerge/>
            <w:vAlign w:val="center"/>
            <w:hideMark/>
          </w:tcPr>
          <w:p w14:paraId="72D42413"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E76F860" w14:textId="77777777" w:rsidTr="00ED5B0A">
        <w:trPr>
          <w:tblCellSpacing w:w="7" w:type="dxa"/>
          <w:jc w:val="center"/>
        </w:trPr>
        <w:tc>
          <w:tcPr>
            <w:tcW w:w="0" w:type="auto"/>
            <w:vAlign w:val="center"/>
            <w:hideMark/>
          </w:tcPr>
          <w:p w14:paraId="6D2456D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лопасти (кг)</w:t>
            </w:r>
          </w:p>
        </w:tc>
        <w:tc>
          <w:tcPr>
            <w:tcW w:w="0" w:type="auto"/>
            <w:vAlign w:val="center"/>
            <w:hideMark/>
          </w:tcPr>
          <w:p w14:paraId="2625686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0" w:type="auto"/>
            <w:gridSpan w:val="2"/>
            <w:vMerge/>
            <w:vAlign w:val="center"/>
            <w:hideMark/>
          </w:tcPr>
          <w:p w14:paraId="042304AC"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6C3F7EE6" w14:textId="77777777" w:rsidTr="00ED5B0A">
        <w:trPr>
          <w:tblCellSpacing w:w="7" w:type="dxa"/>
          <w:jc w:val="center"/>
        </w:trPr>
        <w:tc>
          <w:tcPr>
            <w:tcW w:w="0" w:type="auto"/>
            <w:vAlign w:val="center"/>
            <w:hideMark/>
          </w:tcPr>
          <w:p w14:paraId="4523561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винта (кг)</w:t>
            </w:r>
          </w:p>
        </w:tc>
        <w:tc>
          <w:tcPr>
            <w:tcW w:w="0" w:type="auto"/>
            <w:vAlign w:val="center"/>
            <w:hideMark/>
          </w:tcPr>
          <w:p w14:paraId="77A97FD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166</w:t>
            </w:r>
          </w:p>
        </w:tc>
        <w:tc>
          <w:tcPr>
            <w:tcW w:w="0" w:type="auto"/>
            <w:gridSpan w:val="2"/>
            <w:vMerge/>
            <w:vAlign w:val="center"/>
            <w:hideMark/>
          </w:tcPr>
          <w:p w14:paraId="3C999D97"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1C26D2F" w14:textId="77777777" w:rsidTr="00ED5B0A">
        <w:trPr>
          <w:tblCellSpacing w:w="7" w:type="dxa"/>
          <w:jc w:val="center"/>
        </w:trPr>
        <w:tc>
          <w:tcPr>
            <w:tcW w:w="0" w:type="auto"/>
            <w:vAlign w:val="center"/>
            <w:hideMark/>
          </w:tcPr>
          <w:p w14:paraId="5AF41D9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6220E4C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2600</w:t>
            </w:r>
          </w:p>
        </w:tc>
        <w:tc>
          <w:tcPr>
            <w:tcW w:w="0" w:type="auto"/>
            <w:gridSpan w:val="2"/>
            <w:vMerge/>
            <w:vAlign w:val="center"/>
            <w:hideMark/>
          </w:tcPr>
          <w:p w14:paraId="22F590D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4EECD49E" w14:textId="77777777" w:rsidTr="00ED5B0A">
        <w:trPr>
          <w:tblCellSpacing w:w="7" w:type="dxa"/>
          <w:jc w:val="center"/>
        </w:trPr>
        <w:tc>
          <w:tcPr>
            <w:tcW w:w="0" w:type="auto"/>
            <w:vAlign w:val="center"/>
            <w:hideMark/>
          </w:tcPr>
          <w:p w14:paraId="5AE37F3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Редукция мотора</w:t>
            </w:r>
          </w:p>
        </w:tc>
        <w:tc>
          <w:tcPr>
            <w:tcW w:w="0" w:type="auto"/>
            <w:vAlign w:val="center"/>
            <w:hideMark/>
          </w:tcPr>
          <w:p w14:paraId="6493297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0,556</w:t>
            </w:r>
          </w:p>
        </w:tc>
        <w:tc>
          <w:tcPr>
            <w:tcW w:w="0" w:type="auto"/>
            <w:gridSpan w:val="2"/>
            <w:vMerge/>
            <w:vAlign w:val="center"/>
            <w:hideMark/>
          </w:tcPr>
          <w:p w14:paraId="7CAB33BD"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3E8296FF" w14:textId="77777777" w:rsidTr="00ED5B0A">
        <w:trPr>
          <w:tblCellSpacing w:w="7" w:type="dxa"/>
          <w:jc w:val="center"/>
        </w:trPr>
        <w:tc>
          <w:tcPr>
            <w:tcW w:w="0" w:type="auto"/>
            <w:vAlign w:val="center"/>
            <w:hideMark/>
          </w:tcPr>
          <w:p w14:paraId="6EA58E1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Направление вращения винта</w:t>
            </w:r>
          </w:p>
        </w:tc>
        <w:tc>
          <w:tcPr>
            <w:tcW w:w="0" w:type="auto"/>
            <w:vAlign w:val="center"/>
            <w:hideMark/>
          </w:tcPr>
          <w:p w14:paraId="6048AFE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правое</w:t>
            </w:r>
          </w:p>
        </w:tc>
        <w:tc>
          <w:tcPr>
            <w:tcW w:w="0" w:type="auto"/>
            <w:vMerge w:val="restart"/>
            <w:vAlign w:val="center"/>
            <w:hideMark/>
          </w:tcPr>
          <w:p w14:paraId="5F91A09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Состояние</w:t>
            </w:r>
          </w:p>
          <w:p w14:paraId="70CB837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винта</w:t>
            </w:r>
          </w:p>
        </w:tc>
        <w:tc>
          <w:tcPr>
            <w:tcW w:w="0" w:type="auto"/>
            <w:vMerge w:val="restart"/>
            <w:vAlign w:val="center"/>
            <w:hideMark/>
          </w:tcPr>
          <w:p w14:paraId="4A807E85"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Находится в эксплоатации на самолетах "Аэрокобра I".</w:t>
            </w:r>
          </w:p>
        </w:tc>
      </w:tr>
      <w:tr w:rsidR="00A907A5" w:rsidRPr="00271E51" w14:paraId="42F786BD" w14:textId="77777777" w:rsidTr="00ED5B0A">
        <w:trPr>
          <w:tblCellSpacing w:w="7" w:type="dxa"/>
          <w:jc w:val="center"/>
        </w:trPr>
        <w:tc>
          <w:tcPr>
            <w:tcW w:w="0" w:type="auto"/>
            <w:vAlign w:val="center"/>
            <w:hideMark/>
          </w:tcPr>
          <w:p w14:paraId="32E796F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регулятора оборотов</w:t>
            </w:r>
          </w:p>
        </w:tc>
        <w:tc>
          <w:tcPr>
            <w:tcW w:w="0" w:type="auto"/>
            <w:vAlign w:val="center"/>
            <w:hideMark/>
          </w:tcPr>
          <w:p w14:paraId="7996816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Кертис</w:t>
            </w:r>
          </w:p>
        </w:tc>
        <w:tc>
          <w:tcPr>
            <w:tcW w:w="0" w:type="auto"/>
            <w:vMerge/>
            <w:vAlign w:val="center"/>
            <w:hideMark/>
          </w:tcPr>
          <w:p w14:paraId="1DEE3A4F"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573FBB0B"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74B4186C" w14:textId="77777777" w:rsidTr="00ED5B0A">
        <w:trPr>
          <w:tblCellSpacing w:w="7" w:type="dxa"/>
          <w:jc w:val="center"/>
        </w:trPr>
        <w:tc>
          <w:tcPr>
            <w:tcW w:w="0" w:type="auto"/>
            <w:vAlign w:val="center"/>
            <w:hideMark/>
          </w:tcPr>
          <w:p w14:paraId="2CF8D02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Носок вала редуктора мотора</w:t>
            </w:r>
          </w:p>
        </w:tc>
        <w:tc>
          <w:tcPr>
            <w:tcW w:w="0" w:type="auto"/>
            <w:vAlign w:val="center"/>
            <w:hideMark/>
          </w:tcPr>
          <w:p w14:paraId="6056840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SAE-50</w:t>
            </w:r>
          </w:p>
        </w:tc>
        <w:tc>
          <w:tcPr>
            <w:tcW w:w="0" w:type="auto"/>
            <w:vMerge/>
            <w:vAlign w:val="center"/>
            <w:hideMark/>
          </w:tcPr>
          <w:p w14:paraId="72138676"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Merge/>
            <w:vAlign w:val="center"/>
            <w:hideMark/>
          </w:tcPr>
          <w:p w14:paraId="721A441E"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r>
      <w:tr w:rsidR="00A907A5" w:rsidRPr="00271E51" w14:paraId="0228B7A9" w14:textId="77777777" w:rsidTr="00ED5B0A">
        <w:trPr>
          <w:tblCellSpacing w:w="7" w:type="dxa"/>
          <w:jc w:val="center"/>
        </w:trPr>
        <w:tc>
          <w:tcPr>
            <w:tcW w:w="0" w:type="auto"/>
            <w:vAlign w:val="center"/>
            <w:hideMark/>
          </w:tcPr>
          <w:p w14:paraId="3C19EC3C"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vAlign w:val="center"/>
            <w:hideMark/>
          </w:tcPr>
          <w:p w14:paraId="49887D28" w14:textId="77777777" w:rsidR="00FC04C9" w:rsidRPr="00271E51" w:rsidRDefault="00FC04C9" w:rsidP="00271E51">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14364CB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Источник сведений: </w:t>
            </w:r>
          </w:p>
        </w:tc>
      </w:tr>
    </w:tbl>
    <w:p w14:paraId="6F1A78F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(12227).</w:t>
      </w:r>
    </w:p>
    <w:p w14:paraId="659F0913"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12C05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0EE2D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C45EE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w:t>
      </w:r>
      <w:r w:rsidRPr="00271E51">
        <w:rPr>
          <w:rFonts w:ascii="Times New Roman" w:hAnsi="Times New Roman"/>
          <w:color w:val="000000" w:themeColor="text1"/>
          <w:sz w:val="16"/>
          <w:szCs w:val="16"/>
        </w:rPr>
        <w:lastRenderedPageBreak/>
        <w:t>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1D308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Тушино. Производственный профиль – авиамоторный (9861).</w:t>
      </w:r>
    </w:p>
    <w:p w14:paraId="7806DA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980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началась разработка но</w:t>
      </w:r>
      <w:r w:rsidRPr="00271E51">
        <w:rPr>
          <w:rFonts w:ascii="Times New Roman" w:hAnsi="Times New Roman"/>
          <w:color w:val="000000" w:themeColor="text1"/>
          <w:sz w:val="16"/>
          <w:szCs w:val="16"/>
        </w:rPr>
        <w:softHyphen/>
        <w:t>вых планеров с большей грузоподъем</w:t>
      </w:r>
      <w:r w:rsidRPr="00271E51">
        <w:rPr>
          <w:rFonts w:ascii="Times New Roman" w:hAnsi="Times New Roman"/>
          <w:color w:val="000000" w:themeColor="text1"/>
          <w:sz w:val="16"/>
          <w:szCs w:val="16"/>
        </w:rPr>
        <w:softHyphen/>
        <w:t>ностью. Такие достоинства планер</w:t>
      </w:r>
      <w:r w:rsidRPr="00271E51">
        <w:rPr>
          <w:rFonts w:ascii="Times New Roman" w:hAnsi="Times New Roman"/>
          <w:color w:val="000000" w:themeColor="text1"/>
          <w:sz w:val="16"/>
          <w:szCs w:val="16"/>
        </w:rPr>
        <w:softHyphen/>
        <w:t>ных десантов, как возможность ком</w:t>
      </w:r>
      <w:r w:rsidRPr="00271E51">
        <w:rPr>
          <w:rFonts w:ascii="Times New Roman" w:hAnsi="Times New Roman"/>
          <w:color w:val="000000" w:themeColor="text1"/>
          <w:sz w:val="16"/>
          <w:szCs w:val="16"/>
        </w:rPr>
        <w:softHyphen/>
        <w:t>пактно и почти «бесшумно» высадить подразделения с тяжелым вооруже</w:t>
      </w:r>
      <w:r w:rsidRPr="00271E51">
        <w:rPr>
          <w:rFonts w:ascii="Times New Roman" w:hAnsi="Times New Roman"/>
          <w:color w:val="000000" w:themeColor="text1"/>
          <w:sz w:val="16"/>
          <w:szCs w:val="16"/>
        </w:rPr>
        <w:softHyphen/>
        <w:t>нием, привлекали большое внимание (особенно с учетом широкого приме</w:t>
      </w:r>
      <w:r w:rsidRPr="00271E51">
        <w:rPr>
          <w:rFonts w:ascii="Times New Roman" w:hAnsi="Times New Roman"/>
          <w:color w:val="000000" w:themeColor="text1"/>
          <w:sz w:val="16"/>
          <w:szCs w:val="16"/>
        </w:rPr>
        <w:softHyphen/>
        <w:t>нения планерных десантов вермахтом и войсками союзников), так что десан</w:t>
      </w:r>
      <w:r w:rsidRPr="00271E51">
        <w:rPr>
          <w:rFonts w:ascii="Times New Roman" w:hAnsi="Times New Roman"/>
          <w:color w:val="000000" w:themeColor="text1"/>
          <w:sz w:val="16"/>
          <w:szCs w:val="16"/>
        </w:rPr>
        <w:softHyphen/>
        <w:t>тные планеры еще долгое время «зас</w:t>
      </w:r>
      <w:r w:rsidRPr="00271E51">
        <w:rPr>
          <w:rFonts w:ascii="Times New Roman" w:hAnsi="Times New Roman"/>
          <w:color w:val="000000" w:themeColor="text1"/>
          <w:sz w:val="16"/>
          <w:szCs w:val="16"/>
        </w:rPr>
        <w:softHyphen/>
        <w:t>лоняли» собой тему ПДТ. Буквально через год после войны возобновилось производство десантных планеров и разработка планеров для десантиро</w:t>
      </w:r>
      <w:r w:rsidRPr="00271E51">
        <w:rPr>
          <w:rFonts w:ascii="Times New Roman" w:hAnsi="Times New Roman"/>
          <w:color w:val="000000" w:themeColor="text1"/>
          <w:sz w:val="16"/>
          <w:szCs w:val="16"/>
        </w:rPr>
        <w:softHyphen/>
        <w:t>вания тяжелого оружия и техники. Та</w:t>
      </w:r>
      <w:r w:rsidRPr="00271E51">
        <w:rPr>
          <w:rFonts w:ascii="Times New Roman" w:hAnsi="Times New Roman"/>
          <w:color w:val="000000" w:themeColor="text1"/>
          <w:sz w:val="16"/>
          <w:szCs w:val="16"/>
        </w:rPr>
        <w:softHyphen/>
        <w:t>кие планеры были спроектированы в КБ Грибовского, Цыбина (Ц-30 и Ц-60), Бакшаева (Т-1). В 1948 г. в ОКБ А.С. Яковлева создали тяжелый пла</w:t>
      </w:r>
      <w:r w:rsidRPr="00271E51">
        <w:rPr>
          <w:rFonts w:ascii="Times New Roman" w:hAnsi="Times New Roman"/>
          <w:color w:val="000000" w:themeColor="text1"/>
          <w:sz w:val="16"/>
          <w:szCs w:val="16"/>
        </w:rPr>
        <w:softHyphen/>
        <w:t>нер Як-14, в ОКБ С.В. Ильюшина -Ил-32. Можно вспомнить и «воздуш</w:t>
      </w:r>
      <w:r w:rsidRPr="00271E51">
        <w:rPr>
          <w:rFonts w:ascii="Times New Roman" w:hAnsi="Times New Roman"/>
          <w:color w:val="000000" w:themeColor="text1"/>
          <w:sz w:val="16"/>
          <w:szCs w:val="16"/>
        </w:rPr>
        <w:softHyphen/>
        <w:t>ный прицеп», разрабатывавшийся в ОКБ О.К. Антонова уже в 1950 г. (11752).</w:t>
      </w:r>
    </w:p>
    <w:p w14:paraId="198537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179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испытали переброс</w:t>
      </w:r>
      <w:r w:rsidRPr="00271E51">
        <w:rPr>
          <w:rFonts w:ascii="Times New Roman" w:hAnsi="Times New Roman"/>
          <w:color w:val="000000" w:themeColor="text1"/>
          <w:sz w:val="16"/>
          <w:szCs w:val="16"/>
        </w:rPr>
        <w:softHyphen/>
        <w:t>ку под фюзеляжем ТБ-3 вновь появив</w:t>
      </w:r>
      <w:r w:rsidRPr="00271E51">
        <w:rPr>
          <w:rFonts w:ascii="Times New Roman" w:hAnsi="Times New Roman"/>
          <w:color w:val="000000" w:themeColor="text1"/>
          <w:sz w:val="16"/>
          <w:szCs w:val="16"/>
        </w:rPr>
        <w:softHyphen/>
        <w:t>шейся на вооружении военной техни</w:t>
      </w:r>
      <w:r w:rsidRPr="00271E51">
        <w:rPr>
          <w:rFonts w:ascii="Times New Roman" w:hAnsi="Times New Roman"/>
          <w:color w:val="000000" w:themeColor="text1"/>
          <w:sz w:val="16"/>
          <w:szCs w:val="16"/>
        </w:rPr>
        <w:softHyphen/>
        <w:t>ки легкого класса - бронеавтомобиля БА-64, автомобиля ГАЗ-67, британско</w:t>
      </w:r>
      <w:r w:rsidRPr="00271E51">
        <w:rPr>
          <w:rFonts w:ascii="Times New Roman" w:hAnsi="Times New Roman"/>
          <w:color w:val="000000" w:themeColor="text1"/>
          <w:sz w:val="16"/>
          <w:szCs w:val="16"/>
        </w:rPr>
        <w:softHyphen/>
        <w:t>го БТР «Юниверсал» (поставлялся по ленд-лизу). Но развития эти опыты не получили (11752).</w:t>
      </w:r>
    </w:p>
    <w:p w14:paraId="1BBA70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7ADE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(ГС Завод № 456 НКАП, МАП,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 xml:space="preserve">, МОП,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Опытный завод энергетического машиностроения (ОЗЭМ)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xml:space="preserve"> /г. Химки Московской обл./).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36C150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 (11982).</w:t>
      </w:r>
    </w:p>
    <w:p w14:paraId="314AB6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88552" w14:textId="77777777" w:rsidR="00D009D8" w:rsidRPr="00271E51" w:rsidRDefault="00D009D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Г. П. Свищев создал первые отечественные ламинарные профили, пригодные для практического применения. В 1944 г. проходили испытания и продувки самолета Як-7л с ламинарным крыла для самолета Як-7. Этот самолет построили для подтверждения данных, полученных в результате исследований моделей в аэродинамических трубах. Задачей эксперимента было выявить максимальные значения прироста скорости за счет изменения профиля крыла. Для летных испытаний использовали фюзеляж серийного самолета Як-7Б № 2829, к которому пристыковали опытное крыло, набранное из профилей ЦАГИ. Испытания (14 июля — 9 сентября) показали, что максимальная скорость возрастала на 14—22 км/ч. Поскольку поверхность опытного крыла была покрыта клеем ВИАМ-Б3 и отполирована, провели цикл испытаний по проверке влияния шероховатости покрытия крыла на максимальную скорость. Для чистоты эксперимента ту же машину испытали с обычным крылом, поверхность которого обработали до значений шероховатости ламинарного крыла. Даже при очень грубом покрытии нового крыла прирост скорости составлял 5 км/ч. Другие характеристики практически не поменялись, хотя летчики отмечали некоторое ухудшение пилотажных качеств, снижение продольной устойчивости и более резкий характер срыва в штопор. Работы по ламинарному крылу не вышли за рамки эксперимента, но продолжились в 1945 г.: на том же самолете провели исследование оперения с ламинарными профилями. Продувки самолета Як-7л в трубе Т-101 показали, что вход во всасывающий патрубок вызывает сильное нарушение обтекания крыла. После проведенной модификации профиля появилась возможность разместить вход в патрубок почти не нарушая верхней поверхности крыла (19727).</w:t>
      </w:r>
    </w:p>
    <w:p w14:paraId="055F6306" w14:textId="77777777" w:rsidR="00D009D8" w:rsidRPr="00271E51" w:rsidRDefault="00D009D8" w:rsidP="00271E51">
      <w:pPr>
        <w:spacing w:after="0" w:line="240" w:lineRule="auto"/>
        <w:jc w:val="both"/>
        <w:rPr>
          <w:rFonts w:ascii="Times New Roman" w:hAnsi="Times New Roman"/>
          <w:color w:val="000000" w:themeColor="text1"/>
          <w:sz w:val="16"/>
          <w:szCs w:val="16"/>
        </w:rPr>
      </w:pPr>
    </w:p>
    <w:p w14:paraId="376694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потери от брака возросли до 2,9 % по сравнению с 2,6% в 1942. В первом по</w:t>
      </w:r>
      <w:r w:rsidRPr="00271E51">
        <w:rPr>
          <w:rFonts w:ascii="Times New Roman" w:hAnsi="Times New Roman"/>
          <w:color w:val="000000" w:themeColor="text1"/>
          <w:sz w:val="16"/>
          <w:szCs w:val="16"/>
        </w:rPr>
        <w:softHyphen/>
        <w:t>лугодии 1943 г. происходит некоторый спад авиавыпуска, свя</w:t>
      </w:r>
      <w:r w:rsidRPr="00271E51">
        <w:rPr>
          <w:rFonts w:ascii="Times New Roman" w:hAnsi="Times New Roman"/>
          <w:color w:val="000000" w:themeColor="text1"/>
          <w:sz w:val="16"/>
          <w:szCs w:val="16"/>
        </w:rPr>
        <w:softHyphen/>
        <w:t>занный с резким снижением качества авиапродукции. Собственно, в данном случае мы видим оборотную сторону политики 1942 г. на использование различных суррогатов, заменителей и вообще курса на «самообеспечение». Все эти ухищрения действительно позволяли увеличить сдачу авиа</w:t>
      </w:r>
      <w:r w:rsidRPr="00271E51">
        <w:rPr>
          <w:rFonts w:ascii="Times New Roman" w:hAnsi="Times New Roman"/>
          <w:color w:val="000000" w:themeColor="text1"/>
          <w:sz w:val="16"/>
          <w:szCs w:val="16"/>
        </w:rPr>
        <w:softHyphen/>
        <w:t>техники, но неизбежно вели к снижению качества. Логиче</w:t>
      </w:r>
      <w:r w:rsidRPr="00271E51">
        <w:rPr>
          <w:rFonts w:ascii="Times New Roman" w:hAnsi="Times New Roman"/>
          <w:color w:val="000000" w:themeColor="text1"/>
          <w:sz w:val="16"/>
          <w:szCs w:val="16"/>
        </w:rPr>
        <w:softHyphen/>
        <w:t>ским завершением этого тренда стал выпуск одной модели на разных заводах с разной нормой отпуска материалов—то есть, по сути, по разным технологиям. Так, в производстве штурмовика Ил-2 в 1943 г. использовались следующие объё</w:t>
      </w:r>
      <w:r w:rsidRPr="00271E51">
        <w:rPr>
          <w:rFonts w:ascii="Times New Roman" w:hAnsi="Times New Roman"/>
          <w:color w:val="000000" w:themeColor="text1"/>
          <w:sz w:val="16"/>
          <w:szCs w:val="16"/>
        </w:rPr>
        <w:softHyphen/>
        <w:t>мы лесоматериалов (кубометров) (</w:t>
      </w:r>
      <w:r w:rsidRPr="00271E51">
        <w:rPr>
          <w:rFonts w:ascii="Times New Roman" w:hAnsi="Times New Roman"/>
          <w:iCs/>
          <w:color w:val="000000" w:themeColor="text1"/>
          <w:sz w:val="16"/>
          <w:szCs w:val="16"/>
        </w:rPr>
        <w:t>Симонов Н.С.</w:t>
      </w:r>
      <w:r w:rsidRPr="00271E51">
        <w:rPr>
          <w:rFonts w:ascii="Times New Roman" w:hAnsi="Times New Roman"/>
          <w:color w:val="000000" w:themeColor="text1"/>
          <w:sz w:val="16"/>
          <w:szCs w:val="16"/>
        </w:rPr>
        <w:t xml:space="preserve"> Указ. соч. С. 175):</w:t>
      </w:r>
    </w:p>
    <w:tbl>
      <w:tblPr>
        <w:tblW w:w="0" w:type="auto"/>
        <w:tblInd w:w="8" w:type="dxa"/>
        <w:tblLayout w:type="fixed"/>
        <w:tblCellMar>
          <w:left w:w="0" w:type="dxa"/>
          <w:right w:w="0" w:type="dxa"/>
        </w:tblCellMar>
        <w:tblLook w:val="0000" w:firstRow="0" w:lastRow="0" w:firstColumn="0" w:lastColumn="0" w:noHBand="0" w:noVBand="0"/>
      </w:tblPr>
      <w:tblGrid>
        <w:gridCol w:w="960"/>
        <w:gridCol w:w="1680"/>
        <w:gridCol w:w="1738"/>
        <w:gridCol w:w="1570"/>
      </w:tblGrid>
      <w:tr w:rsidR="00A907A5" w:rsidRPr="00271E51" w14:paraId="16C74190" w14:textId="77777777" w:rsidTr="00ED5B0A">
        <w:trPr>
          <w:trHeight w:val="240"/>
        </w:trPr>
        <w:tc>
          <w:tcPr>
            <w:tcW w:w="960" w:type="dxa"/>
            <w:tcBorders>
              <w:top w:val="single" w:sz="6" w:space="0" w:color="auto"/>
              <w:left w:val="single" w:sz="6" w:space="0" w:color="auto"/>
              <w:bottom w:val="single" w:sz="6" w:space="0" w:color="auto"/>
              <w:right w:val="single" w:sz="6" w:space="0" w:color="auto"/>
            </w:tcBorders>
            <w:shd w:val="clear" w:color="auto" w:fill="FFFFFF"/>
          </w:tcPr>
          <w:p w14:paraId="755DC7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Номер завода</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14:paraId="29CDAB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Фанера бакелитовая</w:t>
            </w:r>
          </w:p>
        </w:tc>
        <w:tc>
          <w:tcPr>
            <w:tcW w:w="1738" w:type="dxa"/>
            <w:tcBorders>
              <w:top w:val="single" w:sz="6" w:space="0" w:color="auto"/>
              <w:left w:val="single" w:sz="6" w:space="0" w:color="auto"/>
              <w:bottom w:val="single" w:sz="6" w:space="0" w:color="auto"/>
              <w:right w:val="single" w:sz="6" w:space="0" w:color="auto"/>
            </w:tcBorders>
            <w:shd w:val="clear" w:color="auto" w:fill="FFFFFF"/>
          </w:tcPr>
          <w:p w14:paraId="522999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Фанера альбумированная</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20F29E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Авиалес</w:t>
            </w:r>
          </w:p>
        </w:tc>
      </w:tr>
      <w:tr w:rsidR="00A907A5" w:rsidRPr="00271E51" w14:paraId="1C8842E1" w14:textId="77777777" w:rsidTr="00ED5B0A">
        <w:trPr>
          <w:trHeight w:val="221"/>
        </w:trPr>
        <w:tc>
          <w:tcPr>
            <w:tcW w:w="960" w:type="dxa"/>
            <w:tcBorders>
              <w:top w:val="single" w:sz="6" w:space="0" w:color="auto"/>
              <w:left w:val="single" w:sz="6" w:space="0" w:color="auto"/>
              <w:bottom w:val="single" w:sz="6" w:space="0" w:color="auto"/>
              <w:right w:val="single" w:sz="6" w:space="0" w:color="auto"/>
            </w:tcBorders>
            <w:shd w:val="clear" w:color="auto" w:fill="FFFFFF"/>
          </w:tcPr>
          <w:p w14:paraId="752B00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14:paraId="0DCDDA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0,735</w:t>
            </w:r>
          </w:p>
        </w:tc>
        <w:tc>
          <w:tcPr>
            <w:tcW w:w="1738" w:type="dxa"/>
            <w:tcBorders>
              <w:top w:val="single" w:sz="6" w:space="0" w:color="auto"/>
              <w:left w:val="single" w:sz="6" w:space="0" w:color="auto"/>
              <w:bottom w:val="single" w:sz="6" w:space="0" w:color="auto"/>
              <w:right w:val="single" w:sz="6" w:space="0" w:color="auto"/>
            </w:tcBorders>
            <w:shd w:val="clear" w:color="auto" w:fill="FFFFFF"/>
          </w:tcPr>
          <w:p w14:paraId="2D466E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020BDF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3,096</w:t>
            </w:r>
          </w:p>
        </w:tc>
      </w:tr>
      <w:tr w:rsidR="00A907A5" w:rsidRPr="00271E51" w14:paraId="08A25CC3" w14:textId="77777777" w:rsidTr="00ED5B0A">
        <w:trPr>
          <w:trHeight w:val="226"/>
        </w:trPr>
        <w:tc>
          <w:tcPr>
            <w:tcW w:w="960" w:type="dxa"/>
            <w:tcBorders>
              <w:top w:val="single" w:sz="6" w:space="0" w:color="auto"/>
              <w:left w:val="single" w:sz="6" w:space="0" w:color="auto"/>
              <w:bottom w:val="single" w:sz="6" w:space="0" w:color="auto"/>
              <w:right w:val="single" w:sz="6" w:space="0" w:color="auto"/>
            </w:tcBorders>
            <w:shd w:val="clear" w:color="auto" w:fill="FFFFFF"/>
          </w:tcPr>
          <w:p w14:paraId="327A6E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IS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14:paraId="1DDFE8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0,549</w:t>
            </w:r>
          </w:p>
        </w:tc>
        <w:tc>
          <w:tcPr>
            <w:tcW w:w="1738" w:type="dxa"/>
            <w:tcBorders>
              <w:top w:val="single" w:sz="6" w:space="0" w:color="auto"/>
              <w:left w:val="single" w:sz="6" w:space="0" w:color="auto"/>
              <w:bottom w:val="single" w:sz="6" w:space="0" w:color="auto"/>
              <w:right w:val="single" w:sz="6" w:space="0" w:color="auto"/>
            </w:tcBorders>
            <w:shd w:val="clear" w:color="auto" w:fill="FFFFFF"/>
          </w:tcPr>
          <w:p w14:paraId="31DE51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38E372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0,67</w:t>
            </w:r>
          </w:p>
        </w:tc>
      </w:tr>
      <w:tr w:rsidR="00A907A5" w:rsidRPr="00271E51" w14:paraId="6430C8C7" w14:textId="77777777" w:rsidTr="00ED5B0A">
        <w:trPr>
          <w:trHeight w:val="240"/>
        </w:trPr>
        <w:tc>
          <w:tcPr>
            <w:tcW w:w="960" w:type="dxa"/>
            <w:tcBorders>
              <w:top w:val="single" w:sz="6" w:space="0" w:color="auto"/>
              <w:left w:val="single" w:sz="6" w:space="0" w:color="auto"/>
              <w:bottom w:val="single" w:sz="6" w:space="0" w:color="auto"/>
              <w:right w:val="single" w:sz="6" w:space="0" w:color="auto"/>
            </w:tcBorders>
            <w:shd w:val="clear" w:color="auto" w:fill="FFFFFF"/>
          </w:tcPr>
          <w:p w14:paraId="57CD6D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14:paraId="7EDE29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0,306</w:t>
            </w:r>
          </w:p>
        </w:tc>
        <w:tc>
          <w:tcPr>
            <w:tcW w:w="1738" w:type="dxa"/>
            <w:tcBorders>
              <w:top w:val="single" w:sz="6" w:space="0" w:color="auto"/>
              <w:left w:val="single" w:sz="6" w:space="0" w:color="auto"/>
              <w:bottom w:val="single" w:sz="6" w:space="0" w:color="auto"/>
              <w:right w:val="single" w:sz="6" w:space="0" w:color="auto"/>
            </w:tcBorders>
            <w:shd w:val="clear" w:color="auto" w:fill="FFFFFF"/>
          </w:tcPr>
          <w:p w14:paraId="2BE245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0,46</w:t>
            </w:r>
          </w:p>
        </w:tc>
        <w:tc>
          <w:tcPr>
            <w:tcW w:w="1570" w:type="dxa"/>
            <w:tcBorders>
              <w:top w:val="single" w:sz="6" w:space="0" w:color="auto"/>
              <w:left w:val="single" w:sz="6" w:space="0" w:color="auto"/>
              <w:bottom w:val="single" w:sz="6" w:space="0" w:color="auto"/>
              <w:right w:val="single" w:sz="6" w:space="0" w:color="auto"/>
            </w:tcBorders>
            <w:shd w:val="clear" w:color="auto" w:fill="FFFFFF"/>
          </w:tcPr>
          <w:p w14:paraId="228505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3,91</w:t>
            </w:r>
          </w:p>
        </w:tc>
      </w:tr>
    </w:tbl>
    <w:p w14:paraId="3E936C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куда хуже было то, что ряд неисправностей удалось выявить не на заводах, а уже только в авиачастях. В частно</w:t>
      </w:r>
      <w:r w:rsidRPr="00271E51">
        <w:rPr>
          <w:rFonts w:ascii="Times New Roman" w:hAnsi="Times New Roman"/>
          <w:color w:val="000000" w:themeColor="text1"/>
          <w:sz w:val="16"/>
          <w:szCs w:val="16"/>
        </w:rPr>
        <w:softHyphen/>
        <w:t>сти, весной 1943 г. были выявлены массовые дефекта на ис</w:t>
      </w:r>
      <w:r w:rsidRPr="00271E51">
        <w:rPr>
          <w:rFonts w:ascii="Times New Roman" w:hAnsi="Times New Roman"/>
          <w:color w:val="000000" w:themeColor="text1"/>
          <w:sz w:val="16"/>
          <w:szCs w:val="16"/>
        </w:rPr>
        <w:softHyphen/>
        <w:t>требителях Як, изготовленных на заводах № 292 и 153. Как выяснилось впоследствии, применение недостаточно испы</w:t>
      </w:r>
      <w:r w:rsidRPr="00271E51">
        <w:rPr>
          <w:rFonts w:ascii="Times New Roman" w:hAnsi="Times New Roman"/>
          <w:color w:val="000000" w:themeColor="text1"/>
          <w:sz w:val="16"/>
          <w:szCs w:val="16"/>
        </w:rPr>
        <w:softHyphen/>
        <w:t>танных заменителей лаков и красок «дополнило» заводской брак и отдельные конструктивные особенности машины и стало своеобразной «последней соломиной на спине верблю</w:t>
      </w:r>
      <w:r w:rsidRPr="00271E51">
        <w:rPr>
          <w:rFonts w:ascii="Times New Roman" w:hAnsi="Times New Roman"/>
          <w:color w:val="000000" w:themeColor="text1"/>
          <w:sz w:val="16"/>
          <w:szCs w:val="16"/>
        </w:rPr>
        <w:softHyphen/>
        <w:t>да». Непосредственным следствием этого инцидента стало создание в июле 1943 г. Главной инспекции НКАП по каче</w:t>
      </w:r>
      <w:r w:rsidRPr="00271E51">
        <w:rPr>
          <w:rFonts w:ascii="Times New Roman" w:hAnsi="Times New Roman"/>
          <w:color w:val="000000" w:themeColor="text1"/>
          <w:sz w:val="16"/>
          <w:szCs w:val="16"/>
        </w:rPr>
        <w:softHyphen/>
        <w:t>ству (Самолетостроение в СССР. 1917—1945. Кн. 2. М., 1994. С. 227).</w:t>
      </w:r>
    </w:p>
    <w:p w14:paraId="38C403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Обеспокоенное данным фактом, руководство НКАП осу</w:t>
      </w:r>
      <w:r w:rsidRPr="00271E51">
        <w:rPr>
          <w:rFonts w:ascii="Times New Roman" w:hAnsi="Times New Roman"/>
          <w:color w:val="000000" w:themeColor="text1"/>
          <w:sz w:val="16"/>
          <w:szCs w:val="16"/>
        </w:rPr>
        <w:softHyphen/>
        <w:t>ществило целый ряд мер по ужесточению технической дис</w:t>
      </w:r>
      <w:r w:rsidRPr="00271E51">
        <w:rPr>
          <w:rFonts w:ascii="Times New Roman" w:hAnsi="Times New Roman"/>
          <w:color w:val="000000" w:themeColor="text1"/>
          <w:sz w:val="16"/>
          <w:szCs w:val="16"/>
        </w:rPr>
        <w:softHyphen/>
        <w:t>циплины и повышению контроля качества исполняемых работ, причём создание Главной инспекции по качеству стало лишь одним из мероприятий этого ряда. В то же время выяви</w:t>
      </w:r>
      <w:r w:rsidRPr="00271E51">
        <w:rPr>
          <w:rFonts w:ascii="Times New Roman" w:hAnsi="Times New Roman"/>
          <w:color w:val="000000" w:themeColor="text1"/>
          <w:sz w:val="16"/>
          <w:szCs w:val="16"/>
        </w:rPr>
        <w:softHyphen/>
        <w:t>лось несомненное снижение и качества сырья (а также полу</w:t>
      </w:r>
      <w:r w:rsidRPr="00271E51">
        <w:rPr>
          <w:rFonts w:ascii="Times New Roman" w:hAnsi="Times New Roman"/>
          <w:color w:val="000000" w:themeColor="text1"/>
          <w:sz w:val="16"/>
          <w:szCs w:val="16"/>
        </w:rPr>
        <w:softHyphen/>
        <w:t>фабрикатов), поставляемых авиапромышленности смежника</w:t>
      </w:r>
      <w:r w:rsidRPr="00271E51">
        <w:rPr>
          <w:rFonts w:ascii="Times New Roman" w:hAnsi="Times New Roman"/>
          <w:color w:val="000000" w:themeColor="text1"/>
          <w:sz w:val="16"/>
          <w:szCs w:val="16"/>
        </w:rPr>
        <w:softHyphen/>
        <w:t>ми. Так, Уральский алюминиевый завод в течение 5 месяцев 1943 г. в отпускаемом НКАП алюминии допускал содержа</w:t>
      </w:r>
      <w:r w:rsidRPr="00271E51">
        <w:rPr>
          <w:rFonts w:ascii="Times New Roman" w:hAnsi="Times New Roman"/>
          <w:color w:val="000000" w:themeColor="text1"/>
          <w:sz w:val="16"/>
          <w:szCs w:val="16"/>
        </w:rPr>
        <w:softHyphen/>
        <w:t>ние до 20 % продукции Ш и IV сорта (</w:t>
      </w:r>
      <w:r w:rsidRPr="00271E51">
        <w:rPr>
          <w:rFonts w:ascii="Times New Roman" w:hAnsi="Times New Roman"/>
          <w:iCs/>
          <w:color w:val="000000" w:themeColor="text1"/>
          <w:sz w:val="16"/>
          <w:szCs w:val="16"/>
        </w:rPr>
        <w:t>Быстрова И.В.</w:t>
      </w:r>
      <w:r w:rsidRPr="00271E51">
        <w:rPr>
          <w:rFonts w:ascii="Times New Roman" w:hAnsi="Times New Roman"/>
          <w:color w:val="000000" w:themeColor="text1"/>
          <w:sz w:val="16"/>
          <w:szCs w:val="16"/>
        </w:rPr>
        <w:t xml:space="preserve"> Указ. соч. С. 214). Аналогичные данные приводились и по многим другим смежникам. Думается, тут не место выяснять, какое ведомство было более виновато, но следует отметить, что рост авиавыпуска в 1943 г. проходил синхронно с ужесточением борьбы за качество авиапродук</w:t>
      </w:r>
      <w:r w:rsidRPr="00271E51">
        <w:rPr>
          <w:rFonts w:ascii="Times New Roman" w:hAnsi="Times New Roman"/>
          <w:color w:val="000000" w:themeColor="text1"/>
          <w:sz w:val="16"/>
          <w:szCs w:val="16"/>
        </w:rPr>
        <w:softHyphen/>
        <w:t>ции (12011).</w:t>
      </w:r>
    </w:p>
    <w:p w14:paraId="52C135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DD3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результате интенсивной работы по внедре</w:t>
      </w:r>
      <w:r w:rsidRPr="00271E51">
        <w:rPr>
          <w:rFonts w:ascii="Times New Roman" w:hAnsi="Times New Roman"/>
          <w:color w:val="000000" w:themeColor="text1"/>
          <w:sz w:val="16"/>
          <w:szCs w:val="16"/>
        </w:rPr>
        <w:softHyphen/>
        <w:t>нию новых технологий и заменителей дефицитных материа</w:t>
      </w:r>
      <w:r w:rsidRPr="00271E51">
        <w:rPr>
          <w:rFonts w:ascii="Times New Roman" w:hAnsi="Times New Roman"/>
          <w:color w:val="000000" w:themeColor="text1"/>
          <w:sz w:val="16"/>
          <w:szCs w:val="16"/>
        </w:rPr>
        <w:softHyphen/>
        <w:t>лов удалось существенно снизить себестоимость авиапро</w:t>
      </w:r>
      <w:r w:rsidRPr="00271E51">
        <w:rPr>
          <w:rFonts w:ascii="Times New Roman" w:hAnsi="Times New Roman"/>
          <w:color w:val="000000" w:themeColor="text1"/>
          <w:sz w:val="16"/>
          <w:szCs w:val="16"/>
        </w:rPr>
        <w:softHyphen/>
        <w:t>дукции.</w:t>
      </w:r>
    </w:p>
    <w:p w14:paraId="4E0B4C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Снижение себестоимости некоторых типов авиатехники в денежном выражении (тыс. руб.) (Источник — Самолётостроение в СССР. 1917—1945. Кн. 2. М., 1994. С. 226.; РГАЭ. Ф. 8044. Он. 1. Д. 2878. Л. 73, 75.;</w:t>
      </w:r>
      <w:r w:rsidRPr="00271E51">
        <w:rPr>
          <w:rFonts w:ascii="Times New Roman" w:hAnsi="Times New Roman"/>
          <w:iCs/>
          <w:color w:val="000000" w:themeColor="text1"/>
          <w:sz w:val="16"/>
          <w:szCs w:val="16"/>
        </w:rPr>
        <w:t xml:space="preserve"> Савицкий КМ.</w:t>
      </w:r>
      <w:r w:rsidRPr="00271E51">
        <w:rPr>
          <w:rFonts w:ascii="Times New Roman" w:hAnsi="Times New Roman"/>
          <w:color w:val="000000" w:themeColor="text1"/>
          <w:sz w:val="16"/>
          <w:szCs w:val="16"/>
        </w:rPr>
        <w:t xml:space="preserve"> Указ. соч. С. 134)</w:t>
      </w:r>
    </w:p>
    <w:tbl>
      <w:tblPr>
        <w:tblW w:w="0" w:type="auto"/>
        <w:tblInd w:w="8" w:type="dxa"/>
        <w:tblLayout w:type="fixed"/>
        <w:tblCellMar>
          <w:left w:w="0" w:type="dxa"/>
          <w:right w:w="0" w:type="dxa"/>
        </w:tblCellMar>
        <w:tblLook w:val="0000" w:firstRow="0" w:lastRow="0" w:firstColumn="0" w:lastColumn="0" w:noHBand="0" w:noVBand="0"/>
      </w:tblPr>
      <w:tblGrid>
        <w:gridCol w:w="2237"/>
        <w:gridCol w:w="1430"/>
        <w:gridCol w:w="571"/>
        <w:gridCol w:w="566"/>
        <w:gridCol w:w="571"/>
        <w:gridCol w:w="590"/>
      </w:tblGrid>
      <w:tr w:rsidR="00A907A5" w:rsidRPr="00271E51" w14:paraId="0C9C555F" w14:textId="77777777" w:rsidTr="00ED5B0A">
        <w:trPr>
          <w:trHeight w:val="432"/>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22780F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самолёта или авиадвигателя</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2FB92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Завод-юготомтель, Лг</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317A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D4197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853ED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6DAA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r>
      <w:tr w:rsidR="00A907A5" w:rsidRPr="00271E51" w14:paraId="1F732251" w14:textId="77777777" w:rsidTr="00ED5B0A">
        <w:trPr>
          <w:trHeight w:val="283"/>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6483E1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Як-7Е</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2622F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BCAC4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F0A4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6DD6F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111,1</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81CAF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3EB777CD" w14:textId="77777777" w:rsidTr="00ED5B0A">
        <w:trPr>
          <w:trHeight w:val="278"/>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1EF84C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Як-9Д</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69D8F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5A51E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A9F42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D79B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C734F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99,0</w:t>
            </w:r>
          </w:p>
        </w:tc>
      </w:tr>
      <w:tr w:rsidR="00A907A5" w:rsidRPr="00271E51" w14:paraId="35616D36" w14:textId="77777777" w:rsidTr="00ED5B0A">
        <w:trPr>
          <w:trHeight w:val="278"/>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1F7BB9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Ия-2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89AA9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05618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236,1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205E9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7E90F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165,6</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3105A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122F7C33" w14:textId="77777777" w:rsidTr="00ED5B0A">
        <w:trPr>
          <w:trHeight w:val="283"/>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75A76E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352CB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6502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0109C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310,0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86165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4B90EF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w:t>
            </w:r>
          </w:p>
        </w:tc>
      </w:tr>
      <w:tr w:rsidR="00A907A5" w:rsidRPr="00271E51" w14:paraId="7D2EE083" w14:textId="77777777" w:rsidTr="00ED5B0A">
        <w:trPr>
          <w:trHeight w:val="283"/>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42BC66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0A2E8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 '</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4BFF9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558,9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DB6D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439,7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3F511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388,3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BAC54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5487A7DB" w14:textId="77777777" w:rsidTr="00ED5B0A">
        <w:trPr>
          <w:trHeight w:val="278"/>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0A67ED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00BBD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D7831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71E0F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3DEE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DED52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68056863" w14:textId="77777777" w:rsidTr="00ED5B0A">
        <w:trPr>
          <w:trHeight w:val="278"/>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733F4D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АШ-82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E8688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A2AA4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0EC92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ECD80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CBC89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182FD74A" w14:textId="77777777" w:rsidTr="00ED5B0A">
        <w:trPr>
          <w:trHeight w:val="283"/>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328281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3A51B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11D1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6ABFC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EF600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53,8</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4E7922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НД.</w:t>
            </w:r>
          </w:p>
        </w:tc>
      </w:tr>
      <w:tr w:rsidR="00A907A5" w:rsidRPr="00271E51" w14:paraId="281EEB71" w14:textId="77777777" w:rsidTr="00ED5B0A">
        <w:trPr>
          <w:trHeight w:val="293"/>
        </w:trPr>
        <w:tc>
          <w:tcPr>
            <w:tcW w:w="2237" w:type="dxa"/>
            <w:tcBorders>
              <w:top w:val="single" w:sz="6" w:space="0" w:color="auto"/>
              <w:left w:val="single" w:sz="6" w:space="0" w:color="auto"/>
              <w:bottom w:val="single" w:sz="6" w:space="0" w:color="auto"/>
              <w:right w:val="single" w:sz="6" w:space="0" w:color="auto"/>
            </w:tcBorders>
            <w:shd w:val="clear" w:color="auto" w:fill="FFFFFF"/>
          </w:tcPr>
          <w:p w14:paraId="7E62F7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ВК-105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5C60C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9D6E5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42B37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90E1A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43,9</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D0C33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ид.</w:t>
            </w:r>
          </w:p>
        </w:tc>
      </w:tr>
    </w:tbl>
    <w:p w14:paraId="453B23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Однако анализ общей динамики снижения себестоимости продукции в авиапромышленности заставляет прийти к вы</w:t>
      </w:r>
      <w:r w:rsidRPr="00271E51">
        <w:rPr>
          <w:rFonts w:ascii="Times New Roman" w:hAnsi="Times New Roman"/>
          <w:color w:val="000000" w:themeColor="text1"/>
          <w:sz w:val="16"/>
          <w:szCs w:val="16"/>
        </w:rPr>
        <w:softHyphen/>
        <w:t>воду о том, что решающие шаги в этом направлении были сделаны ещё в 1941 г.</w:t>
      </w:r>
    </w:p>
    <w:p w14:paraId="08BB4F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Снижение себестоимости сравнимой товарной продукции авиапромышленности, %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2878. Л. 77,78)</w:t>
      </w:r>
    </w:p>
    <w:tbl>
      <w:tblPr>
        <w:tblW w:w="0" w:type="auto"/>
        <w:tblInd w:w="8" w:type="dxa"/>
        <w:tblLayout w:type="fixed"/>
        <w:tblCellMar>
          <w:left w:w="0" w:type="dxa"/>
          <w:right w:w="0" w:type="dxa"/>
        </w:tblCellMar>
        <w:tblLook w:val="0000" w:firstRow="0" w:lastRow="0" w:firstColumn="0" w:lastColumn="0" w:noHBand="0" w:noVBand="0"/>
      </w:tblPr>
      <w:tblGrid>
        <w:gridCol w:w="4219"/>
        <w:gridCol w:w="566"/>
        <w:gridCol w:w="576"/>
        <w:gridCol w:w="581"/>
      </w:tblGrid>
      <w:tr w:rsidR="00A907A5" w:rsidRPr="00271E51" w14:paraId="28326379" w14:textId="77777777" w:rsidTr="00ED5B0A">
        <w:trPr>
          <w:trHeight w:val="298"/>
        </w:trPr>
        <w:tc>
          <w:tcPr>
            <w:tcW w:w="4219" w:type="dxa"/>
            <w:tcBorders>
              <w:top w:val="single" w:sz="6" w:space="0" w:color="auto"/>
              <w:left w:val="single" w:sz="6" w:space="0" w:color="auto"/>
              <w:bottom w:val="single" w:sz="6" w:space="0" w:color="auto"/>
              <w:right w:val="single" w:sz="6" w:space="0" w:color="auto"/>
            </w:tcBorders>
            <w:shd w:val="clear" w:color="auto" w:fill="FFFFFF"/>
          </w:tcPr>
          <w:p w14:paraId="14F550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20AC5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255EC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056C56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r>
      <w:tr w:rsidR="00A907A5" w:rsidRPr="00271E51" w14:paraId="32C55DAF" w14:textId="77777777" w:rsidTr="00ED5B0A">
        <w:trPr>
          <w:trHeight w:val="509"/>
        </w:trPr>
        <w:tc>
          <w:tcPr>
            <w:tcW w:w="4219" w:type="dxa"/>
            <w:tcBorders>
              <w:top w:val="single" w:sz="6" w:space="0" w:color="auto"/>
              <w:left w:val="single" w:sz="6" w:space="0" w:color="auto"/>
              <w:bottom w:val="single" w:sz="6" w:space="0" w:color="auto"/>
              <w:right w:val="single" w:sz="6" w:space="0" w:color="auto"/>
            </w:tcBorders>
            <w:shd w:val="clear" w:color="auto" w:fill="FFFFFF"/>
          </w:tcPr>
          <w:p w14:paraId="301EE7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Слижете себестоимости сравнимой товарной продукции по сравнению с предыдущим годом</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C94E1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6AD44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201A79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w:t>
            </w:r>
          </w:p>
        </w:tc>
      </w:tr>
      <w:tr w:rsidR="00A907A5" w:rsidRPr="00271E51" w14:paraId="2737681F" w14:textId="77777777" w:rsidTr="00ED5B0A">
        <w:trPr>
          <w:trHeight w:val="533"/>
        </w:trPr>
        <w:tc>
          <w:tcPr>
            <w:tcW w:w="4219" w:type="dxa"/>
            <w:tcBorders>
              <w:top w:val="single" w:sz="6" w:space="0" w:color="auto"/>
              <w:left w:val="single" w:sz="6" w:space="0" w:color="auto"/>
              <w:bottom w:val="single" w:sz="6" w:space="0" w:color="auto"/>
              <w:right w:val="single" w:sz="6" w:space="0" w:color="auto"/>
            </w:tcBorders>
            <w:shd w:val="clear" w:color="auto" w:fill="FFFFFF"/>
          </w:tcPr>
          <w:p w14:paraId="58A7C6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Снижение себестоимости сравнимой товарной продукции по сравнению с 1940 г.</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77566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DD9AC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43,7</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12AD8E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48,3</w:t>
            </w:r>
          </w:p>
        </w:tc>
      </w:tr>
    </w:tbl>
    <w:p w14:paraId="13A247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 или иначе, но экономия от снижения себестоимости сравнимой продукции выражалась в весьма значительных цифрах, которые были отнюдь не лишними в бюджете СССР.</w:t>
      </w:r>
    </w:p>
    <w:p w14:paraId="539FC1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Экономия </w:t>
      </w:r>
      <w:r w:rsidRPr="00271E51">
        <w:rPr>
          <w:rFonts w:ascii="Times New Roman" w:hAnsi="Times New Roman"/>
          <w:color w:val="000000" w:themeColor="text1"/>
          <w:sz w:val="16"/>
          <w:szCs w:val="16"/>
          <w:lang w:val="en-US"/>
        </w:rPr>
        <w:t>or</w:t>
      </w:r>
      <w:r w:rsidRPr="00271E51">
        <w:rPr>
          <w:rFonts w:ascii="Times New Roman" w:hAnsi="Times New Roman"/>
          <w:color w:val="000000" w:themeColor="text1"/>
          <w:sz w:val="16"/>
          <w:szCs w:val="16"/>
        </w:rPr>
        <w:t xml:space="preserve"> снижение себестоимости сравнимой продукции авиапромышленности в год (млн руб.)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2878. Л. 79)</w:t>
      </w:r>
    </w:p>
    <w:tbl>
      <w:tblPr>
        <w:tblW w:w="0" w:type="auto"/>
        <w:tblInd w:w="8" w:type="dxa"/>
        <w:tblLayout w:type="fixed"/>
        <w:tblCellMar>
          <w:left w:w="0" w:type="dxa"/>
          <w:right w:w="0" w:type="dxa"/>
        </w:tblCellMar>
        <w:tblLook w:val="0000" w:firstRow="0" w:lastRow="0" w:firstColumn="0" w:lastColumn="0" w:noHBand="0" w:noVBand="0"/>
      </w:tblPr>
      <w:tblGrid>
        <w:gridCol w:w="1190"/>
        <w:gridCol w:w="1186"/>
        <w:gridCol w:w="1186"/>
        <w:gridCol w:w="1181"/>
        <w:gridCol w:w="1200"/>
      </w:tblGrid>
      <w:tr w:rsidR="00A907A5" w:rsidRPr="00271E51" w14:paraId="038F1615" w14:textId="77777777" w:rsidTr="00ED5B0A">
        <w:trPr>
          <w:trHeight w:val="235"/>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32C90D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61CD0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A70DD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6E071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7B6F9A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1941—1943</w:t>
            </w:r>
          </w:p>
        </w:tc>
      </w:tr>
      <w:tr w:rsidR="00A907A5" w:rsidRPr="00271E51" w14:paraId="55EDA77A" w14:textId="77777777" w:rsidTr="00ED5B0A">
        <w:trPr>
          <w:trHeight w:val="240"/>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234ECE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535,0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15D06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1381,0</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8E10C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1900,0</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3CA270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897,0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3EBF8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4178,0</w:t>
            </w:r>
          </w:p>
        </w:tc>
      </w:tr>
    </w:tbl>
    <w:p w14:paraId="193EE8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провести сравнительное исследование темпов роста авиавыпуска в натуральных и стоимостных показателях, эф</w:t>
      </w:r>
      <w:r w:rsidRPr="00271E51">
        <w:rPr>
          <w:rFonts w:ascii="Times New Roman" w:hAnsi="Times New Roman"/>
          <w:color w:val="000000" w:themeColor="text1"/>
          <w:sz w:val="16"/>
          <w:szCs w:val="16"/>
        </w:rPr>
        <w:softHyphen/>
        <w:t>фект от снижения себестоимости станет ещё более очевид</w:t>
      </w:r>
      <w:r w:rsidRPr="00271E51">
        <w:rPr>
          <w:rFonts w:ascii="Times New Roman" w:hAnsi="Times New Roman"/>
          <w:color w:val="000000" w:themeColor="text1"/>
          <w:sz w:val="16"/>
          <w:szCs w:val="16"/>
        </w:rPr>
        <w:softHyphen/>
        <w:t>ным:</w:t>
      </w:r>
    </w:p>
    <w:p w14:paraId="1D6D80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Авиавыпуск в годы войны в натуральных и стоимостных показателях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 xml:space="preserve">1. Д. 2976. </w:t>
      </w:r>
      <w:r w:rsidRPr="00271E51">
        <w:rPr>
          <w:rFonts w:ascii="Times New Roman" w:hAnsi="Times New Roman"/>
          <w:color w:val="000000" w:themeColor="text1"/>
          <w:sz w:val="16"/>
          <w:szCs w:val="16"/>
          <w:lang w:val="en-US"/>
        </w:rPr>
        <w:t xml:space="preserve">JI. </w:t>
      </w:r>
      <w:r w:rsidRPr="00271E51">
        <w:rPr>
          <w:rFonts w:ascii="Times New Roman" w:hAnsi="Times New Roman"/>
          <w:color w:val="000000" w:themeColor="text1"/>
          <w:sz w:val="16"/>
          <w:szCs w:val="16"/>
        </w:rPr>
        <w:t>5,24)</w:t>
      </w:r>
    </w:p>
    <w:tbl>
      <w:tblPr>
        <w:tblW w:w="0" w:type="auto"/>
        <w:tblInd w:w="8" w:type="dxa"/>
        <w:tblLayout w:type="fixed"/>
        <w:tblCellMar>
          <w:left w:w="0" w:type="dxa"/>
          <w:right w:w="0" w:type="dxa"/>
        </w:tblCellMar>
        <w:tblLook w:val="0000" w:firstRow="0" w:lastRow="0" w:firstColumn="0" w:lastColumn="0" w:noHBand="0" w:noVBand="0"/>
      </w:tblPr>
      <w:tblGrid>
        <w:gridCol w:w="629"/>
        <w:gridCol w:w="850"/>
        <w:gridCol w:w="797"/>
        <w:gridCol w:w="682"/>
        <w:gridCol w:w="1478"/>
        <w:gridCol w:w="1498"/>
      </w:tblGrid>
      <w:tr w:rsidR="00A907A5" w:rsidRPr="00271E51" w14:paraId="6AB5ED36" w14:textId="77777777" w:rsidTr="00ED5B0A">
        <w:trPr>
          <w:trHeight w:val="422"/>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0CDD4B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094EF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Самолетов всего</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CB935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Самолетов боевых</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83BA7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Моторов</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39E19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Валовая продукция (млн. ру6)</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434FE2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Товарная продукция (млн. руб)</w:t>
            </w:r>
          </w:p>
        </w:tc>
      </w:tr>
      <w:tr w:rsidR="00A907A5" w:rsidRPr="00271E51" w14:paraId="61C7CAD7" w14:textId="77777777" w:rsidTr="00ED5B0A">
        <w:trPr>
          <w:trHeight w:val="216"/>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605A2F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1939</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EE49B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10362*</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33DB7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6997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1B18C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22686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6373C9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6C0047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5Д</w:t>
            </w:r>
          </w:p>
        </w:tc>
      </w:tr>
      <w:tr w:rsidR="00A907A5" w:rsidRPr="00271E51" w14:paraId="409A275D" w14:textId="77777777" w:rsidTr="00ED5B0A">
        <w:trPr>
          <w:trHeight w:val="226"/>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48BD89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A51B7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10565</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BF360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8331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2C5C9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21452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8D89F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096D49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w:t>
            </w:r>
          </w:p>
        </w:tc>
      </w:tr>
      <w:tr w:rsidR="00A907A5" w:rsidRPr="00271E51" w14:paraId="702B4950" w14:textId="77777777" w:rsidTr="00ED5B0A">
        <w:trPr>
          <w:trHeight w:val="221"/>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74E4E8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CA965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15735</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59A3AA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12377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6DD90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28218</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D0650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664E98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w:t>
            </w:r>
          </w:p>
        </w:tc>
      </w:tr>
      <w:tr w:rsidR="00A907A5" w:rsidRPr="00271E51" w14:paraId="0956395E" w14:textId="77777777" w:rsidTr="00ED5B0A">
        <w:trPr>
          <w:trHeight w:val="226"/>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47A87D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5D6C5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25436</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B59C7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21681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E4A03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38821</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78631F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12,3</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0DB58F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w:t>
            </w:r>
          </w:p>
        </w:tc>
      </w:tr>
      <w:tr w:rsidR="00A907A5" w:rsidRPr="00271E51" w14:paraId="3A9CBDD0" w14:textId="77777777" w:rsidTr="00ED5B0A">
        <w:trPr>
          <w:trHeight w:val="221"/>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4BE38A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33B1D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34884</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DF135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29877</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9A044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49114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446375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15,4</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36A031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15,1</w:t>
            </w:r>
          </w:p>
        </w:tc>
      </w:tr>
      <w:tr w:rsidR="00A907A5" w:rsidRPr="00271E51" w14:paraId="6B88AA0F" w14:textId="77777777" w:rsidTr="00ED5B0A">
        <w:trPr>
          <w:trHeight w:val="245"/>
        </w:trPr>
        <w:tc>
          <w:tcPr>
            <w:tcW w:w="629" w:type="dxa"/>
            <w:tcBorders>
              <w:top w:val="single" w:sz="6" w:space="0" w:color="auto"/>
              <w:left w:val="single" w:sz="6" w:space="0" w:color="auto"/>
              <w:bottom w:val="single" w:sz="6" w:space="0" w:color="auto"/>
              <w:right w:val="single" w:sz="6" w:space="0" w:color="auto"/>
            </w:tcBorders>
            <w:shd w:val="clear" w:color="auto" w:fill="FFFFFF"/>
          </w:tcPr>
          <w:p w14:paraId="2A2AA3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0D389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40241</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E56F6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33205</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393AFE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52522</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273EFC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16,4</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14:paraId="366F6B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w:t>
            </w:r>
          </w:p>
        </w:tc>
      </w:tr>
    </w:tbl>
    <w:p w14:paraId="74F0FF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Эти цифры несколько отличаются от приводимых в работе «Самолетостроение в СССР 1917—1945 гг.» Кн. 1. М., 1992. С. 432—435; Кн. 2. М., 1994 С. 235—237. Одако, т.к. разница исчисляется долями процента, в данном случае ею можно пренебречь.</w:t>
      </w:r>
    </w:p>
    <w:p w14:paraId="5C9718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Мы видим, что в 1939—1940 гг. темпы роста авиавыпу</w:t>
      </w:r>
      <w:r w:rsidRPr="00271E51">
        <w:rPr>
          <w:rFonts w:ascii="Times New Roman" w:hAnsi="Times New Roman"/>
          <w:color w:val="000000" w:themeColor="text1"/>
          <w:sz w:val="16"/>
          <w:szCs w:val="16"/>
        </w:rPr>
        <w:softHyphen/>
        <w:t>ска в обоих формах отчётности росли примерно с равной скоростью, но с 1941 г. ситуация изменяется, и рост стоимо</w:t>
      </w:r>
      <w:r w:rsidRPr="00271E51">
        <w:rPr>
          <w:rFonts w:ascii="Times New Roman" w:hAnsi="Times New Roman"/>
          <w:color w:val="000000" w:themeColor="text1"/>
          <w:sz w:val="16"/>
          <w:szCs w:val="16"/>
        </w:rPr>
        <w:softHyphen/>
        <w:t>сти суммарного авиавыпуска начинает постоянно отставать от темпов прироста авиавыпуска в натуральном исчислении. Очевидно, что такую динамику могли обеспечить лишь меры по удешевлению производства и снижению себестоимости. Внедрение поточных линий вело к росту производительно ста труда (см. главу 16), что также работало на снижение себесто</w:t>
      </w:r>
      <w:r w:rsidRPr="00271E51">
        <w:rPr>
          <w:rFonts w:ascii="Times New Roman" w:hAnsi="Times New Roman"/>
          <w:color w:val="000000" w:themeColor="text1"/>
          <w:sz w:val="16"/>
          <w:szCs w:val="16"/>
        </w:rPr>
        <w:softHyphen/>
        <w:t>имости. Помимо этого, следует учитывать, что в последние два года войны себестоимость военной продукции снижалась ещё и благодаря удешевлению сырья, материалов, топлива и электроэнергии, поставляемых предприятиям «оборонки» (</w:t>
      </w:r>
      <w:r w:rsidRPr="00271E51">
        <w:rPr>
          <w:rFonts w:ascii="Times New Roman" w:hAnsi="Times New Roman"/>
          <w:iCs/>
          <w:color w:val="000000" w:themeColor="text1"/>
          <w:sz w:val="16"/>
          <w:szCs w:val="16"/>
        </w:rPr>
        <w:t>Симонов Н.С.</w:t>
      </w:r>
      <w:r w:rsidRPr="00271E51">
        <w:rPr>
          <w:rFonts w:ascii="Times New Roman" w:hAnsi="Times New Roman"/>
          <w:color w:val="000000" w:themeColor="text1"/>
          <w:sz w:val="16"/>
          <w:szCs w:val="16"/>
        </w:rPr>
        <w:t xml:space="preserve"> Указ. соч. С. 178). Некоторое дополнительное снижение темпов прироста ва</w:t>
      </w:r>
      <w:r w:rsidRPr="00271E51">
        <w:rPr>
          <w:rFonts w:ascii="Times New Roman" w:hAnsi="Times New Roman"/>
          <w:color w:val="000000" w:themeColor="text1"/>
          <w:sz w:val="16"/>
          <w:szCs w:val="16"/>
        </w:rPr>
        <w:softHyphen/>
        <w:t>ловой продукции в стоимостном выражении в 1943 г. может объясняться сугубо бухгалтерскими причинами. Так, 29 июня 1942 г. планово-экономический отдел НКАП ввёл новый по</w:t>
      </w:r>
      <w:r w:rsidRPr="00271E51">
        <w:rPr>
          <w:rFonts w:ascii="Times New Roman" w:hAnsi="Times New Roman"/>
          <w:color w:val="000000" w:themeColor="text1"/>
          <w:sz w:val="16"/>
          <w:szCs w:val="16"/>
        </w:rPr>
        <w:softHyphen/>
        <w:t>рядок отчётности о стоимости ремонтных работ, проводимых сотрудниками авиапромышленности в полевых условиях, не</w:t>
      </w:r>
      <w:r w:rsidRPr="00271E51">
        <w:rPr>
          <w:rFonts w:ascii="Times New Roman" w:hAnsi="Times New Roman"/>
          <w:color w:val="000000" w:themeColor="text1"/>
          <w:sz w:val="16"/>
          <w:szCs w:val="16"/>
        </w:rPr>
        <w:softHyphen/>
        <w:t>посредственно в частях действующей армии. Если ранее сто</w:t>
      </w:r>
      <w:r w:rsidRPr="00271E51">
        <w:rPr>
          <w:rFonts w:ascii="Times New Roman" w:hAnsi="Times New Roman"/>
          <w:color w:val="000000" w:themeColor="text1"/>
          <w:sz w:val="16"/>
          <w:szCs w:val="16"/>
        </w:rPr>
        <w:softHyphen/>
        <w:t>имость таких работ автоматически добавлялась к общей сум</w:t>
      </w:r>
      <w:r w:rsidRPr="00271E51">
        <w:rPr>
          <w:rFonts w:ascii="Times New Roman" w:hAnsi="Times New Roman"/>
          <w:color w:val="000000" w:themeColor="text1"/>
          <w:sz w:val="16"/>
          <w:szCs w:val="16"/>
        </w:rPr>
        <w:softHyphen/>
        <w:t>ме валовой продукции, то теперь стоимость полевых работ указывалась отдельно и суммировалась с валовой продукци</w:t>
      </w:r>
      <w:r w:rsidRPr="00271E51">
        <w:rPr>
          <w:rFonts w:ascii="Times New Roman" w:hAnsi="Times New Roman"/>
          <w:color w:val="000000" w:themeColor="text1"/>
          <w:sz w:val="16"/>
          <w:szCs w:val="16"/>
        </w:rPr>
        <w:softHyphen/>
        <w:t xml:space="preserve">ей уже в более общей рубрике «объём производства» (РГАЭ. Ф. 8044. </w:t>
      </w:r>
      <w:r w:rsidRPr="00271E51">
        <w:rPr>
          <w:rFonts w:ascii="Times New Roman" w:hAnsi="Times New Roman"/>
          <w:color w:val="000000" w:themeColor="text1"/>
          <w:sz w:val="16"/>
          <w:szCs w:val="16"/>
          <w:lang w:val="en-US"/>
        </w:rPr>
        <w:t>On</w:t>
      </w:r>
      <w:r w:rsidRPr="00271E51">
        <w:rPr>
          <w:rFonts w:ascii="Times New Roman" w:hAnsi="Times New Roman"/>
          <w:color w:val="000000" w:themeColor="text1"/>
          <w:sz w:val="16"/>
          <w:szCs w:val="16"/>
        </w:rPr>
        <w:t>. 1. Д. 2873. Л. 74) (12011).</w:t>
      </w:r>
    </w:p>
    <w:p w14:paraId="2B8CA0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967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можно говорить о некоторой стагнации АП. В известном смысле она может быть объяснена рез</w:t>
      </w:r>
      <w:r w:rsidRPr="00271E51">
        <w:rPr>
          <w:rFonts w:ascii="Times New Roman" w:hAnsi="Times New Roman"/>
          <w:color w:val="000000" w:themeColor="text1"/>
          <w:sz w:val="16"/>
          <w:szCs w:val="16"/>
        </w:rPr>
        <w:softHyphen/>
        <w:t>ким снижением капиталовложений в НКАП в тот год.</w:t>
      </w:r>
    </w:p>
    <w:p w14:paraId="16F3E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Динамика капиталовложений в авиапромышленность (млрд руб., неизменные цены 1926/27 г.) (РГАЭ. Ф. 8044. </w:t>
      </w:r>
      <w:r w:rsidRPr="00271E51">
        <w:rPr>
          <w:rFonts w:ascii="Times New Roman" w:hAnsi="Times New Roman"/>
          <w:color w:val="000000" w:themeColor="text1"/>
          <w:sz w:val="16"/>
          <w:szCs w:val="16"/>
          <w:lang w:val="en-US"/>
        </w:rPr>
        <w:t xml:space="preserve">On. </w:t>
      </w:r>
      <w:r w:rsidRPr="00271E51">
        <w:rPr>
          <w:rFonts w:ascii="Times New Roman" w:hAnsi="Times New Roman"/>
          <w:color w:val="000000" w:themeColor="text1"/>
          <w:sz w:val="16"/>
          <w:szCs w:val="16"/>
        </w:rPr>
        <w:t>1. Д. 2976. Л. 49.; Там же. Д. 2878. Л. 47)</w:t>
      </w:r>
    </w:p>
    <w:tbl>
      <w:tblPr>
        <w:tblW w:w="0" w:type="auto"/>
        <w:tblInd w:w="8" w:type="dxa"/>
        <w:tblLayout w:type="fixed"/>
        <w:tblCellMar>
          <w:left w:w="0" w:type="dxa"/>
          <w:right w:w="0" w:type="dxa"/>
        </w:tblCellMar>
        <w:tblLook w:val="0000" w:firstRow="0" w:lastRow="0" w:firstColumn="0" w:lastColumn="0" w:noHBand="0" w:noVBand="0"/>
      </w:tblPr>
      <w:tblGrid>
        <w:gridCol w:w="3062"/>
        <w:gridCol w:w="571"/>
        <w:gridCol w:w="571"/>
        <w:gridCol w:w="566"/>
        <w:gridCol w:w="571"/>
        <w:gridCol w:w="586"/>
      </w:tblGrid>
      <w:tr w:rsidR="00A907A5" w:rsidRPr="00271E51" w14:paraId="23AD2D8F" w14:textId="77777777" w:rsidTr="00ED5B0A">
        <w:trPr>
          <w:trHeight w:val="235"/>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264F6D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3A75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DB592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CCD1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18499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6F943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r>
      <w:tr w:rsidR="00A907A5" w:rsidRPr="00271E51" w14:paraId="1723ED7C" w14:textId="77777777" w:rsidTr="00ED5B0A">
        <w:trPr>
          <w:trHeight w:val="221"/>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45B98A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Капиталовложений всего</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9F8FD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0346C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62EE2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FB49F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F597D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1,21</w:t>
            </w:r>
          </w:p>
        </w:tc>
      </w:tr>
      <w:tr w:rsidR="00A907A5" w:rsidRPr="00271E51" w14:paraId="072A4F71" w14:textId="77777777" w:rsidTr="00ED5B0A">
        <w:trPr>
          <w:trHeight w:val="413"/>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585A62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Капиталовложсти в объект промышленного значении</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732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F85C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зд</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FF654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82192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0,87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AECBD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w:t>
            </w:r>
          </w:p>
        </w:tc>
      </w:tr>
      <w:tr w:rsidR="00A907A5" w:rsidRPr="00271E51" w14:paraId="402998EB" w14:textId="77777777" w:rsidTr="00ED5B0A">
        <w:trPr>
          <w:trHeight w:val="235"/>
        </w:trPr>
        <w:tc>
          <w:tcPr>
            <w:tcW w:w="3062" w:type="dxa"/>
            <w:tcBorders>
              <w:top w:val="single" w:sz="6" w:space="0" w:color="auto"/>
              <w:left w:val="single" w:sz="6" w:space="0" w:color="auto"/>
              <w:bottom w:val="single" w:sz="6" w:space="0" w:color="auto"/>
              <w:right w:val="single" w:sz="6" w:space="0" w:color="auto"/>
            </w:tcBorders>
            <w:shd w:val="clear" w:color="auto" w:fill="FFFFFF"/>
          </w:tcPr>
          <w:p w14:paraId="7D3658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Ввод в эксплуатацию</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8F4A8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CE8BE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7D887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8DCC8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790141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1,22</w:t>
            </w:r>
          </w:p>
        </w:tc>
      </w:tr>
    </w:tbl>
    <w:p w14:paraId="16DC39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 имел ре</w:t>
      </w:r>
      <w:r w:rsidRPr="00271E51">
        <w:rPr>
          <w:rFonts w:ascii="Times New Roman" w:hAnsi="Times New Roman"/>
          <w:color w:val="000000" w:themeColor="text1"/>
          <w:sz w:val="16"/>
          <w:szCs w:val="16"/>
        </w:rPr>
        <w:softHyphen/>
        <w:t>шающее значение для перевода авиапромышленности на военные рельсы как в плане количественного наращивания авиавыпуска, так и с точки зрения оптимизации модельного ряда авиатехники. Если же обратиться к динамике капита</w:t>
      </w:r>
      <w:r w:rsidRPr="00271E51">
        <w:rPr>
          <w:rFonts w:ascii="Times New Roman" w:hAnsi="Times New Roman"/>
          <w:color w:val="000000" w:themeColor="text1"/>
          <w:sz w:val="16"/>
          <w:szCs w:val="16"/>
        </w:rPr>
        <w:softHyphen/>
        <w:t>ловложений в авиаиндустрию, то становится очевидным, что основной фундамент, можно сказать, базис, этого скачка был заложен именно во время предвоенного «спурта».</w:t>
      </w:r>
    </w:p>
    <w:p w14:paraId="199009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Пик капиталовложений в Авиапром пришёлся на 1941 г. (очевидно, это влияние предвоенного спурта, предполагав</w:t>
      </w:r>
      <w:r w:rsidRPr="00271E51">
        <w:rPr>
          <w:rFonts w:ascii="Times New Roman" w:hAnsi="Times New Roman"/>
          <w:color w:val="000000" w:themeColor="text1"/>
          <w:sz w:val="16"/>
          <w:szCs w:val="16"/>
        </w:rPr>
        <w:softHyphen/>
        <w:t>шего радикальное расширение авиапроизводства). В 1942 г. объёмы финансирования капитального строительства пошли па спад, но инерция, характерная для всяких капвложений, привела к тому, что именно 1942 г. стал лидером по стоимо</w:t>
      </w:r>
      <w:r w:rsidRPr="00271E51">
        <w:rPr>
          <w:rFonts w:ascii="Times New Roman" w:hAnsi="Times New Roman"/>
          <w:color w:val="000000" w:themeColor="text1"/>
          <w:sz w:val="16"/>
          <w:szCs w:val="16"/>
        </w:rPr>
        <w:softHyphen/>
        <w:t>сти введённых в эксплуатацию мощностей. В 1943 г. объёмы капвложений упали до минимальных значений, существенно уступая даже уровню 1940 г., соответственно и ввод в эксплу</w:t>
      </w:r>
      <w:r w:rsidRPr="00271E51">
        <w:rPr>
          <w:rFonts w:ascii="Times New Roman" w:hAnsi="Times New Roman"/>
          <w:color w:val="000000" w:themeColor="text1"/>
          <w:sz w:val="16"/>
          <w:szCs w:val="16"/>
        </w:rPr>
        <w:softHyphen/>
        <w:t>атацию, реагируя на негативные тенденции 1942—1943 гг., также пошёл на убыль. В 1944 г. капиталовложения были несколько увеличены (впрочем, по-прежнему уступая дово</w:t>
      </w:r>
      <w:r w:rsidRPr="00271E51">
        <w:rPr>
          <w:rFonts w:ascii="Times New Roman" w:hAnsi="Times New Roman"/>
          <w:color w:val="000000" w:themeColor="text1"/>
          <w:sz w:val="16"/>
          <w:szCs w:val="16"/>
        </w:rPr>
        <w:softHyphen/>
        <w:t>енным цифрам), но именно в силу отмеченной выше инер</w:t>
      </w:r>
      <w:r w:rsidRPr="00271E51">
        <w:rPr>
          <w:rFonts w:ascii="Times New Roman" w:hAnsi="Times New Roman"/>
          <w:color w:val="000000" w:themeColor="text1"/>
          <w:sz w:val="16"/>
          <w:szCs w:val="16"/>
        </w:rPr>
        <w:softHyphen/>
        <w:t>ционности экономических процессов ввод мощностей в экс</w:t>
      </w:r>
      <w:r w:rsidRPr="00271E51">
        <w:rPr>
          <w:rFonts w:ascii="Times New Roman" w:hAnsi="Times New Roman"/>
          <w:color w:val="000000" w:themeColor="text1"/>
          <w:sz w:val="16"/>
          <w:szCs w:val="16"/>
        </w:rPr>
        <w:softHyphen/>
        <w:t>плуатацию продолжал снижаться.</w:t>
      </w:r>
    </w:p>
    <w:p w14:paraId="45D135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другой стороны, нельзя всё сводить к единственной тенденции. Наряду с увеличением жёсткости контроля ка</w:t>
      </w:r>
      <w:r w:rsidRPr="00271E51">
        <w:rPr>
          <w:rFonts w:ascii="Times New Roman" w:hAnsi="Times New Roman"/>
          <w:color w:val="000000" w:themeColor="text1"/>
          <w:sz w:val="16"/>
          <w:szCs w:val="16"/>
        </w:rPr>
        <w:softHyphen/>
        <w:t>чества и снижением капиталовложений были и факторы, объективно способствовавшие увеличению авиавыпуска. В этот год удалось ввести в строй Богословский алюми</w:t>
      </w:r>
      <w:r w:rsidRPr="00271E51">
        <w:rPr>
          <w:rFonts w:ascii="Times New Roman" w:hAnsi="Times New Roman"/>
          <w:color w:val="000000" w:themeColor="text1"/>
          <w:sz w:val="16"/>
          <w:szCs w:val="16"/>
        </w:rPr>
        <w:softHyphen/>
        <w:t>ниевый завод в Свердловской области и Новокузнецкий алюминиевый завод в Кемеровской области (История металлургии лёгких сплавов в СССР. 1917—1945. М., 1983. С. 287). Первая оче</w:t>
      </w:r>
      <w:r w:rsidRPr="00271E51">
        <w:rPr>
          <w:rFonts w:ascii="Times New Roman" w:hAnsi="Times New Roman"/>
          <w:color w:val="000000" w:themeColor="text1"/>
          <w:sz w:val="16"/>
          <w:szCs w:val="16"/>
        </w:rPr>
        <w:softHyphen/>
        <w:t>редь Новокузнецкого завода была пущена в январе 1943 г. (История Второй мировой войны 1939—1945. Т.5. М., 1975. С. 42). Уже в том же году выплавка алюминия в СССР превыси</w:t>
      </w:r>
      <w:r w:rsidRPr="00271E51">
        <w:rPr>
          <w:rFonts w:ascii="Times New Roman" w:hAnsi="Times New Roman"/>
          <w:color w:val="000000" w:themeColor="text1"/>
          <w:sz w:val="16"/>
          <w:szCs w:val="16"/>
        </w:rPr>
        <w:softHyphen/>
        <w:t>ла довоенный уровень на 4 % (</w:t>
      </w:r>
      <w:r w:rsidRPr="00271E51">
        <w:rPr>
          <w:rFonts w:ascii="Times New Roman" w:hAnsi="Times New Roman"/>
          <w:iCs/>
          <w:color w:val="000000" w:themeColor="text1"/>
          <w:sz w:val="16"/>
          <w:szCs w:val="16"/>
        </w:rPr>
        <w:t>КравченкоГ.С.</w:t>
      </w:r>
      <w:r w:rsidRPr="00271E51">
        <w:rPr>
          <w:rFonts w:ascii="Times New Roman" w:hAnsi="Times New Roman"/>
          <w:color w:val="000000" w:themeColor="text1"/>
          <w:sz w:val="16"/>
          <w:szCs w:val="16"/>
        </w:rPr>
        <w:t xml:space="preserve"> Указ. соч. С. 239). Уральский алюминиевый завод в 1943 г. производил в 5,5 раза алюминия больше, чем до войны (</w:t>
      </w:r>
      <w:r w:rsidRPr="00271E51">
        <w:rPr>
          <w:rFonts w:ascii="Times New Roman" w:hAnsi="Times New Roman"/>
          <w:iCs/>
          <w:color w:val="000000" w:themeColor="text1"/>
          <w:sz w:val="16"/>
          <w:szCs w:val="16"/>
        </w:rPr>
        <w:t>КравченкоГ.С.</w:t>
      </w:r>
      <w:r w:rsidRPr="00271E51">
        <w:rPr>
          <w:rFonts w:ascii="Times New Roman" w:hAnsi="Times New Roman"/>
          <w:color w:val="000000" w:themeColor="text1"/>
          <w:sz w:val="16"/>
          <w:szCs w:val="16"/>
        </w:rPr>
        <w:t xml:space="preserve"> Указ. соч. С. 240). Другим путём решения алюминиевой про</w:t>
      </w:r>
      <w:r w:rsidRPr="00271E51">
        <w:rPr>
          <w:rFonts w:ascii="Times New Roman" w:hAnsi="Times New Roman"/>
          <w:color w:val="000000" w:themeColor="text1"/>
          <w:sz w:val="16"/>
          <w:szCs w:val="16"/>
        </w:rPr>
        <w:softHyphen/>
        <w:t>блемы стало производство многих деталей самолёта, ранее изготавливаемых из алюминия, — из авиафанеры. Только за 2,5 года таким образом удалось высвободить 30 тыс. т алюминиевого листа (</w:t>
      </w:r>
      <w:r w:rsidRPr="00271E51">
        <w:rPr>
          <w:rFonts w:ascii="Times New Roman" w:hAnsi="Times New Roman"/>
          <w:iCs/>
          <w:color w:val="000000" w:themeColor="text1"/>
          <w:sz w:val="16"/>
          <w:szCs w:val="16"/>
        </w:rPr>
        <w:t>Вознесенский Н А.</w:t>
      </w:r>
      <w:r w:rsidRPr="00271E51">
        <w:rPr>
          <w:rFonts w:ascii="Times New Roman" w:hAnsi="Times New Roman"/>
          <w:color w:val="000000" w:themeColor="text1"/>
          <w:sz w:val="16"/>
          <w:szCs w:val="16"/>
        </w:rPr>
        <w:t xml:space="preserve"> Указ. соч. С. 71).</w:t>
      </w:r>
    </w:p>
    <w:p w14:paraId="05FC6E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Важно отметить, что довоенный уровень был превышен как по собственно алюминию, так и по алюминиевым полу</w:t>
      </w:r>
      <w:r w:rsidRPr="00271E51">
        <w:rPr>
          <w:rFonts w:ascii="Times New Roman" w:hAnsi="Times New Roman"/>
          <w:color w:val="000000" w:themeColor="text1"/>
          <w:sz w:val="16"/>
          <w:szCs w:val="16"/>
        </w:rPr>
        <w:softHyphen/>
        <w:t>фабрикатам, используемым в авиапромышленности:</w:t>
      </w:r>
    </w:p>
    <w:p w14:paraId="402E73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алюминиевых полуфабрикатов (в % от выпуска 1939 г.) (</w:t>
      </w:r>
      <w:r w:rsidRPr="00271E51">
        <w:rPr>
          <w:rFonts w:ascii="Times New Roman" w:hAnsi="Times New Roman"/>
          <w:iCs/>
          <w:color w:val="000000" w:themeColor="text1"/>
          <w:sz w:val="16"/>
          <w:szCs w:val="16"/>
        </w:rPr>
        <w:t>Вознесенский Н А.</w:t>
      </w:r>
      <w:r w:rsidRPr="00271E51">
        <w:rPr>
          <w:rFonts w:ascii="Times New Roman" w:hAnsi="Times New Roman"/>
          <w:color w:val="000000" w:themeColor="text1"/>
          <w:sz w:val="16"/>
          <w:szCs w:val="16"/>
        </w:rPr>
        <w:t xml:space="preserve"> Указ. соч. С. 284)</w:t>
      </w:r>
    </w:p>
    <w:tbl>
      <w:tblPr>
        <w:tblW w:w="0" w:type="auto"/>
        <w:tblInd w:w="8" w:type="dxa"/>
        <w:tblLayout w:type="fixed"/>
        <w:tblCellMar>
          <w:left w:w="0" w:type="dxa"/>
          <w:right w:w="0" w:type="dxa"/>
        </w:tblCellMar>
        <w:tblLook w:val="0000" w:firstRow="0" w:lastRow="0" w:firstColumn="0" w:lastColumn="0" w:noHBand="0" w:noVBand="0"/>
      </w:tblPr>
      <w:tblGrid>
        <w:gridCol w:w="1982"/>
        <w:gridCol w:w="1968"/>
        <w:gridCol w:w="1982"/>
      </w:tblGrid>
      <w:tr w:rsidR="00A907A5" w:rsidRPr="00271E51" w14:paraId="7D32123E" w14:textId="77777777" w:rsidTr="00ED5B0A">
        <w:trPr>
          <w:trHeight w:val="235"/>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5113FB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Изделия</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06B0ED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4C9EA5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r>
      <w:tr w:rsidR="00A907A5" w:rsidRPr="00271E51" w14:paraId="1E34A85D" w14:textId="77777777" w:rsidTr="00ED5B0A">
        <w:trPr>
          <w:trHeight w:val="221"/>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04F2CF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Листы</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7205DE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2S8</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64272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368</w:t>
            </w:r>
          </w:p>
        </w:tc>
      </w:tr>
      <w:tr w:rsidR="00A907A5" w:rsidRPr="00271E51" w14:paraId="7473E652" w14:textId="77777777" w:rsidTr="00ED5B0A">
        <w:trPr>
          <w:trHeight w:val="226"/>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652BC6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трубы</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5B74EB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F7D49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tc>
      </w:tr>
      <w:tr w:rsidR="00A907A5" w:rsidRPr="00271E51" w14:paraId="74E4A176" w14:textId="77777777" w:rsidTr="00ED5B0A">
        <w:trPr>
          <w:trHeight w:val="221"/>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1D57D5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прута</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4DB2A0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420</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58D16A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510</w:t>
            </w:r>
          </w:p>
        </w:tc>
      </w:tr>
      <w:tr w:rsidR="00A907A5" w:rsidRPr="00271E51" w14:paraId="002F47CA" w14:textId="77777777" w:rsidTr="00ED5B0A">
        <w:trPr>
          <w:trHeight w:val="221"/>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021311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профили</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309D8D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1097</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274E41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1160</w:t>
            </w:r>
          </w:p>
        </w:tc>
      </w:tr>
      <w:tr w:rsidR="00A907A5" w:rsidRPr="00271E51" w14:paraId="65A86E52" w14:textId="77777777" w:rsidTr="00ED5B0A">
        <w:trPr>
          <w:trHeight w:val="240"/>
        </w:trPr>
        <w:tc>
          <w:tcPr>
            <w:tcW w:w="1982" w:type="dxa"/>
            <w:tcBorders>
              <w:top w:val="single" w:sz="6" w:space="0" w:color="auto"/>
              <w:left w:val="single" w:sz="6" w:space="0" w:color="auto"/>
              <w:bottom w:val="single" w:sz="6" w:space="0" w:color="auto"/>
              <w:right w:val="single" w:sz="6" w:space="0" w:color="auto"/>
            </w:tcBorders>
            <w:shd w:val="clear" w:color="auto" w:fill="FFFFFF"/>
          </w:tcPr>
          <w:p w14:paraId="30E1B5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штамповки</w:t>
            </w:r>
          </w:p>
        </w:tc>
        <w:tc>
          <w:tcPr>
            <w:tcW w:w="1968" w:type="dxa"/>
            <w:tcBorders>
              <w:top w:val="single" w:sz="6" w:space="0" w:color="auto"/>
              <w:left w:val="single" w:sz="6" w:space="0" w:color="auto"/>
              <w:bottom w:val="single" w:sz="6" w:space="0" w:color="auto"/>
              <w:right w:val="single" w:sz="6" w:space="0" w:color="auto"/>
            </w:tcBorders>
            <w:shd w:val="clear" w:color="auto" w:fill="FFFFFF"/>
          </w:tcPr>
          <w:p w14:paraId="5DF039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206</w:t>
            </w:r>
          </w:p>
        </w:tc>
        <w:tc>
          <w:tcPr>
            <w:tcW w:w="1982" w:type="dxa"/>
            <w:tcBorders>
              <w:top w:val="single" w:sz="6" w:space="0" w:color="auto"/>
              <w:left w:val="single" w:sz="6" w:space="0" w:color="auto"/>
              <w:bottom w:val="single" w:sz="6" w:space="0" w:color="auto"/>
              <w:right w:val="single" w:sz="6" w:space="0" w:color="auto"/>
            </w:tcBorders>
            <w:shd w:val="clear" w:color="auto" w:fill="FFFFFF"/>
          </w:tcPr>
          <w:p w14:paraId="63EBBC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317</w:t>
            </w:r>
          </w:p>
        </w:tc>
      </w:tr>
    </w:tbl>
    <w:p w14:paraId="099D3F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технология холодной прокатки труб, освоение ко</w:t>
      </w:r>
      <w:r w:rsidRPr="00271E51">
        <w:rPr>
          <w:rFonts w:ascii="Times New Roman" w:hAnsi="Times New Roman"/>
          <w:color w:val="000000" w:themeColor="text1"/>
          <w:sz w:val="16"/>
          <w:szCs w:val="16"/>
        </w:rPr>
        <w:softHyphen/>
        <w:t>торой началось ещё в 1942 г., получила широкое распростра</w:t>
      </w:r>
      <w:r w:rsidRPr="00271E51">
        <w:rPr>
          <w:rFonts w:ascii="Times New Roman" w:hAnsi="Times New Roman"/>
          <w:color w:val="000000" w:themeColor="text1"/>
          <w:sz w:val="16"/>
          <w:szCs w:val="16"/>
        </w:rPr>
        <w:softHyphen/>
        <w:t>нение, в результате чего произошёл резкий скачок выпуска труб из дюралюминия (</w:t>
      </w:r>
      <w:r w:rsidRPr="00271E51">
        <w:rPr>
          <w:rFonts w:ascii="Times New Roman" w:hAnsi="Times New Roman"/>
          <w:iCs/>
          <w:color w:val="000000" w:themeColor="text1"/>
          <w:sz w:val="16"/>
          <w:szCs w:val="16"/>
        </w:rPr>
        <w:t>Вознесенский Н А.</w:t>
      </w:r>
      <w:r w:rsidRPr="00271E51">
        <w:rPr>
          <w:rFonts w:ascii="Times New Roman" w:hAnsi="Times New Roman"/>
          <w:color w:val="000000" w:themeColor="text1"/>
          <w:sz w:val="16"/>
          <w:szCs w:val="16"/>
        </w:rPr>
        <w:t xml:space="preserve"> Указ. соч. С. 325):</w:t>
      </w:r>
    </w:p>
    <w:tbl>
      <w:tblPr>
        <w:tblW w:w="0" w:type="auto"/>
        <w:tblInd w:w="8" w:type="dxa"/>
        <w:tblLayout w:type="fixed"/>
        <w:tblCellMar>
          <w:left w:w="0" w:type="dxa"/>
          <w:right w:w="0" w:type="dxa"/>
        </w:tblCellMar>
        <w:tblLook w:val="0000" w:firstRow="0" w:lastRow="0" w:firstColumn="0" w:lastColumn="0" w:noHBand="0" w:noVBand="0"/>
      </w:tblPr>
      <w:tblGrid>
        <w:gridCol w:w="1200"/>
        <w:gridCol w:w="1176"/>
        <w:gridCol w:w="1186"/>
        <w:gridCol w:w="1186"/>
        <w:gridCol w:w="1190"/>
      </w:tblGrid>
      <w:tr w:rsidR="00A907A5" w:rsidRPr="00271E51" w14:paraId="0A6EF842" w14:textId="77777777" w:rsidTr="00ED5B0A">
        <w:trPr>
          <w:trHeight w:val="235"/>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70ACC4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 г.</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2F0C51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697EB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D379E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 г.</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29D925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 г.</w:t>
            </w:r>
          </w:p>
        </w:tc>
      </w:tr>
      <w:tr w:rsidR="00A907A5" w:rsidRPr="00271E51" w14:paraId="02D1267B" w14:textId="77777777" w:rsidTr="00ED5B0A">
        <w:trPr>
          <w:trHeight w:val="240"/>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5E36A6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1154 т.</w:t>
            </w:r>
          </w:p>
        </w:tc>
        <w:tc>
          <w:tcPr>
            <w:tcW w:w="1176" w:type="dxa"/>
            <w:tcBorders>
              <w:top w:val="single" w:sz="6" w:space="0" w:color="auto"/>
              <w:left w:val="single" w:sz="6" w:space="0" w:color="auto"/>
              <w:bottom w:val="single" w:sz="6" w:space="0" w:color="auto"/>
              <w:right w:val="single" w:sz="6" w:space="0" w:color="auto"/>
            </w:tcBorders>
            <w:shd w:val="clear" w:color="auto" w:fill="FFFFFF"/>
          </w:tcPr>
          <w:p w14:paraId="71A296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1182 х</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56423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1749</w:t>
            </w:r>
            <w:r w:rsidRPr="00271E51">
              <w:rPr>
                <w:rFonts w:ascii="Times New Roman" w:hAnsi="Times New Roman"/>
                <w:iCs/>
                <w:color w:val="000000" w:themeColor="text1"/>
                <w:sz w:val="16"/>
                <w:szCs w:val="16"/>
              </w:rPr>
              <w:t xml:space="preserve"> г</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DC051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1899 т;</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05F0D2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1713 </w:t>
            </w:r>
            <w:r w:rsidRPr="00271E51">
              <w:rPr>
                <w:rFonts w:ascii="Times New Roman" w:hAnsi="Times New Roman"/>
                <w:color w:val="000000" w:themeColor="text1"/>
                <w:sz w:val="16"/>
                <w:szCs w:val="16"/>
                <w:lang w:val="en-US"/>
              </w:rPr>
              <w:t>TS</w:t>
            </w:r>
          </w:p>
        </w:tc>
      </w:tr>
    </w:tbl>
    <w:p w14:paraId="2CBDE8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Следует отметить, что холодная прокатка имела ряд несо</w:t>
      </w:r>
      <w:r w:rsidRPr="00271E51">
        <w:rPr>
          <w:rFonts w:ascii="Times New Roman" w:hAnsi="Times New Roman"/>
          <w:color w:val="000000" w:themeColor="text1"/>
          <w:sz w:val="16"/>
          <w:szCs w:val="16"/>
        </w:rPr>
        <w:softHyphen/>
        <w:t>мненных преимуществ перед применявшейся ранее методи</w:t>
      </w:r>
      <w:r w:rsidRPr="00271E51">
        <w:rPr>
          <w:rFonts w:ascii="Times New Roman" w:hAnsi="Times New Roman"/>
          <w:color w:val="000000" w:themeColor="text1"/>
          <w:sz w:val="16"/>
          <w:szCs w:val="16"/>
        </w:rPr>
        <w:softHyphen/>
        <w:t xml:space="preserve">кой волочения труб. Если при волочении за один </w:t>
      </w:r>
      <w:r w:rsidRPr="00271E51">
        <w:rPr>
          <w:rFonts w:ascii="Times New Roman" w:hAnsi="Times New Roman"/>
          <w:color w:val="000000" w:themeColor="text1"/>
          <w:sz w:val="16"/>
          <w:szCs w:val="16"/>
        </w:rPr>
        <w:lastRenderedPageBreak/>
        <w:t>проход диа</w:t>
      </w:r>
      <w:r w:rsidRPr="00271E51">
        <w:rPr>
          <w:rFonts w:ascii="Times New Roman" w:hAnsi="Times New Roman"/>
          <w:color w:val="000000" w:themeColor="text1"/>
          <w:sz w:val="16"/>
          <w:szCs w:val="16"/>
        </w:rPr>
        <w:softHyphen/>
        <w:t>метр трубы можно было изменить на 1,5—3 мм, а толщину стенки — в пределах 0,1—0,3 мм, то при холодной прокатке диаметр мог быть скорректирован на 20 мм, а толщина стен</w:t>
      </w:r>
      <w:r w:rsidRPr="00271E51">
        <w:rPr>
          <w:rFonts w:ascii="Times New Roman" w:hAnsi="Times New Roman"/>
          <w:color w:val="000000" w:themeColor="text1"/>
          <w:sz w:val="16"/>
          <w:szCs w:val="16"/>
        </w:rPr>
        <w:softHyphen/>
        <w:t>ки— на 1,5—3 мм.</w:t>
      </w:r>
    </w:p>
    <w:p w14:paraId="0C8554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том же 1943 г. была освоена технология качественного литья алюминия в газовых печах, что позволило снизить за</w:t>
      </w:r>
      <w:r w:rsidRPr="00271E51">
        <w:rPr>
          <w:rFonts w:ascii="Times New Roman" w:hAnsi="Times New Roman"/>
          <w:color w:val="000000" w:themeColor="text1"/>
          <w:sz w:val="16"/>
          <w:szCs w:val="16"/>
        </w:rPr>
        <w:softHyphen/>
        <w:t xml:space="preserve">висимость металлургии лёгких сплавов </w:t>
      </w:r>
      <w:r w:rsidRPr="00271E51">
        <w:rPr>
          <w:rFonts w:ascii="Times New Roman" w:hAnsi="Times New Roman"/>
          <w:color w:val="000000" w:themeColor="text1"/>
          <w:sz w:val="16"/>
          <w:szCs w:val="16"/>
          <w:lang w:val="en-US"/>
        </w:rPr>
        <w:t>or</w:t>
      </w:r>
      <w:r w:rsidRPr="00271E51">
        <w:rPr>
          <w:rFonts w:ascii="Times New Roman" w:hAnsi="Times New Roman"/>
          <w:color w:val="000000" w:themeColor="text1"/>
          <w:sz w:val="16"/>
          <w:szCs w:val="16"/>
        </w:rPr>
        <w:t xml:space="preserve"> поставок электро</w:t>
      </w:r>
      <w:r w:rsidRPr="00271E51">
        <w:rPr>
          <w:rFonts w:ascii="Times New Roman" w:hAnsi="Times New Roman"/>
          <w:color w:val="000000" w:themeColor="text1"/>
          <w:sz w:val="16"/>
          <w:szCs w:val="16"/>
        </w:rPr>
        <w:softHyphen/>
        <w:t>энергии (</w:t>
      </w:r>
      <w:r w:rsidRPr="00271E51">
        <w:rPr>
          <w:rFonts w:ascii="Times New Roman" w:hAnsi="Times New Roman"/>
          <w:iCs/>
          <w:color w:val="000000" w:themeColor="text1"/>
          <w:sz w:val="16"/>
          <w:szCs w:val="16"/>
        </w:rPr>
        <w:t>Вознесенский НА.</w:t>
      </w:r>
      <w:r w:rsidRPr="00271E51">
        <w:rPr>
          <w:rFonts w:ascii="Times New Roman" w:hAnsi="Times New Roman"/>
          <w:color w:val="000000" w:themeColor="text1"/>
          <w:sz w:val="16"/>
          <w:szCs w:val="16"/>
        </w:rPr>
        <w:t xml:space="preserve"> Указ. соч. С. 297). Начиная с 1943 г. всё более широкое распростране</w:t>
      </w:r>
      <w:r w:rsidRPr="00271E51">
        <w:rPr>
          <w:rFonts w:ascii="Times New Roman" w:hAnsi="Times New Roman"/>
          <w:color w:val="000000" w:themeColor="text1"/>
          <w:sz w:val="16"/>
          <w:szCs w:val="16"/>
        </w:rPr>
        <w:softHyphen/>
        <w:t>ние получает технология непрерывного литья алюминиевых сплавов (</w:t>
      </w:r>
      <w:r w:rsidRPr="00271E51">
        <w:rPr>
          <w:rFonts w:ascii="Times New Roman" w:hAnsi="Times New Roman"/>
          <w:iCs/>
          <w:color w:val="000000" w:themeColor="text1"/>
          <w:sz w:val="16"/>
          <w:szCs w:val="16"/>
        </w:rPr>
        <w:t>Вознесенский НА.</w:t>
      </w:r>
      <w:r w:rsidRPr="00271E51">
        <w:rPr>
          <w:rFonts w:ascii="Times New Roman" w:hAnsi="Times New Roman"/>
          <w:color w:val="000000" w:themeColor="text1"/>
          <w:sz w:val="16"/>
          <w:szCs w:val="16"/>
        </w:rPr>
        <w:t xml:space="preserve"> Указ. соч. С. 308). Все эти меры в комплексе, позволили существенно снизить остроту алюминиевой проблемы для советского ави</w:t>
      </w:r>
      <w:r w:rsidRPr="00271E51">
        <w:rPr>
          <w:rFonts w:ascii="Times New Roman" w:hAnsi="Times New Roman"/>
          <w:color w:val="000000" w:themeColor="text1"/>
          <w:sz w:val="16"/>
          <w:szCs w:val="16"/>
        </w:rPr>
        <w:softHyphen/>
        <w:t>астроения.</w:t>
      </w:r>
    </w:p>
    <w:p w14:paraId="71FA0A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Рост числа поточных линий на важнейших самолётостроительных заводах (Самолётостроение в СССР. 1917—1945. Кн. 2. М., 1994. С. 225).</w:t>
      </w:r>
    </w:p>
    <w:tbl>
      <w:tblPr>
        <w:tblW w:w="0" w:type="auto"/>
        <w:tblInd w:w="8" w:type="dxa"/>
        <w:tblLayout w:type="fixed"/>
        <w:tblCellMar>
          <w:left w:w="0" w:type="dxa"/>
          <w:right w:w="0" w:type="dxa"/>
        </w:tblCellMar>
        <w:tblLook w:val="0000" w:firstRow="0" w:lastRow="0" w:firstColumn="0" w:lastColumn="0" w:noHBand="0" w:noVBand="0"/>
      </w:tblPr>
      <w:tblGrid>
        <w:gridCol w:w="1061"/>
        <w:gridCol w:w="1464"/>
        <w:gridCol w:w="1709"/>
        <w:gridCol w:w="1723"/>
      </w:tblGrid>
      <w:tr w:rsidR="00A907A5" w:rsidRPr="00271E51" w14:paraId="22BA1619" w14:textId="77777777" w:rsidTr="00ED5B0A">
        <w:trPr>
          <w:trHeight w:val="235"/>
        </w:trPr>
        <w:tc>
          <w:tcPr>
            <w:tcW w:w="1061" w:type="dxa"/>
            <w:tcBorders>
              <w:top w:val="single" w:sz="6" w:space="0" w:color="auto"/>
              <w:left w:val="single" w:sz="6" w:space="0" w:color="auto"/>
              <w:bottom w:val="nil"/>
              <w:right w:val="single" w:sz="6" w:space="0" w:color="auto"/>
            </w:tcBorders>
            <w:shd w:val="clear" w:color="auto" w:fill="FFFFFF"/>
          </w:tcPr>
          <w:p w14:paraId="207387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Номер завода</w:t>
            </w:r>
          </w:p>
        </w:tc>
        <w:tc>
          <w:tcPr>
            <w:tcW w:w="1464" w:type="dxa"/>
            <w:tcBorders>
              <w:top w:val="single" w:sz="6" w:space="0" w:color="auto"/>
              <w:left w:val="single" w:sz="6" w:space="0" w:color="auto"/>
              <w:bottom w:val="nil"/>
              <w:right w:val="single" w:sz="6" w:space="0" w:color="auto"/>
            </w:tcBorders>
            <w:shd w:val="clear" w:color="auto" w:fill="FFFFFF"/>
          </w:tcPr>
          <w:p w14:paraId="0B1E86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производимого самолета</w:t>
            </w:r>
          </w:p>
        </w:tc>
        <w:tc>
          <w:tcPr>
            <w:tcW w:w="3432" w:type="dxa"/>
            <w:gridSpan w:val="2"/>
            <w:tcBorders>
              <w:top w:val="single" w:sz="6" w:space="0" w:color="auto"/>
              <w:left w:val="single" w:sz="6" w:space="0" w:color="auto"/>
              <w:bottom w:val="single" w:sz="6" w:space="0" w:color="auto"/>
              <w:right w:val="single" w:sz="6" w:space="0" w:color="auto"/>
            </w:tcBorders>
            <w:shd w:val="clear" w:color="auto" w:fill="FFFFFF"/>
          </w:tcPr>
          <w:p w14:paraId="2D07E3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Число поточных линий</w:t>
            </w:r>
          </w:p>
        </w:tc>
      </w:tr>
      <w:tr w:rsidR="00A907A5" w:rsidRPr="00271E51" w14:paraId="031BB982" w14:textId="77777777" w:rsidTr="00ED5B0A">
        <w:trPr>
          <w:trHeight w:val="350"/>
        </w:trPr>
        <w:tc>
          <w:tcPr>
            <w:tcW w:w="1061" w:type="dxa"/>
            <w:tcBorders>
              <w:top w:val="nil"/>
              <w:left w:val="single" w:sz="6" w:space="0" w:color="auto"/>
              <w:bottom w:val="single" w:sz="6" w:space="0" w:color="auto"/>
              <w:right w:val="single" w:sz="6" w:space="0" w:color="auto"/>
            </w:tcBorders>
            <w:shd w:val="clear" w:color="auto" w:fill="FFFFFF"/>
          </w:tcPr>
          <w:p w14:paraId="57EE77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64" w:type="dxa"/>
            <w:tcBorders>
              <w:top w:val="nil"/>
              <w:left w:val="single" w:sz="6" w:space="0" w:color="auto"/>
              <w:bottom w:val="single" w:sz="6" w:space="0" w:color="auto"/>
              <w:right w:val="single" w:sz="6" w:space="0" w:color="auto"/>
            </w:tcBorders>
            <w:shd w:val="clear" w:color="auto" w:fill="FFFFFF"/>
          </w:tcPr>
          <w:p w14:paraId="726C43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3E69F7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025B49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 г.</w:t>
            </w:r>
          </w:p>
        </w:tc>
      </w:tr>
      <w:tr w:rsidR="00A907A5" w:rsidRPr="00271E51" w14:paraId="3D6A3068" w14:textId="77777777" w:rsidTr="00ED5B0A">
        <w:trPr>
          <w:trHeight w:val="365"/>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59A84F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28FDBB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292155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7EC743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w:t>
            </w:r>
          </w:p>
        </w:tc>
      </w:tr>
      <w:tr w:rsidR="00A907A5" w:rsidRPr="00271E51" w14:paraId="7F84BF17" w14:textId="77777777" w:rsidTr="00ED5B0A">
        <w:trPr>
          <w:trHeight w:val="350"/>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2DCFCB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17CBCA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Ил-2, Ил-10</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002750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7F4B1C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r>
      <w:tr w:rsidR="00A907A5" w:rsidRPr="00271E51" w14:paraId="3B5DC9B0" w14:textId="77777777" w:rsidTr="00ED5B0A">
        <w:trPr>
          <w:trHeight w:val="307"/>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22A3CE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0130AD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lang w:val="en-US"/>
              </w:rPr>
              <w:t>JIa-5</w:t>
            </w:r>
            <w:r w:rsidRPr="00271E51">
              <w:rPr>
                <w:rFonts w:ascii="Times New Roman" w:hAnsi="Times New Roman"/>
                <w:color w:val="000000" w:themeColor="text1"/>
                <w:sz w:val="16"/>
                <w:szCs w:val="16"/>
              </w:rPr>
              <w:t xml:space="preserve"> (</w:t>
            </w:r>
            <w:r w:rsidRPr="00271E51">
              <w:rPr>
                <w:rFonts w:ascii="Times New Roman" w:hAnsi="Times New Roman"/>
                <w:color w:val="000000" w:themeColor="text1"/>
                <w:sz w:val="16"/>
                <w:szCs w:val="16"/>
                <w:lang w:val="en-US"/>
              </w:rPr>
              <w:t>JIa-7</w:t>
            </w:r>
            <w:r w:rsidRPr="00271E51">
              <w:rPr>
                <w:rFonts w:ascii="Times New Roman" w:hAnsi="Times New Roman"/>
                <w:color w:val="000000" w:themeColor="text1"/>
                <w:sz w:val="16"/>
                <w:szCs w:val="16"/>
              </w:rPr>
              <w:t>)</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436DF7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6CBD75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r>
      <w:tr w:rsidR="00A907A5" w:rsidRPr="00271E51" w14:paraId="7FFE8FB6" w14:textId="77777777" w:rsidTr="00ED5B0A">
        <w:trPr>
          <w:trHeight w:val="278"/>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180F3B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1B5870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Пе-2</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2ADE13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24A243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w:t>
            </w:r>
          </w:p>
        </w:tc>
      </w:tr>
      <w:tr w:rsidR="00A907A5" w:rsidRPr="00271E51" w14:paraId="10B53414" w14:textId="77777777" w:rsidTr="00ED5B0A">
        <w:trPr>
          <w:trHeight w:val="259"/>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63DC25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153</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0FA751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Ях-9</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20FFF6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16A345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w:t>
            </w:r>
          </w:p>
        </w:tc>
      </w:tr>
      <w:tr w:rsidR="00A907A5" w:rsidRPr="00271E51" w14:paraId="21580275" w14:textId="77777777" w:rsidTr="00ED5B0A">
        <w:trPr>
          <w:trHeight w:val="322"/>
        </w:trPr>
        <w:tc>
          <w:tcPr>
            <w:tcW w:w="1061" w:type="dxa"/>
            <w:tcBorders>
              <w:top w:val="single" w:sz="6" w:space="0" w:color="auto"/>
              <w:left w:val="single" w:sz="6" w:space="0" w:color="auto"/>
              <w:bottom w:val="single" w:sz="6" w:space="0" w:color="auto"/>
              <w:right w:val="single" w:sz="6" w:space="0" w:color="auto"/>
            </w:tcBorders>
            <w:shd w:val="clear" w:color="auto" w:fill="FFFFFF"/>
          </w:tcPr>
          <w:p w14:paraId="129B8D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292</w:t>
            </w:r>
          </w:p>
        </w:tc>
        <w:tc>
          <w:tcPr>
            <w:tcW w:w="1464" w:type="dxa"/>
            <w:tcBorders>
              <w:top w:val="single" w:sz="6" w:space="0" w:color="auto"/>
              <w:left w:val="single" w:sz="6" w:space="0" w:color="auto"/>
              <w:bottom w:val="single" w:sz="6" w:space="0" w:color="auto"/>
              <w:right w:val="single" w:sz="6" w:space="0" w:color="auto"/>
            </w:tcBorders>
            <w:shd w:val="clear" w:color="auto" w:fill="FFFFFF"/>
          </w:tcPr>
          <w:p w14:paraId="7482D9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Як-3</w:t>
            </w:r>
          </w:p>
        </w:tc>
        <w:tc>
          <w:tcPr>
            <w:tcW w:w="1709" w:type="dxa"/>
            <w:tcBorders>
              <w:top w:val="single" w:sz="6" w:space="0" w:color="auto"/>
              <w:left w:val="single" w:sz="6" w:space="0" w:color="auto"/>
              <w:bottom w:val="single" w:sz="6" w:space="0" w:color="auto"/>
              <w:right w:val="single" w:sz="6" w:space="0" w:color="auto"/>
            </w:tcBorders>
            <w:shd w:val="clear" w:color="auto" w:fill="FFFFFF"/>
          </w:tcPr>
          <w:p w14:paraId="5AD53C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14:paraId="416D83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tc>
      </w:tr>
    </w:tbl>
    <w:p w14:paraId="486300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Поточно-конвейерные методы организации труда, начи</w:t>
      </w:r>
      <w:r w:rsidRPr="00271E51">
        <w:rPr>
          <w:rFonts w:ascii="Times New Roman" w:hAnsi="Times New Roman"/>
          <w:color w:val="000000" w:themeColor="text1"/>
          <w:sz w:val="16"/>
          <w:szCs w:val="16"/>
        </w:rPr>
        <w:softHyphen/>
        <w:t>ная с 1943 г. становятся массовыми для авиапредприятий. Бели с начала года поточные методы стали повсеместно вне</w:t>
      </w:r>
      <w:r w:rsidRPr="00271E51">
        <w:rPr>
          <w:rFonts w:ascii="Times New Roman" w:hAnsi="Times New Roman"/>
          <w:color w:val="000000" w:themeColor="text1"/>
          <w:sz w:val="16"/>
          <w:szCs w:val="16"/>
        </w:rPr>
        <w:softHyphen/>
        <w:t>дряться на сборочных работах, то с осени они охватили ре</w:t>
      </w:r>
      <w:r w:rsidRPr="00271E51">
        <w:rPr>
          <w:rFonts w:ascii="Times New Roman" w:hAnsi="Times New Roman"/>
          <w:color w:val="000000" w:themeColor="text1"/>
          <w:sz w:val="16"/>
          <w:szCs w:val="16"/>
        </w:rPr>
        <w:softHyphen/>
        <w:t>шительно все сферы производства. В начале октября 1943 г. нарком авиапромышленности издал приказ «Об организа</w:t>
      </w:r>
      <w:r w:rsidRPr="00271E51">
        <w:rPr>
          <w:rFonts w:ascii="Times New Roman" w:hAnsi="Times New Roman"/>
          <w:color w:val="000000" w:themeColor="text1"/>
          <w:sz w:val="16"/>
          <w:szCs w:val="16"/>
        </w:rPr>
        <w:softHyphen/>
        <w:t>ции поточных методов производства», согласно которому авиазаводы должны были разработать планы реорганизации производства на поточной основе, а трест «Оргавиапром» и Гипронииавиапром — сформировать специальные брига</w:t>
      </w:r>
      <w:r w:rsidRPr="00271E51">
        <w:rPr>
          <w:rFonts w:ascii="Times New Roman" w:hAnsi="Times New Roman"/>
          <w:color w:val="000000" w:themeColor="text1"/>
          <w:sz w:val="16"/>
          <w:szCs w:val="16"/>
        </w:rPr>
        <w:softHyphen/>
        <w:t>ды для обучения производственников поточным методам (Самолётостроение в СССР. 1917—1945. Кн. 2. М., 1994. С. 224) (12011).</w:t>
      </w:r>
    </w:p>
    <w:p w14:paraId="19215D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28E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заводском разрезе авиавыпуск 1943 г. имел следующий вид.</w:t>
      </w:r>
    </w:p>
    <w:p w14:paraId="6D163E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 (12,29 % всего авиавыпуска). Второй по мас</w:t>
      </w:r>
      <w:r w:rsidRPr="00271E51">
        <w:rPr>
          <w:rFonts w:ascii="Times New Roman" w:hAnsi="Times New Roman"/>
          <w:color w:val="000000" w:themeColor="text1"/>
          <w:sz w:val="16"/>
          <w:szCs w:val="16"/>
        </w:rPr>
        <w:softHyphen/>
        <w:t>штабам выпуска производитель Ил-2.</w:t>
      </w:r>
    </w:p>
    <w:p w14:paraId="097042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18 (13,57 % всего авиавыпуска). Головное предприятие по выпуску Ил-2.</w:t>
      </w:r>
    </w:p>
    <w:p w14:paraId="32BDA4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21 (13,33 % всего авиавыпуска). Головное предприятие по выпуску Ла-5.</w:t>
      </w:r>
    </w:p>
    <w:p w14:paraId="306EF3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22 (7,08 % всего авиавыпуска). Головное пред</w:t>
      </w:r>
      <w:r w:rsidRPr="00271E51">
        <w:rPr>
          <w:rFonts w:ascii="Times New Roman" w:hAnsi="Times New Roman"/>
          <w:color w:val="000000" w:themeColor="text1"/>
          <w:sz w:val="16"/>
          <w:szCs w:val="16"/>
        </w:rPr>
        <w:softHyphen/>
        <w:t>приятие по выпуску Пе-2; попутно выпускал небольшую се</w:t>
      </w:r>
      <w:r w:rsidRPr="00271E51">
        <w:rPr>
          <w:rFonts w:ascii="Times New Roman" w:hAnsi="Times New Roman"/>
          <w:color w:val="000000" w:themeColor="text1"/>
          <w:sz w:val="16"/>
          <w:szCs w:val="16"/>
        </w:rPr>
        <w:softHyphen/>
        <w:t>рию Пе-8.</w:t>
      </w:r>
    </w:p>
    <w:p w14:paraId="2B8E7E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23 (0,79 % всего авиавыпуска). В 1942 г. про</w:t>
      </w:r>
      <w:r w:rsidRPr="00271E51">
        <w:rPr>
          <w:rFonts w:ascii="Times New Roman" w:hAnsi="Times New Roman"/>
          <w:color w:val="000000" w:themeColor="text1"/>
          <w:sz w:val="16"/>
          <w:szCs w:val="16"/>
        </w:rPr>
        <w:softHyphen/>
        <w:t>изводство Ту-2 на заводе № 166 было прекращено в пользу Як-9. Однако уже в 1943 г. Туполев добился возобновления производства своего бомбардировщика. Однако на этот раз по Ту-2 было решено выделить завод № 23. Впрочем, освое</w:t>
      </w:r>
      <w:r w:rsidRPr="00271E51">
        <w:rPr>
          <w:rFonts w:ascii="Times New Roman" w:hAnsi="Times New Roman"/>
          <w:color w:val="000000" w:themeColor="text1"/>
          <w:sz w:val="16"/>
          <w:szCs w:val="16"/>
        </w:rPr>
        <w:softHyphen/>
        <w:t>ние Ту-2 на заводе задерживалось, и большинство машин, ко</w:t>
      </w:r>
      <w:r w:rsidRPr="00271E51">
        <w:rPr>
          <w:rFonts w:ascii="Times New Roman" w:hAnsi="Times New Roman"/>
          <w:color w:val="000000" w:themeColor="text1"/>
          <w:sz w:val="16"/>
          <w:szCs w:val="16"/>
        </w:rPr>
        <w:softHyphen/>
        <w:t>торыми предприятие отчиталось за 1943 г., были Ил-4.</w:t>
      </w:r>
    </w:p>
    <w:p w14:paraId="14A3D2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30 (6,45 % всего авиавыпуска). Третий по значе</w:t>
      </w:r>
      <w:r w:rsidRPr="00271E51">
        <w:rPr>
          <w:rFonts w:ascii="Times New Roman" w:hAnsi="Times New Roman"/>
          <w:color w:val="000000" w:themeColor="text1"/>
          <w:sz w:val="16"/>
          <w:szCs w:val="16"/>
        </w:rPr>
        <w:softHyphen/>
        <w:t>нию центр производства Ил-2.</w:t>
      </w:r>
    </w:p>
    <w:p w14:paraId="6BCA54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31 (3,09 % всего авиавыпуска). Фактически свер</w:t>
      </w:r>
      <w:r w:rsidRPr="00271E51">
        <w:rPr>
          <w:rFonts w:ascii="Times New Roman" w:hAnsi="Times New Roman"/>
          <w:color w:val="000000" w:themeColor="text1"/>
          <w:sz w:val="16"/>
          <w:szCs w:val="16"/>
        </w:rPr>
        <w:softHyphen/>
        <w:t>нул выпуск Ла-5, сосредоточив все ресурсы на производстве обладающих относительно большой дальностью ЛаГТ-3. Это был единственный завод, всё ещё выпускавший эти самолё</w:t>
      </w:r>
      <w:r w:rsidRPr="00271E51">
        <w:rPr>
          <w:rFonts w:ascii="Times New Roman" w:hAnsi="Times New Roman"/>
          <w:color w:val="000000" w:themeColor="text1"/>
          <w:sz w:val="16"/>
          <w:szCs w:val="16"/>
        </w:rPr>
        <w:softHyphen/>
        <w:t>ты.</w:t>
      </w:r>
    </w:p>
    <w:p w14:paraId="4C07C3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39 (2,07% всего авиавыпуска). Производство Пе-2 (и его модификации — Пе-3) сворачивалось. Синхрон</w:t>
      </w:r>
      <w:r w:rsidRPr="00271E51">
        <w:rPr>
          <w:rFonts w:ascii="Times New Roman" w:hAnsi="Times New Roman"/>
          <w:color w:val="000000" w:themeColor="text1"/>
          <w:sz w:val="16"/>
          <w:szCs w:val="16"/>
        </w:rPr>
        <w:softHyphen/>
        <w:t>но осваивалась новая модель бомбардировщика — Ер-2. При этом завод не прекращал выпуска Ил-4.</w:t>
      </w:r>
    </w:p>
    <w:p w14:paraId="60E6CF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47 (0,65 % всего авиавыпуска). Головное пред</w:t>
      </w:r>
      <w:r w:rsidRPr="00271E51">
        <w:rPr>
          <w:rFonts w:ascii="Times New Roman" w:hAnsi="Times New Roman"/>
          <w:color w:val="000000" w:themeColor="text1"/>
          <w:sz w:val="16"/>
          <w:szCs w:val="16"/>
        </w:rPr>
        <w:softHyphen/>
        <w:t>приятие по выпуску Як-6.</w:t>
      </w:r>
    </w:p>
    <w:p w14:paraId="11B7CB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 (1,85 % всего авиавыпуска). Вспомогательный завод по выпуску Як-7.</w:t>
      </w:r>
    </w:p>
    <w:p w14:paraId="531409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№84(1,78 % всего авиавыпуска). Единственный за</w:t>
      </w:r>
      <w:r w:rsidRPr="00271E51">
        <w:rPr>
          <w:rFonts w:ascii="Times New Roman" w:hAnsi="Times New Roman"/>
          <w:color w:val="000000" w:themeColor="text1"/>
          <w:sz w:val="16"/>
          <w:szCs w:val="16"/>
        </w:rPr>
        <w:softHyphen/>
        <w:t>вод в СССР, выпускавший транспортные самолёты Ли-2.</w:t>
      </w:r>
    </w:p>
    <w:p w14:paraId="42BB04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w:t>
      </w:r>
      <w:r w:rsidRPr="00271E51">
        <w:rPr>
          <w:rFonts w:ascii="Times New Roman" w:hAnsi="Times New Roman"/>
          <w:iCs/>
          <w:color w:val="000000" w:themeColor="text1"/>
          <w:sz w:val="16"/>
          <w:szCs w:val="16"/>
        </w:rPr>
        <w:t xml:space="preserve"> 99</w:t>
      </w:r>
      <w:r w:rsidRPr="00271E51">
        <w:rPr>
          <w:rFonts w:ascii="Times New Roman" w:hAnsi="Times New Roman"/>
          <w:color w:val="000000" w:themeColor="text1"/>
          <w:sz w:val="16"/>
          <w:szCs w:val="16"/>
        </w:rPr>
        <w:t xml:space="preserve"> (0,53 % всего авиавыпуска). Освоил выпуск Ла-5.</w:t>
      </w:r>
    </w:p>
    <w:p w14:paraId="1B9826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Иб (2,03 % всего авиавыпуска). Головное пред</w:t>
      </w:r>
      <w:r w:rsidRPr="00271E51">
        <w:rPr>
          <w:rFonts w:ascii="Times New Roman" w:hAnsi="Times New Roman"/>
          <w:color w:val="000000" w:themeColor="text1"/>
          <w:sz w:val="16"/>
          <w:szCs w:val="16"/>
        </w:rPr>
        <w:softHyphen/>
        <w:t>приятие по выпуску УТ-2.</w:t>
      </w:r>
    </w:p>
    <w:p w14:paraId="370799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126 (1,77 % всего авиавыпуска). Продолжал про</w:t>
      </w:r>
      <w:r w:rsidRPr="00271E51">
        <w:rPr>
          <w:rFonts w:ascii="Times New Roman" w:hAnsi="Times New Roman"/>
          <w:color w:val="000000" w:themeColor="text1"/>
          <w:sz w:val="16"/>
          <w:szCs w:val="16"/>
        </w:rPr>
        <w:softHyphen/>
        <w:t>изводство Ил-4.</w:t>
      </w:r>
    </w:p>
    <w:p w14:paraId="398D96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153 (12,75 % всего авиавыпуска). Головное пред</w:t>
      </w:r>
      <w:r w:rsidRPr="00271E51">
        <w:rPr>
          <w:rFonts w:ascii="Times New Roman" w:hAnsi="Times New Roman"/>
          <w:color w:val="000000" w:themeColor="text1"/>
          <w:sz w:val="16"/>
          <w:szCs w:val="16"/>
        </w:rPr>
        <w:softHyphen/>
        <w:t>приятие по выпуску Як-7 и Як-9. По суммарному количеству сданных за год машин — вообще головной завод яковлевских истребителей.</w:t>
      </w:r>
    </w:p>
    <w:p w14:paraId="07D32C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166 (2,12 % всего авиавыпуска). Вспомогатель</w:t>
      </w:r>
      <w:r w:rsidRPr="00271E51">
        <w:rPr>
          <w:rFonts w:ascii="Times New Roman" w:hAnsi="Times New Roman"/>
          <w:color w:val="000000" w:themeColor="text1"/>
          <w:sz w:val="16"/>
          <w:szCs w:val="16"/>
        </w:rPr>
        <w:softHyphen/>
        <w:t>ный завод по выпуску Як-9.</w:t>
      </w:r>
    </w:p>
    <w:p w14:paraId="4B5F04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168 (0,60 % всего авиавыпуска). Вспомогатель</w:t>
      </w:r>
      <w:r w:rsidRPr="00271E51">
        <w:rPr>
          <w:rFonts w:ascii="Times New Roman" w:hAnsi="Times New Roman"/>
          <w:color w:val="000000" w:themeColor="text1"/>
          <w:sz w:val="16"/>
          <w:szCs w:val="16"/>
        </w:rPr>
        <w:softHyphen/>
        <w:t>ный завод по выпуску УТ-2.</w:t>
      </w:r>
    </w:p>
    <w:p w14:paraId="17364F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292 (7,85 % всего авиавыпуска). Головной завод по производству Як-1.</w:t>
      </w:r>
    </w:p>
    <w:p w14:paraId="198C30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387 (7,89 % всего авиавыпуска). Головной завод по выпуску У-2.</w:t>
      </w:r>
    </w:p>
    <w:p w14:paraId="322149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Заводы № 464 и 471 (0,34 % и 0,39 % всего авиавыпуска соответственно). Мелкие серии Як-6 и У-2 на каждом.</w:t>
      </w:r>
    </w:p>
    <w:p w14:paraId="4205D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494 (0,78 % всего авиавыпуска). Микросерия У-2.</w:t>
      </w:r>
    </w:p>
    <w:p w14:paraId="75A4DD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рассмотрения выпал завод № 381. Этот завод, который на начало 1941 г. трактовался как второй центр производства Ил-2, к началу 1942 г. явно утратил особую приоритетность для выпуска штурмовиков. Поток Ил-2 с заводов № 1, 18 и 30 позволили не форсировать производство той же модели ещё и на нижнетагильском заводе. Было принято решение о переключении завода на выпуск Ла-5 — туда даже было переведено КБ Лавочкина. Однако в дальнейшем начались организационные пертурбации. Часть оборудования была пе</w:t>
      </w:r>
      <w:r w:rsidRPr="00271E51">
        <w:rPr>
          <w:rFonts w:ascii="Times New Roman" w:hAnsi="Times New Roman"/>
          <w:color w:val="000000" w:themeColor="text1"/>
          <w:sz w:val="16"/>
          <w:szCs w:val="16"/>
        </w:rPr>
        <w:softHyphen/>
        <w:t>редана заводу № 183</w:t>
      </w:r>
      <w:r w:rsidRPr="00271E51">
        <w:rPr>
          <w:rFonts w:ascii="Times New Roman" w:hAnsi="Times New Roman"/>
          <w:color w:val="000000" w:themeColor="text1"/>
          <w:sz w:val="16"/>
          <w:szCs w:val="16"/>
          <w:vertAlign w:val="superscript"/>
        </w:rPr>
        <w:t>1</w:t>
      </w:r>
      <w:r w:rsidRPr="00271E51">
        <w:rPr>
          <w:rFonts w:ascii="Times New Roman" w:hAnsi="Times New Roman"/>
          <w:color w:val="000000" w:themeColor="text1"/>
          <w:sz w:val="16"/>
          <w:szCs w:val="16"/>
        </w:rPr>
        <w:t>, а основные ресурсы завода были реэва</w:t>
      </w:r>
      <w:r w:rsidRPr="00271E51">
        <w:rPr>
          <w:rFonts w:ascii="Times New Roman" w:hAnsi="Times New Roman"/>
          <w:color w:val="000000" w:themeColor="text1"/>
          <w:sz w:val="16"/>
          <w:szCs w:val="16"/>
        </w:rPr>
        <w:softHyphen/>
        <w:t>куированы в Москву, на производственную площадку завода № 39. Там уже существовал завод № 81, ориентированный на ремонт авиатехники. Завод № 381 включил ремонтное предприятие в свой состав, однако все эти переезды и пере</w:t>
      </w:r>
      <w:r w:rsidRPr="00271E51">
        <w:rPr>
          <w:rFonts w:ascii="Times New Roman" w:hAnsi="Times New Roman"/>
          <w:color w:val="000000" w:themeColor="text1"/>
          <w:sz w:val="16"/>
          <w:szCs w:val="16"/>
        </w:rPr>
        <w:softHyphen/>
        <w:t>подчинения существенно замедлили начало серийного про</w:t>
      </w:r>
      <w:r w:rsidRPr="00271E51">
        <w:rPr>
          <w:rFonts w:ascii="Times New Roman" w:hAnsi="Times New Roman"/>
          <w:color w:val="000000" w:themeColor="text1"/>
          <w:sz w:val="16"/>
          <w:szCs w:val="16"/>
        </w:rPr>
        <w:softHyphen/>
        <w:t>изводства. Во всяком случае, за 1943 г. завод не отчитался ни единым самолётом.</w:t>
      </w:r>
    </w:p>
    <w:p w14:paraId="50D424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7 ведущих предприятий НКАП в 1943 г. пришлось поч</w:t>
      </w:r>
      <w:r w:rsidRPr="00271E51">
        <w:rPr>
          <w:rFonts w:ascii="Times New Roman" w:hAnsi="Times New Roman"/>
          <w:color w:val="000000" w:themeColor="text1"/>
          <w:sz w:val="16"/>
          <w:szCs w:val="16"/>
        </w:rPr>
        <w:softHyphen/>
        <w:t>ти 75 % всего авиавыпуска. Как видим, состав топовой груп</w:t>
      </w:r>
      <w:r w:rsidRPr="00271E51">
        <w:rPr>
          <w:rFonts w:ascii="Times New Roman" w:hAnsi="Times New Roman"/>
          <w:color w:val="000000" w:themeColor="text1"/>
          <w:sz w:val="16"/>
          <w:szCs w:val="16"/>
        </w:rPr>
        <w:softHyphen/>
        <w:t>пы не изменился, но её вес несколько (надо признать, совсем чуть-чуть) снизился. Доли заводов № 1,21 и 153 — возросли. Напротив, удельный вес заводов № 18, 22, 292 и 387 — сни</w:t>
      </w:r>
      <w:r w:rsidRPr="00271E51">
        <w:rPr>
          <w:rFonts w:ascii="Times New Roman" w:hAnsi="Times New Roman"/>
          <w:color w:val="000000" w:themeColor="text1"/>
          <w:sz w:val="16"/>
          <w:szCs w:val="16"/>
        </w:rPr>
        <w:softHyphen/>
        <w:t>зился (12011).</w:t>
      </w:r>
    </w:p>
    <w:p w14:paraId="759261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19293" w14:textId="77777777" w:rsidR="00961AA6" w:rsidRPr="00271E51" w:rsidRDefault="00961AA6" w:rsidP="00271E51">
      <w:pPr>
        <w:spacing w:after="0" w:line="240" w:lineRule="auto"/>
        <w:jc w:val="both"/>
        <w:rPr>
          <w:rFonts w:ascii="Times New Roman" w:hAnsi="Times New Roman"/>
          <w:color w:val="0070C0"/>
          <w:sz w:val="16"/>
          <w:szCs w:val="16"/>
          <w:lang w:eastAsia="ru-RU" w:bidi="ru-RU"/>
        </w:rPr>
      </w:pPr>
      <w:r w:rsidRPr="00271E51">
        <w:rPr>
          <w:rFonts w:ascii="Times New Roman" w:hAnsi="Times New Roman"/>
          <w:color w:val="0070C0"/>
          <w:sz w:val="16"/>
          <w:szCs w:val="16"/>
          <w:lang w:eastAsia="ru-RU" w:bidi="ru-RU"/>
        </w:rPr>
        <w:t>В 1943 г. тенденция на их сниже</w:t>
      </w:r>
      <w:r w:rsidRPr="00271E51">
        <w:rPr>
          <w:rFonts w:ascii="Times New Roman" w:hAnsi="Times New Roman"/>
          <w:color w:val="0070C0"/>
          <w:sz w:val="16"/>
          <w:szCs w:val="16"/>
          <w:lang w:eastAsia="ru-RU" w:bidi="ru-RU"/>
        </w:rPr>
        <w:softHyphen/>
        <w:t>ние динамики отпускных цен, то получила дальнейшее развитие. Например, цена на Ил-2 (завод № 1) умень</w:t>
      </w:r>
      <w:r w:rsidRPr="00271E51">
        <w:rPr>
          <w:rFonts w:ascii="Times New Roman" w:hAnsi="Times New Roman"/>
          <w:color w:val="0070C0"/>
          <w:sz w:val="16"/>
          <w:szCs w:val="16"/>
          <w:lang w:eastAsia="ru-RU" w:bidi="ru-RU"/>
        </w:rPr>
        <w:softHyphen/>
        <w:t>шилась с 230 до 162 тыс. руб., на Як-7 (№ 153) - с 146 до 110 тыс. руб., причём следует учесть, что всё это происходило на фоне подорожания используемых в авиастроении лесоматериалов (сосны, фанеры и т.п.) (РГАЭ, ф. 8044, оп. 1, д. 2907, л. 2). Если в 1942 г. произво</w:t>
      </w:r>
      <w:r w:rsidRPr="00271E51">
        <w:rPr>
          <w:rFonts w:ascii="Times New Roman" w:hAnsi="Times New Roman"/>
          <w:color w:val="0070C0"/>
          <w:sz w:val="16"/>
          <w:szCs w:val="16"/>
          <w:lang w:eastAsia="ru-RU" w:bidi="ru-RU"/>
        </w:rPr>
        <w:softHyphen/>
        <w:t>дитель стремился вынудить НКО брать авиапродукцию по сравнительно высоким ценам, то в 1943 г. уже армейское руководство пыталось исхитриться в финансо</w:t>
      </w:r>
      <w:r w:rsidRPr="00271E51">
        <w:rPr>
          <w:rFonts w:ascii="Times New Roman" w:hAnsi="Times New Roman"/>
          <w:color w:val="0070C0"/>
          <w:sz w:val="16"/>
          <w:szCs w:val="16"/>
          <w:lang w:eastAsia="ru-RU" w:bidi="ru-RU"/>
        </w:rPr>
        <w:softHyphen/>
        <w:t>вой сфере и «объегорить» представителей авиационной промышленности. Так, в ноябре 1943 г. НКАП выражал недовольство тем, что руководство ВВС систе</w:t>
      </w:r>
      <w:r w:rsidRPr="00271E51">
        <w:rPr>
          <w:rFonts w:ascii="Times New Roman" w:hAnsi="Times New Roman"/>
          <w:color w:val="0070C0"/>
          <w:sz w:val="16"/>
          <w:szCs w:val="16"/>
          <w:lang w:eastAsia="ru-RU" w:bidi="ru-RU"/>
        </w:rPr>
        <w:softHyphen/>
        <w:t>матически уклонялось от согласования отпускных цен и явочным порядком рас</w:t>
      </w:r>
      <w:r w:rsidRPr="00271E51">
        <w:rPr>
          <w:rFonts w:ascii="Times New Roman" w:hAnsi="Times New Roman"/>
          <w:color w:val="0070C0"/>
          <w:sz w:val="16"/>
          <w:szCs w:val="16"/>
          <w:lang w:eastAsia="ru-RU" w:bidi="ru-RU"/>
        </w:rPr>
        <w:softHyphen/>
        <w:t>считывалось с авиапредприятиями по заниженным отпускным ценам прошлого периода, чем ставило заводы в весьма затруднительное финансовое положение (РГАЭ, ф. 8044, оп. 1, д. 2907, л. 2) (22646).</w:t>
      </w:r>
    </w:p>
    <w:p w14:paraId="4F30E180" w14:textId="77777777" w:rsidR="00961AA6" w:rsidRPr="00271E51" w:rsidRDefault="00961AA6" w:rsidP="00271E51">
      <w:pPr>
        <w:spacing w:after="0" w:line="240" w:lineRule="auto"/>
        <w:jc w:val="both"/>
        <w:rPr>
          <w:rFonts w:ascii="Times New Roman" w:hAnsi="Times New Roman"/>
          <w:color w:val="0070C0"/>
          <w:sz w:val="16"/>
          <w:szCs w:val="16"/>
          <w:lang w:eastAsia="ru-RU" w:bidi="ru-RU"/>
        </w:rPr>
      </w:pPr>
    </w:p>
    <w:p w14:paraId="0BB7C7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 основан НИИ-108 как ведущий институт по радиолокации.</w:t>
      </w:r>
    </w:p>
    <w:p w14:paraId="245A85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1958 г. из ЦНИИ-108 в КБ-1 переведен коллектив разработчиков бортовых РЛС во главе с Б.Ф. Высоцким.</w:t>
      </w:r>
    </w:p>
    <w:p w14:paraId="3FAEF7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Участвовал вместе с ОКБ-586 в создании КА радиотехнической разведки «Целина» (был головным по РТК, 1960-е г.). С 1973 г.- «Целина».</w:t>
      </w:r>
    </w:p>
    <w:p w14:paraId="366250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2000 г.: ОКР «Дента-МВ» по разработке стоматологической установки и пластмассы для изготовления зубных протезов методом микроволновой полимеризации.</w:t>
      </w:r>
    </w:p>
    <w:p w14:paraId="74AF30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FD719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Работали: (1943-50 г.)- А.А. Расплетин (затем перешел в СБ-1), (1949-50 г.)- Б.В. Бункин (затем переведен в СБ-1), А.Н. Щукин (затем- в СБ-1). </w:t>
      </w:r>
    </w:p>
    <w:p w14:paraId="79E787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(1943 г.-)- А.И. Берг.</w:t>
      </w:r>
    </w:p>
    <w:p w14:paraId="4258F7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(1960-е-73 г.-)- М.Е. Заславский.</w:t>
      </w:r>
    </w:p>
    <w:p w14:paraId="6A1C27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А.М. Кугушев.</w:t>
      </w:r>
    </w:p>
    <w:p w14:paraId="551686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Создано: РЛС наземной разведки (1940-е, Расплетин); станция разведки и помех ПР-1В (начало 1950-х); РЭО для КСР-5, Х-15; станция "Рица" для КСР-11; пеленгатор системы радиоуправления МБР Р-7 (гл. конструктор- Г.Я. Гуськов); комплекс средств преодоления ПРО «Лист» для МБР Р-36 (совместно с ОКБ «Южное»);58 аппаратура «Куст» для КА «Зенит» (1960-е); средства РЭБ.</w:t>
      </w:r>
    </w:p>
    <w:p w14:paraId="5C201D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НИИ-108 МПСС, ЦНИИ-108 МВ, МО, ГКРЭ, ЦНИРТИ (Центральный Научно-исследовательский Радиотехнический Институт) МРП, ФГУП «ЦНИРТИ» </w:t>
      </w:r>
    </w:p>
    <w:p w14:paraId="571A526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107066, г. Москва, ул. Новая Басманная, 20 тел. 267-43-93, 261-58-54 (10776)</w:t>
      </w:r>
    </w:p>
    <w:p w14:paraId="27D761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9CF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использовались следующие авиабензины: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3402"/>
        <w:gridCol w:w="1843"/>
      </w:tblGrid>
      <w:tr w:rsidR="00A907A5" w:rsidRPr="00271E51" w14:paraId="52494767" w14:textId="77777777" w:rsidTr="00ED5B0A">
        <w:tc>
          <w:tcPr>
            <w:tcW w:w="2660" w:type="dxa"/>
          </w:tcPr>
          <w:p w14:paraId="4F6A99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двигателя</w:t>
            </w:r>
          </w:p>
        </w:tc>
        <w:tc>
          <w:tcPr>
            <w:tcW w:w="3402" w:type="dxa"/>
          </w:tcPr>
          <w:p w14:paraId="478ECA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основного топлива</w:t>
            </w:r>
          </w:p>
        </w:tc>
        <w:tc>
          <w:tcPr>
            <w:tcW w:w="1843" w:type="dxa"/>
          </w:tcPr>
          <w:p w14:paraId="4BECB0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Дополнительно можно</w:t>
            </w:r>
          </w:p>
        </w:tc>
      </w:tr>
      <w:tr w:rsidR="00A907A5" w:rsidRPr="00271E51" w14:paraId="15632254" w14:textId="77777777" w:rsidTr="00ED5B0A">
        <w:tc>
          <w:tcPr>
            <w:tcW w:w="2660" w:type="dxa"/>
          </w:tcPr>
          <w:p w14:paraId="60451A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[М105ПФ]</w:t>
            </w:r>
          </w:p>
        </w:tc>
        <w:tc>
          <w:tcPr>
            <w:tcW w:w="3402" w:type="dxa"/>
          </w:tcPr>
          <w:p w14:paraId="561E2E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[4Б-78(95) Смеси 1 и 2 (95) 1Б-95 (96)]</w:t>
            </w:r>
          </w:p>
        </w:tc>
        <w:tc>
          <w:tcPr>
            <w:tcW w:w="1843" w:type="dxa"/>
          </w:tcPr>
          <w:p w14:paraId="5EEBC1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7B1F4C34" w14:textId="77777777" w:rsidTr="00ED5B0A">
        <w:tc>
          <w:tcPr>
            <w:tcW w:w="2660" w:type="dxa"/>
          </w:tcPr>
          <w:p w14:paraId="1728C0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[М105ПА М105РА М105]</w:t>
            </w:r>
          </w:p>
        </w:tc>
        <w:tc>
          <w:tcPr>
            <w:tcW w:w="3402" w:type="dxa"/>
          </w:tcPr>
          <w:p w14:paraId="1166A8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[3,5Б-78 (94) Смеси 1 и 2 (95) 1Б-95 (96)]</w:t>
            </w:r>
          </w:p>
        </w:tc>
        <w:tc>
          <w:tcPr>
            <w:tcW w:w="1843" w:type="dxa"/>
          </w:tcPr>
          <w:p w14:paraId="2A4A2F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{4Б-74 (92)}</w:t>
            </w:r>
          </w:p>
        </w:tc>
      </w:tr>
      <w:tr w:rsidR="00A907A5" w:rsidRPr="00271E51" w14:paraId="3B4FA1F0" w14:textId="77777777" w:rsidTr="00ED5B0A">
        <w:tc>
          <w:tcPr>
            <w:tcW w:w="2660" w:type="dxa"/>
          </w:tcPr>
          <w:p w14:paraId="7ABB64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[М103А]</w:t>
            </w:r>
          </w:p>
        </w:tc>
        <w:tc>
          <w:tcPr>
            <w:tcW w:w="3402" w:type="dxa"/>
          </w:tcPr>
          <w:p w14:paraId="020D19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[3,5Б-78 (94 ) 1Б-95 (96)]</w:t>
            </w:r>
          </w:p>
        </w:tc>
        <w:tc>
          <w:tcPr>
            <w:tcW w:w="1843" w:type="dxa"/>
          </w:tcPr>
          <w:p w14:paraId="4BA606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(91) }</w:t>
            </w:r>
          </w:p>
        </w:tc>
      </w:tr>
      <w:tr w:rsidR="00A907A5" w:rsidRPr="00271E51" w14:paraId="640D242B" w14:textId="77777777" w:rsidTr="00ED5B0A">
        <w:tc>
          <w:tcPr>
            <w:tcW w:w="2660" w:type="dxa"/>
          </w:tcPr>
          <w:p w14:paraId="790457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[М103]</w:t>
            </w:r>
          </w:p>
        </w:tc>
        <w:tc>
          <w:tcPr>
            <w:tcW w:w="3402" w:type="dxa"/>
          </w:tcPr>
          <w:p w14:paraId="36AAC3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[3Б-74(91) 2Б-78 (91) Б-95 (94-95)]</w:t>
            </w:r>
          </w:p>
        </w:tc>
        <w:tc>
          <w:tcPr>
            <w:tcW w:w="1843" w:type="dxa"/>
          </w:tcPr>
          <w:p w14:paraId="50122B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(91) }</w:t>
            </w:r>
          </w:p>
        </w:tc>
      </w:tr>
      <w:tr w:rsidR="00A907A5" w:rsidRPr="00271E51" w14:paraId="6F4A7CE3" w14:textId="77777777" w:rsidTr="00ED5B0A">
        <w:tc>
          <w:tcPr>
            <w:tcW w:w="2660" w:type="dxa"/>
          </w:tcPr>
          <w:p w14:paraId="673172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[М100 М100А М100АУ]</w:t>
            </w:r>
          </w:p>
        </w:tc>
        <w:tc>
          <w:tcPr>
            <w:tcW w:w="3402" w:type="dxa"/>
          </w:tcPr>
          <w:p w14:paraId="6F07E2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[2Б-70(85)]</w:t>
            </w:r>
          </w:p>
        </w:tc>
        <w:tc>
          <w:tcPr>
            <w:tcW w:w="1843" w:type="dxa"/>
          </w:tcPr>
          <w:p w14:paraId="1C8682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44C02FC5" w14:textId="77777777" w:rsidTr="00ED5B0A">
        <w:tc>
          <w:tcPr>
            <w:tcW w:w="2660" w:type="dxa"/>
          </w:tcPr>
          <w:p w14:paraId="17A5F6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[АМ38]</w:t>
            </w:r>
          </w:p>
        </w:tc>
        <w:tc>
          <w:tcPr>
            <w:tcW w:w="3402" w:type="dxa"/>
          </w:tcPr>
          <w:p w14:paraId="54E94F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[4Б-78(95)]</w:t>
            </w:r>
          </w:p>
        </w:tc>
        <w:tc>
          <w:tcPr>
            <w:tcW w:w="1843" w:type="dxa"/>
          </w:tcPr>
          <w:p w14:paraId="158FB2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{1Б-95 (96)}</w:t>
            </w:r>
          </w:p>
        </w:tc>
      </w:tr>
      <w:tr w:rsidR="00A907A5" w:rsidRPr="00271E51" w14:paraId="57B6386C" w14:textId="77777777" w:rsidTr="00ED5B0A">
        <w:tc>
          <w:tcPr>
            <w:tcW w:w="2660" w:type="dxa"/>
          </w:tcPr>
          <w:p w14:paraId="1BF56C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[АМ35А]</w:t>
            </w:r>
          </w:p>
        </w:tc>
        <w:tc>
          <w:tcPr>
            <w:tcW w:w="3402" w:type="dxa"/>
          </w:tcPr>
          <w:p w14:paraId="315B3B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[4Б-78(95)]</w:t>
            </w:r>
          </w:p>
        </w:tc>
        <w:tc>
          <w:tcPr>
            <w:tcW w:w="1843" w:type="dxa"/>
          </w:tcPr>
          <w:p w14:paraId="13F922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41C8FEDB" w14:textId="77777777" w:rsidTr="00ED5B0A">
        <w:tc>
          <w:tcPr>
            <w:tcW w:w="2660" w:type="dxa"/>
          </w:tcPr>
          <w:p w14:paraId="049F74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[АМ34ФРНБ]</w:t>
            </w:r>
          </w:p>
        </w:tc>
        <w:tc>
          <w:tcPr>
            <w:tcW w:w="3402" w:type="dxa"/>
          </w:tcPr>
          <w:p w14:paraId="7455A5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[3Б-78(93) 4Б-74 (92) Б-95 (94-95)]</w:t>
            </w:r>
          </w:p>
        </w:tc>
        <w:tc>
          <w:tcPr>
            <w:tcW w:w="1843" w:type="dxa"/>
          </w:tcPr>
          <w:p w14:paraId="14B368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3EF3B053" w14:textId="77777777" w:rsidTr="00ED5B0A">
        <w:tc>
          <w:tcPr>
            <w:tcW w:w="2660" w:type="dxa"/>
          </w:tcPr>
          <w:p w14:paraId="56E5E4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[АМ34РНБ АМ34Н АМ34РН М17]</w:t>
            </w:r>
          </w:p>
        </w:tc>
        <w:tc>
          <w:tcPr>
            <w:tcW w:w="3402" w:type="dxa"/>
          </w:tcPr>
          <w:p w14:paraId="4C84DD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[2Б-70(85)]</w:t>
            </w:r>
          </w:p>
        </w:tc>
        <w:tc>
          <w:tcPr>
            <w:tcW w:w="1843" w:type="dxa"/>
          </w:tcPr>
          <w:p w14:paraId="20357C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6BF24CC4" w14:textId="77777777" w:rsidTr="00ED5B0A">
        <w:tc>
          <w:tcPr>
            <w:tcW w:w="2660" w:type="dxa"/>
          </w:tcPr>
          <w:p w14:paraId="25C03F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[М17]</w:t>
            </w:r>
          </w:p>
        </w:tc>
        <w:tc>
          <w:tcPr>
            <w:tcW w:w="3402" w:type="dxa"/>
          </w:tcPr>
          <w:p w14:paraId="5B552D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[Б-70()]</w:t>
            </w:r>
          </w:p>
        </w:tc>
        <w:tc>
          <w:tcPr>
            <w:tcW w:w="1843" w:type="dxa"/>
          </w:tcPr>
          <w:p w14:paraId="6DB5A1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60C4B491" w14:textId="77777777" w:rsidTr="00ED5B0A">
        <w:tc>
          <w:tcPr>
            <w:tcW w:w="2660" w:type="dxa"/>
          </w:tcPr>
          <w:p w14:paraId="4977F1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[М88Б М88]</w:t>
            </w:r>
          </w:p>
        </w:tc>
        <w:tc>
          <w:tcPr>
            <w:tcW w:w="3402" w:type="dxa"/>
          </w:tcPr>
          <w:p w14:paraId="1984A7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[3Б-78(93) 4Б-74 (92) Б-95 (94-95)]</w:t>
            </w:r>
          </w:p>
        </w:tc>
        <w:tc>
          <w:tcPr>
            <w:tcW w:w="1843" w:type="dxa"/>
          </w:tcPr>
          <w:p w14:paraId="110AA7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(89)}</w:t>
            </w:r>
          </w:p>
        </w:tc>
      </w:tr>
      <w:tr w:rsidR="00A907A5" w:rsidRPr="00271E51" w14:paraId="369E0ECE" w14:textId="77777777" w:rsidTr="00ED5B0A">
        <w:tc>
          <w:tcPr>
            <w:tcW w:w="2660" w:type="dxa"/>
          </w:tcPr>
          <w:p w14:paraId="755007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[М87Б М87А М86]</w:t>
            </w:r>
          </w:p>
        </w:tc>
        <w:tc>
          <w:tcPr>
            <w:tcW w:w="3402" w:type="dxa"/>
          </w:tcPr>
          <w:p w14:paraId="1A3F77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[2Б-78 (91) 3Б-74 (91) Б-95]</w:t>
            </w:r>
          </w:p>
        </w:tc>
        <w:tc>
          <w:tcPr>
            <w:tcW w:w="1843" w:type="dxa"/>
          </w:tcPr>
          <w:p w14:paraId="0FDD44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44E554C2" w14:textId="77777777" w:rsidTr="00ED5B0A">
        <w:tc>
          <w:tcPr>
            <w:tcW w:w="2660" w:type="dxa"/>
          </w:tcPr>
          <w:p w14:paraId="68AAD1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[М85]</w:t>
            </w:r>
          </w:p>
        </w:tc>
        <w:tc>
          <w:tcPr>
            <w:tcW w:w="3402" w:type="dxa"/>
          </w:tcPr>
          <w:p w14:paraId="7C34CF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[3Б-70(87)]</w:t>
            </w:r>
          </w:p>
        </w:tc>
        <w:tc>
          <w:tcPr>
            <w:tcW w:w="1843" w:type="dxa"/>
          </w:tcPr>
          <w:p w14:paraId="110D43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5C2F070B" w14:textId="77777777" w:rsidTr="00ED5B0A">
        <w:tc>
          <w:tcPr>
            <w:tcW w:w="2660" w:type="dxa"/>
          </w:tcPr>
          <w:p w14:paraId="2CF17C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[М82]</w:t>
            </w:r>
          </w:p>
        </w:tc>
        <w:tc>
          <w:tcPr>
            <w:tcW w:w="3402" w:type="dxa"/>
          </w:tcPr>
          <w:p w14:paraId="474EAF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[4Б-78(95)]</w:t>
            </w:r>
          </w:p>
        </w:tc>
        <w:tc>
          <w:tcPr>
            <w:tcW w:w="1843" w:type="dxa"/>
          </w:tcPr>
          <w:p w14:paraId="30AF9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{_}</w:t>
            </w:r>
          </w:p>
        </w:tc>
      </w:tr>
      <w:tr w:rsidR="00A907A5" w:rsidRPr="00271E51" w14:paraId="24213136" w14:textId="77777777" w:rsidTr="00ED5B0A">
        <w:tc>
          <w:tcPr>
            <w:tcW w:w="2660" w:type="dxa"/>
          </w:tcPr>
          <w:p w14:paraId="132E16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[М63]</w:t>
            </w:r>
          </w:p>
        </w:tc>
        <w:tc>
          <w:tcPr>
            <w:tcW w:w="3402" w:type="dxa"/>
          </w:tcPr>
          <w:p w14:paraId="6A2011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[3Б-78(93-94) Б-95 (94-95)]</w:t>
            </w:r>
          </w:p>
        </w:tc>
        <w:tc>
          <w:tcPr>
            <w:tcW w:w="1843" w:type="dxa"/>
          </w:tcPr>
          <w:p w14:paraId="6B4729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(89)}</w:t>
            </w:r>
          </w:p>
        </w:tc>
      </w:tr>
      <w:tr w:rsidR="00A907A5" w:rsidRPr="00271E51" w14:paraId="48D91E52" w14:textId="77777777" w:rsidTr="00ED5B0A">
        <w:tc>
          <w:tcPr>
            <w:tcW w:w="2660" w:type="dxa"/>
          </w:tcPr>
          <w:p w14:paraId="2869A7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[М62]</w:t>
            </w:r>
          </w:p>
        </w:tc>
        <w:tc>
          <w:tcPr>
            <w:tcW w:w="3402" w:type="dxa"/>
          </w:tcPr>
          <w:p w14:paraId="785287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[3Б-74(91)]</w:t>
            </w:r>
          </w:p>
        </w:tc>
        <w:tc>
          <w:tcPr>
            <w:tcW w:w="1843" w:type="dxa"/>
          </w:tcPr>
          <w:p w14:paraId="1124B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(89)}</w:t>
            </w:r>
          </w:p>
        </w:tc>
      </w:tr>
      <w:tr w:rsidR="00A907A5" w:rsidRPr="00271E51" w14:paraId="27E666C0" w14:textId="77777777" w:rsidTr="00ED5B0A">
        <w:tc>
          <w:tcPr>
            <w:tcW w:w="2660" w:type="dxa"/>
          </w:tcPr>
          <w:p w14:paraId="4C6CFE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[М62ИР М25 М11]</w:t>
            </w:r>
          </w:p>
        </w:tc>
        <w:tc>
          <w:tcPr>
            <w:tcW w:w="3402" w:type="dxa"/>
          </w:tcPr>
          <w:p w14:paraId="0C7C29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[3Б-74(91) 3Б-70 (87) АРБ-70 (70) КБ-70 (70)]</w:t>
            </w:r>
          </w:p>
        </w:tc>
        <w:tc>
          <w:tcPr>
            <w:tcW w:w="1843" w:type="dxa"/>
          </w:tcPr>
          <w:p w14:paraId="1256D2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{4Б-70 (89)} (10160)</w:t>
            </w:r>
          </w:p>
        </w:tc>
      </w:tr>
    </w:tbl>
    <w:p w14:paraId="4D00A4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EBB70" w14:textId="77777777" w:rsidR="006030C2" w:rsidRPr="00271E51" w:rsidRDefault="006030C2" w:rsidP="00271E51">
      <w:pPr>
        <w:pStyle w:val="rtejustify"/>
        <w:shd w:val="clear" w:color="auto" w:fill="FFFFFF"/>
        <w:spacing w:before="0" w:after="0"/>
        <w:textAlignment w:val="baseline"/>
        <w:rPr>
          <w:color w:val="000000" w:themeColor="text1"/>
          <w:sz w:val="16"/>
          <w:szCs w:val="16"/>
        </w:rPr>
      </w:pPr>
      <w:r w:rsidRPr="00271E51">
        <w:rPr>
          <w:color w:val="000000" w:themeColor="text1"/>
          <w:sz w:val="16"/>
          <w:szCs w:val="16"/>
        </w:rPr>
        <w:t>В 1943 г. было изготовлено 1880 моторных и 2849 крыльевых пушек НС-37. В 1944 г. — 890 моторных и 197 крыльевых пушек. В 1945 г. всех пушек сделано 977 штук. На этом производство НС-37 было закончено. Итого было произведено 6833 пушки (по данным книги “50 лет КБП” — 8090 пушек), треть из которых оказалась невостребованными ВВС РККА. Сильная отдача пушки сводила на нет прекрасные в целом, качества этого орудия. Сравнение отечественной авиапушки с импортными аналогами свидетельствует, что в классе 37-мм артсистем в мире существовало лишь одна пушка, сравнимая с нашей НС-37 по боевым характеристикам – японская Хо-204 – гипертрофированный клон пулемета Браунинг. Американские М4 и М9, британская Виккерс-S и немецкая ВК-3.7 были либо слишком маломощными, либо слишком малоскорострельными. Но также как и НС-37 страдали от сильной отдачи, не позволявшей использовать их для прицельной стрельбы с большинства из серийных носителей (19170).</w:t>
      </w:r>
    </w:p>
    <w:p w14:paraId="465972E1" w14:textId="77777777" w:rsidR="006030C2" w:rsidRPr="00271E51" w:rsidRDefault="006030C2" w:rsidP="00271E51">
      <w:pPr>
        <w:pStyle w:val="rtejustify"/>
        <w:shd w:val="clear" w:color="auto" w:fill="FFFFFF"/>
        <w:spacing w:before="0" w:after="0"/>
        <w:textAlignment w:val="baseline"/>
        <w:rPr>
          <w:color w:val="000000" w:themeColor="text1"/>
          <w:sz w:val="16"/>
          <w:szCs w:val="16"/>
        </w:rPr>
      </w:pPr>
    </w:p>
    <w:p w14:paraId="70990E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опыт боевого применения БЕТАБ с ДС внес некоторые коррективы в конструкцию боеприпаса и ВВС запросили уменьшить минимальную высоту применения БЕТАБ-150ДС, поскольку- это позволяло существенно повысить точность бомбометания и сократить время пребывания самолетов в зоне средств объектовой ПВО противника. Сам боеприпас нареканий не вызывал. Работа над уменьшением высоты разрушила сбалансированную гармонию теоретических расчетов. Чтобы добиться прежней величины скорости бомбы у цели пришлось заменить пороховой аряд ускорителя чуть более мощным, но тех же габаритов. За счет использования в корпусах двигателей из бесшовных труб более дешевых марок сталей без механической обработки наружной и внутренней поверхно-ей, обшая масса боеприпаса возросла на 13 кг, а прирост скорости - на 20 м/с. Ракетная авиабомба получила наименование БетАБ-250-170ДС. Новая БетАБ-ДС позволила бомбить на скоростях от 180 м/с и более, что допускало ее применение всеми существующими в то время бомбардировщиками. Диапазон высот бомбометания колебался от 400 до 6000 м. Военным хотелось бы еще больше снизить предельную планку ограниче</w:t>
      </w:r>
      <w:r w:rsidRPr="00271E51">
        <w:rPr>
          <w:rFonts w:ascii="Times New Roman" w:hAnsi="Times New Roman"/>
          <w:color w:val="000000" w:themeColor="text1"/>
          <w:sz w:val="16"/>
          <w:szCs w:val="16"/>
        </w:rPr>
        <w:softHyphen/>
        <w:t>ний по высоте применения реактивных авиабомб, но в этом случае начальная скорость свободного полета бомб по баллистической траектории не позволяла приобрести необходимый угол пикирования без дополнительного тормозного устройства. А кроме того, при существующей фугасности боеприпаса это было уже небезопасно для самолета-носителя.</w:t>
      </w:r>
    </w:p>
    <w:p w14:paraId="3AD24D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Широкого распространения в годы войны ракетные авиабомбы не получили. Официально считалось, что опыт их боевого применения показал, что «вследствие большого рассеивания и сравнительно малых размеров целей эффективность бомбометания оказалась низкой». Как не странно, но подобные выводы противоречили итогам предвоенных испытаний. Получается, что в результате многочисленных модернизаций БЕТАБ-150ДС авиаторы получили босприпас, по боевым качествам зна</w:t>
      </w:r>
      <w:r w:rsidRPr="00271E51">
        <w:rPr>
          <w:rFonts w:ascii="Times New Roman" w:hAnsi="Times New Roman"/>
          <w:color w:val="000000" w:themeColor="text1"/>
          <w:sz w:val="16"/>
          <w:szCs w:val="16"/>
        </w:rPr>
        <w:softHyphen/>
        <w:t>чительно худший, нежели первые опытные образцы. Эта оценка сильна напоминает официальные отзывы «шибко грамотных строевых легчиков» и об авиационном ракетном вооружении. Хотя, как выражаются на языке сленга, если вы не любите грызунов, то, скорее всего, потому, что не умеете правильно готовить блюдо из них.</w:t>
      </w:r>
    </w:p>
    <w:p w14:paraId="30F768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Во-первых, применение БЕТАБ с ДС все же требовало если не «дос</w:t>
      </w:r>
      <w:r w:rsidRPr="00271E51">
        <w:rPr>
          <w:rFonts w:ascii="Times New Roman" w:hAnsi="Times New Roman"/>
          <w:color w:val="000000" w:themeColor="text1"/>
          <w:sz w:val="16"/>
          <w:szCs w:val="16"/>
        </w:rPr>
        <w:softHyphen/>
        <w:t>таточной натренированности», то хотя бы минимального обучения лет</w:t>
      </w:r>
      <w:r w:rsidRPr="00271E51">
        <w:rPr>
          <w:rFonts w:ascii="Times New Roman" w:hAnsi="Times New Roman"/>
          <w:color w:val="000000" w:themeColor="text1"/>
          <w:sz w:val="16"/>
          <w:szCs w:val="16"/>
        </w:rPr>
        <w:softHyphen/>
        <w:t>чиков и штурманов. Во-вторых, себестоимость ракетных авиабомб суще</w:t>
      </w:r>
      <w:r w:rsidRPr="00271E51">
        <w:rPr>
          <w:rFonts w:ascii="Times New Roman" w:hAnsi="Times New Roman"/>
          <w:color w:val="000000" w:themeColor="text1"/>
          <w:sz w:val="16"/>
          <w:szCs w:val="16"/>
        </w:rPr>
        <w:softHyphen/>
        <w:t>ственно превышала обычные фугасные сопоставимых калибров, а прак</w:t>
      </w:r>
      <w:r w:rsidRPr="00271E51">
        <w:rPr>
          <w:rFonts w:ascii="Times New Roman" w:hAnsi="Times New Roman"/>
          <w:color w:val="000000" w:themeColor="text1"/>
          <w:sz w:val="16"/>
          <w:szCs w:val="16"/>
        </w:rPr>
        <w:softHyphen/>
        <w:t>тических (учебных) аналогов им создано не было (50-кг РАБ-132 - не в счет. Эти учебные авиабомбы банально уничтожил и, не позаботи ншись о тренировках летчиков строевых частей).</w:t>
      </w:r>
    </w:p>
    <w:p w14:paraId="1E6958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затем, особо прочные цели «отдавали на откуп авиации» не так ча</w:t>
      </w:r>
      <w:r w:rsidRPr="00271E51">
        <w:rPr>
          <w:rFonts w:ascii="Times New Roman" w:hAnsi="Times New Roman"/>
          <w:color w:val="000000" w:themeColor="text1"/>
          <w:sz w:val="16"/>
          <w:szCs w:val="16"/>
        </w:rPr>
        <w:softHyphen/>
        <w:t>сто. Если их приходилось бить с воздуха, то «сталинские соколы- пред</w:t>
      </w:r>
      <w:r w:rsidRPr="00271E51">
        <w:rPr>
          <w:rFonts w:ascii="Times New Roman" w:hAnsi="Times New Roman"/>
          <w:color w:val="000000" w:themeColor="text1"/>
          <w:sz w:val="16"/>
          <w:szCs w:val="16"/>
        </w:rPr>
        <w:softHyphen/>
        <w:t>почитали либо увеличивать «наряд сил и средств», либо калибр «привыч</w:t>
      </w:r>
      <w:r w:rsidRPr="00271E51">
        <w:rPr>
          <w:rFonts w:ascii="Times New Roman" w:hAnsi="Times New Roman"/>
          <w:color w:val="000000" w:themeColor="text1"/>
          <w:sz w:val="16"/>
          <w:szCs w:val="16"/>
        </w:rPr>
        <w:softHyphen/>
        <w:t>ных фугасок». Поэтому редкие эпизоды бомбометания БетАП-250-170ДС, которые сопровождались несколько иным алгоритмом примене</w:t>
      </w:r>
      <w:r w:rsidRPr="00271E51">
        <w:rPr>
          <w:rFonts w:ascii="Times New Roman" w:hAnsi="Times New Roman"/>
          <w:color w:val="000000" w:themeColor="text1"/>
          <w:sz w:val="16"/>
          <w:szCs w:val="16"/>
        </w:rPr>
        <w:softHyphen/>
        <w:t>ния и ограничениями по высоте выхода на цель, не вызывали вое торга у некоторых нилотов.</w:t>
      </w:r>
    </w:p>
    <w:p w14:paraId="4A87EE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результатов своей работы они не могли ни ощупать рука</w:t>
      </w:r>
      <w:r w:rsidRPr="00271E51">
        <w:rPr>
          <w:rFonts w:ascii="Times New Roman" w:hAnsi="Times New Roman"/>
          <w:color w:val="000000" w:themeColor="text1"/>
          <w:sz w:val="16"/>
          <w:szCs w:val="16"/>
        </w:rPr>
        <w:softHyphen/>
        <w:t>ми, ни увидеть изнутри, поэтому оценить и проникнуться уважением к но</w:t>
      </w:r>
      <w:r w:rsidRPr="00271E51">
        <w:rPr>
          <w:rFonts w:ascii="Times New Roman" w:hAnsi="Times New Roman"/>
          <w:color w:val="000000" w:themeColor="text1"/>
          <w:sz w:val="16"/>
          <w:szCs w:val="16"/>
        </w:rPr>
        <w:softHyphen/>
        <w:t>вому оружию не могли. Да и в условиях «военной экономики» оптимальнее было бы не изготавливать специализированных боеприпасов, которые бу</w:t>
      </w:r>
      <w:r w:rsidRPr="00271E51">
        <w:rPr>
          <w:rFonts w:ascii="Times New Roman" w:hAnsi="Times New Roman"/>
          <w:color w:val="000000" w:themeColor="text1"/>
          <w:sz w:val="16"/>
          <w:szCs w:val="16"/>
        </w:rPr>
        <w:softHyphen/>
        <w:t>дут «в деле» крайтте редко. И уж конечно, трудно согласиться с тем, что га</w:t>
      </w:r>
      <w:r w:rsidRPr="00271E51">
        <w:rPr>
          <w:rFonts w:ascii="Times New Roman" w:hAnsi="Times New Roman"/>
          <w:color w:val="000000" w:themeColor="text1"/>
          <w:sz w:val="16"/>
          <w:szCs w:val="16"/>
        </w:rPr>
        <w:softHyphen/>
        <w:t>бариты типовых целей для БЕТАБ с ДС в ходе войны уменьшились!</w:t>
      </w:r>
    </w:p>
    <w:p w14:paraId="5BCBEF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финале Великой Отечественной Красная Армия повстречалась в Восточной Пруссии с довольно мощными комплексами фортсооружениями, которые представляли собой (с точки зрения авиации) прекрасную яошадную цель. Огневое воздействие на гарнизоны кенигсбсргских фортовпроводили при взаимодействии всех родов войск. Как свидетельствуют участники тех событий, авиации отводилась миссия всего лишь скрыть многометровую толщу земляного слоя, покрывающего своды Некоторых фортсооружсний. Далее, специально переброшенная в этот район крупнокалиберная артиллерия резерва ставки Верховного Главно</w:t>
      </w:r>
      <w:r w:rsidRPr="00271E51">
        <w:rPr>
          <w:rFonts w:ascii="Times New Roman" w:hAnsi="Times New Roman"/>
          <w:color w:val="000000" w:themeColor="text1"/>
          <w:sz w:val="16"/>
          <w:szCs w:val="16"/>
        </w:rPr>
        <w:softHyphen/>
        <w:t>командования в течение длительного времени пыталась пробить многометровые бетонные и кирпичные перекрытия казематов. Как ни старались «застоявшиеся» артиллеристы РВГК, получилось у них это не очень дорово.</w:t>
      </w:r>
    </w:p>
    <w:p w14:paraId="39A680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1954 г. БЕТАБ с ДС еще сохранялись на складах в надежде на то, что в будущем могут оказаться полезными лишь для поражения площадных защищенных целей типа подземных заводов и хранилищ (11402).</w:t>
      </w:r>
    </w:p>
    <w:p w14:paraId="43AD0F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5DD26"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проводились работы специалистами Специального экспериментально-производственного бюро НКБ и Ленинградского полигона по исследованию химической стойкости аммоналов; испытание на осколочность головок 132 мм осколочно-фугасных снарядов М-13 и на детонацию мин М-28.</w:t>
      </w:r>
    </w:p>
    <w:p w14:paraId="04A1ECB3"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53024619"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специалисты НИИ-3 и Софринского полигона занимались стендовыми испытаниями зарядов, составленных из 5 шашек Н-31 и 6/8-900, испытаниями снарядов М-13 с реактивными зарядами из порохов рецептур НП-22, проводили стендовые испытания зарядов НОД-4 и другими вопросами (15981).</w:t>
      </w:r>
    </w:p>
    <w:p w14:paraId="19481A55"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7E26DBE8" w14:textId="77777777" w:rsidR="006E23A3" w:rsidRPr="00271E51" w:rsidRDefault="006E23A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были рассмотрены вопросы хранения и транспортировки химических снарядов, их окраски и маркировки [84], рационализаторские предложения и чертежи приборов для вставки пиропатронов в изделия М-13, М-20 [85], выпущена инструкция ЦНИИ ТМАШ по контролю и исправлению дефектов сварных швов ракетной части снаряда М-13-С [86], работы по опытным работам по снарядам МХ-13, МХ-30, М-30 [87], отчет Гороховецкого артиллерийского полигона об исследовании разрывного заряда и дымового состава 158,5 мм реактивной немецкой мины к шестиствольному миномету (1.3.43 – 18.4.43) (15981).</w:t>
      </w:r>
    </w:p>
    <w:p w14:paraId="33CF59DB" w14:textId="77777777" w:rsidR="006E23A3" w:rsidRPr="00271E51" w:rsidRDefault="006E23A3" w:rsidP="00271E51">
      <w:pPr>
        <w:spacing w:after="0" w:line="240" w:lineRule="auto"/>
        <w:jc w:val="both"/>
        <w:rPr>
          <w:rFonts w:ascii="Times New Roman" w:hAnsi="Times New Roman"/>
          <w:color w:val="000000" w:themeColor="text1"/>
          <w:sz w:val="16"/>
          <w:szCs w:val="16"/>
        </w:rPr>
      </w:pPr>
    </w:p>
    <w:p w14:paraId="34B6E2BA" w14:textId="77777777" w:rsidR="00D60938" w:rsidRPr="00271E51" w:rsidRDefault="00D609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1943 г. сотрудники ЦАГИ Ф. Р. Гантмахер, Л. М. Ле - вин, И. И. Слезингер и офицеры ГУВ ГМЧ Л. Я. Пенн, А. И. Семенов и Я. Б. Шор в результате экспериментальных и теоретических исследований по баллистике РС установили, что интенсивное вращение снаряда на первых метрах полета должно радикально повысить их кучность. Такое вращение не могло быть достигнуто с помощью косо установленных перьев стабилизаторов. Интенсивного вращения РС авторы добились, применив принцип Сегнерова колеса, за счет использования небольшой части (от 3 до 6%) пороховых газов, выпускаемых из камеры сгорания двигателя через тангенциальные каналы в плоскости, близкой к центру тяжести РС. В отличие от вращающихся артиллерийских снарядов, вращение РС служило не для стабилизации на траектории (это обеспечивалось оперением), а должно было ослабить действие отклоняющих РС моментов сил путем их усреднения. Расчеты дали обнадеживающие результаты и первую партию из 16 доработанных снарядов срочно доставили на Софринский артполигон НКБ. Испы - тания показали, что рассеивание при стрельбе уменьшается в несколько раз. В результате исследовательских работ создали РС улучшенной кучности с дальностью полета 7.9 км. Их вращение достигалось путем введения 12 тангенциально расположенных отверстий в переднем центрующем утолщении. В период с 4 по 16 марта 1944 г. на Софринском полигоне провели государственные испытания снарядов М-13 и М-31, было отстреляно более 900 снарядов и проведено более 100 стендовых испытаний. Установили, что у модернизированных М-13 рассеивание по боковому направлению уменьшилось в 2.2 раза, а по дальности — в 1.14 раза. Плотность огня в залпе возросла в 3 раза, однако дальность полета несколько уменьшилась. На активной части траектории в 60 м снаряд совершал 5 оборотов. На малых углах бросания характеристики рассеивания по дальности возрастали. В результате на вооружение решили принять снаряд М-13 варианта К-23А (в серии он получил обозначение М-13УК) и снаряд М-31 варианта К-22В. Площадь рассеивания снаряда М-13УК при стрельбе на максимальную дальность сократилась в 4 раза, снаряда М-31 — в 6.5 раз. При стрельбе на малые дистанции их преимущество перед штатными снарядами возрастало еще более резко. В боекомплект «катюши» — БМ-13 вошли снаряды увеличенной кучности М-13УК и М-13УК-1. С конца 1943 г. по заданию ГУВ ГМЧ конструкторская группа А. Н. Васильева в СКБ завода «Компрессор» начала разрабатывать ПУ для стрельбы вращающимися снарядами М-13УК и М-13. В 1944 г. была создана 10-зарядная самоходная ПУ БМ-13СН. В ней впервые применили спиральные направляющие. Снаряды получали вращение с небольшой угловой скоростью. Кучность при стрельбе М-13УК возросла в 1.1 раза, в сравнении с БМ-13Н. Оба боеприпаса использовались и в авиации. М-13УК при стрельбе с Ил-2 по наземным целям с дальностей 600—800 м обладал рассеиванием по дальности 8.6 м, а по направлению 4.7 м, что было значительно меньше радиуса сплошного поражения этого снаряда. Вскоре в серийное производство запустили снаряд М-31 калибром 300 мм. Особенностью снаряда было то, что головная часть была больше самого корпуса. Однако обнаружилось, что он обладает еще меньшей кучностью, чем снаряд М-13 и снова встал вопрос о целесообразности их производства. Специа - 84 Штатный снаряд М-31 Головная часть снаряда М-31УК с радиальными насадками Снаряд М-13УК Пусковая установка БМ-13СН листы ЦАГИ предложили вставлять специальные насадки в районе центра тяжести, находившиеся в аэродинамической тени головной части снаряда. Результаты оказались еще лучше, чем со снарядами М-13. В 1944—1945 гг. ЦАГИ провел исследования увеличения кучности реактивного снаряда М-8. Был разработан ряд вариантов реактивно-вращающихся снарядов М-8, доработанных по типу снарядов М-13УК. Варианты отличались между собой только реактивным вращающим моментом, что достигалось путем изменения количества каналов и расстояния этих каналов от оси снаряда. Отстрел 25 групп (по 16 снарядов в каждой) изготовленных в институте опытных снарядов, был выбран вариант К-37Б, имевший наибольшую кучность. В апреле провели полигонные испытания, боковая кучность оказалась в 2.4 раза лучше чем у штатных снарядов, а площадь эллипса рассеивания при стрельбе на максимальную дистанцию в 4.3 раза меньше (19727).</w:t>
      </w:r>
    </w:p>
    <w:p w14:paraId="6724CDF0" w14:textId="77777777" w:rsidR="00D60938" w:rsidRPr="00271E51" w:rsidRDefault="00D60938" w:rsidP="00271E51">
      <w:pPr>
        <w:spacing w:after="0" w:line="240" w:lineRule="auto"/>
        <w:jc w:val="both"/>
        <w:rPr>
          <w:rFonts w:ascii="Times New Roman" w:hAnsi="Times New Roman"/>
          <w:color w:val="000000" w:themeColor="text1"/>
          <w:sz w:val="16"/>
          <w:szCs w:val="16"/>
        </w:rPr>
      </w:pPr>
    </w:p>
    <w:p w14:paraId="6DAF3491" w14:textId="77777777" w:rsidR="00961AA6" w:rsidRPr="00271E51" w:rsidRDefault="00961AA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 1943 г. было уничтожено 87 вражеских само</w:t>
      </w:r>
      <w:r w:rsidRPr="00271E51">
        <w:rPr>
          <w:rFonts w:ascii="Times New Roman" w:hAnsi="Times New Roman"/>
          <w:color w:val="0070C0"/>
          <w:sz w:val="16"/>
          <w:szCs w:val="16"/>
        </w:rPr>
        <w:softHyphen/>
        <w:t>лётов, некоторые из которых погибли при стол</w:t>
      </w:r>
      <w:r w:rsidRPr="00271E51">
        <w:rPr>
          <w:rFonts w:ascii="Times New Roman" w:hAnsi="Times New Roman"/>
          <w:color w:val="0070C0"/>
          <w:sz w:val="16"/>
          <w:szCs w:val="16"/>
        </w:rPr>
        <w:softHyphen/>
        <w:t>кновении с тросами аэростатов. К концу года ПВО Мурманска резко сократила количество на</w:t>
      </w:r>
      <w:r w:rsidRPr="00271E51">
        <w:rPr>
          <w:rFonts w:ascii="Times New Roman" w:hAnsi="Times New Roman"/>
          <w:color w:val="0070C0"/>
          <w:sz w:val="16"/>
          <w:szCs w:val="16"/>
        </w:rPr>
        <w:softHyphen/>
        <w:t>лётов вражеской авиации на город, снизила эф</w:t>
      </w:r>
      <w:r w:rsidRPr="00271E51">
        <w:rPr>
          <w:rFonts w:ascii="Times New Roman" w:hAnsi="Times New Roman"/>
          <w:color w:val="0070C0"/>
          <w:sz w:val="16"/>
          <w:szCs w:val="16"/>
        </w:rPr>
        <w:softHyphen/>
        <w:t>фективность бомбовых ударов противника.</w:t>
      </w:r>
    </w:p>
    <w:p w14:paraId="75809609" w14:textId="77777777" w:rsidR="00961AA6" w:rsidRPr="00271E51" w:rsidRDefault="00961AA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Летом 1944 г. для усиления прикрытия бое</w:t>
      </w:r>
      <w:r w:rsidRPr="00271E51">
        <w:rPr>
          <w:rFonts w:ascii="Times New Roman" w:hAnsi="Times New Roman"/>
          <w:color w:val="0070C0"/>
          <w:sz w:val="16"/>
          <w:szCs w:val="16"/>
        </w:rPr>
        <w:softHyphen/>
        <w:t>вых кораблей Северного флота и морских ка</w:t>
      </w:r>
      <w:r w:rsidRPr="00271E51">
        <w:rPr>
          <w:rFonts w:ascii="Times New Roman" w:hAnsi="Times New Roman"/>
          <w:color w:val="0070C0"/>
          <w:sz w:val="16"/>
          <w:szCs w:val="16"/>
        </w:rPr>
        <w:softHyphen/>
        <w:t>раванов союзников дополнительно готовилось к развёртыванию аэростатное воздушное загра</w:t>
      </w:r>
      <w:r w:rsidRPr="00271E51">
        <w:rPr>
          <w:rFonts w:ascii="Times New Roman" w:hAnsi="Times New Roman"/>
          <w:color w:val="0070C0"/>
          <w:sz w:val="16"/>
          <w:szCs w:val="16"/>
        </w:rPr>
        <w:softHyphen/>
        <w:t>ждение вдоль Кольского побережья и внутри Кольской бухты в стороне от Мурманска. Для этой цели сформировали морской отдельный дивизион АЗ (командир — инженер-подпол</w:t>
      </w:r>
      <w:r w:rsidRPr="00271E51">
        <w:rPr>
          <w:rFonts w:ascii="Times New Roman" w:hAnsi="Times New Roman"/>
          <w:color w:val="0070C0"/>
          <w:sz w:val="16"/>
          <w:szCs w:val="16"/>
        </w:rPr>
        <w:softHyphen/>
        <w:t>ковник А.В. Егоров). Однако из-за нехватки во</w:t>
      </w:r>
      <w:r w:rsidRPr="00271E51">
        <w:rPr>
          <w:rFonts w:ascii="Times New Roman" w:hAnsi="Times New Roman"/>
          <w:color w:val="0070C0"/>
          <w:sz w:val="16"/>
          <w:szCs w:val="16"/>
        </w:rPr>
        <w:softHyphen/>
        <w:t>дорода дивизион не мог выставить необходимое количество аэростатов. Впоследствии его напра</w:t>
      </w:r>
      <w:r w:rsidRPr="00271E51">
        <w:rPr>
          <w:rFonts w:ascii="Times New Roman" w:hAnsi="Times New Roman"/>
          <w:color w:val="0070C0"/>
          <w:sz w:val="16"/>
          <w:szCs w:val="16"/>
        </w:rPr>
        <w:softHyphen/>
        <w:t>вили во Владивосток.</w:t>
      </w:r>
    </w:p>
    <w:p w14:paraId="6108BEBE" w14:textId="77777777" w:rsidR="00961AA6" w:rsidRPr="00271E51" w:rsidRDefault="00961AA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Всего за годы войны над Кольским полуостро</w:t>
      </w:r>
      <w:r w:rsidRPr="00271E51">
        <w:rPr>
          <w:rFonts w:ascii="Times New Roman" w:hAnsi="Times New Roman"/>
          <w:color w:val="0070C0"/>
          <w:sz w:val="16"/>
          <w:szCs w:val="16"/>
        </w:rPr>
        <w:softHyphen/>
        <w:t>вом было сбито 427 неприятельских самолётов. В том есть заслуга и аэростатчиков 6-го ОДАЗ. За период войны дивизион совершил 242 группо</w:t>
      </w:r>
      <w:r w:rsidRPr="00271E51">
        <w:rPr>
          <w:rFonts w:ascii="Times New Roman" w:hAnsi="Times New Roman"/>
          <w:color w:val="0070C0"/>
          <w:sz w:val="16"/>
          <w:szCs w:val="16"/>
        </w:rPr>
        <w:softHyphen/>
        <w:t>вых подъёма, где аэростаты находились совмест</w:t>
      </w:r>
      <w:r w:rsidRPr="00271E51">
        <w:rPr>
          <w:rFonts w:ascii="Times New Roman" w:hAnsi="Times New Roman"/>
          <w:color w:val="0070C0"/>
          <w:sz w:val="16"/>
          <w:szCs w:val="16"/>
        </w:rPr>
        <w:softHyphen/>
        <w:t>но 1833 часа в воздухе, при этом 70 подъёмов — в условиях налёта вражеской авиации. Имея из 54 в среднем 40 боеспособных постов, дивизион произвёл 9680 подъёмов аэростатов.</w:t>
      </w:r>
    </w:p>
    <w:p w14:paraId="278A7962" w14:textId="77777777" w:rsidR="00961AA6" w:rsidRPr="00271E51" w:rsidRDefault="00961AA6" w:rsidP="00271E51">
      <w:pPr>
        <w:spacing w:after="0" w:line="240" w:lineRule="auto"/>
        <w:jc w:val="both"/>
        <w:rPr>
          <w:rFonts w:ascii="Times New Roman" w:hAnsi="Times New Roman"/>
          <w:color w:val="0070C0"/>
          <w:sz w:val="16"/>
          <w:szCs w:val="16"/>
        </w:rPr>
      </w:pPr>
      <w:r w:rsidRPr="00271E51">
        <w:rPr>
          <w:rFonts w:ascii="Times New Roman" w:hAnsi="Times New Roman"/>
          <w:color w:val="0070C0"/>
          <w:sz w:val="16"/>
          <w:szCs w:val="16"/>
        </w:rPr>
        <w:t>На 12 января 1943 г. потери личного состава дивизиона непосредственно на аэростатных по</w:t>
      </w:r>
      <w:r w:rsidRPr="00271E51">
        <w:rPr>
          <w:rFonts w:ascii="Times New Roman" w:hAnsi="Times New Roman"/>
          <w:color w:val="0070C0"/>
          <w:sz w:val="16"/>
          <w:szCs w:val="16"/>
        </w:rPr>
        <w:softHyphen/>
        <w:t>стах составили 14 убитых и 27 раненных. В годы войны 6-й ОДАЗ потерял 147 АЗ, из которых 9 сожгли вражеские истребители, 29 было унич</w:t>
      </w:r>
      <w:r w:rsidRPr="00271E51">
        <w:rPr>
          <w:rFonts w:ascii="Times New Roman" w:hAnsi="Times New Roman"/>
          <w:color w:val="0070C0"/>
          <w:sz w:val="16"/>
          <w:szCs w:val="16"/>
        </w:rPr>
        <w:softHyphen/>
        <w:t>тожено бомбами на земле, 55 пробито в воздухе огнём своей зенитной артиллерии, 24 потеряно от штормового ветра в воздухе, 27 погибли по эксплуатационным причинам, 3 пробиты в воз</w:t>
      </w:r>
      <w:r w:rsidRPr="00271E51">
        <w:rPr>
          <w:rFonts w:ascii="Times New Roman" w:hAnsi="Times New Roman"/>
          <w:color w:val="0070C0"/>
          <w:sz w:val="16"/>
          <w:szCs w:val="16"/>
        </w:rPr>
        <w:softHyphen/>
        <w:t>духе огнём зенитной артиллерии союзников (20120).</w:t>
      </w:r>
    </w:p>
    <w:p w14:paraId="065F6FD5" w14:textId="77777777" w:rsidR="00961AA6" w:rsidRPr="00271E51" w:rsidRDefault="00961AA6" w:rsidP="00271E51">
      <w:pPr>
        <w:spacing w:after="0" w:line="240" w:lineRule="auto"/>
        <w:jc w:val="both"/>
        <w:rPr>
          <w:rFonts w:ascii="Times New Roman" w:hAnsi="Times New Roman"/>
          <w:color w:val="0070C0"/>
          <w:sz w:val="16"/>
          <w:szCs w:val="16"/>
        </w:rPr>
      </w:pPr>
    </w:p>
    <w:p w14:paraId="09FD5E4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5815DD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D785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военные расходы СССР составили около 150 млд. руб. или 36% национального дохода; с учетом строительства и рекон</w:t>
      </w:r>
      <w:r w:rsidRPr="00271E51">
        <w:rPr>
          <w:rFonts w:ascii="Times New Roman" w:hAnsi="Times New Roman"/>
          <w:color w:val="000000" w:themeColor="text1"/>
          <w:sz w:val="16"/>
          <w:szCs w:val="16"/>
        </w:rPr>
        <w:softHyphen/>
        <w:t>струкции военных заводов общая сумма всех затрат измерялась в сумме 220 млд. руб. или 52,5% от величины национального до</w:t>
      </w:r>
      <w:r w:rsidRPr="00271E51">
        <w:rPr>
          <w:rFonts w:ascii="Times New Roman" w:hAnsi="Times New Roman"/>
          <w:color w:val="000000" w:themeColor="text1"/>
          <w:sz w:val="16"/>
          <w:szCs w:val="16"/>
        </w:rPr>
        <w:softHyphen/>
        <w:t>хода, рассчитанной в действующих ценах (РГАЭ ф. 4372, оп. 94, д. 115, л. 49) (1566).</w:t>
      </w:r>
    </w:p>
    <w:p w14:paraId="3C36BC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E9B5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 начал</w:t>
      </w:r>
      <w:r w:rsidRPr="00271E51">
        <w:rPr>
          <w:rFonts w:ascii="Times New Roman" w:hAnsi="Times New Roman"/>
          <w:color w:val="000000" w:themeColor="text1"/>
          <w:sz w:val="16"/>
          <w:szCs w:val="16"/>
        </w:rPr>
        <w:softHyphen/>
        <w:t>ся рост численности рабочих, которая к концу войны достигла 87,5 % от довоенного уровня (</w:t>
      </w:r>
      <w:r w:rsidRPr="00271E51">
        <w:rPr>
          <w:rFonts w:ascii="Times New Roman" w:hAnsi="Times New Roman"/>
          <w:iCs/>
          <w:color w:val="000000" w:themeColor="text1"/>
          <w:sz w:val="16"/>
          <w:szCs w:val="16"/>
        </w:rPr>
        <w:t>Митрофанова А.В.</w:t>
      </w:r>
      <w:r w:rsidRPr="00271E51">
        <w:rPr>
          <w:rFonts w:ascii="Times New Roman" w:hAnsi="Times New Roman"/>
          <w:color w:val="000000" w:themeColor="text1"/>
          <w:sz w:val="16"/>
          <w:szCs w:val="16"/>
        </w:rPr>
        <w:t xml:space="preserve"> Рабочий класс Советского Союза в годы Великой Отечественной войны. М., 1971. С. 344). Если в конце 1940 г. советская промыш</w:t>
      </w:r>
      <w:r w:rsidRPr="00271E51">
        <w:rPr>
          <w:rFonts w:ascii="Times New Roman" w:hAnsi="Times New Roman"/>
          <w:color w:val="000000" w:themeColor="text1"/>
          <w:sz w:val="16"/>
          <w:szCs w:val="16"/>
        </w:rPr>
        <w:softHyphen/>
        <w:t>ленность располагала 31,2 млн рабочих и служащих (Народное хозяйство СССР в Великой Отечественной войне 1941— 1945 гг. М.,1990. С. 5), то уже к октябрю их численность снизилась до 26,2 млн чел., а к началу 1942 г. упала и вовсе до 18,4 (то есть — 59 % довоенного уровня) млн чел. (</w:t>
      </w:r>
      <w:r w:rsidRPr="00271E51">
        <w:rPr>
          <w:rFonts w:ascii="Times New Roman" w:hAnsi="Times New Roman"/>
          <w:iCs/>
          <w:color w:val="000000" w:themeColor="text1"/>
          <w:sz w:val="16"/>
          <w:szCs w:val="16"/>
        </w:rPr>
        <w:t>Савицкий ИМ.</w:t>
      </w:r>
      <w:r w:rsidRPr="00271E51">
        <w:rPr>
          <w:rFonts w:ascii="Times New Roman" w:hAnsi="Times New Roman"/>
          <w:color w:val="000000" w:themeColor="text1"/>
          <w:sz w:val="16"/>
          <w:szCs w:val="16"/>
        </w:rPr>
        <w:t xml:space="preserve"> Указ. соч. С. 238). Первоначально советское руко</w:t>
      </w:r>
      <w:r w:rsidRPr="00271E51">
        <w:rPr>
          <w:rFonts w:ascii="Times New Roman" w:hAnsi="Times New Roman"/>
          <w:color w:val="000000" w:themeColor="text1"/>
          <w:sz w:val="16"/>
          <w:szCs w:val="16"/>
        </w:rPr>
        <w:softHyphen/>
        <w:t>водство ещё питало надежды, что кадровый кризис может быть разрешён в рамках традиционной методики материального сти</w:t>
      </w:r>
      <w:r w:rsidRPr="00271E51">
        <w:rPr>
          <w:rFonts w:ascii="Times New Roman" w:hAnsi="Times New Roman"/>
          <w:color w:val="000000" w:themeColor="text1"/>
          <w:sz w:val="16"/>
          <w:szCs w:val="16"/>
        </w:rPr>
        <w:softHyphen/>
        <w:t>мулирования. Так, 28 июня 1941 г. Совнарком СССР принял по</w:t>
      </w:r>
      <w:r w:rsidRPr="00271E51">
        <w:rPr>
          <w:rFonts w:ascii="Times New Roman" w:hAnsi="Times New Roman"/>
          <w:color w:val="000000" w:themeColor="text1"/>
          <w:sz w:val="16"/>
          <w:szCs w:val="16"/>
        </w:rPr>
        <w:softHyphen/>
        <w:t>становление «О сохранении пенсий за пенсионерами, вернув</w:t>
      </w:r>
      <w:r w:rsidRPr="00271E51">
        <w:rPr>
          <w:rFonts w:ascii="Times New Roman" w:hAnsi="Times New Roman"/>
          <w:color w:val="000000" w:themeColor="text1"/>
          <w:sz w:val="16"/>
          <w:szCs w:val="16"/>
        </w:rPr>
        <w:softHyphen/>
        <w:t>шимися на производство». Пенсия сохранялась на весь период войны независимо от заработка пенсионеров на пред приятиях (</w:t>
      </w:r>
      <w:r w:rsidRPr="00271E51">
        <w:rPr>
          <w:rFonts w:ascii="Times New Roman" w:hAnsi="Times New Roman"/>
          <w:iCs/>
          <w:color w:val="000000" w:themeColor="text1"/>
          <w:sz w:val="16"/>
          <w:szCs w:val="16"/>
        </w:rPr>
        <w:t>Кравченко Г.К.</w:t>
      </w:r>
      <w:r w:rsidRPr="00271E51">
        <w:rPr>
          <w:rFonts w:ascii="Times New Roman" w:hAnsi="Times New Roman"/>
          <w:color w:val="000000" w:themeColor="text1"/>
          <w:sz w:val="16"/>
          <w:szCs w:val="16"/>
        </w:rPr>
        <w:t xml:space="preserve"> Указ. соч. С. 110) (12011).</w:t>
      </w:r>
    </w:p>
    <w:p w14:paraId="12D332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3A9C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базе Казанского филиала завода № 4 НКБ был создан новый завод № 144 НКБ (Завод № 144 ИМ. М.И. Калинина НКБ, филиал Завода № 4 им. М.И. Калинина, п/я 421, Казанский завод точного машиностроения им. М.И. Калинина, ФГУП, ФКП «Казанский завод точного машиностроения им. М.И. Калинина» Росбоеприпаса /г. Казань 23 п/я 421 «Чугун» (1943 г.)/ /Татарстан 420108  г. Казань ул. М. Гафури, 71/), в 04.1943-09.1944 г. завод - в ведении 2ГУ. В 1947 г. присвоено имя М.И. Калинина. Имел наименование «п/я 421» (1943-57 г.).</w:t>
      </w:r>
    </w:p>
    <w:p w14:paraId="2297CA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завода цехи (1943 г.): основные: механические № 1, 2, 4, 5, 25, электрохимический № 7, штамповочный № 9, термический № 10, разрезной №11, сборочно-снаряжательный № 13; вспомогательные: инструментальные № 6, 26, заготовительный № 8, ремонтно-механический № 15, строительный № 16, электротехнический № 17, водопроводный № 18, центральная лаборатория № 19, гараж № 20, пошивочный № 23, электромонтажный № 27, вентиляционный № 29. Строились в 1943 г. цехи: гальванический, сборочные № 1 и 2, снаряжения, укупорки, испытательная станция.</w:t>
      </w:r>
    </w:p>
    <w:p w14:paraId="343598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(2000-е  г.): компрессоры, холодильные машины, насосы погружные бытовые; электрооборудование для велосипедов; литье чугунное, цветное, пластмасс.</w:t>
      </w:r>
    </w:p>
    <w:p w14:paraId="071E4A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01B2C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2007 г. ФГУП «Казанский завод точного машиностроения» преобразовано в ФКП.</w:t>
      </w:r>
    </w:p>
    <w:p w14:paraId="1D81DF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Площадь (1943 г.): производственная- 24250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вспомогательная- 6940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1A55D0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(04.1943 г.)- Лупандин. Гендиректор (1995-2004 г.)- Н.Я. Гайнутдинов, (2004 г.-)- Л. Самай.</w:t>
      </w:r>
    </w:p>
    <w:p w14:paraId="693E10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производственного отдела (04.1943 г.)- Базанов.</w:t>
      </w:r>
    </w:p>
    <w:p w14:paraId="0D094C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взрыватели: ГВМЗ, РГМ, АПУВ-М, МВ-2.</w:t>
      </w:r>
      <w:r w:rsidRPr="00271E51">
        <w:rPr>
          <w:rFonts w:ascii="Times New Roman" w:hAnsi="Times New Roman"/>
          <w:color w:val="000000" w:themeColor="text1"/>
          <w:sz w:val="16"/>
          <w:szCs w:val="16"/>
          <w:vertAlign w:val="superscript"/>
        </w:rPr>
        <w:t>132</w:t>
      </w:r>
    </w:p>
    <w:p w14:paraId="38C738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Казанского завода точного машиностроения</w:t>
      </w:r>
    </w:p>
    <w:p w14:paraId="4DCC03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Создан взрыватель Н-26А для НАР С-8.</w:t>
      </w:r>
    </w:p>
    <w:p w14:paraId="26ABC9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Г.Ц. Ротштейн (Н-26А) (11982).</w:t>
      </w:r>
    </w:p>
    <w:p w14:paraId="2753C077" w14:textId="77777777" w:rsidR="00D60938" w:rsidRPr="00271E51" w:rsidRDefault="00D60938"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B5B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заводе № 512 «зеки» освоили мастерскую непрерывной варки пороховой массы. Помимо устранения ручного труда, новая технология улучшила однородность и характеристики порохов. В этом же году значительную часть заключенных специалистов ОТБ-98 перебазировали на завод №512 НКБ, где создавали ОТБ-512, продолжавшее начатые на Урале разработ</w:t>
      </w:r>
      <w:r w:rsidRPr="00271E51">
        <w:rPr>
          <w:rFonts w:ascii="Times New Roman" w:hAnsi="Times New Roman"/>
          <w:color w:val="000000" w:themeColor="text1"/>
          <w:sz w:val="16"/>
          <w:szCs w:val="16"/>
        </w:rPr>
        <w:softHyphen/>
        <w:t>ки в области непрерывной шнековой технологии баллиститных порохов. Ликвидировали ОТБ-512 только в 1947 г. (11402).</w:t>
      </w:r>
    </w:p>
    <w:p w14:paraId="75C298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316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получил номер Государственный завод № 509 НК текстиля, Шуйский завод медно-аммиачного штапельного волокна, Шуйский завод искусственного волокна /г. Шуя/, созданный в 1937</w:t>
      </w:r>
    </w:p>
    <w:p w14:paraId="6B34B2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Был в 09.1944 г. (распоряжение ГКО № 6539 от 17.09.1944 г. о выделении заводу двух автомашин). В 1966 г. завод № 509 переименован в Шуйский завод медно-аммиачного штапельного волокна, затем - искусственного волокна.</w:t>
      </w:r>
    </w:p>
    <w:p w14:paraId="5F9EA7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Закрыт в начале 2000-х  г. (11982)</w:t>
      </w:r>
    </w:p>
    <w:p w14:paraId="647CCA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758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базе завода (Завод № 711 НКВ, Климовский штамповочный завод (КШЗ), АООТ, ОАО «КШЗ» РАВ, ЗАО «Климовский специализированный патронный завод» (КСПЗ) РАВ /142181  г. Климовск Московской обл. ул. Заводская, 2/) создан НИИ проектирования патронов (НИИ-44).</w:t>
      </w:r>
    </w:p>
    <w:p w14:paraId="71B85E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НИИ-44 НКВ,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 НИИ проектирования патронов</w:t>
      </w:r>
    </w:p>
    <w:p w14:paraId="491725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НИИ-44 создан в 1943 г. на заводе № 711 НКВ для проектирования патронов, (по другой информации НИИ-44 создан в 1947 г. на базе ОКБ-183). В 1949 г. институт вошел в состав НИИ-61 </w:t>
      </w:r>
      <w:r w:rsidRPr="00271E51">
        <w:rPr>
          <w:rFonts w:ascii="Times New Roman" w:hAnsi="Times New Roman"/>
          <w:color w:val="000000" w:themeColor="text1"/>
          <w:sz w:val="16"/>
          <w:szCs w:val="16"/>
          <w:lang w:val="en-US"/>
        </w:rPr>
        <w:t>MB</w:t>
      </w:r>
      <w:r w:rsidRPr="00271E51">
        <w:rPr>
          <w:rFonts w:ascii="Times New Roman" w:hAnsi="Times New Roman"/>
          <w:color w:val="000000" w:themeColor="text1"/>
          <w:sz w:val="16"/>
          <w:szCs w:val="16"/>
        </w:rPr>
        <w:t>.</w:t>
      </w:r>
    </w:p>
    <w:p w14:paraId="181677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Научно-конструкторский технический центр Создан 9-мм пистолет «Хорхе» (2006) (11982).</w:t>
      </w:r>
    </w:p>
    <w:p w14:paraId="30E4B6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76F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 запущен Завод № 324 НКБ (Завод № 324 НКАП, НКБ, Кировский завод «Сельмаш», ФГУП «Завод «Сельмаш» Росбоеприпаса /610014  г. Киров ул. Щорса, 66 тел. 25-28-65/), строящийся с довоенного времени, в 08.1943-09.1944 г. - в ведении 4ГУ.</w:t>
      </w:r>
    </w:p>
    <w:p w14:paraId="56BB98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Далее-Кировский завод «Сельмаш».</w:t>
      </w:r>
    </w:p>
    <w:p w14:paraId="75DBD4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Имел два дочерних предприятия (2002 г.): ФГУП «Завод «Сельмаш-1», ФГУП «Завод «Сельмаш-2». По Указу Президента РФ № 1009 от 4.08.2004 г. вошло в перечень стратегических оборонных предприятий. На предприятии введена процедура банкротства.</w:t>
      </w:r>
    </w:p>
    <w:p w14:paraId="0D677A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(2002 г.): 2500 чел.</w:t>
      </w:r>
    </w:p>
    <w:p w14:paraId="55E088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(2002 г.)- В.М. Сысоев. Внешний управляющий (-2004 г.)- Б. Гусев, (2004 г.-)- В. Заречанский, (2005 г.)- В.В. Щербань.</w:t>
      </w:r>
    </w:p>
    <w:p w14:paraId="21ED4C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(2002 г.): станки: универсально-фрезерный СФ-676, настольно-сверлильный 2М112, деревообрабатывающие; пресс для брикетирования торфа; духовки дня копчения, приспособления для консервирования; замочНо-скобяные изделия; изделия из пластмассы; запчасти к с/х технике, люки для колодцев, декоративные чуянные ограждения (11982).</w:t>
      </w:r>
    </w:p>
    <w:p w14:paraId="27AE3217" w14:textId="77777777" w:rsidR="00D60938" w:rsidRPr="00271E51" w:rsidRDefault="00D60938" w:rsidP="00271E51">
      <w:pPr>
        <w:spacing w:after="0" w:line="240" w:lineRule="auto"/>
        <w:jc w:val="both"/>
        <w:rPr>
          <w:rFonts w:ascii="Times New Roman" w:hAnsi="Times New Roman"/>
          <w:color w:val="000000" w:themeColor="text1"/>
          <w:sz w:val="16"/>
          <w:szCs w:val="16"/>
        </w:rPr>
      </w:pPr>
    </w:p>
    <w:p w14:paraId="60C46316" w14:textId="77777777" w:rsidR="00D60938" w:rsidRPr="00271E51" w:rsidRDefault="00D609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  принят на вооружение ИК прицел Ц-3, ими оснащались автоматы ППШ для вооружение бойцов ШИСБр (Штурмовые инженерно-саперные бригады) и вероятно, ОСНАЗ НКВД. Точных данных в открытых источниках, я не нашел, но есть это фото, правда без ИК- прожектора и батарей (18157).</w:t>
      </w:r>
    </w:p>
    <w:p w14:paraId="691A2ED0" w14:textId="77777777" w:rsidR="00D60938" w:rsidRPr="00271E51" w:rsidRDefault="00D60938" w:rsidP="00271E51">
      <w:pPr>
        <w:spacing w:after="0" w:line="240" w:lineRule="auto"/>
        <w:jc w:val="both"/>
        <w:rPr>
          <w:rFonts w:ascii="Times New Roman" w:hAnsi="Times New Roman"/>
          <w:color w:val="000000" w:themeColor="text1"/>
          <w:sz w:val="16"/>
          <w:szCs w:val="16"/>
        </w:rPr>
      </w:pPr>
    </w:p>
    <w:p w14:paraId="2C82CA0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ОКБ-172 разработало эскизный проект модернизации БУР-10 с перевооружением его на 85-мм пушку (БУР-10с).</w:t>
      </w:r>
    </w:p>
    <w:p w14:paraId="308CB6D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Данные установки БУР-10 (на 1940 год) </w:t>
      </w:r>
    </w:p>
    <w:p w14:paraId="2150646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 — 76,2</w:t>
      </w:r>
    </w:p>
    <w:p w14:paraId="2429742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ствола, клб — 30,5</w:t>
      </w:r>
    </w:p>
    <w:p w14:paraId="6559CBB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Сопротивление отката, т — 14,2</w:t>
      </w:r>
    </w:p>
    <w:p w14:paraId="40EA0E1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вертикального наведения, град —12; +12</w:t>
      </w:r>
    </w:p>
    <w:p w14:paraId="6E2C636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горизонтального наведения, град: по пушке — ±6</w:t>
      </w:r>
    </w:p>
    <w:p w14:paraId="37EF0DD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башне — 360</w:t>
      </w:r>
    </w:p>
    <w:p w14:paraId="68F392D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вертикального наведения, градус за 1 оборот маховика — 1,5</w:t>
      </w:r>
    </w:p>
    <w:p w14:paraId="63559E8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горизонтального наведения, градус за 1 оборот маховика — 1</w:t>
      </w:r>
    </w:p>
    <w:p w14:paraId="66B0232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Толщина брони башни, мм — 100–125</w:t>
      </w:r>
    </w:p>
    <w:p w14:paraId="0E421F5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установки, т — 42,0</w:t>
      </w:r>
    </w:p>
    <w:p w14:paraId="19B7E8C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Скорострельность, выстр/мин — 18</w:t>
      </w:r>
    </w:p>
    <w:p w14:paraId="3F68D96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 с погребами, чел — 7</w:t>
      </w:r>
    </w:p>
    <w:p w14:paraId="346A15F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Снаряд весом 6,23 кг при начальной скорости 635 м/с имел дальность 7100 м (12705).</w:t>
      </w:r>
    </w:p>
    <w:p w14:paraId="64D9B018"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0E4583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связи с принятием на вооружение 76-мм полковой пушки обр. 1943 г. производство пушек обр. 1927 г. было прекращено (3861).</w:t>
      </w:r>
    </w:p>
    <w:p w14:paraId="1BC821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FDA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Красная Армия захватила на Восточном фронте образцы первых немецких механических карабинов (Maschinen-karabiner). Технические идеи, реализованные в этом прообразе автомата, заинтересовали русских конструкторов, еще в конце 30-х годов экспериментировавших с оружием и использовавших увеличенный пистолетный патрон. Изучив немецкий автомат и 7,9-мм короткий патрон, советские конструкторы сразу же поняли, какое преимущество дает это оружие танковому десанту: автомат, обладавший скорострельностью пистолета-пулемета, за счет использования увеличенного патрона имел эффективную дальность выстрела, приблизительно в 8 раз превосходящую ту, которую давал оружию стандартный пистолетный патрон 7,62x25. В срочном порядке были закончены работы по созданию «промежуточного» патрона 7,62x39 образца 1943 года; в августе 1944 года начальник отдела артиллерийского вооружения Главного артиллерийского управления генерал-майор Талакин докладывал начальнику ГАУ генерал-лейтенанту Чечулину о «необходимости… увеличения боевой эффективности пистолетов-пулеметов и повышения дальности выстрела… приблизительно до 500 метров с соответствующим увеличением точности». Российский «промежуточный» патрон 7,62x39, известный как «патрон образца 1943 года» (М43 по западной классификации), был создан на основе немецкого короткого патрона калибра 7,9 мм. Созданный в конце Второй мировой войны в больших количествах он стал выпускаться только начиная с 1946 года (11765).</w:t>
      </w:r>
    </w:p>
    <w:p w14:paraId="605D78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01B5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по предложению Зальцмана головным предприятием по огнеметам был назначен завод № 174 в Омске. Правда, при этом выпуск ТО-34 продолжали и на других заводах - омичи еше имели ряд проблем с организацией производства обычных танков. Тем не менее, по отчету завода № 174 в 1943 голу здесь была проведена разработка, согласно приказа НКТМ. строенная установка в башне Т-34 огнемета АТО-41. 45-мм пушки и пулемета ЛТ. Сделано это было по типу танка КВ-8. Проект направили на рассмотрение в наркомат, где он в целом получил одобрение, после чего его вернули на доработку. Этот вариант вооружения танка Т-34 остался только на бумаге.</w:t>
      </w:r>
    </w:p>
    <w:p w14:paraId="22552A9A"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заводе № 222, производившим АТО-41. провели модернизацию этого огнемета. По принципу работы - выбрасывание огнесмеси поршнем при давлении на него пороховых газов - он остался как и его предшественник АТО-41. Основное отличие нового огнемета заключалось в изменении конструкции отдельных элементов, направленных на повышение надежности работы, увеличением емкости для огнесмеси до 200 литров и количества баллонов со сжатым воздухом. В результате, удалось повысить дальность огнеметания до 130 метров (при использовании спецсмеси). В том же году АТО-42 запустили в серийное производство, и стали устанавливать на ТО-34.</w:t>
      </w:r>
    </w:p>
    <w:p w14:paraId="38501BB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принятия на вооружение танка Т-34-85 конструкторское бюро завода № 174 спроектировало его огнеметный вариант, принятый на вооружение под обозначением ОТ-34-85. Машина оборудовалась установкой АТО-42, при этом принципиальных отличий установки огнемета от ОТ-34 новый танк не имел. Производство ТО-34-85 началось в июне 1944 года сначала в Омске, на заводе № 174, а затем и на заводе № 112 «Красное Сормово».</w:t>
      </w:r>
    </w:p>
    <w:p w14:paraId="7443A659"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за годы Великой Отечественной войны заводы наркомата танковой промышленности изготовили 1172 огнеметных танка ТО-34 (считая две собранных в Харькове в сентябре 1941 года) и 331 ТО-34-85.</w:t>
      </w:r>
    </w:p>
    <w:p w14:paraId="62519BFE"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огнеметов АТО использовались на Т-34 и другие варианты. В первую очередь речь идет о фугасных огнеметах (ФОГ), имевшихся на вооружении Красной Армии (12217).</w:t>
      </w:r>
    </w:p>
    <w:p w14:paraId="6FDA3C42"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24699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пять заводов передали фронту 15696 танков Т-34. К этому надо добавить 1383 самоходные артиллерийские установки на базе Т-34 - СУ-122 и СУ-85</w:t>
      </w:r>
    </w:p>
    <w:p w14:paraId="09862D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было выпущено несколько сот огнеметных танков ОТ-34. На них вместо лобового пулемета был установлен огнемет АТО-41. Огневыстрел (выброс зажигательной смеси - 60 процентов мазута и 40 процентов керосина) осуществлялся под давлением пороховых газов от сгорания обычного заряда к патрону 45-мм пушки, толкавших поршень в рабочем цилиндре огнемета. Дальность огнеметания достигала 60-65 м. (для специальной смеси - до 90 м.) по 10 л жидкости в каждом выстреле. Емкость резервуара - 100 л. Их хватало на 10 огневыстрелов. (3862).</w:t>
      </w:r>
    </w:p>
    <w:p w14:paraId="7B7B29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AEF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На опытном образце Т-44-85 между вторым и третьим опорными катками был небольшой разрыв. На серийных машинах разрыв был между первым и вторым катками. В таком виде Т-44 успешно прошел государственные испытания и был принят в 1944 году на вооружение Красной Армии (3862).</w:t>
      </w:r>
    </w:p>
    <w:p w14:paraId="3BD11B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592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Мытищинский завод подвижного железнодорожного состава под Москвой, созданный в 1897 г. (сегодня - Мытищинский машиностроительный завод (ММЗ)) и производящий вагоны для московского метро, был переименован в завод № 40 и занимался переделкой трофейных немецких танков типа PzKpfw III в советские штурмовые орудия СУ-76И. Когда заказ на СУ-76 был завершен, завод переключился на производство самородных артиллеристских установок СУ-76М, тем самым превзойдя завод в Кирове и облегчив ношу ГАЗа (4018).</w:t>
      </w:r>
    </w:p>
    <w:p w14:paraId="50CF98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82B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ОКБ-172 разработало эскизный проект модернизации БУР-10 с перевооружением его на 85-мм пушку (БУР-10с) (3861).</w:t>
      </w:r>
    </w:p>
    <w:p w14:paraId="0544D3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61B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с ростом толщины брони немецких танков дальность эффективной стрельбы по ним резко сократилась и не превышала 500 м даже для подкалиберного снаряда. В это же время 75- и 88-мм длинноствольные немецкие пушки могли поражать Т-34 на дистанциях до 900 и 1500 м соответственно (3862).</w:t>
      </w:r>
    </w:p>
    <w:p w14:paraId="344903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5C7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вспомнили о 57-мм пушках ЗИС-2 и ЗИС-4, когда 57-мм пушки стали единственными освоенными артсистемами, способными противостоять новым немецким тяжелым танкам (3862).</w:t>
      </w:r>
    </w:p>
    <w:p w14:paraId="28B268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F6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57-мм танковая пушки ЗИС-2 вновь пошла в серию. Грабин пытался реанимировать и ЗИС-4, тем более, что остался законсервированный задел с 1941 года (3861).</w:t>
      </w:r>
    </w:p>
    <w:p w14:paraId="4CE97B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F15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завод № 92 изготовил 170 76-мм пушек ЗИС-4, на этом производство ее было прекращено, так как для 1943 года эта пушка для Т-34 уже была слаба (3861).</w:t>
      </w:r>
    </w:p>
    <w:p w14:paraId="0D4855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0F0E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картина, когда советские танковые пушки Л-11, Ф-32, Ф-34 и ЗИС-5 легко пробивали броню всех германских танков и превосходили по своим баллистические качествам немецкие 75-мм и 50-мм танковые орудия, кардинально изменилась - броня танков Т-III и Т-IV значительно увеличилась, на фронте появились новые танки "Пантера" и "Тигр" с длинноствольными 75-мм и 88-мм пушками. Советские танковые пушки с баллистикой пушки 1902/30 г. оказались малоэффективными в борьбе с новыми германскими танками. Как средним, так и тяжелым танкам срочно потребовались новые мощные орудия. В целях экономии времени за основу было решено взять пушку, уже находившуюся в серийном производстве. Выбирать тут было нечего: производство 107-мм пушек было прекращено еще в 1941 году, а 95-мм пушки не вышли из стадии испытаний опытных образцов. Оставалась одна 85-мм зенитная пушка обр. 1939 г. (52К) (3861).</w:t>
      </w:r>
    </w:p>
    <w:p w14:paraId="7BA0BE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9C3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пушками Д-5Т вооружались тяжелые танки КВ-85 и ИС-85 (ИС-1). Для установки же Д-5Т в средний танк Т-34 требовалось увеличить диаметр шарового погона танка, что в 1943 году сделано не было, поскольку руководство ЦАКБ дало обещание разработать 85-мм пушку, которая могла устанавливаться в Т-34 со старым шаровым погоном. Однако реализовать это не удалось и для новой пушки ЗИС-С-53 пришлось увеличить диаметр погона с 1420 до 1600 мм. В течение нескольких месяцев 1944 года 85-мм пушка Д-5Т ставилась на танки Т-34 с увеличенным погоном и башней. В ходе эксплуатации пушек Д-5Т и Д-5С был выявлен ряд конструктивных недостатков, особенно были часты поломки подъемного механизма (3861).</w:t>
      </w:r>
    </w:p>
    <w:p w14:paraId="6BC8D5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0F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КБ Мотовилихинского завода под руководством Петрова началось проектирование 122-мм танковой пушки на базе 122-мм корпусной пушки А-19. Вместо свободной трубы с кожухом был введен ствол моноблок. Поршневой затвор был заменен горизонтальным клиновым затвором с полуавтоматикой механического типа. Кроме того, пушка получила дульный тормоз. Заряжание пушки - раздельно-гильзовое. Новое орудие получило индекс Д-25Т.("Т" - танковая, был и вариант Д-25С без дульного тормоза на самоходках ИСУ-122.).</w:t>
      </w:r>
    </w:p>
    <w:p w14:paraId="0F1A4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FF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инженерный отдел Краснознаменного Балтийского флота предложил проект полевого транспортера береговой артиллерии (ПТБАР) для 130-мм орудия. Транспортер представлял собой платформу с орудием, установленную на переднем и заднем мостах автомобильного типа. ПТБАР транспортировался трактором до огневой позиции, где передний и задний мосты выкатывались, а основание опускалось в специально вырытый котлован (3861).</w:t>
      </w:r>
    </w:p>
    <w:p w14:paraId="6337A6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F7C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ЦКБ создается 85-мм ПТП "большой мощности" С-3-1 на лафете 100-мм пушки С-3. В некоторых документах пушку именуют С-31 (3861).</w:t>
      </w:r>
    </w:p>
    <w:p w14:paraId="2C5EAF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8718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ОКБЛ-46 под руководством Чарнко и Комарицкого (ОКБЛ - ОКБ - лаборатория) была спроектирована 37-мм авиадесантная противотанковая пушка. Первая опытная серия пушек была изготовлена на заводе № 79 НКВ и получила индекс ЧК (Чарнко-Комарицкий). Пушка ЧК имела кожух прямоугольного сечения и гидравлический тормоз отката. На заводе № 79 пушка была модернизирована и получила заводской индекс ЗИВ-2. Пушка ЗИВ-2 имела кожух круглого сечения и гидравлический тормоз отката. После этого в ОКБЛ-46 произвели еще одну модернизацию пушки, которая получила индекс ЧК-М1. После введения нового более мощного дульного тормоза отпала надобность в гидравлическом тормозе отката, и он был убран. Кожух пушки имел круглое сечение. Вес систем в положении на колесах: ЧК - 218 кг; ЗИВ-2 - 233 кг; ЧК-М1 - 209 кг (3861).</w:t>
      </w:r>
    </w:p>
    <w:p w14:paraId="24B0BE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A8A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ЦКБ создается 85-мм пушка "большой мощности" С-3-1 на лафете 100-мм пушки С-3. В некоторых документах пушку именуют С-31 (3861).</w:t>
      </w:r>
    </w:p>
    <w:p w14:paraId="171A3F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234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ОКБ-172 выполнил проект 450-мм миномета МТ на железнодорожном транспортере и 240-мм буксируемого 240-мм миномета ОБ-29. Однако ни один из упомянутых минометов на вооружение не поступил (3861).</w:t>
      </w:r>
    </w:p>
    <w:p w14:paraId="3ADA13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2352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был принят на вооружение новый 120-мм миномет, который представлял собой модернизированный вариант образца 1938 г. В нем было усовершенствовано стреляющее приспособление, которое разбиралось без свинчивания казенника. Кроме того, миномет снабжался амортизаторами с более длинным ходом пружины и качающимся прицелом. Введение качающегося прицела упрощало механизм горизонтирования (3861).</w:t>
      </w:r>
    </w:p>
    <w:p w14:paraId="752A91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DB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ЦАКБ под руководством В. Г. Грабина была спроектирована 203-мм самоходная гаубица на шасси танка КВ-1с, с которого была снята башня и установлена вращающаяся часть 203-мм гаубицы Б-4. Изменения в Б-4 принципиального характера не имели. Питание боеприпасами осуществлялось непосредственно с самохода или с грунта. В походном положении ствол был оттянут. Боекомплект и баллистика С-51 полностью совпадали с Б-4БМ. В ходе заводских испытаний система С-51 сделала 42 выстрела и прошла 80 км обкатки (3861).</w:t>
      </w:r>
    </w:p>
    <w:p w14:paraId="775967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A1F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ОКБ-172 разработало технический проект 180/57-мм одноорудийной щитовой установкой МУ-1, который бы утвержден начальником артиллерийского управления 22.06.1944 г (3861).</w:t>
      </w:r>
    </w:p>
    <w:p w14:paraId="39F9F5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B80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под руководством Грабина в ЦАКТ был спроектирован 240-мм миномет С-16 (3861).</w:t>
      </w:r>
    </w:p>
    <w:p w14:paraId="7C9CAB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E2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Урале был изготовлен опытный образец 160-мм миномета, получившего индекс МТ-13. Опытный образец был направлен в Москву для показа руководству. МТ-13 понравился Сталину</w:t>
      </w:r>
    </w:p>
    <w:p w14:paraId="68D3E1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года 130/45-мм установки Б-13 выпускались с пружинным досылателем вместо пневматического. Причем у Б-13 выпуска 1943 и 1944 годов пружинный досылатель взводился при откате, а начиная с 1945 года досылатель взводился при накате. Вообще говоря, история создания Б-13 это история "героической борьбы" конструкторов с досылателем. Ведь досылатель был фактически единственным козырем Б-13 перед 130/55-мм орудием, и как раз он не хотел работать (3861).</w:t>
      </w:r>
    </w:p>
    <w:p w14:paraId="236DF4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491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КБ НАТИ внесло свою лепту в создание отечественного “Хетцера”. Видимо, учтя опыт работ над ГАЗ-74, здесь также разработали свой вариант безбашенного истребителя, причем интересно, что проект в переписке шел под грифом “охотник”. По готовности этот истребитель танков, вооруженный 57-мм пушкой прошел испытания. Но эта машина также не получила требуемый двигатель, а по комплексу боевых характеристик и цене мало отличалась от образцов завода ГАЗ, которые </w:t>
      </w:r>
      <w:r w:rsidRPr="00271E51">
        <w:rPr>
          <w:rFonts w:ascii="Times New Roman" w:hAnsi="Times New Roman"/>
          <w:color w:val="000000" w:themeColor="text1"/>
          <w:sz w:val="16"/>
          <w:szCs w:val="16"/>
        </w:rPr>
        <w:lastRenderedPageBreak/>
        <w:t>активно продвигались на всех уровнях. Машину испытывали и несколько раз дорабатывали, но на вооружение так и не приняли (5742, 14).</w:t>
      </w:r>
    </w:p>
    <w:p w14:paraId="636EC8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DBD93"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автозаводе ЗИС спроекти</w:t>
      </w:r>
      <w:r w:rsidRPr="00271E51">
        <w:rPr>
          <w:rFonts w:ascii="Times New Roman" w:hAnsi="Times New Roman"/>
          <w:color w:val="000000" w:themeColor="text1"/>
          <w:sz w:val="16"/>
          <w:szCs w:val="16"/>
        </w:rPr>
        <w:softHyphen/>
        <w:t>ровали полугусеничный бронетранспортер ТБ-42 и изготовили его полноразмерный деревянный массово-габаритный макет с использованием узлов и агрегатов машины массового выпуска. Бронетранспортер снаря</w:t>
      </w:r>
      <w:r w:rsidRPr="00271E51">
        <w:rPr>
          <w:rFonts w:ascii="Times New Roman" w:hAnsi="Times New Roman"/>
          <w:color w:val="000000" w:themeColor="text1"/>
          <w:sz w:val="16"/>
          <w:szCs w:val="16"/>
        </w:rPr>
        <w:softHyphen/>
        <w:t>женной массой 8,5 т, оснащенный двигателем мощностью 80 л.е., должен был перевозить 14 десантников со скоростью 30-35 км/ч и во</w:t>
      </w:r>
      <w:r w:rsidRPr="00271E51">
        <w:rPr>
          <w:rFonts w:ascii="Times New Roman" w:hAnsi="Times New Roman"/>
          <w:color w:val="000000" w:themeColor="text1"/>
          <w:sz w:val="16"/>
          <w:szCs w:val="16"/>
        </w:rPr>
        <w:softHyphen/>
        <w:t>оружался пулеметом ДТ.</w:t>
      </w:r>
    </w:p>
    <w:p w14:paraId="262E6E4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осмотра комиссией макета ТБ-42 заводу было предложено пересмотреть общую компоновку и доработать схему размещения внутреннего оборудования в эскизном про</w:t>
      </w:r>
      <w:r w:rsidRPr="00271E51">
        <w:rPr>
          <w:rFonts w:ascii="Times New Roman" w:hAnsi="Times New Roman"/>
          <w:color w:val="000000" w:themeColor="text1"/>
          <w:sz w:val="16"/>
          <w:szCs w:val="16"/>
        </w:rPr>
        <w:softHyphen/>
        <w:t>екте. После утверждения эскизного проекта предполагалось изготовить пять экземпляров ТБ-42. Однако завод отказался от изготовле</w:t>
      </w:r>
      <w:r w:rsidRPr="00271E51">
        <w:rPr>
          <w:rFonts w:ascii="Times New Roman" w:hAnsi="Times New Roman"/>
          <w:color w:val="000000" w:themeColor="text1"/>
          <w:sz w:val="16"/>
          <w:szCs w:val="16"/>
        </w:rPr>
        <w:softHyphen/>
        <w:t>ния опытной партии «</w:t>
      </w:r>
      <w:r w:rsidRPr="00271E51">
        <w:rPr>
          <w:rStyle w:val="aff6"/>
          <w:rFonts w:ascii="Times New Roman" w:hAnsi="Times New Roman" w:cs="Times New Roman"/>
          <w:i w:val="0"/>
          <w:color w:val="000000" w:themeColor="text1"/>
        </w:rPr>
        <w:t>ввиду невозможности использования базы полугусеничного автомо</w:t>
      </w:r>
      <w:r w:rsidRPr="00271E51">
        <w:rPr>
          <w:rStyle w:val="aff6"/>
          <w:rFonts w:ascii="Times New Roman" w:hAnsi="Times New Roman" w:cs="Times New Roman"/>
          <w:i w:val="0"/>
          <w:color w:val="000000" w:themeColor="text1"/>
        </w:rPr>
        <w:softHyphen/>
        <w:t>биля ЗИС-42 при создании бронетранспорте</w:t>
      </w:r>
      <w:r w:rsidRPr="00271E51">
        <w:rPr>
          <w:rStyle w:val="aff6"/>
          <w:rFonts w:ascii="Times New Roman" w:hAnsi="Times New Roman" w:cs="Times New Roman"/>
          <w:i w:val="0"/>
          <w:color w:val="000000" w:themeColor="text1"/>
        </w:rPr>
        <w:softHyphen/>
        <w:t>ров из-за ряда конструктивных особенностей гусеничного движителя».</w:t>
      </w:r>
    </w:p>
    <w:p w14:paraId="5E4A0E6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Дальнейшие работы по бронетранспорте</w:t>
      </w:r>
      <w:r w:rsidRPr="00271E51">
        <w:rPr>
          <w:rFonts w:ascii="Times New Roman" w:hAnsi="Times New Roman"/>
          <w:color w:val="000000" w:themeColor="text1"/>
          <w:sz w:val="16"/>
          <w:szCs w:val="16"/>
        </w:rPr>
        <w:softHyphen/>
        <w:t>рам привели к появлению полугусеничного Б-3, базой для которого послужила другая машина (12729).</w:t>
      </w:r>
    </w:p>
    <w:p w14:paraId="5A189456"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7BFF832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прошли испытания ЗИС-42 с прицепной волокушей НИАС, нагружаемой снегом. Величины сопротивления движения фиксировались с помощью динамометра. </w:t>
      </w:r>
      <w:r w:rsidRPr="00271E51">
        <w:rPr>
          <w:rStyle w:val="7e"/>
          <w:rFonts w:ascii="Times New Roman" w:hAnsi="Times New Roman" w:cs="Times New Roman"/>
          <w:i w:val="0"/>
          <w:color w:val="000000" w:themeColor="text1"/>
          <w:sz w:val="16"/>
          <w:szCs w:val="16"/>
        </w:rPr>
        <w:t>Известный инженер-автомобилист Б.В. Шиш</w:t>
      </w:r>
      <w:r w:rsidRPr="00271E51">
        <w:rPr>
          <w:rStyle w:val="7e"/>
          <w:rFonts w:ascii="Times New Roman" w:hAnsi="Times New Roman" w:cs="Times New Roman"/>
          <w:i w:val="0"/>
          <w:color w:val="000000" w:themeColor="text1"/>
          <w:sz w:val="16"/>
          <w:szCs w:val="16"/>
        </w:rPr>
        <w:softHyphen/>
        <w:t>кин с целью «</w:t>
      </w:r>
      <w:r w:rsidRPr="00271E51">
        <w:rPr>
          <w:rFonts w:ascii="Times New Roman" w:hAnsi="Times New Roman"/>
          <w:color w:val="000000" w:themeColor="text1"/>
          <w:sz w:val="16"/>
          <w:szCs w:val="16"/>
        </w:rPr>
        <w:t>выяснения количественной связи между сопротивлением снега движению лыжи и ее конструкцией»</w:t>
      </w:r>
      <w:r w:rsidRPr="00271E51">
        <w:rPr>
          <w:rStyle w:val="7e"/>
          <w:rFonts w:ascii="Times New Roman" w:hAnsi="Times New Roman" w:cs="Times New Roman"/>
          <w:i w:val="0"/>
          <w:color w:val="000000" w:themeColor="text1"/>
          <w:sz w:val="16"/>
          <w:szCs w:val="16"/>
        </w:rPr>
        <w:t xml:space="preserve"> провел комплекс исследо</w:t>
      </w:r>
      <w:r w:rsidRPr="00271E51">
        <w:rPr>
          <w:rStyle w:val="7e"/>
          <w:rFonts w:ascii="Times New Roman" w:hAnsi="Times New Roman" w:cs="Times New Roman"/>
          <w:i w:val="0"/>
          <w:color w:val="000000" w:themeColor="text1"/>
          <w:sz w:val="16"/>
          <w:szCs w:val="16"/>
        </w:rPr>
        <w:softHyphen/>
      </w:r>
      <w:r w:rsidRPr="00271E51">
        <w:rPr>
          <w:rFonts w:ascii="Times New Roman" w:hAnsi="Times New Roman"/>
          <w:color w:val="000000" w:themeColor="text1"/>
          <w:sz w:val="16"/>
          <w:szCs w:val="16"/>
        </w:rPr>
        <w:t>ваний на ходовой лаборатории, обобщенных в диссертации на соискание ученой степени к.т.н. Общий метод исследования заключался в постановке опытов по буксированию с помо</w:t>
      </w:r>
      <w:r w:rsidRPr="00271E51">
        <w:rPr>
          <w:rFonts w:ascii="Times New Roman" w:hAnsi="Times New Roman"/>
          <w:color w:val="000000" w:themeColor="text1"/>
          <w:sz w:val="16"/>
          <w:szCs w:val="16"/>
        </w:rPr>
        <w:softHyphen/>
        <w:t>щью динамометрических саней и специального комплекта экспериментальных лыж. Величина силы сопротивления снега движению лыжи ре</w:t>
      </w:r>
      <w:r w:rsidRPr="00271E51">
        <w:rPr>
          <w:rFonts w:ascii="Times New Roman" w:hAnsi="Times New Roman"/>
          <w:color w:val="000000" w:themeColor="text1"/>
          <w:sz w:val="16"/>
          <w:szCs w:val="16"/>
        </w:rPr>
        <w:softHyphen/>
        <w:t>гистрировалась самопишущим динамометром. Одновременно фиксировались гидромете</w:t>
      </w:r>
      <w:r w:rsidRPr="00271E51">
        <w:rPr>
          <w:rFonts w:ascii="Times New Roman" w:hAnsi="Times New Roman"/>
          <w:color w:val="000000" w:themeColor="text1"/>
          <w:sz w:val="16"/>
          <w:szCs w:val="16"/>
        </w:rPr>
        <w:softHyphen/>
        <w:t>орологические условия опытов. Опыты про</w:t>
      </w:r>
      <w:r w:rsidRPr="00271E51">
        <w:rPr>
          <w:rFonts w:ascii="Times New Roman" w:hAnsi="Times New Roman"/>
          <w:color w:val="000000" w:themeColor="text1"/>
          <w:sz w:val="16"/>
          <w:szCs w:val="16"/>
        </w:rPr>
        <w:softHyphen/>
        <w:t>водились на покрытом глубоким снегом поле недалеко от г. Москвы. Выбранный участок был почти горизонтальным (имелись микроукло</w:t>
      </w:r>
      <w:r w:rsidRPr="00271E51">
        <w:rPr>
          <w:rFonts w:ascii="Times New Roman" w:hAnsi="Times New Roman"/>
          <w:color w:val="000000" w:themeColor="text1"/>
          <w:sz w:val="16"/>
          <w:szCs w:val="16"/>
        </w:rPr>
        <w:softHyphen/>
        <w:t>ны). Трассы для буксирования лыж разбили на отрезки по 20 м и разметили вехами. На каждом из таких отрезков трассы проводился один опыт. В качестве снегоходного тягача для буксирования динамометрических саней с экспериментальной лыжей использовался по</w:t>
      </w:r>
      <w:r w:rsidRPr="00271E51">
        <w:rPr>
          <w:rFonts w:ascii="Times New Roman" w:hAnsi="Times New Roman"/>
          <w:color w:val="000000" w:themeColor="text1"/>
          <w:sz w:val="16"/>
          <w:szCs w:val="16"/>
        </w:rPr>
        <w:softHyphen/>
        <w:t>лугусеничный ЗИС-42. Динамометрирование производилось при прямолинейном движении на скорости примерно 2 м/с (12729).</w:t>
      </w:r>
    </w:p>
    <w:p w14:paraId="145850AF"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1B1BFC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ИМВ-1 (Институт минометного вооружения) был по адресу:</w:t>
      </w:r>
    </w:p>
    <w:p w14:paraId="1BB0AE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Пенза, Московская, 39 (9092).</w:t>
      </w:r>
    </w:p>
    <w:p w14:paraId="642085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FD33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 из СПРАВКИ ЗАМЕСТИТЕЛЯ ЗАВЕДУЮЩЕГО ОТДЕЛОМ ЭЛЕКТРОПРОМЫШЛЕННОСТИ ОБКОМА ВКП(б) Р.М. ЛИВШИЦА О МАТЕРИАЛЬНО-БЫТОВОМ ПОЛОЖЕНИИ РАБОЧИХ И СЛУЖАЩИХ ЗАВОДОВ № 590, 208, 617, 644</w:t>
      </w:r>
    </w:p>
    <w:p w14:paraId="3017665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Вопросы питания</w:t>
      </w:r>
    </w:p>
    <w:p w14:paraId="0CBEAEC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Обеспеченность общественного питания овощами в процентах.</w:t>
      </w:r>
    </w:p>
    <w:p w14:paraId="0A444D48"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Обеспеченность овощехранилищами - заводы № 208, 590, 644 и 617 полностью обеспечены овощехранилищами для сохранения овощей с подсобного хозяйства.</w:t>
      </w:r>
    </w:p>
    <w:p w14:paraId="79558B16"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Ремонт столовых. Из имеющихся на 4 заводах 9 столовых - 5 столовых не отремонтированы и не готовы к зиме. Столовые не полностью обеспечены инвентарем и посудой. Все заводы имеют полную возможность своими силами изготовить недостающий инвентарь и посуду.</w:t>
      </w:r>
    </w:p>
    <w:p w14:paraId="61C5B33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Во всех столовых имеются небольшие очереди. Средняя затрата времени на обед выражается в 30—50 минутах.</w:t>
      </w:r>
    </w:p>
    <w:p w14:paraId="7879384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Качество обедов. За последнее время в столовых имеет место однообразное меню, состоящее из овощей. Крупяных блюд стало значительно меньше.</w:t>
      </w:r>
    </w:p>
    <w:p w14:paraId="5D7183FD"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 Диетстоловые имеются на всех заводах, однако разницы в питании почти нет.</w:t>
      </w:r>
    </w:p>
    <w:p w14:paraId="66E16CBB"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Обувь и одежда распределяются по нуждаемости с преимущественным снабжением стахановцев производства. Профорганизации мало принимают участия в распределении ордеров, а на заводе № 208 профорганизация отстранена от этой работы. Наличие мастерских по ремонту обуви и одежды. На всех заводах имеются мастерские по ремонту обуви, а на заводе № 644 и № 590 -мастерские по ремонту одежды и обуви. Все мастерские исключительно малы, работают в них от 3 до 5 человек. Мастерские ни в какой степени не обеспечивают потребность заводов в ремонте. Длительность ремонта обуви от 10 дней до 1 месяца.</w:t>
      </w:r>
    </w:p>
    <w:p w14:paraId="71152A6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зав. отделом электропромышленности</w:t>
      </w:r>
    </w:p>
    <w:p w14:paraId="5407D362"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обкома ВКН(б) Лившиц</w:t>
      </w:r>
    </w:p>
    <w:p w14:paraId="4B453217"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97-100. Подлинник. Подпись-автограф Лившица (12194).</w:t>
      </w:r>
    </w:p>
    <w:p w14:paraId="389F6DE1"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57471C3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г. из СПРАВКИ ИНСТРУКТОРА ОТДЕЛА ЭЛЕКТРОПРОМЫШЛЕННОСТИ ОБКОМА ВКП(б) М.З. ФЕДОРОВА О МАТЕРИАЛЬНО-БЫТОВОМ ОБСЛУЖИВАНИИ ЛУЧШИХ СПЕЦИАЛИСТОВ ЗАВОДА № 617</w:t>
      </w:r>
    </w:p>
    <w:p w14:paraId="5E115A44"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заводе № 617 имеется ряд крупных специалистов, инженеров с большим теоретическим и производственным стажем в области вакуумной промышленности, но в настоящее время большинство из них по распоряжению наркомата выезжают на постоянную работу в г. Москву. В период Отечественной войны, наряду с крупными светлановскими силами, выросли молодые талантливые специалисты, сумевшие в суровые дни тяжелых испытаний для страны показать себя достойными руководителями и вершителями технической мысли на заводе. Вятских Виктор Михайлович - начальник производства, работает на заводе 19 лет в должности начальника цеха, главного технолога. Окончил Ленинградский политехнический институт, был в производственной командировке в Америке. Хорошо знает технологию приемно-усилительных ламп. За хорошую производственную работу получил в 1943 году почетную грамоту Новосибирского облисполкома. Имеет хорошую комнату в заводском доме, получает литерное питание. Кочурин Абрам Давыдович — главный технолог завода. На заводе работает с 1930 года инженером, старшим технологом, окончил Ленинградский электротехнический институт, прекрасно освоил металлические лампы, теоретически грамотный, инициативный, хорошо знает инструмент. Семья — 4 человека, проживает в заводском доме, получает литерное питание. Авдеев Валерий Николаевич - начальник первого цеха. На заводе работает с 1930 года. Молодой, талантливый, по образованию техник-вакуумщик, работал технологом, старшим технологом, инженером, старшим инженером. Хороший специалист и организатор, первый применил поточную систему на приемно-усилительных лампах. Живет в заводской квартире, имеет литерное питание (после нашего вмешательства). Синяков Алексей Федорович - начальник металлургического цеха. На заводе работает с 1941 года. Окончил Московский ВТУ, химический факультет. Работал инженером и начальником цеха тугоплавких металлов. Хороший специалист и организатор. Проживает в заводском доме, имеет литерное питание. Черепнин Николай Васильевич - начальник цеха. Окончил электромеханический институт в г. Ленинграде, работает на заводе с 1932 года инженером, инспектором ОТК, старшим технологом цеха по усилительным лампам, хорошо знает вакуумное оборудование ... живет в 20 кв. м комнате вместе с инженером Лелиовским, имеет 2-разовое спецпитание. Чудковский Семен Борисович - старший технолог 2-го цеха, на заводе с 1922 года. Работал инженером, начальником цеха, окончил два университета - новороссийский и ленинградский — инженер-электрик, хорошо грамотный специалист-технолог. Питается слабо, иногда пользуется стахановскими талонами. Козне Михаил Дмитриевич — старший технолог цеха № 6, окончил Ленинградский электротехнический институт, на заводе работает с 1930 года испытателем, технологом, зам. начальника цеха, лучший специалист по генераторным лампам. Проживает в заводском доме в тесной 8-метровой комнате на троих. Питанием обеспечен слабо, не всегда получает стахановский талон. Лелиовский Антон Д.— старший технолог цеха № 9, окончил энергоинститут, на заводе работает с 1932 года старшим инженером, старшим конструктором, один из лучших освоил металлические лампы . Живет с Черепниным. Питается слабо, имеет один стахановский талон.</w:t>
      </w:r>
    </w:p>
    <w:p w14:paraId="5AC0D411"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Белоусов Афанасий Абрамович - технолог-орденоносец, крупный специалист по мощным лампам. С 1936 года работает на заводе начальником лаборатории, начальником цеха. Моновский Валентин Степанович - начальник цеха № 5. Является лучшим специалистом по ртутным колбам и газовым приборам, окончил электротехнический институт. Проживает в заводском доме, имеет 2-разовое спецпитание. Выезжают в Москву такие специалисты, как Мошкович - начальник ОТК, лауреат Сталинской премии, один из крупных разработчиков усилительных ламп. Иванов - начальник химической лаборатории, автор ряда учебников по технологии вакуумных изделий и материалов. Хороджа — профессор по рентгеновским трубкам ...</w:t>
      </w:r>
    </w:p>
    <w:p w14:paraId="32948990"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Инструктор отдела электропромышленности</w:t>
      </w:r>
    </w:p>
    <w:p w14:paraId="076E16AF"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обкома ВКП(б) Федоров</w:t>
      </w:r>
    </w:p>
    <w:p w14:paraId="2568E1FC" w14:textId="77777777" w:rsidR="00FC04C9" w:rsidRPr="00271E51" w:rsidRDefault="00FC04C9"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ГАНО. Ф. П-4. Оп. 7. Д. 491. Л. 92. Копия (12194).</w:t>
      </w:r>
    </w:p>
    <w:p w14:paraId="43B2530B" w14:textId="77777777" w:rsidR="00FC04C9" w:rsidRPr="00271E51" w:rsidRDefault="00FC04C9" w:rsidP="00271E51">
      <w:pPr>
        <w:spacing w:after="0" w:line="240" w:lineRule="auto"/>
        <w:jc w:val="both"/>
        <w:rPr>
          <w:rFonts w:ascii="Times New Roman" w:hAnsi="Times New Roman"/>
          <w:color w:val="000000" w:themeColor="text1"/>
          <w:sz w:val="16"/>
          <w:szCs w:val="16"/>
        </w:rPr>
      </w:pPr>
    </w:p>
    <w:p w14:paraId="2B28A6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 № 92 НК нефти (Завод № 414 «Борец» НКнефти, НКНП, МНП, Машиностроительный завод «Борец» НКТМ, НКМ, ОАО «Борец» /127018  г. Москва ул. Складочная, 6/) переименован в завод № 414 НК нефти, в 11.1943-04.1945 г. завод № 414 «Борец» - в ведении НКНП, в 1947 г.-МНП.</w:t>
      </w:r>
    </w:p>
    <w:p w14:paraId="518112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годы войны выпускал корпуса </w:t>
      </w:r>
      <w:r w:rsidRPr="00271E51">
        <w:rPr>
          <w:rFonts w:ascii="Times New Roman" w:hAnsi="Times New Roman"/>
          <w:color w:val="000000" w:themeColor="text1"/>
          <w:sz w:val="16"/>
          <w:szCs w:val="16"/>
          <w:lang w:val="en-US"/>
        </w:rPr>
        <w:t>PC</w:t>
      </w:r>
      <w:r w:rsidRPr="00271E51">
        <w:rPr>
          <w:rFonts w:ascii="Times New Roman" w:hAnsi="Times New Roman"/>
          <w:color w:val="000000" w:themeColor="text1"/>
          <w:sz w:val="16"/>
          <w:szCs w:val="16"/>
        </w:rPr>
        <w:t xml:space="preserve"> М-13 и мин для крупнокалиберных минометов. 28.04.1945 г. вышло распоряжение ГКО № 8340 о мерах по восстановлению производства на заводе в 1945 г. газомоторных компрессоров МК-2.</w:t>
      </w:r>
    </w:p>
    <w:p w14:paraId="5FA8A3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завод «Борец» выпускал машины для восстанавливаемых шахт Донбасса, нефтепромыслов Грозного, предприятий Украины. В 1951 г. завод первым в стране освоил выпуск погружных центробежных насосов для добычи нефти.</w:t>
      </w:r>
    </w:p>
    <w:p w14:paraId="639B7C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1990-е  г. впервые в стране завод наладил выпуск погружных центробежных насосов со ступенями двухопорной конструкции из износокоррозионностойкого чугуна типа «нирезист». В 1998 г. начат серийный выпуск газосепараторов дня обеспечения работы насосов в скважинах с повышенным газосодержанием, освоено производство гидрозащит для погружных электродвигателей. В 2000 г. на заводе разработаны и внедрены в серию станции управления «Борец-01» для погружных электродвигателей; освоено производство ступеней насосов методом порошковой металлургии.</w:t>
      </w:r>
    </w:p>
    <w:p w14:paraId="5EFEB9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Руководитель (2000 г.)- Л.И. Штульбер г.</w:t>
      </w:r>
    </w:p>
    <w:p w14:paraId="6D2BBC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гидромуфты для судовых дизелей (1937); детали для минометов (1942) (11982).</w:t>
      </w:r>
    </w:p>
    <w:p w14:paraId="41F5F2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42CA7" w14:textId="77777777" w:rsidR="006030C2" w:rsidRPr="00271E51" w:rsidRDefault="006030C2"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 Завод № 415 НКнефти /Горьковская обл./</w:t>
      </w:r>
    </w:p>
    <w:p w14:paraId="1F41B8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Нефтехимический завод. Производство нефтекокса (1943 г.) (11982).</w:t>
      </w:r>
    </w:p>
    <w:p w14:paraId="374317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E0B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строй был введен завод № 411 – Ишимбай. Целевое назначение – получение толуола и пиробензола на базе специального керосинового дестиллата, выработанного на заводе № 433 (8945)</w:t>
      </w:r>
    </w:p>
    <w:p w14:paraId="7E4E27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рамках НКНефти существовали:</w:t>
      </w:r>
    </w:p>
    <w:p w14:paraId="17599C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“Башнефтекомбинат”</w:t>
      </w:r>
    </w:p>
    <w:p w14:paraId="63E3CF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Нефтеперегонный завод</w:t>
      </w:r>
    </w:p>
    <w:p w14:paraId="35AAE5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г. Ишимбай (8691).</w:t>
      </w:r>
    </w:p>
    <w:p w14:paraId="783D9A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“Башнефтекомбинат”</w:t>
      </w:r>
    </w:p>
    <w:p w14:paraId="6E4F66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95</w:t>
      </w:r>
    </w:p>
    <w:p w14:paraId="77217C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Уфа (8692).</w:t>
      </w:r>
    </w:p>
    <w:p w14:paraId="5AAB08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“Грозгнфтекомбинат”</w:t>
      </w:r>
    </w:p>
    <w:p w14:paraId="6E6149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Машиностроительный завод “Красный молот”</w:t>
      </w:r>
    </w:p>
    <w:p w14:paraId="254E48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Грозный, ул. Стахановцев, 7 (8693).</w:t>
      </w:r>
    </w:p>
    <w:p w14:paraId="474EF0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“Дальнефтекомбинат”</w:t>
      </w:r>
    </w:p>
    <w:p w14:paraId="3A75D5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Комсомольский завод № 87 (8694).</w:t>
      </w:r>
    </w:p>
    <w:p w14:paraId="5582F5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Хабаровский завод им. С. Орджоникидзе (8695).</w:t>
      </w:r>
    </w:p>
    <w:p w14:paraId="1C1510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“Куйбышевнефтекомбинат”</w:t>
      </w:r>
    </w:p>
    <w:p w14:paraId="6F2F8C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96</w:t>
      </w:r>
    </w:p>
    <w:p w14:paraId="0E1ECE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Сызрань (8696).</w:t>
      </w:r>
    </w:p>
    <w:p w14:paraId="4ED7D9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“Казахстаннефтекомбинат”</w:t>
      </w:r>
    </w:p>
    <w:p w14:paraId="49C0F9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Машиностроительный завод им. Петровского (8697).</w:t>
      </w:r>
    </w:p>
    <w:p w14:paraId="0B37D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Научно-исследовательский экспериментальный завод “Химзаг”</w:t>
      </w:r>
    </w:p>
    <w:p w14:paraId="789F50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Саратов (8698).</w:t>
      </w:r>
    </w:p>
    <w:p w14:paraId="12D677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Орский нефтезавод им. Чкалова (8699).</w:t>
      </w:r>
    </w:p>
    <w:p w14:paraId="48BEB1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86 треста № 1</w:t>
      </w:r>
    </w:p>
    <w:p w14:paraId="569E78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Москва, п/я № 4020 (8700).</w:t>
      </w:r>
    </w:p>
    <w:p w14:paraId="187C49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w:t>
      </w:r>
    </w:p>
    <w:p w14:paraId="7327F1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Красноводск (8701).</w:t>
      </w:r>
    </w:p>
    <w:p w14:paraId="5E78CA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Сталинабадский механический завод им. Серго Орджоникидзе (8702).</w:t>
      </w:r>
    </w:p>
    <w:p w14:paraId="5AF483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91</w:t>
      </w:r>
    </w:p>
    <w:p w14:paraId="715EBA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Люберцы (8703).</w:t>
      </w:r>
    </w:p>
    <w:p w14:paraId="5A3323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92 “Борец”</w:t>
      </w:r>
    </w:p>
    <w:p w14:paraId="76F030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Москва 18, п/я 2183 (8704).</w:t>
      </w:r>
    </w:p>
    <w:p w14:paraId="776F79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94 им. Кирова</w:t>
      </w:r>
    </w:p>
    <w:p w14:paraId="0A8A63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Саратов (8705).</w:t>
      </w:r>
    </w:p>
    <w:p w14:paraId="7A0A11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409 “Дальнефтекомбината”</w:t>
      </w:r>
    </w:p>
    <w:p w14:paraId="6F3D09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Комсомольск-Дземги, п/я № 317</w:t>
      </w:r>
    </w:p>
    <w:p w14:paraId="13A8DF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Ввод в эксплуатацию – 1942 год (8706).</w:t>
      </w:r>
    </w:p>
    <w:p w14:paraId="508C7D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419 им. С. Орджоникидзе “Дальнефтекомбината”</w:t>
      </w:r>
    </w:p>
    <w:p w14:paraId="38ADAA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Хабаровск (8707).</w:t>
      </w:r>
    </w:p>
    <w:p w14:paraId="7978E7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418 (нефтеперегонный) “Куйбышевнефтекомбината”</w:t>
      </w:r>
    </w:p>
    <w:p w14:paraId="2E64EF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Сызрань (8708).</w:t>
      </w:r>
    </w:p>
    <w:p w14:paraId="713725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413 (Московский крекинг-завод)</w:t>
      </w:r>
    </w:p>
    <w:p w14:paraId="6BAE13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Люберцы, п/я № 15</w:t>
      </w:r>
    </w:p>
    <w:p w14:paraId="103E50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Ввод в эксплуатацию – 1938 год (8709).</w:t>
      </w:r>
    </w:p>
    <w:p w14:paraId="41A9A2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416 им. С.М. Кирова</w:t>
      </w:r>
    </w:p>
    <w:p w14:paraId="23CD49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Саратов, 21</w:t>
      </w:r>
    </w:p>
    <w:p w14:paraId="158E29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Ввод в эксплуатацию – 1934 год (8710).</w:t>
      </w:r>
    </w:p>
    <w:p w14:paraId="09CDDF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421 им. Чкалова</w:t>
      </w:r>
    </w:p>
    <w:p w14:paraId="3A13DB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Орск Чкаловской области</w:t>
      </w:r>
    </w:p>
    <w:p w14:paraId="26DB0F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Ввод в эксплуатацию – 1936 год (8711).</w:t>
      </w:r>
    </w:p>
    <w:p w14:paraId="3CDD93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“Дальнефтекомбинат”</w:t>
      </w:r>
    </w:p>
    <w:p w14:paraId="1B80F7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Строительство № 277</w:t>
      </w:r>
    </w:p>
    <w:p w14:paraId="3D9E85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Смоляниново (8712).</w:t>
      </w:r>
    </w:p>
    <w:p w14:paraId="0580BD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276</w:t>
      </w:r>
    </w:p>
    <w:p w14:paraId="36FB6C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Место: Осипенко Запорожской области (8713).</w:t>
      </w:r>
    </w:p>
    <w:p w14:paraId="6687D5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 8627, оп. 15</w:t>
      </w:r>
    </w:p>
    <w:p w14:paraId="04286B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440 им. Лепсе (8714).</w:t>
      </w:r>
    </w:p>
    <w:p w14:paraId="1DA66B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Бугуслановский нефтеперерабатывающий завод (строящийся)</w:t>
      </w:r>
    </w:p>
    <w:p w14:paraId="147BFE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Одесский крек. завод</w:t>
      </w:r>
    </w:p>
    <w:p w14:paraId="73D93D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233</w:t>
      </w:r>
    </w:p>
    <w:p w14:paraId="701189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102</w:t>
      </w:r>
    </w:p>
    <w:p w14:paraId="6BE0DE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Бакинский механический завод им. 1 мая</w:t>
      </w:r>
    </w:p>
    <w:p w14:paraId="2CC400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Осипенковский крекинг-завод</w:t>
      </w:r>
    </w:p>
    <w:p w14:paraId="76543D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288 (строящийся)</w:t>
      </w:r>
    </w:p>
    <w:p w14:paraId="18C3E7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“Возрождение”</w:t>
      </w:r>
    </w:p>
    <w:p w14:paraId="2E9D2E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“Уникол”</w:t>
      </w:r>
    </w:p>
    <w:p w14:paraId="5F1DEC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w:t>
      </w:r>
    </w:p>
    <w:p w14:paraId="1A0A93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15</w:t>
      </w:r>
    </w:p>
    <w:p w14:paraId="22D33B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14</w:t>
      </w:r>
    </w:p>
    <w:p w14:paraId="1CA6A4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13</w:t>
      </w:r>
    </w:p>
    <w:p w14:paraId="400E78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Шаумяна</w:t>
      </w:r>
    </w:p>
    <w:p w14:paraId="064174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Завод № 407</w:t>
      </w:r>
    </w:p>
    <w:p w14:paraId="1817E9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406</w:t>
      </w:r>
    </w:p>
    <w:p w14:paraId="68693F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404 (нефтемаслозавод)</w:t>
      </w:r>
    </w:p>
    <w:p w14:paraId="28B48A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17 (нефтемаслозавод)</w:t>
      </w:r>
    </w:p>
    <w:p w14:paraId="31323B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403 (нефтемаслозавод)</w:t>
      </w:r>
    </w:p>
    <w:p w14:paraId="6F18C0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Казанский завод спецсмазок</w:t>
      </w:r>
    </w:p>
    <w:p w14:paraId="238C81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16</w:t>
      </w:r>
    </w:p>
    <w:p w14:paraId="604FD5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444</w:t>
      </w:r>
    </w:p>
    <w:p w14:paraId="71B2E1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442</w:t>
      </w:r>
    </w:p>
    <w:p w14:paraId="769486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443 (строящийся)</w:t>
      </w:r>
    </w:p>
    <w:p w14:paraId="3AF0CD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441</w:t>
      </w:r>
    </w:p>
    <w:p w14:paraId="4318DF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434 – Красноводск</w:t>
      </w:r>
    </w:p>
    <w:p w14:paraId="2C4238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431 (строящийся)</w:t>
      </w:r>
    </w:p>
    <w:p w14:paraId="036FA6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415</w:t>
      </w:r>
    </w:p>
    <w:p w14:paraId="6D60A5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410 – Ванновский – строительство 1942 год</w:t>
      </w:r>
    </w:p>
    <w:p w14:paraId="2FB640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408</w:t>
      </w:r>
    </w:p>
    <w:p w14:paraId="7DDCFC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433 (Ишимбаевский)</w:t>
      </w:r>
    </w:p>
    <w:p w14:paraId="21D377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Ишимбаевский завод Нефтегаз № 8</w:t>
      </w:r>
    </w:p>
    <w:p w14:paraId="488F4A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Ишимбаевский газолиновый завод</w:t>
      </w:r>
    </w:p>
    <w:p w14:paraId="3C1F16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411</w:t>
      </w:r>
    </w:p>
    <w:p w14:paraId="0FAFAD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Уфимский нефтеперегонный завод</w:t>
      </w:r>
    </w:p>
    <w:p w14:paraId="619D28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417</w:t>
      </w:r>
    </w:p>
    <w:p w14:paraId="65362A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Грозненский крекинг-завод</w:t>
      </w:r>
    </w:p>
    <w:p w14:paraId="6A03F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333</w:t>
      </w:r>
    </w:p>
    <w:p w14:paraId="35398D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867</w:t>
      </w:r>
    </w:p>
    <w:p w14:paraId="7BF988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420</w:t>
      </w:r>
    </w:p>
    <w:p w14:paraId="2F062F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435</w:t>
      </w:r>
    </w:p>
    <w:p w14:paraId="1B4CDE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227 (9367)</w:t>
      </w:r>
    </w:p>
    <w:p w14:paraId="6EF2CA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составе Наркомата станкостроения были:</w:t>
      </w:r>
    </w:p>
    <w:p w14:paraId="7342AB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“Красный пролетарий” – Москва</w:t>
      </w:r>
    </w:p>
    <w:p w14:paraId="5FAF1D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Орджоникидзе – Москва</w:t>
      </w:r>
    </w:p>
    <w:p w14:paraId="5C0B53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внутришлифовальных станков – Москва</w:t>
      </w:r>
    </w:p>
    <w:p w14:paraId="3998B2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низковольтной аппаратуры – Москва</w:t>
      </w:r>
    </w:p>
    <w:p w14:paraId="3207E3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станочных нормалей – Москва</w:t>
      </w:r>
    </w:p>
    <w:p w14:paraId="739E83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“Калибр” – Москва</w:t>
      </w:r>
    </w:p>
    <w:p w14:paraId="232C6E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Москва</w:t>
      </w:r>
    </w:p>
    <w:p w14:paraId="7A9491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300 - Москва</w:t>
      </w:r>
    </w:p>
    <w:p w14:paraId="309FCA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шлифовальных станков – Москва</w:t>
      </w:r>
    </w:p>
    <w:p w14:paraId="7D2E1D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“Станколит” – Москва</w:t>
      </w:r>
    </w:p>
    <w:p w14:paraId="6D3406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электронасосов – Москва</w:t>
      </w:r>
    </w:p>
    <w:p w14:paraId="7FEB3C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приспособлений – Москва</w:t>
      </w:r>
    </w:p>
    <w:p w14:paraId="7E8BB4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“Станкоконструкция” - Москва</w:t>
      </w:r>
    </w:p>
    <w:p w14:paraId="508CB3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“Фрезер” – Москва</w:t>
      </w:r>
    </w:p>
    <w:p w14:paraId="40BC53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“Комсомолец” - Егорьевск</w:t>
      </w:r>
    </w:p>
    <w:p w14:paraId="13E123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Клин</w:t>
      </w:r>
    </w:p>
    <w:p w14:paraId="3F2181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Дмитров</w:t>
      </w:r>
    </w:p>
    <w:p w14:paraId="03658E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“8 лет Октября” - Серпухов</w:t>
      </w:r>
    </w:p>
    <w:p w14:paraId="6A1638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Калинина – Воронеж</w:t>
      </w:r>
    </w:p>
    <w:p w14:paraId="718364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фрезерных станков – Горький</w:t>
      </w:r>
    </w:p>
    <w:p w14:paraId="58BB99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“Красный инструментальщик” - Киров</w:t>
      </w:r>
    </w:p>
    <w:p w14:paraId="300ACE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ЦК машиностроения – Куйбышев</w:t>
      </w:r>
    </w:p>
    <w:p w14:paraId="2999A5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Горького - Кизел</w:t>
      </w:r>
    </w:p>
    <w:p w14:paraId="0679D7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Челябинск</w:t>
      </w:r>
    </w:p>
    <w:p w14:paraId="0B5B8D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Абразивный завод – Челябинск</w:t>
      </w:r>
    </w:p>
    <w:p w14:paraId="525550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Копейск</w:t>
      </w:r>
    </w:p>
    <w:p w14:paraId="2E0B7C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Троицк Челябинской области</w:t>
      </w:r>
    </w:p>
    <w:p w14:paraId="09A9D6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Напилочный завод – Миасс Челябинской области</w:t>
      </w:r>
    </w:p>
    <w:p w14:paraId="53A04C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Абразивный завод - Златоуст</w:t>
      </w:r>
    </w:p>
    <w:p w14:paraId="479579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шлифзерно – Кыштым Челябинской области</w:t>
      </w:r>
    </w:p>
    <w:p w14:paraId="4C6922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Свердловск</w:t>
      </w:r>
    </w:p>
    <w:p w14:paraId="786D08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Абразивный замок – Косулино Свердловской области</w:t>
      </w:r>
    </w:p>
    <w:p w14:paraId="09E473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Алапаевск Свердловской области</w:t>
      </w:r>
    </w:p>
    <w:p w14:paraId="1C1C9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Чкаловск</w:t>
      </w:r>
    </w:p>
    <w:p w14:paraId="101CB7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сверл – Чкаловск</w:t>
      </w:r>
    </w:p>
    <w:p w14:paraId="38C1E4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“Металлист” – Чкаловск</w:t>
      </w:r>
    </w:p>
    <w:p w14:paraId="016781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“Коммунар” - Саракташ</w:t>
      </w:r>
    </w:p>
    <w:p w14:paraId="7AEF43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“Тяжстанкогидропресс” – Новосибирск</w:t>
      </w:r>
    </w:p>
    <w:p w14:paraId="47F886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XVI партсъезда – Новосибирск</w:t>
      </w:r>
    </w:p>
    <w:p w14:paraId="243F68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Новосибирск</w:t>
      </w:r>
    </w:p>
    <w:p w14:paraId="2F8970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Томск</w:t>
      </w:r>
    </w:p>
    <w:p w14:paraId="46AB14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им. Ленина – Стерлитамак</w:t>
      </w:r>
    </w:p>
    <w:p w14:paraId="2C4381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кузнечно-прессовых машин – Славгород Алтайского края</w:t>
      </w:r>
    </w:p>
    <w:p w14:paraId="34CD5A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Белорецк</w:t>
      </w:r>
    </w:p>
    <w:p w14:paraId="45098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им. Седина – Краснодар</w:t>
      </w:r>
    </w:p>
    <w:p w14:paraId="19D019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кузнечно-прессового машиностроения – Барнаул</w:t>
      </w:r>
    </w:p>
    <w:p w14:paraId="5F609F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им. Кирова – Тбилиси</w:t>
      </w:r>
    </w:p>
    <w:p w14:paraId="18CAC7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“Центролит” - Тбилиси</w:t>
      </w:r>
    </w:p>
    <w:p w14:paraId="3661A8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“Станок” – Тбилиси</w:t>
      </w:r>
    </w:p>
    <w:p w14:paraId="5B9D1E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кузнечно-прессовых машин – Чимкент КазССР</w:t>
      </w:r>
    </w:p>
    <w:p w14:paraId="35A107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Карборундовый завод – Ташкент</w:t>
      </w:r>
    </w:p>
    <w:p w14:paraId="7DB91A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Абразивный завод – Ташкент</w:t>
      </w:r>
    </w:p>
    <w:p w14:paraId="412C75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Завод токов высокой частоты – Ташкент</w:t>
      </w:r>
    </w:p>
    <w:p w14:paraId="61AFFF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Инструментальный завод – Ворошиловград</w:t>
      </w:r>
    </w:p>
    <w:p w14:paraId="37DF58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кузнечно-прессовых машин “Металлист” – Таганрог Ростовской области</w:t>
      </w:r>
    </w:p>
    <w:p w14:paraId="0E4EEB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Станкозавод – Новочеркасск Ростовской области</w:t>
      </w:r>
    </w:p>
    <w:p w14:paraId="04C025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“Красный тигель” – Сталинск Кемеровской области (9097)</w:t>
      </w:r>
    </w:p>
    <w:p w14:paraId="5A77CC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 Москве было КБ-35 НКМВ (8662).</w:t>
      </w:r>
    </w:p>
    <w:p w14:paraId="40DE8B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CC1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организован завод № 147 НКБ под производство аккумулятивных снарядов.</w:t>
      </w:r>
    </w:p>
    <w:p w14:paraId="16EE6B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НИИ-147 организован под гильзовое производство на базе завода № 147 на основании постановления ГОКО от 13 июля 1945 года и приказа НКБ № 336 от 20 августа 1945 года.</w:t>
      </w:r>
    </w:p>
    <w:p w14:paraId="53A1D7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Тула, Щегловская засека, п/я 61</w:t>
      </w:r>
    </w:p>
    <w:p w14:paraId="02E533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 Христофоров (10039).</w:t>
      </w:r>
    </w:p>
    <w:p w14:paraId="2DEEF9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36C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после освобождения Шостки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10522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Шостка Сумской области, п/я 13</w:t>
      </w:r>
    </w:p>
    <w:p w14:paraId="5D1985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 завода – П. Трошин (10026).</w:t>
      </w:r>
    </w:p>
    <w:p w14:paraId="37155B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5B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г. был образован Особый завод № 862 (Особый завод № 862 НКБ, НИИ-862 НКБ, МСХМ, ГКОТ, ММ, МОП, </w:t>
      </w:r>
      <w:r w:rsidRPr="00271E51">
        <w:rPr>
          <w:rFonts w:ascii="Times New Roman" w:hAnsi="Times New Roman"/>
          <w:color w:val="000000" w:themeColor="text1"/>
          <w:sz w:val="16"/>
          <w:szCs w:val="16"/>
          <w:lang w:val="en-US"/>
        </w:rPr>
        <w:t>MOM</w:t>
      </w:r>
      <w:r w:rsidRPr="00271E51">
        <w:rPr>
          <w:rFonts w:ascii="Times New Roman" w:hAnsi="Times New Roman"/>
          <w:color w:val="000000" w:themeColor="text1"/>
          <w:sz w:val="16"/>
          <w:szCs w:val="16"/>
        </w:rPr>
        <w:t>, НИИ прикладной химии (НИИПХ), ГУП, ФГУП «ФНПЦ НИИПХ» Росбоеприпаса /141313 (141300) г. Сергиев Посад Московской обл. ул. Академика Силина, 3; ул. Институтская, 5 тел. 40-616 (2005г.)/), в 08.1943-09.1944г. - в ведении 6ГУ НКБ. В годы ВОВ существовал «Отдельный цех», выпускавший осветительные боеприпасы. В 05.1943г. снаряжен первый фейерверк. 9.05.1945г. был применен первый серийный «салют-патрон». 24.06.1944г. вышло постановление ГКО № 6096 об окончании строительства и пуске завода. Приказом НКБ от 23.04.1945г. Особый завод № 862 реорганизован в НИИ-862 в ведении 6ГУ НКБ. Основной задачей стало создание новых пиротехнических (дымовых, осветительных, фотоосветительных, сигнальных) средств и механизация опасных и трудоемких техпроцессов.</w:t>
      </w:r>
    </w:p>
    <w:p w14:paraId="5E14E9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Чебоксарское ОТБ-320, которое располагалось на заводе № 320, перебазировалось в г. Сергиев Посад (и вошло в состав НИИ-862). В составе НИИ-862 (1948г.)- Особое бюро.</w:t>
      </w:r>
    </w:p>
    <w:p w14:paraId="635AA5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1945-47г. велось совершенствование и разработка новых пиротехнических средств для сигнализации на большие расстояния и аэрофотосъемки, сигнальных и осветительных средств ближнего действия, дымовых и маскирующих средств, учебных и имитационных изделий. С 1949г. вырос объем работ по созданию зарядов для снаряжения крупногабаритных изделий (специальных снарядов и авиабомб). По приказу МСХМ от 11.02.1949г. создан технологический отдел для разработки внедрения на пиротехнических заводах передовой технологии, средств механизации и автоматизации технологических процессов. В 1945-50г. выполнено 250 НИОКР. В 1950-е г. созданы твердотопливные заряды на гидрореагирующем топливе (в качестве окислителя используется морская вода). К началу 1960-х г. созданы новые виды снаряжений: факелы для осветительных авиабомб, артиллерийских снарядов и мин, трассеры для снарядов, ракет и самолетов-мишеней, ручные реактивные сигнальные и осветительные патроны. В это же время разработаны первые образцы гражданской пиротехнической продукции: парковые фейерверки, пестицидные дымовые шашки, осадковызывающие составы. С конца 1950-х г. начаты работы по созданию новых нетрадиционных пиротехнических средств: твердых топлив для ракетно-прямоточных двигателей, воспламенителей для РДТТ, пиротехнических нагревателей, средств пироавтоматики для авиационно-космической техники. С 1960-х г. разрабатывались различные сигналы бедствия - сигнальные ракеты, патроны, шашки (световые, звуковые, дымовые), создан сигнальный буй для ПЛ (для глубин до 450 м). В 1965г. закончена модернизация существующих и введены в эксплуатацию новые испытательные стенды в институте и на полигоне. В 1960-80г. для ОП и серийных заводов разработано технологическое оборудование для всех основных фаз производства: измельчения материалов, сушки компонентов, усреднения металлических порошков, приготовления составов и высокочувствительных к внешним воздействиям смесей. Освоены в производстве твердое топливо и заряды из него для двигателей зенитных ракет и ракето-торпед, пиротехнические ложные цели и помехи для противодействия высокоточному оружию. В эти годы ежегодно передавалось в производство более 70 новых изделий.</w:t>
      </w:r>
    </w:p>
    <w:p w14:paraId="278A4B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Направления работ (1980-е г.):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 методическое обеспечение разработок и испытаний; разработка и автоматизация техпроцессов; создание нестандартного технологического оборудования. Начинает развиваться новое направление - термобарические смеси и пиротехнические источники тока. В 1980-92г. разработано и передано в производство более 80 новых средств военного и гражданского назначения. В 1990-е г. разработаны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средства охранной сигнализации и оружие самозащиты. Разработана уникальная экологически чистая технология фильтрационного сжигания биологических отходов ПСФГ, в т.ч. зараженных опасными инфекциями. В 1990-е г. разработана и внедрена широкая номенклатура развлекательной пиротехники. Всего к 2000-м г. разработано и принято на вооружение более 550 наименований средств, в т.ч. более 200 пиротехнических изделий. Гражданских изделий создано и освоено в производстве более 170.</w:t>
      </w:r>
    </w:p>
    <w:p w14:paraId="7F8415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1946г. НИИ-862 - в ведении МСХМ. В 1966г. НИИ-862 переименован в НИИПХ. В 1999г. присвоен статус ФНПЦ. По Указу Президента РФ № 1009 от 4.08.2004г. вошел в число стратегических оборонных предприятий. В 2005г. в соответствии с Федеральной целевой программой, утвержденной пост, правительства № 173 от 11.10.2001г., велось создание Государственного научно-производственного комплекса (ГНПК) «Пиротехнические изделия и помеховые боеприпасы», в который должны войти: НИИПХ (головной), Краснозаводский химзавод, Чебоксарское ПО им. Чапаева и «Сигнал».</w:t>
      </w:r>
    </w:p>
    <w:p w14:paraId="094B5A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2004г. НИИПХ - головное предприятие фейерверочной промышленности России.</w:t>
      </w:r>
      <w:r w:rsidRPr="00271E51">
        <w:rPr>
          <w:rFonts w:ascii="Times New Roman" w:hAnsi="Times New Roman"/>
          <w:color w:val="000000" w:themeColor="text1"/>
          <w:sz w:val="16"/>
          <w:szCs w:val="16"/>
          <w:vertAlign w:val="superscript"/>
        </w:rPr>
        <w:t>127</w:t>
      </w:r>
      <w:r w:rsidRPr="00271E51">
        <w:rPr>
          <w:rFonts w:ascii="Times New Roman" w:hAnsi="Times New Roman"/>
          <w:color w:val="000000" w:themeColor="text1"/>
          <w:sz w:val="16"/>
          <w:szCs w:val="16"/>
        </w:rPr>
        <w:t xml:space="preserve"> Создано свыше 1000 наименований изделий.</w:t>
      </w:r>
    </w:p>
    <w:p w14:paraId="2AD1579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Совместно с ЛТИ им. Ленсовета проведена работа по созданию термоэлектрических источников тока.</w:t>
      </w:r>
    </w:p>
    <w:p w14:paraId="3C19DA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Спроектированы: линии подготовки компонентов; агрегаты смешения и грануляции составов; роторные прессы; поточная линия изготовления эластичных пиронагревателей; установки для проходного прессования; уникальная гидростатическая установка для прессования зарядов из сыпучих составов; установки для приготовления жидких и вязких композиций; оснастка для изготовления алюминиевых гильз (всего более 670 наименований оборудования).</w:t>
      </w:r>
    </w:p>
    <w:p w14:paraId="46D7A5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(2000г.): ОКР «Игрушка» по разработке ряда еврокалибров экологически чистых высотных фейерверков.</w:t>
      </w:r>
    </w:p>
    <w:p w14:paraId="5A03FC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Разработка (2005г.): пассивные тепловые ложные цели и противо-РЛ средства; дымовые маскирующие и защитные составы; средства гидроакустического противодействия; металлизированные огнесмеси, термобарические и зажигательные составы для снаряжения боеприпасов; осветительные, фотоосветительные и сигнальные средства; плазменные ложные цели; твердые пиротехнические топлива для ПВРД и гидрореактивных двигателей; источники низкотемпературного азота для систем управления и ориентации; воспламенители для РДТТ и ЖРД, средства пироавтоматики; антитеррористические средства для нейтрализации преступников; автономные пиротехнические малогабаритные источники тока; пожаротушащие аэрозоли, средства вызывания осадков; устройства для резки и сварки металлов; заряды для восстановления нефтегазовых скважин; технологии утилизации биологических объектов, вредных химических соединений; разработка приборов для оценки эффективности действия изделий и контроля качества производства; установки для исследования процессов воспламенения, горения, тепломассообмена; оборудование для определения параметров дымовых средств, оптических, микрофизических и электрофизических характеристик продуктов горения.</w:t>
      </w:r>
    </w:p>
    <w:p w14:paraId="65F447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 2005г. разработано более 450 пиротехнических изделий военного назначения.</w:t>
      </w:r>
      <w:r w:rsidRPr="00271E51">
        <w:rPr>
          <w:rFonts w:ascii="Times New Roman" w:hAnsi="Times New Roman"/>
          <w:color w:val="000000" w:themeColor="text1"/>
          <w:sz w:val="16"/>
          <w:szCs w:val="16"/>
          <w:vertAlign w:val="superscript"/>
        </w:rPr>
        <w:t>101</w:t>
      </w:r>
    </w:p>
    <w:p w14:paraId="675F7F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Институт имел (2005г.) опытное производство, экспериментальную базу, полигон.</w:t>
      </w:r>
    </w:p>
    <w:p w14:paraId="55A781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(-1945-07.1948г.)- А.П. Андрощук, (07.1948-начало 1950-х г.)- Ф.В. Козлов, (1964-90-е)- Н.А. Силин, (1994г.-)- Н.М. Вареных. Гендиректор (2004г.)- Н.М. Вареных.</w:t>
      </w:r>
    </w:p>
    <w:p w14:paraId="16328C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1-й зам. директора по НИОКР- В.Н. Емельянов. Зам. директора: по ОКР (1964г.-)- П.В. Коваленко; по научной работе (1981-89г.)- В.Д. Борисов, по НИОКР (1991г.-)- В.Н. Емельянов, А.И. Спорыхин; по производству- В.А. Подсобляев; по экономике- В.И. Нистратов; по общим вопросам- С.М. Пухович; (1964г.-)- Е.С. Шахиджанов.</w:t>
      </w:r>
    </w:p>
    <w:p w14:paraId="2C373A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инженер (-1945-07.1948г.)- А.И. Флегонтов, (07.1948-начало 1950-х г.)- И.И. Вернидуб, (1964г.-)- Е.С. Берендаков, (1997г.-)- С.М. Пухович, В.И. Подсобляев.</w:t>
      </w:r>
    </w:p>
    <w:p w14:paraId="5DDEC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 конструктор (1965г.)- Е.Д. Раков.</w:t>
      </w:r>
    </w:p>
    <w:p w14:paraId="460637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Начальники цехов: (2004г.)- П. Пороховников. Начальник ТД «Русский фейерверк»- А.В. Усилии.</w:t>
      </w:r>
    </w:p>
    <w:p w14:paraId="778F70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Начальники отделов: внедрения передовых технологий (02.1949г.-)- И.А. Челноков; реализации оружия самообороны, фейерверочных изделий и спецпродукции- И.А. </w:t>
      </w:r>
      <w:r w:rsidRPr="00271E51">
        <w:rPr>
          <w:rFonts w:ascii="Times New Roman" w:hAnsi="Times New Roman"/>
          <w:color w:val="000000" w:themeColor="text1"/>
          <w:sz w:val="16"/>
          <w:szCs w:val="16"/>
        </w:rPr>
        <w:lastRenderedPageBreak/>
        <w:t>Чупринко.</w:t>
      </w:r>
    </w:p>
    <w:p w14:paraId="54EDE7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Руководители конструкторских подразделений: В.М. Бритов, В.И. Коновалов, К.А. Митин, В.П. Чулков.</w:t>
      </w:r>
    </w:p>
    <w:p w14:paraId="45D650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Создано:</w:t>
      </w:r>
      <w:r w:rsidRPr="00271E51">
        <w:rPr>
          <w:rFonts w:ascii="Times New Roman" w:hAnsi="Times New Roman"/>
          <w:color w:val="000000" w:themeColor="text1"/>
          <w:sz w:val="16"/>
          <w:szCs w:val="16"/>
        </w:rPr>
        <w:t xml:space="preserve"> запальное устройство для ракеты «036», заряд для пирозапала к форкамерам ПВРД, АБ, дымовые и световые трассеры (для К-7), комбинированный заряд к двигателю РАТ-52, воспламенитель к РДТТ для РАТ- 52М, топливо для РДТТ; механизированная линия ЛП-1 по производству асбестовых шайб пиронагревателей для РКТ (1971); пистолеты: четырехствольный ПБ-4М с электронным воспламенением капсюля комплекса самообороны «Оса»; двуствольный ПБ-2; противоградовая ракета комплекса «Кристалл»; дымовые шашки: для борьбы с насекомыми Д-20, Г-17, нейтральные НДШ (1970-е);</w:t>
      </w:r>
      <w:r w:rsidRPr="00271E51">
        <w:rPr>
          <w:rFonts w:ascii="Times New Roman" w:hAnsi="Times New Roman"/>
          <w:iCs/>
          <w:color w:val="000000" w:themeColor="text1"/>
          <w:sz w:val="16"/>
          <w:szCs w:val="16"/>
        </w:rPr>
        <w:t xml:space="preserve"> гранаты:</w:t>
      </w:r>
      <w:r w:rsidRPr="00271E51">
        <w:rPr>
          <w:rFonts w:ascii="Times New Roman" w:hAnsi="Times New Roman"/>
          <w:color w:val="000000" w:themeColor="text1"/>
          <w:sz w:val="16"/>
          <w:szCs w:val="16"/>
        </w:rPr>
        <w:t xml:space="preserve"> ручная РГ-60ТБ; дымовые: ЗД6, ЗД6М, ЗД17, ручная РГД-М (2000-е); светозвуковые: стационарная «Пламя», ручная «Заря-2», «Взлет-М», ВГ-40СЗ (2000-е); ослепляющего и оглушающего действия ГСЗ; термобарическая ВГ-40ТБ (2000-е); фейерверочные изделия (2000-е); пожаротушащие комплектующие: пускатель автономный кнопочный ПАК, аэрозольные генераторы ПАГ-04, -0,6, -1, -1,3, -2,6; патрон для огнетушителя ГГП-5, датчик электрический тепловой ДЭТА, азотогенерирующее средство; резак пиротехнический, фальшфейер Ф-ЗК, линемет УЛМ-1 (2000-е); ракеты: сигнальные РОЗ-ЗО, РОК-ЗО, парашютная ПРБ-40, звуковая ЗРБ-40 (2000-е); буй светодымящий БСД-97 (11982).</w:t>
      </w:r>
    </w:p>
    <w:p w14:paraId="49DEBB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F6C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на площадях бывшего завода № 60 МОП был организован завод № 270 МОП.</w:t>
      </w:r>
    </w:p>
    <w:p w14:paraId="4AB87B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Основная промплощадка представляет собой в прошлом чугуно-литейный завод, основанный в 1795 году, позже в 1890-1895 гг. на его базе был организован Луганский патронный завод.</w:t>
      </w:r>
    </w:p>
    <w:p w14:paraId="2275B4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Ворошиловград, ул. Почтовая, д.1, п/я 103</w:t>
      </w:r>
    </w:p>
    <w:p w14:paraId="189183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ВОСР на базе Луганского патронного завода был организован завод № 60.</w:t>
      </w:r>
    </w:p>
    <w:p w14:paraId="2163F8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Территория завода размещается в центре города и разделена на 2 площадки (9581).</w:t>
      </w:r>
    </w:p>
    <w:p w14:paraId="134020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874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коллектив Воткинского завода продолжает наращивать выпуск противотанковых 45 мм и 76 мм пушек, корабельных орудий. Специалисты завода постоянно улучшали конструкции изделий, осваивали новые технологические процессы, что позволило, в частности, сократить цикл изготовления 45 мм пушки в 1,5 раза. В 1943 году было изготовлено 18500 пушек (9699).</w:t>
      </w:r>
    </w:p>
    <w:p w14:paraId="76D1AD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78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 взрыв на заводе N385 - именно этот номер носил Саранский механический завод. Он был оборудован английскими и американскими станками. Завод изготавливал взрыватели для снарядов, детонаторы для мин и капсюли для ручных гранат. Сборщицы осторожно завертывали головку детонатора щипцами. На эту опасную работу запрещали выходить, если при рабочем были колющие предметы, металлические украшения и даже пуговицы. Детонаторы укладывали на поднос, который уносили в отдел технического контроля. В этом отделе и произошел взрыв, в результате которого погибли 13 девушек (9682).</w:t>
      </w:r>
    </w:p>
    <w:p w14:paraId="206DEE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752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был организован завод № 608. Завод территориально расположен на левом берегу реки Вятка в 10 км на юг от Кирова, непосредственно примыкая к ст. Поздино, Горьковской ж/д.</w:t>
      </w:r>
    </w:p>
    <w:p w14:paraId="7ACE25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начат организацией в 1941 году на базе машино-монтажной мастерской Кирлестреста. В 1943 году по Постановлению НКБ № 322 от 23 марта 1943 года на площадку завода № 608 был перебазирован завод № 609, находившийся ранее в 25 км от завода № 608. К концу 1943 года завод имел 2 площадки.</w:t>
      </w:r>
    </w:p>
    <w:p w14:paraId="518DEA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Первая площадка – механическое производство.</w:t>
      </w:r>
    </w:p>
    <w:p w14:paraId="4C5D37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Вторая площадка – снаряжение гранат.</w:t>
      </w:r>
    </w:p>
    <w:p w14:paraId="2F1E9F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окончанию войны в 1945 году снаряжение прекратилось.</w:t>
      </w:r>
    </w:p>
    <w:p w14:paraId="44E60C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1950 году завод стал механическим и снаряжательным (10042).</w:t>
      </w:r>
    </w:p>
    <w:p w14:paraId="488932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200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1943г. Красно-Пресненский завод лаков и красок переименован в завод № 861 (Завод № 861 НКХП, Пресненский завод лаков и красок, Красно-Пресненский завод лаков и красок НКХП, НПО «Спектр», ЗАО «Тантал-Лакокраска»</w:t>
      </w:r>
    </w:p>
    <w:p w14:paraId="7A95F6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/123100 г. Москва 2-я Звенигородская ул., 12; 117403 г. Москва ул. Никопольская, 6 стр. 10 (2007г.) тел. (499) 795-19-98).</w:t>
      </w:r>
    </w:p>
    <w:p w14:paraId="662F4B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революции продолжен выпуск лаков, красок и эмалей, однако, из-за недостатка специалистов и сырья в годы Гражданской войны выпускалась, практически, только газетная краска. В 1922г. был проведен ремонт оборудования; заводу утверждена годовая программа, которая была успешно выполнена. В 1930-е г., ввиду расположения в центре города, было запрещено расширение и строительство новых корпусов завода. В 1938г. утвержден генплан развития завода, который предусматривал организацию новых производств светящихся и нитрокрасок. В 1940г. годовая мощность завода составляла 37260 т.</w:t>
      </w:r>
    </w:p>
    <w:p w14:paraId="3F5F00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1927г. на базе заводской лаборатории была создана первая в стране ЦНЛ по исследованию </w:t>
      </w:r>
      <w:r w:rsidRPr="00271E51">
        <w:rPr>
          <w:rFonts w:ascii="Times New Roman" w:hAnsi="Times New Roman"/>
          <w:color w:val="000000" w:themeColor="text1"/>
          <w:sz w:val="16"/>
          <w:szCs w:val="16"/>
          <w:lang w:val="en-US"/>
        </w:rPr>
        <w:t>JIKM</w:t>
      </w:r>
      <w:r w:rsidRPr="00271E51">
        <w:rPr>
          <w:rFonts w:ascii="Times New Roman" w:hAnsi="Times New Roman"/>
          <w:color w:val="000000" w:themeColor="text1"/>
          <w:sz w:val="16"/>
          <w:szCs w:val="16"/>
        </w:rPr>
        <w:t>, в 1931г. преобразованная в НИЛК.</w:t>
      </w:r>
    </w:p>
    <w:p w14:paraId="3AB337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1936г. на заводе организован цех ширпотреба, выпускавший густотертые краски, декоративную лазурь, ультрамарин, охру, литопон. В 1937г. начато освоение выпуска эмалей АД-7 и АД-8, цинкохроматных и свинцовых грунтовок, глифталевых эмалей. С 1947г. выпускалось 55 именований пентаэритритовых эмалей для авиации, сельхозтехники и широкого потребления. В 1950г. построен цех по производству новых марок синтетических смол. В 1958г. выпускалось около 400 наименований продукции, 103 из них не выпускались больше нигде в стране.</w:t>
      </w:r>
    </w:p>
    <w:p w14:paraId="085F34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09.2006г. предприятие продано ООО «Гута-инвест» и реорганизовано в ЗАО «Тантал-Лакокраска». НПФ «Спектр-Лакокраска» (бывший ГИПИ ЛКП) стала его научно-проектным подразделением. К 2007г. в соответствии с пост, правительства Москвы производство перебазировано в Бирюлево на ул. Никопольскую на площадку Бирюлевского паркетного завода («Бирпарк»); на старой площадке планировалось строительство коммерческой недвижимости.</w:t>
      </w:r>
    </w:p>
    <w:p w14:paraId="476C78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Производство (2000-е): краски и эмали: строительно-отделочные, защитные, мебельные, бактерицидные, спецназначения (термостойкие, для оптики, токопроводящие, электроизоляционные, маркировочные, для разметки дорог, эррозионностойкие, коррозионностойкие, радиопрозрачные, для неметаллов, люминофорные); лаки, грунтовки, шпатлевки.</w:t>
      </w:r>
    </w:p>
    <w:p w14:paraId="275C38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(1880-е)- около 900 чел.</w:t>
      </w:r>
    </w:p>
    <w:p w14:paraId="17FE4C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 краски:</w:t>
      </w:r>
      <w:r w:rsidRPr="00271E51">
        <w:rPr>
          <w:rFonts w:ascii="Times New Roman" w:hAnsi="Times New Roman"/>
          <w:color w:val="000000" w:themeColor="text1"/>
          <w:sz w:val="16"/>
          <w:szCs w:val="16"/>
        </w:rPr>
        <w:t xml:space="preserve"> АК-596, -1114, -1183, -5328, ВД-АК-192, -250 БИО, -0315, -1184, ХВ-589, ХП-188, ЭП- 597 (2000-е); люминофорные светящиеся ХВ-589, АК-596, ЭП-597 (2000-е);</w:t>
      </w:r>
      <w:r w:rsidRPr="00271E51">
        <w:rPr>
          <w:rFonts w:ascii="Times New Roman" w:hAnsi="Times New Roman"/>
          <w:iCs/>
          <w:color w:val="000000" w:themeColor="text1"/>
          <w:sz w:val="16"/>
          <w:szCs w:val="16"/>
        </w:rPr>
        <w:t xml:space="preserve"> эмали:</w:t>
      </w:r>
      <w:r w:rsidRPr="00271E51">
        <w:rPr>
          <w:rFonts w:ascii="Times New Roman" w:hAnsi="Times New Roman"/>
          <w:color w:val="000000" w:themeColor="text1"/>
          <w:sz w:val="16"/>
          <w:szCs w:val="16"/>
        </w:rPr>
        <w:t xml:space="preserve"> АК-512, -562, -573, -5164, - 5173, АС-131, -265, -554, -588, -599, -1115, ВЛ-297, КО-83, -84, -88, -811, -818, -828, -829, -834, -858, -859, -5125, НЦ-2192, ПФ-19М, -178, УРФ-1128, ФП-545, -5139, ХВ-5211, -7141, ХП-5237, -7120, -1267, ХС-527, -928, -973, - 5132, -5146, -5245, -5336, -7121, ЭП-91, -140, -141, -255, -293, -422, -525, -572, -595, -773, -969, -1143, -1236, -1292, -1294, -2114, -5287, -5321, -5340, -7107, ЭТ-147, ЭФ-1118 (2000-е);</w:t>
      </w:r>
      <w:r w:rsidRPr="00271E51">
        <w:rPr>
          <w:rFonts w:ascii="Times New Roman" w:hAnsi="Times New Roman"/>
          <w:iCs/>
          <w:color w:val="000000" w:themeColor="text1"/>
          <w:sz w:val="16"/>
          <w:szCs w:val="16"/>
        </w:rPr>
        <w:t xml:space="preserve"> грунтовки:</w:t>
      </w:r>
      <w:r w:rsidRPr="00271E51">
        <w:rPr>
          <w:rFonts w:ascii="Times New Roman" w:hAnsi="Times New Roman"/>
          <w:color w:val="000000" w:themeColor="text1"/>
          <w:sz w:val="16"/>
          <w:szCs w:val="16"/>
        </w:rPr>
        <w:t xml:space="preserve"> АК-0435 «Акриал-Спектр», ЭП- 0104, -0109, -0156, -0214, -0215, -0259 (2000-е), ГФ-073, ХС-04, -010, -0185, ЭФ-0137;</w:t>
      </w:r>
      <w:r w:rsidRPr="00271E51">
        <w:rPr>
          <w:rFonts w:ascii="Times New Roman" w:hAnsi="Times New Roman"/>
          <w:iCs/>
          <w:color w:val="000000" w:themeColor="text1"/>
          <w:sz w:val="16"/>
          <w:szCs w:val="16"/>
        </w:rPr>
        <w:t xml:space="preserve"> лаки:</w:t>
      </w:r>
      <w:r w:rsidRPr="00271E51">
        <w:rPr>
          <w:rFonts w:ascii="Times New Roman" w:hAnsi="Times New Roman"/>
          <w:color w:val="000000" w:themeColor="text1"/>
          <w:sz w:val="16"/>
          <w:szCs w:val="16"/>
        </w:rPr>
        <w:t xml:space="preserve"> АК-113, -593, АС- 586М, ВЛ-278, -2119, УРФ-1, ФП-112, -525, ХС-567, -761, ЭП-730; шпатлевка К0-0032; состав «Барьер-Спектр» (2000-е).</w:t>
      </w:r>
    </w:p>
    <w:p w14:paraId="11CD93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Государственный научно-исследовательский и проектный институт лакокрасочной промышленности ГИПИ-4 НКХП, МХП, Центральная научная лаборатория (ЦНЛ) ВСНХ, НИИ лаков и красок (НИЛК) ВСНХ, НКТП, Государственный институт проектирования и научно-исследовательских работ лакокрасочной промышленности («ГипроНИЛК») НКТП, НИИЛК «Гнпронилкраска» НКТП, НКХП, Государственный научно-исследовательский и проектный институт лакокрасочной промышленности (ГИПИ ЛКП) с опытным заводом, ГИПИ ЛКП-НПО «Спектр», ОАО «Научно-производственная фирма (НПФ) «Спектр ЛК»,</w:t>
      </w:r>
    </w:p>
    <w:p w14:paraId="169BA5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ООО «НПФ «Спектр-Лакокраска» /г. Ленинград; г. Челябинск; г. Ленинград; г. Москва/ /123100 г. Москва 2-я Звенигородская ул., 12; тел. (499) 795-19-98/</w:t>
      </w:r>
    </w:p>
    <w:p w14:paraId="6C1B12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ЦНЛ треста «Лакокраска» ВСНХ создана в 1927г. на базе лаборатории Пресненского завода лаков и красок. В 1931г. она преобразована в НИЛК. В 01.1934г. он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65A90E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219D5A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2C9394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34A5E0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5AA7F8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78E3E9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 1978г. институт награжден орденом Знак Почета.</w:t>
      </w:r>
    </w:p>
    <w:p w14:paraId="5A9330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5BBF1A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Разработаны: </w:t>
      </w:r>
      <w:r w:rsidRPr="00271E51">
        <w:rPr>
          <w:rFonts w:ascii="Times New Roman" w:hAnsi="Times New Roman"/>
          <w:color w:val="000000" w:themeColor="text1"/>
          <w:sz w:val="16"/>
          <w:szCs w:val="16"/>
          <w:lang w:val="en-US"/>
        </w:rPr>
        <w:t>JIKM</w:t>
      </w:r>
      <w:r w:rsidRPr="00271E51">
        <w:rPr>
          <w:rFonts w:ascii="Times New Roman" w:hAnsi="Times New Roman"/>
          <w:color w:val="000000" w:themeColor="text1"/>
          <w:sz w:val="16"/>
          <w:szCs w:val="16"/>
        </w:rPr>
        <w:t>: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w:t>
      </w:r>
      <w:r w:rsidRPr="00271E51">
        <w:rPr>
          <w:rFonts w:ascii="Times New Roman" w:hAnsi="Times New Roman"/>
          <w:color w:val="000000" w:themeColor="text1"/>
          <w:sz w:val="16"/>
          <w:szCs w:val="16"/>
          <w:vertAlign w:val="superscript"/>
        </w:rPr>
        <w:t>137</w:t>
      </w:r>
      <w:r w:rsidRPr="00271E51">
        <w:rPr>
          <w:rFonts w:ascii="Times New Roman" w:hAnsi="Times New Roman"/>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4D5D80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17213E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(1947г.)-152 чел.</w:t>
      </w:r>
    </w:p>
    <w:p w14:paraId="716BBF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(2000г.)- В.Г. Ламбрев.</w:t>
      </w:r>
    </w:p>
    <w:p w14:paraId="4DB114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Челябинский филиал ГИПИ-4 /г. Челябинск/</w:t>
      </w:r>
    </w:p>
    <w:p w14:paraId="1D5F85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749404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271E51">
        <w:rPr>
          <w:rFonts w:ascii="Times New Roman" w:hAnsi="Times New Roman"/>
          <w:color w:val="000000" w:themeColor="text1"/>
          <w:sz w:val="16"/>
          <w:szCs w:val="16"/>
          <w:vertAlign w:val="superscript"/>
        </w:rPr>
        <w:t>137</w:t>
      </w:r>
    </w:p>
    <w:p w14:paraId="6D81B4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7DE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Горьковском автозаводе на базе грузового автомобиля ГАЗ-63 была разработана и изготовлена в единст</w:t>
      </w:r>
      <w:r w:rsidRPr="00271E51">
        <w:rPr>
          <w:rFonts w:ascii="Times New Roman" w:hAnsi="Times New Roman"/>
          <w:color w:val="000000" w:themeColor="text1"/>
          <w:sz w:val="16"/>
          <w:szCs w:val="16"/>
        </w:rPr>
        <w:softHyphen/>
        <w:t>венном экземпляре полноприводная двухосная колесно-самоходная пушка КСП-76, вооруженная 76,2-мм пушкой. Первоначально предпо</w:t>
      </w:r>
      <w:r w:rsidRPr="00271E51">
        <w:rPr>
          <w:rFonts w:ascii="Times New Roman" w:hAnsi="Times New Roman"/>
          <w:color w:val="000000" w:themeColor="text1"/>
          <w:sz w:val="16"/>
          <w:szCs w:val="16"/>
        </w:rPr>
        <w:softHyphen/>
        <w:t>лагалась установка пушки ЗИС-3 на лафете полуторатонного грузового автомобиля без существенных переделок. Установка КСП-76 успешно прошла полигонные испытания, и была рекомендована к принятию на вооружение. После испытаний КСП-76 была передана в Управление самоходной артиллерией ГБТУ (10703).</w:t>
      </w:r>
    </w:p>
    <w:p w14:paraId="5CE4BB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1375C" w14:textId="77777777" w:rsidR="000A25B3" w:rsidRPr="00271E51" w:rsidRDefault="000A25B3" w:rsidP="00271E51">
      <w:pPr>
        <w:pStyle w:val="113"/>
        <w:shd w:val="clear" w:color="auto" w:fill="auto"/>
        <w:spacing w:line="240" w:lineRule="auto"/>
        <w:jc w:val="both"/>
        <w:rPr>
          <w:rFonts w:ascii="Times New Roman" w:hAnsi="Times New Roman" w:cs="Times New Roman"/>
          <w:b w:val="0"/>
          <w:color w:val="000000" w:themeColor="text1"/>
          <w:sz w:val="16"/>
          <w:szCs w:val="16"/>
        </w:rPr>
      </w:pPr>
      <w:r w:rsidRPr="00271E51">
        <w:rPr>
          <w:rFonts w:ascii="Times New Roman" w:hAnsi="Times New Roman" w:cs="Times New Roman"/>
          <w:b w:val="0"/>
          <w:color w:val="000000" w:themeColor="text1"/>
          <w:sz w:val="16"/>
          <w:szCs w:val="16"/>
        </w:rPr>
        <w:t>С 1943 г. наиболее распространенным иностранным армейским мотоциклом стал «Харлей-Давидсон» модели ША-42, объемы поставки которого составили более двух третей полученных по ленд-лизу. В официальных документах основным армейским мотоциклом Красной Армии в период Великой Отечественной войны считается М-72,</w:t>
      </w:r>
      <w:r w:rsidRPr="00271E51">
        <w:rPr>
          <w:rStyle w:val="110pt"/>
          <w:rFonts w:ascii="Times New Roman" w:hAnsi="Times New Roman" w:cs="Times New Roman"/>
          <w:b w:val="0"/>
          <w:i w:val="0"/>
          <w:color w:val="000000" w:themeColor="text1"/>
          <w:spacing w:val="0"/>
          <w:sz w:val="16"/>
          <w:szCs w:val="16"/>
        </w:rPr>
        <w:t xml:space="preserve"> однако</w:t>
      </w:r>
      <w:r w:rsidRPr="00271E51">
        <w:rPr>
          <w:rFonts w:ascii="Times New Roman" w:hAnsi="Times New Roman" w:cs="Times New Roman"/>
          <w:b w:val="0"/>
          <w:color w:val="000000" w:themeColor="text1"/>
          <w:sz w:val="16"/>
          <w:szCs w:val="16"/>
        </w:rPr>
        <w:t xml:space="preserve"> за все эти годы в СССР выпусти</w:t>
      </w:r>
      <w:r w:rsidRPr="00271E51">
        <w:rPr>
          <w:rFonts w:ascii="Times New Roman" w:hAnsi="Times New Roman" w:cs="Times New Roman"/>
          <w:b w:val="0"/>
          <w:color w:val="000000" w:themeColor="text1"/>
          <w:sz w:val="16"/>
          <w:szCs w:val="16"/>
        </w:rPr>
        <w:softHyphen/>
        <w:t>ли порядка 17 тыс. мотоциклов - существенно меньше, чем получили от союзников (15769).</w:t>
      </w:r>
    </w:p>
    <w:p w14:paraId="39E5907A" w14:textId="77777777" w:rsidR="000A25B3" w:rsidRPr="00271E51" w:rsidRDefault="000A25B3" w:rsidP="00271E51">
      <w:pPr>
        <w:pStyle w:val="113"/>
        <w:shd w:val="clear" w:color="auto" w:fill="auto"/>
        <w:spacing w:line="240" w:lineRule="auto"/>
        <w:jc w:val="both"/>
        <w:rPr>
          <w:rFonts w:ascii="Times New Roman" w:hAnsi="Times New Roman" w:cs="Times New Roman"/>
          <w:b w:val="0"/>
          <w:color w:val="000000" w:themeColor="text1"/>
          <w:sz w:val="16"/>
          <w:szCs w:val="16"/>
        </w:rPr>
      </w:pPr>
    </w:p>
    <w:p w14:paraId="36E459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на Серпуховском мотозаводе собрали 293 мотоцикла «Indian» марки 741-В с коляской от М-72, а в 1943-1944 гг. - 681 «одиноч­ку» той же марки. На ММЗ «свинтили» немало «одино­чек»: в 1943-1944 гг. - 1581 «Indian», в 1944-1945 гг. -1589 «Harley-Davidson», в 1944 г. - 41 «Velocette», 109 «BSA» и даже 7 мотоциклов «Matchless». На ХВЗ в 1944 г. собрали 394 «BSA», 48 «Velocette» и 13 «Matchless». Мотоциклы-одиночки собирали и в Наркомате оборо­ны (НКО), и в Красной Армии: на складах НКО № 511, 942 и 3708 в 1942-1943 гг. собрали 871 «Indian», в 1942-1944 гг. - 2294 «Velocette», в 1944 г. - 56 «BSA» и 11 «Matchless». А в 14-м и 15-м мотоциклетных учеб­ных полках в 1943 г. собрали 648 «Indian». По данным ГБТУ в Красную Армию всего передали 27690 импортных мотоциклов. Из них - 11642 с коля­сками и 18048 - «одиночек». Кроме того, на ММЗ и Серпуховском мотозаводе во время войны отремонтировали и передали в войска несколько тысяч трофейных мотоциклов (11290).</w:t>
      </w:r>
    </w:p>
    <w:p w14:paraId="71562A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D05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выпуск мотоциклов на ГМЗ и ТМЗ несколько снизился, а на ИМЗ вырос. Возросли поставки мотоциклов по Ленд-лизу, объемы ремонтируемой трофейной мототехники сни</w:t>
      </w:r>
      <w:r w:rsidRPr="00271E51">
        <w:rPr>
          <w:rFonts w:ascii="Times New Roman" w:hAnsi="Times New Roman"/>
          <w:color w:val="000000" w:themeColor="text1"/>
          <w:sz w:val="16"/>
          <w:szCs w:val="16"/>
        </w:rPr>
        <w:softHyphen/>
        <w:t>зились. В целом количество поставляемых на фронт мотоциклов увеличилось, что положительно сказалось на успехах Красной Армии.</w:t>
      </w:r>
    </w:p>
    <w:p w14:paraId="35BCAC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мотоцик</w:t>
      </w:r>
      <w:r w:rsidRPr="00271E51">
        <w:rPr>
          <w:rFonts w:ascii="Times New Roman" w:hAnsi="Times New Roman"/>
          <w:color w:val="000000" w:themeColor="text1"/>
          <w:sz w:val="16"/>
          <w:szCs w:val="16"/>
        </w:rPr>
        <w:softHyphen/>
        <w:t>лов на ТМЗ постепенно сокращался из-за уменьшения объема «незавершенки» с ТИЗа для мотоциклов АМ-600. В 1943 году коллектив ТМЗ передал в Красную Армию 427 мотоциклов АМ-600 при плане 1000, см. табл. 22 [5.20]. Цифру 427 подтвер</w:t>
      </w:r>
      <w:r w:rsidRPr="00271E51">
        <w:rPr>
          <w:rFonts w:ascii="Times New Roman" w:hAnsi="Times New Roman"/>
          <w:color w:val="000000" w:themeColor="text1"/>
          <w:sz w:val="16"/>
          <w:szCs w:val="16"/>
        </w:rPr>
        <w:softHyphen/>
        <w:t>ждает срочный ежемесячный отчет ТМЗ о выполнении плана за ноябрь 1943 года [5.58].</w:t>
      </w:r>
    </w:p>
    <w:p w14:paraId="223296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изготовления плановых мотоциклов марки АМ-600 на ТМЗ 600 выполняли и другие работы по мотоциклостроению. Так, во 2-м квартале 1942 г. начали изготавливать оснастку для производства экипажной части мотоцикла М-72 [5.59] и продол</w:t>
      </w:r>
      <w:r w:rsidRPr="00271E51">
        <w:rPr>
          <w:rFonts w:ascii="Times New Roman" w:hAnsi="Times New Roman"/>
          <w:color w:val="000000" w:themeColor="text1"/>
          <w:sz w:val="16"/>
          <w:szCs w:val="16"/>
        </w:rPr>
        <w:softHyphen/>
        <w:t>жили в 1943 г., а также изготовили опытный экземпляр нового мотоцикла ТМЗ-53 [5.60].</w:t>
      </w:r>
    </w:p>
    <w:p w14:paraId="09BAD0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Продолжить на ТМЗ выпуск мотоциклов АМ-600 представля</w:t>
      </w:r>
      <w:r w:rsidRPr="00271E51">
        <w:rPr>
          <w:rFonts w:ascii="Times New Roman" w:hAnsi="Times New Roman"/>
          <w:color w:val="000000" w:themeColor="text1"/>
          <w:sz w:val="16"/>
          <w:szCs w:val="16"/>
        </w:rPr>
        <w:softHyphen/>
        <w:t>лось трудной задачей. Заканчивалась «незавершенка», не снижа</w:t>
      </w:r>
      <w:r w:rsidRPr="00271E51">
        <w:rPr>
          <w:rFonts w:ascii="Times New Roman" w:hAnsi="Times New Roman"/>
          <w:color w:val="000000" w:themeColor="text1"/>
          <w:sz w:val="16"/>
          <w:szCs w:val="16"/>
        </w:rPr>
        <w:softHyphen/>
        <w:t>лись трудности поставок деталей с других предприятий, росла по</w:t>
      </w:r>
      <w:r w:rsidRPr="00271E51">
        <w:rPr>
          <w:rFonts w:ascii="Times New Roman" w:hAnsi="Times New Roman"/>
          <w:color w:val="000000" w:themeColor="text1"/>
          <w:sz w:val="16"/>
          <w:szCs w:val="16"/>
        </w:rPr>
        <w:softHyphen/>
        <w:t>требность выпуска на заводе другой военной продукции. К тому же поставки мотоциклов по Ленд-лизу значительно превосходили выпуск АМ-600 на ТМЗ. В сложившейся ситуации оказалась це</w:t>
      </w:r>
      <w:r w:rsidRPr="00271E51">
        <w:rPr>
          <w:rFonts w:ascii="Times New Roman" w:hAnsi="Times New Roman"/>
          <w:color w:val="000000" w:themeColor="text1"/>
          <w:sz w:val="16"/>
          <w:szCs w:val="16"/>
        </w:rPr>
        <w:softHyphen/>
        <w:t>лесообразным свернуть производство мотоциклов на ТМЗ и пе</w:t>
      </w:r>
      <w:r w:rsidRPr="00271E51">
        <w:rPr>
          <w:rFonts w:ascii="Times New Roman" w:hAnsi="Times New Roman"/>
          <w:color w:val="000000" w:themeColor="text1"/>
          <w:sz w:val="16"/>
          <w:szCs w:val="16"/>
        </w:rPr>
        <w:softHyphen/>
        <w:t>реориентировать завод на изготовление другой продукции. С це</w:t>
      </w:r>
      <w:r w:rsidRPr="00271E51">
        <w:rPr>
          <w:rFonts w:ascii="Times New Roman" w:hAnsi="Times New Roman"/>
          <w:color w:val="000000" w:themeColor="text1"/>
          <w:sz w:val="16"/>
          <w:szCs w:val="16"/>
        </w:rPr>
        <w:softHyphen/>
        <w:t>лью исполнения этого замысла вышло Постановление № 4531с ГКО от 11 ноября 1943 г. «О слиянии Тюменского и Горьковского заводов НКСМ», в котором директору ТМЗ предписывалось до 15 декабря 1943 г. обеспечить перевозку оборудования и пер</w:t>
      </w:r>
      <w:r w:rsidRPr="00271E51">
        <w:rPr>
          <w:rFonts w:ascii="Times New Roman" w:hAnsi="Times New Roman"/>
          <w:color w:val="000000" w:themeColor="text1"/>
          <w:sz w:val="16"/>
          <w:szCs w:val="16"/>
        </w:rPr>
        <w:softHyphen/>
        <w:t>сонала с ТМЗ на ГМЗ. Выделили 60 железнодорожных вагонов для доставки в Горький оборудования и сотрудников с ТМЗ и ещё 60 для перевозки туда же со станции Шатки стандартных домов для размещения в них персонала ТМЗ [5.61]. К концу 1943 г. обо</w:t>
      </w:r>
      <w:r w:rsidRPr="00271E51">
        <w:rPr>
          <w:rFonts w:ascii="Times New Roman" w:hAnsi="Times New Roman"/>
          <w:color w:val="000000" w:themeColor="text1"/>
          <w:sz w:val="16"/>
          <w:szCs w:val="16"/>
        </w:rPr>
        <w:softHyphen/>
        <w:t>рудование и людей с ТМЗ переправили на новое место назначе</w:t>
      </w:r>
      <w:r w:rsidRPr="00271E51">
        <w:rPr>
          <w:rFonts w:ascii="Times New Roman" w:hAnsi="Times New Roman"/>
          <w:color w:val="000000" w:themeColor="text1"/>
          <w:sz w:val="16"/>
          <w:szCs w:val="16"/>
        </w:rPr>
        <w:softHyphen/>
        <w:t>ния, и на этом история Тюменского мотоциклетного завода за</w:t>
      </w:r>
      <w:r w:rsidRPr="00271E51">
        <w:rPr>
          <w:rFonts w:ascii="Times New Roman" w:hAnsi="Times New Roman"/>
          <w:color w:val="000000" w:themeColor="text1"/>
          <w:sz w:val="16"/>
          <w:szCs w:val="16"/>
        </w:rPr>
        <w:softHyphen/>
        <w:t>вершилась. За период с 13 декабря 1941 г. по 26 октября 1943 г. в разное время директорами ТМЗ работали И.М. Мизрухин [5.62], Г.Д. Ударов [5.63] и И.З. Соколов [5.64].</w:t>
      </w:r>
    </w:p>
    <w:p w14:paraId="5ED88C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22</w:t>
      </w:r>
    </w:p>
    <w:p w14:paraId="3481A9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Объемы поставок мотоциклов в Красную Армию, 1943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84"/>
        <w:gridCol w:w="1200"/>
        <w:gridCol w:w="1200"/>
        <w:gridCol w:w="1200"/>
        <w:gridCol w:w="1171"/>
      </w:tblGrid>
      <w:tr w:rsidR="00A907A5" w:rsidRPr="00271E51" w14:paraId="5DEE1DF1" w14:textId="77777777" w:rsidTr="00ED5B0A">
        <w:trPr>
          <w:trHeight w:val="384"/>
        </w:trPr>
        <w:tc>
          <w:tcPr>
            <w:tcW w:w="1584" w:type="dxa"/>
            <w:tcBorders>
              <w:top w:val="single" w:sz="12" w:space="0" w:color="auto"/>
            </w:tcBorders>
          </w:tcPr>
          <w:p w14:paraId="6D5A6B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Месяц</w:t>
            </w:r>
          </w:p>
          <w:p w14:paraId="40EAD4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BDB09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ТМЗ</w:t>
            </w:r>
          </w:p>
          <w:p w14:paraId="6D1132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47B95A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ГМЗ</w:t>
            </w:r>
          </w:p>
          <w:p w14:paraId="2CD9D1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3B35F7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ИМЗ</w:t>
            </w:r>
          </w:p>
          <w:p w14:paraId="205A50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12" w:space="0" w:color="auto"/>
            </w:tcBorders>
          </w:tcPr>
          <w:p w14:paraId="43D0FA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p w14:paraId="433832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745F8D" w14:textId="77777777" w:rsidTr="00ED5B0A">
        <w:trPr>
          <w:trHeight w:val="365"/>
        </w:trPr>
        <w:tc>
          <w:tcPr>
            <w:tcW w:w="1584" w:type="dxa"/>
          </w:tcPr>
          <w:p w14:paraId="12FF97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5CE6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100C1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АМ-600</w:t>
            </w:r>
          </w:p>
          <w:p w14:paraId="451CBB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A58AB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AC84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36C3B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М-72</w:t>
            </w:r>
          </w:p>
          <w:p w14:paraId="3A342B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7E717F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3572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3D2B65" w14:textId="77777777" w:rsidTr="00ED5B0A">
        <w:trPr>
          <w:trHeight w:val="394"/>
        </w:trPr>
        <w:tc>
          <w:tcPr>
            <w:tcW w:w="1584" w:type="dxa"/>
          </w:tcPr>
          <w:p w14:paraId="4F8259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p w14:paraId="56AD5C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3CB12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30A0FE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B5A46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w:t>
            </w:r>
          </w:p>
          <w:p w14:paraId="41489C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AB4C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133</w:t>
            </w:r>
          </w:p>
          <w:p w14:paraId="5B9A25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439699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w:t>
            </w:r>
          </w:p>
          <w:p w14:paraId="0385CE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529B34" w14:textId="77777777" w:rsidTr="00ED5B0A">
        <w:trPr>
          <w:trHeight w:val="240"/>
        </w:trPr>
        <w:tc>
          <w:tcPr>
            <w:tcW w:w="1584" w:type="dxa"/>
          </w:tcPr>
          <w:p w14:paraId="28B6A7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02456D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C8241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p w14:paraId="6C0AA5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F83B2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p w14:paraId="2A6E1B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D1D8D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51C9DD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483645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w:t>
            </w:r>
          </w:p>
          <w:p w14:paraId="65090D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2684B2" w14:textId="77777777" w:rsidTr="00ED5B0A">
        <w:trPr>
          <w:trHeight w:val="240"/>
        </w:trPr>
        <w:tc>
          <w:tcPr>
            <w:tcW w:w="1584" w:type="dxa"/>
          </w:tcPr>
          <w:p w14:paraId="2718DB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p w14:paraId="7FA4E8A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47D8B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w:t>
            </w:r>
          </w:p>
          <w:p w14:paraId="0F5344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8721C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p w14:paraId="1CBCDC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4603D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w:t>
            </w:r>
          </w:p>
          <w:p w14:paraId="4B18A8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0C15F0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w:t>
            </w:r>
          </w:p>
          <w:p w14:paraId="40A90B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5063CFA" w14:textId="77777777" w:rsidTr="00ED5B0A">
        <w:trPr>
          <w:trHeight w:val="240"/>
        </w:trPr>
        <w:tc>
          <w:tcPr>
            <w:tcW w:w="1584" w:type="dxa"/>
          </w:tcPr>
          <w:p w14:paraId="50BD6F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p w14:paraId="0E5F6C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DC183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w:t>
            </w:r>
          </w:p>
          <w:p w14:paraId="03E519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71030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w:t>
            </w:r>
          </w:p>
          <w:p w14:paraId="131C836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7EAE1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w:t>
            </w:r>
          </w:p>
          <w:p w14:paraId="18D659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723FF3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258</w:t>
            </w:r>
          </w:p>
          <w:p w14:paraId="1A6B64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25F18E" w14:textId="77777777" w:rsidTr="00ED5B0A">
        <w:trPr>
          <w:trHeight w:val="221"/>
        </w:trPr>
        <w:tc>
          <w:tcPr>
            <w:tcW w:w="1584" w:type="dxa"/>
          </w:tcPr>
          <w:p w14:paraId="7B5E01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p w14:paraId="6059A0C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97A30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FB617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7C1AE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p w14:paraId="3C4C79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CD203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w:t>
            </w:r>
          </w:p>
          <w:p w14:paraId="7FCEB0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3757E7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p w14:paraId="42579C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FD5B3B" w14:textId="77777777" w:rsidTr="00ED5B0A">
        <w:trPr>
          <w:trHeight w:val="240"/>
        </w:trPr>
        <w:tc>
          <w:tcPr>
            <w:tcW w:w="1584" w:type="dxa"/>
          </w:tcPr>
          <w:p w14:paraId="68B0B3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w:t>
            </w:r>
          </w:p>
          <w:p w14:paraId="5DD295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2B49E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163838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5D4B9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p w14:paraId="4CE56F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00FE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w:t>
            </w:r>
          </w:p>
          <w:p w14:paraId="5626A0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22FAC5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w:t>
            </w:r>
          </w:p>
          <w:p w14:paraId="096B43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2D3A5F" w14:textId="77777777" w:rsidTr="00ED5B0A">
        <w:trPr>
          <w:trHeight w:val="240"/>
        </w:trPr>
        <w:tc>
          <w:tcPr>
            <w:tcW w:w="1584" w:type="dxa"/>
          </w:tcPr>
          <w:p w14:paraId="7CA1DB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w:t>
            </w:r>
          </w:p>
          <w:p w14:paraId="68733F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8672C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w:t>
            </w:r>
          </w:p>
          <w:p w14:paraId="190FE6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217ED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148</w:t>
            </w:r>
          </w:p>
          <w:p w14:paraId="3AFC12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36C7E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303</w:t>
            </w:r>
          </w:p>
          <w:p w14:paraId="244A5C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53DE24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533</w:t>
            </w:r>
          </w:p>
          <w:p w14:paraId="0C3CBD0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157A69" w14:textId="77777777" w:rsidTr="00ED5B0A">
        <w:trPr>
          <w:trHeight w:val="259"/>
        </w:trPr>
        <w:tc>
          <w:tcPr>
            <w:tcW w:w="1584" w:type="dxa"/>
          </w:tcPr>
          <w:p w14:paraId="0F250D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w:t>
            </w:r>
          </w:p>
          <w:p w14:paraId="1B7665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81987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w:t>
            </w:r>
          </w:p>
          <w:p w14:paraId="76659BC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31513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4A8F89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F92A0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240</w:t>
            </w:r>
          </w:p>
          <w:p w14:paraId="37360F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30053C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410</w:t>
            </w:r>
          </w:p>
          <w:p w14:paraId="53EE67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52D802" w14:textId="77777777" w:rsidTr="00ED5B0A">
        <w:trPr>
          <w:trHeight w:val="240"/>
        </w:trPr>
        <w:tc>
          <w:tcPr>
            <w:tcW w:w="1584" w:type="dxa"/>
          </w:tcPr>
          <w:p w14:paraId="5F05F8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w:t>
            </w:r>
          </w:p>
          <w:p w14:paraId="031704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50313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021113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42E0C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55A82C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FCD6A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260</w:t>
            </w:r>
          </w:p>
          <w:p w14:paraId="768C0E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76057C3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360</w:t>
            </w:r>
          </w:p>
          <w:p w14:paraId="4B7A5D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509079" w14:textId="77777777" w:rsidTr="00ED5B0A">
        <w:trPr>
          <w:trHeight w:val="240"/>
        </w:trPr>
        <w:tc>
          <w:tcPr>
            <w:tcW w:w="1584" w:type="dxa"/>
          </w:tcPr>
          <w:p w14:paraId="7535A0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w:t>
            </w:r>
          </w:p>
          <w:p w14:paraId="255E8E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79B44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p w14:paraId="5AACF1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7C43A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w:t>
            </w:r>
          </w:p>
          <w:p w14:paraId="7E159B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E0B6F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192</w:t>
            </w:r>
          </w:p>
          <w:p w14:paraId="37D26E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1EDAB22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353</w:t>
            </w:r>
          </w:p>
          <w:p w14:paraId="46F281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AD3651" w14:textId="77777777" w:rsidTr="00ED5B0A">
        <w:trPr>
          <w:trHeight w:val="250"/>
        </w:trPr>
        <w:tc>
          <w:tcPr>
            <w:tcW w:w="1584" w:type="dxa"/>
          </w:tcPr>
          <w:p w14:paraId="0DC368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w:t>
            </w:r>
          </w:p>
          <w:p w14:paraId="1C9530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28055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w:t>
            </w:r>
          </w:p>
          <w:p w14:paraId="306A04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E4900A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01ABD2C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7C0EAC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146</w:t>
            </w:r>
          </w:p>
          <w:p w14:paraId="7EFC15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27D024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w:t>
            </w:r>
          </w:p>
          <w:p w14:paraId="771C3F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673DABC" w14:textId="77777777" w:rsidTr="00ED5B0A">
        <w:trPr>
          <w:trHeight w:val="269"/>
        </w:trPr>
        <w:tc>
          <w:tcPr>
            <w:tcW w:w="1584" w:type="dxa"/>
          </w:tcPr>
          <w:p w14:paraId="3D0976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Декабрь</w:t>
            </w:r>
          </w:p>
          <w:p w14:paraId="2F1B90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F82CE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83D80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A89E1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p w14:paraId="368F18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AB026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328</w:t>
            </w:r>
          </w:p>
          <w:p w14:paraId="42C243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Pr>
          <w:p w14:paraId="31A4BC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488</w:t>
            </w:r>
          </w:p>
          <w:p w14:paraId="17EDBC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9A2C64" w14:textId="77777777" w:rsidTr="00ED5B0A">
        <w:trPr>
          <w:trHeight w:val="442"/>
        </w:trPr>
        <w:tc>
          <w:tcPr>
            <w:tcW w:w="1584" w:type="dxa"/>
            <w:tcBorders>
              <w:bottom w:val="single" w:sz="12" w:space="0" w:color="auto"/>
            </w:tcBorders>
          </w:tcPr>
          <w:p w14:paraId="759B0D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585C12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F3447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427</w:t>
            </w:r>
          </w:p>
          <w:p w14:paraId="73B5A8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1B0942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1126</w:t>
            </w:r>
          </w:p>
          <w:p w14:paraId="4D47B6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32212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2207</w:t>
            </w:r>
          </w:p>
          <w:p w14:paraId="5D348EF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bottom w:val="single" w:sz="12" w:space="0" w:color="auto"/>
            </w:tcBorders>
          </w:tcPr>
          <w:p w14:paraId="445E1C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3760</w:t>
            </w:r>
          </w:p>
          <w:p w14:paraId="696DF6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7A5C5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(11429).</w:t>
      </w:r>
    </w:p>
    <w:p w14:paraId="3DA522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9799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фонды и численность персонала ГМЗ выросли, что способствовало росту выпуска мотоциклов. Существовали мешавшие этому факторы. ГМЗ сложился как за</w:t>
      </w:r>
      <w:r w:rsidRPr="00271E51">
        <w:rPr>
          <w:rFonts w:ascii="Times New Roman" w:hAnsi="Times New Roman"/>
          <w:color w:val="000000" w:themeColor="text1"/>
          <w:sz w:val="16"/>
          <w:szCs w:val="16"/>
        </w:rPr>
        <w:softHyphen/>
        <w:t>вод, изготавливающий мотоциклы с двигателями, поставляемы</w:t>
      </w:r>
      <w:r w:rsidRPr="00271E51">
        <w:rPr>
          <w:rFonts w:ascii="Times New Roman" w:hAnsi="Times New Roman"/>
          <w:color w:val="000000" w:themeColor="text1"/>
          <w:sz w:val="16"/>
          <w:szCs w:val="16"/>
        </w:rPr>
        <w:softHyphen/>
        <w:t>ми сторонними организациями. Уже в 1942 году выяснилось, что двигателей будет недоставать для выполнения плана (требова</w:t>
      </w:r>
      <w:r w:rsidRPr="00271E51">
        <w:rPr>
          <w:rFonts w:ascii="Times New Roman" w:hAnsi="Times New Roman"/>
          <w:color w:val="000000" w:themeColor="text1"/>
          <w:sz w:val="16"/>
          <w:szCs w:val="16"/>
        </w:rPr>
        <w:softHyphen/>
        <w:t>лось 1200, но на ГМЗ могли сделать только 300, полагая, что 900 поставят сторонние организации) и потребуется осваивать из</w:t>
      </w:r>
      <w:r w:rsidRPr="00271E51">
        <w:rPr>
          <w:rFonts w:ascii="Times New Roman" w:hAnsi="Times New Roman"/>
          <w:color w:val="000000" w:themeColor="text1"/>
          <w:sz w:val="16"/>
          <w:szCs w:val="16"/>
        </w:rPr>
        <w:softHyphen/>
        <w:t>готовление этих агрегатов на ГМЗ [5.26]. В 1943 году ГМЗ при</w:t>
      </w:r>
      <w:r w:rsidRPr="00271E51">
        <w:rPr>
          <w:rFonts w:ascii="Times New Roman" w:hAnsi="Times New Roman"/>
          <w:color w:val="000000" w:themeColor="text1"/>
          <w:sz w:val="16"/>
          <w:szCs w:val="16"/>
        </w:rPr>
        <w:softHyphen/>
        <w:t>шлось почти полностью перейти на выпуск мотоциклов с собст</w:t>
      </w:r>
      <w:r w:rsidRPr="00271E51">
        <w:rPr>
          <w:rFonts w:ascii="Times New Roman" w:hAnsi="Times New Roman"/>
          <w:color w:val="000000" w:themeColor="text1"/>
          <w:sz w:val="16"/>
          <w:szCs w:val="16"/>
        </w:rPr>
        <w:softHyphen/>
        <w:t>венными двигателями, однако, ресурсы для этого оказались огра</w:t>
      </w:r>
      <w:r w:rsidRPr="00271E51">
        <w:rPr>
          <w:rFonts w:ascii="Times New Roman" w:hAnsi="Times New Roman"/>
          <w:color w:val="000000" w:themeColor="text1"/>
          <w:sz w:val="16"/>
          <w:szCs w:val="16"/>
        </w:rPr>
        <w:softHyphen/>
        <w:t>ниченными, поэтому в первом квартале 1943 г. руководство ГМЗ планировало 73% необходимого количества двигателей получить со стороны [5.66]. Подобное происходило и в дальнейшем. В 1943 году ГМЗ по крайней мере ещё трижды удавалось полу</w:t>
      </w:r>
      <w:r w:rsidRPr="00271E51">
        <w:rPr>
          <w:rFonts w:ascii="Times New Roman" w:hAnsi="Times New Roman"/>
          <w:color w:val="000000" w:themeColor="text1"/>
          <w:sz w:val="16"/>
          <w:szCs w:val="16"/>
        </w:rPr>
        <w:softHyphen/>
        <w:t>чить двигатели со стороны: в июне - 150, в июле - 200 и в сентя</w:t>
      </w:r>
      <w:r w:rsidRPr="00271E51">
        <w:rPr>
          <w:rFonts w:ascii="Times New Roman" w:hAnsi="Times New Roman"/>
          <w:color w:val="000000" w:themeColor="text1"/>
          <w:sz w:val="16"/>
          <w:szCs w:val="16"/>
        </w:rPr>
        <w:softHyphen/>
        <w:t>бре - 225, всего - 575 экземпляров [5.67]. Из-за дефицита двига</w:t>
      </w:r>
      <w:r w:rsidRPr="00271E51">
        <w:rPr>
          <w:rFonts w:ascii="Times New Roman" w:hAnsi="Times New Roman"/>
          <w:color w:val="000000" w:themeColor="text1"/>
          <w:sz w:val="16"/>
          <w:szCs w:val="16"/>
        </w:rPr>
        <w:softHyphen/>
        <w:t>телей, при плане на 1943 г. изготовить 2500 мотоциклов, сделали только 1146 [5.68], что несколько меньше выпуска в 1942 г. - 1273 [5.69]. Помесячное изготовление мотоциклов на ГМЗ в 1943 г. приведено в табл. 23 [5.70].</w:t>
      </w:r>
    </w:p>
    <w:p w14:paraId="69298D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ГМЗ продолжали наращивать выпуск собственных двига</w:t>
      </w:r>
      <w:r w:rsidRPr="00271E51">
        <w:rPr>
          <w:rFonts w:ascii="Times New Roman" w:hAnsi="Times New Roman"/>
          <w:color w:val="000000" w:themeColor="text1"/>
          <w:sz w:val="16"/>
          <w:szCs w:val="16"/>
        </w:rPr>
        <w:softHyphen/>
        <w:t>телей и с этой целью изыскивали пути увеличения технологиче</w:t>
      </w:r>
      <w:r w:rsidRPr="00271E51">
        <w:rPr>
          <w:rFonts w:ascii="Times New Roman" w:hAnsi="Times New Roman"/>
          <w:color w:val="000000" w:themeColor="text1"/>
          <w:sz w:val="16"/>
          <w:szCs w:val="16"/>
        </w:rPr>
        <w:softHyphen/>
        <w:t>ского оборудования. С этой целью руководство ГМЗ обратилось к начальнику НКСМ С.А. Акопову с просьбой о передаче с ГАЗа 50 станков, полученных от ЛМЗ при эвакуации оборудования [5.71]. Это удалось сделать [5.72], причём, в дополнение началь</w:t>
      </w:r>
      <w:r w:rsidRPr="00271E51">
        <w:rPr>
          <w:rFonts w:ascii="Times New Roman" w:hAnsi="Times New Roman"/>
          <w:color w:val="000000" w:themeColor="text1"/>
          <w:sz w:val="16"/>
          <w:szCs w:val="16"/>
        </w:rPr>
        <w:softHyphen/>
        <w:t>ник НКСМ распорядился о передаче в ведение ГМЗ корпуса, строившегося на территории завода «Красная Этна» [5.73], в котором силами сотрудников ГМЗ приказал провести подгото</w:t>
      </w:r>
      <w:r w:rsidRPr="00271E51">
        <w:rPr>
          <w:rFonts w:ascii="Times New Roman" w:hAnsi="Times New Roman"/>
          <w:color w:val="000000" w:themeColor="text1"/>
          <w:sz w:val="16"/>
          <w:szCs w:val="16"/>
        </w:rPr>
        <w:softHyphen/>
        <w:t>вительные работы к приему оборудования с ГАЗ и ТМЗ [5.74]. В 1943 году были и другие причины для невыполнения плана.</w:t>
      </w:r>
    </w:p>
    <w:p w14:paraId="7A1A38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23 Помесячный выпуск мотоциклов на ГМЗ, 1943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200"/>
        <w:gridCol w:w="1440"/>
        <w:gridCol w:w="1459"/>
      </w:tblGrid>
      <w:tr w:rsidR="00A907A5" w:rsidRPr="00271E51" w14:paraId="7878E89D" w14:textId="77777777" w:rsidTr="00ED5B0A">
        <w:trPr>
          <w:trHeight w:val="384"/>
        </w:trPr>
        <w:tc>
          <w:tcPr>
            <w:tcW w:w="1574" w:type="dxa"/>
            <w:tcBorders>
              <w:top w:val="single" w:sz="12" w:space="0" w:color="auto"/>
            </w:tcBorders>
          </w:tcPr>
          <w:p w14:paraId="5AEE552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Месяц</w:t>
            </w:r>
          </w:p>
          <w:p w14:paraId="0445DD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74EC4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 шт.</w:t>
            </w:r>
          </w:p>
          <w:p w14:paraId="73E29A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12" w:space="0" w:color="auto"/>
            </w:tcBorders>
          </w:tcPr>
          <w:p w14:paraId="575814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 шт.</w:t>
            </w:r>
          </w:p>
          <w:p w14:paraId="690B5E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12" w:space="0" w:color="auto"/>
            </w:tcBorders>
          </w:tcPr>
          <w:p w14:paraId="742C0E9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 %</w:t>
            </w:r>
          </w:p>
          <w:p w14:paraId="5938F0C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451987E" w14:textId="77777777" w:rsidTr="00ED5B0A">
        <w:trPr>
          <w:trHeight w:val="394"/>
        </w:trPr>
        <w:tc>
          <w:tcPr>
            <w:tcW w:w="1574" w:type="dxa"/>
          </w:tcPr>
          <w:p w14:paraId="5180BA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p w14:paraId="52792C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DBCE5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22B487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2B452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p w14:paraId="5ACFB1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6CDC6A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33,3</w:t>
            </w:r>
          </w:p>
          <w:p w14:paraId="5EDFA1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BB15D11" w14:textId="77777777" w:rsidTr="00ED5B0A">
        <w:trPr>
          <w:trHeight w:val="240"/>
        </w:trPr>
        <w:tc>
          <w:tcPr>
            <w:tcW w:w="1574" w:type="dxa"/>
          </w:tcPr>
          <w:p w14:paraId="0953E1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71F55F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D5964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175</w:t>
            </w:r>
          </w:p>
          <w:p w14:paraId="1981E3F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7143F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p w14:paraId="4ED6A12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1AF0E6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26CC6E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7354C3C" w14:textId="77777777" w:rsidTr="00ED5B0A">
        <w:trPr>
          <w:trHeight w:val="240"/>
        </w:trPr>
        <w:tc>
          <w:tcPr>
            <w:tcW w:w="1574" w:type="dxa"/>
          </w:tcPr>
          <w:p w14:paraId="2E4C12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p w14:paraId="3778CE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0A57A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325</w:t>
            </w:r>
          </w:p>
          <w:p w14:paraId="574F2A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31422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p w14:paraId="0689E3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72FBE5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p w14:paraId="449C9C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22DD135" w14:textId="77777777" w:rsidTr="00ED5B0A">
        <w:trPr>
          <w:trHeight w:val="240"/>
        </w:trPr>
        <w:tc>
          <w:tcPr>
            <w:tcW w:w="1574" w:type="dxa"/>
          </w:tcPr>
          <w:p w14:paraId="62BA6A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p w14:paraId="248BB6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ED3FA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w:t>
            </w:r>
          </w:p>
          <w:p w14:paraId="453EAC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06A22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144</w:t>
            </w:r>
          </w:p>
          <w:p w14:paraId="52C00B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2C89EF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116,1</w:t>
            </w:r>
          </w:p>
          <w:p w14:paraId="42C387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6FCAC6D" w14:textId="77777777" w:rsidTr="00ED5B0A">
        <w:trPr>
          <w:trHeight w:val="221"/>
        </w:trPr>
        <w:tc>
          <w:tcPr>
            <w:tcW w:w="1574" w:type="dxa"/>
          </w:tcPr>
          <w:p w14:paraId="12BFBB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p w14:paraId="6095FB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4EE7E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7C6E3E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5552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50</w:t>
            </w:r>
          </w:p>
          <w:p w14:paraId="6059D4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7134BD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p w14:paraId="0F687F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6BD94A6" w14:textId="77777777" w:rsidTr="00ED5B0A">
        <w:trPr>
          <w:trHeight w:val="240"/>
        </w:trPr>
        <w:tc>
          <w:tcPr>
            <w:tcW w:w="1574" w:type="dxa"/>
          </w:tcPr>
          <w:p w14:paraId="166FA5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w:t>
            </w:r>
          </w:p>
          <w:p w14:paraId="542224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CCF82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7FDD13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F5381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w:t>
            </w:r>
          </w:p>
          <w:p w14:paraId="219C3A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017B79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78EBBC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3BEF158" w14:textId="77777777" w:rsidTr="00ED5B0A">
        <w:trPr>
          <w:trHeight w:val="240"/>
        </w:trPr>
        <w:tc>
          <w:tcPr>
            <w:tcW w:w="1574" w:type="dxa"/>
          </w:tcPr>
          <w:p w14:paraId="31FC4A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w:t>
            </w:r>
          </w:p>
          <w:p w14:paraId="36C0BC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B0680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63776E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D3B1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0F4593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7B447F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100,0</w:t>
            </w:r>
          </w:p>
          <w:p w14:paraId="0DD3DC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145824" w14:textId="77777777" w:rsidTr="00ED5B0A">
        <w:trPr>
          <w:trHeight w:val="259"/>
        </w:trPr>
        <w:tc>
          <w:tcPr>
            <w:tcW w:w="1574" w:type="dxa"/>
          </w:tcPr>
          <w:p w14:paraId="1F3D84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w:t>
            </w:r>
          </w:p>
          <w:p w14:paraId="160F14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B9471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68C723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ABB99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49F48E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460E0C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75,0</w:t>
            </w:r>
          </w:p>
          <w:p w14:paraId="2406EF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7C5570B" w14:textId="77777777" w:rsidTr="00ED5B0A">
        <w:trPr>
          <w:trHeight w:val="240"/>
        </w:trPr>
        <w:tc>
          <w:tcPr>
            <w:tcW w:w="1574" w:type="dxa"/>
          </w:tcPr>
          <w:p w14:paraId="5C862F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w:t>
            </w:r>
          </w:p>
          <w:p w14:paraId="22D074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207F9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76FCF1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0C9E1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w:t>
            </w:r>
          </w:p>
          <w:p w14:paraId="3BECB82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0362A5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31,1</w:t>
            </w:r>
          </w:p>
          <w:p w14:paraId="7A6CB7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0291EBB" w14:textId="77777777" w:rsidTr="00ED5B0A">
        <w:trPr>
          <w:trHeight w:val="240"/>
        </w:trPr>
        <w:tc>
          <w:tcPr>
            <w:tcW w:w="1574" w:type="dxa"/>
          </w:tcPr>
          <w:p w14:paraId="28A90C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w:t>
            </w:r>
          </w:p>
          <w:p w14:paraId="784F6E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A4531E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6B97CA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950AA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115</w:t>
            </w:r>
          </w:p>
          <w:p w14:paraId="66A730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370EB9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51,1</w:t>
            </w:r>
          </w:p>
          <w:p w14:paraId="4AF691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074959" w14:textId="77777777" w:rsidTr="00ED5B0A">
        <w:trPr>
          <w:trHeight w:val="240"/>
        </w:trPr>
        <w:tc>
          <w:tcPr>
            <w:tcW w:w="1574" w:type="dxa"/>
          </w:tcPr>
          <w:p w14:paraId="748CE4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w:t>
            </w:r>
          </w:p>
          <w:p w14:paraId="5C155A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A3AFF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235</w:t>
            </w:r>
          </w:p>
          <w:p w14:paraId="0459A4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FB0A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150</w:t>
            </w:r>
          </w:p>
          <w:p w14:paraId="22CF33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01E791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63,8</w:t>
            </w:r>
          </w:p>
          <w:p w14:paraId="2BBC68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AE809C" w14:textId="77777777" w:rsidTr="00ED5B0A">
        <w:trPr>
          <w:trHeight w:val="269"/>
        </w:trPr>
        <w:tc>
          <w:tcPr>
            <w:tcW w:w="1574" w:type="dxa"/>
          </w:tcPr>
          <w:p w14:paraId="1095D0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w:t>
            </w:r>
          </w:p>
          <w:p w14:paraId="5E5EFC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CFD10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p w14:paraId="137F58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76D18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w:t>
            </w:r>
          </w:p>
          <w:p w14:paraId="4F5ACC4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Pr>
          <w:p w14:paraId="695C5D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64,0</w:t>
            </w:r>
          </w:p>
          <w:p w14:paraId="178CDA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5253971" w14:textId="77777777" w:rsidTr="00ED5B0A">
        <w:trPr>
          <w:trHeight w:val="442"/>
        </w:trPr>
        <w:tc>
          <w:tcPr>
            <w:tcW w:w="1574" w:type="dxa"/>
            <w:tcBorders>
              <w:bottom w:val="single" w:sz="12" w:space="0" w:color="auto"/>
            </w:tcBorders>
          </w:tcPr>
          <w:p w14:paraId="6E889F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0A4914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30ACE6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2560</w:t>
            </w:r>
          </w:p>
          <w:p w14:paraId="74241D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bottom w:val="single" w:sz="12" w:space="0" w:color="auto"/>
            </w:tcBorders>
          </w:tcPr>
          <w:p w14:paraId="2890F21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1146</w:t>
            </w:r>
          </w:p>
          <w:p w14:paraId="5BA539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bottom w:val="single" w:sz="12" w:space="0" w:color="auto"/>
            </w:tcBorders>
          </w:tcPr>
          <w:p w14:paraId="6CAAED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45,8</w:t>
            </w:r>
          </w:p>
          <w:p w14:paraId="7469AD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1970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Главная - заключалась в отключении электричества, из-за чего случались продолжительные простои, а также призыв в Красную Армию 117 рабочих [5.75]. В целом, завод на 1943 г. был вполне укомплектован кадрами по понятиям военного времени, что от</w:t>
      </w:r>
      <w:r w:rsidRPr="00271E51">
        <w:rPr>
          <w:rFonts w:ascii="Times New Roman" w:hAnsi="Times New Roman"/>
          <w:color w:val="000000" w:themeColor="text1"/>
          <w:sz w:val="16"/>
          <w:szCs w:val="16"/>
        </w:rPr>
        <w:softHyphen/>
        <w:t>ражено в выводе: [5.76].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418"/>
      </w:tblGrid>
      <w:tr w:rsidR="00A907A5" w:rsidRPr="00271E51" w14:paraId="724A6CA1" w14:textId="77777777" w:rsidTr="00ED5B0A">
        <w:tc>
          <w:tcPr>
            <w:tcW w:w="2943" w:type="dxa"/>
            <w:tcBorders>
              <w:top w:val="single" w:sz="12" w:space="0" w:color="auto"/>
            </w:tcBorders>
            <w:shd w:val="clear" w:color="auto" w:fill="FFFFFF"/>
          </w:tcPr>
          <w:p w14:paraId="7AF9FC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персонала</w:t>
            </w:r>
          </w:p>
        </w:tc>
        <w:tc>
          <w:tcPr>
            <w:tcW w:w="1418" w:type="dxa"/>
            <w:tcBorders>
              <w:top w:val="single" w:sz="12" w:space="0" w:color="auto"/>
            </w:tcBorders>
            <w:shd w:val="clear" w:color="auto" w:fill="FFFFFF"/>
          </w:tcPr>
          <w:p w14:paraId="636344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w:t>
            </w:r>
          </w:p>
        </w:tc>
      </w:tr>
      <w:tr w:rsidR="00A907A5" w:rsidRPr="00271E51" w14:paraId="44C2C7E9" w14:textId="77777777" w:rsidTr="00ED5B0A">
        <w:tc>
          <w:tcPr>
            <w:tcW w:w="2943" w:type="dxa"/>
            <w:shd w:val="clear" w:color="auto" w:fill="FFFFFF"/>
          </w:tcPr>
          <w:p w14:paraId="2C3643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Основные рабочие</w:t>
            </w:r>
          </w:p>
        </w:tc>
        <w:tc>
          <w:tcPr>
            <w:tcW w:w="1418" w:type="dxa"/>
            <w:shd w:val="clear" w:color="auto" w:fill="FFFFFF"/>
          </w:tcPr>
          <w:p w14:paraId="38C04F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741</w:t>
            </w:r>
          </w:p>
        </w:tc>
      </w:tr>
      <w:tr w:rsidR="00A907A5" w:rsidRPr="00271E51" w14:paraId="49A52796" w14:textId="77777777" w:rsidTr="00ED5B0A">
        <w:tc>
          <w:tcPr>
            <w:tcW w:w="2943" w:type="dxa"/>
            <w:shd w:val="clear" w:color="auto" w:fill="FFFFFF"/>
          </w:tcPr>
          <w:p w14:paraId="7F7C1E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Инженерно-технические работники</w:t>
            </w:r>
          </w:p>
        </w:tc>
        <w:tc>
          <w:tcPr>
            <w:tcW w:w="1418" w:type="dxa"/>
            <w:shd w:val="clear" w:color="auto" w:fill="FFFFFF"/>
          </w:tcPr>
          <w:p w14:paraId="57A400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184</w:t>
            </w:r>
          </w:p>
        </w:tc>
      </w:tr>
      <w:tr w:rsidR="00A907A5" w:rsidRPr="00271E51" w14:paraId="7FF51A46" w14:textId="77777777" w:rsidTr="00ED5B0A">
        <w:tc>
          <w:tcPr>
            <w:tcW w:w="2943" w:type="dxa"/>
            <w:shd w:val="clear" w:color="auto" w:fill="FFFFFF"/>
          </w:tcPr>
          <w:p w14:paraId="5FEC71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Служащие</w:t>
            </w:r>
          </w:p>
        </w:tc>
        <w:tc>
          <w:tcPr>
            <w:tcW w:w="1418" w:type="dxa"/>
            <w:shd w:val="clear" w:color="auto" w:fill="FFFFFF"/>
          </w:tcPr>
          <w:p w14:paraId="0CBE69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52</w:t>
            </w:r>
          </w:p>
        </w:tc>
      </w:tr>
      <w:tr w:rsidR="00A907A5" w:rsidRPr="00271E51" w14:paraId="0619BD54" w14:textId="77777777" w:rsidTr="00ED5B0A">
        <w:tc>
          <w:tcPr>
            <w:tcW w:w="2943" w:type="dxa"/>
            <w:shd w:val="clear" w:color="auto" w:fill="FFFFFF"/>
          </w:tcPr>
          <w:p w14:paraId="78FDE9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Малооплачиваемые работники</w:t>
            </w:r>
          </w:p>
        </w:tc>
        <w:tc>
          <w:tcPr>
            <w:tcW w:w="1418" w:type="dxa"/>
            <w:shd w:val="clear" w:color="auto" w:fill="FFFFFF"/>
          </w:tcPr>
          <w:p w14:paraId="400475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r>
      <w:tr w:rsidR="00A907A5" w:rsidRPr="00271E51" w14:paraId="6A1B10A9" w14:textId="77777777" w:rsidTr="00ED5B0A">
        <w:tc>
          <w:tcPr>
            <w:tcW w:w="2943" w:type="dxa"/>
            <w:shd w:val="clear" w:color="auto" w:fill="FFFFFF"/>
          </w:tcPr>
          <w:p w14:paraId="2480F4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Ученики</w:t>
            </w:r>
          </w:p>
        </w:tc>
        <w:tc>
          <w:tcPr>
            <w:tcW w:w="1418" w:type="dxa"/>
            <w:shd w:val="clear" w:color="auto" w:fill="FFFFFF"/>
          </w:tcPr>
          <w:p w14:paraId="0221EA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w:t>
            </w:r>
          </w:p>
        </w:tc>
      </w:tr>
      <w:tr w:rsidR="00A907A5" w:rsidRPr="00271E51" w14:paraId="4343D60C" w14:textId="77777777" w:rsidTr="00ED5B0A">
        <w:tc>
          <w:tcPr>
            <w:tcW w:w="2943" w:type="dxa"/>
            <w:shd w:val="clear" w:color="auto" w:fill="FFFFFF"/>
          </w:tcPr>
          <w:p w14:paraId="2B5B1D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Непромышленные работники</w:t>
            </w:r>
          </w:p>
        </w:tc>
        <w:tc>
          <w:tcPr>
            <w:tcW w:w="1418" w:type="dxa"/>
            <w:shd w:val="clear" w:color="auto" w:fill="FFFFFF"/>
          </w:tcPr>
          <w:p w14:paraId="618B97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w:t>
            </w:r>
          </w:p>
        </w:tc>
      </w:tr>
      <w:tr w:rsidR="00A907A5" w:rsidRPr="00271E51" w14:paraId="4CCBA36A" w14:textId="77777777" w:rsidTr="00ED5B0A">
        <w:tc>
          <w:tcPr>
            <w:tcW w:w="2943" w:type="dxa"/>
            <w:shd w:val="clear" w:color="auto" w:fill="FFFFFF"/>
          </w:tcPr>
          <w:p w14:paraId="1C7761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Пожарные</w:t>
            </w:r>
          </w:p>
        </w:tc>
        <w:tc>
          <w:tcPr>
            <w:tcW w:w="1418" w:type="dxa"/>
            <w:shd w:val="clear" w:color="auto" w:fill="FFFFFF"/>
          </w:tcPr>
          <w:p w14:paraId="2AEFCE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w:t>
            </w:r>
          </w:p>
        </w:tc>
      </w:tr>
      <w:tr w:rsidR="00A907A5" w:rsidRPr="00271E51" w14:paraId="665ACF36" w14:textId="77777777" w:rsidTr="00ED5B0A">
        <w:tc>
          <w:tcPr>
            <w:tcW w:w="2943" w:type="dxa"/>
            <w:shd w:val="clear" w:color="auto" w:fill="FFFFFF"/>
          </w:tcPr>
          <w:p w14:paraId="3B4902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Военизированная охрана</w:t>
            </w:r>
          </w:p>
        </w:tc>
        <w:tc>
          <w:tcPr>
            <w:tcW w:w="1418" w:type="dxa"/>
            <w:shd w:val="clear" w:color="auto" w:fill="FFFFFF"/>
          </w:tcPr>
          <w:p w14:paraId="7AE2B5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w:t>
            </w:r>
          </w:p>
        </w:tc>
      </w:tr>
      <w:tr w:rsidR="00A907A5" w:rsidRPr="00271E51" w14:paraId="6556EABF" w14:textId="77777777" w:rsidTr="00ED5B0A">
        <w:tc>
          <w:tcPr>
            <w:tcW w:w="2943" w:type="dxa"/>
            <w:shd w:val="clear" w:color="auto" w:fill="FFFFFF"/>
          </w:tcPr>
          <w:p w14:paraId="44CC3C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Топливозаготовители</w:t>
            </w:r>
          </w:p>
        </w:tc>
        <w:tc>
          <w:tcPr>
            <w:tcW w:w="1418" w:type="dxa"/>
            <w:shd w:val="clear" w:color="auto" w:fill="FFFFFF"/>
          </w:tcPr>
          <w:p w14:paraId="6A3744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117</w:t>
            </w:r>
          </w:p>
        </w:tc>
      </w:tr>
      <w:tr w:rsidR="00A907A5" w:rsidRPr="00271E51" w14:paraId="75794361" w14:textId="77777777" w:rsidTr="00ED5B0A">
        <w:tc>
          <w:tcPr>
            <w:tcW w:w="2943" w:type="dxa"/>
            <w:tcBorders>
              <w:bottom w:val="single" w:sz="12" w:space="0" w:color="auto"/>
            </w:tcBorders>
            <w:shd w:val="clear" w:color="auto" w:fill="FFFFFF"/>
          </w:tcPr>
          <w:p w14:paraId="52789A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tc>
        <w:tc>
          <w:tcPr>
            <w:tcW w:w="1418" w:type="dxa"/>
            <w:tcBorders>
              <w:bottom w:val="single" w:sz="12" w:space="0" w:color="auto"/>
            </w:tcBorders>
            <w:shd w:val="clear" w:color="auto" w:fill="FFFFFF"/>
          </w:tcPr>
          <w:p w14:paraId="77D65B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1253</w:t>
            </w:r>
          </w:p>
        </w:tc>
      </w:tr>
    </w:tbl>
    <w:p w14:paraId="481AD9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штате ГМЗ числилась категория сотрудников, не связанная с выпуском основной продукции: топливозаготовители, на долю которой приходилось 117 человек или 18,2% сотрудников, что ха</w:t>
      </w:r>
      <w:r w:rsidRPr="00271E51">
        <w:rPr>
          <w:rFonts w:ascii="Times New Roman" w:hAnsi="Times New Roman"/>
          <w:color w:val="000000" w:themeColor="text1"/>
          <w:sz w:val="16"/>
          <w:szCs w:val="16"/>
        </w:rPr>
        <w:softHyphen/>
        <w:t>рактерно для военного времени, когда инфраструктура среды бы</w:t>
      </w:r>
      <w:r w:rsidRPr="00271E51">
        <w:rPr>
          <w:rFonts w:ascii="Times New Roman" w:hAnsi="Times New Roman"/>
          <w:color w:val="000000" w:themeColor="text1"/>
          <w:sz w:val="16"/>
          <w:szCs w:val="16"/>
        </w:rPr>
        <w:softHyphen/>
        <w:t>тования завода недостаточно развита. Труд этих рабочих оплачи</w:t>
      </w:r>
      <w:r w:rsidRPr="00271E51">
        <w:rPr>
          <w:rFonts w:ascii="Times New Roman" w:hAnsi="Times New Roman"/>
          <w:color w:val="000000" w:themeColor="text1"/>
          <w:sz w:val="16"/>
          <w:szCs w:val="16"/>
        </w:rPr>
        <w:softHyphen/>
        <w:t>вался из фонда заработной платы, что приводило к росту себесто</w:t>
      </w:r>
      <w:r w:rsidRPr="00271E51">
        <w:rPr>
          <w:rFonts w:ascii="Times New Roman" w:hAnsi="Times New Roman"/>
          <w:color w:val="000000" w:themeColor="text1"/>
          <w:sz w:val="16"/>
          <w:szCs w:val="16"/>
        </w:rPr>
        <w:softHyphen/>
        <w:t>имости выпускаемых мотоциклов.</w:t>
      </w:r>
    </w:p>
    <w:p w14:paraId="490D2D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всё же на ГМЗ в 1943 г. произошли и положительные сдви</w:t>
      </w:r>
      <w:r w:rsidRPr="00271E51">
        <w:rPr>
          <w:rFonts w:ascii="Times New Roman" w:hAnsi="Times New Roman"/>
          <w:color w:val="000000" w:themeColor="text1"/>
          <w:sz w:val="16"/>
          <w:szCs w:val="16"/>
        </w:rPr>
        <w:softHyphen/>
        <w:t>ги. Завод значительно вырос за счёт получения станков с ГАЗ и ТМЗ. Имевшийся на ГМЗ небольшой литейный цех позволил ос</w:t>
      </w:r>
      <w:r w:rsidRPr="00271E51">
        <w:rPr>
          <w:rFonts w:ascii="Times New Roman" w:hAnsi="Times New Roman"/>
          <w:color w:val="000000" w:themeColor="text1"/>
          <w:sz w:val="16"/>
          <w:szCs w:val="16"/>
        </w:rPr>
        <w:softHyphen/>
        <w:t>воить литьё цветных металлов: картеров мотора и КП, поршней и пр. На заводе изготавливали все детали для двигателя, осущест</w:t>
      </w:r>
      <w:r w:rsidRPr="00271E51">
        <w:rPr>
          <w:rFonts w:ascii="Times New Roman" w:hAnsi="Times New Roman"/>
          <w:color w:val="000000" w:themeColor="text1"/>
          <w:sz w:val="16"/>
          <w:szCs w:val="16"/>
        </w:rPr>
        <w:softHyphen/>
        <w:t>вляли и его сборку. Организовали поточное производство таких сложных деталей как картеры мотора и КП, поршни, ступицы ко</w:t>
      </w:r>
      <w:r w:rsidRPr="00271E51">
        <w:rPr>
          <w:rFonts w:ascii="Times New Roman" w:hAnsi="Times New Roman"/>
          <w:color w:val="000000" w:themeColor="text1"/>
          <w:sz w:val="16"/>
          <w:szCs w:val="16"/>
        </w:rPr>
        <w:softHyphen/>
        <w:t>лес и др. Удалось снизить номенклатуру поставляемых смежника</w:t>
      </w:r>
      <w:r w:rsidRPr="00271E51">
        <w:rPr>
          <w:rFonts w:ascii="Times New Roman" w:hAnsi="Times New Roman"/>
          <w:color w:val="000000" w:themeColor="text1"/>
          <w:sz w:val="16"/>
          <w:szCs w:val="16"/>
        </w:rPr>
        <w:softHyphen/>
        <w:t>ми деталей до 238, с ГАЗа - со 102 до 35 наименований [5.77]. Ус</w:t>
      </w:r>
      <w:r w:rsidRPr="00271E51">
        <w:rPr>
          <w:rFonts w:ascii="Times New Roman" w:hAnsi="Times New Roman"/>
          <w:color w:val="000000" w:themeColor="text1"/>
          <w:sz w:val="16"/>
          <w:szCs w:val="16"/>
        </w:rPr>
        <w:softHyphen/>
        <w:t>пехи коллектива ГМЗ, способствовали росту выпуска мотоцик</w:t>
      </w:r>
      <w:r w:rsidRPr="00271E51">
        <w:rPr>
          <w:rFonts w:ascii="Times New Roman" w:hAnsi="Times New Roman"/>
          <w:color w:val="000000" w:themeColor="text1"/>
          <w:sz w:val="16"/>
          <w:szCs w:val="16"/>
        </w:rPr>
        <w:softHyphen/>
        <w:t>лов в 1944 г. (табл. 24} [5.78].</w:t>
      </w:r>
    </w:p>
    <w:p w14:paraId="198C5C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24</w:t>
      </w:r>
    </w:p>
    <w:p w14:paraId="38D73C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Выпуск мотоциклов на ГМЗ, 1944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74"/>
        <w:gridCol w:w="1200"/>
        <w:gridCol w:w="1200"/>
        <w:gridCol w:w="1219"/>
      </w:tblGrid>
      <w:tr w:rsidR="00A907A5" w:rsidRPr="00271E51" w14:paraId="52D98390" w14:textId="77777777" w:rsidTr="00ED5B0A">
        <w:trPr>
          <w:trHeight w:val="374"/>
        </w:trPr>
        <w:tc>
          <w:tcPr>
            <w:tcW w:w="1574" w:type="dxa"/>
            <w:tcBorders>
              <w:top w:val="single" w:sz="12" w:space="0" w:color="auto"/>
            </w:tcBorders>
          </w:tcPr>
          <w:p w14:paraId="342E8E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Месяц</w:t>
            </w:r>
          </w:p>
          <w:p w14:paraId="792679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19" w:type="dxa"/>
            <w:gridSpan w:val="3"/>
            <w:tcBorders>
              <w:top w:val="single" w:sz="12" w:space="0" w:color="auto"/>
            </w:tcBorders>
          </w:tcPr>
          <w:p w14:paraId="5421F7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w:t>
            </w:r>
          </w:p>
          <w:p w14:paraId="361B5D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1CBB27" w14:textId="77777777" w:rsidTr="00ED5B0A">
        <w:trPr>
          <w:trHeight w:val="365"/>
        </w:trPr>
        <w:tc>
          <w:tcPr>
            <w:tcW w:w="1574" w:type="dxa"/>
          </w:tcPr>
          <w:p w14:paraId="7D990F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FA8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1EF1F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 шт.</w:t>
            </w:r>
          </w:p>
          <w:p w14:paraId="3DAA4A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8EE8A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p w14:paraId="024FE4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E061F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BE765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87B2C6" w14:textId="77777777" w:rsidTr="00ED5B0A">
        <w:trPr>
          <w:trHeight w:val="374"/>
        </w:trPr>
        <w:tc>
          <w:tcPr>
            <w:tcW w:w="1574" w:type="dxa"/>
          </w:tcPr>
          <w:p w14:paraId="0444A4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p w14:paraId="586E75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08DB6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p w14:paraId="778F4A9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F2CC8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w:t>
            </w:r>
          </w:p>
          <w:p w14:paraId="04114A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65B29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70,4</w:t>
            </w:r>
          </w:p>
          <w:p w14:paraId="124119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373ABA" w14:textId="77777777" w:rsidTr="00ED5B0A">
        <w:trPr>
          <w:trHeight w:val="221"/>
        </w:trPr>
        <w:tc>
          <w:tcPr>
            <w:tcW w:w="1574" w:type="dxa"/>
          </w:tcPr>
          <w:p w14:paraId="7EE245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Февраль</w:t>
            </w:r>
          </w:p>
          <w:p w14:paraId="49A243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115EF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718B8E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1DB6A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202</w:t>
            </w:r>
          </w:p>
          <w:p w14:paraId="299896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DE2529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101,0</w:t>
            </w:r>
          </w:p>
          <w:p w14:paraId="4E8764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45CE5B" w14:textId="77777777" w:rsidTr="00ED5B0A">
        <w:trPr>
          <w:trHeight w:val="221"/>
        </w:trPr>
        <w:tc>
          <w:tcPr>
            <w:tcW w:w="1574" w:type="dxa"/>
          </w:tcPr>
          <w:p w14:paraId="50D4C3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p w14:paraId="0D615A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AD0C2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65C9A7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42E20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226</w:t>
            </w:r>
          </w:p>
          <w:p w14:paraId="789032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EFF25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75,3</w:t>
            </w:r>
          </w:p>
          <w:p w14:paraId="2D4C04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A2D596" w14:textId="77777777" w:rsidTr="00ED5B0A">
        <w:trPr>
          <w:trHeight w:val="230"/>
        </w:trPr>
        <w:tc>
          <w:tcPr>
            <w:tcW w:w="1574" w:type="dxa"/>
          </w:tcPr>
          <w:p w14:paraId="090A57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p w14:paraId="6CC78B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E3E42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759956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691E0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w:t>
            </w:r>
          </w:p>
          <w:p w14:paraId="755DB4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6D75A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90,2</w:t>
            </w:r>
          </w:p>
          <w:p w14:paraId="2EAB53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E8B4A0" w14:textId="77777777" w:rsidTr="00ED5B0A">
        <w:trPr>
          <w:trHeight w:val="211"/>
        </w:trPr>
        <w:tc>
          <w:tcPr>
            <w:tcW w:w="1574" w:type="dxa"/>
          </w:tcPr>
          <w:p w14:paraId="6AE8DF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Май</w:t>
            </w:r>
          </w:p>
          <w:p w14:paraId="02D0C6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E6D04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574389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5112A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w:t>
            </w:r>
          </w:p>
          <w:p w14:paraId="0E9AC1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210BB0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100,5</w:t>
            </w:r>
          </w:p>
          <w:p w14:paraId="36E518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1B4B6B" w14:textId="77777777" w:rsidTr="00ED5B0A">
        <w:trPr>
          <w:trHeight w:val="202"/>
        </w:trPr>
        <w:tc>
          <w:tcPr>
            <w:tcW w:w="1574" w:type="dxa"/>
          </w:tcPr>
          <w:p w14:paraId="336609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Июнь</w:t>
            </w:r>
          </w:p>
          <w:p w14:paraId="6C81E0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D9B90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p w14:paraId="640F6D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EE3F8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203</w:t>
            </w:r>
          </w:p>
          <w:p w14:paraId="4AC902C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C7B9F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101,5</w:t>
            </w:r>
          </w:p>
          <w:p w14:paraId="4DA2AE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EBD52F" w14:textId="77777777" w:rsidTr="00ED5B0A">
        <w:trPr>
          <w:trHeight w:val="221"/>
        </w:trPr>
        <w:tc>
          <w:tcPr>
            <w:tcW w:w="1574" w:type="dxa"/>
          </w:tcPr>
          <w:p w14:paraId="332940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Июль</w:t>
            </w:r>
          </w:p>
          <w:p w14:paraId="50A51F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9AF81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0D0331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EA1A9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w:t>
            </w:r>
          </w:p>
          <w:p w14:paraId="2AE6DD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75BE35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89,3</w:t>
            </w:r>
          </w:p>
          <w:p w14:paraId="1D2581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A07672" w14:textId="77777777" w:rsidTr="00ED5B0A">
        <w:trPr>
          <w:trHeight w:val="250"/>
        </w:trPr>
        <w:tc>
          <w:tcPr>
            <w:tcW w:w="1574" w:type="dxa"/>
          </w:tcPr>
          <w:p w14:paraId="6C5E4D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Август</w:t>
            </w:r>
          </w:p>
          <w:p w14:paraId="78BE07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D2E7F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6BD60C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DA5BE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204</w:t>
            </w:r>
          </w:p>
          <w:p w14:paraId="2A8C14D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0872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90,7</w:t>
            </w:r>
          </w:p>
          <w:p w14:paraId="6E17659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85B406" w14:textId="77777777" w:rsidTr="00ED5B0A">
        <w:trPr>
          <w:trHeight w:val="250"/>
        </w:trPr>
        <w:tc>
          <w:tcPr>
            <w:tcW w:w="1574" w:type="dxa"/>
          </w:tcPr>
          <w:p w14:paraId="30ECB62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Сентябрь</w:t>
            </w:r>
          </w:p>
          <w:p w14:paraId="0415B0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F124B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0BEA87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F59EA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w:t>
            </w:r>
          </w:p>
        </w:tc>
        <w:tc>
          <w:tcPr>
            <w:tcW w:w="1219" w:type="dxa"/>
          </w:tcPr>
          <w:p w14:paraId="777736F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66,7</w:t>
            </w:r>
          </w:p>
        </w:tc>
      </w:tr>
      <w:tr w:rsidR="00A907A5" w:rsidRPr="00271E51" w14:paraId="79073A21" w14:textId="77777777" w:rsidTr="00ED5B0A">
        <w:trPr>
          <w:trHeight w:val="221"/>
        </w:trPr>
        <w:tc>
          <w:tcPr>
            <w:tcW w:w="1574" w:type="dxa"/>
          </w:tcPr>
          <w:p w14:paraId="2B5806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Октябрь</w:t>
            </w:r>
          </w:p>
          <w:p w14:paraId="6AFE18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0FC8C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p w14:paraId="63B567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15F22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w:t>
            </w:r>
          </w:p>
          <w:p w14:paraId="79B26A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CA830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44,4</w:t>
            </w:r>
          </w:p>
          <w:p w14:paraId="6B49607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7CDA58" w14:textId="77777777" w:rsidTr="00ED5B0A">
        <w:trPr>
          <w:trHeight w:val="202"/>
        </w:trPr>
        <w:tc>
          <w:tcPr>
            <w:tcW w:w="1574" w:type="dxa"/>
          </w:tcPr>
          <w:p w14:paraId="254DF0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Ноябрь</w:t>
            </w:r>
          </w:p>
          <w:p w14:paraId="3A0140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D09098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3EBF0C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2404B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w:t>
            </w:r>
          </w:p>
          <w:p w14:paraId="378A9E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FB5A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68,3</w:t>
            </w:r>
          </w:p>
          <w:p w14:paraId="54CD5D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8971222" w14:textId="77777777" w:rsidTr="00ED5B0A">
        <w:trPr>
          <w:trHeight w:val="240"/>
        </w:trPr>
        <w:tc>
          <w:tcPr>
            <w:tcW w:w="1574" w:type="dxa"/>
          </w:tcPr>
          <w:p w14:paraId="01D14EF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Декабрь</w:t>
            </w:r>
          </w:p>
          <w:p w14:paraId="55D024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D1F39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300</w:t>
            </w:r>
          </w:p>
          <w:p w14:paraId="21EA69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8E042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w:t>
            </w:r>
          </w:p>
          <w:p w14:paraId="0E623C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9A965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p w14:paraId="229E28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F717D5" w14:textId="77777777" w:rsidTr="00ED5B0A">
        <w:trPr>
          <w:trHeight w:val="394"/>
        </w:trPr>
        <w:tc>
          <w:tcPr>
            <w:tcW w:w="1574" w:type="dxa"/>
            <w:tcBorders>
              <w:bottom w:val="single" w:sz="12" w:space="0" w:color="auto"/>
            </w:tcBorders>
          </w:tcPr>
          <w:p w14:paraId="469F59E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6A47B0B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B52CA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2975</w:t>
            </w:r>
          </w:p>
          <w:p w14:paraId="122C73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4E5F1AB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2333</w:t>
            </w:r>
          </w:p>
          <w:p w14:paraId="319037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04A332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78,4</w:t>
            </w:r>
          </w:p>
          <w:p w14:paraId="03CD1D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85A3E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таблиц 23 и 24 видно, что выпуск мотоциклов на ГМЗ в 1944 г. возрос по сравнению с 1943 г. с 1146 до 2333, то есть бо</w:t>
      </w:r>
      <w:r w:rsidRPr="00271E51">
        <w:rPr>
          <w:rFonts w:ascii="Times New Roman" w:hAnsi="Times New Roman"/>
          <w:color w:val="000000" w:themeColor="text1"/>
          <w:sz w:val="16"/>
          <w:szCs w:val="16"/>
        </w:rPr>
        <w:softHyphen/>
        <w:t>лее чем удвоился, однако годовой план выпуска мотоциклов удалось выполнить лишь на 78,4%. Улучшение технологиче</w:t>
      </w:r>
      <w:r w:rsidRPr="00271E51">
        <w:rPr>
          <w:rFonts w:ascii="Times New Roman" w:hAnsi="Times New Roman"/>
          <w:color w:val="000000" w:themeColor="text1"/>
          <w:sz w:val="16"/>
          <w:szCs w:val="16"/>
        </w:rPr>
        <w:softHyphen/>
        <w:t>ской организации на ГМЗ позволяло увеличить нормы выра</w:t>
      </w:r>
      <w:r w:rsidRPr="00271E51">
        <w:rPr>
          <w:rFonts w:ascii="Times New Roman" w:hAnsi="Times New Roman"/>
          <w:color w:val="000000" w:themeColor="text1"/>
          <w:sz w:val="16"/>
          <w:szCs w:val="16"/>
        </w:rPr>
        <w:softHyphen/>
        <w:t>ботки, что сразу же закрепили приказом № 217 НКСМ от 9 мая 1944 г. [5.79].</w:t>
      </w:r>
    </w:p>
    <w:p w14:paraId="592A81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Отзывы с фронтов о качестве мотоциклов М-72 были разно</w:t>
      </w:r>
      <w:r w:rsidRPr="00271E51">
        <w:rPr>
          <w:rFonts w:ascii="Times New Roman" w:hAnsi="Times New Roman"/>
          <w:color w:val="000000" w:themeColor="text1"/>
          <w:sz w:val="16"/>
          <w:szCs w:val="16"/>
        </w:rPr>
        <w:softHyphen/>
        <w:t>образными. Командир мотоциклетного батальона майор Дегтярь писал: «Мотоциклы М-72, несмотря на бездорожье и плохие кли</w:t>
      </w:r>
      <w:r w:rsidRPr="00271E51">
        <w:rPr>
          <w:rFonts w:ascii="Times New Roman" w:hAnsi="Times New Roman"/>
          <w:color w:val="000000" w:themeColor="text1"/>
          <w:sz w:val="16"/>
          <w:szCs w:val="16"/>
        </w:rPr>
        <w:softHyphen/>
        <w:t>матические условия работали отлично и служили грозным ору</w:t>
      </w:r>
      <w:r w:rsidRPr="00271E51">
        <w:rPr>
          <w:rFonts w:ascii="Times New Roman" w:hAnsi="Times New Roman"/>
          <w:color w:val="000000" w:themeColor="text1"/>
          <w:sz w:val="16"/>
          <w:szCs w:val="16"/>
        </w:rPr>
        <w:softHyphen/>
        <w:t>жием в борьбе против немецких оккупантов». Из некоторых частей поступали критические отзывы о том, что некоторые узлы и детали недостаточно прочны и надежны. Выходило из строя электрооборудование (генератор, реле-регулятор, катушка зажи</w:t>
      </w:r>
      <w:r w:rsidRPr="00271E51">
        <w:rPr>
          <w:rFonts w:ascii="Times New Roman" w:hAnsi="Times New Roman"/>
          <w:color w:val="000000" w:themeColor="text1"/>
          <w:sz w:val="16"/>
          <w:szCs w:val="16"/>
        </w:rPr>
        <w:softHyphen/>
        <w:t>гания, распределитель, свечи), поставляемое ГМЗ смежниками. Были претензии и к деталям, сделанным на ГМЗ. Ломались крышка редуктора задней передачи и шпилька крепления двига</w:t>
      </w:r>
      <w:r w:rsidRPr="00271E51">
        <w:rPr>
          <w:rFonts w:ascii="Times New Roman" w:hAnsi="Times New Roman"/>
          <w:color w:val="000000" w:themeColor="text1"/>
          <w:sz w:val="16"/>
          <w:szCs w:val="16"/>
        </w:rPr>
        <w:softHyphen/>
        <w:t>теля, часто рвались спицы колес диаметром 3 мм, случались и другие поломки [5.80]. Претензии к М-72 анализировали в Глав-мотовелопроме и ВКБ. Чтобы продлить срок службы каждой бо</w:t>
      </w:r>
      <w:r w:rsidRPr="00271E51">
        <w:rPr>
          <w:rFonts w:ascii="Times New Roman" w:hAnsi="Times New Roman"/>
          <w:color w:val="000000" w:themeColor="text1"/>
          <w:sz w:val="16"/>
          <w:szCs w:val="16"/>
        </w:rPr>
        <w:softHyphen/>
        <w:t>евой машины, требовалось улучшать эксплуатационные свойства М-72. В связи с этим руководство Главмотовелопрома издало приказ № 7 от 10 февраля 1944 г., предусматривавший следующие технические мероприятия:</w:t>
      </w:r>
    </w:p>
    <w:p w14:paraId="4EA85E2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 марта 1944 г. - усиление передней шпильки крепления мотора, а также увеличение диаметра колесных спиц до 4 мм;</w:t>
      </w:r>
    </w:p>
    <w:p w14:paraId="2C2FBF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15 марта 1944 г. - установление хомутика на всасывающем патрубке;</w:t>
      </w:r>
    </w:p>
    <w:p w14:paraId="3ED73A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 мая 1944 г. - использование поковки для изготовления рычага пуска;</w:t>
      </w:r>
    </w:p>
    <w:p w14:paraId="61E5CD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 1 июня 1944 г. - применение двухдискового сцепления [5.81].</w:t>
      </w:r>
    </w:p>
    <w:p w14:paraId="480CAC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результатам полигонных испытаний М-72, проводившихся в ГБТУ, от ГМЗ, помимо перечисленного, военные специалисты требовали:</w:t>
      </w:r>
    </w:p>
    <w:p w14:paraId="29515F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замены металла крышки задней передачи АЛ-5 на АЛ-9;</w:t>
      </w:r>
    </w:p>
    <w:p w14:paraId="31CB6AF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повышения упругости пружин передней вилки;</w:t>
      </w:r>
    </w:p>
    <w:p w14:paraId="63D2FE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повышения передаточного отношения редуктора заднего колеса с 3,86 до 4,62;</w:t>
      </w:r>
    </w:p>
    <w:p w14:paraId="3078DD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устранения влияния причин, снижавших мощность двига</w:t>
      </w:r>
      <w:r w:rsidRPr="00271E51">
        <w:rPr>
          <w:rFonts w:ascii="Times New Roman" w:hAnsi="Times New Roman"/>
          <w:color w:val="000000" w:themeColor="text1"/>
          <w:sz w:val="16"/>
          <w:szCs w:val="16"/>
        </w:rPr>
        <w:softHyphen/>
        <w:t>тель с 20-22 л.с. до 16-18 л.с.;</w:t>
      </w:r>
    </w:p>
    <w:p w14:paraId="27CF4E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крепления к багажнику кожаной сумки от мотоцикла «Хар-лей-Дэвидсон».</w:t>
      </w:r>
    </w:p>
    <w:p w14:paraId="56F822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испытаниях выяснилось, что М-72, сделанные на ГМЗ, выдержали гарантированный пробег 15 тыс. км с незначительны</w:t>
      </w:r>
      <w:r w:rsidRPr="00271E51">
        <w:rPr>
          <w:rFonts w:ascii="Times New Roman" w:hAnsi="Times New Roman"/>
          <w:color w:val="000000" w:themeColor="text1"/>
          <w:sz w:val="16"/>
          <w:szCs w:val="16"/>
        </w:rPr>
        <w:softHyphen/>
        <w:t>ми отказами и поломками [5.82]. Это свидетельствовало об ус</w:t>
      </w:r>
      <w:r w:rsidRPr="00271E51">
        <w:rPr>
          <w:rFonts w:ascii="Times New Roman" w:hAnsi="Times New Roman"/>
          <w:color w:val="000000" w:themeColor="text1"/>
          <w:sz w:val="16"/>
          <w:szCs w:val="16"/>
        </w:rPr>
        <w:softHyphen/>
        <w:t>пешной работе ГМЗ в деле повышения качества М-72.</w:t>
      </w:r>
    </w:p>
    <w:p w14:paraId="0856C4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первые месяцы 1945 г. ГМЗ работал вполне удачно, невзи</w:t>
      </w:r>
      <w:r w:rsidRPr="00271E51">
        <w:rPr>
          <w:rFonts w:ascii="Times New Roman" w:hAnsi="Times New Roman"/>
          <w:color w:val="000000" w:themeColor="text1"/>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03C3F0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A907A5" w:rsidRPr="00271E51" w14:paraId="72FE1263" w14:textId="77777777" w:rsidTr="00ED5B0A">
        <w:trPr>
          <w:trHeight w:val="346"/>
        </w:trPr>
        <w:tc>
          <w:tcPr>
            <w:tcW w:w="1325" w:type="dxa"/>
            <w:tcBorders>
              <w:top w:val="single" w:sz="6" w:space="0" w:color="auto"/>
              <w:left w:val="single" w:sz="6" w:space="0" w:color="auto"/>
              <w:bottom w:val="nil"/>
              <w:right w:val="single" w:sz="6" w:space="0" w:color="auto"/>
            </w:tcBorders>
          </w:tcPr>
          <w:p w14:paraId="0EEB35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9A6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2013B5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1D86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single" w:sz="6" w:space="0" w:color="auto"/>
              <w:left w:val="single" w:sz="6" w:space="0" w:color="auto"/>
              <w:bottom w:val="nil"/>
              <w:right w:val="single" w:sz="6" w:space="0" w:color="auto"/>
            </w:tcBorders>
          </w:tcPr>
          <w:p w14:paraId="1ACD5BA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Фактически</w:t>
            </w:r>
          </w:p>
          <w:p w14:paraId="534118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single" w:sz="6" w:space="0" w:color="auto"/>
              <w:left w:val="single" w:sz="6" w:space="0" w:color="auto"/>
              <w:bottom w:val="nil"/>
              <w:right w:val="single" w:sz="6" w:space="0" w:color="auto"/>
            </w:tcBorders>
          </w:tcPr>
          <w:p w14:paraId="0348D39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Поставки по месяцам, шт.</w:t>
            </w:r>
          </w:p>
          <w:p w14:paraId="1BE9CA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A788F9B" w14:textId="77777777" w:rsidTr="00ED5B0A">
        <w:trPr>
          <w:trHeight w:val="202"/>
        </w:trPr>
        <w:tc>
          <w:tcPr>
            <w:tcW w:w="1325" w:type="dxa"/>
            <w:tcBorders>
              <w:top w:val="nil"/>
              <w:left w:val="single" w:sz="6" w:space="0" w:color="auto"/>
              <w:bottom w:val="nil"/>
              <w:right w:val="single" w:sz="6" w:space="0" w:color="auto"/>
            </w:tcBorders>
          </w:tcPr>
          <w:p w14:paraId="181462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w:t>
            </w:r>
          </w:p>
          <w:p w14:paraId="610D7F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5DE2CC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p w14:paraId="60CACA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gridSpan w:val="2"/>
            <w:tcBorders>
              <w:top w:val="nil"/>
              <w:left w:val="single" w:sz="6" w:space="0" w:color="auto"/>
              <w:bottom w:val="single" w:sz="6" w:space="0" w:color="auto"/>
              <w:right w:val="single" w:sz="6" w:space="0" w:color="auto"/>
            </w:tcBorders>
          </w:tcPr>
          <w:p w14:paraId="5EC084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поставлено</w:t>
            </w:r>
          </w:p>
          <w:p w14:paraId="1AA825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4"/>
            <w:tcBorders>
              <w:top w:val="nil"/>
              <w:left w:val="single" w:sz="6" w:space="0" w:color="auto"/>
              <w:bottom w:val="single" w:sz="6" w:space="0" w:color="auto"/>
              <w:right w:val="single" w:sz="6" w:space="0" w:color="auto"/>
            </w:tcBorders>
          </w:tcPr>
          <w:p w14:paraId="3FA420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8FEC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B0348B3" w14:textId="77777777" w:rsidTr="00ED5B0A">
        <w:trPr>
          <w:trHeight w:val="365"/>
        </w:trPr>
        <w:tc>
          <w:tcPr>
            <w:tcW w:w="1325" w:type="dxa"/>
            <w:tcBorders>
              <w:top w:val="nil"/>
              <w:left w:val="single" w:sz="6" w:space="0" w:color="auto"/>
              <w:bottom w:val="single" w:sz="6" w:space="0" w:color="auto"/>
              <w:right w:val="single" w:sz="6" w:space="0" w:color="auto"/>
            </w:tcBorders>
          </w:tcPr>
          <w:p w14:paraId="6E29FB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A0A2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C8CB0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p w14:paraId="7C6BEF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CE04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p w14:paraId="21A056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F1A11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61D0D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3911B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январь</w:t>
            </w:r>
          </w:p>
          <w:p w14:paraId="50D3F9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F0F1C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февраль</w:t>
            </w:r>
          </w:p>
          <w:p w14:paraId="31D719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3F85C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март</w:t>
            </w:r>
          </w:p>
          <w:p w14:paraId="09FC6B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3A950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апрель</w:t>
            </w:r>
          </w:p>
          <w:p w14:paraId="017B875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E84081" w14:textId="77777777" w:rsidTr="00ED5B0A">
        <w:trPr>
          <w:trHeight w:val="365"/>
        </w:trPr>
        <w:tc>
          <w:tcPr>
            <w:tcW w:w="1325" w:type="dxa"/>
            <w:tcBorders>
              <w:top w:val="single" w:sz="6" w:space="0" w:color="auto"/>
              <w:left w:val="single" w:sz="6" w:space="0" w:color="auto"/>
              <w:bottom w:val="nil"/>
              <w:right w:val="single" w:sz="6" w:space="0" w:color="auto"/>
            </w:tcBorders>
          </w:tcPr>
          <w:p w14:paraId="4808FB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ГМЗ</w:t>
            </w:r>
          </w:p>
          <w:p w14:paraId="1B9803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31D59F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800</w:t>
            </w:r>
          </w:p>
          <w:p w14:paraId="6B509E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0EE58E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670</w:t>
            </w:r>
          </w:p>
          <w:p w14:paraId="17A12A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1CEA00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w:t>
            </w:r>
          </w:p>
          <w:p w14:paraId="581FE9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B3EAC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0E7B78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1D8FF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6CC4CD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50CC1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265</w:t>
            </w:r>
          </w:p>
          <w:p w14:paraId="6575A8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6DDE79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205</w:t>
            </w:r>
          </w:p>
          <w:p w14:paraId="0AD678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0D81E5A" w14:textId="77777777" w:rsidTr="00ED5B0A">
        <w:trPr>
          <w:trHeight w:val="240"/>
        </w:trPr>
        <w:tc>
          <w:tcPr>
            <w:tcW w:w="1325" w:type="dxa"/>
            <w:tcBorders>
              <w:top w:val="nil"/>
              <w:left w:val="single" w:sz="6" w:space="0" w:color="auto"/>
              <w:bottom w:val="nil"/>
              <w:right w:val="single" w:sz="6" w:space="0" w:color="auto"/>
            </w:tcBorders>
          </w:tcPr>
          <w:p w14:paraId="48FF7C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ИМЗ</w:t>
            </w:r>
          </w:p>
          <w:p w14:paraId="0C6608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4165898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w:t>
            </w:r>
          </w:p>
          <w:p w14:paraId="6F5A3B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73A71C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925</w:t>
            </w:r>
          </w:p>
          <w:p w14:paraId="6CF906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nil"/>
              <w:right w:val="single" w:sz="6" w:space="0" w:color="auto"/>
            </w:tcBorders>
          </w:tcPr>
          <w:p w14:paraId="288CF5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w:t>
            </w:r>
          </w:p>
          <w:p w14:paraId="42A358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0F8A352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350</w:t>
            </w:r>
          </w:p>
          <w:p w14:paraId="4426F2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25326C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A7552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21EEDE1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250</w:t>
            </w:r>
          </w:p>
          <w:p w14:paraId="63CA499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nil"/>
              <w:right w:val="single" w:sz="6" w:space="0" w:color="auto"/>
            </w:tcBorders>
          </w:tcPr>
          <w:p w14:paraId="62769C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225</w:t>
            </w:r>
          </w:p>
          <w:p w14:paraId="7B6AF2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F9EE34" w14:textId="77777777" w:rsidTr="00ED5B0A">
        <w:trPr>
          <w:trHeight w:val="413"/>
        </w:trPr>
        <w:tc>
          <w:tcPr>
            <w:tcW w:w="1325" w:type="dxa"/>
            <w:tcBorders>
              <w:top w:val="nil"/>
              <w:left w:val="single" w:sz="6" w:space="0" w:color="auto"/>
              <w:bottom w:val="single" w:sz="6" w:space="0" w:color="auto"/>
              <w:right w:val="single" w:sz="6" w:space="0" w:color="auto"/>
            </w:tcBorders>
          </w:tcPr>
          <w:p w14:paraId="0E11436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475499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139347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2000</w:t>
            </w:r>
          </w:p>
          <w:p w14:paraId="142644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1B2F3F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1595</w:t>
            </w:r>
          </w:p>
          <w:p w14:paraId="7EA3A7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67534F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79,8</w:t>
            </w:r>
          </w:p>
          <w:p w14:paraId="022A90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5FBE3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p w14:paraId="1B6121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78438DC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w:t>
            </w:r>
          </w:p>
          <w:p w14:paraId="52A3B7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DB090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515</w:t>
            </w:r>
          </w:p>
          <w:p w14:paraId="29AF26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3F5DCD5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w:t>
            </w:r>
          </w:p>
          <w:p w14:paraId="0C9C3DC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3419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(11429).</w:t>
      </w:r>
    </w:p>
    <w:p w14:paraId="3CC72B8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DE64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те</w:t>
      </w:r>
      <w:r w:rsidRPr="00271E51">
        <w:rPr>
          <w:rFonts w:ascii="Times New Roman" w:hAnsi="Times New Roman"/>
          <w:color w:val="000000" w:themeColor="text1"/>
          <w:sz w:val="16"/>
          <w:szCs w:val="16"/>
        </w:rPr>
        <w:softHyphen/>
        <w:t>чение 1943 г. на ИМЗ удалось ввести в строй несколько цехов и об</w:t>
      </w:r>
      <w:r w:rsidRPr="00271E51">
        <w:rPr>
          <w:rFonts w:ascii="Times New Roman" w:hAnsi="Times New Roman"/>
          <w:color w:val="000000" w:themeColor="text1"/>
          <w:sz w:val="16"/>
          <w:szCs w:val="16"/>
        </w:rPr>
        <w:softHyphen/>
        <w:t>щезаводских систем. Построили цех цветного литья деталей мото</w:t>
      </w:r>
      <w:r w:rsidRPr="00271E51">
        <w:rPr>
          <w:rFonts w:ascii="Times New Roman" w:hAnsi="Times New Roman"/>
          <w:color w:val="000000" w:themeColor="text1"/>
          <w:sz w:val="16"/>
          <w:szCs w:val="16"/>
        </w:rPr>
        <w:softHyphen/>
        <w:t>цикла, небольшой инструментальный цех, начали строительство механического, кузнечного, литейного и других цехов, представ</w:t>
      </w:r>
      <w:r w:rsidRPr="00271E51">
        <w:rPr>
          <w:rFonts w:ascii="Times New Roman" w:hAnsi="Times New Roman"/>
          <w:color w:val="000000" w:themeColor="text1"/>
          <w:sz w:val="16"/>
          <w:szCs w:val="16"/>
        </w:rPr>
        <w:softHyphen/>
        <w:t>лявших собой первую очередь нового мотоциклетного завода. Но, пожалуй, наибольшим достижением стала построенная и введен</w:t>
      </w:r>
      <w:r w:rsidRPr="00271E51">
        <w:rPr>
          <w:rFonts w:ascii="Times New Roman" w:hAnsi="Times New Roman"/>
          <w:color w:val="000000" w:themeColor="text1"/>
          <w:sz w:val="16"/>
          <w:szCs w:val="16"/>
        </w:rPr>
        <w:softHyphen/>
        <w:t>ная в строй теплоэлектроцентраль, общей мощностью 2500 кВт, полностью обеспечившая завод электроэнергией для выпуска мо</w:t>
      </w:r>
      <w:r w:rsidRPr="00271E51">
        <w:rPr>
          <w:rFonts w:ascii="Times New Roman" w:hAnsi="Times New Roman"/>
          <w:color w:val="000000" w:themeColor="text1"/>
          <w:sz w:val="16"/>
          <w:szCs w:val="16"/>
        </w:rPr>
        <w:softHyphen/>
        <w:t>тоциклов в плановом объеме [5.77]. Поэтому годовой выпуск М-72 в 1943 г. вырос на 42,3% и составил 2278 мотоциклов [5.36].</w:t>
      </w:r>
    </w:p>
    <w:p w14:paraId="51BF061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все же, судя по поставкам мотоциклов в Красную Армию, ИМЗ работал неравномерно (табл. 22). Помимо внутризаводских причин, таких как перебои с электроэнергией, задержки с достав</w:t>
      </w:r>
      <w:r w:rsidRPr="00271E51">
        <w:rPr>
          <w:rFonts w:ascii="Times New Roman" w:hAnsi="Times New Roman"/>
          <w:color w:val="000000" w:themeColor="text1"/>
          <w:sz w:val="16"/>
          <w:szCs w:val="16"/>
        </w:rPr>
        <w:softHyphen/>
        <w:t>кой комплектующих изделий смежниками и пр., сказывались обя</w:t>
      </w:r>
      <w:r w:rsidRPr="00271E51">
        <w:rPr>
          <w:rFonts w:ascii="Times New Roman" w:hAnsi="Times New Roman"/>
          <w:color w:val="000000" w:themeColor="text1"/>
          <w:sz w:val="16"/>
          <w:szCs w:val="16"/>
        </w:rPr>
        <w:softHyphen/>
        <w:t>зательные поставки двигателей на ГМЗ. Их тщательно планиро</w:t>
      </w:r>
      <w:r w:rsidRPr="00271E51">
        <w:rPr>
          <w:rFonts w:ascii="Times New Roman" w:hAnsi="Times New Roman"/>
          <w:color w:val="000000" w:themeColor="text1"/>
          <w:sz w:val="16"/>
          <w:szCs w:val="16"/>
        </w:rPr>
        <w:softHyphen/>
        <w:t>вали, но на ГМЗ случались простои, поэтому срывался график выпуска двигателей, однако, поставки не отменяли (11429).</w:t>
      </w:r>
    </w:p>
    <w:p w14:paraId="285929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26C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w:t>
      </w:r>
      <w:r w:rsidRPr="00271E51">
        <w:rPr>
          <w:rFonts w:ascii="Times New Roman" w:hAnsi="Times New Roman"/>
          <w:color w:val="000000" w:themeColor="text1"/>
          <w:sz w:val="16"/>
          <w:szCs w:val="16"/>
        </w:rPr>
        <w:softHyphen/>
        <w:t>ду доставку на БТРЗ № 20 средних отечественных мотоциклов (ИЖ-9, Л-8 и др.) прекратили, поэтому сборочный конвейер этих машин остановили. Вместо них на завод доставляли сбо</w:t>
      </w:r>
      <w:r w:rsidRPr="00271E51">
        <w:rPr>
          <w:rFonts w:ascii="Times New Roman" w:hAnsi="Times New Roman"/>
          <w:color w:val="000000" w:themeColor="text1"/>
          <w:sz w:val="16"/>
          <w:szCs w:val="16"/>
        </w:rPr>
        <w:softHyphen/>
        <w:t>рочные комплектны мотоциклов Харлей-Дэвидсон из США. Их привозили в особых ящиках, называемых укупорками, и склады</w:t>
      </w:r>
      <w:r w:rsidRPr="00271E51">
        <w:rPr>
          <w:rFonts w:ascii="Times New Roman" w:hAnsi="Times New Roman"/>
          <w:color w:val="000000" w:themeColor="text1"/>
          <w:sz w:val="16"/>
          <w:szCs w:val="16"/>
        </w:rPr>
        <w:softHyphen/>
        <w:t>вали во дворе завода под навесом. Здесь ящики вскрывали и со</w:t>
      </w:r>
      <w:r w:rsidRPr="00271E51">
        <w:rPr>
          <w:rFonts w:ascii="Times New Roman" w:hAnsi="Times New Roman"/>
          <w:color w:val="000000" w:themeColor="text1"/>
          <w:sz w:val="16"/>
          <w:szCs w:val="16"/>
        </w:rPr>
        <w:softHyphen/>
        <w:t>бирали мотоциклы. Тара была высококачественной, внутри ящики были обиты толем, все отверстия в узлах и деталях заглушены, металлические поверхности смазаны, в каж</w:t>
      </w:r>
      <w:r w:rsidRPr="00271E51">
        <w:rPr>
          <w:rFonts w:ascii="Times New Roman" w:hAnsi="Times New Roman"/>
          <w:color w:val="000000" w:themeColor="text1"/>
          <w:sz w:val="16"/>
          <w:szCs w:val="16"/>
        </w:rPr>
        <w:softHyphen/>
        <w:t>дый ящик вложены заряжен</w:t>
      </w:r>
      <w:r w:rsidRPr="00271E51">
        <w:rPr>
          <w:rFonts w:ascii="Times New Roman" w:hAnsi="Times New Roman"/>
          <w:color w:val="000000" w:themeColor="text1"/>
          <w:sz w:val="16"/>
          <w:szCs w:val="16"/>
        </w:rPr>
        <w:softHyphen/>
        <w:t>ный аккумулятор, ремкомп-лект, индивидуальный инст</w:t>
      </w:r>
      <w:r w:rsidRPr="00271E51">
        <w:rPr>
          <w:rFonts w:ascii="Times New Roman" w:hAnsi="Times New Roman"/>
          <w:color w:val="000000" w:themeColor="text1"/>
          <w:sz w:val="16"/>
          <w:szCs w:val="16"/>
        </w:rPr>
        <w:softHyphen/>
        <w:t>румент [5.45].</w:t>
      </w:r>
    </w:p>
    <w:p w14:paraId="1532299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 сборкой к раме мо</w:t>
      </w:r>
      <w:r w:rsidRPr="00271E51">
        <w:rPr>
          <w:rFonts w:ascii="Times New Roman" w:hAnsi="Times New Roman"/>
          <w:color w:val="000000" w:themeColor="text1"/>
          <w:sz w:val="16"/>
          <w:szCs w:val="16"/>
        </w:rPr>
        <w:softHyphen/>
        <w:t>тоцикла Харлей-Дэвидсон для крепления коляски приварива</w:t>
      </w:r>
      <w:r w:rsidRPr="00271E51">
        <w:rPr>
          <w:rFonts w:ascii="Times New Roman" w:hAnsi="Times New Roman"/>
          <w:color w:val="000000" w:themeColor="text1"/>
          <w:sz w:val="16"/>
          <w:szCs w:val="16"/>
        </w:rPr>
        <w:softHyphen/>
        <w:t>ли специальный кронштейн с шарниром, спроектированным кон</w:t>
      </w:r>
      <w:r w:rsidRPr="00271E51">
        <w:rPr>
          <w:rFonts w:ascii="Times New Roman" w:hAnsi="Times New Roman"/>
          <w:color w:val="000000" w:themeColor="text1"/>
          <w:sz w:val="16"/>
          <w:szCs w:val="16"/>
        </w:rPr>
        <w:softHyphen/>
        <w:t>структорами ВКБ Главмотовелопрома [5.89] и изготовленным на ММЗ [5.90]. Обычно двигатели мотоциклов были настроенными: после сборки машин оставалось подтянуть тросы и отрегулиро</w:t>
      </w:r>
      <w:r w:rsidRPr="00271E51">
        <w:rPr>
          <w:rFonts w:ascii="Times New Roman" w:hAnsi="Times New Roman"/>
          <w:color w:val="000000" w:themeColor="text1"/>
          <w:sz w:val="16"/>
          <w:szCs w:val="16"/>
        </w:rPr>
        <w:softHyphen/>
        <w:t>вать карбюратор, что не занимало много времени. Американские мотоциклы вместе с прикрепленными к ним колясками обкаты</w:t>
      </w:r>
      <w:r w:rsidRPr="00271E51">
        <w:rPr>
          <w:rFonts w:ascii="Times New Roman" w:hAnsi="Times New Roman"/>
          <w:color w:val="000000" w:themeColor="text1"/>
          <w:sz w:val="16"/>
          <w:szCs w:val="16"/>
        </w:rPr>
        <w:softHyphen/>
        <w:t>вали, а затем отправляли на Рижскую-товарную станцию своим ходом так же, как М-72 [5.47]. Поставки в ГБТУ собранных мото</w:t>
      </w:r>
      <w:r w:rsidRPr="00271E51">
        <w:rPr>
          <w:rFonts w:ascii="Times New Roman" w:hAnsi="Times New Roman"/>
          <w:color w:val="000000" w:themeColor="text1"/>
          <w:sz w:val="16"/>
          <w:szCs w:val="16"/>
        </w:rPr>
        <w:softHyphen/>
        <w:t>циклов БТРЗ № 20 приведены в табл. 26 [5.91].</w:t>
      </w:r>
    </w:p>
    <w:p w14:paraId="407134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A907A5" w:rsidRPr="00271E51" w14:paraId="4D7082F6" w14:textId="77777777" w:rsidTr="00ED5B0A">
        <w:trPr>
          <w:trHeight w:val="547"/>
        </w:trPr>
        <w:tc>
          <w:tcPr>
            <w:tcW w:w="730" w:type="dxa"/>
            <w:tcBorders>
              <w:top w:val="single" w:sz="6" w:space="0" w:color="auto"/>
              <w:left w:val="single" w:sz="6" w:space="0" w:color="auto"/>
              <w:bottom w:val="single" w:sz="6" w:space="0" w:color="auto"/>
              <w:right w:val="single" w:sz="6" w:space="0" w:color="auto"/>
            </w:tcBorders>
          </w:tcPr>
          <w:p w14:paraId="5206851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w:t>
            </w:r>
          </w:p>
          <w:p w14:paraId="5F2C85A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A10C1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План,</w:t>
            </w:r>
          </w:p>
          <w:p w14:paraId="7FDA017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шт.</w:t>
            </w:r>
          </w:p>
          <w:p w14:paraId="6976FD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4F798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Факти</w:t>
            </w:r>
            <w:r w:rsidRPr="00271E51">
              <w:rPr>
                <w:rFonts w:ascii="Times New Roman" w:hAnsi="Times New Roman"/>
                <w:color w:val="000000" w:themeColor="text1"/>
                <w:sz w:val="16"/>
                <w:szCs w:val="16"/>
              </w:rPr>
              <w:softHyphen/>
              <w:t>чески, шт.</w:t>
            </w:r>
          </w:p>
          <w:p w14:paraId="79ADE36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EFA25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D7A07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CDDECC" w14:textId="77777777" w:rsidTr="00ED5B0A">
        <w:trPr>
          <w:trHeight w:val="566"/>
        </w:trPr>
        <w:tc>
          <w:tcPr>
            <w:tcW w:w="730" w:type="dxa"/>
            <w:tcBorders>
              <w:top w:val="single" w:sz="6" w:space="0" w:color="auto"/>
              <w:left w:val="single" w:sz="6" w:space="0" w:color="auto"/>
              <w:bottom w:val="nil"/>
              <w:right w:val="single" w:sz="6" w:space="0" w:color="auto"/>
            </w:tcBorders>
          </w:tcPr>
          <w:p w14:paraId="705CE8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1943 </w:t>
            </w:r>
          </w:p>
          <w:p w14:paraId="3750DE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48515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p w14:paraId="708FC1D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560CCA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w:t>
            </w:r>
          </w:p>
          <w:p w14:paraId="43D27E6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7D4823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65,6</w:t>
            </w:r>
          </w:p>
          <w:p w14:paraId="5377E66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C2F0F5A" w14:textId="77777777" w:rsidTr="00ED5B0A">
        <w:trPr>
          <w:trHeight w:val="566"/>
        </w:trPr>
        <w:tc>
          <w:tcPr>
            <w:tcW w:w="730" w:type="dxa"/>
            <w:tcBorders>
              <w:top w:val="single" w:sz="6" w:space="0" w:color="auto"/>
              <w:left w:val="single" w:sz="6" w:space="0" w:color="auto"/>
              <w:bottom w:val="nil"/>
              <w:right w:val="single" w:sz="6" w:space="0" w:color="auto"/>
            </w:tcBorders>
          </w:tcPr>
          <w:p w14:paraId="29E8FD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tc>
        <w:tc>
          <w:tcPr>
            <w:tcW w:w="720" w:type="dxa"/>
            <w:tcBorders>
              <w:top w:val="single" w:sz="6" w:space="0" w:color="auto"/>
              <w:left w:val="single" w:sz="6" w:space="0" w:color="auto"/>
              <w:bottom w:val="nil"/>
              <w:right w:val="single" w:sz="6" w:space="0" w:color="auto"/>
            </w:tcBorders>
          </w:tcPr>
          <w:p w14:paraId="6A51AC4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950" w:type="dxa"/>
            <w:tcBorders>
              <w:top w:val="single" w:sz="6" w:space="0" w:color="auto"/>
              <w:left w:val="single" w:sz="6" w:space="0" w:color="auto"/>
              <w:bottom w:val="nil"/>
              <w:right w:val="single" w:sz="6" w:space="0" w:color="auto"/>
            </w:tcBorders>
          </w:tcPr>
          <w:p w14:paraId="5A4A1F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tc>
        <w:tc>
          <w:tcPr>
            <w:tcW w:w="739" w:type="dxa"/>
            <w:tcBorders>
              <w:top w:val="single" w:sz="6" w:space="0" w:color="auto"/>
              <w:left w:val="single" w:sz="6" w:space="0" w:color="auto"/>
              <w:bottom w:val="nil"/>
              <w:right w:val="single" w:sz="6" w:space="0" w:color="auto"/>
            </w:tcBorders>
          </w:tcPr>
          <w:p w14:paraId="68A7E5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06A6333" w14:textId="77777777" w:rsidTr="00ED5B0A">
        <w:trPr>
          <w:trHeight w:val="374"/>
        </w:trPr>
        <w:tc>
          <w:tcPr>
            <w:tcW w:w="730" w:type="dxa"/>
            <w:tcBorders>
              <w:top w:val="nil"/>
              <w:left w:val="single" w:sz="6" w:space="0" w:color="auto"/>
              <w:bottom w:val="single" w:sz="6" w:space="0" w:color="auto"/>
              <w:right w:val="single" w:sz="6" w:space="0" w:color="auto"/>
            </w:tcBorders>
          </w:tcPr>
          <w:p w14:paraId="046CAD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w:t>
            </w:r>
          </w:p>
          <w:p w14:paraId="58494EC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F613B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450</w:t>
            </w:r>
          </w:p>
          <w:p w14:paraId="202E077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20E052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351</w:t>
            </w:r>
          </w:p>
          <w:p w14:paraId="58CB65D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0E0E4CD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78,0</w:t>
            </w:r>
          </w:p>
          <w:p w14:paraId="55A75B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6C5AC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БТРЗ № 20 за 1942-1945 гг. выпустил более 10 тыс. мо</w:t>
      </w:r>
      <w:r w:rsidRPr="00271E51">
        <w:rPr>
          <w:rFonts w:ascii="Times New Roman" w:hAnsi="Times New Roman"/>
          <w:color w:val="000000" w:themeColor="text1"/>
          <w:sz w:val="16"/>
          <w:szCs w:val="16"/>
        </w:rPr>
        <w:softHyphen/>
        <w:t>тоциклов, среди которых - 351 «Харлей-Дэвидсон», что составило приблизительно 3,5% общего выпуска [5.92]. На БТРЗ № 20 могли бы собирать больше американских мотоциклов, но из-за недоста</w:t>
      </w:r>
      <w:r w:rsidRPr="00271E51">
        <w:rPr>
          <w:rFonts w:ascii="Times New Roman" w:hAnsi="Times New Roman"/>
          <w:color w:val="000000" w:themeColor="text1"/>
          <w:sz w:val="16"/>
          <w:szCs w:val="16"/>
        </w:rPr>
        <w:softHyphen/>
        <w:t>точных поставок колясок, изготавливаемых на ГАЗ, заводу прихо</w:t>
      </w:r>
      <w:r w:rsidRPr="00271E51">
        <w:rPr>
          <w:rFonts w:ascii="Times New Roman" w:hAnsi="Times New Roman"/>
          <w:color w:val="000000" w:themeColor="text1"/>
          <w:sz w:val="16"/>
          <w:szCs w:val="16"/>
        </w:rPr>
        <w:softHyphen/>
        <w:t>дилось в первую очередь восстанавливать М-72 [5.47]. БТРЗ № 20 просуществовал до 1 февраля 1946 г. [5.92]. Основные фонды БТРЗ № 20 и значительную часть сотрудников перевели на БТРЗ № 24 в г. Мытищи Московской области, где освоили ремонт оте</w:t>
      </w:r>
      <w:r w:rsidRPr="00271E51">
        <w:rPr>
          <w:rFonts w:ascii="Times New Roman" w:hAnsi="Times New Roman"/>
          <w:color w:val="000000" w:themeColor="text1"/>
          <w:sz w:val="16"/>
          <w:szCs w:val="16"/>
        </w:rPr>
        <w:softHyphen/>
        <w:t>чественных мотоциклов М-72 (в 1946 г. восстановили 50 М-72), однако в дальнейшем мотоциклы не ремонтировали [5.47].</w:t>
      </w:r>
    </w:p>
    <w:p w14:paraId="43E2F6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271E51">
        <w:rPr>
          <w:rFonts w:ascii="Times New Roman" w:hAnsi="Times New Roman"/>
          <w:color w:val="000000" w:themeColor="text1"/>
          <w:sz w:val="16"/>
          <w:szCs w:val="16"/>
        </w:rPr>
        <w:softHyphen/>
        <w:t>мыми, а на американском - разные: на мотоцикле - оба американ</w:t>
      </w:r>
      <w:r w:rsidRPr="00271E51">
        <w:rPr>
          <w:rFonts w:ascii="Times New Roman" w:hAnsi="Times New Roman"/>
          <w:color w:val="000000" w:themeColor="text1"/>
          <w:sz w:val="16"/>
          <w:szCs w:val="16"/>
        </w:rPr>
        <w:softHyphen/>
        <w:t>ские невзаимозаменяемые, а на коляске - отечественное от М-72 (11429).</w:t>
      </w:r>
    </w:p>
    <w:p w14:paraId="752042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3BE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1943-1945 гг. на ММЗ выполняли сложные многоплановые работы:</w:t>
      </w:r>
    </w:p>
    <w:p w14:paraId="31CE4A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крепление мотоколясок к одиночным мотоциклам М-72 и АМ-600, изготовленным на ИМЗ, ГМЗ и ТМЗ;</w:t>
      </w:r>
    </w:p>
    <w:p w14:paraId="520DBD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ремонт трофейных мотоциклов;</w:t>
      </w:r>
    </w:p>
    <w:p w14:paraId="741FB1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изготовление ремкомплектов к М-72 и трофейным мотоци</w:t>
      </w:r>
      <w:r w:rsidRPr="00271E51">
        <w:rPr>
          <w:rFonts w:ascii="Times New Roman" w:hAnsi="Times New Roman"/>
          <w:color w:val="000000" w:themeColor="text1"/>
          <w:sz w:val="16"/>
          <w:szCs w:val="16"/>
        </w:rPr>
        <w:softHyphen/>
        <w:t>клам, а также узлов крепления мотоколясок к трофейным и по</w:t>
      </w:r>
      <w:r w:rsidRPr="00271E51">
        <w:rPr>
          <w:rFonts w:ascii="Times New Roman" w:hAnsi="Times New Roman"/>
          <w:color w:val="000000" w:themeColor="text1"/>
          <w:sz w:val="16"/>
          <w:szCs w:val="16"/>
        </w:rPr>
        <w:softHyphen/>
        <w:t>лучаемым по Ленд-лизу мотоциклам;</w:t>
      </w:r>
    </w:p>
    <w:p w14:paraId="7EE3BE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сборка мотоциклов из комплектов, получаемых по Ленд-лизу.</w:t>
      </w:r>
    </w:p>
    <w:p w14:paraId="021061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Сведения о поставках в Красную Армию мотоциклов, собран</w:t>
      </w:r>
      <w:r w:rsidRPr="00271E51">
        <w:rPr>
          <w:rFonts w:ascii="Times New Roman" w:hAnsi="Times New Roman"/>
          <w:color w:val="000000" w:themeColor="text1"/>
          <w:sz w:val="16"/>
          <w:szCs w:val="16"/>
        </w:rPr>
        <w:softHyphen/>
        <w:t>ных из комплектов, получаемых по Ленд-лизу, приведены в табл. 27 [5.91]. Всего в течение Великой Отечественной войны на ММЗ собрали 14 347 мотоциклов из комплектов, поставлен</w:t>
      </w:r>
      <w:r w:rsidRPr="00271E51">
        <w:rPr>
          <w:rFonts w:ascii="Times New Roman" w:hAnsi="Times New Roman"/>
          <w:color w:val="000000" w:themeColor="text1"/>
          <w:sz w:val="16"/>
          <w:szCs w:val="16"/>
        </w:rPr>
        <w:softHyphen/>
        <w:t>ных союзниками по Ленд-лизу.</w:t>
      </w:r>
    </w:p>
    <w:p w14:paraId="498AE1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Таблица 27 Сборка импортных мотоциклов за период 1942-апрель1945г</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40"/>
        <w:gridCol w:w="662"/>
        <w:gridCol w:w="691"/>
        <w:gridCol w:w="701"/>
        <w:gridCol w:w="701"/>
        <w:gridCol w:w="787"/>
      </w:tblGrid>
      <w:tr w:rsidR="00A907A5" w:rsidRPr="00271E51" w14:paraId="32FDF03E" w14:textId="77777777" w:rsidTr="00ED5B0A">
        <w:trPr>
          <w:trHeight w:val="403"/>
        </w:trPr>
        <w:tc>
          <w:tcPr>
            <w:tcW w:w="1507" w:type="dxa"/>
            <w:tcBorders>
              <w:top w:val="single" w:sz="6" w:space="0" w:color="auto"/>
              <w:left w:val="single" w:sz="6" w:space="0" w:color="auto"/>
              <w:bottom w:val="nil"/>
              <w:right w:val="single" w:sz="6" w:space="0" w:color="auto"/>
            </w:tcBorders>
          </w:tcPr>
          <w:p w14:paraId="6FE788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w:t>
            </w:r>
          </w:p>
          <w:p w14:paraId="205A9E7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4F7EAD0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мотоцикла</w:t>
            </w:r>
          </w:p>
          <w:p w14:paraId="49C09E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55" w:type="dxa"/>
            <w:gridSpan w:val="4"/>
            <w:tcBorders>
              <w:top w:val="single" w:sz="6" w:space="0" w:color="auto"/>
              <w:left w:val="single" w:sz="6" w:space="0" w:color="auto"/>
              <w:bottom w:val="single" w:sz="6" w:space="0" w:color="auto"/>
              <w:right w:val="single" w:sz="6" w:space="0" w:color="auto"/>
            </w:tcBorders>
          </w:tcPr>
          <w:p w14:paraId="7D9E3C4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Собрано по годам</w:t>
            </w:r>
          </w:p>
          <w:p w14:paraId="3A7B102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1E27E0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w:t>
            </w:r>
          </w:p>
          <w:p w14:paraId="7AE4B4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EEF5EEF" w14:textId="77777777" w:rsidTr="00ED5B0A">
        <w:trPr>
          <w:trHeight w:val="374"/>
        </w:trPr>
        <w:tc>
          <w:tcPr>
            <w:tcW w:w="1507" w:type="dxa"/>
            <w:tcBorders>
              <w:top w:val="nil"/>
              <w:left w:val="single" w:sz="6" w:space="0" w:color="auto"/>
              <w:bottom w:val="single" w:sz="6" w:space="0" w:color="auto"/>
              <w:right w:val="single" w:sz="6" w:space="0" w:color="auto"/>
            </w:tcBorders>
          </w:tcPr>
          <w:p w14:paraId="52F656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E82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11F58C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B6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7B531B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1942</w:t>
            </w:r>
          </w:p>
          <w:p w14:paraId="3E5C1B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E8658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w:t>
            </w:r>
          </w:p>
          <w:p w14:paraId="3306A85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1750A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1944</w:t>
            </w:r>
          </w:p>
          <w:p w14:paraId="222510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2EEA5E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1945</w:t>
            </w:r>
          </w:p>
          <w:p w14:paraId="185F39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18215E4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2A75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BE0C89E" w14:textId="77777777" w:rsidTr="00ED5B0A">
        <w:trPr>
          <w:trHeight w:val="365"/>
        </w:trPr>
        <w:tc>
          <w:tcPr>
            <w:tcW w:w="1507" w:type="dxa"/>
            <w:tcBorders>
              <w:top w:val="single" w:sz="6" w:space="0" w:color="auto"/>
              <w:left w:val="single" w:sz="6" w:space="0" w:color="auto"/>
              <w:bottom w:val="nil"/>
              <w:right w:val="single" w:sz="6" w:space="0" w:color="auto"/>
            </w:tcBorders>
          </w:tcPr>
          <w:p w14:paraId="6019A83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ММЗ</w:t>
            </w:r>
          </w:p>
          <w:p w14:paraId="5356A14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D75876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Индиан с/к</w:t>
            </w:r>
          </w:p>
          <w:p w14:paraId="60D7F1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6" w:space="0" w:color="auto"/>
              <w:left w:val="single" w:sz="6" w:space="0" w:color="auto"/>
              <w:bottom w:val="nil"/>
              <w:right w:val="single" w:sz="6" w:space="0" w:color="auto"/>
            </w:tcBorders>
          </w:tcPr>
          <w:p w14:paraId="5755C4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1055D8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486F35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1072</w:t>
            </w:r>
          </w:p>
          <w:p w14:paraId="6D61FE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637BB4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1BC8D70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02EE5F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0DC3DC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2DEE72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1072</w:t>
            </w:r>
          </w:p>
          <w:p w14:paraId="2F99D7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586B7F" w14:textId="77777777" w:rsidTr="00ED5B0A">
        <w:trPr>
          <w:trHeight w:val="221"/>
        </w:trPr>
        <w:tc>
          <w:tcPr>
            <w:tcW w:w="1507" w:type="dxa"/>
            <w:tcBorders>
              <w:top w:val="nil"/>
              <w:left w:val="single" w:sz="6" w:space="0" w:color="auto"/>
              <w:bottom w:val="nil"/>
              <w:right w:val="single" w:sz="6" w:space="0" w:color="auto"/>
            </w:tcBorders>
          </w:tcPr>
          <w:p w14:paraId="397D251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05FA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D5FD5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Х/Дс/к</w:t>
            </w:r>
          </w:p>
          <w:p w14:paraId="508F846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2CD7D7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F7A34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3E2DE0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1817</w:t>
            </w:r>
          </w:p>
          <w:p w14:paraId="0104AF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2BDE82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6204</w:t>
            </w:r>
          </w:p>
          <w:p w14:paraId="124D9D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468F4D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1905</w:t>
            </w:r>
          </w:p>
          <w:p w14:paraId="02ADA7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AF50C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9926</w:t>
            </w:r>
          </w:p>
          <w:p w14:paraId="05E6A5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E947267" w14:textId="77777777" w:rsidTr="00ED5B0A">
        <w:trPr>
          <w:trHeight w:val="221"/>
        </w:trPr>
        <w:tc>
          <w:tcPr>
            <w:tcW w:w="1507" w:type="dxa"/>
            <w:tcBorders>
              <w:top w:val="nil"/>
              <w:left w:val="single" w:sz="6" w:space="0" w:color="auto"/>
              <w:bottom w:val="nil"/>
              <w:right w:val="single" w:sz="6" w:space="0" w:color="auto"/>
            </w:tcBorders>
          </w:tcPr>
          <w:p w14:paraId="6720E8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94238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2251A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Индиан б/к</w:t>
            </w:r>
          </w:p>
          <w:p w14:paraId="14854CB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58DC98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1CB35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0BC61D4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1415</w:t>
            </w:r>
          </w:p>
          <w:p w14:paraId="4A5E2ED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1A38E1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191</w:t>
            </w:r>
          </w:p>
          <w:p w14:paraId="131F7B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9CC29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866AC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45E569B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1606</w:t>
            </w:r>
          </w:p>
          <w:p w14:paraId="0D1661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850F45" w14:textId="77777777" w:rsidTr="00ED5B0A">
        <w:trPr>
          <w:trHeight w:val="230"/>
        </w:trPr>
        <w:tc>
          <w:tcPr>
            <w:tcW w:w="1507" w:type="dxa"/>
            <w:tcBorders>
              <w:top w:val="nil"/>
              <w:left w:val="single" w:sz="6" w:space="0" w:color="auto"/>
              <w:bottom w:val="nil"/>
              <w:right w:val="single" w:sz="6" w:space="0" w:color="auto"/>
            </w:tcBorders>
          </w:tcPr>
          <w:p w14:paraId="0FF5A9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DAD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16657D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Х/Дб/к</w:t>
            </w:r>
          </w:p>
          <w:p w14:paraId="4E8F82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72805D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1982F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0675D6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1A556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EF29A7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1345</w:t>
            </w:r>
          </w:p>
          <w:p w14:paraId="6C1DEBC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2EC06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w:t>
            </w:r>
          </w:p>
          <w:p w14:paraId="43BFF7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68099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1586</w:t>
            </w:r>
          </w:p>
          <w:p w14:paraId="7E96353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019FFD" w14:textId="77777777" w:rsidTr="00ED5B0A">
        <w:trPr>
          <w:trHeight w:val="202"/>
        </w:trPr>
        <w:tc>
          <w:tcPr>
            <w:tcW w:w="1507" w:type="dxa"/>
            <w:tcBorders>
              <w:top w:val="nil"/>
              <w:left w:val="single" w:sz="6" w:space="0" w:color="auto"/>
              <w:bottom w:val="nil"/>
              <w:right w:val="single" w:sz="6" w:space="0" w:color="auto"/>
            </w:tcBorders>
          </w:tcPr>
          <w:p w14:paraId="02A7A73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647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5A8B9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Велосет б/к</w:t>
            </w:r>
          </w:p>
          <w:p w14:paraId="64D68F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163AF3B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EA46E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354228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625869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28AA0BF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p w14:paraId="1E995E1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CBB79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F1E4E1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08A5C44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41</w:t>
            </w:r>
          </w:p>
          <w:p w14:paraId="5A66E8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D52D14" w14:textId="77777777" w:rsidTr="00ED5B0A">
        <w:trPr>
          <w:trHeight w:val="221"/>
        </w:trPr>
        <w:tc>
          <w:tcPr>
            <w:tcW w:w="1507" w:type="dxa"/>
            <w:tcBorders>
              <w:top w:val="nil"/>
              <w:left w:val="single" w:sz="6" w:space="0" w:color="auto"/>
              <w:bottom w:val="nil"/>
              <w:right w:val="single" w:sz="6" w:space="0" w:color="auto"/>
            </w:tcBorders>
          </w:tcPr>
          <w:p w14:paraId="0E637D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4F4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F86B4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Матчес б/к</w:t>
            </w:r>
          </w:p>
          <w:p w14:paraId="6DC435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1B4A235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63B00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2094A8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2182D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48CA4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528BC71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7613B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845085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1B5E5E4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w:t>
            </w:r>
          </w:p>
          <w:p w14:paraId="0E54A8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2DF8A7" w14:textId="77777777" w:rsidTr="00ED5B0A">
        <w:trPr>
          <w:trHeight w:val="221"/>
        </w:trPr>
        <w:tc>
          <w:tcPr>
            <w:tcW w:w="1507" w:type="dxa"/>
            <w:tcBorders>
              <w:top w:val="nil"/>
              <w:left w:val="single" w:sz="6" w:space="0" w:color="auto"/>
              <w:bottom w:val="nil"/>
              <w:right w:val="single" w:sz="6" w:space="0" w:color="auto"/>
            </w:tcBorders>
          </w:tcPr>
          <w:p w14:paraId="6D2F52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73300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1D0546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БСА б/к</w:t>
            </w:r>
          </w:p>
          <w:p w14:paraId="6E6494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23B466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ADD9B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0295966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FB7136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D7137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w:t>
            </w:r>
          </w:p>
          <w:p w14:paraId="2B5917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13D841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A57706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780D3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w:t>
            </w:r>
          </w:p>
          <w:p w14:paraId="644DF1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A08155" w14:textId="77777777" w:rsidTr="00ED5B0A">
        <w:trPr>
          <w:trHeight w:val="278"/>
        </w:trPr>
        <w:tc>
          <w:tcPr>
            <w:tcW w:w="1507" w:type="dxa"/>
            <w:tcBorders>
              <w:top w:val="nil"/>
              <w:left w:val="single" w:sz="6" w:space="0" w:color="auto"/>
              <w:bottom w:val="nil"/>
              <w:right w:val="single" w:sz="6" w:space="0" w:color="auto"/>
            </w:tcBorders>
          </w:tcPr>
          <w:p w14:paraId="07A8D9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F3A4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45CD0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на ММЗ</w:t>
            </w:r>
          </w:p>
          <w:p w14:paraId="17A842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2D080B7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8AB8C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584CED2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4304</w:t>
            </w:r>
          </w:p>
          <w:p w14:paraId="1A32B4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265003A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7897</w:t>
            </w:r>
          </w:p>
          <w:p w14:paraId="66A9FBC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222E06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2146</w:t>
            </w:r>
          </w:p>
          <w:p w14:paraId="5AC0D4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296018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14 347</w:t>
            </w:r>
          </w:p>
          <w:p w14:paraId="3FC64D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DCB7FB4" w14:textId="77777777" w:rsidTr="00ED5B0A">
        <w:trPr>
          <w:trHeight w:val="298"/>
        </w:trPr>
        <w:tc>
          <w:tcPr>
            <w:tcW w:w="1507" w:type="dxa"/>
            <w:tcBorders>
              <w:top w:val="nil"/>
              <w:left w:val="single" w:sz="6" w:space="0" w:color="auto"/>
              <w:bottom w:val="nil"/>
              <w:right w:val="single" w:sz="6" w:space="0" w:color="auto"/>
            </w:tcBorders>
          </w:tcPr>
          <w:p w14:paraId="698E6C8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смз</w:t>
            </w:r>
          </w:p>
          <w:p w14:paraId="17E637E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75FC8A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Х/Дс/к</w:t>
            </w:r>
          </w:p>
          <w:p w14:paraId="74672A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34DF0C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BEF1F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4F94A6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w:t>
            </w:r>
          </w:p>
          <w:p w14:paraId="14BB04E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5B8AE7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90B13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8E5EC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79CA5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7F8156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293</w:t>
            </w:r>
          </w:p>
          <w:p w14:paraId="1FD0F1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DD14317" w14:textId="77777777" w:rsidTr="00ED5B0A">
        <w:trPr>
          <w:trHeight w:val="221"/>
        </w:trPr>
        <w:tc>
          <w:tcPr>
            <w:tcW w:w="1507" w:type="dxa"/>
            <w:tcBorders>
              <w:top w:val="nil"/>
              <w:left w:val="single" w:sz="6" w:space="0" w:color="auto"/>
              <w:bottom w:val="nil"/>
              <w:right w:val="single" w:sz="6" w:space="0" w:color="auto"/>
            </w:tcBorders>
          </w:tcPr>
          <w:p w14:paraId="72EED5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7B1FE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182DA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Х/Дб/к</w:t>
            </w:r>
          </w:p>
          <w:p w14:paraId="53FC799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17D228C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472D1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73EB579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659</w:t>
            </w:r>
          </w:p>
          <w:p w14:paraId="268B4EF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4961F6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p w14:paraId="4E35E97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54A48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DC1DCA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613A7E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683</w:t>
            </w:r>
          </w:p>
          <w:p w14:paraId="1C0B6FE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8E1F6F" w14:textId="77777777" w:rsidTr="00ED5B0A">
        <w:trPr>
          <w:trHeight w:val="259"/>
        </w:trPr>
        <w:tc>
          <w:tcPr>
            <w:tcW w:w="1507" w:type="dxa"/>
            <w:tcBorders>
              <w:top w:val="nil"/>
              <w:left w:val="single" w:sz="6" w:space="0" w:color="auto"/>
              <w:bottom w:val="nil"/>
              <w:right w:val="single" w:sz="6" w:space="0" w:color="auto"/>
            </w:tcBorders>
          </w:tcPr>
          <w:p w14:paraId="6007B6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F459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504DE7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на СМЗ</w:t>
            </w:r>
          </w:p>
          <w:p w14:paraId="57A4FFB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6FF1DE5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CEBED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71F97FE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952</w:t>
            </w:r>
          </w:p>
          <w:p w14:paraId="0BAC77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275B2F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w:t>
            </w:r>
          </w:p>
          <w:p w14:paraId="285F0A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117B6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5B685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261FA20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976</w:t>
            </w:r>
          </w:p>
          <w:p w14:paraId="2696E2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39E8C04" w14:textId="77777777" w:rsidTr="00ED5B0A">
        <w:trPr>
          <w:trHeight w:val="355"/>
        </w:trPr>
        <w:tc>
          <w:tcPr>
            <w:tcW w:w="1507" w:type="dxa"/>
            <w:tcBorders>
              <w:top w:val="nil"/>
              <w:left w:val="single" w:sz="6" w:space="0" w:color="auto"/>
              <w:bottom w:val="nil"/>
              <w:right w:val="single" w:sz="6" w:space="0" w:color="auto"/>
            </w:tcBorders>
          </w:tcPr>
          <w:p w14:paraId="3858A8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БТРЗ № 20</w:t>
            </w:r>
          </w:p>
          <w:p w14:paraId="3C54C65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1B49CD5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Х/Дс/к</w:t>
            </w:r>
          </w:p>
          <w:p w14:paraId="7956BB3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0F5869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DD027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4594A5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295</w:t>
            </w:r>
          </w:p>
          <w:p w14:paraId="729307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D9274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w:t>
            </w:r>
          </w:p>
          <w:p w14:paraId="468411B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3A8D40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EDBDB8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2380A31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351</w:t>
            </w:r>
          </w:p>
          <w:p w14:paraId="18FE01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435A6F" w14:textId="77777777" w:rsidTr="00ED5B0A">
        <w:trPr>
          <w:trHeight w:val="288"/>
        </w:trPr>
        <w:tc>
          <w:tcPr>
            <w:tcW w:w="1507" w:type="dxa"/>
            <w:tcBorders>
              <w:top w:val="nil"/>
              <w:left w:val="single" w:sz="6" w:space="0" w:color="auto"/>
              <w:bottom w:val="nil"/>
              <w:right w:val="single" w:sz="6" w:space="0" w:color="auto"/>
            </w:tcBorders>
          </w:tcPr>
          <w:p w14:paraId="546E582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ХВЗ</w:t>
            </w:r>
          </w:p>
          <w:p w14:paraId="2837F2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564FC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БСА б/к</w:t>
            </w:r>
          </w:p>
          <w:p w14:paraId="0E4557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154D7D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58D348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3C8D48C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32E887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B36D6B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w:t>
            </w:r>
          </w:p>
          <w:p w14:paraId="01D8D46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659085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0A125A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12D7B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w:t>
            </w:r>
          </w:p>
          <w:p w14:paraId="58E26B8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96D90C9" w14:textId="77777777" w:rsidTr="00ED5B0A">
        <w:trPr>
          <w:trHeight w:val="202"/>
        </w:trPr>
        <w:tc>
          <w:tcPr>
            <w:tcW w:w="1507" w:type="dxa"/>
            <w:tcBorders>
              <w:top w:val="nil"/>
              <w:left w:val="single" w:sz="6" w:space="0" w:color="auto"/>
              <w:bottom w:val="nil"/>
              <w:right w:val="single" w:sz="6" w:space="0" w:color="auto"/>
            </w:tcBorders>
          </w:tcPr>
          <w:p w14:paraId="0FF0FF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BC33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BCDFB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Велосет б/к</w:t>
            </w:r>
          </w:p>
          <w:p w14:paraId="182CA0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031BF31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624854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0BCFAD9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942A8B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4D4F0C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p w14:paraId="6C9DC3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B53FF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078711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0798801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48</w:t>
            </w:r>
          </w:p>
          <w:p w14:paraId="0077A7D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677D3D8" w14:textId="77777777" w:rsidTr="00ED5B0A">
        <w:trPr>
          <w:trHeight w:val="221"/>
        </w:trPr>
        <w:tc>
          <w:tcPr>
            <w:tcW w:w="1507" w:type="dxa"/>
            <w:tcBorders>
              <w:top w:val="nil"/>
              <w:left w:val="single" w:sz="6" w:space="0" w:color="auto"/>
              <w:bottom w:val="nil"/>
              <w:right w:val="single" w:sz="6" w:space="0" w:color="auto"/>
            </w:tcBorders>
          </w:tcPr>
          <w:p w14:paraId="4B5827A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696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1F42C3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Матчес б/к</w:t>
            </w:r>
          </w:p>
          <w:p w14:paraId="0F51AC3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4B48E9E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474293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601C63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C1F24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11B94C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0CB3983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0E2C58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6BFABB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22AB0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w:t>
            </w:r>
          </w:p>
          <w:p w14:paraId="2AC5847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FE8D2E" w14:textId="77777777" w:rsidTr="00ED5B0A">
        <w:trPr>
          <w:trHeight w:val="278"/>
        </w:trPr>
        <w:tc>
          <w:tcPr>
            <w:tcW w:w="1507" w:type="dxa"/>
            <w:tcBorders>
              <w:top w:val="nil"/>
              <w:left w:val="single" w:sz="6" w:space="0" w:color="auto"/>
              <w:bottom w:val="nil"/>
              <w:right w:val="single" w:sz="6" w:space="0" w:color="auto"/>
            </w:tcBorders>
          </w:tcPr>
          <w:p w14:paraId="6E0707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526E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0D24E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Итого на ХВЗ</w:t>
            </w:r>
          </w:p>
          <w:p w14:paraId="5F29A55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5BBA02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0A0C612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17F6F31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7D8E43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6B70B0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p w14:paraId="472F2D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7DEB6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3611704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560DC8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455</w:t>
            </w:r>
          </w:p>
          <w:p w14:paraId="69CF265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10C6868" w14:textId="77777777" w:rsidTr="00ED5B0A">
        <w:trPr>
          <w:trHeight w:val="365"/>
        </w:trPr>
        <w:tc>
          <w:tcPr>
            <w:tcW w:w="1507" w:type="dxa"/>
            <w:tcBorders>
              <w:top w:val="nil"/>
              <w:left w:val="single" w:sz="6" w:space="0" w:color="auto"/>
              <w:bottom w:val="nil"/>
              <w:right w:val="single" w:sz="6" w:space="0" w:color="auto"/>
            </w:tcBorders>
          </w:tcPr>
          <w:p w14:paraId="227AF2A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договору</w:t>
            </w:r>
          </w:p>
          <w:p w14:paraId="61BCD6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47620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 не выявлен</w:t>
            </w:r>
          </w:p>
          <w:p w14:paraId="62D0DC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019B74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3DDB19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2AF3FAF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2074</w:t>
            </w:r>
          </w:p>
          <w:p w14:paraId="6CF0226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365DF7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2172</w:t>
            </w:r>
          </w:p>
          <w:p w14:paraId="063A4AF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55AE0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w:t>
            </w:r>
          </w:p>
          <w:p w14:paraId="0A567D7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317AEF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4487</w:t>
            </w:r>
          </w:p>
          <w:p w14:paraId="2E9F51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CD156CA" w14:textId="77777777" w:rsidTr="00ED5B0A">
        <w:trPr>
          <w:trHeight w:val="288"/>
        </w:trPr>
        <w:tc>
          <w:tcPr>
            <w:tcW w:w="1507" w:type="dxa"/>
            <w:tcBorders>
              <w:top w:val="nil"/>
              <w:left w:val="single" w:sz="6" w:space="0" w:color="auto"/>
              <w:bottom w:val="nil"/>
              <w:right w:val="single" w:sz="6" w:space="0" w:color="auto"/>
            </w:tcBorders>
          </w:tcPr>
          <w:p w14:paraId="440E377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Склады</w:t>
            </w:r>
          </w:p>
          <w:p w14:paraId="7072E0B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0222C7F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Индиан б/к</w:t>
            </w:r>
          </w:p>
          <w:p w14:paraId="0B5CE96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0671E1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317</w:t>
            </w:r>
          </w:p>
          <w:p w14:paraId="59EA32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089792F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554</w:t>
            </w:r>
          </w:p>
          <w:p w14:paraId="39EE7B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CF85EF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2F5F051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B5400E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0B36FD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4ED56CE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871</w:t>
            </w:r>
          </w:p>
          <w:p w14:paraId="6CC0D5A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43C3F7D" w14:textId="77777777" w:rsidTr="00ED5B0A">
        <w:trPr>
          <w:trHeight w:val="202"/>
        </w:trPr>
        <w:tc>
          <w:tcPr>
            <w:tcW w:w="1507" w:type="dxa"/>
            <w:tcBorders>
              <w:top w:val="nil"/>
              <w:left w:val="single" w:sz="6" w:space="0" w:color="auto"/>
              <w:bottom w:val="nil"/>
              <w:right w:val="single" w:sz="6" w:space="0" w:color="auto"/>
            </w:tcBorders>
          </w:tcPr>
          <w:p w14:paraId="45FB453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C4EC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E86769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Велосет б/к</w:t>
            </w:r>
          </w:p>
          <w:p w14:paraId="778154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37A0232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140</w:t>
            </w:r>
          </w:p>
          <w:p w14:paraId="15717CC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3DCD214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w:t>
            </w:r>
          </w:p>
          <w:p w14:paraId="0181AC9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66C68E2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w:t>
            </w:r>
          </w:p>
          <w:p w14:paraId="6A48F0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B48AEA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7E5FDE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3EE5058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w:t>
            </w:r>
          </w:p>
          <w:p w14:paraId="731268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5BD6A33" w14:textId="77777777" w:rsidTr="00ED5B0A">
        <w:trPr>
          <w:trHeight w:val="211"/>
        </w:trPr>
        <w:tc>
          <w:tcPr>
            <w:tcW w:w="1507" w:type="dxa"/>
            <w:tcBorders>
              <w:top w:val="nil"/>
              <w:left w:val="single" w:sz="6" w:space="0" w:color="auto"/>
              <w:bottom w:val="nil"/>
              <w:right w:val="single" w:sz="6" w:space="0" w:color="auto"/>
            </w:tcBorders>
          </w:tcPr>
          <w:p w14:paraId="365C72D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AF0A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3D286E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Матчес б/к</w:t>
            </w:r>
          </w:p>
          <w:p w14:paraId="53370640"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00F7A8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380376F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77F8BB5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C3933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97F8F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0DB1B2D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7526AD8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7DD1D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28BE5D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p w14:paraId="2A03902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47B99DE" w14:textId="77777777" w:rsidTr="00ED5B0A">
        <w:trPr>
          <w:trHeight w:val="221"/>
        </w:trPr>
        <w:tc>
          <w:tcPr>
            <w:tcW w:w="1507" w:type="dxa"/>
            <w:tcBorders>
              <w:top w:val="nil"/>
              <w:left w:val="single" w:sz="6" w:space="0" w:color="auto"/>
              <w:bottom w:val="nil"/>
              <w:right w:val="single" w:sz="6" w:space="0" w:color="auto"/>
            </w:tcBorders>
          </w:tcPr>
          <w:p w14:paraId="2EA01E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B93F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6A281AD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БСА б/к</w:t>
            </w:r>
          </w:p>
          <w:p w14:paraId="1F9A4EB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7DCBC8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_</w:t>
            </w:r>
          </w:p>
          <w:p w14:paraId="0DD4218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1E166F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5DBDF52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5B72AE5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p w14:paraId="5997ED6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47BEE3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16EDE1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654A187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w:t>
            </w:r>
          </w:p>
          <w:p w14:paraId="6698F1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B67546" w14:textId="77777777" w:rsidTr="00ED5B0A">
        <w:trPr>
          <w:trHeight w:val="269"/>
        </w:trPr>
        <w:tc>
          <w:tcPr>
            <w:tcW w:w="1507" w:type="dxa"/>
            <w:tcBorders>
              <w:top w:val="nil"/>
              <w:left w:val="single" w:sz="6" w:space="0" w:color="auto"/>
              <w:bottom w:val="nil"/>
              <w:right w:val="single" w:sz="6" w:space="0" w:color="auto"/>
            </w:tcBorders>
          </w:tcPr>
          <w:p w14:paraId="64CA995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9613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24C367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Всего на</w:t>
            </w:r>
          </w:p>
          <w:p w14:paraId="775A0E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54E286F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457</w:t>
            </w:r>
          </w:p>
          <w:p w14:paraId="1160B58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4620E94A"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627</w:t>
            </w:r>
          </w:p>
          <w:p w14:paraId="77A28F4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25F770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w:t>
            </w:r>
          </w:p>
          <w:p w14:paraId="13651D8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292ABEC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67E59FF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6F37F35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1261</w:t>
            </w:r>
          </w:p>
          <w:p w14:paraId="507E6A0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8BE9CFE" w14:textId="77777777" w:rsidTr="00ED5B0A">
        <w:trPr>
          <w:trHeight w:val="240"/>
        </w:trPr>
        <w:tc>
          <w:tcPr>
            <w:tcW w:w="1507" w:type="dxa"/>
            <w:tcBorders>
              <w:top w:val="nil"/>
              <w:left w:val="single" w:sz="6" w:space="0" w:color="auto"/>
              <w:bottom w:val="nil"/>
              <w:right w:val="single" w:sz="6" w:space="0" w:color="auto"/>
            </w:tcBorders>
          </w:tcPr>
          <w:p w14:paraId="1EBDB3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8A010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3F55B86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складах</w:t>
            </w:r>
          </w:p>
          <w:p w14:paraId="568FA82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603383A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DF46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50A52A3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17F4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08CDE4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38EE3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4E1871D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D3996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42B1A20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269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BAC965" w14:textId="77777777" w:rsidTr="00ED5B0A">
        <w:trPr>
          <w:trHeight w:val="346"/>
        </w:trPr>
        <w:tc>
          <w:tcPr>
            <w:tcW w:w="1507" w:type="dxa"/>
            <w:tcBorders>
              <w:top w:val="nil"/>
              <w:left w:val="single" w:sz="6" w:space="0" w:color="auto"/>
              <w:bottom w:val="nil"/>
              <w:right w:val="single" w:sz="6" w:space="0" w:color="auto"/>
            </w:tcBorders>
          </w:tcPr>
          <w:p w14:paraId="4399C4B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Учебные полки</w:t>
            </w:r>
          </w:p>
          <w:p w14:paraId="7D1C97D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nil"/>
              <w:right w:val="single" w:sz="6" w:space="0" w:color="auto"/>
            </w:tcBorders>
          </w:tcPr>
          <w:p w14:paraId="4CF9FA8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Индиан б/к</w:t>
            </w:r>
          </w:p>
          <w:p w14:paraId="2D0C1A2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nil"/>
              <w:right w:val="single" w:sz="6" w:space="0" w:color="auto"/>
            </w:tcBorders>
          </w:tcPr>
          <w:p w14:paraId="44551F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096A10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nil"/>
              <w:right w:val="single" w:sz="6" w:space="0" w:color="auto"/>
            </w:tcBorders>
          </w:tcPr>
          <w:p w14:paraId="7DAC640E"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w:t>
            </w:r>
          </w:p>
          <w:p w14:paraId="5987571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3825A7E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17A76E36"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nil"/>
              <w:right w:val="single" w:sz="6" w:space="0" w:color="auto"/>
            </w:tcBorders>
          </w:tcPr>
          <w:p w14:paraId="0D3BDBEC"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p w14:paraId="4C70991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nil"/>
              <w:right w:val="single" w:sz="6" w:space="0" w:color="auto"/>
            </w:tcBorders>
          </w:tcPr>
          <w:p w14:paraId="16ADF59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648</w:t>
            </w:r>
          </w:p>
          <w:p w14:paraId="2AB2E9A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766066E" w14:textId="77777777" w:rsidTr="00ED5B0A">
        <w:trPr>
          <w:trHeight w:val="499"/>
        </w:trPr>
        <w:tc>
          <w:tcPr>
            <w:tcW w:w="1507" w:type="dxa"/>
            <w:tcBorders>
              <w:top w:val="nil"/>
              <w:left w:val="single" w:sz="6" w:space="0" w:color="auto"/>
              <w:bottom w:val="single" w:sz="6" w:space="0" w:color="auto"/>
              <w:right w:val="single" w:sz="6" w:space="0" w:color="auto"/>
            </w:tcBorders>
          </w:tcPr>
          <w:p w14:paraId="14CCE8BB"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Всего</w:t>
            </w:r>
          </w:p>
          <w:p w14:paraId="14091AE3"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C593ED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CCD02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nil"/>
              <w:left w:val="single" w:sz="6" w:space="0" w:color="auto"/>
              <w:bottom w:val="single" w:sz="6" w:space="0" w:color="auto"/>
              <w:right w:val="single" w:sz="6" w:space="0" w:color="auto"/>
            </w:tcBorders>
          </w:tcPr>
          <w:p w14:paraId="3A59CF9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457</w:t>
            </w:r>
          </w:p>
          <w:p w14:paraId="227DBDE2"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4CEA3B6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8900</w:t>
            </w:r>
          </w:p>
          <w:p w14:paraId="50F5B004"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7C6E5BDF"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10781</w:t>
            </w:r>
          </w:p>
          <w:p w14:paraId="30C772B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6E88EEA8"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2387</w:t>
            </w:r>
          </w:p>
          <w:p w14:paraId="16389FDD"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1559AC71"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22 525</w:t>
            </w:r>
          </w:p>
          <w:p w14:paraId="2C3925A5"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117B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(11429).</w:t>
      </w:r>
    </w:p>
    <w:p w14:paraId="09BB0F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E77F7"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СМЗ ориентировали на выпуск запчастей к мотоцик</w:t>
      </w:r>
      <w:r w:rsidRPr="00271E51">
        <w:rPr>
          <w:rFonts w:ascii="Times New Roman" w:hAnsi="Times New Roman"/>
          <w:color w:val="000000" w:themeColor="text1"/>
          <w:sz w:val="16"/>
          <w:szCs w:val="16"/>
        </w:rPr>
        <w:softHyphen/>
        <w:t>лам М-72 и АМ-600, а также на ремонт трофейных мотоциклов и сборку из комплектов мотоциклов, полученных по Ленд-лизу. Для улучшения этой работы, в соответствии с приказом № 3 НКСМ от 25 января 1944 г. пополняли станочный парк завода и наращивали численность специалистами за счёт перевода требуе</w:t>
      </w:r>
      <w:r w:rsidRPr="00271E51">
        <w:rPr>
          <w:rFonts w:ascii="Times New Roman" w:hAnsi="Times New Roman"/>
          <w:color w:val="000000" w:themeColor="text1"/>
          <w:sz w:val="16"/>
          <w:szCs w:val="16"/>
        </w:rPr>
        <w:softHyphen/>
        <w:t>мых сотрудников с других предприятий. Так, на СМЗ с ГМЗ на</w:t>
      </w:r>
      <w:r w:rsidRPr="00271E51">
        <w:rPr>
          <w:rFonts w:ascii="Times New Roman" w:hAnsi="Times New Roman"/>
          <w:color w:val="000000" w:themeColor="text1"/>
          <w:sz w:val="16"/>
          <w:szCs w:val="16"/>
        </w:rPr>
        <w:softHyphen/>
        <w:t>правили оборудование и инструменты, а с закрывавшегося ТМЗ -7 ИТР и 18 рабочих [5.95]. На СМЗ продолжали ремонтировать трофейные и отечественные мотоциклы. В среднем фабрично-заводская себестоимость ремонта одного мотоцикла составляла 5858 р., а коммерческая - 5908 р. К началу 1945 г. на СМЗ нако</w:t>
      </w:r>
      <w:r w:rsidRPr="00271E51">
        <w:rPr>
          <w:rFonts w:ascii="Times New Roman" w:hAnsi="Times New Roman"/>
          <w:color w:val="000000" w:themeColor="text1"/>
          <w:sz w:val="16"/>
          <w:szCs w:val="16"/>
        </w:rPr>
        <w:softHyphen/>
        <w:t>пилось неотправленной заказчикам продукции на 80 тыс. р. [5.96]. Одна из трудностей завода состояла в недостатке поставок изго</w:t>
      </w:r>
      <w:r w:rsidRPr="00271E51">
        <w:rPr>
          <w:rFonts w:ascii="Times New Roman" w:hAnsi="Times New Roman"/>
          <w:color w:val="000000" w:themeColor="text1"/>
          <w:sz w:val="16"/>
          <w:szCs w:val="16"/>
        </w:rPr>
        <w:softHyphen/>
        <w:t>тавливаемых на ГАЗ колясок к выпускаемым мотоциклам, заста</w:t>
      </w:r>
      <w:r w:rsidRPr="00271E51">
        <w:rPr>
          <w:rFonts w:ascii="Times New Roman" w:hAnsi="Times New Roman"/>
          <w:color w:val="000000" w:themeColor="text1"/>
          <w:sz w:val="16"/>
          <w:szCs w:val="16"/>
        </w:rPr>
        <w:softHyphen/>
        <w:t>влявшая ограничивать выпуск из ремонта и сборки тяжелых мо</w:t>
      </w:r>
      <w:r w:rsidRPr="00271E51">
        <w:rPr>
          <w:rFonts w:ascii="Times New Roman" w:hAnsi="Times New Roman"/>
          <w:color w:val="000000" w:themeColor="text1"/>
          <w:sz w:val="16"/>
          <w:szCs w:val="16"/>
        </w:rPr>
        <w:softHyphen/>
        <w:t>тоциклов. Другая, не менее существенная, трудность состояла в дефиците специального инструмента [5.97]. Из американских мо</w:t>
      </w:r>
      <w:r w:rsidRPr="00271E51">
        <w:rPr>
          <w:rFonts w:ascii="Times New Roman" w:hAnsi="Times New Roman"/>
          <w:color w:val="000000" w:themeColor="text1"/>
          <w:sz w:val="16"/>
          <w:szCs w:val="16"/>
        </w:rPr>
        <w:softHyphen/>
        <w:t>тоциклов, на СМЗ собирали «Индиан» 741-Б. И хотя на сборку иномарок заводу план не устанавливали, на СМЗ в 1943 г. собра</w:t>
      </w:r>
      <w:r w:rsidRPr="00271E51">
        <w:rPr>
          <w:rFonts w:ascii="Times New Roman" w:hAnsi="Times New Roman"/>
          <w:color w:val="000000" w:themeColor="text1"/>
          <w:sz w:val="16"/>
          <w:szCs w:val="16"/>
        </w:rPr>
        <w:softHyphen/>
        <w:t>ли 952 таких мотоцикла, а в 1944 г. - 24. Всего на заводе за 1943-1944 гг. собрали 976 мотоциклов «Индиан» 741-Б [5.91] (11429).</w:t>
      </w:r>
    </w:p>
    <w:p w14:paraId="255D3019" w14:textId="77777777" w:rsidR="00FC04C9" w:rsidRPr="00271E51" w:rsidRDefault="00FC04C9" w:rsidP="00271E5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B02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создано Союзное проектно-конструкторское бюро (СПКБ) по арматуре и противопожарному оборудованию для авиации и морских судов. С 1954 г.- разработка агрегатов и систем наземного оборудования ракетных комплексов.</w:t>
      </w:r>
    </w:p>
    <w:p w14:paraId="585C83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1965 г. СПКБ противопожарного оборудования ГКОТ передано в ведение 4ГУ МОМ и по приказу от 6.03.1966 г. преобразовано в КБТХМ. Становится головным предприятием отрасли по заправке РН и КА, нейтрализации продуктов заправки.</w:t>
      </w:r>
    </w:p>
    <w:p w14:paraId="702126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 имело Государственный опытный завод. В 1962 г. на его базе организовано опытно-экспериментальное производство КБ. В 1966 г. имело филиал в Москве.</w:t>
      </w:r>
    </w:p>
    <w:p w14:paraId="42C05C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(1940-е г.): оборудование для ликвидации пожаров на самолетах, боевых кораблях и промышленных объектах. 1960-е г.: противопожарное оборудование для РКТ (подвижные установки газового пожаротушения и водяной защиты объекта, стационарные противопожарные системы, дистанционно управляемые головки с пиротехническим и пневматическим пуском); системы газоснабжения, системы заправки ракет компонентами топлива, агрегаты нейтрализации. Затем разрабатывало также системы температурно-влажностного режима, газоснабжения, технологические системы наземных КП. Эти направления развивались и в 2000-е г. К ним добавились работы по утилизации МБР.</w:t>
      </w:r>
    </w:p>
    <w:p w14:paraId="68B375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Участвовало в программах: «Инфраструктура», «Подготовка Б», «Заправка», «Рокот», «Стрела», «Бриз-М», «Фрегат», «Глобалстар», «Кластер-2», «Астра», «Темпо», «Инмарсат», «Иридиум», «Экостар», «Панамсат», МКС.</w:t>
      </w:r>
    </w:p>
    <w:p w14:paraId="479FBB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Численность персонала (1954 г.)- 71 чел., (1972 г.)- 1321 чел.77 </w:t>
      </w:r>
    </w:p>
    <w:p w14:paraId="55E687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Гл. конструктор- В.К. Филиппов, И.В. Брилев. Ген. Конструктор (2002 г.)- М.И. Степанов. </w:t>
      </w:r>
    </w:p>
    <w:p w14:paraId="07E88B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Гендиректор (2002 г.)- М.И. Степанов.</w:t>
      </w:r>
    </w:p>
    <w:p w14:paraId="7F2B0D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1-й зам. ген. Конструктора (2002 г.)- А.И. Лобачев.69 </w:t>
      </w:r>
    </w:p>
    <w:p w14:paraId="31B290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 директора (2005 г.)- С.А. Капитонов.</w:t>
      </w:r>
    </w:p>
    <w:p w14:paraId="2A4DB3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Руководящие работники: Н.Ф. Камнев, В.П. Штейн.</w:t>
      </w:r>
    </w:p>
    <w:p w14:paraId="01F08D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Создано: системы пожаротушения и нейтрализации стартовых комплексов для: РН «Циклон-2».77 </w:t>
      </w:r>
    </w:p>
    <w:p w14:paraId="04682D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СПКБ (Специальное КБ по средствам противопожарной защиты), СПКБ противопожарного оборудования ГКОТ, КБТХМ (транспортно-химического машиностроения) МОМ, ФГУП «КБТХМ» </w:t>
      </w:r>
    </w:p>
    <w:p w14:paraId="2BA6E3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105187 г. Москва ул. Кирпичная, 32 тел. 365-31-66 (10776).</w:t>
      </w:r>
    </w:p>
    <w:p w14:paraId="3C66AF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A26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1-й госспецзавод передан в ведение НКМВ и переименован в завод № 731. В соответствии с распоряжением ГКО № 6453 от 24.08.1944 г. и пр. от 6.09.1944 г. завод № 731 (Завод № 731 НКМВ, НКЗ, 1-й механический завод «Красный пахарь», 1-й государственный специальный завод НКЗ, ФГУП «Пензенский завод «Автомедтехника» /г. Пенза Механический порядок, 26/ /440629  г. Пенза ул. Суворова, 92/) возвращен от НКМВ в ведение Наркомздрава.</w:t>
      </w:r>
    </w:p>
    <w:p w14:paraId="7F7194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годы войны выпускал корпуса авиабомб ФАБ-50, силуминовое литье (1942 г.).</w:t>
      </w:r>
    </w:p>
    <w:p w14:paraId="4367BB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1947 г. назывался завод дезхимоборудования (ФХП). В 1980-е  г. завод - в ведении МПСАиСУ. В 2004 г. - ФГУП «Пензенский завод «Автомедтехника».</w:t>
      </w:r>
    </w:p>
    <w:p w14:paraId="7D9963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09B4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Директор (1930-35 г.)- Д.С. Басулин, (1935-37 г.)- Т.Т. Клишин, (1939-44 г.)- В.И. Горобченко, (1944 г.)- М.В. Солтанов, (1944-48 г.)- В.В. Лавров, (1948-64 г.)- А.Я. Никишин, (1964-65 г.)- Д.И. Мильнер, (1965-76 г.)- Ф.В. Кутыркин, (1976-87 г.)- В.А. Долгов, (1987-93 г.)- </w:t>
      </w:r>
      <w:r w:rsidRPr="00271E51">
        <w:rPr>
          <w:rFonts w:ascii="Times New Roman" w:hAnsi="Times New Roman"/>
          <w:color w:val="000000" w:themeColor="text1"/>
          <w:sz w:val="16"/>
          <w:szCs w:val="16"/>
          <w:lang w:val="en-US"/>
        </w:rPr>
        <w:t>B</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C</w:t>
      </w:r>
      <w:r w:rsidRPr="00271E51">
        <w:rPr>
          <w:rFonts w:ascii="Times New Roman" w:hAnsi="Times New Roman"/>
          <w:color w:val="000000" w:themeColor="text1"/>
          <w:sz w:val="16"/>
          <w:szCs w:val="16"/>
        </w:rPr>
        <w:t>. Игошин, (1993-96 г.)- П.А. Суханов, (1996-2003 г.)- Б.Н. Гамидулаев, (2003 г.-)-  Г.В. Лысов (11982).</w:t>
      </w:r>
    </w:p>
    <w:p w14:paraId="60C03C3F" w14:textId="77777777" w:rsidR="000A25B3" w:rsidRPr="00271E51" w:rsidRDefault="000A25B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434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был создан Радиомеханический завод № 2 (Радиомеханический завод № 2, Уфимский опытный завод «Промсвязь», Уфимский завод «Промсвязь», ОАО «Уфимский завод «Промсвязь», /Башкортостан 450071 г. Уфа ул. 50 лет СССР, 39/). Затем переименован в Уфимский опытный завод «Промсвязь», далее - Уфимский завод «Промсвязь». Затем преобразован в ОАО «Уфимский завод «Промсвязь». Был в 2004г. Производство: репродукторы: «Рекорд», «Уфа-301» (11982).</w:t>
      </w:r>
    </w:p>
    <w:p w14:paraId="6CE827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4E5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1943г. была организована промартель, изготовлявшая тапочки и порошок для чернил. В 1944г. начат выпуск духовок, тазиков, колес для бричек. В 1951г. освоен выпуск мебели. Артель, объединившись с кирпичным заводом, была преобразована в Куйбышевский райпромкомбинат. Затем из состава райпромкомбината выделился Куйбышевский завод «Электроприбор». В 1977г. завод передан из ведения ММП Украины в МПСС и преобразован в филиал завода «Радиоприбор».</w:t>
      </w:r>
    </w:p>
    <w:p w14:paraId="6B3606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территории завода были смонтированы два разборных строения общей площадью 3000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Создан сборочный цех.</w:t>
      </w:r>
    </w:p>
    <w:p w14:paraId="12AAD0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1992г. производство прекращено, в 1995г. завод был остановлен. В 02.1996г. начато восстановление завода, пущены компрессорная, станочный парк и сварочное оборудование. В 1999г. завод стал филиалом ООО «ПКФ ГЮСС» (г. Запорожье). В 2001г. входил в состав ГП «Радиоприбор».</w:t>
      </w:r>
    </w:p>
    <w:p w14:paraId="3E01F4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Работы (2000г.): перемотка электродвигателей; производство: металлоизделий (ворот, заборов, ларьков); офисной мебели.</w:t>
      </w:r>
    </w:p>
    <w:p w14:paraId="6C112A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Площади: общие (1.01.1986г.)- 5400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производственные (1.01.1986г.)- 3100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w:t>
      </w:r>
    </w:p>
    <w:p w14:paraId="6990F0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Численность персонала (1943г.)- 8 чел., (1951г.)- 265 чел., (1978г.)- 775 чел.</w:t>
      </w:r>
    </w:p>
    <w:p w14:paraId="785F2DC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Директор (1980-96г.)- П.С. Симченко, (01.1996г.-)- С.Д. Климов, (1999г.-)- А.К. Харченко.</w:t>
      </w:r>
    </w:p>
    <w:p w14:paraId="766B54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iCs/>
          <w:color w:val="000000" w:themeColor="text1"/>
          <w:sz w:val="16"/>
          <w:szCs w:val="16"/>
        </w:rPr>
        <w:t>Производство:</w:t>
      </w:r>
      <w:r w:rsidRPr="00271E51">
        <w:rPr>
          <w:rFonts w:ascii="Times New Roman" w:hAnsi="Times New Roman"/>
          <w:color w:val="000000" w:themeColor="text1"/>
          <w:sz w:val="16"/>
          <w:szCs w:val="16"/>
        </w:rPr>
        <w:t xml:space="preserve"> школьный радиоузел РУШ (1978-), РУШ-2; блок питания для передатчиков системы 15Э; коммутационная аппаратура (1990-е) (11982).</w:t>
      </w:r>
    </w:p>
    <w:p w14:paraId="0E90CC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2EA91" w14:textId="77777777" w:rsidR="00D60938" w:rsidRPr="00271E51" w:rsidRDefault="00D609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г. на 16 предприятиях г. Ярославля по приемке военной продукции работало 144 человека. На некоторых заводах имелось до пяти представительств разных управлений военного ведомства. Каждый военпред имел свой аппарат, куда входили как военные, так и гражданские вольнонаемные работники. Так, из 144 вышеупомянутых военприемщиков в Ярославле 89 сотрудников являлись вольнонаемными.56 Динамика численности военных представителей на заводах до сих пор неизвестна. Однако, судя по всему, конец 1930-х гг. стал временем резкого роста их числа. В начале 1930 г. количество сотрудников приемного аппарата на местах одного из довольствующих управлений, Военно-хозяйственного управления, составляло всего лишь 263 человека57. До 1938 г. общее число сотрудников военной приемки не превышало 3 тыс. человек58, однако уже в 1940 г. их количество достигло огромной цифры — 20 тыс. человек59. Даже если учесть, что численность военпредов в начале 1930-х гг. неизвестна, темпы роста очевидны. По сравнению с институтом военпредов, где счет шел на тысячи служащих, размеры техинспекций промышленных оборонных министерств были незначительны. Например, на 1 января 1954 г. техинспекция МАП (Министерства авиационной промышленности), отвечавшая за поставки металла, подшипников и т.п. авиационным заводам, насчитывала всего лишь 227 техприемщиков на 77 заводах-поставщиках. На каждом заводе, в зависимости от объема заказов МАП, работало от одного до 12 техприемщкиов60. Значительное увеличение численности военпредов в 1930-е гг., конечно, во многом было связано с быстрым ростом советской экономики, особенно ее военного сектора61. В середине 1930-х гг. военные неоднократно жаловались на нехватку приемщиков, сверхурочные работы, отрицательно влияющие на качество приемки и сроки поставки в армию62. Кроме того, в начале 1930-х гг. попросту невозможно было найти достаточное число квалифицированных инженеров для заполнения вакантных должностей в аппаратах военпредов63. В 1933 г. правительство было вынуждено признать, что «состав приемного аппарата НКВМ не соответствует своему назначению»64. В результате расширения сети высших учебных заведений в СССР эта проблема была решена. Для вольнонаемных квалифицированных кадров были созданы льготные условия, было разрешено привлекать вольнонаемных для укомплектования военных должностей65. В 1938 г. оклады военприемки были увеличены до размера зарплаты работников ОТК, а в дальнейшем превысили его. Кроме того, после резкого увеличения численности военпредов сократился объем работы, приходившейся на одного сотрудника66. Высокая зарплата </w:t>
      </w:r>
      <w:r w:rsidRPr="00271E51">
        <w:rPr>
          <w:rFonts w:ascii="Times New Roman" w:hAnsi="Times New Roman"/>
          <w:color w:val="000000" w:themeColor="text1"/>
          <w:sz w:val="16"/>
          <w:szCs w:val="16"/>
        </w:rPr>
        <w:lastRenderedPageBreak/>
        <w:t>и низкая загруженность военпредов вызывали неоднократные жалобы со стороны работников ОТК. В частности, об этом много говорили на совещании начальников ОТК заводов и центральных измерительных лабораторий Минвооружения 21 октября 1947 г.: «...в отношении кадров военная приемка выше, чем ОТК. У них условия созданы гораздо лучшие, чем у ОТК. У нас работники ОТК подбираются контролеры 4 и 5 разряда, а ведущий работник военпреда по одному изделию получает 1400—1500 руб. Заместитель же ОТК по металлургии, имеющий 17 цехов, получает 1350 руб., и начальник ОТК цеха получает 900 руб. Такая диспропорция в оплате ведет к тому, что к ним и народ идет более квалифицированный, и дисциплина выше, и организация учебы поставлена лучше, так как они связаны высокой зарплатой»67. Начальник ОТК завода № 3 Минвооружения указывал, что на его заводе контролеры ОТК в среднем получали 400 руб., а военпредовские работники: вольнонаемные — до 600 руб. и офицерский состав — до 2000 руб.68 То же самое говорилось работниками ОТК о загруженности военпредов: «У нас сохранилось представительство ГАУ из подполковника, капитана и трех вольнонаемных. Для принятия [решений] им нужно 40 минут, остальное время могут мух ловить, музицировать и заниматься повышением квалификации. У нас условия другие»69. Схожая ситуация была с кадрами техинспекций. Работники заводских ОТК обвиняли техприемщиков в том, что «в смену техприемщик бывает загружен полчаса или час»70, «что вызывает возмущение работников цеха»71. Создавая столь выгодные условия для военпредов и их сотрудников, военное ведомство старалось «купить» их лояльность. Военное ведомство считало нормальным положение, когда «работой по приемке военной продукции военпреды и их аппараты загружены не более, чем на 50%»72. Даже во время войны, когда армии требовались кадровые офицеры, кем в основном являлись военпреды, военное ведомство не пошло на сокращение их числа, на создание единого, а не отраслевого, по довольствующим главкам НКО и НКВМФ, института военпредов. Все предложения по сокращению числа военпредов были отвергнуты военным ведомством. За годы войны таких попыток было как минимум три (одна в 1941 г. и две в 1943 г.). НКО, отстаивая ведомственный принцип формирования института военпредов, указывал, что «каждое главное управление несет полную ответственность за производство, качество вооружения и боеприпасов, своевременную отправку их на фронт, а также безотказное действие их на фронте. Создание единого аппарата контроля и приемки военной продукции, не подчиненного главным управлениям, породит безответственность в контроле за производством вооружения и боеприпасов, приведет к снижению их качества... однородная на первый взгляд продукция имеет свои особенности в производстве и эксплуатации» (18627).</w:t>
      </w:r>
    </w:p>
    <w:p w14:paraId="791DB6CE" w14:textId="77777777" w:rsidR="00D60938" w:rsidRPr="00271E51" w:rsidRDefault="00D60938" w:rsidP="00271E51">
      <w:pPr>
        <w:spacing w:after="0" w:line="240" w:lineRule="auto"/>
        <w:jc w:val="both"/>
        <w:rPr>
          <w:rFonts w:ascii="Times New Roman" w:hAnsi="Times New Roman"/>
          <w:color w:val="000000" w:themeColor="text1"/>
          <w:sz w:val="16"/>
          <w:szCs w:val="16"/>
        </w:rPr>
      </w:pPr>
    </w:p>
    <w:p w14:paraId="03FAFFE4" w14:textId="77777777" w:rsidR="00D60938" w:rsidRPr="00271E51" w:rsidRDefault="00D6093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военпред инженер-капитан Корнеев и старший техник-лейтенант Романов сообщили об «очковтирательстве и непорядках» на заводе № 698 НКЭП, по их письму была организована специальная комиссия, чья проверка подтвердила факты нарушений (18627).</w:t>
      </w:r>
    </w:p>
    <w:p w14:paraId="4F377577" w14:textId="77777777" w:rsidR="00D60938" w:rsidRPr="00271E51" w:rsidRDefault="00D60938" w:rsidP="00271E51">
      <w:pPr>
        <w:spacing w:after="0" w:line="240" w:lineRule="auto"/>
        <w:jc w:val="both"/>
        <w:rPr>
          <w:rFonts w:ascii="Times New Roman" w:hAnsi="Times New Roman"/>
          <w:color w:val="000000" w:themeColor="text1"/>
          <w:sz w:val="16"/>
          <w:szCs w:val="16"/>
        </w:rPr>
      </w:pPr>
    </w:p>
    <w:p w14:paraId="1DA233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1943 О выполнении производственного плана промышленностью города за 1943 год</w:t>
      </w:r>
    </w:p>
    <w:p w14:paraId="729C4E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справки Красноярского горкома ВКП (б)</w:t>
      </w:r>
    </w:p>
    <w:p w14:paraId="71783215"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Красноярск [1943 г. ]</w:t>
      </w:r>
    </w:p>
    <w:p w14:paraId="2B2655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Начатое по инициативе передовых предприятий страны Всесоюзное социалистическое соревнование охватило все предприятия и нашего города. Установление переходящего Красного Знамени исполкома горсовета и горкома ВКП (б) передовому предприятию и учреждению, городской Доски Почета придало социалистическому соревнованию еще больший размах и большую значимость.</w:t>
      </w:r>
    </w:p>
    <w:p w14:paraId="78A066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Переходящее Красное Знамя ГКО с выдачей первых премий Наркоматов были вручены таким предприятиям города, как ПРЗ, ОСМЧ-26.</w:t>
      </w:r>
    </w:p>
    <w:p w14:paraId="3C9524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Периодически получали вторые и третьи премии своих Наркоматов такие предприятия как заводы: № 703, № 863, № 4 им. Ворошилова, завод № 327, «Красный Профинтерн».</w:t>
      </w:r>
    </w:p>
    <w:p w14:paraId="40972B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мая месяца 1942 года переходящее Красное Знамя исполкома горсовета и горкома ВКП (б) присуждалось таким заводам, как: № 703, № 863, № 360, № 4 им. Ворошилова.</w:t>
      </w:r>
    </w:p>
    <w:p w14:paraId="0268D1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Выполнение производственного плана всей промышленностью города за 1943 год характеризуется следующими данными: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645"/>
        <w:gridCol w:w="2202"/>
        <w:gridCol w:w="807"/>
        <w:gridCol w:w="807"/>
        <w:gridCol w:w="807"/>
        <w:gridCol w:w="892"/>
        <w:gridCol w:w="1187"/>
      </w:tblGrid>
      <w:tr w:rsidR="00A907A5" w:rsidRPr="00271E51" w14:paraId="1604509B" w14:textId="77777777" w:rsidTr="00ED5B0A">
        <w:tc>
          <w:tcPr>
            <w:tcW w:w="642" w:type="dxa"/>
            <w:tcBorders>
              <w:top w:val="single" w:sz="12" w:space="0" w:color="auto"/>
            </w:tcBorders>
          </w:tcPr>
          <w:p w14:paraId="0A2AC59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пп</w:t>
            </w:r>
          </w:p>
        </w:tc>
        <w:tc>
          <w:tcPr>
            <w:tcW w:w="2201" w:type="dxa"/>
            <w:tcBorders>
              <w:top w:val="single" w:sz="12" w:space="0" w:color="auto"/>
            </w:tcBorders>
          </w:tcPr>
          <w:p w14:paraId="25EBD2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пром[ышленно]</w:t>
            </w:r>
          </w:p>
          <w:p w14:paraId="62F69D3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-сти</w:t>
            </w:r>
          </w:p>
        </w:tc>
        <w:tc>
          <w:tcPr>
            <w:tcW w:w="806" w:type="dxa"/>
            <w:tcBorders>
              <w:top w:val="single" w:sz="12" w:space="0" w:color="auto"/>
            </w:tcBorders>
          </w:tcPr>
          <w:p w14:paraId="29FAA1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 квар-т[ал]</w:t>
            </w:r>
          </w:p>
          <w:p w14:paraId="0F213B2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08E7687E"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 квар-т[ал]</w:t>
            </w:r>
          </w:p>
        </w:tc>
        <w:tc>
          <w:tcPr>
            <w:tcW w:w="806" w:type="dxa"/>
            <w:tcBorders>
              <w:top w:val="single" w:sz="12" w:space="0" w:color="auto"/>
            </w:tcBorders>
          </w:tcPr>
          <w:p w14:paraId="30A0600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III квар-</w:t>
            </w:r>
          </w:p>
          <w:p w14:paraId="13908D2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т[ал]</w:t>
            </w:r>
          </w:p>
        </w:tc>
        <w:tc>
          <w:tcPr>
            <w:tcW w:w="891" w:type="dxa"/>
            <w:tcBorders>
              <w:top w:val="single" w:sz="12" w:space="0" w:color="auto"/>
            </w:tcBorders>
          </w:tcPr>
          <w:p w14:paraId="2B83521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 месяц</w:t>
            </w:r>
          </w:p>
        </w:tc>
        <w:tc>
          <w:tcPr>
            <w:tcW w:w="1187" w:type="dxa"/>
            <w:tcBorders>
              <w:top w:val="single" w:sz="12" w:space="0" w:color="auto"/>
            </w:tcBorders>
          </w:tcPr>
          <w:p w14:paraId="67F0A55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Годового</w:t>
            </w:r>
          </w:p>
        </w:tc>
      </w:tr>
      <w:tr w:rsidR="00A907A5" w:rsidRPr="00271E51" w14:paraId="66B3EAC6" w14:textId="77777777" w:rsidTr="00ED5B0A">
        <w:tc>
          <w:tcPr>
            <w:tcW w:w="645" w:type="dxa"/>
          </w:tcPr>
          <w:p w14:paraId="3E94F4CB"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2202" w:type="dxa"/>
          </w:tcPr>
          <w:p w14:paraId="737FE935"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Оборонная</w:t>
            </w:r>
          </w:p>
        </w:tc>
        <w:tc>
          <w:tcPr>
            <w:tcW w:w="807" w:type="dxa"/>
          </w:tcPr>
          <w:p w14:paraId="0D2291D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88,2</w:t>
            </w:r>
          </w:p>
        </w:tc>
        <w:tc>
          <w:tcPr>
            <w:tcW w:w="807" w:type="dxa"/>
          </w:tcPr>
          <w:p w14:paraId="0240A04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102,8</w:t>
            </w:r>
          </w:p>
        </w:tc>
        <w:tc>
          <w:tcPr>
            <w:tcW w:w="807" w:type="dxa"/>
          </w:tcPr>
          <w:p w14:paraId="04514A6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104,4</w:t>
            </w:r>
          </w:p>
        </w:tc>
        <w:tc>
          <w:tcPr>
            <w:tcW w:w="892" w:type="dxa"/>
          </w:tcPr>
          <w:p w14:paraId="3D9F9135"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102,4</w:t>
            </w:r>
          </w:p>
        </w:tc>
        <w:tc>
          <w:tcPr>
            <w:tcW w:w="1179" w:type="dxa"/>
          </w:tcPr>
          <w:p w14:paraId="2D92758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92,6</w:t>
            </w:r>
          </w:p>
        </w:tc>
      </w:tr>
      <w:tr w:rsidR="00A907A5" w:rsidRPr="00271E51" w14:paraId="46704164" w14:textId="77777777" w:rsidTr="00ED5B0A">
        <w:tc>
          <w:tcPr>
            <w:tcW w:w="645" w:type="dxa"/>
          </w:tcPr>
          <w:p w14:paraId="1F429E4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w:t>
            </w:r>
          </w:p>
        </w:tc>
        <w:tc>
          <w:tcPr>
            <w:tcW w:w="2202" w:type="dxa"/>
          </w:tcPr>
          <w:p w14:paraId="59BDBB7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Союзная</w:t>
            </w:r>
          </w:p>
        </w:tc>
        <w:tc>
          <w:tcPr>
            <w:tcW w:w="807" w:type="dxa"/>
          </w:tcPr>
          <w:p w14:paraId="5ECCAEBF"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90,0</w:t>
            </w:r>
          </w:p>
        </w:tc>
        <w:tc>
          <w:tcPr>
            <w:tcW w:w="807" w:type="dxa"/>
          </w:tcPr>
          <w:p w14:paraId="6D58C74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95,0</w:t>
            </w:r>
          </w:p>
        </w:tc>
        <w:tc>
          <w:tcPr>
            <w:tcW w:w="807" w:type="dxa"/>
          </w:tcPr>
          <w:p w14:paraId="01E1CC3C"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101,4</w:t>
            </w:r>
          </w:p>
        </w:tc>
        <w:tc>
          <w:tcPr>
            <w:tcW w:w="892" w:type="dxa"/>
          </w:tcPr>
          <w:p w14:paraId="4E64BA6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97,4</w:t>
            </w:r>
          </w:p>
        </w:tc>
        <w:tc>
          <w:tcPr>
            <w:tcW w:w="1179" w:type="dxa"/>
          </w:tcPr>
          <w:p w14:paraId="094F68B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87,3</w:t>
            </w:r>
          </w:p>
        </w:tc>
      </w:tr>
      <w:tr w:rsidR="00A907A5" w:rsidRPr="00271E51" w14:paraId="2D874ED3" w14:textId="77777777" w:rsidTr="00ED5B0A">
        <w:tc>
          <w:tcPr>
            <w:tcW w:w="645" w:type="dxa"/>
          </w:tcPr>
          <w:p w14:paraId="5B89732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w:t>
            </w:r>
          </w:p>
        </w:tc>
        <w:tc>
          <w:tcPr>
            <w:tcW w:w="2202" w:type="dxa"/>
          </w:tcPr>
          <w:p w14:paraId="43140A4B"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Республиканская</w:t>
            </w:r>
          </w:p>
        </w:tc>
        <w:tc>
          <w:tcPr>
            <w:tcW w:w="807" w:type="dxa"/>
          </w:tcPr>
          <w:p w14:paraId="72DBB8A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107,9</w:t>
            </w:r>
          </w:p>
        </w:tc>
        <w:tc>
          <w:tcPr>
            <w:tcW w:w="807" w:type="dxa"/>
          </w:tcPr>
          <w:p w14:paraId="7247137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89,7</w:t>
            </w:r>
          </w:p>
        </w:tc>
        <w:tc>
          <w:tcPr>
            <w:tcW w:w="807" w:type="dxa"/>
          </w:tcPr>
          <w:p w14:paraId="2BC1A1CE"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109,3</w:t>
            </w:r>
          </w:p>
        </w:tc>
        <w:tc>
          <w:tcPr>
            <w:tcW w:w="892" w:type="dxa"/>
          </w:tcPr>
          <w:p w14:paraId="3E6927E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101,1</w:t>
            </w:r>
          </w:p>
        </w:tc>
        <w:tc>
          <w:tcPr>
            <w:tcW w:w="1179" w:type="dxa"/>
          </w:tcPr>
          <w:p w14:paraId="632C175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94,6</w:t>
            </w:r>
          </w:p>
        </w:tc>
      </w:tr>
      <w:tr w:rsidR="00A907A5" w:rsidRPr="00271E51" w14:paraId="308D8CAA" w14:textId="77777777" w:rsidTr="00ED5B0A">
        <w:tc>
          <w:tcPr>
            <w:tcW w:w="645" w:type="dxa"/>
          </w:tcPr>
          <w:p w14:paraId="3AE7CAAC"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c>
          <w:tcPr>
            <w:tcW w:w="2202" w:type="dxa"/>
          </w:tcPr>
          <w:p w14:paraId="6956F00A"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Краевая</w:t>
            </w:r>
          </w:p>
        </w:tc>
        <w:tc>
          <w:tcPr>
            <w:tcW w:w="807" w:type="dxa"/>
          </w:tcPr>
          <w:p w14:paraId="47439B6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82,7</w:t>
            </w:r>
          </w:p>
        </w:tc>
        <w:tc>
          <w:tcPr>
            <w:tcW w:w="807" w:type="dxa"/>
          </w:tcPr>
          <w:p w14:paraId="07ACB9B9"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101,1</w:t>
            </w:r>
          </w:p>
        </w:tc>
        <w:tc>
          <w:tcPr>
            <w:tcW w:w="807" w:type="dxa"/>
          </w:tcPr>
          <w:p w14:paraId="085DADC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86,8</w:t>
            </w:r>
          </w:p>
        </w:tc>
        <w:tc>
          <w:tcPr>
            <w:tcW w:w="892" w:type="dxa"/>
          </w:tcPr>
          <w:p w14:paraId="0CDF536E"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95,9</w:t>
            </w:r>
          </w:p>
        </w:tc>
        <w:tc>
          <w:tcPr>
            <w:tcW w:w="1179" w:type="dxa"/>
          </w:tcPr>
          <w:p w14:paraId="6E904AAC"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88,1</w:t>
            </w:r>
          </w:p>
        </w:tc>
      </w:tr>
      <w:tr w:rsidR="00A907A5" w:rsidRPr="00271E51" w14:paraId="25FE4FA6" w14:textId="77777777" w:rsidTr="00ED5B0A">
        <w:tc>
          <w:tcPr>
            <w:tcW w:w="645" w:type="dxa"/>
          </w:tcPr>
          <w:p w14:paraId="415A2A0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w:t>
            </w:r>
          </w:p>
        </w:tc>
        <w:tc>
          <w:tcPr>
            <w:tcW w:w="2202" w:type="dxa"/>
          </w:tcPr>
          <w:p w14:paraId="3B0C1BD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Городская</w:t>
            </w:r>
          </w:p>
        </w:tc>
        <w:tc>
          <w:tcPr>
            <w:tcW w:w="807" w:type="dxa"/>
          </w:tcPr>
          <w:p w14:paraId="5A944518"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91,3</w:t>
            </w:r>
          </w:p>
        </w:tc>
        <w:tc>
          <w:tcPr>
            <w:tcW w:w="807" w:type="dxa"/>
          </w:tcPr>
          <w:p w14:paraId="052B829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111,1</w:t>
            </w:r>
          </w:p>
        </w:tc>
        <w:tc>
          <w:tcPr>
            <w:tcW w:w="807" w:type="dxa"/>
          </w:tcPr>
          <w:p w14:paraId="713D784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114,8</w:t>
            </w:r>
          </w:p>
        </w:tc>
        <w:tc>
          <w:tcPr>
            <w:tcW w:w="892" w:type="dxa"/>
          </w:tcPr>
          <w:p w14:paraId="5E3D0A9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100,5</w:t>
            </w:r>
          </w:p>
        </w:tc>
        <w:tc>
          <w:tcPr>
            <w:tcW w:w="1179" w:type="dxa"/>
          </w:tcPr>
          <w:p w14:paraId="66CB72C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95,2</w:t>
            </w:r>
          </w:p>
        </w:tc>
      </w:tr>
      <w:tr w:rsidR="00A907A5" w:rsidRPr="00271E51" w14:paraId="44B0815C" w14:textId="77777777" w:rsidTr="00ED5B0A">
        <w:tc>
          <w:tcPr>
            <w:tcW w:w="645" w:type="dxa"/>
            <w:tcBorders>
              <w:bottom w:val="single" w:sz="12" w:space="0" w:color="auto"/>
            </w:tcBorders>
          </w:tcPr>
          <w:p w14:paraId="28425E9C"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p>
        </w:tc>
        <w:tc>
          <w:tcPr>
            <w:tcW w:w="2202" w:type="dxa"/>
            <w:tcBorders>
              <w:bottom w:val="single" w:sz="12" w:space="0" w:color="auto"/>
            </w:tcBorders>
          </w:tcPr>
          <w:p w14:paraId="15344F35"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Вся промышленность</w:t>
            </w:r>
          </w:p>
        </w:tc>
        <w:tc>
          <w:tcPr>
            <w:tcW w:w="807" w:type="dxa"/>
            <w:tcBorders>
              <w:bottom w:val="single" w:sz="12" w:space="0" w:color="auto"/>
            </w:tcBorders>
          </w:tcPr>
          <w:p w14:paraId="12CF512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88,5</w:t>
            </w:r>
          </w:p>
        </w:tc>
        <w:tc>
          <w:tcPr>
            <w:tcW w:w="807" w:type="dxa"/>
            <w:tcBorders>
              <w:bottom w:val="single" w:sz="12" w:space="0" w:color="auto"/>
            </w:tcBorders>
          </w:tcPr>
          <w:p w14:paraId="36687DF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101,8</w:t>
            </w:r>
          </w:p>
        </w:tc>
        <w:tc>
          <w:tcPr>
            <w:tcW w:w="807" w:type="dxa"/>
            <w:tcBorders>
              <w:bottom w:val="single" w:sz="12" w:space="0" w:color="auto"/>
            </w:tcBorders>
          </w:tcPr>
          <w:p w14:paraId="61B6175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103,9</w:t>
            </w:r>
          </w:p>
        </w:tc>
        <w:tc>
          <w:tcPr>
            <w:tcW w:w="892" w:type="dxa"/>
            <w:tcBorders>
              <w:bottom w:val="single" w:sz="12" w:space="0" w:color="auto"/>
            </w:tcBorders>
          </w:tcPr>
          <w:p w14:paraId="21A97869"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102,0</w:t>
            </w:r>
          </w:p>
        </w:tc>
        <w:tc>
          <w:tcPr>
            <w:tcW w:w="1179" w:type="dxa"/>
            <w:tcBorders>
              <w:bottom w:val="single" w:sz="12" w:space="0" w:color="auto"/>
            </w:tcBorders>
          </w:tcPr>
          <w:p w14:paraId="7D7D22E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92,1</w:t>
            </w:r>
          </w:p>
        </w:tc>
      </w:tr>
    </w:tbl>
    <w:p w14:paraId="425F7C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ГАКК. Ф.П-17. Оп.1. Д.736. Л.5. Подлинник. Машинопись (11807).</w:t>
      </w:r>
    </w:p>
    <w:p w14:paraId="642763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78E9A"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 1943. О развитии Красноярского завода №399 </w:t>
      </w:r>
    </w:p>
    <w:p w14:paraId="60C689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докладной записки Красноярского крайкома ВКП (б) в ЦК ВКП (б)</w:t>
      </w:r>
    </w:p>
    <w:p w14:paraId="3B97DD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 Красноярск [1943 г.]</w:t>
      </w:r>
    </w:p>
    <w:p w14:paraId="4C2244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Совершенно секретно</w:t>
      </w:r>
    </w:p>
    <w:p w14:paraId="59A1F6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color w:val="000000" w:themeColor="text1"/>
          <w:sz w:val="16"/>
          <w:szCs w:val="16"/>
        </w:rPr>
        <w:t xml:space="preserve">Секретарю Центрального комитета ВКП (б) </w:t>
      </w:r>
      <w:r w:rsidRPr="00271E51">
        <w:rPr>
          <w:rFonts w:ascii="Times New Roman" w:hAnsi="Times New Roman"/>
          <w:iCs/>
          <w:color w:val="000000" w:themeColor="text1"/>
          <w:sz w:val="16"/>
          <w:szCs w:val="16"/>
        </w:rPr>
        <w:t>товарищу Маленкову</w:t>
      </w:r>
    </w:p>
    <w:p w14:paraId="356C8C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color w:val="000000" w:themeColor="text1"/>
          <w:sz w:val="16"/>
          <w:szCs w:val="16"/>
        </w:rPr>
        <w:t xml:space="preserve">копия: Народному комиссару судостроительной промышленности СССР </w:t>
      </w:r>
      <w:r w:rsidRPr="00271E51">
        <w:rPr>
          <w:rFonts w:ascii="Times New Roman" w:hAnsi="Times New Roman"/>
          <w:iCs/>
          <w:color w:val="000000" w:themeColor="text1"/>
          <w:sz w:val="16"/>
          <w:szCs w:val="16"/>
        </w:rPr>
        <w:t>товарищу Носенко</w:t>
      </w:r>
    </w:p>
    <w:p w14:paraId="204BB1E3"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III-м квартале 1943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1936 г.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12F402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Решениями Государственного комитета обороны от 13/VIII-1941 года и 4/XII-1941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IV-м квартале 1942 г. «МО-IV» – 8 един[иц] и «МСВ-38-Б» – 4 [единицы].</w:t>
      </w:r>
    </w:p>
    <w:p w14:paraId="361B06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45E75C44" w14:textId="77777777" w:rsidR="00FC04C9" w:rsidRPr="00271E51" w:rsidRDefault="00FC04C9" w:rsidP="00271E51">
      <w:pPr>
        <w:widowControl w:val="0"/>
        <w:tabs>
          <w:tab w:val="left" w:pos="1788"/>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Производственные площади:</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3212"/>
        <w:gridCol w:w="3212"/>
        <w:gridCol w:w="3163"/>
      </w:tblGrid>
      <w:tr w:rsidR="00A907A5" w:rsidRPr="00271E51" w14:paraId="75868F4C" w14:textId="77777777" w:rsidTr="00ED5B0A">
        <w:tc>
          <w:tcPr>
            <w:tcW w:w="3212" w:type="dxa"/>
            <w:tcBorders>
              <w:top w:val="single" w:sz="12" w:space="0" w:color="auto"/>
            </w:tcBorders>
          </w:tcPr>
          <w:p w14:paraId="57CB866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Наименование цехов</w:t>
            </w:r>
          </w:p>
        </w:tc>
        <w:tc>
          <w:tcPr>
            <w:tcW w:w="3212" w:type="dxa"/>
            <w:tcBorders>
              <w:top w:val="single" w:sz="12" w:space="0" w:color="auto"/>
            </w:tcBorders>
          </w:tcPr>
          <w:p w14:paraId="35F0E8C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Потребная площадь</w:t>
            </w:r>
          </w:p>
        </w:tc>
        <w:tc>
          <w:tcPr>
            <w:tcW w:w="3163" w:type="dxa"/>
            <w:tcBorders>
              <w:top w:val="single" w:sz="12" w:space="0" w:color="auto"/>
            </w:tcBorders>
          </w:tcPr>
          <w:p w14:paraId="761DEFD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Наличие</w:t>
            </w:r>
          </w:p>
        </w:tc>
      </w:tr>
      <w:tr w:rsidR="00A907A5" w:rsidRPr="00271E51" w14:paraId="76F76965" w14:textId="77777777" w:rsidTr="00ED5B0A">
        <w:tc>
          <w:tcPr>
            <w:tcW w:w="3212" w:type="dxa"/>
          </w:tcPr>
          <w:p w14:paraId="46345D68"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Катеросборочный</w:t>
            </w:r>
          </w:p>
        </w:tc>
        <w:tc>
          <w:tcPr>
            <w:tcW w:w="3212" w:type="dxa"/>
          </w:tcPr>
          <w:p w14:paraId="61F02FE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2800 кв. м</w:t>
            </w:r>
          </w:p>
        </w:tc>
        <w:tc>
          <w:tcPr>
            <w:tcW w:w="3163" w:type="dxa"/>
          </w:tcPr>
          <w:p w14:paraId="566B8C6F"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1130 кв. м</w:t>
            </w:r>
          </w:p>
        </w:tc>
      </w:tr>
      <w:tr w:rsidR="00A907A5" w:rsidRPr="00271E51" w14:paraId="437DADDB" w14:textId="77777777" w:rsidTr="00ED5B0A">
        <w:tc>
          <w:tcPr>
            <w:tcW w:w="3212" w:type="dxa"/>
          </w:tcPr>
          <w:p w14:paraId="0C93373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Кузнечно-пресервый</w:t>
            </w:r>
          </w:p>
        </w:tc>
        <w:tc>
          <w:tcPr>
            <w:tcW w:w="3212" w:type="dxa"/>
          </w:tcPr>
          <w:p w14:paraId="06B8EAB5"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w:t>
            </w:r>
          </w:p>
        </w:tc>
        <w:tc>
          <w:tcPr>
            <w:tcW w:w="3163" w:type="dxa"/>
          </w:tcPr>
          <w:p w14:paraId="7F10D30E"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r>
      <w:tr w:rsidR="00A907A5" w:rsidRPr="00271E51" w14:paraId="15596C8B" w14:textId="77777777" w:rsidTr="00ED5B0A">
        <w:tc>
          <w:tcPr>
            <w:tcW w:w="3212" w:type="dxa"/>
          </w:tcPr>
          <w:p w14:paraId="4783887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Чугунно-литейный</w:t>
            </w:r>
          </w:p>
        </w:tc>
        <w:tc>
          <w:tcPr>
            <w:tcW w:w="3212" w:type="dxa"/>
          </w:tcPr>
          <w:p w14:paraId="1C1647BF"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3163" w:type="dxa"/>
          </w:tcPr>
          <w:p w14:paraId="1DCB250F"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r>
      <w:tr w:rsidR="00A907A5" w:rsidRPr="00271E51" w14:paraId="2BE3FD9F" w14:textId="77777777" w:rsidTr="00ED5B0A">
        <w:tc>
          <w:tcPr>
            <w:tcW w:w="3212" w:type="dxa"/>
          </w:tcPr>
          <w:p w14:paraId="22A5DDE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Трубомедницкий</w:t>
            </w:r>
          </w:p>
        </w:tc>
        <w:tc>
          <w:tcPr>
            <w:tcW w:w="3212" w:type="dxa"/>
          </w:tcPr>
          <w:p w14:paraId="503E8C6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400</w:t>
            </w:r>
          </w:p>
        </w:tc>
        <w:tc>
          <w:tcPr>
            <w:tcW w:w="3163" w:type="dxa"/>
          </w:tcPr>
          <w:p w14:paraId="0A9C5E8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r>
      <w:tr w:rsidR="00A907A5" w:rsidRPr="00271E51" w14:paraId="29B2CF4D" w14:textId="77777777" w:rsidTr="00ED5B0A">
        <w:tc>
          <w:tcPr>
            <w:tcW w:w="3212" w:type="dxa"/>
          </w:tcPr>
          <w:p w14:paraId="648591A7"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 Механический</w:t>
            </w:r>
          </w:p>
        </w:tc>
        <w:tc>
          <w:tcPr>
            <w:tcW w:w="3212" w:type="dxa"/>
          </w:tcPr>
          <w:p w14:paraId="7331AC26"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w:t>
            </w:r>
          </w:p>
        </w:tc>
        <w:tc>
          <w:tcPr>
            <w:tcW w:w="3163" w:type="dxa"/>
          </w:tcPr>
          <w:p w14:paraId="53A6310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740</w:t>
            </w:r>
          </w:p>
        </w:tc>
      </w:tr>
      <w:tr w:rsidR="00A907A5" w:rsidRPr="00271E51" w14:paraId="75F5507B" w14:textId="77777777" w:rsidTr="00ED5B0A">
        <w:tc>
          <w:tcPr>
            <w:tcW w:w="3212" w:type="dxa"/>
            <w:tcBorders>
              <w:bottom w:val="single" w:sz="12" w:space="0" w:color="auto"/>
            </w:tcBorders>
          </w:tcPr>
          <w:p w14:paraId="4BC791F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 Деревообделочный</w:t>
            </w:r>
          </w:p>
        </w:tc>
        <w:tc>
          <w:tcPr>
            <w:tcW w:w="3212" w:type="dxa"/>
            <w:tcBorders>
              <w:bottom w:val="single" w:sz="12" w:space="0" w:color="auto"/>
            </w:tcBorders>
          </w:tcPr>
          <w:p w14:paraId="4236A3A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600</w:t>
            </w:r>
          </w:p>
        </w:tc>
        <w:tc>
          <w:tcPr>
            <w:tcW w:w="3163" w:type="dxa"/>
            <w:tcBorders>
              <w:bottom w:val="single" w:sz="12" w:space="0" w:color="auto"/>
            </w:tcBorders>
          </w:tcPr>
          <w:p w14:paraId="4530A34B"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 1200</w:t>
            </w:r>
          </w:p>
        </w:tc>
      </w:tr>
    </w:tbl>
    <w:p w14:paraId="5F1D6F86"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Оборудование</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4260"/>
        <w:gridCol w:w="2790"/>
        <w:gridCol w:w="2589"/>
      </w:tblGrid>
      <w:tr w:rsidR="00A907A5" w:rsidRPr="00271E51" w14:paraId="732264C8" w14:textId="77777777" w:rsidTr="00ED5B0A">
        <w:tc>
          <w:tcPr>
            <w:tcW w:w="4260" w:type="dxa"/>
            <w:tcBorders>
              <w:top w:val="single" w:sz="12" w:space="0" w:color="auto"/>
            </w:tcBorders>
          </w:tcPr>
          <w:p w14:paraId="074C56CD"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Группа оборудования</w:t>
            </w:r>
          </w:p>
        </w:tc>
        <w:tc>
          <w:tcPr>
            <w:tcW w:w="2790" w:type="dxa"/>
            <w:tcBorders>
              <w:top w:val="single" w:sz="12" w:space="0" w:color="auto"/>
            </w:tcBorders>
          </w:tcPr>
          <w:p w14:paraId="16AAB84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Потреб.</w:t>
            </w:r>
          </w:p>
        </w:tc>
        <w:tc>
          <w:tcPr>
            <w:tcW w:w="2589" w:type="dxa"/>
            <w:tcBorders>
              <w:top w:val="single" w:sz="12" w:space="0" w:color="auto"/>
            </w:tcBorders>
          </w:tcPr>
          <w:p w14:paraId="2E6BA84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Наличие</w:t>
            </w:r>
          </w:p>
        </w:tc>
      </w:tr>
      <w:tr w:rsidR="00A907A5" w:rsidRPr="00271E51" w14:paraId="3E93D85E" w14:textId="77777777" w:rsidTr="00ED5B0A">
        <w:tc>
          <w:tcPr>
            <w:tcW w:w="4260" w:type="dxa"/>
          </w:tcPr>
          <w:p w14:paraId="09813C14"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Металлорежущие станки</w:t>
            </w:r>
          </w:p>
        </w:tc>
        <w:tc>
          <w:tcPr>
            <w:tcW w:w="2790" w:type="dxa"/>
          </w:tcPr>
          <w:p w14:paraId="3DEA82A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55</w:t>
            </w:r>
          </w:p>
        </w:tc>
        <w:tc>
          <w:tcPr>
            <w:tcW w:w="2589" w:type="dxa"/>
          </w:tcPr>
          <w:p w14:paraId="68A289F8"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w:t>
            </w:r>
          </w:p>
        </w:tc>
      </w:tr>
      <w:tr w:rsidR="00A907A5" w:rsidRPr="00271E51" w14:paraId="7FA0D0D4" w14:textId="77777777" w:rsidTr="00ED5B0A">
        <w:tc>
          <w:tcPr>
            <w:tcW w:w="4260" w:type="dxa"/>
          </w:tcPr>
          <w:p w14:paraId="48E06FDB"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Деревообделочные станки</w:t>
            </w:r>
          </w:p>
        </w:tc>
        <w:tc>
          <w:tcPr>
            <w:tcW w:w="2790" w:type="dxa"/>
          </w:tcPr>
          <w:p w14:paraId="652FF900"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w:t>
            </w:r>
          </w:p>
        </w:tc>
        <w:tc>
          <w:tcPr>
            <w:tcW w:w="2589" w:type="dxa"/>
          </w:tcPr>
          <w:p w14:paraId="7C706A09"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w:t>
            </w:r>
          </w:p>
        </w:tc>
      </w:tr>
      <w:tr w:rsidR="00A907A5" w:rsidRPr="00271E51" w14:paraId="52F06F2E" w14:textId="77777777" w:rsidTr="00ED5B0A">
        <w:tc>
          <w:tcPr>
            <w:tcW w:w="4260" w:type="dxa"/>
          </w:tcPr>
          <w:p w14:paraId="5778551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Кузнечно-прессовое оборудование </w:t>
            </w:r>
          </w:p>
        </w:tc>
        <w:tc>
          <w:tcPr>
            <w:tcW w:w="2790" w:type="dxa"/>
          </w:tcPr>
          <w:p w14:paraId="3E645759"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w:t>
            </w:r>
          </w:p>
        </w:tc>
        <w:tc>
          <w:tcPr>
            <w:tcW w:w="2589" w:type="dxa"/>
          </w:tcPr>
          <w:p w14:paraId="2A77D9EF"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w:t>
            </w:r>
          </w:p>
        </w:tc>
      </w:tr>
      <w:tr w:rsidR="00A907A5" w:rsidRPr="00271E51" w14:paraId="2213B92E" w14:textId="77777777" w:rsidTr="00ED5B0A">
        <w:tc>
          <w:tcPr>
            <w:tcW w:w="4260" w:type="dxa"/>
          </w:tcPr>
          <w:p w14:paraId="6CE60AE1"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Вагранка</w:t>
            </w:r>
          </w:p>
        </w:tc>
        <w:tc>
          <w:tcPr>
            <w:tcW w:w="2790" w:type="dxa"/>
          </w:tcPr>
          <w:p w14:paraId="503C4B67"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2589" w:type="dxa"/>
          </w:tcPr>
          <w:p w14:paraId="34259D63"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r>
      <w:tr w:rsidR="00A907A5" w:rsidRPr="00271E51" w14:paraId="53AD45B9" w14:textId="77777777" w:rsidTr="00ED5B0A">
        <w:tc>
          <w:tcPr>
            <w:tcW w:w="4260" w:type="dxa"/>
            <w:tcBorders>
              <w:bottom w:val="single" w:sz="12" w:space="0" w:color="auto"/>
            </w:tcBorders>
          </w:tcPr>
          <w:p w14:paraId="69B3E7DC"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Печь для цветного литья</w:t>
            </w:r>
          </w:p>
        </w:tc>
        <w:tc>
          <w:tcPr>
            <w:tcW w:w="2790" w:type="dxa"/>
            <w:tcBorders>
              <w:bottom w:val="single" w:sz="12" w:space="0" w:color="auto"/>
            </w:tcBorders>
          </w:tcPr>
          <w:p w14:paraId="35D2CE1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w:t>
            </w:r>
          </w:p>
        </w:tc>
        <w:tc>
          <w:tcPr>
            <w:tcW w:w="2589" w:type="dxa"/>
            <w:tcBorders>
              <w:bottom w:val="single" w:sz="12" w:space="0" w:color="auto"/>
            </w:tcBorders>
          </w:tcPr>
          <w:p w14:paraId="733858A2" w14:textId="77777777" w:rsidR="00FC04C9" w:rsidRPr="00271E51" w:rsidRDefault="00FC04C9" w:rsidP="00271E51">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Нет</w:t>
            </w:r>
          </w:p>
        </w:tc>
      </w:tr>
    </w:tbl>
    <w:p w14:paraId="3958A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Рабочая сила.</w:t>
      </w:r>
    </w:p>
    <w:p w14:paraId="185535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17E448EC" w14:textId="77777777" w:rsidR="00FC04C9" w:rsidRPr="00271E51" w:rsidRDefault="00FC04C9" w:rsidP="00271E51">
      <w:pPr>
        <w:widowControl w:val="0"/>
        <w:tabs>
          <w:tab w:val="left" w:pos="114"/>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 Материально-техническое обеспечение.</w:t>
      </w:r>
    </w:p>
    <w:p w14:paraId="2BCE4A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241EDFA4" w14:textId="77777777" w:rsidR="00FC04C9" w:rsidRPr="00271E51" w:rsidRDefault="00FC04C9" w:rsidP="00271E51">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4F765E5C" w14:textId="77777777" w:rsidR="00FC04C9" w:rsidRPr="00271E51" w:rsidRDefault="00FC04C9" w:rsidP="00271E51">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0B0EC9B7"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1/I-1943 г. составляет «МО-IV» – 38-42%, «МСВ-38-Б» – 14%-23%.</w:t>
      </w:r>
    </w:p>
    <w:p w14:paraId="515D203C"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7CAA84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34B663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54059FC3"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1943 г. строительства Красноярского гидролизного завода </w:t>
      </w:r>
      <w:r w:rsidRPr="00271E51">
        <w:rPr>
          <w:rFonts w:ascii="Times New Roman" w:hAnsi="Times New Roman"/>
          <w:iCs/>
          <w:color w:val="000000" w:themeColor="text1"/>
          <w:sz w:val="16"/>
          <w:szCs w:val="16"/>
        </w:rPr>
        <w:t>ЕНЛАГ НКВД</w:t>
      </w:r>
      <w:r w:rsidRPr="00271E51">
        <w:rPr>
          <w:rFonts w:ascii="Times New Roman" w:hAnsi="Times New Roman"/>
          <w:color w:val="000000" w:themeColor="text1"/>
          <w:sz w:val="16"/>
          <w:szCs w:val="16"/>
        </w:rPr>
        <w:t xml:space="preserve"> имеет возможность осуществить строительные работы.</w:t>
      </w:r>
    </w:p>
    <w:p w14:paraId="76CECD35"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76A374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 В 1943 г.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77B90A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10E4D1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3533FCE5"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2679A0A1" w14:textId="77777777" w:rsidR="00FC04C9" w:rsidRPr="00271E51" w:rsidRDefault="00FC04C9" w:rsidP="00271E51">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Секретарь крайкома ВКП (б) подпись И. Голубев</w:t>
      </w:r>
    </w:p>
    <w:p w14:paraId="231406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Cs/>
          <w:color w:val="000000" w:themeColor="text1"/>
          <w:sz w:val="16"/>
          <w:szCs w:val="16"/>
        </w:rPr>
        <w:t>ГАКК. Ф.П-26. Оп.4. Д.1.Л.14-17. Подлинник. Машинопись (11805).</w:t>
      </w:r>
    </w:p>
    <w:p w14:paraId="52407C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262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завод (Завод № 301 НКО , Завод гидрологических и геофизических приборов «Гидрогеоприбор» ГУГМС, Ленинградский завод гидрометеорологических приборов ГУГМС, Ленинградский государственный завод «Гидрометприбор») передан в ведение ГУГМС РККА НКО и переименован в завод № 301, с 1946 г. - Ленинградский завод гидрометеорологических приборов ГУГМС при СМ СССР, с 1957 г. - Ленинградский государственный завод «Гидрометприбор» Управления приборостроительной промышленности ЛенСНХ. В 1959 г. завод влит в состав завода № 338 (11982).</w:t>
      </w:r>
    </w:p>
    <w:p w14:paraId="697B68E6" w14:textId="77777777" w:rsidR="000A25B3" w:rsidRPr="00271E51" w:rsidRDefault="000A25B3"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422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было начато строительство Завода № 441 НК нефти, ОАО «Атырауский нефтеперерабатывающий завод» (НПЗ) /г. Гурьев/ /Казахстан  г. Атырау ул. Говорова, 1/. Технический проект завода разработан американской фирмой «Баджер и сыновья», поставившей также оборудование для завода. 10.10.1944 г. вышло постановление ГКО № 6685 о мероприятиях по ускорению строительства завода № 441. В конце 1944 г. пущена ТЭЦ, в 1945 г. введены в строй комбинированная установка АТ-ТК, установка каталитического крекинга Гудри и газофракционирующая установка. В 1947 г. пущены в эксплуатацию электрообессоливающая установка «Петрико», установка сернокислотного алкилирования. Первоначальная мощность завода составляла 800 тыс. т переработки нефти в год, затем доведена до 5 млн. т. Завод выпускал авиационные и автомобильные бензины, моторные и котельные топлива. В 2000-е  г. выпускал 16 наименований продукции.</w:t>
      </w:r>
    </w:p>
    <w:p w14:paraId="0857F9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впервые осуществил переработку Тенгизской нефти, характеризующейся большим содержанием светлых фракций и, одновременно, с высоким содержанием метил- и этилмеркаптанов.</w:t>
      </w:r>
    </w:p>
    <w:p w14:paraId="3218B1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D3AE7"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45D9A16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1300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пикирующие бомбардировщики Пе-2 стали наиболее массовой машиной в советской фронтовой бомбардировочной авиации. Уцелевшие СБ уже были вытеснены в учебные и транспортные подразделения, а немногочисленные Ар-2 и Як-4 потеряны на фронтах (3542).</w:t>
      </w:r>
    </w:p>
    <w:p w14:paraId="790185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BE65B"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noProof/>
          <w:color w:val="000000" w:themeColor="text1"/>
          <w:sz w:val="16"/>
          <w:szCs w:val="16"/>
        </w:rPr>
        <w:t>В 1943 г. МиГ-3 уже не играли существенной роли ни в ВВС, ни в морской авиации. В ПВО они еще оставались, но износ существенно снижал их боевую ценность. Их пытались приме</w:t>
      </w:r>
      <w:r w:rsidRPr="00271E51">
        <w:rPr>
          <w:rFonts w:ascii="Times New Roman" w:hAnsi="Times New Roman"/>
          <w:noProof/>
          <w:color w:val="000000" w:themeColor="text1"/>
          <w:sz w:val="16"/>
          <w:szCs w:val="16"/>
        </w:rPr>
        <w:softHyphen/>
        <w:t xml:space="preserve">нять против одиночных высотных разведчиков </w:t>
      </w:r>
      <w:r w:rsidRPr="00271E51">
        <w:rPr>
          <w:rFonts w:ascii="Times New Roman" w:hAnsi="Times New Roman"/>
          <w:color w:val="000000" w:themeColor="text1"/>
          <w:sz w:val="16"/>
          <w:szCs w:val="16"/>
          <w:lang w:val="en-US"/>
        </w:rPr>
        <w:t>Ju</w:t>
      </w:r>
      <w:r w:rsidRPr="00271E51">
        <w:rPr>
          <w:rFonts w:ascii="Times New Roman" w:hAnsi="Times New Roman"/>
          <w:color w:val="000000" w:themeColor="text1"/>
          <w:sz w:val="16"/>
          <w:szCs w:val="16"/>
        </w:rPr>
        <w:t xml:space="preserve"> 86</w:t>
      </w:r>
      <w:r w:rsidRPr="00271E51">
        <w:rPr>
          <w:rFonts w:ascii="Times New Roman" w:hAnsi="Times New Roman"/>
          <w:color w:val="000000" w:themeColor="text1"/>
          <w:sz w:val="16"/>
          <w:szCs w:val="16"/>
          <w:lang w:val="en-US"/>
        </w:rPr>
        <w:t>P</w:t>
      </w:r>
      <w:r w:rsidRPr="00271E51">
        <w:rPr>
          <w:rFonts w:ascii="Times New Roman" w:hAnsi="Times New Roman"/>
          <w:color w:val="000000" w:themeColor="text1"/>
          <w:sz w:val="16"/>
          <w:szCs w:val="16"/>
        </w:rPr>
        <w:t>/</w:t>
      </w:r>
      <w:r w:rsidRPr="00271E51">
        <w:rPr>
          <w:rFonts w:ascii="Times New Roman" w:hAnsi="Times New Roman"/>
          <w:color w:val="000000" w:themeColor="text1"/>
          <w:sz w:val="16"/>
          <w:szCs w:val="16"/>
          <w:lang w:val="en-US"/>
        </w:rPr>
        <w:t>R</w:t>
      </w:r>
      <w:r w:rsidRPr="00271E51">
        <w:rPr>
          <w:rFonts w:ascii="Times New Roman" w:hAnsi="Times New Roman"/>
          <w:color w:val="000000" w:themeColor="text1"/>
          <w:sz w:val="16"/>
          <w:szCs w:val="16"/>
        </w:rPr>
        <w:t xml:space="preserve">, </w:t>
      </w:r>
      <w:r w:rsidRPr="00271E51">
        <w:rPr>
          <w:rFonts w:ascii="Times New Roman" w:hAnsi="Times New Roman"/>
          <w:noProof/>
          <w:color w:val="000000" w:themeColor="text1"/>
          <w:sz w:val="16"/>
          <w:szCs w:val="16"/>
        </w:rPr>
        <w:t>но безуспешно. На фронте же высотные качества само</w:t>
      </w:r>
      <w:r w:rsidRPr="00271E51">
        <w:rPr>
          <w:rFonts w:ascii="Times New Roman" w:hAnsi="Times New Roman"/>
          <w:noProof/>
          <w:color w:val="000000" w:themeColor="text1"/>
          <w:sz w:val="16"/>
          <w:szCs w:val="16"/>
        </w:rPr>
        <w:softHyphen/>
        <w:t>лета, которые и Поликарпов, и Микоян с Гуревичем считали главным достоинством этого истребителя, при</w:t>
      </w:r>
      <w:r w:rsidRPr="00271E51">
        <w:rPr>
          <w:rFonts w:ascii="Times New Roman" w:hAnsi="Times New Roman"/>
          <w:noProof/>
          <w:color w:val="000000" w:themeColor="text1"/>
          <w:sz w:val="16"/>
          <w:szCs w:val="16"/>
        </w:rPr>
        <w:softHyphen/>
        <w:t>менить так и не удалось. Там пришлось подстраиваться под тактику штурмовой и фронтовой бомбардировоч</w:t>
      </w:r>
      <w:r w:rsidRPr="00271E51">
        <w:rPr>
          <w:rFonts w:ascii="Times New Roman" w:hAnsi="Times New Roman"/>
          <w:noProof/>
          <w:color w:val="000000" w:themeColor="text1"/>
          <w:sz w:val="16"/>
          <w:szCs w:val="16"/>
        </w:rPr>
        <w:softHyphen/>
        <w:t>ной авиации, действовавшей на малых и средних высо</w:t>
      </w:r>
      <w:r w:rsidRPr="00271E51">
        <w:rPr>
          <w:rFonts w:ascii="Times New Roman" w:hAnsi="Times New Roman"/>
          <w:noProof/>
          <w:color w:val="000000" w:themeColor="text1"/>
          <w:sz w:val="16"/>
          <w:szCs w:val="16"/>
        </w:rPr>
        <w:softHyphen/>
        <w:t>тах, где гораздо лучше показали себя истребители Яковлева. Поэтому боевая карьера МиГ-3 оказалась яркой, но краткой, и решение снять его с производства было вполне оправданным</w:t>
      </w:r>
      <w:r w:rsidRPr="00271E51">
        <w:rPr>
          <w:rFonts w:ascii="Times New Roman" w:hAnsi="Times New Roman"/>
          <w:color w:val="000000" w:themeColor="text1"/>
          <w:sz w:val="16"/>
          <w:szCs w:val="16"/>
        </w:rPr>
        <w:t xml:space="preserve"> (11938)</w:t>
      </w:r>
      <w:r w:rsidRPr="00271E51">
        <w:rPr>
          <w:rFonts w:ascii="Times New Roman" w:hAnsi="Times New Roman"/>
          <w:noProof/>
          <w:color w:val="000000" w:themeColor="text1"/>
          <w:sz w:val="16"/>
          <w:szCs w:val="16"/>
        </w:rPr>
        <w:t>.</w:t>
      </w:r>
    </w:p>
    <w:p w14:paraId="2870FCF6" w14:textId="77777777" w:rsidR="00FC04C9" w:rsidRPr="00271E51" w:rsidRDefault="00FC04C9" w:rsidP="00271E51">
      <w:pPr>
        <w:autoSpaceDE w:val="0"/>
        <w:autoSpaceDN w:val="0"/>
        <w:adjustRightInd w:val="0"/>
        <w:spacing w:after="0" w:line="240" w:lineRule="auto"/>
        <w:jc w:val="both"/>
        <w:rPr>
          <w:rFonts w:ascii="Times New Roman" w:hAnsi="Times New Roman"/>
          <w:noProof/>
          <w:color w:val="000000" w:themeColor="text1"/>
          <w:sz w:val="16"/>
          <w:szCs w:val="16"/>
        </w:rPr>
      </w:pPr>
    </w:p>
    <w:p w14:paraId="11A543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в авиации ПВО числилось 108 Як-9, в 1944-м - 671, а в 1945-м - 876 машин (12046).</w:t>
      </w:r>
    </w:p>
    <w:p w14:paraId="0C12F9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5DC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Черевичному на ГСТ Н-275 пришлось приземляться па летающей лодке не на воду, а на лед в бухте Тикси. И ничего - самолет не пострадал (3457,49).</w:t>
      </w:r>
    </w:p>
    <w:p w14:paraId="2EE443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B57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стала широко применяться свободная охота, для которой выделялись подразделения и части с наиболее опытными экипажами и, б и ш авиации. На каждое ж/д направление или экипаж закреплялась постоянная группа из 2-4 самолетов. Хорошо знали место и ПВО. Начинали с паровоза или головной машины. Это позволило начать борьбу с перегруппировками вражеских войск (518,131).</w:t>
      </w:r>
    </w:p>
    <w:p w14:paraId="7C225B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F68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НКО ввел единые сигналы взаимного опознавания советской авиации и наземных войск и и генштаб разработал Инструкцию по взаимодействию авиации с наземными войсками (518,289).</w:t>
      </w:r>
    </w:p>
    <w:p w14:paraId="2ECBB8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E66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Если в 1943 г. от огня немецкой зенитной артиллерии всех калибров ВВС КА потеряли 1468 Ил-2, то в 1944 г. (Яссо-Кишиневская, Севастопольская, Выборгская, Белорусская и др. наступа</w:t>
      </w:r>
      <w:r w:rsidRPr="00271E51">
        <w:rPr>
          <w:rFonts w:ascii="Times New Roman" w:hAnsi="Times New Roman"/>
          <w:color w:val="000000" w:themeColor="text1"/>
          <w:sz w:val="16"/>
          <w:szCs w:val="16"/>
        </w:rPr>
        <w:softHyphen/>
        <w:t>тельные операции) "Илов" было поте</w:t>
      </w:r>
      <w:r w:rsidRPr="00271E51">
        <w:rPr>
          <w:rFonts w:ascii="Times New Roman" w:hAnsi="Times New Roman"/>
          <w:color w:val="000000" w:themeColor="text1"/>
          <w:sz w:val="16"/>
          <w:szCs w:val="16"/>
        </w:rPr>
        <w:softHyphen/>
        <w:t>ряно 1859 машин, а за первые шесть месяцев 1945 (Висло-Одерская, Кенигсбергская и Берлинская операции) чис</w:t>
      </w:r>
      <w:r w:rsidRPr="00271E51">
        <w:rPr>
          <w:rFonts w:ascii="Times New Roman" w:hAnsi="Times New Roman"/>
          <w:color w:val="000000" w:themeColor="text1"/>
          <w:sz w:val="16"/>
          <w:szCs w:val="16"/>
        </w:rPr>
        <w:softHyphen/>
        <w:t>ло сбитых "Илов" составило 1048 само</w:t>
      </w:r>
      <w:r w:rsidRPr="00271E51">
        <w:rPr>
          <w:rFonts w:ascii="Times New Roman" w:hAnsi="Times New Roman"/>
          <w:color w:val="000000" w:themeColor="text1"/>
          <w:sz w:val="16"/>
          <w:szCs w:val="16"/>
        </w:rPr>
        <w:softHyphen/>
        <w:t>летов. При этом рост потерь Ил-2 от огня немецкой зенитной артиллерии сопро</w:t>
      </w:r>
      <w:r w:rsidRPr="00271E51">
        <w:rPr>
          <w:rFonts w:ascii="Times New Roman" w:hAnsi="Times New Roman"/>
          <w:color w:val="000000" w:themeColor="text1"/>
          <w:sz w:val="16"/>
          <w:szCs w:val="16"/>
        </w:rPr>
        <w:softHyphen/>
        <w:t>вождался неуклонным снижением потерь от действий истребителей Люфтваффе. Если в 43-м в воздушных боях было сби</w:t>
      </w:r>
      <w:r w:rsidRPr="00271E51">
        <w:rPr>
          <w:rFonts w:ascii="Times New Roman" w:hAnsi="Times New Roman"/>
          <w:color w:val="000000" w:themeColor="text1"/>
          <w:sz w:val="16"/>
          <w:szCs w:val="16"/>
        </w:rPr>
        <w:softHyphen/>
        <w:t>то 1090 Ил-2, то в 44-м - 882 машины, а в 45-м (на 1 мая) - 369 "Илов". То есть в воздушных боях в небе 44-го "ильюшиных" было потеряно в 2,1 раза меньше, чем от огня ЗА всех калибров, а в 45-м -уже в 2,8 раза меньше.</w:t>
      </w:r>
    </w:p>
    <w:p w14:paraId="04273D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Суммарные же боевые потери штур</w:t>
      </w:r>
      <w:r w:rsidRPr="00271E51">
        <w:rPr>
          <w:rFonts w:ascii="Times New Roman" w:hAnsi="Times New Roman"/>
          <w:color w:val="000000" w:themeColor="text1"/>
          <w:sz w:val="16"/>
          <w:szCs w:val="16"/>
        </w:rPr>
        <w:softHyphen/>
        <w:t>мовиков Ил-2 практически остались на прежнем уровне: в 1943 г. ВВС КА по</w:t>
      </w:r>
      <w:r w:rsidRPr="00271E51">
        <w:rPr>
          <w:rFonts w:ascii="Times New Roman" w:hAnsi="Times New Roman"/>
          <w:color w:val="000000" w:themeColor="text1"/>
          <w:sz w:val="16"/>
          <w:szCs w:val="16"/>
        </w:rPr>
        <w:softHyphen/>
        <w:t>теряли на фронтах 3515 Ил-2, в 1944 г. - 3344 боевые машины, а в 45-м (на 1 мая)- 1691.</w:t>
      </w:r>
    </w:p>
    <w:p w14:paraId="707B23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Столь резкое уменьшение потерь Ил-2 от истребительной авиации Люфтваффе на заключительных этапах войны обуславливалось рядом вполне объек</w:t>
      </w:r>
      <w:r w:rsidRPr="00271E51">
        <w:rPr>
          <w:rFonts w:ascii="Times New Roman" w:hAnsi="Times New Roman"/>
          <w:color w:val="000000" w:themeColor="text1"/>
          <w:sz w:val="16"/>
          <w:szCs w:val="16"/>
        </w:rPr>
        <w:softHyphen/>
        <w:t>тивных причин.</w:t>
      </w:r>
    </w:p>
    <w:p w14:paraId="3F2069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Во-первых, в этот период произошло резкое снижение численности группи</w:t>
      </w:r>
      <w:r w:rsidRPr="00271E51">
        <w:rPr>
          <w:rFonts w:ascii="Times New Roman" w:hAnsi="Times New Roman"/>
          <w:color w:val="000000" w:themeColor="text1"/>
          <w:sz w:val="16"/>
          <w:szCs w:val="16"/>
        </w:rPr>
        <w:softHyphen/>
        <w:t>ровок истребительной авиации Люфтваффе на основных операционных на</w:t>
      </w:r>
      <w:r w:rsidRPr="00271E51">
        <w:rPr>
          <w:rFonts w:ascii="Times New Roman" w:hAnsi="Times New Roman"/>
          <w:color w:val="000000" w:themeColor="text1"/>
          <w:sz w:val="16"/>
          <w:szCs w:val="16"/>
        </w:rPr>
        <w:softHyphen/>
        <w:t>правлениях восточного фронта.</w:t>
      </w:r>
    </w:p>
    <w:p w14:paraId="596B88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Во-вторых, уменьшение численности истребителей Люфтваффе сопровожда</w:t>
      </w:r>
      <w:r w:rsidRPr="00271E51">
        <w:rPr>
          <w:rFonts w:ascii="Times New Roman" w:hAnsi="Times New Roman"/>
          <w:color w:val="000000" w:themeColor="text1"/>
          <w:sz w:val="16"/>
          <w:szCs w:val="16"/>
        </w:rPr>
        <w:softHyphen/>
        <w:t>лось снижением качества подготовки немецких летчиков. Это были уже не те "зубры", которые господствовали в небе начала войны. Училищного опыта немец</w:t>
      </w:r>
      <w:r w:rsidRPr="00271E51">
        <w:rPr>
          <w:rFonts w:ascii="Times New Roman" w:hAnsi="Times New Roman"/>
          <w:color w:val="000000" w:themeColor="text1"/>
          <w:sz w:val="16"/>
          <w:szCs w:val="16"/>
        </w:rPr>
        <w:softHyphen/>
        <w:t>кой молодежи не хватало для проведе</w:t>
      </w:r>
      <w:r w:rsidRPr="00271E51">
        <w:rPr>
          <w:rFonts w:ascii="Times New Roman" w:hAnsi="Times New Roman"/>
          <w:color w:val="000000" w:themeColor="text1"/>
          <w:sz w:val="16"/>
          <w:szCs w:val="16"/>
        </w:rPr>
        <w:softHyphen/>
        <w:t>ния успешных воздушных боев с совет</w:t>
      </w:r>
      <w:r w:rsidRPr="00271E51">
        <w:rPr>
          <w:rFonts w:ascii="Times New Roman" w:hAnsi="Times New Roman"/>
          <w:color w:val="000000" w:themeColor="text1"/>
          <w:sz w:val="16"/>
          <w:szCs w:val="16"/>
        </w:rPr>
        <w:softHyphen/>
        <w:t>скими летчиками, боевое мастерство которых к этому времени значительно выросло.</w:t>
      </w:r>
    </w:p>
    <w:p w14:paraId="0D4DEF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В-третьих, тактика воздушного боя Ил-2 с немецкими истребителями и взаи</w:t>
      </w:r>
      <w:r w:rsidRPr="00271E51">
        <w:rPr>
          <w:rFonts w:ascii="Times New Roman" w:hAnsi="Times New Roman"/>
          <w:color w:val="000000" w:themeColor="text1"/>
          <w:sz w:val="16"/>
          <w:szCs w:val="16"/>
        </w:rPr>
        <w:softHyphen/>
        <w:t>модействия штурмовиков со своими истребителями прикрытия достигла со</w:t>
      </w:r>
      <w:r w:rsidRPr="00271E51">
        <w:rPr>
          <w:rFonts w:ascii="Times New Roman" w:hAnsi="Times New Roman"/>
          <w:color w:val="000000" w:themeColor="text1"/>
          <w:sz w:val="16"/>
          <w:szCs w:val="16"/>
        </w:rPr>
        <w:softHyphen/>
        <w:t>вершенства.</w:t>
      </w:r>
    </w:p>
    <w:p w14:paraId="01E21B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ВВС КА в этот период уделялось исключительно большое внимание отра</w:t>
      </w:r>
      <w:r w:rsidRPr="00271E51">
        <w:rPr>
          <w:rFonts w:ascii="Times New Roman" w:hAnsi="Times New Roman"/>
          <w:color w:val="000000" w:themeColor="text1"/>
          <w:sz w:val="16"/>
          <w:szCs w:val="16"/>
        </w:rPr>
        <w:softHyphen/>
        <w:t>ботке групповой слетанности штурмо</w:t>
      </w:r>
      <w:r w:rsidRPr="00271E51">
        <w:rPr>
          <w:rFonts w:ascii="Times New Roman" w:hAnsi="Times New Roman"/>
          <w:color w:val="000000" w:themeColor="text1"/>
          <w:sz w:val="16"/>
          <w:szCs w:val="16"/>
        </w:rPr>
        <w:softHyphen/>
        <w:t>виков, поскольку целостность боевого порядка и непрерывное огневое взаи</w:t>
      </w:r>
      <w:r w:rsidRPr="00271E51">
        <w:rPr>
          <w:rFonts w:ascii="Times New Roman" w:hAnsi="Times New Roman"/>
          <w:color w:val="000000" w:themeColor="text1"/>
          <w:sz w:val="16"/>
          <w:szCs w:val="16"/>
        </w:rPr>
        <w:softHyphen/>
        <w:t>модействие между самолетами являлись важнейшими способами снижения потерь от истребителей противника.</w:t>
      </w:r>
    </w:p>
    <w:p w14:paraId="5A418A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войны показал, что хорошо слетанная группа в составе 8-10 Ил-2 в ус</w:t>
      </w:r>
      <w:r w:rsidRPr="00271E51">
        <w:rPr>
          <w:rFonts w:ascii="Times New Roman" w:hAnsi="Times New Roman"/>
          <w:color w:val="000000" w:themeColor="text1"/>
          <w:sz w:val="16"/>
          <w:szCs w:val="16"/>
        </w:rPr>
        <w:softHyphen/>
        <w:t>ловиях боев этого периода сосредото</w:t>
      </w:r>
      <w:r w:rsidRPr="00271E51">
        <w:rPr>
          <w:rFonts w:ascii="Times New Roman" w:hAnsi="Times New Roman"/>
          <w:color w:val="000000" w:themeColor="text1"/>
          <w:sz w:val="16"/>
          <w:szCs w:val="16"/>
        </w:rPr>
        <w:softHyphen/>
        <w:t>ченным огнем воздушных стрелков га</w:t>
      </w:r>
      <w:r w:rsidRPr="00271E51">
        <w:rPr>
          <w:rFonts w:ascii="Times New Roman" w:hAnsi="Times New Roman"/>
          <w:color w:val="000000" w:themeColor="text1"/>
          <w:sz w:val="16"/>
          <w:szCs w:val="16"/>
        </w:rPr>
        <w:softHyphen/>
        <w:t>рантированно сбивала один истребитель Люфтваффе, атакующий группу со сто</w:t>
      </w:r>
      <w:r w:rsidRPr="00271E51">
        <w:rPr>
          <w:rFonts w:ascii="Times New Roman" w:hAnsi="Times New Roman"/>
          <w:color w:val="000000" w:themeColor="text1"/>
          <w:sz w:val="16"/>
          <w:szCs w:val="16"/>
        </w:rPr>
        <w:softHyphen/>
        <w:t>роны задней полусферы (6467).</w:t>
      </w:r>
    </w:p>
    <w:p w14:paraId="1F6DC2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того, на снижении боевых по</w:t>
      </w:r>
      <w:r w:rsidRPr="00271E51">
        <w:rPr>
          <w:rFonts w:ascii="Times New Roman" w:hAnsi="Times New Roman"/>
          <w:color w:val="000000" w:themeColor="text1"/>
          <w:sz w:val="16"/>
          <w:szCs w:val="16"/>
        </w:rPr>
        <w:softHyphen/>
        <w:t>терь штурмовиков благоприятно сказа</w:t>
      </w:r>
      <w:r w:rsidRPr="00271E51">
        <w:rPr>
          <w:rFonts w:ascii="Times New Roman" w:hAnsi="Times New Roman"/>
          <w:color w:val="000000" w:themeColor="text1"/>
          <w:sz w:val="16"/>
          <w:szCs w:val="16"/>
        </w:rPr>
        <w:softHyphen/>
        <w:t>лось увеличение численного состава групп до 12-36 и даже 54 самолетов Ил-2 в группе.</w:t>
      </w:r>
    </w:p>
    <w:p w14:paraId="50C03A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Такие группы, помимо хоро</w:t>
      </w:r>
      <w:r w:rsidRPr="00271E51">
        <w:rPr>
          <w:rFonts w:ascii="Times New Roman" w:hAnsi="Times New Roman"/>
          <w:color w:val="000000" w:themeColor="text1"/>
          <w:sz w:val="16"/>
          <w:szCs w:val="16"/>
        </w:rPr>
        <w:softHyphen/>
        <w:t>ших собственных оборонительных воз</w:t>
      </w:r>
      <w:r w:rsidRPr="00271E51">
        <w:rPr>
          <w:rFonts w:ascii="Times New Roman" w:hAnsi="Times New Roman"/>
          <w:color w:val="000000" w:themeColor="text1"/>
          <w:sz w:val="16"/>
          <w:szCs w:val="16"/>
        </w:rPr>
        <w:softHyphen/>
        <w:t>можностей, сопровождались и значитель</w:t>
      </w:r>
      <w:r w:rsidRPr="00271E51">
        <w:rPr>
          <w:rFonts w:ascii="Times New Roman" w:hAnsi="Times New Roman"/>
          <w:color w:val="000000" w:themeColor="text1"/>
          <w:sz w:val="16"/>
          <w:szCs w:val="16"/>
        </w:rPr>
        <w:softHyphen/>
        <w:t>ным количеством истребителей прикры</w:t>
      </w:r>
      <w:r w:rsidRPr="00271E51">
        <w:rPr>
          <w:rFonts w:ascii="Times New Roman" w:hAnsi="Times New Roman"/>
          <w:color w:val="000000" w:themeColor="text1"/>
          <w:sz w:val="16"/>
          <w:szCs w:val="16"/>
        </w:rPr>
        <w:softHyphen/>
        <w:t>тия, что увеличивало надежность отра</w:t>
      </w:r>
      <w:r w:rsidRPr="00271E51">
        <w:rPr>
          <w:rFonts w:ascii="Times New Roman" w:hAnsi="Times New Roman"/>
          <w:color w:val="000000" w:themeColor="text1"/>
          <w:sz w:val="16"/>
          <w:szCs w:val="16"/>
        </w:rPr>
        <w:softHyphen/>
        <w:t>жения атак "мессершмиттов" и "фокке-вульфов".</w:t>
      </w:r>
    </w:p>
    <w:p w14:paraId="798F4D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Быстрый рост боевых потерь Ил-2 от огня зенитной артиллерии немцев объясняется прежде всего тем, что на подходе к целям на поле боя "Илам" приходилось преодолевать сплошную стену зенитного огня. По данным Управ</w:t>
      </w:r>
      <w:r w:rsidRPr="00271E51">
        <w:rPr>
          <w:rFonts w:ascii="Times New Roman" w:hAnsi="Times New Roman"/>
          <w:color w:val="000000" w:themeColor="text1"/>
          <w:sz w:val="16"/>
          <w:szCs w:val="16"/>
        </w:rPr>
        <w:softHyphen/>
        <w:t>ления воздушно-стрелковой службы штаба ВВС КА во время атаки Ил-2 на</w:t>
      </w:r>
      <w:r w:rsidRPr="00271E51">
        <w:rPr>
          <w:rFonts w:ascii="Times New Roman" w:hAnsi="Times New Roman"/>
          <w:color w:val="000000" w:themeColor="text1"/>
          <w:sz w:val="16"/>
          <w:szCs w:val="16"/>
        </w:rPr>
        <w:softHyphen/>
        <w:t>земных целей в полосах обороны немец</w:t>
      </w:r>
      <w:r w:rsidRPr="00271E51">
        <w:rPr>
          <w:rFonts w:ascii="Times New Roman" w:hAnsi="Times New Roman"/>
          <w:color w:val="000000" w:themeColor="text1"/>
          <w:sz w:val="16"/>
          <w:szCs w:val="16"/>
        </w:rPr>
        <w:softHyphen/>
        <w:t>ких УР по штурмовику в секунду могло быть выпущено до 8000-9000 пуль круп</w:t>
      </w:r>
      <w:r w:rsidRPr="00271E51">
        <w:rPr>
          <w:rFonts w:ascii="Times New Roman" w:hAnsi="Times New Roman"/>
          <w:color w:val="000000" w:themeColor="text1"/>
          <w:sz w:val="16"/>
          <w:szCs w:val="16"/>
        </w:rPr>
        <w:softHyphen/>
        <w:t>ного калибра (13 мм) и до 200-250 малокалиберных (20-37 мм) снарядов.</w:t>
      </w:r>
    </w:p>
    <w:p w14:paraId="09A6C8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Зенитная артиллерия обычно уста</w:t>
      </w:r>
      <w:r w:rsidRPr="00271E51">
        <w:rPr>
          <w:rFonts w:ascii="Times New Roman" w:hAnsi="Times New Roman"/>
          <w:color w:val="000000" w:themeColor="text1"/>
          <w:sz w:val="16"/>
          <w:szCs w:val="16"/>
        </w:rPr>
        <w:softHyphen/>
        <w:t>навливалась немцами на вероятных на</w:t>
      </w:r>
      <w:r w:rsidRPr="00271E51">
        <w:rPr>
          <w:rFonts w:ascii="Times New Roman" w:hAnsi="Times New Roman"/>
          <w:color w:val="000000" w:themeColor="text1"/>
          <w:sz w:val="16"/>
          <w:szCs w:val="16"/>
        </w:rPr>
        <w:softHyphen/>
        <w:t>правлениях полетов советской авиации на участках предполагаемого наступле</w:t>
      </w:r>
      <w:r w:rsidRPr="00271E51">
        <w:rPr>
          <w:rFonts w:ascii="Times New Roman" w:hAnsi="Times New Roman"/>
          <w:color w:val="000000" w:themeColor="text1"/>
          <w:sz w:val="16"/>
          <w:szCs w:val="16"/>
        </w:rPr>
        <w:softHyphen/>
        <w:t>ния частей Красной Армии. В некото</w:t>
      </w:r>
      <w:r w:rsidRPr="00271E51">
        <w:rPr>
          <w:rFonts w:ascii="Times New Roman" w:hAnsi="Times New Roman"/>
          <w:color w:val="000000" w:themeColor="text1"/>
          <w:sz w:val="16"/>
          <w:szCs w:val="16"/>
        </w:rPr>
        <w:softHyphen/>
        <w:t>рых случаях против "Илов" немцы ис</w:t>
      </w:r>
      <w:r w:rsidRPr="00271E51">
        <w:rPr>
          <w:rFonts w:ascii="Times New Roman" w:hAnsi="Times New Roman"/>
          <w:color w:val="000000" w:themeColor="text1"/>
          <w:sz w:val="16"/>
          <w:szCs w:val="16"/>
        </w:rPr>
        <w:softHyphen/>
        <w:t>пользовали так называемые кочующие зенитные батареи, засады и т.п.</w:t>
      </w:r>
    </w:p>
    <w:p w14:paraId="5E5CD8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Ближе всех к переднему краю обо</w:t>
      </w:r>
      <w:r w:rsidRPr="00271E51">
        <w:rPr>
          <w:rFonts w:ascii="Times New Roman" w:hAnsi="Times New Roman"/>
          <w:color w:val="000000" w:themeColor="text1"/>
          <w:sz w:val="16"/>
          <w:szCs w:val="16"/>
        </w:rPr>
        <w:softHyphen/>
        <w:t>роны немцев располагались крупнока</w:t>
      </w:r>
      <w:r w:rsidRPr="00271E51">
        <w:rPr>
          <w:rFonts w:ascii="Times New Roman" w:hAnsi="Times New Roman"/>
          <w:color w:val="000000" w:themeColor="text1"/>
          <w:sz w:val="16"/>
          <w:szCs w:val="16"/>
        </w:rPr>
        <w:softHyphen/>
        <w:t>либерные зенитные пулеметы. На уда</w:t>
      </w:r>
      <w:r w:rsidRPr="00271E51">
        <w:rPr>
          <w:rFonts w:ascii="Times New Roman" w:hAnsi="Times New Roman"/>
          <w:color w:val="000000" w:themeColor="text1"/>
          <w:sz w:val="16"/>
          <w:szCs w:val="16"/>
        </w:rPr>
        <w:softHyphen/>
        <w:t>лении 1-2 км от линии фронта распола</w:t>
      </w:r>
      <w:r w:rsidRPr="00271E51">
        <w:rPr>
          <w:rFonts w:ascii="Times New Roman" w:hAnsi="Times New Roman"/>
          <w:color w:val="000000" w:themeColor="text1"/>
          <w:sz w:val="16"/>
          <w:szCs w:val="16"/>
        </w:rPr>
        <w:softHyphen/>
        <w:t>гались батареи МЗА, а батареи средне</w:t>
      </w:r>
      <w:r w:rsidRPr="00271E51">
        <w:rPr>
          <w:rFonts w:ascii="Times New Roman" w:hAnsi="Times New Roman"/>
          <w:color w:val="000000" w:themeColor="text1"/>
          <w:sz w:val="16"/>
          <w:szCs w:val="16"/>
        </w:rPr>
        <w:softHyphen/>
        <w:t>го и крупного калибров - от 3 до 5 км. Расчет каждой зенитной точки состав</w:t>
      </w:r>
      <w:r w:rsidRPr="00271E51">
        <w:rPr>
          <w:rFonts w:ascii="Times New Roman" w:hAnsi="Times New Roman"/>
          <w:color w:val="000000" w:themeColor="text1"/>
          <w:sz w:val="16"/>
          <w:szCs w:val="16"/>
        </w:rPr>
        <w:softHyphen/>
        <w:t>лял от 4 до 14 человек. Каждая батарея МЗА (12 20-мм или 37-мм орудий) за</w:t>
      </w:r>
      <w:r w:rsidRPr="00271E51">
        <w:rPr>
          <w:rFonts w:ascii="Times New Roman" w:hAnsi="Times New Roman"/>
          <w:color w:val="000000" w:themeColor="text1"/>
          <w:sz w:val="16"/>
          <w:szCs w:val="16"/>
        </w:rPr>
        <w:softHyphen/>
        <w:t>нимала площадь около 100х100 м, а ба</w:t>
      </w:r>
      <w:r w:rsidRPr="00271E51">
        <w:rPr>
          <w:rFonts w:ascii="Times New Roman" w:hAnsi="Times New Roman"/>
          <w:color w:val="000000" w:themeColor="text1"/>
          <w:sz w:val="16"/>
          <w:szCs w:val="16"/>
        </w:rPr>
        <w:softHyphen/>
        <w:t>тарея ЗА среднего калибра (4 88-мм и 2 20-мм орудия) - от 200х200 м до 400х400 м.</w:t>
      </w:r>
    </w:p>
    <w:p w14:paraId="2AE4C8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Наибольшую опасность для Ил-2 представляли малокалиберная (20-37 мм) зенитная артиллерия и крупнокали</w:t>
      </w:r>
      <w:r w:rsidRPr="00271E51">
        <w:rPr>
          <w:rFonts w:ascii="Times New Roman" w:hAnsi="Times New Roman"/>
          <w:color w:val="000000" w:themeColor="text1"/>
          <w:sz w:val="16"/>
          <w:szCs w:val="16"/>
        </w:rPr>
        <w:softHyphen/>
        <w:t>берные зенитные пулеметы, поскольку их огонь был наиболее губительным на тех высотах, с которых обычно действовали Ил-2. Дело в том, что бронирование Ил-2 обеспечивало защиту главным обра</w:t>
      </w:r>
      <w:r w:rsidRPr="00271E51">
        <w:rPr>
          <w:rFonts w:ascii="Times New Roman" w:hAnsi="Times New Roman"/>
          <w:color w:val="000000" w:themeColor="text1"/>
          <w:sz w:val="16"/>
          <w:szCs w:val="16"/>
        </w:rPr>
        <w:softHyphen/>
        <w:t>зом от пуль нормального и частично от пуль крупных калибров.</w:t>
      </w:r>
    </w:p>
    <w:p w14:paraId="25F6D9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наблюдению Героя Советского Союза летчика-штурмовика 140-го шал Н.Т.Полукарова его Ил-2 в среднем в каждом четвертом боевом вылете полу</w:t>
      </w:r>
      <w:r w:rsidRPr="00271E51">
        <w:rPr>
          <w:rFonts w:ascii="Times New Roman" w:hAnsi="Times New Roman"/>
          <w:color w:val="000000" w:themeColor="text1"/>
          <w:sz w:val="16"/>
          <w:szCs w:val="16"/>
        </w:rPr>
        <w:softHyphen/>
        <w:t>чал хотя бы одно повреждение в резуль</w:t>
      </w:r>
      <w:r w:rsidRPr="00271E51">
        <w:rPr>
          <w:rFonts w:ascii="Times New Roman" w:hAnsi="Times New Roman"/>
          <w:color w:val="000000" w:themeColor="text1"/>
          <w:sz w:val="16"/>
          <w:szCs w:val="16"/>
        </w:rPr>
        <w:softHyphen/>
        <w:t>тате прямого попадания снаряда МЗА.</w:t>
      </w:r>
    </w:p>
    <w:p w14:paraId="09FF0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Официальная же статистика более сурова - по опыту штурмовых авиачас</w:t>
      </w:r>
      <w:r w:rsidRPr="00271E51">
        <w:rPr>
          <w:rFonts w:ascii="Times New Roman" w:hAnsi="Times New Roman"/>
          <w:color w:val="000000" w:themeColor="text1"/>
          <w:sz w:val="16"/>
          <w:szCs w:val="16"/>
        </w:rPr>
        <w:softHyphen/>
        <w:t>тей 3-й ВА (Витебская, Полоцкая, Двинс</w:t>
      </w:r>
      <w:r w:rsidRPr="00271E51">
        <w:rPr>
          <w:rFonts w:ascii="Times New Roman" w:hAnsi="Times New Roman"/>
          <w:color w:val="000000" w:themeColor="text1"/>
          <w:sz w:val="16"/>
          <w:szCs w:val="16"/>
        </w:rPr>
        <w:softHyphen/>
        <w:t>кая, Белорусская и Шауляйская опера</w:t>
      </w:r>
      <w:r w:rsidRPr="00271E51">
        <w:rPr>
          <w:rFonts w:ascii="Times New Roman" w:hAnsi="Times New Roman"/>
          <w:color w:val="000000" w:themeColor="text1"/>
          <w:sz w:val="16"/>
          <w:szCs w:val="16"/>
        </w:rPr>
        <w:softHyphen/>
        <w:t>ции) на один поврежденный зенитной артиллерией "Ил" приходилось 2-3 бо</w:t>
      </w:r>
      <w:r w:rsidRPr="00271E51">
        <w:rPr>
          <w:rFonts w:ascii="Times New Roman" w:hAnsi="Times New Roman"/>
          <w:color w:val="000000" w:themeColor="text1"/>
          <w:sz w:val="16"/>
          <w:szCs w:val="16"/>
        </w:rPr>
        <w:softHyphen/>
        <w:t>евых самолето-вылета при общей жи</w:t>
      </w:r>
      <w:r w:rsidRPr="00271E51">
        <w:rPr>
          <w:rFonts w:ascii="Times New Roman" w:hAnsi="Times New Roman"/>
          <w:color w:val="000000" w:themeColor="text1"/>
          <w:sz w:val="16"/>
          <w:szCs w:val="16"/>
        </w:rPr>
        <w:softHyphen/>
        <w:t>вучести Ил-2 в этот период около 36 самолето-вылетов (41 час налета) на одну боевую потерю.</w:t>
      </w:r>
    </w:p>
    <w:p w14:paraId="16F72C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Анализ боевых повреждений штурмо</w:t>
      </w:r>
      <w:r w:rsidRPr="00271E51">
        <w:rPr>
          <w:rFonts w:ascii="Times New Roman" w:hAnsi="Times New Roman"/>
          <w:color w:val="000000" w:themeColor="text1"/>
          <w:sz w:val="16"/>
          <w:szCs w:val="16"/>
        </w:rPr>
        <w:softHyphen/>
        <w:t>виков 3-й ВА, полученных в период с июня по октябрь 44-го, показывает, что:</w:t>
      </w:r>
    </w:p>
    <w:p w14:paraId="237944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 всех повреждений конструкции Ил-2 приходилось на центроплан (обшивка, нервюры, лонжероны), 15% - на фюзе</w:t>
      </w:r>
      <w:r w:rsidRPr="00271E51">
        <w:rPr>
          <w:rFonts w:ascii="Times New Roman" w:hAnsi="Times New Roman"/>
          <w:color w:val="000000" w:themeColor="text1"/>
          <w:sz w:val="16"/>
          <w:szCs w:val="16"/>
        </w:rPr>
        <w:softHyphen/>
        <w:t>ляж (обшивка, стрингера, шпангоуты), 20% - на плоскости (консоли), 10% - на элементы конструкции шасси (пирами</w:t>
      </w:r>
      <w:r w:rsidRPr="00271E51">
        <w:rPr>
          <w:rFonts w:ascii="Times New Roman" w:hAnsi="Times New Roman"/>
          <w:color w:val="000000" w:themeColor="text1"/>
          <w:sz w:val="16"/>
          <w:szCs w:val="16"/>
        </w:rPr>
        <w:softHyphen/>
        <w:t>да, подкосы, цилиндры выпуска), 20% -на хвостовое оперение с проводкой уп</w:t>
      </w:r>
      <w:r w:rsidRPr="00271E51">
        <w:rPr>
          <w:rFonts w:ascii="Times New Roman" w:hAnsi="Times New Roman"/>
          <w:color w:val="000000" w:themeColor="text1"/>
          <w:sz w:val="16"/>
          <w:szCs w:val="16"/>
        </w:rPr>
        <w:softHyphen/>
        <w:t>равления, 2% повреждений - на мотор и капоты, 3% - на радиаторы, 2% - на маслобак, 3% повреждений составляли пробоины лопастей и цилиндра пере</w:t>
      </w:r>
      <w:r w:rsidRPr="00271E51">
        <w:rPr>
          <w:rFonts w:ascii="Times New Roman" w:hAnsi="Times New Roman"/>
          <w:color w:val="000000" w:themeColor="text1"/>
          <w:sz w:val="16"/>
          <w:szCs w:val="16"/>
        </w:rPr>
        <w:softHyphen/>
        <w:t>становки шага винта и оставшиеся 15% пришлись на различные агрегаты и де</w:t>
      </w:r>
      <w:r w:rsidRPr="00271E51">
        <w:rPr>
          <w:rFonts w:ascii="Times New Roman" w:hAnsi="Times New Roman"/>
          <w:color w:val="000000" w:themeColor="text1"/>
          <w:sz w:val="16"/>
          <w:szCs w:val="16"/>
        </w:rPr>
        <w:softHyphen/>
        <w:t>тали самолета (костыль, бронеспинка, бронелюки мотора, выхлопные патруб</w:t>
      </w:r>
      <w:r w:rsidRPr="00271E51">
        <w:rPr>
          <w:rFonts w:ascii="Times New Roman" w:hAnsi="Times New Roman"/>
          <w:color w:val="000000" w:themeColor="text1"/>
          <w:sz w:val="16"/>
          <w:szCs w:val="16"/>
        </w:rPr>
        <w:softHyphen/>
        <w:t>ки и т.д.).</w:t>
      </w:r>
    </w:p>
    <w:p w14:paraId="7E37A6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Около 10% поврежденных штурмови</w:t>
      </w:r>
      <w:r w:rsidRPr="00271E51">
        <w:rPr>
          <w:rFonts w:ascii="Times New Roman" w:hAnsi="Times New Roman"/>
          <w:color w:val="000000" w:themeColor="text1"/>
          <w:sz w:val="16"/>
          <w:szCs w:val="16"/>
        </w:rPr>
        <w:softHyphen/>
        <w:t>ков Ил-2 отправлялись в ремонтные органы или списывались ввиду невоз</w:t>
      </w:r>
      <w:r w:rsidRPr="00271E51">
        <w:rPr>
          <w:rFonts w:ascii="Times New Roman" w:hAnsi="Times New Roman"/>
          <w:color w:val="000000" w:themeColor="text1"/>
          <w:sz w:val="16"/>
          <w:szCs w:val="16"/>
        </w:rPr>
        <w:softHyphen/>
        <w:t>можности ремонта. Остальные 90% по</w:t>
      </w:r>
      <w:r w:rsidRPr="00271E51">
        <w:rPr>
          <w:rFonts w:ascii="Times New Roman" w:hAnsi="Times New Roman"/>
          <w:color w:val="000000" w:themeColor="text1"/>
          <w:sz w:val="16"/>
          <w:szCs w:val="16"/>
        </w:rPr>
        <w:softHyphen/>
        <w:t>врежденных "Илов" восстанавливались силами техсостава и полевых авиаре</w:t>
      </w:r>
      <w:r w:rsidRPr="00271E51">
        <w:rPr>
          <w:rFonts w:ascii="Times New Roman" w:hAnsi="Times New Roman"/>
          <w:color w:val="000000" w:themeColor="text1"/>
          <w:sz w:val="16"/>
          <w:szCs w:val="16"/>
        </w:rPr>
        <w:softHyphen/>
        <w:t>монтных мастерских.</w:t>
      </w:r>
    </w:p>
    <w:p w14:paraId="37E9B7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 общего количества поврежденных штурмовиков Ил-2 3-й ВА, сумевших вер</w:t>
      </w:r>
      <w:r w:rsidRPr="00271E51">
        <w:rPr>
          <w:rFonts w:ascii="Times New Roman" w:hAnsi="Times New Roman"/>
          <w:color w:val="000000" w:themeColor="text1"/>
          <w:sz w:val="16"/>
          <w:szCs w:val="16"/>
        </w:rPr>
        <w:softHyphen/>
        <w:t>нуться с боевого задания и сесть на вынужденную на своей территории, толь</w:t>
      </w:r>
      <w:r w:rsidRPr="00271E51">
        <w:rPr>
          <w:rFonts w:ascii="Times New Roman" w:hAnsi="Times New Roman"/>
          <w:color w:val="000000" w:themeColor="text1"/>
          <w:sz w:val="16"/>
          <w:szCs w:val="16"/>
        </w:rPr>
        <w:softHyphen/>
        <w:t>ко 6% вынужденных посадок были свя</w:t>
      </w:r>
      <w:r w:rsidRPr="00271E51">
        <w:rPr>
          <w:rFonts w:ascii="Times New Roman" w:hAnsi="Times New Roman"/>
          <w:color w:val="000000" w:themeColor="text1"/>
          <w:sz w:val="16"/>
          <w:szCs w:val="16"/>
        </w:rPr>
        <w:softHyphen/>
        <w:t>заны с ранением летчика или наруше</w:t>
      </w:r>
      <w:r w:rsidRPr="00271E51">
        <w:rPr>
          <w:rFonts w:ascii="Times New Roman" w:hAnsi="Times New Roman"/>
          <w:color w:val="000000" w:themeColor="text1"/>
          <w:sz w:val="16"/>
          <w:szCs w:val="16"/>
        </w:rPr>
        <w:softHyphen/>
        <w:t>нием работы мотора.</w:t>
      </w:r>
    </w:p>
    <w:p w14:paraId="1C3A62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Средний процент пробития брони от огня зенитной артиллерии оказался по</w:t>
      </w:r>
      <w:r w:rsidRPr="00271E51">
        <w:rPr>
          <w:rFonts w:ascii="Times New Roman" w:hAnsi="Times New Roman"/>
          <w:color w:val="000000" w:themeColor="text1"/>
          <w:sz w:val="16"/>
          <w:szCs w:val="16"/>
        </w:rPr>
        <w:softHyphen/>
        <w:t>чти вдвое больше, чем от огня истреби</w:t>
      </w:r>
      <w:r w:rsidRPr="00271E51">
        <w:rPr>
          <w:rFonts w:ascii="Times New Roman" w:hAnsi="Times New Roman"/>
          <w:color w:val="000000" w:themeColor="text1"/>
          <w:sz w:val="16"/>
          <w:szCs w:val="16"/>
        </w:rPr>
        <w:softHyphen/>
        <w:t>телей противника. Характер пробоин бронекорпусов списанных штурмовиков Ил-2 (ввиду невозможности ремонта) позволяет сделать вывод, что угловой конус поражения Ил-2 при обстреле не</w:t>
      </w:r>
      <w:r w:rsidRPr="00271E51">
        <w:rPr>
          <w:rFonts w:ascii="Times New Roman" w:hAnsi="Times New Roman"/>
          <w:color w:val="000000" w:themeColor="text1"/>
          <w:sz w:val="16"/>
          <w:szCs w:val="16"/>
        </w:rPr>
        <w:softHyphen/>
        <w:t>мецкой зенитной артиллерии не превы</w:t>
      </w:r>
      <w:r w:rsidRPr="00271E51">
        <w:rPr>
          <w:rFonts w:ascii="Times New Roman" w:hAnsi="Times New Roman"/>
          <w:color w:val="000000" w:themeColor="text1"/>
          <w:sz w:val="16"/>
          <w:szCs w:val="16"/>
        </w:rPr>
        <w:softHyphen/>
        <w:t>шал в горизонтальной плоскости 20-25° к нормали и в вертикальной плоскости</w:t>
      </w:r>
    </w:p>
    <w:p w14:paraId="06E422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- 10-15° к нормали. То есть, все попада</w:t>
      </w:r>
      <w:r w:rsidRPr="00271E51">
        <w:rPr>
          <w:rFonts w:ascii="Times New Roman" w:hAnsi="Times New Roman"/>
          <w:color w:val="000000" w:themeColor="text1"/>
          <w:sz w:val="16"/>
          <w:szCs w:val="16"/>
        </w:rPr>
        <w:softHyphen/>
        <w:t>ния в бронекорпус "Ила" от пушечно-пулеметного зенитного огня приходи</w:t>
      </w:r>
      <w:r w:rsidRPr="00271E51">
        <w:rPr>
          <w:rFonts w:ascii="Times New Roman" w:hAnsi="Times New Roman"/>
          <w:color w:val="000000" w:themeColor="text1"/>
          <w:sz w:val="16"/>
          <w:szCs w:val="16"/>
        </w:rPr>
        <w:softHyphen/>
        <w:t>лись исключительно на его боковую часть, тогда как поперечная броня, а так</w:t>
      </w:r>
      <w:r w:rsidRPr="00271E51">
        <w:rPr>
          <w:rFonts w:ascii="Times New Roman" w:hAnsi="Times New Roman"/>
          <w:color w:val="000000" w:themeColor="text1"/>
          <w:sz w:val="16"/>
          <w:szCs w:val="16"/>
        </w:rPr>
        <w:softHyphen/>
        <w:t>же верхняя и нижняя части продольной брони попаданий от зенитного огня практически не имели.</w:t>
      </w:r>
    </w:p>
    <w:p w14:paraId="78FF04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Высоты эффективной стрельбы МЗА составляли от 500 до 2000 м, а для пуле</w:t>
      </w:r>
      <w:r w:rsidRPr="00271E51">
        <w:rPr>
          <w:rFonts w:ascii="Times New Roman" w:hAnsi="Times New Roman"/>
          <w:color w:val="000000" w:themeColor="text1"/>
          <w:sz w:val="16"/>
          <w:szCs w:val="16"/>
        </w:rPr>
        <w:softHyphen/>
        <w:t>метов - не более 600-800 м. Наклонная дальность эффективной стрельбы МЗА существенно зависела от высоты выхо</w:t>
      </w:r>
      <w:r w:rsidRPr="00271E51">
        <w:rPr>
          <w:rFonts w:ascii="Times New Roman" w:hAnsi="Times New Roman"/>
          <w:color w:val="000000" w:themeColor="text1"/>
          <w:sz w:val="16"/>
          <w:szCs w:val="16"/>
        </w:rPr>
        <w:softHyphen/>
        <w:t>да Ил-2 на цель. Так, если штурмовики подходили к цели на высоте порядка 1000 м, то уже в 1-1,5 км от ЛБС они могли быть обстреляны огнем МЗА, по</w:t>
      </w:r>
      <w:r w:rsidRPr="00271E51">
        <w:rPr>
          <w:rFonts w:ascii="Times New Roman" w:hAnsi="Times New Roman"/>
          <w:color w:val="000000" w:themeColor="text1"/>
          <w:sz w:val="16"/>
          <w:szCs w:val="16"/>
        </w:rPr>
        <w:softHyphen/>
        <w:t>скольку наклонная дальность, например, для немецкой 37-мм зенитной пушки 3.7cm FlaK36 составляла около 3000 м, а для 20-мм зенитной пушки 2cm FlaK38 - 2000 м.</w:t>
      </w:r>
    </w:p>
    <w:p w14:paraId="6A6E46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Практическая стрельба велась нем</w:t>
      </w:r>
      <w:r w:rsidRPr="00271E51">
        <w:rPr>
          <w:rFonts w:ascii="Times New Roman" w:hAnsi="Times New Roman"/>
          <w:color w:val="000000" w:themeColor="text1"/>
          <w:sz w:val="16"/>
          <w:szCs w:val="16"/>
        </w:rPr>
        <w:softHyphen/>
        <w:t>цами осколочно-фугасными и осколочно-зажигательными снарядами.</w:t>
      </w:r>
    </w:p>
    <w:p w14:paraId="239592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опыт и полигонные испыта</w:t>
      </w:r>
      <w:r w:rsidRPr="00271E51">
        <w:rPr>
          <w:rFonts w:ascii="Times New Roman" w:hAnsi="Times New Roman"/>
          <w:color w:val="000000" w:themeColor="text1"/>
          <w:sz w:val="16"/>
          <w:szCs w:val="16"/>
        </w:rPr>
        <w:softHyphen/>
        <w:t>ния показали, что для поражения штур</w:t>
      </w:r>
      <w:r w:rsidRPr="00271E51">
        <w:rPr>
          <w:rFonts w:ascii="Times New Roman" w:hAnsi="Times New Roman"/>
          <w:color w:val="000000" w:themeColor="text1"/>
          <w:sz w:val="16"/>
          <w:szCs w:val="16"/>
        </w:rPr>
        <w:softHyphen/>
        <w:t>мовика Ил-2 в среднем было достаточ</w:t>
      </w:r>
      <w:r w:rsidRPr="00271E51">
        <w:rPr>
          <w:rFonts w:ascii="Times New Roman" w:hAnsi="Times New Roman"/>
          <w:color w:val="000000" w:themeColor="text1"/>
          <w:sz w:val="16"/>
          <w:szCs w:val="16"/>
        </w:rPr>
        <w:softHyphen/>
        <w:t>но 1 -2 попаданий снарядов калибра 37 мм.</w:t>
      </w:r>
    </w:p>
    <w:p w14:paraId="3C2A94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одно попадание 37-мм сна</w:t>
      </w:r>
      <w:r w:rsidRPr="00271E51">
        <w:rPr>
          <w:rFonts w:ascii="Times New Roman" w:hAnsi="Times New Roman"/>
          <w:color w:val="000000" w:themeColor="text1"/>
          <w:sz w:val="16"/>
          <w:szCs w:val="16"/>
        </w:rPr>
        <w:softHyphen/>
        <w:t>ряда в консоль крыла, в любую часть мотора, в передний и задний бензобаки, в кабины летчика и стрелка, а также в фюзеляж самолета выводило последний из строя. Для вывода штурмовика из строя путем поражения центропланной части крыла необходимо было обеспе</w:t>
      </w:r>
      <w:r w:rsidRPr="00271E51">
        <w:rPr>
          <w:rFonts w:ascii="Times New Roman" w:hAnsi="Times New Roman"/>
          <w:color w:val="000000" w:themeColor="text1"/>
          <w:sz w:val="16"/>
          <w:szCs w:val="16"/>
        </w:rPr>
        <w:softHyphen/>
        <w:t>чить 2-3 попадания 37-мм снарядов. По</w:t>
      </w:r>
      <w:r w:rsidRPr="00271E51">
        <w:rPr>
          <w:rFonts w:ascii="Times New Roman" w:hAnsi="Times New Roman"/>
          <w:color w:val="000000" w:themeColor="text1"/>
          <w:sz w:val="16"/>
          <w:szCs w:val="16"/>
        </w:rPr>
        <w:softHyphen/>
        <w:t>падание снарядов калибра 37 мм в киль, элерон, стабилизатор, рули высоты и по</w:t>
      </w:r>
      <w:r w:rsidRPr="00271E51">
        <w:rPr>
          <w:rFonts w:ascii="Times New Roman" w:hAnsi="Times New Roman"/>
          <w:color w:val="000000" w:themeColor="text1"/>
          <w:sz w:val="16"/>
          <w:szCs w:val="16"/>
        </w:rPr>
        <w:softHyphen/>
        <w:t>ворота разносили их в клочья, вызывая падение самолета.</w:t>
      </w:r>
    </w:p>
    <w:p w14:paraId="4892D5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Характер поражений конструкции штурмовика Ил-2 зенитными снаряда</w:t>
      </w:r>
      <w:r w:rsidRPr="00271E51">
        <w:rPr>
          <w:rFonts w:ascii="Times New Roman" w:hAnsi="Times New Roman"/>
          <w:color w:val="000000" w:themeColor="text1"/>
          <w:sz w:val="16"/>
          <w:szCs w:val="16"/>
        </w:rPr>
        <w:softHyphen/>
        <w:t>ми калибра 20 мм практически ничем не отличается от таковых при попадании 20-мм снарядов немецких авиационных пушек.</w:t>
      </w:r>
    </w:p>
    <w:p w14:paraId="441AF9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отличие от ЗА крупного и среднего калибров, прицелы немецкой МЗА были построены на основе предположения, что воздушная цель движется прямолиней</w:t>
      </w:r>
      <w:r w:rsidRPr="00271E51">
        <w:rPr>
          <w:rFonts w:ascii="Times New Roman" w:hAnsi="Times New Roman"/>
          <w:color w:val="000000" w:themeColor="text1"/>
          <w:sz w:val="16"/>
          <w:szCs w:val="16"/>
        </w:rPr>
        <w:softHyphen/>
        <w:t>но и равномерно в горизонтальной или наклонной плоскостях, то есть прицелы учитывали углы пикирования и кабрирования. На каждом зенитном орудии имелся командный прибор, поворотом которого устанавливались необходимые поправки на скорость и курс самолета. Скорость выставлялась по типу самоле</w:t>
      </w:r>
      <w:r w:rsidRPr="00271E51">
        <w:rPr>
          <w:rFonts w:ascii="Times New Roman" w:hAnsi="Times New Roman"/>
          <w:color w:val="000000" w:themeColor="text1"/>
          <w:sz w:val="16"/>
          <w:szCs w:val="16"/>
        </w:rPr>
        <w:softHyphen/>
        <w:t>та, а курс по визуальному наблюдению. Два наводчика (в вертикальной и в го</w:t>
      </w:r>
      <w:r w:rsidRPr="00271E51">
        <w:rPr>
          <w:rFonts w:ascii="Times New Roman" w:hAnsi="Times New Roman"/>
          <w:color w:val="000000" w:themeColor="text1"/>
          <w:sz w:val="16"/>
          <w:szCs w:val="16"/>
        </w:rPr>
        <w:softHyphen/>
        <w:t>ризонтальной плоскостях) "брали" штур</w:t>
      </w:r>
      <w:r w:rsidRPr="00271E51">
        <w:rPr>
          <w:rFonts w:ascii="Times New Roman" w:hAnsi="Times New Roman"/>
          <w:color w:val="000000" w:themeColor="text1"/>
          <w:sz w:val="16"/>
          <w:szCs w:val="16"/>
        </w:rPr>
        <w:softHyphen/>
        <w:t>мовик в прицел и сопровождали его в прямолинейном полете в горизонталь</w:t>
      </w:r>
      <w:r w:rsidRPr="00271E51">
        <w:rPr>
          <w:rFonts w:ascii="Times New Roman" w:hAnsi="Times New Roman"/>
          <w:color w:val="000000" w:themeColor="text1"/>
          <w:sz w:val="16"/>
          <w:szCs w:val="16"/>
        </w:rPr>
        <w:softHyphen/>
        <w:t>ном и в пикирующем положении.</w:t>
      </w:r>
    </w:p>
    <w:p w14:paraId="59E845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подготовку к открытию огня от момента обнаружения самолетов до первого прицельного выстрела батарея МЗА затрачивала около 20 секунд. Поправки на изменение курса, угла пики</w:t>
      </w:r>
      <w:r w:rsidRPr="00271E51">
        <w:rPr>
          <w:rFonts w:ascii="Times New Roman" w:hAnsi="Times New Roman"/>
          <w:color w:val="000000" w:themeColor="text1"/>
          <w:sz w:val="16"/>
          <w:szCs w:val="16"/>
        </w:rPr>
        <w:softHyphen/>
        <w:t>рования, скорости и дальности до цели личным составом батарей МЗА вводи</w:t>
      </w:r>
      <w:r w:rsidRPr="00271E51">
        <w:rPr>
          <w:rFonts w:ascii="Times New Roman" w:hAnsi="Times New Roman"/>
          <w:color w:val="000000" w:themeColor="text1"/>
          <w:sz w:val="16"/>
          <w:szCs w:val="16"/>
        </w:rPr>
        <w:softHyphen/>
        <w:t>лись в течение 2-3 секунд.</w:t>
      </w:r>
    </w:p>
    <w:p w14:paraId="3ECF48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Поскольку курс и дальность цели расчетом МЗА определялись на глаз, то ошибки в стрельбе получались главным образом за счет неточности определе</w:t>
      </w:r>
      <w:r w:rsidRPr="00271E51">
        <w:rPr>
          <w:rFonts w:ascii="Times New Roman" w:hAnsi="Times New Roman"/>
          <w:color w:val="000000" w:themeColor="text1"/>
          <w:sz w:val="16"/>
          <w:szCs w:val="16"/>
        </w:rPr>
        <w:softHyphen/>
        <w:t>ния этих данных. Практика показала, что ошибки при стрельбе по маневрирую</w:t>
      </w:r>
      <w:r w:rsidRPr="00271E51">
        <w:rPr>
          <w:rFonts w:ascii="Times New Roman" w:hAnsi="Times New Roman"/>
          <w:color w:val="000000" w:themeColor="text1"/>
          <w:sz w:val="16"/>
          <w:szCs w:val="16"/>
        </w:rPr>
        <w:softHyphen/>
        <w:t>щему штурмовику составляли в сред</w:t>
      </w:r>
      <w:r w:rsidRPr="00271E51">
        <w:rPr>
          <w:rFonts w:ascii="Times New Roman" w:hAnsi="Times New Roman"/>
          <w:color w:val="000000" w:themeColor="text1"/>
          <w:sz w:val="16"/>
          <w:szCs w:val="16"/>
        </w:rPr>
        <w:softHyphen/>
        <w:t>нем 5°, что на дистанции 2000 м давало вертикальное и боковое отклонения до 20 м. Однако эти ошибки компенсиро</w:t>
      </w:r>
      <w:r w:rsidRPr="00271E51">
        <w:rPr>
          <w:rFonts w:ascii="Times New Roman" w:hAnsi="Times New Roman"/>
          <w:color w:val="000000" w:themeColor="text1"/>
          <w:sz w:val="16"/>
          <w:szCs w:val="16"/>
        </w:rPr>
        <w:softHyphen/>
        <w:t>вались рассеиванием отдельных орудий и сосредоточением огня нескольких ору</w:t>
      </w:r>
      <w:r w:rsidRPr="00271E51">
        <w:rPr>
          <w:rFonts w:ascii="Times New Roman" w:hAnsi="Times New Roman"/>
          <w:color w:val="000000" w:themeColor="text1"/>
          <w:sz w:val="16"/>
          <w:szCs w:val="16"/>
        </w:rPr>
        <w:softHyphen/>
        <w:t>дий по одному самолету.</w:t>
      </w:r>
    </w:p>
    <w:p w14:paraId="3128A0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опыт показал, что при стрель</w:t>
      </w:r>
      <w:r w:rsidRPr="00271E51">
        <w:rPr>
          <w:rFonts w:ascii="Times New Roman" w:hAnsi="Times New Roman"/>
          <w:color w:val="000000" w:themeColor="text1"/>
          <w:sz w:val="16"/>
          <w:szCs w:val="16"/>
        </w:rPr>
        <w:softHyphen/>
        <w:t>бе 9-12-орудийной батареи МЗА на ди</w:t>
      </w:r>
      <w:r w:rsidRPr="00271E51">
        <w:rPr>
          <w:rFonts w:ascii="Times New Roman" w:hAnsi="Times New Roman"/>
          <w:color w:val="000000" w:themeColor="text1"/>
          <w:sz w:val="16"/>
          <w:szCs w:val="16"/>
        </w:rPr>
        <w:softHyphen/>
        <w:t>станцию 2000 м с прицеливанием по "среднему самолету" с одинаковой ве</w:t>
      </w:r>
      <w:r w:rsidRPr="00271E51">
        <w:rPr>
          <w:rFonts w:ascii="Times New Roman" w:hAnsi="Times New Roman"/>
          <w:color w:val="000000" w:themeColor="text1"/>
          <w:sz w:val="16"/>
          <w:szCs w:val="16"/>
        </w:rPr>
        <w:softHyphen/>
        <w:t>роятностью могли быть поражены все Ил-2, удаленные от него на 50-70 м.</w:t>
      </w:r>
    </w:p>
    <w:p w14:paraId="7EA94C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было установлено, что маневр только курсом, высотой или ско</w:t>
      </w:r>
      <w:r w:rsidRPr="00271E51">
        <w:rPr>
          <w:rFonts w:ascii="Times New Roman" w:hAnsi="Times New Roman"/>
          <w:color w:val="000000" w:themeColor="text1"/>
          <w:sz w:val="16"/>
          <w:szCs w:val="16"/>
        </w:rPr>
        <w:softHyphen/>
        <w:t>ростью не давал желаемого результата - "Илы" несли потери. Дело в том, что орудия МЗА обладали высокой манев</w:t>
      </w:r>
      <w:r w:rsidRPr="00271E51">
        <w:rPr>
          <w:rFonts w:ascii="Times New Roman" w:hAnsi="Times New Roman"/>
          <w:color w:val="000000" w:themeColor="text1"/>
          <w:sz w:val="16"/>
          <w:szCs w:val="16"/>
        </w:rPr>
        <w:softHyphen/>
        <w:t>ренностью как в горизонтальной, так и в вертикальной плоскостях и, кроме этого, корректировка стрельбы ими велась по трассе, а не по разрывам снарядов. То есть эффективное противодействие огню МЗА штурмовики могли обеспечить лишь путем резкого и одновременного изменения курса, высоты и скорости.</w:t>
      </w:r>
    </w:p>
    <w:p w14:paraId="3FFA6F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зенитные орудия калибра 37 и 20 мм были для "Илов" весьма и весьма опасными противни</w:t>
      </w:r>
      <w:r w:rsidRPr="00271E51">
        <w:rPr>
          <w:rFonts w:ascii="Times New Roman" w:hAnsi="Times New Roman"/>
          <w:color w:val="000000" w:themeColor="text1"/>
          <w:sz w:val="16"/>
          <w:szCs w:val="16"/>
        </w:rPr>
        <w:softHyphen/>
        <w:t>ками, так как, кроме значительной пора</w:t>
      </w:r>
      <w:r w:rsidRPr="00271E51">
        <w:rPr>
          <w:rFonts w:ascii="Times New Roman" w:hAnsi="Times New Roman"/>
          <w:color w:val="000000" w:themeColor="text1"/>
          <w:sz w:val="16"/>
          <w:szCs w:val="16"/>
        </w:rPr>
        <w:softHyphen/>
        <w:t>жающей силы снарядов, эти пушки име</w:t>
      </w:r>
      <w:r w:rsidRPr="00271E51">
        <w:rPr>
          <w:rFonts w:ascii="Times New Roman" w:hAnsi="Times New Roman"/>
          <w:color w:val="000000" w:themeColor="text1"/>
          <w:sz w:val="16"/>
          <w:szCs w:val="16"/>
        </w:rPr>
        <w:softHyphen/>
        <w:t>ли и достаточно высокую скорострельность - от 188 (3.7cm ПаКЗб) до 480 (2cm FlaK38) выстрелов в минуту, что и по</w:t>
      </w:r>
      <w:r w:rsidRPr="00271E51">
        <w:rPr>
          <w:rFonts w:ascii="Times New Roman" w:hAnsi="Times New Roman"/>
          <w:color w:val="000000" w:themeColor="text1"/>
          <w:sz w:val="16"/>
          <w:szCs w:val="16"/>
        </w:rPr>
        <w:softHyphen/>
        <w:t>зволяло им обеспечивать довольно при</w:t>
      </w:r>
      <w:r w:rsidRPr="00271E51">
        <w:rPr>
          <w:rFonts w:ascii="Times New Roman" w:hAnsi="Times New Roman"/>
          <w:color w:val="000000" w:themeColor="text1"/>
          <w:sz w:val="16"/>
          <w:szCs w:val="16"/>
        </w:rPr>
        <w:softHyphen/>
        <w:t>личную вероятность поражения Ил-2.</w:t>
      </w:r>
    </w:p>
    <w:p w14:paraId="058439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МЗА противника играла особенно решающую роль в боевых потерях Ил-2, открывая огонь перед самым заходом "ильюшиных" на цель, особенно губи</w:t>
      </w:r>
      <w:r w:rsidRPr="00271E51">
        <w:rPr>
          <w:rFonts w:ascii="Times New Roman" w:hAnsi="Times New Roman"/>
          <w:color w:val="000000" w:themeColor="text1"/>
          <w:sz w:val="16"/>
          <w:szCs w:val="16"/>
        </w:rPr>
        <w:softHyphen/>
        <w:t>тельный, если экипажи "Илов" пренеб</w:t>
      </w:r>
      <w:r w:rsidRPr="00271E51">
        <w:rPr>
          <w:rFonts w:ascii="Times New Roman" w:hAnsi="Times New Roman"/>
          <w:color w:val="000000" w:themeColor="text1"/>
          <w:sz w:val="16"/>
          <w:szCs w:val="16"/>
        </w:rPr>
        <w:softHyphen/>
        <w:t>регали противозенитным маневром, по</w:t>
      </w:r>
      <w:r w:rsidRPr="00271E51">
        <w:rPr>
          <w:rFonts w:ascii="Times New Roman" w:hAnsi="Times New Roman"/>
          <w:color w:val="000000" w:themeColor="text1"/>
          <w:sz w:val="16"/>
          <w:szCs w:val="16"/>
        </w:rPr>
        <w:softHyphen/>
        <w:t>скольку в момент перестроения само</w:t>
      </w:r>
      <w:r w:rsidRPr="00271E51">
        <w:rPr>
          <w:rFonts w:ascii="Times New Roman" w:hAnsi="Times New Roman"/>
          <w:color w:val="000000" w:themeColor="text1"/>
          <w:sz w:val="16"/>
          <w:szCs w:val="16"/>
        </w:rPr>
        <w:softHyphen/>
        <w:t>летов в "круг" (ввод в пикирование Ил-2 ведущего группы с последующим за</w:t>
      </w:r>
      <w:r w:rsidRPr="00271E51">
        <w:rPr>
          <w:rFonts w:ascii="Times New Roman" w:hAnsi="Times New Roman"/>
          <w:color w:val="000000" w:themeColor="text1"/>
          <w:sz w:val="16"/>
          <w:szCs w:val="16"/>
        </w:rPr>
        <w:softHyphen/>
        <w:t>мыканием "круга") штурмовики, следо</w:t>
      </w:r>
      <w:r w:rsidRPr="00271E51">
        <w:rPr>
          <w:rFonts w:ascii="Times New Roman" w:hAnsi="Times New Roman"/>
          <w:color w:val="000000" w:themeColor="text1"/>
          <w:sz w:val="16"/>
          <w:szCs w:val="16"/>
        </w:rPr>
        <w:softHyphen/>
        <w:t>вавшие за командиром группы, продол</w:t>
      </w:r>
      <w:r w:rsidRPr="00271E51">
        <w:rPr>
          <w:rFonts w:ascii="Times New Roman" w:hAnsi="Times New Roman"/>
          <w:color w:val="000000" w:themeColor="text1"/>
          <w:sz w:val="16"/>
          <w:szCs w:val="16"/>
        </w:rPr>
        <w:softHyphen/>
        <w:t>жали некоторое время лететь неизмен</w:t>
      </w:r>
      <w:r w:rsidRPr="00271E51">
        <w:rPr>
          <w:rFonts w:ascii="Times New Roman" w:hAnsi="Times New Roman"/>
          <w:color w:val="000000" w:themeColor="text1"/>
          <w:sz w:val="16"/>
          <w:szCs w:val="16"/>
        </w:rPr>
        <w:softHyphen/>
        <w:t>ным курсом, а затем разворачивались по одному за впередиидущим. Расчеты не</w:t>
      </w:r>
      <w:r w:rsidRPr="00271E51">
        <w:rPr>
          <w:rFonts w:ascii="Times New Roman" w:hAnsi="Times New Roman"/>
          <w:color w:val="000000" w:themeColor="text1"/>
          <w:sz w:val="16"/>
          <w:szCs w:val="16"/>
        </w:rPr>
        <w:softHyphen/>
        <w:t>мецкой МЗА быстро вводили поправки в свою стрельбу и наносили тяжелые поражения "Илам".</w:t>
      </w:r>
    </w:p>
    <w:p w14:paraId="3CADC1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Обычно наводчики противника не успевали сопровождать огнем "Ил" ведущего группы (если, ко</w:t>
      </w:r>
      <w:r w:rsidRPr="00271E51">
        <w:rPr>
          <w:rFonts w:ascii="Times New Roman" w:hAnsi="Times New Roman"/>
          <w:color w:val="000000" w:themeColor="text1"/>
          <w:sz w:val="16"/>
          <w:szCs w:val="16"/>
        </w:rPr>
        <w:softHyphen/>
        <w:t>нечно, огонь не велся по головному са</w:t>
      </w:r>
      <w:r w:rsidRPr="00271E51">
        <w:rPr>
          <w:rFonts w:ascii="Times New Roman" w:hAnsi="Times New Roman"/>
          <w:color w:val="000000" w:themeColor="text1"/>
          <w:sz w:val="16"/>
          <w:szCs w:val="16"/>
        </w:rPr>
        <w:softHyphen/>
        <w:t>молету) и вели огонь по машинам, летя</w:t>
      </w:r>
      <w:r w:rsidRPr="00271E51">
        <w:rPr>
          <w:rFonts w:ascii="Times New Roman" w:hAnsi="Times New Roman"/>
          <w:color w:val="000000" w:themeColor="text1"/>
          <w:sz w:val="16"/>
          <w:szCs w:val="16"/>
        </w:rPr>
        <w:softHyphen/>
        <w:t>щим следом за ним. Поэтому если от</w:t>
      </w:r>
      <w:r w:rsidRPr="00271E51">
        <w:rPr>
          <w:rFonts w:ascii="Times New Roman" w:hAnsi="Times New Roman"/>
          <w:color w:val="000000" w:themeColor="text1"/>
          <w:sz w:val="16"/>
          <w:szCs w:val="16"/>
        </w:rPr>
        <w:softHyphen/>
        <w:t>сутствовал противозенитный маневр, то ведомые "Илы", что называется, "напа</w:t>
      </w:r>
      <w:r w:rsidRPr="00271E51">
        <w:rPr>
          <w:rFonts w:ascii="Times New Roman" w:hAnsi="Times New Roman"/>
          <w:color w:val="000000" w:themeColor="text1"/>
          <w:sz w:val="16"/>
          <w:szCs w:val="16"/>
        </w:rPr>
        <w:softHyphen/>
        <w:t>рывались" на центр рассеивания сна</w:t>
      </w:r>
      <w:r w:rsidRPr="00271E51">
        <w:rPr>
          <w:rFonts w:ascii="Times New Roman" w:hAnsi="Times New Roman"/>
          <w:color w:val="000000" w:themeColor="text1"/>
          <w:sz w:val="16"/>
          <w:szCs w:val="16"/>
        </w:rPr>
        <w:softHyphen/>
        <w:t>рядных трасс и, как следствие, несли значительные потери.</w:t>
      </w:r>
    </w:p>
    <w:p w14:paraId="70EC38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Опыт боевого применения Ил-2 по</w:t>
      </w:r>
      <w:r w:rsidRPr="00271E51">
        <w:rPr>
          <w:rFonts w:ascii="Times New Roman" w:hAnsi="Times New Roman"/>
          <w:color w:val="000000" w:themeColor="text1"/>
          <w:sz w:val="16"/>
          <w:szCs w:val="16"/>
        </w:rPr>
        <w:softHyphen/>
        <w:t xml:space="preserve">казал, что наилучшим маневром в этих условиях оказывался разворот на цель всей группы штурмовиков еще до ее атаки, то есть </w:t>
      </w:r>
      <w:r w:rsidRPr="00271E51">
        <w:rPr>
          <w:rFonts w:ascii="Times New Roman" w:hAnsi="Times New Roman"/>
          <w:color w:val="000000" w:themeColor="text1"/>
          <w:sz w:val="16"/>
          <w:szCs w:val="16"/>
        </w:rPr>
        <w:lastRenderedPageBreak/>
        <w:t>до момента построения "круга" всей группой. Однако выполне</w:t>
      </w:r>
      <w:r w:rsidRPr="00271E51">
        <w:rPr>
          <w:rFonts w:ascii="Times New Roman" w:hAnsi="Times New Roman"/>
          <w:color w:val="000000" w:themeColor="text1"/>
          <w:sz w:val="16"/>
          <w:szCs w:val="16"/>
        </w:rPr>
        <w:softHyphen/>
        <w:t>ние этого маневра приводило к неже</w:t>
      </w:r>
      <w:r w:rsidRPr="00271E51">
        <w:rPr>
          <w:rFonts w:ascii="Times New Roman" w:hAnsi="Times New Roman"/>
          <w:color w:val="000000" w:themeColor="text1"/>
          <w:sz w:val="16"/>
          <w:szCs w:val="16"/>
        </w:rPr>
        <w:softHyphen/>
        <w:t>лательному увеличению дистанции между машинами и, как следствие, к нару</w:t>
      </w:r>
      <w:r w:rsidRPr="00271E51">
        <w:rPr>
          <w:rFonts w:ascii="Times New Roman" w:hAnsi="Times New Roman"/>
          <w:color w:val="000000" w:themeColor="text1"/>
          <w:sz w:val="16"/>
          <w:szCs w:val="16"/>
        </w:rPr>
        <w:softHyphen/>
        <w:t>шению огневого взаимодействия меж</w:t>
      </w:r>
      <w:r w:rsidRPr="00271E51">
        <w:rPr>
          <w:rFonts w:ascii="Times New Roman" w:hAnsi="Times New Roman"/>
          <w:color w:val="000000" w:themeColor="text1"/>
          <w:sz w:val="16"/>
          <w:szCs w:val="16"/>
        </w:rPr>
        <w:softHyphen/>
        <w:t>ду "Илами" и непрерывности воздей</w:t>
      </w:r>
      <w:r w:rsidRPr="00271E51">
        <w:rPr>
          <w:rFonts w:ascii="Times New Roman" w:hAnsi="Times New Roman"/>
          <w:color w:val="000000" w:themeColor="text1"/>
          <w:sz w:val="16"/>
          <w:szCs w:val="16"/>
        </w:rPr>
        <w:softHyphen/>
        <w:t>ствия на цель. Совершенствование это</w:t>
      </w:r>
      <w:r w:rsidRPr="00271E51">
        <w:rPr>
          <w:rFonts w:ascii="Times New Roman" w:hAnsi="Times New Roman"/>
          <w:color w:val="000000" w:themeColor="text1"/>
          <w:sz w:val="16"/>
          <w:szCs w:val="16"/>
        </w:rPr>
        <w:softHyphen/>
        <w:t>го маневра требовало увеличения мак</w:t>
      </w:r>
      <w:r w:rsidRPr="00271E51">
        <w:rPr>
          <w:rFonts w:ascii="Times New Roman" w:hAnsi="Times New Roman"/>
          <w:color w:val="000000" w:themeColor="text1"/>
          <w:sz w:val="16"/>
          <w:szCs w:val="16"/>
        </w:rPr>
        <w:softHyphen/>
        <w:t>симальной скорости полета Ил-2 мини</w:t>
      </w:r>
      <w:r w:rsidRPr="00271E51">
        <w:rPr>
          <w:rFonts w:ascii="Times New Roman" w:hAnsi="Times New Roman"/>
          <w:color w:val="000000" w:themeColor="text1"/>
          <w:sz w:val="16"/>
          <w:szCs w:val="16"/>
        </w:rPr>
        <w:softHyphen/>
        <w:t>мум на 100 км/ч и вертикальной скорос</w:t>
      </w:r>
      <w:r w:rsidRPr="00271E51">
        <w:rPr>
          <w:rFonts w:ascii="Times New Roman" w:hAnsi="Times New Roman"/>
          <w:color w:val="000000" w:themeColor="text1"/>
          <w:sz w:val="16"/>
          <w:szCs w:val="16"/>
        </w:rPr>
        <w:softHyphen/>
        <w:t>ти на малых высотах на 50% по сравне</w:t>
      </w:r>
      <w:r w:rsidRPr="00271E51">
        <w:rPr>
          <w:rFonts w:ascii="Times New Roman" w:hAnsi="Times New Roman"/>
          <w:color w:val="000000" w:themeColor="text1"/>
          <w:sz w:val="16"/>
          <w:szCs w:val="16"/>
        </w:rPr>
        <w:softHyphen/>
        <w:t>нию с существующими.</w:t>
      </w:r>
    </w:p>
    <w:p w14:paraId="3151D5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Боевой порядок "круг" для Ил-2 яв</w:t>
      </w:r>
      <w:r w:rsidRPr="00271E51">
        <w:rPr>
          <w:rFonts w:ascii="Times New Roman" w:hAnsi="Times New Roman"/>
          <w:color w:val="000000" w:themeColor="text1"/>
          <w:sz w:val="16"/>
          <w:szCs w:val="16"/>
        </w:rPr>
        <w:softHyphen/>
        <w:t>лялся лучшим видом противозенитного маневра для ЗА всех калибров. "Круг" затруднял установку на прицелах курса, скорости и дальности, а также лишал противника возможности вносить пра</w:t>
      </w:r>
      <w:r w:rsidRPr="00271E51">
        <w:rPr>
          <w:rFonts w:ascii="Times New Roman" w:hAnsi="Times New Roman"/>
          <w:color w:val="000000" w:themeColor="text1"/>
          <w:sz w:val="16"/>
          <w:szCs w:val="16"/>
        </w:rPr>
        <w:softHyphen/>
        <w:t>вильные поправки в данные для стрельбы.</w:t>
      </w:r>
    </w:p>
    <w:p w14:paraId="2B75F9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первый момент расчеты МЗА обыч</w:t>
      </w:r>
      <w:r w:rsidRPr="00271E51">
        <w:rPr>
          <w:rFonts w:ascii="Times New Roman" w:hAnsi="Times New Roman"/>
          <w:color w:val="000000" w:themeColor="text1"/>
          <w:sz w:val="16"/>
          <w:szCs w:val="16"/>
        </w:rPr>
        <w:softHyphen/>
        <w:t>но брали упреждение по касательной к "кругу", а при длительном пребывании штурмовиков на "круге", начиная с 3-4 захода, упреждение бралось уже по хор</w:t>
      </w:r>
      <w:r w:rsidRPr="00271E51">
        <w:rPr>
          <w:rFonts w:ascii="Times New Roman" w:hAnsi="Times New Roman"/>
          <w:color w:val="000000" w:themeColor="text1"/>
          <w:sz w:val="16"/>
          <w:szCs w:val="16"/>
        </w:rPr>
        <w:softHyphen/>
        <w:t>де, то есть внутрь "круга".</w:t>
      </w:r>
    </w:p>
    <w:p w14:paraId="67F6B4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Стрельба по Ил-2, летящим по "кру</w:t>
      </w:r>
      <w:r w:rsidRPr="00271E51">
        <w:rPr>
          <w:rFonts w:ascii="Times New Roman" w:hAnsi="Times New Roman"/>
          <w:color w:val="000000" w:themeColor="text1"/>
          <w:sz w:val="16"/>
          <w:szCs w:val="16"/>
        </w:rPr>
        <w:softHyphen/>
        <w:t>гу", велась обычно сопроводительным огнем по отдельным самолетам и, как исключение, заградительным, ожидая подхода следующего сзади штурмовика.</w:t>
      </w:r>
    </w:p>
    <w:p w14:paraId="7E8263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этом чем меньше был радиус "круга" в проекции, тем больше были ошибки в стрельбе МЗА и к тому же меньшее количество зенитных расчетов могло участвовать в стрельбе, то есть вероятность поражения Ил-2 уменьша</w:t>
      </w:r>
      <w:r w:rsidRPr="00271E51">
        <w:rPr>
          <w:rFonts w:ascii="Times New Roman" w:hAnsi="Times New Roman"/>
          <w:color w:val="000000" w:themeColor="text1"/>
          <w:sz w:val="16"/>
          <w:szCs w:val="16"/>
        </w:rPr>
        <w:softHyphen/>
        <w:t>лась. Так, если не бралось упреждение по хорде, то средняя ошибка при стрель</w:t>
      </w:r>
      <w:r w:rsidRPr="00271E51">
        <w:rPr>
          <w:rFonts w:ascii="Times New Roman" w:hAnsi="Times New Roman"/>
          <w:color w:val="000000" w:themeColor="text1"/>
          <w:sz w:val="16"/>
          <w:szCs w:val="16"/>
        </w:rPr>
        <w:softHyphen/>
        <w:t>бе на дистанцию 2000 м и при радиусе разворота Ил-2 около 2000 м равнялась 5°, что вызывало ошибку трассы снаря</w:t>
      </w:r>
      <w:r w:rsidRPr="00271E51">
        <w:rPr>
          <w:rFonts w:ascii="Times New Roman" w:hAnsi="Times New Roman"/>
          <w:color w:val="000000" w:themeColor="text1"/>
          <w:sz w:val="16"/>
          <w:szCs w:val="16"/>
        </w:rPr>
        <w:softHyphen/>
        <w:t>дов по вертикали и по направлению око</w:t>
      </w:r>
      <w:r w:rsidRPr="00271E51">
        <w:rPr>
          <w:rFonts w:ascii="Times New Roman" w:hAnsi="Times New Roman"/>
          <w:color w:val="000000" w:themeColor="text1"/>
          <w:sz w:val="16"/>
          <w:szCs w:val="16"/>
        </w:rPr>
        <w:softHyphen/>
        <w:t>ло 10 тысячных дальности (или 20 м).</w:t>
      </w:r>
    </w:p>
    <w:p w14:paraId="6B286A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Ввиду быстрого перехода Ил-2 в пи</w:t>
      </w:r>
      <w:r w:rsidRPr="00271E51">
        <w:rPr>
          <w:rFonts w:ascii="Times New Roman" w:hAnsi="Times New Roman"/>
          <w:color w:val="000000" w:themeColor="text1"/>
          <w:sz w:val="16"/>
          <w:szCs w:val="16"/>
        </w:rPr>
        <w:softHyphen/>
        <w:t>кирование и малого времени пребыва</w:t>
      </w:r>
      <w:r w:rsidRPr="00271E51">
        <w:rPr>
          <w:rFonts w:ascii="Times New Roman" w:hAnsi="Times New Roman"/>
          <w:color w:val="000000" w:themeColor="text1"/>
          <w:sz w:val="16"/>
          <w:szCs w:val="16"/>
        </w:rPr>
        <w:softHyphen/>
        <w:t>ния на боевом курсе (максимум 4-6 сек) расчеты орудий МЗА зачастую не успе</w:t>
      </w:r>
      <w:r w:rsidRPr="00271E51">
        <w:rPr>
          <w:rFonts w:ascii="Times New Roman" w:hAnsi="Times New Roman"/>
          <w:color w:val="000000" w:themeColor="text1"/>
          <w:sz w:val="16"/>
          <w:szCs w:val="16"/>
        </w:rPr>
        <w:softHyphen/>
        <w:t>вали ввести в прицел поправки на угол пикирования (в среднем для введения поправок в прицельные данные им было необходимо затратить 1 -2 сек, при этом введение поправок не уменьшало тем</w:t>
      </w:r>
      <w:r w:rsidRPr="00271E51">
        <w:rPr>
          <w:rFonts w:ascii="Times New Roman" w:hAnsi="Times New Roman"/>
          <w:color w:val="000000" w:themeColor="text1"/>
          <w:sz w:val="16"/>
          <w:szCs w:val="16"/>
        </w:rPr>
        <w:softHyphen/>
        <w:t>па стрельбы) и вели стрельбу обычным способом - без учета угла пикирования, как бы по самолету в горизонтальном полете, корректируя огонь только под</w:t>
      </w:r>
      <w:r w:rsidRPr="00271E51">
        <w:rPr>
          <w:rFonts w:ascii="Times New Roman" w:hAnsi="Times New Roman"/>
          <w:color w:val="000000" w:themeColor="text1"/>
          <w:sz w:val="16"/>
          <w:szCs w:val="16"/>
        </w:rPr>
        <w:softHyphen/>
        <w:t>водом трассы. Вероятность поражения в этом случае понижалась, но при выхо</w:t>
      </w:r>
      <w:r w:rsidRPr="00271E51">
        <w:rPr>
          <w:rFonts w:ascii="Times New Roman" w:hAnsi="Times New Roman"/>
          <w:color w:val="000000" w:themeColor="text1"/>
          <w:sz w:val="16"/>
          <w:szCs w:val="16"/>
        </w:rPr>
        <w:softHyphen/>
        <w:t>де Ил-2 из пикирования без разворота в ту или иную сторону вероятность по</w:t>
      </w:r>
      <w:r w:rsidRPr="00271E51">
        <w:rPr>
          <w:rFonts w:ascii="Times New Roman" w:hAnsi="Times New Roman"/>
          <w:color w:val="000000" w:themeColor="text1"/>
          <w:sz w:val="16"/>
          <w:szCs w:val="16"/>
        </w:rPr>
        <w:softHyphen/>
        <w:t>ражения вновь возрастала и становилась даже выше прежнего значения. Если расчеты зенитных орудий все же успевали вводить по</w:t>
      </w:r>
      <w:r w:rsidRPr="00271E51">
        <w:rPr>
          <w:rFonts w:ascii="Times New Roman" w:hAnsi="Times New Roman"/>
          <w:color w:val="000000" w:themeColor="text1"/>
          <w:sz w:val="16"/>
          <w:szCs w:val="16"/>
        </w:rPr>
        <w:softHyphen/>
        <w:t>правку в прицел на угол пикиро</w:t>
      </w:r>
      <w:r w:rsidRPr="00271E51">
        <w:rPr>
          <w:rFonts w:ascii="Times New Roman" w:hAnsi="Times New Roman"/>
          <w:color w:val="000000" w:themeColor="text1"/>
          <w:sz w:val="16"/>
          <w:szCs w:val="16"/>
        </w:rPr>
        <w:softHyphen/>
        <w:t>вания и горизон</w:t>
      </w:r>
      <w:r w:rsidRPr="00271E51">
        <w:rPr>
          <w:rFonts w:ascii="Times New Roman" w:hAnsi="Times New Roman"/>
          <w:color w:val="000000" w:themeColor="text1"/>
          <w:sz w:val="16"/>
          <w:szCs w:val="16"/>
        </w:rPr>
        <w:softHyphen/>
        <w:t>тальную состав</w:t>
      </w:r>
      <w:r w:rsidRPr="00271E51">
        <w:rPr>
          <w:rFonts w:ascii="Times New Roman" w:hAnsi="Times New Roman"/>
          <w:color w:val="000000" w:themeColor="text1"/>
          <w:sz w:val="16"/>
          <w:szCs w:val="16"/>
        </w:rPr>
        <w:softHyphen/>
        <w:t>ляющую скорос</w:t>
      </w:r>
      <w:r w:rsidRPr="00271E51">
        <w:rPr>
          <w:rFonts w:ascii="Times New Roman" w:hAnsi="Times New Roman"/>
          <w:color w:val="000000" w:themeColor="text1"/>
          <w:sz w:val="16"/>
          <w:szCs w:val="16"/>
        </w:rPr>
        <w:softHyphen/>
        <w:t>ти, то стрельба с этими поправка</w:t>
      </w:r>
      <w:r w:rsidRPr="00271E51">
        <w:rPr>
          <w:rFonts w:ascii="Times New Roman" w:hAnsi="Times New Roman"/>
          <w:color w:val="000000" w:themeColor="text1"/>
          <w:sz w:val="16"/>
          <w:szCs w:val="16"/>
        </w:rPr>
        <w:softHyphen/>
        <w:t>ми была весьма кратковремен</w:t>
      </w:r>
      <w:r w:rsidRPr="00271E51">
        <w:rPr>
          <w:rFonts w:ascii="Times New Roman" w:hAnsi="Times New Roman"/>
          <w:color w:val="000000" w:themeColor="text1"/>
          <w:sz w:val="16"/>
          <w:szCs w:val="16"/>
        </w:rPr>
        <w:softHyphen/>
        <w:t>ной: всего 1-2 секунды - сами же поправки были прибли</w:t>
      </w:r>
      <w:r w:rsidRPr="00271E51">
        <w:rPr>
          <w:rFonts w:ascii="Times New Roman" w:hAnsi="Times New Roman"/>
          <w:color w:val="000000" w:themeColor="text1"/>
          <w:sz w:val="16"/>
          <w:szCs w:val="16"/>
        </w:rPr>
        <w:softHyphen/>
        <w:t>женными, а кор</w:t>
      </w:r>
      <w:r w:rsidRPr="00271E51">
        <w:rPr>
          <w:rFonts w:ascii="Times New Roman" w:hAnsi="Times New Roman"/>
          <w:color w:val="000000" w:themeColor="text1"/>
          <w:sz w:val="16"/>
          <w:szCs w:val="16"/>
        </w:rPr>
        <w:softHyphen/>
        <w:t>ректура стрельбы на основе наблю</w:t>
      </w:r>
      <w:r w:rsidRPr="00271E51">
        <w:rPr>
          <w:rFonts w:ascii="Times New Roman" w:hAnsi="Times New Roman"/>
          <w:color w:val="000000" w:themeColor="text1"/>
          <w:sz w:val="16"/>
          <w:szCs w:val="16"/>
        </w:rPr>
        <w:softHyphen/>
        <w:t>дения за откло</w:t>
      </w:r>
      <w:r w:rsidRPr="00271E51">
        <w:rPr>
          <w:rFonts w:ascii="Times New Roman" w:hAnsi="Times New Roman"/>
          <w:color w:val="000000" w:themeColor="text1"/>
          <w:sz w:val="16"/>
          <w:szCs w:val="16"/>
        </w:rPr>
        <w:softHyphen/>
        <w:t>нением трассы требовала допол</w:t>
      </w:r>
      <w:r w:rsidRPr="00271E51">
        <w:rPr>
          <w:rFonts w:ascii="Times New Roman" w:hAnsi="Times New Roman"/>
          <w:color w:val="000000" w:themeColor="text1"/>
          <w:sz w:val="16"/>
          <w:szCs w:val="16"/>
        </w:rPr>
        <w:softHyphen/>
        <w:t>нительного вре</w:t>
      </w:r>
      <w:r w:rsidRPr="00271E51">
        <w:rPr>
          <w:rFonts w:ascii="Times New Roman" w:hAnsi="Times New Roman"/>
          <w:color w:val="000000" w:themeColor="text1"/>
          <w:sz w:val="16"/>
          <w:szCs w:val="16"/>
        </w:rPr>
        <w:softHyphen/>
        <w:t>мени, превышаю</w:t>
      </w:r>
      <w:r w:rsidRPr="00271E51">
        <w:rPr>
          <w:rFonts w:ascii="Times New Roman" w:hAnsi="Times New Roman"/>
          <w:color w:val="000000" w:themeColor="text1"/>
          <w:sz w:val="16"/>
          <w:szCs w:val="16"/>
        </w:rPr>
        <w:softHyphen/>
        <w:t>щего продолжительность пикирования Ил-2. То есть вероятность поражения "Илов" на пикировании уменьшалась зна</w:t>
      </w:r>
      <w:r w:rsidRPr="00271E51">
        <w:rPr>
          <w:rFonts w:ascii="Times New Roman" w:hAnsi="Times New Roman"/>
          <w:color w:val="000000" w:themeColor="text1"/>
          <w:sz w:val="16"/>
          <w:szCs w:val="16"/>
        </w:rPr>
        <w:softHyphen/>
        <w:t>чительно.</w:t>
      </w:r>
    </w:p>
    <w:p w14:paraId="088974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Другими словами, наименьшего про</w:t>
      </w:r>
      <w:r w:rsidRPr="00271E51">
        <w:rPr>
          <w:rFonts w:ascii="Times New Roman" w:hAnsi="Times New Roman"/>
          <w:color w:val="000000" w:themeColor="text1"/>
          <w:sz w:val="16"/>
          <w:szCs w:val="16"/>
        </w:rPr>
        <w:softHyphen/>
        <w:t>тиводействия со стороны МЗА и ЗА штур</w:t>
      </w:r>
      <w:r w:rsidRPr="00271E51">
        <w:rPr>
          <w:rFonts w:ascii="Times New Roman" w:hAnsi="Times New Roman"/>
          <w:color w:val="000000" w:themeColor="text1"/>
          <w:sz w:val="16"/>
          <w:szCs w:val="16"/>
        </w:rPr>
        <w:softHyphen/>
        <w:t>мовики могли достигнуть построением "круга" не в горизонтальной плоскости, а в наклонной, приближающейся, в пре</w:t>
      </w:r>
      <w:r w:rsidRPr="00271E51">
        <w:rPr>
          <w:rFonts w:ascii="Times New Roman" w:hAnsi="Times New Roman"/>
          <w:color w:val="000000" w:themeColor="text1"/>
          <w:sz w:val="16"/>
          <w:szCs w:val="16"/>
        </w:rPr>
        <w:softHyphen/>
        <w:t>дельном случае, к вертикальной плоско</w:t>
      </w:r>
      <w:r w:rsidRPr="00271E51">
        <w:rPr>
          <w:rFonts w:ascii="Times New Roman" w:hAnsi="Times New Roman"/>
          <w:color w:val="000000" w:themeColor="text1"/>
          <w:sz w:val="16"/>
          <w:szCs w:val="16"/>
        </w:rPr>
        <w:softHyphen/>
        <w:t>сти. Однако для построения оптималь</w:t>
      </w:r>
      <w:r w:rsidRPr="00271E51">
        <w:rPr>
          <w:rFonts w:ascii="Times New Roman" w:hAnsi="Times New Roman"/>
          <w:color w:val="000000" w:themeColor="text1"/>
          <w:sz w:val="16"/>
          <w:szCs w:val="16"/>
        </w:rPr>
        <w:softHyphen/>
        <w:t>ного с точки зрения уменьшения веро</w:t>
      </w:r>
      <w:r w:rsidRPr="00271E51">
        <w:rPr>
          <w:rFonts w:ascii="Times New Roman" w:hAnsi="Times New Roman"/>
          <w:color w:val="000000" w:themeColor="text1"/>
          <w:sz w:val="16"/>
          <w:szCs w:val="16"/>
        </w:rPr>
        <w:softHyphen/>
        <w:t>ятности поражения самолета (угол на</w:t>
      </w:r>
      <w:r w:rsidRPr="00271E51">
        <w:rPr>
          <w:rFonts w:ascii="Times New Roman" w:hAnsi="Times New Roman"/>
          <w:color w:val="000000" w:themeColor="text1"/>
          <w:sz w:val="16"/>
          <w:szCs w:val="16"/>
        </w:rPr>
        <w:softHyphen/>
        <w:t>клона приблизительно 50-40°, угол пи</w:t>
      </w:r>
      <w:r w:rsidRPr="00271E51">
        <w:rPr>
          <w:rFonts w:ascii="Times New Roman" w:hAnsi="Times New Roman"/>
          <w:color w:val="000000" w:themeColor="text1"/>
          <w:sz w:val="16"/>
          <w:szCs w:val="16"/>
        </w:rPr>
        <w:softHyphen/>
        <w:t>кирования - 50°) "круга" самолет Ил-2 не обладал необходимой для этого вер</w:t>
      </w:r>
      <w:r w:rsidRPr="00271E51">
        <w:rPr>
          <w:rFonts w:ascii="Times New Roman" w:hAnsi="Times New Roman"/>
          <w:color w:val="000000" w:themeColor="text1"/>
          <w:sz w:val="16"/>
          <w:szCs w:val="16"/>
        </w:rPr>
        <w:softHyphen/>
        <w:t>тикальной маневренностью.</w:t>
      </w:r>
    </w:p>
    <w:p w14:paraId="1C3BDD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Эффективность огня зенитных средств противника значительно снижа</w:t>
      </w:r>
      <w:r w:rsidRPr="00271E51">
        <w:rPr>
          <w:rFonts w:ascii="Times New Roman" w:hAnsi="Times New Roman"/>
          <w:color w:val="000000" w:themeColor="text1"/>
          <w:sz w:val="16"/>
          <w:szCs w:val="16"/>
        </w:rPr>
        <w:softHyphen/>
        <w:t>лась в тех случаях, когда "Илы", после атаки цели с "круга", уход от нее вы</w:t>
      </w:r>
      <w:r w:rsidRPr="00271E51">
        <w:rPr>
          <w:rFonts w:ascii="Times New Roman" w:hAnsi="Times New Roman"/>
          <w:color w:val="000000" w:themeColor="text1"/>
          <w:sz w:val="16"/>
          <w:szCs w:val="16"/>
        </w:rPr>
        <w:softHyphen/>
        <w:t>полняли с противоположным к направ</w:t>
      </w:r>
      <w:r w:rsidRPr="00271E51">
        <w:rPr>
          <w:rFonts w:ascii="Times New Roman" w:hAnsi="Times New Roman"/>
          <w:color w:val="000000" w:themeColor="text1"/>
          <w:sz w:val="16"/>
          <w:szCs w:val="16"/>
        </w:rPr>
        <w:softHyphen/>
        <w:t>лению "круга" разворотом.</w:t>
      </w:r>
    </w:p>
    <w:p w14:paraId="3FA9DB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Самым же радикальным способом снижения потерь Ил-2 от огня ЗА на зак</w:t>
      </w:r>
      <w:r w:rsidRPr="00271E51">
        <w:rPr>
          <w:rFonts w:ascii="Times New Roman" w:hAnsi="Times New Roman"/>
          <w:color w:val="000000" w:themeColor="text1"/>
          <w:sz w:val="16"/>
          <w:szCs w:val="16"/>
        </w:rPr>
        <w:softHyphen/>
        <w:t>лючительном этапе войны оставалось огневое подавление зенитных средств силами самих "Илов".</w:t>
      </w:r>
    </w:p>
    <w:p w14:paraId="72666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Для подавления зенитного огня вы</w:t>
      </w:r>
      <w:r w:rsidRPr="00271E51">
        <w:rPr>
          <w:rFonts w:ascii="Times New Roman" w:hAnsi="Times New Roman"/>
          <w:color w:val="000000" w:themeColor="text1"/>
          <w:sz w:val="16"/>
          <w:szCs w:val="16"/>
        </w:rPr>
        <w:softHyphen/>
        <w:t>делялись специальные экипажи, количе</w:t>
      </w:r>
      <w:r w:rsidRPr="00271E51">
        <w:rPr>
          <w:rFonts w:ascii="Times New Roman" w:hAnsi="Times New Roman"/>
          <w:color w:val="000000" w:themeColor="text1"/>
          <w:sz w:val="16"/>
          <w:szCs w:val="16"/>
        </w:rPr>
        <w:softHyphen/>
        <w:t>ство которых зависело от общего числа штурмовиков в группе и от предполага</w:t>
      </w:r>
      <w:r w:rsidRPr="00271E51">
        <w:rPr>
          <w:rFonts w:ascii="Times New Roman" w:hAnsi="Times New Roman"/>
          <w:color w:val="000000" w:themeColor="text1"/>
          <w:sz w:val="16"/>
          <w:szCs w:val="16"/>
        </w:rPr>
        <w:softHyphen/>
        <w:t>емого прикрытия цели ЗА. В каждом штурмовом авиаполку ряд экипажей ста</w:t>
      </w:r>
      <w:r w:rsidRPr="00271E51">
        <w:rPr>
          <w:rFonts w:ascii="Times New Roman" w:hAnsi="Times New Roman"/>
          <w:color w:val="000000" w:themeColor="text1"/>
          <w:sz w:val="16"/>
          <w:szCs w:val="16"/>
        </w:rPr>
        <w:softHyphen/>
        <w:t>ли специальным образом "натаскивать</w:t>
      </w:r>
      <w:r w:rsidRPr="00271E51">
        <w:rPr>
          <w:rFonts w:ascii="Times New Roman" w:hAnsi="Times New Roman"/>
          <w:color w:val="000000" w:themeColor="text1"/>
          <w:sz w:val="16"/>
          <w:szCs w:val="16"/>
        </w:rPr>
        <w:softHyphen/>
        <w:t>ся" на подавление огневых точек немец</w:t>
      </w:r>
      <w:r w:rsidRPr="00271E51">
        <w:rPr>
          <w:rFonts w:ascii="Times New Roman" w:hAnsi="Times New Roman"/>
          <w:color w:val="000000" w:themeColor="text1"/>
          <w:sz w:val="16"/>
          <w:szCs w:val="16"/>
        </w:rPr>
        <w:softHyphen/>
        <w:t>кой зенитной артиллерии. Эти экипажи и составляли ядро группы подавления (6467).</w:t>
      </w:r>
    </w:p>
    <w:p w14:paraId="5C91B7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действиях по целям сильно насы</w:t>
      </w:r>
      <w:r w:rsidRPr="00271E51">
        <w:rPr>
          <w:rFonts w:ascii="Times New Roman" w:hAnsi="Times New Roman"/>
          <w:color w:val="000000" w:themeColor="text1"/>
          <w:sz w:val="16"/>
          <w:szCs w:val="16"/>
        </w:rPr>
        <w:softHyphen/>
        <w:t>щенными средствами ПВО в группу подавления выделялось в среднем до одной трети всего состава "Илов", а в случаях особо сильной ПВО и до 50-100% всего состава.</w:t>
      </w:r>
    </w:p>
    <w:p w14:paraId="5D2E9E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Однако имелись и исключения из правил. Так, в Будапештской операции, когда штурмовые полки 306-й </w:t>
      </w:r>
      <w:r w:rsidRPr="00271E51">
        <w:rPr>
          <w:rFonts w:ascii="Times New Roman" w:hAnsi="Times New Roman"/>
          <w:iCs/>
          <w:color w:val="000000" w:themeColor="text1"/>
          <w:sz w:val="16"/>
          <w:szCs w:val="16"/>
        </w:rPr>
        <w:t xml:space="preserve">шад </w:t>
      </w:r>
      <w:r w:rsidRPr="00271E51">
        <w:rPr>
          <w:rFonts w:ascii="Times New Roman" w:hAnsi="Times New Roman"/>
          <w:color w:val="000000" w:themeColor="text1"/>
          <w:sz w:val="16"/>
          <w:szCs w:val="16"/>
        </w:rPr>
        <w:t>встретили чрезвычайно сильное проти</w:t>
      </w:r>
      <w:r w:rsidRPr="00271E51">
        <w:rPr>
          <w:rFonts w:ascii="Times New Roman" w:hAnsi="Times New Roman"/>
          <w:color w:val="000000" w:themeColor="text1"/>
          <w:sz w:val="16"/>
          <w:szCs w:val="16"/>
        </w:rPr>
        <w:softHyphen/>
        <w:t>водействие ЗА немцев, обычного наря</w:t>
      </w:r>
      <w:r w:rsidRPr="00271E51">
        <w:rPr>
          <w:rFonts w:ascii="Times New Roman" w:hAnsi="Times New Roman"/>
          <w:color w:val="000000" w:themeColor="text1"/>
          <w:sz w:val="16"/>
          <w:szCs w:val="16"/>
        </w:rPr>
        <w:softHyphen/>
        <w:t>да сил, выделяемого для ее подавления, оказалось недостаточно. Тогда для по</w:t>
      </w:r>
      <w:r w:rsidRPr="00271E51">
        <w:rPr>
          <w:rFonts w:ascii="Times New Roman" w:hAnsi="Times New Roman"/>
          <w:color w:val="000000" w:themeColor="text1"/>
          <w:sz w:val="16"/>
          <w:szCs w:val="16"/>
        </w:rPr>
        <w:softHyphen/>
        <w:t>давления ЗА стали выделять 50% соста</w:t>
      </w:r>
      <w:r w:rsidRPr="00271E51">
        <w:rPr>
          <w:rFonts w:ascii="Times New Roman" w:hAnsi="Times New Roman"/>
          <w:color w:val="000000" w:themeColor="text1"/>
          <w:sz w:val="16"/>
          <w:szCs w:val="16"/>
        </w:rPr>
        <w:softHyphen/>
        <w:t>ва в каждой группе. Быстро выяснилось, что и этого мало: штурмовики оказыва</w:t>
      </w:r>
      <w:r w:rsidRPr="00271E51">
        <w:rPr>
          <w:rFonts w:ascii="Times New Roman" w:hAnsi="Times New Roman"/>
          <w:color w:val="000000" w:themeColor="text1"/>
          <w:sz w:val="16"/>
          <w:szCs w:val="16"/>
        </w:rPr>
        <w:softHyphen/>
        <w:t>ли незначительное воздействие на ба</w:t>
      </w:r>
      <w:r w:rsidRPr="00271E51">
        <w:rPr>
          <w:rFonts w:ascii="Times New Roman" w:hAnsi="Times New Roman"/>
          <w:color w:val="000000" w:themeColor="text1"/>
          <w:sz w:val="16"/>
          <w:szCs w:val="16"/>
        </w:rPr>
        <w:softHyphen/>
        <w:t xml:space="preserve">тареи ЗА. В этих условиях командир 306-й </w:t>
      </w:r>
      <w:r w:rsidRPr="00271E51">
        <w:rPr>
          <w:rFonts w:ascii="Times New Roman" w:hAnsi="Times New Roman"/>
          <w:iCs/>
          <w:color w:val="000000" w:themeColor="text1"/>
          <w:sz w:val="16"/>
          <w:szCs w:val="16"/>
        </w:rPr>
        <w:t>шад</w:t>
      </w:r>
      <w:r w:rsidRPr="00271E51">
        <w:rPr>
          <w:rFonts w:ascii="Times New Roman" w:hAnsi="Times New Roman"/>
          <w:color w:val="000000" w:themeColor="text1"/>
          <w:sz w:val="16"/>
          <w:szCs w:val="16"/>
        </w:rPr>
        <w:t xml:space="preserve"> приказал подавлять ЗА в первом заходе всей группой. В результате огонь расчетами немецких зенитных батарей открывался только в момент ухода "гор</w:t>
      </w:r>
      <w:r w:rsidRPr="00271E51">
        <w:rPr>
          <w:rFonts w:ascii="Times New Roman" w:hAnsi="Times New Roman"/>
          <w:color w:val="000000" w:themeColor="text1"/>
          <w:sz w:val="16"/>
          <w:szCs w:val="16"/>
        </w:rPr>
        <w:softHyphen/>
        <w:t>батых" от цели, что, естественно, давало весьма небольшое поражение штурмо</w:t>
      </w:r>
      <w:r w:rsidRPr="00271E51">
        <w:rPr>
          <w:rFonts w:ascii="Times New Roman" w:hAnsi="Times New Roman"/>
          <w:color w:val="000000" w:themeColor="text1"/>
          <w:sz w:val="16"/>
          <w:szCs w:val="16"/>
        </w:rPr>
        <w:softHyphen/>
        <w:t>виков (6467).</w:t>
      </w:r>
    </w:p>
    <w:p w14:paraId="607840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Экипажи, выделяемые для подавле</w:t>
      </w:r>
      <w:r w:rsidRPr="00271E51">
        <w:rPr>
          <w:rFonts w:ascii="Times New Roman" w:hAnsi="Times New Roman"/>
          <w:color w:val="000000" w:themeColor="text1"/>
          <w:sz w:val="16"/>
          <w:szCs w:val="16"/>
        </w:rPr>
        <w:softHyphen/>
        <w:t>ния зенитных точек противника, обычно следовали впереди ударной группы, если расположение ЗА противника было известно, и сзади на 400-500 м и с пре</w:t>
      </w:r>
      <w:r w:rsidRPr="00271E51">
        <w:rPr>
          <w:rFonts w:ascii="Times New Roman" w:hAnsi="Times New Roman"/>
          <w:color w:val="000000" w:themeColor="text1"/>
          <w:sz w:val="16"/>
          <w:szCs w:val="16"/>
        </w:rPr>
        <w:softHyphen/>
        <w:t>вышением на 100-150 м, если располо</w:t>
      </w:r>
      <w:r w:rsidRPr="00271E51">
        <w:rPr>
          <w:rFonts w:ascii="Times New Roman" w:hAnsi="Times New Roman"/>
          <w:color w:val="000000" w:themeColor="text1"/>
          <w:sz w:val="16"/>
          <w:szCs w:val="16"/>
        </w:rPr>
        <w:softHyphen/>
        <w:t>жение зенитных огневых средств было заранее неизвестно. При этом считалось обязательным, чтобы "ильюшины" из группы подавления не были связаны с боевым порядком ударной группы, а ко</w:t>
      </w:r>
      <w:r w:rsidRPr="00271E51">
        <w:rPr>
          <w:rFonts w:ascii="Times New Roman" w:hAnsi="Times New Roman"/>
          <w:color w:val="000000" w:themeColor="text1"/>
          <w:sz w:val="16"/>
          <w:szCs w:val="16"/>
        </w:rPr>
        <w:softHyphen/>
        <w:t>мандир всей группы "Илов" во всех слу</w:t>
      </w:r>
      <w:r w:rsidRPr="00271E51">
        <w:rPr>
          <w:rFonts w:ascii="Times New Roman" w:hAnsi="Times New Roman"/>
          <w:color w:val="000000" w:themeColor="text1"/>
          <w:sz w:val="16"/>
          <w:szCs w:val="16"/>
        </w:rPr>
        <w:softHyphen/>
        <w:t>чаях освобождался от выполнения за</w:t>
      </w:r>
      <w:r w:rsidRPr="00271E51">
        <w:rPr>
          <w:rFonts w:ascii="Times New Roman" w:hAnsi="Times New Roman"/>
          <w:color w:val="000000" w:themeColor="text1"/>
          <w:sz w:val="16"/>
          <w:szCs w:val="16"/>
        </w:rPr>
        <w:softHyphen/>
        <w:t>дачи подавления огня ЗА.</w:t>
      </w:r>
    </w:p>
    <w:p w14:paraId="0047BD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Основными средствами поражения зенитных средств противника являлись реактивные снаряды, пушки и мелкие авиабомбы, сбрасываемые на выводе из пикирования, в частности, АО-10 и АО-25. Осколки этих авиабомб выводили из строя не только личный состав орудий, но и само орудие. Для поражения зе</w:t>
      </w:r>
      <w:r w:rsidRPr="00271E51">
        <w:rPr>
          <w:rFonts w:ascii="Times New Roman" w:hAnsi="Times New Roman"/>
          <w:color w:val="000000" w:themeColor="text1"/>
          <w:sz w:val="16"/>
          <w:szCs w:val="16"/>
        </w:rPr>
        <w:softHyphen/>
        <w:t>нитной точки, как показал боевой опыт, было достаточно 3-х попаданий снаря</w:t>
      </w:r>
      <w:r w:rsidRPr="00271E51">
        <w:rPr>
          <w:rFonts w:ascii="Times New Roman" w:hAnsi="Times New Roman"/>
          <w:color w:val="000000" w:themeColor="text1"/>
          <w:sz w:val="16"/>
          <w:szCs w:val="16"/>
        </w:rPr>
        <w:softHyphen/>
        <w:t>дов ОЗТ-23 или ОЗТ-20. Огонь из стрелково-пушечного вооружения по зенит</w:t>
      </w:r>
      <w:r w:rsidRPr="00271E51">
        <w:rPr>
          <w:rFonts w:ascii="Times New Roman" w:hAnsi="Times New Roman"/>
          <w:color w:val="000000" w:themeColor="text1"/>
          <w:sz w:val="16"/>
          <w:szCs w:val="16"/>
        </w:rPr>
        <w:softHyphen/>
        <w:t>ным точкам "ильюшины" открывали, как правило, с дистанций 1200-1500 м. Не</w:t>
      </w:r>
      <w:r w:rsidRPr="00271E51">
        <w:rPr>
          <w:rFonts w:ascii="Times New Roman" w:hAnsi="Times New Roman"/>
          <w:color w:val="000000" w:themeColor="text1"/>
          <w:sz w:val="16"/>
          <w:szCs w:val="16"/>
        </w:rPr>
        <w:softHyphen/>
        <w:t>смотря на то, что эти дистанции почти в 3 раза превышали дальности действи</w:t>
      </w:r>
      <w:r w:rsidRPr="00271E51">
        <w:rPr>
          <w:rFonts w:ascii="Times New Roman" w:hAnsi="Times New Roman"/>
          <w:color w:val="000000" w:themeColor="text1"/>
          <w:sz w:val="16"/>
          <w:szCs w:val="16"/>
        </w:rPr>
        <w:softHyphen/>
        <w:t>тельного огня из пушек ВЯ и ШВАК (400-500 м), такой прием, как показал боевой опыт, не давая высокой эффективности поражения, существенно мешал расче</w:t>
      </w:r>
      <w:r w:rsidRPr="00271E51">
        <w:rPr>
          <w:rFonts w:ascii="Times New Roman" w:hAnsi="Times New Roman"/>
          <w:color w:val="000000" w:themeColor="text1"/>
          <w:sz w:val="16"/>
          <w:szCs w:val="16"/>
        </w:rPr>
        <w:softHyphen/>
        <w:t>там вести прицельный огонь по штур</w:t>
      </w:r>
      <w:r w:rsidRPr="00271E51">
        <w:rPr>
          <w:rFonts w:ascii="Times New Roman" w:hAnsi="Times New Roman"/>
          <w:color w:val="000000" w:themeColor="text1"/>
          <w:sz w:val="16"/>
          <w:szCs w:val="16"/>
        </w:rPr>
        <w:softHyphen/>
        <w:t>мовикам, снижая тем самым потери "Илов". С выходом же на дальность дей</w:t>
      </w:r>
      <w:r w:rsidRPr="00271E51">
        <w:rPr>
          <w:rFonts w:ascii="Times New Roman" w:hAnsi="Times New Roman"/>
          <w:color w:val="000000" w:themeColor="text1"/>
          <w:sz w:val="16"/>
          <w:szCs w:val="16"/>
        </w:rPr>
        <w:softHyphen/>
        <w:t>ствительного огня немецкие зенитчики получали "по полной программе".</w:t>
      </w:r>
    </w:p>
    <w:p w14:paraId="5B2FC8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Расчеты, основанные на результатах полигонных испытаний и анализе бое</w:t>
      </w:r>
      <w:r w:rsidRPr="00271E51">
        <w:rPr>
          <w:rFonts w:ascii="Times New Roman" w:hAnsi="Times New Roman"/>
          <w:color w:val="000000" w:themeColor="text1"/>
          <w:sz w:val="16"/>
          <w:szCs w:val="16"/>
        </w:rPr>
        <w:softHyphen/>
        <w:t>вого опыта, показывают, что для гаран</w:t>
      </w:r>
      <w:r w:rsidRPr="00271E51">
        <w:rPr>
          <w:rFonts w:ascii="Times New Roman" w:hAnsi="Times New Roman"/>
          <w:color w:val="000000" w:themeColor="text1"/>
          <w:sz w:val="16"/>
          <w:szCs w:val="16"/>
        </w:rPr>
        <w:softHyphen/>
        <w:t>тированного уничтожения штурмовика</w:t>
      </w:r>
      <w:r w:rsidRPr="00271E51">
        <w:rPr>
          <w:rFonts w:ascii="Times New Roman" w:hAnsi="Times New Roman"/>
          <w:color w:val="000000" w:themeColor="text1"/>
          <w:sz w:val="16"/>
          <w:szCs w:val="16"/>
        </w:rPr>
        <w:softHyphen/>
        <w:t>ми Ил-2 зенитной точки с уязвимой площадью порядка 2 м</w:t>
      </w:r>
      <w:r w:rsidRPr="00271E51">
        <w:rPr>
          <w:rFonts w:ascii="Times New Roman" w:hAnsi="Times New Roman"/>
          <w:color w:val="000000" w:themeColor="text1"/>
          <w:sz w:val="16"/>
          <w:szCs w:val="16"/>
          <w:vertAlign w:val="superscript"/>
        </w:rPr>
        <w:t>2</w:t>
      </w:r>
      <w:r w:rsidRPr="00271E51">
        <w:rPr>
          <w:rFonts w:ascii="Times New Roman" w:hAnsi="Times New Roman"/>
          <w:color w:val="000000" w:themeColor="text1"/>
          <w:sz w:val="16"/>
          <w:szCs w:val="16"/>
        </w:rPr>
        <w:t xml:space="preserve"> при дальности открытия огня 300-400 м и угле пикиро</w:t>
      </w:r>
      <w:r w:rsidRPr="00271E51">
        <w:rPr>
          <w:rFonts w:ascii="Times New Roman" w:hAnsi="Times New Roman"/>
          <w:color w:val="000000" w:themeColor="text1"/>
          <w:sz w:val="16"/>
          <w:szCs w:val="16"/>
        </w:rPr>
        <w:softHyphen/>
        <w:t>вания 30° (летчик имеет хорошую лет</w:t>
      </w:r>
      <w:r w:rsidRPr="00271E51">
        <w:rPr>
          <w:rFonts w:ascii="Times New Roman" w:hAnsi="Times New Roman"/>
          <w:color w:val="000000" w:themeColor="text1"/>
          <w:sz w:val="16"/>
          <w:szCs w:val="16"/>
        </w:rPr>
        <w:softHyphen/>
        <w:t>ную и стрелковую подготовку) в сред</w:t>
      </w:r>
      <w:r w:rsidRPr="00271E51">
        <w:rPr>
          <w:rFonts w:ascii="Times New Roman" w:hAnsi="Times New Roman"/>
          <w:color w:val="000000" w:themeColor="text1"/>
          <w:sz w:val="16"/>
          <w:szCs w:val="16"/>
        </w:rPr>
        <w:softHyphen/>
        <w:t>нем необходимо было израсходовать 300-400 снарядов к пушкам ШВАК или ВЯ. То есть для уничтожения зенитной точки противника стрелково-пушечным огнем штурмовика Ил-2 необходимо было выделять наряд сил в составе не менее 6-7 машин. Если же принять во внимание эффективность применения "Илами" бомбового (бомбометание на выходе из планирования серией из 4-х АО-25) и ракетного оружия (стрельба залпом из 4-х PC-82), то для уничтоже</w:t>
      </w:r>
      <w:r w:rsidRPr="00271E51">
        <w:rPr>
          <w:rFonts w:ascii="Times New Roman" w:hAnsi="Times New Roman"/>
          <w:color w:val="000000" w:themeColor="text1"/>
          <w:sz w:val="16"/>
          <w:szCs w:val="16"/>
        </w:rPr>
        <w:softHyphen/>
        <w:t>ния в двух-трех заходах зенитной точки потребный наряд сил уменьшается до 4-5 Ил-2.</w:t>
      </w:r>
    </w:p>
    <w:p w14:paraId="532C8A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случае, когда штурмовики выделя</w:t>
      </w:r>
      <w:r w:rsidRPr="00271E51">
        <w:rPr>
          <w:rFonts w:ascii="Times New Roman" w:hAnsi="Times New Roman"/>
          <w:color w:val="000000" w:themeColor="text1"/>
          <w:sz w:val="16"/>
          <w:szCs w:val="16"/>
        </w:rPr>
        <w:softHyphen/>
        <w:t>ли звено "Илов" из состава группы для огневого подавления позиции зенитной точки противника, вероятность пораже</w:t>
      </w:r>
      <w:r w:rsidRPr="00271E51">
        <w:rPr>
          <w:rFonts w:ascii="Times New Roman" w:hAnsi="Times New Roman"/>
          <w:color w:val="000000" w:themeColor="text1"/>
          <w:sz w:val="16"/>
          <w:szCs w:val="16"/>
        </w:rPr>
        <w:softHyphen/>
        <w:t>ния в одном заходе расчетом зенитной установки атакующих цель Ил-2 снижа</w:t>
      </w:r>
      <w:r w:rsidRPr="00271E51">
        <w:rPr>
          <w:rFonts w:ascii="Times New Roman" w:hAnsi="Times New Roman"/>
          <w:color w:val="000000" w:themeColor="text1"/>
          <w:sz w:val="16"/>
          <w:szCs w:val="16"/>
        </w:rPr>
        <w:softHyphen/>
        <w:t>лась примерно в 1,7-2 раза (6467).</w:t>
      </w:r>
    </w:p>
    <w:p w14:paraId="6EBFE1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Таким образом, основным противни</w:t>
      </w:r>
      <w:r w:rsidRPr="00271E51">
        <w:rPr>
          <w:rFonts w:ascii="Times New Roman" w:hAnsi="Times New Roman"/>
          <w:color w:val="000000" w:themeColor="text1"/>
          <w:sz w:val="16"/>
          <w:szCs w:val="16"/>
        </w:rPr>
        <w:softHyphen/>
        <w:t>ком Ил-2 становилась немецкая зенит</w:t>
      </w:r>
      <w:r w:rsidRPr="00271E51">
        <w:rPr>
          <w:rFonts w:ascii="Times New Roman" w:hAnsi="Times New Roman"/>
          <w:color w:val="000000" w:themeColor="text1"/>
          <w:sz w:val="16"/>
          <w:szCs w:val="16"/>
        </w:rPr>
        <w:softHyphen/>
        <w:t>ная артиллерия, в связи с чем летно-технические характеристики штурмови</w:t>
      </w:r>
      <w:r w:rsidRPr="00271E51">
        <w:rPr>
          <w:rFonts w:ascii="Times New Roman" w:hAnsi="Times New Roman"/>
          <w:color w:val="000000" w:themeColor="text1"/>
          <w:sz w:val="16"/>
          <w:szCs w:val="16"/>
        </w:rPr>
        <w:softHyphen/>
        <w:t>ка, особенно на малых высотах, все боль</w:t>
      </w:r>
      <w:r w:rsidRPr="00271E51">
        <w:rPr>
          <w:rFonts w:ascii="Times New Roman" w:hAnsi="Times New Roman"/>
          <w:color w:val="000000" w:themeColor="text1"/>
          <w:sz w:val="16"/>
          <w:szCs w:val="16"/>
        </w:rPr>
        <w:softHyphen/>
        <w:t>ше и больше вступали в противоречие с тактико-техническими требованиями, предъявляемыми к самолету-штурмови</w:t>
      </w:r>
      <w:r w:rsidRPr="00271E51">
        <w:rPr>
          <w:rFonts w:ascii="Times New Roman" w:hAnsi="Times New Roman"/>
          <w:color w:val="000000" w:themeColor="text1"/>
          <w:sz w:val="16"/>
          <w:szCs w:val="16"/>
        </w:rPr>
        <w:softHyphen/>
        <w:t>ку на завершающих этапах войны (6467).</w:t>
      </w:r>
    </w:p>
    <w:p w14:paraId="523DFD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F1E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1943 г., как показал боевой опыт, наилучшим маневром для Ил-2 против огня малокалиберной зенитной артиллерии - главного противника штурмовиков - было резкое и одновременное изменения курса, высоты и скорости. Однако горизонтальная и вертикальная маневренность Ил-2 не позволяла выполнять эффективный противозенитный маневр и энергичное боевое маневрирование, что, в принципе, могло бы компенсировать несовершенство системы боевой живучести самолета и обеспечить успешность боевых действий в условиях сильного зенитного огня.</w:t>
      </w:r>
    </w:p>
    <w:p w14:paraId="3D9FC2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Помимо неэффективной системы бронирования, штурмовику явно недоставало энерговооруженности и мощи бортового оружия.</w:t>
      </w:r>
    </w:p>
    <w:p w14:paraId="34F80E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Отмечалась недостаточная средняя скорость полета в строю - всего 300-320 км/ч, но главное, это небольшой диапазон скоростей - не более 30-40 км/ч. "Приходится рекомендовать летчикам не делать резких маневров", - сетовал по этому поводу командный состав штурмовых полков.</w:t>
      </w:r>
    </w:p>
    <w:p w14:paraId="2B4630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этого, "не особенно высокие летные качества... и поворотливость ограничивают выбор способов атак, а разрывы между атаками получаются довольно большими". Непрерывного огневого воздействия на цели не получалось. Это давало противнику возможность прийти в себя после первой атаки штурмовиков и организовать противодействие последующим ударам Ил-2.</w:t>
      </w:r>
    </w:p>
    <w:p w14:paraId="3EB1BE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Система вооружения Ил-2 не в полном объеме соответствовала решаемым штурмовиками боевым задачам и позволяла эффективно работать лишь по не защищенным или слабо защищенным целям (автомашины, бронетранспортеры, огневые точки, артминбатареи и т.д.).</w:t>
      </w:r>
    </w:p>
    <w:p w14:paraId="43F763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Отсутствие хорошего бомбардировочного прицела и неприспособленность самолета к бомбометанию с пикирования серьезно "снижало меткость ударов по малоразмерным целям". К тому же летчик имел весьма ограниченный обзор вперед вниз и в стороны, что сильно затрудняло ориентировку, поиск целей на поле боя и прицеливание - "при существующем обзоре прицеливание даже под углом 3-4° дает проекцию на капот". Вдобавок к этому самолет оказался тяжелым в управлении и не был приспособлен для слепых полетов.</w:t>
      </w:r>
    </w:p>
    <w:p w14:paraId="04ABE6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мнению летного состава штурмовых авиасоединений 8-й ВА для эффективной работы самолетов Ил-2 по целям на поле боя необходимо "иметь возможность с полной бомбовой нагрузкой с бреющего полета за одну горку набрать 500 метров высоты, а при повторных заходах сохранять визуальный контакт с целью". Предлагалось "установить в плоскостях пушки для борьбы с танками противника, электроспуски к пушкам и пулеметам, вторую кабину воздушного стрелка для защиты хвоста самолета и улучшить условия ориентировки экипажа на бреющем полете".</w:t>
      </w:r>
    </w:p>
    <w:p w14:paraId="51C949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При переходе к двухместному варианту Ил-2 боевое маневрирование и противозенитный маневр усложнились и выполнялись с меньшими средними перегрузками. </w:t>
      </w:r>
      <w:r w:rsidRPr="00271E51">
        <w:rPr>
          <w:rFonts w:ascii="Times New Roman" w:hAnsi="Times New Roman"/>
          <w:color w:val="000000" w:themeColor="text1"/>
          <w:sz w:val="16"/>
          <w:szCs w:val="16"/>
        </w:rPr>
        <w:lastRenderedPageBreak/>
        <w:t>Область возможных кривых атак наземных целей уменьшилась, и притом существенно. По этим причинам вероятность сбития двухместного Ил-2 зенитным огнем оказывалась повышенной.</w:t>
      </w:r>
    </w:p>
    <w:p w14:paraId="3218B2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Существенными недостатками считались также небольшой радиус действия и отсутствие современных средств аэронавигации. По мнению комсостава частей именно с этими недостаткам "трудно мириться, потому что Ил-2 фактически является основным типом нашего самолета" (12020).</w:t>
      </w:r>
    </w:p>
    <w:p w14:paraId="788566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BAE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на СФ авиацией было поставлено только 2 мины (2867,31).</w:t>
      </w:r>
    </w:p>
    <w:p w14:paraId="2B1899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E06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Потери самолетов 1-го мтап/гмтап в 1941-1943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tblGrid>
      <w:tr w:rsidR="00A907A5" w:rsidRPr="00271E51" w14:paraId="349F9B6F" w14:textId="77777777" w:rsidTr="00ED5B0A">
        <w:tc>
          <w:tcPr>
            <w:tcW w:w="1401" w:type="dxa"/>
            <w:tcBorders>
              <w:top w:val="single" w:sz="12" w:space="0" w:color="auto"/>
            </w:tcBorders>
          </w:tcPr>
          <w:p w14:paraId="3A189D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w:t>
            </w:r>
          </w:p>
        </w:tc>
        <w:tc>
          <w:tcPr>
            <w:tcW w:w="1401" w:type="dxa"/>
            <w:tcBorders>
              <w:top w:val="single" w:sz="12" w:space="0" w:color="auto"/>
            </w:tcBorders>
          </w:tcPr>
          <w:p w14:paraId="5D4DD1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401" w:type="dxa"/>
            <w:tcBorders>
              <w:top w:val="single" w:sz="12" w:space="0" w:color="auto"/>
            </w:tcBorders>
          </w:tcPr>
          <w:p w14:paraId="0D742D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Район</w:t>
            </w:r>
          </w:p>
        </w:tc>
        <w:tc>
          <w:tcPr>
            <w:tcW w:w="1401" w:type="dxa"/>
            <w:tcBorders>
              <w:top w:val="single" w:sz="12" w:space="0" w:color="auto"/>
            </w:tcBorders>
          </w:tcPr>
          <w:p w14:paraId="3D0572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Причина потери</w:t>
            </w:r>
          </w:p>
        </w:tc>
        <w:tc>
          <w:tcPr>
            <w:tcW w:w="1401" w:type="dxa"/>
            <w:tcBorders>
              <w:top w:val="single" w:sz="12" w:space="0" w:color="auto"/>
            </w:tcBorders>
          </w:tcPr>
          <w:p w14:paraId="1506ED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Решаемая задача</w:t>
            </w:r>
          </w:p>
        </w:tc>
        <w:tc>
          <w:tcPr>
            <w:tcW w:w="1401" w:type="dxa"/>
            <w:tcBorders>
              <w:top w:val="single" w:sz="12" w:space="0" w:color="auto"/>
            </w:tcBorders>
          </w:tcPr>
          <w:p w14:paraId="45C1B1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w:t>
            </w:r>
          </w:p>
        </w:tc>
        <w:tc>
          <w:tcPr>
            <w:tcW w:w="1401" w:type="dxa"/>
            <w:tcBorders>
              <w:top w:val="single" w:sz="12" w:space="0" w:color="auto"/>
            </w:tcBorders>
          </w:tcPr>
          <w:p w14:paraId="32C117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Судьба</w:t>
            </w:r>
          </w:p>
        </w:tc>
      </w:tr>
      <w:tr w:rsidR="00A907A5" w:rsidRPr="00271E51" w14:paraId="67349680" w14:textId="77777777" w:rsidTr="00ED5B0A">
        <w:tc>
          <w:tcPr>
            <w:tcW w:w="1401" w:type="dxa"/>
          </w:tcPr>
          <w:p w14:paraId="6A1AAF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24.6.41</w:t>
            </w:r>
          </w:p>
        </w:tc>
        <w:tc>
          <w:tcPr>
            <w:tcW w:w="1401" w:type="dxa"/>
          </w:tcPr>
          <w:p w14:paraId="1CBDCC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8535F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Таллина</w:t>
            </w:r>
          </w:p>
        </w:tc>
        <w:tc>
          <w:tcPr>
            <w:tcW w:w="1401" w:type="dxa"/>
          </w:tcPr>
          <w:p w14:paraId="718CD7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скапотировал при вын. посадке</w:t>
            </w:r>
          </w:p>
        </w:tc>
        <w:tc>
          <w:tcPr>
            <w:tcW w:w="1401" w:type="dxa"/>
          </w:tcPr>
          <w:p w14:paraId="43376D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ВМБ Мемель</w:t>
            </w:r>
          </w:p>
        </w:tc>
        <w:tc>
          <w:tcPr>
            <w:tcW w:w="1401" w:type="dxa"/>
          </w:tcPr>
          <w:p w14:paraId="408323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Кустовский</w:t>
            </w:r>
          </w:p>
        </w:tc>
        <w:tc>
          <w:tcPr>
            <w:tcW w:w="1401" w:type="dxa"/>
          </w:tcPr>
          <w:p w14:paraId="020725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жив(+ 1)</w:t>
            </w:r>
          </w:p>
        </w:tc>
      </w:tr>
      <w:tr w:rsidR="00A907A5" w:rsidRPr="00271E51" w14:paraId="6754B8EC" w14:textId="77777777" w:rsidTr="00ED5B0A">
        <w:tc>
          <w:tcPr>
            <w:tcW w:w="1401" w:type="dxa"/>
          </w:tcPr>
          <w:p w14:paraId="677E91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24.6.41</w:t>
            </w:r>
          </w:p>
        </w:tc>
        <w:tc>
          <w:tcPr>
            <w:tcW w:w="1401" w:type="dxa"/>
          </w:tcPr>
          <w:p w14:paraId="7DA6AC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7E3E2F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Либавы</w:t>
            </w:r>
          </w:p>
        </w:tc>
        <w:tc>
          <w:tcPr>
            <w:tcW w:w="1401" w:type="dxa"/>
          </w:tcPr>
          <w:p w14:paraId="32C31E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вын. посадке</w:t>
            </w:r>
          </w:p>
        </w:tc>
        <w:tc>
          <w:tcPr>
            <w:tcW w:w="1401" w:type="dxa"/>
          </w:tcPr>
          <w:p w14:paraId="027313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ВМБ Мемель</w:t>
            </w:r>
          </w:p>
        </w:tc>
        <w:tc>
          <w:tcPr>
            <w:tcW w:w="1401" w:type="dxa"/>
          </w:tcPr>
          <w:p w14:paraId="13C53E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Разгонин</w:t>
            </w:r>
          </w:p>
        </w:tc>
        <w:tc>
          <w:tcPr>
            <w:tcW w:w="1401" w:type="dxa"/>
          </w:tcPr>
          <w:p w14:paraId="10FA24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3DDF30DC" w14:textId="77777777" w:rsidTr="00ED5B0A">
        <w:tc>
          <w:tcPr>
            <w:tcW w:w="1401" w:type="dxa"/>
          </w:tcPr>
          <w:p w14:paraId="384726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29.6.41</w:t>
            </w:r>
          </w:p>
        </w:tc>
        <w:tc>
          <w:tcPr>
            <w:tcW w:w="1401" w:type="dxa"/>
          </w:tcPr>
          <w:p w14:paraId="1C9FC4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83D4A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аэродром ?</w:t>
            </w:r>
          </w:p>
        </w:tc>
        <w:tc>
          <w:tcPr>
            <w:tcW w:w="1401" w:type="dxa"/>
          </w:tcPr>
          <w:p w14:paraId="22688F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 с миной</w:t>
            </w:r>
          </w:p>
        </w:tc>
        <w:tc>
          <w:tcPr>
            <w:tcW w:w="1401" w:type="dxa"/>
          </w:tcPr>
          <w:p w14:paraId="205E70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622190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Беляев</w:t>
            </w:r>
          </w:p>
        </w:tc>
        <w:tc>
          <w:tcPr>
            <w:tcW w:w="1401" w:type="dxa"/>
          </w:tcPr>
          <w:p w14:paraId="3CAC6D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2)</w:t>
            </w:r>
          </w:p>
        </w:tc>
      </w:tr>
      <w:tr w:rsidR="00A907A5" w:rsidRPr="00271E51" w14:paraId="55D9D4EF" w14:textId="77777777" w:rsidTr="00ED5B0A">
        <w:tc>
          <w:tcPr>
            <w:tcW w:w="1401" w:type="dxa"/>
          </w:tcPr>
          <w:p w14:paraId="36622B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6F376D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C6CF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3ADA11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5ACAF4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71D76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Копылов</w:t>
            </w:r>
          </w:p>
        </w:tc>
        <w:tc>
          <w:tcPr>
            <w:tcW w:w="1401" w:type="dxa"/>
          </w:tcPr>
          <w:p w14:paraId="0068F7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E5FA59E" w14:textId="77777777" w:rsidTr="00ED5B0A">
        <w:tc>
          <w:tcPr>
            <w:tcW w:w="1401" w:type="dxa"/>
          </w:tcPr>
          <w:p w14:paraId="20CAA5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19343F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048765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5941B6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49064B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11835B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Абраменко</w:t>
            </w:r>
          </w:p>
        </w:tc>
        <w:tc>
          <w:tcPr>
            <w:tcW w:w="1401" w:type="dxa"/>
          </w:tcPr>
          <w:p w14:paraId="776A91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9FD4743" w14:textId="77777777" w:rsidTr="00ED5B0A">
        <w:tc>
          <w:tcPr>
            <w:tcW w:w="1401" w:type="dxa"/>
          </w:tcPr>
          <w:p w14:paraId="466189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26F4EF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D8D9B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5CA52C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47AE8E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EA0BF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Игашев</w:t>
            </w:r>
          </w:p>
        </w:tc>
        <w:tc>
          <w:tcPr>
            <w:tcW w:w="1401" w:type="dxa"/>
          </w:tcPr>
          <w:p w14:paraId="47DB7A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2A19DEC" w14:textId="77777777" w:rsidTr="00ED5B0A">
        <w:tc>
          <w:tcPr>
            <w:tcW w:w="1401" w:type="dxa"/>
          </w:tcPr>
          <w:p w14:paraId="14A3B3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6719C2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624D90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54A5E2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7ADD94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219481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Смирнов</w:t>
            </w:r>
          </w:p>
        </w:tc>
        <w:tc>
          <w:tcPr>
            <w:tcW w:w="1401" w:type="dxa"/>
          </w:tcPr>
          <w:p w14:paraId="59418B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CC8B548" w14:textId="77777777" w:rsidTr="00ED5B0A">
        <w:tc>
          <w:tcPr>
            <w:tcW w:w="1401" w:type="dxa"/>
          </w:tcPr>
          <w:p w14:paraId="4D3441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68C657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1C0E91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75FAB9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ЗА</w:t>
            </w:r>
          </w:p>
        </w:tc>
        <w:tc>
          <w:tcPr>
            <w:tcW w:w="1401" w:type="dxa"/>
          </w:tcPr>
          <w:p w14:paraId="2EA3F2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62A959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Серебряков</w:t>
            </w:r>
          </w:p>
        </w:tc>
        <w:tc>
          <w:tcPr>
            <w:tcW w:w="1401" w:type="dxa"/>
          </w:tcPr>
          <w:p w14:paraId="15E928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B5E51FA" w14:textId="77777777" w:rsidTr="00ED5B0A">
        <w:tc>
          <w:tcPr>
            <w:tcW w:w="1401" w:type="dxa"/>
          </w:tcPr>
          <w:p w14:paraId="2ADF4A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53302A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9DA71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4C3294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4B6C05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A114B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Чевыров</w:t>
            </w:r>
          </w:p>
        </w:tc>
        <w:tc>
          <w:tcPr>
            <w:tcW w:w="1401" w:type="dxa"/>
          </w:tcPr>
          <w:p w14:paraId="548487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(2 п/б/в)</w:t>
            </w:r>
          </w:p>
        </w:tc>
      </w:tr>
      <w:tr w:rsidR="00A907A5" w:rsidRPr="00271E51" w14:paraId="057F551C" w14:textId="77777777" w:rsidTr="00ED5B0A">
        <w:tc>
          <w:tcPr>
            <w:tcW w:w="1401" w:type="dxa"/>
          </w:tcPr>
          <w:p w14:paraId="6C7BD2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65412A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100645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5B9EB9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734410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153DF0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Борисенок</w:t>
            </w:r>
          </w:p>
        </w:tc>
        <w:tc>
          <w:tcPr>
            <w:tcW w:w="1401" w:type="dxa"/>
          </w:tcPr>
          <w:p w14:paraId="043522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523BE573" w14:textId="77777777" w:rsidTr="00ED5B0A">
        <w:tc>
          <w:tcPr>
            <w:tcW w:w="1401" w:type="dxa"/>
          </w:tcPr>
          <w:p w14:paraId="00F0D0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318E4E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B5828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400814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11009B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5F50E4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Кудинов</w:t>
            </w:r>
          </w:p>
        </w:tc>
        <w:tc>
          <w:tcPr>
            <w:tcW w:w="1401" w:type="dxa"/>
          </w:tcPr>
          <w:p w14:paraId="3D49C5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A06CC39" w14:textId="77777777" w:rsidTr="00ED5B0A">
        <w:tc>
          <w:tcPr>
            <w:tcW w:w="1401" w:type="dxa"/>
          </w:tcPr>
          <w:p w14:paraId="5EDE55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127E33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0E8E21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7DA3C4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0EBB43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114D9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Дроздов</w:t>
            </w:r>
          </w:p>
        </w:tc>
        <w:tc>
          <w:tcPr>
            <w:tcW w:w="1401" w:type="dxa"/>
          </w:tcPr>
          <w:p w14:paraId="57F62C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FB003A4" w14:textId="77777777" w:rsidTr="00ED5B0A">
        <w:tc>
          <w:tcPr>
            <w:tcW w:w="1401" w:type="dxa"/>
          </w:tcPr>
          <w:p w14:paraId="11D553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4002F9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4D29B9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54CBB5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260604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FE545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Тяжельников + (+2, = 1)</w:t>
            </w:r>
          </w:p>
        </w:tc>
        <w:tc>
          <w:tcPr>
            <w:tcW w:w="1401" w:type="dxa"/>
          </w:tcPr>
          <w:p w14:paraId="299FBA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1912FA7" w14:textId="77777777" w:rsidTr="00ED5B0A">
        <w:tc>
          <w:tcPr>
            <w:tcW w:w="1401" w:type="dxa"/>
          </w:tcPr>
          <w:p w14:paraId="4E88A2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6AD8FA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10209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Даугавпилса</w:t>
            </w:r>
          </w:p>
        </w:tc>
        <w:tc>
          <w:tcPr>
            <w:tcW w:w="1401" w:type="dxa"/>
          </w:tcPr>
          <w:p w14:paraId="66374B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7269EF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650BCC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Борзов</w:t>
            </w:r>
          </w:p>
        </w:tc>
        <w:tc>
          <w:tcPr>
            <w:tcW w:w="1401" w:type="dxa"/>
          </w:tcPr>
          <w:p w14:paraId="10C285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(+ 1, =1)</w:t>
            </w:r>
          </w:p>
        </w:tc>
      </w:tr>
      <w:tr w:rsidR="00A907A5" w:rsidRPr="00271E51" w14:paraId="7CEBC9B8" w14:textId="77777777" w:rsidTr="00ED5B0A">
        <w:tc>
          <w:tcPr>
            <w:tcW w:w="1401" w:type="dxa"/>
          </w:tcPr>
          <w:p w14:paraId="09DDCF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1D6FD1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65D72C6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 км юж. Вышгородка</w:t>
            </w:r>
          </w:p>
        </w:tc>
        <w:tc>
          <w:tcPr>
            <w:tcW w:w="1401" w:type="dxa"/>
          </w:tcPr>
          <w:p w14:paraId="0AD02B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ИА, разбит при посадке</w:t>
            </w:r>
          </w:p>
        </w:tc>
        <w:tc>
          <w:tcPr>
            <w:tcW w:w="1401" w:type="dxa"/>
          </w:tcPr>
          <w:p w14:paraId="6F2D98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34869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Калинкин</w:t>
            </w:r>
          </w:p>
        </w:tc>
        <w:tc>
          <w:tcPr>
            <w:tcW w:w="1401" w:type="dxa"/>
          </w:tcPr>
          <w:p w14:paraId="4BFB25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1)</w:t>
            </w:r>
          </w:p>
        </w:tc>
      </w:tr>
      <w:tr w:rsidR="00A907A5" w:rsidRPr="00271E51" w14:paraId="6B3EF613" w14:textId="77777777" w:rsidTr="00ED5B0A">
        <w:tc>
          <w:tcPr>
            <w:tcW w:w="1401" w:type="dxa"/>
          </w:tcPr>
          <w:p w14:paraId="7CA68E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30.6.41</w:t>
            </w:r>
          </w:p>
        </w:tc>
        <w:tc>
          <w:tcPr>
            <w:tcW w:w="1401" w:type="dxa"/>
          </w:tcPr>
          <w:p w14:paraId="1CA2A7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26FE3C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Острова</w:t>
            </w:r>
          </w:p>
        </w:tc>
        <w:tc>
          <w:tcPr>
            <w:tcW w:w="1401" w:type="dxa"/>
          </w:tcPr>
          <w:p w14:paraId="0272E2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ИА, сгорел после посадки</w:t>
            </w:r>
          </w:p>
        </w:tc>
        <w:tc>
          <w:tcPr>
            <w:tcW w:w="1401" w:type="dxa"/>
          </w:tcPr>
          <w:p w14:paraId="0C6543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23CDAA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Новицкий</w:t>
            </w:r>
          </w:p>
        </w:tc>
        <w:tc>
          <w:tcPr>
            <w:tcW w:w="1401" w:type="dxa"/>
          </w:tcPr>
          <w:p w14:paraId="24083D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1)</w:t>
            </w:r>
          </w:p>
        </w:tc>
      </w:tr>
      <w:tr w:rsidR="00A907A5" w:rsidRPr="00271E51" w14:paraId="18EC96BD" w14:textId="77777777" w:rsidTr="00ED5B0A">
        <w:tc>
          <w:tcPr>
            <w:tcW w:w="1401" w:type="dxa"/>
          </w:tcPr>
          <w:p w14:paraId="697333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8.7.41</w:t>
            </w:r>
          </w:p>
        </w:tc>
        <w:tc>
          <w:tcPr>
            <w:tcW w:w="1401" w:type="dxa"/>
          </w:tcPr>
          <w:p w14:paraId="0384AF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43F2C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69733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 разбит при посадке</w:t>
            </w:r>
          </w:p>
        </w:tc>
        <w:tc>
          <w:tcPr>
            <w:tcW w:w="1401" w:type="dxa"/>
          </w:tcPr>
          <w:p w14:paraId="01A824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батарее на о. Мякилуото</w:t>
            </w:r>
          </w:p>
        </w:tc>
        <w:tc>
          <w:tcPr>
            <w:tcW w:w="1401" w:type="dxa"/>
          </w:tcPr>
          <w:p w14:paraId="2A9CDD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Мазуренко</w:t>
            </w:r>
          </w:p>
        </w:tc>
        <w:tc>
          <w:tcPr>
            <w:tcW w:w="1401" w:type="dxa"/>
          </w:tcPr>
          <w:p w14:paraId="5EE1D6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3427AA85" w14:textId="77777777" w:rsidTr="00ED5B0A">
        <w:tc>
          <w:tcPr>
            <w:tcW w:w="1401" w:type="dxa"/>
          </w:tcPr>
          <w:p w14:paraId="475F9F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13.7.41</w:t>
            </w:r>
          </w:p>
        </w:tc>
        <w:tc>
          <w:tcPr>
            <w:tcW w:w="1401" w:type="dxa"/>
          </w:tcPr>
          <w:p w14:paraId="3A6AB5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AC975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м. Кирьяло</w:t>
            </w:r>
          </w:p>
        </w:tc>
        <w:tc>
          <w:tcPr>
            <w:tcW w:w="1401" w:type="dxa"/>
          </w:tcPr>
          <w:p w14:paraId="0DBC41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вынужденной посадке</w:t>
            </w:r>
          </w:p>
        </w:tc>
        <w:tc>
          <w:tcPr>
            <w:tcW w:w="1401" w:type="dxa"/>
          </w:tcPr>
          <w:p w14:paraId="0A28F8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кораблям в Рижском зал.</w:t>
            </w:r>
          </w:p>
        </w:tc>
        <w:tc>
          <w:tcPr>
            <w:tcW w:w="1401" w:type="dxa"/>
          </w:tcPr>
          <w:p w14:paraId="60D156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Русаков</w:t>
            </w:r>
          </w:p>
        </w:tc>
        <w:tc>
          <w:tcPr>
            <w:tcW w:w="1401" w:type="dxa"/>
          </w:tcPr>
          <w:p w14:paraId="59F557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7C9F71E4" w14:textId="77777777" w:rsidTr="00ED5B0A">
        <w:tc>
          <w:tcPr>
            <w:tcW w:w="1401" w:type="dxa"/>
          </w:tcPr>
          <w:p w14:paraId="70C573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14.7.41</w:t>
            </w:r>
          </w:p>
        </w:tc>
        <w:tc>
          <w:tcPr>
            <w:tcW w:w="1401" w:type="dxa"/>
          </w:tcPr>
          <w:p w14:paraId="61EAF9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0E6E3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дер. Ивановка</w:t>
            </w:r>
          </w:p>
        </w:tc>
        <w:tc>
          <w:tcPr>
            <w:tcW w:w="1401" w:type="dxa"/>
          </w:tcPr>
          <w:p w14:paraId="35A020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5B17B2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7255B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Целуев</w:t>
            </w:r>
          </w:p>
        </w:tc>
        <w:tc>
          <w:tcPr>
            <w:tcW w:w="1401" w:type="dxa"/>
          </w:tcPr>
          <w:p w14:paraId="2F376E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96DC5CD" w14:textId="77777777" w:rsidTr="00ED5B0A">
        <w:tc>
          <w:tcPr>
            <w:tcW w:w="1401" w:type="dxa"/>
          </w:tcPr>
          <w:p w14:paraId="0BE12A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15.7.41</w:t>
            </w:r>
          </w:p>
        </w:tc>
        <w:tc>
          <w:tcPr>
            <w:tcW w:w="1401" w:type="dxa"/>
          </w:tcPr>
          <w:p w14:paraId="583B33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2265A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Рижский зал.</w:t>
            </w:r>
          </w:p>
        </w:tc>
        <w:tc>
          <w:tcPr>
            <w:tcW w:w="1401" w:type="dxa"/>
          </w:tcPr>
          <w:p w14:paraId="44597A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7B833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BP</w:t>
            </w:r>
          </w:p>
        </w:tc>
        <w:tc>
          <w:tcPr>
            <w:tcW w:w="1401" w:type="dxa"/>
          </w:tcPr>
          <w:p w14:paraId="3094F1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Шевлягин</w:t>
            </w:r>
          </w:p>
        </w:tc>
        <w:tc>
          <w:tcPr>
            <w:tcW w:w="1401" w:type="dxa"/>
          </w:tcPr>
          <w:p w14:paraId="5D1212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56163961" w14:textId="77777777" w:rsidTr="00ED5B0A">
        <w:tc>
          <w:tcPr>
            <w:tcW w:w="1401" w:type="dxa"/>
          </w:tcPr>
          <w:p w14:paraId="234A14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15.7.41</w:t>
            </w:r>
          </w:p>
        </w:tc>
        <w:tc>
          <w:tcPr>
            <w:tcW w:w="1401" w:type="dxa"/>
          </w:tcPr>
          <w:p w14:paraId="6C119E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AFCEB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Рижский зал.</w:t>
            </w:r>
          </w:p>
        </w:tc>
        <w:tc>
          <w:tcPr>
            <w:tcW w:w="1401" w:type="dxa"/>
          </w:tcPr>
          <w:p w14:paraId="53EA45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5D71AC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BP</w:t>
            </w:r>
          </w:p>
        </w:tc>
        <w:tc>
          <w:tcPr>
            <w:tcW w:w="1401" w:type="dxa"/>
          </w:tcPr>
          <w:p w14:paraId="6CE481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Лебедев</w:t>
            </w:r>
          </w:p>
        </w:tc>
        <w:tc>
          <w:tcPr>
            <w:tcW w:w="1401" w:type="dxa"/>
          </w:tcPr>
          <w:p w14:paraId="155417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CF8F75B" w14:textId="77777777" w:rsidTr="00ED5B0A">
        <w:tc>
          <w:tcPr>
            <w:tcW w:w="1401" w:type="dxa"/>
          </w:tcPr>
          <w:p w14:paraId="2DA41A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15.7.41</w:t>
            </w:r>
          </w:p>
        </w:tc>
        <w:tc>
          <w:tcPr>
            <w:tcW w:w="1401" w:type="dxa"/>
          </w:tcPr>
          <w:p w14:paraId="0BA124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FFEB2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оз. Долгое</w:t>
            </w:r>
          </w:p>
        </w:tc>
        <w:tc>
          <w:tcPr>
            <w:tcW w:w="1401" w:type="dxa"/>
          </w:tcPr>
          <w:p w14:paraId="291C4B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3D7974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 а</w:t>
            </w:r>
          </w:p>
        </w:tc>
        <w:tc>
          <w:tcPr>
            <w:tcW w:w="1401" w:type="dxa"/>
          </w:tcPr>
          <w:p w14:paraId="778815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Финягин</w:t>
            </w:r>
          </w:p>
        </w:tc>
        <w:tc>
          <w:tcPr>
            <w:tcW w:w="1401" w:type="dxa"/>
          </w:tcPr>
          <w:p w14:paraId="3AA3E7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жив(=1)</w:t>
            </w:r>
          </w:p>
        </w:tc>
      </w:tr>
      <w:tr w:rsidR="00A907A5" w:rsidRPr="00271E51" w14:paraId="22F0C422" w14:textId="77777777" w:rsidTr="00ED5B0A">
        <w:tc>
          <w:tcPr>
            <w:tcW w:w="1401" w:type="dxa"/>
          </w:tcPr>
          <w:p w14:paraId="363633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15.7.41</w:t>
            </w:r>
          </w:p>
        </w:tc>
        <w:tc>
          <w:tcPr>
            <w:tcW w:w="1401" w:type="dxa"/>
          </w:tcPr>
          <w:p w14:paraId="5872EB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4BB152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оз. Самро</w:t>
            </w:r>
          </w:p>
        </w:tc>
        <w:tc>
          <w:tcPr>
            <w:tcW w:w="1401" w:type="dxa"/>
          </w:tcPr>
          <w:p w14:paraId="6CAD68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ИА. сгорел после посадки</w:t>
            </w:r>
          </w:p>
        </w:tc>
        <w:tc>
          <w:tcPr>
            <w:tcW w:w="1401" w:type="dxa"/>
          </w:tcPr>
          <w:p w14:paraId="5388E4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5C2C3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Бабушкин</w:t>
            </w:r>
          </w:p>
        </w:tc>
        <w:tc>
          <w:tcPr>
            <w:tcW w:w="1401" w:type="dxa"/>
          </w:tcPr>
          <w:p w14:paraId="5BC155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(+ 1, =1)</w:t>
            </w:r>
          </w:p>
        </w:tc>
      </w:tr>
      <w:tr w:rsidR="00A907A5" w:rsidRPr="00271E51" w14:paraId="4C43336F" w14:textId="77777777" w:rsidTr="00ED5B0A">
        <w:tc>
          <w:tcPr>
            <w:tcW w:w="1401" w:type="dxa"/>
          </w:tcPr>
          <w:p w14:paraId="09A109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15.7.41</w:t>
            </w:r>
          </w:p>
        </w:tc>
        <w:tc>
          <w:tcPr>
            <w:tcW w:w="1401" w:type="dxa"/>
          </w:tcPr>
          <w:p w14:paraId="01EA89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DAAA2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Поречье</w:t>
            </w:r>
          </w:p>
        </w:tc>
        <w:tc>
          <w:tcPr>
            <w:tcW w:w="1401" w:type="dxa"/>
          </w:tcPr>
          <w:p w14:paraId="362F04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44BCB6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16C19F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Дьяков</w:t>
            </w:r>
          </w:p>
        </w:tc>
        <w:tc>
          <w:tcPr>
            <w:tcW w:w="1401" w:type="dxa"/>
          </w:tcPr>
          <w:p w14:paraId="1D1F13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(+ 1)</w:t>
            </w:r>
          </w:p>
        </w:tc>
      </w:tr>
      <w:tr w:rsidR="00A907A5" w:rsidRPr="00271E51" w14:paraId="26BE1713" w14:textId="77777777" w:rsidTr="00ED5B0A">
        <w:tc>
          <w:tcPr>
            <w:tcW w:w="1401" w:type="dxa"/>
          </w:tcPr>
          <w:p w14:paraId="491903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17.7.41</w:t>
            </w:r>
          </w:p>
        </w:tc>
        <w:tc>
          <w:tcPr>
            <w:tcW w:w="1401" w:type="dxa"/>
          </w:tcPr>
          <w:p w14:paraId="5FB232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25759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Заручье</w:t>
            </w:r>
          </w:p>
        </w:tc>
        <w:tc>
          <w:tcPr>
            <w:tcW w:w="1401" w:type="dxa"/>
          </w:tcPr>
          <w:p w14:paraId="7C239D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 сел на территории</w:t>
            </w:r>
          </w:p>
        </w:tc>
        <w:tc>
          <w:tcPr>
            <w:tcW w:w="1401" w:type="dxa"/>
          </w:tcPr>
          <w:p w14:paraId="7D4C84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 противника</w:t>
            </w:r>
          </w:p>
        </w:tc>
        <w:tc>
          <w:tcPr>
            <w:tcW w:w="1401" w:type="dxa"/>
          </w:tcPr>
          <w:p w14:paraId="7B94D2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Леонов</w:t>
            </w:r>
          </w:p>
        </w:tc>
        <w:tc>
          <w:tcPr>
            <w:tcW w:w="1401" w:type="dxa"/>
          </w:tcPr>
          <w:p w14:paraId="175158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CE876D8" w14:textId="77777777" w:rsidTr="00ED5B0A">
        <w:tc>
          <w:tcPr>
            <w:tcW w:w="1401" w:type="dxa"/>
          </w:tcPr>
          <w:p w14:paraId="6587FA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17.7.41</w:t>
            </w:r>
          </w:p>
        </w:tc>
        <w:tc>
          <w:tcPr>
            <w:tcW w:w="1401" w:type="dxa"/>
          </w:tcPr>
          <w:p w14:paraId="2C95C57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08C4A7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Руска</w:t>
            </w:r>
          </w:p>
        </w:tc>
        <w:tc>
          <w:tcPr>
            <w:tcW w:w="1401" w:type="dxa"/>
          </w:tcPr>
          <w:p w14:paraId="7B5E2B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66B365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B49FF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Куклев</w:t>
            </w:r>
          </w:p>
        </w:tc>
        <w:tc>
          <w:tcPr>
            <w:tcW w:w="1401" w:type="dxa"/>
          </w:tcPr>
          <w:p w14:paraId="30DA97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9335246" w14:textId="77777777" w:rsidTr="00ED5B0A">
        <w:tc>
          <w:tcPr>
            <w:tcW w:w="1401" w:type="dxa"/>
          </w:tcPr>
          <w:p w14:paraId="0D2410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17.7.41</w:t>
            </w:r>
          </w:p>
        </w:tc>
        <w:tc>
          <w:tcPr>
            <w:tcW w:w="1401" w:type="dxa"/>
          </w:tcPr>
          <w:p w14:paraId="3B8A11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ABF0E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оз. Самро</w:t>
            </w:r>
          </w:p>
        </w:tc>
        <w:tc>
          <w:tcPr>
            <w:tcW w:w="1401" w:type="dxa"/>
          </w:tcPr>
          <w:p w14:paraId="4EAE62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12FE7A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7B0EE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Балебин</w:t>
            </w:r>
          </w:p>
        </w:tc>
        <w:tc>
          <w:tcPr>
            <w:tcW w:w="1401" w:type="dxa"/>
          </w:tcPr>
          <w:p w14:paraId="69CA19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(+3)</w:t>
            </w:r>
          </w:p>
        </w:tc>
      </w:tr>
      <w:tr w:rsidR="00A907A5" w:rsidRPr="00271E51" w14:paraId="0FD813AB" w14:textId="77777777" w:rsidTr="00ED5B0A">
        <w:tc>
          <w:tcPr>
            <w:tcW w:w="1401" w:type="dxa"/>
          </w:tcPr>
          <w:p w14:paraId="10E7F2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17.7 41</w:t>
            </w:r>
          </w:p>
        </w:tc>
        <w:tc>
          <w:tcPr>
            <w:tcW w:w="1401" w:type="dxa"/>
          </w:tcPr>
          <w:p w14:paraId="2D5DD5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03DF92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оз. Самро</w:t>
            </w:r>
          </w:p>
        </w:tc>
        <w:tc>
          <w:tcPr>
            <w:tcW w:w="1401" w:type="dxa"/>
          </w:tcPr>
          <w:p w14:paraId="330CDC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 сел в районе линии фронта</w:t>
            </w:r>
          </w:p>
        </w:tc>
        <w:tc>
          <w:tcPr>
            <w:tcW w:w="1401" w:type="dxa"/>
          </w:tcPr>
          <w:p w14:paraId="0F7179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F53A6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Дроздов</w:t>
            </w:r>
          </w:p>
        </w:tc>
        <w:tc>
          <w:tcPr>
            <w:tcW w:w="1401" w:type="dxa"/>
          </w:tcPr>
          <w:p w14:paraId="1732B8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 =1)</w:t>
            </w:r>
          </w:p>
        </w:tc>
      </w:tr>
      <w:tr w:rsidR="00A907A5" w:rsidRPr="00271E51" w14:paraId="0CF385A9" w14:textId="77777777" w:rsidTr="00ED5B0A">
        <w:tc>
          <w:tcPr>
            <w:tcW w:w="1401" w:type="dxa"/>
          </w:tcPr>
          <w:p w14:paraId="6F7743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17.7.41</w:t>
            </w:r>
          </w:p>
        </w:tc>
        <w:tc>
          <w:tcPr>
            <w:tcW w:w="1401" w:type="dxa"/>
          </w:tcPr>
          <w:p w14:paraId="4D7721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6E3D38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оз. Долгое</w:t>
            </w:r>
          </w:p>
        </w:tc>
        <w:tc>
          <w:tcPr>
            <w:tcW w:w="1401" w:type="dxa"/>
          </w:tcPr>
          <w:p w14:paraId="3DA9F1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3BAE47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28044B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Токарев</w:t>
            </w:r>
          </w:p>
        </w:tc>
        <w:tc>
          <w:tcPr>
            <w:tcW w:w="1401" w:type="dxa"/>
          </w:tcPr>
          <w:p w14:paraId="47E08F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(+2)</w:t>
            </w:r>
          </w:p>
        </w:tc>
      </w:tr>
      <w:tr w:rsidR="00A907A5" w:rsidRPr="00271E51" w14:paraId="43CE570D" w14:textId="77777777" w:rsidTr="00ED5B0A">
        <w:tc>
          <w:tcPr>
            <w:tcW w:w="1401" w:type="dxa"/>
          </w:tcPr>
          <w:p w14:paraId="755B5A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18.7.41</w:t>
            </w:r>
          </w:p>
        </w:tc>
        <w:tc>
          <w:tcPr>
            <w:tcW w:w="1401" w:type="dxa"/>
          </w:tcPr>
          <w:p w14:paraId="4CA2D3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D9A6A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Бегуницы</w:t>
            </w:r>
          </w:p>
        </w:tc>
        <w:tc>
          <w:tcPr>
            <w:tcW w:w="1401" w:type="dxa"/>
          </w:tcPr>
          <w:p w14:paraId="47F8F1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344984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3670F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Тальянов</w:t>
            </w:r>
          </w:p>
        </w:tc>
        <w:tc>
          <w:tcPr>
            <w:tcW w:w="1401" w:type="dxa"/>
          </w:tcPr>
          <w:p w14:paraId="23D880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80BAC39" w14:textId="77777777" w:rsidTr="00ED5B0A">
        <w:tc>
          <w:tcPr>
            <w:tcW w:w="1401" w:type="dxa"/>
          </w:tcPr>
          <w:p w14:paraId="5DEE69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18.7.41</w:t>
            </w:r>
          </w:p>
        </w:tc>
        <w:tc>
          <w:tcPr>
            <w:tcW w:w="1401" w:type="dxa"/>
          </w:tcPr>
          <w:p w14:paraId="1E528D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600FEE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Бегуницы</w:t>
            </w:r>
          </w:p>
        </w:tc>
        <w:tc>
          <w:tcPr>
            <w:tcW w:w="1401" w:type="dxa"/>
          </w:tcPr>
          <w:p w14:paraId="5E2DE6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21F7AAD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56260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Гестрин</w:t>
            </w:r>
          </w:p>
        </w:tc>
        <w:tc>
          <w:tcPr>
            <w:tcW w:w="1401" w:type="dxa"/>
          </w:tcPr>
          <w:p w14:paraId="1A2BA9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28BC305" w14:textId="77777777" w:rsidTr="00ED5B0A">
        <w:tc>
          <w:tcPr>
            <w:tcW w:w="1401" w:type="dxa"/>
          </w:tcPr>
          <w:p w14:paraId="12DABC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18.7.41</w:t>
            </w:r>
          </w:p>
        </w:tc>
        <w:tc>
          <w:tcPr>
            <w:tcW w:w="1401" w:type="dxa"/>
          </w:tcPr>
          <w:p w14:paraId="6C872A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18707F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ст. Пойда</w:t>
            </w:r>
          </w:p>
        </w:tc>
        <w:tc>
          <w:tcPr>
            <w:tcW w:w="1401" w:type="dxa"/>
          </w:tcPr>
          <w:p w14:paraId="2EC73D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2C8EB2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796223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Поваляев</w:t>
            </w:r>
          </w:p>
        </w:tc>
        <w:tc>
          <w:tcPr>
            <w:tcW w:w="1401" w:type="dxa"/>
          </w:tcPr>
          <w:p w14:paraId="44EE3C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3973011" w14:textId="77777777" w:rsidTr="00ED5B0A">
        <w:tc>
          <w:tcPr>
            <w:tcW w:w="1401" w:type="dxa"/>
          </w:tcPr>
          <w:p w14:paraId="46C54C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30.7.41</w:t>
            </w:r>
          </w:p>
        </w:tc>
        <w:tc>
          <w:tcPr>
            <w:tcW w:w="1401" w:type="dxa"/>
          </w:tcPr>
          <w:p w14:paraId="1A020D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BDDDB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w:t>
            </w:r>
          </w:p>
        </w:tc>
        <w:tc>
          <w:tcPr>
            <w:tcW w:w="1401" w:type="dxa"/>
          </w:tcPr>
          <w:p w14:paraId="6930F4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упал при взлете и взорвался</w:t>
            </w:r>
          </w:p>
        </w:tc>
        <w:tc>
          <w:tcPr>
            <w:tcW w:w="1401" w:type="dxa"/>
          </w:tcPr>
          <w:p w14:paraId="160E78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43F01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Родионов</w:t>
            </w:r>
          </w:p>
        </w:tc>
        <w:tc>
          <w:tcPr>
            <w:tcW w:w="1401" w:type="dxa"/>
          </w:tcPr>
          <w:p w14:paraId="402AC3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B178F2B" w14:textId="77777777" w:rsidTr="00ED5B0A">
        <w:tc>
          <w:tcPr>
            <w:tcW w:w="1401" w:type="dxa"/>
          </w:tcPr>
          <w:p w14:paraId="1A1BDA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5.8.41</w:t>
            </w:r>
          </w:p>
        </w:tc>
        <w:tc>
          <w:tcPr>
            <w:tcW w:w="1401" w:type="dxa"/>
          </w:tcPr>
          <w:p w14:paraId="3994E1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1FA087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Котлы</w:t>
            </w:r>
          </w:p>
        </w:tc>
        <w:tc>
          <w:tcPr>
            <w:tcW w:w="1401" w:type="dxa"/>
          </w:tcPr>
          <w:p w14:paraId="6C81B5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471A6F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Виндаве</w:t>
            </w:r>
          </w:p>
        </w:tc>
        <w:tc>
          <w:tcPr>
            <w:tcW w:w="1401" w:type="dxa"/>
          </w:tcPr>
          <w:p w14:paraId="5C2F2F5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Леонов</w:t>
            </w:r>
          </w:p>
        </w:tc>
        <w:tc>
          <w:tcPr>
            <w:tcW w:w="1401" w:type="dxa"/>
          </w:tcPr>
          <w:p w14:paraId="193897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B46D400" w14:textId="77777777" w:rsidTr="00ED5B0A">
        <w:tc>
          <w:tcPr>
            <w:tcW w:w="1401" w:type="dxa"/>
          </w:tcPr>
          <w:p w14:paraId="41DC1D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8.8.41</w:t>
            </w:r>
          </w:p>
        </w:tc>
        <w:tc>
          <w:tcPr>
            <w:tcW w:w="1401" w:type="dxa"/>
          </w:tcPr>
          <w:p w14:paraId="34615F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169C4B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5127A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0F1C5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462B2E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Финягин</w:t>
            </w:r>
          </w:p>
        </w:tc>
        <w:tc>
          <w:tcPr>
            <w:tcW w:w="1401" w:type="dxa"/>
          </w:tcPr>
          <w:p w14:paraId="01A3FD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FB9340A" w14:textId="77777777" w:rsidTr="00ED5B0A">
        <w:tc>
          <w:tcPr>
            <w:tcW w:w="1401" w:type="dxa"/>
          </w:tcPr>
          <w:p w14:paraId="373FBF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16.8.41</w:t>
            </w:r>
          </w:p>
        </w:tc>
        <w:tc>
          <w:tcPr>
            <w:tcW w:w="1401" w:type="dxa"/>
          </w:tcPr>
          <w:p w14:paraId="23ADB2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997D3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30A1D5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4B8DDD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1C70B6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Александров</w:t>
            </w:r>
          </w:p>
        </w:tc>
        <w:tc>
          <w:tcPr>
            <w:tcW w:w="1401" w:type="dxa"/>
          </w:tcPr>
          <w:p w14:paraId="2B21EE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 =1)</w:t>
            </w:r>
          </w:p>
        </w:tc>
      </w:tr>
      <w:tr w:rsidR="00A907A5" w:rsidRPr="00271E51" w14:paraId="720AFC5D" w14:textId="77777777" w:rsidTr="00ED5B0A">
        <w:tc>
          <w:tcPr>
            <w:tcW w:w="1401" w:type="dxa"/>
          </w:tcPr>
          <w:p w14:paraId="0F0E4B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16.8.41</w:t>
            </w:r>
          </w:p>
        </w:tc>
        <w:tc>
          <w:tcPr>
            <w:tcW w:w="1401" w:type="dxa"/>
          </w:tcPr>
          <w:p w14:paraId="3272A4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31B7F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00F48CE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40CD7F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26A379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Кравченко</w:t>
            </w:r>
          </w:p>
        </w:tc>
        <w:tc>
          <w:tcPr>
            <w:tcW w:w="1401" w:type="dxa"/>
          </w:tcPr>
          <w:p w14:paraId="68752B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C74B67E" w14:textId="77777777" w:rsidTr="00ED5B0A">
        <w:tc>
          <w:tcPr>
            <w:tcW w:w="1401" w:type="dxa"/>
          </w:tcPr>
          <w:p w14:paraId="2A8082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w:t>
            </w:r>
          </w:p>
        </w:tc>
        <w:tc>
          <w:tcPr>
            <w:tcW w:w="1401" w:type="dxa"/>
          </w:tcPr>
          <w:p w14:paraId="1F15BF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Тип</w:t>
            </w:r>
          </w:p>
        </w:tc>
        <w:tc>
          <w:tcPr>
            <w:tcW w:w="1401" w:type="dxa"/>
          </w:tcPr>
          <w:p w14:paraId="2063D8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Район</w:t>
            </w:r>
          </w:p>
        </w:tc>
        <w:tc>
          <w:tcPr>
            <w:tcW w:w="1401" w:type="dxa"/>
          </w:tcPr>
          <w:p w14:paraId="316AF0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Причина потери</w:t>
            </w:r>
          </w:p>
        </w:tc>
        <w:tc>
          <w:tcPr>
            <w:tcW w:w="1401" w:type="dxa"/>
          </w:tcPr>
          <w:p w14:paraId="6EA3D5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Решаемая задача</w:t>
            </w:r>
          </w:p>
        </w:tc>
        <w:tc>
          <w:tcPr>
            <w:tcW w:w="1401" w:type="dxa"/>
          </w:tcPr>
          <w:p w14:paraId="1E46C1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w:t>
            </w:r>
          </w:p>
        </w:tc>
        <w:tc>
          <w:tcPr>
            <w:tcW w:w="1401" w:type="dxa"/>
          </w:tcPr>
          <w:p w14:paraId="1B7181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Судьба</w:t>
            </w:r>
          </w:p>
        </w:tc>
      </w:tr>
      <w:tr w:rsidR="00A907A5" w:rsidRPr="00271E51" w14:paraId="1406344C" w14:textId="77777777" w:rsidTr="00ED5B0A">
        <w:tc>
          <w:tcPr>
            <w:tcW w:w="1401" w:type="dxa"/>
          </w:tcPr>
          <w:p w14:paraId="5489ED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17.8.41</w:t>
            </w:r>
          </w:p>
        </w:tc>
        <w:tc>
          <w:tcPr>
            <w:tcW w:w="1401" w:type="dxa"/>
          </w:tcPr>
          <w:p w14:paraId="4A5F4B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ДБ-3</w:t>
            </w:r>
          </w:p>
        </w:tc>
        <w:tc>
          <w:tcPr>
            <w:tcW w:w="1401" w:type="dxa"/>
          </w:tcPr>
          <w:p w14:paraId="44EF91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Плешевицы</w:t>
            </w:r>
          </w:p>
        </w:tc>
        <w:tc>
          <w:tcPr>
            <w:tcW w:w="1401" w:type="dxa"/>
          </w:tcPr>
          <w:p w14:paraId="35A8A2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поврежден ИА (И-153), разбит</w:t>
            </w:r>
          </w:p>
        </w:tc>
        <w:tc>
          <w:tcPr>
            <w:tcW w:w="1401" w:type="dxa"/>
          </w:tcPr>
          <w:p w14:paraId="2175DD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перелет при посадке</w:t>
            </w:r>
          </w:p>
        </w:tc>
        <w:tc>
          <w:tcPr>
            <w:tcW w:w="1401" w:type="dxa"/>
          </w:tcPr>
          <w:p w14:paraId="41C908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584CC3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6219E3C" w14:textId="77777777" w:rsidTr="00ED5B0A">
        <w:tc>
          <w:tcPr>
            <w:tcW w:w="1401" w:type="dxa"/>
          </w:tcPr>
          <w:p w14:paraId="4D10F4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E71F8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55E77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41430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588E8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 отремонтирован)</w:t>
            </w:r>
          </w:p>
        </w:tc>
        <w:tc>
          <w:tcPr>
            <w:tcW w:w="1401" w:type="dxa"/>
          </w:tcPr>
          <w:p w14:paraId="204642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2619F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0C71EEC" w14:textId="77777777" w:rsidTr="00ED5B0A">
        <w:tc>
          <w:tcPr>
            <w:tcW w:w="1401" w:type="dxa"/>
          </w:tcPr>
          <w:p w14:paraId="42C02B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18.8.41</w:t>
            </w:r>
          </w:p>
        </w:tc>
        <w:tc>
          <w:tcPr>
            <w:tcW w:w="1401" w:type="dxa"/>
          </w:tcPr>
          <w:p w14:paraId="616306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2EF9AA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Заполье</w:t>
            </w:r>
          </w:p>
        </w:tc>
        <w:tc>
          <w:tcPr>
            <w:tcW w:w="1401" w:type="dxa"/>
          </w:tcPr>
          <w:p w14:paraId="3B14D7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29ACAA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601D0A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Клюев</w:t>
            </w:r>
          </w:p>
        </w:tc>
        <w:tc>
          <w:tcPr>
            <w:tcW w:w="1401" w:type="dxa"/>
          </w:tcPr>
          <w:p w14:paraId="553B58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w:t>
            </w:r>
          </w:p>
        </w:tc>
      </w:tr>
      <w:tr w:rsidR="00A907A5" w:rsidRPr="00271E51" w14:paraId="2069C873" w14:textId="77777777" w:rsidTr="00ED5B0A">
        <w:tc>
          <w:tcPr>
            <w:tcW w:w="1401" w:type="dxa"/>
          </w:tcPr>
          <w:p w14:paraId="51FA37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18.8.41</w:t>
            </w:r>
          </w:p>
        </w:tc>
        <w:tc>
          <w:tcPr>
            <w:tcW w:w="1401" w:type="dxa"/>
          </w:tcPr>
          <w:p w14:paraId="0735B5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2703E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Красного Села</w:t>
            </w:r>
          </w:p>
        </w:tc>
        <w:tc>
          <w:tcPr>
            <w:tcW w:w="1401" w:type="dxa"/>
          </w:tcPr>
          <w:p w14:paraId="1710AE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ИА, разбит при посадке</w:t>
            </w:r>
          </w:p>
        </w:tc>
        <w:tc>
          <w:tcPr>
            <w:tcW w:w="1401" w:type="dxa"/>
          </w:tcPr>
          <w:p w14:paraId="75F15D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78E3D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Чемоданов</w:t>
            </w:r>
          </w:p>
        </w:tc>
        <w:tc>
          <w:tcPr>
            <w:tcW w:w="1401" w:type="dxa"/>
          </w:tcPr>
          <w:p w14:paraId="36DB91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w:t>
            </w:r>
          </w:p>
        </w:tc>
      </w:tr>
      <w:tr w:rsidR="00A907A5" w:rsidRPr="00271E51" w14:paraId="5A4F1E96" w14:textId="77777777" w:rsidTr="00ED5B0A">
        <w:tc>
          <w:tcPr>
            <w:tcW w:w="1401" w:type="dxa"/>
          </w:tcPr>
          <w:p w14:paraId="153B9B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18.8.41</w:t>
            </w:r>
          </w:p>
        </w:tc>
        <w:tc>
          <w:tcPr>
            <w:tcW w:w="1401" w:type="dxa"/>
          </w:tcPr>
          <w:p w14:paraId="2AC1A3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61A2A2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Заполье</w:t>
            </w:r>
          </w:p>
        </w:tc>
        <w:tc>
          <w:tcPr>
            <w:tcW w:w="1401" w:type="dxa"/>
          </w:tcPr>
          <w:p w14:paraId="372DE2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76635F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5D5AD5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Бабий</w:t>
            </w:r>
          </w:p>
        </w:tc>
        <w:tc>
          <w:tcPr>
            <w:tcW w:w="1401" w:type="dxa"/>
          </w:tcPr>
          <w:p w14:paraId="00AF25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(+3)</w:t>
            </w:r>
          </w:p>
        </w:tc>
      </w:tr>
      <w:tr w:rsidR="00A907A5" w:rsidRPr="00271E51" w14:paraId="72CA7415" w14:textId="77777777" w:rsidTr="00ED5B0A">
        <w:tc>
          <w:tcPr>
            <w:tcW w:w="1401" w:type="dxa"/>
          </w:tcPr>
          <w:p w14:paraId="285535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19.8.41</w:t>
            </w:r>
          </w:p>
        </w:tc>
        <w:tc>
          <w:tcPr>
            <w:tcW w:w="1401" w:type="dxa"/>
          </w:tcPr>
          <w:p w14:paraId="67EDF4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ECB9A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ст. Чудово</w:t>
            </w:r>
          </w:p>
        </w:tc>
        <w:tc>
          <w:tcPr>
            <w:tcW w:w="1401" w:type="dxa"/>
          </w:tcPr>
          <w:p w14:paraId="53E16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08A589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51A2D9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Кузнецов</w:t>
            </w:r>
          </w:p>
        </w:tc>
        <w:tc>
          <w:tcPr>
            <w:tcW w:w="1401" w:type="dxa"/>
          </w:tcPr>
          <w:p w14:paraId="6F783D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(+3)</w:t>
            </w:r>
          </w:p>
        </w:tc>
      </w:tr>
      <w:tr w:rsidR="00A907A5" w:rsidRPr="00271E51" w14:paraId="1199BD2D" w14:textId="77777777" w:rsidTr="00ED5B0A">
        <w:tc>
          <w:tcPr>
            <w:tcW w:w="1401" w:type="dxa"/>
          </w:tcPr>
          <w:p w14:paraId="5BD446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19.8.41</w:t>
            </w:r>
          </w:p>
        </w:tc>
        <w:tc>
          <w:tcPr>
            <w:tcW w:w="1401" w:type="dxa"/>
          </w:tcPr>
          <w:p w14:paraId="79A2C7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74D872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ст. Чудово</w:t>
            </w:r>
          </w:p>
        </w:tc>
        <w:tc>
          <w:tcPr>
            <w:tcW w:w="1401" w:type="dxa"/>
          </w:tcPr>
          <w:p w14:paraId="2EB8B5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ЗА, сгорел после посадки</w:t>
            </w:r>
          </w:p>
        </w:tc>
        <w:tc>
          <w:tcPr>
            <w:tcW w:w="1401" w:type="dxa"/>
          </w:tcPr>
          <w:p w14:paraId="7F2654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7C7FC6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Громов</w:t>
            </w:r>
          </w:p>
        </w:tc>
        <w:tc>
          <w:tcPr>
            <w:tcW w:w="1401" w:type="dxa"/>
          </w:tcPr>
          <w:p w14:paraId="4CE894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4ABE9D1B" w14:textId="77777777" w:rsidTr="00ED5B0A">
        <w:tc>
          <w:tcPr>
            <w:tcW w:w="1401" w:type="dxa"/>
          </w:tcPr>
          <w:p w14:paraId="51FB2A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19.8.41</w:t>
            </w:r>
          </w:p>
        </w:tc>
        <w:tc>
          <w:tcPr>
            <w:tcW w:w="1401" w:type="dxa"/>
          </w:tcPr>
          <w:p w14:paraId="2B8868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B0D5B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Финский зал.</w:t>
            </w:r>
          </w:p>
        </w:tc>
        <w:tc>
          <w:tcPr>
            <w:tcW w:w="1401" w:type="dxa"/>
          </w:tcPr>
          <w:p w14:paraId="3A7632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МЧ, посадка на воду</w:t>
            </w:r>
          </w:p>
        </w:tc>
        <w:tc>
          <w:tcPr>
            <w:tcW w:w="1401" w:type="dxa"/>
          </w:tcPr>
          <w:p w14:paraId="638AE1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BP</w:t>
            </w:r>
          </w:p>
        </w:tc>
        <w:tc>
          <w:tcPr>
            <w:tcW w:w="1401" w:type="dxa"/>
          </w:tcPr>
          <w:p w14:paraId="6207CC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Пятков</w:t>
            </w:r>
          </w:p>
        </w:tc>
        <w:tc>
          <w:tcPr>
            <w:tcW w:w="1401" w:type="dxa"/>
          </w:tcPr>
          <w:p w14:paraId="603776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(+1, 1 плен)</w:t>
            </w:r>
          </w:p>
        </w:tc>
      </w:tr>
      <w:tr w:rsidR="00A907A5" w:rsidRPr="00271E51" w14:paraId="45E7BCDE" w14:textId="77777777" w:rsidTr="00ED5B0A">
        <w:tc>
          <w:tcPr>
            <w:tcW w:w="1401" w:type="dxa"/>
          </w:tcPr>
          <w:p w14:paraId="0D9DE4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20.8.41</w:t>
            </w:r>
          </w:p>
        </w:tc>
        <w:tc>
          <w:tcPr>
            <w:tcW w:w="1401" w:type="dxa"/>
          </w:tcPr>
          <w:p w14:paraId="7D43DA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F1728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267E68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w:t>
            </w:r>
          </w:p>
        </w:tc>
        <w:tc>
          <w:tcPr>
            <w:tcW w:w="1401" w:type="dxa"/>
          </w:tcPr>
          <w:p w14:paraId="5A724F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6E54F2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Гречишников</w:t>
            </w:r>
          </w:p>
        </w:tc>
        <w:tc>
          <w:tcPr>
            <w:tcW w:w="1401" w:type="dxa"/>
          </w:tcPr>
          <w:p w14:paraId="4BF660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47F8CD45" w14:textId="77777777" w:rsidTr="00ED5B0A">
        <w:tc>
          <w:tcPr>
            <w:tcW w:w="1401" w:type="dxa"/>
          </w:tcPr>
          <w:p w14:paraId="664559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21.8.41</w:t>
            </w:r>
          </w:p>
        </w:tc>
        <w:tc>
          <w:tcPr>
            <w:tcW w:w="1401" w:type="dxa"/>
          </w:tcPr>
          <w:p w14:paraId="0D80CC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139B9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3E7D39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6517E2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604F7D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Фокин</w:t>
            </w:r>
          </w:p>
        </w:tc>
        <w:tc>
          <w:tcPr>
            <w:tcW w:w="1401" w:type="dxa"/>
          </w:tcPr>
          <w:p w14:paraId="64811B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(+1, =1)</w:t>
            </w:r>
          </w:p>
        </w:tc>
      </w:tr>
      <w:tr w:rsidR="00A907A5" w:rsidRPr="00271E51" w14:paraId="69A660FF" w14:textId="77777777" w:rsidTr="00ED5B0A">
        <w:tc>
          <w:tcPr>
            <w:tcW w:w="1401" w:type="dxa"/>
          </w:tcPr>
          <w:p w14:paraId="2EE7A5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27.8.41</w:t>
            </w:r>
          </w:p>
        </w:tc>
        <w:tc>
          <w:tcPr>
            <w:tcW w:w="1401" w:type="dxa"/>
          </w:tcPr>
          <w:p w14:paraId="07BEA2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77A00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м. Колкасрагс</w:t>
            </w:r>
          </w:p>
        </w:tc>
        <w:tc>
          <w:tcPr>
            <w:tcW w:w="1401" w:type="dxa"/>
          </w:tcPr>
          <w:p w14:paraId="5E79B0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7D7F0B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BP</w:t>
            </w:r>
          </w:p>
        </w:tc>
        <w:tc>
          <w:tcPr>
            <w:tcW w:w="1401" w:type="dxa"/>
          </w:tcPr>
          <w:p w14:paraId="0DECAF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Есин</w:t>
            </w:r>
          </w:p>
        </w:tc>
        <w:tc>
          <w:tcPr>
            <w:tcW w:w="1401" w:type="dxa"/>
          </w:tcPr>
          <w:p w14:paraId="4C1556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655711A" w14:textId="77777777" w:rsidTr="00ED5B0A">
        <w:tc>
          <w:tcPr>
            <w:tcW w:w="1401" w:type="dxa"/>
          </w:tcPr>
          <w:p w14:paraId="2EE407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28.8.41</w:t>
            </w:r>
          </w:p>
        </w:tc>
        <w:tc>
          <w:tcPr>
            <w:tcW w:w="1401" w:type="dxa"/>
          </w:tcPr>
          <w:p w14:paraId="7D02A2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6913D4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д. Б. Кузьмине</w:t>
            </w:r>
          </w:p>
        </w:tc>
        <w:tc>
          <w:tcPr>
            <w:tcW w:w="1401" w:type="dxa"/>
          </w:tcPr>
          <w:p w14:paraId="38DEBC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уничтожен при отходе; 26.7</w:t>
            </w:r>
          </w:p>
        </w:tc>
        <w:tc>
          <w:tcPr>
            <w:tcW w:w="1401" w:type="dxa"/>
          </w:tcPr>
          <w:p w14:paraId="53F2B5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213617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Дулькин</w:t>
            </w:r>
          </w:p>
        </w:tc>
        <w:tc>
          <w:tcPr>
            <w:tcW w:w="1401" w:type="dxa"/>
          </w:tcPr>
          <w:p w14:paraId="331E23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38FF8AB1" w14:textId="77777777" w:rsidTr="00ED5B0A">
        <w:tc>
          <w:tcPr>
            <w:tcW w:w="1401" w:type="dxa"/>
          </w:tcPr>
          <w:p w14:paraId="36E0AD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477F2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8AB7D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601BE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поврежден при вынужденной посадке</w:t>
            </w:r>
          </w:p>
        </w:tc>
        <w:tc>
          <w:tcPr>
            <w:tcW w:w="1401" w:type="dxa"/>
          </w:tcPr>
          <w:p w14:paraId="5BF60E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98851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DB1CC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81B36FA" w14:textId="77777777" w:rsidTr="00ED5B0A">
        <w:tc>
          <w:tcPr>
            <w:tcW w:w="1401" w:type="dxa"/>
          </w:tcPr>
          <w:p w14:paraId="3E787E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31.8.41</w:t>
            </w:r>
          </w:p>
        </w:tc>
        <w:tc>
          <w:tcPr>
            <w:tcW w:w="1401" w:type="dxa"/>
          </w:tcPr>
          <w:p w14:paraId="2F9E5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6875DE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CDD2C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1C0B7F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003097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Русаков</w:t>
            </w:r>
          </w:p>
        </w:tc>
        <w:tc>
          <w:tcPr>
            <w:tcW w:w="1401" w:type="dxa"/>
          </w:tcPr>
          <w:p w14:paraId="6339B6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90741A4" w14:textId="77777777" w:rsidTr="00ED5B0A">
        <w:tc>
          <w:tcPr>
            <w:tcW w:w="1401" w:type="dxa"/>
          </w:tcPr>
          <w:p w14:paraId="0718DA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1.9.41</w:t>
            </w:r>
          </w:p>
        </w:tc>
        <w:tc>
          <w:tcPr>
            <w:tcW w:w="1401" w:type="dxa"/>
          </w:tcPr>
          <w:p w14:paraId="5F949D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635AEB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Куресаре</w:t>
            </w:r>
          </w:p>
        </w:tc>
        <w:tc>
          <w:tcPr>
            <w:tcW w:w="1401" w:type="dxa"/>
          </w:tcPr>
          <w:p w14:paraId="3202879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2617E3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7D8447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Дашковский</w:t>
            </w:r>
          </w:p>
        </w:tc>
        <w:tc>
          <w:tcPr>
            <w:tcW w:w="1401" w:type="dxa"/>
          </w:tcPr>
          <w:p w14:paraId="56A73E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902366C" w14:textId="77777777" w:rsidTr="00ED5B0A">
        <w:tc>
          <w:tcPr>
            <w:tcW w:w="1401" w:type="dxa"/>
          </w:tcPr>
          <w:p w14:paraId="566E1F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3.9.41</w:t>
            </w:r>
          </w:p>
        </w:tc>
        <w:tc>
          <w:tcPr>
            <w:tcW w:w="1401" w:type="dxa"/>
          </w:tcPr>
          <w:p w14:paraId="59BFF7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497C8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E04B1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5509F2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Берлину</w:t>
            </w:r>
          </w:p>
        </w:tc>
        <w:tc>
          <w:tcPr>
            <w:tcW w:w="1401" w:type="dxa"/>
          </w:tcPr>
          <w:p w14:paraId="79A824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Милыунов</w:t>
            </w:r>
          </w:p>
        </w:tc>
        <w:tc>
          <w:tcPr>
            <w:tcW w:w="1401" w:type="dxa"/>
          </w:tcPr>
          <w:p w14:paraId="429068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8D96A9A" w14:textId="77777777" w:rsidTr="00ED5B0A">
        <w:tc>
          <w:tcPr>
            <w:tcW w:w="1401" w:type="dxa"/>
          </w:tcPr>
          <w:p w14:paraId="24EEA2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71DCFD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45F486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50D73A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6BF008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728AA4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BCDFFC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023656E" w14:textId="77777777" w:rsidTr="00ED5B0A">
        <w:tc>
          <w:tcPr>
            <w:tcW w:w="1401" w:type="dxa"/>
          </w:tcPr>
          <w:p w14:paraId="07DB67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071D32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0615CC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0D5FAC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2A570E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8E10B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1C81F1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22AB94F7" w14:textId="77777777" w:rsidTr="00ED5B0A">
        <w:tc>
          <w:tcPr>
            <w:tcW w:w="1401" w:type="dxa"/>
          </w:tcPr>
          <w:p w14:paraId="28F706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27B899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6FD457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403154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3F7773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498D8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56AF6B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1DB9FFC" w14:textId="77777777" w:rsidTr="00ED5B0A">
        <w:tc>
          <w:tcPr>
            <w:tcW w:w="1401" w:type="dxa"/>
          </w:tcPr>
          <w:p w14:paraId="2B7E92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31B90A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2CEF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79CDE9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6B8AA6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130EA8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CA1AFA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8ED09EB" w14:textId="77777777" w:rsidTr="00ED5B0A">
        <w:tc>
          <w:tcPr>
            <w:tcW w:w="1401" w:type="dxa"/>
          </w:tcPr>
          <w:p w14:paraId="519560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6AB686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756A0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5160F7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0FF68F7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0EAFB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51CEE3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34311D2" w14:textId="77777777" w:rsidTr="00ED5B0A">
        <w:tc>
          <w:tcPr>
            <w:tcW w:w="1401" w:type="dxa"/>
          </w:tcPr>
          <w:p w14:paraId="08A224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6.9.41</w:t>
            </w:r>
          </w:p>
        </w:tc>
        <w:tc>
          <w:tcPr>
            <w:tcW w:w="1401" w:type="dxa"/>
          </w:tcPr>
          <w:p w14:paraId="4F605D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EDDDD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Кагул</w:t>
            </w:r>
          </w:p>
        </w:tc>
        <w:tc>
          <w:tcPr>
            <w:tcW w:w="1401" w:type="dxa"/>
          </w:tcPr>
          <w:p w14:paraId="609164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пр-ка</w:t>
            </w:r>
          </w:p>
        </w:tc>
        <w:tc>
          <w:tcPr>
            <w:tcW w:w="1401" w:type="dxa"/>
          </w:tcPr>
          <w:p w14:paraId="44BEA5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0D226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7909AD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E1507C3" w14:textId="77777777" w:rsidTr="00ED5B0A">
        <w:tc>
          <w:tcPr>
            <w:tcW w:w="1401" w:type="dxa"/>
          </w:tcPr>
          <w:p w14:paraId="3F0F68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14.9.41</w:t>
            </w:r>
          </w:p>
        </w:tc>
        <w:tc>
          <w:tcPr>
            <w:tcW w:w="1401" w:type="dxa"/>
          </w:tcPr>
          <w:p w14:paraId="4D28CD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168E6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Лодейного Поля</w:t>
            </w:r>
          </w:p>
        </w:tc>
        <w:tc>
          <w:tcPr>
            <w:tcW w:w="1401" w:type="dxa"/>
          </w:tcPr>
          <w:p w14:paraId="206B5A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уничтожен минометным огнем;</w:t>
            </w:r>
          </w:p>
        </w:tc>
        <w:tc>
          <w:tcPr>
            <w:tcW w:w="1401" w:type="dxa"/>
          </w:tcPr>
          <w:p w14:paraId="51744A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56023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Архипов</w:t>
            </w:r>
          </w:p>
        </w:tc>
        <w:tc>
          <w:tcPr>
            <w:tcW w:w="1401" w:type="dxa"/>
          </w:tcPr>
          <w:p w14:paraId="042DDA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4FA4E36D" w14:textId="77777777" w:rsidTr="00ED5B0A">
        <w:tc>
          <w:tcPr>
            <w:tcW w:w="1401" w:type="dxa"/>
          </w:tcPr>
          <w:p w14:paraId="37D7A8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763FB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1B5B6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32AE0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при вын. посадке 16.7.41</w:t>
            </w:r>
          </w:p>
        </w:tc>
        <w:tc>
          <w:tcPr>
            <w:tcW w:w="1401" w:type="dxa"/>
          </w:tcPr>
          <w:p w14:paraId="0EFDF9E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069DC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83B22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4386CB" w14:textId="77777777" w:rsidTr="00ED5B0A">
        <w:tc>
          <w:tcPr>
            <w:tcW w:w="1401" w:type="dxa"/>
          </w:tcPr>
          <w:p w14:paraId="03B5A4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15.9.41</w:t>
            </w:r>
          </w:p>
        </w:tc>
        <w:tc>
          <w:tcPr>
            <w:tcW w:w="1401" w:type="dxa"/>
          </w:tcPr>
          <w:p w14:paraId="6A62EC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7017AE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Красное Село</w:t>
            </w:r>
          </w:p>
        </w:tc>
        <w:tc>
          <w:tcPr>
            <w:tcW w:w="1401" w:type="dxa"/>
          </w:tcPr>
          <w:p w14:paraId="5786F5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6F7D54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618ED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Ковалев</w:t>
            </w:r>
          </w:p>
        </w:tc>
        <w:tc>
          <w:tcPr>
            <w:tcW w:w="1401" w:type="dxa"/>
          </w:tcPr>
          <w:p w14:paraId="756344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7EBA692" w14:textId="77777777" w:rsidTr="00ED5B0A">
        <w:tc>
          <w:tcPr>
            <w:tcW w:w="1401" w:type="dxa"/>
          </w:tcPr>
          <w:p w14:paraId="45970B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15.9.41</w:t>
            </w:r>
          </w:p>
        </w:tc>
        <w:tc>
          <w:tcPr>
            <w:tcW w:w="1401" w:type="dxa"/>
          </w:tcPr>
          <w:p w14:paraId="4E97EA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50720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Сестрорецка</w:t>
            </w:r>
          </w:p>
        </w:tc>
        <w:tc>
          <w:tcPr>
            <w:tcW w:w="1401" w:type="dxa"/>
          </w:tcPr>
          <w:p w14:paraId="6D8897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2C28AE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2FCD0C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Шемятовский+ (+2)</w:t>
            </w:r>
          </w:p>
        </w:tc>
        <w:tc>
          <w:tcPr>
            <w:tcW w:w="1401" w:type="dxa"/>
          </w:tcPr>
          <w:p w14:paraId="686C25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78FEB28" w14:textId="77777777" w:rsidTr="00ED5B0A">
        <w:tc>
          <w:tcPr>
            <w:tcW w:w="1401" w:type="dxa"/>
          </w:tcPr>
          <w:p w14:paraId="4661DAC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15.9.41</w:t>
            </w:r>
          </w:p>
        </w:tc>
        <w:tc>
          <w:tcPr>
            <w:tcW w:w="1401" w:type="dxa"/>
          </w:tcPr>
          <w:p w14:paraId="3313A0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3123F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Красное Село</w:t>
            </w:r>
          </w:p>
        </w:tc>
        <w:tc>
          <w:tcPr>
            <w:tcW w:w="1401" w:type="dxa"/>
          </w:tcPr>
          <w:p w14:paraId="3E2583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ИА</w:t>
            </w:r>
          </w:p>
        </w:tc>
        <w:tc>
          <w:tcPr>
            <w:tcW w:w="1401" w:type="dxa"/>
          </w:tcPr>
          <w:p w14:paraId="402AB1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0E6AD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Борисов</w:t>
            </w:r>
          </w:p>
        </w:tc>
        <w:tc>
          <w:tcPr>
            <w:tcW w:w="1401" w:type="dxa"/>
          </w:tcPr>
          <w:p w14:paraId="6CA817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2FE76BB" w14:textId="77777777" w:rsidTr="00ED5B0A">
        <w:tc>
          <w:tcPr>
            <w:tcW w:w="1401" w:type="dxa"/>
          </w:tcPr>
          <w:p w14:paraId="373D24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16.9.41</w:t>
            </w:r>
          </w:p>
        </w:tc>
        <w:tc>
          <w:tcPr>
            <w:tcW w:w="1401" w:type="dxa"/>
          </w:tcPr>
          <w:p w14:paraId="3FA7EA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7CA19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Тихвина</w:t>
            </w:r>
          </w:p>
        </w:tc>
        <w:tc>
          <w:tcPr>
            <w:tcW w:w="1401" w:type="dxa"/>
          </w:tcPr>
          <w:p w14:paraId="0F36F4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ЗА</w:t>
            </w:r>
          </w:p>
        </w:tc>
        <w:tc>
          <w:tcPr>
            <w:tcW w:w="1401" w:type="dxa"/>
          </w:tcPr>
          <w:p w14:paraId="4A600C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61CD99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Трычков</w:t>
            </w:r>
          </w:p>
        </w:tc>
        <w:tc>
          <w:tcPr>
            <w:tcW w:w="1401" w:type="dxa"/>
          </w:tcPr>
          <w:p w14:paraId="278EF9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B2E7140" w14:textId="77777777" w:rsidTr="00ED5B0A">
        <w:tc>
          <w:tcPr>
            <w:tcW w:w="1401" w:type="dxa"/>
          </w:tcPr>
          <w:p w14:paraId="671DBE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17.9.41</w:t>
            </w:r>
          </w:p>
        </w:tc>
        <w:tc>
          <w:tcPr>
            <w:tcW w:w="1401" w:type="dxa"/>
          </w:tcPr>
          <w:p w14:paraId="7B22E5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04C3DE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Лигово</w:t>
            </w:r>
          </w:p>
        </w:tc>
        <w:tc>
          <w:tcPr>
            <w:tcW w:w="1401" w:type="dxa"/>
          </w:tcPr>
          <w:p w14:paraId="6931C2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50230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01B14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Федоров</w:t>
            </w:r>
          </w:p>
        </w:tc>
        <w:tc>
          <w:tcPr>
            <w:tcW w:w="1401" w:type="dxa"/>
          </w:tcPr>
          <w:p w14:paraId="19E542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34A5555" w14:textId="77777777" w:rsidTr="00ED5B0A">
        <w:tc>
          <w:tcPr>
            <w:tcW w:w="1401" w:type="dxa"/>
          </w:tcPr>
          <w:p w14:paraId="0FBB6A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17.9.41</w:t>
            </w:r>
          </w:p>
        </w:tc>
        <w:tc>
          <w:tcPr>
            <w:tcW w:w="1401" w:type="dxa"/>
          </w:tcPr>
          <w:p w14:paraId="23FE4B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6D9A3A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Лигово</w:t>
            </w:r>
          </w:p>
        </w:tc>
        <w:tc>
          <w:tcPr>
            <w:tcW w:w="1401" w:type="dxa"/>
          </w:tcPr>
          <w:p w14:paraId="50B125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7094A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7A8449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Семенов</w:t>
            </w:r>
          </w:p>
        </w:tc>
        <w:tc>
          <w:tcPr>
            <w:tcW w:w="1401" w:type="dxa"/>
          </w:tcPr>
          <w:p w14:paraId="3FF98A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3C21FF4" w14:textId="77777777" w:rsidTr="00ED5B0A">
        <w:tc>
          <w:tcPr>
            <w:tcW w:w="1401" w:type="dxa"/>
          </w:tcPr>
          <w:p w14:paraId="35B87E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17.9.41</w:t>
            </w:r>
          </w:p>
        </w:tc>
        <w:tc>
          <w:tcPr>
            <w:tcW w:w="1401" w:type="dxa"/>
          </w:tcPr>
          <w:p w14:paraId="01C9F4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3BB68D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Урицка</w:t>
            </w:r>
          </w:p>
        </w:tc>
        <w:tc>
          <w:tcPr>
            <w:tcW w:w="1401" w:type="dxa"/>
          </w:tcPr>
          <w:p w14:paraId="654DF3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ЗА</w:t>
            </w:r>
          </w:p>
        </w:tc>
        <w:tc>
          <w:tcPr>
            <w:tcW w:w="1401" w:type="dxa"/>
          </w:tcPr>
          <w:p w14:paraId="7A80AD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358499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Борзов</w:t>
            </w:r>
          </w:p>
        </w:tc>
        <w:tc>
          <w:tcPr>
            <w:tcW w:w="1401" w:type="dxa"/>
          </w:tcPr>
          <w:p w14:paraId="3B0902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жив(+1)</w:t>
            </w:r>
          </w:p>
        </w:tc>
      </w:tr>
      <w:tr w:rsidR="00A907A5" w:rsidRPr="00271E51" w14:paraId="00925EBC" w14:textId="77777777" w:rsidTr="00ED5B0A">
        <w:tc>
          <w:tcPr>
            <w:tcW w:w="1401" w:type="dxa"/>
          </w:tcPr>
          <w:p w14:paraId="2950B6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27.9.41</w:t>
            </w:r>
          </w:p>
        </w:tc>
        <w:tc>
          <w:tcPr>
            <w:tcW w:w="1401" w:type="dxa"/>
          </w:tcPr>
          <w:p w14:paraId="1863CA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4760B8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w:t>
            </w:r>
          </w:p>
        </w:tc>
        <w:tc>
          <w:tcPr>
            <w:tcW w:w="1401" w:type="dxa"/>
          </w:tcPr>
          <w:p w14:paraId="64A56E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w:t>
            </w:r>
          </w:p>
        </w:tc>
        <w:tc>
          <w:tcPr>
            <w:tcW w:w="1401" w:type="dxa"/>
          </w:tcPr>
          <w:p w14:paraId="397E55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E96AF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Балебин</w:t>
            </w:r>
          </w:p>
        </w:tc>
        <w:tc>
          <w:tcPr>
            <w:tcW w:w="1401" w:type="dxa"/>
          </w:tcPr>
          <w:p w14:paraId="35CC7A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жив(=3)</w:t>
            </w:r>
          </w:p>
        </w:tc>
      </w:tr>
      <w:tr w:rsidR="00A907A5" w:rsidRPr="00271E51" w14:paraId="312C32FE" w14:textId="77777777" w:rsidTr="00ED5B0A">
        <w:tc>
          <w:tcPr>
            <w:tcW w:w="1401" w:type="dxa"/>
          </w:tcPr>
          <w:p w14:paraId="0A48FB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6.10.41</w:t>
            </w:r>
          </w:p>
        </w:tc>
        <w:tc>
          <w:tcPr>
            <w:tcW w:w="1401" w:type="dxa"/>
          </w:tcPr>
          <w:p w14:paraId="2CEE1F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464BE1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Финский зал.</w:t>
            </w:r>
          </w:p>
        </w:tc>
        <w:tc>
          <w:tcPr>
            <w:tcW w:w="1401" w:type="dxa"/>
          </w:tcPr>
          <w:p w14:paraId="681649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Ю-88</w:t>
            </w:r>
          </w:p>
        </w:tc>
        <w:tc>
          <w:tcPr>
            <w:tcW w:w="1401" w:type="dxa"/>
          </w:tcPr>
          <w:p w14:paraId="3A0C72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BP</w:t>
            </w:r>
          </w:p>
        </w:tc>
        <w:tc>
          <w:tcPr>
            <w:tcW w:w="1401" w:type="dxa"/>
          </w:tcPr>
          <w:p w14:paraId="0A8157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Чевыров</w:t>
            </w:r>
          </w:p>
        </w:tc>
        <w:tc>
          <w:tcPr>
            <w:tcW w:w="1401" w:type="dxa"/>
          </w:tcPr>
          <w:p w14:paraId="1EF4D2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(+2)</w:t>
            </w:r>
          </w:p>
        </w:tc>
      </w:tr>
      <w:tr w:rsidR="00A907A5" w:rsidRPr="00271E51" w14:paraId="1B4CA133" w14:textId="77777777" w:rsidTr="00ED5B0A">
        <w:tc>
          <w:tcPr>
            <w:tcW w:w="1401" w:type="dxa"/>
          </w:tcPr>
          <w:p w14:paraId="07ACF9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17.10.41</w:t>
            </w:r>
          </w:p>
        </w:tc>
        <w:tc>
          <w:tcPr>
            <w:tcW w:w="1401" w:type="dxa"/>
          </w:tcPr>
          <w:p w14:paraId="11DBBC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35EA6E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ст. Грузино</w:t>
            </w:r>
          </w:p>
        </w:tc>
        <w:tc>
          <w:tcPr>
            <w:tcW w:w="1401" w:type="dxa"/>
          </w:tcPr>
          <w:p w14:paraId="7D8F2EF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ЗА</w:t>
            </w:r>
          </w:p>
        </w:tc>
        <w:tc>
          <w:tcPr>
            <w:tcW w:w="1401" w:type="dxa"/>
          </w:tcPr>
          <w:p w14:paraId="7909B1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03DE86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Уваров</w:t>
            </w:r>
          </w:p>
        </w:tc>
        <w:tc>
          <w:tcPr>
            <w:tcW w:w="1401" w:type="dxa"/>
          </w:tcPr>
          <w:p w14:paraId="0AE557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C83FE28" w14:textId="77777777" w:rsidTr="00ED5B0A">
        <w:tc>
          <w:tcPr>
            <w:tcW w:w="1401" w:type="dxa"/>
          </w:tcPr>
          <w:p w14:paraId="65D0DF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24.10.41</w:t>
            </w:r>
          </w:p>
        </w:tc>
        <w:tc>
          <w:tcPr>
            <w:tcW w:w="1401" w:type="dxa"/>
          </w:tcPr>
          <w:p w14:paraId="192C062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48F4EB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ст. Грузино</w:t>
            </w:r>
          </w:p>
        </w:tc>
        <w:tc>
          <w:tcPr>
            <w:tcW w:w="1401" w:type="dxa"/>
          </w:tcPr>
          <w:p w14:paraId="7702EA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ЗА</w:t>
            </w:r>
          </w:p>
        </w:tc>
        <w:tc>
          <w:tcPr>
            <w:tcW w:w="1401" w:type="dxa"/>
          </w:tcPr>
          <w:p w14:paraId="45E06F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СВ</w:t>
            </w:r>
          </w:p>
        </w:tc>
        <w:tc>
          <w:tcPr>
            <w:tcW w:w="1401" w:type="dxa"/>
          </w:tcPr>
          <w:p w14:paraId="4E1E0B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Гречишников</w:t>
            </w:r>
          </w:p>
        </w:tc>
        <w:tc>
          <w:tcPr>
            <w:tcW w:w="1401" w:type="dxa"/>
          </w:tcPr>
          <w:p w14:paraId="71A61B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67A2253" w14:textId="77777777" w:rsidTr="00ED5B0A">
        <w:tc>
          <w:tcPr>
            <w:tcW w:w="1401" w:type="dxa"/>
          </w:tcPr>
          <w:p w14:paraId="3EB9F0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1.12.41</w:t>
            </w:r>
          </w:p>
        </w:tc>
        <w:tc>
          <w:tcPr>
            <w:tcW w:w="1401" w:type="dxa"/>
          </w:tcPr>
          <w:p w14:paraId="7E5842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1B080A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Новинки</w:t>
            </w:r>
          </w:p>
        </w:tc>
        <w:tc>
          <w:tcPr>
            <w:tcW w:w="1401" w:type="dxa"/>
          </w:tcPr>
          <w:p w14:paraId="1E9890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5DE2B2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ж/д станция</w:t>
            </w:r>
          </w:p>
        </w:tc>
        <w:tc>
          <w:tcPr>
            <w:tcW w:w="1401" w:type="dxa"/>
          </w:tcPr>
          <w:p w14:paraId="5CF159B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м-р Ефремов</w:t>
            </w:r>
          </w:p>
        </w:tc>
        <w:tc>
          <w:tcPr>
            <w:tcW w:w="1401" w:type="dxa"/>
          </w:tcPr>
          <w:p w14:paraId="320C21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5C329513" w14:textId="77777777" w:rsidTr="00ED5B0A">
        <w:tc>
          <w:tcPr>
            <w:tcW w:w="1401" w:type="dxa"/>
          </w:tcPr>
          <w:p w14:paraId="668383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E6BB0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45235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0EE18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94128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Псков</w:t>
            </w:r>
          </w:p>
        </w:tc>
        <w:tc>
          <w:tcPr>
            <w:tcW w:w="1401" w:type="dxa"/>
          </w:tcPr>
          <w:p w14:paraId="23BBB6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345EA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62FB89" w14:textId="77777777" w:rsidTr="00ED5B0A">
        <w:tc>
          <w:tcPr>
            <w:tcW w:w="1401" w:type="dxa"/>
          </w:tcPr>
          <w:p w14:paraId="1B8DEB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1.12.41</w:t>
            </w:r>
          </w:p>
        </w:tc>
        <w:tc>
          <w:tcPr>
            <w:tcW w:w="1401" w:type="dxa"/>
          </w:tcPr>
          <w:p w14:paraId="2E93089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9BC9C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Пскова</w:t>
            </w:r>
          </w:p>
        </w:tc>
        <w:tc>
          <w:tcPr>
            <w:tcW w:w="1401" w:type="dxa"/>
          </w:tcPr>
          <w:p w14:paraId="33C46E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11DB26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ж/д станция</w:t>
            </w:r>
          </w:p>
        </w:tc>
        <w:tc>
          <w:tcPr>
            <w:tcW w:w="1401" w:type="dxa"/>
          </w:tcPr>
          <w:p w14:paraId="1F53A0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Шеликасов</w:t>
            </w:r>
          </w:p>
        </w:tc>
        <w:tc>
          <w:tcPr>
            <w:tcW w:w="1401" w:type="dxa"/>
          </w:tcPr>
          <w:p w14:paraId="6633C6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3B59973" w14:textId="77777777" w:rsidTr="00ED5B0A">
        <w:tc>
          <w:tcPr>
            <w:tcW w:w="1401" w:type="dxa"/>
          </w:tcPr>
          <w:p w14:paraId="4F58B2A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8C987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667ED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C1294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FDB63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Псков</w:t>
            </w:r>
          </w:p>
        </w:tc>
        <w:tc>
          <w:tcPr>
            <w:tcW w:w="1401" w:type="dxa"/>
          </w:tcPr>
          <w:p w14:paraId="2E8FE4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136F08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87F18E" w14:textId="77777777" w:rsidTr="00ED5B0A">
        <w:tc>
          <w:tcPr>
            <w:tcW w:w="1401" w:type="dxa"/>
          </w:tcPr>
          <w:p w14:paraId="38CC8B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20.1.42</w:t>
            </w:r>
          </w:p>
        </w:tc>
        <w:tc>
          <w:tcPr>
            <w:tcW w:w="1401" w:type="dxa"/>
          </w:tcPr>
          <w:p w14:paraId="1A1716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02C654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Углово</w:t>
            </w:r>
          </w:p>
        </w:tc>
        <w:tc>
          <w:tcPr>
            <w:tcW w:w="1401" w:type="dxa"/>
          </w:tcPr>
          <w:p w14:paraId="0D949C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1955B8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88C17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п/п-к Тужилкин</w:t>
            </w:r>
          </w:p>
        </w:tc>
        <w:tc>
          <w:tcPr>
            <w:tcW w:w="1401" w:type="dxa"/>
          </w:tcPr>
          <w:p w14:paraId="017E8A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17D5824E" w14:textId="77777777" w:rsidTr="00ED5B0A">
        <w:tc>
          <w:tcPr>
            <w:tcW w:w="1401" w:type="dxa"/>
          </w:tcPr>
          <w:p w14:paraId="704AD5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23.1.42</w:t>
            </w:r>
          </w:p>
        </w:tc>
        <w:tc>
          <w:tcPr>
            <w:tcW w:w="1401" w:type="dxa"/>
          </w:tcPr>
          <w:p w14:paraId="01EEE5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ДБ-ЗФ</w:t>
            </w:r>
          </w:p>
        </w:tc>
        <w:tc>
          <w:tcPr>
            <w:tcW w:w="1401" w:type="dxa"/>
          </w:tcPr>
          <w:p w14:paraId="44E270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Углово</w:t>
            </w:r>
          </w:p>
        </w:tc>
        <w:tc>
          <w:tcPr>
            <w:tcW w:w="1401" w:type="dxa"/>
          </w:tcPr>
          <w:p w14:paraId="3DFF52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w:t>
            </w:r>
          </w:p>
        </w:tc>
        <w:tc>
          <w:tcPr>
            <w:tcW w:w="1401" w:type="dxa"/>
          </w:tcPr>
          <w:p w14:paraId="070CC7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порту</w:t>
            </w:r>
          </w:p>
        </w:tc>
        <w:tc>
          <w:tcPr>
            <w:tcW w:w="1401" w:type="dxa"/>
          </w:tcPr>
          <w:p w14:paraId="105317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Калинкин</w:t>
            </w:r>
          </w:p>
        </w:tc>
        <w:tc>
          <w:tcPr>
            <w:tcW w:w="1401" w:type="dxa"/>
          </w:tcPr>
          <w:p w14:paraId="5EC3C7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048D2CD6" w14:textId="77777777" w:rsidTr="00ED5B0A">
        <w:tc>
          <w:tcPr>
            <w:tcW w:w="1401" w:type="dxa"/>
          </w:tcPr>
          <w:p w14:paraId="74F4BA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BB533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195EC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FA78F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A3861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Хельсинки?</w:t>
            </w:r>
          </w:p>
        </w:tc>
        <w:tc>
          <w:tcPr>
            <w:tcW w:w="1401" w:type="dxa"/>
          </w:tcPr>
          <w:p w14:paraId="500D33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57495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7C1F0B6" w14:textId="77777777" w:rsidTr="00ED5B0A">
        <w:tc>
          <w:tcPr>
            <w:tcW w:w="1401" w:type="dxa"/>
          </w:tcPr>
          <w:p w14:paraId="36FDB6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16.2.42</w:t>
            </w:r>
          </w:p>
        </w:tc>
        <w:tc>
          <w:tcPr>
            <w:tcW w:w="1401" w:type="dxa"/>
          </w:tcPr>
          <w:p w14:paraId="3E5505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EB747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Новинки</w:t>
            </w:r>
          </w:p>
        </w:tc>
        <w:tc>
          <w:tcPr>
            <w:tcW w:w="1401" w:type="dxa"/>
          </w:tcPr>
          <w:p w14:paraId="383595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w:t>
            </w:r>
          </w:p>
        </w:tc>
        <w:tc>
          <w:tcPr>
            <w:tcW w:w="1401" w:type="dxa"/>
          </w:tcPr>
          <w:p w14:paraId="7AA5F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ст. Вырица?</w:t>
            </w:r>
          </w:p>
        </w:tc>
        <w:tc>
          <w:tcPr>
            <w:tcW w:w="1401" w:type="dxa"/>
          </w:tcPr>
          <w:p w14:paraId="4BEA1C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Зелинский</w:t>
            </w:r>
          </w:p>
        </w:tc>
        <w:tc>
          <w:tcPr>
            <w:tcW w:w="1401" w:type="dxa"/>
          </w:tcPr>
          <w:p w14:paraId="6F4291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5B0559F8" w14:textId="77777777" w:rsidTr="00ED5B0A">
        <w:tc>
          <w:tcPr>
            <w:tcW w:w="1401" w:type="dxa"/>
          </w:tcPr>
          <w:p w14:paraId="163C61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8.3.42</w:t>
            </w:r>
          </w:p>
        </w:tc>
        <w:tc>
          <w:tcPr>
            <w:tcW w:w="1401" w:type="dxa"/>
          </w:tcPr>
          <w:p w14:paraId="25639E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79B884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Левашово</w:t>
            </w:r>
          </w:p>
        </w:tc>
        <w:tc>
          <w:tcPr>
            <w:tcW w:w="1401" w:type="dxa"/>
          </w:tcPr>
          <w:p w14:paraId="36B8A1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столкновение в воздухе</w:t>
            </w:r>
          </w:p>
        </w:tc>
        <w:tc>
          <w:tcPr>
            <w:tcW w:w="1401" w:type="dxa"/>
          </w:tcPr>
          <w:p w14:paraId="641CF8D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46837D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м-р Плоткин</w:t>
            </w:r>
          </w:p>
        </w:tc>
        <w:tc>
          <w:tcPr>
            <w:tcW w:w="1401" w:type="dxa"/>
          </w:tcPr>
          <w:p w14:paraId="3D720A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C6164D4" w14:textId="77777777" w:rsidTr="00ED5B0A">
        <w:tc>
          <w:tcPr>
            <w:tcW w:w="1401" w:type="dxa"/>
          </w:tcPr>
          <w:p w14:paraId="77596F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8.3.42</w:t>
            </w:r>
          </w:p>
        </w:tc>
        <w:tc>
          <w:tcPr>
            <w:tcW w:w="1401" w:type="dxa"/>
          </w:tcPr>
          <w:p w14:paraId="3D13F3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4178EA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Левашово</w:t>
            </w:r>
          </w:p>
        </w:tc>
        <w:tc>
          <w:tcPr>
            <w:tcW w:w="1401" w:type="dxa"/>
          </w:tcPr>
          <w:p w14:paraId="56D76C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столкновение в воздухе</w:t>
            </w:r>
          </w:p>
        </w:tc>
        <w:tc>
          <w:tcPr>
            <w:tcW w:w="1401" w:type="dxa"/>
          </w:tcPr>
          <w:p w14:paraId="217749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7843D6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Бабушкин</w:t>
            </w:r>
          </w:p>
        </w:tc>
        <w:tc>
          <w:tcPr>
            <w:tcW w:w="1401" w:type="dxa"/>
          </w:tcPr>
          <w:p w14:paraId="5D8CC4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(+1, = 1)</w:t>
            </w:r>
          </w:p>
        </w:tc>
      </w:tr>
      <w:tr w:rsidR="00A907A5" w:rsidRPr="00271E51" w14:paraId="6E1071F7" w14:textId="77777777" w:rsidTr="00ED5B0A">
        <w:tc>
          <w:tcPr>
            <w:tcW w:w="1401" w:type="dxa"/>
          </w:tcPr>
          <w:p w14:paraId="3F6606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13.5.42</w:t>
            </w:r>
          </w:p>
        </w:tc>
        <w:tc>
          <w:tcPr>
            <w:tcW w:w="1401" w:type="dxa"/>
          </w:tcPr>
          <w:p w14:paraId="480B0BE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6AD3CB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5A290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737835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аэр.</w:t>
            </w:r>
          </w:p>
        </w:tc>
        <w:tc>
          <w:tcPr>
            <w:tcW w:w="1401" w:type="dxa"/>
          </w:tcPr>
          <w:p w14:paraId="65AADD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Зорин</w:t>
            </w:r>
          </w:p>
        </w:tc>
        <w:tc>
          <w:tcPr>
            <w:tcW w:w="1401" w:type="dxa"/>
          </w:tcPr>
          <w:p w14:paraId="66F207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07E22E8F" w14:textId="77777777" w:rsidTr="00ED5B0A">
        <w:tc>
          <w:tcPr>
            <w:tcW w:w="1401" w:type="dxa"/>
          </w:tcPr>
          <w:p w14:paraId="07F0F7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13.5.42</w:t>
            </w:r>
          </w:p>
        </w:tc>
        <w:tc>
          <w:tcPr>
            <w:tcW w:w="1401" w:type="dxa"/>
          </w:tcPr>
          <w:p w14:paraId="4240DF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4DC40D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Крестцы</w:t>
            </w:r>
          </w:p>
        </w:tc>
        <w:tc>
          <w:tcPr>
            <w:tcW w:w="1401" w:type="dxa"/>
          </w:tcPr>
          <w:p w14:paraId="753C4C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своей ЗА</w:t>
            </w:r>
          </w:p>
        </w:tc>
        <w:tc>
          <w:tcPr>
            <w:tcW w:w="1401" w:type="dxa"/>
          </w:tcPr>
          <w:p w14:paraId="253C85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по аэр.</w:t>
            </w:r>
          </w:p>
        </w:tc>
        <w:tc>
          <w:tcPr>
            <w:tcW w:w="1401" w:type="dxa"/>
          </w:tcPr>
          <w:p w14:paraId="1DD490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м-р Гончаренко</w:t>
            </w:r>
          </w:p>
        </w:tc>
        <w:tc>
          <w:tcPr>
            <w:tcW w:w="1401" w:type="dxa"/>
          </w:tcPr>
          <w:p w14:paraId="7EAB2C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2566AA4" w14:textId="77777777" w:rsidTr="00ED5B0A">
        <w:tc>
          <w:tcPr>
            <w:tcW w:w="1401" w:type="dxa"/>
          </w:tcPr>
          <w:p w14:paraId="0B20CA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18.5.42</w:t>
            </w:r>
          </w:p>
        </w:tc>
        <w:tc>
          <w:tcPr>
            <w:tcW w:w="1401" w:type="dxa"/>
          </w:tcPr>
          <w:p w14:paraId="03F599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000689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Углово</w:t>
            </w:r>
          </w:p>
        </w:tc>
        <w:tc>
          <w:tcPr>
            <w:tcW w:w="1401" w:type="dxa"/>
          </w:tcPr>
          <w:p w14:paraId="15E5D4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ошибка л/с при посадке</w:t>
            </w:r>
          </w:p>
        </w:tc>
        <w:tc>
          <w:tcPr>
            <w:tcW w:w="1401" w:type="dxa"/>
          </w:tcPr>
          <w:p w14:paraId="2D1B4A0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AF2F9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Калинкин</w:t>
            </w:r>
          </w:p>
        </w:tc>
        <w:tc>
          <w:tcPr>
            <w:tcW w:w="1401" w:type="dxa"/>
          </w:tcPr>
          <w:p w14:paraId="264FE6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 2 аварии</w:t>
            </w:r>
          </w:p>
        </w:tc>
      </w:tr>
      <w:tr w:rsidR="00A907A5" w:rsidRPr="00271E51" w14:paraId="21D2C1D6" w14:textId="77777777" w:rsidTr="00ED5B0A">
        <w:tc>
          <w:tcPr>
            <w:tcW w:w="1401" w:type="dxa"/>
          </w:tcPr>
          <w:p w14:paraId="2845EE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DD94F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4C126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0E76E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(возможно, отремонтирован)</w:t>
            </w:r>
          </w:p>
        </w:tc>
        <w:tc>
          <w:tcPr>
            <w:tcW w:w="1401" w:type="dxa"/>
          </w:tcPr>
          <w:p w14:paraId="7975E24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A75C9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3BD57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передан суду ВТ</w:t>
            </w:r>
          </w:p>
        </w:tc>
      </w:tr>
      <w:tr w:rsidR="00A907A5" w:rsidRPr="00271E51" w14:paraId="39B63A71" w14:textId="77777777" w:rsidTr="00ED5B0A">
        <w:tc>
          <w:tcPr>
            <w:tcW w:w="1401" w:type="dxa"/>
          </w:tcPr>
          <w:p w14:paraId="2D62FD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30.5.42</w:t>
            </w:r>
          </w:p>
        </w:tc>
        <w:tc>
          <w:tcPr>
            <w:tcW w:w="1401" w:type="dxa"/>
          </w:tcPr>
          <w:p w14:paraId="49A960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01EEE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г. Бокситогорска</w:t>
            </w:r>
          </w:p>
        </w:tc>
        <w:tc>
          <w:tcPr>
            <w:tcW w:w="1401" w:type="dxa"/>
          </w:tcPr>
          <w:p w14:paraId="451A10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моторов, при посадке разбит</w:t>
            </w:r>
          </w:p>
        </w:tc>
        <w:tc>
          <w:tcPr>
            <w:tcW w:w="1401" w:type="dxa"/>
          </w:tcPr>
          <w:p w14:paraId="14076F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перелет из Богослово</w:t>
            </w:r>
          </w:p>
        </w:tc>
        <w:tc>
          <w:tcPr>
            <w:tcW w:w="1401" w:type="dxa"/>
          </w:tcPr>
          <w:p w14:paraId="7C4C41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Колесник</w:t>
            </w:r>
          </w:p>
        </w:tc>
        <w:tc>
          <w:tcPr>
            <w:tcW w:w="1401" w:type="dxa"/>
          </w:tcPr>
          <w:p w14:paraId="147DD0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2147DB06" w14:textId="77777777" w:rsidTr="00ED5B0A">
        <w:tc>
          <w:tcPr>
            <w:tcW w:w="1401" w:type="dxa"/>
          </w:tcPr>
          <w:p w14:paraId="1EECC1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BCD7A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4D158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E460D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0893B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Углово</w:t>
            </w:r>
          </w:p>
        </w:tc>
        <w:tc>
          <w:tcPr>
            <w:tcW w:w="1401" w:type="dxa"/>
          </w:tcPr>
          <w:p w14:paraId="4BBBF6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4F0B4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C4881F8" w14:textId="77777777" w:rsidTr="00ED5B0A">
        <w:tc>
          <w:tcPr>
            <w:tcW w:w="1401" w:type="dxa"/>
          </w:tcPr>
          <w:p w14:paraId="5CAA4B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2.6.42</w:t>
            </w:r>
          </w:p>
        </w:tc>
        <w:tc>
          <w:tcPr>
            <w:tcW w:w="1401" w:type="dxa"/>
          </w:tcPr>
          <w:p w14:paraId="0C3069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385753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Углово</w:t>
            </w:r>
          </w:p>
        </w:tc>
        <w:tc>
          <w:tcPr>
            <w:tcW w:w="1401" w:type="dxa"/>
          </w:tcPr>
          <w:p w14:paraId="0922D6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моторов, при посадке разбит</w:t>
            </w:r>
          </w:p>
        </w:tc>
        <w:tc>
          <w:tcPr>
            <w:tcW w:w="1401" w:type="dxa"/>
          </w:tcPr>
          <w:p w14:paraId="188756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1B1411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Зелков</w:t>
            </w:r>
          </w:p>
        </w:tc>
        <w:tc>
          <w:tcPr>
            <w:tcW w:w="1401" w:type="dxa"/>
          </w:tcPr>
          <w:p w14:paraId="6BEF09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3078CBE8" w14:textId="77777777" w:rsidTr="00ED5B0A">
        <w:tc>
          <w:tcPr>
            <w:tcW w:w="1401" w:type="dxa"/>
          </w:tcPr>
          <w:p w14:paraId="14AEE0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5.6.42</w:t>
            </w:r>
          </w:p>
        </w:tc>
        <w:tc>
          <w:tcPr>
            <w:tcW w:w="1401" w:type="dxa"/>
          </w:tcPr>
          <w:p w14:paraId="13F802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ДБ-3?</w:t>
            </w:r>
          </w:p>
        </w:tc>
        <w:tc>
          <w:tcPr>
            <w:tcW w:w="1401" w:type="dxa"/>
          </w:tcPr>
          <w:p w14:paraId="2C849B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w:t>
            </w:r>
          </w:p>
        </w:tc>
        <w:tc>
          <w:tcPr>
            <w:tcW w:w="1401" w:type="dxa"/>
          </w:tcPr>
          <w:p w14:paraId="764F58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пожар аккумуляторов на стоянке</w:t>
            </w:r>
          </w:p>
        </w:tc>
        <w:tc>
          <w:tcPr>
            <w:tcW w:w="1401" w:type="dxa"/>
          </w:tcPr>
          <w:p w14:paraId="5CFA1A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1E3B6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Разгонин</w:t>
            </w:r>
          </w:p>
        </w:tc>
        <w:tc>
          <w:tcPr>
            <w:tcW w:w="1401" w:type="dxa"/>
          </w:tcPr>
          <w:p w14:paraId="17D70F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37B675A3" w14:textId="77777777" w:rsidTr="00ED5B0A">
        <w:tc>
          <w:tcPr>
            <w:tcW w:w="1401" w:type="dxa"/>
          </w:tcPr>
          <w:p w14:paraId="253349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BA861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(передан</w:t>
            </w:r>
          </w:p>
        </w:tc>
        <w:tc>
          <w:tcPr>
            <w:tcW w:w="1401" w:type="dxa"/>
          </w:tcPr>
          <w:p w14:paraId="459FA9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92B11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24436F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A1B06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9DB28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915AE70" w14:textId="77777777" w:rsidTr="00ED5B0A">
        <w:tc>
          <w:tcPr>
            <w:tcW w:w="1401" w:type="dxa"/>
          </w:tcPr>
          <w:p w14:paraId="6DCBB0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A45BB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26-й раз)</w:t>
            </w:r>
          </w:p>
        </w:tc>
        <w:tc>
          <w:tcPr>
            <w:tcW w:w="1401" w:type="dxa"/>
          </w:tcPr>
          <w:p w14:paraId="2027E8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60114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2769C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B6987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A8270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6AF472" w14:textId="77777777" w:rsidTr="00ED5B0A">
        <w:tc>
          <w:tcPr>
            <w:tcW w:w="1401" w:type="dxa"/>
          </w:tcPr>
          <w:p w14:paraId="6FD1B4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16.6.42</w:t>
            </w:r>
          </w:p>
        </w:tc>
        <w:tc>
          <w:tcPr>
            <w:tcW w:w="1401" w:type="dxa"/>
          </w:tcPr>
          <w:p w14:paraId="5B05E2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0BDF44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Устюжна</w:t>
            </w:r>
          </w:p>
        </w:tc>
        <w:tc>
          <w:tcPr>
            <w:tcW w:w="1401" w:type="dxa"/>
          </w:tcPr>
          <w:p w14:paraId="0F551C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моторов, при взлете разбит</w:t>
            </w:r>
          </w:p>
        </w:tc>
        <w:tc>
          <w:tcPr>
            <w:tcW w:w="1401" w:type="dxa"/>
          </w:tcPr>
          <w:p w14:paraId="4F3627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перелет с аэр. на аэр.</w:t>
            </w:r>
          </w:p>
        </w:tc>
        <w:tc>
          <w:tcPr>
            <w:tcW w:w="1401" w:type="dxa"/>
          </w:tcPr>
          <w:p w14:paraId="6B8F28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Пушкин</w:t>
            </w:r>
          </w:p>
        </w:tc>
        <w:tc>
          <w:tcPr>
            <w:tcW w:w="1401" w:type="dxa"/>
          </w:tcPr>
          <w:p w14:paraId="6E05AA8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24CD6BD0" w14:textId="77777777" w:rsidTr="00ED5B0A">
        <w:tc>
          <w:tcPr>
            <w:tcW w:w="1401" w:type="dxa"/>
          </w:tcPr>
          <w:p w14:paraId="2430B4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14.7.42</w:t>
            </w:r>
          </w:p>
        </w:tc>
        <w:tc>
          <w:tcPr>
            <w:tcW w:w="1401" w:type="dxa"/>
          </w:tcPr>
          <w:p w14:paraId="7B8FFC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5DDAA3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w:t>
            </w:r>
          </w:p>
        </w:tc>
        <w:tc>
          <w:tcPr>
            <w:tcW w:w="1401" w:type="dxa"/>
          </w:tcPr>
          <w:p w14:paraId="27B19E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из-за ошибки л/с</w:t>
            </w:r>
          </w:p>
        </w:tc>
        <w:tc>
          <w:tcPr>
            <w:tcW w:w="1401" w:type="dxa"/>
          </w:tcPr>
          <w:p w14:paraId="6415C4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УТП</w:t>
            </w:r>
          </w:p>
        </w:tc>
        <w:tc>
          <w:tcPr>
            <w:tcW w:w="1401" w:type="dxa"/>
          </w:tcPr>
          <w:p w14:paraId="3214FE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Кузнецов</w:t>
            </w:r>
          </w:p>
        </w:tc>
        <w:tc>
          <w:tcPr>
            <w:tcW w:w="1401" w:type="dxa"/>
          </w:tcPr>
          <w:p w14:paraId="6A6E4E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(+1,=2)</w:t>
            </w:r>
          </w:p>
        </w:tc>
      </w:tr>
      <w:tr w:rsidR="00A907A5" w:rsidRPr="00271E51" w14:paraId="224EE66B" w14:textId="77777777" w:rsidTr="00ED5B0A">
        <w:tc>
          <w:tcPr>
            <w:tcW w:w="1401" w:type="dxa"/>
          </w:tcPr>
          <w:p w14:paraId="77ADD5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28.7.42</w:t>
            </w:r>
          </w:p>
        </w:tc>
        <w:tc>
          <w:tcPr>
            <w:tcW w:w="1401" w:type="dxa"/>
          </w:tcPr>
          <w:p w14:paraId="62D2CF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4C7321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w:t>
            </w:r>
          </w:p>
        </w:tc>
        <w:tc>
          <w:tcPr>
            <w:tcW w:w="1401" w:type="dxa"/>
          </w:tcPr>
          <w:p w14:paraId="77CECF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 столкнулся с</w:t>
            </w:r>
          </w:p>
        </w:tc>
        <w:tc>
          <w:tcPr>
            <w:tcW w:w="1401" w:type="dxa"/>
          </w:tcPr>
          <w:p w14:paraId="540B2B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B7EC8D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Власов</w:t>
            </w:r>
          </w:p>
        </w:tc>
        <w:tc>
          <w:tcPr>
            <w:tcW w:w="1401" w:type="dxa"/>
          </w:tcPr>
          <w:p w14:paraId="59EADDE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7CD8EF8E" w14:textId="77777777" w:rsidTr="00ED5B0A">
        <w:tc>
          <w:tcPr>
            <w:tcW w:w="1401" w:type="dxa"/>
          </w:tcPr>
          <w:p w14:paraId="47EA5D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4FEC9C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D90A0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06B39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рейфугой; возможно, отремонтирован</w:t>
            </w:r>
          </w:p>
        </w:tc>
        <w:tc>
          <w:tcPr>
            <w:tcW w:w="1401" w:type="dxa"/>
          </w:tcPr>
          <w:p w14:paraId="5C964B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CD139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188816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CEE3B84" w14:textId="77777777" w:rsidTr="00ED5B0A">
        <w:tc>
          <w:tcPr>
            <w:tcW w:w="1401" w:type="dxa"/>
          </w:tcPr>
          <w:p w14:paraId="296B22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3.8.42</w:t>
            </w:r>
          </w:p>
        </w:tc>
        <w:tc>
          <w:tcPr>
            <w:tcW w:w="1401" w:type="dxa"/>
          </w:tcPr>
          <w:p w14:paraId="0E065C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2517D6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1E9AF5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9BE0E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Хельсинки</w:t>
            </w:r>
          </w:p>
        </w:tc>
        <w:tc>
          <w:tcPr>
            <w:tcW w:w="1401" w:type="dxa"/>
          </w:tcPr>
          <w:p w14:paraId="4B3B73F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Ребриков</w:t>
            </w:r>
          </w:p>
        </w:tc>
        <w:tc>
          <w:tcPr>
            <w:tcW w:w="1401" w:type="dxa"/>
          </w:tcPr>
          <w:p w14:paraId="42DB94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13F7D87A" w14:textId="77777777" w:rsidTr="00ED5B0A">
        <w:tc>
          <w:tcPr>
            <w:tcW w:w="1401" w:type="dxa"/>
          </w:tcPr>
          <w:p w14:paraId="5A6E1F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20.8.42</w:t>
            </w:r>
          </w:p>
        </w:tc>
        <w:tc>
          <w:tcPr>
            <w:tcW w:w="1401" w:type="dxa"/>
          </w:tcPr>
          <w:p w14:paraId="4DC8D36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ДБ-ЗБ</w:t>
            </w:r>
          </w:p>
        </w:tc>
        <w:tc>
          <w:tcPr>
            <w:tcW w:w="1401" w:type="dxa"/>
          </w:tcPr>
          <w:p w14:paraId="2C63BF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w:t>
            </w:r>
          </w:p>
        </w:tc>
        <w:tc>
          <w:tcPr>
            <w:tcW w:w="1401" w:type="dxa"/>
          </w:tcPr>
          <w:p w14:paraId="09AE20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 столкнулся</w:t>
            </w:r>
          </w:p>
        </w:tc>
        <w:tc>
          <w:tcPr>
            <w:tcW w:w="1401" w:type="dxa"/>
          </w:tcPr>
          <w:p w14:paraId="781ACA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6DB1D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Бунимович</w:t>
            </w:r>
          </w:p>
        </w:tc>
        <w:tc>
          <w:tcPr>
            <w:tcW w:w="1401" w:type="dxa"/>
          </w:tcPr>
          <w:p w14:paraId="0EF97B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жив(=1)</w:t>
            </w:r>
          </w:p>
        </w:tc>
      </w:tr>
      <w:tr w:rsidR="00A907A5" w:rsidRPr="00271E51" w14:paraId="37EF939B" w14:textId="77777777" w:rsidTr="00ED5B0A">
        <w:tc>
          <w:tcPr>
            <w:tcW w:w="1401" w:type="dxa"/>
          </w:tcPr>
          <w:p w14:paraId="263873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EADEB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13298B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D18FD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рейфугой</w:t>
            </w:r>
          </w:p>
        </w:tc>
        <w:tc>
          <w:tcPr>
            <w:tcW w:w="1401" w:type="dxa"/>
          </w:tcPr>
          <w:p w14:paraId="62BCE0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2EB67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BEB96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C9251E" w14:textId="77777777" w:rsidTr="00ED5B0A">
        <w:tc>
          <w:tcPr>
            <w:tcW w:w="1401" w:type="dxa"/>
          </w:tcPr>
          <w:p w14:paraId="7CFE6B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2.9.42</w:t>
            </w:r>
          </w:p>
        </w:tc>
        <w:tc>
          <w:tcPr>
            <w:tcW w:w="1401" w:type="dxa"/>
          </w:tcPr>
          <w:p w14:paraId="477FAC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081253F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Красногвардейск</w:t>
            </w:r>
          </w:p>
        </w:tc>
        <w:tc>
          <w:tcPr>
            <w:tcW w:w="1401" w:type="dxa"/>
          </w:tcPr>
          <w:p w14:paraId="422C9A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441EC4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ж/д ст.</w:t>
            </w:r>
          </w:p>
        </w:tc>
        <w:tc>
          <w:tcPr>
            <w:tcW w:w="1401" w:type="dxa"/>
          </w:tcPr>
          <w:p w14:paraId="6B6D21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Овсянников</w:t>
            </w:r>
          </w:p>
        </w:tc>
        <w:tc>
          <w:tcPr>
            <w:tcW w:w="1401" w:type="dxa"/>
          </w:tcPr>
          <w:p w14:paraId="54A666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EEF8FEB" w14:textId="77777777" w:rsidTr="00ED5B0A">
        <w:tc>
          <w:tcPr>
            <w:tcW w:w="1401" w:type="dxa"/>
          </w:tcPr>
          <w:p w14:paraId="55A1AE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6ABF8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E6A81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6EA7A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C61FB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Красногвардейск</w:t>
            </w:r>
          </w:p>
        </w:tc>
        <w:tc>
          <w:tcPr>
            <w:tcW w:w="1401" w:type="dxa"/>
          </w:tcPr>
          <w:p w14:paraId="55F5FF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96ABD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E5C98CD" w14:textId="77777777" w:rsidTr="00ED5B0A">
        <w:tc>
          <w:tcPr>
            <w:tcW w:w="1401" w:type="dxa"/>
          </w:tcPr>
          <w:p w14:paraId="777123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4A6167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Луга</w:t>
            </w:r>
          </w:p>
        </w:tc>
        <w:tc>
          <w:tcPr>
            <w:tcW w:w="1401" w:type="dxa"/>
          </w:tcPr>
          <w:p w14:paraId="15D8D7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3AE17E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ст. Луга</w:t>
            </w:r>
          </w:p>
        </w:tc>
        <w:tc>
          <w:tcPr>
            <w:tcW w:w="1401" w:type="dxa"/>
          </w:tcPr>
          <w:p w14:paraId="77B97D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Зотов</w:t>
            </w:r>
          </w:p>
        </w:tc>
        <w:tc>
          <w:tcPr>
            <w:tcW w:w="1401" w:type="dxa"/>
          </w:tcPr>
          <w:p w14:paraId="2215DD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BEC2B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0FC3F3D" w14:textId="77777777" w:rsidTr="00ED5B0A">
        <w:tc>
          <w:tcPr>
            <w:tcW w:w="1401" w:type="dxa"/>
          </w:tcPr>
          <w:p w14:paraId="715EDB8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7.9.42</w:t>
            </w:r>
          </w:p>
        </w:tc>
        <w:tc>
          <w:tcPr>
            <w:tcW w:w="1401" w:type="dxa"/>
          </w:tcPr>
          <w:p w14:paraId="5F1953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699478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Луга</w:t>
            </w:r>
          </w:p>
        </w:tc>
        <w:tc>
          <w:tcPr>
            <w:tcW w:w="1401" w:type="dxa"/>
          </w:tcPr>
          <w:p w14:paraId="7FDF07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2A31E2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ст. Луга</w:t>
            </w:r>
          </w:p>
        </w:tc>
        <w:tc>
          <w:tcPr>
            <w:tcW w:w="1401" w:type="dxa"/>
          </w:tcPr>
          <w:p w14:paraId="56DD45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Кузнецов</w:t>
            </w:r>
          </w:p>
        </w:tc>
        <w:tc>
          <w:tcPr>
            <w:tcW w:w="1401" w:type="dxa"/>
          </w:tcPr>
          <w:p w14:paraId="01B467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6C409842" w14:textId="77777777" w:rsidTr="00ED5B0A">
        <w:tc>
          <w:tcPr>
            <w:tcW w:w="1401" w:type="dxa"/>
          </w:tcPr>
          <w:p w14:paraId="6812B3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15.9.42</w:t>
            </w:r>
          </w:p>
        </w:tc>
        <w:tc>
          <w:tcPr>
            <w:tcW w:w="1401" w:type="dxa"/>
          </w:tcPr>
          <w:p w14:paraId="307DD4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664161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Таллин</w:t>
            </w:r>
          </w:p>
        </w:tc>
        <w:tc>
          <w:tcPr>
            <w:tcW w:w="1401" w:type="dxa"/>
          </w:tcPr>
          <w:p w14:paraId="7535B5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287342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БУ ВМБ Таллин</w:t>
            </w:r>
          </w:p>
        </w:tc>
        <w:tc>
          <w:tcPr>
            <w:tcW w:w="1401" w:type="dxa"/>
          </w:tcPr>
          <w:p w14:paraId="68D7988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Пушкин</w:t>
            </w:r>
          </w:p>
        </w:tc>
        <w:tc>
          <w:tcPr>
            <w:tcW w:w="1401" w:type="dxa"/>
          </w:tcPr>
          <w:p w14:paraId="32045B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r>
      <w:tr w:rsidR="00A907A5" w:rsidRPr="00271E51" w14:paraId="42A52860" w14:textId="77777777" w:rsidTr="00ED5B0A">
        <w:tc>
          <w:tcPr>
            <w:tcW w:w="1401" w:type="dxa"/>
          </w:tcPr>
          <w:p w14:paraId="051E0F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22.9.42</w:t>
            </w:r>
          </w:p>
        </w:tc>
        <w:tc>
          <w:tcPr>
            <w:tcW w:w="1401" w:type="dxa"/>
          </w:tcPr>
          <w:p w14:paraId="6D34D9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1F76402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Белые Кресты</w:t>
            </w:r>
          </w:p>
        </w:tc>
        <w:tc>
          <w:tcPr>
            <w:tcW w:w="1401" w:type="dxa"/>
          </w:tcPr>
          <w:p w14:paraId="1686E5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посадке</w:t>
            </w:r>
          </w:p>
        </w:tc>
        <w:tc>
          <w:tcPr>
            <w:tcW w:w="1401" w:type="dxa"/>
          </w:tcPr>
          <w:p w14:paraId="501258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AD6EAB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Стешин</w:t>
            </w:r>
          </w:p>
        </w:tc>
        <w:tc>
          <w:tcPr>
            <w:tcW w:w="1401" w:type="dxa"/>
          </w:tcPr>
          <w:p w14:paraId="51F86E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w:t>
            </w:r>
          </w:p>
        </w:tc>
      </w:tr>
      <w:tr w:rsidR="00A907A5" w:rsidRPr="00271E51" w14:paraId="5EA67900" w14:textId="77777777" w:rsidTr="00ED5B0A">
        <w:tc>
          <w:tcPr>
            <w:tcW w:w="1401" w:type="dxa"/>
          </w:tcPr>
          <w:p w14:paraId="550ABC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26.10.42 Ил-4</w:t>
            </w:r>
          </w:p>
        </w:tc>
        <w:tc>
          <w:tcPr>
            <w:tcW w:w="1401" w:type="dxa"/>
          </w:tcPr>
          <w:p w14:paraId="17F020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Копрский зал.</w:t>
            </w:r>
          </w:p>
        </w:tc>
        <w:tc>
          <w:tcPr>
            <w:tcW w:w="1401" w:type="dxa"/>
          </w:tcPr>
          <w:p w14:paraId="7212057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фин. ИА</w:t>
            </w:r>
          </w:p>
        </w:tc>
        <w:tc>
          <w:tcPr>
            <w:tcW w:w="1401" w:type="dxa"/>
          </w:tcPr>
          <w:p w14:paraId="3868E5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2B28D5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Кудряшов</w:t>
            </w:r>
          </w:p>
        </w:tc>
        <w:tc>
          <w:tcPr>
            <w:tcW w:w="1401" w:type="dxa"/>
          </w:tcPr>
          <w:p w14:paraId="58A4D9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73887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EA8570" w14:textId="77777777" w:rsidTr="00ED5B0A">
        <w:tc>
          <w:tcPr>
            <w:tcW w:w="1401" w:type="dxa"/>
          </w:tcPr>
          <w:p w14:paraId="337CE2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26.10.42 ДБ-ЗБ</w:t>
            </w:r>
          </w:p>
        </w:tc>
        <w:tc>
          <w:tcPr>
            <w:tcW w:w="1401" w:type="dxa"/>
          </w:tcPr>
          <w:p w14:paraId="591A3D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Копорский зал.</w:t>
            </w:r>
          </w:p>
        </w:tc>
        <w:tc>
          <w:tcPr>
            <w:tcW w:w="1401" w:type="dxa"/>
          </w:tcPr>
          <w:p w14:paraId="5EA789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фин. ИА</w:t>
            </w:r>
          </w:p>
        </w:tc>
        <w:tc>
          <w:tcPr>
            <w:tcW w:w="1401" w:type="dxa"/>
          </w:tcPr>
          <w:p w14:paraId="5C4E34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3F3324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Новицкий</w:t>
            </w:r>
          </w:p>
        </w:tc>
        <w:tc>
          <w:tcPr>
            <w:tcW w:w="1401" w:type="dxa"/>
          </w:tcPr>
          <w:p w14:paraId="27FD60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E7E14A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8C7521" w14:textId="77777777" w:rsidTr="00ED5B0A">
        <w:tc>
          <w:tcPr>
            <w:tcW w:w="1401" w:type="dxa"/>
          </w:tcPr>
          <w:p w14:paraId="110DD3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8.11.42</w:t>
            </w:r>
          </w:p>
        </w:tc>
        <w:tc>
          <w:tcPr>
            <w:tcW w:w="1401" w:type="dxa"/>
          </w:tcPr>
          <w:p w14:paraId="5A760B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Ил-4</w:t>
            </w:r>
          </w:p>
        </w:tc>
        <w:tc>
          <w:tcPr>
            <w:tcW w:w="1401" w:type="dxa"/>
          </w:tcPr>
          <w:p w14:paraId="7D9363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Углово</w:t>
            </w:r>
          </w:p>
        </w:tc>
        <w:tc>
          <w:tcPr>
            <w:tcW w:w="1401" w:type="dxa"/>
          </w:tcPr>
          <w:p w14:paraId="1A635E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взлете сложилась стойка,</w:t>
            </w:r>
          </w:p>
        </w:tc>
        <w:tc>
          <w:tcPr>
            <w:tcW w:w="1401" w:type="dxa"/>
          </w:tcPr>
          <w:p w14:paraId="712B5E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27E7B1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Червоноокий жив (+ 1)</w:t>
            </w:r>
          </w:p>
        </w:tc>
        <w:tc>
          <w:tcPr>
            <w:tcW w:w="1401" w:type="dxa"/>
          </w:tcPr>
          <w:p w14:paraId="7E7F3E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770B81A" w14:textId="77777777" w:rsidTr="00ED5B0A">
        <w:tc>
          <w:tcPr>
            <w:tcW w:w="1401" w:type="dxa"/>
          </w:tcPr>
          <w:p w14:paraId="117676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8B7EA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2A5E5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17437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сгорел</w:t>
            </w:r>
          </w:p>
        </w:tc>
        <w:tc>
          <w:tcPr>
            <w:tcW w:w="1401" w:type="dxa"/>
          </w:tcPr>
          <w:p w14:paraId="6275C2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AB7F8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5EBB6DD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0CC2FEF" w14:textId="77777777" w:rsidTr="00ED5B0A">
        <w:tc>
          <w:tcPr>
            <w:tcW w:w="1401" w:type="dxa"/>
          </w:tcPr>
          <w:p w14:paraId="1A539A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Дата Тип</w:t>
            </w:r>
          </w:p>
        </w:tc>
        <w:tc>
          <w:tcPr>
            <w:tcW w:w="1401" w:type="dxa"/>
          </w:tcPr>
          <w:p w14:paraId="1463D7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Район</w:t>
            </w:r>
          </w:p>
        </w:tc>
        <w:tc>
          <w:tcPr>
            <w:tcW w:w="1401" w:type="dxa"/>
          </w:tcPr>
          <w:p w14:paraId="554541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Причина потери</w:t>
            </w:r>
          </w:p>
        </w:tc>
        <w:tc>
          <w:tcPr>
            <w:tcW w:w="1401" w:type="dxa"/>
          </w:tcPr>
          <w:p w14:paraId="5CE1A1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Решаемая задача</w:t>
            </w:r>
          </w:p>
        </w:tc>
        <w:tc>
          <w:tcPr>
            <w:tcW w:w="1401" w:type="dxa"/>
          </w:tcPr>
          <w:p w14:paraId="56F7E3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Летчик</w:t>
            </w:r>
          </w:p>
        </w:tc>
        <w:tc>
          <w:tcPr>
            <w:tcW w:w="1401" w:type="dxa"/>
          </w:tcPr>
          <w:p w14:paraId="7ED6A54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Судьба</w:t>
            </w:r>
          </w:p>
        </w:tc>
        <w:tc>
          <w:tcPr>
            <w:tcW w:w="1401" w:type="dxa"/>
          </w:tcPr>
          <w:p w14:paraId="0B8FA5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271B93" w14:textId="77777777" w:rsidTr="00ED5B0A">
        <w:tc>
          <w:tcPr>
            <w:tcW w:w="1401" w:type="dxa"/>
          </w:tcPr>
          <w:p w14:paraId="5457AB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7.1.43 Ил-4</w:t>
            </w:r>
          </w:p>
        </w:tc>
        <w:tc>
          <w:tcPr>
            <w:tcW w:w="1401" w:type="dxa"/>
          </w:tcPr>
          <w:p w14:paraId="426AB3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Борки</w:t>
            </w:r>
          </w:p>
        </w:tc>
        <w:tc>
          <w:tcPr>
            <w:tcW w:w="1401" w:type="dxa"/>
          </w:tcPr>
          <w:p w14:paraId="1264F1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разбит при взлете из-за</w:t>
            </w:r>
          </w:p>
        </w:tc>
        <w:tc>
          <w:tcPr>
            <w:tcW w:w="1401" w:type="dxa"/>
          </w:tcPr>
          <w:p w14:paraId="45887F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перелет в Углово</w:t>
            </w:r>
          </w:p>
        </w:tc>
        <w:tc>
          <w:tcPr>
            <w:tcW w:w="1401" w:type="dxa"/>
          </w:tcPr>
          <w:p w14:paraId="209E2A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Червоноокий</w:t>
            </w:r>
          </w:p>
        </w:tc>
        <w:tc>
          <w:tcPr>
            <w:tcW w:w="1401" w:type="dxa"/>
          </w:tcPr>
          <w:p w14:paraId="6EBF72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19AC9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A0C8645" w14:textId="77777777" w:rsidTr="00ED5B0A">
        <w:tc>
          <w:tcPr>
            <w:tcW w:w="1401" w:type="dxa"/>
          </w:tcPr>
          <w:p w14:paraId="7959BE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2E494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60F0D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триммеров</w:t>
            </w:r>
          </w:p>
        </w:tc>
        <w:tc>
          <w:tcPr>
            <w:tcW w:w="1401" w:type="dxa"/>
          </w:tcPr>
          <w:p w14:paraId="5A7992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4F9F6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4674E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A37CE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F7E55A6" w14:textId="77777777" w:rsidTr="00ED5B0A">
        <w:tc>
          <w:tcPr>
            <w:tcW w:w="1401" w:type="dxa"/>
          </w:tcPr>
          <w:p w14:paraId="6D87CE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22.2.43 ДБ-ЗБ</w:t>
            </w:r>
          </w:p>
        </w:tc>
        <w:tc>
          <w:tcPr>
            <w:tcW w:w="1401" w:type="dxa"/>
          </w:tcPr>
          <w:p w14:paraId="0DF879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Таллин</w:t>
            </w:r>
          </w:p>
        </w:tc>
        <w:tc>
          <w:tcPr>
            <w:tcW w:w="1401" w:type="dxa"/>
          </w:tcPr>
          <w:p w14:paraId="1048C7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532238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62D9C1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м-р Бушихин</w:t>
            </w:r>
          </w:p>
        </w:tc>
        <w:tc>
          <w:tcPr>
            <w:tcW w:w="1401" w:type="dxa"/>
          </w:tcPr>
          <w:p w14:paraId="56F334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B2041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1AC526E" w14:textId="77777777" w:rsidTr="00ED5B0A">
        <w:tc>
          <w:tcPr>
            <w:tcW w:w="1401" w:type="dxa"/>
          </w:tcPr>
          <w:p w14:paraId="1CA87B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1/2.5.43 Ил-4</w:t>
            </w:r>
          </w:p>
        </w:tc>
        <w:tc>
          <w:tcPr>
            <w:tcW w:w="1401" w:type="dxa"/>
          </w:tcPr>
          <w:p w14:paraId="06A8E1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Приютино</w:t>
            </w:r>
          </w:p>
        </w:tc>
        <w:tc>
          <w:tcPr>
            <w:tcW w:w="1401" w:type="dxa"/>
          </w:tcPr>
          <w:p w14:paraId="17EF9B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взрыв ПЛАБ-100 при разоружении</w:t>
            </w:r>
          </w:p>
        </w:tc>
        <w:tc>
          <w:tcPr>
            <w:tcW w:w="1401" w:type="dxa"/>
          </w:tcPr>
          <w:p w14:paraId="5E29D6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628E16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95C09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AD8FE9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B551125" w14:textId="77777777" w:rsidTr="00ED5B0A">
        <w:tc>
          <w:tcPr>
            <w:tcW w:w="1401" w:type="dxa"/>
          </w:tcPr>
          <w:p w14:paraId="0AE322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1/2.5.43 Ил-4</w:t>
            </w:r>
          </w:p>
        </w:tc>
        <w:tc>
          <w:tcPr>
            <w:tcW w:w="1401" w:type="dxa"/>
          </w:tcPr>
          <w:p w14:paraId="46BAC7F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Приютино</w:t>
            </w:r>
          </w:p>
        </w:tc>
        <w:tc>
          <w:tcPr>
            <w:tcW w:w="1401" w:type="dxa"/>
          </w:tcPr>
          <w:p w14:paraId="069669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взрыв ПЛАБ-100 при разоружении</w:t>
            </w:r>
          </w:p>
        </w:tc>
        <w:tc>
          <w:tcPr>
            <w:tcW w:w="1401" w:type="dxa"/>
          </w:tcPr>
          <w:p w14:paraId="53588AB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06CE66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74B66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296B9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A3D82DB" w14:textId="77777777" w:rsidTr="00ED5B0A">
        <w:tc>
          <w:tcPr>
            <w:tcW w:w="1401" w:type="dxa"/>
          </w:tcPr>
          <w:p w14:paraId="197FA4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31.5.43 Ил-4</w:t>
            </w:r>
          </w:p>
        </w:tc>
        <w:tc>
          <w:tcPr>
            <w:tcW w:w="1401" w:type="dxa"/>
          </w:tcPr>
          <w:p w14:paraId="50CD86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Приютино</w:t>
            </w:r>
          </w:p>
        </w:tc>
        <w:tc>
          <w:tcPr>
            <w:tcW w:w="1401" w:type="dxa"/>
          </w:tcPr>
          <w:p w14:paraId="77B8D5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моторов при взлете</w:t>
            </w:r>
          </w:p>
        </w:tc>
        <w:tc>
          <w:tcPr>
            <w:tcW w:w="1401" w:type="dxa"/>
          </w:tcPr>
          <w:p w14:paraId="08D687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перелет на др. аэр.</w:t>
            </w:r>
          </w:p>
        </w:tc>
        <w:tc>
          <w:tcPr>
            <w:tcW w:w="1401" w:type="dxa"/>
          </w:tcPr>
          <w:p w14:paraId="291F9C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Деревянных</w:t>
            </w:r>
          </w:p>
        </w:tc>
        <w:tc>
          <w:tcPr>
            <w:tcW w:w="1401" w:type="dxa"/>
          </w:tcPr>
          <w:p w14:paraId="3CB1FB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 (+3, =4)</w:t>
            </w:r>
          </w:p>
        </w:tc>
        <w:tc>
          <w:tcPr>
            <w:tcW w:w="1401" w:type="dxa"/>
          </w:tcPr>
          <w:p w14:paraId="12FEF65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136C2A1" w14:textId="77777777" w:rsidTr="00ED5B0A">
        <w:tc>
          <w:tcPr>
            <w:tcW w:w="1401" w:type="dxa"/>
          </w:tcPr>
          <w:p w14:paraId="04D1F3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17.6.43 Ил-4</w:t>
            </w:r>
          </w:p>
        </w:tc>
        <w:tc>
          <w:tcPr>
            <w:tcW w:w="1401" w:type="dxa"/>
          </w:tcPr>
          <w:p w14:paraId="056B33E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Каннас</w:t>
            </w:r>
          </w:p>
        </w:tc>
        <w:tc>
          <w:tcPr>
            <w:tcW w:w="1401" w:type="dxa"/>
          </w:tcPr>
          <w:p w14:paraId="7CB413D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фин. ИА</w:t>
            </w:r>
          </w:p>
        </w:tc>
        <w:tc>
          <w:tcPr>
            <w:tcW w:w="1401" w:type="dxa"/>
          </w:tcPr>
          <w:p w14:paraId="236A0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36576C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Белов</w:t>
            </w:r>
          </w:p>
        </w:tc>
        <w:tc>
          <w:tcPr>
            <w:tcW w:w="1401" w:type="dxa"/>
          </w:tcPr>
          <w:p w14:paraId="52F8533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1B9D6B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D34B8D" w14:textId="77777777" w:rsidTr="00ED5B0A">
        <w:tc>
          <w:tcPr>
            <w:tcW w:w="1401" w:type="dxa"/>
          </w:tcPr>
          <w:p w14:paraId="2CD5446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15.9.43 А-20</w:t>
            </w:r>
          </w:p>
        </w:tc>
        <w:tc>
          <w:tcPr>
            <w:tcW w:w="1401" w:type="dxa"/>
          </w:tcPr>
          <w:p w14:paraId="0CACDE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Таллин</w:t>
            </w:r>
          </w:p>
        </w:tc>
        <w:tc>
          <w:tcPr>
            <w:tcW w:w="1401" w:type="dxa"/>
          </w:tcPr>
          <w:p w14:paraId="5EF238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0D66DB9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3E0425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Федькин</w:t>
            </w:r>
          </w:p>
        </w:tc>
        <w:tc>
          <w:tcPr>
            <w:tcW w:w="1401" w:type="dxa"/>
          </w:tcPr>
          <w:p w14:paraId="4017B9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9412F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B5D9F0" w14:textId="77777777" w:rsidTr="00ED5B0A">
        <w:tc>
          <w:tcPr>
            <w:tcW w:w="1401" w:type="dxa"/>
          </w:tcPr>
          <w:p w14:paraId="39061A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15.9.43 А-20</w:t>
            </w:r>
          </w:p>
        </w:tc>
        <w:tc>
          <w:tcPr>
            <w:tcW w:w="1401" w:type="dxa"/>
          </w:tcPr>
          <w:p w14:paraId="3A39DF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Таллин</w:t>
            </w:r>
          </w:p>
        </w:tc>
        <w:tc>
          <w:tcPr>
            <w:tcW w:w="1401" w:type="dxa"/>
          </w:tcPr>
          <w:p w14:paraId="5946A3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п/б/в</w:t>
            </w:r>
          </w:p>
        </w:tc>
        <w:tc>
          <w:tcPr>
            <w:tcW w:w="1401" w:type="dxa"/>
          </w:tcPr>
          <w:p w14:paraId="05F198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МП</w:t>
            </w:r>
          </w:p>
        </w:tc>
        <w:tc>
          <w:tcPr>
            <w:tcW w:w="1401" w:type="dxa"/>
          </w:tcPr>
          <w:p w14:paraId="2085A6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мл. л-т Прохоров</w:t>
            </w:r>
          </w:p>
        </w:tc>
        <w:tc>
          <w:tcPr>
            <w:tcW w:w="1401" w:type="dxa"/>
          </w:tcPr>
          <w:p w14:paraId="4243F4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43F533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5A190D4" w14:textId="77777777" w:rsidTr="00ED5B0A">
        <w:tc>
          <w:tcPr>
            <w:tcW w:w="1401" w:type="dxa"/>
          </w:tcPr>
          <w:p w14:paraId="4B76AB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21.9.43 А-20</w:t>
            </w:r>
          </w:p>
        </w:tc>
        <w:tc>
          <w:tcPr>
            <w:tcW w:w="1401" w:type="dxa"/>
          </w:tcPr>
          <w:p w14:paraId="229283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Каменка</w:t>
            </w:r>
          </w:p>
        </w:tc>
        <w:tc>
          <w:tcPr>
            <w:tcW w:w="1401" w:type="dxa"/>
          </w:tcPr>
          <w:p w14:paraId="69C39D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МЧ</w:t>
            </w:r>
          </w:p>
        </w:tc>
        <w:tc>
          <w:tcPr>
            <w:tcW w:w="1401" w:type="dxa"/>
          </w:tcPr>
          <w:p w14:paraId="108A8F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УТП</w:t>
            </w:r>
          </w:p>
        </w:tc>
        <w:tc>
          <w:tcPr>
            <w:tcW w:w="1401" w:type="dxa"/>
          </w:tcPr>
          <w:p w14:paraId="2EB8B7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л-т Драпов</w:t>
            </w:r>
          </w:p>
        </w:tc>
        <w:tc>
          <w:tcPr>
            <w:tcW w:w="1401" w:type="dxa"/>
          </w:tcPr>
          <w:p w14:paraId="7F72D6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7389B9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6E0B55" w14:textId="77777777" w:rsidTr="00ED5B0A">
        <w:tc>
          <w:tcPr>
            <w:tcW w:w="1401" w:type="dxa"/>
          </w:tcPr>
          <w:p w14:paraId="223DC6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10.10.43 А-20</w:t>
            </w:r>
          </w:p>
        </w:tc>
        <w:tc>
          <w:tcPr>
            <w:tcW w:w="1401" w:type="dxa"/>
          </w:tcPr>
          <w:p w14:paraId="36FC5E8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Эреля</w:t>
            </w:r>
          </w:p>
        </w:tc>
        <w:tc>
          <w:tcPr>
            <w:tcW w:w="1401" w:type="dxa"/>
          </w:tcPr>
          <w:p w14:paraId="0AC410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фин. ИА</w:t>
            </w:r>
          </w:p>
        </w:tc>
        <w:tc>
          <w:tcPr>
            <w:tcW w:w="1401" w:type="dxa"/>
          </w:tcPr>
          <w:p w14:paraId="1EB711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701B7E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Волков</w:t>
            </w:r>
          </w:p>
        </w:tc>
        <w:tc>
          <w:tcPr>
            <w:tcW w:w="1401" w:type="dxa"/>
          </w:tcPr>
          <w:p w14:paraId="69D8D3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3E45F8F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5B9F9CC" w14:textId="77777777" w:rsidTr="00ED5B0A">
        <w:tc>
          <w:tcPr>
            <w:tcW w:w="1401" w:type="dxa"/>
          </w:tcPr>
          <w:p w14:paraId="21B574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14.10.43 А-20</w:t>
            </w:r>
          </w:p>
        </w:tc>
        <w:tc>
          <w:tcPr>
            <w:tcW w:w="1401" w:type="dxa"/>
          </w:tcPr>
          <w:p w14:paraId="493B7F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р-н Каннас</w:t>
            </w:r>
          </w:p>
        </w:tc>
        <w:tc>
          <w:tcPr>
            <w:tcW w:w="1401" w:type="dxa"/>
          </w:tcPr>
          <w:p w14:paraId="0A8B77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сбит фин. ИА</w:t>
            </w:r>
          </w:p>
        </w:tc>
        <w:tc>
          <w:tcPr>
            <w:tcW w:w="1401" w:type="dxa"/>
          </w:tcPr>
          <w:p w14:paraId="23652DC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7B995B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Самедов</w:t>
            </w:r>
          </w:p>
        </w:tc>
        <w:tc>
          <w:tcPr>
            <w:tcW w:w="1401" w:type="dxa"/>
          </w:tcPr>
          <w:p w14:paraId="4552201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7AA562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D5DC7EC" w14:textId="77777777" w:rsidTr="00ED5B0A">
        <w:tc>
          <w:tcPr>
            <w:tcW w:w="1401" w:type="dxa"/>
          </w:tcPr>
          <w:p w14:paraId="3AB0D3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18.10.43 А-20</w:t>
            </w:r>
          </w:p>
        </w:tc>
        <w:tc>
          <w:tcPr>
            <w:tcW w:w="1401" w:type="dxa"/>
          </w:tcPr>
          <w:p w14:paraId="2CAD33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Каменка</w:t>
            </w:r>
          </w:p>
        </w:tc>
        <w:tc>
          <w:tcPr>
            <w:tcW w:w="1401" w:type="dxa"/>
          </w:tcPr>
          <w:p w14:paraId="0B931E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разбился при посадке</w:t>
            </w:r>
          </w:p>
        </w:tc>
        <w:tc>
          <w:tcPr>
            <w:tcW w:w="1401" w:type="dxa"/>
          </w:tcPr>
          <w:p w14:paraId="260013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Pr>
          <w:p w14:paraId="6C064B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м-р Пономаренко</w:t>
            </w:r>
          </w:p>
        </w:tc>
        <w:tc>
          <w:tcPr>
            <w:tcW w:w="1401" w:type="dxa"/>
          </w:tcPr>
          <w:p w14:paraId="48919E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жив(=3)</w:t>
            </w:r>
          </w:p>
        </w:tc>
        <w:tc>
          <w:tcPr>
            <w:tcW w:w="1401" w:type="dxa"/>
          </w:tcPr>
          <w:p w14:paraId="1586545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5C0EB9D" w14:textId="77777777" w:rsidTr="00ED5B0A">
        <w:tc>
          <w:tcPr>
            <w:tcW w:w="1401" w:type="dxa"/>
          </w:tcPr>
          <w:p w14:paraId="71CB85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16.11.43 Ил-4</w:t>
            </w:r>
          </w:p>
        </w:tc>
        <w:tc>
          <w:tcPr>
            <w:tcW w:w="1401" w:type="dxa"/>
          </w:tcPr>
          <w:p w14:paraId="27CA4E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тер-я пр-ка</w:t>
            </w:r>
          </w:p>
        </w:tc>
        <w:tc>
          <w:tcPr>
            <w:tcW w:w="1401" w:type="dxa"/>
          </w:tcPr>
          <w:p w14:paraId="172551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отказ моторов, при посадке разбит</w:t>
            </w:r>
          </w:p>
        </w:tc>
        <w:tc>
          <w:tcPr>
            <w:tcW w:w="1401" w:type="dxa"/>
          </w:tcPr>
          <w:p w14:paraId="0DA688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48C305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ст. л-т А.И. Разгонин</w:t>
            </w:r>
          </w:p>
        </w:tc>
        <w:tc>
          <w:tcPr>
            <w:tcW w:w="1401" w:type="dxa"/>
          </w:tcPr>
          <w:p w14:paraId="7CBFB9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w:t>
            </w:r>
          </w:p>
        </w:tc>
        <w:tc>
          <w:tcPr>
            <w:tcW w:w="1401" w:type="dxa"/>
          </w:tcPr>
          <w:p w14:paraId="623DBE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49FB1BE" w14:textId="77777777" w:rsidTr="00ED5B0A">
        <w:tc>
          <w:tcPr>
            <w:tcW w:w="1401" w:type="dxa"/>
          </w:tcPr>
          <w:p w14:paraId="051BE7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27.11.43 А-20</w:t>
            </w:r>
          </w:p>
        </w:tc>
        <w:tc>
          <w:tcPr>
            <w:tcW w:w="1401" w:type="dxa"/>
          </w:tcPr>
          <w:p w14:paraId="1A7C229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Рижский зал.</w:t>
            </w:r>
          </w:p>
        </w:tc>
        <w:tc>
          <w:tcPr>
            <w:tcW w:w="1401" w:type="dxa"/>
          </w:tcPr>
          <w:p w14:paraId="2746A8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271E51">
              <w:rPr>
                <w:rFonts w:ascii="Times New Roman" w:hAnsi="Times New Roman"/>
                <w:color w:val="000000" w:themeColor="text1"/>
                <w:sz w:val="16"/>
                <w:szCs w:val="16"/>
              </w:rPr>
              <w:t>сбитЗА</w:t>
            </w:r>
            <w:r w:rsidRPr="00271E51">
              <w:rPr>
                <w:rFonts w:ascii="Times New Roman" w:hAnsi="Times New Roman"/>
                <w:color w:val="000000" w:themeColor="text1"/>
                <w:sz w:val="16"/>
                <w:szCs w:val="16"/>
                <w:lang w:val="en-US"/>
              </w:rPr>
              <w:t xml:space="preserve"> SAT "R. Mueller"</w:t>
            </w:r>
          </w:p>
        </w:tc>
        <w:tc>
          <w:tcPr>
            <w:tcW w:w="1401" w:type="dxa"/>
          </w:tcPr>
          <w:p w14:paraId="5CB3A8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ОК</w:t>
            </w:r>
          </w:p>
        </w:tc>
        <w:tc>
          <w:tcPr>
            <w:tcW w:w="1401" w:type="dxa"/>
          </w:tcPr>
          <w:p w14:paraId="735FB2F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Летуновский</w:t>
            </w:r>
          </w:p>
        </w:tc>
        <w:tc>
          <w:tcPr>
            <w:tcW w:w="1401" w:type="dxa"/>
          </w:tcPr>
          <w:p w14:paraId="396176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плен</w:t>
            </w:r>
          </w:p>
        </w:tc>
        <w:tc>
          <w:tcPr>
            <w:tcW w:w="1401" w:type="dxa"/>
          </w:tcPr>
          <w:p w14:paraId="6AFFDB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48AB8ED" w14:textId="77777777" w:rsidTr="00ED5B0A">
        <w:tc>
          <w:tcPr>
            <w:tcW w:w="1401" w:type="dxa"/>
            <w:tcBorders>
              <w:bottom w:val="single" w:sz="12" w:space="0" w:color="auto"/>
            </w:tcBorders>
          </w:tcPr>
          <w:p w14:paraId="2D72AC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18.12.43 А-20</w:t>
            </w:r>
          </w:p>
        </w:tc>
        <w:tc>
          <w:tcPr>
            <w:tcW w:w="1401" w:type="dxa"/>
            <w:tcBorders>
              <w:bottom w:val="single" w:sz="12" w:space="0" w:color="auto"/>
            </w:tcBorders>
          </w:tcPr>
          <w:p w14:paraId="234E9D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аэр. Каменка</w:t>
            </w:r>
          </w:p>
        </w:tc>
        <w:tc>
          <w:tcPr>
            <w:tcW w:w="1401" w:type="dxa"/>
            <w:tcBorders>
              <w:bottom w:val="single" w:sz="12" w:space="0" w:color="auto"/>
            </w:tcBorders>
          </w:tcPr>
          <w:p w14:paraId="19F597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посадке сгорел</w:t>
            </w:r>
          </w:p>
        </w:tc>
        <w:tc>
          <w:tcPr>
            <w:tcW w:w="1401" w:type="dxa"/>
            <w:tcBorders>
              <w:bottom w:val="single" w:sz="12" w:space="0" w:color="auto"/>
            </w:tcBorders>
          </w:tcPr>
          <w:p w14:paraId="7DD10ED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Borders>
              <w:bottom w:val="single" w:sz="12" w:space="0" w:color="auto"/>
            </w:tcBorders>
          </w:tcPr>
          <w:p w14:paraId="583463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к-н Константюк</w:t>
            </w:r>
          </w:p>
        </w:tc>
        <w:tc>
          <w:tcPr>
            <w:tcW w:w="1401" w:type="dxa"/>
            <w:tcBorders>
              <w:bottom w:val="single" w:sz="12" w:space="0" w:color="auto"/>
            </w:tcBorders>
          </w:tcPr>
          <w:p w14:paraId="6CD300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w:t>
            </w:r>
          </w:p>
        </w:tc>
        <w:tc>
          <w:tcPr>
            <w:tcW w:w="1401" w:type="dxa"/>
            <w:tcBorders>
              <w:bottom w:val="single" w:sz="12" w:space="0" w:color="auto"/>
            </w:tcBorders>
          </w:tcPr>
          <w:p w14:paraId="75BD91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8E5013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(12002).</w:t>
      </w:r>
    </w:p>
    <w:p w14:paraId="646B64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AE3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ни одна из советских подводных лодок в Балтику прорваться не смогла - противолодочные рубежи немцев оказались непреодолимыми. Действия лодок возобновились лишь в 1944 году, после выхода из войны Финляндии. Всего за время войны на постановку мин подводные лодки Балтийского флота выходили 15 раз, выставив на тыловых коммуникациях противника в 60 минных банках 278 мин. в том числе 168 мин ПЛТ и 110 английских мин T-IV состоявших на вооружении бывших эстонских лодок "Лембит" и "Калев" (3364,25).</w:t>
      </w:r>
    </w:p>
    <w:p w14:paraId="47BE3A8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8A3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вышло "Временное наставление для штурмовиков", подготовленное под руководством С.И.Руденко, когда он был. зам. командующего 8-й воздушной армией (337,64).</w:t>
      </w:r>
    </w:p>
    <w:p w14:paraId="7D13260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7DF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основным же средством борьбы с немецкими танками в этот период войны стала противотанковая авиационная бомба КУМУЛЯТИВНОГО действия весом 1,5 кг в габаритах стоящей на вооружении ВВС КА авиабомбы массой 2,5 кг - ПТАБ-2,5-1,5.</w:t>
      </w:r>
    </w:p>
    <w:p w14:paraId="5D4720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бомбовую зарядку самолета Ил-2 входило до 280 авиабомб ПТАБ-2,5-1,5 в 4-х кассетах мелких бомб (по 72 бомбы в центральные и по 68 в крайние отсеки).</w:t>
      </w:r>
    </w:p>
    <w:p w14:paraId="0CAF1E9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4461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При сбрасывании ПТАБ с высоты 200 м с горизонтального полета при скорости полета 340-360 км/ч одна бомба попадала в площадь, равную в среднем 15 м2, при этом, в зависимости от бомбовой загрузки, общая область разрывов занимала полосу 15х(260-280) м, что обеспечивало довольно высокую вероятность поражения находящегося в этой полосе любого танка вермахта. Дело в том, что площадь, занимаемая одним танком, составляла величину порядка 20-22 м2, а попадание хотя бы одной бомбы в танк было вполне достаточным для вывода его из строя, в большинстве случаев безвозвратно. Расчеты показывают, что вероятность поражения одиночного танка в этом случае получалась равной 0,10-0,12.</w:t>
      </w:r>
    </w:p>
    <w:p w14:paraId="3170C6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По сравнению с предыдущими годами войны устойчивость обороны немецких войск на Восточном фронте с лета 1943 г. была серьезно повышена, главным образом, за счет сильного насыщения обороны фортификационными сооружениями (полевого и железобетонного типа), резкого увеличения глубины оперативного построения войск (в 3-4 раза) и плотности построения войск на 1 км фронта: по пехоте - в 2 раза, по орудиям и минометам - в 6-10 раз, по танкам и САУ - в 8-10 раз, по огневым </w:t>
      </w:r>
      <w:r w:rsidRPr="00271E51">
        <w:rPr>
          <w:rFonts w:ascii="Times New Roman" w:hAnsi="Times New Roman"/>
          <w:color w:val="000000" w:themeColor="text1"/>
          <w:sz w:val="16"/>
          <w:szCs w:val="16"/>
        </w:rPr>
        <w:lastRenderedPageBreak/>
        <w:t>средствам ПВО - в 2-2,5 раза (8687).</w:t>
      </w:r>
    </w:p>
    <w:p w14:paraId="4E6EA7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B72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 штату 1943 года в легком самоходно-артиллерийском полку имелась 21 САУ СУ-76М (3862).</w:t>
      </w:r>
    </w:p>
    <w:p w14:paraId="002A8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35EB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 были сформированы следующие танковые колонны:</w:t>
      </w:r>
    </w:p>
    <w:p w14:paraId="4B54D30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56. "Советский танкист" - сбор средств проведен в январе на Кировском, Уральском машиностроительном, Горьковском автомобильном и ряде других заводах.</w:t>
      </w:r>
    </w:p>
    <w:p w14:paraId="10302E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57. "Имени С.М.Кирова" - сбор средств осуществлен в январе на московском заводе "Динамо".</w:t>
      </w:r>
    </w:p>
    <w:p w14:paraId="23759E0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 "За нашу Победу" - 10725 тыс. р. собраны и внесены в январе воинами 7-й армии.</w:t>
      </w:r>
    </w:p>
    <w:p w14:paraId="723B3F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59. "Димитрий Донской" - "Святая" колонна. Инициатор - митрополит Московский Сергий. Для начала патриархия внесла 100 тыс. р.г Елоховский кафедральный собор 300 тыс. р. Ленинградская епархия в условиях блокады собрала 3182 тыс. р. в ответ на обращение Митрополита от 5 декабря 1943 г. Передача танков Т-34/85 (пушка Д-5) состоялась 13.03.44 г. Танки "Димитрий Донской" участвовали в Уманско-Баташевской операции, форсировали Днестр, освобождали Вену, Прагу.</w:t>
      </w:r>
    </w:p>
    <w:p w14:paraId="65F5EDC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60. "Защитник Юга" - более 4 млн. р. внесены в январе прифронтовыми районами Краснодарского края.</w:t>
      </w:r>
    </w:p>
    <w:p w14:paraId="26B118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61. "Омский рабочий" - официальное сообщение 09.01.43. ("Правда") о сборе 53 млн. р.</w:t>
      </w:r>
    </w:p>
    <w:p w14:paraId="730DB0E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62. "Красноярский колхозник".</w:t>
      </w:r>
    </w:p>
    <w:p w14:paraId="6F4907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63. "Красноярский рабочий" - сбор проводился уже в декабре 1942 г. На обе красноярские колонны сумма составила 70 млн. р. и 190 тыс. пудов хлеба на 12.01.43 г. К 17.02.43 г. добавилось еще 30 млн. р. и 110 тыс. пудов хлеба.</w:t>
      </w:r>
    </w:p>
    <w:p w14:paraId="5FA07C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 "Свердловский комсомолец" (III) - общая сумма сбора на свердловские колонны - 50 млн. р.</w:t>
      </w:r>
    </w:p>
    <w:p w14:paraId="2ACC81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65. "Советский танкостроитель" - заявлена работниками 8 танкостроительных заводов обязавшихся на личные средства построить все танки колонны сверхплана в первом квартале года. Внесено 17351 тыс. р.</w:t>
      </w:r>
    </w:p>
    <w:p w14:paraId="02982B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66. "За Советскую Украину" ("За Радянську Украину”) - официально сообщено 21.01. в Правде о сборе 22 млн. р. войсками Юго-Западного фронта. Очевидно, на эти средства был куплен 21 танк -Черчилль IV", которыми был укомплектован 36-й Гвард. тяжелый танковый полк прорыва, принимавший участие в Курской битве.</w:t>
      </w:r>
    </w:p>
    <w:p w14:paraId="22BF5E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67. "Иркутский колхозник" - сумма вклада 58 млн. р. и 5 кг золота ("Правда" 21.01).</w:t>
      </w:r>
    </w:p>
    <w:p w14:paraId="229F46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68. "Североморец" - сбор средств воинами Северного фронта. Общая сумма: 22283 тыс. р. (включая средства на строительство самолетов и боевых катеров). "Правда" 30.01.</w:t>
      </w:r>
    </w:p>
    <w:p w14:paraId="5357C3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69. "Москва" - колонна сдана в январе танковой бригаде В.Ф.Орлова. Бригада была сформирована еще в октябре 1941 г., участвовала в параде 7 ноября 1941 г. в Москве. Бои под Солнечногорском, Клином, Таганрогом, Курская дуга, Корсунь-Шевченковская операция.</w:t>
      </w:r>
    </w:p>
    <w:p w14:paraId="69011C3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70. "Калининский комсомолец".</w:t>
      </w:r>
    </w:p>
    <w:p w14:paraId="6AA385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71. "Калининский фронт" - первоначальная сумма на две калининские колонны - 95 млн. р. и позже дополнительно 43704 тыс. р. (По данным "Правды" от 01.02.43 г.).</w:t>
      </w:r>
    </w:p>
    <w:p w14:paraId="1E370A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72. "Ленинградец" - по данным на 04.02.43 г. поступило 74500 тыс. р. (включая средства на авиасоединение "Ленинград" и артиллерию).</w:t>
      </w:r>
    </w:p>
    <w:p w14:paraId="408B23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73. "Колхозник Северной Осетии" - более 3 млн. р. от автономии по состоянию на 08.02.</w:t>
      </w:r>
    </w:p>
    <w:p w14:paraId="34CB4A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74. "Ленинградский партизан" - 800 тыс. р. от оккупированных районов Ленинградской обл. ("Правда" от 09.02.)</w:t>
      </w:r>
    </w:p>
    <w:p w14:paraId="75FC19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75. "Камчатский рыбак" - по состоянию на 11.02 Камчатская обл. к ранее внесенным 32 млн. р. наличными и 33 млн. р. облигациями Госзайма добавила 14 млн. р.</w:t>
      </w:r>
    </w:p>
    <w:p w14:paraId="6359D18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76. "Орловский партизан" - передача 28 млн. р. датируется февралем.</w:t>
      </w:r>
    </w:p>
    <w:p w14:paraId="07C7FE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77. "Тульский колхозник" - 43 млн. р. от Тульской обл. (13.03.)</w:t>
      </w:r>
    </w:p>
    <w:p w14:paraId="1E84523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78. "Донской казак" - 15176500 р. от освобожденных районов Ростовской обл. на танки для 5-го Гв. Донского казачьего корпуса (14.03.)</w:t>
      </w:r>
    </w:p>
    <w:p w14:paraId="555281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79. "За Советскую Эстонию" - эвакуированные эстонцы и эстонские национальные части - 3100 тыс. р. (02.04.). Была оснащена танками Т-34 различных модификаций.</w:t>
      </w:r>
    </w:p>
    <w:p w14:paraId="594EAC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80. "Приморский комсомолец" - 20 танков Т-34 с экипажами из дальневосточников. Табличка с названием колонны крепилась на лобовой части машины. Переданы 56-й Гв. ТБр.</w:t>
      </w:r>
    </w:p>
    <w:p w14:paraId="3A3C70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81. "Таганрожец".</w:t>
      </w:r>
    </w:p>
    <w:p w14:paraId="3BBCB12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82. "Красноярский комсомолец".</w:t>
      </w:r>
    </w:p>
    <w:p w14:paraId="50E550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83. "Красноярский железнодорожник".</w:t>
      </w:r>
    </w:p>
    <w:p w14:paraId="085AB4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84. "Советский полярник" - инициатор - начальник Главсевмориути И.Д.Папанин. Переданы 5-му Гв. т.п.</w:t>
      </w:r>
    </w:p>
    <w:p w14:paraId="1ABEF0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85. "Гвардеец" - сбор среди курсантов, вольнонаемных и л/с Ульяновского Гв. танкового училща. Танки направлены 3-й Гв. танковой армии. В январе 1945 г. эти машины наступали с Сандомирского плацдарма, участвовали в штурме Берлина и освобождении Праги.</w:t>
      </w:r>
    </w:p>
    <w:p w14:paraId="2A0BE4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86. "Учитель Таджикистана" (11993).</w:t>
      </w:r>
    </w:p>
    <w:p w14:paraId="2538FC4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2E7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года до окончания Второй Мировой войны в советских бронетанковых войсках сложилась корпусная система тактических обозначений. Приказом командира корпуса определялись символы, буквы и цифры, определяющие тактические обозначения соединений.</w:t>
      </w:r>
    </w:p>
    <w:p w14:paraId="39EF381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23-м Танковом корпусе тактическим знаком соединения являлся белый ромб обычно высотой 400 мм с буквами русского алфавита в центре. Буква "В" идентифицировала 3-ю танковую бригаду, буква "Г" - 39, а буква "Д" - 135-ю ТБр. В нравом нижнем углу относительно буквы наносилась небольшая арабская цифра, обозначавшая номер батальона. Например "В1" - 1-й батальон 3-й Танковой бригады 23-го танкового корпуса. Кроме тактического обозначения соединения на танк крупными цифрами наносился персональный идентификационный номер.</w:t>
      </w:r>
    </w:p>
    <w:p w14:paraId="2948569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10-м Гвардейском Танковом корпусе опознавательным знаком являлась так называемая "расческа", по количеству зубьев которой определялся номер бригады в составе корпуса: 61-я Гв. ТБр. - 1 "зуб", 62-я и 63-я - 2 и 3 соответственно. Над "расческой" наносился тактический номер боевой машины ("1-24" - 1-й батальон, 24 машина, танк Т34/85).</w:t>
      </w:r>
    </w:p>
    <w:p w14:paraId="572F0F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Отличительным знаком 7-го Гвардейского Танкового корпуса была двойная окружность с арабской цифрой в центре: "1" - для 54 Гв. ТБр., "2" - для 55-й, "3" - для 56-й.</w:t>
      </w:r>
    </w:p>
    <w:p w14:paraId="43823FC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11 -й Гвардейский танковый корпус имел в качестве отличительного знака короткую (подобную прямоугольнику, длиной 200 мм) белую "полосу-шеврон". Одна такая полоска обозначала 40-ю Гв. ТБр., две - 44-ю Гв. ТБр., три - 45-ю Гв. Танковую бригаду. Кроме полос-прямоугольников в 11-м Гвардейском танковом корпусе (ранее 6-й ТК) существовал другой тактический знак в виде ромба, в верхнем поле которого был цифровой номер бригады, а в нижнем - тактический номер самой машины. </w:t>
      </w:r>
    </w:p>
    <w:p w14:paraId="76D673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Во 2-м Гвардейском танковом корпусе эмблемой был особый знак, под которым двузначной арабской цифрой наносили код части. Сам танк или САУ идентифицировались трехзначным тактическим номером.</w:t>
      </w:r>
    </w:p>
    <w:p w14:paraId="1C1493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Механизированные корпуса также имели собственную систему тактических обозначений. В 7-м механизированном корпусе символом соединения являлась стилизованная стрелка. Она же обозначала 41 -ю Гв.танковую бригаду. Танковые полки механизированных бригад обозначались "размещением" стрелки внутри геометрической фигуры: треугольник - 58-й танковый полк 16-й мехбригады, круг - 84-й танковый полк 63-й мехбригады, квадрат - 177-й танковый полк 64-й мехбригады.</w:t>
      </w:r>
    </w:p>
    <w:p w14:paraId="5C5BF7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Пожалуй, самая интересная и всеобъемлющая система тактических обозначений была принята в 4-м Гвардейском механизированном корпусе. Имея до июля 1944 года достаточно типичные для Красной Армии тактические обозначения в виде квадратов с цифрой знутри (квадрат с цифрой "7" имела, например 36-я Гвардейская танковая бригада), корпус в августе 1944 года должен был быть введен в прорыв на одном из участков 3-го Укра- жнского фронта. Чтобы скрыть от противника гринадлежность техники к механизированно- ну корпусу на танках, автомашинах и орудиях вместо прежних обозначений появились бе- ".ые силуэты различных зверей и птиц. Танковая бригада (36-я Гв. ТБр.) имела силуэт идущего на задних лапах медведя, 13-я Гвардей- :кая механизированная бригада - оленя, 14-я Гв. мехбригада - лошади, 15-я Гв. мехбригада - ласточки, 292-й самоходно-артиллерий- ский полк - носорога, 62-й отдельный мотоциклетный батальон (танковая рота - 10 Т34/85) - жирафа и т.д. Кроме силуэтов жи- зотных тактические обозначения дополняли буквы ("РР" - разведрота) и персональные номера или названия ("От отца Шульги сыну Кисенко" - 36 Гв. ТБр.). Всего было более 20 различных видов опознавательных знаков, которые наносились на башни танков, кабины машин, щиты орудий. С этими опознавательными знаками корпус участвовал в боях в Румынии, Болгарии, Югославии и Венгрии, а закончил боевые действия на территории Чехословакии.</w:t>
      </w:r>
    </w:p>
    <w:p w14:paraId="4F33E0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Нанесение тактических номеров также имело свои особенности. Так, в 1944-1945 годах 1-й Гвардейский механизированный корпус использовал трехзначную систему тактических обозначений. 1-я цифра соответствовала номеру бригады, а 2 и 3-я номеру танка (от 1 до 65) в механизированной бригаде. Номер 103 принадлежал 1 -й Гвардейской механизированной бригаде, номер 234 - 2-й Гвардейской мехбригаде, 340 - 3-й Гв. МБр. Подобная система использовалась также в 18-м танковом корпусе. Первые цифры 4, 5, 6 обозначали 110, 170, 181-ю бригады соответственно, а 2 и 3-я цифры - номер танка. Были и другие цифровые системы. Первой цифрой </w:t>
      </w:r>
      <w:r w:rsidRPr="00271E51">
        <w:rPr>
          <w:rFonts w:ascii="Times New Roman" w:hAnsi="Times New Roman"/>
          <w:color w:val="000000" w:themeColor="text1"/>
          <w:sz w:val="16"/>
          <w:szCs w:val="16"/>
        </w:rPr>
        <w:lastRenderedPageBreak/>
        <w:t>обозначался номер батальона, второй - рота, третьей - взвод или номер машины в роте.</w:t>
      </w:r>
    </w:p>
    <w:p w14:paraId="1447656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Некоторые полки танков типа ИС, а также тяжелые самоходно-артиллерийские полки, придававшиеся различным соединениям, имели собственные тактические обозначения. Эти части не входили в состав танковых или механизированных корпусов, а придавались им для решения конкретной задачи или действовали наряду с корпусами в составе танковых армий.</w:t>
      </w:r>
    </w:p>
    <w:p w14:paraId="120A848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непосредственно танковых соединений общевойсковым армиям придавались отдельные самоходно-артиллерийские полки СУ-76, тактические обозначения которых отличались чрезвычайным разнообразием, так как единой системы характерной для танкового, механизированного или кавалерийского корпуса в таких частях не было. Например 8-я самоходно- артиллерийская бригада имела свой особый отличительный знак в виде "орла в круге". Кроме шестизначного заводского номера, нехарактерного для других советских танков и САУ, СУ-76 этой бригады имели достаточно оригинальную систему обозначения дивизиона (горизонтальные полоски над "орлом" в крут) и батареи (количество треугольников под кругом).</w:t>
      </w:r>
    </w:p>
    <w:p w14:paraId="3889F9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Самоходные полки истребителей танков также имели свои характерные знаки идентификации. Либо это были трехзначные или двузначные тактические номера с символом соединения, либо обозначение из букв русского алфавита, определяющие номер батареи в совокупности с персональным номером САУ. Например, С-13 - 4-я батарея, 13-я самоходно-артиллерийская установка.</w:t>
      </w:r>
    </w:p>
    <w:p w14:paraId="2023EC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1047-м Калиниковичском САП (САУ СУ-85), например, была разработана целая система тактических обозначений. Кроме специального тактического знака, трехзначного номера и двух красных звезд на каждом борту, справа по ходу САУ, на каждой машине имелась надпись: "Смерть немецким оккупантам!".</w:t>
      </w:r>
    </w:p>
    <w:p w14:paraId="1D46B4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 танках, поставляемых в СССР по ленд- лизу из Великобритании, Канады и США, также были присущие только им обозначения. Еще в стране-производителе на машину наносились четырех-, пяти- или шестизначные регистрационные знаки - белой краской с начальной литерой "т" (tank) - английские, "СТ" (Canadian tank) - канадские, а серо-голубой краской с надписью "USA" и шестизначным номером - американские. В бронетанковых частях Красной Армии заводские регистрационные знаки обычно оставляли без изменений и не закрашивали.</w:t>
      </w:r>
    </w:p>
    <w:p w14:paraId="3C9A58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Ряд танков (особенно британских), предназначенных для поставок в СССР, изымались непосредственно из боевых частей, поэтому многие из них кроме заводских регистрационных номеров имели тактические знаки английской или американской армии. Так, танки "Тетрарх" английского производства, переданные в 151-ю танковую бригаду РККА из 9-го Уланского королевского танкового полка (Queen Lancers) 1-й английской бронетанковой дивизии уже в советской части имели британские опознавательные знаки: "белый носорог в черном овале" - знак дивизии, цифра "53" в красном квадрате - обозначения батальона. </w:t>
      </w:r>
    </w:p>
    <w:p w14:paraId="083D4E7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регистрационного номера и тактических обозначений большинство британских танков имело личные наименования, наносимые краской но бортам корпуса. Так как танков, поставляемых из боевых частей, было немного, эти надписи присутствовали не на всех машинах, но если они были, из уважения к английским, канадским и американским танкистам их не закрашивали.</w:t>
      </w:r>
    </w:p>
    <w:p w14:paraId="32F8F5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Остальные тактические и опознавательные знаки на машины, поставляемые по ленд-лизу, наносились в зависимости от соединения, театра военных действий и периода применения без существенных отличий от танков советского производства. Единственным исключением для машин зарубежного производства являлось более частое использование опознавательных красных звезд для гарантированной идентификации менее знакомых советским бойцам танков взаимодействующими частями.</w:t>
      </w:r>
    </w:p>
    <w:p w14:paraId="13F555F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Касаясь знаков воздушного опознавания, можно со всей уверенностью утверждать, что с 1941 года основным опознавательным знаком являлась уже упоминавшаяся широкая белая поперечная полоса на крыше башни. В 1942- 1945 годах ее сменил другой знак воздушной идентификации - белый (красный - для зимы) треугольник с желтым кругом в центре. Иногда в круге рисовали красную звезду, однако, и звезда, и сам круг в полевых условиях были редкостью -' на крышу башни или рубки САУ просто наносили белый треугольник. В отдельных случаях (Ленинградский фронт, 4-й Гвардейский мехкорпус) в качестве знака воздушного опознавания использовали белый (красный - для зимы) круг или другие опознавательные знаки. В 1945 году, когда Красная Армия вышла на границы Германии, возникла проблема взаимного опознавания техники между советскими и англо-американскими войсками, также вступившими в пределы III Рейха. На одном из совместных совещаний было решено, что для взаимоопознавания на советские танки будет наноситься одна, а на союзные - две белые полосы по периметру башни. На крыше башни также наносились перекрещенные белые полосы. Однако вскоре союзники отказались от этой системы и продолжали использовать красно-желтые флюоресцирующие панели воздушного опознавания, продублированные белой звездой - американским национальным опознавательным знаком, принятым в качестве основного для всех войск Антигитлеровской коалиции на Западе. В советских танковых войсках белые полосы наносили только на танки, участвовавшие в Берлинской операции. К тому же оказалось, что немцы разгадали "опознавательный код" и стали наносить опознавательные полосы на свои танки. Поэтому уже в майских, завершающих боях, на советской технике кроме полос можно было видеть вновь нанесенные белые треугольники (11993).</w:t>
      </w:r>
    </w:p>
    <w:p w14:paraId="45EF00E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36008"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Внешняя политика:</w:t>
      </w:r>
    </w:p>
    <w:p w14:paraId="05880E3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713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Начиная с 1943 года, когда только разворачивалась широкомасштабная работа научно-технической разведки по «Энормозу» и до испытания в 1945 году первой американской атомной бомбы, советская внешняя разведка получила несколько тысяч листов секретной документальной информации.</w:t>
      </w:r>
    </w:p>
    <w:p w14:paraId="71D016B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Выдающийся советский ученый-атомщик И. В. Курчатов, которому направлялись добытые внешней разведкой материалы по «Энормозу», неоднократно давал им высокую оценку. Так, в заключении по материалам к препроводительной записке (№ 1/3/22500) от 25 декабря 1944 года он пишет: «Очень богатый и в разных отношениях поучительный материал. Он содержит теоретически важные указания…».</w:t>
      </w:r>
    </w:p>
    <w:p w14:paraId="5703F1B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марте 1945 года И. Курчатов, оценивая очередной материал по атомной бомбе, полученный разведкой, пишет: «Материал представляет большой интерес. В нем, наряду с разрабатываемыми нами методами и схемами, указаны возможности, которые до сих пор у нас не рассматривались».</w:t>
      </w:r>
    </w:p>
    <w:p w14:paraId="4D5E1E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рукописной записке на имя министра госбезопасности В.Абакумова от 31 декабря 1946 года И. Курчатов отмечает «Материалы, с которыми меня сегодня ознакомил т. Василевский, по вопросам:</w:t>
      </w:r>
    </w:p>
    <w:p w14:paraId="2EB3C79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 американские работы по сверх-бомбе;</w:t>
      </w:r>
    </w:p>
    <w:p w14:paraId="41FDCBA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407A4B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271E51">
        <w:rPr>
          <w:rFonts w:ascii="Times New Roman" w:hAnsi="Times New Roman"/>
          <w:iCs/>
          <w:color w:val="000000" w:themeColor="text1"/>
          <w:sz w:val="16"/>
          <w:szCs w:val="16"/>
        </w:rPr>
        <w:t>по</w:t>
      </w:r>
      <w:r w:rsidRPr="00271E51">
        <w:rPr>
          <w:rFonts w:ascii="Times New Roman" w:hAnsi="Times New Roman"/>
          <w:color w:val="000000" w:themeColor="text1"/>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w:t>
      </w:r>
    </w:p>
    <w:p w14:paraId="2EA441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6E6D6C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F97506"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За рубежом:</w:t>
      </w:r>
    </w:p>
    <w:p w14:paraId="5B0B63C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FF28E"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 1943 г. бомбы серии РС стали вытесняться корректируемыми бронебойными бомбами типа «Х». Их с полным основанием уже можно отнести к классу немецкого высокоточного оружия. Они были разработаны на фирме «Ruhrstahl» под руководством М. Крамера. В первых экземплярах управление бомбы осуществлялось по радио, а направление корректировалось с помощью изменения аэродинамического сопротивления стабилизаторов, установленных во взаимно перпендикулярных плоскостях. После того как союзники стали применять искусственное радиоподавление, управление бомб стало осуществляться по проводам. Это был стальной провод длиной около 10 км и диаметром 0,2 мм. Провод наматывался на катушку, устанавливаемую либо на бомбе, либо на самолете. Опыт показал, что бомбу Х1, сброшенную с высоты 7 км, можно было навести в круг диаметром 1 км. Это обеспечивало попадание в цели типа «линкор» с вероятностью 0,13 (11686).</w:t>
      </w:r>
    </w:p>
    <w:p w14:paraId="1C0917F1" w14:textId="77777777" w:rsidR="00FC04C9" w:rsidRPr="00271E51" w:rsidRDefault="00FC04C9" w:rsidP="00271E51">
      <w:pPr>
        <w:autoSpaceDE w:val="0"/>
        <w:autoSpaceDN w:val="0"/>
        <w:adjustRightInd w:val="0"/>
        <w:spacing w:after="0" w:line="240" w:lineRule="auto"/>
        <w:jc w:val="both"/>
        <w:rPr>
          <w:rFonts w:ascii="Times New Roman" w:hAnsi="Times New Roman"/>
          <w:color w:val="000000" w:themeColor="text1"/>
          <w:sz w:val="16"/>
          <w:szCs w:val="16"/>
        </w:rPr>
      </w:pPr>
    </w:p>
    <w:p w14:paraId="23E830A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году, согласно автор: Мирослав Шнайдр, :Аиракобра в американскыx службах УСААФ в 1941-1944изд. Вотобиа,1996:</w:t>
      </w:r>
    </w:p>
    <w:tbl>
      <w:tblPr>
        <w:tblW w:w="0" w:type="auto"/>
        <w:tblLayout w:type="fixed"/>
        <w:tblLook w:val="0000" w:firstRow="0" w:lastRow="0" w:firstColumn="0" w:lastColumn="0" w:noHBand="0" w:noVBand="0"/>
      </w:tblPr>
      <w:tblGrid>
        <w:gridCol w:w="1548"/>
        <w:gridCol w:w="1980"/>
      </w:tblGrid>
      <w:tr w:rsidR="00A907A5" w:rsidRPr="00271E51" w14:paraId="565BFC4F" w14:textId="77777777" w:rsidTr="00ED5B0A">
        <w:tc>
          <w:tcPr>
            <w:tcW w:w="1548" w:type="dxa"/>
            <w:tcBorders>
              <w:top w:val="single" w:sz="12" w:space="0" w:color="auto"/>
              <w:left w:val="single" w:sz="12" w:space="0" w:color="auto"/>
              <w:bottom w:val="single" w:sz="6" w:space="0" w:color="auto"/>
              <w:right w:val="single" w:sz="6" w:space="0" w:color="auto"/>
            </w:tcBorders>
          </w:tcPr>
          <w:p w14:paraId="1DA012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P-39</w:t>
            </w:r>
          </w:p>
        </w:tc>
        <w:tc>
          <w:tcPr>
            <w:tcW w:w="1980" w:type="dxa"/>
            <w:tcBorders>
              <w:top w:val="single" w:sz="12" w:space="0" w:color="auto"/>
              <w:left w:val="single" w:sz="6" w:space="0" w:color="auto"/>
              <w:bottom w:val="single" w:sz="6" w:space="0" w:color="auto"/>
              <w:right w:val="single" w:sz="12" w:space="0" w:color="auto"/>
            </w:tcBorders>
          </w:tcPr>
          <w:p w14:paraId="20E6EE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почти 63 тыс. долларов</w:t>
            </w:r>
          </w:p>
        </w:tc>
      </w:tr>
      <w:tr w:rsidR="00A907A5" w:rsidRPr="00271E51" w14:paraId="13EE8E82" w14:textId="77777777" w:rsidTr="00ED5B0A">
        <w:tc>
          <w:tcPr>
            <w:tcW w:w="1548" w:type="dxa"/>
            <w:tcBorders>
              <w:top w:val="single" w:sz="6" w:space="0" w:color="auto"/>
              <w:left w:val="single" w:sz="12" w:space="0" w:color="auto"/>
              <w:bottom w:val="single" w:sz="6" w:space="0" w:color="auto"/>
              <w:right w:val="single" w:sz="6" w:space="0" w:color="auto"/>
            </w:tcBorders>
          </w:tcPr>
          <w:p w14:paraId="21EB3A4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P-38</w:t>
            </w:r>
          </w:p>
        </w:tc>
        <w:tc>
          <w:tcPr>
            <w:tcW w:w="1980" w:type="dxa"/>
            <w:tcBorders>
              <w:top w:val="single" w:sz="6" w:space="0" w:color="auto"/>
              <w:left w:val="single" w:sz="6" w:space="0" w:color="auto"/>
              <w:bottom w:val="single" w:sz="6" w:space="0" w:color="auto"/>
              <w:right w:val="single" w:sz="12" w:space="0" w:color="auto"/>
            </w:tcBorders>
          </w:tcPr>
          <w:p w14:paraId="58280FA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105 567 $</w:t>
            </w:r>
          </w:p>
        </w:tc>
      </w:tr>
      <w:tr w:rsidR="00A907A5" w:rsidRPr="00271E51" w14:paraId="38688192" w14:textId="77777777" w:rsidTr="00ED5B0A">
        <w:tc>
          <w:tcPr>
            <w:tcW w:w="1548" w:type="dxa"/>
            <w:tcBorders>
              <w:top w:val="single" w:sz="6" w:space="0" w:color="auto"/>
              <w:left w:val="single" w:sz="12" w:space="0" w:color="auto"/>
              <w:bottom w:val="single" w:sz="6" w:space="0" w:color="auto"/>
              <w:right w:val="single" w:sz="6" w:space="0" w:color="auto"/>
            </w:tcBorders>
          </w:tcPr>
          <w:p w14:paraId="41DDD43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P-40</w:t>
            </w:r>
          </w:p>
        </w:tc>
        <w:tc>
          <w:tcPr>
            <w:tcW w:w="1980" w:type="dxa"/>
            <w:tcBorders>
              <w:top w:val="single" w:sz="6" w:space="0" w:color="auto"/>
              <w:left w:val="single" w:sz="6" w:space="0" w:color="auto"/>
              <w:bottom w:val="single" w:sz="6" w:space="0" w:color="auto"/>
              <w:right w:val="single" w:sz="12" w:space="0" w:color="auto"/>
            </w:tcBorders>
          </w:tcPr>
          <w:p w14:paraId="762304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49 449 $</w:t>
            </w:r>
          </w:p>
        </w:tc>
      </w:tr>
      <w:tr w:rsidR="00A907A5" w:rsidRPr="00271E51" w14:paraId="25275948" w14:textId="77777777" w:rsidTr="00ED5B0A">
        <w:tc>
          <w:tcPr>
            <w:tcW w:w="1548" w:type="dxa"/>
            <w:tcBorders>
              <w:top w:val="single" w:sz="6" w:space="0" w:color="auto"/>
              <w:left w:val="single" w:sz="12" w:space="0" w:color="auto"/>
              <w:bottom w:val="single" w:sz="6" w:space="0" w:color="auto"/>
              <w:right w:val="single" w:sz="6" w:space="0" w:color="auto"/>
            </w:tcBorders>
          </w:tcPr>
          <w:p w14:paraId="1C3F8D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P-47</w:t>
            </w:r>
          </w:p>
        </w:tc>
        <w:tc>
          <w:tcPr>
            <w:tcW w:w="1980" w:type="dxa"/>
            <w:tcBorders>
              <w:top w:val="single" w:sz="6" w:space="0" w:color="auto"/>
              <w:left w:val="single" w:sz="6" w:space="0" w:color="auto"/>
              <w:bottom w:val="single" w:sz="6" w:space="0" w:color="auto"/>
              <w:right w:val="single" w:sz="12" w:space="0" w:color="auto"/>
            </w:tcBorders>
          </w:tcPr>
          <w:p w14:paraId="4D1477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104 258 $</w:t>
            </w:r>
          </w:p>
        </w:tc>
      </w:tr>
      <w:tr w:rsidR="00A907A5" w:rsidRPr="00271E51" w14:paraId="5A2D29DA" w14:textId="77777777" w:rsidTr="00ED5B0A">
        <w:tc>
          <w:tcPr>
            <w:tcW w:w="1548" w:type="dxa"/>
            <w:tcBorders>
              <w:top w:val="single" w:sz="6" w:space="0" w:color="auto"/>
              <w:left w:val="single" w:sz="12" w:space="0" w:color="auto"/>
              <w:bottom w:val="single" w:sz="6" w:space="0" w:color="auto"/>
              <w:right w:val="single" w:sz="6" w:space="0" w:color="auto"/>
            </w:tcBorders>
          </w:tcPr>
          <w:p w14:paraId="7198DD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P-51</w:t>
            </w:r>
          </w:p>
        </w:tc>
        <w:tc>
          <w:tcPr>
            <w:tcW w:w="1980" w:type="dxa"/>
            <w:tcBorders>
              <w:top w:val="single" w:sz="6" w:space="0" w:color="auto"/>
              <w:left w:val="single" w:sz="6" w:space="0" w:color="auto"/>
              <w:bottom w:val="single" w:sz="6" w:space="0" w:color="auto"/>
              <w:right w:val="single" w:sz="12" w:space="0" w:color="auto"/>
            </w:tcBorders>
          </w:tcPr>
          <w:p w14:paraId="1081AF4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58 824 $</w:t>
            </w:r>
          </w:p>
        </w:tc>
      </w:tr>
      <w:tr w:rsidR="00A907A5" w:rsidRPr="00271E51" w14:paraId="35732E3F" w14:textId="77777777" w:rsidTr="00ED5B0A">
        <w:tc>
          <w:tcPr>
            <w:tcW w:w="1548" w:type="dxa"/>
            <w:tcBorders>
              <w:top w:val="single" w:sz="6" w:space="0" w:color="auto"/>
              <w:left w:val="single" w:sz="12" w:space="0" w:color="auto"/>
              <w:bottom w:val="single" w:sz="12" w:space="0" w:color="auto"/>
              <w:right w:val="single" w:sz="6" w:space="0" w:color="auto"/>
            </w:tcBorders>
          </w:tcPr>
          <w:p w14:paraId="11AB76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Спитфире</w:t>
            </w:r>
          </w:p>
        </w:tc>
        <w:tc>
          <w:tcPr>
            <w:tcW w:w="1980" w:type="dxa"/>
            <w:tcBorders>
              <w:top w:val="single" w:sz="6" w:space="0" w:color="auto"/>
              <w:left w:val="single" w:sz="6" w:space="0" w:color="auto"/>
              <w:bottom w:val="single" w:sz="12" w:space="0" w:color="auto"/>
              <w:right w:val="single" w:sz="12" w:space="0" w:color="auto"/>
            </w:tcBorders>
          </w:tcPr>
          <w:p w14:paraId="79FB36D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45 000 $</w:t>
            </w:r>
          </w:p>
        </w:tc>
      </w:tr>
    </w:tbl>
    <w:p w14:paraId="1EC1E8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(10691).</w:t>
      </w:r>
    </w:p>
    <w:p w14:paraId="0FFF5B2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86C56"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В 1943 г. фирма «Маузер» приступила к работе над первой в мире автоматической авиационной пушкой револьверного типа MG-213C. Пушка приводилась в действие газовым приводом, но поршень вместо того, чтобы приводить в движение тяжелый затвор, был просто прикреплен к досылателю, функцией которого являлось извлечение патронов из ленты и досылание их в одну из пяти камор барабана, идентичного по форме барабану револьвера. Германская револьверная пушка MG-21ЗС выпускалась с двумя стволами — 20-мм и 30-мм.</w:t>
      </w:r>
    </w:p>
    <w:p w14:paraId="25410D8A"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20-мм пушка MG-213C/20 имела темп стрельбы 1500 выстр./мин. Вес пушки 75 кг. Вес осколочного снаряда 191 грамм, в нем содержалось 25,4 грамма взрывчатого вещества. Начальная скорость снаряда 915 м/с.</w:t>
      </w:r>
    </w:p>
    <w:p w14:paraId="4BB128FF"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30-мм пушки MG-213C/30 имела несколько меньший темп стрельбы — 1200 выстр./мин. Вес 30-мм пушки почти одинаков с 20-мм пушкой — 77,2 кг. Зато вес снаряда существенно больше — 331,4 грамма. Начальная скорость снаряда 550,5 м/с.</w:t>
      </w:r>
    </w:p>
    <w:p w14:paraId="667E8B83"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Пушки MG-213C в 1944—1945 гг. проходили испытания на реактивном истребителе Ме-262А-1а. Однако окончание войны не позволило немцам запустить MG-213C в серийное производство.</w:t>
      </w:r>
    </w:p>
    <w:p w14:paraId="1FBB085E"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После 1945 г. в США были доставлены несколько образцов пушки MG-213C, а также главные конструкторы фирмы «Маузер» Отто фон Лоссинцер и доктор К. Маер. В 1947 г. они создали модернизацию пушки MG-213C с 20-мм стволом. Она получила армейский индекс Т-47. Доработка Т-47 привела к созданию 20-мм револьверной пушки М.39, имевшей небольшие различия с MG-213C. В 1954 г. пушка М.39 была принята на вооружение ВВС США, а позже — еще 24 государств мира.</w:t>
      </w:r>
    </w:p>
    <w:p w14:paraId="653CC794"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Англия и Франция в свою очередь тоже доработали MG-213C, что привело к созданию 30-мм английской пушки «Аден» и 30-мм французской пушки «Дефа». Так, пушка «Дефа» поставлялась в 25 стран мира.</w:t>
      </w:r>
    </w:p>
    <w:p w14:paraId="67C152E7"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Ну а фирма «Густлаф» создала уникальный 9-пульный (!) патрон, предназначенный для сверхвысоких темпов стрельбы. Патроны калибра 7,92 мм с 20—30 пулями получили обозначение HF-8, а калибра 15-мм с 9-ю пулями — HF-15. Патроны состояли из гильзы, камеры для порохового заряда и вкладыша со спиральным каналом, в котором размещались пули. Пуля, расположенная у основания спирального канала, совмещалась с каналом ствола.</w:t>
      </w:r>
    </w:p>
    <w:p w14:paraId="7E965576"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После воспламенения заряда пороховые газы выталкивали снаряд, находящийся в центре патрона. Одновременно с этим (действием газов через специальное отверстие) остальные снаряды перемещались в боковом направлении по спирали, и как только очередной снаряд оказывался в центре патрона, так он выталкивается пороховыми газами.</w:t>
      </w:r>
    </w:p>
    <w:p w14:paraId="68597F22"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В ходе летных испытаний опытного образца авиационного пулемета MG.151, установленного на истребителе Me-109, был достигнут темп стрельбы 15 000 выстр./мин (15225).</w:t>
      </w:r>
    </w:p>
    <w:p w14:paraId="4C6F3183" w14:textId="77777777" w:rsidR="00CE3485" w:rsidRPr="00271E51" w:rsidRDefault="00CE3485" w:rsidP="00271E51">
      <w:pPr>
        <w:pStyle w:val="book"/>
        <w:ind w:firstLine="0"/>
        <w:jc w:val="both"/>
        <w:rPr>
          <w:color w:val="000000" w:themeColor="text1"/>
          <w:sz w:val="16"/>
          <w:szCs w:val="16"/>
        </w:rPr>
      </w:pPr>
    </w:p>
    <w:p w14:paraId="60CB5996" w14:textId="77777777" w:rsidR="00CE3485" w:rsidRPr="00271E51" w:rsidRDefault="00CE3485" w:rsidP="00271E51">
      <w:pPr>
        <w:pStyle w:val="book"/>
        <w:ind w:firstLine="0"/>
        <w:jc w:val="both"/>
        <w:rPr>
          <w:color w:val="000000" w:themeColor="text1"/>
          <w:sz w:val="16"/>
          <w:szCs w:val="16"/>
        </w:rPr>
      </w:pPr>
      <w:r w:rsidRPr="00271E51">
        <w:rPr>
          <w:color w:val="000000" w:themeColor="text1"/>
          <w:sz w:val="16"/>
          <w:szCs w:val="16"/>
        </w:rPr>
        <w:t>В 1943—1944 гг в Германии было создано несколько типов реактивных противотанковых гранатометов: «Фаустпатрон» («Панцерфауст»), «Офенрор», «Панцершрек» (модификация «Офенрора» со щитком) и ряд других. В германской армии «Офенрор» и «Панцершрек» назывались реактивными противотанковыми ружьями, а «Фаустпатроны» — установками (устройствами) (15225).</w:t>
      </w:r>
    </w:p>
    <w:p w14:paraId="7438B804" w14:textId="77777777" w:rsidR="00CE3485" w:rsidRPr="00271E51" w:rsidRDefault="00CE3485" w:rsidP="00271E51">
      <w:pPr>
        <w:spacing w:after="0" w:line="240" w:lineRule="auto"/>
        <w:jc w:val="both"/>
        <w:rPr>
          <w:rFonts w:ascii="Times New Roman" w:hAnsi="Times New Roman"/>
          <w:color w:val="000000" w:themeColor="text1"/>
          <w:sz w:val="16"/>
          <w:szCs w:val="16"/>
        </w:rPr>
      </w:pPr>
    </w:p>
    <w:p w14:paraId="3EF85A3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 г. командование германских ВМС приняло решение построить экспериментальную подлодку XVII серии с дизелем "крейслауф" мощностью 1500 л. с. "Крейслауф" - круговорот. В 1944 г. ее заложили под обозначением U-798, но до окончания войны не успели спустить на воду (10735). В 1930-х годах предпринималась еще одна попытка создать двигатель, работающий по замкнутому циклу, но с применением в качестве окислителя не кислорода, а перекиси водорода. Автором идеи был германский инженер Гельмут Вальтер. Вальтер пришел к выводу, что наиболее эффективно свойства концентрированной перекиси водорода можно использовать не в дизельной, а в турбинной установке. В 1936 г. такую экспериментальную парогазовую турбинную энергетическую установку построили в Киле. Она работала по так называемому "холодному" циклу. Продукты реакции разложения высококонцентрированного раствора перекиси водорода подавались в турбину, вращавшую через понижающий редуктор гребной винт, а затем отводились за борт (10735). Первая энергетическая установка имела два очевидных недостатка. Кислород, содержащийся в отводимых за борт продуктах реакции, плохо растворяется в воде, а его пузырьки демаскируют подводную лодку. Кроме того, в условиях корабля, изолированного от атмосферы толщей воды, выбрасывать за борт кислород было неоправданным расточительством. Поэтому логическим продолжением "холодного" процесса являлся "горячий", при котором в продукты разложения перекиси подавалось органическое топливо, которое затем сжигалось. В таком варианте мощность установки резко возрастала и, кроме того, уменьшалась следность, так как продукт горения - углекислый газ значительно лучше кислорода растворяется в воде. И все же на первом этапе работ Вальтер ограничился установкой с "холодным" циклом, поскольку она была проще и безопаснее (10735). В 1937 г. Вальтер доложил результаты своих опытов руководству германских ВМС и заверил всех в возможности создания подводных лодок с парогазовыми турбинными установками с невиданной скоростью подводного хода - более 20 узлов (10735). Командование кригсмарине приняло решение о форсировании создания лодки. В процессе ее проектирования решались вопросы, связанные не только с применением необычной энергетической установки. Для получения проектной скорости подводного хода порядка 25 узлов обводы корпуса обычной подводной лодки и способы управления ею в подводном положении стали неприемлемы (10735). Пришлось прибегнуть к опыту авиастроителей. Выбирая оптимальную форму и размеры корпуса лодки, испытали несколько моделей в аэродинамической трубе (10735). 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58A9545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1519BE"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Авиапромышленность:</w:t>
      </w:r>
    </w:p>
    <w:p w14:paraId="0B8978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D4FED7" w14:textId="77777777" w:rsidR="00375F58" w:rsidRPr="00271E51" w:rsidRDefault="00375F58"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1943—1944 гг. проходили контрольные испытания самолетов Пе-2 № 19/205 и № 1/202, модифицированных в ЦАГИ. По сравнению с серийными самолетами максимальную скорость удалось увеличить на 22 км/ч (19727).</w:t>
      </w:r>
    </w:p>
    <w:p w14:paraId="0D414E6F" w14:textId="77777777" w:rsidR="00375F58" w:rsidRPr="00271E51" w:rsidRDefault="00375F58" w:rsidP="00271E51">
      <w:pPr>
        <w:spacing w:after="0" w:line="240" w:lineRule="auto"/>
        <w:jc w:val="both"/>
        <w:rPr>
          <w:rFonts w:ascii="Times New Roman" w:hAnsi="Times New Roman"/>
          <w:color w:val="000000" w:themeColor="text1"/>
          <w:sz w:val="16"/>
          <w:szCs w:val="16"/>
        </w:rPr>
      </w:pPr>
    </w:p>
    <w:p w14:paraId="1D6AA10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1943-1944 годах Невское ЦКБ (тогда ЦКБ-17) предложило заказчику первый предэскизный проект авианосца (проекта 72), выполненного в соответствии с оперативно-тактическим заданием ВМФ. В качестве первого корабельного истребителя намечалось использовать морской вариант Як-9К, создание которого включили в проект плана опытного самолетостроения на 1944 г. Однако из-за перегрузки ОКБ А.С. Яковлева фронтовыми заказами, это задание с него сняли (12046).</w:t>
      </w:r>
    </w:p>
    <w:p w14:paraId="1EAFB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33993" w14:textId="77777777" w:rsidR="00FC04C9" w:rsidRPr="00271E51" w:rsidRDefault="00617503"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Другие оборонные отрасли:</w:t>
      </w:r>
    </w:p>
    <w:p w14:paraId="1A84A1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0E6E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1943–1948 гг. в ОКБ-43 было разработано несколько безоткатных авиационных пушек. На базе одной из них в 1952 г. изготовили и испытали на морском охотнике опытный образец 76-мм корабельной безоткатной пушки ДРП-76.</w:t>
      </w:r>
    </w:p>
    <w:p w14:paraId="0817EB4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Питание пушки было ленточным, механизмы наведения имели электропривод. Пушка предназначалось для вооружения торпедных катеров. На вооружение пушка принята не была.</w:t>
      </w:r>
    </w:p>
    <w:p w14:paraId="18A949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Данные пушки ДРП-76 </w:t>
      </w:r>
    </w:p>
    <w:p w14:paraId="316903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Калибр, мм — 76,2</w:t>
      </w:r>
    </w:p>
    <w:p w14:paraId="24A6593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Длина ствола, клб — 30</w:t>
      </w:r>
    </w:p>
    <w:p w14:paraId="1CBA8B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ВН, град — ?5; +45</w:t>
      </w:r>
    </w:p>
    <w:p w14:paraId="3B8EF6C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Угол ГН, град — 360</w:t>
      </w:r>
    </w:p>
    <w:p w14:paraId="769DD7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Скорость ВН, град/с — 20</w:t>
      </w:r>
    </w:p>
    <w:p w14:paraId="205204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Скорость ГН, град/с — 25</w:t>
      </w:r>
    </w:p>
    <w:p w14:paraId="0573EC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установки, кг — 150</w:t>
      </w:r>
    </w:p>
    <w:p w14:paraId="4B3584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Темп стрельбы, выстр/мин — 80</w:t>
      </w:r>
    </w:p>
    <w:p w14:paraId="5F17C20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Расчет, чел — 2</w:t>
      </w:r>
    </w:p>
    <w:p w14:paraId="2D7CA36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Баллистические данные</w:t>
      </w:r>
    </w:p>
    <w:p w14:paraId="219553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снаряда, кг — 4,6</w:t>
      </w:r>
    </w:p>
    <w:p w14:paraId="78BAC2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Вес выстрела, кг — 8,75</w:t>
      </w:r>
    </w:p>
    <w:p w14:paraId="2FC347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Начальная скорость, м/с — 530</w:t>
      </w:r>
    </w:p>
    <w:p w14:paraId="71A034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Дальность, м — 11 300 (12091).</w:t>
      </w:r>
    </w:p>
    <w:p w14:paraId="2A0BB9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F55B9" w14:textId="77777777" w:rsidR="000A25B3" w:rsidRPr="00271E51" w:rsidRDefault="000A25B3" w:rsidP="00271E51">
      <w:pPr>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1943-44 гг. в лаборатории завода N465 Наркомата электропромышленности путем точного копирования английских образцов создавались самые первые отечественные СВЧ-приборы (приемно-усилительные лампы и импульсные триоды) (15137).</w:t>
      </w:r>
    </w:p>
    <w:p w14:paraId="131862E4" w14:textId="77777777" w:rsidR="000A25B3" w:rsidRPr="00271E51" w:rsidRDefault="000A25B3" w:rsidP="00271E51">
      <w:pPr>
        <w:spacing w:after="0" w:line="240" w:lineRule="auto"/>
        <w:jc w:val="both"/>
        <w:rPr>
          <w:rFonts w:ascii="Times New Roman" w:hAnsi="Times New Roman"/>
          <w:color w:val="000000" w:themeColor="text1"/>
          <w:sz w:val="16"/>
          <w:szCs w:val="16"/>
        </w:rPr>
      </w:pPr>
    </w:p>
    <w:p w14:paraId="29967FA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Производственно-технические паспорта заводов на 1943-1944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363"/>
        <w:gridCol w:w="22"/>
      </w:tblGrid>
      <w:tr w:rsidR="00A907A5" w:rsidRPr="00271E51" w14:paraId="28E65A8A" w14:textId="77777777" w:rsidTr="00ED5B0A">
        <w:tc>
          <w:tcPr>
            <w:tcW w:w="2235" w:type="dxa"/>
          </w:tcPr>
          <w:p w14:paraId="0DABCD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Болшевский машиностроительный завод № 715</w:t>
            </w:r>
          </w:p>
        </w:tc>
        <w:tc>
          <w:tcPr>
            <w:tcW w:w="2409" w:type="dxa"/>
          </w:tcPr>
          <w:p w14:paraId="12F121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Болшево, п/я 65</w:t>
            </w:r>
          </w:p>
        </w:tc>
        <w:tc>
          <w:tcPr>
            <w:tcW w:w="2385" w:type="dxa"/>
            <w:gridSpan w:val="2"/>
          </w:tcPr>
          <w:p w14:paraId="479B38F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50 мм, мина 82 мм (6493).</w:t>
            </w:r>
          </w:p>
        </w:tc>
      </w:tr>
      <w:tr w:rsidR="00A907A5" w:rsidRPr="00271E51" w14:paraId="23DC35AB" w14:textId="77777777" w:rsidTr="00ED5B0A">
        <w:tc>
          <w:tcPr>
            <w:tcW w:w="2235" w:type="dxa"/>
          </w:tcPr>
          <w:p w14:paraId="282C3A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725 организован в 1935 году на базе площадей Химаппаратуры</w:t>
            </w:r>
          </w:p>
        </w:tc>
        <w:tc>
          <w:tcPr>
            <w:tcW w:w="2409" w:type="dxa"/>
          </w:tcPr>
          <w:p w14:paraId="43BBB7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Щелково Московской области, п/я 50</w:t>
            </w:r>
          </w:p>
        </w:tc>
        <w:tc>
          <w:tcPr>
            <w:tcW w:w="2385" w:type="dxa"/>
            <w:gridSpan w:val="2"/>
          </w:tcPr>
          <w:p w14:paraId="136850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 “ОТ”, мина 82 мм “ОМ”</w:t>
            </w:r>
          </w:p>
        </w:tc>
      </w:tr>
      <w:tr w:rsidR="00A907A5" w:rsidRPr="00271E51" w14:paraId="740472E7" w14:textId="77777777" w:rsidTr="00ED5B0A">
        <w:tc>
          <w:tcPr>
            <w:tcW w:w="2235" w:type="dxa"/>
          </w:tcPr>
          <w:p w14:paraId="5203A9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744 на базе площадей Пензенского спирто-водочного завода и оборудования Воронежского машиностроительного завода им. Ленина</w:t>
            </w:r>
          </w:p>
        </w:tc>
        <w:tc>
          <w:tcPr>
            <w:tcW w:w="2409" w:type="dxa"/>
          </w:tcPr>
          <w:p w14:paraId="7184BF6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Пенза, п/я 13/6</w:t>
            </w:r>
          </w:p>
        </w:tc>
        <w:tc>
          <w:tcPr>
            <w:tcW w:w="2385" w:type="dxa"/>
            <w:gridSpan w:val="2"/>
          </w:tcPr>
          <w:p w14:paraId="0CB0C1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осколочно-трассирующая граната 37 мм, осколочная чугунная мина 50 мм, фугасная авиабомба 50 мм</w:t>
            </w:r>
          </w:p>
        </w:tc>
      </w:tr>
      <w:tr w:rsidR="00A907A5" w:rsidRPr="00271E51" w14:paraId="1E5B3354" w14:textId="77777777" w:rsidTr="00ED5B0A">
        <w:tc>
          <w:tcPr>
            <w:tcW w:w="2235" w:type="dxa"/>
          </w:tcPr>
          <w:p w14:paraId="69B8F7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им. 1 августа № 749 им. 1 августа. Организован в 1926 году на базе площадей завода “Мотор”</w:t>
            </w:r>
          </w:p>
        </w:tc>
        <w:tc>
          <w:tcPr>
            <w:tcW w:w="2409" w:type="dxa"/>
          </w:tcPr>
          <w:p w14:paraId="77FE1B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Варшавское шоссе, д. 15</w:t>
            </w:r>
          </w:p>
        </w:tc>
        <w:tc>
          <w:tcPr>
            <w:tcW w:w="2385" w:type="dxa"/>
            <w:gridSpan w:val="2"/>
          </w:tcPr>
          <w:p w14:paraId="6A78261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М-50, Г-76, ручная граната и др.</w:t>
            </w:r>
          </w:p>
        </w:tc>
      </w:tr>
      <w:tr w:rsidR="00A907A5" w:rsidRPr="00271E51" w14:paraId="5D024FFD" w14:textId="77777777" w:rsidTr="00ED5B0A">
        <w:trPr>
          <w:gridAfter w:val="1"/>
          <w:wAfter w:w="22" w:type="dxa"/>
        </w:trPr>
        <w:tc>
          <w:tcPr>
            <w:tcW w:w="2235" w:type="dxa"/>
          </w:tcPr>
          <w:p w14:paraId="2BCCDC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750 организован в 1942 году на базе площадей прежнего Климовского завода и оборудования частично возвращенного и полученного с заводов №№ 768, 792, 798. Организован в 1882 году</w:t>
            </w:r>
          </w:p>
        </w:tc>
        <w:tc>
          <w:tcPr>
            <w:tcW w:w="2409" w:type="dxa"/>
          </w:tcPr>
          <w:p w14:paraId="6D37FD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Климовск Московской области, п/я 45 (ст. Гривно Московско-Курской ж/д)</w:t>
            </w:r>
          </w:p>
        </w:tc>
        <w:tc>
          <w:tcPr>
            <w:tcW w:w="2363" w:type="dxa"/>
          </w:tcPr>
          <w:p w14:paraId="1814475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w:t>
            </w:r>
          </w:p>
        </w:tc>
      </w:tr>
      <w:tr w:rsidR="00A907A5" w:rsidRPr="00271E51" w14:paraId="45B96753" w14:textId="77777777" w:rsidTr="00ED5B0A">
        <w:trPr>
          <w:gridAfter w:val="1"/>
          <w:wAfter w:w="22" w:type="dxa"/>
        </w:trPr>
        <w:tc>
          <w:tcPr>
            <w:tcW w:w="2235" w:type="dxa"/>
          </w:tcPr>
          <w:p w14:paraId="3CC386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755 организован в 1942 году на базе площадей Пресненского машиностроительного завода НКМВ</w:t>
            </w:r>
          </w:p>
        </w:tc>
        <w:tc>
          <w:tcPr>
            <w:tcW w:w="2409" w:type="dxa"/>
          </w:tcPr>
          <w:p w14:paraId="34027AA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22, 2-я Звенигородская ул., д. 7, п/я 3800</w:t>
            </w:r>
          </w:p>
        </w:tc>
        <w:tc>
          <w:tcPr>
            <w:tcW w:w="2363" w:type="dxa"/>
          </w:tcPr>
          <w:p w14:paraId="5E2828F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 мина 50 мм, винтовочная противотанковая граната, мина 120 мм и др.</w:t>
            </w:r>
          </w:p>
        </w:tc>
      </w:tr>
      <w:tr w:rsidR="00A907A5" w:rsidRPr="00271E51" w14:paraId="794DDE1B" w14:textId="77777777" w:rsidTr="00ED5B0A">
        <w:trPr>
          <w:gridAfter w:val="1"/>
          <w:wAfter w:w="22" w:type="dxa"/>
        </w:trPr>
        <w:tc>
          <w:tcPr>
            <w:tcW w:w="2235" w:type="dxa"/>
          </w:tcPr>
          <w:p w14:paraId="74BDA6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67 им. Тимошенко организован в 1917 году</w:t>
            </w:r>
          </w:p>
        </w:tc>
        <w:tc>
          <w:tcPr>
            <w:tcW w:w="2409" w:type="dxa"/>
          </w:tcPr>
          <w:p w14:paraId="2AB5FE6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58, п/я 2350</w:t>
            </w:r>
          </w:p>
        </w:tc>
        <w:tc>
          <w:tcPr>
            <w:tcW w:w="2363" w:type="dxa"/>
          </w:tcPr>
          <w:p w14:paraId="22ED01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ФАБ-100 цт, ФАБ-50 мд, ФАБ-50 цт,, ФАБ-100 чуг. лит., ФАБ-250 цт, мина 120 мм, ПЛАБ-100 кг, ХАБ-100 кг и др.</w:t>
            </w:r>
          </w:p>
        </w:tc>
      </w:tr>
      <w:tr w:rsidR="00A907A5" w:rsidRPr="00271E51" w14:paraId="71746A92" w14:textId="77777777" w:rsidTr="00ED5B0A">
        <w:trPr>
          <w:gridAfter w:val="1"/>
          <w:wAfter w:w="22" w:type="dxa"/>
        </w:trPr>
        <w:tc>
          <w:tcPr>
            <w:tcW w:w="2235" w:type="dxa"/>
          </w:tcPr>
          <w:p w14:paraId="3B4EAD3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709 организован в 1941 году на базе площадей Музыкальной фабрики Облместпрома и Литейной артели “Металлист” и оборудования Черкасского завода им. Петровского</w:t>
            </w:r>
          </w:p>
        </w:tc>
        <w:tc>
          <w:tcPr>
            <w:tcW w:w="2409" w:type="dxa"/>
          </w:tcPr>
          <w:p w14:paraId="5457F71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Курган</w:t>
            </w:r>
          </w:p>
        </w:tc>
        <w:tc>
          <w:tcPr>
            <w:tcW w:w="2363" w:type="dxa"/>
          </w:tcPr>
          <w:p w14:paraId="4DAFEF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w:t>
            </w:r>
          </w:p>
        </w:tc>
      </w:tr>
      <w:tr w:rsidR="00A907A5" w:rsidRPr="00271E51" w14:paraId="33FD39BB" w14:textId="77777777" w:rsidTr="00ED5B0A">
        <w:trPr>
          <w:gridAfter w:val="1"/>
          <w:wAfter w:w="22" w:type="dxa"/>
        </w:trPr>
        <w:tc>
          <w:tcPr>
            <w:tcW w:w="2235" w:type="dxa"/>
          </w:tcPr>
          <w:p w14:paraId="1A2950B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716 организован в 1942 году на базе площадей Дмитровского механического завода НКОМ</w:t>
            </w:r>
          </w:p>
        </w:tc>
        <w:tc>
          <w:tcPr>
            <w:tcW w:w="2409" w:type="dxa"/>
          </w:tcPr>
          <w:p w14:paraId="3E0B13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Дмитров, п/я 10</w:t>
            </w:r>
          </w:p>
        </w:tc>
        <w:tc>
          <w:tcPr>
            <w:tcW w:w="2363" w:type="dxa"/>
          </w:tcPr>
          <w:p w14:paraId="49EA13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литье</w:t>
            </w:r>
          </w:p>
        </w:tc>
      </w:tr>
      <w:tr w:rsidR="00A907A5" w:rsidRPr="00271E51" w14:paraId="65D59B7C" w14:textId="77777777" w:rsidTr="00ED5B0A">
        <w:trPr>
          <w:gridAfter w:val="1"/>
          <w:wAfter w:w="22" w:type="dxa"/>
        </w:trPr>
        <w:tc>
          <w:tcPr>
            <w:tcW w:w="2235" w:type="dxa"/>
          </w:tcPr>
          <w:p w14:paraId="149C7A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723 им. Коминтерна организован в 1943 году на базе площадей завода им. Коминтерна, построенного в 1916 году</w:t>
            </w:r>
          </w:p>
        </w:tc>
        <w:tc>
          <w:tcPr>
            <w:tcW w:w="2409" w:type="dxa"/>
          </w:tcPr>
          <w:p w14:paraId="5207CF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Воронеж, завод им. Коминтерна</w:t>
            </w:r>
          </w:p>
        </w:tc>
        <w:tc>
          <w:tcPr>
            <w:tcW w:w="2363" w:type="dxa"/>
          </w:tcPr>
          <w:p w14:paraId="10B0B32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разрушен, не работает, начаты работы по восстановлению</w:t>
            </w:r>
          </w:p>
        </w:tc>
      </w:tr>
      <w:tr w:rsidR="00A907A5" w:rsidRPr="00271E51" w14:paraId="5EF4B018" w14:textId="77777777" w:rsidTr="00ED5B0A">
        <w:trPr>
          <w:gridAfter w:val="1"/>
          <w:wAfter w:w="22" w:type="dxa"/>
        </w:trPr>
        <w:tc>
          <w:tcPr>
            <w:tcW w:w="2235" w:type="dxa"/>
          </w:tcPr>
          <w:p w14:paraId="4EBAC6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727 им. Ленина</w:t>
            </w:r>
          </w:p>
        </w:tc>
        <w:tc>
          <w:tcPr>
            <w:tcW w:w="2409" w:type="dxa"/>
          </w:tcPr>
          <w:p w14:paraId="6E5850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Воронеж, ул. Карла Маркса, д. 87</w:t>
            </w:r>
          </w:p>
        </w:tc>
        <w:tc>
          <w:tcPr>
            <w:tcW w:w="2363" w:type="dxa"/>
          </w:tcPr>
          <w:p w14:paraId="4D15F8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разрушен, не работает, начаты работы по восстановлению</w:t>
            </w:r>
          </w:p>
        </w:tc>
      </w:tr>
      <w:tr w:rsidR="00A907A5" w:rsidRPr="00271E51" w14:paraId="6B8AB0F2" w14:textId="77777777" w:rsidTr="00ED5B0A">
        <w:trPr>
          <w:gridAfter w:val="1"/>
          <w:wAfter w:w="22" w:type="dxa"/>
        </w:trPr>
        <w:tc>
          <w:tcPr>
            <w:tcW w:w="2235" w:type="dxa"/>
          </w:tcPr>
          <w:p w14:paraId="6C147A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731 организован в 1943 году на базе площадей завода дезоборудования Нкздрава</w:t>
            </w:r>
          </w:p>
        </w:tc>
        <w:tc>
          <w:tcPr>
            <w:tcW w:w="2409" w:type="dxa"/>
          </w:tcPr>
          <w:p w14:paraId="68AAD0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Пенза, Механический порядок, 26</w:t>
            </w:r>
          </w:p>
        </w:tc>
        <w:tc>
          <w:tcPr>
            <w:tcW w:w="2363" w:type="dxa"/>
          </w:tcPr>
          <w:p w14:paraId="7C0875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ФАБ-50 и др.</w:t>
            </w:r>
          </w:p>
        </w:tc>
      </w:tr>
      <w:tr w:rsidR="00A907A5" w:rsidRPr="00271E51" w14:paraId="6FBB8B8D" w14:textId="77777777" w:rsidTr="00ED5B0A">
        <w:trPr>
          <w:gridAfter w:val="1"/>
          <w:wAfter w:w="22" w:type="dxa"/>
        </w:trPr>
        <w:tc>
          <w:tcPr>
            <w:tcW w:w="2235" w:type="dxa"/>
          </w:tcPr>
          <w:p w14:paraId="42B317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761 организован в 1941 году на базе площадей бывш. Нардома (городского театра)</w:t>
            </w:r>
          </w:p>
        </w:tc>
        <w:tc>
          <w:tcPr>
            <w:tcW w:w="2409" w:type="dxa"/>
          </w:tcPr>
          <w:p w14:paraId="6B87E6D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Курган Челябинской обл., п/я 62</w:t>
            </w:r>
          </w:p>
        </w:tc>
        <w:tc>
          <w:tcPr>
            <w:tcW w:w="2363" w:type="dxa"/>
          </w:tcPr>
          <w:p w14:paraId="57AF00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D9E261" w14:textId="77777777" w:rsidTr="00ED5B0A">
        <w:trPr>
          <w:gridAfter w:val="1"/>
          <w:wAfter w:w="22" w:type="dxa"/>
        </w:trPr>
        <w:tc>
          <w:tcPr>
            <w:tcW w:w="2235" w:type="dxa"/>
          </w:tcPr>
          <w:p w14:paraId="08E591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762 организован в 1941 году на базе площадей завода “Механик” и оборудования заводов “Механик” (Тюмень), </w:t>
            </w:r>
            <w:r w:rsidRPr="00271E51">
              <w:rPr>
                <w:rFonts w:ascii="Times New Roman" w:hAnsi="Times New Roman"/>
                <w:color w:val="000000" w:themeColor="text1"/>
                <w:sz w:val="16"/>
                <w:szCs w:val="16"/>
              </w:rPr>
              <w:lastRenderedPageBreak/>
              <w:t>“Красный экскаватор” (Киев)</w:t>
            </w:r>
          </w:p>
        </w:tc>
        <w:tc>
          <w:tcPr>
            <w:tcW w:w="2409" w:type="dxa"/>
          </w:tcPr>
          <w:p w14:paraId="6A1D80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Адрес: Тюмень, п/я 54</w:t>
            </w:r>
          </w:p>
        </w:tc>
        <w:tc>
          <w:tcPr>
            <w:tcW w:w="2363" w:type="dxa"/>
          </w:tcPr>
          <w:p w14:paraId="08D2E6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 мина 120 мм, миномет и др.</w:t>
            </w:r>
          </w:p>
        </w:tc>
      </w:tr>
      <w:tr w:rsidR="00A907A5" w:rsidRPr="00271E51" w14:paraId="7C201BA5" w14:textId="77777777" w:rsidTr="00ED5B0A">
        <w:trPr>
          <w:gridAfter w:val="1"/>
          <w:wAfter w:w="22" w:type="dxa"/>
        </w:trPr>
        <w:tc>
          <w:tcPr>
            <w:tcW w:w="2235" w:type="dxa"/>
          </w:tcPr>
          <w:p w14:paraId="4ACE64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764 организован в 1919 году</w:t>
            </w:r>
          </w:p>
        </w:tc>
        <w:tc>
          <w:tcPr>
            <w:tcW w:w="2409" w:type="dxa"/>
          </w:tcPr>
          <w:p w14:paraId="6B00C3B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Ставрополь, п/я 6</w:t>
            </w:r>
          </w:p>
        </w:tc>
        <w:tc>
          <w:tcPr>
            <w:tcW w:w="2363" w:type="dxa"/>
          </w:tcPr>
          <w:p w14:paraId="1760EA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корпуса мин 82 мм</w:t>
            </w:r>
          </w:p>
        </w:tc>
      </w:tr>
      <w:tr w:rsidR="00A907A5" w:rsidRPr="00271E51" w14:paraId="2883D047" w14:textId="77777777" w:rsidTr="00ED5B0A">
        <w:trPr>
          <w:gridAfter w:val="1"/>
          <w:wAfter w:w="22" w:type="dxa"/>
        </w:trPr>
        <w:tc>
          <w:tcPr>
            <w:tcW w:w="2235" w:type="dxa"/>
          </w:tcPr>
          <w:p w14:paraId="76D17B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765</w:t>
            </w:r>
          </w:p>
        </w:tc>
        <w:tc>
          <w:tcPr>
            <w:tcW w:w="2409" w:type="dxa"/>
          </w:tcPr>
          <w:p w14:paraId="5D7ED9A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ст. Рыбинск, п/я 128</w:t>
            </w:r>
          </w:p>
        </w:tc>
        <w:tc>
          <w:tcPr>
            <w:tcW w:w="2363" w:type="dxa"/>
          </w:tcPr>
          <w:p w14:paraId="66716D8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ФАБ-500, ХАВ-200, М-120, АО-25, ФАБ-50 и др.</w:t>
            </w:r>
          </w:p>
        </w:tc>
      </w:tr>
      <w:tr w:rsidR="00A907A5" w:rsidRPr="00271E51" w14:paraId="6E6D5892" w14:textId="77777777" w:rsidTr="00ED5B0A">
        <w:trPr>
          <w:gridAfter w:val="1"/>
          <w:wAfter w:w="22" w:type="dxa"/>
        </w:trPr>
        <w:tc>
          <w:tcPr>
            <w:tcW w:w="2235" w:type="dxa"/>
          </w:tcPr>
          <w:p w14:paraId="63D9ED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766 организован в 1941 году на базе площадей новостр. завода “Механик” (бывш. завода “Новый механик”)</w:t>
            </w:r>
          </w:p>
        </w:tc>
        <w:tc>
          <w:tcPr>
            <w:tcW w:w="2409" w:type="dxa"/>
          </w:tcPr>
          <w:p w14:paraId="3A75C9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Тюмень, п/я 50</w:t>
            </w:r>
          </w:p>
        </w:tc>
        <w:tc>
          <w:tcPr>
            <w:tcW w:w="2363" w:type="dxa"/>
          </w:tcPr>
          <w:p w14:paraId="53B1FE1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82 мм, мина 50 мм, минометы 50 мм и др.</w:t>
            </w:r>
          </w:p>
        </w:tc>
      </w:tr>
      <w:tr w:rsidR="00A907A5" w:rsidRPr="00271E51" w14:paraId="71FD1E85" w14:textId="77777777" w:rsidTr="00ED5B0A">
        <w:trPr>
          <w:gridAfter w:val="1"/>
          <w:wAfter w:w="22" w:type="dxa"/>
        </w:trPr>
        <w:tc>
          <w:tcPr>
            <w:tcW w:w="2235" w:type="dxa"/>
          </w:tcPr>
          <w:p w14:paraId="73EBDD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Тюменский экскаваторный завод № 769 организован в 1942 году на базе площадей Тюменских государственных конюшен и оборудования бывш. Дмитровского механического завода</w:t>
            </w:r>
          </w:p>
        </w:tc>
        <w:tc>
          <w:tcPr>
            <w:tcW w:w="2409" w:type="dxa"/>
          </w:tcPr>
          <w:p w14:paraId="3A952A4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Тюмень Омской области, ул. Семакова, д. 22, п/я 15А</w:t>
            </w:r>
          </w:p>
        </w:tc>
        <w:tc>
          <w:tcPr>
            <w:tcW w:w="2363" w:type="dxa"/>
          </w:tcPr>
          <w:p w14:paraId="07841A9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М-82 трубка, М-120 трубка и др.</w:t>
            </w:r>
          </w:p>
        </w:tc>
      </w:tr>
      <w:tr w:rsidR="00A907A5" w:rsidRPr="00271E51" w14:paraId="3863084B" w14:textId="77777777" w:rsidTr="00ED5B0A">
        <w:trPr>
          <w:gridAfter w:val="1"/>
          <w:wAfter w:w="22" w:type="dxa"/>
        </w:trPr>
        <w:tc>
          <w:tcPr>
            <w:tcW w:w="2235" w:type="dxa"/>
          </w:tcPr>
          <w:p w14:paraId="1688C45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770 экскаваторный</w:t>
            </w:r>
          </w:p>
        </w:tc>
        <w:tc>
          <w:tcPr>
            <w:tcW w:w="2409" w:type="dxa"/>
          </w:tcPr>
          <w:p w14:paraId="17E0E0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Ташкент, Огородная, 25</w:t>
            </w:r>
          </w:p>
        </w:tc>
        <w:tc>
          <w:tcPr>
            <w:tcW w:w="2363" w:type="dxa"/>
          </w:tcPr>
          <w:p w14:paraId="28FE21C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кухни походные, боеприпасы и др.</w:t>
            </w:r>
          </w:p>
        </w:tc>
      </w:tr>
      <w:tr w:rsidR="00A907A5" w:rsidRPr="00271E51" w14:paraId="22198015" w14:textId="77777777" w:rsidTr="00ED5B0A">
        <w:trPr>
          <w:gridAfter w:val="1"/>
          <w:wAfter w:w="22" w:type="dxa"/>
        </w:trPr>
        <w:tc>
          <w:tcPr>
            <w:tcW w:w="2235" w:type="dxa"/>
          </w:tcPr>
          <w:p w14:paraId="4A41EA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771</w:t>
            </w:r>
          </w:p>
        </w:tc>
        <w:tc>
          <w:tcPr>
            <w:tcW w:w="2409" w:type="dxa"/>
          </w:tcPr>
          <w:p w14:paraId="5DD8C3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Ярославль, п/я 135</w:t>
            </w:r>
          </w:p>
        </w:tc>
        <w:tc>
          <w:tcPr>
            <w:tcW w:w="2363" w:type="dxa"/>
          </w:tcPr>
          <w:p w14:paraId="5FD8FA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A79D60C" w14:textId="77777777" w:rsidTr="00ED5B0A">
        <w:trPr>
          <w:gridAfter w:val="1"/>
          <w:wAfter w:w="22" w:type="dxa"/>
        </w:trPr>
        <w:tc>
          <w:tcPr>
            <w:tcW w:w="2235" w:type="dxa"/>
          </w:tcPr>
          <w:p w14:paraId="47536C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772 “Северный коммунар”</w:t>
            </w:r>
          </w:p>
        </w:tc>
        <w:tc>
          <w:tcPr>
            <w:tcW w:w="2409" w:type="dxa"/>
          </w:tcPr>
          <w:p w14:paraId="667C70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Вологда, Малые кожевники, д. 13</w:t>
            </w:r>
          </w:p>
        </w:tc>
        <w:tc>
          <w:tcPr>
            <w:tcW w:w="2363" w:type="dxa"/>
          </w:tcPr>
          <w:p w14:paraId="4EFD678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кухни походные и др.</w:t>
            </w:r>
          </w:p>
        </w:tc>
      </w:tr>
      <w:tr w:rsidR="00A907A5" w:rsidRPr="00271E51" w14:paraId="53C11E8D" w14:textId="77777777" w:rsidTr="00ED5B0A">
        <w:trPr>
          <w:gridAfter w:val="1"/>
          <w:wAfter w:w="22" w:type="dxa"/>
        </w:trPr>
        <w:tc>
          <w:tcPr>
            <w:tcW w:w="2235" w:type="dxa"/>
          </w:tcPr>
          <w:p w14:paraId="5F157E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773 “Рабочий металлист”</w:t>
            </w:r>
          </w:p>
        </w:tc>
        <w:tc>
          <w:tcPr>
            <w:tcW w:w="2409" w:type="dxa"/>
          </w:tcPr>
          <w:p w14:paraId="56917D9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Кострома</w:t>
            </w:r>
          </w:p>
        </w:tc>
        <w:tc>
          <w:tcPr>
            <w:tcW w:w="2363" w:type="dxa"/>
          </w:tcPr>
          <w:p w14:paraId="268B943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корпуса снарядов и др.</w:t>
            </w:r>
          </w:p>
        </w:tc>
      </w:tr>
      <w:tr w:rsidR="00A907A5" w:rsidRPr="00271E51" w14:paraId="2D3D2D10" w14:textId="77777777" w:rsidTr="00ED5B0A">
        <w:trPr>
          <w:gridAfter w:val="1"/>
          <w:wAfter w:w="22" w:type="dxa"/>
        </w:trPr>
        <w:tc>
          <w:tcPr>
            <w:tcW w:w="2235" w:type="dxa"/>
          </w:tcPr>
          <w:p w14:paraId="32BDDFA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777 “Красный маяк” организован в 1934 году на базе площадей Лакокрасочного завода</w:t>
            </w:r>
          </w:p>
        </w:tc>
        <w:tc>
          <w:tcPr>
            <w:tcW w:w="2409" w:type="dxa"/>
          </w:tcPr>
          <w:p w14:paraId="393956F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Ярославль 3, п/я 7</w:t>
            </w:r>
          </w:p>
        </w:tc>
        <w:tc>
          <w:tcPr>
            <w:tcW w:w="2363" w:type="dxa"/>
          </w:tcPr>
          <w:p w14:paraId="67C936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1CDBE55" w14:textId="77777777" w:rsidTr="00ED5B0A">
        <w:trPr>
          <w:gridAfter w:val="1"/>
          <w:wAfter w:w="22" w:type="dxa"/>
        </w:trPr>
        <w:tc>
          <w:tcPr>
            <w:tcW w:w="2235" w:type="dxa"/>
          </w:tcPr>
          <w:p w14:paraId="1EF680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788 им. Маленкова</w:t>
            </w:r>
          </w:p>
        </w:tc>
        <w:tc>
          <w:tcPr>
            <w:tcW w:w="2409" w:type="dxa"/>
          </w:tcPr>
          <w:p w14:paraId="71B619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113, М. Красносельская, д. 2/8</w:t>
            </w:r>
          </w:p>
        </w:tc>
        <w:tc>
          <w:tcPr>
            <w:tcW w:w="2363" w:type="dxa"/>
          </w:tcPr>
          <w:p w14:paraId="7200BFD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7D18065" w14:textId="77777777" w:rsidTr="00ED5B0A">
        <w:trPr>
          <w:gridAfter w:val="1"/>
          <w:wAfter w:w="22" w:type="dxa"/>
        </w:trPr>
        <w:tc>
          <w:tcPr>
            <w:tcW w:w="2235" w:type="dxa"/>
          </w:tcPr>
          <w:p w14:paraId="6D0B81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740 организован в 1941 году на базе площадей Пензенской бисквитной фабрики и оборудования Харьковского завода им. Шевченко и др. заводов</w:t>
            </w:r>
          </w:p>
        </w:tc>
        <w:tc>
          <w:tcPr>
            <w:tcW w:w="2409" w:type="dxa"/>
          </w:tcPr>
          <w:p w14:paraId="6D6640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Пенза, п/я 250</w:t>
            </w:r>
          </w:p>
        </w:tc>
        <w:tc>
          <w:tcPr>
            <w:tcW w:w="2363" w:type="dxa"/>
          </w:tcPr>
          <w:p w14:paraId="06B639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2599FA" w14:textId="77777777" w:rsidTr="00ED5B0A">
        <w:trPr>
          <w:gridAfter w:val="1"/>
          <w:wAfter w:w="22" w:type="dxa"/>
        </w:trPr>
        <w:tc>
          <w:tcPr>
            <w:tcW w:w="2235" w:type="dxa"/>
          </w:tcPr>
          <w:p w14:paraId="5B3764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743</w:t>
            </w:r>
          </w:p>
        </w:tc>
        <w:tc>
          <w:tcPr>
            <w:tcW w:w="2409" w:type="dxa"/>
          </w:tcPr>
          <w:p w14:paraId="772208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Иваново, Загородная, 28</w:t>
            </w:r>
          </w:p>
        </w:tc>
        <w:tc>
          <w:tcPr>
            <w:tcW w:w="2363" w:type="dxa"/>
          </w:tcPr>
          <w:p w14:paraId="6F9C9C5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76 мм граната, зажигательные ОВ бомбы, мина 82 мм (литье), мина 120 мм (литье), миномет, мина 120 мм</w:t>
            </w:r>
          </w:p>
        </w:tc>
      </w:tr>
      <w:tr w:rsidR="00A907A5" w:rsidRPr="00271E51" w14:paraId="11CE8C25" w14:textId="77777777" w:rsidTr="00ED5B0A">
        <w:trPr>
          <w:gridAfter w:val="1"/>
          <w:wAfter w:w="22" w:type="dxa"/>
        </w:trPr>
        <w:tc>
          <w:tcPr>
            <w:tcW w:w="2235" w:type="dxa"/>
          </w:tcPr>
          <w:p w14:paraId="4B9101D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745 им. Фрунзе организован в 1897 году</w:t>
            </w:r>
          </w:p>
        </w:tc>
        <w:tc>
          <w:tcPr>
            <w:tcW w:w="2409" w:type="dxa"/>
          </w:tcPr>
          <w:p w14:paraId="1500257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Шуя Ивановской области, 1-я Нагорная ул., д. 6</w:t>
            </w:r>
          </w:p>
        </w:tc>
        <w:tc>
          <w:tcPr>
            <w:tcW w:w="2363" w:type="dxa"/>
          </w:tcPr>
          <w:p w14:paraId="41A92A7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мины 82 мм и др.</w:t>
            </w:r>
          </w:p>
        </w:tc>
      </w:tr>
      <w:tr w:rsidR="00A907A5" w:rsidRPr="00271E51" w14:paraId="6838265B" w14:textId="77777777" w:rsidTr="00ED5B0A">
        <w:trPr>
          <w:gridAfter w:val="1"/>
          <w:wAfter w:w="22" w:type="dxa"/>
        </w:trPr>
        <w:tc>
          <w:tcPr>
            <w:tcW w:w="2235" w:type="dxa"/>
          </w:tcPr>
          <w:p w14:paraId="3BE31F6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748 завод организован в 1941 году на базе площадей завода “Возрождение” НКТП и оборудования заводов “Возрождение” НКТП, № 9 НКМВ “им. Калинина” НКТП</w:t>
            </w:r>
          </w:p>
        </w:tc>
        <w:tc>
          <w:tcPr>
            <w:tcW w:w="2409" w:type="dxa"/>
          </w:tcPr>
          <w:p w14:paraId="1338F3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Кузнецк Пензенской области, п/я 8</w:t>
            </w:r>
          </w:p>
        </w:tc>
        <w:tc>
          <w:tcPr>
            <w:tcW w:w="2363" w:type="dxa"/>
          </w:tcPr>
          <w:p w14:paraId="0AD9FF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ротный миномет, 50 мм мина образца 1940 года и др.</w:t>
            </w:r>
          </w:p>
        </w:tc>
      </w:tr>
      <w:tr w:rsidR="00A907A5" w:rsidRPr="00271E51" w14:paraId="090C6F13" w14:textId="77777777" w:rsidTr="00ED5B0A">
        <w:trPr>
          <w:gridAfter w:val="1"/>
          <w:wAfter w:w="22" w:type="dxa"/>
        </w:trPr>
        <w:tc>
          <w:tcPr>
            <w:tcW w:w="2235" w:type="dxa"/>
          </w:tcPr>
          <w:p w14:paraId="4D244F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760 и филиал временно расположен в здании учебного корпуса Уральского индустриального института им. Кирова (организован в 1942 году на базе площадей Дормашзавода ГУШОСДОРа НКВД и оборудования Дормашзавода, Смоленского Дормашзавода им. Калинина, Воронежского завода им. Коминтерна и Свердловского завода “Металлист”)</w:t>
            </w:r>
          </w:p>
        </w:tc>
        <w:tc>
          <w:tcPr>
            <w:tcW w:w="2409" w:type="dxa"/>
          </w:tcPr>
          <w:p w14:paraId="051222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Свердловск, Втузгородок (Свердловск, 7)</w:t>
            </w:r>
          </w:p>
        </w:tc>
        <w:tc>
          <w:tcPr>
            <w:tcW w:w="2363" w:type="dxa"/>
          </w:tcPr>
          <w:p w14:paraId="23D3A2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миномет 82 мм и др.</w:t>
            </w:r>
          </w:p>
        </w:tc>
      </w:tr>
      <w:tr w:rsidR="00A907A5" w:rsidRPr="00271E51" w14:paraId="6DF28759" w14:textId="77777777" w:rsidTr="00ED5B0A">
        <w:trPr>
          <w:gridAfter w:val="1"/>
          <w:wAfter w:w="22" w:type="dxa"/>
        </w:trPr>
        <w:tc>
          <w:tcPr>
            <w:tcW w:w="2235" w:type="dxa"/>
          </w:tcPr>
          <w:p w14:paraId="3D0DD6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763</w:t>
            </w:r>
          </w:p>
        </w:tc>
        <w:tc>
          <w:tcPr>
            <w:tcW w:w="2409" w:type="dxa"/>
          </w:tcPr>
          <w:p w14:paraId="56DAED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Киров, ул. Коммуны, д. 52, п/я 240</w:t>
            </w:r>
          </w:p>
        </w:tc>
        <w:tc>
          <w:tcPr>
            <w:tcW w:w="2363" w:type="dxa"/>
          </w:tcPr>
          <w:p w14:paraId="27E74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ротный миномет, 50 мм мина и др.</w:t>
            </w:r>
          </w:p>
        </w:tc>
      </w:tr>
      <w:tr w:rsidR="00A907A5" w:rsidRPr="00271E51" w14:paraId="703116F0" w14:textId="77777777" w:rsidTr="00ED5B0A">
        <w:trPr>
          <w:gridAfter w:val="1"/>
          <w:wAfter w:w="22" w:type="dxa"/>
        </w:trPr>
        <w:tc>
          <w:tcPr>
            <w:tcW w:w="2235" w:type="dxa"/>
          </w:tcPr>
          <w:p w14:paraId="0C3F62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768</w:t>
            </w:r>
          </w:p>
        </w:tc>
        <w:tc>
          <w:tcPr>
            <w:tcW w:w="2409" w:type="dxa"/>
          </w:tcPr>
          <w:p w14:paraId="76A495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п/я 133</w:t>
            </w:r>
          </w:p>
        </w:tc>
        <w:tc>
          <w:tcPr>
            <w:tcW w:w="2363" w:type="dxa"/>
          </w:tcPr>
          <w:p w14:paraId="2307757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ротный миномет и др.</w:t>
            </w:r>
          </w:p>
        </w:tc>
      </w:tr>
      <w:tr w:rsidR="00A907A5" w:rsidRPr="00271E51" w14:paraId="5D1D1EDA" w14:textId="77777777" w:rsidTr="00ED5B0A">
        <w:trPr>
          <w:gridAfter w:val="1"/>
          <w:wAfter w:w="22" w:type="dxa"/>
        </w:trPr>
        <w:tc>
          <w:tcPr>
            <w:tcW w:w="2235" w:type="dxa"/>
          </w:tcPr>
          <w:p w14:paraId="2649D97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798</w:t>
            </w:r>
          </w:p>
        </w:tc>
        <w:tc>
          <w:tcPr>
            <w:tcW w:w="2409" w:type="dxa"/>
          </w:tcPr>
          <w:p w14:paraId="7A279F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22, п/я 2259</w:t>
            </w:r>
          </w:p>
        </w:tc>
        <w:tc>
          <w:tcPr>
            <w:tcW w:w="2363" w:type="dxa"/>
          </w:tcPr>
          <w:p w14:paraId="5D1A82E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М-50 и др.</w:t>
            </w:r>
          </w:p>
        </w:tc>
      </w:tr>
      <w:tr w:rsidR="00A907A5" w:rsidRPr="00271E51" w14:paraId="2C4F6557" w14:textId="77777777" w:rsidTr="00ED5B0A">
        <w:trPr>
          <w:gridAfter w:val="1"/>
          <w:wAfter w:w="22" w:type="dxa"/>
        </w:trPr>
        <w:tc>
          <w:tcPr>
            <w:tcW w:w="2235" w:type="dxa"/>
          </w:tcPr>
          <w:p w14:paraId="413574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808</w:t>
            </w:r>
          </w:p>
        </w:tc>
        <w:tc>
          <w:tcPr>
            <w:tcW w:w="2409" w:type="dxa"/>
          </w:tcPr>
          <w:p w14:paraId="3AD0990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Рыбинск, п/я 40</w:t>
            </w:r>
          </w:p>
        </w:tc>
        <w:tc>
          <w:tcPr>
            <w:tcW w:w="2363" w:type="dxa"/>
          </w:tcPr>
          <w:p w14:paraId="6F8A6B9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миномет 82 мм, мина 120 мм, авиабомбы и др.</w:t>
            </w:r>
          </w:p>
        </w:tc>
      </w:tr>
      <w:tr w:rsidR="00A907A5" w:rsidRPr="00271E51" w14:paraId="11314905" w14:textId="77777777" w:rsidTr="00ED5B0A">
        <w:trPr>
          <w:gridAfter w:val="1"/>
          <w:wAfter w:w="22" w:type="dxa"/>
        </w:trPr>
        <w:tc>
          <w:tcPr>
            <w:tcW w:w="2235" w:type="dxa"/>
          </w:tcPr>
          <w:p w14:paraId="7CEF857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815 организован в 1941 году на базе площадей Шадринского моторо-ремонтного завода НКЗ и оборудования Прилукского завода треста ППО, </w:t>
            </w:r>
            <w:r w:rsidRPr="00271E51">
              <w:rPr>
                <w:rFonts w:ascii="Times New Roman" w:hAnsi="Times New Roman"/>
                <w:color w:val="000000" w:themeColor="text1"/>
                <w:sz w:val="16"/>
                <w:szCs w:val="16"/>
              </w:rPr>
              <w:lastRenderedPageBreak/>
              <w:t>Московского завода им. Калинина, частично МРЗ</w:t>
            </w:r>
          </w:p>
        </w:tc>
        <w:tc>
          <w:tcPr>
            <w:tcW w:w="2409" w:type="dxa"/>
          </w:tcPr>
          <w:p w14:paraId="0BDFC4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Адрес: Шадринск Челябинской обл., ул. Короткая, д. 4, п/я 38</w:t>
            </w:r>
          </w:p>
        </w:tc>
        <w:tc>
          <w:tcPr>
            <w:tcW w:w="2363" w:type="dxa"/>
          </w:tcPr>
          <w:p w14:paraId="22938A6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миномет 50 мм, мины 50 мм и др.</w:t>
            </w:r>
          </w:p>
        </w:tc>
      </w:tr>
      <w:tr w:rsidR="00A907A5" w:rsidRPr="00271E51" w14:paraId="6FF3F5F2" w14:textId="77777777" w:rsidTr="00ED5B0A">
        <w:trPr>
          <w:gridAfter w:val="1"/>
          <w:wAfter w:w="22" w:type="dxa"/>
        </w:trPr>
        <w:tc>
          <w:tcPr>
            <w:tcW w:w="2235" w:type="dxa"/>
          </w:tcPr>
          <w:p w14:paraId="2ACAEFC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819 им. Фридриха Энгельса на базе площадей бывш. Грамофонного завода и оборудования вновь приобретенного и старого (организован в 1942 году на базе площадей бывш. Коломенского патефонного завода и оборудования Ленинградского завода им. Энгельса)</w:t>
            </w:r>
          </w:p>
        </w:tc>
        <w:tc>
          <w:tcPr>
            <w:tcW w:w="2409" w:type="dxa"/>
          </w:tcPr>
          <w:p w14:paraId="465C75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Коломна Московской области, п/я 135</w:t>
            </w:r>
          </w:p>
        </w:tc>
        <w:tc>
          <w:tcPr>
            <w:tcW w:w="2363" w:type="dxa"/>
          </w:tcPr>
          <w:p w14:paraId="641AB73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03F916" w14:textId="77777777" w:rsidTr="00ED5B0A">
        <w:trPr>
          <w:gridAfter w:val="1"/>
          <w:wAfter w:w="22" w:type="dxa"/>
        </w:trPr>
        <w:tc>
          <w:tcPr>
            <w:tcW w:w="2235" w:type="dxa"/>
          </w:tcPr>
          <w:p w14:paraId="7D2F48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Пензенский литейно-механический завод № 821 завод организован в 1941 году на базе площадей Чугунно-литейного завода Росглавпищеснаба НК пищепрома РСФСР и оборудования чугунно-литейного завода, завода им. М. Гельца и Роменского завода Глафполиграфмаша</w:t>
            </w:r>
          </w:p>
        </w:tc>
        <w:tc>
          <w:tcPr>
            <w:tcW w:w="2409" w:type="dxa"/>
          </w:tcPr>
          <w:p w14:paraId="1A0B1B2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Пенза, Коракозовская ул., д. 26, п/я 61</w:t>
            </w:r>
          </w:p>
        </w:tc>
        <w:tc>
          <w:tcPr>
            <w:tcW w:w="2363" w:type="dxa"/>
          </w:tcPr>
          <w:p w14:paraId="371E85E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мины, литье и др.</w:t>
            </w:r>
          </w:p>
        </w:tc>
      </w:tr>
      <w:tr w:rsidR="00A907A5" w:rsidRPr="00271E51" w14:paraId="7EAFE414" w14:textId="77777777" w:rsidTr="00ED5B0A">
        <w:trPr>
          <w:gridAfter w:val="1"/>
          <w:wAfter w:w="22" w:type="dxa"/>
        </w:trPr>
        <w:tc>
          <w:tcPr>
            <w:tcW w:w="2235" w:type="dxa"/>
          </w:tcPr>
          <w:p w14:paraId="187798B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828 организован в 1942 году на базе площадей завода № 161 НКАП и оборудования завода САМ</w:t>
            </w:r>
          </w:p>
        </w:tc>
        <w:tc>
          <w:tcPr>
            <w:tcW w:w="2409" w:type="dxa"/>
          </w:tcPr>
          <w:p w14:paraId="3F2B32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5, п/я 1543</w:t>
            </w:r>
          </w:p>
        </w:tc>
        <w:tc>
          <w:tcPr>
            <w:tcW w:w="2363" w:type="dxa"/>
          </w:tcPr>
          <w:p w14:paraId="7743CA2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ППШ, ППС, магазины</w:t>
            </w:r>
          </w:p>
        </w:tc>
      </w:tr>
      <w:tr w:rsidR="00A907A5" w:rsidRPr="00271E51" w14:paraId="04971BED" w14:textId="77777777" w:rsidTr="00ED5B0A">
        <w:trPr>
          <w:gridAfter w:val="1"/>
          <w:wAfter w:w="22" w:type="dxa"/>
        </w:trPr>
        <w:tc>
          <w:tcPr>
            <w:tcW w:w="2235" w:type="dxa"/>
          </w:tcPr>
          <w:p w14:paraId="3CCDDB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847 организован в 1941 году</w:t>
            </w:r>
          </w:p>
        </w:tc>
        <w:tc>
          <w:tcPr>
            <w:tcW w:w="2409" w:type="dxa"/>
          </w:tcPr>
          <w:p w14:paraId="406166E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23, Б. Семеновская ул., д. 11, п/я 291</w:t>
            </w:r>
          </w:p>
        </w:tc>
        <w:tc>
          <w:tcPr>
            <w:tcW w:w="2363" w:type="dxa"/>
          </w:tcPr>
          <w:p w14:paraId="73B512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ящики и др.</w:t>
            </w:r>
          </w:p>
        </w:tc>
      </w:tr>
      <w:tr w:rsidR="00A907A5" w:rsidRPr="00271E51" w14:paraId="4BD3DEAF" w14:textId="77777777" w:rsidTr="00ED5B0A">
        <w:trPr>
          <w:gridAfter w:val="1"/>
          <w:wAfter w:w="22" w:type="dxa"/>
        </w:trPr>
        <w:tc>
          <w:tcPr>
            <w:tcW w:w="2235" w:type="dxa"/>
          </w:tcPr>
          <w:p w14:paraId="34170A5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718</w:t>
            </w:r>
          </w:p>
        </w:tc>
        <w:tc>
          <w:tcPr>
            <w:tcW w:w="2409" w:type="dxa"/>
          </w:tcPr>
          <w:p w14:paraId="72F3C09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Горький, Ленинский район</w:t>
            </w:r>
          </w:p>
        </w:tc>
        <w:tc>
          <w:tcPr>
            <w:tcW w:w="2363" w:type="dxa"/>
          </w:tcPr>
          <w:p w14:paraId="0C30EBD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F0BB1FD" w14:textId="77777777" w:rsidTr="00ED5B0A">
        <w:trPr>
          <w:gridAfter w:val="1"/>
          <w:wAfter w:w="22" w:type="dxa"/>
        </w:trPr>
        <w:tc>
          <w:tcPr>
            <w:tcW w:w="2235" w:type="dxa"/>
          </w:tcPr>
          <w:p w14:paraId="1A12C2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720 им. М.И. Калинина</w:t>
            </w:r>
          </w:p>
        </w:tc>
        <w:tc>
          <w:tcPr>
            <w:tcW w:w="2409" w:type="dxa"/>
          </w:tcPr>
          <w:p w14:paraId="5CAA7A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17, п/я 414</w:t>
            </w:r>
          </w:p>
        </w:tc>
        <w:tc>
          <w:tcPr>
            <w:tcW w:w="2363" w:type="dxa"/>
          </w:tcPr>
          <w:p w14:paraId="1322F48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миномет, снаряды, ФАБ-100 и др.</w:t>
            </w:r>
          </w:p>
        </w:tc>
      </w:tr>
      <w:tr w:rsidR="00A907A5" w:rsidRPr="00271E51" w14:paraId="2BBBC742" w14:textId="77777777" w:rsidTr="00ED5B0A">
        <w:trPr>
          <w:gridAfter w:val="1"/>
          <w:wAfter w:w="22" w:type="dxa"/>
        </w:trPr>
        <w:tc>
          <w:tcPr>
            <w:tcW w:w="2235" w:type="dxa"/>
          </w:tcPr>
          <w:p w14:paraId="3EB813A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721 организован в 1941 году на базе площадей гаража Облавтотранспорта и склада ГУТАП и оборудования Московского завода “Компрессор”</w:t>
            </w:r>
          </w:p>
        </w:tc>
        <w:tc>
          <w:tcPr>
            <w:tcW w:w="2409" w:type="dxa"/>
          </w:tcPr>
          <w:p w14:paraId="36D7826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Челябинск, п/я 241</w:t>
            </w:r>
          </w:p>
        </w:tc>
        <w:tc>
          <w:tcPr>
            <w:tcW w:w="2363" w:type="dxa"/>
          </w:tcPr>
          <w:p w14:paraId="04B195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B982528" w14:textId="77777777" w:rsidTr="00ED5B0A">
        <w:trPr>
          <w:gridAfter w:val="1"/>
          <w:wAfter w:w="22" w:type="dxa"/>
        </w:trPr>
        <w:tc>
          <w:tcPr>
            <w:tcW w:w="2235" w:type="dxa"/>
          </w:tcPr>
          <w:p w14:paraId="5DD80AD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724 им. Фрунзе организован в 1941 году на базе площадей Ремонтно-механического завода Чирч. Электрохимического комбината им. Сталина и оборудования Эвакуированного из Сумм завода им. Фрунзе</w:t>
            </w:r>
          </w:p>
        </w:tc>
        <w:tc>
          <w:tcPr>
            <w:tcW w:w="2409" w:type="dxa"/>
          </w:tcPr>
          <w:p w14:paraId="4424A81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Чирчик Ташкентской области, п/я 2</w:t>
            </w:r>
          </w:p>
        </w:tc>
        <w:tc>
          <w:tcPr>
            <w:tcW w:w="2363" w:type="dxa"/>
          </w:tcPr>
          <w:p w14:paraId="4D51F10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38B8259" w14:textId="77777777" w:rsidTr="00ED5B0A">
        <w:trPr>
          <w:gridAfter w:val="1"/>
          <w:wAfter w:w="22" w:type="dxa"/>
        </w:trPr>
        <w:tc>
          <w:tcPr>
            <w:tcW w:w="2235" w:type="dxa"/>
          </w:tcPr>
          <w:p w14:paraId="76D64F4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726 организован в 1941 году на базе площадей строительства Уралтяжхиммаша и оборудования Киевского завода “Большевик”</w:t>
            </w:r>
          </w:p>
        </w:tc>
        <w:tc>
          <w:tcPr>
            <w:tcW w:w="2409" w:type="dxa"/>
          </w:tcPr>
          <w:p w14:paraId="16ACA8F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Свердловск, Н. Исетск, п/я 1077137</w:t>
            </w:r>
          </w:p>
        </w:tc>
        <w:tc>
          <w:tcPr>
            <w:tcW w:w="2363" w:type="dxa"/>
          </w:tcPr>
          <w:p w14:paraId="78DAF8E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миномет, ХАБ-100 и др.</w:t>
            </w:r>
          </w:p>
        </w:tc>
      </w:tr>
      <w:tr w:rsidR="00A907A5" w:rsidRPr="00271E51" w14:paraId="12E52309" w14:textId="77777777" w:rsidTr="00ED5B0A">
        <w:trPr>
          <w:gridAfter w:val="1"/>
          <w:wAfter w:w="22" w:type="dxa"/>
        </w:trPr>
        <w:tc>
          <w:tcPr>
            <w:tcW w:w="2235" w:type="dxa"/>
          </w:tcPr>
          <w:p w14:paraId="1A144E4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733 организован в 1942 году на базе площадей бывш. завода “Компрессор”</w:t>
            </w:r>
          </w:p>
        </w:tc>
        <w:tc>
          <w:tcPr>
            <w:tcW w:w="2409" w:type="dxa"/>
          </w:tcPr>
          <w:p w14:paraId="180C9B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24, п/я 3093 (п/я 2428) (Донгауэровская слобода, д. 20)</w:t>
            </w:r>
          </w:p>
        </w:tc>
        <w:tc>
          <w:tcPr>
            <w:tcW w:w="2363" w:type="dxa"/>
          </w:tcPr>
          <w:p w14:paraId="36C0861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мины, АКС-2 и др.</w:t>
            </w:r>
          </w:p>
        </w:tc>
      </w:tr>
      <w:tr w:rsidR="00A907A5" w:rsidRPr="00271E51" w14:paraId="599EEF5C" w14:textId="77777777" w:rsidTr="00ED5B0A">
        <w:trPr>
          <w:gridAfter w:val="1"/>
          <w:wAfter w:w="22" w:type="dxa"/>
        </w:trPr>
        <w:tc>
          <w:tcPr>
            <w:tcW w:w="2235" w:type="dxa"/>
          </w:tcPr>
          <w:p w14:paraId="7B7DBB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746 организован в 1941 году на базе площадей фабрики им. 13 годовщины Октября, п/я 1121</w:t>
            </w:r>
          </w:p>
        </w:tc>
        <w:tc>
          <w:tcPr>
            <w:tcW w:w="2409" w:type="dxa"/>
          </w:tcPr>
          <w:p w14:paraId="218956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w:t>
            </w:r>
          </w:p>
        </w:tc>
        <w:tc>
          <w:tcPr>
            <w:tcW w:w="2363" w:type="dxa"/>
          </w:tcPr>
          <w:p w14:paraId="2CC9ED3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120 мм миномет, миномет 52 мм и др.</w:t>
            </w:r>
          </w:p>
        </w:tc>
      </w:tr>
      <w:tr w:rsidR="00A907A5" w:rsidRPr="00271E51" w14:paraId="7B1A0B92" w14:textId="77777777" w:rsidTr="00ED5B0A">
        <w:trPr>
          <w:gridAfter w:val="1"/>
          <w:wAfter w:w="22" w:type="dxa"/>
        </w:trPr>
        <w:tc>
          <w:tcPr>
            <w:tcW w:w="2235" w:type="dxa"/>
          </w:tcPr>
          <w:p w14:paraId="4151911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792</w:t>
            </w:r>
          </w:p>
        </w:tc>
        <w:tc>
          <w:tcPr>
            <w:tcW w:w="2409" w:type="dxa"/>
          </w:tcPr>
          <w:p w14:paraId="7137CBB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47, Александро-Невская ул., д. 1</w:t>
            </w:r>
          </w:p>
        </w:tc>
        <w:tc>
          <w:tcPr>
            <w:tcW w:w="2363" w:type="dxa"/>
          </w:tcPr>
          <w:p w14:paraId="048EF35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0B70B87" w14:textId="77777777" w:rsidTr="00ED5B0A">
        <w:trPr>
          <w:gridAfter w:val="1"/>
          <w:wAfter w:w="22" w:type="dxa"/>
        </w:trPr>
        <w:tc>
          <w:tcPr>
            <w:tcW w:w="2235" w:type="dxa"/>
          </w:tcPr>
          <w:p w14:paraId="313ADE5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822</w:t>
            </w:r>
          </w:p>
        </w:tc>
        <w:tc>
          <w:tcPr>
            <w:tcW w:w="2409" w:type="dxa"/>
          </w:tcPr>
          <w:p w14:paraId="3A719F9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пос. Сысерть Свердловской области, п/я 102</w:t>
            </w:r>
          </w:p>
        </w:tc>
        <w:tc>
          <w:tcPr>
            <w:tcW w:w="2363" w:type="dxa"/>
          </w:tcPr>
          <w:p w14:paraId="3403CC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авиабомбы АО-10, мина 82 мм и др.</w:t>
            </w:r>
          </w:p>
        </w:tc>
      </w:tr>
      <w:tr w:rsidR="00A907A5" w:rsidRPr="00271E51" w14:paraId="3D9951B9" w14:textId="77777777" w:rsidTr="00ED5B0A">
        <w:trPr>
          <w:gridAfter w:val="1"/>
          <w:wAfter w:w="22" w:type="dxa"/>
        </w:trPr>
        <w:tc>
          <w:tcPr>
            <w:tcW w:w="2235" w:type="dxa"/>
          </w:tcPr>
          <w:p w14:paraId="5941EB7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Производственные мастерские ВИГМ (Всесоюзный научно-исследовательский гидромашиностроительный институт)</w:t>
            </w:r>
          </w:p>
        </w:tc>
        <w:tc>
          <w:tcPr>
            <w:tcW w:w="2409" w:type="dxa"/>
          </w:tcPr>
          <w:p w14:paraId="50F43C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5, Ново-Кирочный пер., д. 6, п/я 138</w:t>
            </w:r>
          </w:p>
        </w:tc>
        <w:tc>
          <w:tcPr>
            <w:tcW w:w="2363" w:type="dxa"/>
          </w:tcPr>
          <w:p w14:paraId="44C110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97D778B" w14:textId="77777777" w:rsidTr="00ED5B0A">
        <w:trPr>
          <w:gridAfter w:val="1"/>
          <w:wAfter w:w="22" w:type="dxa"/>
        </w:trPr>
        <w:tc>
          <w:tcPr>
            <w:tcW w:w="2235" w:type="dxa"/>
          </w:tcPr>
          <w:p w14:paraId="3DE1045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728 организован в 1942 году на базе площадей школы, части водочного завода и бывш. мечети и части эвакуированного оборудования завода “КИМ” (Кунцево Московской области)</w:t>
            </w:r>
          </w:p>
        </w:tc>
        <w:tc>
          <w:tcPr>
            <w:tcW w:w="2409" w:type="dxa"/>
          </w:tcPr>
          <w:p w14:paraId="7C6F76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Орск, ул. Энгельса 22, п/я 37</w:t>
            </w:r>
          </w:p>
        </w:tc>
        <w:tc>
          <w:tcPr>
            <w:tcW w:w="2363" w:type="dxa"/>
          </w:tcPr>
          <w:p w14:paraId="5B2806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22811C0" w14:textId="77777777" w:rsidTr="00ED5B0A">
        <w:trPr>
          <w:gridAfter w:val="1"/>
          <w:wAfter w:w="22" w:type="dxa"/>
        </w:trPr>
        <w:tc>
          <w:tcPr>
            <w:tcW w:w="2235" w:type="dxa"/>
          </w:tcPr>
          <w:p w14:paraId="4D5FE04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Завод № 742 организован в 1941 году на базе площадей эвакуированного Игольно-пластин. завода им. КИМ</w:t>
            </w:r>
          </w:p>
        </w:tc>
        <w:tc>
          <w:tcPr>
            <w:tcW w:w="2409" w:type="dxa"/>
          </w:tcPr>
          <w:p w14:paraId="722B898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Кунцево Московской области, п/я 78</w:t>
            </w:r>
          </w:p>
        </w:tc>
        <w:tc>
          <w:tcPr>
            <w:tcW w:w="2363" w:type="dxa"/>
          </w:tcPr>
          <w:p w14:paraId="0B4932A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2671FC4" w14:textId="77777777" w:rsidTr="00ED5B0A">
        <w:trPr>
          <w:gridAfter w:val="1"/>
          <w:wAfter w:w="22" w:type="dxa"/>
        </w:trPr>
        <w:tc>
          <w:tcPr>
            <w:tcW w:w="2235" w:type="dxa"/>
          </w:tcPr>
          <w:p w14:paraId="263D9C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753 им. Калинина на базе площадей завода им. Калинина Главпродмаша</w:t>
            </w:r>
          </w:p>
        </w:tc>
        <w:tc>
          <w:tcPr>
            <w:tcW w:w="2409" w:type="dxa"/>
          </w:tcPr>
          <w:p w14:paraId="24A081F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63" w:type="dxa"/>
          </w:tcPr>
          <w:p w14:paraId="3CA5DEF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B25DF63" w14:textId="77777777" w:rsidTr="00ED5B0A">
        <w:trPr>
          <w:gridAfter w:val="1"/>
          <w:wAfter w:w="22" w:type="dxa"/>
        </w:trPr>
        <w:tc>
          <w:tcPr>
            <w:tcW w:w="2235" w:type="dxa"/>
          </w:tcPr>
          <w:p w14:paraId="093A75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83, 2-я Хуторская, д. 38а, п/я 470</w:t>
            </w:r>
          </w:p>
        </w:tc>
        <w:tc>
          <w:tcPr>
            <w:tcW w:w="2409" w:type="dxa"/>
          </w:tcPr>
          <w:p w14:paraId="22CCAE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63" w:type="dxa"/>
          </w:tcPr>
          <w:p w14:paraId="21418F5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1ADC52" w14:textId="77777777" w:rsidTr="00ED5B0A">
        <w:trPr>
          <w:gridAfter w:val="1"/>
          <w:wAfter w:w="22" w:type="dxa"/>
        </w:trPr>
        <w:tc>
          <w:tcPr>
            <w:tcW w:w="2235" w:type="dxa"/>
          </w:tcPr>
          <w:p w14:paraId="26F7DBC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825 организован в 1942 году на базе площадей Кусинского дома Совета и оборудования части Углического завода ТТК-2 (оборудования эвакуированного из Петергофа ТТК-1)</w:t>
            </w:r>
          </w:p>
        </w:tc>
        <w:tc>
          <w:tcPr>
            <w:tcW w:w="2409" w:type="dxa"/>
          </w:tcPr>
          <w:p w14:paraId="0DB7B3E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р-н Куса Челябинской области, п/я 01</w:t>
            </w:r>
          </w:p>
        </w:tc>
        <w:tc>
          <w:tcPr>
            <w:tcW w:w="2363" w:type="dxa"/>
          </w:tcPr>
          <w:p w14:paraId="5B7E088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A1767B4" w14:textId="77777777" w:rsidTr="00ED5B0A">
        <w:trPr>
          <w:gridAfter w:val="1"/>
          <w:wAfter w:w="22" w:type="dxa"/>
        </w:trPr>
        <w:tc>
          <w:tcPr>
            <w:tcW w:w="2235" w:type="dxa"/>
          </w:tcPr>
          <w:p w14:paraId="5A82FA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834 (4-й часовой завод) организован в 1942 году на базе площадей бывш. городского театра и школы № 21 г. Златоуста и оборудования 1-го Московского часового завода</w:t>
            </w:r>
          </w:p>
        </w:tc>
        <w:tc>
          <w:tcPr>
            <w:tcW w:w="2409" w:type="dxa"/>
          </w:tcPr>
          <w:p w14:paraId="6DC26A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Златоуст Челябинской области, 1-й часовой завод им. Кирова</w:t>
            </w:r>
          </w:p>
        </w:tc>
        <w:tc>
          <w:tcPr>
            <w:tcW w:w="2363" w:type="dxa"/>
          </w:tcPr>
          <w:p w14:paraId="5673F8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авиационные и танковые часы, секундомеры и др.</w:t>
            </w:r>
          </w:p>
        </w:tc>
      </w:tr>
      <w:tr w:rsidR="00A907A5" w:rsidRPr="00271E51" w14:paraId="38B1F66C" w14:textId="77777777" w:rsidTr="00ED5B0A">
        <w:trPr>
          <w:gridAfter w:val="1"/>
          <w:wAfter w:w="22" w:type="dxa"/>
        </w:trPr>
        <w:tc>
          <w:tcPr>
            <w:tcW w:w="2235" w:type="dxa"/>
          </w:tcPr>
          <w:p w14:paraId="2EF224F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835 (2-й часовой завод) организован в 1942 году на базе площадей школ №№ 1 и 2, Пединститута, С/х института, водочного завода, библиотеки и оборудования 2-го часового завода</w:t>
            </w:r>
          </w:p>
        </w:tc>
        <w:tc>
          <w:tcPr>
            <w:tcW w:w="2409" w:type="dxa"/>
          </w:tcPr>
          <w:p w14:paraId="1A817AB1"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Чистополь ТАССР, ул. Маркса, 15</w:t>
            </w:r>
          </w:p>
        </w:tc>
        <w:tc>
          <w:tcPr>
            <w:tcW w:w="2363" w:type="dxa"/>
          </w:tcPr>
          <w:p w14:paraId="744C930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92D2A5D" w14:textId="77777777" w:rsidTr="00ED5B0A">
        <w:trPr>
          <w:gridAfter w:val="1"/>
          <w:wAfter w:w="22" w:type="dxa"/>
        </w:trPr>
        <w:tc>
          <w:tcPr>
            <w:tcW w:w="2235" w:type="dxa"/>
          </w:tcPr>
          <w:p w14:paraId="1E47569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837 организован в 1942 году на базе площадей завода ТТК-2</w:t>
            </w:r>
          </w:p>
        </w:tc>
        <w:tc>
          <w:tcPr>
            <w:tcW w:w="2409" w:type="dxa"/>
          </w:tcPr>
          <w:p w14:paraId="31D1B20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Углич Ярославской области, п/я 1</w:t>
            </w:r>
          </w:p>
        </w:tc>
        <w:tc>
          <w:tcPr>
            <w:tcW w:w="2363" w:type="dxa"/>
          </w:tcPr>
          <w:p w14:paraId="54A781D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1A1E3F4" w14:textId="77777777" w:rsidTr="00ED5B0A">
        <w:trPr>
          <w:gridAfter w:val="1"/>
          <w:wAfter w:w="22" w:type="dxa"/>
        </w:trPr>
        <w:tc>
          <w:tcPr>
            <w:tcW w:w="2235" w:type="dxa"/>
          </w:tcPr>
          <w:p w14:paraId="14BF05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839 организован в 1942 году на базе площадей Алтайской кр. конторы Союзсовхозтранса и оборудования Л-ского завода им. Матвеева, завода Грампластина г. Белов</w:t>
            </w:r>
          </w:p>
        </w:tc>
        <w:tc>
          <w:tcPr>
            <w:tcW w:w="2409" w:type="dxa"/>
          </w:tcPr>
          <w:p w14:paraId="7F30D6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Барнаул, п/я 135</w:t>
            </w:r>
          </w:p>
        </w:tc>
        <w:tc>
          <w:tcPr>
            <w:tcW w:w="2363" w:type="dxa"/>
          </w:tcPr>
          <w:p w14:paraId="0F9567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B6FE7D1" w14:textId="77777777" w:rsidTr="00ED5B0A">
        <w:trPr>
          <w:gridAfter w:val="1"/>
          <w:wAfter w:w="22" w:type="dxa"/>
        </w:trPr>
        <w:tc>
          <w:tcPr>
            <w:tcW w:w="2235" w:type="dxa"/>
          </w:tcPr>
          <w:p w14:paraId="6AB303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845 (1-й Московский часовой) организован в 1942 году</w:t>
            </w:r>
          </w:p>
        </w:tc>
        <w:tc>
          <w:tcPr>
            <w:tcW w:w="2409" w:type="dxa"/>
          </w:tcPr>
          <w:p w14:paraId="70A2A24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4, Воронцовская ул., д. 35б, п/я 1159</w:t>
            </w:r>
          </w:p>
        </w:tc>
        <w:tc>
          <w:tcPr>
            <w:tcW w:w="2363" w:type="dxa"/>
          </w:tcPr>
          <w:p w14:paraId="2A376D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4AF1E1F6" w14:textId="77777777" w:rsidTr="00ED5B0A">
        <w:trPr>
          <w:gridAfter w:val="1"/>
          <w:wAfter w:w="22" w:type="dxa"/>
        </w:trPr>
        <w:tc>
          <w:tcPr>
            <w:tcW w:w="2235" w:type="dxa"/>
          </w:tcPr>
          <w:p w14:paraId="7F1D187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853 организован в 1941 году на базе площадей 2-го Часового завода в Москве</w:t>
            </w:r>
          </w:p>
        </w:tc>
        <w:tc>
          <w:tcPr>
            <w:tcW w:w="2409" w:type="dxa"/>
          </w:tcPr>
          <w:p w14:paraId="1A414BE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п/я 3005</w:t>
            </w:r>
          </w:p>
        </w:tc>
        <w:tc>
          <w:tcPr>
            <w:tcW w:w="2363" w:type="dxa"/>
          </w:tcPr>
          <w:p w14:paraId="5609A45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E2853A0" w14:textId="77777777" w:rsidTr="00ED5B0A">
        <w:trPr>
          <w:gridAfter w:val="1"/>
          <w:wAfter w:w="22" w:type="dxa"/>
        </w:trPr>
        <w:tc>
          <w:tcPr>
            <w:tcW w:w="2235" w:type="dxa"/>
          </w:tcPr>
          <w:p w14:paraId="3C76841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856 организован в 1932 году на базе площадей Старой текстильной фабрики</w:t>
            </w:r>
          </w:p>
        </w:tc>
        <w:tc>
          <w:tcPr>
            <w:tcW w:w="2409" w:type="dxa"/>
          </w:tcPr>
          <w:p w14:paraId="29B64B8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Орехово-Зуево Московской области, ул. Техники безопасности, д. 15, п/я 23</w:t>
            </w:r>
          </w:p>
        </w:tc>
        <w:tc>
          <w:tcPr>
            <w:tcW w:w="2363" w:type="dxa"/>
          </w:tcPr>
          <w:p w14:paraId="517B9C4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DFF4474" w14:textId="77777777" w:rsidTr="00ED5B0A">
        <w:trPr>
          <w:gridAfter w:val="1"/>
          <w:wAfter w:w="22" w:type="dxa"/>
        </w:trPr>
        <w:tc>
          <w:tcPr>
            <w:tcW w:w="2235" w:type="dxa"/>
          </w:tcPr>
          <w:p w14:paraId="3C1CDB3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НИИ-5</w:t>
            </w:r>
          </w:p>
        </w:tc>
        <w:tc>
          <w:tcPr>
            <w:tcW w:w="2409" w:type="dxa"/>
          </w:tcPr>
          <w:p w14:paraId="3A11DE3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69, п/я 4004</w:t>
            </w:r>
          </w:p>
        </w:tc>
        <w:tc>
          <w:tcPr>
            <w:tcW w:w="2363" w:type="dxa"/>
          </w:tcPr>
          <w:p w14:paraId="5A8792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24C9545" w14:textId="77777777" w:rsidTr="00ED5B0A">
        <w:trPr>
          <w:gridAfter w:val="1"/>
          <w:wAfter w:w="22" w:type="dxa"/>
        </w:trPr>
        <w:tc>
          <w:tcPr>
            <w:tcW w:w="2235" w:type="dxa"/>
          </w:tcPr>
          <w:p w14:paraId="64F1DEE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774 организован в 1888 году</w:t>
            </w:r>
          </w:p>
        </w:tc>
        <w:tc>
          <w:tcPr>
            <w:tcW w:w="2409" w:type="dxa"/>
          </w:tcPr>
          <w:p w14:paraId="2E00DF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Армавир, ул. К. Маркса, 72</w:t>
            </w:r>
          </w:p>
        </w:tc>
        <w:tc>
          <w:tcPr>
            <w:tcW w:w="2363" w:type="dxa"/>
          </w:tcPr>
          <w:p w14:paraId="7284F8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ФАБ-50</w:t>
            </w:r>
          </w:p>
        </w:tc>
      </w:tr>
      <w:tr w:rsidR="00A907A5" w:rsidRPr="00271E51" w14:paraId="0FAA994B" w14:textId="77777777" w:rsidTr="00ED5B0A">
        <w:trPr>
          <w:gridAfter w:val="1"/>
          <w:wAfter w:w="22" w:type="dxa"/>
        </w:trPr>
        <w:tc>
          <w:tcPr>
            <w:tcW w:w="2235" w:type="dxa"/>
          </w:tcPr>
          <w:p w14:paraId="7F07677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776 (бывш. Краснолит)</w:t>
            </w:r>
          </w:p>
        </w:tc>
        <w:tc>
          <w:tcPr>
            <w:tcW w:w="2409" w:type="dxa"/>
          </w:tcPr>
          <w:p w14:paraId="5A19DDC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Краснодар</w:t>
            </w:r>
          </w:p>
        </w:tc>
        <w:tc>
          <w:tcPr>
            <w:tcW w:w="2363" w:type="dxa"/>
          </w:tcPr>
          <w:p w14:paraId="2D5E247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58EE0A5A" w14:textId="77777777" w:rsidTr="00ED5B0A">
        <w:trPr>
          <w:gridAfter w:val="1"/>
          <w:wAfter w:w="22" w:type="dxa"/>
        </w:trPr>
        <w:tc>
          <w:tcPr>
            <w:tcW w:w="2235" w:type="dxa"/>
          </w:tcPr>
          <w:p w14:paraId="1EC7897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836 организован в 1942 году на базе площадей эвакуированного завода “Манометр”</w:t>
            </w:r>
          </w:p>
        </w:tc>
        <w:tc>
          <w:tcPr>
            <w:tcW w:w="2409" w:type="dxa"/>
          </w:tcPr>
          <w:p w14:paraId="67F195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120, п/я 1532</w:t>
            </w:r>
          </w:p>
        </w:tc>
        <w:tc>
          <w:tcPr>
            <w:tcW w:w="2363" w:type="dxa"/>
          </w:tcPr>
          <w:p w14:paraId="39FDCEA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мины, манометры и др.</w:t>
            </w:r>
          </w:p>
        </w:tc>
      </w:tr>
      <w:tr w:rsidR="00A907A5" w:rsidRPr="00271E51" w14:paraId="192202BD" w14:textId="77777777" w:rsidTr="00ED5B0A">
        <w:trPr>
          <w:gridAfter w:val="1"/>
          <w:wAfter w:w="22" w:type="dxa"/>
        </w:trPr>
        <w:tc>
          <w:tcPr>
            <w:tcW w:w="2235" w:type="dxa"/>
          </w:tcPr>
          <w:p w14:paraId="3F0FFA2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838 организован в 1941 году на базе площадей Ликеро-водочного завода и оборудования Московского завода “Манометр” и Ленинградских заводов ОМЗ № 5, ЛенГЗИП и Молодой Ударник</w:t>
            </w:r>
          </w:p>
        </w:tc>
        <w:tc>
          <w:tcPr>
            <w:tcW w:w="2409" w:type="dxa"/>
          </w:tcPr>
          <w:p w14:paraId="62FDAE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Томск, пр. Тимирязева, 68, п/я 34</w:t>
            </w:r>
          </w:p>
        </w:tc>
        <w:tc>
          <w:tcPr>
            <w:tcW w:w="2363" w:type="dxa"/>
          </w:tcPr>
          <w:p w14:paraId="391FEF0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1CCAB3F4" w14:textId="77777777" w:rsidTr="00ED5B0A">
        <w:trPr>
          <w:gridAfter w:val="1"/>
          <w:wAfter w:w="22" w:type="dxa"/>
        </w:trPr>
        <w:tc>
          <w:tcPr>
            <w:tcW w:w="2235" w:type="dxa"/>
          </w:tcPr>
          <w:p w14:paraId="48CFD7A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840</w:t>
            </w:r>
          </w:p>
        </w:tc>
        <w:tc>
          <w:tcPr>
            <w:tcW w:w="2409" w:type="dxa"/>
          </w:tcPr>
          <w:p w14:paraId="689167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п/я 2304, Кудринский пер., д. 10</w:t>
            </w:r>
          </w:p>
        </w:tc>
        <w:tc>
          <w:tcPr>
            <w:tcW w:w="2363" w:type="dxa"/>
          </w:tcPr>
          <w:p w14:paraId="2D4721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2CFFD722" w14:textId="77777777" w:rsidTr="00ED5B0A">
        <w:trPr>
          <w:gridAfter w:val="1"/>
          <w:wAfter w:w="22" w:type="dxa"/>
        </w:trPr>
        <w:tc>
          <w:tcPr>
            <w:tcW w:w="2235" w:type="dxa"/>
          </w:tcPr>
          <w:p w14:paraId="27666A2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843 “Готовальня” организован в 1935 году на базе площадей бывш. ОКБ-3 и оборудования ОКБ-3 и частично завода “Тизприбор”</w:t>
            </w:r>
          </w:p>
        </w:tc>
        <w:tc>
          <w:tcPr>
            <w:tcW w:w="2409" w:type="dxa"/>
          </w:tcPr>
          <w:p w14:paraId="1F029A0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Электрозаводская ул., д. 52</w:t>
            </w:r>
          </w:p>
        </w:tc>
        <w:tc>
          <w:tcPr>
            <w:tcW w:w="2363" w:type="dxa"/>
          </w:tcPr>
          <w:p w14:paraId="41DBEC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6DC3F08" w14:textId="77777777" w:rsidTr="00ED5B0A">
        <w:trPr>
          <w:gridAfter w:val="1"/>
          <w:wAfter w:w="22" w:type="dxa"/>
        </w:trPr>
        <w:tc>
          <w:tcPr>
            <w:tcW w:w="2235" w:type="dxa"/>
          </w:tcPr>
          <w:p w14:paraId="6DECFEF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849</w:t>
            </w:r>
          </w:p>
        </w:tc>
        <w:tc>
          <w:tcPr>
            <w:tcW w:w="2409" w:type="dxa"/>
          </w:tcPr>
          <w:p w14:paraId="37FDBB0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Орехово-Зуево, Ликинское шоссе, п/я 25</w:t>
            </w:r>
          </w:p>
        </w:tc>
        <w:tc>
          <w:tcPr>
            <w:tcW w:w="2363" w:type="dxa"/>
          </w:tcPr>
          <w:p w14:paraId="1BFD7E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мины 82 мм</w:t>
            </w:r>
          </w:p>
        </w:tc>
      </w:tr>
      <w:tr w:rsidR="00A907A5" w:rsidRPr="00271E51" w14:paraId="41520A09" w14:textId="77777777" w:rsidTr="00ED5B0A">
        <w:trPr>
          <w:gridAfter w:val="1"/>
          <w:wAfter w:w="22" w:type="dxa"/>
        </w:trPr>
        <w:tc>
          <w:tcPr>
            <w:tcW w:w="2235" w:type="dxa"/>
          </w:tcPr>
          <w:p w14:paraId="2A6AF29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704 организован в 1941 году на базе площадей </w:t>
            </w:r>
            <w:r w:rsidRPr="00271E51">
              <w:rPr>
                <w:rFonts w:ascii="Times New Roman" w:hAnsi="Times New Roman"/>
                <w:color w:val="000000" w:themeColor="text1"/>
                <w:sz w:val="16"/>
                <w:szCs w:val="16"/>
              </w:rPr>
              <w:lastRenderedPageBreak/>
              <w:t>бывш. заводов Главсельмаша</w:t>
            </w:r>
          </w:p>
        </w:tc>
        <w:tc>
          <w:tcPr>
            <w:tcW w:w="2409" w:type="dxa"/>
          </w:tcPr>
          <w:p w14:paraId="63E97F2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Адрес: ст. Белинская Пензенской обл., п/я 200</w:t>
            </w:r>
          </w:p>
        </w:tc>
        <w:tc>
          <w:tcPr>
            <w:tcW w:w="2363" w:type="dxa"/>
          </w:tcPr>
          <w:p w14:paraId="0FBF84B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ФАБ-50, снаряд 45 мм, мина 50 мм и др.</w:t>
            </w:r>
          </w:p>
        </w:tc>
      </w:tr>
      <w:tr w:rsidR="00A907A5" w:rsidRPr="00271E51" w14:paraId="6F857426" w14:textId="77777777" w:rsidTr="00ED5B0A">
        <w:trPr>
          <w:gridAfter w:val="1"/>
          <w:wAfter w:w="22" w:type="dxa"/>
        </w:trPr>
        <w:tc>
          <w:tcPr>
            <w:tcW w:w="2235" w:type="dxa"/>
          </w:tcPr>
          <w:p w14:paraId="0357DAA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735 организован в 1941 году на базе площадей бывш. кондитерского комбината и оборудования завода “Вулкан” (Ленинград) и завода “Красный Аксай” (Ростов)</w:t>
            </w:r>
          </w:p>
        </w:tc>
        <w:tc>
          <w:tcPr>
            <w:tcW w:w="2409" w:type="dxa"/>
          </w:tcPr>
          <w:p w14:paraId="5C6C1B4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Ташкент 17, п/я 247</w:t>
            </w:r>
          </w:p>
        </w:tc>
        <w:tc>
          <w:tcPr>
            <w:tcW w:w="2363" w:type="dxa"/>
          </w:tcPr>
          <w:p w14:paraId="3A5F27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мина 50 мм, ХАБ-100, ВАП-100, ВАП-6м, ФАБ-100 и др.</w:t>
            </w:r>
          </w:p>
        </w:tc>
      </w:tr>
      <w:tr w:rsidR="00A907A5" w:rsidRPr="00271E51" w14:paraId="65B992C6" w14:textId="77777777" w:rsidTr="00ED5B0A">
        <w:trPr>
          <w:gridAfter w:val="1"/>
          <w:wAfter w:w="22" w:type="dxa"/>
        </w:trPr>
        <w:tc>
          <w:tcPr>
            <w:tcW w:w="2235" w:type="dxa"/>
          </w:tcPr>
          <w:p w14:paraId="6DC5CFD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788 им. Маленкова</w:t>
            </w:r>
          </w:p>
        </w:tc>
        <w:tc>
          <w:tcPr>
            <w:tcW w:w="2409" w:type="dxa"/>
          </w:tcPr>
          <w:p w14:paraId="58C4271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113, М. Красносельская, д. 2/8, п/я 1520</w:t>
            </w:r>
          </w:p>
        </w:tc>
        <w:tc>
          <w:tcPr>
            <w:tcW w:w="2363" w:type="dxa"/>
          </w:tcPr>
          <w:p w14:paraId="781C035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73AAF8EF" w14:textId="77777777" w:rsidTr="00ED5B0A">
        <w:trPr>
          <w:gridAfter w:val="1"/>
          <w:wAfter w:w="22" w:type="dxa"/>
        </w:trPr>
        <w:tc>
          <w:tcPr>
            <w:tcW w:w="2235" w:type="dxa"/>
          </w:tcPr>
          <w:p w14:paraId="1B40922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802 организован в 1852 году (организован в 1930 году на базе площадей ремонтной мастерской фабрики “Красный Профинтерн”</w:t>
            </w:r>
          </w:p>
        </w:tc>
        <w:tc>
          <w:tcPr>
            <w:tcW w:w="2409" w:type="dxa"/>
          </w:tcPr>
          <w:p w14:paraId="1734461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Гусь-Хрустальный Ивановской области</w:t>
            </w:r>
          </w:p>
        </w:tc>
        <w:tc>
          <w:tcPr>
            <w:tcW w:w="2363" w:type="dxa"/>
          </w:tcPr>
          <w:p w14:paraId="4B721C0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гранаты Ф-1, мины 82 мм и др.</w:t>
            </w:r>
          </w:p>
        </w:tc>
      </w:tr>
      <w:tr w:rsidR="00A907A5" w:rsidRPr="00271E51" w14:paraId="4255D676" w14:textId="77777777" w:rsidTr="00ED5B0A">
        <w:trPr>
          <w:gridAfter w:val="1"/>
          <w:wAfter w:w="22" w:type="dxa"/>
        </w:trPr>
        <w:tc>
          <w:tcPr>
            <w:tcW w:w="2235" w:type="dxa"/>
          </w:tcPr>
          <w:p w14:paraId="011CDD5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Московский завод трикотажных машин № 738 на базе Московского завода трикотажных машин и оборудования оставшегося от эвакуации МЗТМ</w:t>
            </w:r>
          </w:p>
        </w:tc>
        <w:tc>
          <w:tcPr>
            <w:tcW w:w="2409" w:type="dxa"/>
          </w:tcPr>
          <w:p w14:paraId="4B64177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Калужский пер., д. 4, п/я 3090</w:t>
            </w:r>
          </w:p>
        </w:tc>
        <w:tc>
          <w:tcPr>
            <w:tcW w:w="2363" w:type="dxa"/>
          </w:tcPr>
          <w:p w14:paraId="59E5074C"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3608B96" w14:textId="77777777" w:rsidTr="00ED5B0A">
        <w:trPr>
          <w:gridAfter w:val="1"/>
          <w:wAfter w:w="22" w:type="dxa"/>
        </w:trPr>
        <w:tc>
          <w:tcPr>
            <w:tcW w:w="2235" w:type="dxa"/>
          </w:tcPr>
          <w:p w14:paraId="72113D4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Завод № 829</w:t>
            </w:r>
          </w:p>
        </w:tc>
        <w:tc>
          <w:tcPr>
            <w:tcW w:w="2409" w:type="dxa"/>
          </w:tcPr>
          <w:p w14:paraId="1A682FB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5, Ольховская 27, п/я 1545</w:t>
            </w:r>
          </w:p>
        </w:tc>
        <w:tc>
          <w:tcPr>
            <w:tcW w:w="2363" w:type="dxa"/>
          </w:tcPr>
          <w:p w14:paraId="29FB93C4"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6FF5B8F1" w14:textId="77777777" w:rsidTr="00ED5B0A">
        <w:trPr>
          <w:gridAfter w:val="1"/>
          <w:wAfter w:w="22" w:type="dxa"/>
        </w:trPr>
        <w:tc>
          <w:tcPr>
            <w:tcW w:w="2235" w:type="dxa"/>
          </w:tcPr>
          <w:p w14:paraId="19D7DAF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717 </w:t>
            </w:r>
          </w:p>
        </w:tc>
        <w:tc>
          <w:tcPr>
            <w:tcW w:w="2409" w:type="dxa"/>
          </w:tcPr>
          <w:p w14:paraId="08F8685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63" w:type="dxa"/>
          </w:tcPr>
          <w:p w14:paraId="3CC86C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30E10E6D" w14:textId="77777777" w:rsidTr="00ED5B0A">
        <w:trPr>
          <w:gridAfter w:val="1"/>
          <w:wAfter w:w="22" w:type="dxa"/>
        </w:trPr>
        <w:tc>
          <w:tcPr>
            <w:tcW w:w="2235" w:type="dxa"/>
          </w:tcPr>
          <w:p w14:paraId="40C4D9B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 xml:space="preserve">Завод № 846 </w:t>
            </w:r>
          </w:p>
        </w:tc>
        <w:tc>
          <w:tcPr>
            <w:tcW w:w="2409" w:type="dxa"/>
          </w:tcPr>
          <w:p w14:paraId="5AE1AF3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15, Панская ул., д. 14, п/я 3918</w:t>
            </w:r>
          </w:p>
        </w:tc>
        <w:tc>
          <w:tcPr>
            <w:tcW w:w="2363" w:type="dxa"/>
          </w:tcPr>
          <w:p w14:paraId="1F0C2B2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A907A5" w:rsidRPr="00271E51" w14:paraId="0D9D0428" w14:textId="77777777" w:rsidTr="00ED5B0A">
        <w:trPr>
          <w:gridAfter w:val="1"/>
          <w:wAfter w:w="22" w:type="dxa"/>
        </w:trPr>
        <w:tc>
          <w:tcPr>
            <w:tcW w:w="2235" w:type="dxa"/>
          </w:tcPr>
          <w:p w14:paraId="44F3447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НИИ-1 организован в 1942 году на базе площадей бывш. завода “Стекломашина”</w:t>
            </w:r>
          </w:p>
        </w:tc>
        <w:tc>
          <w:tcPr>
            <w:tcW w:w="2409" w:type="dxa"/>
          </w:tcPr>
          <w:p w14:paraId="43964D0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152, п/я 1129, Загородное шоссе, д. 5</w:t>
            </w:r>
          </w:p>
        </w:tc>
        <w:tc>
          <w:tcPr>
            <w:tcW w:w="2363" w:type="dxa"/>
          </w:tcPr>
          <w:p w14:paraId="7816613B"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ФАБ-50, экспериментальные образцы вооружения</w:t>
            </w:r>
          </w:p>
        </w:tc>
      </w:tr>
      <w:tr w:rsidR="00A907A5" w:rsidRPr="00271E51" w14:paraId="6FD2F7CB" w14:textId="77777777" w:rsidTr="00ED5B0A">
        <w:trPr>
          <w:gridAfter w:val="1"/>
          <w:wAfter w:w="22" w:type="dxa"/>
        </w:trPr>
        <w:tc>
          <w:tcPr>
            <w:tcW w:w="2235" w:type="dxa"/>
          </w:tcPr>
          <w:p w14:paraId="5BB51F6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ГСКБ-47 организован в 1942 году на базе площадей ГСКБ-47 НКБ</w:t>
            </w:r>
          </w:p>
        </w:tc>
        <w:tc>
          <w:tcPr>
            <w:tcW w:w="2409" w:type="dxa"/>
          </w:tcPr>
          <w:p w14:paraId="4E82F7C7"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58, п/я 4095</w:t>
            </w:r>
          </w:p>
        </w:tc>
        <w:tc>
          <w:tcPr>
            <w:tcW w:w="2363" w:type="dxa"/>
          </w:tcPr>
          <w:p w14:paraId="116878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Продукция: НИР по боеприпасам</w:t>
            </w:r>
          </w:p>
        </w:tc>
      </w:tr>
      <w:tr w:rsidR="00A907A5" w:rsidRPr="00271E51" w14:paraId="3A69E23A" w14:textId="77777777" w:rsidTr="00ED5B0A">
        <w:trPr>
          <w:gridAfter w:val="1"/>
          <w:wAfter w:w="22" w:type="dxa"/>
        </w:trPr>
        <w:tc>
          <w:tcPr>
            <w:tcW w:w="2235" w:type="dxa"/>
          </w:tcPr>
          <w:p w14:paraId="0B791BDD"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КБ-35 организован в 1943 году на базе площадей Авторемонтной мастерской стройконторы НКЗ СССР</w:t>
            </w:r>
          </w:p>
        </w:tc>
        <w:tc>
          <w:tcPr>
            <w:tcW w:w="2409" w:type="dxa"/>
          </w:tcPr>
          <w:p w14:paraId="402E9D2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Адрес: Москва, Верхняя Масловка, 98</w:t>
            </w:r>
          </w:p>
        </w:tc>
        <w:tc>
          <w:tcPr>
            <w:tcW w:w="2363" w:type="dxa"/>
          </w:tcPr>
          <w:p w14:paraId="575030B8"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(6493)</w:t>
            </w:r>
          </w:p>
        </w:tc>
      </w:tr>
    </w:tbl>
    <w:p w14:paraId="0B18ADA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BA12F" w14:textId="77777777" w:rsidR="00FC04C9" w:rsidRPr="00271E51" w:rsidRDefault="00DE5AB5"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271E51">
        <w:rPr>
          <w:rFonts w:ascii="Times New Roman" w:hAnsi="Times New Roman"/>
          <w:i/>
          <w:iCs/>
          <w:color w:val="000000" w:themeColor="text1"/>
          <w:sz w:val="16"/>
          <w:szCs w:val="16"/>
        </w:rPr>
        <w:t>Армия:</w:t>
      </w:r>
    </w:p>
    <w:p w14:paraId="3AF372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A23E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1943-44 на этапе собственно прорыва УР Ил-2 в качестве основной ставилась задача непрерывного сопровождения стрелковых и танковых соединении на всю глубину прорыва. "Илы" должны были непрерывно "висеть" над полем боя и путем нанесения эшелонированных \'даров поражать ЖИВУЮ СИЛУ. огневые средства и бронетехнику противника впереди и на флангах наступающих войск. При этом рубежи действия штурмовиков перемещались в соответствии с темпами продвижения пехоты и танков.</w:t>
      </w:r>
    </w:p>
    <w:p w14:paraId="0AEF1E19"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Задача сопровождения пехоты и танков часто совмещалась с задачей подавления дивизионной артиллерии противника.</w:t>
      </w:r>
    </w:p>
    <w:p w14:paraId="126250C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правило, для действии непосредственно перед фронтом наступающих частей выделялось 2-3 группы по 8-12 Ил-2 в каждой, а для "работы" на флангах - 1-2 такие группы. Все группы находились над полем боя по 20-30 минут, после чего их сменяли другие группы.</w:t>
      </w:r>
    </w:p>
    <w:p w14:paraId="60C145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Изюминка Ил-2 - способность "утюжить" позиции противника под ураганным огнем, раскрывалась в полном объеме.</w:t>
      </w:r>
    </w:p>
    <w:p w14:paraId="7183A38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Отметим, что. решая задачу непосредственного сопровождения наземных войск, штурмовики должны были наносить хирургически точные бомбоштурмовые удары по целям в 100-200 м от своих передовых частей. Чтобы уменьшить вероятность удара по своим войскам. было введено такое правило: ведущий группы, обычно очень опытный летчик. выбирал себе цель самую близкую к линии боевого соприкосновения, а другие летчики группы либо били по ней. либо били по другим целям, находящимся не ближе той. по которой бил ведущий.</w:t>
      </w:r>
    </w:p>
    <w:p w14:paraId="6225194E"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Кроме эшелонированных ударов небольшими группами, Ил-2 наносили и сосредоточенные бомбоштурмовые удары большими группами в 32-60 (иногда свыше 100) самолетов с целью подавления опорных пунктов противника в тактической глубине, изолирования их от притока резервов, а также с целью уничтожения узлов связи, штабов и т.д.</w:t>
      </w:r>
    </w:p>
    <w:p w14:paraId="4448A61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Часть сил штурмовиков Ил-2 обычно выделялась для ведения систематической разведки на глубину до 12-16 км с одновременным нанесением бомбоштурмовых ударов по обнаруженным колоннам резерва противника.</w:t>
      </w:r>
    </w:p>
    <w:p w14:paraId="3217C71F"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Непрерывность действия штурмовиков на поле боя достигалась, прежде всего, тщательным планированием боевых действий и организацией согласованного взаимодействия с наземными войсками. При этом. как показал боевой опыт. точное планирование действий штурмовиков по целям и времени было возможно только на первые часы операции, поскольку в процессе боя обстановка резко и быстро изменялась, так что задачи авиации, запланированные заранее, оказывались зачастую несоответствующими обстановке и интересам наземных войск.</w:t>
      </w:r>
    </w:p>
    <w:p w14:paraId="553ECE25"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ПОЭТОМУ действия Ил-2 на первый период прорыва главной полосы обороны противника, как правило, планировались точно по времени и месту. В дальнейшем действия штурмовиков планировались уже без конкретного указания целей, главным образом по ВЫЗОВУ с КП командира соединения в соответствии со спецификой развития операции, а также по данным своей разведки.</w:t>
      </w:r>
    </w:p>
    <w:p w14:paraId="65775222"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Учитывая, что выделяемый ресурс на непосредственную авиационную поддержку атаки составлял в среднем 70-80 самолето-вылетов в час. то за один час боя штурмовики могли гарантированно уничтожить и подавить непосредственно перед боевыми порядками своих наземных войск (от 100-200 м и дальше” 5 типовых целей.</w:t>
      </w:r>
    </w:p>
    <w:p w14:paraId="2D96C3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Сосредоточенные бомбоштурмовые удары Ил-2 по опорным пунктам противника я тактической глубине, несмотря на несколько меньший наряд сил. выделяемый для удара, по своей эффективности в целом были сравнимы с массированными ударами штурмовиков в период непосредственной авиационной подготовки атаки. Дело в том. что ополи меньшую плотность построения войск и фортификационных сооружении (преимущественно полевого типа), а следовательно, и большую УЯЗВИМОСТЬ при ударах с воздуха.</w:t>
      </w:r>
    </w:p>
    <w:p w14:paraId="0BD2691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Как оказалось, результативность штурмовиков при решении задач непосредственной авиационной поддержки атаки в большинстве случаев уже позволяла общевойсковым армиям быстро преодолевать одну оборонительную позицию за другой и развивать тактический успех в оперативный (8687).</w:t>
      </w:r>
    </w:p>
    <w:p w14:paraId="221531DA"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64406"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t>В периода 1943-45 гг. оценки показывают, что применительно к типовым условиям боев группа в составе 60-80 Ил-2 в результате только одного массированного удара могла гарантированно подавить или уничтожить до 4-5 целей на переднем крае обороны противника. Учитывая, что средний расход ресурса Ил-2 на этапе непосредственной авиационной подготовки атаки составлял около 200-240 самолето-вылетов, немецкие войска могли понести урон в среднем до 15-16 типовых целей. А такая эффективность "хирургических" действий Ил-2 в сочетании с результатами, показываемыми бомбардировочной авиацией и фронтовой артиллерией, уже была приемлемой и вполне обеспечивала успех первой фазы наступления наземных войск (8687).</w:t>
      </w:r>
    </w:p>
    <w:p w14:paraId="310C6D20"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34163" w14:textId="77777777" w:rsidR="00FC04C9" w:rsidRPr="00271E51" w:rsidRDefault="00FC04C9" w:rsidP="00271E51">
      <w:pPr>
        <w:widowControl w:val="0"/>
        <w:autoSpaceDE w:val="0"/>
        <w:autoSpaceDN w:val="0"/>
        <w:adjustRightInd w:val="0"/>
        <w:spacing w:after="0" w:line="240" w:lineRule="auto"/>
        <w:jc w:val="both"/>
        <w:rPr>
          <w:rFonts w:ascii="Times New Roman" w:hAnsi="Times New Roman"/>
          <w:color w:val="000000" w:themeColor="text1"/>
          <w:sz w:val="16"/>
          <w:szCs w:val="16"/>
        </w:rPr>
      </w:pPr>
      <w:r w:rsidRPr="00271E51">
        <w:rPr>
          <w:rFonts w:ascii="Times New Roman" w:hAnsi="Times New Roman"/>
          <w:color w:val="000000" w:themeColor="text1"/>
          <w:sz w:val="16"/>
          <w:szCs w:val="16"/>
        </w:rPr>
        <w:lastRenderedPageBreak/>
        <w:t>Самый важный год войны - конструкторы поняли - принципиально новое в войну уже не полетит или не очень-то понадобится, надо сделать максимум из того, что есть. Действительно, все машины начала войны, пошедшие в серию как недоделанные, были доведены - даже у А.Н.Т. - самого канительщика. Развитие - почти остановилось, крутились в кругу отработанных схем или поворовывали у немцев. Массовое применение новых ПТАБ нельзя рассматривать как нечто, противоречащее этому тезису. На самом деле это проходная вещь и это подтверждается динамикой выпуска - сразу много, а потом - почти столько же, а не много больше.</w:t>
      </w:r>
    </w:p>
    <w:p w14:paraId="11B047DD" w14:textId="77777777" w:rsidR="00FC04C9" w:rsidRPr="00271E51" w:rsidRDefault="00FC04C9" w:rsidP="00271E5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2C1950B" w14:textId="77777777" w:rsidR="00ED5B0A" w:rsidRPr="00271E51" w:rsidRDefault="00ED5B0A" w:rsidP="00271E51">
      <w:pPr>
        <w:spacing w:after="0" w:line="240" w:lineRule="auto"/>
        <w:jc w:val="both"/>
        <w:rPr>
          <w:rFonts w:ascii="Times New Roman" w:hAnsi="Times New Roman"/>
          <w:color w:val="000000" w:themeColor="text1"/>
          <w:sz w:val="16"/>
          <w:szCs w:val="16"/>
        </w:rPr>
      </w:pPr>
    </w:p>
    <w:sectPr w:rsidR="00ED5B0A" w:rsidRPr="00271E51" w:rsidSect="00F72AE9">
      <w:headerReference w:type="even" r:id="rId139"/>
      <w:headerReference w:type="default" r:id="rId140"/>
      <w:footerReference w:type="even" r:id="rId141"/>
      <w:footerReference w:type="default" r:id="rId142"/>
      <w:footerReference w:type="first" r:id="rId143"/>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60F6B" w14:textId="77777777" w:rsidR="00FA0599" w:rsidRDefault="00FA0599" w:rsidP="00FC04C9">
      <w:pPr>
        <w:spacing w:after="0" w:line="240" w:lineRule="auto"/>
      </w:pPr>
      <w:r>
        <w:separator/>
      </w:r>
    </w:p>
  </w:endnote>
  <w:endnote w:type="continuationSeparator" w:id="0">
    <w:p w14:paraId="3972B283" w14:textId="77777777" w:rsidR="00FA0599" w:rsidRDefault="00FA0599" w:rsidP="00FC04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2B341" w14:textId="77777777" w:rsidR="004E18F4" w:rsidRDefault="004E18F4">
    <w:pPr>
      <w:pStyle w:val="aff7"/>
      <w:framePr w:h="163" w:wrap="none" w:vAnchor="text" w:hAnchor="page" w:x="1928" w:y="-815"/>
      <w:shd w:val="clear" w:color="auto" w:fill="auto"/>
    </w:pPr>
    <w:r>
      <w:rPr>
        <w:rStyle w:val="ArialNarrow5pt"/>
      </w:rPr>
      <w:t>Открыта подписка на электронную версию журнала по адресу акрос]р|5ка@уапс1ех.ги Стоимость подписки на 6 месяцев - 550 руб., на 12 месяцев - 1000 руб.</w:t>
    </w:r>
  </w:p>
  <w:p w14:paraId="7DB391DC" w14:textId="77777777" w:rsidR="004E18F4" w:rsidRDefault="004E18F4">
    <w:pP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E1C78" w14:textId="77777777" w:rsidR="004E18F4" w:rsidRDefault="004E18F4">
    <w:pP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BB50F" w14:textId="77777777" w:rsidR="004E18F4" w:rsidRDefault="004E18F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CDD723" w14:textId="77777777" w:rsidR="00FA0599" w:rsidRDefault="00FA0599" w:rsidP="00FC04C9">
      <w:pPr>
        <w:spacing w:after="0" w:line="240" w:lineRule="auto"/>
      </w:pPr>
      <w:r>
        <w:separator/>
      </w:r>
    </w:p>
  </w:footnote>
  <w:footnote w:type="continuationSeparator" w:id="0">
    <w:p w14:paraId="029D74C0" w14:textId="77777777" w:rsidR="00FA0599" w:rsidRDefault="00FA0599" w:rsidP="00FC04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A36B5" w14:textId="77777777" w:rsidR="004E18F4" w:rsidRDefault="004E18F4">
    <w:pPr>
      <w:pStyle w:val="aff7"/>
      <w:framePr w:h="293" w:wrap="none" w:vAnchor="text" w:hAnchor="page" w:x="368" w:y="690"/>
      <w:shd w:val="clear" w:color="auto" w:fill="auto"/>
    </w:pPr>
    <w:r>
      <w:rPr>
        <w:rStyle w:val="ArialNarrow135pt-1pt"/>
      </w:rPr>
      <w:t>шшщш■</w:t>
    </w:r>
  </w:p>
  <w:p w14:paraId="2F918097" w14:textId="77777777" w:rsidR="004E18F4" w:rsidRDefault="004E18F4">
    <w:pPr>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6CECA" w14:textId="77777777" w:rsidR="004E18F4" w:rsidRDefault="004E18F4">
    <w:pPr>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7E10"/>
    <w:multiLevelType w:val="multilevel"/>
    <w:tmpl w:val="06207C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672D91"/>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3B1E1AFA"/>
    <w:multiLevelType w:val="multilevel"/>
    <w:tmpl w:val="541C50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start w:val="2"/>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abstractNum>
  <w:abstractNum w:abstractNumId="3"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63C55766"/>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6F8C0EC5"/>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B861268"/>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5"/>
  </w:num>
  <w:num w:numId="2">
    <w:abstractNumId w:val="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abstractNumId w:val="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1"/>
  </w:num>
  <w:num w:numId="5">
    <w:abstractNumId w:val="4"/>
  </w:num>
  <w:num w:numId="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7"/>
  </w:num>
  <w:num w:numId="9">
    <w:abstractNumId w:val="3"/>
  </w:num>
  <w:num w:numId="10">
    <w:abstractNumId w:val="6"/>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328"/>
    <w:rsid w:val="00004482"/>
    <w:rsid w:val="00006180"/>
    <w:rsid w:val="00007744"/>
    <w:rsid w:val="00021D61"/>
    <w:rsid w:val="00022B98"/>
    <w:rsid w:val="0002349F"/>
    <w:rsid w:val="0003287B"/>
    <w:rsid w:val="00046532"/>
    <w:rsid w:val="00047F30"/>
    <w:rsid w:val="00054E57"/>
    <w:rsid w:val="00060D5D"/>
    <w:rsid w:val="000621D5"/>
    <w:rsid w:val="00067190"/>
    <w:rsid w:val="00071149"/>
    <w:rsid w:val="000734CF"/>
    <w:rsid w:val="00073EF4"/>
    <w:rsid w:val="0007703D"/>
    <w:rsid w:val="00082408"/>
    <w:rsid w:val="0008412D"/>
    <w:rsid w:val="00085ED5"/>
    <w:rsid w:val="00087888"/>
    <w:rsid w:val="000879ED"/>
    <w:rsid w:val="00087E02"/>
    <w:rsid w:val="000966FF"/>
    <w:rsid w:val="000A125D"/>
    <w:rsid w:val="000A24D5"/>
    <w:rsid w:val="000A25B3"/>
    <w:rsid w:val="000A3723"/>
    <w:rsid w:val="000A63D6"/>
    <w:rsid w:val="000A7D2C"/>
    <w:rsid w:val="000C6676"/>
    <w:rsid w:val="000D2AC1"/>
    <w:rsid w:val="000D7A1D"/>
    <w:rsid w:val="000F1C2D"/>
    <w:rsid w:val="000F2812"/>
    <w:rsid w:val="000F6181"/>
    <w:rsid w:val="00110BE5"/>
    <w:rsid w:val="0012255E"/>
    <w:rsid w:val="001369A1"/>
    <w:rsid w:val="00136D32"/>
    <w:rsid w:val="001433C9"/>
    <w:rsid w:val="00147B86"/>
    <w:rsid w:val="00150B65"/>
    <w:rsid w:val="0015200D"/>
    <w:rsid w:val="00153CB5"/>
    <w:rsid w:val="00155AFE"/>
    <w:rsid w:val="001636A9"/>
    <w:rsid w:val="00171372"/>
    <w:rsid w:val="00173575"/>
    <w:rsid w:val="00177DC7"/>
    <w:rsid w:val="00180E5C"/>
    <w:rsid w:val="00182FCE"/>
    <w:rsid w:val="00191C64"/>
    <w:rsid w:val="00196D5A"/>
    <w:rsid w:val="001974A8"/>
    <w:rsid w:val="001A0E20"/>
    <w:rsid w:val="001A49F1"/>
    <w:rsid w:val="001B0803"/>
    <w:rsid w:val="001B4A98"/>
    <w:rsid w:val="001B4FA5"/>
    <w:rsid w:val="001B5219"/>
    <w:rsid w:val="001B6A93"/>
    <w:rsid w:val="001C130E"/>
    <w:rsid w:val="001D264E"/>
    <w:rsid w:val="001D7FDC"/>
    <w:rsid w:val="001E1E94"/>
    <w:rsid w:val="001E70D1"/>
    <w:rsid w:val="001F2A41"/>
    <w:rsid w:val="001F61DE"/>
    <w:rsid w:val="00201761"/>
    <w:rsid w:val="00204180"/>
    <w:rsid w:val="00221693"/>
    <w:rsid w:val="00231E78"/>
    <w:rsid w:val="00236356"/>
    <w:rsid w:val="002439EA"/>
    <w:rsid w:val="002574C5"/>
    <w:rsid w:val="00264B7D"/>
    <w:rsid w:val="00271E51"/>
    <w:rsid w:val="00282D4E"/>
    <w:rsid w:val="002877BD"/>
    <w:rsid w:val="002B06C1"/>
    <w:rsid w:val="002B6E09"/>
    <w:rsid w:val="002D558F"/>
    <w:rsid w:val="002D7419"/>
    <w:rsid w:val="002E07F8"/>
    <w:rsid w:val="002E7481"/>
    <w:rsid w:val="002F0BE8"/>
    <w:rsid w:val="002F4B06"/>
    <w:rsid w:val="00311DEE"/>
    <w:rsid w:val="003137AD"/>
    <w:rsid w:val="0032121B"/>
    <w:rsid w:val="00321235"/>
    <w:rsid w:val="003253B5"/>
    <w:rsid w:val="00330D5B"/>
    <w:rsid w:val="00331CF1"/>
    <w:rsid w:val="0033666E"/>
    <w:rsid w:val="00342293"/>
    <w:rsid w:val="00342EB3"/>
    <w:rsid w:val="00343493"/>
    <w:rsid w:val="0034357B"/>
    <w:rsid w:val="00347A54"/>
    <w:rsid w:val="00347E12"/>
    <w:rsid w:val="00350BE0"/>
    <w:rsid w:val="003524CF"/>
    <w:rsid w:val="00356A35"/>
    <w:rsid w:val="00357684"/>
    <w:rsid w:val="003602B0"/>
    <w:rsid w:val="003608FA"/>
    <w:rsid w:val="00362C50"/>
    <w:rsid w:val="00365852"/>
    <w:rsid w:val="00370A2C"/>
    <w:rsid w:val="00375CE9"/>
    <w:rsid w:val="00375F58"/>
    <w:rsid w:val="00381253"/>
    <w:rsid w:val="00390DD4"/>
    <w:rsid w:val="003A67C9"/>
    <w:rsid w:val="003A6E72"/>
    <w:rsid w:val="003C3A22"/>
    <w:rsid w:val="003C3F8A"/>
    <w:rsid w:val="003C4F73"/>
    <w:rsid w:val="003D16F9"/>
    <w:rsid w:val="003D48DC"/>
    <w:rsid w:val="003D527B"/>
    <w:rsid w:val="003D5303"/>
    <w:rsid w:val="003E0410"/>
    <w:rsid w:val="003E27A2"/>
    <w:rsid w:val="003E3CDD"/>
    <w:rsid w:val="003F06D0"/>
    <w:rsid w:val="003F6083"/>
    <w:rsid w:val="003F60E5"/>
    <w:rsid w:val="004024D5"/>
    <w:rsid w:val="0040563E"/>
    <w:rsid w:val="00405A7E"/>
    <w:rsid w:val="00406371"/>
    <w:rsid w:val="00406748"/>
    <w:rsid w:val="004108BE"/>
    <w:rsid w:val="004133BF"/>
    <w:rsid w:val="0041596B"/>
    <w:rsid w:val="00415F08"/>
    <w:rsid w:val="00416C29"/>
    <w:rsid w:val="00417D24"/>
    <w:rsid w:val="00424340"/>
    <w:rsid w:val="0043240E"/>
    <w:rsid w:val="00436C25"/>
    <w:rsid w:val="00440A18"/>
    <w:rsid w:val="004421E8"/>
    <w:rsid w:val="0045114F"/>
    <w:rsid w:val="00451C95"/>
    <w:rsid w:val="00454E8B"/>
    <w:rsid w:val="00463BF9"/>
    <w:rsid w:val="004674F3"/>
    <w:rsid w:val="00473181"/>
    <w:rsid w:val="0047343F"/>
    <w:rsid w:val="004801FA"/>
    <w:rsid w:val="004A2091"/>
    <w:rsid w:val="004A3A7A"/>
    <w:rsid w:val="004A7886"/>
    <w:rsid w:val="004B72F0"/>
    <w:rsid w:val="004C3A11"/>
    <w:rsid w:val="004C538B"/>
    <w:rsid w:val="004E13DD"/>
    <w:rsid w:val="004E18F4"/>
    <w:rsid w:val="004E6958"/>
    <w:rsid w:val="004E750B"/>
    <w:rsid w:val="004F0166"/>
    <w:rsid w:val="004F5E15"/>
    <w:rsid w:val="00503196"/>
    <w:rsid w:val="0050572A"/>
    <w:rsid w:val="00506386"/>
    <w:rsid w:val="0051620D"/>
    <w:rsid w:val="00523049"/>
    <w:rsid w:val="00524306"/>
    <w:rsid w:val="00524CAE"/>
    <w:rsid w:val="0052569F"/>
    <w:rsid w:val="005403DA"/>
    <w:rsid w:val="00543FC4"/>
    <w:rsid w:val="00545A94"/>
    <w:rsid w:val="00547360"/>
    <w:rsid w:val="00560783"/>
    <w:rsid w:val="00566029"/>
    <w:rsid w:val="005660E0"/>
    <w:rsid w:val="00577522"/>
    <w:rsid w:val="00580788"/>
    <w:rsid w:val="00593262"/>
    <w:rsid w:val="00595253"/>
    <w:rsid w:val="005A27E3"/>
    <w:rsid w:val="005A3E32"/>
    <w:rsid w:val="005B44EF"/>
    <w:rsid w:val="005B7B2E"/>
    <w:rsid w:val="005D0971"/>
    <w:rsid w:val="005D277D"/>
    <w:rsid w:val="005E29C5"/>
    <w:rsid w:val="005F317F"/>
    <w:rsid w:val="006030C2"/>
    <w:rsid w:val="00610B5A"/>
    <w:rsid w:val="00613815"/>
    <w:rsid w:val="00617503"/>
    <w:rsid w:val="00633AC2"/>
    <w:rsid w:val="00635F63"/>
    <w:rsid w:val="00645487"/>
    <w:rsid w:val="00657F47"/>
    <w:rsid w:val="00665ECA"/>
    <w:rsid w:val="00671CE1"/>
    <w:rsid w:val="00677C37"/>
    <w:rsid w:val="00677DC3"/>
    <w:rsid w:val="006972BF"/>
    <w:rsid w:val="006B0025"/>
    <w:rsid w:val="006B0328"/>
    <w:rsid w:val="006B394D"/>
    <w:rsid w:val="006C0ACA"/>
    <w:rsid w:val="006E1773"/>
    <w:rsid w:val="006E23A3"/>
    <w:rsid w:val="006E245A"/>
    <w:rsid w:val="006E2D26"/>
    <w:rsid w:val="006F1C24"/>
    <w:rsid w:val="006F3FF6"/>
    <w:rsid w:val="006F5020"/>
    <w:rsid w:val="00714CDA"/>
    <w:rsid w:val="00715334"/>
    <w:rsid w:val="00725DEA"/>
    <w:rsid w:val="00735A75"/>
    <w:rsid w:val="00736B3D"/>
    <w:rsid w:val="00742358"/>
    <w:rsid w:val="00750B15"/>
    <w:rsid w:val="00750D9D"/>
    <w:rsid w:val="007512AF"/>
    <w:rsid w:val="00770FFF"/>
    <w:rsid w:val="00771B3B"/>
    <w:rsid w:val="00776ACF"/>
    <w:rsid w:val="007826CC"/>
    <w:rsid w:val="00785FD4"/>
    <w:rsid w:val="00787BC1"/>
    <w:rsid w:val="00795BFA"/>
    <w:rsid w:val="007A3863"/>
    <w:rsid w:val="007A3BB4"/>
    <w:rsid w:val="007B4EF1"/>
    <w:rsid w:val="007B6263"/>
    <w:rsid w:val="007C0FF9"/>
    <w:rsid w:val="007C74DE"/>
    <w:rsid w:val="007C7C9D"/>
    <w:rsid w:val="007E02AB"/>
    <w:rsid w:val="007E566F"/>
    <w:rsid w:val="007E57F6"/>
    <w:rsid w:val="007F3D7F"/>
    <w:rsid w:val="007F45FB"/>
    <w:rsid w:val="00800387"/>
    <w:rsid w:val="0081263A"/>
    <w:rsid w:val="00816302"/>
    <w:rsid w:val="00827482"/>
    <w:rsid w:val="00844775"/>
    <w:rsid w:val="00845339"/>
    <w:rsid w:val="00850323"/>
    <w:rsid w:val="0085271C"/>
    <w:rsid w:val="008572EC"/>
    <w:rsid w:val="0086150A"/>
    <w:rsid w:val="008668D9"/>
    <w:rsid w:val="00875DC8"/>
    <w:rsid w:val="00884CE6"/>
    <w:rsid w:val="00887451"/>
    <w:rsid w:val="00892107"/>
    <w:rsid w:val="00893923"/>
    <w:rsid w:val="008B424D"/>
    <w:rsid w:val="008B4929"/>
    <w:rsid w:val="008C1766"/>
    <w:rsid w:val="008C20FA"/>
    <w:rsid w:val="008C53D2"/>
    <w:rsid w:val="008C5B40"/>
    <w:rsid w:val="008C6E30"/>
    <w:rsid w:val="008D5B14"/>
    <w:rsid w:val="008D62A9"/>
    <w:rsid w:val="008D676F"/>
    <w:rsid w:val="008D7419"/>
    <w:rsid w:val="008E0EC1"/>
    <w:rsid w:val="008E3AD4"/>
    <w:rsid w:val="008E40D9"/>
    <w:rsid w:val="008E68A0"/>
    <w:rsid w:val="008E7E8D"/>
    <w:rsid w:val="008F512D"/>
    <w:rsid w:val="009011C5"/>
    <w:rsid w:val="0090552A"/>
    <w:rsid w:val="00905C53"/>
    <w:rsid w:val="00923604"/>
    <w:rsid w:val="009274CE"/>
    <w:rsid w:val="009376F4"/>
    <w:rsid w:val="009415BB"/>
    <w:rsid w:val="00944465"/>
    <w:rsid w:val="00953CBB"/>
    <w:rsid w:val="00960495"/>
    <w:rsid w:val="00961AA6"/>
    <w:rsid w:val="009631BF"/>
    <w:rsid w:val="00972082"/>
    <w:rsid w:val="00974AE3"/>
    <w:rsid w:val="009753E3"/>
    <w:rsid w:val="009849D8"/>
    <w:rsid w:val="00987D57"/>
    <w:rsid w:val="00995DF2"/>
    <w:rsid w:val="00996736"/>
    <w:rsid w:val="009A059F"/>
    <w:rsid w:val="009A1BAB"/>
    <w:rsid w:val="009A5E05"/>
    <w:rsid w:val="009A76B4"/>
    <w:rsid w:val="009B0A1D"/>
    <w:rsid w:val="009C3023"/>
    <w:rsid w:val="009C38ED"/>
    <w:rsid w:val="009C3F44"/>
    <w:rsid w:val="009C7F1C"/>
    <w:rsid w:val="009E244B"/>
    <w:rsid w:val="009F142F"/>
    <w:rsid w:val="009F236C"/>
    <w:rsid w:val="009F69D2"/>
    <w:rsid w:val="00A005EA"/>
    <w:rsid w:val="00A16F55"/>
    <w:rsid w:val="00A17B42"/>
    <w:rsid w:val="00A25090"/>
    <w:rsid w:val="00A25969"/>
    <w:rsid w:val="00A35B4B"/>
    <w:rsid w:val="00A46221"/>
    <w:rsid w:val="00A53D35"/>
    <w:rsid w:val="00A60F16"/>
    <w:rsid w:val="00A76817"/>
    <w:rsid w:val="00A812E8"/>
    <w:rsid w:val="00A907A5"/>
    <w:rsid w:val="00A911F6"/>
    <w:rsid w:val="00A918C0"/>
    <w:rsid w:val="00A94230"/>
    <w:rsid w:val="00AA0EA4"/>
    <w:rsid w:val="00AA3653"/>
    <w:rsid w:val="00AB5376"/>
    <w:rsid w:val="00AC718A"/>
    <w:rsid w:val="00AD1573"/>
    <w:rsid w:val="00AD34DF"/>
    <w:rsid w:val="00AD612B"/>
    <w:rsid w:val="00AD6508"/>
    <w:rsid w:val="00AE0812"/>
    <w:rsid w:val="00AE304B"/>
    <w:rsid w:val="00AF626F"/>
    <w:rsid w:val="00B12AF7"/>
    <w:rsid w:val="00B1690F"/>
    <w:rsid w:val="00B17796"/>
    <w:rsid w:val="00B200C4"/>
    <w:rsid w:val="00B23CFC"/>
    <w:rsid w:val="00B243B4"/>
    <w:rsid w:val="00B3406E"/>
    <w:rsid w:val="00B36FC8"/>
    <w:rsid w:val="00B37F76"/>
    <w:rsid w:val="00B442A1"/>
    <w:rsid w:val="00B51B67"/>
    <w:rsid w:val="00B52A91"/>
    <w:rsid w:val="00B56808"/>
    <w:rsid w:val="00B73A07"/>
    <w:rsid w:val="00B8210E"/>
    <w:rsid w:val="00B875DB"/>
    <w:rsid w:val="00B92D51"/>
    <w:rsid w:val="00B95E55"/>
    <w:rsid w:val="00BA6209"/>
    <w:rsid w:val="00BA6FD2"/>
    <w:rsid w:val="00BA7A65"/>
    <w:rsid w:val="00BB15EE"/>
    <w:rsid w:val="00BC3FC7"/>
    <w:rsid w:val="00BC511E"/>
    <w:rsid w:val="00BD5D40"/>
    <w:rsid w:val="00BF1343"/>
    <w:rsid w:val="00C11376"/>
    <w:rsid w:val="00C17CA1"/>
    <w:rsid w:val="00C25E5B"/>
    <w:rsid w:val="00C413CC"/>
    <w:rsid w:val="00C41A6C"/>
    <w:rsid w:val="00C43F84"/>
    <w:rsid w:val="00C4612F"/>
    <w:rsid w:val="00C504D8"/>
    <w:rsid w:val="00C60F68"/>
    <w:rsid w:val="00C65CD4"/>
    <w:rsid w:val="00C73116"/>
    <w:rsid w:val="00C7487C"/>
    <w:rsid w:val="00C81B90"/>
    <w:rsid w:val="00C85280"/>
    <w:rsid w:val="00CA15B2"/>
    <w:rsid w:val="00CA2DB6"/>
    <w:rsid w:val="00CA6A5B"/>
    <w:rsid w:val="00CA7A1C"/>
    <w:rsid w:val="00CB219E"/>
    <w:rsid w:val="00CB34CD"/>
    <w:rsid w:val="00CC32B5"/>
    <w:rsid w:val="00CD02BC"/>
    <w:rsid w:val="00CD2F38"/>
    <w:rsid w:val="00CD4E8C"/>
    <w:rsid w:val="00CD599D"/>
    <w:rsid w:val="00CD6140"/>
    <w:rsid w:val="00CE2EFD"/>
    <w:rsid w:val="00CE2FBC"/>
    <w:rsid w:val="00CE3485"/>
    <w:rsid w:val="00CE5825"/>
    <w:rsid w:val="00CE5AB0"/>
    <w:rsid w:val="00CE7647"/>
    <w:rsid w:val="00CF13D3"/>
    <w:rsid w:val="00CF13E4"/>
    <w:rsid w:val="00CF592E"/>
    <w:rsid w:val="00D009D8"/>
    <w:rsid w:val="00D03F5E"/>
    <w:rsid w:val="00D04D05"/>
    <w:rsid w:val="00D41354"/>
    <w:rsid w:val="00D46564"/>
    <w:rsid w:val="00D500AF"/>
    <w:rsid w:val="00D51A06"/>
    <w:rsid w:val="00D535E7"/>
    <w:rsid w:val="00D56E4E"/>
    <w:rsid w:val="00D57092"/>
    <w:rsid w:val="00D601B1"/>
    <w:rsid w:val="00D60938"/>
    <w:rsid w:val="00D63EBE"/>
    <w:rsid w:val="00D64D0B"/>
    <w:rsid w:val="00D66D65"/>
    <w:rsid w:val="00D708CE"/>
    <w:rsid w:val="00D72105"/>
    <w:rsid w:val="00D745B1"/>
    <w:rsid w:val="00D766CA"/>
    <w:rsid w:val="00D7691F"/>
    <w:rsid w:val="00D81BEA"/>
    <w:rsid w:val="00D826CA"/>
    <w:rsid w:val="00D8571E"/>
    <w:rsid w:val="00D91591"/>
    <w:rsid w:val="00D9247A"/>
    <w:rsid w:val="00D96B98"/>
    <w:rsid w:val="00DA1B4D"/>
    <w:rsid w:val="00DB000D"/>
    <w:rsid w:val="00DB187D"/>
    <w:rsid w:val="00DB2929"/>
    <w:rsid w:val="00DB5776"/>
    <w:rsid w:val="00DC7544"/>
    <w:rsid w:val="00DD2B77"/>
    <w:rsid w:val="00DD5CFD"/>
    <w:rsid w:val="00DE4A8E"/>
    <w:rsid w:val="00DE5AB5"/>
    <w:rsid w:val="00E01C82"/>
    <w:rsid w:val="00E03D58"/>
    <w:rsid w:val="00E12673"/>
    <w:rsid w:val="00E15D3B"/>
    <w:rsid w:val="00E16298"/>
    <w:rsid w:val="00E16DD7"/>
    <w:rsid w:val="00E17F47"/>
    <w:rsid w:val="00E23EFA"/>
    <w:rsid w:val="00E2644E"/>
    <w:rsid w:val="00E324BD"/>
    <w:rsid w:val="00E36137"/>
    <w:rsid w:val="00E40008"/>
    <w:rsid w:val="00E40F8E"/>
    <w:rsid w:val="00E4342B"/>
    <w:rsid w:val="00E44A32"/>
    <w:rsid w:val="00E5062B"/>
    <w:rsid w:val="00E53197"/>
    <w:rsid w:val="00E5561C"/>
    <w:rsid w:val="00E563F3"/>
    <w:rsid w:val="00E57D88"/>
    <w:rsid w:val="00E62D47"/>
    <w:rsid w:val="00E66D13"/>
    <w:rsid w:val="00E741BB"/>
    <w:rsid w:val="00E77F1F"/>
    <w:rsid w:val="00E80F52"/>
    <w:rsid w:val="00E84C27"/>
    <w:rsid w:val="00E85ED5"/>
    <w:rsid w:val="00E87E3A"/>
    <w:rsid w:val="00E97B64"/>
    <w:rsid w:val="00EA1391"/>
    <w:rsid w:val="00EA2C83"/>
    <w:rsid w:val="00EA3D58"/>
    <w:rsid w:val="00EA5521"/>
    <w:rsid w:val="00EA65E0"/>
    <w:rsid w:val="00EB45F6"/>
    <w:rsid w:val="00EC0BEB"/>
    <w:rsid w:val="00EC6ED4"/>
    <w:rsid w:val="00ED5B0A"/>
    <w:rsid w:val="00EE04E8"/>
    <w:rsid w:val="00EE10A0"/>
    <w:rsid w:val="00EE36A4"/>
    <w:rsid w:val="00EE60C5"/>
    <w:rsid w:val="00EE69CE"/>
    <w:rsid w:val="00EF331F"/>
    <w:rsid w:val="00EF3A16"/>
    <w:rsid w:val="00EF645F"/>
    <w:rsid w:val="00F02AD7"/>
    <w:rsid w:val="00F06230"/>
    <w:rsid w:val="00F34513"/>
    <w:rsid w:val="00F371F5"/>
    <w:rsid w:val="00F52BDF"/>
    <w:rsid w:val="00F672AD"/>
    <w:rsid w:val="00F72AE9"/>
    <w:rsid w:val="00F8287E"/>
    <w:rsid w:val="00F85007"/>
    <w:rsid w:val="00F87975"/>
    <w:rsid w:val="00F87EB8"/>
    <w:rsid w:val="00F93C07"/>
    <w:rsid w:val="00F96B9F"/>
    <w:rsid w:val="00F97672"/>
    <w:rsid w:val="00FA0599"/>
    <w:rsid w:val="00FA1C3A"/>
    <w:rsid w:val="00FA491C"/>
    <w:rsid w:val="00FB0459"/>
    <w:rsid w:val="00FB23FA"/>
    <w:rsid w:val="00FB28CB"/>
    <w:rsid w:val="00FC04C9"/>
    <w:rsid w:val="00FC1EB4"/>
    <w:rsid w:val="00FC29A4"/>
    <w:rsid w:val="00FD274E"/>
    <w:rsid w:val="00FD753F"/>
    <w:rsid w:val="00FE6EEC"/>
    <w:rsid w:val="00FE7A4E"/>
    <w:rsid w:val="00FF0095"/>
    <w:rsid w:val="00FF36B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27F4B00"/>
  <w15:docId w15:val="{A77115E4-8C20-4F79-9729-C525C1D65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0B65"/>
    <w:pPr>
      <w:spacing w:after="160" w:line="259" w:lineRule="auto"/>
    </w:pPr>
    <w:rPr>
      <w:sz w:val="22"/>
      <w:szCs w:val="22"/>
      <w:lang w:eastAsia="en-US"/>
    </w:rPr>
  </w:style>
  <w:style w:type="paragraph" w:styleId="1">
    <w:name w:val="heading 1"/>
    <w:basedOn w:val="a"/>
    <w:next w:val="a"/>
    <w:link w:val="10"/>
    <w:uiPriority w:val="99"/>
    <w:qFormat/>
    <w:rsid w:val="00FC04C9"/>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FC04C9"/>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FC04C9"/>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FC04C9"/>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7">
    <w:name w:val="heading 7"/>
    <w:basedOn w:val="a"/>
    <w:next w:val="a"/>
    <w:link w:val="70"/>
    <w:uiPriority w:val="99"/>
    <w:qFormat/>
    <w:rsid w:val="00FC04C9"/>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FC04C9"/>
    <w:rPr>
      <w:rFonts w:ascii="Times New Roman" w:hAnsi="Times New Roman"/>
      <w:b/>
      <w:bCs/>
      <w:sz w:val="24"/>
      <w:szCs w:val="24"/>
      <w:lang w:eastAsia="en-US"/>
    </w:rPr>
  </w:style>
  <w:style w:type="character" w:customStyle="1" w:styleId="20">
    <w:name w:val="Заголовок 2 Знак"/>
    <w:link w:val="2"/>
    <w:uiPriority w:val="9"/>
    <w:rsid w:val="00FC04C9"/>
    <w:rPr>
      <w:rFonts w:ascii="Cambria" w:eastAsia="Times New Roman" w:hAnsi="Cambria"/>
      <w:color w:val="365F91"/>
      <w:sz w:val="26"/>
      <w:szCs w:val="26"/>
    </w:rPr>
  </w:style>
  <w:style w:type="character" w:customStyle="1" w:styleId="30">
    <w:name w:val="Заголовок 3 Знак"/>
    <w:link w:val="3"/>
    <w:uiPriority w:val="99"/>
    <w:rsid w:val="00FC04C9"/>
    <w:rPr>
      <w:rFonts w:ascii="Times New Roman" w:hAnsi="Times New Roman"/>
      <w:b/>
      <w:bCs/>
      <w:sz w:val="28"/>
      <w:szCs w:val="28"/>
      <w:lang w:eastAsia="en-US"/>
    </w:rPr>
  </w:style>
  <w:style w:type="character" w:customStyle="1" w:styleId="40">
    <w:name w:val="Заголовок 4 Знак"/>
    <w:link w:val="4"/>
    <w:uiPriority w:val="9"/>
    <w:rsid w:val="00FC04C9"/>
    <w:rPr>
      <w:rFonts w:ascii="Cambria" w:eastAsia="Times New Roman" w:hAnsi="Cambria"/>
      <w:i/>
      <w:iCs/>
      <w:color w:val="365F91"/>
    </w:rPr>
  </w:style>
  <w:style w:type="character" w:customStyle="1" w:styleId="70">
    <w:name w:val="Заголовок 7 Знак"/>
    <w:link w:val="7"/>
    <w:uiPriority w:val="99"/>
    <w:rsid w:val="00FC04C9"/>
    <w:rPr>
      <w:rFonts w:ascii="Times New Roman" w:hAnsi="Times New Roman"/>
      <w:sz w:val="28"/>
      <w:szCs w:val="28"/>
      <w:lang w:eastAsia="en-US"/>
    </w:rPr>
  </w:style>
  <w:style w:type="paragraph" w:customStyle="1" w:styleId="11">
    <w:name w:val="заголовок 1"/>
    <w:basedOn w:val="a"/>
    <w:next w:val="a"/>
    <w:uiPriority w:val="99"/>
    <w:rsid w:val="00FC04C9"/>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FC04C9"/>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FC04C9"/>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FC04C9"/>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FC04C9"/>
    <w:rPr>
      <w:rFonts w:ascii="Times New Roman" w:hAnsi="Times New Roman"/>
      <w:color w:val="0000FF"/>
      <w:sz w:val="16"/>
      <w:szCs w:val="16"/>
      <w:lang w:val="en-US" w:eastAsia="en-US"/>
    </w:rPr>
  </w:style>
  <w:style w:type="paragraph" w:styleId="22">
    <w:name w:val="Body Text Indent 2"/>
    <w:basedOn w:val="a"/>
    <w:link w:val="23"/>
    <w:uiPriority w:val="99"/>
    <w:rsid w:val="00FC04C9"/>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FC04C9"/>
    <w:rPr>
      <w:rFonts w:ascii="Times New Roman" w:hAnsi="Times New Roman"/>
      <w:color w:val="0000FF"/>
      <w:sz w:val="16"/>
      <w:szCs w:val="16"/>
      <w:lang w:val="en-US" w:eastAsia="en-US"/>
    </w:rPr>
  </w:style>
  <w:style w:type="paragraph" w:styleId="24">
    <w:name w:val="Body Text 2"/>
    <w:basedOn w:val="a"/>
    <w:link w:val="25"/>
    <w:uiPriority w:val="99"/>
    <w:rsid w:val="00FC04C9"/>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FC04C9"/>
    <w:rPr>
      <w:rFonts w:ascii="Times New Roman" w:hAnsi="Times New Roman"/>
      <w:color w:val="0000FF"/>
      <w:sz w:val="16"/>
      <w:szCs w:val="16"/>
      <w:lang w:eastAsia="en-US"/>
    </w:rPr>
  </w:style>
  <w:style w:type="character" w:styleId="a5">
    <w:name w:val="Hyperlink"/>
    <w:uiPriority w:val="99"/>
    <w:rsid w:val="00FC04C9"/>
    <w:rPr>
      <w:color w:val="0000FF"/>
      <w:sz w:val="20"/>
      <w:szCs w:val="20"/>
      <w:u w:val="single"/>
    </w:rPr>
  </w:style>
  <w:style w:type="paragraph" w:styleId="31">
    <w:name w:val="Body Text 3"/>
    <w:basedOn w:val="a"/>
    <w:link w:val="32"/>
    <w:uiPriority w:val="99"/>
    <w:rsid w:val="00FC04C9"/>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FC04C9"/>
    <w:rPr>
      <w:rFonts w:ascii="Times New Roman" w:hAnsi="Times New Roman"/>
      <w:color w:val="0000FF"/>
      <w:sz w:val="16"/>
      <w:szCs w:val="16"/>
      <w:lang w:eastAsia="en-US"/>
    </w:rPr>
  </w:style>
  <w:style w:type="character" w:customStyle="1" w:styleId="12">
    <w:name w:val="С1"/>
    <w:uiPriority w:val="99"/>
    <w:rsid w:val="00FC04C9"/>
    <w:rPr>
      <w:b/>
      <w:bCs/>
    </w:rPr>
  </w:style>
  <w:style w:type="paragraph" w:customStyle="1" w:styleId="a6">
    <w:name w:val="Ц"/>
    <w:basedOn w:val="a"/>
    <w:uiPriority w:val="99"/>
    <w:rsid w:val="00FC04C9"/>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FC04C9"/>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FC04C9"/>
    <w:rPr>
      <w:b/>
      <w:bCs/>
      <w:sz w:val="20"/>
      <w:szCs w:val="20"/>
    </w:rPr>
  </w:style>
  <w:style w:type="paragraph" w:customStyle="1" w:styleId="Blockquote">
    <w:name w:val="Blockquote"/>
    <w:basedOn w:val="a"/>
    <w:uiPriority w:val="99"/>
    <w:rsid w:val="00FC04C9"/>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FC04C9"/>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FC04C9"/>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FC04C9"/>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FC04C9"/>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FC04C9"/>
    <w:rPr>
      <w:rFonts w:ascii="Courier New" w:hAnsi="Courier New" w:cs="Courier New"/>
      <w:color w:val="0000FF"/>
      <w:sz w:val="16"/>
      <w:szCs w:val="16"/>
      <w:lang w:eastAsia="en-US"/>
    </w:rPr>
  </w:style>
  <w:style w:type="paragraph" w:customStyle="1" w:styleId="Text">
    <w:name w:val="Text"/>
    <w:basedOn w:val="a"/>
    <w:uiPriority w:val="99"/>
    <w:rsid w:val="00FC04C9"/>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FC04C9"/>
    <w:rPr>
      <w:i/>
      <w:iCs/>
    </w:rPr>
  </w:style>
  <w:style w:type="paragraph" w:customStyle="1" w:styleId="H5">
    <w:name w:val="H5"/>
    <w:basedOn w:val="a"/>
    <w:next w:val="a"/>
    <w:uiPriority w:val="99"/>
    <w:rsid w:val="00FC04C9"/>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FC04C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FC04C9"/>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FC04C9"/>
    <w:rPr>
      <w:color w:val="0000FF"/>
      <w:u w:val="single"/>
    </w:rPr>
  </w:style>
  <w:style w:type="character" w:customStyle="1" w:styleId="ac">
    <w:name w:val="В"/>
    <w:uiPriority w:val="99"/>
    <w:rsid w:val="00FC04C9"/>
    <w:rPr>
      <w:i/>
      <w:iCs/>
    </w:rPr>
  </w:style>
  <w:style w:type="paragraph" w:customStyle="1" w:styleId="H1">
    <w:name w:val="H1"/>
    <w:basedOn w:val="a"/>
    <w:next w:val="a"/>
    <w:uiPriority w:val="99"/>
    <w:rsid w:val="00FC04C9"/>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FC04C9"/>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FC04C9"/>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FC04C9"/>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FC04C9"/>
    <w:rPr>
      <w:sz w:val="20"/>
      <w:szCs w:val="20"/>
    </w:rPr>
  </w:style>
  <w:style w:type="paragraph" w:customStyle="1" w:styleId="Iniiaiieoaeno">
    <w:name w:val="Iniiaiie oaeno"/>
    <w:basedOn w:val="Iauiue"/>
    <w:uiPriority w:val="99"/>
    <w:rsid w:val="00FC04C9"/>
    <w:pPr>
      <w:jc w:val="both"/>
    </w:pPr>
    <w:rPr>
      <w:sz w:val="16"/>
      <w:szCs w:val="16"/>
    </w:rPr>
  </w:style>
  <w:style w:type="paragraph" w:customStyle="1" w:styleId="z-TopofForm">
    <w:name w:val="z-Top of Form"/>
    <w:next w:val="Iauiue"/>
    <w:uiPriority w:val="99"/>
    <w:rsid w:val="00FC04C9"/>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FC04C9"/>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FC04C9"/>
    <w:rPr>
      <w:i/>
      <w:iCs/>
      <w:sz w:val="24"/>
      <w:szCs w:val="24"/>
    </w:rPr>
  </w:style>
  <w:style w:type="character" w:customStyle="1" w:styleId="A20">
    <w:name w:val="A2"/>
    <w:uiPriority w:val="99"/>
    <w:rsid w:val="00FC04C9"/>
    <w:rPr>
      <w:color w:val="0000FF"/>
      <w:sz w:val="20"/>
      <w:szCs w:val="20"/>
      <w:u w:val="single"/>
    </w:rPr>
  </w:style>
  <w:style w:type="paragraph" w:customStyle="1" w:styleId="O">
    <w:name w:val="O"/>
    <w:basedOn w:val="Iauiue"/>
    <w:uiPriority w:val="99"/>
    <w:rsid w:val="00FC04C9"/>
    <w:pPr>
      <w:spacing w:before="100" w:after="100"/>
      <w:ind w:left="360" w:right="360"/>
    </w:pPr>
    <w:rPr>
      <w:sz w:val="24"/>
      <w:szCs w:val="24"/>
    </w:rPr>
  </w:style>
  <w:style w:type="character" w:customStyle="1" w:styleId="A10">
    <w:name w:val="A1"/>
    <w:uiPriority w:val="99"/>
    <w:rsid w:val="00FC04C9"/>
    <w:rPr>
      <w:i/>
      <w:iCs/>
      <w:sz w:val="20"/>
      <w:szCs w:val="20"/>
    </w:rPr>
  </w:style>
  <w:style w:type="paragraph" w:customStyle="1" w:styleId="Noaiaaieoiaioa">
    <w:name w:val="Noaia aieoiaioa"/>
    <w:basedOn w:val="Iauiue"/>
    <w:uiPriority w:val="99"/>
    <w:rsid w:val="00FC04C9"/>
    <w:pPr>
      <w:shd w:val="clear" w:color="auto" w:fill="000080"/>
    </w:pPr>
    <w:rPr>
      <w:rFonts w:ascii="Tahoma" w:hAnsi="Tahoma" w:cs="Tahoma"/>
    </w:rPr>
  </w:style>
  <w:style w:type="paragraph" w:customStyle="1" w:styleId="DefinitionTerm">
    <w:name w:val="Definition Term"/>
    <w:basedOn w:val="a"/>
    <w:next w:val="DefinitionList"/>
    <w:uiPriority w:val="99"/>
    <w:rsid w:val="00FC04C9"/>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FC04C9"/>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FC04C9"/>
    <w:rPr>
      <w:i/>
      <w:iCs/>
    </w:rPr>
  </w:style>
  <w:style w:type="paragraph" w:customStyle="1" w:styleId="H2">
    <w:name w:val="H2"/>
    <w:basedOn w:val="a"/>
    <w:next w:val="a"/>
    <w:uiPriority w:val="99"/>
    <w:rsid w:val="00FC04C9"/>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FC04C9"/>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FC04C9"/>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FC04C9"/>
    <w:rPr>
      <w:i/>
      <w:iCs/>
    </w:rPr>
  </w:style>
  <w:style w:type="character" w:customStyle="1" w:styleId="CODE">
    <w:name w:val="CODE"/>
    <w:uiPriority w:val="99"/>
    <w:rsid w:val="00FC04C9"/>
    <w:rPr>
      <w:rFonts w:ascii="Courier New" w:hAnsi="Courier New" w:cs="Courier New"/>
      <w:sz w:val="20"/>
      <w:szCs w:val="20"/>
    </w:rPr>
  </w:style>
  <w:style w:type="character" w:styleId="af0">
    <w:name w:val="Emphasis"/>
    <w:uiPriority w:val="20"/>
    <w:qFormat/>
    <w:rsid w:val="00FC04C9"/>
    <w:rPr>
      <w:i/>
      <w:iCs/>
    </w:rPr>
  </w:style>
  <w:style w:type="character" w:styleId="af1">
    <w:name w:val="FollowedHyperlink"/>
    <w:uiPriority w:val="99"/>
    <w:rsid w:val="00FC04C9"/>
    <w:rPr>
      <w:color w:val="800080"/>
      <w:u w:val="single"/>
    </w:rPr>
  </w:style>
  <w:style w:type="character" w:customStyle="1" w:styleId="Keyboard">
    <w:name w:val="Keyboard"/>
    <w:uiPriority w:val="99"/>
    <w:rsid w:val="00FC04C9"/>
    <w:rPr>
      <w:rFonts w:ascii="Courier New" w:hAnsi="Courier New" w:cs="Courier New"/>
      <w:b/>
      <w:bCs/>
      <w:sz w:val="20"/>
      <w:szCs w:val="20"/>
    </w:rPr>
  </w:style>
  <w:style w:type="character" w:customStyle="1" w:styleId="Sample">
    <w:name w:val="Sample"/>
    <w:uiPriority w:val="99"/>
    <w:rsid w:val="00FC04C9"/>
    <w:rPr>
      <w:rFonts w:ascii="Courier New" w:hAnsi="Courier New" w:cs="Courier New"/>
    </w:rPr>
  </w:style>
  <w:style w:type="character" w:customStyle="1" w:styleId="Typewriter">
    <w:name w:val="Typewriter"/>
    <w:uiPriority w:val="99"/>
    <w:rsid w:val="00FC04C9"/>
    <w:rPr>
      <w:rFonts w:ascii="Courier New" w:hAnsi="Courier New" w:cs="Courier New"/>
      <w:sz w:val="20"/>
      <w:szCs w:val="20"/>
    </w:rPr>
  </w:style>
  <w:style w:type="character" w:customStyle="1" w:styleId="Variable">
    <w:name w:val="Variable"/>
    <w:uiPriority w:val="99"/>
    <w:rsid w:val="00FC04C9"/>
    <w:rPr>
      <w:i/>
      <w:iCs/>
    </w:rPr>
  </w:style>
  <w:style w:type="character" w:customStyle="1" w:styleId="HTMLMarkup">
    <w:name w:val="HTML Markup"/>
    <w:uiPriority w:val="99"/>
    <w:rsid w:val="00FC04C9"/>
    <w:rPr>
      <w:vanish/>
      <w:color w:val="FF0000"/>
    </w:rPr>
  </w:style>
  <w:style w:type="character" w:customStyle="1" w:styleId="Comment">
    <w:name w:val="Comment"/>
    <w:uiPriority w:val="99"/>
    <w:rsid w:val="00FC04C9"/>
    <w:rPr>
      <w:vanish/>
    </w:rPr>
  </w:style>
  <w:style w:type="paragraph" w:customStyle="1" w:styleId="af2">
    <w:name w:val="п"/>
    <w:uiPriority w:val="99"/>
    <w:rsid w:val="00FC04C9"/>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FC04C9"/>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FC04C9"/>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FC04C9"/>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FC04C9"/>
    <w:rPr>
      <w:sz w:val="20"/>
      <w:szCs w:val="20"/>
      <w:vertAlign w:val="superscript"/>
    </w:rPr>
  </w:style>
  <w:style w:type="character" w:customStyle="1" w:styleId="af7">
    <w:name w:val="К"/>
    <w:uiPriority w:val="99"/>
    <w:rsid w:val="00FC04C9"/>
    <w:rPr>
      <w:rFonts w:ascii="Courier New" w:hAnsi="Courier New" w:cs="Courier New"/>
      <w:sz w:val="20"/>
      <w:szCs w:val="20"/>
    </w:rPr>
  </w:style>
  <w:style w:type="paragraph" w:customStyle="1" w:styleId="af8">
    <w:name w:val="Ф"/>
    <w:basedOn w:val="af9"/>
    <w:uiPriority w:val="99"/>
    <w:rsid w:val="00FC04C9"/>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FC04C9"/>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FC04C9"/>
    <w:rPr>
      <w:vanish/>
      <w:color w:val="FF0000"/>
    </w:rPr>
  </w:style>
  <w:style w:type="paragraph" w:customStyle="1" w:styleId="Z-1">
    <w:name w:val="Z-1"/>
    <w:next w:val="af9"/>
    <w:uiPriority w:val="99"/>
    <w:rsid w:val="00FC04C9"/>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FC04C9"/>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FC04C9"/>
    <w:pPr>
      <w:spacing w:before="0" w:after="0"/>
    </w:pPr>
  </w:style>
  <w:style w:type="paragraph" w:customStyle="1" w:styleId="afc">
    <w:name w:val="А"/>
    <w:basedOn w:val="a"/>
    <w:next w:val="a"/>
    <w:uiPriority w:val="99"/>
    <w:rsid w:val="00FC04C9"/>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FC04C9"/>
    <w:pPr>
      <w:widowControl/>
      <w:ind w:left="360"/>
    </w:pPr>
    <w:rPr>
      <w:sz w:val="24"/>
      <w:szCs w:val="24"/>
    </w:rPr>
  </w:style>
  <w:style w:type="paragraph" w:customStyle="1" w:styleId="afd">
    <w:name w:val="......."/>
    <w:basedOn w:val="a"/>
    <w:next w:val="a"/>
    <w:uiPriority w:val="99"/>
    <w:rsid w:val="00FC04C9"/>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FC04C9"/>
    <w:rPr>
      <w:color w:val="0000FF"/>
      <w:u w:val="single"/>
    </w:rPr>
  </w:style>
  <w:style w:type="character" w:customStyle="1" w:styleId="13">
    <w:name w:val="О1"/>
    <w:uiPriority w:val="99"/>
    <w:rsid w:val="00FC04C9"/>
    <w:rPr>
      <w:i/>
      <w:iCs/>
    </w:rPr>
  </w:style>
  <w:style w:type="character" w:customStyle="1" w:styleId="aff">
    <w:name w:val="П"/>
    <w:uiPriority w:val="99"/>
    <w:rsid w:val="00FC04C9"/>
    <w:rPr>
      <w:color w:val="800080"/>
      <w:u w:val="single"/>
    </w:rPr>
  </w:style>
  <w:style w:type="character" w:customStyle="1" w:styleId="14">
    <w:name w:val="К1"/>
    <w:uiPriority w:val="99"/>
    <w:rsid w:val="00FC04C9"/>
    <w:rPr>
      <w:rFonts w:ascii="Courier New" w:hAnsi="Courier New" w:cs="Courier New"/>
      <w:b/>
      <w:bCs/>
      <w:sz w:val="20"/>
      <w:szCs w:val="20"/>
    </w:rPr>
  </w:style>
  <w:style w:type="character" w:customStyle="1" w:styleId="41">
    <w:name w:val="П4"/>
    <w:uiPriority w:val="99"/>
    <w:rsid w:val="00FC04C9"/>
    <w:rPr>
      <w:rFonts w:ascii="Courier New" w:hAnsi="Courier New" w:cs="Courier New"/>
    </w:rPr>
  </w:style>
  <w:style w:type="character" w:customStyle="1" w:styleId="33">
    <w:name w:val="П3"/>
    <w:uiPriority w:val="99"/>
    <w:rsid w:val="00FC04C9"/>
    <w:rPr>
      <w:rFonts w:ascii="Courier New" w:hAnsi="Courier New" w:cs="Courier New"/>
      <w:sz w:val="20"/>
      <w:szCs w:val="20"/>
    </w:rPr>
  </w:style>
  <w:style w:type="character" w:customStyle="1" w:styleId="26">
    <w:name w:val="П2"/>
    <w:uiPriority w:val="99"/>
    <w:rsid w:val="00FC04C9"/>
    <w:rPr>
      <w:i/>
      <w:iCs/>
    </w:rPr>
  </w:style>
  <w:style w:type="character" w:customStyle="1" w:styleId="15">
    <w:name w:val="П1"/>
    <w:uiPriority w:val="99"/>
    <w:rsid w:val="00FC04C9"/>
    <w:rPr>
      <w:vanish/>
    </w:rPr>
  </w:style>
  <w:style w:type="paragraph" w:customStyle="1" w:styleId="Iniiaiieoaeno2">
    <w:name w:val="Iniiaiie oaeno 2"/>
    <w:basedOn w:val="Iauiue"/>
    <w:uiPriority w:val="99"/>
    <w:rsid w:val="00FC04C9"/>
    <w:pPr>
      <w:jc w:val="both"/>
    </w:pPr>
    <w:rPr>
      <w:sz w:val="16"/>
      <w:szCs w:val="16"/>
    </w:rPr>
  </w:style>
  <w:style w:type="character" w:customStyle="1" w:styleId="Aeiannueea">
    <w:name w:val="Aeia?nnueea"/>
    <w:uiPriority w:val="99"/>
    <w:rsid w:val="00FC04C9"/>
    <w:rPr>
      <w:color w:val="0000FF"/>
      <w:sz w:val="20"/>
      <w:szCs w:val="20"/>
      <w:u w:val="single"/>
    </w:rPr>
  </w:style>
  <w:style w:type="character" w:customStyle="1" w:styleId="N1">
    <w:name w:val="N1"/>
    <w:uiPriority w:val="99"/>
    <w:rsid w:val="00FC04C9"/>
    <w:rPr>
      <w:b/>
      <w:bCs/>
    </w:rPr>
  </w:style>
  <w:style w:type="paragraph" w:customStyle="1" w:styleId="Iaeeiaaiiuenienie">
    <w:name w:val="Ia?ee?iaaiiue nienie"/>
    <w:basedOn w:val="Iauiue"/>
    <w:uiPriority w:val="99"/>
    <w:rsid w:val="00FC04C9"/>
    <w:pPr>
      <w:widowControl/>
      <w:ind w:left="283" w:hanging="283"/>
    </w:pPr>
  </w:style>
  <w:style w:type="paragraph" w:customStyle="1" w:styleId="Oaeno">
    <w:name w:val="Oaeno"/>
    <w:basedOn w:val="Iauiue"/>
    <w:uiPriority w:val="99"/>
    <w:rsid w:val="00FC04C9"/>
    <w:rPr>
      <w:rFonts w:ascii="Courier New" w:hAnsi="Courier New" w:cs="Courier New"/>
    </w:rPr>
  </w:style>
  <w:style w:type="paragraph" w:customStyle="1" w:styleId="Iniiaiieoaeno3">
    <w:name w:val="Iniiaiie oaeno 3"/>
    <w:basedOn w:val="Iauiue"/>
    <w:uiPriority w:val="99"/>
    <w:rsid w:val="00FC04C9"/>
    <w:pPr>
      <w:jc w:val="center"/>
    </w:pPr>
    <w:rPr>
      <w:sz w:val="16"/>
      <w:szCs w:val="16"/>
    </w:rPr>
  </w:style>
  <w:style w:type="paragraph" w:customStyle="1" w:styleId="Aaoieeeieiioeooe">
    <w:name w:val="Aa?oiee eieiioeooe"/>
    <w:basedOn w:val="Iauiue"/>
    <w:uiPriority w:val="99"/>
    <w:rsid w:val="00FC04C9"/>
    <w:pPr>
      <w:widowControl/>
      <w:tabs>
        <w:tab w:val="center" w:pos="4153"/>
        <w:tab w:val="right" w:pos="8306"/>
      </w:tabs>
    </w:pPr>
  </w:style>
  <w:style w:type="paragraph" w:customStyle="1" w:styleId="Ieieeeieiioeooe">
    <w:name w:val="Ie?iee eieiioeooe"/>
    <w:basedOn w:val="Iauiue"/>
    <w:uiPriority w:val="99"/>
    <w:rsid w:val="00FC04C9"/>
    <w:pPr>
      <w:widowControl/>
      <w:tabs>
        <w:tab w:val="center" w:pos="4153"/>
        <w:tab w:val="right" w:pos="8306"/>
      </w:tabs>
    </w:pPr>
  </w:style>
  <w:style w:type="paragraph" w:customStyle="1" w:styleId="Default">
    <w:name w:val="Default"/>
    <w:rsid w:val="00FC04C9"/>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FC04C9"/>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FC04C9"/>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FC04C9"/>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FC04C9"/>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FC04C9"/>
    <w:rPr>
      <w:rFonts w:ascii="Microsoft Sans Serif" w:hAnsi="Microsoft Sans Serif" w:cs="Microsoft Sans Serif"/>
      <w:b/>
      <w:bCs/>
      <w:i/>
      <w:iCs/>
      <w:spacing w:val="0"/>
      <w:sz w:val="17"/>
      <w:szCs w:val="17"/>
    </w:rPr>
  </w:style>
  <w:style w:type="character" w:customStyle="1" w:styleId="39">
    <w:name w:val="Основной текст (3)9"/>
    <w:uiPriority w:val="99"/>
    <w:rsid w:val="00FC04C9"/>
    <w:rPr>
      <w:b/>
      <w:bCs/>
      <w:i/>
      <w:iCs/>
      <w:sz w:val="17"/>
      <w:szCs w:val="17"/>
    </w:rPr>
  </w:style>
  <w:style w:type="paragraph" w:customStyle="1" w:styleId="310">
    <w:name w:val="Основной текст (3)1"/>
    <w:basedOn w:val="a"/>
    <w:uiPriority w:val="99"/>
    <w:rsid w:val="00FC04C9"/>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FC04C9"/>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FC04C9"/>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FC04C9"/>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FC04C9"/>
    <w:rPr>
      <w:rFonts w:ascii="Microsoft Sans Serif" w:hAnsi="Microsoft Sans Serif" w:cs="Microsoft Sans Serif"/>
      <w:i/>
      <w:iCs/>
      <w:spacing w:val="0"/>
      <w:sz w:val="16"/>
      <w:szCs w:val="16"/>
    </w:rPr>
  </w:style>
  <w:style w:type="character" w:customStyle="1" w:styleId="579">
    <w:name w:val="Основной текст (5)79"/>
    <w:uiPriority w:val="99"/>
    <w:rsid w:val="00FC04C9"/>
    <w:rPr>
      <w:i/>
      <w:iCs/>
      <w:spacing w:val="0"/>
      <w:sz w:val="16"/>
      <w:szCs w:val="16"/>
    </w:rPr>
  </w:style>
  <w:style w:type="character" w:customStyle="1" w:styleId="578">
    <w:name w:val="Основной текст (5)78"/>
    <w:uiPriority w:val="99"/>
    <w:rsid w:val="00FC04C9"/>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FC04C9"/>
    <w:rPr>
      <w:b/>
      <w:bCs/>
      <w:i/>
      <w:iCs/>
      <w:spacing w:val="0"/>
      <w:sz w:val="14"/>
      <w:szCs w:val="14"/>
    </w:rPr>
  </w:style>
  <w:style w:type="character" w:customStyle="1" w:styleId="57pt124">
    <w:name w:val="Основной текст (5) + 7 pt1.Полужирный24"/>
    <w:uiPriority w:val="99"/>
    <w:rsid w:val="00FC04C9"/>
    <w:rPr>
      <w:b/>
      <w:bCs/>
      <w:i/>
      <w:iCs/>
      <w:spacing w:val="0"/>
      <w:sz w:val="14"/>
      <w:szCs w:val="14"/>
    </w:rPr>
  </w:style>
  <w:style w:type="character" w:customStyle="1" w:styleId="8pt25340pt104">
    <w:name w:val="Основной текст + 8 pt25.Курсив34.Интервал 0 pt104"/>
    <w:uiPriority w:val="99"/>
    <w:rsid w:val="00FC04C9"/>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FC04C9"/>
    <w:rPr>
      <w:rFonts w:ascii="Arial Unicode MS" w:eastAsia="Arial Unicode MS" w:cs="Arial Unicode MS"/>
      <w:i/>
      <w:iCs/>
      <w:noProof/>
      <w:spacing w:val="0"/>
      <w:sz w:val="16"/>
      <w:szCs w:val="16"/>
    </w:rPr>
  </w:style>
  <w:style w:type="character" w:customStyle="1" w:styleId="577">
    <w:name w:val="Основной текст (5)77"/>
    <w:uiPriority w:val="99"/>
    <w:rsid w:val="00FC04C9"/>
    <w:rPr>
      <w:i/>
      <w:iCs/>
      <w:spacing w:val="0"/>
      <w:sz w:val="16"/>
      <w:szCs w:val="16"/>
    </w:rPr>
  </w:style>
  <w:style w:type="character" w:customStyle="1" w:styleId="576">
    <w:name w:val="Основной текст (5)76"/>
    <w:uiPriority w:val="99"/>
    <w:rsid w:val="00FC04C9"/>
    <w:rPr>
      <w:rFonts w:ascii="Arial Unicode MS" w:eastAsia="Arial Unicode MS" w:cs="Arial Unicode MS"/>
      <w:i/>
      <w:iCs/>
      <w:noProof/>
      <w:spacing w:val="0"/>
      <w:sz w:val="16"/>
      <w:szCs w:val="16"/>
    </w:rPr>
  </w:style>
  <w:style w:type="paragraph" w:customStyle="1" w:styleId="61">
    <w:name w:val="Заголовок №61"/>
    <w:basedOn w:val="a"/>
    <w:uiPriority w:val="99"/>
    <w:rsid w:val="00FC04C9"/>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FC04C9"/>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FC04C9"/>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FC04C9"/>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FC04C9"/>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FC04C9"/>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FC04C9"/>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FC04C9"/>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FC04C9"/>
    <w:rPr>
      <w:rFonts w:ascii="Lucida Sans Unicode" w:hAnsi="Lucida Sans Unicode" w:cs="Lucida Sans Unicode"/>
      <w:i/>
      <w:iCs/>
      <w:spacing w:val="0"/>
      <w:sz w:val="16"/>
      <w:szCs w:val="16"/>
    </w:rPr>
  </w:style>
  <w:style w:type="character" w:customStyle="1" w:styleId="29">
    <w:name w:val="Основной текст (29)_"/>
    <w:uiPriority w:val="99"/>
    <w:rsid w:val="00FC04C9"/>
    <w:rPr>
      <w:rFonts w:ascii="Arial Narrow" w:hAnsi="Arial Narrow" w:cs="Arial Narrow"/>
      <w:i/>
      <w:iCs/>
      <w:sz w:val="15"/>
      <w:szCs w:val="15"/>
    </w:rPr>
  </w:style>
  <w:style w:type="paragraph" w:customStyle="1" w:styleId="100">
    <w:name w:val="Заголовок №10"/>
    <w:basedOn w:val="a"/>
    <w:link w:val="101"/>
    <w:rsid w:val="00FC04C9"/>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FC04C9"/>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FC04C9"/>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FC04C9"/>
    <w:rPr>
      <w:rFonts w:ascii="Lucida Sans Unicode" w:hAnsi="Lucida Sans Unicode" w:cs="Lucida Sans Unicode"/>
      <w:i/>
      <w:iCs/>
      <w:spacing w:val="0"/>
      <w:sz w:val="16"/>
      <w:szCs w:val="16"/>
    </w:rPr>
  </w:style>
  <w:style w:type="character" w:customStyle="1" w:styleId="aff0">
    <w:name w:val="Основной текст_"/>
    <w:link w:val="102"/>
    <w:rsid w:val="00FC04C9"/>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FC04C9"/>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FC04C9"/>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FC04C9"/>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FC04C9"/>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FC04C9"/>
    <w:rPr>
      <w:rFonts w:ascii="Lucida Sans Unicode" w:hAnsi="Lucida Sans Unicode" w:cs="Lucida Sans Unicode"/>
      <w:i/>
      <w:iCs/>
      <w:spacing w:val="0"/>
      <w:sz w:val="16"/>
      <w:szCs w:val="16"/>
    </w:rPr>
  </w:style>
  <w:style w:type="character" w:customStyle="1" w:styleId="200">
    <w:name w:val="Основной текст (20)_"/>
    <w:uiPriority w:val="99"/>
    <w:rsid w:val="00FC04C9"/>
    <w:rPr>
      <w:b/>
      <w:bCs/>
      <w:i/>
      <w:iCs/>
      <w:sz w:val="15"/>
      <w:szCs w:val="15"/>
    </w:rPr>
  </w:style>
  <w:style w:type="character" w:customStyle="1" w:styleId="2050pt30">
    <w:name w:val="Основной текст (20) + Не курсив5.Интервал 0 pt30"/>
    <w:uiPriority w:val="99"/>
    <w:rsid w:val="00FC04C9"/>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FC04C9"/>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FC04C9"/>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FC04C9"/>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FC04C9"/>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FC04C9"/>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FC04C9"/>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FC04C9"/>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uiPriority w:val="99"/>
    <w:rsid w:val="00FC04C9"/>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3">
    <w:name w:val="Основной текст + Курсив10"/>
    <w:uiPriority w:val="99"/>
    <w:rsid w:val="00FC04C9"/>
    <w:rPr>
      <w:rFonts w:ascii="Arial" w:hAnsi="Arial" w:cs="Arial"/>
      <w:i/>
      <w:iCs/>
      <w:spacing w:val="-10"/>
      <w:sz w:val="17"/>
      <w:szCs w:val="17"/>
    </w:rPr>
  </w:style>
  <w:style w:type="paragraph" w:customStyle="1" w:styleId="250">
    <w:name w:val="Основной текст25"/>
    <w:basedOn w:val="a"/>
    <w:uiPriority w:val="99"/>
    <w:rsid w:val="00FC04C9"/>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FC04C9"/>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FC04C9"/>
    <w:rPr>
      <w:rFonts w:ascii="Times New Roman" w:hAnsi="Times New Roman" w:cs="Times New Roman"/>
      <w:spacing w:val="0"/>
      <w:sz w:val="21"/>
      <w:szCs w:val="21"/>
      <w:u w:val="single"/>
    </w:rPr>
  </w:style>
  <w:style w:type="paragraph" w:customStyle="1" w:styleId="140">
    <w:name w:val="Заголовок №14"/>
    <w:basedOn w:val="a"/>
    <w:uiPriority w:val="99"/>
    <w:rsid w:val="00FC04C9"/>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FC04C9"/>
    <w:rPr>
      <w:spacing w:val="40"/>
      <w:sz w:val="25"/>
      <w:szCs w:val="25"/>
    </w:rPr>
  </w:style>
  <w:style w:type="paragraph" w:customStyle="1" w:styleId="72">
    <w:name w:val="Основной текст (7)"/>
    <w:basedOn w:val="a"/>
    <w:link w:val="73"/>
    <w:rsid w:val="00FC04C9"/>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FC04C9"/>
    <w:rPr>
      <w:spacing w:val="10"/>
      <w:sz w:val="26"/>
      <w:szCs w:val="26"/>
    </w:rPr>
  </w:style>
  <w:style w:type="character" w:customStyle="1" w:styleId="240">
    <w:name w:val="Основной текст24"/>
    <w:uiPriority w:val="99"/>
    <w:rsid w:val="00FC04C9"/>
    <w:rPr>
      <w:sz w:val="25"/>
      <w:szCs w:val="25"/>
    </w:rPr>
  </w:style>
  <w:style w:type="paragraph" w:customStyle="1" w:styleId="6">
    <w:name w:val="Заголовок №6"/>
    <w:basedOn w:val="a"/>
    <w:uiPriority w:val="99"/>
    <w:rsid w:val="00FC04C9"/>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FC04C9"/>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FC04C9"/>
    <w:rPr>
      <w:rFonts w:ascii="Lucida Sans Unicode" w:hAnsi="Lucida Sans Unicode" w:cs="Lucida Sans Unicode"/>
      <w:i/>
      <w:iCs/>
      <w:sz w:val="16"/>
      <w:szCs w:val="16"/>
    </w:rPr>
  </w:style>
  <w:style w:type="paragraph" w:customStyle="1" w:styleId="80">
    <w:name w:val="Основной текст (8)"/>
    <w:basedOn w:val="a"/>
    <w:uiPriority w:val="99"/>
    <w:rsid w:val="00FC04C9"/>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FC04C9"/>
    <w:rPr>
      <w:rFonts w:ascii="Lucida Sans Unicode" w:hAnsi="Lucida Sans Unicode" w:cs="Lucida Sans Unicode"/>
      <w:sz w:val="16"/>
      <w:szCs w:val="16"/>
    </w:rPr>
  </w:style>
  <w:style w:type="character" w:customStyle="1" w:styleId="4pt">
    <w:name w:val="Основной текст + Интервал 4 pt"/>
    <w:uiPriority w:val="99"/>
    <w:rsid w:val="00FC04C9"/>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FC04C9"/>
    <w:rPr>
      <w:rFonts w:ascii="Segoe UI" w:hAnsi="Segoe UI" w:cs="Segoe UI"/>
      <w:b/>
      <w:bCs/>
      <w:i/>
      <w:iCs/>
      <w:spacing w:val="0"/>
      <w:sz w:val="16"/>
      <w:szCs w:val="16"/>
    </w:rPr>
  </w:style>
  <w:style w:type="character" w:customStyle="1" w:styleId="SegoeUI1">
    <w:name w:val="Основной текст + Segoe UI1"/>
    <w:uiPriority w:val="99"/>
    <w:rsid w:val="00FC04C9"/>
    <w:rPr>
      <w:rFonts w:ascii="Segoe UI" w:hAnsi="Segoe UI" w:cs="Segoe UI"/>
      <w:i/>
      <w:iCs/>
      <w:spacing w:val="0"/>
      <w:sz w:val="13"/>
      <w:szCs w:val="13"/>
    </w:rPr>
  </w:style>
  <w:style w:type="character" w:customStyle="1" w:styleId="16">
    <w:name w:val="Основной текст1"/>
    <w:rsid w:val="00FC04C9"/>
    <w:rPr>
      <w:rFonts w:ascii="Gungsuh" w:eastAsia="Gungsuh" w:cs="Gungsuh"/>
      <w:spacing w:val="-10"/>
      <w:sz w:val="16"/>
      <w:szCs w:val="16"/>
      <w:u w:val="single"/>
    </w:rPr>
  </w:style>
  <w:style w:type="paragraph" w:customStyle="1" w:styleId="34">
    <w:name w:val="Основной текст (3)"/>
    <w:basedOn w:val="a"/>
    <w:link w:val="35"/>
    <w:rsid w:val="00FC04C9"/>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FC04C9"/>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FC04C9"/>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FC04C9"/>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FC04C9"/>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uiPriority w:val="99"/>
    <w:rsid w:val="00FC04C9"/>
    <w:rPr>
      <w:rFonts w:ascii="Gungsuh" w:eastAsia="Gungsuh" w:cs="Gungsuh"/>
      <w:spacing w:val="0"/>
      <w:sz w:val="15"/>
      <w:szCs w:val="15"/>
    </w:rPr>
  </w:style>
  <w:style w:type="character" w:customStyle="1" w:styleId="TrebuchetMS">
    <w:name w:val="Основной текст + Trebuchet MS"/>
    <w:uiPriority w:val="99"/>
    <w:rsid w:val="00FC04C9"/>
    <w:rPr>
      <w:rFonts w:ascii="Trebuchet MS" w:hAnsi="Trebuchet MS" w:cs="Trebuchet MS"/>
      <w:b/>
      <w:bCs/>
      <w:spacing w:val="0"/>
      <w:sz w:val="20"/>
      <w:szCs w:val="20"/>
    </w:rPr>
  </w:style>
  <w:style w:type="character" w:customStyle="1" w:styleId="104">
    <w:name w:val="Основной текст + 10"/>
    <w:uiPriority w:val="99"/>
    <w:rsid w:val="00FC04C9"/>
    <w:rPr>
      <w:rFonts w:ascii="Gungsuh" w:eastAsia="Gungsuh" w:cs="Gungsuh"/>
      <w:spacing w:val="-20"/>
      <w:sz w:val="21"/>
      <w:szCs w:val="21"/>
    </w:rPr>
  </w:style>
  <w:style w:type="character" w:customStyle="1" w:styleId="9">
    <w:name w:val="Основной текст + 9"/>
    <w:uiPriority w:val="99"/>
    <w:rsid w:val="00FC04C9"/>
    <w:rPr>
      <w:rFonts w:ascii="Gungsuh" w:eastAsia="Gungsuh" w:cs="Gungsuh"/>
      <w:smallCaps/>
      <w:spacing w:val="-10"/>
      <w:sz w:val="19"/>
      <w:szCs w:val="19"/>
    </w:rPr>
  </w:style>
  <w:style w:type="character" w:customStyle="1" w:styleId="Candara">
    <w:name w:val="Основной текст + Candara"/>
    <w:uiPriority w:val="99"/>
    <w:rsid w:val="00FC04C9"/>
    <w:rPr>
      <w:rFonts w:ascii="Candara" w:hAnsi="Candara" w:cs="Candara"/>
      <w:b/>
      <w:bCs/>
      <w:spacing w:val="0"/>
      <w:sz w:val="22"/>
      <w:szCs w:val="22"/>
    </w:rPr>
  </w:style>
  <w:style w:type="character" w:customStyle="1" w:styleId="0pt">
    <w:name w:val="Основной текст + Интервал 0 pt"/>
    <w:rsid w:val="00FC04C9"/>
    <w:rPr>
      <w:rFonts w:ascii="Gungsuh" w:eastAsia="Gungsuh" w:cs="Gungsuh"/>
      <w:spacing w:val="10"/>
      <w:sz w:val="18"/>
      <w:szCs w:val="18"/>
    </w:rPr>
  </w:style>
  <w:style w:type="character" w:customStyle="1" w:styleId="8pt">
    <w:name w:val="Основной текст + 8 pt"/>
    <w:uiPriority w:val="99"/>
    <w:rsid w:val="00FC04C9"/>
    <w:rPr>
      <w:rFonts w:ascii="Gungsuh" w:eastAsia="Gungsuh" w:cs="Gungsuh"/>
      <w:spacing w:val="-10"/>
      <w:sz w:val="16"/>
      <w:szCs w:val="16"/>
    </w:rPr>
  </w:style>
  <w:style w:type="character" w:customStyle="1" w:styleId="Consolas">
    <w:name w:val="Основной текст + Consolas"/>
    <w:uiPriority w:val="99"/>
    <w:rsid w:val="00FC04C9"/>
    <w:rPr>
      <w:rFonts w:ascii="Consolas" w:hAnsi="Consolas" w:cs="Consolas"/>
      <w:b/>
      <w:bCs/>
      <w:spacing w:val="0"/>
      <w:sz w:val="19"/>
      <w:szCs w:val="19"/>
    </w:rPr>
  </w:style>
  <w:style w:type="character" w:customStyle="1" w:styleId="82">
    <w:name w:val="Основной текст + 8"/>
    <w:uiPriority w:val="99"/>
    <w:rsid w:val="00FC04C9"/>
    <w:rPr>
      <w:rFonts w:ascii="Arial Narrow" w:hAnsi="Arial Narrow" w:cs="Arial Narrow"/>
      <w:i/>
      <w:iCs/>
      <w:smallCaps/>
      <w:sz w:val="17"/>
      <w:szCs w:val="17"/>
    </w:rPr>
  </w:style>
  <w:style w:type="character" w:customStyle="1" w:styleId="280">
    <w:name w:val="Основной текст (2) + 8"/>
    <w:uiPriority w:val="99"/>
    <w:rsid w:val="00FC04C9"/>
    <w:rPr>
      <w:rFonts w:ascii="Arial Narrow" w:hAnsi="Arial Narrow" w:cs="Arial Narrow"/>
      <w:i/>
      <w:iCs/>
      <w:smallCaps/>
      <w:spacing w:val="0"/>
      <w:sz w:val="17"/>
      <w:szCs w:val="17"/>
    </w:rPr>
  </w:style>
  <w:style w:type="character" w:customStyle="1" w:styleId="7pt">
    <w:name w:val="Основной текст + 7 pt"/>
    <w:rsid w:val="00FC04C9"/>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rsid w:val="00FC04C9"/>
    <w:rPr>
      <w:rFonts w:ascii="Gungsuh" w:eastAsia="Gungsuh" w:cs="Gungsuh"/>
      <w:b/>
      <w:bCs/>
      <w:i/>
      <w:iCs/>
      <w:spacing w:val="0"/>
      <w:sz w:val="18"/>
      <w:szCs w:val="18"/>
    </w:rPr>
  </w:style>
  <w:style w:type="character" w:customStyle="1" w:styleId="9pt1">
    <w:name w:val="Основной текст + 9 pt1"/>
    <w:uiPriority w:val="99"/>
    <w:rsid w:val="00FC04C9"/>
    <w:rPr>
      <w:rFonts w:ascii="Gungsuh" w:eastAsia="Gungsuh" w:cs="Gungsuh"/>
      <w:smallCaps/>
      <w:spacing w:val="0"/>
      <w:sz w:val="18"/>
      <w:szCs w:val="18"/>
    </w:rPr>
  </w:style>
  <w:style w:type="character" w:customStyle="1" w:styleId="1pt">
    <w:name w:val="Основной текст + Интервал 1 pt"/>
    <w:rsid w:val="00FC04C9"/>
    <w:rPr>
      <w:rFonts w:ascii="Gungsuh" w:eastAsia="Gungsuh" w:cs="Gungsuh"/>
      <w:spacing w:val="30"/>
      <w:sz w:val="17"/>
      <w:szCs w:val="17"/>
    </w:rPr>
  </w:style>
  <w:style w:type="character" w:customStyle="1" w:styleId="Garamond">
    <w:name w:val="Колонтитул + Garamond"/>
    <w:uiPriority w:val="99"/>
    <w:rsid w:val="00FC04C9"/>
    <w:rPr>
      <w:rFonts w:ascii="Garamond" w:hAnsi="Garamond" w:cs="Garamond"/>
      <w:sz w:val="18"/>
      <w:szCs w:val="18"/>
    </w:rPr>
  </w:style>
  <w:style w:type="character" w:customStyle="1" w:styleId="3pt">
    <w:name w:val="Основной текст + Интервал 3 pt"/>
    <w:uiPriority w:val="99"/>
    <w:rsid w:val="00FC04C9"/>
    <w:rPr>
      <w:rFonts w:ascii="Gungsuh" w:eastAsia="Gungsuh" w:cs="Gungsuh"/>
      <w:spacing w:val="60"/>
      <w:sz w:val="17"/>
      <w:szCs w:val="17"/>
    </w:rPr>
  </w:style>
  <w:style w:type="paragraph" w:customStyle="1" w:styleId="aff7">
    <w:name w:val="Колонтитул"/>
    <w:basedOn w:val="a"/>
    <w:link w:val="aff8"/>
    <w:uiPriority w:val="99"/>
    <w:rsid w:val="00FC04C9"/>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FC04C9"/>
    <w:rPr>
      <w:rFonts w:ascii="Arial" w:hAnsi="Arial" w:cs="Arial"/>
      <w:sz w:val="21"/>
      <w:szCs w:val="21"/>
    </w:rPr>
  </w:style>
  <w:style w:type="paragraph" w:customStyle="1" w:styleId="2b">
    <w:name w:val="Заголовок №2"/>
    <w:basedOn w:val="a"/>
    <w:uiPriority w:val="99"/>
    <w:rsid w:val="00FC04C9"/>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FC04C9"/>
    <w:rPr>
      <w:rFonts w:ascii="Gulim" w:eastAsia="Gulim" w:cs="Gulim"/>
      <w:i/>
      <w:iCs/>
      <w:spacing w:val="-20"/>
      <w:sz w:val="19"/>
      <w:szCs w:val="19"/>
    </w:rPr>
  </w:style>
  <w:style w:type="character" w:customStyle="1" w:styleId="FranklinGothicMedium">
    <w:name w:val="Основной текст + Franklin Gothic Medium"/>
    <w:uiPriority w:val="99"/>
    <w:rsid w:val="00FC04C9"/>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FC04C9"/>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FC04C9"/>
    <w:rPr>
      <w:rFonts w:ascii="Century Schoolbook" w:hAnsi="Century Schoolbook" w:cs="Century Schoolbook"/>
      <w:spacing w:val="-20"/>
      <w:sz w:val="18"/>
      <w:szCs w:val="18"/>
    </w:rPr>
  </w:style>
  <w:style w:type="character" w:customStyle="1" w:styleId="Batang">
    <w:name w:val="Основной текст + Batang"/>
    <w:uiPriority w:val="99"/>
    <w:rsid w:val="00FC04C9"/>
    <w:rPr>
      <w:rFonts w:ascii="Batang" w:eastAsia="Batang" w:cs="Batang"/>
      <w:b/>
      <w:bCs/>
      <w:smallCaps/>
      <w:spacing w:val="0"/>
      <w:sz w:val="19"/>
      <w:szCs w:val="19"/>
    </w:rPr>
  </w:style>
  <w:style w:type="character" w:customStyle="1" w:styleId="FrankRuehl">
    <w:name w:val="Основной текст + FrankRuehl"/>
    <w:uiPriority w:val="99"/>
    <w:rsid w:val="00FC04C9"/>
    <w:rPr>
      <w:rFonts w:ascii="FrankRuehl" w:cs="FrankRuehl"/>
      <w:sz w:val="30"/>
      <w:szCs w:val="30"/>
      <w:lang w:bidi="he-IL"/>
    </w:rPr>
  </w:style>
  <w:style w:type="character" w:customStyle="1" w:styleId="FrankRuehl2">
    <w:name w:val="Основной текст + FrankRuehl2"/>
    <w:uiPriority w:val="99"/>
    <w:rsid w:val="00FC04C9"/>
    <w:rPr>
      <w:rFonts w:ascii="FrankRuehl" w:cs="FrankRuehl"/>
      <w:sz w:val="29"/>
      <w:szCs w:val="29"/>
      <w:lang w:bidi="he-IL"/>
    </w:rPr>
  </w:style>
  <w:style w:type="character" w:customStyle="1" w:styleId="FrankRuehl1">
    <w:name w:val="Основной текст + FrankRuehl1"/>
    <w:uiPriority w:val="99"/>
    <w:rsid w:val="00FC04C9"/>
    <w:rPr>
      <w:rFonts w:ascii="FrankRuehl" w:cs="FrankRuehl"/>
      <w:i/>
      <w:iCs/>
      <w:sz w:val="16"/>
      <w:szCs w:val="16"/>
      <w:lang w:bidi="he-IL"/>
    </w:rPr>
  </w:style>
  <w:style w:type="character" w:customStyle="1" w:styleId="112">
    <w:name w:val="Основной текст + 11"/>
    <w:uiPriority w:val="99"/>
    <w:rsid w:val="00FC04C9"/>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FC04C9"/>
    <w:rPr>
      <w:rFonts w:ascii="FrankRuehl" w:cs="FrankRuehl"/>
      <w:b/>
      <w:bCs/>
      <w:i/>
      <w:iCs/>
      <w:spacing w:val="0"/>
      <w:sz w:val="9"/>
      <w:szCs w:val="9"/>
      <w:lang w:bidi="he-IL"/>
    </w:rPr>
  </w:style>
  <w:style w:type="paragraph" w:customStyle="1" w:styleId="47">
    <w:name w:val="Основной текст4"/>
    <w:basedOn w:val="a"/>
    <w:rsid w:val="00FC04C9"/>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FC04C9"/>
    <w:rPr>
      <w:rFonts w:ascii="Gungsuh" w:eastAsia="Gungsuh" w:cs="Gungsuh"/>
      <w:sz w:val="33"/>
      <w:szCs w:val="33"/>
    </w:rPr>
  </w:style>
  <w:style w:type="character" w:customStyle="1" w:styleId="10pt">
    <w:name w:val="Основной текст + 10 pt"/>
    <w:uiPriority w:val="99"/>
    <w:rsid w:val="00FC04C9"/>
    <w:rPr>
      <w:rFonts w:ascii="Gungsuh" w:eastAsia="Gungsuh" w:cs="Gungsuh"/>
      <w:spacing w:val="-20"/>
      <w:sz w:val="20"/>
      <w:szCs w:val="20"/>
    </w:rPr>
  </w:style>
  <w:style w:type="character" w:customStyle="1" w:styleId="aff9">
    <w:name w:val="Основной текст + Полужирный"/>
    <w:aliases w:val="Интервал 0 pt9"/>
    <w:rsid w:val="00FC04C9"/>
    <w:rPr>
      <w:rFonts w:ascii="Gungsuh" w:eastAsia="Gungsuh" w:cs="Gungsuh"/>
      <w:b/>
      <w:bCs/>
      <w:smallCaps/>
      <w:spacing w:val="-10"/>
      <w:sz w:val="17"/>
      <w:szCs w:val="17"/>
    </w:rPr>
  </w:style>
  <w:style w:type="character" w:customStyle="1" w:styleId="2TimesNewRoman">
    <w:name w:val="Основной текст (2) + Times New Roman"/>
    <w:uiPriority w:val="99"/>
    <w:rsid w:val="00FC04C9"/>
    <w:rPr>
      <w:rFonts w:ascii="Times New Roman" w:hAnsi="Times New Roman" w:cs="Times New Roman"/>
      <w:b/>
      <w:bCs/>
      <w:sz w:val="21"/>
      <w:szCs w:val="21"/>
    </w:rPr>
  </w:style>
  <w:style w:type="character" w:customStyle="1" w:styleId="-1pt0">
    <w:name w:val="Оглавление + Интервал -1 pt"/>
    <w:uiPriority w:val="99"/>
    <w:rsid w:val="00FC04C9"/>
    <w:rPr>
      <w:rFonts w:ascii="Times New Roman" w:hAnsi="Times New Roman" w:cs="Times New Roman"/>
      <w:spacing w:val="-20"/>
      <w:sz w:val="21"/>
      <w:szCs w:val="21"/>
    </w:rPr>
  </w:style>
  <w:style w:type="character" w:customStyle="1" w:styleId="300">
    <w:name w:val="Основной текст + 30"/>
    <w:uiPriority w:val="99"/>
    <w:rsid w:val="00FC04C9"/>
    <w:rPr>
      <w:rFonts w:ascii="MingLiU" w:eastAsia="MingLiU" w:cs="MingLiU"/>
      <w:i/>
      <w:iCs/>
      <w:spacing w:val="-60"/>
      <w:sz w:val="61"/>
      <w:szCs w:val="61"/>
    </w:rPr>
  </w:style>
  <w:style w:type="character" w:customStyle="1" w:styleId="449pt">
    <w:name w:val="Основной текст (44) + 9 pt.Не полужирный"/>
    <w:uiPriority w:val="99"/>
    <w:rsid w:val="00FC04C9"/>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FC04C9"/>
    <w:rPr>
      <w:rFonts w:ascii="Bookman Old Style" w:hAnsi="Bookman Old Style" w:cs="Bookman Old Style"/>
      <w:spacing w:val="-20"/>
      <w:sz w:val="16"/>
      <w:szCs w:val="16"/>
    </w:rPr>
  </w:style>
  <w:style w:type="character" w:customStyle="1" w:styleId="202">
    <w:name w:val="Подпись к картинке (20)"/>
    <w:uiPriority w:val="99"/>
    <w:rsid w:val="00FC04C9"/>
    <w:rPr>
      <w:rFonts w:ascii="Arial Narrow" w:hAnsi="Arial Narrow" w:cs="Arial Narrow"/>
      <w:i/>
      <w:iCs/>
      <w:spacing w:val="0"/>
      <w:sz w:val="16"/>
      <w:szCs w:val="16"/>
      <w:u w:val="single"/>
    </w:rPr>
  </w:style>
  <w:style w:type="character" w:customStyle="1" w:styleId="211">
    <w:name w:val="Подпись к картинке (21)"/>
    <w:uiPriority w:val="99"/>
    <w:rsid w:val="00FC04C9"/>
    <w:rPr>
      <w:rFonts w:ascii="Arial Narrow" w:hAnsi="Arial Narrow" w:cs="Arial Narrow"/>
      <w:strike/>
      <w:spacing w:val="0"/>
      <w:sz w:val="22"/>
      <w:szCs w:val="22"/>
    </w:rPr>
  </w:style>
  <w:style w:type="character" w:customStyle="1" w:styleId="5">
    <w:name w:val="Подпись к картинке (5)"/>
    <w:uiPriority w:val="99"/>
    <w:rsid w:val="00FC04C9"/>
    <w:rPr>
      <w:rFonts w:ascii="Arial Narrow" w:hAnsi="Arial Narrow" w:cs="Arial Narrow"/>
      <w:spacing w:val="0"/>
      <w:sz w:val="17"/>
      <w:szCs w:val="17"/>
      <w:u w:val="single"/>
    </w:rPr>
  </w:style>
  <w:style w:type="character" w:customStyle="1" w:styleId="58">
    <w:name w:val="Основной текст (58) + Полужирный"/>
    <w:uiPriority w:val="99"/>
    <w:rsid w:val="00FC04C9"/>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FC04C9"/>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FC04C9"/>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uiPriority w:val="99"/>
    <w:rsid w:val="00FC04C9"/>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FC04C9"/>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FC04C9"/>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FC04C9"/>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FC04C9"/>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FC04C9"/>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FC04C9"/>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FC04C9"/>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FC04C9"/>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FC04C9"/>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FC04C9"/>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FC04C9"/>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FC04C9"/>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FC04C9"/>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FC04C9"/>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FC04C9"/>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FC04C9"/>
    <w:rPr>
      <w:rFonts w:ascii="Arial Narrow" w:hAnsi="Arial Narrow" w:cs="Arial Narrow"/>
      <w:b/>
      <w:bCs/>
      <w:i/>
      <w:iCs/>
      <w:smallCaps/>
      <w:spacing w:val="0"/>
      <w:sz w:val="15"/>
      <w:szCs w:val="15"/>
    </w:rPr>
  </w:style>
  <w:style w:type="character" w:customStyle="1" w:styleId="18">
    <w:name w:val="Основной текст + Курсив1"/>
    <w:uiPriority w:val="99"/>
    <w:rsid w:val="00FC04C9"/>
    <w:rPr>
      <w:rFonts w:ascii="Arial Narrow" w:hAnsi="Arial Narrow" w:cs="Arial Narrow"/>
      <w:i/>
      <w:iCs/>
      <w:spacing w:val="0"/>
      <w:sz w:val="17"/>
      <w:szCs w:val="17"/>
    </w:rPr>
  </w:style>
  <w:style w:type="character" w:customStyle="1" w:styleId="785pt">
    <w:name w:val="Подпись к картинке (7) + 8.5 pt.Не курсив"/>
    <w:uiPriority w:val="99"/>
    <w:rsid w:val="00FC04C9"/>
    <w:rPr>
      <w:rFonts w:ascii="Arial Narrow" w:hAnsi="Arial Narrow" w:cs="Arial Narrow"/>
      <w:spacing w:val="0"/>
      <w:sz w:val="17"/>
      <w:szCs w:val="17"/>
    </w:rPr>
  </w:style>
  <w:style w:type="paragraph" w:customStyle="1" w:styleId="113">
    <w:name w:val="Основной текст (11)"/>
    <w:basedOn w:val="a"/>
    <w:link w:val="114"/>
    <w:uiPriority w:val="99"/>
    <w:rsid w:val="00FC04C9"/>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FC04C9"/>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FC04C9"/>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FC04C9"/>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FC04C9"/>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FC04C9"/>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FC04C9"/>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FC04C9"/>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FC04C9"/>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FC04C9"/>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FC04C9"/>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FC04C9"/>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FC04C9"/>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FC04C9"/>
    <w:rPr>
      <w:rFonts w:ascii="Arial Narrow" w:hAnsi="Arial Narrow" w:cs="Arial Narrow"/>
      <w:i/>
      <w:iCs/>
      <w:spacing w:val="0"/>
      <w:sz w:val="14"/>
      <w:szCs w:val="14"/>
    </w:rPr>
  </w:style>
  <w:style w:type="character" w:customStyle="1" w:styleId="38">
    <w:name w:val="Основной текст + Курсив3"/>
    <w:uiPriority w:val="99"/>
    <w:rsid w:val="00FC04C9"/>
    <w:rPr>
      <w:rFonts w:ascii="Arial Narrow" w:hAnsi="Arial Narrow" w:cs="Arial Narrow"/>
      <w:i/>
      <w:iCs/>
      <w:spacing w:val="0"/>
      <w:sz w:val="17"/>
      <w:szCs w:val="17"/>
    </w:rPr>
  </w:style>
  <w:style w:type="character" w:customStyle="1" w:styleId="70pt">
    <w:name w:val="Подпись к картинке (7) + Интервал 0 pt"/>
    <w:uiPriority w:val="99"/>
    <w:rsid w:val="00FC04C9"/>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FC04C9"/>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FC04C9"/>
    <w:rPr>
      <w:rFonts w:ascii="Arial Narrow" w:hAnsi="Arial Narrow" w:cs="Arial Narrow"/>
      <w:i/>
      <w:iCs/>
      <w:spacing w:val="0"/>
      <w:sz w:val="17"/>
      <w:szCs w:val="17"/>
    </w:rPr>
  </w:style>
  <w:style w:type="paragraph" w:customStyle="1" w:styleId="271">
    <w:name w:val="Основной текст (27)1"/>
    <w:basedOn w:val="a"/>
    <w:uiPriority w:val="99"/>
    <w:rsid w:val="00FC04C9"/>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FC04C9"/>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FC04C9"/>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FC04C9"/>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
    <w:uiPriority w:val="99"/>
    <w:rsid w:val="00FC04C9"/>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FC04C9"/>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FC04C9"/>
    <w:rPr>
      <w:rFonts w:ascii="Consolas" w:hAnsi="Consolas" w:cs="Consolas"/>
      <w:b/>
      <w:bCs/>
      <w:i/>
      <w:iCs/>
      <w:spacing w:val="-10"/>
      <w:sz w:val="18"/>
      <w:szCs w:val="18"/>
    </w:rPr>
  </w:style>
  <w:style w:type="character" w:customStyle="1" w:styleId="27Gulim65pt">
    <w:name w:val="Основной текст (27) + Gulim.6.5 pt"/>
    <w:uiPriority w:val="99"/>
    <w:rsid w:val="00FC04C9"/>
    <w:rPr>
      <w:rFonts w:ascii="Gulim" w:eastAsia="Gulim" w:cs="Gulim"/>
      <w:i/>
      <w:iCs/>
      <w:spacing w:val="0"/>
      <w:sz w:val="13"/>
      <w:szCs w:val="13"/>
    </w:rPr>
  </w:style>
  <w:style w:type="character" w:customStyle="1" w:styleId="76">
    <w:name w:val="Основной текст + Курсив7"/>
    <w:uiPriority w:val="99"/>
    <w:rsid w:val="00FC04C9"/>
    <w:rPr>
      <w:rFonts w:ascii="Arial Narrow" w:hAnsi="Arial Narrow" w:cs="Arial Narrow"/>
      <w:i/>
      <w:iCs/>
      <w:spacing w:val="0"/>
      <w:sz w:val="17"/>
      <w:szCs w:val="17"/>
    </w:rPr>
  </w:style>
  <w:style w:type="character" w:customStyle="1" w:styleId="276">
    <w:name w:val="Основной текст (27) + Не курсив6"/>
    <w:uiPriority w:val="99"/>
    <w:rsid w:val="00FC04C9"/>
    <w:rPr>
      <w:rFonts w:ascii="Arial Narrow" w:hAnsi="Arial Narrow" w:cs="Arial Narrow"/>
      <w:spacing w:val="0"/>
      <w:sz w:val="17"/>
      <w:szCs w:val="17"/>
    </w:rPr>
  </w:style>
  <w:style w:type="character" w:customStyle="1" w:styleId="275">
    <w:name w:val="Основной текст (27) + Не курсив5"/>
    <w:uiPriority w:val="99"/>
    <w:rsid w:val="00FC04C9"/>
    <w:rPr>
      <w:rFonts w:ascii="Arial Narrow" w:hAnsi="Arial Narrow" w:cs="Arial Narrow"/>
      <w:spacing w:val="0"/>
      <w:sz w:val="17"/>
      <w:szCs w:val="17"/>
    </w:rPr>
  </w:style>
  <w:style w:type="character" w:customStyle="1" w:styleId="64">
    <w:name w:val="Основной текст + Курсив6"/>
    <w:uiPriority w:val="99"/>
    <w:rsid w:val="00FC04C9"/>
    <w:rPr>
      <w:rFonts w:ascii="Arial Narrow" w:hAnsi="Arial Narrow" w:cs="Arial Narrow"/>
      <w:i/>
      <w:iCs/>
      <w:spacing w:val="0"/>
      <w:sz w:val="17"/>
      <w:szCs w:val="17"/>
    </w:rPr>
  </w:style>
  <w:style w:type="character" w:customStyle="1" w:styleId="270">
    <w:name w:val="Основной текст (27)"/>
    <w:uiPriority w:val="99"/>
    <w:rsid w:val="00FC04C9"/>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FC04C9"/>
    <w:rPr>
      <w:rFonts w:ascii="Arial Narrow" w:hAnsi="Arial Narrow" w:cs="Arial Narrow"/>
      <w:spacing w:val="0"/>
      <w:sz w:val="17"/>
      <w:szCs w:val="17"/>
    </w:rPr>
  </w:style>
  <w:style w:type="character" w:customStyle="1" w:styleId="58pt">
    <w:name w:val="Основной текст (5) + 8 pt.Не курсив"/>
    <w:uiPriority w:val="99"/>
    <w:rsid w:val="00FC04C9"/>
    <w:rPr>
      <w:rFonts w:ascii="Arial Narrow" w:hAnsi="Arial Narrow" w:cs="Arial Narrow"/>
      <w:spacing w:val="0"/>
      <w:sz w:val="16"/>
      <w:szCs w:val="16"/>
    </w:rPr>
  </w:style>
  <w:style w:type="paragraph" w:customStyle="1" w:styleId="511">
    <w:name w:val="Основной текст (5)1"/>
    <w:basedOn w:val="a"/>
    <w:uiPriority w:val="99"/>
    <w:rsid w:val="00FC04C9"/>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FC04C9"/>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FC04C9"/>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FC04C9"/>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FC04C9"/>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FC04C9"/>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FC04C9"/>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FC04C9"/>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FC04C9"/>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FC04C9"/>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FC04C9"/>
    <w:rPr>
      <w:rFonts w:ascii="Arial" w:hAnsi="Arial" w:cs="Arial"/>
      <w:b/>
      <w:bCs/>
      <w:spacing w:val="0"/>
      <w:sz w:val="23"/>
      <w:szCs w:val="23"/>
    </w:rPr>
  </w:style>
  <w:style w:type="character" w:customStyle="1" w:styleId="14pt">
    <w:name w:val="Основной текст + 14 pt"/>
    <w:rsid w:val="00FC04C9"/>
    <w:rPr>
      <w:rFonts w:ascii="Lucida Sans Unicode" w:hAnsi="Lucida Sans Unicode" w:cs="Lucida Sans Unicode"/>
      <w:sz w:val="28"/>
      <w:szCs w:val="28"/>
    </w:rPr>
  </w:style>
  <w:style w:type="paragraph" w:customStyle="1" w:styleId="2e">
    <w:name w:val="Подпись к таблице (2)"/>
    <w:basedOn w:val="a"/>
    <w:uiPriority w:val="99"/>
    <w:rsid w:val="00FC04C9"/>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a">
    <w:name w:val="Верхний колонтитул1"/>
    <w:basedOn w:val="a"/>
    <w:uiPriority w:val="99"/>
    <w:rsid w:val="00FC04C9"/>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b">
    <w:name w:val="Нижний колонтитул1"/>
    <w:basedOn w:val="a"/>
    <w:uiPriority w:val="99"/>
    <w:rsid w:val="00FC04C9"/>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b">
    <w:name w:val="header"/>
    <w:basedOn w:val="a"/>
    <w:link w:val="affc"/>
    <w:uiPriority w:val="99"/>
    <w:rsid w:val="00FC04C9"/>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c">
    <w:name w:val="Верхний колонтитул Знак"/>
    <w:link w:val="affb"/>
    <w:uiPriority w:val="99"/>
    <w:rsid w:val="00FC04C9"/>
    <w:rPr>
      <w:rFonts w:ascii="Times New Roman" w:hAnsi="Times New Roman"/>
      <w:lang w:eastAsia="en-US"/>
    </w:rPr>
  </w:style>
  <w:style w:type="paragraph" w:styleId="affd">
    <w:name w:val="footer"/>
    <w:basedOn w:val="a"/>
    <w:link w:val="affe"/>
    <w:uiPriority w:val="99"/>
    <w:rsid w:val="00FC04C9"/>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e">
    <w:name w:val="Нижний колонтитул Знак"/>
    <w:link w:val="affd"/>
    <w:uiPriority w:val="99"/>
    <w:rsid w:val="00FC04C9"/>
    <w:rPr>
      <w:rFonts w:ascii="Times New Roman" w:hAnsi="Times New Roman"/>
      <w:lang w:eastAsia="en-US"/>
    </w:rPr>
  </w:style>
  <w:style w:type="paragraph" w:customStyle="1" w:styleId="1c">
    <w:name w:val="çàãîëîâîê 1"/>
    <w:basedOn w:val="Iauiue"/>
    <w:next w:val="Iauiue"/>
    <w:uiPriority w:val="99"/>
    <w:rsid w:val="00FC04C9"/>
    <w:pPr>
      <w:keepNext/>
      <w:jc w:val="both"/>
    </w:pPr>
    <w:rPr>
      <w:i/>
      <w:iCs/>
      <w:sz w:val="16"/>
      <w:szCs w:val="16"/>
      <w:lang w:val="en-US"/>
    </w:rPr>
  </w:style>
  <w:style w:type="character" w:customStyle="1" w:styleId="afff">
    <w:name w:val="Ã"/>
    <w:uiPriority w:val="99"/>
    <w:rsid w:val="00FC04C9"/>
    <w:rPr>
      <w:color w:val="0000FF"/>
      <w:u w:val="single"/>
    </w:rPr>
  </w:style>
  <w:style w:type="paragraph" w:styleId="afff0">
    <w:name w:val="footnote text"/>
    <w:basedOn w:val="a"/>
    <w:link w:val="afff1"/>
    <w:uiPriority w:val="99"/>
    <w:rsid w:val="00FC04C9"/>
    <w:pPr>
      <w:autoSpaceDE w:val="0"/>
      <w:autoSpaceDN w:val="0"/>
      <w:adjustRightInd w:val="0"/>
      <w:spacing w:after="0" w:line="240" w:lineRule="auto"/>
    </w:pPr>
    <w:rPr>
      <w:rFonts w:ascii="Times New Roman" w:hAnsi="Times New Roman"/>
      <w:sz w:val="20"/>
      <w:szCs w:val="20"/>
    </w:rPr>
  </w:style>
  <w:style w:type="character" w:customStyle="1" w:styleId="afff1">
    <w:name w:val="Текст сноски Знак"/>
    <w:link w:val="afff0"/>
    <w:uiPriority w:val="99"/>
    <w:rsid w:val="00FC04C9"/>
    <w:rPr>
      <w:rFonts w:ascii="Times New Roman" w:hAnsi="Times New Roman"/>
      <w:lang w:eastAsia="en-US"/>
    </w:rPr>
  </w:style>
  <w:style w:type="paragraph" w:customStyle="1" w:styleId="afff2">
    <w:name w:val="ï"/>
    <w:uiPriority w:val="99"/>
    <w:rsid w:val="00FC04C9"/>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3">
    <w:name w:val="Çàãîëîâîê"/>
    <w:basedOn w:val="a"/>
    <w:uiPriority w:val="99"/>
    <w:rsid w:val="00FC04C9"/>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4">
    <w:name w:val="Ñíîñêè"/>
    <w:basedOn w:val="a"/>
    <w:uiPriority w:val="99"/>
    <w:rsid w:val="00FC04C9"/>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5">
    <w:name w:val="Ðóáðèêà"/>
    <w:basedOn w:val="a"/>
    <w:uiPriority w:val="99"/>
    <w:rsid w:val="00FC04C9"/>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6">
    <w:name w:val="Çíàê êîíöåâîé ñíîñêè"/>
    <w:uiPriority w:val="99"/>
    <w:rsid w:val="00FC04C9"/>
    <w:rPr>
      <w:sz w:val="20"/>
      <w:szCs w:val="20"/>
      <w:vertAlign w:val="superscript"/>
    </w:rPr>
  </w:style>
  <w:style w:type="paragraph" w:customStyle="1" w:styleId="afff7">
    <w:name w:val="Ñ"/>
    <w:basedOn w:val="a"/>
    <w:next w:val="a"/>
    <w:uiPriority w:val="99"/>
    <w:rsid w:val="00FC04C9"/>
    <w:pPr>
      <w:autoSpaceDE w:val="0"/>
      <w:autoSpaceDN w:val="0"/>
      <w:adjustRightInd w:val="0"/>
      <w:spacing w:after="0" w:line="240" w:lineRule="auto"/>
      <w:ind w:left="360"/>
    </w:pPr>
    <w:rPr>
      <w:rFonts w:ascii="Times New Roman" w:hAnsi="Times New Roman"/>
      <w:sz w:val="24"/>
      <w:szCs w:val="24"/>
    </w:rPr>
  </w:style>
  <w:style w:type="character" w:customStyle="1" w:styleId="1d">
    <w:name w:val="Ñ1"/>
    <w:uiPriority w:val="99"/>
    <w:rsid w:val="00FC04C9"/>
    <w:rPr>
      <w:b/>
      <w:bCs/>
    </w:rPr>
  </w:style>
  <w:style w:type="character" w:customStyle="1" w:styleId="afff8">
    <w:name w:val="Ê"/>
    <w:uiPriority w:val="99"/>
    <w:rsid w:val="00FC04C9"/>
    <w:rPr>
      <w:rFonts w:ascii="Courier New" w:hAnsi="Courier New" w:cs="Courier New"/>
      <w:sz w:val="20"/>
      <w:szCs w:val="20"/>
    </w:rPr>
  </w:style>
  <w:style w:type="paragraph" w:customStyle="1" w:styleId="afff9">
    <w:name w:val="Ô"/>
    <w:basedOn w:val="afffa"/>
    <w:uiPriority w:val="99"/>
    <w:rsid w:val="00FC04C9"/>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a">
    <w:name w:val="Î"/>
    <w:uiPriority w:val="99"/>
    <w:rsid w:val="00FC04C9"/>
    <w:pPr>
      <w:autoSpaceDE w:val="0"/>
      <w:autoSpaceDN w:val="0"/>
      <w:adjustRightInd w:val="0"/>
      <w:spacing w:before="100" w:after="100"/>
    </w:pPr>
    <w:rPr>
      <w:rFonts w:ascii="Times New Roman" w:hAnsi="Times New Roman"/>
      <w:sz w:val="24"/>
      <w:szCs w:val="24"/>
      <w:lang w:eastAsia="en-US"/>
    </w:rPr>
  </w:style>
  <w:style w:type="character" w:customStyle="1" w:styleId="afffb">
    <w:name w:val="Ð"/>
    <w:uiPriority w:val="99"/>
    <w:rsid w:val="00FC04C9"/>
    <w:rPr>
      <w:vanish/>
      <w:color w:val="FF0000"/>
    </w:rPr>
  </w:style>
  <w:style w:type="paragraph" w:customStyle="1" w:styleId="afffc">
    <w:name w:val="Ö"/>
    <w:basedOn w:val="a"/>
    <w:uiPriority w:val="99"/>
    <w:rsid w:val="00FC04C9"/>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FC04C9"/>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d">
    <w:name w:val="Òåêñò"/>
    <w:basedOn w:val="a"/>
    <w:uiPriority w:val="99"/>
    <w:rsid w:val="00FC04C9"/>
    <w:pPr>
      <w:widowControl w:val="0"/>
      <w:autoSpaceDE w:val="0"/>
      <w:autoSpaceDN w:val="0"/>
      <w:adjustRightInd w:val="0"/>
      <w:spacing w:after="0" w:line="240" w:lineRule="auto"/>
    </w:pPr>
    <w:rPr>
      <w:rFonts w:ascii="Courier New" w:hAnsi="Courier New" w:cs="Courier New"/>
      <w:sz w:val="20"/>
      <w:szCs w:val="20"/>
    </w:rPr>
  </w:style>
  <w:style w:type="paragraph" w:customStyle="1" w:styleId="3c">
    <w:name w:val="Îñíîâíîé òåêñò 3"/>
    <w:basedOn w:val="a"/>
    <w:uiPriority w:val="99"/>
    <w:rsid w:val="00FC04C9"/>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e">
    <w:name w:val="À"/>
    <w:basedOn w:val="a"/>
    <w:next w:val="a"/>
    <w:uiPriority w:val="99"/>
    <w:rsid w:val="00FC04C9"/>
    <w:pPr>
      <w:autoSpaceDE w:val="0"/>
      <w:autoSpaceDN w:val="0"/>
      <w:adjustRightInd w:val="0"/>
      <w:spacing w:after="0" w:line="240" w:lineRule="auto"/>
    </w:pPr>
    <w:rPr>
      <w:rFonts w:ascii="Times New Roman" w:hAnsi="Times New Roman"/>
      <w:i/>
      <w:iCs/>
      <w:sz w:val="24"/>
      <w:szCs w:val="24"/>
    </w:rPr>
  </w:style>
  <w:style w:type="character" w:customStyle="1" w:styleId="affff">
    <w:name w:val="Â"/>
    <w:uiPriority w:val="99"/>
    <w:rsid w:val="00FC04C9"/>
    <w:rPr>
      <w:i/>
      <w:iCs/>
    </w:rPr>
  </w:style>
  <w:style w:type="paragraph" w:customStyle="1" w:styleId="affff0">
    <w:name w:val="Ò"/>
    <w:basedOn w:val="afffa"/>
    <w:next w:val="afff7"/>
    <w:uiPriority w:val="99"/>
    <w:rsid w:val="00FC04C9"/>
    <w:pPr>
      <w:spacing w:before="0" w:after="0"/>
    </w:pPr>
  </w:style>
  <w:style w:type="character" w:customStyle="1" w:styleId="1e">
    <w:name w:val="Î1"/>
    <w:uiPriority w:val="99"/>
    <w:rsid w:val="00FC04C9"/>
    <w:rPr>
      <w:i/>
      <w:iCs/>
    </w:rPr>
  </w:style>
  <w:style w:type="character" w:customStyle="1" w:styleId="affff1">
    <w:name w:val="Ó"/>
    <w:uiPriority w:val="99"/>
    <w:rsid w:val="00FC04C9"/>
    <w:rPr>
      <w:i/>
      <w:iCs/>
    </w:rPr>
  </w:style>
  <w:style w:type="character" w:customStyle="1" w:styleId="affff2">
    <w:name w:val="Ï"/>
    <w:uiPriority w:val="99"/>
    <w:rsid w:val="00FC04C9"/>
    <w:rPr>
      <w:color w:val="800080"/>
      <w:u w:val="single"/>
    </w:rPr>
  </w:style>
  <w:style w:type="character" w:customStyle="1" w:styleId="1f">
    <w:name w:val="Ê1"/>
    <w:uiPriority w:val="99"/>
    <w:rsid w:val="00FC04C9"/>
    <w:rPr>
      <w:rFonts w:ascii="Courier New" w:hAnsi="Courier New" w:cs="Courier New"/>
      <w:b/>
      <w:bCs/>
      <w:sz w:val="20"/>
      <w:szCs w:val="20"/>
    </w:rPr>
  </w:style>
  <w:style w:type="character" w:customStyle="1" w:styleId="49">
    <w:name w:val="Ï4"/>
    <w:uiPriority w:val="99"/>
    <w:rsid w:val="00FC04C9"/>
    <w:rPr>
      <w:rFonts w:ascii="Courier New" w:hAnsi="Courier New" w:cs="Courier New"/>
    </w:rPr>
  </w:style>
  <w:style w:type="character" w:customStyle="1" w:styleId="3d">
    <w:name w:val="Ï3"/>
    <w:uiPriority w:val="99"/>
    <w:rsid w:val="00FC04C9"/>
    <w:rPr>
      <w:rFonts w:ascii="Courier New" w:hAnsi="Courier New" w:cs="Courier New"/>
      <w:sz w:val="20"/>
      <w:szCs w:val="20"/>
    </w:rPr>
  </w:style>
  <w:style w:type="character" w:customStyle="1" w:styleId="2f0">
    <w:name w:val="Ï2"/>
    <w:uiPriority w:val="99"/>
    <w:rsid w:val="00FC04C9"/>
    <w:rPr>
      <w:i/>
      <w:iCs/>
    </w:rPr>
  </w:style>
  <w:style w:type="character" w:customStyle="1" w:styleId="1f0">
    <w:name w:val="Ï1"/>
    <w:uiPriority w:val="99"/>
    <w:rsid w:val="00FC04C9"/>
    <w:rPr>
      <w:vanish/>
    </w:rPr>
  </w:style>
  <w:style w:type="character" w:customStyle="1" w:styleId="affff3">
    <w:name w:val="Îñíîâíîé øðèôò àáçàöà"/>
    <w:uiPriority w:val="99"/>
    <w:rsid w:val="00FC04C9"/>
    <w:rPr>
      <w:rFonts w:ascii="Times New Roman" w:hAnsi="Times New Roman" w:cs="Times New Roman"/>
      <w:sz w:val="20"/>
      <w:szCs w:val="20"/>
    </w:rPr>
  </w:style>
  <w:style w:type="paragraph" w:styleId="3e">
    <w:name w:val="Body Text Indent 3"/>
    <w:basedOn w:val="a"/>
    <w:link w:val="3f"/>
    <w:uiPriority w:val="99"/>
    <w:rsid w:val="00FC04C9"/>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
    <w:name w:val="Основной текст с отступом 3 Знак"/>
    <w:link w:val="3e"/>
    <w:uiPriority w:val="99"/>
    <w:rsid w:val="00FC04C9"/>
    <w:rPr>
      <w:rFonts w:ascii="Times New Roman" w:hAnsi="Times New Roman"/>
      <w:sz w:val="24"/>
      <w:szCs w:val="24"/>
      <w:lang w:eastAsia="en-US"/>
    </w:rPr>
  </w:style>
  <w:style w:type="paragraph" w:styleId="affff4">
    <w:name w:val="Body Text Indent"/>
    <w:basedOn w:val="a"/>
    <w:link w:val="affff5"/>
    <w:uiPriority w:val="99"/>
    <w:rsid w:val="00FC04C9"/>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5">
    <w:name w:val="Основной текст с отступом Знак"/>
    <w:link w:val="affff4"/>
    <w:uiPriority w:val="99"/>
    <w:rsid w:val="00FC04C9"/>
    <w:rPr>
      <w:rFonts w:ascii="Times New Roman" w:hAnsi="Times New Roman"/>
      <w:sz w:val="24"/>
      <w:szCs w:val="24"/>
      <w:lang w:eastAsia="en-US"/>
    </w:rPr>
  </w:style>
  <w:style w:type="paragraph" w:customStyle="1" w:styleId="affff6">
    <w:name w:val="Ñîäåðæèìîå òàáëèöû"/>
    <w:basedOn w:val="a"/>
    <w:uiPriority w:val="99"/>
    <w:rsid w:val="00FC04C9"/>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7">
    <w:name w:val="footnote reference"/>
    <w:uiPriority w:val="99"/>
    <w:rsid w:val="00FC04C9"/>
    <w:rPr>
      <w:vertAlign w:val="superscript"/>
    </w:rPr>
  </w:style>
  <w:style w:type="character" w:customStyle="1" w:styleId="A40">
    <w:name w:val="A4"/>
    <w:uiPriority w:val="99"/>
    <w:rsid w:val="00FC04C9"/>
    <w:rPr>
      <w:color w:val="000000"/>
      <w:sz w:val="22"/>
      <w:szCs w:val="22"/>
    </w:rPr>
  </w:style>
  <w:style w:type="paragraph" w:customStyle="1" w:styleId="Pa6">
    <w:name w:val="Pa6"/>
    <w:basedOn w:val="Default"/>
    <w:next w:val="Default"/>
    <w:uiPriority w:val="99"/>
    <w:rsid w:val="00FC04C9"/>
    <w:pPr>
      <w:spacing w:line="241" w:lineRule="atLeast"/>
    </w:pPr>
    <w:rPr>
      <w:color w:val="auto"/>
    </w:rPr>
  </w:style>
  <w:style w:type="paragraph" w:customStyle="1" w:styleId="260">
    <w:name w:val="Îñíîâíîé òåêñò (26)"/>
    <w:basedOn w:val="a"/>
    <w:uiPriority w:val="99"/>
    <w:rsid w:val="00FC04C9"/>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8">
    <w:name w:val="Îãëàâëåíèå"/>
    <w:basedOn w:val="a"/>
    <w:uiPriority w:val="99"/>
    <w:rsid w:val="00FC04C9"/>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1">
    <w:name w:val="Ïîäïèñü ê òàáëèöå1"/>
    <w:basedOn w:val="a"/>
    <w:uiPriority w:val="99"/>
    <w:rsid w:val="00FC04C9"/>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
    <w:uiPriority w:val="99"/>
    <w:rsid w:val="00FC04C9"/>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
    <w:uiPriority w:val="99"/>
    <w:rsid w:val="00FC04C9"/>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1">
    <w:name w:val="Ïîäïèñü ê òàáëèöå (2)2"/>
    <w:uiPriority w:val="99"/>
    <w:rsid w:val="00FC04C9"/>
    <w:rPr>
      <w:rFonts w:ascii="Franklin Gothic Book" w:hAnsi="Franklin Gothic Book" w:cs="Franklin Gothic Book"/>
      <w:b/>
      <w:bCs/>
      <w:color w:val="FFFFFF"/>
      <w:sz w:val="15"/>
      <w:szCs w:val="15"/>
    </w:rPr>
  </w:style>
  <w:style w:type="paragraph" w:customStyle="1" w:styleId="1710">
    <w:name w:val="Îñíîâíîé òåêñò (17)1"/>
    <w:basedOn w:val="a"/>
    <w:uiPriority w:val="99"/>
    <w:rsid w:val="00FC04C9"/>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5">
    <w:name w:val="çàãîëîâîê 11"/>
    <w:basedOn w:val="a"/>
    <w:next w:val="a"/>
    <w:uiPriority w:val="99"/>
    <w:rsid w:val="00FC04C9"/>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9">
    <w:name w:val="Îñíîâíîé òåêñò_"/>
    <w:uiPriority w:val="99"/>
    <w:rsid w:val="00FC04C9"/>
    <w:rPr>
      <w:rFonts w:ascii="Microsoft Sans Serif" w:hAnsi="Microsoft Sans Serif" w:cs="Microsoft Sans Serif"/>
      <w:spacing w:val="-10"/>
      <w:sz w:val="29"/>
      <w:szCs w:val="29"/>
    </w:rPr>
  </w:style>
  <w:style w:type="character" w:customStyle="1" w:styleId="320">
    <w:name w:val="Îñíîâíîé òåêñò (32)_"/>
    <w:uiPriority w:val="99"/>
    <w:rsid w:val="00FC04C9"/>
    <w:rPr>
      <w:rFonts w:ascii="Arial Narrow" w:hAnsi="Arial Narrow" w:cs="Arial Narrow"/>
      <w:b/>
      <w:bCs/>
      <w:spacing w:val="-20"/>
      <w:sz w:val="67"/>
      <w:szCs w:val="67"/>
    </w:rPr>
  </w:style>
  <w:style w:type="character" w:customStyle="1" w:styleId="291">
    <w:name w:val="Îñíîâíîé òåêñò (29)_"/>
    <w:uiPriority w:val="99"/>
    <w:rsid w:val="00FC04C9"/>
    <w:rPr>
      <w:rFonts w:ascii="Arial Narrow" w:hAnsi="Arial Narrow" w:cs="Arial Narrow"/>
      <w:i/>
      <w:iCs/>
      <w:sz w:val="15"/>
      <w:szCs w:val="15"/>
    </w:rPr>
  </w:style>
  <w:style w:type="character" w:customStyle="1" w:styleId="313">
    <w:name w:val="Îñíîâíîé òåêñò (31)_"/>
    <w:uiPriority w:val="99"/>
    <w:rsid w:val="00FC04C9"/>
    <w:rPr>
      <w:rFonts w:ascii="Microsoft Sans Serif" w:hAnsi="Microsoft Sans Serif" w:cs="Microsoft Sans Serif"/>
      <w:i/>
      <w:iCs/>
      <w:spacing w:val="10"/>
      <w:sz w:val="35"/>
      <w:szCs w:val="35"/>
    </w:rPr>
  </w:style>
  <w:style w:type="character" w:customStyle="1" w:styleId="301">
    <w:name w:val="Îñíîâíîé òåêñò (30)_"/>
    <w:uiPriority w:val="99"/>
    <w:rsid w:val="00FC04C9"/>
    <w:rPr>
      <w:rFonts w:ascii="Arial" w:hAnsi="Arial" w:cs="Arial"/>
      <w:i/>
      <w:iCs/>
      <w:sz w:val="11"/>
      <w:szCs w:val="11"/>
    </w:rPr>
  </w:style>
  <w:style w:type="paragraph" w:customStyle="1" w:styleId="314">
    <w:name w:val="Îñíîâíîé òåêñò (31)"/>
    <w:basedOn w:val="a"/>
    <w:uiPriority w:val="99"/>
    <w:rsid w:val="00FC04C9"/>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
    <w:uiPriority w:val="99"/>
    <w:rsid w:val="00FC04C9"/>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FC04C9"/>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FC04C9"/>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6">
    <w:name w:val="Îñíîâíîé òåêñò (11)"/>
    <w:uiPriority w:val="99"/>
    <w:rsid w:val="00FC04C9"/>
    <w:rPr>
      <w:rFonts w:ascii="Microsoft Sans Serif" w:hAnsi="Microsoft Sans Serif" w:cs="Microsoft Sans Serif"/>
      <w:i/>
      <w:iCs/>
      <w:sz w:val="28"/>
      <w:szCs w:val="28"/>
      <w:u w:val="single"/>
    </w:rPr>
  </w:style>
  <w:style w:type="character" w:customStyle="1" w:styleId="117">
    <w:name w:val="Îñíîâíîé òåêñò (11)_"/>
    <w:uiPriority w:val="99"/>
    <w:rsid w:val="00FC04C9"/>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FC04C9"/>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FC04C9"/>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FC04C9"/>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FC04C9"/>
    <w:rPr>
      <w:rFonts w:ascii="Microsoft Sans Serif" w:hAnsi="Microsoft Sans Serif" w:cs="Microsoft Sans Serif"/>
      <w:i/>
      <w:iCs/>
      <w:spacing w:val="-10"/>
      <w:sz w:val="29"/>
      <w:szCs w:val="29"/>
    </w:rPr>
  </w:style>
  <w:style w:type="character" w:customStyle="1" w:styleId="1111">
    <w:name w:val="Îñíîâíîé òåêñò (11)11"/>
    <w:uiPriority w:val="99"/>
    <w:rsid w:val="00FC04C9"/>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FC04C9"/>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FC04C9"/>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FC04C9"/>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FC04C9"/>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FC04C9"/>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FC04C9"/>
    <w:rPr>
      <w:rFonts w:ascii="Microsoft Sans Serif" w:hAnsi="Microsoft Sans Serif" w:cs="Microsoft Sans Serif"/>
      <w:i/>
      <w:iCs/>
      <w:spacing w:val="80"/>
      <w:sz w:val="28"/>
      <w:szCs w:val="28"/>
    </w:rPr>
  </w:style>
  <w:style w:type="character" w:customStyle="1" w:styleId="118">
    <w:name w:val="Îñíîâíîé òåêñò (11)8"/>
    <w:uiPriority w:val="99"/>
    <w:rsid w:val="00FC04C9"/>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FC04C9"/>
    <w:rPr>
      <w:rFonts w:ascii="Microsoft Sans Serif" w:hAnsi="Microsoft Sans Serif" w:cs="Microsoft Sans Serif"/>
      <w:i/>
      <w:iCs/>
      <w:spacing w:val="80"/>
      <w:sz w:val="28"/>
      <w:szCs w:val="28"/>
    </w:rPr>
  </w:style>
  <w:style w:type="character" w:customStyle="1" w:styleId="1170">
    <w:name w:val="Îñíîâíîé òåêñò (11)7"/>
    <w:uiPriority w:val="99"/>
    <w:rsid w:val="00FC04C9"/>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FC04C9"/>
    <w:rPr>
      <w:rFonts w:ascii="Microsoft Sans Serif" w:hAnsi="Microsoft Sans Serif" w:cs="Microsoft Sans Serif"/>
      <w:i/>
      <w:iCs/>
      <w:spacing w:val="30"/>
      <w:sz w:val="28"/>
      <w:szCs w:val="28"/>
    </w:rPr>
  </w:style>
  <w:style w:type="character" w:customStyle="1" w:styleId="1160">
    <w:name w:val="Îñíîâíîé òåêñò (11)6"/>
    <w:uiPriority w:val="99"/>
    <w:rsid w:val="00FC04C9"/>
    <w:rPr>
      <w:rFonts w:ascii="Microsoft Sans Serif" w:hAnsi="Microsoft Sans Serif" w:cs="Microsoft Sans Serif"/>
      <w:i/>
      <w:iCs/>
      <w:sz w:val="28"/>
      <w:szCs w:val="28"/>
      <w:u w:val="single"/>
    </w:rPr>
  </w:style>
  <w:style w:type="character" w:customStyle="1" w:styleId="1150">
    <w:name w:val="Îñíîâíîé òåêñò (11)5"/>
    <w:uiPriority w:val="99"/>
    <w:rsid w:val="00FC04C9"/>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FC04C9"/>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FC04C9"/>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FC04C9"/>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FC04C9"/>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FC04C9"/>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FC04C9"/>
    <w:rPr>
      <w:rFonts w:ascii="Microsoft Sans Serif" w:hAnsi="Microsoft Sans Serif" w:cs="Microsoft Sans Serif"/>
      <w:i/>
      <w:iCs/>
      <w:spacing w:val="30"/>
      <w:sz w:val="28"/>
      <w:szCs w:val="28"/>
    </w:rPr>
  </w:style>
  <w:style w:type="character" w:customStyle="1" w:styleId="1140">
    <w:name w:val="Îñíîâíîé òåêñò (11)4"/>
    <w:uiPriority w:val="99"/>
    <w:rsid w:val="00FC04C9"/>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FC04C9"/>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FC04C9"/>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FC04C9"/>
    <w:rPr>
      <w:rFonts w:ascii="Microsoft Sans Serif" w:hAnsi="Microsoft Sans Serif" w:cs="Microsoft Sans Serif"/>
      <w:i/>
      <w:iCs/>
      <w:spacing w:val="-10"/>
      <w:sz w:val="29"/>
      <w:szCs w:val="29"/>
    </w:rPr>
  </w:style>
  <w:style w:type="character" w:customStyle="1" w:styleId="1130">
    <w:name w:val="Îñíîâíîé òåêñò (11)3"/>
    <w:uiPriority w:val="99"/>
    <w:rsid w:val="00FC04C9"/>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FC04C9"/>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FC04C9"/>
    <w:rPr>
      <w:rFonts w:ascii="Arial Narrow" w:hAnsi="Arial Narrow" w:cs="Arial Narrow"/>
      <w:b/>
      <w:bCs/>
      <w:spacing w:val="0"/>
      <w:sz w:val="85"/>
      <w:szCs w:val="85"/>
    </w:rPr>
  </w:style>
  <w:style w:type="character" w:customStyle="1" w:styleId="1f2">
    <w:name w:val="Çàãîëîâîê ¹1_"/>
    <w:uiPriority w:val="99"/>
    <w:rsid w:val="00FC04C9"/>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FC04C9"/>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FC04C9"/>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FC04C9"/>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FC04C9"/>
    <w:rPr>
      <w:rFonts w:ascii="Microsoft Sans Serif" w:hAnsi="Microsoft Sans Serif" w:cs="Microsoft Sans Serif"/>
      <w:i/>
      <w:iCs/>
      <w:spacing w:val="0"/>
      <w:sz w:val="28"/>
      <w:szCs w:val="28"/>
    </w:rPr>
  </w:style>
  <w:style w:type="character" w:customStyle="1" w:styleId="142">
    <w:name w:val="Îñíîâíîé òåêñò (14)_"/>
    <w:uiPriority w:val="99"/>
    <w:rsid w:val="00FC04C9"/>
    <w:rPr>
      <w:rFonts w:ascii="Franklin Gothic Demi" w:hAnsi="Franklin Gothic Demi" w:cs="Franklin Gothic Demi"/>
      <w:sz w:val="26"/>
      <w:szCs w:val="26"/>
    </w:rPr>
  </w:style>
  <w:style w:type="character" w:customStyle="1" w:styleId="111pt2">
    <w:name w:val="Îñíîâíîé òåêñò (11) + Èíòåðâàë 1 pt2"/>
    <w:uiPriority w:val="99"/>
    <w:rsid w:val="00FC04C9"/>
    <w:rPr>
      <w:rFonts w:ascii="Microsoft Sans Serif" w:hAnsi="Microsoft Sans Serif" w:cs="Microsoft Sans Serif"/>
      <w:i/>
      <w:iCs/>
      <w:spacing w:val="30"/>
      <w:sz w:val="28"/>
      <w:szCs w:val="28"/>
    </w:rPr>
  </w:style>
  <w:style w:type="character" w:customStyle="1" w:styleId="1120">
    <w:name w:val="Îñíîâíîé òåêñò (11)2"/>
    <w:uiPriority w:val="99"/>
    <w:rsid w:val="00FC04C9"/>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FC04C9"/>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FC04C9"/>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FC04C9"/>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FC04C9"/>
    <w:rPr>
      <w:rFonts w:ascii="Arial" w:hAnsi="Arial" w:cs="Arial"/>
      <w:i/>
      <w:iCs/>
      <w:spacing w:val="-10"/>
      <w:sz w:val="16"/>
      <w:szCs w:val="16"/>
    </w:rPr>
  </w:style>
  <w:style w:type="character" w:customStyle="1" w:styleId="2f1">
    <w:name w:val="Ïîäïèñü ê òàáëèöå (2)"/>
    <w:uiPriority w:val="99"/>
    <w:rsid w:val="00FC04C9"/>
    <w:rPr>
      <w:rFonts w:ascii="Arial" w:hAnsi="Arial" w:cs="Arial"/>
      <w:sz w:val="14"/>
      <w:szCs w:val="14"/>
      <w:u w:val="single"/>
    </w:rPr>
  </w:style>
  <w:style w:type="character" w:customStyle="1" w:styleId="2f2">
    <w:name w:val="Ïîäïèñü ê òàáëèöå (2)_"/>
    <w:uiPriority w:val="99"/>
    <w:rsid w:val="00FC04C9"/>
    <w:rPr>
      <w:rFonts w:ascii="Arial" w:hAnsi="Arial" w:cs="Arial"/>
      <w:sz w:val="14"/>
      <w:szCs w:val="14"/>
    </w:rPr>
  </w:style>
  <w:style w:type="character" w:customStyle="1" w:styleId="710">
    <w:name w:val="Îñíîâíîé òåêñò (7)10"/>
    <w:uiPriority w:val="99"/>
    <w:rsid w:val="00FC04C9"/>
    <w:rPr>
      <w:rFonts w:ascii="Arial" w:hAnsi="Arial" w:cs="Arial"/>
      <w:i/>
      <w:iCs/>
      <w:spacing w:val="-10"/>
      <w:sz w:val="16"/>
      <w:szCs w:val="16"/>
      <w:u w:val="single"/>
    </w:rPr>
  </w:style>
  <w:style w:type="character" w:customStyle="1" w:styleId="77">
    <w:name w:val="Îñíîâíîé òåêñò (7)_"/>
    <w:uiPriority w:val="99"/>
    <w:rsid w:val="00FC04C9"/>
    <w:rPr>
      <w:rFonts w:ascii="Arial" w:hAnsi="Arial" w:cs="Arial"/>
      <w:i/>
      <w:iCs/>
      <w:spacing w:val="-10"/>
      <w:sz w:val="16"/>
      <w:szCs w:val="16"/>
    </w:rPr>
  </w:style>
  <w:style w:type="character" w:customStyle="1" w:styleId="15ArialNarrow18">
    <w:name w:val="Îñíîâíîé òåêñò (15) + Arial Narrow.Êóðñèâ18"/>
    <w:uiPriority w:val="99"/>
    <w:rsid w:val="00FC04C9"/>
    <w:rPr>
      <w:rFonts w:ascii="Arial Narrow" w:hAnsi="Arial Narrow" w:cs="Arial Narrow"/>
      <w:i/>
      <w:iCs/>
      <w:spacing w:val="0"/>
      <w:sz w:val="15"/>
      <w:szCs w:val="15"/>
    </w:rPr>
  </w:style>
  <w:style w:type="character" w:customStyle="1" w:styleId="151">
    <w:name w:val="Îñíîâíîé òåêñò (15)_"/>
    <w:uiPriority w:val="99"/>
    <w:rsid w:val="00FC04C9"/>
    <w:rPr>
      <w:rFonts w:ascii="Garamond" w:hAnsi="Garamond" w:cs="Garamond"/>
      <w:sz w:val="13"/>
      <w:szCs w:val="13"/>
    </w:rPr>
  </w:style>
  <w:style w:type="character" w:customStyle="1" w:styleId="29Arial">
    <w:name w:val="Îñíîâíîé òåêñò (29) + Arial.Íå êóðñèâ"/>
    <w:uiPriority w:val="99"/>
    <w:rsid w:val="00FC04C9"/>
    <w:rPr>
      <w:rFonts w:ascii="Arial" w:hAnsi="Arial" w:cs="Arial"/>
      <w:i/>
      <w:iCs/>
      <w:sz w:val="15"/>
      <w:szCs w:val="15"/>
    </w:rPr>
  </w:style>
  <w:style w:type="character" w:customStyle="1" w:styleId="3f0">
    <w:name w:val="Ïîäïèñü ê òàáëèöå (3)"/>
    <w:uiPriority w:val="99"/>
    <w:rsid w:val="00FC04C9"/>
    <w:rPr>
      <w:rFonts w:ascii="Arial" w:hAnsi="Arial" w:cs="Arial"/>
      <w:i/>
      <w:iCs/>
      <w:spacing w:val="-10"/>
      <w:sz w:val="16"/>
      <w:szCs w:val="16"/>
      <w:u w:val="single"/>
    </w:rPr>
  </w:style>
  <w:style w:type="character" w:customStyle="1" w:styleId="3f1">
    <w:name w:val="Ïîäïèñü ê òàáëèöå (3)_"/>
    <w:uiPriority w:val="99"/>
    <w:rsid w:val="00FC04C9"/>
    <w:rPr>
      <w:rFonts w:ascii="Arial" w:hAnsi="Arial" w:cs="Arial"/>
      <w:i/>
      <w:iCs/>
      <w:spacing w:val="-10"/>
      <w:sz w:val="16"/>
      <w:szCs w:val="16"/>
    </w:rPr>
  </w:style>
  <w:style w:type="character" w:customStyle="1" w:styleId="79">
    <w:name w:val="Îñíîâíîé òåêñò (7)9"/>
    <w:uiPriority w:val="99"/>
    <w:rsid w:val="00FC04C9"/>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FC04C9"/>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FC04C9"/>
    <w:rPr>
      <w:rFonts w:ascii="Arial Narrow" w:hAnsi="Arial Narrow" w:cs="Arial Narrow"/>
      <w:i/>
      <w:iCs/>
      <w:sz w:val="15"/>
      <w:szCs w:val="15"/>
    </w:rPr>
  </w:style>
  <w:style w:type="character" w:customStyle="1" w:styleId="282">
    <w:name w:val="Îñíîâíîé òåêñò (28)_"/>
    <w:uiPriority w:val="99"/>
    <w:rsid w:val="00FC04C9"/>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FC04C9"/>
    <w:rPr>
      <w:rFonts w:ascii="SimHei" w:eastAsia="SimHei" w:cs="SimHei"/>
      <w:i/>
      <w:iCs/>
      <w:spacing w:val="-40"/>
      <w:sz w:val="35"/>
      <w:szCs w:val="35"/>
    </w:rPr>
  </w:style>
  <w:style w:type="character" w:customStyle="1" w:styleId="78">
    <w:name w:val="Îñíîâíîé òåêñò (7)8"/>
    <w:uiPriority w:val="99"/>
    <w:rsid w:val="00FC04C9"/>
    <w:rPr>
      <w:rFonts w:ascii="Arial" w:hAnsi="Arial" w:cs="Arial"/>
      <w:i/>
      <w:iCs/>
      <w:spacing w:val="-10"/>
      <w:sz w:val="16"/>
      <w:szCs w:val="16"/>
      <w:u w:val="single"/>
    </w:rPr>
  </w:style>
  <w:style w:type="character" w:customStyle="1" w:styleId="315">
    <w:name w:val="Îñíîâíîé òåêñò (31) + Êóðñèâ"/>
    <w:uiPriority w:val="99"/>
    <w:rsid w:val="00FC04C9"/>
    <w:rPr>
      <w:rFonts w:ascii="Arial" w:hAnsi="Arial" w:cs="Arial"/>
      <w:i/>
      <w:iCs/>
      <w:spacing w:val="0"/>
      <w:sz w:val="11"/>
      <w:szCs w:val="11"/>
    </w:rPr>
  </w:style>
  <w:style w:type="character" w:customStyle="1" w:styleId="303">
    <w:name w:val="Îñíîâíîé òåêñò (30) + Íå êóðñèâ"/>
    <w:uiPriority w:val="99"/>
    <w:rsid w:val="00FC04C9"/>
    <w:rPr>
      <w:rFonts w:ascii="Arial" w:hAnsi="Arial" w:cs="Arial"/>
      <w:i/>
      <w:iCs/>
      <w:sz w:val="11"/>
      <w:szCs w:val="11"/>
    </w:rPr>
  </w:style>
  <w:style w:type="character" w:customStyle="1" w:styleId="85pt2415">
    <w:name w:val="Îñíîâíîé òåêñò + 8.5 pt24.Ïîëóæèðíûé15"/>
    <w:uiPriority w:val="99"/>
    <w:rsid w:val="00FC04C9"/>
    <w:rPr>
      <w:rFonts w:ascii="Arial" w:hAnsi="Arial" w:cs="Arial"/>
      <w:b/>
      <w:bCs/>
      <w:spacing w:val="0"/>
      <w:sz w:val="17"/>
      <w:szCs w:val="17"/>
    </w:rPr>
  </w:style>
  <w:style w:type="character" w:customStyle="1" w:styleId="20pt15">
    <w:name w:val="Îñíîâíîé òåêñò + Êóðñèâ2.Èíòåðâàë 0 pt15"/>
    <w:uiPriority w:val="99"/>
    <w:rsid w:val="00FC04C9"/>
    <w:rPr>
      <w:rFonts w:ascii="Arial" w:hAnsi="Arial" w:cs="Arial"/>
      <w:i/>
      <w:iCs/>
      <w:spacing w:val="-10"/>
      <w:sz w:val="16"/>
      <w:szCs w:val="16"/>
    </w:rPr>
  </w:style>
  <w:style w:type="character" w:customStyle="1" w:styleId="3010">
    <w:name w:val="Îñíîâíîé òåêñò (30) + Íå êóðñèâ1"/>
    <w:uiPriority w:val="99"/>
    <w:rsid w:val="00FC04C9"/>
    <w:rPr>
      <w:rFonts w:ascii="Arial" w:hAnsi="Arial" w:cs="Arial"/>
      <w:i/>
      <w:iCs/>
      <w:sz w:val="11"/>
      <w:szCs w:val="11"/>
    </w:rPr>
  </w:style>
  <w:style w:type="character" w:customStyle="1" w:styleId="3110">
    <w:name w:val="Îñíîâíîé òåêñò (31) + Êóðñèâ1"/>
    <w:uiPriority w:val="99"/>
    <w:rsid w:val="00FC04C9"/>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FC04C9"/>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FC04C9"/>
    <w:rPr>
      <w:rFonts w:ascii="Arial" w:hAnsi="Arial" w:cs="Arial"/>
      <w:i/>
      <w:iCs/>
      <w:spacing w:val="0"/>
      <w:sz w:val="16"/>
      <w:szCs w:val="16"/>
    </w:rPr>
  </w:style>
  <w:style w:type="character" w:customStyle="1" w:styleId="770">
    <w:name w:val="Îñíîâíîé òåêñò (7)7"/>
    <w:uiPriority w:val="99"/>
    <w:rsid w:val="00FC04C9"/>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FC04C9"/>
    <w:rPr>
      <w:rFonts w:ascii="Arial Narrow" w:hAnsi="Arial Narrow" w:cs="Arial Narrow"/>
      <w:b/>
      <w:bCs/>
      <w:spacing w:val="0"/>
      <w:sz w:val="85"/>
      <w:szCs w:val="85"/>
    </w:rPr>
  </w:style>
  <w:style w:type="character" w:customStyle="1" w:styleId="760">
    <w:name w:val="Îñíîâíîé òåêñò (7)6"/>
    <w:uiPriority w:val="99"/>
    <w:rsid w:val="00FC04C9"/>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FC04C9"/>
    <w:rPr>
      <w:rFonts w:ascii="Arial" w:hAnsi="Arial" w:cs="Arial"/>
      <w:i/>
      <w:iCs/>
      <w:spacing w:val="0"/>
      <w:sz w:val="16"/>
      <w:szCs w:val="16"/>
    </w:rPr>
  </w:style>
  <w:style w:type="character" w:customStyle="1" w:styleId="750">
    <w:name w:val="Îñíîâíîé òåêñò (7)5"/>
    <w:uiPriority w:val="99"/>
    <w:rsid w:val="00FC04C9"/>
    <w:rPr>
      <w:rFonts w:ascii="Arial" w:hAnsi="Arial" w:cs="Arial"/>
      <w:i/>
      <w:iCs/>
      <w:spacing w:val="-10"/>
      <w:sz w:val="16"/>
      <w:szCs w:val="16"/>
      <w:u w:val="single"/>
    </w:rPr>
  </w:style>
  <w:style w:type="character" w:customStyle="1" w:styleId="740">
    <w:name w:val="Îñíîâíîé òåêñò (7)4"/>
    <w:uiPriority w:val="99"/>
    <w:rsid w:val="00FC04C9"/>
    <w:rPr>
      <w:rFonts w:ascii="Arial" w:hAnsi="Arial" w:cs="Arial"/>
      <w:i/>
      <w:iCs/>
      <w:spacing w:val="-10"/>
      <w:sz w:val="16"/>
      <w:szCs w:val="16"/>
      <w:u w:val="single"/>
    </w:rPr>
  </w:style>
  <w:style w:type="character" w:customStyle="1" w:styleId="730">
    <w:name w:val="Îñíîâíîé òåêñò (7)3"/>
    <w:uiPriority w:val="99"/>
    <w:rsid w:val="00FC04C9"/>
    <w:rPr>
      <w:rFonts w:ascii="Arial" w:hAnsi="Arial" w:cs="Arial"/>
      <w:i/>
      <w:iCs/>
      <w:spacing w:val="-10"/>
      <w:sz w:val="16"/>
      <w:szCs w:val="16"/>
      <w:u w:val="single"/>
    </w:rPr>
  </w:style>
  <w:style w:type="character" w:customStyle="1" w:styleId="720">
    <w:name w:val="Îñíîâíîé òåêñò (7)2"/>
    <w:uiPriority w:val="99"/>
    <w:rsid w:val="00FC04C9"/>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FC04C9"/>
    <w:rPr>
      <w:rFonts w:ascii="Franklin Gothic Demi" w:hAnsi="Franklin Gothic Demi" w:cs="Franklin Gothic Demi"/>
      <w:i/>
      <w:iCs/>
      <w:spacing w:val="0"/>
      <w:sz w:val="26"/>
      <w:szCs w:val="26"/>
    </w:rPr>
  </w:style>
  <w:style w:type="character" w:customStyle="1" w:styleId="222">
    <w:name w:val="Îñíîâíîé òåêñò (22)"/>
    <w:uiPriority w:val="99"/>
    <w:rsid w:val="00FC04C9"/>
    <w:rPr>
      <w:rFonts w:ascii="Arial" w:hAnsi="Arial" w:cs="Arial"/>
      <w:i/>
      <w:iCs/>
      <w:spacing w:val="-10"/>
      <w:sz w:val="17"/>
      <w:szCs w:val="17"/>
      <w:u w:val="single"/>
    </w:rPr>
  </w:style>
  <w:style w:type="character" w:customStyle="1" w:styleId="223">
    <w:name w:val="Îñíîâíîé òåêñò (22)_"/>
    <w:uiPriority w:val="99"/>
    <w:rsid w:val="00FC04C9"/>
    <w:rPr>
      <w:rFonts w:ascii="Arial" w:hAnsi="Arial" w:cs="Arial"/>
      <w:i/>
      <w:iCs/>
      <w:spacing w:val="-10"/>
      <w:sz w:val="17"/>
      <w:szCs w:val="17"/>
    </w:rPr>
  </w:style>
  <w:style w:type="character" w:customStyle="1" w:styleId="2260pt23">
    <w:name w:val="Îñíîâíîé òåêñò (22) + Íå êóðñèâ6.Èíòåðâàë 0 pt23"/>
    <w:uiPriority w:val="99"/>
    <w:rsid w:val="00FC04C9"/>
    <w:rPr>
      <w:rFonts w:ascii="Arial" w:hAnsi="Arial" w:cs="Arial"/>
      <w:i/>
      <w:iCs/>
      <w:spacing w:val="0"/>
      <w:sz w:val="17"/>
      <w:szCs w:val="17"/>
    </w:rPr>
  </w:style>
  <w:style w:type="character" w:customStyle="1" w:styleId="225">
    <w:name w:val="Îñíîâíîé òåêñò (22)5"/>
    <w:uiPriority w:val="99"/>
    <w:rsid w:val="00FC04C9"/>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FC04C9"/>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FC04C9"/>
    <w:rPr>
      <w:rFonts w:ascii="Arial" w:hAnsi="Arial" w:cs="Arial"/>
      <w:i/>
      <w:iCs/>
      <w:spacing w:val="-10"/>
      <w:sz w:val="17"/>
      <w:szCs w:val="17"/>
    </w:rPr>
  </w:style>
  <w:style w:type="character" w:customStyle="1" w:styleId="2250pt21">
    <w:name w:val="Îñíîâíîé òåêñò (22) + Íå êóðñèâ5.Èíòåðâàë 0 pt21"/>
    <w:uiPriority w:val="99"/>
    <w:rsid w:val="00FC04C9"/>
    <w:rPr>
      <w:rFonts w:ascii="Arial" w:hAnsi="Arial" w:cs="Arial"/>
      <w:i/>
      <w:iCs/>
      <w:spacing w:val="0"/>
      <w:sz w:val="17"/>
      <w:szCs w:val="17"/>
    </w:rPr>
  </w:style>
  <w:style w:type="character" w:customStyle="1" w:styleId="224">
    <w:name w:val="Îñíîâíîé òåêñò (22)4"/>
    <w:uiPriority w:val="99"/>
    <w:rsid w:val="00FC04C9"/>
    <w:rPr>
      <w:rFonts w:ascii="Arial" w:hAnsi="Arial" w:cs="Arial"/>
      <w:i/>
      <w:iCs/>
      <w:spacing w:val="-10"/>
      <w:sz w:val="17"/>
      <w:szCs w:val="17"/>
      <w:u w:val="single"/>
    </w:rPr>
  </w:style>
  <w:style w:type="character" w:customStyle="1" w:styleId="7Tahoma925pt20">
    <w:name w:val="Çàãîëîâîê ¹7 + Tahoma.92.5 pt20"/>
    <w:uiPriority w:val="99"/>
    <w:rsid w:val="00FC04C9"/>
    <w:rPr>
      <w:rFonts w:ascii="Tahoma" w:hAnsi="Tahoma" w:cs="Tahoma"/>
      <w:sz w:val="19"/>
      <w:szCs w:val="19"/>
    </w:rPr>
  </w:style>
  <w:style w:type="character" w:customStyle="1" w:styleId="7a">
    <w:name w:val="Çàãîëîâîê ¹7_"/>
    <w:uiPriority w:val="99"/>
    <w:rsid w:val="00FC04C9"/>
    <w:rPr>
      <w:rFonts w:ascii="Arial" w:hAnsi="Arial" w:cs="Arial"/>
      <w:sz w:val="16"/>
      <w:szCs w:val="16"/>
    </w:rPr>
  </w:style>
  <w:style w:type="character" w:customStyle="1" w:styleId="2230">
    <w:name w:val="Îñíîâíîé òåêñò (22)3"/>
    <w:uiPriority w:val="99"/>
    <w:rsid w:val="00FC04C9"/>
    <w:rPr>
      <w:rFonts w:ascii="Arial" w:hAnsi="Arial" w:cs="Arial"/>
      <w:i/>
      <w:iCs/>
      <w:spacing w:val="-10"/>
      <w:sz w:val="17"/>
      <w:szCs w:val="17"/>
      <w:u w:val="single"/>
    </w:rPr>
  </w:style>
  <w:style w:type="character" w:customStyle="1" w:styleId="70pt20">
    <w:name w:val="Îñíîâíîé òåêñò + Êóðñèâ7.Èíòåðâàë 0 pt20"/>
    <w:uiPriority w:val="99"/>
    <w:rsid w:val="00FC04C9"/>
    <w:rPr>
      <w:rFonts w:ascii="Arial" w:hAnsi="Arial" w:cs="Arial"/>
      <w:i/>
      <w:iCs/>
      <w:spacing w:val="-10"/>
      <w:sz w:val="17"/>
      <w:szCs w:val="17"/>
    </w:rPr>
  </w:style>
  <w:style w:type="character" w:customStyle="1" w:styleId="2240pt19">
    <w:name w:val="Îñíîâíîé òåêñò (22) + Íå êóðñèâ4.Èíòåðâàë 0 pt19"/>
    <w:uiPriority w:val="99"/>
    <w:rsid w:val="00FC04C9"/>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FC04C9"/>
    <w:rPr>
      <w:rFonts w:ascii="Arial" w:hAnsi="Arial" w:cs="Arial"/>
      <w:i/>
      <w:iCs/>
      <w:spacing w:val="-10"/>
      <w:sz w:val="16"/>
      <w:szCs w:val="16"/>
    </w:rPr>
  </w:style>
  <w:style w:type="character" w:customStyle="1" w:styleId="SimHei735pt19">
    <w:name w:val="Îñíîâíîé òåêñò + SimHei.73.5 pt19"/>
    <w:uiPriority w:val="99"/>
    <w:rsid w:val="00FC04C9"/>
    <w:rPr>
      <w:rFonts w:ascii="SimHei" w:eastAsia="SimHei" w:hAnsi="Microsoft Sans Serif" w:cs="SimHei"/>
      <w:spacing w:val="0"/>
      <w:sz w:val="15"/>
      <w:szCs w:val="15"/>
    </w:rPr>
  </w:style>
  <w:style w:type="character" w:customStyle="1" w:styleId="2220">
    <w:name w:val="Îñíîâíîé òåêñò (22)2"/>
    <w:uiPriority w:val="99"/>
    <w:rsid w:val="00FC04C9"/>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FC04C9"/>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FC04C9"/>
    <w:rPr>
      <w:rFonts w:ascii="Arial" w:hAnsi="Arial" w:cs="Arial"/>
      <w:i/>
      <w:iCs/>
      <w:spacing w:val="0"/>
      <w:sz w:val="16"/>
      <w:szCs w:val="16"/>
    </w:rPr>
  </w:style>
  <w:style w:type="paragraph" w:customStyle="1" w:styleId="3f2">
    <w:name w:val="Çàãîëîâîê ¹3"/>
    <w:basedOn w:val="a"/>
    <w:uiPriority w:val="99"/>
    <w:rsid w:val="00FC04C9"/>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
    <w:uiPriority w:val="99"/>
    <w:rsid w:val="00FC04C9"/>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
    <w:uiPriority w:val="99"/>
    <w:rsid w:val="00FC04C9"/>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FC04C9"/>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a">
    <w:name w:val="Ïîäïèñü ê òàáëèöå"/>
    <w:basedOn w:val="a"/>
    <w:uiPriority w:val="99"/>
    <w:rsid w:val="00FC04C9"/>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FC04C9"/>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FC04C9"/>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3">
    <w:name w:val="Çàãîëîâîê ¹1"/>
    <w:basedOn w:val="a"/>
    <w:uiPriority w:val="99"/>
    <w:rsid w:val="00FC04C9"/>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FC04C9"/>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4">
    <w:name w:val="Ïîäïèñü ê êàðòèíêå1"/>
    <w:basedOn w:val="a"/>
    <w:uiPriority w:val="99"/>
    <w:rsid w:val="00FC04C9"/>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3">
    <w:name w:val="Ïîäïèñü ê êàðòèíêå (12)"/>
    <w:basedOn w:val="a"/>
    <w:uiPriority w:val="99"/>
    <w:rsid w:val="00FC04C9"/>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FC04C9"/>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
    <w:uiPriority w:val="99"/>
    <w:rsid w:val="00FC04C9"/>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3">
    <w:name w:val="Çàãîëîâîê ¹2"/>
    <w:basedOn w:val="a"/>
    <w:uiPriority w:val="99"/>
    <w:rsid w:val="00FC04C9"/>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FC04C9"/>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FC04C9"/>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FC04C9"/>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FC04C9"/>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
    <w:uiPriority w:val="99"/>
    <w:rsid w:val="00FC04C9"/>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FC04C9"/>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a">
    <w:name w:val="Çàãîëîâîê ¹4"/>
    <w:basedOn w:val="a"/>
    <w:uiPriority w:val="99"/>
    <w:rsid w:val="00FC04C9"/>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FC04C9"/>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
    <w:uiPriority w:val="99"/>
    <w:rsid w:val="00FC04C9"/>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FC04C9"/>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1">
    <w:name w:val="Îñíîâíîé òåêñò (34)"/>
    <w:basedOn w:val="a"/>
    <w:uiPriority w:val="99"/>
    <w:rsid w:val="00FC04C9"/>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1">
    <w:name w:val="Îñíîâíîé òåêñò (35)"/>
    <w:basedOn w:val="a"/>
    <w:uiPriority w:val="99"/>
    <w:rsid w:val="00FC04C9"/>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FC04C9"/>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FC04C9"/>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FC04C9"/>
    <w:rPr>
      <w:rFonts w:ascii="Arial" w:hAnsi="Arial" w:cs="Arial"/>
      <w:i/>
      <w:iCs/>
      <w:spacing w:val="-10"/>
      <w:sz w:val="16"/>
      <w:szCs w:val="16"/>
    </w:rPr>
  </w:style>
  <w:style w:type="character" w:customStyle="1" w:styleId="20pt29">
    <w:name w:val="Îñíîâíîé òåêñò (2) + Íå êóðñèâ.Èíòåðâàë 0 pt29"/>
    <w:uiPriority w:val="99"/>
    <w:rsid w:val="00FC04C9"/>
    <w:rPr>
      <w:rFonts w:ascii="Arial" w:hAnsi="Arial" w:cs="Arial"/>
      <w:i/>
      <w:iCs/>
      <w:spacing w:val="0"/>
      <w:sz w:val="16"/>
      <w:szCs w:val="16"/>
    </w:rPr>
  </w:style>
  <w:style w:type="character" w:customStyle="1" w:styleId="284">
    <w:name w:val="Îñíîâíîé òåêñò (2)8"/>
    <w:uiPriority w:val="99"/>
    <w:rsid w:val="00FC04C9"/>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FC04C9"/>
    <w:rPr>
      <w:rFonts w:ascii="SimHei" w:eastAsia="SimHei" w:hAnsi="Arial" w:cs="SimHei"/>
      <w:i/>
      <w:iCs/>
      <w:spacing w:val="0"/>
      <w:sz w:val="15"/>
      <w:szCs w:val="15"/>
    </w:rPr>
  </w:style>
  <w:style w:type="character" w:customStyle="1" w:styleId="272">
    <w:name w:val="Îñíîâíîé òåêñò (2)7"/>
    <w:uiPriority w:val="99"/>
    <w:rsid w:val="00FC04C9"/>
    <w:rPr>
      <w:rFonts w:ascii="Arial" w:hAnsi="Arial" w:cs="Arial"/>
      <w:i/>
      <w:iCs/>
      <w:spacing w:val="-10"/>
      <w:sz w:val="16"/>
      <w:szCs w:val="16"/>
      <w:u w:val="single"/>
    </w:rPr>
  </w:style>
  <w:style w:type="character" w:customStyle="1" w:styleId="261">
    <w:name w:val="Îñíîâíîé òåêñò (2)6"/>
    <w:uiPriority w:val="99"/>
    <w:rsid w:val="00FC04C9"/>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FC04C9"/>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FC04C9"/>
    <w:rPr>
      <w:rFonts w:ascii="Bookman Old Style" w:hAnsi="Bookman Old Style" w:cs="Bookman Old Style"/>
      <w:i/>
      <w:iCs/>
      <w:spacing w:val="0"/>
      <w:sz w:val="17"/>
      <w:szCs w:val="17"/>
    </w:rPr>
  </w:style>
  <w:style w:type="character" w:customStyle="1" w:styleId="3f3">
    <w:name w:val="Çàãîëîâîê ¹3_"/>
    <w:uiPriority w:val="99"/>
    <w:rsid w:val="00FC04C9"/>
    <w:rPr>
      <w:rFonts w:ascii="Arial Narrow" w:hAnsi="Arial Narrow" w:cs="Arial Narrow"/>
      <w:b/>
      <w:bCs/>
      <w:i/>
      <w:iCs/>
      <w:spacing w:val="-50"/>
      <w:sz w:val="51"/>
      <w:szCs w:val="51"/>
    </w:rPr>
  </w:style>
  <w:style w:type="character" w:customStyle="1" w:styleId="3-1pt">
    <w:name w:val="Çàãîëîâîê ¹3 + Èíòåðâàë -1 pt"/>
    <w:uiPriority w:val="99"/>
    <w:rsid w:val="00FC04C9"/>
    <w:rPr>
      <w:rFonts w:ascii="Arial Narrow" w:hAnsi="Arial Narrow" w:cs="Arial Narrow"/>
      <w:b/>
      <w:bCs/>
      <w:i/>
      <w:iCs/>
      <w:spacing w:val="-30"/>
      <w:sz w:val="51"/>
      <w:szCs w:val="51"/>
    </w:rPr>
  </w:style>
  <w:style w:type="character" w:customStyle="1" w:styleId="65">
    <w:name w:val="Çàãîëîâîê ¹6_"/>
    <w:uiPriority w:val="99"/>
    <w:rsid w:val="00FC04C9"/>
    <w:rPr>
      <w:rFonts w:ascii="Tahoma" w:hAnsi="Tahoma" w:cs="Tahoma"/>
      <w:sz w:val="31"/>
      <w:szCs w:val="31"/>
    </w:rPr>
  </w:style>
  <w:style w:type="paragraph" w:customStyle="1" w:styleId="66">
    <w:name w:val="Çàãîëîâîê ¹6"/>
    <w:basedOn w:val="a"/>
    <w:uiPriority w:val="99"/>
    <w:rsid w:val="00FC04C9"/>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FC04C9"/>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FC04C9"/>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FC04C9"/>
    <w:rPr>
      <w:rFonts w:ascii="SimHei" w:eastAsia="SimHei" w:hAnsi="Arial" w:cs="SimHei"/>
      <w:i/>
      <w:iCs/>
      <w:spacing w:val="0"/>
      <w:sz w:val="15"/>
      <w:szCs w:val="15"/>
    </w:rPr>
  </w:style>
  <w:style w:type="character" w:customStyle="1" w:styleId="252">
    <w:name w:val="Îñíîâíîé òåêñò (2)5"/>
    <w:uiPriority w:val="99"/>
    <w:rsid w:val="00FC04C9"/>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FC04C9"/>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FC04C9"/>
    <w:rPr>
      <w:rFonts w:ascii="SimHei" w:eastAsia="SimHei" w:hAnsi="Arial" w:cs="SimHei"/>
      <w:i/>
      <w:iCs/>
      <w:spacing w:val="0"/>
      <w:sz w:val="14"/>
      <w:szCs w:val="14"/>
    </w:rPr>
  </w:style>
  <w:style w:type="character" w:customStyle="1" w:styleId="241">
    <w:name w:val="Îñíîâíîé òåêñò (2)4"/>
    <w:uiPriority w:val="99"/>
    <w:rsid w:val="00FC04C9"/>
    <w:rPr>
      <w:rFonts w:ascii="Arial" w:hAnsi="Arial" w:cs="Arial"/>
      <w:i/>
      <w:iCs/>
      <w:spacing w:val="-10"/>
      <w:sz w:val="16"/>
      <w:szCs w:val="16"/>
      <w:u w:val="single"/>
    </w:rPr>
  </w:style>
  <w:style w:type="character" w:customStyle="1" w:styleId="230">
    <w:name w:val="Îñíîâíîé òåêñò (2)3"/>
    <w:uiPriority w:val="99"/>
    <w:rsid w:val="00FC04C9"/>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FC04C9"/>
    <w:rPr>
      <w:rFonts w:ascii="Arial" w:hAnsi="Arial" w:cs="Arial"/>
      <w:i/>
      <w:iCs/>
      <w:spacing w:val="0"/>
      <w:sz w:val="16"/>
      <w:szCs w:val="16"/>
    </w:rPr>
  </w:style>
  <w:style w:type="character" w:customStyle="1" w:styleId="226">
    <w:name w:val="Îñíîâíîé òåêñò (2)2"/>
    <w:uiPriority w:val="99"/>
    <w:rsid w:val="00FC04C9"/>
    <w:rPr>
      <w:rFonts w:ascii="Arial" w:hAnsi="Arial" w:cs="Arial"/>
      <w:i/>
      <w:iCs/>
      <w:spacing w:val="-10"/>
      <w:sz w:val="16"/>
      <w:szCs w:val="16"/>
      <w:u w:val="single"/>
    </w:rPr>
  </w:style>
  <w:style w:type="character" w:customStyle="1" w:styleId="92">
    <w:name w:val="Îñíîâíîé òåêñò (9)_"/>
    <w:uiPriority w:val="99"/>
    <w:rsid w:val="00FC04C9"/>
    <w:rPr>
      <w:rFonts w:ascii="Arial" w:hAnsi="Arial" w:cs="Arial"/>
      <w:i/>
      <w:iCs/>
      <w:sz w:val="14"/>
      <w:szCs w:val="14"/>
    </w:rPr>
  </w:style>
  <w:style w:type="paragraph" w:customStyle="1" w:styleId="910">
    <w:name w:val="Îñíîâíîé òåêñò (9)1"/>
    <w:basedOn w:val="a"/>
    <w:uiPriority w:val="99"/>
    <w:rsid w:val="00FC04C9"/>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FC04C9"/>
    <w:rPr>
      <w:rFonts w:ascii="Tahoma" w:hAnsi="Tahoma" w:cs="Tahoma"/>
      <w:sz w:val="31"/>
      <w:szCs w:val="31"/>
    </w:rPr>
  </w:style>
  <w:style w:type="character" w:customStyle="1" w:styleId="100pt19">
    <w:name w:val="Îñíîâíîé òåêñò + Êóðñèâ10.Èíòåðâàë 0 pt19"/>
    <w:uiPriority w:val="99"/>
    <w:rsid w:val="00FC04C9"/>
    <w:rPr>
      <w:rFonts w:ascii="Arial" w:hAnsi="Arial" w:cs="Arial"/>
      <w:i/>
      <w:iCs/>
      <w:spacing w:val="-10"/>
      <w:sz w:val="16"/>
      <w:szCs w:val="16"/>
    </w:rPr>
  </w:style>
  <w:style w:type="paragraph" w:customStyle="1" w:styleId="5a">
    <w:name w:val="Çàãîëîâîê ¹5"/>
    <w:basedOn w:val="a"/>
    <w:uiPriority w:val="99"/>
    <w:rsid w:val="00FC04C9"/>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FC04C9"/>
    <w:rPr>
      <w:i/>
      <w:iCs/>
      <w:sz w:val="16"/>
      <w:szCs w:val="16"/>
    </w:rPr>
  </w:style>
  <w:style w:type="character" w:customStyle="1" w:styleId="5136">
    <w:name w:val="Îñíîâíîé òåêñò (5)136"/>
    <w:uiPriority w:val="99"/>
    <w:rsid w:val="00FC04C9"/>
    <w:rPr>
      <w:i/>
      <w:iCs/>
      <w:sz w:val="16"/>
      <w:szCs w:val="16"/>
    </w:rPr>
  </w:style>
  <w:style w:type="character" w:customStyle="1" w:styleId="58545pt75630pt128">
    <w:name w:val="Îñíîâíîé òåêñò (5) + 854.5 pt75.Íå êóðñèâ63.Èíòåðâàë 0 pt128"/>
    <w:uiPriority w:val="99"/>
    <w:rsid w:val="00FC04C9"/>
    <w:rPr>
      <w:i/>
      <w:iCs/>
      <w:spacing w:val="-10"/>
      <w:sz w:val="17"/>
      <w:szCs w:val="17"/>
    </w:rPr>
  </w:style>
  <w:style w:type="character" w:customStyle="1" w:styleId="5133">
    <w:name w:val="Îñíîâíîé òåêñò (5)133"/>
    <w:uiPriority w:val="99"/>
    <w:rsid w:val="00FC04C9"/>
    <w:rPr>
      <w:rFonts w:ascii="Arial Unicode MS" w:eastAsia="Arial Unicode MS" w:cs="Arial Unicode MS"/>
      <w:i/>
      <w:iCs/>
      <w:noProof/>
      <w:sz w:val="16"/>
      <w:szCs w:val="16"/>
    </w:rPr>
  </w:style>
  <w:style w:type="character" w:customStyle="1" w:styleId="5132">
    <w:name w:val="Îñíîâíîé òåêñò (5)132"/>
    <w:uiPriority w:val="99"/>
    <w:rsid w:val="00FC04C9"/>
    <w:rPr>
      <w:rFonts w:ascii="Arial Unicode MS" w:eastAsia="Arial Unicode MS" w:cs="Arial Unicode MS"/>
      <w:i/>
      <w:iCs/>
      <w:noProof/>
      <w:sz w:val="16"/>
      <w:szCs w:val="16"/>
    </w:rPr>
  </w:style>
  <w:style w:type="character" w:customStyle="1" w:styleId="5131">
    <w:name w:val="Îñíîâíîé òåêñò (5)131"/>
    <w:uiPriority w:val="99"/>
    <w:rsid w:val="00FC04C9"/>
    <w:rPr>
      <w:i/>
      <w:iCs/>
      <w:sz w:val="16"/>
      <w:szCs w:val="16"/>
    </w:rPr>
  </w:style>
  <w:style w:type="character" w:customStyle="1" w:styleId="5130">
    <w:name w:val="Îñíîâíîé òåêñò (5)130"/>
    <w:uiPriority w:val="99"/>
    <w:rsid w:val="00FC04C9"/>
    <w:rPr>
      <w:rFonts w:ascii="Arial Unicode MS" w:eastAsia="Arial Unicode MS" w:cs="Arial Unicode MS"/>
      <w:i/>
      <w:iCs/>
      <w:noProof/>
      <w:sz w:val="16"/>
      <w:szCs w:val="16"/>
    </w:rPr>
  </w:style>
  <w:style w:type="paragraph" w:customStyle="1" w:styleId="512">
    <w:name w:val="Îñíîâíîé òåêñò (5)1"/>
    <w:basedOn w:val="a"/>
    <w:uiPriority w:val="99"/>
    <w:rsid w:val="00FC04C9"/>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FC04C9"/>
    <w:rPr>
      <w:i/>
      <w:iCs/>
      <w:spacing w:val="0"/>
      <w:sz w:val="16"/>
      <w:szCs w:val="16"/>
    </w:rPr>
  </w:style>
  <w:style w:type="character" w:customStyle="1" w:styleId="5116">
    <w:name w:val="Îñíîâíîé òåêñò (5)116"/>
    <w:uiPriority w:val="99"/>
    <w:rsid w:val="00FC04C9"/>
    <w:rPr>
      <w:i/>
      <w:iCs/>
      <w:spacing w:val="0"/>
      <w:sz w:val="16"/>
      <w:szCs w:val="16"/>
    </w:rPr>
  </w:style>
  <w:style w:type="character" w:customStyle="1" w:styleId="5113">
    <w:name w:val="Îñíîâíîé òåêñò (5)113"/>
    <w:uiPriority w:val="99"/>
    <w:rsid w:val="00FC04C9"/>
    <w:rPr>
      <w:i/>
      <w:iCs/>
      <w:spacing w:val="0"/>
      <w:sz w:val="16"/>
      <w:szCs w:val="16"/>
      <w:u w:val="single"/>
    </w:rPr>
  </w:style>
  <w:style w:type="character" w:customStyle="1" w:styleId="5106">
    <w:name w:val="Îñíîâíîé òåêñò (5)106"/>
    <w:uiPriority w:val="99"/>
    <w:rsid w:val="00FC04C9"/>
    <w:rPr>
      <w:i/>
      <w:iCs/>
      <w:spacing w:val="0"/>
      <w:sz w:val="16"/>
      <w:szCs w:val="16"/>
    </w:rPr>
  </w:style>
  <w:style w:type="character" w:customStyle="1" w:styleId="5105">
    <w:name w:val="Îñíîâíîé òåêñò (5)105"/>
    <w:uiPriority w:val="99"/>
    <w:rsid w:val="00FC04C9"/>
    <w:rPr>
      <w:rFonts w:ascii="Arial Unicode MS" w:eastAsia="Arial Unicode MS" w:cs="Arial Unicode MS"/>
      <w:i/>
      <w:iCs/>
      <w:noProof/>
      <w:spacing w:val="0"/>
      <w:sz w:val="16"/>
      <w:szCs w:val="16"/>
    </w:rPr>
  </w:style>
  <w:style w:type="character" w:customStyle="1" w:styleId="5104">
    <w:name w:val="Îñíîâíîé òåêñò (5)104"/>
    <w:uiPriority w:val="99"/>
    <w:rsid w:val="00FC04C9"/>
    <w:rPr>
      <w:i/>
      <w:iCs/>
      <w:spacing w:val="0"/>
      <w:sz w:val="16"/>
      <w:szCs w:val="16"/>
      <w:u w:val="single"/>
    </w:rPr>
  </w:style>
  <w:style w:type="character" w:customStyle="1" w:styleId="5103">
    <w:name w:val="Îñíîâíîé òåêñò (5)103"/>
    <w:uiPriority w:val="99"/>
    <w:rsid w:val="00FC04C9"/>
    <w:rPr>
      <w:rFonts w:ascii="Arial Unicode MS" w:eastAsia="Arial Unicode MS" w:cs="Arial Unicode MS"/>
      <w:i/>
      <w:iCs/>
      <w:noProof/>
      <w:spacing w:val="0"/>
      <w:sz w:val="16"/>
      <w:szCs w:val="16"/>
    </w:rPr>
  </w:style>
  <w:style w:type="character" w:customStyle="1" w:styleId="5102">
    <w:name w:val="Îñíîâíîé òåêñò (5)102"/>
    <w:uiPriority w:val="99"/>
    <w:rsid w:val="00FC04C9"/>
    <w:rPr>
      <w:rFonts w:ascii="Arial Unicode MS" w:eastAsia="Arial Unicode MS" w:cs="Arial Unicode MS"/>
      <w:i/>
      <w:iCs/>
      <w:noProof/>
      <w:spacing w:val="0"/>
      <w:sz w:val="16"/>
      <w:szCs w:val="16"/>
    </w:rPr>
  </w:style>
  <w:style w:type="character" w:customStyle="1" w:styleId="530">
    <w:name w:val="Çàãîëîâîê ¹53"/>
    <w:uiPriority w:val="99"/>
    <w:rsid w:val="00FC04C9"/>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FC04C9"/>
    <w:rPr>
      <w:i/>
      <w:iCs/>
      <w:spacing w:val="-10"/>
      <w:sz w:val="17"/>
      <w:szCs w:val="17"/>
    </w:rPr>
  </w:style>
  <w:style w:type="character" w:customStyle="1" w:styleId="520">
    <w:name w:val="Çàãîëîâîê ¹52"/>
    <w:uiPriority w:val="99"/>
    <w:rsid w:val="00FC04C9"/>
    <w:rPr>
      <w:rFonts w:ascii="Tahoma" w:hAnsi="Tahoma" w:cs="Tahoma"/>
      <w:i/>
      <w:iCs/>
      <w:sz w:val="16"/>
      <w:szCs w:val="16"/>
      <w:u w:val="single"/>
    </w:rPr>
  </w:style>
  <w:style w:type="paragraph" w:customStyle="1" w:styleId="513">
    <w:name w:val="Çàãîëîâîê ¹51"/>
    <w:basedOn w:val="a"/>
    <w:uiPriority w:val="99"/>
    <w:rsid w:val="00FC04C9"/>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FC04C9"/>
    <w:rPr>
      <w:i/>
      <w:iCs/>
      <w:spacing w:val="0"/>
      <w:sz w:val="16"/>
      <w:szCs w:val="16"/>
    </w:rPr>
  </w:style>
  <w:style w:type="character" w:customStyle="1" w:styleId="5100">
    <w:name w:val="Îñíîâíîé òåêñò (5)100"/>
    <w:uiPriority w:val="99"/>
    <w:rsid w:val="00FC04C9"/>
    <w:rPr>
      <w:rFonts w:ascii="Arial Unicode MS" w:eastAsia="Arial Unicode MS" w:cs="Arial Unicode MS"/>
      <w:i/>
      <w:iCs/>
      <w:noProof/>
      <w:spacing w:val="0"/>
      <w:sz w:val="16"/>
      <w:szCs w:val="16"/>
    </w:rPr>
  </w:style>
  <w:style w:type="character" w:customStyle="1" w:styleId="599">
    <w:name w:val="Îñíîâíîé òåêñò (5)99"/>
    <w:uiPriority w:val="99"/>
    <w:rsid w:val="00FC04C9"/>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FC04C9"/>
    <w:rPr>
      <w:i/>
      <w:iCs/>
      <w:spacing w:val="-10"/>
      <w:sz w:val="17"/>
      <w:szCs w:val="17"/>
    </w:rPr>
  </w:style>
  <w:style w:type="character" w:customStyle="1" w:styleId="598">
    <w:name w:val="Îñíîâíîé òåêñò (5)98"/>
    <w:uiPriority w:val="99"/>
    <w:rsid w:val="00FC04C9"/>
    <w:rPr>
      <w:i/>
      <w:iCs/>
      <w:spacing w:val="0"/>
      <w:sz w:val="16"/>
      <w:szCs w:val="16"/>
      <w:u w:val="single"/>
    </w:rPr>
  </w:style>
  <w:style w:type="character" w:customStyle="1" w:styleId="597">
    <w:name w:val="Îñíîâíîé òåêñò (5)97"/>
    <w:uiPriority w:val="99"/>
    <w:rsid w:val="00FC04C9"/>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FC04C9"/>
    <w:rPr>
      <w:rFonts w:ascii="Arial Narrow" w:hAnsi="Arial Narrow" w:cs="Arial Narrow"/>
      <w:b/>
      <w:bCs/>
      <w:sz w:val="47"/>
      <w:szCs w:val="47"/>
    </w:rPr>
  </w:style>
  <w:style w:type="character" w:customStyle="1" w:styleId="4b">
    <w:name w:val="Ïîäïèñü ê êàðòèíêå (4)_"/>
    <w:uiPriority w:val="99"/>
    <w:rsid w:val="00FC04C9"/>
    <w:rPr>
      <w:b/>
      <w:bCs/>
      <w:i/>
      <w:iCs/>
      <w:sz w:val="17"/>
      <w:szCs w:val="17"/>
    </w:rPr>
  </w:style>
  <w:style w:type="character" w:customStyle="1" w:styleId="4c">
    <w:name w:val="Ïîäïèñü ê êàðòèíêå (4)"/>
    <w:uiPriority w:val="99"/>
    <w:rsid w:val="00FC04C9"/>
    <w:rPr>
      <w:b/>
      <w:bCs/>
      <w:i/>
      <w:iCs/>
      <w:sz w:val="17"/>
      <w:szCs w:val="17"/>
    </w:rPr>
  </w:style>
  <w:style w:type="character" w:customStyle="1" w:styleId="8pt35450pt1150">
    <w:name w:val="Îñíîâíîé òåêñò + 8 pt35.Êóðñèâ45.Èíòåðâàë 0 pt115"/>
    <w:uiPriority w:val="99"/>
    <w:rsid w:val="00FC04C9"/>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FC04C9"/>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FC04C9"/>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FC04C9"/>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FC04C9"/>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FC04C9"/>
    <w:rPr>
      <w:rFonts w:ascii="Microsoft Sans Serif" w:hAnsi="Microsoft Sans Serif" w:cs="Microsoft Sans Serif"/>
      <w:b/>
      <w:bCs/>
      <w:i/>
      <w:iCs/>
      <w:spacing w:val="0"/>
      <w:sz w:val="17"/>
      <w:szCs w:val="17"/>
    </w:rPr>
  </w:style>
  <w:style w:type="character" w:customStyle="1" w:styleId="3f4">
    <w:name w:val="Îñíîâíîé òåêñò (3)_"/>
    <w:uiPriority w:val="99"/>
    <w:rsid w:val="00FC04C9"/>
    <w:rPr>
      <w:b/>
      <w:bCs/>
      <w:i/>
      <w:iCs/>
      <w:sz w:val="17"/>
      <w:szCs w:val="17"/>
    </w:rPr>
  </w:style>
  <w:style w:type="character" w:customStyle="1" w:styleId="391">
    <w:name w:val="Îñíîâíîé òåêñò (3)9"/>
    <w:uiPriority w:val="99"/>
    <w:rsid w:val="00FC04C9"/>
    <w:rPr>
      <w:b/>
      <w:bCs/>
      <w:i/>
      <w:iCs/>
      <w:sz w:val="17"/>
      <w:szCs w:val="17"/>
    </w:rPr>
  </w:style>
  <w:style w:type="character" w:customStyle="1" w:styleId="8pt30390pt1090">
    <w:name w:val="Îñíîâíîé òåêñò + 8 pt30.Êóðñèâ39.Èíòåðâàë 0 pt109"/>
    <w:uiPriority w:val="99"/>
    <w:rsid w:val="00FC04C9"/>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FC04C9"/>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FC04C9"/>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FC04C9"/>
    <w:rPr>
      <w:rFonts w:ascii="Microsoft Sans Serif" w:hAnsi="Microsoft Sans Serif" w:cs="Microsoft Sans Serif"/>
      <w:i/>
      <w:iCs/>
      <w:spacing w:val="0"/>
      <w:sz w:val="16"/>
      <w:szCs w:val="16"/>
    </w:rPr>
  </w:style>
  <w:style w:type="character" w:customStyle="1" w:styleId="5790">
    <w:name w:val="Îñíîâíîé òåêñò (5)79"/>
    <w:uiPriority w:val="99"/>
    <w:rsid w:val="00FC04C9"/>
    <w:rPr>
      <w:i/>
      <w:iCs/>
      <w:spacing w:val="0"/>
      <w:sz w:val="16"/>
      <w:szCs w:val="16"/>
    </w:rPr>
  </w:style>
  <w:style w:type="character" w:customStyle="1" w:styleId="5780">
    <w:name w:val="Îñíîâíîé òåêñò (5)78"/>
    <w:uiPriority w:val="99"/>
    <w:rsid w:val="00FC04C9"/>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FC04C9"/>
    <w:rPr>
      <w:b/>
      <w:bCs/>
      <w:i/>
      <w:iCs/>
      <w:spacing w:val="0"/>
      <w:sz w:val="14"/>
      <w:szCs w:val="14"/>
    </w:rPr>
  </w:style>
  <w:style w:type="character" w:customStyle="1" w:styleId="57pt1240">
    <w:name w:val="Îñíîâíîé òåêñò (5) + 7 pt1.Ïîëóæèðíûé24"/>
    <w:uiPriority w:val="99"/>
    <w:rsid w:val="00FC04C9"/>
    <w:rPr>
      <w:b/>
      <w:bCs/>
      <w:i/>
      <w:iCs/>
      <w:spacing w:val="0"/>
      <w:sz w:val="14"/>
      <w:szCs w:val="14"/>
    </w:rPr>
  </w:style>
  <w:style w:type="character" w:customStyle="1" w:styleId="affffb">
    <w:name w:val="Ñíîñêà_"/>
    <w:uiPriority w:val="99"/>
    <w:rsid w:val="00FC04C9"/>
    <w:rPr>
      <w:i/>
      <w:iCs/>
      <w:sz w:val="13"/>
      <w:szCs w:val="13"/>
    </w:rPr>
  </w:style>
  <w:style w:type="character" w:customStyle="1" w:styleId="130">
    <w:name w:val="Ñíîñêà13"/>
    <w:uiPriority w:val="99"/>
    <w:rsid w:val="00FC04C9"/>
    <w:rPr>
      <w:i/>
      <w:iCs/>
      <w:sz w:val="13"/>
      <w:szCs w:val="13"/>
    </w:rPr>
  </w:style>
  <w:style w:type="character" w:customStyle="1" w:styleId="8pt25340pt1040">
    <w:name w:val="Îñíîâíîé òåêñò + 8 pt25.Êóðñèâ34.Èíòåðâàë 0 pt104"/>
    <w:uiPriority w:val="99"/>
    <w:rsid w:val="00FC04C9"/>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FC04C9"/>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FC04C9"/>
    <w:rPr>
      <w:i/>
      <w:iCs/>
      <w:spacing w:val="0"/>
      <w:sz w:val="16"/>
      <w:szCs w:val="16"/>
    </w:rPr>
  </w:style>
  <w:style w:type="character" w:customStyle="1" w:styleId="5760">
    <w:name w:val="Îñíîâíîé òåêñò (5)76"/>
    <w:uiPriority w:val="99"/>
    <w:rsid w:val="00FC04C9"/>
    <w:rPr>
      <w:rFonts w:ascii="Arial Unicode MS" w:eastAsia="Arial Unicode MS" w:cs="Arial Unicode MS"/>
      <w:i/>
      <w:iCs/>
      <w:noProof/>
      <w:spacing w:val="0"/>
      <w:sz w:val="16"/>
      <w:szCs w:val="16"/>
    </w:rPr>
  </w:style>
  <w:style w:type="paragraph" w:customStyle="1" w:styleId="1f5">
    <w:name w:val="Ñíîñêà1"/>
    <w:basedOn w:val="a"/>
    <w:uiPriority w:val="99"/>
    <w:rsid w:val="00FC04C9"/>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FC04C9"/>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FC04C9"/>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FC04C9"/>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FC04C9"/>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FC04C9"/>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FC04C9"/>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FC04C9"/>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FC04C9"/>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FC04C9"/>
    <w:rPr>
      <w:b/>
      <w:bCs/>
      <w:sz w:val="13"/>
      <w:szCs w:val="13"/>
    </w:rPr>
  </w:style>
  <w:style w:type="character" w:customStyle="1" w:styleId="1322">
    <w:name w:val="Îñíîâíîé òåêñò (13)22"/>
    <w:uiPriority w:val="99"/>
    <w:rsid w:val="00FC04C9"/>
    <w:rPr>
      <w:b/>
      <w:bCs/>
      <w:sz w:val="13"/>
      <w:szCs w:val="13"/>
    </w:rPr>
  </w:style>
  <w:style w:type="character" w:customStyle="1" w:styleId="575">
    <w:name w:val="Îñíîâíîé òåêñò (5)75"/>
    <w:uiPriority w:val="99"/>
    <w:rsid w:val="00FC04C9"/>
    <w:rPr>
      <w:i/>
      <w:iCs/>
      <w:spacing w:val="0"/>
      <w:sz w:val="16"/>
      <w:szCs w:val="16"/>
    </w:rPr>
  </w:style>
  <w:style w:type="character" w:customStyle="1" w:styleId="574">
    <w:name w:val="Îñíîâíîé òåêñò (5)74"/>
    <w:uiPriority w:val="99"/>
    <w:rsid w:val="00FC04C9"/>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FC04C9"/>
    <w:rPr>
      <w:i/>
      <w:iCs/>
      <w:spacing w:val="-10"/>
      <w:sz w:val="17"/>
      <w:szCs w:val="17"/>
    </w:rPr>
  </w:style>
  <w:style w:type="character" w:customStyle="1" w:styleId="58445pt60510pt90">
    <w:name w:val="Îñíîâíîé òåêñò (5) + 844.5 pt60.Íå êóðñèâ51.Èíòåðâàë 0 pt90"/>
    <w:uiPriority w:val="99"/>
    <w:rsid w:val="00FC04C9"/>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FC04C9"/>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FC04C9"/>
    <w:rPr>
      <w:i/>
      <w:iCs/>
      <w:spacing w:val="-10"/>
      <w:sz w:val="17"/>
      <w:szCs w:val="17"/>
    </w:rPr>
  </w:style>
  <w:style w:type="character" w:customStyle="1" w:styleId="573">
    <w:name w:val="Îñíîâíîé òåêñò (5)73"/>
    <w:uiPriority w:val="99"/>
    <w:rsid w:val="00FC04C9"/>
    <w:rPr>
      <w:i/>
      <w:iCs/>
      <w:spacing w:val="0"/>
      <w:sz w:val="16"/>
      <w:szCs w:val="16"/>
    </w:rPr>
  </w:style>
  <w:style w:type="character" w:customStyle="1" w:styleId="572">
    <w:name w:val="Îñíîâíîé òåêñò (5)72"/>
    <w:uiPriority w:val="99"/>
    <w:rsid w:val="00FC04C9"/>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FC04C9"/>
    <w:rPr>
      <w:rFonts w:ascii="Arial Unicode MS" w:eastAsia="Arial Unicode MS" w:cs="Arial Unicode MS"/>
      <w:i/>
      <w:iCs/>
      <w:noProof/>
      <w:spacing w:val="-10"/>
      <w:sz w:val="17"/>
      <w:szCs w:val="17"/>
    </w:rPr>
  </w:style>
  <w:style w:type="character" w:customStyle="1" w:styleId="571">
    <w:name w:val="Îñíîâíîé òåêñò (5)71"/>
    <w:uiPriority w:val="99"/>
    <w:rsid w:val="00FC04C9"/>
    <w:rPr>
      <w:i/>
      <w:iCs/>
      <w:spacing w:val="0"/>
      <w:sz w:val="16"/>
      <w:szCs w:val="16"/>
    </w:rPr>
  </w:style>
  <w:style w:type="character" w:customStyle="1" w:styleId="570">
    <w:name w:val="Îñíîâíîé òåêñò (5)70"/>
    <w:uiPriority w:val="99"/>
    <w:rsid w:val="00FC04C9"/>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FC04C9"/>
    <w:rPr>
      <w:b/>
      <w:bCs/>
      <w:i/>
      <w:iCs/>
      <w:spacing w:val="0"/>
      <w:sz w:val="17"/>
      <w:szCs w:val="17"/>
    </w:rPr>
  </w:style>
  <w:style w:type="character" w:customStyle="1" w:styleId="203">
    <w:name w:val="Îñíîâíîé òåêñò (20)_"/>
    <w:uiPriority w:val="99"/>
    <w:rsid w:val="00FC04C9"/>
    <w:rPr>
      <w:b/>
      <w:bCs/>
      <w:i/>
      <w:iCs/>
      <w:sz w:val="15"/>
      <w:szCs w:val="15"/>
    </w:rPr>
  </w:style>
  <w:style w:type="character" w:customStyle="1" w:styleId="204">
    <w:name w:val="Îñíîâíîé òåêñò (20)"/>
    <w:uiPriority w:val="99"/>
    <w:rsid w:val="00FC04C9"/>
    <w:rPr>
      <w:b/>
      <w:bCs/>
      <w:i/>
      <w:iCs/>
      <w:sz w:val="15"/>
      <w:szCs w:val="15"/>
    </w:rPr>
  </w:style>
  <w:style w:type="character" w:customStyle="1" w:styleId="2030">
    <w:name w:val="Îñíîâíîé òåêñò (20)3"/>
    <w:uiPriority w:val="99"/>
    <w:rsid w:val="00FC04C9"/>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FC04C9"/>
    <w:rPr>
      <w:rFonts w:ascii="Arial Unicode MS" w:eastAsia="Arial Unicode MS" w:cs="Arial Unicode MS"/>
      <w:b/>
      <w:bCs/>
      <w:i/>
      <w:iCs/>
      <w:noProof/>
      <w:sz w:val="16"/>
      <w:szCs w:val="16"/>
    </w:rPr>
  </w:style>
  <w:style w:type="character" w:customStyle="1" w:styleId="2020">
    <w:name w:val="Îñíîâíîé òåêñò (20)2"/>
    <w:uiPriority w:val="99"/>
    <w:rsid w:val="00FC04C9"/>
    <w:rPr>
      <w:b/>
      <w:bCs/>
      <w:i/>
      <w:iCs/>
      <w:sz w:val="15"/>
      <w:szCs w:val="15"/>
    </w:rPr>
  </w:style>
  <w:style w:type="character" w:customStyle="1" w:styleId="2040">
    <w:name w:val="Îñíîâíîé òåêñò (20) + Íå ïîëóæèðíûé.Ìàëûå ïðîïèñíûå4"/>
    <w:uiPriority w:val="99"/>
    <w:rsid w:val="00FC04C9"/>
    <w:rPr>
      <w:b/>
      <w:bCs/>
      <w:i/>
      <w:iCs/>
      <w:smallCaps/>
      <w:sz w:val="15"/>
      <w:szCs w:val="15"/>
    </w:rPr>
  </w:style>
  <w:style w:type="paragraph" w:customStyle="1" w:styleId="2011">
    <w:name w:val="Îñíîâíîé òåêñò (20)1"/>
    <w:basedOn w:val="a"/>
    <w:uiPriority w:val="99"/>
    <w:rsid w:val="00FC04C9"/>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FC04C9"/>
    <w:rPr>
      <w:rFonts w:ascii="Microsoft Sans Serif" w:hAnsi="Microsoft Sans Serif" w:cs="Microsoft Sans Serif"/>
      <w:i/>
      <w:iCs/>
      <w:sz w:val="15"/>
      <w:szCs w:val="15"/>
    </w:rPr>
  </w:style>
  <w:style w:type="character" w:customStyle="1" w:styleId="490">
    <w:name w:val="Îñíîâíîé òåêñò (4)9"/>
    <w:uiPriority w:val="99"/>
    <w:rsid w:val="00FC04C9"/>
    <w:rPr>
      <w:rFonts w:ascii="Microsoft Sans Serif" w:hAnsi="Microsoft Sans Serif" w:cs="Microsoft Sans Serif"/>
      <w:i/>
      <w:iCs/>
      <w:sz w:val="15"/>
      <w:szCs w:val="15"/>
      <w:u w:val="single"/>
    </w:rPr>
  </w:style>
  <w:style w:type="character" w:customStyle="1" w:styleId="480">
    <w:name w:val="Îñíîâíîé òåêñò (4)8"/>
    <w:uiPriority w:val="99"/>
    <w:rsid w:val="00FC04C9"/>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FC04C9"/>
    <w:rPr>
      <w:rFonts w:ascii="Microsoft Sans Serif" w:hAnsi="Microsoft Sans Serif" w:cs="Microsoft Sans Serif"/>
      <w:i/>
      <w:iCs/>
      <w:sz w:val="15"/>
      <w:szCs w:val="15"/>
    </w:rPr>
  </w:style>
  <w:style w:type="character" w:customStyle="1" w:styleId="470">
    <w:name w:val="Îñíîâíîé òåêñò (4)7"/>
    <w:uiPriority w:val="99"/>
    <w:rsid w:val="00FC04C9"/>
    <w:rPr>
      <w:rFonts w:ascii="Microsoft Sans Serif" w:hAnsi="Microsoft Sans Serif" w:cs="Microsoft Sans Serif"/>
      <w:i/>
      <w:iCs/>
      <w:sz w:val="15"/>
      <w:szCs w:val="15"/>
      <w:u w:val="single"/>
    </w:rPr>
  </w:style>
  <w:style w:type="character" w:customStyle="1" w:styleId="460">
    <w:name w:val="Îñíîâíîé òåêñò (4)6"/>
    <w:uiPriority w:val="99"/>
    <w:rsid w:val="00FC04C9"/>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FC04C9"/>
    <w:rPr>
      <w:rFonts w:ascii="Microsoft Sans Serif" w:hAnsi="Microsoft Sans Serif" w:cs="Microsoft Sans Serif"/>
      <w:i/>
      <w:iCs/>
      <w:sz w:val="15"/>
      <w:szCs w:val="15"/>
    </w:rPr>
  </w:style>
  <w:style w:type="character" w:customStyle="1" w:styleId="450">
    <w:name w:val="Îñíîâíîé òåêñò (4)5"/>
    <w:uiPriority w:val="99"/>
    <w:rsid w:val="00FC04C9"/>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FC04C9"/>
    <w:rPr>
      <w:rFonts w:ascii="Microsoft Sans Serif" w:hAnsi="Microsoft Sans Serif" w:cs="Microsoft Sans Serif"/>
      <w:b/>
      <w:bCs/>
      <w:i/>
      <w:iCs/>
      <w:sz w:val="13"/>
      <w:szCs w:val="13"/>
    </w:rPr>
  </w:style>
  <w:style w:type="character" w:customStyle="1" w:styleId="441">
    <w:name w:val="Îñíîâíîé òåêñò (4)4"/>
    <w:uiPriority w:val="99"/>
    <w:rsid w:val="00FC04C9"/>
    <w:rPr>
      <w:rFonts w:ascii="Microsoft Sans Serif" w:hAnsi="Microsoft Sans Serif" w:cs="Microsoft Sans Serif"/>
      <w:i/>
      <w:iCs/>
      <w:sz w:val="15"/>
      <w:szCs w:val="15"/>
      <w:u w:val="single"/>
    </w:rPr>
  </w:style>
  <w:style w:type="character" w:customStyle="1" w:styleId="431">
    <w:name w:val="Îñíîâíîé òåêñò (4)3"/>
    <w:uiPriority w:val="99"/>
    <w:rsid w:val="00FC04C9"/>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FC04C9"/>
    <w:rPr>
      <w:rFonts w:ascii="Microsoft Sans Serif" w:hAnsi="Microsoft Sans Serif" w:cs="Microsoft Sans Serif"/>
      <w:i/>
      <w:iCs/>
      <w:sz w:val="15"/>
      <w:szCs w:val="15"/>
    </w:rPr>
  </w:style>
  <w:style w:type="character" w:customStyle="1" w:styleId="4-1pt">
    <w:name w:val="Îñíîâíîé òåêñò (4) + Èíòåðâàë -1 pt"/>
    <w:uiPriority w:val="99"/>
    <w:rsid w:val="00FC04C9"/>
    <w:rPr>
      <w:rFonts w:ascii="Microsoft Sans Serif" w:hAnsi="Microsoft Sans Serif" w:cs="Microsoft Sans Serif"/>
      <w:i/>
      <w:iCs/>
      <w:spacing w:val="-20"/>
      <w:sz w:val="15"/>
      <w:szCs w:val="15"/>
    </w:rPr>
  </w:style>
  <w:style w:type="character" w:customStyle="1" w:styleId="3f5">
    <w:name w:val="Îñíîâíîé òåêñò + Êóðñèâ3"/>
    <w:uiPriority w:val="99"/>
    <w:rsid w:val="00FC04C9"/>
    <w:rPr>
      <w:rFonts w:ascii="Microsoft Sans Serif" w:hAnsi="Microsoft Sans Serif" w:cs="Microsoft Sans Serif"/>
      <w:i/>
      <w:iCs/>
      <w:sz w:val="15"/>
      <w:szCs w:val="15"/>
    </w:rPr>
  </w:style>
  <w:style w:type="character" w:customStyle="1" w:styleId="2f5">
    <w:name w:val="Îñíîâíîé òåêñò + Êóðñèâ2"/>
    <w:uiPriority w:val="99"/>
    <w:rsid w:val="00FC04C9"/>
    <w:rPr>
      <w:rFonts w:ascii="Microsoft Sans Serif" w:hAnsi="Microsoft Sans Serif" w:cs="Microsoft Sans Serif"/>
      <w:i/>
      <w:iCs/>
      <w:sz w:val="15"/>
      <w:szCs w:val="15"/>
    </w:rPr>
  </w:style>
  <w:style w:type="paragraph" w:customStyle="1" w:styleId="83">
    <w:name w:val="Çàãîëîâîê ¹8"/>
    <w:basedOn w:val="a"/>
    <w:uiPriority w:val="99"/>
    <w:rsid w:val="00FC04C9"/>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FC04C9"/>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FC04C9"/>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FC04C9"/>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FC04C9"/>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FC04C9"/>
    <w:rPr>
      <w:rFonts w:ascii="Lucida Sans Unicode" w:hAnsi="Lucida Sans Unicode" w:cs="Lucida Sans Unicode"/>
      <w:i/>
      <w:iCs/>
      <w:spacing w:val="-10"/>
      <w:sz w:val="16"/>
      <w:szCs w:val="16"/>
    </w:rPr>
  </w:style>
  <w:style w:type="character" w:customStyle="1" w:styleId="206">
    <w:name w:val="Îñíîâíîé òåêñò (20)6"/>
    <w:uiPriority w:val="99"/>
    <w:rsid w:val="00FC04C9"/>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FC04C9"/>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FC04C9"/>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FC04C9"/>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FC04C9"/>
    <w:rPr>
      <w:rFonts w:ascii="Lucida Sans Unicode" w:hAnsi="Lucida Sans Unicode" w:cs="Lucida Sans Unicode"/>
      <w:b/>
      <w:bCs/>
      <w:i/>
      <w:iCs/>
      <w:spacing w:val="-10"/>
      <w:sz w:val="16"/>
      <w:szCs w:val="16"/>
    </w:rPr>
  </w:style>
  <w:style w:type="character" w:customStyle="1" w:styleId="205">
    <w:name w:val="Îñíîâíîé òåêñò (20)5"/>
    <w:uiPriority w:val="99"/>
    <w:rsid w:val="00FC04C9"/>
    <w:rPr>
      <w:rFonts w:ascii="Lucida Sans Unicode" w:hAnsi="Lucida Sans Unicode" w:cs="Lucida Sans Unicode"/>
      <w:b/>
      <w:bCs/>
      <w:i/>
      <w:iCs/>
      <w:sz w:val="16"/>
      <w:szCs w:val="16"/>
      <w:u w:val="single"/>
    </w:rPr>
  </w:style>
  <w:style w:type="character" w:customStyle="1" w:styleId="2041">
    <w:name w:val="Îñíîâíîé òåêñò (20)4"/>
    <w:uiPriority w:val="99"/>
    <w:rsid w:val="00FC04C9"/>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FC04C9"/>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FC04C9"/>
    <w:rPr>
      <w:rFonts w:ascii="MS Mincho" w:eastAsia="MS Mincho" w:cs="MS Mincho"/>
      <w:b/>
      <w:bCs/>
      <w:i/>
      <w:iCs/>
      <w:spacing w:val="-10"/>
      <w:sz w:val="16"/>
      <w:szCs w:val="16"/>
    </w:rPr>
  </w:style>
  <w:style w:type="character" w:customStyle="1" w:styleId="1420">
    <w:name w:val="Îñíîâíîé òåêñò (14)2"/>
    <w:uiPriority w:val="99"/>
    <w:rsid w:val="00FC04C9"/>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FC04C9"/>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FC04C9"/>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FC04C9"/>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FC04C9"/>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FC04C9"/>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FC04C9"/>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FC04C9"/>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FC04C9"/>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FC04C9"/>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FC04C9"/>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FC04C9"/>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FC04C9"/>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FC04C9"/>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FC04C9"/>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FC04C9"/>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FC04C9"/>
    <w:rPr>
      <w:rFonts w:ascii="Arial Narrow" w:hAnsi="Arial Narrow" w:cs="Arial Narrow"/>
      <w:b/>
      <w:bCs/>
      <w:sz w:val="22"/>
      <w:szCs w:val="22"/>
    </w:rPr>
  </w:style>
  <w:style w:type="character" w:customStyle="1" w:styleId="8ArialNarrow19pt">
    <w:name w:val="Çàãîëîâîê ¹8 + Arial Narrow1.9 pt"/>
    <w:uiPriority w:val="99"/>
    <w:rsid w:val="00FC04C9"/>
    <w:rPr>
      <w:rFonts w:ascii="Arial Narrow" w:hAnsi="Arial Narrow" w:cs="Arial Narrow"/>
      <w:sz w:val="18"/>
      <w:szCs w:val="18"/>
    </w:rPr>
  </w:style>
  <w:style w:type="paragraph" w:customStyle="1" w:styleId="231">
    <w:name w:val="Îñíîâíîé òåêñò (23)"/>
    <w:basedOn w:val="a"/>
    <w:uiPriority w:val="99"/>
    <w:rsid w:val="00FC04C9"/>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FC04C9"/>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FC04C9"/>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FC04C9"/>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5">
    <w:name w:val="Çàãîëîâîê ¹10"/>
    <w:basedOn w:val="a"/>
    <w:uiPriority w:val="99"/>
    <w:rsid w:val="00FC04C9"/>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FC04C9"/>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FC04C9"/>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2">
    <w:name w:val="Îñíîâíîé òåêñò (43)"/>
    <w:basedOn w:val="a"/>
    <w:uiPriority w:val="99"/>
    <w:rsid w:val="00FC04C9"/>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FC04C9"/>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c">
    <w:name w:val="Ñíîñêà"/>
    <w:basedOn w:val="a"/>
    <w:uiPriority w:val="99"/>
    <w:rsid w:val="00FC04C9"/>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d">
    <w:name w:val="Ïîäïèñü ê êàðòèíêå"/>
    <w:basedOn w:val="a"/>
    <w:uiPriority w:val="99"/>
    <w:rsid w:val="00FC04C9"/>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FC04C9"/>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FC04C9"/>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FC04C9"/>
    <w:rPr>
      <w:rFonts w:ascii="Century Gothic" w:hAnsi="Century Gothic" w:cs="Century Gothic"/>
      <w:b/>
      <w:bCs/>
      <w:i/>
      <w:iCs/>
      <w:spacing w:val="-10"/>
      <w:sz w:val="14"/>
      <w:szCs w:val="14"/>
    </w:rPr>
  </w:style>
  <w:style w:type="character" w:customStyle="1" w:styleId="affffe">
    <w:name w:val="Îñíîâíîé òåêñò + Êóðñèâ"/>
    <w:uiPriority w:val="99"/>
    <w:rsid w:val="00FC04C9"/>
    <w:rPr>
      <w:rFonts w:ascii="Century Gothic" w:hAnsi="Century Gothic" w:cs="Century Gothic"/>
      <w:i/>
      <w:iCs/>
      <w:spacing w:val="-10"/>
      <w:sz w:val="17"/>
      <w:szCs w:val="17"/>
    </w:rPr>
  </w:style>
  <w:style w:type="character" w:customStyle="1" w:styleId="67">
    <w:name w:val="Îñíîâíîé òåêñò (6) + Íå êóðñèâ"/>
    <w:uiPriority w:val="99"/>
    <w:rsid w:val="00FC04C9"/>
    <w:rPr>
      <w:rFonts w:ascii="Century Gothic" w:hAnsi="Century Gothic" w:cs="Century Gothic"/>
      <w:i/>
      <w:iCs/>
      <w:sz w:val="17"/>
      <w:szCs w:val="17"/>
    </w:rPr>
  </w:style>
  <w:style w:type="character" w:customStyle="1" w:styleId="620">
    <w:name w:val="Îñíîâíîé òåêñò (6) + Íå êóðñèâ2"/>
    <w:uiPriority w:val="99"/>
    <w:rsid w:val="00FC04C9"/>
    <w:rPr>
      <w:rFonts w:ascii="Century Gothic" w:hAnsi="Century Gothic" w:cs="Century Gothic"/>
      <w:i/>
      <w:iCs/>
      <w:sz w:val="17"/>
      <w:szCs w:val="17"/>
    </w:rPr>
  </w:style>
  <w:style w:type="character" w:customStyle="1" w:styleId="5c">
    <w:name w:val="Îñíîâíîé òåêñò + Êóðñèâ5"/>
    <w:uiPriority w:val="99"/>
    <w:rsid w:val="00FC04C9"/>
    <w:rPr>
      <w:rFonts w:ascii="Century Gothic" w:hAnsi="Century Gothic" w:cs="Century Gothic"/>
      <w:i/>
      <w:iCs/>
      <w:spacing w:val="-10"/>
      <w:sz w:val="17"/>
      <w:szCs w:val="17"/>
    </w:rPr>
  </w:style>
  <w:style w:type="character" w:customStyle="1" w:styleId="4d">
    <w:name w:val="Îñíîâíîé òåêñò + Êóðñèâ4"/>
    <w:uiPriority w:val="99"/>
    <w:rsid w:val="00FC04C9"/>
    <w:rPr>
      <w:rFonts w:ascii="Century Gothic" w:hAnsi="Century Gothic" w:cs="Century Gothic"/>
      <w:i/>
      <w:iCs/>
      <w:spacing w:val="-10"/>
      <w:sz w:val="17"/>
      <w:szCs w:val="17"/>
    </w:rPr>
  </w:style>
  <w:style w:type="paragraph" w:customStyle="1" w:styleId="68">
    <w:name w:val="Îñíîâíîé òåêñò (6)"/>
    <w:basedOn w:val="a"/>
    <w:uiPriority w:val="99"/>
    <w:rsid w:val="00FC04C9"/>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FC04C9"/>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FC04C9"/>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FC04C9"/>
    <w:rPr>
      <w:rFonts w:ascii="Microsoft Sans Serif" w:hAnsi="Microsoft Sans Serif" w:cs="Microsoft Sans Serif"/>
      <w:i/>
      <w:iCs/>
      <w:sz w:val="23"/>
      <w:szCs w:val="23"/>
    </w:rPr>
  </w:style>
  <w:style w:type="character" w:customStyle="1" w:styleId="640">
    <w:name w:val="Îñíîâíîé òåêñò (6)4"/>
    <w:uiPriority w:val="99"/>
    <w:rsid w:val="00FC04C9"/>
    <w:rPr>
      <w:rFonts w:ascii="Microsoft Sans Serif" w:hAnsi="Microsoft Sans Serif" w:cs="Microsoft Sans Serif"/>
      <w:i/>
      <w:iCs/>
      <w:sz w:val="23"/>
      <w:szCs w:val="23"/>
      <w:lang w:val="en-US"/>
    </w:rPr>
  </w:style>
  <w:style w:type="character" w:customStyle="1" w:styleId="630">
    <w:name w:val="Îñíîâíîé òåêñò (6)3"/>
    <w:uiPriority w:val="99"/>
    <w:rsid w:val="00FC04C9"/>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FC04C9"/>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FC04C9"/>
    <w:rPr>
      <w:i/>
      <w:iCs/>
      <w:spacing w:val="0"/>
      <w:sz w:val="16"/>
      <w:szCs w:val="16"/>
    </w:rPr>
  </w:style>
  <w:style w:type="character" w:customStyle="1" w:styleId="40pt9">
    <w:name w:val="Îñíîâíîé òåêñò + Êóðñèâ4.Èíòåðâàë 0 pt9"/>
    <w:uiPriority w:val="99"/>
    <w:rsid w:val="00FC04C9"/>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FC04C9"/>
    <w:rPr>
      <w:rFonts w:ascii="Bookman Old Style" w:hAnsi="Bookman Old Style" w:cs="Bookman Old Style"/>
      <w:i/>
      <w:iCs/>
      <w:noProof/>
      <w:spacing w:val="0"/>
      <w:sz w:val="20"/>
      <w:szCs w:val="20"/>
    </w:rPr>
  </w:style>
  <w:style w:type="character" w:customStyle="1" w:styleId="84">
    <w:name w:val="Îñíîâíîé òåêñò (8)4"/>
    <w:uiPriority w:val="99"/>
    <w:rsid w:val="00FC04C9"/>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FC04C9"/>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FC04C9"/>
    <w:rPr>
      <w:i/>
      <w:iCs/>
      <w:spacing w:val="0"/>
      <w:sz w:val="16"/>
      <w:szCs w:val="16"/>
    </w:rPr>
  </w:style>
  <w:style w:type="character" w:customStyle="1" w:styleId="810pt5">
    <w:name w:val="Îñíîâíîé òåêñò (8) + Íå êóðñèâ1.Èíòåðâàë 0 pt5"/>
    <w:uiPriority w:val="99"/>
    <w:rsid w:val="00FC04C9"/>
    <w:rPr>
      <w:i/>
      <w:iCs/>
      <w:spacing w:val="0"/>
      <w:sz w:val="16"/>
      <w:szCs w:val="16"/>
    </w:rPr>
  </w:style>
  <w:style w:type="character" w:customStyle="1" w:styleId="20pt4">
    <w:name w:val="Îñíîâíîé òåêñò + Êóðñèâ2.Èíòåðâàë 0 pt4"/>
    <w:uiPriority w:val="99"/>
    <w:rsid w:val="00FC04C9"/>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FC04C9"/>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FC04C9"/>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FC04C9"/>
    <w:rPr>
      <w:rFonts w:ascii="Arial" w:hAnsi="Arial" w:cs="Arial"/>
      <w:i/>
      <w:iCs/>
      <w:spacing w:val="-10"/>
      <w:sz w:val="17"/>
      <w:szCs w:val="17"/>
    </w:rPr>
  </w:style>
  <w:style w:type="character" w:customStyle="1" w:styleId="11100">
    <w:name w:val="Îñíîâíîé òåêñò (11) + Íå êóðñèâ10"/>
    <w:uiPriority w:val="99"/>
    <w:rsid w:val="00FC04C9"/>
    <w:rPr>
      <w:rFonts w:ascii="Arial" w:hAnsi="Arial" w:cs="Arial"/>
      <w:i/>
      <w:iCs/>
      <w:spacing w:val="-10"/>
      <w:sz w:val="17"/>
      <w:szCs w:val="17"/>
    </w:rPr>
  </w:style>
  <w:style w:type="character" w:customStyle="1" w:styleId="119">
    <w:name w:val="Îñíîâíîé òåêñò + Êóðñèâ11"/>
    <w:uiPriority w:val="99"/>
    <w:rsid w:val="00FC04C9"/>
    <w:rPr>
      <w:rFonts w:ascii="Arial" w:hAnsi="Arial" w:cs="Arial"/>
      <w:i/>
      <w:iCs/>
      <w:spacing w:val="-10"/>
      <w:sz w:val="17"/>
      <w:szCs w:val="17"/>
    </w:rPr>
  </w:style>
  <w:style w:type="character" w:customStyle="1" w:styleId="4835pt2911">
    <w:name w:val="Îñíîâíîé òåêñò (4) + 83.5 pt29.Íå ïîëóæèðíûé11"/>
    <w:uiPriority w:val="99"/>
    <w:rsid w:val="00FC04C9"/>
    <w:rPr>
      <w:rFonts w:ascii="Arial" w:hAnsi="Arial" w:cs="Arial"/>
      <w:b/>
      <w:bCs/>
      <w:i/>
      <w:iCs/>
      <w:spacing w:val="-10"/>
      <w:sz w:val="17"/>
      <w:szCs w:val="17"/>
    </w:rPr>
  </w:style>
  <w:style w:type="character" w:customStyle="1" w:styleId="106">
    <w:name w:val="Îñíîâíîé òåêñò + Êóðñèâ10"/>
    <w:uiPriority w:val="99"/>
    <w:rsid w:val="00FC04C9"/>
    <w:rPr>
      <w:rFonts w:ascii="Arial" w:hAnsi="Arial" w:cs="Arial"/>
      <w:i/>
      <w:iCs/>
      <w:spacing w:val="-10"/>
      <w:sz w:val="17"/>
      <w:szCs w:val="17"/>
    </w:rPr>
  </w:style>
  <w:style w:type="character" w:customStyle="1" w:styleId="78pt7">
    <w:name w:val="Îñíîâíîé òåêñò (7) + 8 pt.Íå êóðñèâ7"/>
    <w:uiPriority w:val="99"/>
    <w:rsid w:val="00FC04C9"/>
    <w:rPr>
      <w:rFonts w:ascii="Arial" w:hAnsi="Arial" w:cs="Arial"/>
      <w:i/>
      <w:iCs/>
      <w:spacing w:val="-10"/>
      <w:sz w:val="16"/>
      <w:szCs w:val="16"/>
    </w:rPr>
  </w:style>
  <w:style w:type="character" w:customStyle="1" w:styleId="94">
    <w:name w:val="Îñíîâíîé òåêñò + Êóðñèâ9"/>
    <w:uiPriority w:val="99"/>
    <w:rsid w:val="00FC04C9"/>
    <w:rPr>
      <w:rFonts w:ascii="Arial" w:hAnsi="Arial" w:cs="Arial"/>
      <w:i/>
      <w:iCs/>
      <w:spacing w:val="-10"/>
      <w:sz w:val="17"/>
      <w:szCs w:val="17"/>
    </w:rPr>
  </w:style>
  <w:style w:type="character" w:customStyle="1" w:styleId="1161">
    <w:name w:val="Îñíîâíîé òåêñò (11) + Íå êóðñèâ6"/>
    <w:uiPriority w:val="99"/>
    <w:rsid w:val="00FC04C9"/>
    <w:rPr>
      <w:rFonts w:ascii="Arial" w:hAnsi="Arial" w:cs="Arial"/>
      <w:i/>
      <w:iCs/>
      <w:spacing w:val="-10"/>
      <w:sz w:val="17"/>
      <w:szCs w:val="17"/>
    </w:rPr>
  </w:style>
  <w:style w:type="character" w:customStyle="1" w:styleId="85">
    <w:name w:val="Îñíîâíîé òåêñò + Êóðñèâ8"/>
    <w:uiPriority w:val="99"/>
    <w:rsid w:val="00FC04C9"/>
    <w:rPr>
      <w:rFonts w:ascii="Arial" w:hAnsi="Arial" w:cs="Arial"/>
      <w:i/>
      <w:iCs/>
      <w:spacing w:val="-10"/>
      <w:sz w:val="17"/>
      <w:szCs w:val="17"/>
    </w:rPr>
  </w:style>
  <w:style w:type="character" w:customStyle="1" w:styleId="7d">
    <w:name w:val="Îñíîâíîé òåêñò + Êóðñèâ7"/>
    <w:uiPriority w:val="99"/>
    <w:rsid w:val="00FC04C9"/>
    <w:rPr>
      <w:rFonts w:ascii="Arial" w:hAnsi="Arial" w:cs="Arial"/>
      <w:i/>
      <w:iCs/>
      <w:spacing w:val="-10"/>
      <w:sz w:val="17"/>
      <w:szCs w:val="17"/>
    </w:rPr>
  </w:style>
  <w:style w:type="paragraph" w:customStyle="1" w:styleId="5d">
    <w:name w:val="Ïîäïèñü ê êàðòèíêå (5)"/>
    <w:basedOn w:val="a"/>
    <w:uiPriority w:val="99"/>
    <w:rsid w:val="00FC04C9"/>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FC04C9"/>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6">
    <w:name w:val="Ïîäïèñü ê êàðòèíêå (3)"/>
    <w:basedOn w:val="a"/>
    <w:uiPriority w:val="99"/>
    <w:rsid w:val="00FC04C9"/>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FC04C9"/>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FC04C9"/>
    <w:rPr>
      <w:rFonts w:ascii="Microsoft Sans Serif" w:hAnsi="Microsoft Sans Serif" w:cs="Microsoft Sans Serif"/>
      <w:i/>
      <w:iCs/>
      <w:spacing w:val="-10"/>
      <w:sz w:val="16"/>
      <w:szCs w:val="16"/>
    </w:rPr>
  </w:style>
  <w:style w:type="character" w:customStyle="1" w:styleId="124">
    <w:name w:val="Îñíîâíîé òåêñò (12)_"/>
    <w:uiPriority w:val="99"/>
    <w:rsid w:val="00FC04C9"/>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FC04C9"/>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FC04C9"/>
    <w:rPr>
      <w:rFonts w:ascii="Microsoft Sans Serif" w:hAnsi="Microsoft Sans Serif" w:cs="Microsoft Sans Serif"/>
      <w:i/>
      <w:iCs/>
      <w:spacing w:val="0"/>
      <w:sz w:val="16"/>
      <w:szCs w:val="16"/>
    </w:rPr>
  </w:style>
  <w:style w:type="character" w:customStyle="1" w:styleId="126">
    <w:name w:val="Îñíîâíîé òåêñò (12)6"/>
    <w:uiPriority w:val="99"/>
    <w:rsid w:val="00FC04C9"/>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FC04C9"/>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FC04C9"/>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FC04C9"/>
    <w:rPr>
      <w:rFonts w:ascii="Bookman Old Style" w:hAnsi="Bookman Old Style" w:cs="Bookman Old Style"/>
      <w:b/>
      <w:bCs/>
      <w:i/>
      <w:iCs/>
      <w:sz w:val="17"/>
      <w:szCs w:val="17"/>
    </w:rPr>
  </w:style>
  <w:style w:type="character" w:customStyle="1" w:styleId="125">
    <w:name w:val="Îñíîâíîé òåêñò (12)5"/>
    <w:uiPriority w:val="99"/>
    <w:rsid w:val="00FC04C9"/>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FC04C9"/>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FC04C9"/>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FC04C9"/>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FC04C9"/>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FC04C9"/>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FC04C9"/>
    <w:rPr>
      <w:rFonts w:ascii="Microsoft Sans Serif" w:hAnsi="Microsoft Sans Serif" w:cs="Microsoft Sans Serif"/>
      <w:i/>
      <w:iCs/>
      <w:spacing w:val="0"/>
      <w:sz w:val="16"/>
      <w:szCs w:val="16"/>
    </w:rPr>
  </w:style>
  <w:style w:type="character" w:customStyle="1" w:styleId="1230">
    <w:name w:val="Îñíîâíîé òåêñò (12)3"/>
    <w:uiPriority w:val="99"/>
    <w:rsid w:val="00FC04C9"/>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FC04C9"/>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FC04C9"/>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FC04C9"/>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FC04C9"/>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FC04C9"/>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FC04C9"/>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FC04C9"/>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FC04C9"/>
    <w:rPr>
      <w:rFonts w:ascii="Arial" w:hAnsi="Arial" w:cs="Arial"/>
      <w:i/>
      <w:iCs/>
      <w:spacing w:val="-10"/>
      <w:sz w:val="17"/>
      <w:szCs w:val="17"/>
      <w:u w:val="single"/>
    </w:rPr>
  </w:style>
  <w:style w:type="character" w:customStyle="1" w:styleId="1190">
    <w:name w:val="Îñíîâíîé òåêñò (11) + Íå êóðñèâ9"/>
    <w:uiPriority w:val="99"/>
    <w:rsid w:val="00FC04C9"/>
    <w:rPr>
      <w:rFonts w:ascii="Arial" w:hAnsi="Arial" w:cs="Arial"/>
      <w:i/>
      <w:iCs/>
      <w:spacing w:val="-10"/>
      <w:sz w:val="17"/>
      <w:szCs w:val="17"/>
    </w:rPr>
  </w:style>
  <w:style w:type="character" w:customStyle="1" w:styleId="144">
    <w:name w:val="Îñíîâíîé òåêñò + Êóðñèâ14"/>
    <w:uiPriority w:val="99"/>
    <w:rsid w:val="00FC04C9"/>
    <w:rPr>
      <w:rFonts w:ascii="Arial" w:hAnsi="Arial" w:cs="Arial"/>
      <w:i/>
      <w:iCs/>
      <w:spacing w:val="-10"/>
      <w:sz w:val="17"/>
      <w:szCs w:val="17"/>
    </w:rPr>
  </w:style>
  <w:style w:type="character" w:customStyle="1" w:styleId="1180">
    <w:name w:val="Îñíîâíîé òåêñò (11) + Íå êóðñèâ8"/>
    <w:uiPriority w:val="99"/>
    <w:rsid w:val="00FC04C9"/>
    <w:rPr>
      <w:rFonts w:ascii="Arial" w:hAnsi="Arial" w:cs="Arial"/>
      <w:i/>
      <w:iCs/>
      <w:spacing w:val="-10"/>
      <w:sz w:val="17"/>
      <w:szCs w:val="17"/>
    </w:rPr>
  </w:style>
  <w:style w:type="character" w:customStyle="1" w:styleId="133">
    <w:name w:val="Îñíîâíîé òåêñò + Êóðñèâ13"/>
    <w:uiPriority w:val="99"/>
    <w:rsid w:val="00FC04C9"/>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FC04C9"/>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FC04C9"/>
    <w:rPr>
      <w:rFonts w:ascii="SimHei" w:eastAsia="SimHei" w:hAnsi="Microsoft Sans Serif" w:cs="SimHei"/>
      <w:i/>
      <w:iCs/>
      <w:spacing w:val="0"/>
      <w:sz w:val="15"/>
      <w:szCs w:val="15"/>
    </w:rPr>
  </w:style>
  <w:style w:type="character" w:customStyle="1" w:styleId="127">
    <w:name w:val="Îñíîâíîé òåêñò + Êóðñèâ12"/>
    <w:uiPriority w:val="99"/>
    <w:rsid w:val="00FC04C9"/>
    <w:rPr>
      <w:rFonts w:ascii="Arial" w:hAnsi="Arial" w:cs="Arial"/>
      <w:i/>
      <w:iCs/>
      <w:spacing w:val="-10"/>
      <w:sz w:val="17"/>
      <w:szCs w:val="17"/>
    </w:rPr>
  </w:style>
  <w:style w:type="character" w:customStyle="1" w:styleId="1171">
    <w:name w:val="Îñíîâíîé òåêñò (11) + Íå êóðñèâ7"/>
    <w:uiPriority w:val="99"/>
    <w:rsid w:val="00FC04C9"/>
    <w:rPr>
      <w:rFonts w:ascii="Arial" w:hAnsi="Arial" w:cs="Arial"/>
      <w:i/>
      <w:iCs/>
      <w:spacing w:val="-10"/>
      <w:sz w:val="17"/>
      <w:szCs w:val="17"/>
    </w:rPr>
  </w:style>
  <w:style w:type="paragraph" w:customStyle="1" w:styleId="11a">
    <w:name w:val="Çàãîëîâîê ¹11"/>
    <w:basedOn w:val="a"/>
    <w:uiPriority w:val="99"/>
    <w:rsid w:val="00FC04C9"/>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FC04C9"/>
    <w:rPr>
      <w:rFonts w:ascii="Arial" w:hAnsi="Arial" w:cs="Arial"/>
      <w:b/>
      <w:bCs/>
      <w:sz w:val="13"/>
      <w:szCs w:val="13"/>
    </w:rPr>
  </w:style>
  <w:style w:type="character" w:customStyle="1" w:styleId="1010">
    <w:name w:val="Îñíîâíîé òåêñò (10) + Íå êóðñèâ1"/>
    <w:uiPriority w:val="99"/>
    <w:rsid w:val="00FC04C9"/>
    <w:rPr>
      <w:rFonts w:ascii="Arial" w:hAnsi="Arial" w:cs="Arial"/>
      <w:i/>
      <w:iCs/>
      <w:sz w:val="15"/>
      <w:szCs w:val="15"/>
    </w:rPr>
  </w:style>
  <w:style w:type="paragraph" w:customStyle="1" w:styleId="107">
    <w:name w:val="Îñíîâíîé òåêñò (10)"/>
    <w:basedOn w:val="a"/>
    <w:uiPriority w:val="99"/>
    <w:rsid w:val="00FC04C9"/>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7">
    <w:name w:val="Îñíîâíîé òåêñò + Ïîëóæèðíûé3"/>
    <w:uiPriority w:val="99"/>
    <w:rsid w:val="00FC04C9"/>
    <w:rPr>
      <w:rFonts w:ascii="Arial" w:hAnsi="Arial" w:cs="Arial"/>
      <w:b/>
      <w:bCs/>
      <w:sz w:val="16"/>
      <w:szCs w:val="16"/>
    </w:rPr>
  </w:style>
  <w:style w:type="character" w:customStyle="1" w:styleId="2f6">
    <w:name w:val="Îñíîâíîé òåêñò + Ïîëóæèðíûé2"/>
    <w:uiPriority w:val="99"/>
    <w:rsid w:val="00FC04C9"/>
    <w:rPr>
      <w:rFonts w:ascii="Arial" w:hAnsi="Arial" w:cs="Arial"/>
      <w:b/>
      <w:bCs/>
      <w:sz w:val="16"/>
      <w:szCs w:val="16"/>
    </w:rPr>
  </w:style>
  <w:style w:type="character" w:customStyle="1" w:styleId="481">
    <w:name w:val="Îñíîâíîé òåêñò (4) + Íå êóðñèâ8"/>
    <w:uiPriority w:val="99"/>
    <w:rsid w:val="00FC04C9"/>
    <w:rPr>
      <w:rFonts w:ascii="Arial" w:hAnsi="Arial" w:cs="Arial"/>
      <w:i/>
      <w:iCs/>
      <w:sz w:val="16"/>
      <w:szCs w:val="16"/>
    </w:rPr>
  </w:style>
  <w:style w:type="character" w:customStyle="1" w:styleId="69">
    <w:name w:val="Îñíîâíîé òåêñò + Êóðñèâ6"/>
    <w:uiPriority w:val="99"/>
    <w:rsid w:val="00FC04C9"/>
    <w:rPr>
      <w:rFonts w:ascii="Arial" w:hAnsi="Arial" w:cs="Arial"/>
      <w:i/>
      <w:iCs/>
      <w:spacing w:val="-10"/>
      <w:sz w:val="16"/>
      <w:szCs w:val="16"/>
    </w:rPr>
  </w:style>
  <w:style w:type="character" w:customStyle="1" w:styleId="471">
    <w:name w:val="Îñíîâíîé òåêñò (4) + Íå êóðñèâ7"/>
    <w:uiPriority w:val="99"/>
    <w:rsid w:val="00FC04C9"/>
    <w:rPr>
      <w:rFonts w:ascii="Arial" w:hAnsi="Arial" w:cs="Arial"/>
      <w:i/>
      <w:iCs/>
      <w:sz w:val="16"/>
      <w:szCs w:val="16"/>
    </w:rPr>
  </w:style>
  <w:style w:type="character" w:customStyle="1" w:styleId="465pt7">
    <w:name w:val="Îñíîâíîé òåêñò (4) + 6.5 pt7"/>
    <w:uiPriority w:val="99"/>
    <w:rsid w:val="00FC04C9"/>
    <w:rPr>
      <w:rFonts w:ascii="Arial" w:hAnsi="Arial" w:cs="Arial"/>
      <w:i/>
      <w:iCs/>
      <w:noProof/>
      <w:sz w:val="13"/>
      <w:szCs w:val="13"/>
    </w:rPr>
  </w:style>
  <w:style w:type="character" w:customStyle="1" w:styleId="27Arial8pt12">
    <w:name w:val="Îñíîâíîé òåêñò (27) + Arial.8 pt1.Íå êóðñèâ2"/>
    <w:uiPriority w:val="99"/>
    <w:rsid w:val="00FC04C9"/>
    <w:rPr>
      <w:rFonts w:ascii="Arial" w:hAnsi="Arial" w:cs="Arial"/>
      <w:i/>
      <w:iCs/>
      <w:sz w:val="16"/>
      <w:szCs w:val="16"/>
    </w:rPr>
  </w:style>
  <w:style w:type="character" w:customStyle="1" w:styleId="277">
    <w:name w:val="Îñíîâíîé òåêñò (27) + Ïîëóæèðíûé"/>
    <w:uiPriority w:val="99"/>
    <w:rsid w:val="00FC04C9"/>
    <w:rPr>
      <w:rFonts w:ascii="Bookman Old Style" w:hAnsi="Bookman Old Style" w:cs="Bookman Old Style"/>
      <w:b/>
      <w:bCs/>
      <w:i/>
      <w:iCs/>
      <w:sz w:val="17"/>
      <w:szCs w:val="17"/>
    </w:rPr>
  </w:style>
  <w:style w:type="paragraph" w:customStyle="1" w:styleId="4e">
    <w:name w:val="Îñíîâíîé òåêñò (4)"/>
    <w:basedOn w:val="a"/>
    <w:uiPriority w:val="99"/>
    <w:rsid w:val="00FC04C9"/>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FC04C9"/>
    <w:rPr>
      <w:rFonts w:ascii="Times New Roman" w:hAnsi="Times New Roman" w:cs="Times New Roman"/>
      <w:b/>
      <w:bCs/>
      <w:noProof/>
      <w:sz w:val="80"/>
      <w:szCs w:val="80"/>
    </w:rPr>
  </w:style>
  <w:style w:type="character" w:customStyle="1" w:styleId="322">
    <w:name w:val="Çàãîëîâîê ¹32"/>
    <w:uiPriority w:val="99"/>
    <w:rsid w:val="00FC04C9"/>
    <w:rPr>
      <w:b/>
      <w:bCs/>
      <w:sz w:val="36"/>
      <w:szCs w:val="36"/>
    </w:rPr>
  </w:style>
  <w:style w:type="character" w:customStyle="1" w:styleId="TimesNewRoman140pt11">
    <w:name w:val="Îñíîâíîé òåêñò + Times New Roman1.40 pt1.Ïîëóæèðíûé1"/>
    <w:uiPriority w:val="99"/>
    <w:rsid w:val="00FC04C9"/>
    <w:rPr>
      <w:rFonts w:ascii="Times New Roman" w:hAnsi="Times New Roman" w:cs="Times New Roman"/>
      <w:b/>
      <w:bCs/>
      <w:noProof/>
      <w:sz w:val="80"/>
      <w:szCs w:val="80"/>
    </w:rPr>
  </w:style>
  <w:style w:type="character" w:customStyle="1" w:styleId="422">
    <w:name w:val="Çàãîëîâîê ¹42"/>
    <w:uiPriority w:val="99"/>
    <w:rsid w:val="00FC04C9"/>
    <w:rPr>
      <w:b/>
      <w:bCs/>
      <w:sz w:val="22"/>
      <w:szCs w:val="22"/>
      <w:u w:val="single"/>
    </w:rPr>
  </w:style>
  <w:style w:type="paragraph" w:customStyle="1" w:styleId="318">
    <w:name w:val="Çàãîëîâîê ¹31"/>
    <w:basedOn w:val="a"/>
    <w:uiPriority w:val="99"/>
    <w:rsid w:val="00FC04C9"/>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
    <w:uiPriority w:val="99"/>
    <w:rsid w:val="00FC04C9"/>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
    <w:name w:val="Êîëîíòèòóë"/>
    <w:basedOn w:val="a"/>
    <w:uiPriority w:val="99"/>
    <w:rsid w:val="00FC04C9"/>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FC04C9"/>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FC04C9"/>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FC04C9"/>
    <w:rPr>
      <w:rFonts w:ascii="Times New Roman" w:hAnsi="Times New Roman" w:cs="Times New Roman"/>
      <w:b/>
      <w:bCs/>
      <w:noProof/>
      <w:sz w:val="76"/>
      <w:szCs w:val="76"/>
    </w:rPr>
  </w:style>
  <w:style w:type="character" w:customStyle="1" w:styleId="2120">
    <w:name w:val="Îñíîâíîé òåêñò (21)2"/>
    <w:uiPriority w:val="99"/>
    <w:rsid w:val="00FC04C9"/>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FC04C9"/>
    <w:rPr>
      <w:rFonts w:ascii="MS Reference Sans Serif" w:hAnsi="MS Reference Sans Serif" w:cs="MS Reference Sans Serif"/>
      <w:sz w:val="13"/>
      <w:szCs w:val="13"/>
    </w:rPr>
  </w:style>
  <w:style w:type="character" w:customStyle="1" w:styleId="1113">
    <w:name w:val="Îñíîâíîé òåêñò (11)13"/>
    <w:uiPriority w:val="99"/>
    <w:rsid w:val="00FC04C9"/>
    <w:rPr>
      <w:rFonts w:ascii="Arial" w:hAnsi="Arial" w:cs="Arial"/>
      <w:sz w:val="12"/>
      <w:szCs w:val="12"/>
    </w:rPr>
  </w:style>
  <w:style w:type="character" w:customStyle="1" w:styleId="1112">
    <w:name w:val="Îñíîâíîé òåêñò (11)12"/>
    <w:uiPriority w:val="99"/>
    <w:rsid w:val="00FC04C9"/>
    <w:rPr>
      <w:rFonts w:ascii="Arial" w:hAnsi="Arial" w:cs="Arial"/>
      <w:sz w:val="12"/>
      <w:szCs w:val="12"/>
    </w:rPr>
  </w:style>
  <w:style w:type="character" w:customStyle="1" w:styleId="MSReferenceSansSerif135pt13">
    <w:name w:val="Îñíîâíîé òåêñò + MS Reference Sans Serif1.35 pt1.Ïîëóæèðíûé3"/>
    <w:uiPriority w:val="99"/>
    <w:rsid w:val="00FC04C9"/>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FC04C9"/>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FC04C9"/>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FC04C9"/>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FC04C9"/>
    <w:rPr>
      <w:color w:val="000000"/>
      <w:sz w:val="12"/>
      <w:szCs w:val="12"/>
    </w:rPr>
  </w:style>
  <w:style w:type="paragraph" w:customStyle="1" w:styleId="Pa2">
    <w:name w:val="Pa2"/>
    <w:basedOn w:val="Default"/>
    <w:next w:val="Default"/>
    <w:uiPriority w:val="99"/>
    <w:rsid w:val="00FC04C9"/>
    <w:pPr>
      <w:spacing w:line="241" w:lineRule="atLeast"/>
    </w:pPr>
    <w:rPr>
      <w:color w:val="auto"/>
    </w:rPr>
  </w:style>
  <w:style w:type="paragraph" w:customStyle="1" w:styleId="Pa8">
    <w:name w:val="Pa8"/>
    <w:basedOn w:val="Default"/>
    <w:next w:val="Default"/>
    <w:uiPriority w:val="99"/>
    <w:rsid w:val="00FC04C9"/>
    <w:pPr>
      <w:spacing w:line="201" w:lineRule="atLeast"/>
    </w:pPr>
    <w:rPr>
      <w:color w:val="auto"/>
    </w:rPr>
  </w:style>
  <w:style w:type="character" w:customStyle="1" w:styleId="2f7">
    <w:name w:val="Îñíîâíîé òåêñò (2)"/>
    <w:uiPriority w:val="99"/>
    <w:rsid w:val="00FC04C9"/>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FC04C9"/>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FC04C9"/>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
    <w:uiPriority w:val="99"/>
    <w:rsid w:val="00FC04C9"/>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FC04C9"/>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FC04C9"/>
    <w:rPr>
      <w:rFonts w:ascii="MS Reference Sans Serif" w:hAnsi="MS Reference Sans Serif" w:cs="MS Reference Sans Serif"/>
      <w:spacing w:val="-10"/>
      <w:sz w:val="23"/>
      <w:szCs w:val="23"/>
    </w:rPr>
  </w:style>
  <w:style w:type="paragraph" w:customStyle="1" w:styleId="3f8">
    <w:name w:val="Îñíîâíîé òåêñò (3)"/>
    <w:basedOn w:val="a"/>
    <w:uiPriority w:val="99"/>
    <w:rsid w:val="00FC04C9"/>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FC04C9"/>
    <w:rPr>
      <w:rFonts w:ascii="Arial Narrow" w:hAnsi="Arial Narrow" w:cs="Arial Narrow"/>
      <w:b/>
      <w:bCs/>
      <w:spacing w:val="-20"/>
      <w:sz w:val="27"/>
      <w:szCs w:val="27"/>
    </w:rPr>
  </w:style>
  <w:style w:type="character" w:customStyle="1" w:styleId="0pt0">
    <w:name w:val="Îñíîâíîé òåêñò + Èíòåðâàë 0 pt"/>
    <w:uiPriority w:val="99"/>
    <w:rsid w:val="00FC04C9"/>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FC04C9"/>
    <w:rPr>
      <w:rFonts w:ascii="Tahoma" w:hAnsi="Tahoma" w:cs="Tahoma"/>
      <w:i/>
      <w:iCs/>
      <w:noProof/>
      <w:spacing w:val="30"/>
      <w:sz w:val="24"/>
      <w:szCs w:val="24"/>
    </w:rPr>
  </w:style>
  <w:style w:type="character" w:customStyle="1" w:styleId="2pt">
    <w:name w:val="Îñíîâíîé òåêñò + Èíòåðâàë 2 pt"/>
    <w:uiPriority w:val="99"/>
    <w:rsid w:val="00FC04C9"/>
    <w:rPr>
      <w:rFonts w:ascii="Tahoma" w:hAnsi="Tahoma" w:cs="Tahoma"/>
      <w:i/>
      <w:iCs/>
      <w:spacing w:val="40"/>
      <w:sz w:val="21"/>
      <w:szCs w:val="21"/>
    </w:rPr>
  </w:style>
  <w:style w:type="character" w:customStyle="1" w:styleId="2pt1">
    <w:name w:val="Îñíîâíîé òåêñò + Èíòåðâàë 2 pt1"/>
    <w:uiPriority w:val="99"/>
    <w:rsid w:val="00FC04C9"/>
    <w:rPr>
      <w:rFonts w:ascii="Tahoma" w:hAnsi="Tahoma" w:cs="Tahoma"/>
      <w:i/>
      <w:iCs/>
      <w:spacing w:val="40"/>
      <w:sz w:val="21"/>
      <w:szCs w:val="21"/>
    </w:rPr>
  </w:style>
  <w:style w:type="character" w:customStyle="1" w:styleId="211pt">
    <w:name w:val="Îñíîâíîé òåêñò (2) + 11 pt.Êóðñèâ"/>
    <w:uiPriority w:val="99"/>
    <w:rsid w:val="00FC04C9"/>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FC04C9"/>
    <w:rPr>
      <w:rFonts w:ascii="Batang" w:eastAsia="Batang" w:cs="Batang"/>
      <w:noProof/>
      <w:spacing w:val="-30"/>
      <w:sz w:val="32"/>
      <w:szCs w:val="32"/>
    </w:rPr>
  </w:style>
  <w:style w:type="character" w:customStyle="1" w:styleId="afffff0">
    <w:name w:val="Êîëîíòèòóë_"/>
    <w:uiPriority w:val="99"/>
    <w:rsid w:val="00FC04C9"/>
    <w:rPr>
      <w:noProof/>
    </w:rPr>
  </w:style>
  <w:style w:type="character" w:customStyle="1" w:styleId="1095pt4">
    <w:name w:val="Îñíîâíîé òåêñò (10) + 9.5 pt4.Íå ìàëûå ïðîïèñíûå"/>
    <w:uiPriority w:val="99"/>
    <w:rsid w:val="00FC04C9"/>
    <w:rPr>
      <w:rFonts w:ascii="Microsoft Sans Serif" w:hAnsi="Microsoft Sans Serif" w:cs="Microsoft Sans Serif"/>
      <w:smallCaps/>
      <w:noProof/>
      <w:spacing w:val="0"/>
      <w:sz w:val="19"/>
      <w:szCs w:val="19"/>
    </w:rPr>
  </w:style>
  <w:style w:type="character" w:customStyle="1" w:styleId="108">
    <w:name w:val="Îñíîâíîé òåêñò (10)_"/>
    <w:uiPriority w:val="99"/>
    <w:rsid w:val="00FC04C9"/>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FC04C9"/>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FC04C9"/>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FC04C9"/>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FC04C9"/>
    <w:rPr>
      <w:rFonts w:ascii="Trebuchet MS" w:hAnsi="Trebuchet MS" w:cs="Trebuchet MS"/>
      <w:noProof/>
      <w:sz w:val="31"/>
      <w:szCs w:val="31"/>
    </w:rPr>
  </w:style>
  <w:style w:type="character" w:customStyle="1" w:styleId="22pt">
    <w:name w:val="Îñíîâíîé òåêñò (2) + Èíòåðâàë 2 pt"/>
    <w:uiPriority w:val="99"/>
    <w:rsid w:val="00FC04C9"/>
    <w:rPr>
      <w:rFonts w:ascii="Tahoma" w:hAnsi="Tahoma" w:cs="Tahoma"/>
      <w:i/>
      <w:iCs/>
      <w:noProof/>
      <w:spacing w:val="40"/>
      <w:sz w:val="21"/>
      <w:szCs w:val="21"/>
    </w:rPr>
  </w:style>
  <w:style w:type="character" w:customStyle="1" w:styleId="1pt0">
    <w:name w:val="Îñíîâíîé òåêñò + Èíòåðâàë 1 pt"/>
    <w:uiPriority w:val="99"/>
    <w:rsid w:val="00FC04C9"/>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FC04C9"/>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FC04C9"/>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FC04C9"/>
    <w:rPr>
      <w:rFonts w:ascii="Tahoma" w:hAnsi="Tahoma" w:cs="Tahoma"/>
      <w:i/>
      <w:iCs/>
      <w:spacing w:val="50"/>
      <w:sz w:val="21"/>
      <w:szCs w:val="21"/>
    </w:rPr>
  </w:style>
  <w:style w:type="character" w:customStyle="1" w:styleId="4f">
    <w:name w:val="Îñíîâíîé òåêñò (4)_"/>
    <w:uiPriority w:val="99"/>
    <w:rsid w:val="00FC04C9"/>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FC04C9"/>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FC04C9"/>
    <w:rPr>
      <w:rFonts w:ascii="Tahoma" w:hAnsi="Tahoma" w:cs="Tahoma"/>
      <w:b/>
      <w:bCs/>
      <w:i/>
      <w:iCs/>
      <w:spacing w:val="-10"/>
      <w:sz w:val="12"/>
      <w:szCs w:val="12"/>
      <w:lang w:val="en-US"/>
    </w:rPr>
  </w:style>
  <w:style w:type="character" w:customStyle="1" w:styleId="afffff1">
    <w:name w:val="Îñíîâíîé òåêñò + Ïîëóæèðíûé"/>
    <w:uiPriority w:val="99"/>
    <w:rsid w:val="00FC04C9"/>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FC04C9"/>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FC04C9"/>
    <w:rPr>
      <w:rFonts w:ascii="Tahoma" w:hAnsi="Tahoma" w:cs="Tahoma"/>
      <w:b/>
      <w:bCs/>
      <w:spacing w:val="-10"/>
      <w:sz w:val="11"/>
      <w:szCs w:val="11"/>
    </w:rPr>
  </w:style>
  <w:style w:type="character" w:customStyle="1" w:styleId="1f6">
    <w:name w:val="Îñíîâíîé òåêñò + Êóðñèâ1"/>
    <w:uiPriority w:val="99"/>
    <w:rsid w:val="00FC04C9"/>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FC04C9"/>
    <w:rPr>
      <w:rFonts w:ascii="Arial" w:hAnsi="Arial" w:cs="Arial"/>
      <w:b/>
      <w:bCs/>
      <w:spacing w:val="0"/>
      <w:sz w:val="13"/>
      <w:szCs w:val="13"/>
    </w:rPr>
  </w:style>
  <w:style w:type="character" w:customStyle="1" w:styleId="725pt6">
    <w:name w:val="Îñíîâíîé òåêñò + 72.5 pt6"/>
    <w:uiPriority w:val="99"/>
    <w:rsid w:val="00FC04C9"/>
    <w:rPr>
      <w:rFonts w:ascii="Arial" w:hAnsi="Arial" w:cs="Arial"/>
      <w:spacing w:val="-10"/>
      <w:sz w:val="15"/>
      <w:szCs w:val="15"/>
    </w:rPr>
  </w:style>
  <w:style w:type="character" w:customStyle="1" w:styleId="6pt0pt6">
    <w:name w:val="Îñíîâíîé òåêñò + 6 pt.Èíòåðâàë 0 pt6"/>
    <w:uiPriority w:val="99"/>
    <w:rsid w:val="00FC04C9"/>
    <w:rPr>
      <w:rFonts w:ascii="Arial" w:hAnsi="Arial" w:cs="Arial"/>
      <w:spacing w:val="0"/>
      <w:sz w:val="12"/>
      <w:szCs w:val="12"/>
    </w:rPr>
  </w:style>
  <w:style w:type="paragraph" w:customStyle="1" w:styleId="216">
    <w:name w:val="Ïîäïèñü ê êàðòèíêå (2)1"/>
    <w:basedOn w:val="a"/>
    <w:uiPriority w:val="99"/>
    <w:rsid w:val="00FC04C9"/>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7">
    <w:name w:val="Îñíîâíîé òåêñò + Ìàëûå ïðîïèñíûå1"/>
    <w:uiPriority w:val="99"/>
    <w:rsid w:val="00FC04C9"/>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FC04C9"/>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FC04C9"/>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FC04C9"/>
    <w:rPr>
      <w:rFonts w:ascii="Arial" w:hAnsi="Arial" w:cs="Arial"/>
      <w:spacing w:val="0"/>
      <w:sz w:val="8"/>
      <w:szCs w:val="8"/>
    </w:rPr>
  </w:style>
  <w:style w:type="paragraph" w:customStyle="1" w:styleId="361">
    <w:name w:val="Îñíîâíîé òåêñò (36)"/>
    <w:basedOn w:val="a"/>
    <w:uiPriority w:val="99"/>
    <w:rsid w:val="00FC04C9"/>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
    <w:uiPriority w:val="99"/>
    <w:rsid w:val="00FC04C9"/>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6a">
    <w:name w:val="Основной текст (6)"/>
    <w:basedOn w:val="a"/>
    <w:link w:val="6b"/>
    <w:rsid w:val="00FC04C9"/>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rsid w:val="00FC04C9"/>
    <w:rPr>
      <w:rFonts w:eastAsia="Times New Roman"/>
      <w:sz w:val="24"/>
      <w:shd w:val="clear" w:color="auto" w:fill="FFFFFF"/>
    </w:rPr>
  </w:style>
  <w:style w:type="paragraph" w:customStyle="1" w:styleId="95">
    <w:name w:val="Основной текст9"/>
    <w:basedOn w:val="a"/>
    <w:rsid w:val="00FC04C9"/>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table" w:styleId="afffff2">
    <w:name w:val="Table Grid"/>
    <w:basedOn w:val="a1"/>
    <w:uiPriority w:val="99"/>
    <w:rsid w:val="00FC04C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6">
    <w:name w:val="Основной текст8"/>
    <w:basedOn w:val="a"/>
    <w:rsid w:val="00FC04C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BookmanOldStyle">
    <w:name w:val="Основной текст + Bookman Old Style"/>
    <w:rsid w:val="00FC04C9"/>
    <w:rPr>
      <w:rFonts w:ascii="Bookman Old Style" w:hAnsi="Bookman Old Style"/>
      <w:spacing w:val="-10"/>
      <w:sz w:val="13"/>
    </w:rPr>
  </w:style>
  <w:style w:type="character" w:customStyle="1" w:styleId="11b">
    <w:name w:val="Основной текст + Курсив11"/>
    <w:uiPriority w:val="99"/>
    <w:rsid w:val="00FC04C9"/>
    <w:rPr>
      <w:rFonts w:ascii="Arial Narrow" w:hAnsi="Arial Narrow" w:cs="Arial Narrow"/>
      <w:i/>
      <w:iCs/>
      <w:spacing w:val="0"/>
      <w:sz w:val="17"/>
      <w:szCs w:val="17"/>
    </w:rPr>
  </w:style>
  <w:style w:type="character" w:customStyle="1" w:styleId="3b">
    <w:name w:val="Заголовок №3_"/>
    <w:link w:val="3a"/>
    <w:rsid w:val="00FC04C9"/>
    <w:rPr>
      <w:rFonts w:ascii="Times New Roman" w:hAnsi="Times New Roman"/>
      <w:spacing w:val="40"/>
      <w:sz w:val="52"/>
      <w:szCs w:val="52"/>
      <w:shd w:val="clear" w:color="auto" w:fill="FFFFFF"/>
      <w:lang w:eastAsia="en-US"/>
    </w:rPr>
  </w:style>
  <w:style w:type="character" w:customStyle="1" w:styleId="aff2">
    <w:name w:val="Подпись к таблице_"/>
    <w:link w:val="aff1"/>
    <w:rsid w:val="00FC04C9"/>
    <w:rPr>
      <w:rFonts w:ascii="Arial Narrow" w:hAnsi="Arial Narrow" w:cs="Arial Narrow"/>
      <w:i/>
      <w:iCs/>
      <w:noProof/>
      <w:shd w:val="clear" w:color="auto" w:fill="FFFFFF"/>
      <w:lang w:val="en-US" w:eastAsia="en-US"/>
    </w:rPr>
  </w:style>
  <w:style w:type="paragraph" w:customStyle="1" w:styleId="109">
    <w:name w:val="Основной текст (10)"/>
    <w:basedOn w:val="a"/>
    <w:link w:val="10a"/>
    <w:rsid w:val="00FC04C9"/>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a">
    <w:name w:val="Основной текст (10)_"/>
    <w:link w:val="109"/>
    <w:rsid w:val="00FC04C9"/>
    <w:rPr>
      <w:rFonts w:ascii="Arial" w:eastAsia="Times New Roman" w:hAnsi="Arial"/>
      <w:sz w:val="11"/>
      <w:shd w:val="clear" w:color="auto" w:fill="FFFFFF"/>
    </w:rPr>
  </w:style>
  <w:style w:type="character" w:customStyle="1" w:styleId="183">
    <w:name w:val="Основной текст (18)_"/>
    <w:link w:val="182"/>
    <w:uiPriority w:val="99"/>
    <w:rsid w:val="00FC04C9"/>
    <w:rPr>
      <w:rFonts w:ascii="Arial" w:hAnsi="Arial" w:cs="Arial"/>
      <w:sz w:val="24"/>
      <w:szCs w:val="24"/>
      <w:shd w:val="clear" w:color="auto" w:fill="FFFFFF"/>
      <w:lang w:eastAsia="en-US"/>
    </w:rPr>
  </w:style>
  <w:style w:type="paragraph" w:customStyle="1" w:styleId="207">
    <w:name w:val="Основной текст (20)"/>
    <w:basedOn w:val="a"/>
    <w:rsid w:val="00FC04C9"/>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FC04C9"/>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paragraph" w:customStyle="1" w:styleId="192">
    <w:name w:val="Основной текст (19)"/>
    <w:basedOn w:val="a"/>
    <w:link w:val="193"/>
    <w:uiPriority w:val="99"/>
    <w:rsid w:val="00FC04C9"/>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pt1">
    <w:name w:val="Подпись к таблице + Интервал 1 pt"/>
    <w:rsid w:val="00FC04C9"/>
    <w:rPr>
      <w:rFonts w:ascii="Times New Roman" w:hAnsi="Times New Roman"/>
      <w:noProof w:val="0"/>
      <w:spacing w:val="20"/>
      <w:sz w:val="14"/>
      <w:lang w:val="en-US"/>
    </w:rPr>
  </w:style>
  <w:style w:type="paragraph" w:customStyle="1" w:styleId="217">
    <w:name w:val="Основной текст (21)"/>
    <w:basedOn w:val="a"/>
    <w:link w:val="218"/>
    <w:rsid w:val="00FC04C9"/>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ArialUnicodeMS">
    <w:name w:val="Основной текст + Arial Unicode MS"/>
    <w:rsid w:val="00FC04C9"/>
    <w:rPr>
      <w:rFonts w:ascii="Arial Unicode MS" w:eastAsia="Arial Unicode MS"/>
      <w:b/>
      <w:spacing w:val="0"/>
      <w:sz w:val="16"/>
    </w:rPr>
  </w:style>
  <w:style w:type="character" w:customStyle="1" w:styleId="193">
    <w:name w:val="Основной текст (19)_"/>
    <w:link w:val="192"/>
    <w:uiPriority w:val="99"/>
    <w:rsid w:val="00FC04C9"/>
    <w:rPr>
      <w:rFonts w:ascii="Arial" w:eastAsia="Times New Roman" w:hAnsi="Arial"/>
      <w:sz w:val="33"/>
      <w:shd w:val="clear" w:color="auto" w:fill="FFFFFF"/>
    </w:rPr>
  </w:style>
  <w:style w:type="character" w:customStyle="1" w:styleId="218">
    <w:name w:val="Основной текст (21)_"/>
    <w:link w:val="217"/>
    <w:rsid w:val="00FC04C9"/>
    <w:rPr>
      <w:rFonts w:eastAsia="Times New Roman"/>
      <w:sz w:val="16"/>
      <w:shd w:val="clear" w:color="auto" w:fill="FFFFFF"/>
    </w:rPr>
  </w:style>
  <w:style w:type="character" w:customStyle="1" w:styleId="173">
    <w:name w:val="Основной текст (17)_"/>
    <w:link w:val="172"/>
    <w:uiPriority w:val="99"/>
    <w:rsid w:val="00FC04C9"/>
    <w:rPr>
      <w:rFonts w:ascii="Arial Narrow" w:eastAsia="Times New Roman" w:hAnsi="Arial Narrow"/>
      <w:sz w:val="35"/>
      <w:shd w:val="clear" w:color="auto" w:fill="FFFFFF"/>
    </w:rPr>
  </w:style>
  <w:style w:type="character" w:customStyle="1" w:styleId="aff4">
    <w:name w:val="Сноска_"/>
    <w:link w:val="aff3"/>
    <w:uiPriority w:val="99"/>
    <w:rsid w:val="00FC04C9"/>
    <w:rPr>
      <w:rFonts w:ascii="Lucida Sans Unicode" w:hAnsi="Lucida Sans Unicode" w:cs="Lucida Sans Unicode"/>
      <w:i/>
      <w:iCs/>
      <w:noProof/>
      <w:sz w:val="13"/>
      <w:szCs w:val="13"/>
      <w:shd w:val="clear" w:color="auto" w:fill="FFFFFF"/>
      <w:lang w:val="en-US" w:eastAsia="en-US"/>
    </w:rPr>
  </w:style>
  <w:style w:type="character" w:customStyle="1" w:styleId="ArialNarrow-1pt">
    <w:name w:val="Основной текст + Arial Narrow;Полужирный;Интервал -1 pt"/>
    <w:rsid w:val="00FC04C9"/>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ArialNarrow75pt">
    <w:name w:val="Основной текст + Arial Narrow;7;5 pt"/>
    <w:rsid w:val="00FC04C9"/>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2fa">
    <w:name w:val="Основной текст (2) + Не курсив"/>
    <w:rsid w:val="00FC04C9"/>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rsid w:val="00FC04C9"/>
  </w:style>
  <w:style w:type="character" w:customStyle="1" w:styleId="FranklinGothicMedium95pt-1pt">
    <w:name w:val="Основной текст + Franklin Gothic Medium;9;5 pt;Полужирный;Интервал -1 pt"/>
    <w:rsid w:val="00FC04C9"/>
    <w:rPr>
      <w:rFonts w:ascii="Franklin Gothic Medium" w:eastAsia="Franklin Gothic Medium" w:hAnsi="Franklin Gothic Medium" w:cs="Franklin Gothic Medium"/>
      <w:b/>
      <w:bCs/>
      <w:i w:val="0"/>
      <w:iCs w:val="0"/>
      <w:smallCaps w:val="0"/>
      <w:strike w:val="0"/>
      <w:spacing w:val="-20"/>
      <w:sz w:val="19"/>
      <w:szCs w:val="19"/>
      <w:shd w:val="clear" w:color="auto" w:fill="FFFFFF"/>
    </w:rPr>
  </w:style>
  <w:style w:type="character" w:customStyle="1" w:styleId="46">
    <w:name w:val="Основной текст (4)_"/>
    <w:link w:val="45"/>
    <w:rsid w:val="00FC04C9"/>
    <w:rPr>
      <w:rFonts w:ascii="Gungsuh" w:eastAsia="Gungsuh" w:hAnsi="Times New Roman" w:cs="Gungsuh"/>
      <w:sz w:val="13"/>
      <w:szCs w:val="13"/>
      <w:shd w:val="clear" w:color="auto" w:fill="FFFFFF"/>
      <w:lang w:eastAsia="en-US"/>
    </w:rPr>
  </w:style>
  <w:style w:type="character" w:customStyle="1" w:styleId="35">
    <w:name w:val="Основной текст (3)_"/>
    <w:link w:val="34"/>
    <w:rsid w:val="00FC04C9"/>
    <w:rPr>
      <w:rFonts w:ascii="Gungsuh" w:eastAsia="Gungsuh" w:hAnsi="Times New Roman" w:cs="Gungsuh"/>
      <w:spacing w:val="20"/>
      <w:sz w:val="35"/>
      <w:szCs w:val="35"/>
      <w:shd w:val="clear" w:color="auto" w:fill="FFFFFF"/>
      <w:lang w:eastAsia="en-US"/>
    </w:rPr>
  </w:style>
  <w:style w:type="character" w:customStyle="1" w:styleId="2fb">
    <w:name w:val="Заголовок №2_"/>
    <w:rsid w:val="00FC04C9"/>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1f8">
    <w:name w:val="Основной текст + Малые прописные1"/>
    <w:uiPriority w:val="99"/>
    <w:rsid w:val="00FC04C9"/>
    <w:rPr>
      <w:rFonts w:ascii="Arial Narrow" w:hAnsi="Arial Narrow" w:cs="Arial Narrow"/>
      <w:smallCaps/>
      <w:spacing w:val="0"/>
      <w:w w:val="100"/>
      <w:sz w:val="17"/>
      <w:szCs w:val="17"/>
      <w:shd w:val="clear" w:color="auto" w:fill="FFFFFF"/>
    </w:rPr>
  </w:style>
  <w:style w:type="paragraph" w:customStyle="1" w:styleId="134">
    <w:name w:val="Основной текст (13)"/>
    <w:basedOn w:val="a"/>
    <w:link w:val="135"/>
    <w:rsid w:val="00FC04C9"/>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character" w:customStyle="1" w:styleId="135">
    <w:name w:val="Основной текст (13)_"/>
    <w:link w:val="134"/>
    <w:rsid w:val="00FC04C9"/>
    <w:rPr>
      <w:rFonts w:ascii="Arial" w:eastAsia="Times New Roman" w:hAnsi="Arial"/>
      <w:sz w:val="36"/>
      <w:shd w:val="clear" w:color="auto" w:fill="FFFFFF"/>
    </w:rPr>
  </w:style>
  <w:style w:type="character" w:customStyle="1" w:styleId="73">
    <w:name w:val="Основной текст (7)_"/>
    <w:link w:val="72"/>
    <w:rsid w:val="00FC04C9"/>
    <w:rPr>
      <w:rFonts w:ascii="Arial Unicode MS" w:eastAsia="Arial Unicode MS" w:hAnsi="Times New Roman" w:cs="Arial Unicode MS"/>
      <w:spacing w:val="20"/>
      <w:sz w:val="25"/>
      <w:szCs w:val="25"/>
      <w:shd w:val="clear" w:color="auto" w:fill="FFFFFF"/>
      <w:lang w:eastAsia="en-US"/>
    </w:rPr>
  </w:style>
  <w:style w:type="character" w:customStyle="1" w:styleId="7e">
    <w:name w:val="Основной текст (7) + Не курсив"/>
    <w:rsid w:val="00FC04C9"/>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book">
    <w:name w:val="book"/>
    <w:basedOn w:val="a"/>
    <w:rsid w:val="00953CBB"/>
    <w:pPr>
      <w:spacing w:after="0" w:line="240" w:lineRule="auto"/>
      <w:ind w:firstLine="300"/>
    </w:pPr>
    <w:rPr>
      <w:rFonts w:ascii="Times New Roman" w:eastAsia="Times New Roman" w:hAnsi="Times New Roman"/>
      <w:sz w:val="24"/>
      <w:szCs w:val="24"/>
      <w:lang w:eastAsia="ru-RU"/>
    </w:rPr>
  </w:style>
  <w:style w:type="character" w:customStyle="1" w:styleId="2a">
    <w:name w:val="Основной текст (2)_"/>
    <w:link w:val="28"/>
    <w:locked/>
    <w:rsid w:val="004C3A11"/>
    <w:rPr>
      <w:rFonts w:ascii="Segoe UI" w:hAnsi="Segoe UI" w:cs="Segoe UI"/>
      <w:sz w:val="13"/>
      <w:szCs w:val="13"/>
      <w:shd w:val="clear" w:color="auto" w:fill="FFFFFF"/>
      <w:lang w:eastAsia="en-US"/>
    </w:rPr>
  </w:style>
  <w:style w:type="paragraph" w:customStyle="1" w:styleId="rtejustify">
    <w:name w:val="rtejustify"/>
    <w:basedOn w:val="a"/>
    <w:rsid w:val="00CA7A1C"/>
    <w:pPr>
      <w:spacing w:before="150" w:after="150" w:line="240" w:lineRule="auto"/>
      <w:jc w:val="both"/>
    </w:pPr>
    <w:rPr>
      <w:rFonts w:ascii="Times New Roman" w:eastAsia="Times New Roman" w:hAnsi="Times New Roman"/>
      <w:sz w:val="24"/>
      <w:szCs w:val="24"/>
      <w:lang w:eastAsia="ru-RU"/>
    </w:rPr>
  </w:style>
  <w:style w:type="character" w:customStyle="1" w:styleId="7TimesNewRoman1">
    <w:name w:val="Основной текст (7) + Times New Roman1"/>
    <w:aliases w:val="8 pt1,Не полужирный4,Интервал -1 pt1,Заголовок №5 + Century Gothic"/>
    <w:uiPriority w:val="99"/>
    <w:rsid w:val="00D03F5E"/>
    <w:rPr>
      <w:rFonts w:ascii="Times New Roman" w:eastAsia="Times New Roman" w:hAnsi="Times New Roman" w:cs="Times New Roman"/>
      <w:b w:val="0"/>
      <w:bCs w:val="0"/>
      <w:i w:val="0"/>
      <w:iCs w:val="0"/>
      <w:smallCaps w:val="0"/>
      <w:strike/>
      <w:spacing w:val="-20"/>
      <w:sz w:val="16"/>
      <w:szCs w:val="16"/>
    </w:rPr>
  </w:style>
  <w:style w:type="character" w:customStyle="1" w:styleId="BodytextBoldItalic">
    <w:name w:val="Body text + Bold;Italic"/>
    <w:rsid w:val="00715334"/>
    <w:rPr>
      <w:rFonts w:ascii="Times New Roman" w:eastAsia="Times New Roman" w:hAnsi="Times New Roman" w:cs="Times New Roman"/>
      <w:b/>
      <w:bCs/>
      <w:i/>
      <w:iCs/>
      <w:smallCaps w:val="0"/>
      <w:strike w:val="0"/>
      <w:spacing w:val="0"/>
      <w:sz w:val="18"/>
      <w:szCs w:val="18"/>
    </w:rPr>
  </w:style>
  <w:style w:type="character" w:customStyle="1" w:styleId="4f0">
    <w:name w:val="Основной текст (4) + Не курсив"/>
    <w:rsid w:val="00816302"/>
    <w:rPr>
      <w:rFonts w:ascii="Arial Narrow" w:eastAsia="Arial Narrow" w:hAnsi="Arial Narrow" w:cs="Arial Narrow"/>
      <w:i/>
      <w:iCs/>
      <w:sz w:val="18"/>
      <w:szCs w:val="18"/>
      <w:shd w:val="clear" w:color="auto" w:fill="FFFFFF"/>
      <w:lang w:eastAsia="en-US"/>
    </w:rPr>
  </w:style>
  <w:style w:type="character" w:customStyle="1" w:styleId="0pt1">
    <w:name w:val="Основной текст + Полужирный;Интервал 0 pt"/>
    <w:rsid w:val="00816302"/>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ucoz-forum-post">
    <w:name w:val="ucoz-forum-post"/>
    <w:rsid w:val="00C504D8"/>
  </w:style>
  <w:style w:type="paragraph" w:customStyle="1" w:styleId="rteindent11">
    <w:name w:val="rteindent11"/>
    <w:basedOn w:val="a"/>
    <w:rsid w:val="009376F4"/>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71">
    <w:name w:val="Подпись к картинке (17)_"/>
    <w:link w:val="170"/>
    <w:rsid w:val="009376F4"/>
    <w:rPr>
      <w:rFonts w:ascii="Franklin Gothic Book" w:hAnsi="Franklin Gothic Book" w:cs="Franklin Gothic Book"/>
      <w:sz w:val="13"/>
      <w:szCs w:val="13"/>
      <w:shd w:val="clear" w:color="auto" w:fill="FFFFFF"/>
      <w:lang w:eastAsia="en-US"/>
    </w:rPr>
  </w:style>
  <w:style w:type="character" w:customStyle="1" w:styleId="95pt0pt">
    <w:name w:val="Основной текст + 9;5 pt;Полужирный;Интервал 0 pt"/>
    <w:rsid w:val="009376F4"/>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6c">
    <w:name w:val="Основной текст6"/>
    <w:rsid w:val="009376F4"/>
    <w:rPr>
      <w:rFonts w:ascii="Arial" w:eastAsia="Arial" w:hAnsi="Arial" w:cs="Arial"/>
      <w:b w:val="0"/>
      <w:bCs w:val="0"/>
      <w:i w:val="0"/>
      <w:iCs w:val="0"/>
      <w:smallCaps w:val="0"/>
      <w:strike w:val="0"/>
      <w:spacing w:val="0"/>
      <w:sz w:val="18"/>
      <w:szCs w:val="18"/>
      <w:shd w:val="clear" w:color="auto" w:fill="FFFFFF"/>
    </w:rPr>
  </w:style>
  <w:style w:type="character" w:customStyle="1" w:styleId="75pt">
    <w:name w:val="Основной текст + 7;5 pt"/>
    <w:rsid w:val="009376F4"/>
    <w:rPr>
      <w:rFonts w:ascii="Arial" w:eastAsia="Arial" w:hAnsi="Arial" w:cs="Arial"/>
      <w:b w:val="0"/>
      <w:bCs w:val="0"/>
      <w:i w:val="0"/>
      <w:iCs w:val="0"/>
      <w:smallCaps w:val="0"/>
      <w:strike w:val="0"/>
      <w:spacing w:val="0"/>
      <w:sz w:val="15"/>
      <w:szCs w:val="15"/>
      <w:shd w:val="clear" w:color="auto" w:fill="FFFFFF"/>
    </w:rPr>
  </w:style>
  <w:style w:type="character" w:customStyle="1" w:styleId="7pt120">
    <w:name w:val="Основной текст + 7 pt;Масштаб 120%"/>
    <w:rsid w:val="009376F4"/>
    <w:rPr>
      <w:rFonts w:ascii="Arial" w:eastAsia="Arial" w:hAnsi="Arial" w:cs="Arial"/>
      <w:b w:val="0"/>
      <w:bCs w:val="0"/>
      <w:i w:val="0"/>
      <w:iCs w:val="0"/>
      <w:smallCaps w:val="0"/>
      <w:strike w:val="0"/>
      <w:spacing w:val="0"/>
      <w:w w:val="120"/>
      <w:sz w:val="14"/>
      <w:szCs w:val="14"/>
      <w:shd w:val="clear" w:color="auto" w:fill="FFFFFF"/>
    </w:rPr>
  </w:style>
  <w:style w:type="character" w:customStyle="1" w:styleId="8pt6">
    <w:name w:val="Основной текст + 8 pt6"/>
    <w:uiPriority w:val="99"/>
    <w:rsid w:val="00A16F55"/>
    <w:rPr>
      <w:rFonts w:ascii="Arial Narrow" w:hAnsi="Arial Narrow" w:cs="Arial Narrow"/>
      <w:spacing w:val="0"/>
      <w:w w:val="100"/>
      <w:sz w:val="16"/>
      <w:szCs w:val="16"/>
      <w:shd w:val="clear" w:color="auto" w:fill="FFFFFF"/>
    </w:rPr>
  </w:style>
  <w:style w:type="character" w:customStyle="1" w:styleId="293">
    <w:name w:val="Основной текст + Полужирный29"/>
    <w:uiPriority w:val="99"/>
    <w:rsid w:val="00A16F55"/>
    <w:rPr>
      <w:rFonts w:ascii="Arial Narrow" w:hAnsi="Arial Narrow" w:cs="Arial Narrow"/>
      <w:b/>
      <w:bCs/>
      <w:spacing w:val="0"/>
      <w:sz w:val="18"/>
      <w:szCs w:val="18"/>
      <w:shd w:val="clear" w:color="auto" w:fill="FFFFFF"/>
    </w:rPr>
  </w:style>
  <w:style w:type="character" w:customStyle="1" w:styleId="227">
    <w:name w:val="Заголовок №2 (2)_"/>
    <w:link w:val="228"/>
    <w:locked/>
    <w:rsid w:val="005A27E3"/>
    <w:rPr>
      <w:rFonts w:ascii="Times New Roman" w:hAnsi="Times New Roman"/>
      <w:sz w:val="21"/>
      <w:szCs w:val="21"/>
      <w:shd w:val="clear" w:color="auto" w:fill="FFFFFF"/>
    </w:rPr>
  </w:style>
  <w:style w:type="paragraph" w:customStyle="1" w:styleId="228">
    <w:name w:val="Заголовок №2 (2)"/>
    <w:basedOn w:val="a"/>
    <w:link w:val="227"/>
    <w:rsid w:val="005A27E3"/>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232">
    <w:name w:val="Заголовок №2 (3)_"/>
    <w:link w:val="233"/>
    <w:locked/>
    <w:rsid w:val="002439EA"/>
    <w:rPr>
      <w:rFonts w:ascii="Times New Roman" w:hAnsi="Times New Roman"/>
      <w:b/>
      <w:bCs/>
      <w:i/>
      <w:iCs/>
      <w:sz w:val="21"/>
      <w:szCs w:val="21"/>
      <w:shd w:val="clear" w:color="auto" w:fill="FFFFFF"/>
    </w:rPr>
  </w:style>
  <w:style w:type="paragraph" w:customStyle="1" w:styleId="233">
    <w:name w:val="Заголовок №2 (3)"/>
    <w:basedOn w:val="a"/>
    <w:link w:val="232"/>
    <w:rsid w:val="002439EA"/>
    <w:pPr>
      <w:shd w:val="clear" w:color="auto" w:fill="FFFFFF"/>
      <w:spacing w:before="300" w:after="0" w:line="240" w:lineRule="atLeast"/>
      <w:outlineLvl w:val="1"/>
    </w:pPr>
    <w:rPr>
      <w:rFonts w:ascii="Times New Roman" w:hAnsi="Times New Roman"/>
      <w:b/>
      <w:bCs/>
      <w:i/>
      <w:iCs/>
      <w:sz w:val="21"/>
      <w:szCs w:val="21"/>
      <w:lang w:eastAsia="ru-RU"/>
    </w:rPr>
  </w:style>
  <w:style w:type="character" w:customStyle="1" w:styleId="4f1">
    <w:name w:val="Основной текст (4) + Полужирный"/>
    <w:rsid w:val="002F4B06"/>
    <w:rPr>
      <w:rFonts w:ascii="Arial Narrow" w:eastAsia="Arial Narrow" w:hAnsi="Arial Narrow" w:cs="Arial Narrow"/>
      <w:b/>
      <w:bCs/>
      <w:sz w:val="18"/>
      <w:szCs w:val="18"/>
      <w:shd w:val="clear" w:color="auto" w:fill="FFFFFF"/>
      <w:lang w:eastAsia="en-US"/>
    </w:rPr>
  </w:style>
  <w:style w:type="character" w:customStyle="1" w:styleId="aff8">
    <w:name w:val="Колонтитул_"/>
    <w:link w:val="aff7"/>
    <w:uiPriority w:val="99"/>
    <w:rsid w:val="00CF13E4"/>
    <w:rPr>
      <w:rFonts w:ascii="Times New Roman" w:hAnsi="Times New Roman"/>
      <w:shd w:val="clear" w:color="auto" w:fill="FFFFFF"/>
      <w:lang w:eastAsia="en-US"/>
    </w:rPr>
  </w:style>
  <w:style w:type="character" w:customStyle="1" w:styleId="ArialNarrow5pt">
    <w:name w:val="Колонтитул + Arial Narrow;5 pt"/>
    <w:rsid w:val="00CF13E4"/>
    <w:rPr>
      <w:rFonts w:ascii="Arial Narrow" w:eastAsia="Arial Narrow" w:hAnsi="Arial Narrow" w:cs="Arial Narrow"/>
      <w:spacing w:val="0"/>
      <w:sz w:val="10"/>
      <w:szCs w:val="10"/>
      <w:shd w:val="clear" w:color="auto" w:fill="FFFFFF"/>
    </w:rPr>
  </w:style>
  <w:style w:type="character" w:customStyle="1" w:styleId="ArialNarrow135pt-1pt">
    <w:name w:val="Колонтитул + Arial Narrow;13;5 pt;Курсив;Интервал -1 pt"/>
    <w:rsid w:val="00CF13E4"/>
    <w:rPr>
      <w:rFonts w:ascii="Arial Narrow" w:eastAsia="Arial Narrow" w:hAnsi="Arial Narrow" w:cs="Arial Narrow"/>
      <w:i/>
      <w:iCs/>
      <w:spacing w:val="-30"/>
      <w:sz w:val="27"/>
      <w:szCs w:val="27"/>
      <w:u w:val="single"/>
      <w:shd w:val="clear" w:color="auto" w:fill="FFFFFF"/>
    </w:rPr>
  </w:style>
  <w:style w:type="character" w:customStyle="1" w:styleId="31pt0">
    <w:name w:val="Заголовок №3 + Интервал 1 pt"/>
    <w:rsid w:val="00EC0BEB"/>
    <w:rPr>
      <w:rFonts w:ascii="Times New Roman" w:hAnsi="Times New Roman" w:cs="Times New Roman"/>
      <w:spacing w:val="20"/>
      <w:sz w:val="20"/>
      <w:szCs w:val="20"/>
      <w:shd w:val="clear" w:color="auto" w:fill="FFFFFF"/>
      <w:lang w:eastAsia="en-US"/>
    </w:rPr>
  </w:style>
  <w:style w:type="character" w:customStyle="1" w:styleId="911">
    <w:name w:val="Основной текст + 911"/>
    <w:aliases w:val="5 pt45,Полужирный42,Интервал 0 pt31,Основной текст + 823,Основной текст (5) + Не курсив7"/>
    <w:uiPriority w:val="99"/>
    <w:rsid w:val="006E23A3"/>
    <w:rPr>
      <w:rFonts w:ascii="Arial Narrow" w:hAnsi="Arial Narrow" w:cs="Arial Narrow"/>
      <w:b/>
      <w:bCs/>
      <w:noProof/>
      <w:spacing w:val="-10"/>
      <w:sz w:val="19"/>
      <w:szCs w:val="19"/>
      <w:shd w:val="clear" w:color="auto" w:fill="FFFFFF"/>
    </w:rPr>
  </w:style>
  <w:style w:type="character" w:customStyle="1" w:styleId="114">
    <w:name w:val="Основной текст (11)_"/>
    <w:link w:val="113"/>
    <w:uiPriority w:val="99"/>
    <w:rsid w:val="000A25B3"/>
    <w:rPr>
      <w:rFonts w:ascii="Arial Narrow" w:hAnsi="Arial Narrow" w:cs="Arial Narrow"/>
      <w:b/>
      <w:bCs/>
      <w:sz w:val="46"/>
      <w:szCs w:val="46"/>
      <w:shd w:val="clear" w:color="auto" w:fill="FFFFFF"/>
      <w:lang w:eastAsia="en-US"/>
    </w:rPr>
  </w:style>
  <w:style w:type="character" w:customStyle="1" w:styleId="110pt">
    <w:name w:val="Основной текст (11) + Не курсив;Интервал 0 pt"/>
    <w:rsid w:val="000A25B3"/>
    <w:rPr>
      <w:rFonts w:ascii="Arial Narrow" w:eastAsia="Arial Narrow" w:hAnsi="Arial Narrow" w:cs="Arial Narrow"/>
      <w:b w:val="0"/>
      <w:bCs w:val="0"/>
      <w:i/>
      <w:iCs/>
      <w:smallCaps w:val="0"/>
      <w:strike w:val="0"/>
      <w:noProof/>
      <w:spacing w:val="-10"/>
      <w:sz w:val="18"/>
      <w:szCs w:val="18"/>
      <w:shd w:val="clear" w:color="auto" w:fill="FFFFFF"/>
    </w:rPr>
  </w:style>
  <w:style w:type="character" w:customStyle="1" w:styleId="Bodytext14">
    <w:name w:val="Body text (14)_"/>
    <w:link w:val="Bodytext141"/>
    <w:uiPriority w:val="99"/>
    <w:rsid w:val="00665ECA"/>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665ECA"/>
    <w:pPr>
      <w:shd w:val="clear" w:color="auto" w:fill="FFFFFF"/>
      <w:spacing w:after="0" w:line="240" w:lineRule="atLeast"/>
      <w:ind w:hanging="340"/>
    </w:pPr>
    <w:rPr>
      <w:rFonts w:ascii="Times New Roman" w:hAnsi="Times New Roman"/>
      <w:i/>
      <w:iCs/>
      <w:sz w:val="21"/>
      <w:szCs w:val="21"/>
      <w:lang w:eastAsia="ru-RU"/>
    </w:rPr>
  </w:style>
  <w:style w:type="character" w:customStyle="1" w:styleId="Tablecaption2">
    <w:name w:val="Table caption (2)"/>
    <w:rsid w:val="00665ECA"/>
  </w:style>
  <w:style w:type="character" w:customStyle="1" w:styleId="Bodytext58">
    <w:name w:val="Body text (58)_"/>
    <w:link w:val="Bodytext580"/>
    <w:uiPriority w:val="99"/>
    <w:rsid w:val="00665ECA"/>
    <w:rPr>
      <w:rFonts w:ascii="Arial Narrow" w:hAnsi="Arial Narrow" w:cs="Arial Narrow"/>
      <w:sz w:val="21"/>
      <w:szCs w:val="21"/>
      <w:shd w:val="clear" w:color="auto" w:fill="FFFFFF"/>
    </w:rPr>
  </w:style>
  <w:style w:type="paragraph" w:customStyle="1" w:styleId="Bodytext580">
    <w:name w:val="Body text (58)"/>
    <w:basedOn w:val="a"/>
    <w:link w:val="Bodytext58"/>
    <w:uiPriority w:val="99"/>
    <w:rsid w:val="00665ECA"/>
    <w:pPr>
      <w:shd w:val="clear" w:color="auto" w:fill="FFFFFF"/>
      <w:spacing w:before="240" w:after="0" w:line="254" w:lineRule="exact"/>
      <w:ind w:firstLine="300"/>
      <w:jc w:val="both"/>
    </w:pPr>
    <w:rPr>
      <w:rFonts w:ascii="Arial Narrow" w:hAnsi="Arial Narrow" w:cs="Arial Narrow"/>
      <w:sz w:val="21"/>
      <w:szCs w:val="21"/>
      <w:lang w:eastAsia="ru-RU"/>
    </w:rPr>
  </w:style>
  <w:style w:type="character" w:customStyle="1" w:styleId="Bodytext5">
    <w:name w:val="Body text (5)_"/>
    <w:link w:val="Bodytext51"/>
    <w:rsid w:val="00665ECA"/>
    <w:rPr>
      <w:rFonts w:ascii="Times New Roman" w:hAnsi="Times New Roman"/>
      <w:sz w:val="15"/>
      <w:szCs w:val="15"/>
      <w:shd w:val="clear" w:color="auto" w:fill="FFFFFF"/>
    </w:rPr>
  </w:style>
  <w:style w:type="paragraph" w:customStyle="1" w:styleId="Bodytext51">
    <w:name w:val="Body text (5)1"/>
    <w:basedOn w:val="a"/>
    <w:link w:val="Bodytext5"/>
    <w:uiPriority w:val="99"/>
    <w:rsid w:val="00665ECA"/>
    <w:pPr>
      <w:shd w:val="clear" w:color="auto" w:fill="FFFFFF"/>
      <w:spacing w:before="300" w:after="300" w:line="202" w:lineRule="exact"/>
      <w:jc w:val="center"/>
    </w:pPr>
    <w:rPr>
      <w:rFonts w:ascii="Times New Roman" w:hAnsi="Times New Roman"/>
      <w:sz w:val="15"/>
      <w:szCs w:val="15"/>
      <w:lang w:eastAsia="ru-RU"/>
    </w:rPr>
  </w:style>
  <w:style w:type="character" w:customStyle="1" w:styleId="Bodytext518">
    <w:name w:val="Body text (5)18"/>
    <w:uiPriority w:val="99"/>
    <w:rsid w:val="00665ECA"/>
  </w:style>
  <w:style w:type="character" w:customStyle="1" w:styleId="Bodytext145">
    <w:name w:val="Body text (14)5"/>
    <w:uiPriority w:val="99"/>
    <w:rsid w:val="00665ECA"/>
  </w:style>
  <w:style w:type="character" w:customStyle="1" w:styleId="Bodytext62">
    <w:name w:val="Body text (62)_"/>
    <w:link w:val="Bodytext620"/>
    <w:uiPriority w:val="99"/>
    <w:rsid w:val="00665ECA"/>
    <w:rPr>
      <w:rFonts w:ascii="Arial Narrow" w:hAnsi="Arial Narrow" w:cs="Arial Narrow"/>
      <w:shd w:val="clear" w:color="auto" w:fill="FFFFFF"/>
    </w:rPr>
  </w:style>
  <w:style w:type="character" w:customStyle="1" w:styleId="Bodytext63">
    <w:name w:val="Body text (63)_"/>
    <w:link w:val="Bodytext630"/>
    <w:uiPriority w:val="99"/>
    <w:rsid w:val="00665ECA"/>
    <w:rPr>
      <w:rFonts w:ascii="Arial Narrow" w:hAnsi="Arial Narrow" w:cs="Arial Narrow"/>
      <w:shd w:val="clear" w:color="auto" w:fill="FFFFFF"/>
    </w:rPr>
  </w:style>
  <w:style w:type="paragraph" w:customStyle="1" w:styleId="Bodytext620">
    <w:name w:val="Body text (62)"/>
    <w:basedOn w:val="a"/>
    <w:link w:val="Bodytext62"/>
    <w:uiPriority w:val="99"/>
    <w:rsid w:val="00665ECA"/>
    <w:pPr>
      <w:shd w:val="clear" w:color="auto" w:fill="FFFFFF"/>
      <w:spacing w:before="180" w:after="0" w:line="254" w:lineRule="exact"/>
      <w:ind w:firstLine="280"/>
      <w:jc w:val="both"/>
    </w:pPr>
    <w:rPr>
      <w:rFonts w:ascii="Arial Narrow" w:hAnsi="Arial Narrow" w:cs="Arial Narrow"/>
      <w:sz w:val="20"/>
      <w:szCs w:val="20"/>
      <w:lang w:eastAsia="ru-RU"/>
    </w:rPr>
  </w:style>
  <w:style w:type="paragraph" w:customStyle="1" w:styleId="Bodytext630">
    <w:name w:val="Body text (63)"/>
    <w:basedOn w:val="a"/>
    <w:link w:val="Bodytext63"/>
    <w:uiPriority w:val="99"/>
    <w:rsid w:val="00665ECA"/>
    <w:pPr>
      <w:shd w:val="clear" w:color="auto" w:fill="FFFFFF"/>
      <w:spacing w:after="0" w:line="254" w:lineRule="exact"/>
      <w:ind w:firstLine="280"/>
      <w:jc w:val="both"/>
    </w:pPr>
    <w:rPr>
      <w:rFonts w:ascii="Arial Narrow" w:hAnsi="Arial Narrow" w:cs="Arial Narrow"/>
      <w:sz w:val="20"/>
      <w:szCs w:val="20"/>
      <w:lang w:eastAsia="ru-RU"/>
    </w:rPr>
  </w:style>
  <w:style w:type="character" w:customStyle="1" w:styleId="Bodytext14Tahoma1">
    <w:name w:val="Body text (14) + Tahoma1"/>
    <w:aliases w:val="81,5 pt16,Not Italic8"/>
    <w:uiPriority w:val="99"/>
    <w:rsid w:val="00B95E55"/>
    <w:rPr>
      <w:rFonts w:ascii="Tahoma" w:hAnsi="Tahoma" w:cs="Tahoma"/>
      <w:i w:val="0"/>
      <w:iCs w:val="0"/>
      <w:spacing w:val="0"/>
      <w:w w:val="100"/>
      <w:sz w:val="17"/>
      <w:szCs w:val="17"/>
    </w:rPr>
  </w:style>
  <w:style w:type="character" w:customStyle="1" w:styleId="BodytextTahoma1">
    <w:name w:val="Body text + Tahoma1"/>
    <w:aliases w:val="8 pt3,Small Caps6"/>
    <w:uiPriority w:val="99"/>
    <w:rsid w:val="00B95E55"/>
    <w:rPr>
      <w:rFonts w:ascii="Tahoma" w:hAnsi="Tahoma" w:cs="Tahoma"/>
      <w:smallCaps/>
      <w:spacing w:val="0"/>
      <w:sz w:val="16"/>
      <w:szCs w:val="16"/>
    </w:rPr>
  </w:style>
  <w:style w:type="character" w:customStyle="1" w:styleId="Bodytext14NotItalic12">
    <w:name w:val="Body text (14) + Not Italic12"/>
    <w:uiPriority w:val="99"/>
    <w:rsid w:val="00B95E55"/>
    <w:rPr>
      <w:rFonts w:ascii="Times New Roman" w:hAnsi="Times New Roman" w:cs="Times New Roman"/>
      <w:i w:val="0"/>
      <w:iCs w:val="0"/>
      <w:spacing w:val="0"/>
      <w:sz w:val="21"/>
      <w:szCs w:val="21"/>
    </w:rPr>
  </w:style>
  <w:style w:type="character" w:customStyle="1" w:styleId="Bodytext4">
    <w:name w:val="Body text (4)_"/>
    <w:link w:val="Bodytext41"/>
    <w:uiPriority w:val="99"/>
    <w:rsid w:val="00B95E55"/>
    <w:rPr>
      <w:rFonts w:ascii="Times New Roman" w:hAnsi="Times New Roman"/>
      <w:b/>
      <w:bCs/>
      <w:i/>
      <w:iCs/>
      <w:sz w:val="16"/>
      <w:szCs w:val="16"/>
      <w:shd w:val="clear" w:color="auto" w:fill="FFFFFF"/>
    </w:rPr>
  </w:style>
  <w:style w:type="paragraph" w:customStyle="1" w:styleId="Bodytext41">
    <w:name w:val="Body text (4)1"/>
    <w:basedOn w:val="a"/>
    <w:link w:val="Bodytext4"/>
    <w:uiPriority w:val="99"/>
    <w:rsid w:val="00B95E55"/>
    <w:pPr>
      <w:shd w:val="clear" w:color="auto" w:fill="FFFFFF"/>
      <w:spacing w:before="540" w:after="300" w:line="197" w:lineRule="exact"/>
      <w:jc w:val="center"/>
    </w:pPr>
    <w:rPr>
      <w:rFonts w:ascii="Times New Roman" w:hAnsi="Times New Roman"/>
      <w:b/>
      <w:bCs/>
      <w:i/>
      <w:iCs/>
      <w:sz w:val="16"/>
      <w:szCs w:val="16"/>
      <w:lang w:eastAsia="ru-RU"/>
    </w:rPr>
  </w:style>
  <w:style w:type="character" w:customStyle="1" w:styleId="Bodytext515">
    <w:name w:val="Body text (5)15"/>
    <w:uiPriority w:val="99"/>
    <w:rsid w:val="00B95E55"/>
  </w:style>
  <w:style w:type="character" w:customStyle="1" w:styleId="Bodytext65">
    <w:name w:val="Body text (65)_"/>
    <w:link w:val="Bodytext650"/>
    <w:uiPriority w:val="99"/>
    <w:rsid w:val="00B95E55"/>
    <w:rPr>
      <w:rFonts w:ascii="Arial Narrow" w:hAnsi="Arial Narrow" w:cs="Arial Narrow"/>
      <w:sz w:val="18"/>
      <w:szCs w:val="18"/>
      <w:shd w:val="clear" w:color="auto" w:fill="FFFFFF"/>
    </w:rPr>
  </w:style>
  <w:style w:type="character" w:customStyle="1" w:styleId="Bodytext45">
    <w:name w:val="Body text (4)5"/>
    <w:uiPriority w:val="99"/>
    <w:rsid w:val="00B95E55"/>
    <w:rPr>
      <w:rFonts w:ascii="Times New Roman" w:hAnsi="Times New Roman" w:cs="Times New Roman"/>
      <w:b/>
      <w:bCs/>
      <w:i/>
      <w:iCs/>
      <w:spacing w:val="0"/>
      <w:sz w:val="16"/>
      <w:szCs w:val="16"/>
    </w:rPr>
  </w:style>
  <w:style w:type="character" w:customStyle="1" w:styleId="Bodytext66">
    <w:name w:val="Body text (66)_"/>
    <w:link w:val="Bodytext660"/>
    <w:uiPriority w:val="99"/>
    <w:rsid w:val="00B95E55"/>
    <w:rPr>
      <w:rFonts w:ascii="Times New Roman" w:hAnsi="Times New Roman"/>
      <w:noProof/>
      <w:sz w:val="8"/>
      <w:szCs w:val="8"/>
      <w:shd w:val="clear" w:color="auto" w:fill="FFFFFF"/>
    </w:rPr>
  </w:style>
  <w:style w:type="character" w:customStyle="1" w:styleId="Bodytext67">
    <w:name w:val="Body text (67)_"/>
    <w:link w:val="Bodytext670"/>
    <w:uiPriority w:val="99"/>
    <w:rsid w:val="00B95E55"/>
    <w:rPr>
      <w:rFonts w:ascii="Times New Roman" w:hAnsi="Times New Roman"/>
      <w:noProof/>
      <w:sz w:val="8"/>
      <w:szCs w:val="8"/>
      <w:shd w:val="clear" w:color="auto" w:fill="FFFFFF"/>
    </w:rPr>
  </w:style>
  <w:style w:type="paragraph" w:customStyle="1" w:styleId="Bodytext650">
    <w:name w:val="Body text (65)"/>
    <w:basedOn w:val="a"/>
    <w:link w:val="Bodytext65"/>
    <w:uiPriority w:val="99"/>
    <w:rsid w:val="00B95E55"/>
    <w:pPr>
      <w:shd w:val="clear" w:color="auto" w:fill="FFFFFF"/>
      <w:spacing w:after="0" w:line="240" w:lineRule="atLeast"/>
    </w:pPr>
    <w:rPr>
      <w:rFonts w:ascii="Arial Narrow" w:hAnsi="Arial Narrow" w:cs="Arial Narrow"/>
      <w:sz w:val="18"/>
      <w:szCs w:val="18"/>
      <w:lang w:eastAsia="ru-RU"/>
    </w:rPr>
  </w:style>
  <w:style w:type="paragraph" w:customStyle="1" w:styleId="Bodytext660">
    <w:name w:val="Body text (66)"/>
    <w:basedOn w:val="a"/>
    <w:link w:val="Bodytext66"/>
    <w:uiPriority w:val="99"/>
    <w:rsid w:val="00B95E55"/>
    <w:pPr>
      <w:shd w:val="clear" w:color="auto" w:fill="FFFFFF"/>
      <w:spacing w:after="0" w:line="240" w:lineRule="atLeast"/>
    </w:pPr>
    <w:rPr>
      <w:rFonts w:ascii="Times New Roman" w:hAnsi="Times New Roman"/>
      <w:noProof/>
      <w:sz w:val="8"/>
      <w:szCs w:val="8"/>
      <w:lang w:eastAsia="ru-RU"/>
    </w:rPr>
  </w:style>
  <w:style w:type="paragraph" w:customStyle="1" w:styleId="Bodytext670">
    <w:name w:val="Body text (67)"/>
    <w:basedOn w:val="a"/>
    <w:link w:val="Bodytext67"/>
    <w:uiPriority w:val="99"/>
    <w:rsid w:val="00B95E55"/>
    <w:pPr>
      <w:shd w:val="clear" w:color="auto" w:fill="FFFFFF"/>
      <w:spacing w:after="0" w:line="240" w:lineRule="atLeast"/>
    </w:pPr>
    <w:rPr>
      <w:rFonts w:ascii="Times New Roman" w:hAnsi="Times New Roman"/>
      <w:noProof/>
      <w:sz w:val="8"/>
      <w:szCs w:val="8"/>
      <w:lang w:eastAsia="ru-RU"/>
    </w:rPr>
  </w:style>
  <w:style w:type="character" w:customStyle="1" w:styleId="Bodytext">
    <w:name w:val="Body text_"/>
    <w:link w:val="162"/>
    <w:uiPriority w:val="99"/>
    <w:rsid w:val="00B95E55"/>
    <w:rPr>
      <w:rFonts w:ascii="Times New Roman" w:eastAsia="Times New Roman" w:hAnsi="Times New Roman"/>
      <w:sz w:val="21"/>
      <w:szCs w:val="21"/>
      <w:shd w:val="clear" w:color="auto" w:fill="FFFFFF"/>
    </w:rPr>
  </w:style>
  <w:style w:type="paragraph" w:customStyle="1" w:styleId="162">
    <w:name w:val="Основной текст16"/>
    <w:basedOn w:val="a"/>
    <w:link w:val="Bodytext"/>
    <w:rsid w:val="00B95E55"/>
    <w:pPr>
      <w:shd w:val="clear" w:color="auto" w:fill="FFFFFF"/>
      <w:spacing w:after="0" w:line="0" w:lineRule="atLeast"/>
    </w:pPr>
    <w:rPr>
      <w:rFonts w:ascii="Times New Roman" w:eastAsia="Times New Roman" w:hAnsi="Times New Roman"/>
      <w:sz w:val="21"/>
      <w:szCs w:val="21"/>
      <w:lang w:eastAsia="ru-RU"/>
    </w:rPr>
  </w:style>
  <w:style w:type="paragraph" w:customStyle="1" w:styleId="12a">
    <w:name w:val="Основной текст12"/>
    <w:basedOn w:val="a"/>
    <w:rsid w:val="00EF3A16"/>
    <w:pPr>
      <w:shd w:val="clear" w:color="auto" w:fill="FFFFFF"/>
      <w:spacing w:after="60" w:line="240" w:lineRule="exact"/>
      <w:jc w:val="center"/>
    </w:pPr>
    <w:rPr>
      <w:rFonts w:ascii="Times New Roman" w:eastAsia="Times New Roman" w:hAnsi="Times New Roman"/>
      <w:sz w:val="23"/>
      <w:szCs w:val="23"/>
    </w:rPr>
  </w:style>
  <w:style w:type="character" w:customStyle="1" w:styleId="5f">
    <w:name w:val="Основной текст5"/>
    <w:basedOn w:val="Bodytext"/>
    <w:uiPriority w:val="99"/>
    <w:rsid w:val="00776AC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Italic">
    <w:name w:val="Body text + Italic"/>
    <w:basedOn w:val="Bodytext"/>
    <w:uiPriority w:val="99"/>
    <w:rsid w:val="007F3D7F"/>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
    <w:uiPriority w:val="99"/>
    <w:rsid w:val="007F3D7F"/>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Italic2">
    <w:name w:val="Body text + Italic2"/>
    <w:basedOn w:val="Bodytext"/>
    <w:uiPriority w:val="99"/>
    <w:rsid w:val="007F3D7F"/>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
    <w:name w:val="Body text (2)_"/>
    <w:basedOn w:val="a0"/>
    <w:link w:val="Bodytext21"/>
    <w:uiPriority w:val="99"/>
    <w:rsid w:val="00DB187D"/>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DB187D"/>
    <w:pPr>
      <w:shd w:val="clear" w:color="auto" w:fill="FFFFFF"/>
      <w:spacing w:after="0" w:line="221" w:lineRule="exact"/>
      <w:ind w:hanging="1600"/>
      <w:jc w:val="both"/>
    </w:pPr>
    <w:rPr>
      <w:rFonts w:ascii="Arial Narrow" w:hAnsi="Arial Narrow" w:cs="Arial Narrow"/>
      <w:i/>
      <w:iCs/>
      <w:sz w:val="18"/>
      <w:szCs w:val="18"/>
      <w:lang w:eastAsia="ru-RU"/>
    </w:rPr>
  </w:style>
  <w:style w:type="character" w:customStyle="1" w:styleId="BodytextItalic1">
    <w:name w:val="Body text + Italic1"/>
    <w:basedOn w:val="Bodytext"/>
    <w:uiPriority w:val="99"/>
    <w:rsid w:val="00DB187D"/>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1">
    <w:name w:val="Body text (2) + Not Italic1"/>
    <w:basedOn w:val="Bodytext2"/>
    <w:uiPriority w:val="99"/>
    <w:rsid w:val="00DB187D"/>
    <w:rPr>
      <w:rFonts w:ascii="Arial Narrow" w:hAnsi="Arial Narrow" w:cs="Arial Narrow"/>
      <w:i/>
      <w:iCs/>
      <w:spacing w:val="0"/>
      <w:sz w:val="18"/>
      <w:szCs w:val="18"/>
      <w:shd w:val="clear" w:color="auto" w:fill="FFFFFF"/>
    </w:rPr>
  </w:style>
  <w:style w:type="character" w:customStyle="1" w:styleId="BodytextBold4">
    <w:name w:val="Body text + Bold4"/>
    <w:basedOn w:val="Bodytext"/>
    <w:uiPriority w:val="99"/>
    <w:rsid w:val="00DB187D"/>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2pt0">
    <w:name w:val="Основной текст + Интервал 2 pt"/>
    <w:basedOn w:val="aff0"/>
    <w:rsid w:val="008C53D2"/>
    <w:rPr>
      <w:rFonts w:ascii="Palatino Linotype" w:eastAsia="Palatino Linotype" w:hAnsi="Palatino Linotype" w:cs="Palatino Linotype"/>
      <w:b w:val="0"/>
      <w:bCs w:val="0"/>
      <w:i w:val="0"/>
      <w:iCs w:val="0"/>
      <w:smallCaps w:val="0"/>
      <w:strike w:val="0"/>
      <w:spacing w:val="40"/>
      <w:sz w:val="19"/>
      <w:szCs w:val="19"/>
      <w:shd w:val="clear" w:color="auto" w:fill="FFFFFF"/>
    </w:rPr>
  </w:style>
  <w:style w:type="character" w:customStyle="1" w:styleId="Candara10pt">
    <w:name w:val="Основной текст + Candara;10 pt"/>
    <w:basedOn w:val="aff0"/>
    <w:rsid w:val="00B51B67"/>
    <w:rPr>
      <w:rFonts w:ascii="Candara" w:eastAsia="Candara" w:hAnsi="Candara" w:cs="Candara"/>
      <w:b w:val="0"/>
      <w:bCs w:val="0"/>
      <w:i w:val="0"/>
      <w:iCs w:val="0"/>
      <w:smallCaps w:val="0"/>
      <w:strike w:val="0"/>
      <w:spacing w:val="0"/>
      <w:sz w:val="20"/>
      <w:szCs w:val="20"/>
    </w:rPr>
  </w:style>
  <w:style w:type="character" w:customStyle="1" w:styleId="Consolas10pt">
    <w:name w:val="Основной текст + Consolas;10 pt"/>
    <w:basedOn w:val="aff0"/>
    <w:rsid w:val="00390DD4"/>
    <w:rPr>
      <w:rFonts w:ascii="Consolas" w:eastAsia="Consolas" w:hAnsi="Consolas" w:cs="Consolas"/>
      <w:b w:val="0"/>
      <w:bCs w:val="0"/>
      <w:i w:val="0"/>
      <w:iCs w:val="0"/>
      <w:smallCaps w:val="0"/>
      <w:strike w:val="0"/>
      <w:spacing w:val="0"/>
      <w:sz w:val="20"/>
      <w:szCs w:val="20"/>
      <w:shd w:val="clear" w:color="auto" w:fill="FFFFFF"/>
    </w:rPr>
  </w:style>
  <w:style w:type="character" w:customStyle="1" w:styleId="295pt">
    <w:name w:val="Основной текст (2) + 9;5 pt"/>
    <w:basedOn w:val="2a"/>
    <w:rsid w:val="005D277D"/>
    <w:rPr>
      <w:rFonts w:ascii="MS Mincho" w:eastAsia="MS Mincho" w:hAnsi="MS Mincho" w:cs="MS Mincho"/>
      <w:spacing w:val="-20"/>
      <w:sz w:val="19"/>
      <w:szCs w:val="19"/>
      <w:shd w:val="clear" w:color="auto" w:fill="FFFFFF"/>
      <w:lang w:eastAsia="en-US"/>
    </w:rPr>
  </w:style>
  <w:style w:type="character" w:customStyle="1" w:styleId="295pt0pt">
    <w:name w:val="Основной текст (2) + 9;5 pt;Интервал 0 pt"/>
    <w:basedOn w:val="2a"/>
    <w:rsid w:val="005D277D"/>
    <w:rPr>
      <w:rFonts w:ascii="MS Mincho" w:eastAsia="MS Mincho" w:hAnsi="MS Mincho" w:cs="MS Mincho"/>
      <w:spacing w:val="0"/>
      <w:sz w:val="19"/>
      <w:szCs w:val="19"/>
      <w:shd w:val="clear" w:color="auto" w:fill="FFFFFF"/>
      <w:lang w:eastAsia="en-US"/>
    </w:rPr>
  </w:style>
  <w:style w:type="character" w:customStyle="1" w:styleId="SimHei95pt">
    <w:name w:val="Основной текст + SimHei;9;5 pt;Малые прописные"/>
    <w:basedOn w:val="aff0"/>
    <w:rsid w:val="005D277D"/>
    <w:rPr>
      <w:rFonts w:ascii="SimHei" w:eastAsia="SimHei" w:hAnsi="SimHei" w:cs="SimHei"/>
      <w:b w:val="0"/>
      <w:bCs w:val="0"/>
      <w:i w:val="0"/>
      <w:iCs w:val="0"/>
      <w:smallCaps/>
      <w:strike w:val="0"/>
      <w:spacing w:val="0"/>
      <w:sz w:val="19"/>
      <w:szCs w:val="19"/>
      <w:shd w:val="clear" w:color="auto" w:fill="FFFFFF"/>
    </w:rPr>
  </w:style>
  <w:style w:type="character" w:customStyle="1" w:styleId="Gungsuh0">
    <w:name w:val="Основной текст + Gungsuh;Малые прописные"/>
    <w:basedOn w:val="aff0"/>
    <w:rsid w:val="005D277D"/>
    <w:rPr>
      <w:rFonts w:ascii="Gungsuh" w:eastAsia="Gungsuh" w:hAnsi="Gungsuh" w:cs="Gungsuh"/>
      <w:b w:val="0"/>
      <w:bCs w:val="0"/>
      <w:i w:val="0"/>
      <w:iCs w:val="0"/>
      <w:smallCaps/>
      <w:strike w:val="0"/>
      <w:spacing w:val="0"/>
      <w:sz w:val="18"/>
      <w:szCs w:val="18"/>
      <w:shd w:val="clear" w:color="auto" w:fill="FFFFFF"/>
      <w:lang w:val="en-US"/>
    </w:rPr>
  </w:style>
  <w:style w:type="character" w:customStyle="1" w:styleId="0pt2">
    <w:name w:val="Основной текст + Курсив;Интервал 0 pt"/>
    <w:basedOn w:val="aff0"/>
    <w:rsid w:val="002E07F8"/>
    <w:rPr>
      <w:rFonts w:ascii="Consolas" w:eastAsia="Consolas" w:hAnsi="Consolas" w:cs="Consolas"/>
      <w:i/>
      <w:iCs/>
      <w:spacing w:val="10"/>
      <w:sz w:val="20"/>
      <w:szCs w:val="20"/>
      <w:shd w:val="clear" w:color="auto" w:fill="FFFFFF"/>
    </w:rPr>
  </w:style>
  <w:style w:type="character" w:customStyle="1" w:styleId="Calibri12pt0pt">
    <w:name w:val="Основной текст + Calibri;12 pt;Полужирный;Интервал 0 pt"/>
    <w:basedOn w:val="aff0"/>
    <w:rsid w:val="002E07F8"/>
    <w:rPr>
      <w:rFonts w:ascii="Calibri" w:eastAsia="Calibri" w:hAnsi="Calibri" w:cs="Calibri"/>
      <w:b/>
      <w:bCs/>
      <w:i w:val="0"/>
      <w:iCs w:val="0"/>
      <w:smallCaps w:val="0"/>
      <w:strike w:val="0"/>
      <w:spacing w:val="0"/>
      <w:sz w:val="24"/>
      <w:szCs w:val="24"/>
      <w:shd w:val="clear" w:color="auto" w:fill="FFFFFF"/>
    </w:rPr>
  </w:style>
  <w:style w:type="paragraph" w:customStyle="1" w:styleId="5f0">
    <w:name w:val="Основной текст5"/>
    <w:basedOn w:val="a"/>
    <w:rsid w:val="00D66D65"/>
    <w:pPr>
      <w:shd w:val="clear" w:color="auto" w:fill="FFFFFF"/>
      <w:spacing w:before="120" w:after="0" w:line="150" w:lineRule="exact"/>
    </w:pPr>
    <w:rPr>
      <w:rFonts w:ascii="Batang" w:eastAsia="Batang" w:hAnsi="Batang" w:cs="Batang"/>
      <w:color w:val="000000"/>
      <w:sz w:val="18"/>
      <w:szCs w:val="18"/>
      <w:lang w:eastAsia="ru-RU"/>
    </w:rPr>
  </w:style>
  <w:style w:type="character" w:customStyle="1" w:styleId="TrebuchetMS9pt0pt">
    <w:name w:val="Основной текст + Trebuchet MS;9 pt;Интервал 0 pt"/>
    <w:basedOn w:val="aff0"/>
    <w:rsid w:val="001B4FA5"/>
    <w:rPr>
      <w:rFonts w:ascii="Trebuchet MS" w:eastAsia="Trebuchet MS" w:hAnsi="Trebuchet MS" w:cs="Trebuchet MS"/>
      <w:b w:val="0"/>
      <w:bCs w:val="0"/>
      <w:i w:val="0"/>
      <w:iCs w:val="0"/>
      <w:smallCaps w:val="0"/>
      <w:strike w:val="0"/>
      <w:spacing w:val="10"/>
      <w:sz w:val="18"/>
      <w:szCs w:val="18"/>
      <w:shd w:val="clear" w:color="auto" w:fill="FFFFFF"/>
    </w:rPr>
  </w:style>
  <w:style w:type="character" w:customStyle="1" w:styleId="Garamond12pt">
    <w:name w:val="Основной текст + Garamond;12 pt;Курсив"/>
    <w:basedOn w:val="aff0"/>
    <w:rsid w:val="001B4FA5"/>
    <w:rPr>
      <w:rFonts w:ascii="Garamond" w:eastAsia="Garamond" w:hAnsi="Garamond" w:cs="Garamond"/>
      <w:b w:val="0"/>
      <w:bCs w:val="0"/>
      <w:i/>
      <w:iCs/>
      <w:smallCaps w:val="0"/>
      <w:strike w:val="0"/>
      <w:spacing w:val="0"/>
      <w:sz w:val="24"/>
      <w:szCs w:val="24"/>
      <w:shd w:val="clear" w:color="auto" w:fill="FFFFFF"/>
    </w:rPr>
  </w:style>
  <w:style w:type="character" w:customStyle="1" w:styleId="CenturySchoolbook105pt">
    <w:name w:val="Основной текст + Century Schoolbook;10;5 pt;Полужирный"/>
    <w:basedOn w:val="aff0"/>
    <w:rsid w:val="001B4FA5"/>
    <w:rPr>
      <w:rFonts w:ascii="Century Schoolbook" w:eastAsia="Century Schoolbook" w:hAnsi="Century Schoolbook" w:cs="Century Schoolbook"/>
      <w:b/>
      <w:bCs/>
      <w:i w:val="0"/>
      <w:iCs w:val="0"/>
      <w:smallCaps w:val="0"/>
      <w:strike w:val="0"/>
      <w:spacing w:val="0"/>
      <w:w w:val="100"/>
      <w:sz w:val="21"/>
      <w:szCs w:val="21"/>
      <w:shd w:val="clear" w:color="auto" w:fill="FFFFFF"/>
    </w:rPr>
  </w:style>
  <w:style w:type="character" w:customStyle="1" w:styleId="105pt80">
    <w:name w:val="Основной текст + 10;5 pt;Полужирный;Масштаб 80%"/>
    <w:basedOn w:val="aff0"/>
    <w:rsid w:val="00AD34DF"/>
    <w:rPr>
      <w:rFonts w:ascii="Gungsuh" w:eastAsia="Gungsuh" w:hAnsi="Gungsuh" w:cs="Gungsuh"/>
      <w:b/>
      <w:bCs/>
      <w:i w:val="0"/>
      <w:iCs w:val="0"/>
      <w:smallCaps w:val="0"/>
      <w:strike w:val="0"/>
      <w:spacing w:val="0"/>
      <w:w w:val="80"/>
      <w:sz w:val="21"/>
      <w:szCs w:val="21"/>
      <w:shd w:val="clear" w:color="auto" w:fill="FFFFFF"/>
    </w:rPr>
  </w:style>
  <w:style w:type="character" w:customStyle="1" w:styleId="8pt0">
    <w:name w:val="Основной текст + 8 pt;Полужирный"/>
    <w:basedOn w:val="aff0"/>
    <w:rsid w:val="00AD34DF"/>
    <w:rPr>
      <w:rFonts w:ascii="Batang" w:eastAsia="Batang" w:hAnsi="Batang" w:cs="Batang"/>
      <w:b/>
      <w:bCs/>
      <w:i w:val="0"/>
      <w:iCs w:val="0"/>
      <w:smallCaps w:val="0"/>
      <w:strike w:val="0"/>
      <w:spacing w:val="0"/>
      <w:sz w:val="16"/>
      <w:szCs w:val="16"/>
      <w:shd w:val="clear" w:color="auto" w:fill="FFFFFF"/>
    </w:rPr>
  </w:style>
  <w:style w:type="character" w:customStyle="1" w:styleId="9pt1pt">
    <w:name w:val="Основной текст + 9 pt;Малые прописные;Интервал 1 pt"/>
    <w:basedOn w:val="aff0"/>
    <w:rsid w:val="00AD34DF"/>
    <w:rPr>
      <w:rFonts w:ascii="Century Schoolbook" w:eastAsia="Century Schoolbook" w:hAnsi="Century Schoolbook" w:cs="Century Schoolbook"/>
      <w:b w:val="0"/>
      <w:bCs w:val="0"/>
      <w:i w:val="0"/>
      <w:iCs w:val="0"/>
      <w:smallCaps/>
      <w:strike w:val="0"/>
      <w:spacing w:val="20"/>
      <w:sz w:val="18"/>
      <w:szCs w:val="18"/>
      <w:shd w:val="clear" w:color="auto" w:fill="FFFFFF"/>
    </w:rPr>
  </w:style>
  <w:style w:type="paragraph" w:customStyle="1" w:styleId="7f">
    <w:name w:val="Основной текст7"/>
    <w:basedOn w:val="a"/>
    <w:rsid w:val="00FC1EB4"/>
    <w:pPr>
      <w:shd w:val="clear" w:color="auto" w:fill="FFFFFF"/>
      <w:spacing w:after="0" w:line="165" w:lineRule="exact"/>
      <w:ind w:hanging="140"/>
    </w:pPr>
    <w:rPr>
      <w:rFonts w:ascii="Consolas" w:eastAsia="Consolas" w:hAnsi="Consolas" w:cs="Consolas"/>
      <w:color w:val="000000"/>
      <w:sz w:val="21"/>
      <w:szCs w:val="21"/>
      <w:lang w:eastAsia="ru-RU"/>
    </w:rPr>
  </w:style>
  <w:style w:type="character" w:customStyle="1" w:styleId="CenturySchoolbook13pt75">
    <w:name w:val="Основной текст + Century Schoolbook;13 pt;Малые прописные;Масштаб 75%"/>
    <w:basedOn w:val="aff0"/>
    <w:rsid w:val="00FC1EB4"/>
    <w:rPr>
      <w:rFonts w:ascii="Century Schoolbook" w:eastAsia="Century Schoolbook" w:hAnsi="Century Schoolbook" w:cs="Century Schoolbook"/>
      <w:b w:val="0"/>
      <w:bCs w:val="0"/>
      <w:i w:val="0"/>
      <w:iCs w:val="0"/>
      <w:smallCaps/>
      <w:strike w:val="0"/>
      <w:spacing w:val="0"/>
      <w:w w:val="75"/>
      <w:sz w:val="26"/>
      <w:szCs w:val="26"/>
    </w:rPr>
  </w:style>
  <w:style w:type="character" w:customStyle="1" w:styleId="TrebuchetMS95pt0pt">
    <w:name w:val="Основной текст + Trebuchet MS;9;5 pt;Курсив;Интервал 0 pt"/>
    <w:basedOn w:val="aff0"/>
    <w:rsid w:val="00201761"/>
    <w:rPr>
      <w:rFonts w:ascii="Trebuchet MS" w:eastAsia="Trebuchet MS" w:hAnsi="Trebuchet MS" w:cs="Trebuchet MS"/>
      <w:b w:val="0"/>
      <w:bCs w:val="0"/>
      <w:i/>
      <w:iCs/>
      <w:smallCaps w:val="0"/>
      <w:strike w:val="0"/>
      <w:spacing w:val="0"/>
      <w:w w:val="100"/>
      <w:sz w:val="19"/>
      <w:szCs w:val="19"/>
    </w:rPr>
  </w:style>
  <w:style w:type="character" w:customStyle="1" w:styleId="TimesNewRoman65pt0pt">
    <w:name w:val="Основной текст + Times New Roman;6;5 pt;Малые прописные;Интервал 0 pt"/>
    <w:basedOn w:val="aff0"/>
    <w:rsid w:val="00201761"/>
    <w:rPr>
      <w:rFonts w:ascii="Times New Roman" w:eastAsia="Times New Roman" w:hAnsi="Times New Roman" w:cs="Times New Roman"/>
      <w:b w:val="0"/>
      <w:bCs w:val="0"/>
      <w:i w:val="0"/>
      <w:iCs w:val="0"/>
      <w:smallCaps/>
      <w:strike w:val="0"/>
      <w:spacing w:val="0"/>
      <w:w w:val="100"/>
      <w:sz w:val="13"/>
      <w:szCs w:val="13"/>
      <w:lang w:val="en-US"/>
    </w:rPr>
  </w:style>
  <w:style w:type="character" w:customStyle="1" w:styleId="0pt3">
    <w:name w:val="Основной текст + Малые прописные;Интервал 0 pt"/>
    <w:basedOn w:val="aff0"/>
    <w:rsid w:val="00201761"/>
    <w:rPr>
      <w:rFonts w:ascii="MingLiU" w:eastAsia="MingLiU" w:hAnsi="MingLiU" w:cs="MingLiU"/>
      <w:b w:val="0"/>
      <w:bCs w:val="0"/>
      <w:i w:val="0"/>
      <w:iCs w:val="0"/>
      <w:smallCaps/>
      <w:strike w:val="0"/>
      <w:spacing w:val="0"/>
      <w:w w:val="100"/>
      <w:sz w:val="19"/>
      <w:szCs w:val="19"/>
    </w:rPr>
  </w:style>
  <w:style w:type="character" w:customStyle="1" w:styleId="TimesNewRoman">
    <w:name w:val="Основной текст + Times New Roman;Малые прописные"/>
    <w:basedOn w:val="aff0"/>
    <w:rsid w:val="00E15D3B"/>
    <w:rPr>
      <w:rFonts w:ascii="Times New Roman" w:eastAsia="Times New Roman" w:hAnsi="Times New Roman" w:cs="Times New Roman"/>
      <w:b w:val="0"/>
      <w:bCs w:val="0"/>
      <w:i w:val="0"/>
      <w:iCs w:val="0"/>
      <w:smallCaps/>
      <w:strike w:val="0"/>
      <w:spacing w:val="0"/>
      <w:sz w:val="18"/>
      <w:szCs w:val="18"/>
    </w:rPr>
  </w:style>
  <w:style w:type="character" w:customStyle="1" w:styleId="7pt0pt">
    <w:name w:val="Основной текст + 7 pt;Малые прописные;Интервал 0 pt"/>
    <w:basedOn w:val="aff0"/>
    <w:rsid w:val="0085271C"/>
    <w:rPr>
      <w:rFonts w:ascii="MS Mincho" w:eastAsia="MS Mincho" w:hAnsi="MS Mincho" w:cs="MS Mincho"/>
      <w:b w:val="0"/>
      <w:bCs w:val="0"/>
      <w:i w:val="0"/>
      <w:iCs w:val="0"/>
      <w:smallCaps/>
      <w:strike w:val="0"/>
      <w:spacing w:val="0"/>
      <w:w w:val="100"/>
      <w:sz w:val="14"/>
      <w:szCs w:val="14"/>
    </w:rPr>
  </w:style>
  <w:style w:type="character" w:customStyle="1" w:styleId="2TimesNewRoman9pt">
    <w:name w:val="Заголовок №2 + Times New Roman;9 pt;Не малые прописные"/>
    <w:basedOn w:val="2fb"/>
    <w:rsid w:val="001B6A93"/>
    <w:rPr>
      <w:rFonts w:ascii="Times New Roman" w:eastAsia="Times New Roman" w:hAnsi="Times New Roman" w:cs="Times New Roman"/>
      <w:b w:val="0"/>
      <w:bCs w:val="0"/>
      <w:i w:val="0"/>
      <w:iCs w:val="0"/>
      <w:smallCaps/>
      <w:strike w:val="0"/>
      <w:spacing w:val="0"/>
      <w:sz w:val="18"/>
      <w:szCs w:val="18"/>
    </w:rPr>
  </w:style>
  <w:style w:type="character" w:customStyle="1" w:styleId="Consolas95pt">
    <w:name w:val="Основной текст + Consolas;9;5 pt;Курсив"/>
    <w:basedOn w:val="aff0"/>
    <w:rsid w:val="001B6A93"/>
    <w:rPr>
      <w:rFonts w:ascii="Consolas" w:eastAsia="Consolas" w:hAnsi="Consolas" w:cs="Consolas"/>
      <w:b w:val="0"/>
      <w:bCs w:val="0"/>
      <w:i/>
      <w:iCs/>
      <w:smallCaps w:val="0"/>
      <w:strike w:val="0"/>
      <w:spacing w:val="0"/>
      <w:w w:val="100"/>
      <w:sz w:val="19"/>
      <w:szCs w:val="19"/>
    </w:rPr>
  </w:style>
  <w:style w:type="character" w:customStyle="1" w:styleId="9pt80">
    <w:name w:val="Основной текст + 9 pt;Курсив;Масштаб 80%"/>
    <w:basedOn w:val="aff0"/>
    <w:rsid w:val="00C85280"/>
    <w:rPr>
      <w:rFonts w:ascii="Segoe UI" w:eastAsia="Segoe UI" w:hAnsi="Segoe UI" w:cs="Segoe UI"/>
      <w:b w:val="0"/>
      <w:bCs w:val="0"/>
      <w:i/>
      <w:iCs/>
      <w:smallCaps w:val="0"/>
      <w:strike w:val="0"/>
      <w:spacing w:val="0"/>
      <w:w w:val="80"/>
      <w:sz w:val="18"/>
      <w:szCs w:val="18"/>
      <w:shd w:val="clear" w:color="auto" w:fill="FFFFFF"/>
    </w:rPr>
  </w:style>
  <w:style w:type="paragraph" w:customStyle="1" w:styleId="184">
    <w:name w:val="Основной текст18"/>
    <w:basedOn w:val="a"/>
    <w:rsid w:val="00C85280"/>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paragraph" w:customStyle="1" w:styleId="102">
    <w:name w:val="Основной текст10"/>
    <w:basedOn w:val="a"/>
    <w:link w:val="aff0"/>
    <w:rsid w:val="00204180"/>
    <w:pPr>
      <w:shd w:val="clear" w:color="auto" w:fill="FFFFFF"/>
      <w:spacing w:after="480" w:line="0" w:lineRule="atLeast"/>
    </w:pPr>
    <w:rPr>
      <w:rFonts w:ascii="Microsoft Sans Serif" w:hAnsi="Microsoft Sans Serif" w:cs="Microsoft Sans Serif"/>
      <w:spacing w:val="-10"/>
      <w:sz w:val="29"/>
      <w:szCs w:val="29"/>
      <w:lang w:eastAsia="ru-RU"/>
    </w:rPr>
  </w:style>
  <w:style w:type="paragraph" w:customStyle="1" w:styleId="174">
    <w:name w:val="Основной текст17"/>
    <w:basedOn w:val="a"/>
    <w:rsid w:val="00204180"/>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11c">
    <w:name w:val="Основной текст11"/>
    <w:basedOn w:val="a"/>
    <w:rsid w:val="002B06C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rteright">
    <w:name w:val="rteright"/>
    <w:basedOn w:val="a"/>
    <w:rsid w:val="00BA6FD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BA6FD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62">
    <w:name w:val="Основной текст116"/>
    <w:basedOn w:val="a"/>
    <w:rsid w:val="007B4EF1"/>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40">
    <w:name w:val="Основной текст94"/>
    <w:basedOn w:val="aff0"/>
    <w:rsid w:val="007B4EF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0"/>
    <w:rsid w:val="007B4EF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0"/>
    <w:rsid w:val="009274C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1">
    <w:name w:val="Основной текст65"/>
    <w:basedOn w:val="aff0"/>
    <w:rsid w:val="009274C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
    <w:rsid w:val="00CE764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00">
    <w:name w:val="Основной текст + Курсив;Масштаб 80%"/>
    <w:basedOn w:val="aff0"/>
    <w:rsid w:val="007F45FB"/>
    <w:rPr>
      <w:rFonts w:ascii="Segoe UI" w:eastAsia="Segoe UI" w:hAnsi="Segoe UI" w:cs="Segoe UI"/>
      <w:b w:val="0"/>
      <w:bCs w:val="0"/>
      <w:i/>
      <w:iCs/>
      <w:smallCaps w:val="0"/>
      <w:strike w:val="0"/>
      <w:spacing w:val="0"/>
      <w:w w:val="80"/>
      <w:sz w:val="18"/>
      <w:szCs w:val="18"/>
      <w:shd w:val="clear" w:color="auto" w:fill="FFFFFF"/>
    </w:rPr>
  </w:style>
  <w:style w:type="character" w:customStyle="1" w:styleId="101">
    <w:name w:val="Заголовок №10_"/>
    <w:basedOn w:val="a0"/>
    <w:link w:val="100"/>
    <w:rsid w:val="00007744"/>
    <w:rPr>
      <w:rFonts w:ascii="Lucida Sans Unicode" w:hAnsi="Lucida Sans Unicode" w:cs="Lucida Sans Unicode"/>
      <w:b/>
      <w:bCs/>
      <w:i/>
      <w:iCs/>
      <w:noProof/>
      <w:sz w:val="16"/>
      <w:szCs w:val="16"/>
      <w:shd w:val="clear" w:color="auto" w:fill="FFFFFF"/>
      <w:lang w:val="en-US" w:eastAsia="en-US"/>
    </w:rPr>
  </w:style>
  <w:style w:type="character" w:customStyle="1" w:styleId="145">
    <w:name w:val="Основной текст (14) + Не курсив"/>
    <w:basedOn w:val="a0"/>
    <w:rsid w:val="008C5B40"/>
    <w:rPr>
      <w:rFonts w:ascii="Arial Narrow" w:eastAsia="Arial Narrow" w:hAnsi="Arial Narrow" w:cs="Arial Narrow"/>
      <w:b w:val="0"/>
      <w:bCs w:val="0"/>
      <w:i/>
      <w:iCs/>
      <w:smallCaps w:val="0"/>
      <w:strike/>
      <w:spacing w:val="0"/>
      <w:w w:val="100"/>
      <w:sz w:val="17"/>
      <w:szCs w:val="17"/>
      <w:u w:val="single"/>
    </w:rPr>
  </w:style>
  <w:style w:type="paragraph" w:customStyle="1" w:styleId="234">
    <w:name w:val="Основной текст23"/>
    <w:basedOn w:val="a"/>
    <w:rsid w:val="008C5B40"/>
    <w:pPr>
      <w:shd w:val="clear" w:color="auto" w:fill="FFFFFF"/>
      <w:spacing w:after="0" w:line="0" w:lineRule="atLeast"/>
    </w:pPr>
    <w:rPr>
      <w:rFonts w:ascii="Arial Narrow" w:eastAsia="Arial Narrow" w:hAnsi="Arial Narrow" w:cs="Arial Narrow"/>
      <w:sz w:val="17"/>
      <w:szCs w:val="17"/>
    </w:rPr>
  </w:style>
  <w:style w:type="paragraph" w:customStyle="1" w:styleId="1151">
    <w:name w:val="Основной текст115"/>
    <w:basedOn w:val="a"/>
    <w:rsid w:val="00CE2EFD"/>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590">
    <w:name w:val="Основной текст (59)_"/>
    <w:basedOn w:val="a0"/>
    <w:link w:val="591"/>
    <w:rsid w:val="00CE2EFD"/>
    <w:rPr>
      <w:rFonts w:ascii="Segoe UI" w:eastAsia="Segoe UI" w:hAnsi="Segoe UI" w:cs="Segoe UI"/>
      <w:sz w:val="8"/>
      <w:szCs w:val="8"/>
      <w:shd w:val="clear" w:color="auto" w:fill="FFFFFF"/>
    </w:rPr>
  </w:style>
  <w:style w:type="paragraph" w:customStyle="1" w:styleId="591">
    <w:name w:val="Основной текст (59)"/>
    <w:basedOn w:val="a"/>
    <w:link w:val="590"/>
    <w:rsid w:val="00CE2EFD"/>
    <w:pPr>
      <w:shd w:val="clear" w:color="auto" w:fill="FFFFFF"/>
      <w:spacing w:after="0" w:line="0" w:lineRule="atLeast"/>
      <w:jc w:val="both"/>
    </w:pPr>
    <w:rPr>
      <w:rFonts w:ascii="Segoe UI" w:eastAsia="Segoe UI" w:hAnsi="Segoe UI" w:cs="Segoe UI"/>
      <w:sz w:val="8"/>
      <w:szCs w:val="8"/>
      <w:lang w:eastAsia="ru-RU"/>
    </w:rPr>
  </w:style>
  <w:style w:type="character" w:customStyle="1" w:styleId="304">
    <w:name w:val="Основной текст (30)_"/>
    <w:basedOn w:val="a0"/>
    <w:link w:val="305"/>
    <w:rsid w:val="00CE2EFD"/>
    <w:rPr>
      <w:rFonts w:ascii="Segoe UI" w:eastAsia="Segoe UI" w:hAnsi="Segoe UI" w:cs="Segoe UI"/>
      <w:sz w:val="14"/>
      <w:szCs w:val="14"/>
      <w:shd w:val="clear" w:color="auto" w:fill="FFFFFF"/>
    </w:rPr>
  </w:style>
  <w:style w:type="paragraph" w:customStyle="1" w:styleId="305">
    <w:name w:val="Основной текст (30)"/>
    <w:basedOn w:val="a"/>
    <w:link w:val="304"/>
    <w:rsid w:val="00CE2EFD"/>
    <w:pPr>
      <w:shd w:val="clear" w:color="auto" w:fill="FFFFFF"/>
      <w:spacing w:before="180" w:after="60" w:line="0" w:lineRule="atLeast"/>
    </w:pPr>
    <w:rPr>
      <w:rFonts w:ascii="Segoe UI" w:eastAsia="Segoe UI" w:hAnsi="Segoe UI" w:cs="Segoe UI"/>
      <w:sz w:val="14"/>
      <w:szCs w:val="14"/>
      <w:lang w:eastAsia="ru-RU"/>
    </w:rPr>
  </w:style>
  <w:style w:type="character" w:customStyle="1" w:styleId="771">
    <w:name w:val="Основной текст77"/>
    <w:basedOn w:val="aff0"/>
    <w:rsid w:val="00CE2EF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0">
    <w:name w:val="Основной текст78"/>
    <w:basedOn w:val="aff0"/>
    <w:rsid w:val="00CE2EF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0">
    <w:name w:val="Основной текст79"/>
    <w:basedOn w:val="aff0"/>
    <w:rsid w:val="00CE2EFD"/>
    <w:rPr>
      <w:rFonts w:ascii="Segoe UI" w:eastAsia="Segoe UI" w:hAnsi="Segoe UI" w:cs="Segoe UI"/>
      <w:b w:val="0"/>
      <w:bCs w:val="0"/>
      <w:i w:val="0"/>
      <w:iCs w:val="0"/>
      <w:smallCaps w:val="0"/>
      <w:strike w:val="0"/>
      <w:spacing w:val="0"/>
      <w:sz w:val="14"/>
      <w:szCs w:val="14"/>
      <w:shd w:val="clear" w:color="auto" w:fill="FFFFFF"/>
    </w:rPr>
  </w:style>
  <w:style w:type="character" w:customStyle="1" w:styleId="98">
    <w:name w:val="Основной текст98"/>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00">
    <w:name w:val="Основной текст100"/>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1">
    <w:name w:val="Основной текст101"/>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21">
    <w:name w:val="Основной текст102"/>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0"/>
    <w:rsid w:val="00B3406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91">
    <w:name w:val="Основной текст (49)"/>
    <w:basedOn w:val="a0"/>
    <w:rsid w:val="00B3406E"/>
    <w:rPr>
      <w:rFonts w:ascii="Arial Narrow" w:eastAsia="Arial Narrow" w:hAnsi="Arial Narrow" w:cs="Arial Narrow"/>
      <w:b w:val="0"/>
      <w:bCs w:val="0"/>
      <w:i w:val="0"/>
      <w:iCs w:val="0"/>
      <w:smallCaps w:val="0"/>
      <w:strike w:val="0"/>
      <w:spacing w:val="0"/>
      <w:sz w:val="14"/>
      <w:szCs w:val="14"/>
    </w:rPr>
  </w:style>
  <w:style w:type="paragraph" w:customStyle="1" w:styleId="1511">
    <w:name w:val="Основной текст151"/>
    <w:basedOn w:val="a"/>
    <w:rsid w:val="00B3406E"/>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1pt2">
    <w:name w:val="Основной текст + Курсив;Интервал 1 pt"/>
    <w:basedOn w:val="aff0"/>
    <w:rsid w:val="0015200D"/>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690">
    <w:name w:val="Основной текст69"/>
    <w:basedOn w:val="aff0"/>
    <w:rsid w:val="001520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31">
    <w:name w:val="Основной текст113"/>
    <w:basedOn w:val="a"/>
    <w:rsid w:val="003608FA"/>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28pt100">
    <w:name w:val="Основной текст (12) + 8 pt;Не курсив;Масштаб 100%"/>
    <w:basedOn w:val="a0"/>
    <w:rsid w:val="003F06D0"/>
    <w:rPr>
      <w:rFonts w:ascii="Segoe UI" w:eastAsia="Segoe UI" w:hAnsi="Segoe UI" w:cs="Segoe UI"/>
      <w:b w:val="0"/>
      <w:bCs w:val="0"/>
      <w:i/>
      <w:iCs/>
      <w:smallCaps w:val="0"/>
      <w:strike w:val="0"/>
      <w:spacing w:val="0"/>
      <w:w w:val="100"/>
      <w:sz w:val="16"/>
      <w:szCs w:val="16"/>
    </w:rPr>
  </w:style>
  <w:style w:type="character" w:customStyle="1" w:styleId="670">
    <w:name w:val="Основной текст67"/>
    <w:basedOn w:val="aff0"/>
    <w:rsid w:val="0096049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0"/>
    <w:rsid w:val="0096049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9F142F"/>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0"/>
    <w:rsid w:val="009F142F"/>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2">
    <w:name w:val="Основной текст (12)_"/>
    <w:basedOn w:val="a0"/>
    <w:link w:val="121"/>
    <w:rsid w:val="00D63EBE"/>
    <w:rPr>
      <w:rFonts w:ascii="MS Reference Sans Serif" w:hAnsi="MS Reference Sans Serif" w:cs="MS Reference Sans Serif"/>
      <w:b/>
      <w:bCs/>
      <w:sz w:val="13"/>
      <w:szCs w:val="13"/>
      <w:shd w:val="clear" w:color="auto" w:fill="FFFFFF"/>
      <w:lang w:eastAsia="en-US"/>
    </w:rPr>
  </w:style>
  <w:style w:type="character" w:customStyle="1" w:styleId="631">
    <w:name w:val="Основной текст63"/>
    <w:basedOn w:val="aff0"/>
    <w:rsid w:val="00787BC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21">
    <w:name w:val="Основной текст62"/>
    <w:basedOn w:val="aff0"/>
    <w:rsid w:val="00787BC1"/>
    <w:rPr>
      <w:rFonts w:ascii="Arial" w:eastAsia="Arial" w:hAnsi="Arial" w:cs="Arial"/>
      <w:b w:val="0"/>
      <w:bCs w:val="0"/>
      <w:i w:val="0"/>
      <w:iCs w:val="0"/>
      <w:smallCaps w:val="0"/>
      <w:strike w:val="0"/>
      <w:spacing w:val="0"/>
      <w:sz w:val="14"/>
      <w:szCs w:val="14"/>
      <w:shd w:val="clear" w:color="auto" w:fill="FFFFFF"/>
    </w:rPr>
  </w:style>
  <w:style w:type="character" w:customStyle="1" w:styleId="96">
    <w:name w:val="Основной текст96"/>
    <w:basedOn w:val="aff0"/>
    <w:rsid w:val="0094446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038623">
      <w:bodyDiv w:val="1"/>
      <w:marLeft w:val="0"/>
      <w:marRight w:val="0"/>
      <w:marTop w:val="0"/>
      <w:marBottom w:val="0"/>
      <w:divBdr>
        <w:top w:val="none" w:sz="0" w:space="0" w:color="auto"/>
        <w:left w:val="none" w:sz="0" w:space="0" w:color="auto"/>
        <w:bottom w:val="none" w:sz="0" w:space="0" w:color="auto"/>
        <w:right w:val="none" w:sz="0" w:space="0" w:color="auto"/>
      </w:divBdr>
    </w:div>
    <w:div w:id="855311762">
      <w:bodyDiv w:val="1"/>
      <w:marLeft w:val="0"/>
      <w:marRight w:val="0"/>
      <w:marTop w:val="0"/>
      <w:marBottom w:val="0"/>
      <w:divBdr>
        <w:top w:val="none" w:sz="0" w:space="0" w:color="auto"/>
        <w:left w:val="none" w:sz="0" w:space="0" w:color="auto"/>
        <w:bottom w:val="none" w:sz="0" w:space="0" w:color="auto"/>
        <w:right w:val="none" w:sz="0" w:space="0" w:color="auto"/>
      </w:divBdr>
    </w:div>
    <w:div w:id="1169367839">
      <w:bodyDiv w:val="1"/>
      <w:marLeft w:val="0"/>
      <w:marRight w:val="0"/>
      <w:marTop w:val="0"/>
      <w:marBottom w:val="0"/>
      <w:divBdr>
        <w:top w:val="none" w:sz="0" w:space="0" w:color="auto"/>
        <w:left w:val="none" w:sz="0" w:space="0" w:color="auto"/>
        <w:bottom w:val="none" w:sz="0" w:space="0" w:color="auto"/>
        <w:right w:val="none" w:sz="0" w:space="0" w:color="auto"/>
      </w:divBdr>
    </w:div>
    <w:div w:id="1238977652">
      <w:bodyDiv w:val="1"/>
      <w:marLeft w:val="0"/>
      <w:marRight w:val="0"/>
      <w:marTop w:val="0"/>
      <w:marBottom w:val="0"/>
      <w:divBdr>
        <w:top w:val="none" w:sz="0" w:space="0" w:color="auto"/>
        <w:left w:val="none" w:sz="0" w:space="0" w:color="auto"/>
        <w:bottom w:val="none" w:sz="0" w:space="0" w:color="auto"/>
        <w:right w:val="none" w:sz="0" w:space="0" w:color="auto"/>
      </w:divBdr>
    </w:div>
    <w:div w:id="2048604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spot.ru/10487-is-kotoryy-poluchilsya" TargetMode="External"/><Relationship Id="rId117" Type="http://schemas.openxmlformats.org/officeDocument/2006/relationships/hyperlink" Target="http://warspot.ru/5675-rabochie-loshadki-vtoroy-mirovoy" TargetMode="External"/><Relationship Id="rId21" Type="http://schemas.openxmlformats.org/officeDocument/2006/relationships/hyperlink" Target="http://warspot.ru/10672-tyazhyolyy-trofey-s-kurskoy-dugi" TargetMode="External"/><Relationship Id="rId42" Type="http://schemas.openxmlformats.org/officeDocument/2006/relationships/hyperlink" Target="http://www.airwar.ru/enc/fww2/j21.html" TargetMode="External"/><Relationship Id="rId47" Type="http://schemas.openxmlformats.org/officeDocument/2006/relationships/hyperlink" Target="http://warspot.ru/10672-tyazhyolyy-trofey-s-kurskoy-dugi" TargetMode="External"/><Relationship Id="rId63" Type="http://schemas.openxmlformats.org/officeDocument/2006/relationships/hyperlink" Target="http://www.airwar.ru/enc/bww2/tu2-716.html" TargetMode="External"/><Relationship Id="rId68" Type="http://schemas.openxmlformats.org/officeDocument/2006/relationships/hyperlink" Target="http://www.airwar.ru/enc/aww2/il2-ns45.html" TargetMode="External"/><Relationship Id="rId84" Type="http://schemas.openxmlformats.org/officeDocument/2006/relationships/hyperlink" Target="https://warspot.ru/10487-is-kotoryy-poluchilsya" TargetMode="External"/><Relationship Id="rId89" Type="http://schemas.openxmlformats.org/officeDocument/2006/relationships/hyperlink" Target="https://warspot.ru/12331-netipichnaya-kurskaya-bitva" TargetMode="External"/><Relationship Id="rId112" Type="http://schemas.openxmlformats.org/officeDocument/2006/relationships/hyperlink" Target="http://warspot.ru/9099-marder-ii-lyogkiy-istrebitel" TargetMode="External"/><Relationship Id="rId133" Type="http://schemas.openxmlformats.org/officeDocument/2006/relationships/hyperlink" Target="https://warspot.ru/11907-strashnee-koshki-zverya-net" TargetMode="External"/><Relationship Id="rId138" Type="http://schemas.openxmlformats.org/officeDocument/2006/relationships/hyperlink" Target="http://warspot.ru/10762-sluchaynyy-raritet" TargetMode="External"/><Relationship Id="rId16" Type="http://schemas.openxmlformats.org/officeDocument/2006/relationships/hyperlink" Target="http://www.airwar.ru/enc/xplane/ki77.html" TargetMode="External"/><Relationship Id="rId107" Type="http://schemas.openxmlformats.org/officeDocument/2006/relationships/hyperlink" Target="http://warspot.ru/6488-broneevakuatory" TargetMode="External"/><Relationship Id="rId11" Type="http://schemas.openxmlformats.org/officeDocument/2006/relationships/hyperlink" Target="http://www.airwar.ru/enc/fww2/yak1m.html" TargetMode="External"/><Relationship Id="rId32" Type="http://schemas.openxmlformats.org/officeDocument/2006/relationships/hyperlink" Target="http://warspot.ru/9797-tyazhyolyy-trofey" TargetMode="External"/><Relationship Id="rId37" Type="http://schemas.openxmlformats.org/officeDocument/2006/relationships/hyperlink" Target="http://www.airwar.ru/enc/cww2/lancastrian.html" TargetMode="External"/><Relationship Id="rId53" Type="http://schemas.openxmlformats.org/officeDocument/2006/relationships/hyperlink" Target="http://www.rpg-club.com/x1000" TargetMode="External"/><Relationship Id="rId58" Type="http://schemas.openxmlformats.org/officeDocument/2006/relationships/hyperlink" Target="https://warspot.ru/11907-strashnee-koshki-zverya-net" TargetMode="External"/><Relationship Id="rId74" Type="http://schemas.openxmlformats.org/officeDocument/2006/relationships/hyperlink" Target="http://airaces.narod.ru/all1/lavrin1.htm" TargetMode="External"/><Relationship Id="rId79" Type="http://schemas.openxmlformats.org/officeDocument/2006/relationships/hyperlink" Target="http://warspot.ru/5911-bystrohodnyy-tank-po-nemetski" TargetMode="External"/><Relationship Id="rId102" Type="http://schemas.openxmlformats.org/officeDocument/2006/relationships/hyperlink" Target="https://warspot.ru/9797-tyazhyolyy-trofey" TargetMode="External"/><Relationship Id="rId123" Type="http://schemas.openxmlformats.org/officeDocument/2006/relationships/hyperlink" Target="https://warspot.ru/10487-is-kotoryy-poluchilsya" TargetMode="External"/><Relationship Id="rId128" Type="http://schemas.openxmlformats.org/officeDocument/2006/relationships/hyperlink" Target="https://warspot.ru/10487-is-kotoryy-poluchilsya" TargetMode="External"/><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warspot.ru/11413-dolgozhdannyy-istrebitel" TargetMode="External"/><Relationship Id="rId95" Type="http://schemas.openxmlformats.org/officeDocument/2006/relationships/hyperlink" Target="http://warspot.ru/9495-pehotnyy-optimum" TargetMode="External"/><Relationship Id="rId22" Type="http://schemas.openxmlformats.org/officeDocument/2006/relationships/hyperlink" Target="http://warspot.ru/8035-skryvayuschaya-vozrast-stradayuschaya-lishnim-vesom" TargetMode="External"/><Relationship Id="rId27" Type="http://schemas.openxmlformats.org/officeDocument/2006/relationships/hyperlink" Target="https://warspot.ru/9797-tyazhyolyy-trofey" TargetMode="External"/><Relationship Id="rId43" Type="http://schemas.openxmlformats.org/officeDocument/2006/relationships/hyperlink" Target="http://www.airwar.ru/enc/bww2/ar234.html" TargetMode="External"/><Relationship Id="rId48" Type="http://schemas.openxmlformats.org/officeDocument/2006/relationships/hyperlink" Target="http://www.airwiki.org/enc/fww2/p51.html" TargetMode="External"/><Relationship Id="rId64" Type="http://schemas.openxmlformats.org/officeDocument/2006/relationships/hyperlink" Target="http://www.airwar.ru/enc/aliner/sm95.html" TargetMode="External"/><Relationship Id="rId69" Type="http://schemas.openxmlformats.org/officeDocument/2006/relationships/hyperlink" Target="http://war.by-airforce.com/articles/Il-2-antitank-02.html" TargetMode="External"/><Relationship Id="rId113" Type="http://schemas.openxmlformats.org/officeDocument/2006/relationships/hyperlink" Target="http://warspot.ru/5911-bystrohodnyy-tank-po-nemetski" TargetMode="External"/><Relationship Id="rId118" Type="http://schemas.openxmlformats.org/officeDocument/2006/relationships/hyperlink" Target="http://warspot.ru/10739-valentin-s-dlinnoy-pushkoy" TargetMode="External"/><Relationship Id="rId134" Type="http://schemas.openxmlformats.org/officeDocument/2006/relationships/hyperlink" Target="https://warspot.ru/10672-tyazhyolyy-trofey-s-kurskoy-dugi" TargetMode="External"/><Relationship Id="rId139" Type="http://schemas.openxmlformats.org/officeDocument/2006/relationships/header" Target="header1.xml"/><Relationship Id="rId80" Type="http://schemas.openxmlformats.org/officeDocument/2006/relationships/hyperlink" Target="http://warspot.ru/6873-uzkospetsialnyy-tank-shirokogo-profilya" TargetMode="External"/><Relationship Id="rId85" Type="http://schemas.openxmlformats.org/officeDocument/2006/relationships/hyperlink" Target="http://warspot.ru/6742-istrebiteli-tankov" TargetMode="External"/><Relationship Id="rId3" Type="http://schemas.openxmlformats.org/officeDocument/2006/relationships/styles" Target="styles.xml"/><Relationship Id="rId12" Type="http://schemas.openxmlformats.org/officeDocument/2006/relationships/hyperlink" Target="http://ru.wikisource.org/wiki/%D0%9F%D0%BE%D1%81%D1%82%D0%B0%D0%BD%D0%BE%D0%B2%D0%BB%D0%B5%D0%BD%D0%B8%D0%B5_%D0%93%D0%9A%D0%9E_%E2%84%96_3686%D1%81%D1%81_%D0%BE%D1%82_4.07.43" TargetMode="External"/><Relationship Id="rId17" Type="http://schemas.openxmlformats.org/officeDocument/2006/relationships/hyperlink" Target="http://www.airwar.ru/enc/fww2/la7tk.html" TargetMode="External"/><Relationship Id="rId25" Type="http://schemas.openxmlformats.org/officeDocument/2006/relationships/hyperlink" Target="http://http/eng.ship.bsu.by/ship/102545" TargetMode="External"/><Relationship Id="rId33" Type="http://schemas.openxmlformats.org/officeDocument/2006/relationships/hyperlink" Target="http://www.airwar.ru/enc/fww2/meteor.html" TargetMode="External"/><Relationship Id="rId38" Type="http://schemas.openxmlformats.org/officeDocument/2006/relationships/hyperlink" Target="http://airspot.ru/catalogue/item/lockheed-f-80a-shooting-star" TargetMode="External"/><Relationship Id="rId46" Type="http://schemas.openxmlformats.org/officeDocument/2006/relationships/hyperlink" Target="http://warspot.ru/6742-istrebiteli-tankov" TargetMode="External"/><Relationship Id="rId59" Type="http://schemas.openxmlformats.org/officeDocument/2006/relationships/hyperlink" Target="https://warspot.ru/10672-tyazhyolyy-trofey-s-kurskoy-dugi" TargetMode="External"/><Relationship Id="rId67" Type="http://schemas.openxmlformats.org/officeDocument/2006/relationships/hyperlink" Target="http://airspot.ru/catalogue/item/north-american-f-10" TargetMode="External"/><Relationship Id="rId103" Type="http://schemas.openxmlformats.org/officeDocument/2006/relationships/hyperlink" Target="https://warspot.ru/13151-samaya-massovaya-tyazhyolaya-samohodka-v-istorii" TargetMode="External"/><Relationship Id="rId108" Type="http://schemas.openxmlformats.org/officeDocument/2006/relationships/hyperlink" Target="http://warspot.ru/9697-zaderzhavshayasya-polumera" TargetMode="External"/><Relationship Id="rId116" Type="http://schemas.openxmlformats.org/officeDocument/2006/relationships/hyperlink" Target="http://warspot.ru/6698-v-tankovoy-teni" TargetMode="External"/><Relationship Id="rId124" Type="http://schemas.openxmlformats.org/officeDocument/2006/relationships/hyperlink" Target="https://warspot.ru/10487-is-kotoryy-poluchilsya" TargetMode="External"/><Relationship Id="rId129" Type="http://schemas.openxmlformats.org/officeDocument/2006/relationships/hyperlink" Target="https://warspot.ru/11413-dolgozhdannyy-istrebitel" TargetMode="External"/><Relationship Id="rId137" Type="http://schemas.openxmlformats.org/officeDocument/2006/relationships/hyperlink" Target="https://warspot.ru/11233-is-s-tyazhyolym-vooruzheniem" TargetMode="External"/><Relationship Id="rId20" Type="http://schemas.openxmlformats.org/officeDocument/2006/relationships/hyperlink" Target="http://www.airwar.ru/enc/fww2/p55.html" TargetMode="External"/><Relationship Id="rId41" Type="http://schemas.openxmlformats.org/officeDocument/2006/relationships/hyperlink" Target="http://www.airwar.ru/enc/fww2/mig3u.html" TargetMode="External"/><Relationship Id="rId54" Type="http://schemas.openxmlformats.org/officeDocument/2006/relationships/hyperlink" Target="http://www.rpg-club.com/x1000" TargetMode="External"/><Relationship Id="rId62" Type="http://schemas.openxmlformats.org/officeDocument/2006/relationships/hyperlink" Target="https://warspot.ru/6939-100-let-tankam-revolyutsionnoe-izobretenie-suintona" TargetMode="External"/><Relationship Id="rId70" Type="http://schemas.openxmlformats.org/officeDocument/2006/relationships/hyperlink" Target="http://www.airwar.ru/enc/bww2/ju86p.html" TargetMode="External"/><Relationship Id="rId75" Type="http://schemas.openxmlformats.org/officeDocument/2006/relationships/hyperlink" Target="http://www.airpages.ru/lw/do17e5.shtml" TargetMode="External"/><Relationship Id="rId83" Type="http://schemas.openxmlformats.org/officeDocument/2006/relationships/hyperlink" Target="http://warspot.ru/5675-rabochie-loshadki-vtoroy-mirovoy" TargetMode="External"/><Relationship Id="rId88" Type="http://schemas.openxmlformats.org/officeDocument/2006/relationships/hyperlink" Target="http://warspot.ru/10487-is-kotoryy-poluchilsya" TargetMode="External"/><Relationship Id="rId91" Type="http://schemas.openxmlformats.org/officeDocument/2006/relationships/hyperlink" Target="https://warspot.ru/14603-promezhutochnoe-zveno" TargetMode="External"/><Relationship Id="rId96" Type="http://schemas.openxmlformats.org/officeDocument/2006/relationships/hyperlink" Target="https://warspot.ru/11413-dolgozhdannyy-istrebitel" TargetMode="External"/><Relationship Id="rId111" Type="http://schemas.openxmlformats.org/officeDocument/2006/relationships/hyperlink" Target="http://warspot.ru/9697-zaderzhavshayasya-polumera" TargetMode="External"/><Relationship Id="rId132" Type="http://schemas.openxmlformats.org/officeDocument/2006/relationships/hyperlink" Target="http://warspot.ru/6698-v-tankovoy-teni" TargetMode="External"/><Relationship Id="rId140" Type="http://schemas.openxmlformats.org/officeDocument/2006/relationships/header" Target="header2.xm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irwar.ru/history/aces/ace2ww/pilotg/hartmann.html" TargetMode="External"/><Relationship Id="rId23" Type="http://schemas.openxmlformats.org/officeDocument/2006/relationships/hyperlink" Target="http://http/eng.ship.bsu.by/ship/100837" TargetMode="External"/><Relationship Id="rId28" Type="http://schemas.openxmlformats.org/officeDocument/2006/relationships/hyperlink" Target="https://warspot.ru/10672-tyazhyolyy-trofey-s-kurskoy-dugi" TargetMode="External"/><Relationship Id="rId36" Type="http://schemas.openxmlformats.org/officeDocument/2006/relationships/hyperlink" Target="http://airspot.ru/catalogue/item/miles-m-39-libellula" TargetMode="External"/><Relationship Id="rId49" Type="http://schemas.openxmlformats.org/officeDocument/2006/relationships/hyperlink" Target="http://www.23ag.ru/html/mig_3u.html" TargetMode="External"/><Relationship Id="rId57" Type="http://schemas.openxmlformats.org/officeDocument/2006/relationships/hyperlink" Target="https://warspot.ru/11413-dolgozhdannyy-istrebitel" TargetMode="External"/><Relationship Id="rId106" Type="http://schemas.openxmlformats.org/officeDocument/2006/relationships/hyperlink" Target="http://www.rpg-club.com/x1000" TargetMode="External"/><Relationship Id="rId114" Type="http://schemas.openxmlformats.org/officeDocument/2006/relationships/hyperlink" Target="http://warspot.ru/6873-uzkospetsialnyy-tank-shirokogo-profilya" TargetMode="External"/><Relationship Id="rId119" Type="http://schemas.openxmlformats.org/officeDocument/2006/relationships/hyperlink" Target="https://ru.wikipedia.org/wiki/1943_%D0%B3%D0%BE%D0%B4" TargetMode="External"/><Relationship Id="rId127" Type="http://schemas.openxmlformats.org/officeDocument/2006/relationships/hyperlink" Target="http://warspot.ru/10662-put-ot-srednego-shturmovika-k-srednemu-istrebitelyu" TargetMode="External"/><Relationship Id="rId10" Type="http://schemas.openxmlformats.org/officeDocument/2006/relationships/hyperlink" Target="http://www.airpages.ru/uk/p47su.shtml" TargetMode="External"/><Relationship Id="rId31" Type="http://schemas.openxmlformats.org/officeDocument/2006/relationships/hyperlink" Target="https://warspot.ru/11233-is-s-tyazhyolym-vooruzheniem" TargetMode="External"/><Relationship Id="rId44" Type="http://schemas.openxmlformats.org/officeDocument/2006/relationships/hyperlink" Target="http://www.vostok-audio.ru/item/240" TargetMode="External"/><Relationship Id="rId52" Type="http://schemas.openxmlformats.org/officeDocument/2006/relationships/hyperlink" Target="http://www.airwar.ru/enc/bww2/lankast.html" TargetMode="External"/><Relationship Id="rId60" Type="http://schemas.openxmlformats.org/officeDocument/2006/relationships/hyperlink" Target="https://warspot.ru/10662-put-ot-srednego-shturmovika-k-srednemu-istrebitelyu" TargetMode="External"/><Relationship Id="rId65" Type="http://schemas.openxmlformats.org/officeDocument/2006/relationships/hyperlink" Target="http://www.airwar.ru/enc/cww2/so90.html" TargetMode="External"/><Relationship Id="rId73" Type="http://schemas.openxmlformats.org/officeDocument/2006/relationships/hyperlink" Target="http://warspot.ru/9797-tyazhyolyy-trofey" TargetMode="External"/><Relationship Id="rId78" Type="http://schemas.openxmlformats.org/officeDocument/2006/relationships/hyperlink" Target="http://warspot.ru/9099-marder-ii-lyogkiy-istrebitel" TargetMode="External"/><Relationship Id="rId81" Type="http://schemas.openxmlformats.org/officeDocument/2006/relationships/hyperlink" Target="http://warspot.ru/5475-avtobusy-perednego-kraya" TargetMode="External"/><Relationship Id="rId86" Type="http://schemas.openxmlformats.org/officeDocument/2006/relationships/hyperlink" Target="http://warspot.ru/9697-zaderzhavshayasya-polumera" TargetMode="External"/><Relationship Id="rId94" Type="http://schemas.openxmlformats.org/officeDocument/2006/relationships/hyperlink" Target="http://www.necton.lv/index.php?option=com_content&amp;view=article&amp;id=176:rocket-a4-v2&amp;catid=54" TargetMode="External"/><Relationship Id="rId99" Type="http://schemas.openxmlformats.org/officeDocument/2006/relationships/hyperlink" Target="https://warspot.ru/9797-tyazhyolyy-trofey" TargetMode="External"/><Relationship Id="rId101" Type="http://schemas.openxmlformats.org/officeDocument/2006/relationships/hyperlink" Target="https://warspot.ru/7265-shturmovoe-orudie-na-trofeynoy-baze" TargetMode="External"/><Relationship Id="rId122" Type="http://schemas.openxmlformats.org/officeDocument/2006/relationships/hyperlink" Target="http://warspot.ru/10672-tyazhyolyy-trofey-s-kurskoy-dugi" TargetMode="External"/><Relationship Id="rId130" Type="http://schemas.openxmlformats.org/officeDocument/2006/relationships/hyperlink" Target="http://warspot.ru/4029-udarnyy-instrument-tankovoy-gvardii" TargetMode="External"/><Relationship Id="rId135" Type="http://schemas.openxmlformats.org/officeDocument/2006/relationships/hyperlink" Target="https://warspot.ru/14932-shag-v-nuzhnom-napravlenii" TargetMode="External"/><Relationship Id="rId143"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airwar.ru/enc/bww2/b32.html" TargetMode="External"/><Relationship Id="rId13" Type="http://schemas.openxmlformats.org/officeDocument/2006/relationships/hyperlink" Target="http://http/eng.ship.bsu.by/ship/101622" TargetMode="External"/><Relationship Id="rId18" Type="http://schemas.openxmlformats.org/officeDocument/2006/relationships/hyperlink" Target="http://www.airwar.ru/enc/cww2/me323.html" TargetMode="External"/><Relationship Id="rId39" Type="http://schemas.openxmlformats.org/officeDocument/2006/relationships/hyperlink" Target="http://www.airwar.ru/enc/fww2/meteor.html" TargetMode="External"/><Relationship Id="rId109" Type="http://schemas.openxmlformats.org/officeDocument/2006/relationships/hyperlink" Target="https://warspot.ru/7265-shturmovoe-orudie-na-trofeynoy-baze" TargetMode="External"/><Relationship Id="rId34" Type="http://schemas.openxmlformats.org/officeDocument/2006/relationships/hyperlink" Target="http://www.airwar.ru/enc/fww2/p62usa.html" TargetMode="External"/><Relationship Id="rId50" Type="http://schemas.openxmlformats.org/officeDocument/2006/relationships/hyperlink" Target="http://crimso.msk.ru/Site/Crafts/Craft20382.htm" TargetMode="External"/><Relationship Id="rId55" Type="http://schemas.openxmlformats.org/officeDocument/2006/relationships/hyperlink" Target="http://warspot.ru/10158-ob-ekt-238-iz-ognennoy-dugi" TargetMode="External"/><Relationship Id="rId76" Type="http://schemas.openxmlformats.org/officeDocument/2006/relationships/hyperlink" Target="http://www.det-model.ru/airplane/tu-2.php" TargetMode="External"/><Relationship Id="rId97" Type="http://schemas.openxmlformats.org/officeDocument/2006/relationships/hyperlink" Target="http://warspot.ru/10662-put-ot-srednego-shturmovika-k-srednemu-istrebitelyu" TargetMode="External"/><Relationship Id="rId104" Type="http://schemas.openxmlformats.org/officeDocument/2006/relationships/hyperlink" Target="https://warspot.ru/9911-pervoe-prishestvie-is-2" TargetMode="External"/><Relationship Id="rId120" Type="http://schemas.openxmlformats.org/officeDocument/2006/relationships/hyperlink" Target="https://ru.wikipedia.org/wiki/%D0%9E%D1%80%D0%B5%D0%BD%D0%B1%D1%83%D1%80%D0%B3" TargetMode="External"/><Relationship Id="rId125" Type="http://schemas.openxmlformats.org/officeDocument/2006/relationships/hyperlink" Target="http://www.aviarmor.net/aww2/projects/ussr/gudkov_gu_vrd.htm" TargetMode="External"/><Relationship Id="rId141"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www.airwar.ru/enc/bww2/as14.html" TargetMode="External"/><Relationship Id="rId92" Type="http://schemas.openxmlformats.org/officeDocument/2006/relationships/hyperlink" Target="http://warspot.ru/4960-kv-3-nabor-tankovoy-massy" TargetMode="External"/><Relationship Id="rId2" Type="http://schemas.openxmlformats.org/officeDocument/2006/relationships/numbering" Target="numbering.xml"/><Relationship Id="rId29" Type="http://schemas.openxmlformats.org/officeDocument/2006/relationships/hyperlink" Target="https://warspot.ru/11907-strashnee-koshki-zverya-net" TargetMode="External"/><Relationship Id="rId24" Type="http://schemas.openxmlformats.org/officeDocument/2006/relationships/hyperlink" Target="https://warspot.ru/11074-promezhutochnyy-is" TargetMode="External"/><Relationship Id="rId40" Type="http://schemas.openxmlformats.org/officeDocument/2006/relationships/hyperlink" Target="http://www.airwar.ru/enc/cww2/ar232.html" TargetMode="External"/><Relationship Id="rId45" Type="http://schemas.openxmlformats.org/officeDocument/2006/relationships/hyperlink" Target="http://www.airwar.ru/enc/bww2/b25g.html" TargetMode="External"/><Relationship Id="rId66" Type="http://schemas.openxmlformats.org/officeDocument/2006/relationships/hyperlink" Target="http://www.airwar.ru/enc/fww2/p59.html" TargetMode="External"/><Relationship Id="rId87" Type="http://schemas.openxmlformats.org/officeDocument/2006/relationships/hyperlink" Target="http://warspot.ru/10800-kutsak-kotina" TargetMode="External"/><Relationship Id="rId110" Type="http://schemas.openxmlformats.org/officeDocument/2006/relationships/hyperlink" Target="https://warspot.ru/9797-tyazhyolyy-trofey" TargetMode="External"/><Relationship Id="rId115" Type="http://schemas.openxmlformats.org/officeDocument/2006/relationships/hyperlink" Target="http://warspot.ru/5475-avtobusy-perednego-kraya" TargetMode="External"/><Relationship Id="rId131" Type="http://schemas.openxmlformats.org/officeDocument/2006/relationships/hyperlink" Target="http://warspot.ru/5475-avtobusy-perednego-kraya" TargetMode="External"/><Relationship Id="rId136" Type="http://schemas.openxmlformats.org/officeDocument/2006/relationships/hyperlink" Target="http://www.rpg-club.com/x1000" TargetMode="External"/><Relationship Id="rId61" Type="http://schemas.openxmlformats.org/officeDocument/2006/relationships/hyperlink" Target="https://warspot.ru/3889-rozhdyonnyy-voynoy-kak-sozdavalsya-narkomat-tankovoy-promyshlennosti" TargetMode="External"/><Relationship Id="rId82" Type="http://schemas.openxmlformats.org/officeDocument/2006/relationships/hyperlink" Target="http://warspot.ru/6698-v-tankovoy-teni" TargetMode="External"/><Relationship Id="rId19" Type="http://schemas.openxmlformats.org/officeDocument/2006/relationships/hyperlink" Target="http://www.airwar.ru/enc/sww2/tbf.html" TargetMode="External"/><Relationship Id="rId14" Type="http://schemas.openxmlformats.org/officeDocument/2006/relationships/hyperlink" Target="https://warspot.ru/9697-zaderzhavshayasya-polumera" TargetMode="External"/><Relationship Id="rId30" Type="http://schemas.openxmlformats.org/officeDocument/2006/relationships/hyperlink" Target="https://warspot.ru/11233-is-s-tyazhyolym-vooruzheniem" TargetMode="External"/><Relationship Id="rId35" Type="http://schemas.openxmlformats.org/officeDocument/2006/relationships/hyperlink" Target="http://www.airwar.ru/enc/fww2/yak1m.html" TargetMode="External"/><Relationship Id="rId56" Type="http://schemas.openxmlformats.org/officeDocument/2006/relationships/hyperlink" Target="https://warspot.ru/4613-fotoekskursii-muzeynyy-kompleks-istoriya-tanka-t-34" TargetMode="External"/><Relationship Id="rId77" Type="http://schemas.openxmlformats.org/officeDocument/2006/relationships/hyperlink" Target="http://www.libussr.ru/doc_ussr/ussr_481.htm" TargetMode="External"/><Relationship Id="rId100" Type="http://schemas.openxmlformats.org/officeDocument/2006/relationships/hyperlink" Target="https://warspot.ru/10800-kutsak-kotina" TargetMode="External"/><Relationship Id="rId105" Type="http://schemas.openxmlformats.org/officeDocument/2006/relationships/hyperlink" Target="https://warspot.ru/5000-t-34-85-zvuki-snaruzhi-i-iznutri" TargetMode="External"/><Relationship Id="rId126" Type="http://schemas.openxmlformats.org/officeDocument/2006/relationships/hyperlink" Target="https://warspot.ru/3889-rozhdyonnyy-voynoy-kak-sozdavalsya-narkomat-tankovoy-promyshlennosti" TargetMode="External"/><Relationship Id="rId8" Type="http://schemas.openxmlformats.org/officeDocument/2006/relationships/hyperlink" Target="http://pro-samolet.ru/samolety-germany-ww2/istrebiteli/149-fw-ta-154" TargetMode="External"/><Relationship Id="rId51" Type="http://schemas.openxmlformats.org/officeDocument/2006/relationships/hyperlink" Target="http://airspot.ru/catalogue/item/northrop-y-x-p-61-black-widow" TargetMode="External"/><Relationship Id="rId72" Type="http://schemas.openxmlformats.org/officeDocument/2006/relationships/hyperlink" Target="http://www.airwar.ru/enc/bww2/rs14.html" TargetMode="External"/><Relationship Id="rId93" Type="http://schemas.openxmlformats.org/officeDocument/2006/relationships/hyperlink" Target="http://www.necton.lv/articles/earth/79-v-4-paneemunde.html" TargetMode="External"/><Relationship Id="rId98" Type="http://schemas.openxmlformats.org/officeDocument/2006/relationships/hyperlink" Target="http://warspot.ru/9660-britanskiy-premier-v-sssr" TargetMode="External"/><Relationship Id="rId121" Type="http://schemas.openxmlformats.org/officeDocument/2006/relationships/hyperlink" Target="https://warspot.ru/5000-t-34-85-zvuki-snaruzhi-i-iznutri" TargetMode="External"/><Relationship Id="rId14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D6366B-3033-48F6-9CD6-3E90F26FB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TotalTime>
  <Pages>995</Pages>
  <Words>1185438</Words>
  <Characters>6757002</Characters>
  <Application>Microsoft Office Word</Application>
  <DocSecurity>0</DocSecurity>
  <Lines>56308</Lines>
  <Paragraphs>15853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7926587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Иван Родионов</dc:creator>
  <cp:lastModifiedBy>Пользователь</cp:lastModifiedBy>
  <cp:revision>64</cp:revision>
  <dcterms:created xsi:type="dcterms:W3CDTF">2022-05-01T11:32:00Z</dcterms:created>
  <dcterms:modified xsi:type="dcterms:W3CDTF">2022-05-08T08:56:00Z</dcterms:modified>
</cp:coreProperties>
</file>